
<file path=[Content_Types].xml><?xml version="1.0" encoding="utf-8"?>
<Types xmlns="http://schemas.openxmlformats.org/package/2006/content-types">
  <Default Extension="png" ContentType="image/png"/>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0"/>
        <w:rPr>
          <w:rFonts w:ascii="Times New Roman" w:hAnsi="Times New Roman" w:cs="Times New Roman" w:eastAsia="Times New Roman"/>
          <w:sz w:val="20"/>
          <w:szCs w:val="20"/>
        </w:rPr>
      </w:pPr>
      <w:r>
        <w:rPr/>
        <w:pict>
          <v:group style="position:absolute;margin-left:0pt;margin-top:.000015pt;width:595.3pt;height:676.6pt;mso-position-horizontal-relative:page;mso-position-vertical-relative:page;z-index:-229120" coordorigin="0,0" coordsize="11906,13532">
            <v:group style="position:absolute;left:0;top:7937;width:11906;height:3969" coordorigin="0,7937" coordsize="11906,3969">
              <v:shape style="position:absolute;left:0;top:7937;width:11906;height:3969" coordorigin="0,7937" coordsize="11906,3969" path="m0,11906l11906,11906,11906,7937,0,7937,0,11906xe" filled="true" fillcolor="#666155" stroked="false">
                <v:path arrowok="t"/>
                <v:fill type="solid"/>
              </v:shape>
              <v:shape style="position:absolute;left:3838;top:8066;width:8067;height:3839" type="#_x0000_t75" stroked="false">
                <v:imagedata r:id="rId5" o:title=""/>
              </v:shape>
            </v:group>
            <v:group style="position:absolute;left:0;top:0;width:11906;height:3969" coordorigin="0,0" coordsize="11906,3969">
              <v:shape style="position:absolute;left:0;top:0;width:11906;height:3969" coordorigin="0,0" coordsize="11906,3969" path="m0,3969l11906,3969,11906,0,0,0,0,3969xe" filled="true" fillcolor="#00779b" stroked="false">
                <v:path arrowok="t"/>
                <v:fill type="solid"/>
              </v:shape>
            </v:group>
            <v:group style="position:absolute;left:0;top:3969;width:11906;height:3969" coordorigin="0,3969" coordsize="11906,3969">
              <v:shape style="position:absolute;left:0;top:3969;width:11906;height:3969" coordorigin="0,3969" coordsize="11906,3969" path="m0,7937l11906,7937,11906,3969,0,3969,0,7937xe" filled="true" fillcolor="#362058" stroked="false">
                <v:path arrowok="t"/>
                <v:fill type="solid"/>
              </v:shape>
              <v:shape style="position:absolute;left:0;top:3969;width:3838;height:4098" type="#_x0000_t75" stroked="false">
                <v:imagedata r:id="rId6" o:title=""/>
              </v:shape>
              <v:shape style="position:absolute;left:6524;top:2103;width:5381;height:1865" type="#_x0000_t75" stroked="false">
                <v:imagedata r:id="rId7" o:title=""/>
              </v:shape>
              <v:shape style="position:absolute;left:3838;top:2103;width:2899;height:1865" type="#_x0000_t75" stroked="false">
                <v:imagedata r:id="rId8" o:title=""/>
              </v:shape>
            </v:group>
            <v:group style="position:absolute;left:50;top:1984;width:11826;height:2" coordorigin="50,1984" coordsize="11826,2">
              <v:shape style="position:absolute;left:50;top:1984;width:11826;height:2" coordorigin="50,1984" coordsize="11826,0" path="m50,1984l11875,1984e" filled="false" stroked="true" strokeweight="1pt" strokecolor="#c1b5a9">
                <v:path arrowok="t"/>
                <v:stroke dashstyle="dash"/>
              </v:shape>
            </v:group>
            <v:group style="position:absolute;left:10;top:1984;width:2;height:2" coordorigin="10,1984" coordsize="2,2">
              <v:shape style="position:absolute;left:10;top:1984;width:2;height:2" coordorigin="10,1984" coordsize="0,0" path="m10,1984l10,1984e" filled="false" stroked="true" strokeweight="1pt" strokecolor="#c1b5a9">
                <v:path arrowok="t"/>
              </v:shape>
            </v:group>
            <v:group style="position:absolute;left:11896;top:1984;width:2;height:2" coordorigin="11896,1984" coordsize="2,2">
              <v:shape style="position:absolute;left:11896;top:1984;width:2;height:2" coordorigin="11896,1984" coordsize="0,0" path="m11896,1984l11896,1984e" filled="false" stroked="true" strokeweight="1pt" strokecolor="#c1b5a9">
                <v:path arrowok="t"/>
              </v:shape>
            </v:group>
            <v:group style="position:absolute;left:50;top:2103;width:11826;height:2" coordorigin="50,2103" coordsize="11826,2">
              <v:shape style="position:absolute;left:50;top:2103;width:11826;height:2" coordorigin="50,2103" coordsize="11826,0" path="m50,2103l11875,2103e" filled="false" stroked="true" strokeweight="1pt" strokecolor="#c1b5a9">
                <v:path arrowok="t"/>
                <v:stroke dashstyle="dash"/>
              </v:shape>
            </v:group>
            <v:group style="position:absolute;left:10;top:2103;width:2;height:2" coordorigin="10,2103" coordsize="2,2">
              <v:shape style="position:absolute;left:10;top:2103;width:2;height:2" coordorigin="10,2103" coordsize="0,0" path="m10,2103l10,2103e" filled="false" stroked="true" strokeweight="1pt" strokecolor="#c1b5a9">
                <v:path arrowok="t"/>
              </v:shape>
            </v:group>
            <v:group style="position:absolute;left:11896;top:2103;width:2;height:2" coordorigin="11896,2103" coordsize="2,2">
              <v:shape style="position:absolute;left:11896;top:2103;width:2;height:2" coordorigin="11896,2103" coordsize="0,0" path="m11896,2103l11896,2103e" filled="false" stroked="true" strokeweight="1pt" strokecolor="#c1b5a9">
                <v:path arrowok="t"/>
              </v:shape>
            </v:group>
            <v:group style="position:absolute;left:50;top:2223;width:11826;height:2" coordorigin="50,2223" coordsize="11826,2">
              <v:shape style="position:absolute;left:50;top:2223;width:11826;height:2" coordorigin="50,2223" coordsize="11826,0" path="m50,2223l11875,2223e" filled="false" stroked="true" strokeweight="1pt" strokecolor="#c1b5a9">
                <v:path arrowok="t"/>
                <v:stroke dashstyle="dash"/>
              </v:shape>
            </v:group>
            <v:group style="position:absolute;left:10;top:2223;width:2;height:2" coordorigin="10,2223" coordsize="2,2">
              <v:shape style="position:absolute;left:10;top:2223;width:2;height:2" coordorigin="10,2223" coordsize="0,0" path="m10,2223l10,2223e" filled="false" stroked="true" strokeweight="1pt" strokecolor="#c1b5a9">
                <v:path arrowok="t"/>
              </v:shape>
            </v:group>
            <v:group style="position:absolute;left:11896;top:2223;width:2;height:2" coordorigin="11896,2223" coordsize="2,2">
              <v:shape style="position:absolute;left:11896;top:2223;width:2;height:2" coordorigin="11896,2223" coordsize="0,0" path="m11896,2223l11896,2223e" filled="false" stroked="true" strokeweight="1pt" strokecolor="#c1b5a9">
                <v:path arrowok="t"/>
              </v:shape>
            </v:group>
            <v:group style="position:absolute;left:50;top:7947;width:11826;height:2" coordorigin="50,7947" coordsize="11826,2">
              <v:shape style="position:absolute;left:50;top:7947;width:11826;height:2" coordorigin="50,7947" coordsize="11826,0" path="m50,7947l11875,7947e" filled="false" stroked="true" strokeweight="1pt" strokecolor="#c1b5a9">
                <v:path arrowok="t"/>
                <v:stroke dashstyle="dash"/>
              </v:shape>
            </v:group>
            <v:group style="position:absolute;left:10;top:7947;width:2;height:2" coordorigin="10,7947" coordsize="2,2">
              <v:shape style="position:absolute;left:10;top:7947;width:2;height:2" coordorigin="10,7947" coordsize="0,0" path="m10,7947l10,7947e" filled="false" stroked="true" strokeweight="1pt" strokecolor="#c1b5a9">
                <v:path arrowok="t"/>
              </v:shape>
            </v:group>
            <v:group style="position:absolute;left:11896;top:7947;width:2;height:2" coordorigin="11896,7947" coordsize="2,2">
              <v:shape style="position:absolute;left:11896;top:7947;width:2;height:2" coordorigin="11896,7947" coordsize="0,0" path="m11896,7947l11896,7947e" filled="false" stroked="true" strokeweight="1pt" strokecolor="#c1b5a9">
                <v:path arrowok="t"/>
              </v:shape>
            </v:group>
            <v:group style="position:absolute;left:50;top:8066;width:11826;height:2" coordorigin="50,8066" coordsize="11826,2">
              <v:shape style="position:absolute;left:50;top:8066;width:11826;height:2" coordorigin="50,8066" coordsize="11826,0" path="m50,8066l11875,8066e" filled="false" stroked="true" strokeweight="1pt" strokecolor="#c1b5a9">
                <v:path arrowok="t"/>
                <v:stroke dashstyle="dash"/>
              </v:shape>
            </v:group>
            <v:group style="position:absolute;left:10;top:8066;width:2;height:2" coordorigin="10,8066" coordsize="2,2">
              <v:shape style="position:absolute;left:10;top:8066;width:2;height:2" coordorigin="10,8066" coordsize="0,0" path="m10,8066l10,8066e" filled="false" stroked="true" strokeweight="1pt" strokecolor="#c1b5a9">
                <v:path arrowok="t"/>
              </v:shape>
            </v:group>
            <v:group style="position:absolute;left:11896;top:8066;width:2;height:2" coordorigin="11896,8066" coordsize="2,2">
              <v:shape style="position:absolute;left:11896;top:8066;width:2;height:2" coordorigin="11896,8066" coordsize="0,0" path="m11896,8066l11896,8066e" filled="false" stroked="true" strokeweight="1pt" strokecolor="#c1b5a9">
                <v:path arrowok="t"/>
              </v:shape>
            </v:group>
            <v:group style="position:absolute;left:50;top:8185;width:11826;height:2" coordorigin="50,8185" coordsize="11826,2">
              <v:shape style="position:absolute;left:50;top:8185;width:11826;height:2" coordorigin="50,8185" coordsize="11826,0" path="m50,8185l11875,8185e" filled="false" stroked="true" strokeweight="1pt" strokecolor="#c1b5a9">
                <v:path arrowok="t"/>
                <v:stroke dashstyle="dash"/>
              </v:shape>
            </v:group>
            <v:group style="position:absolute;left:10;top:8185;width:2;height:2" coordorigin="10,8185" coordsize="2,2">
              <v:shape style="position:absolute;left:10;top:8185;width:2;height:2" coordorigin="10,8185" coordsize="0,0" path="m10,8185l10,8185e" filled="false" stroked="true" strokeweight="1pt" strokecolor="#c1b5a9">
                <v:path arrowok="t"/>
              </v:shape>
            </v:group>
            <v:group style="position:absolute;left:11896;top:8185;width:2;height:2" coordorigin="11896,8185" coordsize="2,2">
              <v:shape style="position:absolute;left:11896;top:8185;width:2;height:2" coordorigin="11896,8185" coordsize="0,0" path="m11896,8185l11896,8185e" filled="false" stroked="true" strokeweight="1pt" strokecolor="#c1b5a9">
                <v:path arrowok="t"/>
              </v:shape>
            </v:group>
            <v:group style="position:absolute;left:3822;top:11906;width:8084;height:1626" coordorigin="3822,11906" coordsize="8084,1626">
              <v:shape style="position:absolute;left:3822;top:11906;width:8084;height:1626" coordorigin="3822,11906" coordsize="8084,1626" path="m3822,13531l11906,13531,11906,11906,3822,11906,3822,13531xe" filled="true" fillcolor="#00779b" stroked="false">
                <v:path arrowok="t"/>
                <v:fill type="solid"/>
              </v:shape>
            </v:group>
            <v:group style="position:absolute;left:3960;top:50;width:2;height:11826" coordorigin="3960,50" coordsize="2,11826">
              <v:shape style="position:absolute;left:3960;top:50;width:2;height:11826" coordorigin="3960,50" coordsize="0,11826" path="m3960,50l3960,11876e" filled="false" stroked="true" strokeweight="1pt" strokecolor="#c1b5a9">
                <v:path arrowok="t"/>
                <v:stroke dashstyle="dash"/>
              </v:shape>
            </v:group>
            <v:group style="position:absolute;left:3960;top:10;width:2;height:2" coordorigin="3960,10" coordsize="2,2">
              <v:shape style="position:absolute;left:3960;top:10;width:2;height:2" coordorigin="3960,10" coordsize="0,0" path="m3960,10l3960,10e" filled="false" stroked="true" strokeweight="1pt" strokecolor="#c1b5a9">
                <v:path arrowok="t"/>
              </v:shape>
            </v:group>
            <v:group style="position:absolute;left:3960;top:11896;width:2;height:2" coordorigin="3960,11896" coordsize="2,2">
              <v:shape style="position:absolute;left:3960;top:11896;width:2;height:2" coordorigin="3960,11896" coordsize="0,0" path="m3960,11896l3960,11896e" filled="false" stroked="true" strokeweight="1pt" strokecolor="#c1b5a9">
                <v:path arrowok="t"/>
              </v:shape>
            </v:group>
            <v:group style="position:absolute;left:3838;top:50;width:2;height:11826" coordorigin="3838,50" coordsize="2,11826">
              <v:shape style="position:absolute;left:3838;top:50;width:2;height:11826" coordorigin="3838,50" coordsize="0,11826" path="m3838,50l3838,11876e" filled="false" stroked="true" strokeweight="1pt" strokecolor="#c1b5a9">
                <v:path arrowok="t"/>
                <v:stroke dashstyle="dash"/>
              </v:shape>
            </v:group>
            <v:group style="position:absolute;left:3838;top:10;width:2;height:2" coordorigin="3838,10" coordsize="2,2">
              <v:shape style="position:absolute;left:3838;top:10;width:2;height:2" coordorigin="3838,10" coordsize="0,0" path="m3838,10l3838,10e" filled="false" stroked="true" strokeweight="1pt" strokecolor="#c1b5a9">
                <v:path arrowok="t"/>
              </v:shape>
            </v:group>
            <v:group style="position:absolute;left:3838;top:11896;width:2;height:2" coordorigin="3838,11896" coordsize="2,2">
              <v:shape style="position:absolute;left:3838;top:11896;width:2;height:2" coordorigin="3838,11896" coordsize="0,0" path="m3838,11896l3838,11896e" filled="false" stroked="true" strokeweight="1pt" strokecolor="#c1b5a9">
                <v:path arrowok="t"/>
              </v:shape>
            </v:group>
            <v:group style="position:absolute;left:3717;top:50;width:2;height:11826" coordorigin="3717,50" coordsize="2,11826">
              <v:shape style="position:absolute;left:3717;top:50;width:2;height:11826" coordorigin="3717,50" coordsize="0,11826" path="m3717,50l3717,11876e" filled="false" stroked="true" strokeweight="1pt" strokecolor="#c1b5a9">
                <v:path arrowok="t"/>
                <v:stroke dashstyle="dash"/>
              </v:shape>
            </v:group>
            <v:group style="position:absolute;left:3717;top:10;width:2;height:2" coordorigin="3717,10" coordsize="2,2">
              <v:shape style="position:absolute;left:3717;top:10;width:2;height:2" coordorigin="3717,10" coordsize="0,0" path="m3717,10l3717,10e" filled="false" stroked="true" strokeweight="1pt" strokecolor="#c1b5a9">
                <v:path arrowok="t"/>
              </v:shape>
            </v:group>
            <v:group style="position:absolute;left:3717;top:11896;width:2;height:2" coordorigin="3717,11896" coordsize="2,2">
              <v:shape style="position:absolute;left:3717;top:11896;width:2;height:2" coordorigin="3717,11896" coordsize="0,0" path="m3717,11896l3717,11896e" filled="false" stroked="true" strokeweight="1pt" strokecolor="#c1b5a9">
                <v:path arrowok="t"/>
              </v:shape>
              <v:shape style="position:absolute;left:386;top:12258;width:3436;height:986" type="#_x0000_t75" stroked="false">
                <v:imagedata r:id="rId9" o:title=""/>
              </v:shape>
            </v:group>
            <w10:wrap type="none"/>
          </v:group>
        </w:pict>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654" w:lineRule="exact" w:before="149"/>
        <w:ind w:left="2912" w:right="33" w:firstLine="0"/>
        <w:jc w:val="left"/>
        <w:rPr>
          <w:rFonts w:ascii="Segoe UI" w:hAnsi="Segoe UI" w:cs="Segoe UI" w:eastAsia="Segoe UI"/>
          <w:sz w:val="52"/>
          <w:szCs w:val="52"/>
        </w:rPr>
      </w:pPr>
      <w:r>
        <w:rPr>
          <w:rFonts w:ascii="Segoe UI"/>
          <w:b/>
          <w:color w:val="FFFFFF"/>
          <w:spacing w:val="-7"/>
          <w:sz w:val="52"/>
        </w:rPr>
        <w:t>Boarding:</w:t>
      </w:r>
      <w:r>
        <w:rPr>
          <w:rFonts w:ascii="Segoe UI"/>
          <w:b/>
          <w:color w:val="FFFFFF"/>
          <w:spacing w:val="-11"/>
          <w:sz w:val="52"/>
        </w:rPr>
        <w:t> </w:t>
      </w:r>
      <w:r>
        <w:rPr>
          <w:rFonts w:ascii="Segoe UI"/>
          <w:color w:val="FFFFFF"/>
          <w:spacing w:val="-6"/>
          <w:sz w:val="52"/>
        </w:rPr>
        <w:t>investing</w:t>
      </w:r>
      <w:r>
        <w:rPr>
          <w:rFonts w:ascii="Segoe UI"/>
          <w:color w:val="FFFFFF"/>
          <w:spacing w:val="-8"/>
          <w:sz w:val="52"/>
        </w:rPr>
        <w:t> </w:t>
      </w:r>
      <w:r>
        <w:rPr>
          <w:rFonts w:ascii="Segoe UI"/>
          <w:color w:val="FFFFFF"/>
          <w:spacing w:val="-6"/>
          <w:sz w:val="52"/>
        </w:rPr>
        <w:t>in</w:t>
      </w:r>
      <w:r>
        <w:rPr>
          <w:rFonts w:ascii="Segoe UI"/>
          <w:color w:val="FFFFFF"/>
          <w:spacing w:val="23"/>
          <w:sz w:val="52"/>
        </w:rPr>
        <w:t> </w:t>
      </w:r>
      <w:r>
        <w:rPr>
          <w:rFonts w:ascii="Segoe UI"/>
          <w:color w:val="FFFFFF"/>
          <w:spacing w:val="-6"/>
          <w:sz w:val="52"/>
        </w:rPr>
        <w:t>outcomes</w:t>
      </w:r>
      <w:r>
        <w:rPr>
          <w:rFonts w:ascii="Segoe UI"/>
          <w:color w:val="FFFFFF"/>
          <w:spacing w:val="-10"/>
          <w:sz w:val="52"/>
        </w:rPr>
        <w:t> </w:t>
      </w:r>
      <w:r>
        <w:rPr>
          <w:rFonts w:ascii="Segoe UI"/>
          <w:color w:val="FFFFFF"/>
          <w:spacing w:val="-4"/>
          <w:sz w:val="52"/>
        </w:rPr>
        <w:t>for</w:t>
      </w:r>
      <w:r>
        <w:rPr>
          <w:rFonts w:ascii="Segoe UI"/>
          <w:color w:val="FFFFFF"/>
          <w:spacing w:val="-10"/>
          <w:sz w:val="52"/>
        </w:rPr>
        <w:t> </w:t>
      </w:r>
      <w:r>
        <w:rPr>
          <w:rFonts w:ascii="Segoe UI"/>
          <w:color w:val="FFFFFF"/>
          <w:spacing w:val="-6"/>
          <w:sz w:val="52"/>
        </w:rPr>
        <w:t>Aboriginal</w:t>
      </w:r>
      <w:r>
        <w:rPr>
          <w:rFonts w:ascii="Segoe UI"/>
          <w:color w:val="FFFFFF"/>
          <w:spacing w:val="21"/>
          <w:sz w:val="52"/>
        </w:rPr>
        <w:t> </w:t>
      </w:r>
      <w:r>
        <w:rPr>
          <w:rFonts w:ascii="Segoe UI"/>
          <w:color w:val="FFFFFF"/>
          <w:spacing w:val="-5"/>
          <w:sz w:val="52"/>
        </w:rPr>
        <w:t>an</w:t>
      </w:r>
      <w:r>
        <w:rPr>
          <w:rFonts w:ascii="Segoe UI"/>
          <w:color w:val="FFFFFF"/>
          <w:sz w:val="52"/>
        </w:rPr>
        <w:t>d</w:t>
      </w:r>
      <w:r>
        <w:rPr>
          <w:rFonts w:ascii="Segoe UI"/>
          <w:color w:val="FFFFFF"/>
          <w:spacing w:val="-10"/>
          <w:sz w:val="52"/>
        </w:rPr>
        <w:t> </w:t>
      </w:r>
      <w:r>
        <w:rPr>
          <w:rFonts w:ascii="Segoe UI"/>
          <w:color w:val="FFFFFF"/>
          <w:spacing w:val="-57"/>
          <w:sz w:val="52"/>
        </w:rPr>
        <w:t>T</w:t>
      </w:r>
      <w:r>
        <w:rPr>
          <w:rFonts w:ascii="Segoe UI"/>
          <w:color w:val="FFFFFF"/>
          <w:spacing w:val="-6"/>
          <w:sz w:val="52"/>
        </w:rPr>
        <w:t>orre</w:t>
      </w:r>
      <w:r>
        <w:rPr>
          <w:rFonts w:ascii="Segoe UI"/>
          <w:color w:val="FFFFFF"/>
          <w:sz w:val="52"/>
        </w:rPr>
        <w:t>s</w:t>
      </w:r>
      <w:r>
        <w:rPr>
          <w:rFonts w:ascii="Segoe UI"/>
          <w:color w:val="FFFFFF"/>
          <w:spacing w:val="-10"/>
          <w:sz w:val="52"/>
        </w:rPr>
        <w:t> </w:t>
      </w:r>
      <w:r>
        <w:rPr>
          <w:rFonts w:ascii="Segoe UI"/>
          <w:color w:val="FFFFFF"/>
          <w:spacing w:val="-23"/>
          <w:sz w:val="52"/>
        </w:rPr>
        <w:t>S</w:t>
      </w:r>
      <w:r>
        <w:rPr>
          <w:rFonts w:ascii="Segoe UI"/>
          <w:color w:val="FFFFFF"/>
          <w:spacing w:val="-6"/>
          <w:sz w:val="52"/>
        </w:rPr>
        <w:t>trai</w:t>
      </w:r>
      <w:r>
        <w:rPr>
          <w:rFonts w:ascii="Segoe UI"/>
          <w:color w:val="FFFFFF"/>
          <w:sz w:val="52"/>
        </w:rPr>
        <w:t>t</w:t>
      </w:r>
      <w:r>
        <w:rPr>
          <w:rFonts w:ascii="Segoe UI"/>
          <w:color w:val="FFFFFF"/>
          <w:spacing w:val="-10"/>
          <w:sz w:val="52"/>
        </w:rPr>
        <w:t> </w:t>
      </w:r>
      <w:r>
        <w:rPr>
          <w:rFonts w:ascii="Segoe UI"/>
          <w:color w:val="FFFFFF"/>
          <w:spacing w:val="-6"/>
          <w:sz w:val="52"/>
        </w:rPr>
        <w:t>Islander</w:t>
      </w:r>
      <w:r>
        <w:rPr>
          <w:rFonts w:ascii="Segoe UI"/>
          <w:color w:val="FFFFFF"/>
          <w:spacing w:val="-6"/>
          <w:sz w:val="52"/>
        </w:rPr>
        <w:t> students</w:t>
      </w:r>
      <w:r>
        <w:rPr>
          <w:rFonts w:ascii="Segoe UI"/>
          <w:sz w:val="52"/>
        </w:rPr>
      </w: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4"/>
        <w:rPr>
          <w:rFonts w:ascii="Segoe UI" w:hAnsi="Segoe UI" w:cs="Segoe UI" w:eastAsia="Segoe UI"/>
          <w:sz w:val="14"/>
          <w:szCs w:val="14"/>
        </w:rPr>
      </w:pPr>
    </w:p>
    <w:p>
      <w:pPr>
        <w:spacing w:line="360" w:lineRule="exact" w:before="71"/>
        <w:ind w:left="2912" w:right="33" w:firstLine="0"/>
        <w:jc w:val="left"/>
        <w:rPr>
          <w:rFonts w:ascii="Segoe UI Light" w:hAnsi="Segoe UI Light" w:cs="Segoe UI Light" w:eastAsia="Segoe UI Light"/>
          <w:sz w:val="32"/>
          <w:szCs w:val="32"/>
        </w:rPr>
      </w:pPr>
      <w:r>
        <w:rPr>
          <w:rFonts w:ascii="Segoe UI Light"/>
          <w:b w:val="0"/>
          <w:color w:val="FFFFFF"/>
          <w:sz w:val="32"/>
        </w:rPr>
        <w:t>An</w:t>
      </w:r>
      <w:r>
        <w:rPr>
          <w:rFonts w:ascii="Segoe UI Light"/>
          <w:b w:val="0"/>
          <w:color w:val="FFFFFF"/>
          <w:spacing w:val="-5"/>
          <w:sz w:val="32"/>
        </w:rPr>
        <w:t> </w:t>
      </w:r>
      <w:r>
        <w:rPr>
          <w:rFonts w:ascii="Segoe UI Light"/>
          <w:b w:val="0"/>
          <w:color w:val="FFFFFF"/>
          <w:spacing w:val="-1"/>
          <w:sz w:val="32"/>
        </w:rPr>
        <w:t>analysis</w:t>
      </w:r>
      <w:r>
        <w:rPr>
          <w:rFonts w:ascii="Segoe UI Light"/>
          <w:b w:val="0"/>
          <w:color w:val="FFFFFF"/>
          <w:spacing w:val="-3"/>
          <w:sz w:val="32"/>
        </w:rPr>
        <w:t> </w:t>
      </w:r>
      <w:r>
        <w:rPr>
          <w:rFonts w:ascii="Segoe UI Light"/>
          <w:b w:val="0"/>
          <w:color w:val="FFFFFF"/>
          <w:spacing w:val="-5"/>
          <w:sz w:val="32"/>
        </w:rPr>
        <w:t>o</w:t>
      </w:r>
      <w:r>
        <w:rPr>
          <w:rFonts w:ascii="Segoe UI Light"/>
          <w:b w:val="0"/>
          <w:color w:val="FFFFFF"/>
          <w:spacing w:val="-6"/>
          <w:sz w:val="32"/>
        </w:rPr>
        <w:t>f</w:t>
      </w:r>
      <w:r>
        <w:rPr>
          <w:rFonts w:ascii="Segoe UI Light"/>
          <w:b w:val="0"/>
          <w:color w:val="FFFFFF"/>
          <w:spacing w:val="-4"/>
          <w:sz w:val="32"/>
        </w:rPr>
        <w:t> </w:t>
      </w:r>
      <w:r>
        <w:rPr>
          <w:rFonts w:ascii="Segoe UI Light"/>
          <w:b w:val="0"/>
          <w:color w:val="FFFFFF"/>
          <w:sz w:val="32"/>
        </w:rPr>
        <w:t>the</w:t>
      </w:r>
      <w:r>
        <w:rPr>
          <w:rFonts w:ascii="Segoe UI Light"/>
          <w:b w:val="0"/>
          <w:color w:val="FFFFFF"/>
          <w:spacing w:val="-4"/>
          <w:sz w:val="32"/>
        </w:rPr>
        <w:t> </w:t>
      </w:r>
      <w:r>
        <w:rPr>
          <w:rFonts w:ascii="Segoe UI Light"/>
          <w:b w:val="0"/>
          <w:color w:val="FFFFFF"/>
          <w:spacing w:val="-1"/>
          <w:sz w:val="32"/>
        </w:rPr>
        <w:t>investment</w:t>
      </w:r>
      <w:r>
        <w:rPr>
          <w:rFonts w:ascii="Segoe UI Light"/>
          <w:b w:val="0"/>
          <w:color w:val="FFFFFF"/>
          <w:spacing w:val="-3"/>
          <w:sz w:val="32"/>
        </w:rPr>
        <w:t> </w:t>
      </w:r>
      <w:r>
        <w:rPr>
          <w:rFonts w:ascii="Segoe UI Light"/>
          <w:b w:val="0"/>
          <w:color w:val="FFFFFF"/>
          <w:spacing w:val="-1"/>
          <w:sz w:val="32"/>
        </w:rPr>
        <w:t>in</w:t>
      </w:r>
      <w:r>
        <w:rPr>
          <w:rFonts w:ascii="Segoe UI Light"/>
          <w:b w:val="0"/>
          <w:color w:val="FFFFFF"/>
          <w:spacing w:val="-5"/>
          <w:sz w:val="32"/>
        </w:rPr>
        <w:t> </w:t>
      </w:r>
      <w:r>
        <w:rPr>
          <w:rFonts w:ascii="Segoe UI Light"/>
          <w:b w:val="0"/>
          <w:color w:val="FFFFFF"/>
          <w:spacing w:val="1"/>
          <w:sz w:val="32"/>
        </w:rPr>
        <w:t>support</w:t>
      </w:r>
      <w:r>
        <w:rPr>
          <w:rFonts w:ascii="Segoe UI Light"/>
          <w:b w:val="0"/>
          <w:color w:val="FFFFFF"/>
          <w:spacing w:val="-3"/>
          <w:sz w:val="32"/>
        </w:rPr>
        <w:t> </w:t>
      </w:r>
      <w:r>
        <w:rPr>
          <w:rFonts w:ascii="Segoe UI Light"/>
          <w:b w:val="0"/>
          <w:color w:val="FFFFFF"/>
          <w:sz w:val="32"/>
        </w:rPr>
        <w:t>for</w:t>
      </w:r>
      <w:r>
        <w:rPr>
          <w:rFonts w:ascii="Segoe UI Light"/>
          <w:b w:val="0"/>
          <w:color w:val="FFFFFF"/>
          <w:spacing w:val="27"/>
          <w:w w:val="99"/>
          <w:sz w:val="32"/>
        </w:rPr>
        <w:t> </w:t>
      </w:r>
      <w:r>
        <w:rPr>
          <w:rFonts w:ascii="Segoe UI Light"/>
          <w:b w:val="0"/>
          <w:color w:val="FFFFFF"/>
          <w:sz w:val="32"/>
        </w:rPr>
        <w:t>Aboriginal</w:t>
      </w:r>
      <w:r>
        <w:rPr>
          <w:rFonts w:ascii="Segoe UI Light"/>
          <w:b w:val="0"/>
          <w:color w:val="FFFFFF"/>
          <w:spacing w:val="-1"/>
          <w:sz w:val="32"/>
        </w:rPr>
        <w:t> an</w:t>
      </w:r>
      <w:r>
        <w:rPr>
          <w:rFonts w:ascii="Segoe UI Light"/>
          <w:b w:val="0"/>
          <w:color w:val="FFFFFF"/>
          <w:sz w:val="32"/>
        </w:rPr>
        <w:t>d </w:t>
      </w:r>
      <w:r>
        <w:rPr>
          <w:rFonts w:ascii="Segoe UI Light"/>
          <w:b w:val="0"/>
          <w:color w:val="FFFFFF"/>
          <w:spacing w:val="-51"/>
          <w:sz w:val="32"/>
        </w:rPr>
        <w:t>T</w:t>
      </w:r>
      <w:r>
        <w:rPr>
          <w:rFonts w:ascii="Segoe UI Light"/>
          <w:b w:val="0"/>
          <w:color w:val="FFFFFF"/>
          <w:sz w:val="32"/>
        </w:rPr>
        <w:t>or</w:t>
      </w:r>
      <w:r>
        <w:rPr>
          <w:rFonts w:ascii="Segoe UI Light"/>
          <w:b w:val="0"/>
          <w:color w:val="FFFFFF"/>
          <w:spacing w:val="-7"/>
          <w:sz w:val="32"/>
        </w:rPr>
        <w:t>r</w:t>
      </w:r>
      <w:r>
        <w:rPr>
          <w:rFonts w:ascii="Segoe UI Light"/>
          <w:b w:val="0"/>
          <w:color w:val="FFFFFF"/>
          <w:sz w:val="32"/>
        </w:rPr>
        <w:t>es</w:t>
      </w:r>
      <w:r>
        <w:rPr>
          <w:rFonts w:ascii="Segoe UI Light"/>
          <w:b w:val="0"/>
          <w:color w:val="FFFFFF"/>
          <w:spacing w:val="-1"/>
          <w:sz w:val="32"/>
        </w:rPr>
        <w:t> Strai</w:t>
      </w:r>
      <w:r>
        <w:rPr>
          <w:rFonts w:ascii="Segoe UI Light"/>
          <w:b w:val="0"/>
          <w:color w:val="FFFFFF"/>
          <w:sz w:val="32"/>
        </w:rPr>
        <w:t>t Islander</w:t>
      </w:r>
      <w:r>
        <w:rPr>
          <w:rFonts w:ascii="Segoe UI Light"/>
          <w:b w:val="0"/>
          <w:color w:val="FFFFFF"/>
          <w:spacing w:val="-1"/>
          <w:sz w:val="32"/>
        </w:rPr>
        <w:t> students</w:t>
      </w:r>
      <w:r>
        <w:rPr>
          <w:rFonts w:ascii="Segoe UI Light"/>
          <w:b w:val="0"/>
          <w:color w:val="FFFFFF"/>
          <w:spacing w:val="-1"/>
          <w:sz w:val="32"/>
        </w:rPr>
        <w:t> attending</w:t>
      </w:r>
      <w:r>
        <w:rPr>
          <w:rFonts w:ascii="Segoe UI Light"/>
          <w:b w:val="0"/>
          <w:color w:val="FFFFFF"/>
          <w:sz w:val="32"/>
        </w:rPr>
        <w:t> </w:t>
      </w:r>
      <w:r>
        <w:rPr>
          <w:rFonts w:ascii="Segoe UI Light"/>
          <w:b w:val="0"/>
          <w:color w:val="FFFFFF"/>
          <w:spacing w:val="-2"/>
          <w:sz w:val="32"/>
        </w:rPr>
        <w:t>boarding</w:t>
      </w:r>
      <w:r>
        <w:rPr>
          <w:rFonts w:ascii="Segoe UI Light"/>
          <w:b w:val="0"/>
          <w:color w:val="FFFFFF"/>
          <w:sz w:val="32"/>
        </w:rPr>
        <w:t> </w:t>
      </w:r>
      <w:r>
        <w:rPr>
          <w:rFonts w:ascii="Segoe UI Light"/>
          <w:b w:val="0"/>
          <w:color w:val="FFFFFF"/>
          <w:spacing w:val="-1"/>
          <w:sz w:val="32"/>
        </w:rPr>
        <w:t>schools</w:t>
      </w:r>
      <w:r>
        <w:rPr>
          <w:rFonts w:ascii="Segoe UI Light"/>
          <w:b w:val="0"/>
          <w:color w:val="FFFFFF"/>
          <w:sz w:val="32"/>
        </w:rPr>
        <w:t> </w:t>
      </w:r>
      <w:r>
        <w:rPr>
          <w:rFonts w:ascii="Segoe UI Light"/>
          <w:b w:val="0"/>
          <w:color w:val="FFFFFF"/>
          <w:spacing w:val="-1"/>
          <w:sz w:val="32"/>
        </w:rPr>
        <w:t>and</w:t>
      </w:r>
      <w:r>
        <w:rPr>
          <w:rFonts w:ascii="Segoe UI Light"/>
          <w:b w:val="0"/>
          <w:color w:val="FFFFFF"/>
          <w:sz w:val="32"/>
        </w:rPr>
        <w:t> facilities</w:t>
      </w:r>
      <w:r>
        <w:rPr>
          <w:rFonts w:ascii="Segoe UI Light"/>
          <w:sz w:val="32"/>
        </w:rPr>
      </w:r>
    </w:p>
    <w:p>
      <w:pPr>
        <w:spacing w:line="240" w:lineRule="auto" w:before="8"/>
        <w:rPr>
          <w:rFonts w:ascii="Segoe UI Light" w:hAnsi="Segoe UI Light" w:cs="Segoe UI Light" w:eastAsia="Segoe UI Light"/>
          <w:b w:val="0"/>
          <w:bCs w:val="0"/>
          <w:sz w:val="29"/>
          <w:szCs w:val="29"/>
        </w:rPr>
      </w:pPr>
    </w:p>
    <w:p>
      <w:pPr>
        <w:spacing w:before="14"/>
        <w:ind w:left="2887" w:right="0" w:firstLine="0"/>
        <w:jc w:val="left"/>
        <w:rPr>
          <w:rFonts w:ascii="Segoe UI Light" w:hAnsi="Segoe UI Light" w:cs="Segoe UI Light" w:eastAsia="Segoe UI Light"/>
          <w:sz w:val="32"/>
          <w:szCs w:val="32"/>
        </w:rPr>
      </w:pPr>
      <w:r>
        <w:rPr/>
        <w:pict>
          <v:shapetype id="_x0000_t202" o:spt="202" coordsize="21600,21600" path="m,l,21600r21600,l21600,xe">
            <v:stroke joinstyle="miter"/>
            <v:path gradientshapeok="t" o:connecttype="rect"/>
          </v:shapetype>
          <v:shape style="position:absolute;margin-left:219.684998pt;margin-top:107.656021pt;width:318.9pt;height:26.25pt;mso-position-horizontal-relative:page;mso-position-vertical-relative:paragraph;z-index:-229144" type="#_x0000_t202" filled="false" stroked="false">
            <v:textbox inset="0,0,0,0">
              <w:txbxContent>
                <w:p>
                  <w:pPr>
                    <w:spacing w:before="101"/>
                    <w:ind w:left="161" w:right="0" w:firstLine="0"/>
                    <w:jc w:val="left"/>
                    <w:rPr>
                      <w:rFonts w:ascii="Segoe UI" w:hAnsi="Segoe UI" w:cs="Segoe UI" w:eastAsia="Segoe UI"/>
                      <w:sz w:val="16"/>
                      <w:szCs w:val="16"/>
                    </w:rPr>
                  </w:pPr>
                  <w:r>
                    <w:rPr>
                      <w:rFonts w:ascii="Segoe UI"/>
                      <w:color w:val="808285"/>
                      <w:spacing w:val="-1"/>
                      <w:sz w:val="16"/>
                    </w:rPr>
                    <w:t>Boarding:</w:t>
                  </w:r>
                  <w:r>
                    <w:rPr>
                      <w:rFonts w:ascii="Segoe UI"/>
                      <w:color w:val="808285"/>
                      <w:spacing w:val="-3"/>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2"/>
                      <w:sz w:val="16"/>
                    </w:rPr>
                    <w:t> </w:t>
                  </w:r>
                  <w:r>
                    <w:rPr>
                      <w:rFonts w:ascii="Segoe UI"/>
                      <w:color w:val="808285"/>
                      <w:sz w:val="16"/>
                    </w:rPr>
                    <w:t>outcomes</w:t>
                  </w:r>
                  <w:r>
                    <w:rPr>
                      <w:rFonts w:ascii="Segoe UI"/>
                      <w:color w:val="808285"/>
                      <w:spacing w:val="-4"/>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2"/>
                      <w:sz w:val="16"/>
                    </w:rPr>
                    <w:t> </w:t>
                  </w:r>
                  <w:r>
                    <w:rPr>
                      <w:rFonts w:ascii="Segoe UI"/>
                      <w:color w:val="808285"/>
                      <w:sz w:val="16"/>
                    </w:rPr>
                    <w:t>and</w:t>
                  </w:r>
                  <w:r>
                    <w:rPr>
                      <w:rFonts w:ascii="Segoe UI"/>
                      <w:color w:val="808285"/>
                      <w:spacing w:val="-4"/>
                      <w:sz w:val="16"/>
                    </w:rPr>
                    <w:t> </w:t>
                  </w:r>
                  <w:r>
                    <w:rPr>
                      <w:rFonts w:ascii="Segoe UI"/>
                      <w:color w:val="808285"/>
                      <w:spacing w:val="-3"/>
                      <w:sz w:val="16"/>
                    </w:rPr>
                    <w:t>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color w:val="808285"/>
                      <w:spacing w:val="-2"/>
                      <w:sz w:val="16"/>
                    </w:rPr>
                    <w:t> </w:t>
                  </w:r>
                  <w:r>
                    <w:rPr>
                      <w:rFonts w:ascii="Segoe UI"/>
                      <w:color w:val="808285"/>
                      <w:sz w:val="16"/>
                    </w:rPr>
                    <w:t>|</w:t>
                  </w:r>
                  <w:r>
                    <w:rPr>
                      <w:rFonts w:ascii="Segoe UI"/>
                      <w:color w:val="808285"/>
                      <w:spacing w:val="-4"/>
                      <w:sz w:val="16"/>
                    </w:rPr>
                    <w:t> </w:t>
                  </w:r>
                  <w:r>
                    <w:rPr>
                      <w:rFonts w:ascii="Segoe UI"/>
                      <w:b/>
                      <w:color w:val="808285"/>
                      <w:sz w:val="16"/>
                    </w:rPr>
                    <w:t>1</w:t>
                  </w:r>
                  <w:r>
                    <w:rPr>
                      <w:rFonts w:ascii="Segoe UI"/>
                      <w:sz w:val="16"/>
                    </w:rPr>
                  </w:r>
                </w:p>
              </w:txbxContent>
            </v:textbox>
            <w10:wrap type="none"/>
          </v:shape>
        </w:pict>
      </w:r>
      <w:r>
        <w:rPr>
          <w:rFonts w:ascii="Segoe UI Light"/>
          <w:b w:val="0"/>
          <w:color w:val="666155"/>
          <w:spacing w:val="-1"/>
          <w:sz w:val="32"/>
        </w:rPr>
        <w:t>June</w:t>
      </w:r>
      <w:r>
        <w:rPr>
          <w:rFonts w:ascii="Segoe UI Light"/>
          <w:b w:val="0"/>
          <w:color w:val="666155"/>
          <w:sz w:val="32"/>
        </w:rPr>
        <w:t> </w:t>
      </w:r>
      <w:r>
        <w:rPr>
          <w:rFonts w:ascii="Segoe UI Light"/>
          <w:b w:val="0"/>
          <w:color w:val="666155"/>
          <w:spacing w:val="-1"/>
          <w:sz w:val="32"/>
        </w:rPr>
        <w:t>2019</w:t>
      </w:r>
      <w:r>
        <w:rPr>
          <w:rFonts w:ascii="Segoe UI Light"/>
          <w:sz w:val="32"/>
        </w:rPr>
      </w:r>
    </w:p>
    <w:p>
      <w:pPr>
        <w:spacing w:line="240" w:lineRule="auto" w:before="0"/>
        <w:rPr>
          <w:rFonts w:ascii="Segoe UI Light" w:hAnsi="Segoe UI Light" w:cs="Segoe UI Light" w:eastAsia="Segoe UI Light"/>
          <w:b w:val="0"/>
          <w:bCs w:val="0"/>
          <w:sz w:val="20"/>
          <w:szCs w:val="20"/>
        </w:rPr>
      </w:pPr>
    </w:p>
    <w:p>
      <w:pPr>
        <w:spacing w:line="240" w:lineRule="auto" w:before="0"/>
        <w:rPr>
          <w:rFonts w:ascii="Segoe UI Light" w:hAnsi="Segoe UI Light" w:cs="Segoe UI Light" w:eastAsia="Segoe UI Light"/>
          <w:b w:val="0"/>
          <w:bCs w:val="0"/>
          <w:sz w:val="20"/>
          <w:szCs w:val="20"/>
        </w:rPr>
      </w:pPr>
    </w:p>
    <w:p>
      <w:pPr>
        <w:spacing w:line="240" w:lineRule="auto" w:before="0"/>
        <w:rPr>
          <w:rFonts w:ascii="Segoe UI Light" w:hAnsi="Segoe UI Light" w:cs="Segoe UI Light" w:eastAsia="Segoe UI Light"/>
          <w:b w:val="0"/>
          <w:bCs w:val="0"/>
          <w:sz w:val="20"/>
          <w:szCs w:val="20"/>
        </w:rPr>
      </w:pPr>
    </w:p>
    <w:p>
      <w:pPr>
        <w:spacing w:line="240" w:lineRule="auto" w:before="0"/>
        <w:rPr>
          <w:rFonts w:ascii="Segoe UI Light" w:hAnsi="Segoe UI Light" w:cs="Segoe UI Light" w:eastAsia="Segoe UI Light"/>
          <w:b w:val="0"/>
          <w:bCs w:val="0"/>
          <w:sz w:val="20"/>
          <w:szCs w:val="20"/>
        </w:rPr>
      </w:pPr>
    </w:p>
    <w:p>
      <w:pPr>
        <w:spacing w:line="240" w:lineRule="auto" w:before="0"/>
        <w:rPr>
          <w:rFonts w:ascii="Segoe UI Light" w:hAnsi="Segoe UI Light" w:cs="Segoe UI Light" w:eastAsia="Segoe UI Light"/>
          <w:b w:val="0"/>
          <w:bCs w:val="0"/>
          <w:sz w:val="20"/>
          <w:szCs w:val="20"/>
        </w:rPr>
      </w:pPr>
    </w:p>
    <w:p>
      <w:pPr>
        <w:spacing w:line="240" w:lineRule="auto" w:before="11"/>
        <w:rPr>
          <w:rFonts w:ascii="Segoe UI Light" w:hAnsi="Segoe UI Light" w:cs="Segoe UI Light" w:eastAsia="Segoe UI Light"/>
          <w:b w:val="0"/>
          <w:bCs w:val="0"/>
          <w:sz w:val="28"/>
          <w:szCs w:val="28"/>
        </w:rPr>
      </w:pPr>
    </w:p>
    <w:p>
      <w:pPr>
        <w:spacing w:line="200" w:lineRule="atLeast"/>
        <w:ind w:left="2713" w:right="0" w:firstLine="0"/>
        <w:rPr>
          <w:rFonts w:ascii="Segoe UI Light" w:hAnsi="Segoe UI Light" w:cs="Segoe UI Light" w:eastAsia="Segoe UI Light"/>
          <w:sz w:val="20"/>
          <w:szCs w:val="20"/>
        </w:rPr>
      </w:pPr>
      <w:r>
        <w:rPr>
          <w:rFonts w:ascii="Segoe UI Light" w:hAnsi="Segoe UI Light" w:cs="Segoe UI Light" w:eastAsia="Segoe UI Light"/>
          <w:sz w:val="20"/>
          <w:szCs w:val="20"/>
        </w:rPr>
        <w:pict>
          <v:group style="width:318.9pt;height:26.25pt;mso-position-horizontal-relative:char;mso-position-vertical-relative:line" coordorigin="0,0" coordsize="6378,525">
            <v:group style="position:absolute;left:0;top:0;width:6378;height:525" coordorigin="0,0" coordsize="6378,525">
              <v:shape style="position:absolute;left:0;top:0;width:6378;height:525" coordorigin="0,0" coordsize="6378,525" path="m0,524l6378,524,6378,0,0,0,0,524xe" filled="true" fillcolor="#ffffff" stroked="false">
                <v:path arrowok="t"/>
                <v:fill type="solid"/>
              </v:shape>
            </v:group>
          </v:group>
        </w:pict>
      </w:r>
      <w:r>
        <w:rPr>
          <w:rFonts w:ascii="Segoe UI Light" w:hAnsi="Segoe UI Light" w:cs="Segoe UI Light" w:eastAsia="Segoe UI Light"/>
          <w:sz w:val="20"/>
          <w:szCs w:val="20"/>
        </w:rPr>
      </w:r>
    </w:p>
    <w:p>
      <w:pPr>
        <w:spacing w:after="0" w:line="200" w:lineRule="atLeast"/>
        <w:rPr>
          <w:rFonts w:ascii="Segoe UI Light" w:hAnsi="Segoe UI Light" w:cs="Segoe UI Light" w:eastAsia="Segoe UI Light"/>
          <w:sz w:val="20"/>
          <w:szCs w:val="20"/>
        </w:rPr>
        <w:sectPr>
          <w:type w:val="continuous"/>
          <w:pgSz w:w="11910" w:h="16840"/>
          <w:pgMar w:top="1580" w:bottom="280" w:left="1680" w:right="1020"/>
        </w:sectPr>
      </w:pPr>
    </w:p>
    <w:p>
      <w:pPr>
        <w:spacing w:line="240" w:lineRule="auto" w:before="0"/>
        <w:rPr>
          <w:rFonts w:ascii="Segoe UI Light" w:hAnsi="Segoe UI Light" w:cs="Segoe UI Light" w:eastAsia="Segoe UI Light"/>
          <w:b w:val="0"/>
          <w:bCs w:val="0"/>
          <w:sz w:val="20"/>
          <w:szCs w:val="20"/>
        </w:rPr>
      </w:pPr>
    </w:p>
    <w:p>
      <w:pPr>
        <w:spacing w:line="240" w:lineRule="auto" w:before="0"/>
        <w:rPr>
          <w:rFonts w:ascii="Segoe UI Light" w:hAnsi="Segoe UI Light" w:cs="Segoe UI Light" w:eastAsia="Segoe UI Light"/>
          <w:b w:val="0"/>
          <w:bCs w:val="0"/>
          <w:sz w:val="20"/>
          <w:szCs w:val="20"/>
        </w:rPr>
      </w:pPr>
    </w:p>
    <w:p>
      <w:pPr>
        <w:spacing w:line="240" w:lineRule="auto" w:before="0"/>
        <w:rPr>
          <w:rFonts w:ascii="Segoe UI Light" w:hAnsi="Segoe UI Light" w:cs="Segoe UI Light" w:eastAsia="Segoe UI Light"/>
          <w:b w:val="0"/>
          <w:bCs w:val="0"/>
          <w:sz w:val="20"/>
          <w:szCs w:val="20"/>
        </w:rPr>
      </w:pPr>
    </w:p>
    <w:p>
      <w:pPr>
        <w:spacing w:line="240" w:lineRule="auto" w:before="0"/>
        <w:rPr>
          <w:rFonts w:ascii="Segoe UI Light" w:hAnsi="Segoe UI Light" w:cs="Segoe UI Light" w:eastAsia="Segoe UI Light"/>
          <w:b w:val="0"/>
          <w:bCs w:val="0"/>
          <w:sz w:val="20"/>
          <w:szCs w:val="20"/>
        </w:rPr>
      </w:pPr>
    </w:p>
    <w:p>
      <w:pPr>
        <w:spacing w:line="240" w:lineRule="auto" w:before="0"/>
        <w:rPr>
          <w:rFonts w:ascii="Segoe UI Light" w:hAnsi="Segoe UI Light" w:cs="Segoe UI Light" w:eastAsia="Segoe UI Light"/>
          <w:b w:val="0"/>
          <w:bCs w:val="0"/>
          <w:sz w:val="20"/>
          <w:szCs w:val="20"/>
        </w:rPr>
      </w:pPr>
    </w:p>
    <w:p>
      <w:pPr>
        <w:spacing w:line="240" w:lineRule="auto" w:before="0"/>
        <w:rPr>
          <w:rFonts w:ascii="Segoe UI Light" w:hAnsi="Segoe UI Light" w:cs="Segoe UI Light" w:eastAsia="Segoe UI Light"/>
          <w:b w:val="0"/>
          <w:bCs w:val="0"/>
          <w:sz w:val="20"/>
          <w:szCs w:val="20"/>
        </w:rPr>
      </w:pPr>
    </w:p>
    <w:p>
      <w:pPr>
        <w:spacing w:line="240" w:lineRule="auto" w:before="0"/>
        <w:rPr>
          <w:rFonts w:ascii="Segoe UI Light" w:hAnsi="Segoe UI Light" w:cs="Segoe UI Light" w:eastAsia="Segoe UI Light"/>
          <w:b w:val="0"/>
          <w:bCs w:val="0"/>
          <w:sz w:val="20"/>
          <w:szCs w:val="20"/>
        </w:rPr>
      </w:pPr>
    </w:p>
    <w:p>
      <w:pPr>
        <w:spacing w:line="240" w:lineRule="auto" w:before="0"/>
        <w:rPr>
          <w:rFonts w:ascii="Segoe UI Light" w:hAnsi="Segoe UI Light" w:cs="Segoe UI Light" w:eastAsia="Segoe UI Light"/>
          <w:b w:val="0"/>
          <w:bCs w:val="0"/>
          <w:sz w:val="20"/>
          <w:szCs w:val="20"/>
        </w:rPr>
      </w:pPr>
    </w:p>
    <w:p>
      <w:pPr>
        <w:spacing w:line="240" w:lineRule="auto" w:before="0"/>
        <w:rPr>
          <w:rFonts w:ascii="Segoe UI Light" w:hAnsi="Segoe UI Light" w:cs="Segoe UI Light" w:eastAsia="Segoe UI Light"/>
          <w:b w:val="0"/>
          <w:bCs w:val="0"/>
          <w:sz w:val="20"/>
          <w:szCs w:val="20"/>
        </w:rPr>
      </w:pPr>
    </w:p>
    <w:p>
      <w:pPr>
        <w:spacing w:line="240" w:lineRule="auto" w:before="0"/>
        <w:rPr>
          <w:rFonts w:ascii="Segoe UI Light" w:hAnsi="Segoe UI Light" w:cs="Segoe UI Light" w:eastAsia="Segoe UI Light"/>
          <w:b w:val="0"/>
          <w:bCs w:val="0"/>
          <w:sz w:val="20"/>
          <w:szCs w:val="20"/>
        </w:rPr>
      </w:pPr>
    </w:p>
    <w:p>
      <w:pPr>
        <w:spacing w:line="240" w:lineRule="auto" w:before="0"/>
        <w:rPr>
          <w:rFonts w:ascii="Segoe UI Light" w:hAnsi="Segoe UI Light" w:cs="Segoe UI Light" w:eastAsia="Segoe UI Light"/>
          <w:b w:val="0"/>
          <w:bCs w:val="0"/>
          <w:sz w:val="20"/>
          <w:szCs w:val="20"/>
        </w:rPr>
      </w:pPr>
    </w:p>
    <w:p>
      <w:pPr>
        <w:spacing w:line="240" w:lineRule="auto" w:before="0"/>
        <w:rPr>
          <w:rFonts w:ascii="Segoe UI Light" w:hAnsi="Segoe UI Light" w:cs="Segoe UI Light" w:eastAsia="Segoe UI Light"/>
          <w:b w:val="0"/>
          <w:bCs w:val="0"/>
          <w:sz w:val="20"/>
          <w:szCs w:val="20"/>
        </w:rPr>
      </w:pPr>
    </w:p>
    <w:p>
      <w:pPr>
        <w:spacing w:line="240" w:lineRule="auto" w:before="0"/>
        <w:rPr>
          <w:rFonts w:ascii="Segoe UI Light" w:hAnsi="Segoe UI Light" w:cs="Segoe UI Light" w:eastAsia="Segoe UI Light"/>
          <w:b w:val="0"/>
          <w:bCs w:val="0"/>
          <w:sz w:val="20"/>
          <w:szCs w:val="20"/>
        </w:rPr>
      </w:pPr>
    </w:p>
    <w:p>
      <w:pPr>
        <w:spacing w:line="240" w:lineRule="auto" w:before="0"/>
        <w:rPr>
          <w:rFonts w:ascii="Segoe UI Light" w:hAnsi="Segoe UI Light" w:cs="Segoe UI Light" w:eastAsia="Segoe UI Light"/>
          <w:b w:val="0"/>
          <w:bCs w:val="0"/>
          <w:sz w:val="20"/>
          <w:szCs w:val="20"/>
        </w:rPr>
      </w:pPr>
    </w:p>
    <w:p>
      <w:pPr>
        <w:spacing w:line="240" w:lineRule="auto" w:before="0"/>
        <w:rPr>
          <w:rFonts w:ascii="Segoe UI Light" w:hAnsi="Segoe UI Light" w:cs="Segoe UI Light" w:eastAsia="Segoe UI Light"/>
          <w:b w:val="0"/>
          <w:bCs w:val="0"/>
          <w:sz w:val="20"/>
          <w:szCs w:val="20"/>
        </w:rPr>
      </w:pPr>
    </w:p>
    <w:p>
      <w:pPr>
        <w:spacing w:line="240" w:lineRule="auto" w:before="0"/>
        <w:rPr>
          <w:rFonts w:ascii="Segoe UI Light" w:hAnsi="Segoe UI Light" w:cs="Segoe UI Light" w:eastAsia="Segoe UI Light"/>
          <w:b w:val="0"/>
          <w:bCs w:val="0"/>
          <w:sz w:val="20"/>
          <w:szCs w:val="20"/>
        </w:rPr>
      </w:pPr>
    </w:p>
    <w:p>
      <w:pPr>
        <w:spacing w:line="240" w:lineRule="auto" w:before="0"/>
        <w:rPr>
          <w:rFonts w:ascii="Segoe UI Light" w:hAnsi="Segoe UI Light" w:cs="Segoe UI Light" w:eastAsia="Segoe UI Light"/>
          <w:b w:val="0"/>
          <w:bCs w:val="0"/>
          <w:sz w:val="20"/>
          <w:szCs w:val="20"/>
        </w:rPr>
      </w:pPr>
    </w:p>
    <w:p>
      <w:pPr>
        <w:spacing w:line="240" w:lineRule="auto" w:before="0"/>
        <w:rPr>
          <w:rFonts w:ascii="Segoe UI Light" w:hAnsi="Segoe UI Light" w:cs="Segoe UI Light" w:eastAsia="Segoe UI Light"/>
          <w:b w:val="0"/>
          <w:bCs w:val="0"/>
          <w:sz w:val="20"/>
          <w:szCs w:val="20"/>
        </w:rPr>
      </w:pPr>
    </w:p>
    <w:p>
      <w:pPr>
        <w:spacing w:line="240" w:lineRule="auto" w:before="0"/>
        <w:rPr>
          <w:rFonts w:ascii="Segoe UI Light" w:hAnsi="Segoe UI Light" w:cs="Segoe UI Light" w:eastAsia="Segoe UI Light"/>
          <w:b w:val="0"/>
          <w:bCs w:val="0"/>
          <w:sz w:val="20"/>
          <w:szCs w:val="20"/>
        </w:rPr>
      </w:pPr>
    </w:p>
    <w:p>
      <w:pPr>
        <w:spacing w:line="240" w:lineRule="auto" w:before="0"/>
        <w:rPr>
          <w:rFonts w:ascii="Segoe UI Light" w:hAnsi="Segoe UI Light" w:cs="Segoe UI Light" w:eastAsia="Segoe UI Light"/>
          <w:b w:val="0"/>
          <w:bCs w:val="0"/>
          <w:sz w:val="20"/>
          <w:szCs w:val="20"/>
        </w:rPr>
      </w:pPr>
    </w:p>
    <w:p>
      <w:pPr>
        <w:spacing w:line="240" w:lineRule="auto" w:before="0"/>
        <w:rPr>
          <w:rFonts w:ascii="Segoe UI Light" w:hAnsi="Segoe UI Light" w:cs="Segoe UI Light" w:eastAsia="Segoe UI Light"/>
          <w:b w:val="0"/>
          <w:bCs w:val="0"/>
          <w:sz w:val="20"/>
          <w:szCs w:val="20"/>
        </w:rPr>
      </w:pPr>
    </w:p>
    <w:p>
      <w:pPr>
        <w:spacing w:line="240" w:lineRule="auto" w:before="0"/>
        <w:rPr>
          <w:rFonts w:ascii="Segoe UI Light" w:hAnsi="Segoe UI Light" w:cs="Segoe UI Light" w:eastAsia="Segoe UI Light"/>
          <w:b w:val="0"/>
          <w:bCs w:val="0"/>
          <w:sz w:val="20"/>
          <w:szCs w:val="20"/>
        </w:rPr>
      </w:pPr>
    </w:p>
    <w:p>
      <w:pPr>
        <w:spacing w:line="240" w:lineRule="auto" w:before="0"/>
        <w:rPr>
          <w:rFonts w:ascii="Segoe UI Light" w:hAnsi="Segoe UI Light" w:cs="Segoe UI Light" w:eastAsia="Segoe UI Light"/>
          <w:b w:val="0"/>
          <w:bCs w:val="0"/>
          <w:sz w:val="20"/>
          <w:szCs w:val="20"/>
        </w:rPr>
      </w:pPr>
    </w:p>
    <w:p>
      <w:pPr>
        <w:spacing w:line="240" w:lineRule="auto" w:before="0"/>
        <w:rPr>
          <w:rFonts w:ascii="Segoe UI Light" w:hAnsi="Segoe UI Light" w:cs="Segoe UI Light" w:eastAsia="Segoe UI Light"/>
          <w:b w:val="0"/>
          <w:bCs w:val="0"/>
          <w:sz w:val="20"/>
          <w:szCs w:val="20"/>
        </w:rPr>
      </w:pPr>
    </w:p>
    <w:p>
      <w:pPr>
        <w:spacing w:line="240" w:lineRule="auto" w:before="0"/>
        <w:rPr>
          <w:rFonts w:ascii="Segoe UI Light" w:hAnsi="Segoe UI Light" w:cs="Segoe UI Light" w:eastAsia="Segoe UI Light"/>
          <w:b w:val="0"/>
          <w:bCs w:val="0"/>
          <w:sz w:val="20"/>
          <w:szCs w:val="20"/>
        </w:rPr>
      </w:pPr>
    </w:p>
    <w:p>
      <w:pPr>
        <w:spacing w:line="240" w:lineRule="auto" w:before="0"/>
        <w:rPr>
          <w:rFonts w:ascii="Segoe UI Light" w:hAnsi="Segoe UI Light" w:cs="Segoe UI Light" w:eastAsia="Segoe UI Light"/>
          <w:b w:val="0"/>
          <w:bCs w:val="0"/>
          <w:sz w:val="20"/>
          <w:szCs w:val="20"/>
        </w:rPr>
      </w:pPr>
    </w:p>
    <w:p>
      <w:pPr>
        <w:spacing w:line="240" w:lineRule="auto" w:before="0"/>
        <w:rPr>
          <w:rFonts w:ascii="Segoe UI Light" w:hAnsi="Segoe UI Light" w:cs="Segoe UI Light" w:eastAsia="Segoe UI Light"/>
          <w:b w:val="0"/>
          <w:bCs w:val="0"/>
          <w:sz w:val="20"/>
          <w:szCs w:val="20"/>
        </w:rPr>
      </w:pPr>
    </w:p>
    <w:p>
      <w:pPr>
        <w:spacing w:line="240" w:lineRule="auto" w:before="0"/>
        <w:rPr>
          <w:rFonts w:ascii="Segoe UI Light" w:hAnsi="Segoe UI Light" w:cs="Segoe UI Light" w:eastAsia="Segoe UI Light"/>
          <w:b w:val="0"/>
          <w:bCs w:val="0"/>
          <w:sz w:val="20"/>
          <w:szCs w:val="20"/>
        </w:rPr>
      </w:pPr>
    </w:p>
    <w:p>
      <w:pPr>
        <w:spacing w:line="240" w:lineRule="auto" w:before="0"/>
        <w:rPr>
          <w:rFonts w:ascii="Segoe UI Light" w:hAnsi="Segoe UI Light" w:cs="Segoe UI Light" w:eastAsia="Segoe UI Light"/>
          <w:b w:val="0"/>
          <w:bCs w:val="0"/>
          <w:sz w:val="20"/>
          <w:szCs w:val="20"/>
        </w:rPr>
      </w:pPr>
    </w:p>
    <w:p>
      <w:pPr>
        <w:spacing w:line="240" w:lineRule="auto" w:before="1"/>
        <w:rPr>
          <w:rFonts w:ascii="Segoe UI Light" w:hAnsi="Segoe UI Light" w:cs="Segoe UI Light" w:eastAsia="Segoe UI Light"/>
          <w:b w:val="0"/>
          <w:bCs w:val="0"/>
          <w:sz w:val="16"/>
          <w:szCs w:val="16"/>
        </w:rPr>
      </w:pPr>
    </w:p>
    <w:p>
      <w:pPr>
        <w:spacing w:before="57"/>
        <w:ind w:left="117" w:right="0" w:firstLine="0"/>
        <w:jc w:val="left"/>
        <w:rPr>
          <w:rFonts w:ascii="Segoe UI Semibold" w:hAnsi="Segoe UI Semibold" w:cs="Segoe UI Semibold" w:eastAsia="Segoe UI Semibold"/>
          <w:sz w:val="16"/>
          <w:szCs w:val="16"/>
        </w:rPr>
      </w:pPr>
      <w:r>
        <w:rPr>
          <w:rFonts w:ascii="Segoe UI Semibold"/>
          <w:b/>
          <w:color w:val="00779B"/>
          <w:spacing w:val="-1"/>
          <w:sz w:val="16"/>
        </w:rPr>
        <w:t>Acknowledgements</w:t>
      </w:r>
      <w:r>
        <w:rPr>
          <w:rFonts w:ascii="Segoe UI Semibold"/>
          <w:sz w:val="16"/>
        </w:rPr>
      </w:r>
    </w:p>
    <w:p>
      <w:pPr>
        <w:spacing w:line="200" w:lineRule="exact" w:before="85"/>
        <w:ind w:left="117" w:right="662" w:firstLine="0"/>
        <w:jc w:val="left"/>
        <w:rPr>
          <w:rFonts w:ascii="Segoe UI" w:hAnsi="Segoe UI" w:cs="Segoe UI" w:eastAsia="Segoe UI"/>
          <w:sz w:val="16"/>
          <w:szCs w:val="16"/>
        </w:rPr>
      </w:pPr>
      <w:r>
        <w:rPr>
          <w:rFonts w:ascii="Segoe UI"/>
          <w:color w:val="231F20"/>
          <w:sz w:val="16"/>
        </w:rPr>
        <w:t>Grant</w:t>
      </w:r>
      <w:r>
        <w:rPr>
          <w:rFonts w:ascii="Segoe UI"/>
          <w:color w:val="231F20"/>
          <w:spacing w:val="-1"/>
          <w:sz w:val="16"/>
        </w:rPr>
        <w:t> </w:t>
      </w:r>
      <w:r>
        <w:rPr>
          <w:rFonts w:ascii="Segoe UI"/>
          <w:color w:val="231F20"/>
          <w:sz w:val="16"/>
        </w:rPr>
        <w:t>Thornton acknowledges the contribution of the boarding providers, parents,</w:t>
      </w:r>
      <w:r>
        <w:rPr>
          <w:rFonts w:ascii="Segoe UI"/>
          <w:color w:val="231F20"/>
          <w:spacing w:val="-1"/>
          <w:sz w:val="16"/>
        </w:rPr>
        <w:t> </w:t>
      </w:r>
      <w:r>
        <w:rPr>
          <w:rFonts w:ascii="Segoe UI"/>
          <w:color w:val="231F20"/>
          <w:sz w:val="16"/>
        </w:rPr>
        <w:t>students, principals, </w:t>
      </w:r>
      <w:r>
        <w:rPr>
          <w:rFonts w:ascii="Segoe UI"/>
          <w:color w:val="231F20"/>
          <w:spacing w:val="-1"/>
          <w:sz w:val="16"/>
        </w:rPr>
        <w:t>staff,</w:t>
      </w:r>
      <w:r>
        <w:rPr>
          <w:rFonts w:ascii="Segoe UI"/>
          <w:color w:val="231F20"/>
          <w:sz w:val="16"/>
        </w:rPr>
        <w:t> peak</w:t>
      </w:r>
      <w:r>
        <w:rPr>
          <w:rFonts w:ascii="Segoe UI"/>
          <w:color w:val="231F20"/>
          <w:spacing w:val="24"/>
          <w:sz w:val="16"/>
        </w:rPr>
        <w:t> </w:t>
      </w:r>
      <w:r>
        <w:rPr>
          <w:rFonts w:ascii="Segoe UI"/>
          <w:color w:val="231F20"/>
          <w:sz w:val="16"/>
        </w:rPr>
        <w:t>bodies</w:t>
      </w:r>
      <w:r>
        <w:rPr>
          <w:rFonts w:ascii="Segoe UI"/>
          <w:color w:val="231F20"/>
          <w:spacing w:val="-5"/>
          <w:sz w:val="16"/>
        </w:rPr>
        <w:t> </w:t>
      </w:r>
      <w:r>
        <w:rPr>
          <w:rFonts w:ascii="Segoe UI"/>
          <w:color w:val="231F20"/>
          <w:sz w:val="16"/>
        </w:rPr>
        <w:t>and</w:t>
      </w:r>
      <w:r>
        <w:rPr>
          <w:rFonts w:ascii="Segoe UI"/>
          <w:color w:val="231F20"/>
          <w:spacing w:val="-4"/>
          <w:sz w:val="16"/>
        </w:rPr>
        <w:t> </w:t>
      </w:r>
      <w:r>
        <w:rPr>
          <w:rFonts w:ascii="Segoe UI"/>
          <w:color w:val="231F20"/>
          <w:sz w:val="16"/>
        </w:rPr>
        <w:t>government</w:t>
      </w:r>
      <w:r>
        <w:rPr>
          <w:rFonts w:ascii="Segoe UI"/>
          <w:color w:val="231F20"/>
          <w:spacing w:val="-4"/>
          <w:sz w:val="16"/>
        </w:rPr>
        <w:t> </w:t>
      </w:r>
      <w:r>
        <w:rPr>
          <w:rFonts w:ascii="Segoe UI"/>
          <w:color w:val="231F20"/>
          <w:sz w:val="16"/>
        </w:rPr>
        <w:t>agencies</w:t>
      </w:r>
      <w:r>
        <w:rPr>
          <w:rFonts w:ascii="Segoe UI"/>
          <w:color w:val="231F20"/>
          <w:spacing w:val="-4"/>
          <w:sz w:val="16"/>
        </w:rPr>
        <w:t> </w:t>
      </w:r>
      <w:r>
        <w:rPr>
          <w:rFonts w:ascii="Segoe UI"/>
          <w:color w:val="231F20"/>
          <w:sz w:val="16"/>
        </w:rPr>
        <w:t>that</w:t>
      </w:r>
      <w:r>
        <w:rPr>
          <w:rFonts w:ascii="Segoe UI"/>
          <w:color w:val="231F20"/>
          <w:spacing w:val="-4"/>
          <w:sz w:val="16"/>
        </w:rPr>
        <w:t> </w:t>
      </w:r>
      <w:r>
        <w:rPr>
          <w:rFonts w:ascii="Segoe UI"/>
          <w:color w:val="231F20"/>
          <w:sz w:val="16"/>
        </w:rPr>
        <w:t>provided</w:t>
      </w:r>
      <w:r>
        <w:rPr>
          <w:rFonts w:ascii="Segoe UI"/>
          <w:color w:val="231F20"/>
          <w:spacing w:val="-4"/>
          <w:sz w:val="16"/>
        </w:rPr>
        <w:t> </w:t>
      </w:r>
      <w:r>
        <w:rPr>
          <w:rFonts w:ascii="Segoe UI"/>
          <w:color w:val="231F20"/>
          <w:sz w:val="16"/>
        </w:rPr>
        <w:t>their</w:t>
      </w:r>
      <w:r>
        <w:rPr>
          <w:rFonts w:ascii="Segoe UI"/>
          <w:color w:val="231F20"/>
          <w:spacing w:val="-4"/>
          <w:sz w:val="16"/>
        </w:rPr>
        <w:t> </w:t>
      </w:r>
      <w:r>
        <w:rPr>
          <w:rFonts w:ascii="Segoe UI"/>
          <w:color w:val="231F20"/>
          <w:sz w:val="16"/>
        </w:rPr>
        <w:t>time</w:t>
      </w:r>
      <w:r>
        <w:rPr>
          <w:rFonts w:ascii="Segoe UI"/>
          <w:color w:val="231F20"/>
          <w:spacing w:val="-5"/>
          <w:sz w:val="16"/>
        </w:rPr>
        <w:t> </w:t>
      </w:r>
      <w:r>
        <w:rPr>
          <w:rFonts w:ascii="Segoe UI"/>
          <w:color w:val="231F20"/>
          <w:sz w:val="16"/>
        </w:rPr>
        <w:t>to</w:t>
      </w:r>
      <w:r>
        <w:rPr>
          <w:rFonts w:ascii="Segoe UI"/>
          <w:color w:val="231F20"/>
          <w:spacing w:val="-3"/>
          <w:sz w:val="16"/>
        </w:rPr>
        <w:t> </w:t>
      </w:r>
      <w:r>
        <w:rPr>
          <w:rFonts w:ascii="Segoe UI"/>
          <w:color w:val="231F20"/>
          <w:sz w:val="16"/>
        </w:rPr>
        <w:t>assist</w:t>
      </w:r>
      <w:r>
        <w:rPr>
          <w:rFonts w:ascii="Segoe UI"/>
          <w:color w:val="231F20"/>
          <w:spacing w:val="-4"/>
          <w:sz w:val="16"/>
        </w:rPr>
        <w:t> </w:t>
      </w:r>
      <w:r>
        <w:rPr>
          <w:rFonts w:ascii="Segoe UI"/>
          <w:color w:val="231F20"/>
          <w:sz w:val="16"/>
        </w:rPr>
        <w:t>with</w:t>
      </w:r>
      <w:r>
        <w:rPr>
          <w:rFonts w:ascii="Segoe UI"/>
          <w:color w:val="231F20"/>
          <w:spacing w:val="-4"/>
          <w:sz w:val="16"/>
        </w:rPr>
        <w:t> </w:t>
      </w:r>
      <w:r>
        <w:rPr>
          <w:rFonts w:ascii="Segoe UI"/>
          <w:color w:val="231F20"/>
          <w:sz w:val="16"/>
        </w:rPr>
        <w:t>this</w:t>
      </w:r>
      <w:r>
        <w:rPr>
          <w:rFonts w:ascii="Segoe UI"/>
          <w:color w:val="231F20"/>
          <w:spacing w:val="-4"/>
          <w:sz w:val="16"/>
        </w:rPr>
        <w:t> </w:t>
      </w:r>
      <w:r>
        <w:rPr>
          <w:rFonts w:ascii="Segoe UI"/>
          <w:color w:val="231F20"/>
          <w:sz w:val="16"/>
        </w:rPr>
        <w:t>report.</w:t>
      </w:r>
      <w:r>
        <w:rPr>
          <w:rFonts w:ascii="Segoe UI"/>
          <w:color w:val="231F20"/>
          <w:spacing w:val="-4"/>
          <w:sz w:val="16"/>
        </w:rPr>
        <w:t> W</w:t>
      </w:r>
      <w:r>
        <w:rPr>
          <w:rFonts w:ascii="Segoe UI"/>
          <w:color w:val="231F20"/>
          <w:spacing w:val="-5"/>
          <w:sz w:val="16"/>
        </w:rPr>
        <w:t>e</w:t>
      </w:r>
      <w:r>
        <w:rPr>
          <w:rFonts w:ascii="Segoe UI"/>
          <w:color w:val="231F20"/>
          <w:spacing w:val="-4"/>
          <w:sz w:val="16"/>
        </w:rPr>
        <w:t> </w:t>
      </w:r>
      <w:r>
        <w:rPr>
          <w:rFonts w:ascii="Segoe UI"/>
          <w:color w:val="231F20"/>
          <w:sz w:val="16"/>
        </w:rPr>
        <w:t>also</w:t>
      </w:r>
      <w:r>
        <w:rPr>
          <w:rFonts w:ascii="Segoe UI"/>
          <w:color w:val="231F20"/>
          <w:spacing w:val="-4"/>
          <w:sz w:val="16"/>
        </w:rPr>
        <w:t> </w:t>
      </w:r>
      <w:r>
        <w:rPr>
          <w:rFonts w:ascii="Segoe UI"/>
          <w:color w:val="231F20"/>
          <w:sz w:val="16"/>
        </w:rPr>
        <w:t>acknowledge</w:t>
      </w:r>
      <w:r>
        <w:rPr>
          <w:rFonts w:ascii="Segoe UI"/>
          <w:color w:val="231F20"/>
          <w:spacing w:val="-4"/>
          <w:sz w:val="16"/>
        </w:rPr>
        <w:t> </w:t>
      </w:r>
      <w:r>
        <w:rPr>
          <w:rFonts w:ascii="Segoe UI"/>
          <w:color w:val="231F20"/>
          <w:sz w:val="16"/>
        </w:rPr>
        <w:t>the</w:t>
      </w:r>
      <w:r>
        <w:rPr>
          <w:rFonts w:ascii="Segoe UI"/>
          <w:color w:val="231F20"/>
          <w:spacing w:val="20"/>
          <w:w w:val="99"/>
          <w:sz w:val="16"/>
        </w:rPr>
        <w:t> </w:t>
      </w:r>
      <w:r>
        <w:rPr>
          <w:rFonts w:ascii="Segoe UI"/>
          <w:color w:val="231F20"/>
          <w:sz w:val="16"/>
        </w:rPr>
        <w:t>traditional</w:t>
      </w:r>
      <w:r>
        <w:rPr>
          <w:rFonts w:ascii="Segoe UI"/>
          <w:color w:val="231F20"/>
          <w:spacing w:val="-5"/>
          <w:sz w:val="16"/>
        </w:rPr>
        <w:t> </w:t>
      </w:r>
      <w:r>
        <w:rPr>
          <w:rFonts w:ascii="Segoe UI"/>
          <w:color w:val="231F20"/>
          <w:sz w:val="16"/>
        </w:rPr>
        <w:t>owners</w:t>
      </w:r>
      <w:r>
        <w:rPr>
          <w:rFonts w:ascii="Segoe UI"/>
          <w:color w:val="231F20"/>
          <w:spacing w:val="-4"/>
          <w:sz w:val="16"/>
        </w:rPr>
        <w:t> </w:t>
      </w:r>
      <w:r>
        <w:rPr>
          <w:rFonts w:ascii="Segoe UI"/>
          <w:color w:val="231F20"/>
          <w:sz w:val="16"/>
        </w:rPr>
        <w:t>of</w:t>
      </w:r>
      <w:r>
        <w:rPr>
          <w:rFonts w:ascii="Segoe UI"/>
          <w:color w:val="231F20"/>
          <w:spacing w:val="-4"/>
          <w:sz w:val="16"/>
        </w:rPr>
        <w:t> </w:t>
      </w:r>
      <w:r>
        <w:rPr>
          <w:rFonts w:ascii="Segoe UI"/>
          <w:color w:val="231F20"/>
          <w:sz w:val="16"/>
        </w:rPr>
        <w:t>the</w:t>
      </w:r>
      <w:r>
        <w:rPr>
          <w:rFonts w:ascii="Segoe UI"/>
          <w:color w:val="231F20"/>
          <w:spacing w:val="-4"/>
          <w:sz w:val="16"/>
        </w:rPr>
        <w:t> </w:t>
      </w:r>
      <w:r>
        <w:rPr>
          <w:rFonts w:ascii="Segoe UI"/>
          <w:color w:val="231F20"/>
          <w:sz w:val="16"/>
        </w:rPr>
        <w:t>country</w:t>
      </w:r>
      <w:r>
        <w:rPr>
          <w:rFonts w:ascii="Segoe UI"/>
          <w:color w:val="231F20"/>
          <w:spacing w:val="-5"/>
          <w:sz w:val="16"/>
        </w:rPr>
        <w:t> </w:t>
      </w:r>
      <w:r>
        <w:rPr>
          <w:rFonts w:ascii="Segoe UI"/>
          <w:color w:val="231F20"/>
          <w:sz w:val="16"/>
        </w:rPr>
        <w:t>on</w:t>
      </w:r>
      <w:r>
        <w:rPr>
          <w:rFonts w:ascii="Segoe UI"/>
          <w:color w:val="231F20"/>
          <w:spacing w:val="-4"/>
          <w:sz w:val="16"/>
        </w:rPr>
        <w:t> </w:t>
      </w:r>
      <w:r>
        <w:rPr>
          <w:rFonts w:ascii="Segoe UI"/>
          <w:color w:val="231F20"/>
          <w:sz w:val="16"/>
        </w:rPr>
        <w:t>which</w:t>
      </w:r>
      <w:r>
        <w:rPr>
          <w:rFonts w:ascii="Segoe UI"/>
          <w:color w:val="231F20"/>
          <w:spacing w:val="-4"/>
          <w:sz w:val="16"/>
        </w:rPr>
        <w:t> </w:t>
      </w:r>
      <w:r>
        <w:rPr>
          <w:rFonts w:ascii="Segoe UI"/>
          <w:color w:val="231F20"/>
          <w:sz w:val="16"/>
        </w:rPr>
        <w:t>the</w:t>
      </w:r>
      <w:r>
        <w:rPr>
          <w:rFonts w:ascii="Segoe UI"/>
          <w:color w:val="231F20"/>
          <w:spacing w:val="-5"/>
          <w:sz w:val="16"/>
        </w:rPr>
        <w:t> </w:t>
      </w:r>
      <w:r>
        <w:rPr>
          <w:rFonts w:ascii="Segoe UI"/>
          <w:color w:val="231F20"/>
          <w:sz w:val="16"/>
        </w:rPr>
        <w:t>boarding</w:t>
      </w:r>
      <w:r>
        <w:rPr>
          <w:rFonts w:ascii="Segoe UI"/>
          <w:color w:val="231F20"/>
          <w:spacing w:val="-5"/>
          <w:sz w:val="16"/>
        </w:rPr>
        <w:t> </w:t>
      </w:r>
      <w:r>
        <w:rPr>
          <w:rFonts w:ascii="Segoe UI"/>
          <w:color w:val="231F20"/>
          <w:sz w:val="16"/>
        </w:rPr>
        <w:t>facilities</w:t>
      </w:r>
      <w:r>
        <w:rPr>
          <w:rFonts w:ascii="Segoe UI"/>
          <w:color w:val="231F20"/>
          <w:spacing w:val="-4"/>
          <w:sz w:val="16"/>
        </w:rPr>
        <w:t> </w:t>
      </w:r>
      <w:r>
        <w:rPr>
          <w:rFonts w:ascii="Segoe UI"/>
          <w:color w:val="231F20"/>
          <w:sz w:val="16"/>
        </w:rPr>
        <w:t>are</w:t>
      </w:r>
      <w:r>
        <w:rPr>
          <w:rFonts w:ascii="Segoe UI"/>
          <w:color w:val="231F20"/>
          <w:spacing w:val="-5"/>
          <w:sz w:val="16"/>
        </w:rPr>
        <w:t> </w:t>
      </w:r>
      <w:r>
        <w:rPr>
          <w:rFonts w:ascii="Segoe UI"/>
          <w:color w:val="231F20"/>
          <w:spacing w:val="-1"/>
          <w:sz w:val="16"/>
        </w:rPr>
        <w:t>located</w:t>
      </w:r>
      <w:r>
        <w:rPr>
          <w:rFonts w:ascii="Segoe UI"/>
          <w:color w:val="231F20"/>
          <w:spacing w:val="-4"/>
          <w:sz w:val="16"/>
        </w:rPr>
        <w:t> </w:t>
      </w:r>
      <w:r>
        <w:rPr>
          <w:rFonts w:ascii="Segoe UI"/>
          <w:color w:val="231F20"/>
          <w:sz w:val="16"/>
        </w:rPr>
        <w:t>and</w:t>
      </w:r>
      <w:r>
        <w:rPr>
          <w:rFonts w:ascii="Segoe UI"/>
          <w:color w:val="231F20"/>
          <w:spacing w:val="-4"/>
          <w:sz w:val="16"/>
        </w:rPr>
        <w:t> </w:t>
      </w:r>
      <w:r>
        <w:rPr>
          <w:rFonts w:ascii="Segoe UI"/>
          <w:color w:val="231F20"/>
          <w:sz w:val="16"/>
        </w:rPr>
        <w:t>pay</w:t>
      </w:r>
      <w:r>
        <w:rPr>
          <w:rFonts w:ascii="Segoe UI"/>
          <w:color w:val="231F20"/>
          <w:spacing w:val="-4"/>
          <w:sz w:val="16"/>
        </w:rPr>
        <w:t> </w:t>
      </w:r>
      <w:r>
        <w:rPr>
          <w:rFonts w:ascii="Segoe UI"/>
          <w:color w:val="231F20"/>
          <w:sz w:val="16"/>
        </w:rPr>
        <w:t>our</w:t>
      </w:r>
      <w:r>
        <w:rPr>
          <w:rFonts w:ascii="Segoe UI"/>
          <w:color w:val="231F20"/>
          <w:spacing w:val="-4"/>
          <w:sz w:val="16"/>
        </w:rPr>
        <w:t> </w:t>
      </w:r>
      <w:r>
        <w:rPr>
          <w:rFonts w:ascii="Segoe UI"/>
          <w:color w:val="231F20"/>
          <w:sz w:val="16"/>
        </w:rPr>
        <w:t>respects</w:t>
      </w:r>
      <w:r>
        <w:rPr>
          <w:rFonts w:ascii="Segoe UI"/>
          <w:color w:val="231F20"/>
          <w:spacing w:val="-4"/>
          <w:sz w:val="16"/>
        </w:rPr>
        <w:t> </w:t>
      </w:r>
      <w:r>
        <w:rPr>
          <w:rFonts w:ascii="Segoe UI"/>
          <w:color w:val="231F20"/>
          <w:sz w:val="16"/>
        </w:rPr>
        <w:t>to</w:t>
      </w:r>
      <w:r>
        <w:rPr>
          <w:rFonts w:ascii="Segoe UI"/>
          <w:color w:val="231F20"/>
          <w:spacing w:val="-4"/>
          <w:sz w:val="16"/>
        </w:rPr>
        <w:t> </w:t>
      </w:r>
      <w:r>
        <w:rPr>
          <w:rFonts w:ascii="Segoe UI"/>
          <w:color w:val="231F20"/>
          <w:sz w:val="16"/>
        </w:rPr>
        <w:t>their</w:t>
      </w:r>
      <w:r>
        <w:rPr>
          <w:rFonts w:ascii="Segoe UI"/>
          <w:color w:val="231F20"/>
          <w:spacing w:val="-5"/>
          <w:sz w:val="16"/>
        </w:rPr>
        <w:t> </w:t>
      </w:r>
      <w:r>
        <w:rPr>
          <w:rFonts w:ascii="Segoe UI"/>
          <w:color w:val="231F20"/>
          <w:sz w:val="16"/>
        </w:rPr>
        <w:t>elders,</w:t>
      </w:r>
      <w:r>
        <w:rPr>
          <w:rFonts w:ascii="Segoe UI"/>
          <w:color w:val="231F20"/>
          <w:spacing w:val="22"/>
          <w:w w:val="99"/>
          <w:sz w:val="16"/>
        </w:rPr>
        <w:t> </w:t>
      </w:r>
      <w:r>
        <w:rPr>
          <w:rFonts w:ascii="Segoe UI"/>
          <w:color w:val="231F20"/>
          <w:spacing w:val="-1"/>
          <w:sz w:val="16"/>
        </w:rPr>
        <w:t>past</w:t>
      </w:r>
      <w:r>
        <w:rPr>
          <w:rFonts w:ascii="Segoe UI"/>
          <w:color w:val="231F20"/>
          <w:spacing w:val="-1"/>
          <w:sz w:val="16"/>
        </w:rPr>
        <w:t>,</w:t>
      </w:r>
      <w:r>
        <w:rPr>
          <w:rFonts w:ascii="Segoe UI"/>
          <w:color w:val="231F20"/>
          <w:spacing w:val="-3"/>
          <w:sz w:val="16"/>
        </w:rPr>
        <w:t> </w:t>
      </w:r>
      <w:r>
        <w:rPr>
          <w:rFonts w:ascii="Segoe UI"/>
          <w:color w:val="231F20"/>
          <w:sz w:val="16"/>
        </w:rPr>
        <w:t>present</w:t>
      </w:r>
      <w:r>
        <w:rPr>
          <w:rFonts w:ascii="Segoe UI"/>
          <w:color w:val="231F20"/>
          <w:spacing w:val="-4"/>
          <w:sz w:val="16"/>
        </w:rPr>
        <w:t> </w:t>
      </w:r>
      <w:r>
        <w:rPr>
          <w:rFonts w:ascii="Segoe UI"/>
          <w:color w:val="231F20"/>
          <w:sz w:val="16"/>
        </w:rPr>
        <w:t>and</w:t>
      </w:r>
      <w:r>
        <w:rPr>
          <w:rFonts w:ascii="Segoe UI"/>
          <w:color w:val="231F20"/>
          <w:spacing w:val="-3"/>
          <w:sz w:val="16"/>
        </w:rPr>
        <w:t> </w:t>
      </w:r>
      <w:r>
        <w:rPr>
          <w:rFonts w:ascii="Segoe UI"/>
          <w:color w:val="231F20"/>
          <w:spacing w:val="-1"/>
          <w:sz w:val="16"/>
        </w:rPr>
        <w:t>emerging</w:t>
      </w:r>
      <w:r>
        <w:rPr>
          <w:rFonts w:ascii="Segoe UI"/>
          <w:color w:val="231F20"/>
          <w:spacing w:val="-1"/>
          <w:sz w:val="16"/>
        </w:rPr>
        <w:t>.</w:t>
      </w:r>
      <w:r>
        <w:rPr>
          <w:rFonts w:ascii="Segoe UI"/>
          <w:sz w:val="16"/>
        </w:rPr>
      </w:r>
    </w:p>
    <w:p>
      <w:pPr>
        <w:spacing w:line="240" w:lineRule="auto" w:before="6"/>
        <w:rPr>
          <w:rFonts w:ascii="Segoe UI" w:hAnsi="Segoe UI" w:cs="Segoe UI" w:eastAsia="Segoe UI"/>
          <w:sz w:val="21"/>
          <w:szCs w:val="21"/>
        </w:rPr>
      </w:pPr>
    </w:p>
    <w:p>
      <w:pPr>
        <w:spacing w:before="0"/>
        <w:ind w:left="117" w:right="0" w:firstLine="0"/>
        <w:jc w:val="left"/>
        <w:rPr>
          <w:rFonts w:ascii="Segoe UI Semibold" w:hAnsi="Segoe UI Semibold" w:cs="Segoe UI Semibold" w:eastAsia="Segoe UI Semibold"/>
          <w:sz w:val="16"/>
          <w:szCs w:val="16"/>
        </w:rPr>
      </w:pPr>
      <w:r>
        <w:rPr>
          <w:rFonts w:ascii="Segoe UI Semibold"/>
          <w:b/>
          <w:color w:val="00779B"/>
          <w:spacing w:val="-1"/>
          <w:sz w:val="16"/>
        </w:rPr>
        <w:t>No reliance</w:t>
      </w:r>
      <w:r>
        <w:rPr>
          <w:rFonts w:ascii="Segoe UI Semibold"/>
          <w:b/>
          <w:color w:val="00779B"/>
          <w:sz w:val="16"/>
        </w:rPr>
        <w:t> </w:t>
      </w:r>
      <w:r>
        <w:rPr>
          <w:rFonts w:ascii="Segoe UI Semibold"/>
          <w:b/>
          <w:color w:val="00779B"/>
          <w:spacing w:val="-1"/>
          <w:sz w:val="16"/>
        </w:rPr>
        <w:t>unless reliance</w:t>
      </w:r>
      <w:r>
        <w:rPr>
          <w:rFonts w:ascii="Segoe UI Semibold"/>
          <w:b/>
          <w:color w:val="00779B"/>
          <w:sz w:val="16"/>
        </w:rPr>
        <w:t> </w:t>
      </w:r>
      <w:r>
        <w:rPr>
          <w:rFonts w:ascii="Segoe UI Semibold"/>
          <w:b/>
          <w:color w:val="00779B"/>
          <w:spacing w:val="-1"/>
          <w:sz w:val="16"/>
        </w:rPr>
        <w:t>letter</w:t>
      </w:r>
      <w:r>
        <w:rPr>
          <w:rFonts w:ascii="Segoe UI Semibold"/>
          <w:b/>
          <w:color w:val="00779B"/>
          <w:sz w:val="16"/>
        </w:rPr>
        <w:t> </w:t>
      </w:r>
      <w:r>
        <w:rPr>
          <w:rFonts w:ascii="Segoe UI Semibold"/>
          <w:b/>
          <w:color w:val="00779B"/>
          <w:spacing w:val="-2"/>
          <w:sz w:val="16"/>
        </w:rPr>
        <w:t>executed</w:t>
      </w:r>
      <w:r>
        <w:rPr>
          <w:rFonts w:ascii="Segoe UI Semibold"/>
          <w:sz w:val="16"/>
        </w:rPr>
      </w:r>
    </w:p>
    <w:p>
      <w:pPr>
        <w:spacing w:line="200" w:lineRule="exact" w:before="85"/>
        <w:ind w:left="117" w:right="634" w:firstLine="0"/>
        <w:jc w:val="left"/>
        <w:rPr>
          <w:rFonts w:ascii="Segoe UI" w:hAnsi="Segoe UI" w:cs="Segoe UI" w:eastAsia="Segoe UI"/>
          <w:sz w:val="16"/>
          <w:szCs w:val="16"/>
        </w:rPr>
      </w:pPr>
      <w:r>
        <w:rPr>
          <w:rFonts w:ascii="Segoe UI"/>
          <w:color w:val="231F20"/>
          <w:sz w:val="16"/>
        </w:rPr>
        <w:t>The</w:t>
      </w:r>
      <w:r>
        <w:rPr>
          <w:rFonts w:ascii="Segoe UI"/>
          <w:color w:val="231F20"/>
          <w:spacing w:val="-3"/>
          <w:sz w:val="16"/>
        </w:rPr>
        <w:t> </w:t>
      </w:r>
      <w:r>
        <w:rPr>
          <w:rFonts w:ascii="Segoe UI"/>
          <w:color w:val="231F20"/>
          <w:sz w:val="16"/>
        </w:rPr>
        <w:t>attached</w:t>
      </w:r>
      <w:r>
        <w:rPr>
          <w:rFonts w:ascii="Segoe UI"/>
          <w:color w:val="231F20"/>
          <w:spacing w:val="-4"/>
          <w:sz w:val="16"/>
        </w:rPr>
        <w:t> </w:t>
      </w:r>
      <w:r>
        <w:rPr>
          <w:rFonts w:ascii="Segoe UI"/>
          <w:color w:val="231F20"/>
          <w:sz w:val="16"/>
        </w:rPr>
        <w:t>report</w:t>
      </w:r>
      <w:r>
        <w:rPr>
          <w:rFonts w:ascii="Segoe UI"/>
          <w:color w:val="231F20"/>
          <w:spacing w:val="-4"/>
          <w:sz w:val="16"/>
        </w:rPr>
        <w:t> </w:t>
      </w:r>
      <w:r>
        <w:rPr>
          <w:rFonts w:ascii="Segoe UI"/>
          <w:color w:val="231F20"/>
          <w:spacing w:val="-1"/>
          <w:sz w:val="16"/>
        </w:rPr>
        <w:t>should</w:t>
      </w:r>
      <w:r>
        <w:rPr>
          <w:rFonts w:ascii="Segoe UI"/>
          <w:color w:val="231F20"/>
          <w:spacing w:val="-3"/>
          <w:sz w:val="16"/>
        </w:rPr>
        <w:t> </w:t>
      </w:r>
      <w:r>
        <w:rPr>
          <w:rFonts w:ascii="Segoe UI"/>
          <w:color w:val="231F20"/>
          <w:sz w:val="16"/>
        </w:rPr>
        <w:t>not</w:t>
      </w:r>
      <w:r>
        <w:rPr>
          <w:rFonts w:ascii="Segoe UI"/>
          <w:color w:val="231F20"/>
          <w:spacing w:val="-3"/>
          <w:sz w:val="16"/>
        </w:rPr>
        <w:t> </w:t>
      </w:r>
      <w:r>
        <w:rPr>
          <w:rFonts w:ascii="Segoe UI"/>
          <w:color w:val="231F20"/>
          <w:sz w:val="16"/>
        </w:rPr>
        <w:t>be</w:t>
      </w:r>
      <w:r>
        <w:rPr>
          <w:rFonts w:ascii="Segoe UI"/>
          <w:color w:val="231F20"/>
          <w:spacing w:val="-3"/>
          <w:sz w:val="16"/>
        </w:rPr>
        <w:t> </w:t>
      </w:r>
      <w:r>
        <w:rPr>
          <w:rFonts w:ascii="Segoe UI"/>
          <w:color w:val="231F20"/>
          <w:sz w:val="16"/>
        </w:rPr>
        <w:t>regarded</w:t>
      </w:r>
      <w:r>
        <w:rPr>
          <w:rFonts w:ascii="Segoe UI"/>
          <w:color w:val="231F20"/>
          <w:spacing w:val="-4"/>
          <w:sz w:val="16"/>
        </w:rPr>
        <w:t> </w:t>
      </w:r>
      <w:r>
        <w:rPr>
          <w:rFonts w:ascii="Segoe UI"/>
          <w:color w:val="231F20"/>
          <w:sz w:val="16"/>
        </w:rPr>
        <w:t>as</w:t>
      </w:r>
      <w:r>
        <w:rPr>
          <w:rFonts w:ascii="Segoe UI"/>
          <w:color w:val="231F20"/>
          <w:spacing w:val="-4"/>
          <w:sz w:val="16"/>
        </w:rPr>
        <w:t> </w:t>
      </w:r>
      <w:r>
        <w:rPr>
          <w:rFonts w:ascii="Segoe UI"/>
          <w:color w:val="231F20"/>
          <w:spacing w:val="-1"/>
          <w:sz w:val="16"/>
        </w:rPr>
        <w:t>suitable</w:t>
      </w:r>
      <w:r>
        <w:rPr>
          <w:rFonts w:ascii="Segoe UI"/>
          <w:color w:val="231F20"/>
          <w:spacing w:val="-3"/>
          <w:sz w:val="16"/>
        </w:rPr>
        <w:t> </w:t>
      </w:r>
      <w:r>
        <w:rPr>
          <w:rFonts w:ascii="Segoe UI"/>
          <w:color w:val="231F20"/>
          <w:sz w:val="16"/>
        </w:rPr>
        <w:t>for</w:t>
      </w:r>
      <w:r>
        <w:rPr>
          <w:rFonts w:ascii="Segoe UI"/>
          <w:color w:val="231F20"/>
          <w:spacing w:val="-2"/>
          <w:sz w:val="16"/>
        </w:rPr>
        <w:t> </w:t>
      </w:r>
      <w:r>
        <w:rPr>
          <w:rFonts w:ascii="Segoe UI"/>
          <w:color w:val="231F20"/>
          <w:sz w:val="16"/>
        </w:rPr>
        <w:t>use</w:t>
      </w:r>
      <w:r>
        <w:rPr>
          <w:rFonts w:ascii="Segoe UI"/>
          <w:color w:val="231F20"/>
          <w:spacing w:val="-4"/>
          <w:sz w:val="16"/>
        </w:rPr>
        <w:t> </w:t>
      </w:r>
      <w:r>
        <w:rPr>
          <w:rFonts w:ascii="Segoe UI"/>
          <w:color w:val="231F20"/>
          <w:sz w:val="16"/>
        </w:rPr>
        <w:t>by</w:t>
      </w:r>
      <w:r>
        <w:rPr>
          <w:rFonts w:ascii="Segoe UI"/>
          <w:color w:val="231F20"/>
          <w:spacing w:val="-3"/>
          <w:sz w:val="16"/>
        </w:rPr>
        <w:t> </w:t>
      </w:r>
      <w:r>
        <w:rPr>
          <w:rFonts w:ascii="Segoe UI"/>
          <w:color w:val="231F20"/>
          <w:sz w:val="16"/>
        </w:rPr>
        <w:t>any</w:t>
      </w:r>
      <w:r>
        <w:rPr>
          <w:rFonts w:ascii="Segoe UI"/>
          <w:color w:val="231F20"/>
          <w:spacing w:val="-4"/>
          <w:sz w:val="16"/>
        </w:rPr>
        <w:t> </w:t>
      </w:r>
      <w:r>
        <w:rPr>
          <w:rFonts w:ascii="Segoe UI"/>
          <w:color w:val="231F20"/>
          <w:sz w:val="16"/>
        </w:rPr>
        <w:t>party,</w:t>
      </w:r>
      <w:r>
        <w:rPr>
          <w:rFonts w:ascii="Segoe UI"/>
          <w:color w:val="231F20"/>
          <w:spacing w:val="-3"/>
          <w:sz w:val="16"/>
        </w:rPr>
        <w:t> </w:t>
      </w:r>
      <w:r>
        <w:rPr>
          <w:rFonts w:ascii="Segoe UI"/>
          <w:color w:val="231F20"/>
          <w:sz w:val="16"/>
        </w:rPr>
        <w:t>person</w:t>
      </w:r>
      <w:r>
        <w:rPr>
          <w:rFonts w:ascii="Segoe UI"/>
          <w:color w:val="231F20"/>
          <w:spacing w:val="-4"/>
          <w:sz w:val="16"/>
        </w:rPr>
        <w:t> </w:t>
      </w:r>
      <w:r>
        <w:rPr>
          <w:rFonts w:ascii="Segoe UI"/>
          <w:color w:val="231F20"/>
          <w:sz w:val="16"/>
        </w:rPr>
        <w:t>or</w:t>
      </w:r>
      <w:r>
        <w:rPr>
          <w:rFonts w:ascii="Segoe UI"/>
          <w:color w:val="231F20"/>
          <w:spacing w:val="-3"/>
          <w:sz w:val="16"/>
        </w:rPr>
        <w:t> </w:t>
      </w:r>
      <w:r>
        <w:rPr>
          <w:rFonts w:ascii="Segoe UI"/>
          <w:color w:val="231F20"/>
          <w:sz w:val="16"/>
        </w:rPr>
        <w:t>persons</w:t>
      </w:r>
      <w:r>
        <w:rPr>
          <w:rFonts w:ascii="Segoe UI"/>
          <w:color w:val="231F20"/>
          <w:spacing w:val="-4"/>
          <w:sz w:val="16"/>
        </w:rPr>
        <w:t> </w:t>
      </w:r>
      <w:r>
        <w:rPr>
          <w:rFonts w:ascii="Segoe UI"/>
          <w:color w:val="231F20"/>
          <w:sz w:val="16"/>
        </w:rPr>
        <w:t>other</w:t>
      </w:r>
      <w:r>
        <w:rPr>
          <w:rFonts w:ascii="Segoe UI"/>
          <w:color w:val="231F20"/>
          <w:spacing w:val="-3"/>
          <w:sz w:val="16"/>
        </w:rPr>
        <w:t> </w:t>
      </w:r>
      <w:r>
        <w:rPr>
          <w:rFonts w:ascii="Segoe UI"/>
          <w:color w:val="231F20"/>
          <w:sz w:val="16"/>
        </w:rPr>
        <w:t>than</w:t>
      </w:r>
      <w:r>
        <w:rPr>
          <w:rFonts w:ascii="Segoe UI"/>
          <w:color w:val="231F20"/>
          <w:spacing w:val="-3"/>
          <w:sz w:val="16"/>
        </w:rPr>
        <w:t> </w:t>
      </w:r>
      <w:r>
        <w:rPr>
          <w:rFonts w:ascii="Segoe UI"/>
          <w:color w:val="231F20"/>
          <w:sz w:val="16"/>
        </w:rPr>
        <w:t>the</w:t>
      </w:r>
      <w:r>
        <w:rPr>
          <w:rFonts w:ascii="Segoe UI"/>
          <w:color w:val="231F20"/>
          <w:spacing w:val="23"/>
          <w:w w:val="99"/>
          <w:sz w:val="16"/>
        </w:rPr>
        <w:t> </w:t>
      </w:r>
      <w:r>
        <w:rPr>
          <w:rFonts w:ascii="Segoe UI"/>
          <w:color w:val="231F20"/>
          <w:spacing w:val="-1"/>
          <w:sz w:val="16"/>
        </w:rPr>
        <w:t>Department</w:t>
      </w:r>
      <w:r>
        <w:rPr>
          <w:rFonts w:ascii="Segoe UI"/>
          <w:color w:val="231F20"/>
          <w:spacing w:val="-4"/>
          <w:sz w:val="16"/>
        </w:rPr>
        <w:t> </w:t>
      </w:r>
      <w:r>
        <w:rPr>
          <w:rFonts w:ascii="Segoe UI"/>
          <w:color w:val="231F20"/>
          <w:sz w:val="16"/>
        </w:rPr>
        <w:t>of</w:t>
      </w:r>
      <w:r>
        <w:rPr>
          <w:rFonts w:ascii="Segoe UI"/>
          <w:color w:val="231F20"/>
          <w:spacing w:val="-4"/>
          <w:sz w:val="16"/>
        </w:rPr>
        <w:t> </w:t>
      </w:r>
      <w:r>
        <w:rPr>
          <w:rFonts w:ascii="Segoe UI"/>
          <w:color w:val="231F20"/>
          <w:sz w:val="16"/>
        </w:rPr>
        <w:t>the</w:t>
      </w:r>
      <w:r>
        <w:rPr>
          <w:rFonts w:ascii="Segoe UI"/>
          <w:color w:val="231F20"/>
          <w:spacing w:val="-5"/>
          <w:sz w:val="16"/>
        </w:rPr>
        <w:t> </w:t>
      </w:r>
      <w:r>
        <w:rPr>
          <w:rFonts w:ascii="Segoe UI"/>
          <w:color w:val="231F20"/>
          <w:sz w:val="16"/>
        </w:rPr>
        <w:t>Prime</w:t>
      </w:r>
      <w:r>
        <w:rPr>
          <w:rFonts w:ascii="Segoe UI"/>
          <w:color w:val="231F20"/>
          <w:spacing w:val="-4"/>
          <w:sz w:val="16"/>
        </w:rPr>
        <w:t> </w:t>
      </w:r>
      <w:r>
        <w:rPr>
          <w:rFonts w:ascii="Segoe UI"/>
          <w:color w:val="231F20"/>
          <w:sz w:val="16"/>
        </w:rPr>
        <w:t>Minister</w:t>
      </w:r>
      <w:r>
        <w:rPr>
          <w:rFonts w:ascii="Segoe UI"/>
          <w:color w:val="231F20"/>
          <w:spacing w:val="-4"/>
          <w:sz w:val="16"/>
        </w:rPr>
        <w:t> </w:t>
      </w:r>
      <w:r>
        <w:rPr>
          <w:rFonts w:ascii="Segoe UI"/>
          <w:color w:val="231F20"/>
          <w:sz w:val="16"/>
        </w:rPr>
        <w:t>and</w:t>
      </w:r>
      <w:r>
        <w:rPr>
          <w:rFonts w:ascii="Segoe UI"/>
          <w:color w:val="231F20"/>
          <w:spacing w:val="-5"/>
          <w:sz w:val="16"/>
        </w:rPr>
        <w:t> </w:t>
      </w:r>
      <w:r>
        <w:rPr>
          <w:rFonts w:ascii="Segoe UI"/>
          <w:color w:val="231F20"/>
          <w:spacing w:val="-1"/>
          <w:sz w:val="16"/>
        </w:rPr>
        <w:t>Cabinet</w:t>
      </w:r>
      <w:r>
        <w:rPr>
          <w:rFonts w:ascii="Segoe UI"/>
          <w:color w:val="231F20"/>
          <w:spacing w:val="-4"/>
          <w:sz w:val="16"/>
        </w:rPr>
        <w:t> </w:t>
      </w:r>
      <w:r>
        <w:rPr>
          <w:rFonts w:ascii="Segoe UI"/>
          <w:color w:val="231F20"/>
          <w:sz w:val="16"/>
        </w:rPr>
        <w:t>(PM&amp;C).</w:t>
      </w:r>
      <w:r>
        <w:rPr>
          <w:rFonts w:ascii="Segoe UI"/>
          <w:sz w:val="16"/>
        </w:rPr>
      </w:r>
    </w:p>
    <w:p>
      <w:pPr>
        <w:spacing w:line="200" w:lineRule="exact" w:before="113"/>
        <w:ind w:left="117" w:right="662" w:firstLine="0"/>
        <w:jc w:val="left"/>
        <w:rPr>
          <w:rFonts w:ascii="Segoe UI" w:hAnsi="Segoe UI" w:cs="Segoe UI" w:eastAsia="Segoe UI"/>
          <w:sz w:val="16"/>
          <w:szCs w:val="16"/>
        </w:rPr>
      </w:pPr>
      <w:r>
        <w:rPr>
          <w:rFonts w:ascii="Segoe UI"/>
          <w:color w:val="231F20"/>
          <w:sz w:val="16"/>
        </w:rPr>
        <w:t>A</w:t>
      </w:r>
      <w:r>
        <w:rPr>
          <w:rFonts w:ascii="Segoe UI"/>
          <w:color w:val="231F20"/>
          <w:spacing w:val="-3"/>
          <w:sz w:val="16"/>
        </w:rPr>
        <w:t> </w:t>
      </w:r>
      <w:r>
        <w:rPr>
          <w:rFonts w:ascii="Segoe UI"/>
          <w:color w:val="231F20"/>
          <w:sz w:val="16"/>
        </w:rPr>
        <w:t>party</w:t>
      </w:r>
      <w:r>
        <w:rPr>
          <w:rFonts w:ascii="Segoe UI"/>
          <w:color w:val="231F20"/>
          <w:spacing w:val="-3"/>
          <w:sz w:val="16"/>
        </w:rPr>
        <w:t> </w:t>
      </w:r>
      <w:r>
        <w:rPr>
          <w:rFonts w:ascii="Segoe UI"/>
          <w:color w:val="231F20"/>
          <w:sz w:val="16"/>
        </w:rPr>
        <w:t>other</w:t>
      </w:r>
      <w:r>
        <w:rPr>
          <w:rFonts w:ascii="Segoe UI"/>
          <w:color w:val="231F20"/>
          <w:spacing w:val="-3"/>
          <w:sz w:val="16"/>
        </w:rPr>
        <w:t> </w:t>
      </w:r>
      <w:r>
        <w:rPr>
          <w:rFonts w:ascii="Segoe UI"/>
          <w:color w:val="231F20"/>
          <w:sz w:val="16"/>
        </w:rPr>
        <w:t>than</w:t>
      </w:r>
      <w:r>
        <w:rPr>
          <w:rFonts w:ascii="Segoe UI"/>
          <w:color w:val="231F20"/>
          <w:spacing w:val="-3"/>
          <w:sz w:val="16"/>
        </w:rPr>
        <w:t> </w:t>
      </w:r>
      <w:r>
        <w:rPr>
          <w:rFonts w:ascii="Segoe UI"/>
          <w:color w:val="231F20"/>
          <w:sz w:val="16"/>
        </w:rPr>
        <w:t>PM&amp;C,</w:t>
      </w:r>
      <w:r>
        <w:rPr>
          <w:rFonts w:ascii="Segoe UI"/>
          <w:color w:val="231F20"/>
          <w:spacing w:val="-3"/>
          <w:sz w:val="16"/>
        </w:rPr>
        <w:t> </w:t>
      </w:r>
      <w:r>
        <w:rPr>
          <w:rFonts w:ascii="Segoe UI"/>
          <w:color w:val="231F20"/>
          <w:spacing w:val="-1"/>
          <w:sz w:val="16"/>
        </w:rPr>
        <w:t>may</w:t>
      </w:r>
      <w:r>
        <w:rPr>
          <w:rFonts w:ascii="Segoe UI"/>
          <w:color w:val="231F20"/>
          <w:spacing w:val="-3"/>
          <w:sz w:val="16"/>
        </w:rPr>
        <w:t> </w:t>
      </w:r>
      <w:r>
        <w:rPr>
          <w:rFonts w:ascii="Segoe UI"/>
          <w:color w:val="231F20"/>
          <w:sz w:val="16"/>
        </w:rPr>
        <w:t>only</w:t>
      </w:r>
      <w:r>
        <w:rPr>
          <w:rFonts w:ascii="Segoe UI"/>
          <w:color w:val="231F20"/>
          <w:spacing w:val="-3"/>
          <w:sz w:val="16"/>
        </w:rPr>
        <w:t> </w:t>
      </w:r>
      <w:r>
        <w:rPr>
          <w:rFonts w:ascii="Segoe UI"/>
          <w:color w:val="231F20"/>
          <w:sz w:val="16"/>
        </w:rPr>
        <w:t>rely</w:t>
      </w:r>
      <w:r>
        <w:rPr>
          <w:rFonts w:ascii="Segoe UI"/>
          <w:color w:val="231F20"/>
          <w:spacing w:val="-4"/>
          <w:sz w:val="16"/>
        </w:rPr>
        <w:t> </w:t>
      </w:r>
      <w:r>
        <w:rPr>
          <w:rFonts w:ascii="Segoe UI"/>
          <w:color w:val="231F20"/>
          <w:sz w:val="16"/>
        </w:rPr>
        <w:t>on</w:t>
      </w:r>
      <w:r>
        <w:rPr>
          <w:rFonts w:ascii="Segoe UI"/>
          <w:color w:val="231F20"/>
          <w:spacing w:val="-3"/>
          <w:sz w:val="16"/>
        </w:rPr>
        <w:t> </w:t>
      </w:r>
      <w:r>
        <w:rPr>
          <w:rFonts w:ascii="Segoe UI"/>
          <w:color w:val="231F20"/>
          <w:sz w:val="16"/>
        </w:rPr>
        <w:t>the</w:t>
      </w:r>
      <w:r>
        <w:rPr>
          <w:rFonts w:ascii="Segoe UI"/>
          <w:color w:val="231F20"/>
          <w:spacing w:val="-3"/>
          <w:sz w:val="16"/>
        </w:rPr>
        <w:t> </w:t>
      </w:r>
      <w:r>
        <w:rPr>
          <w:rFonts w:ascii="Segoe UI"/>
          <w:color w:val="231F20"/>
          <w:sz w:val="16"/>
        </w:rPr>
        <w:t>attached</w:t>
      </w:r>
      <w:r>
        <w:rPr>
          <w:rFonts w:ascii="Segoe UI"/>
          <w:color w:val="231F20"/>
          <w:spacing w:val="-4"/>
          <w:sz w:val="16"/>
        </w:rPr>
        <w:t> </w:t>
      </w:r>
      <w:r>
        <w:rPr>
          <w:rFonts w:ascii="Segoe UI"/>
          <w:color w:val="231F20"/>
          <w:sz w:val="16"/>
        </w:rPr>
        <w:t>report</w:t>
      </w:r>
      <w:r>
        <w:rPr>
          <w:rFonts w:ascii="Segoe UI"/>
          <w:color w:val="231F20"/>
          <w:spacing w:val="-3"/>
          <w:sz w:val="16"/>
        </w:rPr>
        <w:t> </w:t>
      </w:r>
      <w:r>
        <w:rPr>
          <w:rFonts w:ascii="Segoe UI"/>
          <w:color w:val="231F20"/>
          <w:spacing w:val="-1"/>
          <w:sz w:val="16"/>
        </w:rPr>
        <w:t>if</w:t>
      </w:r>
      <w:r>
        <w:rPr>
          <w:rFonts w:ascii="Segoe UI"/>
          <w:color w:val="231F20"/>
          <w:spacing w:val="-3"/>
          <w:sz w:val="16"/>
        </w:rPr>
        <w:t> </w:t>
      </w:r>
      <w:r>
        <w:rPr>
          <w:rFonts w:ascii="Segoe UI"/>
          <w:color w:val="231F20"/>
          <w:spacing w:val="-1"/>
          <w:sz w:val="16"/>
        </w:rPr>
        <w:t>it</w:t>
      </w:r>
      <w:r>
        <w:rPr>
          <w:rFonts w:ascii="Segoe UI"/>
          <w:color w:val="231F20"/>
          <w:spacing w:val="-3"/>
          <w:sz w:val="16"/>
        </w:rPr>
        <w:t> </w:t>
      </w:r>
      <w:r>
        <w:rPr>
          <w:rFonts w:ascii="Segoe UI"/>
          <w:color w:val="231F20"/>
          <w:sz w:val="16"/>
        </w:rPr>
        <w:t>has</w:t>
      </w:r>
      <w:r>
        <w:rPr>
          <w:rFonts w:ascii="Segoe UI"/>
          <w:color w:val="231F20"/>
          <w:spacing w:val="-3"/>
          <w:sz w:val="16"/>
        </w:rPr>
        <w:t> </w:t>
      </w:r>
      <w:r>
        <w:rPr>
          <w:rFonts w:ascii="Segoe UI"/>
          <w:color w:val="231F20"/>
          <w:sz w:val="16"/>
        </w:rPr>
        <w:t>executed</w:t>
      </w:r>
      <w:r>
        <w:rPr>
          <w:rFonts w:ascii="Segoe UI"/>
          <w:color w:val="231F20"/>
          <w:spacing w:val="-3"/>
          <w:sz w:val="16"/>
        </w:rPr>
        <w:t> </w:t>
      </w:r>
      <w:r>
        <w:rPr>
          <w:rFonts w:ascii="Segoe UI"/>
          <w:color w:val="231F20"/>
          <w:sz w:val="16"/>
        </w:rPr>
        <w:t>a</w:t>
      </w:r>
      <w:r>
        <w:rPr>
          <w:rFonts w:ascii="Segoe UI"/>
          <w:color w:val="231F20"/>
          <w:spacing w:val="-3"/>
          <w:sz w:val="16"/>
        </w:rPr>
        <w:t> </w:t>
      </w:r>
      <w:r>
        <w:rPr>
          <w:rFonts w:ascii="Segoe UI"/>
          <w:color w:val="231F20"/>
          <w:sz w:val="16"/>
        </w:rPr>
        <w:t>formal</w:t>
      </w:r>
      <w:r>
        <w:rPr>
          <w:rFonts w:ascii="Segoe UI"/>
          <w:color w:val="231F20"/>
          <w:spacing w:val="-3"/>
          <w:sz w:val="16"/>
        </w:rPr>
        <w:t> </w:t>
      </w:r>
      <w:r>
        <w:rPr>
          <w:rFonts w:ascii="Segoe UI"/>
          <w:color w:val="231F20"/>
          <w:spacing w:val="-1"/>
          <w:sz w:val="16"/>
        </w:rPr>
        <w:t>letter</w:t>
      </w:r>
      <w:r>
        <w:rPr>
          <w:rFonts w:ascii="Segoe UI"/>
          <w:color w:val="231F20"/>
          <w:spacing w:val="-2"/>
          <w:sz w:val="16"/>
        </w:rPr>
        <w:t> </w:t>
      </w:r>
      <w:r>
        <w:rPr>
          <w:rFonts w:ascii="Segoe UI"/>
          <w:color w:val="231F20"/>
          <w:sz w:val="16"/>
        </w:rPr>
        <w:t>of</w:t>
      </w:r>
      <w:r>
        <w:rPr>
          <w:rFonts w:ascii="Segoe UI"/>
          <w:color w:val="231F20"/>
          <w:spacing w:val="-3"/>
          <w:sz w:val="16"/>
        </w:rPr>
        <w:t> </w:t>
      </w:r>
      <w:r>
        <w:rPr>
          <w:rFonts w:ascii="Segoe UI"/>
          <w:color w:val="231F20"/>
          <w:sz w:val="16"/>
        </w:rPr>
        <w:t>reliance</w:t>
      </w:r>
      <w:r>
        <w:rPr>
          <w:rFonts w:ascii="Segoe UI"/>
          <w:color w:val="231F20"/>
          <w:spacing w:val="-4"/>
          <w:sz w:val="16"/>
        </w:rPr>
        <w:t> </w:t>
      </w:r>
      <w:r>
        <w:rPr>
          <w:rFonts w:ascii="Segoe UI"/>
          <w:color w:val="231F20"/>
          <w:sz w:val="16"/>
        </w:rPr>
        <w:t>with</w:t>
      </w:r>
      <w:r>
        <w:rPr>
          <w:rFonts w:ascii="Segoe UI"/>
          <w:color w:val="231F20"/>
          <w:spacing w:val="25"/>
          <w:w w:val="99"/>
          <w:sz w:val="16"/>
        </w:rPr>
        <w:t> </w:t>
      </w:r>
      <w:r>
        <w:rPr>
          <w:rFonts w:ascii="Segoe UI"/>
          <w:color w:val="231F20"/>
          <w:sz w:val="16"/>
        </w:rPr>
        <w:t>Grant</w:t>
      </w:r>
      <w:r>
        <w:rPr>
          <w:rFonts w:ascii="Segoe UI"/>
          <w:color w:val="231F20"/>
          <w:spacing w:val="-5"/>
          <w:sz w:val="16"/>
        </w:rPr>
        <w:t> </w:t>
      </w:r>
      <w:r>
        <w:rPr>
          <w:rFonts w:ascii="Segoe UI"/>
          <w:color w:val="231F20"/>
          <w:sz w:val="16"/>
        </w:rPr>
        <w:t>Thornton</w:t>
      </w:r>
      <w:r>
        <w:rPr>
          <w:rFonts w:ascii="Segoe UI"/>
          <w:color w:val="231F20"/>
          <w:spacing w:val="-4"/>
          <w:sz w:val="16"/>
        </w:rPr>
        <w:t> </w:t>
      </w:r>
      <w:r>
        <w:rPr>
          <w:rFonts w:ascii="Segoe UI"/>
          <w:color w:val="231F20"/>
          <w:sz w:val="16"/>
        </w:rPr>
        <w:t>Australia</w:t>
      </w:r>
      <w:r>
        <w:rPr>
          <w:rFonts w:ascii="Segoe UI"/>
          <w:color w:val="231F20"/>
          <w:spacing w:val="-4"/>
          <w:sz w:val="16"/>
        </w:rPr>
        <w:t> </w:t>
      </w:r>
      <w:r>
        <w:rPr>
          <w:rFonts w:ascii="Segoe UI"/>
          <w:color w:val="231F20"/>
          <w:sz w:val="16"/>
        </w:rPr>
        <w:t>Limited</w:t>
      </w:r>
      <w:r>
        <w:rPr>
          <w:rFonts w:ascii="Segoe UI"/>
          <w:color w:val="231F20"/>
          <w:spacing w:val="-5"/>
          <w:sz w:val="16"/>
        </w:rPr>
        <w:t> </w:t>
      </w:r>
      <w:r>
        <w:rPr>
          <w:rFonts w:ascii="Segoe UI"/>
          <w:color w:val="231F20"/>
          <w:sz w:val="16"/>
        </w:rPr>
        <w:t>(Grant</w:t>
      </w:r>
      <w:r>
        <w:rPr>
          <w:rFonts w:ascii="Segoe UI"/>
          <w:color w:val="231F20"/>
          <w:spacing w:val="-5"/>
          <w:sz w:val="16"/>
        </w:rPr>
        <w:t> </w:t>
      </w:r>
      <w:r>
        <w:rPr>
          <w:rFonts w:ascii="Segoe UI"/>
          <w:color w:val="231F20"/>
          <w:sz w:val="16"/>
        </w:rPr>
        <w:t>Thornton).</w:t>
      </w:r>
      <w:r>
        <w:rPr>
          <w:rFonts w:ascii="Segoe UI"/>
          <w:color w:val="231F20"/>
          <w:spacing w:val="-4"/>
          <w:sz w:val="16"/>
        </w:rPr>
        <w:t> </w:t>
      </w:r>
      <w:r>
        <w:rPr>
          <w:rFonts w:ascii="Segoe UI"/>
          <w:color w:val="231F20"/>
          <w:spacing w:val="-1"/>
          <w:sz w:val="16"/>
        </w:rPr>
        <w:t>If</w:t>
      </w:r>
      <w:r>
        <w:rPr>
          <w:rFonts w:ascii="Segoe UI"/>
          <w:color w:val="231F20"/>
          <w:spacing w:val="-4"/>
          <w:sz w:val="16"/>
        </w:rPr>
        <w:t> </w:t>
      </w:r>
      <w:r>
        <w:rPr>
          <w:rFonts w:ascii="Segoe UI"/>
          <w:color w:val="231F20"/>
          <w:sz w:val="16"/>
        </w:rPr>
        <w:t>you</w:t>
      </w:r>
      <w:r>
        <w:rPr>
          <w:rFonts w:ascii="Segoe UI"/>
          <w:color w:val="231F20"/>
          <w:spacing w:val="-5"/>
          <w:sz w:val="16"/>
        </w:rPr>
        <w:t> </w:t>
      </w:r>
      <w:r>
        <w:rPr>
          <w:rFonts w:ascii="Segoe UI"/>
          <w:color w:val="231F20"/>
          <w:sz w:val="16"/>
        </w:rPr>
        <w:t>have</w:t>
      </w:r>
      <w:r>
        <w:rPr>
          <w:rFonts w:ascii="Segoe UI"/>
          <w:color w:val="231F20"/>
          <w:spacing w:val="-5"/>
          <w:sz w:val="16"/>
        </w:rPr>
        <w:t> </w:t>
      </w:r>
      <w:r>
        <w:rPr>
          <w:rFonts w:ascii="Segoe UI"/>
          <w:color w:val="231F20"/>
          <w:sz w:val="16"/>
        </w:rPr>
        <w:t>not</w:t>
      </w:r>
      <w:r>
        <w:rPr>
          <w:rFonts w:ascii="Segoe UI"/>
          <w:color w:val="231F20"/>
          <w:spacing w:val="-4"/>
          <w:sz w:val="16"/>
        </w:rPr>
        <w:t> </w:t>
      </w:r>
      <w:r>
        <w:rPr>
          <w:rFonts w:ascii="Segoe UI"/>
          <w:color w:val="231F20"/>
          <w:sz w:val="16"/>
        </w:rPr>
        <w:t>executed</w:t>
      </w:r>
      <w:r>
        <w:rPr>
          <w:rFonts w:ascii="Segoe UI"/>
          <w:color w:val="231F20"/>
          <w:spacing w:val="-4"/>
          <w:sz w:val="16"/>
        </w:rPr>
        <w:t> </w:t>
      </w:r>
      <w:r>
        <w:rPr>
          <w:rFonts w:ascii="Segoe UI"/>
          <w:color w:val="231F20"/>
          <w:sz w:val="16"/>
        </w:rPr>
        <w:t>a</w:t>
      </w:r>
      <w:r>
        <w:rPr>
          <w:rFonts w:ascii="Segoe UI"/>
          <w:color w:val="231F20"/>
          <w:spacing w:val="-4"/>
          <w:sz w:val="16"/>
        </w:rPr>
        <w:t> </w:t>
      </w:r>
      <w:r>
        <w:rPr>
          <w:rFonts w:ascii="Segoe UI"/>
          <w:color w:val="231F20"/>
          <w:sz w:val="16"/>
        </w:rPr>
        <w:t>formal</w:t>
      </w:r>
      <w:r>
        <w:rPr>
          <w:rFonts w:ascii="Segoe UI"/>
          <w:color w:val="231F20"/>
          <w:spacing w:val="-4"/>
          <w:sz w:val="16"/>
        </w:rPr>
        <w:t> </w:t>
      </w:r>
      <w:r>
        <w:rPr>
          <w:rFonts w:ascii="Segoe UI"/>
          <w:color w:val="231F20"/>
          <w:sz w:val="16"/>
        </w:rPr>
        <w:t>reliance</w:t>
      </w:r>
      <w:r>
        <w:rPr>
          <w:rFonts w:ascii="Segoe UI"/>
          <w:color w:val="231F20"/>
          <w:spacing w:val="-5"/>
          <w:sz w:val="16"/>
        </w:rPr>
        <w:t> </w:t>
      </w:r>
      <w:r>
        <w:rPr>
          <w:rFonts w:ascii="Segoe UI"/>
          <w:color w:val="231F20"/>
          <w:spacing w:val="-1"/>
          <w:sz w:val="16"/>
        </w:rPr>
        <w:t>letter</w:t>
      </w:r>
      <w:r>
        <w:rPr>
          <w:rFonts w:ascii="Segoe UI"/>
          <w:color w:val="231F20"/>
          <w:spacing w:val="-4"/>
          <w:sz w:val="16"/>
        </w:rPr>
        <w:t> </w:t>
      </w:r>
      <w:r>
        <w:rPr>
          <w:rFonts w:ascii="Segoe UI"/>
          <w:color w:val="231F20"/>
          <w:sz w:val="16"/>
        </w:rPr>
        <w:t>with</w:t>
      </w:r>
      <w:r>
        <w:rPr>
          <w:rFonts w:ascii="Segoe UI"/>
          <w:color w:val="231F20"/>
          <w:spacing w:val="-5"/>
          <w:sz w:val="16"/>
        </w:rPr>
        <w:t> </w:t>
      </w:r>
      <w:r>
        <w:rPr>
          <w:rFonts w:ascii="Segoe UI"/>
          <w:color w:val="231F20"/>
          <w:sz w:val="16"/>
        </w:rPr>
        <w:t>Grant</w:t>
      </w:r>
      <w:r>
        <w:rPr>
          <w:rFonts w:ascii="Segoe UI"/>
          <w:color w:val="231F20"/>
          <w:spacing w:val="23"/>
          <w:w w:val="99"/>
          <w:sz w:val="16"/>
        </w:rPr>
        <w:t> </w:t>
      </w:r>
      <w:r>
        <w:rPr>
          <w:rFonts w:ascii="Segoe UI"/>
          <w:color w:val="231F20"/>
          <w:sz w:val="16"/>
        </w:rPr>
        <w:t>Thornton,</w:t>
      </w:r>
      <w:r>
        <w:rPr>
          <w:rFonts w:ascii="Segoe UI"/>
          <w:color w:val="231F20"/>
          <w:spacing w:val="-9"/>
          <w:sz w:val="16"/>
        </w:rPr>
        <w:t> </w:t>
      </w:r>
      <w:r>
        <w:rPr>
          <w:rFonts w:ascii="Segoe UI"/>
          <w:color w:val="231F20"/>
          <w:sz w:val="16"/>
        </w:rPr>
        <w:t>Grant</w:t>
      </w:r>
      <w:r>
        <w:rPr>
          <w:rFonts w:ascii="Segoe UI"/>
          <w:color w:val="231F20"/>
          <w:spacing w:val="-9"/>
          <w:sz w:val="16"/>
        </w:rPr>
        <w:t> </w:t>
      </w:r>
      <w:r>
        <w:rPr>
          <w:rFonts w:ascii="Segoe UI"/>
          <w:color w:val="231F20"/>
          <w:sz w:val="16"/>
        </w:rPr>
        <w:t>Thornton:</w:t>
      </w:r>
      <w:r>
        <w:rPr>
          <w:rFonts w:ascii="Segoe UI"/>
          <w:sz w:val="16"/>
        </w:rPr>
      </w:r>
    </w:p>
    <w:p>
      <w:pPr>
        <w:spacing w:line="200" w:lineRule="exact" w:before="113"/>
        <w:ind w:left="344" w:right="662" w:hanging="227"/>
        <w:jc w:val="left"/>
        <w:rPr>
          <w:rFonts w:ascii="Segoe UI" w:hAnsi="Segoe UI" w:cs="Segoe UI" w:eastAsia="Segoe UI"/>
          <w:sz w:val="16"/>
          <w:szCs w:val="16"/>
        </w:rPr>
      </w:pPr>
      <w:r>
        <w:rPr>
          <w:rFonts w:ascii="Century Gothic" w:hAnsi="Century Gothic"/>
          <w:color w:val="231F20"/>
          <w:sz w:val="16"/>
        </w:rPr>
        <w:t>»  </w:t>
      </w:r>
      <w:r>
        <w:rPr>
          <w:rFonts w:ascii="Century Gothic" w:hAnsi="Century Gothic"/>
          <w:color w:val="231F20"/>
          <w:spacing w:val="15"/>
          <w:sz w:val="16"/>
        </w:rPr>
        <w:t> </w:t>
      </w:r>
      <w:r>
        <w:rPr>
          <w:rFonts w:ascii="Segoe UI" w:hAnsi="Segoe UI"/>
          <w:color w:val="231F20"/>
          <w:sz w:val="16"/>
        </w:rPr>
        <w:t>owes</w:t>
      </w:r>
      <w:r>
        <w:rPr>
          <w:rFonts w:ascii="Segoe UI" w:hAnsi="Segoe UI"/>
          <w:color w:val="231F20"/>
          <w:spacing w:val="-3"/>
          <w:sz w:val="16"/>
        </w:rPr>
        <w:t> </w:t>
      </w:r>
      <w:r>
        <w:rPr>
          <w:rFonts w:ascii="Segoe UI" w:hAnsi="Segoe UI"/>
          <w:color w:val="231F20"/>
          <w:sz w:val="16"/>
        </w:rPr>
        <w:t>you</w:t>
      </w:r>
      <w:r>
        <w:rPr>
          <w:rFonts w:ascii="Segoe UI" w:hAnsi="Segoe UI"/>
          <w:color w:val="231F20"/>
          <w:spacing w:val="-4"/>
          <w:sz w:val="16"/>
        </w:rPr>
        <w:t> </w:t>
      </w:r>
      <w:r>
        <w:rPr>
          <w:rFonts w:ascii="Segoe UI" w:hAnsi="Segoe UI"/>
          <w:color w:val="231F20"/>
          <w:sz w:val="16"/>
        </w:rPr>
        <w:t>no</w:t>
      </w:r>
      <w:r>
        <w:rPr>
          <w:rFonts w:ascii="Segoe UI" w:hAnsi="Segoe UI"/>
          <w:color w:val="231F20"/>
          <w:spacing w:val="-3"/>
          <w:sz w:val="16"/>
        </w:rPr>
        <w:t> </w:t>
      </w:r>
      <w:r>
        <w:rPr>
          <w:rFonts w:ascii="Segoe UI" w:hAnsi="Segoe UI"/>
          <w:color w:val="231F20"/>
          <w:sz w:val="16"/>
        </w:rPr>
        <w:t>duty</w:t>
      </w:r>
      <w:r>
        <w:rPr>
          <w:rFonts w:ascii="Segoe UI" w:hAnsi="Segoe UI"/>
          <w:color w:val="231F20"/>
          <w:spacing w:val="-4"/>
          <w:sz w:val="16"/>
        </w:rPr>
        <w:t> </w:t>
      </w:r>
      <w:r>
        <w:rPr>
          <w:rFonts w:ascii="Segoe UI" w:hAnsi="Segoe UI"/>
          <w:color w:val="231F20"/>
          <w:sz w:val="16"/>
        </w:rPr>
        <w:t>(whether</w:t>
      </w:r>
      <w:r>
        <w:rPr>
          <w:rFonts w:ascii="Segoe UI" w:hAnsi="Segoe UI"/>
          <w:color w:val="231F20"/>
          <w:spacing w:val="-4"/>
          <w:sz w:val="16"/>
        </w:rPr>
        <w:t> </w:t>
      </w:r>
      <w:r>
        <w:rPr>
          <w:rFonts w:ascii="Segoe UI" w:hAnsi="Segoe UI"/>
          <w:color w:val="231F20"/>
          <w:spacing w:val="-1"/>
          <w:sz w:val="16"/>
        </w:rPr>
        <w:t>in</w:t>
      </w:r>
      <w:r>
        <w:rPr>
          <w:rFonts w:ascii="Segoe UI" w:hAnsi="Segoe UI"/>
          <w:color w:val="231F20"/>
          <w:spacing w:val="-2"/>
          <w:sz w:val="16"/>
        </w:rPr>
        <w:t> </w:t>
      </w:r>
      <w:r>
        <w:rPr>
          <w:rFonts w:ascii="Segoe UI" w:hAnsi="Segoe UI"/>
          <w:color w:val="231F20"/>
          <w:sz w:val="16"/>
        </w:rPr>
        <w:t>contract</w:t>
      </w:r>
      <w:r>
        <w:rPr>
          <w:rFonts w:ascii="Segoe UI" w:hAnsi="Segoe UI"/>
          <w:color w:val="231F20"/>
          <w:spacing w:val="-3"/>
          <w:sz w:val="16"/>
        </w:rPr>
        <w:t> </w:t>
      </w:r>
      <w:r>
        <w:rPr>
          <w:rFonts w:ascii="Segoe UI" w:hAnsi="Segoe UI"/>
          <w:color w:val="231F20"/>
          <w:sz w:val="16"/>
        </w:rPr>
        <w:t>or</w:t>
      </w:r>
      <w:r>
        <w:rPr>
          <w:rFonts w:ascii="Segoe UI" w:hAnsi="Segoe UI"/>
          <w:color w:val="231F20"/>
          <w:spacing w:val="-3"/>
          <w:sz w:val="16"/>
        </w:rPr>
        <w:t> </w:t>
      </w:r>
      <w:r>
        <w:rPr>
          <w:rFonts w:ascii="Segoe UI" w:hAnsi="Segoe UI"/>
          <w:color w:val="231F20"/>
          <w:spacing w:val="-1"/>
          <w:sz w:val="16"/>
        </w:rPr>
        <w:t>in</w:t>
      </w:r>
      <w:r>
        <w:rPr>
          <w:rFonts w:ascii="Segoe UI" w:hAnsi="Segoe UI"/>
          <w:color w:val="231F20"/>
          <w:spacing w:val="-3"/>
          <w:sz w:val="16"/>
        </w:rPr>
        <w:t> </w:t>
      </w:r>
      <w:r>
        <w:rPr>
          <w:rFonts w:ascii="Segoe UI" w:hAnsi="Segoe UI"/>
          <w:color w:val="231F20"/>
          <w:sz w:val="16"/>
        </w:rPr>
        <w:t>tort</w:t>
      </w:r>
      <w:r>
        <w:rPr>
          <w:rFonts w:ascii="Segoe UI" w:hAnsi="Segoe UI"/>
          <w:color w:val="231F20"/>
          <w:spacing w:val="-3"/>
          <w:sz w:val="16"/>
        </w:rPr>
        <w:t> </w:t>
      </w:r>
      <w:r>
        <w:rPr>
          <w:rFonts w:ascii="Segoe UI" w:hAnsi="Segoe UI"/>
          <w:color w:val="231F20"/>
          <w:sz w:val="16"/>
        </w:rPr>
        <w:t>or</w:t>
      </w:r>
      <w:r>
        <w:rPr>
          <w:rFonts w:ascii="Segoe UI" w:hAnsi="Segoe UI"/>
          <w:color w:val="231F20"/>
          <w:spacing w:val="-3"/>
          <w:sz w:val="16"/>
        </w:rPr>
        <w:t> </w:t>
      </w:r>
      <w:r>
        <w:rPr>
          <w:rFonts w:ascii="Segoe UI" w:hAnsi="Segoe UI"/>
          <w:color w:val="231F20"/>
          <w:sz w:val="16"/>
        </w:rPr>
        <w:t>under</w:t>
      </w:r>
      <w:r>
        <w:rPr>
          <w:rFonts w:ascii="Segoe UI" w:hAnsi="Segoe UI"/>
          <w:color w:val="231F20"/>
          <w:spacing w:val="-2"/>
          <w:sz w:val="16"/>
        </w:rPr>
        <w:t> </w:t>
      </w:r>
      <w:r>
        <w:rPr>
          <w:rFonts w:ascii="Segoe UI" w:hAnsi="Segoe UI"/>
          <w:color w:val="231F20"/>
          <w:spacing w:val="-1"/>
          <w:sz w:val="16"/>
        </w:rPr>
        <w:t>statute</w:t>
      </w:r>
      <w:r>
        <w:rPr>
          <w:rFonts w:ascii="Segoe UI" w:hAnsi="Segoe UI"/>
          <w:color w:val="231F20"/>
          <w:spacing w:val="-3"/>
          <w:sz w:val="16"/>
        </w:rPr>
        <w:t> </w:t>
      </w:r>
      <w:r>
        <w:rPr>
          <w:rFonts w:ascii="Segoe UI" w:hAnsi="Segoe UI"/>
          <w:color w:val="231F20"/>
          <w:sz w:val="16"/>
        </w:rPr>
        <w:t>or</w:t>
      </w:r>
      <w:r>
        <w:rPr>
          <w:rFonts w:ascii="Segoe UI" w:hAnsi="Segoe UI"/>
          <w:color w:val="231F20"/>
          <w:spacing w:val="-3"/>
          <w:sz w:val="16"/>
        </w:rPr>
        <w:t> </w:t>
      </w:r>
      <w:r>
        <w:rPr>
          <w:rFonts w:ascii="Segoe UI" w:hAnsi="Segoe UI"/>
          <w:color w:val="231F20"/>
          <w:sz w:val="16"/>
        </w:rPr>
        <w:t>otherwise)</w:t>
      </w:r>
      <w:r>
        <w:rPr>
          <w:rFonts w:ascii="Segoe UI" w:hAnsi="Segoe UI"/>
          <w:color w:val="231F20"/>
          <w:spacing w:val="-4"/>
          <w:sz w:val="16"/>
        </w:rPr>
        <w:t> </w:t>
      </w:r>
      <w:r>
        <w:rPr>
          <w:rFonts w:ascii="Segoe UI" w:hAnsi="Segoe UI"/>
          <w:color w:val="231F20"/>
          <w:sz w:val="16"/>
        </w:rPr>
        <w:t>with</w:t>
      </w:r>
      <w:r>
        <w:rPr>
          <w:rFonts w:ascii="Segoe UI" w:hAnsi="Segoe UI"/>
          <w:color w:val="231F20"/>
          <w:spacing w:val="-4"/>
          <w:sz w:val="16"/>
        </w:rPr>
        <w:t> </w:t>
      </w:r>
      <w:r>
        <w:rPr>
          <w:rFonts w:ascii="Segoe UI" w:hAnsi="Segoe UI"/>
          <w:color w:val="231F20"/>
          <w:sz w:val="16"/>
        </w:rPr>
        <w:t>respect</w:t>
      </w:r>
      <w:r>
        <w:rPr>
          <w:rFonts w:ascii="Segoe UI" w:hAnsi="Segoe UI"/>
          <w:color w:val="231F20"/>
          <w:spacing w:val="-4"/>
          <w:sz w:val="16"/>
        </w:rPr>
        <w:t> </w:t>
      </w:r>
      <w:r>
        <w:rPr>
          <w:rFonts w:ascii="Segoe UI" w:hAnsi="Segoe UI"/>
          <w:color w:val="231F20"/>
          <w:sz w:val="16"/>
        </w:rPr>
        <w:t>to</w:t>
      </w:r>
      <w:r>
        <w:rPr>
          <w:rFonts w:ascii="Segoe UI" w:hAnsi="Segoe UI"/>
          <w:color w:val="231F20"/>
          <w:spacing w:val="-2"/>
          <w:sz w:val="16"/>
        </w:rPr>
        <w:t> </w:t>
      </w:r>
      <w:r>
        <w:rPr>
          <w:rFonts w:ascii="Segoe UI" w:hAnsi="Segoe UI"/>
          <w:color w:val="231F20"/>
          <w:sz w:val="16"/>
        </w:rPr>
        <w:t>or</w:t>
      </w:r>
      <w:r>
        <w:rPr>
          <w:rFonts w:ascii="Segoe UI" w:hAnsi="Segoe UI"/>
          <w:color w:val="231F20"/>
          <w:spacing w:val="-3"/>
          <w:sz w:val="16"/>
        </w:rPr>
        <w:t> </w:t>
      </w:r>
      <w:r>
        <w:rPr>
          <w:rFonts w:ascii="Segoe UI" w:hAnsi="Segoe UI"/>
          <w:color w:val="231F20"/>
          <w:spacing w:val="-1"/>
          <w:sz w:val="16"/>
        </w:rPr>
        <w:t>in</w:t>
      </w:r>
      <w:r>
        <w:rPr>
          <w:rFonts w:ascii="Segoe UI" w:hAnsi="Segoe UI"/>
          <w:color w:val="231F20"/>
          <w:spacing w:val="-3"/>
          <w:sz w:val="16"/>
        </w:rPr>
        <w:t> </w:t>
      </w:r>
      <w:r>
        <w:rPr>
          <w:rFonts w:ascii="Segoe UI" w:hAnsi="Segoe UI"/>
          <w:color w:val="231F20"/>
          <w:sz w:val="16"/>
        </w:rPr>
        <w:t>connection</w:t>
      </w:r>
      <w:r>
        <w:rPr>
          <w:rFonts w:ascii="Segoe UI" w:hAnsi="Segoe UI"/>
          <w:color w:val="231F20"/>
          <w:spacing w:val="25"/>
          <w:w w:val="99"/>
          <w:sz w:val="16"/>
        </w:rPr>
        <w:t> </w:t>
      </w:r>
      <w:r>
        <w:rPr>
          <w:rFonts w:ascii="Segoe UI" w:hAnsi="Segoe UI"/>
          <w:color w:val="231F20"/>
          <w:sz w:val="16"/>
        </w:rPr>
        <w:t>with</w:t>
      </w:r>
      <w:r>
        <w:rPr>
          <w:rFonts w:ascii="Segoe UI" w:hAnsi="Segoe UI"/>
          <w:color w:val="231F20"/>
          <w:spacing w:val="-5"/>
          <w:sz w:val="16"/>
        </w:rPr>
        <w:t> </w:t>
      </w:r>
      <w:r>
        <w:rPr>
          <w:rFonts w:ascii="Segoe UI" w:hAnsi="Segoe UI"/>
          <w:color w:val="231F20"/>
          <w:sz w:val="16"/>
        </w:rPr>
        <w:t>the</w:t>
      </w:r>
      <w:r>
        <w:rPr>
          <w:rFonts w:ascii="Segoe UI" w:hAnsi="Segoe UI"/>
          <w:color w:val="231F20"/>
          <w:spacing w:val="-5"/>
          <w:sz w:val="16"/>
        </w:rPr>
        <w:t> </w:t>
      </w:r>
      <w:r>
        <w:rPr>
          <w:rFonts w:ascii="Segoe UI" w:hAnsi="Segoe UI"/>
          <w:color w:val="231F20"/>
          <w:sz w:val="16"/>
        </w:rPr>
        <w:t>attached</w:t>
      </w:r>
      <w:r>
        <w:rPr>
          <w:rFonts w:ascii="Segoe UI" w:hAnsi="Segoe UI"/>
          <w:color w:val="231F20"/>
          <w:spacing w:val="-5"/>
          <w:sz w:val="16"/>
        </w:rPr>
        <w:t> </w:t>
      </w:r>
      <w:r>
        <w:rPr>
          <w:rFonts w:ascii="Segoe UI" w:hAnsi="Segoe UI"/>
          <w:color w:val="231F20"/>
          <w:sz w:val="16"/>
        </w:rPr>
        <w:t>report</w:t>
      </w:r>
      <w:r>
        <w:rPr>
          <w:rFonts w:ascii="Segoe UI" w:hAnsi="Segoe UI"/>
          <w:color w:val="231F20"/>
          <w:spacing w:val="-5"/>
          <w:sz w:val="16"/>
        </w:rPr>
        <w:t> </w:t>
      </w:r>
      <w:r>
        <w:rPr>
          <w:rFonts w:ascii="Segoe UI" w:hAnsi="Segoe UI"/>
          <w:color w:val="231F20"/>
          <w:sz w:val="16"/>
        </w:rPr>
        <w:t>or</w:t>
      </w:r>
      <w:r>
        <w:rPr>
          <w:rFonts w:ascii="Segoe UI" w:hAnsi="Segoe UI"/>
          <w:color w:val="231F20"/>
          <w:spacing w:val="-4"/>
          <w:sz w:val="16"/>
        </w:rPr>
        <w:t> </w:t>
      </w:r>
      <w:r>
        <w:rPr>
          <w:rFonts w:ascii="Segoe UI" w:hAnsi="Segoe UI"/>
          <w:color w:val="231F20"/>
          <w:sz w:val="16"/>
        </w:rPr>
        <w:t>any</w:t>
      </w:r>
      <w:r>
        <w:rPr>
          <w:rFonts w:ascii="Segoe UI" w:hAnsi="Segoe UI"/>
          <w:color w:val="231F20"/>
          <w:spacing w:val="-5"/>
          <w:sz w:val="16"/>
        </w:rPr>
        <w:t> </w:t>
      </w:r>
      <w:r>
        <w:rPr>
          <w:rFonts w:ascii="Segoe UI" w:hAnsi="Segoe UI"/>
          <w:color w:val="231F20"/>
          <w:sz w:val="16"/>
        </w:rPr>
        <w:t>part</w:t>
      </w:r>
      <w:r>
        <w:rPr>
          <w:rFonts w:ascii="Segoe UI" w:hAnsi="Segoe UI"/>
          <w:color w:val="231F20"/>
          <w:spacing w:val="-3"/>
          <w:sz w:val="16"/>
        </w:rPr>
        <w:t> </w:t>
      </w:r>
      <w:r>
        <w:rPr>
          <w:rFonts w:ascii="Segoe UI" w:hAnsi="Segoe UI"/>
          <w:color w:val="231F20"/>
          <w:sz w:val="16"/>
        </w:rPr>
        <w:t>thereof;</w:t>
      </w:r>
      <w:r>
        <w:rPr>
          <w:rFonts w:ascii="Segoe UI" w:hAnsi="Segoe UI"/>
          <w:color w:val="231F20"/>
          <w:spacing w:val="-5"/>
          <w:sz w:val="16"/>
        </w:rPr>
        <w:t> </w:t>
      </w:r>
      <w:r>
        <w:rPr>
          <w:rFonts w:ascii="Segoe UI" w:hAnsi="Segoe UI"/>
          <w:color w:val="231F20"/>
          <w:sz w:val="16"/>
        </w:rPr>
        <w:t>and</w:t>
      </w:r>
      <w:r>
        <w:rPr>
          <w:rFonts w:ascii="Segoe UI" w:hAnsi="Segoe UI"/>
          <w:sz w:val="16"/>
        </w:rPr>
      </w:r>
    </w:p>
    <w:p>
      <w:pPr>
        <w:spacing w:line="200" w:lineRule="exact" w:before="113"/>
        <w:ind w:left="344" w:right="662" w:hanging="227"/>
        <w:jc w:val="left"/>
        <w:rPr>
          <w:rFonts w:ascii="Segoe UI" w:hAnsi="Segoe UI" w:cs="Segoe UI" w:eastAsia="Segoe UI"/>
          <w:sz w:val="16"/>
          <w:szCs w:val="16"/>
        </w:rPr>
      </w:pPr>
      <w:r>
        <w:rPr>
          <w:rFonts w:ascii="Century Gothic" w:hAnsi="Century Gothic"/>
          <w:color w:val="231F20"/>
          <w:sz w:val="16"/>
        </w:rPr>
        <w:t>»  </w:t>
      </w:r>
      <w:r>
        <w:rPr>
          <w:rFonts w:ascii="Century Gothic" w:hAnsi="Century Gothic"/>
          <w:color w:val="231F20"/>
          <w:spacing w:val="25"/>
          <w:sz w:val="16"/>
        </w:rPr>
        <w:t> </w:t>
      </w:r>
      <w:r>
        <w:rPr>
          <w:rFonts w:ascii="Segoe UI" w:hAnsi="Segoe UI"/>
          <w:color w:val="231F20"/>
          <w:sz w:val="16"/>
        </w:rPr>
        <w:t>will have</w:t>
      </w:r>
      <w:r>
        <w:rPr>
          <w:rFonts w:ascii="Segoe UI" w:hAnsi="Segoe UI"/>
          <w:color w:val="231F20"/>
          <w:spacing w:val="-1"/>
          <w:sz w:val="16"/>
        </w:rPr>
        <w:t> </w:t>
      </w:r>
      <w:r>
        <w:rPr>
          <w:rFonts w:ascii="Segoe UI" w:hAnsi="Segoe UI"/>
          <w:color w:val="231F20"/>
          <w:sz w:val="16"/>
        </w:rPr>
        <w:t>no liability to</w:t>
      </w:r>
      <w:r>
        <w:rPr>
          <w:rFonts w:ascii="Segoe UI" w:hAnsi="Segoe UI"/>
          <w:color w:val="231F20"/>
          <w:spacing w:val="-1"/>
          <w:sz w:val="16"/>
        </w:rPr>
        <w:t> </w:t>
      </w:r>
      <w:r>
        <w:rPr>
          <w:rFonts w:ascii="Segoe UI" w:hAnsi="Segoe UI"/>
          <w:color w:val="231F20"/>
          <w:sz w:val="16"/>
        </w:rPr>
        <w:t>you or for</w:t>
      </w:r>
      <w:r>
        <w:rPr>
          <w:rFonts w:ascii="Segoe UI" w:hAnsi="Segoe UI"/>
          <w:color w:val="231F20"/>
          <w:spacing w:val="-1"/>
          <w:sz w:val="16"/>
        </w:rPr>
        <w:t> </w:t>
      </w:r>
      <w:r>
        <w:rPr>
          <w:rFonts w:ascii="Segoe UI" w:hAnsi="Segoe UI"/>
          <w:color w:val="231F20"/>
          <w:sz w:val="16"/>
        </w:rPr>
        <w:t>any loss or damage</w:t>
      </w:r>
      <w:r>
        <w:rPr>
          <w:rFonts w:ascii="Segoe UI" w:hAnsi="Segoe UI"/>
          <w:color w:val="231F20"/>
          <w:spacing w:val="-1"/>
          <w:sz w:val="16"/>
        </w:rPr>
        <w:t> </w:t>
      </w:r>
      <w:r>
        <w:rPr>
          <w:rFonts w:ascii="Segoe UI" w:hAnsi="Segoe UI"/>
          <w:color w:val="231F20"/>
          <w:sz w:val="16"/>
        </w:rPr>
        <w:t>suffered or costs</w:t>
      </w:r>
      <w:r>
        <w:rPr>
          <w:rFonts w:ascii="Segoe UI" w:hAnsi="Segoe UI"/>
          <w:color w:val="231F20"/>
          <w:spacing w:val="-1"/>
          <w:sz w:val="16"/>
        </w:rPr>
        <w:t> </w:t>
      </w:r>
      <w:r>
        <w:rPr>
          <w:rFonts w:ascii="Segoe UI" w:hAnsi="Segoe UI"/>
          <w:color w:val="231F20"/>
          <w:sz w:val="16"/>
        </w:rPr>
        <w:t>incurred by you or</w:t>
      </w:r>
      <w:r>
        <w:rPr>
          <w:rFonts w:ascii="Segoe UI" w:hAnsi="Segoe UI"/>
          <w:color w:val="231F20"/>
          <w:spacing w:val="-1"/>
          <w:sz w:val="16"/>
        </w:rPr>
        <w:t> </w:t>
      </w:r>
      <w:r>
        <w:rPr>
          <w:rFonts w:ascii="Segoe UI" w:hAnsi="Segoe UI"/>
          <w:color w:val="231F20"/>
          <w:sz w:val="16"/>
        </w:rPr>
        <w:t>any other person</w:t>
      </w:r>
      <w:r>
        <w:rPr>
          <w:rFonts w:ascii="Segoe UI" w:hAnsi="Segoe UI"/>
          <w:color w:val="231F20"/>
          <w:sz w:val="16"/>
        </w:rPr>
        <w:t> </w:t>
      </w:r>
      <w:r>
        <w:rPr>
          <w:rFonts w:ascii="Segoe UI" w:hAnsi="Segoe UI"/>
          <w:color w:val="231F20"/>
          <w:sz w:val="16"/>
        </w:rPr>
        <w:t>arising</w:t>
      </w:r>
      <w:r>
        <w:rPr>
          <w:rFonts w:ascii="Segoe UI" w:hAnsi="Segoe UI"/>
          <w:color w:val="231F20"/>
          <w:spacing w:val="-5"/>
          <w:sz w:val="16"/>
        </w:rPr>
        <w:t> </w:t>
      </w:r>
      <w:r>
        <w:rPr>
          <w:rFonts w:ascii="Segoe UI" w:hAnsi="Segoe UI"/>
          <w:color w:val="231F20"/>
          <w:sz w:val="16"/>
        </w:rPr>
        <w:t>out</w:t>
      </w:r>
      <w:r>
        <w:rPr>
          <w:rFonts w:ascii="Segoe UI" w:hAnsi="Segoe UI"/>
          <w:color w:val="231F20"/>
          <w:spacing w:val="-3"/>
          <w:sz w:val="16"/>
        </w:rPr>
        <w:t> </w:t>
      </w:r>
      <w:r>
        <w:rPr>
          <w:rFonts w:ascii="Segoe UI" w:hAnsi="Segoe UI"/>
          <w:color w:val="231F20"/>
          <w:sz w:val="16"/>
        </w:rPr>
        <w:t>of</w:t>
      </w:r>
      <w:r>
        <w:rPr>
          <w:rFonts w:ascii="Segoe UI" w:hAnsi="Segoe UI"/>
          <w:color w:val="231F20"/>
          <w:spacing w:val="-3"/>
          <w:sz w:val="16"/>
        </w:rPr>
        <w:t> </w:t>
      </w:r>
      <w:r>
        <w:rPr>
          <w:rFonts w:ascii="Segoe UI" w:hAnsi="Segoe UI"/>
          <w:color w:val="231F20"/>
          <w:sz w:val="16"/>
        </w:rPr>
        <w:t>or</w:t>
      </w:r>
      <w:r>
        <w:rPr>
          <w:rFonts w:ascii="Segoe UI" w:hAnsi="Segoe UI"/>
          <w:color w:val="231F20"/>
          <w:spacing w:val="-3"/>
          <w:sz w:val="16"/>
        </w:rPr>
        <w:t> </w:t>
      </w:r>
      <w:r>
        <w:rPr>
          <w:rFonts w:ascii="Segoe UI" w:hAnsi="Segoe UI"/>
          <w:color w:val="231F20"/>
          <w:spacing w:val="-1"/>
          <w:sz w:val="16"/>
        </w:rPr>
        <w:t>in</w:t>
      </w:r>
      <w:r>
        <w:rPr>
          <w:rFonts w:ascii="Segoe UI" w:hAnsi="Segoe UI"/>
          <w:color w:val="231F20"/>
          <w:spacing w:val="-3"/>
          <w:sz w:val="16"/>
        </w:rPr>
        <w:t> </w:t>
      </w:r>
      <w:r>
        <w:rPr>
          <w:rFonts w:ascii="Segoe UI" w:hAnsi="Segoe UI"/>
          <w:color w:val="231F20"/>
          <w:sz w:val="16"/>
        </w:rPr>
        <w:t>connection</w:t>
      </w:r>
      <w:r>
        <w:rPr>
          <w:rFonts w:ascii="Segoe UI" w:hAnsi="Segoe UI"/>
          <w:color w:val="231F20"/>
          <w:spacing w:val="-4"/>
          <w:sz w:val="16"/>
        </w:rPr>
        <w:t> </w:t>
      </w:r>
      <w:r>
        <w:rPr>
          <w:rFonts w:ascii="Segoe UI" w:hAnsi="Segoe UI"/>
          <w:color w:val="231F20"/>
          <w:sz w:val="16"/>
        </w:rPr>
        <w:t>with</w:t>
      </w:r>
      <w:r>
        <w:rPr>
          <w:rFonts w:ascii="Segoe UI" w:hAnsi="Segoe UI"/>
          <w:color w:val="231F20"/>
          <w:spacing w:val="-4"/>
          <w:sz w:val="16"/>
        </w:rPr>
        <w:t> </w:t>
      </w:r>
      <w:r>
        <w:rPr>
          <w:rFonts w:ascii="Segoe UI" w:hAnsi="Segoe UI"/>
          <w:color w:val="231F20"/>
          <w:sz w:val="16"/>
        </w:rPr>
        <w:t>the</w:t>
      </w:r>
      <w:r>
        <w:rPr>
          <w:rFonts w:ascii="Segoe UI" w:hAnsi="Segoe UI"/>
          <w:color w:val="231F20"/>
          <w:spacing w:val="-4"/>
          <w:sz w:val="16"/>
        </w:rPr>
        <w:t> </w:t>
      </w:r>
      <w:r>
        <w:rPr>
          <w:rFonts w:ascii="Segoe UI" w:hAnsi="Segoe UI"/>
          <w:color w:val="231F20"/>
          <w:sz w:val="16"/>
        </w:rPr>
        <w:t>provision</w:t>
      </w:r>
      <w:r>
        <w:rPr>
          <w:rFonts w:ascii="Segoe UI" w:hAnsi="Segoe UI"/>
          <w:color w:val="231F20"/>
          <w:spacing w:val="-4"/>
          <w:sz w:val="16"/>
        </w:rPr>
        <w:t> </w:t>
      </w:r>
      <w:r>
        <w:rPr>
          <w:rFonts w:ascii="Segoe UI" w:hAnsi="Segoe UI"/>
          <w:color w:val="231F20"/>
          <w:sz w:val="16"/>
        </w:rPr>
        <w:t>to</w:t>
      </w:r>
      <w:r>
        <w:rPr>
          <w:rFonts w:ascii="Segoe UI" w:hAnsi="Segoe UI"/>
          <w:color w:val="231F20"/>
          <w:spacing w:val="-4"/>
          <w:sz w:val="16"/>
        </w:rPr>
        <w:t> </w:t>
      </w:r>
      <w:r>
        <w:rPr>
          <w:rFonts w:ascii="Segoe UI" w:hAnsi="Segoe UI"/>
          <w:color w:val="231F20"/>
          <w:sz w:val="16"/>
        </w:rPr>
        <w:t>you</w:t>
      </w:r>
      <w:r>
        <w:rPr>
          <w:rFonts w:ascii="Segoe UI" w:hAnsi="Segoe UI"/>
          <w:color w:val="231F20"/>
          <w:spacing w:val="-4"/>
          <w:sz w:val="16"/>
        </w:rPr>
        <w:t> </w:t>
      </w:r>
      <w:r>
        <w:rPr>
          <w:rFonts w:ascii="Segoe UI" w:hAnsi="Segoe UI"/>
          <w:color w:val="231F20"/>
          <w:sz w:val="16"/>
        </w:rPr>
        <w:t>of</w:t>
      </w:r>
      <w:r>
        <w:rPr>
          <w:rFonts w:ascii="Segoe UI" w:hAnsi="Segoe UI"/>
          <w:color w:val="231F20"/>
          <w:spacing w:val="-3"/>
          <w:sz w:val="16"/>
        </w:rPr>
        <w:t> </w:t>
      </w:r>
      <w:r>
        <w:rPr>
          <w:rFonts w:ascii="Segoe UI" w:hAnsi="Segoe UI"/>
          <w:color w:val="231F20"/>
          <w:sz w:val="16"/>
        </w:rPr>
        <w:t>the</w:t>
      </w:r>
      <w:r>
        <w:rPr>
          <w:rFonts w:ascii="Segoe UI" w:hAnsi="Segoe UI"/>
          <w:color w:val="231F20"/>
          <w:spacing w:val="-4"/>
          <w:sz w:val="16"/>
        </w:rPr>
        <w:t> </w:t>
      </w:r>
      <w:r>
        <w:rPr>
          <w:rFonts w:ascii="Segoe UI" w:hAnsi="Segoe UI"/>
          <w:color w:val="231F20"/>
          <w:sz w:val="16"/>
        </w:rPr>
        <w:t>attached</w:t>
      </w:r>
      <w:r>
        <w:rPr>
          <w:rFonts w:ascii="Segoe UI" w:hAnsi="Segoe UI"/>
          <w:color w:val="231F20"/>
          <w:spacing w:val="-4"/>
          <w:sz w:val="16"/>
        </w:rPr>
        <w:t> </w:t>
      </w:r>
      <w:r>
        <w:rPr>
          <w:rFonts w:ascii="Segoe UI" w:hAnsi="Segoe UI"/>
          <w:color w:val="231F20"/>
          <w:sz w:val="16"/>
        </w:rPr>
        <w:t>report</w:t>
      </w:r>
      <w:r>
        <w:rPr>
          <w:rFonts w:ascii="Segoe UI" w:hAnsi="Segoe UI"/>
          <w:color w:val="231F20"/>
          <w:spacing w:val="-4"/>
          <w:sz w:val="16"/>
        </w:rPr>
        <w:t> </w:t>
      </w:r>
      <w:r>
        <w:rPr>
          <w:rFonts w:ascii="Segoe UI" w:hAnsi="Segoe UI"/>
          <w:color w:val="231F20"/>
          <w:sz w:val="16"/>
        </w:rPr>
        <w:t>or</w:t>
      </w:r>
      <w:r>
        <w:rPr>
          <w:rFonts w:ascii="Segoe UI" w:hAnsi="Segoe UI"/>
          <w:color w:val="231F20"/>
          <w:spacing w:val="-3"/>
          <w:sz w:val="16"/>
        </w:rPr>
        <w:t> </w:t>
      </w:r>
      <w:r>
        <w:rPr>
          <w:rFonts w:ascii="Segoe UI" w:hAnsi="Segoe UI"/>
          <w:color w:val="231F20"/>
          <w:sz w:val="16"/>
        </w:rPr>
        <w:t>any</w:t>
      </w:r>
      <w:r>
        <w:rPr>
          <w:rFonts w:ascii="Segoe UI" w:hAnsi="Segoe UI"/>
          <w:color w:val="231F20"/>
          <w:spacing w:val="-4"/>
          <w:sz w:val="16"/>
        </w:rPr>
        <w:t> </w:t>
      </w:r>
      <w:r>
        <w:rPr>
          <w:rFonts w:ascii="Segoe UI" w:hAnsi="Segoe UI"/>
          <w:color w:val="231F20"/>
          <w:sz w:val="16"/>
        </w:rPr>
        <w:t>part</w:t>
      </w:r>
      <w:r>
        <w:rPr>
          <w:rFonts w:ascii="Segoe UI" w:hAnsi="Segoe UI"/>
          <w:color w:val="231F20"/>
          <w:spacing w:val="-3"/>
          <w:sz w:val="16"/>
        </w:rPr>
        <w:t> </w:t>
      </w:r>
      <w:r>
        <w:rPr>
          <w:rFonts w:ascii="Segoe UI" w:hAnsi="Segoe UI"/>
          <w:color w:val="231F20"/>
          <w:sz w:val="16"/>
        </w:rPr>
        <w:t>thereof,</w:t>
      </w:r>
      <w:r>
        <w:rPr>
          <w:rFonts w:ascii="Segoe UI" w:hAnsi="Segoe UI"/>
          <w:color w:val="231F20"/>
          <w:spacing w:val="-4"/>
          <w:sz w:val="16"/>
        </w:rPr>
        <w:t> </w:t>
      </w:r>
      <w:r>
        <w:rPr>
          <w:rFonts w:ascii="Segoe UI" w:hAnsi="Segoe UI"/>
          <w:color w:val="231F20"/>
          <w:sz w:val="16"/>
        </w:rPr>
        <w:t>however</w:t>
      </w:r>
      <w:r>
        <w:rPr>
          <w:rFonts w:ascii="Segoe UI" w:hAnsi="Segoe UI"/>
          <w:color w:val="231F20"/>
          <w:spacing w:val="-4"/>
          <w:sz w:val="16"/>
        </w:rPr>
        <w:t> </w:t>
      </w:r>
      <w:r>
        <w:rPr>
          <w:rFonts w:ascii="Segoe UI" w:hAnsi="Segoe UI"/>
          <w:color w:val="231F20"/>
          <w:sz w:val="16"/>
        </w:rPr>
        <w:t>the</w:t>
      </w:r>
      <w:r>
        <w:rPr>
          <w:rFonts w:ascii="Segoe UI" w:hAnsi="Segoe UI"/>
          <w:color w:val="231F20"/>
          <w:spacing w:val="21"/>
          <w:w w:val="99"/>
          <w:sz w:val="16"/>
        </w:rPr>
        <w:t> </w:t>
      </w:r>
      <w:r>
        <w:rPr>
          <w:rFonts w:ascii="Segoe UI" w:hAnsi="Segoe UI"/>
          <w:color w:val="231F20"/>
          <w:spacing w:val="-1"/>
          <w:sz w:val="16"/>
        </w:rPr>
        <w:t>loss</w:t>
      </w:r>
      <w:r>
        <w:rPr>
          <w:rFonts w:ascii="Segoe UI" w:hAnsi="Segoe UI"/>
          <w:color w:val="231F20"/>
          <w:spacing w:val="-3"/>
          <w:sz w:val="16"/>
        </w:rPr>
        <w:t> </w:t>
      </w:r>
      <w:r>
        <w:rPr>
          <w:rFonts w:ascii="Segoe UI" w:hAnsi="Segoe UI"/>
          <w:color w:val="231F20"/>
          <w:sz w:val="16"/>
        </w:rPr>
        <w:t>or</w:t>
      </w:r>
      <w:r>
        <w:rPr>
          <w:rFonts w:ascii="Segoe UI" w:hAnsi="Segoe UI"/>
          <w:color w:val="231F20"/>
          <w:spacing w:val="-3"/>
          <w:sz w:val="16"/>
        </w:rPr>
        <w:t> </w:t>
      </w:r>
      <w:r>
        <w:rPr>
          <w:rFonts w:ascii="Segoe UI" w:hAnsi="Segoe UI"/>
          <w:color w:val="231F20"/>
          <w:sz w:val="16"/>
        </w:rPr>
        <w:t>damage</w:t>
      </w:r>
      <w:r>
        <w:rPr>
          <w:rFonts w:ascii="Segoe UI" w:hAnsi="Segoe UI"/>
          <w:color w:val="231F20"/>
          <w:spacing w:val="-3"/>
          <w:sz w:val="16"/>
        </w:rPr>
        <w:t> </w:t>
      </w:r>
      <w:r>
        <w:rPr>
          <w:rFonts w:ascii="Segoe UI" w:hAnsi="Segoe UI"/>
          <w:color w:val="231F20"/>
          <w:sz w:val="16"/>
        </w:rPr>
        <w:t>caused,</w:t>
      </w:r>
      <w:r>
        <w:rPr>
          <w:rFonts w:ascii="Segoe UI" w:hAnsi="Segoe UI"/>
          <w:color w:val="231F20"/>
          <w:spacing w:val="-4"/>
          <w:sz w:val="16"/>
        </w:rPr>
        <w:t> </w:t>
      </w:r>
      <w:r>
        <w:rPr>
          <w:rFonts w:ascii="Segoe UI" w:hAnsi="Segoe UI"/>
          <w:color w:val="231F20"/>
          <w:spacing w:val="-1"/>
          <w:sz w:val="16"/>
        </w:rPr>
        <w:t>including,</w:t>
      </w:r>
      <w:r>
        <w:rPr>
          <w:rFonts w:ascii="Segoe UI" w:hAnsi="Segoe UI"/>
          <w:color w:val="231F20"/>
          <w:spacing w:val="-3"/>
          <w:sz w:val="16"/>
        </w:rPr>
        <w:t> </w:t>
      </w:r>
      <w:r>
        <w:rPr>
          <w:rFonts w:ascii="Segoe UI" w:hAnsi="Segoe UI"/>
          <w:color w:val="231F20"/>
          <w:sz w:val="16"/>
        </w:rPr>
        <w:t>but</w:t>
      </w:r>
      <w:r>
        <w:rPr>
          <w:rFonts w:ascii="Segoe UI" w:hAnsi="Segoe UI"/>
          <w:color w:val="231F20"/>
          <w:spacing w:val="-2"/>
          <w:sz w:val="16"/>
        </w:rPr>
        <w:t> </w:t>
      </w:r>
      <w:r>
        <w:rPr>
          <w:rFonts w:ascii="Segoe UI" w:hAnsi="Segoe UI"/>
          <w:color w:val="231F20"/>
          <w:sz w:val="16"/>
        </w:rPr>
        <w:t>not</w:t>
      </w:r>
      <w:r>
        <w:rPr>
          <w:rFonts w:ascii="Segoe UI" w:hAnsi="Segoe UI"/>
          <w:color w:val="231F20"/>
          <w:spacing w:val="-3"/>
          <w:sz w:val="16"/>
        </w:rPr>
        <w:t> </w:t>
      </w:r>
      <w:r>
        <w:rPr>
          <w:rFonts w:ascii="Segoe UI" w:hAnsi="Segoe UI"/>
          <w:color w:val="231F20"/>
          <w:spacing w:val="-1"/>
          <w:sz w:val="16"/>
        </w:rPr>
        <w:t>limited</w:t>
      </w:r>
      <w:r>
        <w:rPr>
          <w:rFonts w:ascii="Segoe UI" w:hAnsi="Segoe UI"/>
          <w:color w:val="231F20"/>
          <w:spacing w:val="-3"/>
          <w:sz w:val="16"/>
        </w:rPr>
        <w:t> </w:t>
      </w:r>
      <w:r>
        <w:rPr>
          <w:rFonts w:ascii="Segoe UI" w:hAnsi="Segoe UI"/>
          <w:color w:val="231F20"/>
          <w:sz w:val="16"/>
        </w:rPr>
        <w:t>to,</w:t>
      </w:r>
      <w:r>
        <w:rPr>
          <w:rFonts w:ascii="Segoe UI" w:hAnsi="Segoe UI"/>
          <w:color w:val="231F20"/>
          <w:spacing w:val="-3"/>
          <w:sz w:val="16"/>
        </w:rPr>
        <w:t> </w:t>
      </w:r>
      <w:r>
        <w:rPr>
          <w:rFonts w:ascii="Segoe UI" w:hAnsi="Segoe UI"/>
          <w:color w:val="231F20"/>
          <w:sz w:val="16"/>
        </w:rPr>
        <w:t>as</w:t>
      </w:r>
      <w:r>
        <w:rPr>
          <w:rFonts w:ascii="Segoe UI" w:hAnsi="Segoe UI"/>
          <w:color w:val="231F20"/>
          <w:spacing w:val="-4"/>
          <w:sz w:val="16"/>
        </w:rPr>
        <w:t> </w:t>
      </w:r>
      <w:r>
        <w:rPr>
          <w:rFonts w:ascii="Segoe UI" w:hAnsi="Segoe UI"/>
          <w:color w:val="231F20"/>
          <w:sz w:val="16"/>
        </w:rPr>
        <w:t>a</w:t>
      </w:r>
      <w:r>
        <w:rPr>
          <w:rFonts w:ascii="Segoe UI" w:hAnsi="Segoe UI"/>
          <w:color w:val="231F20"/>
          <w:spacing w:val="-3"/>
          <w:sz w:val="16"/>
        </w:rPr>
        <w:t> </w:t>
      </w:r>
      <w:r>
        <w:rPr>
          <w:rFonts w:ascii="Segoe UI" w:hAnsi="Segoe UI"/>
          <w:color w:val="231F20"/>
          <w:sz w:val="16"/>
        </w:rPr>
        <w:t>result</w:t>
      </w:r>
      <w:r>
        <w:rPr>
          <w:rFonts w:ascii="Segoe UI" w:hAnsi="Segoe UI"/>
          <w:color w:val="231F20"/>
          <w:spacing w:val="-3"/>
          <w:sz w:val="16"/>
        </w:rPr>
        <w:t> </w:t>
      </w:r>
      <w:r>
        <w:rPr>
          <w:rFonts w:ascii="Segoe UI" w:hAnsi="Segoe UI"/>
          <w:color w:val="231F20"/>
          <w:sz w:val="16"/>
        </w:rPr>
        <w:t>of</w:t>
      </w:r>
      <w:r>
        <w:rPr>
          <w:rFonts w:ascii="Segoe UI" w:hAnsi="Segoe UI"/>
          <w:color w:val="231F20"/>
          <w:spacing w:val="-3"/>
          <w:sz w:val="16"/>
        </w:rPr>
        <w:t> </w:t>
      </w:r>
      <w:r>
        <w:rPr>
          <w:rFonts w:ascii="Segoe UI" w:hAnsi="Segoe UI"/>
          <w:color w:val="231F20"/>
          <w:sz w:val="16"/>
        </w:rPr>
        <w:t>negligence</w:t>
      </w:r>
      <w:r>
        <w:rPr>
          <w:rFonts w:ascii="Segoe UI" w:hAnsi="Segoe UI"/>
          <w:color w:val="231F20"/>
          <w:spacing w:val="-4"/>
          <w:sz w:val="16"/>
        </w:rPr>
        <w:t> </w:t>
      </w:r>
      <w:r>
        <w:rPr>
          <w:rFonts w:ascii="Segoe UI" w:hAnsi="Segoe UI"/>
          <w:color w:val="231F20"/>
          <w:sz w:val="16"/>
        </w:rPr>
        <w:t>but</w:t>
      </w:r>
      <w:r>
        <w:rPr>
          <w:rFonts w:ascii="Segoe UI" w:hAnsi="Segoe UI"/>
          <w:color w:val="231F20"/>
          <w:spacing w:val="-2"/>
          <w:sz w:val="16"/>
        </w:rPr>
        <w:t> </w:t>
      </w:r>
      <w:r>
        <w:rPr>
          <w:rFonts w:ascii="Segoe UI" w:hAnsi="Segoe UI"/>
          <w:color w:val="231F20"/>
          <w:sz w:val="16"/>
        </w:rPr>
        <w:t>not</w:t>
      </w:r>
      <w:r>
        <w:rPr>
          <w:rFonts w:ascii="Segoe UI" w:hAnsi="Segoe UI"/>
          <w:color w:val="231F20"/>
          <w:spacing w:val="-3"/>
          <w:sz w:val="16"/>
        </w:rPr>
        <w:t> </w:t>
      </w:r>
      <w:r>
        <w:rPr>
          <w:rFonts w:ascii="Segoe UI" w:hAnsi="Segoe UI"/>
          <w:color w:val="231F20"/>
          <w:sz w:val="16"/>
        </w:rPr>
        <w:t>as</w:t>
      </w:r>
      <w:r>
        <w:rPr>
          <w:rFonts w:ascii="Segoe UI" w:hAnsi="Segoe UI"/>
          <w:color w:val="231F20"/>
          <w:spacing w:val="-3"/>
          <w:sz w:val="16"/>
        </w:rPr>
        <w:t> </w:t>
      </w:r>
      <w:r>
        <w:rPr>
          <w:rFonts w:ascii="Segoe UI" w:hAnsi="Segoe UI"/>
          <w:color w:val="231F20"/>
          <w:sz w:val="16"/>
        </w:rPr>
        <w:t>a</w:t>
      </w:r>
      <w:r>
        <w:rPr>
          <w:rFonts w:ascii="Segoe UI" w:hAnsi="Segoe UI"/>
          <w:color w:val="231F20"/>
          <w:spacing w:val="-3"/>
          <w:sz w:val="16"/>
        </w:rPr>
        <w:t> </w:t>
      </w:r>
      <w:r>
        <w:rPr>
          <w:rFonts w:ascii="Segoe UI" w:hAnsi="Segoe UI"/>
          <w:color w:val="231F20"/>
          <w:sz w:val="16"/>
        </w:rPr>
        <w:t>result</w:t>
      </w:r>
      <w:r>
        <w:rPr>
          <w:rFonts w:ascii="Segoe UI" w:hAnsi="Segoe UI"/>
          <w:color w:val="231F20"/>
          <w:spacing w:val="-4"/>
          <w:sz w:val="16"/>
        </w:rPr>
        <w:t> </w:t>
      </w:r>
      <w:r>
        <w:rPr>
          <w:rFonts w:ascii="Segoe UI" w:hAnsi="Segoe UI"/>
          <w:color w:val="231F20"/>
          <w:sz w:val="16"/>
        </w:rPr>
        <w:t>of</w:t>
      </w:r>
      <w:r>
        <w:rPr>
          <w:rFonts w:ascii="Segoe UI" w:hAnsi="Segoe UI"/>
          <w:color w:val="231F20"/>
          <w:spacing w:val="-2"/>
          <w:sz w:val="16"/>
        </w:rPr>
        <w:t> </w:t>
      </w:r>
      <w:r>
        <w:rPr>
          <w:rFonts w:ascii="Segoe UI" w:hAnsi="Segoe UI"/>
          <w:color w:val="231F20"/>
          <w:sz w:val="16"/>
        </w:rPr>
        <w:t>the</w:t>
      </w:r>
      <w:r>
        <w:rPr>
          <w:rFonts w:ascii="Segoe UI" w:hAnsi="Segoe UI"/>
          <w:color w:val="231F20"/>
          <w:spacing w:val="-4"/>
          <w:sz w:val="16"/>
        </w:rPr>
        <w:t> </w:t>
      </w:r>
      <w:r>
        <w:rPr>
          <w:rFonts w:ascii="Segoe UI" w:hAnsi="Segoe UI"/>
          <w:color w:val="231F20"/>
          <w:sz w:val="16"/>
        </w:rPr>
        <w:t>fraud</w:t>
      </w:r>
      <w:r>
        <w:rPr>
          <w:rFonts w:ascii="Segoe UI" w:hAnsi="Segoe UI"/>
          <w:color w:val="231F20"/>
          <w:spacing w:val="-3"/>
          <w:sz w:val="16"/>
        </w:rPr>
        <w:t> </w:t>
      </w:r>
      <w:r>
        <w:rPr>
          <w:rFonts w:ascii="Segoe UI" w:hAnsi="Segoe UI"/>
          <w:color w:val="231F20"/>
          <w:sz w:val="16"/>
        </w:rPr>
        <w:t>or</w:t>
      </w:r>
      <w:r>
        <w:rPr>
          <w:rFonts w:ascii="Segoe UI" w:hAnsi="Segoe UI"/>
          <w:sz w:val="16"/>
        </w:rPr>
      </w:r>
    </w:p>
    <w:p>
      <w:pPr>
        <w:spacing w:before="37"/>
        <w:ind w:left="344" w:right="0" w:firstLine="0"/>
        <w:jc w:val="left"/>
        <w:rPr>
          <w:rFonts w:ascii="Segoe UI" w:hAnsi="Segoe UI" w:cs="Segoe UI" w:eastAsia="Segoe UI"/>
          <w:sz w:val="16"/>
          <w:szCs w:val="16"/>
        </w:rPr>
      </w:pPr>
      <w:r>
        <w:rPr>
          <w:rFonts w:ascii="Segoe UI"/>
          <w:color w:val="231F20"/>
          <w:sz w:val="16"/>
        </w:rPr>
        <w:t>dishonesty</w:t>
      </w:r>
      <w:r>
        <w:rPr>
          <w:rFonts w:ascii="Segoe UI"/>
          <w:color w:val="231F20"/>
          <w:spacing w:val="-5"/>
          <w:sz w:val="16"/>
        </w:rPr>
        <w:t> </w:t>
      </w:r>
      <w:r>
        <w:rPr>
          <w:rFonts w:ascii="Segoe UI"/>
          <w:color w:val="231F20"/>
          <w:sz w:val="16"/>
        </w:rPr>
        <w:t>of</w:t>
      </w:r>
      <w:r>
        <w:rPr>
          <w:rFonts w:ascii="Segoe UI"/>
          <w:color w:val="231F20"/>
          <w:spacing w:val="-5"/>
          <w:sz w:val="16"/>
        </w:rPr>
        <w:t> </w:t>
      </w:r>
      <w:r>
        <w:rPr>
          <w:rFonts w:ascii="Segoe UI"/>
          <w:color w:val="231F20"/>
          <w:sz w:val="16"/>
        </w:rPr>
        <w:t>Grant</w:t>
      </w:r>
      <w:r>
        <w:rPr>
          <w:rFonts w:ascii="Segoe UI"/>
          <w:color w:val="231F20"/>
          <w:spacing w:val="-4"/>
          <w:sz w:val="16"/>
        </w:rPr>
        <w:t> </w:t>
      </w:r>
      <w:r>
        <w:rPr>
          <w:rFonts w:ascii="Segoe UI"/>
          <w:color w:val="231F20"/>
          <w:sz w:val="16"/>
        </w:rPr>
        <w:t>Thornton.</w:t>
      </w:r>
      <w:r>
        <w:rPr>
          <w:rFonts w:ascii="Segoe UI"/>
          <w:sz w:val="16"/>
        </w:rPr>
      </w:r>
    </w:p>
    <w:p>
      <w:pPr>
        <w:spacing w:line="200" w:lineRule="exact" w:before="113"/>
        <w:ind w:left="117" w:right="634" w:firstLine="0"/>
        <w:jc w:val="left"/>
        <w:rPr>
          <w:rFonts w:ascii="Segoe UI" w:hAnsi="Segoe UI" w:cs="Segoe UI" w:eastAsia="Segoe UI"/>
          <w:sz w:val="16"/>
          <w:szCs w:val="16"/>
        </w:rPr>
      </w:pPr>
      <w:r>
        <w:rPr>
          <w:rFonts w:ascii="Segoe UI"/>
          <w:color w:val="231F20"/>
          <w:spacing w:val="-1"/>
          <w:sz w:val="16"/>
        </w:rPr>
        <w:t>If</w:t>
      </w:r>
      <w:r>
        <w:rPr>
          <w:rFonts w:ascii="Segoe UI"/>
          <w:color w:val="231F20"/>
          <w:spacing w:val="-4"/>
          <w:sz w:val="16"/>
        </w:rPr>
        <w:t> </w:t>
      </w:r>
      <w:r>
        <w:rPr>
          <w:rFonts w:ascii="Segoe UI"/>
          <w:color w:val="231F20"/>
          <w:sz w:val="16"/>
        </w:rPr>
        <w:t>you</w:t>
      </w:r>
      <w:r>
        <w:rPr>
          <w:rFonts w:ascii="Segoe UI"/>
          <w:color w:val="231F20"/>
          <w:spacing w:val="-4"/>
          <w:sz w:val="16"/>
        </w:rPr>
        <w:t> </w:t>
      </w:r>
      <w:r>
        <w:rPr>
          <w:rFonts w:ascii="Segoe UI"/>
          <w:color w:val="231F20"/>
          <w:sz w:val="16"/>
        </w:rPr>
        <w:t>have</w:t>
      </w:r>
      <w:r>
        <w:rPr>
          <w:rFonts w:ascii="Segoe UI"/>
          <w:color w:val="231F20"/>
          <w:spacing w:val="-4"/>
          <w:sz w:val="16"/>
        </w:rPr>
        <w:t> </w:t>
      </w:r>
      <w:r>
        <w:rPr>
          <w:rFonts w:ascii="Segoe UI"/>
          <w:color w:val="231F20"/>
          <w:sz w:val="16"/>
        </w:rPr>
        <w:t>not</w:t>
      </w:r>
      <w:r>
        <w:rPr>
          <w:rFonts w:ascii="Segoe UI"/>
          <w:color w:val="231F20"/>
          <w:spacing w:val="-4"/>
          <w:sz w:val="16"/>
        </w:rPr>
        <w:t> </w:t>
      </w:r>
      <w:r>
        <w:rPr>
          <w:rFonts w:ascii="Segoe UI"/>
          <w:color w:val="231F20"/>
          <w:sz w:val="16"/>
        </w:rPr>
        <w:t>executed</w:t>
      </w:r>
      <w:r>
        <w:rPr>
          <w:rFonts w:ascii="Segoe UI"/>
          <w:color w:val="231F20"/>
          <w:spacing w:val="-3"/>
          <w:sz w:val="16"/>
        </w:rPr>
        <w:t> </w:t>
      </w:r>
      <w:r>
        <w:rPr>
          <w:rFonts w:ascii="Segoe UI"/>
          <w:color w:val="231F20"/>
          <w:sz w:val="16"/>
        </w:rPr>
        <w:t>a</w:t>
      </w:r>
      <w:r>
        <w:rPr>
          <w:rFonts w:ascii="Segoe UI"/>
          <w:color w:val="231F20"/>
          <w:spacing w:val="-3"/>
          <w:sz w:val="16"/>
        </w:rPr>
        <w:t> </w:t>
      </w:r>
      <w:r>
        <w:rPr>
          <w:rFonts w:ascii="Segoe UI"/>
          <w:color w:val="231F20"/>
          <w:sz w:val="16"/>
        </w:rPr>
        <w:t>formal</w:t>
      </w:r>
      <w:r>
        <w:rPr>
          <w:rFonts w:ascii="Segoe UI"/>
          <w:color w:val="231F20"/>
          <w:spacing w:val="-4"/>
          <w:sz w:val="16"/>
        </w:rPr>
        <w:t> </w:t>
      </w:r>
      <w:r>
        <w:rPr>
          <w:rFonts w:ascii="Segoe UI"/>
          <w:color w:val="231F20"/>
          <w:spacing w:val="-1"/>
          <w:sz w:val="16"/>
        </w:rPr>
        <w:t>letter</w:t>
      </w:r>
      <w:r>
        <w:rPr>
          <w:rFonts w:ascii="Segoe UI"/>
          <w:color w:val="231F20"/>
          <w:spacing w:val="-3"/>
          <w:sz w:val="16"/>
        </w:rPr>
        <w:t> </w:t>
      </w:r>
      <w:r>
        <w:rPr>
          <w:rFonts w:ascii="Segoe UI"/>
          <w:color w:val="231F20"/>
          <w:sz w:val="16"/>
        </w:rPr>
        <w:t>of</w:t>
      </w:r>
      <w:r>
        <w:rPr>
          <w:rFonts w:ascii="Segoe UI"/>
          <w:color w:val="231F20"/>
          <w:spacing w:val="-3"/>
          <w:sz w:val="16"/>
        </w:rPr>
        <w:t> </w:t>
      </w:r>
      <w:r>
        <w:rPr>
          <w:rFonts w:ascii="Segoe UI"/>
          <w:color w:val="231F20"/>
          <w:sz w:val="16"/>
        </w:rPr>
        <w:t>reliance</w:t>
      </w:r>
      <w:r>
        <w:rPr>
          <w:rFonts w:ascii="Segoe UI"/>
          <w:color w:val="231F20"/>
          <w:spacing w:val="-4"/>
          <w:sz w:val="16"/>
        </w:rPr>
        <w:t> </w:t>
      </w:r>
      <w:r>
        <w:rPr>
          <w:rFonts w:ascii="Segoe UI"/>
          <w:color w:val="231F20"/>
          <w:sz w:val="16"/>
        </w:rPr>
        <w:t>with</w:t>
      </w:r>
      <w:r>
        <w:rPr>
          <w:rFonts w:ascii="Segoe UI"/>
          <w:color w:val="231F20"/>
          <w:spacing w:val="-5"/>
          <w:sz w:val="16"/>
        </w:rPr>
        <w:t> </w:t>
      </w:r>
      <w:r>
        <w:rPr>
          <w:rFonts w:ascii="Segoe UI"/>
          <w:color w:val="231F20"/>
          <w:sz w:val="16"/>
        </w:rPr>
        <w:t>Grant</w:t>
      </w:r>
      <w:r>
        <w:rPr>
          <w:rFonts w:ascii="Segoe UI"/>
          <w:color w:val="231F20"/>
          <w:spacing w:val="-3"/>
          <w:sz w:val="16"/>
        </w:rPr>
        <w:t> </w:t>
      </w:r>
      <w:r>
        <w:rPr>
          <w:rFonts w:ascii="Segoe UI"/>
          <w:color w:val="231F20"/>
          <w:sz w:val="16"/>
        </w:rPr>
        <w:t>Thornton</w:t>
      </w:r>
      <w:r>
        <w:rPr>
          <w:rFonts w:ascii="Segoe UI"/>
          <w:color w:val="231F20"/>
          <w:spacing w:val="-3"/>
          <w:sz w:val="16"/>
        </w:rPr>
        <w:t> </w:t>
      </w:r>
      <w:r>
        <w:rPr>
          <w:rFonts w:ascii="Segoe UI"/>
          <w:color w:val="231F20"/>
          <w:sz w:val="16"/>
        </w:rPr>
        <w:t>and</w:t>
      </w:r>
      <w:r>
        <w:rPr>
          <w:rFonts w:ascii="Segoe UI"/>
          <w:color w:val="231F20"/>
          <w:spacing w:val="-5"/>
          <w:sz w:val="16"/>
        </w:rPr>
        <w:t> </w:t>
      </w:r>
      <w:r>
        <w:rPr>
          <w:rFonts w:ascii="Segoe UI"/>
          <w:color w:val="231F20"/>
          <w:sz w:val="16"/>
        </w:rPr>
        <w:t>you</w:t>
      </w:r>
      <w:r>
        <w:rPr>
          <w:rFonts w:ascii="Segoe UI"/>
          <w:color w:val="231F20"/>
          <w:spacing w:val="-4"/>
          <w:sz w:val="16"/>
        </w:rPr>
        <w:t> </w:t>
      </w:r>
      <w:r>
        <w:rPr>
          <w:rFonts w:ascii="Segoe UI"/>
          <w:color w:val="231F20"/>
          <w:sz w:val="16"/>
        </w:rPr>
        <w:t>wish</w:t>
      </w:r>
      <w:r>
        <w:rPr>
          <w:rFonts w:ascii="Segoe UI"/>
          <w:color w:val="231F20"/>
          <w:spacing w:val="-4"/>
          <w:sz w:val="16"/>
        </w:rPr>
        <w:t> </w:t>
      </w:r>
      <w:r>
        <w:rPr>
          <w:rFonts w:ascii="Segoe UI"/>
          <w:color w:val="231F20"/>
          <w:sz w:val="16"/>
        </w:rPr>
        <w:t>to</w:t>
      </w:r>
      <w:r>
        <w:rPr>
          <w:rFonts w:ascii="Segoe UI"/>
          <w:color w:val="231F20"/>
          <w:spacing w:val="-3"/>
          <w:sz w:val="16"/>
        </w:rPr>
        <w:t> </w:t>
      </w:r>
      <w:r>
        <w:rPr>
          <w:rFonts w:ascii="Segoe UI"/>
          <w:color w:val="231F20"/>
          <w:sz w:val="16"/>
        </w:rPr>
        <w:t>rely</w:t>
      </w:r>
      <w:r>
        <w:rPr>
          <w:rFonts w:ascii="Segoe UI"/>
          <w:color w:val="231F20"/>
          <w:spacing w:val="-5"/>
          <w:sz w:val="16"/>
        </w:rPr>
        <w:t> </w:t>
      </w:r>
      <w:r>
        <w:rPr>
          <w:rFonts w:ascii="Segoe UI"/>
          <w:color w:val="231F20"/>
          <w:sz w:val="16"/>
        </w:rPr>
        <w:t>upon</w:t>
      </w:r>
      <w:r>
        <w:rPr>
          <w:rFonts w:ascii="Segoe UI"/>
          <w:color w:val="231F20"/>
          <w:spacing w:val="-4"/>
          <w:sz w:val="16"/>
        </w:rPr>
        <w:t> </w:t>
      </w:r>
      <w:r>
        <w:rPr>
          <w:rFonts w:ascii="Segoe UI"/>
          <w:color w:val="231F20"/>
          <w:sz w:val="16"/>
        </w:rPr>
        <w:t>the</w:t>
      </w:r>
      <w:r>
        <w:rPr>
          <w:rFonts w:ascii="Segoe UI"/>
          <w:color w:val="231F20"/>
          <w:spacing w:val="-4"/>
          <w:sz w:val="16"/>
        </w:rPr>
        <w:t> </w:t>
      </w:r>
      <w:r>
        <w:rPr>
          <w:rFonts w:ascii="Segoe UI"/>
          <w:color w:val="231F20"/>
          <w:sz w:val="16"/>
        </w:rPr>
        <w:t>attached</w:t>
      </w:r>
      <w:r>
        <w:rPr>
          <w:rFonts w:ascii="Segoe UI"/>
          <w:color w:val="231F20"/>
          <w:spacing w:val="23"/>
          <w:w w:val="99"/>
          <w:sz w:val="16"/>
        </w:rPr>
        <w:t> </w:t>
      </w:r>
      <w:r>
        <w:rPr>
          <w:rFonts w:ascii="Segoe UI"/>
          <w:color w:val="231F20"/>
          <w:sz w:val="16"/>
        </w:rPr>
        <w:t>report</w:t>
      </w:r>
      <w:r>
        <w:rPr>
          <w:rFonts w:ascii="Segoe UI"/>
          <w:color w:val="231F20"/>
          <w:spacing w:val="-4"/>
          <w:sz w:val="16"/>
        </w:rPr>
        <w:t> </w:t>
      </w:r>
      <w:r>
        <w:rPr>
          <w:rFonts w:ascii="Segoe UI"/>
          <w:color w:val="231F20"/>
          <w:sz w:val="16"/>
        </w:rPr>
        <w:t>or</w:t>
      </w:r>
      <w:r>
        <w:rPr>
          <w:rFonts w:ascii="Segoe UI"/>
          <w:color w:val="231F20"/>
          <w:spacing w:val="-3"/>
          <w:sz w:val="16"/>
        </w:rPr>
        <w:t> </w:t>
      </w:r>
      <w:r>
        <w:rPr>
          <w:rFonts w:ascii="Segoe UI"/>
          <w:color w:val="231F20"/>
          <w:sz w:val="16"/>
        </w:rPr>
        <w:t>any</w:t>
      </w:r>
      <w:r>
        <w:rPr>
          <w:rFonts w:ascii="Segoe UI"/>
          <w:color w:val="231F20"/>
          <w:spacing w:val="-3"/>
          <w:sz w:val="16"/>
        </w:rPr>
        <w:t> </w:t>
      </w:r>
      <w:r>
        <w:rPr>
          <w:rFonts w:ascii="Segoe UI"/>
          <w:color w:val="231F20"/>
          <w:sz w:val="16"/>
        </w:rPr>
        <w:t>part</w:t>
      </w:r>
      <w:r>
        <w:rPr>
          <w:rFonts w:ascii="Segoe UI"/>
          <w:color w:val="231F20"/>
          <w:spacing w:val="-3"/>
          <w:sz w:val="16"/>
        </w:rPr>
        <w:t> </w:t>
      </w:r>
      <w:r>
        <w:rPr>
          <w:rFonts w:ascii="Segoe UI"/>
          <w:color w:val="231F20"/>
          <w:sz w:val="16"/>
        </w:rPr>
        <w:t>thereof</w:t>
      </w:r>
      <w:r>
        <w:rPr>
          <w:rFonts w:ascii="Segoe UI"/>
          <w:color w:val="231F20"/>
          <w:spacing w:val="-3"/>
          <w:sz w:val="16"/>
        </w:rPr>
        <w:t> </w:t>
      </w:r>
      <w:r>
        <w:rPr>
          <w:rFonts w:ascii="Segoe UI"/>
          <w:color w:val="231F20"/>
          <w:sz w:val="16"/>
        </w:rPr>
        <w:t>you</w:t>
      </w:r>
      <w:r>
        <w:rPr>
          <w:rFonts w:ascii="Segoe UI"/>
          <w:color w:val="231F20"/>
          <w:spacing w:val="-4"/>
          <w:sz w:val="16"/>
        </w:rPr>
        <w:t> </w:t>
      </w:r>
      <w:r>
        <w:rPr>
          <w:rFonts w:ascii="Segoe UI"/>
          <w:color w:val="231F20"/>
          <w:sz w:val="16"/>
        </w:rPr>
        <w:t>will</w:t>
      </w:r>
      <w:r>
        <w:rPr>
          <w:rFonts w:ascii="Segoe UI"/>
          <w:color w:val="231F20"/>
          <w:spacing w:val="-3"/>
          <w:sz w:val="16"/>
        </w:rPr>
        <w:t> </w:t>
      </w:r>
      <w:r>
        <w:rPr>
          <w:rFonts w:ascii="Segoe UI"/>
          <w:color w:val="231F20"/>
          <w:sz w:val="16"/>
        </w:rPr>
        <w:t>do</w:t>
      </w:r>
      <w:r>
        <w:rPr>
          <w:rFonts w:ascii="Segoe UI"/>
          <w:color w:val="231F20"/>
          <w:spacing w:val="-3"/>
          <w:sz w:val="16"/>
        </w:rPr>
        <w:t> </w:t>
      </w:r>
      <w:r>
        <w:rPr>
          <w:rFonts w:ascii="Segoe UI"/>
          <w:color w:val="231F20"/>
          <w:spacing w:val="-1"/>
          <w:sz w:val="16"/>
        </w:rPr>
        <w:t>so</w:t>
      </w:r>
      <w:r>
        <w:rPr>
          <w:rFonts w:ascii="Segoe UI"/>
          <w:color w:val="231F20"/>
          <w:spacing w:val="-3"/>
          <w:sz w:val="16"/>
        </w:rPr>
        <w:t> </w:t>
      </w:r>
      <w:r>
        <w:rPr>
          <w:rFonts w:ascii="Segoe UI"/>
          <w:color w:val="231F20"/>
          <w:sz w:val="16"/>
        </w:rPr>
        <w:t>entirely</w:t>
      </w:r>
      <w:r>
        <w:rPr>
          <w:rFonts w:ascii="Segoe UI"/>
          <w:color w:val="231F20"/>
          <w:spacing w:val="-3"/>
          <w:sz w:val="16"/>
        </w:rPr>
        <w:t> </w:t>
      </w:r>
      <w:r>
        <w:rPr>
          <w:rFonts w:ascii="Segoe UI"/>
          <w:color w:val="231F20"/>
          <w:sz w:val="16"/>
        </w:rPr>
        <w:t>at</w:t>
      </w:r>
      <w:r>
        <w:rPr>
          <w:rFonts w:ascii="Segoe UI"/>
          <w:color w:val="231F20"/>
          <w:spacing w:val="-3"/>
          <w:sz w:val="16"/>
        </w:rPr>
        <w:t> </w:t>
      </w:r>
      <w:r>
        <w:rPr>
          <w:rFonts w:ascii="Segoe UI"/>
          <w:color w:val="231F20"/>
          <w:sz w:val="16"/>
        </w:rPr>
        <w:t>your</w:t>
      </w:r>
      <w:r>
        <w:rPr>
          <w:rFonts w:ascii="Segoe UI"/>
          <w:color w:val="231F20"/>
          <w:spacing w:val="-2"/>
          <w:sz w:val="16"/>
        </w:rPr>
        <w:t> </w:t>
      </w:r>
      <w:r>
        <w:rPr>
          <w:rFonts w:ascii="Segoe UI"/>
          <w:color w:val="231F20"/>
          <w:sz w:val="16"/>
        </w:rPr>
        <w:t>own</w:t>
      </w:r>
      <w:r>
        <w:rPr>
          <w:rFonts w:ascii="Segoe UI"/>
          <w:color w:val="231F20"/>
          <w:spacing w:val="-3"/>
          <w:sz w:val="16"/>
        </w:rPr>
        <w:t> </w:t>
      </w:r>
      <w:r>
        <w:rPr>
          <w:rFonts w:ascii="Segoe UI"/>
          <w:color w:val="231F20"/>
          <w:sz w:val="16"/>
        </w:rPr>
        <w:t>risk.</w:t>
      </w:r>
      <w:r>
        <w:rPr>
          <w:rFonts w:ascii="Segoe UI"/>
          <w:sz w:val="16"/>
        </w:rPr>
      </w:r>
    </w:p>
    <w:p>
      <w:pPr>
        <w:spacing w:line="240" w:lineRule="auto" w:before="0"/>
        <w:rPr>
          <w:rFonts w:ascii="Segoe UI" w:hAnsi="Segoe UI" w:cs="Segoe UI" w:eastAsia="Segoe UI"/>
          <w:sz w:val="16"/>
          <w:szCs w:val="16"/>
        </w:rPr>
      </w:pPr>
    </w:p>
    <w:p>
      <w:pPr>
        <w:spacing w:line="240" w:lineRule="auto" w:before="2"/>
        <w:rPr>
          <w:rFonts w:ascii="Segoe UI" w:hAnsi="Segoe UI" w:cs="Segoe UI" w:eastAsia="Segoe UI"/>
          <w:sz w:val="15"/>
          <w:szCs w:val="15"/>
        </w:rPr>
      </w:pPr>
    </w:p>
    <w:p>
      <w:pPr>
        <w:spacing w:before="0"/>
        <w:ind w:left="117" w:right="0" w:firstLine="0"/>
        <w:jc w:val="left"/>
        <w:rPr>
          <w:rFonts w:ascii="Segoe UI" w:hAnsi="Segoe UI" w:cs="Segoe UI" w:eastAsia="Segoe UI"/>
          <w:sz w:val="16"/>
          <w:szCs w:val="16"/>
        </w:rPr>
      </w:pPr>
      <w:r>
        <w:rPr>
          <w:rFonts w:ascii="Segoe UI"/>
          <w:color w:val="231F20"/>
          <w:sz w:val="16"/>
        </w:rPr>
        <w:t>June</w:t>
      </w:r>
      <w:r>
        <w:rPr>
          <w:rFonts w:ascii="Segoe UI"/>
          <w:color w:val="231F20"/>
          <w:spacing w:val="-4"/>
          <w:sz w:val="16"/>
        </w:rPr>
        <w:t> </w:t>
      </w:r>
      <w:r>
        <w:rPr>
          <w:rFonts w:ascii="Segoe UI"/>
          <w:color w:val="231F20"/>
          <w:sz w:val="16"/>
        </w:rPr>
        <w:t>2019</w:t>
      </w:r>
      <w:r>
        <w:rPr>
          <w:rFonts w:ascii="Segoe UI"/>
          <w:sz w:val="16"/>
        </w:rPr>
      </w:r>
    </w:p>
    <w:p>
      <w:pPr>
        <w:spacing w:line="240" w:lineRule="auto" w:before="7"/>
        <w:rPr>
          <w:rFonts w:ascii="Segoe UI" w:hAnsi="Segoe UI" w:cs="Segoe UI" w:eastAsia="Segoe UI"/>
          <w:sz w:val="26"/>
          <w:szCs w:val="26"/>
        </w:rPr>
      </w:pPr>
    </w:p>
    <w:p>
      <w:pPr>
        <w:spacing w:line="110" w:lineRule="atLeast"/>
        <w:ind w:left="117" w:right="0" w:firstLine="0"/>
        <w:rPr>
          <w:rFonts w:ascii="Segoe UI" w:hAnsi="Segoe UI" w:cs="Segoe UI" w:eastAsia="Segoe UI"/>
          <w:sz w:val="11"/>
          <w:szCs w:val="11"/>
        </w:rPr>
      </w:pPr>
      <w:r>
        <w:rPr>
          <w:rFonts w:ascii="Segoe UI" w:hAnsi="Segoe UI" w:cs="Segoe UI" w:eastAsia="Segoe UI"/>
          <w:sz w:val="11"/>
          <w:szCs w:val="11"/>
        </w:rPr>
        <w:drawing>
          <wp:inline distT="0" distB="0" distL="0" distR="0">
            <wp:extent cx="878336" cy="73152"/>
            <wp:effectExtent l="0" t="0" r="0" b="0"/>
            <wp:docPr id="1" name="image6.png" descr=""/>
            <wp:cNvGraphicFramePr>
              <a:graphicFrameLocks noChangeAspect="1"/>
            </wp:cNvGraphicFramePr>
            <a:graphic>
              <a:graphicData uri="http://schemas.openxmlformats.org/drawingml/2006/picture">
                <pic:pic>
                  <pic:nvPicPr>
                    <pic:cNvPr id="2" name="image6.png"/>
                    <pic:cNvPicPr/>
                  </pic:nvPicPr>
                  <pic:blipFill>
                    <a:blip r:embed="rId12" cstate="print"/>
                    <a:stretch>
                      <a:fillRect/>
                    </a:stretch>
                  </pic:blipFill>
                  <pic:spPr>
                    <a:xfrm>
                      <a:off x="0" y="0"/>
                      <a:ext cx="878336" cy="73152"/>
                    </a:xfrm>
                    <a:prstGeom prst="rect">
                      <a:avLst/>
                    </a:prstGeom>
                  </pic:spPr>
                </pic:pic>
              </a:graphicData>
            </a:graphic>
          </wp:inline>
        </w:drawing>
      </w:r>
      <w:r>
        <w:rPr>
          <w:rFonts w:ascii="Segoe UI" w:hAnsi="Segoe UI" w:cs="Segoe UI" w:eastAsia="Segoe UI"/>
          <w:sz w:val="11"/>
          <w:szCs w:val="11"/>
        </w:rPr>
      </w:r>
    </w:p>
    <w:p>
      <w:pPr>
        <w:spacing w:after="0" w:line="110" w:lineRule="atLeast"/>
        <w:rPr>
          <w:rFonts w:ascii="Segoe UI" w:hAnsi="Segoe UI" w:cs="Segoe UI" w:eastAsia="Segoe UI"/>
          <w:sz w:val="11"/>
          <w:szCs w:val="11"/>
        </w:rPr>
        <w:sectPr>
          <w:footerReference w:type="even" r:id="rId10"/>
          <w:footerReference w:type="default" r:id="rId11"/>
          <w:pgSz w:w="11910" w:h="16840"/>
          <w:pgMar w:footer="691" w:header="0" w:top="1580" w:bottom="880" w:left="1300" w:right="1680"/>
          <w:pgNumType w:start="2"/>
        </w:sectPr>
      </w:pPr>
    </w:p>
    <w:p>
      <w:pPr>
        <w:spacing w:line="240" w:lineRule="auto" w:before="0"/>
        <w:rPr>
          <w:rFonts w:ascii="Segoe UI" w:hAnsi="Segoe UI" w:cs="Segoe UI" w:eastAsia="Segoe UI"/>
          <w:sz w:val="20"/>
          <w:szCs w:val="20"/>
        </w:rPr>
      </w:pPr>
    </w:p>
    <w:p>
      <w:pPr>
        <w:spacing w:line="240" w:lineRule="auto" w:before="1"/>
        <w:rPr>
          <w:rFonts w:ascii="Segoe UI" w:hAnsi="Segoe UI" w:cs="Segoe UI" w:eastAsia="Segoe UI"/>
          <w:sz w:val="20"/>
          <w:szCs w:val="20"/>
        </w:rPr>
      </w:pPr>
    </w:p>
    <w:p>
      <w:pPr>
        <w:spacing w:line="567" w:lineRule="exact" w:before="0"/>
        <w:ind w:left="100" w:right="0" w:firstLine="0"/>
        <w:jc w:val="left"/>
        <w:rPr>
          <w:rFonts w:ascii="Segoe UI" w:hAnsi="Segoe UI" w:cs="Segoe UI" w:eastAsia="Segoe UI"/>
          <w:sz w:val="44"/>
          <w:szCs w:val="44"/>
        </w:rPr>
      </w:pPr>
      <w:r>
        <w:rPr>
          <w:rFonts w:ascii="Segoe UI"/>
          <w:color w:val="67973F"/>
          <w:spacing w:val="-1"/>
          <w:sz w:val="44"/>
        </w:rPr>
        <w:t>Contents</w:t>
      </w:r>
      <w:r>
        <w:rPr>
          <w:rFonts w:ascii="Segoe UI"/>
          <w:sz w:val="44"/>
        </w:rPr>
      </w:r>
    </w:p>
    <w:p>
      <w:pPr>
        <w:tabs>
          <w:tab w:pos="554" w:val="left" w:leader="none"/>
          <w:tab w:pos="8604" w:val="right" w:leader="dot"/>
        </w:tabs>
        <w:spacing w:before="220"/>
        <w:ind w:left="100" w:right="0" w:firstLine="0"/>
        <w:jc w:val="left"/>
        <w:rPr>
          <w:rFonts w:ascii="Segoe UI" w:hAnsi="Segoe UI" w:cs="Segoe UI" w:eastAsia="Segoe UI"/>
          <w:sz w:val="24"/>
          <w:szCs w:val="24"/>
        </w:rPr>
      </w:pPr>
      <w:r>
        <w:rPr>
          <w:rFonts w:ascii="Segoe UI"/>
          <w:b/>
          <w:color w:val="00779B"/>
          <w:spacing w:val="-1"/>
          <w:sz w:val="24"/>
        </w:rPr>
        <w:t>1.</w:t>
        <w:tab/>
      </w:r>
      <w:r>
        <w:rPr>
          <w:rFonts w:ascii="Segoe UI"/>
          <w:b/>
          <w:color w:val="00779B"/>
          <w:sz w:val="24"/>
        </w:rPr>
        <w:t>Overview</w:t>
        <w:tab/>
        <w:t>5</w:t>
      </w:r>
      <w:r>
        <w:rPr>
          <w:rFonts w:ascii="Segoe UI"/>
          <w:sz w:val="24"/>
        </w:rPr>
      </w:r>
    </w:p>
    <w:p>
      <w:pPr>
        <w:tabs>
          <w:tab w:pos="554" w:val="left" w:leader="none"/>
          <w:tab w:pos="8604" w:val="right" w:leader="dot"/>
        </w:tabs>
        <w:spacing w:before="129"/>
        <w:ind w:left="100" w:right="0" w:firstLine="0"/>
        <w:jc w:val="left"/>
        <w:rPr>
          <w:rFonts w:ascii="Segoe UI" w:hAnsi="Segoe UI" w:cs="Segoe UI" w:eastAsia="Segoe UI"/>
          <w:sz w:val="24"/>
          <w:szCs w:val="24"/>
        </w:rPr>
      </w:pPr>
      <w:r>
        <w:rPr>
          <w:rFonts w:ascii="Segoe UI"/>
          <w:b/>
          <w:color w:val="00779B"/>
          <w:sz w:val="24"/>
        </w:rPr>
        <w:t>2.</w:t>
        <w:tab/>
      </w:r>
      <w:r>
        <w:rPr>
          <w:rFonts w:ascii="Segoe UI"/>
          <w:b/>
          <w:color w:val="00779B"/>
          <w:spacing w:val="-1"/>
          <w:sz w:val="24"/>
        </w:rPr>
        <w:t>Executive</w:t>
      </w:r>
      <w:r>
        <w:rPr>
          <w:rFonts w:ascii="Segoe UI"/>
          <w:b/>
          <w:color w:val="00779B"/>
          <w:sz w:val="24"/>
        </w:rPr>
        <w:t> </w:t>
      </w:r>
      <w:r>
        <w:rPr>
          <w:rFonts w:ascii="Segoe UI"/>
          <w:b/>
          <w:color w:val="00779B"/>
          <w:spacing w:val="1"/>
          <w:sz w:val="24"/>
        </w:rPr>
        <w:t>summary</w:t>
      </w:r>
      <w:r>
        <w:rPr>
          <w:rFonts w:ascii="Segoe UI"/>
          <w:b/>
          <w:color w:val="00779B"/>
          <w:sz w:val="24"/>
        </w:rPr>
        <w:t> and </w:t>
      </w:r>
      <w:r>
        <w:rPr>
          <w:rFonts w:ascii="Segoe UI"/>
          <w:b/>
          <w:color w:val="00779B"/>
          <w:spacing w:val="-2"/>
          <w:sz w:val="24"/>
        </w:rPr>
        <w:t>key</w:t>
      </w:r>
      <w:r>
        <w:rPr>
          <w:rFonts w:ascii="Segoe UI"/>
          <w:b/>
          <w:color w:val="00779B"/>
          <w:sz w:val="24"/>
        </w:rPr>
        <w:t> findings</w:t>
      </w:r>
      <w:r>
        <w:rPr>
          <w:rFonts w:ascii="Segoe UI"/>
          <w:b/>
          <w:color w:val="00779B"/>
          <w:sz w:val="24"/>
        </w:rPr>
        <w:tab/>
      </w:r>
      <w:r>
        <w:rPr>
          <w:rFonts w:ascii="Segoe UI"/>
          <w:b/>
          <w:color w:val="00779B"/>
          <w:sz w:val="24"/>
        </w:rPr>
        <w:t>6</w:t>
      </w:r>
      <w:r>
        <w:rPr>
          <w:rFonts w:ascii="Segoe UI"/>
          <w:sz w:val="24"/>
        </w:rPr>
      </w:r>
    </w:p>
    <w:p>
      <w:pPr>
        <w:pStyle w:val="BodyText"/>
        <w:tabs>
          <w:tab w:pos="8604" w:val="right" w:leader="dot"/>
        </w:tabs>
        <w:spacing w:line="240" w:lineRule="auto" w:before="30"/>
        <w:ind w:left="554" w:right="0"/>
        <w:jc w:val="left"/>
      </w:pPr>
      <w:r>
        <w:rPr>
          <w:color w:val="231F20"/>
          <w:spacing w:val="-1"/>
        </w:rPr>
        <w:t>Introduction</w:t>
        <w:tab/>
      </w:r>
      <w:r>
        <w:rPr>
          <w:color w:val="231F20"/>
        </w:rPr>
        <w:t>6</w:t>
      </w:r>
      <w:r>
        <w:rPr/>
      </w:r>
    </w:p>
    <w:p>
      <w:pPr>
        <w:pStyle w:val="BodyText"/>
        <w:tabs>
          <w:tab w:pos="8604" w:val="right" w:leader="dot"/>
        </w:tabs>
        <w:spacing w:line="240" w:lineRule="auto" w:before="40"/>
        <w:ind w:left="554" w:right="0"/>
        <w:jc w:val="left"/>
      </w:pPr>
      <w:r>
        <w:rPr>
          <w:color w:val="231F20"/>
          <w:spacing w:val="-1"/>
        </w:rPr>
        <w:t>Collection </w:t>
      </w:r>
      <w:r>
        <w:rPr>
          <w:color w:val="231F20"/>
        </w:rPr>
        <w:t>of data</w:t>
        <w:tab/>
        <w:t>7</w:t>
      </w:r>
      <w:r>
        <w:rPr/>
      </w:r>
    </w:p>
    <w:p>
      <w:pPr>
        <w:pStyle w:val="BodyText"/>
        <w:tabs>
          <w:tab w:pos="8604" w:val="right" w:leader="dot"/>
        </w:tabs>
        <w:spacing w:line="240" w:lineRule="auto" w:before="40"/>
        <w:ind w:left="554" w:right="0"/>
        <w:jc w:val="left"/>
      </w:pPr>
      <w:r>
        <w:rPr>
          <w:rFonts w:ascii="Segoe UI"/>
          <w:color w:val="231F20"/>
          <w:spacing w:val="-1"/>
        </w:rPr>
        <w:t>Key</w:t>
      </w:r>
      <w:r>
        <w:rPr>
          <w:rFonts w:ascii="Segoe UI"/>
          <w:color w:val="231F20"/>
        </w:rPr>
        <w:t> findings</w:t>
      </w:r>
      <w:r>
        <w:rPr>
          <w:color w:val="231F20"/>
        </w:rPr>
        <w:tab/>
      </w:r>
      <w:r>
        <w:rPr>
          <w:color w:val="231F20"/>
        </w:rPr>
        <w:t>8</w:t>
      </w:r>
      <w:r>
        <w:rPr/>
      </w:r>
    </w:p>
    <w:p>
      <w:pPr>
        <w:pStyle w:val="BodyText"/>
        <w:tabs>
          <w:tab w:pos="8604" w:val="right" w:leader="dot"/>
        </w:tabs>
        <w:spacing w:line="240" w:lineRule="auto" w:before="40"/>
        <w:ind w:left="554" w:right="0"/>
        <w:jc w:val="left"/>
      </w:pPr>
      <w:r>
        <w:rPr>
          <w:color w:val="231F20"/>
          <w:spacing w:val="-1"/>
        </w:rPr>
        <w:t>Summary </w:t>
      </w:r>
      <w:r>
        <w:rPr>
          <w:color w:val="231F20"/>
        </w:rPr>
        <w:t>of recommendations</w:t>
        <w:tab/>
        <w:t>18</w:t>
      </w:r>
      <w:r>
        <w:rPr/>
      </w:r>
    </w:p>
    <w:p>
      <w:pPr>
        <w:pStyle w:val="BodyText"/>
        <w:tabs>
          <w:tab w:pos="8604" w:val="right" w:leader="dot"/>
        </w:tabs>
        <w:spacing w:line="240" w:lineRule="auto" w:before="40"/>
        <w:ind w:left="554" w:right="0"/>
        <w:jc w:val="left"/>
      </w:pPr>
      <w:r>
        <w:rPr>
          <w:color w:val="231F20"/>
          <w:spacing w:val="-1"/>
        </w:rPr>
        <w:t>Conclusion</w:t>
        <w:tab/>
      </w:r>
      <w:r>
        <w:rPr>
          <w:color w:val="231F20"/>
        </w:rPr>
        <w:t>20</w:t>
      </w:r>
      <w:r>
        <w:rPr/>
      </w:r>
    </w:p>
    <w:p>
      <w:pPr>
        <w:numPr>
          <w:ilvl w:val="0"/>
          <w:numId w:val="1"/>
        </w:numPr>
        <w:tabs>
          <w:tab w:pos="555" w:val="left" w:leader="none"/>
          <w:tab w:pos="8604" w:val="right" w:leader="dot"/>
        </w:tabs>
        <w:spacing w:before="139"/>
        <w:ind w:left="554" w:right="0" w:hanging="454"/>
        <w:jc w:val="left"/>
        <w:rPr>
          <w:rFonts w:ascii="Segoe UI" w:hAnsi="Segoe UI" w:cs="Segoe UI" w:eastAsia="Segoe UI"/>
          <w:sz w:val="24"/>
          <w:szCs w:val="24"/>
        </w:rPr>
      </w:pPr>
      <w:r>
        <w:rPr>
          <w:rFonts w:ascii="Segoe UI"/>
          <w:b/>
          <w:color w:val="00779B"/>
          <w:spacing w:val="-2"/>
          <w:sz w:val="24"/>
        </w:rPr>
        <w:t>Background</w:t>
        <w:tab/>
      </w:r>
      <w:r>
        <w:rPr>
          <w:rFonts w:ascii="Segoe UI"/>
          <w:b/>
          <w:color w:val="00779B"/>
          <w:spacing w:val="-1"/>
          <w:sz w:val="24"/>
        </w:rPr>
        <w:t>21</w:t>
      </w:r>
      <w:r>
        <w:rPr>
          <w:rFonts w:ascii="Segoe UI"/>
          <w:sz w:val="24"/>
        </w:rPr>
      </w:r>
    </w:p>
    <w:p>
      <w:pPr>
        <w:numPr>
          <w:ilvl w:val="0"/>
          <w:numId w:val="1"/>
        </w:numPr>
        <w:tabs>
          <w:tab w:pos="555" w:val="left" w:leader="none"/>
          <w:tab w:pos="8604" w:val="right" w:leader="dot"/>
        </w:tabs>
        <w:spacing w:before="129"/>
        <w:ind w:left="554" w:right="0" w:hanging="454"/>
        <w:jc w:val="left"/>
        <w:rPr>
          <w:rFonts w:ascii="Segoe UI" w:hAnsi="Segoe UI" w:cs="Segoe UI" w:eastAsia="Segoe UI"/>
          <w:sz w:val="24"/>
          <w:szCs w:val="24"/>
        </w:rPr>
      </w:pPr>
      <w:r>
        <w:rPr>
          <w:rFonts w:ascii="Segoe UI"/>
          <w:b/>
          <w:color w:val="00779B"/>
          <w:spacing w:val="-1"/>
          <w:sz w:val="24"/>
        </w:rPr>
        <w:t>Aboriginal and</w:t>
      </w:r>
      <w:r>
        <w:rPr>
          <w:rFonts w:ascii="Segoe UI"/>
          <w:b/>
          <w:color w:val="00779B"/>
          <w:sz w:val="24"/>
        </w:rPr>
        <w:t> </w:t>
      </w:r>
      <w:r>
        <w:rPr>
          <w:rFonts w:ascii="Segoe UI"/>
          <w:b/>
          <w:color w:val="00779B"/>
          <w:spacing w:val="-6"/>
          <w:sz w:val="24"/>
        </w:rPr>
        <w:t>T</w:t>
      </w:r>
      <w:r>
        <w:rPr>
          <w:rFonts w:ascii="Segoe UI"/>
          <w:b/>
          <w:color w:val="00779B"/>
          <w:spacing w:val="-5"/>
          <w:sz w:val="24"/>
        </w:rPr>
        <w:t>orr</w:t>
      </w:r>
      <w:r>
        <w:rPr>
          <w:rFonts w:ascii="Segoe UI"/>
          <w:b/>
          <w:color w:val="00779B"/>
          <w:spacing w:val="-6"/>
          <w:sz w:val="24"/>
        </w:rPr>
        <w:t>es</w:t>
      </w:r>
      <w:r>
        <w:rPr>
          <w:rFonts w:ascii="Segoe UI"/>
          <w:b/>
          <w:color w:val="00779B"/>
          <w:sz w:val="24"/>
        </w:rPr>
        <w:t> </w:t>
      </w:r>
      <w:r>
        <w:rPr>
          <w:rFonts w:ascii="Segoe UI"/>
          <w:b/>
          <w:color w:val="00779B"/>
          <w:spacing w:val="-2"/>
          <w:sz w:val="24"/>
        </w:rPr>
        <w:t>Strait</w:t>
      </w:r>
      <w:r>
        <w:rPr>
          <w:rFonts w:ascii="Segoe UI"/>
          <w:b/>
          <w:color w:val="00779B"/>
          <w:sz w:val="24"/>
        </w:rPr>
        <w:t> Islander</w:t>
      </w:r>
      <w:r>
        <w:rPr>
          <w:rFonts w:ascii="Segoe UI"/>
          <w:b/>
          <w:color w:val="00779B"/>
          <w:spacing w:val="-1"/>
          <w:sz w:val="24"/>
        </w:rPr>
        <w:t> </w:t>
      </w:r>
      <w:r>
        <w:rPr>
          <w:rFonts w:ascii="Segoe UI"/>
          <w:b/>
          <w:color w:val="00779B"/>
          <w:spacing w:val="-2"/>
          <w:sz w:val="24"/>
        </w:rPr>
        <w:t>boarding</w:t>
      </w:r>
      <w:r>
        <w:rPr>
          <w:rFonts w:ascii="Segoe UI"/>
          <w:b/>
          <w:color w:val="00779B"/>
          <w:sz w:val="24"/>
        </w:rPr>
        <w:t> </w:t>
      </w:r>
      <w:r>
        <w:rPr>
          <w:rFonts w:ascii="Segoe UI"/>
          <w:b/>
          <w:color w:val="00779B"/>
          <w:spacing w:val="-1"/>
          <w:sz w:val="24"/>
        </w:rPr>
        <w:t>providers</w:t>
        <w:tab/>
        <w:t>25</w:t>
      </w:r>
      <w:r>
        <w:rPr>
          <w:rFonts w:ascii="Segoe UI"/>
          <w:sz w:val="24"/>
        </w:rPr>
      </w:r>
    </w:p>
    <w:p>
      <w:pPr>
        <w:numPr>
          <w:ilvl w:val="0"/>
          <w:numId w:val="1"/>
        </w:numPr>
        <w:tabs>
          <w:tab w:pos="555" w:val="left" w:leader="none"/>
          <w:tab w:pos="8604" w:val="right" w:leader="dot"/>
        </w:tabs>
        <w:spacing w:before="129"/>
        <w:ind w:left="554" w:right="0" w:hanging="454"/>
        <w:jc w:val="left"/>
        <w:rPr>
          <w:rFonts w:ascii="Segoe UI" w:hAnsi="Segoe UI" w:cs="Segoe UI" w:eastAsia="Segoe UI"/>
          <w:sz w:val="24"/>
          <w:szCs w:val="24"/>
        </w:rPr>
      </w:pPr>
      <w:r>
        <w:rPr>
          <w:rFonts w:ascii="Segoe UI"/>
          <w:b/>
          <w:color w:val="00779B"/>
          <w:sz w:val="24"/>
        </w:rPr>
        <w:t>Grant</w:t>
      </w:r>
      <w:r>
        <w:rPr>
          <w:rFonts w:ascii="Segoe UI"/>
          <w:b/>
          <w:color w:val="00779B"/>
          <w:spacing w:val="-1"/>
          <w:sz w:val="24"/>
        </w:rPr>
        <w:t> Thornton</w:t>
      </w:r>
      <w:r>
        <w:rPr>
          <w:rFonts w:ascii="Segoe UI"/>
          <w:b/>
          <w:color w:val="00779B"/>
          <w:sz w:val="24"/>
        </w:rPr>
        <w:t> methodology</w:t>
        <w:tab/>
      </w:r>
      <w:r>
        <w:rPr>
          <w:rFonts w:ascii="Segoe UI"/>
          <w:b/>
          <w:color w:val="00779B"/>
          <w:spacing w:val="-1"/>
          <w:sz w:val="24"/>
        </w:rPr>
        <w:t>26</w:t>
      </w:r>
      <w:r>
        <w:rPr>
          <w:rFonts w:ascii="Segoe UI"/>
          <w:sz w:val="24"/>
        </w:rPr>
      </w:r>
    </w:p>
    <w:p>
      <w:pPr>
        <w:pStyle w:val="BodyText"/>
        <w:tabs>
          <w:tab w:pos="8604" w:val="right" w:leader="dot"/>
        </w:tabs>
        <w:spacing w:line="240" w:lineRule="auto" w:before="30"/>
        <w:ind w:left="554" w:right="0"/>
        <w:jc w:val="left"/>
      </w:pPr>
      <w:r>
        <w:rPr>
          <w:color w:val="231F20"/>
          <w:spacing w:val="-1"/>
        </w:rPr>
        <w:t>Phase</w:t>
      </w:r>
      <w:r>
        <w:rPr>
          <w:color w:val="231F20"/>
        </w:rPr>
        <w:t> 1</w:t>
        <w:tab/>
        <w:t>26</w:t>
      </w:r>
      <w:r>
        <w:rPr/>
      </w:r>
    </w:p>
    <w:p>
      <w:pPr>
        <w:pStyle w:val="BodyText"/>
        <w:tabs>
          <w:tab w:pos="8604" w:val="right" w:leader="dot"/>
        </w:tabs>
        <w:spacing w:line="240" w:lineRule="auto" w:before="40"/>
        <w:ind w:left="554" w:right="0"/>
        <w:jc w:val="left"/>
      </w:pPr>
      <w:r>
        <w:rPr>
          <w:color w:val="231F20"/>
          <w:spacing w:val="-1"/>
        </w:rPr>
        <w:t>Phase</w:t>
      </w:r>
      <w:r>
        <w:rPr>
          <w:color w:val="231F20"/>
        </w:rPr>
        <w:t> 2</w:t>
        <w:tab/>
        <w:t>26</w:t>
      </w:r>
      <w:r>
        <w:rPr/>
      </w:r>
    </w:p>
    <w:p>
      <w:pPr>
        <w:pStyle w:val="BodyText"/>
        <w:tabs>
          <w:tab w:pos="8604" w:val="right" w:leader="dot"/>
        </w:tabs>
        <w:spacing w:line="240" w:lineRule="auto" w:before="40"/>
        <w:ind w:left="554" w:right="0"/>
        <w:jc w:val="left"/>
      </w:pPr>
      <w:r>
        <w:rPr>
          <w:color w:val="231F20"/>
          <w:spacing w:val="-1"/>
        </w:rPr>
        <w:t>Phase</w:t>
      </w:r>
      <w:r>
        <w:rPr>
          <w:color w:val="231F20"/>
        </w:rPr>
        <w:t> 3</w:t>
        <w:tab/>
        <w:t>26</w:t>
      </w:r>
      <w:r>
        <w:rPr/>
      </w:r>
    </w:p>
    <w:p>
      <w:pPr>
        <w:pStyle w:val="BodyText"/>
        <w:tabs>
          <w:tab w:pos="8604" w:val="right" w:leader="dot"/>
        </w:tabs>
        <w:spacing w:line="240" w:lineRule="auto" w:before="40"/>
        <w:ind w:left="554" w:right="0"/>
        <w:jc w:val="left"/>
      </w:pPr>
      <w:r>
        <w:rPr>
          <w:color w:val="231F20"/>
          <w:spacing w:val="-1"/>
        </w:rPr>
        <w:t>Collection </w:t>
      </w:r>
      <w:r>
        <w:rPr>
          <w:color w:val="231F20"/>
        </w:rPr>
        <w:t>of data</w:t>
        <w:tab/>
        <w:t>27</w:t>
      </w:r>
      <w:r>
        <w:rPr/>
      </w:r>
    </w:p>
    <w:p>
      <w:pPr>
        <w:numPr>
          <w:ilvl w:val="0"/>
          <w:numId w:val="1"/>
        </w:numPr>
        <w:tabs>
          <w:tab w:pos="555" w:val="left" w:leader="none"/>
          <w:tab w:pos="8604" w:val="right" w:leader="dot"/>
        </w:tabs>
        <w:spacing w:before="139"/>
        <w:ind w:left="554" w:right="0" w:hanging="454"/>
        <w:jc w:val="left"/>
        <w:rPr>
          <w:rFonts w:ascii="Segoe UI" w:hAnsi="Segoe UI" w:cs="Segoe UI" w:eastAsia="Segoe UI"/>
          <w:sz w:val="24"/>
          <w:szCs w:val="24"/>
        </w:rPr>
      </w:pPr>
      <w:r>
        <w:rPr>
          <w:rFonts w:ascii="Segoe UI"/>
          <w:b/>
          <w:color w:val="00779B"/>
          <w:spacing w:val="-1"/>
          <w:sz w:val="24"/>
        </w:rPr>
        <w:t>Assumptions</w:t>
      </w:r>
      <w:r>
        <w:rPr>
          <w:rFonts w:ascii="Segoe UI"/>
          <w:b/>
          <w:color w:val="00779B"/>
          <w:sz w:val="24"/>
        </w:rPr>
        <w:t> </w:t>
      </w:r>
      <w:r>
        <w:rPr>
          <w:rFonts w:ascii="Segoe UI"/>
          <w:b/>
          <w:color w:val="00779B"/>
          <w:spacing w:val="-1"/>
          <w:sz w:val="24"/>
        </w:rPr>
        <w:t>and</w:t>
      </w:r>
      <w:r>
        <w:rPr>
          <w:rFonts w:ascii="Segoe UI"/>
          <w:b/>
          <w:color w:val="00779B"/>
          <w:sz w:val="24"/>
        </w:rPr>
        <w:t> </w:t>
      </w:r>
      <w:r>
        <w:rPr>
          <w:rFonts w:ascii="Segoe UI"/>
          <w:b/>
          <w:color w:val="00779B"/>
          <w:spacing w:val="-1"/>
          <w:sz w:val="24"/>
        </w:rPr>
        <w:t>data</w:t>
      </w:r>
      <w:r>
        <w:rPr>
          <w:rFonts w:ascii="Segoe UI"/>
          <w:b/>
          <w:color w:val="00779B"/>
          <w:sz w:val="24"/>
        </w:rPr>
        <w:t> </w:t>
      </w:r>
      <w:r>
        <w:rPr>
          <w:rFonts w:ascii="Segoe UI"/>
          <w:b/>
          <w:color w:val="00779B"/>
          <w:spacing w:val="-1"/>
          <w:sz w:val="24"/>
        </w:rPr>
        <w:t>limitations</w:t>
        <w:tab/>
        <w:t>28</w:t>
      </w:r>
      <w:r>
        <w:rPr>
          <w:rFonts w:ascii="Segoe UI"/>
          <w:sz w:val="24"/>
        </w:rPr>
      </w:r>
    </w:p>
    <w:p>
      <w:pPr>
        <w:pStyle w:val="BodyText"/>
        <w:tabs>
          <w:tab w:pos="8604" w:val="right" w:leader="dot"/>
        </w:tabs>
        <w:spacing w:line="240" w:lineRule="auto" w:before="30"/>
        <w:ind w:left="554" w:right="0"/>
        <w:jc w:val="left"/>
      </w:pPr>
      <w:r>
        <w:rPr>
          <w:color w:val="231F20"/>
        </w:rPr>
        <w:t>Assumptions</w:t>
        <w:tab/>
        <w:t>28</w:t>
      </w:r>
      <w:r>
        <w:rPr/>
      </w:r>
    </w:p>
    <w:p>
      <w:pPr>
        <w:pStyle w:val="BodyText"/>
        <w:tabs>
          <w:tab w:pos="8604" w:val="right" w:leader="dot"/>
        </w:tabs>
        <w:spacing w:line="240" w:lineRule="auto" w:before="40"/>
        <w:ind w:left="554" w:right="0"/>
        <w:jc w:val="left"/>
      </w:pPr>
      <w:r>
        <w:rPr>
          <w:color w:val="231F20"/>
          <w:spacing w:val="-1"/>
        </w:rPr>
        <w:t>Data limitations</w:t>
        <w:tab/>
      </w:r>
      <w:r>
        <w:rPr>
          <w:color w:val="231F20"/>
        </w:rPr>
        <w:t>29</w:t>
      </w:r>
      <w:r>
        <w:rPr/>
      </w:r>
    </w:p>
    <w:p>
      <w:pPr>
        <w:pStyle w:val="BodyText"/>
        <w:tabs>
          <w:tab w:pos="8604" w:val="right" w:leader="dot"/>
        </w:tabs>
        <w:spacing w:line="240" w:lineRule="auto" w:before="40"/>
        <w:ind w:left="554" w:right="0"/>
        <w:jc w:val="left"/>
      </w:pPr>
      <w:r>
        <w:rPr>
          <w:color w:val="231F20"/>
          <w:spacing w:val="-1"/>
        </w:rPr>
        <w:t>Data </w:t>
      </w:r>
      <w:r>
        <w:rPr>
          <w:color w:val="231F20"/>
        </w:rPr>
        <w:t>testing</w:t>
        <w:tab/>
        <w:t>30</w:t>
      </w:r>
      <w:r>
        <w:rPr/>
      </w:r>
    </w:p>
    <w:p>
      <w:pPr>
        <w:numPr>
          <w:ilvl w:val="0"/>
          <w:numId w:val="1"/>
        </w:numPr>
        <w:tabs>
          <w:tab w:pos="555" w:val="left" w:leader="none"/>
          <w:tab w:pos="8604" w:val="right" w:leader="dot"/>
        </w:tabs>
        <w:spacing w:before="139"/>
        <w:ind w:left="554" w:right="0" w:hanging="454"/>
        <w:jc w:val="left"/>
        <w:rPr>
          <w:rFonts w:ascii="Segoe UI" w:hAnsi="Segoe UI" w:cs="Segoe UI" w:eastAsia="Segoe UI"/>
          <w:sz w:val="24"/>
          <w:szCs w:val="24"/>
        </w:rPr>
      </w:pPr>
      <w:r>
        <w:rPr>
          <w:rFonts w:ascii="Segoe UI"/>
          <w:b/>
          <w:color w:val="00779B"/>
          <w:spacing w:val="1"/>
          <w:sz w:val="24"/>
        </w:rPr>
        <w:t>Theory</w:t>
      </w:r>
      <w:r>
        <w:rPr>
          <w:rFonts w:ascii="Segoe UI"/>
          <w:b/>
          <w:color w:val="00779B"/>
          <w:spacing w:val="-1"/>
          <w:sz w:val="24"/>
        </w:rPr>
        <w:t> </w:t>
      </w:r>
      <w:r>
        <w:rPr>
          <w:rFonts w:ascii="Segoe UI"/>
          <w:b/>
          <w:color w:val="00779B"/>
          <w:spacing w:val="-2"/>
          <w:sz w:val="24"/>
        </w:rPr>
        <w:t>of</w:t>
      </w:r>
      <w:r>
        <w:rPr>
          <w:rFonts w:ascii="Segoe UI"/>
          <w:b/>
          <w:color w:val="00779B"/>
          <w:spacing w:val="-1"/>
          <w:sz w:val="24"/>
        </w:rPr>
        <w:t> </w:t>
      </w:r>
      <w:r>
        <w:rPr>
          <w:rFonts w:ascii="Segoe UI"/>
          <w:b/>
          <w:color w:val="00779B"/>
          <w:sz w:val="24"/>
        </w:rPr>
        <w:t>change</w:t>
        <w:tab/>
      </w:r>
      <w:r>
        <w:rPr>
          <w:rFonts w:ascii="Segoe UI"/>
          <w:b/>
          <w:color w:val="00779B"/>
          <w:spacing w:val="-1"/>
          <w:sz w:val="24"/>
        </w:rPr>
        <w:t>31</w:t>
      </w:r>
      <w:r>
        <w:rPr>
          <w:rFonts w:ascii="Segoe UI"/>
          <w:sz w:val="24"/>
        </w:rPr>
      </w:r>
    </w:p>
    <w:p>
      <w:pPr>
        <w:pStyle w:val="BodyText"/>
        <w:tabs>
          <w:tab w:pos="8604" w:val="right" w:leader="dot"/>
        </w:tabs>
        <w:spacing w:line="240" w:lineRule="auto" w:before="30"/>
        <w:ind w:left="554" w:right="0"/>
        <w:jc w:val="left"/>
      </w:pPr>
      <w:r>
        <w:rPr>
          <w:color w:val="231F20"/>
        </w:rPr>
        <w:t>The</w:t>
      </w:r>
      <w:r>
        <w:rPr>
          <w:color w:val="231F20"/>
          <w:spacing w:val="-1"/>
        </w:rPr>
        <w:t> </w:t>
      </w:r>
      <w:r>
        <w:rPr>
          <w:color w:val="231F20"/>
        </w:rPr>
        <w:t>purpose</w:t>
      </w:r>
      <w:r>
        <w:rPr>
          <w:color w:val="231F20"/>
          <w:spacing w:val="-1"/>
        </w:rPr>
        <w:t> </w:t>
      </w:r>
      <w:r>
        <w:rPr>
          <w:color w:val="231F20"/>
        </w:rPr>
        <w:t>and</w:t>
      </w:r>
      <w:r>
        <w:rPr>
          <w:color w:val="231F20"/>
          <w:spacing w:val="-2"/>
        </w:rPr>
        <w:t> </w:t>
      </w:r>
      <w:r>
        <w:rPr>
          <w:color w:val="231F20"/>
        </w:rPr>
        <w:t>objective</w:t>
      </w:r>
      <w:r>
        <w:rPr>
          <w:color w:val="231F20"/>
          <w:spacing w:val="-1"/>
        </w:rPr>
        <w:t> </w:t>
      </w:r>
      <w:r>
        <w:rPr>
          <w:color w:val="231F20"/>
        </w:rPr>
        <w:t>of</w:t>
      </w:r>
      <w:r>
        <w:rPr>
          <w:color w:val="231F20"/>
          <w:spacing w:val="-1"/>
        </w:rPr>
        <w:t> </w:t>
      </w:r>
      <w:r>
        <w:rPr>
          <w:color w:val="231F20"/>
        </w:rPr>
        <w:t>boarding</w:t>
      </w:r>
      <w:r>
        <w:rPr>
          <w:color w:val="231F20"/>
          <w:spacing w:val="-1"/>
        </w:rPr>
        <w:t> investment</w:t>
        <w:tab/>
      </w:r>
      <w:r>
        <w:rPr>
          <w:color w:val="231F20"/>
        </w:rPr>
        <w:t>31</w:t>
      </w:r>
      <w:r>
        <w:rPr/>
      </w:r>
    </w:p>
    <w:p>
      <w:pPr>
        <w:pStyle w:val="BodyText"/>
        <w:tabs>
          <w:tab w:pos="8604" w:val="right" w:leader="dot"/>
        </w:tabs>
        <w:spacing w:line="240" w:lineRule="auto" w:before="40"/>
        <w:ind w:left="554" w:right="0"/>
        <w:jc w:val="left"/>
      </w:pPr>
      <w:r>
        <w:rPr>
          <w:color w:val="231F20"/>
        </w:rPr>
        <w:t>Ultimate</w:t>
      </w:r>
      <w:r>
        <w:rPr>
          <w:color w:val="231F20"/>
          <w:spacing w:val="-1"/>
        </w:rPr>
        <w:t> </w:t>
      </w:r>
      <w:r>
        <w:rPr>
          <w:color w:val="231F20"/>
        </w:rPr>
        <w:t>outcome</w:t>
      </w:r>
      <w:r>
        <w:rPr>
          <w:color w:val="231F20"/>
          <w:spacing w:val="-1"/>
        </w:rPr>
        <w:t> </w:t>
      </w:r>
      <w:r>
        <w:rPr>
          <w:color w:val="231F20"/>
        </w:rPr>
        <w:t>(long</w:t>
      </w:r>
      <w:r>
        <w:rPr>
          <w:color w:val="231F20"/>
          <w:spacing w:val="-1"/>
        </w:rPr>
        <w:t> </w:t>
      </w:r>
      <w:r>
        <w:rPr>
          <w:color w:val="231F20"/>
        </w:rPr>
        <w:t>term)</w:t>
        <w:tab/>
        <w:t>32</w:t>
      </w:r>
      <w:r>
        <w:rPr/>
      </w:r>
    </w:p>
    <w:p>
      <w:pPr>
        <w:pStyle w:val="BodyText"/>
        <w:tabs>
          <w:tab w:pos="8604" w:val="right" w:leader="dot"/>
        </w:tabs>
        <w:spacing w:line="240" w:lineRule="auto" w:before="40"/>
        <w:ind w:left="554" w:right="0"/>
        <w:jc w:val="left"/>
      </w:pPr>
      <w:r>
        <w:rPr>
          <w:color w:val="231F20"/>
          <w:spacing w:val="-1"/>
        </w:rPr>
        <w:t>Intermediate </w:t>
      </w:r>
      <w:r>
        <w:rPr>
          <w:color w:val="231F20"/>
        </w:rPr>
        <w:t>outcomes</w:t>
      </w:r>
      <w:r>
        <w:rPr>
          <w:color w:val="231F20"/>
          <w:spacing w:val="-1"/>
        </w:rPr>
        <w:t> </w:t>
      </w:r>
      <w:r>
        <w:rPr>
          <w:color w:val="231F20"/>
        </w:rPr>
        <w:t>(short/medium</w:t>
      </w:r>
      <w:r>
        <w:rPr>
          <w:color w:val="231F20"/>
          <w:spacing w:val="-3"/>
        </w:rPr>
        <w:t> </w:t>
      </w:r>
      <w:r>
        <w:rPr>
          <w:color w:val="231F20"/>
        </w:rPr>
        <w:t>term)</w:t>
        <w:tab/>
        <w:t>33</w:t>
      </w:r>
      <w:r>
        <w:rPr/>
      </w:r>
    </w:p>
    <w:p>
      <w:pPr>
        <w:pStyle w:val="BodyText"/>
        <w:tabs>
          <w:tab w:pos="8604" w:val="right" w:leader="dot"/>
        </w:tabs>
        <w:spacing w:line="240" w:lineRule="auto" w:before="40"/>
        <w:ind w:left="554" w:right="0"/>
        <w:jc w:val="left"/>
      </w:pPr>
      <w:r>
        <w:rPr>
          <w:color w:val="231F20"/>
        </w:rPr>
        <w:t>Outputs/activities</w:t>
        <w:tab/>
        <w:t>33</w:t>
      </w:r>
      <w:r>
        <w:rPr/>
      </w:r>
    </w:p>
    <w:p>
      <w:pPr>
        <w:pStyle w:val="BodyText"/>
        <w:tabs>
          <w:tab w:pos="8604" w:val="right" w:leader="dot"/>
        </w:tabs>
        <w:spacing w:line="240" w:lineRule="auto" w:before="40"/>
        <w:ind w:left="554" w:right="0"/>
        <w:jc w:val="left"/>
      </w:pPr>
      <w:r>
        <w:rPr>
          <w:color w:val="231F20"/>
          <w:spacing w:val="-1"/>
        </w:rPr>
        <w:t>Causality</w:t>
      </w:r>
      <w:r>
        <w:rPr>
          <w:color w:val="231F20"/>
        </w:rPr>
        <w:t> </w:t>
      </w:r>
      <w:r>
        <w:rPr>
          <w:color w:val="231F20"/>
          <w:spacing w:val="-1"/>
        </w:rPr>
        <w:t>links</w:t>
        <w:tab/>
      </w:r>
      <w:r>
        <w:rPr>
          <w:color w:val="231F20"/>
        </w:rPr>
        <w:t>34</w:t>
      </w:r>
      <w:r>
        <w:rPr/>
      </w:r>
    </w:p>
    <w:p>
      <w:pPr>
        <w:pStyle w:val="BodyText"/>
        <w:tabs>
          <w:tab w:pos="8604" w:val="right" w:leader="dot"/>
        </w:tabs>
        <w:spacing w:line="240" w:lineRule="auto" w:before="40"/>
        <w:ind w:left="554" w:right="0"/>
        <w:jc w:val="left"/>
      </w:pPr>
      <w:r>
        <w:rPr>
          <w:color w:val="231F20"/>
          <w:spacing w:val="-1"/>
        </w:rPr>
        <w:t>Strength</w:t>
      </w:r>
      <w:r>
        <w:rPr>
          <w:color w:val="231F20"/>
          <w:spacing w:val="-2"/>
        </w:rPr>
        <w:t> </w:t>
      </w:r>
      <w:r>
        <w:rPr>
          <w:color w:val="231F20"/>
        </w:rPr>
        <w:t>of evidence</w:t>
        <w:tab/>
        <w:t>35</w:t>
      </w:r>
      <w:r>
        <w:rPr/>
      </w:r>
    </w:p>
    <w:p>
      <w:pPr>
        <w:numPr>
          <w:ilvl w:val="0"/>
          <w:numId w:val="1"/>
        </w:numPr>
        <w:tabs>
          <w:tab w:pos="555" w:val="left" w:leader="none"/>
          <w:tab w:pos="8604" w:val="right" w:leader="dot"/>
        </w:tabs>
        <w:spacing w:before="139"/>
        <w:ind w:left="554" w:right="0" w:hanging="387"/>
        <w:jc w:val="left"/>
        <w:rPr>
          <w:rFonts w:ascii="Segoe UI" w:hAnsi="Segoe UI" w:cs="Segoe UI" w:eastAsia="Segoe UI"/>
          <w:sz w:val="24"/>
          <w:szCs w:val="24"/>
        </w:rPr>
      </w:pPr>
      <w:r>
        <w:rPr>
          <w:rFonts w:ascii="Segoe UI"/>
          <w:b/>
          <w:color w:val="00779B"/>
          <w:spacing w:val="-2"/>
          <w:sz w:val="24"/>
        </w:rPr>
        <w:t>Student</w:t>
      </w:r>
      <w:r>
        <w:rPr>
          <w:rFonts w:ascii="Segoe UI"/>
          <w:b/>
          <w:color w:val="00779B"/>
          <w:spacing w:val="-1"/>
          <w:sz w:val="24"/>
        </w:rPr>
        <w:t> </w:t>
      </w:r>
      <w:r>
        <w:rPr>
          <w:rFonts w:ascii="Segoe UI"/>
          <w:b/>
          <w:color w:val="00779B"/>
          <w:spacing w:val="-2"/>
          <w:sz w:val="24"/>
        </w:rPr>
        <w:t>background</w:t>
      </w:r>
      <w:r>
        <w:rPr>
          <w:rFonts w:ascii="Segoe UI"/>
          <w:b/>
          <w:color w:val="00779B"/>
          <w:sz w:val="24"/>
        </w:rPr>
        <w:t> </w:t>
      </w:r>
      <w:r>
        <w:rPr>
          <w:rFonts w:ascii="Segoe UI"/>
          <w:b/>
          <w:color w:val="00779B"/>
          <w:spacing w:val="-1"/>
          <w:sz w:val="24"/>
        </w:rPr>
        <w:t>and</w:t>
      </w:r>
      <w:r>
        <w:rPr>
          <w:rFonts w:ascii="Segoe UI"/>
          <w:b/>
          <w:color w:val="00779B"/>
          <w:sz w:val="24"/>
        </w:rPr>
        <w:t> </w:t>
      </w:r>
      <w:r>
        <w:rPr>
          <w:rFonts w:ascii="Segoe UI"/>
          <w:b/>
          <w:color w:val="00779B"/>
          <w:spacing w:val="-1"/>
          <w:sz w:val="24"/>
        </w:rPr>
        <w:t>circumstances</w:t>
        <w:tab/>
        <w:t>40</w:t>
      </w:r>
      <w:r>
        <w:rPr>
          <w:rFonts w:ascii="Segoe UI"/>
          <w:sz w:val="24"/>
        </w:rPr>
      </w:r>
    </w:p>
    <w:p>
      <w:pPr>
        <w:pStyle w:val="BodyText"/>
        <w:tabs>
          <w:tab w:pos="8604" w:val="right" w:leader="dot"/>
        </w:tabs>
        <w:spacing w:line="240" w:lineRule="auto" w:before="30"/>
        <w:ind w:left="554" w:right="0"/>
        <w:jc w:val="left"/>
      </w:pPr>
      <w:r>
        <w:rPr>
          <w:color w:val="231F20"/>
          <w:spacing w:val="-1"/>
        </w:rPr>
        <w:t>Background</w:t>
      </w:r>
      <w:r>
        <w:rPr>
          <w:color w:val="231F20"/>
        </w:rPr>
        <w:t> of boarders</w:t>
        <w:tab/>
        <w:t>40</w:t>
      </w:r>
      <w:r>
        <w:rPr/>
      </w:r>
    </w:p>
    <w:p>
      <w:pPr>
        <w:pStyle w:val="BodyText"/>
        <w:tabs>
          <w:tab w:pos="8604" w:val="right" w:leader="dot"/>
        </w:tabs>
        <w:spacing w:line="240" w:lineRule="auto" w:before="40"/>
        <w:ind w:left="554" w:right="0"/>
        <w:jc w:val="left"/>
      </w:pPr>
      <w:r>
        <w:rPr>
          <w:color w:val="231F20"/>
        </w:rPr>
        <w:t>Health</w:t>
      </w:r>
      <w:r>
        <w:rPr>
          <w:color w:val="231F20"/>
          <w:spacing w:val="-1"/>
        </w:rPr>
        <w:t> issues</w:t>
        <w:tab/>
      </w:r>
      <w:r>
        <w:rPr>
          <w:color w:val="231F20"/>
        </w:rPr>
        <w:t>43</w:t>
      </w:r>
      <w:r>
        <w:rPr/>
      </w:r>
    </w:p>
    <w:p>
      <w:pPr>
        <w:numPr>
          <w:ilvl w:val="0"/>
          <w:numId w:val="1"/>
        </w:numPr>
        <w:tabs>
          <w:tab w:pos="555" w:val="left" w:leader="none"/>
          <w:tab w:pos="8604" w:val="right" w:leader="dot"/>
        </w:tabs>
        <w:spacing w:before="139"/>
        <w:ind w:left="554" w:right="0" w:hanging="454"/>
        <w:jc w:val="left"/>
        <w:rPr>
          <w:rFonts w:ascii="Segoe UI" w:hAnsi="Segoe UI" w:cs="Segoe UI" w:eastAsia="Segoe UI"/>
          <w:sz w:val="24"/>
          <w:szCs w:val="24"/>
        </w:rPr>
      </w:pPr>
      <w:r>
        <w:rPr>
          <w:rFonts w:ascii="Segoe UI"/>
          <w:b/>
          <w:color w:val="00779B"/>
          <w:sz w:val="24"/>
        </w:rPr>
        <w:t>Support</w:t>
      </w:r>
      <w:r>
        <w:rPr>
          <w:rFonts w:ascii="Segoe UI"/>
          <w:b/>
          <w:color w:val="00779B"/>
          <w:spacing w:val="-2"/>
          <w:sz w:val="24"/>
        </w:rPr>
        <w:t> </w:t>
      </w:r>
      <w:r>
        <w:rPr>
          <w:rFonts w:ascii="Segoe UI"/>
          <w:b/>
          <w:color w:val="00779B"/>
          <w:spacing w:val="1"/>
          <w:sz w:val="24"/>
        </w:rPr>
        <w:t>services</w:t>
        <w:tab/>
      </w:r>
      <w:r>
        <w:rPr>
          <w:rFonts w:ascii="Segoe UI"/>
          <w:b/>
          <w:color w:val="00779B"/>
          <w:spacing w:val="-1"/>
          <w:sz w:val="24"/>
        </w:rPr>
        <w:t>48</w:t>
      </w:r>
      <w:r>
        <w:rPr>
          <w:rFonts w:ascii="Segoe UI"/>
          <w:sz w:val="24"/>
        </w:rPr>
      </w:r>
    </w:p>
    <w:p>
      <w:pPr>
        <w:pStyle w:val="BodyText"/>
        <w:tabs>
          <w:tab w:pos="8604" w:val="right" w:leader="dot"/>
        </w:tabs>
        <w:spacing w:line="240" w:lineRule="auto" w:before="30"/>
        <w:ind w:left="554" w:right="0"/>
        <w:jc w:val="left"/>
      </w:pPr>
      <w:r>
        <w:rPr>
          <w:color w:val="231F20"/>
        </w:rPr>
        <w:t>The</w:t>
      </w:r>
      <w:r>
        <w:rPr>
          <w:color w:val="231F20"/>
          <w:spacing w:val="-1"/>
        </w:rPr>
        <w:t> </w:t>
      </w:r>
      <w:r>
        <w:rPr>
          <w:color w:val="231F20"/>
        </w:rPr>
        <w:t>need</w:t>
      </w:r>
      <w:r>
        <w:rPr>
          <w:color w:val="231F20"/>
          <w:spacing w:val="-1"/>
        </w:rPr>
        <w:t> </w:t>
      </w:r>
      <w:r>
        <w:rPr>
          <w:color w:val="231F20"/>
        </w:rPr>
        <w:t>for </w:t>
      </w:r>
      <w:r>
        <w:rPr>
          <w:color w:val="231F20"/>
          <w:spacing w:val="-1"/>
        </w:rPr>
        <w:t>support</w:t>
      </w:r>
      <w:r>
        <w:rPr>
          <w:color w:val="231F20"/>
        </w:rPr>
        <w:t> </w:t>
      </w:r>
      <w:r>
        <w:rPr>
          <w:color w:val="231F20"/>
          <w:spacing w:val="-1"/>
        </w:rPr>
        <w:t>services</w:t>
        <w:tab/>
      </w:r>
      <w:r>
        <w:rPr>
          <w:color w:val="231F20"/>
        </w:rPr>
        <w:t>48</w:t>
      </w:r>
      <w:r>
        <w:rPr/>
      </w:r>
    </w:p>
    <w:p>
      <w:pPr>
        <w:pStyle w:val="BodyText"/>
        <w:tabs>
          <w:tab w:pos="8604" w:val="right" w:leader="dot"/>
        </w:tabs>
        <w:spacing w:line="240" w:lineRule="auto" w:before="40"/>
        <w:ind w:left="554" w:right="0"/>
        <w:jc w:val="left"/>
      </w:pPr>
      <w:r>
        <w:rPr>
          <w:color w:val="231F20"/>
          <w:spacing w:val="-2"/>
        </w:rPr>
        <w:t>Transition</w:t>
      </w:r>
      <w:r>
        <w:rPr>
          <w:color w:val="231F20"/>
          <w:spacing w:val="-3"/>
        </w:rPr>
        <w:t> </w:t>
      </w:r>
      <w:r>
        <w:rPr>
          <w:color w:val="231F20"/>
          <w:spacing w:val="-1"/>
        </w:rPr>
        <w:t>Support</w:t>
      </w:r>
      <w:r>
        <w:rPr>
          <w:color w:val="231F20"/>
        </w:rPr>
        <w:t> </w:t>
      </w:r>
      <w:r>
        <w:rPr>
          <w:color w:val="231F20"/>
          <w:spacing w:val="-1"/>
        </w:rPr>
        <w:t>Services</w:t>
      </w:r>
      <w:r>
        <w:rPr>
          <w:color w:val="231F20"/>
        </w:rPr>
        <w:t> (Queensland)</w:t>
        <w:tab/>
        <w:t>51</w:t>
      </w:r>
      <w:r>
        <w:rPr/>
      </w:r>
    </w:p>
    <w:p>
      <w:pPr>
        <w:pStyle w:val="BodyText"/>
        <w:tabs>
          <w:tab w:pos="8604" w:val="right" w:leader="dot"/>
        </w:tabs>
        <w:spacing w:line="240" w:lineRule="auto" w:before="40"/>
        <w:ind w:left="554" w:right="0"/>
        <w:jc w:val="left"/>
      </w:pPr>
      <w:r>
        <w:rPr>
          <w:color w:val="231F20"/>
          <w:spacing w:val="-2"/>
        </w:rPr>
        <w:t>Transition</w:t>
      </w:r>
      <w:r>
        <w:rPr>
          <w:color w:val="231F20"/>
          <w:spacing w:val="-3"/>
        </w:rPr>
        <w:t> </w:t>
      </w:r>
      <w:r>
        <w:rPr>
          <w:color w:val="231F20"/>
          <w:spacing w:val="-1"/>
        </w:rPr>
        <w:t>Support</w:t>
      </w:r>
      <w:r>
        <w:rPr>
          <w:color w:val="231F20"/>
        </w:rPr>
        <w:t> Unit</w:t>
      </w:r>
      <w:r>
        <w:rPr>
          <w:color w:val="231F20"/>
          <w:spacing w:val="-1"/>
        </w:rPr>
        <w:t> </w:t>
      </w:r>
      <w:r>
        <w:rPr>
          <w:color w:val="231F20"/>
        </w:rPr>
        <w:t>(Northern</w:t>
      </w:r>
      <w:r>
        <w:rPr>
          <w:color w:val="231F20"/>
          <w:spacing w:val="-1"/>
        </w:rPr>
        <w:t> </w:t>
      </w:r>
      <w:r>
        <w:rPr>
          <w:color w:val="231F20"/>
          <w:spacing w:val="-2"/>
        </w:rPr>
        <w:t>Territory)</w:t>
        <w:tab/>
      </w:r>
      <w:r>
        <w:rPr>
          <w:color w:val="231F20"/>
        </w:rPr>
        <w:t>52</w:t>
      </w:r>
      <w:r>
        <w:rPr/>
      </w:r>
    </w:p>
    <w:p>
      <w:pPr>
        <w:pStyle w:val="BodyText"/>
        <w:tabs>
          <w:tab w:pos="8604" w:val="right" w:leader="dot"/>
        </w:tabs>
        <w:spacing w:line="240" w:lineRule="auto" w:before="40"/>
        <w:ind w:left="554" w:right="0"/>
        <w:jc w:val="left"/>
      </w:pPr>
      <w:r>
        <w:rPr>
          <w:rFonts w:ascii="Segoe UI"/>
          <w:color w:val="231F20"/>
          <w:spacing w:val="-1"/>
        </w:rPr>
        <w:t>Staffing</w:t>
      </w:r>
      <w:r>
        <w:rPr>
          <w:rFonts w:ascii="Segoe UI"/>
          <w:color w:val="231F20"/>
        </w:rPr>
        <w:t> ratios</w:t>
      </w:r>
      <w:r>
        <w:rPr>
          <w:color w:val="231F20"/>
        </w:rPr>
        <w:tab/>
      </w:r>
      <w:r>
        <w:rPr>
          <w:color w:val="231F20"/>
        </w:rPr>
        <w:t>53</w:t>
      </w:r>
      <w:r>
        <w:rPr/>
      </w:r>
    </w:p>
    <w:p>
      <w:pPr>
        <w:pStyle w:val="BodyText"/>
        <w:tabs>
          <w:tab w:pos="8604" w:val="right" w:leader="dot"/>
        </w:tabs>
        <w:spacing w:line="240" w:lineRule="auto" w:before="40"/>
        <w:ind w:left="554" w:right="0"/>
        <w:jc w:val="left"/>
      </w:pPr>
      <w:r>
        <w:rPr>
          <w:color w:val="231F20"/>
        </w:rPr>
        <w:t>The</w:t>
      </w:r>
      <w:r>
        <w:rPr>
          <w:color w:val="231F20"/>
          <w:spacing w:val="-1"/>
        </w:rPr>
        <w:t> impact</w:t>
      </w:r>
      <w:r>
        <w:rPr>
          <w:color w:val="231F20"/>
        </w:rPr>
        <w:t> of </w:t>
      </w:r>
      <w:r>
        <w:rPr>
          <w:color w:val="231F20"/>
          <w:spacing w:val="-1"/>
        </w:rPr>
        <w:t>support</w:t>
      </w:r>
      <w:r>
        <w:rPr>
          <w:color w:val="231F20"/>
        </w:rPr>
        <w:t> </w:t>
      </w:r>
      <w:r>
        <w:rPr>
          <w:color w:val="231F20"/>
          <w:spacing w:val="-1"/>
        </w:rPr>
        <w:t>services</w:t>
        <w:tab/>
      </w:r>
      <w:r>
        <w:rPr>
          <w:color w:val="231F20"/>
        </w:rPr>
        <w:t>54</w:t>
      </w:r>
      <w:r>
        <w:rPr/>
      </w:r>
    </w:p>
    <w:p>
      <w:pPr>
        <w:spacing w:after="0" w:line="240" w:lineRule="auto"/>
        <w:jc w:val="left"/>
        <w:sectPr>
          <w:pgSz w:w="11910" w:h="16840"/>
          <w:pgMar w:header="0" w:footer="691" w:top="1580" w:bottom="880" w:left="1600" w:right="1300"/>
        </w:sectPr>
      </w:pPr>
    </w:p>
    <w:sdt>
      <w:sdtPr>
        <w:docPartObj>
          <w:docPartGallery w:val="Table of Contents"/>
          <w:docPartUnique/>
        </w:docPartObj>
      </w:sdtPr>
      <w:sdtEndPr/>
      <w:sdtContent>
        <w:p>
          <w:pPr>
            <w:pStyle w:val="TOC1"/>
            <w:numPr>
              <w:ilvl w:val="0"/>
              <w:numId w:val="1"/>
            </w:numPr>
            <w:tabs>
              <w:tab w:pos="571" w:val="left" w:leader="none"/>
              <w:tab w:pos="8621" w:val="right" w:leader="dot"/>
            </w:tabs>
            <w:spacing w:line="240" w:lineRule="auto" w:before="585" w:after="0"/>
            <w:ind w:left="570" w:right="0" w:hanging="453"/>
            <w:jc w:val="left"/>
            <w:rPr>
              <w:b w:val="0"/>
              <w:bCs w:val="0"/>
            </w:rPr>
          </w:pPr>
          <w:r>
            <w:fldChar w:fldCharType="begin"/>
          </w:r>
          <w:r>
            <w:instrText>TOC \o "1-2" \h \z \u </w:instrText>
          </w:r>
          <w:r>
            <w:fldChar w:fldCharType="separate"/>
          </w:r>
          <w:hyperlink w:history="true" w:anchor="_TOC_250035">
            <w:r>
              <w:rPr>
                <w:color w:val="00779B"/>
              </w:rPr>
              <w:t>Funding</w:t>
            </w:r>
            <w:r>
              <w:rPr>
                <w:color w:val="00779B"/>
                <w:spacing w:val="-1"/>
              </w:rPr>
              <w:t> investment in</w:t>
            </w:r>
            <w:r>
              <w:rPr>
                <w:color w:val="00779B"/>
              </w:rPr>
              <w:t> </w:t>
            </w:r>
            <w:r>
              <w:rPr>
                <w:color w:val="00779B"/>
                <w:spacing w:val="-2"/>
              </w:rPr>
              <w:t>boarding</w:t>
              <w:tab/>
            </w:r>
            <w:r>
              <w:rPr>
                <w:color w:val="00779B"/>
                <w:spacing w:val="-1"/>
              </w:rPr>
              <w:t>56</w:t>
            </w:r>
            <w:r>
              <w:rPr>
                <w:b w:val="0"/>
              </w:rPr>
            </w:r>
          </w:hyperlink>
        </w:p>
        <w:p>
          <w:pPr>
            <w:pStyle w:val="TOC2"/>
            <w:tabs>
              <w:tab w:pos="8621" w:val="right" w:leader="dot"/>
            </w:tabs>
            <w:spacing w:line="240" w:lineRule="auto" w:before="30"/>
            <w:ind w:right="0"/>
            <w:jc w:val="left"/>
          </w:pPr>
          <w:hyperlink w:history="true" w:anchor="_TOC_250034">
            <w:r>
              <w:rPr>
                <w:color w:val="231F20"/>
              </w:rPr>
              <w:t>ABSTUDY</w:t>
              <w:tab/>
              <w:t>56</w:t>
            </w:r>
            <w:r>
              <w:rPr/>
            </w:r>
          </w:hyperlink>
        </w:p>
        <w:p>
          <w:pPr>
            <w:pStyle w:val="TOC2"/>
            <w:tabs>
              <w:tab w:pos="8621" w:val="right" w:leader="dot"/>
            </w:tabs>
            <w:spacing w:line="240" w:lineRule="auto"/>
            <w:ind w:right="0"/>
            <w:jc w:val="left"/>
          </w:pPr>
          <w:hyperlink w:history="true" w:anchor="_TOC_250033">
            <w:r>
              <w:rPr>
                <w:color w:val="231F20"/>
                <w:spacing w:val="-1"/>
              </w:rPr>
              <w:t>Donations, scholarships</w:t>
            </w:r>
            <w:r>
              <w:rPr>
                <w:color w:val="231F20"/>
                <w:spacing w:val="1"/>
              </w:rPr>
              <w:t> </w:t>
            </w:r>
            <w:r>
              <w:rPr>
                <w:color w:val="231F20"/>
              </w:rPr>
              <w:t>and</w:t>
            </w:r>
            <w:r>
              <w:rPr>
                <w:color w:val="231F20"/>
                <w:spacing w:val="-1"/>
              </w:rPr>
              <w:t> </w:t>
            </w:r>
            <w:r>
              <w:rPr>
                <w:color w:val="231F20"/>
              </w:rPr>
              <w:t>other</w:t>
            </w:r>
            <w:r>
              <w:rPr>
                <w:color w:val="231F20"/>
                <w:spacing w:val="-1"/>
              </w:rPr>
              <w:t> </w:t>
            </w:r>
            <w:r>
              <w:rPr>
                <w:color w:val="231F20"/>
              </w:rPr>
              <w:t>private</w:t>
            </w:r>
            <w:r>
              <w:rPr>
                <w:color w:val="231F20"/>
                <w:spacing w:val="-1"/>
              </w:rPr>
              <w:t> income</w:t>
              <w:tab/>
            </w:r>
            <w:r>
              <w:rPr>
                <w:color w:val="231F20"/>
              </w:rPr>
              <w:t>66</w:t>
            </w:r>
            <w:r>
              <w:rPr/>
            </w:r>
          </w:hyperlink>
        </w:p>
        <w:p>
          <w:pPr>
            <w:pStyle w:val="TOC2"/>
            <w:tabs>
              <w:tab w:pos="8621" w:val="right" w:leader="dot"/>
            </w:tabs>
            <w:spacing w:line="240" w:lineRule="auto"/>
            <w:ind w:right="0"/>
            <w:jc w:val="left"/>
          </w:pPr>
          <w:hyperlink w:history="true" w:anchor="_TOC_250032">
            <w:r>
              <w:rPr>
                <w:color w:val="231F20"/>
                <w:spacing w:val="-1"/>
              </w:rPr>
              <w:t>Private </w:t>
            </w:r>
            <w:r>
              <w:rPr>
                <w:color w:val="231F20"/>
              </w:rPr>
              <w:t>fees</w:t>
            </w:r>
            <w:r>
              <w:rPr>
                <w:color w:val="231F20"/>
                <w:spacing w:val="-1"/>
              </w:rPr>
              <w:t> </w:t>
            </w:r>
            <w:r>
              <w:rPr>
                <w:color w:val="231F20"/>
              </w:rPr>
              <w:t>and</w:t>
            </w:r>
            <w:r>
              <w:rPr>
                <w:color w:val="231F20"/>
                <w:spacing w:val="-1"/>
              </w:rPr>
              <w:t> </w:t>
            </w:r>
            <w:r>
              <w:rPr>
                <w:color w:val="231F20"/>
              </w:rPr>
              <w:t>parental</w:t>
            </w:r>
            <w:r>
              <w:rPr>
                <w:color w:val="231F20"/>
                <w:spacing w:val="-2"/>
              </w:rPr>
              <w:t> </w:t>
            </w:r>
            <w:r>
              <w:rPr>
                <w:color w:val="231F20"/>
              </w:rPr>
              <w:t>contributions</w:t>
              <w:tab/>
              <w:t>69</w:t>
            </w:r>
            <w:r>
              <w:rPr/>
            </w:r>
          </w:hyperlink>
        </w:p>
        <w:p>
          <w:pPr>
            <w:pStyle w:val="TOC2"/>
            <w:tabs>
              <w:tab w:pos="8621" w:val="right" w:leader="dot"/>
            </w:tabs>
            <w:spacing w:line="240" w:lineRule="auto"/>
            <w:ind w:right="0"/>
            <w:jc w:val="left"/>
          </w:pPr>
          <w:hyperlink w:history="true" w:anchor="_TOC_250031">
            <w:r>
              <w:rPr>
                <w:color w:val="231F20"/>
                <w:spacing w:val="-1"/>
              </w:rPr>
              <w:t>Indigenous</w:t>
            </w:r>
            <w:r>
              <w:rPr>
                <w:color w:val="231F20"/>
                <w:spacing w:val="-2"/>
              </w:rPr>
              <w:t> </w:t>
            </w:r>
            <w:r>
              <w:rPr>
                <w:color w:val="231F20"/>
              </w:rPr>
              <w:t>Advancement</w:t>
            </w:r>
            <w:r>
              <w:rPr>
                <w:color w:val="231F20"/>
                <w:spacing w:val="-2"/>
              </w:rPr>
              <w:t> </w:t>
            </w:r>
            <w:r>
              <w:rPr>
                <w:color w:val="231F20"/>
                <w:spacing w:val="-1"/>
              </w:rPr>
              <w:t>Strategy</w:t>
            </w:r>
            <w:r>
              <w:rPr>
                <w:color w:val="231F20"/>
                <w:spacing w:val="-3"/>
              </w:rPr>
              <w:t> </w:t>
            </w:r>
            <w:r>
              <w:rPr>
                <w:color w:val="231F20"/>
              </w:rPr>
              <w:t>(IAS)—Children</w:t>
            </w:r>
            <w:r>
              <w:rPr>
                <w:color w:val="231F20"/>
                <w:spacing w:val="-3"/>
              </w:rPr>
              <w:t> </w:t>
            </w:r>
            <w:r>
              <w:rPr>
                <w:color w:val="231F20"/>
              </w:rPr>
              <w:t>and</w:t>
            </w:r>
            <w:r>
              <w:rPr>
                <w:color w:val="231F20"/>
                <w:spacing w:val="-3"/>
              </w:rPr>
              <w:t> </w:t>
            </w:r>
            <w:r>
              <w:rPr>
                <w:color w:val="231F20"/>
                <w:spacing w:val="-1"/>
              </w:rPr>
              <w:t>Schooling</w:t>
            </w:r>
            <w:r>
              <w:rPr>
                <w:color w:val="231F20"/>
                <w:spacing w:val="-2"/>
              </w:rPr>
              <w:t> </w:t>
            </w:r>
            <w:r>
              <w:rPr>
                <w:color w:val="231F20"/>
              </w:rPr>
              <w:t>Program</w:t>
              <w:tab/>
              <w:t>70</w:t>
            </w:r>
            <w:r>
              <w:rPr/>
            </w:r>
          </w:hyperlink>
        </w:p>
        <w:p>
          <w:pPr>
            <w:pStyle w:val="TOC2"/>
            <w:tabs>
              <w:tab w:pos="8621" w:val="right" w:leader="dot"/>
            </w:tabs>
            <w:spacing w:line="240" w:lineRule="auto"/>
            <w:ind w:right="0"/>
            <w:jc w:val="left"/>
          </w:pPr>
          <w:hyperlink w:history="true" w:anchor="_TOC_250030">
            <w:r>
              <w:rPr>
                <w:color w:val="231F20"/>
              </w:rPr>
              <w:t>Underpinning</w:t>
            </w:r>
            <w:r>
              <w:rPr>
                <w:color w:val="231F20"/>
                <w:spacing w:val="-1"/>
              </w:rPr>
              <w:t> </w:t>
            </w:r>
            <w:r>
              <w:rPr>
                <w:color w:val="231F20"/>
              </w:rPr>
              <w:t>funding</w:t>
            </w:r>
            <w:r>
              <w:rPr>
                <w:color w:val="231F20"/>
                <w:spacing w:val="-1"/>
              </w:rPr>
              <w:t> </w:t>
            </w:r>
            <w:r>
              <w:rPr>
                <w:color w:val="231F20"/>
              </w:rPr>
              <w:t>from</w:t>
            </w:r>
            <w:r>
              <w:rPr>
                <w:color w:val="231F20"/>
                <w:spacing w:val="-1"/>
              </w:rPr>
              <w:t> </w:t>
            </w:r>
            <w:r>
              <w:rPr>
                <w:color w:val="231F20"/>
              </w:rPr>
              <w:t>associated</w:t>
            </w:r>
            <w:r>
              <w:rPr>
                <w:color w:val="231F20"/>
                <w:spacing w:val="-2"/>
              </w:rPr>
              <w:t> </w:t>
            </w:r>
            <w:r>
              <w:rPr>
                <w:color w:val="231F20"/>
              </w:rPr>
              <w:t>bodies</w:t>
            </w:r>
            <w:r>
              <w:rPr>
                <w:color w:val="231F20"/>
                <w:spacing w:val="-2"/>
              </w:rPr>
              <w:t> </w:t>
            </w:r>
            <w:r>
              <w:rPr>
                <w:color w:val="231F20"/>
              </w:rPr>
              <w:t>and</w:t>
            </w:r>
            <w:r>
              <w:rPr>
                <w:color w:val="231F20"/>
                <w:spacing w:val="-2"/>
              </w:rPr>
              <w:t> </w:t>
            </w:r>
            <w:r>
              <w:rPr>
                <w:color w:val="231F20"/>
              </w:rPr>
              <w:t>other</w:t>
            </w:r>
            <w:r>
              <w:rPr>
                <w:color w:val="231F20"/>
                <w:spacing w:val="-1"/>
              </w:rPr>
              <w:t> </w:t>
            </w:r>
            <w:r>
              <w:rPr>
                <w:color w:val="231F20"/>
              </w:rPr>
              <w:t>parties</w:t>
              <w:tab/>
              <w:t>71</w:t>
            </w:r>
            <w:r>
              <w:rPr/>
            </w:r>
          </w:hyperlink>
        </w:p>
        <w:p>
          <w:pPr>
            <w:pStyle w:val="TOC2"/>
            <w:tabs>
              <w:tab w:pos="8621" w:val="right" w:leader="dot"/>
            </w:tabs>
            <w:spacing w:line="240" w:lineRule="auto"/>
            <w:ind w:right="0"/>
            <w:jc w:val="left"/>
          </w:pPr>
          <w:hyperlink w:history="true" w:anchor="_TOC_250029">
            <w:r>
              <w:rPr>
                <w:color w:val="231F20"/>
                <w:spacing w:val="-2"/>
              </w:rPr>
              <w:t>State </w:t>
            </w:r>
            <w:r>
              <w:rPr>
                <w:color w:val="231F20"/>
              </w:rPr>
              <w:t>and</w:t>
            </w:r>
            <w:r>
              <w:rPr>
                <w:color w:val="231F20"/>
                <w:spacing w:val="-1"/>
              </w:rPr>
              <w:t> </w:t>
            </w:r>
            <w:r>
              <w:rPr>
                <w:color w:val="231F20"/>
              </w:rPr>
              <w:t>territory</w:t>
            </w:r>
            <w:r>
              <w:rPr>
                <w:color w:val="231F20"/>
                <w:spacing w:val="-1"/>
              </w:rPr>
              <w:t> </w:t>
            </w:r>
            <w:r>
              <w:rPr>
                <w:color w:val="231F20"/>
              </w:rPr>
              <w:t>funding</w:t>
              <w:tab/>
              <w:t>71</w:t>
            </w:r>
            <w:r>
              <w:rPr/>
            </w:r>
          </w:hyperlink>
        </w:p>
        <w:p>
          <w:pPr>
            <w:pStyle w:val="TOC1"/>
            <w:numPr>
              <w:ilvl w:val="0"/>
              <w:numId w:val="1"/>
            </w:numPr>
            <w:tabs>
              <w:tab w:pos="571" w:val="left" w:leader="none"/>
              <w:tab w:pos="8621" w:val="right" w:leader="dot"/>
            </w:tabs>
            <w:spacing w:line="240" w:lineRule="auto" w:before="139" w:after="0"/>
            <w:ind w:left="570" w:right="0" w:hanging="453"/>
            <w:jc w:val="left"/>
            <w:rPr>
              <w:b w:val="0"/>
              <w:bCs w:val="0"/>
            </w:rPr>
          </w:pPr>
          <w:hyperlink w:history="true" w:anchor="_TOC_250028">
            <w:r>
              <w:rPr>
                <w:color w:val="00779B"/>
              </w:rPr>
              <w:t>Funding</w:t>
            </w:r>
            <w:r>
              <w:rPr>
                <w:color w:val="00779B"/>
                <w:spacing w:val="-1"/>
              </w:rPr>
              <w:t> for</w:t>
            </w:r>
            <w:r>
              <w:rPr>
                <w:color w:val="00779B"/>
              </w:rPr>
              <w:t> </w:t>
            </w:r>
            <w:r>
              <w:rPr>
                <w:color w:val="00779B"/>
                <w:spacing w:val="-1"/>
              </w:rPr>
              <w:t>tuition</w:t>
            </w:r>
            <w:r>
              <w:rPr>
                <w:color w:val="00779B"/>
              </w:rPr>
              <w:t> </w:t>
            </w:r>
            <w:r>
              <w:rPr>
                <w:color w:val="00779B"/>
                <w:spacing w:val="-1"/>
              </w:rPr>
              <w:t>and</w:t>
            </w:r>
            <w:r>
              <w:rPr>
                <w:color w:val="00779B"/>
              </w:rPr>
              <w:t> capital</w:t>
              <w:tab/>
            </w:r>
            <w:r>
              <w:rPr>
                <w:color w:val="00779B"/>
                <w:spacing w:val="-1"/>
              </w:rPr>
              <w:t>72</w:t>
            </w:r>
            <w:r>
              <w:rPr>
                <w:b w:val="0"/>
              </w:rPr>
            </w:r>
          </w:hyperlink>
        </w:p>
        <w:p>
          <w:pPr>
            <w:pStyle w:val="TOC2"/>
            <w:tabs>
              <w:tab w:pos="8621" w:val="right" w:leader="dot"/>
            </w:tabs>
            <w:spacing w:line="240" w:lineRule="auto" w:before="30"/>
            <w:ind w:right="0"/>
            <w:jc w:val="left"/>
          </w:pPr>
          <w:hyperlink w:history="true" w:anchor="_TOC_250027">
            <w:r>
              <w:rPr>
                <w:color w:val="231F20"/>
                <w:spacing w:val="-1"/>
              </w:rPr>
              <w:t>Commonwealth </w:t>
            </w:r>
            <w:r>
              <w:rPr>
                <w:color w:val="231F20"/>
              </w:rPr>
              <w:t>recurrent</w:t>
            </w:r>
            <w:r>
              <w:rPr>
                <w:color w:val="231F20"/>
                <w:spacing w:val="-1"/>
              </w:rPr>
              <w:t> school </w:t>
            </w:r>
            <w:r>
              <w:rPr>
                <w:color w:val="231F20"/>
              </w:rPr>
              <w:t>funding</w:t>
              <w:tab/>
              <w:t>72</w:t>
            </w:r>
            <w:r>
              <w:rPr/>
            </w:r>
          </w:hyperlink>
        </w:p>
        <w:p>
          <w:pPr>
            <w:pStyle w:val="TOC2"/>
            <w:tabs>
              <w:tab w:pos="8621" w:val="right" w:leader="dot"/>
            </w:tabs>
            <w:spacing w:line="240" w:lineRule="auto"/>
            <w:ind w:right="0"/>
            <w:jc w:val="left"/>
          </w:pPr>
          <w:hyperlink w:history="true" w:anchor="_TOC_250026">
            <w:r>
              <w:rPr>
                <w:color w:val="231F20"/>
                <w:spacing w:val="-2"/>
              </w:rPr>
              <w:t>State </w:t>
            </w:r>
            <w:r>
              <w:rPr>
                <w:color w:val="231F20"/>
              </w:rPr>
              <w:t>and</w:t>
            </w:r>
            <w:r>
              <w:rPr>
                <w:color w:val="231F20"/>
                <w:spacing w:val="-1"/>
              </w:rPr>
              <w:t> </w:t>
            </w:r>
            <w:r>
              <w:rPr>
                <w:color w:val="231F20"/>
              </w:rPr>
              <w:t>territory</w:t>
            </w:r>
            <w:r>
              <w:rPr>
                <w:color w:val="231F20"/>
                <w:spacing w:val="-1"/>
              </w:rPr>
              <w:t> </w:t>
            </w:r>
            <w:r>
              <w:rPr>
                <w:color w:val="231F20"/>
              </w:rPr>
              <w:t>funding</w:t>
              <w:tab/>
              <w:t>73</w:t>
            </w:r>
            <w:r>
              <w:rPr/>
            </w:r>
          </w:hyperlink>
        </w:p>
        <w:p>
          <w:pPr>
            <w:pStyle w:val="TOC2"/>
            <w:tabs>
              <w:tab w:pos="8621" w:val="right" w:leader="dot"/>
            </w:tabs>
            <w:spacing w:line="240" w:lineRule="auto"/>
            <w:ind w:right="0"/>
            <w:jc w:val="left"/>
          </w:pPr>
          <w:hyperlink w:history="true" w:anchor="_TOC_250025">
            <w:r>
              <w:rPr>
                <w:color w:val="231F20"/>
                <w:spacing w:val="-1"/>
              </w:rPr>
              <w:t>Block </w:t>
            </w:r>
            <w:r>
              <w:rPr>
                <w:color w:val="231F20"/>
              </w:rPr>
              <w:t>Grant Authorities</w:t>
              <w:tab/>
              <w:t>73</w:t>
            </w:r>
            <w:r>
              <w:rPr/>
            </w:r>
          </w:hyperlink>
        </w:p>
        <w:p>
          <w:pPr>
            <w:pStyle w:val="TOC1"/>
            <w:numPr>
              <w:ilvl w:val="0"/>
              <w:numId w:val="1"/>
            </w:numPr>
            <w:tabs>
              <w:tab w:pos="571" w:val="left" w:leader="none"/>
              <w:tab w:pos="8621" w:val="right" w:leader="dot"/>
            </w:tabs>
            <w:spacing w:line="240" w:lineRule="auto" w:before="139" w:after="0"/>
            <w:ind w:left="570" w:right="0" w:hanging="453"/>
            <w:jc w:val="left"/>
            <w:rPr>
              <w:b w:val="0"/>
              <w:bCs w:val="0"/>
            </w:rPr>
          </w:pPr>
          <w:hyperlink w:history="true" w:anchor="_TOC_250024">
            <w:r>
              <w:rPr>
                <w:color w:val="00779B"/>
                <w:spacing w:val="-2"/>
              </w:rPr>
              <w:t>Boarding</w:t>
            </w:r>
            <w:r>
              <w:rPr>
                <w:color w:val="00779B"/>
                <w:spacing w:val="-1"/>
              </w:rPr>
              <w:t> revenue</w:t>
              <w:tab/>
              <w:t>74</w:t>
            </w:r>
            <w:r>
              <w:rPr>
                <w:b w:val="0"/>
              </w:rPr>
            </w:r>
          </w:hyperlink>
        </w:p>
        <w:p>
          <w:pPr>
            <w:pStyle w:val="TOC2"/>
            <w:tabs>
              <w:tab w:pos="8621" w:val="right" w:leader="dot"/>
            </w:tabs>
            <w:spacing w:line="240" w:lineRule="auto" w:before="30"/>
            <w:ind w:right="0"/>
            <w:jc w:val="left"/>
          </w:pPr>
          <w:hyperlink w:history="true" w:anchor="_TOC_250023">
            <w:r>
              <w:rPr>
                <w:color w:val="231F20"/>
                <w:spacing w:val="-1"/>
              </w:rPr>
              <w:t>Introduction</w:t>
              <w:tab/>
            </w:r>
            <w:r>
              <w:rPr>
                <w:color w:val="231F20"/>
              </w:rPr>
              <w:t>74</w:t>
            </w:r>
            <w:r>
              <w:rPr/>
            </w:r>
          </w:hyperlink>
        </w:p>
        <w:p>
          <w:pPr>
            <w:pStyle w:val="TOC2"/>
            <w:tabs>
              <w:tab w:pos="8621" w:val="right" w:leader="dot"/>
            </w:tabs>
            <w:spacing w:line="240" w:lineRule="auto"/>
            <w:ind w:right="0"/>
            <w:jc w:val="left"/>
          </w:pPr>
          <w:hyperlink w:history="true" w:anchor="_TOC_250022">
            <w:r>
              <w:rPr>
                <w:color w:val="231F20"/>
              </w:rPr>
              <w:t>The</w:t>
            </w:r>
            <w:r>
              <w:rPr>
                <w:color w:val="231F20"/>
                <w:spacing w:val="-1"/>
              </w:rPr>
              <w:t> level</w:t>
            </w:r>
            <w:r>
              <w:rPr>
                <w:color w:val="231F20"/>
              </w:rPr>
              <w:t> of </w:t>
            </w:r>
            <w:r>
              <w:rPr>
                <w:color w:val="231F20"/>
                <w:spacing w:val="-1"/>
              </w:rPr>
              <w:t>investment</w:t>
              <w:tab/>
            </w:r>
            <w:r>
              <w:rPr>
                <w:color w:val="231F20"/>
              </w:rPr>
              <w:t>75</w:t>
            </w:r>
            <w:r>
              <w:rPr/>
            </w:r>
          </w:hyperlink>
        </w:p>
        <w:p>
          <w:pPr>
            <w:pStyle w:val="TOC2"/>
            <w:tabs>
              <w:tab w:pos="8621" w:val="right" w:leader="dot"/>
            </w:tabs>
            <w:spacing w:line="240" w:lineRule="auto"/>
            <w:ind w:right="0"/>
            <w:jc w:val="left"/>
          </w:pPr>
          <w:hyperlink w:history="true" w:anchor="_TOC_250021">
            <w:r>
              <w:rPr>
                <w:color w:val="231F20"/>
              </w:rPr>
              <w:t>The</w:t>
            </w:r>
            <w:r>
              <w:rPr>
                <w:color w:val="231F20"/>
                <w:spacing w:val="-1"/>
              </w:rPr>
              <w:t> </w:t>
            </w:r>
            <w:r>
              <w:rPr>
                <w:color w:val="231F20"/>
              </w:rPr>
              <w:t>funding </w:t>
            </w:r>
            <w:r>
              <w:rPr>
                <w:color w:val="231F20"/>
                <w:spacing w:val="-1"/>
              </w:rPr>
              <w:t>model</w:t>
              <w:tab/>
            </w:r>
            <w:r>
              <w:rPr>
                <w:color w:val="231F20"/>
              </w:rPr>
              <w:t>83</w:t>
            </w:r>
            <w:r>
              <w:rPr/>
            </w:r>
          </w:hyperlink>
        </w:p>
        <w:p>
          <w:pPr>
            <w:pStyle w:val="TOC1"/>
            <w:numPr>
              <w:ilvl w:val="0"/>
              <w:numId w:val="1"/>
            </w:numPr>
            <w:tabs>
              <w:tab w:pos="571" w:val="left" w:leader="none"/>
              <w:tab w:pos="8621" w:val="right" w:leader="dot"/>
            </w:tabs>
            <w:spacing w:line="240" w:lineRule="auto" w:before="139" w:after="0"/>
            <w:ind w:left="570" w:right="0" w:hanging="453"/>
            <w:jc w:val="left"/>
            <w:rPr>
              <w:b w:val="0"/>
              <w:bCs w:val="0"/>
            </w:rPr>
          </w:pPr>
          <w:hyperlink w:history="true" w:anchor="_TOC_250020">
            <w:r>
              <w:rPr>
                <w:color w:val="00779B"/>
                <w:spacing w:val="-2"/>
              </w:rPr>
              <w:t>Boarding</w:t>
            </w:r>
            <w:r>
              <w:rPr>
                <w:color w:val="00779B"/>
              </w:rPr>
              <w:t> costs</w:t>
              <w:tab/>
            </w:r>
            <w:r>
              <w:rPr>
                <w:color w:val="00779B"/>
                <w:spacing w:val="-1"/>
              </w:rPr>
              <w:t>84</w:t>
            </w:r>
            <w:r>
              <w:rPr>
                <w:b w:val="0"/>
              </w:rPr>
            </w:r>
          </w:hyperlink>
        </w:p>
        <w:p>
          <w:pPr>
            <w:pStyle w:val="TOC2"/>
            <w:tabs>
              <w:tab w:pos="8621" w:val="right" w:leader="dot"/>
            </w:tabs>
            <w:spacing w:line="240" w:lineRule="auto" w:before="30"/>
            <w:ind w:right="0"/>
            <w:jc w:val="left"/>
          </w:pPr>
          <w:hyperlink w:history="true" w:anchor="_TOC_250019">
            <w:r>
              <w:rPr>
                <w:color w:val="231F20"/>
                <w:spacing w:val="-1"/>
              </w:rPr>
              <w:t>Size </w:t>
            </w:r>
            <w:r>
              <w:rPr>
                <w:color w:val="231F20"/>
              </w:rPr>
              <w:t>of boarding</w:t>
            </w:r>
            <w:r>
              <w:rPr>
                <w:color w:val="231F20"/>
                <w:spacing w:val="-1"/>
              </w:rPr>
              <w:t> </w:t>
            </w:r>
            <w:r>
              <w:rPr>
                <w:color w:val="231F20"/>
              </w:rPr>
              <w:t>provider</w:t>
              <w:tab/>
              <w:t>84</w:t>
            </w:r>
            <w:r>
              <w:rPr/>
            </w:r>
          </w:hyperlink>
        </w:p>
        <w:p>
          <w:pPr>
            <w:pStyle w:val="TOC2"/>
            <w:tabs>
              <w:tab w:pos="8621" w:val="right" w:leader="dot"/>
            </w:tabs>
            <w:spacing w:line="240" w:lineRule="auto"/>
            <w:ind w:right="0"/>
            <w:jc w:val="left"/>
          </w:pPr>
          <w:hyperlink w:history="true" w:anchor="_TOC_250018">
            <w:r>
              <w:rPr>
                <w:color w:val="231F20"/>
                <w:spacing w:val="-1"/>
              </w:rPr>
              <w:t>Socio-economic</w:t>
            </w:r>
            <w:r>
              <w:rPr>
                <w:color w:val="231F20"/>
              </w:rPr>
              <w:t> background</w:t>
            </w:r>
            <w:r>
              <w:rPr>
                <w:color w:val="231F20"/>
                <w:spacing w:val="-1"/>
              </w:rPr>
              <w:t> </w:t>
            </w:r>
            <w:r>
              <w:rPr>
                <w:color w:val="231F20"/>
              </w:rPr>
              <w:t>of boarders</w:t>
              <w:tab/>
              <w:t>86</w:t>
            </w:r>
            <w:r>
              <w:rPr/>
            </w:r>
          </w:hyperlink>
        </w:p>
        <w:p>
          <w:pPr>
            <w:pStyle w:val="TOC2"/>
            <w:tabs>
              <w:tab w:pos="8621" w:val="right" w:leader="dot"/>
            </w:tabs>
            <w:spacing w:line="240" w:lineRule="auto"/>
            <w:ind w:right="0"/>
            <w:jc w:val="left"/>
          </w:pPr>
          <w:hyperlink w:history="true" w:anchor="_TOC_250017">
            <w:r>
              <w:rPr>
                <w:color w:val="231F20"/>
                <w:spacing w:val="-1"/>
              </w:rPr>
              <w:t>Indigeneity</w:t>
              <w:tab/>
            </w:r>
            <w:r>
              <w:rPr>
                <w:color w:val="231F20"/>
              </w:rPr>
              <w:t>90</w:t>
            </w:r>
            <w:r>
              <w:rPr/>
            </w:r>
          </w:hyperlink>
        </w:p>
        <w:p>
          <w:pPr>
            <w:pStyle w:val="TOC2"/>
            <w:tabs>
              <w:tab w:pos="8621" w:val="right" w:leader="dot"/>
            </w:tabs>
            <w:spacing w:line="240" w:lineRule="auto"/>
            <w:ind w:right="0"/>
            <w:jc w:val="left"/>
          </w:pPr>
          <w:hyperlink w:history="true" w:anchor="_TOC_250016">
            <w:r>
              <w:rPr>
                <w:color w:val="231F20"/>
                <w:spacing w:val="-1"/>
              </w:rPr>
              <w:t>Remoteness</w:t>
              <w:tab/>
            </w:r>
            <w:r>
              <w:rPr>
                <w:color w:val="231F20"/>
              </w:rPr>
              <w:t>93</w:t>
            </w:r>
            <w:r>
              <w:rPr/>
            </w:r>
          </w:hyperlink>
        </w:p>
        <w:p>
          <w:pPr>
            <w:pStyle w:val="TOC2"/>
            <w:tabs>
              <w:tab w:pos="8621" w:val="right" w:leader="dot"/>
            </w:tabs>
            <w:spacing w:line="240" w:lineRule="auto"/>
            <w:ind w:right="0"/>
            <w:jc w:val="left"/>
          </w:pPr>
          <w:hyperlink w:history="true" w:anchor="_TOC_250015">
            <w:r>
              <w:rPr>
                <w:color w:val="231F20"/>
              </w:rPr>
              <w:t>Age</w:t>
            </w:r>
            <w:r>
              <w:rPr>
                <w:color w:val="231F20"/>
                <w:spacing w:val="-1"/>
              </w:rPr>
              <w:t> </w:t>
            </w:r>
            <w:r>
              <w:rPr>
                <w:color w:val="231F20"/>
              </w:rPr>
              <w:t>of boarders</w:t>
              <w:tab/>
              <w:t>98</w:t>
            </w:r>
            <w:r>
              <w:rPr/>
            </w:r>
          </w:hyperlink>
        </w:p>
        <w:p>
          <w:pPr>
            <w:pStyle w:val="TOC2"/>
            <w:tabs>
              <w:tab w:pos="8621" w:val="right" w:leader="dot"/>
            </w:tabs>
            <w:spacing w:line="240" w:lineRule="auto"/>
            <w:ind w:right="0"/>
            <w:jc w:val="left"/>
          </w:pPr>
          <w:hyperlink w:history="true" w:anchor="_TOC_250014">
            <w:r>
              <w:rPr>
                <w:color w:val="231F20"/>
                <w:spacing w:val="-1"/>
              </w:rPr>
              <w:t>Special</w:t>
            </w:r>
            <w:r>
              <w:rPr>
                <w:color w:val="231F20"/>
              </w:rPr>
              <w:t> assistance</w:t>
            </w:r>
            <w:r>
              <w:rPr>
                <w:color w:val="231F20"/>
                <w:spacing w:val="-1"/>
              </w:rPr>
              <w:t> schools</w:t>
              <w:tab/>
            </w:r>
            <w:r>
              <w:rPr>
                <w:color w:val="231F20"/>
              </w:rPr>
              <w:t>98</w:t>
            </w:r>
            <w:r>
              <w:rPr/>
            </w:r>
          </w:hyperlink>
        </w:p>
        <w:p>
          <w:pPr>
            <w:pStyle w:val="TOC2"/>
            <w:tabs>
              <w:tab w:pos="8621" w:val="right" w:leader="dot"/>
            </w:tabs>
            <w:spacing w:line="240" w:lineRule="auto"/>
            <w:ind w:right="0"/>
            <w:jc w:val="left"/>
          </w:pPr>
          <w:hyperlink w:history="true" w:anchor="_TOC_250013">
            <w:r>
              <w:rPr>
                <w:color w:val="231F20"/>
                <w:spacing w:val="-3"/>
              </w:rPr>
              <w:t>Type</w:t>
            </w:r>
            <w:r>
              <w:rPr>
                <w:color w:val="231F20"/>
                <w:spacing w:val="-2"/>
              </w:rPr>
              <w:t> </w:t>
            </w:r>
            <w:r>
              <w:rPr>
                <w:color w:val="231F20"/>
              </w:rPr>
              <w:t>of boarding</w:t>
            </w:r>
            <w:r>
              <w:rPr>
                <w:color w:val="231F20"/>
                <w:spacing w:val="-1"/>
              </w:rPr>
              <w:t> </w:t>
            </w:r>
            <w:r>
              <w:rPr>
                <w:color w:val="231F20"/>
              </w:rPr>
              <w:t>accommodation</w:t>
              <w:tab/>
              <w:t>100</w:t>
            </w:r>
            <w:r>
              <w:rPr/>
            </w:r>
          </w:hyperlink>
        </w:p>
        <w:p>
          <w:pPr>
            <w:pStyle w:val="TOC2"/>
            <w:tabs>
              <w:tab w:pos="8621" w:val="right" w:leader="dot"/>
            </w:tabs>
            <w:spacing w:line="240" w:lineRule="auto"/>
            <w:ind w:right="0"/>
            <w:jc w:val="left"/>
          </w:pPr>
          <w:hyperlink w:history="true" w:anchor="_TOC_250012">
            <w:r>
              <w:rPr>
                <w:color w:val="231F20"/>
                <w:spacing w:val="-1"/>
              </w:rPr>
              <w:t>Standalone</w:t>
            </w:r>
            <w:r>
              <w:rPr>
                <w:color w:val="231F20"/>
                <w:spacing w:val="-2"/>
              </w:rPr>
              <w:t> </w:t>
            </w:r>
            <w:r>
              <w:rPr>
                <w:color w:val="231F20"/>
              </w:rPr>
              <w:t>v combined</w:t>
              <w:tab/>
              <w:t>100</w:t>
            </w:r>
            <w:r>
              <w:rPr/>
            </w:r>
          </w:hyperlink>
        </w:p>
        <w:p>
          <w:pPr>
            <w:pStyle w:val="TOC2"/>
            <w:tabs>
              <w:tab w:pos="8621" w:val="right" w:leader="dot"/>
            </w:tabs>
            <w:spacing w:line="240" w:lineRule="auto"/>
            <w:ind w:right="0"/>
            <w:jc w:val="left"/>
          </w:pPr>
          <w:hyperlink w:history="true" w:anchor="_TOC_250011">
            <w:r>
              <w:rPr>
                <w:color w:val="231F20"/>
                <w:spacing w:val="-1"/>
              </w:rPr>
              <w:t>Sector </w:t>
            </w:r>
            <w:r>
              <w:rPr>
                <w:color w:val="231F20"/>
              </w:rPr>
              <w:t>restructuring</w:t>
            </w:r>
            <w:r>
              <w:rPr>
                <w:color w:val="231F20"/>
                <w:spacing w:val="-2"/>
              </w:rPr>
              <w:t> </w:t>
            </w:r>
            <w:r>
              <w:rPr>
                <w:color w:val="231F20"/>
              </w:rPr>
              <w:t>challenges</w:t>
            </w:r>
            <w:r>
              <w:rPr>
                <w:color w:val="231F20"/>
                <w:spacing w:val="-2"/>
              </w:rPr>
              <w:t> </w:t>
            </w:r>
            <w:r>
              <w:rPr>
                <w:color w:val="231F20"/>
              </w:rPr>
              <w:t>and</w:t>
            </w:r>
            <w:r>
              <w:rPr>
                <w:color w:val="231F20"/>
                <w:spacing w:val="-1"/>
              </w:rPr>
              <w:t> </w:t>
            </w:r>
            <w:r>
              <w:rPr>
                <w:color w:val="231F20"/>
              </w:rPr>
              <w:t>costs</w:t>
              <w:tab/>
              <w:t>101</w:t>
            </w:r>
            <w:r>
              <w:rPr/>
            </w:r>
          </w:hyperlink>
        </w:p>
        <w:p>
          <w:pPr>
            <w:pStyle w:val="TOC2"/>
            <w:tabs>
              <w:tab w:pos="8621" w:val="right" w:leader="dot"/>
            </w:tabs>
            <w:spacing w:line="240" w:lineRule="auto"/>
            <w:ind w:right="0"/>
            <w:jc w:val="left"/>
          </w:pPr>
          <w:hyperlink w:history="true" w:anchor="_TOC_250010">
            <w:r>
              <w:rPr>
                <w:color w:val="231F20"/>
                <w:spacing w:val="-1"/>
              </w:rPr>
              <w:t>Critical mass</w:t>
            </w:r>
            <w:r>
              <w:rPr>
                <w:color w:val="231F20"/>
              </w:rPr>
              <w:t> for boarding</w:t>
              <w:tab/>
              <w:t>105</w:t>
            </w:r>
            <w:r>
              <w:rPr/>
            </w:r>
          </w:hyperlink>
        </w:p>
        <w:p>
          <w:pPr>
            <w:pStyle w:val="TOC1"/>
            <w:numPr>
              <w:ilvl w:val="0"/>
              <w:numId w:val="1"/>
            </w:numPr>
            <w:tabs>
              <w:tab w:pos="571" w:val="left" w:leader="none"/>
              <w:tab w:pos="8621" w:val="right" w:leader="dot"/>
            </w:tabs>
            <w:spacing w:line="240" w:lineRule="auto" w:before="139" w:after="0"/>
            <w:ind w:left="570" w:right="0" w:hanging="453"/>
            <w:jc w:val="left"/>
            <w:rPr>
              <w:b w:val="0"/>
              <w:bCs w:val="0"/>
            </w:rPr>
          </w:pPr>
          <w:hyperlink w:history="true" w:anchor="_TOC_250009">
            <w:r>
              <w:rPr>
                <w:color w:val="00779B"/>
                <w:spacing w:val="-1"/>
              </w:rPr>
              <w:t>Retention, </w:t>
            </w:r>
            <w:r>
              <w:rPr>
                <w:color w:val="00779B"/>
              </w:rPr>
              <w:t>expulsion, suspensions</w:t>
            </w:r>
            <w:r>
              <w:rPr>
                <w:color w:val="00779B"/>
                <w:spacing w:val="-1"/>
              </w:rPr>
              <w:t> and</w:t>
            </w:r>
            <w:r>
              <w:rPr>
                <w:color w:val="00779B"/>
              </w:rPr>
              <w:t> </w:t>
            </w:r>
            <w:r>
              <w:rPr>
                <w:color w:val="00779B"/>
                <w:spacing w:val="-1"/>
              </w:rPr>
              <w:t>graduations</w:t>
              <w:tab/>
              <w:t>106</w:t>
            </w:r>
            <w:r>
              <w:rPr>
                <w:b w:val="0"/>
              </w:rPr>
            </w:r>
          </w:hyperlink>
        </w:p>
        <w:p>
          <w:pPr>
            <w:pStyle w:val="TOC1"/>
            <w:numPr>
              <w:ilvl w:val="0"/>
              <w:numId w:val="1"/>
            </w:numPr>
            <w:tabs>
              <w:tab w:pos="571" w:val="left" w:leader="none"/>
              <w:tab w:pos="8621" w:val="right" w:leader="dot"/>
            </w:tabs>
            <w:spacing w:line="240" w:lineRule="auto" w:before="129" w:after="0"/>
            <w:ind w:left="570" w:right="0" w:hanging="453"/>
            <w:jc w:val="left"/>
            <w:rPr>
              <w:b w:val="0"/>
              <w:bCs w:val="0"/>
            </w:rPr>
          </w:pPr>
          <w:hyperlink w:history="true" w:anchor="_TOC_250008">
            <w:r>
              <w:rPr>
                <w:color w:val="00779B"/>
                <w:spacing w:val="-2"/>
              </w:rPr>
              <w:t>Boarding</w:t>
            </w:r>
            <w:r>
              <w:rPr>
                <w:color w:val="00779B"/>
              </w:rPr>
              <w:t> </w:t>
            </w:r>
            <w:r>
              <w:rPr>
                <w:color w:val="00779B"/>
                <w:spacing w:val="-1"/>
              </w:rPr>
              <w:t>standard</w:t>
              <w:tab/>
              <w:t>107</w:t>
            </w:r>
            <w:r>
              <w:rPr>
                <w:b w:val="0"/>
              </w:rPr>
            </w:r>
          </w:hyperlink>
        </w:p>
        <w:p>
          <w:pPr>
            <w:pStyle w:val="TOC1"/>
            <w:numPr>
              <w:ilvl w:val="0"/>
              <w:numId w:val="1"/>
            </w:numPr>
            <w:tabs>
              <w:tab w:pos="571" w:val="left" w:leader="none"/>
              <w:tab w:pos="8621" w:val="right" w:leader="dot"/>
            </w:tabs>
            <w:spacing w:line="240" w:lineRule="auto" w:before="129" w:after="0"/>
            <w:ind w:left="570" w:right="0" w:hanging="453"/>
            <w:jc w:val="left"/>
            <w:rPr>
              <w:b w:val="0"/>
              <w:bCs w:val="0"/>
            </w:rPr>
          </w:pPr>
          <w:hyperlink w:history="true" w:anchor="_TOC_250007">
            <w:r>
              <w:rPr>
                <w:color w:val="00779B"/>
                <w:spacing w:val="-2"/>
              </w:rPr>
              <w:t>Peak</w:t>
            </w:r>
            <w:r>
              <w:rPr>
                <w:color w:val="00779B"/>
                <w:spacing w:val="-1"/>
              </w:rPr>
              <w:t> bodies</w:t>
              <w:tab/>
              <w:t>109</w:t>
            </w:r>
            <w:r>
              <w:rPr>
                <w:b w:val="0"/>
              </w:rPr>
            </w:r>
          </w:hyperlink>
        </w:p>
        <w:p>
          <w:pPr>
            <w:pStyle w:val="TOC1"/>
            <w:numPr>
              <w:ilvl w:val="0"/>
              <w:numId w:val="1"/>
            </w:numPr>
            <w:tabs>
              <w:tab w:pos="571" w:val="left" w:leader="none"/>
              <w:tab w:pos="8621" w:val="right" w:leader="dot"/>
            </w:tabs>
            <w:spacing w:line="240" w:lineRule="auto" w:before="129" w:after="0"/>
            <w:ind w:left="570" w:right="0" w:hanging="453"/>
            <w:jc w:val="left"/>
            <w:rPr>
              <w:b w:val="0"/>
              <w:bCs w:val="0"/>
            </w:rPr>
          </w:pPr>
          <w:hyperlink w:history="true" w:anchor="_TOC_250006">
            <w:r>
              <w:rPr>
                <w:color w:val="00779B"/>
              </w:rPr>
              <w:t>Cultural</w:t>
            </w:r>
            <w:r>
              <w:rPr>
                <w:color w:val="00779B"/>
                <w:spacing w:val="-1"/>
              </w:rPr>
              <w:t> respect and</w:t>
            </w:r>
            <w:r>
              <w:rPr>
                <w:color w:val="00779B"/>
              </w:rPr>
              <w:t> collaboration</w:t>
              <w:tab/>
            </w:r>
            <w:r>
              <w:rPr>
                <w:color w:val="00779B"/>
                <w:spacing w:val="-1"/>
              </w:rPr>
              <w:t>110</w:t>
            </w:r>
            <w:r>
              <w:rPr>
                <w:b w:val="0"/>
              </w:rPr>
            </w:r>
          </w:hyperlink>
        </w:p>
        <w:p>
          <w:pPr>
            <w:pStyle w:val="TOC1"/>
            <w:numPr>
              <w:ilvl w:val="0"/>
              <w:numId w:val="1"/>
            </w:numPr>
            <w:tabs>
              <w:tab w:pos="571" w:val="left" w:leader="none"/>
              <w:tab w:pos="8621" w:val="right" w:leader="dot"/>
            </w:tabs>
            <w:spacing w:line="240" w:lineRule="auto" w:before="129" w:after="0"/>
            <w:ind w:left="570" w:right="0" w:hanging="453"/>
            <w:jc w:val="left"/>
            <w:rPr>
              <w:b w:val="0"/>
              <w:bCs w:val="0"/>
            </w:rPr>
          </w:pPr>
          <w:hyperlink w:history="true" w:anchor="_TOC_250005">
            <w:r>
              <w:rPr>
                <w:color w:val="00779B"/>
                <w:spacing w:val="1"/>
              </w:rPr>
              <w:t>Glossary</w:t>
            </w:r>
            <w:r>
              <w:rPr>
                <w:color w:val="00779B"/>
                <w:spacing w:val="-1"/>
              </w:rPr>
              <w:t> and</w:t>
            </w:r>
            <w:r>
              <w:rPr>
                <w:color w:val="00779B"/>
              </w:rPr>
              <w:t> </w:t>
            </w:r>
            <w:r>
              <w:rPr>
                <w:color w:val="00779B"/>
                <w:spacing w:val="-1"/>
              </w:rPr>
              <w:t>acronyms</w:t>
              <w:tab/>
              <w:t>111</w:t>
            </w:r>
            <w:r>
              <w:rPr>
                <w:b w:val="0"/>
              </w:rPr>
            </w:r>
          </w:hyperlink>
        </w:p>
        <w:p>
          <w:pPr>
            <w:pStyle w:val="TOC1"/>
            <w:numPr>
              <w:ilvl w:val="0"/>
              <w:numId w:val="1"/>
            </w:numPr>
            <w:tabs>
              <w:tab w:pos="571" w:val="left" w:leader="none"/>
              <w:tab w:pos="8621" w:val="right" w:leader="dot"/>
            </w:tabs>
            <w:spacing w:line="240" w:lineRule="auto" w:before="129" w:after="0"/>
            <w:ind w:left="570" w:right="0" w:hanging="453"/>
            <w:jc w:val="left"/>
            <w:rPr>
              <w:b w:val="0"/>
              <w:bCs w:val="0"/>
            </w:rPr>
          </w:pPr>
          <w:hyperlink w:history="true" w:anchor="_TOC_250004">
            <w:r>
              <w:rPr>
                <w:color w:val="00779B"/>
                <w:spacing w:val="-1"/>
              </w:rPr>
              <w:t>References</w:t>
              <w:tab/>
              <w:t>113</w:t>
            </w:r>
            <w:r>
              <w:rPr>
                <w:b w:val="0"/>
              </w:rPr>
            </w:r>
          </w:hyperlink>
        </w:p>
        <w:p>
          <w:pPr>
            <w:pStyle w:val="TOC1"/>
            <w:numPr>
              <w:ilvl w:val="0"/>
              <w:numId w:val="1"/>
            </w:numPr>
            <w:tabs>
              <w:tab w:pos="571" w:val="left" w:leader="none"/>
              <w:tab w:pos="8621" w:val="right" w:leader="dot"/>
            </w:tabs>
            <w:spacing w:line="240" w:lineRule="auto" w:before="129" w:after="0"/>
            <w:ind w:left="570" w:right="0" w:hanging="453"/>
            <w:jc w:val="left"/>
            <w:rPr>
              <w:b w:val="0"/>
              <w:bCs w:val="0"/>
            </w:rPr>
          </w:pPr>
          <w:hyperlink w:history="true" w:anchor="_TOC_250003">
            <w:r>
              <w:rPr>
                <w:color w:val="00779B"/>
                <w:spacing w:val="-1"/>
              </w:rPr>
              <w:t>Appendix</w:t>
            </w:r>
            <w:r>
              <w:rPr>
                <w:color w:val="00779B"/>
              </w:rPr>
              <w:t> A</w:t>
            </w:r>
            <w:r>
              <w:rPr>
                <w:color w:val="00779B"/>
                <w:spacing w:val="-1"/>
              </w:rPr>
              <w:t> </w:t>
            </w:r>
            <w:r>
              <w:rPr>
                <w:color w:val="00779B"/>
              </w:rPr>
              <w:t>– </w:t>
            </w:r>
            <w:r>
              <w:rPr>
                <w:color w:val="00779B"/>
                <w:spacing w:val="-1"/>
              </w:rPr>
              <w:t>Additional</w:t>
            </w:r>
            <w:r>
              <w:rPr>
                <w:color w:val="00779B"/>
              </w:rPr>
              <w:t> consultations</w:t>
              <w:tab/>
            </w:r>
            <w:r>
              <w:rPr>
                <w:color w:val="00779B"/>
                <w:spacing w:val="-1"/>
              </w:rPr>
              <w:t>115</w:t>
            </w:r>
            <w:r>
              <w:rPr>
                <w:b w:val="0"/>
                <w:bCs w:val="0"/>
              </w:rPr>
            </w:r>
          </w:hyperlink>
        </w:p>
        <w:p>
          <w:pPr>
            <w:pStyle w:val="TOC1"/>
            <w:numPr>
              <w:ilvl w:val="0"/>
              <w:numId w:val="1"/>
            </w:numPr>
            <w:tabs>
              <w:tab w:pos="571" w:val="left" w:leader="none"/>
              <w:tab w:pos="8621" w:val="right" w:leader="dot"/>
            </w:tabs>
            <w:spacing w:line="240" w:lineRule="auto" w:before="129" w:after="0"/>
            <w:ind w:left="570" w:right="0" w:hanging="453"/>
            <w:jc w:val="left"/>
            <w:rPr>
              <w:b w:val="0"/>
              <w:bCs w:val="0"/>
            </w:rPr>
          </w:pPr>
          <w:hyperlink w:history="true" w:anchor="_TOC_250002">
            <w:r>
              <w:rPr>
                <w:color w:val="00779B"/>
                <w:spacing w:val="-1"/>
              </w:rPr>
              <w:t>Appendix </w:t>
            </w:r>
            <w:r>
              <w:rPr>
                <w:color w:val="00779B"/>
              </w:rPr>
              <w:t>B</w:t>
            </w:r>
            <w:r>
              <w:rPr>
                <w:color w:val="00779B"/>
                <w:spacing w:val="-1"/>
              </w:rPr>
              <w:t> </w:t>
            </w:r>
            <w:r>
              <w:rPr>
                <w:color w:val="00779B"/>
              </w:rPr>
              <w:t>– </w:t>
            </w:r>
            <w:r>
              <w:rPr>
                <w:color w:val="00779B"/>
                <w:spacing w:val="-1"/>
              </w:rPr>
              <w:t>Commonwealth recurrent</w:t>
            </w:r>
            <w:r>
              <w:rPr>
                <w:color w:val="00779B"/>
                <w:spacing w:val="-2"/>
              </w:rPr>
              <w:t> </w:t>
            </w:r>
            <w:r>
              <w:rPr>
                <w:color w:val="00779B"/>
              </w:rPr>
              <w:t>school</w:t>
            </w:r>
            <w:r>
              <w:rPr>
                <w:color w:val="00779B"/>
                <w:spacing w:val="-1"/>
              </w:rPr>
              <w:t> funding</w:t>
              <w:tab/>
              <w:t>117</w:t>
            </w:r>
            <w:r>
              <w:rPr>
                <w:b w:val="0"/>
                <w:bCs w:val="0"/>
              </w:rPr>
            </w:r>
          </w:hyperlink>
        </w:p>
        <w:p>
          <w:pPr>
            <w:pStyle w:val="TOC1"/>
            <w:numPr>
              <w:ilvl w:val="0"/>
              <w:numId w:val="1"/>
            </w:numPr>
            <w:tabs>
              <w:tab w:pos="571" w:val="left" w:leader="none"/>
              <w:tab w:pos="8621" w:val="right" w:leader="dot"/>
            </w:tabs>
            <w:spacing w:line="240" w:lineRule="auto" w:before="129" w:after="0"/>
            <w:ind w:left="570" w:right="0" w:hanging="453"/>
            <w:jc w:val="left"/>
            <w:rPr>
              <w:b w:val="0"/>
              <w:bCs w:val="0"/>
            </w:rPr>
          </w:pPr>
          <w:hyperlink w:history="true" w:anchor="_TOC_250001">
            <w:r>
              <w:rPr>
                <w:color w:val="00779B"/>
                <w:spacing w:val="-1"/>
              </w:rPr>
              <w:t>Appendix </w:t>
            </w:r>
            <w:r>
              <w:rPr>
                <w:color w:val="00779B"/>
              </w:rPr>
              <w:t>C – Safe</w:t>
            </w:r>
            <w:r>
              <w:rPr>
                <w:color w:val="00779B"/>
                <w:spacing w:val="-1"/>
              </w:rPr>
              <w:t> travel plans</w:t>
              <w:tab/>
              <w:t>123</w:t>
            </w:r>
            <w:r>
              <w:rPr>
                <w:b w:val="0"/>
                <w:bCs w:val="0"/>
              </w:rPr>
            </w:r>
          </w:hyperlink>
        </w:p>
        <w:p>
          <w:pPr>
            <w:pStyle w:val="TOC1"/>
            <w:numPr>
              <w:ilvl w:val="0"/>
              <w:numId w:val="1"/>
            </w:numPr>
            <w:tabs>
              <w:tab w:pos="571" w:val="left" w:leader="none"/>
              <w:tab w:pos="8621" w:val="right" w:leader="dot"/>
            </w:tabs>
            <w:spacing w:line="240" w:lineRule="auto" w:before="129" w:after="0"/>
            <w:ind w:left="570" w:right="0" w:hanging="453"/>
            <w:jc w:val="left"/>
            <w:rPr>
              <w:b w:val="0"/>
              <w:bCs w:val="0"/>
            </w:rPr>
          </w:pPr>
          <w:hyperlink w:history="true" w:anchor="_TOC_250000">
            <w:r>
              <w:rPr>
                <w:color w:val="00779B"/>
                <w:spacing w:val="-1"/>
              </w:rPr>
              <w:t>Endnotes</w:t>
              <w:tab/>
              <w:t>125</w:t>
            </w:r>
            <w:r>
              <w:rPr>
                <w:b w:val="0"/>
              </w:rPr>
            </w:r>
          </w:hyperlink>
        </w:p>
        <w:p>
          <w:pPr/>
          <w:r>
            <w:fldChar w:fldCharType="end"/>
          </w:r>
        </w:p>
      </w:sdtContent>
    </w:sdt>
    <w:p>
      <w:pPr>
        <w:spacing w:after="0"/>
        <w:sectPr>
          <w:pgSz w:w="11910" w:h="16840"/>
          <w:pgMar w:header="0" w:footer="691" w:top="1580" w:bottom="880" w:left="1300" w:right="1680"/>
        </w:sectPr>
      </w:pPr>
    </w:p>
    <w:p>
      <w:pPr>
        <w:tabs>
          <w:tab w:pos="727" w:val="left" w:leader="none"/>
        </w:tabs>
        <w:spacing w:before="515"/>
        <w:ind w:left="160" w:right="0" w:firstLine="0"/>
        <w:jc w:val="left"/>
        <w:rPr>
          <w:rFonts w:ascii="Segoe UI" w:hAnsi="Segoe UI" w:cs="Segoe UI" w:eastAsia="Segoe UI"/>
          <w:sz w:val="44"/>
          <w:szCs w:val="44"/>
        </w:rPr>
      </w:pPr>
      <w:r>
        <w:rPr>
          <w:rFonts w:ascii="Segoe UI"/>
          <w:color w:val="67973F"/>
          <w:spacing w:val="-1"/>
          <w:w w:val="95"/>
          <w:sz w:val="44"/>
        </w:rPr>
        <w:t>1.</w:t>
        <w:tab/>
      </w:r>
      <w:r>
        <w:rPr>
          <w:rFonts w:ascii="Segoe UI"/>
          <w:color w:val="67973F"/>
          <w:sz w:val="44"/>
        </w:rPr>
        <w:t>Overview</w:t>
      </w:r>
      <w:r>
        <w:rPr>
          <w:rFonts w:ascii="Segoe UI"/>
          <w:sz w:val="44"/>
        </w:rPr>
      </w:r>
    </w:p>
    <w:p>
      <w:pPr>
        <w:spacing w:line="300" w:lineRule="exact" w:before="148"/>
        <w:ind w:left="160" w:right="149" w:firstLine="0"/>
        <w:jc w:val="left"/>
        <w:rPr>
          <w:rFonts w:ascii="Segoe UI" w:hAnsi="Segoe UI" w:cs="Segoe UI" w:eastAsia="Segoe UI"/>
          <w:sz w:val="24"/>
          <w:szCs w:val="24"/>
        </w:rPr>
      </w:pPr>
      <w:r>
        <w:rPr>
          <w:rFonts w:ascii="Segoe UI"/>
          <w:color w:val="666155"/>
          <w:sz w:val="24"/>
        </w:rPr>
        <w:t>The</w:t>
      </w:r>
      <w:r>
        <w:rPr>
          <w:rFonts w:ascii="Segoe UI"/>
          <w:color w:val="666155"/>
          <w:spacing w:val="-6"/>
          <w:sz w:val="24"/>
        </w:rPr>
        <w:t> </w:t>
      </w:r>
      <w:r>
        <w:rPr>
          <w:rFonts w:ascii="Segoe UI"/>
          <w:color w:val="666155"/>
          <w:spacing w:val="-1"/>
          <w:sz w:val="24"/>
        </w:rPr>
        <w:t>Department</w:t>
      </w:r>
      <w:r>
        <w:rPr>
          <w:rFonts w:ascii="Segoe UI"/>
          <w:color w:val="666155"/>
          <w:spacing w:val="-5"/>
          <w:sz w:val="24"/>
        </w:rPr>
        <w:t> </w:t>
      </w:r>
      <w:r>
        <w:rPr>
          <w:rFonts w:ascii="Segoe UI"/>
          <w:color w:val="666155"/>
          <w:sz w:val="24"/>
        </w:rPr>
        <w:t>of</w:t>
      </w:r>
      <w:r>
        <w:rPr>
          <w:rFonts w:ascii="Segoe UI"/>
          <w:color w:val="666155"/>
          <w:spacing w:val="-5"/>
          <w:sz w:val="24"/>
        </w:rPr>
        <w:t> </w:t>
      </w:r>
      <w:r>
        <w:rPr>
          <w:rFonts w:ascii="Segoe UI"/>
          <w:color w:val="666155"/>
          <w:sz w:val="24"/>
        </w:rPr>
        <w:t>the</w:t>
      </w:r>
      <w:r>
        <w:rPr>
          <w:rFonts w:ascii="Segoe UI"/>
          <w:color w:val="666155"/>
          <w:spacing w:val="-6"/>
          <w:sz w:val="24"/>
        </w:rPr>
        <w:t> </w:t>
      </w:r>
      <w:r>
        <w:rPr>
          <w:rFonts w:ascii="Segoe UI"/>
          <w:color w:val="666155"/>
          <w:spacing w:val="-1"/>
          <w:sz w:val="24"/>
        </w:rPr>
        <w:t>Prime</w:t>
      </w:r>
      <w:r>
        <w:rPr>
          <w:rFonts w:ascii="Segoe UI"/>
          <w:color w:val="666155"/>
          <w:spacing w:val="-5"/>
          <w:sz w:val="24"/>
        </w:rPr>
        <w:t> </w:t>
      </w:r>
      <w:r>
        <w:rPr>
          <w:rFonts w:ascii="Segoe UI"/>
          <w:color w:val="666155"/>
          <w:sz w:val="24"/>
        </w:rPr>
        <w:t>Minister</w:t>
      </w:r>
      <w:r>
        <w:rPr>
          <w:rFonts w:ascii="Segoe UI"/>
          <w:color w:val="666155"/>
          <w:spacing w:val="-5"/>
          <w:sz w:val="24"/>
        </w:rPr>
        <w:t> </w:t>
      </w:r>
      <w:r>
        <w:rPr>
          <w:rFonts w:ascii="Segoe UI"/>
          <w:color w:val="666155"/>
          <w:sz w:val="24"/>
        </w:rPr>
        <w:t>and</w:t>
      </w:r>
      <w:r>
        <w:rPr>
          <w:rFonts w:ascii="Segoe UI"/>
          <w:color w:val="666155"/>
          <w:spacing w:val="-6"/>
          <w:sz w:val="24"/>
        </w:rPr>
        <w:t> </w:t>
      </w:r>
      <w:r>
        <w:rPr>
          <w:rFonts w:ascii="Segoe UI"/>
          <w:color w:val="666155"/>
          <w:spacing w:val="-1"/>
          <w:sz w:val="24"/>
        </w:rPr>
        <w:t>Cabinet</w:t>
      </w:r>
      <w:r>
        <w:rPr>
          <w:rFonts w:ascii="Segoe UI"/>
          <w:color w:val="666155"/>
          <w:spacing w:val="-5"/>
          <w:sz w:val="24"/>
        </w:rPr>
        <w:t> </w:t>
      </w:r>
      <w:r>
        <w:rPr>
          <w:rFonts w:ascii="Segoe UI"/>
          <w:color w:val="666155"/>
          <w:sz w:val="24"/>
        </w:rPr>
        <w:t>(PM&amp;C)</w:t>
      </w:r>
      <w:r>
        <w:rPr>
          <w:rFonts w:ascii="Segoe UI"/>
          <w:color w:val="666155"/>
          <w:spacing w:val="-6"/>
          <w:sz w:val="24"/>
        </w:rPr>
        <w:t> </w:t>
      </w:r>
      <w:r>
        <w:rPr>
          <w:rFonts w:ascii="Segoe UI"/>
          <w:color w:val="666155"/>
          <w:spacing w:val="-1"/>
          <w:sz w:val="24"/>
        </w:rPr>
        <w:t>is</w:t>
      </w:r>
      <w:r>
        <w:rPr>
          <w:rFonts w:ascii="Segoe UI"/>
          <w:color w:val="666155"/>
          <w:spacing w:val="-6"/>
          <w:sz w:val="24"/>
        </w:rPr>
        <w:t> </w:t>
      </w:r>
      <w:r>
        <w:rPr>
          <w:rFonts w:ascii="Segoe UI"/>
          <w:color w:val="666155"/>
          <w:spacing w:val="-1"/>
          <w:sz w:val="24"/>
        </w:rPr>
        <w:t>leading</w:t>
      </w:r>
      <w:r>
        <w:rPr>
          <w:rFonts w:ascii="Segoe UI"/>
          <w:color w:val="666155"/>
          <w:spacing w:val="-5"/>
          <w:sz w:val="24"/>
        </w:rPr>
        <w:t> </w:t>
      </w:r>
      <w:r>
        <w:rPr>
          <w:rFonts w:ascii="Segoe UI"/>
          <w:color w:val="666155"/>
          <w:sz w:val="24"/>
        </w:rPr>
        <w:t>work</w:t>
      </w:r>
      <w:r>
        <w:rPr>
          <w:rFonts w:ascii="Segoe UI"/>
          <w:color w:val="666155"/>
          <w:spacing w:val="-5"/>
          <w:sz w:val="24"/>
        </w:rPr>
        <w:t> </w:t>
      </w:r>
      <w:r>
        <w:rPr>
          <w:rFonts w:ascii="Segoe UI"/>
          <w:color w:val="666155"/>
          <w:sz w:val="24"/>
        </w:rPr>
        <w:t>to</w:t>
      </w:r>
      <w:r>
        <w:rPr>
          <w:rFonts w:ascii="Segoe UI"/>
          <w:color w:val="666155"/>
          <w:spacing w:val="26"/>
          <w:w w:val="99"/>
          <w:sz w:val="24"/>
        </w:rPr>
        <w:t> </w:t>
      </w:r>
      <w:r>
        <w:rPr>
          <w:rFonts w:ascii="Segoe UI"/>
          <w:color w:val="666155"/>
          <w:spacing w:val="-1"/>
          <w:sz w:val="24"/>
        </w:rPr>
        <w:t>identify</w:t>
      </w:r>
      <w:r>
        <w:rPr>
          <w:rFonts w:ascii="Segoe UI"/>
          <w:color w:val="666155"/>
          <w:spacing w:val="-7"/>
          <w:sz w:val="24"/>
        </w:rPr>
        <w:t> </w:t>
      </w:r>
      <w:r>
        <w:rPr>
          <w:rFonts w:ascii="Segoe UI"/>
          <w:color w:val="666155"/>
          <w:sz w:val="24"/>
        </w:rPr>
        <w:t>and</w:t>
      </w:r>
      <w:r>
        <w:rPr>
          <w:rFonts w:ascii="Segoe UI"/>
          <w:color w:val="666155"/>
          <w:spacing w:val="-7"/>
          <w:sz w:val="24"/>
        </w:rPr>
        <w:t> </w:t>
      </w:r>
      <w:r>
        <w:rPr>
          <w:rFonts w:ascii="Segoe UI"/>
          <w:color w:val="666155"/>
          <w:sz w:val="24"/>
        </w:rPr>
        <w:t>address</w:t>
      </w:r>
      <w:r>
        <w:rPr>
          <w:rFonts w:ascii="Segoe UI"/>
          <w:color w:val="666155"/>
          <w:spacing w:val="-7"/>
          <w:sz w:val="24"/>
        </w:rPr>
        <w:t> </w:t>
      </w:r>
      <w:r>
        <w:rPr>
          <w:rFonts w:ascii="Segoe UI"/>
          <w:color w:val="666155"/>
          <w:spacing w:val="-1"/>
          <w:sz w:val="24"/>
        </w:rPr>
        <w:t>issues</w:t>
      </w:r>
      <w:r>
        <w:rPr>
          <w:rFonts w:ascii="Segoe UI"/>
          <w:color w:val="666155"/>
          <w:spacing w:val="-6"/>
          <w:sz w:val="24"/>
        </w:rPr>
        <w:t> </w:t>
      </w:r>
      <w:r>
        <w:rPr>
          <w:rFonts w:ascii="Segoe UI"/>
          <w:color w:val="666155"/>
          <w:sz w:val="24"/>
        </w:rPr>
        <w:t>faced</w:t>
      </w:r>
      <w:r>
        <w:rPr>
          <w:rFonts w:ascii="Segoe UI"/>
          <w:color w:val="666155"/>
          <w:spacing w:val="-6"/>
          <w:sz w:val="24"/>
        </w:rPr>
        <w:t> </w:t>
      </w:r>
      <w:r>
        <w:rPr>
          <w:rFonts w:ascii="Segoe UI"/>
          <w:color w:val="666155"/>
          <w:sz w:val="24"/>
        </w:rPr>
        <w:t>by</w:t>
      </w:r>
      <w:r>
        <w:rPr>
          <w:rFonts w:ascii="Segoe UI"/>
          <w:color w:val="666155"/>
          <w:spacing w:val="-6"/>
          <w:sz w:val="24"/>
        </w:rPr>
        <w:t> </w:t>
      </w:r>
      <w:r>
        <w:rPr>
          <w:rFonts w:ascii="Segoe UI"/>
          <w:color w:val="666155"/>
          <w:sz w:val="24"/>
        </w:rPr>
        <w:t>Aboriginal</w:t>
      </w:r>
      <w:r>
        <w:rPr>
          <w:rFonts w:ascii="Segoe UI"/>
          <w:color w:val="666155"/>
          <w:spacing w:val="-6"/>
          <w:sz w:val="24"/>
        </w:rPr>
        <w:t> </w:t>
      </w:r>
      <w:r>
        <w:rPr>
          <w:rFonts w:ascii="Segoe UI"/>
          <w:color w:val="666155"/>
          <w:sz w:val="24"/>
        </w:rPr>
        <w:t>and</w:t>
      </w:r>
      <w:r>
        <w:rPr>
          <w:rFonts w:ascii="Segoe UI"/>
          <w:color w:val="666155"/>
          <w:spacing w:val="-7"/>
          <w:sz w:val="24"/>
        </w:rPr>
        <w:t> </w:t>
      </w:r>
      <w:r>
        <w:rPr>
          <w:rFonts w:ascii="Segoe UI"/>
          <w:color w:val="666155"/>
          <w:spacing w:val="-5"/>
          <w:sz w:val="24"/>
        </w:rPr>
        <w:t>Torres</w:t>
      </w:r>
      <w:r>
        <w:rPr>
          <w:rFonts w:ascii="Segoe UI"/>
          <w:color w:val="666155"/>
          <w:spacing w:val="-7"/>
          <w:sz w:val="24"/>
        </w:rPr>
        <w:t> </w:t>
      </w:r>
      <w:r>
        <w:rPr>
          <w:rFonts w:ascii="Segoe UI"/>
          <w:color w:val="666155"/>
          <w:spacing w:val="-2"/>
          <w:sz w:val="24"/>
        </w:rPr>
        <w:t>Strait</w:t>
      </w:r>
      <w:r>
        <w:rPr>
          <w:rFonts w:ascii="Segoe UI"/>
          <w:color w:val="666155"/>
          <w:spacing w:val="-7"/>
          <w:sz w:val="24"/>
        </w:rPr>
        <w:t> </w:t>
      </w:r>
      <w:r>
        <w:rPr>
          <w:rFonts w:ascii="Segoe UI"/>
          <w:color w:val="666155"/>
          <w:spacing w:val="-1"/>
          <w:sz w:val="24"/>
        </w:rPr>
        <w:t>Islander</w:t>
      </w:r>
      <w:r>
        <w:rPr>
          <w:rFonts w:ascii="Segoe UI"/>
          <w:color w:val="666155"/>
          <w:spacing w:val="-6"/>
          <w:sz w:val="24"/>
        </w:rPr>
        <w:t> </w:t>
      </w:r>
      <w:r>
        <w:rPr>
          <w:rFonts w:ascii="Segoe UI"/>
          <w:color w:val="666155"/>
          <w:spacing w:val="-1"/>
          <w:sz w:val="24"/>
        </w:rPr>
        <w:t>secondary</w:t>
      </w:r>
      <w:r>
        <w:rPr>
          <w:rFonts w:ascii="Segoe UI"/>
          <w:color w:val="666155"/>
          <w:spacing w:val="27"/>
          <w:w w:val="99"/>
          <w:sz w:val="24"/>
        </w:rPr>
        <w:t> </w:t>
      </w:r>
      <w:r>
        <w:rPr>
          <w:rFonts w:ascii="Segoe UI"/>
          <w:color w:val="666155"/>
          <w:spacing w:val="-1"/>
          <w:sz w:val="24"/>
        </w:rPr>
        <w:t>students</w:t>
      </w:r>
      <w:r>
        <w:rPr>
          <w:rFonts w:ascii="Segoe UI"/>
          <w:color w:val="666155"/>
          <w:spacing w:val="-4"/>
          <w:sz w:val="24"/>
        </w:rPr>
        <w:t> </w:t>
      </w:r>
      <w:r>
        <w:rPr>
          <w:rFonts w:ascii="Segoe UI"/>
          <w:color w:val="666155"/>
          <w:sz w:val="24"/>
        </w:rPr>
        <w:t>who</w:t>
      </w:r>
      <w:r>
        <w:rPr>
          <w:rFonts w:ascii="Segoe UI"/>
          <w:color w:val="666155"/>
          <w:spacing w:val="-6"/>
          <w:sz w:val="24"/>
        </w:rPr>
        <w:t> </w:t>
      </w:r>
      <w:r>
        <w:rPr>
          <w:rFonts w:ascii="Segoe UI"/>
          <w:color w:val="666155"/>
          <w:spacing w:val="-1"/>
          <w:sz w:val="24"/>
        </w:rPr>
        <w:t>study</w:t>
      </w:r>
      <w:r>
        <w:rPr>
          <w:rFonts w:ascii="Segoe UI"/>
          <w:color w:val="666155"/>
          <w:spacing w:val="-4"/>
          <w:sz w:val="24"/>
        </w:rPr>
        <w:t> </w:t>
      </w:r>
      <w:r>
        <w:rPr>
          <w:rFonts w:ascii="Segoe UI"/>
          <w:color w:val="666155"/>
          <w:sz w:val="24"/>
        </w:rPr>
        <w:t>away</w:t>
      </w:r>
      <w:r>
        <w:rPr>
          <w:rFonts w:ascii="Segoe UI"/>
          <w:color w:val="666155"/>
          <w:spacing w:val="-6"/>
          <w:sz w:val="24"/>
        </w:rPr>
        <w:t> </w:t>
      </w:r>
      <w:r>
        <w:rPr>
          <w:rFonts w:ascii="Segoe UI"/>
          <w:color w:val="666155"/>
          <w:sz w:val="24"/>
        </w:rPr>
        <w:t>from</w:t>
      </w:r>
      <w:r>
        <w:rPr>
          <w:rFonts w:ascii="Segoe UI"/>
          <w:color w:val="666155"/>
          <w:spacing w:val="-4"/>
          <w:sz w:val="24"/>
        </w:rPr>
        <w:t> </w:t>
      </w:r>
      <w:r>
        <w:rPr>
          <w:rFonts w:ascii="Segoe UI"/>
          <w:color w:val="666155"/>
          <w:sz w:val="24"/>
        </w:rPr>
        <w:t>home.</w:t>
      </w:r>
      <w:r>
        <w:rPr>
          <w:rFonts w:ascii="Segoe UI"/>
          <w:color w:val="666155"/>
          <w:spacing w:val="-6"/>
          <w:sz w:val="24"/>
        </w:rPr>
        <w:t> </w:t>
      </w:r>
      <w:r>
        <w:rPr>
          <w:rFonts w:ascii="Segoe UI"/>
          <w:color w:val="666155"/>
          <w:spacing w:val="-1"/>
          <w:sz w:val="24"/>
        </w:rPr>
        <w:t>In</w:t>
      </w:r>
      <w:r>
        <w:rPr>
          <w:rFonts w:ascii="Segoe UI"/>
          <w:color w:val="666155"/>
          <w:spacing w:val="-4"/>
          <w:sz w:val="24"/>
        </w:rPr>
        <w:t> </w:t>
      </w:r>
      <w:r>
        <w:rPr>
          <w:rFonts w:ascii="Segoe UI"/>
          <w:color w:val="666155"/>
          <w:spacing w:val="-1"/>
          <w:sz w:val="24"/>
        </w:rPr>
        <w:t>December</w:t>
      </w:r>
      <w:r>
        <w:rPr>
          <w:rFonts w:ascii="Segoe UI"/>
          <w:color w:val="666155"/>
          <w:spacing w:val="-5"/>
          <w:sz w:val="24"/>
        </w:rPr>
        <w:t> </w:t>
      </w:r>
      <w:r>
        <w:rPr>
          <w:rFonts w:ascii="Segoe UI"/>
          <w:color w:val="666155"/>
          <w:spacing w:val="-1"/>
          <w:sz w:val="24"/>
        </w:rPr>
        <w:t>2017,</w:t>
      </w:r>
      <w:r>
        <w:rPr>
          <w:rFonts w:ascii="Segoe UI"/>
          <w:color w:val="666155"/>
          <w:spacing w:val="-5"/>
          <w:sz w:val="24"/>
        </w:rPr>
        <w:t> </w:t>
      </w:r>
      <w:r>
        <w:rPr>
          <w:rFonts w:ascii="Segoe UI"/>
          <w:color w:val="666155"/>
          <w:spacing w:val="-1"/>
          <w:sz w:val="24"/>
        </w:rPr>
        <w:t>PM&amp;C</w:t>
      </w:r>
      <w:r>
        <w:rPr>
          <w:rFonts w:ascii="Segoe UI"/>
          <w:color w:val="666155"/>
          <w:spacing w:val="-5"/>
          <w:sz w:val="24"/>
        </w:rPr>
        <w:t> </w:t>
      </w:r>
      <w:r>
        <w:rPr>
          <w:rFonts w:ascii="Segoe UI"/>
          <w:color w:val="666155"/>
          <w:sz w:val="24"/>
        </w:rPr>
        <w:t>released</w:t>
      </w:r>
      <w:r>
        <w:rPr>
          <w:rFonts w:ascii="Segoe UI"/>
          <w:color w:val="666155"/>
          <w:spacing w:val="-7"/>
          <w:sz w:val="24"/>
        </w:rPr>
        <w:t> </w:t>
      </w:r>
      <w:r>
        <w:rPr>
          <w:rFonts w:ascii="Segoe UI"/>
          <w:color w:val="666155"/>
          <w:sz w:val="24"/>
        </w:rPr>
        <w:t>a</w:t>
      </w:r>
      <w:r>
        <w:rPr>
          <w:rFonts w:ascii="Segoe UI"/>
          <w:color w:val="666155"/>
          <w:spacing w:val="-4"/>
          <w:sz w:val="24"/>
        </w:rPr>
        <w:t> </w:t>
      </w:r>
      <w:r>
        <w:rPr>
          <w:rFonts w:ascii="Segoe UI"/>
          <w:color w:val="666155"/>
          <w:sz w:val="24"/>
        </w:rPr>
        <w:t>report</w:t>
      </w:r>
      <w:r>
        <w:rPr>
          <w:rFonts w:ascii="Segoe UI"/>
          <w:color w:val="666155"/>
          <w:spacing w:val="27"/>
          <w:w w:val="99"/>
          <w:sz w:val="24"/>
        </w:rPr>
        <w:t> </w:t>
      </w:r>
      <w:r>
        <w:rPr>
          <w:rFonts w:ascii="Segoe UI"/>
          <w:color w:val="666155"/>
          <w:sz w:val="24"/>
        </w:rPr>
        <w:t>on</w:t>
      </w:r>
      <w:r>
        <w:rPr>
          <w:rFonts w:ascii="Segoe UI"/>
          <w:color w:val="666155"/>
          <w:spacing w:val="-6"/>
          <w:sz w:val="24"/>
        </w:rPr>
        <w:t> </w:t>
      </w:r>
      <w:r>
        <w:rPr>
          <w:rFonts w:ascii="Segoe UI"/>
          <w:color w:val="666155"/>
          <w:spacing w:val="-1"/>
          <w:sz w:val="24"/>
        </w:rPr>
        <w:t>Commonwealth</w:t>
      </w:r>
      <w:r>
        <w:rPr>
          <w:rFonts w:ascii="Segoe UI"/>
          <w:color w:val="666155"/>
          <w:spacing w:val="-6"/>
          <w:sz w:val="24"/>
        </w:rPr>
        <w:t> </w:t>
      </w:r>
      <w:r>
        <w:rPr>
          <w:rFonts w:ascii="Segoe UI"/>
          <w:color w:val="666155"/>
          <w:sz w:val="24"/>
        </w:rPr>
        <w:t>Government</w:t>
      </w:r>
      <w:r>
        <w:rPr>
          <w:rFonts w:ascii="Segoe UI"/>
          <w:color w:val="666155"/>
          <w:spacing w:val="-5"/>
          <w:sz w:val="24"/>
        </w:rPr>
        <w:t> </w:t>
      </w:r>
      <w:r>
        <w:rPr>
          <w:rFonts w:ascii="Segoe UI"/>
          <w:color w:val="666155"/>
          <w:spacing w:val="-1"/>
          <w:sz w:val="24"/>
        </w:rPr>
        <w:t>support</w:t>
      </w:r>
      <w:r>
        <w:rPr>
          <w:rFonts w:ascii="Segoe UI"/>
          <w:color w:val="666155"/>
          <w:spacing w:val="-5"/>
          <w:sz w:val="24"/>
        </w:rPr>
        <w:t> </w:t>
      </w:r>
      <w:r>
        <w:rPr>
          <w:rFonts w:ascii="Segoe UI"/>
          <w:color w:val="666155"/>
          <w:sz w:val="24"/>
        </w:rPr>
        <w:t>for</w:t>
      </w:r>
      <w:r>
        <w:rPr>
          <w:rFonts w:ascii="Segoe UI"/>
          <w:color w:val="666155"/>
          <w:spacing w:val="-6"/>
          <w:sz w:val="24"/>
        </w:rPr>
        <w:t> </w:t>
      </w:r>
      <w:r>
        <w:rPr>
          <w:rFonts w:ascii="Segoe UI"/>
          <w:color w:val="666155"/>
          <w:sz w:val="24"/>
        </w:rPr>
        <w:t>these</w:t>
      </w:r>
      <w:r>
        <w:rPr>
          <w:rFonts w:ascii="Segoe UI"/>
          <w:color w:val="666155"/>
          <w:spacing w:val="-6"/>
          <w:sz w:val="24"/>
        </w:rPr>
        <w:t> </w:t>
      </w:r>
      <w:r>
        <w:rPr>
          <w:rFonts w:ascii="Segoe UI"/>
          <w:color w:val="666155"/>
          <w:spacing w:val="-1"/>
          <w:sz w:val="24"/>
        </w:rPr>
        <w:t>students</w:t>
      </w:r>
      <w:r>
        <w:rPr>
          <w:rFonts w:ascii="Segoe UI"/>
          <w:color w:val="666155"/>
          <w:spacing w:val="-5"/>
          <w:sz w:val="24"/>
        </w:rPr>
        <w:t> </w:t>
      </w:r>
      <w:r>
        <w:rPr>
          <w:rFonts w:ascii="Segoe UI"/>
          <w:color w:val="666155"/>
          <w:sz w:val="24"/>
        </w:rPr>
        <w:t>and</w:t>
      </w:r>
      <w:r>
        <w:rPr>
          <w:rFonts w:ascii="Segoe UI"/>
          <w:color w:val="666155"/>
          <w:spacing w:val="-7"/>
          <w:sz w:val="24"/>
        </w:rPr>
        <w:t> </w:t>
      </w:r>
      <w:r>
        <w:rPr>
          <w:rFonts w:ascii="Segoe UI"/>
          <w:color w:val="666155"/>
          <w:sz w:val="24"/>
        </w:rPr>
        <w:t>the</w:t>
      </w:r>
      <w:r>
        <w:rPr>
          <w:rFonts w:ascii="Segoe UI"/>
          <w:color w:val="666155"/>
          <w:spacing w:val="-6"/>
          <w:sz w:val="24"/>
        </w:rPr>
        <w:t> </w:t>
      </w:r>
      <w:r>
        <w:rPr>
          <w:rFonts w:ascii="Segoe UI"/>
          <w:color w:val="666155"/>
          <w:sz w:val="24"/>
        </w:rPr>
        <w:t>gaps</w:t>
      </w:r>
      <w:r>
        <w:rPr>
          <w:rFonts w:ascii="Segoe UI"/>
          <w:color w:val="666155"/>
          <w:spacing w:val="-7"/>
          <w:sz w:val="24"/>
        </w:rPr>
        <w:t> </w:t>
      </w:r>
      <w:r>
        <w:rPr>
          <w:rFonts w:ascii="Segoe UI"/>
          <w:color w:val="666155"/>
          <w:spacing w:val="-1"/>
          <w:sz w:val="24"/>
        </w:rPr>
        <w:t>in</w:t>
      </w:r>
      <w:r>
        <w:rPr>
          <w:rFonts w:ascii="Segoe UI"/>
          <w:color w:val="666155"/>
          <w:spacing w:val="-1"/>
          <w:sz w:val="24"/>
        </w:rPr>
        <w:t> </w:t>
      </w:r>
      <w:r>
        <w:rPr>
          <w:rFonts w:ascii="Segoe UI"/>
          <w:color w:val="666155"/>
          <w:spacing w:val="23"/>
          <w:sz w:val="24"/>
        </w:rPr>
        <w:t> </w:t>
      </w:r>
      <w:r>
        <w:rPr>
          <w:rFonts w:ascii="Segoe UI"/>
          <w:color w:val="666155"/>
          <w:spacing w:val="-1"/>
          <w:sz w:val="24"/>
        </w:rPr>
        <w:t>support</w:t>
      </w:r>
      <w:r>
        <w:rPr>
          <w:rFonts w:ascii="Segoe UI"/>
          <w:color w:val="666155"/>
          <w:spacing w:val="-4"/>
          <w:sz w:val="24"/>
        </w:rPr>
        <w:t> </w:t>
      </w:r>
      <w:r>
        <w:rPr>
          <w:rFonts w:ascii="Segoe UI"/>
          <w:color w:val="666155"/>
          <w:sz w:val="24"/>
        </w:rPr>
        <w:t>and</w:t>
      </w:r>
      <w:r>
        <w:rPr>
          <w:rFonts w:ascii="Segoe UI"/>
          <w:color w:val="666155"/>
          <w:spacing w:val="-6"/>
          <w:sz w:val="24"/>
        </w:rPr>
        <w:t> </w:t>
      </w:r>
      <w:r>
        <w:rPr>
          <w:rFonts w:ascii="Segoe UI"/>
          <w:color w:val="666155"/>
          <w:spacing w:val="-1"/>
          <w:sz w:val="24"/>
        </w:rPr>
        <w:t>service</w:t>
      </w:r>
      <w:r>
        <w:rPr>
          <w:rFonts w:ascii="Segoe UI"/>
          <w:color w:val="666155"/>
          <w:spacing w:val="-5"/>
          <w:sz w:val="24"/>
        </w:rPr>
        <w:t> </w:t>
      </w:r>
      <w:r>
        <w:rPr>
          <w:rFonts w:ascii="Segoe UI"/>
          <w:color w:val="666155"/>
          <w:sz w:val="24"/>
        </w:rPr>
        <w:t>delivery:</w:t>
      </w:r>
      <w:r>
        <w:rPr>
          <w:rFonts w:ascii="Segoe UI"/>
          <w:color w:val="666155"/>
          <w:spacing w:val="-6"/>
          <w:sz w:val="24"/>
        </w:rPr>
        <w:t> </w:t>
      </w:r>
      <w:r>
        <w:rPr>
          <w:rFonts w:ascii="Segoe UI"/>
          <w:i/>
          <w:color w:val="666155"/>
          <w:spacing w:val="-1"/>
          <w:sz w:val="24"/>
        </w:rPr>
        <w:t>Study</w:t>
      </w:r>
      <w:r>
        <w:rPr>
          <w:rFonts w:ascii="Segoe UI"/>
          <w:i/>
          <w:color w:val="666155"/>
          <w:spacing w:val="-5"/>
          <w:sz w:val="24"/>
        </w:rPr>
        <w:t> </w:t>
      </w:r>
      <w:r>
        <w:rPr>
          <w:rFonts w:ascii="Segoe UI"/>
          <w:i/>
          <w:color w:val="666155"/>
          <w:spacing w:val="-2"/>
          <w:sz w:val="24"/>
        </w:rPr>
        <w:t>Away</w:t>
      </w:r>
      <w:r>
        <w:rPr>
          <w:rFonts w:ascii="Segoe UI"/>
          <w:i/>
          <w:color w:val="666155"/>
          <w:spacing w:val="-5"/>
          <w:sz w:val="24"/>
        </w:rPr>
        <w:t> </w:t>
      </w:r>
      <w:r>
        <w:rPr>
          <w:rFonts w:ascii="Segoe UI"/>
          <w:i/>
          <w:color w:val="666155"/>
          <w:spacing w:val="-1"/>
          <w:sz w:val="24"/>
        </w:rPr>
        <w:t>Review:</w:t>
      </w:r>
      <w:r>
        <w:rPr>
          <w:rFonts w:ascii="Segoe UI"/>
          <w:i/>
          <w:color w:val="666155"/>
          <w:spacing w:val="-6"/>
          <w:sz w:val="24"/>
        </w:rPr>
        <w:t> </w:t>
      </w:r>
      <w:r>
        <w:rPr>
          <w:rFonts w:ascii="Segoe UI"/>
          <w:i/>
          <w:color w:val="666155"/>
          <w:spacing w:val="-2"/>
          <w:sz w:val="24"/>
        </w:rPr>
        <w:t>Review</w:t>
      </w:r>
      <w:r>
        <w:rPr>
          <w:rFonts w:ascii="Segoe UI"/>
          <w:i/>
          <w:color w:val="666155"/>
          <w:spacing w:val="-5"/>
          <w:sz w:val="24"/>
        </w:rPr>
        <w:t> </w:t>
      </w:r>
      <w:r>
        <w:rPr>
          <w:rFonts w:ascii="Segoe UI"/>
          <w:i/>
          <w:color w:val="666155"/>
          <w:spacing w:val="-3"/>
          <w:sz w:val="24"/>
        </w:rPr>
        <w:t>of</w:t>
      </w:r>
      <w:r>
        <w:rPr>
          <w:rFonts w:ascii="Segoe UI"/>
          <w:i/>
          <w:color w:val="666155"/>
          <w:spacing w:val="-5"/>
          <w:sz w:val="24"/>
        </w:rPr>
        <w:t> </w:t>
      </w:r>
      <w:r>
        <w:rPr>
          <w:rFonts w:ascii="Segoe UI"/>
          <w:i/>
          <w:color w:val="666155"/>
          <w:sz w:val="24"/>
        </w:rPr>
        <w:t>Support</w:t>
      </w:r>
      <w:r>
        <w:rPr>
          <w:rFonts w:ascii="Segoe UI"/>
          <w:i/>
          <w:color w:val="666155"/>
          <w:spacing w:val="-6"/>
          <w:sz w:val="24"/>
        </w:rPr>
        <w:t> </w:t>
      </w:r>
      <w:r>
        <w:rPr>
          <w:rFonts w:ascii="Segoe UI"/>
          <w:i/>
          <w:color w:val="666155"/>
          <w:sz w:val="24"/>
        </w:rPr>
        <w:t>for</w:t>
      </w:r>
      <w:r>
        <w:rPr>
          <w:rFonts w:ascii="Segoe UI"/>
          <w:i/>
          <w:color w:val="666155"/>
          <w:spacing w:val="-6"/>
          <w:sz w:val="24"/>
        </w:rPr>
        <w:t> </w:t>
      </w:r>
      <w:r>
        <w:rPr>
          <w:rFonts w:ascii="Segoe UI"/>
          <w:i/>
          <w:color w:val="666155"/>
          <w:sz w:val="24"/>
        </w:rPr>
        <w:t>Aboriginal</w:t>
      </w:r>
      <w:r>
        <w:rPr>
          <w:rFonts w:ascii="Segoe UI"/>
          <w:i/>
          <w:color w:val="666155"/>
          <w:spacing w:val="33"/>
          <w:w w:val="99"/>
          <w:sz w:val="24"/>
        </w:rPr>
        <w:t> </w:t>
      </w:r>
      <w:r>
        <w:rPr>
          <w:rFonts w:ascii="Segoe UI"/>
          <w:i/>
          <w:color w:val="666155"/>
          <w:sz w:val="24"/>
        </w:rPr>
        <w:t>and</w:t>
      </w:r>
      <w:r>
        <w:rPr>
          <w:rFonts w:ascii="Segoe UI"/>
          <w:i/>
          <w:color w:val="666155"/>
          <w:spacing w:val="-4"/>
          <w:sz w:val="24"/>
        </w:rPr>
        <w:t> </w:t>
      </w:r>
      <w:r>
        <w:rPr>
          <w:rFonts w:ascii="Segoe UI"/>
          <w:i/>
          <w:color w:val="666155"/>
          <w:spacing w:val="-5"/>
          <w:sz w:val="24"/>
        </w:rPr>
        <w:t>T</w:t>
      </w:r>
      <w:r>
        <w:rPr>
          <w:rFonts w:ascii="Segoe UI"/>
          <w:i/>
          <w:color w:val="666155"/>
          <w:spacing w:val="-4"/>
          <w:sz w:val="24"/>
        </w:rPr>
        <w:t>orr</w:t>
      </w:r>
      <w:r>
        <w:rPr>
          <w:rFonts w:ascii="Segoe UI"/>
          <w:i/>
          <w:color w:val="666155"/>
          <w:spacing w:val="-5"/>
          <w:sz w:val="24"/>
        </w:rPr>
        <w:t>es</w:t>
      </w:r>
      <w:r>
        <w:rPr>
          <w:rFonts w:ascii="Segoe UI"/>
          <w:i/>
          <w:color w:val="666155"/>
          <w:spacing w:val="-4"/>
          <w:sz w:val="24"/>
        </w:rPr>
        <w:t> </w:t>
      </w:r>
      <w:r>
        <w:rPr>
          <w:rFonts w:ascii="Segoe UI"/>
          <w:i/>
          <w:color w:val="666155"/>
          <w:spacing w:val="-1"/>
          <w:sz w:val="24"/>
        </w:rPr>
        <w:t>Strait</w:t>
      </w:r>
      <w:r>
        <w:rPr>
          <w:rFonts w:ascii="Segoe UI"/>
          <w:i/>
          <w:color w:val="666155"/>
          <w:spacing w:val="-3"/>
          <w:sz w:val="24"/>
        </w:rPr>
        <w:t> </w:t>
      </w:r>
      <w:r>
        <w:rPr>
          <w:rFonts w:ascii="Segoe UI"/>
          <w:i/>
          <w:color w:val="666155"/>
          <w:spacing w:val="-1"/>
          <w:sz w:val="24"/>
        </w:rPr>
        <w:t>Islander</w:t>
      </w:r>
      <w:r>
        <w:rPr>
          <w:rFonts w:ascii="Segoe UI"/>
          <w:i/>
          <w:color w:val="666155"/>
          <w:spacing w:val="-3"/>
          <w:sz w:val="24"/>
        </w:rPr>
        <w:t> </w:t>
      </w:r>
      <w:r>
        <w:rPr>
          <w:rFonts w:ascii="Segoe UI"/>
          <w:i/>
          <w:color w:val="666155"/>
          <w:spacing w:val="-1"/>
          <w:sz w:val="24"/>
        </w:rPr>
        <w:t>Secondary</w:t>
      </w:r>
      <w:r>
        <w:rPr>
          <w:rFonts w:ascii="Segoe UI"/>
          <w:i/>
          <w:color w:val="666155"/>
          <w:spacing w:val="-3"/>
          <w:sz w:val="24"/>
        </w:rPr>
        <w:t> </w:t>
      </w:r>
      <w:r>
        <w:rPr>
          <w:rFonts w:ascii="Segoe UI"/>
          <w:i/>
          <w:color w:val="666155"/>
          <w:spacing w:val="-1"/>
          <w:sz w:val="24"/>
        </w:rPr>
        <w:t>Students</w:t>
      </w:r>
      <w:r>
        <w:rPr>
          <w:rFonts w:ascii="Segoe UI"/>
          <w:i/>
          <w:color w:val="666155"/>
          <w:spacing w:val="-3"/>
          <w:sz w:val="24"/>
        </w:rPr>
        <w:t> </w:t>
      </w:r>
      <w:r>
        <w:rPr>
          <w:rFonts w:ascii="Segoe UI"/>
          <w:i/>
          <w:color w:val="666155"/>
          <w:spacing w:val="-1"/>
          <w:sz w:val="24"/>
        </w:rPr>
        <w:t>Studying</w:t>
      </w:r>
      <w:r>
        <w:rPr>
          <w:rFonts w:ascii="Segoe UI"/>
          <w:i/>
          <w:color w:val="666155"/>
          <w:spacing w:val="-4"/>
          <w:sz w:val="24"/>
        </w:rPr>
        <w:t> </w:t>
      </w:r>
      <w:r>
        <w:rPr>
          <w:rFonts w:ascii="Segoe UI"/>
          <w:i/>
          <w:color w:val="666155"/>
          <w:spacing w:val="-2"/>
          <w:sz w:val="24"/>
        </w:rPr>
        <w:t>Away</w:t>
      </w:r>
      <w:r>
        <w:rPr>
          <w:rFonts w:ascii="Segoe UI"/>
          <w:i/>
          <w:color w:val="666155"/>
          <w:spacing w:val="-3"/>
          <w:sz w:val="24"/>
        </w:rPr>
        <w:t> </w:t>
      </w:r>
      <w:r>
        <w:rPr>
          <w:rFonts w:ascii="Segoe UI"/>
          <w:i/>
          <w:color w:val="666155"/>
          <w:spacing w:val="-1"/>
          <w:sz w:val="24"/>
        </w:rPr>
        <w:t>From</w:t>
      </w:r>
      <w:r>
        <w:rPr>
          <w:rFonts w:ascii="Segoe UI"/>
          <w:i/>
          <w:color w:val="666155"/>
          <w:spacing w:val="-3"/>
          <w:sz w:val="24"/>
        </w:rPr>
        <w:t> </w:t>
      </w:r>
      <w:r>
        <w:rPr>
          <w:rFonts w:ascii="Segoe UI"/>
          <w:i/>
          <w:color w:val="666155"/>
          <w:sz w:val="24"/>
        </w:rPr>
        <w:t>Home</w:t>
      </w:r>
      <w:r>
        <w:rPr>
          <w:rFonts w:ascii="Segoe UI"/>
          <w:i/>
          <w:color w:val="666155"/>
          <w:spacing w:val="-4"/>
          <w:sz w:val="24"/>
        </w:rPr>
        <w:t> </w:t>
      </w:r>
      <w:r>
        <w:rPr>
          <w:rFonts w:ascii="Segoe UI"/>
          <w:color w:val="666155"/>
          <w:spacing w:val="-2"/>
          <w:sz w:val="24"/>
        </w:rPr>
        <w:t>(Study</w:t>
      </w:r>
      <w:r>
        <w:rPr>
          <w:rFonts w:ascii="Segoe UI"/>
          <w:color w:val="666155"/>
          <w:spacing w:val="43"/>
          <w:w w:val="99"/>
          <w:sz w:val="24"/>
        </w:rPr>
        <w:t> </w:t>
      </w:r>
      <w:r>
        <w:rPr>
          <w:rFonts w:ascii="Segoe UI"/>
          <w:color w:val="666155"/>
          <w:spacing w:val="-2"/>
          <w:sz w:val="24"/>
        </w:rPr>
        <w:t>Away</w:t>
      </w:r>
      <w:r>
        <w:rPr>
          <w:rFonts w:ascii="Segoe UI"/>
          <w:color w:val="666155"/>
          <w:spacing w:val="-13"/>
          <w:sz w:val="24"/>
        </w:rPr>
        <w:t> </w:t>
      </w:r>
      <w:r>
        <w:rPr>
          <w:rFonts w:ascii="Segoe UI"/>
          <w:color w:val="666155"/>
          <w:spacing w:val="-1"/>
          <w:sz w:val="24"/>
        </w:rPr>
        <w:t>Review).</w:t>
      </w:r>
      <w:r>
        <w:rPr>
          <w:rFonts w:ascii="Segoe UI"/>
          <w:sz w:val="24"/>
        </w:rPr>
      </w:r>
    </w:p>
    <w:p>
      <w:pPr>
        <w:spacing w:after="0" w:line="300" w:lineRule="exact"/>
        <w:jc w:val="left"/>
        <w:rPr>
          <w:rFonts w:ascii="Segoe UI" w:hAnsi="Segoe UI" w:cs="Segoe UI" w:eastAsia="Segoe UI"/>
          <w:sz w:val="24"/>
          <w:szCs w:val="24"/>
        </w:rPr>
        <w:sectPr>
          <w:pgSz w:w="11910" w:h="16840"/>
          <w:pgMar w:header="0" w:footer="691" w:top="1580" w:bottom="880" w:left="1540" w:right="1280"/>
        </w:sectPr>
      </w:pPr>
    </w:p>
    <w:p>
      <w:pPr>
        <w:spacing w:line="240" w:lineRule="auto" w:before="0"/>
        <w:rPr>
          <w:rFonts w:ascii="Segoe UI" w:hAnsi="Segoe UI" w:cs="Segoe UI" w:eastAsia="Segoe UI"/>
          <w:sz w:val="20"/>
          <w:szCs w:val="20"/>
        </w:rPr>
      </w:pPr>
    </w:p>
    <w:p>
      <w:pPr>
        <w:spacing w:line="240" w:lineRule="auto" w:before="4"/>
        <w:rPr>
          <w:rFonts w:ascii="Segoe UI" w:hAnsi="Segoe UI" w:cs="Segoe UI" w:eastAsia="Segoe UI"/>
          <w:sz w:val="19"/>
          <w:szCs w:val="19"/>
        </w:rPr>
      </w:pPr>
    </w:p>
    <w:p>
      <w:pPr>
        <w:pStyle w:val="BodyText"/>
        <w:spacing w:line="250" w:lineRule="exact"/>
        <w:ind w:left="160" w:right="15"/>
        <w:jc w:val="left"/>
      </w:pPr>
      <w:r>
        <w:rPr/>
        <w:pict>
          <v:group style="position:absolute;margin-left:82.622101pt;margin-top:-12.453514pt;width:442.8pt;height:2pt;mso-position-horizontal-relative:page;mso-position-vertical-relative:paragraph;z-index:1096" coordorigin="1652,-249" coordsize="8856,40">
            <v:group style="position:absolute;left:1753;top:-229;width:8696;height:2" coordorigin="1753,-229" coordsize="8696,2">
              <v:shape style="position:absolute;left:1753;top:-229;width:8696;height:2" coordorigin="1753,-229" coordsize="8696,0" path="m1753,-229l10448,-229e" filled="false" stroked="true" strokeweight="2pt" strokecolor="#97bf3d">
                <v:path arrowok="t"/>
                <v:stroke dashstyle="dash"/>
              </v:shape>
            </v:group>
            <v:group style="position:absolute;left:1672;top:-229;width:2;height:2" coordorigin="1672,-229" coordsize="2,2">
              <v:shape style="position:absolute;left:1672;top:-229;width:2;height:2" coordorigin="1672,-229" coordsize="0,0" path="m1672,-229l1672,-229e" filled="false" stroked="true" strokeweight="2pt" strokecolor="#97bf3d">
                <v:path arrowok="t"/>
              </v:shape>
            </v:group>
            <v:group style="position:absolute;left:10488;top:-229;width:2;height:2" coordorigin="10488,-229" coordsize="2,2">
              <v:shape style="position:absolute;left:10488;top:-229;width:2;height:2" coordorigin="10488,-229" coordsize="0,0" path="m10488,-229l10488,-229e" filled="false" stroked="true" strokeweight="2pt" strokecolor="#97bf3d">
                <v:path arrowok="t"/>
              </v:shape>
            </v:group>
            <w10:wrap type="none"/>
          </v:group>
        </w:pict>
      </w:r>
      <w:r>
        <w:rPr>
          <w:color w:val="231F20"/>
          <w:spacing w:val="-1"/>
        </w:rPr>
        <w:t>Following</w:t>
      </w:r>
      <w:r>
        <w:rPr>
          <w:color w:val="231F20"/>
          <w:spacing w:val="-4"/>
        </w:rPr>
        <w:t> </w:t>
      </w:r>
      <w:r>
        <w:rPr>
          <w:color w:val="231F20"/>
        </w:rPr>
        <w:t>the</w:t>
      </w:r>
      <w:r>
        <w:rPr>
          <w:color w:val="231F20"/>
          <w:spacing w:val="-4"/>
        </w:rPr>
        <w:t> </w:t>
      </w:r>
      <w:r>
        <w:rPr>
          <w:color w:val="231F20"/>
          <w:spacing w:val="-2"/>
        </w:rPr>
        <w:t>Study</w:t>
      </w:r>
      <w:r>
        <w:rPr>
          <w:color w:val="231F20"/>
          <w:spacing w:val="-4"/>
        </w:rPr>
        <w:t> </w:t>
      </w:r>
      <w:r>
        <w:rPr>
          <w:color w:val="231F20"/>
          <w:spacing w:val="-2"/>
        </w:rPr>
        <w:t>Away</w:t>
      </w:r>
      <w:r>
        <w:rPr>
          <w:color w:val="231F20"/>
          <w:spacing w:val="-4"/>
        </w:rPr>
        <w:t> </w:t>
      </w:r>
      <w:r>
        <w:rPr>
          <w:color w:val="231F20"/>
          <w:spacing w:val="-1"/>
        </w:rPr>
        <w:t>Review,</w:t>
      </w:r>
      <w:r>
        <w:rPr>
          <w:color w:val="231F20"/>
          <w:spacing w:val="-3"/>
        </w:rPr>
        <w:t> </w:t>
      </w:r>
      <w:r>
        <w:rPr>
          <w:color w:val="231F20"/>
          <w:spacing w:val="-1"/>
        </w:rPr>
        <w:t>PM&amp;C</w:t>
      </w:r>
      <w:r>
        <w:rPr>
          <w:color w:val="231F20"/>
          <w:spacing w:val="28"/>
        </w:rPr>
        <w:t> </w:t>
      </w:r>
      <w:r>
        <w:rPr>
          <w:color w:val="231F20"/>
        </w:rPr>
        <w:t>requested</w:t>
      </w:r>
      <w:r>
        <w:rPr>
          <w:color w:val="231F20"/>
          <w:spacing w:val="-7"/>
        </w:rPr>
        <w:t> </w:t>
      </w:r>
      <w:r>
        <w:rPr>
          <w:color w:val="231F20"/>
        </w:rPr>
        <w:t>an</w:t>
      </w:r>
      <w:r>
        <w:rPr>
          <w:color w:val="231F20"/>
          <w:spacing w:val="-6"/>
        </w:rPr>
        <w:t> </w:t>
      </w:r>
      <w:r>
        <w:rPr>
          <w:color w:val="231F20"/>
          <w:spacing w:val="-1"/>
        </w:rPr>
        <w:t>independent</w:t>
      </w:r>
      <w:r>
        <w:rPr>
          <w:color w:val="231F20"/>
          <w:spacing w:val="-6"/>
        </w:rPr>
        <w:t> </w:t>
      </w:r>
      <w:r>
        <w:rPr>
          <w:color w:val="231F20"/>
        </w:rPr>
        <w:t>analysis</w:t>
      </w:r>
      <w:r>
        <w:rPr>
          <w:color w:val="231F20"/>
          <w:spacing w:val="-6"/>
        </w:rPr>
        <w:t> </w:t>
      </w:r>
      <w:r>
        <w:rPr>
          <w:color w:val="231F20"/>
        </w:rPr>
        <w:t>of</w:t>
      </w:r>
      <w:r>
        <w:rPr>
          <w:color w:val="231F20"/>
          <w:spacing w:val="-5"/>
        </w:rPr>
        <w:t> </w:t>
      </w:r>
      <w:r>
        <w:rPr>
          <w:color w:val="231F20"/>
        </w:rPr>
        <w:t>the</w:t>
      </w:r>
      <w:r>
        <w:rPr>
          <w:color w:val="231F20"/>
          <w:spacing w:val="22"/>
          <w:w w:val="99"/>
        </w:rPr>
        <w:t> </w:t>
      </w:r>
      <w:r>
        <w:rPr>
          <w:color w:val="231F20"/>
        </w:rPr>
        <w:t>existing</w:t>
      </w:r>
      <w:r>
        <w:rPr>
          <w:color w:val="231F20"/>
          <w:spacing w:val="-5"/>
        </w:rPr>
        <w:t> </w:t>
      </w:r>
      <w:r>
        <w:rPr>
          <w:color w:val="231F20"/>
          <w:spacing w:val="-1"/>
        </w:rPr>
        <w:t>investment</w:t>
      </w:r>
      <w:r>
        <w:rPr>
          <w:color w:val="231F20"/>
          <w:spacing w:val="-4"/>
        </w:rPr>
        <w:t> </w:t>
      </w:r>
      <w:r>
        <w:rPr>
          <w:color w:val="231F20"/>
          <w:spacing w:val="-1"/>
        </w:rPr>
        <w:t>in</w:t>
      </w:r>
      <w:r>
        <w:rPr>
          <w:color w:val="231F20"/>
          <w:spacing w:val="-4"/>
        </w:rPr>
        <w:t> </w:t>
      </w:r>
      <w:r>
        <w:rPr>
          <w:color w:val="231F20"/>
          <w:spacing w:val="-1"/>
        </w:rPr>
        <w:t>support</w:t>
      </w:r>
      <w:r>
        <w:rPr>
          <w:color w:val="231F20"/>
          <w:spacing w:val="-3"/>
        </w:rPr>
        <w:t> </w:t>
      </w:r>
      <w:r>
        <w:rPr>
          <w:color w:val="231F20"/>
        </w:rPr>
        <w:t>for</w:t>
      </w:r>
      <w:r>
        <w:rPr>
          <w:color w:val="231F20"/>
          <w:spacing w:val="-4"/>
        </w:rPr>
        <w:t> </w:t>
      </w:r>
      <w:r>
        <w:rPr>
          <w:color w:val="231F20"/>
        </w:rPr>
        <w:t>Aboriginal</w:t>
      </w:r>
      <w:r>
        <w:rPr>
          <w:color w:val="231F20"/>
          <w:spacing w:val="24"/>
          <w:w w:val="99"/>
        </w:rPr>
        <w:t> </w:t>
      </w:r>
      <w:r>
        <w:rPr>
          <w:color w:val="231F20"/>
        </w:rPr>
        <w:t>and</w:t>
      </w:r>
      <w:r>
        <w:rPr>
          <w:color w:val="231F20"/>
          <w:spacing w:val="-6"/>
        </w:rPr>
        <w:t> </w:t>
      </w:r>
      <w:r>
        <w:rPr>
          <w:color w:val="231F20"/>
          <w:spacing w:val="-5"/>
        </w:rPr>
        <w:t>Torres</w:t>
      </w:r>
      <w:r>
        <w:rPr>
          <w:color w:val="231F20"/>
          <w:spacing w:val="-4"/>
        </w:rPr>
        <w:t> </w:t>
      </w:r>
      <w:r>
        <w:rPr>
          <w:color w:val="231F20"/>
          <w:spacing w:val="-2"/>
        </w:rPr>
        <w:t>Strait</w:t>
      </w:r>
      <w:r>
        <w:rPr>
          <w:color w:val="231F20"/>
          <w:spacing w:val="-6"/>
        </w:rPr>
        <w:t> </w:t>
      </w:r>
      <w:r>
        <w:rPr>
          <w:color w:val="231F20"/>
          <w:spacing w:val="-1"/>
        </w:rPr>
        <w:t>Islander</w:t>
      </w:r>
      <w:r>
        <w:rPr>
          <w:color w:val="231F20"/>
          <w:spacing w:val="-4"/>
        </w:rPr>
        <w:t> </w:t>
      </w:r>
      <w:r>
        <w:rPr>
          <w:color w:val="231F20"/>
          <w:spacing w:val="-1"/>
        </w:rPr>
        <w:t>secondary</w:t>
      </w:r>
      <w:r>
        <w:rPr>
          <w:color w:val="231F20"/>
          <w:spacing w:val="-4"/>
        </w:rPr>
        <w:t> </w:t>
      </w:r>
      <w:r>
        <w:rPr>
          <w:color w:val="231F20"/>
          <w:spacing w:val="-1"/>
        </w:rPr>
        <w:t>students</w:t>
      </w:r>
      <w:r>
        <w:rPr>
          <w:color w:val="231F20"/>
          <w:spacing w:val="22"/>
        </w:rPr>
        <w:t> </w:t>
      </w:r>
      <w:r>
        <w:rPr>
          <w:color w:val="231F20"/>
        </w:rPr>
        <w:t>attending</w:t>
      </w:r>
      <w:r>
        <w:rPr>
          <w:color w:val="231F20"/>
          <w:spacing w:val="-6"/>
        </w:rPr>
        <w:t> </w:t>
      </w:r>
      <w:r>
        <w:rPr>
          <w:color w:val="231F20"/>
        </w:rPr>
        <w:t>boarding.</w:t>
      </w:r>
      <w:r>
        <w:rPr>
          <w:color w:val="231F20"/>
          <w:spacing w:val="-6"/>
        </w:rPr>
        <w:t> </w:t>
      </w:r>
      <w:r>
        <w:rPr>
          <w:color w:val="231F20"/>
        </w:rPr>
        <w:t>The</w:t>
      </w:r>
      <w:r>
        <w:rPr>
          <w:color w:val="231F20"/>
          <w:spacing w:val="-5"/>
        </w:rPr>
        <w:t> </w:t>
      </w:r>
      <w:r>
        <w:rPr>
          <w:color w:val="231F20"/>
        </w:rPr>
        <w:t>purpose</w:t>
      </w:r>
      <w:r>
        <w:rPr>
          <w:color w:val="231F20"/>
          <w:spacing w:val="-6"/>
        </w:rPr>
        <w:t> </w:t>
      </w:r>
      <w:r>
        <w:rPr>
          <w:color w:val="231F20"/>
        </w:rPr>
        <w:t>of</w:t>
      </w:r>
      <w:r>
        <w:rPr>
          <w:color w:val="231F20"/>
          <w:spacing w:val="-5"/>
        </w:rPr>
        <w:t> </w:t>
      </w:r>
      <w:r>
        <w:rPr>
          <w:color w:val="231F20"/>
        </w:rPr>
        <w:t>this</w:t>
      </w:r>
      <w:r>
        <w:rPr>
          <w:color w:val="231F20"/>
          <w:spacing w:val="-6"/>
        </w:rPr>
        <w:t> </w:t>
      </w:r>
      <w:r>
        <w:rPr>
          <w:color w:val="231F20"/>
        </w:rPr>
        <w:t>analysis</w:t>
      </w:r>
      <w:r>
        <w:rPr>
          <w:color w:val="231F20"/>
        </w:rPr>
        <w:t> </w:t>
      </w:r>
      <w:r>
        <w:rPr>
          <w:color w:val="231F20"/>
          <w:spacing w:val="-1"/>
        </w:rPr>
        <w:t>is</w:t>
      </w:r>
      <w:r>
        <w:rPr>
          <w:color w:val="231F20"/>
          <w:spacing w:val="-4"/>
        </w:rPr>
        <w:t> </w:t>
      </w:r>
      <w:r>
        <w:rPr>
          <w:color w:val="231F20"/>
        </w:rPr>
        <w:t>to:</w:t>
      </w:r>
      <w:r>
        <w:rPr/>
      </w:r>
    </w:p>
    <w:p>
      <w:pPr>
        <w:pStyle w:val="BodyText"/>
        <w:spacing w:line="250" w:lineRule="exact" w:before="113"/>
        <w:ind w:left="387" w:right="283" w:hanging="227"/>
        <w:jc w:val="left"/>
      </w:pPr>
      <w:r>
        <w:rPr>
          <w:rFonts w:ascii="Century Gothic" w:hAnsi="Century Gothic"/>
          <w:color w:val="231F20"/>
        </w:rPr>
        <w:t>» </w:t>
      </w:r>
      <w:r>
        <w:rPr>
          <w:rFonts w:ascii="Century Gothic" w:hAnsi="Century Gothic"/>
          <w:color w:val="231F20"/>
          <w:spacing w:val="30"/>
        </w:rPr>
        <w:t> </w:t>
      </w:r>
      <w:r>
        <w:rPr>
          <w:rFonts w:ascii="Segoe UI" w:hAnsi="Segoe UI"/>
          <w:color w:val="231F20"/>
        </w:rPr>
        <w:t>improve the understanding of</w:t>
      </w:r>
      <w:r>
        <w:rPr>
          <w:rFonts w:ascii="Segoe UI" w:hAnsi="Segoe UI"/>
          <w:color w:val="231F20"/>
          <w:spacing w:val="-1"/>
        </w:rPr>
        <w:t> </w:t>
      </w:r>
      <w:r>
        <w:rPr>
          <w:rFonts w:ascii="Segoe UI" w:hAnsi="Segoe UI"/>
          <w:color w:val="231F20"/>
        </w:rPr>
        <w:t>the benefits</w:t>
      </w:r>
      <w:r>
        <w:rPr>
          <w:rFonts w:ascii="Segoe UI" w:hAnsi="Segoe UI"/>
          <w:color w:val="231F20"/>
        </w:rPr>
        <w:t> </w:t>
      </w:r>
      <w:r>
        <w:rPr>
          <w:color w:val="231F20"/>
        </w:rPr>
        <w:t>and</w:t>
      </w:r>
      <w:r>
        <w:rPr>
          <w:color w:val="231F20"/>
          <w:spacing w:val="-2"/>
        </w:rPr>
        <w:t> </w:t>
      </w:r>
      <w:r>
        <w:rPr>
          <w:color w:val="231F20"/>
          <w:spacing w:val="-1"/>
        </w:rPr>
        <w:t>impacts</w:t>
      </w:r>
      <w:r>
        <w:rPr>
          <w:color w:val="231F20"/>
          <w:spacing w:val="-2"/>
        </w:rPr>
        <w:t> </w:t>
      </w:r>
      <w:r>
        <w:rPr>
          <w:color w:val="231F20"/>
        </w:rPr>
        <w:t>of</w:t>
      </w:r>
      <w:r>
        <w:rPr>
          <w:color w:val="231F20"/>
          <w:spacing w:val="-1"/>
        </w:rPr>
        <w:t> </w:t>
      </w:r>
      <w:r>
        <w:rPr>
          <w:color w:val="231F20"/>
        </w:rPr>
        <w:t>existing</w:t>
      </w:r>
      <w:r>
        <w:rPr>
          <w:color w:val="231F20"/>
          <w:spacing w:val="-2"/>
        </w:rPr>
        <w:t> </w:t>
      </w:r>
      <w:r>
        <w:rPr>
          <w:color w:val="231F20"/>
          <w:spacing w:val="-1"/>
        </w:rPr>
        <w:t>investments in</w:t>
      </w:r>
      <w:r>
        <w:rPr>
          <w:color w:val="231F20"/>
          <w:spacing w:val="22"/>
        </w:rPr>
        <w:t> </w:t>
      </w:r>
      <w:r>
        <w:rPr>
          <w:color w:val="231F20"/>
        </w:rPr>
        <w:t>boarding</w:t>
      </w:r>
      <w:r>
        <w:rPr>
          <w:color w:val="231F20"/>
          <w:spacing w:val="-10"/>
        </w:rPr>
        <w:t> </w:t>
      </w:r>
      <w:r>
        <w:rPr>
          <w:color w:val="231F20"/>
        </w:rPr>
        <w:t>provision</w:t>
      </w:r>
      <w:r>
        <w:rPr/>
      </w:r>
    </w:p>
    <w:p>
      <w:pPr>
        <w:pStyle w:val="BodyText"/>
        <w:spacing w:line="250" w:lineRule="exact" w:before="113"/>
        <w:ind w:left="387" w:right="168" w:hanging="227"/>
        <w:jc w:val="left"/>
      </w:pPr>
      <w:r>
        <w:rPr>
          <w:rFonts w:ascii="Century Gothic" w:hAnsi="Century Gothic"/>
          <w:color w:val="231F20"/>
        </w:rPr>
        <w:t>» </w:t>
      </w:r>
      <w:r>
        <w:rPr>
          <w:rFonts w:ascii="Century Gothic" w:hAnsi="Century Gothic"/>
          <w:color w:val="231F20"/>
          <w:spacing w:val="19"/>
        </w:rPr>
        <w:t> </w:t>
      </w:r>
      <w:r>
        <w:rPr>
          <w:color w:val="231F20"/>
          <w:spacing w:val="-1"/>
        </w:rPr>
        <w:t>improve</w:t>
      </w:r>
      <w:r>
        <w:rPr>
          <w:color w:val="231F20"/>
          <w:spacing w:val="-5"/>
        </w:rPr>
        <w:t> </w:t>
      </w:r>
      <w:r>
        <w:rPr>
          <w:color w:val="231F20"/>
        </w:rPr>
        <w:t>the</w:t>
      </w:r>
      <w:r>
        <w:rPr>
          <w:color w:val="231F20"/>
          <w:spacing w:val="-5"/>
        </w:rPr>
        <w:t> </w:t>
      </w:r>
      <w:r>
        <w:rPr>
          <w:color w:val="231F20"/>
        </w:rPr>
        <w:t>understanding</w:t>
      </w:r>
      <w:r>
        <w:rPr>
          <w:color w:val="231F20"/>
          <w:spacing w:val="-6"/>
        </w:rPr>
        <w:t> </w:t>
      </w:r>
      <w:r>
        <w:rPr>
          <w:color w:val="231F20"/>
        </w:rPr>
        <w:t>of</w:t>
      </w:r>
      <w:r>
        <w:rPr>
          <w:color w:val="231F20"/>
          <w:spacing w:val="-4"/>
        </w:rPr>
        <w:t> </w:t>
      </w:r>
      <w:r>
        <w:rPr>
          <w:color w:val="231F20"/>
        </w:rPr>
        <w:t>how</w:t>
      </w:r>
      <w:r>
        <w:rPr>
          <w:color w:val="231F20"/>
          <w:spacing w:val="22"/>
          <w:w w:val="99"/>
        </w:rPr>
        <w:t> </w:t>
      </w:r>
      <w:r>
        <w:rPr>
          <w:color w:val="231F20"/>
        </w:rPr>
        <w:t>government</w:t>
      </w:r>
      <w:r>
        <w:rPr>
          <w:color w:val="231F20"/>
          <w:spacing w:val="-7"/>
        </w:rPr>
        <w:t> </w:t>
      </w:r>
      <w:r>
        <w:rPr>
          <w:color w:val="231F20"/>
          <w:spacing w:val="-1"/>
        </w:rPr>
        <w:t>investment</w:t>
      </w:r>
      <w:r>
        <w:rPr>
          <w:color w:val="231F20"/>
          <w:spacing w:val="-6"/>
        </w:rPr>
        <w:t> </w:t>
      </w:r>
      <w:r>
        <w:rPr>
          <w:color w:val="231F20"/>
        </w:rPr>
        <w:t>(both</w:t>
      </w:r>
      <w:r>
        <w:rPr>
          <w:color w:val="231F20"/>
          <w:spacing w:val="-7"/>
        </w:rPr>
        <w:t> </w:t>
      </w:r>
      <w:r>
        <w:rPr>
          <w:color w:val="231F20"/>
          <w:spacing w:val="-1"/>
        </w:rPr>
        <w:t>state</w:t>
      </w:r>
      <w:r>
        <w:rPr>
          <w:color w:val="231F20"/>
          <w:spacing w:val="-6"/>
        </w:rPr>
        <w:t> </w:t>
      </w:r>
      <w:r>
        <w:rPr>
          <w:color w:val="231F20"/>
        </w:rPr>
        <w:t>and</w:t>
      </w:r>
      <w:r>
        <w:rPr>
          <w:color w:val="231F20"/>
          <w:spacing w:val="23"/>
          <w:w w:val="99"/>
        </w:rPr>
        <w:t> </w:t>
      </w:r>
      <w:r>
        <w:rPr>
          <w:color w:val="231F20"/>
        </w:rPr>
        <w:t>federal)</w:t>
      </w:r>
      <w:r>
        <w:rPr>
          <w:color w:val="231F20"/>
          <w:spacing w:val="-6"/>
        </w:rPr>
        <w:t> </w:t>
      </w:r>
      <w:r>
        <w:rPr>
          <w:color w:val="231F20"/>
          <w:spacing w:val="-1"/>
        </w:rPr>
        <w:t>in</w:t>
      </w:r>
      <w:r>
        <w:rPr>
          <w:color w:val="231F20"/>
          <w:spacing w:val="-5"/>
        </w:rPr>
        <w:t> </w:t>
      </w:r>
      <w:r>
        <w:rPr>
          <w:color w:val="231F20"/>
        </w:rPr>
        <w:t>boarding</w:t>
      </w:r>
      <w:r>
        <w:rPr>
          <w:color w:val="231F20"/>
          <w:spacing w:val="-6"/>
        </w:rPr>
        <w:t> </w:t>
      </w:r>
      <w:r>
        <w:rPr>
          <w:color w:val="231F20"/>
        </w:rPr>
        <w:t>provision</w:t>
      </w:r>
      <w:r>
        <w:rPr>
          <w:color w:val="231F20"/>
          <w:spacing w:val="-5"/>
        </w:rPr>
        <w:t> </w:t>
      </w:r>
      <w:r>
        <w:rPr>
          <w:color w:val="231F20"/>
        </w:rPr>
        <w:t>and</w:t>
      </w:r>
      <w:r>
        <w:rPr>
          <w:color w:val="231F20"/>
          <w:spacing w:val="-6"/>
        </w:rPr>
        <w:t> </w:t>
      </w:r>
      <w:r>
        <w:rPr>
          <w:color w:val="231F20"/>
          <w:spacing w:val="-1"/>
        </w:rPr>
        <w:t>support</w:t>
      </w:r>
      <w:r>
        <w:rPr>
          <w:color w:val="231F20"/>
          <w:spacing w:val="21"/>
          <w:w w:val="99"/>
        </w:rPr>
        <w:t> </w:t>
      </w:r>
      <w:r>
        <w:rPr>
          <w:color w:val="231F20"/>
          <w:spacing w:val="-1"/>
        </w:rPr>
        <w:t>services</w:t>
      </w:r>
      <w:r>
        <w:rPr>
          <w:color w:val="231F20"/>
          <w:spacing w:val="-5"/>
        </w:rPr>
        <w:t> </w:t>
      </w:r>
      <w:r>
        <w:rPr>
          <w:color w:val="231F20"/>
        </w:rPr>
        <w:t>for</w:t>
      </w:r>
      <w:r>
        <w:rPr>
          <w:color w:val="231F20"/>
          <w:spacing w:val="-4"/>
        </w:rPr>
        <w:t> </w:t>
      </w:r>
      <w:r>
        <w:rPr>
          <w:color w:val="231F20"/>
        </w:rPr>
        <w:t>remote</w:t>
      </w:r>
      <w:r>
        <w:rPr>
          <w:color w:val="231F20"/>
          <w:spacing w:val="-5"/>
        </w:rPr>
        <w:t> </w:t>
      </w:r>
      <w:r>
        <w:rPr>
          <w:color w:val="231F20"/>
        </w:rPr>
        <w:t>Aboriginal</w:t>
      </w:r>
      <w:r>
        <w:rPr>
          <w:color w:val="231F20"/>
          <w:spacing w:val="-4"/>
        </w:rPr>
        <w:t> </w:t>
      </w:r>
      <w:r>
        <w:rPr>
          <w:color w:val="231F20"/>
        </w:rPr>
        <w:t>and</w:t>
      </w:r>
      <w:r>
        <w:rPr>
          <w:color w:val="231F20"/>
          <w:spacing w:val="-5"/>
        </w:rPr>
        <w:t> Torres</w:t>
      </w:r>
      <w:r>
        <w:rPr>
          <w:color w:val="231F20"/>
          <w:spacing w:val="26"/>
          <w:w w:val="99"/>
        </w:rPr>
        <w:t> </w:t>
      </w:r>
      <w:r>
        <w:rPr>
          <w:color w:val="231F20"/>
          <w:spacing w:val="-2"/>
        </w:rPr>
        <w:t>Strait</w:t>
      </w:r>
      <w:r>
        <w:rPr>
          <w:color w:val="231F20"/>
          <w:spacing w:val="-6"/>
        </w:rPr>
        <w:t> </w:t>
      </w:r>
      <w:r>
        <w:rPr>
          <w:color w:val="231F20"/>
          <w:spacing w:val="-1"/>
        </w:rPr>
        <w:t>Islander</w:t>
      </w:r>
      <w:r>
        <w:rPr>
          <w:color w:val="231F20"/>
          <w:spacing w:val="-5"/>
        </w:rPr>
        <w:t> </w:t>
      </w:r>
      <w:r>
        <w:rPr>
          <w:color w:val="231F20"/>
          <w:spacing w:val="-1"/>
        </w:rPr>
        <w:t>secondary</w:t>
      </w:r>
      <w:r>
        <w:rPr>
          <w:color w:val="231F20"/>
          <w:spacing w:val="-4"/>
        </w:rPr>
        <w:t> </w:t>
      </w:r>
      <w:r>
        <w:rPr>
          <w:color w:val="231F20"/>
          <w:spacing w:val="-1"/>
        </w:rPr>
        <w:t>students</w:t>
      </w:r>
      <w:r>
        <w:rPr>
          <w:color w:val="231F20"/>
          <w:spacing w:val="-5"/>
        </w:rPr>
        <w:t> </w:t>
      </w:r>
      <w:r>
        <w:rPr>
          <w:color w:val="231F20"/>
        </w:rPr>
        <w:t>can</w:t>
      </w:r>
      <w:r>
        <w:rPr>
          <w:color w:val="231F20"/>
          <w:spacing w:val="-5"/>
        </w:rPr>
        <w:t> </w:t>
      </w:r>
      <w:r>
        <w:rPr>
          <w:color w:val="231F20"/>
        </w:rPr>
        <w:t>be</w:t>
      </w:r>
      <w:r>
        <w:rPr>
          <w:color w:val="231F20"/>
          <w:spacing w:val="29"/>
          <w:w w:val="99"/>
        </w:rPr>
        <w:t> </w:t>
      </w:r>
      <w:r>
        <w:rPr>
          <w:color w:val="231F20"/>
        </w:rPr>
        <w:t>best</w:t>
      </w:r>
      <w:r>
        <w:rPr>
          <w:color w:val="231F20"/>
          <w:spacing w:val="-6"/>
        </w:rPr>
        <w:t> </w:t>
      </w:r>
      <w:r>
        <w:rPr>
          <w:color w:val="231F20"/>
        </w:rPr>
        <w:t>used</w:t>
      </w:r>
      <w:r>
        <w:rPr>
          <w:color w:val="231F20"/>
          <w:spacing w:val="-6"/>
        </w:rPr>
        <w:t> </w:t>
      </w:r>
      <w:r>
        <w:rPr>
          <w:color w:val="231F20"/>
        </w:rPr>
        <w:t>by</w:t>
      </w:r>
      <w:r>
        <w:rPr>
          <w:color w:val="231F20"/>
          <w:spacing w:val="-4"/>
        </w:rPr>
        <w:t> </w:t>
      </w:r>
      <w:r>
        <w:rPr>
          <w:color w:val="231F20"/>
        </w:rPr>
        <w:t>boarding</w:t>
      </w:r>
      <w:r>
        <w:rPr>
          <w:color w:val="231F20"/>
          <w:spacing w:val="-6"/>
        </w:rPr>
        <w:t> </w:t>
      </w:r>
      <w:r>
        <w:rPr>
          <w:color w:val="231F20"/>
        </w:rPr>
        <w:t>providers</w:t>
      </w:r>
      <w:r>
        <w:rPr/>
      </w:r>
    </w:p>
    <w:p>
      <w:pPr>
        <w:pStyle w:val="BodyText"/>
        <w:spacing w:line="258" w:lineRule="exact" w:before="97"/>
        <w:ind w:left="160" w:right="140"/>
        <w:jc w:val="left"/>
        <w:rPr>
          <w:rFonts w:ascii="Segoe UI" w:hAnsi="Segoe UI" w:cs="Segoe UI" w:eastAsia="Segoe UI"/>
        </w:rPr>
      </w:pPr>
      <w:r>
        <w:rPr>
          <w:rFonts w:ascii="Century Gothic" w:hAnsi="Century Gothic"/>
          <w:color w:val="231F20"/>
        </w:rPr>
        <w:t>» </w:t>
      </w:r>
      <w:r>
        <w:rPr>
          <w:rFonts w:ascii="Century Gothic" w:hAnsi="Century Gothic"/>
          <w:color w:val="231F20"/>
          <w:spacing w:val="30"/>
        </w:rPr>
        <w:t> </w:t>
      </w:r>
      <w:r>
        <w:rPr>
          <w:rFonts w:ascii="Segoe UI" w:hAnsi="Segoe UI"/>
          <w:color w:val="231F20"/>
        </w:rPr>
        <w:t>inform continued benefits of</w:t>
      </w:r>
      <w:r>
        <w:rPr>
          <w:rFonts w:ascii="Segoe UI" w:hAnsi="Segoe UI"/>
          <w:color w:val="231F20"/>
          <w:spacing w:val="-1"/>
        </w:rPr>
        <w:t> </w:t>
      </w:r>
      <w:r>
        <w:rPr>
          <w:rFonts w:ascii="Segoe UI" w:hAnsi="Segoe UI"/>
          <w:color w:val="231F20"/>
        </w:rPr>
        <w:t>the program</w:t>
      </w:r>
      <w:r>
        <w:rPr>
          <w:rFonts w:ascii="Segoe UI" w:hAnsi="Segoe UI"/>
        </w:rPr>
      </w:r>
    </w:p>
    <w:p>
      <w:pPr>
        <w:pStyle w:val="BodyText"/>
        <w:spacing w:line="258" w:lineRule="exact"/>
        <w:ind w:left="0" w:right="397"/>
        <w:jc w:val="center"/>
      </w:pPr>
      <w:r>
        <w:rPr>
          <w:color w:val="231F20"/>
        </w:rPr>
        <w:t>and</w:t>
      </w:r>
      <w:r>
        <w:rPr>
          <w:color w:val="231F20"/>
          <w:spacing w:val="-9"/>
        </w:rPr>
        <w:t> </w:t>
      </w:r>
      <w:r>
        <w:rPr>
          <w:color w:val="231F20"/>
          <w:spacing w:val="-1"/>
        </w:rPr>
        <w:t>improved</w:t>
      </w:r>
      <w:r>
        <w:rPr>
          <w:color w:val="231F20"/>
          <w:spacing w:val="-7"/>
        </w:rPr>
        <w:t> </w:t>
      </w:r>
      <w:r>
        <w:rPr>
          <w:color w:val="231F20"/>
        </w:rPr>
        <w:t>educational</w:t>
      </w:r>
      <w:r>
        <w:rPr>
          <w:color w:val="231F20"/>
          <w:spacing w:val="-9"/>
        </w:rPr>
        <w:t> </w:t>
      </w:r>
      <w:r>
        <w:rPr>
          <w:color w:val="231F20"/>
        </w:rPr>
        <w:t>outcomes</w:t>
      </w:r>
      <w:r>
        <w:rPr/>
      </w:r>
    </w:p>
    <w:p>
      <w:pPr>
        <w:pStyle w:val="BodyText"/>
        <w:spacing w:line="250" w:lineRule="exact" w:before="113"/>
        <w:ind w:left="387" w:right="168" w:hanging="227"/>
        <w:jc w:val="left"/>
      </w:pPr>
      <w:r>
        <w:rPr>
          <w:rFonts w:ascii="Century Gothic" w:hAnsi="Century Gothic"/>
          <w:color w:val="231F20"/>
        </w:rPr>
        <w:t>» </w:t>
      </w:r>
      <w:r>
        <w:rPr>
          <w:rFonts w:ascii="Century Gothic" w:hAnsi="Century Gothic"/>
          <w:color w:val="231F20"/>
          <w:spacing w:val="20"/>
        </w:rPr>
        <w:t> </w:t>
      </w:r>
      <w:r>
        <w:rPr>
          <w:color w:val="231F20"/>
        </w:rPr>
        <w:t>provide</w:t>
      </w:r>
      <w:r>
        <w:rPr>
          <w:color w:val="231F20"/>
          <w:spacing w:val="-5"/>
        </w:rPr>
        <w:t> </w:t>
      </w:r>
      <w:r>
        <w:rPr>
          <w:color w:val="231F20"/>
        </w:rPr>
        <w:t>baseline</w:t>
      </w:r>
      <w:r>
        <w:rPr>
          <w:color w:val="231F20"/>
          <w:spacing w:val="-5"/>
        </w:rPr>
        <w:t> </w:t>
      </w:r>
      <w:r>
        <w:rPr>
          <w:color w:val="231F20"/>
          <w:spacing w:val="-1"/>
        </w:rPr>
        <w:t>information</w:t>
      </w:r>
      <w:r>
        <w:rPr>
          <w:color w:val="231F20"/>
          <w:spacing w:val="-4"/>
        </w:rPr>
        <w:t> </w:t>
      </w:r>
      <w:r>
        <w:rPr>
          <w:color w:val="231F20"/>
        </w:rPr>
        <w:t>for</w:t>
      </w:r>
      <w:r>
        <w:rPr>
          <w:color w:val="231F20"/>
          <w:spacing w:val="-4"/>
        </w:rPr>
        <w:t> </w:t>
      </w:r>
      <w:r>
        <w:rPr>
          <w:color w:val="231F20"/>
        </w:rPr>
        <w:t>future</w:t>
      </w:r>
      <w:r>
        <w:rPr>
          <w:color w:val="231F20"/>
          <w:spacing w:val="22"/>
          <w:w w:val="99"/>
        </w:rPr>
        <w:t> </w:t>
      </w:r>
      <w:r>
        <w:rPr>
          <w:color w:val="231F20"/>
          <w:spacing w:val="-1"/>
        </w:rPr>
        <w:t>monitoring</w:t>
      </w:r>
      <w:r>
        <w:rPr>
          <w:color w:val="231F20"/>
          <w:spacing w:val="-8"/>
        </w:rPr>
        <w:t> </w:t>
      </w:r>
      <w:r>
        <w:rPr>
          <w:color w:val="231F20"/>
        </w:rPr>
        <w:t>and</w:t>
      </w:r>
      <w:r>
        <w:rPr>
          <w:color w:val="231F20"/>
          <w:spacing w:val="-9"/>
        </w:rPr>
        <w:t> </w:t>
      </w:r>
      <w:r>
        <w:rPr>
          <w:color w:val="231F20"/>
        </w:rPr>
        <w:t>policy</w:t>
      </w:r>
      <w:r>
        <w:rPr>
          <w:color w:val="231F20"/>
          <w:spacing w:val="-10"/>
        </w:rPr>
        <w:t> </w:t>
      </w:r>
      <w:r>
        <w:rPr>
          <w:color w:val="231F20"/>
        </w:rPr>
        <w:t>development.</w:t>
      </w:r>
      <w:r>
        <w:rPr/>
      </w:r>
    </w:p>
    <w:p>
      <w:pPr>
        <w:pStyle w:val="BodyText"/>
        <w:spacing w:line="250" w:lineRule="exact" w:before="113"/>
        <w:ind w:left="160" w:right="168"/>
        <w:jc w:val="left"/>
      </w:pPr>
      <w:r>
        <w:rPr>
          <w:color w:val="231F20"/>
        </w:rPr>
        <w:t>There</w:t>
      </w:r>
      <w:r>
        <w:rPr>
          <w:color w:val="231F20"/>
          <w:spacing w:val="-5"/>
        </w:rPr>
        <w:t> </w:t>
      </w:r>
      <w:r>
        <w:rPr>
          <w:color w:val="231F20"/>
        </w:rPr>
        <w:t>were</w:t>
      </w:r>
      <w:r>
        <w:rPr>
          <w:color w:val="231F20"/>
          <w:spacing w:val="-6"/>
        </w:rPr>
        <w:t> </w:t>
      </w:r>
      <w:r>
        <w:rPr>
          <w:color w:val="231F20"/>
          <w:spacing w:val="-1"/>
        </w:rPr>
        <w:t>27</w:t>
      </w:r>
      <w:r>
        <w:rPr>
          <w:color w:val="231F20"/>
          <w:spacing w:val="-4"/>
        </w:rPr>
        <w:t> </w:t>
      </w:r>
      <w:r>
        <w:rPr>
          <w:color w:val="231F20"/>
        </w:rPr>
        <w:t>boarding</w:t>
      </w:r>
      <w:r>
        <w:rPr>
          <w:color w:val="231F20"/>
          <w:spacing w:val="-6"/>
        </w:rPr>
        <w:t> </w:t>
      </w:r>
      <w:r>
        <w:rPr>
          <w:color w:val="231F20"/>
          <w:spacing w:val="-1"/>
        </w:rPr>
        <w:t>providers</w:t>
      </w:r>
      <w:r>
        <w:rPr>
          <w:rFonts w:ascii="Segoe UI Semibold"/>
          <w:b/>
          <w:color w:val="231F20"/>
          <w:spacing w:val="-1"/>
          <w:position w:val="7"/>
          <w:sz w:val="11"/>
        </w:rPr>
        <w:t>1</w:t>
      </w:r>
      <w:r>
        <w:rPr>
          <w:rFonts w:ascii="Segoe UI Semibold"/>
          <w:b/>
          <w:color w:val="231F20"/>
          <w:spacing w:val="20"/>
          <w:position w:val="7"/>
          <w:sz w:val="11"/>
        </w:rPr>
        <w:t> </w:t>
      </w:r>
      <w:r>
        <w:rPr>
          <w:rFonts w:ascii="Segoe UI"/>
          <w:color w:val="231F20"/>
        </w:rPr>
        <w:t>identified</w:t>
      </w:r>
      <w:r>
        <w:rPr>
          <w:rFonts w:ascii="Segoe UI"/>
          <w:color w:val="231F20"/>
          <w:spacing w:val="20"/>
        </w:rPr>
        <w:t> </w:t>
      </w:r>
      <w:r>
        <w:rPr>
          <w:color w:val="231F20"/>
        </w:rPr>
        <w:t>by</w:t>
      </w:r>
      <w:r>
        <w:rPr>
          <w:color w:val="231F20"/>
          <w:spacing w:val="-3"/>
        </w:rPr>
        <w:t> </w:t>
      </w:r>
      <w:r>
        <w:rPr>
          <w:color w:val="231F20"/>
          <w:spacing w:val="-1"/>
        </w:rPr>
        <w:t>PM&amp;C</w:t>
      </w:r>
      <w:r>
        <w:rPr>
          <w:color w:val="231F20"/>
          <w:spacing w:val="-3"/>
        </w:rPr>
        <w:t> </w:t>
      </w:r>
      <w:r>
        <w:rPr>
          <w:color w:val="231F20"/>
        </w:rPr>
        <w:t>as</w:t>
      </w:r>
      <w:r>
        <w:rPr>
          <w:color w:val="231F20"/>
          <w:spacing w:val="-4"/>
        </w:rPr>
        <w:t> </w:t>
      </w:r>
      <w:r>
        <w:rPr>
          <w:color w:val="231F20"/>
        </w:rPr>
        <w:t>part</w:t>
      </w:r>
      <w:r>
        <w:rPr>
          <w:color w:val="231F20"/>
          <w:spacing w:val="-2"/>
        </w:rPr>
        <w:t> </w:t>
      </w:r>
      <w:r>
        <w:rPr>
          <w:color w:val="231F20"/>
        </w:rPr>
        <w:t>of</w:t>
      </w:r>
      <w:r>
        <w:rPr>
          <w:color w:val="231F20"/>
          <w:spacing w:val="-3"/>
        </w:rPr>
        <w:t> </w:t>
      </w:r>
      <w:r>
        <w:rPr>
          <w:color w:val="231F20"/>
        </w:rPr>
        <w:t>the</w:t>
      </w:r>
      <w:r>
        <w:rPr>
          <w:color w:val="231F20"/>
          <w:spacing w:val="-4"/>
        </w:rPr>
        <w:t> </w:t>
      </w:r>
      <w:r>
        <w:rPr>
          <w:color w:val="231F20"/>
        </w:rPr>
        <w:t>analysis,</w:t>
      </w:r>
      <w:r>
        <w:rPr>
          <w:color w:val="231F20"/>
          <w:spacing w:val="-3"/>
        </w:rPr>
        <w:t> </w:t>
      </w:r>
      <w:r>
        <w:rPr>
          <w:color w:val="231F20"/>
        </w:rPr>
        <w:t>providing</w:t>
      </w:r>
      <w:r>
        <w:rPr>
          <w:color w:val="231F20"/>
          <w:spacing w:val="21"/>
          <w:w w:val="99"/>
        </w:rPr>
        <w:t> </w:t>
      </w:r>
      <w:r>
        <w:rPr>
          <w:color w:val="231F20"/>
        </w:rPr>
        <w:t>boarding</w:t>
      </w:r>
      <w:r>
        <w:rPr>
          <w:color w:val="231F20"/>
          <w:spacing w:val="-9"/>
        </w:rPr>
        <w:t> </w:t>
      </w:r>
      <w:r>
        <w:rPr>
          <w:color w:val="231F20"/>
        </w:rPr>
        <w:t>for</w:t>
      </w:r>
      <w:r>
        <w:rPr>
          <w:color w:val="231F20"/>
          <w:spacing w:val="-9"/>
        </w:rPr>
        <w:t> </w:t>
      </w:r>
      <w:r>
        <w:rPr>
          <w:color w:val="231F20"/>
        </w:rPr>
        <w:t>approximately</w:t>
      </w:r>
      <w:r>
        <w:rPr>
          <w:color w:val="231F20"/>
          <w:spacing w:val="-9"/>
        </w:rPr>
        <w:t> </w:t>
      </w:r>
      <w:r>
        <w:rPr>
          <w:color w:val="231F20"/>
          <w:spacing w:val="-1"/>
        </w:rPr>
        <w:t>1,900</w:t>
      </w:r>
      <w:r>
        <w:rPr>
          <w:color w:val="231F20"/>
          <w:spacing w:val="-8"/>
        </w:rPr>
        <w:t> </w:t>
      </w:r>
      <w:r>
        <w:rPr>
          <w:color w:val="231F20"/>
        </w:rPr>
        <w:t>Aboriginal</w:t>
      </w:r>
      <w:r>
        <w:rPr>
          <w:color w:val="231F20"/>
          <w:spacing w:val="21"/>
          <w:w w:val="99"/>
        </w:rPr>
        <w:t> </w:t>
      </w:r>
      <w:r>
        <w:rPr>
          <w:color w:val="231F20"/>
        </w:rPr>
        <w:t>and</w:t>
      </w:r>
      <w:r>
        <w:rPr>
          <w:color w:val="231F20"/>
          <w:spacing w:val="-6"/>
        </w:rPr>
        <w:t> </w:t>
      </w:r>
      <w:r>
        <w:rPr>
          <w:color w:val="231F20"/>
          <w:spacing w:val="-5"/>
        </w:rPr>
        <w:t>Torres</w:t>
      </w:r>
      <w:r>
        <w:rPr>
          <w:color w:val="231F20"/>
          <w:spacing w:val="-4"/>
        </w:rPr>
        <w:t> </w:t>
      </w:r>
      <w:r>
        <w:rPr>
          <w:color w:val="231F20"/>
          <w:spacing w:val="-2"/>
        </w:rPr>
        <w:t>Strait</w:t>
      </w:r>
      <w:r>
        <w:rPr>
          <w:color w:val="231F20"/>
          <w:spacing w:val="-6"/>
        </w:rPr>
        <w:t> </w:t>
      </w:r>
      <w:r>
        <w:rPr>
          <w:color w:val="231F20"/>
          <w:spacing w:val="-1"/>
        </w:rPr>
        <w:t>Islander</w:t>
      </w:r>
      <w:r>
        <w:rPr>
          <w:color w:val="231F20"/>
          <w:spacing w:val="-4"/>
        </w:rPr>
        <w:t> </w:t>
      </w:r>
      <w:r>
        <w:rPr>
          <w:color w:val="231F20"/>
          <w:spacing w:val="-1"/>
        </w:rPr>
        <w:t>secondary</w:t>
      </w:r>
      <w:r>
        <w:rPr>
          <w:color w:val="231F20"/>
          <w:spacing w:val="-4"/>
        </w:rPr>
        <w:t> </w:t>
      </w:r>
      <w:r>
        <w:rPr>
          <w:color w:val="231F20"/>
          <w:spacing w:val="-1"/>
        </w:rPr>
        <w:t>students</w:t>
      </w:r>
      <w:r>
        <w:rPr>
          <w:color w:val="231F20"/>
          <w:spacing w:val="22"/>
        </w:rPr>
        <w:t> </w:t>
      </w:r>
      <w:r>
        <w:rPr>
          <w:color w:val="231F20"/>
        </w:rPr>
        <w:t>(Aboriginal</w:t>
      </w:r>
      <w:r>
        <w:rPr>
          <w:color w:val="231F20"/>
          <w:spacing w:val="-8"/>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7"/>
        </w:rPr>
        <w:t> </w:t>
      </w:r>
      <w:r>
        <w:rPr>
          <w:color w:val="231F20"/>
        </w:rPr>
        <w:t>boarding</w:t>
      </w:r>
      <w:r>
        <w:rPr>
          <w:color w:val="231F20"/>
          <w:spacing w:val="21"/>
          <w:w w:val="99"/>
        </w:rPr>
        <w:t> </w:t>
      </w:r>
      <w:r>
        <w:rPr>
          <w:color w:val="231F20"/>
        </w:rPr>
        <w:t>providers).</w:t>
      </w:r>
      <w:r>
        <w:rPr>
          <w:color w:val="231F20"/>
          <w:spacing w:val="-9"/>
        </w:rPr>
        <w:t> </w:t>
      </w:r>
      <w:r>
        <w:rPr>
          <w:color w:val="231F20"/>
        </w:rPr>
        <w:t>The</w:t>
      </w:r>
      <w:r>
        <w:rPr>
          <w:color w:val="231F20"/>
          <w:spacing w:val="-8"/>
        </w:rPr>
        <w:t> </w:t>
      </w:r>
      <w:r>
        <w:rPr>
          <w:color w:val="231F20"/>
        </w:rPr>
        <w:t>boarding</w:t>
      </w:r>
      <w:r>
        <w:rPr>
          <w:color w:val="231F20"/>
          <w:spacing w:val="-8"/>
        </w:rPr>
        <w:t> </w:t>
      </w:r>
      <w:r>
        <w:rPr>
          <w:color w:val="231F20"/>
        </w:rPr>
        <w:t>providers</w:t>
      </w:r>
      <w:r>
        <w:rPr>
          <w:color w:val="231F20"/>
          <w:spacing w:val="-9"/>
        </w:rPr>
        <w:t> </w:t>
      </w:r>
      <w:r>
        <w:rPr>
          <w:color w:val="231F20"/>
        </w:rPr>
        <w:t>are</w:t>
      </w:r>
      <w:r>
        <w:rPr>
          <w:color w:val="231F20"/>
          <w:spacing w:val="-9"/>
        </w:rPr>
        <w:t> </w:t>
      </w:r>
      <w:r>
        <w:rPr>
          <w:color w:val="231F20"/>
          <w:spacing w:val="-1"/>
        </w:rPr>
        <w:t>located</w:t>
      </w:r>
      <w:r>
        <w:rPr>
          <w:color w:val="231F20"/>
          <w:spacing w:val="20"/>
          <w:w w:val="99"/>
        </w:rPr>
        <w:t> </w:t>
      </w:r>
      <w:r>
        <w:rPr>
          <w:color w:val="231F20"/>
          <w:spacing w:val="-1"/>
        </w:rPr>
        <w:t>in</w:t>
      </w:r>
      <w:r>
        <w:rPr>
          <w:color w:val="231F20"/>
          <w:spacing w:val="-7"/>
        </w:rPr>
        <w:t> </w:t>
      </w:r>
      <w:r>
        <w:rPr>
          <w:color w:val="231F20"/>
        </w:rPr>
        <w:t>the</w:t>
      </w:r>
      <w:r>
        <w:rPr>
          <w:color w:val="231F20"/>
          <w:spacing w:val="-7"/>
        </w:rPr>
        <w:t> </w:t>
      </w:r>
      <w:r>
        <w:rPr>
          <w:color w:val="231F20"/>
        </w:rPr>
        <w:t>Northern</w:t>
      </w:r>
      <w:r>
        <w:rPr>
          <w:color w:val="231F20"/>
          <w:spacing w:val="-6"/>
        </w:rPr>
        <w:t> </w:t>
      </w:r>
      <w:r>
        <w:rPr>
          <w:color w:val="231F20"/>
          <w:spacing w:val="-3"/>
        </w:rPr>
        <w:t>Territory</w:t>
      </w:r>
      <w:r>
        <w:rPr>
          <w:color w:val="231F20"/>
          <w:spacing w:val="-7"/>
        </w:rPr>
        <w:t> </w:t>
      </w:r>
      <w:r>
        <w:rPr>
          <w:color w:val="231F20"/>
        </w:rPr>
        <w:t>(7),</w:t>
      </w:r>
      <w:r>
        <w:rPr>
          <w:color w:val="231F20"/>
          <w:spacing w:val="-7"/>
        </w:rPr>
        <w:t> </w:t>
      </w:r>
      <w:r>
        <w:rPr>
          <w:color w:val="231F20"/>
        </w:rPr>
        <w:t>Queensland</w:t>
      </w:r>
      <w:r>
        <w:rPr/>
      </w:r>
    </w:p>
    <w:p>
      <w:pPr>
        <w:pStyle w:val="BodyText"/>
        <w:spacing w:line="250" w:lineRule="exact"/>
        <w:ind w:left="160" w:right="255"/>
        <w:jc w:val="left"/>
      </w:pPr>
      <w:r>
        <w:rPr>
          <w:color w:val="231F20"/>
        </w:rPr>
        <w:t>(12),</w:t>
      </w:r>
      <w:r>
        <w:rPr>
          <w:color w:val="231F20"/>
          <w:spacing w:val="-7"/>
        </w:rPr>
        <w:t> </w:t>
      </w:r>
      <w:r>
        <w:rPr>
          <w:color w:val="231F20"/>
          <w:spacing w:val="-2"/>
        </w:rPr>
        <w:t>Western</w:t>
      </w:r>
      <w:r>
        <w:rPr>
          <w:color w:val="231F20"/>
          <w:spacing w:val="-6"/>
        </w:rPr>
        <w:t> </w:t>
      </w:r>
      <w:r>
        <w:rPr>
          <w:color w:val="231F20"/>
        </w:rPr>
        <w:t>Australia</w:t>
      </w:r>
      <w:r>
        <w:rPr>
          <w:color w:val="231F20"/>
          <w:spacing w:val="-5"/>
        </w:rPr>
        <w:t> </w:t>
      </w:r>
      <w:r>
        <w:rPr>
          <w:color w:val="231F20"/>
        </w:rPr>
        <w:t>(6)</w:t>
      </w:r>
      <w:r>
        <w:rPr>
          <w:color w:val="231F20"/>
          <w:spacing w:val="-6"/>
        </w:rPr>
        <w:t> </w:t>
      </w:r>
      <w:r>
        <w:rPr>
          <w:color w:val="231F20"/>
        </w:rPr>
        <w:t>and</w:t>
      </w:r>
      <w:r>
        <w:rPr>
          <w:color w:val="231F20"/>
          <w:spacing w:val="-7"/>
        </w:rPr>
        <w:t> </w:t>
      </w:r>
      <w:r>
        <w:rPr>
          <w:color w:val="231F20"/>
          <w:spacing w:val="-1"/>
        </w:rPr>
        <w:t>Victoria</w:t>
      </w:r>
      <w:r>
        <w:rPr>
          <w:color w:val="231F20"/>
          <w:spacing w:val="-5"/>
        </w:rPr>
        <w:t> </w:t>
      </w:r>
      <w:r>
        <w:rPr>
          <w:color w:val="231F20"/>
        </w:rPr>
        <w:t>(2)</w:t>
      </w:r>
      <w:r>
        <w:rPr>
          <w:color w:val="231F20"/>
          <w:spacing w:val="28"/>
          <w:w w:val="99"/>
        </w:rPr>
        <w:t> </w:t>
      </w:r>
      <w:r>
        <w:rPr>
          <w:color w:val="231F20"/>
        </w:rPr>
        <w:t>and</w:t>
      </w:r>
      <w:r>
        <w:rPr>
          <w:color w:val="231F20"/>
          <w:spacing w:val="-10"/>
        </w:rPr>
        <w:t> </w:t>
      </w:r>
      <w:r>
        <w:rPr>
          <w:color w:val="231F20"/>
          <w:spacing w:val="-1"/>
        </w:rPr>
        <w:t>include</w:t>
      </w:r>
      <w:r>
        <w:rPr>
          <w:color w:val="231F20"/>
          <w:spacing w:val="-9"/>
        </w:rPr>
        <w:t> </w:t>
      </w:r>
      <w:r>
        <w:rPr>
          <w:color w:val="231F20"/>
        </w:rPr>
        <w:t>government,</w:t>
      </w:r>
      <w:r>
        <w:rPr>
          <w:color w:val="231F20"/>
          <w:spacing w:val="-10"/>
        </w:rPr>
        <w:t> </w:t>
      </w:r>
      <w:r>
        <w:rPr>
          <w:color w:val="231F20"/>
          <w:spacing w:val="-1"/>
        </w:rPr>
        <w:t>independent</w:t>
      </w:r>
      <w:r>
        <w:rPr>
          <w:color w:val="231F20"/>
          <w:spacing w:val="-9"/>
        </w:rPr>
        <w:t> </w:t>
      </w:r>
      <w:r>
        <w:rPr>
          <w:color w:val="231F20"/>
        </w:rPr>
        <w:t>and</w:t>
      </w:r>
      <w:r>
        <w:rPr>
          <w:color w:val="231F20"/>
          <w:spacing w:val="23"/>
          <w:w w:val="99"/>
        </w:rPr>
        <w:t> </w:t>
      </w:r>
      <w:r>
        <w:rPr>
          <w:color w:val="231F20"/>
        </w:rPr>
        <w:t>faith</w:t>
      </w:r>
      <w:r>
        <w:rPr>
          <w:color w:val="231F20"/>
          <w:spacing w:val="-8"/>
        </w:rPr>
        <w:t> </w:t>
      </w:r>
      <w:r>
        <w:rPr>
          <w:color w:val="231F20"/>
        </w:rPr>
        <w:t>based</w:t>
      </w:r>
      <w:r>
        <w:rPr>
          <w:color w:val="231F20"/>
          <w:spacing w:val="-8"/>
        </w:rPr>
        <w:t> </w:t>
      </w:r>
      <w:r>
        <w:rPr>
          <w:color w:val="231F20"/>
        </w:rPr>
        <w:t>boarding</w:t>
      </w:r>
      <w:r>
        <w:rPr>
          <w:color w:val="231F20"/>
          <w:spacing w:val="-9"/>
        </w:rPr>
        <w:t> </w:t>
      </w:r>
      <w:r>
        <w:rPr>
          <w:color w:val="231F20"/>
        </w:rPr>
        <w:t>providers.</w:t>
      </w:r>
      <w:r>
        <w:rPr>
          <w:color w:val="231F20"/>
          <w:spacing w:val="-8"/>
        </w:rPr>
        <w:t> </w:t>
      </w:r>
      <w:r>
        <w:rPr>
          <w:color w:val="231F20"/>
        </w:rPr>
        <w:t>The</w:t>
      </w:r>
      <w:r>
        <w:rPr>
          <w:color w:val="231F20"/>
          <w:spacing w:val="-8"/>
        </w:rPr>
        <w:t> </w:t>
      </w:r>
      <w:r>
        <w:rPr>
          <w:color w:val="231F20"/>
        </w:rPr>
        <w:t>boarding</w:t>
      </w:r>
      <w:r>
        <w:rPr>
          <w:color w:val="231F20"/>
          <w:w w:val="99"/>
        </w:rPr>
        <w:t> </w:t>
      </w:r>
      <w:r>
        <w:rPr>
          <w:color w:val="231F20"/>
        </w:rPr>
        <w:t>providers</w:t>
      </w:r>
      <w:r>
        <w:rPr>
          <w:color w:val="231F20"/>
          <w:spacing w:val="-5"/>
        </w:rPr>
        <w:t> </w:t>
      </w:r>
      <w:r>
        <w:rPr>
          <w:color w:val="231F20"/>
        </w:rPr>
        <w:t>are</w:t>
      </w:r>
      <w:r>
        <w:rPr>
          <w:color w:val="231F20"/>
          <w:spacing w:val="-4"/>
        </w:rPr>
        <w:t> </w:t>
      </w:r>
      <w:r>
        <w:rPr>
          <w:color w:val="231F20"/>
          <w:spacing w:val="-1"/>
        </w:rPr>
        <w:t>listed</w:t>
      </w:r>
      <w:r>
        <w:rPr>
          <w:color w:val="231F20"/>
          <w:spacing w:val="-3"/>
        </w:rPr>
        <w:t> </w:t>
      </w:r>
      <w:r>
        <w:rPr>
          <w:color w:val="231F20"/>
        </w:rPr>
        <w:t>at</w:t>
      </w:r>
      <w:r>
        <w:rPr>
          <w:color w:val="231F20"/>
          <w:spacing w:val="-3"/>
        </w:rPr>
        <w:t> </w:t>
      </w:r>
      <w:r>
        <w:rPr>
          <w:color w:val="231F20"/>
          <w:spacing w:val="-2"/>
        </w:rPr>
        <w:t>Part</w:t>
      </w:r>
      <w:r>
        <w:rPr>
          <w:color w:val="231F20"/>
          <w:spacing w:val="-4"/>
        </w:rPr>
        <w:t> </w:t>
      </w:r>
      <w:r>
        <w:rPr>
          <w:color w:val="231F20"/>
        </w:rPr>
        <w:t>4</w:t>
      </w:r>
      <w:r>
        <w:rPr>
          <w:color w:val="231F20"/>
          <w:spacing w:val="-4"/>
        </w:rPr>
        <w:t> </w:t>
      </w:r>
      <w:r>
        <w:rPr>
          <w:color w:val="231F20"/>
        </w:rPr>
        <w:t>of</w:t>
      </w:r>
      <w:r>
        <w:rPr>
          <w:color w:val="231F20"/>
          <w:spacing w:val="-3"/>
        </w:rPr>
        <w:t> </w:t>
      </w:r>
      <w:r>
        <w:rPr>
          <w:color w:val="231F20"/>
        </w:rPr>
        <w:t>the</w:t>
      </w:r>
      <w:r>
        <w:rPr>
          <w:color w:val="231F20"/>
          <w:spacing w:val="-4"/>
        </w:rPr>
        <w:t> </w:t>
      </w:r>
      <w:r>
        <w:rPr>
          <w:color w:val="231F20"/>
        </w:rPr>
        <w:t>report.</w:t>
      </w:r>
      <w:r>
        <w:rPr/>
      </w:r>
    </w:p>
    <w:p>
      <w:pPr>
        <w:spacing w:line="240" w:lineRule="auto" w:before="0"/>
        <w:rPr>
          <w:rFonts w:ascii="Segoe UI" w:hAnsi="Segoe UI" w:cs="Segoe UI" w:eastAsia="Segoe UI"/>
          <w:sz w:val="20"/>
          <w:szCs w:val="20"/>
        </w:rPr>
      </w:pPr>
      <w:r>
        <w:rPr/>
        <w:br w:type="column"/>
      </w:r>
      <w:r>
        <w:rPr>
          <w:rFonts w:ascii="Segoe UI"/>
          <w:sz w:val="20"/>
        </w:rPr>
      </w:r>
    </w:p>
    <w:p>
      <w:pPr>
        <w:spacing w:line="240" w:lineRule="auto" w:before="4"/>
        <w:rPr>
          <w:rFonts w:ascii="Segoe UI" w:hAnsi="Segoe UI" w:cs="Segoe UI" w:eastAsia="Segoe UI"/>
          <w:sz w:val="19"/>
          <w:szCs w:val="19"/>
        </w:rPr>
      </w:pPr>
    </w:p>
    <w:p>
      <w:pPr>
        <w:pStyle w:val="BodyText"/>
        <w:spacing w:line="250" w:lineRule="exact"/>
        <w:ind w:left="160" w:right="159"/>
        <w:jc w:val="left"/>
      </w:pPr>
      <w:r>
        <w:rPr>
          <w:color w:val="231F20"/>
        </w:rPr>
        <w:t>The</w:t>
      </w:r>
      <w:r>
        <w:rPr>
          <w:color w:val="231F20"/>
          <w:spacing w:val="-3"/>
        </w:rPr>
        <w:t> </w:t>
      </w:r>
      <w:r>
        <w:rPr>
          <w:color w:val="231F20"/>
        </w:rPr>
        <w:t>analysis</w:t>
      </w:r>
      <w:r>
        <w:rPr>
          <w:color w:val="231F20"/>
          <w:spacing w:val="-4"/>
        </w:rPr>
        <w:t> </w:t>
      </w:r>
      <w:r>
        <w:rPr>
          <w:color w:val="231F20"/>
        </w:rPr>
        <w:t>focusses</w:t>
      </w:r>
      <w:r>
        <w:rPr>
          <w:color w:val="231F20"/>
          <w:spacing w:val="-4"/>
        </w:rPr>
        <w:t> </w:t>
      </w:r>
      <w:r>
        <w:rPr>
          <w:color w:val="231F20"/>
        </w:rPr>
        <w:t>on</w:t>
      </w:r>
      <w:r>
        <w:rPr>
          <w:color w:val="231F20"/>
          <w:spacing w:val="-2"/>
        </w:rPr>
        <w:t> </w:t>
      </w:r>
      <w:r>
        <w:rPr>
          <w:color w:val="231F20"/>
        </w:rPr>
        <w:t>the</w:t>
      </w:r>
      <w:r>
        <w:rPr>
          <w:color w:val="231F20"/>
          <w:spacing w:val="-4"/>
        </w:rPr>
        <w:t> </w:t>
      </w:r>
      <w:r>
        <w:rPr>
          <w:color w:val="231F20"/>
        </w:rPr>
        <w:t>revenue</w:t>
      </w:r>
      <w:r>
        <w:rPr>
          <w:color w:val="231F20"/>
          <w:spacing w:val="-4"/>
        </w:rPr>
        <w:t> </w:t>
      </w:r>
      <w:r>
        <w:rPr>
          <w:color w:val="231F20"/>
        </w:rPr>
        <w:t>and</w:t>
      </w:r>
      <w:r>
        <w:rPr>
          <w:color w:val="231F20"/>
          <w:spacing w:val="-3"/>
        </w:rPr>
        <w:t> </w:t>
      </w:r>
      <w:r>
        <w:rPr>
          <w:color w:val="231F20"/>
        </w:rPr>
        <w:t>costs</w:t>
      </w:r>
      <w:r>
        <w:rPr>
          <w:color w:val="231F20"/>
        </w:rPr>
        <w:t> associated</w:t>
      </w:r>
      <w:r>
        <w:rPr>
          <w:color w:val="231F20"/>
          <w:spacing w:val="-9"/>
        </w:rPr>
        <w:t> </w:t>
      </w:r>
      <w:r>
        <w:rPr>
          <w:color w:val="231F20"/>
        </w:rPr>
        <w:t>with</w:t>
      </w:r>
      <w:r>
        <w:rPr>
          <w:color w:val="231F20"/>
          <w:spacing w:val="-8"/>
        </w:rPr>
        <w:t> </w:t>
      </w:r>
      <w:r>
        <w:rPr>
          <w:color w:val="231F20"/>
        </w:rPr>
        <w:t>boarding</w:t>
      </w:r>
      <w:r>
        <w:rPr>
          <w:color w:val="231F20"/>
          <w:spacing w:val="-8"/>
        </w:rPr>
        <w:t> </w:t>
      </w:r>
      <w:r>
        <w:rPr>
          <w:color w:val="231F20"/>
        </w:rPr>
        <w:t>for</w:t>
      </w:r>
      <w:r>
        <w:rPr>
          <w:color w:val="231F20"/>
          <w:spacing w:val="-7"/>
        </w:rPr>
        <w:t> </w:t>
      </w:r>
      <w:r>
        <w:rPr>
          <w:color w:val="231F20"/>
        </w:rPr>
        <w:t>Aboriginal</w:t>
      </w:r>
      <w:r>
        <w:rPr>
          <w:color w:val="231F20"/>
          <w:spacing w:val="-7"/>
        </w:rPr>
        <w:t> </w:t>
      </w:r>
      <w:r>
        <w:rPr>
          <w:color w:val="231F20"/>
        </w:rPr>
        <w:t>and</w:t>
      </w:r>
      <w:r>
        <w:rPr>
          <w:color w:val="231F20"/>
          <w:w w:val="99"/>
        </w:rPr>
        <w:t> </w:t>
      </w:r>
      <w:r>
        <w:rPr>
          <w:color w:val="231F20"/>
          <w:spacing w:val="-5"/>
        </w:rPr>
        <w:t>Torres</w:t>
      </w:r>
      <w:r>
        <w:rPr>
          <w:color w:val="231F20"/>
          <w:spacing w:val="-7"/>
        </w:rPr>
        <w:t> </w:t>
      </w:r>
      <w:r>
        <w:rPr>
          <w:color w:val="231F20"/>
          <w:spacing w:val="-2"/>
        </w:rPr>
        <w:t>Strait</w:t>
      </w:r>
      <w:r>
        <w:rPr>
          <w:color w:val="231F20"/>
          <w:spacing w:val="-6"/>
        </w:rPr>
        <w:t> </w:t>
      </w:r>
      <w:r>
        <w:rPr>
          <w:color w:val="231F20"/>
          <w:spacing w:val="-1"/>
        </w:rPr>
        <w:t>Islander</w:t>
      </w:r>
      <w:r>
        <w:rPr>
          <w:color w:val="231F20"/>
          <w:spacing w:val="-6"/>
        </w:rPr>
        <w:t> </w:t>
      </w:r>
      <w:r>
        <w:rPr>
          <w:color w:val="231F20"/>
          <w:spacing w:val="-1"/>
        </w:rPr>
        <w:t>students.</w:t>
      </w:r>
      <w:r>
        <w:rPr/>
      </w:r>
    </w:p>
    <w:p>
      <w:pPr>
        <w:pStyle w:val="BodyText"/>
        <w:spacing w:line="250" w:lineRule="exact" w:before="113"/>
        <w:ind w:left="160" w:right="157"/>
        <w:jc w:val="left"/>
      </w:pPr>
      <w:r>
        <w:rPr>
          <w:color w:val="231F20"/>
        </w:rPr>
        <w:t>The</w:t>
      </w:r>
      <w:r>
        <w:rPr>
          <w:color w:val="231F20"/>
          <w:spacing w:val="-4"/>
        </w:rPr>
        <w:t> </w:t>
      </w:r>
      <w:r>
        <w:rPr>
          <w:color w:val="231F20"/>
        </w:rPr>
        <w:t>data</w:t>
      </w:r>
      <w:r>
        <w:rPr>
          <w:color w:val="231F20"/>
          <w:spacing w:val="-4"/>
        </w:rPr>
        <w:t> </w:t>
      </w:r>
      <w:r>
        <w:rPr>
          <w:color w:val="231F20"/>
        </w:rPr>
        <w:t>for</w:t>
      </w:r>
      <w:r>
        <w:rPr>
          <w:color w:val="231F20"/>
          <w:spacing w:val="-4"/>
        </w:rPr>
        <w:t> </w:t>
      </w:r>
      <w:r>
        <w:rPr>
          <w:color w:val="231F20"/>
        </w:rPr>
        <w:t>the</w:t>
      </w:r>
      <w:r>
        <w:rPr>
          <w:color w:val="231F20"/>
          <w:spacing w:val="-4"/>
        </w:rPr>
        <w:t> </w:t>
      </w:r>
      <w:r>
        <w:rPr>
          <w:color w:val="231F20"/>
          <w:spacing w:val="-1"/>
        </w:rPr>
        <w:t>27</w:t>
      </w:r>
      <w:r>
        <w:rPr>
          <w:color w:val="231F20"/>
          <w:spacing w:val="-4"/>
        </w:rPr>
        <w:t> </w:t>
      </w:r>
      <w:r>
        <w:rPr>
          <w:color w:val="231F20"/>
        </w:rPr>
        <w:t>Aboriginal</w:t>
      </w:r>
      <w:r>
        <w:rPr>
          <w:color w:val="231F20"/>
          <w:spacing w:val="-3"/>
        </w:rPr>
        <w:t> </w:t>
      </w:r>
      <w:r>
        <w:rPr>
          <w:color w:val="231F20"/>
        </w:rPr>
        <w:t>and</w:t>
      </w:r>
      <w:r>
        <w:rPr>
          <w:color w:val="231F20"/>
          <w:spacing w:val="-5"/>
        </w:rPr>
        <w:t> Torres</w:t>
      </w:r>
      <w:r>
        <w:rPr>
          <w:color w:val="231F20"/>
          <w:spacing w:val="-3"/>
        </w:rPr>
        <w:t> </w:t>
      </w:r>
      <w:r>
        <w:rPr>
          <w:color w:val="231F20"/>
          <w:spacing w:val="-2"/>
        </w:rPr>
        <w:t>Strait</w:t>
      </w:r>
      <w:r>
        <w:rPr>
          <w:color w:val="231F20"/>
          <w:spacing w:val="29"/>
          <w:w w:val="99"/>
        </w:rPr>
        <w:t> </w:t>
      </w:r>
      <w:r>
        <w:rPr>
          <w:color w:val="231F20"/>
          <w:spacing w:val="-1"/>
        </w:rPr>
        <w:t>Islander</w:t>
      </w:r>
      <w:r>
        <w:rPr>
          <w:color w:val="231F20"/>
          <w:spacing w:val="-8"/>
        </w:rPr>
        <w:t> </w:t>
      </w:r>
      <w:r>
        <w:rPr>
          <w:color w:val="231F20"/>
        </w:rPr>
        <w:t>boarding</w:t>
      </w:r>
      <w:r>
        <w:rPr>
          <w:color w:val="231F20"/>
          <w:spacing w:val="-8"/>
        </w:rPr>
        <w:t> </w:t>
      </w:r>
      <w:r>
        <w:rPr>
          <w:color w:val="231F20"/>
        </w:rPr>
        <w:t>providers</w:t>
      </w:r>
      <w:r>
        <w:rPr>
          <w:color w:val="231F20"/>
          <w:spacing w:val="-8"/>
        </w:rPr>
        <w:t> </w:t>
      </w:r>
      <w:r>
        <w:rPr>
          <w:color w:val="231F20"/>
        </w:rPr>
        <w:t>has</w:t>
      </w:r>
      <w:r>
        <w:rPr>
          <w:color w:val="231F20"/>
          <w:spacing w:val="-9"/>
        </w:rPr>
        <w:t> </w:t>
      </w:r>
      <w:r>
        <w:rPr>
          <w:color w:val="231F20"/>
        </w:rPr>
        <w:t>been</w:t>
      </w:r>
      <w:r>
        <w:rPr>
          <w:color w:val="231F20"/>
          <w:spacing w:val="-8"/>
        </w:rPr>
        <w:t> </w:t>
      </w:r>
      <w:r>
        <w:rPr>
          <w:color w:val="231F20"/>
        </w:rPr>
        <w:t>compared</w:t>
      </w:r>
      <w:r>
        <w:rPr>
          <w:color w:val="231F20"/>
          <w:spacing w:val="22"/>
          <w:w w:val="99"/>
        </w:rPr>
        <w:t> </w:t>
      </w:r>
      <w:r>
        <w:rPr>
          <w:color w:val="231F20"/>
        </w:rPr>
        <w:t>against</w:t>
      </w:r>
      <w:r>
        <w:rPr>
          <w:color w:val="231F20"/>
          <w:spacing w:val="-4"/>
        </w:rPr>
        <w:t> </w:t>
      </w:r>
      <w:r>
        <w:rPr>
          <w:color w:val="231F20"/>
          <w:spacing w:val="-1"/>
        </w:rPr>
        <w:t>similar</w:t>
      </w:r>
      <w:r>
        <w:rPr>
          <w:color w:val="231F20"/>
          <w:spacing w:val="-3"/>
        </w:rPr>
        <w:t> </w:t>
      </w:r>
      <w:r>
        <w:rPr>
          <w:color w:val="231F20"/>
        </w:rPr>
        <w:t>data</w:t>
      </w:r>
      <w:r>
        <w:rPr>
          <w:color w:val="231F20"/>
          <w:spacing w:val="-3"/>
        </w:rPr>
        <w:t> </w:t>
      </w:r>
      <w:r>
        <w:rPr>
          <w:color w:val="231F20"/>
        </w:rPr>
        <w:t>for</w:t>
      </w:r>
      <w:r>
        <w:rPr>
          <w:color w:val="231F20"/>
          <w:spacing w:val="-3"/>
        </w:rPr>
        <w:t> </w:t>
      </w:r>
      <w:r>
        <w:rPr>
          <w:color w:val="231F20"/>
          <w:spacing w:val="-1"/>
        </w:rPr>
        <w:t>23</w:t>
      </w:r>
      <w:r>
        <w:rPr>
          <w:color w:val="231F20"/>
          <w:spacing w:val="-2"/>
        </w:rPr>
        <w:t> </w:t>
      </w:r>
      <w:r>
        <w:rPr>
          <w:color w:val="231F20"/>
          <w:spacing w:val="-1"/>
        </w:rPr>
        <w:t>mainstream</w:t>
      </w:r>
      <w:r>
        <w:rPr>
          <w:color w:val="231F20"/>
          <w:spacing w:val="-1"/>
        </w:rPr>
        <w:t> </w:t>
      </w:r>
      <w:r>
        <w:rPr>
          <w:color w:val="231F20"/>
          <w:spacing w:val="22"/>
        </w:rPr>
        <w:t> </w:t>
      </w:r>
      <w:r>
        <w:rPr>
          <w:color w:val="231F20"/>
        </w:rPr>
        <w:t>boarding</w:t>
      </w:r>
      <w:r>
        <w:rPr>
          <w:color w:val="231F20"/>
          <w:spacing w:val="-10"/>
        </w:rPr>
        <w:t> </w:t>
      </w:r>
      <w:r>
        <w:rPr>
          <w:color w:val="231F20"/>
        </w:rPr>
        <w:t>providers</w:t>
      </w:r>
      <w:r>
        <w:rPr>
          <w:color w:val="231F20"/>
          <w:spacing w:val="-9"/>
        </w:rPr>
        <w:t> </w:t>
      </w:r>
      <w:r>
        <w:rPr>
          <w:color w:val="231F20"/>
          <w:spacing w:val="-1"/>
        </w:rPr>
        <w:t>located</w:t>
      </w:r>
      <w:r>
        <w:rPr>
          <w:color w:val="231F20"/>
          <w:spacing w:val="-8"/>
        </w:rPr>
        <w:t> </w:t>
      </w:r>
      <w:r>
        <w:rPr>
          <w:color w:val="231F20"/>
          <w:spacing w:val="-1"/>
        </w:rPr>
        <w:t>in</w:t>
      </w:r>
      <w:r>
        <w:rPr>
          <w:color w:val="231F20"/>
          <w:spacing w:val="-9"/>
        </w:rPr>
        <w:t> </w:t>
      </w:r>
      <w:r>
        <w:rPr>
          <w:color w:val="231F20"/>
        </w:rPr>
        <w:t>Queensland</w:t>
      </w:r>
      <w:r>
        <w:rPr/>
      </w:r>
    </w:p>
    <w:p>
      <w:pPr>
        <w:pStyle w:val="BodyText"/>
        <w:spacing w:line="250" w:lineRule="exact"/>
        <w:ind w:left="160" w:right="159"/>
        <w:jc w:val="left"/>
      </w:pPr>
      <w:r>
        <w:rPr>
          <w:color w:val="231F20"/>
        </w:rPr>
        <w:t>(10),</w:t>
      </w:r>
      <w:r>
        <w:rPr>
          <w:color w:val="231F20"/>
          <w:spacing w:val="-6"/>
        </w:rPr>
        <w:t> </w:t>
      </w:r>
      <w:r>
        <w:rPr>
          <w:color w:val="231F20"/>
        </w:rPr>
        <w:t>New</w:t>
      </w:r>
      <w:r>
        <w:rPr>
          <w:color w:val="231F20"/>
          <w:spacing w:val="-4"/>
        </w:rPr>
        <w:t> </w:t>
      </w:r>
      <w:r>
        <w:rPr>
          <w:color w:val="231F20"/>
          <w:spacing w:val="-1"/>
        </w:rPr>
        <w:t>South</w:t>
      </w:r>
      <w:r>
        <w:rPr>
          <w:color w:val="231F20"/>
          <w:spacing w:val="-5"/>
        </w:rPr>
        <w:t> </w:t>
      </w:r>
      <w:r>
        <w:rPr>
          <w:color w:val="231F20"/>
          <w:spacing w:val="-2"/>
        </w:rPr>
        <w:t>Wales</w:t>
      </w:r>
      <w:r>
        <w:rPr>
          <w:color w:val="231F20"/>
          <w:spacing w:val="-5"/>
        </w:rPr>
        <w:t> </w:t>
      </w:r>
      <w:r>
        <w:rPr>
          <w:color w:val="231F20"/>
        </w:rPr>
        <w:t>(4),</w:t>
      </w:r>
      <w:r>
        <w:rPr>
          <w:color w:val="231F20"/>
          <w:spacing w:val="-6"/>
        </w:rPr>
        <w:t> </w:t>
      </w:r>
      <w:r>
        <w:rPr>
          <w:color w:val="231F20"/>
          <w:spacing w:val="-1"/>
        </w:rPr>
        <w:t>South</w:t>
      </w:r>
      <w:r>
        <w:rPr>
          <w:color w:val="231F20"/>
          <w:spacing w:val="-4"/>
        </w:rPr>
        <w:t> </w:t>
      </w:r>
      <w:r>
        <w:rPr>
          <w:color w:val="231F20"/>
        </w:rPr>
        <w:t>Australia</w:t>
      </w:r>
      <w:r>
        <w:rPr>
          <w:color w:val="231F20"/>
          <w:spacing w:val="-5"/>
        </w:rPr>
        <w:t> </w:t>
      </w:r>
      <w:r>
        <w:rPr>
          <w:color w:val="231F20"/>
        </w:rPr>
        <w:t>(3),</w:t>
      </w:r>
      <w:r>
        <w:rPr>
          <w:color w:val="231F20"/>
          <w:spacing w:val="24"/>
          <w:w w:val="99"/>
        </w:rPr>
        <w:t> </w:t>
      </w:r>
      <w:r>
        <w:rPr>
          <w:color w:val="231F20"/>
          <w:spacing w:val="-3"/>
        </w:rPr>
        <w:t>Tasmania</w:t>
      </w:r>
      <w:r>
        <w:rPr>
          <w:color w:val="231F20"/>
          <w:spacing w:val="-6"/>
        </w:rPr>
        <w:t> </w:t>
      </w:r>
      <w:r>
        <w:rPr>
          <w:color w:val="231F20"/>
        </w:rPr>
        <w:t>(1),</w:t>
      </w:r>
      <w:r>
        <w:rPr>
          <w:color w:val="231F20"/>
          <w:spacing w:val="-6"/>
        </w:rPr>
        <w:t> </w:t>
      </w:r>
      <w:r>
        <w:rPr>
          <w:color w:val="231F20"/>
          <w:spacing w:val="-2"/>
        </w:rPr>
        <w:t>Western</w:t>
      </w:r>
      <w:r>
        <w:rPr>
          <w:color w:val="231F20"/>
          <w:spacing w:val="-6"/>
        </w:rPr>
        <w:t> </w:t>
      </w:r>
      <w:r>
        <w:rPr>
          <w:color w:val="231F20"/>
        </w:rPr>
        <w:t>Australia</w:t>
      </w:r>
      <w:r>
        <w:rPr>
          <w:color w:val="231F20"/>
          <w:spacing w:val="-5"/>
        </w:rPr>
        <w:t> </w:t>
      </w:r>
      <w:r>
        <w:rPr>
          <w:color w:val="231F20"/>
        </w:rPr>
        <w:t>(3)</w:t>
      </w:r>
      <w:r>
        <w:rPr>
          <w:color w:val="231F20"/>
          <w:spacing w:val="-6"/>
        </w:rPr>
        <w:t> </w:t>
      </w:r>
      <w:r>
        <w:rPr>
          <w:color w:val="231F20"/>
        </w:rPr>
        <w:t>and</w:t>
      </w:r>
      <w:r>
        <w:rPr>
          <w:color w:val="231F20"/>
          <w:spacing w:val="-6"/>
        </w:rPr>
        <w:t> </w:t>
      </w:r>
      <w:r>
        <w:rPr>
          <w:color w:val="231F20"/>
          <w:spacing w:val="-1"/>
        </w:rPr>
        <w:t>Victoria</w:t>
      </w:r>
      <w:r>
        <w:rPr/>
      </w:r>
    </w:p>
    <w:p>
      <w:pPr>
        <w:pStyle w:val="BodyText"/>
        <w:numPr>
          <w:ilvl w:val="0"/>
          <w:numId w:val="2"/>
        </w:numPr>
        <w:tabs>
          <w:tab w:pos="445" w:val="left" w:leader="none"/>
        </w:tabs>
        <w:spacing w:line="250" w:lineRule="exact" w:before="0" w:after="0"/>
        <w:ind w:left="160" w:right="159" w:firstLine="0"/>
        <w:jc w:val="left"/>
      </w:pPr>
      <w:r>
        <w:rPr>
          <w:color w:val="231F20"/>
        </w:rPr>
        <w:t>(mainstream</w:t>
      </w:r>
      <w:r>
        <w:rPr>
          <w:color w:val="231F20"/>
          <w:spacing w:val="-12"/>
        </w:rPr>
        <w:t> </w:t>
      </w:r>
      <w:r>
        <w:rPr>
          <w:color w:val="231F20"/>
        </w:rPr>
        <w:t>boarding</w:t>
      </w:r>
      <w:r>
        <w:rPr>
          <w:color w:val="231F20"/>
          <w:spacing w:val="-11"/>
        </w:rPr>
        <w:t> </w:t>
      </w:r>
      <w:r>
        <w:rPr>
          <w:color w:val="231F20"/>
        </w:rPr>
        <w:t>providers).</w:t>
      </w:r>
      <w:r>
        <w:rPr>
          <w:color w:val="231F20"/>
          <w:spacing w:val="-12"/>
        </w:rPr>
        <w:t> </w:t>
      </w:r>
      <w:r>
        <w:rPr>
          <w:color w:val="231F20"/>
        </w:rPr>
        <w:t>The</w:t>
      </w:r>
      <w:r>
        <w:rPr>
          <w:color w:val="231F20"/>
          <w:w w:val="99"/>
        </w:rPr>
        <w:t> </w:t>
      </w:r>
      <w:r>
        <w:rPr>
          <w:color w:val="231F20"/>
          <w:spacing w:val="-1"/>
        </w:rPr>
        <w:t>mainstream</w:t>
      </w:r>
      <w:r>
        <w:rPr>
          <w:color w:val="231F20"/>
          <w:spacing w:val="-7"/>
        </w:rPr>
        <w:t> </w:t>
      </w:r>
      <w:r>
        <w:rPr>
          <w:color w:val="231F20"/>
        </w:rPr>
        <w:t>boarding</w:t>
      </w:r>
      <w:r>
        <w:rPr>
          <w:color w:val="231F20"/>
          <w:spacing w:val="-8"/>
        </w:rPr>
        <w:t> </w:t>
      </w:r>
      <w:r>
        <w:rPr>
          <w:color w:val="231F20"/>
        </w:rPr>
        <w:t>providers</w:t>
      </w:r>
      <w:r>
        <w:rPr>
          <w:color w:val="231F20"/>
          <w:spacing w:val="-9"/>
        </w:rPr>
        <w:t> </w:t>
      </w:r>
      <w:r>
        <w:rPr>
          <w:color w:val="231F20"/>
        </w:rPr>
        <w:t>have</w:t>
      </w:r>
      <w:r>
        <w:rPr>
          <w:color w:val="231F20"/>
          <w:spacing w:val="-8"/>
        </w:rPr>
        <w:t> </w:t>
      </w:r>
      <w:r>
        <w:rPr>
          <w:color w:val="231F20"/>
        </w:rPr>
        <w:t>Aboriginal</w:t>
      </w:r>
      <w:r>
        <w:rPr>
          <w:color w:val="231F20"/>
          <w:spacing w:val="22"/>
          <w:w w:val="99"/>
        </w:rPr>
        <w:t> </w:t>
      </w:r>
      <w:r>
        <w:rPr>
          <w:color w:val="231F20"/>
        </w:rPr>
        <w:t>and</w:t>
      </w:r>
      <w:r>
        <w:rPr>
          <w:color w:val="231F20"/>
          <w:spacing w:val="-8"/>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spacing w:val="-1"/>
        </w:rPr>
        <w:t>student</w:t>
      </w:r>
      <w:r>
        <w:rPr>
          <w:color w:val="231F20"/>
          <w:spacing w:val="-6"/>
        </w:rPr>
        <w:t> </w:t>
      </w:r>
      <w:r>
        <w:rPr>
          <w:color w:val="231F20"/>
        </w:rPr>
        <w:t>populations</w:t>
      </w:r>
      <w:r>
        <w:rPr>
          <w:color w:val="231F20"/>
          <w:spacing w:val="23"/>
          <w:w w:val="99"/>
        </w:rPr>
        <w:t> </w:t>
      </w:r>
      <w:r>
        <w:rPr>
          <w:color w:val="231F20"/>
        </w:rPr>
        <w:t>ranging</w:t>
      </w:r>
      <w:r>
        <w:rPr>
          <w:color w:val="231F20"/>
          <w:spacing w:val="-5"/>
        </w:rPr>
        <w:t> </w:t>
      </w:r>
      <w:r>
        <w:rPr>
          <w:color w:val="231F20"/>
        </w:rPr>
        <w:t>from</w:t>
      </w:r>
      <w:r>
        <w:rPr>
          <w:color w:val="231F20"/>
          <w:spacing w:val="-3"/>
        </w:rPr>
        <w:t> </w:t>
      </w:r>
      <w:r>
        <w:rPr>
          <w:color w:val="231F20"/>
        </w:rPr>
        <w:t>one</w:t>
      </w:r>
      <w:r>
        <w:rPr>
          <w:color w:val="231F20"/>
          <w:spacing w:val="-3"/>
        </w:rPr>
        <w:t> </w:t>
      </w:r>
      <w:r>
        <w:rPr>
          <w:color w:val="231F20"/>
        </w:rPr>
        <w:t>to</w:t>
      </w:r>
      <w:r>
        <w:rPr>
          <w:color w:val="231F20"/>
          <w:spacing w:val="-3"/>
        </w:rPr>
        <w:t> </w:t>
      </w:r>
      <w:r>
        <w:rPr>
          <w:color w:val="231F20"/>
          <w:spacing w:val="-1"/>
        </w:rPr>
        <w:t>16</w:t>
      </w:r>
      <w:r>
        <w:rPr>
          <w:color w:val="231F20"/>
          <w:spacing w:val="-4"/>
        </w:rPr>
        <w:t> </w:t>
      </w:r>
      <w:r>
        <w:rPr>
          <w:color w:val="231F20"/>
        </w:rPr>
        <w:t>per</w:t>
      </w:r>
      <w:r>
        <w:rPr>
          <w:color w:val="231F20"/>
          <w:spacing w:val="-3"/>
        </w:rPr>
        <w:t> </w:t>
      </w:r>
      <w:r>
        <w:rPr>
          <w:color w:val="231F20"/>
        </w:rPr>
        <w:t>cent</w:t>
      </w:r>
      <w:r>
        <w:rPr>
          <w:color w:val="231F20"/>
          <w:spacing w:val="-4"/>
        </w:rPr>
        <w:t> </w:t>
      </w:r>
      <w:r>
        <w:rPr>
          <w:color w:val="231F20"/>
        </w:rPr>
        <w:t>and</w:t>
      </w:r>
      <w:r>
        <w:rPr>
          <w:color w:val="231F20"/>
          <w:spacing w:val="-4"/>
        </w:rPr>
        <w:t> </w:t>
      </w:r>
      <w:r>
        <w:rPr>
          <w:color w:val="231F20"/>
        </w:rPr>
        <w:t>all</w:t>
      </w:r>
      <w:r>
        <w:rPr>
          <w:color w:val="231F20"/>
          <w:spacing w:val="-5"/>
        </w:rPr>
        <w:t> </w:t>
      </w:r>
      <w:r>
        <w:rPr>
          <w:color w:val="231F20"/>
        </w:rPr>
        <w:t>are</w:t>
      </w:r>
      <w:r>
        <w:rPr>
          <w:color w:val="231F20"/>
          <w:spacing w:val="21"/>
          <w:w w:val="99"/>
        </w:rPr>
        <w:t> </w:t>
      </w:r>
      <w:r>
        <w:rPr>
          <w:rFonts w:ascii="Segoe UI"/>
          <w:color w:val="231F20"/>
        </w:rPr>
        <w:t>classified as medium sized (between 226 and</w:t>
      </w:r>
      <w:r>
        <w:rPr>
          <w:rFonts w:ascii="Segoe UI"/>
          <w:color w:val="231F20"/>
        </w:rPr>
        <w:t> </w:t>
      </w:r>
      <w:r>
        <w:rPr>
          <w:color w:val="231F20"/>
          <w:spacing w:val="-1"/>
        </w:rPr>
        <w:t>600</w:t>
      </w:r>
      <w:r>
        <w:rPr>
          <w:color w:val="231F20"/>
          <w:spacing w:val="-4"/>
        </w:rPr>
        <w:t> </w:t>
      </w:r>
      <w:r>
        <w:rPr>
          <w:color w:val="231F20"/>
        </w:rPr>
        <w:t>total</w:t>
      </w:r>
      <w:r>
        <w:rPr>
          <w:color w:val="231F20"/>
          <w:spacing w:val="-4"/>
        </w:rPr>
        <w:t> </w:t>
      </w:r>
      <w:r>
        <w:rPr>
          <w:color w:val="231F20"/>
          <w:spacing w:val="-1"/>
        </w:rPr>
        <w:t>students)</w:t>
      </w:r>
      <w:r>
        <w:rPr>
          <w:color w:val="231F20"/>
          <w:spacing w:val="-3"/>
        </w:rPr>
        <w:t> </w:t>
      </w:r>
      <w:r>
        <w:rPr>
          <w:color w:val="231F20"/>
        </w:rPr>
        <w:t>or</w:t>
      </w:r>
      <w:r>
        <w:rPr>
          <w:color w:val="231F20"/>
          <w:spacing w:val="-3"/>
        </w:rPr>
        <w:t> </w:t>
      </w:r>
      <w:r>
        <w:rPr>
          <w:color w:val="231F20"/>
          <w:spacing w:val="-1"/>
        </w:rPr>
        <w:t>large</w:t>
      </w:r>
      <w:r>
        <w:rPr>
          <w:color w:val="231F20"/>
          <w:spacing w:val="-3"/>
        </w:rPr>
        <w:t> </w:t>
      </w:r>
      <w:r>
        <w:rPr>
          <w:color w:val="231F20"/>
          <w:spacing w:val="-1"/>
        </w:rPr>
        <w:t>sized</w:t>
      </w:r>
      <w:r>
        <w:rPr>
          <w:color w:val="231F20"/>
          <w:spacing w:val="-4"/>
        </w:rPr>
        <w:t> </w:t>
      </w:r>
      <w:r>
        <w:rPr>
          <w:color w:val="231F20"/>
        </w:rPr>
        <w:t>(over</w:t>
      </w:r>
      <w:r>
        <w:rPr>
          <w:color w:val="231F20"/>
          <w:spacing w:val="-4"/>
        </w:rPr>
        <w:t> </w:t>
      </w:r>
      <w:r>
        <w:rPr>
          <w:color w:val="231F20"/>
          <w:spacing w:val="-1"/>
        </w:rPr>
        <w:t>600</w:t>
      </w:r>
      <w:r>
        <w:rPr>
          <w:color w:val="231F20"/>
          <w:spacing w:val="-3"/>
        </w:rPr>
        <w:t> </w:t>
      </w:r>
      <w:r>
        <w:rPr>
          <w:color w:val="231F20"/>
        </w:rPr>
        <w:t>total</w:t>
      </w:r>
      <w:r>
        <w:rPr>
          <w:color w:val="231F20"/>
          <w:spacing w:val="26"/>
          <w:w w:val="99"/>
        </w:rPr>
        <w:t> </w:t>
      </w:r>
      <w:r>
        <w:rPr>
          <w:color w:val="231F20"/>
          <w:spacing w:val="-1"/>
        </w:rPr>
        <w:t>students).</w:t>
      </w:r>
      <w:r>
        <w:rPr/>
      </w:r>
    </w:p>
    <w:p>
      <w:pPr>
        <w:spacing w:after="0" w:line="250" w:lineRule="exact"/>
        <w:jc w:val="left"/>
        <w:sectPr>
          <w:type w:val="continuous"/>
          <w:pgSz w:w="11910" w:h="16840"/>
          <w:pgMar w:top="1580" w:bottom="280" w:left="1540" w:right="1280"/>
          <w:cols w:num="2" w:equalWidth="0">
            <w:col w:w="4411" w:space="124"/>
            <w:col w:w="4555"/>
          </w:cols>
        </w:sect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5"/>
        <w:rPr>
          <w:rFonts w:ascii="Segoe UI" w:hAnsi="Segoe UI" w:cs="Segoe UI" w:eastAsia="Segoe UI"/>
          <w:sz w:val="10"/>
          <w:szCs w:val="10"/>
        </w:rPr>
      </w:pPr>
    </w:p>
    <w:p>
      <w:pPr>
        <w:spacing w:line="200" w:lineRule="atLeast"/>
        <w:ind w:left="115" w:right="0" w:firstLine="0"/>
        <w:rPr>
          <w:rFonts w:ascii="Segoe UI" w:hAnsi="Segoe UI" w:cs="Segoe UI" w:eastAsia="Segoe UI"/>
          <w:sz w:val="20"/>
          <w:szCs w:val="20"/>
        </w:rPr>
      </w:pPr>
      <w:r>
        <w:rPr>
          <w:rFonts w:ascii="Segoe UI" w:hAnsi="Segoe UI" w:cs="Segoe UI" w:eastAsia="Segoe UI"/>
          <w:sz w:val="20"/>
          <w:szCs w:val="20"/>
        </w:rPr>
        <w:drawing>
          <wp:inline distT="0" distB="0" distL="0" distR="0">
            <wp:extent cx="5585039" cy="2828544"/>
            <wp:effectExtent l="0" t="0" r="0" b="0"/>
            <wp:docPr id="3" name="image7.jpeg" descr=""/>
            <wp:cNvGraphicFramePr>
              <a:graphicFrameLocks noChangeAspect="1"/>
            </wp:cNvGraphicFramePr>
            <a:graphic>
              <a:graphicData uri="http://schemas.openxmlformats.org/drawingml/2006/picture">
                <pic:pic>
                  <pic:nvPicPr>
                    <pic:cNvPr id="4" name="image7.jpeg"/>
                    <pic:cNvPicPr/>
                  </pic:nvPicPr>
                  <pic:blipFill>
                    <a:blip r:embed="rId13" cstate="print"/>
                    <a:stretch>
                      <a:fillRect/>
                    </a:stretch>
                  </pic:blipFill>
                  <pic:spPr>
                    <a:xfrm>
                      <a:off x="0" y="0"/>
                      <a:ext cx="5585039" cy="2828544"/>
                    </a:xfrm>
                    <a:prstGeom prst="rect">
                      <a:avLst/>
                    </a:prstGeom>
                  </pic:spPr>
                </pic:pic>
              </a:graphicData>
            </a:graphic>
          </wp:inline>
        </w:drawing>
      </w:r>
      <w:r>
        <w:rPr>
          <w:rFonts w:ascii="Segoe UI" w:hAnsi="Segoe UI" w:cs="Segoe UI" w:eastAsia="Segoe UI"/>
          <w:sz w:val="20"/>
          <w:szCs w:val="20"/>
        </w:rPr>
      </w:r>
    </w:p>
    <w:p>
      <w:pPr>
        <w:spacing w:line="240" w:lineRule="auto" w:before="5"/>
        <w:rPr>
          <w:rFonts w:ascii="Segoe UI" w:hAnsi="Segoe UI" w:cs="Segoe UI" w:eastAsia="Segoe UI"/>
          <w:sz w:val="21"/>
          <w:szCs w:val="21"/>
        </w:rPr>
      </w:pPr>
    </w:p>
    <w:p>
      <w:pPr>
        <w:tabs>
          <w:tab w:pos="823" w:val="left" w:leader="none"/>
        </w:tabs>
        <w:spacing w:line="567" w:lineRule="exact" w:before="0"/>
        <w:ind w:left="257" w:right="0" w:firstLine="0"/>
        <w:jc w:val="left"/>
        <w:rPr>
          <w:rFonts w:ascii="Segoe UI" w:hAnsi="Segoe UI" w:cs="Segoe UI" w:eastAsia="Segoe UI"/>
          <w:sz w:val="44"/>
          <w:szCs w:val="44"/>
        </w:rPr>
      </w:pPr>
      <w:r>
        <w:rPr>
          <w:rFonts w:ascii="Segoe UI"/>
          <w:color w:val="67973F"/>
          <w:sz w:val="44"/>
        </w:rPr>
        <w:t>2.</w:t>
        <w:tab/>
        <w:t>Executive summary and</w:t>
      </w:r>
      <w:r>
        <w:rPr>
          <w:rFonts w:ascii="Segoe UI"/>
          <w:color w:val="67973F"/>
          <w:spacing w:val="-1"/>
          <w:sz w:val="44"/>
        </w:rPr>
        <w:t> </w:t>
      </w:r>
      <w:r>
        <w:rPr>
          <w:rFonts w:ascii="Segoe UI"/>
          <w:color w:val="67973F"/>
          <w:sz w:val="44"/>
        </w:rPr>
        <w:t>key findings</w:t>
      </w:r>
      <w:r>
        <w:rPr>
          <w:rFonts w:ascii="Segoe UI"/>
          <w:sz w:val="44"/>
        </w:rPr>
      </w:r>
    </w:p>
    <w:p>
      <w:pPr>
        <w:spacing w:line="240" w:lineRule="auto" w:before="5"/>
        <w:rPr>
          <w:rFonts w:ascii="Segoe UI" w:hAnsi="Segoe UI" w:cs="Segoe UI" w:eastAsia="Segoe UI"/>
          <w:sz w:val="11"/>
          <w:szCs w:val="11"/>
        </w:rPr>
      </w:pPr>
    </w:p>
    <w:p>
      <w:pPr>
        <w:spacing w:after="0" w:line="240" w:lineRule="auto"/>
        <w:rPr>
          <w:rFonts w:ascii="Segoe UI" w:hAnsi="Segoe UI" w:cs="Segoe UI" w:eastAsia="Segoe UI"/>
          <w:sz w:val="11"/>
          <w:szCs w:val="11"/>
        </w:rPr>
        <w:sectPr>
          <w:pgSz w:w="11910" w:h="16840"/>
          <w:pgMar w:header="0" w:footer="691" w:top="1580" w:bottom="880" w:left="1160" w:right="1640"/>
        </w:sectPr>
      </w:pPr>
    </w:p>
    <w:p>
      <w:pPr>
        <w:spacing w:before="14"/>
        <w:ind w:left="257" w:right="0" w:firstLine="0"/>
        <w:jc w:val="left"/>
        <w:rPr>
          <w:rFonts w:ascii="Segoe UI" w:hAnsi="Segoe UI" w:cs="Segoe UI" w:eastAsia="Segoe UI"/>
          <w:sz w:val="32"/>
          <w:szCs w:val="32"/>
        </w:rPr>
      </w:pPr>
      <w:r>
        <w:rPr>
          <w:rFonts w:ascii="Segoe UI"/>
          <w:b/>
          <w:color w:val="452A70"/>
          <w:spacing w:val="-1"/>
          <w:sz w:val="32"/>
        </w:rPr>
        <w:t>Introduction</w:t>
      </w:r>
      <w:r>
        <w:rPr>
          <w:rFonts w:ascii="Segoe UI"/>
          <w:sz w:val="32"/>
        </w:rPr>
      </w:r>
    </w:p>
    <w:p>
      <w:pPr>
        <w:pStyle w:val="Heading4"/>
        <w:spacing w:line="300" w:lineRule="exact" w:before="121"/>
        <w:ind w:left="257" w:right="131"/>
        <w:jc w:val="left"/>
      </w:pPr>
      <w:r>
        <w:rPr>
          <w:color w:val="666155"/>
        </w:rPr>
        <w:t>Aboriginal</w:t>
      </w:r>
      <w:r>
        <w:rPr>
          <w:color w:val="666155"/>
          <w:spacing w:val="-8"/>
        </w:rPr>
        <w:t> </w:t>
      </w:r>
      <w:r>
        <w:rPr>
          <w:color w:val="666155"/>
        </w:rPr>
        <w:t>and</w:t>
      </w:r>
      <w:r>
        <w:rPr>
          <w:color w:val="666155"/>
          <w:spacing w:val="-8"/>
        </w:rPr>
        <w:t> </w:t>
      </w:r>
      <w:r>
        <w:rPr>
          <w:color w:val="666155"/>
          <w:spacing w:val="-5"/>
        </w:rPr>
        <w:t>Torres</w:t>
      </w:r>
      <w:r>
        <w:rPr>
          <w:color w:val="666155"/>
          <w:spacing w:val="-7"/>
        </w:rPr>
        <w:t> </w:t>
      </w:r>
      <w:r>
        <w:rPr>
          <w:color w:val="666155"/>
          <w:spacing w:val="-2"/>
        </w:rPr>
        <w:t>Strait</w:t>
      </w:r>
      <w:r>
        <w:rPr>
          <w:color w:val="666155"/>
          <w:spacing w:val="-8"/>
        </w:rPr>
        <w:t> </w:t>
      </w:r>
      <w:r>
        <w:rPr>
          <w:color w:val="666155"/>
          <w:spacing w:val="-1"/>
        </w:rPr>
        <w:t>Islander</w:t>
      </w:r>
      <w:r>
        <w:rPr>
          <w:color w:val="666155"/>
          <w:spacing w:val="24"/>
          <w:w w:val="99"/>
        </w:rPr>
        <w:t> </w:t>
      </w:r>
      <w:r>
        <w:rPr>
          <w:color w:val="666155"/>
          <w:spacing w:val="-1"/>
        </w:rPr>
        <w:t>students</w:t>
      </w:r>
      <w:r>
        <w:rPr>
          <w:color w:val="666155"/>
          <w:spacing w:val="-5"/>
        </w:rPr>
        <w:t> </w:t>
      </w:r>
      <w:r>
        <w:rPr>
          <w:color w:val="666155"/>
        </w:rPr>
        <w:t>attend</w:t>
      </w:r>
      <w:r>
        <w:rPr>
          <w:color w:val="666155"/>
          <w:spacing w:val="-7"/>
        </w:rPr>
        <w:t> </w:t>
      </w:r>
      <w:r>
        <w:rPr>
          <w:color w:val="666155"/>
        </w:rPr>
        <w:t>boarding</w:t>
      </w:r>
      <w:r>
        <w:rPr>
          <w:color w:val="666155"/>
          <w:spacing w:val="-7"/>
        </w:rPr>
        <w:t> </w:t>
      </w:r>
      <w:r>
        <w:rPr>
          <w:color w:val="666155"/>
        </w:rPr>
        <w:t>for</w:t>
      </w:r>
      <w:r>
        <w:rPr>
          <w:color w:val="666155"/>
          <w:spacing w:val="-6"/>
        </w:rPr>
        <w:t> </w:t>
      </w:r>
      <w:r>
        <w:rPr>
          <w:color w:val="666155"/>
        </w:rPr>
        <w:t>a</w:t>
      </w:r>
      <w:r>
        <w:rPr>
          <w:color w:val="666155"/>
          <w:spacing w:val="-5"/>
        </w:rPr>
        <w:t> </w:t>
      </w:r>
      <w:r>
        <w:rPr>
          <w:color w:val="666155"/>
        </w:rPr>
        <w:t>number</w:t>
      </w:r>
      <w:r>
        <w:rPr>
          <w:color w:val="666155"/>
          <w:spacing w:val="22"/>
          <w:w w:val="99"/>
        </w:rPr>
        <w:t> </w:t>
      </w:r>
      <w:r>
        <w:rPr>
          <w:color w:val="666155"/>
        </w:rPr>
        <w:t>of</w:t>
      </w:r>
      <w:r>
        <w:rPr>
          <w:color w:val="666155"/>
          <w:spacing w:val="-3"/>
        </w:rPr>
        <w:t> </w:t>
      </w:r>
      <w:r>
        <w:rPr>
          <w:color w:val="666155"/>
        </w:rPr>
        <w:t>reasons,</w:t>
      </w:r>
      <w:r>
        <w:rPr>
          <w:color w:val="666155"/>
          <w:spacing w:val="-5"/>
        </w:rPr>
        <w:t> </w:t>
      </w:r>
      <w:r>
        <w:rPr>
          <w:color w:val="666155"/>
          <w:spacing w:val="-1"/>
        </w:rPr>
        <w:t>such</w:t>
      </w:r>
      <w:r>
        <w:rPr>
          <w:color w:val="666155"/>
          <w:spacing w:val="-2"/>
        </w:rPr>
        <w:t> </w:t>
      </w:r>
      <w:r>
        <w:rPr>
          <w:color w:val="666155"/>
        </w:rPr>
        <w:t>as</w:t>
      </w:r>
      <w:r>
        <w:rPr>
          <w:color w:val="666155"/>
          <w:spacing w:val="-4"/>
        </w:rPr>
        <w:t> </w:t>
      </w:r>
      <w:r>
        <w:rPr>
          <w:color w:val="666155"/>
        </w:rPr>
        <w:t>a</w:t>
      </w:r>
      <w:r>
        <w:rPr>
          <w:color w:val="666155"/>
          <w:spacing w:val="-2"/>
        </w:rPr>
        <w:t> </w:t>
      </w:r>
      <w:r>
        <w:rPr>
          <w:color w:val="666155"/>
          <w:spacing w:val="-1"/>
        </w:rPr>
        <w:t>lack</w:t>
      </w:r>
      <w:r>
        <w:rPr>
          <w:color w:val="666155"/>
          <w:spacing w:val="-3"/>
        </w:rPr>
        <w:t> </w:t>
      </w:r>
      <w:r>
        <w:rPr>
          <w:color w:val="666155"/>
        </w:rPr>
        <w:t>of</w:t>
      </w:r>
      <w:r>
        <w:rPr>
          <w:color w:val="666155"/>
          <w:spacing w:val="-3"/>
        </w:rPr>
        <w:t> </w:t>
      </w:r>
      <w:r>
        <w:rPr>
          <w:color w:val="666155"/>
        </w:rPr>
        <w:t>access</w:t>
      </w:r>
      <w:r>
        <w:rPr/>
      </w:r>
    </w:p>
    <w:p>
      <w:pPr>
        <w:pStyle w:val="Heading4"/>
        <w:spacing w:line="300" w:lineRule="exact"/>
        <w:ind w:left="257" w:right="295"/>
        <w:jc w:val="left"/>
      </w:pPr>
      <w:r>
        <w:rPr>
          <w:color w:val="666155"/>
        </w:rPr>
        <w:t>to</w:t>
      </w:r>
      <w:r>
        <w:rPr>
          <w:color w:val="666155"/>
          <w:spacing w:val="-4"/>
        </w:rPr>
        <w:t> </w:t>
      </w:r>
      <w:r>
        <w:rPr>
          <w:color w:val="666155"/>
          <w:spacing w:val="-1"/>
        </w:rPr>
        <w:t>secondary</w:t>
      </w:r>
      <w:r>
        <w:rPr>
          <w:color w:val="666155"/>
          <w:spacing w:val="-3"/>
        </w:rPr>
        <w:t> </w:t>
      </w:r>
      <w:r>
        <w:rPr>
          <w:color w:val="666155"/>
          <w:spacing w:val="-1"/>
        </w:rPr>
        <w:t>schooling</w:t>
      </w:r>
      <w:r>
        <w:rPr>
          <w:color w:val="666155"/>
          <w:spacing w:val="-2"/>
        </w:rPr>
        <w:t> </w:t>
      </w:r>
      <w:r>
        <w:rPr>
          <w:color w:val="666155"/>
          <w:spacing w:val="-1"/>
        </w:rPr>
        <w:t>in</w:t>
      </w:r>
      <w:r>
        <w:rPr>
          <w:color w:val="666155"/>
          <w:spacing w:val="-4"/>
        </w:rPr>
        <w:t> </w:t>
      </w:r>
      <w:r>
        <w:rPr>
          <w:color w:val="666155"/>
        </w:rPr>
        <w:t>their</w:t>
      </w:r>
      <w:r>
        <w:rPr>
          <w:color w:val="666155"/>
          <w:spacing w:val="-4"/>
        </w:rPr>
        <w:t> </w:t>
      </w:r>
      <w:r>
        <w:rPr>
          <w:color w:val="666155"/>
        </w:rPr>
        <w:t>home</w:t>
      </w:r>
      <w:r>
        <w:rPr>
          <w:color w:val="666155"/>
          <w:spacing w:val="24"/>
        </w:rPr>
        <w:t> </w:t>
      </w:r>
      <w:r>
        <w:rPr>
          <w:color w:val="666155"/>
        </w:rPr>
        <w:t>community,</w:t>
      </w:r>
      <w:r>
        <w:rPr>
          <w:color w:val="666155"/>
          <w:spacing w:val="-4"/>
        </w:rPr>
        <w:t> </w:t>
      </w:r>
      <w:r>
        <w:rPr>
          <w:color w:val="666155"/>
        </w:rPr>
        <w:t>to</w:t>
      </w:r>
      <w:r>
        <w:rPr>
          <w:color w:val="666155"/>
          <w:spacing w:val="-2"/>
        </w:rPr>
        <w:t> </w:t>
      </w:r>
      <w:r>
        <w:rPr>
          <w:color w:val="666155"/>
        </w:rPr>
        <w:t>take</w:t>
      </w:r>
      <w:r>
        <w:rPr>
          <w:color w:val="666155"/>
          <w:spacing w:val="-3"/>
        </w:rPr>
        <w:t> </w:t>
      </w:r>
      <w:r>
        <w:rPr>
          <w:color w:val="666155"/>
        </w:rPr>
        <w:t>up</w:t>
      </w:r>
      <w:r>
        <w:rPr>
          <w:color w:val="666155"/>
          <w:spacing w:val="-2"/>
        </w:rPr>
        <w:t> </w:t>
      </w:r>
      <w:r>
        <w:rPr>
          <w:color w:val="666155"/>
        </w:rPr>
        <w:t>a</w:t>
      </w:r>
      <w:r>
        <w:rPr>
          <w:color w:val="666155"/>
          <w:spacing w:val="-2"/>
        </w:rPr>
        <w:t> </w:t>
      </w:r>
      <w:r>
        <w:rPr>
          <w:color w:val="666155"/>
          <w:spacing w:val="-1"/>
        </w:rPr>
        <w:t>scholarship</w:t>
      </w:r>
      <w:r>
        <w:rPr>
          <w:color w:val="666155"/>
          <w:spacing w:val="20"/>
        </w:rPr>
        <w:t> </w:t>
      </w:r>
      <w:r>
        <w:rPr>
          <w:rFonts w:ascii="Segoe UI"/>
          <w:color w:val="666155"/>
        </w:rPr>
        <w:t>opportunity, access specific courses</w:t>
      </w:r>
      <w:r>
        <w:rPr>
          <w:rFonts w:ascii="Segoe UI"/>
          <w:color w:val="666155"/>
        </w:rPr>
        <w:t> </w:t>
      </w:r>
      <w:r>
        <w:rPr>
          <w:color w:val="666155"/>
        </w:rPr>
        <w:t>of</w:t>
      </w:r>
      <w:r>
        <w:rPr>
          <w:color w:val="666155"/>
          <w:spacing w:val="-5"/>
        </w:rPr>
        <w:t> </w:t>
      </w:r>
      <w:r>
        <w:rPr>
          <w:color w:val="666155"/>
          <w:spacing w:val="-1"/>
        </w:rPr>
        <w:t>study,</w:t>
      </w:r>
      <w:r>
        <w:rPr>
          <w:color w:val="666155"/>
          <w:spacing w:val="-5"/>
        </w:rPr>
        <w:t> </w:t>
      </w:r>
      <w:r>
        <w:rPr>
          <w:color w:val="666155"/>
        </w:rPr>
        <w:t>avoid</w:t>
      </w:r>
      <w:r>
        <w:rPr>
          <w:color w:val="666155"/>
          <w:spacing w:val="-5"/>
        </w:rPr>
        <w:t> </w:t>
      </w:r>
      <w:r>
        <w:rPr>
          <w:color w:val="666155"/>
        </w:rPr>
        <w:t>community</w:t>
      </w:r>
      <w:r>
        <w:rPr>
          <w:color w:val="666155"/>
          <w:spacing w:val="-6"/>
        </w:rPr>
        <w:t> </w:t>
      </w:r>
      <w:r>
        <w:rPr>
          <w:color w:val="666155"/>
        </w:rPr>
        <w:t>unrest</w:t>
      </w:r>
      <w:r>
        <w:rPr>
          <w:color w:val="666155"/>
          <w:spacing w:val="-6"/>
        </w:rPr>
        <w:t> </w:t>
      </w:r>
      <w:r>
        <w:rPr>
          <w:color w:val="666155"/>
        </w:rPr>
        <w:t>or</w:t>
      </w:r>
      <w:r>
        <w:rPr>
          <w:color w:val="666155"/>
          <w:spacing w:val="21"/>
          <w:w w:val="99"/>
        </w:rPr>
        <w:t> </w:t>
      </w:r>
      <w:r>
        <w:rPr>
          <w:color w:val="666155"/>
        </w:rPr>
        <w:t>domestic</w:t>
      </w:r>
      <w:r>
        <w:rPr>
          <w:color w:val="666155"/>
          <w:spacing w:val="-6"/>
        </w:rPr>
        <w:t> </w:t>
      </w:r>
      <w:r>
        <w:rPr>
          <w:color w:val="666155"/>
          <w:spacing w:val="-1"/>
        </w:rPr>
        <w:t>issues,</w:t>
      </w:r>
      <w:r>
        <w:rPr>
          <w:color w:val="666155"/>
          <w:spacing w:val="-5"/>
        </w:rPr>
        <w:t> </w:t>
      </w:r>
      <w:r>
        <w:rPr>
          <w:color w:val="666155"/>
        </w:rPr>
        <w:t>referrals</w:t>
      </w:r>
      <w:r>
        <w:rPr>
          <w:color w:val="666155"/>
          <w:spacing w:val="-6"/>
        </w:rPr>
        <w:t> </w:t>
      </w:r>
      <w:r>
        <w:rPr>
          <w:color w:val="666155"/>
        </w:rPr>
        <w:t>by</w:t>
      </w:r>
      <w:r>
        <w:rPr>
          <w:color w:val="666155"/>
          <w:spacing w:val="-5"/>
        </w:rPr>
        <w:t> </w:t>
      </w:r>
      <w:r>
        <w:rPr>
          <w:color w:val="666155"/>
        </w:rPr>
        <w:t>courts,</w:t>
      </w:r>
      <w:r>
        <w:rPr>
          <w:color w:val="666155"/>
          <w:spacing w:val="22"/>
          <w:w w:val="99"/>
        </w:rPr>
        <w:t> </w:t>
      </w:r>
      <w:r>
        <w:rPr>
          <w:color w:val="666155"/>
        </w:rPr>
        <w:t>youth</w:t>
      </w:r>
      <w:r>
        <w:rPr>
          <w:color w:val="666155"/>
          <w:spacing w:val="-13"/>
        </w:rPr>
        <w:t> </w:t>
      </w:r>
      <w:r>
        <w:rPr>
          <w:color w:val="666155"/>
          <w:spacing w:val="-1"/>
        </w:rPr>
        <w:t>service</w:t>
      </w:r>
      <w:r>
        <w:rPr>
          <w:color w:val="666155"/>
          <w:spacing w:val="-11"/>
        </w:rPr>
        <w:t> </w:t>
      </w:r>
      <w:r>
        <w:rPr>
          <w:color w:val="666155"/>
        </w:rPr>
        <w:t>providers,</w:t>
      </w:r>
      <w:r>
        <w:rPr>
          <w:color w:val="666155"/>
          <w:spacing w:val="-12"/>
        </w:rPr>
        <w:t> </w:t>
      </w:r>
      <w:r>
        <w:rPr>
          <w:color w:val="666155"/>
        </w:rPr>
        <w:t>churches,</w:t>
      </w:r>
      <w:r>
        <w:rPr>
          <w:color w:val="666155"/>
          <w:spacing w:val="22"/>
          <w:w w:val="99"/>
        </w:rPr>
        <w:t> </w:t>
      </w:r>
      <w:r>
        <w:rPr>
          <w:color w:val="666155"/>
        </w:rPr>
        <w:t>councils,</w:t>
      </w:r>
      <w:r>
        <w:rPr>
          <w:color w:val="666155"/>
          <w:spacing w:val="-6"/>
        </w:rPr>
        <w:t> </w:t>
      </w:r>
      <w:r>
        <w:rPr>
          <w:color w:val="666155"/>
        </w:rPr>
        <w:t>other</w:t>
      </w:r>
      <w:r>
        <w:rPr>
          <w:color w:val="666155"/>
          <w:spacing w:val="-4"/>
        </w:rPr>
        <w:t> </w:t>
      </w:r>
      <w:r>
        <w:rPr>
          <w:color w:val="666155"/>
          <w:spacing w:val="-1"/>
        </w:rPr>
        <w:t>schools</w:t>
      </w:r>
      <w:r>
        <w:rPr>
          <w:color w:val="666155"/>
          <w:spacing w:val="-5"/>
        </w:rPr>
        <w:t> </w:t>
      </w:r>
      <w:r>
        <w:rPr>
          <w:color w:val="666155"/>
        </w:rPr>
        <w:t>or</w:t>
      </w:r>
      <w:r>
        <w:rPr>
          <w:color w:val="666155"/>
          <w:spacing w:val="-4"/>
        </w:rPr>
        <w:t> </w:t>
      </w:r>
      <w:r>
        <w:rPr>
          <w:color w:val="666155"/>
        </w:rPr>
        <w:t>transition</w:t>
      </w:r>
      <w:r>
        <w:rPr/>
      </w:r>
    </w:p>
    <w:p>
      <w:pPr>
        <w:pStyle w:val="Heading4"/>
        <w:spacing w:line="300" w:lineRule="exact"/>
        <w:ind w:left="257" w:right="0"/>
        <w:jc w:val="both"/>
      </w:pPr>
      <w:r>
        <w:rPr>
          <w:color w:val="666155"/>
          <w:spacing w:val="-1"/>
        </w:rPr>
        <w:t>support</w:t>
      </w:r>
      <w:r>
        <w:rPr>
          <w:color w:val="666155"/>
          <w:spacing w:val="-4"/>
        </w:rPr>
        <w:t> </w:t>
      </w:r>
      <w:r>
        <w:rPr>
          <w:color w:val="666155"/>
          <w:spacing w:val="-1"/>
        </w:rPr>
        <w:t>services,</w:t>
      </w:r>
      <w:r>
        <w:rPr>
          <w:color w:val="666155"/>
          <w:spacing w:val="-4"/>
        </w:rPr>
        <w:t> </w:t>
      </w:r>
      <w:r>
        <w:rPr>
          <w:color w:val="666155"/>
        </w:rPr>
        <w:t>or</w:t>
      </w:r>
      <w:r>
        <w:rPr>
          <w:color w:val="666155"/>
          <w:spacing w:val="-4"/>
        </w:rPr>
        <w:t> </w:t>
      </w:r>
      <w:r>
        <w:rPr>
          <w:color w:val="666155"/>
        </w:rPr>
        <w:t>because</w:t>
      </w:r>
      <w:r>
        <w:rPr>
          <w:color w:val="666155"/>
          <w:spacing w:val="-6"/>
        </w:rPr>
        <w:t> </w:t>
      </w:r>
      <w:r>
        <w:rPr>
          <w:color w:val="666155"/>
        </w:rPr>
        <w:t>of</w:t>
      </w:r>
      <w:r>
        <w:rPr>
          <w:color w:val="666155"/>
          <w:spacing w:val="-4"/>
        </w:rPr>
        <w:t> </w:t>
      </w:r>
      <w:r>
        <w:rPr>
          <w:color w:val="666155"/>
        </w:rPr>
        <w:t>family</w:t>
      </w:r>
      <w:r>
        <w:rPr>
          <w:color w:val="666155"/>
          <w:spacing w:val="-5"/>
        </w:rPr>
        <w:t> </w:t>
      </w:r>
      <w:r>
        <w:rPr>
          <w:color w:val="666155"/>
        </w:rPr>
        <w:t>or</w:t>
      </w:r>
      <w:r>
        <w:rPr>
          <w:color w:val="666155"/>
          <w:spacing w:val="23"/>
          <w:w w:val="99"/>
        </w:rPr>
        <w:t> </w:t>
      </w:r>
      <w:r>
        <w:rPr>
          <w:color w:val="666155"/>
        </w:rPr>
        <w:t>community</w:t>
      </w:r>
      <w:r>
        <w:rPr>
          <w:color w:val="666155"/>
          <w:spacing w:val="-8"/>
        </w:rPr>
        <w:t> </w:t>
      </w:r>
      <w:r>
        <w:rPr>
          <w:color w:val="666155"/>
        </w:rPr>
        <w:t>historical</w:t>
      </w:r>
      <w:r>
        <w:rPr>
          <w:color w:val="666155"/>
          <w:spacing w:val="-7"/>
        </w:rPr>
        <w:t> </w:t>
      </w:r>
      <w:r>
        <w:rPr>
          <w:color w:val="666155"/>
        </w:rPr>
        <w:t>connections</w:t>
      </w:r>
      <w:r>
        <w:rPr>
          <w:color w:val="666155"/>
          <w:spacing w:val="-7"/>
        </w:rPr>
        <w:t> </w:t>
      </w:r>
      <w:r>
        <w:rPr>
          <w:color w:val="666155"/>
        </w:rPr>
        <w:t>with</w:t>
      </w:r>
      <w:r>
        <w:rPr>
          <w:color w:val="666155"/>
          <w:spacing w:val="-7"/>
        </w:rPr>
        <w:t> </w:t>
      </w:r>
      <w:r>
        <w:rPr>
          <w:color w:val="666155"/>
        </w:rPr>
        <w:t>a</w:t>
      </w:r>
      <w:r>
        <w:rPr>
          <w:color w:val="666155"/>
          <w:w w:val="99"/>
        </w:rPr>
        <w:t> </w:t>
      </w:r>
      <w:r>
        <w:rPr>
          <w:color w:val="666155"/>
        </w:rPr>
        <w:t>particular</w:t>
      </w:r>
      <w:r>
        <w:rPr>
          <w:color w:val="666155"/>
          <w:spacing w:val="-16"/>
        </w:rPr>
        <w:t> </w:t>
      </w:r>
      <w:r>
        <w:rPr>
          <w:color w:val="666155"/>
        </w:rPr>
        <w:t>boarding</w:t>
      </w:r>
      <w:r>
        <w:rPr>
          <w:color w:val="666155"/>
          <w:spacing w:val="-15"/>
        </w:rPr>
        <w:t> </w:t>
      </w:r>
      <w:r>
        <w:rPr>
          <w:color w:val="666155"/>
        </w:rPr>
        <w:t>provider.</w:t>
      </w:r>
      <w:r>
        <w:rPr/>
      </w:r>
    </w:p>
    <w:p>
      <w:pPr>
        <w:pStyle w:val="Heading4"/>
        <w:spacing w:line="300" w:lineRule="exact" w:before="113"/>
        <w:ind w:left="257" w:right="0"/>
        <w:jc w:val="left"/>
      </w:pPr>
      <w:r>
        <w:rPr>
          <w:color w:val="666155"/>
        </w:rPr>
        <w:t>This</w:t>
      </w:r>
      <w:r>
        <w:rPr>
          <w:color w:val="666155"/>
          <w:spacing w:val="-7"/>
        </w:rPr>
        <w:t> </w:t>
      </w:r>
      <w:r>
        <w:rPr>
          <w:color w:val="666155"/>
        </w:rPr>
        <w:t>report</w:t>
      </w:r>
      <w:r>
        <w:rPr>
          <w:color w:val="666155"/>
          <w:spacing w:val="-6"/>
        </w:rPr>
        <w:t> </w:t>
      </w:r>
      <w:r>
        <w:rPr>
          <w:color w:val="666155"/>
        </w:rPr>
        <w:t>builds</w:t>
      </w:r>
      <w:r>
        <w:rPr>
          <w:color w:val="666155"/>
          <w:spacing w:val="-6"/>
        </w:rPr>
        <w:t> </w:t>
      </w:r>
      <w:r>
        <w:rPr>
          <w:color w:val="666155"/>
        </w:rPr>
        <w:t>on</w:t>
      </w:r>
      <w:r>
        <w:rPr>
          <w:color w:val="666155"/>
          <w:spacing w:val="-5"/>
        </w:rPr>
        <w:t> </w:t>
      </w:r>
      <w:r>
        <w:rPr>
          <w:color w:val="666155"/>
        </w:rPr>
        <w:t>previous</w:t>
      </w:r>
      <w:r>
        <w:rPr>
          <w:color w:val="666155"/>
          <w:spacing w:val="-7"/>
        </w:rPr>
        <w:t> </w:t>
      </w:r>
      <w:r>
        <w:rPr>
          <w:color w:val="666155"/>
        </w:rPr>
        <w:t>reviews</w:t>
      </w:r>
      <w:r>
        <w:rPr>
          <w:color w:val="666155"/>
          <w:w w:val="99"/>
        </w:rPr>
        <w:t> </w:t>
      </w:r>
      <w:r>
        <w:rPr>
          <w:color w:val="666155"/>
        </w:rPr>
        <w:t>and</w:t>
      </w:r>
      <w:r>
        <w:rPr>
          <w:color w:val="666155"/>
          <w:spacing w:val="-10"/>
        </w:rPr>
        <w:t> </w:t>
      </w:r>
      <w:r>
        <w:rPr>
          <w:color w:val="666155"/>
        </w:rPr>
        <w:t>reports</w:t>
      </w:r>
      <w:r>
        <w:rPr>
          <w:color w:val="666155"/>
          <w:spacing w:val="-10"/>
        </w:rPr>
        <w:t> </w:t>
      </w:r>
      <w:r>
        <w:rPr>
          <w:color w:val="666155"/>
          <w:spacing w:val="-1"/>
        </w:rPr>
        <w:t>into</w:t>
      </w:r>
      <w:r>
        <w:rPr>
          <w:color w:val="666155"/>
          <w:spacing w:val="-9"/>
        </w:rPr>
        <w:t> </w:t>
      </w:r>
      <w:r>
        <w:rPr>
          <w:color w:val="666155"/>
        </w:rPr>
        <w:t>boarding</w:t>
      </w:r>
      <w:r>
        <w:rPr>
          <w:color w:val="666155"/>
          <w:spacing w:val="-10"/>
        </w:rPr>
        <w:t> </w:t>
      </w:r>
      <w:r>
        <w:rPr>
          <w:color w:val="666155"/>
        </w:rPr>
        <w:t>for</w:t>
      </w:r>
      <w:r>
        <w:rPr>
          <w:color w:val="666155"/>
          <w:spacing w:val="-10"/>
        </w:rPr>
        <w:t> </w:t>
      </w:r>
      <w:r>
        <w:rPr>
          <w:color w:val="666155"/>
        </w:rPr>
        <w:t>Aboriginal</w:t>
      </w:r>
      <w:r>
        <w:rPr>
          <w:color w:val="666155"/>
          <w:spacing w:val="21"/>
          <w:w w:val="99"/>
        </w:rPr>
        <w:t> </w:t>
      </w:r>
      <w:r>
        <w:rPr>
          <w:color w:val="666155"/>
        </w:rPr>
        <w:t>and</w:t>
      </w:r>
      <w:r>
        <w:rPr>
          <w:color w:val="666155"/>
          <w:spacing w:val="-6"/>
        </w:rPr>
        <w:t> </w:t>
      </w:r>
      <w:r>
        <w:rPr>
          <w:color w:val="666155"/>
          <w:spacing w:val="-5"/>
        </w:rPr>
        <w:t>Torres</w:t>
      </w:r>
      <w:r>
        <w:rPr>
          <w:color w:val="666155"/>
          <w:spacing w:val="-4"/>
        </w:rPr>
        <w:t> </w:t>
      </w:r>
      <w:r>
        <w:rPr>
          <w:color w:val="666155"/>
          <w:spacing w:val="-2"/>
        </w:rPr>
        <w:t>Strait</w:t>
      </w:r>
      <w:r>
        <w:rPr>
          <w:color w:val="666155"/>
          <w:spacing w:val="-5"/>
        </w:rPr>
        <w:t> </w:t>
      </w:r>
      <w:r>
        <w:rPr>
          <w:color w:val="666155"/>
          <w:spacing w:val="-1"/>
        </w:rPr>
        <w:t>Islander</w:t>
      </w:r>
      <w:r>
        <w:rPr>
          <w:color w:val="666155"/>
          <w:spacing w:val="-5"/>
        </w:rPr>
        <w:t> </w:t>
      </w:r>
      <w:r>
        <w:rPr>
          <w:color w:val="666155"/>
          <w:spacing w:val="-1"/>
        </w:rPr>
        <w:t>students</w:t>
      </w:r>
      <w:r>
        <w:rPr>
          <w:color w:val="666155"/>
          <w:spacing w:val="-3"/>
        </w:rPr>
        <w:t> </w:t>
      </w:r>
      <w:r>
        <w:rPr>
          <w:color w:val="666155"/>
        </w:rPr>
        <w:t>with</w:t>
      </w:r>
      <w:r>
        <w:rPr>
          <w:color w:val="666155"/>
          <w:spacing w:val="27"/>
          <w:w w:val="99"/>
        </w:rPr>
        <w:t> </w:t>
      </w:r>
      <w:r>
        <w:rPr>
          <w:color w:val="666155"/>
        </w:rPr>
        <w:t>the</w:t>
      </w:r>
      <w:r>
        <w:rPr>
          <w:color w:val="666155"/>
          <w:spacing w:val="-8"/>
        </w:rPr>
        <w:t> </w:t>
      </w:r>
      <w:r>
        <w:rPr>
          <w:color w:val="666155"/>
        </w:rPr>
        <w:t>aim</w:t>
      </w:r>
      <w:r>
        <w:rPr>
          <w:color w:val="666155"/>
          <w:spacing w:val="-8"/>
        </w:rPr>
        <w:t> </w:t>
      </w:r>
      <w:r>
        <w:rPr>
          <w:color w:val="666155"/>
        </w:rPr>
        <w:t>of</w:t>
      </w:r>
      <w:r>
        <w:rPr>
          <w:color w:val="666155"/>
          <w:spacing w:val="-8"/>
        </w:rPr>
        <w:t> </w:t>
      </w:r>
      <w:r>
        <w:rPr>
          <w:color w:val="666155"/>
          <w:spacing w:val="-1"/>
        </w:rPr>
        <w:t>improving</w:t>
      </w:r>
      <w:r>
        <w:rPr>
          <w:color w:val="666155"/>
          <w:spacing w:val="-7"/>
        </w:rPr>
        <w:t> </w:t>
      </w:r>
      <w:r>
        <w:rPr>
          <w:color w:val="666155"/>
        </w:rPr>
        <w:t>the</w:t>
      </w:r>
      <w:r>
        <w:rPr>
          <w:color w:val="666155"/>
          <w:spacing w:val="-8"/>
        </w:rPr>
        <w:t> </w:t>
      </w:r>
      <w:r>
        <w:rPr>
          <w:color w:val="666155"/>
        </w:rPr>
        <w:t>understanding</w:t>
      </w:r>
      <w:r>
        <w:rPr>
          <w:color w:val="666155"/>
          <w:spacing w:val="22"/>
          <w:w w:val="99"/>
        </w:rPr>
        <w:t> </w:t>
      </w:r>
      <w:r>
        <w:rPr>
          <w:rFonts w:ascii="Segoe UI"/>
          <w:color w:val="666155"/>
        </w:rPr>
        <w:t>of the benefits and impacts of the</w:t>
      </w:r>
      <w:r>
        <w:rPr>
          <w:rFonts w:ascii="Segoe UI"/>
          <w:color w:val="666155"/>
        </w:rPr>
        <w:t> </w:t>
      </w:r>
      <w:r>
        <w:rPr>
          <w:color w:val="666155"/>
        </w:rPr>
        <w:t>existing</w:t>
      </w:r>
      <w:r>
        <w:rPr>
          <w:color w:val="666155"/>
          <w:spacing w:val="-5"/>
        </w:rPr>
        <w:t> </w:t>
      </w:r>
      <w:r>
        <w:rPr>
          <w:color w:val="666155"/>
          <w:spacing w:val="-1"/>
        </w:rPr>
        <w:t>investment</w:t>
      </w:r>
      <w:r>
        <w:rPr>
          <w:color w:val="666155"/>
          <w:spacing w:val="-3"/>
        </w:rPr>
        <w:t> </w:t>
      </w:r>
      <w:r>
        <w:rPr>
          <w:color w:val="666155"/>
          <w:spacing w:val="-1"/>
        </w:rPr>
        <w:t>in</w:t>
      </w:r>
      <w:r>
        <w:rPr>
          <w:color w:val="666155"/>
          <w:spacing w:val="-3"/>
        </w:rPr>
        <w:t> </w:t>
      </w:r>
      <w:r>
        <w:rPr>
          <w:color w:val="666155"/>
        </w:rPr>
        <w:t>boarding</w:t>
      </w:r>
      <w:r>
        <w:rPr>
          <w:color w:val="666155"/>
          <w:spacing w:val="23"/>
          <w:w w:val="99"/>
        </w:rPr>
        <w:t> </w:t>
      </w:r>
      <w:r>
        <w:rPr>
          <w:color w:val="666155"/>
        </w:rPr>
        <w:t>provision.</w:t>
      </w:r>
      <w:r>
        <w:rPr>
          <w:color w:val="666155"/>
          <w:spacing w:val="-6"/>
        </w:rPr>
        <w:t> </w:t>
      </w:r>
      <w:r>
        <w:rPr>
          <w:color w:val="666155"/>
          <w:spacing w:val="-1"/>
        </w:rPr>
        <w:t>In</w:t>
      </w:r>
      <w:r>
        <w:rPr>
          <w:color w:val="666155"/>
          <w:spacing w:val="-5"/>
        </w:rPr>
        <w:t> </w:t>
      </w:r>
      <w:r>
        <w:rPr>
          <w:color w:val="666155"/>
        </w:rPr>
        <w:t>addition,</w:t>
      </w:r>
      <w:r>
        <w:rPr>
          <w:color w:val="666155"/>
          <w:spacing w:val="-6"/>
        </w:rPr>
        <w:t> </w:t>
      </w:r>
      <w:r>
        <w:rPr>
          <w:color w:val="666155"/>
          <w:spacing w:val="-1"/>
        </w:rPr>
        <w:t>it</w:t>
      </w:r>
      <w:r>
        <w:rPr>
          <w:color w:val="666155"/>
          <w:spacing w:val="-5"/>
        </w:rPr>
        <w:t> </w:t>
      </w:r>
      <w:r>
        <w:rPr>
          <w:color w:val="666155"/>
        </w:rPr>
        <w:t>examines</w:t>
      </w:r>
      <w:r>
        <w:rPr/>
      </w:r>
    </w:p>
    <w:p>
      <w:pPr>
        <w:pStyle w:val="Heading4"/>
        <w:spacing w:line="300" w:lineRule="exact"/>
        <w:ind w:left="257" w:right="512"/>
        <w:jc w:val="both"/>
      </w:pPr>
      <w:r>
        <w:rPr>
          <w:color w:val="666155"/>
        </w:rPr>
        <w:t>how</w:t>
      </w:r>
      <w:r>
        <w:rPr>
          <w:color w:val="666155"/>
          <w:spacing w:val="-6"/>
        </w:rPr>
        <w:t> </w:t>
      </w:r>
      <w:r>
        <w:rPr>
          <w:color w:val="666155"/>
        </w:rPr>
        <w:t>government</w:t>
      </w:r>
      <w:r>
        <w:rPr>
          <w:color w:val="666155"/>
          <w:spacing w:val="-6"/>
        </w:rPr>
        <w:t> </w:t>
      </w:r>
      <w:r>
        <w:rPr>
          <w:color w:val="666155"/>
          <w:spacing w:val="-1"/>
        </w:rPr>
        <w:t>investment</w:t>
      </w:r>
      <w:r>
        <w:rPr>
          <w:color w:val="666155"/>
          <w:spacing w:val="-5"/>
        </w:rPr>
        <w:t> </w:t>
      </w:r>
      <w:r>
        <w:rPr>
          <w:color w:val="666155"/>
        </w:rPr>
        <w:t>(both</w:t>
      </w:r>
      <w:r>
        <w:rPr>
          <w:color w:val="666155"/>
          <w:spacing w:val="22"/>
          <w:w w:val="99"/>
        </w:rPr>
        <w:t> </w:t>
      </w:r>
      <w:r>
        <w:rPr>
          <w:color w:val="666155"/>
          <w:spacing w:val="-1"/>
        </w:rPr>
        <w:t>state/territory</w:t>
      </w:r>
      <w:r>
        <w:rPr>
          <w:color w:val="666155"/>
          <w:spacing w:val="-11"/>
        </w:rPr>
        <w:t> </w:t>
      </w:r>
      <w:r>
        <w:rPr>
          <w:color w:val="666155"/>
        </w:rPr>
        <w:t>and</w:t>
      </w:r>
      <w:r>
        <w:rPr>
          <w:color w:val="666155"/>
          <w:spacing w:val="-13"/>
        </w:rPr>
        <w:t> </w:t>
      </w:r>
      <w:r>
        <w:rPr>
          <w:color w:val="666155"/>
          <w:spacing w:val="-1"/>
        </w:rPr>
        <w:t>Commonwealth)</w:t>
      </w:r>
      <w:r>
        <w:rPr>
          <w:color w:val="666155"/>
          <w:spacing w:val="21"/>
          <w:w w:val="99"/>
        </w:rPr>
        <w:t> </w:t>
      </w:r>
      <w:r>
        <w:rPr>
          <w:color w:val="666155"/>
          <w:spacing w:val="-1"/>
        </w:rPr>
        <w:t>in</w:t>
      </w:r>
      <w:r>
        <w:rPr>
          <w:color w:val="666155"/>
          <w:spacing w:val="-6"/>
        </w:rPr>
        <w:t> </w:t>
      </w:r>
      <w:r>
        <w:rPr>
          <w:color w:val="666155"/>
        </w:rPr>
        <w:t>boarding</w:t>
      </w:r>
      <w:r>
        <w:rPr>
          <w:color w:val="666155"/>
          <w:spacing w:val="-6"/>
        </w:rPr>
        <w:t> </w:t>
      </w:r>
      <w:r>
        <w:rPr>
          <w:color w:val="666155"/>
        </w:rPr>
        <w:t>provision</w:t>
      </w:r>
      <w:r>
        <w:rPr>
          <w:color w:val="666155"/>
          <w:spacing w:val="-7"/>
        </w:rPr>
        <w:t> </w:t>
      </w:r>
      <w:r>
        <w:rPr>
          <w:color w:val="666155"/>
        </w:rPr>
        <w:t>and</w:t>
      </w:r>
      <w:r>
        <w:rPr>
          <w:color w:val="666155"/>
          <w:spacing w:val="-6"/>
        </w:rPr>
        <w:t> </w:t>
      </w:r>
      <w:r>
        <w:rPr>
          <w:color w:val="666155"/>
          <w:spacing w:val="-1"/>
        </w:rPr>
        <w:t>support</w:t>
      </w:r>
      <w:r>
        <w:rPr/>
      </w:r>
    </w:p>
    <w:p>
      <w:pPr>
        <w:pStyle w:val="Heading4"/>
        <w:spacing w:line="300" w:lineRule="exact" w:before="61"/>
        <w:ind w:left="257" w:right="139"/>
        <w:jc w:val="left"/>
      </w:pPr>
      <w:r>
        <w:rPr/>
        <w:br w:type="column"/>
      </w:r>
      <w:r>
        <w:rPr>
          <w:color w:val="666155"/>
          <w:spacing w:val="-1"/>
        </w:rPr>
        <w:t>services</w:t>
      </w:r>
      <w:r>
        <w:rPr>
          <w:color w:val="666155"/>
          <w:spacing w:val="-4"/>
        </w:rPr>
        <w:t> </w:t>
      </w:r>
      <w:r>
        <w:rPr>
          <w:color w:val="666155"/>
        </w:rPr>
        <w:t>for</w:t>
      </w:r>
      <w:r>
        <w:rPr>
          <w:color w:val="666155"/>
          <w:spacing w:val="-5"/>
        </w:rPr>
        <w:t> </w:t>
      </w:r>
      <w:r>
        <w:rPr>
          <w:color w:val="666155"/>
        </w:rPr>
        <w:t>Aboriginal</w:t>
      </w:r>
      <w:r>
        <w:rPr>
          <w:color w:val="666155"/>
          <w:spacing w:val="-4"/>
        </w:rPr>
        <w:t> </w:t>
      </w:r>
      <w:r>
        <w:rPr>
          <w:color w:val="666155"/>
        </w:rPr>
        <w:t>and</w:t>
      </w:r>
      <w:r>
        <w:rPr>
          <w:color w:val="666155"/>
          <w:spacing w:val="-6"/>
        </w:rPr>
        <w:t> </w:t>
      </w:r>
      <w:r>
        <w:rPr>
          <w:color w:val="666155"/>
          <w:spacing w:val="-5"/>
        </w:rPr>
        <w:t>Torres</w:t>
      </w:r>
      <w:r>
        <w:rPr>
          <w:color w:val="666155"/>
          <w:spacing w:val="-4"/>
        </w:rPr>
        <w:t> </w:t>
      </w:r>
      <w:r>
        <w:rPr>
          <w:color w:val="666155"/>
          <w:spacing w:val="-2"/>
        </w:rPr>
        <w:t>Strait</w:t>
      </w:r>
      <w:r>
        <w:rPr>
          <w:color w:val="666155"/>
          <w:spacing w:val="27"/>
          <w:w w:val="99"/>
        </w:rPr>
        <w:t> </w:t>
      </w:r>
      <w:r>
        <w:rPr>
          <w:color w:val="666155"/>
          <w:spacing w:val="-1"/>
        </w:rPr>
        <w:t>Islander</w:t>
      </w:r>
      <w:r>
        <w:rPr>
          <w:color w:val="666155"/>
          <w:spacing w:val="-7"/>
        </w:rPr>
        <w:t> </w:t>
      </w:r>
      <w:r>
        <w:rPr>
          <w:color w:val="666155"/>
          <w:spacing w:val="-1"/>
        </w:rPr>
        <w:t>secondary</w:t>
      </w:r>
      <w:r>
        <w:rPr>
          <w:color w:val="666155"/>
          <w:spacing w:val="-5"/>
        </w:rPr>
        <w:t> </w:t>
      </w:r>
      <w:r>
        <w:rPr>
          <w:color w:val="666155"/>
          <w:spacing w:val="-1"/>
        </w:rPr>
        <w:t>students</w:t>
      </w:r>
      <w:r>
        <w:rPr>
          <w:color w:val="666155"/>
          <w:spacing w:val="-6"/>
        </w:rPr>
        <w:t> </w:t>
      </w:r>
      <w:r>
        <w:rPr>
          <w:color w:val="666155"/>
        </w:rPr>
        <w:t>can</w:t>
      </w:r>
      <w:r>
        <w:rPr>
          <w:color w:val="666155"/>
          <w:spacing w:val="-6"/>
        </w:rPr>
        <w:t> </w:t>
      </w:r>
      <w:r>
        <w:rPr>
          <w:color w:val="666155"/>
        </w:rPr>
        <w:t>be</w:t>
      </w:r>
      <w:r>
        <w:rPr>
          <w:color w:val="666155"/>
          <w:spacing w:val="24"/>
          <w:w w:val="99"/>
        </w:rPr>
        <w:t> </w:t>
      </w:r>
      <w:r>
        <w:rPr>
          <w:color w:val="666155"/>
        </w:rPr>
        <w:t>best</w:t>
      </w:r>
      <w:r>
        <w:rPr>
          <w:color w:val="666155"/>
          <w:spacing w:val="-6"/>
        </w:rPr>
        <w:t> </w:t>
      </w:r>
      <w:r>
        <w:rPr>
          <w:color w:val="666155"/>
        </w:rPr>
        <w:t>used</w:t>
      </w:r>
      <w:r>
        <w:rPr>
          <w:color w:val="666155"/>
          <w:spacing w:val="-6"/>
        </w:rPr>
        <w:t> </w:t>
      </w:r>
      <w:r>
        <w:rPr>
          <w:color w:val="666155"/>
        </w:rPr>
        <w:t>by</w:t>
      </w:r>
      <w:r>
        <w:rPr>
          <w:color w:val="666155"/>
          <w:spacing w:val="-5"/>
        </w:rPr>
        <w:t> </w:t>
      </w:r>
      <w:r>
        <w:rPr>
          <w:color w:val="666155"/>
        </w:rPr>
        <w:t>boarding</w:t>
      </w:r>
      <w:r>
        <w:rPr>
          <w:color w:val="666155"/>
          <w:spacing w:val="-6"/>
        </w:rPr>
        <w:t> </w:t>
      </w:r>
      <w:r>
        <w:rPr>
          <w:color w:val="666155"/>
        </w:rPr>
        <w:t>providers</w:t>
      </w:r>
      <w:r>
        <w:rPr>
          <w:color w:val="666155"/>
          <w:spacing w:val="-6"/>
        </w:rPr>
        <w:t> </w:t>
      </w:r>
      <w:r>
        <w:rPr>
          <w:color w:val="666155"/>
        </w:rPr>
        <w:t>to</w:t>
      </w:r>
      <w:r>
        <w:rPr>
          <w:color w:val="666155"/>
          <w:w w:val="99"/>
        </w:rPr>
        <w:t> </w:t>
      </w:r>
      <w:r>
        <w:rPr>
          <w:rFonts w:ascii="Segoe UI"/>
          <w:color w:val="666155"/>
        </w:rPr>
        <w:t>inform continued benefits from the</w:t>
      </w:r>
      <w:r>
        <w:rPr>
          <w:rFonts w:ascii="Segoe UI"/>
          <w:color w:val="666155"/>
        </w:rPr>
        <w:t> </w:t>
      </w:r>
      <w:r>
        <w:rPr>
          <w:color w:val="666155"/>
          <w:spacing w:val="-1"/>
        </w:rPr>
        <w:t>investment,</w:t>
      </w:r>
      <w:r>
        <w:rPr>
          <w:color w:val="666155"/>
          <w:spacing w:val="-5"/>
        </w:rPr>
        <w:t> </w:t>
      </w:r>
      <w:r>
        <w:rPr>
          <w:color w:val="666155"/>
        </w:rPr>
        <w:t>develop</w:t>
      </w:r>
      <w:r>
        <w:rPr>
          <w:color w:val="666155"/>
          <w:spacing w:val="-5"/>
        </w:rPr>
        <w:t> </w:t>
      </w:r>
      <w:r>
        <w:rPr>
          <w:color w:val="666155"/>
          <w:spacing w:val="-1"/>
        </w:rPr>
        <w:t>sustainable</w:t>
      </w:r>
      <w:r>
        <w:rPr>
          <w:color w:val="666155"/>
          <w:spacing w:val="-3"/>
        </w:rPr>
        <w:t> </w:t>
      </w:r>
      <w:r>
        <w:rPr>
          <w:color w:val="666155"/>
        </w:rPr>
        <w:t>and</w:t>
      </w:r>
      <w:r>
        <w:rPr>
          <w:color w:val="666155"/>
          <w:spacing w:val="23"/>
          <w:w w:val="99"/>
        </w:rPr>
        <w:t> </w:t>
      </w:r>
      <w:r>
        <w:rPr>
          <w:rFonts w:ascii="Segoe UI"/>
          <w:color w:val="666155"/>
        </w:rPr>
        <w:t>effective</w:t>
      </w:r>
      <w:r>
        <w:rPr>
          <w:rFonts w:ascii="Segoe UI"/>
          <w:color w:val="666155"/>
          <w:spacing w:val="-3"/>
        </w:rPr>
        <w:t> </w:t>
      </w:r>
      <w:r>
        <w:rPr>
          <w:rFonts w:ascii="Segoe UI"/>
          <w:color w:val="666155"/>
        </w:rPr>
        <w:t>models</w:t>
      </w:r>
      <w:r>
        <w:rPr>
          <w:rFonts w:ascii="Segoe UI"/>
          <w:color w:val="666155"/>
          <w:spacing w:val="-2"/>
        </w:rPr>
        <w:t> </w:t>
      </w:r>
      <w:r>
        <w:rPr>
          <w:rFonts w:ascii="Segoe UI"/>
          <w:color w:val="666155"/>
        </w:rPr>
        <w:t>of</w:t>
      </w:r>
      <w:r>
        <w:rPr>
          <w:rFonts w:ascii="Segoe UI"/>
          <w:color w:val="666155"/>
          <w:spacing w:val="-2"/>
        </w:rPr>
        <w:t> </w:t>
      </w:r>
      <w:r>
        <w:rPr>
          <w:rFonts w:ascii="Segoe UI"/>
          <w:color w:val="666155"/>
        </w:rPr>
        <w:t>boarding</w:t>
      </w:r>
      <w:r>
        <w:rPr>
          <w:rFonts w:ascii="Segoe UI"/>
          <w:color w:val="666155"/>
          <w:spacing w:val="-2"/>
        </w:rPr>
        <w:t> </w:t>
      </w:r>
      <w:r>
        <w:rPr>
          <w:rFonts w:ascii="Segoe UI"/>
          <w:color w:val="666155"/>
        </w:rPr>
        <w:t>delivery</w:t>
      </w:r>
      <w:r>
        <w:rPr>
          <w:rFonts w:ascii="Segoe UI"/>
          <w:color w:val="666155"/>
        </w:rPr>
        <w:t> </w:t>
      </w:r>
      <w:r>
        <w:rPr>
          <w:color w:val="666155"/>
        </w:rPr>
        <w:t>and</w:t>
      </w:r>
      <w:r>
        <w:rPr>
          <w:color w:val="666155"/>
          <w:spacing w:val="-13"/>
        </w:rPr>
        <w:t> </w:t>
      </w:r>
      <w:r>
        <w:rPr>
          <w:color w:val="666155"/>
        </w:rPr>
        <w:t>achieve</w:t>
      </w:r>
      <w:r>
        <w:rPr>
          <w:color w:val="666155"/>
          <w:spacing w:val="-12"/>
        </w:rPr>
        <w:t> </w:t>
      </w:r>
      <w:r>
        <w:rPr>
          <w:color w:val="666155"/>
          <w:spacing w:val="-1"/>
        </w:rPr>
        <w:t>improved</w:t>
      </w:r>
      <w:r>
        <w:rPr>
          <w:color w:val="666155"/>
          <w:spacing w:val="-12"/>
        </w:rPr>
        <w:t> </w:t>
      </w:r>
      <w:r>
        <w:rPr>
          <w:color w:val="666155"/>
        </w:rPr>
        <w:t>educational</w:t>
      </w:r>
      <w:r>
        <w:rPr>
          <w:color w:val="666155"/>
          <w:spacing w:val="22"/>
          <w:w w:val="99"/>
        </w:rPr>
        <w:t> </w:t>
      </w:r>
      <w:r>
        <w:rPr>
          <w:color w:val="666155"/>
        </w:rPr>
        <w:t>outcomes.</w:t>
      </w:r>
      <w:r>
        <w:rPr/>
      </w:r>
    </w:p>
    <w:p>
      <w:pPr>
        <w:pStyle w:val="Heading4"/>
        <w:spacing w:line="300" w:lineRule="exact" w:before="113"/>
        <w:ind w:left="257" w:right="139"/>
        <w:jc w:val="left"/>
      </w:pPr>
      <w:r>
        <w:rPr>
          <w:color w:val="666155"/>
          <w:spacing w:val="-3"/>
        </w:rPr>
        <w:t>Twenty</w:t>
      </w:r>
      <w:r>
        <w:rPr>
          <w:color w:val="666155"/>
          <w:spacing w:val="-7"/>
        </w:rPr>
        <w:t> </w:t>
      </w:r>
      <w:r>
        <w:rPr>
          <w:color w:val="666155"/>
          <w:spacing w:val="-1"/>
        </w:rPr>
        <w:t>seven</w:t>
      </w:r>
      <w:r>
        <w:rPr>
          <w:color w:val="666155"/>
          <w:spacing w:val="-6"/>
        </w:rPr>
        <w:t> </w:t>
      </w:r>
      <w:r>
        <w:rPr>
          <w:color w:val="666155"/>
        </w:rPr>
        <w:t>Aboriginal</w:t>
      </w:r>
      <w:r>
        <w:rPr>
          <w:color w:val="666155"/>
          <w:spacing w:val="-6"/>
        </w:rPr>
        <w:t> </w:t>
      </w:r>
      <w:r>
        <w:rPr>
          <w:color w:val="666155"/>
        </w:rPr>
        <w:t>and</w:t>
      </w:r>
      <w:r>
        <w:rPr>
          <w:color w:val="666155"/>
          <w:spacing w:val="-7"/>
        </w:rPr>
        <w:t> </w:t>
      </w:r>
      <w:r>
        <w:rPr>
          <w:color w:val="666155"/>
          <w:spacing w:val="-5"/>
        </w:rPr>
        <w:t>Torres</w:t>
      </w:r>
      <w:r>
        <w:rPr>
          <w:color w:val="666155"/>
          <w:spacing w:val="26"/>
          <w:w w:val="99"/>
        </w:rPr>
        <w:t> </w:t>
      </w:r>
      <w:r>
        <w:rPr>
          <w:color w:val="666155"/>
          <w:spacing w:val="-2"/>
        </w:rPr>
        <w:t>Strait</w:t>
      </w:r>
      <w:r>
        <w:rPr>
          <w:color w:val="666155"/>
          <w:spacing w:val="-12"/>
        </w:rPr>
        <w:t> </w:t>
      </w:r>
      <w:r>
        <w:rPr>
          <w:color w:val="666155"/>
          <w:spacing w:val="-1"/>
        </w:rPr>
        <w:t>Islander</w:t>
      </w:r>
      <w:r>
        <w:rPr>
          <w:color w:val="666155"/>
          <w:spacing w:val="-11"/>
        </w:rPr>
        <w:t> </w:t>
      </w:r>
      <w:r>
        <w:rPr>
          <w:color w:val="666155"/>
        </w:rPr>
        <w:t>boarding</w:t>
      </w:r>
      <w:r>
        <w:rPr>
          <w:color w:val="666155"/>
          <w:spacing w:val="-12"/>
        </w:rPr>
        <w:t> </w:t>
      </w:r>
      <w:r>
        <w:rPr>
          <w:color w:val="666155"/>
        </w:rPr>
        <w:t>providers,</w:t>
      </w:r>
      <w:r>
        <w:rPr>
          <w:color w:val="666155"/>
          <w:spacing w:val="26"/>
          <w:w w:val="99"/>
        </w:rPr>
        <w:t> </w:t>
      </w:r>
      <w:r>
        <w:rPr>
          <w:color w:val="666155"/>
        </w:rPr>
        <w:t>providing</w:t>
      </w:r>
      <w:r>
        <w:rPr>
          <w:color w:val="666155"/>
          <w:spacing w:val="-14"/>
        </w:rPr>
        <w:t> </w:t>
      </w:r>
      <w:r>
        <w:rPr>
          <w:color w:val="666155"/>
        </w:rPr>
        <w:t>boarding</w:t>
      </w:r>
      <w:r>
        <w:rPr>
          <w:color w:val="666155"/>
          <w:spacing w:val="-14"/>
        </w:rPr>
        <w:t> </w:t>
      </w:r>
      <w:r>
        <w:rPr>
          <w:color w:val="666155"/>
        </w:rPr>
        <w:t>for</w:t>
      </w:r>
      <w:r>
        <w:rPr>
          <w:color w:val="666155"/>
          <w:spacing w:val="-12"/>
        </w:rPr>
        <w:t> </w:t>
      </w:r>
      <w:r>
        <w:rPr>
          <w:color w:val="666155"/>
        </w:rPr>
        <w:t>approximately</w:t>
      </w:r>
      <w:r>
        <w:rPr>
          <w:color w:val="666155"/>
          <w:w w:val="99"/>
        </w:rPr>
        <w:t> </w:t>
      </w:r>
      <w:r>
        <w:rPr>
          <w:color w:val="666155"/>
          <w:spacing w:val="-1"/>
        </w:rPr>
        <w:t>1,900</w:t>
      </w:r>
      <w:r>
        <w:rPr>
          <w:color w:val="666155"/>
          <w:spacing w:val="-5"/>
        </w:rPr>
        <w:t> </w:t>
      </w:r>
      <w:r>
        <w:rPr>
          <w:color w:val="666155"/>
        </w:rPr>
        <w:t>Aboriginal</w:t>
      </w:r>
      <w:r>
        <w:rPr>
          <w:color w:val="666155"/>
          <w:spacing w:val="-5"/>
        </w:rPr>
        <w:t> </w:t>
      </w:r>
      <w:r>
        <w:rPr>
          <w:color w:val="666155"/>
        </w:rPr>
        <w:t>and</w:t>
      </w:r>
      <w:r>
        <w:rPr>
          <w:color w:val="666155"/>
          <w:spacing w:val="-6"/>
        </w:rPr>
        <w:t> </w:t>
      </w:r>
      <w:r>
        <w:rPr>
          <w:color w:val="666155"/>
          <w:spacing w:val="-5"/>
        </w:rPr>
        <w:t>Torres </w:t>
      </w:r>
      <w:r>
        <w:rPr>
          <w:color w:val="666155"/>
          <w:spacing w:val="-2"/>
        </w:rPr>
        <w:t>Strait</w:t>
      </w:r>
      <w:r>
        <w:rPr>
          <w:color w:val="666155"/>
          <w:spacing w:val="26"/>
          <w:w w:val="99"/>
        </w:rPr>
        <w:t> </w:t>
      </w:r>
      <w:r>
        <w:rPr>
          <w:color w:val="666155"/>
          <w:spacing w:val="-1"/>
        </w:rPr>
        <w:t>Islander</w:t>
      </w:r>
      <w:r>
        <w:rPr>
          <w:color w:val="666155"/>
          <w:spacing w:val="-8"/>
        </w:rPr>
        <w:t> </w:t>
      </w:r>
      <w:r>
        <w:rPr>
          <w:color w:val="666155"/>
          <w:spacing w:val="-1"/>
        </w:rPr>
        <w:t>secondary</w:t>
      </w:r>
      <w:r>
        <w:rPr>
          <w:color w:val="666155"/>
          <w:spacing w:val="-8"/>
        </w:rPr>
        <w:t> </w:t>
      </w:r>
      <w:r>
        <w:rPr>
          <w:color w:val="666155"/>
          <w:spacing w:val="-1"/>
        </w:rPr>
        <w:t>students</w:t>
      </w:r>
      <w:r>
        <w:rPr>
          <w:color w:val="666155"/>
          <w:spacing w:val="-7"/>
        </w:rPr>
        <w:t> </w:t>
      </w:r>
      <w:r>
        <w:rPr>
          <w:color w:val="666155"/>
        </w:rPr>
        <w:t>were</w:t>
      </w:r>
      <w:r>
        <w:rPr>
          <w:color w:val="666155"/>
          <w:spacing w:val="24"/>
          <w:w w:val="99"/>
        </w:rPr>
        <w:t> </w:t>
      </w:r>
      <w:r>
        <w:rPr>
          <w:rFonts w:ascii="Segoe UI"/>
          <w:color w:val="666155"/>
        </w:rPr>
        <w:t>analysed for this report. The findings</w:t>
      </w:r>
      <w:r>
        <w:rPr>
          <w:rFonts w:ascii="Segoe UI"/>
          <w:color w:val="666155"/>
        </w:rPr>
        <w:t> </w:t>
      </w:r>
      <w:r>
        <w:rPr>
          <w:color w:val="666155"/>
        </w:rPr>
        <w:t>were</w:t>
      </w:r>
      <w:r>
        <w:rPr>
          <w:color w:val="666155"/>
          <w:spacing w:val="-7"/>
        </w:rPr>
        <w:t> </w:t>
      </w:r>
      <w:r>
        <w:rPr>
          <w:color w:val="666155"/>
        </w:rPr>
        <w:t>compared</w:t>
      </w:r>
      <w:r>
        <w:rPr>
          <w:color w:val="666155"/>
          <w:spacing w:val="-7"/>
        </w:rPr>
        <w:t> </w:t>
      </w:r>
      <w:r>
        <w:rPr>
          <w:color w:val="666155"/>
        </w:rPr>
        <w:t>against</w:t>
      </w:r>
      <w:r>
        <w:rPr>
          <w:color w:val="666155"/>
          <w:spacing w:val="-7"/>
        </w:rPr>
        <w:t> </w:t>
      </w:r>
      <w:r>
        <w:rPr>
          <w:color w:val="666155"/>
          <w:spacing w:val="-1"/>
        </w:rPr>
        <w:t>23</w:t>
      </w:r>
      <w:r>
        <w:rPr>
          <w:color w:val="666155"/>
          <w:spacing w:val="-6"/>
        </w:rPr>
        <w:t> </w:t>
      </w:r>
      <w:r>
        <w:rPr>
          <w:color w:val="666155"/>
          <w:spacing w:val="-1"/>
        </w:rPr>
        <w:t>mainstream</w:t>
      </w:r>
      <w:r>
        <w:rPr>
          <w:color w:val="666155"/>
          <w:spacing w:val="21"/>
        </w:rPr>
        <w:t> </w:t>
      </w:r>
      <w:r>
        <w:rPr>
          <w:color w:val="666155"/>
        </w:rPr>
        <w:t>boarding</w:t>
      </w:r>
      <w:r>
        <w:rPr>
          <w:color w:val="666155"/>
          <w:spacing w:val="-22"/>
        </w:rPr>
        <w:t> </w:t>
      </w:r>
      <w:r>
        <w:rPr>
          <w:color w:val="666155"/>
        </w:rPr>
        <w:t>providers.</w:t>
      </w:r>
      <w:r>
        <w:rPr/>
      </w:r>
    </w:p>
    <w:p>
      <w:pPr>
        <w:pStyle w:val="Heading4"/>
        <w:spacing w:line="300" w:lineRule="exact" w:before="113"/>
        <w:ind w:left="257" w:right="139"/>
        <w:jc w:val="left"/>
      </w:pPr>
      <w:r>
        <w:rPr>
          <w:color w:val="666155"/>
        </w:rPr>
        <w:t>The</w:t>
      </w:r>
      <w:r>
        <w:rPr>
          <w:color w:val="666155"/>
          <w:spacing w:val="-8"/>
        </w:rPr>
        <w:t> </w:t>
      </w:r>
      <w:r>
        <w:rPr>
          <w:color w:val="666155"/>
        </w:rPr>
        <w:t>vast</w:t>
      </w:r>
      <w:r>
        <w:rPr>
          <w:color w:val="666155"/>
          <w:spacing w:val="-6"/>
        </w:rPr>
        <w:t> </w:t>
      </w:r>
      <w:r>
        <w:rPr>
          <w:color w:val="666155"/>
          <w:spacing w:val="-1"/>
        </w:rPr>
        <w:t>majority,</w:t>
      </w:r>
      <w:r>
        <w:rPr>
          <w:color w:val="666155"/>
          <w:spacing w:val="-5"/>
        </w:rPr>
        <w:t> </w:t>
      </w:r>
      <w:r>
        <w:rPr>
          <w:color w:val="666155"/>
        </w:rPr>
        <w:t>but</w:t>
      </w:r>
      <w:r>
        <w:rPr>
          <w:color w:val="666155"/>
          <w:spacing w:val="-7"/>
        </w:rPr>
        <w:t> </w:t>
      </w:r>
      <w:r>
        <w:rPr>
          <w:color w:val="666155"/>
        </w:rPr>
        <w:t>not</w:t>
      </w:r>
      <w:r>
        <w:rPr>
          <w:color w:val="666155"/>
          <w:spacing w:val="-6"/>
        </w:rPr>
        <w:t> </w:t>
      </w:r>
      <w:r>
        <w:rPr>
          <w:color w:val="666155"/>
        </w:rPr>
        <w:t>all,</w:t>
      </w:r>
      <w:r>
        <w:rPr>
          <w:color w:val="666155"/>
          <w:spacing w:val="-7"/>
        </w:rPr>
        <w:t> </w:t>
      </w:r>
      <w:r>
        <w:rPr>
          <w:color w:val="666155"/>
        </w:rPr>
        <w:t>boarding</w:t>
      </w:r>
      <w:r>
        <w:rPr>
          <w:color w:val="666155"/>
          <w:spacing w:val="22"/>
          <w:w w:val="99"/>
        </w:rPr>
        <w:t> </w:t>
      </w:r>
      <w:r>
        <w:rPr>
          <w:rFonts w:ascii="Segoe UI"/>
          <w:color w:val="666155"/>
        </w:rPr>
        <w:t>providers operate on a financial year</w:t>
      </w:r>
      <w:r>
        <w:rPr>
          <w:rFonts w:ascii="Segoe UI"/>
          <w:color w:val="666155"/>
        </w:rPr>
        <w:t> </w:t>
      </w:r>
      <w:r>
        <w:rPr>
          <w:color w:val="666155"/>
        </w:rPr>
        <w:t>from</w:t>
      </w:r>
      <w:r>
        <w:rPr>
          <w:color w:val="666155"/>
          <w:spacing w:val="-5"/>
        </w:rPr>
        <w:t> </w:t>
      </w:r>
      <w:r>
        <w:rPr>
          <w:color w:val="666155"/>
        </w:rPr>
        <w:t>1</w:t>
      </w:r>
      <w:r>
        <w:rPr>
          <w:color w:val="666155"/>
          <w:spacing w:val="-4"/>
        </w:rPr>
        <w:t> </w:t>
      </w:r>
      <w:r>
        <w:rPr>
          <w:color w:val="666155"/>
        </w:rPr>
        <w:t>January</w:t>
      </w:r>
      <w:r>
        <w:rPr>
          <w:color w:val="666155"/>
          <w:spacing w:val="-5"/>
        </w:rPr>
        <w:t> </w:t>
      </w:r>
      <w:r>
        <w:rPr>
          <w:color w:val="666155"/>
        </w:rPr>
        <w:t>to</w:t>
      </w:r>
      <w:r>
        <w:rPr>
          <w:color w:val="666155"/>
          <w:spacing w:val="-4"/>
        </w:rPr>
        <w:t> </w:t>
      </w:r>
      <w:r>
        <w:rPr>
          <w:color w:val="666155"/>
          <w:spacing w:val="-1"/>
        </w:rPr>
        <w:t>31</w:t>
      </w:r>
      <w:r>
        <w:rPr>
          <w:color w:val="666155"/>
          <w:spacing w:val="-5"/>
        </w:rPr>
        <w:t> </w:t>
      </w:r>
      <w:r>
        <w:rPr>
          <w:color w:val="666155"/>
          <w:spacing w:val="-1"/>
        </w:rPr>
        <w:t>December.</w:t>
      </w:r>
      <w:r>
        <w:rPr>
          <w:color w:val="666155"/>
          <w:spacing w:val="-4"/>
        </w:rPr>
        <w:t> </w:t>
      </w:r>
      <w:r>
        <w:rPr>
          <w:color w:val="666155"/>
        </w:rPr>
        <w:t>All</w:t>
      </w:r>
      <w:r>
        <w:rPr/>
      </w:r>
    </w:p>
    <w:p>
      <w:pPr>
        <w:pStyle w:val="Heading4"/>
        <w:spacing w:line="300" w:lineRule="exact"/>
        <w:ind w:left="257" w:right="0"/>
        <w:jc w:val="left"/>
      </w:pPr>
      <w:r>
        <w:rPr>
          <w:color w:val="666155"/>
        </w:rPr>
        <w:t>50</w:t>
      </w:r>
      <w:r>
        <w:rPr>
          <w:color w:val="666155"/>
          <w:spacing w:val="-7"/>
        </w:rPr>
        <w:t> </w:t>
      </w:r>
      <w:r>
        <w:rPr>
          <w:color w:val="666155"/>
        </w:rPr>
        <w:t>boarding</w:t>
      </w:r>
      <w:r>
        <w:rPr>
          <w:color w:val="666155"/>
          <w:spacing w:val="-7"/>
        </w:rPr>
        <w:t> </w:t>
      </w:r>
      <w:r>
        <w:rPr>
          <w:color w:val="666155"/>
        </w:rPr>
        <w:t>providers</w:t>
      </w:r>
      <w:r>
        <w:rPr>
          <w:color w:val="666155"/>
          <w:spacing w:val="-8"/>
        </w:rPr>
        <w:t> </w:t>
      </w:r>
      <w:r>
        <w:rPr>
          <w:color w:val="666155"/>
        </w:rPr>
        <w:t>analysed</w:t>
      </w:r>
      <w:r>
        <w:rPr>
          <w:color w:val="666155"/>
          <w:spacing w:val="-7"/>
        </w:rPr>
        <w:t> </w:t>
      </w:r>
      <w:r>
        <w:rPr>
          <w:color w:val="666155"/>
        </w:rPr>
        <w:t>for</w:t>
      </w:r>
      <w:r>
        <w:rPr>
          <w:color w:val="666155"/>
          <w:spacing w:val="-6"/>
        </w:rPr>
        <w:t> </w:t>
      </w:r>
      <w:r>
        <w:rPr>
          <w:color w:val="666155"/>
        </w:rPr>
        <w:t>this</w:t>
      </w:r>
      <w:r>
        <w:rPr>
          <w:color w:val="666155"/>
        </w:rPr>
        <w:t> </w:t>
      </w:r>
      <w:r>
        <w:rPr>
          <w:rFonts w:ascii="Segoe UI"/>
          <w:color w:val="666155"/>
        </w:rPr>
        <w:t>report are not-for-profit (most are also</w:t>
      </w:r>
      <w:r>
        <w:rPr>
          <w:rFonts w:ascii="Segoe UI"/>
          <w:color w:val="666155"/>
        </w:rPr>
        <w:t> </w:t>
      </w:r>
      <w:r>
        <w:rPr>
          <w:color w:val="666155"/>
        </w:rPr>
        <w:t>registered</w:t>
      </w:r>
      <w:r>
        <w:rPr>
          <w:color w:val="666155"/>
          <w:spacing w:val="-14"/>
        </w:rPr>
        <w:t> </w:t>
      </w:r>
      <w:r>
        <w:rPr>
          <w:color w:val="666155"/>
        </w:rPr>
        <w:t>charities)</w:t>
      </w:r>
      <w:r>
        <w:rPr>
          <w:color w:val="666155"/>
          <w:spacing w:val="-13"/>
        </w:rPr>
        <w:t> </w:t>
      </w:r>
      <w:r>
        <w:rPr>
          <w:color w:val="666155"/>
        </w:rPr>
        <w:t>or</w:t>
      </w:r>
      <w:r>
        <w:rPr>
          <w:color w:val="666155"/>
          <w:spacing w:val="-12"/>
        </w:rPr>
        <w:t> </w:t>
      </w:r>
      <w:r>
        <w:rPr>
          <w:color w:val="666155"/>
        </w:rPr>
        <w:t>government</w:t>
      </w:r>
      <w:r>
        <w:rPr>
          <w:color w:val="666155"/>
          <w:w w:val="99"/>
        </w:rPr>
        <w:t> </w:t>
      </w:r>
      <w:r>
        <w:rPr>
          <w:color w:val="666155"/>
        </w:rPr>
        <w:t>facilities</w:t>
      </w:r>
      <w:r>
        <w:rPr>
          <w:color w:val="666155"/>
          <w:spacing w:val="-3"/>
        </w:rPr>
        <w:t> </w:t>
      </w:r>
      <w:r>
        <w:rPr>
          <w:color w:val="666155"/>
        </w:rPr>
        <w:t>or</w:t>
      </w:r>
      <w:r>
        <w:rPr>
          <w:color w:val="666155"/>
          <w:spacing w:val="-1"/>
        </w:rPr>
        <w:t> schools.</w:t>
      </w:r>
      <w:r>
        <w:rPr/>
      </w:r>
    </w:p>
    <w:p>
      <w:pPr>
        <w:spacing w:after="0" w:line="300" w:lineRule="exact"/>
        <w:jc w:val="left"/>
        <w:sectPr>
          <w:type w:val="continuous"/>
          <w:pgSz w:w="11910" w:h="16840"/>
          <w:pgMar w:top="1580" w:bottom="280" w:left="1160" w:right="1640"/>
          <w:cols w:num="2" w:equalWidth="0">
            <w:col w:w="4510" w:space="82"/>
            <w:col w:w="4518"/>
          </w:cols>
        </w:sectPr>
      </w:pPr>
    </w:p>
    <w:p>
      <w:pPr>
        <w:spacing w:line="240" w:lineRule="auto" w:before="0"/>
        <w:rPr>
          <w:rFonts w:ascii="Segoe UI" w:hAnsi="Segoe UI" w:cs="Segoe UI" w:eastAsia="Segoe UI"/>
          <w:sz w:val="20"/>
          <w:szCs w:val="20"/>
        </w:rPr>
      </w:pPr>
    </w:p>
    <w:p>
      <w:pPr>
        <w:spacing w:line="240" w:lineRule="auto" w:before="11"/>
        <w:rPr>
          <w:rFonts w:ascii="Segoe UI" w:hAnsi="Segoe UI" w:cs="Segoe UI" w:eastAsia="Segoe UI"/>
          <w:sz w:val="20"/>
          <w:szCs w:val="20"/>
        </w:rPr>
      </w:pPr>
    </w:p>
    <w:p>
      <w:pPr>
        <w:spacing w:after="0" w:line="240" w:lineRule="auto"/>
        <w:rPr>
          <w:rFonts w:ascii="Segoe UI" w:hAnsi="Segoe UI" w:cs="Segoe UI" w:eastAsia="Segoe UI"/>
          <w:sz w:val="20"/>
          <w:szCs w:val="20"/>
        </w:rPr>
        <w:sectPr>
          <w:pgSz w:w="11910" w:h="16840"/>
          <w:pgMar w:header="0" w:footer="691" w:top="1580" w:bottom="880" w:left="1600" w:right="1300"/>
        </w:sectPr>
      </w:pPr>
    </w:p>
    <w:p>
      <w:pPr>
        <w:spacing w:before="14"/>
        <w:ind w:left="100" w:right="0" w:firstLine="0"/>
        <w:jc w:val="left"/>
        <w:rPr>
          <w:rFonts w:ascii="Segoe UI" w:hAnsi="Segoe UI" w:cs="Segoe UI" w:eastAsia="Segoe UI"/>
          <w:sz w:val="32"/>
          <w:szCs w:val="32"/>
        </w:rPr>
      </w:pPr>
      <w:r>
        <w:rPr>
          <w:rFonts w:ascii="Segoe UI"/>
          <w:b/>
          <w:color w:val="452A70"/>
          <w:sz w:val="32"/>
        </w:rPr>
        <w:t>Collection</w:t>
      </w:r>
      <w:r>
        <w:rPr>
          <w:rFonts w:ascii="Segoe UI"/>
          <w:b/>
          <w:color w:val="452A70"/>
          <w:spacing w:val="-1"/>
          <w:sz w:val="32"/>
        </w:rPr>
        <w:t> </w:t>
      </w:r>
      <w:r>
        <w:rPr>
          <w:rFonts w:ascii="Segoe UI"/>
          <w:b/>
          <w:color w:val="452A70"/>
          <w:spacing w:val="-3"/>
          <w:sz w:val="32"/>
        </w:rPr>
        <w:t>of</w:t>
      </w:r>
      <w:r>
        <w:rPr>
          <w:rFonts w:ascii="Segoe UI"/>
          <w:b/>
          <w:color w:val="452A70"/>
          <w:spacing w:val="-1"/>
          <w:sz w:val="32"/>
        </w:rPr>
        <w:t> data</w:t>
      </w:r>
      <w:r>
        <w:rPr>
          <w:rFonts w:ascii="Segoe UI"/>
          <w:sz w:val="32"/>
        </w:rPr>
      </w:r>
    </w:p>
    <w:p>
      <w:pPr>
        <w:pStyle w:val="BodyText"/>
        <w:spacing w:line="250" w:lineRule="exact" w:before="111"/>
        <w:ind w:left="100" w:right="30"/>
        <w:jc w:val="left"/>
      </w:pPr>
      <w:r>
        <w:rPr>
          <w:color w:val="231F20"/>
        </w:rPr>
        <w:t>Grant</w:t>
      </w:r>
      <w:r>
        <w:rPr>
          <w:color w:val="231F20"/>
          <w:spacing w:val="-8"/>
        </w:rPr>
        <w:t> </w:t>
      </w:r>
      <w:r>
        <w:rPr>
          <w:color w:val="231F20"/>
        </w:rPr>
        <w:t>Thornton</w:t>
      </w:r>
      <w:r>
        <w:rPr>
          <w:color w:val="231F20"/>
          <w:spacing w:val="-9"/>
        </w:rPr>
        <w:t> </w:t>
      </w:r>
      <w:r>
        <w:rPr>
          <w:color w:val="231F20"/>
        </w:rPr>
        <w:t>adopted</w:t>
      </w:r>
      <w:r>
        <w:rPr>
          <w:color w:val="231F20"/>
          <w:spacing w:val="-9"/>
        </w:rPr>
        <w:t> </w:t>
      </w:r>
      <w:r>
        <w:rPr>
          <w:color w:val="231F20"/>
        </w:rPr>
        <w:t>the</w:t>
      </w:r>
      <w:r>
        <w:rPr>
          <w:color w:val="231F20"/>
          <w:spacing w:val="-9"/>
        </w:rPr>
        <w:t> </w:t>
      </w:r>
      <w:r>
        <w:rPr>
          <w:color w:val="231F20"/>
        </w:rPr>
        <w:t>following</w:t>
      </w:r>
      <w:r>
        <w:rPr>
          <w:color w:val="231F20"/>
          <w:w w:val="99"/>
        </w:rPr>
        <w:t> </w:t>
      </w:r>
      <w:r>
        <w:rPr>
          <w:color w:val="231F20"/>
          <w:spacing w:val="-1"/>
        </w:rPr>
        <w:t>methodology</w:t>
      </w:r>
      <w:r>
        <w:rPr>
          <w:color w:val="231F20"/>
          <w:spacing w:val="-6"/>
        </w:rPr>
        <w:t> </w:t>
      </w:r>
      <w:r>
        <w:rPr>
          <w:color w:val="231F20"/>
        </w:rPr>
        <w:t>for</w:t>
      </w:r>
      <w:r>
        <w:rPr>
          <w:color w:val="231F20"/>
          <w:spacing w:val="-7"/>
        </w:rPr>
        <w:t> </w:t>
      </w:r>
      <w:r>
        <w:rPr>
          <w:color w:val="231F20"/>
        </w:rPr>
        <w:t>this</w:t>
      </w:r>
      <w:r>
        <w:rPr>
          <w:color w:val="231F20"/>
          <w:spacing w:val="-8"/>
        </w:rPr>
        <w:t> </w:t>
      </w:r>
      <w:r>
        <w:rPr>
          <w:color w:val="231F20"/>
        </w:rPr>
        <w:t>report:</w:t>
      </w:r>
      <w:r>
        <w:rPr/>
      </w:r>
    </w:p>
    <w:p>
      <w:pPr>
        <w:pStyle w:val="BodyText"/>
        <w:spacing w:line="250" w:lineRule="exact" w:before="113"/>
        <w:ind w:left="327" w:right="182" w:hanging="227"/>
        <w:jc w:val="left"/>
      </w:pPr>
      <w:r>
        <w:rPr>
          <w:rFonts w:ascii="Century Gothic" w:hAnsi="Century Gothic"/>
          <w:color w:val="231F20"/>
        </w:rPr>
        <w:t>» </w:t>
      </w:r>
      <w:r>
        <w:rPr>
          <w:rFonts w:ascii="Century Gothic" w:hAnsi="Century Gothic"/>
          <w:color w:val="231F20"/>
          <w:spacing w:val="19"/>
        </w:rPr>
        <w:t> </w:t>
      </w:r>
      <w:r>
        <w:rPr>
          <w:color w:val="231F20"/>
        </w:rPr>
        <w:t>An</w:t>
      </w:r>
      <w:r>
        <w:rPr>
          <w:color w:val="231F20"/>
          <w:spacing w:val="-5"/>
        </w:rPr>
        <w:t> </w:t>
      </w:r>
      <w:r>
        <w:rPr>
          <w:color w:val="231F20"/>
          <w:spacing w:val="-1"/>
        </w:rPr>
        <w:t>introduction</w:t>
      </w:r>
      <w:r>
        <w:rPr>
          <w:color w:val="231F20"/>
          <w:spacing w:val="-4"/>
        </w:rPr>
        <w:t> </w:t>
      </w:r>
      <w:r>
        <w:rPr>
          <w:color w:val="231F20"/>
          <w:spacing w:val="-1"/>
        </w:rPr>
        <w:t>letter</w:t>
      </w:r>
      <w:r>
        <w:rPr>
          <w:color w:val="231F20"/>
          <w:spacing w:val="-5"/>
        </w:rPr>
        <w:t> </w:t>
      </w:r>
      <w:r>
        <w:rPr>
          <w:color w:val="231F20"/>
        </w:rPr>
        <w:t>explaining</w:t>
      </w:r>
      <w:r>
        <w:rPr>
          <w:color w:val="231F20"/>
          <w:spacing w:val="-6"/>
        </w:rPr>
        <w:t> </w:t>
      </w:r>
      <w:r>
        <w:rPr>
          <w:color w:val="231F20"/>
        </w:rPr>
        <w:t>the</w:t>
      </w:r>
      <w:r>
        <w:rPr>
          <w:color w:val="231F20"/>
          <w:spacing w:val="23"/>
          <w:w w:val="99"/>
        </w:rPr>
        <w:t> </w:t>
      </w:r>
      <w:r>
        <w:rPr>
          <w:color w:val="231F20"/>
        </w:rPr>
        <w:t>background</w:t>
      </w:r>
      <w:r>
        <w:rPr>
          <w:color w:val="231F20"/>
          <w:spacing w:val="-5"/>
        </w:rPr>
        <w:t> </w:t>
      </w:r>
      <w:r>
        <w:rPr>
          <w:color w:val="231F20"/>
        </w:rPr>
        <w:t>of</w:t>
      </w:r>
      <w:r>
        <w:rPr>
          <w:color w:val="231F20"/>
          <w:spacing w:val="-3"/>
        </w:rPr>
        <w:t> </w:t>
      </w:r>
      <w:r>
        <w:rPr>
          <w:color w:val="231F20"/>
        </w:rPr>
        <w:t>the</w:t>
      </w:r>
      <w:r>
        <w:rPr>
          <w:color w:val="231F20"/>
          <w:spacing w:val="-4"/>
        </w:rPr>
        <w:t> </w:t>
      </w:r>
      <w:r>
        <w:rPr>
          <w:color w:val="231F20"/>
        </w:rPr>
        <w:t>analysis</w:t>
      </w:r>
      <w:r>
        <w:rPr>
          <w:color w:val="231F20"/>
          <w:spacing w:val="-4"/>
        </w:rPr>
        <w:t> </w:t>
      </w:r>
      <w:r>
        <w:rPr>
          <w:color w:val="231F20"/>
        </w:rPr>
        <w:t>was</w:t>
      </w:r>
      <w:r>
        <w:rPr>
          <w:color w:val="231F20"/>
          <w:spacing w:val="-4"/>
        </w:rPr>
        <w:t> </w:t>
      </w:r>
      <w:r>
        <w:rPr>
          <w:color w:val="231F20"/>
          <w:spacing w:val="-1"/>
        </w:rPr>
        <w:t>sent</w:t>
      </w:r>
      <w:r>
        <w:rPr>
          <w:color w:val="231F20"/>
          <w:spacing w:val="-3"/>
        </w:rPr>
        <w:t> </w:t>
      </w:r>
      <w:r>
        <w:rPr>
          <w:color w:val="231F20"/>
          <w:spacing w:val="-1"/>
        </w:rPr>
        <w:t>in</w:t>
      </w:r>
      <w:r>
        <w:rPr>
          <w:color w:val="231F20"/>
          <w:spacing w:val="21"/>
        </w:rPr>
        <w:t> </w:t>
      </w:r>
      <w:r>
        <w:rPr>
          <w:color w:val="231F20"/>
        </w:rPr>
        <w:t>August</w:t>
      </w:r>
      <w:r>
        <w:rPr>
          <w:color w:val="231F20"/>
          <w:spacing w:val="-4"/>
        </w:rPr>
        <w:t> </w:t>
      </w:r>
      <w:r>
        <w:rPr>
          <w:color w:val="231F20"/>
          <w:spacing w:val="-1"/>
        </w:rPr>
        <w:t>2018</w:t>
      </w:r>
      <w:r>
        <w:rPr>
          <w:color w:val="231F20"/>
          <w:spacing w:val="-3"/>
        </w:rPr>
        <w:t> </w:t>
      </w:r>
      <w:r>
        <w:rPr>
          <w:color w:val="231F20"/>
        </w:rPr>
        <w:t>to</w:t>
      </w:r>
      <w:r>
        <w:rPr>
          <w:color w:val="231F20"/>
          <w:spacing w:val="-4"/>
        </w:rPr>
        <w:t> </w:t>
      </w:r>
      <w:r>
        <w:rPr>
          <w:color w:val="231F20"/>
        </w:rPr>
        <w:t>all</w:t>
      </w:r>
      <w:r>
        <w:rPr>
          <w:color w:val="231F20"/>
          <w:spacing w:val="-4"/>
        </w:rPr>
        <w:t> </w:t>
      </w:r>
      <w:r>
        <w:rPr>
          <w:color w:val="231F20"/>
        </w:rPr>
        <w:t>Aboriginal</w:t>
      </w:r>
      <w:r>
        <w:rPr>
          <w:color w:val="231F20"/>
          <w:spacing w:val="-3"/>
        </w:rPr>
        <w:t> </w:t>
      </w:r>
      <w:r>
        <w:rPr>
          <w:color w:val="231F20"/>
        </w:rPr>
        <w:t>and</w:t>
      </w:r>
      <w:r>
        <w:rPr>
          <w:color w:val="231F20"/>
          <w:spacing w:val="-5"/>
        </w:rPr>
        <w:t> Torres</w:t>
      </w:r>
      <w:r>
        <w:rPr>
          <w:color w:val="231F20"/>
          <w:spacing w:val="25"/>
          <w:w w:val="99"/>
        </w:rPr>
        <w:t> </w:t>
      </w:r>
      <w:r>
        <w:rPr>
          <w:color w:val="231F20"/>
          <w:spacing w:val="-2"/>
        </w:rPr>
        <w:t>Strait</w:t>
      </w:r>
      <w:r>
        <w:rPr>
          <w:color w:val="231F20"/>
          <w:spacing w:val="-10"/>
        </w:rPr>
        <w:t> </w:t>
      </w:r>
      <w:r>
        <w:rPr>
          <w:color w:val="231F20"/>
          <w:spacing w:val="-1"/>
        </w:rPr>
        <w:t>Islander</w:t>
      </w:r>
      <w:r>
        <w:rPr>
          <w:color w:val="231F20"/>
          <w:spacing w:val="-9"/>
        </w:rPr>
        <w:t> </w:t>
      </w:r>
      <w:r>
        <w:rPr>
          <w:color w:val="231F20"/>
        </w:rPr>
        <w:t>boarding</w:t>
      </w:r>
      <w:r>
        <w:rPr>
          <w:color w:val="231F20"/>
          <w:spacing w:val="-9"/>
        </w:rPr>
        <w:t> </w:t>
      </w:r>
      <w:r>
        <w:rPr>
          <w:color w:val="231F20"/>
        </w:rPr>
        <w:t>providers</w:t>
      </w:r>
      <w:r>
        <w:rPr>
          <w:color w:val="231F20"/>
          <w:spacing w:val="-10"/>
        </w:rPr>
        <w:t> </w:t>
      </w:r>
      <w:r>
        <w:rPr>
          <w:color w:val="231F20"/>
          <w:spacing w:val="-1"/>
        </w:rPr>
        <w:t>included</w:t>
      </w:r>
      <w:r>
        <w:rPr>
          <w:color w:val="231F20"/>
          <w:spacing w:val="26"/>
          <w:w w:val="99"/>
        </w:rPr>
        <w:t> </w:t>
      </w:r>
      <w:r>
        <w:rPr>
          <w:color w:val="231F20"/>
          <w:spacing w:val="-1"/>
        </w:rPr>
        <w:t>in</w:t>
      </w:r>
      <w:r>
        <w:rPr>
          <w:color w:val="231F20"/>
          <w:spacing w:val="-3"/>
        </w:rPr>
        <w:t> </w:t>
      </w:r>
      <w:r>
        <w:rPr>
          <w:color w:val="231F20"/>
        </w:rPr>
        <w:t>the</w:t>
      </w:r>
      <w:r>
        <w:rPr>
          <w:color w:val="231F20"/>
          <w:spacing w:val="-3"/>
        </w:rPr>
        <w:t> </w:t>
      </w:r>
      <w:r>
        <w:rPr>
          <w:color w:val="231F20"/>
        </w:rPr>
        <w:t>analysis,</w:t>
      </w:r>
      <w:r>
        <w:rPr>
          <w:color w:val="231F20"/>
          <w:spacing w:val="-4"/>
        </w:rPr>
        <w:t> </w:t>
      </w:r>
      <w:r>
        <w:rPr>
          <w:color w:val="231F20"/>
        </w:rPr>
        <w:t>as</w:t>
      </w:r>
      <w:r>
        <w:rPr>
          <w:color w:val="231F20"/>
          <w:spacing w:val="-3"/>
        </w:rPr>
        <w:t> </w:t>
      </w:r>
      <w:r>
        <w:rPr>
          <w:color w:val="231F20"/>
        </w:rPr>
        <w:t>well</w:t>
      </w:r>
      <w:r>
        <w:rPr>
          <w:color w:val="231F20"/>
          <w:spacing w:val="-4"/>
        </w:rPr>
        <w:t> </w:t>
      </w:r>
      <w:r>
        <w:rPr>
          <w:color w:val="231F20"/>
        </w:rPr>
        <w:t>as</w:t>
      </w:r>
      <w:r>
        <w:rPr>
          <w:color w:val="231F20"/>
          <w:spacing w:val="-3"/>
        </w:rPr>
        <w:t> </w:t>
      </w:r>
      <w:r>
        <w:rPr>
          <w:color w:val="231F20"/>
        </w:rPr>
        <w:t>peak</w:t>
      </w:r>
      <w:r>
        <w:rPr>
          <w:color w:val="231F20"/>
          <w:spacing w:val="-3"/>
        </w:rPr>
        <w:t> </w:t>
      </w:r>
      <w:r>
        <w:rPr>
          <w:color w:val="231F20"/>
        </w:rPr>
        <w:t>bodies.</w:t>
      </w:r>
      <w:r>
        <w:rPr/>
      </w:r>
    </w:p>
    <w:p>
      <w:pPr>
        <w:pStyle w:val="BodyText"/>
        <w:spacing w:line="250" w:lineRule="exact" w:before="113"/>
        <w:ind w:left="327" w:right="0" w:hanging="227"/>
        <w:jc w:val="left"/>
      </w:pPr>
      <w:r>
        <w:rPr>
          <w:rFonts w:ascii="Century Gothic" w:hAnsi="Century Gothic"/>
          <w:color w:val="231F20"/>
        </w:rPr>
        <w:t>» </w:t>
      </w:r>
      <w:r>
        <w:rPr>
          <w:rFonts w:ascii="Century Gothic" w:hAnsi="Century Gothic"/>
          <w:color w:val="231F20"/>
          <w:spacing w:val="22"/>
        </w:rPr>
        <w:t> </w:t>
      </w:r>
      <w:r>
        <w:rPr>
          <w:color w:val="231F20"/>
        </w:rPr>
        <w:t>A</w:t>
      </w:r>
      <w:r>
        <w:rPr>
          <w:color w:val="231F20"/>
          <w:spacing w:val="-4"/>
        </w:rPr>
        <w:t> </w:t>
      </w:r>
      <w:r>
        <w:rPr>
          <w:color w:val="231F20"/>
          <w:spacing w:val="-1"/>
        </w:rPr>
        <w:t>literature</w:t>
      </w:r>
      <w:r>
        <w:rPr>
          <w:color w:val="231F20"/>
          <w:spacing w:val="-3"/>
        </w:rPr>
        <w:t> </w:t>
      </w:r>
      <w:r>
        <w:rPr>
          <w:color w:val="231F20"/>
        </w:rPr>
        <w:t>review</w:t>
      </w:r>
      <w:r>
        <w:rPr>
          <w:color w:val="231F20"/>
          <w:spacing w:val="-5"/>
        </w:rPr>
        <w:t> </w:t>
      </w:r>
      <w:r>
        <w:rPr>
          <w:color w:val="231F20"/>
        </w:rPr>
        <w:t>was</w:t>
      </w:r>
      <w:r>
        <w:rPr>
          <w:color w:val="231F20"/>
          <w:spacing w:val="-4"/>
        </w:rPr>
        <w:t> </w:t>
      </w:r>
      <w:r>
        <w:rPr>
          <w:color w:val="231F20"/>
        </w:rPr>
        <w:t>conducted</w:t>
      </w:r>
      <w:r>
        <w:rPr>
          <w:color w:val="231F20"/>
          <w:spacing w:val="-4"/>
        </w:rPr>
        <w:t> </w:t>
      </w:r>
      <w:r>
        <w:rPr>
          <w:color w:val="231F20"/>
        </w:rPr>
        <w:t>of</w:t>
      </w:r>
      <w:r>
        <w:rPr>
          <w:color w:val="231F20"/>
          <w:spacing w:val="-4"/>
        </w:rPr>
        <w:t> </w:t>
      </w:r>
      <w:r>
        <w:rPr>
          <w:color w:val="231F20"/>
        </w:rPr>
        <w:t>existing</w:t>
      </w:r>
      <w:r>
        <w:rPr>
          <w:color w:val="231F20"/>
          <w:spacing w:val="22"/>
        </w:rPr>
        <w:t> </w:t>
      </w:r>
      <w:r>
        <w:rPr>
          <w:color w:val="231F20"/>
        </w:rPr>
        <w:t>reviews</w:t>
      </w:r>
      <w:r>
        <w:rPr>
          <w:color w:val="231F20"/>
          <w:spacing w:val="-7"/>
        </w:rPr>
        <w:t> </w:t>
      </w:r>
      <w:r>
        <w:rPr>
          <w:color w:val="231F20"/>
        </w:rPr>
        <w:t>and</w:t>
      </w:r>
      <w:r>
        <w:rPr>
          <w:color w:val="231F20"/>
          <w:spacing w:val="-7"/>
        </w:rPr>
        <w:t> </w:t>
      </w:r>
      <w:r>
        <w:rPr>
          <w:color w:val="231F20"/>
        </w:rPr>
        <w:t>reports</w:t>
      </w:r>
      <w:r>
        <w:rPr>
          <w:color w:val="231F20"/>
          <w:spacing w:val="-8"/>
        </w:rPr>
        <w:t> </w:t>
      </w:r>
      <w:r>
        <w:rPr>
          <w:color w:val="231F20"/>
          <w:spacing w:val="-1"/>
        </w:rPr>
        <w:t>into</w:t>
      </w:r>
      <w:r>
        <w:rPr>
          <w:color w:val="231F20"/>
          <w:spacing w:val="-6"/>
        </w:rPr>
        <w:t> </w:t>
      </w:r>
      <w:r>
        <w:rPr>
          <w:color w:val="231F20"/>
        </w:rPr>
        <w:t>boarding</w:t>
      </w:r>
      <w:r>
        <w:rPr>
          <w:color w:val="231F20"/>
          <w:spacing w:val="-7"/>
        </w:rPr>
        <w:t> </w:t>
      </w:r>
      <w:r>
        <w:rPr>
          <w:color w:val="231F20"/>
        </w:rPr>
        <w:t>for</w:t>
      </w:r>
      <w:r>
        <w:rPr>
          <w:color w:val="231F20"/>
          <w:spacing w:val="21"/>
          <w:w w:val="99"/>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5"/>
        </w:rPr>
        <w:t> </w:t>
      </w:r>
      <w:r>
        <w:rPr>
          <w:color w:val="231F20"/>
          <w:spacing w:val="-1"/>
        </w:rPr>
        <w:t>Islander</w:t>
      </w:r>
      <w:r>
        <w:rPr>
          <w:color w:val="231F20"/>
          <w:spacing w:val="-5"/>
        </w:rPr>
        <w:t> </w:t>
      </w:r>
      <w:r>
        <w:rPr>
          <w:color w:val="231F20"/>
          <w:spacing w:val="-1"/>
        </w:rPr>
        <w:t>students</w:t>
      </w:r>
      <w:r>
        <w:rPr>
          <w:color w:val="231F20"/>
          <w:spacing w:val="20"/>
        </w:rPr>
        <w:t> </w:t>
      </w:r>
      <w:r>
        <w:rPr>
          <w:color w:val="231F20"/>
        </w:rPr>
        <w:t>and</w:t>
      </w:r>
      <w:r>
        <w:rPr>
          <w:color w:val="231F20"/>
          <w:spacing w:val="-7"/>
        </w:rPr>
        <w:t> </w:t>
      </w:r>
      <w:r>
        <w:rPr>
          <w:color w:val="231F20"/>
        </w:rPr>
        <w:t>what</w:t>
      </w:r>
      <w:r>
        <w:rPr>
          <w:color w:val="231F20"/>
          <w:spacing w:val="-6"/>
        </w:rPr>
        <w:t> </w:t>
      </w:r>
      <w:r>
        <w:rPr>
          <w:color w:val="231F20"/>
        </w:rPr>
        <w:t>works</w:t>
      </w:r>
      <w:r>
        <w:rPr>
          <w:color w:val="231F20"/>
          <w:spacing w:val="-6"/>
        </w:rPr>
        <w:t> </w:t>
      </w:r>
      <w:r>
        <w:rPr>
          <w:color w:val="231F20"/>
        </w:rPr>
        <w:t>to</w:t>
      </w:r>
      <w:r>
        <w:rPr>
          <w:color w:val="231F20"/>
          <w:spacing w:val="-6"/>
        </w:rPr>
        <w:t> </w:t>
      </w:r>
      <w:r>
        <w:rPr>
          <w:color w:val="231F20"/>
          <w:spacing w:val="-1"/>
        </w:rPr>
        <w:t>support</w:t>
      </w:r>
      <w:r>
        <w:rPr>
          <w:color w:val="231F20"/>
          <w:spacing w:val="-5"/>
        </w:rPr>
        <w:t> </w:t>
      </w:r>
      <w:r>
        <w:rPr>
          <w:color w:val="231F20"/>
        </w:rPr>
        <w:t>them.</w:t>
      </w:r>
      <w:r>
        <w:rPr/>
      </w:r>
    </w:p>
    <w:p>
      <w:pPr>
        <w:pStyle w:val="BodyText"/>
        <w:spacing w:line="250" w:lineRule="exact" w:before="113"/>
        <w:ind w:left="327" w:right="33" w:hanging="227"/>
        <w:jc w:val="left"/>
      </w:pPr>
      <w:r>
        <w:rPr>
          <w:rFonts w:ascii="Century Gothic" w:hAnsi="Century Gothic"/>
          <w:color w:val="231F20"/>
        </w:rPr>
        <w:t>» </w:t>
      </w:r>
      <w:r>
        <w:rPr>
          <w:rFonts w:ascii="Century Gothic" w:hAnsi="Century Gothic"/>
          <w:color w:val="231F20"/>
          <w:spacing w:val="30"/>
        </w:rPr>
        <w:t> </w:t>
      </w:r>
      <w:r>
        <w:rPr>
          <w:rFonts w:ascii="Segoe UI" w:hAnsi="Segoe UI"/>
          <w:color w:val="231F20"/>
        </w:rPr>
        <w:t>Three year financial and</w:t>
      </w:r>
      <w:r>
        <w:rPr>
          <w:rFonts w:ascii="Segoe UI" w:hAnsi="Segoe UI"/>
          <w:color w:val="231F20"/>
          <w:spacing w:val="-1"/>
        </w:rPr>
        <w:t> </w:t>
      </w:r>
      <w:r>
        <w:rPr>
          <w:rFonts w:ascii="Segoe UI" w:hAnsi="Segoe UI"/>
          <w:color w:val="231F20"/>
        </w:rPr>
        <w:t>operational trend</w:t>
      </w:r>
      <w:r>
        <w:rPr>
          <w:rFonts w:ascii="Segoe UI" w:hAnsi="Segoe UI"/>
          <w:color w:val="231F20"/>
        </w:rPr>
        <w:t> data for 2015, 2016 and 2017 from financial </w:t>
      </w:r>
      <w:r>
        <w:rPr>
          <w:color w:val="231F20"/>
        </w:rPr>
        <w:t>questionnaires</w:t>
      </w:r>
      <w:r>
        <w:rPr>
          <w:color w:val="231F20"/>
          <w:spacing w:val="-10"/>
        </w:rPr>
        <w:t> </w:t>
      </w:r>
      <w:r>
        <w:rPr>
          <w:color w:val="231F20"/>
        </w:rPr>
        <w:t>provided</w:t>
      </w:r>
      <w:r>
        <w:rPr>
          <w:color w:val="231F20"/>
          <w:spacing w:val="-10"/>
        </w:rPr>
        <w:t> </w:t>
      </w:r>
      <w:r>
        <w:rPr>
          <w:color w:val="231F20"/>
        </w:rPr>
        <w:t>to</w:t>
      </w:r>
      <w:r>
        <w:rPr>
          <w:color w:val="231F20"/>
          <w:spacing w:val="-10"/>
        </w:rPr>
        <w:t> </w:t>
      </w:r>
      <w:r>
        <w:rPr>
          <w:color w:val="231F20"/>
        </w:rPr>
        <w:t>the</w:t>
      </w:r>
      <w:r>
        <w:rPr>
          <w:color w:val="231F20"/>
          <w:spacing w:val="-10"/>
        </w:rPr>
        <w:t> </w:t>
      </w:r>
      <w:r>
        <w:rPr>
          <w:color w:val="231F20"/>
          <w:spacing w:val="-1"/>
        </w:rPr>
        <w:t>Department</w:t>
      </w:r>
      <w:r>
        <w:rPr>
          <w:color w:val="231F20"/>
          <w:spacing w:val="20"/>
          <w:w w:val="99"/>
        </w:rPr>
        <w:t> </w:t>
      </w:r>
      <w:r>
        <w:rPr>
          <w:color w:val="231F20"/>
        </w:rPr>
        <w:t>of</w:t>
      </w:r>
      <w:r>
        <w:rPr>
          <w:color w:val="231F20"/>
          <w:spacing w:val="-6"/>
        </w:rPr>
        <w:t> </w:t>
      </w:r>
      <w:r>
        <w:rPr>
          <w:color w:val="231F20"/>
        </w:rPr>
        <w:t>Education</w:t>
      </w:r>
      <w:r>
        <w:rPr>
          <w:color w:val="231F20"/>
          <w:spacing w:val="-6"/>
        </w:rPr>
        <w:t> </w:t>
      </w:r>
      <w:r>
        <w:rPr>
          <w:color w:val="231F20"/>
        </w:rPr>
        <w:t>and</w:t>
      </w:r>
      <w:r>
        <w:rPr>
          <w:color w:val="231F20"/>
          <w:spacing w:val="-6"/>
        </w:rPr>
        <w:t> </w:t>
      </w:r>
      <w:r>
        <w:rPr>
          <w:color w:val="231F20"/>
          <w:spacing w:val="-3"/>
        </w:rPr>
        <w:t>Training</w:t>
      </w:r>
      <w:r>
        <w:rPr>
          <w:color w:val="231F20"/>
          <w:spacing w:val="-6"/>
        </w:rPr>
        <w:t> </w:t>
      </w:r>
      <w:r>
        <w:rPr>
          <w:color w:val="231F20"/>
        </w:rPr>
        <w:t>(DET)</w:t>
      </w:r>
      <w:r>
        <w:rPr>
          <w:color w:val="231F20"/>
          <w:spacing w:val="-6"/>
        </w:rPr>
        <w:t> </w:t>
      </w:r>
      <w:r>
        <w:rPr>
          <w:color w:val="231F20"/>
        </w:rPr>
        <w:t>by</w:t>
      </w:r>
      <w:r>
        <w:rPr>
          <w:color w:val="231F20"/>
          <w:spacing w:val="-5"/>
        </w:rPr>
        <w:t> </w:t>
      </w:r>
      <w:r>
        <w:rPr>
          <w:color w:val="231F20"/>
        </w:rPr>
        <w:t>the</w:t>
      </w:r>
      <w:r>
        <w:rPr>
          <w:color w:val="231F20"/>
          <w:spacing w:val="26"/>
          <w:w w:val="99"/>
        </w:rPr>
        <w:t> </w:t>
      </w:r>
      <w:r>
        <w:rPr>
          <w:color w:val="231F20"/>
        </w:rPr>
        <w:t>boarding</w:t>
      </w:r>
      <w:r>
        <w:rPr>
          <w:color w:val="231F20"/>
          <w:spacing w:val="-7"/>
        </w:rPr>
        <w:t> </w:t>
      </w:r>
      <w:r>
        <w:rPr>
          <w:color w:val="231F20"/>
          <w:spacing w:val="-1"/>
        </w:rPr>
        <w:t>schools</w:t>
      </w:r>
      <w:r>
        <w:rPr>
          <w:color w:val="231F20"/>
          <w:spacing w:val="-5"/>
        </w:rPr>
        <w:t> </w:t>
      </w:r>
      <w:r>
        <w:rPr>
          <w:color w:val="231F20"/>
          <w:spacing w:val="-1"/>
        </w:rPr>
        <w:t>included</w:t>
      </w:r>
      <w:r>
        <w:rPr>
          <w:color w:val="231F20"/>
          <w:spacing w:val="-6"/>
        </w:rPr>
        <w:t> </w:t>
      </w:r>
      <w:r>
        <w:rPr>
          <w:color w:val="231F20"/>
          <w:spacing w:val="-1"/>
        </w:rPr>
        <w:t>in</w:t>
      </w:r>
      <w:r>
        <w:rPr>
          <w:color w:val="231F20"/>
          <w:spacing w:val="-6"/>
        </w:rPr>
        <w:t> </w:t>
      </w:r>
      <w:r>
        <w:rPr>
          <w:color w:val="231F20"/>
        </w:rPr>
        <w:t>the</w:t>
      </w:r>
      <w:r>
        <w:rPr>
          <w:color w:val="231F20"/>
          <w:spacing w:val="-6"/>
        </w:rPr>
        <w:t> </w:t>
      </w:r>
      <w:r>
        <w:rPr>
          <w:color w:val="231F20"/>
        </w:rPr>
        <w:t>evaluation</w:t>
      </w:r>
      <w:r>
        <w:rPr>
          <w:color w:val="231F20"/>
          <w:spacing w:val="24"/>
          <w:w w:val="99"/>
        </w:rPr>
        <w:t> </w:t>
      </w:r>
      <w:r>
        <w:rPr>
          <w:color w:val="231F20"/>
        </w:rPr>
        <w:t>was</w:t>
      </w:r>
      <w:r>
        <w:rPr>
          <w:color w:val="231F20"/>
          <w:spacing w:val="-7"/>
        </w:rPr>
        <w:t> </w:t>
      </w:r>
      <w:r>
        <w:rPr>
          <w:color w:val="231F20"/>
        </w:rPr>
        <w:t>analysed.</w:t>
      </w:r>
      <w:r>
        <w:rPr>
          <w:color w:val="231F20"/>
          <w:spacing w:val="-7"/>
        </w:rPr>
        <w:t> </w:t>
      </w:r>
      <w:r>
        <w:rPr>
          <w:color w:val="231F20"/>
          <w:spacing w:val="-1"/>
        </w:rPr>
        <w:t>Boarding</w:t>
      </w:r>
      <w:r>
        <w:rPr>
          <w:color w:val="231F20"/>
          <w:spacing w:val="-6"/>
        </w:rPr>
        <w:t> </w:t>
      </w:r>
      <w:r>
        <w:rPr>
          <w:color w:val="231F20"/>
        </w:rPr>
        <w:t>revenue</w:t>
      </w:r>
      <w:r>
        <w:rPr>
          <w:color w:val="231F20"/>
          <w:spacing w:val="-7"/>
        </w:rPr>
        <w:t> </w:t>
      </w:r>
      <w:r>
        <w:rPr>
          <w:color w:val="231F20"/>
        </w:rPr>
        <w:t>and</w:t>
      </w:r>
      <w:r>
        <w:rPr>
          <w:color w:val="231F20"/>
          <w:spacing w:val="-7"/>
        </w:rPr>
        <w:t> </w:t>
      </w:r>
      <w:r>
        <w:rPr>
          <w:color w:val="231F20"/>
        </w:rPr>
        <w:t>costs</w:t>
      </w:r>
      <w:r>
        <w:rPr>
          <w:color w:val="231F20"/>
          <w:spacing w:val="22"/>
        </w:rPr>
        <w:t> </w:t>
      </w:r>
      <w:r>
        <w:rPr>
          <w:color w:val="231F20"/>
        </w:rPr>
        <w:t>have</w:t>
      </w:r>
      <w:r>
        <w:rPr>
          <w:color w:val="231F20"/>
          <w:spacing w:val="-8"/>
        </w:rPr>
        <w:t> </w:t>
      </w:r>
      <w:r>
        <w:rPr>
          <w:color w:val="231F20"/>
        </w:rPr>
        <w:t>been</w:t>
      </w:r>
      <w:r>
        <w:rPr>
          <w:color w:val="231F20"/>
          <w:spacing w:val="-8"/>
        </w:rPr>
        <w:t> </w:t>
      </w:r>
      <w:r>
        <w:rPr>
          <w:color w:val="231F20"/>
          <w:spacing w:val="-1"/>
        </w:rPr>
        <w:t>separated</w:t>
      </w:r>
      <w:r>
        <w:rPr>
          <w:color w:val="231F20"/>
          <w:spacing w:val="-6"/>
        </w:rPr>
        <w:t> </w:t>
      </w:r>
      <w:r>
        <w:rPr>
          <w:color w:val="231F20"/>
        </w:rPr>
        <w:t>from</w:t>
      </w:r>
      <w:r>
        <w:rPr>
          <w:color w:val="231F20"/>
          <w:spacing w:val="-7"/>
        </w:rPr>
        <w:t> </w:t>
      </w:r>
      <w:r>
        <w:rPr>
          <w:color w:val="231F20"/>
        </w:rPr>
        <w:t>tuition</w:t>
      </w:r>
      <w:r>
        <w:rPr>
          <w:color w:val="231F20"/>
          <w:spacing w:val="-8"/>
        </w:rPr>
        <w:t> </w:t>
      </w:r>
      <w:r>
        <w:rPr>
          <w:color w:val="231F20"/>
        </w:rPr>
        <w:t>revenue</w:t>
      </w:r>
      <w:r>
        <w:rPr>
          <w:color w:val="231F20"/>
          <w:spacing w:val="22"/>
          <w:w w:val="99"/>
        </w:rPr>
        <w:t> </w:t>
      </w:r>
      <w:r>
        <w:rPr>
          <w:color w:val="231F20"/>
        </w:rPr>
        <w:t>and</w:t>
      </w:r>
      <w:r>
        <w:rPr>
          <w:color w:val="231F20"/>
          <w:spacing w:val="-4"/>
        </w:rPr>
        <w:t> </w:t>
      </w:r>
      <w:r>
        <w:rPr>
          <w:color w:val="231F20"/>
        </w:rPr>
        <w:t>costs</w:t>
      </w:r>
      <w:r>
        <w:rPr>
          <w:color w:val="231F20"/>
          <w:spacing w:val="-3"/>
        </w:rPr>
        <w:t> </w:t>
      </w:r>
      <w:r>
        <w:rPr>
          <w:color w:val="231F20"/>
          <w:spacing w:val="-1"/>
        </w:rPr>
        <w:t>in</w:t>
      </w:r>
      <w:r>
        <w:rPr>
          <w:color w:val="231F20"/>
          <w:spacing w:val="-2"/>
        </w:rPr>
        <w:t> </w:t>
      </w:r>
      <w:r>
        <w:rPr>
          <w:color w:val="231F20"/>
        </w:rPr>
        <w:t>the</w:t>
      </w:r>
      <w:r>
        <w:rPr>
          <w:color w:val="231F20"/>
          <w:spacing w:val="-3"/>
        </w:rPr>
        <w:t> </w:t>
      </w:r>
      <w:r>
        <w:rPr>
          <w:color w:val="231F20"/>
        </w:rPr>
        <w:t>analysis</w:t>
      </w:r>
      <w:r>
        <w:rPr>
          <w:color w:val="231F20"/>
          <w:spacing w:val="-3"/>
        </w:rPr>
        <w:t> </w:t>
      </w:r>
      <w:r>
        <w:rPr>
          <w:color w:val="231F20"/>
        </w:rPr>
        <w:t>for</w:t>
      </w:r>
      <w:r>
        <w:rPr>
          <w:color w:val="231F20"/>
          <w:spacing w:val="-2"/>
        </w:rPr>
        <w:t> </w:t>
      </w:r>
      <w:r>
        <w:rPr>
          <w:color w:val="231F20"/>
        </w:rPr>
        <w:t>this</w:t>
      </w:r>
      <w:r>
        <w:rPr>
          <w:color w:val="231F20"/>
          <w:spacing w:val="-3"/>
        </w:rPr>
        <w:t> </w:t>
      </w:r>
      <w:r>
        <w:rPr>
          <w:color w:val="231F20"/>
        </w:rPr>
        <w:t>report.</w:t>
      </w:r>
      <w:r>
        <w:rPr/>
      </w:r>
    </w:p>
    <w:p>
      <w:pPr>
        <w:pStyle w:val="BodyText"/>
        <w:spacing w:line="258" w:lineRule="exact" w:before="97"/>
        <w:ind w:left="100" w:right="0"/>
        <w:jc w:val="left"/>
      </w:pPr>
      <w:r>
        <w:rPr>
          <w:rFonts w:ascii="Century Gothic" w:hAnsi="Century Gothic"/>
          <w:color w:val="231F20"/>
        </w:rPr>
        <w:t>» </w:t>
      </w:r>
      <w:r>
        <w:rPr>
          <w:rFonts w:ascii="Century Gothic" w:hAnsi="Century Gothic"/>
          <w:color w:val="231F20"/>
          <w:spacing w:val="23"/>
        </w:rPr>
        <w:t> </w:t>
      </w:r>
      <w:r>
        <w:rPr>
          <w:color w:val="231F20"/>
          <w:spacing w:val="-2"/>
        </w:rPr>
        <w:t>Face</w:t>
      </w:r>
      <w:r>
        <w:rPr>
          <w:color w:val="231F20"/>
          <w:spacing w:val="-4"/>
        </w:rPr>
        <w:t> </w:t>
      </w:r>
      <w:r>
        <w:rPr>
          <w:color w:val="231F20"/>
        </w:rPr>
        <w:t>to</w:t>
      </w:r>
      <w:r>
        <w:rPr>
          <w:color w:val="231F20"/>
          <w:spacing w:val="-3"/>
        </w:rPr>
        <w:t> </w:t>
      </w:r>
      <w:r>
        <w:rPr>
          <w:color w:val="231F20"/>
        </w:rPr>
        <w:t>face</w:t>
      </w:r>
      <w:r>
        <w:rPr>
          <w:color w:val="231F20"/>
          <w:spacing w:val="-4"/>
        </w:rPr>
        <w:t> </w:t>
      </w:r>
      <w:r>
        <w:rPr>
          <w:color w:val="231F20"/>
        </w:rPr>
        <w:t>consultations</w:t>
      </w:r>
      <w:r>
        <w:rPr>
          <w:color w:val="231F20"/>
          <w:spacing w:val="-4"/>
        </w:rPr>
        <w:t> </w:t>
      </w:r>
      <w:r>
        <w:rPr>
          <w:color w:val="231F20"/>
        </w:rPr>
        <w:t>were</w:t>
      </w:r>
      <w:r>
        <w:rPr>
          <w:color w:val="231F20"/>
          <w:spacing w:val="-4"/>
        </w:rPr>
        <w:t> </w:t>
      </w:r>
      <w:r>
        <w:rPr>
          <w:color w:val="231F20"/>
        </w:rPr>
        <w:t>conducted</w:t>
      </w:r>
      <w:r>
        <w:rPr/>
      </w:r>
    </w:p>
    <w:p>
      <w:pPr>
        <w:pStyle w:val="BodyText"/>
        <w:spacing w:line="250" w:lineRule="exact"/>
        <w:ind w:left="327" w:right="0"/>
        <w:jc w:val="left"/>
        <w:rPr>
          <w:rFonts w:ascii="Segoe UI" w:hAnsi="Segoe UI" w:cs="Segoe UI" w:eastAsia="Segoe UI"/>
        </w:rPr>
      </w:pPr>
      <w:r>
        <w:rPr>
          <w:rFonts w:ascii="Segoe UI"/>
          <w:color w:val="231F20"/>
        </w:rPr>
        <w:t>with</w:t>
      </w:r>
      <w:r>
        <w:rPr>
          <w:rFonts w:ascii="Segoe UI"/>
          <w:color w:val="231F20"/>
          <w:spacing w:val="-1"/>
        </w:rPr>
        <w:t> </w:t>
      </w:r>
      <w:r>
        <w:rPr>
          <w:rFonts w:ascii="Segoe UI"/>
          <w:color w:val="231F20"/>
        </w:rPr>
        <w:t>senior</w:t>
      </w:r>
      <w:r>
        <w:rPr>
          <w:rFonts w:ascii="Segoe UI"/>
          <w:color w:val="231F20"/>
          <w:spacing w:val="-1"/>
        </w:rPr>
        <w:t> </w:t>
      </w:r>
      <w:r>
        <w:rPr>
          <w:rFonts w:ascii="Segoe UI"/>
          <w:color w:val="231F20"/>
        </w:rPr>
        <w:t>staff of</w:t>
      </w:r>
      <w:r>
        <w:rPr>
          <w:rFonts w:ascii="Segoe UI"/>
          <w:color w:val="231F20"/>
          <w:spacing w:val="-1"/>
        </w:rPr>
        <w:t> </w:t>
      </w:r>
      <w:r>
        <w:rPr>
          <w:rFonts w:ascii="Segoe UI"/>
          <w:color w:val="231F20"/>
        </w:rPr>
        <w:t>each of</w:t>
      </w:r>
      <w:r>
        <w:rPr>
          <w:rFonts w:ascii="Segoe UI"/>
          <w:color w:val="231F20"/>
          <w:spacing w:val="-1"/>
        </w:rPr>
        <w:t> </w:t>
      </w:r>
      <w:r>
        <w:rPr>
          <w:rFonts w:ascii="Segoe UI"/>
          <w:color w:val="231F20"/>
        </w:rPr>
        <w:t>all Aboriginal</w:t>
      </w:r>
      <w:r>
        <w:rPr>
          <w:rFonts w:ascii="Segoe UI"/>
        </w:rPr>
      </w:r>
    </w:p>
    <w:p>
      <w:pPr>
        <w:pStyle w:val="BodyText"/>
        <w:spacing w:line="250" w:lineRule="exact" w:before="8"/>
        <w:ind w:left="327" w:right="30"/>
        <w:jc w:val="left"/>
      </w:pP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7"/>
        </w:rPr>
        <w:t> </w:t>
      </w:r>
      <w:r>
        <w:rPr>
          <w:color w:val="231F20"/>
        </w:rPr>
        <w:t>providers</w:t>
      </w:r>
      <w:r>
        <w:rPr>
          <w:color w:val="231F20"/>
          <w:spacing w:val="21"/>
          <w:w w:val="99"/>
        </w:rPr>
        <w:t> </w:t>
      </w:r>
      <w:r>
        <w:rPr>
          <w:color w:val="231F20"/>
        </w:rPr>
        <w:t>and</w:t>
      </w:r>
      <w:r>
        <w:rPr>
          <w:color w:val="231F20"/>
          <w:spacing w:val="-6"/>
        </w:rPr>
        <w:t> </w:t>
      </w:r>
      <w:r>
        <w:rPr>
          <w:color w:val="231F20"/>
        </w:rPr>
        <w:t>the</w:t>
      </w:r>
      <w:r>
        <w:rPr>
          <w:color w:val="231F20"/>
          <w:spacing w:val="-6"/>
        </w:rPr>
        <w:t> </w:t>
      </w:r>
      <w:r>
        <w:rPr>
          <w:color w:val="231F20"/>
          <w:spacing w:val="-1"/>
        </w:rPr>
        <w:t>majority</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peak</w:t>
      </w:r>
      <w:r>
        <w:rPr>
          <w:color w:val="231F20"/>
          <w:spacing w:val="-6"/>
        </w:rPr>
        <w:t> </w:t>
      </w:r>
      <w:r>
        <w:rPr>
          <w:color w:val="231F20"/>
        </w:rPr>
        <w:t>bodies.</w:t>
      </w:r>
      <w:r>
        <w:rPr/>
      </w:r>
    </w:p>
    <w:p>
      <w:pPr>
        <w:pStyle w:val="BodyText"/>
        <w:spacing w:line="250" w:lineRule="exact"/>
        <w:ind w:left="327" w:right="30"/>
        <w:jc w:val="left"/>
      </w:pPr>
      <w:r>
        <w:rPr>
          <w:color w:val="231F20"/>
        </w:rPr>
        <w:t>A</w:t>
      </w:r>
      <w:r>
        <w:rPr>
          <w:color w:val="231F20"/>
          <w:spacing w:val="-6"/>
        </w:rPr>
        <w:t> </w:t>
      </w:r>
      <w:r>
        <w:rPr>
          <w:color w:val="231F20"/>
          <w:spacing w:val="-1"/>
        </w:rPr>
        <w:t>standardised</w:t>
      </w:r>
      <w:r>
        <w:rPr>
          <w:color w:val="231F20"/>
          <w:spacing w:val="-5"/>
        </w:rPr>
        <w:t> </w:t>
      </w:r>
      <w:r>
        <w:rPr>
          <w:color w:val="231F20"/>
          <w:spacing w:val="-1"/>
        </w:rPr>
        <w:t>interview</w:t>
      </w:r>
      <w:r>
        <w:rPr>
          <w:color w:val="231F20"/>
          <w:spacing w:val="-6"/>
        </w:rPr>
        <w:t> </w:t>
      </w:r>
      <w:r>
        <w:rPr>
          <w:color w:val="231F20"/>
        </w:rPr>
        <w:t>checklist</w:t>
      </w:r>
      <w:r>
        <w:rPr>
          <w:color w:val="231F20"/>
          <w:spacing w:val="-6"/>
        </w:rPr>
        <w:t> </w:t>
      </w:r>
      <w:r>
        <w:rPr>
          <w:color w:val="231F20"/>
        </w:rPr>
        <w:t>was</w:t>
      </w:r>
      <w:r>
        <w:rPr>
          <w:color w:val="231F20"/>
          <w:spacing w:val="23"/>
          <w:w w:val="99"/>
        </w:rPr>
        <w:t> </w:t>
      </w:r>
      <w:r>
        <w:rPr>
          <w:color w:val="231F20"/>
        </w:rPr>
        <w:t>developed</w:t>
      </w:r>
      <w:r>
        <w:rPr>
          <w:color w:val="231F20"/>
          <w:spacing w:val="-9"/>
        </w:rPr>
        <w:t> </w:t>
      </w:r>
      <w:r>
        <w:rPr>
          <w:color w:val="231F20"/>
        </w:rPr>
        <w:t>to</w:t>
      </w:r>
      <w:r>
        <w:rPr>
          <w:color w:val="231F20"/>
          <w:spacing w:val="-8"/>
        </w:rPr>
        <w:t> </w:t>
      </w:r>
      <w:r>
        <w:rPr>
          <w:color w:val="231F20"/>
        </w:rPr>
        <w:t>guide</w:t>
      </w:r>
      <w:r>
        <w:rPr>
          <w:color w:val="231F20"/>
          <w:spacing w:val="-9"/>
        </w:rPr>
        <w:t> </w:t>
      </w:r>
      <w:r>
        <w:rPr>
          <w:color w:val="231F20"/>
        </w:rPr>
        <w:t>the</w:t>
      </w:r>
      <w:r>
        <w:rPr>
          <w:color w:val="231F20"/>
          <w:spacing w:val="-9"/>
        </w:rPr>
        <w:t> </w:t>
      </w:r>
      <w:r>
        <w:rPr>
          <w:color w:val="231F20"/>
        </w:rPr>
        <w:t>consultations.</w:t>
      </w:r>
      <w:r>
        <w:rPr/>
      </w:r>
    </w:p>
    <w:p>
      <w:pPr>
        <w:pStyle w:val="BodyText"/>
        <w:spacing w:line="250" w:lineRule="exact" w:before="113"/>
        <w:ind w:left="327" w:right="219" w:hanging="227"/>
        <w:jc w:val="left"/>
      </w:pPr>
      <w:r>
        <w:rPr>
          <w:rFonts w:ascii="Century Gothic" w:hAnsi="Century Gothic"/>
          <w:color w:val="231F20"/>
        </w:rPr>
        <w:t>» </w:t>
      </w:r>
      <w:r>
        <w:rPr>
          <w:rFonts w:ascii="Century Gothic" w:hAnsi="Century Gothic"/>
          <w:color w:val="231F20"/>
          <w:spacing w:val="21"/>
        </w:rPr>
        <w:t> </w:t>
      </w:r>
      <w:r>
        <w:rPr>
          <w:color w:val="231F20"/>
        </w:rPr>
        <w:t>Aboriginal</w:t>
      </w:r>
      <w:r>
        <w:rPr>
          <w:color w:val="231F20"/>
          <w:spacing w:val="-3"/>
        </w:rPr>
        <w:t> </w:t>
      </w:r>
      <w:r>
        <w:rPr>
          <w:color w:val="231F20"/>
        </w:rPr>
        <w:t>and</w:t>
      </w:r>
      <w:r>
        <w:rPr>
          <w:color w:val="231F20"/>
          <w:spacing w:val="-5"/>
        </w:rPr>
        <w:t> Torres</w:t>
      </w:r>
      <w:r>
        <w:rPr>
          <w:color w:val="231F20"/>
          <w:spacing w:val="-4"/>
        </w:rPr>
        <w:t> </w:t>
      </w:r>
      <w:r>
        <w:rPr>
          <w:color w:val="231F20"/>
          <w:spacing w:val="-2"/>
        </w:rPr>
        <w:t>Strait</w:t>
      </w:r>
      <w:r>
        <w:rPr>
          <w:color w:val="231F20"/>
          <w:spacing w:val="-4"/>
        </w:rPr>
        <w:t> </w:t>
      </w:r>
      <w:r>
        <w:rPr>
          <w:color w:val="231F20"/>
          <w:spacing w:val="-1"/>
        </w:rPr>
        <w:t>Islander</w:t>
      </w:r>
      <w:r>
        <w:rPr>
          <w:color w:val="231F20"/>
          <w:spacing w:val="29"/>
          <w:w w:val="99"/>
        </w:rPr>
        <w:t> </w:t>
      </w:r>
      <w:r>
        <w:rPr>
          <w:color w:val="231F20"/>
        </w:rPr>
        <w:t>boarding</w:t>
      </w:r>
      <w:r>
        <w:rPr>
          <w:color w:val="231F20"/>
          <w:spacing w:val="-8"/>
        </w:rPr>
        <w:t> </w:t>
      </w:r>
      <w:r>
        <w:rPr>
          <w:color w:val="231F20"/>
        </w:rPr>
        <w:t>providers</w:t>
      </w:r>
      <w:r>
        <w:rPr>
          <w:color w:val="231F20"/>
          <w:spacing w:val="-8"/>
        </w:rPr>
        <w:t> </w:t>
      </w:r>
      <w:r>
        <w:rPr>
          <w:color w:val="231F20"/>
        </w:rPr>
        <w:t>were</w:t>
      </w:r>
      <w:r>
        <w:rPr>
          <w:color w:val="231F20"/>
          <w:spacing w:val="-7"/>
        </w:rPr>
        <w:t> </w:t>
      </w:r>
      <w:r>
        <w:rPr>
          <w:color w:val="231F20"/>
        </w:rPr>
        <w:t>provided</w:t>
      </w:r>
      <w:r>
        <w:rPr>
          <w:color w:val="231F20"/>
          <w:spacing w:val="-8"/>
        </w:rPr>
        <w:t> </w:t>
      </w:r>
      <w:r>
        <w:rPr>
          <w:color w:val="231F20"/>
        </w:rPr>
        <w:t>with</w:t>
      </w:r>
      <w:r>
        <w:rPr>
          <w:color w:val="231F20"/>
          <w:spacing w:val="-8"/>
        </w:rPr>
        <w:t> </w:t>
      </w:r>
      <w:r>
        <w:rPr>
          <w:color w:val="231F20"/>
        </w:rPr>
        <w:t>a</w:t>
      </w:r>
      <w:r>
        <w:rPr>
          <w:color w:val="231F20"/>
          <w:w w:val="99"/>
        </w:rPr>
        <w:t> </w:t>
      </w:r>
      <w:r>
        <w:rPr>
          <w:color w:val="231F20"/>
          <w:spacing w:val="-1"/>
        </w:rPr>
        <w:t>self-assessment</w:t>
      </w:r>
      <w:r>
        <w:rPr>
          <w:color w:val="231F20"/>
          <w:spacing w:val="-2"/>
        </w:rPr>
        <w:t> </w:t>
      </w:r>
      <w:r>
        <w:rPr>
          <w:color w:val="231F20"/>
          <w:spacing w:val="-1"/>
        </w:rPr>
        <w:t>survey</w:t>
      </w:r>
      <w:r>
        <w:rPr>
          <w:color w:val="231F20"/>
          <w:spacing w:val="-3"/>
        </w:rPr>
        <w:t> </w:t>
      </w:r>
      <w:r>
        <w:rPr>
          <w:color w:val="231F20"/>
        </w:rPr>
        <w:t>of</w:t>
      </w:r>
      <w:r>
        <w:rPr>
          <w:color w:val="231F20"/>
          <w:spacing w:val="-3"/>
        </w:rPr>
        <w:t> </w:t>
      </w:r>
      <w:r>
        <w:rPr>
          <w:color w:val="231F20"/>
        </w:rPr>
        <w:t>compliance</w:t>
      </w:r>
      <w:r>
        <w:rPr>
          <w:color w:val="231F20"/>
          <w:spacing w:val="-4"/>
        </w:rPr>
        <w:t> </w:t>
      </w:r>
      <w:r>
        <w:rPr>
          <w:color w:val="231F20"/>
        </w:rPr>
        <w:t>with</w:t>
      </w:r>
      <w:r>
        <w:rPr>
          <w:color w:val="231F20"/>
          <w:spacing w:val="23"/>
          <w:w w:val="99"/>
        </w:rPr>
        <w:t> </w:t>
      </w:r>
      <w:r>
        <w:rPr>
          <w:color w:val="231F20"/>
        </w:rPr>
        <w:t>the</w:t>
      </w:r>
      <w:r>
        <w:rPr>
          <w:color w:val="231F20"/>
          <w:spacing w:val="-9"/>
        </w:rPr>
        <w:t> </w:t>
      </w:r>
      <w:r>
        <w:rPr>
          <w:color w:val="231F20"/>
        </w:rPr>
        <w:t>National</w:t>
      </w:r>
      <w:r>
        <w:rPr>
          <w:color w:val="231F20"/>
          <w:spacing w:val="-7"/>
        </w:rPr>
        <w:t> </w:t>
      </w:r>
      <w:r>
        <w:rPr>
          <w:color w:val="231F20"/>
          <w:spacing w:val="-1"/>
        </w:rPr>
        <w:t>Boarding</w:t>
      </w:r>
      <w:r>
        <w:rPr>
          <w:color w:val="231F20"/>
          <w:spacing w:val="-7"/>
        </w:rPr>
        <w:t> </w:t>
      </w:r>
      <w:r>
        <w:rPr>
          <w:color w:val="231F20"/>
          <w:spacing w:val="-1"/>
        </w:rPr>
        <w:t>Standard</w:t>
      </w:r>
      <w:r>
        <w:rPr>
          <w:rFonts w:ascii="Segoe UI Semibold" w:hAnsi="Segoe UI Semibold"/>
          <w:b/>
          <w:color w:val="231F20"/>
          <w:spacing w:val="-1"/>
          <w:position w:val="7"/>
          <w:sz w:val="11"/>
        </w:rPr>
        <w:t>2</w:t>
      </w:r>
      <w:r>
        <w:rPr>
          <w:color w:val="231F20"/>
          <w:spacing w:val="-1"/>
        </w:rPr>
        <w:t>.</w:t>
      </w:r>
      <w:r>
        <w:rPr/>
      </w:r>
    </w:p>
    <w:p>
      <w:pPr>
        <w:pStyle w:val="BodyText"/>
        <w:spacing w:line="250" w:lineRule="exact" w:before="72"/>
        <w:ind w:left="100" w:right="539"/>
        <w:jc w:val="left"/>
      </w:pPr>
      <w:r>
        <w:rPr/>
        <w:br w:type="column"/>
      </w:r>
      <w:r>
        <w:rPr>
          <w:color w:val="231F20"/>
          <w:spacing w:val="-1"/>
        </w:rPr>
        <w:t>For</w:t>
      </w:r>
      <w:r>
        <w:rPr>
          <w:color w:val="231F20"/>
          <w:spacing w:val="-5"/>
        </w:rPr>
        <w:t> </w:t>
      </w:r>
      <w:r>
        <w:rPr>
          <w:color w:val="231F20"/>
        </w:rPr>
        <w:t>this</w:t>
      </w:r>
      <w:r>
        <w:rPr>
          <w:color w:val="231F20"/>
          <w:spacing w:val="-5"/>
        </w:rPr>
        <w:t> </w:t>
      </w:r>
      <w:r>
        <w:rPr>
          <w:color w:val="231F20"/>
        </w:rPr>
        <w:t>report</w:t>
      </w:r>
      <w:r>
        <w:rPr>
          <w:color w:val="231F20"/>
          <w:spacing w:val="-6"/>
        </w:rPr>
        <w:t> </w:t>
      </w:r>
      <w:r>
        <w:rPr>
          <w:color w:val="231F20"/>
        </w:rPr>
        <w:t>Grant</w:t>
      </w:r>
      <w:r>
        <w:rPr>
          <w:color w:val="231F20"/>
          <w:spacing w:val="-4"/>
        </w:rPr>
        <w:t> </w:t>
      </w:r>
      <w:r>
        <w:rPr>
          <w:color w:val="231F20"/>
        </w:rPr>
        <w:t>Thornton</w:t>
      </w:r>
      <w:r>
        <w:rPr>
          <w:color w:val="231F20"/>
          <w:spacing w:val="-5"/>
        </w:rPr>
        <w:t> </w:t>
      </w:r>
      <w:r>
        <w:rPr>
          <w:color w:val="231F20"/>
        </w:rPr>
        <w:t>has</w:t>
      </w:r>
      <w:r>
        <w:rPr>
          <w:color w:val="231F20"/>
          <w:spacing w:val="-6"/>
        </w:rPr>
        <w:t> </w:t>
      </w:r>
      <w:r>
        <w:rPr>
          <w:color w:val="231F20"/>
          <w:spacing w:val="-1"/>
        </w:rPr>
        <w:t>made</w:t>
      </w:r>
      <w:r>
        <w:rPr>
          <w:color w:val="231F20"/>
          <w:spacing w:val="22"/>
          <w:w w:val="99"/>
        </w:rPr>
        <w:t> </w:t>
      </w:r>
      <w:r>
        <w:rPr>
          <w:color w:val="231F20"/>
        </w:rPr>
        <w:t>the</w:t>
      </w:r>
      <w:r>
        <w:rPr>
          <w:color w:val="231F20"/>
          <w:spacing w:val="-6"/>
        </w:rPr>
        <w:t> </w:t>
      </w:r>
      <w:r>
        <w:rPr>
          <w:color w:val="231F20"/>
        </w:rPr>
        <w:t>following</w:t>
      </w:r>
      <w:r>
        <w:rPr>
          <w:color w:val="231F20"/>
          <w:spacing w:val="-5"/>
        </w:rPr>
        <w:t> </w:t>
      </w:r>
      <w:r>
        <w:rPr>
          <w:color w:val="231F20"/>
        </w:rPr>
        <w:t>adjustments</w:t>
      </w:r>
      <w:r>
        <w:rPr>
          <w:color w:val="231F20"/>
          <w:spacing w:val="-6"/>
        </w:rPr>
        <w:t> </w:t>
      </w:r>
      <w:r>
        <w:rPr>
          <w:color w:val="231F20"/>
        </w:rPr>
        <w:t>to</w:t>
      </w:r>
      <w:r>
        <w:rPr>
          <w:color w:val="231F20"/>
          <w:spacing w:val="-5"/>
        </w:rPr>
        <w:t> </w:t>
      </w:r>
      <w:r>
        <w:rPr>
          <w:color w:val="231F20"/>
        </w:rPr>
        <w:t>the</w:t>
      </w:r>
      <w:r>
        <w:rPr>
          <w:color w:val="231F20"/>
          <w:spacing w:val="-6"/>
        </w:rPr>
        <w:t> </w:t>
      </w:r>
      <w:r>
        <w:rPr>
          <w:color w:val="231F20"/>
        </w:rPr>
        <w:t>three-year</w:t>
      </w:r>
      <w:r>
        <w:rPr>
          <w:color w:val="231F20"/>
          <w:w w:val="99"/>
        </w:rPr>
        <w:t> </w:t>
      </w:r>
      <w:r>
        <w:rPr>
          <w:color w:val="231F20"/>
        </w:rPr>
        <w:t>trend</w:t>
      </w:r>
      <w:r>
        <w:rPr>
          <w:color w:val="231F20"/>
          <w:spacing w:val="-10"/>
        </w:rPr>
        <w:t> </w:t>
      </w:r>
      <w:r>
        <w:rPr>
          <w:color w:val="231F20"/>
        </w:rPr>
        <w:t>data:</w:t>
      </w:r>
      <w:r>
        <w:rPr/>
      </w:r>
    </w:p>
    <w:p>
      <w:pPr>
        <w:pStyle w:val="BodyText"/>
        <w:spacing w:line="250" w:lineRule="exact" w:before="113"/>
        <w:ind w:left="327" w:right="164" w:hanging="227"/>
        <w:jc w:val="left"/>
      </w:pPr>
      <w:r>
        <w:rPr>
          <w:rFonts w:ascii="Century Gothic" w:hAnsi="Century Gothic"/>
          <w:color w:val="231F20"/>
        </w:rPr>
        <w:t>» </w:t>
      </w:r>
      <w:r>
        <w:rPr>
          <w:rFonts w:ascii="Century Gothic" w:hAnsi="Century Gothic"/>
          <w:color w:val="231F20"/>
          <w:spacing w:val="21"/>
        </w:rPr>
        <w:t> </w:t>
      </w:r>
      <w:r>
        <w:rPr>
          <w:color w:val="231F20"/>
          <w:spacing w:val="-11"/>
        </w:rPr>
        <w:t>To</w:t>
      </w:r>
      <w:r>
        <w:rPr>
          <w:color w:val="231F20"/>
          <w:spacing w:val="-4"/>
        </w:rPr>
        <w:t> </w:t>
      </w:r>
      <w:r>
        <w:rPr>
          <w:color w:val="231F20"/>
        </w:rPr>
        <w:t>determine</w:t>
      </w:r>
      <w:r>
        <w:rPr>
          <w:color w:val="231F20"/>
          <w:spacing w:val="-5"/>
        </w:rPr>
        <w:t> </w:t>
      </w:r>
      <w:r>
        <w:rPr>
          <w:color w:val="231F20"/>
        </w:rPr>
        <w:t>the</w:t>
      </w:r>
      <w:r>
        <w:rPr>
          <w:color w:val="231F20"/>
          <w:spacing w:val="-4"/>
        </w:rPr>
        <w:t> </w:t>
      </w:r>
      <w:r>
        <w:rPr>
          <w:color w:val="231F20"/>
          <w:spacing w:val="-1"/>
        </w:rPr>
        <w:t>split</w:t>
      </w:r>
      <w:r>
        <w:rPr>
          <w:color w:val="231F20"/>
          <w:spacing w:val="-4"/>
        </w:rPr>
        <w:t> </w:t>
      </w:r>
      <w:r>
        <w:rPr>
          <w:color w:val="231F20"/>
        </w:rPr>
        <w:t>between</w:t>
      </w:r>
      <w:r>
        <w:rPr>
          <w:color w:val="231F20"/>
          <w:spacing w:val="-5"/>
        </w:rPr>
        <w:t> </w:t>
      </w:r>
      <w:r>
        <w:rPr>
          <w:color w:val="231F20"/>
        </w:rPr>
        <w:t>boarding</w:t>
      </w:r>
      <w:r>
        <w:rPr>
          <w:color w:val="231F20"/>
          <w:spacing w:val="-5"/>
        </w:rPr>
        <w:t> </w:t>
      </w:r>
      <w:r>
        <w:rPr>
          <w:color w:val="231F20"/>
        </w:rPr>
        <w:t>and</w:t>
      </w:r>
      <w:r>
        <w:rPr>
          <w:color w:val="231F20"/>
          <w:spacing w:val="21"/>
          <w:w w:val="99"/>
        </w:rPr>
        <w:t> </w:t>
      </w:r>
      <w:r>
        <w:rPr>
          <w:color w:val="231F20"/>
        </w:rPr>
        <w:t>tuition</w:t>
      </w:r>
      <w:r>
        <w:rPr>
          <w:color w:val="231F20"/>
          <w:spacing w:val="-6"/>
        </w:rPr>
        <w:t> </w:t>
      </w:r>
      <w:r>
        <w:rPr>
          <w:color w:val="231F20"/>
        </w:rPr>
        <w:t>(revenue</w:t>
      </w:r>
      <w:r>
        <w:rPr>
          <w:color w:val="231F20"/>
          <w:spacing w:val="-6"/>
        </w:rPr>
        <w:t> </w:t>
      </w:r>
      <w:r>
        <w:rPr>
          <w:color w:val="231F20"/>
        </w:rPr>
        <w:t>and</w:t>
      </w:r>
      <w:r>
        <w:rPr>
          <w:color w:val="231F20"/>
          <w:spacing w:val="-6"/>
        </w:rPr>
        <w:t> </w:t>
      </w:r>
      <w:r>
        <w:rPr>
          <w:color w:val="231F20"/>
        </w:rPr>
        <w:t>costs),</w:t>
      </w:r>
      <w:r>
        <w:rPr>
          <w:color w:val="231F20"/>
          <w:spacing w:val="-6"/>
        </w:rPr>
        <w:t> </w:t>
      </w:r>
      <w:r>
        <w:rPr>
          <w:color w:val="231F20"/>
        </w:rPr>
        <w:t>we</w:t>
      </w:r>
      <w:r>
        <w:rPr>
          <w:color w:val="231F20"/>
          <w:spacing w:val="-6"/>
        </w:rPr>
        <w:t> </w:t>
      </w:r>
      <w:r>
        <w:rPr>
          <w:color w:val="231F20"/>
        </w:rPr>
        <w:t>have</w:t>
      </w:r>
      <w:r>
        <w:rPr>
          <w:color w:val="231F20"/>
          <w:spacing w:val="-5"/>
        </w:rPr>
        <w:t> </w:t>
      </w:r>
      <w:r>
        <w:rPr>
          <w:color w:val="231F20"/>
        </w:rPr>
        <w:t>utilised</w:t>
      </w:r>
      <w:r>
        <w:rPr>
          <w:color w:val="231F20"/>
        </w:rPr>
        <w:t> the</w:t>
      </w:r>
      <w:r>
        <w:rPr>
          <w:color w:val="231F20"/>
          <w:spacing w:val="-5"/>
        </w:rPr>
        <w:t> </w:t>
      </w:r>
      <w:r>
        <w:rPr>
          <w:color w:val="231F20"/>
          <w:spacing w:val="-1"/>
        </w:rPr>
        <w:t>2016</w:t>
      </w:r>
      <w:r>
        <w:rPr>
          <w:color w:val="231F20"/>
          <w:spacing w:val="-4"/>
        </w:rPr>
        <w:t> </w:t>
      </w:r>
      <w:r>
        <w:rPr>
          <w:color w:val="231F20"/>
        </w:rPr>
        <w:t>allocation</w:t>
      </w:r>
      <w:r>
        <w:rPr>
          <w:color w:val="231F20"/>
          <w:spacing w:val="-5"/>
        </w:rPr>
        <w:t> </w:t>
      </w:r>
      <w:r>
        <w:rPr>
          <w:color w:val="231F20"/>
        </w:rPr>
        <w:t>rate</w:t>
      </w:r>
      <w:r>
        <w:rPr>
          <w:color w:val="231F20"/>
          <w:spacing w:val="-4"/>
        </w:rPr>
        <w:t> </w:t>
      </w:r>
      <w:r>
        <w:rPr>
          <w:color w:val="231F20"/>
          <w:spacing w:val="-1"/>
        </w:rPr>
        <w:t>in</w:t>
      </w:r>
      <w:r>
        <w:rPr>
          <w:color w:val="231F20"/>
          <w:spacing w:val="-4"/>
        </w:rPr>
        <w:t> </w:t>
      </w:r>
      <w:r>
        <w:rPr>
          <w:color w:val="231F20"/>
        </w:rPr>
        <w:t>the</w:t>
      </w:r>
      <w:r>
        <w:rPr>
          <w:color w:val="231F20"/>
          <w:spacing w:val="-5"/>
        </w:rPr>
        <w:t> </w:t>
      </w:r>
      <w:r>
        <w:rPr>
          <w:color w:val="231F20"/>
        </w:rPr>
        <w:t>trend</w:t>
      </w:r>
      <w:r>
        <w:rPr>
          <w:color w:val="231F20"/>
          <w:spacing w:val="-4"/>
        </w:rPr>
        <w:t> </w:t>
      </w:r>
      <w:r>
        <w:rPr>
          <w:color w:val="231F20"/>
        </w:rPr>
        <w:t>data</w:t>
      </w:r>
      <w:r>
        <w:rPr>
          <w:color w:val="231F20"/>
          <w:spacing w:val="-5"/>
        </w:rPr>
        <w:t> </w:t>
      </w:r>
      <w:r>
        <w:rPr>
          <w:color w:val="231F20"/>
          <w:spacing w:val="-5"/>
        </w:rPr>
      </w:r>
      <w:r>
        <w:rPr>
          <w:color w:val="231F20"/>
        </w:rPr>
        <w:t>and</w:t>
      </w:r>
      <w:r>
        <w:rPr>
          <w:color w:val="231F20"/>
          <w:spacing w:val="21"/>
        </w:rPr>
        <w:t> </w:t>
      </w:r>
      <w:r>
        <w:rPr>
          <w:color w:val="231F20"/>
        </w:rPr>
        <w:t>applied</w:t>
      </w:r>
      <w:r>
        <w:rPr>
          <w:color w:val="231F20"/>
          <w:spacing w:val="-5"/>
        </w:rPr>
        <w:t> </w:t>
      </w:r>
      <w:r>
        <w:rPr>
          <w:color w:val="231F20"/>
        </w:rPr>
        <w:t>that</w:t>
      </w:r>
      <w:r>
        <w:rPr>
          <w:color w:val="231F20"/>
          <w:spacing w:val="-5"/>
        </w:rPr>
        <w:t> </w:t>
      </w:r>
      <w:r>
        <w:rPr>
          <w:color w:val="231F20"/>
        </w:rPr>
        <w:t>across</w:t>
      </w:r>
      <w:r>
        <w:rPr>
          <w:color w:val="231F20"/>
          <w:spacing w:val="-4"/>
        </w:rPr>
        <w:t> </w:t>
      </w:r>
      <w:r>
        <w:rPr>
          <w:color w:val="231F20"/>
        </w:rPr>
        <w:t>the</w:t>
      </w:r>
      <w:r>
        <w:rPr>
          <w:color w:val="231F20"/>
          <w:spacing w:val="-5"/>
        </w:rPr>
        <w:t> </w:t>
      </w:r>
      <w:r>
        <w:rPr>
          <w:color w:val="231F20"/>
          <w:spacing w:val="-1"/>
        </w:rPr>
        <w:t>2015</w:t>
      </w:r>
      <w:r>
        <w:rPr>
          <w:color w:val="231F20"/>
          <w:spacing w:val="-4"/>
        </w:rPr>
        <w:t> </w:t>
      </w:r>
      <w:r>
        <w:rPr>
          <w:color w:val="231F20"/>
        </w:rPr>
        <w:t>and</w:t>
      </w:r>
      <w:r>
        <w:rPr>
          <w:color w:val="231F20"/>
          <w:spacing w:val="-4"/>
        </w:rPr>
        <w:t> </w:t>
      </w:r>
      <w:r>
        <w:rPr>
          <w:color w:val="231F20"/>
        </w:rPr>
        <w:t>2016</w:t>
      </w:r>
      <w:r>
        <w:rPr>
          <w:color w:val="231F20"/>
        </w:rPr>
        <w:t> </w:t>
      </w:r>
      <w:r>
        <w:rPr>
          <w:color w:val="231F20"/>
          <w:spacing w:val="6"/>
        </w:rPr>
        <w:t>    </w:t>
      </w:r>
      <w:r>
        <w:rPr>
          <w:color w:val="231F20"/>
        </w:rPr>
        <w:t>data</w:t>
      </w:r>
      <w:r>
        <w:rPr>
          <w:color w:val="231F20"/>
          <w:spacing w:val="-6"/>
        </w:rPr>
        <w:t> </w:t>
      </w:r>
      <w:r>
        <w:rPr>
          <w:color w:val="231F20"/>
        </w:rPr>
        <w:t>for</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 </w:t>
      </w:r>
      <w:r>
        <w:rPr>
          <w:color w:val="231F20"/>
          <w:spacing w:val="-2"/>
        </w:rPr>
        <w:t>Strait</w:t>
      </w:r>
      <w:r>
        <w:rPr>
          <w:color w:val="231F20"/>
          <w:spacing w:val="-5"/>
        </w:rPr>
        <w:t> </w:t>
      </w:r>
      <w:r>
        <w:rPr>
          <w:color w:val="231F20"/>
          <w:spacing w:val="-1"/>
        </w:rPr>
        <w:t>Islander</w:t>
      </w:r>
      <w:r>
        <w:rPr>
          <w:color w:val="231F20"/>
          <w:spacing w:val="29"/>
          <w:w w:val="99"/>
        </w:rPr>
        <w:t> </w:t>
      </w:r>
      <w:r>
        <w:rPr>
          <w:color w:val="231F20"/>
        </w:rPr>
        <w:t>boarding</w:t>
      </w:r>
      <w:r>
        <w:rPr>
          <w:color w:val="231F20"/>
          <w:spacing w:val="-6"/>
        </w:rPr>
        <w:t> </w:t>
      </w:r>
      <w:r>
        <w:rPr>
          <w:color w:val="231F20"/>
          <w:spacing w:val="-1"/>
        </w:rPr>
        <w:t>schools.</w:t>
      </w:r>
      <w:r>
        <w:rPr>
          <w:color w:val="231F20"/>
          <w:spacing w:val="-5"/>
        </w:rPr>
        <w:t> </w:t>
      </w:r>
      <w:r>
        <w:rPr>
          <w:color w:val="231F20"/>
        </w:rPr>
        <w:t>The</w:t>
      </w:r>
      <w:r>
        <w:rPr>
          <w:color w:val="231F20"/>
          <w:spacing w:val="-4"/>
        </w:rPr>
        <w:t> </w:t>
      </w:r>
      <w:r>
        <w:rPr>
          <w:color w:val="231F20"/>
          <w:spacing w:val="-1"/>
        </w:rPr>
        <w:t>2017</w:t>
      </w:r>
      <w:r>
        <w:rPr>
          <w:color w:val="231F20"/>
          <w:spacing w:val="-5"/>
        </w:rPr>
        <w:t> </w:t>
      </w:r>
      <w:r>
        <w:rPr>
          <w:color w:val="231F20"/>
        </w:rPr>
        <w:t>allocation</w:t>
      </w:r>
      <w:r>
        <w:rPr>
          <w:color w:val="231F20"/>
          <w:spacing w:val="-6"/>
        </w:rPr>
        <w:t> </w:t>
      </w:r>
      <w:r>
        <w:rPr>
          <w:color w:val="231F20"/>
        </w:rPr>
        <w:t>rate</w:t>
      </w:r>
      <w:r>
        <w:rPr>
          <w:color w:val="231F20"/>
          <w:spacing w:val="23"/>
          <w:w w:val="99"/>
        </w:rPr>
        <w:t> </w:t>
      </w:r>
      <w:r>
        <w:rPr>
          <w:color w:val="231F20"/>
        </w:rPr>
        <w:t>has</w:t>
      </w:r>
      <w:r>
        <w:rPr>
          <w:color w:val="231F20"/>
          <w:spacing w:val="-4"/>
        </w:rPr>
        <w:t> </w:t>
      </w:r>
      <w:r>
        <w:rPr>
          <w:color w:val="231F20"/>
        </w:rPr>
        <w:t>been</w:t>
      </w:r>
      <w:r>
        <w:rPr>
          <w:color w:val="231F20"/>
          <w:spacing w:val="-3"/>
        </w:rPr>
        <w:t> </w:t>
      </w:r>
      <w:r>
        <w:rPr>
          <w:color w:val="231F20"/>
        </w:rPr>
        <w:t>utilised</w:t>
      </w:r>
      <w:r>
        <w:rPr>
          <w:color w:val="231F20"/>
          <w:spacing w:val="-4"/>
        </w:rPr>
        <w:t> </w:t>
      </w:r>
      <w:r>
        <w:rPr>
          <w:color w:val="231F20"/>
        </w:rPr>
        <w:t>for</w:t>
      </w:r>
      <w:r>
        <w:rPr>
          <w:color w:val="231F20"/>
          <w:spacing w:val="-2"/>
        </w:rPr>
        <w:t> </w:t>
      </w:r>
      <w:r>
        <w:rPr>
          <w:color w:val="231F20"/>
        </w:rPr>
        <w:t>the</w:t>
      </w:r>
      <w:r>
        <w:rPr>
          <w:color w:val="231F20"/>
          <w:spacing w:val="-4"/>
        </w:rPr>
        <w:t> </w:t>
      </w:r>
      <w:r>
        <w:rPr>
          <w:color w:val="231F20"/>
          <w:spacing w:val="-1"/>
        </w:rPr>
        <w:t>2017</w:t>
      </w:r>
      <w:r>
        <w:rPr>
          <w:color w:val="231F20"/>
          <w:spacing w:val="-2"/>
        </w:rPr>
        <w:t> </w:t>
      </w:r>
      <w:r>
        <w:rPr>
          <w:color w:val="231F20"/>
        </w:rPr>
        <w:t>data.</w:t>
      </w:r>
      <w:r>
        <w:rPr>
          <w:color w:val="231F20"/>
          <w:spacing w:val="-3"/>
        </w:rPr>
        <w:t> </w:t>
      </w:r>
      <w:r>
        <w:rPr>
          <w:color w:val="231F20"/>
          <w:spacing w:val="-1"/>
        </w:rPr>
        <w:t>For</w:t>
      </w:r>
      <w:r>
        <w:rPr/>
      </w:r>
    </w:p>
    <w:p>
      <w:pPr>
        <w:pStyle w:val="BodyText"/>
        <w:spacing w:line="250" w:lineRule="exact"/>
        <w:ind w:left="327" w:right="243"/>
        <w:jc w:val="left"/>
      </w:pPr>
      <w:r>
        <w:rPr>
          <w:color w:val="231F20"/>
        </w:rPr>
        <w:t>the</w:t>
      </w:r>
      <w:r>
        <w:rPr>
          <w:color w:val="231F20"/>
          <w:spacing w:val="-4"/>
        </w:rPr>
        <w:t> </w:t>
      </w:r>
      <w:r>
        <w:rPr>
          <w:color w:val="231F20"/>
          <w:spacing w:val="-1"/>
        </w:rPr>
        <w:t>mainstream</w:t>
      </w:r>
      <w:r>
        <w:rPr>
          <w:color w:val="231F20"/>
          <w:spacing w:val="-2"/>
        </w:rPr>
        <w:t> </w:t>
      </w:r>
      <w:r>
        <w:rPr>
          <w:color w:val="231F20"/>
        </w:rPr>
        <w:t>boarding</w:t>
      </w:r>
      <w:r>
        <w:rPr>
          <w:color w:val="231F20"/>
          <w:spacing w:val="-4"/>
        </w:rPr>
        <w:t> </w:t>
      </w:r>
      <w:r>
        <w:rPr>
          <w:color w:val="231F20"/>
          <w:spacing w:val="-1"/>
        </w:rPr>
        <w:t>schools</w:t>
      </w:r>
      <w:r>
        <w:rPr>
          <w:color w:val="231F20"/>
          <w:spacing w:val="-3"/>
        </w:rPr>
        <w:t> </w:t>
      </w:r>
      <w:r>
        <w:rPr>
          <w:color w:val="231F20"/>
        </w:rPr>
        <w:t>the</w:t>
      </w:r>
      <w:r>
        <w:rPr>
          <w:color w:val="231F20"/>
          <w:spacing w:val="-3"/>
        </w:rPr>
        <w:t> </w:t>
      </w:r>
      <w:r>
        <w:rPr>
          <w:color w:val="231F20"/>
        </w:rPr>
        <w:t>2017</w:t>
      </w:r>
      <w:r>
        <w:rPr>
          <w:color w:val="231F20"/>
          <w:spacing w:val="23"/>
        </w:rPr>
        <w:t> </w:t>
      </w:r>
      <w:r>
        <w:rPr>
          <w:color w:val="231F20"/>
        </w:rPr>
        <w:t>allocation</w:t>
      </w:r>
      <w:r>
        <w:rPr>
          <w:color w:val="231F20"/>
          <w:spacing w:val="-6"/>
        </w:rPr>
        <w:t> </w:t>
      </w:r>
      <w:r>
        <w:rPr>
          <w:color w:val="231F20"/>
        </w:rPr>
        <w:t>rate</w:t>
      </w:r>
      <w:r>
        <w:rPr>
          <w:color w:val="231F20"/>
          <w:spacing w:val="-5"/>
        </w:rPr>
        <w:t> </w:t>
      </w:r>
      <w:r>
        <w:rPr>
          <w:color w:val="231F20"/>
        </w:rPr>
        <w:t>has</w:t>
      </w:r>
      <w:r>
        <w:rPr>
          <w:color w:val="231F20"/>
          <w:spacing w:val="-6"/>
        </w:rPr>
        <w:t> </w:t>
      </w:r>
      <w:r>
        <w:rPr>
          <w:color w:val="231F20"/>
        </w:rPr>
        <w:t>been</w:t>
      </w:r>
      <w:r>
        <w:rPr>
          <w:color w:val="231F20"/>
          <w:spacing w:val="-5"/>
        </w:rPr>
        <w:t> </w:t>
      </w:r>
      <w:r>
        <w:rPr>
          <w:color w:val="231F20"/>
        </w:rPr>
        <w:t>utilised</w:t>
      </w:r>
      <w:r>
        <w:rPr>
          <w:color w:val="231F20"/>
          <w:spacing w:val="-5"/>
        </w:rPr>
        <w:t> </w:t>
      </w:r>
      <w:r>
        <w:rPr>
          <w:color w:val="231F20"/>
        </w:rPr>
        <w:t>and</w:t>
      </w:r>
      <w:r>
        <w:rPr>
          <w:color w:val="231F20"/>
          <w:spacing w:val="-6"/>
        </w:rPr>
        <w:t> </w:t>
      </w:r>
      <w:r>
        <w:rPr>
          <w:color w:val="231F20"/>
        </w:rPr>
        <w:t>applied</w:t>
      </w:r>
      <w:r>
        <w:rPr>
          <w:color w:val="231F20"/>
          <w:w w:val="99"/>
        </w:rPr>
        <w:t> </w:t>
      </w:r>
      <w:r>
        <w:rPr>
          <w:color w:val="231F20"/>
        </w:rPr>
        <w:t>across</w:t>
      </w:r>
      <w:r>
        <w:rPr>
          <w:color w:val="231F20"/>
          <w:spacing w:val="-5"/>
        </w:rPr>
        <w:t> </w:t>
      </w:r>
      <w:r>
        <w:rPr>
          <w:color w:val="231F20"/>
        </w:rPr>
        <w:t>the</w:t>
      </w:r>
      <w:r>
        <w:rPr>
          <w:color w:val="231F20"/>
          <w:spacing w:val="-4"/>
        </w:rPr>
        <w:t> </w:t>
      </w:r>
      <w:r>
        <w:rPr>
          <w:color w:val="231F20"/>
        </w:rPr>
        <w:t>historical</w:t>
      </w:r>
      <w:r>
        <w:rPr>
          <w:color w:val="231F20"/>
          <w:spacing w:val="-5"/>
        </w:rPr>
        <w:t> </w:t>
      </w:r>
      <w:r>
        <w:rPr>
          <w:color w:val="231F20"/>
        </w:rPr>
        <w:t>data</w:t>
      </w:r>
      <w:r>
        <w:rPr>
          <w:color w:val="231F20"/>
          <w:spacing w:val="-4"/>
        </w:rPr>
        <w:t> </w:t>
      </w:r>
      <w:r>
        <w:rPr>
          <w:color w:val="231F20"/>
          <w:spacing w:val="-1"/>
        </w:rPr>
        <w:t>set</w:t>
      </w:r>
      <w:r>
        <w:rPr>
          <w:color w:val="231F20"/>
          <w:spacing w:val="-4"/>
        </w:rPr>
        <w:t> </w:t>
      </w:r>
      <w:r>
        <w:rPr>
          <w:color w:val="231F20"/>
        </w:rPr>
        <w:t>for</w:t>
      </w:r>
      <w:r>
        <w:rPr>
          <w:color w:val="231F20"/>
          <w:spacing w:val="-3"/>
        </w:rPr>
        <w:t> </w:t>
      </w:r>
      <w:r>
        <w:rPr>
          <w:color w:val="231F20"/>
          <w:spacing w:val="-1"/>
        </w:rPr>
        <w:t>2015</w:t>
      </w:r>
      <w:r>
        <w:rPr>
          <w:color w:val="231F20"/>
          <w:spacing w:val="-4"/>
        </w:rPr>
        <w:t> </w:t>
      </w:r>
      <w:r>
        <w:rPr>
          <w:color w:val="231F20"/>
        </w:rPr>
        <w:t>to</w:t>
      </w:r>
      <w:r>
        <w:rPr>
          <w:color w:val="231F20"/>
          <w:spacing w:val="22"/>
          <w:w w:val="99"/>
        </w:rPr>
        <w:t> </w:t>
      </w:r>
      <w:r>
        <w:rPr>
          <w:color w:val="231F20"/>
          <w:spacing w:val="-1"/>
        </w:rPr>
        <w:t>2017.</w:t>
      </w:r>
      <w:r>
        <w:rPr>
          <w:color w:val="231F20"/>
          <w:spacing w:val="-7"/>
        </w:rPr>
        <w:t> </w:t>
      </w:r>
      <w:r>
        <w:rPr>
          <w:color w:val="231F20"/>
          <w:spacing w:val="-1"/>
        </w:rPr>
        <w:t>For</w:t>
      </w:r>
      <w:r>
        <w:rPr>
          <w:color w:val="231F20"/>
          <w:spacing w:val="-6"/>
        </w:rPr>
        <w:t> </w:t>
      </w:r>
      <w:r>
        <w:rPr>
          <w:color w:val="231F20"/>
        </w:rPr>
        <w:t>the</w:t>
      </w:r>
      <w:r>
        <w:rPr>
          <w:color w:val="231F20"/>
          <w:spacing w:val="-7"/>
        </w:rPr>
        <w:t> </w:t>
      </w:r>
      <w:r>
        <w:rPr>
          <w:color w:val="231F20"/>
          <w:spacing w:val="-1"/>
        </w:rPr>
        <w:t>standalone</w:t>
      </w:r>
      <w:r>
        <w:rPr>
          <w:color w:val="231F20"/>
          <w:spacing w:val="-6"/>
        </w:rPr>
        <w:t> </w:t>
      </w:r>
      <w:r>
        <w:rPr>
          <w:color w:val="231F20"/>
        </w:rPr>
        <w:t>boarding</w:t>
      </w:r>
      <w:r>
        <w:rPr>
          <w:color w:val="231F20"/>
          <w:spacing w:val="-7"/>
        </w:rPr>
        <w:t> </w:t>
      </w:r>
      <w:r>
        <w:rPr>
          <w:color w:val="231F20"/>
        </w:rPr>
        <w:t>providers</w:t>
      </w:r>
      <w:r>
        <w:rPr>
          <w:color w:val="231F20"/>
          <w:spacing w:val="24"/>
          <w:w w:val="99"/>
        </w:rPr>
        <w:t> </w:t>
      </w:r>
      <w:r>
        <w:rPr>
          <w:color w:val="231F20"/>
        </w:rPr>
        <w:t>there</w:t>
      </w:r>
      <w:r>
        <w:rPr>
          <w:color w:val="231F20"/>
          <w:spacing w:val="-4"/>
        </w:rPr>
        <w:t> </w:t>
      </w:r>
      <w:r>
        <w:rPr>
          <w:color w:val="231F20"/>
        </w:rPr>
        <w:t>was</w:t>
      </w:r>
      <w:r>
        <w:rPr>
          <w:color w:val="231F20"/>
          <w:spacing w:val="-4"/>
        </w:rPr>
        <w:t> </w:t>
      </w:r>
      <w:r>
        <w:rPr>
          <w:color w:val="231F20"/>
        </w:rPr>
        <w:t>no</w:t>
      </w:r>
      <w:r>
        <w:rPr>
          <w:color w:val="231F20"/>
          <w:spacing w:val="-3"/>
        </w:rPr>
        <w:t> </w:t>
      </w:r>
      <w:r>
        <w:rPr>
          <w:color w:val="231F20"/>
          <w:spacing w:val="-1"/>
        </w:rPr>
        <w:t>split</w:t>
      </w:r>
      <w:r>
        <w:rPr>
          <w:color w:val="231F20"/>
          <w:spacing w:val="-3"/>
        </w:rPr>
        <w:t> </w:t>
      </w:r>
      <w:r>
        <w:rPr>
          <w:color w:val="231F20"/>
        </w:rPr>
        <w:t>as</w:t>
      </w:r>
      <w:r>
        <w:rPr>
          <w:color w:val="231F20"/>
          <w:spacing w:val="-4"/>
        </w:rPr>
        <w:t> </w:t>
      </w:r>
      <w:r>
        <w:rPr>
          <w:color w:val="231F20"/>
        </w:rPr>
        <w:t>there</w:t>
      </w:r>
      <w:r>
        <w:rPr>
          <w:color w:val="231F20"/>
          <w:spacing w:val="-4"/>
        </w:rPr>
        <w:t> </w:t>
      </w:r>
      <w:r>
        <w:rPr>
          <w:color w:val="231F20"/>
          <w:spacing w:val="-1"/>
        </w:rPr>
        <w:t>is</w:t>
      </w:r>
      <w:r>
        <w:rPr>
          <w:color w:val="231F20"/>
          <w:spacing w:val="-3"/>
        </w:rPr>
        <w:t> </w:t>
      </w:r>
      <w:r>
        <w:rPr>
          <w:color w:val="231F20"/>
        </w:rPr>
        <w:t>no</w:t>
      </w:r>
      <w:r>
        <w:rPr>
          <w:color w:val="231F20"/>
          <w:spacing w:val="-3"/>
        </w:rPr>
        <w:t> </w:t>
      </w:r>
      <w:r>
        <w:rPr>
          <w:color w:val="231F20"/>
        </w:rPr>
        <w:t>tuition</w:t>
      </w:r>
      <w:r>
        <w:rPr>
          <w:color w:val="231F20"/>
          <w:spacing w:val="22"/>
          <w:w w:val="99"/>
        </w:rPr>
        <w:t> </w:t>
      </w:r>
      <w:r>
        <w:rPr>
          <w:color w:val="231F20"/>
        </w:rPr>
        <w:t>revenue</w:t>
      </w:r>
      <w:r>
        <w:rPr>
          <w:color w:val="231F20"/>
          <w:spacing w:val="-6"/>
        </w:rPr>
        <w:t> </w:t>
      </w:r>
      <w:r>
        <w:rPr>
          <w:color w:val="231F20"/>
        </w:rPr>
        <w:t>or</w:t>
      </w:r>
      <w:r>
        <w:rPr>
          <w:color w:val="231F20"/>
          <w:spacing w:val="-4"/>
        </w:rPr>
        <w:t> </w:t>
      </w:r>
      <w:r>
        <w:rPr>
          <w:color w:val="231F20"/>
        </w:rPr>
        <w:t>costs.</w:t>
      </w:r>
      <w:r>
        <w:rPr/>
      </w:r>
    </w:p>
    <w:p>
      <w:pPr>
        <w:pStyle w:val="BodyText"/>
        <w:spacing w:line="250" w:lineRule="exact" w:before="113"/>
        <w:ind w:left="327" w:right="132" w:hanging="227"/>
        <w:jc w:val="left"/>
      </w:pPr>
      <w:r>
        <w:rPr>
          <w:rFonts w:ascii="Century Gothic" w:hAnsi="Century Gothic"/>
          <w:color w:val="231F20"/>
        </w:rPr>
        <w:t>» </w:t>
      </w:r>
      <w:r>
        <w:rPr>
          <w:rFonts w:ascii="Century Gothic" w:hAnsi="Century Gothic"/>
          <w:color w:val="231F20"/>
          <w:spacing w:val="21"/>
        </w:rPr>
        <w:t> </w:t>
      </w:r>
      <w:r>
        <w:rPr>
          <w:color w:val="231F20"/>
        </w:rPr>
        <w:t>Once</w:t>
      </w:r>
      <w:r>
        <w:rPr>
          <w:color w:val="231F20"/>
          <w:spacing w:val="-5"/>
        </w:rPr>
        <w:t> </w:t>
      </w:r>
      <w:r>
        <w:rPr>
          <w:color w:val="231F20"/>
        </w:rPr>
        <w:t>boarding</w:t>
      </w:r>
      <w:r>
        <w:rPr>
          <w:color w:val="231F20"/>
          <w:spacing w:val="-5"/>
        </w:rPr>
        <w:t> </w:t>
      </w:r>
      <w:r>
        <w:rPr>
          <w:color w:val="231F20"/>
        </w:rPr>
        <w:t>and</w:t>
      </w:r>
      <w:r>
        <w:rPr>
          <w:color w:val="231F20"/>
          <w:spacing w:val="-5"/>
        </w:rPr>
        <w:t> </w:t>
      </w:r>
      <w:r>
        <w:rPr>
          <w:color w:val="231F20"/>
        </w:rPr>
        <w:t>tuition</w:t>
      </w:r>
      <w:r>
        <w:rPr>
          <w:color w:val="231F20"/>
          <w:spacing w:val="-5"/>
        </w:rPr>
        <w:t> </w:t>
      </w:r>
      <w:r>
        <w:rPr>
          <w:color w:val="231F20"/>
        </w:rPr>
        <w:t>revenue</w:t>
      </w:r>
      <w:r>
        <w:rPr>
          <w:color w:val="231F20"/>
          <w:spacing w:val="-5"/>
        </w:rPr>
        <w:t> </w:t>
      </w:r>
      <w:r>
        <w:rPr>
          <w:color w:val="231F20"/>
        </w:rPr>
        <w:t>and</w:t>
      </w:r>
      <w:r>
        <w:rPr>
          <w:color w:val="231F20"/>
          <w:spacing w:val="-5"/>
        </w:rPr>
        <w:t> </w:t>
      </w:r>
      <w:r>
        <w:rPr>
          <w:color w:val="231F20"/>
        </w:rPr>
        <w:t>costs</w:t>
      </w:r>
      <w:r>
        <w:rPr>
          <w:color w:val="231F20"/>
        </w:rPr>
        <w:t> were</w:t>
      </w:r>
      <w:r>
        <w:rPr>
          <w:color w:val="231F20"/>
          <w:spacing w:val="-6"/>
        </w:rPr>
        <w:t> </w:t>
      </w:r>
      <w:r>
        <w:rPr>
          <w:color w:val="231F20"/>
        </w:rPr>
        <w:t>determined,</w:t>
      </w:r>
      <w:r>
        <w:rPr>
          <w:color w:val="231F20"/>
          <w:spacing w:val="-5"/>
        </w:rPr>
        <w:t> </w:t>
      </w:r>
      <w:r>
        <w:rPr>
          <w:color w:val="231F20"/>
        </w:rPr>
        <w:t>we</w:t>
      </w:r>
      <w:r>
        <w:rPr>
          <w:color w:val="231F20"/>
          <w:spacing w:val="-5"/>
        </w:rPr>
        <w:t> </w:t>
      </w:r>
      <w:r>
        <w:rPr>
          <w:color w:val="231F20"/>
        </w:rPr>
        <w:t>assumed</w:t>
      </w:r>
      <w:r>
        <w:rPr>
          <w:color w:val="231F20"/>
          <w:spacing w:val="-5"/>
        </w:rPr>
        <w:t> </w:t>
      </w:r>
      <w:r>
        <w:rPr>
          <w:color w:val="231F20"/>
        </w:rPr>
        <w:t>a</w:t>
      </w:r>
      <w:r>
        <w:rPr>
          <w:color w:val="231F20"/>
          <w:spacing w:val="-4"/>
        </w:rPr>
        <w:t> </w:t>
      </w:r>
      <w:r>
        <w:rPr>
          <w:color w:val="231F20"/>
        </w:rPr>
        <w:t>pro</w:t>
      </w:r>
      <w:r>
        <w:rPr>
          <w:color w:val="231F20"/>
          <w:spacing w:val="-4"/>
        </w:rPr>
        <w:t> </w:t>
      </w:r>
      <w:r>
        <w:rPr>
          <w:color w:val="231F20"/>
        </w:rPr>
        <w:t>rata</w:t>
      </w:r>
      <w:r>
        <w:rPr>
          <w:color w:val="231F20"/>
          <w:w w:val="99"/>
        </w:rPr>
        <w:t> </w:t>
      </w:r>
      <w:r>
        <w:rPr>
          <w:color w:val="231F20"/>
        </w:rPr>
        <w:t>allocation</w:t>
      </w:r>
      <w:r>
        <w:rPr>
          <w:color w:val="231F20"/>
          <w:spacing w:val="-7"/>
        </w:rPr>
        <w:t> </w:t>
      </w:r>
      <w:r>
        <w:rPr>
          <w:color w:val="231F20"/>
        </w:rPr>
        <w:t>for</w:t>
      </w:r>
      <w:r>
        <w:rPr>
          <w:color w:val="231F20"/>
          <w:spacing w:val="-5"/>
        </w:rPr>
        <w:t> </w:t>
      </w:r>
      <w:r>
        <w:rPr>
          <w:color w:val="231F20"/>
        </w:rPr>
        <w:t>Aboriginal</w:t>
      </w:r>
      <w:r>
        <w:rPr>
          <w:color w:val="231F20"/>
          <w:spacing w:val="-5"/>
        </w:rPr>
        <w:t> </w:t>
      </w:r>
      <w:r>
        <w:rPr>
          <w:color w:val="231F20"/>
        </w:rPr>
        <w:t>and</w:t>
      </w:r>
      <w:r>
        <w:rPr>
          <w:color w:val="231F20"/>
          <w:spacing w:val="-7"/>
        </w:rPr>
        <w:t> </w:t>
      </w:r>
      <w:r>
        <w:rPr>
          <w:color w:val="231F20"/>
          <w:spacing w:val="-5"/>
        </w:rPr>
        <w:t>Torres </w:t>
      </w:r>
      <w:r>
        <w:rPr>
          <w:color w:val="231F20"/>
          <w:spacing w:val="-2"/>
        </w:rPr>
        <w:t>Strait</w:t>
      </w:r>
      <w:r>
        <w:rPr>
          <w:color w:val="231F20"/>
          <w:spacing w:val="29"/>
          <w:w w:val="99"/>
        </w:rPr>
        <w:t> </w:t>
      </w:r>
      <w:r>
        <w:rPr>
          <w:color w:val="231F20"/>
          <w:spacing w:val="-1"/>
        </w:rPr>
        <w:t>Islander</w:t>
      </w:r>
      <w:r>
        <w:rPr>
          <w:color w:val="231F20"/>
          <w:spacing w:val="-12"/>
        </w:rPr>
        <w:t> </w:t>
      </w:r>
      <w:r>
        <w:rPr>
          <w:color w:val="231F20"/>
        </w:rPr>
        <w:t>boarding</w:t>
      </w:r>
      <w:r>
        <w:rPr>
          <w:color w:val="231F20"/>
          <w:spacing w:val="-12"/>
        </w:rPr>
        <w:t> </w:t>
      </w:r>
      <w:r>
        <w:rPr>
          <w:color w:val="231F20"/>
          <w:spacing w:val="-1"/>
        </w:rPr>
        <w:t>students.</w:t>
      </w:r>
      <w:r>
        <w:rPr/>
      </w:r>
    </w:p>
    <w:p>
      <w:pPr>
        <w:pStyle w:val="BodyText"/>
        <w:spacing w:line="250" w:lineRule="exact" w:before="113"/>
        <w:ind w:left="327" w:right="124" w:hanging="227"/>
        <w:jc w:val="left"/>
      </w:pPr>
      <w:r>
        <w:rPr>
          <w:rFonts w:ascii="Century Gothic" w:hAnsi="Century Gothic"/>
          <w:color w:val="231F20"/>
        </w:rPr>
        <w:t>» </w:t>
      </w:r>
      <w:r>
        <w:rPr>
          <w:rFonts w:ascii="Century Gothic" w:hAnsi="Century Gothic"/>
          <w:color w:val="231F20"/>
          <w:spacing w:val="21"/>
        </w:rPr>
        <w:t> </w:t>
      </w:r>
      <w:r>
        <w:rPr>
          <w:color w:val="231F20"/>
          <w:spacing w:val="-1"/>
        </w:rPr>
        <w:t>For</w:t>
      </w:r>
      <w:r>
        <w:rPr>
          <w:color w:val="231F20"/>
          <w:spacing w:val="-4"/>
        </w:rPr>
        <w:t> </w:t>
      </w:r>
      <w:r>
        <w:rPr>
          <w:color w:val="231F20"/>
          <w:spacing w:val="-1"/>
        </w:rPr>
        <w:t>some</w:t>
      </w:r>
      <w:r>
        <w:rPr>
          <w:color w:val="231F20"/>
          <w:spacing w:val="-4"/>
        </w:rPr>
        <w:t> </w:t>
      </w:r>
      <w:r>
        <w:rPr>
          <w:color w:val="231F20"/>
        </w:rPr>
        <w:t>boarding</w:t>
      </w:r>
      <w:r>
        <w:rPr>
          <w:color w:val="231F20"/>
          <w:spacing w:val="-5"/>
        </w:rPr>
        <w:t> </w:t>
      </w:r>
      <w:r>
        <w:rPr>
          <w:color w:val="231F20"/>
        </w:rPr>
        <w:t>providers</w:t>
      </w:r>
      <w:r>
        <w:rPr>
          <w:color w:val="231F20"/>
          <w:spacing w:val="-5"/>
        </w:rPr>
        <w:t> </w:t>
      </w:r>
      <w:r>
        <w:rPr>
          <w:color w:val="231F20"/>
        </w:rPr>
        <w:t>there</w:t>
      </w:r>
      <w:r>
        <w:rPr>
          <w:color w:val="231F20"/>
          <w:spacing w:val="-5"/>
        </w:rPr>
        <w:t> </w:t>
      </w:r>
      <w:r>
        <w:rPr>
          <w:color w:val="231F20"/>
        </w:rPr>
        <w:t>were</w:t>
      </w:r>
      <w:r>
        <w:rPr>
          <w:color w:val="231F20"/>
          <w:spacing w:val="22"/>
          <w:w w:val="99"/>
        </w:rPr>
        <w:t> </w:t>
      </w:r>
      <w:r>
        <w:rPr>
          <w:color w:val="231F20"/>
        </w:rPr>
        <w:t>apparent</w:t>
      </w:r>
      <w:r>
        <w:rPr>
          <w:color w:val="231F20"/>
          <w:spacing w:val="-7"/>
        </w:rPr>
        <w:t> </w:t>
      </w:r>
      <w:r>
        <w:rPr>
          <w:color w:val="231F20"/>
        </w:rPr>
        <w:t>anomalies</w:t>
      </w:r>
      <w:r>
        <w:rPr>
          <w:color w:val="231F20"/>
          <w:spacing w:val="-6"/>
        </w:rPr>
        <w:t> </w:t>
      </w:r>
      <w:r>
        <w:rPr>
          <w:color w:val="231F20"/>
          <w:spacing w:val="-1"/>
        </w:rPr>
        <w:t>in</w:t>
      </w:r>
      <w:r>
        <w:rPr>
          <w:color w:val="231F20"/>
          <w:spacing w:val="-6"/>
        </w:rPr>
        <w:t> </w:t>
      </w:r>
      <w:r>
        <w:rPr>
          <w:color w:val="231F20"/>
        </w:rPr>
        <w:t>the</w:t>
      </w:r>
      <w:r>
        <w:rPr>
          <w:color w:val="231F20"/>
          <w:spacing w:val="-6"/>
        </w:rPr>
        <w:t> </w:t>
      </w:r>
      <w:r>
        <w:rPr>
          <w:color w:val="231F20"/>
        </w:rPr>
        <w:t>allocation</w:t>
      </w:r>
      <w:r>
        <w:rPr>
          <w:color w:val="231F20"/>
          <w:spacing w:val="-6"/>
        </w:rPr>
        <w:t> </w:t>
      </w:r>
      <w:r>
        <w:rPr>
          <w:color w:val="231F20"/>
        </w:rPr>
        <w:t>between</w:t>
      </w:r>
      <w:r>
        <w:rPr>
          <w:color w:val="231F20"/>
          <w:spacing w:val="21"/>
          <w:w w:val="99"/>
        </w:rPr>
        <w:t> </w:t>
      </w:r>
      <w:r>
        <w:rPr>
          <w:color w:val="231F20"/>
        </w:rPr>
        <w:t>tuition</w:t>
      </w:r>
      <w:r>
        <w:rPr>
          <w:color w:val="231F20"/>
          <w:spacing w:val="-7"/>
        </w:rPr>
        <w:t> </w:t>
      </w:r>
      <w:r>
        <w:rPr>
          <w:color w:val="231F20"/>
        </w:rPr>
        <w:t>and</w:t>
      </w:r>
      <w:r>
        <w:rPr>
          <w:color w:val="231F20"/>
          <w:spacing w:val="-7"/>
        </w:rPr>
        <w:t> </w:t>
      </w:r>
      <w:r>
        <w:rPr>
          <w:color w:val="231F20"/>
        </w:rPr>
        <w:t>boarding</w:t>
      </w:r>
      <w:r>
        <w:rPr>
          <w:color w:val="231F20"/>
          <w:spacing w:val="-6"/>
        </w:rPr>
        <w:t> </w:t>
      </w:r>
      <w:r>
        <w:rPr>
          <w:color w:val="231F20"/>
        </w:rPr>
        <w:t>cited</w:t>
      </w:r>
      <w:r>
        <w:rPr>
          <w:color w:val="231F20"/>
          <w:spacing w:val="-7"/>
        </w:rPr>
        <w:t> </w:t>
      </w:r>
      <w:r>
        <w:rPr>
          <w:color w:val="231F20"/>
          <w:spacing w:val="-1"/>
        </w:rPr>
        <w:t>in</w:t>
      </w:r>
      <w:r>
        <w:rPr>
          <w:color w:val="231F20"/>
          <w:spacing w:val="-5"/>
        </w:rPr>
        <w:t> </w:t>
      </w:r>
      <w:r>
        <w:rPr>
          <w:color w:val="231F20"/>
        </w:rPr>
        <w:t>the</w:t>
      </w:r>
      <w:r>
        <w:rPr>
          <w:color w:val="231F20"/>
          <w:spacing w:val="-7"/>
        </w:rPr>
        <w:t> </w:t>
      </w:r>
      <w:r>
        <w:rPr>
          <w:color w:val="231F20"/>
        </w:rPr>
        <w:t>three-year</w:t>
      </w:r>
      <w:r>
        <w:rPr>
          <w:color w:val="231F20"/>
          <w:spacing w:val="21"/>
          <w:w w:val="99"/>
        </w:rPr>
        <w:t> </w:t>
      </w:r>
      <w:r>
        <w:rPr>
          <w:color w:val="231F20"/>
        </w:rPr>
        <w:t>trend</w:t>
      </w:r>
      <w:r>
        <w:rPr>
          <w:color w:val="231F20"/>
          <w:spacing w:val="-4"/>
        </w:rPr>
        <w:t> </w:t>
      </w:r>
      <w:r>
        <w:rPr>
          <w:color w:val="231F20"/>
        </w:rPr>
        <w:t>data.</w:t>
      </w:r>
      <w:r>
        <w:rPr>
          <w:color w:val="231F20"/>
          <w:spacing w:val="-4"/>
        </w:rPr>
        <w:t> </w:t>
      </w:r>
      <w:r>
        <w:rPr>
          <w:color w:val="231F20"/>
          <w:spacing w:val="-11"/>
        </w:rPr>
        <w:t>To</w:t>
      </w:r>
      <w:r>
        <w:rPr>
          <w:color w:val="231F20"/>
          <w:spacing w:val="-3"/>
        </w:rPr>
        <w:t> </w:t>
      </w:r>
      <w:r>
        <w:rPr>
          <w:color w:val="231F20"/>
        </w:rPr>
        <w:t>correct</w:t>
      </w:r>
      <w:r>
        <w:rPr>
          <w:color w:val="231F20"/>
          <w:spacing w:val="-3"/>
        </w:rPr>
        <w:t> </w:t>
      </w:r>
      <w:r>
        <w:rPr>
          <w:color w:val="231F20"/>
        </w:rPr>
        <w:t>these</w:t>
      </w:r>
      <w:r>
        <w:rPr>
          <w:color w:val="231F20"/>
          <w:spacing w:val="-4"/>
        </w:rPr>
        <w:t> </w:t>
      </w:r>
      <w:r>
        <w:rPr>
          <w:color w:val="231F20"/>
        </w:rPr>
        <w:t>anomalies,</w:t>
      </w:r>
      <w:r>
        <w:rPr>
          <w:color w:val="231F20"/>
          <w:spacing w:val="-4"/>
        </w:rPr>
        <w:t> </w:t>
      </w:r>
      <w:r>
        <w:rPr>
          <w:color w:val="231F20"/>
        </w:rPr>
        <w:t>we</w:t>
      </w:r>
      <w:r>
        <w:rPr>
          <w:color w:val="231F20"/>
          <w:w w:val="99"/>
        </w:rPr>
        <w:t> </w:t>
      </w:r>
      <w:r>
        <w:rPr>
          <w:color w:val="231F20"/>
          <w:spacing w:val="-1"/>
        </w:rPr>
        <w:t>instead</w:t>
      </w:r>
      <w:r>
        <w:rPr>
          <w:color w:val="231F20"/>
          <w:spacing w:val="-7"/>
        </w:rPr>
        <w:t> </w:t>
      </w:r>
      <w:r>
        <w:rPr>
          <w:color w:val="231F20"/>
        </w:rPr>
        <w:t>allocated</w:t>
      </w:r>
      <w:r>
        <w:rPr>
          <w:color w:val="231F20"/>
          <w:spacing w:val="-8"/>
        </w:rPr>
        <w:t> </w:t>
      </w:r>
      <w:r>
        <w:rPr>
          <w:color w:val="231F20"/>
        </w:rPr>
        <w:t>tuition</w:t>
      </w:r>
      <w:r>
        <w:rPr>
          <w:color w:val="231F20"/>
          <w:spacing w:val="-8"/>
        </w:rPr>
        <w:t> </w:t>
      </w:r>
      <w:r>
        <w:rPr>
          <w:color w:val="231F20"/>
        </w:rPr>
        <w:t>and</w:t>
      </w:r>
      <w:r>
        <w:rPr>
          <w:color w:val="231F20"/>
          <w:spacing w:val="-8"/>
        </w:rPr>
        <w:t> </w:t>
      </w:r>
      <w:r>
        <w:rPr>
          <w:color w:val="231F20"/>
        </w:rPr>
        <w:t>boarding</w:t>
      </w:r>
      <w:r>
        <w:rPr>
          <w:color w:val="231F20"/>
          <w:spacing w:val="-7"/>
        </w:rPr>
        <w:t> </w:t>
      </w:r>
      <w:r>
        <w:rPr>
          <w:color w:val="231F20"/>
        </w:rPr>
        <w:t>for</w:t>
      </w:r>
      <w:r>
        <w:rPr/>
      </w:r>
    </w:p>
    <w:p>
      <w:pPr>
        <w:pStyle w:val="BodyText"/>
        <w:spacing w:line="250" w:lineRule="exact"/>
        <w:ind w:left="327" w:right="209"/>
        <w:jc w:val="left"/>
      </w:pPr>
      <w:r>
        <w:rPr>
          <w:color w:val="231F20"/>
        </w:rPr>
        <w:t>the</w:t>
      </w:r>
      <w:r>
        <w:rPr>
          <w:color w:val="231F20"/>
          <w:spacing w:val="-9"/>
        </w:rPr>
        <w:t> </w:t>
      </w:r>
      <w:r>
        <w:rPr>
          <w:color w:val="231F20"/>
        </w:rPr>
        <w:t>boarding</w:t>
      </w:r>
      <w:r>
        <w:rPr>
          <w:color w:val="231F20"/>
          <w:spacing w:val="-8"/>
        </w:rPr>
        <w:t> </w:t>
      </w:r>
      <w:r>
        <w:rPr>
          <w:color w:val="231F20"/>
        </w:rPr>
        <w:t>provider</w:t>
      </w:r>
      <w:r>
        <w:rPr>
          <w:color w:val="231F20"/>
          <w:spacing w:val="-8"/>
        </w:rPr>
        <w:t> </w:t>
      </w:r>
      <w:r>
        <w:rPr>
          <w:color w:val="231F20"/>
        </w:rPr>
        <w:t>based</w:t>
      </w:r>
      <w:r>
        <w:rPr>
          <w:color w:val="231F20"/>
          <w:spacing w:val="-9"/>
        </w:rPr>
        <w:t> </w:t>
      </w:r>
      <w:r>
        <w:rPr>
          <w:color w:val="231F20"/>
        </w:rPr>
        <w:t>on</w:t>
      </w:r>
      <w:r>
        <w:rPr>
          <w:color w:val="231F20"/>
          <w:spacing w:val="-7"/>
        </w:rPr>
        <w:t> </w:t>
      </w:r>
      <w:r>
        <w:rPr>
          <w:color w:val="231F20"/>
        </w:rPr>
        <w:t>comparative</w:t>
      </w:r>
      <w:r>
        <w:rPr>
          <w:color w:val="231F20"/>
          <w:w w:val="99"/>
        </w:rPr>
        <w:t> </w:t>
      </w:r>
      <w:r>
        <w:rPr>
          <w:color w:val="231F20"/>
        </w:rPr>
        <w:t>boarding</w:t>
      </w:r>
      <w:r>
        <w:rPr>
          <w:color w:val="231F20"/>
          <w:spacing w:val="-9"/>
        </w:rPr>
        <w:t> </w:t>
      </w:r>
      <w:r>
        <w:rPr>
          <w:color w:val="231F20"/>
        </w:rPr>
        <w:t>providers</w:t>
      </w:r>
      <w:r>
        <w:rPr>
          <w:color w:val="231F20"/>
          <w:spacing w:val="-8"/>
        </w:rPr>
        <w:t> </w:t>
      </w:r>
      <w:r>
        <w:rPr>
          <w:color w:val="231F20"/>
        </w:rPr>
        <w:t>with</w:t>
      </w:r>
      <w:r>
        <w:rPr>
          <w:color w:val="231F20"/>
          <w:spacing w:val="-8"/>
        </w:rPr>
        <w:t> </w:t>
      </w:r>
      <w:r>
        <w:rPr>
          <w:color w:val="231F20"/>
          <w:spacing w:val="-1"/>
        </w:rPr>
        <w:t>similar</w:t>
      </w:r>
      <w:r>
        <w:rPr>
          <w:color w:val="231F20"/>
          <w:spacing w:val="-7"/>
        </w:rPr>
        <w:t> </w:t>
      </w:r>
      <w:r>
        <w:rPr>
          <w:color w:val="231F20"/>
        </w:rPr>
        <w:t>operating</w:t>
      </w:r>
      <w:r>
        <w:rPr>
          <w:color w:val="231F20"/>
          <w:spacing w:val="22"/>
          <w:w w:val="99"/>
        </w:rPr>
        <w:t> </w:t>
      </w:r>
      <w:r>
        <w:rPr>
          <w:rFonts w:ascii="Segoe UI"/>
          <w:color w:val="231F20"/>
        </w:rPr>
        <w:t>and financial models, or used direct source</w:t>
      </w:r>
      <w:r>
        <w:rPr>
          <w:rFonts w:ascii="Segoe UI"/>
          <w:color w:val="231F20"/>
        </w:rPr>
        <w:t> </w:t>
      </w:r>
      <w:r>
        <w:rPr>
          <w:color w:val="231F20"/>
        </w:rPr>
        <w:t>data</w:t>
      </w:r>
      <w:r>
        <w:rPr>
          <w:color w:val="231F20"/>
          <w:spacing w:val="-8"/>
        </w:rPr>
        <w:t> </w:t>
      </w:r>
      <w:r>
        <w:rPr>
          <w:color w:val="231F20"/>
        </w:rPr>
        <w:t>provided</w:t>
      </w:r>
      <w:r>
        <w:rPr>
          <w:color w:val="231F20"/>
          <w:spacing w:val="-7"/>
        </w:rPr>
        <w:t> </w:t>
      </w:r>
      <w:r>
        <w:rPr>
          <w:color w:val="231F20"/>
        </w:rPr>
        <w:t>by</w:t>
      </w:r>
      <w:r>
        <w:rPr>
          <w:color w:val="231F20"/>
          <w:spacing w:val="-7"/>
        </w:rPr>
        <w:t> </w:t>
      </w:r>
      <w:r>
        <w:rPr>
          <w:color w:val="231F20"/>
        </w:rPr>
        <w:t>the</w:t>
      </w:r>
      <w:r>
        <w:rPr>
          <w:color w:val="231F20"/>
          <w:spacing w:val="-8"/>
        </w:rPr>
        <w:t> </w:t>
      </w:r>
      <w:r>
        <w:rPr>
          <w:color w:val="231F20"/>
        </w:rPr>
        <w:t>boarding</w:t>
      </w:r>
      <w:r>
        <w:rPr>
          <w:color w:val="231F20"/>
          <w:spacing w:val="-7"/>
        </w:rPr>
        <w:t> </w:t>
      </w:r>
      <w:r>
        <w:rPr>
          <w:color w:val="231F20"/>
        </w:rPr>
        <w:t>provider.</w:t>
      </w:r>
      <w:r>
        <w:rPr/>
      </w:r>
    </w:p>
    <w:p>
      <w:pPr>
        <w:pStyle w:val="BodyText"/>
        <w:spacing w:line="250" w:lineRule="exact" w:before="113"/>
        <w:ind w:left="327" w:right="182" w:hanging="227"/>
        <w:jc w:val="left"/>
      </w:pPr>
      <w:r>
        <w:rPr>
          <w:rFonts w:ascii="Century Gothic" w:hAnsi="Century Gothic"/>
          <w:color w:val="231F20"/>
        </w:rPr>
        <w:t>» </w:t>
      </w:r>
      <w:r>
        <w:rPr>
          <w:rFonts w:ascii="Century Gothic" w:hAnsi="Century Gothic"/>
          <w:color w:val="231F20"/>
          <w:spacing w:val="19"/>
        </w:rPr>
        <w:t> </w:t>
      </w:r>
      <w:r>
        <w:rPr>
          <w:color w:val="231F20"/>
        </w:rPr>
        <w:t>Northern</w:t>
      </w:r>
      <w:r>
        <w:rPr>
          <w:color w:val="231F20"/>
          <w:spacing w:val="-4"/>
        </w:rPr>
        <w:t> </w:t>
      </w:r>
      <w:r>
        <w:rPr>
          <w:color w:val="231F20"/>
          <w:spacing w:val="-3"/>
        </w:rPr>
        <w:t>Territory</w:t>
      </w:r>
      <w:r>
        <w:rPr>
          <w:color w:val="231F20"/>
          <w:spacing w:val="-5"/>
        </w:rPr>
        <w:t> </w:t>
      </w:r>
      <w:r>
        <w:rPr>
          <w:color w:val="231F20"/>
          <w:spacing w:val="-1"/>
        </w:rPr>
        <w:t>Christian</w:t>
      </w:r>
      <w:r>
        <w:rPr>
          <w:color w:val="231F20"/>
          <w:spacing w:val="-4"/>
        </w:rPr>
        <w:t> </w:t>
      </w:r>
      <w:r>
        <w:rPr>
          <w:color w:val="231F20"/>
          <w:spacing w:val="-1"/>
        </w:rPr>
        <w:t>College</w:t>
      </w:r>
      <w:r>
        <w:rPr>
          <w:color w:val="231F20"/>
          <w:spacing w:val="-5"/>
        </w:rPr>
        <w:t> </w:t>
      </w:r>
      <w:r>
        <w:rPr>
          <w:color w:val="231F20"/>
          <w:spacing w:val="-3"/>
        </w:rPr>
        <w:t>(NTCC)</w:t>
      </w:r>
      <w:r>
        <w:rPr>
          <w:color w:val="231F20"/>
          <w:spacing w:val="-1"/>
          <w:w w:val="99"/>
        </w:rPr>
        <w:t> </w:t>
      </w:r>
      <w:r>
        <w:rPr>
          <w:color w:val="231F20"/>
          <w:spacing w:val="29"/>
          <w:w w:val="99"/>
        </w:rPr>
        <w:t> </w:t>
      </w:r>
      <w:r>
        <w:rPr>
          <w:color w:val="231F20"/>
          <w:spacing w:val="-1"/>
        </w:rPr>
        <w:t>is</w:t>
      </w:r>
      <w:r>
        <w:rPr>
          <w:color w:val="231F20"/>
          <w:spacing w:val="-7"/>
        </w:rPr>
        <w:t> </w:t>
      </w:r>
      <w:r>
        <w:rPr>
          <w:color w:val="231F20"/>
        </w:rPr>
        <w:t>closely</w:t>
      </w:r>
      <w:r>
        <w:rPr>
          <w:color w:val="231F20"/>
          <w:spacing w:val="-6"/>
        </w:rPr>
        <w:t> </w:t>
      </w:r>
      <w:r>
        <w:rPr>
          <w:color w:val="231F20"/>
        </w:rPr>
        <w:t>associated</w:t>
      </w:r>
      <w:r>
        <w:rPr>
          <w:color w:val="231F20"/>
          <w:spacing w:val="-7"/>
        </w:rPr>
        <w:t> </w:t>
      </w:r>
      <w:r>
        <w:rPr>
          <w:color w:val="231F20"/>
        </w:rPr>
        <w:t>with</w:t>
      </w:r>
      <w:r>
        <w:rPr>
          <w:color w:val="231F20"/>
          <w:spacing w:val="-6"/>
        </w:rPr>
        <w:t> </w:t>
      </w:r>
      <w:r>
        <w:rPr>
          <w:color w:val="231F20"/>
        </w:rPr>
        <w:t>Marrara</w:t>
      </w:r>
      <w:r>
        <w:rPr>
          <w:color w:val="231F20"/>
          <w:spacing w:val="-6"/>
        </w:rPr>
        <w:t> </w:t>
      </w:r>
      <w:r>
        <w:rPr>
          <w:color w:val="231F20"/>
          <w:spacing w:val="-1"/>
        </w:rPr>
        <w:t>Christian</w:t>
      </w:r>
      <w:r>
        <w:rPr>
          <w:color w:val="231F20"/>
          <w:spacing w:val="21"/>
          <w:w w:val="99"/>
        </w:rPr>
        <w:t> </w:t>
      </w:r>
      <w:r>
        <w:rPr>
          <w:color w:val="231F20"/>
          <w:spacing w:val="-1"/>
        </w:rPr>
        <w:t>College</w:t>
      </w:r>
      <w:r>
        <w:rPr>
          <w:color w:val="231F20"/>
          <w:spacing w:val="-3"/>
        </w:rPr>
        <w:t> </w:t>
      </w:r>
      <w:r>
        <w:rPr>
          <w:color w:val="231F20"/>
          <w:spacing w:val="-2"/>
        </w:rPr>
        <w:t>(MCC). MCC</w:t>
      </w:r>
      <w:r>
        <w:rPr>
          <w:color w:val="231F20"/>
          <w:spacing w:val="-3"/>
        </w:rPr>
        <w:t> </w:t>
      </w:r>
      <w:r>
        <w:rPr>
          <w:color w:val="231F20"/>
        </w:rPr>
        <w:t>owns</w:t>
      </w:r>
      <w:r>
        <w:rPr>
          <w:color w:val="231F20"/>
          <w:spacing w:val="-3"/>
        </w:rPr>
        <w:t> </w:t>
      </w:r>
      <w:r>
        <w:rPr>
          <w:color w:val="231F20"/>
        </w:rPr>
        <w:t>the</w:t>
      </w:r>
      <w:r>
        <w:rPr>
          <w:color w:val="231F20"/>
          <w:spacing w:val="-4"/>
        </w:rPr>
        <w:t> </w:t>
      </w:r>
      <w:r>
        <w:rPr>
          <w:color w:val="231F20"/>
        </w:rPr>
        <w:t>campus</w:t>
      </w:r>
      <w:r>
        <w:rPr>
          <w:color w:val="231F20"/>
          <w:spacing w:val="-3"/>
        </w:rPr>
        <w:t> </w:t>
      </w:r>
      <w:r>
        <w:rPr>
          <w:color w:val="231F20"/>
        </w:rPr>
        <w:t>assets</w:t>
      </w:r>
      <w:r>
        <w:rPr>
          <w:color w:val="231F20"/>
          <w:spacing w:val="26"/>
        </w:rPr>
        <w:t> </w:t>
      </w:r>
      <w:r>
        <w:rPr>
          <w:color w:val="231F20"/>
        </w:rPr>
        <w:t>and</w:t>
      </w:r>
      <w:r>
        <w:rPr>
          <w:color w:val="231F20"/>
          <w:spacing w:val="-7"/>
        </w:rPr>
        <w:t> </w:t>
      </w:r>
      <w:r>
        <w:rPr>
          <w:color w:val="231F20"/>
        </w:rPr>
        <w:t>conducts</w:t>
      </w:r>
      <w:r>
        <w:rPr>
          <w:color w:val="231F20"/>
          <w:spacing w:val="-6"/>
        </w:rPr>
        <w:t> </w:t>
      </w:r>
      <w:r>
        <w:rPr>
          <w:color w:val="231F20"/>
        </w:rPr>
        <w:t>classes</w:t>
      </w:r>
      <w:r>
        <w:rPr>
          <w:color w:val="231F20"/>
          <w:spacing w:val="-7"/>
        </w:rPr>
        <w:t> </w:t>
      </w:r>
      <w:r>
        <w:rPr>
          <w:color w:val="231F20"/>
        </w:rPr>
        <w:t>from</w:t>
      </w:r>
      <w:r>
        <w:rPr>
          <w:color w:val="231F20"/>
          <w:spacing w:val="-5"/>
        </w:rPr>
        <w:t> </w:t>
      </w:r>
      <w:r>
        <w:rPr>
          <w:color w:val="231F20"/>
        </w:rPr>
        <w:t>early</w:t>
      </w:r>
      <w:r>
        <w:rPr>
          <w:color w:val="231F20"/>
          <w:spacing w:val="-5"/>
        </w:rPr>
        <w:t> </w:t>
      </w:r>
      <w:r>
        <w:rPr>
          <w:color w:val="231F20"/>
          <w:spacing w:val="-1"/>
        </w:rPr>
        <w:t>learning</w:t>
      </w:r>
      <w:r>
        <w:rPr>
          <w:color w:val="231F20"/>
          <w:spacing w:val="20"/>
          <w:w w:val="99"/>
        </w:rPr>
        <w:t> </w:t>
      </w:r>
      <w:r>
        <w:rPr>
          <w:color w:val="231F20"/>
        </w:rPr>
        <w:t>through</w:t>
      </w:r>
      <w:r>
        <w:rPr>
          <w:color w:val="231F20"/>
          <w:spacing w:val="-3"/>
        </w:rPr>
        <w:t> </w:t>
      </w:r>
      <w:r>
        <w:rPr>
          <w:color w:val="231F20"/>
        </w:rPr>
        <w:t>to</w:t>
      </w:r>
      <w:r>
        <w:rPr>
          <w:color w:val="231F20"/>
          <w:spacing w:val="-2"/>
        </w:rPr>
        <w:t> </w:t>
      </w:r>
      <w:r>
        <w:rPr>
          <w:color w:val="231F20"/>
          <w:spacing w:val="-6"/>
        </w:rPr>
        <w:t>Year</w:t>
      </w:r>
      <w:r>
        <w:rPr>
          <w:color w:val="231F20"/>
          <w:spacing w:val="-2"/>
        </w:rPr>
        <w:t> </w:t>
      </w:r>
      <w:r>
        <w:rPr>
          <w:color w:val="231F20"/>
          <w:spacing w:val="-1"/>
        </w:rPr>
        <w:t>10.</w:t>
      </w:r>
      <w:r>
        <w:rPr>
          <w:color w:val="231F20"/>
          <w:spacing w:val="-2"/>
        </w:rPr>
        <w:t> </w:t>
      </w:r>
      <w:r>
        <w:rPr>
          <w:color w:val="231F20"/>
          <w:spacing w:val="-1"/>
        </w:rPr>
        <w:t>It</w:t>
      </w:r>
      <w:r>
        <w:rPr>
          <w:color w:val="231F20"/>
          <w:spacing w:val="-2"/>
        </w:rPr>
        <w:t> </w:t>
      </w:r>
      <w:r>
        <w:rPr>
          <w:color w:val="231F20"/>
          <w:spacing w:val="-1"/>
        </w:rPr>
        <w:t>is</w:t>
      </w:r>
      <w:r>
        <w:rPr>
          <w:color w:val="231F20"/>
          <w:spacing w:val="-3"/>
        </w:rPr>
        <w:t> </w:t>
      </w:r>
      <w:r>
        <w:rPr>
          <w:color w:val="231F20"/>
        </w:rPr>
        <w:t>also</w:t>
      </w:r>
      <w:r>
        <w:rPr>
          <w:color w:val="231F20"/>
          <w:spacing w:val="-3"/>
        </w:rPr>
        <w:t> </w:t>
      </w:r>
      <w:r>
        <w:rPr>
          <w:color w:val="231F20"/>
        </w:rPr>
        <w:t>responsible</w:t>
      </w:r>
      <w:r>
        <w:rPr>
          <w:color w:val="231F20"/>
          <w:spacing w:val="-4"/>
        </w:rPr>
        <w:t> </w:t>
      </w:r>
      <w:r>
        <w:rPr>
          <w:color w:val="231F20"/>
        </w:rPr>
        <w:t>for</w:t>
      </w:r>
      <w:r>
        <w:rPr>
          <w:color w:val="231F20"/>
          <w:spacing w:val="26"/>
          <w:w w:val="99"/>
        </w:rPr>
        <w:t> </w:t>
      </w:r>
      <w:r>
        <w:rPr>
          <w:color w:val="231F20"/>
        </w:rPr>
        <w:t>the</w:t>
      </w:r>
      <w:r>
        <w:rPr>
          <w:color w:val="231F20"/>
          <w:spacing w:val="-14"/>
        </w:rPr>
        <w:t> </w:t>
      </w:r>
      <w:r>
        <w:rPr>
          <w:color w:val="231F20"/>
        </w:rPr>
        <w:t>accommodation/boarding</w:t>
      </w:r>
      <w:r>
        <w:rPr>
          <w:color w:val="231F20"/>
          <w:spacing w:val="-15"/>
        </w:rPr>
        <w:t> </w:t>
      </w:r>
      <w:r>
        <w:rPr>
          <w:color w:val="231F20"/>
        </w:rPr>
        <w:t>operations</w:t>
      </w:r>
      <w:r>
        <w:rPr>
          <w:color w:val="231F20"/>
          <w:spacing w:val="-13"/>
        </w:rPr>
        <w:t> </w:t>
      </w:r>
      <w:r>
        <w:rPr>
          <w:color w:val="231F20"/>
        </w:rPr>
        <w:t>for</w:t>
      </w:r>
      <w:r>
        <w:rPr>
          <w:color w:val="231F20"/>
          <w:w w:val="99"/>
        </w:rPr>
        <w:t> </w:t>
      </w:r>
      <w:r>
        <w:rPr>
          <w:color w:val="231F20"/>
          <w:spacing w:val="-1"/>
        </w:rPr>
        <w:t>students</w:t>
      </w:r>
      <w:r>
        <w:rPr>
          <w:color w:val="231F20"/>
          <w:spacing w:val="-3"/>
        </w:rPr>
        <w:t> </w:t>
      </w:r>
      <w:r>
        <w:rPr>
          <w:color w:val="231F20"/>
        </w:rPr>
        <w:t>from</w:t>
      </w:r>
      <w:r>
        <w:rPr>
          <w:color w:val="231F20"/>
          <w:spacing w:val="-2"/>
        </w:rPr>
        <w:t> </w:t>
      </w:r>
      <w:r>
        <w:rPr>
          <w:color w:val="231F20"/>
          <w:spacing w:val="-6"/>
        </w:rPr>
        <w:t>Year</w:t>
      </w:r>
      <w:r>
        <w:rPr>
          <w:color w:val="231F20"/>
          <w:spacing w:val="-2"/>
        </w:rPr>
        <w:t> </w:t>
      </w:r>
      <w:r>
        <w:rPr>
          <w:color w:val="231F20"/>
        </w:rPr>
        <w:t>7</w:t>
      </w:r>
      <w:r>
        <w:rPr>
          <w:color w:val="231F20"/>
          <w:spacing w:val="-3"/>
        </w:rPr>
        <w:t> </w:t>
      </w:r>
      <w:r>
        <w:rPr>
          <w:color w:val="231F20"/>
        </w:rPr>
        <w:t>to</w:t>
      </w:r>
      <w:r>
        <w:rPr>
          <w:color w:val="231F20"/>
          <w:spacing w:val="-2"/>
        </w:rPr>
        <w:t> </w:t>
      </w:r>
      <w:r>
        <w:rPr>
          <w:color w:val="231F20"/>
          <w:spacing w:val="-6"/>
        </w:rPr>
        <w:t>Year</w:t>
      </w:r>
      <w:r>
        <w:rPr>
          <w:color w:val="231F20"/>
          <w:spacing w:val="-2"/>
        </w:rPr>
        <w:t> </w:t>
      </w:r>
      <w:r>
        <w:rPr>
          <w:color w:val="231F20"/>
          <w:spacing w:val="-1"/>
        </w:rPr>
        <w:t>12.</w:t>
      </w:r>
      <w:r>
        <w:rPr>
          <w:color w:val="231F20"/>
          <w:spacing w:val="-3"/>
        </w:rPr>
        <w:t> </w:t>
      </w:r>
      <w:r>
        <w:rPr>
          <w:color w:val="231F20"/>
        </w:rPr>
        <w:t>NT</w:t>
      </w:r>
      <w:r>
        <w:rPr>
          <w:color w:val="231F20"/>
          <w:spacing w:val="-2"/>
        </w:rPr>
        <w:t> </w:t>
      </w:r>
      <w:r>
        <w:rPr>
          <w:color w:val="231F20"/>
          <w:spacing w:val="-1"/>
        </w:rPr>
        <w:t>Christian</w:t>
      </w:r>
      <w:r>
        <w:rPr>
          <w:color w:val="231F20"/>
          <w:spacing w:val="26"/>
          <w:w w:val="99"/>
        </w:rPr>
        <w:t> </w:t>
      </w:r>
      <w:r>
        <w:rPr>
          <w:color w:val="231F20"/>
          <w:spacing w:val="-1"/>
        </w:rPr>
        <w:t>College</w:t>
      </w:r>
      <w:r>
        <w:rPr>
          <w:color w:val="231F20"/>
          <w:spacing w:val="-4"/>
        </w:rPr>
        <w:t> </w:t>
      </w:r>
      <w:r>
        <w:rPr>
          <w:color w:val="231F20"/>
          <w:spacing w:val="-3"/>
        </w:rPr>
        <w:t>(NTCC) </w:t>
      </w:r>
      <w:r>
        <w:rPr>
          <w:color w:val="231F20"/>
        </w:rPr>
        <w:t>runs</w:t>
      </w:r>
      <w:r>
        <w:rPr>
          <w:color w:val="231F20"/>
          <w:spacing w:val="-5"/>
        </w:rPr>
        <w:t> </w:t>
      </w:r>
      <w:r>
        <w:rPr>
          <w:color w:val="231F20"/>
        </w:rPr>
        <w:t>the</w:t>
      </w:r>
      <w:r>
        <w:rPr>
          <w:color w:val="231F20"/>
          <w:spacing w:val="-4"/>
        </w:rPr>
        <w:t> </w:t>
      </w:r>
      <w:r>
        <w:rPr>
          <w:color w:val="231F20"/>
          <w:spacing w:val="-1"/>
        </w:rPr>
        <w:t>senior</w:t>
      </w:r>
      <w:r>
        <w:rPr>
          <w:color w:val="231F20"/>
          <w:spacing w:val="-4"/>
        </w:rPr>
        <w:t> </w:t>
      </w:r>
      <w:r>
        <w:rPr>
          <w:color w:val="231F20"/>
          <w:spacing w:val="-1"/>
        </w:rPr>
        <w:t>school</w:t>
      </w:r>
      <w:r>
        <w:rPr>
          <w:color w:val="231F20"/>
          <w:spacing w:val="23"/>
        </w:rPr>
        <w:t> </w:t>
      </w:r>
      <w:r>
        <w:rPr>
          <w:color w:val="231F20"/>
        </w:rPr>
        <w:t>education</w:t>
      </w:r>
      <w:r>
        <w:rPr>
          <w:color w:val="231F20"/>
          <w:spacing w:val="-5"/>
        </w:rPr>
        <w:t> </w:t>
      </w:r>
      <w:r>
        <w:rPr>
          <w:color w:val="231F20"/>
        </w:rPr>
        <w:t>programs</w:t>
      </w:r>
      <w:r>
        <w:rPr>
          <w:color w:val="231F20"/>
          <w:spacing w:val="-5"/>
        </w:rPr>
        <w:t> </w:t>
      </w:r>
      <w:r>
        <w:rPr>
          <w:color w:val="231F20"/>
        </w:rPr>
        <w:t>for</w:t>
      </w:r>
      <w:r>
        <w:rPr>
          <w:color w:val="231F20"/>
          <w:spacing w:val="-4"/>
        </w:rPr>
        <w:t> </w:t>
      </w:r>
      <w:r>
        <w:rPr>
          <w:color w:val="231F20"/>
          <w:spacing w:val="-6"/>
        </w:rPr>
        <w:t>Year</w:t>
      </w:r>
      <w:r>
        <w:rPr>
          <w:color w:val="231F20"/>
          <w:spacing w:val="-4"/>
        </w:rPr>
        <w:t> </w:t>
      </w:r>
      <w:r>
        <w:rPr>
          <w:color w:val="231F20"/>
          <w:spacing w:val="-1"/>
        </w:rPr>
        <w:t>11</w:t>
      </w:r>
      <w:r>
        <w:rPr>
          <w:color w:val="231F20"/>
          <w:spacing w:val="-4"/>
        </w:rPr>
        <w:t> </w:t>
      </w:r>
      <w:r>
        <w:rPr>
          <w:color w:val="231F20"/>
        </w:rPr>
        <w:t>and</w:t>
      </w:r>
      <w:r>
        <w:rPr>
          <w:color w:val="231F20"/>
          <w:spacing w:val="-5"/>
        </w:rPr>
        <w:t> </w:t>
      </w:r>
      <w:r>
        <w:rPr>
          <w:color w:val="231F20"/>
          <w:spacing w:val="-1"/>
        </w:rPr>
        <w:t>12</w:t>
      </w:r>
      <w:r>
        <w:rPr>
          <w:color w:val="231F20"/>
          <w:spacing w:val="-4"/>
        </w:rPr>
        <w:t> </w:t>
      </w:r>
      <w:r>
        <w:rPr>
          <w:color w:val="231F20"/>
        </w:rPr>
        <w:t>from</w:t>
      </w:r>
      <w:r>
        <w:rPr/>
      </w:r>
    </w:p>
    <w:p>
      <w:pPr>
        <w:pStyle w:val="BodyText"/>
        <w:spacing w:line="250" w:lineRule="exact"/>
        <w:ind w:left="327" w:right="124"/>
        <w:jc w:val="left"/>
      </w:pPr>
      <w:r>
        <w:rPr>
          <w:color w:val="231F20"/>
        </w:rPr>
        <w:t>campuses</w:t>
      </w:r>
      <w:r>
        <w:rPr>
          <w:color w:val="231F20"/>
          <w:spacing w:val="-7"/>
        </w:rPr>
        <w:t> </w:t>
      </w:r>
      <w:r>
        <w:rPr>
          <w:color w:val="231F20"/>
          <w:spacing w:val="-1"/>
        </w:rPr>
        <w:t>located</w:t>
      </w:r>
      <w:r>
        <w:rPr>
          <w:color w:val="231F20"/>
          <w:spacing w:val="-6"/>
        </w:rPr>
        <w:t> </w:t>
      </w:r>
      <w:r>
        <w:rPr>
          <w:color w:val="231F20"/>
        </w:rPr>
        <w:t>at</w:t>
      </w:r>
      <w:r>
        <w:rPr>
          <w:color w:val="231F20"/>
          <w:spacing w:val="-5"/>
        </w:rPr>
        <w:t> </w:t>
      </w:r>
      <w:r>
        <w:rPr>
          <w:color w:val="231F20"/>
        </w:rPr>
        <w:t>Marrara,</w:t>
      </w:r>
      <w:r>
        <w:rPr>
          <w:color w:val="231F20"/>
          <w:spacing w:val="-6"/>
        </w:rPr>
        <w:t> </w:t>
      </w:r>
      <w:r>
        <w:rPr>
          <w:color w:val="231F20"/>
          <w:spacing w:val="-1"/>
        </w:rPr>
        <w:t>Palmerston</w:t>
      </w:r>
      <w:r>
        <w:rPr>
          <w:color w:val="231F20"/>
          <w:spacing w:val="-6"/>
        </w:rPr>
        <w:t> </w:t>
      </w:r>
      <w:r>
        <w:rPr>
          <w:color w:val="231F20"/>
        </w:rPr>
        <w:t>and</w:t>
      </w:r>
      <w:r>
        <w:rPr>
          <w:color w:val="231F20"/>
          <w:spacing w:val="24"/>
          <w:w w:val="99"/>
        </w:rPr>
        <w:t> </w:t>
      </w:r>
      <w:r>
        <w:rPr>
          <w:color w:val="231F20"/>
        </w:rPr>
        <w:t>Nhulunbuy.</w:t>
      </w:r>
      <w:r>
        <w:rPr>
          <w:color w:val="231F20"/>
          <w:spacing w:val="-4"/>
        </w:rPr>
        <w:t> </w:t>
      </w:r>
      <w:r>
        <w:rPr>
          <w:color w:val="231F20"/>
        </w:rPr>
        <w:t>The</w:t>
      </w:r>
      <w:r>
        <w:rPr>
          <w:color w:val="231F20"/>
          <w:spacing w:val="-3"/>
        </w:rPr>
        <w:t> </w:t>
      </w:r>
      <w:r>
        <w:rPr>
          <w:color w:val="231F20"/>
        </w:rPr>
        <w:t>data</w:t>
      </w:r>
      <w:r>
        <w:rPr>
          <w:color w:val="231F20"/>
          <w:spacing w:val="-5"/>
        </w:rPr>
        <w:t> </w:t>
      </w:r>
      <w:r>
        <w:rPr>
          <w:color w:val="231F20"/>
        </w:rPr>
        <w:t>for</w:t>
      </w:r>
      <w:r>
        <w:rPr>
          <w:color w:val="231F20"/>
          <w:spacing w:val="-3"/>
        </w:rPr>
        <w:t> </w:t>
      </w:r>
      <w:r>
        <w:rPr>
          <w:color w:val="231F20"/>
          <w:spacing w:val="-2"/>
        </w:rPr>
        <w:t>MCC</w:t>
      </w:r>
      <w:r>
        <w:rPr>
          <w:color w:val="231F20"/>
          <w:spacing w:val="-4"/>
        </w:rPr>
        <w:t> </w:t>
      </w:r>
      <w:r>
        <w:rPr>
          <w:color w:val="231F20"/>
        </w:rPr>
        <w:t>and</w:t>
      </w:r>
      <w:r>
        <w:rPr>
          <w:color w:val="231F20"/>
          <w:spacing w:val="-5"/>
        </w:rPr>
        <w:t> NT</w:t>
      </w:r>
      <w:r>
        <w:rPr>
          <w:color w:val="231F20"/>
          <w:spacing w:val="-4"/>
        </w:rPr>
        <w:t>CC </w:t>
      </w:r>
      <w:r>
        <w:rPr>
          <w:color w:val="231F20"/>
        </w:rPr>
        <w:t>has</w:t>
      </w:r>
      <w:r>
        <w:rPr>
          <w:color w:val="231F20"/>
          <w:spacing w:val="20"/>
        </w:rPr>
        <w:t> </w:t>
      </w:r>
      <w:r>
        <w:rPr>
          <w:color w:val="231F20"/>
        </w:rPr>
        <w:t>therefore</w:t>
      </w:r>
      <w:r>
        <w:rPr>
          <w:color w:val="231F20"/>
          <w:spacing w:val="-12"/>
        </w:rPr>
        <w:t> </w:t>
      </w:r>
      <w:r>
        <w:rPr>
          <w:color w:val="231F20"/>
        </w:rPr>
        <w:t>been</w:t>
      </w:r>
      <w:r>
        <w:rPr>
          <w:color w:val="231F20"/>
          <w:spacing w:val="-12"/>
        </w:rPr>
        <w:t> </w:t>
      </w:r>
      <w:r>
        <w:rPr>
          <w:color w:val="231F20"/>
        </w:rPr>
        <w:t>combined.</w:t>
      </w:r>
      <w:r>
        <w:rPr/>
      </w:r>
    </w:p>
    <w:p>
      <w:pPr>
        <w:spacing w:after="0" w:line="250" w:lineRule="exact"/>
        <w:jc w:val="left"/>
        <w:sectPr>
          <w:type w:val="continuous"/>
          <w:pgSz w:w="11910" w:h="16840"/>
          <w:pgMar w:top="1580" w:bottom="280" w:left="1600" w:right="1300"/>
          <w:cols w:num="2" w:equalWidth="0">
            <w:col w:w="4279" w:space="256"/>
            <w:col w:w="4475"/>
          </w:cols>
        </w:sectPr>
      </w:pPr>
    </w:p>
    <w:p>
      <w:pPr>
        <w:spacing w:line="240" w:lineRule="auto" w:before="4"/>
        <w:rPr>
          <w:rFonts w:ascii="Segoe UI" w:hAnsi="Segoe UI" w:cs="Segoe UI" w:eastAsia="Segoe UI"/>
          <w:sz w:val="15"/>
          <w:szCs w:val="15"/>
        </w:rPr>
      </w:pPr>
    </w:p>
    <w:p>
      <w:pPr>
        <w:spacing w:after="0" w:line="240" w:lineRule="auto"/>
        <w:rPr>
          <w:rFonts w:ascii="Segoe UI" w:hAnsi="Segoe UI" w:cs="Segoe UI" w:eastAsia="Segoe UI"/>
          <w:sz w:val="15"/>
          <w:szCs w:val="15"/>
        </w:rPr>
        <w:sectPr>
          <w:pgSz w:w="11910" w:h="16840"/>
          <w:pgMar w:header="0" w:footer="691" w:top="1580" w:bottom="880" w:left="1300" w:right="1340"/>
        </w:sectPr>
      </w:pPr>
    </w:p>
    <w:p>
      <w:pPr>
        <w:spacing w:before="14"/>
        <w:ind w:left="117" w:right="0" w:firstLine="0"/>
        <w:jc w:val="left"/>
        <w:rPr>
          <w:rFonts w:ascii="Segoe UI" w:hAnsi="Segoe UI" w:cs="Segoe UI" w:eastAsia="Segoe UI"/>
          <w:sz w:val="32"/>
          <w:szCs w:val="32"/>
        </w:rPr>
      </w:pPr>
      <w:r>
        <w:rPr>
          <w:rFonts w:ascii="Segoe UI"/>
          <w:b/>
          <w:color w:val="452A70"/>
          <w:spacing w:val="-2"/>
          <w:sz w:val="32"/>
        </w:rPr>
        <w:t>Key</w:t>
      </w:r>
      <w:r>
        <w:rPr>
          <w:rFonts w:ascii="Segoe UI"/>
          <w:b/>
          <w:color w:val="452A70"/>
          <w:sz w:val="32"/>
        </w:rPr>
        <w:t> findings</w:t>
      </w:r>
      <w:r>
        <w:rPr>
          <w:rFonts w:ascii="Segoe UI"/>
          <w:sz w:val="32"/>
        </w:rPr>
      </w:r>
    </w:p>
    <w:p>
      <w:pPr>
        <w:pStyle w:val="BodyText"/>
        <w:spacing w:line="258" w:lineRule="exact" w:before="95"/>
        <w:ind w:right="0"/>
        <w:jc w:val="left"/>
        <w:rPr>
          <w:rFonts w:ascii="Segoe UI" w:hAnsi="Segoe UI" w:cs="Segoe UI" w:eastAsia="Segoe UI"/>
        </w:rPr>
      </w:pPr>
      <w:r>
        <w:rPr>
          <w:rFonts w:ascii="Segoe UI"/>
          <w:color w:val="231F20"/>
        </w:rPr>
        <w:t>The key findings of this report are set out</w:t>
      </w:r>
      <w:r>
        <w:rPr>
          <w:rFonts w:ascii="Segoe UI"/>
        </w:rPr>
      </w:r>
    </w:p>
    <w:p>
      <w:pPr>
        <w:pStyle w:val="BodyText"/>
        <w:spacing w:line="258" w:lineRule="exact"/>
        <w:ind w:right="0"/>
        <w:jc w:val="left"/>
      </w:pPr>
      <w:r>
        <w:rPr>
          <w:color w:val="231F20"/>
        </w:rPr>
        <w:t>below.</w:t>
      </w:r>
      <w:r>
        <w:rPr/>
      </w:r>
    </w:p>
    <w:p>
      <w:pPr>
        <w:pStyle w:val="Heading3"/>
        <w:spacing w:line="240" w:lineRule="auto"/>
        <w:ind w:right="0"/>
        <w:jc w:val="left"/>
      </w:pPr>
      <w:r>
        <w:rPr>
          <w:b/>
          <w:color w:val="00779B"/>
          <w:spacing w:val="-3"/>
        </w:rPr>
        <w:t>Revenue</w:t>
      </w:r>
      <w:r>
        <w:rPr>
          <w:b/>
          <w:color w:val="00779B"/>
          <w:spacing w:val="-1"/>
        </w:rPr>
        <w:t> </w:t>
      </w:r>
      <w:r>
        <w:rPr>
          <w:b/>
          <w:color w:val="00779B"/>
        </w:rPr>
        <w:t>and</w:t>
      </w:r>
      <w:r>
        <w:rPr>
          <w:b/>
          <w:color w:val="00779B"/>
          <w:spacing w:val="-2"/>
        </w:rPr>
        <w:t> </w:t>
      </w:r>
      <w:r>
        <w:rPr>
          <w:b/>
          <w:color w:val="00779B"/>
          <w:spacing w:val="-1"/>
        </w:rPr>
        <w:t>expenditure</w:t>
      </w:r>
      <w:r>
        <w:rPr/>
      </w:r>
    </w:p>
    <w:p>
      <w:pPr>
        <w:pStyle w:val="BodyText"/>
        <w:spacing w:line="250" w:lineRule="exact" w:before="64"/>
        <w:ind w:right="63"/>
        <w:jc w:val="left"/>
      </w:pP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6"/>
        </w:rPr>
        <w:t> </w:t>
      </w:r>
      <w:r>
        <w:rPr>
          <w:color w:val="231F20"/>
        </w:rPr>
        <w:t>receive</w:t>
      </w:r>
      <w:r>
        <w:rPr>
          <w:color w:val="231F20"/>
          <w:spacing w:val="-6"/>
        </w:rPr>
        <w:t> </w:t>
      </w:r>
      <w:r>
        <w:rPr>
          <w:color w:val="231F20"/>
        </w:rPr>
        <w:t>funding</w:t>
      </w:r>
      <w:r>
        <w:rPr>
          <w:color w:val="231F20"/>
          <w:spacing w:val="-5"/>
        </w:rPr>
        <w:t> </w:t>
      </w:r>
      <w:r>
        <w:rPr>
          <w:color w:val="231F20"/>
        </w:rPr>
        <w:t>and</w:t>
      </w:r>
      <w:r>
        <w:rPr>
          <w:color w:val="231F20"/>
          <w:spacing w:val="-6"/>
        </w:rPr>
        <w:t> </w:t>
      </w:r>
      <w:r>
        <w:rPr>
          <w:color w:val="231F20"/>
          <w:spacing w:val="-1"/>
        </w:rPr>
        <w:t>income</w:t>
      </w:r>
      <w:r>
        <w:rPr>
          <w:color w:val="231F20"/>
          <w:spacing w:val="-5"/>
        </w:rPr>
        <w:t> </w:t>
      </w:r>
      <w:r>
        <w:rPr>
          <w:color w:val="231F20"/>
        </w:rPr>
        <w:t>from</w:t>
      </w:r>
      <w:r>
        <w:rPr>
          <w:color w:val="231F20"/>
          <w:spacing w:val="-5"/>
        </w:rPr>
        <w:t> </w:t>
      </w:r>
      <w:r>
        <w:rPr>
          <w:color w:val="231F20"/>
        </w:rPr>
        <w:t>a</w:t>
      </w:r>
      <w:r>
        <w:rPr>
          <w:color w:val="231F20"/>
          <w:spacing w:val="21"/>
          <w:w w:val="99"/>
        </w:rPr>
        <w:t> </w:t>
      </w:r>
      <w:r>
        <w:rPr>
          <w:color w:val="231F20"/>
        </w:rPr>
        <w:t>number</w:t>
      </w:r>
      <w:r>
        <w:rPr>
          <w:color w:val="231F20"/>
          <w:spacing w:val="-4"/>
        </w:rPr>
        <w:t> </w:t>
      </w:r>
      <w:r>
        <w:rPr>
          <w:color w:val="231F20"/>
        </w:rPr>
        <w:t>of</w:t>
      </w:r>
      <w:r>
        <w:rPr>
          <w:color w:val="231F20"/>
          <w:spacing w:val="-2"/>
        </w:rPr>
        <w:t> </w:t>
      </w:r>
      <w:r>
        <w:rPr>
          <w:color w:val="231F20"/>
          <w:spacing w:val="-1"/>
        </w:rPr>
        <w:t>sources</w:t>
      </w:r>
      <w:r>
        <w:rPr>
          <w:color w:val="231F20"/>
          <w:spacing w:val="-2"/>
        </w:rPr>
        <w:t> </w:t>
      </w:r>
      <w:r>
        <w:rPr>
          <w:color w:val="231F20"/>
        </w:rPr>
        <w:t>to</w:t>
      </w:r>
      <w:r>
        <w:rPr>
          <w:color w:val="231F20"/>
          <w:spacing w:val="-2"/>
        </w:rPr>
        <w:t> </w:t>
      </w:r>
      <w:r>
        <w:rPr>
          <w:color w:val="231F20"/>
          <w:spacing w:val="-1"/>
        </w:rPr>
        <w:t>meet</w:t>
      </w:r>
      <w:r>
        <w:rPr>
          <w:color w:val="231F20"/>
          <w:spacing w:val="-2"/>
        </w:rPr>
        <w:t> </w:t>
      </w:r>
      <w:r>
        <w:rPr>
          <w:color w:val="231F20"/>
        </w:rPr>
        <w:t>the</w:t>
      </w:r>
      <w:r>
        <w:rPr>
          <w:color w:val="231F20"/>
          <w:spacing w:val="-3"/>
        </w:rPr>
        <w:t> </w:t>
      </w:r>
      <w:r>
        <w:rPr>
          <w:color w:val="231F20"/>
        </w:rPr>
        <w:t>cost</w:t>
      </w:r>
      <w:r>
        <w:rPr>
          <w:color w:val="231F20"/>
          <w:spacing w:val="-4"/>
        </w:rPr>
        <w:t> </w:t>
      </w:r>
      <w:r>
        <w:rPr>
          <w:color w:val="231F20"/>
        </w:rPr>
        <w:t>of</w:t>
      </w:r>
      <w:r>
        <w:rPr>
          <w:color w:val="231F20"/>
          <w:spacing w:val="-2"/>
        </w:rPr>
        <w:t> </w:t>
      </w:r>
      <w:r>
        <w:rPr>
          <w:color w:val="231F20"/>
          <w:spacing w:val="-1"/>
        </w:rPr>
        <w:t>tuition</w:t>
      </w:r>
      <w:r>
        <w:rPr>
          <w:rFonts w:ascii="Segoe UI Semibold"/>
          <w:b/>
          <w:color w:val="231F20"/>
          <w:spacing w:val="-1"/>
          <w:position w:val="7"/>
          <w:sz w:val="11"/>
        </w:rPr>
        <w:t>3</w:t>
      </w:r>
      <w:r>
        <w:rPr>
          <w:rFonts w:ascii="Segoe UI Semibold"/>
          <w:b/>
          <w:color w:val="231F20"/>
          <w:spacing w:val="30"/>
          <w:w w:val="106"/>
          <w:position w:val="7"/>
          <w:sz w:val="11"/>
        </w:rPr>
        <w:t> </w:t>
      </w:r>
      <w:r>
        <w:rPr>
          <w:color w:val="231F20"/>
        </w:rPr>
        <w:t>and</w:t>
      </w:r>
      <w:r>
        <w:rPr>
          <w:color w:val="231F20"/>
          <w:spacing w:val="-6"/>
        </w:rPr>
        <w:t> </w:t>
      </w:r>
      <w:r>
        <w:rPr>
          <w:color w:val="231F20"/>
        </w:rPr>
        <w:t>boarding</w:t>
      </w:r>
      <w:r>
        <w:rPr>
          <w:color w:val="231F20"/>
          <w:spacing w:val="-6"/>
        </w:rPr>
        <w:t> </w:t>
      </w:r>
      <w:r>
        <w:rPr>
          <w:color w:val="231F20"/>
        </w:rPr>
        <w:t>for</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 </w:t>
      </w:r>
      <w:r>
        <w:rPr>
          <w:color w:val="231F20"/>
          <w:spacing w:val="-2"/>
        </w:rPr>
        <w:t>Strait</w:t>
      </w:r>
      <w:r>
        <w:rPr>
          <w:color w:val="231F20"/>
          <w:spacing w:val="28"/>
          <w:w w:val="99"/>
        </w:rPr>
        <w:t> </w:t>
      </w:r>
      <w:r>
        <w:rPr>
          <w:color w:val="231F20"/>
          <w:spacing w:val="-1"/>
        </w:rPr>
        <w:t>Islander</w:t>
      </w:r>
      <w:r>
        <w:rPr>
          <w:color w:val="231F20"/>
          <w:spacing w:val="-5"/>
        </w:rPr>
        <w:t> </w:t>
      </w:r>
      <w:r>
        <w:rPr>
          <w:color w:val="231F20"/>
          <w:spacing w:val="-1"/>
        </w:rPr>
        <w:t>students.</w:t>
      </w:r>
      <w:r>
        <w:rPr>
          <w:color w:val="231F20"/>
          <w:spacing w:val="-3"/>
        </w:rPr>
        <w:t> </w:t>
      </w:r>
      <w:r>
        <w:rPr>
          <w:color w:val="231F20"/>
        </w:rPr>
        <w:t>The</w:t>
      </w:r>
      <w:r>
        <w:rPr>
          <w:color w:val="231F20"/>
          <w:spacing w:val="-4"/>
        </w:rPr>
        <w:t> </w:t>
      </w:r>
      <w:r>
        <w:rPr>
          <w:color w:val="231F20"/>
          <w:spacing w:val="-1"/>
        </w:rPr>
        <w:t>main</w:t>
      </w:r>
      <w:r>
        <w:rPr>
          <w:color w:val="231F20"/>
          <w:spacing w:val="-5"/>
        </w:rPr>
        <w:t> </w:t>
      </w:r>
      <w:r>
        <w:rPr>
          <w:color w:val="231F20"/>
          <w:spacing w:val="-1"/>
        </w:rPr>
        <w:t>sources</w:t>
      </w:r>
      <w:r>
        <w:rPr>
          <w:color w:val="231F20"/>
          <w:spacing w:val="-4"/>
        </w:rPr>
        <w:t> </w:t>
      </w:r>
      <w:r>
        <w:rPr>
          <w:color w:val="231F20"/>
        </w:rPr>
        <w:t>are:</w:t>
      </w:r>
      <w:r>
        <w:rPr/>
      </w:r>
    </w:p>
    <w:p>
      <w:pPr>
        <w:pStyle w:val="BodyText"/>
        <w:spacing w:line="240" w:lineRule="auto" w:before="97"/>
        <w:ind w:right="0"/>
        <w:jc w:val="left"/>
      </w:pPr>
      <w:r>
        <w:rPr>
          <w:rFonts w:ascii="Century Gothic" w:hAnsi="Century Gothic"/>
          <w:color w:val="231F20"/>
        </w:rPr>
        <w:t>» </w:t>
      </w:r>
      <w:r>
        <w:rPr>
          <w:rFonts w:ascii="Century Gothic" w:hAnsi="Century Gothic"/>
          <w:color w:val="231F20"/>
          <w:spacing w:val="17"/>
        </w:rPr>
        <w:t> </w:t>
      </w:r>
      <w:r>
        <w:rPr>
          <w:color w:val="231F20"/>
          <w:spacing w:val="-1"/>
        </w:rPr>
        <w:t>Commonwealth</w:t>
      </w:r>
      <w:r>
        <w:rPr>
          <w:color w:val="231F20"/>
          <w:spacing w:val="-6"/>
        </w:rPr>
        <w:t> </w:t>
      </w:r>
      <w:r>
        <w:rPr>
          <w:color w:val="231F20"/>
        </w:rPr>
        <w:t>recurrent</w:t>
      </w:r>
      <w:r>
        <w:rPr>
          <w:color w:val="231F20"/>
          <w:spacing w:val="-6"/>
        </w:rPr>
        <w:t> </w:t>
      </w:r>
      <w:r>
        <w:rPr>
          <w:color w:val="231F20"/>
          <w:spacing w:val="-1"/>
        </w:rPr>
        <w:t>school</w:t>
      </w:r>
      <w:r>
        <w:rPr>
          <w:color w:val="231F20"/>
          <w:spacing w:val="-6"/>
        </w:rPr>
        <w:t> </w:t>
      </w:r>
      <w:r>
        <w:rPr>
          <w:color w:val="231F20"/>
        </w:rPr>
        <w:t>funding</w:t>
      </w:r>
      <w:r>
        <w:rPr/>
      </w:r>
    </w:p>
    <w:p>
      <w:pPr>
        <w:pStyle w:val="BodyText"/>
        <w:spacing w:line="250" w:lineRule="exact" w:before="113"/>
        <w:ind w:left="344" w:right="63" w:hanging="227"/>
        <w:jc w:val="left"/>
      </w:pPr>
      <w:r>
        <w:rPr>
          <w:rFonts w:ascii="Century Gothic" w:hAnsi="Century Gothic" w:cs="Century Gothic" w:eastAsia="Century Gothic"/>
          <w:color w:val="231F20"/>
        </w:rPr>
        <w:t>» </w:t>
      </w:r>
      <w:r>
        <w:rPr>
          <w:rFonts w:ascii="Century Gothic" w:hAnsi="Century Gothic" w:cs="Century Gothic" w:eastAsia="Century Gothic"/>
          <w:color w:val="231F20"/>
          <w:spacing w:val="14"/>
        </w:rPr>
        <w:t> </w:t>
      </w:r>
      <w:r>
        <w:rPr>
          <w:color w:val="231F20"/>
          <w:spacing w:val="-1"/>
        </w:rPr>
        <w:t>Indigenous</w:t>
      </w:r>
      <w:r>
        <w:rPr>
          <w:color w:val="231F20"/>
          <w:spacing w:val="-6"/>
        </w:rPr>
        <w:t> </w:t>
      </w:r>
      <w:r>
        <w:rPr>
          <w:color w:val="231F20"/>
        </w:rPr>
        <w:t>Advancement</w:t>
      </w:r>
      <w:r>
        <w:rPr>
          <w:color w:val="231F20"/>
          <w:spacing w:val="-7"/>
        </w:rPr>
        <w:t> </w:t>
      </w:r>
      <w:r>
        <w:rPr>
          <w:color w:val="231F20"/>
          <w:spacing w:val="-1"/>
        </w:rPr>
        <w:t>Strategy</w:t>
      </w:r>
      <w:r>
        <w:rPr>
          <w:color w:val="231F20"/>
          <w:spacing w:val="-7"/>
        </w:rPr>
        <w:t> </w:t>
      </w:r>
      <w:r>
        <w:rPr>
          <w:color w:val="231F20"/>
        </w:rPr>
        <w:t>(IAS)—</w:t>
      </w:r>
      <w:r>
        <w:rPr>
          <w:color w:val="231F20"/>
          <w:spacing w:val="23"/>
          <w:w w:val="99"/>
        </w:rPr>
        <w:t> </w:t>
      </w:r>
      <w:r>
        <w:rPr>
          <w:color w:val="231F20"/>
          <w:spacing w:val="-1"/>
        </w:rPr>
        <w:t>Children</w:t>
      </w:r>
      <w:r>
        <w:rPr>
          <w:color w:val="231F20"/>
          <w:spacing w:val="-7"/>
        </w:rPr>
        <w:t> </w:t>
      </w:r>
      <w:r>
        <w:rPr>
          <w:color w:val="231F20"/>
        </w:rPr>
        <w:t>and</w:t>
      </w:r>
      <w:r>
        <w:rPr>
          <w:color w:val="231F20"/>
          <w:spacing w:val="-7"/>
        </w:rPr>
        <w:t> </w:t>
      </w:r>
      <w:r>
        <w:rPr>
          <w:color w:val="231F20"/>
          <w:spacing w:val="-1"/>
        </w:rPr>
        <w:t>Schooling</w:t>
      </w:r>
      <w:r>
        <w:rPr>
          <w:color w:val="231F20"/>
          <w:spacing w:val="-6"/>
        </w:rPr>
        <w:t> </w:t>
      </w:r>
      <w:r>
        <w:rPr>
          <w:color w:val="231F20"/>
        </w:rPr>
        <w:t>Program</w:t>
      </w:r>
      <w:r>
        <w:rPr/>
      </w:r>
    </w:p>
    <w:p>
      <w:pPr>
        <w:pStyle w:val="BodyText"/>
        <w:spacing w:line="240" w:lineRule="auto" w:before="97"/>
        <w:ind w:right="0"/>
        <w:jc w:val="left"/>
      </w:pPr>
      <w:r>
        <w:rPr>
          <w:rFonts w:ascii="Century Gothic" w:hAnsi="Century Gothic"/>
          <w:color w:val="231F20"/>
        </w:rPr>
        <w:t>» </w:t>
      </w:r>
      <w:r>
        <w:rPr>
          <w:rFonts w:ascii="Century Gothic" w:hAnsi="Century Gothic"/>
          <w:color w:val="231F20"/>
          <w:spacing w:val="20"/>
        </w:rPr>
        <w:t> </w:t>
      </w:r>
      <w:r>
        <w:rPr>
          <w:color w:val="231F20"/>
          <w:spacing w:val="-1"/>
        </w:rPr>
        <w:t>state</w:t>
      </w:r>
      <w:r>
        <w:rPr>
          <w:color w:val="231F20"/>
          <w:spacing w:val="-4"/>
        </w:rPr>
        <w:t> </w:t>
      </w:r>
      <w:r>
        <w:rPr>
          <w:color w:val="231F20"/>
        </w:rPr>
        <w:t>and</w:t>
      </w:r>
      <w:r>
        <w:rPr>
          <w:color w:val="231F20"/>
          <w:spacing w:val="-5"/>
        </w:rPr>
        <w:t> </w:t>
      </w:r>
      <w:r>
        <w:rPr>
          <w:color w:val="231F20"/>
        </w:rPr>
        <w:t>territory</w:t>
      </w:r>
      <w:r>
        <w:rPr>
          <w:color w:val="231F20"/>
          <w:spacing w:val="-5"/>
        </w:rPr>
        <w:t> </w:t>
      </w:r>
      <w:r>
        <w:rPr>
          <w:color w:val="231F20"/>
        </w:rPr>
        <w:t>funding</w:t>
      </w:r>
      <w:r>
        <w:rPr/>
      </w:r>
    </w:p>
    <w:p>
      <w:pPr>
        <w:pStyle w:val="BodyText"/>
        <w:spacing w:line="250" w:lineRule="exact" w:before="113"/>
        <w:ind w:left="344" w:right="0" w:hanging="227"/>
        <w:jc w:val="left"/>
      </w:pPr>
      <w:r>
        <w:rPr>
          <w:rFonts w:ascii="Century Gothic" w:hAnsi="Century Gothic"/>
          <w:color w:val="231F20"/>
        </w:rPr>
        <w:t>» </w:t>
      </w:r>
      <w:r>
        <w:rPr>
          <w:rFonts w:ascii="Century Gothic" w:hAnsi="Century Gothic"/>
          <w:color w:val="231F20"/>
          <w:spacing w:val="21"/>
        </w:rPr>
        <w:t> </w:t>
      </w:r>
      <w:r>
        <w:rPr>
          <w:color w:val="231F20"/>
        </w:rPr>
        <w:t>donations,</w:t>
      </w:r>
      <w:r>
        <w:rPr>
          <w:color w:val="231F20"/>
          <w:spacing w:val="-5"/>
        </w:rPr>
        <w:t> </w:t>
      </w:r>
      <w:r>
        <w:rPr>
          <w:color w:val="231F20"/>
          <w:spacing w:val="-1"/>
        </w:rPr>
        <w:t>scholarships</w:t>
      </w:r>
      <w:r>
        <w:rPr>
          <w:color w:val="231F20"/>
          <w:spacing w:val="-3"/>
        </w:rPr>
        <w:t> </w:t>
      </w:r>
      <w:r>
        <w:rPr>
          <w:color w:val="231F20"/>
        </w:rPr>
        <w:t>and</w:t>
      </w:r>
      <w:r>
        <w:rPr>
          <w:color w:val="231F20"/>
          <w:spacing w:val="-4"/>
        </w:rPr>
        <w:t> </w:t>
      </w:r>
      <w:r>
        <w:rPr>
          <w:color w:val="231F20"/>
        </w:rPr>
        <w:t>other</w:t>
      </w:r>
      <w:r>
        <w:rPr>
          <w:color w:val="231F20"/>
          <w:spacing w:val="-4"/>
        </w:rPr>
        <w:t> </w:t>
      </w:r>
      <w:r>
        <w:rPr>
          <w:color w:val="231F20"/>
        </w:rPr>
        <w:t>private</w:t>
      </w:r>
      <w:r>
        <w:rPr>
          <w:color w:val="231F20"/>
          <w:spacing w:val="22"/>
          <w:w w:val="99"/>
        </w:rPr>
        <w:t> </w:t>
      </w:r>
      <w:r>
        <w:rPr>
          <w:color w:val="231F20"/>
          <w:spacing w:val="-1"/>
        </w:rPr>
        <w:t>income</w:t>
      </w:r>
      <w:r>
        <w:rPr/>
      </w:r>
    </w:p>
    <w:p>
      <w:pPr>
        <w:pStyle w:val="BodyText"/>
        <w:spacing w:line="240" w:lineRule="auto" w:before="97"/>
        <w:ind w:right="0"/>
        <w:jc w:val="left"/>
      </w:pPr>
      <w:r>
        <w:rPr>
          <w:rFonts w:ascii="Century Gothic" w:hAnsi="Century Gothic"/>
          <w:color w:val="231F20"/>
        </w:rPr>
        <w:t>» </w:t>
      </w:r>
      <w:r>
        <w:rPr>
          <w:rFonts w:ascii="Century Gothic" w:hAnsi="Century Gothic"/>
          <w:color w:val="231F20"/>
          <w:spacing w:val="29"/>
        </w:rPr>
        <w:t> </w:t>
      </w:r>
      <w:r>
        <w:rPr>
          <w:color w:val="231F20"/>
          <w:spacing w:val="-1"/>
        </w:rPr>
        <w:t>scholarships</w:t>
      </w:r>
      <w:r>
        <w:rPr/>
      </w:r>
    </w:p>
    <w:p>
      <w:pPr>
        <w:pStyle w:val="BodyText"/>
        <w:spacing w:line="240" w:lineRule="auto" w:before="97"/>
        <w:ind w:right="0"/>
        <w:jc w:val="left"/>
      </w:pPr>
      <w:r>
        <w:rPr>
          <w:rFonts w:ascii="Century Gothic" w:hAnsi="Century Gothic"/>
          <w:color w:val="231F20"/>
        </w:rPr>
        <w:t>» </w:t>
      </w:r>
      <w:r>
        <w:rPr>
          <w:rFonts w:ascii="Century Gothic" w:hAnsi="Century Gothic"/>
          <w:color w:val="231F20"/>
          <w:spacing w:val="24"/>
        </w:rPr>
        <w:t> </w:t>
      </w:r>
      <w:r>
        <w:rPr>
          <w:color w:val="231F20"/>
        </w:rPr>
        <w:t>ABSTUDY</w:t>
      </w:r>
      <w:r>
        <w:rPr>
          <w:color w:val="231F20"/>
          <w:spacing w:val="-4"/>
        </w:rPr>
        <w:t> </w:t>
      </w:r>
      <w:r>
        <w:rPr>
          <w:color w:val="231F20"/>
        </w:rPr>
        <w:t>(paid</w:t>
      </w:r>
      <w:r>
        <w:rPr>
          <w:color w:val="231F20"/>
          <w:spacing w:val="-4"/>
        </w:rPr>
        <w:t> </w:t>
      </w:r>
      <w:r>
        <w:rPr>
          <w:color w:val="231F20"/>
        </w:rPr>
        <w:t>on</w:t>
      </w:r>
      <w:r>
        <w:rPr>
          <w:color w:val="231F20"/>
          <w:spacing w:val="-4"/>
        </w:rPr>
        <w:t> </w:t>
      </w:r>
      <w:r>
        <w:rPr>
          <w:color w:val="231F20"/>
        </w:rPr>
        <w:t>behalf</w:t>
      </w:r>
      <w:r>
        <w:rPr>
          <w:color w:val="231F20"/>
          <w:spacing w:val="-3"/>
        </w:rPr>
        <w:t> </w:t>
      </w:r>
      <w:r>
        <w:rPr>
          <w:color w:val="231F20"/>
        </w:rPr>
        <w:t>of</w:t>
      </w:r>
      <w:r>
        <w:rPr>
          <w:color w:val="231F20"/>
          <w:spacing w:val="-4"/>
        </w:rPr>
        <w:t> </w:t>
      </w:r>
      <w:r>
        <w:rPr>
          <w:color w:val="231F20"/>
        </w:rPr>
        <w:t>eligible</w:t>
      </w:r>
      <w:r>
        <w:rPr>
          <w:color w:val="231F20"/>
          <w:spacing w:val="-4"/>
        </w:rPr>
        <w:t> </w:t>
      </w:r>
      <w:r>
        <w:rPr>
          <w:color w:val="231F20"/>
          <w:spacing w:val="-1"/>
        </w:rPr>
        <w:t>students)</w:t>
      </w:r>
      <w:r>
        <w:rPr/>
      </w:r>
    </w:p>
    <w:p>
      <w:pPr>
        <w:pStyle w:val="BodyText"/>
        <w:spacing w:line="250" w:lineRule="exact" w:before="113"/>
        <w:ind w:left="344" w:right="63" w:hanging="227"/>
        <w:jc w:val="left"/>
      </w:pPr>
      <w:r>
        <w:rPr>
          <w:rFonts w:ascii="Century Gothic" w:hAnsi="Century Gothic"/>
          <w:color w:val="231F20"/>
        </w:rPr>
        <w:t>» </w:t>
      </w:r>
      <w:r>
        <w:rPr>
          <w:rFonts w:ascii="Century Gothic" w:hAnsi="Century Gothic"/>
          <w:color w:val="231F20"/>
          <w:spacing w:val="23"/>
        </w:rPr>
        <w:t> </w:t>
      </w:r>
      <w:r>
        <w:rPr>
          <w:color w:val="231F20"/>
        </w:rPr>
        <w:t>ABSTUDY</w:t>
      </w:r>
      <w:r>
        <w:rPr>
          <w:color w:val="231F20"/>
          <w:spacing w:val="-4"/>
        </w:rPr>
        <w:t> </w:t>
      </w:r>
      <w:r>
        <w:rPr>
          <w:color w:val="231F20"/>
        </w:rPr>
        <w:t>fares</w:t>
      </w:r>
      <w:r>
        <w:rPr>
          <w:color w:val="231F20"/>
          <w:spacing w:val="-3"/>
        </w:rPr>
        <w:t> </w:t>
      </w:r>
      <w:r>
        <w:rPr>
          <w:color w:val="231F20"/>
        </w:rPr>
        <w:t>allowance</w:t>
      </w:r>
      <w:r>
        <w:rPr>
          <w:color w:val="231F20"/>
          <w:spacing w:val="-4"/>
        </w:rPr>
        <w:t> </w:t>
      </w:r>
      <w:r>
        <w:rPr>
          <w:color w:val="231F20"/>
        </w:rPr>
        <w:t>(for</w:t>
      </w:r>
      <w:r>
        <w:rPr>
          <w:color w:val="231F20"/>
          <w:spacing w:val="-4"/>
        </w:rPr>
        <w:t> </w:t>
      </w:r>
      <w:r>
        <w:rPr>
          <w:color w:val="231F20"/>
        </w:rPr>
        <w:t>travel</w:t>
      </w:r>
      <w:r>
        <w:rPr>
          <w:color w:val="231F20"/>
          <w:spacing w:val="-4"/>
        </w:rPr>
        <w:t> </w:t>
      </w:r>
      <w:r>
        <w:rPr>
          <w:color w:val="231F20"/>
        </w:rPr>
        <w:t>costs</w:t>
      </w:r>
      <w:r>
        <w:rPr>
          <w:color w:val="231F20"/>
        </w:rPr>
        <w:t> where</w:t>
      </w:r>
      <w:r>
        <w:rPr>
          <w:color w:val="231F20"/>
          <w:spacing w:val="-9"/>
        </w:rPr>
        <w:t> </w:t>
      </w:r>
      <w:r>
        <w:rPr>
          <w:color w:val="231F20"/>
        </w:rPr>
        <w:t>the</w:t>
      </w:r>
      <w:r>
        <w:rPr>
          <w:color w:val="231F20"/>
          <w:spacing w:val="-8"/>
        </w:rPr>
        <w:t> </w:t>
      </w:r>
      <w:r>
        <w:rPr>
          <w:color w:val="231F20"/>
        </w:rPr>
        <w:t>reimbursement</w:t>
      </w:r>
      <w:r>
        <w:rPr>
          <w:color w:val="231F20"/>
          <w:spacing w:val="-10"/>
        </w:rPr>
        <w:t> </w:t>
      </w:r>
      <w:r>
        <w:rPr>
          <w:color w:val="231F20"/>
          <w:spacing w:val="-1"/>
        </w:rPr>
        <w:t>is</w:t>
      </w:r>
      <w:r>
        <w:rPr>
          <w:color w:val="231F20"/>
          <w:spacing w:val="-8"/>
        </w:rPr>
        <w:t> </w:t>
      </w:r>
      <w:r>
        <w:rPr>
          <w:color w:val="231F20"/>
          <w:spacing w:val="-1"/>
        </w:rPr>
        <w:t>selected)</w:t>
      </w:r>
      <w:r>
        <w:rPr/>
      </w:r>
    </w:p>
    <w:p>
      <w:pPr>
        <w:pStyle w:val="BodyText"/>
        <w:spacing w:line="240" w:lineRule="auto" w:before="97"/>
        <w:ind w:right="0"/>
        <w:jc w:val="left"/>
      </w:pPr>
      <w:r>
        <w:rPr>
          <w:rFonts w:ascii="Century Gothic" w:hAnsi="Century Gothic"/>
          <w:color w:val="231F20"/>
        </w:rPr>
        <w:t>» </w:t>
      </w:r>
      <w:r>
        <w:rPr>
          <w:rFonts w:ascii="Century Gothic" w:hAnsi="Century Gothic"/>
          <w:color w:val="231F20"/>
          <w:spacing w:val="19"/>
        </w:rPr>
        <w:t> </w:t>
      </w:r>
      <w:r>
        <w:rPr>
          <w:color w:val="231F20"/>
        </w:rPr>
        <w:t>private</w:t>
      </w:r>
      <w:r>
        <w:rPr>
          <w:color w:val="231F20"/>
          <w:spacing w:val="-6"/>
        </w:rPr>
        <w:t> </w:t>
      </w:r>
      <w:r>
        <w:rPr>
          <w:color w:val="231F20"/>
        </w:rPr>
        <w:t>fees</w:t>
      </w:r>
      <w:r>
        <w:rPr>
          <w:color w:val="231F20"/>
          <w:spacing w:val="-5"/>
        </w:rPr>
        <w:t> </w:t>
      </w:r>
      <w:r>
        <w:rPr>
          <w:color w:val="231F20"/>
        </w:rPr>
        <w:t>and</w:t>
      </w:r>
      <w:r>
        <w:rPr>
          <w:color w:val="231F20"/>
          <w:spacing w:val="-6"/>
        </w:rPr>
        <w:t> </w:t>
      </w:r>
      <w:r>
        <w:rPr>
          <w:color w:val="231F20"/>
        </w:rPr>
        <w:t>parental</w:t>
      </w:r>
      <w:r>
        <w:rPr>
          <w:color w:val="231F20"/>
          <w:spacing w:val="-5"/>
        </w:rPr>
        <w:t> </w:t>
      </w:r>
      <w:r>
        <w:rPr>
          <w:color w:val="231F20"/>
        </w:rPr>
        <w:t>contributions</w:t>
      </w:r>
      <w:r>
        <w:rPr/>
      </w:r>
    </w:p>
    <w:p>
      <w:pPr>
        <w:pStyle w:val="BodyText"/>
        <w:spacing w:line="250" w:lineRule="exact" w:before="113"/>
        <w:ind w:left="344" w:right="0" w:hanging="227"/>
        <w:jc w:val="left"/>
      </w:pPr>
      <w:r>
        <w:rPr>
          <w:rFonts w:ascii="Century Gothic" w:hAnsi="Century Gothic"/>
          <w:color w:val="231F20"/>
        </w:rPr>
        <w:t>» </w:t>
      </w:r>
      <w:r>
        <w:rPr>
          <w:rFonts w:ascii="Century Gothic" w:hAnsi="Century Gothic"/>
          <w:color w:val="231F20"/>
          <w:spacing w:val="17"/>
        </w:rPr>
        <w:t> </w:t>
      </w:r>
      <w:r>
        <w:rPr>
          <w:color w:val="231F20"/>
        </w:rPr>
        <w:t>underpinning</w:t>
      </w:r>
      <w:r>
        <w:rPr>
          <w:color w:val="231F20"/>
          <w:spacing w:val="-7"/>
        </w:rPr>
        <w:t> </w:t>
      </w:r>
      <w:r>
        <w:rPr>
          <w:color w:val="231F20"/>
        </w:rPr>
        <w:t>funding</w:t>
      </w:r>
      <w:r>
        <w:rPr>
          <w:color w:val="231F20"/>
          <w:spacing w:val="-6"/>
        </w:rPr>
        <w:t> </w:t>
      </w:r>
      <w:r>
        <w:rPr>
          <w:color w:val="231F20"/>
        </w:rPr>
        <w:t>from</w:t>
      </w:r>
      <w:r>
        <w:rPr>
          <w:color w:val="231F20"/>
          <w:spacing w:val="-6"/>
        </w:rPr>
        <w:t> </w:t>
      </w:r>
      <w:r>
        <w:rPr>
          <w:color w:val="231F20"/>
        </w:rPr>
        <w:t>associated</w:t>
      </w:r>
      <w:r>
        <w:rPr>
          <w:color w:val="231F20"/>
          <w:spacing w:val="-7"/>
        </w:rPr>
        <w:t> </w:t>
      </w:r>
      <w:r>
        <w:rPr>
          <w:color w:val="231F20"/>
        </w:rPr>
        <w:t>bodies</w:t>
      </w:r>
      <w:r>
        <w:rPr>
          <w:color w:val="231F20"/>
        </w:rPr>
        <w:t> and</w:t>
      </w:r>
      <w:r>
        <w:rPr>
          <w:color w:val="231F20"/>
          <w:spacing w:val="-8"/>
        </w:rPr>
        <w:t> </w:t>
      </w:r>
      <w:r>
        <w:rPr>
          <w:color w:val="231F20"/>
        </w:rPr>
        <w:t>other</w:t>
      </w:r>
      <w:r>
        <w:rPr>
          <w:color w:val="231F20"/>
          <w:spacing w:val="-7"/>
        </w:rPr>
        <w:t> </w:t>
      </w:r>
      <w:r>
        <w:rPr>
          <w:color w:val="231F20"/>
        </w:rPr>
        <w:t>parties</w:t>
      </w:r>
      <w:r>
        <w:rPr/>
      </w:r>
    </w:p>
    <w:p>
      <w:pPr>
        <w:pStyle w:val="BodyText"/>
        <w:spacing w:line="250" w:lineRule="exact" w:before="113"/>
        <w:ind w:left="344" w:right="0" w:hanging="227"/>
        <w:jc w:val="left"/>
      </w:pPr>
      <w:r>
        <w:rPr>
          <w:rFonts w:ascii="Century Gothic" w:hAnsi="Century Gothic"/>
          <w:color w:val="231F20"/>
        </w:rPr>
        <w:t>» </w:t>
      </w:r>
      <w:r>
        <w:rPr>
          <w:rFonts w:ascii="Century Gothic" w:hAnsi="Century Gothic"/>
          <w:color w:val="231F20"/>
          <w:spacing w:val="17"/>
        </w:rPr>
        <w:t> </w:t>
      </w:r>
      <w:r>
        <w:rPr>
          <w:color w:val="231F20"/>
          <w:spacing w:val="-1"/>
        </w:rPr>
        <w:t>Commonwealth</w:t>
      </w:r>
      <w:r>
        <w:rPr>
          <w:color w:val="231F20"/>
          <w:spacing w:val="-5"/>
        </w:rPr>
        <w:t> </w:t>
      </w:r>
      <w:r>
        <w:rPr>
          <w:color w:val="231F20"/>
          <w:spacing w:val="-1"/>
        </w:rPr>
        <w:t>Block</w:t>
      </w:r>
      <w:r>
        <w:rPr>
          <w:color w:val="231F20"/>
          <w:spacing w:val="-6"/>
        </w:rPr>
        <w:t> </w:t>
      </w:r>
      <w:r>
        <w:rPr>
          <w:color w:val="231F20"/>
        </w:rPr>
        <w:t>Grant</w:t>
      </w:r>
      <w:r>
        <w:rPr>
          <w:color w:val="231F20"/>
          <w:spacing w:val="-5"/>
        </w:rPr>
        <w:t> </w:t>
      </w:r>
      <w:r>
        <w:rPr>
          <w:color w:val="231F20"/>
        </w:rPr>
        <w:t>Authorities</w:t>
      </w:r>
      <w:r>
        <w:rPr>
          <w:color w:val="231F20"/>
          <w:spacing w:val="23"/>
          <w:w w:val="99"/>
        </w:rPr>
        <w:t> </w:t>
      </w:r>
      <w:r>
        <w:rPr>
          <w:color w:val="231F20"/>
        </w:rPr>
        <w:t>(capital</w:t>
      </w:r>
      <w:r>
        <w:rPr>
          <w:color w:val="231F20"/>
          <w:spacing w:val="-16"/>
        </w:rPr>
        <w:t> </w:t>
      </w:r>
      <w:r>
        <w:rPr>
          <w:color w:val="231F20"/>
        </w:rPr>
        <w:t>funding).</w:t>
      </w:r>
      <w:r>
        <w:rPr/>
      </w:r>
    </w:p>
    <w:p>
      <w:pPr>
        <w:pStyle w:val="BodyText"/>
        <w:spacing w:line="250" w:lineRule="exact" w:before="72"/>
        <w:ind w:right="138"/>
        <w:jc w:val="left"/>
      </w:pPr>
      <w:r>
        <w:rPr/>
        <w:br w:type="column"/>
      </w:r>
      <w:r>
        <w:rPr>
          <w:color w:val="231F20"/>
        </w:rPr>
        <w:t>The</w:t>
      </w:r>
      <w:r>
        <w:rPr>
          <w:color w:val="231F20"/>
          <w:spacing w:val="-7"/>
        </w:rPr>
        <w:t> </w:t>
      </w:r>
      <w:r>
        <w:rPr>
          <w:color w:val="231F20"/>
        </w:rPr>
        <w:t>allocation</w:t>
      </w:r>
      <w:r>
        <w:rPr>
          <w:color w:val="231F20"/>
          <w:spacing w:val="-8"/>
        </w:rPr>
        <w:t> </w:t>
      </w:r>
      <w:r>
        <w:rPr>
          <w:color w:val="231F20"/>
        </w:rPr>
        <w:t>of</w:t>
      </w:r>
      <w:r>
        <w:rPr>
          <w:color w:val="231F20"/>
          <w:spacing w:val="-7"/>
        </w:rPr>
        <w:t> </w:t>
      </w:r>
      <w:r>
        <w:rPr>
          <w:color w:val="231F20"/>
        </w:rPr>
        <w:t>boarding</w:t>
      </w:r>
      <w:r>
        <w:rPr>
          <w:color w:val="231F20"/>
          <w:spacing w:val="-7"/>
        </w:rPr>
        <w:t> </w:t>
      </w:r>
      <w:r>
        <w:rPr>
          <w:color w:val="231F20"/>
        </w:rPr>
        <w:t>revenue</w:t>
      </w:r>
      <w:r>
        <w:rPr>
          <w:color w:val="231F20"/>
          <w:spacing w:val="-8"/>
        </w:rPr>
        <w:t> </w:t>
      </w:r>
      <w:r>
        <w:rPr>
          <w:color w:val="231F20"/>
        </w:rPr>
        <w:t>for</w:t>
      </w:r>
      <w:r>
        <w:rPr>
          <w:color w:val="231F20"/>
          <w:spacing w:val="-7"/>
        </w:rPr>
        <w:t> </w:t>
      </w:r>
      <w:r>
        <w:rPr>
          <w:color w:val="231F20"/>
        </w:rPr>
        <w:t>Aboriginal</w:t>
      </w:r>
      <w:r>
        <w:rPr>
          <w:color w:val="231F20"/>
          <w:w w:val="99"/>
        </w:rPr>
        <w:t> </w:t>
      </w:r>
      <w:r>
        <w:rPr>
          <w:color w:val="231F20"/>
        </w:rPr>
        <w:t>and</w:t>
      </w:r>
      <w:r>
        <w:rPr>
          <w:color w:val="231F20"/>
          <w:spacing w:val="-7"/>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6"/>
        </w:rPr>
        <w:t> </w:t>
      </w:r>
      <w:r>
        <w:rPr>
          <w:color w:val="231F20"/>
        </w:rPr>
        <w:t>boarding</w:t>
      </w:r>
      <w:r>
        <w:rPr>
          <w:color w:val="231F20"/>
          <w:spacing w:val="-6"/>
        </w:rPr>
        <w:t> </w:t>
      </w:r>
      <w:r>
        <w:rPr>
          <w:color w:val="231F20"/>
        </w:rPr>
        <w:t>providers</w:t>
      </w:r>
      <w:r>
        <w:rPr>
          <w:color w:val="231F20"/>
          <w:spacing w:val="-6"/>
        </w:rPr>
        <w:t> </w:t>
      </w:r>
      <w:r>
        <w:rPr>
          <w:color w:val="231F20"/>
        </w:rPr>
        <w:t>by</w:t>
      </w:r>
      <w:r>
        <w:rPr>
          <w:color w:val="231F20"/>
          <w:spacing w:val="21"/>
          <w:w w:val="99"/>
        </w:rPr>
        <w:t> </w:t>
      </w:r>
      <w:r>
        <w:rPr>
          <w:color w:val="231F20"/>
          <w:spacing w:val="-1"/>
        </w:rPr>
        <w:t>source</w:t>
      </w:r>
      <w:r>
        <w:rPr>
          <w:color w:val="231F20"/>
          <w:spacing w:val="-3"/>
        </w:rPr>
        <w:t> </w:t>
      </w:r>
      <w:r>
        <w:rPr>
          <w:color w:val="231F20"/>
        </w:rPr>
        <w:t>from</w:t>
      </w:r>
      <w:r>
        <w:rPr>
          <w:color w:val="231F20"/>
          <w:spacing w:val="-3"/>
        </w:rPr>
        <w:t> </w:t>
      </w:r>
      <w:r>
        <w:rPr>
          <w:color w:val="231F20"/>
          <w:spacing w:val="-1"/>
        </w:rPr>
        <w:t>2015</w:t>
      </w:r>
      <w:r>
        <w:rPr>
          <w:color w:val="231F20"/>
          <w:spacing w:val="-3"/>
        </w:rPr>
        <w:t> </w:t>
      </w:r>
      <w:r>
        <w:rPr>
          <w:color w:val="231F20"/>
        </w:rPr>
        <w:t>to</w:t>
      </w:r>
      <w:r>
        <w:rPr>
          <w:color w:val="231F20"/>
          <w:spacing w:val="-2"/>
        </w:rPr>
        <w:t> </w:t>
      </w:r>
      <w:r>
        <w:rPr>
          <w:color w:val="231F20"/>
          <w:spacing w:val="-1"/>
        </w:rPr>
        <w:t>2017</w:t>
      </w:r>
      <w:r>
        <w:rPr>
          <w:color w:val="231F20"/>
          <w:spacing w:val="-3"/>
        </w:rPr>
        <w:t> </w:t>
      </w:r>
      <w:r>
        <w:rPr>
          <w:color w:val="231F20"/>
          <w:spacing w:val="-1"/>
        </w:rPr>
        <w:t>is</w:t>
      </w:r>
      <w:r>
        <w:rPr>
          <w:color w:val="231F20"/>
          <w:spacing w:val="-4"/>
        </w:rPr>
        <w:t> </w:t>
      </w:r>
      <w:r>
        <w:rPr>
          <w:color w:val="231F20"/>
          <w:spacing w:val="-1"/>
        </w:rPr>
        <w:t>shown</w:t>
      </w:r>
      <w:r>
        <w:rPr>
          <w:color w:val="231F20"/>
          <w:spacing w:val="-3"/>
        </w:rPr>
        <w:t> </w:t>
      </w:r>
      <w:r>
        <w:rPr>
          <w:color w:val="231F20"/>
          <w:spacing w:val="-1"/>
        </w:rPr>
        <w:t>in</w:t>
      </w:r>
      <w:r>
        <w:rPr>
          <w:color w:val="231F20"/>
          <w:spacing w:val="-2"/>
        </w:rPr>
        <w:t> </w:t>
      </w:r>
      <w:r>
        <w:rPr>
          <w:color w:val="231F20"/>
        </w:rPr>
        <w:t>Graph</w:t>
      </w:r>
      <w:r>
        <w:rPr>
          <w:color w:val="231F20"/>
          <w:spacing w:val="-3"/>
        </w:rPr>
        <w:t> </w:t>
      </w:r>
      <w:r>
        <w:rPr>
          <w:color w:val="231F20"/>
          <w:spacing w:val="-1"/>
        </w:rPr>
        <w:t>1.</w:t>
      </w:r>
      <w:r>
        <w:rPr/>
      </w:r>
    </w:p>
    <w:p>
      <w:pPr>
        <w:pStyle w:val="BodyText"/>
        <w:spacing w:line="250" w:lineRule="exact"/>
        <w:ind w:right="138"/>
        <w:jc w:val="left"/>
      </w:pPr>
      <w:r>
        <w:rPr>
          <w:color w:val="231F20"/>
        </w:rPr>
        <w:t>Across</w:t>
      </w:r>
      <w:r>
        <w:rPr>
          <w:color w:val="231F20"/>
          <w:spacing w:val="-4"/>
        </w:rPr>
        <w:t> </w:t>
      </w:r>
      <w:r>
        <w:rPr>
          <w:color w:val="231F20"/>
        </w:rPr>
        <w:t>the</w:t>
      </w:r>
      <w:r>
        <w:rPr>
          <w:color w:val="231F20"/>
          <w:spacing w:val="-4"/>
        </w:rPr>
        <w:t> </w:t>
      </w:r>
      <w:r>
        <w:rPr>
          <w:color w:val="231F20"/>
        </w:rPr>
        <w:t>three</w:t>
      </w:r>
      <w:r>
        <w:rPr>
          <w:color w:val="231F20"/>
          <w:spacing w:val="-4"/>
        </w:rPr>
        <w:t> </w:t>
      </w:r>
      <w:r>
        <w:rPr>
          <w:color w:val="231F20"/>
        </w:rPr>
        <w:t>years,</w:t>
      </w:r>
      <w:r>
        <w:rPr>
          <w:color w:val="231F20"/>
          <w:spacing w:val="-5"/>
        </w:rPr>
        <w:t> </w:t>
      </w:r>
      <w:r>
        <w:rPr>
          <w:color w:val="231F20"/>
        </w:rPr>
        <w:t>an</w:t>
      </w:r>
      <w:r>
        <w:rPr>
          <w:color w:val="231F20"/>
          <w:spacing w:val="-4"/>
        </w:rPr>
        <w:t> </w:t>
      </w:r>
      <w:r>
        <w:rPr>
          <w:color w:val="231F20"/>
        </w:rPr>
        <w:t>average</w:t>
      </w:r>
      <w:r>
        <w:rPr>
          <w:color w:val="231F20"/>
          <w:spacing w:val="-4"/>
        </w:rPr>
        <w:t> </w:t>
      </w:r>
      <w:r>
        <w:rPr>
          <w:color w:val="231F20"/>
        </w:rPr>
        <w:t>of</w:t>
      </w:r>
      <w:r>
        <w:rPr>
          <w:color w:val="231F20"/>
          <w:spacing w:val="-4"/>
        </w:rPr>
        <w:t> </w:t>
      </w:r>
      <w:r>
        <w:rPr>
          <w:color w:val="231F20"/>
          <w:spacing w:val="-1"/>
        </w:rPr>
        <w:t>85</w:t>
      </w:r>
      <w:r>
        <w:rPr>
          <w:color w:val="231F20"/>
          <w:spacing w:val="-3"/>
        </w:rPr>
        <w:t> </w:t>
      </w:r>
      <w:r>
        <w:rPr>
          <w:color w:val="231F20"/>
        </w:rPr>
        <w:t>per</w:t>
      </w:r>
      <w:r>
        <w:rPr>
          <w:color w:val="231F20"/>
          <w:spacing w:val="-4"/>
        </w:rPr>
        <w:t> </w:t>
      </w:r>
      <w:r>
        <w:rPr>
          <w:color w:val="231F20"/>
        </w:rPr>
        <w:t>cent</w:t>
      </w:r>
      <w:r>
        <w:rPr>
          <w:color w:val="231F20"/>
          <w:spacing w:val="21"/>
          <w:w w:val="99"/>
        </w:rPr>
        <w:t> </w:t>
      </w:r>
      <w:r>
        <w:rPr>
          <w:color w:val="231F20"/>
        </w:rPr>
        <w:t>of</w:t>
      </w:r>
      <w:r>
        <w:rPr>
          <w:color w:val="231F20"/>
          <w:spacing w:val="-7"/>
        </w:rPr>
        <w:t> </w:t>
      </w:r>
      <w:r>
        <w:rPr>
          <w:color w:val="231F20"/>
        </w:rPr>
        <w:t>boarding</w:t>
      </w:r>
      <w:r>
        <w:rPr>
          <w:color w:val="231F20"/>
          <w:spacing w:val="-7"/>
        </w:rPr>
        <w:t> </w:t>
      </w:r>
      <w:r>
        <w:rPr>
          <w:color w:val="231F20"/>
        </w:rPr>
        <w:t>revenue</w:t>
      </w:r>
      <w:r>
        <w:rPr>
          <w:color w:val="231F20"/>
          <w:spacing w:val="-8"/>
        </w:rPr>
        <w:t> </w:t>
      </w:r>
      <w:r>
        <w:rPr>
          <w:color w:val="231F20"/>
        </w:rPr>
        <w:t>was</w:t>
      </w:r>
      <w:r>
        <w:rPr>
          <w:color w:val="231F20"/>
          <w:spacing w:val="-7"/>
        </w:rPr>
        <w:t> </w:t>
      </w:r>
      <w:r>
        <w:rPr>
          <w:color w:val="231F20"/>
          <w:spacing w:val="-1"/>
        </w:rPr>
        <w:t>sourced</w:t>
      </w:r>
      <w:r>
        <w:rPr>
          <w:color w:val="231F20"/>
          <w:spacing w:val="-6"/>
        </w:rPr>
        <w:t> </w:t>
      </w:r>
      <w:r>
        <w:rPr>
          <w:color w:val="231F20"/>
        </w:rPr>
        <w:t>by</w:t>
      </w:r>
      <w:r>
        <w:rPr>
          <w:color w:val="231F20"/>
          <w:spacing w:val="-7"/>
        </w:rPr>
        <w:t> </w:t>
      </w:r>
      <w:r>
        <w:rPr>
          <w:color w:val="231F20"/>
        </w:rPr>
        <w:t>Aboriginal</w:t>
      </w:r>
      <w:r>
        <w:rPr>
          <w:color w:val="231F20"/>
          <w:spacing w:val="22"/>
          <w:w w:val="99"/>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6"/>
        </w:rPr>
        <w:t> </w:t>
      </w:r>
      <w:r>
        <w:rPr>
          <w:color w:val="231F20"/>
          <w:spacing w:val="-1"/>
        </w:rPr>
        <w:t>Islander</w:t>
      </w:r>
      <w:r>
        <w:rPr>
          <w:color w:val="231F20"/>
          <w:spacing w:val="-6"/>
        </w:rPr>
        <w:t> </w:t>
      </w:r>
      <w:r>
        <w:rPr>
          <w:color w:val="231F20"/>
        </w:rPr>
        <w:t>boarding</w:t>
      </w:r>
      <w:r>
        <w:rPr>
          <w:color w:val="231F20"/>
          <w:spacing w:val="-7"/>
        </w:rPr>
        <w:t> </w:t>
      </w:r>
      <w:r>
        <w:rPr>
          <w:color w:val="231F20"/>
        </w:rPr>
        <w:t>providers</w:t>
      </w:r>
      <w:r>
        <w:rPr>
          <w:color w:val="231F20"/>
          <w:spacing w:val="-6"/>
        </w:rPr>
        <w:t> </w:t>
      </w:r>
      <w:r>
        <w:rPr>
          <w:color w:val="231F20"/>
        </w:rPr>
        <w:t>from</w:t>
      </w:r>
      <w:r>
        <w:rPr>
          <w:color w:val="231F20"/>
          <w:spacing w:val="21"/>
          <w:w w:val="99"/>
        </w:rPr>
        <w:t> </w:t>
      </w:r>
      <w:r>
        <w:rPr>
          <w:color w:val="231F20"/>
        </w:rPr>
        <w:t>fees</w:t>
      </w:r>
      <w:r>
        <w:rPr>
          <w:color w:val="231F20"/>
          <w:spacing w:val="-5"/>
        </w:rPr>
        <w:t> </w:t>
      </w:r>
      <w:r>
        <w:rPr>
          <w:color w:val="231F20"/>
        </w:rPr>
        <w:t>and</w:t>
      </w:r>
      <w:r>
        <w:rPr>
          <w:color w:val="231F20"/>
          <w:spacing w:val="-5"/>
        </w:rPr>
        <w:t> </w:t>
      </w:r>
      <w:r>
        <w:rPr>
          <w:color w:val="231F20"/>
        </w:rPr>
        <w:t>charges</w:t>
      </w:r>
      <w:r>
        <w:rPr>
          <w:color w:val="231F20"/>
          <w:spacing w:val="-5"/>
        </w:rPr>
        <w:t> </w:t>
      </w:r>
      <w:r>
        <w:rPr>
          <w:color w:val="231F20"/>
        </w:rPr>
        <w:t>(including</w:t>
      </w:r>
      <w:r>
        <w:rPr>
          <w:color w:val="231F20"/>
          <w:spacing w:val="-5"/>
        </w:rPr>
        <w:t> </w:t>
      </w:r>
      <w:r>
        <w:rPr>
          <w:color w:val="231F20"/>
          <w:spacing w:val="-1"/>
        </w:rPr>
        <w:t>ABSTUDY)</w:t>
      </w:r>
      <w:r>
        <w:rPr>
          <w:rFonts w:ascii="Segoe UI Semibold"/>
          <w:b/>
          <w:color w:val="231F20"/>
          <w:spacing w:val="-1"/>
          <w:position w:val="7"/>
          <w:sz w:val="11"/>
        </w:rPr>
        <w:t>4</w:t>
      </w:r>
      <w:r>
        <w:rPr>
          <w:color w:val="231F20"/>
          <w:spacing w:val="-1"/>
        </w:rPr>
        <w:t>.</w:t>
      </w:r>
      <w:r>
        <w:rPr/>
      </w:r>
    </w:p>
    <w:p>
      <w:pPr>
        <w:pStyle w:val="BodyText"/>
        <w:spacing w:line="250" w:lineRule="exact" w:before="113"/>
        <w:ind w:right="0"/>
        <w:jc w:val="left"/>
      </w:pPr>
      <w:r>
        <w:rPr>
          <w:color w:val="231F20"/>
          <w:spacing w:val="-1"/>
        </w:rPr>
        <w:t>Some</w:t>
      </w:r>
      <w:r>
        <w:rPr>
          <w:color w:val="231F20"/>
          <w:spacing w:val="-4"/>
        </w:rPr>
        <w:t> </w:t>
      </w:r>
      <w:r>
        <w:rPr>
          <w:color w:val="231F20"/>
        </w:rPr>
        <w:t>boarding</w:t>
      </w:r>
      <w:r>
        <w:rPr>
          <w:color w:val="231F20"/>
          <w:spacing w:val="-5"/>
        </w:rPr>
        <w:t> </w:t>
      </w:r>
      <w:r>
        <w:rPr>
          <w:color w:val="231F20"/>
        </w:rPr>
        <w:t>providers</w:t>
      </w:r>
      <w:r>
        <w:rPr>
          <w:color w:val="231F20"/>
          <w:spacing w:val="-4"/>
        </w:rPr>
        <w:t> </w:t>
      </w:r>
      <w:r>
        <w:rPr>
          <w:color w:val="231F20"/>
        </w:rPr>
        <w:t>are</w:t>
      </w:r>
      <w:r>
        <w:rPr>
          <w:color w:val="231F20"/>
          <w:spacing w:val="-5"/>
        </w:rPr>
        <w:t> </w:t>
      </w:r>
      <w:r>
        <w:rPr>
          <w:color w:val="231F20"/>
        </w:rPr>
        <w:t>part</w:t>
      </w:r>
      <w:r>
        <w:rPr>
          <w:color w:val="231F20"/>
          <w:spacing w:val="-4"/>
        </w:rPr>
        <w:t> </w:t>
      </w:r>
      <w:r>
        <w:rPr>
          <w:color w:val="231F20"/>
        </w:rPr>
        <w:t>of</w:t>
      </w:r>
      <w:r>
        <w:rPr>
          <w:color w:val="231F20"/>
          <w:spacing w:val="-3"/>
        </w:rPr>
        <w:t> </w:t>
      </w:r>
      <w:r>
        <w:rPr>
          <w:color w:val="231F20"/>
        </w:rPr>
        <w:t>a</w:t>
      </w:r>
      <w:r>
        <w:rPr>
          <w:color w:val="231F20"/>
          <w:spacing w:val="-4"/>
        </w:rPr>
        <w:t> </w:t>
      </w:r>
      <w:r>
        <w:rPr>
          <w:color w:val="231F20"/>
          <w:spacing w:val="-1"/>
        </w:rPr>
        <w:t>school</w:t>
      </w:r>
      <w:r>
        <w:rPr>
          <w:color w:val="231F20"/>
          <w:spacing w:val="21"/>
        </w:rPr>
        <w:t> </w:t>
      </w:r>
      <w:r>
        <w:rPr>
          <w:color w:val="231F20"/>
          <w:spacing w:val="-1"/>
        </w:rPr>
        <w:t>structure</w:t>
      </w:r>
      <w:r>
        <w:rPr>
          <w:color w:val="231F20"/>
          <w:spacing w:val="-5"/>
        </w:rPr>
        <w:t> </w:t>
      </w:r>
      <w:r>
        <w:rPr>
          <w:color w:val="231F20"/>
        </w:rPr>
        <w:t>(boarding</w:t>
      </w:r>
      <w:r>
        <w:rPr>
          <w:color w:val="231F20"/>
          <w:spacing w:val="-7"/>
        </w:rPr>
        <w:t> </w:t>
      </w:r>
      <w:r>
        <w:rPr>
          <w:color w:val="231F20"/>
          <w:spacing w:val="-1"/>
        </w:rPr>
        <w:t>schools)</w:t>
      </w:r>
      <w:r>
        <w:rPr>
          <w:color w:val="231F20"/>
          <w:spacing w:val="-5"/>
        </w:rPr>
        <w:t> </w:t>
      </w:r>
      <w:r>
        <w:rPr>
          <w:color w:val="231F20"/>
        </w:rPr>
        <w:t>and</w:t>
      </w:r>
      <w:r>
        <w:rPr>
          <w:color w:val="231F20"/>
          <w:spacing w:val="-7"/>
        </w:rPr>
        <w:t> </w:t>
      </w:r>
      <w:r>
        <w:rPr>
          <w:color w:val="231F20"/>
        </w:rPr>
        <w:t>others</w:t>
      </w:r>
      <w:r>
        <w:rPr>
          <w:color w:val="231F20"/>
          <w:spacing w:val="-7"/>
        </w:rPr>
        <w:t> </w:t>
      </w:r>
      <w:r>
        <w:rPr>
          <w:color w:val="231F20"/>
        </w:rPr>
        <w:t>are</w:t>
      </w:r>
      <w:r>
        <w:rPr>
          <w:color w:val="231F20"/>
          <w:spacing w:val="23"/>
          <w:w w:val="99"/>
        </w:rPr>
        <w:t> </w:t>
      </w:r>
      <w:r>
        <w:rPr>
          <w:color w:val="231F20"/>
          <w:spacing w:val="-1"/>
        </w:rPr>
        <w:t>standalone</w:t>
      </w:r>
      <w:r>
        <w:rPr>
          <w:color w:val="231F20"/>
          <w:spacing w:val="-7"/>
        </w:rPr>
        <w:t> </w:t>
      </w:r>
      <w:r>
        <w:rPr>
          <w:color w:val="231F20"/>
        </w:rPr>
        <w:t>facilities</w:t>
      </w:r>
      <w:r>
        <w:rPr>
          <w:color w:val="231F20"/>
          <w:spacing w:val="-8"/>
        </w:rPr>
        <w:t> </w:t>
      </w:r>
      <w:r>
        <w:rPr>
          <w:color w:val="231F20"/>
        </w:rPr>
        <w:t>where</w:t>
      </w:r>
      <w:r>
        <w:rPr>
          <w:color w:val="231F20"/>
          <w:spacing w:val="-7"/>
        </w:rPr>
        <w:t> </w:t>
      </w:r>
      <w:r>
        <w:rPr>
          <w:color w:val="231F20"/>
        </w:rPr>
        <w:t>boarders</w:t>
      </w:r>
      <w:r>
        <w:rPr>
          <w:color w:val="231F20"/>
          <w:spacing w:val="-8"/>
        </w:rPr>
        <w:t> </w:t>
      </w:r>
      <w:r>
        <w:rPr>
          <w:color w:val="231F20"/>
        </w:rPr>
        <w:t>attend</w:t>
      </w:r>
      <w:r>
        <w:rPr>
          <w:color w:val="231F20"/>
          <w:spacing w:val="-8"/>
        </w:rPr>
        <w:t> </w:t>
      </w:r>
      <w:r>
        <w:rPr>
          <w:color w:val="231F20"/>
        </w:rPr>
        <w:t>nearby</w:t>
      </w:r>
      <w:r>
        <w:rPr>
          <w:color w:val="231F20"/>
          <w:spacing w:val="22"/>
          <w:w w:val="99"/>
        </w:rPr>
        <w:t> </w:t>
      </w:r>
      <w:r>
        <w:rPr>
          <w:color w:val="231F20"/>
        </w:rPr>
        <w:t>or</w:t>
      </w:r>
      <w:r>
        <w:rPr>
          <w:color w:val="231F20"/>
          <w:spacing w:val="-6"/>
        </w:rPr>
        <w:t> </w:t>
      </w:r>
      <w:r>
        <w:rPr>
          <w:color w:val="231F20"/>
        </w:rPr>
        <w:t>associated</w:t>
      </w:r>
      <w:r>
        <w:rPr>
          <w:color w:val="231F20"/>
          <w:spacing w:val="-7"/>
        </w:rPr>
        <w:t> </w:t>
      </w:r>
      <w:r>
        <w:rPr>
          <w:color w:val="231F20"/>
          <w:spacing w:val="-1"/>
        </w:rPr>
        <w:t>schools.</w:t>
      </w:r>
      <w:r>
        <w:rPr/>
      </w:r>
    </w:p>
    <w:p>
      <w:pPr>
        <w:pStyle w:val="BodyText"/>
        <w:spacing w:line="250" w:lineRule="exact" w:before="113"/>
        <w:ind w:right="205"/>
        <w:jc w:val="left"/>
        <w:rPr>
          <w:rFonts w:ascii="Segoe UI" w:hAnsi="Segoe UI" w:cs="Segoe UI" w:eastAsia="Segoe UI"/>
        </w:rPr>
      </w:pPr>
      <w:r>
        <w:rPr>
          <w:color w:val="231F20"/>
          <w:spacing w:val="-1"/>
        </w:rPr>
        <w:t>Commonwealth</w:t>
      </w:r>
      <w:r>
        <w:rPr>
          <w:color w:val="231F20"/>
          <w:spacing w:val="-8"/>
        </w:rPr>
        <w:t> </w:t>
      </w:r>
      <w:r>
        <w:rPr>
          <w:color w:val="231F20"/>
        </w:rPr>
        <w:t>recurrent</w:t>
      </w:r>
      <w:r>
        <w:rPr>
          <w:color w:val="231F20"/>
          <w:spacing w:val="-8"/>
        </w:rPr>
        <w:t> </w:t>
      </w:r>
      <w:r>
        <w:rPr>
          <w:color w:val="231F20"/>
          <w:spacing w:val="-1"/>
        </w:rPr>
        <w:t>school</w:t>
      </w:r>
      <w:r>
        <w:rPr>
          <w:color w:val="231F20"/>
          <w:spacing w:val="-7"/>
        </w:rPr>
        <w:t> </w:t>
      </w:r>
      <w:r>
        <w:rPr>
          <w:color w:val="231F20"/>
        </w:rPr>
        <w:t>funding</w:t>
      </w:r>
      <w:r>
        <w:rPr>
          <w:color w:val="231F20"/>
          <w:spacing w:val="-7"/>
        </w:rPr>
        <w:t> </w:t>
      </w:r>
      <w:r>
        <w:rPr>
          <w:color w:val="231F20"/>
          <w:spacing w:val="-1"/>
        </w:rPr>
        <w:t>is</w:t>
      </w:r>
      <w:r>
        <w:rPr>
          <w:color w:val="231F20"/>
          <w:spacing w:val="22"/>
        </w:rPr>
        <w:t> </w:t>
      </w:r>
      <w:r>
        <w:rPr>
          <w:color w:val="231F20"/>
        </w:rPr>
        <w:t>provided</w:t>
      </w:r>
      <w:r>
        <w:rPr>
          <w:color w:val="231F20"/>
          <w:spacing w:val="-4"/>
        </w:rPr>
        <w:t> </w:t>
      </w:r>
      <w:r>
        <w:rPr>
          <w:color w:val="231F20"/>
        </w:rPr>
        <w:t>to</w:t>
      </w:r>
      <w:r>
        <w:rPr>
          <w:color w:val="231F20"/>
          <w:spacing w:val="-2"/>
        </w:rPr>
        <w:t> </w:t>
      </w:r>
      <w:r>
        <w:rPr>
          <w:color w:val="231F20"/>
          <w:spacing w:val="-1"/>
        </w:rPr>
        <w:t>schools</w:t>
      </w:r>
      <w:r>
        <w:rPr>
          <w:color w:val="231F20"/>
          <w:spacing w:val="-3"/>
        </w:rPr>
        <w:t> </w:t>
      </w:r>
      <w:r>
        <w:rPr>
          <w:color w:val="231F20"/>
        </w:rPr>
        <w:t>to</w:t>
      </w:r>
      <w:r>
        <w:rPr>
          <w:color w:val="231F20"/>
          <w:spacing w:val="-2"/>
        </w:rPr>
        <w:t> </w:t>
      </w:r>
      <w:r>
        <w:rPr>
          <w:color w:val="231F20"/>
          <w:spacing w:val="-1"/>
        </w:rPr>
        <w:t>meet</w:t>
      </w:r>
      <w:r>
        <w:rPr>
          <w:color w:val="231F20"/>
          <w:spacing w:val="-3"/>
        </w:rPr>
        <w:t> </w:t>
      </w:r>
      <w:r>
        <w:rPr>
          <w:color w:val="231F20"/>
        </w:rPr>
        <w:t>the</w:t>
      </w:r>
      <w:r>
        <w:rPr>
          <w:color w:val="231F20"/>
          <w:spacing w:val="-3"/>
        </w:rPr>
        <w:t> </w:t>
      </w:r>
      <w:r>
        <w:rPr>
          <w:color w:val="231F20"/>
        </w:rPr>
        <w:t>‘in-school</w:t>
      </w:r>
      <w:r>
        <w:rPr>
          <w:color w:val="231F20"/>
          <w:spacing w:val="23"/>
        </w:rPr>
        <w:t> </w:t>
      </w:r>
      <w:r>
        <w:rPr>
          <w:color w:val="231F20"/>
        </w:rPr>
        <w:t>educational</w:t>
      </w:r>
      <w:r>
        <w:rPr>
          <w:color w:val="231F20"/>
          <w:spacing w:val="-3"/>
        </w:rPr>
        <w:t> </w:t>
      </w:r>
      <w:r>
        <w:rPr>
          <w:color w:val="231F20"/>
        </w:rPr>
        <w:t>costs</w:t>
      </w:r>
      <w:r>
        <w:rPr>
          <w:color w:val="231F20"/>
          <w:spacing w:val="-3"/>
        </w:rPr>
        <w:t> </w:t>
      </w:r>
      <w:r>
        <w:rPr>
          <w:color w:val="231F20"/>
        </w:rPr>
        <w:t>of</w:t>
      </w:r>
      <w:r>
        <w:rPr>
          <w:color w:val="231F20"/>
          <w:spacing w:val="-2"/>
        </w:rPr>
        <w:t> </w:t>
      </w:r>
      <w:r>
        <w:rPr>
          <w:color w:val="231F20"/>
          <w:spacing w:val="-1"/>
        </w:rPr>
        <w:t>schools’</w:t>
      </w:r>
      <w:r>
        <w:rPr>
          <w:rFonts w:ascii="Segoe UI Semibold" w:hAnsi="Segoe UI Semibold" w:cs="Segoe UI Semibold" w:eastAsia="Segoe UI Semibold"/>
          <w:b/>
          <w:bCs/>
          <w:color w:val="231F20"/>
          <w:spacing w:val="-1"/>
          <w:position w:val="7"/>
          <w:sz w:val="11"/>
          <w:szCs w:val="11"/>
        </w:rPr>
        <w:t>6</w:t>
      </w:r>
      <w:r>
        <w:rPr>
          <w:rFonts w:ascii="Segoe UI Semibold" w:hAnsi="Segoe UI Semibold" w:cs="Segoe UI Semibold" w:eastAsia="Segoe UI Semibold"/>
          <w:b/>
          <w:bCs/>
          <w:color w:val="231F20"/>
          <w:spacing w:val="22"/>
          <w:position w:val="7"/>
          <w:sz w:val="11"/>
          <w:szCs w:val="11"/>
        </w:rPr>
        <w:t> </w:t>
      </w:r>
      <w:r>
        <w:rPr>
          <w:color w:val="231F20"/>
        </w:rPr>
        <w:t>and</w:t>
      </w:r>
      <w:r>
        <w:rPr>
          <w:color w:val="231F20"/>
          <w:spacing w:val="-3"/>
        </w:rPr>
        <w:t> </w:t>
      </w:r>
      <w:r>
        <w:rPr>
          <w:color w:val="231F20"/>
          <w:spacing w:val="-1"/>
        </w:rPr>
        <w:t>some</w:t>
      </w:r>
      <w:r>
        <w:rPr>
          <w:color w:val="231F20"/>
          <w:spacing w:val="-2"/>
        </w:rPr>
        <w:t> </w:t>
      </w:r>
      <w:r>
        <w:rPr>
          <w:color w:val="231F20"/>
          <w:spacing w:val="-1"/>
        </w:rPr>
        <w:t>schools</w:t>
      </w:r>
      <w:r>
        <w:rPr>
          <w:color w:val="231F20"/>
          <w:spacing w:val="23"/>
        </w:rPr>
        <w:t> </w:t>
      </w:r>
      <w:r>
        <w:rPr>
          <w:color w:val="231F20"/>
        </w:rPr>
        <w:t>use</w:t>
      </w:r>
      <w:r>
        <w:rPr>
          <w:color w:val="231F20"/>
          <w:spacing w:val="-6"/>
        </w:rPr>
        <w:t> </w:t>
      </w:r>
      <w:r>
        <w:rPr>
          <w:color w:val="231F20"/>
        </w:rPr>
        <w:t>this</w:t>
      </w:r>
      <w:r>
        <w:rPr>
          <w:color w:val="231F20"/>
          <w:spacing w:val="-5"/>
        </w:rPr>
        <w:t> </w:t>
      </w:r>
      <w:r>
        <w:rPr>
          <w:color w:val="231F20"/>
        </w:rPr>
        <w:t>funding</w:t>
      </w:r>
      <w:r>
        <w:rPr>
          <w:color w:val="231F20"/>
          <w:spacing w:val="-4"/>
        </w:rPr>
        <w:t> </w:t>
      </w:r>
      <w:r>
        <w:rPr>
          <w:color w:val="231F20"/>
        </w:rPr>
        <w:t>to</w:t>
      </w:r>
      <w:r>
        <w:rPr>
          <w:color w:val="231F20"/>
          <w:spacing w:val="-4"/>
        </w:rPr>
        <w:t> </w:t>
      </w:r>
      <w:r>
        <w:rPr>
          <w:color w:val="231F20"/>
        </w:rPr>
        <w:t>contribute</w:t>
      </w:r>
      <w:r>
        <w:rPr>
          <w:color w:val="231F20"/>
          <w:spacing w:val="-5"/>
        </w:rPr>
        <w:t> </w:t>
      </w:r>
      <w:r>
        <w:rPr>
          <w:color w:val="231F20"/>
        </w:rPr>
        <w:t>to</w:t>
      </w:r>
      <w:r>
        <w:rPr>
          <w:color w:val="231F20"/>
          <w:spacing w:val="-4"/>
        </w:rPr>
        <w:t> </w:t>
      </w:r>
      <w:r>
        <w:rPr>
          <w:color w:val="231F20"/>
        </w:rPr>
        <w:t>costs</w:t>
      </w:r>
      <w:r>
        <w:rPr>
          <w:color w:val="231F20"/>
          <w:spacing w:val="-5"/>
        </w:rPr>
        <w:t> </w:t>
      </w:r>
      <w:r>
        <w:rPr>
          <w:color w:val="231F20"/>
        </w:rPr>
        <w:t>associated</w:t>
      </w:r>
      <w:r>
        <w:rPr>
          <w:color w:val="231F20"/>
          <w:w w:val="99"/>
        </w:rPr>
        <w:t> </w:t>
      </w:r>
      <w:r>
        <w:rPr>
          <w:color w:val="231F20"/>
        </w:rPr>
        <w:t>with</w:t>
      </w:r>
      <w:r>
        <w:rPr>
          <w:color w:val="231F20"/>
          <w:spacing w:val="-8"/>
        </w:rPr>
        <w:t> </w:t>
      </w:r>
      <w:r>
        <w:rPr>
          <w:color w:val="231F20"/>
          <w:spacing w:val="-1"/>
        </w:rPr>
        <w:t>supporting</w:t>
      </w:r>
      <w:r>
        <w:rPr>
          <w:color w:val="231F20"/>
          <w:spacing w:val="-6"/>
        </w:rPr>
        <w:t> </w:t>
      </w:r>
      <w:r>
        <w:rPr>
          <w:color w:val="231F20"/>
        </w:rPr>
        <w:t>boarding</w:t>
      </w:r>
      <w:r>
        <w:rPr>
          <w:color w:val="231F20"/>
          <w:spacing w:val="-7"/>
        </w:rPr>
        <w:t> </w:t>
      </w:r>
      <w:r>
        <w:rPr>
          <w:color w:val="231F20"/>
          <w:spacing w:val="-1"/>
        </w:rPr>
        <w:t>students</w:t>
      </w:r>
      <w:r>
        <w:rPr>
          <w:color w:val="231F20"/>
          <w:spacing w:val="-7"/>
        </w:rPr>
        <w:t> </w:t>
      </w:r>
      <w:r>
        <w:rPr>
          <w:color w:val="231F20"/>
          <w:spacing w:val="-1"/>
        </w:rPr>
        <w:t>more</w:t>
      </w:r>
      <w:r>
        <w:rPr>
          <w:color w:val="231F20"/>
          <w:spacing w:val="-7"/>
        </w:rPr>
        <w:t> </w:t>
      </w:r>
      <w:r>
        <w:rPr>
          <w:color w:val="231F20"/>
        </w:rPr>
        <w:t>broadly.</w:t>
      </w:r>
      <w:r>
        <w:rPr>
          <w:color w:val="231F20"/>
          <w:spacing w:val="24"/>
          <w:w w:val="99"/>
        </w:rPr>
        <w:t> </w:t>
      </w:r>
      <w:r>
        <w:rPr>
          <w:color w:val="231F20"/>
          <w:spacing w:val="-1"/>
        </w:rPr>
        <w:t>Standalone</w:t>
      </w:r>
      <w:r>
        <w:rPr>
          <w:color w:val="231F20"/>
          <w:spacing w:val="-8"/>
        </w:rPr>
        <w:t> </w:t>
      </w:r>
      <w:r>
        <w:rPr>
          <w:color w:val="231F20"/>
        </w:rPr>
        <w:t>boarding</w:t>
      </w:r>
      <w:r>
        <w:rPr>
          <w:color w:val="231F20"/>
          <w:spacing w:val="-7"/>
        </w:rPr>
        <w:t> </w:t>
      </w:r>
      <w:r>
        <w:rPr>
          <w:color w:val="231F20"/>
        </w:rPr>
        <w:t>providers</w:t>
      </w:r>
      <w:r>
        <w:rPr>
          <w:color w:val="231F20"/>
          <w:spacing w:val="-7"/>
        </w:rPr>
        <w:t> </w:t>
      </w:r>
      <w:r>
        <w:rPr>
          <w:color w:val="231F20"/>
        </w:rPr>
        <w:t>are</w:t>
      </w:r>
      <w:r>
        <w:rPr>
          <w:color w:val="231F20"/>
          <w:spacing w:val="-7"/>
        </w:rPr>
        <w:t> </w:t>
      </w:r>
      <w:r>
        <w:rPr>
          <w:color w:val="231F20"/>
        </w:rPr>
        <w:t>not</w:t>
      </w:r>
      <w:r>
        <w:rPr>
          <w:color w:val="231F20"/>
          <w:spacing w:val="-6"/>
        </w:rPr>
        <w:t> </w:t>
      </w:r>
      <w:r>
        <w:rPr>
          <w:color w:val="231F20"/>
        </w:rPr>
        <w:t>able</w:t>
      </w:r>
      <w:r>
        <w:rPr>
          <w:color w:val="231F20"/>
          <w:spacing w:val="-7"/>
        </w:rPr>
        <w:t> </w:t>
      </w:r>
      <w:r>
        <w:rPr>
          <w:color w:val="231F20"/>
        </w:rPr>
        <w:t>to</w:t>
      </w:r>
      <w:r>
        <w:rPr>
          <w:color w:val="231F20"/>
          <w:spacing w:val="23"/>
          <w:w w:val="99"/>
        </w:rPr>
        <w:t> </w:t>
      </w:r>
      <w:r>
        <w:rPr>
          <w:color w:val="231F20"/>
        </w:rPr>
        <w:t>access</w:t>
      </w:r>
      <w:r>
        <w:rPr>
          <w:color w:val="231F20"/>
          <w:spacing w:val="-9"/>
        </w:rPr>
        <w:t> </w:t>
      </w:r>
      <w:r>
        <w:rPr>
          <w:color w:val="231F20"/>
          <w:spacing w:val="-1"/>
        </w:rPr>
        <w:t>Commonwealth</w:t>
      </w:r>
      <w:r>
        <w:rPr>
          <w:color w:val="231F20"/>
          <w:spacing w:val="-7"/>
        </w:rPr>
        <w:t> </w:t>
      </w:r>
      <w:r>
        <w:rPr>
          <w:color w:val="231F20"/>
        </w:rPr>
        <w:t>recurrent</w:t>
      </w:r>
      <w:r>
        <w:rPr>
          <w:color w:val="231F20"/>
          <w:spacing w:val="-8"/>
        </w:rPr>
        <w:t> </w:t>
      </w:r>
      <w:r>
        <w:rPr>
          <w:color w:val="231F20"/>
          <w:spacing w:val="-1"/>
        </w:rPr>
        <w:t>school</w:t>
      </w:r>
      <w:r>
        <w:rPr>
          <w:color w:val="231F20"/>
          <w:spacing w:val="-7"/>
        </w:rPr>
        <w:t> </w:t>
      </w:r>
      <w:r>
        <w:rPr>
          <w:color w:val="231F20"/>
        </w:rPr>
        <w:t>funding</w:t>
      </w:r>
      <w:r>
        <w:rPr>
          <w:color w:val="231F20"/>
          <w:spacing w:val="23"/>
          <w:w w:val="99"/>
        </w:rPr>
        <w:t> </w:t>
      </w:r>
      <w:r>
        <w:rPr>
          <w:rFonts w:ascii="Segoe UI" w:hAnsi="Segoe UI" w:cs="Segoe UI" w:eastAsia="Segoe UI"/>
          <w:color w:val="231F20"/>
        </w:rPr>
        <w:t>and there is no specific recurrent Commonwealth</w:t>
      </w:r>
      <w:r>
        <w:rPr>
          <w:rFonts w:ascii="Segoe UI" w:hAnsi="Segoe UI" w:cs="Segoe UI" w:eastAsia="Segoe UI"/>
          <w:color w:val="231F20"/>
        </w:rPr>
        <w:t> funding specifically for boarding operations at</w:t>
      </w:r>
      <w:r>
        <w:rPr>
          <w:rFonts w:ascii="Segoe UI" w:hAnsi="Segoe UI" w:cs="Segoe UI" w:eastAsia="Segoe UI"/>
        </w:rPr>
      </w:r>
    </w:p>
    <w:p>
      <w:pPr>
        <w:pStyle w:val="BodyText"/>
        <w:spacing w:line="250" w:lineRule="exact"/>
        <w:ind w:right="138"/>
        <w:jc w:val="left"/>
      </w:pPr>
      <w:r>
        <w:rPr>
          <w:color w:val="231F20"/>
        </w:rPr>
        <w:t>a</w:t>
      </w:r>
      <w:r>
        <w:rPr>
          <w:color w:val="231F20"/>
          <w:spacing w:val="-6"/>
        </w:rPr>
        <w:t> </w:t>
      </w:r>
      <w:r>
        <w:rPr>
          <w:color w:val="231F20"/>
          <w:spacing w:val="-1"/>
        </w:rPr>
        <w:t>school</w:t>
      </w:r>
      <w:r>
        <w:rPr>
          <w:color w:val="231F20"/>
          <w:spacing w:val="-5"/>
        </w:rPr>
        <w:t> </w:t>
      </w:r>
      <w:r>
        <w:rPr>
          <w:color w:val="231F20"/>
        </w:rPr>
        <w:t>or</w:t>
      </w:r>
      <w:r>
        <w:rPr>
          <w:color w:val="231F20"/>
          <w:spacing w:val="-6"/>
        </w:rPr>
        <w:t> </w:t>
      </w:r>
      <w:r>
        <w:rPr>
          <w:color w:val="231F20"/>
          <w:spacing w:val="-1"/>
        </w:rPr>
        <w:t>standalone</w:t>
      </w:r>
      <w:r>
        <w:rPr>
          <w:color w:val="231F20"/>
          <w:spacing w:val="-4"/>
        </w:rPr>
        <w:t> </w:t>
      </w:r>
      <w:r>
        <w:rPr>
          <w:color w:val="231F20"/>
        </w:rPr>
        <w:t>boarding</w:t>
      </w:r>
      <w:r>
        <w:rPr>
          <w:color w:val="231F20"/>
          <w:spacing w:val="-6"/>
        </w:rPr>
        <w:t> </w:t>
      </w:r>
      <w:r>
        <w:rPr>
          <w:color w:val="231F20"/>
        </w:rPr>
        <w:t>provider.</w:t>
      </w:r>
      <w:r>
        <w:rPr>
          <w:color w:val="231F20"/>
          <w:spacing w:val="-7"/>
        </w:rPr>
        <w:t> </w:t>
      </w:r>
      <w:r>
        <w:rPr>
          <w:color w:val="231F20"/>
        </w:rPr>
        <w:t>One</w:t>
      </w:r>
      <w:r>
        <w:rPr>
          <w:color w:val="231F20"/>
          <w:spacing w:val="23"/>
          <w:w w:val="99"/>
        </w:rPr>
        <w:t> </w:t>
      </w:r>
      <w:r>
        <w:rPr>
          <w:color w:val="231F20"/>
          <w:spacing w:val="-1"/>
        </w:rPr>
        <w:t>standalone</w:t>
      </w:r>
      <w:r>
        <w:rPr>
          <w:color w:val="231F20"/>
          <w:spacing w:val="-7"/>
        </w:rPr>
        <w:t> </w:t>
      </w:r>
      <w:r>
        <w:rPr>
          <w:color w:val="231F20"/>
        </w:rPr>
        <w:t>boarding</w:t>
      </w:r>
      <w:r>
        <w:rPr>
          <w:color w:val="231F20"/>
          <w:spacing w:val="-8"/>
        </w:rPr>
        <w:t> </w:t>
      </w:r>
      <w:r>
        <w:rPr>
          <w:color w:val="231F20"/>
        </w:rPr>
        <w:t>provider</w:t>
      </w:r>
      <w:r>
        <w:rPr>
          <w:color w:val="231F20"/>
          <w:spacing w:val="-8"/>
        </w:rPr>
        <w:t> </w:t>
      </w:r>
      <w:r>
        <w:rPr>
          <w:color w:val="231F20"/>
        </w:rPr>
        <w:t>consulted</w:t>
      </w:r>
      <w:r>
        <w:rPr>
          <w:color w:val="231F20"/>
          <w:spacing w:val="-8"/>
        </w:rPr>
        <w:t> </w:t>
      </w:r>
      <w:r>
        <w:rPr>
          <w:color w:val="231F20"/>
        </w:rPr>
        <w:t>for</w:t>
      </w:r>
      <w:r>
        <w:rPr>
          <w:color w:val="231F20"/>
          <w:spacing w:val="-8"/>
        </w:rPr>
        <w:t> </w:t>
      </w:r>
      <w:r>
        <w:rPr>
          <w:color w:val="231F20"/>
        </w:rPr>
        <w:t>this</w:t>
      </w:r>
      <w:r>
        <w:rPr>
          <w:color w:val="231F20"/>
          <w:spacing w:val="22"/>
        </w:rPr>
        <w:t> </w:t>
      </w:r>
      <w:r>
        <w:rPr>
          <w:color w:val="231F20"/>
        </w:rPr>
        <w:t>report</w:t>
      </w:r>
      <w:r>
        <w:rPr>
          <w:color w:val="231F20"/>
          <w:spacing w:val="-6"/>
        </w:rPr>
        <w:t> </w:t>
      </w:r>
      <w:r>
        <w:rPr>
          <w:color w:val="231F20"/>
          <w:spacing w:val="-1"/>
        </w:rPr>
        <w:t>indicated</w:t>
      </w:r>
      <w:r>
        <w:rPr>
          <w:color w:val="231F20"/>
          <w:spacing w:val="-5"/>
        </w:rPr>
        <w:t> </w:t>
      </w:r>
      <w:r>
        <w:rPr>
          <w:color w:val="231F20"/>
        </w:rPr>
        <w:t>that</w:t>
      </w:r>
      <w:r>
        <w:rPr>
          <w:color w:val="231F20"/>
          <w:spacing w:val="-6"/>
        </w:rPr>
        <w:t> </w:t>
      </w:r>
      <w:r>
        <w:rPr>
          <w:color w:val="231F20"/>
        </w:rPr>
        <w:t>this</w:t>
      </w:r>
      <w:r>
        <w:rPr>
          <w:color w:val="231F20"/>
          <w:spacing w:val="-5"/>
        </w:rPr>
        <w:t> </w:t>
      </w:r>
      <w:r>
        <w:rPr>
          <w:color w:val="231F20"/>
        </w:rPr>
        <w:t>has</w:t>
      </w:r>
      <w:r>
        <w:rPr>
          <w:color w:val="231F20"/>
          <w:spacing w:val="-6"/>
        </w:rPr>
        <w:t> </w:t>
      </w:r>
      <w:r>
        <w:rPr>
          <w:color w:val="231F20"/>
          <w:spacing w:val="-1"/>
        </w:rPr>
        <w:t>impacted</w:t>
      </w:r>
      <w:r>
        <w:rPr>
          <w:color w:val="231F20"/>
          <w:spacing w:val="-5"/>
        </w:rPr>
        <w:t> </w:t>
      </w:r>
      <w:r>
        <w:rPr>
          <w:color w:val="231F20"/>
        </w:rPr>
        <w:t>upon</w:t>
      </w:r>
      <w:r>
        <w:rPr>
          <w:color w:val="231F20"/>
          <w:spacing w:val="-5"/>
        </w:rPr>
        <w:t> </w:t>
      </w:r>
      <w:r>
        <w:rPr>
          <w:color w:val="231F20"/>
        </w:rPr>
        <w:t>the</w:t>
      </w:r>
      <w:r>
        <w:rPr>
          <w:color w:val="231F20"/>
          <w:spacing w:val="23"/>
          <w:w w:val="99"/>
        </w:rPr>
        <w:t> </w:t>
      </w:r>
      <w:r>
        <w:rPr>
          <w:color w:val="231F20"/>
        </w:rPr>
        <w:t>viability</w:t>
      </w:r>
      <w:r>
        <w:rPr>
          <w:color w:val="231F20"/>
          <w:spacing w:val="-6"/>
        </w:rPr>
        <w:t> </w:t>
      </w:r>
      <w:r>
        <w:rPr>
          <w:color w:val="231F20"/>
        </w:rPr>
        <w:t>of</w:t>
      </w:r>
      <w:r>
        <w:rPr>
          <w:color w:val="231F20"/>
          <w:spacing w:val="-4"/>
        </w:rPr>
        <w:t> </w:t>
      </w:r>
      <w:r>
        <w:rPr>
          <w:color w:val="231F20"/>
        </w:rPr>
        <w:t>the</w:t>
      </w:r>
      <w:r>
        <w:rPr>
          <w:color w:val="231F20"/>
          <w:spacing w:val="-5"/>
        </w:rPr>
        <w:t> </w:t>
      </w:r>
      <w:r>
        <w:rPr>
          <w:color w:val="231F20"/>
        </w:rPr>
        <w:t>provider.</w:t>
      </w:r>
      <w:r>
        <w:rPr/>
      </w:r>
    </w:p>
    <w:p>
      <w:pPr>
        <w:pStyle w:val="BodyText"/>
        <w:spacing w:line="250" w:lineRule="exact" w:before="113"/>
        <w:ind w:right="138"/>
        <w:jc w:val="left"/>
      </w:pPr>
      <w:r>
        <w:rPr/>
        <w:pict>
          <v:group style="position:absolute;margin-left:71.574997pt;margin-top:101.716087pt;width:439.4pt;height:274.3pt;mso-position-horizontal-relative:page;mso-position-vertical-relative:paragraph;z-index:-228904" coordorigin="1431,2034" coordsize="8788,5486">
            <v:group style="position:absolute;left:1531;top:2134;width:8588;height:5286" coordorigin="1531,2134" coordsize="8588,5286">
              <v:shape style="position:absolute;left:1531;top:2134;width:8588;height:5286" coordorigin="1531,2134" coordsize="8588,5286" path="m1531,7420l10119,7420,10119,2134,1531,2134,1531,7420xe" filled="false" stroked="true" strokeweight="10pt" strokecolor="#c1b5a9">
                <v:path arrowok="t"/>
              </v:shape>
            </v:group>
            <v:group style="position:absolute;left:9695;top:2945;width:2;height:3103" coordorigin="9695,2945" coordsize="2,3103">
              <v:shape style="position:absolute;left:9695;top:2945;width:2;height:3103" coordorigin="9695,2945" coordsize="0,3103" path="m9695,2945l9695,6047e" filled="false" stroked="true" strokeweight=".75pt" strokecolor="#dcddde">
                <v:path arrowok="t"/>
              </v:shape>
            </v:group>
            <v:group style="position:absolute;left:3162;top:6768;width:99;height:99" coordorigin="3162,6768" coordsize="99,99">
              <v:shape style="position:absolute;left:3162;top:6768;width:99;height:99" coordorigin="3162,6768" coordsize="99,99" path="m3162,6768l3261,6768,3261,6867,3162,6867,3162,6768xe" filled="true" fillcolor="#5c4777" stroked="false">
                <v:path arrowok="t"/>
                <v:fill type="solid"/>
              </v:shape>
            </v:group>
            <v:group style="position:absolute;left:5736;top:6768;width:99;height:99" coordorigin="5736,6768" coordsize="99,99">
              <v:shape style="position:absolute;left:5736;top:6768;width:99;height:99" coordorigin="5736,6768" coordsize="99,99" path="m5736,6768l5835,6768,5835,6867,5736,6867,5736,6768xe" filled="true" fillcolor="#9480ae" stroked="false">
                <v:path arrowok="t"/>
                <v:fill type="solid"/>
              </v:shape>
            </v:group>
            <v:group style="position:absolute;left:3162;top:7106;width:99;height:99" coordorigin="3162,7106" coordsize="99,99">
              <v:shape style="position:absolute;left:3162;top:7106;width:99;height:99" coordorigin="3162,7106" coordsize="99,99" path="m3162,7106l3261,7106,3261,7205,3162,7205,3162,7106xe" filled="true" fillcolor="#b4a8c4" stroked="false">
                <v:path arrowok="t"/>
                <v:fill type="solid"/>
              </v:shape>
            </v:group>
            <v:group style="position:absolute;left:5736;top:7106;width:99;height:99" coordorigin="5736,7106" coordsize="99,99">
              <v:shape style="position:absolute;left:5736;top:7106;width:99;height:99" coordorigin="5736,7106" coordsize="99,99" path="m5736,7106l5835,7106,5835,7205,5736,7205,5736,7106xe" filled="true" fillcolor="#cdc5d6" stroked="false">
                <v:path arrowok="t"/>
                <v:fill type="solid"/>
              </v:shape>
              <v:shape style="position:absolute;left:1704;top:2344;width:8190;height:1147" type="#_x0000_t202" filled="false" stroked="false">
                <v:textbox inset="0,0,0,0">
                  <w:txbxContent>
                    <w:p>
                      <w:pPr>
                        <w:spacing w:line="200" w:lineRule="exact" w:before="1"/>
                        <w:ind w:left="0" w:right="0" w:hanging="1"/>
                        <w:jc w:val="left"/>
                        <w:rPr>
                          <w:rFonts w:ascii="Segoe UI Semibold" w:hAnsi="Segoe UI Semibold" w:cs="Segoe UI Semibold" w:eastAsia="Segoe UI Semibold"/>
                          <w:sz w:val="16"/>
                          <w:szCs w:val="16"/>
                        </w:rPr>
                      </w:pPr>
                      <w:r>
                        <w:rPr>
                          <w:rFonts w:ascii="Segoe UI Semibold"/>
                          <w:b/>
                          <w:color w:val="666155"/>
                          <w:spacing w:val="4"/>
                          <w:sz w:val="16"/>
                        </w:rPr>
                        <w:t>GRAPH</w:t>
                      </w:r>
                      <w:r>
                        <w:rPr>
                          <w:rFonts w:ascii="Segoe UI Semibold"/>
                          <w:b/>
                          <w:color w:val="666155"/>
                          <w:spacing w:val="-2"/>
                          <w:sz w:val="16"/>
                        </w:rPr>
                        <w:t> </w:t>
                      </w:r>
                      <w:r>
                        <w:rPr>
                          <w:rFonts w:ascii="Segoe UI Semibold"/>
                          <w:b/>
                          <w:color w:val="666155"/>
                          <w:sz w:val="16"/>
                        </w:rPr>
                        <w:t>1:</w:t>
                      </w:r>
                      <w:r>
                        <w:rPr>
                          <w:rFonts w:ascii="Segoe UI Semibold"/>
                          <w:b/>
                          <w:color w:val="666155"/>
                          <w:spacing w:val="-1"/>
                          <w:sz w:val="16"/>
                        </w:rPr>
                        <w:t> </w:t>
                      </w:r>
                      <w:r>
                        <w:rPr>
                          <w:rFonts w:ascii="Segoe UI Semibold"/>
                          <w:b/>
                          <w:color w:val="666155"/>
                          <w:spacing w:val="4"/>
                          <w:sz w:val="16"/>
                        </w:rPr>
                        <w:t>SOURCES</w:t>
                      </w:r>
                      <w:r>
                        <w:rPr>
                          <w:rFonts w:ascii="Segoe UI Semibold"/>
                          <w:b/>
                          <w:color w:val="666155"/>
                          <w:spacing w:val="1"/>
                          <w:sz w:val="16"/>
                        </w:rPr>
                        <w:t> </w:t>
                      </w:r>
                      <w:r>
                        <w:rPr>
                          <w:rFonts w:ascii="Segoe UI Semibold"/>
                          <w:b/>
                          <w:color w:val="666155"/>
                          <w:spacing w:val="2"/>
                          <w:sz w:val="16"/>
                        </w:rPr>
                        <w:t>OF</w:t>
                      </w:r>
                      <w:r>
                        <w:rPr>
                          <w:rFonts w:ascii="Segoe UI Semibold"/>
                          <w:b/>
                          <w:color w:val="666155"/>
                          <w:spacing w:val="1"/>
                          <w:sz w:val="16"/>
                        </w:rPr>
                        <w:t> </w:t>
                      </w:r>
                      <w:r>
                        <w:rPr>
                          <w:rFonts w:ascii="Segoe UI Semibold"/>
                          <w:b/>
                          <w:color w:val="666155"/>
                          <w:spacing w:val="4"/>
                          <w:sz w:val="16"/>
                        </w:rPr>
                        <w:t>BOARDING</w:t>
                      </w:r>
                      <w:r>
                        <w:rPr>
                          <w:rFonts w:ascii="Segoe UI Semibold"/>
                          <w:b/>
                          <w:color w:val="666155"/>
                          <w:spacing w:val="2"/>
                          <w:sz w:val="16"/>
                        </w:rPr>
                        <w:t> </w:t>
                      </w:r>
                      <w:r>
                        <w:rPr>
                          <w:rFonts w:ascii="Segoe UI Semibold"/>
                          <w:b/>
                          <w:color w:val="666155"/>
                          <w:spacing w:val="3"/>
                          <w:sz w:val="16"/>
                        </w:rPr>
                        <w:t>INCOME</w:t>
                      </w:r>
                      <w:r>
                        <w:rPr>
                          <w:rFonts w:ascii="Segoe UI Semibold"/>
                          <w:b/>
                          <w:color w:val="231F20"/>
                          <w:spacing w:val="2"/>
                          <w:position w:val="7"/>
                          <w:sz w:val="11"/>
                        </w:rPr>
                        <w:t>5</w:t>
                      </w:r>
                      <w:r>
                        <w:rPr>
                          <w:rFonts w:ascii="Segoe UI Semibold"/>
                          <w:b/>
                          <w:color w:val="231F20"/>
                          <w:spacing w:val="13"/>
                          <w:position w:val="7"/>
                          <w:sz w:val="11"/>
                        </w:rPr>
                        <w:t> </w:t>
                      </w:r>
                      <w:r>
                        <w:rPr>
                          <w:rFonts w:ascii="Segoe UI Semibold"/>
                          <w:b/>
                          <w:color w:val="666155"/>
                          <w:spacing w:val="3"/>
                          <w:sz w:val="16"/>
                        </w:rPr>
                        <w:t>FOR</w:t>
                      </w:r>
                      <w:r>
                        <w:rPr>
                          <w:rFonts w:ascii="Segoe UI Semibold"/>
                          <w:b/>
                          <w:color w:val="666155"/>
                          <w:spacing w:val="1"/>
                          <w:sz w:val="16"/>
                        </w:rPr>
                        <w:t> </w:t>
                      </w:r>
                      <w:r>
                        <w:rPr>
                          <w:rFonts w:ascii="Segoe UI Semibold"/>
                          <w:b/>
                          <w:color w:val="666155"/>
                          <w:spacing w:val="4"/>
                          <w:sz w:val="16"/>
                        </w:rPr>
                        <w:t>ABORIGINAL</w:t>
                      </w:r>
                      <w:r>
                        <w:rPr>
                          <w:rFonts w:ascii="Segoe UI Semibold"/>
                          <w:b/>
                          <w:color w:val="666155"/>
                          <w:spacing w:val="2"/>
                          <w:sz w:val="16"/>
                        </w:rPr>
                        <w:t> </w:t>
                      </w:r>
                      <w:r>
                        <w:rPr>
                          <w:rFonts w:ascii="Segoe UI Semibold"/>
                          <w:b/>
                          <w:color w:val="666155"/>
                          <w:spacing w:val="3"/>
                          <w:sz w:val="16"/>
                        </w:rPr>
                        <w:t>AND</w:t>
                      </w:r>
                      <w:r>
                        <w:rPr>
                          <w:rFonts w:ascii="Segoe UI Semibold"/>
                          <w:b/>
                          <w:color w:val="666155"/>
                          <w:spacing w:val="1"/>
                          <w:sz w:val="16"/>
                        </w:rPr>
                        <w:t> </w:t>
                      </w:r>
                      <w:r>
                        <w:rPr>
                          <w:rFonts w:ascii="Segoe UI Semibold"/>
                          <w:b/>
                          <w:color w:val="666155"/>
                          <w:spacing w:val="3"/>
                          <w:sz w:val="16"/>
                        </w:rPr>
                        <w:t>TORRES</w:t>
                      </w:r>
                      <w:r>
                        <w:rPr>
                          <w:rFonts w:ascii="Segoe UI Semibold"/>
                          <w:b/>
                          <w:color w:val="666155"/>
                          <w:spacing w:val="2"/>
                          <w:sz w:val="16"/>
                        </w:rPr>
                        <w:t> </w:t>
                      </w:r>
                      <w:r>
                        <w:rPr>
                          <w:rFonts w:ascii="Segoe UI Semibold"/>
                          <w:b/>
                          <w:color w:val="666155"/>
                          <w:spacing w:val="4"/>
                          <w:sz w:val="16"/>
                        </w:rPr>
                        <w:t>STRAIT</w:t>
                      </w:r>
                      <w:r>
                        <w:rPr>
                          <w:rFonts w:ascii="Segoe UI Semibold"/>
                          <w:b/>
                          <w:color w:val="666155"/>
                          <w:spacing w:val="1"/>
                          <w:sz w:val="16"/>
                        </w:rPr>
                        <w:t> </w:t>
                      </w:r>
                      <w:r>
                        <w:rPr>
                          <w:rFonts w:ascii="Segoe UI Semibold"/>
                          <w:b/>
                          <w:color w:val="666155"/>
                          <w:spacing w:val="4"/>
                          <w:sz w:val="16"/>
                        </w:rPr>
                        <w:t>ISLANDER</w:t>
                      </w:r>
                      <w:r>
                        <w:rPr>
                          <w:rFonts w:ascii="Segoe UI Semibold"/>
                          <w:b/>
                          <w:color w:val="666155"/>
                          <w:spacing w:val="2"/>
                          <w:sz w:val="16"/>
                        </w:rPr>
                        <w:t> </w:t>
                      </w:r>
                      <w:r>
                        <w:rPr>
                          <w:rFonts w:ascii="Segoe UI Semibold"/>
                          <w:b/>
                          <w:color w:val="666155"/>
                          <w:spacing w:val="4"/>
                          <w:sz w:val="16"/>
                        </w:rPr>
                        <w:t>BOARDING</w:t>
                      </w:r>
                      <w:r>
                        <w:rPr>
                          <w:rFonts w:ascii="Segoe UI Semibold"/>
                          <w:b/>
                          <w:color w:val="666155"/>
                          <w:spacing w:val="63"/>
                          <w:w w:val="99"/>
                          <w:sz w:val="16"/>
                        </w:rPr>
                        <w:t> </w:t>
                      </w:r>
                      <w:r>
                        <w:rPr>
                          <w:rFonts w:ascii="Segoe UI Semibold"/>
                          <w:b/>
                          <w:color w:val="666155"/>
                          <w:spacing w:val="4"/>
                          <w:sz w:val="16"/>
                        </w:rPr>
                        <w:t>PROVIDERS</w:t>
                      </w:r>
                      <w:r>
                        <w:rPr>
                          <w:rFonts w:ascii="Segoe UI Semibold"/>
                          <w:sz w:val="16"/>
                        </w:rPr>
                      </w:r>
                    </w:p>
                    <w:p>
                      <w:pPr>
                        <w:spacing w:line="240" w:lineRule="auto" w:before="9"/>
                        <w:rPr>
                          <w:rFonts w:ascii="Segoe UI" w:hAnsi="Segoe UI" w:cs="Segoe UI" w:eastAsia="Segoe UI"/>
                          <w:sz w:val="23"/>
                          <w:szCs w:val="23"/>
                        </w:rPr>
                      </w:pPr>
                    </w:p>
                    <w:p>
                      <w:pPr>
                        <w:spacing w:line="247" w:lineRule="auto" w:before="0"/>
                        <w:ind w:left="167" w:right="7463" w:firstLine="64"/>
                        <w:jc w:val="left"/>
                        <w:rPr>
                          <w:rFonts w:ascii="Segoe UI" w:hAnsi="Segoe UI" w:cs="Segoe UI" w:eastAsia="Segoe UI"/>
                          <w:sz w:val="16"/>
                          <w:szCs w:val="16"/>
                        </w:rPr>
                      </w:pPr>
                      <w:r>
                        <w:rPr>
                          <w:rFonts w:ascii="Segoe UI"/>
                          <w:color w:val="77787B"/>
                          <w:sz w:val="16"/>
                        </w:rPr>
                        <w:t>3 year </w:t>
                      </w:r>
                      <w:r>
                        <w:rPr>
                          <w:rFonts w:ascii="Segoe UI"/>
                          <w:color w:val="77787B"/>
                          <w:spacing w:val="-1"/>
                          <w:sz w:val="16"/>
                        </w:rPr>
                        <w:t>average</w:t>
                      </w:r>
                      <w:r>
                        <w:rPr>
                          <w:rFonts w:ascii="Segoe UI"/>
                          <w:sz w:val="16"/>
                        </w:rPr>
                      </w:r>
                    </w:p>
                  </w:txbxContent>
                </v:textbox>
                <w10:wrap type="none"/>
              </v:shape>
              <v:shape style="position:absolute;left:2086;top:4026;width:345;height:160" type="#_x0000_t202" filled="false" stroked="false">
                <v:textbox inset="0,0,0,0">
                  <w:txbxContent>
                    <w:p>
                      <w:pPr>
                        <w:spacing w:line="160" w:lineRule="exact" w:before="0"/>
                        <w:ind w:left="0" w:right="0" w:firstLine="0"/>
                        <w:jc w:val="left"/>
                        <w:rPr>
                          <w:rFonts w:ascii="Segoe UI" w:hAnsi="Segoe UI" w:cs="Segoe UI" w:eastAsia="Segoe UI"/>
                          <w:sz w:val="16"/>
                          <w:szCs w:val="16"/>
                        </w:rPr>
                      </w:pPr>
                      <w:r>
                        <w:rPr>
                          <w:rFonts w:ascii="Segoe UI"/>
                          <w:color w:val="77787B"/>
                          <w:sz w:val="16"/>
                        </w:rPr>
                        <w:t>2017</w:t>
                      </w:r>
                      <w:r>
                        <w:rPr>
                          <w:rFonts w:ascii="Segoe UI"/>
                          <w:sz w:val="16"/>
                        </w:rPr>
                      </w:r>
                    </w:p>
                  </w:txbxContent>
                </v:textbox>
                <w10:wrap type="none"/>
              </v:shape>
              <v:shape style="position:absolute;left:2086;top:4802;width:345;height:160" type="#_x0000_t202" filled="false" stroked="false">
                <v:textbox inset="0,0,0,0">
                  <w:txbxContent>
                    <w:p>
                      <w:pPr>
                        <w:spacing w:line="160" w:lineRule="exact" w:before="0"/>
                        <w:ind w:left="0" w:right="0" w:firstLine="0"/>
                        <w:jc w:val="left"/>
                        <w:rPr>
                          <w:rFonts w:ascii="Segoe UI" w:hAnsi="Segoe UI" w:cs="Segoe UI" w:eastAsia="Segoe UI"/>
                          <w:sz w:val="16"/>
                          <w:szCs w:val="16"/>
                        </w:rPr>
                      </w:pPr>
                      <w:r>
                        <w:rPr>
                          <w:rFonts w:ascii="Segoe UI"/>
                          <w:color w:val="77787B"/>
                          <w:sz w:val="16"/>
                        </w:rPr>
                        <w:t>2016</w:t>
                      </w:r>
                      <w:r>
                        <w:rPr>
                          <w:rFonts w:ascii="Segoe UI"/>
                          <w:sz w:val="16"/>
                        </w:rPr>
                      </w:r>
                    </w:p>
                  </w:txbxContent>
                </v:textbox>
                <w10:wrap type="none"/>
              </v:shape>
              <v:shape style="position:absolute;left:2086;top:5577;width:345;height:160" type="#_x0000_t202" filled="false" stroked="false">
                <v:textbox inset="0,0,0,0">
                  <w:txbxContent>
                    <w:p>
                      <w:pPr>
                        <w:spacing w:line="160" w:lineRule="exact" w:before="0"/>
                        <w:ind w:left="0" w:right="0" w:firstLine="0"/>
                        <w:jc w:val="left"/>
                        <w:rPr>
                          <w:rFonts w:ascii="Segoe UI" w:hAnsi="Segoe UI" w:cs="Segoe UI" w:eastAsia="Segoe UI"/>
                          <w:sz w:val="16"/>
                          <w:szCs w:val="16"/>
                        </w:rPr>
                      </w:pPr>
                      <w:r>
                        <w:rPr>
                          <w:rFonts w:ascii="Segoe UI"/>
                          <w:color w:val="77787B"/>
                          <w:sz w:val="16"/>
                        </w:rPr>
                        <w:t>2015</w:t>
                      </w:r>
                      <w:r>
                        <w:rPr>
                          <w:rFonts w:ascii="Segoe UI"/>
                          <w:sz w:val="16"/>
                        </w:rPr>
                      </w:r>
                    </w:p>
                  </w:txbxContent>
                </v:textbox>
                <w10:wrap type="none"/>
              </v:shape>
              <v:shape style="position:absolute;left:3303;top:6509;width:4067;height:398" type="#_x0000_t202" filled="false" stroked="false">
                <v:textbox inset="0,0,0,0">
                  <w:txbxContent>
                    <w:p>
                      <w:pPr>
                        <w:spacing w:line="162" w:lineRule="exact" w:before="0"/>
                        <w:ind w:left="0" w:right="1151" w:firstLine="0"/>
                        <w:jc w:val="right"/>
                        <w:rPr>
                          <w:rFonts w:ascii="Segoe UI" w:hAnsi="Segoe UI" w:cs="Segoe UI" w:eastAsia="Segoe UI"/>
                          <w:sz w:val="16"/>
                          <w:szCs w:val="16"/>
                        </w:rPr>
                      </w:pPr>
                      <w:r>
                        <w:rPr>
                          <w:rFonts w:ascii="Segoe UI"/>
                          <w:color w:val="77787B"/>
                          <w:sz w:val="16"/>
                        </w:rPr>
                        <w:t>%</w:t>
                      </w:r>
                      <w:r>
                        <w:rPr>
                          <w:rFonts w:ascii="Segoe UI"/>
                          <w:sz w:val="16"/>
                        </w:rPr>
                      </w:r>
                    </w:p>
                    <w:p>
                      <w:pPr>
                        <w:tabs>
                          <w:tab w:pos="2573" w:val="left" w:leader="none"/>
                        </w:tabs>
                        <w:spacing w:line="211" w:lineRule="exact" w:before="24"/>
                        <w:ind w:left="0" w:right="0" w:firstLine="0"/>
                        <w:jc w:val="left"/>
                        <w:rPr>
                          <w:rFonts w:ascii="Segoe UI" w:hAnsi="Segoe UI" w:cs="Segoe UI" w:eastAsia="Segoe UI"/>
                          <w:sz w:val="16"/>
                          <w:szCs w:val="16"/>
                        </w:rPr>
                      </w:pPr>
                      <w:r>
                        <w:rPr>
                          <w:rFonts w:ascii="Segoe UI"/>
                          <w:color w:val="77787B"/>
                          <w:spacing w:val="-1"/>
                          <w:sz w:val="16"/>
                        </w:rPr>
                        <w:t>Fees </w:t>
                      </w:r>
                      <w:r>
                        <w:rPr>
                          <w:rFonts w:ascii="Segoe UI"/>
                          <w:color w:val="77787B"/>
                          <w:sz w:val="16"/>
                        </w:rPr>
                        <w:t>&amp;</w:t>
                      </w:r>
                      <w:r>
                        <w:rPr>
                          <w:rFonts w:ascii="Segoe UI"/>
                          <w:color w:val="77787B"/>
                          <w:spacing w:val="1"/>
                          <w:sz w:val="16"/>
                        </w:rPr>
                        <w:t> </w:t>
                      </w:r>
                      <w:r>
                        <w:rPr>
                          <w:rFonts w:ascii="Segoe UI"/>
                          <w:color w:val="77787B"/>
                          <w:spacing w:val="-1"/>
                          <w:sz w:val="16"/>
                        </w:rPr>
                        <w:t>charges</w:t>
                      </w:r>
                      <w:r>
                        <w:rPr>
                          <w:rFonts w:ascii="Segoe UI"/>
                          <w:color w:val="77787B"/>
                          <w:sz w:val="16"/>
                        </w:rPr>
                        <w:t> (incl. ABSTUDY)</w:t>
                        <w:tab/>
                        <w:t>Other private </w:t>
                      </w:r>
                      <w:r>
                        <w:rPr>
                          <w:rFonts w:ascii="Segoe UI"/>
                          <w:color w:val="77787B"/>
                          <w:spacing w:val="-1"/>
                          <w:sz w:val="16"/>
                        </w:rPr>
                        <w:t>income</w:t>
                      </w:r>
                      <w:r>
                        <w:rPr>
                          <w:rFonts w:ascii="Segoe UI"/>
                          <w:sz w:val="16"/>
                        </w:rPr>
                      </w:r>
                    </w:p>
                  </w:txbxContent>
                </v:textbox>
                <w10:wrap type="none"/>
              </v:shape>
              <v:shape style="position:absolute;left:3303;top:7084;width:2116;height:160" type="#_x0000_t202" filled="false" stroked="false">
                <v:textbox inset="0,0,0,0">
                  <w:txbxContent>
                    <w:p>
                      <w:pPr>
                        <w:spacing w:line="160" w:lineRule="exact" w:before="0"/>
                        <w:ind w:left="0" w:right="0" w:firstLine="0"/>
                        <w:jc w:val="left"/>
                        <w:rPr>
                          <w:rFonts w:ascii="Segoe UI" w:hAnsi="Segoe UI" w:cs="Segoe UI" w:eastAsia="Segoe UI"/>
                          <w:sz w:val="16"/>
                          <w:szCs w:val="16"/>
                        </w:rPr>
                      </w:pPr>
                      <w:r>
                        <w:rPr>
                          <w:rFonts w:ascii="Segoe UI"/>
                          <w:color w:val="77787B"/>
                          <w:spacing w:val="-1"/>
                          <w:sz w:val="16"/>
                        </w:rPr>
                        <w:t>State </w:t>
                      </w:r>
                      <w:r>
                        <w:rPr>
                          <w:rFonts w:ascii="Segoe UI"/>
                          <w:color w:val="77787B"/>
                          <w:sz w:val="16"/>
                        </w:rPr>
                        <w:t>&amp;</w:t>
                      </w:r>
                      <w:r>
                        <w:rPr>
                          <w:rFonts w:ascii="Segoe UI"/>
                          <w:color w:val="77787B"/>
                          <w:spacing w:val="-1"/>
                          <w:sz w:val="16"/>
                        </w:rPr>
                        <w:t> territory governments</w:t>
                      </w:r>
                      <w:r>
                        <w:rPr>
                          <w:rFonts w:ascii="Segoe UI"/>
                          <w:sz w:val="16"/>
                        </w:rPr>
                      </w:r>
                    </w:p>
                  </w:txbxContent>
                </v:textbox>
                <w10:wrap type="none"/>
              </v:shape>
              <v:shape style="position:absolute;left:5877;top:7084;width:2276;height:160" type="#_x0000_t202" filled="false" stroked="false">
                <v:textbox inset="0,0,0,0">
                  <w:txbxContent>
                    <w:p>
                      <w:pPr>
                        <w:spacing w:line="160" w:lineRule="exact" w:before="0"/>
                        <w:ind w:left="0" w:right="0" w:firstLine="0"/>
                        <w:jc w:val="left"/>
                        <w:rPr>
                          <w:rFonts w:ascii="Segoe UI" w:hAnsi="Segoe UI" w:cs="Segoe UI" w:eastAsia="Segoe UI"/>
                          <w:sz w:val="16"/>
                          <w:szCs w:val="16"/>
                        </w:rPr>
                      </w:pPr>
                      <w:r>
                        <w:rPr>
                          <w:rFonts w:ascii="Segoe UI"/>
                          <w:color w:val="77787B"/>
                          <w:spacing w:val="-1"/>
                          <w:sz w:val="16"/>
                        </w:rPr>
                        <w:t>Commonwealth</w:t>
                      </w:r>
                      <w:r>
                        <w:rPr>
                          <w:rFonts w:ascii="Segoe UI"/>
                          <w:color w:val="77787B"/>
                          <w:spacing w:val="1"/>
                          <w:sz w:val="16"/>
                        </w:rPr>
                        <w:t> </w:t>
                      </w:r>
                      <w:r>
                        <w:rPr>
                          <w:rFonts w:ascii="Segoe UI"/>
                          <w:color w:val="77787B"/>
                          <w:spacing w:val="-2"/>
                          <w:sz w:val="16"/>
                        </w:rPr>
                        <w:t>(excl.</w:t>
                      </w:r>
                      <w:r>
                        <w:rPr>
                          <w:rFonts w:ascii="Segoe UI"/>
                          <w:color w:val="77787B"/>
                          <w:spacing w:val="-1"/>
                          <w:sz w:val="16"/>
                        </w:rPr>
                        <w:t> ABSTUDY)</w:t>
                      </w:r>
                      <w:r>
                        <w:rPr>
                          <w:rFonts w:ascii="Segoe UI"/>
                          <w:sz w:val="16"/>
                        </w:rPr>
                      </w:r>
                    </w:p>
                  </w:txbxContent>
                </v:textbox>
                <w10:wrap type="none"/>
              </v:shape>
            </v:group>
            <w10:wrap type="none"/>
          </v:group>
        </w:pict>
      </w:r>
      <w:r>
        <w:rPr>
          <w:rFonts w:ascii="Segoe UI"/>
          <w:color w:val="231F20"/>
        </w:rPr>
        <w:t>This report confirms the findings of previous </w:t>
      </w:r>
      <w:r>
        <w:rPr>
          <w:color w:val="231F20"/>
        </w:rPr>
        <w:t>reviews</w:t>
      </w:r>
      <w:r>
        <w:rPr>
          <w:color w:val="231F20"/>
          <w:spacing w:val="-7"/>
        </w:rPr>
        <w:t> </w:t>
      </w:r>
      <w:r>
        <w:rPr>
          <w:color w:val="231F20"/>
        </w:rPr>
        <w:t>and</w:t>
      </w:r>
      <w:r>
        <w:rPr>
          <w:color w:val="231F20"/>
          <w:spacing w:val="-7"/>
        </w:rPr>
        <w:t> </w:t>
      </w:r>
      <w:r>
        <w:rPr>
          <w:color w:val="231F20"/>
        </w:rPr>
        <w:t>reports</w:t>
      </w:r>
      <w:r>
        <w:rPr>
          <w:color w:val="231F20"/>
          <w:spacing w:val="-6"/>
        </w:rPr>
        <w:t> </w:t>
      </w:r>
      <w:r>
        <w:rPr>
          <w:color w:val="231F20"/>
        </w:rPr>
        <w:t>that</w:t>
      </w:r>
      <w:r>
        <w:rPr>
          <w:color w:val="231F20"/>
          <w:spacing w:val="-7"/>
        </w:rPr>
        <w:t> </w:t>
      </w:r>
      <w:r>
        <w:rPr>
          <w:color w:val="231F20"/>
        </w:rPr>
        <w:t>the</w:t>
      </w:r>
      <w:r>
        <w:rPr>
          <w:color w:val="231F20"/>
          <w:spacing w:val="-7"/>
        </w:rPr>
        <w:t> </w:t>
      </w:r>
      <w:r>
        <w:rPr>
          <w:color w:val="231F20"/>
        </w:rPr>
        <w:t>boarding</w:t>
      </w:r>
      <w:r>
        <w:rPr>
          <w:color w:val="231F20"/>
          <w:spacing w:val="-6"/>
        </w:rPr>
        <w:t> </w:t>
      </w:r>
      <w:r>
        <w:rPr>
          <w:color w:val="231F20"/>
        </w:rPr>
        <w:t>revenue</w:t>
      </w:r>
      <w:r>
        <w:rPr>
          <w:color w:val="231F20"/>
          <w:spacing w:val="-6"/>
        </w:rPr>
        <w:t> </w:t>
      </w:r>
      <w:r>
        <w:rPr>
          <w:color w:val="231F20"/>
          <w:spacing w:val="-6"/>
        </w:rPr>
      </w:r>
      <w:r>
        <w:rPr>
          <w:color w:val="231F20"/>
        </w:rPr>
        <w:t>of</w:t>
      </w:r>
      <w:r>
        <w:rPr>
          <w:color w:val="231F20"/>
        </w:rPr>
        <w:t> 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rFonts w:ascii="Segoe UI"/>
          <w:color w:val="231F20"/>
        </w:rPr>
        <w:t>providers is insufficient to meet the full costs of</w:t>
      </w:r>
      <w:r>
        <w:rPr>
          <w:rFonts w:ascii="Segoe UI"/>
          <w:color w:val="231F20"/>
        </w:rPr>
        <w:t> </w:t>
      </w:r>
      <w:r>
        <w:rPr>
          <w:color w:val="231F20"/>
        </w:rPr>
        <w:t>boarding</w:t>
      </w:r>
      <w:r>
        <w:rPr>
          <w:color w:val="231F20"/>
          <w:spacing w:val="-7"/>
        </w:rPr>
        <w:t> </w:t>
      </w:r>
      <w:r>
        <w:rPr>
          <w:color w:val="231F20"/>
        </w:rPr>
        <w:t>for</w:t>
      </w:r>
      <w:r>
        <w:rPr>
          <w:color w:val="231F20"/>
          <w:spacing w:val="-5"/>
        </w:rPr>
        <w:t> </w:t>
      </w:r>
      <w:r>
        <w:rPr>
          <w:color w:val="231F20"/>
        </w:rPr>
        <w:t>Aboriginal</w:t>
      </w:r>
      <w:r>
        <w:rPr>
          <w:color w:val="231F20"/>
          <w:spacing w:val="-6"/>
        </w:rPr>
        <w:t> </w:t>
      </w:r>
      <w:r>
        <w:rPr>
          <w:color w:val="231F20"/>
        </w:rPr>
        <w:t>and</w:t>
      </w:r>
      <w:r>
        <w:rPr>
          <w:color w:val="231F20"/>
          <w:spacing w:val="-6"/>
        </w:rPr>
        <w:t> </w:t>
      </w:r>
      <w:r>
        <w:rPr>
          <w:color w:val="231F20"/>
          <w:spacing w:val="-5"/>
        </w:rPr>
        <w:t>Torres</w:t>
      </w:r>
      <w:r>
        <w:rPr>
          <w:color w:val="231F20"/>
          <w:spacing w:val="-6"/>
        </w:rPr>
        <w:t> </w:t>
      </w:r>
      <w:r>
        <w:rPr>
          <w:color w:val="231F20"/>
          <w:spacing w:val="-2"/>
        </w:rPr>
        <w:t>Strait</w:t>
      </w:r>
      <w:r>
        <w:rPr>
          <w:color w:val="231F20"/>
          <w:spacing w:val="-6"/>
        </w:rPr>
        <w:t> </w:t>
      </w:r>
      <w:r>
        <w:rPr>
          <w:color w:val="231F20"/>
          <w:spacing w:val="-1"/>
        </w:rPr>
        <w:t>Islander</w:t>
      </w:r>
      <w:r>
        <w:rPr>
          <w:color w:val="231F20"/>
          <w:spacing w:val="29"/>
          <w:w w:val="99"/>
        </w:rPr>
        <w:t> </w:t>
      </w:r>
      <w:r>
        <w:rPr>
          <w:color w:val="231F20"/>
          <w:spacing w:val="-1"/>
        </w:rPr>
        <w:t>students.</w:t>
      </w:r>
      <w:r>
        <w:rPr/>
      </w:r>
    </w:p>
    <w:p>
      <w:pPr>
        <w:spacing w:after="0" w:line="250" w:lineRule="exact"/>
        <w:jc w:val="left"/>
        <w:sectPr>
          <w:type w:val="continuous"/>
          <w:pgSz w:w="11910" w:h="16840"/>
          <w:pgMar w:top="1580" w:bottom="280" w:left="1300" w:right="1340"/>
          <w:cols w:num="2" w:equalWidth="0">
            <w:col w:w="4370" w:space="222"/>
            <w:col w:w="4678"/>
          </w:cols>
        </w:sect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8"/>
        <w:rPr>
          <w:rFonts w:ascii="Segoe UI" w:hAnsi="Segoe UI" w:cs="Segoe UI" w:eastAsia="Segoe UI"/>
          <w:sz w:val="19"/>
          <w:szCs w:val="19"/>
        </w:rPr>
      </w:pPr>
    </w:p>
    <w:tbl>
      <w:tblPr>
        <w:tblW w:w="0" w:type="auto"/>
        <w:jc w:val="left"/>
        <w:tblInd w:w="1310" w:type="dxa"/>
        <w:tblLayout w:type="fixed"/>
        <w:tblCellMar>
          <w:top w:w="0" w:type="dxa"/>
          <w:left w:w="0" w:type="dxa"/>
          <w:bottom w:w="0" w:type="dxa"/>
          <w:right w:w="0" w:type="dxa"/>
        </w:tblCellMar>
        <w:tblLook w:val="01E0"/>
      </w:tblPr>
      <w:tblGrid>
        <w:gridCol w:w="1179"/>
        <w:gridCol w:w="1181"/>
        <w:gridCol w:w="1178"/>
        <w:gridCol w:w="1178"/>
        <w:gridCol w:w="154"/>
        <w:gridCol w:w="139"/>
        <w:gridCol w:w="53"/>
        <w:gridCol w:w="149"/>
        <w:gridCol w:w="46"/>
        <w:gridCol w:w="74"/>
        <w:gridCol w:w="331"/>
        <w:gridCol w:w="50"/>
        <w:gridCol w:w="144"/>
      </w:tblGrid>
      <w:tr>
        <w:trPr>
          <w:trHeight w:val="234" w:hRule="exact"/>
        </w:trPr>
        <w:tc>
          <w:tcPr>
            <w:tcW w:w="1179" w:type="dxa"/>
            <w:tcBorders>
              <w:top w:val="nil" w:sz="6" w:space="0" w:color="auto"/>
              <w:left w:val="single" w:sz="6" w:space="0" w:color="DCDDDE"/>
              <w:bottom w:val="nil" w:sz="6" w:space="0" w:color="auto"/>
              <w:right w:val="single" w:sz="6" w:space="0" w:color="DCDDDE"/>
            </w:tcBorders>
          </w:tcPr>
          <w:p>
            <w:pPr/>
          </w:p>
        </w:tc>
        <w:tc>
          <w:tcPr>
            <w:tcW w:w="1181" w:type="dxa"/>
            <w:tcBorders>
              <w:top w:val="nil" w:sz="6" w:space="0" w:color="auto"/>
              <w:left w:val="single" w:sz="6" w:space="0" w:color="DCDDDE"/>
              <w:bottom w:val="nil" w:sz="6" w:space="0" w:color="auto"/>
              <w:right w:val="single" w:sz="6" w:space="0" w:color="DCDDDE"/>
            </w:tcBorders>
          </w:tcPr>
          <w:p>
            <w:pPr/>
          </w:p>
        </w:tc>
        <w:tc>
          <w:tcPr>
            <w:tcW w:w="1178" w:type="dxa"/>
            <w:tcBorders>
              <w:top w:val="nil" w:sz="6" w:space="0" w:color="auto"/>
              <w:left w:val="single" w:sz="6" w:space="0" w:color="DCDDDE"/>
              <w:bottom w:val="nil" w:sz="6" w:space="0" w:color="auto"/>
              <w:right w:val="single" w:sz="6" w:space="0" w:color="DCDDDE"/>
            </w:tcBorders>
          </w:tcPr>
          <w:p>
            <w:pPr/>
          </w:p>
        </w:tc>
        <w:tc>
          <w:tcPr>
            <w:tcW w:w="1178" w:type="dxa"/>
            <w:tcBorders>
              <w:top w:val="nil" w:sz="6" w:space="0" w:color="auto"/>
              <w:left w:val="single" w:sz="6" w:space="0" w:color="DCDDDE"/>
              <w:bottom w:val="nil" w:sz="6" w:space="0" w:color="auto"/>
              <w:right w:val="single" w:sz="6" w:space="0" w:color="DCDDDE"/>
            </w:tcBorders>
          </w:tcPr>
          <w:p>
            <w:pPr/>
          </w:p>
        </w:tc>
        <w:tc>
          <w:tcPr>
            <w:tcW w:w="1140" w:type="dxa"/>
            <w:gridSpan w:val="9"/>
            <w:tcBorders>
              <w:top w:val="nil" w:sz="6" w:space="0" w:color="auto"/>
              <w:left w:val="single" w:sz="6" w:space="0" w:color="DCDDDE"/>
              <w:bottom w:val="nil" w:sz="6" w:space="0" w:color="auto"/>
              <w:right w:val="single" w:sz="6" w:space="0" w:color="DCDDDE"/>
            </w:tcBorders>
          </w:tcPr>
          <w:p>
            <w:pPr/>
          </w:p>
        </w:tc>
      </w:tr>
      <w:tr>
        <w:trPr>
          <w:trHeight w:val="310" w:hRule="exact"/>
        </w:trPr>
        <w:tc>
          <w:tcPr>
            <w:tcW w:w="5009" w:type="dxa"/>
            <w:gridSpan w:val="6"/>
            <w:tcBorders>
              <w:top w:val="nil" w:sz="6" w:space="0" w:color="auto"/>
              <w:left w:val="single" w:sz="6" w:space="0" w:color="DCDDDE"/>
              <w:bottom w:val="nil" w:sz="6" w:space="0" w:color="auto"/>
              <w:right w:val="nil" w:sz="6" w:space="0" w:color="auto"/>
            </w:tcBorders>
            <w:shd w:val="clear" w:color="auto" w:fill="5C4777"/>
          </w:tcPr>
          <w:p>
            <w:pPr>
              <w:pStyle w:val="TableParagraph"/>
              <w:spacing w:line="240" w:lineRule="auto" w:before="42"/>
              <w:ind w:left="621" w:right="0"/>
              <w:jc w:val="center"/>
              <w:rPr>
                <w:rFonts w:ascii="Segoe UI" w:hAnsi="Segoe UI" w:cs="Segoe UI" w:eastAsia="Segoe UI"/>
                <w:sz w:val="16"/>
                <w:szCs w:val="16"/>
              </w:rPr>
            </w:pPr>
            <w:r>
              <w:rPr>
                <w:rFonts w:ascii="Segoe UI"/>
                <w:color w:val="FFFFFF"/>
                <w:sz w:val="16"/>
              </w:rPr>
              <w:t>85%</w:t>
            </w:r>
            <w:r>
              <w:rPr>
                <w:rFonts w:ascii="Segoe UI"/>
                <w:sz w:val="16"/>
              </w:rPr>
            </w:r>
          </w:p>
        </w:tc>
        <w:tc>
          <w:tcPr>
            <w:tcW w:w="247" w:type="dxa"/>
            <w:gridSpan w:val="3"/>
            <w:tcBorders>
              <w:top w:val="nil" w:sz="6" w:space="0" w:color="auto"/>
              <w:left w:val="nil" w:sz="6" w:space="0" w:color="auto"/>
              <w:bottom w:val="nil" w:sz="6" w:space="0" w:color="auto"/>
              <w:right w:val="nil" w:sz="6" w:space="0" w:color="auto"/>
            </w:tcBorders>
            <w:shd w:val="clear" w:color="auto" w:fill="9480AE"/>
          </w:tcPr>
          <w:p>
            <w:pPr/>
          </w:p>
        </w:tc>
        <w:tc>
          <w:tcPr>
            <w:tcW w:w="456" w:type="dxa"/>
            <w:gridSpan w:val="3"/>
            <w:tcBorders>
              <w:top w:val="nil" w:sz="6" w:space="0" w:color="auto"/>
              <w:left w:val="nil" w:sz="6" w:space="0" w:color="auto"/>
              <w:bottom w:val="nil" w:sz="6" w:space="0" w:color="auto"/>
              <w:right w:val="nil" w:sz="6" w:space="0" w:color="auto"/>
            </w:tcBorders>
            <w:shd w:val="clear" w:color="auto" w:fill="B4A8C4"/>
          </w:tcPr>
          <w:p>
            <w:pPr/>
          </w:p>
        </w:tc>
        <w:tc>
          <w:tcPr>
            <w:tcW w:w="144" w:type="dxa"/>
            <w:tcBorders>
              <w:top w:val="nil" w:sz="6" w:space="0" w:color="auto"/>
              <w:left w:val="nil" w:sz="6" w:space="0" w:color="auto"/>
              <w:bottom w:val="nil" w:sz="6" w:space="0" w:color="auto"/>
              <w:right w:val="single" w:sz="6" w:space="0" w:color="DCDDDE"/>
            </w:tcBorders>
            <w:shd w:val="clear" w:color="auto" w:fill="CDC5D6"/>
          </w:tcPr>
          <w:p>
            <w:pPr/>
          </w:p>
        </w:tc>
      </w:tr>
      <w:tr>
        <w:trPr>
          <w:trHeight w:val="466" w:hRule="exact"/>
        </w:trPr>
        <w:tc>
          <w:tcPr>
            <w:tcW w:w="1179" w:type="dxa"/>
            <w:tcBorders>
              <w:top w:val="nil" w:sz="6" w:space="0" w:color="auto"/>
              <w:left w:val="single" w:sz="6" w:space="0" w:color="DCDDDE"/>
              <w:bottom w:val="nil" w:sz="6" w:space="0" w:color="auto"/>
              <w:right w:val="single" w:sz="6" w:space="0" w:color="DCDDDE"/>
            </w:tcBorders>
          </w:tcPr>
          <w:p>
            <w:pPr/>
          </w:p>
        </w:tc>
        <w:tc>
          <w:tcPr>
            <w:tcW w:w="1181" w:type="dxa"/>
            <w:tcBorders>
              <w:top w:val="nil" w:sz="6" w:space="0" w:color="auto"/>
              <w:left w:val="single" w:sz="6" w:space="0" w:color="DCDDDE"/>
              <w:bottom w:val="nil" w:sz="6" w:space="0" w:color="auto"/>
              <w:right w:val="single" w:sz="6" w:space="0" w:color="DCDDDE"/>
            </w:tcBorders>
          </w:tcPr>
          <w:p>
            <w:pPr/>
          </w:p>
        </w:tc>
        <w:tc>
          <w:tcPr>
            <w:tcW w:w="1178" w:type="dxa"/>
            <w:tcBorders>
              <w:top w:val="nil" w:sz="6" w:space="0" w:color="auto"/>
              <w:left w:val="single" w:sz="6" w:space="0" w:color="DCDDDE"/>
              <w:bottom w:val="nil" w:sz="6" w:space="0" w:color="auto"/>
              <w:right w:val="single" w:sz="6" w:space="0" w:color="DCDDDE"/>
            </w:tcBorders>
          </w:tcPr>
          <w:p>
            <w:pPr/>
          </w:p>
        </w:tc>
        <w:tc>
          <w:tcPr>
            <w:tcW w:w="1178" w:type="dxa"/>
            <w:tcBorders>
              <w:top w:val="nil" w:sz="6" w:space="0" w:color="auto"/>
              <w:left w:val="single" w:sz="6" w:space="0" w:color="DCDDDE"/>
              <w:bottom w:val="nil" w:sz="6" w:space="0" w:color="auto"/>
              <w:right w:val="single" w:sz="6" w:space="0" w:color="DCDDDE"/>
            </w:tcBorders>
          </w:tcPr>
          <w:p>
            <w:pPr/>
          </w:p>
        </w:tc>
        <w:tc>
          <w:tcPr>
            <w:tcW w:w="1140" w:type="dxa"/>
            <w:gridSpan w:val="9"/>
            <w:tcBorders>
              <w:top w:val="nil" w:sz="6" w:space="0" w:color="auto"/>
              <w:left w:val="single" w:sz="6" w:space="0" w:color="DCDDDE"/>
              <w:bottom w:val="nil" w:sz="6" w:space="0" w:color="auto"/>
              <w:right w:val="single" w:sz="6" w:space="0" w:color="DCDDDE"/>
            </w:tcBorders>
          </w:tcPr>
          <w:p>
            <w:pPr/>
          </w:p>
        </w:tc>
      </w:tr>
      <w:tr>
        <w:trPr>
          <w:trHeight w:val="310" w:hRule="exact"/>
        </w:trPr>
        <w:tc>
          <w:tcPr>
            <w:tcW w:w="5062" w:type="dxa"/>
            <w:gridSpan w:val="7"/>
            <w:tcBorders>
              <w:top w:val="nil" w:sz="6" w:space="0" w:color="auto"/>
              <w:left w:val="single" w:sz="6" w:space="0" w:color="DCDDDE"/>
              <w:bottom w:val="nil" w:sz="6" w:space="0" w:color="auto"/>
              <w:right w:val="nil" w:sz="6" w:space="0" w:color="auto"/>
            </w:tcBorders>
            <w:shd w:val="clear" w:color="auto" w:fill="5C4777"/>
          </w:tcPr>
          <w:p>
            <w:pPr>
              <w:pStyle w:val="TableParagraph"/>
              <w:spacing w:line="240" w:lineRule="auto" w:before="42"/>
              <w:ind w:left="621" w:right="0"/>
              <w:jc w:val="center"/>
              <w:rPr>
                <w:rFonts w:ascii="Segoe UI" w:hAnsi="Segoe UI" w:cs="Segoe UI" w:eastAsia="Segoe UI"/>
                <w:sz w:val="16"/>
                <w:szCs w:val="16"/>
              </w:rPr>
            </w:pPr>
            <w:r>
              <w:rPr>
                <w:rFonts w:ascii="Segoe UI"/>
                <w:color w:val="FFFFFF"/>
                <w:sz w:val="16"/>
              </w:rPr>
              <w:t>86%</w:t>
            </w:r>
            <w:r>
              <w:rPr>
                <w:rFonts w:ascii="Segoe UI"/>
                <w:sz w:val="16"/>
              </w:rPr>
            </w:r>
          </w:p>
        </w:tc>
        <w:tc>
          <w:tcPr>
            <w:tcW w:w="149" w:type="dxa"/>
            <w:tcBorders>
              <w:top w:val="nil" w:sz="6" w:space="0" w:color="auto"/>
              <w:left w:val="nil" w:sz="6" w:space="0" w:color="auto"/>
              <w:bottom w:val="nil" w:sz="6" w:space="0" w:color="auto"/>
              <w:right w:val="nil" w:sz="6" w:space="0" w:color="auto"/>
            </w:tcBorders>
            <w:shd w:val="clear" w:color="auto" w:fill="9480AE"/>
          </w:tcPr>
          <w:p>
            <w:pPr/>
          </w:p>
        </w:tc>
        <w:tc>
          <w:tcPr>
            <w:tcW w:w="502" w:type="dxa"/>
            <w:gridSpan w:val="4"/>
            <w:tcBorders>
              <w:top w:val="nil" w:sz="6" w:space="0" w:color="auto"/>
              <w:left w:val="nil" w:sz="6" w:space="0" w:color="auto"/>
              <w:bottom w:val="nil" w:sz="6" w:space="0" w:color="auto"/>
              <w:right w:val="nil" w:sz="6" w:space="0" w:color="auto"/>
            </w:tcBorders>
            <w:shd w:val="clear" w:color="auto" w:fill="B4A8C4"/>
          </w:tcPr>
          <w:p>
            <w:pPr/>
          </w:p>
        </w:tc>
        <w:tc>
          <w:tcPr>
            <w:tcW w:w="144" w:type="dxa"/>
            <w:tcBorders>
              <w:top w:val="nil" w:sz="6" w:space="0" w:color="auto"/>
              <w:left w:val="nil" w:sz="6" w:space="0" w:color="auto"/>
              <w:bottom w:val="nil" w:sz="6" w:space="0" w:color="auto"/>
              <w:right w:val="single" w:sz="6" w:space="0" w:color="DCDDDE"/>
            </w:tcBorders>
            <w:shd w:val="clear" w:color="auto" w:fill="CDC5D6"/>
          </w:tcPr>
          <w:p>
            <w:pPr/>
          </w:p>
        </w:tc>
      </w:tr>
      <w:tr>
        <w:trPr>
          <w:trHeight w:val="466" w:hRule="exact"/>
        </w:trPr>
        <w:tc>
          <w:tcPr>
            <w:tcW w:w="1179" w:type="dxa"/>
            <w:tcBorders>
              <w:top w:val="nil" w:sz="6" w:space="0" w:color="auto"/>
              <w:left w:val="single" w:sz="6" w:space="0" w:color="DCDDDE"/>
              <w:bottom w:val="nil" w:sz="6" w:space="0" w:color="auto"/>
              <w:right w:val="single" w:sz="6" w:space="0" w:color="DCDDDE"/>
            </w:tcBorders>
          </w:tcPr>
          <w:p>
            <w:pPr/>
          </w:p>
        </w:tc>
        <w:tc>
          <w:tcPr>
            <w:tcW w:w="1181" w:type="dxa"/>
            <w:tcBorders>
              <w:top w:val="nil" w:sz="6" w:space="0" w:color="auto"/>
              <w:left w:val="single" w:sz="6" w:space="0" w:color="DCDDDE"/>
              <w:bottom w:val="nil" w:sz="6" w:space="0" w:color="auto"/>
              <w:right w:val="single" w:sz="6" w:space="0" w:color="DCDDDE"/>
            </w:tcBorders>
          </w:tcPr>
          <w:p>
            <w:pPr/>
          </w:p>
        </w:tc>
        <w:tc>
          <w:tcPr>
            <w:tcW w:w="1178" w:type="dxa"/>
            <w:tcBorders>
              <w:top w:val="nil" w:sz="6" w:space="0" w:color="auto"/>
              <w:left w:val="single" w:sz="6" w:space="0" w:color="DCDDDE"/>
              <w:bottom w:val="nil" w:sz="6" w:space="0" w:color="auto"/>
              <w:right w:val="single" w:sz="6" w:space="0" w:color="DCDDDE"/>
            </w:tcBorders>
          </w:tcPr>
          <w:p>
            <w:pPr/>
          </w:p>
        </w:tc>
        <w:tc>
          <w:tcPr>
            <w:tcW w:w="1178" w:type="dxa"/>
            <w:tcBorders>
              <w:top w:val="nil" w:sz="6" w:space="0" w:color="auto"/>
              <w:left w:val="single" w:sz="6" w:space="0" w:color="DCDDDE"/>
              <w:bottom w:val="nil" w:sz="6" w:space="0" w:color="auto"/>
              <w:right w:val="single" w:sz="6" w:space="0" w:color="DCDDDE"/>
            </w:tcBorders>
          </w:tcPr>
          <w:p>
            <w:pPr/>
          </w:p>
        </w:tc>
        <w:tc>
          <w:tcPr>
            <w:tcW w:w="1140" w:type="dxa"/>
            <w:gridSpan w:val="9"/>
            <w:tcBorders>
              <w:top w:val="nil" w:sz="6" w:space="0" w:color="auto"/>
              <w:left w:val="single" w:sz="6" w:space="0" w:color="DCDDDE"/>
              <w:bottom w:val="nil" w:sz="6" w:space="0" w:color="auto"/>
              <w:right w:val="single" w:sz="6" w:space="0" w:color="DCDDDE"/>
            </w:tcBorders>
          </w:tcPr>
          <w:p>
            <w:pPr/>
          </w:p>
        </w:tc>
      </w:tr>
      <w:tr>
        <w:trPr>
          <w:trHeight w:val="310" w:hRule="exact"/>
        </w:trPr>
        <w:tc>
          <w:tcPr>
            <w:tcW w:w="4870" w:type="dxa"/>
            <w:gridSpan w:val="5"/>
            <w:tcBorders>
              <w:top w:val="nil" w:sz="6" w:space="0" w:color="auto"/>
              <w:left w:val="single" w:sz="6" w:space="0" w:color="DCDDDE"/>
              <w:bottom w:val="nil" w:sz="6" w:space="0" w:color="auto"/>
              <w:right w:val="nil" w:sz="6" w:space="0" w:color="auto"/>
            </w:tcBorders>
            <w:shd w:val="clear" w:color="auto" w:fill="5C4777"/>
          </w:tcPr>
          <w:p>
            <w:pPr>
              <w:pStyle w:val="TableParagraph"/>
              <w:spacing w:line="240" w:lineRule="auto" w:before="43"/>
              <w:ind w:left="783" w:right="0"/>
              <w:jc w:val="center"/>
              <w:rPr>
                <w:rFonts w:ascii="Segoe UI" w:hAnsi="Segoe UI" w:cs="Segoe UI" w:eastAsia="Segoe UI"/>
                <w:sz w:val="16"/>
                <w:szCs w:val="16"/>
              </w:rPr>
            </w:pPr>
            <w:r>
              <w:rPr>
                <w:rFonts w:ascii="Segoe UI"/>
                <w:color w:val="FFFFFF"/>
                <w:sz w:val="16"/>
              </w:rPr>
              <w:t>83%</w:t>
            </w:r>
            <w:r>
              <w:rPr>
                <w:rFonts w:ascii="Segoe UI"/>
                <w:sz w:val="16"/>
              </w:rPr>
            </w:r>
          </w:p>
        </w:tc>
        <w:tc>
          <w:tcPr>
            <w:tcW w:w="386" w:type="dxa"/>
            <w:gridSpan w:val="4"/>
            <w:tcBorders>
              <w:top w:val="nil" w:sz="6" w:space="0" w:color="auto"/>
              <w:left w:val="nil" w:sz="6" w:space="0" w:color="auto"/>
              <w:bottom w:val="nil" w:sz="6" w:space="0" w:color="auto"/>
              <w:right w:val="nil" w:sz="6" w:space="0" w:color="auto"/>
            </w:tcBorders>
            <w:shd w:val="clear" w:color="auto" w:fill="9480AE"/>
          </w:tcPr>
          <w:p>
            <w:pPr/>
          </w:p>
        </w:tc>
        <w:tc>
          <w:tcPr>
            <w:tcW w:w="406" w:type="dxa"/>
            <w:gridSpan w:val="2"/>
            <w:tcBorders>
              <w:top w:val="nil" w:sz="6" w:space="0" w:color="auto"/>
              <w:left w:val="nil" w:sz="6" w:space="0" w:color="auto"/>
              <w:bottom w:val="nil" w:sz="6" w:space="0" w:color="auto"/>
              <w:right w:val="nil" w:sz="6" w:space="0" w:color="auto"/>
            </w:tcBorders>
            <w:shd w:val="clear" w:color="auto" w:fill="B4A8C4"/>
          </w:tcPr>
          <w:p>
            <w:pPr/>
          </w:p>
        </w:tc>
        <w:tc>
          <w:tcPr>
            <w:tcW w:w="194" w:type="dxa"/>
            <w:gridSpan w:val="2"/>
            <w:tcBorders>
              <w:top w:val="nil" w:sz="6" w:space="0" w:color="auto"/>
              <w:left w:val="nil" w:sz="6" w:space="0" w:color="auto"/>
              <w:bottom w:val="nil" w:sz="6" w:space="0" w:color="auto"/>
              <w:right w:val="single" w:sz="6" w:space="0" w:color="DCDDDE"/>
            </w:tcBorders>
            <w:shd w:val="clear" w:color="auto" w:fill="CDC5D6"/>
          </w:tcPr>
          <w:p>
            <w:pPr/>
          </w:p>
        </w:tc>
      </w:tr>
      <w:tr>
        <w:trPr>
          <w:trHeight w:val="466" w:hRule="exact"/>
        </w:trPr>
        <w:tc>
          <w:tcPr>
            <w:tcW w:w="1179" w:type="dxa"/>
            <w:tcBorders>
              <w:top w:val="nil" w:sz="6" w:space="0" w:color="auto"/>
              <w:left w:val="single" w:sz="6" w:space="0" w:color="DCDDDE"/>
              <w:bottom w:val="nil" w:sz="6" w:space="0" w:color="auto"/>
              <w:right w:val="single" w:sz="6" w:space="0" w:color="DCDDDE"/>
            </w:tcBorders>
          </w:tcPr>
          <w:p>
            <w:pPr/>
          </w:p>
        </w:tc>
        <w:tc>
          <w:tcPr>
            <w:tcW w:w="1181" w:type="dxa"/>
            <w:tcBorders>
              <w:top w:val="nil" w:sz="6" w:space="0" w:color="auto"/>
              <w:left w:val="single" w:sz="6" w:space="0" w:color="DCDDDE"/>
              <w:bottom w:val="nil" w:sz="6" w:space="0" w:color="auto"/>
              <w:right w:val="single" w:sz="6" w:space="0" w:color="DCDDDE"/>
            </w:tcBorders>
          </w:tcPr>
          <w:p>
            <w:pPr/>
          </w:p>
        </w:tc>
        <w:tc>
          <w:tcPr>
            <w:tcW w:w="1178" w:type="dxa"/>
            <w:tcBorders>
              <w:top w:val="nil" w:sz="6" w:space="0" w:color="auto"/>
              <w:left w:val="single" w:sz="6" w:space="0" w:color="DCDDDE"/>
              <w:bottom w:val="nil" w:sz="6" w:space="0" w:color="auto"/>
              <w:right w:val="single" w:sz="6" w:space="0" w:color="DCDDDE"/>
            </w:tcBorders>
          </w:tcPr>
          <w:p>
            <w:pPr/>
          </w:p>
        </w:tc>
        <w:tc>
          <w:tcPr>
            <w:tcW w:w="1178" w:type="dxa"/>
            <w:tcBorders>
              <w:top w:val="nil" w:sz="6" w:space="0" w:color="auto"/>
              <w:left w:val="single" w:sz="6" w:space="0" w:color="DCDDDE"/>
              <w:bottom w:val="nil" w:sz="6" w:space="0" w:color="auto"/>
              <w:right w:val="single" w:sz="6" w:space="0" w:color="DCDDDE"/>
            </w:tcBorders>
          </w:tcPr>
          <w:p>
            <w:pPr/>
          </w:p>
        </w:tc>
        <w:tc>
          <w:tcPr>
            <w:tcW w:w="1140" w:type="dxa"/>
            <w:gridSpan w:val="9"/>
            <w:tcBorders>
              <w:top w:val="nil" w:sz="6" w:space="0" w:color="auto"/>
              <w:left w:val="single" w:sz="6" w:space="0" w:color="DCDDDE"/>
              <w:bottom w:val="nil" w:sz="6" w:space="0" w:color="auto"/>
              <w:right w:val="single" w:sz="6" w:space="0" w:color="DCDDDE"/>
            </w:tcBorders>
          </w:tcPr>
          <w:p>
            <w:pPr/>
          </w:p>
        </w:tc>
      </w:tr>
      <w:tr>
        <w:trPr>
          <w:trHeight w:val="310" w:hRule="exact"/>
        </w:trPr>
        <w:tc>
          <w:tcPr>
            <w:tcW w:w="5062" w:type="dxa"/>
            <w:gridSpan w:val="7"/>
            <w:tcBorders>
              <w:top w:val="nil" w:sz="6" w:space="0" w:color="auto"/>
              <w:left w:val="single" w:sz="6" w:space="0" w:color="DCDDDE"/>
              <w:bottom w:val="nil" w:sz="6" w:space="0" w:color="auto"/>
              <w:right w:val="nil" w:sz="6" w:space="0" w:color="auto"/>
            </w:tcBorders>
            <w:shd w:val="clear" w:color="auto" w:fill="5C4777"/>
          </w:tcPr>
          <w:p>
            <w:pPr>
              <w:pStyle w:val="TableParagraph"/>
              <w:spacing w:line="240" w:lineRule="auto" w:before="43"/>
              <w:ind w:left="578" w:right="0"/>
              <w:jc w:val="center"/>
              <w:rPr>
                <w:rFonts w:ascii="Segoe UI" w:hAnsi="Segoe UI" w:cs="Segoe UI" w:eastAsia="Segoe UI"/>
                <w:sz w:val="16"/>
                <w:szCs w:val="16"/>
              </w:rPr>
            </w:pPr>
            <w:r>
              <w:rPr>
                <w:rFonts w:ascii="Segoe UI"/>
                <w:color w:val="FFFFFF"/>
                <w:sz w:val="16"/>
              </w:rPr>
              <w:t>86%</w:t>
            </w:r>
            <w:r>
              <w:rPr>
                <w:rFonts w:ascii="Segoe UI"/>
                <w:sz w:val="16"/>
              </w:rPr>
            </w:r>
          </w:p>
        </w:tc>
        <w:tc>
          <w:tcPr>
            <w:tcW w:w="269" w:type="dxa"/>
            <w:gridSpan w:val="3"/>
            <w:tcBorders>
              <w:top w:val="nil" w:sz="6" w:space="0" w:color="auto"/>
              <w:left w:val="nil" w:sz="6" w:space="0" w:color="auto"/>
              <w:bottom w:val="nil" w:sz="6" w:space="0" w:color="auto"/>
              <w:right w:val="nil" w:sz="6" w:space="0" w:color="auto"/>
            </w:tcBorders>
            <w:shd w:val="clear" w:color="auto" w:fill="9480AE"/>
          </w:tcPr>
          <w:p>
            <w:pPr/>
          </w:p>
        </w:tc>
        <w:tc>
          <w:tcPr>
            <w:tcW w:w="526" w:type="dxa"/>
            <w:gridSpan w:val="3"/>
            <w:tcBorders>
              <w:top w:val="nil" w:sz="6" w:space="0" w:color="auto"/>
              <w:left w:val="nil" w:sz="6" w:space="0" w:color="auto"/>
              <w:bottom w:val="nil" w:sz="6" w:space="0" w:color="auto"/>
              <w:right w:val="single" w:sz="50" w:space="0" w:color="CDC5D6"/>
            </w:tcBorders>
            <w:shd w:val="clear" w:color="auto" w:fill="B4A8C4"/>
          </w:tcPr>
          <w:p>
            <w:pPr/>
          </w:p>
        </w:tc>
      </w:tr>
      <w:tr>
        <w:trPr>
          <w:trHeight w:val="233" w:hRule="exact"/>
        </w:trPr>
        <w:tc>
          <w:tcPr>
            <w:tcW w:w="1179" w:type="dxa"/>
            <w:tcBorders>
              <w:top w:val="nil" w:sz="6" w:space="0" w:color="auto"/>
              <w:left w:val="single" w:sz="6" w:space="0" w:color="DCDDDE"/>
              <w:bottom w:val="nil" w:sz="6" w:space="0" w:color="auto"/>
              <w:right w:val="single" w:sz="6" w:space="0" w:color="DCDDDE"/>
            </w:tcBorders>
          </w:tcPr>
          <w:p>
            <w:pPr/>
          </w:p>
        </w:tc>
        <w:tc>
          <w:tcPr>
            <w:tcW w:w="1181" w:type="dxa"/>
            <w:tcBorders>
              <w:top w:val="nil" w:sz="6" w:space="0" w:color="auto"/>
              <w:left w:val="single" w:sz="6" w:space="0" w:color="DCDDDE"/>
              <w:bottom w:val="nil" w:sz="6" w:space="0" w:color="auto"/>
              <w:right w:val="single" w:sz="6" w:space="0" w:color="DCDDDE"/>
            </w:tcBorders>
          </w:tcPr>
          <w:p>
            <w:pPr/>
          </w:p>
        </w:tc>
        <w:tc>
          <w:tcPr>
            <w:tcW w:w="1178" w:type="dxa"/>
            <w:tcBorders>
              <w:top w:val="nil" w:sz="6" w:space="0" w:color="auto"/>
              <w:left w:val="single" w:sz="6" w:space="0" w:color="DCDDDE"/>
              <w:bottom w:val="nil" w:sz="6" w:space="0" w:color="auto"/>
              <w:right w:val="single" w:sz="6" w:space="0" w:color="DCDDDE"/>
            </w:tcBorders>
          </w:tcPr>
          <w:p>
            <w:pPr/>
          </w:p>
        </w:tc>
        <w:tc>
          <w:tcPr>
            <w:tcW w:w="1178" w:type="dxa"/>
            <w:tcBorders>
              <w:top w:val="nil" w:sz="6" w:space="0" w:color="auto"/>
              <w:left w:val="single" w:sz="6" w:space="0" w:color="DCDDDE"/>
              <w:bottom w:val="nil" w:sz="6" w:space="0" w:color="auto"/>
              <w:right w:val="single" w:sz="6" w:space="0" w:color="DCDDDE"/>
            </w:tcBorders>
          </w:tcPr>
          <w:p>
            <w:pPr/>
          </w:p>
        </w:tc>
        <w:tc>
          <w:tcPr>
            <w:tcW w:w="1140" w:type="dxa"/>
            <w:gridSpan w:val="9"/>
            <w:tcBorders>
              <w:top w:val="nil" w:sz="6" w:space="0" w:color="auto"/>
              <w:left w:val="single" w:sz="6" w:space="0" w:color="DCDDDE"/>
              <w:bottom w:val="nil" w:sz="6" w:space="0" w:color="auto"/>
              <w:right w:val="single" w:sz="6" w:space="0" w:color="DCDDDE"/>
            </w:tcBorders>
          </w:tcPr>
          <w:p>
            <w:pPr/>
          </w:p>
        </w:tc>
      </w:tr>
    </w:tbl>
    <w:p>
      <w:pPr>
        <w:spacing w:after="0"/>
        <w:sectPr>
          <w:type w:val="continuous"/>
          <w:pgSz w:w="11910" w:h="16840"/>
          <w:pgMar w:top="1580" w:bottom="280" w:left="1300" w:right="1340"/>
        </w:sectPr>
      </w:pPr>
    </w:p>
    <w:p>
      <w:pPr>
        <w:spacing w:line="240" w:lineRule="auto" w:before="7"/>
        <w:rPr>
          <w:rFonts w:ascii="Segoe UI" w:hAnsi="Segoe UI" w:cs="Segoe UI" w:eastAsia="Segoe UI"/>
          <w:sz w:val="13"/>
          <w:szCs w:val="13"/>
        </w:rPr>
      </w:pPr>
    </w:p>
    <w:p>
      <w:pPr>
        <w:spacing w:line="200" w:lineRule="exact" w:before="78"/>
        <w:ind w:left="103" w:right="167" w:firstLine="0"/>
        <w:jc w:val="left"/>
        <w:rPr>
          <w:rFonts w:ascii="Segoe UI Semibold" w:hAnsi="Segoe UI Semibold" w:cs="Segoe UI Semibold" w:eastAsia="Segoe UI Semibold"/>
          <w:sz w:val="16"/>
          <w:szCs w:val="16"/>
        </w:rPr>
      </w:pPr>
      <w:r>
        <w:rPr>
          <w:rFonts w:ascii="Segoe UI Semibold" w:hAnsi="Segoe UI Semibold" w:cs="Segoe UI Semibold" w:eastAsia="Segoe UI Semibold"/>
          <w:b/>
          <w:bCs/>
          <w:color w:val="666155"/>
          <w:spacing w:val="1"/>
          <w:sz w:val="16"/>
          <w:szCs w:val="16"/>
        </w:rPr>
        <w:t>TABLE</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z w:val="16"/>
          <w:szCs w:val="16"/>
        </w:rPr>
        <w:t>1:</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2"/>
          <w:sz w:val="16"/>
          <w:szCs w:val="16"/>
        </w:rPr>
        <w:t>AVERAGE</w:t>
      </w:r>
      <w:r>
        <w:rPr>
          <w:rFonts w:ascii="Segoe UI Semibold" w:hAnsi="Segoe UI Semibold" w:cs="Segoe UI Semibold" w:eastAsia="Segoe UI Semibold"/>
          <w:b/>
          <w:bCs/>
          <w:color w:val="666155"/>
          <w:spacing w:val="3"/>
          <w:sz w:val="16"/>
          <w:szCs w:val="16"/>
        </w:rPr>
        <w:t> ANNUAL</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REVENUE,</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COST AND</w:t>
      </w:r>
      <w:r>
        <w:rPr>
          <w:rFonts w:ascii="Segoe UI Semibold" w:hAnsi="Segoe UI Semibold" w:cs="Segoe UI Semibold" w:eastAsia="Segoe UI Semibold"/>
          <w:b/>
          <w:bCs/>
          <w:color w:val="666155"/>
          <w:spacing w:val="2"/>
          <w:sz w:val="16"/>
          <w:szCs w:val="16"/>
        </w:rPr>
        <w:t> LOSS </w:t>
      </w:r>
      <w:r>
        <w:rPr>
          <w:rFonts w:ascii="Segoe UI Semibold" w:hAnsi="Segoe UI Semibold" w:cs="Segoe UI Semibold" w:eastAsia="Segoe UI Semibold"/>
          <w:b/>
          <w:bCs/>
          <w:color w:val="666155"/>
          <w:spacing w:val="3"/>
          <w:sz w:val="16"/>
          <w:szCs w:val="16"/>
        </w:rPr>
        <w:t>PER </w:t>
      </w:r>
      <w:r>
        <w:rPr>
          <w:rFonts w:ascii="Segoe UI Semibold" w:hAnsi="Segoe UI Semibold" w:cs="Segoe UI Semibold" w:eastAsia="Segoe UI Semibold"/>
          <w:b/>
          <w:bCs/>
          <w:color w:val="666155"/>
          <w:spacing w:val="4"/>
          <w:sz w:val="16"/>
          <w:szCs w:val="16"/>
        </w:rPr>
        <w:t>BOARDER</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z w:val="16"/>
          <w:szCs w:val="16"/>
        </w:rPr>
        <w:t>2015</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position w:val="1"/>
          <w:sz w:val="16"/>
          <w:szCs w:val="16"/>
        </w:rPr>
        <w:t>—</w:t>
      </w:r>
      <w:r>
        <w:rPr>
          <w:rFonts w:ascii="Segoe UI Semibold" w:hAnsi="Segoe UI Semibold" w:cs="Segoe UI Semibold" w:eastAsia="Segoe UI Semibold"/>
          <w:b/>
          <w:bCs/>
          <w:color w:val="666155"/>
          <w:spacing w:val="-3"/>
          <w:position w:val="1"/>
          <w:sz w:val="16"/>
          <w:szCs w:val="16"/>
        </w:rPr>
        <w:t> </w:t>
      </w:r>
      <w:r>
        <w:rPr>
          <w:rFonts w:ascii="Segoe UI Semibold" w:hAnsi="Segoe UI Semibold" w:cs="Segoe UI Semibold" w:eastAsia="Segoe UI Semibold"/>
          <w:b/>
          <w:bCs/>
          <w:color w:val="666155"/>
          <w:sz w:val="16"/>
          <w:szCs w:val="16"/>
        </w:rPr>
        <w:t>2017 </w:t>
      </w:r>
      <w:r>
        <w:rPr>
          <w:rFonts w:ascii="Segoe UI Semibold" w:hAnsi="Segoe UI Semibold" w:cs="Segoe UI Semibold" w:eastAsia="Segoe UI Semibold"/>
          <w:b/>
          <w:bCs/>
          <w:color w:val="666155"/>
          <w:spacing w:val="-3"/>
          <w:sz w:val="16"/>
          <w:szCs w:val="16"/>
        </w:rPr>
        <w:t>AT</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ABORIGINAL</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3"/>
          <w:sz w:val="16"/>
          <w:szCs w:val="16"/>
        </w:rPr>
        <w:t>AND </w:t>
      </w:r>
      <w:r>
        <w:rPr>
          <w:rFonts w:ascii="Segoe UI Semibold" w:hAnsi="Segoe UI Semibold" w:cs="Segoe UI Semibold" w:eastAsia="Segoe UI Semibold"/>
          <w:b/>
          <w:bCs/>
          <w:color w:val="666155"/>
          <w:spacing w:val="4"/>
          <w:sz w:val="16"/>
          <w:szCs w:val="16"/>
        </w:rPr>
        <w:t>TORRES</w:t>
      </w:r>
      <w:r>
        <w:rPr>
          <w:rFonts w:ascii="Segoe UI Semibold" w:hAnsi="Segoe UI Semibold" w:cs="Segoe UI Semibold" w:eastAsia="Segoe UI Semibold"/>
          <w:b/>
          <w:bCs/>
          <w:color w:val="666155"/>
          <w:spacing w:val="53"/>
          <w:w w:val="99"/>
          <w:sz w:val="16"/>
          <w:szCs w:val="16"/>
        </w:rPr>
        <w:t> </w:t>
      </w:r>
      <w:r>
        <w:rPr>
          <w:rFonts w:ascii="Segoe UI Semibold" w:hAnsi="Segoe UI Semibold" w:cs="Segoe UI Semibold" w:eastAsia="Segoe UI Semibold"/>
          <w:b/>
          <w:bCs/>
          <w:color w:val="666155"/>
          <w:spacing w:val="4"/>
          <w:sz w:val="16"/>
          <w:szCs w:val="16"/>
        </w:rPr>
        <w:t>STRAIT</w:t>
      </w:r>
      <w:r>
        <w:rPr>
          <w:rFonts w:ascii="Segoe UI Semibold" w:hAnsi="Segoe UI Semibold" w:cs="Segoe UI Semibold" w:eastAsia="Segoe UI Semibold"/>
          <w:b/>
          <w:bCs/>
          <w:color w:val="666155"/>
          <w:spacing w:val="-4"/>
          <w:sz w:val="16"/>
          <w:szCs w:val="16"/>
        </w:rPr>
        <w:t> </w:t>
      </w:r>
      <w:r>
        <w:rPr>
          <w:rFonts w:ascii="Segoe UI Semibold" w:hAnsi="Segoe UI Semibold" w:cs="Segoe UI Semibold" w:eastAsia="Segoe UI Semibold"/>
          <w:b/>
          <w:bCs/>
          <w:color w:val="666155"/>
          <w:spacing w:val="4"/>
          <w:sz w:val="16"/>
          <w:szCs w:val="16"/>
        </w:rPr>
        <w:t>ISLANDER</w:t>
      </w:r>
      <w:r>
        <w:rPr>
          <w:rFonts w:ascii="Segoe UI Semibold" w:hAnsi="Segoe UI Semibold" w:cs="Segoe UI Semibold" w:eastAsia="Segoe UI Semibold"/>
          <w:b/>
          <w:bCs/>
          <w:color w:val="666155"/>
          <w:spacing w:val="-4"/>
          <w:sz w:val="16"/>
          <w:szCs w:val="16"/>
        </w:rPr>
        <w:t> </w:t>
      </w:r>
      <w:r>
        <w:rPr>
          <w:rFonts w:ascii="Segoe UI Semibold" w:hAnsi="Segoe UI Semibold" w:cs="Segoe UI Semibold" w:eastAsia="Segoe UI Semibold"/>
          <w:b/>
          <w:bCs/>
          <w:color w:val="666155"/>
          <w:spacing w:val="4"/>
          <w:sz w:val="16"/>
          <w:szCs w:val="16"/>
        </w:rPr>
        <w:t>BOARDING</w:t>
      </w:r>
      <w:r>
        <w:rPr>
          <w:rFonts w:ascii="Segoe UI Semibold" w:hAnsi="Segoe UI Semibold" w:cs="Segoe UI Semibold" w:eastAsia="Segoe UI Semibold"/>
          <w:b/>
          <w:bCs/>
          <w:color w:val="666155"/>
          <w:spacing w:val="-4"/>
          <w:sz w:val="16"/>
          <w:szCs w:val="16"/>
        </w:rPr>
        <w:t> </w:t>
      </w:r>
      <w:r>
        <w:rPr>
          <w:rFonts w:ascii="Segoe UI Semibold" w:hAnsi="Segoe UI Semibold" w:cs="Segoe UI Semibold" w:eastAsia="Segoe UI Semibold"/>
          <w:b/>
          <w:bCs/>
          <w:color w:val="666155"/>
          <w:spacing w:val="4"/>
          <w:sz w:val="16"/>
          <w:szCs w:val="16"/>
        </w:rPr>
        <w:t>PROVIDERS</w:t>
      </w:r>
      <w:r>
        <w:rPr>
          <w:rFonts w:ascii="Segoe UI Semibold" w:hAnsi="Segoe UI Semibold" w:cs="Segoe UI Semibold" w:eastAsia="Segoe UI Semibold"/>
          <w:sz w:val="16"/>
          <w:szCs w:val="16"/>
        </w:rPr>
      </w:r>
    </w:p>
    <w:p>
      <w:pPr>
        <w:spacing w:line="240" w:lineRule="auto" w:before="12"/>
        <w:rPr>
          <w:rFonts w:ascii="Segoe UI Semibold" w:hAnsi="Segoe UI Semibold" w:cs="Segoe UI Semibold" w:eastAsia="Segoe UI Semibold"/>
          <w:b/>
          <w:bCs/>
          <w:sz w:val="11"/>
          <w:szCs w:val="11"/>
        </w:rPr>
      </w:pPr>
    </w:p>
    <w:tbl>
      <w:tblPr>
        <w:tblW w:w="0" w:type="auto"/>
        <w:jc w:val="left"/>
        <w:tblInd w:w="100" w:type="dxa"/>
        <w:tblLayout w:type="fixed"/>
        <w:tblCellMar>
          <w:top w:w="0" w:type="dxa"/>
          <w:left w:w="0" w:type="dxa"/>
          <w:bottom w:w="0" w:type="dxa"/>
          <w:right w:w="0" w:type="dxa"/>
        </w:tblCellMar>
        <w:tblLook w:val="01E0"/>
      </w:tblPr>
      <w:tblGrid>
        <w:gridCol w:w="2972"/>
        <w:gridCol w:w="1559"/>
        <w:gridCol w:w="1418"/>
        <w:gridCol w:w="1276"/>
        <w:gridCol w:w="1552"/>
      </w:tblGrid>
      <w:tr>
        <w:trPr>
          <w:trHeight w:val="310" w:hRule="exact"/>
        </w:trPr>
        <w:tc>
          <w:tcPr>
            <w:tcW w:w="2972"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left="152" w:right="0"/>
              <w:jc w:val="left"/>
              <w:rPr>
                <w:rFonts w:ascii="Segoe UI" w:hAnsi="Segoe UI" w:cs="Segoe UI" w:eastAsia="Segoe UI"/>
                <w:sz w:val="16"/>
                <w:szCs w:val="16"/>
              </w:rPr>
            </w:pPr>
            <w:r>
              <w:rPr>
                <w:rFonts w:ascii="Segoe UI"/>
                <w:color w:val="231F20"/>
                <w:sz w:val="16"/>
              </w:rPr>
              <w:t>$</w:t>
            </w:r>
            <w:r>
              <w:rPr>
                <w:rFonts w:ascii="Segoe UI"/>
                <w:sz w:val="16"/>
              </w:rPr>
            </w:r>
          </w:p>
        </w:tc>
        <w:tc>
          <w:tcPr>
            <w:tcW w:w="1559"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right="106"/>
              <w:jc w:val="right"/>
              <w:rPr>
                <w:rFonts w:ascii="Segoe UI" w:hAnsi="Segoe UI" w:cs="Segoe UI" w:eastAsia="Segoe UI"/>
                <w:sz w:val="16"/>
                <w:szCs w:val="16"/>
              </w:rPr>
            </w:pPr>
            <w:r>
              <w:rPr>
                <w:rFonts w:ascii="Segoe UI"/>
                <w:color w:val="231F20"/>
                <w:sz w:val="16"/>
              </w:rPr>
              <w:t>2015</w:t>
            </w:r>
            <w:r>
              <w:rPr>
                <w:rFonts w:ascii="Segoe UI"/>
                <w:sz w:val="16"/>
              </w:rPr>
            </w:r>
          </w:p>
        </w:tc>
        <w:tc>
          <w:tcPr>
            <w:tcW w:w="1418"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right="106"/>
              <w:jc w:val="right"/>
              <w:rPr>
                <w:rFonts w:ascii="Segoe UI" w:hAnsi="Segoe UI" w:cs="Segoe UI" w:eastAsia="Segoe UI"/>
                <w:sz w:val="16"/>
                <w:szCs w:val="16"/>
              </w:rPr>
            </w:pPr>
            <w:r>
              <w:rPr>
                <w:rFonts w:ascii="Segoe UI"/>
                <w:color w:val="231F20"/>
                <w:sz w:val="16"/>
              </w:rPr>
              <w:t>2016</w:t>
            </w:r>
            <w:r>
              <w:rPr>
                <w:rFonts w:ascii="Segoe UI"/>
                <w:sz w:val="16"/>
              </w:rPr>
            </w:r>
          </w:p>
        </w:tc>
        <w:tc>
          <w:tcPr>
            <w:tcW w:w="1276"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left="812" w:right="0"/>
              <w:jc w:val="left"/>
              <w:rPr>
                <w:rFonts w:ascii="Segoe UI" w:hAnsi="Segoe UI" w:cs="Segoe UI" w:eastAsia="Segoe UI"/>
                <w:sz w:val="16"/>
                <w:szCs w:val="16"/>
              </w:rPr>
            </w:pPr>
            <w:r>
              <w:rPr>
                <w:rFonts w:ascii="Segoe UI"/>
                <w:color w:val="231F20"/>
                <w:sz w:val="16"/>
              </w:rPr>
              <w:t>2017</w:t>
            </w:r>
            <w:r>
              <w:rPr>
                <w:rFonts w:ascii="Segoe UI"/>
                <w:sz w:val="16"/>
              </w:rPr>
            </w:r>
          </w:p>
        </w:tc>
        <w:tc>
          <w:tcPr>
            <w:tcW w:w="1552"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left="405" w:right="0"/>
              <w:jc w:val="left"/>
              <w:rPr>
                <w:rFonts w:ascii="Segoe UI" w:hAnsi="Segoe UI" w:cs="Segoe UI" w:eastAsia="Segoe UI"/>
                <w:sz w:val="16"/>
                <w:szCs w:val="16"/>
              </w:rPr>
            </w:pPr>
            <w:r>
              <w:rPr>
                <w:rFonts w:ascii="Segoe UI"/>
                <w:color w:val="231F20"/>
                <w:sz w:val="16"/>
              </w:rPr>
              <w:t>3</w:t>
            </w:r>
            <w:r>
              <w:rPr>
                <w:rFonts w:ascii="Segoe UI"/>
                <w:color w:val="231F20"/>
                <w:spacing w:val="-5"/>
                <w:sz w:val="16"/>
              </w:rPr>
              <w:t> </w:t>
            </w:r>
            <w:r>
              <w:rPr>
                <w:rFonts w:ascii="Segoe UI"/>
                <w:color w:val="231F20"/>
                <w:sz w:val="16"/>
              </w:rPr>
              <w:t>year</w:t>
            </w:r>
            <w:r>
              <w:rPr>
                <w:rFonts w:ascii="Segoe UI"/>
                <w:color w:val="231F20"/>
                <w:spacing w:val="-4"/>
                <w:sz w:val="16"/>
              </w:rPr>
              <w:t> </w:t>
            </w:r>
            <w:r>
              <w:rPr>
                <w:rFonts w:ascii="Segoe UI"/>
                <w:color w:val="231F20"/>
                <w:sz w:val="16"/>
              </w:rPr>
              <w:t>average</w:t>
            </w:r>
            <w:r>
              <w:rPr>
                <w:rFonts w:ascii="Segoe UI"/>
                <w:sz w:val="16"/>
              </w:rPr>
            </w:r>
          </w:p>
        </w:tc>
      </w:tr>
      <w:tr>
        <w:trPr>
          <w:trHeight w:val="315" w:hRule="exact"/>
        </w:trPr>
        <w:tc>
          <w:tcPr>
            <w:tcW w:w="2972"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08" w:right="0"/>
              <w:jc w:val="left"/>
              <w:rPr>
                <w:rFonts w:ascii="Segoe UI" w:hAnsi="Segoe UI" w:cs="Segoe UI" w:eastAsia="Segoe UI"/>
                <w:sz w:val="16"/>
                <w:szCs w:val="16"/>
              </w:rPr>
            </w:pPr>
            <w:r>
              <w:rPr>
                <w:rFonts w:ascii="Segoe UI"/>
                <w:color w:val="231F20"/>
                <w:spacing w:val="-1"/>
                <w:sz w:val="16"/>
              </w:rPr>
              <w:t>Average</w:t>
            </w:r>
            <w:r>
              <w:rPr>
                <w:rFonts w:ascii="Segoe UI"/>
                <w:color w:val="231F20"/>
                <w:spacing w:val="-7"/>
                <w:sz w:val="16"/>
              </w:rPr>
              <w:t> </w:t>
            </w:r>
            <w:r>
              <w:rPr>
                <w:rFonts w:ascii="Segoe UI"/>
                <w:color w:val="231F20"/>
                <w:sz w:val="16"/>
              </w:rPr>
              <w:t>revenue</w:t>
            </w:r>
            <w:r>
              <w:rPr>
                <w:rFonts w:ascii="Segoe UI"/>
                <w:color w:val="231F20"/>
                <w:spacing w:val="-7"/>
                <w:sz w:val="16"/>
              </w:rPr>
              <w:t> </w:t>
            </w:r>
            <w:r>
              <w:rPr>
                <w:rFonts w:ascii="Segoe UI"/>
                <w:color w:val="231F20"/>
                <w:sz w:val="16"/>
              </w:rPr>
              <w:t>per</w:t>
            </w:r>
            <w:r>
              <w:rPr>
                <w:rFonts w:ascii="Segoe UI"/>
                <w:color w:val="231F20"/>
                <w:spacing w:val="-6"/>
                <w:sz w:val="16"/>
              </w:rPr>
              <w:t> </w:t>
            </w:r>
            <w:r>
              <w:rPr>
                <w:rFonts w:ascii="Segoe UI"/>
                <w:color w:val="231F20"/>
                <w:sz w:val="16"/>
              </w:rPr>
              <w:t>boarder</w:t>
            </w:r>
            <w:r>
              <w:rPr>
                <w:rFonts w:ascii="Segoe UI"/>
                <w:sz w:val="16"/>
              </w:rPr>
            </w:r>
          </w:p>
        </w:tc>
        <w:tc>
          <w:tcPr>
            <w:tcW w:w="155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974" w:right="0"/>
              <w:jc w:val="left"/>
              <w:rPr>
                <w:rFonts w:ascii="Segoe UI" w:hAnsi="Segoe UI" w:cs="Segoe UI" w:eastAsia="Segoe UI"/>
                <w:sz w:val="16"/>
                <w:szCs w:val="16"/>
              </w:rPr>
            </w:pPr>
            <w:r>
              <w:rPr>
                <w:rFonts w:ascii="Segoe UI"/>
                <w:color w:val="231F20"/>
                <w:sz w:val="16"/>
              </w:rPr>
              <w:t>15,559</w:t>
            </w:r>
            <w:r>
              <w:rPr>
                <w:rFonts w:ascii="Segoe UI"/>
                <w:sz w:val="16"/>
              </w:rPr>
            </w:r>
          </w:p>
        </w:tc>
        <w:tc>
          <w:tcPr>
            <w:tcW w:w="1418"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833" w:right="0"/>
              <w:jc w:val="left"/>
              <w:rPr>
                <w:rFonts w:ascii="Segoe UI" w:hAnsi="Segoe UI" w:cs="Segoe UI" w:eastAsia="Segoe UI"/>
                <w:sz w:val="16"/>
                <w:szCs w:val="16"/>
              </w:rPr>
            </w:pPr>
            <w:r>
              <w:rPr>
                <w:rFonts w:ascii="Segoe UI"/>
                <w:color w:val="231F20"/>
                <w:sz w:val="16"/>
              </w:rPr>
              <w:t>16,776</w:t>
            </w:r>
            <w:r>
              <w:rPr>
                <w:rFonts w:ascii="Segoe UI"/>
                <w:sz w:val="16"/>
              </w:rPr>
            </w:r>
          </w:p>
        </w:tc>
        <w:tc>
          <w:tcPr>
            <w:tcW w:w="127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691" w:right="0"/>
              <w:jc w:val="left"/>
              <w:rPr>
                <w:rFonts w:ascii="Segoe UI" w:hAnsi="Segoe UI" w:cs="Segoe UI" w:eastAsia="Segoe UI"/>
                <w:sz w:val="16"/>
                <w:szCs w:val="16"/>
              </w:rPr>
            </w:pPr>
            <w:r>
              <w:rPr>
                <w:rFonts w:ascii="Segoe UI"/>
                <w:color w:val="231F20"/>
                <w:sz w:val="16"/>
              </w:rPr>
              <w:t>17,703</w:t>
            </w:r>
            <w:r>
              <w:rPr>
                <w:rFonts w:ascii="Segoe UI"/>
                <w:sz w:val="16"/>
              </w:rPr>
            </w:r>
          </w:p>
        </w:tc>
        <w:tc>
          <w:tcPr>
            <w:tcW w:w="1552"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968" w:right="0"/>
              <w:jc w:val="left"/>
              <w:rPr>
                <w:rFonts w:ascii="Segoe UI" w:hAnsi="Segoe UI" w:cs="Segoe UI" w:eastAsia="Segoe UI"/>
                <w:sz w:val="16"/>
                <w:szCs w:val="16"/>
              </w:rPr>
            </w:pPr>
            <w:r>
              <w:rPr>
                <w:rFonts w:ascii="Segoe UI"/>
                <w:color w:val="231F20"/>
                <w:sz w:val="16"/>
              </w:rPr>
              <w:t>16,679</w:t>
            </w:r>
            <w:r>
              <w:rPr>
                <w:rFonts w:ascii="Segoe UI"/>
                <w:sz w:val="16"/>
              </w:rPr>
            </w:r>
          </w:p>
        </w:tc>
      </w:tr>
      <w:tr>
        <w:trPr>
          <w:trHeight w:val="310" w:hRule="exact"/>
        </w:trPr>
        <w:tc>
          <w:tcPr>
            <w:tcW w:w="2972"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08" w:right="0"/>
              <w:jc w:val="left"/>
              <w:rPr>
                <w:rFonts w:ascii="Segoe UI" w:hAnsi="Segoe UI" w:cs="Segoe UI" w:eastAsia="Segoe UI"/>
                <w:sz w:val="16"/>
                <w:szCs w:val="16"/>
              </w:rPr>
            </w:pPr>
            <w:r>
              <w:rPr>
                <w:rFonts w:ascii="Segoe UI"/>
                <w:color w:val="231F20"/>
                <w:spacing w:val="-1"/>
                <w:sz w:val="16"/>
              </w:rPr>
              <w:t>Average</w:t>
            </w:r>
            <w:r>
              <w:rPr>
                <w:rFonts w:ascii="Segoe UI"/>
                <w:color w:val="231F20"/>
                <w:spacing w:val="-5"/>
                <w:sz w:val="16"/>
              </w:rPr>
              <w:t> </w:t>
            </w:r>
            <w:r>
              <w:rPr>
                <w:rFonts w:ascii="Segoe UI"/>
                <w:color w:val="231F20"/>
                <w:sz w:val="16"/>
              </w:rPr>
              <w:t>cost</w:t>
            </w:r>
            <w:r>
              <w:rPr>
                <w:rFonts w:ascii="Segoe UI"/>
                <w:color w:val="231F20"/>
                <w:spacing w:val="-5"/>
                <w:sz w:val="16"/>
              </w:rPr>
              <w:t> </w:t>
            </w:r>
            <w:r>
              <w:rPr>
                <w:rFonts w:ascii="Segoe UI"/>
                <w:color w:val="231F20"/>
                <w:sz w:val="16"/>
              </w:rPr>
              <w:t>per</w:t>
            </w:r>
            <w:r>
              <w:rPr>
                <w:rFonts w:ascii="Segoe UI"/>
                <w:color w:val="231F20"/>
                <w:spacing w:val="-4"/>
                <w:sz w:val="16"/>
              </w:rPr>
              <w:t> </w:t>
            </w:r>
            <w:r>
              <w:rPr>
                <w:rFonts w:ascii="Segoe UI"/>
                <w:color w:val="231F20"/>
                <w:sz w:val="16"/>
              </w:rPr>
              <w:t>boarder</w:t>
            </w:r>
            <w:r>
              <w:rPr>
                <w:rFonts w:ascii="Segoe UI"/>
                <w:sz w:val="16"/>
              </w:rPr>
            </w:r>
          </w:p>
        </w:tc>
        <w:tc>
          <w:tcPr>
            <w:tcW w:w="155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974" w:right="0"/>
              <w:jc w:val="left"/>
              <w:rPr>
                <w:rFonts w:ascii="Segoe UI" w:hAnsi="Segoe UI" w:cs="Segoe UI" w:eastAsia="Segoe UI"/>
                <w:sz w:val="16"/>
                <w:szCs w:val="16"/>
              </w:rPr>
            </w:pPr>
            <w:r>
              <w:rPr>
                <w:rFonts w:ascii="Segoe UI"/>
                <w:color w:val="231F20"/>
                <w:spacing w:val="-1"/>
                <w:sz w:val="16"/>
              </w:rPr>
              <w:t>20,629</w:t>
            </w:r>
            <w:r>
              <w:rPr>
                <w:rFonts w:ascii="Segoe UI"/>
                <w:sz w:val="16"/>
              </w:rPr>
            </w:r>
          </w:p>
        </w:tc>
        <w:tc>
          <w:tcPr>
            <w:tcW w:w="1418"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834" w:right="0"/>
              <w:jc w:val="left"/>
              <w:rPr>
                <w:rFonts w:ascii="Segoe UI" w:hAnsi="Segoe UI" w:cs="Segoe UI" w:eastAsia="Segoe UI"/>
                <w:sz w:val="16"/>
                <w:szCs w:val="16"/>
              </w:rPr>
            </w:pPr>
            <w:r>
              <w:rPr>
                <w:rFonts w:ascii="Segoe UI"/>
                <w:color w:val="231F20"/>
                <w:spacing w:val="-1"/>
                <w:sz w:val="16"/>
              </w:rPr>
              <w:t>23,296</w:t>
            </w:r>
            <w:r>
              <w:rPr>
                <w:rFonts w:ascii="Segoe UI"/>
                <w:sz w:val="16"/>
              </w:rPr>
            </w:r>
          </w:p>
        </w:tc>
        <w:tc>
          <w:tcPr>
            <w:tcW w:w="127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692" w:right="0"/>
              <w:jc w:val="left"/>
              <w:rPr>
                <w:rFonts w:ascii="Segoe UI" w:hAnsi="Segoe UI" w:cs="Segoe UI" w:eastAsia="Segoe UI"/>
                <w:sz w:val="16"/>
                <w:szCs w:val="16"/>
              </w:rPr>
            </w:pPr>
            <w:r>
              <w:rPr>
                <w:rFonts w:ascii="Segoe UI"/>
                <w:color w:val="231F20"/>
                <w:spacing w:val="-1"/>
                <w:sz w:val="16"/>
              </w:rPr>
              <w:t>24,858</w:t>
            </w:r>
            <w:r>
              <w:rPr>
                <w:rFonts w:ascii="Segoe UI"/>
                <w:sz w:val="16"/>
              </w:rPr>
            </w:r>
          </w:p>
        </w:tc>
        <w:tc>
          <w:tcPr>
            <w:tcW w:w="1552"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968" w:right="0"/>
              <w:jc w:val="left"/>
              <w:rPr>
                <w:rFonts w:ascii="Segoe UI" w:hAnsi="Segoe UI" w:cs="Segoe UI" w:eastAsia="Segoe UI"/>
                <w:sz w:val="16"/>
                <w:szCs w:val="16"/>
              </w:rPr>
            </w:pPr>
            <w:r>
              <w:rPr>
                <w:rFonts w:ascii="Segoe UI"/>
                <w:color w:val="231F20"/>
                <w:spacing w:val="-1"/>
                <w:sz w:val="16"/>
              </w:rPr>
              <w:t>22,927</w:t>
            </w:r>
            <w:r>
              <w:rPr>
                <w:rFonts w:ascii="Segoe UI"/>
                <w:sz w:val="16"/>
              </w:rPr>
            </w:r>
          </w:p>
        </w:tc>
      </w:tr>
      <w:tr>
        <w:trPr>
          <w:trHeight w:val="310" w:hRule="exact"/>
        </w:trPr>
        <w:tc>
          <w:tcPr>
            <w:tcW w:w="2972"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08" w:right="0"/>
              <w:jc w:val="left"/>
              <w:rPr>
                <w:rFonts w:ascii="Segoe UI" w:hAnsi="Segoe UI" w:cs="Segoe UI" w:eastAsia="Segoe UI"/>
                <w:sz w:val="16"/>
                <w:szCs w:val="16"/>
              </w:rPr>
            </w:pPr>
            <w:r>
              <w:rPr>
                <w:rFonts w:ascii="Segoe UI"/>
                <w:color w:val="231F20"/>
                <w:spacing w:val="-1"/>
                <w:sz w:val="16"/>
              </w:rPr>
              <w:t>Average</w:t>
            </w:r>
            <w:r>
              <w:rPr>
                <w:rFonts w:ascii="Segoe UI"/>
                <w:color w:val="231F20"/>
                <w:spacing w:val="-3"/>
                <w:sz w:val="16"/>
              </w:rPr>
              <w:t> </w:t>
            </w:r>
            <w:r>
              <w:rPr>
                <w:rFonts w:ascii="Segoe UI"/>
                <w:color w:val="231F20"/>
                <w:spacing w:val="-1"/>
                <w:sz w:val="16"/>
              </w:rPr>
              <w:t>surplus</w:t>
            </w:r>
            <w:r>
              <w:rPr>
                <w:rFonts w:ascii="Segoe UI"/>
                <w:color w:val="231F20"/>
                <w:spacing w:val="-3"/>
                <w:sz w:val="16"/>
              </w:rPr>
              <w:t> </w:t>
            </w:r>
            <w:r>
              <w:rPr>
                <w:rFonts w:ascii="Segoe UI"/>
                <w:color w:val="231F20"/>
                <w:sz w:val="16"/>
              </w:rPr>
              <w:t>/</w:t>
            </w:r>
            <w:r>
              <w:rPr>
                <w:rFonts w:ascii="Segoe UI"/>
                <w:color w:val="231F20"/>
                <w:spacing w:val="-2"/>
                <w:sz w:val="16"/>
              </w:rPr>
              <w:t> </w:t>
            </w:r>
            <w:r>
              <w:rPr>
                <w:rFonts w:ascii="Segoe UI"/>
                <w:color w:val="231F20"/>
                <w:sz w:val="16"/>
              </w:rPr>
              <w:t>(loss)</w:t>
            </w:r>
            <w:r>
              <w:rPr>
                <w:rFonts w:ascii="Segoe UI"/>
                <w:color w:val="231F20"/>
                <w:spacing w:val="-4"/>
                <w:sz w:val="16"/>
              </w:rPr>
              <w:t> </w:t>
            </w:r>
            <w:r>
              <w:rPr>
                <w:rFonts w:ascii="Segoe UI"/>
                <w:color w:val="231F20"/>
                <w:sz w:val="16"/>
              </w:rPr>
              <w:t>per</w:t>
            </w:r>
            <w:r>
              <w:rPr>
                <w:rFonts w:ascii="Segoe UI"/>
                <w:color w:val="231F20"/>
                <w:spacing w:val="-3"/>
                <w:sz w:val="16"/>
              </w:rPr>
              <w:t> </w:t>
            </w:r>
            <w:r>
              <w:rPr>
                <w:rFonts w:ascii="Segoe UI"/>
                <w:color w:val="231F20"/>
                <w:sz w:val="16"/>
              </w:rPr>
              <w:t>boarder</w:t>
            </w:r>
            <w:r>
              <w:rPr>
                <w:rFonts w:ascii="Segoe UI"/>
                <w:sz w:val="16"/>
              </w:rPr>
            </w:r>
          </w:p>
        </w:tc>
        <w:tc>
          <w:tcPr>
            <w:tcW w:w="155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964" w:right="0"/>
              <w:jc w:val="left"/>
              <w:rPr>
                <w:rFonts w:ascii="Segoe UI" w:hAnsi="Segoe UI" w:cs="Segoe UI" w:eastAsia="Segoe UI"/>
                <w:sz w:val="16"/>
                <w:szCs w:val="16"/>
              </w:rPr>
            </w:pPr>
            <w:r>
              <w:rPr>
                <w:rFonts w:ascii="Segoe UI"/>
                <w:color w:val="231F20"/>
                <w:sz w:val="16"/>
              </w:rPr>
              <w:t>(5,070)</w:t>
            </w:r>
            <w:r>
              <w:rPr>
                <w:rFonts w:ascii="Segoe UI"/>
                <w:sz w:val="16"/>
              </w:rPr>
            </w:r>
          </w:p>
        </w:tc>
        <w:tc>
          <w:tcPr>
            <w:tcW w:w="1418"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823" w:right="0"/>
              <w:jc w:val="left"/>
              <w:rPr>
                <w:rFonts w:ascii="Segoe UI" w:hAnsi="Segoe UI" w:cs="Segoe UI" w:eastAsia="Segoe UI"/>
                <w:sz w:val="16"/>
                <w:szCs w:val="16"/>
              </w:rPr>
            </w:pPr>
            <w:r>
              <w:rPr>
                <w:rFonts w:ascii="Segoe UI"/>
                <w:color w:val="231F20"/>
                <w:sz w:val="16"/>
              </w:rPr>
              <w:t>(6,520)</w:t>
            </w:r>
            <w:r>
              <w:rPr>
                <w:rFonts w:ascii="Segoe UI"/>
                <w:sz w:val="16"/>
              </w:rPr>
            </w:r>
          </w:p>
        </w:tc>
        <w:tc>
          <w:tcPr>
            <w:tcW w:w="127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681" w:right="0"/>
              <w:jc w:val="left"/>
              <w:rPr>
                <w:rFonts w:ascii="Segoe UI" w:hAnsi="Segoe UI" w:cs="Segoe UI" w:eastAsia="Segoe UI"/>
                <w:sz w:val="16"/>
                <w:szCs w:val="16"/>
              </w:rPr>
            </w:pPr>
            <w:r>
              <w:rPr>
                <w:rFonts w:ascii="Segoe UI"/>
                <w:color w:val="231F20"/>
                <w:sz w:val="16"/>
              </w:rPr>
              <w:t>(7,155)</w:t>
            </w:r>
            <w:r>
              <w:rPr>
                <w:rFonts w:ascii="Segoe UI"/>
                <w:sz w:val="16"/>
              </w:rPr>
            </w:r>
          </w:p>
        </w:tc>
        <w:tc>
          <w:tcPr>
            <w:tcW w:w="1552"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958" w:right="0"/>
              <w:jc w:val="left"/>
              <w:rPr>
                <w:rFonts w:ascii="Segoe UI" w:hAnsi="Segoe UI" w:cs="Segoe UI" w:eastAsia="Segoe UI"/>
                <w:sz w:val="16"/>
                <w:szCs w:val="16"/>
              </w:rPr>
            </w:pPr>
            <w:r>
              <w:rPr>
                <w:rFonts w:ascii="Segoe UI"/>
                <w:color w:val="231F20"/>
                <w:sz w:val="16"/>
              </w:rPr>
              <w:t>(6,248)</w:t>
            </w:r>
            <w:r>
              <w:rPr>
                <w:rFonts w:ascii="Segoe UI"/>
                <w:sz w:val="16"/>
              </w:rPr>
            </w:r>
          </w:p>
        </w:tc>
      </w:tr>
    </w:tbl>
    <w:p>
      <w:pPr>
        <w:spacing w:line="240" w:lineRule="auto" w:before="11"/>
        <w:rPr>
          <w:rFonts w:ascii="Segoe UI Semibold" w:hAnsi="Segoe UI Semibold" w:cs="Segoe UI Semibold" w:eastAsia="Segoe UI Semibold"/>
          <w:b/>
          <w:bCs/>
          <w:sz w:val="24"/>
          <w:szCs w:val="24"/>
        </w:rPr>
      </w:pPr>
    </w:p>
    <w:p>
      <w:pPr>
        <w:spacing w:line="200" w:lineRule="exact" w:before="78"/>
        <w:ind w:left="104" w:right="167" w:firstLine="0"/>
        <w:jc w:val="left"/>
        <w:rPr>
          <w:rFonts w:ascii="Segoe UI Semibold" w:hAnsi="Segoe UI Semibold" w:cs="Segoe UI Semibold" w:eastAsia="Segoe UI Semibold"/>
          <w:sz w:val="16"/>
          <w:szCs w:val="16"/>
        </w:rPr>
      </w:pPr>
      <w:r>
        <w:rPr>
          <w:rFonts w:ascii="Segoe UI Semibold" w:hAnsi="Segoe UI Semibold" w:cs="Segoe UI Semibold" w:eastAsia="Segoe UI Semibold"/>
          <w:b/>
          <w:bCs/>
          <w:color w:val="666155"/>
          <w:spacing w:val="1"/>
          <w:sz w:val="16"/>
          <w:szCs w:val="16"/>
        </w:rPr>
        <w:t>TABLE</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z w:val="16"/>
          <w:szCs w:val="16"/>
        </w:rPr>
        <w:t>2: </w:t>
      </w:r>
      <w:r>
        <w:rPr>
          <w:rFonts w:ascii="Segoe UI Semibold" w:hAnsi="Segoe UI Semibold" w:cs="Segoe UI Semibold" w:eastAsia="Segoe UI Semibold"/>
          <w:b/>
          <w:bCs/>
          <w:color w:val="666155"/>
          <w:spacing w:val="2"/>
          <w:sz w:val="16"/>
          <w:szCs w:val="16"/>
        </w:rPr>
        <w:t>AVERAGE</w:t>
      </w:r>
      <w:r>
        <w:rPr>
          <w:rFonts w:ascii="Segoe UI Semibold" w:hAnsi="Segoe UI Semibold" w:cs="Segoe UI Semibold" w:eastAsia="Segoe UI Semibold"/>
          <w:b/>
          <w:bCs/>
          <w:color w:val="666155"/>
          <w:spacing w:val="3"/>
          <w:sz w:val="16"/>
          <w:szCs w:val="16"/>
        </w:rPr>
        <w:t> ANNUAL</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REVENUE</w:t>
      </w:r>
      <w:r>
        <w:rPr>
          <w:rFonts w:ascii="Segoe UI Semibold" w:hAnsi="Segoe UI Semibold" w:cs="Segoe UI Semibold" w:eastAsia="Segoe UI Semibold"/>
          <w:b/>
          <w:bCs/>
          <w:color w:val="666155"/>
          <w:spacing w:val="3"/>
          <w:sz w:val="16"/>
          <w:szCs w:val="16"/>
        </w:rPr>
        <w:t> AND</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3"/>
          <w:sz w:val="16"/>
          <w:szCs w:val="16"/>
        </w:rPr>
        <w:t>COST PER </w:t>
      </w:r>
      <w:r>
        <w:rPr>
          <w:rFonts w:ascii="Segoe UI Semibold" w:hAnsi="Segoe UI Semibold" w:cs="Segoe UI Semibold" w:eastAsia="Segoe UI Semibold"/>
          <w:b/>
          <w:bCs/>
          <w:color w:val="666155"/>
          <w:spacing w:val="4"/>
          <w:sz w:val="16"/>
          <w:szCs w:val="16"/>
        </w:rPr>
        <w:t>BOARDER</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z w:val="16"/>
          <w:szCs w:val="16"/>
        </w:rPr>
        <w:t>2015</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position w:val="1"/>
          <w:sz w:val="16"/>
          <w:szCs w:val="16"/>
        </w:rPr>
        <w:t>—</w:t>
      </w:r>
      <w:r>
        <w:rPr>
          <w:rFonts w:ascii="Segoe UI Semibold" w:hAnsi="Segoe UI Semibold" w:cs="Segoe UI Semibold" w:eastAsia="Segoe UI Semibold"/>
          <w:b/>
          <w:bCs/>
          <w:color w:val="666155"/>
          <w:spacing w:val="-2"/>
          <w:position w:val="1"/>
          <w:sz w:val="16"/>
          <w:szCs w:val="16"/>
        </w:rPr>
        <w:t> </w:t>
      </w:r>
      <w:r>
        <w:rPr>
          <w:rFonts w:ascii="Segoe UI Semibold" w:hAnsi="Segoe UI Semibold" w:cs="Segoe UI Semibold" w:eastAsia="Segoe UI Semibold"/>
          <w:b/>
          <w:bCs/>
          <w:color w:val="666155"/>
          <w:sz w:val="16"/>
          <w:szCs w:val="16"/>
        </w:rPr>
        <w:t>2017 </w:t>
      </w:r>
      <w:r>
        <w:rPr>
          <w:rFonts w:ascii="Segoe UI Semibold" w:hAnsi="Segoe UI Semibold" w:cs="Segoe UI Semibold" w:eastAsia="Segoe UI Semibold"/>
          <w:b/>
          <w:bCs/>
          <w:color w:val="666155"/>
          <w:spacing w:val="-3"/>
          <w:sz w:val="16"/>
          <w:szCs w:val="16"/>
        </w:rPr>
        <w:t>AT</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MAINSTREAM</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spacing w:val="4"/>
          <w:sz w:val="16"/>
          <w:szCs w:val="16"/>
        </w:rPr>
        <w:t>BOARDING</w:t>
      </w:r>
      <w:r>
        <w:rPr>
          <w:rFonts w:ascii="Segoe UI Semibold" w:hAnsi="Segoe UI Semibold" w:cs="Segoe UI Semibold" w:eastAsia="Segoe UI Semibold"/>
          <w:b/>
          <w:bCs/>
          <w:color w:val="666155"/>
          <w:spacing w:val="67"/>
          <w:sz w:val="16"/>
          <w:szCs w:val="16"/>
        </w:rPr>
        <w:t> </w:t>
      </w:r>
      <w:r>
        <w:rPr>
          <w:rFonts w:ascii="Segoe UI Semibold" w:hAnsi="Segoe UI Semibold" w:cs="Segoe UI Semibold" w:eastAsia="Segoe UI Semibold"/>
          <w:b/>
          <w:bCs/>
          <w:color w:val="666155"/>
          <w:spacing w:val="4"/>
          <w:sz w:val="16"/>
          <w:szCs w:val="16"/>
        </w:rPr>
        <w:t>PROVIDERS</w:t>
      </w:r>
      <w:r>
        <w:rPr>
          <w:rFonts w:ascii="Segoe UI Semibold" w:hAnsi="Segoe UI Semibold" w:cs="Segoe UI Semibold" w:eastAsia="Segoe UI Semibold"/>
          <w:sz w:val="16"/>
          <w:szCs w:val="16"/>
        </w:rPr>
      </w:r>
    </w:p>
    <w:p>
      <w:pPr>
        <w:spacing w:line="240" w:lineRule="auto" w:before="12"/>
        <w:rPr>
          <w:rFonts w:ascii="Segoe UI Semibold" w:hAnsi="Segoe UI Semibold" w:cs="Segoe UI Semibold" w:eastAsia="Segoe UI Semibold"/>
          <w:b/>
          <w:bCs/>
          <w:sz w:val="11"/>
          <w:szCs w:val="11"/>
        </w:rPr>
      </w:pPr>
    </w:p>
    <w:tbl>
      <w:tblPr>
        <w:tblW w:w="0" w:type="auto"/>
        <w:jc w:val="left"/>
        <w:tblInd w:w="100" w:type="dxa"/>
        <w:tblLayout w:type="fixed"/>
        <w:tblCellMar>
          <w:top w:w="0" w:type="dxa"/>
          <w:left w:w="0" w:type="dxa"/>
          <w:bottom w:w="0" w:type="dxa"/>
          <w:right w:w="0" w:type="dxa"/>
        </w:tblCellMar>
        <w:tblLook w:val="01E0"/>
      </w:tblPr>
      <w:tblGrid>
        <w:gridCol w:w="2972"/>
        <w:gridCol w:w="1559"/>
        <w:gridCol w:w="1418"/>
        <w:gridCol w:w="1276"/>
        <w:gridCol w:w="1552"/>
      </w:tblGrid>
      <w:tr>
        <w:trPr>
          <w:trHeight w:val="343" w:hRule="exact"/>
        </w:trPr>
        <w:tc>
          <w:tcPr>
            <w:tcW w:w="2972"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left="152" w:right="0"/>
              <w:jc w:val="left"/>
              <w:rPr>
                <w:rFonts w:ascii="Segoe UI" w:hAnsi="Segoe UI" w:cs="Segoe UI" w:eastAsia="Segoe UI"/>
                <w:sz w:val="16"/>
                <w:szCs w:val="16"/>
              </w:rPr>
            </w:pPr>
            <w:r>
              <w:rPr>
                <w:rFonts w:ascii="Segoe UI"/>
                <w:color w:val="231F20"/>
                <w:sz w:val="16"/>
              </w:rPr>
              <w:t>$</w:t>
            </w:r>
            <w:r>
              <w:rPr>
                <w:rFonts w:ascii="Segoe UI"/>
                <w:sz w:val="16"/>
              </w:rPr>
            </w:r>
          </w:p>
        </w:tc>
        <w:tc>
          <w:tcPr>
            <w:tcW w:w="1559"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right="106"/>
              <w:jc w:val="right"/>
              <w:rPr>
                <w:rFonts w:ascii="Segoe UI" w:hAnsi="Segoe UI" w:cs="Segoe UI" w:eastAsia="Segoe UI"/>
                <w:sz w:val="16"/>
                <w:szCs w:val="16"/>
              </w:rPr>
            </w:pPr>
            <w:r>
              <w:rPr>
                <w:rFonts w:ascii="Segoe UI"/>
                <w:color w:val="231F20"/>
                <w:sz w:val="16"/>
              </w:rPr>
              <w:t>2015</w:t>
            </w:r>
            <w:r>
              <w:rPr>
                <w:rFonts w:ascii="Segoe UI"/>
                <w:sz w:val="16"/>
              </w:rPr>
            </w:r>
          </w:p>
        </w:tc>
        <w:tc>
          <w:tcPr>
            <w:tcW w:w="1418"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right="106"/>
              <w:jc w:val="right"/>
              <w:rPr>
                <w:rFonts w:ascii="Segoe UI" w:hAnsi="Segoe UI" w:cs="Segoe UI" w:eastAsia="Segoe UI"/>
                <w:sz w:val="16"/>
                <w:szCs w:val="16"/>
              </w:rPr>
            </w:pPr>
            <w:r>
              <w:rPr>
                <w:rFonts w:ascii="Segoe UI"/>
                <w:color w:val="231F20"/>
                <w:sz w:val="16"/>
              </w:rPr>
              <w:t>2016</w:t>
            </w:r>
            <w:r>
              <w:rPr>
                <w:rFonts w:ascii="Segoe UI"/>
                <w:sz w:val="16"/>
              </w:rPr>
            </w:r>
          </w:p>
        </w:tc>
        <w:tc>
          <w:tcPr>
            <w:tcW w:w="1276"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left="812" w:right="0"/>
              <w:jc w:val="left"/>
              <w:rPr>
                <w:rFonts w:ascii="Segoe UI" w:hAnsi="Segoe UI" w:cs="Segoe UI" w:eastAsia="Segoe UI"/>
                <w:sz w:val="16"/>
                <w:szCs w:val="16"/>
              </w:rPr>
            </w:pPr>
            <w:r>
              <w:rPr>
                <w:rFonts w:ascii="Segoe UI"/>
                <w:color w:val="231F20"/>
                <w:sz w:val="16"/>
              </w:rPr>
              <w:t>2017</w:t>
            </w:r>
            <w:r>
              <w:rPr>
                <w:rFonts w:ascii="Segoe UI"/>
                <w:sz w:val="16"/>
              </w:rPr>
            </w:r>
          </w:p>
        </w:tc>
        <w:tc>
          <w:tcPr>
            <w:tcW w:w="1552"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left="858" w:right="0"/>
              <w:jc w:val="left"/>
              <w:rPr>
                <w:rFonts w:ascii="Segoe UI" w:hAnsi="Segoe UI" w:cs="Segoe UI" w:eastAsia="Segoe UI"/>
                <w:sz w:val="16"/>
                <w:szCs w:val="16"/>
              </w:rPr>
            </w:pPr>
            <w:r>
              <w:rPr>
                <w:rFonts w:ascii="Segoe UI"/>
                <w:color w:val="231F20"/>
                <w:spacing w:val="-1"/>
                <w:sz w:val="16"/>
              </w:rPr>
              <w:t>Average</w:t>
            </w:r>
            <w:r>
              <w:rPr>
                <w:rFonts w:ascii="Segoe UI"/>
                <w:sz w:val="16"/>
              </w:rPr>
            </w:r>
          </w:p>
        </w:tc>
      </w:tr>
      <w:tr>
        <w:trPr>
          <w:trHeight w:val="348" w:hRule="exact"/>
        </w:trPr>
        <w:tc>
          <w:tcPr>
            <w:tcW w:w="2972"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08" w:right="0"/>
              <w:jc w:val="left"/>
              <w:rPr>
                <w:rFonts w:ascii="Segoe UI" w:hAnsi="Segoe UI" w:cs="Segoe UI" w:eastAsia="Segoe UI"/>
                <w:sz w:val="16"/>
                <w:szCs w:val="16"/>
              </w:rPr>
            </w:pPr>
            <w:r>
              <w:rPr>
                <w:rFonts w:ascii="Segoe UI"/>
                <w:color w:val="231F20"/>
                <w:spacing w:val="-1"/>
                <w:sz w:val="16"/>
              </w:rPr>
              <w:t>Average</w:t>
            </w:r>
            <w:r>
              <w:rPr>
                <w:rFonts w:ascii="Segoe UI"/>
                <w:color w:val="231F20"/>
                <w:spacing w:val="-7"/>
                <w:sz w:val="16"/>
              </w:rPr>
              <w:t> </w:t>
            </w:r>
            <w:r>
              <w:rPr>
                <w:rFonts w:ascii="Segoe UI"/>
                <w:color w:val="231F20"/>
                <w:sz w:val="16"/>
              </w:rPr>
              <w:t>revenue</w:t>
            </w:r>
            <w:r>
              <w:rPr>
                <w:rFonts w:ascii="Segoe UI"/>
                <w:color w:val="231F20"/>
                <w:spacing w:val="-7"/>
                <w:sz w:val="16"/>
              </w:rPr>
              <w:t> </w:t>
            </w:r>
            <w:r>
              <w:rPr>
                <w:rFonts w:ascii="Segoe UI"/>
                <w:color w:val="231F20"/>
                <w:sz w:val="16"/>
              </w:rPr>
              <w:t>per</w:t>
            </w:r>
            <w:r>
              <w:rPr>
                <w:rFonts w:ascii="Segoe UI"/>
                <w:color w:val="231F20"/>
                <w:spacing w:val="-6"/>
                <w:sz w:val="16"/>
              </w:rPr>
              <w:t> </w:t>
            </w:r>
            <w:r>
              <w:rPr>
                <w:rFonts w:ascii="Segoe UI"/>
                <w:color w:val="231F20"/>
                <w:sz w:val="16"/>
              </w:rPr>
              <w:t>boarder</w:t>
            </w:r>
            <w:r>
              <w:rPr>
                <w:rFonts w:ascii="Segoe UI"/>
                <w:sz w:val="16"/>
              </w:rPr>
            </w:r>
          </w:p>
        </w:tc>
        <w:tc>
          <w:tcPr>
            <w:tcW w:w="155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974" w:right="0"/>
              <w:jc w:val="left"/>
              <w:rPr>
                <w:rFonts w:ascii="Segoe UI" w:hAnsi="Segoe UI" w:cs="Segoe UI" w:eastAsia="Segoe UI"/>
                <w:sz w:val="16"/>
                <w:szCs w:val="16"/>
              </w:rPr>
            </w:pPr>
            <w:r>
              <w:rPr>
                <w:rFonts w:ascii="Segoe UI"/>
                <w:color w:val="231F20"/>
                <w:sz w:val="16"/>
              </w:rPr>
              <w:t>17,170</w:t>
            </w:r>
            <w:r>
              <w:rPr>
                <w:rFonts w:ascii="Segoe UI"/>
                <w:sz w:val="16"/>
              </w:rPr>
            </w:r>
          </w:p>
        </w:tc>
        <w:tc>
          <w:tcPr>
            <w:tcW w:w="1418"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833" w:right="0"/>
              <w:jc w:val="left"/>
              <w:rPr>
                <w:rFonts w:ascii="Segoe UI" w:hAnsi="Segoe UI" w:cs="Segoe UI" w:eastAsia="Segoe UI"/>
                <w:sz w:val="16"/>
                <w:szCs w:val="16"/>
              </w:rPr>
            </w:pPr>
            <w:r>
              <w:rPr>
                <w:rFonts w:ascii="Segoe UI"/>
                <w:color w:val="231F20"/>
                <w:sz w:val="16"/>
              </w:rPr>
              <w:t>17,228</w:t>
            </w:r>
            <w:r>
              <w:rPr>
                <w:rFonts w:ascii="Segoe UI"/>
                <w:sz w:val="16"/>
              </w:rPr>
            </w:r>
          </w:p>
        </w:tc>
        <w:tc>
          <w:tcPr>
            <w:tcW w:w="127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691" w:right="0"/>
              <w:jc w:val="left"/>
              <w:rPr>
                <w:rFonts w:ascii="Segoe UI" w:hAnsi="Segoe UI" w:cs="Segoe UI" w:eastAsia="Segoe UI"/>
                <w:sz w:val="16"/>
                <w:szCs w:val="16"/>
              </w:rPr>
            </w:pPr>
            <w:r>
              <w:rPr>
                <w:rFonts w:ascii="Segoe UI"/>
                <w:color w:val="231F20"/>
                <w:sz w:val="16"/>
              </w:rPr>
              <w:t>17,828</w:t>
            </w:r>
            <w:r>
              <w:rPr>
                <w:rFonts w:ascii="Segoe UI"/>
                <w:sz w:val="16"/>
              </w:rPr>
            </w:r>
          </w:p>
        </w:tc>
        <w:tc>
          <w:tcPr>
            <w:tcW w:w="1552"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968" w:right="0"/>
              <w:jc w:val="left"/>
              <w:rPr>
                <w:rFonts w:ascii="Segoe UI" w:hAnsi="Segoe UI" w:cs="Segoe UI" w:eastAsia="Segoe UI"/>
                <w:sz w:val="16"/>
                <w:szCs w:val="16"/>
              </w:rPr>
            </w:pPr>
            <w:r>
              <w:rPr>
                <w:rFonts w:ascii="Segoe UI"/>
                <w:color w:val="231F20"/>
                <w:sz w:val="16"/>
              </w:rPr>
              <w:t>17,409</w:t>
            </w:r>
            <w:r>
              <w:rPr>
                <w:rFonts w:ascii="Segoe UI"/>
                <w:sz w:val="16"/>
              </w:rPr>
            </w:r>
          </w:p>
        </w:tc>
      </w:tr>
      <w:tr>
        <w:trPr>
          <w:trHeight w:val="343" w:hRule="exact"/>
        </w:trPr>
        <w:tc>
          <w:tcPr>
            <w:tcW w:w="2972"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08" w:right="0"/>
              <w:jc w:val="left"/>
              <w:rPr>
                <w:rFonts w:ascii="Segoe UI" w:hAnsi="Segoe UI" w:cs="Segoe UI" w:eastAsia="Segoe UI"/>
                <w:sz w:val="16"/>
                <w:szCs w:val="16"/>
              </w:rPr>
            </w:pPr>
            <w:r>
              <w:rPr>
                <w:rFonts w:ascii="Segoe UI"/>
                <w:color w:val="231F20"/>
                <w:spacing w:val="-1"/>
                <w:sz w:val="16"/>
              </w:rPr>
              <w:t>Average</w:t>
            </w:r>
            <w:r>
              <w:rPr>
                <w:rFonts w:ascii="Segoe UI"/>
                <w:color w:val="231F20"/>
                <w:spacing w:val="-5"/>
                <w:sz w:val="16"/>
              </w:rPr>
              <w:t> </w:t>
            </w:r>
            <w:r>
              <w:rPr>
                <w:rFonts w:ascii="Segoe UI"/>
                <w:color w:val="231F20"/>
                <w:sz w:val="16"/>
              </w:rPr>
              <w:t>cost</w:t>
            </w:r>
            <w:r>
              <w:rPr>
                <w:rFonts w:ascii="Segoe UI"/>
                <w:color w:val="231F20"/>
                <w:spacing w:val="-5"/>
                <w:sz w:val="16"/>
              </w:rPr>
              <w:t> </w:t>
            </w:r>
            <w:r>
              <w:rPr>
                <w:rFonts w:ascii="Segoe UI"/>
                <w:color w:val="231F20"/>
                <w:sz w:val="16"/>
              </w:rPr>
              <w:t>per</w:t>
            </w:r>
            <w:r>
              <w:rPr>
                <w:rFonts w:ascii="Segoe UI"/>
                <w:color w:val="231F20"/>
                <w:spacing w:val="-4"/>
                <w:sz w:val="16"/>
              </w:rPr>
              <w:t> </w:t>
            </w:r>
            <w:r>
              <w:rPr>
                <w:rFonts w:ascii="Segoe UI"/>
                <w:color w:val="231F20"/>
                <w:sz w:val="16"/>
              </w:rPr>
              <w:t>boarder</w:t>
            </w:r>
            <w:r>
              <w:rPr>
                <w:rFonts w:ascii="Segoe UI"/>
                <w:sz w:val="16"/>
              </w:rPr>
            </w:r>
          </w:p>
        </w:tc>
        <w:tc>
          <w:tcPr>
            <w:tcW w:w="155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974" w:right="0"/>
              <w:jc w:val="left"/>
              <w:rPr>
                <w:rFonts w:ascii="Segoe UI" w:hAnsi="Segoe UI" w:cs="Segoe UI" w:eastAsia="Segoe UI"/>
                <w:sz w:val="16"/>
                <w:szCs w:val="16"/>
              </w:rPr>
            </w:pPr>
            <w:r>
              <w:rPr>
                <w:rFonts w:ascii="Segoe UI"/>
                <w:color w:val="231F20"/>
                <w:sz w:val="16"/>
              </w:rPr>
              <w:t>18,941</w:t>
            </w:r>
            <w:r>
              <w:rPr>
                <w:rFonts w:ascii="Segoe UI"/>
                <w:sz w:val="16"/>
              </w:rPr>
            </w:r>
          </w:p>
        </w:tc>
        <w:tc>
          <w:tcPr>
            <w:tcW w:w="1418"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833" w:right="0"/>
              <w:jc w:val="left"/>
              <w:rPr>
                <w:rFonts w:ascii="Segoe UI" w:hAnsi="Segoe UI" w:cs="Segoe UI" w:eastAsia="Segoe UI"/>
                <w:sz w:val="16"/>
                <w:szCs w:val="16"/>
              </w:rPr>
            </w:pPr>
            <w:r>
              <w:rPr>
                <w:rFonts w:ascii="Segoe UI"/>
                <w:color w:val="231F20"/>
                <w:sz w:val="16"/>
              </w:rPr>
              <w:t>19,637</w:t>
            </w:r>
            <w:r>
              <w:rPr>
                <w:rFonts w:ascii="Segoe UI"/>
                <w:sz w:val="16"/>
              </w:rPr>
            </w:r>
          </w:p>
        </w:tc>
        <w:tc>
          <w:tcPr>
            <w:tcW w:w="127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691" w:right="0"/>
              <w:jc w:val="left"/>
              <w:rPr>
                <w:rFonts w:ascii="Segoe UI" w:hAnsi="Segoe UI" w:cs="Segoe UI" w:eastAsia="Segoe UI"/>
                <w:sz w:val="16"/>
                <w:szCs w:val="16"/>
              </w:rPr>
            </w:pPr>
            <w:r>
              <w:rPr>
                <w:rFonts w:ascii="Segoe UI"/>
                <w:color w:val="231F20"/>
                <w:sz w:val="16"/>
              </w:rPr>
              <w:t>19,566</w:t>
            </w:r>
            <w:r>
              <w:rPr>
                <w:rFonts w:ascii="Segoe UI"/>
                <w:sz w:val="16"/>
              </w:rPr>
            </w:r>
          </w:p>
        </w:tc>
        <w:tc>
          <w:tcPr>
            <w:tcW w:w="1552"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968" w:right="0"/>
              <w:jc w:val="left"/>
              <w:rPr>
                <w:rFonts w:ascii="Segoe UI" w:hAnsi="Segoe UI" w:cs="Segoe UI" w:eastAsia="Segoe UI"/>
                <w:sz w:val="16"/>
                <w:szCs w:val="16"/>
              </w:rPr>
            </w:pPr>
            <w:r>
              <w:rPr>
                <w:rFonts w:ascii="Segoe UI"/>
                <w:color w:val="231F20"/>
                <w:sz w:val="16"/>
              </w:rPr>
              <w:t>19,381</w:t>
            </w:r>
            <w:r>
              <w:rPr>
                <w:rFonts w:ascii="Segoe UI"/>
                <w:sz w:val="16"/>
              </w:rPr>
            </w:r>
          </w:p>
        </w:tc>
      </w:tr>
      <w:tr>
        <w:trPr>
          <w:trHeight w:val="343" w:hRule="exact"/>
        </w:trPr>
        <w:tc>
          <w:tcPr>
            <w:tcW w:w="2972"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08" w:right="0"/>
              <w:jc w:val="left"/>
              <w:rPr>
                <w:rFonts w:ascii="Segoe UI" w:hAnsi="Segoe UI" w:cs="Segoe UI" w:eastAsia="Segoe UI"/>
                <w:sz w:val="16"/>
                <w:szCs w:val="16"/>
              </w:rPr>
            </w:pPr>
            <w:r>
              <w:rPr>
                <w:rFonts w:ascii="Segoe UI"/>
                <w:color w:val="231F20"/>
                <w:spacing w:val="-1"/>
                <w:sz w:val="16"/>
              </w:rPr>
              <w:t>Average</w:t>
            </w:r>
            <w:r>
              <w:rPr>
                <w:rFonts w:ascii="Segoe UI"/>
                <w:color w:val="231F20"/>
                <w:spacing w:val="-3"/>
                <w:sz w:val="16"/>
              </w:rPr>
              <w:t> </w:t>
            </w:r>
            <w:r>
              <w:rPr>
                <w:rFonts w:ascii="Segoe UI"/>
                <w:color w:val="231F20"/>
                <w:spacing w:val="-1"/>
                <w:sz w:val="16"/>
              </w:rPr>
              <w:t>surplus</w:t>
            </w:r>
            <w:r>
              <w:rPr>
                <w:rFonts w:ascii="Segoe UI"/>
                <w:color w:val="231F20"/>
                <w:spacing w:val="-3"/>
                <w:sz w:val="16"/>
              </w:rPr>
              <w:t> </w:t>
            </w:r>
            <w:r>
              <w:rPr>
                <w:rFonts w:ascii="Segoe UI"/>
                <w:color w:val="231F20"/>
                <w:sz w:val="16"/>
              </w:rPr>
              <w:t>/</w:t>
            </w:r>
            <w:r>
              <w:rPr>
                <w:rFonts w:ascii="Segoe UI"/>
                <w:color w:val="231F20"/>
                <w:spacing w:val="-2"/>
                <w:sz w:val="16"/>
              </w:rPr>
              <w:t> </w:t>
            </w:r>
            <w:r>
              <w:rPr>
                <w:rFonts w:ascii="Segoe UI"/>
                <w:color w:val="231F20"/>
                <w:sz w:val="16"/>
              </w:rPr>
              <w:t>(loss)</w:t>
            </w:r>
            <w:r>
              <w:rPr>
                <w:rFonts w:ascii="Segoe UI"/>
                <w:color w:val="231F20"/>
                <w:spacing w:val="-4"/>
                <w:sz w:val="16"/>
              </w:rPr>
              <w:t> </w:t>
            </w:r>
            <w:r>
              <w:rPr>
                <w:rFonts w:ascii="Segoe UI"/>
                <w:color w:val="231F20"/>
                <w:sz w:val="16"/>
              </w:rPr>
              <w:t>per</w:t>
            </w:r>
            <w:r>
              <w:rPr>
                <w:rFonts w:ascii="Segoe UI"/>
                <w:color w:val="231F20"/>
                <w:spacing w:val="-3"/>
                <w:sz w:val="16"/>
              </w:rPr>
              <w:t> </w:t>
            </w:r>
            <w:r>
              <w:rPr>
                <w:rFonts w:ascii="Segoe UI"/>
                <w:color w:val="231F20"/>
                <w:sz w:val="16"/>
              </w:rPr>
              <w:t>boarder</w:t>
            </w:r>
            <w:r>
              <w:rPr>
                <w:rFonts w:ascii="Segoe UI"/>
                <w:sz w:val="16"/>
              </w:rPr>
            </w:r>
          </w:p>
        </w:tc>
        <w:tc>
          <w:tcPr>
            <w:tcW w:w="155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964" w:right="0"/>
              <w:jc w:val="left"/>
              <w:rPr>
                <w:rFonts w:ascii="Segoe UI" w:hAnsi="Segoe UI" w:cs="Segoe UI" w:eastAsia="Segoe UI"/>
                <w:sz w:val="16"/>
                <w:szCs w:val="16"/>
              </w:rPr>
            </w:pPr>
            <w:r>
              <w:rPr>
                <w:rFonts w:ascii="Segoe UI"/>
                <w:color w:val="231F20"/>
                <w:sz w:val="16"/>
              </w:rPr>
              <w:t>(1,771)</w:t>
            </w:r>
            <w:r>
              <w:rPr>
                <w:rFonts w:ascii="Segoe UI"/>
                <w:sz w:val="16"/>
              </w:rPr>
            </w:r>
          </w:p>
        </w:tc>
        <w:tc>
          <w:tcPr>
            <w:tcW w:w="1418"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823" w:right="0"/>
              <w:jc w:val="left"/>
              <w:rPr>
                <w:rFonts w:ascii="Segoe UI" w:hAnsi="Segoe UI" w:cs="Segoe UI" w:eastAsia="Segoe UI"/>
                <w:sz w:val="16"/>
                <w:szCs w:val="16"/>
              </w:rPr>
            </w:pPr>
            <w:r>
              <w:rPr>
                <w:rFonts w:ascii="Segoe UI"/>
                <w:color w:val="231F20"/>
                <w:sz w:val="16"/>
              </w:rPr>
              <w:t>(2,409)</w:t>
            </w:r>
            <w:r>
              <w:rPr>
                <w:rFonts w:ascii="Segoe UI"/>
                <w:sz w:val="16"/>
              </w:rPr>
            </w:r>
          </w:p>
        </w:tc>
        <w:tc>
          <w:tcPr>
            <w:tcW w:w="127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681" w:right="0"/>
              <w:jc w:val="left"/>
              <w:rPr>
                <w:rFonts w:ascii="Segoe UI" w:hAnsi="Segoe UI" w:cs="Segoe UI" w:eastAsia="Segoe UI"/>
                <w:sz w:val="16"/>
                <w:szCs w:val="16"/>
              </w:rPr>
            </w:pPr>
            <w:r>
              <w:rPr>
                <w:rFonts w:ascii="Segoe UI"/>
                <w:color w:val="231F20"/>
                <w:sz w:val="16"/>
              </w:rPr>
              <w:t>(1,738)</w:t>
            </w:r>
            <w:r>
              <w:rPr>
                <w:rFonts w:ascii="Segoe UI"/>
                <w:sz w:val="16"/>
              </w:rPr>
            </w:r>
          </w:p>
        </w:tc>
        <w:tc>
          <w:tcPr>
            <w:tcW w:w="1552"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958" w:right="0"/>
              <w:jc w:val="left"/>
              <w:rPr>
                <w:rFonts w:ascii="Segoe UI" w:hAnsi="Segoe UI" w:cs="Segoe UI" w:eastAsia="Segoe UI"/>
                <w:sz w:val="16"/>
                <w:szCs w:val="16"/>
              </w:rPr>
            </w:pPr>
            <w:r>
              <w:rPr>
                <w:rFonts w:ascii="Segoe UI"/>
                <w:color w:val="231F20"/>
                <w:sz w:val="16"/>
              </w:rPr>
              <w:t>(1,972)</w:t>
            </w:r>
            <w:r>
              <w:rPr>
                <w:rFonts w:ascii="Segoe UI"/>
                <w:sz w:val="16"/>
              </w:rPr>
            </w:r>
          </w:p>
        </w:tc>
      </w:tr>
    </w:tbl>
    <w:p>
      <w:pPr>
        <w:spacing w:line="240" w:lineRule="auto" w:before="0"/>
        <w:rPr>
          <w:rFonts w:ascii="Segoe UI Semibold" w:hAnsi="Segoe UI Semibold" w:cs="Segoe UI Semibold" w:eastAsia="Segoe UI Semibold"/>
          <w:b/>
          <w:bCs/>
          <w:sz w:val="20"/>
          <w:szCs w:val="20"/>
        </w:rPr>
      </w:pPr>
    </w:p>
    <w:p>
      <w:pPr>
        <w:spacing w:after="0" w:line="240" w:lineRule="auto"/>
        <w:rPr>
          <w:rFonts w:ascii="Segoe UI Semibold" w:hAnsi="Segoe UI Semibold" w:cs="Segoe UI Semibold" w:eastAsia="Segoe UI Semibold"/>
          <w:sz w:val="20"/>
          <w:szCs w:val="20"/>
        </w:rPr>
        <w:sectPr>
          <w:pgSz w:w="11910" w:h="16840"/>
          <w:pgMar w:header="0" w:footer="691" w:top="1580" w:bottom="880" w:left="1600" w:right="1300"/>
        </w:sectPr>
      </w:pPr>
    </w:p>
    <w:p>
      <w:pPr>
        <w:spacing w:line="240" w:lineRule="auto" w:before="1"/>
        <w:rPr>
          <w:rFonts w:ascii="Segoe UI Semibold" w:hAnsi="Segoe UI Semibold" w:cs="Segoe UI Semibold" w:eastAsia="Segoe UI Semibold"/>
          <w:b/>
          <w:bCs/>
          <w:sz w:val="15"/>
          <w:szCs w:val="15"/>
        </w:rPr>
      </w:pPr>
    </w:p>
    <w:p>
      <w:pPr>
        <w:pStyle w:val="BodyText"/>
        <w:spacing w:line="250" w:lineRule="exact"/>
        <w:ind w:left="100" w:right="0"/>
        <w:jc w:val="left"/>
      </w:pPr>
      <w:r>
        <w:rPr>
          <w:color w:val="231F20"/>
        </w:rPr>
        <w:t>The</w:t>
      </w:r>
      <w:r>
        <w:rPr>
          <w:color w:val="231F20"/>
          <w:spacing w:val="-8"/>
        </w:rPr>
        <w:t> </w:t>
      </w:r>
      <w:r>
        <w:rPr>
          <w:color w:val="231F20"/>
        </w:rPr>
        <w:t>three-year</w:t>
      </w:r>
      <w:r>
        <w:rPr>
          <w:color w:val="231F20"/>
          <w:spacing w:val="-8"/>
        </w:rPr>
        <w:t> </w:t>
      </w:r>
      <w:r>
        <w:rPr>
          <w:color w:val="231F20"/>
        </w:rPr>
        <w:t>average</w:t>
      </w:r>
      <w:r>
        <w:rPr>
          <w:color w:val="231F20"/>
          <w:spacing w:val="-8"/>
        </w:rPr>
        <w:t> </w:t>
      </w:r>
      <w:r>
        <w:rPr>
          <w:color w:val="231F20"/>
        </w:rPr>
        <w:t>annual</w:t>
      </w:r>
      <w:r>
        <w:rPr>
          <w:color w:val="231F20"/>
          <w:spacing w:val="-8"/>
        </w:rPr>
        <w:t> </w:t>
      </w:r>
      <w:r>
        <w:rPr>
          <w:color w:val="231F20"/>
        </w:rPr>
        <w:t>revenue</w:t>
      </w:r>
      <w:r>
        <w:rPr>
          <w:color w:val="231F20"/>
          <w:spacing w:val="-8"/>
        </w:rPr>
        <w:t> </w:t>
      </w:r>
      <w:r>
        <w:rPr>
          <w:color w:val="231F20"/>
        </w:rPr>
        <w:t>per</w:t>
      </w:r>
      <w:r>
        <w:rPr>
          <w:color w:val="231F20"/>
          <w:w w:val="99"/>
        </w:rPr>
        <w:t> </w:t>
      </w:r>
      <w:r>
        <w:rPr>
          <w:color w:val="231F20"/>
        </w:rPr>
        <w:t>boarder</w:t>
      </w:r>
      <w:r>
        <w:rPr>
          <w:color w:val="231F20"/>
          <w:spacing w:val="-4"/>
        </w:rPr>
        <w:t> </w:t>
      </w:r>
      <w:r>
        <w:rPr>
          <w:color w:val="231F20"/>
        </w:rPr>
        <w:t>from</w:t>
      </w:r>
      <w:r>
        <w:rPr>
          <w:color w:val="231F20"/>
          <w:spacing w:val="-3"/>
        </w:rPr>
        <w:t> </w:t>
      </w:r>
      <w:r>
        <w:rPr>
          <w:color w:val="231F20"/>
          <w:spacing w:val="-1"/>
        </w:rPr>
        <w:t>2015</w:t>
      </w:r>
      <w:r>
        <w:rPr>
          <w:color w:val="231F20"/>
          <w:spacing w:val="-4"/>
        </w:rPr>
        <w:t> </w:t>
      </w:r>
      <w:r>
        <w:rPr>
          <w:color w:val="231F20"/>
        </w:rPr>
        <w:t>to</w:t>
      </w:r>
      <w:r>
        <w:rPr>
          <w:color w:val="231F20"/>
          <w:spacing w:val="-3"/>
        </w:rPr>
        <w:t> </w:t>
      </w:r>
      <w:r>
        <w:rPr>
          <w:color w:val="231F20"/>
          <w:spacing w:val="-1"/>
        </w:rPr>
        <w:t>2017</w:t>
      </w:r>
      <w:r>
        <w:rPr>
          <w:color w:val="231F20"/>
          <w:spacing w:val="-3"/>
        </w:rPr>
        <w:t> </w:t>
      </w:r>
      <w:r>
        <w:rPr>
          <w:color w:val="231F20"/>
        </w:rPr>
        <w:t>at</w:t>
      </w:r>
      <w:r>
        <w:rPr>
          <w:color w:val="231F20"/>
          <w:spacing w:val="-4"/>
        </w:rPr>
        <w:t> </w:t>
      </w:r>
      <w:r>
        <w:rPr>
          <w:color w:val="231F20"/>
        </w:rPr>
        <w:t>the</w:t>
      </w:r>
      <w:r>
        <w:rPr>
          <w:color w:val="231F20"/>
          <w:spacing w:val="-4"/>
        </w:rPr>
        <w:t> </w:t>
      </w:r>
      <w:r>
        <w:rPr>
          <w:color w:val="231F20"/>
          <w:spacing w:val="-1"/>
        </w:rPr>
        <w:t>27</w:t>
      </w:r>
      <w:r>
        <w:rPr>
          <w:color w:val="231F20"/>
          <w:spacing w:val="-3"/>
        </w:rPr>
        <w:t> </w:t>
      </w:r>
      <w:r>
        <w:rPr>
          <w:color w:val="231F20"/>
        </w:rPr>
        <w:t>Aboriginal</w:t>
      </w:r>
      <w:r>
        <w:rPr>
          <w:color w:val="231F20"/>
          <w:spacing w:val="24"/>
          <w:w w:val="99"/>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7"/>
        </w:rPr>
        <w:t> </w:t>
      </w:r>
      <w:r>
        <w:rPr>
          <w:color w:val="231F20"/>
        </w:rPr>
        <w:t>providers</w:t>
      </w:r>
      <w:r>
        <w:rPr>
          <w:color w:val="231F20"/>
          <w:spacing w:val="21"/>
          <w:w w:val="99"/>
        </w:rPr>
        <w:t> </w:t>
      </w:r>
      <w:r>
        <w:rPr>
          <w:color w:val="231F20"/>
        </w:rPr>
        <w:t>analysed</w:t>
      </w:r>
      <w:r>
        <w:rPr>
          <w:color w:val="231F20"/>
          <w:spacing w:val="-5"/>
        </w:rPr>
        <w:t> </w:t>
      </w:r>
      <w:r>
        <w:rPr>
          <w:color w:val="231F20"/>
        </w:rPr>
        <w:t>for</w:t>
      </w:r>
      <w:r>
        <w:rPr>
          <w:color w:val="231F20"/>
          <w:spacing w:val="-4"/>
        </w:rPr>
        <w:t> </w:t>
      </w:r>
      <w:r>
        <w:rPr>
          <w:color w:val="231F20"/>
        </w:rPr>
        <w:t>this</w:t>
      </w:r>
      <w:r>
        <w:rPr>
          <w:color w:val="231F20"/>
          <w:spacing w:val="-4"/>
        </w:rPr>
        <w:t> </w:t>
      </w:r>
      <w:r>
        <w:rPr>
          <w:color w:val="231F20"/>
        </w:rPr>
        <w:t>report</w:t>
      </w:r>
      <w:r>
        <w:rPr>
          <w:color w:val="231F20"/>
          <w:spacing w:val="-5"/>
        </w:rPr>
        <w:t> </w:t>
      </w:r>
      <w:r>
        <w:rPr>
          <w:color w:val="231F20"/>
        </w:rPr>
        <w:t>was</w:t>
      </w:r>
      <w:r>
        <w:rPr>
          <w:color w:val="231F20"/>
          <w:spacing w:val="-4"/>
        </w:rPr>
        <w:t> </w:t>
      </w:r>
      <w:r>
        <w:rPr>
          <w:color w:val="231F20"/>
          <w:spacing w:val="-1"/>
        </w:rPr>
        <w:t>$16,679</w:t>
      </w:r>
      <w:r>
        <w:rPr>
          <w:color w:val="231F20"/>
          <w:spacing w:val="-4"/>
        </w:rPr>
        <w:t> </w:t>
      </w:r>
      <w:r>
        <w:rPr>
          <w:color w:val="231F20"/>
        </w:rPr>
        <w:t>and</w:t>
      </w:r>
      <w:r>
        <w:rPr>
          <w:color w:val="231F20"/>
          <w:spacing w:val="-5"/>
        </w:rPr>
        <w:t> </w:t>
      </w:r>
      <w:r>
        <w:rPr>
          <w:color w:val="231F20"/>
        </w:rPr>
        <w:t>the</w:t>
      </w:r>
      <w:r>
        <w:rPr>
          <w:color w:val="231F20"/>
          <w:spacing w:val="22"/>
          <w:w w:val="99"/>
        </w:rPr>
        <w:t> </w:t>
      </w:r>
      <w:r>
        <w:rPr>
          <w:color w:val="231F20"/>
        </w:rPr>
        <w:t>comparative</w:t>
      </w:r>
      <w:r>
        <w:rPr>
          <w:color w:val="231F20"/>
          <w:spacing w:val="-8"/>
        </w:rPr>
        <w:t> </w:t>
      </w:r>
      <w:r>
        <w:rPr>
          <w:color w:val="231F20"/>
        </w:rPr>
        <w:t>average</w:t>
      </w:r>
      <w:r>
        <w:rPr>
          <w:color w:val="231F20"/>
          <w:spacing w:val="-7"/>
        </w:rPr>
        <w:t> </w:t>
      </w:r>
      <w:r>
        <w:rPr>
          <w:color w:val="231F20"/>
        </w:rPr>
        <w:t>cost</w:t>
      </w:r>
      <w:r>
        <w:rPr>
          <w:color w:val="231F20"/>
          <w:spacing w:val="-7"/>
        </w:rPr>
        <w:t> </w:t>
      </w:r>
      <w:r>
        <w:rPr>
          <w:color w:val="231F20"/>
        </w:rPr>
        <w:t>per</w:t>
      </w:r>
      <w:r>
        <w:rPr>
          <w:color w:val="231F20"/>
          <w:spacing w:val="-6"/>
        </w:rPr>
        <w:t> </w:t>
      </w:r>
      <w:r>
        <w:rPr>
          <w:color w:val="231F20"/>
        </w:rPr>
        <w:t>boarder</w:t>
      </w:r>
      <w:r>
        <w:rPr>
          <w:color w:val="231F20"/>
          <w:spacing w:val="-7"/>
        </w:rPr>
        <w:t> </w:t>
      </w:r>
      <w:r>
        <w:rPr>
          <w:color w:val="231F20"/>
        </w:rPr>
        <w:t>was</w:t>
      </w:r>
      <w:r>
        <w:rPr/>
      </w:r>
    </w:p>
    <w:p>
      <w:pPr>
        <w:pStyle w:val="BodyText"/>
        <w:spacing w:line="242" w:lineRule="exact"/>
        <w:ind w:left="100" w:right="0"/>
        <w:jc w:val="left"/>
      </w:pPr>
      <w:r>
        <w:rPr>
          <w:color w:val="231F20"/>
          <w:spacing w:val="-1"/>
        </w:rPr>
        <w:t>$22,927,</w:t>
      </w:r>
      <w:r>
        <w:rPr>
          <w:color w:val="231F20"/>
          <w:spacing w:val="-8"/>
        </w:rPr>
        <w:t> </w:t>
      </w:r>
      <w:r>
        <w:rPr>
          <w:color w:val="231F20"/>
        </w:rPr>
        <w:t>representing</w:t>
      </w:r>
      <w:r>
        <w:rPr>
          <w:color w:val="231F20"/>
          <w:spacing w:val="-9"/>
        </w:rPr>
        <w:t> </w:t>
      </w:r>
      <w:r>
        <w:rPr>
          <w:color w:val="231F20"/>
        </w:rPr>
        <w:t>an</w:t>
      </w:r>
      <w:r>
        <w:rPr>
          <w:color w:val="231F20"/>
          <w:spacing w:val="-8"/>
        </w:rPr>
        <w:t> </w:t>
      </w:r>
      <w:r>
        <w:rPr>
          <w:color w:val="231F20"/>
        </w:rPr>
        <w:t>average</w:t>
      </w:r>
      <w:r>
        <w:rPr>
          <w:color w:val="231F20"/>
          <w:spacing w:val="-8"/>
        </w:rPr>
        <w:t> </w:t>
      </w:r>
      <w:r>
        <w:rPr>
          <w:color w:val="231F20"/>
          <w:spacing w:val="-1"/>
        </w:rPr>
        <w:t>shortfall</w:t>
      </w:r>
      <w:r>
        <w:rPr>
          <w:color w:val="231F20"/>
          <w:spacing w:val="-7"/>
        </w:rPr>
        <w:t> </w:t>
      </w:r>
      <w:r>
        <w:rPr>
          <w:color w:val="231F20"/>
        </w:rPr>
        <w:t>of</w:t>
      </w:r>
      <w:r>
        <w:rPr/>
      </w:r>
    </w:p>
    <w:p>
      <w:pPr>
        <w:pStyle w:val="BodyText"/>
        <w:spacing w:line="250" w:lineRule="exact" w:before="8"/>
        <w:ind w:left="100" w:right="156"/>
        <w:jc w:val="left"/>
      </w:pPr>
      <w:r>
        <w:rPr>
          <w:color w:val="231F20"/>
          <w:spacing w:val="-1"/>
        </w:rPr>
        <w:t>$6,248</w:t>
      </w:r>
      <w:r>
        <w:rPr>
          <w:color w:val="231F20"/>
          <w:spacing w:val="-4"/>
        </w:rPr>
        <w:t> </w:t>
      </w:r>
      <w:r>
        <w:rPr>
          <w:color w:val="231F20"/>
        </w:rPr>
        <w:t>per</w:t>
      </w:r>
      <w:r>
        <w:rPr>
          <w:color w:val="231F20"/>
          <w:spacing w:val="-4"/>
        </w:rPr>
        <w:t> </w:t>
      </w:r>
      <w:r>
        <w:rPr>
          <w:color w:val="231F20"/>
          <w:spacing w:val="-1"/>
        </w:rPr>
        <w:t>boarder.</w:t>
      </w:r>
      <w:r>
        <w:rPr>
          <w:rFonts w:ascii="Segoe UI Semibold"/>
          <w:b/>
          <w:color w:val="231F20"/>
          <w:spacing w:val="-1"/>
          <w:position w:val="7"/>
          <w:sz w:val="11"/>
        </w:rPr>
        <w:t>7</w:t>
      </w:r>
      <w:r>
        <w:rPr>
          <w:rFonts w:ascii="Segoe UI Semibold"/>
          <w:b/>
          <w:color w:val="231F20"/>
          <w:spacing w:val="20"/>
          <w:position w:val="7"/>
          <w:sz w:val="11"/>
        </w:rPr>
        <w:t> </w:t>
      </w:r>
      <w:r>
        <w:rPr>
          <w:color w:val="231F20"/>
        </w:rPr>
        <w:t>Across</w:t>
      </w:r>
      <w:r>
        <w:rPr>
          <w:color w:val="231F20"/>
          <w:spacing w:val="-3"/>
        </w:rPr>
        <w:t> </w:t>
      </w:r>
      <w:r>
        <w:rPr>
          <w:color w:val="231F20"/>
        </w:rPr>
        <w:t>the</w:t>
      </w:r>
      <w:r>
        <w:rPr>
          <w:color w:val="231F20"/>
          <w:spacing w:val="-5"/>
        </w:rPr>
        <w:t> </w:t>
      </w:r>
      <w:r>
        <w:rPr>
          <w:color w:val="231F20"/>
        </w:rPr>
        <w:t>three-year</w:t>
      </w:r>
      <w:r>
        <w:rPr>
          <w:color w:val="231F20"/>
          <w:spacing w:val="30"/>
          <w:w w:val="99"/>
        </w:rPr>
        <w:t> </w:t>
      </w:r>
      <w:r>
        <w:rPr>
          <w:color w:val="231F20"/>
        </w:rPr>
        <w:t>average</w:t>
      </w:r>
      <w:r>
        <w:rPr>
          <w:color w:val="231F20"/>
          <w:spacing w:val="-5"/>
        </w:rPr>
        <w:t> </w:t>
      </w:r>
      <w:r>
        <w:rPr>
          <w:color w:val="231F20"/>
        </w:rPr>
        <w:t>of</w:t>
      </w:r>
      <w:r>
        <w:rPr>
          <w:color w:val="231F20"/>
          <w:spacing w:val="-5"/>
        </w:rPr>
        <w:t> </w:t>
      </w:r>
      <w:r>
        <w:rPr>
          <w:color w:val="231F20"/>
          <w:spacing w:val="-1"/>
        </w:rPr>
        <w:t>1,918</w:t>
      </w:r>
      <w:r>
        <w:rPr>
          <w:color w:val="231F20"/>
          <w:spacing w:val="-4"/>
        </w:rPr>
        <w:t> </w:t>
      </w:r>
      <w:r>
        <w:rPr>
          <w:color w:val="231F20"/>
        </w:rPr>
        <w:t>Aboriginal</w:t>
      </w:r>
      <w:r>
        <w:rPr>
          <w:color w:val="231F20"/>
          <w:spacing w:val="-4"/>
        </w:rPr>
        <w:t> </w:t>
      </w:r>
      <w:r>
        <w:rPr>
          <w:color w:val="231F20"/>
        </w:rPr>
        <w:t>and</w:t>
      </w:r>
      <w:r>
        <w:rPr>
          <w:color w:val="231F20"/>
          <w:spacing w:val="-5"/>
        </w:rPr>
        <w:t> Torres</w:t>
      </w:r>
      <w:r>
        <w:rPr>
          <w:color w:val="231F20"/>
          <w:spacing w:val="-4"/>
        </w:rPr>
        <w:t> </w:t>
      </w:r>
      <w:r>
        <w:rPr>
          <w:color w:val="231F20"/>
          <w:spacing w:val="-2"/>
        </w:rPr>
        <w:t>Strait</w:t>
      </w:r>
      <w:r>
        <w:rPr>
          <w:color w:val="231F20"/>
          <w:spacing w:val="21"/>
          <w:w w:val="99"/>
        </w:rPr>
        <w:t> </w:t>
      </w:r>
      <w:r>
        <w:rPr>
          <w:color w:val="231F20"/>
          <w:spacing w:val="-1"/>
        </w:rPr>
        <w:t>Islander</w:t>
      </w:r>
      <w:r>
        <w:rPr>
          <w:color w:val="231F20"/>
          <w:spacing w:val="-9"/>
        </w:rPr>
        <w:t> </w:t>
      </w:r>
      <w:r>
        <w:rPr>
          <w:color w:val="231F20"/>
        </w:rPr>
        <w:t>boarders</w:t>
      </w:r>
      <w:r>
        <w:rPr>
          <w:color w:val="231F20"/>
          <w:spacing w:val="-10"/>
        </w:rPr>
        <w:t> </w:t>
      </w:r>
      <w:r>
        <w:rPr>
          <w:color w:val="231F20"/>
        </w:rPr>
        <w:t>attending</w:t>
      </w:r>
      <w:r>
        <w:rPr>
          <w:color w:val="231F20"/>
          <w:spacing w:val="-10"/>
        </w:rPr>
        <w:t> </w:t>
      </w:r>
      <w:r>
        <w:rPr>
          <w:color w:val="231F20"/>
        </w:rPr>
        <w:t>the</w:t>
      </w:r>
      <w:r>
        <w:rPr>
          <w:color w:val="231F20"/>
          <w:spacing w:val="-10"/>
        </w:rPr>
        <w:t> </w:t>
      </w:r>
      <w:r>
        <w:rPr>
          <w:color w:val="231F20"/>
        </w:rPr>
        <w:t>Aboriginal</w:t>
      </w:r>
      <w:r>
        <w:rPr>
          <w:color w:val="231F20"/>
          <w:spacing w:val="22"/>
          <w:w w:val="99"/>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7"/>
        </w:rPr>
        <w:t> </w:t>
      </w:r>
      <w:r>
        <w:rPr>
          <w:color w:val="231F20"/>
        </w:rPr>
        <w:t>providers</w:t>
      </w:r>
      <w:r>
        <w:rPr>
          <w:color w:val="231F20"/>
          <w:spacing w:val="21"/>
          <w:w w:val="99"/>
        </w:rPr>
        <w:t> </w:t>
      </w:r>
      <w:r>
        <w:rPr>
          <w:color w:val="231F20"/>
          <w:spacing w:val="-1"/>
        </w:rPr>
        <w:t>included</w:t>
      </w:r>
      <w:r>
        <w:rPr>
          <w:color w:val="231F20"/>
          <w:spacing w:val="-4"/>
        </w:rPr>
        <w:t> </w:t>
      </w:r>
      <w:r>
        <w:rPr>
          <w:color w:val="231F20"/>
          <w:spacing w:val="-1"/>
        </w:rPr>
        <w:t>in</w:t>
      </w:r>
      <w:r>
        <w:rPr>
          <w:color w:val="231F20"/>
          <w:spacing w:val="-4"/>
        </w:rPr>
        <w:t> </w:t>
      </w:r>
      <w:r>
        <w:rPr>
          <w:color w:val="231F20"/>
        </w:rPr>
        <w:t>the</w:t>
      </w:r>
      <w:r>
        <w:rPr>
          <w:color w:val="231F20"/>
          <w:spacing w:val="-4"/>
        </w:rPr>
        <w:t> </w:t>
      </w:r>
      <w:r>
        <w:rPr>
          <w:color w:val="231F20"/>
        </w:rPr>
        <w:t>analysis,</w:t>
      </w:r>
      <w:r>
        <w:rPr>
          <w:color w:val="231F20"/>
          <w:spacing w:val="-5"/>
        </w:rPr>
        <w:t> </w:t>
      </w:r>
      <w:r>
        <w:rPr>
          <w:color w:val="231F20"/>
        </w:rPr>
        <w:t>this</w:t>
      </w:r>
      <w:r>
        <w:rPr>
          <w:color w:val="231F20"/>
          <w:spacing w:val="-4"/>
        </w:rPr>
        <w:t> </w:t>
      </w:r>
      <w:r>
        <w:rPr>
          <w:color w:val="231F20"/>
        </w:rPr>
        <w:t>represents</w:t>
      </w:r>
      <w:r>
        <w:rPr>
          <w:color w:val="231F20"/>
          <w:spacing w:val="-6"/>
        </w:rPr>
        <w:t> </w:t>
      </w:r>
      <w:r>
        <w:rPr>
          <w:color w:val="231F20"/>
        </w:rPr>
        <w:t>a</w:t>
      </w:r>
      <w:r>
        <w:rPr>
          <w:color w:val="231F20"/>
          <w:spacing w:val="-3"/>
        </w:rPr>
        <w:t> </w:t>
      </w:r>
      <w:r>
        <w:rPr>
          <w:color w:val="231F20"/>
        </w:rPr>
        <w:t>total</w:t>
      </w:r>
      <w:r>
        <w:rPr>
          <w:color w:val="231F20"/>
          <w:spacing w:val="23"/>
          <w:w w:val="99"/>
        </w:rPr>
        <w:t> </w:t>
      </w:r>
      <w:r>
        <w:rPr>
          <w:color w:val="231F20"/>
        </w:rPr>
        <w:t>revenue</w:t>
      </w:r>
      <w:r>
        <w:rPr>
          <w:color w:val="231F20"/>
          <w:spacing w:val="-7"/>
        </w:rPr>
        <w:t> </w:t>
      </w:r>
      <w:r>
        <w:rPr>
          <w:color w:val="231F20"/>
          <w:spacing w:val="-1"/>
        </w:rPr>
        <w:t>shortfall</w:t>
      </w:r>
      <w:r>
        <w:rPr>
          <w:color w:val="231F20"/>
          <w:spacing w:val="-4"/>
        </w:rPr>
        <w:t> </w:t>
      </w:r>
      <w:r>
        <w:rPr>
          <w:color w:val="231F20"/>
        </w:rPr>
        <w:t>of</w:t>
      </w:r>
      <w:r>
        <w:rPr>
          <w:color w:val="231F20"/>
          <w:spacing w:val="-6"/>
        </w:rPr>
        <w:t> </w:t>
      </w:r>
      <w:r>
        <w:rPr>
          <w:color w:val="231F20"/>
          <w:spacing w:val="-1"/>
        </w:rPr>
        <w:t>$11,9</w:t>
      </w:r>
      <w:r>
        <w:rPr>
          <w:rFonts w:ascii="Segoe UI"/>
          <w:color w:val="231F20"/>
          <w:spacing w:val="-1"/>
        </w:rPr>
        <w:t>83,664</w:t>
      </w:r>
      <w:r>
        <w:rPr>
          <w:color w:val="231F20"/>
          <w:spacing w:val="-1"/>
        </w:rPr>
        <w:t>.</w:t>
      </w:r>
      <w:r>
        <w:rPr/>
      </w:r>
    </w:p>
    <w:p>
      <w:pPr>
        <w:pStyle w:val="BodyText"/>
        <w:spacing w:line="250" w:lineRule="exact" w:before="113"/>
        <w:ind w:left="100" w:right="92"/>
        <w:jc w:val="left"/>
      </w:pPr>
      <w:r>
        <w:rPr>
          <w:color w:val="231F20"/>
        </w:rPr>
        <w:t>The</w:t>
      </w:r>
      <w:r>
        <w:rPr>
          <w:color w:val="231F20"/>
          <w:spacing w:val="-4"/>
        </w:rPr>
        <w:t> </w:t>
      </w:r>
      <w:r>
        <w:rPr>
          <w:color w:val="231F20"/>
          <w:spacing w:val="-1"/>
        </w:rPr>
        <w:t>median</w:t>
      </w:r>
      <w:r>
        <w:rPr>
          <w:color w:val="231F20"/>
          <w:spacing w:val="-4"/>
        </w:rPr>
        <w:t> </w:t>
      </w:r>
      <w:r>
        <w:rPr>
          <w:color w:val="231F20"/>
        </w:rPr>
        <w:t>average</w:t>
      </w:r>
      <w:r>
        <w:rPr>
          <w:color w:val="231F20"/>
          <w:spacing w:val="-5"/>
        </w:rPr>
        <w:t> </w:t>
      </w:r>
      <w:r>
        <w:rPr>
          <w:color w:val="231F20"/>
        </w:rPr>
        <w:t>revenue</w:t>
      </w:r>
      <w:r>
        <w:rPr>
          <w:color w:val="231F20"/>
          <w:spacing w:val="-5"/>
        </w:rPr>
        <w:t> </w:t>
      </w:r>
      <w:r>
        <w:rPr>
          <w:color w:val="231F20"/>
        </w:rPr>
        <w:t>and</w:t>
      </w:r>
      <w:r>
        <w:rPr>
          <w:color w:val="231F20"/>
          <w:spacing w:val="-5"/>
        </w:rPr>
        <w:t> </w:t>
      </w:r>
      <w:r>
        <w:rPr>
          <w:color w:val="231F20"/>
        </w:rPr>
        <w:t>cost</w:t>
      </w:r>
      <w:r>
        <w:rPr>
          <w:color w:val="231F20"/>
          <w:spacing w:val="-5"/>
        </w:rPr>
        <w:t> </w:t>
      </w:r>
      <w:r>
        <w:rPr>
          <w:color w:val="231F20"/>
        </w:rPr>
        <w:t>per</w:t>
      </w:r>
      <w:r>
        <w:rPr>
          <w:color w:val="231F20"/>
          <w:spacing w:val="21"/>
          <w:w w:val="99"/>
        </w:rPr>
        <w:t> </w:t>
      </w:r>
      <w:r>
        <w:rPr>
          <w:color w:val="231F20"/>
        </w:rPr>
        <w:t>boarder</w:t>
      </w:r>
      <w:r>
        <w:rPr>
          <w:color w:val="231F20"/>
          <w:spacing w:val="-5"/>
        </w:rPr>
        <w:t> </w:t>
      </w:r>
      <w:r>
        <w:rPr>
          <w:color w:val="231F20"/>
        </w:rPr>
        <w:t>for</w:t>
      </w:r>
      <w:r>
        <w:rPr>
          <w:color w:val="231F20"/>
          <w:spacing w:val="-5"/>
        </w:rPr>
        <w:t> </w:t>
      </w:r>
      <w:r>
        <w:rPr>
          <w:color w:val="231F20"/>
        </w:rPr>
        <w:t>the</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w:t>
      </w:r>
      <w:r>
        <w:rPr>
          <w:color w:val="231F20"/>
          <w:spacing w:val="-4"/>
        </w:rPr>
        <w:t> </w:t>
      </w:r>
      <w:r>
        <w:rPr>
          <w:color w:val="231F20"/>
          <w:spacing w:val="-2"/>
        </w:rPr>
        <w:t>Strait</w:t>
      </w:r>
      <w:r>
        <w:rPr>
          <w:color w:val="231F20"/>
          <w:spacing w:val="28"/>
          <w:w w:val="99"/>
        </w:rPr>
        <w:t> </w:t>
      </w:r>
      <w:r>
        <w:rPr>
          <w:color w:val="231F20"/>
          <w:spacing w:val="-1"/>
        </w:rPr>
        <w:t>Islander</w:t>
      </w:r>
      <w:r>
        <w:rPr>
          <w:color w:val="231F20"/>
          <w:spacing w:val="-6"/>
        </w:rPr>
        <w:t> </w:t>
      </w:r>
      <w:r>
        <w:rPr>
          <w:color w:val="231F20"/>
        </w:rPr>
        <w:t>boarding</w:t>
      </w:r>
      <w:r>
        <w:rPr>
          <w:color w:val="231F20"/>
          <w:spacing w:val="-6"/>
        </w:rPr>
        <w:t> </w:t>
      </w:r>
      <w:r>
        <w:rPr>
          <w:color w:val="231F20"/>
        </w:rPr>
        <w:t>providers</w:t>
      </w:r>
      <w:r>
        <w:rPr>
          <w:color w:val="231F20"/>
          <w:spacing w:val="-6"/>
        </w:rPr>
        <w:t> </w:t>
      </w:r>
      <w:r>
        <w:rPr>
          <w:color w:val="231F20"/>
          <w:spacing w:val="-1"/>
        </w:rPr>
        <w:t>in</w:t>
      </w:r>
      <w:r>
        <w:rPr>
          <w:color w:val="231F20"/>
          <w:spacing w:val="-6"/>
        </w:rPr>
        <w:t> </w:t>
      </w:r>
      <w:r>
        <w:rPr>
          <w:color w:val="231F20"/>
          <w:spacing w:val="-1"/>
        </w:rPr>
        <w:t>2017</w:t>
      </w:r>
      <w:r>
        <w:rPr>
          <w:color w:val="231F20"/>
          <w:spacing w:val="-5"/>
        </w:rPr>
        <w:t> </w:t>
      </w:r>
      <w:r>
        <w:rPr>
          <w:color w:val="231F20"/>
        </w:rPr>
        <w:t>was</w:t>
      </w:r>
      <w:r>
        <w:rPr/>
      </w:r>
    </w:p>
    <w:p>
      <w:pPr>
        <w:pStyle w:val="BodyText"/>
        <w:spacing w:line="250" w:lineRule="exact"/>
        <w:ind w:left="100" w:right="92"/>
        <w:jc w:val="left"/>
      </w:pPr>
      <w:r>
        <w:rPr>
          <w:color w:val="231F20"/>
          <w:spacing w:val="-1"/>
        </w:rPr>
        <w:t>$18,697</w:t>
      </w:r>
      <w:r>
        <w:rPr>
          <w:color w:val="231F20"/>
          <w:spacing w:val="-7"/>
        </w:rPr>
        <w:t> </w:t>
      </w:r>
      <w:r>
        <w:rPr>
          <w:color w:val="231F20"/>
        </w:rPr>
        <w:t>and</w:t>
      </w:r>
      <w:r>
        <w:rPr>
          <w:color w:val="231F20"/>
          <w:spacing w:val="-6"/>
        </w:rPr>
        <w:t> </w:t>
      </w:r>
      <w:r>
        <w:rPr>
          <w:color w:val="231F20"/>
          <w:spacing w:val="-1"/>
        </w:rPr>
        <w:t>$25,012</w:t>
      </w:r>
      <w:r>
        <w:rPr>
          <w:color w:val="231F20"/>
          <w:spacing w:val="-6"/>
        </w:rPr>
        <w:t> </w:t>
      </w:r>
      <w:r>
        <w:rPr>
          <w:color w:val="231F20"/>
        </w:rPr>
        <w:t>respectively—a</w:t>
      </w:r>
      <w:r>
        <w:rPr>
          <w:color w:val="231F20"/>
          <w:spacing w:val="-8"/>
        </w:rPr>
        <w:t> </w:t>
      </w:r>
      <w:r>
        <w:rPr>
          <w:color w:val="231F20"/>
          <w:spacing w:val="-1"/>
        </w:rPr>
        <w:t>shortfall</w:t>
      </w:r>
      <w:r>
        <w:rPr>
          <w:color w:val="231F20"/>
          <w:spacing w:val="22"/>
          <w:w w:val="99"/>
        </w:rPr>
        <w:t> </w:t>
      </w:r>
      <w:r>
        <w:rPr>
          <w:color w:val="231F20"/>
        </w:rPr>
        <w:t>of</w:t>
      </w:r>
      <w:r>
        <w:rPr>
          <w:color w:val="231F20"/>
          <w:spacing w:val="-5"/>
        </w:rPr>
        <w:t> </w:t>
      </w:r>
      <w:r>
        <w:rPr>
          <w:color w:val="231F20"/>
          <w:spacing w:val="-1"/>
        </w:rPr>
        <w:t>$6,315</w:t>
      </w:r>
      <w:r>
        <w:rPr>
          <w:color w:val="231F20"/>
          <w:spacing w:val="-4"/>
        </w:rPr>
        <w:t> </w:t>
      </w:r>
      <w:r>
        <w:rPr>
          <w:color w:val="231F20"/>
        </w:rPr>
        <w:t>per</w:t>
      </w:r>
      <w:r>
        <w:rPr>
          <w:color w:val="231F20"/>
          <w:spacing w:val="-4"/>
        </w:rPr>
        <w:t> </w:t>
      </w:r>
      <w:r>
        <w:rPr>
          <w:color w:val="231F20"/>
        </w:rPr>
        <w:t>boarder.</w:t>
      </w:r>
      <w:r>
        <w:rPr/>
      </w:r>
    </w:p>
    <w:p>
      <w:pPr>
        <w:pStyle w:val="BodyText"/>
        <w:spacing w:line="250" w:lineRule="exact" w:before="113"/>
        <w:ind w:left="100" w:right="156"/>
        <w:jc w:val="left"/>
      </w:pPr>
      <w:r>
        <w:rPr>
          <w:color w:val="231F20"/>
        </w:rPr>
        <w:t>At</w:t>
      </w:r>
      <w:r>
        <w:rPr>
          <w:color w:val="231F20"/>
          <w:spacing w:val="-5"/>
        </w:rPr>
        <w:t> </w:t>
      </w:r>
      <w:r>
        <w:rPr>
          <w:color w:val="231F20"/>
        </w:rPr>
        <w:t>the</w:t>
      </w:r>
      <w:r>
        <w:rPr>
          <w:color w:val="231F20"/>
          <w:spacing w:val="-5"/>
        </w:rPr>
        <w:t> </w:t>
      </w:r>
      <w:r>
        <w:rPr>
          <w:color w:val="231F20"/>
          <w:spacing w:val="-1"/>
        </w:rPr>
        <w:t>23</w:t>
      </w:r>
      <w:r>
        <w:rPr>
          <w:color w:val="231F20"/>
          <w:spacing w:val="-4"/>
        </w:rPr>
        <w:t> </w:t>
      </w:r>
      <w:r>
        <w:rPr>
          <w:color w:val="231F20"/>
          <w:spacing w:val="-1"/>
        </w:rPr>
        <w:t>mainstream</w:t>
      </w:r>
      <w:r>
        <w:rPr>
          <w:color w:val="231F20"/>
          <w:spacing w:val="-3"/>
        </w:rPr>
        <w:t> </w:t>
      </w:r>
      <w:r>
        <w:rPr>
          <w:color w:val="231F20"/>
        </w:rPr>
        <w:t>boarding</w:t>
      </w:r>
      <w:r>
        <w:rPr>
          <w:color w:val="231F20"/>
          <w:spacing w:val="-6"/>
        </w:rPr>
        <w:t> </w:t>
      </w:r>
      <w:r>
        <w:rPr>
          <w:color w:val="231F20"/>
        </w:rPr>
        <w:t>providers</w:t>
      </w:r>
      <w:r>
        <w:rPr>
          <w:color w:val="231F20"/>
          <w:spacing w:val="23"/>
          <w:w w:val="99"/>
        </w:rPr>
        <w:t> </w:t>
      </w:r>
      <w:r>
        <w:rPr>
          <w:color w:val="231F20"/>
        </w:rPr>
        <w:t>analysed,</w:t>
      </w:r>
      <w:r>
        <w:rPr>
          <w:color w:val="231F20"/>
          <w:spacing w:val="-8"/>
        </w:rPr>
        <w:t> </w:t>
      </w:r>
      <w:r>
        <w:rPr>
          <w:color w:val="231F20"/>
        </w:rPr>
        <w:t>the</w:t>
      </w:r>
      <w:r>
        <w:rPr>
          <w:color w:val="231F20"/>
          <w:spacing w:val="-8"/>
        </w:rPr>
        <w:t> </w:t>
      </w:r>
      <w:r>
        <w:rPr>
          <w:color w:val="231F20"/>
        </w:rPr>
        <w:t>average</w:t>
      </w:r>
      <w:r>
        <w:rPr>
          <w:color w:val="231F20"/>
          <w:spacing w:val="-8"/>
        </w:rPr>
        <w:t> </w:t>
      </w:r>
      <w:r>
        <w:rPr>
          <w:color w:val="231F20"/>
          <w:spacing w:val="-1"/>
        </w:rPr>
        <w:t>shortfall</w:t>
      </w:r>
      <w:r>
        <w:rPr>
          <w:color w:val="231F20"/>
          <w:spacing w:val="-6"/>
        </w:rPr>
        <w:t> </w:t>
      </w:r>
      <w:r>
        <w:rPr>
          <w:color w:val="231F20"/>
        </w:rPr>
        <w:t>per</w:t>
      </w:r>
      <w:r>
        <w:rPr>
          <w:color w:val="231F20"/>
          <w:spacing w:val="-7"/>
        </w:rPr>
        <w:t> </w:t>
      </w:r>
      <w:r>
        <w:rPr>
          <w:color w:val="231F20"/>
        </w:rPr>
        <w:t>boarder</w:t>
      </w:r>
      <w:r>
        <w:rPr>
          <w:color w:val="231F20"/>
          <w:spacing w:val="22"/>
          <w:w w:val="99"/>
        </w:rPr>
        <w:t> </w:t>
      </w:r>
      <w:r>
        <w:rPr>
          <w:color w:val="231F20"/>
        </w:rPr>
        <w:t>from</w:t>
      </w:r>
      <w:r>
        <w:rPr>
          <w:color w:val="231F20"/>
          <w:spacing w:val="-5"/>
        </w:rPr>
        <w:t> </w:t>
      </w:r>
      <w:r>
        <w:rPr>
          <w:color w:val="231F20"/>
          <w:spacing w:val="-1"/>
        </w:rPr>
        <w:t>2015—2017</w:t>
      </w:r>
      <w:r>
        <w:rPr>
          <w:color w:val="231F20"/>
          <w:spacing w:val="-5"/>
        </w:rPr>
        <w:t> </w:t>
      </w:r>
      <w:r>
        <w:rPr>
          <w:color w:val="231F20"/>
        </w:rPr>
        <w:t>was</w:t>
      </w:r>
      <w:r>
        <w:rPr>
          <w:color w:val="231F20"/>
          <w:spacing w:val="-6"/>
        </w:rPr>
        <w:t> </w:t>
      </w:r>
      <w:r>
        <w:rPr>
          <w:color w:val="231F20"/>
          <w:spacing w:val="-1"/>
        </w:rPr>
        <w:t>$1,972.</w:t>
      </w:r>
      <w:r>
        <w:rPr>
          <w:color w:val="231F20"/>
          <w:spacing w:val="-5"/>
        </w:rPr>
        <w:t> </w:t>
      </w:r>
      <w:r>
        <w:rPr>
          <w:color w:val="231F20"/>
        </w:rPr>
        <w:t>However,</w:t>
      </w:r>
      <w:r>
        <w:rPr>
          <w:color w:val="231F20"/>
          <w:spacing w:val="-5"/>
        </w:rPr>
        <w:t> </w:t>
      </w:r>
      <w:r>
        <w:rPr>
          <w:color w:val="231F20"/>
        </w:rPr>
        <w:t>the</w:t>
      </w:r>
      <w:r>
        <w:rPr>
          <w:color w:val="231F20"/>
          <w:spacing w:val="23"/>
          <w:w w:val="99"/>
        </w:rPr>
        <w:t> </w:t>
      </w:r>
      <w:r>
        <w:rPr>
          <w:color w:val="231F20"/>
          <w:spacing w:val="-1"/>
        </w:rPr>
        <w:t>median</w:t>
      </w:r>
      <w:r>
        <w:rPr>
          <w:color w:val="231F20"/>
          <w:spacing w:val="-3"/>
        </w:rPr>
        <w:t> </w:t>
      </w:r>
      <w:r>
        <w:rPr>
          <w:color w:val="231F20"/>
        </w:rPr>
        <w:t>revenue</w:t>
      </w:r>
      <w:r>
        <w:rPr>
          <w:color w:val="231F20"/>
          <w:spacing w:val="-4"/>
        </w:rPr>
        <w:t> </w:t>
      </w:r>
      <w:r>
        <w:rPr>
          <w:color w:val="231F20"/>
        </w:rPr>
        <w:t>and</w:t>
      </w:r>
      <w:r>
        <w:rPr>
          <w:color w:val="231F20"/>
          <w:spacing w:val="-3"/>
        </w:rPr>
        <w:t> </w:t>
      </w:r>
      <w:r>
        <w:rPr>
          <w:color w:val="231F20"/>
        </w:rPr>
        <w:t>cost</w:t>
      </w:r>
      <w:r>
        <w:rPr>
          <w:color w:val="231F20"/>
          <w:spacing w:val="-4"/>
        </w:rPr>
        <w:t> </w:t>
      </w:r>
      <w:r>
        <w:rPr>
          <w:color w:val="231F20"/>
        </w:rPr>
        <w:t>for</w:t>
      </w:r>
      <w:r>
        <w:rPr>
          <w:color w:val="231F20"/>
          <w:spacing w:val="-3"/>
        </w:rPr>
        <w:t> </w:t>
      </w:r>
      <w:r>
        <w:rPr>
          <w:color w:val="231F20"/>
        </w:rPr>
        <w:t>the</w:t>
      </w:r>
      <w:r>
        <w:rPr>
          <w:color w:val="231F20"/>
          <w:spacing w:val="-3"/>
        </w:rPr>
        <w:t> </w:t>
      </w:r>
      <w:r>
        <w:rPr>
          <w:color w:val="231F20"/>
          <w:spacing w:val="-1"/>
        </w:rPr>
        <w:t>mainstream</w:t>
      </w:r>
      <w:r>
        <w:rPr>
          <w:color w:val="231F20"/>
          <w:spacing w:val="21"/>
        </w:rPr>
        <w:t> </w:t>
      </w:r>
      <w:r>
        <w:rPr>
          <w:color w:val="231F20"/>
        </w:rPr>
        <w:t>boarding</w:t>
      </w:r>
      <w:r>
        <w:rPr>
          <w:color w:val="231F20"/>
          <w:spacing w:val="-5"/>
        </w:rPr>
        <w:t> </w:t>
      </w:r>
      <w:r>
        <w:rPr>
          <w:color w:val="231F20"/>
        </w:rPr>
        <w:t>providers</w:t>
      </w:r>
      <w:r>
        <w:rPr>
          <w:color w:val="231F20"/>
          <w:spacing w:val="-5"/>
        </w:rPr>
        <w:t> </w:t>
      </w:r>
      <w:r>
        <w:rPr>
          <w:color w:val="231F20"/>
          <w:spacing w:val="-1"/>
        </w:rPr>
        <w:t>in</w:t>
      </w:r>
      <w:r>
        <w:rPr>
          <w:color w:val="231F20"/>
          <w:spacing w:val="-4"/>
        </w:rPr>
        <w:t> </w:t>
      </w:r>
      <w:r>
        <w:rPr>
          <w:color w:val="231F20"/>
          <w:spacing w:val="-1"/>
        </w:rPr>
        <w:t>2017</w:t>
      </w:r>
      <w:r>
        <w:rPr>
          <w:color w:val="231F20"/>
          <w:spacing w:val="-4"/>
        </w:rPr>
        <w:t> </w:t>
      </w:r>
      <w:r>
        <w:rPr>
          <w:color w:val="231F20"/>
        </w:rPr>
        <w:t>was</w:t>
      </w:r>
      <w:r>
        <w:rPr>
          <w:color w:val="231F20"/>
          <w:spacing w:val="-5"/>
        </w:rPr>
        <w:t> </w:t>
      </w:r>
      <w:r>
        <w:rPr>
          <w:color w:val="231F20"/>
          <w:spacing w:val="-1"/>
        </w:rPr>
        <w:t>$17,811</w:t>
      </w:r>
      <w:r>
        <w:rPr>
          <w:color w:val="231F20"/>
          <w:spacing w:val="-3"/>
        </w:rPr>
        <w:t> </w:t>
      </w:r>
      <w:r>
        <w:rPr>
          <w:color w:val="231F20"/>
        </w:rPr>
        <w:t>and</w:t>
      </w:r>
      <w:r>
        <w:rPr/>
      </w:r>
    </w:p>
    <w:p>
      <w:pPr>
        <w:pStyle w:val="BodyText"/>
        <w:spacing w:line="242" w:lineRule="exact"/>
        <w:ind w:left="100" w:right="0"/>
        <w:jc w:val="left"/>
        <w:rPr>
          <w:rFonts w:ascii="Segoe UI" w:hAnsi="Segoe UI" w:cs="Segoe UI" w:eastAsia="Segoe UI"/>
        </w:rPr>
      </w:pPr>
      <w:r>
        <w:rPr>
          <w:rFonts w:ascii="Segoe UI" w:hAnsi="Segoe UI" w:cs="Segoe UI" w:eastAsia="Segoe UI"/>
          <w:color w:val="231F20"/>
        </w:rPr>
        <w:t>$18,316</w:t>
      </w:r>
      <w:r>
        <w:rPr>
          <w:rFonts w:ascii="Segoe UI" w:hAnsi="Segoe UI" w:cs="Segoe UI" w:eastAsia="Segoe UI"/>
          <w:color w:val="231F20"/>
          <w:spacing w:val="-3"/>
        </w:rPr>
        <w:t> </w:t>
      </w:r>
      <w:r>
        <w:rPr>
          <w:rFonts w:ascii="Segoe UI" w:hAnsi="Segoe UI" w:cs="Segoe UI" w:eastAsia="Segoe UI"/>
          <w:color w:val="231F20"/>
        </w:rPr>
        <w:t>respectively—a</w:t>
      </w:r>
      <w:r>
        <w:rPr>
          <w:rFonts w:ascii="Segoe UI" w:hAnsi="Segoe UI" w:cs="Segoe UI" w:eastAsia="Segoe UI"/>
          <w:color w:val="231F20"/>
          <w:spacing w:val="-2"/>
        </w:rPr>
        <w:t> </w:t>
      </w:r>
      <w:r>
        <w:rPr>
          <w:rFonts w:ascii="Segoe UI" w:hAnsi="Segoe UI" w:cs="Segoe UI" w:eastAsia="Segoe UI"/>
          <w:color w:val="231F20"/>
        </w:rPr>
        <w:t>difference</w:t>
      </w:r>
      <w:r>
        <w:rPr>
          <w:rFonts w:ascii="Segoe UI" w:hAnsi="Segoe UI" w:cs="Segoe UI" w:eastAsia="Segoe UI"/>
          <w:color w:val="231F20"/>
          <w:spacing w:val="-2"/>
        </w:rPr>
        <w:t> </w:t>
      </w:r>
      <w:r>
        <w:rPr>
          <w:rFonts w:ascii="Segoe UI" w:hAnsi="Segoe UI" w:cs="Segoe UI" w:eastAsia="Segoe UI"/>
          <w:color w:val="231F20"/>
        </w:rPr>
        <w:t>of</w:t>
      </w:r>
      <w:r>
        <w:rPr>
          <w:rFonts w:ascii="Segoe UI" w:hAnsi="Segoe UI" w:cs="Segoe UI" w:eastAsia="Segoe UI"/>
          <w:color w:val="231F20"/>
          <w:spacing w:val="-2"/>
        </w:rPr>
        <w:t> </w:t>
      </w:r>
      <w:r>
        <w:rPr>
          <w:rFonts w:ascii="Segoe UI" w:hAnsi="Segoe UI" w:cs="Segoe UI" w:eastAsia="Segoe UI"/>
          <w:color w:val="231F20"/>
        </w:rPr>
        <w:t>just</w:t>
      </w:r>
      <w:r>
        <w:rPr>
          <w:rFonts w:ascii="Segoe UI" w:hAnsi="Segoe UI" w:cs="Segoe UI" w:eastAsia="Segoe UI"/>
        </w:rPr>
      </w:r>
    </w:p>
    <w:p>
      <w:pPr>
        <w:pStyle w:val="BodyText"/>
        <w:spacing w:line="258" w:lineRule="exact"/>
        <w:ind w:left="100" w:right="0"/>
        <w:jc w:val="left"/>
      </w:pPr>
      <w:r>
        <w:rPr>
          <w:color w:val="231F20"/>
          <w:spacing w:val="-1"/>
        </w:rPr>
        <w:t>$505</w:t>
      </w:r>
      <w:r>
        <w:rPr>
          <w:color w:val="231F20"/>
          <w:spacing w:val="-6"/>
        </w:rPr>
        <w:t> </w:t>
      </w:r>
      <w:r>
        <w:rPr>
          <w:color w:val="231F20"/>
        </w:rPr>
        <w:t>per</w:t>
      </w:r>
      <w:r>
        <w:rPr>
          <w:color w:val="231F20"/>
          <w:spacing w:val="-5"/>
        </w:rPr>
        <w:t> </w:t>
      </w:r>
      <w:r>
        <w:rPr>
          <w:color w:val="231F20"/>
        </w:rPr>
        <w:t>boarder.</w:t>
      </w:r>
      <w:r>
        <w:rPr/>
      </w:r>
    </w:p>
    <w:p>
      <w:pPr>
        <w:pStyle w:val="BodyText"/>
        <w:spacing w:line="250" w:lineRule="exact" w:before="113"/>
        <w:ind w:left="100" w:right="73"/>
        <w:jc w:val="left"/>
        <w:rPr>
          <w:rFonts w:ascii="Segoe UI" w:hAnsi="Segoe UI" w:cs="Segoe UI" w:eastAsia="Segoe UI"/>
        </w:rPr>
      </w:pP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5"/>
        </w:rPr>
        <w:t> </w:t>
      </w:r>
      <w:r>
        <w:rPr>
          <w:color w:val="231F20"/>
        </w:rPr>
        <w:t>are</w:t>
      </w:r>
      <w:r>
        <w:rPr>
          <w:color w:val="231F20"/>
          <w:spacing w:val="-5"/>
        </w:rPr>
        <w:t> </w:t>
      </w:r>
      <w:r>
        <w:rPr>
          <w:color w:val="231F20"/>
        </w:rPr>
        <w:t>using</w:t>
      </w:r>
      <w:r>
        <w:rPr>
          <w:color w:val="231F20"/>
          <w:spacing w:val="-5"/>
        </w:rPr>
        <w:t> </w:t>
      </w:r>
      <w:r>
        <w:rPr>
          <w:color w:val="231F20"/>
        </w:rPr>
        <w:t>accrued</w:t>
      </w:r>
      <w:r>
        <w:rPr>
          <w:color w:val="231F20"/>
          <w:spacing w:val="-5"/>
        </w:rPr>
        <w:t> </w:t>
      </w:r>
      <w:r>
        <w:rPr>
          <w:color w:val="231F20"/>
          <w:spacing w:val="-1"/>
        </w:rPr>
        <w:t>surpluses</w:t>
      </w:r>
      <w:r>
        <w:rPr>
          <w:color w:val="231F20"/>
          <w:spacing w:val="-4"/>
        </w:rPr>
        <w:t> </w:t>
      </w:r>
      <w:r>
        <w:rPr>
          <w:color w:val="231F20"/>
        </w:rPr>
        <w:t>or</w:t>
      </w:r>
      <w:r>
        <w:rPr>
          <w:color w:val="231F20"/>
          <w:spacing w:val="22"/>
          <w:w w:val="99"/>
        </w:rPr>
        <w:t> </w:t>
      </w:r>
      <w:r>
        <w:rPr>
          <w:color w:val="231F20"/>
        </w:rPr>
        <w:t>revenue</w:t>
      </w:r>
      <w:r>
        <w:rPr>
          <w:color w:val="231F20"/>
          <w:spacing w:val="-6"/>
        </w:rPr>
        <w:t> </w:t>
      </w:r>
      <w:r>
        <w:rPr>
          <w:color w:val="231F20"/>
        </w:rPr>
        <w:t>from</w:t>
      </w:r>
      <w:r>
        <w:rPr>
          <w:color w:val="231F20"/>
          <w:spacing w:val="-5"/>
        </w:rPr>
        <w:t> </w:t>
      </w:r>
      <w:r>
        <w:rPr>
          <w:color w:val="231F20"/>
        </w:rPr>
        <w:t>other</w:t>
      </w:r>
      <w:r>
        <w:rPr>
          <w:color w:val="231F20"/>
          <w:spacing w:val="-4"/>
        </w:rPr>
        <w:t> </w:t>
      </w:r>
      <w:r>
        <w:rPr>
          <w:color w:val="231F20"/>
          <w:spacing w:val="-1"/>
        </w:rPr>
        <w:t>sources</w:t>
      </w:r>
      <w:r>
        <w:rPr>
          <w:color w:val="231F20"/>
          <w:spacing w:val="-5"/>
        </w:rPr>
        <w:t> </w:t>
      </w:r>
      <w:r>
        <w:rPr>
          <w:color w:val="231F20"/>
        </w:rPr>
        <w:t>to</w:t>
      </w:r>
      <w:r>
        <w:rPr>
          <w:color w:val="231F20"/>
          <w:spacing w:val="-4"/>
        </w:rPr>
        <w:t> </w:t>
      </w:r>
      <w:r>
        <w:rPr>
          <w:color w:val="231F20"/>
        </w:rPr>
        <w:t>address</w:t>
      </w:r>
      <w:r>
        <w:rPr>
          <w:color w:val="231F20"/>
          <w:spacing w:val="-6"/>
        </w:rPr>
        <w:t> </w:t>
      </w:r>
      <w:r>
        <w:rPr>
          <w:color w:val="231F20"/>
        </w:rPr>
        <w:t>the</w:t>
      </w:r>
      <w:r>
        <w:rPr>
          <w:color w:val="231F20"/>
          <w:spacing w:val="22"/>
          <w:w w:val="99"/>
        </w:rPr>
        <w:t> </w:t>
      </w:r>
      <w:r>
        <w:rPr>
          <w:color w:val="231F20"/>
        </w:rPr>
        <w:t>revenue</w:t>
      </w:r>
      <w:r>
        <w:rPr>
          <w:color w:val="231F20"/>
          <w:spacing w:val="-8"/>
        </w:rPr>
        <w:t> </w:t>
      </w:r>
      <w:r>
        <w:rPr>
          <w:color w:val="231F20"/>
          <w:spacing w:val="-1"/>
        </w:rPr>
        <w:t>shortfall</w:t>
      </w:r>
      <w:r>
        <w:rPr>
          <w:color w:val="231F20"/>
          <w:spacing w:val="-6"/>
        </w:rPr>
        <w:t> </w:t>
      </w:r>
      <w:r>
        <w:rPr>
          <w:color w:val="231F20"/>
          <w:spacing w:val="-1"/>
        </w:rPr>
        <w:t>in</w:t>
      </w:r>
      <w:r>
        <w:rPr>
          <w:color w:val="231F20"/>
          <w:spacing w:val="-7"/>
        </w:rPr>
        <w:t> </w:t>
      </w:r>
      <w:r>
        <w:rPr>
          <w:color w:val="231F20"/>
        </w:rPr>
        <w:t>delivering</w:t>
      </w:r>
      <w:r>
        <w:rPr>
          <w:color w:val="231F20"/>
          <w:spacing w:val="-7"/>
        </w:rPr>
        <w:t> </w:t>
      </w:r>
      <w:r>
        <w:rPr>
          <w:color w:val="231F20"/>
        </w:rPr>
        <w:t>boarding</w:t>
      </w:r>
      <w:r>
        <w:rPr>
          <w:color w:val="231F20"/>
          <w:spacing w:val="-8"/>
        </w:rPr>
        <w:t> </w:t>
      </w:r>
      <w:r>
        <w:rPr>
          <w:color w:val="231F20"/>
        </w:rPr>
        <w:t>for</w:t>
      </w:r>
      <w:r>
        <w:rPr>
          <w:color w:val="231F20"/>
          <w:spacing w:val="23"/>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8"/>
        </w:rPr>
        <w:t> </w:t>
      </w:r>
      <w:r>
        <w:rPr>
          <w:color w:val="231F20"/>
          <w:spacing w:val="-1"/>
        </w:rPr>
        <w:t>Islander</w:t>
      </w:r>
      <w:r>
        <w:rPr>
          <w:color w:val="231F20"/>
          <w:spacing w:val="-6"/>
        </w:rPr>
        <w:t> </w:t>
      </w:r>
      <w:r>
        <w:rPr>
          <w:color w:val="231F20"/>
          <w:spacing w:val="-1"/>
        </w:rPr>
        <w:t>secondary</w:t>
      </w:r>
      <w:r>
        <w:rPr>
          <w:color w:val="231F20"/>
          <w:spacing w:val="20"/>
          <w:w w:val="99"/>
        </w:rPr>
        <w:t> </w:t>
      </w:r>
      <w:r>
        <w:rPr>
          <w:color w:val="231F20"/>
          <w:spacing w:val="-1"/>
        </w:rPr>
        <w:t>students.</w:t>
      </w:r>
      <w:r>
        <w:rPr>
          <w:color w:val="231F20"/>
          <w:spacing w:val="-3"/>
        </w:rPr>
        <w:t> </w:t>
      </w:r>
      <w:r>
        <w:rPr>
          <w:color w:val="231F20"/>
        </w:rPr>
        <w:t>These</w:t>
      </w:r>
      <w:r>
        <w:rPr>
          <w:color w:val="231F20"/>
          <w:spacing w:val="-5"/>
        </w:rPr>
        <w:t> </w:t>
      </w:r>
      <w:r>
        <w:rPr>
          <w:color w:val="231F20"/>
          <w:spacing w:val="-1"/>
        </w:rPr>
        <w:t>sources</w:t>
      </w:r>
      <w:r>
        <w:rPr>
          <w:color w:val="231F20"/>
          <w:spacing w:val="-4"/>
        </w:rPr>
        <w:t> </w:t>
      </w:r>
      <w:r>
        <w:rPr>
          <w:color w:val="231F20"/>
          <w:spacing w:val="-1"/>
        </w:rPr>
        <w:t>include,</w:t>
      </w:r>
      <w:r>
        <w:rPr>
          <w:color w:val="231F20"/>
          <w:spacing w:val="-4"/>
        </w:rPr>
        <w:t> </w:t>
      </w:r>
      <w:r>
        <w:rPr>
          <w:color w:val="231F20"/>
        </w:rPr>
        <w:t>but</w:t>
      </w:r>
      <w:r>
        <w:rPr>
          <w:color w:val="231F20"/>
          <w:spacing w:val="-5"/>
        </w:rPr>
        <w:t> </w:t>
      </w:r>
      <w:r>
        <w:rPr>
          <w:color w:val="231F20"/>
        </w:rPr>
        <w:t>are</w:t>
      </w:r>
      <w:r>
        <w:rPr>
          <w:color w:val="231F20"/>
          <w:spacing w:val="-5"/>
        </w:rPr>
        <w:t> </w:t>
      </w:r>
      <w:r>
        <w:rPr>
          <w:color w:val="231F20"/>
        </w:rPr>
        <w:t>not</w:t>
      </w:r>
      <w:r>
        <w:rPr>
          <w:color w:val="231F20"/>
          <w:spacing w:val="24"/>
          <w:w w:val="99"/>
        </w:rPr>
        <w:t> </w:t>
      </w:r>
      <w:r>
        <w:rPr>
          <w:color w:val="231F20"/>
          <w:spacing w:val="-1"/>
        </w:rPr>
        <w:t>limited</w:t>
      </w:r>
      <w:r>
        <w:rPr>
          <w:color w:val="231F20"/>
          <w:spacing w:val="-7"/>
        </w:rPr>
        <w:t> </w:t>
      </w:r>
      <w:r>
        <w:rPr>
          <w:color w:val="231F20"/>
        </w:rPr>
        <w:t>to,</w:t>
      </w:r>
      <w:r>
        <w:rPr>
          <w:color w:val="231F20"/>
          <w:spacing w:val="-7"/>
        </w:rPr>
        <w:t> </w:t>
      </w:r>
      <w:r>
        <w:rPr>
          <w:color w:val="231F20"/>
          <w:spacing w:val="-1"/>
        </w:rPr>
        <w:t>Commonwealth</w:t>
      </w:r>
      <w:r>
        <w:rPr>
          <w:color w:val="231F20"/>
          <w:spacing w:val="-6"/>
        </w:rPr>
        <w:t> </w:t>
      </w:r>
      <w:r>
        <w:rPr>
          <w:color w:val="231F20"/>
        </w:rPr>
        <w:t>recurrent</w:t>
      </w:r>
      <w:r>
        <w:rPr>
          <w:color w:val="231F20"/>
          <w:spacing w:val="-7"/>
        </w:rPr>
        <w:t> </w:t>
      </w:r>
      <w:r>
        <w:rPr>
          <w:color w:val="231F20"/>
          <w:spacing w:val="-1"/>
        </w:rPr>
        <w:t>schools</w:t>
      </w:r>
      <w:r>
        <w:rPr>
          <w:color w:val="231F20"/>
          <w:spacing w:val="22"/>
        </w:rPr>
        <w:t> </w:t>
      </w:r>
      <w:r>
        <w:rPr>
          <w:rFonts w:ascii="Segoe UI"/>
          <w:color w:val="231F20"/>
        </w:rPr>
        <w:t>funding,</w:t>
      </w:r>
      <w:r>
        <w:rPr>
          <w:rFonts w:ascii="Segoe UI"/>
          <w:color w:val="231F20"/>
          <w:spacing w:val="-1"/>
        </w:rPr>
        <w:t> </w:t>
      </w:r>
      <w:r>
        <w:rPr>
          <w:rFonts w:ascii="Segoe UI"/>
          <w:color w:val="231F20"/>
        </w:rPr>
        <w:t>one </w:t>
      </w:r>
      <w:r>
        <w:rPr>
          <w:rFonts w:ascii="Segoe UI"/>
          <w:color w:val="231F20"/>
          <w:spacing w:val="-1"/>
        </w:rPr>
        <w:t>off</w:t>
      </w:r>
      <w:r>
        <w:rPr>
          <w:rFonts w:ascii="Segoe UI"/>
          <w:color w:val="231F20"/>
        </w:rPr>
        <w:t> grants, such</w:t>
      </w:r>
      <w:r>
        <w:rPr>
          <w:rFonts w:ascii="Segoe UI"/>
          <w:color w:val="231F20"/>
          <w:spacing w:val="-1"/>
        </w:rPr>
        <w:t> </w:t>
      </w:r>
      <w:r>
        <w:rPr>
          <w:rFonts w:ascii="Segoe UI"/>
          <w:color w:val="231F20"/>
        </w:rPr>
        <w:t>as through</w:t>
      </w:r>
      <w:r>
        <w:rPr>
          <w:rFonts w:ascii="Segoe UI"/>
        </w:rPr>
      </w:r>
    </w:p>
    <w:p>
      <w:pPr>
        <w:pStyle w:val="BodyText"/>
        <w:spacing w:line="250" w:lineRule="exact"/>
        <w:ind w:left="100" w:right="0"/>
        <w:jc w:val="left"/>
      </w:pPr>
      <w:r>
        <w:rPr>
          <w:color w:val="231F20"/>
        </w:rPr>
        <w:t>the</w:t>
      </w:r>
      <w:r>
        <w:rPr>
          <w:color w:val="231F20"/>
          <w:spacing w:val="-12"/>
        </w:rPr>
        <w:t> </w:t>
      </w:r>
      <w:r>
        <w:rPr>
          <w:color w:val="231F20"/>
          <w:spacing w:val="-1"/>
        </w:rPr>
        <w:t>Indigenous</w:t>
      </w:r>
      <w:r>
        <w:rPr>
          <w:color w:val="231F20"/>
          <w:spacing w:val="-10"/>
        </w:rPr>
        <w:t> </w:t>
      </w:r>
      <w:r>
        <w:rPr>
          <w:color w:val="231F20"/>
        </w:rPr>
        <w:t>Advancement</w:t>
      </w:r>
      <w:r>
        <w:rPr>
          <w:color w:val="231F20"/>
          <w:spacing w:val="-11"/>
        </w:rPr>
        <w:t> </w:t>
      </w:r>
      <w:r>
        <w:rPr>
          <w:color w:val="231F20"/>
          <w:spacing w:val="-1"/>
        </w:rPr>
        <w:t>Strategy,</w:t>
      </w:r>
      <w:r>
        <w:rPr/>
      </w:r>
    </w:p>
    <w:p>
      <w:pPr>
        <w:spacing w:line="240" w:lineRule="auto" w:before="1"/>
        <w:rPr>
          <w:rFonts w:ascii="Segoe UI" w:hAnsi="Segoe UI" w:cs="Segoe UI" w:eastAsia="Segoe UI"/>
          <w:sz w:val="15"/>
          <w:szCs w:val="15"/>
        </w:rPr>
      </w:pPr>
      <w:r>
        <w:rPr/>
        <w:br w:type="column"/>
      </w:r>
      <w:r>
        <w:rPr>
          <w:rFonts w:ascii="Segoe UI"/>
          <w:sz w:val="15"/>
        </w:rPr>
      </w:r>
    </w:p>
    <w:p>
      <w:pPr>
        <w:pStyle w:val="BodyText"/>
        <w:spacing w:line="250" w:lineRule="exact"/>
        <w:ind w:left="100" w:right="236"/>
        <w:jc w:val="left"/>
      </w:pPr>
      <w:r>
        <w:rPr>
          <w:color w:val="231F20"/>
        </w:rPr>
        <w:t>donations</w:t>
      </w:r>
      <w:r>
        <w:rPr>
          <w:color w:val="231F20"/>
          <w:spacing w:val="-10"/>
        </w:rPr>
        <w:t> </w:t>
      </w:r>
      <w:r>
        <w:rPr>
          <w:color w:val="231F20"/>
        </w:rPr>
        <w:t>and</w:t>
      </w:r>
      <w:r>
        <w:rPr>
          <w:color w:val="231F20"/>
          <w:spacing w:val="-10"/>
        </w:rPr>
        <w:t> </w:t>
      </w:r>
      <w:r>
        <w:rPr>
          <w:color w:val="231F20"/>
        </w:rPr>
        <w:t>underpinning</w:t>
      </w:r>
      <w:r>
        <w:rPr>
          <w:color w:val="231F20"/>
          <w:spacing w:val="-10"/>
        </w:rPr>
        <w:t> </w:t>
      </w:r>
      <w:r>
        <w:rPr>
          <w:color w:val="231F20"/>
        </w:rPr>
        <w:t>funding</w:t>
      </w:r>
      <w:r>
        <w:rPr>
          <w:color w:val="231F20"/>
          <w:spacing w:val="-9"/>
        </w:rPr>
        <w:t> </w:t>
      </w:r>
      <w:r>
        <w:rPr>
          <w:color w:val="231F20"/>
        </w:rPr>
        <w:t>from</w:t>
      </w:r>
      <w:r>
        <w:rPr>
          <w:color w:val="231F20"/>
          <w:w w:val="99"/>
        </w:rPr>
        <w:t> </w:t>
      </w:r>
      <w:r>
        <w:rPr>
          <w:color w:val="231F20"/>
          <w:spacing w:val="-1"/>
        </w:rPr>
        <w:t>state</w:t>
      </w:r>
      <w:r>
        <w:rPr>
          <w:color w:val="231F20"/>
          <w:spacing w:val="-8"/>
        </w:rPr>
        <w:t> </w:t>
      </w:r>
      <w:r>
        <w:rPr>
          <w:color w:val="231F20"/>
        </w:rPr>
        <w:t>and</w:t>
      </w:r>
      <w:r>
        <w:rPr>
          <w:color w:val="231F20"/>
          <w:spacing w:val="-9"/>
        </w:rPr>
        <w:t> </w:t>
      </w:r>
      <w:r>
        <w:rPr>
          <w:color w:val="231F20"/>
        </w:rPr>
        <w:t>territory</w:t>
      </w:r>
      <w:r>
        <w:rPr>
          <w:color w:val="231F20"/>
          <w:spacing w:val="-9"/>
        </w:rPr>
        <w:t> </w:t>
      </w:r>
      <w:r>
        <w:rPr>
          <w:color w:val="231F20"/>
        </w:rPr>
        <w:t>governments</w:t>
      </w:r>
      <w:r>
        <w:rPr>
          <w:color w:val="231F20"/>
          <w:spacing w:val="-9"/>
        </w:rPr>
        <w:t> </w:t>
      </w:r>
      <w:r>
        <w:rPr>
          <w:color w:val="231F20"/>
        </w:rPr>
        <w:t>and</w:t>
      </w:r>
      <w:r>
        <w:rPr>
          <w:color w:val="231F20"/>
          <w:spacing w:val="-8"/>
        </w:rPr>
        <w:t> </w:t>
      </w:r>
      <w:r>
        <w:rPr>
          <w:color w:val="231F20"/>
        </w:rPr>
        <w:t>associated</w:t>
      </w:r>
      <w:r>
        <w:rPr>
          <w:color w:val="231F20"/>
          <w:spacing w:val="21"/>
          <w:w w:val="99"/>
        </w:rPr>
        <w:t> </w:t>
      </w:r>
      <w:r>
        <w:rPr>
          <w:color w:val="231F20"/>
        </w:rPr>
        <w:t>bodies,</w:t>
      </w:r>
      <w:r>
        <w:rPr>
          <w:color w:val="231F20"/>
          <w:spacing w:val="-5"/>
        </w:rPr>
        <w:t> </w:t>
      </w:r>
      <w:r>
        <w:rPr>
          <w:color w:val="231F20"/>
          <w:spacing w:val="-1"/>
        </w:rPr>
        <w:t>such</w:t>
      </w:r>
      <w:r>
        <w:rPr>
          <w:color w:val="231F20"/>
          <w:spacing w:val="-4"/>
        </w:rPr>
        <w:t> </w:t>
      </w:r>
      <w:r>
        <w:rPr>
          <w:color w:val="231F20"/>
        </w:rPr>
        <w:t>as</w:t>
      </w:r>
      <w:r>
        <w:rPr>
          <w:color w:val="231F20"/>
          <w:spacing w:val="-5"/>
        </w:rPr>
        <w:t> </w:t>
      </w:r>
      <w:r>
        <w:rPr>
          <w:color w:val="231F20"/>
        </w:rPr>
        <w:t>religious</w:t>
      </w:r>
      <w:r>
        <w:rPr>
          <w:color w:val="231F20"/>
          <w:spacing w:val="-6"/>
        </w:rPr>
        <w:t> </w:t>
      </w:r>
      <w:r>
        <w:rPr>
          <w:color w:val="231F20"/>
        </w:rPr>
        <w:t>orders</w:t>
      </w:r>
      <w:r>
        <w:rPr>
          <w:color w:val="231F20"/>
          <w:spacing w:val="-3"/>
        </w:rPr>
        <w:t> </w:t>
      </w:r>
      <w:r>
        <w:rPr>
          <w:color w:val="231F20"/>
        </w:rPr>
        <w:t>and</w:t>
      </w:r>
      <w:r>
        <w:rPr>
          <w:color w:val="231F20"/>
          <w:spacing w:val="-5"/>
        </w:rPr>
        <w:t> </w:t>
      </w:r>
      <w:r>
        <w:rPr>
          <w:color w:val="231F20"/>
          <w:spacing w:val="-1"/>
        </w:rPr>
        <w:t>sporting</w:t>
      </w:r>
      <w:r>
        <w:rPr>
          <w:color w:val="231F20"/>
          <w:spacing w:val="21"/>
          <w:w w:val="99"/>
        </w:rPr>
        <w:t> </w:t>
      </w:r>
      <w:r>
        <w:rPr>
          <w:color w:val="231F20"/>
        </w:rPr>
        <w:t>organisations.</w:t>
      </w:r>
      <w:r>
        <w:rPr/>
      </w:r>
    </w:p>
    <w:p>
      <w:pPr>
        <w:pStyle w:val="BodyText"/>
        <w:spacing w:line="250" w:lineRule="exact" w:before="113"/>
        <w:ind w:left="100" w:right="405"/>
        <w:jc w:val="left"/>
        <w:rPr>
          <w:rFonts w:ascii="Segoe UI" w:hAnsi="Segoe UI" w:cs="Segoe UI" w:eastAsia="Segoe UI"/>
        </w:rPr>
      </w:pPr>
      <w:r>
        <w:rPr>
          <w:color w:val="231F20"/>
        </w:rPr>
        <w:t>Grant</w:t>
      </w:r>
      <w:r>
        <w:rPr>
          <w:color w:val="231F20"/>
          <w:spacing w:val="-7"/>
        </w:rPr>
        <w:t> </w:t>
      </w:r>
      <w:r>
        <w:rPr>
          <w:color w:val="231F20"/>
        </w:rPr>
        <w:t>Thornton</w:t>
      </w:r>
      <w:r>
        <w:rPr>
          <w:color w:val="231F20"/>
          <w:spacing w:val="-7"/>
        </w:rPr>
        <w:t> </w:t>
      </w:r>
      <w:r>
        <w:rPr>
          <w:color w:val="231F20"/>
        </w:rPr>
        <w:t>found</w:t>
      </w:r>
      <w:r>
        <w:rPr>
          <w:color w:val="231F20"/>
          <w:spacing w:val="-6"/>
        </w:rPr>
        <w:t> </w:t>
      </w:r>
      <w:r>
        <w:rPr>
          <w:color w:val="231F20"/>
        </w:rPr>
        <w:t>that</w:t>
      </w:r>
      <w:r>
        <w:rPr>
          <w:color w:val="231F20"/>
          <w:spacing w:val="-7"/>
        </w:rPr>
        <w:t> </w:t>
      </w:r>
      <w:r>
        <w:rPr>
          <w:color w:val="231F20"/>
          <w:spacing w:val="-1"/>
        </w:rPr>
        <w:t>some</w:t>
      </w:r>
      <w:r>
        <w:rPr>
          <w:color w:val="231F20"/>
          <w:spacing w:val="-6"/>
        </w:rPr>
        <w:t> </w:t>
      </w:r>
      <w:r>
        <w:rPr>
          <w:color w:val="231F20"/>
        </w:rPr>
        <w:t>Aboriginal</w:t>
      </w:r>
      <w:r>
        <w:rPr>
          <w:color w:val="231F20"/>
          <w:spacing w:val="21"/>
          <w:w w:val="99"/>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7"/>
        </w:rPr>
        <w:t> </w:t>
      </w:r>
      <w:r>
        <w:rPr>
          <w:color w:val="231F20"/>
        </w:rPr>
        <w:t>providers</w:t>
      </w:r>
      <w:r>
        <w:rPr>
          <w:color w:val="231F20"/>
          <w:spacing w:val="21"/>
          <w:w w:val="99"/>
        </w:rPr>
        <w:t> </w:t>
      </w:r>
      <w:r>
        <w:rPr>
          <w:rFonts w:ascii="Segoe UI"/>
          <w:color w:val="231F20"/>
        </w:rPr>
        <w:t>are experiencing financial pressures resulting</w:t>
      </w:r>
      <w:r>
        <w:rPr>
          <w:rFonts w:ascii="Segoe UI"/>
          <w:color w:val="231F20"/>
        </w:rPr>
        <w:t> </w:t>
      </w:r>
      <w:r>
        <w:rPr>
          <w:color w:val="231F20"/>
        </w:rPr>
        <w:t>from</w:t>
      </w:r>
      <w:r>
        <w:rPr>
          <w:color w:val="231F20"/>
          <w:spacing w:val="-8"/>
        </w:rPr>
        <w:t> </w:t>
      </w:r>
      <w:r>
        <w:rPr>
          <w:color w:val="231F20"/>
        </w:rPr>
        <w:t>the</w:t>
      </w:r>
      <w:r>
        <w:rPr>
          <w:color w:val="231F20"/>
          <w:spacing w:val="-8"/>
        </w:rPr>
        <w:t> </w:t>
      </w:r>
      <w:r>
        <w:rPr>
          <w:color w:val="231F20"/>
          <w:spacing w:val="-1"/>
        </w:rPr>
        <w:t>shortfall</w:t>
      </w:r>
      <w:r>
        <w:rPr>
          <w:color w:val="231F20"/>
          <w:spacing w:val="-7"/>
        </w:rPr>
        <w:t> </w:t>
      </w:r>
      <w:r>
        <w:rPr>
          <w:color w:val="231F20"/>
        </w:rPr>
        <w:t>between</w:t>
      </w:r>
      <w:r>
        <w:rPr>
          <w:color w:val="231F20"/>
          <w:spacing w:val="-8"/>
        </w:rPr>
        <w:t> </w:t>
      </w:r>
      <w:r>
        <w:rPr>
          <w:color w:val="231F20"/>
        </w:rPr>
        <w:t>boarding</w:t>
      </w:r>
      <w:r>
        <w:rPr>
          <w:color w:val="231F20"/>
          <w:spacing w:val="-8"/>
        </w:rPr>
        <w:t> </w:t>
      </w:r>
      <w:r>
        <w:rPr>
          <w:color w:val="231F20"/>
        </w:rPr>
        <w:t>revenue</w:t>
      </w:r>
      <w:r>
        <w:rPr>
          <w:color w:val="231F20"/>
          <w:spacing w:val="22"/>
          <w:w w:val="99"/>
        </w:rPr>
        <w:t> </w:t>
      </w:r>
      <w:r>
        <w:rPr>
          <w:color w:val="231F20"/>
        </w:rPr>
        <w:t>and</w:t>
      </w:r>
      <w:r>
        <w:rPr>
          <w:color w:val="231F20"/>
          <w:spacing w:val="-8"/>
        </w:rPr>
        <w:t> </w:t>
      </w:r>
      <w:r>
        <w:rPr>
          <w:color w:val="231F20"/>
        </w:rPr>
        <w:t>expenditure.</w:t>
      </w:r>
      <w:r>
        <w:rPr>
          <w:color w:val="231F20"/>
          <w:spacing w:val="-6"/>
        </w:rPr>
        <w:t> </w:t>
      </w:r>
      <w:r>
        <w:rPr>
          <w:color w:val="231F20"/>
        </w:rPr>
        <w:t>A</w:t>
      </w:r>
      <w:r>
        <w:rPr>
          <w:color w:val="231F20"/>
          <w:spacing w:val="-7"/>
        </w:rPr>
        <w:t> </w:t>
      </w:r>
      <w:r>
        <w:rPr>
          <w:color w:val="231F20"/>
        </w:rPr>
        <w:t>number</w:t>
      </w:r>
      <w:r>
        <w:rPr>
          <w:color w:val="231F20"/>
          <w:spacing w:val="-7"/>
        </w:rPr>
        <w:t> </w:t>
      </w:r>
      <w:r>
        <w:rPr>
          <w:color w:val="231F20"/>
        </w:rPr>
        <w:t>of</w:t>
      </w:r>
      <w:r>
        <w:rPr>
          <w:color w:val="231F20"/>
          <w:spacing w:val="-7"/>
        </w:rPr>
        <w:t> </w:t>
      </w:r>
      <w:r>
        <w:rPr>
          <w:color w:val="231F20"/>
        </w:rPr>
        <w:t>Aboriginal</w:t>
      </w:r>
      <w:r>
        <w:rPr>
          <w:color w:val="231F20"/>
          <w:w w:val="99"/>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7"/>
        </w:rPr>
        <w:t> </w:t>
      </w:r>
      <w:r>
        <w:rPr>
          <w:color w:val="231F20"/>
        </w:rPr>
        <w:t>providers</w:t>
      </w:r>
      <w:r>
        <w:rPr>
          <w:color w:val="231F20"/>
          <w:spacing w:val="21"/>
          <w:w w:val="99"/>
        </w:rPr>
        <w:t> </w:t>
      </w:r>
      <w:r>
        <w:rPr>
          <w:color w:val="231F20"/>
        </w:rPr>
        <w:t>have</w:t>
      </w:r>
      <w:r>
        <w:rPr>
          <w:color w:val="231F20"/>
          <w:spacing w:val="-5"/>
        </w:rPr>
        <w:t> </w:t>
      </w:r>
      <w:r>
        <w:rPr>
          <w:color w:val="231F20"/>
          <w:spacing w:val="-1"/>
        </w:rPr>
        <w:t>in</w:t>
      </w:r>
      <w:r>
        <w:rPr>
          <w:color w:val="231F20"/>
          <w:spacing w:val="-4"/>
        </w:rPr>
        <w:t> </w:t>
      </w:r>
      <w:r>
        <w:rPr>
          <w:color w:val="231F20"/>
        </w:rPr>
        <w:t>the</w:t>
      </w:r>
      <w:r>
        <w:rPr>
          <w:color w:val="231F20"/>
          <w:spacing w:val="-4"/>
        </w:rPr>
        <w:t> </w:t>
      </w:r>
      <w:r>
        <w:rPr>
          <w:color w:val="231F20"/>
        </w:rPr>
        <w:t>previous</w:t>
      </w:r>
      <w:r>
        <w:rPr>
          <w:color w:val="231F20"/>
          <w:spacing w:val="-5"/>
        </w:rPr>
        <w:t> </w:t>
      </w:r>
      <w:r>
        <w:rPr>
          <w:color w:val="231F20"/>
        </w:rPr>
        <w:t>three</w:t>
      </w:r>
      <w:r>
        <w:rPr>
          <w:color w:val="231F20"/>
          <w:spacing w:val="-5"/>
        </w:rPr>
        <w:t> </w:t>
      </w:r>
      <w:r>
        <w:rPr>
          <w:color w:val="231F20"/>
        </w:rPr>
        <w:t>years</w:t>
      </w:r>
      <w:r>
        <w:rPr>
          <w:color w:val="231F20"/>
          <w:spacing w:val="-4"/>
        </w:rPr>
        <w:t> </w:t>
      </w:r>
      <w:r>
        <w:rPr>
          <w:color w:val="231F20"/>
        </w:rPr>
        <w:t>closed</w:t>
      </w:r>
      <w:r>
        <w:rPr>
          <w:color w:val="231F20"/>
          <w:spacing w:val="-5"/>
        </w:rPr>
        <w:t> </w:t>
      </w:r>
      <w:r>
        <w:rPr>
          <w:color w:val="231F20"/>
        </w:rPr>
        <w:t>or</w:t>
      </w:r>
      <w:r>
        <w:rPr>
          <w:color w:val="231F20"/>
          <w:spacing w:val="21"/>
          <w:w w:val="99"/>
        </w:rPr>
        <w:t> </w:t>
      </w:r>
      <w:r>
        <w:rPr>
          <w:rFonts w:ascii="Segoe UI"/>
          <w:color w:val="231F20"/>
        </w:rPr>
        <w:t>undergone significant restructures, such as</w:t>
      </w:r>
      <w:r>
        <w:rPr>
          <w:rFonts w:ascii="Segoe UI"/>
        </w:rPr>
      </w:r>
    </w:p>
    <w:p>
      <w:pPr>
        <w:pStyle w:val="BodyText"/>
        <w:spacing w:line="250" w:lineRule="exact"/>
        <w:ind w:left="100" w:right="132"/>
        <w:jc w:val="left"/>
      </w:pPr>
      <w:r>
        <w:rPr>
          <w:color w:val="231F20"/>
          <w:spacing w:val="-1"/>
        </w:rPr>
        <w:t>Shalom</w:t>
      </w:r>
      <w:r>
        <w:rPr>
          <w:color w:val="231F20"/>
          <w:spacing w:val="-6"/>
        </w:rPr>
        <w:t> </w:t>
      </w:r>
      <w:r>
        <w:rPr>
          <w:color w:val="231F20"/>
          <w:spacing w:val="-1"/>
        </w:rPr>
        <w:t>Christian</w:t>
      </w:r>
      <w:r>
        <w:rPr>
          <w:color w:val="231F20"/>
          <w:spacing w:val="-7"/>
        </w:rPr>
        <w:t> </w:t>
      </w:r>
      <w:r>
        <w:rPr>
          <w:color w:val="231F20"/>
          <w:spacing w:val="-1"/>
        </w:rPr>
        <w:t>College</w:t>
      </w:r>
      <w:r>
        <w:rPr>
          <w:color w:val="231F20"/>
          <w:spacing w:val="-6"/>
        </w:rPr>
        <w:t> </w:t>
      </w:r>
      <w:r>
        <w:rPr>
          <w:color w:val="231F20"/>
        </w:rPr>
        <w:t>boarding,</w:t>
      </w:r>
      <w:r>
        <w:rPr>
          <w:color w:val="231F20"/>
          <w:spacing w:val="-6"/>
        </w:rPr>
        <w:t> </w:t>
      </w:r>
      <w:r>
        <w:rPr>
          <w:color w:val="231F20"/>
          <w:spacing w:val="-1"/>
        </w:rPr>
        <w:t>Woolaning</w:t>
      </w:r>
      <w:r>
        <w:rPr>
          <w:color w:val="231F20"/>
          <w:spacing w:val="25"/>
          <w:w w:val="99"/>
        </w:rPr>
        <w:t> </w:t>
      </w:r>
      <w:r>
        <w:rPr>
          <w:color w:val="231F20"/>
        </w:rPr>
        <w:t>Homeland</w:t>
      </w:r>
      <w:r>
        <w:rPr>
          <w:color w:val="231F20"/>
          <w:spacing w:val="-8"/>
        </w:rPr>
        <w:t> </w:t>
      </w:r>
      <w:r>
        <w:rPr>
          <w:color w:val="231F20"/>
          <w:spacing w:val="-1"/>
        </w:rPr>
        <w:t>Christian</w:t>
      </w:r>
      <w:r>
        <w:rPr>
          <w:color w:val="231F20"/>
          <w:spacing w:val="-6"/>
        </w:rPr>
        <w:t> </w:t>
      </w:r>
      <w:r>
        <w:rPr>
          <w:color w:val="231F20"/>
          <w:spacing w:val="-1"/>
        </w:rPr>
        <w:t>College,</w:t>
      </w:r>
      <w:r>
        <w:rPr>
          <w:color w:val="231F20"/>
          <w:spacing w:val="-7"/>
        </w:rPr>
        <w:t> </w:t>
      </w:r>
      <w:r>
        <w:rPr>
          <w:color w:val="231F20"/>
          <w:spacing w:val="-1"/>
        </w:rPr>
        <w:t>Kaziw</w:t>
      </w:r>
      <w:r>
        <w:rPr>
          <w:color w:val="231F20"/>
          <w:spacing w:val="-7"/>
        </w:rPr>
        <w:t> </w:t>
      </w:r>
      <w:r>
        <w:rPr>
          <w:color w:val="231F20"/>
          <w:spacing w:val="-1"/>
        </w:rPr>
        <w:t>Rangath</w:t>
      </w:r>
      <w:r>
        <w:rPr>
          <w:color w:val="231F20"/>
          <w:spacing w:val="-6"/>
        </w:rPr>
        <w:t> </w:t>
      </w:r>
      <w:r>
        <w:rPr>
          <w:color w:val="231F20"/>
        </w:rPr>
        <w:t>and</w:t>
      </w:r>
      <w:r>
        <w:rPr>
          <w:color w:val="231F20"/>
          <w:spacing w:val="25"/>
          <w:w w:val="99"/>
        </w:rPr>
        <w:t> </w:t>
      </w:r>
      <w:r>
        <w:rPr>
          <w:color w:val="231F20"/>
          <w:spacing w:val="-1"/>
        </w:rPr>
        <w:t>Kormilda</w:t>
      </w:r>
      <w:r>
        <w:rPr>
          <w:color w:val="231F20"/>
          <w:spacing w:val="-8"/>
        </w:rPr>
        <w:t> </w:t>
      </w:r>
      <w:r>
        <w:rPr>
          <w:color w:val="231F20"/>
          <w:spacing w:val="-1"/>
        </w:rPr>
        <w:t>College.</w:t>
      </w:r>
      <w:r>
        <w:rPr/>
      </w:r>
    </w:p>
    <w:p>
      <w:pPr>
        <w:pStyle w:val="BodyText"/>
        <w:spacing w:line="250" w:lineRule="exact" w:before="113"/>
        <w:ind w:left="100" w:right="243"/>
        <w:jc w:val="left"/>
      </w:pPr>
      <w:r>
        <w:rPr>
          <w:color w:val="231F20"/>
        </w:rPr>
        <w:t>However,</w:t>
      </w:r>
      <w:r>
        <w:rPr>
          <w:color w:val="231F20"/>
          <w:spacing w:val="-7"/>
        </w:rPr>
        <w:t> </w:t>
      </w:r>
      <w:r>
        <w:rPr>
          <w:color w:val="231F20"/>
        </w:rPr>
        <w:t>not</w:t>
      </w:r>
      <w:r>
        <w:rPr>
          <w:color w:val="231F20"/>
          <w:spacing w:val="-6"/>
        </w:rPr>
        <w:t> </w:t>
      </w:r>
      <w:r>
        <w:rPr>
          <w:color w:val="231F20"/>
        </w:rPr>
        <w:t>all</w:t>
      </w:r>
      <w:r>
        <w:rPr>
          <w:color w:val="231F20"/>
          <w:spacing w:val="-7"/>
        </w:rPr>
        <w:t> </w:t>
      </w:r>
      <w:r>
        <w:rPr>
          <w:color w:val="231F20"/>
        </w:rPr>
        <w:t>boarding</w:t>
      </w:r>
      <w:r>
        <w:rPr>
          <w:color w:val="231F20"/>
          <w:spacing w:val="-7"/>
        </w:rPr>
        <w:t> </w:t>
      </w:r>
      <w:r>
        <w:rPr>
          <w:color w:val="231F20"/>
        </w:rPr>
        <w:t>providers</w:t>
      </w:r>
      <w:r>
        <w:rPr>
          <w:color w:val="231F20"/>
          <w:spacing w:val="-7"/>
        </w:rPr>
        <w:t> </w:t>
      </w:r>
      <w:r>
        <w:rPr>
          <w:color w:val="231F20"/>
        </w:rPr>
        <w:t>are</w:t>
      </w:r>
      <w:r>
        <w:rPr>
          <w:color w:val="231F20"/>
          <w:w w:val="99"/>
        </w:rPr>
        <w:t> </w:t>
      </w:r>
      <w:r>
        <w:rPr>
          <w:rFonts w:ascii="Segoe UI"/>
          <w:color w:val="231F20"/>
        </w:rPr>
        <w:t>experiencing financial difficulties. The majority</w:t>
      </w:r>
      <w:r>
        <w:rPr>
          <w:rFonts w:ascii="Segoe UI"/>
          <w:color w:val="231F20"/>
        </w:rPr>
        <w:t> </w:t>
      </w:r>
      <w:r>
        <w:rPr>
          <w:color w:val="231F20"/>
        </w:rPr>
        <w:t>of</w:t>
      </w:r>
      <w:r>
        <w:rPr>
          <w:color w:val="231F20"/>
          <w:spacing w:val="-6"/>
        </w:rPr>
        <w:t> </w:t>
      </w:r>
      <w:r>
        <w:rPr>
          <w:color w:val="231F20"/>
        </w:rPr>
        <w:t>the</w:t>
      </w:r>
      <w:r>
        <w:rPr>
          <w:color w:val="231F20"/>
          <w:spacing w:val="-6"/>
        </w:rPr>
        <w:t> </w:t>
      </w:r>
      <w:r>
        <w:rPr>
          <w:color w:val="231F20"/>
        </w:rPr>
        <w:t>high</w:t>
      </w:r>
      <w:r>
        <w:rPr>
          <w:color w:val="231F20"/>
          <w:spacing w:val="-6"/>
        </w:rPr>
        <w:t> </w:t>
      </w:r>
      <w:r>
        <w:rPr>
          <w:color w:val="231F20"/>
        </w:rPr>
        <w:t>cost</w:t>
      </w:r>
      <w:r>
        <w:rPr>
          <w:color w:val="231F20"/>
          <w:spacing w:val="-6"/>
        </w:rPr>
        <w:t> </w:t>
      </w:r>
      <w:r>
        <w:rPr>
          <w:color w:val="231F20"/>
        </w:rPr>
        <w:t>boarding</w:t>
      </w:r>
      <w:r>
        <w:rPr>
          <w:color w:val="231F20"/>
          <w:spacing w:val="-6"/>
        </w:rPr>
        <w:t> </w:t>
      </w:r>
      <w:r>
        <w:rPr>
          <w:color w:val="231F20"/>
        </w:rPr>
        <w:t>providers</w:t>
      </w:r>
      <w:r>
        <w:rPr>
          <w:color w:val="231F20"/>
          <w:spacing w:val="-7"/>
        </w:rPr>
        <w:t> </w:t>
      </w:r>
      <w:r>
        <w:rPr>
          <w:color w:val="231F20"/>
        </w:rPr>
        <w:t>receive</w:t>
      </w:r>
      <w:r>
        <w:rPr>
          <w:color w:val="231F20"/>
          <w:w w:val="99"/>
        </w:rPr>
        <w:t> </w:t>
      </w:r>
      <w:r>
        <w:rPr>
          <w:color w:val="231F20"/>
          <w:spacing w:val="-1"/>
        </w:rPr>
        <w:t>support</w:t>
      </w:r>
      <w:r>
        <w:rPr>
          <w:color w:val="231F20"/>
          <w:spacing w:val="-8"/>
        </w:rPr>
        <w:t> </w:t>
      </w:r>
      <w:r>
        <w:rPr>
          <w:color w:val="231F20"/>
        </w:rPr>
        <w:t>from</w:t>
      </w:r>
      <w:r>
        <w:rPr>
          <w:color w:val="231F20"/>
          <w:spacing w:val="-8"/>
        </w:rPr>
        <w:t> </w:t>
      </w:r>
      <w:r>
        <w:rPr>
          <w:color w:val="231F20"/>
        </w:rPr>
        <w:t>donors</w:t>
      </w:r>
      <w:r>
        <w:rPr>
          <w:color w:val="231F20"/>
          <w:spacing w:val="-8"/>
        </w:rPr>
        <w:t> </w:t>
      </w:r>
      <w:r>
        <w:rPr>
          <w:color w:val="231F20"/>
        </w:rPr>
        <w:t>or</w:t>
      </w:r>
      <w:r>
        <w:rPr>
          <w:color w:val="231F20"/>
          <w:spacing w:val="-8"/>
        </w:rPr>
        <w:t> </w:t>
      </w:r>
      <w:r>
        <w:rPr>
          <w:color w:val="231F20"/>
        </w:rPr>
        <w:t>underpinning</w:t>
      </w:r>
      <w:r>
        <w:rPr>
          <w:color w:val="231F20"/>
          <w:spacing w:val="-8"/>
        </w:rPr>
        <w:t> </w:t>
      </w:r>
      <w:r>
        <w:rPr>
          <w:color w:val="231F20"/>
        </w:rPr>
        <w:t>funding</w:t>
      </w:r>
      <w:r>
        <w:rPr>
          <w:color w:val="231F20"/>
          <w:spacing w:val="22"/>
          <w:w w:val="99"/>
        </w:rPr>
        <w:t> </w:t>
      </w:r>
      <w:r>
        <w:rPr>
          <w:color w:val="231F20"/>
        </w:rPr>
        <w:t>from</w:t>
      </w:r>
      <w:r>
        <w:rPr>
          <w:color w:val="231F20"/>
          <w:spacing w:val="-7"/>
        </w:rPr>
        <w:t> </w:t>
      </w:r>
      <w:r>
        <w:rPr>
          <w:color w:val="231F20"/>
        </w:rPr>
        <w:t>the</w:t>
      </w:r>
      <w:r>
        <w:rPr>
          <w:color w:val="231F20"/>
          <w:spacing w:val="-7"/>
        </w:rPr>
        <w:t> </w:t>
      </w:r>
      <w:r>
        <w:rPr>
          <w:color w:val="231F20"/>
          <w:spacing w:val="-1"/>
        </w:rPr>
        <w:t>Commonwealth</w:t>
      </w:r>
      <w:r>
        <w:rPr>
          <w:color w:val="231F20"/>
          <w:spacing w:val="-6"/>
        </w:rPr>
        <w:t> </w:t>
      </w:r>
      <w:r>
        <w:rPr>
          <w:color w:val="231F20"/>
        </w:rPr>
        <w:t>or</w:t>
      </w:r>
      <w:r>
        <w:rPr>
          <w:color w:val="231F20"/>
          <w:spacing w:val="-7"/>
        </w:rPr>
        <w:t> </w:t>
      </w:r>
      <w:r>
        <w:rPr>
          <w:color w:val="231F20"/>
          <w:spacing w:val="-1"/>
        </w:rPr>
        <w:t>state</w:t>
      </w:r>
      <w:r>
        <w:rPr>
          <w:color w:val="231F20"/>
          <w:spacing w:val="-6"/>
        </w:rPr>
        <w:t> </w:t>
      </w:r>
      <w:r>
        <w:rPr>
          <w:color w:val="231F20"/>
        </w:rPr>
        <w:t>and</w:t>
      </w:r>
      <w:r>
        <w:rPr>
          <w:color w:val="231F20"/>
          <w:spacing w:val="-7"/>
        </w:rPr>
        <w:t> </w:t>
      </w:r>
      <w:r>
        <w:rPr>
          <w:color w:val="231F20"/>
        </w:rPr>
        <w:t>territory</w:t>
      </w:r>
      <w:r>
        <w:rPr>
          <w:color w:val="231F20"/>
          <w:spacing w:val="23"/>
          <w:w w:val="99"/>
        </w:rPr>
        <w:t> </w:t>
      </w:r>
      <w:r>
        <w:rPr>
          <w:color w:val="231F20"/>
        </w:rPr>
        <w:t>governments.</w:t>
      </w:r>
      <w:r>
        <w:rPr>
          <w:color w:val="231F20"/>
          <w:spacing w:val="-7"/>
        </w:rPr>
        <w:t> </w:t>
      </w:r>
      <w:r>
        <w:rPr>
          <w:color w:val="231F20"/>
        </w:rPr>
        <w:t>One</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highest</w:t>
      </w:r>
      <w:r>
        <w:rPr>
          <w:color w:val="231F20"/>
          <w:spacing w:val="-7"/>
        </w:rPr>
        <w:t> </w:t>
      </w:r>
      <w:r>
        <w:rPr>
          <w:color w:val="231F20"/>
        </w:rPr>
        <w:t>average</w:t>
      </w:r>
      <w:r>
        <w:rPr/>
      </w:r>
    </w:p>
    <w:p>
      <w:pPr>
        <w:pStyle w:val="BodyText"/>
        <w:spacing w:line="242" w:lineRule="exact"/>
        <w:ind w:left="100" w:right="0"/>
        <w:jc w:val="left"/>
      </w:pPr>
      <w:r>
        <w:rPr>
          <w:color w:val="231F20"/>
        </w:rPr>
        <w:t>cost</w:t>
      </w:r>
      <w:r>
        <w:rPr>
          <w:color w:val="231F20"/>
          <w:spacing w:val="-8"/>
        </w:rPr>
        <w:t> </w:t>
      </w:r>
      <w:r>
        <w:rPr>
          <w:color w:val="231F20"/>
        </w:rPr>
        <w:t>boarding</w:t>
      </w:r>
      <w:r>
        <w:rPr>
          <w:color w:val="231F20"/>
          <w:spacing w:val="-7"/>
        </w:rPr>
        <w:t> </w:t>
      </w:r>
      <w:r>
        <w:rPr>
          <w:color w:val="231F20"/>
        </w:rPr>
        <w:t>providers</w:t>
      </w:r>
      <w:r>
        <w:rPr>
          <w:color w:val="231F20"/>
          <w:spacing w:val="-8"/>
        </w:rPr>
        <w:t> </w:t>
      </w:r>
      <w:r>
        <w:rPr>
          <w:color w:val="231F20"/>
        </w:rPr>
        <w:t>received</w:t>
      </w:r>
      <w:r>
        <w:rPr>
          <w:color w:val="231F20"/>
          <w:spacing w:val="-7"/>
        </w:rPr>
        <w:t> </w:t>
      </w:r>
      <w:r>
        <w:rPr>
          <w:color w:val="231F20"/>
          <w:spacing w:val="-1"/>
        </w:rPr>
        <w:t>more</w:t>
      </w:r>
      <w:r>
        <w:rPr>
          <w:color w:val="231F20"/>
          <w:spacing w:val="-7"/>
        </w:rPr>
        <w:t> </w:t>
      </w:r>
      <w:r>
        <w:rPr>
          <w:color w:val="231F20"/>
        </w:rPr>
        <w:t>than</w:t>
      </w:r>
      <w:r>
        <w:rPr/>
      </w:r>
    </w:p>
    <w:p>
      <w:pPr>
        <w:pStyle w:val="BodyText"/>
        <w:spacing w:line="250" w:lineRule="exact" w:before="7"/>
        <w:ind w:left="100" w:right="176"/>
        <w:jc w:val="left"/>
      </w:pPr>
      <w:r>
        <w:rPr>
          <w:color w:val="231F20"/>
        </w:rPr>
        <w:t>$1</w:t>
      </w:r>
      <w:r>
        <w:rPr>
          <w:color w:val="231F20"/>
          <w:spacing w:val="-8"/>
        </w:rPr>
        <w:t> </w:t>
      </w:r>
      <w:r>
        <w:rPr>
          <w:color w:val="231F20"/>
          <w:spacing w:val="-1"/>
        </w:rPr>
        <w:t>million</w:t>
      </w:r>
      <w:r>
        <w:rPr>
          <w:color w:val="231F20"/>
          <w:spacing w:val="-7"/>
        </w:rPr>
        <w:t> </w:t>
      </w:r>
      <w:r>
        <w:rPr>
          <w:color w:val="231F20"/>
          <w:spacing w:val="-1"/>
        </w:rPr>
        <w:t>in</w:t>
      </w:r>
      <w:r>
        <w:rPr>
          <w:color w:val="231F20"/>
          <w:spacing w:val="-7"/>
        </w:rPr>
        <w:t> </w:t>
      </w:r>
      <w:r>
        <w:rPr>
          <w:color w:val="231F20"/>
        </w:rPr>
        <w:t>donations/philanthropic</w:t>
      </w:r>
      <w:r>
        <w:rPr>
          <w:color w:val="231F20"/>
          <w:spacing w:val="-8"/>
        </w:rPr>
        <w:t> </w:t>
      </w:r>
      <w:r>
        <w:rPr>
          <w:color w:val="231F20"/>
          <w:spacing w:val="-1"/>
        </w:rPr>
        <w:t>support</w:t>
      </w:r>
      <w:r>
        <w:rPr>
          <w:color w:val="231F20"/>
          <w:spacing w:val="-1"/>
          <w:w w:val="99"/>
        </w:rPr>
        <w:t> </w:t>
      </w:r>
      <w:r>
        <w:rPr>
          <w:color w:val="231F20"/>
          <w:spacing w:val="22"/>
          <w:w w:val="99"/>
        </w:rPr>
        <w:t> </w:t>
      </w:r>
      <w:r>
        <w:rPr>
          <w:color w:val="231F20"/>
          <w:spacing w:val="-1"/>
        </w:rPr>
        <w:t>in</w:t>
      </w:r>
      <w:r>
        <w:rPr>
          <w:color w:val="231F20"/>
          <w:spacing w:val="-4"/>
        </w:rPr>
        <w:t> </w:t>
      </w:r>
      <w:r>
        <w:rPr>
          <w:color w:val="231F20"/>
          <w:spacing w:val="-1"/>
        </w:rPr>
        <w:t>2016</w:t>
      </w:r>
      <w:r>
        <w:rPr>
          <w:color w:val="231F20"/>
          <w:spacing w:val="-3"/>
        </w:rPr>
        <w:t> </w:t>
      </w:r>
      <w:r>
        <w:rPr>
          <w:color w:val="231F20"/>
        </w:rPr>
        <w:t>and</w:t>
      </w:r>
      <w:r>
        <w:rPr>
          <w:color w:val="231F20"/>
          <w:spacing w:val="-4"/>
        </w:rPr>
        <w:t> </w:t>
      </w:r>
      <w:r>
        <w:rPr>
          <w:color w:val="231F20"/>
        </w:rPr>
        <w:t>achieved</w:t>
      </w:r>
      <w:r>
        <w:rPr>
          <w:color w:val="231F20"/>
          <w:spacing w:val="-4"/>
        </w:rPr>
        <w:t> </w:t>
      </w:r>
      <w:r>
        <w:rPr>
          <w:color w:val="231F20"/>
        </w:rPr>
        <w:t>an</w:t>
      </w:r>
      <w:r>
        <w:rPr>
          <w:color w:val="231F20"/>
          <w:spacing w:val="-5"/>
        </w:rPr>
        <w:t> </w:t>
      </w:r>
      <w:r>
        <w:rPr>
          <w:color w:val="231F20"/>
        </w:rPr>
        <w:t>operating</w:t>
      </w:r>
      <w:r>
        <w:rPr>
          <w:color w:val="231F20"/>
          <w:spacing w:val="-3"/>
        </w:rPr>
        <w:t> </w:t>
      </w:r>
      <w:r>
        <w:rPr>
          <w:color w:val="231F20"/>
          <w:spacing w:val="-1"/>
        </w:rPr>
        <w:t>surplus.</w:t>
      </w:r>
      <w:r>
        <w:rPr>
          <w:color w:val="231F20"/>
          <w:spacing w:val="-3"/>
        </w:rPr>
        <w:t> </w:t>
      </w:r>
      <w:r>
        <w:rPr>
          <w:color w:val="231F20"/>
          <w:spacing w:val="-5"/>
        </w:rPr>
        <w:t>Two</w:t>
      </w:r>
      <w:r>
        <w:rPr>
          <w:color w:val="231F20"/>
          <w:spacing w:val="24"/>
          <w:w w:val="99"/>
        </w:rPr>
        <w:t> </w:t>
      </w:r>
      <w:r>
        <w:rPr>
          <w:color w:val="231F20"/>
        </w:rPr>
        <w:t>boarding</w:t>
      </w:r>
      <w:r>
        <w:rPr>
          <w:color w:val="231F20"/>
          <w:spacing w:val="-11"/>
        </w:rPr>
        <w:t> </w:t>
      </w:r>
      <w:r>
        <w:rPr>
          <w:color w:val="231F20"/>
        </w:rPr>
        <w:t>providers</w:t>
      </w:r>
      <w:r>
        <w:rPr>
          <w:color w:val="231F20"/>
          <w:spacing w:val="-10"/>
        </w:rPr>
        <w:t> </w:t>
      </w:r>
      <w:r>
        <w:rPr>
          <w:color w:val="231F20"/>
        </w:rPr>
        <w:t>that</w:t>
      </w:r>
      <w:r>
        <w:rPr>
          <w:color w:val="231F20"/>
          <w:spacing w:val="-11"/>
        </w:rPr>
        <w:t> </w:t>
      </w:r>
      <w:r>
        <w:rPr>
          <w:color w:val="231F20"/>
        </w:rPr>
        <w:t>receive</w:t>
      </w:r>
      <w:r>
        <w:rPr>
          <w:color w:val="231F20"/>
          <w:spacing w:val="-10"/>
        </w:rPr>
        <w:t> </w:t>
      </w:r>
      <w:r>
        <w:rPr>
          <w:color w:val="231F20"/>
        </w:rPr>
        <w:t>underpinning</w:t>
      </w:r>
      <w:r>
        <w:rPr>
          <w:color w:val="231F20"/>
          <w:w w:val="99"/>
        </w:rPr>
        <w:t> </w:t>
      </w:r>
      <w:r>
        <w:rPr>
          <w:color w:val="231F20"/>
        </w:rPr>
        <w:t>funding</w:t>
      </w:r>
      <w:r>
        <w:rPr>
          <w:color w:val="231F20"/>
          <w:spacing w:val="-9"/>
        </w:rPr>
        <w:t> </w:t>
      </w:r>
      <w:r>
        <w:rPr>
          <w:color w:val="231F20"/>
        </w:rPr>
        <w:t>from</w:t>
      </w:r>
      <w:r>
        <w:rPr>
          <w:color w:val="231F20"/>
          <w:spacing w:val="-9"/>
        </w:rPr>
        <w:t> </w:t>
      </w:r>
      <w:r>
        <w:rPr>
          <w:color w:val="231F20"/>
        </w:rPr>
        <w:t>government</w:t>
      </w:r>
      <w:r>
        <w:rPr>
          <w:color w:val="231F20"/>
          <w:spacing w:val="-9"/>
        </w:rPr>
        <w:t> </w:t>
      </w:r>
      <w:r>
        <w:rPr>
          <w:color w:val="231F20"/>
        </w:rPr>
        <w:t>explained</w:t>
      </w:r>
      <w:r>
        <w:rPr>
          <w:color w:val="231F20"/>
          <w:spacing w:val="-9"/>
        </w:rPr>
        <w:t> </w:t>
      </w:r>
      <w:r>
        <w:rPr>
          <w:color w:val="231F20"/>
        </w:rPr>
        <w:t>that</w:t>
      </w:r>
      <w:r>
        <w:rPr>
          <w:color w:val="231F20"/>
          <w:w w:val="99"/>
        </w:rPr>
        <w:t> </w:t>
      </w:r>
      <w:r>
        <w:rPr>
          <w:color w:val="231F20"/>
        </w:rPr>
        <w:t>ABSTUDY</w:t>
      </w:r>
      <w:r>
        <w:rPr>
          <w:color w:val="231F20"/>
          <w:spacing w:val="-8"/>
        </w:rPr>
        <w:t> </w:t>
      </w:r>
      <w:r>
        <w:rPr>
          <w:color w:val="231F20"/>
        </w:rPr>
        <w:t>payments</w:t>
      </w:r>
      <w:r>
        <w:rPr>
          <w:color w:val="231F20"/>
          <w:spacing w:val="-7"/>
        </w:rPr>
        <w:t> </w:t>
      </w:r>
      <w:r>
        <w:rPr>
          <w:color w:val="231F20"/>
        </w:rPr>
        <w:t>were</w:t>
      </w:r>
      <w:r>
        <w:rPr>
          <w:color w:val="231F20"/>
          <w:spacing w:val="-7"/>
        </w:rPr>
        <w:t> </w:t>
      </w:r>
      <w:r>
        <w:rPr>
          <w:color w:val="231F20"/>
        </w:rPr>
        <w:t>uncertain</w:t>
      </w:r>
      <w:r>
        <w:rPr>
          <w:color w:val="231F20"/>
          <w:spacing w:val="-7"/>
        </w:rPr>
        <w:t> </w:t>
      </w:r>
      <w:r>
        <w:rPr>
          <w:color w:val="231F20"/>
        </w:rPr>
        <w:t>and</w:t>
      </w:r>
      <w:r>
        <w:rPr>
          <w:color w:val="231F20"/>
          <w:w w:val="99"/>
        </w:rPr>
        <w:t> </w:t>
      </w:r>
      <w:r>
        <w:rPr>
          <w:color w:val="231F20"/>
          <w:spacing w:val="-1"/>
        </w:rPr>
        <w:t>unpredictable</w:t>
      </w:r>
      <w:r>
        <w:rPr>
          <w:rFonts w:ascii="Segoe UI Semibold"/>
          <w:b/>
          <w:color w:val="231F20"/>
          <w:spacing w:val="-1"/>
          <w:position w:val="7"/>
          <w:sz w:val="11"/>
        </w:rPr>
        <w:t>8</w:t>
      </w:r>
      <w:r>
        <w:rPr>
          <w:rFonts w:ascii="Segoe UI Semibold"/>
          <w:b/>
          <w:color w:val="231F20"/>
          <w:spacing w:val="15"/>
          <w:position w:val="7"/>
          <w:sz w:val="11"/>
        </w:rPr>
        <w:t> </w:t>
      </w:r>
      <w:r>
        <w:rPr>
          <w:color w:val="231F20"/>
        </w:rPr>
        <w:t>yet</w:t>
      </w:r>
      <w:r>
        <w:rPr>
          <w:color w:val="231F20"/>
          <w:spacing w:val="-9"/>
        </w:rPr>
        <w:t> </w:t>
      </w:r>
      <w:r>
        <w:rPr>
          <w:color w:val="231F20"/>
        </w:rPr>
        <w:t>the</w:t>
      </w:r>
      <w:r>
        <w:rPr>
          <w:color w:val="231F20"/>
          <w:spacing w:val="-9"/>
        </w:rPr>
        <w:t> </w:t>
      </w:r>
      <w:r>
        <w:rPr>
          <w:color w:val="231F20"/>
        </w:rPr>
        <w:t>underpinning</w:t>
      </w:r>
      <w:r>
        <w:rPr>
          <w:color w:val="231F20"/>
          <w:spacing w:val="-9"/>
        </w:rPr>
        <w:t> </w:t>
      </w:r>
      <w:r>
        <w:rPr>
          <w:color w:val="231F20"/>
        </w:rPr>
        <w:t>funding</w:t>
      </w:r>
      <w:r>
        <w:rPr>
          <w:color w:val="231F20"/>
          <w:spacing w:val="26"/>
          <w:w w:val="99"/>
        </w:rPr>
        <w:t> </w:t>
      </w:r>
      <w:r>
        <w:rPr>
          <w:color w:val="231F20"/>
        </w:rPr>
        <w:t>enabled</w:t>
      </w:r>
      <w:r>
        <w:rPr>
          <w:color w:val="231F20"/>
          <w:spacing w:val="-7"/>
        </w:rPr>
        <w:t> </w:t>
      </w:r>
      <w:r>
        <w:rPr>
          <w:color w:val="231F20"/>
        </w:rPr>
        <w:t>the</w:t>
      </w:r>
      <w:r>
        <w:rPr>
          <w:color w:val="231F20"/>
          <w:spacing w:val="-6"/>
        </w:rPr>
        <w:t> </w:t>
      </w:r>
      <w:r>
        <w:rPr>
          <w:color w:val="231F20"/>
        </w:rPr>
        <w:t>provider</w:t>
      </w:r>
      <w:r>
        <w:rPr>
          <w:color w:val="231F20"/>
          <w:spacing w:val="-6"/>
        </w:rPr>
        <w:t> </w:t>
      </w:r>
      <w:r>
        <w:rPr>
          <w:color w:val="231F20"/>
        </w:rPr>
        <w:t>to</w:t>
      </w:r>
      <w:r>
        <w:rPr>
          <w:color w:val="231F20"/>
          <w:spacing w:val="-5"/>
        </w:rPr>
        <w:t> </w:t>
      </w:r>
      <w:r>
        <w:rPr>
          <w:color w:val="231F20"/>
        </w:rPr>
        <w:t>develop</w:t>
      </w:r>
      <w:r>
        <w:rPr>
          <w:color w:val="231F20"/>
          <w:spacing w:val="-7"/>
        </w:rPr>
        <w:t> </w:t>
      </w:r>
      <w:r>
        <w:rPr>
          <w:color w:val="231F20"/>
        </w:rPr>
        <w:t>plans,</w:t>
      </w:r>
      <w:r>
        <w:rPr>
          <w:color w:val="231F20"/>
          <w:spacing w:val="-6"/>
        </w:rPr>
        <w:t> </w:t>
      </w:r>
      <w:r>
        <w:rPr>
          <w:color w:val="231F20"/>
        </w:rPr>
        <w:t>employ</w:t>
      </w:r>
      <w:r>
        <w:rPr>
          <w:color w:val="231F20"/>
        </w:rPr>
        <w:t> </w:t>
      </w:r>
      <w:r>
        <w:rPr>
          <w:rFonts w:ascii="Segoe UI"/>
          <w:color w:val="231F20"/>
        </w:rPr>
        <w:t>staff</w:t>
      </w:r>
      <w:r>
        <w:rPr>
          <w:rFonts w:ascii="Segoe UI"/>
          <w:color w:val="231F20"/>
          <w:spacing w:val="-1"/>
        </w:rPr>
        <w:t> </w:t>
      </w:r>
      <w:r>
        <w:rPr>
          <w:rFonts w:ascii="Segoe UI"/>
          <w:color w:val="231F20"/>
        </w:rPr>
        <w:t>with</w:t>
      </w:r>
      <w:r>
        <w:rPr>
          <w:rFonts w:ascii="Segoe UI"/>
          <w:color w:val="231F20"/>
          <w:spacing w:val="-1"/>
        </w:rPr>
        <w:t> </w:t>
      </w:r>
      <w:r>
        <w:rPr>
          <w:rFonts w:ascii="Segoe UI"/>
          <w:color w:val="231F20"/>
        </w:rPr>
        <w:t>certainty and</w:t>
      </w:r>
      <w:r>
        <w:rPr>
          <w:rFonts w:ascii="Segoe UI"/>
          <w:color w:val="231F20"/>
          <w:spacing w:val="-1"/>
        </w:rPr>
        <w:t> </w:t>
      </w:r>
      <w:r>
        <w:rPr>
          <w:rFonts w:ascii="Segoe UI"/>
          <w:color w:val="231F20"/>
        </w:rPr>
        <w:t>develop</w:t>
      </w:r>
      <w:r>
        <w:rPr>
          <w:rFonts w:ascii="Segoe UI"/>
          <w:color w:val="231F20"/>
          <w:spacing w:val="-1"/>
        </w:rPr>
        <w:t> </w:t>
      </w:r>
      <w:r>
        <w:rPr>
          <w:rFonts w:ascii="Segoe UI"/>
          <w:color w:val="231F20"/>
        </w:rPr>
        <w:t>budgets for</w:t>
      </w:r>
      <w:r>
        <w:rPr>
          <w:rFonts w:ascii="Segoe UI"/>
          <w:color w:val="231F20"/>
        </w:rPr>
        <w:t> </w:t>
      </w:r>
      <w:r>
        <w:rPr>
          <w:color w:val="231F20"/>
        </w:rPr>
        <w:t>delivering</w:t>
      </w:r>
      <w:r>
        <w:rPr>
          <w:color w:val="231F20"/>
          <w:spacing w:val="-7"/>
        </w:rPr>
        <w:t> </w:t>
      </w:r>
      <w:r>
        <w:rPr>
          <w:color w:val="231F20"/>
        </w:rPr>
        <w:t>the</w:t>
      </w:r>
      <w:r>
        <w:rPr>
          <w:color w:val="231F20"/>
          <w:spacing w:val="-6"/>
        </w:rPr>
        <w:t> </w:t>
      </w:r>
      <w:r>
        <w:rPr>
          <w:color w:val="231F20"/>
        </w:rPr>
        <w:t>best</w:t>
      </w:r>
      <w:r>
        <w:rPr>
          <w:color w:val="231F20"/>
          <w:spacing w:val="-6"/>
        </w:rPr>
        <w:t> </w:t>
      </w:r>
      <w:r>
        <w:rPr>
          <w:color w:val="231F20"/>
          <w:spacing w:val="-1"/>
        </w:rPr>
        <w:t>services</w:t>
      </w:r>
      <w:r>
        <w:rPr>
          <w:color w:val="231F20"/>
          <w:spacing w:val="-5"/>
        </w:rPr>
        <w:t> </w:t>
      </w:r>
      <w:r>
        <w:rPr>
          <w:color w:val="231F20"/>
        </w:rPr>
        <w:t>without</w:t>
      </w:r>
      <w:r>
        <w:rPr>
          <w:color w:val="231F20"/>
          <w:spacing w:val="-7"/>
        </w:rPr>
        <w:t> </w:t>
      </w:r>
      <w:r>
        <w:rPr>
          <w:color w:val="231F20"/>
        </w:rPr>
        <w:t>concerns</w:t>
      </w:r>
      <w:r>
        <w:rPr>
          <w:color w:val="231F20"/>
          <w:spacing w:val="22"/>
          <w:w w:val="99"/>
        </w:rPr>
        <w:t> </w:t>
      </w:r>
      <w:r>
        <w:rPr>
          <w:color w:val="231F20"/>
        </w:rPr>
        <w:t>around</w:t>
      </w:r>
      <w:r>
        <w:rPr>
          <w:color w:val="231F20"/>
          <w:spacing w:val="-9"/>
        </w:rPr>
        <w:t> </w:t>
      </w:r>
      <w:r>
        <w:rPr>
          <w:color w:val="231F20"/>
        </w:rPr>
        <w:t>funding</w:t>
      </w:r>
      <w:r>
        <w:rPr>
          <w:color w:val="231F20"/>
          <w:spacing w:val="-7"/>
        </w:rPr>
        <w:t> </w:t>
      </w:r>
      <w:r>
        <w:rPr>
          <w:color w:val="231F20"/>
        </w:rPr>
        <w:t>or</w:t>
      </w:r>
      <w:r>
        <w:rPr>
          <w:color w:val="231F20"/>
          <w:spacing w:val="-8"/>
        </w:rPr>
        <w:t> </w:t>
      </w:r>
      <w:r>
        <w:rPr>
          <w:color w:val="231F20"/>
        </w:rPr>
        <w:t>viability.</w:t>
      </w:r>
      <w:r>
        <w:rPr/>
      </w:r>
    </w:p>
    <w:p>
      <w:pPr>
        <w:spacing w:after="0" w:line="250" w:lineRule="exact"/>
        <w:jc w:val="left"/>
        <w:sectPr>
          <w:type w:val="continuous"/>
          <w:pgSz w:w="11910" w:h="16840"/>
          <w:pgMar w:top="1580" w:bottom="280" w:left="1600" w:right="1300"/>
          <w:cols w:num="2" w:equalWidth="0">
            <w:col w:w="4289" w:space="246"/>
            <w:col w:w="4475"/>
          </w:cols>
        </w:sectPr>
      </w:pPr>
    </w:p>
    <w:p>
      <w:pPr>
        <w:spacing w:line="240" w:lineRule="auto" w:before="0"/>
        <w:rPr>
          <w:rFonts w:ascii="Segoe UI" w:hAnsi="Segoe UI" w:cs="Segoe UI" w:eastAsia="Segoe UI"/>
          <w:sz w:val="20"/>
          <w:szCs w:val="20"/>
        </w:rPr>
      </w:pPr>
    </w:p>
    <w:p>
      <w:pPr>
        <w:spacing w:line="240" w:lineRule="auto" w:before="8"/>
        <w:rPr>
          <w:rFonts w:ascii="Segoe UI" w:hAnsi="Segoe UI" w:cs="Segoe UI" w:eastAsia="Segoe UI"/>
          <w:sz w:val="21"/>
          <w:szCs w:val="21"/>
        </w:rPr>
      </w:pPr>
    </w:p>
    <w:p>
      <w:pPr>
        <w:spacing w:after="0" w:line="240" w:lineRule="auto"/>
        <w:rPr>
          <w:rFonts w:ascii="Segoe UI" w:hAnsi="Segoe UI" w:cs="Segoe UI" w:eastAsia="Segoe UI"/>
          <w:sz w:val="21"/>
          <w:szCs w:val="21"/>
        </w:rPr>
        <w:sectPr>
          <w:footerReference w:type="even" r:id="rId14"/>
          <w:footerReference w:type="default" r:id="rId15"/>
          <w:pgSz w:w="11910" w:h="16840"/>
          <w:pgMar w:footer="691" w:header="0" w:top="1580" w:bottom="880" w:left="1300" w:right="1600"/>
        </w:sectPr>
      </w:pPr>
    </w:p>
    <w:p>
      <w:pPr>
        <w:pStyle w:val="BodyText"/>
        <w:spacing w:line="250" w:lineRule="exact" w:before="62"/>
        <w:ind w:right="196"/>
        <w:jc w:val="left"/>
      </w:pPr>
      <w:r>
        <w:rPr>
          <w:color w:val="231F20"/>
        </w:rPr>
        <w:t>A</w:t>
      </w:r>
      <w:r>
        <w:rPr>
          <w:color w:val="231F20"/>
          <w:spacing w:val="-6"/>
        </w:rPr>
        <w:t> </w:t>
      </w:r>
      <w:r>
        <w:rPr>
          <w:color w:val="231F20"/>
        </w:rPr>
        <w:t>number</w:t>
      </w:r>
      <w:r>
        <w:rPr>
          <w:color w:val="231F20"/>
          <w:spacing w:val="-6"/>
        </w:rPr>
        <w:t> </w:t>
      </w:r>
      <w:r>
        <w:rPr>
          <w:color w:val="231F20"/>
        </w:rPr>
        <w:t>of</w:t>
      </w:r>
      <w:r>
        <w:rPr>
          <w:color w:val="231F20"/>
          <w:spacing w:val="-6"/>
        </w:rPr>
        <w:t> </w:t>
      </w:r>
      <w:r>
        <w:rPr>
          <w:color w:val="231F20"/>
        </w:rPr>
        <w:t>previous</w:t>
      </w:r>
      <w:r>
        <w:rPr>
          <w:color w:val="231F20"/>
          <w:spacing w:val="-6"/>
        </w:rPr>
        <w:t> </w:t>
      </w:r>
      <w:r>
        <w:rPr>
          <w:color w:val="231F20"/>
        </w:rPr>
        <w:t>reviews</w:t>
      </w:r>
      <w:r>
        <w:rPr>
          <w:color w:val="231F20"/>
          <w:spacing w:val="-6"/>
        </w:rPr>
        <w:t> </w:t>
      </w:r>
      <w:r>
        <w:rPr>
          <w:color w:val="231F20"/>
        </w:rPr>
        <w:t>and</w:t>
      </w:r>
      <w:r>
        <w:rPr>
          <w:color w:val="231F20"/>
          <w:spacing w:val="-7"/>
        </w:rPr>
        <w:t> </w:t>
      </w:r>
      <w:r>
        <w:rPr>
          <w:color w:val="231F20"/>
        </w:rPr>
        <w:t>reports</w:t>
      </w:r>
      <w:r>
        <w:rPr>
          <w:color w:val="231F20"/>
          <w:w w:val="99"/>
        </w:rPr>
        <w:t> </w:t>
      </w:r>
      <w:r>
        <w:rPr>
          <w:color w:val="231F20"/>
        </w:rPr>
        <w:t>have</w:t>
      </w:r>
      <w:r>
        <w:rPr>
          <w:color w:val="231F20"/>
          <w:spacing w:val="-7"/>
        </w:rPr>
        <w:t> </w:t>
      </w:r>
      <w:r>
        <w:rPr>
          <w:color w:val="231F20"/>
        </w:rPr>
        <w:t>considered</w:t>
      </w:r>
      <w:r>
        <w:rPr>
          <w:color w:val="231F20"/>
          <w:spacing w:val="-6"/>
        </w:rPr>
        <w:t> </w:t>
      </w:r>
      <w:r>
        <w:rPr>
          <w:color w:val="231F20"/>
        </w:rPr>
        <w:t>the</w:t>
      </w:r>
      <w:r>
        <w:rPr>
          <w:color w:val="231F20"/>
          <w:spacing w:val="-6"/>
        </w:rPr>
        <w:t> </w:t>
      </w:r>
      <w:r>
        <w:rPr>
          <w:color w:val="231F20"/>
        </w:rPr>
        <w:t>funding</w:t>
      </w:r>
      <w:r>
        <w:rPr>
          <w:color w:val="231F20"/>
          <w:spacing w:val="-5"/>
        </w:rPr>
        <w:t> </w:t>
      </w:r>
      <w:r>
        <w:rPr>
          <w:color w:val="231F20"/>
          <w:spacing w:val="-1"/>
        </w:rPr>
        <w:t>model</w:t>
      </w:r>
      <w:r>
        <w:rPr>
          <w:color w:val="231F20"/>
          <w:spacing w:val="-6"/>
        </w:rPr>
        <w:t> </w:t>
      </w:r>
      <w:r>
        <w:rPr>
          <w:color w:val="231F20"/>
        </w:rPr>
        <w:t>for</w:t>
      </w:r>
      <w:r>
        <w:rPr>
          <w:color w:val="231F20"/>
          <w:spacing w:val="21"/>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and</w:t>
      </w:r>
      <w:r>
        <w:rPr>
          <w:color w:val="231F20"/>
          <w:spacing w:val="-10"/>
        </w:rPr>
        <w:t> </w:t>
      </w:r>
      <w:r>
        <w:rPr>
          <w:color w:val="231F20"/>
          <w:spacing w:val="-1"/>
        </w:rPr>
        <w:t>made</w:t>
      </w:r>
      <w:r>
        <w:rPr>
          <w:color w:val="231F20"/>
          <w:spacing w:val="-8"/>
        </w:rPr>
        <w:t> </w:t>
      </w:r>
      <w:r>
        <w:rPr>
          <w:color w:val="231F20"/>
        </w:rPr>
        <w:t>recommendations</w:t>
      </w:r>
      <w:r>
        <w:rPr>
          <w:color w:val="231F20"/>
          <w:spacing w:val="-10"/>
        </w:rPr>
        <w:t> </w:t>
      </w:r>
      <w:r>
        <w:rPr>
          <w:color w:val="231F20"/>
        </w:rPr>
        <w:t>for</w:t>
      </w:r>
      <w:r>
        <w:rPr>
          <w:color w:val="231F20"/>
          <w:spacing w:val="-9"/>
        </w:rPr>
        <w:t> </w:t>
      </w:r>
      <w:r>
        <w:rPr>
          <w:color w:val="231F20"/>
        </w:rPr>
        <w:t>reform.</w:t>
      </w:r>
      <w:r>
        <w:rPr/>
      </w:r>
    </w:p>
    <w:p>
      <w:pPr>
        <w:pStyle w:val="BodyText"/>
        <w:spacing w:line="250" w:lineRule="exact"/>
        <w:ind w:right="63"/>
        <w:jc w:val="left"/>
      </w:pPr>
      <w:r>
        <w:rPr>
          <w:color w:val="231F20"/>
          <w:spacing w:val="-1"/>
        </w:rPr>
        <w:t>CAEPR,</w:t>
      </w:r>
      <w:r>
        <w:rPr>
          <w:color w:val="231F20"/>
          <w:spacing w:val="-6"/>
        </w:rPr>
        <w:t> </w:t>
      </w:r>
      <w:r>
        <w:rPr>
          <w:color w:val="231F20"/>
          <w:spacing w:val="-1"/>
        </w:rPr>
        <w:t>2017</w:t>
      </w:r>
      <w:r>
        <w:rPr>
          <w:color w:val="231F20"/>
          <w:spacing w:val="-5"/>
        </w:rPr>
        <w:t> </w:t>
      </w:r>
      <w:r>
        <w:rPr>
          <w:color w:val="231F20"/>
        </w:rPr>
        <w:t>referenced</w:t>
      </w:r>
      <w:r>
        <w:rPr>
          <w:color w:val="231F20"/>
          <w:spacing w:val="-7"/>
        </w:rPr>
        <w:t> </w:t>
      </w:r>
      <w:r>
        <w:rPr>
          <w:color w:val="231F20"/>
        </w:rPr>
        <w:t>the</w:t>
      </w:r>
      <w:r>
        <w:rPr>
          <w:color w:val="231F20"/>
          <w:spacing w:val="-6"/>
        </w:rPr>
        <w:t> </w:t>
      </w:r>
      <w:r>
        <w:rPr>
          <w:color w:val="231F20"/>
        </w:rPr>
        <w:t>funding</w:t>
      </w:r>
      <w:r>
        <w:rPr>
          <w:color w:val="231F20"/>
          <w:spacing w:val="-5"/>
        </w:rPr>
        <w:t> </w:t>
      </w:r>
      <w:r>
        <w:rPr>
          <w:color w:val="231F20"/>
          <w:spacing w:val="-1"/>
        </w:rPr>
        <w:t>structure</w:t>
      </w:r>
      <w:r>
        <w:rPr>
          <w:color w:val="231F20"/>
          <w:spacing w:val="22"/>
          <w:w w:val="99"/>
        </w:rPr>
        <w:t> </w:t>
      </w:r>
      <w:r>
        <w:rPr>
          <w:color w:val="231F20"/>
        </w:rPr>
        <w:t>for</w:t>
      </w:r>
      <w:r>
        <w:rPr>
          <w:color w:val="231F20"/>
          <w:spacing w:val="-8"/>
        </w:rPr>
        <w:t> </w:t>
      </w:r>
      <w:r>
        <w:rPr>
          <w:color w:val="231F20"/>
          <w:spacing w:val="-1"/>
        </w:rPr>
        <w:t>Commonwealth</w:t>
      </w:r>
      <w:r>
        <w:rPr>
          <w:color w:val="231F20"/>
          <w:spacing w:val="-8"/>
        </w:rPr>
        <w:t> </w:t>
      </w:r>
      <w:r>
        <w:rPr>
          <w:color w:val="231F20"/>
          <w:spacing w:val="-1"/>
        </w:rPr>
        <w:t>school</w:t>
      </w:r>
      <w:r>
        <w:rPr>
          <w:color w:val="231F20"/>
          <w:spacing w:val="-8"/>
        </w:rPr>
        <w:t> </w:t>
      </w:r>
      <w:r>
        <w:rPr>
          <w:color w:val="231F20"/>
        </w:rPr>
        <w:t>recurrent</w:t>
      </w:r>
      <w:r>
        <w:rPr>
          <w:color w:val="231F20"/>
          <w:spacing w:val="-9"/>
        </w:rPr>
        <w:t> </w:t>
      </w:r>
      <w:r>
        <w:rPr>
          <w:color w:val="231F20"/>
        </w:rPr>
        <w:t>funding</w:t>
      </w:r>
      <w:r>
        <w:rPr>
          <w:color w:val="231F20"/>
          <w:spacing w:val="23"/>
          <w:w w:val="99"/>
        </w:rPr>
        <w:t> </w:t>
      </w:r>
      <w:r>
        <w:rPr>
          <w:color w:val="231F20"/>
        </w:rPr>
        <w:t>under</w:t>
      </w:r>
      <w:r>
        <w:rPr>
          <w:color w:val="231F20"/>
          <w:spacing w:val="-4"/>
        </w:rPr>
        <w:t> </w:t>
      </w:r>
      <w:r>
        <w:rPr>
          <w:color w:val="231F20"/>
        </w:rPr>
        <w:t>the</w:t>
      </w:r>
      <w:r>
        <w:rPr>
          <w:color w:val="231F20"/>
          <w:spacing w:val="-4"/>
        </w:rPr>
        <w:t> </w:t>
      </w:r>
      <w:r>
        <w:rPr>
          <w:rFonts w:ascii="Segoe UI"/>
          <w:i/>
          <w:color w:val="231F20"/>
          <w:spacing w:val="-1"/>
        </w:rPr>
        <w:t>Australian</w:t>
      </w:r>
      <w:r>
        <w:rPr>
          <w:rFonts w:ascii="Segoe UI"/>
          <w:i/>
          <w:color w:val="231F20"/>
          <w:spacing w:val="-3"/>
        </w:rPr>
        <w:t> </w:t>
      </w:r>
      <w:r>
        <w:rPr>
          <w:rFonts w:ascii="Segoe UI"/>
          <w:i/>
          <w:color w:val="231F20"/>
        </w:rPr>
        <w:t>Education</w:t>
      </w:r>
      <w:r>
        <w:rPr>
          <w:rFonts w:ascii="Segoe UI"/>
          <w:i/>
          <w:color w:val="231F20"/>
          <w:spacing w:val="-3"/>
        </w:rPr>
        <w:t> </w:t>
      </w:r>
      <w:r>
        <w:rPr>
          <w:rFonts w:ascii="Segoe UI"/>
          <w:i/>
          <w:color w:val="231F20"/>
        </w:rPr>
        <w:t>Act</w:t>
      </w:r>
      <w:r>
        <w:rPr>
          <w:rFonts w:ascii="Segoe UI"/>
          <w:i/>
          <w:color w:val="231F20"/>
          <w:spacing w:val="-4"/>
        </w:rPr>
        <w:t> </w:t>
      </w:r>
      <w:r>
        <w:rPr>
          <w:rFonts w:ascii="Segoe UI"/>
          <w:i/>
          <w:color w:val="231F20"/>
        </w:rPr>
        <w:t>2013</w:t>
      </w:r>
      <w:r>
        <w:rPr>
          <w:color w:val="231F20"/>
        </w:rPr>
        <w:t>,</w:t>
      </w:r>
      <w:r>
        <w:rPr>
          <w:color w:val="231F20"/>
          <w:spacing w:val="-3"/>
        </w:rPr>
        <w:t> </w:t>
      </w:r>
      <w:r>
        <w:rPr>
          <w:color w:val="231F20"/>
        </w:rPr>
        <w:t>which,</w:t>
      </w:r>
      <w:r>
        <w:rPr>
          <w:color w:val="231F20"/>
          <w:spacing w:val="28"/>
          <w:w w:val="99"/>
        </w:rPr>
        <w:t> </w:t>
      </w:r>
      <w:r>
        <w:rPr>
          <w:color w:val="231F20"/>
          <w:spacing w:val="-1"/>
        </w:rPr>
        <w:t>in</w:t>
      </w:r>
      <w:r>
        <w:rPr>
          <w:color w:val="231F20"/>
          <w:spacing w:val="-3"/>
        </w:rPr>
        <w:t> </w:t>
      </w:r>
      <w:r>
        <w:rPr>
          <w:color w:val="231F20"/>
        </w:rPr>
        <w:t>basic</w:t>
      </w:r>
      <w:r>
        <w:rPr>
          <w:color w:val="231F20"/>
          <w:spacing w:val="-4"/>
        </w:rPr>
        <w:t> </w:t>
      </w:r>
      <w:r>
        <w:rPr>
          <w:color w:val="231F20"/>
        </w:rPr>
        <w:t>terms,</w:t>
      </w:r>
      <w:r>
        <w:rPr>
          <w:color w:val="231F20"/>
          <w:spacing w:val="-4"/>
        </w:rPr>
        <w:t> </w:t>
      </w:r>
      <w:r>
        <w:rPr>
          <w:color w:val="231F20"/>
          <w:spacing w:val="-1"/>
        </w:rPr>
        <w:t>includes</w:t>
      </w:r>
      <w:r>
        <w:rPr>
          <w:color w:val="231F20"/>
          <w:spacing w:val="-2"/>
        </w:rPr>
        <w:t> </w:t>
      </w:r>
      <w:r>
        <w:rPr>
          <w:color w:val="231F20"/>
        </w:rPr>
        <w:t>a</w:t>
      </w:r>
      <w:r>
        <w:rPr>
          <w:color w:val="231F20"/>
          <w:spacing w:val="-3"/>
        </w:rPr>
        <w:t> </w:t>
      </w:r>
      <w:r>
        <w:rPr>
          <w:color w:val="231F20"/>
        </w:rPr>
        <w:t>base</w:t>
      </w:r>
      <w:r>
        <w:rPr>
          <w:color w:val="231F20"/>
          <w:spacing w:val="-4"/>
        </w:rPr>
        <w:t> </w:t>
      </w:r>
      <w:r>
        <w:rPr>
          <w:color w:val="231F20"/>
        </w:rPr>
        <w:t>amount</w:t>
      </w:r>
      <w:r>
        <w:rPr>
          <w:color w:val="231F20"/>
          <w:spacing w:val="-4"/>
        </w:rPr>
        <w:t> </w:t>
      </w:r>
      <w:r>
        <w:rPr>
          <w:color w:val="231F20"/>
        </w:rPr>
        <w:t>of</w:t>
      </w:r>
      <w:r>
        <w:rPr>
          <w:color w:val="231F20"/>
          <w:spacing w:val="23"/>
          <w:w w:val="99"/>
        </w:rPr>
        <w:t> </w:t>
      </w:r>
      <w:r>
        <w:rPr>
          <w:color w:val="231F20"/>
        </w:rPr>
        <w:t>funding</w:t>
      </w:r>
      <w:r>
        <w:rPr>
          <w:color w:val="231F20"/>
          <w:spacing w:val="-6"/>
        </w:rPr>
        <w:t> </w:t>
      </w:r>
      <w:r>
        <w:rPr>
          <w:color w:val="231F20"/>
        </w:rPr>
        <w:t>plus</w:t>
      </w:r>
      <w:r>
        <w:rPr>
          <w:color w:val="231F20"/>
          <w:spacing w:val="-6"/>
        </w:rPr>
        <w:t> </w:t>
      </w:r>
      <w:r>
        <w:rPr>
          <w:color w:val="231F20"/>
          <w:spacing w:val="-1"/>
        </w:rPr>
        <w:t>loadings</w:t>
      </w:r>
      <w:r>
        <w:rPr>
          <w:color w:val="231F20"/>
          <w:spacing w:val="-6"/>
        </w:rPr>
        <w:t> </w:t>
      </w:r>
      <w:r>
        <w:rPr>
          <w:color w:val="231F20"/>
        </w:rPr>
        <w:t>to</w:t>
      </w:r>
      <w:r>
        <w:rPr>
          <w:color w:val="231F20"/>
          <w:spacing w:val="-5"/>
        </w:rPr>
        <w:t> </w:t>
      </w:r>
      <w:r>
        <w:rPr>
          <w:color w:val="231F20"/>
        </w:rPr>
        <w:t>address</w:t>
      </w:r>
      <w:r>
        <w:rPr>
          <w:color w:val="231F20"/>
          <w:spacing w:val="-7"/>
        </w:rPr>
        <w:t> </w:t>
      </w:r>
      <w:r>
        <w:rPr>
          <w:color w:val="231F20"/>
        </w:rPr>
        <w:t>disadvantage</w:t>
      </w:r>
      <w:r>
        <w:rPr>
          <w:color w:val="231F20"/>
          <w:spacing w:val="22"/>
          <w:w w:val="99"/>
        </w:rPr>
        <w:t> </w:t>
      </w:r>
      <w:r>
        <w:rPr>
          <w:color w:val="231F20"/>
        </w:rPr>
        <w:t>and</w:t>
      </w:r>
      <w:r>
        <w:rPr>
          <w:color w:val="231F20"/>
          <w:spacing w:val="-3"/>
        </w:rPr>
        <w:t> </w:t>
      </w:r>
      <w:r>
        <w:rPr>
          <w:color w:val="231F20"/>
        </w:rPr>
        <w:t>the</w:t>
      </w:r>
      <w:r>
        <w:rPr>
          <w:color w:val="231F20"/>
          <w:spacing w:val="-3"/>
        </w:rPr>
        <w:t> </w:t>
      </w:r>
      <w:r>
        <w:rPr>
          <w:color w:val="231F20"/>
        </w:rPr>
        <w:t>needs</w:t>
      </w:r>
      <w:r>
        <w:rPr>
          <w:color w:val="231F20"/>
          <w:spacing w:val="-2"/>
        </w:rPr>
        <w:t> </w:t>
      </w:r>
      <w:r>
        <w:rPr>
          <w:color w:val="231F20"/>
        </w:rPr>
        <w:t>of</w:t>
      </w:r>
      <w:r>
        <w:rPr>
          <w:color w:val="231F20"/>
          <w:spacing w:val="-2"/>
        </w:rPr>
        <w:t> </w:t>
      </w:r>
      <w:r>
        <w:rPr>
          <w:color w:val="231F20"/>
          <w:spacing w:val="-1"/>
        </w:rPr>
        <w:t>students</w:t>
      </w:r>
      <w:r>
        <w:rPr>
          <w:color w:val="231F20"/>
          <w:spacing w:val="-2"/>
        </w:rPr>
        <w:t> </w:t>
      </w:r>
      <w:r>
        <w:rPr>
          <w:color w:val="231F20"/>
        </w:rPr>
        <w:t>and</w:t>
      </w:r>
      <w:r>
        <w:rPr>
          <w:color w:val="231F20"/>
          <w:spacing w:val="-2"/>
        </w:rPr>
        <w:t> </w:t>
      </w:r>
      <w:r>
        <w:rPr>
          <w:color w:val="231F20"/>
          <w:spacing w:val="-1"/>
        </w:rPr>
        <w:t>schools.</w:t>
      </w:r>
      <w:r>
        <w:rPr>
          <w:color w:val="231F20"/>
          <w:spacing w:val="-2"/>
        </w:rPr>
        <w:t> </w:t>
      </w:r>
      <w:r>
        <w:rPr>
          <w:color w:val="231F20"/>
        </w:rPr>
        <w:t>This</w:t>
      </w:r>
      <w:r>
        <w:rPr/>
      </w:r>
    </w:p>
    <w:p>
      <w:pPr>
        <w:pStyle w:val="BodyText"/>
        <w:spacing w:line="250" w:lineRule="exact"/>
        <w:ind w:right="49"/>
        <w:jc w:val="left"/>
      </w:pPr>
      <w:r>
        <w:rPr>
          <w:color w:val="231F20"/>
          <w:spacing w:val="-1"/>
        </w:rPr>
        <w:t>is</w:t>
      </w:r>
      <w:r>
        <w:rPr>
          <w:color w:val="231F20"/>
          <w:spacing w:val="-4"/>
        </w:rPr>
        <w:t> </w:t>
      </w:r>
      <w:r>
        <w:rPr>
          <w:color w:val="231F20"/>
        </w:rPr>
        <w:t>commonly</w:t>
      </w:r>
      <w:r>
        <w:rPr>
          <w:color w:val="231F20"/>
          <w:spacing w:val="-4"/>
        </w:rPr>
        <w:t> </w:t>
      </w:r>
      <w:r>
        <w:rPr>
          <w:color w:val="231F20"/>
          <w:spacing w:val="-1"/>
        </w:rPr>
        <w:t>known</w:t>
      </w:r>
      <w:r>
        <w:rPr>
          <w:color w:val="231F20"/>
          <w:spacing w:val="-2"/>
        </w:rPr>
        <w:t> </w:t>
      </w:r>
      <w:r>
        <w:rPr>
          <w:color w:val="231F20"/>
        </w:rPr>
        <w:t>as</w:t>
      </w:r>
      <w:r>
        <w:rPr>
          <w:color w:val="231F20"/>
          <w:spacing w:val="-4"/>
        </w:rPr>
        <w:t> </w:t>
      </w:r>
      <w:r>
        <w:rPr>
          <w:color w:val="231F20"/>
        </w:rPr>
        <w:t>the</w:t>
      </w:r>
      <w:r>
        <w:rPr>
          <w:color w:val="231F20"/>
          <w:spacing w:val="-3"/>
        </w:rPr>
        <w:t> </w:t>
      </w:r>
      <w:r>
        <w:rPr>
          <w:color w:val="231F20"/>
        </w:rPr>
        <w:t>Gonski</w:t>
      </w:r>
      <w:r>
        <w:rPr>
          <w:color w:val="231F20"/>
          <w:spacing w:val="-4"/>
        </w:rPr>
        <w:t> </w:t>
      </w:r>
      <w:r>
        <w:rPr>
          <w:color w:val="231F20"/>
        </w:rPr>
        <w:t>funding</w:t>
      </w:r>
      <w:r>
        <w:rPr>
          <w:color w:val="231F20"/>
          <w:spacing w:val="22"/>
          <w:w w:val="99"/>
        </w:rPr>
        <w:t> </w:t>
      </w:r>
      <w:r>
        <w:rPr>
          <w:color w:val="231F20"/>
          <w:spacing w:val="-1"/>
        </w:rPr>
        <w:t>model.</w:t>
      </w:r>
      <w:r>
        <w:rPr>
          <w:color w:val="231F20"/>
          <w:spacing w:val="-3"/>
        </w:rPr>
        <w:t> </w:t>
      </w:r>
      <w:r>
        <w:rPr>
          <w:color w:val="231F20"/>
        </w:rPr>
        <w:t>‘The</w:t>
      </w:r>
      <w:r>
        <w:rPr>
          <w:color w:val="231F20"/>
          <w:spacing w:val="-3"/>
        </w:rPr>
        <w:t> </w:t>
      </w:r>
      <w:r>
        <w:rPr>
          <w:color w:val="231F20"/>
        </w:rPr>
        <w:t>consequence</w:t>
      </w:r>
      <w:r>
        <w:rPr>
          <w:color w:val="231F20"/>
          <w:spacing w:val="-4"/>
        </w:rPr>
        <w:t> </w:t>
      </w:r>
      <w:r>
        <w:rPr>
          <w:color w:val="231F20"/>
        </w:rPr>
        <w:t>of</w:t>
      </w:r>
      <w:r>
        <w:rPr>
          <w:color w:val="231F20"/>
          <w:spacing w:val="-3"/>
        </w:rPr>
        <w:t> </w:t>
      </w:r>
      <w:r>
        <w:rPr>
          <w:color w:val="231F20"/>
        </w:rPr>
        <w:t>this</w:t>
      </w:r>
      <w:r>
        <w:rPr>
          <w:color w:val="231F20"/>
          <w:spacing w:val="-4"/>
        </w:rPr>
        <w:t> </w:t>
      </w:r>
      <w:r>
        <w:rPr>
          <w:color w:val="231F20"/>
          <w:spacing w:val="-1"/>
        </w:rPr>
        <w:t>model</w:t>
      </w:r>
      <w:r>
        <w:rPr>
          <w:color w:val="231F20"/>
          <w:spacing w:val="-3"/>
        </w:rPr>
        <w:t> </w:t>
      </w:r>
      <w:r>
        <w:rPr>
          <w:color w:val="231F20"/>
          <w:spacing w:val="-1"/>
        </w:rPr>
        <w:t>is</w:t>
      </w:r>
      <w:r>
        <w:rPr>
          <w:color w:val="231F20"/>
          <w:spacing w:val="-4"/>
        </w:rPr>
        <w:t> </w:t>
      </w:r>
      <w:r>
        <w:rPr>
          <w:color w:val="231F20"/>
        </w:rPr>
        <w:t>that</w:t>
      </w:r>
      <w:r>
        <w:rPr>
          <w:color w:val="231F20"/>
          <w:spacing w:val="24"/>
          <w:w w:val="99"/>
        </w:rPr>
        <w:t> </w:t>
      </w:r>
      <w:r>
        <w:rPr>
          <w:color w:val="231F20"/>
          <w:spacing w:val="-1"/>
        </w:rPr>
        <w:t>schools</w:t>
      </w:r>
      <w:r>
        <w:rPr>
          <w:color w:val="231F20"/>
          <w:spacing w:val="-7"/>
        </w:rPr>
        <w:t> </w:t>
      </w:r>
      <w:r>
        <w:rPr>
          <w:color w:val="231F20"/>
        </w:rPr>
        <w:t>with</w:t>
      </w:r>
      <w:r>
        <w:rPr>
          <w:color w:val="231F20"/>
          <w:spacing w:val="-7"/>
        </w:rPr>
        <w:t> </w:t>
      </w:r>
      <w:r>
        <w:rPr>
          <w:color w:val="231F20"/>
          <w:spacing w:val="-1"/>
        </w:rPr>
        <w:t>larger</w:t>
      </w:r>
      <w:r>
        <w:rPr>
          <w:color w:val="231F20"/>
          <w:spacing w:val="-6"/>
        </w:rPr>
        <w:t> </w:t>
      </w:r>
      <w:r>
        <w:rPr>
          <w:color w:val="231F20"/>
        </w:rPr>
        <w:t>proportions</w:t>
      </w:r>
      <w:r>
        <w:rPr>
          <w:color w:val="231F20"/>
          <w:spacing w:val="-7"/>
        </w:rPr>
        <w:t> </w:t>
      </w:r>
      <w:r>
        <w:rPr>
          <w:color w:val="231F20"/>
        </w:rPr>
        <w:t>of</w:t>
      </w:r>
      <w:r>
        <w:rPr>
          <w:color w:val="231F20"/>
          <w:spacing w:val="-6"/>
        </w:rPr>
        <w:t> </w:t>
      </w:r>
      <w:r>
        <w:rPr>
          <w:color w:val="231F20"/>
        </w:rPr>
        <w:t>Aboriginal</w:t>
      </w:r>
      <w:r>
        <w:rPr>
          <w:color w:val="231F20"/>
          <w:spacing w:val="23"/>
          <w:w w:val="99"/>
        </w:rPr>
        <w:t> </w:t>
      </w:r>
      <w:r>
        <w:rPr>
          <w:color w:val="231F20"/>
        </w:rPr>
        <w:t>and</w:t>
      </w:r>
      <w:r>
        <w:rPr>
          <w:color w:val="231F20"/>
          <w:spacing w:val="-5"/>
        </w:rPr>
        <w:t> Torres</w:t>
      </w:r>
      <w:r>
        <w:rPr>
          <w:color w:val="231F20"/>
          <w:spacing w:val="-3"/>
        </w:rPr>
        <w:t> </w:t>
      </w:r>
      <w:r>
        <w:rPr>
          <w:color w:val="231F20"/>
          <w:spacing w:val="-2"/>
        </w:rPr>
        <w:t>Strait</w:t>
      </w:r>
      <w:r>
        <w:rPr>
          <w:color w:val="231F20"/>
          <w:spacing w:val="-5"/>
        </w:rPr>
        <w:t> </w:t>
      </w:r>
      <w:r>
        <w:rPr>
          <w:color w:val="231F20"/>
          <w:spacing w:val="-1"/>
        </w:rPr>
        <w:t>Islander</w:t>
      </w:r>
      <w:r>
        <w:rPr>
          <w:color w:val="231F20"/>
          <w:spacing w:val="-3"/>
        </w:rPr>
        <w:t> </w:t>
      </w:r>
      <w:r>
        <w:rPr>
          <w:color w:val="231F20"/>
          <w:spacing w:val="-1"/>
        </w:rPr>
        <w:t>students</w:t>
      </w:r>
      <w:r>
        <w:rPr>
          <w:color w:val="231F20"/>
          <w:spacing w:val="-4"/>
        </w:rPr>
        <w:t> </w:t>
      </w:r>
      <w:r>
        <w:rPr>
          <w:color w:val="231F20"/>
        </w:rPr>
        <w:t>and</w:t>
      </w:r>
      <w:r>
        <w:rPr>
          <w:color w:val="231F20"/>
          <w:spacing w:val="-4"/>
        </w:rPr>
        <w:t> </w:t>
      </w:r>
      <w:r>
        <w:rPr>
          <w:color w:val="231F20"/>
        </w:rPr>
        <w:t>with</w:t>
      </w:r>
      <w:r>
        <w:rPr>
          <w:color w:val="231F20"/>
          <w:spacing w:val="23"/>
          <w:w w:val="99"/>
        </w:rPr>
        <w:t> </w:t>
      </w:r>
      <w:r>
        <w:rPr>
          <w:color w:val="231F20"/>
          <w:spacing w:val="-1"/>
        </w:rPr>
        <w:t>larger</w:t>
      </w:r>
      <w:r>
        <w:rPr>
          <w:color w:val="231F20"/>
          <w:spacing w:val="-5"/>
        </w:rPr>
        <w:t> </w:t>
      </w:r>
      <w:r>
        <w:rPr>
          <w:color w:val="231F20"/>
        </w:rPr>
        <w:t>proportions</w:t>
      </w:r>
      <w:r>
        <w:rPr>
          <w:color w:val="231F20"/>
          <w:spacing w:val="-6"/>
        </w:rPr>
        <w:t> </w:t>
      </w:r>
      <w:r>
        <w:rPr>
          <w:color w:val="231F20"/>
        </w:rPr>
        <w:t>of</w:t>
      </w:r>
      <w:r>
        <w:rPr>
          <w:color w:val="231F20"/>
          <w:spacing w:val="-5"/>
        </w:rPr>
        <w:t> </w:t>
      </w:r>
      <w:r>
        <w:rPr>
          <w:color w:val="231F20"/>
          <w:spacing w:val="-1"/>
        </w:rPr>
        <w:t>students</w:t>
      </w:r>
      <w:r>
        <w:rPr>
          <w:color w:val="231F20"/>
          <w:spacing w:val="-5"/>
        </w:rPr>
        <w:t> </w:t>
      </w:r>
      <w:r>
        <w:rPr>
          <w:color w:val="231F20"/>
        </w:rPr>
        <w:t>from</w:t>
      </w:r>
      <w:r>
        <w:rPr>
          <w:color w:val="231F20"/>
          <w:spacing w:val="-5"/>
        </w:rPr>
        <w:t> </w:t>
      </w:r>
      <w:r>
        <w:rPr>
          <w:color w:val="231F20"/>
          <w:spacing w:val="-1"/>
        </w:rPr>
        <w:t>low</w:t>
      </w:r>
      <w:r>
        <w:rPr/>
      </w:r>
    </w:p>
    <w:p>
      <w:pPr>
        <w:pStyle w:val="BodyText"/>
        <w:spacing w:line="250" w:lineRule="exact"/>
        <w:ind w:right="63"/>
        <w:jc w:val="left"/>
      </w:pPr>
      <w:r>
        <w:rPr>
          <w:color w:val="231F20"/>
          <w:spacing w:val="-1"/>
        </w:rPr>
        <w:t>socio-economic</w:t>
      </w:r>
      <w:r>
        <w:rPr>
          <w:color w:val="231F20"/>
          <w:spacing w:val="-5"/>
        </w:rPr>
        <w:t> </w:t>
      </w:r>
      <w:r>
        <w:rPr>
          <w:color w:val="231F20"/>
        </w:rPr>
        <w:t>backgrounds</w:t>
      </w:r>
      <w:r>
        <w:rPr>
          <w:color w:val="231F20"/>
          <w:spacing w:val="-7"/>
        </w:rPr>
        <w:t> </w:t>
      </w:r>
      <w:r>
        <w:rPr>
          <w:color w:val="231F20"/>
        </w:rPr>
        <w:t>have</w:t>
      </w:r>
      <w:r>
        <w:rPr>
          <w:color w:val="231F20"/>
          <w:spacing w:val="-6"/>
        </w:rPr>
        <w:t> </w:t>
      </w:r>
      <w:r>
        <w:rPr>
          <w:color w:val="231F20"/>
        </w:rPr>
        <w:t>a</w:t>
      </w:r>
      <w:r>
        <w:rPr>
          <w:color w:val="231F20"/>
          <w:spacing w:val="-6"/>
        </w:rPr>
        <w:t> </w:t>
      </w:r>
      <w:r>
        <w:rPr>
          <w:color w:val="231F20"/>
        </w:rPr>
        <w:t>higher</w:t>
      </w:r>
      <w:r>
        <w:rPr>
          <w:color w:val="231F20"/>
          <w:spacing w:val="22"/>
          <w:w w:val="99"/>
        </w:rPr>
        <w:t> </w:t>
      </w:r>
      <w:r>
        <w:rPr>
          <w:color w:val="231F20"/>
          <w:spacing w:val="-1"/>
        </w:rPr>
        <w:t>loading</w:t>
      </w:r>
      <w:r>
        <w:rPr>
          <w:color w:val="231F20"/>
          <w:spacing w:val="-7"/>
        </w:rPr>
        <w:t> </w:t>
      </w:r>
      <w:r>
        <w:rPr>
          <w:color w:val="231F20"/>
        </w:rPr>
        <w:t>applied</w:t>
      </w:r>
      <w:r>
        <w:rPr>
          <w:color w:val="231F20"/>
          <w:spacing w:val="-7"/>
        </w:rPr>
        <w:t> </w:t>
      </w:r>
      <w:r>
        <w:rPr>
          <w:color w:val="231F20"/>
        </w:rPr>
        <w:t>to</w:t>
      </w:r>
      <w:r>
        <w:rPr>
          <w:color w:val="231F20"/>
          <w:spacing w:val="-7"/>
        </w:rPr>
        <w:t> </w:t>
      </w:r>
      <w:r>
        <w:rPr>
          <w:color w:val="231F20"/>
        </w:rPr>
        <w:t>their</w:t>
      </w:r>
      <w:r>
        <w:rPr>
          <w:color w:val="231F20"/>
          <w:spacing w:val="-7"/>
        </w:rPr>
        <w:t> </w:t>
      </w:r>
      <w:r>
        <w:rPr>
          <w:color w:val="231F20"/>
        </w:rPr>
        <w:t>education</w:t>
      </w:r>
      <w:r>
        <w:rPr>
          <w:color w:val="231F20"/>
          <w:spacing w:val="-7"/>
        </w:rPr>
        <w:t> </w:t>
      </w:r>
      <w:r>
        <w:rPr>
          <w:color w:val="231F20"/>
          <w:spacing w:val="-1"/>
        </w:rPr>
        <w:t>funding’.</w:t>
      </w:r>
      <w:r>
        <w:rPr>
          <w:rFonts w:ascii="Segoe UI Semibold" w:hAnsi="Segoe UI Semibold" w:cs="Segoe UI Semibold" w:eastAsia="Segoe UI Semibold"/>
          <w:b/>
          <w:bCs/>
          <w:color w:val="231F20"/>
          <w:spacing w:val="-1"/>
          <w:position w:val="7"/>
          <w:sz w:val="11"/>
          <w:szCs w:val="11"/>
        </w:rPr>
        <w:t>9</w:t>
      </w:r>
      <w:r>
        <w:rPr>
          <w:rFonts w:ascii="Segoe UI Semibold" w:hAnsi="Segoe UI Semibold" w:cs="Segoe UI Semibold" w:eastAsia="Segoe UI Semibold"/>
          <w:b/>
          <w:bCs/>
          <w:color w:val="231F20"/>
          <w:spacing w:val="21"/>
          <w:w w:val="106"/>
          <w:position w:val="7"/>
          <w:sz w:val="11"/>
          <w:szCs w:val="11"/>
        </w:rPr>
        <w:t> </w:t>
      </w:r>
      <w:r>
        <w:rPr>
          <w:color w:val="231F20"/>
        </w:rPr>
        <w:t>More</w:t>
      </w:r>
      <w:r>
        <w:rPr>
          <w:color w:val="231F20"/>
          <w:spacing w:val="-8"/>
        </w:rPr>
        <w:t> </w:t>
      </w:r>
      <w:r>
        <w:rPr>
          <w:color w:val="231F20"/>
          <w:spacing w:val="-1"/>
        </w:rPr>
        <w:t>information</w:t>
      </w:r>
      <w:r>
        <w:rPr>
          <w:color w:val="231F20"/>
          <w:spacing w:val="-7"/>
        </w:rPr>
        <w:t> </w:t>
      </w:r>
      <w:r>
        <w:rPr>
          <w:color w:val="231F20"/>
        </w:rPr>
        <w:t>on</w:t>
      </w:r>
      <w:r>
        <w:rPr>
          <w:color w:val="231F20"/>
          <w:spacing w:val="-7"/>
        </w:rPr>
        <w:t> </w:t>
      </w:r>
      <w:r>
        <w:rPr>
          <w:color w:val="231F20"/>
        </w:rPr>
        <w:t>the</w:t>
      </w:r>
      <w:r>
        <w:rPr>
          <w:color w:val="231F20"/>
          <w:spacing w:val="-8"/>
        </w:rPr>
        <w:t> </w:t>
      </w:r>
      <w:r>
        <w:rPr>
          <w:color w:val="231F20"/>
        </w:rPr>
        <w:t>recurrent</w:t>
      </w:r>
      <w:r>
        <w:rPr>
          <w:color w:val="231F20"/>
          <w:spacing w:val="-8"/>
        </w:rPr>
        <w:t> </w:t>
      </w:r>
      <w:r>
        <w:rPr>
          <w:color w:val="231F20"/>
        </w:rPr>
        <w:t>funding</w:t>
      </w:r>
      <w:r>
        <w:rPr>
          <w:color w:val="231F20"/>
          <w:spacing w:val="22"/>
          <w:w w:val="99"/>
        </w:rPr>
        <w:t> </w:t>
      </w:r>
      <w:r>
        <w:rPr>
          <w:color w:val="231F20"/>
          <w:spacing w:val="-1"/>
        </w:rPr>
        <w:t>structure</w:t>
      </w:r>
      <w:r>
        <w:rPr>
          <w:color w:val="231F20"/>
          <w:spacing w:val="-3"/>
        </w:rPr>
        <w:t> </w:t>
      </w:r>
      <w:r>
        <w:rPr>
          <w:color w:val="231F20"/>
          <w:spacing w:val="-1"/>
        </w:rPr>
        <w:t>is</w:t>
      </w:r>
      <w:r>
        <w:rPr>
          <w:color w:val="231F20"/>
          <w:spacing w:val="-5"/>
        </w:rPr>
        <w:t> </w:t>
      </w:r>
      <w:r>
        <w:rPr>
          <w:color w:val="231F20"/>
        </w:rPr>
        <w:t>provided</w:t>
      </w:r>
      <w:r>
        <w:rPr>
          <w:color w:val="231F20"/>
          <w:spacing w:val="-4"/>
        </w:rPr>
        <w:t> </w:t>
      </w:r>
      <w:r>
        <w:rPr>
          <w:color w:val="231F20"/>
          <w:spacing w:val="-1"/>
        </w:rPr>
        <w:t>later</w:t>
      </w:r>
      <w:r>
        <w:rPr>
          <w:color w:val="231F20"/>
          <w:spacing w:val="-4"/>
        </w:rPr>
        <w:t> </w:t>
      </w:r>
      <w:r>
        <w:rPr>
          <w:color w:val="231F20"/>
          <w:spacing w:val="-1"/>
        </w:rPr>
        <w:t>in</w:t>
      </w:r>
      <w:r>
        <w:rPr>
          <w:color w:val="231F20"/>
          <w:spacing w:val="-4"/>
        </w:rPr>
        <w:t> </w:t>
      </w:r>
      <w:r>
        <w:rPr>
          <w:color w:val="231F20"/>
        </w:rPr>
        <w:t>this</w:t>
      </w:r>
      <w:r>
        <w:rPr>
          <w:color w:val="231F20"/>
          <w:spacing w:val="-4"/>
        </w:rPr>
        <w:t> </w:t>
      </w:r>
      <w:r>
        <w:rPr>
          <w:color w:val="231F20"/>
        </w:rPr>
        <w:t>report.</w:t>
      </w:r>
      <w:r>
        <w:rPr>
          <w:color w:val="231F20"/>
          <w:spacing w:val="-5"/>
        </w:rPr>
        <w:t> </w:t>
      </w:r>
      <w:r>
        <w:rPr>
          <w:color w:val="231F20"/>
          <w:spacing w:val="-1"/>
        </w:rPr>
        <w:t>In</w:t>
      </w:r>
      <w:r>
        <w:rPr>
          <w:color w:val="231F20"/>
          <w:spacing w:val="24"/>
        </w:rPr>
        <w:t> </w:t>
      </w:r>
      <w:r>
        <w:rPr>
          <w:color w:val="231F20"/>
        </w:rPr>
        <w:t>contrast,</w:t>
      </w:r>
      <w:r>
        <w:rPr>
          <w:color w:val="231F20"/>
          <w:spacing w:val="-4"/>
        </w:rPr>
        <w:t> </w:t>
      </w:r>
      <w:r>
        <w:rPr>
          <w:color w:val="231F20"/>
          <w:spacing w:val="-1"/>
        </w:rPr>
        <w:t>CAEPR</w:t>
      </w:r>
      <w:r>
        <w:rPr>
          <w:color w:val="231F20"/>
          <w:spacing w:val="-3"/>
        </w:rPr>
        <w:t> </w:t>
      </w:r>
      <w:r>
        <w:rPr>
          <w:color w:val="231F20"/>
        </w:rPr>
        <w:t>noted</w:t>
      </w:r>
      <w:r>
        <w:rPr>
          <w:color w:val="231F20"/>
          <w:spacing w:val="-4"/>
        </w:rPr>
        <w:t> </w:t>
      </w:r>
      <w:r>
        <w:rPr>
          <w:color w:val="231F20"/>
        </w:rPr>
        <w:t>that</w:t>
      </w:r>
      <w:r>
        <w:rPr>
          <w:color w:val="231F20"/>
          <w:spacing w:val="-4"/>
        </w:rPr>
        <w:t> </w:t>
      </w:r>
      <w:r>
        <w:rPr>
          <w:color w:val="231F20"/>
        </w:rPr>
        <w:t>ABSTUDY</w:t>
      </w:r>
      <w:r>
        <w:rPr>
          <w:color w:val="231F20"/>
          <w:spacing w:val="-4"/>
        </w:rPr>
        <w:t> </w:t>
      </w:r>
      <w:r>
        <w:rPr>
          <w:color w:val="231F20"/>
          <w:spacing w:val="-1"/>
        </w:rPr>
        <w:t>is</w:t>
      </w:r>
      <w:r>
        <w:rPr>
          <w:color w:val="231F20"/>
          <w:spacing w:val="-4"/>
        </w:rPr>
        <w:t> </w:t>
      </w:r>
      <w:r>
        <w:rPr>
          <w:color w:val="231F20"/>
        </w:rPr>
        <w:t>a</w:t>
      </w:r>
      <w:r>
        <w:rPr>
          <w:color w:val="231F20"/>
          <w:spacing w:val="22"/>
          <w:w w:val="99"/>
        </w:rPr>
        <w:t> </w:t>
      </w:r>
      <w:r>
        <w:rPr>
          <w:color w:val="231F20"/>
        </w:rPr>
        <w:t>welfare</w:t>
      </w:r>
      <w:r>
        <w:rPr>
          <w:color w:val="231F20"/>
          <w:spacing w:val="-6"/>
        </w:rPr>
        <w:t> </w:t>
      </w:r>
      <w:r>
        <w:rPr>
          <w:color w:val="231F20"/>
          <w:spacing w:val="-1"/>
        </w:rPr>
        <w:t>measure</w:t>
      </w:r>
      <w:r>
        <w:rPr>
          <w:color w:val="231F20"/>
          <w:spacing w:val="-5"/>
        </w:rPr>
        <w:t> </w:t>
      </w:r>
      <w:r>
        <w:rPr>
          <w:color w:val="231F20"/>
        </w:rPr>
        <w:t>to</w:t>
      </w:r>
      <w:r>
        <w:rPr>
          <w:color w:val="231F20"/>
          <w:spacing w:val="-4"/>
        </w:rPr>
        <w:t> </w:t>
      </w:r>
      <w:r>
        <w:rPr>
          <w:color w:val="231F20"/>
        </w:rPr>
        <w:t>assist</w:t>
      </w:r>
      <w:r>
        <w:rPr>
          <w:color w:val="231F20"/>
          <w:spacing w:val="-6"/>
        </w:rPr>
        <w:t> </w:t>
      </w:r>
      <w:r>
        <w:rPr>
          <w:color w:val="231F20"/>
        </w:rPr>
        <w:t>Aboriginal</w:t>
      </w:r>
      <w:r>
        <w:rPr>
          <w:color w:val="231F20"/>
          <w:spacing w:val="-5"/>
        </w:rPr>
        <w:t> </w:t>
      </w:r>
      <w:r>
        <w:rPr>
          <w:color w:val="231F20"/>
        </w:rPr>
        <w:t>and</w:t>
      </w:r>
      <w:r>
        <w:rPr>
          <w:color w:val="231F20"/>
          <w:spacing w:val="-5"/>
        </w:rPr>
        <w:t> Torres</w:t>
      </w:r>
      <w:r>
        <w:rPr>
          <w:color w:val="231F20"/>
          <w:spacing w:val="26"/>
          <w:w w:val="99"/>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people</w:t>
      </w:r>
      <w:r>
        <w:rPr>
          <w:color w:val="231F20"/>
          <w:spacing w:val="-6"/>
        </w:rPr>
        <w:t> </w:t>
      </w:r>
      <w:r>
        <w:rPr>
          <w:color w:val="231F20"/>
        </w:rPr>
        <w:t>to</w:t>
      </w:r>
      <w:r>
        <w:rPr>
          <w:color w:val="231F20"/>
          <w:spacing w:val="-6"/>
        </w:rPr>
        <w:t> </w:t>
      </w:r>
      <w:r>
        <w:rPr>
          <w:color w:val="231F20"/>
        </w:rPr>
        <w:t>take</w:t>
      </w:r>
      <w:r>
        <w:rPr>
          <w:color w:val="231F20"/>
          <w:spacing w:val="-6"/>
        </w:rPr>
        <w:t> </w:t>
      </w:r>
      <w:r>
        <w:rPr>
          <w:color w:val="231F20"/>
        </w:rPr>
        <w:t>advantage</w:t>
      </w:r>
      <w:r>
        <w:rPr>
          <w:color w:val="231F20"/>
          <w:spacing w:val="-7"/>
        </w:rPr>
        <w:t> </w:t>
      </w:r>
      <w:r>
        <w:rPr>
          <w:color w:val="231F20"/>
        </w:rPr>
        <w:t>of</w:t>
      </w:r>
      <w:r>
        <w:rPr>
          <w:color w:val="231F20"/>
          <w:spacing w:val="27"/>
          <w:w w:val="99"/>
        </w:rPr>
        <w:t> </w:t>
      </w:r>
      <w:r>
        <w:rPr>
          <w:color w:val="231F20"/>
        </w:rPr>
        <w:t>educational</w:t>
      </w:r>
      <w:r>
        <w:rPr>
          <w:color w:val="231F20"/>
          <w:spacing w:val="-15"/>
        </w:rPr>
        <w:t> </w:t>
      </w:r>
      <w:r>
        <w:rPr>
          <w:color w:val="231F20"/>
        </w:rPr>
        <w:t>opportunities,</w:t>
      </w:r>
      <w:r>
        <w:rPr>
          <w:color w:val="231F20"/>
          <w:spacing w:val="-14"/>
        </w:rPr>
        <w:t> </w:t>
      </w:r>
      <w:r>
        <w:rPr>
          <w:color w:val="231F20"/>
          <w:spacing w:val="-1"/>
        </w:rPr>
        <w:t>including</w:t>
      </w:r>
      <w:r>
        <w:rPr>
          <w:color w:val="231F20"/>
          <w:spacing w:val="-13"/>
        </w:rPr>
        <w:t> </w:t>
      </w:r>
      <w:r>
        <w:rPr>
          <w:color w:val="231F20"/>
          <w:spacing w:val="-1"/>
        </w:rPr>
        <w:t>secondary</w:t>
      </w:r>
      <w:r>
        <w:rPr>
          <w:color w:val="231F20"/>
          <w:spacing w:val="21"/>
          <w:w w:val="99"/>
        </w:rPr>
        <w:t> </w:t>
      </w:r>
      <w:r>
        <w:rPr>
          <w:color w:val="231F20"/>
        </w:rPr>
        <w:t>boarding</w:t>
      </w:r>
      <w:r>
        <w:rPr>
          <w:color w:val="231F20"/>
          <w:spacing w:val="-7"/>
        </w:rPr>
        <w:t> </w:t>
      </w:r>
      <w:r>
        <w:rPr>
          <w:color w:val="231F20"/>
        </w:rPr>
        <w:t>through</w:t>
      </w:r>
      <w:r>
        <w:rPr>
          <w:color w:val="231F20"/>
          <w:spacing w:val="-7"/>
        </w:rPr>
        <w:t> </w:t>
      </w:r>
      <w:r>
        <w:rPr>
          <w:color w:val="231F20"/>
        </w:rPr>
        <w:t>the</w:t>
      </w:r>
      <w:r>
        <w:rPr>
          <w:color w:val="231F20"/>
          <w:spacing w:val="-7"/>
        </w:rPr>
        <w:t> </w:t>
      </w:r>
      <w:r>
        <w:rPr>
          <w:color w:val="231F20"/>
        </w:rPr>
        <w:t>ABSTUDY</w:t>
      </w:r>
      <w:r>
        <w:rPr>
          <w:color w:val="231F20"/>
          <w:spacing w:val="-7"/>
        </w:rPr>
        <w:t> </w:t>
      </w:r>
      <w:r>
        <w:rPr>
          <w:color w:val="231F20"/>
        </w:rPr>
        <w:t>Living</w:t>
      </w:r>
      <w:r>
        <w:rPr>
          <w:color w:val="231F20"/>
          <w:w w:val="99"/>
        </w:rPr>
        <w:t> </w:t>
      </w:r>
      <w:r>
        <w:rPr>
          <w:color w:val="231F20"/>
        </w:rPr>
        <w:t>Allowance.</w:t>
      </w:r>
      <w:r>
        <w:rPr/>
      </w:r>
    </w:p>
    <w:p>
      <w:pPr>
        <w:pStyle w:val="BodyText"/>
        <w:spacing w:line="250" w:lineRule="exact" w:before="113"/>
        <w:ind w:right="0"/>
        <w:jc w:val="left"/>
      </w:pPr>
      <w:r>
        <w:rPr>
          <w:color w:val="231F20"/>
          <w:spacing w:val="-1"/>
        </w:rPr>
        <w:t>Some</w:t>
      </w:r>
      <w:r>
        <w:rPr>
          <w:color w:val="231F20"/>
          <w:spacing w:val="-5"/>
        </w:rPr>
        <w:t> </w:t>
      </w:r>
      <w:r>
        <w:rPr>
          <w:color w:val="231F20"/>
        </w:rPr>
        <w:t>Aboriginal</w:t>
      </w:r>
      <w:r>
        <w:rPr>
          <w:color w:val="231F20"/>
          <w:spacing w:val="-5"/>
        </w:rPr>
        <w:t> </w:t>
      </w:r>
      <w:r>
        <w:rPr>
          <w:color w:val="231F20"/>
        </w:rPr>
        <w:t>and</w:t>
      </w:r>
      <w:r>
        <w:rPr>
          <w:color w:val="231F20"/>
          <w:spacing w:val="-5"/>
        </w:rPr>
        <w:t> Torres</w:t>
      </w:r>
      <w:r>
        <w:rPr>
          <w:color w:val="231F20"/>
          <w:spacing w:val="-4"/>
        </w:rPr>
        <w:t> </w:t>
      </w:r>
      <w:r>
        <w:rPr>
          <w:color w:val="231F20"/>
          <w:spacing w:val="-2"/>
        </w:rPr>
        <w:t>Strait</w:t>
      </w:r>
      <w:r>
        <w:rPr>
          <w:color w:val="231F20"/>
          <w:spacing w:val="-6"/>
        </w:rPr>
        <w:t> </w:t>
      </w:r>
      <w:r>
        <w:rPr>
          <w:color w:val="231F20"/>
          <w:spacing w:val="-1"/>
        </w:rPr>
        <w:t>Islander</w:t>
      </w:r>
      <w:r>
        <w:rPr>
          <w:color w:val="231F20"/>
          <w:spacing w:val="20"/>
          <w:w w:val="99"/>
        </w:rPr>
        <w:t> </w:t>
      </w:r>
      <w:r>
        <w:rPr>
          <w:color w:val="231F20"/>
        </w:rPr>
        <w:t>boarding</w:t>
      </w:r>
      <w:r>
        <w:rPr>
          <w:color w:val="231F20"/>
          <w:spacing w:val="-7"/>
        </w:rPr>
        <w:t> </w:t>
      </w:r>
      <w:r>
        <w:rPr>
          <w:color w:val="231F20"/>
        </w:rPr>
        <w:t>providers</w:t>
      </w:r>
      <w:r>
        <w:rPr>
          <w:color w:val="231F20"/>
          <w:spacing w:val="-7"/>
        </w:rPr>
        <w:t> </w:t>
      </w:r>
      <w:r>
        <w:rPr>
          <w:color w:val="231F20"/>
        </w:rPr>
        <w:t>and</w:t>
      </w:r>
      <w:r>
        <w:rPr>
          <w:color w:val="231F20"/>
          <w:spacing w:val="-7"/>
        </w:rPr>
        <w:t> </w:t>
      </w:r>
      <w:r>
        <w:rPr>
          <w:color w:val="231F20"/>
        </w:rPr>
        <w:t>peak</w:t>
      </w:r>
      <w:r>
        <w:rPr>
          <w:color w:val="231F20"/>
          <w:spacing w:val="-7"/>
        </w:rPr>
        <w:t> </w:t>
      </w:r>
      <w:r>
        <w:rPr>
          <w:color w:val="231F20"/>
        </w:rPr>
        <w:t>bodies</w:t>
      </w:r>
      <w:r>
        <w:rPr>
          <w:color w:val="231F20"/>
        </w:rPr>
        <w:t> recommended</w:t>
      </w:r>
      <w:r>
        <w:rPr>
          <w:color w:val="231F20"/>
          <w:spacing w:val="-9"/>
        </w:rPr>
        <w:t> </w:t>
      </w:r>
      <w:r>
        <w:rPr>
          <w:color w:val="231F20"/>
        </w:rPr>
        <w:t>a</w:t>
      </w:r>
      <w:r>
        <w:rPr>
          <w:color w:val="231F20"/>
          <w:spacing w:val="-6"/>
        </w:rPr>
        <w:t> </w:t>
      </w:r>
      <w:r>
        <w:rPr>
          <w:color w:val="231F20"/>
        </w:rPr>
        <w:t>funding</w:t>
      </w:r>
      <w:r>
        <w:rPr>
          <w:color w:val="231F20"/>
          <w:spacing w:val="-7"/>
        </w:rPr>
        <w:t> </w:t>
      </w:r>
      <w:r>
        <w:rPr>
          <w:color w:val="231F20"/>
          <w:spacing w:val="-1"/>
        </w:rPr>
        <w:t>model</w:t>
      </w:r>
      <w:r>
        <w:rPr>
          <w:color w:val="231F20"/>
          <w:spacing w:val="-6"/>
        </w:rPr>
        <w:t> </w:t>
      </w:r>
      <w:r>
        <w:rPr>
          <w:color w:val="231F20"/>
        </w:rPr>
        <w:t>for</w:t>
      </w:r>
      <w:r>
        <w:rPr>
          <w:color w:val="231F20"/>
          <w:spacing w:val="-7"/>
        </w:rPr>
        <w:t> </w:t>
      </w:r>
      <w:r>
        <w:rPr>
          <w:color w:val="231F20"/>
        </w:rPr>
        <w:t>Aboriginal</w:t>
      </w:r>
      <w:r>
        <w:rPr>
          <w:color w:val="231F20"/>
          <w:spacing w:val="21"/>
          <w:w w:val="99"/>
        </w:rPr>
        <w:t> </w:t>
      </w:r>
      <w:r>
        <w:rPr>
          <w:color w:val="231F20"/>
        </w:rPr>
        <w:t>and</w:t>
      </w:r>
      <w:r>
        <w:rPr>
          <w:color w:val="231F20"/>
          <w:spacing w:val="-6"/>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5"/>
        </w:rPr>
        <w:t> </w:t>
      </w:r>
      <w:r>
        <w:rPr>
          <w:color w:val="231F20"/>
        </w:rPr>
        <w:t>boarding</w:t>
      </w:r>
      <w:r>
        <w:rPr>
          <w:color w:val="231F20"/>
          <w:spacing w:val="-6"/>
        </w:rPr>
        <w:t> </w:t>
      </w:r>
      <w:r>
        <w:rPr>
          <w:color w:val="231F20"/>
        </w:rPr>
        <w:t>that</w:t>
      </w:r>
      <w:r>
        <w:rPr>
          <w:color w:val="231F20"/>
          <w:spacing w:val="21"/>
          <w:w w:val="99"/>
        </w:rPr>
        <w:t> </w:t>
      </w:r>
      <w:r>
        <w:rPr>
          <w:color w:val="231F20"/>
          <w:spacing w:val="-1"/>
        </w:rPr>
        <w:t>incorporates</w:t>
      </w:r>
      <w:r>
        <w:rPr>
          <w:color w:val="231F20"/>
          <w:spacing w:val="-5"/>
        </w:rPr>
        <w:t> </w:t>
      </w:r>
      <w:r>
        <w:rPr>
          <w:color w:val="231F20"/>
        </w:rPr>
        <w:t>base</w:t>
      </w:r>
      <w:r>
        <w:rPr>
          <w:color w:val="231F20"/>
          <w:spacing w:val="-6"/>
        </w:rPr>
        <w:t> </w:t>
      </w:r>
      <w:r>
        <w:rPr>
          <w:color w:val="231F20"/>
        </w:rPr>
        <w:t>funding</w:t>
      </w:r>
      <w:r>
        <w:rPr>
          <w:color w:val="231F20"/>
          <w:spacing w:val="-5"/>
        </w:rPr>
        <w:t> </w:t>
      </w:r>
      <w:r>
        <w:rPr>
          <w:color w:val="231F20"/>
        </w:rPr>
        <w:t>and</w:t>
      </w:r>
      <w:r>
        <w:rPr>
          <w:color w:val="231F20"/>
          <w:spacing w:val="-6"/>
        </w:rPr>
        <w:t> </w:t>
      </w:r>
      <w:r>
        <w:rPr>
          <w:color w:val="231F20"/>
          <w:spacing w:val="-1"/>
        </w:rPr>
        <w:t>similar</w:t>
      </w:r>
      <w:r>
        <w:rPr>
          <w:color w:val="231F20"/>
          <w:spacing w:val="-5"/>
        </w:rPr>
        <w:t> </w:t>
      </w:r>
      <w:r>
        <w:rPr>
          <w:color w:val="231F20"/>
          <w:spacing w:val="-1"/>
        </w:rPr>
        <w:t>loadings</w:t>
      </w:r>
      <w:r>
        <w:rPr>
          <w:color w:val="231F20"/>
          <w:spacing w:val="22"/>
        </w:rPr>
        <w:t> </w:t>
      </w:r>
      <w:r>
        <w:rPr>
          <w:color w:val="231F20"/>
        </w:rPr>
        <w:t>for</w:t>
      </w:r>
      <w:r>
        <w:rPr>
          <w:color w:val="231F20"/>
          <w:spacing w:val="-4"/>
        </w:rPr>
        <w:t> </w:t>
      </w:r>
      <w:r>
        <w:rPr>
          <w:color w:val="231F20"/>
        </w:rPr>
        <w:t>disadvantage</w:t>
      </w:r>
      <w:r>
        <w:rPr>
          <w:color w:val="231F20"/>
          <w:spacing w:val="-5"/>
        </w:rPr>
        <w:t> </w:t>
      </w:r>
      <w:r>
        <w:rPr>
          <w:color w:val="231F20"/>
        </w:rPr>
        <w:t>and</w:t>
      </w:r>
      <w:r>
        <w:rPr>
          <w:color w:val="231F20"/>
          <w:spacing w:val="-4"/>
        </w:rPr>
        <w:t> </w:t>
      </w:r>
      <w:r>
        <w:rPr>
          <w:color w:val="231F20"/>
        </w:rPr>
        <w:t>need</w:t>
      </w:r>
      <w:r>
        <w:rPr>
          <w:color w:val="231F20"/>
          <w:spacing w:val="-5"/>
        </w:rPr>
        <w:t> </w:t>
      </w:r>
      <w:r>
        <w:rPr>
          <w:color w:val="231F20"/>
        </w:rPr>
        <w:t>as</w:t>
      </w:r>
      <w:r>
        <w:rPr>
          <w:color w:val="231F20"/>
          <w:spacing w:val="-4"/>
        </w:rPr>
        <w:t> </w:t>
      </w:r>
      <w:r>
        <w:rPr>
          <w:color w:val="231F20"/>
        </w:rPr>
        <w:t>exist</w:t>
      </w:r>
      <w:r>
        <w:rPr>
          <w:color w:val="231F20"/>
          <w:spacing w:val="-5"/>
        </w:rPr>
        <w:t> </w:t>
      </w:r>
      <w:r>
        <w:rPr>
          <w:color w:val="231F20"/>
          <w:spacing w:val="-1"/>
        </w:rPr>
        <w:t>in</w:t>
      </w:r>
      <w:r>
        <w:rPr>
          <w:color w:val="231F20"/>
          <w:spacing w:val="-3"/>
        </w:rPr>
        <w:t> </w:t>
      </w:r>
      <w:r>
        <w:rPr>
          <w:color w:val="231F20"/>
        </w:rPr>
        <w:t>the</w:t>
      </w:r>
      <w:r>
        <w:rPr>
          <w:color w:val="231F20"/>
          <w:spacing w:val="21"/>
          <w:w w:val="99"/>
        </w:rPr>
        <w:t> </w:t>
      </w:r>
      <w:r>
        <w:rPr>
          <w:color w:val="231F20"/>
        </w:rPr>
        <w:t>funding</w:t>
      </w:r>
      <w:r>
        <w:rPr>
          <w:color w:val="231F20"/>
          <w:spacing w:val="-8"/>
        </w:rPr>
        <w:t> </w:t>
      </w:r>
      <w:r>
        <w:rPr>
          <w:color w:val="231F20"/>
          <w:spacing w:val="-1"/>
        </w:rPr>
        <w:t>model</w:t>
      </w:r>
      <w:r>
        <w:rPr>
          <w:color w:val="231F20"/>
          <w:spacing w:val="-8"/>
        </w:rPr>
        <w:t> </w:t>
      </w:r>
      <w:r>
        <w:rPr>
          <w:color w:val="231F20"/>
        </w:rPr>
        <w:t>for</w:t>
      </w:r>
      <w:r>
        <w:rPr>
          <w:color w:val="231F20"/>
          <w:spacing w:val="-8"/>
        </w:rPr>
        <w:t> </w:t>
      </w:r>
      <w:r>
        <w:rPr>
          <w:color w:val="231F20"/>
          <w:spacing w:val="-1"/>
        </w:rPr>
        <w:t>Commonwealth</w:t>
      </w:r>
      <w:r>
        <w:rPr>
          <w:color w:val="231F20"/>
          <w:spacing w:val="-8"/>
        </w:rPr>
        <w:t> </w:t>
      </w:r>
      <w:r>
        <w:rPr>
          <w:color w:val="231F20"/>
        </w:rPr>
        <w:t>recurrent</w:t>
      </w:r>
      <w:r>
        <w:rPr>
          <w:color w:val="231F20"/>
          <w:spacing w:val="23"/>
          <w:w w:val="99"/>
        </w:rPr>
        <w:t> </w:t>
      </w:r>
      <w:r>
        <w:rPr>
          <w:color w:val="231F20"/>
          <w:spacing w:val="-1"/>
        </w:rPr>
        <w:t>school</w:t>
      </w:r>
      <w:r>
        <w:rPr>
          <w:color w:val="231F20"/>
          <w:spacing w:val="-5"/>
        </w:rPr>
        <w:t> </w:t>
      </w:r>
      <w:r>
        <w:rPr>
          <w:color w:val="231F20"/>
        </w:rPr>
        <w:t>funding.</w:t>
      </w:r>
      <w:r>
        <w:rPr>
          <w:color w:val="231F20"/>
          <w:spacing w:val="-4"/>
        </w:rPr>
        <w:t> </w:t>
      </w:r>
      <w:r>
        <w:rPr>
          <w:color w:val="231F20"/>
          <w:spacing w:val="-1"/>
        </w:rPr>
        <w:t>It</w:t>
      </w:r>
      <w:r>
        <w:rPr>
          <w:color w:val="231F20"/>
          <w:spacing w:val="-4"/>
        </w:rPr>
        <w:t> </w:t>
      </w:r>
      <w:r>
        <w:rPr>
          <w:color w:val="231F20"/>
        </w:rPr>
        <w:t>was</w:t>
      </w:r>
      <w:r>
        <w:rPr>
          <w:color w:val="231F20"/>
          <w:spacing w:val="-5"/>
        </w:rPr>
        <w:t> </w:t>
      </w:r>
      <w:r>
        <w:rPr>
          <w:color w:val="231F20"/>
          <w:spacing w:val="-1"/>
        </w:rPr>
        <w:t>suggested</w:t>
      </w:r>
      <w:r>
        <w:rPr>
          <w:color w:val="231F20"/>
          <w:spacing w:val="-3"/>
        </w:rPr>
        <w:t> </w:t>
      </w:r>
      <w:r>
        <w:rPr>
          <w:color w:val="231F20"/>
        </w:rPr>
        <w:t>that</w:t>
      </w:r>
      <w:r>
        <w:rPr>
          <w:color w:val="231F20"/>
          <w:spacing w:val="-5"/>
        </w:rPr>
        <w:t> </w:t>
      </w:r>
      <w:r>
        <w:rPr>
          <w:color w:val="231F20"/>
        </w:rPr>
        <w:t>this</w:t>
      </w:r>
      <w:r>
        <w:rPr>
          <w:color w:val="231F20"/>
        </w:rPr>
        <w:t> </w:t>
      </w:r>
      <w:r>
        <w:rPr>
          <w:color w:val="231F20"/>
          <w:spacing w:val="24"/>
        </w:rPr>
        <w:t> </w:t>
      </w:r>
      <w:r>
        <w:rPr>
          <w:color w:val="231F20"/>
          <w:spacing w:val="-1"/>
        </w:rPr>
        <w:t>model</w:t>
      </w:r>
      <w:r>
        <w:rPr>
          <w:color w:val="231F20"/>
          <w:spacing w:val="-7"/>
        </w:rPr>
        <w:t> </w:t>
      </w:r>
      <w:r>
        <w:rPr>
          <w:color w:val="231F20"/>
        </w:rPr>
        <w:t>would</w:t>
      </w:r>
      <w:r>
        <w:rPr>
          <w:color w:val="231F20"/>
          <w:spacing w:val="-8"/>
        </w:rPr>
        <w:t> </w:t>
      </w:r>
      <w:r>
        <w:rPr>
          <w:color w:val="231F20"/>
        </w:rPr>
        <w:t>provide</w:t>
      </w:r>
      <w:r>
        <w:rPr>
          <w:color w:val="231F20"/>
          <w:spacing w:val="-7"/>
        </w:rPr>
        <w:t> </w:t>
      </w:r>
      <w:r>
        <w:rPr>
          <w:color w:val="231F20"/>
        </w:rPr>
        <w:t>greater</w:t>
      </w:r>
      <w:r>
        <w:rPr>
          <w:color w:val="231F20"/>
          <w:spacing w:val="-8"/>
        </w:rPr>
        <w:t> </w:t>
      </w:r>
      <w:r>
        <w:rPr>
          <w:color w:val="231F20"/>
        </w:rPr>
        <w:t>funding</w:t>
      </w:r>
      <w:r>
        <w:rPr>
          <w:color w:val="231F20"/>
          <w:spacing w:val="-6"/>
        </w:rPr>
        <w:t> </w:t>
      </w:r>
      <w:r>
        <w:rPr>
          <w:color w:val="231F20"/>
        </w:rPr>
        <w:t>certainty</w:t>
      </w:r>
      <w:r>
        <w:rPr>
          <w:color w:val="231F20"/>
          <w:spacing w:val="21"/>
          <w:w w:val="99"/>
        </w:rPr>
        <w:t> </w:t>
      </w:r>
      <w:r>
        <w:rPr>
          <w:color w:val="231F20"/>
        </w:rPr>
        <w:t>for</w:t>
      </w:r>
      <w:r>
        <w:rPr>
          <w:color w:val="231F20"/>
          <w:spacing w:val="-8"/>
        </w:rPr>
        <w:t> </w:t>
      </w:r>
      <w:r>
        <w:rPr>
          <w:color w:val="231F20"/>
        </w:rPr>
        <w:t>boarding</w:t>
      </w:r>
      <w:r>
        <w:rPr>
          <w:color w:val="231F20"/>
          <w:spacing w:val="-8"/>
        </w:rPr>
        <w:t> </w:t>
      </w:r>
      <w:r>
        <w:rPr>
          <w:color w:val="231F20"/>
        </w:rPr>
        <w:t>providers,</w:t>
      </w:r>
      <w:r>
        <w:rPr>
          <w:color w:val="231F20"/>
          <w:spacing w:val="-8"/>
        </w:rPr>
        <w:t> </w:t>
      </w:r>
      <w:r>
        <w:rPr>
          <w:color w:val="231F20"/>
        </w:rPr>
        <w:t>address</w:t>
      </w:r>
      <w:r>
        <w:rPr>
          <w:color w:val="231F20"/>
          <w:spacing w:val="-8"/>
        </w:rPr>
        <w:t> </w:t>
      </w:r>
      <w:r>
        <w:rPr>
          <w:color w:val="231F20"/>
        </w:rPr>
        <w:t>the</w:t>
      </w:r>
      <w:r>
        <w:rPr>
          <w:color w:val="231F20"/>
          <w:spacing w:val="-8"/>
        </w:rPr>
        <w:t> </w:t>
      </w:r>
      <w:r>
        <w:rPr>
          <w:color w:val="231F20"/>
        </w:rPr>
        <w:t>current</w:t>
      </w:r>
      <w:r>
        <w:rPr>
          <w:color w:val="231F20"/>
          <w:w w:val="99"/>
        </w:rPr>
        <w:t> </w:t>
      </w:r>
      <w:r>
        <w:rPr>
          <w:color w:val="231F20"/>
          <w:spacing w:val="-1"/>
        </w:rPr>
        <w:t>shortfall</w:t>
      </w:r>
      <w:r>
        <w:rPr>
          <w:color w:val="231F20"/>
          <w:spacing w:val="-6"/>
        </w:rPr>
        <w:t> </w:t>
      </w:r>
      <w:r>
        <w:rPr>
          <w:color w:val="231F20"/>
          <w:spacing w:val="-1"/>
        </w:rPr>
        <w:t>in</w:t>
      </w:r>
      <w:r>
        <w:rPr>
          <w:color w:val="231F20"/>
          <w:spacing w:val="-6"/>
        </w:rPr>
        <w:t> </w:t>
      </w:r>
      <w:r>
        <w:rPr>
          <w:color w:val="231F20"/>
        </w:rPr>
        <w:t>revenue</w:t>
      </w:r>
      <w:r>
        <w:rPr>
          <w:color w:val="231F20"/>
          <w:spacing w:val="-7"/>
        </w:rPr>
        <w:t> </w:t>
      </w:r>
      <w:r>
        <w:rPr>
          <w:color w:val="231F20"/>
        </w:rPr>
        <w:t>and</w:t>
      </w:r>
      <w:r>
        <w:rPr>
          <w:color w:val="231F20"/>
          <w:spacing w:val="-8"/>
        </w:rPr>
        <w:t> </w:t>
      </w:r>
      <w:r>
        <w:rPr>
          <w:color w:val="231F20"/>
        </w:rPr>
        <w:t>enable</w:t>
      </w:r>
      <w:r>
        <w:rPr>
          <w:color w:val="231F20"/>
          <w:spacing w:val="-7"/>
        </w:rPr>
        <w:t> </w:t>
      </w:r>
      <w:r>
        <w:rPr>
          <w:color w:val="231F20"/>
        </w:rPr>
        <w:t>boarding</w:t>
      </w:r>
      <w:r>
        <w:rPr>
          <w:color w:val="231F20"/>
          <w:spacing w:val="23"/>
          <w:w w:val="99"/>
        </w:rPr>
        <w:t> </w:t>
      </w:r>
      <w:r>
        <w:rPr>
          <w:color w:val="231F20"/>
        </w:rPr>
        <w:t>providers</w:t>
      </w:r>
      <w:r>
        <w:rPr>
          <w:color w:val="231F20"/>
          <w:spacing w:val="-4"/>
        </w:rPr>
        <w:t> </w:t>
      </w:r>
      <w:r>
        <w:rPr>
          <w:color w:val="231F20"/>
        </w:rPr>
        <w:t>to</w:t>
      </w:r>
      <w:r>
        <w:rPr>
          <w:color w:val="231F20"/>
          <w:spacing w:val="-4"/>
        </w:rPr>
        <w:t> </w:t>
      </w:r>
      <w:r>
        <w:rPr>
          <w:color w:val="231F20"/>
        </w:rPr>
        <w:t>better</w:t>
      </w:r>
      <w:r>
        <w:rPr>
          <w:color w:val="231F20"/>
          <w:spacing w:val="-4"/>
        </w:rPr>
        <w:t> </w:t>
      </w:r>
      <w:r>
        <w:rPr>
          <w:color w:val="231F20"/>
          <w:spacing w:val="-1"/>
        </w:rPr>
        <w:t>meet</w:t>
      </w:r>
      <w:r>
        <w:rPr>
          <w:color w:val="231F20"/>
          <w:spacing w:val="-4"/>
        </w:rPr>
        <w:t> </w:t>
      </w:r>
      <w:r>
        <w:rPr>
          <w:color w:val="231F20"/>
        </w:rPr>
        <w:t>the</w:t>
      </w:r>
      <w:r>
        <w:rPr>
          <w:color w:val="231F20"/>
          <w:spacing w:val="-4"/>
        </w:rPr>
        <w:t> </w:t>
      </w:r>
      <w:r>
        <w:rPr>
          <w:color w:val="231F20"/>
        </w:rPr>
        <w:t>high</w:t>
      </w:r>
      <w:r>
        <w:rPr>
          <w:color w:val="231F20"/>
          <w:spacing w:val="-4"/>
        </w:rPr>
        <w:t> </w:t>
      </w:r>
      <w:r>
        <w:rPr>
          <w:color w:val="231F20"/>
        </w:rPr>
        <w:t>needs</w:t>
      </w:r>
      <w:r>
        <w:rPr>
          <w:color w:val="231F20"/>
          <w:spacing w:val="-4"/>
        </w:rPr>
        <w:t> </w:t>
      </w:r>
      <w:r>
        <w:rPr>
          <w:color w:val="231F20"/>
        </w:rPr>
        <w:t>of</w:t>
      </w:r>
      <w:r>
        <w:rPr>
          <w:color w:val="231F20"/>
          <w:spacing w:val="-4"/>
        </w:rPr>
        <w:t> </w:t>
      </w:r>
      <w:r>
        <w:rPr>
          <w:color w:val="231F20"/>
          <w:spacing w:val="-1"/>
        </w:rPr>
        <w:t>most</w:t>
      </w:r>
      <w:r>
        <w:rPr>
          <w:color w:val="231F20"/>
          <w:spacing w:val="21"/>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boarders.</w:t>
      </w:r>
      <w:r>
        <w:rPr/>
      </w:r>
    </w:p>
    <w:p>
      <w:pPr>
        <w:pStyle w:val="BodyText"/>
        <w:spacing w:line="250" w:lineRule="exact"/>
        <w:ind w:right="63"/>
        <w:jc w:val="left"/>
      </w:pPr>
      <w:r>
        <w:rPr>
          <w:color w:val="231F20"/>
        </w:rPr>
        <w:t>The</w:t>
      </w:r>
      <w:r>
        <w:rPr>
          <w:color w:val="231F20"/>
          <w:spacing w:val="-5"/>
        </w:rPr>
        <w:t> </w:t>
      </w:r>
      <w:r>
        <w:rPr>
          <w:color w:val="231F20"/>
        </w:rPr>
        <w:t>factors</w:t>
      </w:r>
      <w:r>
        <w:rPr>
          <w:color w:val="231F20"/>
          <w:spacing w:val="-5"/>
        </w:rPr>
        <w:t> </w:t>
      </w:r>
      <w:r>
        <w:rPr>
          <w:color w:val="231F20"/>
        </w:rPr>
        <w:t>contributing</w:t>
      </w:r>
      <w:r>
        <w:rPr>
          <w:color w:val="231F20"/>
          <w:spacing w:val="-6"/>
        </w:rPr>
        <w:t> </w:t>
      </w:r>
      <w:r>
        <w:rPr>
          <w:color w:val="231F20"/>
        </w:rPr>
        <w:t>to</w:t>
      </w:r>
      <w:r>
        <w:rPr>
          <w:color w:val="231F20"/>
          <w:spacing w:val="-5"/>
        </w:rPr>
        <w:t> </w:t>
      </w:r>
      <w:r>
        <w:rPr>
          <w:color w:val="231F20"/>
        </w:rPr>
        <w:t>the</w:t>
      </w:r>
      <w:r>
        <w:rPr>
          <w:color w:val="231F20"/>
          <w:spacing w:val="-6"/>
        </w:rPr>
        <w:t> </w:t>
      </w:r>
      <w:r>
        <w:rPr>
          <w:color w:val="231F20"/>
        </w:rPr>
        <w:t>cost</w:t>
      </w:r>
      <w:r>
        <w:rPr>
          <w:color w:val="231F20"/>
          <w:spacing w:val="-6"/>
        </w:rPr>
        <w:t> </w:t>
      </w:r>
      <w:r>
        <w:rPr>
          <w:color w:val="231F20"/>
        </w:rPr>
        <w:t>of</w:t>
      </w:r>
      <w:r>
        <w:rPr>
          <w:color w:val="231F20"/>
          <w:spacing w:val="-5"/>
        </w:rPr>
        <w:t> </w:t>
      </w:r>
      <w:r>
        <w:rPr>
          <w:color w:val="231F20"/>
        </w:rPr>
        <w:t>boarding</w:t>
      </w:r>
      <w:r>
        <w:rPr>
          <w:color w:val="231F20"/>
          <w:w w:val="99"/>
        </w:rPr>
        <w:t> </w:t>
      </w:r>
      <w:r>
        <w:rPr>
          <w:color w:val="231F20"/>
        </w:rPr>
        <w:t>delivery</w:t>
      </w:r>
      <w:r>
        <w:rPr>
          <w:color w:val="231F20"/>
          <w:spacing w:val="-7"/>
        </w:rPr>
        <w:t> </w:t>
      </w:r>
      <w:r>
        <w:rPr>
          <w:color w:val="231F20"/>
        </w:rPr>
        <w:t>for</w:t>
      </w:r>
      <w:r>
        <w:rPr>
          <w:color w:val="231F20"/>
          <w:spacing w:val="-5"/>
        </w:rPr>
        <w:t> </w:t>
      </w:r>
      <w:r>
        <w:rPr>
          <w:color w:val="231F20"/>
        </w:rPr>
        <w:t>Aboriginal</w:t>
      </w:r>
      <w:r>
        <w:rPr>
          <w:color w:val="231F20"/>
          <w:spacing w:val="-5"/>
        </w:rPr>
        <w:t> </w:t>
      </w:r>
      <w:r>
        <w:rPr>
          <w:color w:val="231F20"/>
        </w:rPr>
        <w:t>and</w:t>
      </w:r>
      <w:r>
        <w:rPr>
          <w:color w:val="231F20"/>
          <w:spacing w:val="-7"/>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29"/>
          <w:w w:val="99"/>
        </w:rPr>
        <w:t> </w:t>
      </w:r>
      <w:r>
        <w:rPr>
          <w:color w:val="231F20"/>
          <w:spacing w:val="-1"/>
        </w:rPr>
        <w:t>secondary</w:t>
      </w:r>
      <w:r>
        <w:rPr>
          <w:color w:val="231F20"/>
          <w:spacing w:val="-7"/>
        </w:rPr>
        <w:t> </w:t>
      </w:r>
      <w:r>
        <w:rPr>
          <w:color w:val="231F20"/>
          <w:spacing w:val="-1"/>
        </w:rPr>
        <w:t>students,</w:t>
      </w:r>
      <w:r>
        <w:rPr>
          <w:color w:val="231F20"/>
          <w:spacing w:val="-7"/>
        </w:rPr>
        <w:t> </w:t>
      </w:r>
      <w:r>
        <w:rPr>
          <w:color w:val="231F20"/>
        </w:rPr>
        <w:t>along</w:t>
      </w:r>
      <w:r>
        <w:rPr>
          <w:color w:val="231F20"/>
          <w:spacing w:val="-9"/>
        </w:rPr>
        <w:t> </w:t>
      </w:r>
      <w:r>
        <w:rPr>
          <w:color w:val="231F20"/>
        </w:rPr>
        <w:t>with</w:t>
      </w:r>
      <w:r>
        <w:rPr>
          <w:color w:val="231F20"/>
          <w:spacing w:val="-9"/>
        </w:rPr>
        <w:t> </w:t>
      </w:r>
      <w:r>
        <w:rPr>
          <w:color w:val="231F20"/>
        </w:rPr>
        <w:t>an</w:t>
      </w:r>
      <w:r>
        <w:rPr>
          <w:color w:val="231F20"/>
          <w:spacing w:val="-8"/>
        </w:rPr>
        <w:t> </w:t>
      </w:r>
      <w:r>
        <w:rPr>
          <w:color w:val="231F20"/>
        </w:rPr>
        <w:t>examination</w:t>
      </w:r>
      <w:r>
        <w:rPr>
          <w:color w:val="231F20"/>
          <w:spacing w:val="23"/>
          <w:w w:val="99"/>
        </w:rPr>
        <w:t> </w:t>
      </w:r>
      <w:r>
        <w:rPr>
          <w:color w:val="231F20"/>
        </w:rPr>
        <w:t>of</w:t>
      </w:r>
      <w:r>
        <w:rPr>
          <w:color w:val="231F20"/>
          <w:spacing w:val="-5"/>
        </w:rPr>
        <w:t> </w:t>
      </w:r>
      <w:r>
        <w:rPr>
          <w:color w:val="231F20"/>
        </w:rPr>
        <w:t>those</w:t>
      </w:r>
      <w:r>
        <w:rPr>
          <w:color w:val="231F20"/>
          <w:spacing w:val="-6"/>
        </w:rPr>
        <w:t> </w:t>
      </w:r>
      <w:r>
        <w:rPr>
          <w:color w:val="231F20"/>
        </w:rPr>
        <w:t>factors</w:t>
      </w:r>
      <w:r>
        <w:rPr>
          <w:color w:val="231F20"/>
          <w:spacing w:val="-4"/>
        </w:rPr>
        <w:t> </w:t>
      </w:r>
      <w:r>
        <w:rPr>
          <w:color w:val="231F20"/>
        </w:rPr>
        <w:t>that</w:t>
      </w:r>
      <w:r>
        <w:rPr>
          <w:color w:val="231F20"/>
          <w:spacing w:val="-6"/>
        </w:rPr>
        <w:t> </w:t>
      </w:r>
      <w:r>
        <w:rPr>
          <w:color w:val="231F20"/>
          <w:spacing w:val="-1"/>
        </w:rPr>
        <w:t>may</w:t>
      </w:r>
      <w:r>
        <w:rPr>
          <w:color w:val="231F20"/>
          <w:spacing w:val="-4"/>
        </w:rPr>
        <w:t> </w:t>
      </w:r>
      <w:r>
        <w:rPr>
          <w:color w:val="231F20"/>
        </w:rPr>
        <w:t>warrant</w:t>
      </w:r>
      <w:r>
        <w:rPr>
          <w:color w:val="231F20"/>
          <w:spacing w:val="-6"/>
        </w:rPr>
        <w:t> </w:t>
      </w:r>
      <w:r>
        <w:rPr>
          <w:color w:val="231F20"/>
        </w:rPr>
        <w:t>a</w:t>
      </w:r>
      <w:r>
        <w:rPr>
          <w:color w:val="231F20"/>
          <w:spacing w:val="-4"/>
        </w:rPr>
        <w:t> </w:t>
      </w:r>
      <w:r>
        <w:rPr>
          <w:color w:val="231F20"/>
        </w:rPr>
        <w:t>boarding</w:t>
      </w:r>
      <w:r>
        <w:rPr>
          <w:color w:val="231F20"/>
          <w:spacing w:val="21"/>
          <w:w w:val="99"/>
        </w:rPr>
        <w:t> </w:t>
      </w:r>
      <w:r>
        <w:rPr>
          <w:color w:val="231F20"/>
        </w:rPr>
        <w:t>funding</w:t>
      </w:r>
      <w:r>
        <w:rPr>
          <w:color w:val="231F20"/>
          <w:spacing w:val="-6"/>
        </w:rPr>
        <w:t> </w:t>
      </w:r>
      <w:r>
        <w:rPr>
          <w:color w:val="231F20"/>
          <w:spacing w:val="-1"/>
        </w:rPr>
        <w:t>loading,</w:t>
      </w:r>
      <w:r>
        <w:rPr>
          <w:color w:val="231F20"/>
          <w:spacing w:val="-6"/>
        </w:rPr>
        <w:t> </w:t>
      </w:r>
      <w:r>
        <w:rPr>
          <w:color w:val="231F20"/>
        </w:rPr>
        <w:t>are</w:t>
      </w:r>
      <w:r>
        <w:rPr>
          <w:color w:val="231F20"/>
          <w:spacing w:val="-6"/>
        </w:rPr>
        <w:t> </w:t>
      </w:r>
      <w:r>
        <w:rPr>
          <w:color w:val="231F20"/>
        </w:rPr>
        <w:t>discussed</w:t>
      </w:r>
      <w:r>
        <w:rPr>
          <w:color w:val="231F20"/>
          <w:spacing w:val="-7"/>
        </w:rPr>
        <w:t> </w:t>
      </w:r>
      <w:r>
        <w:rPr>
          <w:color w:val="231F20"/>
        </w:rPr>
        <w:t>below.</w:t>
      </w:r>
      <w:r>
        <w:rPr/>
      </w:r>
    </w:p>
    <w:p>
      <w:pPr>
        <w:spacing w:line="240" w:lineRule="auto" w:before="9"/>
        <w:rPr>
          <w:rFonts w:ascii="Segoe UI" w:hAnsi="Segoe UI" w:cs="Segoe UI" w:eastAsia="Segoe UI"/>
          <w:sz w:val="15"/>
          <w:szCs w:val="15"/>
        </w:rPr>
      </w:pPr>
    </w:p>
    <w:p>
      <w:pPr>
        <w:pStyle w:val="Heading3"/>
        <w:spacing w:line="300" w:lineRule="exact" w:before="0"/>
        <w:ind w:right="49"/>
        <w:jc w:val="left"/>
      </w:pPr>
      <w:r>
        <w:rPr>
          <w:b/>
          <w:color w:val="00779B"/>
          <w:spacing w:val="-2"/>
        </w:rPr>
        <w:t>Factors</w:t>
      </w:r>
      <w:r>
        <w:rPr>
          <w:b/>
          <w:color w:val="00779B"/>
          <w:spacing w:val="-1"/>
        </w:rPr>
        <w:t> contributing</w:t>
      </w:r>
      <w:r>
        <w:rPr>
          <w:b/>
          <w:color w:val="00779B"/>
        </w:rPr>
        <w:t> </w:t>
      </w:r>
      <w:r>
        <w:rPr>
          <w:b/>
          <w:color w:val="00779B"/>
          <w:spacing w:val="-1"/>
        </w:rPr>
        <w:t>to the</w:t>
      </w:r>
      <w:r>
        <w:rPr>
          <w:b/>
          <w:color w:val="00779B"/>
        </w:rPr>
        <w:t> </w:t>
      </w:r>
      <w:r>
        <w:rPr>
          <w:b/>
          <w:color w:val="00779B"/>
          <w:spacing w:val="-1"/>
        </w:rPr>
        <w:t>cost</w:t>
      </w:r>
      <w:r>
        <w:rPr>
          <w:b/>
          <w:color w:val="00779B"/>
          <w:spacing w:val="24"/>
        </w:rPr>
        <w:t> </w:t>
      </w:r>
      <w:r>
        <w:rPr>
          <w:b/>
          <w:color w:val="00779B"/>
          <w:spacing w:val="-3"/>
        </w:rPr>
        <w:t>of</w:t>
      </w:r>
      <w:r>
        <w:rPr>
          <w:b/>
          <w:color w:val="00779B"/>
          <w:spacing w:val="-6"/>
        </w:rPr>
        <w:t> </w:t>
      </w:r>
      <w:r>
        <w:rPr>
          <w:b/>
          <w:color w:val="00779B"/>
          <w:spacing w:val="-1"/>
        </w:rPr>
        <w:t>boarding</w:t>
      </w:r>
      <w:r>
        <w:rPr>
          <w:b/>
          <w:color w:val="00779B"/>
          <w:spacing w:val="-6"/>
        </w:rPr>
        <w:t> </w:t>
      </w:r>
      <w:r>
        <w:rPr>
          <w:b/>
          <w:color w:val="00779B"/>
        </w:rPr>
        <w:t>delivery</w:t>
      </w:r>
      <w:r>
        <w:rPr/>
      </w:r>
    </w:p>
    <w:p>
      <w:pPr>
        <w:pStyle w:val="BodyText"/>
        <w:spacing w:line="250" w:lineRule="exact" w:before="75"/>
        <w:ind w:right="63"/>
        <w:jc w:val="left"/>
      </w:pPr>
      <w:r>
        <w:rPr>
          <w:color w:val="231F20"/>
        </w:rPr>
        <w:t>The</w:t>
      </w:r>
      <w:r>
        <w:rPr>
          <w:color w:val="231F20"/>
          <w:spacing w:val="-6"/>
        </w:rPr>
        <w:t> </w:t>
      </w:r>
      <w:r>
        <w:rPr>
          <w:color w:val="231F20"/>
        </w:rPr>
        <w:t>cost</w:t>
      </w:r>
      <w:r>
        <w:rPr>
          <w:color w:val="231F20"/>
          <w:spacing w:val="-7"/>
        </w:rPr>
        <w:t> </w:t>
      </w:r>
      <w:r>
        <w:rPr>
          <w:color w:val="231F20"/>
        </w:rPr>
        <w:t>of</w:t>
      </w:r>
      <w:r>
        <w:rPr>
          <w:color w:val="231F20"/>
          <w:spacing w:val="-6"/>
        </w:rPr>
        <w:t> </w:t>
      </w:r>
      <w:r>
        <w:rPr>
          <w:color w:val="231F20"/>
        </w:rPr>
        <w:t>boarding</w:t>
      </w:r>
      <w:r>
        <w:rPr>
          <w:color w:val="231F20"/>
          <w:spacing w:val="-7"/>
        </w:rPr>
        <w:t> </w:t>
      </w:r>
      <w:r>
        <w:rPr>
          <w:color w:val="231F20"/>
        </w:rPr>
        <w:t>varies</w:t>
      </w:r>
      <w:r>
        <w:rPr>
          <w:color w:val="231F20"/>
          <w:spacing w:val="-6"/>
        </w:rPr>
        <w:t> </w:t>
      </w:r>
      <w:r>
        <w:rPr>
          <w:color w:val="231F20"/>
        </w:rPr>
        <w:t>considerably</w:t>
      </w:r>
      <w:r>
        <w:rPr>
          <w:color w:val="231F20"/>
          <w:w w:val="99"/>
        </w:rPr>
        <w:t> </w:t>
      </w:r>
      <w:r>
        <w:rPr>
          <w:color w:val="231F20"/>
        </w:rPr>
        <w:t>depending</w:t>
      </w:r>
      <w:r>
        <w:rPr>
          <w:color w:val="231F20"/>
          <w:spacing w:val="-6"/>
        </w:rPr>
        <w:t> </w:t>
      </w:r>
      <w:r>
        <w:rPr>
          <w:color w:val="231F20"/>
        </w:rPr>
        <w:t>on</w:t>
      </w:r>
      <w:r>
        <w:rPr>
          <w:color w:val="231F20"/>
          <w:spacing w:val="-4"/>
        </w:rPr>
        <w:t> </w:t>
      </w:r>
      <w:r>
        <w:rPr>
          <w:color w:val="231F20"/>
        </w:rPr>
        <w:t>the</w:t>
      </w:r>
      <w:r>
        <w:rPr>
          <w:color w:val="231F20"/>
          <w:spacing w:val="-5"/>
        </w:rPr>
        <w:t> </w:t>
      </w:r>
      <w:r>
        <w:rPr>
          <w:color w:val="231F20"/>
          <w:spacing w:val="-1"/>
        </w:rPr>
        <w:t>model</w:t>
      </w:r>
      <w:r>
        <w:rPr>
          <w:color w:val="231F20"/>
          <w:spacing w:val="-4"/>
        </w:rPr>
        <w:t> </w:t>
      </w:r>
      <w:r>
        <w:rPr>
          <w:color w:val="231F20"/>
        </w:rPr>
        <w:t>of</w:t>
      </w:r>
      <w:r>
        <w:rPr>
          <w:color w:val="231F20"/>
          <w:spacing w:val="-5"/>
        </w:rPr>
        <w:t> </w:t>
      </w:r>
      <w:r>
        <w:rPr>
          <w:color w:val="231F20"/>
        </w:rPr>
        <w:t>delivery</w:t>
      </w:r>
      <w:r>
        <w:rPr>
          <w:color w:val="231F20"/>
          <w:spacing w:val="-5"/>
        </w:rPr>
        <w:t> </w:t>
      </w:r>
      <w:r>
        <w:rPr>
          <w:color w:val="231F20"/>
        </w:rPr>
        <w:t>and</w:t>
      </w:r>
      <w:r>
        <w:rPr>
          <w:color w:val="231F20"/>
          <w:spacing w:val="-5"/>
        </w:rPr>
        <w:t> </w:t>
      </w:r>
      <w:r>
        <w:rPr>
          <w:color w:val="231F20"/>
        </w:rPr>
        <w:t>the</w:t>
      </w:r>
      <w:r>
        <w:rPr>
          <w:color w:val="231F20"/>
          <w:spacing w:val="21"/>
          <w:w w:val="99"/>
        </w:rPr>
        <w:t> </w:t>
      </w:r>
      <w:r>
        <w:rPr>
          <w:color w:val="231F20"/>
        </w:rPr>
        <w:t>circumstances</w:t>
      </w:r>
      <w:r>
        <w:rPr>
          <w:color w:val="231F20"/>
          <w:spacing w:val="-7"/>
        </w:rPr>
        <w:t> </w:t>
      </w:r>
      <w:r>
        <w:rPr>
          <w:color w:val="231F20"/>
        </w:rPr>
        <w:t>of</w:t>
      </w:r>
      <w:r>
        <w:rPr>
          <w:color w:val="231F20"/>
          <w:spacing w:val="-6"/>
        </w:rPr>
        <w:t> </w:t>
      </w:r>
      <w:r>
        <w:rPr>
          <w:color w:val="231F20"/>
        </w:rPr>
        <w:t>the</w:t>
      </w:r>
      <w:r>
        <w:rPr>
          <w:color w:val="231F20"/>
          <w:spacing w:val="-7"/>
        </w:rPr>
        <w:t> </w:t>
      </w:r>
      <w:r>
        <w:rPr>
          <w:color w:val="231F20"/>
          <w:spacing w:val="-1"/>
        </w:rPr>
        <w:t>student</w:t>
      </w:r>
      <w:r>
        <w:rPr>
          <w:color w:val="231F20"/>
          <w:spacing w:val="-6"/>
        </w:rPr>
        <w:t> </w:t>
      </w:r>
      <w:r>
        <w:rPr>
          <w:color w:val="231F20"/>
        </w:rPr>
        <w:t>cohort</w:t>
      </w:r>
      <w:r>
        <w:rPr>
          <w:color w:val="231F20"/>
          <w:spacing w:val="-6"/>
        </w:rPr>
        <w:t> </w:t>
      </w:r>
      <w:r>
        <w:rPr>
          <w:color w:val="231F20"/>
        </w:rPr>
        <w:t>and</w:t>
      </w:r>
      <w:r>
        <w:rPr>
          <w:color w:val="231F20"/>
          <w:spacing w:val="-7"/>
        </w:rPr>
        <w:t> </w:t>
      </w:r>
      <w:r>
        <w:rPr>
          <w:color w:val="231F20"/>
        </w:rPr>
        <w:t>the</w:t>
      </w:r>
      <w:r>
        <w:rPr>
          <w:color w:val="231F20"/>
          <w:spacing w:val="22"/>
          <w:w w:val="99"/>
        </w:rPr>
        <w:t> </w:t>
      </w:r>
      <w:r>
        <w:rPr>
          <w:color w:val="231F20"/>
        </w:rPr>
        <w:t>boarding</w:t>
      </w:r>
      <w:r>
        <w:rPr>
          <w:color w:val="231F20"/>
          <w:spacing w:val="-17"/>
        </w:rPr>
        <w:t> </w:t>
      </w:r>
      <w:r>
        <w:rPr>
          <w:color w:val="231F20"/>
        </w:rPr>
        <w:t>provider.</w:t>
      </w:r>
      <w:r>
        <w:rPr/>
      </w:r>
    </w:p>
    <w:p>
      <w:pPr>
        <w:pStyle w:val="BodyText"/>
        <w:spacing w:line="250" w:lineRule="exact" w:before="62"/>
        <w:ind w:right="116"/>
        <w:jc w:val="left"/>
      </w:pPr>
      <w:r>
        <w:rPr/>
        <w:br w:type="column"/>
      </w:r>
      <w:r>
        <w:rPr>
          <w:color w:val="231F20"/>
        </w:rPr>
        <w:t>The</w:t>
      </w:r>
      <w:r>
        <w:rPr>
          <w:color w:val="231F20"/>
          <w:spacing w:val="-8"/>
        </w:rPr>
        <w:t> </w:t>
      </w:r>
      <w:r>
        <w:rPr>
          <w:color w:val="231F20"/>
        </w:rPr>
        <w:t>three-year</w:t>
      </w:r>
      <w:r>
        <w:rPr>
          <w:color w:val="231F20"/>
          <w:spacing w:val="-8"/>
        </w:rPr>
        <w:t> </w:t>
      </w:r>
      <w:r>
        <w:rPr>
          <w:color w:val="231F20"/>
        </w:rPr>
        <w:t>average</w:t>
      </w:r>
      <w:r>
        <w:rPr>
          <w:color w:val="231F20"/>
          <w:spacing w:val="-8"/>
        </w:rPr>
        <w:t> </w:t>
      </w:r>
      <w:r>
        <w:rPr>
          <w:color w:val="231F20"/>
          <w:spacing w:val="-1"/>
        </w:rPr>
        <w:t>annual</w:t>
      </w:r>
      <w:r>
        <w:rPr>
          <w:color w:val="231F20"/>
          <w:spacing w:val="-8"/>
        </w:rPr>
        <w:t> </w:t>
      </w:r>
      <w:r>
        <w:rPr>
          <w:color w:val="231F20"/>
        </w:rPr>
        <w:t>cost</w:t>
      </w:r>
      <w:r>
        <w:rPr>
          <w:color w:val="231F20"/>
          <w:spacing w:val="-7"/>
        </w:rPr>
        <w:t> </w:t>
      </w:r>
      <w:r>
        <w:rPr>
          <w:color w:val="231F20"/>
        </w:rPr>
        <w:t>per</w:t>
      </w:r>
      <w:r>
        <w:rPr>
          <w:color w:val="231F20"/>
          <w:spacing w:val="-8"/>
        </w:rPr>
        <w:t> </w:t>
      </w:r>
      <w:r>
        <w:rPr>
          <w:color w:val="231F20"/>
        </w:rPr>
        <w:t>boarder</w:t>
      </w:r>
      <w:r>
        <w:rPr>
          <w:color w:val="231F20"/>
          <w:spacing w:val="25"/>
          <w:w w:val="99"/>
        </w:rPr>
        <w:t> </w:t>
      </w:r>
      <w:r>
        <w:rPr>
          <w:color w:val="231F20"/>
        </w:rPr>
        <w:t>of</w:t>
      </w:r>
      <w:r>
        <w:rPr>
          <w:color w:val="231F20"/>
          <w:spacing w:val="-5"/>
        </w:rPr>
        <w:t> </w:t>
      </w:r>
      <w:r>
        <w:rPr>
          <w:color w:val="231F20"/>
        </w:rPr>
        <w:t>boarding</w:t>
      </w:r>
      <w:r>
        <w:rPr>
          <w:color w:val="231F20"/>
          <w:spacing w:val="-5"/>
        </w:rPr>
        <w:t> </w:t>
      </w:r>
      <w:r>
        <w:rPr>
          <w:color w:val="231F20"/>
        </w:rPr>
        <w:t>at</w:t>
      </w:r>
      <w:r>
        <w:rPr>
          <w:color w:val="231F20"/>
          <w:spacing w:val="-5"/>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28"/>
          <w:w w:val="99"/>
        </w:rPr>
        <w:t> </w:t>
      </w:r>
      <w:r>
        <w:rPr>
          <w:color w:val="231F20"/>
          <w:spacing w:val="-1"/>
        </w:rPr>
        <w:t>Islander</w:t>
      </w:r>
      <w:r>
        <w:rPr>
          <w:color w:val="231F20"/>
          <w:spacing w:val="-8"/>
        </w:rPr>
        <w:t> </w:t>
      </w:r>
      <w:r>
        <w:rPr>
          <w:color w:val="231F20"/>
        </w:rPr>
        <w:t>boarding</w:t>
      </w:r>
      <w:r>
        <w:rPr>
          <w:color w:val="231F20"/>
          <w:spacing w:val="-8"/>
        </w:rPr>
        <w:t> </w:t>
      </w:r>
      <w:r>
        <w:rPr>
          <w:color w:val="231F20"/>
        </w:rPr>
        <w:t>providers</w:t>
      </w:r>
      <w:r>
        <w:rPr>
          <w:color w:val="231F20"/>
          <w:spacing w:val="-8"/>
        </w:rPr>
        <w:t> </w:t>
      </w:r>
      <w:r>
        <w:rPr>
          <w:color w:val="231F20"/>
        </w:rPr>
        <w:t>over</w:t>
      </w:r>
      <w:r>
        <w:rPr>
          <w:color w:val="231F20"/>
          <w:spacing w:val="-7"/>
        </w:rPr>
        <w:t> </w:t>
      </w:r>
      <w:r>
        <w:rPr>
          <w:color w:val="231F20"/>
        </w:rPr>
        <w:t>the</w:t>
      </w:r>
      <w:r>
        <w:rPr>
          <w:color w:val="231F20"/>
          <w:spacing w:val="-8"/>
        </w:rPr>
        <w:t> </w:t>
      </w:r>
      <w:r>
        <w:rPr>
          <w:color w:val="231F20"/>
        </w:rPr>
        <w:t>period</w:t>
      </w:r>
      <w:r>
        <w:rPr>
          <w:color w:val="231F20"/>
          <w:spacing w:val="22"/>
          <w:w w:val="99"/>
        </w:rPr>
        <w:t> </w:t>
      </w:r>
      <w:r>
        <w:rPr>
          <w:rFonts w:ascii="Segoe UI"/>
          <w:color w:val="231F20"/>
        </w:rPr>
        <w:t>from 2015 to 2017 varied significantly from a</w:t>
      </w:r>
      <w:r>
        <w:rPr>
          <w:rFonts w:ascii="Segoe UI"/>
          <w:color w:val="231F20"/>
        </w:rPr>
        <w:t> </w:t>
      </w:r>
      <w:r>
        <w:rPr>
          <w:color w:val="231F20"/>
          <w:spacing w:val="-1"/>
        </w:rPr>
        <w:t>minimum</w:t>
      </w:r>
      <w:r>
        <w:rPr>
          <w:color w:val="231F20"/>
          <w:spacing w:val="-3"/>
        </w:rPr>
        <w:t> </w:t>
      </w:r>
      <w:r>
        <w:rPr>
          <w:color w:val="231F20"/>
        </w:rPr>
        <w:t>of</w:t>
      </w:r>
      <w:r>
        <w:rPr>
          <w:color w:val="231F20"/>
          <w:spacing w:val="-4"/>
        </w:rPr>
        <w:t> </w:t>
      </w:r>
      <w:r>
        <w:rPr>
          <w:color w:val="231F20"/>
          <w:spacing w:val="-1"/>
        </w:rPr>
        <w:t>$11,914</w:t>
      </w:r>
      <w:r>
        <w:rPr>
          <w:color w:val="231F20"/>
          <w:spacing w:val="-3"/>
        </w:rPr>
        <w:t> </w:t>
      </w:r>
      <w:r>
        <w:rPr>
          <w:color w:val="231F20"/>
        </w:rPr>
        <w:t>per</w:t>
      </w:r>
      <w:r>
        <w:rPr>
          <w:color w:val="231F20"/>
          <w:spacing w:val="-3"/>
        </w:rPr>
        <w:t> </w:t>
      </w:r>
      <w:r>
        <w:rPr>
          <w:color w:val="231F20"/>
        </w:rPr>
        <w:t>boarder</w:t>
      </w:r>
      <w:r>
        <w:rPr>
          <w:color w:val="231F20"/>
          <w:spacing w:val="-3"/>
        </w:rPr>
        <w:t> </w:t>
      </w:r>
      <w:r>
        <w:rPr>
          <w:color w:val="231F20"/>
        </w:rPr>
        <w:t>(small</w:t>
      </w:r>
      <w:r>
        <w:rPr>
          <w:color w:val="231F20"/>
          <w:spacing w:val="-4"/>
        </w:rPr>
        <w:t> </w:t>
      </w:r>
      <w:r>
        <w:rPr>
          <w:color w:val="231F20"/>
        </w:rPr>
        <w:t>remote</w:t>
      </w:r>
      <w:r>
        <w:rPr>
          <w:color w:val="231F20"/>
          <w:spacing w:val="23"/>
          <w:w w:val="99"/>
        </w:rPr>
        <w:t> </w:t>
      </w:r>
      <w:r>
        <w:rPr>
          <w:color w:val="231F20"/>
          <w:spacing w:val="-1"/>
        </w:rPr>
        <w:t>school/boarding</w:t>
      </w:r>
      <w:r>
        <w:rPr>
          <w:color w:val="231F20"/>
          <w:spacing w:val="-6"/>
        </w:rPr>
        <w:t> </w:t>
      </w:r>
      <w:r>
        <w:rPr>
          <w:color w:val="231F20"/>
        </w:rPr>
        <w:t>provider)</w:t>
      </w:r>
      <w:r>
        <w:rPr>
          <w:color w:val="231F20"/>
          <w:spacing w:val="-7"/>
        </w:rPr>
        <w:t> </w:t>
      </w:r>
      <w:r>
        <w:rPr>
          <w:color w:val="231F20"/>
        </w:rPr>
        <w:t>to</w:t>
      </w:r>
      <w:r>
        <w:rPr>
          <w:color w:val="231F20"/>
          <w:spacing w:val="-7"/>
        </w:rPr>
        <w:t> </w:t>
      </w:r>
      <w:r>
        <w:rPr>
          <w:color w:val="231F20"/>
        </w:rPr>
        <w:t>a</w:t>
      </w:r>
      <w:r>
        <w:rPr>
          <w:color w:val="231F20"/>
          <w:spacing w:val="-6"/>
        </w:rPr>
        <w:t> </w:t>
      </w:r>
      <w:r>
        <w:rPr>
          <w:color w:val="231F20"/>
          <w:spacing w:val="-1"/>
        </w:rPr>
        <w:t>maximum</w:t>
      </w:r>
      <w:r>
        <w:rPr/>
      </w:r>
    </w:p>
    <w:p>
      <w:pPr>
        <w:pStyle w:val="BodyText"/>
        <w:spacing w:line="250" w:lineRule="exact"/>
        <w:ind w:right="393"/>
        <w:jc w:val="left"/>
      </w:pPr>
      <w:r>
        <w:rPr>
          <w:color w:val="231F20"/>
        </w:rPr>
        <w:t>of</w:t>
      </w:r>
      <w:r>
        <w:rPr>
          <w:color w:val="231F20"/>
          <w:spacing w:val="-4"/>
        </w:rPr>
        <w:t> </w:t>
      </w:r>
      <w:r>
        <w:rPr>
          <w:color w:val="231F20"/>
          <w:spacing w:val="-1"/>
        </w:rPr>
        <w:t>$69,072</w:t>
      </w:r>
      <w:r>
        <w:rPr>
          <w:color w:val="231F20"/>
          <w:spacing w:val="-4"/>
        </w:rPr>
        <w:t> </w:t>
      </w:r>
      <w:r>
        <w:rPr>
          <w:color w:val="231F20"/>
        </w:rPr>
        <w:t>per</w:t>
      </w:r>
      <w:r>
        <w:rPr>
          <w:color w:val="231F20"/>
          <w:spacing w:val="-4"/>
        </w:rPr>
        <w:t> </w:t>
      </w:r>
      <w:r>
        <w:rPr>
          <w:color w:val="231F20"/>
        </w:rPr>
        <w:t>boarder</w:t>
      </w:r>
      <w:r>
        <w:rPr>
          <w:color w:val="231F20"/>
          <w:spacing w:val="-3"/>
        </w:rPr>
        <w:t> </w:t>
      </w:r>
      <w:r>
        <w:rPr>
          <w:color w:val="231F20"/>
        </w:rPr>
        <w:t>(small</w:t>
      </w:r>
      <w:r>
        <w:rPr>
          <w:color w:val="231F20"/>
          <w:spacing w:val="-5"/>
        </w:rPr>
        <w:t> </w:t>
      </w:r>
      <w:r>
        <w:rPr>
          <w:color w:val="231F20"/>
        </w:rPr>
        <w:t>regional</w:t>
      </w:r>
      <w:r>
        <w:rPr>
          <w:color w:val="231F20"/>
          <w:spacing w:val="-4"/>
        </w:rPr>
        <w:t> </w:t>
      </w:r>
      <w:r>
        <w:rPr>
          <w:color w:val="231F20"/>
        </w:rPr>
        <w:t>city</w:t>
      </w:r>
      <w:r>
        <w:rPr>
          <w:color w:val="231F20"/>
          <w:spacing w:val="22"/>
          <w:w w:val="99"/>
        </w:rPr>
        <w:t> </w:t>
      </w:r>
      <w:r>
        <w:rPr>
          <w:color w:val="231F20"/>
          <w:spacing w:val="-1"/>
        </w:rPr>
        <w:t>standalone</w:t>
      </w:r>
      <w:r>
        <w:rPr>
          <w:color w:val="231F20"/>
          <w:spacing w:val="-7"/>
        </w:rPr>
        <w:t> </w:t>
      </w:r>
      <w:r>
        <w:rPr>
          <w:color w:val="231F20"/>
        </w:rPr>
        <w:t>boarding</w:t>
      </w:r>
      <w:r>
        <w:rPr>
          <w:color w:val="231F20"/>
          <w:spacing w:val="-8"/>
        </w:rPr>
        <w:t> </w:t>
      </w:r>
      <w:r>
        <w:rPr>
          <w:color w:val="231F20"/>
        </w:rPr>
        <w:t>provider).</w:t>
      </w:r>
      <w:r>
        <w:rPr>
          <w:color w:val="231F20"/>
          <w:spacing w:val="-8"/>
        </w:rPr>
        <w:t> </w:t>
      </w:r>
      <w:r>
        <w:rPr>
          <w:color w:val="231F20"/>
        </w:rPr>
        <w:t>Given</w:t>
      </w:r>
      <w:r>
        <w:rPr>
          <w:color w:val="231F20"/>
          <w:spacing w:val="-8"/>
        </w:rPr>
        <w:t> </w:t>
      </w:r>
      <w:r>
        <w:rPr>
          <w:color w:val="231F20"/>
        </w:rPr>
        <w:t>the</w:t>
      </w:r>
      <w:r>
        <w:rPr>
          <w:color w:val="231F20"/>
          <w:spacing w:val="22"/>
          <w:w w:val="99"/>
        </w:rPr>
        <w:t> </w:t>
      </w:r>
      <w:r>
        <w:rPr>
          <w:color w:val="231F20"/>
        </w:rPr>
        <w:t>extent</w:t>
      </w:r>
      <w:r>
        <w:rPr>
          <w:color w:val="231F20"/>
          <w:spacing w:val="-6"/>
        </w:rPr>
        <w:t> </w:t>
      </w:r>
      <w:r>
        <w:rPr>
          <w:color w:val="231F20"/>
        </w:rPr>
        <w:t>of</w:t>
      </w:r>
      <w:r>
        <w:rPr>
          <w:color w:val="231F20"/>
          <w:spacing w:val="-6"/>
        </w:rPr>
        <w:t> </w:t>
      </w:r>
      <w:r>
        <w:rPr>
          <w:color w:val="231F20"/>
        </w:rPr>
        <w:t>the</w:t>
      </w:r>
      <w:r>
        <w:rPr>
          <w:color w:val="231F20"/>
          <w:spacing w:val="-7"/>
        </w:rPr>
        <w:t> </w:t>
      </w:r>
      <w:r>
        <w:rPr>
          <w:color w:val="231F20"/>
        </w:rPr>
        <w:t>variables</w:t>
      </w:r>
      <w:r>
        <w:rPr>
          <w:color w:val="231F20"/>
          <w:spacing w:val="-6"/>
        </w:rPr>
        <w:t> </w:t>
      </w:r>
      <w:r>
        <w:rPr>
          <w:color w:val="231F20"/>
        </w:rPr>
        <w:t>and</w:t>
      </w:r>
      <w:r>
        <w:rPr>
          <w:color w:val="231F20"/>
          <w:spacing w:val="-6"/>
        </w:rPr>
        <w:t> </w:t>
      </w:r>
      <w:r>
        <w:rPr>
          <w:color w:val="231F20"/>
        </w:rPr>
        <w:t>determinants</w:t>
      </w:r>
      <w:r>
        <w:rPr>
          <w:color w:val="231F20"/>
          <w:spacing w:val="-7"/>
        </w:rPr>
        <w:t> </w:t>
      </w:r>
      <w:r>
        <w:rPr>
          <w:color w:val="231F20"/>
        </w:rPr>
        <w:t>of</w:t>
      </w:r>
      <w:r>
        <w:rPr>
          <w:color w:val="231F20"/>
          <w:w w:val="99"/>
        </w:rPr>
        <w:t> </w:t>
      </w:r>
      <w:r>
        <w:rPr>
          <w:color w:val="231F20"/>
        </w:rPr>
        <w:t>boarding</w:t>
      </w:r>
      <w:r>
        <w:rPr>
          <w:color w:val="231F20"/>
          <w:spacing w:val="-5"/>
        </w:rPr>
        <w:t> </w:t>
      </w:r>
      <w:r>
        <w:rPr>
          <w:color w:val="231F20"/>
        </w:rPr>
        <w:t>cost,</w:t>
      </w:r>
      <w:r>
        <w:rPr>
          <w:color w:val="231F20"/>
          <w:spacing w:val="-5"/>
        </w:rPr>
        <w:t> </w:t>
      </w:r>
      <w:r>
        <w:rPr>
          <w:color w:val="231F20"/>
          <w:spacing w:val="-1"/>
        </w:rPr>
        <w:t>it</w:t>
      </w:r>
      <w:r>
        <w:rPr>
          <w:color w:val="231F20"/>
          <w:spacing w:val="-3"/>
        </w:rPr>
        <w:t> </w:t>
      </w:r>
      <w:r>
        <w:rPr>
          <w:color w:val="231F20"/>
          <w:spacing w:val="-1"/>
        </w:rPr>
        <w:t>is</w:t>
      </w:r>
      <w:r>
        <w:rPr>
          <w:color w:val="231F20"/>
          <w:spacing w:val="-5"/>
        </w:rPr>
        <w:t> </w:t>
      </w:r>
      <w:r>
        <w:rPr>
          <w:color w:val="231F20"/>
        </w:rPr>
        <w:t>therefore</w:t>
      </w:r>
      <w:r>
        <w:rPr>
          <w:color w:val="231F20"/>
          <w:spacing w:val="-4"/>
        </w:rPr>
        <w:t> </w:t>
      </w:r>
      <w:r>
        <w:rPr>
          <w:color w:val="231F20"/>
        </w:rPr>
        <w:t>not</w:t>
      </w:r>
      <w:r>
        <w:rPr>
          <w:color w:val="231F20"/>
          <w:spacing w:val="-4"/>
        </w:rPr>
        <w:t> </w:t>
      </w:r>
      <w:r>
        <w:rPr>
          <w:color w:val="231F20"/>
        </w:rPr>
        <w:t>possible</w:t>
      </w:r>
      <w:r>
        <w:rPr>
          <w:color w:val="231F20"/>
          <w:spacing w:val="-5"/>
        </w:rPr>
        <w:t> </w:t>
      </w:r>
      <w:r>
        <w:rPr>
          <w:color w:val="231F20"/>
        </w:rPr>
        <w:t>to</w:t>
      </w:r>
      <w:r>
        <w:rPr>
          <w:color w:val="231F20"/>
          <w:spacing w:val="22"/>
          <w:w w:val="99"/>
        </w:rPr>
        <w:t> </w:t>
      </w:r>
      <w:r>
        <w:rPr>
          <w:color w:val="231F20"/>
        </w:rPr>
        <w:t>determine</w:t>
      </w:r>
      <w:r>
        <w:rPr>
          <w:color w:val="231F20"/>
          <w:spacing w:val="-5"/>
        </w:rPr>
        <w:t> </w:t>
      </w:r>
      <w:r>
        <w:rPr>
          <w:color w:val="231F20"/>
        </w:rPr>
        <w:t>an</w:t>
      </w:r>
      <w:r>
        <w:rPr>
          <w:color w:val="231F20"/>
          <w:spacing w:val="-5"/>
        </w:rPr>
        <w:t> </w:t>
      </w:r>
      <w:r>
        <w:rPr>
          <w:color w:val="231F20"/>
        </w:rPr>
        <w:t>optimal</w:t>
      </w:r>
      <w:r>
        <w:rPr>
          <w:color w:val="231F20"/>
          <w:spacing w:val="-5"/>
        </w:rPr>
        <w:t> </w:t>
      </w:r>
      <w:r>
        <w:rPr>
          <w:color w:val="231F20"/>
        </w:rPr>
        <w:t>or</w:t>
      </w:r>
      <w:r>
        <w:rPr>
          <w:color w:val="231F20"/>
          <w:spacing w:val="-5"/>
        </w:rPr>
        <w:t> </w:t>
      </w:r>
      <w:r>
        <w:rPr>
          <w:color w:val="231F20"/>
          <w:spacing w:val="-1"/>
        </w:rPr>
        <w:t>standard</w:t>
      </w:r>
      <w:r>
        <w:rPr>
          <w:color w:val="231F20"/>
          <w:spacing w:val="-3"/>
        </w:rPr>
        <w:t> </w:t>
      </w:r>
      <w:r>
        <w:rPr>
          <w:color w:val="231F20"/>
        </w:rPr>
        <w:t>unit</w:t>
      </w:r>
      <w:r>
        <w:rPr>
          <w:color w:val="231F20"/>
          <w:spacing w:val="-5"/>
        </w:rPr>
        <w:t> </w:t>
      </w:r>
      <w:r>
        <w:rPr>
          <w:color w:val="231F20"/>
        </w:rPr>
        <w:t>cost</w:t>
      </w:r>
      <w:r>
        <w:rPr>
          <w:color w:val="231F20"/>
          <w:spacing w:val="22"/>
        </w:rPr>
        <w:t> </w:t>
      </w:r>
      <w:r>
        <w:rPr>
          <w:color w:val="231F20"/>
        </w:rPr>
        <w:t>of</w:t>
      </w:r>
      <w:r>
        <w:rPr>
          <w:color w:val="231F20"/>
          <w:spacing w:val="-5"/>
        </w:rPr>
        <w:t> </w:t>
      </w:r>
      <w:r>
        <w:rPr>
          <w:color w:val="231F20"/>
        </w:rPr>
        <w:t>boarding</w:t>
      </w:r>
      <w:r>
        <w:rPr>
          <w:color w:val="231F20"/>
          <w:spacing w:val="-6"/>
        </w:rPr>
        <w:t> </w:t>
      </w:r>
      <w:r>
        <w:rPr>
          <w:color w:val="231F20"/>
        </w:rPr>
        <w:t>for</w:t>
      </w:r>
      <w:r>
        <w:rPr>
          <w:color w:val="231F20"/>
          <w:spacing w:val="-4"/>
        </w:rPr>
        <w:t> </w:t>
      </w:r>
      <w:r>
        <w:rPr>
          <w:color w:val="231F20"/>
        </w:rPr>
        <w:t>Aboriginal</w:t>
      </w:r>
      <w:r>
        <w:rPr>
          <w:color w:val="231F20"/>
          <w:spacing w:val="-5"/>
        </w:rPr>
        <w:t> </w:t>
      </w:r>
      <w:r>
        <w:rPr>
          <w:color w:val="231F20"/>
        </w:rPr>
        <w:t>and</w:t>
      </w:r>
      <w:r>
        <w:rPr>
          <w:color w:val="231F20"/>
          <w:spacing w:val="-6"/>
        </w:rPr>
        <w:t> </w:t>
      </w:r>
      <w:r>
        <w:rPr>
          <w:color w:val="231F20"/>
          <w:spacing w:val="-5"/>
        </w:rPr>
        <w:t>Torres</w:t>
      </w:r>
      <w:r>
        <w:rPr>
          <w:color w:val="231F20"/>
          <w:spacing w:val="-4"/>
        </w:rPr>
        <w:t> </w:t>
      </w:r>
      <w:r>
        <w:rPr>
          <w:color w:val="231F20"/>
          <w:spacing w:val="-2"/>
        </w:rPr>
        <w:t>Strait</w:t>
      </w:r>
      <w:r>
        <w:rPr>
          <w:color w:val="231F20"/>
          <w:spacing w:val="28"/>
          <w:w w:val="99"/>
        </w:rPr>
        <w:t> </w:t>
      </w:r>
      <w:r>
        <w:rPr>
          <w:color w:val="231F20"/>
          <w:spacing w:val="-1"/>
        </w:rPr>
        <w:t>Islander</w:t>
      </w:r>
      <w:r>
        <w:rPr>
          <w:color w:val="231F20"/>
          <w:spacing w:val="-12"/>
        </w:rPr>
        <w:t> </w:t>
      </w:r>
      <w:r>
        <w:rPr>
          <w:color w:val="231F20"/>
          <w:spacing w:val="-1"/>
        </w:rPr>
        <w:t>secondary</w:t>
      </w:r>
      <w:r>
        <w:rPr>
          <w:color w:val="231F20"/>
          <w:spacing w:val="-11"/>
        </w:rPr>
        <w:t> </w:t>
      </w:r>
      <w:r>
        <w:rPr>
          <w:color w:val="231F20"/>
          <w:spacing w:val="-1"/>
        </w:rPr>
        <w:t>students.</w:t>
      </w:r>
      <w:r>
        <w:rPr/>
      </w:r>
    </w:p>
    <w:p>
      <w:pPr>
        <w:spacing w:line="240" w:lineRule="auto" w:before="9"/>
        <w:rPr>
          <w:rFonts w:ascii="Segoe UI" w:hAnsi="Segoe UI" w:cs="Segoe UI" w:eastAsia="Segoe UI"/>
          <w:sz w:val="19"/>
          <w:szCs w:val="19"/>
        </w:rPr>
      </w:pPr>
    </w:p>
    <w:p>
      <w:pPr>
        <w:pStyle w:val="Heading5"/>
        <w:spacing w:line="240" w:lineRule="auto"/>
        <w:ind w:right="0"/>
        <w:jc w:val="left"/>
        <w:rPr>
          <w:i w:val="0"/>
        </w:rPr>
      </w:pPr>
      <w:r>
        <w:rPr>
          <w:b/>
          <w:i/>
          <w:color w:val="00779B"/>
          <w:spacing w:val="-1"/>
        </w:rPr>
        <w:t>Size </w:t>
      </w:r>
      <w:r>
        <w:rPr>
          <w:b/>
          <w:i/>
          <w:color w:val="00779B"/>
          <w:spacing w:val="-3"/>
        </w:rPr>
        <w:t>of</w:t>
      </w:r>
      <w:r>
        <w:rPr>
          <w:b/>
          <w:i/>
          <w:color w:val="00779B"/>
        </w:rPr>
        <w:t> </w:t>
      </w:r>
      <w:r>
        <w:rPr>
          <w:b/>
          <w:i/>
          <w:color w:val="00779B"/>
          <w:spacing w:val="-2"/>
        </w:rPr>
        <w:t>boarding</w:t>
      </w:r>
      <w:r>
        <w:rPr>
          <w:b/>
          <w:i/>
          <w:color w:val="00779B"/>
        </w:rPr>
        <w:t> </w:t>
      </w:r>
      <w:r>
        <w:rPr>
          <w:b/>
          <w:i/>
          <w:color w:val="00779B"/>
          <w:spacing w:val="-1"/>
        </w:rPr>
        <w:t>provider</w:t>
      </w:r>
      <w:r>
        <w:rPr>
          <w:i w:val="0"/>
        </w:rPr>
      </w:r>
    </w:p>
    <w:p>
      <w:pPr>
        <w:pStyle w:val="BodyText"/>
        <w:spacing w:line="250" w:lineRule="exact" w:before="131"/>
        <w:ind w:right="140"/>
        <w:jc w:val="left"/>
      </w:pPr>
      <w:r>
        <w:rPr>
          <w:color w:val="231F20"/>
        </w:rPr>
        <w:t>The</w:t>
      </w:r>
      <w:r>
        <w:rPr>
          <w:color w:val="231F20"/>
          <w:spacing w:val="-4"/>
        </w:rPr>
        <w:t> </w:t>
      </w:r>
      <w:r>
        <w:rPr>
          <w:color w:val="231F20"/>
          <w:spacing w:val="-1"/>
        </w:rPr>
        <w:t>size</w:t>
      </w:r>
      <w:r>
        <w:rPr>
          <w:color w:val="231F20"/>
          <w:spacing w:val="-3"/>
        </w:rPr>
        <w:t> </w:t>
      </w:r>
      <w:r>
        <w:rPr>
          <w:color w:val="231F20"/>
        </w:rPr>
        <w:t>of</w:t>
      </w:r>
      <w:r>
        <w:rPr>
          <w:color w:val="231F20"/>
          <w:spacing w:val="-3"/>
        </w:rPr>
        <w:t> </w:t>
      </w:r>
      <w:r>
        <w:rPr>
          <w:color w:val="231F20"/>
        </w:rPr>
        <w:t>a</w:t>
      </w:r>
      <w:r>
        <w:rPr>
          <w:color w:val="231F20"/>
          <w:spacing w:val="-3"/>
        </w:rPr>
        <w:t> </w:t>
      </w:r>
      <w:r>
        <w:rPr>
          <w:color w:val="231F20"/>
        </w:rPr>
        <w:t>boarding</w:t>
      </w:r>
      <w:r>
        <w:rPr>
          <w:color w:val="231F20"/>
          <w:spacing w:val="-4"/>
        </w:rPr>
        <w:t> </w:t>
      </w:r>
      <w:r>
        <w:rPr>
          <w:color w:val="231F20"/>
        </w:rPr>
        <w:t>provider</w:t>
      </w:r>
      <w:r>
        <w:rPr>
          <w:color w:val="231F20"/>
          <w:spacing w:val="-5"/>
        </w:rPr>
        <w:t> </w:t>
      </w:r>
      <w:r>
        <w:rPr>
          <w:color w:val="231F20"/>
          <w:spacing w:val="-1"/>
        </w:rPr>
        <w:t>is</w:t>
      </w:r>
      <w:r>
        <w:rPr>
          <w:color w:val="231F20"/>
          <w:spacing w:val="-4"/>
        </w:rPr>
        <w:t> </w:t>
      </w:r>
      <w:r>
        <w:rPr>
          <w:color w:val="231F20"/>
        </w:rPr>
        <w:t>a</w:t>
      </w:r>
      <w:r>
        <w:rPr>
          <w:color w:val="231F20"/>
          <w:spacing w:val="-3"/>
        </w:rPr>
        <w:t> </w:t>
      </w:r>
      <w:r>
        <w:rPr>
          <w:color w:val="231F20"/>
          <w:spacing w:val="-1"/>
        </w:rPr>
        <w:t>key</w:t>
      </w:r>
      <w:r>
        <w:rPr>
          <w:color w:val="231F20"/>
          <w:spacing w:val="22"/>
          <w:w w:val="99"/>
        </w:rPr>
        <w:t> </w:t>
      </w:r>
      <w:r>
        <w:rPr>
          <w:color w:val="231F20"/>
        </w:rPr>
        <w:t>determinant</w:t>
      </w:r>
      <w:r>
        <w:rPr>
          <w:color w:val="231F20"/>
          <w:spacing w:val="-7"/>
        </w:rPr>
        <w:t> </w:t>
      </w:r>
      <w:r>
        <w:rPr>
          <w:color w:val="231F20"/>
          <w:spacing w:val="-1"/>
        </w:rPr>
        <w:t>in</w:t>
      </w:r>
      <w:r>
        <w:rPr>
          <w:color w:val="231F20"/>
          <w:spacing w:val="-5"/>
        </w:rPr>
        <w:t> </w:t>
      </w:r>
      <w:r>
        <w:rPr>
          <w:color w:val="231F20"/>
        </w:rPr>
        <w:t>the</w:t>
      </w:r>
      <w:r>
        <w:rPr>
          <w:color w:val="231F20"/>
          <w:spacing w:val="-6"/>
        </w:rPr>
        <w:t> </w:t>
      </w:r>
      <w:r>
        <w:rPr>
          <w:color w:val="231F20"/>
        </w:rPr>
        <w:t>average</w:t>
      </w:r>
      <w:r>
        <w:rPr>
          <w:color w:val="231F20"/>
          <w:spacing w:val="-6"/>
        </w:rPr>
        <w:t> </w:t>
      </w:r>
      <w:r>
        <w:rPr>
          <w:color w:val="231F20"/>
        </w:rPr>
        <w:t>cost</w:t>
      </w:r>
      <w:r>
        <w:rPr>
          <w:color w:val="231F20"/>
          <w:spacing w:val="-6"/>
        </w:rPr>
        <w:t> </w:t>
      </w:r>
      <w:r>
        <w:rPr>
          <w:color w:val="231F20"/>
        </w:rPr>
        <w:t>of</w:t>
      </w:r>
      <w:r>
        <w:rPr>
          <w:color w:val="231F20"/>
          <w:spacing w:val="-5"/>
        </w:rPr>
        <w:t> </w:t>
      </w:r>
      <w:r>
        <w:rPr>
          <w:color w:val="231F20"/>
        </w:rPr>
        <w:t>boarding</w:t>
      </w:r>
      <w:r>
        <w:rPr>
          <w:color w:val="231F20"/>
          <w:spacing w:val="21"/>
          <w:w w:val="99"/>
        </w:rPr>
        <w:t> </w:t>
      </w:r>
      <w:r>
        <w:rPr>
          <w:rFonts w:ascii="Segoe UI"/>
          <w:color w:val="231F20"/>
        </w:rPr>
        <w:t>per boarder. The data identifies clear</w:t>
      </w:r>
      <w:r>
        <w:rPr>
          <w:rFonts w:ascii="Segoe UI"/>
          <w:color w:val="231F20"/>
        </w:rPr>
        <w:t> </w:t>
      </w:r>
      <w:r>
        <w:rPr>
          <w:color w:val="231F20"/>
        </w:rPr>
        <w:t>economies</w:t>
      </w:r>
      <w:r>
        <w:rPr>
          <w:color w:val="231F20"/>
          <w:spacing w:val="-4"/>
        </w:rPr>
        <w:t> </w:t>
      </w:r>
      <w:r>
        <w:rPr>
          <w:color w:val="231F20"/>
        </w:rPr>
        <w:t>of</w:t>
      </w:r>
      <w:r>
        <w:rPr>
          <w:color w:val="231F20"/>
          <w:spacing w:val="-4"/>
        </w:rPr>
        <w:t> </w:t>
      </w:r>
      <w:r>
        <w:rPr>
          <w:color w:val="231F20"/>
          <w:spacing w:val="-1"/>
        </w:rPr>
        <w:t>scale</w:t>
      </w:r>
      <w:r>
        <w:rPr>
          <w:color w:val="231F20"/>
          <w:spacing w:val="-3"/>
        </w:rPr>
        <w:t> </w:t>
      </w:r>
      <w:r>
        <w:rPr>
          <w:color w:val="231F20"/>
          <w:spacing w:val="-1"/>
        </w:rPr>
        <w:t>in</w:t>
      </w:r>
      <w:r>
        <w:rPr>
          <w:color w:val="231F20"/>
          <w:spacing w:val="-3"/>
        </w:rPr>
        <w:t> </w:t>
      </w:r>
      <w:r>
        <w:rPr>
          <w:color w:val="231F20"/>
        </w:rPr>
        <w:t>the</w:t>
      </w:r>
      <w:r>
        <w:rPr>
          <w:color w:val="231F20"/>
          <w:spacing w:val="-4"/>
        </w:rPr>
        <w:t> </w:t>
      </w:r>
      <w:r>
        <w:rPr>
          <w:color w:val="231F20"/>
        </w:rPr>
        <w:t>delivery</w:t>
      </w:r>
      <w:r>
        <w:rPr>
          <w:color w:val="231F20"/>
          <w:spacing w:val="-4"/>
        </w:rPr>
        <w:t> </w:t>
      </w:r>
      <w:r>
        <w:rPr>
          <w:color w:val="231F20"/>
        </w:rPr>
        <w:t>of</w:t>
      </w:r>
      <w:r>
        <w:rPr>
          <w:color w:val="231F20"/>
          <w:spacing w:val="-3"/>
        </w:rPr>
        <w:t> </w:t>
      </w:r>
      <w:r>
        <w:rPr>
          <w:color w:val="231F20"/>
        </w:rPr>
        <w:t>boarding</w:t>
      </w:r>
      <w:r>
        <w:rPr>
          <w:color w:val="231F20"/>
          <w:spacing w:val="22"/>
          <w:w w:val="99"/>
        </w:rPr>
        <w:t> </w:t>
      </w:r>
      <w:r>
        <w:rPr>
          <w:color w:val="231F20"/>
          <w:spacing w:val="-1"/>
        </w:rPr>
        <w:t>services</w:t>
      </w:r>
      <w:r>
        <w:rPr>
          <w:color w:val="231F20"/>
          <w:spacing w:val="-5"/>
        </w:rPr>
        <w:t> </w:t>
      </w:r>
      <w:r>
        <w:rPr>
          <w:color w:val="231F20"/>
        </w:rPr>
        <w:t>for</w:t>
      </w:r>
      <w:r>
        <w:rPr>
          <w:color w:val="231F20"/>
          <w:spacing w:val="-4"/>
        </w:rPr>
        <w:t> </w:t>
      </w:r>
      <w:r>
        <w:rPr>
          <w:color w:val="231F20"/>
        </w:rPr>
        <w:t>Aboriginal</w:t>
      </w:r>
      <w:r>
        <w:rPr>
          <w:color w:val="231F20"/>
          <w:spacing w:val="-4"/>
        </w:rPr>
        <w:t> </w:t>
      </w:r>
      <w:r>
        <w:rPr>
          <w:color w:val="231F20"/>
        </w:rPr>
        <w:t>and</w:t>
      </w:r>
      <w:r>
        <w:rPr>
          <w:color w:val="231F20"/>
          <w:spacing w:val="-5"/>
        </w:rPr>
        <w:t> 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20"/>
          <w:w w:val="99"/>
        </w:rPr>
        <w:t> </w:t>
      </w:r>
      <w:r>
        <w:rPr>
          <w:color w:val="231F20"/>
          <w:spacing w:val="-1"/>
        </w:rPr>
        <w:t>students.</w:t>
      </w:r>
      <w:r>
        <w:rPr/>
      </w:r>
    </w:p>
    <w:p>
      <w:pPr>
        <w:pStyle w:val="BodyText"/>
        <w:spacing w:line="250" w:lineRule="exact" w:before="113"/>
        <w:ind w:right="140"/>
        <w:jc w:val="left"/>
      </w:pPr>
      <w:r>
        <w:rPr>
          <w:color w:val="231F20"/>
        </w:rPr>
        <w:t>The</w:t>
      </w:r>
      <w:r>
        <w:rPr>
          <w:color w:val="231F20"/>
          <w:spacing w:val="-4"/>
        </w:rPr>
        <w:t> </w:t>
      </w:r>
      <w:r>
        <w:rPr>
          <w:color w:val="231F20"/>
        </w:rPr>
        <w:t>data</w:t>
      </w:r>
      <w:r>
        <w:rPr>
          <w:color w:val="231F20"/>
          <w:spacing w:val="-4"/>
        </w:rPr>
        <w:t> </w:t>
      </w:r>
      <w:r>
        <w:rPr>
          <w:color w:val="231F20"/>
          <w:spacing w:val="-1"/>
        </w:rPr>
        <w:t>suggests</w:t>
      </w:r>
      <w:r>
        <w:rPr>
          <w:color w:val="231F20"/>
          <w:spacing w:val="-3"/>
        </w:rPr>
        <w:t> </w:t>
      </w:r>
      <w:r>
        <w:rPr>
          <w:color w:val="231F20"/>
        </w:rPr>
        <w:t>that</w:t>
      </w:r>
      <w:r>
        <w:rPr>
          <w:color w:val="231F20"/>
          <w:spacing w:val="-4"/>
        </w:rPr>
        <w:t> </w:t>
      </w:r>
      <w:r>
        <w:rPr>
          <w:color w:val="231F20"/>
        </w:rPr>
        <w:t>the</w:t>
      </w:r>
      <w:r>
        <w:rPr>
          <w:color w:val="231F20"/>
          <w:spacing w:val="-4"/>
        </w:rPr>
        <w:t> </w:t>
      </w:r>
      <w:r>
        <w:rPr>
          <w:color w:val="231F20"/>
          <w:spacing w:val="-1"/>
        </w:rPr>
        <w:t>size</w:t>
      </w:r>
      <w:r>
        <w:rPr>
          <w:color w:val="231F20"/>
          <w:spacing w:val="-3"/>
        </w:rPr>
        <w:t> </w:t>
      </w:r>
      <w:r>
        <w:rPr>
          <w:color w:val="231F20"/>
        </w:rPr>
        <w:t>of</w:t>
      </w:r>
      <w:r>
        <w:rPr>
          <w:color w:val="231F20"/>
          <w:spacing w:val="-3"/>
        </w:rPr>
        <w:t> </w:t>
      </w:r>
      <w:r>
        <w:rPr>
          <w:color w:val="231F20"/>
        </w:rPr>
        <w:t>a</w:t>
      </w:r>
      <w:r>
        <w:rPr>
          <w:color w:val="231F20"/>
          <w:spacing w:val="-3"/>
        </w:rPr>
        <w:t> </w:t>
      </w:r>
      <w:r>
        <w:rPr>
          <w:color w:val="231F20"/>
        </w:rPr>
        <w:t>boarding</w:t>
      </w:r>
      <w:r>
        <w:rPr>
          <w:color w:val="231F20"/>
          <w:spacing w:val="23"/>
          <w:w w:val="99"/>
        </w:rPr>
        <w:t> </w:t>
      </w:r>
      <w:r>
        <w:rPr>
          <w:color w:val="231F20"/>
        </w:rPr>
        <w:t>provider</w:t>
      </w:r>
      <w:r>
        <w:rPr>
          <w:color w:val="231F20"/>
          <w:spacing w:val="-7"/>
        </w:rPr>
        <w:t> </w:t>
      </w:r>
      <w:r>
        <w:rPr>
          <w:color w:val="231F20"/>
          <w:spacing w:val="-1"/>
        </w:rPr>
        <w:t>is</w:t>
      </w:r>
      <w:r>
        <w:rPr>
          <w:color w:val="231F20"/>
          <w:spacing w:val="-6"/>
        </w:rPr>
        <w:t> </w:t>
      </w:r>
      <w:r>
        <w:rPr>
          <w:color w:val="231F20"/>
        </w:rPr>
        <w:t>a</w:t>
      </w:r>
      <w:r>
        <w:rPr>
          <w:color w:val="231F20"/>
          <w:spacing w:val="-5"/>
        </w:rPr>
        <w:t> </w:t>
      </w:r>
      <w:r>
        <w:rPr>
          <w:color w:val="231F20"/>
        </w:rPr>
        <w:t>determinant</w:t>
      </w:r>
      <w:r>
        <w:rPr>
          <w:color w:val="231F20"/>
          <w:spacing w:val="-6"/>
        </w:rPr>
        <w:t> </w:t>
      </w:r>
      <w:r>
        <w:rPr>
          <w:color w:val="231F20"/>
        </w:rPr>
        <w:t>of</w:t>
      </w:r>
      <w:r>
        <w:rPr>
          <w:color w:val="231F20"/>
          <w:spacing w:val="-5"/>
        </w:rPr>
        <w:t> </w:t>
      </w:r>
      <w:r>
        <w:rPr>
          <w:color w:val="231F20"/>
        </w:rPr>
        <w:t>the</w:t>
      </w:r>
      <w:r>
        <w:rPr>
          <w:color w:val="231F20"/>
          <w:spacing w:val="-6"/>
        </w:rPr>
        <w:t> </w:t>
      </w:r>
      <w:r>
        <w:rPr>
          <w:color w:val="231F20"/>
        </w:rPr>
        <w:t>average</w:t>
      </w:r>
      <w:r>
        <w:rPr/>
      </w:r>
    </w:p>
    <w:p>
      <w:pPr>
        <w:pStyle w:val="BodyText"/>
        <w:spacing w:line="250" w:lineRule="exact"/>
        <w:ind w:right="357"/>
        <w:jc w:val="left"/>
      </w:pPr>
      <w:r>
        <w:rPr>
          <w:color w:val="231F20"/>
        </w:rPr>
        <w:t>cost</w:t>
      </w:r>
      <w:r>
        <w:rPr>
          <w:color w:val="231F20"/>
          <w:spacing w:val="-5"/>
        </w:rPr>
        <w:t> </w:t>
      </w:r>
      <w:r>
        <w:rPr>
          <w:color w:val="231F20"/>
        </w:rPr>
        <w:t>of</w:t>
      </w:r>
      <w:r>
        <w:rPr>
          <w:color w:val="231F20"/>
          <w:spacing w:val="-5"/>
        </w:rPr>
        <w:t> </w:t>
      </w:r>
      <w:r>
        <w:rPr>
          <w:color w:val="231F20"/>
        </w:rPr>
        <w:t>boarding</w:t>
      </w:r>
      <w:r>
        <w:rPr>
          <w:color w:val="231F20"/>
          <w:spacing w:val="-5"/>
        </w:rPr>
        <w:t> </w:t>
      </w:r>
      <w:r>
        <w:rPr>
          <w:color w:val="231F20"/>
        </w:rPr>
        <w:t>for</w:t>
      </w:r>
      <w:r>
        <w:rPr>
          <w:color w:val="231F20"/>
          <w:spacing w:val="-4"/>
        </w:rPr>
        <w:t> </w:t>
      </w:r>
      <w:r>
        <w:rPr>
          <w:color w:val="231F20"/>
        </w:rPr>
        <w:t>Aboriginal</w:t>
      </w:r>
      <w:r>
        <w:rPr>
          <w:color w:val="231F20"/>
          <w:spacing w:val="-4"/>
        </w:rPr>
        <w:t> </w:t>
      </w:r>
      <w:r>
        <w:rPr>
          <w:color w:val="231F20"/>
        </w:rPr>
        <w:t>and</w:t>
      </w:r>
      <w:r>
        <w:rPr>
          <w:color w:val="231F20"/>
          <w:spacing w:val="-5"/>
        </w:rPr>
        <w:t> Torres</w:t>
      </w:r>
      <w:r>
        <w:rPr>
          <w:color w:val="231F20"/>
          <w:spacing w:val="23"/>
          <w:w w:val="99"/>
        </w:rPr>
        <w:t> </w:t>
      </w:r>
      <w:r>
        <w:rPr>
          <w:color w:val="231F20"/>
          <w:spacing w:val="-2"/>
        </w:rPr>
        <w:t>Strait</w:t>
      </w:r>
      <w:r>
        <w:rPr>
          <w:color w:val="231F20"/>
          <w:spacing w:val="-7"/>
        </w:rPr>
        <w:t> </w:t>
      </w:r>
      <w:r>
        <w:rPr>
          <w:color w:val="231F20"/>
          <w:spacing w:val="-1"/>
        </w:rPr>
        <w:t>Islander</w:t>
      </w:r>
      <w:r>
        <w:rPr>
          <w:color w:val="231F20"/>
          <w:spacing w:val="-6"/>
        </w:rPr>
        <w:t> </w:t>
      </w:r>
      <w:r>
        <w:rPr>
          <w:color w:val="231F20"/>
          <w:spacing w:val="-1"/>
        </w:rPr>
        <w:t>students.</w:t>
      </w:r>
      <w:r>
        <w:rPr>
          <w:color w:val="231F20"/>
          <w:spacing w:val="-6"/>
        </w:rPr>
        <w:t> </w:t>
      </w:r>
      <w:r>
        <w:rPr>
          <w:color w:val="231F20"/>
        </w:rPr>
        <w:t>The</w:t>
      </w:r>
      <w:r>
        <w:rPr>
          <w:color w:val="231F20"/>
          <w:spacing w:val="-6"/>
        </w:rPr>
        <w:t> </w:t>
      </w:r>
      <w:r>
        <w:rPr>
          <w:color w:val="231F20"/>
        </w:rPr>
        <w:t>three</w:t>
      </w:r>
      <w:r>
        <w:rPr>
          <w:color w:val="231F20"/>
          <w:spacing w:val="-6"/>
        </w:rPr>
        <w:t> </w:t>
      </w:r>
      <w:r>
        <w:rPr>
          <w:color w:val="231F20"/>
        </w:rPr>
        <w:t>year</w:t>
      </w:r>
      <w:r>
        <w:rPr>
          <w:color w:val="231F20"/>
          <w:spacing w:val="28"/>
          <w:w w:val="99"/>
        </w:rPr>
        <w:t> </w:t>
      </w:r>
      <w:r>
        <w:rPr>
          <w:color w:val="231F20"/>
        </w:rPr>
        <w:t>average</w:t>
      </w:r>
      <w:r>
        <w:rPr>
          <w:color w:val="231F20"/>
          <w:spacing w:val="-6"/>
        </w:rPr>
        <w:t> </w:t>
      </w:r>
      <w:r>
        <w:rPr>
          <w:color w:val="231F20"/>
        </w:rPr>
        <w:t>cost</w:t>
      </w:r>
      <w:r>
        <w:rPr>
          <w:color w:val="231F20"/>
          <w:spacing w:val="-6"/>
        </w:rPr>
        <w:t> </w:t>
      </w:r>
      <w:r>
        <w:rPr>
          <w:color w:val="231F20"/>
        </w:rPr>
        <w:t>of</w:t>
      </w:r>
      <w:r>
        <w:rPr>
          <w:color w:val="231F20"/>
          <w:spacing w:val="-4"/>
        </w:rPr>
        <w:t> </w:t>
      </w:r>
      <w:r>
        <w:rPr>
          <w:color w:val="231F20"/>
        </w:rPr>
        <w:t>boarding</w:t>
      </w:r>
      <w:r>
        <w:rPr>
          <w:color w:val="231F20"/>
          <w:spacing w:val="-6"/>
        </w:rPr>
        <w:t> </w:t>
      </w:r>
      <w:r>
        <w:rPr>
          <w:color w:val="231F20"/>
        </w:rPr>
        <w:t>per</w:t>
      </w:r>
      <w:r>
        <w:rPr>
          <w:color w:val="231F20"/>
          <w:spacing w:val="-4"/>
        </w:rPr>
        <w:t> </w:t>
      </w:r>
      <w:r>
        <w:rPr>
          <w:color w:val="231F20"/>
        </w:rPr>
        <w:t>boarder</w:t>
      </w:r>
      <w:r>
        <w:rPr>
          <w:color w:val="231F20"/>
          <w:spacing w:val="-5"/>
        </w:rPr>
        <w:t> </w:t>
      </w:r>
      <w:r>
        <w:rPr>
          <w:color w:val="231F20"/>
        </w:rPr>
        <w:t>at</w:t>
      </w:r>
      <w:r>
        <w:rPr>
          <w:color w:val="231F20"/>
          <w:spacing w:val="-5"/>
        </w:rPr>
        <w:t> </w:t>
      </w:r>
      <w:r>
        <w:rPr>
          <w:color w:val="231F20"/>
        </w:rPr>
        <w:t>very</w:t>
      </w:r>
      <w:r>
        <w:rPr>
          <w:color w:val="231F20"/>
          <w:w w:val="99"/>
        </w:rPr>
        <w:t> </w:t>
      </w:r>
      <w:r>
        <w:rPr>
          <w:color w:val="231F20"/>
          <w:spacing w:val="-1"/>
        </w:rPr>
        <w:t>small</w:t>
      </w:r>
      <w:r>
        <w:rPr>
          <w:color w:val="231F20"/>
          <w:spacing w:val="-5"/>
        </w:rPr>
        <w:t> </w:t>
      </w:r>
      <w:r>
        <w:rPr>
          <w:color w:val="231F20"/>
        </w:rPr>
        <w:t>boarding</w:t>
      </w:r>
      <w:r>
        <w:rPr>
          <w:color w:val="231F20"/>
          <w:spacing w:val="-5"/>
        </w:rPr>
        <w:t> </w:t>
      </w:r>
      <w:r>
        <w:rPr>
          <w:color w:val="231F20"/>
        </w:rPr>
        <w:t>providers</w:t>
      </w:r>
      <w:r>
        <w:rPr>
          <w:color w:val="231F20"/>
          <w:spacing w:val="-5"/>
        </w:rPr>
        <w:t> </w:t>
      </w:r>
      <w:r>
        <w:rPr>
          <w:color w:val="231F20"/>
        </w:rPr>
        <w:t>(less</w:t>
      </w:r>
      <w:r>
        <w:rPr>
          <w:color w:val="231F20"/>
          <w:spacing w:val="-5"/>
        </w:rPr>
        <w:t> </w:t>
      </w:r>
      <w:r>
        <w:rPr>
          <w:color w:val="231F20"/>
        </w:rPr>
        <w:t>than</w:t>
      </w:r>
      <w:r>
        <w:rPr>
          <w:color w:val="231F20"/>
          <w:spacing w:val="-5"/>
        </w:rPr>
        <w:t> </w:t>
      </w:r>
      <w:r>
        <w:rPr>
          <w:color w:val="231F20"/>
          <w:spacing w:val="-1"/>
        </w:rPr>
        <w:t>50</w:t>
      </w:r>
      <w:r>
        <w:rPr>
          <w:color w:val="231F20"/>
          <w:spacing w:val="-4"/>
        </w:rPr>
        <w:t> </w:t>
      </w:r>
      <w:r>
        <w:rPr>
          <w:color w:val="231F20"/>
        </w:rPr>
        <w:t>total</w:t>
      </w:r>
      <w:r>
        <w:rPr>
          <w:color w:val="231F20"/>
          <w:spacing w:val="22"/>
          <w:w w:val="99"/>
        </w:rPr>
        <w:t> </w:t>
      </w:r>
      <w:r>
        <w:rPr>
          <w:color w:val="231F20"/>
          <w:spacing w:val="-1"/>
        </w:rPr>
        <w:t>students)</w:t>
      </w:r>
      <w:r>
        <w:rPr>
          <w:color w:val="231F20"/>
          <w:spacing w:val="-7"/>
        </w:rPr>
        <w:t> </w:t>
      </w:r>
      <w:r>
        <w:rPr>
          <w:color w:val="231F20"/>
        </w:rPr>
        <w:t>and</w:t>
      </w:r>
      <w:r>
        <w:rPr>
          <w:color w:val="231F20"/>
          <w:spacing w:val="-7"/>
        </w:rPr>
        <w:t> </w:t>
      </w:r>
      <w:r>
        <w:rPr>
          <w:color w:val="231F20"/>
          <w:spacing w:val="-1"/>
        </w:rPr>
        <w:t>small</w:t>
      </w:r>
      <w:r>
        <w:rPr>
          <w:color w:val="231F20"/>
          <w:spacing w:val="-7"/>
        </w:rPr>
        <w:t> </w:t>
      </w:r>
      <w:r>
        <w:rPr>
          <w:color w:val="231F20"/>
        </w:rPr>
        <w:t>boarding</w:t>
      </w:r>
      <w:r>
        <w:rPr>
          <w:color w:val="231F20"/>
          <w:spacing w:val="-8"/>
        </w:rPr>
        <w:t> </w:t>
      </w:r>
      <w:r>
        <w:rPr>
          <w:color w:val="231F20"/>
        </w:rPr>
        <w:t>providers</w:t>
      </w:r>
      <w:r>
        <w:rPr/>
      </w:r>
    </w:p>
    <w:p>
      <w:pPr>
        <w:pStyle w:val="BodyText"/>
        <w:spacing w:line="242" w:lineRule="exact"/>
        <w:ind w:right="0"/>
        <w:jc w:val="left"/>
      </w:pPr>
      <w:r>
        <w:rPr>
          <w:color w:val="231F20"/>
        </w:rPr>
        <w:t>(50</w:t>
      </w:r>
      <w:r>
        <w:rPr>
          <w:color w:val="231F20"/>
          <w:spacing w:val="-5"/>
        </w:rPr>
        <w:t> </w:t>
      </w:r>
      <w:r>
        <w:rPr>
          <w:color w:val="231F20"/>
        </w:rPr>
        <w:t>–</w:t>
      </w:r>
      <w:r>
        <w:rPr>
          <w:color w:val="231F20"/>
          <w:spacing w:val="-3"/>
        </w:rPr>
        <w:t> </w:t>
      </w:r>
      <w:r>
        <w:rPr>
          <w:color w:val="231F20"/>
          <w:spacing w:val="-1"/>
        </w:rPr>
        <w:t>225</w:t>
      </w:r>
      <w:r>
        <w:rPr>
          <w:color w:val="231F20"/>
          <w:spacing w:val="-3"/>
        </w:rPr>
        <w:t> </w:t>
      </w:r>
      <w:r>
        <w:rPr>
          <w:color w:val="231F20"/>
        </w:rPr>
        <w:t>total</w:t>
      </w:r>
      <w:r>
        <w:rPr>
          <w:color w:val="231F20"/>
          <w:spacing w:val="-4"/>
        </w:rPr>
        <w:t> </w:t>
      </w:r>
      <w:r>
        <w:rPr>
          <w:color w:val="231F20"/>
          <w:spacing w:val="-1"/>
        </w:rPr>
        <w:t>students)</w:t>
      </w:r>
      <w:r>
        <w:rPr>
          <w:color w:val="231F20"/>
          <w:spacing w:val="-2"/>
        </w:rPr>
        <w:t> </w:t>
      </w:r>
      <w:r>
        <w:rPr>
          <w:color w:val="231F20"/>
        </w:rPr>
        <w:t>was</w:t>
      </w:r>
      <w:r>
        <w:rPr>
          <w:color w:val="231F20"/>
          <w:spacing w:val="-4"/>
        </w:rPr>
        <w:t> </w:t>
      </w:r>
      <w:r>
        <w:rPr>
          <w:color w:val="231F20"/>
          <w:spacing w:val="-1"/>
        </w:rPr>
        <w:t>$30,956</w:t>
      </w:r>
      <w:r>
        <w:rPr>
          <w:color w:val="231F20"/>
          <w:spacing w:val="-3"/>
        </w:rPr>
        <w:t> </w:t>
      </w:r>
      <w:r>
        <w:rPr>
          <w:color w:val="231F20"/>
        </w:rPr>
        <w:t>and</w:t>
      </w:r>
      <w:r>
        <w:rPr/>
      </w:r>
    </w:p>
    <w:p>
      <w:pPr>
        <w:pStyle w:val="BodyText"/>
        <w:spacing w:line="250" w:lineRule="exact" w:before="8"/>
        <w:ind w:right="393"/>
        <w:jc w:val="left"/>
      </w:pPr>
      <w:r>
        <w:rPr>
          <w:color w:val="231F20"/>
          <w:spacing w:val="-1"/>
        </w:rPr>
        <w:t>$22,136</w:t>
      </w:r>
      <w:r>
        <w:rPr>
          <w:color w:val="231F20"/>
          <w:spacing w:val="-6"/>
        </w:rPr>
        <w:t> </w:t>
      </w:r>
      <w:r>
        <w:rPr>
          <w:color w:val="231F20"/>
        </w:rPr>
        <w:t>respectively,</w:t>
      </w:r>
      <w:r>
        <w:rPr>
          <w:color w:val="231F20"/>
          <w:spacing w:val="-7"/>
        </w:rPr>
        <w:t> </w:t>
      </w:r>
      <w:r>
        <w:rPr>
          <w:color w:val="231F20"/>
        </w:rPr>
        <w:t>compared</w:t>
      </w:r>
      <w:r>
        <w:rPr>
          <w:color w:val="231F20"/>
          <w:spacing w:val="-7"/>
        </w:rPr>
        <w:t> </w:t>
      </w:r>
      <w:r>
        <w:rPr>
          <w:color w:val="231F20"/>
        </w:rPr>
        <w:t>to</w:t>
      </w:r>
      <w:r>
        <w:rPr>
          <w:color w:val="231F20"/>
          <w:spacing w:val="-5"/>
        </w:rPr>
        <w:t> </w:t>
      </w:r>
      <w:r>
        <w:rPr>
          <w:color w:val="231F20"/>
          <w:spacing w:val="-1"/>
        </w:rPr>
        <w:t>$16,845</w:t>
      </w:r>
      <w:r>
        <w:rPr>
          <w:color w:val="231F20"/>
          <w:spacing w:val="21"/>
        </w:rPr>
        <w:t> </w:t>
      </w:r>
      <w:r>
        <w:rPr>
          <w:color w:val="231F20"/>
        </w:rPr>
        <w:t>for</w:t>
      </w:r>
      <w:r>
        <w:rPr>
          <w:color w:val="231F20"/>
          <w:spacing w:val="-6"/>
        </w:rPr>
        <w:t> </w:t>
      </w:r>
      <w:r>
        <w:rPr>
          <w:color w:val="231F20"/>
          <w:spacing w:val="-1"/>
        </w:rPr>
        <w:t>large</w:t>
      </w:r>
      <w:r>
        <w:rPr>
          <w:color w:val="231F20"/>
          <w:spacing w:val="-5"/>
        </w:rPr>
        <w:t> </w:t>
      </w:r>
      <w:r>
        <w:rPr>
          <w:color w:val="231F20"/>
        </w:rPr>
        <w:t>boarding</w:t>
      </w:r>
      <w:r>
        <w:rPr>
          <w:color w:val="231F20"/>
          <w:spacing w:val="-6"/>
        </w:rPr>
        <w:t> </w:t>
      </w:r>
      <w:r>
        <w:rPr>
          <w:color w:val="231F20"/>
        </w:rPr>
        <w:t>providers</w:t>
      </w:r>
      <w:r>
        <w:rPr>
          <w:color w:val="231F20"/>
          <w:spacing w:val="-7"/>
        </w:rPr>
        <w:t> </w:t>
      </w:r>
      <w:r>
        <w:rPr>
          <w:color w:val="231F20"/>
        </w:rPr>
        <w:t>(over</w:t>
      </w:r>
      <w:r>
        <w:rPr>
          <w:color w:val="231F20"/>
          <w:spacing w:val="-6"/>
        </w:rPr>
        <w:t> </w:t>
      </w:r>
      <w:r>
        <w:rPr>
          <w:color w:val="231F20"/>
          <w:spacing w:val="-1"/>
        </w:rPr>
        <w:t>600</w:t>
      </w:r>
      <w:r>
        <w:rPr>
          <w:color w:val="231F20"/>
          <w:spacing w:val="-5"/>
        </w:rPr>
        <w:t> </w:t>
      </w:r>
      <w:r>
        <w:rPr>
          <w:color w:val="231F20"/>
        </w:rPr>
        <w:t>total</w:t>
      </w:r>
      <w:r>
        <w:rPr>
          <w:color w:val="231F20"/>
          <w:spacing w:val="23"/>
          <w:w w:val="99"/>
        </w:rPr>
        <w:t> </w:t>
      </w:r>
      <w:r>
        <w:rPr>
          <w:color w:val="231F20"/>
          <w:spacing w:val="-1"/>
        </w:rPr>
        <w:t>students).</w:t>
      </w:r>
      <w:r>
        <w:rPr/>
      </w:r>
    </w:p>
    <w:p>
      <w:pPr>
        <w:pStyle w:val="BodyText"/>
        <w:spacing w:line="250" w:lineRule="exact" w:before="113"/>
        <w:ind w:right="375"/>
        <w:jc w:val="left"/>
      </w:pPr>
      <w:r>
        <w:rPr>
          <w:color w:val="231F20"/>
        </w:rPr>
        <w:t>Of</w:t>
      </w:r>
      <w:r>
        <w:rPr>
          <w:color w:val="231F20"/>
          <w:spacing w:val="-5"/>
        </w:rPr>
        <w:t> </w:t>
      </w:r>
      <w:r>
        <w:rPr>
          <w:color w:val="231F20"/>
        </w:rPr>
        <w:t>the</w:t>
      </w:r>
      <w:r>
        <w:rPr>
          <w:color w:val="231F20"/>
          <w:spacing w:val="-5"/>
        </w:rPr>
        <w:t> </w:t>
      </w:r>
      <w:r>
        <w:rPr>
          <w:color w:val="231F20"/>
          <w:spacing w:val="-1"/>
        </w:rPr>
        <w:t>23</w:t>
      </w:r>
      <w:r>
        <w:rPr>
          <w:color w:val="231F20"/>
          <w:spacing w:val="-4"/>
        </w:rPr>
        <w:t> </w:t>
      </w:r>
      <w:r>
        <w:rPr>
          <w:color w:val="231F20"/>
          <w:spacing w:val="-1"/>
        </w:rPr>
        <w:t>mainstream</w:t>
      </w:r>
      <w:r>
        <w:rPr>
          <w:color w:val="231F20"/>
          <w:spacing w:val="-4"/>
        </w:rPr>
        <w:t> </w:t>
      </w:r>
      <w:r>
        <w:rPr>
          <w:color w:val="231F20"/>
        </w:rPr>
        <w:t>boarding</w:t>
      </w:r>
      <w:r>
        <w:rPr>
          <w:color w:val="231F20"/>
          <w:spacing w:val="-5"/>
        </w:rPr>
        <w:t> </w:t>
      </w:r>
      <w:r>
        <w:rPr>
          <w:color w:val="231F20"/>
        </w:rPr>
        <w:t>providers</w:t>
      </w:r>
      <w:r>
        <w:rPr>
          <w:color w:val="231F20"/>
          <w:spacing w:val="23"/>
          <w:w w:val="99"/>
        </w:rPr>
        <w:t> </w:t>
      </w:r>
      <w:r>
        <w:rPr>
          <w:rFonts w:ascii="Segoe UI"/>
          <w:color w:val="231F20"/>
        </w:rPr>
        <w:t>analysed, five were classified as medium and</w:t>
      </w:r>
      <w:r>
        <w:rPr>
          <w:rFonts w:ascii="Segoe UI"/>
          <w:color w:val="231F20"/>
        </w:rPr>
        <w:t> </w:t>
      </w:r>
      <w:r>
        <w:rPr>
          <w:color w:val="231F20"/>
          <w:spacing w:val="-1"/>
        </w:rPr>
        <w:t>18</w:t>
      </w:r>
      <w:r>
        <w:rPr>
          <w:color w:val="231F20"/>
          <w:spacing w:val="-4"/>
        </w:rPr>
        <w:t> </w:t>
      </w:r>
      <w:r>
        <w:rPr>
          <w:color w:val="231F20"/>
        </w:rPr>
        <w:t>as</w:t>
      </w:r>
      <w:r>
        <w:rPr>
          <w:color w:val="231F20"/>
          <w:spacing w:val="-5"/>
        </w:rPr>
        <w:t> </w:t>
      </w:r>
      <w:r>
        <w:rPr>
          <w:color w:val="231F20"/>
          <w:spacing w:val="-1"/>
        </w:rPr>
        <w:t>large.</w:t>
      </w:r>
      <w:r>
        <w:rPr>
          <w:color w:val="231F20"/>
          <w:spacing w:val="-4"/>
        </w:rPr>
        <w:t> </w:t>
      </w:r>
      <w:r>
        <w:rPr>
          <w:color w:val="231F20"/>
        </w:rPr>
        <w:t>The</w:t>
      </w:r>
      <w:r>
        <w:rPr>
          <w:color w:val="231F20"/>
          <w:spacing w:val="-4"/>
        </w:rPr>
        <w:t> </w:t>
      </w:r>
      <w:r>
        <w:rPr>
          <w:color w:val="231F20"/>
        </w:rPr>
        <w:t>average</w:t>
      </w:r>
      <w:r>
        <w:rPr>
          <w:color w:val="231F20"/>
          <w:spacing w:val="-5"/>
        </w:rPr>
        <w:t> </w:t>
      </w:r>
      <w:r>
        <w:rPr>
          <w:color w:val="231F20"/>
        </w:rPr>
        <w:t>three-year</w:t>
      </w:r>
      <w:r>
        <w:rPr>
          <w:color w:val="231F20"/>
          <w:spacing w:val="-5"/>
        </w:rPr>
        <w:t> </w:t>
      </w:r>
      <w:r>
        <w:rPr>
          <w:color w:val="231F20"/>
        </w:rPr>
        <w:t>cost</w:t>
      </w:r>
      <w:r>
        <w:rPr>
          <w:color w:val="231F20"/>
          <w:spacing w:val="-5"/>
        </w:rPr>
        <w:t> </w:t>
      </w:r>
      <w:r>
        <w:rPr>
          <w:color w:val="231F20"/>
        </w:rPr>
        <w:t>per</w:t>
      </w:r>
      <w:r>
        <w:rPr>
          <w:color w:val="231F20"/>
          <w:spacing w:val="23"/>
          <w:w w:val="99"/>
        </w:rPr>
        <w:t> </w:t>
      </w:r>
      <w:r>
        <w:rPr>
          <w:color w:val="231F20"/>
        </w:rPr>
        <w:t>boarder</w:t>
      </w:r>
      <w:r>
        <w:rPr>
          <w:color w:val="231F20"/>
          <w:spacing w:val="-5"/>
        </w:rPr>
        <w:t> </w:t>
      </w:r>
      <w:r>
        <w:rPr>
          <w:color w:val="231F20"/>
        </w:rPr>
        <w:t>at</w:t>
      </w:r>
      <w:r>
        <w:rPr>
          <w:color w:val="231F20"/>
          <w:spacing w:val="-5"/>
        </w:rPr>
        <w:t> </w:t>
      </w:r>
      <w:r>
        <w:rPr>
          <w:color w:val="231F20"/>
        </w:rPr>
        <w:t>the</w:t>
      </w:r>
      <w:r>
        <w:rPr>
          <w:color w:val="231F20"/>
          <w:spacing w:val="-5"/>
        </w:rPr>
        <w:t> </w:t>
      </w:r>
      <w:r>
        <w:rPr>
          <w:color w:val="231F20"/>
          <w:spacing w:val="-1"/>
        </w:rPr>
        <w:t>mainstream</w:t>
      </w:r>
      <w:r>
        <w:rPr>
          <w:color w:val="231F20"/>
          <w:spacing w:val="-4"/>
        </w:rPr>
        <w:t> </w:t>
      </w:r>
      <w:r>
        <w:rPr>
          <w:color w:val="231F20"/>
        </w:rPr>
        <w:t>providers</w:t>
      </w:r>
      <w:r>
        <w:rPr>
          <w:color w:val="231F20"/>
          <w:spacing w:val="-6"/>
        </w:rPr>
        <w:t> </w:t>
      </w:r>
      <w:r>
        <w:rPr>
          <w:color w:val="231F20"/>
        </w:rPr>
        <w:t>was</w:t>
      </w:r>
      <w:r>
        <w:rPr/>
      </w:r>
    </w:p>
    <w:p>
      <w:pPr>
        <w:pStyle w:val="BodyText"/>
        <w:spacing w:line="250" w:lineRule="exact"/>
        <w:ind w:right="357"/>
        <w:jc w:val="left"/>
      </w:pPr>
      <w:r>
        <w:rPr>
          <w:color w:val="231F20"/>
          <w:spacing w:val="-1"/>
        </w:rPr>
        <w:t>$17,745</w:t>
      </w:r>
      <w:r>
        <w:rPr>
          <w:color w:val="231F20"/>
          <w:spacing w:val="-6"/>
        </w:rPr>
        <w:t> </w:t>
      </w:r>
      <w:r>
        <w:rPr>
          <w:color w:val="231F20"/>
        </w:rPr>
        <w:t>and</w:t>
      </w:r>
      <w:r>
        <w:rPr>
          <w:color w:val="231F20"/>
          <w:spacing w:val="-6"/>
        </w:rPr>
        <w:t> </w:t>
      </w:r>
      <w:r>
        <w:rPr>
          <w:color w:val="231F20"/>
          <w:spacing w:val="-1"/>
        </w:rPr>
        <w:t>$19,733</w:t>
      </w:r>
      <w:r>
        <w:rPr>
          <w:color w:val="231F20"/>
          <w:spacing w:val="-5"/>
        </w:rPr>
        <w:t> </w:t>
      </w:r>
      <w:r>
        <w:rPr>
          <w:color w:val="231F20"/>
        </w:rPr>
        <w:t>respectively.</w:t>
      </w:r>
      <w:r>
        <w:rPr>
          <w:color w:val="231F20"/>
          <w:spacing w:val="-7"/>
        </w:rPr>
        <w:t> </w:t>
      </w:r>
      <w:r>
        <w:rPr>
          <w:color w:val="231F20"/>
          <w:spacing w:val="-1"/>
        </w:rPr>
        <w:t>Average</w:t>
      </w:r>
      <w:r>
        <w:rPr>
          <w:color w:val="231F20"/>
          <w:spacing w:val="25"/>
          <w:w w:val="99"/>
        </w:rPr>
        <w:t> </w:t>
      </w:r>
      <w:r>
        <w:rPr>
          <w:color w:val="231F20"/>
        </w:rPr>
        <w:t>boarding</w:t>
      </w:r>
      <w:r>
        <w:rPr>
          <w:color w:val="231F20"/>
          <w:spacing w:val="-7"/>
        </w:rPr>
        <w:t> </w:t>
      </w:r>
      <w:r>
        <w:rPr>
          <w:color w:val="231F20"/>
        </w:rPr>
        <w:t>costs</w:t>
      </w:r>
      <w:r>
        <w:rPr>
          <w:color w:val="231F20"/>
          <w:spacing w:val="-6"/>
        </w:rPr>
        <w:t> </w:t>
      </w:r>
      <w:r>
        <w:rPr>
          <w:color w:val="231F20"/>
        </w:rPr>
        <w:t>at</w:t>
      </w:r>
      <w:r>
        <w:rPr>
          <w:color w:val="231F20"/>
          <w:spacing w:val="-5"/>
        </w:rPr>
        <w:t> </w:t>
      </w:r>
      <w:r>
        <w:rPr>
          <w:color w:val="231F20"/>
          <w:spacing w:val="-1"/>
        </w:rPr>
        <w:t>large</w:t>
      </w:r>
      <w:r>
        <w:rPr>
          <w:color w:val="231F20"/>
          <w:spacing w:val="-6"/>
        </w:rPr>
        <w:t> </w:t>
      </w:r>
      <w:r>
        <w:rPr>
          <w:color w:val="231F20"/>
        </w:rPr>
        <w:t>Aboriginal</w:t>
      </w:r>
      <w:r>
        <w:rPr>
          <w:color w:val="231F20"/>
          <w:spacing w:val="-5"/>
        </w:rPr>
        <w:t> </w:t>
      </w:r>
      <w:r>
        <w:rPr>
          <w:color w:val="231F20"/>
        </w:rPr>
        <w:t>and</w:t>
      </w:r>
      <w:r>
        <w:rPr>
          <w:color w:val="231F20"/>
          <w:w w:val="99"/>
        </w:rPr>
        <w:t> </w:t>
      </w:r>
      <w:r>
        <w:rPr>
          <w:color w:val="231F20"/>
          <w:spacing w:val="21"/>
          <w:w w:val="99"/>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7"/>
        </w:rPr>
        <w:t> </w:t>
      </w:r>
      <w:r>
        <w:rPr>
          <w:color w:val="231F20"/>
        </w:rPr>
        <w:t>providers</w:t>
      </w:r>
      <w:r>
        <w:rPr>
          <w:color w:val="231F20"/>
          <w:spacing w:val="-7"/>
        </w:rPr>
        <w:t> </w:t>
      </w:r>
      <w:r>
        <w:rPr>
          <w:color w:val="231F20"/>
        </w:rPr>
        <w:t>are</w:t>
      </w:r>
      <w:r>
        <w:rPr>
          <w:color w:val="231F20"/>
          <w:spacing w:val="21"/>
          <w:w w:val="99"/>
        </w:rPr>
        <w:t> </w:t>
      </w:r>
      <w:r>
        <w:rPr>
          <w:color w:val="231F20"/>
        </w:rPr>
        <w:t>comparable</w:t>
      </w:r>
      <w:r>
        <w:rPr>
          <w:color w:val="231F20"/>
          <w:spacing w:val="-5"/>
        </w:rPr>
        <w:t> </w:t>
      </w:r>
      <w:r>
        <w:rPr>
          <w:color w:val="231F20"/>
        </w:rPr>
        <w:t>to</w:t>
      </w:r>
      <w:r>
        <w:rPr>
          <w:color w:val="231F20"/>
          <w:spacing w:val="-4"/>
        </w:rPr>
        <w:t> </w:t>
      </w:r>
      <w:r>
        <w:rPr>
          <w:color w:val="231F20"/>
        </w:rPr>
        <w:t>the</w:t>
      </w:r>
      <w:r>
        <w:rPr>
          <w:color w:val="231F20"/>
          <w:spacing w:val="-4"/>
        </w:rPr>
        <w:t> </w:t>
      </w:r>
      <w:r>
        <w:rPr>
          <w:color w:val="231F20"/>
        </w:rPr>
        <w:t>costs</w:t>
      </w:r>
      <w:r>
        <w:rPr>
          <w:color w:val="231F20"/>
          <w:spacing w:val="-5"/>
        </w:rPr>
        <w:t> </w:t>
      </w:r>
      <w:r>
        <w:rPr>
          <w:color w:val="231F20"/>
        </w:rPr>
        <w:t>at</w:t>
      </w:r>
      <w:r>
        <w:rPr>
          <w:color w:val="231F20"/>
          <w:spacing w:val="-3"/>
        </w:rPr>
        <w:t> </w:t>
      </w:r>
      <w:r>
        <w:rPr>
          <w:color w:val="231F20"/>
          <w:spacing w:val="-1"/>
        </w:rPr>
        <w:t>large</w:t>
      </w:r>
      <w:r>
        <w:rPr>
          <w:color w:val="231F20"/>
          <w:spacing w:val="-4"/>
        </w:rPr>
        <w:t> </w:t>
      </w:r>
      <w:r>
        <w:rPr>
          <w:color w:val="231F20"/>
          <w:spacing w:val="-1"/>
        </w:rPr>
        <w:t>mainstream</w:t>
      </w:r>
      <w:r>
        <w:rPr/>
      </w:r>
    </w:p>
    <w:p>
      <w:pPr>
        <w:pStyle w:val="BodyText"/>
        <w:spacing w:line="250" w:lineRule="exact"/>
        <w:ind w:right="140"/>
        <w:jc w:val="left"/>
      </w:pPr>
      <w:r>
        <w:rPr>
          <w:color w:val="231F20"/>
        </w:rPr>
        <w:t>boarding</w:t>
      </w:r>
      <w:r>
        <w:rPr>
          <w:color w:val="231F20"/>
          <w:spacing w:val="-9"/>
        </w:rPr>
        <w:t> </w:t>
      </w:r>
      <w:r>
        <w:rPr>
          <w:color w:val="231F20"/>
        </w:rPr>
        <w:t>providers.</w:t>
      </w:r>
      <w:r>
        <w:rPr>
          <w:color w:val="231F20"/>
          <w:spacing w:val="-8"/>
        </w:rPr>
        <w:t> </w:t>
      </w:r>
      <w:r>
        <w:rPr>
          <w:color w:val="231F20"/>
        </w:rPr>
        <w:t>The</w:t>
      </w:r>
      <w:r>
        <w:rPr>
          <w:color w:val="231F20"/>
          <w:spacing w:val="-8"/>
        </w:rPr>
        <w:t> </w:t>
      </w:r>
      <w:r>
        <w:rPr>
          <w:color w:val="231F20"/>
        </w:rPr>
        <w:t>four</w:t>
      </w:r>
      <w:r>
        <w:rPr>
          <w:color w:val="231F20"/>
          <w:spacing w:val="-7"/>
        </w:rPr>
        <w:t> </w:t>
      </w:r>
      <w:r>
        <w:rPr>
          <w:color w:val="231F20"/>
          <w:spacing w:val="-1"/>
        </w:rPr>
        <w:t>large</w:t>
      </w:r>
      <w:r>
        <w:rPr>
          <w:color w:val="231F20"/>
          <w:spacing w:val="-8"/>
        </w:rPr>
        <w:t> </w:t>
      </w:r>
      <w:r>
        <w:rPr>
          <w:color w:val="231F20"/>
        </w:rPr>
        <w:t>Aboriginal</w:t>
      </w:r>
      <w:r>
        <w:rPr>
          <w:color w:val="231F20"/>
          <w:spacing w:val="21"/>
          <w:w w:val="99"/>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7"/>
        </w:rPr>
        <w:t> </w:t>
      </w:r>
      <w:r>
        <w:rPr>
          <w:color w:val="231F20"/>
        </w:rPr>
        <w:t>providers</w:t>
      </w:r>
      <w:r>
        <w:rPr>
          <w:color w:val="231F20"/>
          <w:spacing w:val="21"/>
          <w:w w:val="99"/>
        </w:rPr>
        <w:t> </w:t>
      </w:r>
      <w:r>
        <w:rPr>
          <w:color w:val="231F20"/>
        </w:rPr>
        <w:t>had</w:t>
      </w:r>
      <w:r>
        <w:rPr>
          <w:color w:val="231F20"/>
          <w:spacing w:val="-4"/>
        </w:rPr>
        <w:t> </w:t>
      </w:r>
      <w:r>
        <w:rPr>
          <w:color w:val="231F20"/>
        </w:rPr>
        <w:t>between</w:t>
      </w:r>
      <w:r>
        <w:rPr>
          <w:color w:val="231F20"/>
          <w:spacing w:val="-5"/>
        </w:rPr>
        <w:t> </w:t>
      </w:r>
      <w:r>
        <w:rPr>
          <w:color w:val="231F20"/>
          <w:spacing w:val="-1"/>
        </w:rPr>
        <w:t>25</w:t>
      </w:r>
      <w:r>
        <w:rPr>
          <w:color w:val="231F20"/>
          <w:spacing w:val="-4"/>
        </w:rPr>
        <w:t> </w:t>
      </w:r>
      <w:r>
        <w:rPr>
          <w:color w:val="231F20"/>
        </w:rPr>
        <w:t>and</w:t>
      </w:r>
      <w:r>
        <w:rPr>
          <w:color w:val="231F20"/>
          <w:spacing w:val="-4"/>
        </w:rPr>
        <w:t> </w:t>
      </w:r>
      <w:r>
        <w:rPr>
          <w:color w:val="231F20"/>
          <w:spacing w:val="-1"/>
        </w:rPr>
        <w:t>115</w:t>
      </w:r>
      <w:r>
        <w:rPr>
          <w:color w:val="231F20"/>
          <w:spacing w:val="-4"/>
        </w:rPr>
        <w:t> </w:t>
      </w:r>
      <w:r>
        <w:rPr>
          <w:color w:val="231F20"/>
        </w:rPr>
        <w:t>Aboriginal</w:t>
      </w:r>
      <w:r>
        <w:rPr>
          <w:color w:val="231F20"/>
          <w:spacing w:val="-4"/>
        </w:rPr>
        <w:t> </w:t>
      </w:r>
      <w:r>
        <w:rPr>
          <w:color w:val="231F20"/>
        </w:rPr>
        <w:t>and</w:t>
      </w:r>
      <w:r>
        <w:rPr>
          <w:color w:val="231F20"/>
          <w:spacing w:val="-5"/>
        </w:rPr>
        <w:t> Torres</w:t>
      </w:r>
      <w:r>
        <w:rPr>
          <w:color w:val="231F20"/>
          <w:spacing w:val="25"/>
          <w:w w:val="99"/>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boarders</w:t>
      </w:r>
      <w:r>
        <w:rPr>
          <w:color w:val="231F20"/>
          <w:spacing w:val="-7"/>
        </w:rPr>
        <w:t> </w:t>
      </w:r>
      <w:r>
        <w:rPr>
          <w:color w:val="231F20"/>
        </w:rPr>
        <w:t>but</w:t>
      </w:r>
      <w:r>
        <w:rPr>
          <w:color w:val="231F20"/>
          <w:spacing w:val="-7"/>
        </w:rPr>
        <w:t> </w:t>
      </w:r>
      <w:r>
        <w:rPr>
          <w:color w:val="231F20"/>
        </w:rPr>
        <w:t>the</w:t>
      </w:r>
      <w:r>
        <w:rPr>
          <w:color w:val="231F20"/>
          <w:spacing w:val="-7"/>
        </w:rPr>
        <w:t> </w:t>
      </w:r>
      <w:r>
        <w:rPr>
          <w:color w:val="231F20"/>
        </w:rPr>
        <w:t>proportion</w:t>
      </w:r>
      <w:r>
        <w:rPr>
          <w:color w:val="231F20"/>
          <w:spacing w:val="-7"/>
        </w:rPr>
        <w:t> </w:t>
      </w:r>
      <w:r>
        <w:rPr>
          <w:color w:val="231F20"/>
        </w:rPr>
        <w:t>of</w:t>
      </w:r>
      <w:r>
        <w:rPr>
          <w:color w:val="231F20"/>
          <w:spacing w:val="27"/>
          <w:w w:val="99"/>
        </w:rPr>
        <w:t> </w:t>
      </w:r>
      <w:r>
        <w:rPr>
          <w:color w:val="231F20"/>
        </w:rPr>
        <w:t>Aboriginal</w:t>
      </w:r>
      <w:r>
        <w:rPr>
          <w:color w:val="231F20"/>
          <w:spacing w:val="-5"/>
        </w:rPr>
        <w:t> </w:t>
      </w:r>
      <w:r>
        <w:rPr>
          <w:color w:val="231F20"/>
        </w:rPr>
        <w:t>and</w:t>
      </w:r>
      <w:r>
        <w:rPr>
          <w:color w:val="231F20"/>
          <w:spacing w:val="-5"/>
        </w:rPr>
        <w:t> 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4"/>
        </w:rPr>
        <w:t> </w:t>
      </w:r>
      <w:r>
        <w:rPr>
          <w:color w:val="231F20"/>
          <w:spacing w:val="-1"/>
        </w:rPr>
        <w:t>students</w:t>
      </w:r>
      <w:r>
        <w:rPr>
          <w:color w:val="231F20"/>
          <w:spacing w:val="-4"/>
        </w:rPr>
        <w:t> </w:t>
      </w:r>
      <w:r>
        <w:rPr>
          <w:color w:val="231F20"/>
        </w:rPr>
        <w:t>to</w:t>
      </w:r>
      <w:r>
        <w:rPr>
          <w:color w:val="231F20"/>
          <w:spacing w:val="23"/>
          <w:w w:val="99"/>
        </w:rPr>
        <w:t> </w:t>
      </w:r>
      <w:r>
        <w:rPr>
          <w:rFonts w:ascii="Segoe UI"/>
          <w:color w:val="231F20"/>
        </w:rPr>
        <w:t>total students was classified as low and ranged</w:t>
      </w:r>
      <w:r>
        <w:rPr>
          <w:rFonts w:ascii="Segoe UI"/>
          <w:color w:val="231F20"/>
        </w:rPr>
        <w:t> </w:t>
      </w:r>
      <w:r>
        <w:rPr>
          <w:color w:val="231F20"/>
        </w:rPr>
        <w:t>from</w:t>
      </w:r>
      <w:r>
        <w:rPr>
          <w:color w:val="231F20"/>
          <w:spacing w:val="-3"/>
        </w:rPr>
        <w:t> </w:t>
      </w:r>
      <w:r>
        <w:rPr>
          <w:color w:val="231F20"/>
        </w:rPr>
        <w:t>6</w:t>
      </w:r>
      <w:r>
        <w:rPr>
          <w:color w:val="231F20"/>
          <w:spacing w:val="-2"/>
        </w:rPr>
        <w:t> </w:t>
      </w:r>
      <w:r>
        <w:rPr>
          <w:color w:val="231F20"/>
        </w:rPr>
        <w:t>per</w:t>
      </w:r>
      <w:r>
        <w:rPr>
          <w:color w:val="231F20"/>
          <w:spacing w:val="-3"/>
        </w:rPr>
        <w:t> </w:t>
      </w:r>
      <w:r>
        <w:rPr>
          <w:color w:val="231F20"/>
        </w:rPr>
        <w:t>cent</w:t>
      </w:r>
      <w:r>
        <w:rPr>
          <w:color w:val="231F20"/>
          <w:spacing w:val="-3"/>
        </w:rPr>
        <w:t> </w:t>
      </w:r>
      <w:r>
        <w:rPr>
          <w:color w:val="231F20"/>
        </w:rPr>
        <w:t>to</w:t>
      </w:r>
      <w:r>
        <w:rPr>
          <w:color w:val="231F20"/>
          <w:spacing w:val="-3"/>
        </w:rPr>
        <w:t> </w:t>
      </w:r>
      <w:r>
        <w:rPr>
          <w:color w:val="231F20"/>
          <w:spacing w:val="-1"/>
        </w:rPr>
        <w:t>18</w:t>
      </w:r>
      <w:r>
        <w:rPr>
          <w:color w:val="231F20"/>
          <w:spacing w:val="-2"/>
        </w:rPr>
        <w:t> </w:t>
      </w:r>
      <w:r>
        <w:rPr>
          <w:color w:val="231F20"/>
        </w:rPr>
        <w:t>per</w:t>
      </w:r>
      <w:r>
        <w:rPr>
          <w:color w:val="231F20"/>
          <w:spacing w:val="-3"/>
        </w:rPr>
        <w:t> </w:t>
      </w:r>
      <w:r>
        <w:rPr>
          <w:color w:val="231F20"/>
        </w:rPr>
        <w:t>cent.</w:t>
      </w:r>
      <w:r>
        <w:rPr>
          <w:color w:val="231F20"/>
          <w:spacing w:val="-3"/>
        </w:rPr>
        <w:t> </w:t>
      </w:r>
      <w:r>
        <w:rPr>
          <w:color w:val="231F20"/>
        </w:rPr>
        <w:t>This</w:t>
      </w:r>
      <w:r>
        <w:rPr>
          <w:color w:val="231F20"/>
          <w:spacing w:val="-4"/>
        </w:rPr>
        <w:t> </w:t>
      </w:r>
      <w:r>
        <w:rPr>
          <w:color w:val="231F20"/>
          <w:spacing w:val="-1"/>
        </w:rPr>
        <w:t>may</w:t>
      </w:r>
      <w:r>
        <w:rPr>
          <w:color w:val="231F20"/>
          <w:spacing w:val="-2"/>
        </w:rPr>
        <w:t> </w:t>
      </w:r>
      <w:r>
        <w:rPr>
          <w:color w:val="231F20"/>
        </w:rPr>
        <w:t>partly</w:t>
      </w:r>
      <w:r>
        <w:rPr>
          <w:color w:val="231F20"/>
          <w:spacing w:val="22"/>
          <w:w w:val="99"/>
        </w:rPr>
        <w:t> </w:t>
      </w:r>
      <w:r>
        <w:rPr>
          <w:color w:val="231F20"/>
        </w:rPr>
        <w:t>explain</w:t>
      </w:r>
      <w:r>
        <w:rPr>
          <w:color w:val="231F20"/>
          <w:spacing w:val="-9"/>
        </w:rPr>
        <w:t> </w:t>
      </w:r>
      <w:r>
        <w:rPr>
          <w:color w:val="231F20"/>
        </w:rPr>
        <w:t>the</w:t>
      </w:r>
      <w:r>
        <w:rPr>
          <w:color w:val="231F20"/>
          <w:spacing w:val="-9"/>
        </w:rPr>
        <w:t> </w:t>
      </w:r>
      <w:r>
        <w:rPr>
          <w:color w:val="231F20"/>
        </w:rPr>
        <w:t>comparability</w:t>
      </w:r>
      <w:r>
        <w:rPr>
          <w:color w:val="231F20"/>
          <w:spacing w:val="-8"/>
        </w:rPr>
        <w:t> </w:t>
      </w:r>
      <w:r>
        <w:rPr>
          <w:color w:val="231F20"/>
        </w:rPr>
        <w:t>of</w:t>
      </w:r>
      <w:r>
        <w:rPr>
          <w:color w:val="231F20"/>
          <w:spacing w:val="-8"/>
        </w:rPr>
        <w:t> </w:t>
      </w:r>
      <w:r>
        <w:rPr>
          <w:color w:val="231F20"/>
        </w:rPr>
        <w:t>average</w:t>
      </w:r>
      <w:r>
        <w:rPr>
          <w:color w:val="231F20"/>
          <w:spacing w:val="-8"/>
        </w:rPr>
        <w:t> </w:t>
      </w:r>
      <w:r>
        <w:rPr>
          <w:color w:val="231F20"/>
        </w:rPr>
        <w:t>boarding</w:t>
      </w:r>
      <w:r>
        <w:rPr>
          <w:color w:val="231F20"/>
          <w:w w:val="99"/>
        </w:rPr>
        <w:t> </w:t>
      </w:r>
      <w:r>
        <w:rPr>
          <w:color w:val="231F20"/>
        </w:rPr>
        <w:t>cost.</w:t>
      </w:r>
      <w:r>
        <w:rPr>
          <w:color w:val="231F20"/>
          <w:spacing w:val="-8"/>
        </w:rPr>
        <w:t> </w:t>
      </w:r>
      <w:r>
        <w:rPr>
          <w:color w:val="231F20"/>
        </w:rPr>
        <w:t>The</w:t>
      </w:r>
      <w:r>
        <w:rPr>
          <w:color w:val="231F20"/>
          <w:spacing w:val="-7"/>
        </w:rPr>
        <w:t> </w:t>
      </w:r>
      <w:r>
        <w:rPr>
          <w:color w:val="231F20"/>
        </w:rPr>
        <w:t>proportionality</w:t>
      </w:r>
      <w:r>
        <w:rPr>
          <w:color w:val="231F20"/>
          <w:spacing w:val="-8"/>
        </w:rPr>
        <w:t> </w:t>
      </w:r>
      <w:r>
        <w:rPr>
          <w:color w:val="231F20"/>
        </w:rPr>
        <w:t>of</w:t>
      </w:r>
      <w:r>
        <w:rPr>
          <w:color w:val="231F20"/>
          <w:spacing w:val="-7"/>
        </w:rPr>
        <w:t> </w:t>
      </w:r>
      <w:r>
        <w:rPr>
          <w:color w:val="231F20"/>
        </w:rPr>
        <w:t>Aboriginal</w:t>
      </w:r>
      <w:r>
        <w:rPr>
          <w:color w:val="231F20"/>
          <w:spacing w:val="-7"/>
        </w:rPr>
        <w:t> </w:t>
      </w:r>
      <w:r>
        <w:rPr>
          <w:color w:val="231F20"/>
        </w:rPr>
        <w:t>and</w:t>
      </w:r>
      <w:r>
        <w:rPr>
          <w:color w:val="231F20"/>
          <w:w w:val="99"/>
        </w:rPr>
        <w:t> </w:t>
      </w:r>
      <w:r>
        <w:rPr>
          <w:color w:val="231F20"/>
          <w:spacing w:val="-5"/>
        </w:rPr>
        <w:t>Torres</w:t>
      </w:r>
      <w:r>
        <w:rPr>
          <w:color w:val="231F20"/>
          <w:spacing w:val="-3"/>
        </w:rPr>
        <w:t> </w:t>
      </w:r>
      <w:r>
        <w:rPr>
          <w:color w:val="231F20"/>
          <w:spacing w:val="-2"/>
        </w:rPr>
        <w:t>Strait</w:t>
      </w:r>
      <w:r>
        <w:rPr>
          <w:color w:val="231F20"/>
          <w:spacing w:val="-4"/>
        </w:rPr>
        <w:t> </w:t>
      </w:r>
      <w:r>
        <w:rPr>
          <w:color w:val="231F20"/>
          <w:spacing w:val="-1"/>
        </w:rPr>
        <w:t>Islander</w:t>
      </w:r>
      <w:r>
        <w:rPr>
          <w:color w:val="231F20"/>
          <w:spacing w:val="-2"/>
        </w:rPr>
        <w:t> </w:t>
      </w:r>
      <w:r>
        <w:rPr>
          <w:color w:val="231F20"/>
          <w:spacing w:val="-1"/>
        </w:rPr>
        <w:t>students</w:t>
      </w:r>
      <w:r>
        <w:rPr>
          <w:color w:val="231F20"/>
          <w:spacing w:val="-3"/>
        </w:rPr>
        <w:t> </w:t>
      </w:r>
      <w:r>
        <w:rPr>
          <w:color w:val="231F20"/>
        </w:rPr>
        <w:t>to</w:t>
      </w:r>
      <w:r>
        <w:rPr>
          <w:color w:val="231F20"/>
          <w:spacing w:val="-3"/>
        </w:rPr>
        <w:t> </w:t>
      </w:r>
      <w:r>
        <w:rPr>
          <w:color w:val="231F20"/>
        </w:rPr>
        <w:t>total</w:t>
      </w:r>
      <w:r>
        <w:rPr>
          <w:color w:val="231F20"/>
          <w:spacing w:val="-3"/>
        </w:rPr>
        <w:t> </w:t>
      </w:r>
      <w:r>
        <w:rPr>
          <w:color w:val="231F20"/>
          <w:spacing w:val="-1"/>
        </w:rPr>
        <w:t>students</w:t>
      </w:r>
      <w:r>
        <w:rPr>
          <w:color w:val="231F20"/>
          <w:spacing w:val="22"/>
        </w:rPr>
        <w:t> </w:t>
      </w:r>
      <w:r>
        <w:rPr>
          <w:color w:val="231F20"/>
        </w:rPr>
        <w:t>as</w:t>
      </w:r>
      <w:r>
        <w:rPr>
          <w:color w:val="231F20"/>
          <w:spacing w:val="-6"/>
        </w:rPr>
        <w:t> </w:t>
      </w:r>
      <w:r>
        <w:rPr>
          <w:color w:val="231F20"/>
        </w:rPr>
        <w:t>a</w:t>
      </w:r>
      <w:r>
        <w:rPr>
          <w:color w:val="231F20"/>
          <w:spacing w:val="-4"/>
        </w:rPr>
        <w:t> </w:t>
      </w:r>
      <w:r>
        <w:rPr>
          <w:color w:val="231F20"/>
        </w:rPr>
        <w:t>determinant</w:t>
      </w:r>
      <w:r>
        <w:rPr>
          <w:color w:val="231F20"/>
          <w:spacing w:val="-5"/>
        </w:rPr>
        <w:t> </w:t>
      </w:r>
      <w:r>
        <w:rPr>
          <w:color w:val="231F20"/>
        </w:rPr>
        <w:t>of</w:t>
      </w:r>
      <w:r>
        <w:rPr>
          <w:color w:val="231F20"/>
          <w:spacing w:val="-4"/>
        </w:rPr>
        <w:t> </w:t>
      </w:r>
      <w:r>
        <w:rPr>
          <w:color w:val="231F20"/>
        </w:rPr>
        <w:t>cost</w:t>
      </w:r>
      <w:r>
        <w:rPr>
          <w:color w:val="231F20"/>
          <w:spacing w:val="-5"/>
        </w:rPr>
        <w:t> </w:t>
      </w:r>
      <w:r>
        <w:rPr>
          <w:color w:val="231F20"/>
          <w:spacing w:val="-1"/>
        </w:rPr>
        <w:t>is</w:t>
      </w:r>
      <w:r>
        <w:rPr>
          <w:color w:val="231F20"/>
          <w:spacing w:val="-5"/>
        </w:rPr>
        <w:t> </w:t>
      </w:r>
      <w:r>
        <w:rPr>
          <w:color w:val="231F20"/>
        </w:rPr>
        <w:t>addressed</w:t>
      </w:r>
      <w:r>
        <w:rPr>
          <w:color w:val="231F20"/>
          <w:spacing w:val="-5"/>
        </w:rPr>
        <w:t> </w:t>
      </w:r>
      <w:r>
        <w:rPr>
          <w:color w:val="231F20"/>
        </w:rPr>
        <w:t>below.</w:t>
      </w:r>
      <w:r>
        <w:rPr/>
      </w:r>
    </w:p>
    <w:p>
      <w:pPr>
        <w:spacing w:after="0" w:line="250" w:lineRule="exact"/>
        <w:jc w:val="left"/>
        <w:sectPr>
          <w:type w:val="continuous"/>
          <w:pgSz w:w="11910" w:h="16840"/>
          <w:pgMar w:top="1580" w:bottom="280" w:left="1300" w:right="1600"/>
          <w:cols w:num="2" w:equalWidth="0">
            <w:col w:w="4369" w:space="223"/>
            <w:col w:w="4418"/>
          </w:cols>
        </w:sect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1"/>
        <w:rPr>
          <w:rFonts w:ascii="Segoe UI" w:hAnsi="Segoe UI" w:cs="Segoe UI" w:eastAsia="Segoe UI"/>
          <w:sz w:val="24"/>
          <w:szCs w:val="24"/>
        </w:rPr>
      </w:pPr>
    </w:p>
    <w:p>
      <w:pPr>
        <w:spacing w:after="0" w:line="240" w:lineRule="auto"/>
        <w:rPr>
          <w:rFonts w:ascii="Segoe UI" w:hAnsi="Segoe UI" w:cs="Segoe UI" w:eastAsia="Segoe UI"/>
          <w:sz w:val="24"/>
          <w:szCs w:val="24"/>
        </w:rPr>
        <w:sectPr>
          <w:pgSz w:w="11910" w:h="16840"/>
          <w:pgMar w:header="0" w:footer="691" w:top="1580" w:bottom="880" w:left="1600" w:right="0"/>
        </w:sectPr>
      </w:pPr>
    </w:p>
    <w:p>
      <w:pPr>
        <w:pStyle w:val="BodyText"/>
        <w:spacing w:line="250" w:lineRule="exact" w:before="62"/>
        <w:ind w:left="100" w:right="124"/>
        <w:jc w:val="left"/>
      </w:pPr>
      <w:r>
        <w:rPr/>
        <w:pict>
          <v:group style="position:absolute;margin-left:85.039001pt;margin-top:-301.738403pt;width:439.4pt;height:283.5pt;mso-position-horizontal-relative:page;mso-position-vertical-relative:paragraph;z-index:1432" coordorigin="1701,-6035" coordsize="8788,5670">
            <v:group style="position:absolute;left:9605;top:-2196;width:433;height:2" coordorigin="9605,-2196" coordsize="433,2">
              <v:shape style="position:absolute;left:9605;top:-2196;width:433;height:2" coordorigin="9605,-2196" coordsize="433,0" path="m9605,-2196l10037,-2196e" filled="false" stroked="true" strokeweight=".705pt" strokecolor="#dcddde">
                <v:path arrowok="t"/>
              </v:shape>
            </v:group>
            <v:group style="position:absolute;left:9104;top:-2196;width:107;height:2" coordorigin="9104,-2196" coordsize="107,2">
              <v:shape style="position:absolute;left:9104;top:-2196;width:107;height:2" coordorigin="9104,-2196" coordsize="107,0" path="m9104,-2196l9210,-2196e" filled="false" stroked="true" strokeweight=".705pt" strokecolor="#dcddde">
                <v:path arrowok="t"/>
              </v:shape>
            </v:group>
            <v:group style="position:absolute;left:7845;top:-2196;width:865;height:2" coordorigin="7845,-2196" coordsize="865,2">
              <v:shape style="position:absolute;left:7845;top:-2196;width:865;height:2" coordorigin="7845,-2196" coordsize="865,0" path="m7845,-2196l8709,-2196e" filled="false" stroked="true" strokeweight=".705pt" strokecolor="#dcddde">
                <v:path arrowok="t"/>
              </v:shape>
            </v:group>
            <v:group style="position:absolute;left:7343;top:-2196;width:107;height:2" coordorigin="7343,-2196" coordsize="107,2">
              <v:shape style="position:absolute;left:7343;top:-2196;width:107;height:2" coordorigin="7343,-2196" coordsize="107,0" path="m7343,-2196l7450,-2196e" filled="false" stroked="true" strokeweight=".705pt" strokecolor="#dcddde">
                <v:path arrowok="t"/>
              </v:shape>
            </v:group>
            <v:group style="position:absolute;left:5583;top:-2196;width:1366;height:2" coordorigin="5583,-2196" coordsize="1366,2">
              <v:shape style="position:absolute;left:5583;top:-2196;width:1366;height:2" coordorigin="5583,-2196" coordsize="1366,0" path="m5583,-2196l6949,-2196e" filled="false" stroked="true" strokeweight=".705pt" strokecolor="#dcddde">
                <v:path arrowok="t"/>
              </v:shape>
            </v:group>
            <v:group style="position:absolute;left:3822;top:-2196;width:1366;height:2" coordorigin="3822,-2196" coordsize="1366,2">
              <v:shape style="position:absolute;left:3822;top:-2196;width:1366;height:2" coordorigin="3822,-2196" coordsize="1366,0" path="m3822,-2196l5188,-2196e" filled="false" stroked="true" strokeweight=".705pt" strokecolor="#dcddde">
                <v:path arrowok="t"/>
              </v:shape>
            </v:group>
            <v:group style="position:absolute;left:2995;top:-2196;width:433;height:2" coordorigin="2995,-2196" coordsize="433,2">
              <v:shape style="position:absolute;left:2995;top:-2196;width:433;height:2" coordorigin="2995,-2196" coordsize="433,0" path="m2995,-2196l3427,-2196e" filled="false" stroked="true" strokeweight=".705pt" strokecolor="#dcddde">
                <v:path arrowok="t"/>
              </v:shape>
            </v:group>
            <v:group style="position:absolute;left:3822;top:-2640;width:1366;height:2" coordorigin="3822,-2640" coordsize="1366,2">
              <v:shape style="position:absolute;left:3822;top:-2640;width:1366;height:2" coordorigin="3822,-2640" coordsize="1366,0" path="m3822,-2640l5188,-2640e" filled="false" stroked="true" strokeweight=".705pt" strokecolor="#dcddde">
                <v:path arrowok="t"/>
              </v:shape>
            </v:group>
            <v:group style="position:absolute;left:2995;top:-2640;width:433;height:2" coordorigin="2995,-2640" coordsize="433,2">
              <v:shape style="position:absolute;left:2995;top:-2640;width:433;height:2" coordorigin="2995,-2640" coordsize="433,0" path="m2995,-2640l3427,-2640e" filled="false" stroked="true" strokeweight=".705pt" strokecolor="#dcddde">
                <v:path arrowok="t"/>
              </v:shape>
            </v:group>
            <v:group style="position:absolute;left:3822;top:-3087;width:1366;height:2" coordorigin="3822,-3087" coordsize="1366,2">
              <v:shape style="position:absolute;left:3822;top:-3087;width:1366;height:2" coordorigin="3822,-3087" coordsize="1366,0" path="m3822,-3087l5188,-3087e" filled="false" stroked="true" strokeweight=".705pt" strokecolor="#dcddde">
                <v:path arrowok="t"/>
              </v:shape>
            </v:group>
            <v:group style="position:absolute;left:2995;top:-3087;width:433;height:2" coordorigin="2995,-3087" coordsize="433,2">
              <v:shape style="position:absolute;left:2995;top:-3087;width:433;height:2" coordorigin="2995,-3087" coordsize="433,0" path="m2995,-3087l3427,-3087e" filled="false" stroked="true" strokeweight=".705pt" strokecolor="#dcddde">
                <v:path arrowok="t"/>
              </v:shape>
            </v:group>
            <v:group style="position:absolute;left:3822;top:-3534;width:1366;height:2" coordorigin="3822,-3534" coordsize="1366,2">
              <v:shape style="position:absolute;left:3822;top:-3534;width:1366;height:2" coordorigin="3822,-3534" coordsize="1366,0" path="m3822,-3534l5188,-3534e" filled="false" stroked="true" strokeweight=".705pt" strokecolor="#dcddde">
                <v:path arrowok="t"/>
              </v:shape>
            </v:group>
            <v:group style="position:absolute;left:2995;top:-3534;width:433;height:2" coordorigin="2995,-3534" coordsize="433,2">
              <v:shape style="position:absolute;left:2995;top:-3534;width:433;height:2" coordorigin="2995,-3534" coordsize="433,0" path="m2995,-3534l3427,-3534e" filled="false" stroked="true" strokeweight=".705pt" strokecolor="#dcddde">
                <v:path arrowok="t"/>
              </v:shape>
            </v:group>
            <v:group style="position:absolute;left:3822;top:-3980;width:3127;height:2" coordorigin="3822,-3980" coordsize="3127,2">
              <v:shape style="position:absolute;left:3822;top:-3980;width:3127;height:2" coordorigin="3822,-3980" coordsize="3127,0" path="m3822,-3980l6949,-3980e" filled="false" stroked="true" strokeweight=".705pt" strokecolor="#dcddde">
                <v:path arrowok="t"/>
              </v:shape>
            </v:group>
            <v:group style="position:absolute;left:2995;top:-3980;width:433;height:2" coordorigin="2995,-3980" coordsize="433,2">
              <v:shape style="position:absolute;left:2995;top:-3980;width:433;height:2" coordorigin="2995,-3980" coordsize="433,0" path="m2995,-3980l3427,-3980e" filled="false" stroked="true" strokeweight=".705pt" strokecolor="#dcddde">
                <v:path arrowok="t"/>
              </v:shape>
            </v:group>
            <v:group style="position:absolute;left:3822;top:-4427;width:6216;height:2" coordorigin="3822,-4427" coordsize="6216,2">
              <v:shape style="position:absolute;left:3822;top:-4427;width:6216;height:2" coordorigin="3822,-4427" coordsize="6216,0" path="m3822,-4427l10037,-4427e" filled="false" stroked="true" strokeweight=".705pt" strokecolor="#dcddde">
                <v:path arrowok="t"/>
              </v:shape>
            </v:group>
            <v:group style="position:absolute;left:2995;top:-4427;width:433;height:2" coordorigin="2995,-4427" coordsize="433,2">
              <v:shape style="position:absolute;left:2995;top:-4427;width:433;height:2" coordorigin="2995,-4427" coordsize="433,0" path="m2995,-4427l3427,-4427e" filled="false" stroked="true" strokeweight=".705pt" strokecolor="#dcddde">
                <v:path arrowok="t"/>
              </v:shape>
            </v:group>
            <v:group style="position:absolute;left:3427;top:-4513;width:395;height:2765" coordorigin="3427,-4513" coordsize="395,2765">
              <v:shape style="position:absolute;left:3427;top:-4513;width:395;height:2765" coordorigin="3427,-4513" coordsize="395,2765" path="m3427,-1748l3822,-1748,3822,-4513,3427,-4513,3427,-1748xe" filled="true" fillcolor="#71598f" stroked="false">
                <v:path arrowok="t"/>
                <v:fill type="solid"/>
              </v:shape>
            </v:group>
            <v:group style="position:absolute;left:5583;top:-2640;width:1366;height:2" coordorigin="5583,-2640" coordsize="1366,2">
              <v:shape style="position:absolute;left:5583;top:-2640;width:1366;height:2" coordorigin="5583,-2640" coordsize="1366,0" path="m5583,-2640l6949,-2640e" filled="false" stroked="true" strokeweight=".705pt" strokecolor="#dcddde">
                <v:path arrowok="t"/>
              </v:shape>
            </v:group>
            <v:group style="position:absolute;left:5583;top:-3087;width:1366;height:2" coordorigin="5583,-3087" coordsize="1366,2">
              <v:shape style="position:absolute;left:5583;top:-3087;width:1366;height:2" coordorigin="5583,-3087" coordsize="1366,0" path="m5583,-3087l6949,-3087e" filled="false" stroked="true" strokeweight=".705pt" strokecolor="#dcddde">
                <v:path arrowok="t"/>
              </v:shape>
            </v:group>
            <v:group style="position:absolute;left:5583;top:-3534;width:1366;height:2" coordorigin="5583,-3534" coordsize="1366,2">
              <v:shape style="position:absolute;left:5583;top:-3534;width:1366;height:2" coordorigin="5583,-3534" coordsize="1366,0" path="m5583,-3534l6949,-3534e" filled="false" stroked="true" strokeweight=".705pt" strokecolor="#dcddde">
                <v:path arrowok="t"/>
              </v:shape>
            </v:group>
            <v:group style="position:absolute;left:5188;top:-3725;width:395;height:1978" coordorigin="5188,-3725" coordsize="395,1978">
              <v:shape style="position:absolute;left:5188;top:-3725;width:395;height:1978" coordorigin="5188,-3725" coordsize="395,1978" path="m5188,-1748l5583,-1748,5583,-3725,5188,-3725,5188,-1748xe" filled="true" fillcolor="#71598f" stroked="false">
                <v:path arrowok="t"/>
                <v:fill type="solid"/>
              </v:shape>
            </v:group>
            <v:group style="position:absolute;left:7343;top:-2640;width:107;height:2" coordorigin="7343,-2640" coordsize="107,2">
              <v:shape style="position:absolute;left:7343;top:-2640;width:107;height:2" coordorigin="7343,-2640" coordsize="107,0" path="m7343,-2640l7450,-2640e" filled="false" stroked="true" strokeweight=".705pt" strokecolor="#dcddde">
                <v:path arrowok="t"/>
              </v:shape>
            </v:group>
            <v:group style="position:absolute;left:7343;top:-3087;width:107;height:2" coordorigin="7343,-3087" coordsize="107,2">
              <v:shape style="position:absolute;left:7343;top:-3087;width:107;height:2" coordorigin="7343,-3087" coordsize="107,0" path="m7343,-3087l7450,-3087e" filled="false" stroked="true" strokeweight=".705pt" strokecolor="#dcddde">
                <v:path arrowok="t"/>
              </v:shape>
            </v:group>
            <v:group style="position:absolute;left:7343;top:-3534;width:2695;height:2" coordorigin="7343,-3534" coordsize="2695,2">
              <v:shape style="position:absolute;left:7343;top:-3534;width:2695;height:2" coordorigin="7343,-3534" coordsize="2695,0" path="m7343,-3534l10037,-3534e" filled="false" stroked="true" strokeweight=".705pt" strokecolor="#dcddde">
                <v:path arrowok="t"/>
              </v:shape>
            </v:group>
            <v:group style="position:absolute;left:7343;top:-3980;width:2695;height:2" coordorigin="7343,-3980" coordsize="2695,2">
              <v:shape style="position:absolute;left:7343;top:-3980;width:2695;height:2" coordorigin="7343,-3980" coordsize="2695,0" path="m7343,-3980l10037,-3980e" filled="false" stroked="true" strokeweight=".705pt" strokecolor="#dcddde">
                <v:path arrowok="t"/>
              </v:shape>
            </v:group>
            <v:group style="position:absolute;left:6949;top:-4028;width:395;height:2280" coordorigin="6949,-4028" coordsize="395,2280">
              <v:shape style="position:absolute;left:6949;top:-4028;width:395;height:2280" coordorigin="6949,-4028" coordsize="395,2280" path="m6949,-1748l7343,-1748,7343,-4028,6949,-4028,6949,-1748xe" filled="true" fillcolor="#71598f" stroked="false">
                <v:path arrowok="t"/>
                <v:fill type="solid"/>
              </v:shape>
            </v:group>
            <v:group style="position:absolute;left:9104;top:-2640;width:107;height:2" coordorigin="9104,-2640" coordsize="107,2">
              <v:shape style="position:absolute;left:9104;top:-2640;width:107;height:2" coordorigin="9104,-2640" coordsize="107,0" path="m9104,-2640l9210,-2640e" filled="false" stroked="true" strokeweight=".705pt" strokecolor="#dcddde">
                <v:path arrowok="t"/>
              </v:shape>
            </v:group>
            <v:group style="position:absolute;left:7845;top:-2640;width:865;height:2" coordorigin="7845,-2640" coordsize="865,2">
              <v:shape style="position:absolute;left:7845;top:-2640;width:865;height:2" coordorigin="7845,-2640" coordsize="865,0" path="m7845,-2640l8709,-2640e" filled="false" stroked="true" strokeweight=".705pt" strokecolor="#dcddde">
                <v:path arrowok="t"/>
              </v:shape>
            </v:group>
            <v:group style="position:absolute;left:9104;top:-3087;width:107;height:2" coordorigin="9104,-3087" coordsize="107,2">
              <v:shape style="position:absolute;left:9104;top:-3087;width:107;height:2" coordorigin="9104,-3087" coordsize="107,0" path="m9104,-3087l9210,-3087e" filled="false" stroked="true" strokeweight=".705pt" strokecolor="#dcddde">
                <v:path arrowok="t"/>
              </v:shape>
            </v:group>
            <v:group style="position:absolute;left:7845;top:-3087;width:865;height:2" coordorigin="7845,-3087" coordsize="865,2">
              <v:shape style="position:absolute;left:7845;top:-3087;width:865;height:2" coordorigin="7845,-3087" coordsize="865,0" path="m7845,-3087l8709,-3087e" filled="false" stroked="true" strokeweight=".705pt" strokecolor="#dcddde">
                <v:path arrowok="t"/>
              </v:shape>
            </v:group>
            <v:group style="position:absolute;left:8709;top:-3253;width:395;height:1505" coordorigin="8709,-3253" coordsize="395,1505">
              <v:shape style="position:absolute;left:8709;top:-3253;width:395;height:1505" coordorigin="8709,-3253" coordsize="395,1505" path="m8709,-1748l9104,-1748,9104,-3253,8709,-3253,8709,-1748xe" filled="true" fillcolor="#71598f" stroked="false">
                <v:path arrowok="t"/>
                <v:fill type="solid"/>
              </v:shape>
            </v:group>
            <v:group style="position:absolute;left:7450;top:-3333;width:395;height:1585" coordorigin="7450,-3333" coordsize="395,1585">
              <v:shape style="position:absolute;left:7450;top:-3333;width:395;height:1585" coordorigin="7450,-3333" coordsize="395,1585" path="m7450,-1748l7845,-1748,7845,-3333,7450,-3333,7450,-1748xe" filled="true" fillcolor="#a99bbc" stroked="false">
                <v:path arrowok="t"/>
                <v:fill type="solid"/>
              </v:shape>
            </v:group>
            <v:group style="position:absolute;left:9605;top:-2640;width:433;height:2" coordorigin="9605,-2640" coordsize="433,2">
              <v:shape style="position:absolute;left:9605;top:-2640;width:433;height:2" coordorigin="9605,-2640" coordsize="433,0" path="m9605,-2640l10037,-2640e" filled="false" stroked="true" strokeweight=".705pt" strokecolor="#dcddde">
                <v:path arrowok="t"/>
              </v:shape>
            </v:group>
            <v:group style="position:absolute;left:9605;top:-3087;width:433;height:2" coordorigin="9605,-3087" coordsize="433,2">
              <v:shape style="position:absolute;left:9605;top:-3087;width:433;height:2" coordorigin="9605,-3087" coordsize="433,0" path="m9605,-3087l10037,-3087e" filled="false" stroked="true" strokeweight=".705pt" strokecolor="#dcddde">
                <v:path arrowok="t"/>
              </v:shape>
            </v:group>
            <v:group style="position:absolute;left:9210;top:-3511;width:395;height:1763" coordorigin="9210,-3511" coordsize="395,1763">
              <v:shape style="position:absolute;left:9210;top:-3511;width:395;height:1763" coordorigin="9210,-3511" coordsize="395,1763" path="m9210,-1748l9605,-1748,9605,-3511,9210,-3511,9210,-1748xe" filled="true" fillcolor="#a99bbc" stroked="false">
                <v:path arrowok="t"/>
                <v:fill type="solid"/>
              </v:shape>
            </v:group>
            <v:group style="position:absolute;left:2995;top:-1748;width:7043;height:2" coordorigin="2995,-1748" coordsize="7043,2">
              <v:shape style="position:absolute;left:2995;top:-1748;width:7043;height:2" coordorigin="2995,-1748" coordsize="7043,0" path="m2995,-1748l10037,-1748e" filled="false" stroked="true" strokeweight=".705pt" strokecolor="#dcddde">
                <v:path arrowok="t"/>
              </v:shape>
            </v:group>
            <v:group style="position:absolute;left:2995;top:-4874;width:7043;height:2" coordorigin="2995,-4874" coordsize="7043,2">
              <v:shape style="position:absolute;left:2995;top:-4874;width:7043;height:2" coordorigin="2995,-4874" coordsize="7043,0" path="m2995,-4874l10037,-4874e" filled="false" stroked="true" strokeweight=".705pt" strokecolor="#dcddde">
                <v:path arrowok="t"/>
              </v:shape>
            </v:group>
            <v:group style="position:absolute;left:3586;top:-1277;width:91;height:91" coordorigin="3586,-1277" coordsize="91,91">
              <v:shape style="position:absolute;left:3586;top:-1277;width:91;height:91" coordorigin="3586,-1277" coordsize="91,91" path="m3586,-1277l3676,-1277,3676,-1187,3586,-1187,3586,-1277xe" filled="true" fillcolor="#71598f" stroked="false">
                <v:path arrowok="t"/>
                <v:fill type="solid"/>
              </v:shape>
            </v:group>
            <v:group style="position:absolute;left:7134;top:-1277;width:91;height:91" coordorigin="7134,-1277" coordsize="91,91">
              <v:shape style="position:absolute;left:7134;top:-1277;width:91;height:91" coordorigin="7134,-1277" coordsize="91,91" path="m7134,-1277l7224,-1277,7224,-1187,7134,-1187,7134,-1277xe" filled="true" fillcolor="#a99bbc" stroked="false">
                <v:path arrowok="t"/>
                <v:fill type="solid"/>
              </v:shape>
            </v:group>
            <v:group style="position:absolute;left:1801;top:-5935;width:8588;height:5470" coordorigin="1801,-5935" coordsize="8588,5470">
              <v:shape style="position:absolute;left:1801;top:-5935;width:8588;height:5470" coordorigin="1801,-5935" coordsize="8588,5470" path="m1801,-465l10388,-465,10388,-5935,1801,-5935,1801,-465xe" filled="false" stroked="true" strokeweight="10pt" strokecolor="#c1b5a9">
                <v:path arrowok="t"/>
              </v:shape>
              <v:shape style="position:absolute;left:1987;top:-5765;width:7536;height:4103" type="#_x0000_t202" filled="false" stroked="false">
                <v:textbox inset="0,0,0,0">
                  <w:txbxContent>
                    <w:p>
                      <w:pPr>
                        <w:spacing w:line="164" w:lineRule="exact" w:before="0"/>
                        <w:ind w:left="0" w:right="0" w:firstLine="0"/>
                        <w:jc w:val="left"/>
                        <w:rPr>
                          <w:rFonts w:ascii="Segoe UI Semibold" w:hAnsi="Segoe UI Semibold" w:cs="Segoe UI Semibold" w:eastAsia="Segoe UI Semibold"/>
                          <w:sz w:val="16"/>
                          <w:szCs w:val="16"/>
                        </w:rPr>
                      </w:pPr>
                      <w:r>
                        <w:rPr>
                          <w:rFonts w:ascii="Segoe UI Semibold"/>
                          <w:b/>
                          <w:color w:val="666155"/>
                          <w:spacing w:val="4"/>
                          <w:sz w:val="16"/>
                        </w:rPr>
                        <w:t>GRAPH</w:t>
                      </w:r>
                      <w:r>
                        <w:rPr>
                          <w:rFonts w:ascii="Segoe UI Semibold"/>
                          <w:b/>
                          <w:color w:val="666155"/>
                          <w:spacing w:val="-1"/>
                          <w:sz w:val="16"/>
                        </w:rPr>
                        <w:t> </w:t>
                      </w:r>
                      <w:r>
                        <w:rPr>
                          <w:rFonts w:ascii="Segoe UI Semibold"/>
                          <w:b/>
                          <w:color w:val="666155"/>
                          <w:sz w:val="16"/>
                        </w:rPr>
                        <w:t>2:</w:t>
                      </w:r>
                      <w:r>
                        <w:rPr>
                          <w:rFonts w:ascii="Segoe UI Semibold"/>
                          <w:b/>
                          <w:color w:val="666155"/>
                          <w:spacing w:val="-1"/>
                          <w:sz w:val="16"/>
                        </w:rPr>
                        <w:t> </w:t>
                      </w:r>
                      <w:r>
                        <w:rPr>
                          <w:rFonts w:ascii="Segoe UI Semibold"/>
                          <w:b/>
                          <w:color w:val="666155"/>
                          <w:spacing w:val="3"/>
                          <w:sz w:val="16"/>
                        </w:rPr>
                        <w:t>THE</w:t>
                      </w:r>
                      <w:r>
                        <w:rPr>
                          <w:rFonts w:ascii="Segoe UI Semibold"/>
                          <w:b/>
                          <w:color w:val="666155"/>
                          <w:spacing w:val="2"/>
                          <w:sz w:val="16"/>
                        </w:rPr>
                        <w:t> </w:t>
                      </w:r>
                      <w:r>
                        <w:rPr>
                          <w:rFonts w:ascii="Segoe UI Semibold"/>
                          <w:b/>
                          <w:color w:val="666155"/>
                          <w:spacing w:val="3"/>
                          <w:sz w:val="16"/>
                        </w:rPr>
                        <w:t>SIZE</w:t>
                      </w:r>
                      <w:r>
                        <w:rPr>
                          <w:rFonts w:ascii="Segoe UI Semibold"/>
                          <w:b/>
                          <w:color w:val="666155"/>
                          <w:spacing w:val="2"/>
                          <w:sz w:val="16"/>
                        </w:rPr>
                        <w:t> OF </w:t>
                      </w:r>
                      <w:r>
                        <w:rPr>
                          <w:rFonts w:ascii="Segoe UI Semibold"/>
                          <w:b/>
                          <w:color w:val="666155"/>
                          <w:spacing w:val="3"/>
                          <w:sz w:val="16"/>
                        </w:rPr>
                        <w:t>THE</w:t>
                      </w:r>
                      <w:r>
                        <w:rPr>
                          <w:rFonts w:ascii="Segoe UI Semibold"/>
                          <w:b/>
                          <w:color w:val="666155"/>
                          <w:spacing w:val="2"/>
                          <w:sz w:val="16"/>
                        </w:rPr>
                        <w:t> </w:t>
                      </w:r>
                      <w:r>
                        <w:rPr>
                          <w:rFonts w:ascii="Segoe UI Semibold"/>
                          <w:b/>
                          <w:color w:val="666155"/>
                          <w:spacing w:val="4"/>
                          <w:sz w:val="16"/>
                        </w:rPr>
                        <w:t>BOARDING</w:t>
                      </w:r>
                      <w:r>
                        <w:rPr>
                          <w:rFonts w:ascii="Segoe UI Semibold"/>
                          <w:b/>
                          <w:color w:val="666155"/>
                          <w:spacing w:val="1"/>
                          <w:sz w:val="16"/>
                        </w:rPr>
                        <w:t> </w:t>
                      </w:r>
                      <w:r>
                        <w:rPr>
                          <w:rFonts w:ascii="Segoe UI Semibold"/>
                          <w:b/>
                          <w:color w:val="666155"/>
                          <w:spacing w:val="4"/>
                          <w:sz w:val="16"/>
                        </w:rPr>
                        <w:t>PROVIDER</w:t>
                      </w:r>
                      <w:r>
                        <w:rPr>
                          <w:rFonts w:ascii="Segoe UI Semibold"/>
                          <w:b/>
                          <w:color w:val="666155"/>
                          <w:spacing w:val="2"/>
                          <w:sz w:val="16"/>
                        </w:rPr>
                        <w:t> AS </w:t>
                      </w:r>
                      <w:r>
                        <w:rPr>
                          <w:rFonts w:ascii="Segoe UI Semibold"/>
                          <w:b/>
                          <w:color w:val="666155"/>
                          <w:sz w:val="16"/>
                        </w:rPr>
                        <w:t>A</w:t>
                      </w:r>
                      <w:r>
                        <w:rPr>
                          <w:rFonts w:ascii="Segoe UI Semibold"/>
                          <w:b/>
                          <w:color w:val="666155"/>
                          <w:spacing w:val="2"/>
                          <w:sz w:val="16"/>
                        </w:rPr>
                        <w:t> </w:t>
                      </w:r>
                      <w:r>
                        <w:rPr>
                          <w:rFonts w:ascii="Segoe UI Semibold"/>
                          <w:b/>
                          <w:color w:val="666155"/>
                          <w:spacing w:val="3"/>
                          <w:sz w:val="16"/>
                        </w:rPr>
                        <w:t>CONTRIBUTOR</w:t>
                      </w:r>
                      <w:r>
                        <w:rPr>
                          <w:rFonts w:ascii="Segoe UI Semibold"/>
                          <w:b/>
                          <w:color w:val="666155"/>
                          <w:spacing w:val="2"/>
                          <w:sz w:val="16"/>
                        </w:rPr>
                        <w:t> TOWARDS </w:t>
                      </w:r>
                      <w:r>
                        <w:rPr>
                          <w:rFonts w:ascii="Segoe UI Semibold"/>
                          <w:b/>
                          <w:color w:val="666155"/>
                          <w:spacing w:val="3"/>
                          <w:sz w:val="16"/>
                        </w:rPr>
                        <w:t>AVERAGE</w:t>
                      </w:r>
                      <w:r>
                        <w:rPr>
                          <w:rFonts w:ascii="Segoe UI Semibold"/>
                          <w:sz w:val="16"/>
                        </w:rPr>
                      </w:r>
                    </w:p>
                    <w:p>
                      <w:pPr>
                        <w:spacing w:line="200" w:lineRule="exact" w:before="6"/>
                        <w:ind w:left="0" w:right="0" w:firstLine="0"/>
                        <w:jc w:val="left"/>
                        <w:rPr>
                          <w:rFonts w:ascii="Segoe UI Semibold" w:hAnsi="Segoe UI Semibold" w:cs="Segoe UI Semibold" w:eastAsia="Segoe UI Semibold"/>
                          <w:sz w:val="16"/>
                          <w:szCs w:val="16"/>
                        </w:rPr>
                      </w:pPr>
                      <w:r>
                        <w:rPr>
                          <w:rFonts w:ascii="Segoe UI Semibold" w:hAnsi="Segoe UI Semibold" w:cs="Segoe UI Semibold" w:eastAsia="Segoe UI Semibold"/>
                          <w:b/>
                          <w:bCs/>
                          <w:color w:val="666155"/>
                          <w:spacing w:val="4"/>
                          <w:sz w:val="16"/>
                          <w:szCs w:val="16"/>
                        </w:rPr>
                        <w:t>BOARDING</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COST</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AT</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ABORIGINAL</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AND</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TORRES</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STRAIT</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ISLANDER</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AND</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MAINSTREAM</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BOARDING</w:t>
                      </w:r>
                      <w:r>
                        <w:rPr>
                          <w:rFonts w:ascii="Segoe UI Semibold" w:hAnsi="Segoe UI Semibold" w:cs="Segoe UI Semibold" w:eastAsia="Segoe UI Semibold"/>
                          <w:b/>
                          <w:bCs/>
                          <w:color w:val="666155"/>
                          <w:spacing w:val="67"/>
                          <w:sz w:val="16"/>
                          <w:szCs w:val="16"/>
                        </w:rPr>
                        <w:t> </w:t>
                      </w:r>
                      <w:r>
                        <w:rPr>
                          <w:rFonts w:ascii="Segoe UI Semibold" w:hAnsi="Segoe UI Semibold" w:cs="Segoe UI Semibold" w:eastAsia="Segoe UI Semibold"/>
                          <w:b/>
                          <w:bCs/>
                          <w:color w:val="666155"/>
                          <w:spacing w:val="4"/>
                          <w:sz w:val="16"/>
                          <w:szCs w:val="16"/>
                        </w:rPr>
                        <w:t>PROVIDERS,</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sz w:val="16"/>
                          <w:szCs w:val="16"/>
                        </w:rPr>
                        <w:t>2015</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position w:val="1"/>
                          <w:sz w:val="16"/>
                          <w:szCs w:val="16"/>
                        </w:rPr>
                        <w:t>—</w:t>
                      </w:r>
                      <w:r>
                        <w:rPr>
                          <w:rFonts w:ascii="Segoe UI Semibold" w:hAnsi="Segoe UI Semibold" w:cs="Segoe UI Semibold" w:eastAsia="Segoe UI Semibold"/>
                          <w:b/>
                          <w:bCs/>
                          <w:color w:val="666155"/>
                          <w:spacing w:val="-3"/>
                          <w:position w:val="1"/>
                          <w:sz w:val="16"/>
                          <w:szCs w:val="16"/>
                        </w:rPr>
                        <w:t> </w:t>
                      </w:r>
                      <w:r>
                        <w:rPr>
                          <w:rFonts w:ascii="Segoe UI Semibold" w:hAnsi="Segoe UI Semibold" w:cs="Segoe UI Semibold" w:eastAsia="Segoe UI Semibold"/>
                          <w:b/>
                          <w:bCs/>
                          <w:color w:val="666155"/>
                          <w:spacing w:val="-1"/>
                          <w:sz w:val="16"/>
                          <w:szCs w:val="16"/>
                        </w:rPr>
                        <w:t>2017</w:t>
                      </w:r>
                      <w:r>
                        <w:rPr>
                          <w:rFonts w:ascii="Segoe UI Semibold" w:hAnsi="Segoe UI Semibold" w:cs="Segoe UI Semibold" w:eastAsia="Segoe UI Semibold"/>
                          <w:sz w:val="16"/>
                          <w:szCs w:val="16"/>
                        </w:rPr>
                      </w:r>
                    </w:p>
                    <w:p>
                      <w:pPr>
                        <w:spacing w:line="240" w:lineRule="auto" w:before="9"/>
                        <w:rPr>
                          <w:rFonts w:ascii="Segoe UI" w:hAnsi="Segoe UI" w:cs="Segoe UI" w:eastAsia="Segoe UI"/>
                          <w:sz w:val="15"/>
                          <w:szCs w:val="15"/>
                        </w:rPr>
                      </w:pPr>
                    </w:p>
                    <w:p>
                      <w:pPr>
                        <w:spacing w:before="0"/>
                        <w:ind w:left="415" w:right="0" w:firstLine="0"/>
                        <w:jc w:val="left"/>
                        <w:rPr>
                          <w:rFonts w:ascii="Segoe UI" w:hAnsi="Segoe UI" w:cs="Segoe UI" w:eastAsia="Segoe UI"/>
                          <w:sz w:val="15"/>
                          <w:szCs w:val="15"/>
                        </w:rPr>
                      </w:pPr>
                      <w:r>
                        <w:rPr>
                          <w:rFonts w:ascii="Segoe UI"/>
                          <w:color w:val="77787B"/>
                          <w:spacing w:val="-1"/>
                          <w:sz w:val="15"/>
                        </w:rPr>
                        <w:t>35,000</w:t>
                      </w:r>
                      <w:r>
                        <w:rPr>
                          <w:rFonts w:ascii="Segoe UI"/>
                          <w:sz w:val="15"/>
                        </w:rPr>
                      </w:r>
                    </w:p>
                    <w:p>
                      <w:pPr>
                        <w:spacing w:line="240" w:lineRule="auto" w:before="8"/>
                        <w:rPr>
                          <w:rFonts w:ascii="Segoe UI" w:hAnsi="Segoe UI" w:cs="Segoe UI" w:eastAsia="Segoe UI"/>
                          <w:sz w:val="18"/>
                          <w:szCs w:val="18"/>
                        </w:rPr>
                      </w:pPr>
                    </w:p>
                    <w:p>
                      <w:pPr>
                        <w:spacing w:before="0"/>
                        <w:ind w:left="415" w:right="0" w:firstLine="0"/>
                        <w:jc w:val="left"/>
                        <w:rPr>
                          <w:rFonts w:ascii="Segoe UI" w:hAnsi="Segoe UI" w:cs="Segoe UI" w:eastAsia="Segoe UI"/>
                          <w:sz w:val="15"/>
                          <w:szCs w:val="15"/>
                        </w:rPr>
                      </w:pPr>
                      <w:r>
                        <w:rPr>
                          <w:rFonts w:ascii="Segoe UI"/>
                          <w:color w:val="77787B"/>
                          <w:spacing w:val="-1"/>
                          <w:sz w:val="15"/>
                        </w:rPr>
                        <w:t>30,000</w:t>
                      </w:r>
                      <w:r>
                        <w:rPr>
                          <w:rFonts w:ascii="Segoe UI"/>
                          <w:sz w:val="15"/>
                        </w:rPr>
                      </w:r>
                    </w:p>
                    <w:p>
                      <w:pPr>
                        <w:spacing w:line="240" w:lineRule="auto" w:before="8"/>
                        <w:rPr>
                          <w:rFonts w:ascii="Segoe UI" w:hAnsi="Segoe UI" w:cs="Segoe UI" w:eastAsia="Segoe UI"/>
                          <w:sz w:val="18"/>
                          <w:szCs w:val="18"/>
                        </w:rPr>
                      </w:pPr>
                    </w:p>
                    <w:p>
                      <w:pPr>
                        <w:spacing w:before="0"/>
                        <w:ind w:left="415" w:right="0" w:firstLine="0"/>
                        <w:jc w:val="left"/>
                        <w:rPr>
                          <w:rFonts w:ascii="Segoe UI" w:hAnsi="Segoe UI" w:cs="Segoe UI" w:eastAsia="Segoe UI"/>
                          <w:sz w:val="15"/>
                          <w:szCs w:val="15"/>
                        </w:rPr>
                      </w:pPr>
                      <w:r>
                        <w:rPr>
                          <w:rFonts w:ascii="Segoe UI"/>
                          <w:color w:val="77787B"/>
                          <w:spacing w:val="-1"/>
                          <w:sz w:val="15"/>
                        </w:rPr>
                        <w:t>25,000</w:t>
                      </w:r>
                      <w:r>
                        <w:rPr>
                          <w:rFonts w:ascii="Segoe UI"/>
                          <w:sz w:val="15"/>
                        </w:rPr>
                      </w:r>
                    </w:p>
                    <w:p>
                      <w:pPr>
                        <w:spacing w:line="240" w:lineRule="auto" w:before="8"/>
                        <w:rPr>
                          <w:rFonts w:ascii="Segoe UI" w:hAnsi="Segoe UI" w:cs="Segoe UI" w:eastAsia="Segoe UI"/>
                          <w:sz w:val="18"/>
                          <w:szCs w:val="18"/>
                        </w:rPr>
                      </w:pPr>
                    </w:p>
                    <w:p>
                      <w:pPr>
                        <w:spacing w:before="0"/>
                        <w:ind w:left="415" w:right="0" w:firstLine="0"/>
                        <w:jc w:val="left"/>
                        <w:rPr>
                          <w:rFonts w:ascii="Segoe UI" w:hAnsi="Segoe UI" w:cs="Segoe UI" w:eastAsia="Segoe UI"/>
                          <w:sz w:val="15"/>
                          <w:szCs w:val="15"/>
                        </w:rPr>
                      </w:pPr>
                      <w:r>
                        <w:rPr>
                          <w:rFonts w:ascii="Segoe UI"/>
                          <w:color w:val="77787B"/>
                          <w:spacing w:val="-1"/>
                          <w:sz w:val="15"/>
                        </w:rPr>
                        <w:t>20,000</w:t>
                      </w:r>
                      <w:r>
                        <w:rPr>
                          <w:rFonts w:ascii="Segoe UI"/>
                          <w:sz w:val="15"/>
                        </w:rPr>
                      </w:r>
                    </w:p>
                    <w:p>
                      <w:pPr>
                        <w:spacing w:line="240" w:lineRule="auto" w:before="8"/>
                        <w:rPr>
                          <w:rFonts w:ascii="Segoe UI" w:hAnsi="Segoe UI" w:cs="Segoe UI" w:eastAsia="Segoe UI"/>
                          <w:sz w:val="18"/>
                          <w:szCs w:val="18"/>
                        </w:rPr>
                      </w:pPr>
                    </w:p>
                    <w:p>
                      <w:pPr>
                        <w:spacing w:before="0"/>
                        <w:ind w:left="415" w:right="0" w:firstLine="0"/>
                        <w:jc w:val="left"/>
                        <w:rPr>
                          <w:rFonts w:ascii="Segoe UI" w:hAnsi="Segoe UI" w:cs="Segoe UI" w:eastAsia="Segoe UI"/>
                          <w:sz w:val="15"/>
                          <w:szCs w:val="15"/>
                        </w:rPr>
                      </w:pPr>
                      <w:r>
                        <w:rPr>
                          <w:rFonts w:ascii="Segoe UI"/>
                          <w:color w:val="77787B"/>
                          <w:spacing w:val="-1"/>
                          <w:sz w:val="15"/>
                        </w:rPr>
                        <w:t>15,000</w:t>
                      </w:r>
                      <w:r>
                        <w:rPr>
                          <w:rFonts w:ascii="Segoe UI"/>
                          <w:sz w:val="15"/>
                        </w:rPr>
                      </w:r>
                    </w:p>
                    <w:p>
                      <w:pPr>
                        <w:spacing w:line="240" w:lineRule="auto" w:before="8"/>
                        <w:rPr>
                          <w:rFonts w:ascii="Segoe UI" w:hAnsi="Segoe UI" w:cs="Segoe UI" w:eastAsia="Segoe UI"/>
                          <w:sz w:val="18"/>
                          <w:szCs w:val="18"/>
                        </w:rPr>
                      </w:pPr>
                    </w:p>
                    <w:p>
                      <w:pPr>
                        <w:spacing w:before="0"/>
                        <w:ind w:left="415" w:right="0" w:firstLine="0"/>
                        <w:jc w:val="left"/>
                        <w:rPr>
                          <w:rFonts w:ascii="Segoe UI" w:hAnsi="Segoe UI" w:cs="Segoe UI" w:eastAsia="Segoe UI"/>
                          <w:sz w:val="15"/>
                          <w:szCs w:val="15"/>
                        </w:rPr>
                      </w:pPr>
                      <w:r>
                        <w:rPr>
                          <w:rFonts w:ascii="Segoe UI"/>
                          <w:color w:val="77787B"/>
                          <w:spacing w:val="-1"/>
                          <w:sz w:val="15"/>
                        </w:rPr>
                        <w:t>10,000</w:t>
                      </w:r>
                      <w:r>
                        <w:rPr>
                          <w:rFonts w:ascii="Segoe UI"/>
                          <w:sz w:val="15"/>
                        </w:rPr>
                      </w:r>
                    </w:p>
                    <w:p>
                      <w:pPr>
                        <w:spacing w:line="240" w:lineRule="auto" w:before="8"/>
                        <w:rPr>
                          <w:rFonts w:ascii="Segoe UI" w:hAnsi="Segoe UI" w:cs="Segoe UI" w:eastAsia="Segoe UI"/>
                          <w:sz w:val="18"/>
                          <w:szCs w:val="18"/>
                        </w:rPr>
                      </w:pPr>
                    </w:p>
                    <w:p>
                      <w:pPr>
                        <w:spacing w:before="0"/>
                        <w:ind w:left="496" w:right="0" w:firstLine="0"/>
                        <w:jc w:val="left"/>
                        <w:rPr>
                          <w:rFonts w:ascii="Segoe UI" w:hAnsi="Segoe UI" w:cs="Segoe UI" w:eastAsia="Segoe UI"/>
                          <w:sz w:val="15"/>
                          <w:szCs w:val="15"/>
                        </w:rPr>
                      </w:pPr>
                      <w:r>
                        <w:rPr>
                          <w:rFonts w:ascii="Segoe UI"/>
                          <w:color w:val="77787B"/>
                          <w:spacing w:val="-1"/>
                          <w:sz w:val="15"/>
                        </w:rPr>
                        <w:t>5,000</w:t>
                      </w:r>
                      <w:r>
                        <w:rPr>
                          <w:rFonts w:ascii="Segoe UI"/>
                          <w:sz w:val="15"/>
                        </w:rPr>
                      </w:r>
                    </w:p>
                    <w:p>
                      <w:pPr>
                        <w:spacing w:line="240" w:lineRule="auto" w:before="8"/>
                        <w:rPr>
                          <w:rFonts w:ascii="Segoe UI" w:hAnsi="Segoe UI" w:cs="Segoe UI" w:eastAsia="Segoe UI"/>
                          <w:sz w:val="18"/>
                          <w:szCs w:val="18"/>
                        </w:rPr>
                      </w:pPr>
                    </w:p>
                    <w:p>
                      <w:pPr>
                        <w:spacing w:line="198" w:lineRule="exact" w:before="0"/>
                        <w:ind w:left="772" w:right="0" w:firstLine="0"/>
                        <w:jc w:val="left"/>
                        <w:rPr>
                          <w:rFonts w:ascii="Segoe UI" w:hAnsi="Segoe UI" w:cs="Segoe UI" w:eastAsia="Segoe UI"/>
                          <w:sz w:val="15"/>
                          <w:szCs w:val="15"/>
                        </w:rPr>
                      </w:pPr>
                      <w:r>
                        <w:rPr>
                          <w:rFonts w:ascii="Segoe UI"/>
                          <w:color w:val="77787B"/>
                          <w:sz w:val="15"/>
                        </w:rPr>
                        <w:t>0</w:t>
                      </w:r>
                      <w:r>
                        <w:rPr>
                          <w:rFonts w:ascii="Segoe UI"/>
                          <w:sz w:val="15"/>
                        </w:rPr>
                      </w:r>
                    </w:p>
                  </w:txbxContent>
                </v:textbox>
                <w10:wrap type="none"/>
              </v:shape>
              <v:shape style="position:absolute;left:3527;top:-1592;width:2290;height:152" type="#_x0000_t202" filled="false" stroked="false">
                <v:textbox inset="0,0,0,0">
                  <w:txbxContent>
                    <w:p>
                      <w:pPr>
                        <w:tabs>
                          <w:tab w:pos="1929" w:val="left" w:leader="none"/>
                        </w:tabs>
                        <w:spacing w:line="151" w:lineRule="exact" w:before="0"/>
                        <w:ind w:left="0" w:right="0" w:firstLine="0"/>
                        <w:jc w:val="left"/>
                        <w:rPr>
                          <w:rFonts w:ascii="Segoe UI" w:hAnsi="Segoe UI" w:cs="Segoe UI" w:eastAsia="Segoe UI"/>
                          <w:sz w:val="15"/>
                          <w:szCs w:val="15"/>
                        </w:rPr>
                      </w:pPr>
                      <w:r>
                        <w:rPr>
                          <w:rFonts w:ascii="Segoe UI"/>
                          <w:color w:val="77787B"/>
                          <w:spacing w:val="-2"/>
                          <w:sz w:val="15"/>
                        </w:rPr>
                        <w:t>Very</w:t>
                      </w:r>
                      <w:r>
                        <w:rPr>
                          <w:rFonts w:ascii="Segoe UI"/>
                          <w:color w:val="77787B"/>
                          <w:spacing w:val="1"/>
                          <w:sz w:val="15"/>
                        </w:rPr>
                        <w:t> </w:t>
                      </w:r>
                      <w:r>
                        <w:rPr>
                          <w:rFonts w:ascii="Segoe UI"/>
                          <w:color w:val="77787B"/>
                          <w:spacing w:val="-1"/>
                          <w:sz w:val="15"/>
                        </w:rPr>
                        <w:t>Small</w:t>
                        <w:tab/>
                        <w:t>Small</w:t>
                      </w:r>
                      <w:r>
                        <w:rPr>
                          <w:rFonts w:ascii="Segoe UI"/>
                          <w:sz w:val="15"/>
                        </w:rPr>
                      </w:r>
                    </w:p>
                  </w:txbxContent>
                </v:textbox>
                <w10:wrap type="none"/>
              </v:shape>
              <v:shape style="position:absolute;left:7120;top:-1592;width:1591;height:447" type="#_x0000_t202" filled="false" stroked="false">
                <v:textbox inset="0,0,0,0">
                  <w:txbxContent>
                    <w:p>
                      <w:pPr>
                        <w:spacing w:line="152" w:lineRule="exact" w:before="0"/>
                        <w:ind w:left="0" w:right="0" w:firstLine="0"/>
                        <w:jc w:val="left"/>
                        <w:rPr>
                          <w:rFonts w:ascii="Segoe UI" w:hAnsi="Segoe UI" w:cs="Segoe UI" w:eastAsia="Segoe UI"/>
                          <w:sz w:val="15"/>
                          <w:szCs w:val="15"/>
                        </w:rPr>
                      </w:pPr>
                      <w:r>
                        <w:rPr>
                          <w:rFonts w:ascii="Segoe UI"/>
                          <w:color w:val="77787B"/>
                          <w:spacing w:val="-1"/>
                          <w:sz w:val="15"/>
                        </w:rPr>
                        <w:t>Medium</w:t>
                      </w:r>
                      <w:r>
                        <w:rPr>
                          <w:rFonts w:ascii="Segoe UI"/>
                          <w:sz w:val="15"/>
                        </w:rPr>
                      </w:r>
                    </w:p>
                    <w:p>
                      <w:pPr>
                        <w:spacing w:line="198" w:lineRule="exact" w:before="96"/>
                        <w:ind w:left="142" w:right="0" w:firstLine="0"/>
                        <w:jc w:val="left"/>
                        <w:rPr>
                          <w:rFonts w:ascii="Segoe UI" w:hAnsi="Segoe UI" w:cs="Segoe UI" w:eastAsia="Segoe UI"/>
                          <w:sz w:val="15"/>
                          <w:szCs w:val="15"/>
                        </w:rPr>
                      </w:pPr>
                      <w:r>
                        <w:rPr>
                          <w:rFonts w:ascii="Segoe UI"/>
                          <w:color w:val="77787B"/>
                          <w:spacing w:val="-1"/>
                          <w:sz w:val="15"/>
                        </w:rPr>
                        <w:t>Mainstream providers</w:t>
                      </w:r>
                      <w:r>
                        <w:rPr>
                          <w:rFonts w:ascii="Segoe UI"/>
                          <w:sz w:val="15"/>
                        </w:rPr>
                      </w:r>
                    </w:p>
                  </w:txbxContent>
                </v:textbox>
                <w10:wrap type="none"/>
              </v:shape>
              <v:shape style="position:absolute;left:8974;top:-1592;width:369;height:152" type="#_x0000_t202" filled="false" stroked="false">
                <v:textbox inset="0,0,0,0">
                  <w:txbxContent>
                    <w:p>
                      <w:pPr>
                        <w:spacing w:line="151" w:lineRule="exact" w:before="0"/>
                        <w:ind w:left="0" w:right="0" w:firstLine="0"/>
                        <w:jc w:val="left"/>
                        <w:rPr>
                          <w:rFonts w:ascii="Segoe UI" w:hAnsi="Segoe UI" w:cs="Segoe UI" w:eastAsia="Segoe UI"/>
                          <w:sz w:val="15"/>
                          <w:szCs w:val="15"/>
                        </w:rPr>
                      </w:pPr>
                      <w:r>
                        <w:rPr>
                          <w:rFonts w:ascii="Segoe UI"/>
                          <w:color w:val="77787B"/>
                          <w:spacing w:val="-1"/>
                          <w:sz w:val="15"/>
                        </w:rPr>
                        <w:t>Large</w:t>
                      </w:r>
                      <w:r>
                        <w:rPr>
                          <w:rFonts w:ascii="Segoe UI"/>
                          <w:sz w:val="15"/>
                        </w:rPr>
                      </w:r>
                    </w:p>
                  </w:txbxContent>
                </v:textbox>
                <w10:wrap type="none"/>
              </v:shape>
              <v:shape style="position:absolute;left:3714;top:-1297;width:3048;height:152" type="#_x0000_t202" filled="false" stroked="false">
                <v:textbox inset="0,0,0,0">
                  <w:txbxContent>
                    <w:p>
                      <w:pPr>
                        <w:spacing w:line="151" w:lineRule="exact" w:before="0"/>
                        <w:ind w:left="0" w:right="0" w:firstLine="0"/>
                        <w:jc w:val="left"/>
                        <w:rPr>
                          <w:rFonts w:ascii="Segoe UI" w:hAnsi="Segoe UI" w:cs="Segoe UI" w:eastAsia="Segoe UI"/>
                          <w:sz w:val="15"/>
                          <w:szCs w:val="15"/>
                        </w:rPr>
                      </w:pPr>
                      <w:r>
                        <w:rPr>
                          <w:rFonts w:ascii="Segoe UI"/>
                          <w:color w:val="77787B"/>
                          <w:spacing w:val="-1"/>
                          <w:sz w:val="15"/>
                        </w:rPr>
                        <w:t>Aboriginal and Torres</w:t>
                      </w:r>
                      <w:r>
                        <w:rPr>
                          <w:rFonts w:ascii="Segoe UI"/>
                          <w:color w:val="77787B"/>
                          <w:spacing w:val="1"/>
                          <w:sz w:val="15"/>
                        </w:rPr>
                        <w:t> </w:t>
                      </w:r>
                      <w:r>
                        <w:rPr>
                          <w:rFonts w:ascii="Segoe UI"/>
                          <w:color w:val="77787B"/>
                          <w:spacing w:val="-1"/>
                          <w:sz w:val="15"/>
                        </w:rPr>
                        <w:t>Strait Islander providers</w:t>
                      </w:r>
                      <w:r>
                        <w:rPr>
                          <w:rFonts w:ascii="Segoe UI"/>
                          <w:sz w:val="15"/>
                        </w:rPr>
                      </w:r>
                    </w:p>
                  </w:txbxContent>
                </v:textbox>
                <w10:wrap type="none"/>
              </v:shape>
            </v:group>
            <w10:wrap type="none"/>
          </v:group>
        </w:pict>
      </w:r>
      <w:r>
        <w:rPr/>
        <w:pict>
          <v:shape style="position:absolute;margin-left:104.651337pt;margin-top:234.194305pt;width:9.6pt;height:30.7pt;mso-position-horizontal-relative:page;mso-position-vertical-relative:page;z-index:1456" type="#_x0000_t202" filled="false" stroked="false">
            <v:textbox inset="0,0,0,0" style="layout-flow:vertical;mso-layout-flow-alt:bottom-to-top">
              <w:txbxContent>
                <w:p>
                  <w:pPr>
                    <w:spacing w:line="172" w:lineRule="exact" w:before="0"/>
                    <w:ind w:left="20" w:right="0" w:firstLine="0"/>
                    <w:jc w:val="left"/>
                    <w:rPr>
                      <w:rFonts w:ascii="Segoe UI" w:hAnsi="Segoe UI" w:cs="Segoe UI" w:eastAsia="Segoe UI"/>
                      <w:sz w:val="15"/>
                      <w:szCs w:val="15"/>
                    </w:rPr>
                  </w:pPr>
                  <w:r>
                    <w:rPr>
                      <w:rFonts w:ascii="Segoe UI"/>
                      <w:color w:val="77787B"/>
                      <w:spacing w:val="-1"/>
                      <w:sz w:val="15"/>
                    </w:rPr>
                    <w:t>Costs</w:t>
                  </w:r>
                  <w:r>
                    <w:rPr>
                      <w:rFonts w:ascii="Segoe UI"/>
                      <w:color w:val="77787B"/>
                      <w:sz w:val="15"/>
                    </w:rPr>
                    <w:t> </w:t>
                  </w:r>
                  <w:r>
                    <w:rPr>
                      <w:rFonts w:ascii="Segoe UI"/>
                      <w:color w:val="77787B"/>
                      <w:spacing w:val="-1"/>
                      <w:sz w:val="15"/>
                    </w:rPr>
                    <w:t>($)</w:t>
                  </w:r>
                  <w:r>
                    <w:rPr>
                      <w:rFonts w:ascii="Segoe UI"/>
                      <w:sz w:val="15"/>
                    </w:rPr>
                  </w:r>
                </w:p>
              </w:txbxContent>
            </v:textbox>
            <w10:wrap type="none"/>
          </v:shape>
        </w:pict>
      </w:r>
      <w:r>
        <w:rPr>
          <w:color w:val="231F20"/>
        </w:rPr>
        <w:t>The</w:t>
      </w:r>
      <w:r>
        <w:rPr>
          <w:color w:val="231F20"/>
          <w:spacing w:val="-3"/>
        </w:rPr>
        <w:t> </w:t>
      </w:r>
      <w:r>
        <w:rPr>
          <w:color w:val="231F20"/>
        </w:rPr>
        <w:t>economies</w:t>
      </w:r>
      <w:r>
        <w:rPr>
          <w:color w:val="231F20"/>
          <w:spacing w:val="-4"/>
        </w:rPr>
        <w:t> </w:t>
      </w:r>
      <w:r>
        <w:rPr>
          <w:color w:val="231F20"/>
        </w:rPr>
        <w:t>of</w:t>
      </w:r>
      <w:r>
        <w:rPr>
          <w:color w:val="231F20"/>
          <w:spacing w:val="-3"/>
        </w:rPr>
        <w:t> </w:t>
      </w:r>
      <w:r>
        <w:rPr>
          <w:color w:val="231F20"/>
          <w:spacing w:val="-1"/>
        </w:rPr>
        <w:t>scale</w:t>
      </w:r>
      <w:r>
        <w:rPr>
          <w:color w:val="231F20"/>
          <w:spacing w:val="-3"/>
        </w:rPr>
        <w:t> </w:t>
      </w:r>
      <w:r>
        <w:rPr>
          <w:color w:val="231F20"/>
          <w:spacing w:val="-1"/>
        </w:rPr>
        <w:t>lacked</w:t>
      </w:r>
      <w:r>
        <w:rPr>
          <w:color w:val="231F20"/>
          <w:spacing w:val="-2"/>
        </w:rPr>
        <w:t> </w:t>
      </w:r>
      <w:r>
        <w:rPr>
          <w:color w:val="231F20"/>
        </w:rPr>
        <w:t>by</w:t>
      </w:r>
      <w:r>
        <w:rPr>
          <w:color w:val="231F20"/>
          <w:spacing w:val="-3"/>
        </w:rPr>
        <w:t> </w:t>
      </w:r>
      <w:r>
        <w:rPr>
          <w:color w:val="231F20"/>
        </w:rPr>
        <w:t>the</w:t>
      </w:r>
      <w:r>
        <w:rPr>
          <w:color w:val="231F20"/>
          <w:spacing w:val="-4"/>
        </w:rPr>
        <w:t> </w:t>
      </w:r>
      <w:r>
        <w:rPr>
          <w:color w:val="231F20"/>
        </w:rPr>
        <w:t>very</w:t>
      </w:r>
      <w:r>
        <w:rPr>
          <w:color w:val="231F20"/>
          <w:spacing w:val="23"/>
          <w:w w:val="99"/>
        </w:rPr>
        <w:t> </w:t>
      </w:r>
      <w:r>
        <w:rPr>
          <w:color w:val="231F20"/>
          <w:spacing w:val="-1"/>
        </w:rPr>
        <w:t>small</w:t>
      </w:r>
      <w:r>
        <w:rPr>
          <w:color w:val="231F20"/>
          <w:spacing w:val="-5"/>
        </w:rPr>
        <w:t> </w:t>
      </w:r>
      <w:r>
        <w:rPr>
          <w:color w:val="231F20"/>
        </w:rPr>
        <w:t>Aboriginal</w:t>
      </w:r>
      <w:r>
        <w:rPr>
          <w:color w:val="231F20"/>
          <w:spacing w:val="-5"/>
        </w:rPr>
        <w:t> </w:t>
      </w:r>
      <w:r>
        <w:rPr>
          <w:color w:val="231F20"/>
        </w:rPr>
        <w:t>and</w:t>
      </w:r>
      <w:r>
        <w:rPr>
          <w:color w:val="231F20"/>
          <w:spacing w:val="-5"/>
        </w:rPr>
        <w:t> Torres</w:t>
      </w:r>
      <w:r>
        <w:rPr>
          <w:color w:val="231F20"/>
          <w:spacing w:val="-4"/>
        </w:rPr>
        <w:t> </w:t>
      </w:r>
      <w:r>
        <w:rPr>
          <w:color w:val="231F20"/>
          <w:spacing w:val="-2"/>
        </w:rPr>
        <w:t>Strait</w:t>
      </w:r>
      <w:r>
        <w:rPr>
          <w:color w:val="231F20"/>
          <w:spacing w:val="-6"/>
        </w:rPr>
        <w:t> </w:t>
      </w:r>
      <w:r>
        <w:rPr>
          <w:color w:val="231F20"/>
          <w:spacing w:val="-1"/>
        </w:rPr>
        <w:t>Islander</w:t>
      </w:r>
      <w:r>
        <w:rPr>
          <w:color w:val="231F20"/>
          <w:spacing w:val="20"/>
          <w:w w:val="99"/>
        </w:rPr>
        <w:t> </w:t>
      </w:r>
      <w:r>
        <w:rPr>
          <w:color w:val="231F20"/>
        </w:rPr>
        <w:t>boarding</w:t>
      </w:r>
      <w:r>
        <w:rPr>
          <w:color w:val="231F20"/>
          <w:spacing w:val="-11"/>
        </w:rPr>
        <w:t> </w:t>
      </w:r>
      <w:r>
        <w:rPr>
          <w:color w:val="231F20"/>
        </w:rPr>
        <w:t>provides</w:t>
      </w:r>
      <w:r>
        <w:rPr>
          <w:color w:val="231F20"/>
          <w:spacing w:val="-10"/>
        </w:rPr>
        <w:t> </w:t>
      </w:r>
      <w:r>
        <w:rPr>
          <w:color w:val="231F20"/>
          <w:spacing w:val="-1"/>
        </w:rPr>
        <w:t>support</w:t>
      </w:r>
      <w:r>
        <w:rPr>
          <w:color w:val="231F20"/>
          <w:spacing w:val="-9"/>
        </w:rPr>
        <w:t> </w:t>
      </w:r>
      <w:r>
        <w:rPr>
          <w:color w:val="231F20"/>
        </w:rPr>
        <w:t>for</w:t>
      </w:r>
      <w:r>
        <w:rPr>
          <w:color w:val="231F20"/>
          <w:spacing w:val="-9"/>
        </w:rPr>
        <w:t> </w:t>
      </w:r>
      <w:r>
        <w:rPr>
          <w:color w:val="231F20"/>
        </w:rPr>
        <w:t>consideration</w:t>
      </w:r>
      <w:r>
        <w:rPr>
          <w:color w:val="231F20"/>
          <w:spacing w:val="22"/>
          <w:w w:val="99"/>
        </w:rPr>
        <w:t> </w:t>
      </w:r>
      <w:r>
        <w:rPr>
          <w:color w:val="231F20"/>
        </w:rPr>
        <w:t>of</w:t>
      </w:r>
      <w:r>
        <w:rPr>
          <w:color w:val="231F20"/>
          <w:spacing w:val="-3"/>
        </w:rPr>
        <w:t> </w:t>
      </w:r>
      <w:r>
        <w:rPr>
          <w:color w:val="231F20"/>
        </w:rPr>
        <w:t>a</w:t>
      </w:r>
      <w:r>
        <w:rPr>
          <w:color w:val="231F20"/>
          <w:spacing w:val="-3"/>
        </w:rPr>
        <w:t> </w:t>
      </w:r>
      <w:r>
        <w:rPr>
          <w:color w:val="231F20"/>
        </w:rPr>
        <w:t>funding</w:t>
      </w:r>
      <w:r>
        <w:rPr>
          <w:color w:val="231F20"/>
          <w:spacing w:val="-2"/>
        </w:rPr>
        <w:t> </w:t>
      </w:r>
      <w:r>
        <w:rPr>
          <w:color w:val="231F20"/>
          <w:spacing w:val="-1"/>
        </w:rPr>
        <w:t>loading</w:t>
      </w:r>
      <w:r>
        <w:rPr>
          <w:color w:val="231F20"/>
          <w:spacing w:val="-3"/>
        </w:rPr>
        <w:t> </w:t>
      </w:r>
      <w:r>
        <w:rPr>
          <w:color w:val="231F20"/>
          <w:spacing w:val="-1"/>
        </w:rPr>
        <w:t>similar</w:t>
      </w:r>
      <w:r>
        <w:rPr>
          <w:color w:val="231F20"/>
          <w:spacing w:val="-3"/>
        </w:rPr>
        <w:t> </w:t>
      </w:r>
      <w:r>
        <w:rPr>
          <w:color w:val="231F20"/>
        </w:rPr>
        <w:t>to</w:t>
      </w:r>
      <w:r>
        <w:rPr>
          <w:color w:val="231F20"/>
          <w:spacing w:val="-2"/>
        </w:rPr>
        <w:t> </w:t>
      </w:r>
      <w:r>
        <w:rPr>
          <w:color w:val="231F20"/>
        </w:rPr>
        <w:t>the</w:t>
      </w:r>
      <w:r>
        <w:rPr>
          <w:color w:val="231F20"/>
          <w:spacing w:val="-4"/>
        </w:rPr>
        <w:t> </w:t>
      </w:r>
      <w:r>
        <w:rPr>
          <w:color w:val="231F20"/>
        </w:rPr>
        <w:t>‘school</w:t>
      </w:r>
      <w:r>
        <w:rPr>
          <w:color w:val="231F20"/>
          <w:spacing w:val="-4"/>
        </w:rPr>
        <w:t> </w:t>
      </w:r>
      <w:r>
        <w:rPr>
          <w:color w:val="231F20"/>
          <w:spacing w:val="-1"/>
        </w:rPr>
        <w:t>size</w:t>
      </w:r>
      <w:r>
        <w:rPr>
          <w:color w:val="231F20"/>
          <w:spacing w:val="22"/>
        </w:rPr>
        <w:t> </w:t>
      </w:r>
      <w:r>
        <w:rPr>
          <w:color w:val="231F20"/>
          <w:spacing w:val="-1"/>
        </w:rPr>
        <w:t>loading’</w:t>
      </w:r>
      <w:r>
        <w:rPr>
          <w:color w:val="231F20"/>
          <w:spacing w:val="-5"/>
        </w:rPr>
        <w:t> </w:t>
      </w:r>
      <w:r>
        <w:rPr>
          <w:color w:val="231F20"/>
          <w:spacing w:val="-1"/>
        </w:rPr>
        <w:t>in</w:t>
      </w:r>
      <w:r>
        <w:rPr>
          <w:color w:val="231F20"/>
          <w:spacing w:val="-5"/>
        </w:rPr>
        <w:t> </w:t>
      </w:r>
      <w:r>
        <w:rPr>
          <w:color w:val="231F20"/>
        </w:rPr>
        <w:t>the</w:t>
      </w:r>
      <w:r>
        <w:rPr>
          <w:color w:val="231F20"/>
          <w:spacing w:val="-6"/>
        </w:rPr>
        <w:t> </w:t>
      </w:r>
      <w:r>
        <w:rPr>
          <w:color w:val="231F20"/>
          <w:spacing w:val="-1"/>
        </w:rPr>
        <w:t>Schooling</w:t>
      </w:r>
      <w:r>
        <w:rPr>
          <w:color w:val="231F20"/>
          <w:spacing w:val="-5"/>
        </w:rPr>
        <w:t> </w:t>
      </w:r>
      <w:r>
        <w:rPr>
          <w:color w:val="231F20"/>
          <w:spacing w:val="-1"/>
        </w:rPr>
        <w:t>Resource</w:t>
      </w:r>
      <w:r>
        <w:rPr>
          <w:color w:val="231F20"/>
          <w:spacing w:val="-6"/>
        </w:rPr>
        <w:t> </w:t>
      </w:r>
      <w:r>
        <w:rPr>
          <w:color w:val="231F20"/>
          <w:spacing w:val="-1"/>
        </w:rPr>
        <w:t>Standard.</w:t>
      </w:r>
      <w:r>
        <w:rPr/>
      </w:r>
    </w:p>
    <w:p>
      <w:pPr>
        <w:spacing w:line="240" w:lineRule="auto" w:before="9"/>
        <w:rPr>
          <w:rFonts w:ascii="Segoe UI" w:hAnsi="Segoe UI" w:cs="Segoe UI" w:eastAsia="Segoe UI"/>
          <w:sz w:val="19"/>
          <w:szCs w:val="19"/>
        </w:rPr>
      </w:pPr>
    </w:p>
    <w:p>
      <w:pPr>
        <w:pStyle w:val="Heading5"/>
        <w:spacing w:line="240" w:lineRule="auto"/>
        <w:ind w:left="100" w:right="1"/>
        <w:jc w:val="left"/>
        <w:rPr>
          <w:i w:val="0"/>
        </w:rPr>
      </w:pPr>
      <w:r>
        <w:rPr>
          <w:b/>
          <w:i/>
          <w:color w:val="00779B"/>
          <w:spacing w:val="-1"/>
        </w:rPr>
        <w:t>Socio-educational</w:t>
      </w:r>
      <w:r>
        <w:rPr>
          <w:b/>
          <w:i/>
          <w:color w:val="00779B"/>
        </w:rPr>
        <w:t> </w:t>
      </w:r>
      <w:r>
        <w:rPr>
          <w:b/>
          <w:i/>
          <w:color w:val="00779B"/>
          <w:spacing w:val="-2"/>
        </w:rPr>
        <w:t>disadvantage</w:t>
      </w:r>
      <w:r>
        <w:rPr>
          <w:i w:val="0"/>
        </w:rPr>
      </w:r>
    </w:p>
    <w:p>
      <w:pPr>
        <w:pStyle w:val="BodyText"/>
        <w:spacing w:line="250" w:lineRule="exact" w:before="131"/>
        <w:ind w:left="100" w:right="1"/>
        <w:jc w:val="left"/>
      </w:pPr>
      <w:r>
        <w:rPr>
          <w:color w:val="231F20"/>
        </w:rPr>
        <w:t>All</w:t>
      </w:r>
      <w:r>
        <w:rPr>
          <w:color w:val="231F20"/>
          <w:spacing w:val="-6"/>
        </w:rPr>
        <w:t> </w:t>
      </w:r>
      <w:r>
        <w:rPr>
          <w:color w:val="231F20"/>
        </w:rPr>
        <w:t>Aboriginal</w:t>
      </w:r>
      <w:r>
        <w:rPr>
          <w:color w:val="231F20"/>
          <w:spacing w:val="-4"/>
        </w:rPr>
        <w:t> </w:t>
      </w:r>
      <w:r>
        <w:rPr>
          <w:color w:val="231F20"/>
        </w:rPr>
        <w:t>and</w:t>
      </w:r>
      <w:r>
        <w:rPr>
          <w:color w:val="231F20"/>
          <w:spacing w:val="-6"/>
        </w:rPr>
        <w:t> </w:t>
      </w:r>
      <w:r>
        <w:rPr>
          <w:color w:val="231F20"/>
          <w:spacing w:val="-5"/>
        </w:rPr>
        <w:t>Torres</w:t>
      </w:r>
      <w:r>
        <w:rPr>
          <w:color w:val="231F20"/>
          <w:spacing w:val="-4"/>
        </w:rPr>
        <w:t> </w:t>
      </w:r>
      <w:r>
        <w:rPr>
          <w:color w:val="231F20"/>
          <w:spacing w:val="-2"/>
        </w:rPr>
        <w:t>Strait</w:t>
      </w:r>
      <w:r>
        <w:rPr>
          <w:color w:val="231F20"/>
          <w:spacing w:val="-6"/>
        </w:rPr>
        <w:t> </w:t>
      </w:r>
      <w:r>
        <w:rPr>
          <w:color w:val="231F20"/>
          <w:spacing w:val="-1"/>
        </w:rPr>
        <w:t>Islander</w:t>
      </w:r>
      <w:r>
        <w:rPr>
          <w:color w:val="231F20"/>
          <w:spacing w:val="29"/>
          <w:w w:val="99"/>
        </w:rPr>
        <w:t> </w:t>
      </w:r>
      <w:r>
        <w:rPr>
          <w:color w:val="231F20"/>
        </w:rPr>
        <w:t>boarding</w:t>
      </w:r>
      <w:r>
        <w:rPr>
          <w:color w:val="231F20"/>
          <w:spacing w:val="-11"/>
        </w:rPr>
        <w:t> </w:t>
      </w:r>
      <w:r>
        <w:rPr>
          <w:color w:val="231F20"/>
        </w:rPr>
        <w:t>providers</w:t>
      </w:r>
      <w:r>
        <w:rPr>
          <w:color w:val="231F20"/>
          <w:spacing w:val="-10"/>
        </w:rPr>
        <w:t> </w:t>
      </w:r>
      <w:r>
        <w:rPr>
          <w:color w:val="231F20"/>
        </w:rPr>
        <w:t>reported</w:t>
      </w:r>
      <w:r>
        <w:rPr>
          <w:color w:val="231F20"/>
          <w:spacing w:val="-10"/>
        </w:rPr>
        <w:t> </w:t>
      </w:r>
      <w:r>
        <w:rPr>
          <w:color w:val="231F20"/>
        </w:rPr>
        <w:t>that</w:t>
      </w:r>
      <w:r>
        <w:rPr>
          <w:color w:val="231F20"/>
          <w:spacing w:val="-10"/>
        </w:rPr>
        <w:t> </w:t>
      </w:r>
      <w:r>
        <w:rPr>
          <w:color w:val="231F20"/>
        </w:rPr>
        <w:t>Aboriginal</w:t>
      </w:r>
      <w:r>
        <w:rPr>
          <w:color w:val="231F20"/>
          <w:w w:val="99"/>
        </w:rPr>
        <w:t> </w:t>
      </w:r>
      <w:r>
        <w:rPr>
          <w:color w:val="231F20"/>
        </w:rPr>
        <w:t>and</w:t>
      </w:r>
      <w:r>
        <w:rPr>
          <w:color w:val="231F20"/>
          <w:spacing w:val="-7"/>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5"/>
        </w:rPr>
        <w:t> </w:t>
      </w:r>
      <w:r>
        <w:rPr>
          <w:color w:val="231F20"/>
        </w:rPr>
        <w:t>boarders</w:t>
      </w:r>
      <w:r>
        <w:rPr>
          <w:color w:val="231F20"/>
          <w:spacing w:val="-6"/>
        </w:rPr>
        <w:t> </w:t>
      </w:r>
      <w:r>
        <w:rPr>
          <w:color w:val="231F20"/>
        </w:rPr>
        <w:t>from</w:t>
      </w:r>
      <w:r>
        <w:rPr>
          <w:color w:val="231F20"/>
          <w:spacing w:val="21"/>
          <w:w w:val="99"/>
        </w:rPr>
        <w:t> </w:t>
      </w:r>
      <w:r>
        <w:rPr>
          <w:color w:val="231F20"/>
        </w:rPr>
        <w:t>disadvantaged</w:t>
      </w:r>
      <w:r>
        <w:rPr>
          <w:color w:val="231F20"/>
          <w:spacing w:val="-14"/>
        </w:rPr>
        <w:t> </w:t>
      </w:r>
      <w:r>
        <w:rPr>
          <w:color w:val="231F20"/>
        </w:rPr>
        <w:t>and/or</w:t>
      </w:r>
      <w:r>
        <w:rPr>
          <w:color w:val="231F20"/>
          <w:spacing w:val="-13"/>
        </w:rPr>
        <w:t> </w:t>
      </w:r>
      <w:r>
        <w:rPr>
          <w:color w:val="231F20"/>
        </w:rPr>
        <w:t>trauma</w:t>
      </w:r>
      <w:r>
        <w:rPr>
          <w:color w:val="231F20"/>
          <w:spacing w:val="-13"/>
        </w:rPr>
        <w:t> </w:t>
      </w:r>
      <w:r>
        <w:rPr>
          <w:color w:val="231F20"/>
        </w:rPr>
        <w:t>backgrounds</w:t>
      </w:r>
      <w:r>
        <w:rPr>
          <w:color w:val="231F20"/>
          <w:w w:val="99"/>
        </w:rPr>
        <w:t> </w:t>
      </w:r>
      <w:r>
        <w:rPr>
          <w:color w:val="231F20"/>
        </w:rPr>
        <w:t>require</w:t>
      </w:r>
      <w:r>
        <w:rPr>
          <w:color w:val="231F20"/>
          <w:spacing w:val="-5"/>
        </w:rPr>
        <w:t> </w:t>
      </w:r>
      <w:r>
        <w:rPr>
          <w:color w:val="231F20"/>
        </w:rPr>
        <w:t>a</w:t>
      </w:r>
      <w:r>
        <w:rPr>
          <w:color w:val="231F20"/>
          <w:spacing w:val="-4"/>
        </w:rPr>
        <w:t> </w:t>
      </w:r>
      <w:r>
        <w:rPr>
          <w:color w:val="231F20"/>
        </w:rPr>
        <w:t>higher</w:t>
      </w:r>
      <w:r>
        <w:rPr>
          <w:color w:val="231F20"/>
          <w:spacing w:val="-4"/>
        </w:rPr>
        <w:t> </w:t>
      </w:r>
      <w:r>
        <w:rPr>
          <w:color w:val="231F20"/>
          <w:spacing w:val="-1"/>
        </w:rPr>
        <w:t>level</w:t>
      </w:r>
      <w:r>
        <w:rPr>
          <w:color w:val="231F20"/>
          <w:spacing w:val="-4"/>
        </w:rPr>
        <w:t> </w:t>
      </w:r>
      <w:r>
        <w:rPr>
          <w:color w:val="231F20"/>
        </w:rPr>
        <w:t>of</w:t>
      </w:r>
      <w:r>
        <w:rPr>
          <w:color w:val="231F20"/>
          <w:spacing w:val="-4"/>
        </w:rPr>
        <w:t> </w:t>
      </w:r>
      <w:r>
        <w:rPr>
          <w:color w:val="231F20"/>
          <w:spacing w:val="-1"/>
        </w:rPr>
        <w:t>support</w:t>
      </w:r>
      <w:r>
        <w:rPr>
          <w:color w:val="231F20"/>
          <w:spacing w:val="-3"/>
        </w:rPr>
        <w:t> </w:t>
      </w:r>
      <w:r>
        <w:rPr>
          <w:color w:val="231F20"/>
          <w:spacing w:val="-1"/>
        </w:rPr>
        <w:t>services</w:t>
      </w:r>
      <w:r>
        <w:rPr>
          <w:color w:val="231F20"/>
          <w:spacing w:val="-4"/>
        </w:rPr>
        <w:t> </w:t>
      </w:r>
      <w:r>
        <w:rPr>
          <w:color w:val="231F20"/>
        </w:rPr>
        <w:t>than</w:t>
      </w:r>
      <w:r>
        <w:rPr>
          <w:color w:val="231F20"/>
          <w:spacing w:val="24"/>
          <w:w w:val="99"/>
        </w:rPr>
        <w:t> </w:t>
      </w:r>
      <w:r>
        <w:rPr>
          <w:color w:val="231F20"/>
        </w:rPr>
        <w:t>other</w:t>
      </w:r>
      <w:r>
        <w:rPr>
          <w:color w:val="231F20"/>
          <w:spacing w:val="-7"/>
        </w:rPr>
        <w:t> </w:t>
      </w:r>
      <w:r>
        <w:rPr>
          <w:color w:val="231F20"/>
        </w:rPr>
        <w:t>boarders.</w:t>
      </w:r>
      <w:r>
        <w:rPr>
          <w:color w:val="231F20"/>
          <w:spacing w:val="-7"/>
        </w:rPr>
        <w:t> </w:t>
      </w:r>
      <w:r>
        <w:rPr>
          <w:color w:val="231F20"/>
        </w:rPr>
        <w:t>This</w:t>
      </w:r>
      <w:r>
        <w:rPr>
          <w:color w:val="231F20"/>
          <w:spacing w:val="-8"/>
        </w:rPr>
        <w:t> </w:t>
      </w:r>
      <w:r>
        <w:rPr>
          <w:color w:val="231F20"/>
          <w:spacing w:val="-1"/>
        </w:rPr>
        <w:t>is</w:t>
      </w:r>
      <w:r>
        <w:rPr>
          <w:color w:val="231F20"/>
          <w:spacing w:val="-7"/>
        </w:rPr>
        <w:t> </w:t>
      </w:r>
      <w:r>
        <w:rPr>
          <w:color w:val="231F20"/>
        </w:rPr>
        <w:t>predominately</w:t>
      </w:r>
      <w:r>
        <w:rPr>
          <w:color w:val="231F20"/>
          <w:spacing w:val="-7"/>
        </w:rPr>
        <w:t> </w:t>
      </w:r>
      <w:r>
        <w:rPr>
          <w:color w:val="231F20"/>
        </w:rPr>
        <w:t>health,</w:t>
      </w:r>
      <w:r>
        <w:rPr>
          <w:color w:val="231F20"/>
          <w:spacing w:val="21"/>
          <w:w w:val="99"/>
        </w:rPr>
        <w:t> </w:t>
      </w:r>
      <w:r>
        <w:rPr>
          <w:color w:val="231F20"/>
          <w:spacing w:val="-1"/>
        </w:rPr>
        <w:t>social</w:t>
      </w:r>
      <w:r>
        <w:rPr>
          <w:color w:val="231F20"/>
          <w:spacing w:val="-6"/>
        </w:rPr>
        <w:t> </w:t>
      </w:r>
      <w:r>
        <w:rPr>
          <w:color w:val="231F20"/>
        </w:rPr>
        <w:t>and</w:t>
      </w:r>
      <w:r>
        <w:rPr>
          <w:color w:val="231F20"/>
          <w:spacing w:val="-6"/>
        </w:rPr>
        <w:t> </w:t>
      </w:r>
      <w:r>
        <w:rPr>
          <w:color w:val="231F20"/>
        </w:rPr>
        <w:t>emotional</w:t>
      </w:r>
      <w:r>
        <w:rPr>
          <w:color w:val="231F20"/>
          <w:spacing w:val="-6"/>
        </w:rPr>
        <w:t> </w:t>
      </w:r>
      <w:r>
        <w:rPr>
          <w:color w:val="231F20"/>
        </w:rPr>
        <w:t>well-being,</w:t>
      </w:r>
      <w:r>
        <w:rPr>
          <w:color w:val="231F20"/>
          <w:spacing w:val="-7"/>
        </w:rPr>
        <w:t> </w:t>
      </w:r>
      <w:r>
        <w:rPr>
          <w:color w:val="231F20"/>
        </w:rPr>
        <w:t>education</w:t>
      </w:r>
      <w:r>
        <w:rPr>
          <w:color w:val="231F20"/>
          <w:spacing w:val="-6"/>
        </w:rPr>
        <w:t> </w:t>
      </w:r>
      <w:r>
        <w:rPr>
          <w:color w:val="231F20"/>
        </w:rPr>
        <w:t>and</w:t>
      </w:r>
      <w:r>
        <w:rPr>
          <w:color w:val="231F20"/>
          <w:spacing w:val="21"/>
          <w:w w:val="99"/>
        </w:rPr>
        <w:t> </w:t>
      </w:r>
      <w:r>
        <w:rPr>
          <w:color w:val="231F20"/>
        </w:rPr>
        <w:t>cultural</w:t>
      </w:r>
      <w:r>
        <w:rPr>
          <w:color w:val="231F20"/>
          <w:spacing w:val="-8"/>
        </w:rPr>
        <w:t> </w:t>
      </w:r>
      <w:r>
        <w:rPr>
          <w:color w:val="231F20"/>
          <w:spacing w:val="-1"/>
        </w:rPr>
        <w:t>support</w:t>
      </w:r>
      <w:r>
        <w:rPr>
          <w:color w:val="231F20"/>
          <w:spacing w:val="-7"/>
        </w:rPr>
        <w:t> </w:t>
      </w:r>
      <w:r>
        <w:rPr>
          <w:color w:val="231F20"/>
          <w:spacing w:val="-1"/>
        </w:rPr>
        <w:t>services.</w:t>
      </w:r>
      <w:r>
        <w:rPr/>
      </w:r>
    </w:p>
    <w:p>
      <w:pPr>
        <w:pStyle w:val="BodyText"/>
        <w:spacing w:line="250" w:lineRule="exact" w:before="113"/>
        <w:ind w:left="100" w:right="22"/>
        <w:jc w:val="left"/>
      </w:pPr>
      <w:r>
        <w:rPr>
          <w:color w:val="231F20"/>
        </w:rPr>
        <w:t>The</w:t>
      </w:r>
      <w:r>
        <w:rPr>
          <w:color w:val="231F20"/>
          <w:spacing w:val="-5"/>
        </w:rPr>
        <w:t> </w:t>
      </w:r>
      <w:r>
        <w:rPr>
          <w:color w:val="231F20"/>
        </w:rPr>
        <w:t>data</w:t>
      </w:r>
      <w:r>
        <w:rPr>
          <w:color w:val="231F20"/>
          <w:spacing w:val="-5"/>
        </w:rPr>
        <w:t> </w:t>
      </w:r>
      <w:r>
        <w:rPr>
          <w:color w:val="231F20"/>
          <w:spacing w:val="-1"/>
        </w:rPr>
        <w:t>indicates</w:t>
      </w:r>
      <w:r>
        <w:rPr>
          <w:color w:val="231F20"/>
          <w:spacing w:val="-5"/>
        </w:rPr>
        <w:t> </w:t>
      </w:r>
      <w:r>
        <w:rPr>
          <w:color w:val="231F20"/>
        </w:rPr>
        <w:t>that</w:t>
      </w:r>
      <w:r>
        <w:rPr>
          <w:color w:val="231F20"/>
          <w:spacing w:val="-5"/>
        </w:rPr>
        <w:t> </w:t>
      </w:r>
      <w:r>
        <w:rPr>
          <w:color w:val="231F20"/>
        </w:rPr>
        <w:t>the</w:t>
      </w:r>
      <w:r>
        <w:rPr>
          <w:color w:val="231F20"/>
          <w:spacing w:val="-6"/>
        </w:rPr>
        <w:t> </w:t>
      </w:r>
      <w:r>
        <w:rPr>
          <w:color w:val="231F20"/>
        </w:rPr>
        <w:t>cost</w:t>
      </w:r>
      <w:r>
        <w:rPr>
          <w:color w:val="231F20"/>
          <w:spacing w:val="-5"/>
        </w:rPr>
        <w:t> </w:t>
      </w:r>
      <w:r>
        <w:rPr>
          <w:color w:val="231F20"/>
        </w:rPr>
        <w:t>of</w:t>
      </w:r>
      <w:r>
        <w:rPr>
          <w:color w:val="231F20"/>
          <w:spacing w:val="-5"/>
        </w:rPr>
        <w:t> </w:t>
      </w:r>
      <w:r>
        <w:rPr>
          <w:color w:val="231F20"/>
        </w:rPr>
        <w:t>boarding</w:t>
      </w:r>
      <w:r>
        <w:rPr>
          <w:color w:val="231F20"/>
          <w:spacing w:val="22"/>
          <w:w w:val="99"/>
        </w:rPr>
        <w:t> </w:t>
      </w:r>
      <w:r>
        <w:rPr>
          <w:rFonts w:ascii="Segoe UI"/>
          <w:color w:val="231F20"/>
        </w:rPr>
        <w:t>may indeed be influenced by the socio</w:t>
      </w:r>
      <w:r>
        <w:rPr>
          <w:rFonts w:ascii="Segoe UI"/>
          <w:color w:val="231F20"/>
        </w:rPr>
        <w:t> </w:t>
      </w:r>
      <w:r>
        <w:rPr>
          <w:color w:val="231F20"/>
        </w:rPr>
        <w:t>economic</w:t>
      </w:r>
      <w:r>
        <w:rPr>
          <w:color w:val="231F20"/>
          <w:spacing w:val="-6"/>
        </w:rPr>
        <w:t> </w:t>
      </w:r>
      <w:r>
        <w:rPr>
          <w:color w:val="231F20"/>
        </w:rPr>
        <w:t>background</w:t>
      </w:r>
      <w:r>
        <w:rPr>
          <w:color w:val="231F20"/>
          <w:spacing w:val="-6"/>
        </w:rPr>
        <w:t> </w:t>
      </w:r>
      <w:r>
        <w:rPr>
          <w:color w:val="231F20"/>
        </w:rPr>
        <w:t>of</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w:t>
      </w:r>
      <w:r>
        <w:rPr>
          <w:color w:val="231F20"/>
          <w:spacing w:val="24"/>
          <w:w w:val="99"/>
        </w:rPr>
        <w:t> </w:t>
      </w:r>
      <w:r>
        <w:rPr>
          <w:color w:val="231F20"/>
          <w:spacing w:val="-2"/>
        </w:rPr>
        <w:t>Strait</w:t>
      </w:r>
      <w:r>
        <w:rPr>
          <w:color w:val="231F20"/>
          <w:spacing w:val="-11"/>
        </w:rPr>
        <w:t> </w:t>
      </w:r>
      <w:r>
        <w:rPr>
          <w:color w:val="231F20"/>
          <w:spacing w:val="-1"/>
        </w:rPr>
        <w:t>Islander</w:t>
      </w:r>
      <w:r>
        <w:rPr>
          <w:color w:val="231F20"/>
          <w:spacing w:val="-9"/>
        </w:rPr>
        <w:t> </w:t>
      </w:r>
      <w:r>
        <w:rPr>
          <w:color w:val="231F20"/>
          <w:spacing w:val="-1"/>
        </w:rPr>
        <w:t>students.</w:t>
      </w:r>
      <w:r>
        <w:rPr/>
      </w:r>
    </w:p>
    <w:p>
      <w:pPr>
        <w:pStyle w:val="BodyText"/>
        <w:spacing w:line="250" w:lineRule="exact" w:before="113"/>
        <w:ind w:left="100" w:right="488"/>
        <w:jc w:val="left"/>
      </w:pPr>
      <w:r>
        <w:rPr>
          <w:color w:val="231F20"/>
        </w:rPr>
        <w:t>Nearly</w:t>
      </w:r>
      <w:r>
        <w:rPr>
          <w:color w:val="231F20"/>
          <w:spacing w:val="-4"/>
        </w:rPr>
        <w:t> </w:t>
      </w:r>
      <w:r>
        <w:rPr>
          <w:color w:val="231F20"/>
        </w:rPr>
        <w:t>all</w:t>
      </w:r>
      <w:r>
        <w:rPr>
          <w:color w:val="231F20"/>
          <w:spacing w:val="-4"/>
        </w:rPr>
        <w:t> </w:t>
      </w:r>
      <w:r>
        <w:rPr>
          <w:color w:val="231F20"/>
          <w:spacing w:val="-1"/>
        </w:rPr>
        <w:t>schools</w:t>
      </w:r>
      <w:r>
        <w:rPr>
          <w:color w:val="231F20"/>
          <w:spacing w:val="-3"/>
        </w:rPr>
        <w:t> </w:t>
      </w:r>
      <w:r>
        <w:rPr>
          <w:color w:val="231F20"/>
        </w:rPr>
        <w:t>are</w:t>
      </w:r>
      <w:r>
        <w:rPr>
          <w:color w:val="231F20"/>
          <w:spacing w:val="-4"/>
        </w:rPr>
        <w:t> </w:t>
      </w:r>
      <w:r>
        <w:rPr>
          <w:color w:val="231F20"/>
        </w:rPr>
        <w:t>allocated</w:t>
      </w:r>
      <w:r>
        <w:rPr>
          <w:color w:val="231F20"/>
          <w:spacing w:val="-4"/>
        </w:rPr>
        <w:t> </w:t>
      </w:r>
      <w:r>
        <w:rPr>
          <w:color w:val="231F20"/>
        </w:rPr>
        <w:t>an</w:t>
      </w:r>
      <w:r>
        <w:rPr>
          <w:color w:val="231F20"/>
          <w:spacing w:val="-4"/>
        </w:rPr>
        <w:t> </w:t>
      </w:r>
      <w:r>
        <w:rPr>
          <w:color w:val="231F20"/>
          <w:spacing w:val="-1"/>
        </w:rPr>
        <w:t>ICSEA</w:t>
      </w:r>
      <w:r>
        <w:rPr>
          <w:color w:val="231F20"/>
          <w:spacing w:val="21"/>
        </w:rPr>
        <w:t> </w:t>
      </w:r>
      <w:r>
        <w:rPr>
          <w:color w:val="231F20"/>
          <w:spacing w:val="-1"/>
        </w:rPr>
        <w:t>score.</w:t>
      </w:r>
      <w:r>
        <w:rPr>
          <w:rFonts w:ascii="Segoe UI Semibold"/>
          <w:b/>
          <w:color w:val="231F20"/>
          <w:spacing w:val="-1"/>
          <w:position w:val="7"/>
          <w:sz w:val="11"/>
        </w:rPr>
        <w:t>10</w:t>
      </w:r>
      <w:r>
        <w:rPr>
          <w:rFonts w:ascii="Segoe UI Semibold"/>
          <w:b/>
          <w:color w:val="231F20"/>
          <w:spacing w:val="21"/>
          <w:position w:val="7"/>
          <w:sz w:val="11"/>
        </w:rPr>
        <w:t> </w:t>
      </w:r>
      <w:r>
        <w:rPr>
          <w:color w:val="231F20"/>
          <w:spacing w:val="-1"/>
        </w:rPr>
        <w:t>ICSEA</w:t>
      </w:r>
      <w:r>
        <w:rPr>
          <w:color w:val="231F20"/>
          <w:spacing w:val="-4"/>
        </w:rPr>
        <w:t> </w:t>
      </w:r>
      <w:r>
        <w:rPr>
          <w:color w:val="231F20"/>
          <w:spacing w:val="-1"/>
        </w:rPr>
        <w:t>is</w:t>
      </w:r>
      <w:r>
        <w:rPr>
          <w:color w:val="231F20"/>
          <w:spacing w:val="-4"/>
        </w:rPr>
        <w:t> </w:t>
      </w:r>
      <w:r>
        <w:rPr>
          <w:color w:val="231F20"/>
        </w:rPr>
        <w:t>a</w:t>
      </w:r>
      <w:r>
        <w:rPr>
          <w:color w:val="231F20"/>
          <w:spacing w:val="-3"/>
        </w:rPr>
        <w:t> </w:t>
      </w:r>
      <w:r>
        <w:rPr>
          <w:color w:val="231F20"/>
        </w:rPr>
        <w:t>numerical</w:t>
      </w:r>
      <w:r>
        <w:rPr>
          <w:color w:val="231F20"/>
          <w:spacing w:val="-4"/>
        </w:rPr>
        <w:t> </w:t>
      </w:r>
      <w:r>
        <w:rPr>
          <w:color w:val="231F20"/>
          <w:spacing w:val="-1"/>
        </w:rPr>
        <w:t>score,</w:t>
      </w:r>
      <w:r>
        <w:rPr>
          <w:color w:val="231F20"/>
          <w:spacing w:val="-3"/>
        </w:rPr>
        <w:t> </w:t>
      </w:r>
      <w:r>
        <w:rPr>
          <w:color w:val="231F20"/>
        </w:rPr>
        <w:t>where</w:t>
      </w:r>
      <w:r>
        <w:rPr>
          <w:color w:val="231F20"/>
          <w:spacing w:val="26"/>
          <w:w w:val="99"/>
        </w:rPr>
        <w:t> </w:t>
      </w:r>
      <w:r>
        <w:rPr>
          <w:color w:val="231F20"/>
        </w:rPr>
        <w:t>the</w:t>
      </w:r>
      <w:r>
        <w:rPr>
          <w:color w:val="231F20"/>
          <w:spacing w:val="-6"/>
        </w:rPr>
        <w:t> </w:t>
      </w:r>
      <w:r>
        <w:rPr>
          <w:color w:val="231F20"/>
          <w:spacing w:val="-1"/>
        </w:rPr>
        <w:t>mean</w:t>
      </w:r>
      <w:r>
        <w:rPr>
          <w:color w:val="231F20"/>
          <w:spacing w:val="-4"/>
        </w:rPr>
        <w:t> </w:t>
      </w:r>
      <w:r>
        <w:rPr>
          <w:color w:val="231F20"/>
          <w:spacing w:val="-1"/>
        </w:rPr>
        <w:t>is</w:t>
      </w:r>
      <w:r>
        <w:rPr>
          <w:color w:val="231F20"/>
          <w:spacing w:val="-6"/>
        </w:rPr>
        <w:t> </w:t>
      </w:r>
      <w:r>
        <w:rPr>
          <w:color w:val="231F20"/>
          <w:spacing w:val="-1"/>
        </w:rPr>
        <w:t>1000</w:t>
      </w:r>
      <w:r>
        <w:rPr>
          <w:color w:val="231F20"/>
          <w:spacing w:val="-4"/>
        </w:rPr>
        <w:t> </w:t>
      </w:r>
      <w:r>
        <w:rPr>
          <w:color w:val="231F20"/>
        </w:rPr>
        <w:t>and</w:t>
      </w:r>
      <w:r>
        <w:rPr>
          <w:color w:val="231F20"/>
          <w:spacing w:val="-6"/>
        </w:rPr>
        <w:t> </w:t>
      </w:r>
      <w:r>
        <w:rPr>
          <w:color w:val="231F20"/>
          <w:spacing w:val="-1"/>
        </w:rPr>
        <w:t>standard</w:t>
      </w:r>
      <w:r>
        <w:rPr>
          <w:color w:val="231F20"/>
          <w:spacing w:val="-3"/>
        </w:rPr>
        <w:t> </w:t>
      </w:r>
      <w:r>
        <w:rPr>
          <w:color w:val="231F20"/>
        </w:rPr>
        <w:t>deviation</w:t>
      </w:r>
      <w:r>
        <w:rPr>
          <w:color w:val="231F20"/>
          <w:spacing w:val="25"/>
          <w:w w:val="99"/>
        </w:rPr>
        <w:t> </w:t>
      </w:r>
      <w:r>
        <w:rPr>
          <w:color w:val="231F20"/>
          <w:spacing w:val="-1"/>
        </w:rPr>
        <w:t>is</w:t>
      </w:r>
      <w:r>
        <w:rPr>
          <w:color w:val="231F20"/>
          <w:spacing w:val="-5"/>
        </w:rPr>
        <w:t> </w:t>
      </w:r>
      <w:r>
        <w:rPr>
          <w:color w:val="231F20"/>
          <w:spacing w:val="-1"/>
        </w:rPr>
        <w:t>100.</w:t>
      </w:r>
      <w:r>
        <w:rPr>
          <w:color w:val="231F20"/>
          <w:spacing w:val="-4"/>
        </w:rPr>
        <w:t> </w:t>
      </w:r>
      <w:r>
        <w:rPr>
          <w:color w:val="231F20"/>
          <w:spacing w:val="-3"/>
        </w:rPr>
        <w:t>Values</w:t>
      </w:r>
      <w:r>
        <w:rPr>
          <w:color w:val="231F20"/>
          <w:spacing w:val="-5"/>
        </w:rPr>
        <w:t> </w:t>
      </w:r>
      <w:r>
        <w:rPr>
          <w:color w:val="231F20"/>
        </w:rPr>
        <w:t>range</w:t>
      </w:r>
      <w:r>
        <w:rPr>
          <w:color w:val="231F20"/>
          <w:spacing w:val="-4"/>
        </w:rPr>
        <w:t> </w:t>
      </w:r>
      <w:r>
        <w:rPr>
          <w:color w:val="231F20"/>
        </w:rPr>
        <w:t>from</w:t>
      </w:r>
      <w:r>
        <w:rPr>
          <w:color w:val="231F20"/>
          <w:spacing w:val="-4"/>
        </w:rPr>
        <w:t> </w:t>
      </w:r>
      <w:r>
        <w:rPr>
          <w:color w:val="231F20"/>
          <w:spacing w:val="-1"/>
        </w:rPr>
        <w:t>~500</w:t>
      </w:r>
      <w:r>
        <w:rPr>
          <w:color w:val="231F20"/>
          <w:spacing w:val="-4"/>
        </w:rPr>
        <w:t> </w:t>
      </w:r>
      <w:r>
        <w:rPr>
          <w:color w:val="231F20"/>
        </w:rPr>
        <w:t>(extremely</w:t>
      </w:r>
      <w:r>
        <w:rPr>
          <w:color w:val="231F20"/>
          <w:spacing w:val="27"/>
          <w:w w:val="99"/>
        </w:rPr>
        <w:t> </w:t>
      </w:r>
      <w:r>
        <w:rPr>
          <w:color w:val="231F20"/>
        </w:rPr>
        <w:t>disadvantaged</w:t>
      </w:r>
      <w:r>
        <w:rPr>
          <w:color w:val="231F20"/>
          <w:spacing w:val="-10"/>
        </w:rPr>
        <w:t> </w:t>
      </w:r>
      <w:r>
        <w:rPr>
          <w:color w:val="231F20"/>
        </w:rPr>
        <w:t>backgrounds)</w:t>
      </w:r>
      <w:r>
        <w:rPr>
          <w:color w:val="231F20"/>
          <w:spacing w:val="-10"/>
        </w:rPr>
        <w:t> </w:t>
      </w:r>
      <w:r>
        <w:rPr>
          <w:color w:val="231F20"/>
        </w:rPr>
        <w:t>to</w:t>
      </w:r>
      <w:r>
        <w:rPr>
          <w:color w:val="231F20"/>
          <w:spacing w:val="-9"/>
        </w:rPr>
        <w:t> </w:t>
      </w:r>
      <w:r>
        <w:rPr>
          <w:color w:val="231F20"/>
          <w:spacing w:val="-1"/>
        </w:rPr>
        <w:t>~1300</w:t>
      </w:r>
      <w:r>
        <w:rPr>
          <w:color w:val="231F20"/>
          <w:spacing w:val="20"/>
        </w:rPr>
        <w:t> </w:t>
      </w:r>
      <w:r>
        <w:rPr>
          <w:color w:val="231F20"/>
        </w:rPr>
        <w:t>(extremely</w:t>
      </w:r>
      <w:r>
        <w:rPr>
          <w:color w:val="231F20"/>
          <w:spacing w:val="-18"/>
        </w:rPr>
        <w:t> </w:t>
      </w:r>
      <w:r>
        <w:rPr>
          <w:color w:val="231F20"/>
        </w:rPr>
        <w:t>advantaged</w:t>
      </w:r>
      <w:r>
        <w:rPr>
          <w:color w:val="231F20"/>
          <w:spacing w:val="-17"/>
        </w:rPr>
        <w:t> </w:t>
      </w:r>
      <w:r>
        <w:rPr>
          <w:color w:val="231F20"/>
        </w:rPr>
        <w:t>backgrounds).</w:t>
      </w:r>
      <w:r>
        <w:rPr/>
      </w:r>
    </w:p>
    <w:p>
      <w:pPr>
        <w:pStyle w:val="BodyText"/>
        <w:spacing w:line="250" w:lineRule="exact" w:before="62"/>
        <w:ind w:left="100" w:right="1529"/>
        <w:jc w:val="left"/>
      </w:pPr>
      <w:r>
        <w:rPr/>
        <w:br w:type="column"/>
      </w:r>
      <w:r>
        <w:rPr>
          <w:color w:val="231F20"/>
        </w:rPr>
        <w:t>‘It</w:t>
      </w:r>
      <w:r>
        <w:rPr>
          <w:color w:val="231F20"/>
          <w:spacing w:val="-4"/>
        </w:rPr>
        <w:t> </w:t>
      </w:r>
      <w:r>
        <w:rPr>
          <w:color w:val="231F20"/>
          <w:spacing w:val="-1"/>
        </w:rPr>
        <w:t>measures</w:t>
      </w:r>
      <w:r>
        <w:rPr>
          <w:color w:val="231F20"/>
          <w:spacing w:val="-4"/>
        </w:rPr>
        <w:t> </w:t>
      </w:r>
      <w:r>
        <w:rPr>
          <w:color w:val="231F20"/>
        </w:rPr>
        <w:t>the</w:t>
      </w:r>
      <w:r>
        <w:rPr>
          <w:color w:val="231F20"/>
          <w:spacing w:val="-5"/>
        </w:rPr>
        <w:t> </w:t>
      </w:r>
      <w:r>
        <w:rPr>
          <w:color w:val="231F20"/>
        </w:rPr>
        <w:t>average</w:t>
      </w:r>
      <w:r>
        <w:rPr>
          <w:color w:val="231F20"/>
          <w:spacing w:val="-5"/>
        </w:rPr>
        <w:t> </w:t>
      </w:r>
      <w:r>
        <w:rPr>
          <w:color w:val="231F20"/>
          <w:spacing w:val="-1"/>
        </w:rPr>
        <w:t>level</w:t>
      </w:r>
      <w:r>
        <w:rPr>
          <w:color w:val="231F20"/>
          <w:spacing w:val="-4"/>
        </w:rPr>
        <w:t> </w:t>
      </w:r>
      <w:r>
        <w:rPr>
          <w:color w:val="231F20"/>
        </w:rPr>
        <w:t>of</w:t>
      </w:r>
      <w:r>
        <w:rPr>
          <w:color w:val="231F20"/>
          <w:spacing w:val="-4"/>
        </w:rPr>
        <w:t> </w:t>
      </w:r>
      <w:r>
        <w:rPr>
          <w:color w:val="231F20"/>
        </w:rPr>
        <w:t>educational</w:t>
      </w:r>
      <w:r>
        <w:rPr>
          <w:color w:val="231F20"/>
          <w:spacing w:val="23"/>
          <w:w w:val="99"/>
        </w:rPr>
        <w:t> </w:t>
      </w:r>
      <w:r>
        <w:rPr>
          <w:color w:val="231F20"/>
        </w:rPr>
        <w:t>advantage</w:t>
      </w:r>
      <w:r>
        <w:rPr>
          <w:color w:val="231F20"/>
          <w:spacing w:val="-7"/>
        </w:rPr>
        <w:t> </w:t>
      </w:r>
      <w:r>
        <w:rPr>
          <w:color w:val="231F20"/>
        </w:rPr>
        <w:t>and</w:t>
      </w:r>
      <w:r>
        <w:rPr>
          <w:color w:val="231F20"/>
          <w:spacing w:val="-6"/>
        </w:rPr>
        <w:t> </w:t>
      </w:r>
      <w:r>
        <w:rPr>
          <w:color w:val="231F20"/>
        </w:rPr>
        <w:t>disadvantage</w:t>
      </w:r>
      <w:r>
        <w:rPr>
          <w:color w:val="231F20"/>
          <w:spacing w:val="-7"/>
        </w:rPr>
        <w:t> </w:t>
      </w:r>
      <w:r>
        <w:rPr>
          <w:color w:val="231F20"/>
        </w:rPr>
        <w:t>of</w:t>
      </w:r>
      <w:r>
        <w:rPr>
          <w:color w:val="231F20"/>
          <w:spacing w:val="-5"/>
        </w:rPr>
        <w:t> </w:t>
      </w:r>
      <w:r>
        <w:rPr>
          <w:color w:val="231F20"/>
        </w:rPr>
        <w:t>a</w:t>
      </w:r>
      <w:r>
        <w:rPr>
          <w:color w:val="231F20"/>
          <w:spacing w:val="-6"/>
        </w:rPr>
        <w:t> </w:t>
      </w:r>
      <w:r>
        <w:rPr>
          <w:color w:val="231F20"/>
          <w:spacing w:val="-1"/>
        </w:rPr>
        <w:t>school’s</w:t>
      </w:r>
      <w:r>
        <w:rPr>
          <w:color w:val="231F20"/>
          <w:spacing w:val="20"/>
        </w:rPr>
        <w:t> </w:t>
      </w:r>
      <w:r>
        <w:rPr>
          <w:color w:val="231F20"/>
          <w:spacing w:val="-1"/>
        </w:rPr>
        <w:t>student</w:t>
      </w:r>
      <w:r>
        <w:rPr>
          <w:color w:val="231F20"/>
          <w:spacing w:val="-7"/>
        </w:rPr>
        <w:t> </w:t>
      </w:r>
      <w:r>
        <w:rPr>
          <w:color w:val="231F20"/>
        </w:rPr>
        <w:t>population</w:t>
      </w:r>
      <w:r>
        <w:rPr>
          <w:color w:val="231F20"/>
          <w:spacing w:val="-6"/>
        </w:rPr>
        <w:t> </w:t>
      </w:r>
      <w:r>
        <w:rPr>
          <w:color w:val="231F20"/>
        </w:rPr>
        <w:t>relative</w:t>
      </w:r>
      <w:r>
        <w:rPr>
          <w:color w:val="231F20"/>
          <w:spacing w:val="-7"/>
        </w:rPr>
        <w:t> </w:t>
      </w:r>
      <w:r>
        <w:rPr>
          <w:color w:val="231F20"/>
        </w:rPr>
        <w:t>to</w:t>
      </w:r>
      <w:r>
        <w:rPr>
          <w:color w:val="231F20"/>
          <w:spacing w:val="-6"/>
        </w:rPr>
        <w:t> </w:t>
      </w:r>
      <w:r>
        <w:rPr>
          <w:color w:val="231F20"/>
        </w:rPr>
        <w:t>those</w:t>
      </w:r>
      <w:r>
        <w:rPr>
          <w:color w:val="231F20"/>
          <w:spacing w:val="-7"/>
        </w:rPr>
        <w:t> </w:t>
      </w:r>
      <w:r>
        <w:rPr>
          <w:color w:val="231F20"/>
        </w:rPr>
        <w:t>of</w:t>
      </w:r>
      <w:r>
        <w:rPr>
          <w:color w:val="231F20"/>
          <w:spacing w:val="-6"/>
        </w:rPr>
        <w:t> </w:t>
      </w:r>
      <w:r>
        <w:rPr>
          <w:color w:val="231F20"/>
        </w:rPr>
        <w:t>other</w:t>
      </w:r>
      <w:r>
        <w:rPr>
          <w:color w:val="231F20"/>
          <w:spacing w:val="22"/>
          <w:w w:val="99"/>
        </w:rPr>
        <w:t> </w:t>
      </w:r>
      <w:r>
        <w:rPr>
          <w:color w:val="231F20"/>
          <w:spacing w:val="-1"/>
        </w:rPr>
        <w:t>schools.</w:t>
      </w:r>
      <w:r>
        <w:rPr>
          <w:color w:val="231F20"/>
          <w:spacing w:val="-4"/>
        </w:rPr>
        <w:t> </w:t>
      </w:r>
      <w:r>
        <w:rPr>
          <w:color w:val="231F20"/>
        </w:rPr>
        <w:t>An</w:t>
      </w:r>
      <w:r>
        <w:rPr>
          <w:color w:val="231F20"/>
          <w:spacing w:val="-4"/>
        </w:rPr>
        <w:t> </w:t>
      </w:r>
      <w:r>
        <w:rPr>
          <w:color w:val="231F20"/>
          <w:spacing w:val="-1"/>
        </w:rPr>
        <w:t>ICSEA</w:t>
      </w:r>
      <w:r>
        <w:rPr>
          <w:color w:val="231F20"/>
          <w:spacing w:val="-4"/>
        </w:rPr>
        <w:t> </w:t>
      </w:r>
      <w:r>
        <w:rPr>
          <w:color w:val="231F20"/>
          <w:spacing w:val="-1"/>
        </w:rPr>
        <w:t>score</w:t>
      </w:r>
      <w:r>
        <w:rPr>
          <w:color w:val="231F20"/>
          <w:spacing w:val="-3"/>
        </w:rPr>
        <w:t> </w:t>
      </w:r>
      <w:r>
        <w:rPr>
          <w:color w:val="231F20"/>
        </w:rPr>
        <w:t>takes</w:t>
      </w:r>
      <w:r>
        <w:rPr>
          <w:color w:val="231F20"/>
          <w:spacing w:val="-5"/>
        </w:rPr>
        <w:t> </w:t>
      </w:r>
      <w:r>
        <w:rPr>
          <w:color w:val="231F20"/>
          <w:spacing w:val="-1"/>
        </w:rPr>
        <w:t>into</w:t>
      </w:r>
      <w:r>
        <w:rPr>
          <w:color w:val="231F20"/>
          <w:spacing w:val="-4"/>
        </w:rPr>
        <w:t> </w:t>
      </w:r>
      <w:r>
        <w:rPr>
          <w:color w:val="231F20"/>
        </w:rPr>
        <w:t>account</w:t>
      </w:r>
      <w:r>
        <w:rPr/>
      </w:r>
    </w:p>
    <w:p>
      <w:pPr>
        <w:pStyle w:val="BodyText"/>
        <w:spacing w:line="250" w:lineRule="exact"/>
        <w:ind w:left="100" w:right="1522"/>
        <w:jc w:val="left"/>
      </w:pPr>
      <w:r>
        <w:rPr>
          <w:color w:val="231F20"/>
        </w:rPr>
        <w:t>a</w:t>
      </w:r>
      <w:r>
        <w:rPr>
          <w:color w:val="231F20"/>
          <w:spacing w:val="-5"/>
        </w:rPr>
        <w:t> </w:t>
      </w:r>
      <w:r>
        <w:rPr>
          <w:color w:val="231F20"/>
          <w:spacing w:val="-1"/>
        </w:rPr>
        <w:t>student’s</w:t>
      </w:r>
      <w:r>
        <w:rPr>
          <w:color w:val="231F20"/>
          <w:spacing w:val="-4"/>
        </w:rPr>
        <w:t> </w:t>
      </w:r>
      <w:r>
        <w:rPr>
          <w:color w:val="231F20"/>
        </w:rPr>
        <w:t>family</w:t>
      </w:r>
      <w:r>
        <w:rPr>
          <w:color w:val="231F20"/>
          <w:spacing w:val="-6"/>
        </w:rPr>
        <w:t> </w:t>
      </w:r>
      <w:r>
        <w:rPr>
          <w:color w:val="231F20"/>
        </w:rPr>
        <w:t>background</w:t>
      </w:r>
      <w:r>
        <w:rPr>
          <w:color w:val="231F20"/>
          <w:spacing w:val="-6"/>
        </w:rPr>
        <w:t> </w:t>
      </w:r>
      <w:r>
        <w:rPr>
          <w:color w:val="231F20"/>
        </w:rPr>
        <w:t>(parents’</w:t>
      </w:r>
      <w:r>
        <w:rPr>
          <w:color w:val="231F20"/>
          <w:spacing w:val="22"/>
          <w:w w:val="99"/>
        </w:rPr>
        <w:t> </w:t>
      </w:r>
      <w:r>
        <w:rPr>
          <w:color w:val="231F20"/>
        </w:rPr>
        <w:t>occupation,</w:t>
      </w:r>
      <w:r>
        <w:rPr>
          <w:color w:val="231F20"/>
          <w:spacing w:val="-8"/>
        </w:rPr>
        <w:t> </w:t>
      </w:r>
      <w:r>
        <w:rPr>
          <w:color w:val="231F20"/>
        </w:rPr>
        <w:t>their</w:t>
      </w:r>
      <w:r>
        <w:rPr>
          <w:color w:val="231F20"/>
          <w:spacing w:val="-7"/>
        </w:rPr>
        <w:t> </w:t>
      </w:r>
      <w:r>
        <w:rPr>
          <w:color w:val="231F20"/>
          <w:spacing w:val="-1"/>
        </w:rPr>
        <w:t>school</w:t>
      </w:r>
      <w:r>
        <w:rPr>
          <w:color w:val="231F20"/>
          <w:spacing w:val="-6"/>
        </w:rPr>
        <w:t> </w:t>
      </w:r>
      <w:r>
        <w:rPr>
          <w:color w:val="231F20"/>
        </w:rPr>
        <w:t>education</w:t>
      </w:r>
      <w:r>
        <w:rPr>
          <w:color w:val="231F20"/>
          <w:spacing w:val="-7"/>
        </w:rPr>
        <w:t> </w:t>
      </w:r>
      <w:r>
        <w:rPr>
          <w:color w:val="231F20"/>
        </w:rPr>
        <w:t>and</w:t>
      </w:r>
      <w:r>
        <w:rPr>
          <w:color w:val="231F20"/>
          <w:spacing w:val="-7"/>
        </w:rPr>
        <w:t> </w:t>
      </w:r>
      <w:r>
        <w:rPr>
          <w:color w:val="231F20"/>
        </w:rPr>
        <w:t>non-</w:t>
      </w:r>
      <w:r>
        <w:rPr>
          <w:color w:val="231F20"/>
          <w:spacing w:val="21"/>
          <w:w w:val="99"/>
        </w:rPr>
        <w:t> </w:t>
      </w:r>
      <w:r>
        <w:rPr>
          <w:color w:val="231F20"/>
          <w:spacing w:val="-1"/>
        </w:rPr>
        <w:t>school</w:t>
      </w:r>
      <w:r>
        <w:rPr>
          <w:color w:val="231F20"/>
          <w:spacing w:val="-6"/>
        </w:rPr>
        <w:t> </w:t>
      </w:r>
      <w:r>
        <w:rPr>
          <w:color w:val="231F20"/>
        </w:rPr>
        <w:t>education)</w:t>
      </w:r>
      <w:r>
        <w:rPr>
          <w:color w:val="231F20"/>
          <w:spacing w:val="-5"/>
        </w:rPr>
        <w:t> </w:t>
      </w:r>
      <w:r>
        <w:rPr>
          <w:color w:val="231F20"/>
        </w:rPr>
        <w:t>and</w:t>
      </w:r>
      <w:r>
        <w:rPr>
          <w:color w:val="231F20"/>
          <w:spacing w:val="-6"/>
        </w:rPr>
        <w:t> </w:t>
      </w:r>
      <w:r>
        <w:rPr>
          <w:color w:val="231F20"/>
        </w:rPr>
        <w:t>a</w:t>
      </w:r>
      <w:r>
        <w:rPr>
          <w:color w:val="231F20"/>
          <w:spacing w:val="-5"/>
        </w:rPr>
        <w:t> </w:t>
      </w:r>
      <w:r>
        <w:rPr>
          <w:color w:val="231F20"/>
          <w:spacing w:val="-1"/>
        </w:rPr>
        <w:t>school’s</w:t>
      </w:r>
      <w:r>
        <w:rPr>
          <w:color w:val="231F20"/>
          <w:spacing w:val="-6"/>
        </w:rPr>
        <w:t> </w:t>
      </w:r>
      <w:r>
        <w:rPr>
          <w:color w:val="231F20"/>
        </w:rPr>
        <w:t>circumstances</w:t>
      </w:r>
      <w:r>
        <w:rPr>
          <w:color w:val="231F20"/>
          <w:spacing w:val="23"/>
          <w:w w:val="99"/>
        </w:rPr>
        <w:t> </w:t>
      </w:r>
      <w:r>
        <w:rPr>
          <w:color w:val="231F20"/>
        </w:rPr>
        <w:t>(geographical</w:t>
      </w:r>
      <w:r>
        <w:rPr>
          <w:color w:val="231F20"/>
          <w:spacing w:val="-9"/>
        </w:rPr>
        <w:t> </w:t>
      </w:r>
      <w:r>
        <w:rPr>
          <w:color w:val="231F20"/>
          <w:spacing w:val="-1"/>
        </w:rPr>
        <w:t>location</w:t>
      </w:r>
      <w:r>
        <w:rPr>
          <w:color w:val="231F20"/>
          <w:spacing w:val="-7"/>
        </w:rPr>
        <w:t> </w:t>
      </w:r>
      <w:r>
        <w:rPr>
          <w:color w:val="231F20"/>
        </w:rPr>
        <w:t>and</w:t>
      </w:r>
      <w:r>
        <w:rPr>
          <w:color w:val="231F20"/>
          <w:spacing w:val="-9"/>
        </w:rPr>
        <w:t> </w:t>
      </w:r>
      <w:r>
        <w:rPr>
          <w:color w:val="231F20"/>
        </w:rPr>
        <w:t>the</w:t>
      </w:r>
      <w:r>
        <w:rPr>
          <w:color w:val="231F20"/>
          <w:spacing w:val="-8"/>
        </w:rPr>
        <w:t> </w:t>
      </w:r>
      <w:r>
        <w:rPr>
          <w:color w:val="231F20"/>
        </w:rPr>
        <w:t>proportion</w:t>
      </w:r>
      <w:r>
        <w:rPr>
          <w:color w:val="231F20"/>
          <w:spacing w:val="-8"/>
        </w:rPr>
        <w:t> </w:t>
      </w:r>
      <w:r>
        <w:rPr>
          <w:color w:val="231F20"/>
        </w:rPr>
        <w:t>of</w:t>
      </w:r>
      <w:r>
        <w:rPr>
          <w:color w:val="231F20"/>
          <w:spacing w:val="22"/>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8"/>
        </w:rPr>
        <w:t> </w:t>
      </w:r>
      <w:r>
        <w:rPr>
          <w:color w:val="231F20"/>
          <w:spacing w:val="-1"/>
        </w:rPr>
        <w:t>Islander</w:t>
      </w:r>
      <w:r>
        <w:rPr>
          <w:color w:val="231F20"/>
          <w:spacing w:val="-6"/>
        </w:rPr>
        <w:t> </w:t>
      </w:r>
      <w:r>
        <w:rPr>
          <w:color w:val="231F20"/>
          <w:spacing w:val="-1"/>
        </w:rPr>
        <w:t>students).’</w:t>
      </w:r>
      <w:r>
        <w:rPr/>
      </w:r>
    </w:p>
    <w:p>
      <w:pPr>
        <w:pStyle w:val="BodyText"/>
        <w:spacing w:line="250" w:lineRule="exact" w:before="113"/>
        <w:ind w:left="100" w:right="1522"/>
        <w:jc w:val="left"/>
      </w:pPr>
      <w:r>
        <w:rPr>
          <w:rFonts w:ascii="Segoe UI" w:hAnsi="Segoe UI" w:cs="Segoe UI" w:eastAsia="Segoe UI"/>
          <w:color w:val="231F20"/>
        </w:rPr>
        <w:t>As</w:t>
      </w:r>
      <w:r>
        <w:rPr>
          <w:rFonts w:ascii="Segoe UI" w:hAnsi="Segoe UI" w:cs="Segoe UI" w:eastAsia="Segoe UI"/>
          <w:color w:val="231F20"/>
          <w:spacing w:val="-2"/>
        </w:rPr>
        <w:t> </w:t>
      </w:r>
      <w:r>
        <w:rPr>
          <w:rFonts w:ascii="Segoe UI" w:hAnsi="Segoe UI" w:cs="Segoe UI" w:eastAsia="Segoe UI"/>
          <w:color w:val="231F20"/>
        </w:rPr>
        <w:t>expected,</w:t>
      </w:r>
      <w:r>
        <w:rPr>
          <w:rFonts w:ascii="Segoe UI" w:hAnsi="Segoe UI" w:cs="Segoe UI" w:eastAsia="Segoe UI"/>
          <w:color w:val="231F20"/>
          <w:spacing w:val="-2"/>
        </w:rPr>
        <w:t> </w:t>
      </w:r>
      <w:r>
        <w:rPr>
          <w:rFonts w:ascii="Segoe UI" w:hAnsi="Segoe UI" w:cs="Segoe UI" w:eastAsia="Segoe UI"/>
          <w:color w:val="231F20"/>
        </w:rPr>
        <w:t>the</w:t>
      </w:r>
      <w:r>
        <w:rPr>
          <w:rFonts w:ascii="Segoe UI" w:hAnsi="Segoe UI" w:cs="Segoe UI" w:eastAsia="Segoe UI"/>
          <w:color w:val="231F20"/>
          <w:spacing w:val="-1"/>
        </w:rPr>
        <w:t> </w:t>
      </w:r>
      <w:r>
        <w:rPr>
          <w:rFonts w:ascii="Segoe UI" w:hAnsi="Segoe UI" w:cs="Segoe UI" w:eastAsia="Segoe UI"/>
          <w:color w:val="231F20"/>
        </w:rPr>
        <w:t>differential</w:t>
      </w:r>
      <w:r>
        <w:rPr>
          <w:rFonts w:ascii="Segoe UI" w:hAnsi="Segoe UI" w:cs="Segoe UI" w:eastAsia="Segoe UI"/>
          <w:color w:val="231F20"/>
          <w:spacing w:val="-2"/>
        </w:rPr>
        <w:t> </w:t>
      </w:r>
      <w:r>
        <w:rPr>
          <w:rFonts w:ascii="Segoe UI" w:hAnsi="Segoe UI" w:cs="Segoe UI" w:eastAsia="Segoe UI"/>
          <w:color w:val="231F20"/>
        </w:rPr>
        <w:t>in</w:t>
      </w:r>
      <w:r>
        <w:rPr>
          <w:rFonts w:ascii="Segoe UI" w:hAnsi="Segoe UI" w:cs="Segoe UI" w:eastAsia="Segoe UI"/>
          <w:color w:val="231F20"/>
          <w:spacing w:val="-1"/>
        </w:rPr>
        <w:t> </w:t>
      </w:r>
      <w:r>
        <w:rPr>
          <w:rFonts w:ascii="Segoe UI" w:hAnsi="Segoe UI" w:cs="Segoe UI" w:eastAsia="Segoe UI"/>
          <w:color w:val="231F20"/>
        </w:rPr>
        <w:t>boarding</w:t>
      </w:r>
      <w:r>
        <w:rPr>
          <w:rFonts w:ascii="Segoe UI" w:hAnsi="Segoe UI" w:cs="Segoe UI" w:eastAsia="Segoe UI"/>
          <w:color w:val="231F20"/>
          <w:spacing w:val="-2"/>
        </w:rPr>
        <w:t> </w:t>
      </w:r>
      <w:r>
        <w:rPr>
          <w:rFonts w:ascii="Segoe UI" w:hAnsi="Segoe UI" w:cs="Segoe UI" w:eastAsia="Segoe UI"/>
          <w:color w:val="231F20"/>
        </w:rPr>
        <w:t>costs</w:t>
      </w:r>
      <w:r>
        <w:rPr>
          <w:rFonts w:ascii="Segoe UI" w:hAnsi="Segoe UI" w:cs="Segoe UI" w:eastAsia="Segoe UI"/>
          <w:color w:val="231F20"/>
        </w:rPr>
        <w:t> </w:t>
      </w:r>
      <w:r>
        <w:rPr>
          <w:color w:val="231F20"/>
          <w:spacing w:val="-1"/>
        </w:rPr>
        <w:t>increases</w:t>
      </w:r>
      <w:r>
        <w:rPr>
          <w:color w:val="231F20"/>
          <w:spacing w:val="-8"/>
        </w:rPr>
        <w:t> </w:t>
      </w:r>
      <w:r>
        <w:rPr>
          <w:color w:val="231F20"/>
        </w:rPr>
        <w:t>as</w:t>
      </w:r>
      <w:r>
        <w:rPr>
          <w:color w:val="231F20"/>
          <w:spacing w:val="-9"/>
        </w:rPr>
        <w:t> </w:t>
      </w:r>
      <w:r>
        <w:rPr>
          <w:color w:val="231F20"/>
        </w:rPr>
        <w:t>disadvantage</w:t>
      </w:r>
      <w:r>
        <w:rPr>
          <w:color w:val="231F20"/>
          <w:spacing w:val="-9"/>
        </w:rPr>
        <w:t> </w:t>
      </w:r>
      <w:r>
        <w:rPr>
          <w:color w:val="231F20"/>
          <w:spacing w:val="-1"/>
        </w:rPr>
        <w:t>increases.</w:t>
      </w:r>
      <w:r>
        <w:rPr>
          <w:color w:val="231F20"/>
          <w:spacing w:val="-8"/>
        </w:rPr>
        <w:t> </w:t>
      </w:r>
      <w:r>
        <w:rPr>
          <w:color w:val="231F20"/>
        </w:rPr>
        <w:t>The</w:t>
      </w:r>
      <w:r>
        <w:rPr>
          <w:color w:val="231F20"/>
          <w:spacing w:val="23"/>
          <w:w w:val="99"/>
        </w:rPr>
        <w:t> </w:t>
      </w:r>
      <w:r>
        <w:rPr>
          <w:color w:val="231F20"/>
        </w:rPr>
        <w:t>average</w:t>
      </w:r>
      <w:r>
        <w:rPr>
          <w:color w:val="231F20"/>
          <w:spacing w:val="-7"/>
        </w:rPr>
        <w:t> </w:t>
      </w:r>
      <w:r>
        <w:rPr>
          <w:color w:val="231F20"/>
        </w:rPr>
        <w:t>annual</w:t>
      </w:r>
      <w:r>
        <w:rPr>
          <w:color w:val="231F20"/>
          <w:spacing w:val="-6"/>
        </w:rPr>
        <w:t> </w:t>
      </w:r>
      <w:r>
        <w:rPr>
          <w:color w:val="231F20"/>
        </w:rPr>
        <w:t>cost</w:t>
      </w:r>
      <w:r>
        <w:rPr>
          <w:color w:val="231F20"/>
          <w:spacing w:val="-7"/>
        </w:rPr>
        <w:t> </w:t>
      </w:r>
      <w:r>
        <w:rPr>
          <w:color w:val="231F20"/>
        </w:rPr>
        <w:t>of</w:t>
      </w:r>
      <w:r>
        <w:rPr>
          <w:color w:val="231F20"/>
          <w:spacing w:val="-5"/>
        </w:rPr>
        <w:t> </w:t>
      </w:r>
      <w:r>
        <w:rPr>
          <w:color w:val="231F20"/>
        </w:rPr>
        <w:t>boarding</w:t>
      </w:r>
      <w:r>
        <w:rPr>
          <w:color w:val="231F20"/>
          <w:spacing w:val="-7"/>
        </w:rPr>
        <w:t> </w:t>
      </w:r>
      <w:r>
        <w:rPr>
          <w:color w:val="231F20"/>
        </w:rPr>
        <w:t>per</w:t>
      </w:r>
      <w:r>
        <w:rPr>
          <w:color w:val="231F20"/>
          <w:spacing w:val="-5"/>
        </w:rPr>
        <w:t> </w:t>
      </w:r>
      <w:r>
        <w:rPr>
          <w:color w:val="231F20"/>
        </w:rPr>
        <w:t>boarder</w:t>
      </w:r>
      <w:r>
        <w:rPr>
          <w:color w:val="231F20"/>
          <w:w w:val="99"/>
        </w:rPr>
        <w:t> </w:t>
      </w:r>
      <w:r>
        <w:rPr>
          <w:color w:val="231F20"/>
        </w:rPr>
        <w:t>for</w:t>
      </w:r>
      <w:r>
        <w:rPr>
          <w:color w:val="231F20"/>
          <w:spacing w:val="-4"/>
        </w:rPr>
        <w:t> </w:t>
      </w:r>
      <w:r>
        <w:rPr>
          <w:color w:val="231F20"/>
        </w:rPr>
        <w:t>the</w:t>
      </w:r>
      <w:r>
        <w:rPr>
          <w:color w:val="231F20"/>
          <w:spacing w:val="-4"/>
        </w:rPr>
        <w:t> </w:t>
      </w:r>
      <w:r>
        <w:rPr>
          <w:color w:val="231F20"/>
        </w:rPr>
        <w:t>period</w:t>
      </w:r>
      <w:r>
        <w:rPr>
          <w:color w:val="231F20"/>
          <w:spacing w:val="-4"/>
        </w:rPr>
        <w:t> </w:t>
      </w:r>
      <w:r>
        <w:rPr>
          <w:color w:val="231F20"/>
        </w:rPr>
        <w:t>from</w:t>
      </w:r>
      <w:r>
        <w:rPr>
          <w:color w:val="231F20"/>
          <w:spacing w:val="-3"/>
        </w:rPr>
        <w:t> </w:t>
      </w:r>
      <w:r>
        <w:rPr>
          <w:color w:val="231F20"/>
          <w:spacing w:val="-1"/>
        </w:rPr>
        <w:t>2015</w:t>
      </w:r>
      <w:r>
        <w:rPr>
          <w:color w:val="231F20"/>
          <w:spacing w:val="-4"/>
        </w:rPr>
        <w:t> </w:t>
      </w:r>
      <w:r>
        <w:rPr>
          <w:color w:val="231F20"/>
        </w:rPr>
        <w:t>—</w:t>
      </w:r>
      <w:r>
        <w:rPr>
          <w:color w:val="231F20"/>
          <w:spacing w:val="-3"/>
        </w:rPr>
        <w:t> </w:t>
      </w:r>
      <w:r>
        <w:rPr>
          <w:color w:val="231F20"/>
          <w:spacing w:val="-1"/>
        </w:rPr>
        <w:t>2017</w:t>
      </w:r>
      <w:r>
        <w:rPr>
          <w:color w:val="231F20"/>
          <w:spacing w:val="-3"/>
        </w:rPr>
        <w:t> </w:t>
      </w:r>
      <w:r>
        <w:rPr>
          <w:color w:val="231F20"/>
        </w:rPr>
        <w:t>for</w:t>
      </w:r>
      <w:r>
        <w:rPr>
          <w:color w:val="231F20"/>
          <w:spacing w:val="-3"/>
        </w:rPr>
        <w:t> </w:t>
      </w:r>
      <w:r>
        <w:rPr>
          <w:color w:val="231F20"/>
        </w:rPr>
        <w:t>boarding</w:t>
      </w:r>
      <w:r>
        <w:rPr>
          <w:color w:val="231F20"/>
          <w:spacing w:val="23"/>
          <w:w w:val="99"/>
        </w:rPr>
        <w:t> </w:t>
      </w:r>
      <w:r>
        <w:rPr>
          <w:color w:val="231F20"/>
        </w:rPr>
        <w:t>providers</w:t>
      </w:r>
      <w:r>
        <w:rPr>
          <w:color w:val="231F20"/>
          <w:spacing w:val="-6"/>
        </w:rPr>
        <w:t> </w:t>
      </w:r>
      <w:r>
        <w:rPr>
          <w:color w:val="231F20"/>
        </w:rPr>
        <w:t>with</w:t>
      </w:r>
      <w:r>
        <w:rPr>
          <w:color w:val="231F20"/>
          <w:spacing w:val="-6"/>
        </w:rPr>
        <w:t> </w:t>
      </w:r>
      <w:r>
        <w:rPr>
          <w:color w:val="231F20"/>
        </w:rPr>
        <w:t>a</w:t>
      </w:r>
      <w:r>
        <w:rPr>
          <w:color w:val="231F20"/>
          <w:spacing w:val="-5"/>
        </w:rPr>
        <w:t> </w:t>
      </w:r>
      <w:r>
        <w:rPr>
          <w:color w:val="231F20"/>
          <w:spacing w:val="-1"/>
        </w:rPr>
        <w:t>lower</w:t>
      </w:r>
      <w:r>
        <w:rPr>
          <w:color w:val="231F20"/>
          <w:spacing w:val="-4"/>
        </w:rPr>
        <w:t> </w:t>
      </w:r>
      <w:r>
        <w:rPr>
          <w:color w:val="231F20"/>
          <w:spacing w:val="-1"/>
        </w:rPr>
        <w:t>ICSEA</w:t>
      </w:r>
      <w:r>
        <w:rPr>
          <w:color w:val="231F20"/>
          <w:spacing w:val="-5"/>
        </w:rPr>
        <w:t> </w:t>
      </w:r>
      <w:r>
        <w:rPr>
          <w:color w:val="231F20"/>
          <w:spacing w:val="-1"/>
        </w:rPr>
        <w:t>score</w:t>
      </w:r>
      <w:r>
        <w:rPr>
          <w:color w:val="231F20"/>
          <w:spacing w:val="-5"/>
        </w:rPr>
        <w:t> </w:t>
      </w:r>
      <w:r>
        <w:rPr>
          <w:color w:val="231F20"/>
        </w:rPr>
        <w:t>(&lt;800)</w:t>
      </w:r>
      <w:r>
        <w:rPr/>
      </w:r>
    </w:p>
    <w:p>
      <w:pPr>
        <w:pStyle w:val="BodyText"/>
        <w:spacing w:line="250" w:lineRule="exact"/>
        <w:ind w:left="100" w:right="1529"/>
        <w:jc w:val="left"/>
      </w:pPr>
      <w:r>
        <w:rPr>
          <w:color w:val="231F20"/>
        </w:rPr>
        <w:t>was</w:t>
      </w:r>
      <w:r>
        <w:rPr>
          <w:color w:val="231F20"/>
          <w:spacing w:val="-5"/>
        </w:rPr>
        <w:t> </w:t>
      </w:r>
      <w:r>
        <w:rPr>
          <w:color w:val="231F20"/>
          <w:spacing w:val="-1"/>
        </w:rPr>
        <w:t>$23,591</w:t>
      </w:r>
      <w:r>
        <w:rPr>
          <w:color w:val="231F20"/>
          <w:spacing w:val="-3"/>
        </w:rPr>
        <w:t> </w:t>
      </w:r>
      <w:r>
        <w:rPr>
          <w:color w:val="231F20"/>
        </w:rPr>
        <w:t>compared</w:t>
      </w:r>
      <w:r>
        <w:rPr>
          <w:color w:val="231F20"/>
          <w:spacing w:val="-4"/>
        </w:rPr>
        <w:t> </w:t>
      </w:r>
      <w:r>
        <w:rPr>
          <w:color w:val="231F20"/>
        </w:rPr>
        <w:t>to</w:t>
      </w:r>
      <w:r>
        <w:rPr>
          <w:color w:val="231F20"/>
          <w:spacing w:val="-3"/>
        </w:rPr>
        <w:t> </w:t>
      </w:r>
      <w:r>
        <w:rPr>
          <w:color w:val="231F20"/>
        </w:rPr>
        <w:t>of</w:t>
      </w:r>
      <w:r>
        <w:rPr>
          <w:color w:val="231F20"/>
          <w:spacing w:val="-3"/>
        </w:rPr>
        <w:t> </w:t>
      </w:r>
      <w:r>
        <w:rPr>
          <w:color w:val="231F20"/>
          <w:spacing w:val="-1"/>
        </w:rPr>
        <w:t>$21,406</w:t>
      </w:r>
      <w:r>
        <w:rPr>
          <w:color w:val="231F20"/>
          <w:spacing w:val="-3"/>
        </w:rPr>
        <w:t> </w:t>
      </w:r>
      <w:r>
        <w:rPr>
          <w:color w:val="231F20"/>
        </w:rPr>
        <w:t>for</w:t>
      </w:r>
      <w:r>
        <w:rPr>
          <w:color w:val="231F20"/>
          <w:spacing w:val="23"/>
          <w:w w:val="99"/>
        </w:rPr>
        <w:t> </w:t>
      </w:r>
      <w:r>
        <w:rPr>
          <w:color w:val="231F20"/>
        </w:rPr>
        <w:t>providers</w:t>
      </w:r>
      <w:r>
        <w:rPr>
          <w:color w:val="231F20"/>
          <w:spacing w:val="-6"/>
        </w:rPr>
        <w:t> </w:t>
      </w:r>
      <w:r>
        <w:rPr>
          <w:color w:val="231F20"/>
        </w:rPr>
        <w:t>with</w:t>
      </w:r>
      <w:r>
        <w:rPr>
          <w:color w:val="231F20"/>
          <w:spacing w:val="-5"/>
        </w:rPr>
        <w:t> </w:t>
      </w:r>
      <w:r>
        <w:rPr>
          <w:color w:val="231F20"/>
        </w:rPr>
        <w:t>an</w:t>
      </w:r>
      <w:r>
        <w:rPr>
          <w:color w:val="231F20"/>
          <w:spacing w:val="-6"/>
        </w:rPr>
        <w:t> </w:t>
      </w:r>
      <w:r>
        <w:rPr>
          <w:color w:val="231F20"/>
          <w:spacing w:val="-1"/>
        </w:rPr>
        <w:t>ICSEA</w:t>
      </w:r>
      <w:r>
        <w:rPr>
          <w:color w:val="231F20"/>
          <w:spacing w:val="-4"/>
        </w:rPr>
        <w:t> </w:t>
      </w:r>
      <w:r>
        <w:rPr>
          <w:color w:val="231F20"/>
          <w:spacing w:val="-1"/>
        </w:rPr>
        <w:t>score</w:t>
      </w:r>
      <w:r>
        <w:rPr>
          <w:color w:val="231F20"/>
          <w:spacing w:val="-5"/>
        </w:rPr>
        <w:t> </w:t>
      </w:r>
      <w:r>
        <w:rPr>
          <w:color w:val="231F20"/>
        </w:rPr>
        <w:t>of</w:t>
      </w:r>
      <w:r>
        <w:rPr>
          <w:color w:val="231F20"/>
          <w:spacing w:val="-4"/>
        </w:rPr>
        <w:t> </w:t>
      </w:r>
      <w:r>
        <w:rPr>
          <w:color w:val="231F20"/>
        </w:rPr>
        <w:t>greater</w:t>
      </w:r>
      <w:r>
        <w:rPr>
          <w:color w:val="231F20"/>
          <w:spacing w:val="-5"/>
        </w:rPr>
        <w:t> </w:t>
      </w:r>
      <w:r>
        <w:rPr>
          <w:color w:val="231F20"/>
        </w:rPr>
        <w:t>than</w:t>
      </w:r>
      <w:r>
        <w:rPr>
          <w:color w:val="231F20"/>
          <w:spacing w:val="23"/>
          <w:w w:val="99"/>
        </w:rPr>
        <w:t> </w:t>
      </w:r>
      <w:r>
        <w:rPr>
          <w:rFonts w:ascii="Segoe UI"/>
          <w:color w:val="231F20"/>
        </w:rPr>
        <w:t>800,</w:t>
      </w:r>
      <w:r>
        <w:rPr>
          <w:rFonts w:ascii="Segoe UI"/>
          <w:color w:val="231F20"/>
          <w:spacing w:val="-2"/>
        </w:rPr>
        <w:t> </w:t>
      </w:r>
      <w:r>
        <w:rPr>
          <w:rFonts w:ascii="Segoe UI"/>
          <w:color w:val="231F20"/>
        </w:rPr>
        <w:t>a</w:t>
      </w:r>
      <w:r>
        <w:rPr>
          <w:rFonts w:ascii="Segoe UI"/>
          <w:color w:val="231F20"/>
          <w:spacing w:val="-1"/>
        </w:rPr>
        <w:t> </w:t>
      </w:r>
      <w:r>
        <w:rPr>
          <w:rFonts w:ascii="Segoe UI"/>
          <w:color w:val="231F20"/>
        </w:rPr>
        <w:t>differential</w:t>
      </w:r>
      <w:r>
        <w:rPr>
          <w:rFonts w:ascii="Segoe UI"/>
          <w:color w:val="231F20"/>
          <w:spacing w:val="-1"/>
        </w:rPr>
        <w:t> </w:t>
      </w:r>
      <w:r>
        <w:rPr>
          <w:rFonts w:ascii="Segoe UI"/>
          <w:color w:val="231F20"/>
        </w:rPr>
        <w:t>of</w:t>
      </w:r>
      <w:r>
        <w:rPr>
          <w:rFonts w:ascii="Segoe UI"/>
          <w:color w:val="231F20"/>
          <w:spacing w:val="-1"/>
        </w:rPr>
        <w:t> </w:t>
      </w:r>
      <w:r>
        <w:rPr>
          <w:rFonts w:ascii="Segoe UI"/>
          <w:color w:val="231F20"/>
        </w:rPr>
        <w:t>$2,185</w:t>
      </w:r>
      <w:r>
        <w:rPr>
          <w:rFonts w:ascii="Segoe UI"/>
          <w:color w:val="231F20"/>
          <w:spacing w:val="-1"/>
        </w:rPr>
        <w:t> </w:t>
      </w:r>
      <w:r>
        <w:rPr>
          <w:rFonts w:ascii="Segoe UI"/>
          <w:color w:val="231F20"/>
        </w:rPr>
        <w:t>per</w:t>
      </w:r>
      <w:r>
        <w:rPr>
          <w:rFonts w:ascii="Segoe UI"/>
          <w:color w:val="231F20"/>
          <w:spacing w:val="-2"/>
        </w:rPr>
        <w:t> </w:t>
      </w:r>
      <w:r>
        <w:rPr>
          <w:rFonts w:ascii="Segoe UI"/>
          <w:color w:val="231F20"/>
        </w:rPr>
        <w:t>boarder.</w:t>
      </w:r>
      <w:r>
        <w:rPr>
          <w:rFonts w:ascii="Segoe UI"/>
          <w:color w:val="231F20"/>
          <w:spacing w:val="-1"/>
        </w:rPr>
        <w:t> </w:t>
      </w:r>
      <w:r>
        <w:rPr>
          <w:rFonts w:ascii="Segoe UI"/>
          <w:color w:val="231F20"/>
        </w:rPr>
        <w:t>If</w:t>
      </w:r>
      <w:r>
        <w:rPr>
          <w:rFonts w:ascii="Segoe UI"/>
          <w:color w:val="231F20"/>
          <w:spacing w:val="-1"/>
        </w:rPr>
        <w:t> </w:t>
      </w:r>
      <w:r>
        <w:rPr>
          <w:rFonts w:ascii="Segoe UI"/>
          <w:color w:val="231F20"/>
        </w:rPr>
        <w:t>the</w:t>
      </w:r>
      <w:r>
        <w:rPr>
          <w:rFonts w:ascii="Segoe UI"/>
          <w:color w:val="231F20"/>
        </w:rPr>
        <w:t> </w:t>
      </w:r>
      <w:r>
        <w:rPr>
          <w:color w:val="231F20"/>
        </w:rPr>
        <w:t>boarding</w:t>
      </w:r>
      <w:r>
        <w:rPr>
          <w:color w:val="231F20"/>
          <w:spacing w:val="-7"/>
        </w:rPr>
        <w:t> </w:t>
      </w:r>
      <w:r>
        <w:rPr>
          <w:color w:val="231F20"/>
        </w:rPr>
        <w:t>providers</w:t>
      </w:r>
      <w:r>
        <w:rPr>
          <w:color w:val="231F20"/>
          <w:spacing w:val="-7"/>
        </w:rPr>
        <w:t> </w:t>
      </w:r>
      <w:r>
        <w:rPr>
          <w:color w:val="231F20"/>
        </w:rPr>
        <w:t>are</w:t>
      </w:r>
      <w:r>
        <w:rPr>
          <w:color w:val="231F20"/>
          <w:spacing w:val="-7"/>
        </w:rPr>
        <w:t> </w:t>
      </w:r>
      <w:r>
        <w:rPr>
          <w:color w:val="231F20"/>
        </w:rPr>
        <w:t>clustered</w:t>
      </w:r>
      <w:r>
        <w:rPr>
          <w:color w:val="231F20"/>
          <w:spacing w:val="-7"/>
        </w:rPr>
        <w:t> </w:t>
      </w:r>
      <w:r>
        <w:rPr>
          <w:color w:val="231F20"/>
        </w:rPr>
        <w:t>using</w:t>
      </w:r>
      <w:r>
        <w:rPr>
          <w:color w:val="231F20"/>
          <w:spacing w:val="-7"/>
        </w:rPr>
        <w:t> </w:t>
      </w:r>
      <w:r>
        <w:rPr>
          <w:color w:val="231F20"/>
        </w:rPr>
        <w:t>the</w:t>
      </w:r>
      <w:r>
        <w:rPr>
          <w:color w:val="231F20"/>
          <w:w w:val="99"/>
        </w:rPr>
        <w:t> </w:t>
      </w:r>
      <w:r>
        <w:rPr>
          <w:rFonts w:ascii="Segoe UI"/>
          <w:color w:val="231F20"/>
        </w:rPr>
        <w:t>mean</w:t>
      </w:r>
      <w:r>
        <w:rPr>
          <w:rFonts w:ascii="Segoe UI"/>
          <w:color w:val="231F20"/>
          <w:spacing w:val="-2"/>
        </w:rPr>
        <w:t> </w:t>
      </w:r>
      <w:r>
        <w:rPr>
          <w:rFonts w:ascii="Segoe UI"/>
          <w:color w:val="231F20"/>
        </w:rPr>
        <w:t>score</w:t>
      </w:r>
      <w:r>
        <w:rPr>
          <w:rFonts w:ascii="Segoe UI"/>
          <w:color w:val="231F20"/>
          <w:spacing w:val="-2"/>
        </w:rPr>
        <w:t> </w:t>
      </w:r>
      <w:r>
        <w:rPr>
          <w:rFonts w:ascii="Segoe UI"/>
          <w:color w:val="231F20"/>
        </w:rPr>
        <w:t>of</w:t>
      </w:r>
      <w:r>
        <w:rPr>
          <w:rFonts w:ascii="Segoe UI"/>
          <w:color w:val="231F20"/>
          <w:spacing w:val="-1"/>
        </w:rPr>
        <w:t> </w:t>
      </w:r>
      <w:r>
        <w:rPr>
          <w:rFonts w:ascii="Segoe UI"/>
          <w:color w:val="231F20"/>
        </w:rPr>
        <w:t>1,000</w:t>
      </w:r>
      <w:r>
        <w:rPr>
          <w:rFonts w:ascii="Segoe UI"/>
          <w:color w:val="231F20"/>
          <w:spacing w:val="-2"/>
        </w:rPr>
        <w:t> </w:t>
      </w:r>
      <w:r>
        <w:rPr>
          <w:rFonts w:ascii="Segoe UI"/>
          <w:color w:val="231F20"/>
        </w:rPr>
        <w:t>the</w:t>
      </w:r>
      <w:r>
        <w:rPr>
          <w:rFonts w:ascii="Segoe UI"/>
          <w:color w:val="231F20"/>
          <w:spacing w:val="-1"/>
        </w:rPr>
        <w:t> </w:t>
      </w:r>
      <w:r>
        <w:rPr>
          <w:rFonts w:ascii="Segoe UI"/>
          <w:color w:val="231F20"/>
        </w:rPr>
        <w:t>differential</w:t>
      </w:r>
      <w:r>
        <w:rPr>
          <w:rFonts w:ascii="Segoe UI"/>
          <w:color w:val="231F20"/>
          <w:spacing w:val="-2"/>
        </w:rPr>
        <w:t> </w:t>
      </w:r>
      <w:r>
        <w:rPr>
          <w:rFonts w:ascii="Segoe UI"/>
          <w:color w:val="231F20"/>
        </w:rPr>
        <w:t>increases</w:t>
      </w:r>
      <w:r>
        <w:rPr>
          <w:rFonts w:ascii="Segoe UI"/>
          <w:color w:val="231F20"/>
        </w:rPr>
        <w:t> </w:t>
      </w:r>
      <w:r>
        <w:rPr>
          <w:color w:val="231F20"/>
        </w:rPr>
        <w:t>to</w:t>
      </w:r>
      <w:r>
        <w:rPr>
          <w:color w:val="231F20"/>
          <w:spacing w:val="-6"/>
        </w:rPr>
        <w:t> </w:t>
      </w:r>
      <w:r>
        <w:rPr>
          <w:color w:val="231F20"/>
          <w:spacing w:val="-1"/>
        </w:rPr>
        <w:t>$6,156</w:t>
      </w:r>
      <w:r>
        <w:rPr>
          <w:color w:val="231F20"/>
          <w:spacing w:val="-6"/>
        </w:rPr>
        <w:t> </w:t>
      </w:r>
      <w:r>
        <w:rPr>
          <w:color w:val="231F20"/>
        </w:rPr>
        <w:t>boarder</w:t>
      </w:r>
      <w:r>
        <w:rPr>
          <w:color w:val="231F20"/>
          <w:spacing w:val="-5"/>
        </w:rPr>
        <w:t> </w:t>
      </w:r>
      <w:r>
        <w:rPr>
          <w:color w:val="231F20"/>
        </w:rPr>
        <w:t>($23,342</w:t>
      </w:r>
      <w:r>
        <w:rPr>
          <w:color w:val="231F20"/>
          <w:spacing w:val="-7"/>
        </w:rPr>
        <w:t> </w:t>
      </w:r>
      <w:r>
        <w:rPr>
          <w:color w:val="231F20"/>
        </w:rPr>
        <w:t>and</w:t>
      </w:r>
      <w:r>
        <w:rPr>
          <w:color w:val="231F20"/>
          <w:spacing w:val="-6"/>
        </w:rPr>
        <w:t> </w:t>
      </w:r>
      <w:r>
        <w:rPr>
          <w:color w:val="231F20"/>
        </w:rPr>
        <w:t>$17,186).</w:t>
      </w:r>
      <w:r>
        <w:rPr/>
      </w:r>
    </w:p>
    <w:p>
      <w:pPr>
        <w:spacing w:after="0" w:line="250" w:lineRule="exact"/>
        <w:jc w:val="left"/>
        <w:sectPr>
          <w:type w:val="continuous"/>
          <w:pgSz w:w="11910" w:h="16840"/>
          <w:pgMar w:top="1580" w:bottom="280" w:left="1600" w:right="0"/>
          <w:cols w:num="2" w:equalWidth="0">
            <w:col w:w="4272" w:space="263"/>
            <w:col w:w="5775"/>
          </w:cols>
        </w:sect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1"/>
        <w:rPr>
          <w:rFonts w:ascii="Segoe UI" w:hAnsi="Segoe UI" w:cs="Segoe UI" w:eastAsia="Segoe UI"/>
          <w:sz w:val="24"/>
          <w:szCs w:val="24"/>
        </w:rPr>
      </w:pPr>
    </w:p>
    <w:p>
      <w:pPr>
        <w:spacing w:after="0" w:line="240" w:lineRule="auto"/>
        <w:rPr>
          <w:rFonts w:ascii="Segoe UI" w:hAnsi="Segoe UI" w:cs="Segoe UI" w:eastAsia="Segoe UI"/>
          <w:sz w:val="24"/>
          <w:szCs w:val="24"/>
        </w:rPr>
        <w:sectPr>
          <w:footerReference w:type="even" r:id="rId16"/>
          <w:footerReference w:type="default" r:id="rId17"/>
          <w:pgSz w:w="11910" w:h="16840"/>
          <w:pgMar w:footer="691" w:header="0" w:top="1580" w:bottom="880" w:left="1300" w:right="0"/>
          <w:pgNumType w:start="12"/>
        </w:sectPr>
      </w:pPr>
    </w:p>
    <w:p>
      <w:pPr>
        <w:pStyle w:val="BodyText"/>
        <w:spacing w:line="250" w:lineRule="exact" w:before="62"/>
        <w:ind w:right="196"/>
        <w:jc w:val="left"/>
      </w:pPr>
      <w:r>
        <w:rPr/>
        <w:pict>
          <v:group style="position:absolute;margin-left:70.865997pt;margin-top:-312.061005pt;width:439.4pt;height:302.8pt;mso-position-horizontal-relative:page;mso-position-vertical-relative:paragraph;z-index:1696" coordorigin="1417,-6241" coordsize="8788,6056">
            <v:group style="position:absolute;left:8448;top:-1723;width:693;height:2" coordorigin="8448,-1723" coordsize="693,2">
              <v:shape style="position:absolute;left:8448;top:-1723;width:693;height:2" coordorigin="8448,-1723" coordsize="693,0" path="m8448,-1723l9140,-1723e" filled="false" stroked="true" strokeweight=".641pt" strokecolor="#dcddde">
                <v:path arrowok="t"/>
              </v:shape>
            </v:group>
            <v:group style="position:absolute;left:6432;top:-1723;width:1385;height:2" coordorigin="6432,-1723" coordsize="1385,2">
              <v:shape style="position:absolute;left:6432;top:-1723;width:1385;height:2" coordorigin="6432,-1723" coordsize="1385,0" path="m6432,-1723l7816,-1723e" filled="false" stroked="true" strokeweight=".641pt" strokecolor="#dcddde">
                <v:path arrowok="t"/>
              </v:shape>
            </v:group>
            <v:group style="position:absolute;left:4416;top:-1723;width:1385;height:2" coordorigin="4416,-1723" coordsize="1385,2">
              <v:shape style="position:absolute;left:4416;top:-1723;width:1385;height:2" coordorigin="4416,-1723" coordsize="1385,0" path="m4416,-1723l5800,-1723e" filled="false" stroked="true" strokeweight=".641pt" strokecolor="#dcddde">
                <v:path arrowok="t"/>
              </v:shape>
            </v:group>
            <v:group style="position:absolute;left:3091;top:-1723;width:693;height:2" coordorigin="3091,-1723" coordsize="693,2">
              <v:shape style="position:absolute;left:3091;top:-1723;width:693;height:2" coordorigin="3091,-1723" coordsize="693,0" path="m3091,-1723l3783,-1723e" filled="false" stroked="true" strokeweight=".641pt" strokecolor="#dcddde">
                <v:path arrowok="t"/>
              </v:shape>
            </v:group>
            <v:group style="position:absolute;left:4416;top:-2543;width:1385;height:2" coordorigin="4416,-2543" coordsize="1385,2">
              <v:shape style="position:absolute;left:4416;top:-2543;width:1385;height:2" coordorigin="4416,-2543" coordsize="1385,0" path="m4416,-2543l5800,-2543e" filled="false" stroked="true" strokeweight=".641pt" strokecolor="#dcddde">
                <v:path arrowok="t"/>
              </v:shape>
            </v:group>
            <v:group style="position:absolute;left:3091;top:-2543;width:693;height:2" coordorigin="3091,-2543" coordsize="693,2">
              <v:shape style="position:absolute;left:3091;top:-2543;width:693;height:2" coordorigin="3091,-2543" coordsize="693,0" path="m3091,-2543l3783,-2543e" filled="false" stroked="true" strokeweight=".641pt" strokecolor="#dcddde">
                <v:path arrowok="t"/>
              </v:shape>
            </v:group>
            <v:group style="position:absolute;left:4416;top:-3364;width:1385;height:2" coordorigin="4416,-3364" coordsize="1385,2">
              <v:shape style="position:absolute;left:4416;top:-3364;width:1385;height:2" coordorigin="4416,-3364" coordsize="1385,0" path="m4416,-3364l5800,-3364e" filled="false" stroked="true" strokeweight=".641pt" strokecolor="#dcddde">
                <v:path arrowok="t"/>
              </v:shape>
            </v:group>
            <v:group style="position:absolute;left:3091;top:-3364;width:693;height:2" coordorigin="3091,-3364" coordsize="693,2">
              <v:shape style="position:absolute;left:3091;top:-3364;width:693;height:2" coordorigin="3091,-3364" coordsize="693,0" path="m3091,-3364l3783,-3364e" filled="false" stroked="true" strokeweight=".641pt" strokecolor="#dcddde">
                <v:path arrowok="t"/>
              </v:shape>
            </v:group>
            <v:group style="position:absolute;left:4416;top:-4185;width:1385;height:2" coordorigin="4416,-4185" coordsize="1385,2">
              <v:shape style="position:absolute;left:4416;top:-4185;width:1385;height:2" coordorigin="4416,-4185" coordsize="1385,0" path="m4416,-4185l5800,-4185e" filled="false" stroked="true" strokeweight=".641pt" strokecolor="#dcddde">
                <v:path arrowok="t"/>
              </v:shape>
            </v:group>
            <v:group style="position:absolute;left:3091;top:-4185;width:693;height:2" coordorigin="3091,-4185" coordsize="693,2">
              <v:shape style="position:absolute;left:3091;top:-4185;width:693;height:2" coordorigin="3091,-4185" coordsize="693,0" path="m3091,-4185l3783,-4185e" filled="false" stroked="true" strokeweight=".641pt" strokecolor="#dcddde">
                <v:path arrowok="t"/>
              </v:shape>
            </v:group>
            <v:group style="position:absolute;left:3783;top:-4776;width:633;height:3874" coordorigin="3783,-4776" coordsize="633,3874">
              <v:shape style="position:absolute;left:3783;top:-4776;width:633;height:3874" coordorigin="3783,-4776" coordsize="633,3874" path="m3783,-4776l4416,-4776,4416,-902,3783,-902,3783,-4776xe" filled="true" fillcolor="#8164a2" stroked="false">
                <v:path arrowok="t"/>
                <v:fill type="solid"/>
              </v:shape>
            </v:group>
            <v:group style="position:absolute;left:6432;top:-2543;width:1385;height:2" coordorigin="6432,-2543" coordsize="1385,2">
              <v:shape style="position:absolute;left:6432;top:-2543;width:1385;height:2" coordorigin="6432,-2543" coordsize="1385,0" path="m6432,-2543l7816,-2543e" filled="false" stroked="true" strokeweight=".641pt" strokecolor="#dcddde">
                <v:path arrowok="t"/>
              </v:shape>
            </v:group>
            <v:group style="position:absolute;left:6432;top:-3364;width:1385;height:2" coordorigin="6432,-3364" coordsize="1385,2">
              <v:shape style="position:absolute;left:6432;top:-3364;width:1385;height:2" coordorigin="6432,-3364" coordsize="1385,0" path="m6432,-3364l7816,-3364e" filled="false" stroked="true" strokeweight=".641pt" strokecolor="#dcddde">
                <v:path arrowok="t"/>
              </v:shape>
            </v:group>
            <v:group style="position:absolute;left:6432;top:-4185;width:2709;height:2" coordorigin="6432,-4185" coordsize="2709,2">
              <v:shape style="position:absolute;left:6432;top:-4185;width:2709;height:2" coordorigin="6432,-4185" coordsize="2709,0" path="m6432,-4185l9140,-4185e" filled="false" stroked="true" strokeweight=".641pt" strokecolor="#dcddde">
                <v:path arrowok="t"/>
              </v:shape>
            </v:group>
            <v:group style="position:absolute;left:5800;top:-4417;width:633;height:3515" coordorigin="5800,-4417" coordsize="633,3515">
              <v:shape style="position:absolute;left:5800;top:-4417;width:633;height:3515" coordorigin="5800,-4417" coordsize="633,3515" path="m5800,-4417l6432,-4417,6432,-902,5800,-902,5800,-4417xe" filled="true" fillcolor="#8164a2" stroked="false">
                <v:path arrowok="t"/>
                <v:fill type="solid"/>
              </v:shape>
            </v:group>
            <v:group style="position:absolute;left:8448;top:-2543;width:693;height:2" coordorigin="8448,-2543" coordsize="693,2">
              <v:shape style="position:absolute;left:8448;top:-2543;width:693;height:2" coordorigin="8448,-2543" coordsize="693,0" path="m8448,-2543l9140,-2543e" filled="false" stroked="true" strokeweight=".641pt" strokecolor="#dcddde">
                <v:path arrowok="t"/>
              </v:shape>
            </v:group>
            <v:group style="position:absolute;left:8448;top:-3364;width:693;height:2" coordorigin="8448,-3364" coordsize="693,2">
              <v:shape style="position:absolute;left:8448;top:-3364;width:693;height:2" coordorigin="8448,-3364" coordsize="693,0" path="m8448,-3364l9140,-3364e" filled="false" stroked="true" strokeweight=".641pt" strokecolor="#dcddde">
                <v:path arrowok="t"/>
              </v:shape>
            </v:group>
            <v:group style="position:absolute;left:7816;top:-4084;width:633;height:3183" coordorigin="7816,-4084" coordsize="633,3183">
              <v:shape style="position:absolute;left:7816;top:-4084;width:633;height:3183" coordorigin="7816,-4084" coordsize="633,3183" path="m7816,-4084l8448,-4084,8448,-902,7816,-902,7816,-4084xe" filled="true" fillcolor="#8164a2" stroked="false">
                <v:path arrowok="t"/>
                <v:fill type="solid"/>
              </v:shape>
            </v:group>
            <v:group style="position:absolute;left:3091;top:-902;width:6049;height:2" coordorigin="3091,-902" coordsize="6049,2">
              <v:shape style="position:absolute;left:3091;top:-902;width:6049;height:2" coordorigin="3091,-902" coordsize="6049,0" path="m3091,-902l9140,-902e" filled="false" stroked="true" strokeweight=".641pt" strokecolor="#dcddde">
                <v:path arrowok="t"/>
              </v:shape>
            </v:group>
            <v:group style="position:absolute;left:3091;top:-5007;width:6049;height:2" coordorigin="3091,-5007" coordsize="6049,2">
              <v:shape style="position:absolute;left:3091;top:-5007;width:6049;height:2" coordorigin="3091,-5007" coordsize="6049,0" path="m3091,-5007l9140,-5007e" filled="false" stroked="true" strokeweight=".641pt" strokecolor="#dcddde">
                <v:path arrowok="t"/>
              </v:shape>
            </v:group>
            <v:group style="position:absolute;left:1517;top:-6141;width:8588;height:5856" coordorigin="1517,-6141" coordsize="8588,5856">
              <v:shape style="position:absolute;left:1517;top:-6141;width:8588;height:5856" coordorigin="1517,-6141" coordsize="8588,5856" path="m1517,-286l10105,-286,10105,-6141,1517,-6141,1517,-286xe" filled="false" stroked="true" strokeweight="10pt" strokecolor="#c1b5a9">
                <v:path arrowok="t"/>
              </v:shape>
              <v:shape style="position:absolute;left:1704;top:-5971;width:7860;height:1043" type="#_x0000_t202" filled="false" stroked="false">
                <v:textbox inset="0,0,0,0">
                  <w:txbxContent>
                    <w:p>
                      <w:pPr>
                        <w:spacing w:line="159" w:lineRule="exact" w:before="0"/>
                        <w:ind w:left="0" w:right="0" w:firstLine="0"/>
                        <w:jc w:val="left"/>
                        <w:rPr>
                          <w:rFonts w:ascii="Segoe UI Semibold" w:hAnsi="Segoe UI Semibold" w:cs="Segoe UI Semibold" w:eastAsia="Segoe UI Semibold"/>
                          <w:sz w:val="16"/>
                          <w:szCs w:val="16"/>
                        </w:rPr>
                      </w:pPr>
                      <w:r>
                        <w:rPr>
                          <w:rFonts w:ascii="Segoe UI Semibold"/>
                          <w:b/>
                          <w:color w:val="666155"/>
                          <w:spacing w:val="4"/>
                          <w:sz w:val="16"/>
                        </w:rPr>
                        <w:t>GRAPH</w:t>
                      </w:r>
                      <w:r>
                        <w:rPr>
                          <w:rFonts w:ascii="Segoe UI Semibold"/>
                          <w:b/>
                          <w:color w:val="666155"/>
                          <w:spacing w:val="-1"/>
                          <w:sz w:val="16"/>
                        </w:rPr>
                        <w:t> </w:t>
                      </w:r>
                      <w:r>
                        <w:rPr>
                          <w:rFonts w:ascii="Segoe UI Semibold"/>
                          <w:b/>
                          <w:color w:val="666155"/>
                          <w:sz w:val="16"/>
                        </w:rPr>
                        <w:t>3: </w:t>
                      </w:r>
                      <w:r>
                        <w:rPr>
                          <w:rFonts w:ascii="Segoe UI Semibold"/>
                          <w:b/>
                          <w:color w:val="666155"/>
                          <w:spacing w:val="2"/>
                          <w:sz w:val="16"/>
                        </w:rPr>
                        <w:t>AVERAGE</w:t>
                      </w:r>
                      <w:r>
                        <w:rPr>
                          <w:rFonts w:ascii="Segoe UI Semibold"/>
                          <w:b/>
                          <w:color w:val="666155"/>
                          <w:spacing w:val="3"/>
                          <w:sz w:val="16"/>
                        </w:rPr>
                        <w:t> ANNUAL </w:t>
                      </w:r>
                      <w:r>
                        <w:rPr>
                          <w:rFonts w:ascii="Segoe UI Semibold"/>
                          <w:b/>
                          <w:color w:val="666155"/>
                          <w:spacing w:val="4"/>
                          <w:sz w:val="16"/>
                        </w:rPr>
                        <w:t>BOARDING</w:t>
                      </w:r>
                      <w:r>
                        <w:rPr>
                          <w:rFonts w:ascii="Segoe UI Semibold"/>
                          <w:b/>
                          <w:color w:val="666155"/>
                          <w:spacing w:val="3"/>
                          <w:sz w:val="16"/>
                        </w:rPr>
                        <w:t> COST</w:t>
                      </w:r>
                      <w:r>
                        <w:rPr>
                          <w:rFonts w:ascii="Segoe UI Semibold"/>
                          <w:b/>
                          <w:color w:val="666155"/>
                          <w:spacing w:val="2"/>
                          <w:sz w:val="16"/>
                        </w:rPr>
                        <w:t> </w:t>
                      </w:r>
                      <w:r>
                        <w:rPr>
                          <w:rFonts w:ascii="Segoe UI Semibold"/>
                          <w:b/>
                          <w:color w:val="666155"/>
                          <w:spacing w:val="3"/>
                          <w:sz w:val="16"/>
                        </w:rPr>
                        <w:t>PER </w:t>
                      </w:r>
                      <w:r>
                        <w:rPr>
                          <w:rFonts w:ascii="Segoe UI Semibold"/>
                          <w:b/>
                          <w:color w:val="666155"/>
                          <w:spacing w:val="4"/>
                          <w:sz w:val="16"/>
                        </w:rPr>
                        <w:t>BOARDER</w:t>
                      </w:r>
                      <w:r>
                        <w:rPr>
                          <w:rFonts w:ascii="Segoe UI Semibold"/>
                          <w:b/>
                          <w:color w:val="666155"/>
                          <w:spacing w:val="3"/>
                          <w:sz w:val="16"/>
                        </w:rPr>
                        <w:t> </w:t>
                      </w:r>
                      <w:r>
                        <w:rPr>
                          <w:rFonts w:ascii="Segoe UI Semibold"/>
                          <w:b/>
                          <w:color w:val="666155"/>
                          <w:sz w:val="16"/>
                        </w:rPr>
                        <w:t>BY</w:t>
                      </w:r>
                      <w:r>
                        <w:rPr>
                          <w:rFonts w:ascii="Segoe UI Semibold"/>
                          <w:b/>
                          <w:color w:val="666155"/>
                          <w:spacing w:val="3"/>
                          <w:sz w:val="16"/>
                        </w:rPr>
                        <w:t> </w:t>
                      </w:r>
                      <w:r>
                        <w:rPr>
                          <w:rFonts w:ascii="Segoe UI Semibold"/>
                          <w:b/>
                          <w:color w:val="666155"/>
                          <w:spacing w:val="4"/>
                          <w:sz w:val="16"/>
                        </w:rPr>
                        <w:t>ICSEA</w:t>
                      </w:r>
                      <w:r>
                        <w:rPr>
                          <w:rFonts w:ascii="Segoe UI Semibold"/>
                          <w:b/>
                          <w:color w:val="666155"/>
                          <w:spacing w:val="2"/>
                          <w:sz w:val="16"/>
                        </w:rPr>
                        <w:t> </w:t>
                      </w:r>
                      <w:r>
                        <w:rPr>
                          <w:rFonts w:ascii="Segoe UI Semibold"/>
                          <w:b/>
                          <w:color w:val="666155"/>
                          <w:spacing w:val="3"/>
                          <w:sz w:val="16"/>
                        </w:rPr>
                        <w:t>SCORE </w:t>
                      </w:r>
                      <w:r>
                        <w:rPr>
                          <w:rFonts w:ascii="Segoe UI Semibold"/>
                          <w:b/>
                          <w:color w:val="666155"/>
                          <w:spacing w:val="2"/>
                          <w:sz w:val="16"/>
                        </w:rPr>
                        <w:t>OF</w:t>
                      </w:r>
                      <w:r>
                        <w:rPr>
                          <w:rFonts w:ascii="Segoe UI Semibold"/>
                          <w:b/>
                          <w:color w:val="666155"/>
                          <w:spacing w:val="3"/>
                          <w:sz w:val="16"/>
                        </w:rPr>
                        <w:t> </w:t>
                      </w:r>
                      <w:r>
                        <w:rPr>
                          <w:rFonts w:ascii="Segoe UI Semibold"/>
                          <w:b/>
                          <w:color w:val="666155"/>
                          <w:spacing w:val="4"/>
                          <w:sz w:val="16"/>
                        </w:rPr>
                        <w:t>ABORIGINAL</w:t>
                      </w:r>
                      <w:r>
                        <w:rPr>
                          <w:rFonts w:ascii="Segoe UI Semibold"/>
                          <w:b/>
                          <w:color w:val="666155"/>
                          <w:spacing w:val="3"/>
                          <w:sz w:val="16"/>
                        </w:rPr>
                        <w:t> </w:t>
                      </w:r>
                      <w:r>
                        <w:rPr>
                          <w:rFonts w:ascii="Segoe UI Semibold"/>
                          <w:b/>
                          <w:color w:val="666155"/>
                          <w:spacing w:val="5"/>
                          <w:sz w:val="16"/>
                        </w:rPr>
                        <w:t>AND</w:t>
                      </w:r>
                      <w:r>
                        <w:rPr>
                          <w:rFonts w:ascii="Segoe UI Semibold"/>
                          <w:sz w:val="16"/>
                        </w:rPr>
                      </w:r>
                    </w:p>
                    <w:p>
                      <w:pPr>
                        <w:spacing w:line="200" w:lineRule="exact" w:before="11"/>
                        <w:ind w:left="0" w:right="0" w:firstLine="0"/>
                        <w:jc w:val="left"/>
                        <w:rPr>
                          <w:rFonts w:ascii="Segoe UI Semibold" w:hAnsi="Segoe UI Semibold" w:cs="Segoe UI Semibold" w:eastAsia="Segoe UI Semibold"/>
                          <w:sz w:val="16"/>
                          <w:szCs w:val="16"/>
                        </w:rPr>
                      </w:pPr>
                      <w:r>
                        <w:rPr>
                          <w:rFonts w:ascii="Segoe UI Semibold" w:hAnsi="Segoe UI Semibold" w:cs="Segoe UI Semibold" w:eastAsia="Segoe UI Semibold"/>
                          <w:b/>
                          <w:bCs/>
                          <w:color w:val="666155"/>
                          <w:spacing w:val="3"/>
                          <w:sz w:val="16"/>
                          <w:szCs w:val="16"/>
                        </w:rPr>
                        <w:t>TORRES</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STRAIT</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4"/>
                          <w:sz w:val="16"/>
                          <w:szCs w:val="16"/>
                        </w:rPr>
                        <w:t>ISLANDER</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3"/>
                          <w:sz w:val="16"/>
                          <w:szCs w:val="16"/>
                        </w:rPr>
                        <w:t>AND</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4"/>
                          <w:sz w:val="16"/>
                          <w:szCs w:val="16"/>
                        </w:rPr>
                        <w:t>MAINSTREAM</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4"/>
                          <w:sz w:val="16"/>
                          <w:szCs w:val="16"/>
                        </w:rPr>
                        <w:t>BOARDING</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4"/>
                          <w:sz w:val="16"/>
                          <w:szCs w:val="16"/>
                        </w:rPr>
                        <w:t>PROVIDERS</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position w:val="1"/>
                          <w:sz w:val="16"/>
                          <w:szCs w:val="16"/>
                        </w:rPr>
                        <w:t>(</w:t>
                      </w:r>
                      <w:r>
                        <w:rPr>
                          <w:rFonts w:ascii="Segoe UI Semibold" w:hAnsi="Segoe UI Semibold" w:cs="Segoe UI Semibold" w:eastAsia="Segoe UI Semibold"/>
                          <w:b/>
                          <w:bCs/>
                          <w:color w:val="666155"/>
                          <w:spacing w:val="4"/>
                          <w:sz w:val="16"/>
                          <w:szCs w:val="16"/>
                        </w:rPr>
                        <w:t>RANKING</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4"/>
                          <w:sz w:val="16"/>
                          <w:szCs w:val="16"/>
                        </w:rPr>
                        <w:t>ABOVE</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AND</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4"/>
                          <w:sz w:val="16"/>
                          <w:szCs w:val="16"/>
                        </w:rPr>
                        <w:t>BELOW</w:t>
                      </w:r>
                      <w:r>
                        <w:rPr>
                          <w:rFonts w:ascii="Segoe UI Semibold" w:hAnsi="Segoe UI Semibold" w:cs="Segoe UI Semibold" w:eastAsia="Segoe UI Semibold"/>
                          <w:b/>
                          <w:bCs/>
                          <w:color w:val="666155"/>
                          <w:spacing w:val="49"/>
                          <w:w w:val="99"/>
                          <w:sz w:val="16"/>
                          <w:szCs w:val="16"/>
                        </w:rPr>
                        <w:t> </w:t>
                      </w:r>
                      <w:r>
                        <w:rPr>
                          <w:rFonts w:ascii="Segoe UI Semibold" w:hAnsi="Segoe UI Semibold" w:cs="Segoe UI Semibold" w:eastAsia="Segoe UI Semibold"/>
                          <w:b/>
                          <w:bCs/>
                          <w:color w:val="666155"/>
                          <w:spacing w:val="4"/>
                          <w:sz w:val="16"/>
                          <w:szCs w:val="16"/>
                        </w:rPr>
                        <w:t>ICSEA </w:t>
                      </w:r>
                      <w:r>
                        <w:rPr>
                          <w:rFonts w:ascii="Segoe UI Semibold" w:hAnsi="Segoe UI Semibold" w:cs="Segoe UI Semibold" w:eastAsia="Segoe UI Semibold"/>
                          <w:b/>
                          <w:bCs/>
                          <w:color w:val="666155"/>
                          <w:spacing w:val="3"/>
                          <w:sz w:val="16"/>
                          <w:szCs w:val="16"/>
                        </w:rPr>
                        <w:t>SCORE</w:t>
                      </w:r>
                      <w:r>
                        <w:rPr>
                          <w:rFonts w:ascii="Segoe UI Semibold" w:hAnsi="Segoe UI Semibold" w:cs="Segoe UI Semibold" w:eastAsia="Segoe UI Semibold"/>
                          <w:b/>
                          <w:bCs/>
                          <w:color w:val="666155"/>
                          <w:spacing w:val="4"/>
                          <w:sz w:val="16"/>
                          <w:szCs w:val="16"/>
                        </w:rPr>
                        <w:t> </w:t>
                      </w:r>
                      <w:r>
                        <w:rPr>
                          <w:rFonts w:ascii="Segoe UI Semibold" w:hAnsi="Segoe UI Semibold" w:cs="Segoe UI Semibold" w:eastAsia="Segoe UI Semibold"/>
                          <w:b/>
                          <w:bCs/>
                          <w:color w:val="666155"/>
                          <w:spacing w:val="2"/>
                          <w:sz w:val="16"/>
                          <w:szCs w:val="16"/>
                        </w:rPr>
                        <w:t>OF</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1"/>
                          <w:sz w:val="16"/>
                          <w:szCs w:val="16"/>
                        </w:rPr>
                        <w:t>800</w:t>
                      </w:r>
                      <w:r>
                        <w:rPr>
                          <w:rFonts w:ascii="Segoe UI Semibold" w:hAnsi="Segoe UI Semibold" w:cs="Segoe UI Semibold" w:eastAsia="Segoe UI Semibold"/>
                          <w:b/>
                          <w:bCs/>
                          <w:color w:val="666155"/>
                          <w:spacing w:val="-1"/>
                          <w:position w:val="1"/>
                          <w:sz w:val="16"/>
                          <w:szCs w:val="16"/>
                        </w:rPr>
                        <w:t>)</w:t>
                      </w:r>
                      <w:r>
                        <w:rPr>
                          <w:rFonts w:ascii="Segoe UI Semibold" w:hAnsi="Segoe UI Semibold" w:cs="Segoe UI Semibold" w:eastAsia="Segoe UI Semibold"/>
                          <w:b/>
                          <w:bCs/>
                          <w:color w:val="666155"/>
                          <w:spacing w:val="-1"/>
                          <w:sz w:val="16"/>
                          <w:szCs w:val="16"/>
                        </w:rPr>
                        <w:t>, 2015 </w:t>
                      </w:r>
                      <w:r>
                        <w:rPr>
                          <w:rFonts w:ascii="Segoe UI Semibold" w:hAnsi="Segoe UI Semibold" w:cs="Segoe UI Semibold" w:eastAsia="Segoe UI Semibold"/>
                          <w:b/>
                          <w:bCs/>
                          <w:color w:val="666155"/>
                          <w:position w:val="1"/>
                          <w:sz w:val="16"/>
                          <w:szCs w:val="16"/>
                        </w:rPr>
                        <w:t>— </w:t>
                      </w:r>
                      <w:r>
                        <w:rPr>
                          <w:rFonts w:ascii="Segoe UI Semibold" w:hAnsi="Segoe UI Semibold" w:cs="Segoe UI Semibold" w:eastAsia="Segoe UI Semibold"/>
                          <w:b/>
                          <w:bCs/>
                          <w:color w:val="666155"/>
                          <w:spacing w:val="-1"/>
                          <w:sz w:val="16"/>
                          <w:szCs w:val="16"/>
                        </w:rPr>
                        <w:t>2017</w:t>
                      </w:r>
                      <w:r>
                        <w:rPr>
                          <w:rFonts w:ascii="Segoe UI Semibold" w:hAnsi="Segoe UI Semibold" w:cs="Segoe UI Semibold" w:eastAsia="Segoe UI Semibold"/>
                          <w:sz w:val="16"/>
                          <w:szCs w:val="16"/>
                        </w:rPr>
                      </w:r>
                    </w:p>
                    <w:p>
                      <w:pPr>
                        <w:spacing w:line="240" w:lineRule="auto" w:before="7"/>
                        <w:rPr>
                          <w:rFonts w:ascii="Segoe UI" w:hAnsi="Segoe UI" w:cs="Segoe UI" w:eastAsia="Segoe UI"/>
                          <w:sz w:val="22"/>
                          <w:szCs w:val="22"/>
                        </w:rPr>
                      </w:pPr>
                    </w:p>
                    <w:p>
                      <w:pPr>
                        <w:spacing w:before="0"/>
                        <w:ind w:left="775" w:right="0" w:firstLine="0"/>
                        <w:jc w:val="left"/>
                        <w:rPr>
                          <w:rFonts w:ascii="Segoe UI" w:hAnsi="Segoe UI" w:cs="Segoe UI" w:eastAsia="Segoe UI"/>
                          <w:sz w:val="13"/>
                          <w:szCs w:val="13"/>
                        </w:rPr>
                      </w:pPr>
                      <w:r>
                        <w:rPr>
                          <w:rFonts w:ascii="Segoe UI"/>
                          <w:color w:val="77787B"/>
                          <w:spacing w:val="-1"/>
                          <w:w w:val="105"/>
                          <w:sz w:val="13"/>
                        </w:rPr>
                        <w:t>$25,000</w:t>
                      </w:r>
                      <w:r>
                        <w:rPr>
                          <w:rFonts w:ascii="Segoe UI"/>
                          <w:sz w:val="13"/>
                        </w:rPr>
                      </w:r>
                    </w:p>
                  </w:txbxContent>
                </v:textbox>
                <w10:wrap type="none"/>
              </v:shape>
              <v:shape style="position:absolute;left:2479;top:-4245;width:473;height:138" type="#_x0000_t202" filled="false" stroked="false">
                <v:textbox inset="0,0,0,0">
                  <w:txbxContent>
                    <w:p>
                      <w:pPr>
                        <w:spacing w:line="137" w:lineRule="exact" w:before="0"/>
                        <w:ind w:left="0" w:right="0" w:firstLine="0"/>
                        <w:jc w:val="left"/>
                        <w:rPr>
                          <w:rFonts w:ascii="Segoe UI" w:hAnsi="Segoe UI" w:cs="Segoe UI" w:eastAsia="Segoe UI"/>
                          <w:sz w:val="13"/>
                          <w:szCs w:val="13"/>
                        </w:rPr>
                      </w:pPr>
                      <w:r>
                        <w:rPr>
                          <w:rFonts w:ascii="Segoe UI"/>
                          <w:color w:val="77787B"/>
                          <w:spacing w:val="-1"/>
                          <w:w w:val="105"/>
                          <w:sz w:val="13"/>
                        </w:rPr>
                        <w:t>$20,000</w:t>
                      </w:r>
                      <w:r>
                        <w:rPr>
                          <w:rFonts w:ascii="Segoe UI"/>
                          <w:sz w:val="13"/>
                        </w:rPr>
                      </w:r>
                    </w:p>
                  </w:txbxContent>
                </v:textbox>
                <w10:wrap type="none"/>
              </v:shape>
              <v:shape style="position:absolute;left:2479;top:-3424;width:473;height:138" type="#_x0000_t202" filled="false" stroked="false">
                <v:textbox inset="0,0,0,0">
                  <w:txbxContent>
                    <w:p>
                      <w:pPr>
                        <w:spacing w:line="137" w:lineRule="exact" w:before="0"/>
                        <w:ind w:left="0" w:right="0" w:firstLine="0"/>
                        <w:jc w:val="left"/>
                        <w:rPr>
                          <w:rFonts w:ascii="Segoe UI" w:hAnsi="Segoe UI" w:cs="Segoe UI" w:eastAsia="Segoe UI"/>
                          <w:sz w:val="13"/>
                          <w:szCs w:val="13"/>
                        </w:rPr>
                      </w:pPr>
                      <w:r>
                        <w:rPr>
                          <w:rFonts w:ascii="Segoe UI"/>
                          <w:color w:val="77787B"/>
                          <w:spacing w:val="-1"/>
                          <w:w w:val="105"/>
                          <w:sz w:val="13"/>
                        </w:rPr>
                        <w:t>$15,000</w:t>
                      </w:r>
                      <w:r>
                        <w:rPr>
                          <w:rFonts w:ascii="Segoe UI"/>
                          <w:sz w:val="13"/>
                        </w:rPr>
                      </w:r>
                    </w:p>
                  </w:txbxContent>
                </v:textbox>
                <w10:wrap type="none"/>
              </v:shape>
              <v:shape style="position:absolute;left:2479;top:-2603;width:473;height:138" type="#_x0000_t202" filled="false" stroked="false">
                <v:textbox inset="0,0,0,0">
                  <w:txbxContent>
                    <w:p>
                      <w:pPr>
                        <w:spacing w:line="137" w:lineRule="exact" w:before="0"/>
                        <w:ind w:left="0" w:right="0" w:firstLine="0"/>
                        <w:jc w:val="left"/>
                        <w:rPr>
                          <w:rFonts w:ascii="Segoe UI" w:hAnsi="Segoe UI" w:cs="Segoe UI" w:eastAsia="Segoe UI"/>
                          <w:sz w:val="13"/>
                          <w:szCs w:val="13"/>
                        </w:rPr>
                      </w:pPr>
                      <w:r>
                        <w:rPr>
                          <w:rFonts w:ascii="Segoe UI"/>
                          <w:color w:val="77787B"/>
                          <w:spacing w:val="-1"/>
                          <w:w w:val="105"/>
                          <w:sz w:val="13"/>
                        </w:rPr>
                        <w:t>$10,000</w:t>
                      </w:r>
                      <w:r>
                        <w:rPr>
                          <w:rFonts w:ascii="Segoe UI"/>
                          <w:sz w:val="13"/>
                        </w:rPr>
                      </w:r>
                    </w:p>
                  </w:txbxContent>
                </v:textbox>
                <w10:wrap type="none"/>
              </v:shape>
              <v:shape style="position:absolute;left:2552;top:-1782;width:399;height:138" type="#_x0000_t202" filled="false" stroked="false">
                <v:textbox inset="0,0,0,0">
                  <w:txbxContent>
                    <w:p>
                      <w:pPr>
                        <w:spacing w:line="137" w:lineRule="exact" w:before="0"/>
                        <w:ind w:left="0" w:right="0" w:firstLine="0"/>
                        <w:jc w:val="left"/>
                        <w:rPr>
                          <w:rFonts w:ascii="Segoe UI" w:hAnsi="Segoe UI" w:cs="Segoe UI" w:eastAsia="Segoe UI"/>
                          <w:sz w:val="13"/>
                          <w:szCs w:val="13"/>
                        </w:rPr>
                      </w:pPr>
                      <w:r>
                        <w:rPr>
                          <w:rFonts w:ascii="Segoe UI"/>
                          <w:color w:val="77787B"/>
                          <w:spacing w:val="-1"/>
                          <w:w w:val="105"/>
                          <w:sz w:val="13"/>
                        </w:rPr>
                        <w:t>$5,000</w:t>
                      </w:r>
                      <w:r>
                        <w:rPr>
                          <w:rFonts w:ascii="Segoe UI"/>
                          <w:sz w:val="13"/>
                        </w:rPr>
                      </w:r>
                    </w:p>
                  </w:txbxContent>
                </v:textbox>
                <w10:wrap type="none"/>
              </v:shape>
              <v:shape style="position:absolute;left:2804;top:-961;width:148;height:138" type="#_x0000_t202" filled="false" stroked="false">
                <v:textbox inset="0,0,0,0">
                  <w:txbxContent>
                    <w:p>
                      <w:pPr>
                        <w:spacing w:line="137" w:lineRule="exact" w:before="0"/>
                        <w:ind w:left="0" w:right="0" w:firstLine="0"/>
                        <w:jc w:val="left"/>
                        <w:rPr>
                          <w:rFonts w:ascii="Segoe UI" w:hAnsi="Segoe UI" w:cs="Segoe UI" w:eastAsia="Segoe UI"/>
                          <w:sz w:val="13"/>
                          <w:szCs w:val="13"/>
                        </w:rPr>
                      </w:pPr>
                      <w:r>
                        <w:rPr>
                          <w:rFonts w:ascii="Segoe UI"/>
                          <w:color w:val="77787B"/>
                          <w:spacing w:val="-1"/>
                          <w:w w:val="105"/>
                          <w:sz w:val="13"/>
                        </w:rPr>
                        <w:t>$0</w:t>
                      </w:r>
                      <w:r>
                        <w:rPr>
                          <w:rFonts w:ascii="Segoe UI"/>
                          <w:sz w:val="13"/>
                        </w:rPr>
                      </w:r>
                    </w:p>
                  </w:txbxContent>
                </v:textbox>
                <w10:wrap type="none"/>
              </v:shape>
              <v:shape style="position:absolute;left:3724;top:-760;width:752;height:138" type="#_x0000_t202" filled="false" stroked="false">
                <v:textbox inset="0,0,0,0">
                  <w:txbxContent>
                    <w:p>
                      <w:pPr>
                        <w:spacing w:line="137" w:lineRule="exact" w:before="0"/>
                        <w:ind w:left="0" w:right="0" w:firstLine="0"/>
                        <w:jc w:val="left"/>
                        <w:rPr>
                          <w:rFonts w:ascii="Segoe UI" w:hAnsi="Segoe UI" w:cs="Segoe UI" w:eastAsia="Segoe UI"/>
                          <w:sz w:val="13"/>
                          <w:szCs w:val="13"/>
                        </w:rPr>
                      </w:pPr>
                      <w:r>
                        <w:rPr>
                          <w:rFonts w:ascii="Segoe UI"/>
                          <w:color w:val="77787B"/>
                          <w:spacing w:val="-1"/>
                          <w:w w:val="105"/>
                          <w:sz w:val="13"/>
                        </w:rPr>
                        <w:t>Lower ICSEA</w:t>
                      </w:r>
                      <w:r>
                        <w:rPr>
                          <w:rFonts w:ascii="Segoe UI"/>
                          <w:sz w:val="13"/>
                        </w:rPr>
                      </w:r>
                    </w:p>
                  </w:txbxContent>
                </v:textbox>
                <w10:wrap type="none"/>
              </v:shape>
              <v:shape style="position:absolute;left:5718;top:-760;width:797;height:138" type="#_x0000_t202" filled="false" stroked="false">
                <v:textbox inset="0,0,0,0">
                  <w:txbxContent>
                    <w:p>
                      <w:pPr>
                        <w:spacing w:line="137" w:lineRule="exact" w:before="0"/>
                        <w:ind w:left="0" w:right="0" w:firstLine="0"/>
                        <w:jc w:val="left"/>
                        <w:rPr>
                          <w:rFonts w:ascii="Segoe UI" w:hAnsi="Segoe UI" w:cs="Segoe UI" w:eastAsia="Segoe UI"/>
                          <w:sz w:val="13"/>
                          <w:szCs w:val="13"/>
                        </w:rPr>
                      </w:pPr>
                      <w:r>
                        <w:rPr>
                          <w:rFonts w:ascii="Segoe UI"/>
                          <w:color w:val="77787B"/>
                          <w:spacing w:val="-1"/>
                          <w:w w:val="105"/>
                          <w:sz w:val="13"/>
                        </w:rPr>
                        <w:t>Higher</w:t>
                      </w:r>
                      <w:r>
                        <w:rPr>
                          <w:rFonts w:ascii="Segoe UI"/>
                          <w:color w:val="77787B"/>
                          <w:w w:val="105"/>
                          <w:sz w:val="13"/>
                        </w:rPr>
                        <w:t> </w:t>
                      </w:r>
                      <w:r>
                        <w:rPr>
                          <w:rFonts w:ascii="Segoe UI"/>
                          <w:color w:val="77787B"/>
                          <w:spacing w:val="-1"/>
                          <w:w w:val="105"/>
                          <w:sz w:val="13"/>
                        </w:rPr>
                        <w:t>ICSEA</w:t>
                      </w:r>
                      <w:r>
                        <w:rPr>
                          <w:rFonts w:ascii="Segoe UI"/>
                          <w:sz w:val="13"/>
                        </w:rPr>
                      </w:r>
                    </w:p>
                  </w:txbxContent>
                </v:textbox>
                <w10:wrap type="none"/>
              </v:shape>
              <v:shape style="position:absolute;left:7181;top:-760;width:1905;height:138" type="#_x0000_t202" filled="false" stroked="false">
                <v:textbox inset="0,0,0,0">
                  <w:txbxContent>
                    <w:p>
                      <w:pPr>
                        <w:spacing w:line="137" w:lineRule="exact" w:before="0"/>
                        <w:ind w:left="0" w:right="0" w:firstLine="0"/>
                        <w:jc w:val="left"/>
                        <w:rPr>
                          <w:rFonts w:ascii="Segoe UI" w:hAnsi="Segoe UI" w:cs="Segoe UI" w:eastAsia="Segoe UI"/>
                          <w:sz w:val="13"/>
                          <w:szCs w:val="13"/>
                        </w:rPr>
                      </w:pPr>
                      <w:r>
                        <w:rPr>
                          <w:rFonts w:ascii="Segoe UI"/>
                          <w:color w:val="77787B"/>
                          <w:spacing w:val="-1"/>
                          <w:w w:val="105"/>
                          <w:sz w:val="13"/>
                        </w:rPr>
                        <w:t>Mainstream boarding providers</w:t>
                      </w:r>
                      <w:r>
                        <w:rPr>
                          <w:rFonts w:ascii="Segoe UI"/>
                          <w:sz w:val="13"/>
                        </w:rPr>
                      </w:r>
                    </w:p>
                  </w:txbxContent>
                </v:textbox>
                <w10:wrap type="none"/>
              </v:shape>
            </v:group>
            <w10:wrap type="none"/>
          </v:group>
        </w:pict>
      </w:r>
      <w:r>
        <w:rPr/>
        <w:pict>
          <v:shape style="position:absolute;margin-left:110.50959pt;margin-top:245.642929pt;width:8.9pt;height:25.15pt;mso-position-horizontal-relative:page;mso-position-vertical-relative:page;z-index:1720" type="#_x0000_t202" filled="false" stroked="false">
            <v:textbox inset="0,0,0,0" style="layout-flow:vertical;mso-layout-flow-alt:bottom-to-top">
              <w:txbxContent>
                <w:p>
                  <w:pPr>
                    <w:spacing w:line="157" w:lineRule="exact" w:before="0"/>
                    <w:ind w:left="20" w:right="0" w:firstLine="0"/>
                    <w:jc w:val="left"/>
                    <w:rPr>
                      <w:rFonts w:ascii="Segoe UI" w:hAnsi="Segoe UI" w:cs="Segoe UI" w:eastAsia="Segoe UI"/>
                      <w:sz w:val="13"/>
                      <w:szCs w:val="13"/>
                    </w:rPr>
                  </w:pPr>
                  <w:r>
                    <w:rPr>
                      <w:rFonts w:ascii="Segoe UI"/>
                      <w:color w:val="77787B"/>
                      <w:spacing w:val="-1"/>
                      <w:w w:val="105"/>
                      <w:sz w:val="13"/>
                    </w:rPr>
                    <w:t>Cost</w:t>
                  </w:r>
                  <w:r>
                    <w:rPr>
                      <w:rFonts w:ascii="Segoe UI"/>
                      <w:color w:val="77787B"/>
                      <w:spacing w:val="2"/>
                      <w:sz w:val="13"/>
                    </w:rPr>
                    <w:t> </w:t>
                  </w:r>
                  <w:r>
                    <w:rPr>
                      <w:rFonts w:ascii="Segoe UI"/>
                      <w:color w:val="77787B"/>
                      <w:spacing w:val="-1"/>
                      <w:w w:val="105"/>
                      <w:sz w:val="13"/>
                    </w:rPr>
                    <w:t>($)</w:t>
                  </w:r>
                  <w:r>
                    <w:rPr>
                      <w:rFonts w:ascii="Segoe UI"/>
                      <w:sz w:val="13"/>
                    </w:rPr>
                  </w:r>
                </w:p>
              </w:txbxContent>
            </v:textbox>
            <w10:wrap type="none"/>
          </v:shape>
        </w:pict>
      </w:r>
      <w:r>
        <w:rPr>
          <w:rFonts w:ascii="Segoe UI" w:hAnsi="Segoe UI" w:cs="Segoe UI" w:eastAsia="Segoe UI"/>
          <w:color w:val="231F20"/>
        </w:rPr>
        <w:t>The findings are similar to those in other </w:t>
      </w:r>
      <w:r>
        <w:rPr>
          <w:color w:val="231F20"/>
        </w:rPr>
        <w:t>reviews</w:t>
      </w:r>
      <w:r>
        <w:rPr>
          <w:color w:val="231F20"/>
          <w:spacing w:val="-9"/>
        </w:rPr>
        <w:t> </w:t>
      </w:r>
      <w:r>
        <w:rPr>
          <w:color w:val="231F20"/>
        </w:rPr>
        <w:t>and</w:t>
      </w:r>
      <w:r>
        <w:rPr>
          <w:color w:val="231F20"/>
          <w:spacing w:val="-8"/>
        </w:rPr>
        <w:t> </w:t>
      </w:r>
      <w:r>
        <w:rPr>
          <w:color w:val="231F20"/>
        </w:rPr>
        <w:t>reports—the</w:t>
      </w:r>
      <w:r>
        <w:rPr>
          <w:color w:val="231F20"/>
          <w:spacing w:val="-9"/>
        </w:rPr>
        <w:t> </w:t>
      </w:r>
      <w:r>
        <w:rPr>
          <w:color w:val="231F20"/>
          <w:spacing w:val="-1"/>
        </w:rPr>
        <w:t>investment</w:t>
      </w:r>
      <w:r>
        <w:rPr>
          <w:color w:val="231F20"/>
          <w:spacing w:val="-7"/>
        </w:rPr>
        <w:t> </w:t>
      </w:r>
      <w:r>
        <w:rPr>
          <w:color w:val="231F20"/>
        </w:rPr>
        <w:t>required</w:t>
      </w:r>
      <w:r>
        <w:rPr>
          <w:color w:val="231F20"/>
          <w:spacing w:val="22"/>
          <w:w w:val="99"/>
        </w:rPr>
        <w:t> </w:t>
      </w:r>
      <w:r>
        <w:rPr>
          <w:color w:val="231F20"/>
        </w:rPr>
        <w:t>to</w:t>
      </w:r>
      <w:r>
        <w:rPr>
          <w:color w:val="231F20"/>
          <w:spacing w:val="-5"/>
        </w:rPr>
        <w:t> </w:t>
      </w:r>
      <w:r>
        <w:rPr>
          <w:color w:val="231F20"/>
          <w:spacing w:val="-1"/>
        </w:rPr>
        <w:t>support</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 </w:t>
      </w:r>
      <w:r>
        <w:rPr>
          <w:color w:val="231F20"/>
          <w:spacing w:val="-2"/>
        </w:rPr>
        <w:t>Strait</w:t>
      </w:r>
      <w:r>
        <w:rPr>
          <w:color w:val="231F20"/>
          <w:spacing w:val="21"/>
          <w:w w:val="99"/>
        </w:rPr>
        <w:t> </w:t>
      </w:r>
      <w:r>
        <w:rPr>
          <w:color w:val="231F20"/>
          <w:spacing w:val="-1"/>
        </w:rPr>
        <w:t>Islanders</w:t>
      </w:r>
      <w:r>
        <w:rPr>
          <w:color w:val="231F20"/>
          <w:spacing w:val="-5"/>
        </w:rPr>
        <w:t> </w:t>
      </w:r>
      <w:r>
        <w:rPr>
          <w:color w:val="231F20"/>
          <w:spacing w:val="-1"/>
        </w:rPr>
        <w:t>in</w:t>
      </w:r>
      <w:r>
        <w:rPr>
          <w:color w:val="231F20"/>
          <w:spacing w:val="-5"/>
        </w:rPr>
        <w:t> </w:t>
      </w:r>
      <w:r>
        <w:rPr>
          <w:color w:val="231F20"/>
        </w:rPr>
        <w:t>boarding</w:t>
      </w:r>
      <w:r>
        <w:rPr>
          <w:color w:val="231F20"/>
          <w:spacing w:val="-5"/>
        </w:rPr>
        <w:t> </w:t>
      </w:r>
      <w:r>
        <w:rPr>
          <w:color w:val="231F20"/>
          <w:spacing w:val="-1"/>
        </w:rPr>
        <w:t>increases</w:t>
      </w:r>
      <w:r>
        <w:rPr>
          <w:color w:val="231F20"/>
          <w:spacing w:val="-5"/>
        </w:rPr>
        <w:t> </w:t>
      </w:r>
      <w:r>
        <w:rPr>
          <w:color w:val="231F20"/>
        </w:rPr>
        <w:t>with</w:t>
      </w:r>
      <w:r>
        <w:rPr>
          <w:color w:val="231F20"/>
          <w:spacing w:val="-5"/>
        </w:rPr>
        <w:t> </w:t>
      </w:r>
      <w:r>
        <w:rPr>
          <w:color w:val="231F20"/>
        </w:rPr>
        <w:t>the</w:t>
      </w:r>
      <w:r>
        <w:rPr/>
      </w:r>
    </w:p>
    <w:p>
      <w:pPr>
        <w:pStyle w:val="BodyText"/>
        <w:spacing w:line="250" w:lineRule="exact"/>
        <w:ind w:right="566"/>
        <w:jc w:val="left"/>
      </w:pPr>
      <w:r>
        <w:rPr>
          <w:color w:val="231F20"/>
          <w:spacing w:val="-1"/>
        </w:rPr>
        <w:t>level</w:t>
      </w:r>
      <w:r>
        <w:rPr>
          <w:color w:val="231F20"/>
          <w:spacing w:val="-4"/>
        </w:rPr>
        <w:t> </w:t>
      </w:r>
      <w:r>
        <w:rPr>
          <w:color w:val="231F20"/>
        </w:rPr>
        <w:t>of</w:t>
      </w:r>
      <w:r>
        <w:rPr>
          <w:color w:val="231F20"/>
          <w:spacing w:val="-4"/>
        </w:rPr>
        <w:t> </w:t>
      </w:r>
      <w:r>
        <w:rPr>
          <w:color w:val="231F20"/>
        </w:rPr>
        <w:t>disadvantage</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spacing w:val="-1"/>
        </w:rPr>
        <w:t>students</w:t>
      </w:r>
      <w:r>
        <w:rPr>
          <w:color w:val="231F20"/>
          <w:spacing w:val="-4"/>
        </w:rPr>
        <w:t> </w:t>
      </w:r>
      <w:r>
        <w:rPr>
          <w:color w:val="231F20"/>
        </w:rPr>
        <w:t>and</w:t>
      </w:r>
      <w:r>
        <w:rPr>
          <w:color w:val="231F20"/>
          <w:spacing w:val="23"/>
          <w:w w:val="99"/>
        </w:rPr>
        <w:t> </w:t>
      </w:r>
      <w:r>
        <w:rPr>
          <w:color w:val="231F20"/>
        </w:rPr>
        <w:t>the</w:t>
      </w:r>
      <w:r>
        <w:rPr>
          <w:color w:val="231F20"/>
          <w:spacing w:val="-10"/>
        </w:rPr>
        <w:t> </w:t>
      </w:r>
      <w:r>
        <w:rPr>
          <w:color w:val="231F20"/>
        </w:rPr>
        <w:t>boarding</w:t>
      </w:r>
      <w:r>
        <w:rPr>
          <w:color w:val="231F20"/>
          <w:spacing w:val="-9"/>
        </w:rPr>
        <w:t> </w:t>
      </w:r>
      <w:r>
        <w:rPr>
          <w:color w:val="231F20"/>
        </w:rPr>
        <w:t>provider.</w:t>
      </w:r>
      <w:r>
        <w:rPr>
          <w:color w:val="231F20"/>
          <w:spacing w:val="-10"/>
        </w:rPr>
        <w:t> </w:t>
      </w:r>
      <w:r>
        <w:rPr>
          <w:color w:val="231F20"/>
        </w:rPr>
        <w:t>More</w:t>
      </w:r>
      <w:r>
        <w:rPr>
          <w:color w:val="231F20"/>
          <w:spacing w:val="-8"/>
        </w:rPr>
        <w:t> </w:t>
      </w:r>
      <w:r>
        <w:rPr>
          <w:color w:val="231F20"/>
          <w:spacing w:val="-1"/>
        </w:rPr>
        <w:t>information</w:t>
      </w:r>
      <w:r>
        <w:rPr>
          <w:color w:val="231F20"/>
          <w:spacing w:val="20"/>
          <w:w w:val="99"/>
        </w:rPr>
        <w:t> </w:t>
      </w:r>
      <w:r>
        <w:rPr>
          <w:color w:val="231F20"/>
        </w:rPr>
        <w:t>regarding</w:t>
      </w:r>
      <w:r>
        <w:rPr>
          <w:color w:val="231F20"/>
          <w:spacing w:val="-11"/>
        </w:rPr>
        <w:t> </w:t>
      </w:r>
      <w:r>
        <w:rPr>
          <w:color w:val="231F20"/>
        </w:rPr>
        <w:t>disadvantage</w:t>
      </w:r>
      <w:r>
        <w:rPr>
          <w:color w:val="231F20"/>
          <w:spacing w:val="-10"/>
        </w:rPr>
        <w:t> </w:t>
      </w:r>
      <w:r>
        <w:rPr>
          <w:color w:val="231F20"/>
          <w:spacing w:val="-1"/>
        </w:rPr>
        <w:t>is</w:t>
      </w:r>
      <w:r>
        <w:rPr>
          <w:color w:val="231F20"/>
          <w:spacing w:val="-11"/>
        </w:rPr>
        <w:t> </w:t>
      </w:r>
      <w:r>
        <w:rPr>
          <w:color w:val="231F20"/>
        </w:rPr>
        <w:t>provided</w:t>
      </w:r>
      <w:r>
        <w:rPr>
          <w:color w:val="231F20"/>
          <w:spacing w:val="21"/>
          <w:w w:val="99"/>
        </w:rPr>
        <w:t> </w:t>
      </w:r>
      <w:r>
        <w:rPr>
          <w:color w:val="231F20"/>
        </w:rPr>
        <w:t>throughout</w:t>
      </w:r>
      <w:r>
        <w:rPr>
          <w:color w:val="231F20"/>
          <w:spacing w:val="-9"/>
        </w:rPr>
        <w:t> </w:t>
      </w:r>
      <w:r>
        <w:rPr>
          <w:color w:val="231F20"/>
        </w:rPr>
        <w:t>this</w:t>
      </w:r>
      <w:r>
        <w:rPr>
          <w:color w:val="231F20"/>
          <w:spacing w:val="-9"/>
        </w:rPr>
        <w:t> </w:t>
      </w:r>
      <w:r>
        <w:rPr>
          <w:color w:val="231F20"/>
        </w:rPr>
        <w:t>report.</w:t>
      </w:r>
      <w:r>
        <w:rPr/>
      </w:r>
    </w:p>
    <w:p>
      <w:pPr>
        <w:pStyle w:val="BodyText"/>
        <w:spacing w:line="250" w:lineRule="exact" w:before="113"/>
        <w:ind w:right="0"/>
        <w:jc w:val="left"/>
      </w:pPr>
      <w:r>
        <w:rPr>
          <w:color w:val="231F20"/>
          <w:spacing w:val="-1"/>
        </w:rPr>
        <w:t>Reviewing</w:t>
      </w:r>
      <w:r>
        <w:rPr>
          <w:color w:val="231F20"/>
          <w:spacing w:val="-9"/>
        </w:rPr>
        <w:t> </w:t>
      </w:r>
      <w:r>
        <w:rPr>
          <w:color w:val="231F20"/>
        </w:rPr>
        <w:t>the</w:t>
      </w:r>
      <w:r>
        <w:rPr>
          <w:color w:val="231F20"/>
          <w:spacing w:val="-9"/>
        </w:rPr>
        <w:t> </w:t>
      </w:r>
      <w:r>
        <w:rPr>
          <w:color w:val="231F20"/>
          <w:spacing w:val="-1"/>
        </w:rPr>
        <w:t>structure</w:t>
      </w:r>
      <w:r>
        <w:rPr>
          <w:color w:val="231F20"/>
          <w:spacing w:val="-7"/>
        </w:rPr>
        <w:t> </w:t>
      </w:r>
      <w:r>
        <w:rPr>
          <w:color w:val="231F20"/>
        </w:rPr>
        <w:t>of</w:t>
      </w:r>
      <w:r>
        <w:rPr>
          <w:color w:val="231F20"/>
          <w:spacing w:val="-7"/>
        </w:rPr>
        <w:t> </w:t>
      </w:r>
      <w:r>
        <w:rPr>
          <w:color w:val="231F20"/>
        </w:rPr>
        <w:t>payments</w:t>
      </w:r>
      <w:r>
        <w:rPr>
          <w:color w:val="231F20"/>
          <w:spacing w:val="-9"/>
        </w:rPr>
        <w:t> </w:t>
      </w:r>
      <w:r>
        <w:rPr>
          <w:color w:val="231F20"/>
          <w:spacing w:val="-1"/>
        </w:rPr>
        <w:t>supporting</w:t>
      </w:r>
      <w:r>
        <w:rPr>
          <w:color w:val="231F20"/>
          <w:spacing w:val="24"/>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spacing w:val="-1"/>
        </w:rPr>
        <w:t>students</w:t>
      </w:r>
      <w:r>
        <w:rPr>
          <w:color w:val="231F20"/>
          <w:spacing w:val="-5"/>
        </w:rPr>
        <w:t> </w:t>
      </w:r>
      <w:r>
        <w:rPr>
          <w:color w:val="231F20"/>
        </w:rPr>
        <w:t>to</w:t>
      </w:r>
      <w:r>
        <w:rPr>
          <w:color w:val="231F20"/>
          <w:spacing w:val="-5"/>
        </w:rPr>
        <w:t> </w:t>
      </w:r>
      <w:r>
        <w:rPr>
          <w:color w:val="231F20"/>
          <w:spacing w:val="-1"/>
        </w:rPr>
        <w:t>include</w:t>
      </w:r>
      <w:r>
        <w:rPr>
          <w:color w:val="231F20"/>
          <w:spacing w:val="-5"/>
        </w:rPr>
        <w:t> </w:t>
      </w:r>
      <w:r>
        <w:rPr>
          <w:color w:val="231F20"/>
        </w:rPr>
        <w:t>an</w:t>
      </w:r>
      <w:r>
        <w:rPr>
          <w:color w:val="231F20"/>
          <w:spacing w:val="-6"/>
        </w:rPr>
        <w:t> </w:t>
      </w:r>
      <w:r>
        <w:rPr>
          <w:color w:val="231F20"/>
        </w:rPr>
        <w:t>expanded</w:t>
      </w:r>
      <w:r>
        <w:rPr>
          <w:color w:val="231F20"/>
          <w:spacing w:val="-4"/>
        </w:rPr>
        <w:t> </w:t>
      </w:r>
      <w:r>
        <w:rPr>
          <w:color w:val="231F20"/>
        </w:rPr>
        <w:t>or</w:t>
      </w:r>
      <w:r>
        <w:rPr>
          <w:color w:val="231F20"/>
          <w:spacing w:val="-5"/>
        </w:rPr>
        <w:t> </w:t>
      </w:r>
      <w:r>
        <w:rPr>
          <w:color w:val="231F20"/>
        </w:rPr>
        <w:t>reviewed</w:t>
      </w:r>
      <w:r>
        <w:rPr>
          <w:color w:val="231F20"/>
          <w:spacing w:val="23"/>
          <w:w w:val="99"/>
        </w:rPr>
        <w:t> </w:t>
      </w:r>
      <w:r>
        <w:rPr>
          <w:color w:val="231F20"/>
          <w:spacing w:val="-1"/>
        </w:rPr>
        <w:t>loading</w:t>
      </w:r>
      <w:r>
        <w:rPr>
          <w:color w:val="231F20"/>
          <w:spacing w:val="-6"/>
        </w:rPr>
        <w:t> </w:t>
      </w:r>
      <w:r>
        <w:rPr>
          <w:color w:val="231F20"/>
        </w:rPr>
        <w:t>for</w:t>
      </w:r>
      <w:r>
        <w:rPr>
          <w:color w:val="231F20"/>
          <w:spacing w:val="-5"/>
        </w:rPr>
        <w:t> </w:t>
      </w:r>
      <w:r>
        <w:rPr>
          <w:color w:val="231F20"/>
        </w:rPr>
        <w:t>disadvantage</w:t>
      </w:r>
      <w:r>
        <w:rPr>
          <w:color w:val="231F20"/>
          <w:spacing w:val="-7"/>
        </w:rPr>
        <w:t> </w:t>
      </w:r>
      <w:r>
        <w:rPr>
          <w:color w:val="231F20"/>
        </w:rPr>
        <w:t>or</w:t>
      </w:r>
      <w:r>
        <w:rPr>
          <w:color w:val="231F20"/>
          <w:spacing w:val="-5"/>
        </w:rPr>
        <w:t> </w:t>
      </w:r>
      <w:r>
        <w:rPr>
          <w:color w:val="231F20"/>
        </w:rPr>
        <w:t>need</w:t>
      </w:r>
      <w:r>
        <w:rPr>
          <w:color w:val="231F20"/>
          <w:spacing w:val="-7"/>
        </w:rPr>
        <w:t> </w:t>
      </w:r>
      <w:r>
        <w:rPr>
          <w:color w:val="231F20"/>
        </w:rPr>
        <w:t>would</w:t>
      </w:r>
      <w:r>
        <w:rPr>
          <w:color w:val="231F20"/>
          <w:spacing w:val="-6"/>
        </w:rPr>
        <w:t> </w:t>
      </w:r>
      <w:r>
        <w:rPr>
          <w:color w:val="231F20"/>
        </w:rPr>
        <w:t>assist</w:t>
      </w:r>
      <w:r>
        <w:rPr>
          <w:color w:val="231F20"/>
        </w:rPr>
        <w:t> </w:t>
      </w:r>
      <w:r>
        <w:rPr>
          <w:color w:val="231F20"/>
          <w:spacing w:val="22"/>
        </w:rPr>
        <w:t> </w:t>
      </w:r>
      <w:r>
        <w:rPr>
          <w:rFonts w:ascii="Segoe UI"/>
          <w:color w:val="231F20"/>
        </w:rPr>
        <w:t>in addressing the financial pressures faced by</w:t>
      </w:r>
      <w:r>
        <w:rPr>
          <w:rFonts w:ascii="Segoe UI"/>
          <w:color w:val="231F20"/>
        </w:rPr>
        <w:t> </w:t>
      </w:r>
      <w:r>
        <w:rPr>
          <w:color w:val="231F20"/>
          <w:spacing w:val="-1"/>
        </w:rPr>
        <w:t>many</w:t>
      </w:r>
      <w:r>
        <w:rPr>
          <w:color w:val="231F20"/>
          <w:spacing w:val="-6"/>
        </w:rPr>
        <w:t> </w:t>
      </w:r>
      <w:r>
        <w:rPr>
          <w:color w:val="231F20"/>
        </w:rPr>
        <w:t>of</w:t>
      </w:r>
      <w:r>
        <w:rPr>
          <w:color w:val="231F20"/>
          <w:spacing w:val="-6"/>
        </w:rPr>
        <w:t> </w:t>
      </w:r>
      <w:r>
        <w:rPr>
          <w:color w:val="231F20"/>
        </w:rPr>
        <w:t>the</w:t>
      </w:r>
      <w:r>
        <w:rPr>
          <w:color w:val="231F20"/>
          <w:spacing w:val="-5"/>
        </w:rPr>
        <w:t> </w:t>
      </w:r>
      <w:r>
        <w:rPr>
          <w:color w:val="231F20"/>
        </w:rPr>
        <w:t>Aboriginal</w:t>
      </w:r>
      <w:r>
        <w:rPr>
          <w:color w:val="231F20"/>
          <w:spacing w:val="-6"/>
        </w:rPr>
        <w:t> </w:t>
      </w:r>
      <w:r>
        <w:rPr>
          <w:color w:val="231F20"/>
        </w:rPr>
        <w:t>and</w:t>
      </w:r>
      <w:r>
        <w:rPr>
          <w:color w:val="231F20"/>
          <w:spacing w:val="-5"/>
        </w:rPr>
        <w:t> Torres</w:t>
      </w:r>
      <w:r>
        <w:rPr>
          <w:color w:val="231F20"/>
          <w:spacing w:val="-6"/>
        </w:rPr>
        <w:t> </w:t>
      </w:r>
      <w:r>
        <w:rPr>
          <w:color w:val="231F20"/>
          <w:spacing w:val="-2"/>
        </w:rPr>
        <w:t>Strait</w:t>
      </w:r>
      <w:r>
        <w:rPr>
          <w:color w:val="231F20"/>
          <w:spacing w:val="-5"/>
        </w:rPr>
        <w:t> </w:t>
      </w:r>
      <w:r>
        <w:rPr>
          <w:color w:val="231F20"/>
          <w:spacing w:val="-1"/>
        </w:rPr>
        <w:t>Islander</w:t>
      </w:r>
      <w:r>
        <w:rPr>
          <w:color w:val="231F20"/>
          <w:spacing w:val="20"/>
          <w:w w:val="99"/>
        </w:rPr>
        <w:t> </w:t>
      </w:r>
      <w:r>
        <w:rPr>
          <w:color w:val="231F20"/>
        </w:rPr>
        <w:t>boarding</w:t>
      </w:r>
      <w:r>
        <w:rPr>
          <w:color w:val="231F20"/>
          <w:spacing w:val="-6"/>
        </w:rPr>
        <w:t> </w:t>
      </w:r>
      <w:r>
        <w:rPr>
          <w:color w:val="231F20"/>
          <w:spacing w:val="-1"/>
        </w:rPr>
        <w:t>providers.</w:t>
      </w:r>
      <w:r>
        <w:rPr>
          <w:rFonts w:ascii="Segoe UI Semibold"/>
          <w:b/>
          <w:color w:val="231F20"/>
          <w:spacing w:val="-1"/>
          <w:position w:val="7"/>
          <w:sz w:val="11"/>
        </w:rPr>
        <w:t>11</w:t>
      </w:r>
      <w:r>
        <w:rPr>
          <w:rFonts w:ascii="Segoe UI Semibold"/>
          <w:b/>
          <w:color w:val="231F20"/>
          <w:spacing w:val="19"/>
          <w:position w:val="7"/>
          <w:sz w:val="11"/>
        </w:rPr>
        <w:t> </w:t>
      </w:r>
      <w:r>
        <w:rPr>
          <w:color w:val="231F20"/>
          <w:spacing w:val="-1"/>
        </w:rPr>
        <w:t>It</w:t>
      </w:r>
      <w:r>
        <w:rPr>
          <w:color w:val="231F20"/>
          <w:spacing w:val="-5"/>
        </w:rPr>
        <w:t> </w:t>
      </w:r>
      <w:r>
        <w:rPr>
          <w:color w:val="231F20"/>
        </w:rPr>
        <w:t>would</w:t>
      </w:r>
      <w:r>
        <w:rPr>
          <w:color w:val="231F20"/>
          <w:spacing w:val="-5"/>
        </w:rPr>
        <w:t> </w:t>
      </w:r>
      <w:r>
        <w:rPr>
          <w:color w:val="231F20"/>
        </w:rPr>
        <w:t>also</w:t>
      </w:r>
      <w:r>
        <w:rPr>
          <w:color w:val="231F20"/>
          <w:spacing w:val="-6"/>
        </w:rPr>
        <w:t> </w:t>
      </w:r>
      <w:r>
        <w:rPr>
          <w:color w:val="231F20"/>
        </w:rPr>
        <w:t>enable</w:t>
      </w:r>
      <w:r>
        <w:rPr>
          <w:color w:val="231F20"/>
          <w:spacing w:val="23"/>
          <w:w w:val="99"/>
        </w:rPr>
        <w:t> </w:t>
      </w:r>
      <w:r>
        <w:rPr>
          <w:color w:val="231F20"/>
        </w:rPr>
        <w:t>providers</w:t>
      </w:r>
      <w:r>
        <w:rPr>
          <w:color w:val="231F20"/>
          <w:spacing w:val="-9"/>
        </w:rPr>
        <w:t> </w:t>
      </w:r>
      <w:r>
        <w:rPr>
          <w:color w:val="231F20"/>
        </w:rPr>
        <w:t>to</w:t>
      </w:r>
      <w:r>
        <w:rPr>
          <w:color w:val="231F20"/>
          <w:spacing w:val="-7"/>
        </w:rPr>
        <w:t> </w:t>
      </w:r>
      <w:r>
        <w:rPr>
          <w:color w:val="231F20"/>
        </w:rPr>
        <w:t>expand</w:t>
      </w:r>
      <w:r>
        <w:rPr>
          <w:color w:val="231F20"/>
          <w:spacing w:val="-8"/>
        </w:rPr>
        <w:t> </w:t>
      </w:r>
      <w:r>
        <w:rPr>
          <w:color w:val="231F20"/>
        </w:rPr>
        <w:t>or</w:t>
      </w:r>
      <w:r>
        <w:rPr>
          <w:color w:val="231F20"/>
          <w:spacing w:val="-7"/>
        </w:rPr>
        <w:t> </w:t>
      </w:r>
      <w:r>
        <w:rPr>
          <w:color w:val="231F20"/>
          <w:spacing w:val="-1"/>
        </w:rPr>
        <w:t>improve</w:t>
      </w:r>
      <w:r>
        <w:rPr>
          <w:color w:val="231F20"/>
          <w:spacing w:val="-8"/>
        </w:rPr>
        <w:t> </w:t>
      </w:r>
      <w:r>
        <w:rPr>
          <w:color w:val="231F20"/>
        </w:rPr>
        <w:t>existing</w:t>
      </w:r>
      <w:r>
        <w:rPr>
          <w:color w:val="231F20"/>
          <w:spacing w:val="-7"/>
        </w:rPr>
        <w:t> </w:t>
      </w:r>
      <w:r>
        <w:rPr>
          <w:color w:val="231F20"/>
          <w:spacing w:val="-1"/>
        </w:rPr>
        <w:t>support</w:t>
      </w:r>
      <w:r>
        <w:rPr>
          <w:color w:val="231F20"/>
          <w:spacing w:val="21"/>
          <w:w w:val="99"/>
        </w:rPr>
        <w:t> </w:t>
      </w:r>
      <w:r>
        <w:rPr>
          <w:color w:val="231F20"/>
          <w:spacing w:val="-1"/>
        </w:rPr>
        <w:t>services</w:t>
      </w:r>
      <w:r>
        <w:rPr>
          <w:color w:val="231F20"/>
          <w:spacing w:val="-7"/>
        </w:rPr>
        <w:t> </w:t>
      </w:r>
      <w:r>
        <w:rPr>
          <w:color w:val="231F20"/>
        </w:rPr>
        <w:t>for</w:t>
      </w:r>
      <w:r>
        <w:rPr>
          <w:color w:val="231F20"/>
          <w:spacing w:val="-6"/>
        </w:rPr>
        <w:t> </w:t>
      </w:r>
      <w:r>
        <w:rPr>
          <w:color w:val="231F20"/>
        </w:rPr>
        <w:t>boarders</w:t>
      </w:r>
      <w:r>
        <w:rPr>
          <w:color w:val="231F20"/>
          <w:spacing w:val="-7"/>
        </w:rPr>
        <w:t> </w:t>
      </w:r>
      <w:r>
        <w:rPr>
          <w:color w:val="231F20"/>
        </w:rPr>
        <w:t>from</w:t>
      </w:r>
      <w:r>
        <w:rPr>
          <w:color w:val="231F20"/>
          <w:spacing w:val="-7"/>
        </w:rPr>
        <w:t> </w:t>
      </w:r>
      <w:r>
        <w:rPr>
          <w:color w:val="231F20"/>
        </w:rPr>
        <w:t>disadvantaged</w:t>
      </w:r>
      <w:r>
        <w:rPr>
          <w:color w:val="231F20"/>
          <w:spacing w:val="-7"/>
        </w:rPr>
        <w:t> </w:t>
      </w:r>
      <w:r>
        <w:rPr>
          <w:color w:val="231F20"/>
        </w:rPr>
        <w:t>and/</w:t>
      </w:r>
      <w:r>
        <w:rPr>
          <w:color w:val="231F20"/>
          <w:spacing w:val="22"/>
          <w:w w:val="99"/>
        </w:rPr>
        <w:t> </w:t>
      </w:r>
      <w:r>
        <w:rPr>
          <w:color w:val="231F20"/>
        </w:rPr>
        <w:t>or</w:t>
      </w:r>
      <w:r>
        <w:rPr>
          <w:color w:val="231F20"/>
          <w:spacing w:val="-7"/>
        </w:rPr>
        <w:t> </w:t>
      </w:r>
      <w:r>
        <w:rPr>
          <w:color w:val="231F20"/>
        </w:rPr>
        <w:t>trauma</w:t>
      </w:r>
      <w:r>
        <w:rPr>
          <w:color w:val="231F20"/>
          <w:spacing w:val="-6"/>
        </w:rPr>
        <w:t> </w:t>
      </w:r>
      <w:r>
        <w:rPr>
          <w:color w:val="231F20"/>
        </w:rPr>
        <w:t>backgrounds.</w:t>
      </w:r>
      <w:r>
        <w:rPr>
          <w:color w:val="231F20"/>
          <w:spacing w:val="-7"/>
        </w:rPr>
        <w:t> </w:t>
      </w:r>
      <w:r>
        <w:rPr>
          <w:color w:val="231F20"/>
        </w:rPr>
        <w:t>The</w:t>
      </w:r>
      <w:r>
        <w:rPr>
          <w:color w:val="231F20"/>
          <w:spacing w:val="-6"/>
        </w:rPr>
        <w:t> </w:t>
      </w:r>
      <w:r>
        <w:rPr>
          <w:color w:val="231F20"/>
          <w:spacing w:val="-1"/>
        </w:rPr>
        <w:t>loading</w:t>
      </w:r>
      <w:r>
        <w:rPr>
          <w:color w:val="231F20"/>
          <w:spacing w:val="-6"/>
        </w:rPr>
        <w:t> </w:t>
      </w:r>
      <w:r>
        <w:rPr>
          <w:color w:val="231F20"/>
          <w:spacing w:val="-1"/>
        </w:rPr>
        <w:t>should</w:t>
      </w:r>
      <w:r>
        <w:rPr/>
      </w:r>
    </w:p>
    <w:p>
      <w:pPr>
        <w:pStyle w:val="BodyText"/>
        <w:spacing w:line="250" w:lineRule="exact"/>
        <w:ind w:right="192"/>
        <w:jc w:val="left"/>
      </w:pPr>
      <w:r>
        <w:rPr>
          <w:color w:val="231F20"/>
        </w:rPr>
        <w:t>be</w:t>
      </w:r>
      <w:r>
        <w:rPr>
          <w:color w:val="231F20"/>
          <w:spacing w:val="-5"/>
        </w:rPr>
        <w:t> </w:t>
      </w:r>
      <w:r>
        <w:rPr>
          <w:color w:val="231F20"/>
        </w:rPr>
        <w:t>based</w:t>
      </w:r>
      <w:r>
        <w:rPr>
          <w:color w:val="231F20"/>
          <w:spacing w:val="-5"/>
        </w:rPr>
        <w:t> </w:t>
      </w:r>
      <w:r>
        <w:rPr>
          <w:color w:val="231F20"/>
        </w:rPr>
        <w:t>on</w:t>
      </w:r>
      <w:r>
        <w:rPr>
          <w:color w:val="231F20"/>
          <w:spacing w:val="-5"/>
        </w:rPr>
        <w:t> </w:t>
      </w:r>
      <w:r>
        <w:rPr>
          <w:color w:val="231F20"/>
        </w:rPr>
        <w:t>the</w:t>
      </w:r>
      <w:r>
        <w:rPr>
          <w:color w:val="231F20"/>
          <w:spacing w:val="-5"/>
        </w:rPr>
        <w:t> </w:t>
      </w:r>
      <w:r>
        <w:rPr>
          <w:color w:val="231F20"/>
          <w:spacing w:val="-1"/>
        </w:rPr>
        <w:t>Schooling</w:t>
      </w:r>
      <w:r>
        <w:rPr>
          <w:color w:val="231F20"/>
          <w:spacing w:val="-5"/>
        </w:rPr>
        <w:t> </w:t>
      </w:r>
      <w:r>
        <w:rPr>
          <w:color w:val="231F20"/>
          <w:spacing w:val="-1"/>
        </w:rPr>
        <w:t>Resource</w:t>
      </w:r>
      <w:r>
        <w:rPr>
          <w:color w:val="231F20"/>
          <w:spacing w:val="-5"/>
        </w:rPr>
        <w:t> </w:t>
      </w:r>
      <w:r>
        <w:rPr>
          <w:color w:val="231F20"/>
          <w:spacing w:val="-1"/>
        </w:rPr>
        <w:t>Standard</w:t>
      </w:r>
      <w:r>
        <w:rPr>
          <w:color w:val="231F20"/>
          <w:spacing w:val="24"/>
          <w:w w:val="99"/>
        </w:rPr>
        <w:t> </w:t>
      </w:r>
      <w:r>
        <w:rPr>
          <w:color w:val="231F20"/>
          <w:spacing w:val="-1"/>
        </w:rPr>
        <w:t>socio-educational</w:t>
      </w:r>
      <w:r>
        <w:rPr>
          <w:color w:val="231F20"/>
          <w:spacing w:val="-16"/>
        </w:rPr>
        <w:t> </w:t>
      </w:r>
      <w:r>
        <w:rPr>
          <w:color w:val="231F20"/>
        </w:rPr>
        <w:t>disadvantage</w:t>
      </w:r>
      <w:r>
        <w:rPr>
          <w:color w:val="231F20"/>
          <w:spacing w:val="-18"/>
        </w:rPr>
        <w:t> </w:t>
      </w:r>
      <w:r>
        <w:rPr>
          <w:color w:val="231F20"/>
          <w:spacing w:val="-1"/>
        </w:rPr>
        <w:t>loading.</w:t>
      </w:r>
      <w:r>
        <w:rPr/>
      </w:r>
    </w:p>
    <w:p>
      <w:pPr>
        <w:spacing w:line="240" w:lineRule="auto" w:before="9"/>
        <w:rPr>
          <w:rFonts w:ascii="Segoe UI" w:hAnsi="Segoe UI" w:cs="Segoe UI" w:eastAsia="Segoe UI"/>
          <w:sz w:val="19"/>
          <w:szCs w:val="19"/>
        </w:rPr>
      </w:pPr>
    </w:p>
    <w:p>
      <w:pPr>
        <w:pStyle w:val="Heading5"/>
        <w:spacing w:line="240" w:lineRule="auto"/>
        <w:ind w:right="0"/>
        <w:jc w:val="left"/>
        <w:rPr>
          <w:i w:val="0"/>
        </w:rPr>
      </w:pPr>
      <w:r>
        <w:rPr>
          <w:b/>
          <w:i/>
          <w:color w:val="00779B"/>
        </w:rPr>
        <w:t>Indigeneity</w:t>
      </w:r>
      <w:r>
        <w:rPr>
          <w:i w:val="0"/>
        </w:rPr>
      </w:r>
    </w:p>
    <w:p>
      <w:pPr>
        <w:pStyle w:val="BodyText"/>
        <w:spacing w:line="250" w:lineRule="exact" w:before="131"/>
        <w:ind w:right="0"/>
        <w:jc w:val="left"/>
      </w:pPr>
      <w:r>
        <w:rPr>
          <w:color w:val="231F20"/>
        </w:rPr>
        <w:t>The</w:t>
      </w:r>
      <w:r>
        <w:rPr>
          <w:color w:val="231F20"/>
          <w:spacing w:val="-6"/>
        </w:rPr>
        <w:t> </w:t>
      </w:r>
      <w:r>
        <w:rPr>
          <w:color w:val="231F20"/>
        </w:rPr>
        <w:t>proportion</w:t>
      </w:r>
      <w:r>
        <w:rPr>
          <w:color w:val="231F20"/>
          <w:spacing w:val="-5"/>
        </w:rPr>
        <w:t> </w:t>
      </w:r>
      <w:r>
        <w:rPr>
          <w:color w:val="231F20"/>
        </w:rPr>
        <w:t>of</w:t>
      </w:r>
      <w:r>
        <w:rPr>
          <w:color w:val="231F20"/>
          <w:spacing w:val="-6"/>
        </w:rPr>
        <w:t> </w:t>
      </w:r>
      <w:r>
        <w:rPr>
          <w:color w:val="231F20"/>
        </w:rPr>
        <w:t>Aboriginal</w:t>
      </w:r>
      <w:r>
        <w:rPr>
          <w:color w:val="231F20"/>
          <w:spacing w:val="-5"/>
        </w:rPr>
        <w:t> </w:t>
      </w:r>
      <w:r>
        <w:rPr>
          <w:color w:val="231F20"/>
        </w:rPr>
        <w:t>and</w:t>
      </w:r>
      <w:r>
        <w:rPr>
          <w:color w:val="231F20"/>
          <w:spacing w:val="-6"/>
        </w:rPr>
        <w:t> </w:t>
      </w:r>
      <w:r>
        <w:rPr>
          <w:color w:val="231F20"/>
          <w:spacing w:val="-5"/>
        </w:rPr>
        <w:t>Torres </w:t>
      </w:r>
      <w:r>
        <w:rPr>
          <w:color w:val="231F20"/>
          <w:spacing w:val="-2"/>
        </w:rPr>
        <w:t>Strait</w:t>
      </w:r>
      <w:r>
        <w:rPr>
          <w:color w:val="231F20"/>
          <w:spacing w:val="28"/>
          <w:w w:val="99"/>
        </w:rPr>
        <w:t> </w:t>
      </w:r>
      <w:r>
        <w:rPr>
          <w:color w:val="231F20"/>
          <w:spacing w:val="-1"/>
        </w:rPr>
        <w:t>Islander</w:t>
      </w:r>
      <w:r>
        <w:rPr>
          <w:color w:val="231F20"/>
          <w:spacing w:val="-3"/>
        </w:rPr>
        <w:t> </w:t>
      </w:r>
      <w:r>
        <w:rPr>
          <w:color w:val="231F20"/>
          <w:spacing w:val="-1"/>
        </w:rPr>
        <w:t>students</w:t>
      </w:r>
      <w:r>
        <w:rPr>
          <w:color w:val="231F20"/>
          <w:spacing w:val="-3"/>
        </w:rPr>
        <w:t> </w:t>
      </w:r>
      <w:r>
        <w:rPr>
          <w:color w:val="231F20"/>
        </w:rPr>
        <w:t>to</w:t>
      </w:r>
      <w:r>
        <w:rPr>
          <w:color w:val="231F20"/>
          <w:spacing w:val="-2"/>
        </w:rPr>
        <w:t> </w:t>
      </w:r>
      <w:r>
        <w:rPr>
          <w:color w:val="231F20"/>
        </w:rPr>
        <w:t>total</w:t>
      </w:r>
      <w:r>
        <w:rPr>
          <w:color w:val="231F20"/>
          <w:spacing w:val="-4"/>
        </w:rPr>
        <w:t> </w:t>
      </w:r>
      <w:r>
        <w:rPr>
          <w:color w:val="231F20"/>
        </w:rPr>
        <w:t>enrolments</w:t>
      </w:r>
      <w:r>
        <w:rPr>
          <w:color w:val="231F20"/>
          <w:spacing w:val="-3"/>
        </w:rPr>
        <w:t> </w:t>
      </w:r>
      <w:r>
        <w:rPr>
          <w:color w:val="231F20"/>
        </w:rPr>
        <w:t>at</w:t>
      </w:r>
      <w:r>
        <w:rPr>
          <w:color w:val="231F20"/>
          <w:spacing w:val="-3"/>
        </w:rPr>
        <w:t> </w:t>
      </w:r>
      <w:r>
        <w:rPr>
          <w:color w:val="231F20"/>
        </w:rPr>
        <w:t>a</w:t>
      </w:r>
      <w:r>
        <w:rPr>
          <w:color w:val="231F20"/>
          <w:spacing w:val="23"/>
          <w:w w:val="99"/>
        </w:rPr>
        <w:t> </w:t>
      </w:r>
      <w:r>
        <w:rPr>
          <w:color w:val="231F20"/>
        </w:rPr>
        <w:t>boarding</w:t>
      </w:r>
      <w:r>
        <w:rPr>
          <w:color w:val="231F20"/>
          <w:spacing w:val="-7"/>
        </w:rPr>
        <w:t> </w:t>
      </w:r>
      <w:r>
        <w:rPr>
          <w:color w:val="231F20"/>
        </w:rPr>
        <w:t>provider</w:t>
      </w:r>
      <w:r>
        <w:rPr>
          <w:color w:val="231F20"/>
          <w:spacing w:val="-7"/>
        </w:rPr>
        <w:t> </w:t>
      </w:r>
      <w:r>
        <w:rPr>
          <w:color w:val="231F20"/>
        </w:rPr>
        <w:t>has</w:t>
      </w:r>
      <w:r>
        <w:rPr>
          <w:color w:val="231F20"/>
          <w:spacing w:val="-7"/>
        </w:rPr>
        <w:t> </w:t>
      </w:r>
      <w:r>
        <w:rPr>
          <w:color w:val="231F20"/>
        </w:rPr>
        <w:t>an</w:t>
      </w:r>
      <w:r>
        <w:rPr>
          <w:color w:val="231F20"/>
          <w:spacing w:val="-7"/>
        </w:rPr>
        <w:t> </w:t>
      </w:r>
      <w:r>
        <w:rPr>
          <w:color w:val="231F20"/>
          <w:spacing w:val="-1"/>
        </w:rPr>
        <w:t>impact</w:t>
      </w:r>
      <w:r>
        <w:rPr>
          <w:color w:val="231F20"/>
          <w:spacing w:val="-7"/>
        </w:rPr>
        <w:t> </w:t>
      </w:r>
      <w:r>
        <w:rPr>
          <w:color w:val="231F20"/>
        </w:rPr>
        <w:t>on</w:t>
      </w:r>
      <w:r>
        <w:rPr>
          <w:color w:val="231F20"/>
          <w:spacing w:val="-6"/>
        </w:rPr>
        <w:t> </w:t>
      </w:r>
      <w:r>
        <w:rPr>
          <w:color w:val="231F20"/>
        </w:rPr>
        <w:t>educational</w:t>
      </w:r>
      <w:r>
        <w:rPr>
          <w:color w:val="231F20"/>
          <w:spacing w:val="21"/>
          <w:w w:val="99"/>
        </w:rPr>
        <w:t> </w:t>
      </w:r>
      <w:r>
        <w:rPr>
          <w:color w:val="231F20"/>
          <w:spacing w:val="-1"/>
        </w:rPr>
        <w:t>indicators</w:t>
      </w:r>
      <w:r>
        <w:rPr>
          <w:color w:val="231F20"/>
          <w:spacing w:val="-6"/>
        </w:rPr>
        <w:t> </w:t>
      </w:r>
      <w:r>
        <w:rPr>
          <w:color w:val="231F20"/>
        </w:rPr>
        <w:t>and</w:t>
      </w:r>
      <w:r>
        <w:rPr>
          <w:color w:val="231F20"/>
          <w:spacing w:val="-6"/>
        </w:rPr>
        <w:t> </w:t>
      </w:r>
      <w:r>
        <w:rPr>
          <w:color w:val="231F20"/>
        </w:rPr>
        <w:t>the</w:t>
      </w:r>
      <w:r>
        <w:rPr>
          <w:color w:val="231F20"/>
          <w:spacing w:val="-5"/>
        </w:rPr>
        <w:t> </w:t>
      </w:r>
      <w:r>
        <w:rPr>
          <w:color w:val="231F20"/>
        </w:rPr>
        <w:t>cost</w:t>
      </w:r>
      <w:r>
        <w:rPr>
          <w:color w:val="231F20"/>
          <w:spacing w:val="-6"/>
        </w:rPr>
        <w:t> </w:t>
      </w:r>
      <w:r>
        <w:rPr>
          <w:color w:val="231F20"/>
        </w:rPr>
        <w:t>of</w:t>
      </w:r>
      <w:r>
        <w:rPr>
          <w:color w:val="231F20"/>
          <w:spacing w:val="-6"/>
        </w:rPr>
        <w:t> </w:t>
      </w:r>
      <w:r>
        <w:rPr>
          <w:color w:val="231F20"/>
        </w:rPr>
        <w:t>boarding.</w:t>
      </w:r>
      <w:r>
        <w:rPr/>
      </w:r>
    </w:p>
    <w:p>
      <w:pPr>
        <w:pStyle w:val="BodyText"/>
        <w:spacing w:line="250" w:lineRule="exact" w:before="62"/>
        <w:ind w:right="1978"/>
        <w:jc w:val="left"/>
      </w:pPr>
      <w:r>
        <w:rPr/>
        <w:br w:type="column"/>
      </w:r>
      <w:r>
        <w:rPr>
          <w:color w:val="231F20"/>
        </w:rPr>
        <w:t>The</w:t>
      </w:r>
      <w:r>
        <w:rPr>
          <w:color w:val="231F20"/>
          <w:spacing w:val="-6"/>
        </w:rPr>
        <w:t> </w:t>
      </w:r>
      <w:r>
        <w:rPr>
          <w:color w:val="231F20"/>
        </w:rPr>
        <w:t>proportion</w:t>
      </w:r>
      <w:r>
        <w:rPr>
          <w:color w:val="231F20"/>
          <w:spacing w:val="-6"/>
        </w:rPr>
        <w:t> </w:t>
      </w:r>
      <w:r>
        <w:rPr>
          <w:color w:val="231F20"/>
        </w:rPr>
        <w:t>of</w:t>
      </w:r>
      <w:r>
        <w:rPr>
          <w:color w:val="231F20"/>
          <w:spacing w:val="-5"/>
        </w:rPr>
        <w:t> </w:t>
      </w:r>
      <w:r>
        <w:rPr>
          <w:color w:val="231F20"/>
        </w:rPr>
        <w:t>Aboriginal</w:t>
      </w:r>
      <w:r>
        <w:rPr>
          <w:color w:val="231F20"/>
          <w:spacing w:val="-6"/>
        </w:rPr>
        <w:t> </w:t>
      </w:r>
      <w:r>
        <w:rPr>
          <w:color w:val="231F20"/>
        </w:rPr>
        <w:t>and</w:t>
      </w:r>
      <w:r>
        <w:rPr>
          <w:color w:val="231F20"/>
          <w:spacing w:val="-6"/>
        </w:rPr>
        <w:t> </w:t>
      </w:r>
      <w:r>
        <w:rPr>
          <w:color w:val="231F20"/>
          <w:spacing w:val="-5"/>
        </w:rPr>
        <w:t>Torres</w:t>
      </w:r>
      <w:r>
        <w:rPr>
          <w:color w:val="231F20"/>
          <w:spacing w:val="23"/>
          <w:w w:val="99"/>
        </w:rPr>
        <w:t> </w:t>
      </w:r>
      <w:r>
        <w:rPr>
          <w:color w:val="231F20"/>
          <w:spacing w:val="-2"/>
        </w:rPr>
        <w:t>Strait</w:t>
      </w:r>
      <w:r>
        <w:rPr>
          <w:color w:val="231F20"/>
          <w:spacing w:val="-6"/>
        </w:rPr>
        <w:t> </w:t>
      </w:r>
      <w:r>
        <w:rPr>
          <w:color w:val="231F20"/>
          <w:spacing w:val="-1"/>
        </w:rPr>
        <w:t>Islander</w:t>
      </w:r>
      <w:r>
        <w:rPr>
          <w:color w:val="231F20"/>
          <w:spacing w:val="-5"/>
        </w:rPr>
        <w:t> </w:t>
      </w:r>
      <w:r>
        <w:rPr>
          <w:color w:val="231F20"/>
          <w:spacing w:val="-1"/>
        </w:rPr>
        <w:t>students</w:t>
      </w:r>
      <w:r>
        <w:rPr>
          <w:color w:val="231F20"/>
          <w:spacing w:val="-4"/>
        </w:rPr>
        <w:t> </w:t>
      </w:r>
      <w:r>
        <w:rPr>
          <w:color w:val="231F20"/>
        </w:rPr>
        <w:t>at</w:t>
      </w:r>
      <w:r>
        <w:rPr>
          <w:color w:val="231F20"/>
          <w:spacing w:val="-5"/>
        </w:rPr>
        <w:t> </w:t>
      </w:r>
      <w:r>
        <w:rPr>
          <w:color w:val="231F20"/>
        </w:rPr>
        <w:t>the</w:t>
      </w:r>
      <w:r>
        <w:rPr>
          <w:color w:val="231F20"/>
          <w:spacing w:val="-5"/>
        </w:rPr>
        <w:t> </w:t>
      </w:r>
      <w:r>
        <w:rPr>
          <w:color w:val="231F20"/>
        </w:rPr>
        <w:t>Aboriginal</w:t>
      </w:r>
      <w:r>
        <w:rPr>
          <w:color w:val="231F20"/>
          <w:spacing w:val="-6"/>
        </w:rPr>
        <w:t> </w:t>
      </w:r>
      <w:r>
        <w:rPr>
          <w:color w:val="231F20"/>
          <w:spacing w:val="-6"/>
        </w:rPr>
      </w:r>
      <w:r>
        <w:rPr>
          <w:color w:val="231F20"/>
        </w:rPr>
        <w:t>and</w:t>
      </w:r>
      <w:r>
        <w:rPr>
          <w:color w:val="231F20"/>
          <w:spacing w:val="27"/>
        </w:rPr>
        <w:t> </w:t>
      </w:r>
      <w:r>
        <w:rPr>
          <w:color w:val="231F20"/>
          <w:spacing w:val="-5"/>
        </w:rPr>
        <w:t>Torres</w:t>
      </w:r>
      <w:r>
        <w:rPr>
          <w:color w:val="231F20"/>
          <w:spacing w:val="-7"/>
        </w:rPr>
        <w:t> </w:t>
      </w:r>
      <w:r>
        <w:rPr>
          <w:color w:val="231F20"/>
          <w:spacing w:val="-2"/>
        </w:rPr>
        <w:t>Strait</w:t>
      </w:r>
      <w:r>
        <w:rPr>
          <w:color w:val="231F20"/>
          <w:spacing w:val="-8"/>
        </w:rPr>
        <w:t> </w:t>
      </w:r>
      <w:r>
        <w:rPr>
          <w:color w:val="231F20"/>
          <w:spacing w:val="-1"/>
        </w:rPr>
        <w:t>Islander</w:t>
      </w:r>
      <w:r>
        <w:rPr>
          <w:color w:val="231F20"/>
          <w:spacing w:val="-6"/>
        </w:rPr>
        <w:t> </w:t>
      </w:r>
      <w:r>
        <w:rPr>
          <w:color w:val="231F20"/>
        </w:rPr>
        <w:t>boarding</w:t>
      </w:r>
      <w:r>
        <w:rPr>
          <w:color w:val="231F20"/>
          <w:spacing w:val="-8"/>
        </w:rPr>
        <w:t> </w:t>
      </w:r>
      <w:r>
        <w:rPr>
          <w:color w:val="231F20"/>
        </w:rPr>
        <w:t>providers</w:t>
      </w:r>
      <w:r>
        <w:rPr>
          <w:color w:val="231F20"/>
          <w:spacing w:val="21"/>
          <w:w w:val="99"/>
        </w:rPr>
        <w:t> </w:t>
      </w:r>
      <w:r>
        <w:rPr>
          <w:color w:val="231F20"/>
        </w:rPr>
        <w:t>ranged</w:t>
      </w:r>
      <w:r>
        <w:rPr>
          <w:color w:val="231F20"/>
          <w:spacing w:val="-5"/>
        </w:rPr>
        <w:t> </w:t>
      </w:r>
      <w:r>
        <w:rPr>
          <w:color w:val="231F20"/>
        </w:rPr>
        <w:t>from</w:t>
      </w:r>
      <w:r>
        <w:rPr>
          <w:color w:val="231F20"/>
          <w:spacing w:val="-3"/>
        </w:rPr>
        <w:t> </w:t>
      </w:r>
      <w:r>
        <w:rPr>
          <w:color w:val="231F20"/>
        </w:rPr>
        <w:t>6</w:t>
      </w:r>
      <w:r>
        <w:rPr>
          <w:color w:val="231F20"/>
          <w:spacing w:val="-3"/>
        </w:rPr>
        <w:t> </w:t>
      </w:r>
      <w:r>
        <w:rPr>
          <w:color w:val="231F20"/>
        </w:rPr>
        <w:t>per</w:t>
      </w:r>
      <w:r>
        <w:rPr>
          <w:color w:val="231F20"/>
          <w:spacing w:val="-4"/>
        </w:rPr>
        <w:t> </w:t>
      </w:r>
      <w:r>
        <w:rPr>
          <w:color w:val="231F20"/>
        </w:rPr>
        <w:t>cent</w:t>
      </w:r>
      <w:r>
        <w:rPr>
          <w:color w:val="231F20"/>
          <w:spacing w:val="-4"/>
        </w:rPr>
        <w:t> </w:t>
      </w:r>
      <w:r>
        <w:rPr>
          <w:color w:val="231F20"/>
        </w:rPr>
        <w:t>to</w:t>
      </w:r>
      <w:r>
        <w:rPr>
          <w:color w:val="231F20"/>
          <w:spacing w:val="-3"/>
        </w:rPr>
        <w:t> </w:t>
      </w:r>
      <w:r>
        <w:rPr>
          <w:color w:val="231F20"/>
          <w:spacing w:val="-1"/>
        </w:rPr>
        <w:t>100</w:t>
      </w:r>
      <w:r>
        <w:rPr>
          <w:color w:val="231F20"/>
          <w:spacing w:val="-3"/>
        </w:rPr>
        <w:t> </w:t>
      </w:r>
      <w:r>
        <w:rPr>
          <w:color w:val="231F20"/>
        </w:rPr>
        <w:t>per</w:t>
      </w:r>
      <w:r>
        <w:rPr>
          <w:color w:val="231F20"/>
          <w:spacing w:val="-4"/>
        </w:rPr>
        <w:t> </w:t>
      </w:r>
      <w:r>
        <w:rPr>
          <w:color w:val="231F20"/>
        </w:rPr>
        <w:t>cent.</w:t>
      </w:r>
      <w:r>
        <w:rPr>
          <w:color w:val="231F20"/>
          <w:spacing w:val="-4"/>
        </w:rPr>
        <w:t> </w:t>
      </w:r>
      <w:r>
        <w:rPr>
          <w:color w:val="231F20"/>
        </w:rPr>
        <w:t>The</w:t>
      </w:r>
      <w:r>
        <w:rPr>
          <w:color w:val="231F20"/>
          <w:spacing w:val="21"/>
          <w:w w:val="99"/>
        </w:rPr>
        <w:t> </w:t>
      </w:r>
      <w:r>
        <w:rPr>
          <w:color w:val="231F20"/>
          <w:spacing w:val="-1"/>
        </w:rPr>
        <w:t>median</w:t>
      </w:r>
      <w:r>
        <w:rPr>
          <w:color w:val="231F20"/>
          <w:spacing w:val="-5"/>
        </w:rPr>
        <w:t> </w:t>
      </w:r>
      <w:r>
        <w:rPr>
          <w:color w:val="231F20"/>
        </w:rPr>
        <w:t>proportion</w:t>
      </w:r>
      <w:r>
        <w:rPr>
          <w:color w:val="231F20"/>
          <w:spacing w:val="-5"/>
        </w:rPr>
        <w:t> </w:t>
      </w:r>
      <w:r>
        <w:rPr>
          <w:color w:val="231F20"/>
        </w:rPr>
        <w:t>was</w:t>
      </w:r>
      <w:r>
        <w:rPr>
          <w:color w:val="231F20"/>
          <w:spacing w:val="-6"/>
        </w:rPr>
        <w:t> </w:t>
      </w:r>
      <w:r>
        <w:rPr>
          <w:color w:val="231F20"/>
          <w:spacing w:val="-1"/>
        </w:rPr>
        <w:t>98.8</w:t>
      </w:r>
      <w:r>
        <w:rPr>
          <w:color w:val="231F20"/>
          <w:spacing w:val="-4"/>
        </w:rPr>
        <w:t> </w:t>
      </w:r>
      <w:r>
        <w:rPr>
          <w:color w:val="231F20"/>
        </w:rPr>
        <w:t>per</w:t>
      </w:r>
      <w:r>
        <w:rPr>
          <w:color w:val="231F20"/>
          <w:spacing w:val="-5"/>
        </w:rPr>
        <w:t> </w:t>
      </w:r>
      <w:r>
        <w:rPr>
          <w:color w:val="231F20"/>
        </w:rPr>
        <w:t>cent</w:t>
      </w:r>
      <w:r>
        <w:rPr>
          <w:color w:val="231F20"/>
          <w:spacing w:val="-5"/>
        </w:rPr>
        <w:t> </w:t>
      </w:r>
      <w:r>
        <w:rPr>
          <w:color w:val="231F20"/>
        </w:rPr>
        <w:t>and</w:t>
      </w:r>
      <w:r>
        <w:rPr/>
      </w:r>
    </w:p>
    <w:p>
      <w:pPr>
        <w:pStyle w:val="BodyText"/>
        <w:spacing w:line="250" w:lineRule="exact"/>
        <w:ind w:right="2018"/>
        <w:jc w:val="both"/>
      </w:pPr>
      <w:r>
        <w:rPr>
          <w:color w:val="231F20"/>
        </w:rPr>
        <w:t>at</w:t>
      </w:r>
      <w:r>
        <w:rPr>
          <w:color w:val="231F20"/>
          <w:spacing w:val="-4"/>
        </w:rPr>
        <w:t> </w:t>
      </w:r>
      <w:r>
        <w:rPr>
          <w:color w:val="231F20"/>
          <w:spacing w:val="-1"/>
        </w:rPr>
        <w:t>12</w:t>
      </w:r>
      <w:r>
        <w:rPr>
          <w:color w:val="231F20"/>
          <w:spacing w:val="-3"/>
        </w:rPr>
        <w:t> </w:t>
      </w:r>
      <w:r>
        <w:rPr>
          <w:color w:val="231F20"/>
        </w:rPr>
        <w:t>boarding</w:t>
      </w:r>
      <w:r>
        <w:rPr>
          <w:color w:val="231F20"/>
          <w:spacing w:val="-4"/>
        </w:rPr>
        <w:t> </w:t>
      </w:r>
      <w:r>
        <w:rPr>
          <w:color w:val="231F20"/>
        </w:rPr>
        <w:t>providers</w:t>
      </w:r>
      <w:r>
        <w:rPr>
          <w:color w:val="231F20"/>
          <w:spacing w:val="-4"/>
        </w:rPr>
        <w:t> </w:t>
      </w:r>
      <w:r>
        <w:rPr>
          <w:color w:val="231F20"/>
        </w:rPr>
        <w:t>(44</w:t>
      </w:r>
      <w:r>
        <w:rPr>
          <w:color w:val="231F20"/>
          <w:spacing w:val="-4"/>
        </w:rPr>
        <w:t> </w:t>
      </w:r>
      <w:r>
        <w:rPr>
          <w:color w:val="231F20"/>
        </w:rPr>
        <w:t>per</w:t>
      </w:r>
      <w:r>
        <w:rPr>
          <w:color w:val="231F20"/>
          <w:spacing w:val="-4"/>
        </w:rPr>
        <w:t> </w:t>
      </w:r>
      <w:r>
        <w:rPr>
          <w:color w:val="231F20"/>
        </w:rPr>
        <w:t>cent)</w:t>
      </w:r>
      <w:r>
        <w:rPr>
          <w:color w:val="231F20"/>
          <w:spacing w:val="-3"/>
        </w:rPr>
        <w:t> </w:t>
      </w:r>
      <w:r>
        <w:rPr>
          <w:color w:val="231F20"/>
        </w:rPr>
        <w:t>all</w:t>
      </w:r>
      <w:r>
        <w:rPr>
          <w:color w:val="231F20"/>
          <w:spacing w:val="-4"/>
        </w:rPr>
        <w:t> </w:t>
      </w:r>
      <w:r>
        <w:rPr>
          <w:color w:val="231F20"/>
        </w:rPr>
        <w:t>of</w:t>
      </w:r>
      <w:r>
        <w:rPr>
          <w:color w:val="231F20"/>
          <w:spacing w:val="21"/>
          <w:w w:val="99"/>
        </w:rPr>
        <w:t> </w:t>
      </w:r>
      <w:r>
        <w:rPr>
          <w:color w:val="231F20"/>
        </w:rPr>
        <w:t>the</w:t>
      </w:r>
      <w:r>
        <w:rPr>
          <w:color w:val="231F20"/>
          <w:spacing w:val="-5"/>
        </w:rPr>
        <w:t> </w:t>
      </w:r>
      <w:r>
        <w:rPr>
          <w:color w:val="231F20"/>
          <w:spacing w:val="-1"/>
        </w:rPr>
        <w:t>students</w:t>
      </w:r>
      <w:r>
        <w:rPr>
          <w:color w:val="231F20"/>
          <w:spacing w:val="-3"/>
        </w:rPr>
        <w:t> </w:t>
      </w:r>
      <w:r>
        <w:rPr>
          <w:color w:val="231F20"/>
        </w:rPr>
        <w:t>were</w:t>
      </w:r>
      <w:r>
        <w:rPr>
          <w:color w:val="231F20"/>
          <w:spacing w:val="-4"/>
        </w:rPr>
        <w:t> </w:t>
      </w:r>
      <w:r>
        <w:rPr>
          <w:color w:val="231F20"/>
        </w:rPr>
        <w:t>Aboriginal</w:t>
      </w:r>
      <w:r>
        <w:rPr>
          <w:color w:val="231F20"/>
          <w:spacing w:val="-3"/>
        </w:rPr>
        <w:t> </w:t>
      </w:r>
      <w:r>
        <w:rPr>
          <w:color w:val="231F20"/>
        </w:rPr>
        <w:t>or</w:t>
      </w:r>
      <w:r>
        <w:rPr>
          <w:color w:val="231F20"/>
          <w:spacing w:val="-3"/>
        </w:rPr>
        <w:t> </w:t>
      </w:r>
      <w:r>
        <w:rPr>
          <w:color w:val="231F20"/>
          <w:spacing w:val="-5"/>
        </w:rPr>
        <w:t>Torres</w:t>
      </w:r>
      <w:r>
        <w:rPr>
          <w:color w:val="231F20"/>
          <w:spacing w:val="-3"/>
        </w:rPr>
        <w:t> </w:t>
      </w:r>
      <w:r>
        <w:rPr>
          <w:color w:val="231F20"/>
          <w:spacing w:val="-2"/>
        </w:rPr>
        <w:t>Strait</w:t>
      </w:r>
      <w:r>
        <w:rPr>
          <w:color w:val="231F20"/>
          <w:spacing w:val="21"/>
          <w:w w:val="99"/>
        </w:rPr>
        <w:t> </w:t>
      </w:r>
      <w:r>
        <w:rPr>
          <w:color w:val="231F20"/>
          <w:spacing w:val="-1"/>
        </w:rPr>
        <w:t>Islander,</w:t>
      </w:r>
      <w:r>
        <w:rPr>
          <w:color w:val="231F20"/>
          <w:spacing w:val="-7"/>
        </w:rPr>
        <w:t> </w:t>
      </w:r>
      <w:r>
        <w:rPr>
          <w:color w:val="231F20"/>
        </w:rPr>
        <w:t>or</w:t>
      </w:r>
      <w:r>
        <w:rPr>
          <w:color w:val="231F20"/>
          <w:spacing w:val="-7"/>
        </w:rPr>
        <w:t> </w:t>
      </w:r>
      <w:r>
        <w:rPr>
          <w:color w:val="231F20"/>
        </w:rPr>
        <w:t>both.</w:t>
      </w:r>
      <w:r>
        <w:rPr/>
      </w:r>
    </w:p>
    <w:p>
      <w:pPr>
        <w:pStyle w:val="BodyText"/>
        <w:spacing w:line="250" w:lineRule="exact" w:before="113"/>
        <w:ind w:right="1702"/>
        <w:jc w:val="left"/>
      </w:pPr>
      <w:r>
        <w:rPr>
          <w:color w:val="231F20"/>
        </w:rPr>
        <w:t>Grant</w:t>
      </w:r>
      <w:r>
        <w:rPr>
          <w:color w:val="231F20"/>
          <w:spacing w:val="-8"/>
        </w:rPr>
        <w:t> </w:t>
      </w:r>
      <w:r>
        <w:rPr>
          <w:color w:val="231F20"/>
        </w:rPr>
        <w:t>Thornton</w:t>
      </w:r>
      <w:r>
        <w:rPr>
          <w:color w:val="231F20"/>
          <w:spacing w:val="-9"/>
        </w:rPr>
        <w:t> </w:t>
      </w:r>
      <w:r>
        <w:rPr>
          <w:color w:val="231F20"/>
        </w:rPr>
        <w:t>found</w:t>
      </w:r>
      <w:r>
        <w:rPr>
          <w:color w:val="231F20"/>
          <w:spacing w:val="-7"/>
        </w:rPr>
        <w:t> </w:t>
      </w:r>
      <w:r>
        <w:rPr>
          <w:color w:val="231F20"/>
        </w:rPr>
        <w:t>that</w:t>
      </w:r>
      <w:r>
        <w:rPr>
          <w:color w:val="231F20"/>
          <w:spacing w:val="-9"/>
        </w:rPr>
        <w:t> </w:t>
      </w:r>
      <w:r>
        <w:rPr>
          <w:color w:val="231F20"/>
        </w:rPr>
        <w:t>boarding</w:t>
      </w:r>
      <w:r>
        <w:rPr>
          <w:color w:val="231F20"/>
          <w:spacing w:val="-9"/>
        </w:rPr>
        <w:t> </w:t>
      </w:r>
      <w:r>
        <w:rPr>
          <w:color w:val="231F20"/>
        </w:rPr>
        <w:t>providers</w:t>
      </w:r>
      <w:r>
        <w:rPr>
          <w:color w:val="231F20"/>
          <w:w w:val="99"/>
        </w:rPr>
        <w:t> </w:t>
      </w:r>
      <w:r>
        <w:rPr>
          <w:color w:val="231F20"/>
        </w:rPr>
        <w:t>with</w:t>
      </w:r>
      <w:r>
        <w:rPr>
          <w:color w:val="231F20"/>
          <w:spacing w:val="-6"/>
        </w:rPr>
        <w:t> </w:t>
      </w:r>
      <w:r>
        <w:rPr>
          <w:color w:val="231F20"/>
        </w:rPr>
        <w:t>a</w:t>
      </w:r>
      <w:r>
        <w:rPr>
          <w:color w:val="231F20"/>
          <w:spacing w:val="-5"/>
        </w:rPr>
        <w:t> </w:t>
      </w:r>
      <w:r>
        <w:rPr>
          <w:color w:val="231F20"/>
        </w:rPr>
        <w:t>high</w:t>
      </w:r>
      <w:r>
        <w:rPr>
          <w:color w:val="231F20"/>
          <w:spacing w:val="-5"/>
        </w:rPr>
        <w:t> </w:t>
      </w:r>
      <w:r>
        <w:rPr>
          <w:color w:val="231F20"/>
        </w:rPr>
        <w:t>proportion</w:t>
      </w:r>
      <w:r>
        <w:rPr>
          <w:color w:val="231F20"/>
          <w:spacing w:val="-6"/>
        </w:rPr>
        <w:t> </w:t>
      </w:r>
      <w:r>
        <w:rPr>
          <w:color w:val="231F20"/>
        </w:rPr>
        <w:t>of</w:t>
      </w:r>
      <w:r>
        <w:rPr>
          <w:color w:val="231F20"/>
          <w:spacing w:val="-4"/>
        </w:rPr>
        <w:t> </w:t>
      </w:r>
      <w:r>
        <w:rPr>
          <w:color w:val="231F20"/>
        </w:rPr>
        <w:t>Aboriginal</w:t>
      </w:r>
      <w:r>
        <w:rPr>
          <w:color w:val="231F20"/>
          <w:spacing w:val="-5"/>
        </w:rPr>
        <w:t> </w:t>
      </w:r>
      <w:r>
        <w:rPr>
          <w:color w:val="231F20"/>
        </w:rPr>
        <w:t>and</w:t>
      </w:r>
      <w:r>
        <w:rPr>
          <w:color w:val="231F20"/>
          <w:spacing w:val="-5"/>
        </w:rPr>
        <w:t> Torres</w:t>
      </w:r>
      <w:r>
        <w:rPr>
          <w:color w:val="231F20"/>
          <w:spacing w:val="23"/>
          <w:w w:val="99"/>
        </w:rPr>
        <w:t> </w:t>
      </w:r>
      <w:r>
        <w:rPr>
          <w:color w:val="231F20"/>
          <w:spacing w:val="-2"/>
        </w:rPr>
        <w:t>Strait</w:t>
      </w:r>
      <w:r>
        <w:rPr>
          <w:color w:val="231F20"/>
          <w:spacing w:val="-7"/>
        </w:rPr>
        <w:t> </w:t>
      </w:r>
      <w:r>
        <w:rPr>
          <w:color w:val="231F20"/>
          <w:spacing w:val="-1"/>
        </w:rPr>
        <w:t>Islander</w:t>
      </w:r>
      <w:r>
        <w:rPr>
          <w:color w:val="231F20"/>
          <w:spacing w:val="-5"/>
        </w:rPr>
        <w:t> </w:t>
      </w:r>
      <w:r>
        <w:rPr>
          <w:color w:val="231F20"/>
          <w:spacing w:val="-1"/>
        </w:rPr>
        <w:t>students</w:t>
      </w:r>
      <w:r>
        <w:rPr>
          <w:color w:val="231F20"/>
          <w:spacing w:val="-6"/>
        </w:rPr>
        <w:t> </w:t>
      </w:r>
      <w:r>
        <w:rPr>
          <w:color w:val="231F20"/>
        </w:rPr>
        <w:t>achieve</w:t>
      </w:r>
      <w:r>
        <w:rPr>
          <w:color w:val="231F20"/>
          <w:spacing w:val="-6"/>
        </w:rPr>
        <w:t> </w:t>
      </w:r>
      <w:r>
        <w:rPr>
          <w:color w:val="231F20"/>
          <w:spacing w:val="-1"/>
        </w:rPr>
        <w:t>lower</w:t>
      </w:r>
      <w:r>
        <w:rPr>
          <w:color w:val="231F20"/>
          <w:spacing w:val="-5"/>
        </w:rPr>
        <w:t> </w:t>
      </w:r>
      <w:r>
        <w:rPr>
          <w:color w:val="231F20"/>
        </w:rPr>
        <w:t>NAPLAN</w:t>
      </w:r>
      <w:r>
        <w:rPr>
          <w:color w:val="231F20"/>
          <w:spacing w:val="27"/>
        </w:rPr>
        <w:t> </w:t>
      </w:r>
      <w:r>
        <w:rPr>
          <w:color w:val="231F20"/>
        </w:rPr>
        <w:t>results</w:t>
      </w:r>
      <w:r>
        <w:rPr>
          <w:color w:val="231F20"/>
          <w:spacing w:val="-7"/>
        </w:rPr>
        <w:t> </w:t>
      </w:r>
      <w:r>
        <w:rPr>
          <w:color w:val="231F20"/>
        </w:rPr>
        <w:t>and</w:t>
      </w:r>
      <w:r>
        <w:rPr>
          <w:color w:val="231F20"/>
          <w:spacing w:val="-6"/>
        </w:rPr>
        <w:t> </w:t>
      </w:r>
      <w:r>
        <w:rPr>
          <w:color w:val="231F20"/>
        </w:rPr>
        <w:t>attendance</w:t>
      </w:r>
      <w:r>
        <w:rPr>
          <w:color w:val="231F20"/>
          <w:spacing w:val="-6"/>
        </w:rPr>
        <w:t> </w:t>
      </w:r>
      <w:r>
        <w:rPr>
          <w:color w:val="231F20"/>
        </w:rPr>
        <w:t>rates</w:t>
      </w:r>
      <w:r>
        <w:rPr>
          <w:color w:val="231F20"/>
          <w:spacing w:val="-6"/>
        </w:rPr>
        <w:t> </w:t>
      </w:r>
      <w:r>
        <w:rPr>
          <w:color w:val="231F20"/>
        </w:rPr>
        <w:t>and</w:t>
      </w:r>
      <w:r>
        <w:rPr>
          <w:color w:val="231F20"/>
          <w:spacing w:val="-7"/>
        </w:rPr>
        <w:t> </w:t>
      </w:r>
      <w:r>
        <w:rPr>
          <w:color w:val="231F20"/>
          <w:spacing w:val="-1"/>
        </w:rPr>
        <w:t>incur</w:t>
      </w:r>
      <w:r>
        <w:rPr>
          <w:color w:val="231F20"/>
          <w:spacing w:val="-5"/>
        </w:rPr>
        <w:t> </w:t>
      </w:r>
      <w:r>
        <w:rPr>
          <w:color w:val="231F20"/>
        </w:rPr>
        <w:t>greater</w:t>
      </w:r>
      <w:r>
        <w:rPr>
          <w:color w:val="231F20"/>
          <w:spacing w:val="21"/>
          <w:w w:val="99"/>
        </w:rPr>
        <w:t> </w:t>
      </w:r>
      <w:r>
        <w:rPr>
          <w:color w:val="231F20"/>
        </w:rPr>
        <w:t>costs</w:t>
      </w:r>
      <w:r>
        <w:rPr>
          <w:color w:val="231F20"/>
          <w:spacing w:val="-7"/>
        </w:rPr>
        <w:t> </w:t>
      </w:r>
      <w:r>
        <w:rPr>
          <w:color w:val="231F20"/>
          <w:spacing w:val="-1"/>
        </w:rPr>
        <w:t>in</w:t>
      </w:r>
      <w:r>
        <w:rPr>
          <w:color w:val="231F20"/>
          <w:spacing w:val="-6"/>
        </w:rPr>
        <w:t> </w:t>
      </w:r>
      <w:r>
        <w:rPr>
          <w:color w:val="231F20"/>
        </w:rPr>
        <w:t>delivering</w:t>
      </w:r>
      <w:r>
        <w:rPr>
          <w:color w:val="231F20"/>
          <w:spacing w:val="-6"/>
        </w:rPr>
        <w:t> </w:t>
      </w:r>
      <w:r>
        <w:rPr>
          <w:color w:val="231F20"/>
        </w:rPr>
        <w:t>boarding</w:t>
      </w:r>
      <w:r>
        <w:rPr>
          <w:color w:val="231F20"/>
          <w:spacing w:val="-7"/>
        </w:rPr>
        <w:t> </w:t>
      </w:r>
      <w:r>
        <w:rPr>
          <w:color w:val="231F20"/>
        </w:rPr>
        <w:t>for</w:t>
      </w:r>
      <w:r>
        <w:rPr>
          <w:color w:val="231F20"/>
          <w:spacing w:val="-6"/>
        </w:rPr>
        <w:t> </w:t>
      </w:r>
      <w:r>
        <w:rPr>
          <w:color w:val="231F20"/>
        </w:rPr>
        <w:t>Aboriginal</w:t>
      </w:r>
      <w:r>
        <w:rPr/>
      </w:r>
    </w:p>
    <w:p>
      <w:pPr>
        <w:pStyle w:val="BodyText"/>
        <w:spacing w:line="250" w:lineRule="exact"/>
        <w:ind w:right="1702"/>
        <w:jc w:val="left"/>
      </w:pPr>
      <w:r>
        <w:rPr>
          <w:color w:val="231F20"/>
        </w:rPr>
        <w:t>and</w:t>
      </w:r>
      <w:r>
        <w:rPr>
          <w:color w:val="231F20"/>
          <w:spacing w:val="-7"/>
        </w:rPr>
        <w:t> </w:t>
      </w:r>
      <w:r>
        <w:rPr>
          <w:color w:val="231F20"/>
          <w:spacing w:val="-5"/>
        </w:rPr>
        <w:t>Torres</w:t>
      </w:r>
      <w:r>
        <w:rPr>
          <w:color w:val="231F20"/>
          <w:spacing w:val="-7"/>
        </w:rPr>
        <w:t> </w:t>
      </w:r>
      <w:r>
        <w:rPr>
          <w:color w:val="231F20"/>
          <w:spacing w:val="-2"/>
        </w:rPr>
        <w:t>Strait</w:t>
      </w:r>
      <w:r>
        <w:rPr>
          <w:color w:val="231F20"/>
          <w:spacing w:val="-6"/>
        </w:rPr>
        <w:t> </w:t>
      </w:r>
      <w:r>
        <w:rPr>
          <w:color w:val="231F20"/>
          <w:spacing w:val="-1"/>
        </w:rPr>
        <w:t>Islander</w:t>
      </w:r>
      <w:r>
        <w:rPr>
          <w:color w:val="231F20"/>
          <w:spacing w:val="-7"/>
        </w:rPr>
        <w:t> </w:t>
      </w:r>
      <w:r>
        <w:rPr>
          <w:color w:val="231F20"/>
          <w:spacing w:val="-1"/>
        </w:rPr>
        <w:t>secondary</w:t>
      </w:r>
      <w:r>
        <w:rPr>
          <w:color w:val="231F20"/>
          <w:spacing w:val="-5"/>
        </w:rPr>
        <w:t> </w:t>
      </w:r>
      <w:r>
        <w:rPr>
          <w:color w:val="231F20"/>
          <w:spacing w:val="-1"/>
        </w:rPr>
        <w:t>students.</w:t>
      </w:r>
      <w:r>
        <w:rPr>
          <w:color w:val="231F20"/>
          <w:spacing w:val="22"/>
          <w:w w:val="99"/>
        </w:rPr>
        <w:t> </w:t>
      </w:r>
      <w:r>
        <w:rPr>
          <w:color w:val="231F20"/>
        </w:rPr>
        <w:t>Attendance</w:t>
      </w:r>
      <w:r>
        <w:rPr>
          <w:color w:val="231F20"/>
          <w:spacing w:val="-7"/>
        </w:rPr>
        <w:t> </w:t>
      </w:r>
      <w:r>
        <w:rPr>
          <w:color w:val="231F20"/>
        </w:rPr>
        <w:t>ranged</w:t>
      </w:r>
      <w:r>
        <w:rPr>
          <w:color w:val="231F20"/>
          <w:spacing w:val="-7"/>
        </w:rPr>
        <w:t> </w:t>
      </w:r>
      <w:r>
        <w:rPr>
          <w:color w:val="231F20"/>
        </w:rPr>
        <w:t>from</w:t>
      </w:r>
      <w:r>
        <w:rPr>
          <w:color w:val="231F20"/>
          <w:spacing w:val="-6"/>
        </w:rPr>
        <w:t> </w:t>
      </w:r>
      <w:r>
        <w:rPr>
          <w:color w:val="231F20"/>
        </w:rPr>
        <w:t>an</w:t>
      </w:r>
      <w:r>
        <w:rPr>
          <w:color w:val="231F20"/>
          <w:spacing w:val="-8"/>
        </w:rPr>
        <w:t> </w:t>
      </w:r>
      <w:r>
        <w:rPr>
          <w:color w:val="231F20"/>
        </w:rPr>
        <w:t>average</w:t>
      </w:r>
      <w:r>
        <w:rPr>
          <w:color w:val="231F20"/>
          <w:spacing w:val="-7"/>
        </w:rPr>
        <w:t> </w:t>
      </w:r>
      <w:r>
        <w:rPr>
          <w:color w:val="231F20"/>
        </w:rPr>
        <w:t>of</w:t>
      </w:r>
      <w:r>
        <w:rPr/>
      </w:r>
    </w:p>
    <w:p>
      <w:pPr>
        <w:pStyle w:val="BodyText"/>
        <w:spacing w:line="250" w:lineRule="exact"/>
        <w:ind w:right="1657"/>
        <w:jc w:val="left"/>
      </w:pPr>
      <w:r>
        <w:rPr>
          <w:color w:val="231F20"/>
          <w:spacing w:val="-1"/>
        </w:rPr>
        <w:t>77</w:t>
      </w:r>
      <w:r>
        <w:rPr>
          <w:color w:val="231F20"/>
          <w:spacing w:val="-6"/>
        </w:rPr>
        <w:t> </w:t>
      </w:r>
      <w:r>
        <w:rPr>
          <w:color w:val="231F20"/>
        </w:rPr>
        <w:t>per</w:t>
      </w:r>
      <w:r>
        <w:rPr>
          <w:color w:val="231F20"/>
          <w:spacing w:val="-5"/>
        </w:rPr>
        <w:t> </w:t>
      </w:r>
      <w:r>
        <w:rPr>
          <w:color w:val="231F20"/>
        </w:rPr>
        <w:t>cent</w:t>
      </w:r>
      <w:r>
        <w:rPr>
          <w:color w:val="231F20"/>
          <w:spacing w:val="-6"/>
        </w:rPr>
        <w:t> </w:t>
      </w:r>
      <w:r>
        <w:rPr>
          <w:color w:val="231F20"/>
        </w:rPr>
        <w:t>(high</w:t>
      </w:r>
      <w:r>
        <w:rPr>
          <w:color w:val="231F20"/>
          <w:spacing w:val="-5"/>
        </w:rPr>
        <w:t> </w:t>
      </w:r>
      <w:r>
        <w:rPr>
          <w:color w:val="231F20"/>
        </w:rPr>
        <w:t>proportion</w:t>
      </w:r>
      <w:r>
        <w:rPr>
          <w:color w:val="231F20"/>
          <w:spacing w:val="-6"/>
        </w:rPr>
        <w:t> </w:t>
      </w:r>
      <w:r>
        <w:rPr>
          <w:color w:val="231F20"/>
        </w:rPr>
        <w:t>of</w:t>
      </w:r>
      <w:r>
        <w:rPr>
          <w:color w:val="231F20"/>
          <w:spacing w:val="-5"/>
        </w:rPr>
        <w:t> </w:t>
      </w:r>
      <w:r>
        <w:rPr>
          <w:color w:val="231F20"/>
        </w:rPr>
        <w:t>Aboriginal</w:t>
      </w:r>
      <w:r>
        <w:rPr>
          <w:color w:val="231F20"/>
          <w:spacing w:val="-6"/>
        </w:rPr>
        <w:t> </w:t>
      </w:r>
      <w:r>
        <w:rPr>
          <w:color w:val="231F20"/>
        </w:rPr>
        <w:t>and</w:t>
      </w:r>
      <w:r>
        <w:rPr>
          <w:color w:val="231F20"/>
          <w:spacing w:val="21"/>
          <w:w w:val="99"/>
        </w:rPr>
        <w:t> </w:t>
      </w:r>
      <w:r>
        <w:rPr>
          <w:color w:val="231F20"/>
          <w:spacing w:val="-5"/>
        </w:rPr>
        <w:t>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4"/>
        </w:rPr>
        <w:t> </w:t>
      </w:r>
      <w:r>
        <w:rPr>
          <w:color w:val="231F20"/>
          <w:spacing w:val="-1"/>
        </w:rPr>
        <w:t>students)</w:t>
      </w:r>
      <w:r>
        <w:rPr>
          <w:color w:val="231F20"/>
          <w:spacing w:val="-3"/>
        </w:rPr>
        <w:t> </w:t>
      </w:r>
      <w:r>
        <w:rPr>
          <w:color w:val="231F20"/>
        </w:rPr>
        <w:t>to</w:t>
      </w:r>
      <w:r>
        <w:rPr>
          <w:color w:val="231F20"/>
          <w:spacing w:val="-4"/>
        </w:rPr>
        <w:t> </w:t>
      </w:r>
      <w:r>
        <w:rPr>
          <w:color w:val="231F20"/>
          <w:spacing w:val="-1"/>
        </w:rPr>
        <w:t>91</w:t>
      </w:r>
      <w:r>
        <w:rPr>
          <w:color w:val="231F20"/>
          <w:spacing w:val="-3"/>
        </w:rPr>
        <w:t> </w:t>
      </w:r>
      <w:r>
        <w:rPr>
          <w:color w:val="231F20"/>
        </w:rPr>
        <w:t>per</w:t>
      </w:r>
      <w:r>
        <w:rPr>
          <w:color w:val="231F20"/>
          <w:spacing w:val="-4"/>
        </w:rPr>
        <w:t> </w:t>
      </w:r>
      <w:r>
        <w:rPr>
          <w:color w:val="231F20"/>
        </w:rPr>
        <w:t>cent</w:t>
      </w:r>
      <w:r>
        <w:rPr>
          <w:color w:val="231F20"/>
          <w:spacing w:val="25"/>
          <w:w w:val="99"/>
        </w:rPr>
        <w:t> </w:t>
      </w:r>
      <w:r>
        <w:rPr>
          <w:color w:val="231F20"/>
        </w:rPr>
        <w:t>(low</w:t>
      </w:r>
      <w:r>
        <w:rPr>
          <w:color w:val="231F20"/>
          <w:spacing w:val="-6"/>
        </w:rPr>
        <w:t> </w:t>
      </w:r>
      <w:r>
        <w:rPr>
          <w:color w:val="231F20"/>
        </w:rPr>
        <w:t>proportion).</w:t>
      </w:r>
      <w:r>
        <w:rPr>
          <w:color w:val="231F20"/>
          <w:spacing w:val="-6"/>
        </w:rPr>
        <w:t> </w:t>
      </w:r>
      <w:r>
        <w:rPr>
          <w:color w:val="231F20"/>
          <w:spacing w:val="-1"/>
        </w:rPr>
        <w:t>Average</w:t>
      </w:r>
      <w:r>
        <w:rPr>
          <w:color w:val="231F20"/>
          <w:spacing w:val="-5"/>
        </w:rPr>
        <w:t> </w:t>
      </w:r>
      <w:r>
        <w:rPr>
          <w:color w:val="231F20"/>
        </w:rPr>
        <w:t>NAPLAN</w:t>
      </w:r>
      <w:r>
        <w:rPr>
          <w:rFonts w:ascii="Segoe UI Semibold"/>
          <w:b/>
          <w:color w:val="231F20"/>
          <w:position w:val="7"/>
          <w:sz w:val="11"/>
        </w:rPr>
        <w:t>12</w:t>
      </w:r>
      <w:r>
        <w:rPr>
          <w:rFonts w:ascii="Segoe UI Semibold"/>
          <w:b/>
          <w:color w:val="231F20"/>
          <w:spacing w:val="20"/>
          <w:position w:val="7"/>
          <w:sz w:val="11"/>
        </w:rPr>
        <w:t> </w:t>
      </w:r>
      <w:r>
        <w:rPr>
          <w:color w:val="231F20"/>
        </w:rPr>
        <w:t>results</w:t>
      </w:r>
      <w:r>
        <w:rPr>
          <w:color w:val="231F20"/>
          <w:spacing w:val="26"/>
        </w:rPr>
        <w:t> </w:t>
      </w:r>
      <w:r>
        <w:rPr>
          <w:color w:val="231F20"/>
        </w:rPr>
        <w:t>ranged</w:t>
      </w:r>
      <w:r>
        <w:rPr>
          <w:color w:val="231F20"/>
          <w:spacing w:val="-5"/>
        </w:rPr>
        <w:t> </w:t>
      </w:r>
      <w:r>
        <w:rPr>
          <w:color w:val="231F20"/>
        </w:rPr>
        <w:t>from</w:t>
      </w:r>
      <w:r>
        <w:rPr>
          <w:color w:val="231F20"/>
          <w:spacing w:val="-4"/>
        </w:rPr>
        <w:t> </w:t>
      </w:r>
      <w:r>
        <w:rPr>
          <w:color w:val="231F20"/>
          <w:spacing w:val="-1"/>
        </w:rPr>
        <w:t>431</w:t>
      </w:r>
      <w:r>
        <w:rPr>
          <w:color w:val="231F20"/>
          <w:spacing w:val="-4"/>
        </w:rPr>
        <w:t> </w:t>
      </w:r>
      <w:r>
        <w:rPr>
          <w:color w:val="231F20"/>
        </w:rPr>
        <w:t>to</w:t>
      </w:r>
      <w:r>
        <w:rPr>
          <w:color w:val="231F20"/>
          <w:spacing w:val="-4"/>
        </w:rPr>
        <w:t> </w:t>
      </w:r>
      <w:r>
        <w:rPr>
          <w:color w:val="231F20"/>
        </w:rPr>
        <w:t>547.</w:t>
      </w:r>
      <w:r>
        <w:rPr/>
      </w:r>
    </w:p>
    <w:p>
      <w:pPr>
        <w:pStyle w:val="BodyText"/>
        <w:spacing w:line="250" w:lineRule="exact" w:before="113"/>
        <w:ind w:right="1657"/>
        <w:jc w:val="left"/>
      </w:pP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7"/>
        </w:rPr>
        <w:t> </w:t>
      </w:r>
      <w:r>
        <w:rPr>
          <w:color w:val="231F20"/>
        </w:rPr>
        <w:t>with</w:t>
      </w:r>
      <w:r>
        <w:rPr>
          <w:color w:val="231F20"/>
          <w:spacing w:val="-6"/>
        </w:rPr>
        <w:t> </w:t>
      </w:r>
      <w:r>
        <w:rPr>
          <w:color w:val="231F20"/>
        </w:rPr>
        <w:t>a</w:t>
      </w:r>
      <w:r>
        <w:rPr>
          <w:color w:val="231F20"/>
          <w:spacing w:val="-6"/>
        </w:rPr>
        <w:t> </w:t>
      </w:r>
      <w:r>
        <w:rPr>
          <w:color w:val="231F20"/>
        </w:rPr>
        <w:t>proportion</w:t>
      </w:r>
      <w:r>
        <w:rPr>
          <w:color w:val="231F20"/>
          <w:spacing w:val="-6"/>
        </w:rPr>
        <w:t> </w:t>
      </w:r>
      <w:r>
        <w:rPr>
          <w:color w:val="231F20"/>
        </w:rPr>
        <w:t>of</w:t>
      </w:r>
      <w:r>
        <w:rPr>
          <w:color w:val="231F20"/>
          <w:spacing w:val="-6"/>
        </w:rPr>
        <w:t> </w:t>
      </w:r>
      <w:r>
        <w:rPr>
          <w:color w:val="231F20"/>
          <w:spacing w:val="-1"/>
        </w:rPr>
        <w:t>more</w:t>
      </w:r>
      <w:r>
        <w:rPr>
          <w:color w:val="231F20"/>
          <w:spacing w:val="-5"/>
        </w:rPr>
        <w:t> </w:t>
      </w:r>
      <w:r>
        <w:rPr>
          <w:color w:val="231F20"/>
        </w:rPr>
        <w:t>than</w:t>
      </w:r>
      <w:r>
        <w:rPr/>
      </w:r>
    </w:p>
    <w:p>
      <w:pPr>
        <w:pStyle w:val="BodyText"/>
        <w:spacing w:line="250" w:lineRule="exact"/>
        <w:ind w:right="1702"/>
        <w:jc w:val="left"/>
      </w:pPr>
      <w:r>
        <w:rPr>
          <w:color w:val="231F20"/>
        </w:rPr>
        <w:t>65</w:t>
      </w:r>
      <w:r>
        <w:rPr>
          <w:color w:val="231F20"/>
          <w:spacing w:val="-5"/>
        </w:rPr>
        <w:t> </w:t>
      </w:r>
      <w:r>
        <w:rPr>
          <w:color w:val="231F20"/>
        </w:rPr>
        <w:t>per</w:t>
      </w:r>
      <w:r>
        <w:rPr>
          <w:color w:val="231F20"/>
          <w:spacing w:val="-4"/>
        </w:rPr>
        <w:t> </w:t>
      </w:r>
      <w:r>
        <w:rPr>
          <w:color w:val="231F20"/>
        </w:rPr>
        <w:t>cent</w:t>
      </w:r>
      <w:r>
        <w:rPr>
          <w:color w:val="231F20"/>
          <w:spacing w:val="-5"/>
        </w:rPr>
        <w:t> </w:t>
      </w:r>
      <w:r>
        <w:rPr>
          <w:color w:val="231F20"/>
        </w:rPr>
        <w:t>Aboriginal</w:t>
      </w:r>
      <w:r>
        <w:rPr>
          <w:color w:val="231F20"/>
          <w:spacing w:val="-4"/>
        </w:rPr>
        <w:t> </w:t>
      </w:r>
      <w:r>
        <w:rPr>
          <w:color w:val="231F20"/>
        </w:rPr>
        <w:t>and</w:t>
      </w:r>
      <w:r>
        <w:rPr>
          <w:color w:val="231F20"/>
          <w:spacing w:val="-5"/>
        </w:rPr>
        <w:t> Torres</w:t>
      </w:r>
      <w:r>
        <w:rPr>
          <w:color w:val="231F20"/>
          <w:spacing w:val="-4"/>
        </w:rPr>
        <w:t> </w:t>
      </w:r>
      <w:r>
        <w:rPr>
          <w:color w:val="231F20"/>
          <w:spacing w:val="-2"/>
        </w:rPr>
        <w:t>Strait</w:t>
      </w:r>
      <w:r>
        <w:rPr>
          <w:color w:val="231F20"/>
          <w:spacing w:val="-6"/>
        </w:rPr>
        <w:t> </w:t>
      </w:r>
      <w:r>
        <w:rPr>
          <w:color w:val="231F20"/>
          <w:spacing w:val="-1"/>
        </w:rPr>
        <w:t>Islander</w:t>
      </w:r>
      <w:r>
        <w:rPr>
          <w:color w:val="231F20"/>
          <w:spacing w:val="29"/>
          <w:w w:val="99"/>
        </w:rPr>
        <w:t> </w:t>
      </w:r>
      <w:r>
        <w:rPr>
          <w:color w:val="231F20"/>
          <w:spacing w:val="-1"/>
        </w:rPr>
        <w:t>students</w:t>
      </w:r>
      <w:r>
        <w:rPr>
          <w:color w:val="231F20"/>
          <w:spacing w:val="-5"/>
        </w:rPr>
        <w:t> </w:t>
      </w:r>
      <w:r>
        <w:rPr>
          <w:color w:val="231F20"/>
          <w:spacing w:val="-1"/>
        </w:rPr>
        <w:t>incurred</w:t>
      </w:r>
      <w:r>
        <w:rPr>
          <w:color w:val="231F20"/>
          <w:spacing w:val="-4"/>
        </w:rPr>
        <w:t> </w:t>
      </w:r>
      <w:r>
        <w:rPr>
          <w:color w:val="231F20"/>
        </w:rPr>
        <w:t>an</w:t>
      </w:r>
      <w:r>
        <w:rPr>
          <w:color w:val="231F20"/>
          <w:spacing w:val="-6"/>
        </w:rPr>
        <w:t> </w:t>
      </w:r>
      <w:r>
        <w:rPr>
          <w:color w:val="231F20"/>
        </w:rPr>
        <w:t>average</w:t>
      </w:r>
      <w:r>
        <w:rPr>
          <w:color w:val="231F20"/>
          <w:spacing w:val="-5"/>
        </w:rPr>
        <w:t> </w:t>
      </w:r>
      <w:r>
        <w:rPr>
          <w:color w:val="231F20"/>
        </w:rPr>
        <w:t>cost</w:t>
      </w:r>
      <w:r>
        <w:rPr>
          <w:color w:val="231F20"/>
          <w:spacing w:val="-5"/>
        </w:rPr>
        <w:t> </w:t>
      </w:r>
      <w:r>
        <w:rPr>
          <w:color w:val="231F20"/>
        </w:rPr>
        <w:t>of</w:t>
      </w:r>
      <w:r>
        <w:rPr>
          <w:color w:val="231F20"/>
          <w:spacing w:val="-5"/>
        </w:rPr>
        <w:t> </w:t>
      </w:r>
      <w:r>
        <w:rPr>
          <w:color w:val="231F20"/>
        </w:rPr>
        <w:t>boarding</w:t>
      </w:r>
      <w:r>
        <w:rPr>
          <w:color w:val="231F20"/>
          <w:spacing w:val="23"/>
          <w:w w:val="99"/>
        </w:rPr>
        <w:t> </w:t>
      </w:r>
      <w:r>
        <w:rPr>
          <w:color w:val="231F20"/>
        </w:rPr>
        <w:t>of</w:t>
      </w:r>
      <w:r>
        <w:rPr>
          <w:color w:val="231F20"/>
          <w:spacing w:val="-4"/>
        </w:rPr>
        <w:t> </w:t>
      </w:r>
      <w:r>
        <w:rPr>
          <w:color w:val="231F20"/>
          <w:spacing w:val="-1"/>
        </w:rPr>
        <w:t>$24,229</w:t>
      </w:r>
      <w:r>
        <w:rPr>
          <w:color w:val="231F20"/>
          <w:spacing w:val="-4"/>
        </w:rPr>
        <w:t> </w:t>
      </w:r>
      <w:r>
        <w:rPr>
          <w:color w:val="231F20"/>
        </w:rPr>
        <w:t>per</w:t>
      </w:r>
      <w:r>
        <w:rPr>
          <w:color w:val="231F20"/>
          <w:spacing w:val="-4"/>
        </w:rPr>
        <w:t> </w:t>
      </w:r>
      <w:r>
        <w:rPr>
          <w:color w:val="231F20"/>
        </w:rPr>
        <w:t>boarder,</w:t>
      </w:r>
      <w:r>
        <w:rPr>
          <w:color w:val="231F20"/>
          <w:spacing w:val="-4"/>
        </w:rPr>
        <w:t> </w:t>
      </w:r>
      <w:r>
        <w:rPr>
          <w:color w:val="231F20"/>
        </w:rPr>
        <w:t>compared</w:t>
      </w:r>
      <w:r>
        <w:rPr>
          <w:color w:val="231F20"/>
          <w:spacing w:val="-5"/>
        </w:rPr>
        <w:t> </w:t>
      </w:r>
      <w:r>
        <w:rPr>
          <w:color w:val="231F20"/>
        </w:rPr>
        <w:t>to</w:t>
      </w:r>
      <w:r>
        <w:rPr>
          <w:color w:val="231F20"/>
          <w:spacing w:val="-3"/>
        </w:rPr>
        <w:t> </w:t>
      </w:r>
      <w:r>
        <w:rPr>
          <w:color w:val="231F20"/>
          <w:spacing w:val="-1"/>
        </w:rPr>
        <w:t>just</w:t>
      </w:r>
      <w:r>
        <w:rPr/>
      </w:r>
    </w:p>
    <w:p>
      <w:pPr>
        <w:pStyle w:val="BodyText"/>
        <w:spacing w:line="250" w:lineRule="exact"/>
        <w:ind w:right="1741"/>
        <w:jc w:val="left"/>
      </w:pPr>
      <w:r>
        <w:rPr>
          <w:color w:val="231F20"/>
          <w:spacing w:val="-1"/>
        </w:rPr>
        <w:t>$17,267</w:t>
      </w:r>
      <w:r>
        <w:rPr>
          <w:color w:val="231F20"/>
          <w:spacing w:val="-6"/>
        </w:rPr>
        <w:t> </w:t>
      </w:r>
      <w:r>
        <w:rPr>
          <w:color w:val="231F20"/>
        </w:rPr>
        <w:t>for</w:t>
      </w:r>
      <w:r>
        <w:rPr>
          <w:color w:val="231F20"/>
          <w:spacing w:val="-5"/>
        </w:rPr>
        <w:t> </w:t>
      </w:r>
      <w:r>
        <w:rPr>
          <w:color w:val="231F20"/>
        </w:rPr>
        <w:t>those</w:t>
      </w:r>
      <w:r>
        <w:rPr>
          <w:color w:val="231F20"/>
          <w:spacing w:val="-6"/>
        </w:rPr>
        <w:t> </w:t>
      </w:r>
      <w:r>
        <w:rPr>
          <w:color w:val="231F20"/>
        </w:rPr>
        <w:t>providers</w:t>
      </w:r>
      <w:r>
        <w:rPr>
          <w:color w:val="231F20"/>
          <w:spacing w:val="-6"/>
        </w:rPr>
        <w:t> </w:t>
      </w:r>
      <w:r>
        <w:rPr>
          <w:color w:val="231F20"/>
        </w:rPr>
        <w:t>with</w:t>
      </w:r>
      <w:r>
        <w:rPr>
          <w:color w:val="231F20"/>
          <w:spacing w:val="-6"/>
        </w:rPr>
        <w:t> </w:t>
      </w:r>
      <w:r>
        <w:rPr>
          <w:color w:val="231F20"/>
        </w:rPr>
        <w:t>an</w:t>
      </w:r>
      <w:r>
        <w:rPr>
          <w:color w:val="231F20"/>
          <w:spacing w:val="-6"/>
        </w:rPr>
        <w:t> </w:t>
      </w:r>
      <w:r>
        <w:rPr>
          <w:color w:val="231F20"/>
        </w:rPr>
        <w:t>Aboriginal</w:t>
      </w:r>
      <w:r>
        <w:rPr>
          <w:color w:val="231F20"/>
          <w:spacing w:val="22"/>
          <w:w w:val="99"/>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spacing w:val="-1"/>
        </w:rPr>
        <w:t>student</w:t>
      </w:r>
      <w:r>
        <w:rPr>
          <w:color w:val="231F20"/>
          <w:spacing w:val="-6"/>
        </w:rPr>
        <w:t> </w:t>
      </w:r>
      <w:r>
        <w:rPr>
          <w:color w:val="231F20"/>
        </w:rPr>
        <w:t>population</w:t>
      </w:r>
      <w:r>
        <w:rPr>
          <w:color w:val="231F20"/>
          <w:spacing w:val="23"/>
          <w:w w:val="99"/>
        </w:rPr>
        <w:t> </w:t>
      </w:r>
      <w:r>
        <w:rPr>
          <w:color w:val="231F20"/>
          <w:spacing w:val="-1"/>
        </w:rPr>
        <w:t>less</w:t>
      </w:r>
      <w:r>
        <w:rPr>
          <w:color w:val="231F20"/>
          <w:spacing w:val="-3"/>
        </w:rPr>
        <w:t> </w:t>
      </w:r>
      <w:r>
        <w:rPr>
          <w:color w:val="231F20"/>
        </w:rPr>
        <w:t>than</w:t>
      </w:r>
      <w:r>
        <w:rPr>
          <w:color w:val="231F20"/>
          <w:spacing w:val="-4"/>
        </w:rPr>
        <w:t> </w:t>
      </w:r>
      <w:r>
        <w:rPr>
          <w:color w:val="231F20"/>
          <w:spacing w:val="-1"/>
        </w:rPr>
        <w:t>20</w:t>
      </w:r>
      <w:r>
        <w:rPr>
          <w:color w:val="231F20"/>
          <w:spacing w:val="-3"/>
        </w:rPr>
        <w:t> </w:t>
      </w:r>
      <w:r>
        <w:rPr>
          <w:color w:val="231F20"/>
        </w:rPr>
        <w:t>per</w:t>
      </w:r>
      <w:r>
        <w:rPr>
          <w:color w:val="231F20"/>
          <w:spacing w:val="-3"/>
        </w:rPr>
        <w:t> </w:t>
      </w:r>
      <w:r>
        <w:rPr>
          <w:color w:val="231F20"/>
        </w:rPr>
        <w:t>cent.</w:t>
      </w:r>
      <w:r>
        <w:rPr/>
      </w:r>
    </w:p>
    <w:p>
      <w:pPr>
        <w:spacing w:after="0" w:line="250" w:lineRule="exact"/>
        <w:jc w:val="left"/>
        <w:sectPr>
          <w:type w:val="continuous"/>
          <w:pgSz w:w="11910" w:h="16840"/>
          <w:pgMar w:top="1580" w:bottom="280" w:left="1300" w:right="0"/>
          <w:cols w:num="2" w:equalWidth="0">
            <w:col w:w="4370" w:space="223"/>
            <w:col w:w="6017"/>
          </w:cols>
        </w:sectPr>
      </w:pPr>
    </w:p>
    <w:p>
      <w:pPr>
        <w:spacing w:line="240" w:lineRule="auto" w:before="0"/>
        <w:rPr>
          <w:rFonts w:ascii="Segoe UI" w:hAnsi="Segoe UI" w:cs="Segoe UI" w:eastAsia="Segoe UI"/>
          <w:sz w:val="20"/>
          <w:szCs w:val="20"/>
        </w:rPr>
      </w:pPr>
    </w:p>
    <w:p>
      <w:pPr>
        <w:spacing w:line="240" w:lineRule="auto" w:before="11"/>
        <w:rPr>
          <w:rFonts w:ascii="Segoe UI" w:hAnsi="Segoe UI" w:cs="Segoe UI" w:eastAsia="Segoe UI"/>
          <w:sz w:val="14"/>
          <w:szCs w:val="14"/>
        </w:rPr>
      </w:pPr>
    </w:p>
    <w:p>
      <w:pPr>
        <w:spacing w:line="200" w:lineRule="atLeast"/>
        <w:ind w:left="100" w:right="0" w:firstLine="0"/>
        <w:rPr>
          <w:rFonts w:ascii="Segoe UI" w:hAnsi="Segoe UI" w:cs="Segoe UI" w:eastAsia="Segoe UI"/>
          <w:sz w:val="20"/>
          <w:szCs w:val="20"/>
        </w:rPr>
      </w:pPr>
      <w:r>
        <w:rPr>
          <w:rFonts w:ascii="Segoe UI" w:hAnsi="Segoe UI" w:cs="Segoe UI" w:eastAsia="Segoe UI"/>
          <w:sz w:val="20"/>
          <w:szCs w:val="20"/>
        </w:rPr>
        <w:pict>
          <v:group style="width:439.4pt;height:251.75pt;mso-position-horizontal-relative:char;mso-position-vertical-relative:line" coordorigin="0,0" coordsize="8788,5035">
            <v:group style="position:absolute;left:7076;top:3438;width:1250;height:2" coordorigin="7076,3438" coordsize="1250,2">
              <v:shape style="position:absolute;left:7076;top:3438;width:1250;height:2" coordorigin="7076,3438" coordsize="1250,0" path="m7076,3438l8326,3438e" filled="false" stroked="true" strokeweight=".697pt" strokecolor="#dcddde">
                <v:path arrowok="t"/>
              </v:shape>
            </v:group>
            <v:group style="position:absolute;left:4718;top:3438;width:1830;height:2" coordorigin="4718,3438" coordsize="1830,2">
              <v:shape style="position:absolute;left:4718;top:3438;width:1830;height:2" coordorigin="4718,3438" coordsize="1830,0" path="m4718,3438l6548,3438e" filled="false" stroked="true" strokeweight=".697pt" strokecolor="#dcddde">
                <v:path arrowok="t"/>
              </v:shape>
            </v:group>
            <v:group style="position:absolute;left:3029;top:3438;width:1161;height:2" coordorigin="3029,3438" coordsize="1161,2">
              <v:shape style="position:absolute;left:3029;top:3438;width:1161;height:2" coordorigin="3029,3438" coordsize="1161,0" path="m3029,3438l4190,3438e" filled="false" stroked="true" strokeweight=".697pt" strokecolor="#dcddde">
                <v:path arrowok="t"/>
              </v:shape>
            </v:group>
            <v:group style="position:absolute;left:4718;top:2954;width:1830;height:2" coordorigin="4718,2954" coordsize="1830,2">
              <v:shape style="position:absolute;left:4718;top:2954;width:1830;height:2" coordorigin="4718,2954" coordsize="1830,0" path="m4718,2954l6548,2954e" filled="false" stroked="true" strokeweight=".697pt" strokecolor="#dcddde">
                <v:path arrowok="t"/>
              </v:shape>
            </v:group>
            <v:group style="position:absolute;left:3029;top:2954;width:1161;height:2" coordorigin="3029,2954" coordsize="1161,2">
              <v:shape style="position:absolute;left:3029;top:2954;width:1161;height:2" coordorigin="3029,2954" coordsize="1161,0" path="m3029,2954l4190,2954e" filled="false" stroked="true" strokeweight=".697pt" strokecolor="#dcddde">
                <v:path arrowok="t"/>
              </v:shape>
            </v:group>
            <v:group style="position:absolute;left:4718;top:2470;width:1830;height:2" coordorigin="4718,2470" coordsize="1830,2">
              <v:shape style="position:absolute;left:4718;top:2470;width:1830;height:2" coordorigin="4718,2470" coordsize="1830,0" path="m4718,2470l6548,2470e" filled="false" stroked="true" strokeweight=".697pt" strokecolor="#dcddde">
                <v:path arrowok="t"/>
              </v:shape>
            </v:group>
            <v:group style="position:absolute;left:3029;top:2470;width:1161;height:2" coordorigin="3029,2470" coordsize="1161,2">
              <v:shape style="position:absolute;left:3029;top:2470;width:1161;height:2" coordorigin="3029,2470" coordsize="1161,0" path="m3029,2470l4190,2470e" filled="false" stroked="true" strokeweight=".697pt" strokecolor="#dcddde">
                <v:path arrowok="t"/>
              </v:shape>
            </v:group>
            <v:group style="position:absolute;left:4718;top:1986;width:1830;height:2" coordorigin="4718,1986" coordsize="1830,2">
              <v:shape style="position:absolute;left:4718;top:1986;width:1830;height:2" coordorigin="4718,1986" coordsize="1830,0" path="m4718,1986l6548,1986e" filled="false" stroked="true" strokeweight=".697pt" strokecolor="#dcddde">
                <v:path arrowok="t"/>
              </v:shape>
            </v:group>
            <v:group style="position:absolute;left:1250;top:1986;width:2940;height:2" coordorigin="1250,1986" coordsize="2940,2">
              <v:shape style="position:absolute;left:1250;top:1986;width:2940;height:2" coordorigin="1250,1986" coordsize="2940,0" path="m1250,1986l4190,1986e" filled="false" stroked="true" strokeweight=".697pt" strokecolor="#dcddde">
                <v:path arrowok="t"/>
              </v:shape>
            </v:group>
            <v:group style="position:absolute;left:1250;top:1502;width:7076;height:2" coordorigin="1250,1502" coordsize="7076,2">
              <v:shape style="position:absolute;left:1250;top:1502;width:7076;height:2" coordorigin="1250,1502" coordsize="7076,0" path="m1250,1502l8326,1502e" filled="false" stroked="true" strokeweight=".697pt" strokecolor="#dcddde">
                <v:path arrowok="t"/>
              </v:shape>
            </v:group>
            <v:group style="position:absolute;left:4190;top:1558;width:529;height:2364" coordorigin="4190,1558" coordsize="529,2364">
              <v:shape style="position:absolute;left:4190;top:1558;width:529;height:2364" coordorigin="4190,1558" coordsize="529,2364" path="m4718,1558l4190,1558,4190,3922,4718,3922,4718,1558xe" filled="true" fillcolor="#71598f" stroked="false">
                <v:path arrowok="t"/>
                <v:fill type="solid"/>
              </v:shape>
            </v:group>
            <v:group style="position:absolute;left:7076;top:2954;width:1250;height:2" coordorigin="7076,2954" coordsize="1250,2">
              <v:shape style="position:absolute;left:7076;top:2954;width:1250;height:2" coordorigin="7076,2954" coordsize="1250,0" path="m7076,2954l8326,2954e" filled="false" stroked="true" strokeweight=".697pt" strokecolor="#dcddde">
                <v:path arrowok="t"/>
              </v:shape>
            </v:group>
            <v:group style="position:absolute;left:7076;top:2470;width:1250;height:2" coordorigin="7076,2470" coordsize="1250,2">
              <v:shape style="position:absolute;left:7076;top:2470;width:1250;height:2" coordorigin="7076,2470" coordsize="1250,0" path="m7076,2470l8326,2470e" filled="false" stroked="true" strokeweight=".697pt" strokecolor="#dcddde">
                <v:path arrowok="t"/>
              </v:shape>
            </v:group>
            <v:group style="position:absolute;left:7076;top:1986;width:1250;height:2" coordorigin="7076,1986" coordsize="1250,2">
              <v:shape style="position:absolute;left:7076;top:1986;width:1250;height:2" coordorigin="7076,1986" coordsize="1250,0" path="m7076,1986l8326,1986e" filled="false" stroked="true" strokeweight=".697pt" strokecolor="#dcddde">
                <v:path arrowok="t"/>
              </v:shape>
            </v:group>
            <v:group style="position:absolute;left:6548;top:1576;width:529;height:2347" coordorigin="6548,1576" coordsize="529,2347">
              <v:shape style="position:absolute;left:6548;top:1576;width:529;height:2347" coordorigin="6548,1576" coordsize="529,2347" path="m7077,1576l6548,1576,6548,3922,7077,3922,7077,1576xe" filled="true" fillcolor="#71598f" stroked="false">
                <v:path arrowok="t"/>
                <v:fill type="solid"/>
              </v:shape>
            </v:group>
            <v:group style="position:absolute;left:2358;top:3438;width:143;height:2" coordorigin="2358,3438" coordsize="143,2">
              <v:shape style="position:absolute;left:2358;top:3438;width:143;height:2" coordorigin="2358,3438" coordsize="143,0" path="m2358,3438l2501,3438e" filled="false" stroked="true" strokeweight=".697pt" strokecolor="#dcddde">
                <v:path arrowok="t"/>
              </v:shape>
            </v:group>
            <v:group style="position:absolute;left:1250;top:3438;width:579;height:2" coordorigin="1250,3438" coordsize="579,2">
              <v:shape style="position:absolute;left:1250;top:3438;width:579;height:2" coordorigin="1250,3438" coordsize="579,0" path="m1250,3438l1829,3438e" filled="false" stroked="true" strokeweight=".697pt" strokecolor="#dcddde">
                <v:path arrowok="t"/>
              </v:shape>
            </v:group>
            <v:group style="position:absolute;left:2358;top:2954;width:143;height:2" coordorigin="2358,2954" coordsize="143,2">
              <v:shape style="position:absolute;left:2358;top:2954;width:143;height:2" coordorigin="2358,2954" coordsize="143,0" path="m2358,2954l2501,2954e" filled="false" stroked="true" strokeweight=".697pt" strokecolor="#dcddde">
                <v:path arrowok="t"/>
              </v:shape>
            </v:group>
            <v:group style="position:absolute;left:1250;top:2954;width:579;height:2" coordorigin="1250,2954" coordsize="579,2">
              <v:shape style="position:absolute;left:1250;top:2954;width:579;height:2" coordorigin="1250,2954" coordsize="579,0" path="m1250,2954l1829,2954e" filled="false" stroked="true" strokeweight=".697pt" strokecolor="#dcddde">
                <v:path arrowok="t"/>
              </v:shape>
            </v:group>
            <v:group style="position:absolute;left:2358;top:2470;width:143;height:2" coordorigin="2358,2470" coordsize="143,2">
              <v:shape style="position:absolute;left:2358;top:2470;width:143;height:2" coordorigin="2358,2470" coordsize="143,0" path="m2358,2470l2501,2470e" filled="false" stroked="true" strokeweight=".697pt" strokecolor="#dcddde">
                <v:path arrowok="t"/>
              </v:shape>
            </v:group>
            <v:group style="position:absolute;left:1250;top:2470;width:579;height:2" coordorigin="1250,2470" coordsize="579,2">
              <v:shape style="position:absolute;left:1250;top:2470;width:579;height:2" coordorigin="1250,2470" coordsize="579,0" path="m1250,2470l1829,2470e" filled="false" stroked="true" strokeweight=".697pt" strokecolor="#dcddde">
                <v:path arrowok="t"/>
              </v:shape>
            </v:group>
            <v:group style="position:absolute;left:1829;top:2249;width:529;height:1673" coordorigin="1829,2249" coordsize="529,1673">
              <v:shape style="position:absolute;left:1829;top:2249;width:529;height:1673" coordorigin="1829,2249" coordsize="529,1673" path="m2358,2249l1829,2249,1829,3922,2358,3922,2358,2249xe" filled="true" fillcolor="#71598f" stroked="false">
                <v:path arrowok="t"/>
                <v:fill type="solid"/>
              </v:shape>
            </v:group>
            <v:group style="position:absolute;left:2501;top:2044;width:529;height:1878" coordorigin="2501,2044" coordsize="529,1878">
              <v:shape style="position:absolute;left:2501;top:2044;width:529;height:1878" coordorigin="2501,2044" coordsize="529,1878" path="m2501,3922l3029,3922,3029,2044,2501,2044,2501,3922xe" filled="true" fillcolor="#a99bbc" stroked="false">
                <v:path arrowok="t"/>
                <v:fill type="solid"/>
              </v:shape>
            </v:group>
            <v:group style="position:absolute;left:1250;top:3922;width:7076;height:2" coordorigin="1250,3922" coordsize="7076,2">
              <v:shape style="position:absolute;left:1250;top:3922;width:7076;height:2" coordorigin="1250,3922" coordsize="7076,0" path="m1250,3922l8326,3922e" filled="false" stroked="true" strokeweight=".697pt" strokecolor="#dcddde">
                <v:path arrowok="t"/>
              </v:shape>
            </v:group>
            <v:group style="position:absolute;left:1250;top:1017;width:7076;height:2" coordorigin="1250,1017" coordsize="7076,2">
              <v:shape style="position:absolute;left:1250;top:1017;width:7076;height:2" coordorigin="1250,1017" coordsize="7076,0" path="m1250,1017l8326,1017e" filled="false" stroked="true" strokeweight=".697pt" strokecolor="#dcddde">
                <v:path arrowok="t"/>
              </v:shape>
            </v:group>
            <v:group style="position:absolute;left:1754;top:4539;width:92;height:92" coordorigin="1754,4539" coordsize="92,92">
              <v:shape style="position:absolute;left:1754;top:4539;width:92;height:92" coordorigin="1754,4539" coordsize="92,92" path="m1754,4539l1846,4539,1846,4631,1754,4631,1754,4539xe" filled="true" fillcolor="#71598f" stroked="false">
                <v:path arrowok="t"/>
                <v:fill type="solid"/>
              </v:shape>
            </v:group>
            <v:group style="position:absolute;left:5398;top:4539;width:92;height:92" coordorigin="5398,4539" coordsize="92,92">
              <v:shape style="position:absolute;left:5398;top:4539;width:92;height:92" coordorigin="5398,4539" coordsize="92,92" path="m5398,4539l5490,4539,5490,4631,5398,4631,5398,4539xe" filled="true" fillcolor="#a99bbc" stroked="false">
                <v:path arrowok="t"/>
                <v:fill type="solid"/>
              </v:shape>
            </v:group>
            <v:group style="position:absolute;left:100;top:100;width:8588;height:4835" coordorigin="100,100" coordsize="8588,4835">
              <v:shape style="position:absolute;left:100;top:100;width:8588;height:4835" coordorigin="100,100" coordsize="8588,4835" path="m100,4935l8687,4935,8687,100,100,100,100,4935xe" filled="false" stroked="true" strokeweight="10pt" strokecolor="#c1b5a9">
                <v:path arrowok="t"/>
              </v:shape>
              <v:shape style="position:absolute;left:286;top:270;width:7773;height:3956" type="#_x0000_t202" filled="false" stroked="false">
                <v:textbox inset="0,0,0,0">
                  <w:txbxContent>
                    <w:p>
                      <w:pPr>
                        <w:spacing w:line="159" w:lineRule="exact" w:before="0"/>
                        <w:ind w:left="0" w:right="0" w:firstLine="0"/>
                        <w:jc w:val="left"/>
                        <w:rPr>
                          <w:rFonts w:ascii="Segoe UI Semibold" w:hAnsi="Segoe UI Semibold" w:cs="Segoe UI Semibold" w:eastAsia="Segoe UI Semibold"/>
                          <w:sz w:val="16"/>
                          <w:szCs w:val="16"/>
                        </w:rPr>
                      </w:pPr>
                      <w:r>
                        <w:rPr>
                          <w:rFonts w:ascii="Segoe UI Semibold"/>
                          <w:b/>
                          <w:color w:val="666155"/>
                          <w:spacing w:val="4"/>
                          <w:sz w:val="16"/>
                        </w:rPr>
                        <w:t>GRAPH</w:t>
                      </w:r>
                      <w:r>
                        <w:rPr>
                          <w:rFonts w:ascii="Segoe UI Semibold"/>
                          <w:b/>
                          <w:color w:val="666155"/>
                          <w:spacing w:val="-1"/>
                          <w:sz w:val="16"/>
                        </w:rPr>
                        <w:t> </w:t>
                      </w:r>
                      <w:r>
                        <w:rPr>
                          <w:rFonts w:ascii="Segoe UI Semibold"/>
                          <w:b/>
                          <w:color w:val="666155"/>
                          <w:sz w:val="16"/>
                        </w:rPr>
                        <w:t>4:</w:t>
                      </w:r>
                      <w:r>
                        <w:rPr>
                          <w:rFonts w:ascii="Segoe UI Semibold"/>
                          <w:b/>
                          <w:color w:val="666155"/>
                          <w:spacing w:val="-1"/>
                          <w:sz w:val="16"/>
                        </w:rPr>
                        <w:t> </w:t>
                      </w:r>
                      <w:r>
                        <w:rPr>
                          <w:rFonts w:ascii="Segoe UI Semibold"/>
                          <w:b/>
                          <w:color w:val="666155"/>
                          <w:spacing w:val="2"/>
                          <w:sz w:val="16"/>
                        </w:rPr>
                        <w:t>AVERAGE </w:t>
                      </w:r>
                      <w:r>
                        <w:rPr>
                          <w:rFonts w:ascii="Segoe UI Semibold"/>
                          <w:b/>
                          <w:color w:val="666155"/>
                          <w:spacing w:val="3"/>
                          <w:sz w:val="16"/>
                        </w:rPr>
                        <w:t>ANNUAL </w:t>
                      </w:r>
                      <w:r>
                        <w:rPr>
                          <w:rFonts w:ascii="Segoe UI Semibold"/>
                          <w:b/>
                          <w:color w:val="666155"/>
                          <w:spacing w:val="4"/>
                          <w:sz w:val="16"/>
                        </w:rPr>
                        <w:t>BOARDING</w:t>
                      </w:r>
                      <w:r>
                        <w:rPr>
                          <w:rFonts w:ascii="Segoe UI Semibold"/>
                          <w:b/>
                          <w:color w:val="666155"/>
                          <w:spacing w:val="2"/>
                          <w:sz w:val="16"/>
                        </w:rPr>
                        <w:t> </w:t>
                      </w:r>
                      <w:r>
                        <w:rPr>
                          <w:rFonts w:ascii="Segoe UI Semibold"/>
                          <w:b/>
                          <w:color w:val="666155"/>
                          <w:spacing w:val="3"/>
                          <w:sz w:val="16"/>
                        </w:rPr>
                        <w:t>COST</w:t>
                      </w:r>
                      <w:r>
                        <w:rPr>
                          <w:rFonts w:ascii="Segoe UI Semibold"/>
                          <w:b/>
                          <w:color w:val="666155"/>
                          <w:spacing w:val="2"/>
                          <w:sz w:val="16"/>
                        </w:rPr>
                        <w:t> </w:t>
                      </w:r>
                      <w:r>
                        <w:rPr>
                          <w:rFonts w:ascii="Segoe UI Semibold"/>
                          <w:b/>
                          <w:color w:val="666155"/>
                          <w:spacing w:val="3"/>
                          <w:sz w:val="16"/>
                        </w:rPr>
                        <w:t>PER</w:t>
                      </w:r>
                      <w:r>
                        <w:rPr>
                          <w:rFonts w:ascii="Segoe UI Semibold"/>
                          <w:b/>
                          <w:color w:val="666155"/>
                          <w:spacing w:val="2"/>
                          <w:sz w:val="16"/>
                        </w:rPr>
                        <w:t> </w:t>
                      </w:r>
                      <w:r>
                        <w:rPr>
                          <w:rFonts w:ascii="Segoe UI Semibold"/>
                          <w:b/>
                          <w:color w:val="666155"/>
                          <w:spacing w:val="4"/>
                          <w:sz w:val="16"/>
                        </w:rPr>
                        <w:t>BOARDER</w:t>
                      </w:r>
                      <w:r>
                        <w:rPr>
                          <w:rFonts w:ascii="Segoe UI Semibold"/>
                          <w:b/>
                          <w:color w:val="666155"/>
                          <w:spacing w:val="3"/>
                          <w:sz w:val="16"/>
                        </w:rPr>
                        <w:t> </w:t>
                      </w:r>
                      <w:r>
                        <w:rPr>
                          <w:rFonts w:ascii="Segoe UI Semibold"/>
                          <w:b/>
                          <w:color w:val="666155"/>
                          <w:sz w:val="16"/>
                        </w:rPr>
                        <w:t>BY</w:t>
                      </w:r>
                      <w:r>
                        <w:rPr>
                          <w:rFonts w:ascii="Segoe UI Semibold"/>
                          <w:b/>
                          <w:color w:val="666155"/>
                          <w:spacing w:val="2"/>
                          <w:sz w:val="16"/>
                        </w:rPr>
                        <w:t> </w:t>
                      </w:r>
                      <w:r>
                        <w:rPr>
                          <w:rFonts w:ascii="Segoe UI Semibold"/>
                          <w:b/>
                          <w:color w:val="666155"/>
                          <w:spacing w:val="4"/>
                          <w:sz w:val="16"/>
                        </w:rPr>
                        <w:t>PROPORTION</w:t>
                      </w:r>
                      <w:r>
                        <w:rPr>
                          <w:rFonts w:ascii="Segoe UI Semibold"/>
                          <w:b/>
                          <w:color w:val="666155"/>
                          <w:spacing w:val="2"/>
                          <w:sz w:val="16"/>
                        </w:rPr>
                        <w:t> OF </w:t>
                      </w:r>
                      <w:r>
                        <w:rPr>
                          <w:rFonts w:ascii="Segoe UI Semibold"/>
                          <w:b/>
                          <w:color w:val="666155"/>
                          <w:spacing w:val="4"/>
                          <w:sz w:val="16"/>
                        </w:rPr>
                        <w:t>ABORIGINAL</w:t>
                      </w:r>
                      <w:r>
                        <w:rPr>
                          <w:rFonts w:ascii="Segoe UI Semibold"/>
                          <w:b/>
                          <w:color w:val="666155"/>
                          <w:spacing w:val="3"/>
                          <w:sz w:val="16"/>
                        </w:rPr>
                        <w:t> </w:t>
                      </w:r>
                      <w:r>
                        <w:rPr>
                          <w:rFonts w:ascii="Segoe UI Semibold"/>
                          <w:b/>
                          <w:color w:val="666155"/>
                          <w:spacing w:val="5"/>
                          <w:sz w:val="16"/>
                        </w:rPr>
                        <w:t>AND</w:t>
                      </w:r>
                      <w:r>
                        <w:rPr>
                          <w:rFonts w:ascii="Segoe UI Semibold"/>
                          <w:sz w:val="16"/>
                        </w:rPr>
                      </w:r>
                    </w:p>
                    <w:p>
                      <w:pPr>
                        <w:spacing w:line="211" w:lineRule="exact" w:before="0"/>
                        <w:ind w:left="0" w:right="0" w:firstLine="0"/>
                        <w:jc w:val="left"/>
                        <w:rPr>
                          <w:rFonts w:ascii="Segoe UI Semibold" w:hAnsi="Segoe UI Semibold" w:cs="Segoe UI Semibold" w:eastAsia="Segoe UI Semibold"/>
                          <w:sz w:val="16"/>
                          <w:szCs w:val="16"/>
                        </w:rPr>
                      </w:pPr>
                      <w:r>
                        <w:rPr>
                          <w:rFonts w:ascii="Segoe UI Semibold" w:hAnsi="Segoe UI Semibold" w:cs="Segoe UI Semibold" w:eastAsia="Segoe UI Semibold"/>
                          <w:b/>
                          <w:bCs/>
                          <w:color w:val="666155"/>
                          <w:spacing w:val="3"/>
                          <w:sz w:val="16"/>
                          <w:szCs w:val="16"/>
                        </w:rPr>
                        <w:t>TORRES</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STRAIT</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ISLANDER</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STUDENTS,</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sz w:val="16"/>
                          <w:szCs w:val="16"/>
                        </w:rPr>
                        <w:t>2015</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position w:val="1"/>
                          <w:sz w:val="16"/>
                          <w:szCs w:val="16"/>
                        </w:rPr>
                        <w:t>—</w:t>
                      </w:r>
                      <w:r>
                        <w:rPr>
                          <w:rFonts w:ascii="Segoe UI Semibold" w:hAnsi="Segoe UI Semibold" w:cs="Segoe UI Semibold" w:eastAsia="Segoe UI Semibold"/>
                          <w:b/>
                          <w:bCs/>
                          <w:color w:val="666155"/>
                          <w:spacing w:val="-3"/>
                          <w:position w:val="1"/>
                          <w:sz w:val="16"/>
                          <w:szCs w:val="16"/>
                        </w:rPr>
                        <w:t> </w:t>
                      </w:r>
                      <w:r>
                        <w:rPr>
                          <w:rFonts w:ascii="Segoe UI Semibold" w:hAnsi="Segoe UI Semibold" w:cs="Segoe UI Semibold" w:eastAsia="Segoe UI Semibold"/>
                          <w:b/>
                          <w:bCs/>
                          <w:color w:val="666155"/>
                          <w:spacing w:val="-1"/>
                          <w:sz w:val="16"/>
                          <w:szCs w:val="16"/>
                        </w:rPr>
                        <w:t>2017</w:t>
                      </w:r>
                      <w:r>
                        <w:rPr>
                          <w:rFonts w:ascii="Segoe UI Semibold" w:hAnsi="Segoe UI Semibold" w:cs="Segoe UI Semibold" w:eastAsia="Segoe UI Semibold"/>
                          <w:sz w:val="16"/>
                          <w:szCs w:val="16"/>
                        </w:rPr>
                      </w:r>
                    </w:p>
                    <w:p>
                      <w:pPr>
                        <w:spacing w:line="240" w:lineRule="auto" w:before="12"/>
                        <w:rPr>
                          <w:rFonts w:ascii="Segoe UI" w:hAnsi="Segoe UI" w:cs="Segoe UI" w:eastAsia="Segoe UI"/>
                          <w:sz w:val="19"/>
                          <w:szCs w:val="19"/>
                        </w:rPr>
                      </w:pPr>
                    </w:p>
                    <w:p>
                      <w:pPr>
                        <w:spacing w:before="0"/>
                        <w:ind w:left="257" w:right="0" w:firstLine="0"/>
                        <w:jc w:val="left"/>
                        <w:rPr>
                          <w:rFonts w:ascii="Segoe UI" w:hAnsi="Segoe UI" w:cs="Segoe UI" w:eastAsia="Segoe UI"/>
                          <w:sz w:val="15"/>
                          <w:szCs w:val="15"/>
                        </w:rPr>
                      </w:pPr>
                      <w:r>
                        <w:rPr>
                          <w:rFonts w:ascii="Segoe UI"/>
                          <w:color w:val="77787B"/>
                          <w:spacing w:val="-1"/>
                          <w:sz w:val="15"/>
                        </w:rPr>
                        <w:t>$30,000</w:t>
                      </w:r>
                      <w:r>
                        <w:rPr>
                          <w:rFonts w:ascii="Segoe UI"/>
                          <w:sz w:val="15"/>
                        </w:rPr>
                      </w:r>
                    </w:p>
                    <w:p>
                      <w:pPr>
                        <w:spacing w:line="240" w:lineRule="auto" w:before="0"/>
                        <w:rPr>
                          <w:rFonts w:ascii="Segoe UI" w:hAnsi="Segoe UI" w:cs="Segoe UI" w:eastAsia="Segoe UI"/>
                          <w:sz w:val="14"/>
                          <w:szCs w:val="14"/>
                        </w:rPr>
                      </w:pPr>
                    </w:p>
                    <w:p>
                      <w:pPr>
                        <w:spacing w:before="98"/>
                        <w:ind w:left="257" w:right="0" w:firstLine="0"/>
                        <w:jc w:val="left"/>
                        <w:rPr>
                          <w:rFonts w:ascii="Segoe UI" w:hAnsi="Segoe UI" w:cs="Segoe UI" w:eastAsia="Segoe UI"/>
                          <w:sz w:val="15"/>
                          <w:szCs w:val="15"/>
                        </w:rPr>
                      </w:pPr>
                      <w:r>
                        <w:rPr>
                          <w:rFonts w:ascii="Segoe UI"/>
                          <w:color w:val="77787B"/>
                          <w:spacing w:val="-1"/>
                          <w:sz w:val="15"/>
                        </w:rPr>
                        <w:t>$25,000</w:t>
                      </w:r>
                      <w:r>
                        <w:rPr>
                          <w:rFonts w:ascii="Segoe UI"/>
                          <w:sz w:val="15"/>
                        </w:rPr>
                      </w:r>
                    </w:p>
                    <w:p>
                      <w:pPr>
                        <w:spacing w:line="240" w:lineRule="auto" w:before="0"/>
                        <w:rPr>
                          <w:rFonts w:ascii="Segoe UI" w:hAnsi="Segoe UI" w:cs="Segoe UI" w:eastAsia="Segoe UI"/>
                          <w:sz w:val="14"/>
                          <w:szCs w:val="14"/>
                        </w:rPr>
                      </w:pPr>
                    </w:p>
                    <w:p>
                      <w:pPr>
                        <w:spacing w:before="98"/>
                        <w:ind w:left="257" w:right="0" w:firstLine="0"/>
                        <w:jc w:val="left"/>
                        <w:rPr>
                          <w:rFonts w:ascii="Segoe UI" w:hAnsi="Segoe UI" w:cs="Segoe UI" w:eastAsia="Segoe UI"/>
                          <w:sz w:val="15"/>
                          <w:szCs w:val="15"/>
                        </w:rPr>
                      </w:pPr>
                      <w:r>
                        <w:rPr>
                          <w:rFonts w:ascii="Segoe UI"/>
                          <w:color w:val="77787B"/>
                          <w:spacing w:val="-1"/>
                          <w:sz w:val="15"/>
                        </w:rPr>
                        <w:t>$20,000</w:t>
                      </w:r>
                      <w:r>
                        <w:rPr>
                          <w:rFonts w:ascii="Segoe UI"/>
                          <w:sz w:val="15"/>
                        </w:rPr>
                      </w:r>
                    </w:p>
                    <w:p>
                      <w:pPr>
                        <w:spacing w:line="240" w:lineRule="auto" w:before="0"/>
                        <w:rPr>
                          <w:rFonts w:ascii="Segoe UI" w:hAnsi="Segoe UI" w:cs="Segoe UI" w:eastAsia="Segoe UI"/>
                          <w:sz w:val="14"/>
                          <w:szCs w:val="14"/>
                        </w:rPr>
                      </w:pPr>
                    </w:p>
                    <w:p>
                      <w:pPr>
                        <w:spacing w:before="98"/>
                        <w:ind w:left="257" w:right="0" w:firstLine="0"/>
                        <w:jc w:val="left"/>
                        <w:rPr>
                          <w:rFonts w:ascii="Segoe UI" w:hAnsi="Segoe UI" w:cs="Segoe UI" w:eastAsia="Segoe UI"/>
                          <w:sz w:val="15"/>
                          <w:szCs w:val="15"/>
                        </w:rPr>
                      </w:pPr>
                      <w:r>
                        <w:rPr>
                          <w:rFonts w:ascii="Segoe UI"/>
                          <w:color w:val="77787B"/>
                          <w:spacing w:val="-1"/>
                          <w:sz w:val="15"/>
                        </w:rPr>
                        <w:t>$15,000</w:t>
                      </w:r>
                      <w:r>
                        <w:rPr>
                          <w:rFonts w:ascii="Segoe UI"/>
                          <w:sz w:val="15"/>
                        </w:rPr>
                      </w:r>
                    </w:p>
                    <w:p>
                      <w:pPr>
                        <w:spacing w:line="240" w:lineRule="auto" w:before="0"/>
                        <w:rPr>
                          <w:rFonts w:ascii="Segoe UI" w:hAnsi="Segoe UI" w:cs="Segoe UI" w:eastAsia="Segoe UI"/>
                          <w:sz w:val="14"/>
                          <w:szCs w:val="14"/>
                        </w:rPr>
                      </w:pPr>
                    </w:p>
                    <w:p>
                      <w:pPr>
                        <w:spacing w:before="98"/>
                        <w:ind w:left="257" w:right="0" w:firstLine="0"/>
                        <w:jc w:val="left"/>
                        <w:rPr>
                          <w:rFonts w:ascii="Segoe UI" w:hAnsi="Segoe UI" w:cs="Segoe UI" w:eastAsia="Segoe UI"/>
                          <w:sz w:val="15"/>
                          <w:szCs w:val="15"/>
                        </w:rPr>
                      </w:pPr>
                      <w:r>
                        <w:rPr>
                          <w:rFonts w:ascii="Segoe UI"/>
                          <w:color w:val="77787B"/>
                          <w:spacing w:val="-1"/>
                          <w:sz w:val="15"/>
                        </w:rPr>
                        <w:t>$10,000</w:t>
                      </w:r>
                      <w:r>
                        <w:rPr>
                          <w:rFonts w:ascii="Segoe UI"/>
                          <w:sz w:val="15"/>
                        </w:rPr>
                      </w:r>
                    </w:p>
                    <w:p>
                      <w:pPr>
                        <w:spacing w:line="240" w:lineRule="auto" w:before="0"/>
                        <w:rPr>
                          <w:rFonts w:ascii="Segoe UI" w:hAnsi="Segoe UI" w:cs="Segoe UI" w:eastAsia="Segoe UI"/>
                          <w:sz w:val="14"/>
                          <w:szCs w:val="14"/>
                        </w:rPr>
                      </w:pPr>
                    </w:p>
                    <w:p>
                      <w:pPr>
                        <w:spacing w:before="98"/>
                        <w:ind w:left="337" w:right="0" w:firstLine="0"/>
                        <w:jc w:val="left"/>
                        <w:rPr>
                          <w:rFonts w:ascii="Segoe UI" w:hAnsi="Segoe UI" w:cs="Segoe UI" w:eastAsia="Segoe UI"/>
                          <w:sz w:val="15"/>
                          <w:szCs w:val="15"/>
                        </w:rPr>
                      </w:pPr>
                      <w:r>
                        <w:rPr>
                          <w:rFonts w:ascii="Segoe UI"/>
                          <w:color w:val="77787B"/>
                          <w:spacing w:val="-1"/>
                          <w:sz w:val="15"/>
                        </w:rPr>
                        <w:t>$5,000</w:t>
                      </w:r>
                      <w:r>
                        <w:rPr>
                          <w:rFonts w:ascii="Segoe UI"/>
                          <w:sz w:val="15"/>
                        </w:rPr>
                      </w:r>
                    </w:p>
                    <w:p>
                      <w:pPr>
                        <w:spacing w:line="240" w:lineRule="auto" w:before="0"/>
                        <w:rPr>
                          <w:rFonts w:ascii="Segoe UI" w:hAnsi="Segoe UI" w:cs="Segoe UI" w:eastAsia="Segoe UI"/>
                          <w:sz w:val="14"/>
                          <w:szCs w:val="14"/>
                        </w:rPr>
                      </w:pPr>
                    </w:p>
                    <w:p>
                      <w:pPr>
                        <w:spacing w:before="98"/>
                        <w:ind w:left="631" w:right="0" w:firstLine="0"/>
                        <w:jc w:val="left"/>
                        <w:rPr>
                          <w:rFonts w:ascii="Segoe UI" w:hAnsi="Segoe UI" w:cs="Segoe UI" w:eastAsia="Segoe UI"/>
                          <w:sz w:val="15"/>
                          <w:szCs w:val="15"/>
                        </w:rPr>
                      </w:pPr>
                      <w:r>
                        <w:rPr>
                          <w:rFonts w:ascii="Segoe UI"/>
                          <w:color w:val="77787B"/>
                          <w:spacing w:val="-1"/>
                          <w:sz w:val="15"/>
                        </w:rPr>
                        <w:t>$-</w:t>
                      </w:r>
                      <w:r>
                        <w:rPr>
                          <w:rFonts w:ascii="Segoe UI"/>
                          <w:sz w:val="15"/>
                        </w:rPr>
                      </w:r>
                    </w:p>
                    <w:p>
                      <w:pPr>
                        <w:tabs>
                          <w:tab w:pos="4215" w:val="left" w:leader="none"/>
                          <w:tab w:pos="6706" w:val="left" w:leader="none"/>
                        </w:tabs>
                        <w:spacing w:line="191" w:lineRule="exact" w:before="25"/>
                        <w:ind w:left="2004" w:right="0" w:firstLine="0"/>
                        <w:jc w:val="left"/>
                        <w:rPr>
                          <w:rFonts w:ascii="Calibri" w:hAnsi="Calibri" w:cs="Calibri" w:eastAsia="Calibri"/>
                          <w:sz w:val="16"/>
                          <w:szCs w:val="16"/>
                        </w:rPr>
                      </w:pPr>
                      <w:r>
                        <w:rPr>
                          <w:rFonts w:ascii="Calibri"/>
                          <w:color w:val="77787B"/>
                          <w:sz w:val="16"/>
                        </w:rPr>
                        <w:t>Low</w:t>
                        <w:tab/>
                      </w:r>
                      <w:r>
                        <w:rPr>
                          <w:rFonts w:ascii="Calibri"/>
                          <w:color w:val="77787B"/>
                          <w:spacing w:val="-1"/>
                          <w:sz w:val="16"/>
                        </w:rPr>
                        <w:t>Medium</w:t>
                        <w:tab/>
                      </w:r>
                      <w:r>
                        <w:rPr>
                          <w:rFonts w:ascii="Calibri"/>
                          <w:color w:val="77787B"/>
                          <w:spacing w:val="-1"/>
                          <w:w w:val="105"/>
                          <w:sz w:val="16"/>
                        </w:rPr>
                        <w:t>High</w:t>
                      </w:r>
                      <w:r>
                        <w:rPr>
                          <w:rFonts w:ascii="Calibri"/>
                          <w:sz w:val="16"/>
                        </w:rPr>
                      </w:r>
                    </w:p>
                  </w:txbxContent>
                </v:textbox>
                <w10:wrap type="none"/>
              </v:shape>
              <v:shape style="position:absolute;left:1885;top:4504;width:3128;height:168" type="#_x0000_t202" filled="false" stroked="false">
                <v:textbox inset="0,0,0,0">
                  <w:txbxContent>
                    <w:p>
                      <w:pPr>
                        <w:spacing w:line="167" w:lineRule="exact" w:before="0"/>
                        <w:ind w:left="0" w:right="0" w:firstLine="0"/>
                        <w:jc w:val="left"/>
                        <w:rPr>
                          <w:rFonts w:ascii="Calibri" w:hAnsi="Calibri" w:cs="Calibri" w:eastAsia="Calibri"/>
                          <w:sz w:val="16"/>
                          <w:szCs w:val="16"/>
                        </w:rPr>
                      </w:pPr>
                      <w:r>
                        <w:rPr>
                          <w:rFonts w:ascii="Calibri"/>
                          <w:color w:val="77787B"/>
                          <w:spacing w:val="-1"/>
                          <w:w w:val="105"/>
                          <w:sz w:val="16"/>
                        </w:rPr>
                        <w:t>Aboriginal</w:t>
                      </w:r>
                      <w:r>
                        <w:rPr>
                          <w:rFonts w:ascii="Calibri"/>
                          <w:color w:val="77787B"/>
                          <w:spacing w:val="-7"/>
                          <w:w w:val="105"/>
                          <w:sz w:val="16"/>
                        </w:rPr>
                        <w:t> </w:t>
                      </w:r>
                      <w:r>
                        <w:rPr>
                          <w:rFonts w:ascii="Calibri"/>
                          <w:color w:val="77787B"/>
                          <w:w w:val="105"/>
                          <w:sz w:val="16"/>
                        </w:rPr>
                        <w:t>and</w:t>
                      </w:r>
                      <w:r>
                        <w:rPr>
                          <w:rFonts w:ascii="Calibri"/>
                          <w:color w:val="77787B"/>
                          <w:spacing w:val="-6"/>
                          <w:w w:val="105"/>
                          <w:sz w:val="16"/>
                        </w:rPr>
                        <w:t> </w:t>
                      </w:r>
                      <w:r>
                        <w:rPr>
                          <w:rFonts w:ascii="Calibri"/>
                          <w:color w:val="77787B"/>
                          <w:w w:val="105"/>
                          <w:sz w:val="16"/>
                        </w:rPr>
                        <w:t>Torres</w:t>
                      </w:r>
                      <w:r>
                        <w:rPr>
                          <w:rFonts w:ascii="Calibri"/>
                          <w:color w:val="77787B"/>
                          <w:spacing w:val="-7"/>
                          <w:w w:val="105"/>
                          <w:sz w:val="16"/>
                        </w:rPr>
                        <w:t> </w:t>
                      </w:r>
                      <w:r>
                        <w:rPr>
                          <w:rFonts w:ascii="Calibri"/>
                          <w:color w:val="77787B"/>
                          <w:w w:val="105"/>
                          <w:sz w:val="16"/>
                        </w:rPr>
                        <w:t>Strait</w:t>
                      </w:r>
                      <w:r>
                        <w:rPr>
                          <w:rFonts w:ascii="Calibri"/>
                          <w:color w:val="77787B"/>
                          <w:spacing w:val="-7"/>
                          <w:w w:val="105"/>
                          <w:sz w:val="16"/>
                        </w:rPr>
                        <w:t> </w:t>
                      </w:r>
                      <w:r>
                        <w:rPr>
                          <w:rFonts w:ascii="Calibri"/>
                          <w:color w:val="77787B"/>
                          <w:spacing w:val="-1"/>
                          <w:w w:val="105"/>
                          <w:sz w:val="16"/>
                        </w:rPr>
                        <w:t>Islander</w:t>
                      </w:r>
                      <w:r>
                        <w:rPr>
                          <w:rFonts w:ascii="Calibri"/>
                          <w:color w:val="77787B"/>
                          <w:spacing w:val="-7"/>
                          <w:w w:val="105"/>
                          <w:sz w:val="16"/>
                        </w:rPr>
                        <w:t> </w:t>
                      </w:r>
                      <w:r>
                        <w:rPr>
                          <w:rFonts w:ascii="Calibri"/>
                          <w:color w:val="77787B"/>
                          <w:spacing w:val="-1"/>
                          <w:w w:val="105"/>
                          <w:sz w:val="16"/>
                        </w:rPr>
                        <w:t>providers</w:t>
                      </w:r>
                      <w:r>
                        <w:rPr>
                          <w:rFonts w:ascii="Calibri"/>
                          <w:sz w:val="16"/>
                        </w:rPr>
                      </w:r>
                    </w:p>
                  </w:txbxContent>
                </v:textbox>
                <w10:wrap type="none"/>
              </v:shape>
              <v:shape style="position:absolute;left:5529;top:4504;width:1510;height:168" type="#_x0000_t202" filled="false" stroked="false">
                <v:textbox inset="0,0,0,0">
                  <w:txbxContent>
                    <w:p>
                      <w:pPr>
                        <w:spacing w:line="167" w:lineRule="exact" w:before="0"/>
                        <w:ind w:left="0" w:right="0" w:firstLine="0"/>
                        <w:jc w:val="left"/>
                        <w:rPr>
                          <w:rFonts w:ascii="Calibri" w:hAnsi="Calibri" w:cs="Calibri" w:eastAsia="Calibri"/>
                          <w:sz w:val="16"/>
                          <w:szCs w:val="16"/>
                        </w:rPr>
                      </w:pPr>
                      <w:r>
                        <w:rPr>
                          <w:rFonts w:ascii="Calibri"/>
                          <w:color w:val="77787B"/>
                          <w:spacing w:val="-1"/>
                          <w:w w:val="105"/>
                          <w:sz w:val="16"/>
                        </w:rPr>
                        <w:t>Mainstream</w:t>
                      </w:r>
                      <w:r>
                        <w:rPr>
                          <w:rFonts w:ascii="Calibri"/>
                          <w:color w:val="77787B"/>
                          <w:spacing w:val="-13"/>
                          <w:w w:val="105"/>
                          <w:sz w:val="16"/>
                        </w:rPr>
                        <w:t> </w:t>
                      </w:r>
                      <w:r>
                        <w:rPr>
                          <w:rFonts w:ascii="Calibri"/>
                          <w:color w:val="77787B"/>
                          <w:spacing w:val="-1"/>
                          <w:w w:val="105"/>
                          <w:sz w:val="16"/>
                        </w:rPr>
                        <w:t>providers</w:t>
                      </w:r>
                      <w:r>
                        <w:rPr>
                          <w:rFonts w:ascii="Calibri"/>
                          <w:sz w:val="16"/>
                        </w:rPr>
                      </w:r>
                    </w:p>
                  </w:txbxContent>
                </v:textbox>
                <w10:wrap type="none"/>
              </v:shape>
            </v:group>
          </v:group>
        </w:pict>
      </w:r>
      <w:r>
        <w:rPr>
          <w:rFonts w:ascii="Segoe UI" w:hAnsi="Segoe UI" w:cs="Segoe UI" w:eastAsia="Segoe UI"/>
          <w:sz w:val="20"/>
          <w:szCs w:val="20"/>
        </w:rPr>
      </w:r>
    </w:p>
    <w:p>
      <w:pPr>
        <w:spacing w:line="240" w:lineRule="auto" w:before="7"/>
        <w:rPr>
          <w:rFonts w:ascii="Segoe UI" w:hAnsi="Segoe UI" w:cs="Segoe UI" w:eastAsia="Segoe UI"/>
          <w:sz w:val="16"/>
          <w:szCs w:val="16"/>
        </w:rPr>
      </w:pPr>
    </w:p>
    <w:p>
      <w:pPr>
        <w:spacing w:after="0" w:line="240" w:lineRule="auto"/>
        <w:rPr>
          <w:rFonts w:ascii="Segoe UI" w:hAnsi="Segoe UI" w:cs="Segoe UI" w:eastAsia="Segoe UI"/>
          <w:sz w:val="16"/>
          <w:szCs w:val="16"/>
        </w:rPr>
        <w:sectPr>
          <w:pgSz w:w="11910" w:h="16840"/>
          <w:pgMar w:header="0" w:footer="691" w:top="1580" w:bottom="880" w:left="1600" w:right="1300"/>
        </w:sectPr>
      </w:pPr>
    </w:p>
    <w:p>
      <w:pPr>
        <w:pStyle w:val="BodyText"/>
        <w:spacing w:line="250" w:lineRule="exact" w:before="65"/>
        <w:ind w:left="100" w:right="30"/>
        <w:jc w:val="left"/>
      </w:pPr>
      <w:r>
        <w:rPr>
          <w:color w:val="231F20"/>
        </w:rPr>
        <w:t>All</w:t>
      </w:r>
      <w:r>
        <w:rPr>
          <w:color w:val="231F20"/>
          <w:spacing w:val="-6"/>
        </w:rPr>
        <w:t> </w:t>
      </w:r>
      <w:r>
        <w:rPr>
          <w:color w:val="231F20"/>
          <w:spacing w:val="-1"/>
        </w:rPr>
        <w:t>mainstream</w:t>
      </w:r>
      <w:r>
        <w:rPr>
          <w:color w:val="231F20"/>
          <w:spacing w:val="-3"/>
        </w:rPr>
        <w:t> </w:t>
      </w:r>
      <w:r>
        <w:rPr>
          <w:color w:val="231F20"/>
        </w:rPr>
        <w:t>boarding</w:t>
      </w:r>
      <w:r>
        <w:rPr>
          <w:color w:val="231F20"/>
          <w:spacing w:val="-5"/>
        </w:rPr>
        <w:t> </w:t>
      </w:r>
      <w:r>
        <w:rPr>
          <w:color w:val="231F20"/>
        </w:rPr>
        <w:t>providers</w:t>
      </w:r>
      <w:r>
        <w:rPr>
          <w:color w:val="231F20"/>
          <w:spacing w:val="-5"/>
        </w:rPr>
        <w:t> </w:t>
      </w:r>
      <w:r>
        <w:rPr>
          <w:color w:val="231F20"/>
        </w:rPr>
        <w:t>had</w:t>
      </w:r>
      <w:r>
        <w:rPr>
          <w:color w:val="231F20"/>
          <w:spacing w:val="-4"/>
        </w:rPr>
        <w:t> </w:t>
      </w:r>
      <w:r>
        <w:rPr>
          <w:color w:val="231F20"/>
        </w:rPr>
        <w:t>a</w:t>
      </w:r>
      <w:r>
        <w:rPr>
          <w:color w:val="231F20"/>
          <w:spacing w:val="22"/>
          <w:w w:val="99"/>
        </w:rPr>
        <w:t> </w:t>
      </w:r>
      <w:r>
        <w:rPr>
          <w:color w:val="231F20"/>
        </w:rPr>
        <w:t>proportion</w:t>
      </w:r>
      <w:r>
        <w:rPr>
          <w:color w:val="231F20"/>
          <w:spacing w:val="-7"/>
        </w:rPr>
        <w:t> </w:t>
      </w:r>
      <w:r>
        <w:rPr>
          <w:color w:val="231F20"/>
        </w:rPr>
        <w:t>of</w:t>
      </w:r>
      <w:r>
        <w:rPr>
          <w:color w:val="231F20"/>
          <w:spacing w:val="-5"/>
        </w:rPr>
        <w:t> </w:t>
      </w:r>
      <w:r>
        <w:rPr>
          <w:color w:val="231F20"/>
        </w:rPr>
        <w:t>Aboriginal</w:t>
      </w:r>
      <w:r>
        <w:rPr>
          <w:color w:val="231F20"/>
          <w:spacing w:val="-6"/>
        </w:rPr>
        <w:t> </w:t>
      </w:r>
      <w:r>
        <w:rPr>
          <w:color w:val="231F20"/>
        </w:rPr>
        <w:t>and</w:t>
      </w:r>
      <w:r>
        <w:rPr>
          <w:color w:val="231F20"/>
          <w:spacing w:val="-6"/>
        </w:rPr>
        <w:t> </w:t>
      </w:r>
      <w:r>
        <w:rPr>
          <w:color w:val="231F20"/>
          <w:spacing w:val="-5"/>
        </w:rPr>
        <w:t>Torres </w:t>
      </w:r>
      <w:r>
        <w:rPr>
          <w:color w:val="231F20"/>
          <w:spacing w:val="-2"/>
        </w:rPr>
        <w:t>Strait</w:t>
      </w:r>
      <w:r>
        <w:rPr>
          <w:color w:val="231F20"/>
          <w:spacing w:val="29"/>
          <w:w w:val="99"/>
        </w:rPr>
        <w:t> </w:t>
      </w:r>
      <w:r>
        <w:rPr>
          <w:color w:val="231F20"/>
          <w:spacing w:val="-1"/>
        </w:rPr>
        <w:t>Islander</w:t>
      </w:r>
      <w:r>
        <w:rPr>
          <w:color w:val="231F20"/>
          <w:spacing w:val="-4"/>
        </w:rPr>
        <w:t> </w:t>
      </w:r>
      <w:r>
        <w:rPr>
          <w:color w:val="231F20"/>
        </w:rPr>
        <w:t>enrolments</w:t>
      </w:r>
      <w:r>
        <w:rPr>
          <w:color w:val="231F20"/>
          <w:spacing w:val="-5"/>
        </w:rPr>
        <w:t> </w:t>
      </w:r>
      <w:r>
        <w:rPr>
          <w:color w:val="231F20"/>
        </w:rPr>
        <w:t>to</w:t>
      </w:r>
      <w:r>
        <w:rPr>
          <w:color w:val="231F20"/>
          <w:spacing w:val="-3"/>
        </w:rPr>
        <w:t> </w:t>
      </w:r>
      <w:r>
        <w:rPr>
          <w:color w:val="231F20"/>
        </w:rPr>
        <w:t>total</w:t>
      </w:r>
      <w:r>
        <w:rPr>
          <w:color w:val="231F20"/>
          <w:spacing w:val="-5"/>
        </w:rPr>
        <w:t> </w:t>
      </w:r>
      <w:r>
        <w:rPr>
          <w:color w:val="231F20"/>
        </w:rPr>
        <w:t>enrolments</w:t>
      </w:r>
      <w:r>
        <w:rPr>
          <w:color w:val="231F20"/>
          <w:spacing w:val="-5"/>
        </w:rPr>
        <w:t> </w:t>
      </w:r>
      <w:r>
        <w:rPr>
          <w:color w:val="231F20"/>
        </w:rPr>
        <w:t>below</w:t>
      </w:r>
      <w:r>
        <w:rPr>
          <w:color w:val="231F20"/>
          <w:spacing w:val="22"/>
          <w:w w:val="99"/>
        </w:rPr>
        <w:t> </w:t>
      </w:r>
      <w:r>
        <w:rPr>
          <w:color w:val="231F20"/>
          <w:spacing w:val="-1"/>
        </w:rPr>
        <w:t>20</w:t>
      </w:r>
      <w:r>
        <w:rPr>
          <w:color w:val="231F20"/>
          <w:spacing w:val="-5"/>
        </w:rPr>
        <w:t> </w:t>
      </w:r>
      <w:r>
        <w:rPr>
          <w:color w:val="231F20"/>
        </w:rPr>
        <w:t>per</w:t>
      </w:r>
      <w:r>
        <w:rPr>
          <w:color w:val="231F20"/>
          <w:spacing w:val="-5"/>
        </w:rPr>
        <w:t> </w:t>
      </w:r>
      <w:r>
        <w:rPr>
          <w:color w:val="231F20"/>
        </w:rPr>
        <w:t>cent.</w:t>
      </w:r>
      <w:r>
        <w:rPr>
          <w:color w:val="231F20"/>
          <w:spacing w:val="-6"/>
        </w:rPr>
        <w:t> </w:t>
      </w:r>
      <w:r>
        <w:rPr>
          <w:color w:val="231F20"/>
        </w:rPr>
        <w:t>The</w:t>
      </w:r>
      <w:r>
        <w:rPr>
          <w:color w:val="231F20"/>
          <w:spacing w:val="-5"/>
        </w:rPr>
        <w:t> </w:t>
      </w:r>
      <w:r>
        <w:rPr>
          <w:color w:val="231F20"/>
        </w:rPr>
        <w:t>proportion</w:t>
      </w:r>
      <w:r>
        <w:rPr>
          <w:color w:val="231F20"/>
          <w:spacing w:val="-6"/>
        </w:rPr>
        <w:t> </w:t>
      </w:r>
      <w:r>
        <w:rPr>
          <w:color w:val="231F20"/>
        </w:rPr>
        <w:t>of</w:t>
      </w:r>
      <w:r>
        <w:rPr>
          <w:color w:val="231F20"/>
          <w:spacing w:val="-5"/>
        </w:rPr>
        <w:t> </w:t>
      </w:r>
      <w:r>
        <w:rPr>
          <w:color w:val="231F20"/>
        </w:rPr>
        <w:t>Aboriginal</w:t>
      </w:r>
      <w:r>
        <w:rPr>
          <w:color w:val="231F20"/>
          <w:spacing w:val="-5"/>
        </w:rPr>
        <w:t> </w:t>
      </w:r>
      <w:r>
        <w:rPr>
          <w:color w:val="231F20"/>
        </w:rPr>
        <w:t>and</w:t>
      </w:r>
      <w:r>
        <w:rPr>
          <w:color w:val="231F20"/>
          <w:spacing w:val="21"/>
          <w:w w:val="99"/>
        </w:rPr>
        <w:t> </w:t>
      </w:r>
      <w:r>
        <w:rPr>
          <w:color w:val="231F20"/>
          <w:spacing w:val="-5"/>
        </w:rPr>
        <w:t>Torres</w:t>
      </w:r>
      <w:r>
        <w:rPr>
          <w:color w:val="231F20"/>
          <w:spacing w:val="-4"/>
        </w:rPr>
        <w:t> </w:t>
      </w:r>
      <w:r>
        <w:rPr>
          <w:color w:val="231F20"/>
          <w:spacing w:val="-2"/>
        </w:rPr>
        <w:t>Strait</w:t>
      </w:r>
      <w:r>
        <w:rPr>
          <w:color w:val="231F20"/>
          <w:spacing w:val="-4"/>
        </w:rPr>
        <w:t> </w:t>
      </w:r>
      <w:r>
        <w:rPr>
          <w:color w:val="231F20"/>
          <w:spacing w:val="-1"/>
        </w:rPr>
        <w:t>Islander</w:t>
      </w:r>
      <w:r>
        <w:rPr>
          <w:color w:val="231F20"/>
          <w:spacing w:val="-4"/>
        </w:rPr>
        <w:t> </w:t>
      </w:r>
      <w:r>
        <w:rPr>
          <w:color w:val="231F20"/>
          <w:spacing w:val="-1"/>
        </w:rPr>
        <w:t>students</w:t>
      </w:r>
      <w:r>
        <w:rPr>
          <w:color w:val="231F20"/>
          <w:spacing w:val="-3"/>
        </w:rPr>
        <w:t> </w:t>
      </w:r>
      <w:r>
        <w:rPr>
          <w:color w:val="231F20"/>
        </w:rPr>
        <w:t>ranged</w:t>
      </w:r>
      <w:r>
        <w:rPr>
          <w:color w:val="231F20"/>
          <w:spacing w:val="-5"/>
        </w:rPr>
        <w:t> </w:t>
      </w:r>
      <w:r>
        <w:rPr>
          <w:color w:val="231F20"/>
        </w:rPr>
        <w:t>from</w:t>
      </w:r>
      <w:r>
        <w:rPr>
          <w:color w:val="231F20"/>
          <w:spacing w:val="-3"/>
        </w:rPr>
        <w:t> </w:t>
      </w:r>
      <w:r>
        <w:rPr>
          <w:color w:val="231F20"/>
        </w:rPr>
        <w:t>1</w:t>
      </w:r>
      <w:r>
        <w:rPr>
          <w:color w:val="231F20"/>
          <w:spacing w:val="23"/>
        </w:rPr>
        <w:t> </w:t>
      </w:r>
      <w:r>
        <w:rPr>
          <w:color w:val="231F20"/>
        </w:rPr>
        <w:t>per</w:t>
      </w:r>
      <w:r>
        <w:rPr>
          <w:color w:val="231F20"/>
          <w:spacing w:val="-3"/>
        </w:rPr>
        <w:t> </w:t>
      </w:r>
      <w:r>
        <w:rPr>
          <w:color w:val="231F20"/>
        </w:rPr>
        <w:t>cent</w:t>
      </w:r>
      <w:r>
        <w:rPr>
          <w:color w:val="231F20"/>
          <w:spacing w:val="-4"/>
        </w:rPr>
        <w:t> </w:t>
      </w:r>
      <w:r>
        <w:rPr>
          <w:color w:val="231F20"/>
        </w:rPr>
        <w:t>to</w:t>
      </w:r>
      <w:r>
        <w:rPr>
          <w:color w:val="231F20"/>
          <w:spacing w:val="-3"/>
        </w:rPr>
        <w:t> </w:t>
      </w:r>
      <w:r>
        <w:rPr>
          <w:color w:val="231F20"/>
          <w:spacing w:val="-1"/>
        </w:rPr>
        <w:t>16</w:t>
      </w:r>
      <w:r>
        <w:rPr>
          <w:color w:val="231F20"/>
          <w:spacing w:val="-3"/>
        </w:rPr>
        <w:t> </w:t>
      </w:r>
      <w:r>
        <w:rPr>
          <w:color w:val="231F20"/>
        </w:rPr>
        <w:t>per</w:t>
      </w:r>
      <w:r>
        <w:rPr>
          <w:color w:val="231F20"/>
          <w:spacing w:val="-3"/>
        </w:rPr>
        <w:t> </w:t>
      </w:r>
      <w:r>
        <w:rPr>
          <w:color w:val="231F20"/>
        </w:rPr>
        <w:t>cent</w:t>
      </w:r>
      <w:r>
        <w:rPr>
          <w:color w:val="231F20"/>
          <w:spacing w:val="-4"/>
        </w:rPr>
        <w:t> </w:t>
      </w:r>
      <w:r>
        <w:rPr>
          <w:color w:val="231F20"/>
        </w:rPr>
        <w:t>and</w:t>
      </w:r>
      <w:r>
        <w:rPr>
          <w:color w:val="231F20"/>
          <w:spacing w:val="-4"/>
        </w:rPr>
        <w:t> </w:t>
      </w:r>
      <w:r>
        <w:rPr>
          <w:color w:val="231F20"/>
        </w:rPr>
        <w:t>the</w:t>
      </w:r>
      <w:r>
        <w:rPr>
          <w:color w:val="231F20"/>
          <w:spacing w:val="-4"/>
        </w:rPr>
        <w:t> </w:t>
      </w:r>
      <w:r>
        <w:rPr>
          <w:color w:val="231F20"/>
          <w:spacing w:val="-1"/>
        </w:rPr>
        <w:t>median</w:t>
      </w:r>
      <w:r>
        <w:rPr>
          <w:color w:val="231F20"/>
          <w:spacing w:val="-3"/>
        </w:rPr>
        <w:t> </w:t>
      </w:r>
      <w:r>
        <w:rPr>
          <w:color w:val="231F20"/>
        </w:rPr>
        <w:t>value</w:t>
      </w:r>
      <w:r>
        <w:rPr>
          <w:color w:val="231F20"/>
          <w:spacing w:val="23"/>
          <w:w w:val="99"/>
        </w:rPr>
        <w:t> </w:t>
      </w:r>
      <w:r>
        <w:rPr>
          <w:color w:val="231F20"/>
        </w:rPr>
        <w:t>was</w:t>
      </w:r>
      <w:r>
        <w:rPr>
          <w:color w:val="231F20"/>
          <w:spacing w:val="-6"/>
        </w:rPr>
        <w:t> </w:t>
      </w:r>
      <w:r>
        <w:rPr>
          <w:color w:val="231F20"/>
          <w:spacing w:val="-1"/>
        </w:rPr>
        <w:t>2.5</w:t>
      </w:r>
      <w:r>
        <w:rPr>
          <w:color w:val="231F20"/>
          <w:spacing w:val="-5"/>
        </w:rPr>
        <w:t> </w:t>
      </w:r>
      <w:r>
        <w:rPr>
          <w:color w:val="231F20"/>
        </w:rPr>
        <w:t>per</w:t>
      </w:r>
      <w:r>
        <w:rPr>
          <w:color w:val="231F20"/>
          <w:spacing w:val="-5"/>
        </w:rPr>
        <w:t> </w:t>
      </w:r>
      <w:r>
        <w:rPr>
          <w:color w:val="231F20"/>
        </w:rPr>
        <w:t>cent</w:t>
      </w:r>
      <w:r>
        <w:rPr>
          <w:color w:val="231F20"/>
          <w:spacing w:val="-6"/>
        </w:rPr>
        <w:t> </w:t>
      </w:r>
      <w:r>
        <w:rPr>
          <w:color w:val="231F20"/>
        </w:rPr>
        <w:t>with</w:t>
      </w:r>
      <w:r>
        <w:rPr>
          <w:color w:val="231F20"/>
          <w:spacing w:val="-5"/>
        </w:rPr>
        <w:t> </w:t>
      </w:r>
      <w:r>
        <w:rPr>
          <w:color w:val="231F20"/>
        </w:rPr>
        <w:t>a</w:t>
      </w:r>
      <w:r>
        <w:rPr>
          <w:color w:val="231F20"/>
          <w:spacing w:val="-5"/>
        </w:rPr>
        <w:t> </w:t>
      </w:r>
      <w:r>
        <w:rPr>
          <w:color w:val="231F20"/>
        </w:rPr>
        <w:t>three-year</w:t>
      </w:r>
      <w:r>
        <w:rPr>
          <w:color w:val="231F20"/>
          <w:spacing w:val="-6"/>
        </w:rPr>
        <w:t> </w:t>
      </w:r>
      <w:r>
        <w:rPr>
          <w:color w:val="231F20"/>
        </w:rPr>
        <w:t>average</w:t>
      </w:r>
      <w:r>
        <w:rPr>
          <w:color w:val="231F20"/>
          <w:spacing w:val="21"/>
          <w:w w:val="99"/>
        </w:rPr>
        <w:t> </w:t>
      </w:r>
      <w:r>
        <w:rPr>
          <w:color w:val="231F20"/>
        </w:rPr>
        <w:t>annual</w:t>
      </w:r>
      <w:r>
        <w:rPr>
          <w:color w:val="231F20"/>
          <w:spacing w:val="-5"/>
        </w:rPr>
        <w:t> </w:t>
      </w:r>
      <w:r>
        <w:rPr>
          <w:color w:val="231F20"/>
        </w:rPr>
        <w:t>cost</w:t>
      </w:r>
      <w:r>
        <w:rPr>
          <w:color w:val="231F20"/>
          <w:spacing w:val="-5"/>
        </w:rPr>
        <w:t> </w:t>
      </w:r>
      <w:r>
        <w:rPr>
          <w:color w:val="231F20"/>
        </w:rPr>
        <w:t>of</w:t>
      </w:r>
      <w:r>
        <w:rPr>
          <w:color w:val="231F20"/>
          <w:spacing w:val="-3"/>
        </w:rPr>
        <w:t> </w:t>
      </w:r>
      <w:r>
        <w:rPr>
          <w:color w:val="231F20"/>
          <w:spacing w:val="-1"/>
        </w:rPr>
        <w:t>$19,381</w:t>
      </w:r>
      <w:r>
        <w:rPr>
          <w:color w:val="231F20"/>
          <w:spacing w:val="-4"/>
        </w:rPr>
        <w:t> </w:t>
      </w:r>
      <w:r>
        <w:rPr>
          <w:color w:val="231F20"/>
        </w:rPr>
        <w:t>per</w:t>
      </w:r>
      <w:r>
        <w:rPr>
          <w:color w:val="231F20"/>
          <w:spacing w:val="-4"/>
        </w:rPr>
        <w:t> </w:t>
      </w:r>
      <w:r>
        <w:rPr>
          <w:color w:val="231F20"/>
        </w:rPr>
        <w:t>boarder.</w:t>
      </w:r>
      <w:r>
        <w:rPr/>
      </w:r>
    </w:p>
    <w:p>
      <w:pPr>
        <w:pStyle w:val="BodyText"/>
        <w:spacing w:line="250" w:lineRule="exact" w:before="113"/>
        <w:ind w:left="100" w:right="13"/>
        <w:jc w:val="left"/>
      </w:pPr>
      <w:r>
        <w:rPr>
          <w:color w:val="231F20"/>
        </w:rPr>
        <w:t>The</w:t>
      </w:r>
      <w:r>
        <w:rPr>
          <w:color w:val="231F20"/>
          <w:spacing w:val="-7"/>
        </w:rPr>
        <w:t> </w:t>
      </w:r>
      <w:r>
        <w:rPr>
          <w:color w:val="231F20"/>
          <w:spacing w:val="-1"/>
        </w:rPr>
        <w:t>shortfall</w:t>
      </w:r>
      <w:r>
        <w:rPr>
          <w:color w:val="231F20"/>
          <w:spacing w:val="-5"/>
        </w:rPr>
        <w:t> </w:t>
      </w:r>
      <w:r>
        <w:rPr>
          <w:color w:val="231F20"/>
        </w:rPr>
        <w:t>per</w:t>
      </w:r>
      <w:r>
        <w:rPr>
          <w:color w:val="231F20"/>
          <w:spacing w:val="-7"/>
        </w:rPr>
        <w:t> </w:t>
      </w:r>
      <w:r>
        <w:rPr>
          <w:color w:val="231F20"/>
        </w:rPr>
        <w:t>boarder</w:t>
      </w:r>
      <w:r>
        <w:rPr>
          <w:color w:val="231F20"/>
          <w:spacing w:val="-6"/>
        </w:rPr>
        <w:t> </w:t>
      </w:r>
      <w:r>
        <w:rPr>
          <w:color w:val="231F20"/>
        </w:rPr>
        <w:t>between</w:t>
      </w:r>
      <w:r>
        <w:rPr>
          <w:color w:val="231F20"/>
          <w:spacing w:val="-7"/>
        </w:rPr>
        <w:t> </w:t>
      </w:r>
      <w:r>
        <w:rPr>
          <w:color w:val="231F20"/>
        </w:rPr>
        <w:t>revenue</w:t>
      </w:r>
      <w:r>
        <w:rPr>
          <w:color w:val="231F20"/>
          <w:spacing w:val="-8"/>
        </w:rPr>
        <w:t> </w:t>
      </w:r>
      <w:r>
        <w:rPr>
          <w:color w:val="231F20"/>
        </w:rPr>
        <w:t>and</w:t>
      </w:r>
      <w:r>
        <w:rPr>
          <w:color w:val="231F20"/>
          <w:spacing w:val="22"/>
          <w:w w:val="99"/>
        </w:rPr>
        <w:t> </w:t>
      </w:r>
      <w:r>
        <w:rPr>
          <w:color w:val="231F20"/>
        </w:rPr>
        <w:t>costs</w:t>
      </w:r>
      <w:r>
        <w:rPr>
          <w:color w:val="231F20"/>
          <w:spacing w:val="-6"/>
        </w:rPr>
        <w:t> </w:t>
      </w:r>
      <w:r>
        <w:rPr>
          <w:color w:val="231F20"/>
        </w:rPr>
        <w:t>for</w:t>
      </w:r>
      <w:r>
        <w:rPr>
          <w:color w:val="231F20"/>
          <w:spacing w:val="-4"/>
        </w:rPr>
        <w:t> </w:t>
      </w:r>
      <w:r>
        <w:rPr>
          <w:color w:val="231F20"/>
        </w:rPr>
        <w:t>Aboriginal</w:t>
      </w:r>
      <w:r>
        <w:rPr>
          <w:color w:val="231F20"/>
          <w:spacing w:val="-4"/>
        </w:rPr>
        <w:t> </w:t>
      </w:r>
      <w:r>
        <w:rPr>
          <w:color w:val="231F20"/>
        </w:rPr>
        <w:t>and</w:t>
      </w:r>
      <w:r>
        <w:rPr>
          <w:color w:val="231F20"/>
          <w:spacing w:val="-5"/>
        </w:rPr>
        <w:t> 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29"/>
          <w:w w:val="99"/>
        </w:rPr>
        <w:t> </w:t>
      </w:r>
      <w:r>
        <w:rPr>
          <w:color w:val="231F20"/>
        </w:rPr>
        <w:t>boarding</w:t>
      </w:r>
      <w:r>
        <w:rPr>
          <w:color w:val="231F20"/>
          <w:spacing w:val="-8"/>
        </w:rPr>
        <w:t> </w:t>
      </w:r>
      <w:r>
        <w:rPr>
          <w:color w:val="231F20"/>
        </w:rPr>
        <w:t>providers</w:t>
      </w:r>
      <w:r>
        <w:rPr>
          <w:color w:val="231F20"/>
          <w:spacing w:val="-7"/>
        </w:rPr>
        <w:t> </w:t>
      </w:r>
      <w:r>
        <w:rPr>
          <w:color w:val="231F20"/>
        </w:rPr>
        <w:t>was</w:t>
      </w:r>
      <w:r>
        <w:rPr>
          <w:color w:val="231F20"/>
          <w:spacing w:val="-7"/>
        </w:rPr>
        <w:t> </w:t>
      </w:r>
      <w:r>
        <w:rPr>
          <w:color w:val="231F20"/>
        </w:rPr>
        <w:t>on</w:t>
      </w:r>
      <w:r>
        <w:rPr>
          <w:color w:val="231F20"/>
          <w:spacing w:val="-6"/>
        </w:rPr>
        <w:t> </w:t>
      </w:r>
      <w:r>
        <w:rPr>
          <w:color w:val="231F20"/>
        </w:rPr>
        <w:t>average</w:t>
      </w:r>
      <w:r>
        <w:rPr>
          <w:color w:val="231F20"/>
          <w:spacing w:val="-7"/>
        </w:rPr>
        <w:t> </w:t>
      </w:r>
      <w:r>
        <w:rPr>
          <w:color w:val="231F20"/>
        </w:rPr>
        <w:t>higher</w:t>
      </w:r>
      <w:r>
        <w:rPr>
          <w:color w:val="231F20"/>
          <w:spacing w:val="-8"/>
        </w:rPr>
        <w:t> </w:t>
      </w:r>
      <w:r>
        <w:rPr>
          <w:color w:val="231F20"/>
        </w:rPr>
        <w:t>for</w:t>
      </w:r>
      <w:r>
        <w:rPr>
          <w:color w:val="231F20"/>
          <w:w w:val="99"/>
        </w:rPr>
        <w:t> </w:t>
      </w:r>
      <w:r>
        <w:rPr>
          <w:color w:val="231F20"/>
        </w:rPr>
        <w:t>providers</w:t>
      </w:r>
      <w:r>
        <w:rPr>
          <w:color w:val="231F20"/>
          <w:spacing w:val="-6"/>
        </w:rPr>
        <w:t> </w:t>
      </w:r>
      <w:r>
        <w:rPr>
          <w:color w:val="231F20"/>
        </w:rPr>
        <w:t>with</w:t>
      </w:r>
      <w:r>
        <w:rPr>
          <w:color w:val="231F20"/>
          <w:spacing w:val="-5"/>
        </w:rPr>
        <w:t> </w:t>
      </w:r>
      <w:r>
        <w:rPr>
          <w:color w:val="231F20"/>
        </w:rPr>
        <w:t>a</w:t>
      </w:r>
      <w:r>
        <w:rPr>
          <w:color w:val="231F20"/>
          <w:spacing w:val="-4"/>
        </w:rPr>
        <w:t> </w:t>
      </w:r>
      <w:r>
        <w:rPr>
          <w:color w:val="231F20"/>
          <w:spacing w:val="-1"/>
        </w:rPr>
        <w:t>medium</w:t>
      </w:r>
      <w:r>
        <w:rPr>
          <w:color w:val="231F20"/>
          <w:spacing w:val="-5"/>
        </w:rPr>
        <w:t> </w:t>
      </w:r>
      <w:r>
        <w:rPr>
          <w:color w:val="231F20"/>
        </w:rPr>
        <w:t>or</w:t>
      </w:r>
      <w:r>
        <w:rPr>
          <w:color w:val="231F20"/>
          <w:spacing w:val="-4"/>
        </w:rPr>
        <w:t> </w:t>
      </w:r>
      <w:r>
        <w:rPr>
          <w:color w:val="231F20"/>
        </w:rPr>
        <w:t>high</w:t>
      </w:r>
      <w:r>
        <w:rPr>
          <w:color w:val="231F20"/>
          <w:spacing w:val="-5"/>
        </w:rPr>
        <w:t> </w:t>
      </w:r>
      <w:r>
        <w:rPr>
          <w:color w:val="231F20"/>
        </w:rPr>
        <w:t>proportion</w:t>
      </w:r>
      <w:r>
        <w:rPr>
          <w:color w:val="231F20"/>
          <w:spacing w:val="-6"/>
        </w:rPr>
        <w:t> </w:t>
      </w:r>
      <w:r>
        <w:rPr>
          <w:color w:val="231F20"/>
        </w:rPr>
        <w:t>of</w:t>
      </w:r>
      <w:r>
        <w:rPr>
          <w:color w:val="231F20"/>
          <w:spacing w:val="21"/>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boarders.</w:t>
      </w:r>
      <w:r>
        <w:rPr>
          <w:color w:val="231F20"/>
          <w:spacing w:val="21"/>
          <w:w w:val="99"/>
        </w:rPr>
        <w:t> </w:t>
      </w:r>
      <w:r>
        <w:rPr>
          <w:color w:val="231F20"/>
        </w:rPr>
        <w:t>The</w:t>
      </w:r>
      <w:r>
        <w:rPr>
          <w:color w:val="231F20"/>
          <w:spacing w:val="-6"/>
        </w:rPr>
        <w:t> </w:t>
      </w:r>
      <w:r>
        <w:rPr>
          <w:color w:val="231F20"/>
        </w:rPr>
        <w:t>three</w:t>
      </w:r>
      <w:r>
        <w:rPr>
          <w:color w:val="231F20"/>
          <w:spacing w:val="-7"/>
        </w:rPr>
        <w:t> </w:t>
      </w:r>
      <w:r>
        <w:rPr>
          <w:color w:val="231F20"/>
        </w:rPr>
        <w:t>year</w:t>
      </w:r>
      <w:r>
        <w:rPr>
          <w:color w:val="231F20"/>
          <w:spacing w:val="-6"/>
        </w:rPr>
        <w:t> </w:t>
      </w:r>
      <w:r>
        <w:rPr>
          <w:color w:val="231F20"/>
        </w:rPr>
        <w:t>average</w:t>
      </w:r>
      <w:r>
        <w:rPr>
          <w:color w:val="231F20"/>
          <w:spacing w:val="-7"/>
        </w:rPr>
        <w:t> </w:t>
      </w:r>
      <w:r>
        <w:rPr>
          <w:color w:val="231F20"/>
          <w:spacing w:val="-1"/>
        </w:rPr>
        <w:t>shortfall</w:t>
      </w:r>
      <w:r>
        <w:rPr>
          <w:color w:val="231F20"/>
          <w:spacing w:val="-5"/>
        </w:rPr>
        <w:t> </w:t>
      </w:r>
      <w:r>
        <w:rPr>
          <w:color w:val="231F20"/>
        </w:rPr>
        <w:t>per</w:t>
      </w:r>
      <w:r>
        <w:rPr>
          <w:color w:val="231F20"/>
          <w:spacing w:val="-6"/>
        </w:rPr>
        <w:t> </w:t>
      </w:r>
      <w:r>
        <w:rPr>
          <w:color w:val="231F20"/>
        </w:rPr>
        <w:t>boarder</w:t>
      </w:r>
      <w:r>
        <w:rPr>
          <w:color w:val="231F20"/>
          <w:spacing w:val="22"/>
          <w:w w:val="99"/>
        </w:rPr>
        <w:t> </w:t>
      </w:r>
      <w:r>
        <w:rPr>
          <w:color w:val="231F20"/>
        </w:rPr>
        <w:t>across</w:t>
      </w:r>
      <w:r>
        <w:rPr>
          <w:color w:val="231F20"/>
          <w:spacing w:val="-7"/>
        </w:rPr>
        <w:t> </w:t>
      </w:r>
      <w:r>
        <w:rPr>
          <w:color w:val="231F20"/>
          <w:spacing w:val="-1"/>
        </w:rPr>
        <w:t>2015—2017</w:t>
      </w:r>
      <w:r>
        <w:rPr>
          <w:color w:val="231F20"/>
          <w:spacing w:val="-6"/>
        </w:rPr>
        <w:t> </w:t>
      </w:r>
      <w:r>
        <w:rPr>
          <w:color w:val="231F20"/>
        </w:rPr>
        <w:t>by</w:t>
      </w:r>
      <w:r>
        <w:rPr>
          <w:color w:val="231F20"/>
          <w:spacing w:val="-5"/>
        </w:rPr>
        <w:t> </w:t>
      </w:r>
      <w:r>
        <w:rPr>
          <w:color w:val="231F20"/>
        </w:rPr>
        <w:t>proportion</w:t>
      </w:r>
      <w:r>
        <w:rPr>
          <w:color w:val="231F20"/>
          <w:spacing w:val="-7"/>
        </w:rPr>
        <w:t> </w:t>
      </w:r>
      <w:r>
        <w:rPr>
          <w:color w:val="231F20"/>
        </w:rPr>
        <w:t>of</w:t>
      </w:r>
      <w:r>
        <w:rPr>
          <w:color w:val="231F20"/>
          <w:spacing w:val="-6"/>
        </w:rPr>
        <w:t> </w:t>
      </w:r>
      <w:r>
        <w:rPr>
          <w:color w:val="231F20"/>
        </w:rPr>
        <w:t>Aboriginal</w:t>
      </w:r>
      <w:r>
        <w:rPr>
          <w:color w:val="231F20"/>
          <w:spacing w:val="22"/>
          <w:w w:val="99"/>
        </w:rPr>
        <w:t> </w:t>
      </w:r>
      <w:r>
        <w:rPr>
          <w:color w:val="231F20"/>
        </w:rPr>
        <w:t>and</w:t>
      </w:r>
      <w:r>
        <w:rPr>
          <w:color w:val="231F20"/>
          <w:spacing w:val="-4"/>
        </w:rPr>
        <w:t> </w:t>
      </w:r>
      <w:r>
        <w:rPr>
          <w:color w:val="231F20"/>
          <w:spacing w:val="-5"/>
        </w:rPr>
        <w:t>Torres</w:t>
      </w:r>
      <w:r>
        <w:rPr>
          <w:color w:val="231F20"/>
          <w:spacing w:val="-3"/>
        </w:rPr>
        <w:t> </w:t>
      </w:r>
      <w:r>
        <w:rPr>
          <w:color w:val="231F20"/>
          <w:spacing w:val="-2"/>
        </w:rPr>
        <w:t>Strait</w:t>
      </w:r>
      <w:r>
        <w:rPr>
          <w:color w:val="231F20"/>
          <w:spacing w:val="-4"/>
        </w:rPr>
        <w:t> </w:t>
      </w:r>
      <w:r>
        <w:rPr>
          <w:color w:val="231F20"/>
          <w:spacing w:val="-1"/>
        </w:rPr>
        <w:t>Islander</w:t>
      </w:r>
      <w:r>
        <w:rPr>
          <w:color w:val="231F20"/>
          <w:spacing w:val="-3"/>
        </w:rPr>
        <w:t> </w:t>
      </w:r>
      <w:r>
        <w:rPr>
          <w:color w:val="231F20"/>
          <w:spacing w:val="-1"/>
        </w:rPr>
        <w:t>students</w:t>
      </w:r>
      <w:r>
        <w:rPr>
          <w:color w:val="231F20"/>
          <w:spacing w:val="-2"/>
        </w:rPr>
        <w:t> </w:t>
      </w:r>
      <w:r>
        <w:rPr>
          <w:color w:val="231F20"/>
        </w:rPr>
        <w:t>was</w:t>
      </w:r>
      <w:r>
        <w:rPr>
          <w:color w:val="231F20"/>
          <w:spacing w:val="-4"/>
        </w:rPr>
        <w:t> </w:t>
      </w:r>
      <w:r>
        <w:rPr>
          <w:color w:val="231F20"/>
          <w:spacing w:val="-1"/>
        </w:rPr>
        <w:t>$5,934</w:t>
      </w:r>
      <w:r>
        <w:rPr>
          <w:color w:val="231F20"/>
          <w:spacing w:val="22"/>
        </w:rPr>
        <w:t> </w:t>
      </w:r>
      <w:r>
        <w:rPr>
          <w:color w:val="231F20"/>
        </w:rPr>
        <w:t>(high),</w:t>
      </w:r>
      <w:r>
        <w:rPr>
          <w:color w:val="231F20"/>
          <w:spacing w:val="-4"/>
        </w:rPr>
        <w:t> </w:t>
      </w:r>
      <w:r>
        <w:rPr>
          <w:color w:val="231F20"/>
          <w:spacing w:val="-1"/>
        </w:rPr>
        <w:t>$6,762</w:t>
      </w:r>
      <w:r>
        <w:rPr>
          <w:color w:val="231F20"/>
          <w:spacing w:val="-3"/>
        </w:rPr>
        <w:t> </w:t>
      </w:r>
      <w:r>
        <w:rPr>
          <w:color w:val="231F20"/>
        </w:rPr>
        <w:t>(medium)</w:t>
      </w:r>
      <w:r>
        <w:rPr>
          <w:color w:val="231F20"/>
          <w:spacing w:val="-4"/>
        </w:rPr>
        <w:t> </w:t>
      </w:r>
      <w:r>
        <w:rPr>
          <w:color w:val="231F20"/>
        </w:rPr>
        <w:t>and</w:t>
      </w:r>
      <w:r>
        <w:rPr>
          <w:color w:val="231F20"/>
          <w:spacing w:val="-3"/>
        </w:rPr>
        <w:t> </w:t>
      </w:r>
      <w:r>
        <w:rPr>
          <w:color w:val="231F20"/>
          <w:spacing w:val="-1"/>
        </w:rPr>
        <w:t>$4,226</w:t>
      </w:r>
      <w:r>
        <w:rPr>
          <w:color w:val="231F20"/>
          <w:spacing w:val="-3"/>
        </w:rPr>
        <w:t> </w:t>
      </w:r>
      <w:r>
        <w:rPr>
          <w:color w:val="231F20"/>
        </w:rPr>
        <w:t>(low).</w:t>
      </w:r>
      <w:r>
        <w:rPr/>
      </w:r>
    </w:p>
    <w:p>
      <w:pPr>
        <w:pStyle w:val="BodyText"/>
        <w:spacing w:line="250" w:lineRule="exact" w:before="113"/>
        <w:ind w:left="100" w:right="30"/>
        <w:jc w:val="left"/>
      </w:pPr>
      <w:r>
        <w:rPr>
          <w:color w:val="231F20"/>
        </w:rPr>
        <w:t>There</w:t>
      </w:r>
      <w:r>
        <w:rPr>
          <w:color w:val="231F20"/>
          <w:spacing w:val="-4"/>
        </w:rPr>
        <w:t> </w:t>
      </w:r>
      <w:r>
        <w:rPr>
          <w:color w:val="231F20"/>
          <w:spacing w:val="-1"/>
        </w:rPr>
        <w:t>is</w:t>
      </w:r>
      <w:r>
        <w:rPr>
          <w:color w:val="231F20"/>
          <w:spacing w:val="-5"/>
        </w:rPr>
        <w:t> </w:t>
      </w:r>
      <w:r>
        <w:rPr>
          <w:color w:val="231F20"/>
        </w:rPr>
        <w:t>no</w:t>
      </w:r>
      <w:r>
        <w:rPr>
          <w:color w:val="231F20"/>
          <w:spacing w:val="-4"/>
        </w:rPr>
        <w:t> </w:t>
      </w:r>
      <w:r>
        <w:rPr>
          <w:color w:val="231F20"/>
          <w:spacing w:val="-1"/>
        </w:rPr>
        <w:t>indication</w:t>
      </w:r>
      <w:r>
        <w:rPr>
          <w:color w:val="231F20"/>
          <w:spacing w:val="-4"/>
        </w:rPr>
        <w:t> </w:t>
      </w:r>
      <w:r>
        <w:rPr>
          <w:color w:val="231F20"/>
        </w:rPr>
        <w:t>that</w:t>
      </w:r>
      <w:r>
        <w:rPr>
          <w:color w:val="231F20"/>
          <w:spacing w:val="-5"/>
        </w:rPr>
        <w:t> </w:t>
      </w:r>
      <w:r>
        <w:rPr>
          <w:color w:val="231F20"/>
        </w:rPr>
        <w:t>there</w:t>
      </w:r>
      <w:r>
        <w:rPr>
          <w:color w:val="231F20"/>
          <w:spacing w:val="-5"/>
        </w:rPr>
        <w:t> </w:t>
      </w:r>
      <w:r>
        <w:rPr>
          <w:color w:val="231F20"/>
        </w:rPr>
        <w:t>are</w:t>
      </w:r>
      <w:r>
        <w:rPr>
          <w:color w:val="231F20"/>
          <w:spacing w:val="-4"/>
        </w:rPr>
        <w:t> </w:t>
      </w:r>
      <w:r>
        <w:rPr>
          <w:color w:val="231F20"/>
        </w:rPr>
        <w:t>economies</w:t>
      </w:r>
      <w:r>
        <w:rPr>
          <w:color w:val="231F20"/>
          <w:spacing w:val="23"/>
        </w:rPr>
        <w:t> </w:t>
      </w:r>
      <w:r>
        <w:rPr>
          <w:color w:val="231F20"/>
        </w:rPr>
        <w:t>of</w:t>
      </w:r>
      <w:r>
        <w:rPr>
          <w:color w:val="231F20"/>
          <w:spacing w:val="-6"/>
        </w:rPr>
        <w:t> </w:t>
      </w:r>
      <w:r>
        <w:rPr>
          <w:color w:val="231F20"/>
          <w:spacing w:val="-1"/>
        </w:rPr>
        <w:t>scale</w:t>
      </w:r>
      <w:r>
        <w:rPr>
          <w:color w:val="231F20"/>
          <w:spacing w:val="-6"/>
        </w:rPr>
        <w:t> </w:t>
      </w:r>
      <w:r>
        <w:rPr>
          <w:color w:val="231F20"/>
        </w:rPr>
        <w:t>achieved</w:t>
      </w:r>
      <w:r>
        <w:rPr>
          <w:color w:val="231F20"/>
          <w:spacing w:val="-6"/>
        </w:rPr>
        <w:t> </w:t>
      </w:r>
      <w:r>
        <w:rPr>
          <w:color w:val="231F20"/>
        </w:rPr>
        <w:t>by</w:t>
      </w:r>
      <w:r>
        <w:rPr>
          <w:color w:val="231F20"/>
          <w:spacing w:val="-6"/>
        </w:rPr>
        <w:t> </w:t>
      </w:r>
      <w:r>
        <w:rPr>
          <w:color w:val="231F20"/>
          <w:spacing w:val="-1"/>
        </w:rPr>
        <w:t>increasing</w:t>
      </w:r>
      <w:r>
        <w:rPr>
          <w:color w:val="231F20"/>
          <w:spacing w:val="-5"/>
        </w:rPr>
        <w:t> </w:t>
      </w:r>
      <w:r>
        <w:rPr>
          <w:color w:val="231F20"/>
        </w:rPr>
        <w:t>the</w:t>
      </w:r>
      <w:r>
        <w:rPr>
          <w:color w:val="231F20"/>
          <w:spacing w:val="-7"/>
        </w:rPr>
        <w:t> </w:t>
      </w:r>
      <w:r>
        <w:rPr>
          <w:color w:val="231F20"/>
        </w:rPr>
        <w:t>proportion</w:t>
      </w:r>
      <w:r>
        <w:rPr>
          <w:color w:val="231F20"/>
          <w:spacing w:val="23"/>
          <w:w w:val="99"/>
        </w:rPr>
        <w:t> </w:t>
      </w:r>
      <w:r>
        <w:rPr>
          <w:color w:val="231F20"/>
        </w:rPr>
        <w:t>of</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29"/>
          <w:w w:val="99"/>
        </w:rPr>
        <w:t> </w:t>
      </w:r>
      <w:r>
        <w:rPr>
          <w:color w:val="231F20"/>
        </w:rPr>
        <w:t>boarders.</w:t>
      </w:r>
      <w:r>
        <w:rPr>
          <w:color w:val="231F20"/>
          <w:spacing w:val="-7"/>
        </w:rPr>
        <w:t> </w:t>
      </w:r>
      <w:r>
        <w:rPr>
          <w:color w:val="231F20"/>
        </w:rPr>
        <w:t>The</w:t>
      </w:r>
      <w:r>
        <w:rPr>
          <w:color w:val="231F20"/>
          <w:spacing w:val="-6"/>
        </w:rPr>
        <w:t> </w:t>
      </w:r>
      <w:r>
        <w:rPr>
          <w:color w:val="231F20"/>
        </w:rPr>
        <w:t>data</w:t>
      </w:r>
      <w:r>
        <w:rPr>
          <w:color w:val="231F20"/>
          <w:spacing w:val="-6"/>
        </w:rPr>
        <w:t> </w:t>
      </w:r>
      <w:r>
        <w:rPr>
          <w:color w:val="231F20"/>
          <w:spacing w:val="-1"/>
        </w:rPr>
        <w:t>supports</w:t>
      </w:r>
      <w:r>
        <w:rPr>
          <w:color w:val="231F20"/>
          <w:spacing w:val="-6"/>
        </w:rPr>
        <w:t> </w:t>
      </w:r>
      <w:r>
        <w:rPr>
          <w:color w:val="231F20"/>
          <w:spacing w:val="-1"/>
        </w:rPr>
        <w:t>suggestions</w:t>
      </w:r>
      <w:r>
        <w:rPr>
          <w:color w:val="231F20"/>
          <w:spacing w:val="-5"/>
        </w:rPr>
        <w:t> </w:t>
      </w:r>
      <w:r>
        <w:rPr>
          <w:color w:val="231F20"/>
          <w:spacing w:val="-1"/>
        </w:rPr>
        <w:t>made</w:t>
      </w:r>
      <w:r>
        <w:rPr>
          <w:color w:val="231F20"/>
          <w:spacing w:val="22"/>
          <w:w w:val="99"/>
        </w:rPr>
        <w:t> </w:t>
      </w:r>
      <w:r>
        <w:rPr>
          <w:color w:val="231F20"/>
        </w:rPr>
        <w:t>by</w:t>
      </w:r>
      <w:r>
        <w:rPr>
          <w:color w:val="231F20"/>
          <w:spacing w:val="-6"/>
        </w:rPr>
        <w:t> </w:t>
      </w:r>
      <w:r>
        <w:rPr>
          <w:color w:val="231F20"/>
          <w:spacing w:val="-1"/>
        </w:rPr>
        <w:t>some</w:t>
      </w:r>
      <w:r>
        <w:rPr>
          <w:color w:val="231F20"/>
          <w:spacing w:val="-6"/>
        </w:rPr>
        <w:t> </w:t>
      </w:r>
      <w:r>
        <w:rPr>
          <w:color w:val="231F20"/>
        </w:rPr>
        <w:t>boarding</w:t>
      </w:r>
      <w:r>
        <w:rPr>
          <w:color w:val="231F20"/>
          <w:spacing w:val="-7"/>
        </w:rPr>
        <w:t> </w:t>
      </w:r>
      <w:r>
        <w:rPr>
          <w:color w:val="231F20"/>
        </w:rPr>
        <w:t>providers</w:t>
      </w:r>
      <w:r>
        <w:rPr>
          <w:color w:val="231F20"/>
          <w:spacing w:val="-7"/>
        </w:rPr>
        <w:t> </w:t>
      </w:r>
      <w:r>
        <w:rPr>
          <w:color w:val="231F20"/>
        </w:rPr>
        <w:t>that</w:t>
      </w:r>
      <w:r>
        <w:rPr>
          <w:color w:val="231F20"/>
          <w:spacing w:val="-6"/>
        </w:rPr>
        <w:t> </w:t>
      </w:r>
      <w:r>
        <w:rPr>
          <w:color w:val="231F20"/>
        </w:rPr>
        <w:t>funding</w:t>
      </w:r>
      <w:r>
        <w:rPr/>
      </w:r>
    </w:p>
    <w:p>
      <w:pPr>
        <w:pStyle w:val="BodyText"/>
        <w:spacing w:line="250" w:lineRule="exact"/>
        <w:ind w:left="100" w:right="30"/>
        <w:jc w:val="left"/>
      </w:pPr>
      <w:r>
        <w:rPr>
          <w:color w:val="231F20"/>
        </w:rPr>
        <w:t>for</w:t>
      </w:r>
      <w:r>
        <w:rPr>
          <w:color w:val="231F20"/>
          <w:spacing w:val="-5"/>
        </w:rPr>
        <w:t> </w:t>
      </w:r>
      <w:r>
        <w:rPr>
          <w:color w:val="231F20"/>
        </w:rPr>
        <w:t>boarding</w:t>
      </w:r>
      <w:r>
        <w:rPr>
          <w:color w:val="231F20"/>
          <w:spacing w:val="-6"/>
        </w:rPr>
        <w:t> </w:t>
      </w:r>
      <w:r>
        <w:rPr>
          <w:color w:val="231F20"/>
        </w:rPr>
        <w:t>at</w:t>
      </w:r>
      <w:r>
        <w:rPr>
          <w:color w:val="231F20"/>
          <w:spacing w:val="-4"/>
        </w:rPr>
        <w:t> </w:t>
      </w:r>
      <w:r>
        <w:rPr>
          <w:color w:val="231F20"/>
        </w:rPr>
        <w:t>Aboriginal</w:t>
      </w:r>
      <w:r>
        <w:rPr>
          <w:color w:val="231F20"/>
          <w:spacing w:val="-5"/>
        </w:rPr>
        <w:t> </w:t>
      </w:r>
      <w:r>
        <w:rPr>
          <w:color w:val="231F20"/>
        </w:rPr>
        <w:t>and</w:t>
      </w:r>
      <w:r>
        <w:rPr>
          <w:color w:val="231F20"/>
          <w:spacing w:val="-6"/>
        </w:rPr>
        <w:t> </w:t>
      </w:r>
      <w:r>
        <w:rPr>
          <w:color w:val="231F20"/>
          <w:spacing w:val="-5"/>
        </w:rPr>
        <w:t>Torres</w:t>
      </w:r>
      <w:r>
        <w:rPr>
          <w:color w:val="231F20"/>
          <w:spacing w:val="-4"/>
        </w:rPr>
        <w:t> </w:t>
      </w:r>
      <w:r>
        <w:rPr>
          <w:color w:val="231F20"/>
          <w:spacing w:val="-2"/>
        </w:rPr>
        <w:t>Strait</w:t>
      </w:r>
      <w:r>
        <w:rPr>
          <w:color w:val="231F20"/>
          <w:spacing w:val="28"/>
          <w:w w:val="99"/>
        </w:rPr>
        <w:t> </w:t>
      </w:r>
      <w:r>
        <w:rPr>
          <w:color w:val="231F20"/>
          <w:spacing w:val="-1"/>
        </w:rPr>
        <w:t>Islander</w:t>
      </w:r>
      <w:r>
        <w:rPr>
          <w:color w:val="231F20"/>
          <w:spacing w:val="-6"/>
        </w:rPr>
        <w:t> </w:t>
      </w:r>
      <w:r>
        <w:rPr>
          <w:color w:val="231F20"/>
        </w:rPr>
        <w:t>boarding</w:t>
      </w:r>
      <w:r>
        <w:rPr>
          <w:color w:val="231F20"/>
          <w:spacing w:val="-7"/>
        </w:rPr>
        <w:t> </w:t>
      </w:r>
      <w:r>
        <w:rPr>
          <w:color w:val="231F20"/>
          <w:spacing w:val="-1"/>
        </w:rPr>
        <w:t>should</w:t>
      </w:r>
      <w:r>
        <w:rPr>
          <w:color w:val="231F20"/>
          <w:spacing w:val="-5"/>
        </w:rPr>
        <w:t> </w:t>
      </w:r>
      <w:r>
        <w:rPr>
          <w:color w:val="231F20"/>
        </w:rPr>
        <w:t>attract</w:t>
      </w:r>
      <w:r>
        <w:rPr>
          <w:color w:val="231F20"/>
          <w:spacing w:val="-7"/>
        </w:rPr>
        <w:t> </w:t>
      </w:r>
      <w:r>
        <w:rPr>
          <w:color w:val="231F20"/>
        </w:rPr>
        <w:t>a</w:t>
      </w:r>
      <w:r>
        <w:rPr>
          <w:color w:val="231F20"/>
          <w:spacing w:val="-6"/>
        </w:rPr>
        <w:t> </w:t>
      </w:r>
      <w:r>
        <w:rPr>
          <w:color w:val="231F20"/>
          <w:spacing w:val="-1"/>
        </w:rPr>
        <w:t>loading</w:t>
      </w:r>
      <w:r>
        <w:rPr>
          <w:color w:val="231F20"/>
          <w:spacing w:val="22"/>
          <w:w w:val="99"/>
        </w:rPr>
        <w:t> </w:t>
      </w:r>
      <w:r>
        <w:rPr>
          <w:color w:val="231F20"/>
        </w:rPr>
        <w:t>based</w:t>
      </w:r>
      <w:r>
        <w:rPr>
          <w:color w:val="231F20"/>
          <w:spacing w:val="-7"/>
        </w:rPr>
        <w:t> </w:t>
      </w:r>
      <w:r>
        <w:rPr>
          <w:color w:val="231F20"/>
        </w:rPr>
        <w:t>on</w:t>
      </w:r>
      <w:r>
        <w:rPr>
          <w:color w:val="231F20"/>
          <w:spacing w:val="-6"/>
        </w:rPr>
        <w:t> </w:t>
      </w:r>
      <w:r>
        <w:rPr>
          <w:color w:val="231F20"/>
        </w:rPr>
        <w:t>the</w:t>
      </w:r>
      <w:r>
        <w:rPr>
          <w:color w:val="231F20"/>
          <w:spacing w:val="-7"/>
        </w:rPr>
        <w:t> </w:t>
      </w:r>
      <w:r>
        <w:rPr>
          <w:color w:val="231F20"/>
        </w:rPr>
        <w:t>proportion</w:t>
      </w:r>
      <w:r>
        <w:rPr>
          <w:color w:val="231F20"/>
          <w:spacing w:val="-6"/>
        </w:rPr>
        <w:t> </w:t>
      </w:r>
      <w:r>
        <w:rPr>
          <w:color w:val="231F20"/>
        </w:rPr>
        <w:t>of</w:t>
      </w:r>
      <w:r>
        <w:rPr>
          <w:color w:val="231F20"/>
          <w:spacing w:val="-6"/>
        </w:rPr>
        <w:t> </w:t>
      </w:r>
      <w:r>
        <w:rPr>
          <w:color w:val="231F20"/>
        </w:rPr>
        <w:t>Aboriginal</w:t>
      </w:r>
      <w:r>
        <w:rPr>
          <w:color w:val="231F20"/>
          <w:spacing w:val="-6"/>
        </w:rPr>
        <w:t> </w:t>
      </w:r>
      <w:r>
        <w:rPr>
          <w:color w:val="231F20"/>
        </w:rPr>
        <w:t>and</w:t>
      </w:r>
      <w:r>
        <w:rPr>
          <w:color w:val="231F20"/>
          <w:w w:val="99"/>
        </w:rPr>
        <w:t> </w:t>
      </w:r>
      <w:r>
        <w:rPr>
          <w:color w:val="231F20"/>
          <w:spacing w:val="-5"/>
        </w:rPr>
        <w:t>Torres</w:t>
      </w:r>
      <w:r>
        <w:rPr>
          <w:color w:val="231F20"/>
          <w:spacing w:val="-7"/>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boarders.</w:t>
      </w:r>
      <w:r>
        <w:rPr/>
      </w:r>
    </w:p>
    <w:p>
      <w:pPr>
        <w:pStyle w:val="BodyText"/>
        <w:spacing w:line="250" w:lineRule="exact" w:before="113"/>
        <w:ind w:left="100" w:right="0"/>
        <w:jc w:val="left"/>
      </w:pPr>
      <w:r>
        <w:rPr>
          <w:color w:val="231F20"/>
        </w:rPr>
        <w:t>As</w:t>
      </w:r>
      <w:r>
        <w:rPr>
          <w:color w:val="231F20"/>
          <w:spacing w:val="-10"/>
        </w:rPr>
        <w:t> </w:t>
      </w:r>
      <w:r>
        <w:rPr>
          <w:color w:val="231F20"/>
        </w:rPr>
        <w:t>with</w:t>
      </w:r>
      <w:r>
        <w:rPr>
          <w:color w:val="231F20"/>
          <w:spacing w:val="-9"/>
        </w:rPr>
        <w:t> </w:t>
      </w:r>
      <w:r>
        <w:rPr>
          <w:color w:val="231F20"/>
          <w:spacing w:val="-1"/>
        </w:rPr>
        <w:t>socio-educational</w:t>
      </w:r>
      <w:r>
        <w:rPr>
          <w:color w:val="231F20"/>
          <w:spacing w:val="-6"/>
        </w:rPr>
        <w:t> </w:t>
      </w:r>
      <w:r>
        <w:rPr>
          <w:color w:val="231F20"/>
        </w:rPr>
        <w:t>disadvantage,</w:t>
      </w:r>
      <w:r>
        <w:rPr>
          <w:color w:val="231F20"/>
          <w:spacing w:val="-9"/>
        </w:rPr>
        <w:t> </w:t>
      </w:r>
      <w:r>
        <w:rPr>
          <w:color w:val="231F20"/>
        </w:rPr>
        <w:t>a</w:t>
      </w:r>
      <w:r>
        <w:rPr>
          <w:color w:val="231F20"/>
          <w:spacing w:val="22"/>
          <w:w w:val="99"/>
        </w:rPr>
        <w:t> </w:t>
      </w:r>
      <w:r>
        <w:rPr>
          <w:color w:val="231F20"/>
          <w:spacing w:val="-1"/>
        </w:rPr>
        <w:t>loading</w:t>
      </w:r>
      <w:r>
        <w:rPr>
          <w:color w:val="231F20"/>
          <w:spacing w:val="-6"/>
        </w:rPr>
        <w:t> </w:t>
      </w:r>
      <w:r>
        <w:rPr>
          <w:color w:val="231F20"/>
        </w:rPr>
        <w:t>for</w:t>
      </w:r>
      <w:r>
        <w:rPr>
          <w:color w:val="231F20"/>
          <w:spacing w:val="-5"/>
        </w:rPr>
        <w:t> </w:t>
      </w:r>
      <w:r>
        <w:rPr>
          <w:color w:val="231F20"/>
        </w:rPr>
        <w:t>Aboriginal</w:t>
      </w:r>
      <w:r>
        <w:rPr>
          <w:color w:val="231F20"/>
          <w:spacing w:val="-5"/>
        </w:rPr>
        <w:t> </w:t>
      </w:r>
      <w:r>
        <w:rPr>
          <w:color w:val="231F20"/>
        </w:rPr>
        <w:t>and</w:t>
      </w:r>
      <w:r>
        <w:rPr>
          <w:color w:val="231F20"/>
          <w:spacing w:val="-7"/>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20"/>
          <w:w w:val="99"/>
        </w:rPr>
        <w:t> </w:t>
      </w:r>
      <w:r>
        <w:rPr>
          <w:color w:val="231F20"/>
          <w:spacing w:val="-1"/>
        </w:rPr>
        <w:t>students</w:t>
      </w:r>
      <w:r>
        <w:rPr>
          <w:color w:val="231F20"/>
          <w:spacing w:val="-2"/>
        </w:rPr>
        <w:t> </w:t>
      </w:r>
      <w:r>
        <w:rPr>
          <w:color w:val="231F20"/>
        </w:rPr>
        <w:t>already</w:t>
      </w:r>
      <w:r>
        <w:rPr>
          <w:color w:val="231F20"/>
          <w:spacing w:val="-3"/>
        </w:rPr>
        <w:t> </w:t>
      </w:r>
      <w:r>
        <w:rPr>
          <w:color w:val="231F20"/>
        </w:rPr>
        <w:t>exists</w:t>
      </w:r>
      <w:r>
        <w:rPr>
          <w:color w:val="231F20"/>
          <w:spacing w:val="-3"/>
        </w:rPr>
        <w:t> </w:t>
      </w:r>
      <w:r>
        <w:rPr>
          <w:color w:val="231F20"/>
          <w:spacing w:val="-1"/>
        </w:rPr>
        <w:t>in</w:t>
      </w:r>
      <w:r>
        <w:rPr>
          <w:color w:val="231F20"/>
          <w:spacing w:val="-2"/>
        </w:rPr>
        <w:t> </w:t>
      </w:r>
      <w:r>
        <w:rPr>
          <w:color w:val="231F20"/>
        </w:rPr>
        <w:t>the</w:t>
      </w:r>
      <w:r>
        <w:rPr>
          <w:color w:val="231F20"/>
          <w:spacing w:val="-3"/>
        </w:rPr>
        <w:t> </w:t>
      </w:r>
      <w:r>
        <w:rPr>
          <w:color w:val="231F20"/>
          <w:spacing w:val="-1"/>
        </w:rPr>
        <w:t>Schooling</w:t>
      </w:r>
      <w:r>
        <w:rPr>
          <w:color w:val="231F20"/>
          <w:spacing w:val="22"/>
        </w:rPr>
        <w:t> </w:t>
      </w:r>
      <w:r>
        <w:rPr>
          <w:color w:val="231F20"/>
          <w:spacing w:val="-1"/>
        </w:rPr>
        <w:t>Resource</w:t>
      </w:r>
      <w:r>
        <w:rPr>
          <w:color w:val="231F20"/>
          <w:spacing w:val="-16"/>
        </w:rPr>
        <w:t> </w:t>
      </w:r>
      <w:r>
        <w:rPr>
          <w:color w:val="231F20"/>
          <w:spacing w:val="-1"/>
        </w:rPr>
        <w:t>Standard.</w:t>
      </w:r>
      <w:r>
        <w:rPr/>
      </w:r>
    </w:p>
    <w:p>
      <w:pPr>
        <w:pStyle w:val="Heading5"/>
        <w:spacing w:line="240" w:lineRule="auto" w:before="34"/>
        <w:ind w:left="100" w:right="0"/>
        <w:jc w:val="left"/>
        <w:rPr>
          <w:i w:val="0"/>
        </w:rPr>
      </w:pPr>
      <w:r>
        <w:rPr>
          <w:i w:val="0"/>
        </w:rPr>
        <w:br w:type="column"/>
      </w:r>
      <w:r>
        <w:rPr>
          <w:b/>
          <w:i/>
          <w:color w:val="00779B"/>
          <w:spacing w:val="-2"/>
        </w:rPr>
        <w:t>Remoteness</w:t>
      </w:r>
      <w:r>
        <w:rPr>
          <w:i w:val="0"/>
        </w:rPr>
      </w:r>
    </w:p>
    <w:p>
      <w:pPr>
        <w:pStyle w:val="BodyText"/>
        <w:spacing w:line="250" w:lineRule="exact" w:before="131"/>
        <w:ind w:left="100" w:right="243"/>
        <w:jc w:val="left"/>
      </w:pPr>
      <w:r>
        <w:rPr>
          <w:color w:val="231F20"/>
        </w:rPr>
        <w:t>The</w:t>
      </w:r>
      <w:r>
        <w:rPr>
          <w:color w:val="231F20"/>
          <w:spacing w:val="-3"/>
        </w:rPr>
        <w:t> </w:t>
      </w:r>
      <w:r>
        <w:rPr>
          <w:color w:val="231F20"/>
        </w:rPr>
        <w:t>data</w:t>
      </w:r>
      <w:r>
        <w:rPr>
          <w:color w:val="231F20"/>
          <w:spacing w:val="-4"/>
        </w:rPr>
        <w:t> </w:t>
      </w:r>
      <w:r>
        <w:rPr>
          <w:color w:val="231F20"/>
          <w:spacing w:val="-1"/>
        </w:rPr>
        <w:t>is</w:t>
      </w:r>
      <w:r>
        <w:rPr>
          <w:color w:val="231F20"/>
          <w:spacing w:val="-4"/>
        </w:rPr>
        <w:t> </w:t>
      </w:r>
      <w:r>
        <w:rPr>
          <w:color w:val="231F20"/>
          <w:spacing w:val="-1"/>
        </w:rPr>
        <w:t>inconclusive</w:t>
      </w:r>
      <w:r>
        <w:rPr>
          <w:color w:val="231F20"/>
          <w:spacing w:val="-2"/>
        </w:rPr>
        <w:t> </w:t>
      </w:r>
      <w:r>
        <w:rPr>
          <w:color w:val="231F20"/>
        </w:rPr>
        <w:t>as</w:t>
      </w:r>
      <w:r>
        <w:rPr>
          <w:color w:val="231F20"/>
          <w:spacing w:val="-4"/>
        </w:rPr>
        <w:t> </w:t>
      </w:r>
      <w:r>
        <w:rPr>
          <w:color w:val="231F20"/>
        </w:rPr>
        <w:t>to</w:t>
      </w:r>
      <w:r>
        <w:rPr>
          <w:color w:val="231F20"/>
          <w:spacing w:val="-3"/>
        </w:rPr>
        <w:t> </w:t>
      </w:r>
      <w:r>
        <w:rPr>
          <w:color w:val="231F20"/>
        </w:rPr>
        <w:t>whether</w:t>
      </w:r>
      <w:r>
        <w:rPr>
          <w:color w:val="231F20"/>
          <w:spacing w:val="23"/>
          <w:w w:val="99"/>
        </w:rPr>
        <w:t> </w:t>
      </w:r>
      <w:r>
        <w:rPr>
          <w:color w:val="231F20"/>
        </w:rPr>
        <w:t>remoteness</w:t>
      </w:r>
      <w:r>
        <w:rPr>
          <w:color w:val="231F20"/>
          <w:spacing w:val="-5"/>
        </w:rPr>
        <w:t> </w:t>
      </w:r>
      <w:r>
        <w:rPr>
          <w:color w:val="231F20"/>
          <w:spacing w:val="-1"/>
        </w:rPr>
        <w:t>is</w:t>
      </w:r>
      <w:r>
        <w:rPr>
          <w:color w:val="231F20"/>
          <w:spacing w:val="-3"/>
        </w:rPr>
        <w:t> </w:t>
      </w:r>
      <w:r>
        <w:rPr>
          <w:color w:val="231F20"/>
        </w:rPr>
        <w:t>a</w:t>
      </w:r>
      <w:r>
        <w:rPr>
          <w:color w:val="231F20"/>
          <w:spacing w:val="-2"/>
        </w:rPr>
        <w:t> </w:t>
      </w:r>
      <w:r>
        <w:rPr>
          <w:color w:val="231F20"/>
        </w:rPr>
        <w:t>factor</w:t>
      </w:r>
      <w:r>
        <w:rPr>
          <w:color w:val="231F20"/>
          <w:spacing w:val="-3"/>
        </w:rPr>
        <w:t> </w:t>
      </w:r>
      <w:r>
        <w:rPr>
          <w:color w:val="231F20"/>
          <w:spacing w:val="-1"/>
        </w:rPr>
        <w:t>in</w:t>
      </w:r>
      <w:r>
        <w:rPr>
          <w:color w:val="231F20"/>
          <w:spacing w:val="-2"/>
        </w:rPr>
        <w:t> </w:t>
      </w:r>
      <w:r>
        <w:rPr>
          <w:color w:val="231F20"/>
        </w:rPr>
        <w:t>the</w:t>
      </w:r>
      <w:r>
        <w:rPr>
          <w:color w:val="231F20"/>
          <w:spacing w:val="-4"/>
        </w:rPr>
        <w:t> </w:t>
      </w:r>
      <w:r>
        <w:rPr>
          <w:color w:val="231F20"/>
        </w:rPr>
        <w:t>cost</w:t>
      </w:r>
      <w:r>
        <w:rPr>
          <w:color w:val="231F20"/>
          <w:spacing w:val="-3"/>
        </w:rPr>
        <w:t> </w:t>
      </w:r>
      <w:r>
        <w:rPr>
          <w:color w:val="231F20"/>
        </w:rPr>
        <w:t>of</w:t>
      </w:r>
      <w:r>
        <w:rPr>
          <w:color w:val="231F20"/>
          <w:spacing w:val="-2"/>
        </w:rPr>
        <w:t> </w:t>
      </w:r>
      <w:r>
        <w:rPr>
          <w:color w:val="231F20"/>
        </w:rPr>
        <w:t>boarding</w:t>
      </w:r>
      <w:r>
        <w:rPr>
          <w:color w:val="231F20"/>
          <w:spacing w:val="22"/>
          <w:w w:val="99"/>
        </w:rPr>
        <w:t> </w:t>
      </w:r>
      <w:r>
        <w:rPr>
          <w:color w:val="231F20"/>
        </w:rPr>
        <w:t>provision</w:t>
      </w:r>
      <w:r>
        <w:rPr>
          <w:color w:val="231F20"/>
          <w:spacing w:val="-5"/>
        </w:rPr>
        <w:t> </w:t>
      </w:r>
      <w:r>
        <w:rPr>
          <w:color w:val="231F20"/>
        </w:rPr>
        <w:t>for</w:t>
      </w:r>
      <w:r>
        <w:rPr>
          <w:color w:val="231F20"/>
          <w:spacing w:val="-4"/>
        </w:rPr>
        <w:t> </w:t>
      </w:r>
      <w:r>
        <w:rPr>
          <w:color w:val="231F20"/>
        </w:rPr>
        <w:t>Aboriginal</w:t>
      </w:r>
      <w:r>
        <w:rPr>
          <w:color w:val="231F20"/>
          <w:spacing w:val="-3"/>
        </w:rPr>
        <w:t> </w:t>
      </w:r>
      <w:r>
        <w:rPr>
          <w:color w:val="231F20"/>
        </w:rPr>
        <w:t>and</w:t>
      </w:r>
      <w:r>
        <w:rPr>
          <w:color w:val="231F20"/>
          <w:spacing w:val="-5"/>
        </w:rPr>
        <w:t> Torres</w:t>
      </w:r>
      <w:r>
        <w:rPr>
          <w:color w:val="231F20"/>
          <w:spacing w:val="-3"/>
        </w:rPr>
        <w:t> </w:t>
      </w:r>
      <w:r>
        <w:rPr>
          <w:color w:val="231F20"/>
          <w:spacing w:val="-2"/>
        </w:rPr>
        <w:t>Strait</w:t>
      </w:r>
      <w:r>
        <w:rPr>
          <w:color w:val="231F20"/>
          <w:spacing w:val="29"/>
          <w:w w:val="99"/>
        </w:rPr>
        <w:t> </w:t>
      </w:r>
      <w:r>
        <w:rPr>
          <w:color w:val="231F20"/>
          <w:spacing w:val="-1"/>
        </w:rPr>
        <w:t>Islander</w:t>
      </w:r>
      <w:r>
        <w:rPr>
          <w:color w:val="231F20"/>
          <w:spacing w:val="-15"/>
        </w:rPr>
        <w:t> </w:t>
      </w:r>
      <w:r>
        <w:rPr>
          <w:color w:val="231F20"/>
          <w:spacing w:val="-1"/>
        </w:rPr>
        <w:t>students.</w:t>
      </w:r>
      <w:r>
        <w:rPr/>
      </w:r>
    </w:p>
    <w:p>
      <w:pPr>
        <w:spacing w:line="250" w:lineRule="exact" w:before="113"/>
        <w:ind w:left="100" w:right="132" w:firstLine="0"/>
        <w:jc w:val="left"/>
        <w:rPr>
          <w:rFonts w:ascii="Segoe UI" w:hAnsi="Segoe UI" w:cs="Segoe UI" w:eastAsia="Segoe UI"/>
          <w:sz w:val="20"/>
          <w:szCs w:val="20"/>
        </w:rPr>
      </w:pPr>
      <w:r>
        <w:rPr>
          <w:rFonts w:ascii="Segoe UI" w:hAnsi="Segoe UI" w:cs="Segoe UI" w:eastAsia="Segoe UI"/>
          <w:color w:val="231F20"/>
          <w:spacing w:val="-1"/>
          <w:sz w:val="20"/>
          <w:szCs w:val="20"/>
        </w:rPr>
        <w:t>Remoteness</w:t>
      </w:r>
      <w:r>
        <w:rPr>
          <w:rFonts w:ascii="Segoe UI" w:hAnsi="Segoe UI" w:cs="Segoe UI" w:eastAsia="Segoe UI"/>
          <w:color w:val="231F20"/>
          <w:spacing w:val="-4"/>
          <w:sz w:val="20"/>
          <w:szCs w:val="20"/>
        </w:rPr>
        <w:t> </w:t>
      </w:r>
      <w:r>
        <w:rPr>
          <w:rFonts w:ascii="Segoe UI" w:hAnsi="Segoe UI" w:cs="Segoe UI" w:eastAsia="Segoe UI"/>
          <w:color w:val="231F20"/>
          <w:spacing w:val="-1"/>
          <w:sz w:val="20"/>
          <w:szCs w:val="20"/>
        </w:rPr>
        <w:t>in</w:t>
      </w:r>
      <w:r>
        <w:rPr>
          <w:rFonts w:ascii="Segoe UI" w:hAnsi="Segoe UI" w:cs="Segoe UI" w:eastAsia="Segoe UI"/>
          <w:color w:val="231F20"/>
          <w:spacing w:val="-3"/>
          <w:sz w:val="20"/>
          <w:szCs w:val="20"/>
        </w:rPr>
        <w:t> </w:t>
      </w:r>
      <w:r>
        <w:rPr>
          <w:rFonts w:ascii="Segoe UI" w:hAnsi="Segoe UI" w:cs="Segoe UI" w:eastAsia="Segoe UI"/>
          <w:color w:val="231F20"/>
          <w:sz w:val="20"/>
          <w:szCs w:val="20"/>
        </w:rPr>
        <w:t>this</w:t>
      </w:r>
      <w:r>
        <w:rPr>
          <w:rFonts w:ascii="Segoe UI" w:hAnsi="Segoe UI" w:cs="Segoe UI" w:eastAsia="Segoe UI"/>
          <w:color w:val="231F20"/>
          <w:spacing w:val="-4"/>
          <w:sz w:val="20"/>
          <w:szCs w:val="20"/>
        </w:rPr>
        <w:t> </w:t>
      </w:r>
      <w:r>
        <w:rPr>
          <w:rFonts w:ascii="Segoe UI" w:hAnsi="Segoe UI" w:cs="Segoe UI" w:eastAsia="Segoe UI"/>
          <w:color w:val="231F20"/>
          <w:sz w:val="20"/>
          <w:szCs w:val="20"/>
        </w:rPr>
        <w:t>report</w:t>
      </w:r>
      <w:r>
        <w:rPr>
          <w:rFonts w:ascii="Segoe UI" w:hAnsi="Segoe UI" w:cs="Segoe UI" w:eastAsia="Segoe UI"/>
          <w:color w:val="231F20"/>
          <w:spacing w:val="-4"/>
          <w:sz w:val="20"/>
          <w:szCs w:val="20"/>
        </w:rPr>
        <w:t> </w:t>
      </w:r>
      <w:r>
        <w:rPr>
          <w:rFonts w:ascii="Segoe UI" w:hAnsi="Segoe UI" w:cs="Segoe UI" w:eastAsia="Segoe UI"/>
          <w:color w:val="231F20"/>
          <w:sz w:val="20"/>
          <w:szCs w:val="20"/>
        </w:rPr>
        <w:t>utilises</w:t>
      </w:r>
      <w:r>
        <w:rPr>
          <w:rFonts w:ascii="Segoe UI" w:hAnsi="Segoe UI" w:cs="Segoe UI" w:eastAsia="Segoe UI"/>
          <w:color w:val="231F20"/>
          <w:spacing w:val="-4"/>
          <w:sz w:val="20"/>
          <w:szCs w:val="20"/>
        </w:rPr>
        <w:t> </w:t>
      </w:r>
      <w:r>
        <w:rPr>
          <w:rFonts w:ascii="Segoe UI" w:hAnsi="Segoe UI" w:cs="Segoe UI" w:eastAsia="Segoe UI"/>
          <w:color w:val="231F20"/>
          <w:sz w:val="20"/>
          <w:szCs w:val="20"/>
        </w:rPr>
        <w:t>the</w:t>
      </w:r>
      <w:r>
        <w:rPr>
          <w:rFonts w:ascii="Segoe UI" w:hAnsi="Segoe UI" w:cs="Segoe UI" w:eastAsia="Segoe UI"/>
          <w:color w:val="231F20"/>
          <w:spacing w:val="-4"/>
          <w:sz w:val="20"/>
          <w:szCs w:val="20"/>
        </w:rPr>
        <w:t> </w:t>
      </w:r>
      <w:r>
        <w:rPr>
          <w:rFonts w:ascii="Segoe UI" w:hAnsi="Segoe UI" w:cs="Segoe UI" w:eastAsia="Segoe UI"/>
          <w:color w:val="231F20"/>
          <w:sz w:val="20"/>
          <w:szCs w:val="20"/>
        </w:rPr>
        <w:t>Australian</w:t>
      </w:r>
      <w:r>
        <w:rPr>
          <w:rFonts w:ascii="Segoe UI" w:hAnsi="Segoe UI" w:cs="Segoe UI" w:eastAsia="Segoe UI"/>
          <w:color w:val="231F20"/>
          <w:spacing w:val="25"/>
          <w:w w:val="99"/>
          <w:sz w:val="20"/>
          <w:szCs w:val="20"/>
        </w:rPr>
        <w:t> </w:t>
      </w:r>
      <w:r>
        <w:rPr>
          <w:rFonts w:ascii="Segoe UI" w:hAnsi="Segoe UI" w:cs="Segoe UI" w:eastAsia="Segoe UI"/>
          <w:color w:val="231F20"/>
          <w:spacing w:val="-1"/>
          <w:sz w:val="20"/>
          <w:szCs w:val="20"/>
        </w:rPr>
        <w:t>Bureau</w:t>
      </w:r>
      <w:r>
        <w:rPr>
          <w:rFonts w:ascii="Segoe UI" w:hAnsi="Segoe UI" w:cs="Segoe UI" w:eastAsia="Segoe UI"/>
          <w:color w:val="231F20"/>
          <w:spacing w:val="-7"/>
          <w:sz w:val="20"/>
          <w:szCs w:val="20"/>
        </w:rPr>
        <w:t> </w:t>
      </w:r>
      <w:r>
        <w:rPr>
          <w:rFonts w:ascii="Segoe UI" w:hAnsi="Segoe UI" w:cs="Segoe UI" w:eastAsia="Segoe UI"/>
          <w:color w:val="231F20"/>
          <w:sz w:val="20"/>
          <w:szCs w:val="20"/>
        </w:rPr>
        <w:t>of</w:t>
      </w:r>
      <w:r>
        <w:rPr>
          <w:rFonts w:ascii="Segoe UI" w:hAnsi="Segoe UI" w:cs="Segoe UI" w:eastAsia="Segoe UI"/>
          <w:color w:val="231F20"/>
          <w:spacing w:val="-6"/>
          <w:sz w:val="20"/>
          <w:szCs w:val="20"/>
        </w:rPr>
        <w:t> </w:t>
      </w:r>
      <w:r>
        <w:rPr>
          <w:rFonts w:ascii="Segoe UI" w:hAnsi="Segoe UI" w:cs="Segoe UI" w:eastAsia="Segoe UI"/>
          <w:color w:val="231F20"/>
          <w:spacing w:val="-1"/>
          <w:sz w:val="20"/>
          <w:szCs w:val="20"/>
        </w:rPr>
        <w:t>Statistics’</w:t>
      </w:r>
      <w:r>
        <w:rPr>
          <w:rFonts w:ascii="Segoe UI" w:hAnsi="Segoe UI" w:cs="Segoe UI" w:eastAsia="Segoe UI"/>
          <w:color w:val="231F20"/>
          <w:spacing w:val="-6"/>
          <w:sz w:val="20"/>
          <w:szCs w:val="20"/>
        </w:rPr>
        <w:t> </w:t>
      </w:r>
      <w:r>
        <w:rPr>
          <w:rFonts w:ascii="Segoe UI" w:hAnsi="Segoe UI" w:cs="Segoe UI" w:eastAsia="Segoe UI"/>
          <w:color w:val="231F20"/>
          <w:sz w:val="20"/>
          <w:szCs w:val="20"/>
        </w:rPr>
        <w:t>Australian</w:t>
      </w:r>
      <w:r>
        <w:rPr>
          <w:rFonts w:ascii="Segoe UI" w:hAnsi="Segoe UI" w:cs="Segoe UI" w:eastAsia="Segoe UI"/>
          <w:color w:val="231F20"/>
          <w:spacing w:val="-7"/>
          <w:sz w:val="20"/>
          <w:szCs w:val="20"/>
        </w:rPr>
        <w:t> </w:t>
      </w:r>
      <w:r>
        <w:rPr>
          <w:rFonts w:ascii="Segoe UI" w:hAnsi="Segoe UI" w:cs="Segoe UI" w:eastAsia="Segoe UI"/>
          <w:color w:val="231F20"/>
          <w:spacing w:val="-1"/>
          <w:sz w:val="20"/>
          <w:szCs w:val="20"/>
        </w:rPr>
        <w:t>Statistical</w:t>
      </w:r>
      <w:r>
        <w:rPr>
          <w:rFonts w:ascii="Segoe UI" w:hAnsi="Segoe UI" w:cs="Segoe UI" w:eastAsia="Segoe UI"/>
          <w:color w:val="231F20"/>
          <w:spacing w:val="30"/>
          <w:w w:val="99"/>
          <w:sz w:val="20"/>
          <w:szCs w:val="20"/>
        </w:rPr>
        <w:t> </w:t>
      </w:r>
      <w:r>
        <w:rPr>
          <w:rFonts w:ascii="Segoe UI" w:hAnsi="Segoe UI" w:cs="Segoe UI" w:eastAsia="Segoe UI"/>
          <w:color w:val="231F20"/>
          <w:sz w:val="20"/>
          <w:szCs w:val="20"/>
        </w:rPr>
        <w:t>Geography</w:t>
      </w:r>
      <w:r>
        <w:rPr>
          <w:rFonts w:ascii="Segoe UI" w:hAnsi="Segoe UI" w:cs="Segoe UI" w:eastAsia="Segoe UI"/>
          <w:color w:val="231F20"/>
          <w:spacing w:val="-9"/>
          <w:sz w:val="20"/>
          <w:szCs w:val="20"/>
        </w:rPr>
        <w:t> </w:t>
      </w:r>
      <w:r>
        <w:rPr>
          <w:rFonts w:ascii="Segoe UI" w:hAnsi="Segoe UI" w:cs="Segoe UI" w:eastAsia="Segoe UI"/>
          <w:color w:val="231F20"/>
          <w:spacing w:val="-1"/>
          <w:sz w:val="20"/>
          <w:szCs w:val="20"/>
        </w:rPr>
        <w:t>Standard</w:t>
      </w:r>
      <w:r>
        <w:rPr>
          <w:rFonts w:ascii="Segoe UI" w:hAnsi="Segoe UI" w:cs="Segoe UI" w:eastAsia="Segoe UI"/>
          <w:color w:val="231F20"/>
          <w:spacing w:val="-9"/>
          <w:sz w:val="20"/>
          <w:szCs w:val="20"/>
        </w:rPr>
        <w:t> </w:t>
      </w:r>
      <w:r>
        <w:rPr>
          <w:rFonts w:ascii="Segoe UI" w:hAnsi="Segoe UI" w:cs="Segoe UI" w:eastAsia="Segoe UI"/>
          <w:color w:val="231F20"/>
          <w:spacing w:val="-1"/>
          <w:sz w:val="20"/>
          <w:szCs w:val="20"/>
        </w:rPr>
        <w:t>Remoteness</w:t>
      </w:r>
      <w:r>
        <w:rPr>
          <w:rFonts w:ascii="Segoe UI" w:hAnsi="Segoe UI" w:cs="Segoe UI" w:eastAsia="Segoe UI"/>
          <w:color w:val="231F20"/>
          <w:spacing w:val="-9"/>
          <w:sz w:val="20"/>
          <w:szCs w:val="20"/>
        </w:rPr>
        <w:t> </w:t>
      </w:r>
      <w:r>
        <w:rPr>
          <w:rFonts w:ascii="Segoe UI" w:hAnsi="Segoe UI" w:cs="Segoe UI" w:eastAsia="Segoe UI"/>
          <w:color w:val="231F20"/>
          <w:spacing w:val="-1"/>
          <w:sz w:val="20"/>
          <w:szCs w:val="20"/>
        </w:rPr>
        <w:t>Structure,</w:t>
      </w:r>
      <w:r>
        <w:rPr>
          <w:rFonts w:ascii="Segoe UI" w:hAnsi="Segoe UI" w:cs="Segoe UI" w:eastAsia="Segoe UI"/>
          <w:color w:val="231F20"/>
          <w:spacing w:val="28"/>
          <w:w w:val="99"/>
          <w:sz w:val="20"/>
          <w:szCs w:val="20"/>
        </w:rPr>
        <w:t> </w:t>
      </w:r>
      <w:r>
        <w:rPr>
          <w:rFonts w:ascii="Segoe UI" w:hAnsi="Segoe UI" w:cs="Segoe UI" w:eastAsia="Segoe UI"/>
          <w:color w:val="231F20"/>
          <w:sz w:val="20"/>
          <w:szCs w:val="20"/>
        </w:rPr>
        <w:t>which</w:t>
      </w:r>
      <w:r>
        <w:rPr>
          <w:rFonts w:ascii="Segoe UI" w:hAnsi="Segoe UI" w:cs="Segoe UI" w:eastAsia="Segoe UI"/>
          <w:color w:val="231F20"/>
          <w:spacing w:val="-4"/>
          <w:sz w:val="20"/>
          <w:szCs w:val="20"/>
        </w:rPr>
        <w:t> </w:t>
      </w:r>
      <w:r>
        <w:rPr>
          <w:rFonts w:ascii="Segoe UI" w:hAnsi="Segoe UI" w:cs="Segoe UI" w:eastAsia="Segoe UI"/>
          <w:color w:val="231F20"/>
          <w:sz w:val="20"/>
          <w:szCs w:val="20"/>
        </w:rPr>
        <w:t>divides</w:t>
      </w:r>
      <w:r>
        <w:rPr>
          <w:rFonts w:ascii="Segoe UI" w:hAnsi="Segoe UI" w:cs="Segoe UI" w:eastAsia="Segoe UI"/>
          <w:color w:val="231F20"/>
          <w:spacing w:val="-4"/>
          <w:sz w:val="20"/>
          <w:szCs w:val="20"/>
        </w:rPr>
        <w:t> </w:t>
      </w:r>
      <w:r>
        <w:rPr>
          <w:rFonts w:ascii="Segoe UI" w:hAnsi="Segoe UI" w:cs="Segoe UI" w:eastAsia="Segoe UI"/>
          <w:color w:val="231F20"/>
          <w:sz w:val="20"/>
          <w:szCs w:val="20"/>
        </w:rPr>
        <w:t>Australia</w:t>
      </w:r>
      <w:r>
        <w:rPr>
          <w:rFonts w:ascii="Segoe UI" w:hAnsi="Segoe UI" w:cs="Segoe UI" w:eastAsia="Segoe UI"/>
          <w:color w:val="231F20"/>
          <w:spacing w:val="-3"/>
          <w:sz w:val="20"/>
          <w:szCs w:val="20"/>
        </w:rPr>
        <w:t> </w:t>
      </w:r>
      <w:r>
        <w:rPr>
          <w:rFonts w:ascii="Segoe UI" w:hAnsi="Segoe UI" w:cs="Segoe UI" w:eastAsia="Segoe UI"/>
          <w:color w:val="231F20"/>
          <w:spacing w:val="-1"/>
          <w:sz w:val="20"/>
          <w:szCs w:val="20"/>
        </w:rPr>
        <w:t>into</w:t>
      </w:r>
      <w:r>
        <w:rPr>
          <w:rFonts w:ascii="Segoe UI" w:hAnsi="Segoe UI" w:cs="Segoe UI" w:eastAsia="Segoe UI"/>
          <w:color w:val="231F20"/>
          <w:spacing w:val="-2"/>
          <w:sz w:val="20"/>
          <w:szCs w:val="20"/>
        </w:rPr>
        <w:t> </w:t>
      </w:r>
      <w:r>
        <w:rPr>
          <w:rFonts w:ascii="Segoe UI" w:hAnsi="Segoe UI" w:cs="Segoe UI" w:eastAsia="Segoe UI"/>
          <w:color w:val="231F20"/>
          <w:spacing w:val="-1"/>
          <w:sz w:val="20"/>
          <w:szCs w:val="20"/>
        </w:rPr>
        <w:t>‘</w:t>
      </w:r>
      <w:r>
        <w:rPr>
          <w:rFonts w:ascii="Segoe UI" w:hAnsi="Segoe UI" w:cs="Segoe UI" w:eastAsia="Segoe UI"/>
          <w:i/>
          <w:color w:val="231F20"/>
          <w:spacing w:val="-1"/>
          <w:sz w:val="20"/>
          <w:szCs w:val="20"/>
        </w:rPr>
        <w:t>five</w:t>
      </w:r>
      <w:r>
        <w:rPr>
          <w:rFonts w:ascii="Segoe UI" w:hAnsi="Segoe UI" w:cs="Segoe UI" w:eastAsia="Segoe UI"/>
          <w:i/>
          <w:color w:val="231F20"/>
          <w:spacing w:val="-3"/>
          <w:sz w:val="20"/>
          <w:szCs w:val="20"/>
        </w:rPr>
        <w:t> </w:t>
      </w:r>
      <w:r>
        <w:rPr>
          <w:rFonts w:ascii="Segoe UI" w:hAnsi="Segoe UI" w:cs="Segoe UI" w:eastAsia="Segoe UI"/>
          <w:i/>
          <w:color w:val="231F20"/>
          <w:spacing w:val="-1"/>
          <w:sz w:val="20"/>
          <w:szCs w:val="20"/>
        </w:rPr>
        <w:t>classes</w:t>
      </w:r>
      <w:r>
        <w:rPr>
          <w:rFonts w:ascii="Segoe UI" w:hAnsi="Segoe UI" w:cs="Segoe UI" w:eastAsia="Segoe UI"/>
          <w:i/>
          <w:color w:val="231F20"/>
          <w:spacing w:val="-3"/>
          <w:sz w:val="20"/>
          <w:szCs w:val="20"/>
        </w:rPr>
        <w:t> </w:t>
      </w:r>
      <w:r>
        <w:rPr>
          <w:rFonts w:ascii="Segoe UI" w:hAnsi="Segoe UI" w:cs="Segoe UI" w:eastAsia="Segoe UI"/>
          <w:i/>
          <w:color w:val="231F20"/>
          <w:spacing w:val="-2"/>
          <w:sz w:val="20"/>
          <w:szCs w:val="20"/>
        </w:rPr>
        <w:t>of</w:t>
      </w:r>
      <w:r>
        <w:rPr>
          <w:rFonts w:ascii="Segoe UI" w:hAnsi="Segoe UI" w:cs="Segoe UI" w:eastAsia="Segoe UI"/>
          <w:i/>
          <w:color w:val="231F20"/>
          <w:spacing w:val="29"/>
          <w:sz w:val="20"/>
          <w:szCs w:val="20"/>
        </w:rPr>
        <w:t> </w:t>
      </w:r>
      <w:r>
        <w:rPr>
          <w:rFonts w:ascii="Segoe UI" w:hAnsi="Segoe UI" w:cs="Segoe UI" w:eastAsia="Segoe UI"/>
          <w:i/>
          <w:color w:val="231F20"/>
          <w:sz w:val="20"/>
          <w:szCs w:val="20"/>
        </w:rPr>
        <w:t>remoteness</w:t>
      </w:r>
      <w:r>
        <w:rPr>
          <w:rFonts w:ascii="Segoe UI" w:hAnsi="Segoe UI" w:cs="Segoe UI" w:eastAsia="Segoe UI"/>
          <w:i/>
          <w:color w:val="231F20"/>
          <w:spacing w:val="-4"/>
          <w:sz w:val="20"/>
          <w:szCs w:val="20"/>
        </w:rPr>
        <w:t> </w:t>
      </w:r>
      <w:r>
        <w:rPr>
          <w:rFonts w:ascii="Segoe UI" w:hAnsi="Segoe UI" w:cs="Segoe UI" w:eastAsia="Segoe UI"/>
          <w:i/>
          <w:color w:val="231F20"/>
          <w:spacing w:val="-1"/>
          <w:sz w:val="20"/>
          <w:szCs w:val="20"/>
        </w:rPr>
        <w:t>on</w:t>
      </w:r>
      <w:r>
        <w:rPr>
          <w:rFonts w:ascii="Segoe UI" w:hAnsi="Segoe UI" w:cs="Segoe UI" w:eastAsia="Segoe UI"/>
          <w:i/>
          <w:color w:val="231F20"/>
          <w:spacing w:val="-3"/>
          <w:sz w:val="20"/>
          <w:szCs w:val="20"/>
        </w:rPr>
        <w:t> </w:t>
      </w:r>
      <w:r>
        <w:rPr>
          <w:rFonts w:ascii="Segoe UI" w:hAnsi="Segoe UI" w:cs="Segoe UI" w:eastAsia="Segoe UI"/>
          <w:i/>
          <w:color w:val="231F20"/>
          <w:spacing w:val="-1"/>
          <w:sz w:val="20"/>
          <w:szCs w:val="20"/>
        </w:rPr>
        <w:t>the</w:t>
      </w:r>
      <w:r>
        <w:rPr>
          <w:rFonts w:ascii="Segoe UI" w:hAnsi="Segoe UI" w:cs="Segoe UI" w:eastAsia="Segoe UI"/>
          <w:i/>
          <w:color w:val="231F20"/>
          <w:spacing w:val="-3"/>
          <w:sz w:val="20"/>
          <w:szCs w:val="20"/>
        </w:rPr>
        <w:t> </w:t>
      </w:r>
      <w:r>
        <w:rPr>
          <w:rFonts w:ascii="Segoe UI" w:hAnsi="Segoe UI" w:cs="Segoe UI" w:eastAsia="Segoe UI"/>
          <w:i/>
          <w:color w:val="231F20"/>
          <w:sz w:val="20"/>
          <w:szCs w:val="20"/>
        </w:rPr>
        <w:t>basis</w:t>
      </w:r>
      <w:r>
        <w:rPr>
          <w:rFonts w:ascii="Segoe UI" w:hAnsi="Segoe UI" w:cs="Segoe UI" w:eastAsia="Segoe UI"/>
          <w:i/>
          <w:color w:val="231F20"/>
          <w:spacing w:val="-2"/>
          <w:sz w:val="20"/>
          <w:szCs w:val="20"/>
        </w:rPr>
        <w:t> of</w:t>
      </w:r>
      <w:r>
        <w:rPr>
          <w:rFonts w:ascii="Segoe UI" w:hAnsi="Segoe UI" w:cs="Segoe UI" w:eastAsia="Segoe UI"/>
          <w:i/>
          <w:color w:val="231F20"/>
          <w:spacing w:val="-3"/>
          <w:sz w:val="20"/>
          <w:szCs w:val="20"/>
        </w:rPr>
        <w:t> </w:t>
      </w:r>
      <w:r>
        <w:rPr>
          <w:rFonts w:ascii="Segoe UI" w:hAnsi="Segoe UI" w:cs="Segoe UI" w:eastAsia="Segoe UI"/>
          <w:i/>
          <w:color w:val="231F20"/>
          <w:sz w:val="20"/>
          <w:szCs w:val="20"/>
        </w:rPr>
        <w:t>a</w:t>
      </w:r>
      <w:r>
        <w:rPr>
          <w:rFonts w:ascii="Segoe UI" w:hAnsi="Segoe UI" w:cs="Segoe UI" w:eastAsia="Segoe UI"/>
          <w:i/>
          <w:color w:val="231F20"/>
          <w:spacing w:val="-3"/>
          <w:sz w:val="20"/>
          <w:szCs w:val="20"/>
        </w:rPr>
        <w:t> </w:t>
      </w:r>
      <w:r>
        <w:rPr>
          <w:rFonts w:ascii="Segoe UI" w:hAnsi="Segoe UI" w:cs="Segoe UI" w:eastAsia="Segoe UI"/>
          <w:i/>
          <w:color w:val="231F20"/>
          <w:sz w:val="20"/>
          <w:szCs w:val="20"/>
        </w:rPr>
        <w:t>measure</w:t>
      </w:r>
      <w:r>
        <w:rPr>
          <w:rFonts w:ascii="Segoe UI" w:hAnsi="Segoe UI" w:cs="Segoe UI" w:eastAsia="Segoe UI"/>
          <w:i/>
          <w:color w:val="231F20"/>
          <w:spacing w:val="-4"/>
          <w:sz w:val="20"/>
          <w:szCs w:val="20"/>
        </w:rPr>
        <w:t> </w:t>
      </w:r>
      <w:r>
        <w:rPr>
          <w:rFonts w:ascii="Segoe UI" w:hAnsi="Segoe UI" w:cs="Segoe UI" w:eastAsia="Segoe UI"/>
          <w:i/>
          <w:color w:val="231F20"/>
          <w:spacing w:val="-2"/>
          <w:sz w:val="20"/>
          <w:szCs w:val="20"/>
        </w:rPr>
        <w:t>of</w:t>
      </w:r>
      <w:r>
        <w:rPr>
          <w:rFonts w:ascii="Segoe UI" w:hAnsi="Segoe UI" w:cs="Segoe UI" w:eastAsia="Segoe UI"/>
          <w:sz w:val="20"/>
          <w:szCs w:val="20"/>
        </w:rPr>
      </w:r>
    </w:p>
    <w:p>
      <w:pPr>
        <w:spacing w:line="250" w:lineRule="exact" w:before="0"/>
        <w:ind w:left="100" w:right="132" w:firstLine="0"/>
        <w:jc w:val="left"/>
        <w:rPr>
          <w:rFonts w:ascii="Segoe UI" w:hAnsi="Segoe UI" w:cs="Segoe UI" w:eastAsia="Segoe UI"/>
          <w:sz w:val="20"/>
          <w:szCs w:val="20"/>
        </w:rPr>
      </w:pPr>
      <w:r>
        <w:rPr>
          <w:rFonts w:ascii="Segoe UI" w:hAnsi="Segoe UI" w:cs="Segoe UI" w:eastAsia="Segoe UI"/>
          <w:i/>
          <w:color w:val="231F20"/>
          <w:spacing w:val="-1"/>
          <w:sz w:val="20"/>
          <w:szCs w:val="20"/>
        </w:rPr>
        <w:t>relative</w:t>
      </w:r>
      <w:r>
        <w:rPr>
          <w:rFonts w:ascii="Segoe UI" w:hAnsi="Segoe UI" w:cs="Segoe UI" w:eastAsia="Segoe UI"/>
          <w:i/>
          <w:color w:val="231F20"/>
          <w:spacing w:val="-5"/>
          <w:sz w:val="20"/>
          <w:szCs w:val="20"/>
        </w:rPr>
        <w:t> </w:t>
      </w:r>
      <w:r>
        <w:rPr>
          <w:rFonts w:ascii="Segoe UI" w:hAnsi="Segoe UI" w:cs="Segoe UI" w:eastAsia="Segoe UI"/>
          <w:i/>
          <w:color w:val="231F20"/>
          <w:spacing w:val="-1"/>
          <w:sz w:val="20"/>
          <w:szCs w:val="20"/>
        </w:rPr>
        <w:t>access</w:t>
      </w:r>
      <w:r>
        <w:rPr>
          <w:rFonts w:ascii="Segoe UI" w:hAnsi="Segoe UI" w:cs="Segoe UI" w:eastAsia="Segoe UI"/>
          <w:i/>
          <w:color w:val="231F20"/>
          <w:spacing w:val="-5"/>
          <w:sz w:val="20"/>
          <w:szCs w:val="20"/>
        </w:rPr>
        <w:t> </w:t>
      </w:r>
      <w:r>
        <w:rPr>
          <w:rFonts w:ascii="Segoe UI" w:hAnsi="Segoe UI" w:cs="Segoe UI" w:eastAsia="Segoe UI"/>
          <w:i/>
          <w:color w:val="231F20"/>
          <w:sz w:val="20"/>
          <w:szCs w:val="20"/>
        </w:rPr>
        <w:t>to</w:t>
      </w:r>
      <w:r>
        <w:rPr>
          <w:rFonts w:ascii="Segoe UI" w:hAnsi="Segoe UI" w:cs="Segoe UI" w:eastAsia="Segoe UI"/>
          <w:i/>
          <w:color w:val="231F20"/>
          <w:spacing w:val="-5"/>
          <w:sz w:val="20"/>
          <w:szCs w:val="20"/>
        </w:rPr>
        <w:t> </w:t>
      </w:r>
      <w:r>
        <w:rPr>
          <w:rFonts w:ascii="Segoe UI" w:hAnsi="Segoe UI" w:cs="Segoe UI" w:eastAsia="Segoe UI"/>
          <w:i/>
          <w:color w:val="231F20"/>
          <w:spacing w:val="-1"/>
          <w:sz w:val="20"/>
          <w:szCs w:val="20"/>
        </w:rPr>
        <w:t>services.</w:t>
      </w:r>
      <w:r>
        <w:rPr>
          <w:rFonts w:ascii="Segoe UI" w:hAnsi="Segoe UI" w:cs="Segoe UI" w:eastAsia="Segoe UI"/>
          <w:i/>
          <w:color w:val="231F20"/>
          <w:spacing w:val="-5"/>
          <w:sz w:val="20"/>
          <w:szCs w:val="20"/>
        </w:rPr>
        <w:t> </w:t>
      </w:r>
      <w:r>
        <w:rPr>
          <w:rFonts w:ascii="Segoe UI" w:hAnsi="Segoe UI" w:cs="Segoe UI" w:eastAsia="Segoe UI"/>
          <w:i/>
          <w:color w:val="231F20"/>
          <w:spacing w:val="-1"/>
          <w:sz w:val="20"/>
          <w:szCs w:val="20"/>
        </w:rPr>
        <w:t>Access</w:t>
      </w:r>
      <w:r>
        <w:rPr>
          <w:rFonts w:ascii="Segoe UI" w:hAnsi="Segoe UI" w:cs="Segoe UI" w:eastAsia="Segoe UI"/>
          <w:i/>
          <w:color w:val="231F20"/>
          <w:spacing w:val="-5"/>
          <w:sz w:val="20"/>
          <w:szCs w:val="20"/>
        </w:rPr>
        <w:t> </w:t>
      </w:r>
      <w:r>
        <w:rPr>
          <w:rFonts w:ascii="Segoe UI" w:hAnsi="Segoe UI" w:cs="Segoe UI" w:eastAsia="Segoe UI"/>
          <w:i/>
          <w:color w:val="231F20"/>
          <w:sz w:val="20"/>
          <w:szCs w:val="20"/>
        </w:rPr>
        <w:t>to</w:t>
      </w:r>
      <w:r>
        <w:rPr>
          <w:rFonts w:ascii="Segoe UI" w:hAnsi="Segoe UI" w:cs="Segoe UI" w:eastAsia="Segoe UI"/>
          <w:i/>
          <w:color w:val="231F20"/>
          <w:spacing w:val="-5"/>
          <w:sz w:val="20"/>
          <w:szCs w:val="20"/>
        </w:rPr>
        <w:t> </w:t>
      </w:r>
      <w:r>
        <w:rPr>
          <w:rFonts w:ascii="Segoe UI" w:hAnsi="Segoe UI" w:cs="Segoe UI" w:eastAsia="Segoe UI"/>
          <w:i/>
          <w:color w:val="231F20"/>
          <w:spacing w:val="-1"/>
          <w:sz w:val="20"/>
          <w:szCs w:val="20"/>
        </w:rPr>
        <w:t>services</w:t>
      </w:r>
      <w:r>
        <w:rPr>
          <w:rFonts w:ascii="Segoe UI" w:hAnsi="Segoe UI" w:cs="Segoe UI" w:eastAsia="Segoe UI"/>
          <w:i/>
          <w:color w:val="231F20"/>
          <w:spacing w:val="-5"/>
          <w:sz w:val="20"/>
          <w:szCs w:val="20"/>
        </w:rPr>
        <w:t> </w:t>
      </w:r>
      <w:r>
        <w:rPr>
          <w:rFonts w:ascii="Segoe UI" w:hAnsi="Segoe UI" w:cs="Segoe UI" w:eastAsia="Segoe UI"/>
          <w:i/>
          <w:color w:val="231F20"/>
          <w:sz w:val="20"/>
          <w:szCs w:val="20"/>
        </w:rPr>
        <w:t>are</w:t>
      </w:r>
      <w:r>
        <w:rPr>
          <w:rFonts w:ascii="Segoe UI" w:hAnsi="Segoe UI" w:cs="Segoe UI" w:eastAsia="Segoe UI"/>
          <w:i/>
          <w:color w:val="231F20"/>
          <w:spacing w:val="47"/>
          <w:w w:val="99"/>
          <w:sz w:val="20"/>
          <w:szCs w:val="20"/>
        </w:rPr>
        <w:t> </w:t>
      </w:r>
      <w:r>
        <w:rPr>
          <w:rFonts w:ascii="Segoe UI" w:hAnsi="Segoe UI" w:cs="Segoe UI" w:eastAsia="Segoe UI"/>
          <w:i/>
          <w:color w:val="231F20"/>
          <w:sz w:val="20"/>
          <w:szCs w:val="20"/>
        </w:rPr>
        <w:t>measured</w:t>
      </w:r>
      <w:r>
        <w:rPr>
          <w:rFonts w:ascii="Segoe UI" w:hAnsi="Segoe UI" w:cs="Segoe UI" w:eastAsia="Segoe UI"/>
          <w:i/>
          <w:color w:val="231F20"/>
          <w:spacing w:val="-8"/>
          <w:sz w:val="20"/>
          <w:szCs w:val="20"/>
        </w:rPr>
        <w:t> </w:t>
      </w:r>
      <w:r>
        <w:rPr>
          <w:rFonts w:ascii="Segoe UI" w:hAnsi="Segoe UI" w:cs="Segoe UI" w:eastAsia="Segoe UI"/>
          <w:i/>
          <w:color w:val="231F20"/>
          <w:spacing w:val="-1"/>
          <w:sz w:val="20"/>
          <w:szCs w:val="20"/>
        </w:rPr>
        <w:t>using</w:t>
      </w:r>
      <w:r>
        <w:rPr>
          <w:rFonts w:ascii="Segoe UI" w:hAnsi="Segoe UI" w:cs="Segoe UI" w:eastAsia="Segoe UI"/>
          <w:i/>
          <w:color w:val="231F20"/>
          <w:spacing w:val="-6"/>
          <w:sz w:val="20"/>
          <w:szCs w:val="20"/>
        </w:rPr>
        <w:t> </w:t>
      </w:r>
      <w:r>
        <w:rPr>
          <w:rFonts w:ascii="Segoe UI" w:hAnsi="Segoe UI" w:cs="Segoe UI" w:eastAsia="Segoe UI"/>
          <w:i/>
          <w:color w:val="231F20"/>
          <w:spacing w:val="-1"/>
          <w:sz w:val="20"/>
          <w:szCs w:val="20"/>
        </w:rPr>
        <w:t>the</w:t>
      </w:r>
      <w:r>
        <w:rPr>
          <w:rFonts w:ascii="Segoe UI" w:hAnsi="Segoe UI" w:cs="Segoe UI" w:eastAsia="Segoe UI"/>
          <w:i/>
          <w:color w:val="231F20"/>
          <w:spacing w:val="-6"/>
          <w:sz w:val="20"/>
          <w:szCs w:val="20"/>
        </w:rPr>
        <w:t> </w:t>
      </w:r>
      <w:r>
        <w:rPr>
          <w:rFonts w:ascii="Segoe UI" w:hAnsi="Segoe UI" w:cs="Segoe UI" w:eastAsia="Segoe UI"/>
          <w:i/>
          <w:color w:val="231F20"/>
          <w:spacing w:val="-1"/>
          <w:sz w:val="20"/>
          <w:szCs w:val="20"/>
        </w:rPr>
        <w:t>Accessibility</w:t>
      </w:r>
      <w:r>
        <w:rPr>
          <w:rFonts w:ascii="Segoe UI" w:hAnsi="Segoe UI" w:cs="Segoe UI" w:eastAsia="Segoe UI"/>
          <w:i/>
          <w:color w:val="231F20"/>
          <w:spacing w:val="-7"/>
          <w:sz w:val="20"/>
          <w:szCs w:val="20"/>
        </w:rPr>
        <w:t> </w:t>
      </w:r>
      <w:r>
        <w:rPr>
          <w:rFonts w:ascii="Segoe UI" w:hAnsi="Segoe UI" w:cs="Segoe UI" w:eastAsia="Segoe UI"/>
          <w:i/>
          <w:color w:val="231F20"/>
          <w:sz w:val="20"/>
          <w:szCs w:val="20"/>
        </w:rPr>
        <w:t>and</w:t>
      </w:r>
      <w:r>
        <w:rPr>
          <w:rFonts w:ascii="Segoe UI" w:hAnsi="Segoe UI" w:cs="Segoe UI" w:eastAsia="Segoe UI"/>
          <w:i/>
          <w:color w:val="231F20"/>
          <w:spacing w:val="-6"/>
          <w:sz w:val="20"/>
          <w:szCs w:val="20"/>
        </w:rPr>
        <w:t> </w:t>
      </w:r>
      <w:r>
        <w:rPr>
          <w:rFonts w:ascii="Segoe UI" w:hAnsi="Segoe UI" w:cs="Segoe UI" w:eastAsia="Segoe UI"/>
          <w:i/>
          <w:color w:val="231F20"/>
          <w:spacing w:val="-1"/>
          <w:sz w:val="20"/>
          <w:szCs w:val="20"/>
        </w:rPr>
        <w:t>Remoteness</w:t>
      </w:r>
      <w:r>
        <w:rPr>
          <w:rFonts w:ascii="Segoe UI" w:hAnsi="Segoe UI" w:cs="Segoe UI" w:eastAsia="Segoe UI"/>
          <w:i/>
          <w:color w:val="231F20"/>
          <w:spacing w:val="29"/>
          <w:w w:val="99"/>
          <w:sz w:val="20"/>
          <w:szCs w:val="20"/>
        </w:rPr>
        <w:t> </w:t>
      </w:r>
      <w:r>
        <w:rPr>
          <w:rFonts w:ascii="Segoe UI" w:hAnsi="Segoe UI" w:cs="Segoe UI" w:eastAsia="Segoe UI"/>
          <w:i/>
          <w:color w:val="231F20"/>
          <w:spacing w:val="-1"/>
          <w:sz w:val="20"/>
          <w:szCs w:val="20"/>
        </w:rPr>
        <w:t>Index</w:t>
      </w:r>
      <w:r>
        <w:rPr>
          <w:rFonts w:ascii="Segoe UI" w:hAnsi="Segoe UI" w:cs="Segoe UI" w:eastAsia="Segoe UI"/>
          <w:i/>
          <w:color w:val="231F20"/>
          <w:sz w:val="20"/>
          <w:szCs w:val="20"/>
        </w:rPr>
        <w:t> </w:t>
      </w:r>
      <w:r>
        <w:rPr>
          <w:rFonts w:ascii="Segoe UI" w:hAnsi="Segoe UI" w:cs="Segoe UI" w:eastAsia="Segoe UI"/>
          <w:i/>
          <w:color w:val="231F20"/>
          <w:spacing w:val="-2"/>
          <w:sz w:val="20"/>
          <w:szCs w:val="20"/>
        </w:rPr>
        <w:t>of</w:t>
      </w:r>
      <w:r>
        <w:rPr>
          <w:rFonts w:ascii="Segoe UI" w:hAnsi="Segoe UI" w:cs="Segoe UI" w:eastAsia="Segoe UI"/>
          <w:i/>
          <w:color w:val="231F20"/>
          <w:sz w:val="20"/>
          <w:szCs w:val="20"/>
        </w:rPr>
        <w:t> </w:t>
      </w:r>
      <w:r>
        <w:rPr>
          <w:rFonts w:ascii="Segoe UI" w:hAnsi="Segoe UI" w:cs="Segoe UI" w:eastAsia="Segoe UI"/>
          <w:i/>
          <w:color w:val="231F20"/>
          <w:spacing w:val="-1"/>
          <w:sz w:val="20"/>
          <w:szCs w:val="20"/>
        </w:rPr>
        <w:t>Australia</w:t>
      </w:r>
      <w:r>
        <w:rPr>
          <w:rFonts w:ascii="Segoe UI" w:hAnsi="Segoe UI" w:cs="Segoe UI" w:eastAsia="Segoe UI"/>
          <w:i/>
          <w:color w:val="231F20"/>
          <w:sz w:val="20"/>
          <w:szCs w:val="20"/>
        </w:rPr>
        <w:t> </w:t>
      </w:r>
      <w:r>
        <w:rPr>
          <w:rFonts w:ascii="Segoe UI" w:hAnsi="Segoe UI" w:cs="Segoe UI" w:eastAsia="Segoe UI"/>
          <w:i/>
          <w:color w:val="231F20"/>
          <w:spacing w:val="-1"/>
          <w:sz w:val="20"/>
          <w:szCs w:val="20"/>
        </w:rPr>
        <w:t>(ARIA+)</w:t>
      </w:r>
      <w:r>
        <w:rPr>
          <w:rFonts w:ascii="Segoe UI" w:hAnsi="Segoe UI" w:cs="Segoe UI" w:eastAsia="Segoe UI"/>
          <w:color w:val="231F20"/>
          <w:spacing w:val="-1"/>
          <w:sz w:val="20"/>
          <w:szCs w:val="20"/>
        </w:rPr>
        <w:t>.’</w:t>
      </w:r>
      <w:r>
        <w:rPr>
          <w:rFonts w:ascii="Segoe UI Semibold" w:hAnsi="Segoe UI Semibold" w:cs="Segoe UI Semibold" w:eastAsia="Segoe UI Semibold"/>
          <w:b/>
          <w:bCs/>
          <w:color w:val="231F20"/>
          <w:spacing w:val="-1"/>
          <w:position w:val="7"/>
          <w:sz w:val="11"/>
          <w:szCs w:val="11"/>
        </w:rPr>
        <w:t>13</w:t>
      </w:r>
      <w:r>
        <w:rPr>
          <w:rFonts w:ascii="Segoe UI Semibold" w:hAnsi="Segoe UI Semibold" w:cs="Segoe UI Semibold" w:eastAsia="Segoe UI Semibold"/>
          <w:b/>
          <w:bCs/>
          <w:color w:val="231F20"/>
          <w:spacing w:val="25"/>
          <w:position w:val="7"/>
          <w:sz w:val="11"/>
          <w:szCs w:val="11"/>
        </w:rPr>
        <w:t> </w:t>
      </w:r>
      <w:r>
        <w:rPr>
          <w:rFonts w:ascii="Segoe UI" w:hAnsi="Segoe UI" w:cs="Segoe UI" w:eastAsia="Segoe UI"/>
          <w:color w:val="231F20"/>
          <w:sz w:val="20"/>
          <w:szCs w:val="20"/>
        </w:rPr>
        <w:t>The five classes</w:t>
      </w:r>
      <w:r>
        <w:rPr>
          <w:rFonts w:ascii="Segoe UI" w:hAnsi="Segoe UI" w:cs="Segoe UI" w:eastAsia="Segoe UI"/>
          <w:sz w:val="20"/>
          <w:szCs w:val="20"/>
        </w:rPr>
      </w:r>
    </w:p>
    <w:p>
      <w:pPr>
        <w:pStyle w:val="BodyText"/>
        <w:spacing w:line="250" w:lineRule="exact"/>
        <w:ind w:left="100" w:right="374"/>
        <w:jc w:val="left"/>
      </w:pPr>
      <w:r>
        <w:rPr>
          <w:color w:val="231F20"/>
        </w:rPr>
        <w:t>of</w:t>
      </w:r>
      <w:r>
        <w:rPr>
          <w:color w:val="231F20"/>
          <w:spacing w:val="-5"/>
        </w:rPr>
        <w:t> </w:t>
      </w:r>
      <w:r>
        <w:rPr>
          <w:color w:val="231F20"/>
        </w:rPr>
        <w:t>remoteness</w:t>
      </w:r>
      <w:r>
        <w:rPr>
          <w:color w:val="231F20"/>
          <w:spacing w:val="-6"/>
        </w:rPr>
        <w:t> </w:t>
      </w:r>
      <w:r>
        <w:rPr>
          <w:color w:val="231F20"/>
        </w:rPr>
        <w:t>and</w:t>
      </w:r>
      <w:r>
        <w:rPr>
          <w:color w:val="231F20"/>
          <w:spacing w:val="-5"/>
        </w:rPr>
        <w:t> </w:t>
      </w:r>
      <w:r>
        <w:rPr>
          <w:color w:val="231F20"/>
        </w:rPr>
        <w:t>the</w:t>
      </w:r>
      <w:r>
        <w:rPr>
          <w:color w:val="231F20"/>
          <w:spacing w:val="-6"/>
        </w:rPr>
        <w:t> </w:t>
      </w:r>
      <w:r>
        <w:rPr>
          <w:color w:val="231F20"/>
        </w:rPr>
        <w:t>number</w:t>
      </w:r>
      <w:r>
        <w:rPr>
          <w:color w:val="231F20"/>
          <w:spacing w:val="-5"/>
        </w:rPr>
        <w:t> </w:t>
      </w:r>
      <w:r>
        <w:rPr>
          <w:color w:val="231F20"/>
        </w:rPr>
        <w:t>of</w:t>
      </w:r>
      <w:r>
        <w:rPr>
          <w:color w:val="231F20"/>
          <w:spacing w:val="-4"/>
        </w:rPr>
        <w:t> </w:t>
      </w:r>
      <w:r>
        <w:rPr>
          <w:color w:val="231F20"/>
        </w:rPr>
        <w:t>Aboriginal</w:t>
      </w:r>
      <w:r>
        <w:rPr>
          <w:color w:val="231F20"/>
          <w:w w:val="99"/>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7"/>
        </w:rPr>
        <w:t> </w:t>
      </w:r>
      <w:r>
        <w:rPr>
          <w:color w:val="231F20"/>
        </w:rPr>
        <w:t>providers</w:t>
      </w:r>
      <w:r>
        <w:rPr>
          <w:color w:val="231F20"/>
          <w:spacing w:val="21"/>
          <w:w w:val="99"/>
        </w:rPr>
        <w:t> </w:t>
      </w:r>
      <w:r>
        <w:rPr>
          <w:color w:val="231F20"/>
        </w:rPr>
        <w:t>analysed</w:t>
      </w:r>
      <w:r>
        <w:rPr>
          <w:color w:val="231F20"/>
          <w:spacing w:val="-4"/>
        </w:rPr>
        <w:t> </w:t>
      </w:r>
      <w:r>
        <w:rPr>
          <w:color w:val="231F20"/>
          <w:spacing w:val="-1"/>
        </w:rPr>
        <w:t>in</w:t>
      </w:r>
      <w:r>
        <w:rPr>
          <w:color w:val="231F20"/>
          <w:spacing w:val="-3"/>
        </w:rPr>
        <w:t> </w:t>
      </w:r>
      <w:r>
        <w:rPr>
          <w:color w:val="231F20"/>
        </w:rPr>
        <w:t>this</w:t>
      </w:r>
      <w:r>
        <w:rPr>
          <w:color w:val="231F20"/>
          <w:spacing w:val="-3"/>
        </w:rPr>
        <w:t> </w:t>
      </w:r>
      <w:r>
        <w:rPr>
          <w:color w:val="231F20"/>
        </w:rPr>
        <w:t>report</w:t>
      </w:r>
      <w:r>
        <w:rPr>
          <w:color w:val="231F20"/>
          <w:spacing w:val="-3"/>
        </w:rPr>
        <w:t> </w:t>
      </w:r>
      <w:r>
        <w:rPr>
          <w:color w:val="231F20"/>
          <w:spacing w:val="-1"/>
        </w:rPr>
        <w:t>in</w:t>
      </w:r>
      <w:r>
        <w:rPr>
          <w:color w:val="231F20"/>
          <w:spacing w:val="-3"/>
        </w:rPr>
        <w:t> </w:t>
      </w:r>
      <w:r>
        <w:rPr>
          <w:color w:val="231F20"/>
        </w:rPr>
        <w:t>each</w:t>
      </w:r>
      <w:r>
        <w:rPr>
          <w:color w:val="231F20"/>
          <w:spacing w:val="-3"/>
        </w:rPr>
        <w:t> </w:t>
      </w:r>
      <w:r>
        <w:rPr>
          <w:color w:val="231F20"/>
        </w:rPr>
        <w:t>class</w:t>
      </w:r>
      <w:r>
        <w:rPr>
          <w:color w:val="231F20"/>
          <w:spacing w:val="-3"/>
        </w:rPr>
        <w:t> </w:t>
      </w:r>
      <w:r>
        <w:rPr>
          <w:color w:val="231F20"/>
        </w:rPr>
        <w:t>are</w:t>
      </w:r>
      <w:r>
        <w:rPr>
          <w:color w:val="231F20"/>
          <w:spacing w:val="-4"/>
        </w:rPr>
        <w:t> </w:t>
      </w:r>
      <w:r>
        <w:rPr>
          <w:color w:val="231F20"/>
          <w:spacing w:val="-1"/>
        </w:rPr>
        <w:t>set</w:t>
      </w:r>
      <w:r>
        <w:rPr>
          <w:color w:val="231F20"/>
          <w:spacing w:val="22"/>
        </w:rPr>
        <w:t> </w:t>
      </w:r>
      <w:r>
        <w:rPr>
          <w:color w:val="231F20"/>
        </w:rPr>
        <w:t>out</w:t>
      </w:r>
      <w:r>
        <w:rPr>
          <w:color w:val="231F20"/>
          <w:spacing w:val="-9"/>
        </w:rPr>
        <w:t> </w:t>
      </w:r>
      <w:r>
        <w:rPr>
          <w:color w:val="231F20"/>
        </w:rPr>
        <w:t>below:</w:t>
      </w:r>
      <w:r>
        <w:rPr/>
      </w:r>
    </w:p>
    <w:p>
      <w:pPr>
        <w:spacing w:line="250" w:lineRule="exact" w:before="113"/>
        <w:ind w:left="327" w:right="132" w:hanging="227"/>
        <w:jc w:val="left"/>
        <w:rPr>
          <w:rFonts w:ascii="Segoe UI" w:hAnsi="Segoe UI" w:cs="Segoe UI" w:eastAsia="Segoe UI"/>
          <w:sz w:val="20"/>
          <w:szCs w:val="20"/>
        </w:rPr>
      </w:pPr>
      <w:r>
        <w:rPr>
          <w:rFonts w:ascii="Century Gothic" w:hAnsi="Century Gothic"/>
          <w:color w:val="231F20"/>
          <w:sz w:val="20"/>
        </w:rPr>
        <w:t>» </w:t>
      </w:r>
      <w:r>
        <w:rPr>
          <w:rFonts w:ascii="Century Gothic" w:hAnsi="Century Gothic"/>
          <w:color w:val="231F20"/>
          <w:spacing w:val="26"/>
          <w:sz w:val="20"/>
        </w:rPr>
        <w:t> </w:t>
      </w:r>
      <w:r>
        <w:rPr>
          <w:rFonts w:ascii="Segoe UI" w:hAnsi="Segoe UI"/>
          <w:b/>
          <w:color w:val="231F20"/>
          <w:sz w:val="20"/>
        </w:rPr>
        <w:t>Major</w:t>
      </w:r>
      <w:r>
        <w:rPr>
          <w:rFonts w:ascii="Segoe UI" w:hAnsi="Segoe UI"/>
          <w:b/>
          <w:color w:val="231F20"/>
          <w:spacing w:val="-3"/>
          <w:sz w:val="20"/>
        </w:rPr>
        <w:t> </w:t>
      </w:r>
      <w:r>
        <w:rPr>
          <w:rFonts w:ascii="Segoe UI" w:hAnsi="Segoe UI"/>
          <w:b/>
          <w:color w:val="231F20"/>
          <w:sz w:val="20"/>
        </w:rPr>
        <w:t>Cities</w:t>
      </w:r>
      <w:r>
        <w:rPr>
          <w:rFonts w:ascii="Segoe UI" w:hAnsi="Segoe UI"/>
          <w:b/>
          <w:color w:val="231F20"/>
          <w:spacing w:val="-3"/>
          <w:sz w:val="20"/>
        </w:rPr>
        <w:t> </w:t>
      </w:r>
      <w:r>
        <w:rPr>
          <w:rFonts w:ascii="Segoe UI" w:hAnsi="Segoe UI"/>
          <w:b/>
          <w:color w:val="231F20"/>
          <w:spacing w:val="-2"/>
          <w:sz w:val="20"/>
        </w:rPr>
        <w:t>of </w:t>
      </w:r>
      <w:r>
        <w:rPr>
          <w:rFonts w:ascii="Segoe UI" w:hAnsi="Segoe UI"/>
          <w:b/>
          <w:color w:val="231F20"/>
          <w:spacing w:val="-1"/>
          <w:sz w:val="20"/>
        </w:rPr>
        <w:t>Australia</w:t>
      </w:r>
      <w:r>
        <w:rPr>
          <w:rFonts w:ascii="Segoe UI" w:hAnsi="Segoe UI"/>
          <w:b/>
          <w:color w:val="231F20"/>
          <w:spacing w:val="-3"/>
          <w:sz w:val="20"/>
        </w:rPr>
        <w:t> </w:t>
      </w:r>
      <w:r>
        <w:rPr>
          <w:rFonts w:ascii="Segoe UI" w:hAnsi="Segoe UI"/>
          <w:color w:val="231F20"/>
          <w:sz w:val="20"/>
        </w:rPr>
        <w:t>(four</w:t>
      </w:r>
      <w:r>
        <w:rPr>
          <w:rFonts w:ascii="Segoe UI" w:hAnsi="Segoe UI"/>
          <w:color w:val="231F20"/>
          <w:spacing w:val="-3"/>
          <w:sz w:val="20"/>
        </w:rPr>
        <w:t> </w:t>
      </w:r>
      <w:r>
        <w:rPr>
          <w:rFonts w:ascii="Segoe UI" w:hAnsi="Segoe UI"/>
          <w:color w:val="231F20"/>
          <w:sz w:val="20"/>
        </w:rPr>
        <w:t>boarding</w:t>
      </w:r>
      <w:r>
        <w:rPr>
          <w:rFonts w:ascii="Segoe UI" w:hAnsi="Segoe UI"/>
          <w:color w:val="231F20"/>
          <w:spacing w:val="23"/>
          <w:w w:val="99"/>
          <w:sz w:val="20"/>
        </w:rPr>
        <w:t> </w:t>
      </w:r>
      <w:r>
        <w:rPr>
          <w:rFonts w:ascii="Segoe UI" w:hAnsi="Segoe UI"/>
          <w:color w:val="231F20"/>
          <w:sz w:val="20"/>
        </w:rPr>
        <w:t>providers)</w:t>
      </w:r>
      <w:r>
        <w:rPr>
          <w:rFonts w:ascii="Segoe UI" w:hAnsi="Segoe UI"/>
          <w:sz w:val="20"/>
        </w:rPr>
      </w:r>
    </w:p>
    <w:p>
      <w:pPr>
        <w:spacing w:line="250" w:lineRule="exact" w:before="113"/>
        <w:ind w:left="327" w:right="132" w:hanging="227"/>
        <w:jc w:val="left"/>
        <w:rPr>
          <w:rFonts w:ascii="Segoe UI" w:hAnsi="Segoe UI" w:cs="Segoe UI" w:eastAsia="Segoe UI"/>
          <w:sz w:val="20"/>
          <w:szCs w:val="20"/>
        </w:rPr>
      </w:pPr>
      <w:r>
        <w:rPr>
          <w:rFonts w:ascii="Century Gothic" w:hAnsi="Century Gothic"/>
          <w:color w:val="231F20"/>
          <w:sz w:val="20"/>
        </w:rPr>
        <w:t>» </w:t>
      </w:r>
      <w:r>
        <w:rPr>
          <w:rFonts w:ascii="Century Gothic" w:hAnsi="Century Gothic"/>
          <w:color w:val="231F20"/>
          <w:spacing w:val="23"/>
          <w:sz w:val="20"/>
        </w:rPr>
        <w:t> </w:t>
      </w:r>
      <w:r>
        <w:rPr>
          <w:rFonts w:ascii="Segoe UI" w:hAnsi="Segoe UI"/>
          <w:b/>
          <w:color w:val="231F20"/>
          <w:sz w:val="20"/>
        </w:rPr>
        <w:t>Inner</w:t>
      </w:r>
      <w:r>
        <w:rPr>
          <w:rFonts w:ascii="Segoe UI" w:hAnsi="Segoe UI"/>
          <w:b/>
          <w:color w:val="231F20"/>
          <w:spacing w:val="-4"/>
          <w:sz w:val="20"/>
        </w:rPr>
        <w:t> </w:t>
      </w:r>
      <w:r>
        <w:rPr>
          <w:rFonts w:ascii="Segoe UI" w:hAnsi="Segoe UI"/>
          <w:b/>
          <w:color w:val="231F20"/>
          <w:spacing w:val="-1"/>
          <w:sz w:val="20"/>
        </w:rPr>
        <w:t>Regional</w:t>
      </w:r>
      <w:r>
        <w:rPr>
          <w:rFonts w:ascii="Segoe UI" w:hAnsi="Segoe UI"/>
          <w:b/>
          <w:color w:val="231F20"/>
          <w:spacing w:val="-4"/>
          <w:sz w:val="20"/>
        </w:rPr>
        <w:t> </w:t>
      </w:r>
      <w:r>
        <w:rPr>
          <w:rFonts w:ascii="Segoe UI" w:hAnsi="Segoe UI"/>
          <w:b/>
          <w:color w:val="231F20"/>
          <w:spacing w:val="-1"/>
          <w:sz w:val="20"/>
        </w:rPr>
        <w:t>Australia</w:t>
      </w:r>
      <w:r>
        <w:rPr>
          <w:rFonts w:ascii="Segoe UI" w:hAnsi="Segoe UI"/>
          <w:b/>
          <w:color w:val="231F20"/>
          <w:spacing w:val="-4"/>
          <w:sz w:val="20"/>
        </w:rPr>
        <w:t> </w:t>
      </w:r>
      <w:r>
        <w:rPr>
          <w:rFonts w:ascii="Segoe UI" w:hAnsi="Segoe UI"/>
          <w:color w:val="231F20"/>
          <w:sz w:val="20"/>
        </w:rPr>
        <w:t>(two</w:t>
      </w:r>
      <w:r>
        <w:rPr>
          <w:rFonts w:ascii="Segoe UI" w:hAnsi="Segoe UI"/>
          <w:color w:val="231F20"/>
          <w:spacing w:val="-4"/>
          <w:sz w:val="20"/>
        </w:rPr>
        <w:t> </w:t>
      </w:r>
      <w:r>
        <w:rPr>
          <w:rFonts w:ascii="Segoe UI" w:hAnsi="Segoe UI"/>
          <w:color w:val="231F20"/>
          <w:sz w:val="20"/>
        </w:rPr>
        <w:t>boarding</w:t>
      </w:r>
      <w:r>
        <w:rPr>
          <w:rFonts w:ascii="Segoe UI" w:hAnsi="Segoe UI"/>
          <w:color w:val="231F20"/>
          <w:spacing w:val="24"/>
          <w:w w:val="99"/>
          <w:sz w:val="20"/>
        </w:rPr>
        <w:t> </w:t>
      </w:r>
      <w:r>
        <w:rPr>
          <w:rFonts w:ascii="Segoe UI" w:hAnsi="Segoe UI"/>
          <w:color w:val="231F20"/>
          <w:sz w:val="20"/>
        </w:rPr>
        <w:t>providers)</w:t>
      </w:r>
      <w:r>
        <w:rPr>
          <w:rFonts w:ascii="Segoe UI" w:hAnsi="Segoe UI"/>
          <w:sz w:val="20"/>
        </w:rPr>
      </w:r>
    </w:p>
    <w:p>
      <w:pPr>
        <w:spacing w:line="250" w:lineRule="exact" w:before="113"/>
        <w:ind w:left="327" w:right="132" w:hanging="227"/>
        <w:jc w:val="left"/>
        <w:rPr>
          <w:rFonts w:ascii="Segoe UI" w:hAnsi="Segoe UI" w:cs="Segoe UI" w:eastAsia="Segoe UI"/>
          <w:sz w:val="20"/>
          <w:szCs w:val="20"/>
        </w:rPr>
      </w:pPr>
      <w:r>
        <w:rPr>
          <w:rFonts w:ascii="Century Gothic" w:hAnsi="Century Gothic"/>
          <w:color w:val="231F20"/>
          <w:sz w:val="20"/>
        </w:rPr>
        <w:t>» </w:t>
      </w:r>
      <w:r>
        <w:rPr>
          <w:rFonts w:ascii="Century Gothic" w:hAnsi="Century Gothic"/>
          <w:color w:val="231F20"/>
          <w:spacing w:val="25"/>
          <w:sz w:val="20"/>
        </w:rPr>
        <w:t> </w:t>
      </w:r>
      <w:r>
        <w:rPr>
          <w:rFonts w:ascii="Segoe UI" w:hAnsi="Segoe UI"/>
          <w:b/>
          <w:color w:val="231F20"/>
          <w:spacing w:val="-1"/>
          <w:sz w:val="20"/>
        </w:rPr>
        <w:t>Outer</w:t>
      </w:r>
      <w:r>
        <w:rPr>
          <w:rFonts w:ascii="Segoe UI" w:hAnsi="Segoe UI"/>
          <w:b/>
          <w:color w:val="231F20"/>
          <w:spacing w:val="-3"/>
          <w:sz w:val="20"/>
        </w:rPr>
        <w:t> </w:t>
      </w:r>
      <w:r>
        <w:rPr>
          <w:rFonts w:ascii="Segoe UI" w:hAnsi="Segoe UI"/>
          <w:b/>
          <w:color w:val="231F20"/>
          <w:spacing w:val="-1"/>
          <w:sz w:val="20"/>
        </w:rPr>
        <w:t>Regional</w:t>
      </w:r>
      <w:r>
        <w:rPr>
          <w:rFonts w:ascii="Segoe UI" w:hAnsi="Segoe UI"/>
          <w:b/>
          <w:color w:val="231F20"/>
          <w:spacing w:val="-3"/>
          <w:sz w:val="20"/>
        </w:rPr>
        <w:t> </w:t>
      </w:r>
      <w:r>
        <w:rPr>
          <w:rFonts w:ascii="Segoe UI" w:hAnsi="Segoe UI"/>
          <w:b/>
          <w:color w:val="231F20"/>
          <w:spacing w:val="-1"/>
          <w:sz w:val="20"/>
        </w:rPr>
        <w:t>Australia</w:t>
      </w:r>
      <w:r>
        <w:rPr>
          <w:rFonts w:ascii="Segoe UI" w:hAnsi="Segoe UI"/>
          <w:b/>
          <w:color w:val="231F20"/>
          <w:spacing w:val="-2"/>
          <w:sz w:val="20"/>
        </w:rPr>
        <w:t> </w:t>
      </w:r>
      <w:r>
        <w:rPr>
          <w:rFonts w:ascii="Segoe UI" w:hAnsi="Segoe UI"/>
          <w:color w:val="231F20"/>
          <w:sz w:val="20"/>
        </w:rPr>
        <w:t>(12</w:t>
      </w:r>
      <w:r>
        <w:rPr>
          <w:rFonts w:ascii="Segoe UI" w:hAnsi="Segoe UI"/>
          <w:color w:val="231F20"/>
          <w:spacing w:val="-4"/>
          <w:sz w:val="20"/>
        </w:rPr>
        <w:t> </w:t>
      </w:r>
      <w:r>
        <w:rPr>
          <w:rFonts w:ascii="Segoe UI" w:hAnsi="Segoe UI"/>
          <w:color w:val="231F20"/>
          <w:sz w:val="20"/>
        </w:rPr>
        <w:t>boarding</w:t>
      </w:r>
      <w:r>
        <w:rPr>
          <w:rFonts w:ascii="Segoe UI" w:hAnsi="Segoe UI"/>
          <w:color w:val="231F20"/>
          <w:spacing w:val="27"/>
          <w:w w:val="99"/>
          <w:sz w:val="20"/>
        </w:rPr>
        <w:t> </w:t>
      </w:r>
      <w:r>
        <w:rPr>
          <w:rFonts w:ascii="Segoe UI" w:hAnsi="Segoe UI"/>
          <w:color w:val="231F20"/>
          <w:sz w:val="20"/>
        </w:rPr>
        <w:t>providers)</w:t>
      </w:r>
      <w:r>
        <w:rPr>
          <w:rFonts w:ascii="Segoe UI" w:hAnsi="Segoe UI"/>
          <w:sz w:val="20"/>
        </w:rPr>
      </w:r>
    </w:p>
    <w:p>
      <w:pPr>
        <w:spacing w:before="97"/>
        <w:ind w:left="100" w:right="0" w:firstLine="0"/>
        <w:jc w:val="left"/>
        <w:rPr>
          <w:rFonts w:ascii="Segoe UI" w:hAnsi="Segoe UI" w:cs="Segoe UI" w:eastAsia="Segoe UI"/>
          <w:sz w:val="20"/>
          <w:szCs w:val="20"/>
        </w:rPr>
      </w:pPr>
      <w:r>
        <w:rPr>
          <w:rFonts w:ascii="Century Gothic" w:hAnsi="Century Gothic"/>
          <w:color w:val="231F20"/>
          <w:sz w:val="20"/>
        </w:rPr>
        <w:t>» </w:t>
      </w:r>
      <w:r>
        <w:rPr>
          <w:rFonts w:ascii="Century Gothic" w:hAnsi="Century Gothic"/>
          <w:color w:val="231F20"/>
          <w:spacing w:val="21"/>
          <w:sz w:val="20"/>
        </w:rPr>
        <w:t> </w:t>
      </w:r>
      <w:r>
        <w:rPr>
          <w:rFonts w:ascii="Segoe UI" w:hAnsi="Segoe UI"/>
          <w:b/>
          <w:color w:val="231F20"/>
          <w:spacing w:val="-1"/>
          <w:sz w:val="20"/>
        </w:rPr>
        <w:t>Remote</w:t>
      </w:r>
      <w:r>
        <w:rPr>
          <w:rFonts w:ascii="Segoe UI" w:hAnsi="Segoe UI"/>
          <w:b/>
          <w:color w:val="231F20"/>
          <w:spacing w:val="-4"/>
          <w:sz w:val="20"/>
        </w:rPr>
        <w:t> </w:t>
      </w:r>
      <w:r>
        <w:rPr>
          <w:rFonts w:ascii="Segoe UI" w:hAnsi="Segoe UI"/>
          <w:b/>
          <w:color w:val="231F20"/>
          <w:spacing w:val="-1"/>
          <w:sz w:val="20"/>
        </w:rPr>
        <w:t>Australia</w:t>
      </w:r>
      <w:r>
        <w:rPr>
          <w:rFonts w:ascii="Segoe UI" w:hAnsi="Segoe UI"/>
          <w:b/>
          <w:color w:val="231F20"/>
          <w:spacing w:val="-5"/>
          <w:sz w:val="20"/>
        </w:rPr>
        <w:t> </w:t>
      </w:r>
      <w:r>
        <w:rPr>
          <w:rFonts w:ascii="Segoe UI" w:hAnsi="Segoe UI"/>
          <w:color w:val="231F20"/>
          <w:sz w:val="20"/>
        </w:rPr>
        <w:t>(three</w:t>
      </w:r>
      <w:r>
        <w:rPr>
          <w:rFonts w:ascii="Segoe UI" w:hAnsi="Segoe UI"/>
          <w:color w:val="231F20"/>
          <w:spacing w:val="-4"/>
          <w:sz w:val="20"/>
        </w:rPr>
        <w:t> </w:t>
      </w:r>
      <w:r>
        <w:rPr>
          <w:rFonts w:ascii="Segoe UI" w:hAnsi="Segoe UI"/>
          <w:color w:val="231F20"/>
          <w:sz w:val="20"/>
        </w:rPr>
        <w:t>boarding</w:t>
      </w:r>
      <w:r>
        <w:rPr>
          <w:rFonts w:ascii="Segoe UI" w:hAnsi="Segoe UI"/>
          <w:color w:val="231F20"/>
          <w:spacing w:val="-5"/>
          <w:sz w:val="20"/>
        </w:rPr>
        <w:t> </w:t>
      </w:r>
      <w:r>
        <w:rPr>
          <w:rFonts w:ascii="Segoe UI" w:hAnsi="Segoe UI"/>
          <w:color w:val="231F20"/>
          <w:sz w:val="20"/>
        </w:rPr>
        <w:t>providers)</w:t>
      </w:r>
      <w:r>
        <w:rPr>
          <w:rFonts w:ascii="Segoe UI" w:hAnsi="Segoe UI"/>
          <w:sz w:val="20"/>
        </w:rPr>
      </w:r>
    </w:p>
    <w:p>
      <w:pPr>
        <w:spacing w:line="250" w:lineRule="exact" w:before="113"/>
        <w:ind w:left="327" w:right="132" w:hanging="227"/>
        <w:jc w:val="left"/>
        <w:rPr>
          <w:rFonts w:ascii="Segoe UI" w:hAnsi="Segoe UI" w:cs="Segoe UI" w:eastAsia="Segoe UI"/>
          <w:sz w:val="20"/>
          <w:szCs w:val="20"/>
        </w:rPr>
      </w:pPr>
      <w:r>
        <w:rPr>
          <w:rFonts w:ascii="Century Gothic" w:hAnsi="Century Gothic"/>
          <w:color w:val="231F20"/>
          <w:sz w:val="20"/>
        </w:rPr>
        <w:t>» </w:t>
      </w:r>
      <w:r>
        <w:rPr>
          <w:rFonts w:ascii="Century Gothic" w:hAnsi="Century Gothic"/>
          <w:color w:val="231F20"/>
          <w:spacing w:val="25"/>
          <w:sz w:val="20"/>
        </w:rPr>
        <w:t> </w:t>
      </w:r>
      <w:r>
        <w:rPr>
          <w:rFonts w:ascii="Segoe UI" w:hAnsi="Segoe UI"/>
          <w:b/>
          <w:color w:val="231F20"/>
          <w:spacing w:val="-2"/>
          <w:sz w:val="20"/>
        </w:rPr>
        <w:t>Very </w:t>
      </w:r>
      <w:r>
        <w:rPr>
          <w:rFonts w:ascii="Segoe UI" w:hAnsi="Segoe UI"/>
          <w:b/>
          <w:color w:val="231F20"/>
          <w:spacing w:val="-1"/>
          <w:sz w:val="20"/>
        </w:rPr>
        <w:t>Remote</w:t>
      </w:r>
      <w:r>
        <w:rPr>
          <w:rFonts w:ascii="Segoe UI" w:hAnsi="Segoe UI"/>
          <w:b/>
          <w:color w:val="231F20"/>
          <w:spacing w:val="-2"/>
          <w:sz w:val="20"/>
        </w:rPr>
        <w:t> </w:t>
      </w:r>
      <w:r>
        <w:rPr>
          <w:rFonts w:ascii="Segoe UI" w:hAnsi="Segoe UI"/>
          <w:b/>
          <w:color w:val="231F20"/>
          <w:spacing w:val="-1"/>
          <w:sz w:val="20"/>
        </w:rPr>
        <w:t>Australia</w:t>
      </w:r>
      <w:r>
        <w:rPr>
          <w:rFonts w:ascii="Segoe UI" w:hAnsi="Segoe UI"/>
          <w:b/>
          <w:color w:val="231F20"/>
          <w:spacing w:val="-3"/>
          <w:sz w:val="20"/>
        </w:rPr>
        <w:t> </w:t>
      </w:r>
      <w:r>
        <w:rPr>
          <w:rFonts w:ascii="Segoe UI" w:hAnsi="Segoe UI"/>
          <w:color w:val="231F20"/>
          <w:sz w:val="20"/>
        </w:rPr>
        <w:t>(six</w:t>
      </w:r>
      <w:r>
        <w:rPr>
          <w:rFonts w:ascii="Segoe UI" w:hAnsi="Segoe UI"/>
          <w:color w:val="231F20"/>
          <w:spacing w:val="-3"/>
          <w:sz w:val="20"/>
        </w:rPr>
        <w:t> </w:t>
      </w:r>
      <w:r>
        <w:rPr>
          <w:rFonts w:ascii="Segoe UI" w:hAnsi="Segoe UI"/>
          <w:color w:val="231F20"/>
          <w:sz w:val="20"/>
        </w:rPr>
        <w:t>boarding</w:t>
      </w:r>
      <w:r>
        <w:rPr>
          <w:rFonts w:ascii="Segoe UI" w:hAnsi="Segoe UI"/>
          <w:color w:val="231F20"/>
          <w:spacing w:val="25"/>
          <w:w w:val="99"/>
          <w:sz w:val="20"/>
        </w:rPr>
        <w:t> </w:t>
      </w:r>
      <w:r>
        <w:rPr>
          <w:rFonts w:ascii="Segoe UI" w:hAnsi="Segoe UI"/>
          <w:color w:val="231F20"/>
          <w:sz w:val="20"/>
        </w:rPr>
        <w:t>providers).</w:t>
      </w:r>
      <w:r>
        <w:rPr>
          <w:rFonts w:ascii="Segoe UI" w:hAnsi="Segoe UI"/>
          <w:sz w:val="20"/>
        </w:rPr>
      </w:r>
    </w:p>
    <w:p>
      <w:pPr>
        <w:spacing w:after="0" w:line="250" w:lineRule="exact"/>
        <w:jc w:val="left"/>
        <w:rPr>
          <w:rFonts w:ascii="Segoe UI" w:hAnsi="Segoe UI" w:cs="Segoe UI" w:eastAsia="Segoe UI"/>
          <w:sz w:val="20"/>
          <w:szCs w:val="20"/>
        </w:rPr>
        <w:sectPr>
          <w:type w:val="continuous"/>
          <w:pgSz w:w="11910" w:h="16840"/>
          <w:pgMar w:top="1580" w:bottom="280" w:left="1600" w:right="1300"/>
          <w:cols w:num="2" w:equalWidth="0">
            <w:col w:w="4267" w:space="268"/>
            <w:col w:w="4475"/>
          </w:cols>
        </w:sectPr>
      </w:pPr>
    </w:p>
    <w:p>
      <w:pPr>
        <w:spacing w:line="240" w:lineRule="auto" w:before="0"/>
        <w:rPr>
          <w:rFonts w:ascii="Segoe UI" w:hAnsi="Segoe UI" w:cs="Segoe UI" w:eastAsia="Segoe UI"/>
          <w:sz w:val="20"/>
          <w:szCs w:val="20"/>
        </w:rPr>
      </w:pPr>
    </w:p>
    <w:p>
      <w:pPr>
        <w:spacing w:line="240" w:lineRule="auto" w:before="3"/>
        <w:rPr>
          <w:rFonts w:ascii="Segoe UI" w:hAnsi="Segoe UI" w:cs="Segoe UI" w:eastAsia="Segoe UI"/>
          <w:sz w:val="21"/>
          <w:szCs w:val="21"/>
        </w:rPr>
      </w:pPr>
    </w:p>
    <w:p>
      <w:pPr>
        <w:spacing w:before="55"/>
        <w:ind w:left="134" w:right="0" w:firstLine="0"/>
        <w:jc w:val="left"/>
        <w:rPr>
          <w:rFonts w:ascii="Segoe UI Semibold" w:hAnsi="Segoe UI Semibold" w:cs="Segoe UI Semibold" w:eastAsia="Segoe UI Semibold"/>
          <w:sz w:val="16"/>
          <w:szCs w:val="16"/>
        </w:rPr>
      </w:pPr>
      <w:r>
        <w:rPr>
          <w:rFonts w:ascii="Segoe UI Semibold" w:hAnsi="Segoe UI Semibold" w:cs="Segoe UI Semibold" w:eastAsia="Segoe UI Semibold"/>
          <w:b/>
          <w:bCs/>
          <w:color w:val="666155"/>
          <w:spacing w:val="1"/>
          <w:sz w:val="16"/>
          <w:szCs w:val="16"/>
        </w:rPr>
        <w:t>TABLE</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z w:val="16"/>
          <w:szCs w:val="16"/>
        </w:rPr>
        <w:t>3:</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THREE</w:t>
      </w:r>
      <w:r>
        <w:rPr>
          <w:rFonts w:ascii="Segoe UI Semibold" w:hAnsi="Segoe UI Semibold" w:cs="Segoe UI Semibold" w:eastAsia="Segoe UI Semibold"/>
          <w:b/>
          <w:bCs/>
          <w:color w:val="666155"/>
          <w:spacing w:val="4"/>
          <w:position w:val="1"/>
          <w:sz w:val="16"/>
          <w:szCs w:val="16"/>
        </w:rPr>
        <w:t>-</w:t>
      </w:r>
      <w:r>
        <w:rPr>
          <w:rFonts w:ascii="Segoe UI Semibold" w:hAnsi="Segoe UI Semibold" w:cs="Segoe UI Semibold" w:eastAsia="Segoe UI Semibold"/>
          <w:b/>
          <w:bCs/>
          <w:color w:val="666155"/>
          <w:spacing w:val="4"/>
          <w:sz w:val="16"/>
          <w:szCs w:val="16"/>
        </w:rPr>
        <w:t>YEAR</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2"/>
          <w:sz w:val="16"/>
          <w:szCs w:val="16"/>
        </w:rPr>
        <w:t>AVERAGE </w:t>
      </w:r>
      <w:r>
        <w:rPr>
          <w:rFonts w:ascii="Segoe UI Semibold" w:hAnsi="Segoe UI Semibold" w:cs="Segoe UI Semibold" w:eastAsia="Segoe UI Semibold"/>
          <w:b/>
          <w:bCs/>
          <w:color w:val="666155"/>
          <w:spacing w:val="3"/>
          <w:sz w:val="16"/>
          <w:szCs w:val="16"/>
        </w:rPr>
        <w:t>ANNUAL</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COST</w:t>
      </w:r>
      <w:r>
        <w:rPr>
          <w:rFonts w:ascii="Segoe UI Semibold" w:hAnsi="Segoe UI Semibold" w:cs="Segoe UI Semibold" w:eastAsia="Segoe UI Semibold"/>
          <w:b/>
          <w:bCs/>
          <w:color w:val="666155"/>
          <w:spacing w:val="2"/>
          <w:sz w:val="16"/>
          <w:szCs w:val="16"/>
        </w:rPr>
        <w:t> OF</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BOARDING</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PROVISION</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z w:val="16"/>
          <w:szCs w:val="16"/>
        </w:rPr>
        <w:t>BY</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3"/>
          <w:sz w:val="16"/>
          <w:szCs w:val="16"/>
        </w:rPr>
        <w:t>REMOTENESS,</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sz w:val="16"/>
          <w:szCs w:val="16"/>
        </w:rPr>
        <w:t>2015</w:t>
      </w:r>
      <w:r>
        <w:rPr>
          <w:rFonts w:ascii="Segoe UI Semibold" w:hAnsi="Segoe UI Semibold" w:cs="Segoe UI Semibold" w:eastAsia="Segoe UI Semibold"/>
          <w:b/>
          <w:bCs/>
          <w:color w:val="666155"/>
          <w:spacing w:val="-4"/>
          <w:sz w:val="16"/>
          <w:szCs w:val="16"/>
        </w:rPr>
        <w:t> </w:t>
      </w:r>
      <w:r>
        <w:rPr>
          <w:rFonts w:ascii="Segoe UI Semibold" w:hAnsi="Segoe UI Semibold" w:cs="Segoe UI Semibold" w:eastAsia="Segoe UI Semibold"/>
          <w:b/>
          <w:bCs/>
          <w:color w:val="666155"/>
          <w:position w:val="1"/>
          <w:sz w:val="16"/>
          <w:szCs w:val="16"/>
        </w:rPr>
        <w:t>—</w:t>
      </w:r>
      <w:r>
        <w:rPr>
          <w:rFonts w:ascii="Segoe UI Semibold" w:hAnsi="Segoe UI Semibold" w:cs="Segoe UI Semibold" w:eastAsia="Segoe UI Semibold"/>
          <w:b/>
          <w:bCs/>
          <w:color w:val="666155"/>
          <w:spacing w:val="-3"/>
          <w:position w:val="1"/>
          <w:sz w:val="16"/>
          <w:szCs w:val="16"/>
        </w:rPr>
        <w:t> </w:t>
      </w:r>
      <w:r>
        <w:rPr>
          <w:rFonts w:ascii="Segoe UI Semibold" w:hAnsi="Segoe UI Semibold" w:cs="Segoe UI Semibold" w:eastAsia="Segoe UI Semibold"/>
          <w:b/>
          <w:bCs/>
          <w:color w:val="666155"/>
          <w:spacing w:val="-1"/>
          <w:sz w:val="16"/>
          <w:szCs w:val="16"/>
        </w:rPr>
        <w:t>2017</w:t>
      </w:r>
      <w:r>
        <w:rPr>
          <w:rFonts w:ascii="Segoe UI Semibold" w:hAnsi="Segoe UI Semibold" w:cs="Segoe UI Semibold" w:eastAsia="Segoe UI Semibold"/>
          <w:sz w:val="16"/>
          <w:szCs w:val="16"/>
        </w:rPr>
      </w:r>
    </w:p>
    <w:p>
      <w:pPr>
        <w:spacing w:line="240" w:lineRule="auto" w:before="12"/>
        <w:rPr>
          <w:rFonts w:ascii="Segoe UI Semibold" w:hAnsi="Segoe UI Semibold" w:cs="Segoe UI Semibold" w:eastAsia="Segoe UI Semibold"/>
          <w:b/>
          <w:bCs/>
          <w:sz w:val="11"/>
          <w:szCs w:val="11"/>
        </w:rPr>
      </w:pPr>
    </w:p>
    <w:tbl>
      <w:tblPr>
        <w:tblW w:w="0" w:type="auto"/>
        <w:jc w:val="left"/>
        <w:tblInd w:w="131" w:type="dxa"/>
        <w:tblLayout w:type="fixed"/>
        <w:tblCellMar>
          <w:top w:w="0" w:type="dxa"/>
          <w:left w:w="0" w:type="dxa"/>
          <w:bottom w:w="0" w:type="dxa"/>
          <w:right w:w="0" w:type="dxa"/>
        </w:tblCellMar>
        <w:tblLook w:val="01E0"/>
      </w:tblPr>
      <w:tblGrid>
        <w:gridCol w:w="2405"/>
        <w:gridCol w:w="1247"/>
        <w:gridCol w:w="1247"/>
        <w:gridCol w:w="1247"/>
        <w:gridCol w:w="1247"/>
        <w:gridCol w:w="1247"/>
      </w:tblGrid>
      <w:tr>
        <w:trPr>
          <w:trHeight w:val="343" w:hRule="exact"/>
        </w:trPr>
        <w:tc>
          <w:tcPr>
            <w:tcW w:w="2405"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left="152" w:right="0"/>
              <w:jc w:val="left"/>
              <w:rPr>
                <w:rFonts w:ascii="Segoe UI" w:hAnsi="Segoe UI" w:cs="Segoe UI" w:eastAsia="Segoe UI"/>
                <w:sz w:val="16"/>
                <w:szCs w:val="16"/>
              </w:rPr>
            </w:pPr>
            <w:r>
              <w:rPr>
                <w:rFonts w:ascii="Segoe UI"/>
                <w:color w:val="231F20"/>
                <w:sz w:val="16"/>
              </w:rPr>
              <w:t>$</w:t>
            </w:r>
            <w:r>
              <w:rPr>
                <w:rFonts w:ascii="Segoe UI"/>
                <w:sz w:val="16"/>
              </w:rPr>
            </w:r>
          </w:p>
        </w:tc>
        <w:tc>
          <w:tcPr>
            <w:tcW w:w="1247"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left="314" w:right="0"/>
              <w:jc w:val="left"/>
              <w:rPr>
                <w:rFonts w:ascii="Segoe UI" w:hAnsi="Segoe UI" w:cs="Segoe UI" w:eastAsia="Segoe UI"/>
                <w:sz w:val="16"/>
                <w:szCs w:val="16"/>
              </w:rPr>
            </w:pPr>
            <w:r>
              <w:rPr>
                <w:rFonts w:ascii="Segoe UI"/>
                <w:color w:val="231F20"/>
                <w:sz w:val="16"/>
              </w:rPr>
              <w:t>Major</w:t>
            </w:r>
            <w:r>
              <w:rPr>
                <w:rFonts w:ascii="Segoe UI"/>
                <w:color w:val="231F20"/>
                <w:spacing w:val="-5"/>
                <w:sz w:val="16"/>
              </w:rPr>
              <w:t> </w:t>
            </w:r>
            <w:r>
              <w:rPr>
                <w:rFonts w:ascii="Segoe UI"/>
                <w:color w:val="231F20"/>
                <w:sz w:val="16"/>
              </w:rPr>
              <w:t>cities</w:t>
            </w:r>
            <w:r>
              <w:rPr>
                <w:rFonts w:ascii="Segoe UI"/>
                <w:sz w:val="16"/>
              </w:rPr>
            </w:r>
          </w:p>
        </w:tc>
        <w:tc>
          <w:tcPr>
            <w:tcW w:w="1247"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left="145" w:right="0"/>
              <w:jc w:val="left"/>
              <w:rPr>
                <w:rFonts w:ascii="Segoe UI" w:hAnsi="Segoe UI" w:cs="Segoe UI" w:eastAsia="Segoe UI"/>
                <w:sz w:val="16"/>
                <w:szCs w:val="16"/>
              </w:rPr>
            </w:pPr>
            <w:r>
              <w:rPr>
                <w:rFonts w:ascii="Segoe UI"/>
                <w:color w:val="231F20"/>
                <w:spacing w:val="-1"/>
                <w:sz w:val="16"/>
              </w:rPr>
              <w:t>Inner</w:t>
            </w:r>
            <w:r>
              <w:rPr>
                <w:rFonts w:ascii="Segoe UI"/>
                <w:color w:val="231F20"/>
                <w:spacing w:val="-10"/>
                <w:sz w:val="16"/>
              </w:rPr>
              <w:t> </w:t>
            </w:r>
            <w:r>
              <w:rPr>
                <w:rFonts w:ascii="Segoe UI"/>
                <w:color w:val="231F20"/>
                <w:sz w:val="16"/>
              </w:rPr>
              <w:t>regional</w:t>
            </w:r>
            <w:r>
              <w:rPr>
                <w:rFonts w:ascii="Segoe UI"/>
                <w:sz w:val="16"/>
              </w:rPr>
            </w:r>
          </w:p>
        </w:tc>
        <w:tc>
          <w:tcPr>
            <w:tcW w:w="1247"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left="108" w:right="0"/>
              <w:jc w:val="left"/>
              <w:rPr>
                <w:rFonts w:ascii="Segoe UI" w:hAnsi="Segoe UI" w:cs="Segoe UI" w:eastAsia="Segoe UI"/>
                <w:sz w:val="16"/>
                <w:szCs w:val="16"/>
              </w:rPr>
            </w:pPr>
            <w:r>
              <w:rPr>
                <w:rFonts w:ascii="Segoe UI"/>
                <w:color w:val="231F20"/>
                <w:sz w:val="16"/>
              </w:rPr>
              <w:t>Outer</w:t>
            </w:r>
            <w:r>
              <w:rPr>
                <w:rFonts w:ascii="Segoe UI"/>
                <w:color w:val="231F20"/>
                <w:spacing w:val="-16"/>
                <w:sz w:val="16"/>
              </w:rPr>
              <w:t> </w:t>
            </w:r>
            <w:r>
              <w:rPr>
                <w:rFonts w:ascii="Segoe UI"/>
                <w:color w:val="231F20"/>
                <w:sz w:val="16"/>
              </w:rPr>
              <w:t>regional</w:t>
            </w:r>
            <w:r>
              <w:rPr>
                <w:rFonts w:ascii="Segoe UI"/>
                <w:sz w:val="16"/>
              </w:rPr>
            </w:r>
          </w:p>
        </w:tc>
        <w:tc>
          <w:tcPr>
            <w:tcW w:w="1247"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left="584" w:right="0"/>
              <w:jc w:val="left"/>
              <w:rPr>
                <w:rFonts w:ascii="Segoe UI" w:hAnsi="Segoe UI" w:cs="Segoe UI" w:eastAsia="Segoe UI"/>
                <w:sz w:val="16"/>
                <w:szCs w:val="16"/>
              </w:rPr>
            </w:pPr>
            <w:r>
              <w:rPr>
                <w:rFonts w:ascii="Segoe UI"/>
                <w:color w:val="231F20"/>
                <w:spacing w:val="-1"/>
                <w:sz w:val="16"/>
              </w:rPr>
              <w:t>Remote</w:t>
            </w:r>
            <w:r>
              <w:rPr>
                <w:rFonts w:ascii="Segoe UI"/>
                <w:sz w:val="16"/>
              </w:rPr>
            </w:r>
          </w:p>
        </w:tc>
        <w:tc>
          <w:tcPr>
            <w:tcW w:w="1247"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left="270" w:right="0"/>
              <w:jc w:val="left"/>
              <w:rPr>
                <w:rFonts w:ascii="Segoe UI" w:hAnsi="Segoe UI" w:cs="Segoe UI" w:eastAsia="Segoe UI"/>
                <w:sz w:val="16"/>
                <w:szCs w:val="16"/>
              </w:rPr>
            </w:pPr>
            <w:r>
              <w:rPr>
                <w:rFonts w:ascii="Segoe UI"/>
                <w:color w:val="231F20"/>
                <w:spacing w:val="-3"/>
                <w:sz w:val="16"/>
              </w:rPr>
              <w:t>Very</w:t>
            </w:r>
            <w:r>
              <w:rPr>
                <w:rFonts w:ascii="Segoe UI"/>
                <w:color w:val="231F20"/>
                <w:spacing w:val="-8"/>
                <w:sz w:val="16"/>
              </w:rPr>
              <w:t> </w:t>
            </w:r>
            <w:r>
              <w:rPr>
                <w:rFonts w:ascii="Segoe UI"/>
                <w:color w:val="231F20"/>
                <w:sz w:val="16"/>
              </w:rPr>
              <w:t>remote</w:t>
            </w:r>
            <w:r>
              <w:rPr>
                <w:rFonts w:ascii="Segoe UI"/>
                <w:sz w:val="16"/>
              </w:rPr>
            </w:r>
          </w:p>
        </w:tc>
      </w:tr>
      <w:tr>
        <w:trPr>
          <w:trHeight w:val="548" w:hRule="exact"/>
        </w:trPr>
        <w:tc>
          <w:tcPr>
            <w:tcW w:w="2405" w:type="dxa"/>
            <w:tcBorders>
              <w:top w:val="single" w:sz="4" w:space="0" w:color="C1B5A9"/>
              <w:left w:val="single" w:sz="4" w:space="0" w:color="C1B5A9"/>
              <w:bottom w:val="single" w:sz="4" w:space="0" w:color="C1B5A9"/>
              <w:right w:val="single" w:sz="4" w:space="0" w:color="C1B5A9"/>
            </w:tcBorders>
          </w:tcPr>
          <w:p>
            <w:pPr>
              <w:pStyle w:val="TableParagraph"/>
              <w:spacing w:line="200" w:lineRule="exact" w:before="65"/>
              <w:ind w:left="108" w:right="338"/>
              <w:jc w:val="left"/>
              <w:rPr>
                <w:rFonts w:ascii="Segoe UI" w:hAnsi="Segoe UI" w:cs="Segoe UI" w:eastAsia="Segoe UI"/>
                <w:sz w:val="16"/>
                <w:szCs w:val="16"/>
              </w:rPr>
            </w:pPr>
            <w:r>
              <w:rPr>
                <w:rFonts w:ascii="Segoe UI"/>
                <w:color w:val="231F20"/>
                <w:sz w:val="16"/>
              </w:rPr>
              <w:t>Aboriginal</w:t>
            </w:r>
            <w:r>
              <w:rPr>
                <w:rFonts w:ascii="Segoe UI"/>
                <w:color w:val="231F20"/>
                <w:spacing w:val="-6"/>
                <w:sz w:val="16"/>
              </w:rPr>
              <w:t> </w:t>
            </w:r>
            <w:r>
              <w:rPr>
                <w:rFonts w:ascii="Segoe UI"/>
                <w:color w:val="231F20"/>
                <w:sz w:val="16"/>
              </w:rPr>
              <w:t>and</w:t>
            </w:r>
            <w:r>
              <w:rPr>
                <w:rFonts w:ascii="Segoe UI"/>
                <w:color w:val="231F20"/>
                <w:spacing w:val="-7"/>
                <w:sz w:val="16"/>
              </w:rPr>
              <w:t> </w:t>
            </w:r>
            <w:r>
              <w:rPr>
                <w:rFonts w:ascii="Segoe UI"/>
                <w:color w:val="231F20"/>
                <w:spacing w:val="-3"/>
                <w:sz w:val="16"/>
              </w:rPr>
              <w:t>Torres</w:t>
            </w:r>
            <w:r>
              <w:rPr>
                <w:rFonts w:ascii="Segoe UI"/>
                <w:color w:val="231F20"/>
                <w:spacing w:val="-6"/>
                <w:sz w:val="16"/>
              </w:rPr>
              <w:t> </w:t>
            </w:r>
            <w:r>
              <w:rPr>
                <w:rFonts w:ascii="Segoe UI"/>
                <w:color w:val="231F20"/>
                <w:spacing w:val="-1"/>
                <w:sz w:val="16"/>
              </w:rPr>
              <w:t>Strait</w:t>
            </w:r>
            <w:r>
              <w:rPr>
                <w:rFonts w:ascii="Segoe UI"/>
                <w:color w:val="231F20"/>
                <w:spacing w:val="22"/>
                <w:w w:val="99"/>
                <w:sz w:val="16"/>
              </w:rPr>
              <w:t> </w:t>
            </w:r>
            <w:r>
              <w:rPr>
                <w:rFonts w:ascii="Segoe UI"/>
                <w:color w:val="231F20"/>
                <w:spacing w:val="-1"/>
                <w:sz w:val="16"/>
              </w:rPr>
              <w:t>Islander</w:t>
            </w:r>
            <w:r>
              <w:rPr>
                <w:rFonts w:ascii="Segoe UI"/>
                <w:color w:val="231F20"/>
                <w:spacing w:val="-10"/>
                <w:sz w:val="16"/>
              </w:rPr>
              <w:t> </w:t>
            </w:r>
            <w:r>
              <w:rPr>
                <w:rFonts w:ascii="Segoe UI"/>
                <w:color w:val="231F20"/>
                <w:sz w:val="16"/>
              </w:rPr>
              <w:t>boarding</w:t>
            </w:r>
            <w:r>
              <w:rPr>
                <w:rFonts w:ascii="Segoe UI"/>
                <w:color w:val="231F20"/>
                <w:spacing w:val="-10"/>
                <w:sz w:val="16"/>
              </w:rPr>
              <w:t> </w:t>
            </w:r>
            <w:r>
              <w:rPr>
                <w:rFonts w:ascii="Segoe UI"/>
                <w:color w:val="231F20"/>
                <w:sz w:val="16"/>
              </w:rPr>
              <w:t>providers</w:t>
            </w:r>
            <w:r>
              <w:rPr>
                <w:rFonts w:ascii="Segoe UI"/>
                <w:sz w:val="16"/>
              </w:rPr>
            </w:r>
          </w:p>
        </w:tc>
        <w:tc>
          <w:tcPr>
            <w:tcW w:w="124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13"/>
              <w:ind w:right="0"/>
              <w:jc w:val="left"/>
              <w:rPr>
                <w:rFonts w:ascii="Segoe UI Semibold" w:hAnsi="Segoe UI Semibold" w:cs="Segoe UI Semibold" w:eastAsia="Segoe UI Semibold"/>
                <w:b/>
                <w:bCs/>
                <w:sz w:val="18"/>
                <w:szCs w:val="18"/>
              </w:rPr>
            </w:pPr>
          </w:p>
          <w:p>
            <w:pPr>
              <w:pStyle w:val="TableParagraph"/>
              <w:spacing w:line="240" w:lineRule="auto"/>
              <w:ind w:left="662" w:right="0"/>
              <w:jc w:val="left"/>
              <w:rPr>
                <w:rFonts w:ascii="Segoe UI" w:hAnsi="Segoe UI" w:cs="Segoe UI" w:eastAsia="Segoe UI"/>
                <w:sz w:val="16"/>
                <w:szCs w:val="16"/>
              </w:rPr>
            </w:pPr>
            <w:r>
              <w:rPr>
                <w:rFonts w:ascii="Segoe UI"/>
                <w:color w:val="231F20"/>
                <w:sz w:val="16"/>
              </w:rPr>
              <w:t>25,021</w:t>
            </w:r>
            <w:r>
              <w:rPr>
                <w:rFonts w:ascii="Segoe UI"/>
                <w:sz w:val="16"/>
              </w:rPr>
            </w:r>
          </w:p>
        </w:tc>
        <w:tc>
          <w:tcPr>
            <w:tcW w:w="124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13"/>
              <w:ind w:right="0"/>
              <w:jc w:val="left"/>
              <w:rPr>
                <w:rFonts w:ascii="Segoe UI Semibold" w:hAnsi="Segoe UI Semibold" w:cs="Segoe UI Semibold" w:eastAsia="Segoe UI Semibold"/>
                <w:b/>
                <w:bCs/>
                <w:sz w:val="18"/>
                <w:szCs w:val="18"/>
              </w:rPr>
            </w:pPr>
          </w:p>
          <w:p>
            <w:pPr>
              <w:pStyle w:val="TableParagraph"/>
              <w:spacing w:line="240" w:lineRule="auto"/>
              <w:ind w:left="662" w:right="0"/>
              <w:jc w:val="left"/>
              <w:rPr>
                <w:rFonts w:ascii="Segoe UI" w:hAnsi="Segoe UI" w:cs="Segoe UI" w:eastAsia="Segoe UI"/>
                <w:sz w:val="16"/>
                <w:szCs w:val="16"/>
              </w:rPr>
            </w:pPr>
            <w:r>
              <w:rPr>
                <w:rFonts w:ascii="Segoe UI"/>
                <w:color w:val="231F20"/>
                <w:sz w:val="16"/>
              </w:rPr>
              <w:t>17,534</w:t>
            </w:r>
            <w:r>
              <w:rPr>
                <w:rFonts w:ascii="Segoe UI"/>
                <w:sz w:val="16"/>
              </w:rPr>
            </w:r>
          </w:p>
        </w:tc>
        <w:tc>
          <w:tcPr>
            <w:tcW w:w="124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13"/>
              <w:ind w:right="0"/>
              <w:jc w:val="left"/>
              <w:rPr>
                <w:rFonts w:ascii="Segoe UI Semibold" w:hAnsi="Segoe UI Semibold" w:cs="Segoe UI Semibold" w:eastAsia="Segoe UI Semibold"/>
                <w:b/>
                <w:bCs/>
                <w:sz w:val="18"/>
                <w:szCs w:val="18"/>
              </w:rPr>
            </w:pPr>
          </w:p>
          <w:p>
            <w:pPr>
              <w:pStyle w:val="TableParagraph"/>
              <w:spacing w:line="240" w:lineRule="auto"/>
              <w:ind w:left="662" w:right="0"/>
              <w:jc w:val="left"/>
              <w:rPr>
                <w:rFonts w:ascii="Segoe UI" w:hAnsi="Segoe UI" w:cs="Segoe UI" w:eastAsia="Segoe UI"/>
                <w:sz w:val="16"/>
                <w:szCs w:val="16"/>
              </w:rPr>
            </w:pPr>
            <w:r>
              <w:rPr>
                <w:rFonts w:ascii="Segoe UI"/>
                <w:color w:val="231F20"/>
                <w:sz w:val="16"/>
              </w:rPr>
              <w:t>26,384</w:t>
            </w:r>
            <w:r>
              <w:rPr>
                <w:rFonts w:ascii="Segoe UI"/>
                <w:sz w:val="16"/>
              </w:rPr>
            </w:r>
          </w:p>
        </w:tc>
        <w:tc>
          <w:tcPr>
            <w:tcW w:w="124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13"/>
              <w:ind w:right="0"/>
              <w:jc w:val="left"/>
              <w:rPr>
                <w:rFonts w:ascii="Segoe UI Semibold" w:hAnsi="Segoe UI Semibold" w:cs="Segoe UI Semibold" w:eastAsia="Segoe UI Semibold"/>
                <w:b/>
                <w:bCs/>
                <w:sz w:val="18"/>
                <w:szCs w:val="18"/>
              </w:rPr>
            </w:pPr>
          </w:p>
          <w:p>
            <w:pPr>
              <w:pStyle w:val="TableParagraph"/>
              <w:spacing w:line="240" w:lineRule="auto"/>
              <w:ind w:left="662" w:right="0"/>
              <w:jc w:val="left"/>
              <w:rPr>
                <w:rFonts w:ascii="Segoe UI" w:hAnsi="Segoe UI" w:cs="Segoe UI" w:eastAsia="Segoe UI"/>
                <w:sz w:val="16"/>
                <w:szCs w:val="16"/>
              </w:rPr>
            </w:pPr>
            <w:r>
              <w:rPr>
                <w:rFonts w:ascii="Segoe UI"/>
                <w:color w:val="231F20"/>
                <w:sz w:val="16"/>
              </w:rPr>
              <w:t>19,441</w:t>
            </w:r>
            <w:r>
              <w:rPr>
                <w:rFonts w:ascii="Segoe UI"/>
                <w:sz w:val="16"/>
              </w:rPr>
            </w:r>
          </w:p>
        </w:tc>
        <w:tc>
          <w:tcPr>
            <w:tcW w:w="124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13"/>
              <w:ind w:right="0"/>
              <w:jc w:val="left"/>
              <w:rPr>
                <w:rFonts w:ascii="Segoe UI Semibold" w:hAnsi="Segoe UI Semibold" w:cs="Segoe UI Semibold" w:eastAsia="Segoe UI Semibold"/>
                <w:b/>
                <w:bCs/>
                <w:sz w:val="18"/>
                <w:szCs w:val="18"/>
              </w:rPr>
            </w:pPr>
          </w:p>
          <w:p>
            <w:pPr>
              <w:pStyle w:val="TableParagraph"/>
              <w:spacing w:line="240" w:lineRule="auto"/>
              <w:ind w:left="662" w:right="0"/>
              <w:jc w:val="left"/>
              <w:rPr>
                <w:rFonts w:ascii="Segoe UI" w:hAnsi="Segoe UI" w:cs="Segoe UI" w:eastAsia="Segoe UI"/>
                <w:sz w:val="16"/>
                <w:szCs w:val="16"/>
              </w:rPr>
            </w:pPr>
            <w:r>
              <w:rPr>
                <w:rFonts w:ascii="Segoe UI"/>
                <w:color w:val="231F20"/>
                <w:sz w:val="16"/>
              </w:rPr>
              <w:t>28,208</w:t>
            </w:r>
            <w:r>
              <w:rPr>
                <w:rFonts w:ascii="Segoe UI"/>
                <w:sz w:val="16"/>
              </w:rPr>
            </w:r>
          </w:p>
        </w:tc>
      </w:tr>
      <w:tr>
        <w:trPr>
          <w:trHeight w:val="543" w:hRule="exact"/>
        </w:trPr>
        <w:tc>
          <w:tcPr>
            <w:tcW w:w="2405" w:type="dxa"/>
            <w:tcBorders>
              <w:top w:val="single" w:sz="4" w:space="0" w:color="C1B5A9"/>
              <w:left w:val="single" w:sz="4" w:space="0" w:color="C1B5A9"/>
              <w:bottom w:val="single" w:sz="4" w:space="0" w:color="C1B5A9"/>
              <w:right w:val="single" w:sz="4" w:space="0" w:color="C1B5A9"/>
            </w:tcBorders>
          </w:tcPr>
          <w:p>
            <w:pPr>
              <w:pStyle w:val="TableParagraph"/>
              <w:spacing w:line="200" w:lineRule="exact" w:before="64"/>
              <w:ind w:left="108" w:right="762"/>
              <w:jc w:val="left"/>
              <w:rPr>
                <w:rFonts w:ascii="Segoe UI" w:hAnsi="Segoe UI" w:cs="Segoe UI" w:eastAsia="Segoe UI"/>
                <w:sz w:val="16"/>
                <w:szCs w:val="16"/>
              </w:rPr>
            </w:pPr>
            <w:r>
              <w:rPr>
                <w:rFonts w:ascii="Segoe UI"/>
                <w:color w:val="231F20"/>
                <w:sz w:val="16"/>
              </w:rPr>
              <w:t>Mainstream</w:t>
            </w:r>
            <w:r>
              <w:rPr>
                <w:rFonts w:ascii="Segoe UI"/>
                <w:color w:val="231F20"/>
                <w:spacing w:val="-16"/>
                <w:sz w:val="16"/>
              </w:rPr>
              <w:t> </w:t>
            </w:r>
            <w:r>
              <w:rPr>
                <w:rFonts w:ascii="Segoe UI"/>
                <w:color w:val="231F20"/>
                <w:sz w:val="16"/>
              </w:rPr>
              <w:t>boarding</w:t>
            </w:r>
            <w:r>
              <w:rPr>
                <w:rFonts w:ascii="Segoe UI"/>
                <w:color w:val="231F20"/>
                <w:w w:val="99"/>
                <w:sz w:val="16"/>
              </w:rPr>
              <w:t> </w:t>
            </w:r>
            <w:r>
              <w:rPr>
                <w:rFonts w:ascii="Segoe UI"/>
                <w:color w:val="231F20"/>
                <w:sz w:val="16"/>
              </w:rPr>
              <w:t>providers</w:t>
            </w:r>
            <w:r>
              <w:rPr>
                <w:rFonts w:ascii="Segoe UI"/>
                <w:sz w:val="16"/>
              </w:rPr>
            </w:r>
          </w:p>
        </w:tc>
        <w:tc>
          <w:tcPr>
            <w:tcW w:w="124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13"/>
              <w:ind w:right="0"/>
              <w:jc w:val="left"/>
              <w:rPr>
                <w:rFonts w:ascii="Segoe UI Semibold" w:hAnsi="Segoe UI Semibold" w:cs="Segoe UI Semibold" w:eastAsia="Segoe UI Semibold"/>
                <w:b/>
                <w:bCs/>
                <w:sz w:val="18"/>
                <w:szCs w:val="18"/>
              </w:rPr>
            </w:pPr>
          </w:p>
          <w:p>
            <w:pPr>
              <w:pStyle w:val="TableParagraph"/>
              <w:spacing w:line="240" w:lineRule="auto"/>
              <w:ind w:left="662" w:right="0"/>
              <w:jc w:val="left"/>
              <w:rPr>
                <w:rFonts w:ascii="Segoe UI" w:hAnsi="Segoe UI" w:cs="Segoe UI" w:eastAsia="Segoe UI"/>
                <w:sz w:val="16"/>
                <w:szCs w:val="16"/>
              </w:rPr>
            </w:pPr>
            <w:r>
              <w:rPr>
                <w:rFonts w:ascii="Segoe UI"/>
                <w:color w:val="231F20"/>
                <w:sz w:val="16"/>
              </w:rPr>
              <w:t>20,881</w:t>
            </w:r>
            <w:r>
              <w:rPr>
                <w:rFonts w:ascii="Segoe UI"/>
                <w:sz w:val="16"/>
              </w:rPr>
            </w:r>
          </w:p>
        </w:tc>
        <w:tc>
          <w:tcPr>
            <w:tcW w:w="124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13"/>
              <w:ind w:right="0"/>
              <w:jc w:val="left"/>
              <w:rPr>
                <w:rFonts w:ascii="Segoe UI Semibold" w:hAnsi="Segoe UI Semibold" w:cs="Segoe UI Semibold" w:eastAsia="Segoe UI Semibold"/>
                <w:b/>
                <w:bCs/>
                <w:sz w:val="18"/>
                <w:szCs w:val="18"/>
              </w:rPr>
            </w:pPr>
          </w:p>
          <w:p>
            <w:pPr>
              <w:pStyle w:val="TableParagraph"/>
              <w:spacing w:line="240" w:lineRule="auto"/>
              <w:ind w:left="662" w:right="0"/>
              <w:jc w:val="left"/>
              <w:rPr>
                <w:rFonts w:ascii="Segoe UI" w:hAnsi="Segoe UI" w:cs="Segoe UI" w:eastAsia="Segoe UI"/>
                <w:sz w:val="16"/>
                <w:szCs w:val="16"/>
              </w:rPr>
            </w:pPr>
            <w:r>
              <w:rPr>
                <w:rFonts w:ascii="Segoe UI"/>
                <w:color w:val="231F20"/>
                <w:sz w:val="16"/>
              </w:rPr>
              <w:t>18,984</w:t>
            </w:r>
            <w:r>
              <w:rPr>
                <w:rFonts w:ascii="Segoe UI"/>
                <w:sz w:val="16"/>
              </w:rPr>
            </w:r>
          </w:p>
        </w:tc>
        <w:tc>
          <w:tcPr>
            <w:tcW w:w="124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662" w:right="0"/>
              <w:jc w:val="left"/>
              <w:rPr>
                <w:rFonts w:ascii="Segoe UI" w:hAnsi="Segoe UI" w:cs="Segoe UI" w:eastAsia="Segoe UI"/>
                <w:sz w:val="16"/>
                <w:szCs w:val="16"/>
              </w:rPr>
            </w:pPr>
            <w:r>
              <w:rPr>
                <w:rFonts w:ascii="Segoe UI"/>
                <w:color w:val="231F20"/>
                <w:sz w:val="16"/>
              </w:rPr>
              <w:t>18,970</w:t>
            </w:r>
            <w:r>
              <w:rPr>
                <w:rFonts w:ascii="Segoe UI"/>
                <w:sz w:val="16"/>
              </w:rPr>
            </w:r>
          </w:p>
        </w:tc>
        <w:tc>
          <w:tcPr>
            <w:tcW w:w="124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right="106"/>
              <w:jc w:val="right"/>
              <w:rPr>
                <w:rFonts w:ascii="Segoe UI" w:hAnsi="Segoe UI" w:cs="Segoe UI" w:eastAsia="Segoe UI"/>
                <w:sz w:val="16"/>
                <w:szCs w:val="16"/>
              </w:rPr>
            </w:pPr>
            <w:r>
              <w:rPr>
                <w:rFonts w:ascii="Segoe UI"/>
                <w:color w:val="231F20"/>
                <w:w w:val="95"/>
                <w:sz w:val="16"/>
              </w:rPr>
              <w:t>-</w:t>
            </w:r>
            <w:r>
              <w:rPr>
                <w:rFonts w:ascii="Segoe UI"/>
                <w:sz w:val="16"/>
              </w:rPr>
            </w:r>
          </w:p>
        </w:tc>
        <w:tc>
          <w:tcPr>
            <w:tcW w:w="124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13"/>
              <w:ind w:right="0"/>
              <w:jc w:val="left"/>
              <w:rPr>
                <w:rFonts w:ascii="Segoe UI Semibold" w:hAnsi="Segoe UI Semibold" w:cs="Segoe UI Semibold" w:eastAsia="Segoe UI Semibold"/>
                <w:b/>
                <w:bCs/>
                <w:sz w:val="18"/>
                <w:szCs w:val="18"/>
              </w:rPr>
            </w:pPr>
          </w:p>
          <w:p>
            <w:pPr>
              <w:pStyle w:val="TableParagraph"/>
              <w:spacing w:line="240" w:lineRule="auto"/>
              <w:ind w:right="106"/>
              <w:jc w:val="right"/>
              <w:rPr>
                <w:rFonts w:ascii="Segoe UI" w:hAnsi="Segoe UI" w:cs="Segoe UI" w:eastAsia="Segoe UI"/>
                <w:sz w:val="16"/>
                <w:szCs w:val="16"/>
              </w:rPr>
            </w:pPr>
            <w:r>
              <w:rPr>
                <w:rFonts w:ascii="Segoe UI"/>
                <w:color w:val="231F20"/>
                <w:w w:val="95"/>
                <w:sz w:val="16"/>
              </w:rPr>
              <w:t>-</w:t>
            </w:r>
            <w:r>
              <w:rPr>
                <w:rFonts w:ascii="Segoe UI"/>
                <w:sz w:val="16"/>
              </w:rPr>
            </w:r>
          </w:p>
        </w:tc>
      </w:tr>
    </w:tbl>
    <w:p>
      <w:pPr>
        <w:spacing w:line="240" w:lineRule="auto" w:before="0"/>
        <w:rPr>
          <w:rFonts w:ascii="Segoe UI Semibold" w:hAnsi="Segoe UI Semibold" w:cs="Segoe UI Semibold" w:eastAsia="Segoe UI Semibold"/>
          <w:b/>
          <w:bCs/>
          <w:sz w:val="20"/>
          <w:szCs w:val="20"/>
        </w:rPr>
      </w:pPr>
    </w:p>
    <w:p>
      <w:pPr>
        <w:spacing w:after="0" w:line="240" w:lineRule="auto"/>
        <w:rPr>
          <w:rFonts w:ascii="Segoe UI Semibold" w:hAnsi="Segoe UI Semibold" w:cs="Segoe UI Semibold" w:eastAsia="Segoe UI Semibold"/>
          <w:sz w:val="20"/>
          <w:szCs w:val="20"/>
        </w:rPr>
        <w:sectPr>
          <w:pgSz w:w="11910" w:h="16840"/>
          <w:pgMar w:header="0" w:footer="691" w:top="1580" w:bottom="880" w:left="1300" w:right="1600"/>
        </w:sectPr>
      </w:pPr>
    </w:p>
    <w:p>
      <w:pPr>
        <w:spacing w:line="240" w:lineRule="auto" w:before="8"/>
        <w:rPr>
          <w:rFonts w:ascii="Segoe UI Semibold" w:hAnsi="Segoe UI Semibold" w:cs="Segoe UI Semibold" w:eastAsia="Segoe UI Semibold"/>
          <w:b/>
          <w:bCs/>
          <w:sz w:val="15"/>
          <w:szCs w:val="15"/>
        </w:rPr>
      </w:pPr>
    </w:p>
    <w:p>
      <w:pPr>
        <w:pStyle w:val="BodyText"/>
        <w:spacing w:line="250" w:lineRule="exact"/>
        <w:ind w:right="40"/>
        <w:jc w:val="left"/>
      </w:pPr>
      <w:r>
        <w:rPr>
          <w:color w:val="231F20"/>
          <w:spacing w:val="-1"/>
        </w:rPr>
        <w:t>While</w:t>
      </w:r>
      <w:r>
        <w:rPr>
          <w:color w:val="231F20"/>
          <w:spacing w:val="-6"/>
        </w:rPr>
        <w:t> </w:t>
      </w:r>
      <w:r>
        <w:rPr>
          <w:color w:val="231F20"/>
        </w:rPr>
        <w:t>a</w:t>
      </w:r>
      <w:r>
        <w:rPr>
          <w:color w:val="231F20"/>
          <w:spacing w:val="-5"/>
        </w:rPr>
        <w:t> </w:t>
      </w:r>
      <w:r>
        <w:rPr>
          <w:color w:val="231F20"/>
        </w:rPr>
        <w:t>number</w:t>
      </w:r>
      <w:r>
        <w:rPr>
          <w:color w:val="231F20"/>
          <w:spacing w:val="-6"/>
        </w:rPr>
        <w:t> </w:t>
      </w:r>
      <w:r>
        <w:rPr>
          <w:color w:val="231F20"/>
        </w:rPr>
        <w:t>of</w:t>
      </w:r>
      <w:r>
        <w:rPr>
          <w:color w:val="231F20"/>
          <w:spacing w:val="-5"/>
        </w:rPr>
        <w:t> </w:t>
      </w:r>
      <w:r>
        <w:rPr>
          <w:color w:val="231F20"/>
        </w:rPr>
        <w:t>boarding</w:t>
      </w:r>
      <w:r>
        <w:rPr>
          <w:color w:val="231F20"/>
          <w:spacing w:val="-7"/>
        </w:rPr>
        <w:t> </w:t>
      </w:r>
      <w:r>
        <w:rPr>
          <w:color w:val="231F20"/>
        </w:rPr>
        <w:t>providers</w:t>
      </w:r>
      <w:r>
        <w:rPr>
          <w:color w:val="231F20"/>
          <w:spacing w:val="-6"/>
        </w:rPr>
        <w:t> </w:t>
      </w:r>
      <w:r>
        <w:rPr>
          <w:color w:val="231F20"/>
        </w:rPr>
        <w:t>noted</w:t>
      </w:r>
      <w:r>
        <w:rPr>
          <w:color w:val="231F20"/>
          <w:spacing w:val="21"/>
          <w:w w:val="99"/>
        </w:rPr>
        <w:t> </w:t>
      </w:r>
      <w:r>
        <w:rPr>
          <w:color w:val="231F20"/>
        </w:rPr>
        <w:t>additional</w:t>
      </w:r>
      <w:r>
        <w:rPr>
          <w:color w:val="231F20"/>
          <w:spacing w:val="-10"/>
        </w:rPr>
        <w:t> </w:t>
      </w:r>
      <w:r>
        <w:rPr>
          <w:color w:val="231F20"/>
        </w:rPr>
        <w:t>costs</w:t>
      </w:r>
      <w:r>
        <w:rPr>
          <w:color w:val="231F20"/>
          <w:spacing w:val="-9"/>
        </w:rPr>
        <w:t> </w:t>
      </w:r>
      <w:r>
        <w:rPr>
          <w:color w:val="231F20"/>
        </w:rPr>
        <w:t>associated</w:t>
      </w:r>
      <w:r>
        <w:rPr>
          <w:color w:val="231F20"/>
          <w:spacing w:val="-9"/>
        </w:rPr>
        <w:t> </w:t>
      </w:r>
      <w:r>
        <w:rPr>
          <w:color w:val="231F20"/>
        </w:rPr>
        <w:t>with</w:t>
      </w:r>
      <w:r>
        <w:rPr>
          <w:color w:val="231F20"/>
          <w:spacing w:val="-9"/>
        </w:rPr>
        <w:t> </w:t>
      </w:r>
      <w:r>
        <w:rPr>
          <w:color w:val="231F20"/>
        </w:rPr>
        <w:t>remoteness,</w:t>
      </w:r>
      <w:r>
        <w:rPr>
          <w:color w:val="231F20"/>
          <w:w w:val="99"/>
        </w:rPr>
        <w:t> </w:t>
      </w:r>
      <w:r>
        <w:rPr>
          <w:rFonts w:ascii="Segoe UI"/>
          <w:color w:val="231F20"/>
        </w:rPr>
        <w:t>particularly around staffing costs, electricity and</w:t>
      </w:r>
      <w:r>
        <w:rPr>
          <w:rFonts w:ascii="Segoe UI"/>
          <w:color w:val="231F20"/>
        </w:rPr>
        <w:t> </w:t>
      </w:r>
      <w:r>
        <w:rPr>
          <w:color w:val="231F20"/>
        </w:rPr>
        <w:t>freight,</w:t>
      </w:r>
      <w:r>
        <w:rPr>
          <w:color w:val="231F20"/>
          <w:spacing w:val="-5"/>
        </w:rPr>
        <w:t> </w:t>
      </w:r>
      <w:r>
        <w:rPr>
          <w:color w:val="231F20"/>
        </w:rPr>
        <w:t>the</w:t>
      </w:r>
      <w:r>
        <w:rPr>
          <w:color w:val="231F20"/>
          <w:spacing w:val="-6"/>
        </w:rPr>
        <w:t> </w:t>
      </w:r>
      <w:r>
        <w:rPr>
          <w:color w:val="231F20"/>
        </w:rPr>
        <w:t>data</w:t>
      </w:r>
      <w:r>
        <w:rPr>
          <w:color w:val="231F20"/>
          <w:spacing w:val="-6"/>
        </w:rPr>
        <w:t> </w:t>
      </w:r>
      <w:r>
        <w:rPr>
          <w:color w:val="231F20"/>
          <w:spacing w:val="-1"/>
        </w:rPr>
        <w:t>indicates</w:t>
      </w:r>
      <w:r>
        <w:rPr>
          <w:color w:val="231F20"/>
          <w:spacing w:val="-4"/>
        </w:rPr>
        <w:t> </w:t>
      </w:r>
      <w:r>
        <w:rPr>
          <w:color w:val="231F20"/>
        </w:rPr>
        <w:t>that</w:t>
      </w:r>
      <w:r>
        <w:rPr>
          <w:color w:val="231F20"/>
          <w:spacing w:val="-6"/>
        </w:rPr>
        <w:t> </w:t>
      </w:r>
      <w:r>
        <w:rPr>
          <w:color w:val="231F20"/>
        </w:rPr>
        <w:t>the</w:t>
      </w:r>
      <w:r>
        <w:rPr>
          <w:color w:val="231F20"/>
          <w:spacing w:val="-6"/>
        </w:rPr>
        <w:t> </w:t>
      </w:r>
      <w:r>
        <w:rPr>
          <w:color w:val="231F20"/>
        </w:rPr>
        <w:t>higher</w:t>
      </w:r>
      <w:r>
        <w:rPr>
          <w:color w:val="231F20"/>
          <w:spacing w:val="-5"/>
        </w:rPr>
        <w:t> </w:t>
      </w:r>
      <w:r>
        <w:rPr>
          <w:color w:val="231F20"/>
        </w:rPr>
        <w:t>cost</w:t>
      </w:r>
      <w:r>
        <w:rPr>
          <w:color w:val="231F20"/>
          <w:spacing w:val="22"/>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6"/>
        </w:rPr>
        <w:t> </w:t>
      </w:r>
      <w:r>
        <w:rPr>
          <w:color w:val="231F20"/>
        </w:rPr>
        <w:t>are</w:t>
      </w:r>
      <w:r>
        <w:rPr>
          <w:color w:val="231F20"/>
          <w:spacing w:val="-6"/>
        </w:rPr>
        <w:t> </w:t>
      </w:r>
      <w:r>
        <w:rPr>
          <w:color w:val="231F20"/>
        </w:rPr>
        <w:t>actually</w:t>
      </w:r>
      <w:r>
        <w:rPr>
          <w:color w:val="231F20"/>
          <w:spacing w:val="-6"/>
        </w:rPr>
        <w:t> </w:t>
      </w:r>
      <w:r>
        <w:rPr>
          <w:color w:val="231F20"/>
          <w:spacing w:val="-1"/>
        </w:rPr>
        <w:t>located</w:t>
      </w:r>
      <w:r>
        <w:rPr>
          <w:color w:val="231F20"/>
          <w:spacing w:val="-5"/>
        </w:rPr>
        <w:t> </w:t>
      </w:r>
      <w:r>
        <w:rPr>
          <w:color w:val="231F20"/>
          <w:spacing w:val="-1"/>
        </w:rPr>
        <w:t>in</w:t>
      </w:r>
      <w:r>
        <w:rPr>
          <w:color w:val="231F20"/>
          <w:spacing w:val="-5"/>
        </w:rPr>
        <w:t> </w:t>
      </w:r>
      <w:r>
        <w:rPr>
          <w:color w:val="231F20"/>
          <w:spacing w:val="-1"/>
        </w:rPr>
        <w:t>major</w:t>
      </w:r>
      <w:r>
        <w:rPr>
          <w:color w:val="231F20"/>
          <w:spacing w:val="-5"/>
        </w:rPr>
        <w:t> </w:t>
      </w:r>
      <w:r>
        <w:rPr>
          <w:color w:val="231F20"/>
        </w:rPr>
        <w:t>cities</w:t>
      </w:r>
      <w:r>
        <w:rPr>
          <w:color w:val="231F20"/>
        </w:rPr>
        <w:t> </w:t>
      </w:r>
      <w:r>
        <w:rPr>
          <w:color w:val="231F20"/>
          <w:spacing w:val="24"/>
        </w:rPr>
        <w:t> </w:t>
      </w:r>
      <w:r>
        <w:rPr>
          <w:color w:val="231F20"/>
        </w:rPr>
        <w:t>and</w:t>
      </w:r>
      <w:r>
        <w:rPr>
          <w:color w:val="231F20"/>
          <w:spacing w:val="-5"/>
        </w:rPr>
        <w:t> </w:t>
      </w:r>
      <w:r>
        <w:rPr>
          <w:color w:val="231F20"/>
        </w:rPr>
        <w:t>outer</w:t>
      </w:r>
      <w:r>
        <w:rPr>
          <w:color w:val="231F20"/>
          <w:spacing w:val="-4"/>
        </w:rPr>
        <w:t> </w:t>
      </w:r>
      <w:r>
        <w:rPr>
          <w:color w:val="231F20"/>
        </w:rPr>
        <w:t>regional</w:t>
      </w:r>
      <w:r>
        <w:rPr>
          <w:color w:val="231F20"/>
          <w:spacing w:val="-5"/>
        </w:rPr>
        <w:t> </w:t>
      </w:r>
      <w:r>
        <w:rPr>
          <w:color w:val="231F20"/>
        </w:rPr>
        <w:t>areas.</w:t>
      </w:r>
      <w:r>
        <w:rPr>
          <w:color w:val="231F20"/>
          <w:spacing w:val="-5"/>
        </w:rPr>
        <w:t> </w:t>
      </w:r>
      <w:r>
        <w:rPr>
          <w:color w:val="231F20"/>
        </w:rPr>
        <w:t>The</w:t>
      </w:r>
      <w:r>
        <w:rPr>
          <w:color w:val="231F20"/>
          <w:spacing w:val="-4"/>
        </w:rPr>
        <w:t> </w:t>
      </w:r>
      <w:r>
        <w:rPr>
          <w:color w:val="231F20"/>
        </w:rPr>
        <w:t>two</w:t>
      </w:r>
      <w:r>
        <w:rPr>
          <w:color w:val="231F20"/>
          <w:spacing w:val="-4"/>
        </w:rPr>
        <w:t> </w:t>
      </w:r>
      <w:r>
        <w:rPr>
          <w:color w:val="231F20"/>
        </w:rPr>
        <w:t>highest</w:t>
      </w:r>
      <w:r>
        <w:rPr>
          <w:color w:val="231F20"/>
          <w:spacing w:val="-4"/>
        </w:rPr>
        <w:t> </w:t>
      </w:r>
      <w:r>
        <w:rPr>
          <w:color w:val="231F20"/>
        </w:rPr>
        <w:t>cost</w:t>
      </w:r>
      <w:r>
        <w:rPr>
          <w:color w:val="231F20"/>
        </w:rPr>
        <w:t> boarding</w:t>
      </w:r>
      <w:r>
        <w:rPr>
          <w:color w:val="231F20"/>
          <w:spacing w:val="-7"/>
        </w:rPr>
        <w:t> </w:t>
      </w:r>
      <w:r>
        <w:rPr>
          <w:color w:val="231F20"/>
        </w:rPr>
        <w:t>providers</w:t>
      </w:r>
      <w:r>
        <w:rPr>
          <w:color w:val="231F20"/>
          <w:spacing w:val="-6"/>
        </w:rPr>
        <w:t> </w:t>
      </w:r>
      <w:r>
        <w:rPr>
          <w:color w:val="231F20"/>
        </w:rPr>
        <w:t>were</w:t>
      </w:r>
      <w:r>
        <w:rPr>
          <w:color w:val="231F20"/>
          <w:spacing w:val="-7"/>
        </w:rPr>
        <w:t> </w:t>
      </w:r>
      <w:r>
        <w:rPr>
          <w:color w:val="231F20"/>
          <w:spacing w:val="-1"/>
        </w:rPr>
        <w:t>located</w:t>
      </w:r>
      <w:r>
        <w:rPr>
          <w:color w:val="231F20"/>
          <w:spacing w:val="-5"/>
        </w:rPr>
        <w:t> </w:t>
      </w:r>
      <w:r>
        <w:rPr>
          <w:color w:val="231F20"/>
          <w:spacing w:val="-1"/>
        </w:rPr>
        <w:t>in</w:t>
      </w:r>
      <w:r>
        <w:rPr>
          <w:color w:val="231F20"/>
          <w:spacing w:val="-6"/>
        </w:rPr>
        <w:t> </w:t>
      </w:r>
      <w:r>
        <w:rPr>
          <w:color w:val="231F20"/>
        </w:rPr>
        <w:t>a</w:t>
      </w:r>
      <w:r>
        <w:rPr>
          <w:color w:val="231F20"/>
          <w:spacing w:val="-6"/>
        </w:rPr>
        <w:t> </w:t>
      </w:r>
      <w:r>
        <w:rPr>
          <w:color w:val="231F20"/>
          <w:spacing w:val="-1"/>
        </w:rPr>
        <w:t>major</w:t>
      </w:r>
      <w:r>
        <w:rPr>
          <w:color w:val="231F20"/>
          <w:spacing w:val="22"/>
          <w:w w:val="99"/>
        </w:rPr>
        <w:t> </w:t>
      </w:r>
      <w:r>
        <w:rPr>
          <w:color w:val="231F20"/>
        </w:rPr>
        <w:t>regional</w:t>
      </w:r>
      <w:r>
        <w:rPr>
          <w:color w:val="231F20"/>
          <w:spacing w:val="-6"/>
        </w:rPr>
        <w:t> </w:t>
      </w:r>
      <w:r>
        <w:rPr>
          <w:color w:val="231F20"/>
        </w:rPr>
        <w:t>centre</w:t>
      </w:r>
      <w:r>
        <w:rPr>
          <w:color w:val="231F20"/>
          <w:spacing w:val="-6"/>
        </w:rPr>
        <w:t> </w:t>
      </w:r>
      <w:r>
        <w:rPr>
          <w:color w:val="231F20"/>
        </w:rPr>
        <w:t>and</w:t>
      </w:r>
      <w:r>
        <w:rPr>
          <w:color w:val="231F20"/>
          <w:spacing w:val="-6"/>
        </w:rPr>
        <w:t> </w:t>
      </w:r>
      <w:r>
        <w:rPr>
          <w:color w:val="231F20"/>
        </w:rPr>
        <w:t>a</w:t>
      </w:r>
      <w:r>
        <w:rPr>
          <w:color w:val="231F20"/>
          <w:spacing w:val="-5"/>
        </w:rPr>
        <w:t> </w:t>
      </w:r>
      <w:r>
        <w:rPr>
          <w:color w:val="231F20"/>
        </w:rPr>
        <w:t>capital</w:t>
      </w:r>
      <w:r>
        <w:rPr>
          <w:color w:val="231F20"/>
          <w:spacing w:val="-5"/>
        </w:rPr>
        <w:t> </w:t>
      </w:r>
      <w:r>
        <w:rPr>
          <w:color w:val="231F20"/>
        </w:rPr>
        <w:t>city.</w:t>
      </w:r>
      <w:r>
        <w:rPr>
          <w:color w:val="231F20"/>
          <w:spacing w:val="-6"/>
        </w:rPr>
        <w:t> </w:t>
      </w:r>
      <w:r>
        <w:rPr>
          <w:color w:val="231F20"/>
        </w:rPr>
        <w:t>The</w:t>
      </w:r>
      <w:r>
        <w:rPr>
          <w:color w:val="231F20"/>
          <w:spacing w:val="-5"/>
        </w:rPr>
        <w:t> </w:t>
      </w:r>
      <w:r>
        <w:rPr>
          <w:color w:val="231F20"/>
        </w:rPr>
        <w:t>high</w:t>
      </w:r>
      <w:r>
        <w:rPr/>
      </w:r>
    </w:p>
    <w:p>
      <w:pPr>
        <w:pStyle w:val="BodyText"/>
        <w:spacing w:line="250" w:lineRule="exact"/>
        <w:ind w:right="280"/>
        <w:jc w:val="left"/>
      </w:pPr>
      <w:r>
        <w:rPr>
          <w:color w:val="231F20"/>
        </w:rPr>
        <w:t>cost</w:t>
      </w:r>
      <w:r>
        <w:rPr>
          <w:color w:val="231F20"/>
          <w:spacing w:val="-5"/>
        </w:rPr>
        <w:t> </w:t>
      </w:r>
      <w:r>
        <w:rPr>
          <w:color w:val="231F20"/>
        </w:rPr>
        <w:t>of</w:t>
      </w:r>
      <w:r>
        <w:rPr>
          <w:color w:val="231F20"/>
          <w:spacing w:val="-3"/>
        </w:rPr>
        <w:t> </w:t>
      </w:r>
      <w:r>
        <w:rPr>
          <w:color w:val="231F20"/>
        </w:rPr>
        <w:t>these</w:t>
      </w:r>
      <w:r>
        <w:rPr>
          <w:color w:val="231F20"/>
          <w:spacing w:val="-4"/>
        </w:rPr>
        <w:t> </w:t>
      </w:r>
      <w:r>
        <w:rPr>
          <w:color w:val="231F20"/>
        </w:rPr>
        <w:t>two</w:t>
      </w:r>
      <w:r>
        <w:rPr>
          <w:color w:val="231F20"/>
          <w:spacing w:val="-3"/>
        </w:rPr>
        <w:t> </w:t>
      </w:r>
      <w:r>
        <w:rPr>
          <w:color w:val="231F20"/>
        </w:rPr>
        <w:t>providers</w:t>
      </w:r>
      <w:r>
        <w:rPr>
          <w:color w:val="231F20"/>
          <w:spacing w:val="-4"/>
        </w:rPr>
        <w:t> </w:t>
      </w:r>
      <w:r>
        <w:rPr>
          <w:color w:val="231F20"/>
        </w:rPr>
        <w:t>was</w:t>
      </w:r>
      <w:r>
        <w:rPr>
          <w:color w:val="231F20"/>
          <w:spacing w:val="-4"/>
        </w:rPr>
        <w:t> </w:t>
      </w:r>
      <w:r>
        <w:rPr>
          <w:color w:val="231F20"/>
        </w:rPr>
        <w:t>a</w:t>
      </w:r>
      <w:r>
        <w:rPr>
          <w:color w:val="231F20"/>
          <w:spacing w:val="-3"/>
        </w:rPr>
        <w:t> </w:t>
      </w:r>
      <w:r>
        <w:rPr>
          <w:color w:val="231F20"/>
        </w:rPr>
        <w:t>factor</w:t>
      </w:r>
      <w:r>
        <w:rPr>
          <w:color w:val="231F20"/>
          <w:spacing w:val="-3"/>
        </w:rPr>
        <w:t> </w:t>
      </w:r>
      <w:r>
        <w:rPr>
          <w:color w:val="231F20"/>
        </w:rPr>
        <w:t>of</w:t>
      </w:r>
      <w:r>
        <w:rPr>
          <w:color w:val="231F20"/>
          <w:w w:val="99"/>
        </w:rPr>
        <w:t> </w:t>
      </w:r>
      <w:r>
        <w:rPr>
          <w:color w:val="231F20"/>
        </w:rPr>
        <w:t>the</w:t>
      </w:r>
      <w:r>
        <w:rPr>
          <w:color w:val="231F20"/>
          <w:spacing w:val="-6"/>
        </w:rPr>
        <w:t> </w:t>
      </w:r>
      <w:r>
        <w:rPr>
          <w:color w:val="231F20"/>
          <w:spacing w:val="-1"/>
        </w:rPr>
        <w:t>model</w:t>
      </w:r>
      <w:r>
        <w:rPr>
          <w:color w:val="231F20"/>
          <w:spacing w:val="-5"/>
        </w:rPr>
        <w:t> </w:t>
      </w:r>
      <w:r>
        <w:rPr>
          <w:color w:val="231F20"/>
        </w:rPr>
        <w:t>of</w:t>
      </w:r>
      <w:r>
        <w:rPr>
          <w:color w:val="231F20"/>
          <w:spacing w:val="-5"/>
        </w:rPr>
        <w:t> </w:t>
      </w:r>
      <w:r>
        <w:rPr>
          <w:color w:val="231F20"/>
        </w:rPr>
        <w:t>boarding</w:t>
      </w:r>
      <w:r>
        <w:rPr>
          <w:color w:val="231F20"/>
          <w:spacing w:val="-6"/>
        </w:rPr>
        <w:t> </w:t>
      </w:r>
      <w:r>
        <w:rPr>
          <w:color w:val="231F20"/>
        </w:rPr>
        <w:t>provided</w:t>
      </w:r>
      <w:r>
        <w:rPr>
          <w:color w:val="231F20"/>
          <w:spacing w:val="-6"/>
        </w:rPr>
        <w:t> </w:t>
      </w:r>
      <w:r>
        <w:rPr>
          <w:color w:val="231F20"/>
        </w:rPr>
        <w:t>rather</w:t>
      </w:r>
      <w:r>
        <w:rPr>
          <w:color w:val="231F20"/>
          <w:spacing w:val="-6"/>
        </w:rPr>
        <w:t> </w:t>
      </w:r>
      <w:r>
        <w:rPr>
          <w:color w:val="231F20"/>
        </w:rPr>
        <w:t>than</w:t>
      </w:r>
      <w:r>
        <w:rPr/>
      </w:r>
    </w:p>
    <w:p>
      <w:pPr>
        <w:pStyle w:val="BodyText"/>
        <w:spacing w:line="250" w:lineRule="exact"/>
        <w:ind w:right="35"/>
        <w:jc w:val="left"/>
      </w:pPr>
      <w:r>
        <w:rPr>
          <w:color w:val="231F20"/>
          <w:spacing w:val="-1"/>
        </w:rPr>
        <w:t>location.</w:t>
      </w:r>
      <w:r>
        <w:rPr>
          <w:color w:val="231F20"/>
          <w:spacing w:val="-5"/>
        </w:rPr>
        <w:t> </w:t>
      </w:r>
      <w:r>
        <w:rPr>
          <w:color w:val="231F20"/>
        </w:rPr>
        <w:t>The</w:t>
      </w:r>
      <w:r>
        <w:rPr>
          <w:color w:val="231F20"/>
          <w:spacing w:val="-5"/>
        </w:rPr>
        <w:t> </w:t>
      </w:r>
      <w:r>
        <w:rPr>
          <w:color w:val="231F20"/>
          <w:spacing w:val="-1"/>
        </w:rPr>
        <w:t>lowest</w:t>
      </w:r>
      <w:r>
        <w:rPr>
          <w:color w:val="231F20"/>
          <w:spacing w:val="-5"/>
        </w:rPr>
        <w:t> </w:t>
      </w:r>
      <w:r>
        <w:rPr>
          <w:color w:val="231F20"/>
        </w:rPr>
        <w:t>cost</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w:t>
      </w:r>
      <w:r>
        <w:rPr>
          <w:color w:val="231F20"/>
          <w:spacing w:val="27"/>
          <w:w w:val="99"/>
        </w:rPr>
        <w:t> </w:t>
      </w:r>
      <w:r>
        <w:rPr>
          <w:color w:val="231F20"/>
          <w:spacing w:val="-2"/>
        </w:rPr>
        <w:t>Strait</w:t>
      </w:r>
      <w:r>
        <w:rPr>
          <w:color w:val="231F20"/>
          <w:spacing w:val="-9"/>
        </w:rPr>
        <w:t> </w:t>
      </w:r>
      <w:r>
        <w:rPr>
          <w:color w:val="231F20"/>
          <w:spacing w:val="-1"/>
        </w:rPr>
        <w:t>Islander</w:t>
      </w:r>
      <w:r>
        <w:rPr>
          <w:color w:val="231F20"/>
          <w:spacing w:val="-8"/>
        </w:rPr>
        <w:t> </w:t>
      </w:r>
      <w:r>
        <w:rPr>
          <w:color w:val="231F20"/>
        </w:rPr>
        <w:t>boarding</w:t>
      </w:r>
      <w:r>
        <w:rPr>
          <w:color w:val="231F20"/>
          <w:spacing w:val="-8"/>
        </w:rPr>
        <w:t> </w:t>
      </w:r>
      <w:r>
        <w:rPr>
          <w:color w:val="231F20"/>
        </w:rPr>
        <w:t>providers</w:t>
      </w:r>
      <w:r>
        <w:rPr>
          <w:color w:val="231F20"/>
          <w:spacing w:val="-9"/>
        </w:rPr>
        <w:t> </w:t>
      </w:r>
      <w:r>
        <w:rPr>
          <w:color w:val="231F20"/>
        </w:rPr>
        <w:t>were</w:t>
      </w:r>
      <w:r>
        <w:rPr>
          <w:color w:val="231F20"/>
          <w:spacing w:val="-8"/>
        </w:rPr>
        <w:t> </w:t>
      </w:r>
      <w:r>
        <w:rPr>
          <w:color w:val="231F20"/>
          <w:spacing w:val="-1"/>
        </w:rPr>
        <w:t>located</w:t>
      </w:r>
      <w:r>
        <w:rPr>
          <w:color w:val="231F20"/>
          <w:spacing w:val="26"/>
          <w:w w:val="99"/>
        </w:rPr>
        <w:t> </w:t>
      </w:r>
      <w:r>
        <w:rPr>
          <w:color w:val="231F20"/>
          <w:spacing w:val="-1"/>
        </w:rPr>
        <w:t>in</w:t>
      </w:r>
      <w:r>
        <w:rPr>
          <w:color w:val="231F20"/>
          <w:spacing w:val="-4"/>
        </w:rPr>
        <w:t> </w:t>
      </w:r>
      <w:r>
        <w:rPr>
          <w:color w:val="231F20"/>
        </w:rPr>
        <w:t>remote</w:t>
      </w:r>
      <w:r>
        <w:rPr>
          <w:color w:val="231F20"/>
          <w:spacing w:val="-4"/>
        </w:rPr>
        <w:t> </w:t>
      </w:r>
      <w:r>
        <w:rPr>
          <w:color w:val="231F20"/>
          <w:spacing w:val="-1"/>
        </w:rPr>
        <w:t>locations</w:t>
      </w:r>
      <w:r>
        <w:rPr>
          <w:color w:val="231F20"/>
          <w:spacing w:val="-3"/>
        </w:rPr>
        <w:t> </w:t>
      </w:r>
      <w:r>
        <w:rPr>
          <w:color w:val="231F20"/>
        </w:rPr>
        <w:t>but</w:t>
      </w:r>
      <w:r>
        <w:rPr>
          <w:color w:val="231F20"/>
          <w:spacing w:val="-4"/>
        </w:rPr>
        <w:t> </w:t>
      </w:r>
      <w:r>
        <w:rPr>
          <w:color w:val="231F20"/>
        </w:rPr>
        <w:t>the</w:t>
      </w:r>
      <w:r>
        <w:rPr>
          <w:color w:val="231F20"/>
          <w:spacing w:val="-4"/>
        </w:rPr>
        <w:t> </w:t>
      </w:r>
      <w:r>
        <w:rPr>
          <w:color w:val="231F20"/>
          <w:spacing w:val="-1"/>
        </w:rPr>
        <w:t>model</w:t>
      </w:r>
      <w:r>
        <w:rPr>
          <w:color w:val="231F20"/>
          <w:spacing w:val="-3"/>
        </w:rPr>
        <w:t> </w:t>
      </w:r>
      <w:r>
        <w:rPr>
          <w:color w:val="231F20"/>
        </w:rPr>
        <w:t>of</w:t>
      </w:r>
      <w:r>
        <w:rPr>
          <w:color w:val="231F20"/>
          <w:spacing w:val="-4"/>
        </w:rPr>
        <w:t> </w:t>
      </w:r>
      <w:r>
        <w:rPr>
          <w:color w:val="231F20"/>
        </w:rPr>
        <w:t>boarding</w:t>
      </w:r>
      <w:r>
        <w:rPr>
          <w:color w:val="231F20"/>
          <w:spacing w:val="24"/>
          <w:w w:val="99"/>
        </w:rPr>
        <w:t> </w:t>
      </w:r>
      <w:r>
        <w:rPr>
          <w:color w:val="231F20"/>
        </w:rPr>
        <w:t>delivery</w:t>
      </w:r>
      <w:r>
        <w:rPr>
          <w:color w:val="231F20"/>
          <w:spacing w:val="-6"/>
        </w:rPr>
        <w:t> </w:t>
      </w:r>
      <w:r>
        <w:rPr>
          <w:color w:val="231F20"/>
        </w:rPr>
        <w:t>of</w:t>
      </w:r>
      <w:r>
        <w:rPr>
          <w:color w:val="231F20"/>
          <w:spacing w:val="-5"/>
        </w:rPr>
        <w:t> </w:t>
      </w:r>
      <w:r>
        <w:rPr>
          <w:color w:val="231F20"/>
        </w:rPr>
        <w:t>these</w:t>
      </w:r>
      <w:r>
        <w:rPr>
          <w:color w:val="231F20"/>
          <w:spacing w:val="-6"/>
        </w:rPr>
        <w:t> </w:t>
      </w:r>
      <w:r>
        <w:rPr>
          <w:color w:val="231F20"/>
        </w:rPr>
        <w:t>providers</w:t>
      </w:r>
      <w:r>
        <w:rPr>
          <w:color w:val="231F20"/>
          <w:spacing w:val="-6"/>
        </w:rPr>
        <w:t> </w:t>
      </w:r>
      <w:r>
        <w:rPr>
          <w:color w:val="231F20"/>
        </w:rPr>
        <w:t>had</w:t>
      </w:r>
      <w:r>
        <w:rPr>
          <w:color w:val="231F20"/>
          <w:spacing w:val="-4"/>
        </w:rPr>
        <w:t> </w:t>
      </w:r>
      <w:r>
        <w:rPr>
          <w:color w:val="231F20"/>
        </w:rPr>
        <w:t>a</w:t>
      </w:r>
      <w:r>
        <w:rPr>
          <w:color w:val="231F20"/>
          <w:spacing w:val="-5"/>
        </w:rPr>
        <w:t> </w:t>
      </w:r>
      <w:r>
        <w:rPr>
          <w:color w:val="231F20"/>
        </w:rPr>
        <w:t>greater</w:t>
      </w:r>
      <w:r>
        <w:rPr>
          <w:color w:val="231F20"/>
          <w:spacing w:val="-6"/>
        </w:rPr>
        <w:t> </w:t>
      </w:r>
      <w:r>
        <w:rPr>
          <w:color w:val="231F20"/>
          <w:spacing w:val="-1"/>
        </w:rPr>
        <w:t>impact</w:t>
      </w:r>
      <w:r>
        <w:rPr>
          <w:color w:val="231F20"/>
          <w:spacing w:val="20"/>
          <w:w w:val="99"/>
        </w:rPr>
        <w:t> </w:t>
      </w:r>
      <w:r>
        <w:rPr>
          <w:color w:val="231F20"/>
        </w:rPr>
        <w:t>on</w:t>
      </w:r>
      <w:r>
        <w:rPr>
          <w:color w:val="231F20"/>
          <w:spacing w:val="-5"/>
        </w:rPr>
        <w:t> </w:t>
      </w:r>
      <w:r>
        <w:rPr>
          <w:color w:val="231F20"/>
        </w:rPr>
        <w:t>cost</w:t>
      </w:r>
      <w:r>
        <w:rPr>
          <w:color w:val="231F20"/>
          <w:spacing w:val="-6"/>
        </w:rPr>
        <w:t> </w:t>
      </w:r>
      <w:r>
        <w:rPr>
          <w:color w:val="231F20"/>
        </w:rPr>
        <w:t>than</w:t>
      </w:r>
      <w:r>
        <w:rPr>
          <w:color w:val="231F20"/>
          <w:spacing w:val="-5"/>
        </w:rPr>
        <w:t> </w:t>
      </w:r>
      <w:r>
        <w:rPr>
          <w:color w:val="231F20"/>
          <w:spacing w:val="-1"/>
        </w:rPr>
        <w:t>location.</w:t>
      </w:r>
      <w:r>
        <w:rPr/>
      </w:r>
    </w:p>
    <w:p>
      <w:pPr>
        <w:pStyle w:val="BodyText"/>
        <w:spacing w:line="250" w:lineRule="exact" w:before="113"/>
        <w:ind w:right="4"/>
        <w:jc w:val="left"/>
      </w:pPr>
      <w:r>
        <w:rPr>
          <w:color w:val="231F20"/>
        </w:rPr>
        <w:t>The</w:t>
      </w:r>
      <w:r>
        <w:rPr>
          <w:color w:val="231F20"/>
          <w:spacing w:val="-6"/>
        </w:rPr>
        <w:t> </w:t>
      </w:r>
      <w:r>
        <w:rPr>
          <w:color w:val="231F20"/>
          <w:spacing w:val="-1"/>
        </w:rPr>
        <w:t>23</w:t>
      </w:r>
      <w:r>
        <w:rPr>
          <w:color w:val="231F20"/>
          <w:spacing w:val="-5"/>
        </w:rPr>
        <w:t> </w:t>
      </w:r>
      <w:r>
        <w:rPr>
          <w:color w:val="231F20"/>
          <w:spacing w:val="-1"/>
        </w:rPr>
        <w:t>mainstream</w:t>
      </w:r>
      <w:r>
        <w:rPr>
          <w:color w:val="231F20"/>
          <w:spacing w:val="-5"/>
        </w:rPr>
        <w:t> </w:t>
      </w:r>
      <w:r>
        <w:rPr>
          <w:color w:val="231F20"/>
        </w:rPr>
        <w:t>boarding</w:t>
      </w:r>
      <w:r>
        <w:rPr>
          <w:color w:val="231F20"/>
          <w:spacing w:val="-6"/>
        </w:rPr>
        <w:t> </w:t>
      </w:r>
      <w:r>
        <w:rPr>
          <w:color w:val="231F20"/>
        </w:rPr>
        <w:t>providers</w:t>
      </w:r>
      <w:r>
        <w:rPr>
          <w:color w:val="231F20"/>
          <w:spacing w:val="-7"/>
        </w:rPr>
        <w:t> </w:t>
      </w:r>
      <w:r>
        <w:rPr>
          <w:color w:val="231F20"/>
        </w:rPr>
        <w:t>analysed</w:t>
      </w:r>
      <w:r>
        <w:rPr>
          <w:color w:val="231F20"/>
          <w:spacing w:val="23"/>
          <w:w w:val="99"/>
        </w:rPr>
        <w:t> </w:t>
      </w:r>
      <w:r>
        <w:rPr>
          <w:color w:val="231F20"/>
          <w:spacing w:val="-1"/>
        </w:rPr>
        <w:t>in</w:t>
      </w:r>
      <w:r>
        <w:rPr>
          <w:color w:val="231F20"/>
          <w:spacing w:val="-4"/>
        </w:rPr>
        <w:t> </w:t>
      </w:r>
      <w:r>
        <w:rPr>
          <w:color w:val="231F20"/>
        </w:rPr>
        <w:t>this</w:t>
      </w:r>
      <w:r>
        <w:rPr>
          <w:color w:val="231F20"/>
          <w:spacing w:val="-4"/>
        </w:rPr>
        <w:t> </w:t>
      </w:r>
      <w:r>
        <w:rPr>
          <w:color w:val="231F20"/>
        </w:rPr>
        <w:t>report</w:t>
      </w:r>
      <w:r>
        <w:rPr>
          <w:color w:val="231F20"/>
          <w:spacing w:val="-4"/>
        </w:rPr>
        <w:t> </w:t>
      </w:r>
      <w:r>
        <w:rPr>
          <w:color w:val="231F20"/>
        </w:rPr>
        <w:t>were</w:t>
      </w:r>
      <w:r>
        <w:rPr>
          <w:color w:val="231F20"/>
          <w:spacing w:val="-4"/>
        </w:rPr>
        <w:t> </w:t>
      </w:r>
      <w:r>
        <w:rPr>
          <w:color w:val="231F20"/>
          <w:spacing w:val="-1"/>
        </w:rPr>
        <w:t>located</w:t>
      </w:r>
      <w:r>
        <w:rPr>
          <w:color w:val="231F20"/>
          <w:spacing w:val="-4"/>
        </w:rPr>
        <w:t> </w:t>
      </w:r>
      <w:r>
        <w:rPr>
          <w:color w:val="231F20"/>
          <w:spacing w:val="-1"/>
        </w:rPr>
        <w:t>in</w:t>
      </w:r>
      <w:r>
        <w:rPr>
          <w:color w:val="231F20"/>
          <w:spacing w:val="-3"/>
        </w:rPr>
        <w:t> </w:t>
      </w:r>
      <w:r>
        <w:rPr>
          <w:color w:val="231F20"/>
          <w:spacing w:val="-1"/>
        </w:rPr>
        <w:t>major</w:t>
      </w:r>
      <w:r>
        <w:rPr>
          <w:color w:val="231F20"/>
          <w:spacing w:val="-3"/>
        </w:rPr>
        <w:t> </w:t>
      </w:r>
      <w:r>
        <w:rPr>
          <w:color w:val="231F20"/>
        </w:rPr>
        <w:t>cities,</w:t>
      </w:r>
      <w:r>
        <w:rPr>
          <w:color w:val="231F20"/>
          <w:spacing w:val="-4"/>
        </w:rPr>
        <w:t> </w:t>
      </w:r>
      <w:r>
        <w:rPr>
          <w:color w:val="231F20"/>
          <w:spacing w:val="-1"/>
        </w:rPr>
        <w:t>inner</w:t>
      </w:r>
      <w:r>
        <w:rPr>
          <w:color w:val="231F20"/>
          <w:spacing w:val="24"/>
          <w:w w:val="99"/>
        </w:rPr>
        <w:t> </w:t>
      </w:r>
      <w:r>
        <w:rPr>
          <w:color w:val="231F20"/>
        </w:rPr>
        <w:t>regional</w:t>
      </w:r>
      <w:r>
        <w:rPr>
          <w:color w:val="231F20"/>
          <w:spacing w:val="-7"/>
        </w:rPr>
        <w:t> </w:t>
      </w:r>
      <w:r>
        <w:rPr>
          <w:color w:val="231F20"/>
        </w:rPr>
        <w:t>and</w:t>
      </w:r>
      <w:r>
        <w:rPr>
          <w:color w:val="231F20"/>
          <w:spacing w:val="-7"/>
        </w:rPr>
        <w:t> </w:t>
      </w:r>
      <w:r>
        <w:rPr>
          <w:color w:val="231F20"/>
        </w:rPr>
        <w:t>outer</w:t>
      </w:r>
      <w:r>
        <w:rPr>
          <w:color w:val="231F20"/>
          <w:spacing w:val="-6"/>
        </w:rPr>
        <w:t> </w:t>
      </w:r>
      <w:r>
        <w:rPr>
          <w:color w:val="231F20"/>
        </w:rPr>
        <w:t>regional</w:t>
      </w:r>
      <w:r>
        <w:rPr>
          <w:color w:val="231F20"/>
          <w:spacing w:val="-7"/>
        </w:rPr>
        <w:t> </w:t>
      </w:r>
      <w:r>
        <w:rPr>
          <w:color w:val="231F20"/>
        </w:rPr>
        <w:t>areas.</w:t>
      </w:r>
      <w:r>
        <w:rPr>
          <w:color w:val="231F20"/>
          <w:spacing w:val="-7"/>
        </w:rPr>
        <w:t> </w:t>
      </w:r>
      <w:r>
        <w:rPr>
          <w:color w:val="231F20"/>
        </w:rPr>
        <w:t>There</w:t>
      </w:r>
      <w:r>
        <w:rPr>
          <w:color w:val="231F20"/>
          <w:spacing w:val="-6"/>
        </w:rPr>
        <w:t> </w:t>
      </w:r>
      <w:r>
        <w:rPr>
          <w:color w:val="231F20"/>
        </w:rPr>
        <w:t>was</w:t>
      </w:r>
      <w:r>
        <w:rPr>
          <w:color w:val="231F20"/>
          <w:w w:val="99"/>
        </w:rPr>
        <w:t> </w:t>
      </w:r>
      <w:r>
        <w:rPr>
          <w:color w:val="231F20"/>
          <w:spacing w:val="-1"/>
        </w:rPr>
        <w:t>little</w:t>
      </w:r>
      <w:r>
        <w:rPr>
          <w:color w:val="231F20"/>
          <w:spacing w:val="-4"/>
        </w:rPr>
        <w:t> </w:t>
      </w:r>
      <w:r>
        <w:rPr>
          <w:color w:val="231F20"/>
        </w:rPr>
        <w:t>variation</w:t>
      </w:r>
      <w:r>
        <w:rPr>
          <w:color w:val="231F20"/>
          <w:spacing w:val="-4"/>
        </w:rPr>
        <w:t> </w:t>
      </w:r>
      <w:r>
        <w:rPr>
          <w:color w:val="231F20"/>
          <w:spacing w:val="-1"/>
        </w:rPr>
        <w:t>in</w:t>
      </w:r>
      <w:r>
        <w:rPr>
          <w:color w:val="231F20"/>
          <w:spacing w:val="-4"/>
        </w:rPr>
        <w:t> </w:t>
      </w:r>
      <w:r>
        <w:rPr>
          <w:color w:val="231F20"/>
        </w:rPr>
        <w:t>the</w:t>
      </w:r>
      <w:r>
        <w:rPr>
          <w:color w:val="231F20"/>
          <w:spacing w:val="-5"/>
        </w:rPr>
        <w:t> </w:t>
      </w:r>
      <w:r>
        <w:rPr>
          <w:color w:val="231F20"/>
        </w:rPr>
        <w:t>average</w:t>
      </w:r>
      <w:r>
        <w:rPr>
          <w:color w:val="231F20"/>
          <w:spacing w:val="-5"/>
        </w:rPr>
        <w:t> </w:t>
      </w:r>
      <w:r>
        <w:rPr>
          <w:color w:val="231F20"/>
        </w:rPr>
        <w:t>cost</w:t>
      </w:r>
      <w:r>
        <w:rPr>
          <w:color w:val="231F20"/>
          <w:spacing w:val="-5"/>
        </w:rPr>
        <w:t> </w:t>
      </w:r>
      <w:r>
        <w:rPr>
          <w:color w:val="231F20"/>
        </w:rPr>
        <w:t>of</w:t>
      </w:r>
      <w:r>
        <w:rPr>
          <w:color w:val="231F20"/>
          <w:spacing w:val="-4"/>
        </w:rPr>
        <w:t> </w:t>
      </w:r>
      <w:r>
        <w:rPr>
          <w:color w:val="231F20"/>
        </w:rPr>
        <w:t>boarding</w:t>
      </w:r>
      <w:r>
        <w:rPr>
          <w:color w:val="231F20"/>
          <w:spacing w:val="23"/>
          <w:w w:val="99"/>
        </w:rPr>
        <w:t> </w:t>
      </w:r>
      <w:r>
        <w:rPr>
          <w:rFonts w:ascii="Segoe UI"/>
          <w:color w:val="231F20"/>
        </w:rPr>
        <w:t>provision between remoteness classifications of</w:t>
      </w:r>
      <w:r>
        <w:rPr>
          <w:rFonts w:ascii="Segoe UI"/>
          <w:color w:val="231F20"/>
        </w:rPr>
        <w:t> </w:t>
      </w:r>
      <w:r>
        <w:rPr>
          <w:color w:val="231F20"/>
        </w:rPr>
        <w:t>the</w:t>
      </w:r>
      <w:r>
        <w:rPr>
          <w:color w:val="231F20"/>
          <w:spacing w:val="-8"/>
        </w:rPr>
        <w:t> </w:t>
      </w:r>
      <w:r>
        <w:rPr>
          <w:color w:val="231F20"/>
          <w:spacing w:val="-1"/>
        </w:rPr>
        <w:t>mainstream</w:t>
      </w:r>
      <w:r>
        <w:rPr>
          <w:color w:val="231F20"/>
          <w:spacing w:val="-6"/>
        </w:rPr>
        <w:t> </w:t>
      </w:r>
      <w:r>
        <w:rPr>
          <w:color w:val="231F20"/>
        </w:rPr>
        <w:t>boarding</w:t>
      </w:r>
      <w:r>
        <w:rPr>
          <w:color w:val="231F20"/>
          <w:spacing w:val="-8"/>
        </w:rPr>
        <w:t> </w:t>
      </w:r>
      <w:r>
        <w:rPr>
          <w:color w:val="231F20"/>
        </w:rPr>
        <w:t>providers,</w:t>
      </w:r>
      <w:r>
        <w:rPr>
          <w:color w:val="231F20"/>
          <w:spacing w:val="-8"/>
        </w:rPr>
        <w:t> </w:t>
      </w:r>
      <w:r>
        <w:rPr>
          <w:color w:val="231F20"/>
        </w:rPr>
        <w:t>although</w:t>
      </w:r>
      <w:r>
        <w:rPr>
          <w:color w:val="231F20"/>
          <w:spacing w:val="22"/>
          <w:w w:val="99"/>
        </w:rPr>
        <w:t> </w:t>
      </w:r>
      <w:r>
        <w:rPr>
          <w:color w:val="231F20"/>
        </w:rPr>
        <w:t>there</w:t>
      </w:r>
      <w:r>
        <w:rPr>
          <w:color w:val="231F20"/>
          <w:spacing w:val="-6"/>
        </w:rPr>
        <w:t> </w:t>
      </w:r>
      <w:r>
        <w:rPr>
          <w:color w:val="231F20"/>
        </w:rPr>
        <w:t>were</w:t>
      </w:r>
      <w:r>
        <w:rPr>
          <w:color w:val="231F20"/>
          <w:spacing w:val="-5"/>
        </w:rPr>
        <w:t> </w:t>
      </w:r>
      <w:r>
        <w:rPr>
          <w:color w:val="231F20"/>
        </w:rPr>
        <w:t>no</w:t>
      </w:r>
      <w:r>
        <w:rPr>
          <w:color w:val="231F20"/>
          <w:spacing w:val="-4"/>
        </w:rPr>
        <w:t> </w:t>
      </w:r>
      <w:r>
        <w:rPr>
          <w:color w:val="231F20"/>
          <w:spacing w:val="-1"/>
        </w:rPr>
        <w:t>mainstream</w:t>
      </w:r>
      <w:r>
        <w:rPr>
          <w:color w:val="231F20"/>
          <w:spacing w:val="-4"/>
        </w:rPr>
        <w:t> </w:t>
      </w:r>
      <w:r>
        <w:rPr>
          <w:color w:val="231F20"/>
        </w:rPr>
        <w:t>providers</w:t>
      </w:r>
      <w:r>
        <w:rPr>
          <w:color w:val="231F20"/>
          <w:spacing w:val="-5"/>
        </w:rPr>
        <w:t> </w:t>
      </w:r>
      <w:r>
        <w:rPr>
          <w:color w:val="231F20"/>
          <w:spacing w:val="-1"/>
        </w:rPr>
        <w:t>located</w:t>
      </w:r>
      <w:r>
        <w:rPr>
          <w:color w:val="231F20"/>
          <w:spacing w:val="-4"/>
        </w:rPr>
        <w:t> </w:t>
      </w:r>
      <w:r>
        <w:rPr>
          <w:color w:val="231F20"/>
          <w:spacing w:val="-1"/>
        </w:rPr>
        <w:t>in</w:t>
      </w:r>
      <w:r>
        <w:rPr>
          <w:color w:val="231F20"/>
          <w:spacing w:val="22"/>
        </w:rPr>
        <w:t> </w:t>
      </w:r>
      <w:r>
        <w:rPr>
          <w:color w:val="231F20"/>
        </w:rPr>
        <w:t>remote</w:t>
      </w:r>
      <w:r>
        <w:rPr>
          <w:color w:val="231F20"/>
          <w:spacing w:val="-8"/>
        </w:rPr>
        <w:t> </w:t>
      </w:r>
      <w:r>
        <w:rPr>
          <w:color w:val="231F20"/>
        </w:rPr>
        <w:t>or</w:t>
      </w:r>
      <w:r>
        <w:rPr>
          <w:color w:val="231F20"/>
          <w:spacing w:val="-7"/>
        </w:rPr>
        <w:t> </w:t>
      </w:r>
      <w:r>
        <w:rPr>
          <w:color w:val="231F20"/>
        </w:rPr>
        <w:t>very</w:t>
      </w:r>
      <w:r>
        <w:rPr>
          <w:color w:val="231F20"/>
          <w:spacing w:val="-6"/>
        </w:rPr>
        <w:t> </w:t>
      </w:r>
      <w:r>
        <w:rPr>
          <w:color w:val="231F20"/>
        </w:rPr>
        <w:t>remote</w:t>
      </w:r>
      <w:r>
        <w:rPr>
          <w:color w:val="231F20"/>
          <w:spacing w:val="-8"/>
        </w:rPr>
        <w:t> </w:t>
      </w:r>
      <w:r>
        <w:rPr>
          <w:color w:val="231F20"/>
          <w:spacing w:val="-1"/>
        </w:rPr>
        <w:t>locations.</w:t>
      </w:r>
      <w:r>
        <w:rPr/>
      </w:r>
    </w:p>
    <w:p>
      <w:pPr>
        <w:pStyle w:val="BodyText"/>
        <w:spacing w:line="250" w:lineRule="exact" w:before="113"/>
        <w:ind w:right="35"/>
        <w:jc w:val="left"/>
      </w:pPr>
      <w:r>
        <w:rPr>
          <w:color w:val="231F20"/>
          <w:spacing w:val="-1"/>
        </w:rPr>
        <w:t>Despite</w:t>
      </w:r>
      <w:r>
        <w:rPr>
          <w:color w:val="231F20"/>
          <w:spacing w:val="-5"/>
        </w:rPr>
        <w:t> </w:t>
      </w:r>
      <w:r>
        <w:rPr>
          <w:color w:val="231F20"/>
        </w:rPr>
        <w:t>the</w:t>
      </w:r>
      <w:r>
        <w:rPr>
          <w:color w:val="231F20"/>
          <w:spacing w:val="-6"/>
        </w:rPr>
        <w:t> </w:t>
      </w:r>
      <w:r>
        <w:rPr>
          <w:color w:val="231F20"/>
        </w:rPr>
        <w:t>additional</w:t>
      </w:r>
      <w:r>
        <w:rPr>
          <w:color w:val="231F20"/>
          <w:spacing w:val="-6"/>
        </w:rPr>
        <w:t> </w:t>
      </w:r>
      <w:r>
        <w:rPr>
          <w:color w:val="231F20"/>
        </w:rPr>
        <w:t>costs</w:t>
      </w:r>
      <w:r>
        <w:rPr>
          <w:color w:val="231F20"/>
          <w:spacing w:val="-6"/>
        </w:rPr>
        <w:t> </w:t>
      </w:r>
      <w:r>
        <w:rPr>
          <w:color w:val="231F20"/>
        </w:rPr>
        <w:t>associated</w:t>
      </w:r>
      <w:r>
        <w:rPr>
          <w:color w:val="231F20"/>
          <w:spacing w:val="-6"/>
        </w:rPr>
        <w:t> </w:t>
      </w:r>
      <w:r>
        <w:rPr>
          <w:color w:val="231F20"/>
        </w:rPr>
        <w:t>with</w:t>
      </w:r>
      <w:r>
        <w:rPr>
          <w:color w:val="231F20"/>
          <w:spacing w:val="22"/>
          <w:w w:val="99"/>
        </w:rPr>
        <w:t> </w:t>
      </w:r>
      <w:r>
        <w:rPr>
          <w:color w:val="231F20"/>
        </w:rPr>
        <w:t>remoteness,</w:t>
      </w:r>
      <w:r>
        <w:rPr>
          <w:color w:val="231F20"/>
          <w:spacing w:val="-9"/>
        </w:rPr>
        <w:t> </w:t>
      </w:r>
      <w:r>
        <w:rPr>
          <w:color w:val="231F20"/>
        </w:rPr>
        <w:t>Grant</w:t>
      </w:r>
      <w:r>
        <w:rPr>
          <w:color w:val="231F20"/>
          <w:spacing w:val="-7"/>
        </w:rPr>
        <w:t> </w:t>
      </w:r>
      <w:r>
        <w:rPr>
          <w:color w:val="231F20"/>
        </w:rPr>
        <w:t>Thornton</w:t>
      </w:r>
      <w:r>
        <w:rPr>
          <w:color w:val="231F20"/>
          <w:spacing w:val="-7"/>
        </w:rPr>
        <w:t> </w:t>
      </w:r>
      <w:r>
        <w:rPr>
          <w:color w:val="231F20"/>
        </w:rPr>
        <w:t>found</w:t>
      </w:r>
      <w:r>
        <w:rPr>
          <w:color w:val="231F20"/>
          <w:spacing w:val="-7"/>
        </w:rPr>
        <w:t> </w:t>
      </w:r>
      <w:r>
        <w:rPr>
          <w:color w:val="231F20"/>
        </w:rPr>
        <w:t>that</w:t>
      </w:r>
      <w:r>
        <w:rPr>
          <w:color w:val="231F20"/>
          <w:spacing w:val="-8"/>
        </w:rPr>
        <w:t> </w:t>
      </w:r>
      <w:r>
        <w:rPr>
          <w:color w:val="231F20"/>
        </w:rPr>
        <w:t>a</w:t>
      </w:r>
      <w:r>
        <w:rPr>
          <w:color w:val="231F20"/>
          <w:w w:val="99"/>
        </w:rPr>
        <w:t> </w:t>
      </w:r>
      <w:r>
        <w:rPr>
          <w:color w:val="231F20"/>
        </w:rPr>
        <w:t>number</w:t>
      </w:r>
      <w:r>
        <w:rPr>
          <w:color w:val="231F20"/>
          <w:spacing w:val="-7"/>
        </w:rPr>
        <w:t> </w:t>
      </w:r>
      <w:r>
        <w:rPr>
          <w:color w:val="231F20"/>
        </w:rPr>
        <w:t>of</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 </w:t>
      </w:r>
      <w:r>
        <w:rPr>
          <w:color w:val="231F20"/>
          <w:spacing w:val="-2"/>
        </w:rPr>
        <w:t>Strait</w:t>
      </w:r>
      <w:r>
        <w:rPr>
          <w:color w:val="231F20"/>
          <w:spacing w:val="-7"/>
        </w:rPr>
        <w:t> </w:t>
      </w:r>
      <w:r>
        <w:rPr>
          <w:color w:val="231F20"/>
          <w:spacing w:val="-1"/>
        </w:rPr>
        <w:t>Islander</w:t>
      </w:r>
      <w:r>
        <w:rPr>
          <w:color w:val="231F20"/>
          <w:spacing w:val="29"/>
          <w:w w:val="99"/>
        </w:rPr>
        <w:t> </w:t>
      </w:r>
      <w:r>
        <w:rPr>
          <w:color w:val="231F20"/>
        </w:rPr>
        <w:t>boarding</w:t>
      </w:r>
      <w:r>
        <w:rPr>
          <w:color w:val="231F20"/>
          <w:spacing w:val="-9"/>
        </w:rPr>
        <w:t> </w:t>
      </w:r>
      <w:r>
        <w:rPr>
          <w:color w:val="231F20"/>
        </w:rPr>
        <w:t>providers</w:t>
      </w:r>
      <w:r>
        <w:rPr>
          <w:color w:val="231F20"/>
          <w:spacing w:val="-8"/>
        </w:rPr>
        <w:t> </w:t>
      </w:r>
      <w:r>
        <w:rPr>
          <w:color w:val="231F20"/>
        </w:rPr>
        <w:t>are</w:t>
      </w:r>
      <w:r>
        <w:rPr>
          <w:color w:val="231F20"/>
          <w:spacing w:val="-8"/>
        </w:rPr>
        <w:t> </w:t>
      </w:r>
      <w:r>
        <w:rPr>
          <w:color w:val="231F20"/>
        </w:rPr>
        <w:t>embracing</w:t>
      </w:r>
      <w:r>
        <w:rPr>
          <w:color w:val="231F20"/>
          <w:spacing w:val="-8"/>
        </w:rPr>
        <w:t> </w:t>
      </w:r>
      <w:r>
        <w:rPr>
          <w:color w:val="231F20"/>
        </w:rPr>
        <w:t>remoteness</w:t>
      </w:r>
      <w:r>
        <w:rPr>
          <w:color w:val="231F20"/>
        </w:rPr>
        <w:t> to</w:t>
      </w:r>
      <w:r>
        <w:rPr>
          <w:color w:val="231F20"/>
          <w:spacing w:val="-5"/>
        </w:rPr>
        <w:t> </w:t>
      </w:r>
      <w:r>
        <w:rPr>
          <w:color w:val="231F20"/>
        </w:rPr>
        <w:t>provide</w:t>
      </w:r>
      <w:r>
        <w:rPr>
          <w:color w:val="231F20"/>
          <w:spacing w:val="-6"/>
        </w:rPr>
        <w:t> </w:t>
      </w:r>
      <w:r>
        <w:rPr>
          <w:color w:val="231F20"/>
        </w:rPr>
        <w:t>better</w:t>
      </w:r>
      <w:r>
        <w:rPr>
          <w:color w:val="231F20"/>
          <w:spacing w:val="-5"/>
        </w:rPr>
        <w:t> </w:t>
      </w:r>
      <w:r>
        <w:rPr>
          <w:color w:val="231F20"/>
        </w:rPr>
        <w:t>outcomes</w:t>
      </w:r>
      <w:r>
        <w:rPr>
          <w:color w:val="231F20"/>
          <w:spacing w:val="-6"/>
        </w:rPr>
        <w:t> </w:t>
      </w:r>
      <w:r>
        <w:rPr>
          <w:color w:val="231F20"/>
        </w:rPr>
        <w:t>for</w:t>
      </w:r>
      <w:r>
        <w:rPr>
          <w:color w:val="231F20"/>
          <w:spacing w:val="-4"/>
        </w:rPr>
        <w:t> </w:t>
      </w:r>
      <w:r>
        <w:rPr>
          <w:color w:val="231F20"/>
        </w:rPr>
        <w:t>boarders</w:t>
      </w:r>
      <w:r>
        <w:rPr>
          <w:color w:val="231F20"/>
          <w:spacing w:val="-6"/>
        </w:rPr>
        <w:t> </w:t>
      </w:r>
      <w:r>
        <w:rPr>
          <w:color w:val="231F20"/>
        </w:rPr>
        <w:t>and</w:t>
      </w:r>
      <w:r>
        <w:rPr>
          <w:color w:val="231F20"/>
          <w:w w:val="99"/>
        </w:rPr>
        <w:t> </w:t>
      </w:r>
      <w:r>
        <w:rPr>
          <w:color w:val="231F20"/>
        </w:rPr>
        <w:t>reduce</w:t>
      </w:r>
      <w:r>
        <w:rPr>
          <w:color w:val="231F20"/>
          <w:spacing w:val="-8"/>
        </w:rPr>
        <w:t> </w:t>
      </w:r>
      <w:r>
        <w:rPr>
          <w:color w:val="231F20"/>
        </w:rPr>
        <w:t>homesickness</w:t>
      </w:r>
      <w:r>
        <w:rPr>
          <w:color w:val="231F20"/>
          <w:spacing w:val="-7"/>
        </w:rPr>
        <w:t> </w:t>
      </w:r>
      <w:r>
        <w:rPr>
          <w:color w:val="231F20"/>
        </w:rPr>
        <w:t>and</w:t>
      </w:r>
      <w:r>
        <w:rPr>
          <w:color w:val="231F20"/>
          <w:spacing w:val="-8"/>
        </w:rPr>
        <w:t> </w:t>
      </w:r>
      <w:r>
        <w:rPr>
          <w:color w:val="231F20"/>
        </w:rPr>
        <w:t>cultural</w:t>
      </w:r>
      <w:r>
        <w:rPr>
          <w:color w:val="231F20"/>
          <w:spacing w:val="-7"/>
        </w:rPr>
        <w:t> </w:t>
      </w:r>
      <w:r>
        <w:rPr>
          <w:color w:val="231F20"/>
        </w:rPr>
        <w:t>disconnect.</w:t>
      </w:r>
      <w:r>
        <w:rPr/>
      </w:r>
    </w:p>
    <w:p>
      <w:pPr>
        <w:pStyle w:val="BodyText"/>
        <w:spacing w:line="250" w:lineRule="exact" w:before="113"/>
        <w:ind w:right="568"/>
        <w:jc w:val="left"/>
      </w:pPr>
      <w:r>
        <w:rPr>
          <w:color w:val="231F20"/>
          <w:spacing w:val="-1"/>
        </w:rPr>
        <w:t>While</w:t>
      </w:r>
      <w:r>
        <w:rPr>
          <w:color w:val="231F20"/>
          <w:spacing w:val="-3"/>
        </w:rPr>
        <w:t> </w:t>
      </w:r>
      <w:r>
        <w:rPr>
          <w:color w:val="231F20"/>
        </w:rPr>
        <w:t>the</w:t>
      </w:r>
      <w:r>
        <w:rPr>
          <w:color w:val="231F20"/>
          <w:spacing w:val="-3"/>
        </w:rPr>
        <w:t> </w:t>
      </w:r>
      <w:r>
        <w:rPr>
          <w:color w:val="231F20"/>
        </w:rPr>
        <w:t>data</w:t>
      </w:r>
      <w:r>
        <w:rPr>
          <w:color w:val="231F20"/>
          <w:spacing w:val="-3"/>
        </w:rPr>
        <w:t> </w:t>
      </w:r>
      <w:r>
        <w:rPr>
          <w:color w:val="231F20"/>
          <w:spacing w:val="-1"/>
        </w:rPr>
        <w:t>is</w:t>
      </w:r>
      <w:r>
        <w:rPr>
          <w:color w:val="231F20"/>
          <w:spacing w:val="-3"/>
        </w:rPr>
        <w:t> </w:t>
      </w:r>
      <w:r>
        <w:rPr>
          <w:color w:val="231F20"/>
          <w:spacing w:val="-1"/>
        </w:rPr>
        <w:t>inconclusive</w:t>
      </w:r>
      <w:r>
        <w:rPr>
          <w:color w:val="231F20"/>
          <w:spacing w:val="-3"/>
        </w:rPr>
        <w:t> </w:t>
      </w:r>
      <w:r>
        <w:rPr>
          <w:color w:val="231F20"/>
          <w:spacing w:val="-1"/>
        </w:rPr>
        <w:t>in</w:t>
      </w:r>
      <w:r>
        <w:rPr>
          <w:color w:val="231F20"/>
          <w:spacing w:val="-2"/>
        </w:rPr>
        <w:t> </w:t>
      </w:r>
      <w:r>
        <w:rPr>
          <w:color w:val="231F20"/>
        </w:rPr>
        <w:t>relation</w:t>
      </w:r>
      <w:r>
        <w:rPr>
          <w:color w:val="231F20"/>
          <w:spacing w:val="25"/>
          <w:w w:val="99"/>
        </w:rPr>
        <w:t> </w:t>
      </w:r>
      <w:r>
        <w:rPr>
          <w:color w:val="231F20"/>
        </w:rPr>
        <w:t>to</w:t>
      </w:r>
      <w:r>
        <w:rPr>
          <w:color w:val="231F20"/>
          <w:spacing w:val="-3"/>
        </w:rPr>
        <w:t> </w:t>
      </w:r>
      <w:r>
        <w:rPr>
          <w:color w:val="231F20"/>
        </w:rPr>
        <w:t>remoteness</w:t>
      </w:r>
      <w:r>
        <w:rPr>
          <w:color w:val="231F20"/>
          <w:spacing w:val="-4"/>
        </w:rPr>
        <w:t> </w:t>
      </w:r>
      <w:r>
        <w:rPr>
          <w:color w:val="231F20"/>
        </w:rPr>
        <w:t>as</w:t>
      </w:r>
      <w:r>
        <w:rPr>
          <w:color w:val="231F20"/>
          <w:spacing w:val="-4"/>
        </w:rPr>
        <w:t> </w:t>
      </w:r>
      <w:r>
        <w:rPr>
          <w:color w:val="231F20"/>
        </w:rPr>
        <w:t>a</w:t>
      </w:r>
      <w:r>
        <w:rPr>
          <w:color w:val="231F20"/>
          <w:spacing w:val="-2"/>
        </w:rPr>
        <w:t> </w:t>
      </w:r>
      <w:r>
        <w:rPr>
          <w:color w:val="231F20"/>
        </w:rPr>
        <w:t>determinant</w:t>
      </w:r>
      <w:r>
        <w:rPr>
          <w:color w:val="231F20"/>
          <w:spacing w:val="-4"/>
        </w:rPr>
        <w:t> </w:t>
      </w:r>
      <w:r>
        <w:rPr>
          <w:color w:val="231F20"/>
        </w:rPr>
        <w:t>of</w:t>
      </w:r>
      <w:r>
        <w:rPr>
          <w:color w:val="231F20"/>
          <w:spacing w:val="-2"/>
        </w:rPr>
        <w:t> </w:t>
      </w:r>
      <w:r>
        <w:rPr>
          <w:color w:val="231F20"/>
        </w:rPr>
        <w:t>cost</w:t>
      </w:r>
      <w:r>
        <w:rPr>
          <w:color w:val="231F20"/>
          <w:spacing w:val="-4"/>
        </w:rPr>
        <w:t> </w:t>
      </w:r>
      <w:r>
        <w:rPr>
          <w:color w:val="231F20"/>
        </w:rPr>
        <w:t>of</w:t>
      </w:r>
      <w:r>
        <w:rPr/>
      </w:r>
    </w:p>
    <w:p>
      <w:pPr>
        <w:pStyle w:val="BodyText"/>
        <w:spacing w:line="250" w:lineRule="exact"/>
        <w:ind w:right="36"/>
        <w:jc w:val="left"/>
      </w:pPr>
      <w:r>
        <w:rPr>
          <w:color w:val="231F20"/>
        </w:rPr>
        <w:t>boarding,</w:t>
      </w:r>
      <w:r>
        <w:rPr>
          <w:color w:val="231F20"/>
          <w:spacing w:val="-8"/>
        </w:rPr>
        <w:t> </w:t>
      </w:r>
      <w:r>
        <w:rPr>
          <w:color w:val="231F20"/>
          <w:spacing w:val="-1"/>
        </w:rPr>
        <w:t>logic</w:t>
      </w:r>
      <w:r>
        <w:rPr>
          <w:color w:val="231F20"/>
          <w:spacing w:val="-6"/>
        </w:rPr>
        <w:t> </w:t>
      </w:r>
      <w:r>
        <w:rPr>
          <w:color w:val="231F20"/>
        </w:rPr>
        <w:t>and</w:t>
      </w:r>
      <w:r>
        <w:rPr>
          <w:color w:val="231F20"/>
          <w:spacing w:val="-7"/>
        </w:rPr>
        <w:t> </w:t>
      </w:r>
      <w:r>
        <w:rPr>
          <w:color w:val="231F20"/>
        </w:rPr>
        <w:t>the</w:t>
      </w:r>
      <w:r>
        <w:rPr>
          <w:color w:val="231F20"/>
          <w:spacing w:val="-7"/>
        </w:rPr>
        <w:t> </w:t>
      </w:r>
      <w:r>
        <w:rPr>
          <w:color w:val="231F20"/>
        </w:rPr>
        <w:t>anecdotal</w:t>
      </w:r>
      <w:r>
        <w:rPr>
          <w:color w:val="231F20"/>
          <w:spacing w:val="-8"/>
        </w:rPr>
        <w:t> </w:t>
      </w:r>
      <w:r>
        <w:rPr>
          <w:color w:val="231F20"/>
        </w:rPr>
        <w:t>evidence</w:t>
      </w:r>
      <w:r>
        <w:rPr>
          <w:color w:val="231F20"/>
          <w:spacing w:val="21"/>
          <w:w w:val="99"/>
        </w:rPr>
        <w:t> </w:t>
      </w:r>
      <w:r>
        <w:rPr>
          <w:color w:val="231F20"/>
        </w:rPr>
        <w:t>provided</w:t>
      </w:r>
      <w:r>
        <w:rPr>
          <w:color w:val="231F20"/>
          <w:spacing w:val="-6"/>
        </w:rPr>
        <w:t> </w:t>
      </w:r>
      <w:r>
        <w:rPr>
          <w:color w:val="231F20"/>
        </w:rPr>
        <w:t>during</w:t>
      </w:r>
      <w:r>
        <w:rPr>
          <w:color w:val="231F20"/>
          <w:spacing w:val="-6"/>
        </w:rPr>
        <w:t> </w:t>
      </w:r>
      <w:r>
        <w:rPr>
          <w:color w:val="231F20"/>
        </w:rPr>
        <w:t>consultations</w:t>
      </w:r>
      <w:r>
        <w:rPr>
          <w:color w:val="231F20"/>
          <w:spacing w:val="-6"/>
        </w:rPr>
        <w:t> </w:t>
      </w:r>
      <w:r>
        <w:rPr>
          <w:color w:val="231F20"/>
        </w:rPr>
        <w:t>would</w:t>
      </w:r>
      <w:r>
        <w:rPr>
          <w:color w:val="231F20"/>
          <w:spacing w:val="-6"/>
        </w:rPr>
        <w:t> </w:t>
      </w:r>
      <w:r>
        <w:rPr>
          <w:color w:val="231F20"/>
          <w:spacing w:val="-1"/>
        </w:rPr>
        <w:t>suggest</w:t>
      </w:r>
      <w:r>
        <w:rPr>
          <w:color w:val="231F20"/>
          <w:spacing w:val="20"/>
        </w:rPr>
        <w:t> </w:t>
      </w:r>
      <w:r>
        <w:rPr>
          <w:color w:val="231F20"/>
        </w:rPr>
        <w:t>that</w:t>
      </w:r>
      <w:r>
        <w:rPr>
          <w:color w:val="231F20"/>
          <w:spacing w:val="-7"/>
        </w:rPr>
        <w:t> </w:t>
      </w:r>
      <w:r>
        <w:rPr>
          <w:color w:val="231F20"/>
        </w:rPr>
        <w:t>boarding</w:t>
      </w:r>
      <w:r>
        <w:rPr>
          <w:color w:val="231F20"/>
          <w:spacing w:val="-6"/>
        </w:rPr>
        <w:t> </w:t>
      </w:r>
      <w:r>
        <w:rPr>
          <w:color w:val="231F20"/>
          <w:spacing w:val="-1"/>
        </w:rPr>
        <w:t>in</w:t>
      </w:r>
      <w:r>
        <w:rPr>
          <w:color w:val="231F20"/>
          <w:spacing w:val="-5"/>
        </w:rPr>
        <w:t> </w:t>
      </w:r>
      <w:r>
        <w:rPr>
          <w:color w:val="231F20"/>
        </w:rPr>
        <w:t>remote</w:t>
      </w:r>
      <w:r>
        <w:rPr>
          <w:color w:val="231F20"/>
          <w:spacing w:val="-6"/>
        </w:rPr>
        <w:t> </w:t>
      </w:r>
      <w:r>
        <w:rPr>
          <w:color w:val="231F20"/>
        </w:rPr>
        <w:t>and</w:t>
      </w:r>
      <w:r>
        <w:rPr>
          <w:color w:val="231F20"/>
          <w:spacing w:val="-6"/>
        </w:rPr>
        <w:t> </w:t>
      </w:r>
      <w:r>
        <w:rPr>
          <w:color w:val="231F20"/>
        </w:rPr>
        <w:t>very</w:t>
      </w:r>
      <w:r>
        <w:rPr>
          <w:color w:val="231F20"/>
          <w:spacing w:val="-6"/>
        </w:rPr>
        <w:t> </w:t>
      </w:r>
      <w:r>
        <w:rPr>
          <w:color w:val="231F20"/>
        </w:rPr>
        <w:t>remote</w:t>
      </w:r>
      <w:r>
        <w:rPr>
          <w:color w:val="231F20"/>
          <w:spacing w:val="21"/>
          <w:w w:val="99"/>
        </w:rPr>
        <w:t> </w:t>
      </w:r>
      <w:r>
        <w:rPr>
          <w:color w:val="231F20"/>
          <w:spacing w:val="-1"/>
        </w:rPr>
        <w:t>locations</w:t>
      </w:r>
      <w:r>
        <w:rPr>
          <w:color w:val="231F20"/>
          <w:spacing w:val="-5"/>
        </w:rPr>
        <w:t> </w:t>
      </w:r>
      <w:r>
        <w:rPr>
          <w:color w:val="231F20"/>
        </w:rPr>
        <w:t>would</w:t>
      </w:r>
      <w:r>
        <w:rPr>
          <w:color w:val="231F20"/>
          <w:spacing w:val="-5"/>
        </w:rPr>
        <w:t> </w:t>
      </w:r>
      <w:r>
        <w:rPr>
          <w:color w:val="231F20"/>
        </w:rPr>
        <w:t>be</w:t>
      </w:r>
      <w:r>
        <w:rPr>
          <w:color w:val="231F20"/>
          <w:spacing w:val="-4"/>
        </w:rPr>
        <w:t> </w:t>
      </w:r>
      <w:r>
        <w:rPr>
          <w:color w:val="231F20"/>
          <w:spacing w:val="-1"/>
        </w:rPr>
        <w:t>more</w:t>
      </w:r>
      <w:r>
        <w:rPr>
          <w:color w:val="231F20"/>
          <w:spacing w:val="-4"/>
        </w:rPr>
        <w:t> </w:t>
      </w:r>
      <w:r>
        <w:rPr>
          <w:color w:val="231F20"/>
        </w:rPr>
        <w:t>costly</w:t>
      </w:r>
      <w:r>
        <w:rPr>
          <w:color w:val="231F20"/>
          <w:spacing w:val="-5"/>
        </w:rPr>
        <w:t> </w:t>
      </w:r>
      <w:r>
        <w:rPr>
          <w:color w:val="231F20"/>
        </w:rPr>
        <w:t>than</w:t>
      </w:r>
      <w:r>
        <w:rPr>
          <w:color w:val="231F20"/>
          <w:spacing w:val="-5"/>
        </w:rPr>
        <w:t> </w:t>
      </w:r>
      <w:r>
        <w:rPr>
          <w:color w:val="231F20"/>
        </w:rPr>
        <w:t>providing</w:t>
      </w:r>
      <w:r>
        <w:rPr>
          <w:color w:val="231F20"/>
          <w:spacing w:val="23"/>
          <w:w w:val="99"/>
        </w:rPr>
        <w:t> </w:t>
      </w:r>
      <w:r>
        <w:rPr>
          <w:color w:val="231F20"/>
        </w:rPr>
        <w:t>the</w:t>
      </w:r>
      <w:r>
        <w:rPr>
          <w:color w:val="231F20"/>
          <w:spacing w:val="-5"/>
        </w:rPr>
        <w:t> </w:t>
      </w:r>
      <w:r>
        <w:rPr>
          <w:color w:val="231F20"/>
          <w:spacing w:val="-1"/>
        </w:rPr>
        <w:t>same</w:t>
      </w:r>
      <w:r>
        <w:rPr>
          <w:color w:val="231F20"/>
          <w:spacing w:val="-3"/>
        </w:rPr>
        <w:t> </w:t>
      </w:r>
      <w:r>
        <w:rPr>
          <w:color w:val="231F20"/>
          <w:spacing w:val="-1"/>
        </w:rPr>
        <w:t>service</w:t>
      </w:r>
      <w:r>
        <w:rPr>
          <w:color w:val="231F20"/>
          <w:spacing w:val="-3"/>
        </w:rPr>
        <w:t> </w:t>
      </w:r>
      <w:r>
        <w:rPr>
          <w:color w:val="231F20"/>
          <w:spacing w:val="-1"/>
        </w:rPr>
        <w:t>in</w:t>
      </w:r>
      <w:r>
        <w:rPr>
          <w:color w:val="231F20"/>
          <w:spacing w:val="-3"/>
        </w:rPr>
        <w:t> </w:t>
      </w:r>
      <w:r>
        <w:rPr>
          <w:color w:val="231F20"/>
        </w:rPr>
        <w:t>other</w:t>
      </w:r>
      <w:r>
        <w:rPr>
          <w:color w:val="231F20"/>
          <w:spacing w:val="-3"/>
        </w:rPr>
        <w:t> </w:t>
      </w:r>
      <w:r>
        <w:rPr>
          <w:color w:val="231F20"/>
        </w:rPr>
        <w:t>areas.</w:t>
      </w:r>
      <w:r>
        <w:rPr>
          <w:color w:val="231F20"/>
          <w:spacing w:val="-4"/>
        </w:rPr>
        <w:t> </w:t>
      </w:r>
      <w:r>
        <w:rPr>
          <w:color w:val="231F20"/>
        </w:rPr>
        <w:t>The</w:t>
      </w:r>
      <w:r>
        <w:rPr>
          <w:color w:val="231F20"/>
          <w:spacing w:val="-3"/>
        </w:rPr>
        <w:t> </w:t>
      </w:r>
      <w:r>
        <w:rPr>
          <w:color w:val="231F20"/>
          <w:spacing w:val="-1"/>
        </w:rPr>
        <w:t>Schooling</w:t>
      </w:r>
      <w:r>
        <w:rPr>
          <w:color w:val="231F20"/>
          <w:spacing w:val="23"/>
        </w:rPr>
        <w:t> </w:t>
      </w:r>
      <w:r>
        <w:rPr>
          <w:color w:val="231F20"/>
          <w:spacing w:val="-1"/>
        </w:rPr>
        <w:t>Resource</w:t>
      </w:r>
      <w:r>
        <w:rPr>
          <w:color w:val="231F20"/>
          <w:spacing w:val="-12"/>
        </w:rPr>
        <w:t> </w:t>
      </w:r>
      <w:r>
        <w:rPr>
          <w:color w:val="231F20"/>
          <w:spacing w:val="-1"/>
        </w:rPr>
        <w:t>Standard</w:t>
      </w:r>
      <w:r>
        <w:rPr>
          <w:color w:val="231F20"/>
          <w:spacing w:val="-12"/>
        </w:rPr>
        <w:t> </w:t>
      </w:r>
      <w:r>
        <w:rPr>
          <w:color w:val="231F20"/>
        </w:rPr>
        <w:t>for</w:t>
      </w:r>
      <w:r>
        <w:rPr>
          <w:color w:val="231F20"/>
          <w:spacing w:val="-11"/>
        </w:rPr>
        <w:t> </w:t>
      </w:r>
      <w:r>
        <w:rPr>
          <w:color w:val="231F20"/>
          <w:spacing w:val="-1"/>
        </w:rPr>
        <w:t>Commonwealth</w:t>
      </w:r>
      <w:r>
        <w:rPr>
          <w:color w:val="231F20"/>
          <w:spacing w:val="-11"/>
        </w:rPr>
        <w:t> </w:t>
      </w:r>
      <w:r>
        <w:rPr>
          <w:color w:val="231F20"/>
        </w:rPr>
        <w:t>recurrent</w:t>
      </w:r>
      <w:r>
        <w:rPr>
          <w:color w:val="231F20"/>
          <w:spacing w:val="25"/>
          <w:w w:val="99"/>
        </w:rPr>
        <w:t> </w:t>
      </w:r>
      <w:r>
        <w:rPr>
          <w:color w:val="231F20"/>
          <w:spacing w:val="-1"/>
        </w:rPr>
        <w:t>school</w:t>
      </w:r>
      <w:r>
        <w:rPr>
          <w:color w:val="231F20"/>
          <w:spacing w:val="-3"/>
        </w:rPr>
        <w:t> </w:t>
      </w:r>
      <w:r>
        <w:rPr>
          <w:color w:val="231F20"/>
        </w:rPr>
        <w:t>funding</w:t>
      </w:r>
      <w:r>
        <w:rPr>
          <w:color w:val="231F20"/>
          <w:spacing w:val="-3"/>
        </w:rPr>
        <w:t> </w:t>
      </w:r>
      <w:r>
        <w:rPr>
          <w:color w:val="231F20"/>
        </w:rPr>
        <w:t>reaches</w:t>
      </w:r>
      <w:r>
        <w:rPr>
          <w:color w:val="231F20"/>
          <w:spacing w:val="-4"/>
        </w:rPr>
        <w:t> </w:t>
      </w:r>
      <w:r>
        <w:rPr>
          <w:color w:val="231F20"/>
        </w:rPr>
        <w:t>this</w:t>
      </w:r>
      <w:r>
        <w:rPr>
          <w:color w:val="231F20"/>
          <w:spacing w:val="-3"/>
        </w:rPr>
        <w:t> </w:t>
      </w:r>
      <w:r>
        <w:rPr>
          <w:color w:val="231F20"/>
          <w:spacing w:val="-1"/>
        </w:rPr>
        <w:t>same</w:t>
      </w:r>
      <w:r>
        <w:rPr>
          <w:color w:val="231F20"/>
          <w:spacing w:val="-3"/>
        </w:rPr>
        <w:t> </w:t>
      </w:r>
      <w:r>
        <w:rPr>
          <w:color w:val="231F20"/>
        </w:rPr>
        <w:t>conclusion</w:t>
      </w:r>
      <w:r>
        <w:rPr>
          <w:color w:val="231F20"/>
          <w:spacing w:val="23"/>
        </w:rPr>
        <w:t> </w:t>
      </w:r>
      <w:r>
        <w:rPr>
          <w:color w:val="231F20"/>
        </w:rPr>
        <w:t>and</w:t>
      </w:r>
      <w:r>
        <w:rPr>
          <w:color w:val="231F20"/>
          <w:spacing w:val="-5"/>
        </w:rPr>
        <w:t> </w:t>
      </w:r>
      <w:r>
        <w:rPr>
          <w:color w:val="231F20"/>
          <w:spacing w:val="-1"/>
        </w:rPr>
        <w:t>includes</w:t>
      </w:r>
      <w:r>
        <w:rPr>
          <w:color w:val="231F20"/>
          <w:spacing w:val="-4"/>
        </w:rPr>
        <w:t> </w:t>
      </w:r>
      <w:r>
        <w:rPr>
          <w:color w:val="231F20"/>
        </w:rPr>
        <w:t>a</w:t>
      </w:r>
      <w:r>
        <w:rPr>
          <w:color w:val="231F20"/>
          <w:spacing w:val="-4"/>
        </w:rPr>
        <w:t> </w:t>
      </w:r>
      <w:r>
        <w:rPr>
          <w:color w:val="231F20"/>
        </w:rPr>
        <w:t>‘school</w:t>
      </w:r>
      <w:r>
        <w:rPr>
          <w:color w:val="231F20"/>
          <w:spacing w:val="-5"/>
        </w:rPr>
        <w:t> </w:t>
      </w:r>
      <w:r>
        <w:rPr>
          <w:color w:val="231F20"/>
          <w:spacing w:val="-1"/>
        </w:rPr>
        <w:t>location</w:t>
      </w:r>
      <w:r>
        <w:rPr>
          <w:color w:val="231F20"/>
          <w:spacing w:val="-3"/>
        </w:rPr>
        <w:t> </w:t>
      </w:r>
      <w:r>
        <w:rPr>
          <w:color w:val="231F20"/>
          <w:spacing w:val="-1"/>
        </w:rPr>
        <w:t>loading’.</w:t>
      </w:r>
      <w:r>
        <w:rPr/>
      </w:r>
    </w:p>
    <w:p>
      <w:pPr>
        <w:pStyle w:val="Heading5"/>
        <w:spacing w:line="240" w:lineRule="auto" w:before="176"/>
        <w:ind w:right="0"/>
        <w:jc w:val="left"/>
        <w:rPr>
          <w:i w:val="0"/>
        </w:rPr>
      </w:pPr>
      <w:r>
        <w:rPr>
          <w:i w:val="0"/>
        </w:rPr>
        <w:br w:type="column"/>
      </w:r>
      <w:r>
        <w:rPr>
          <w:b/>
          <w:i/>
          <w:color w:val="00779B"/>
          <w:spacing w:val="-1"/>
        </w:rPr>
        <w:t>Age </w:t>
      </w:r>
      <w:r>
        <w:rPr>
          <w:b/>
          <w:i/>
          <w:color w:val="00779B"/>
          <w:spacing w:val="-3"/>
        </w:rPr>
        <w:t>of</w:t>
      </w:r>
      <w:r>
        <w:rPr>
          <w:b/>
          <w:i/>
          <w:color w:val="00779B"/>
        </w:rPr>
        <w:t> </w:t>
      </w:r>
      <w:r>
        <w:rPr>
          <w:b/>
          <w:i/>
          <w:color w:val="00779B"/>
          <w:spacing w:val="-2"/>
        </w:rPr>
        <w:t>boarder</w:t>
      </w:r>
      <w:r>
        <w:rPr>
          <w:i w:val="0"/>
        </w:rPr>
      </w:r>
    </w:p>
    <w:p>
      <w:pPr>
        <w:pStyle w:val="BodyText"/>
        <w:spacing w:line="250" w:lineRule="exact" w:before="131"/>
        <w:ind w:right="140"/>
        <w:jc w:val="left"/>
      </w:pPr>
      <w:r>
        <w:rPr>
          <w:rFonts w:ascii="Segoe UI"/>
          <w:color w:val="231F20"/>
        </w:rPr>
        <w:t>A not insignificant number of Aboriginal and </w:t>
      </w:r>
      <w:r>
        <w:rPr>
          <w:color w:val="231F20"/>
          <w:spacing w:val="-5"/>
        </w:rPr>
        <w:t>Torres </w:t>
      </w:r>
      <w:r>
        <w:rPr>
          <w:color w:val="231F20"/>
          <w:spacing w:val="-2"/>
        </w:rPr>
        <w:t>Strait</w:t>
      </w:r>
      <w:r>
        <w:rPr>
          <w:color w:val="231F20"/>
          <w:spacing w:val="-5"/>
        </w:rPr>
        <w:t> </w:t>
      </w:r>
      <w:r>
        <w:rPr>
          <w:color w:val="231F20"/>
          <w:spacing w:val="-1"/>
        </w:rPr>
        <w:t>Islander</w:t>
      </w:r>
      <w:r>
        <w:rPr>
          <w:color w:val="231F20"/>
          <w:spacing w:val="-4"/>
        </w:rPr>
        <w:t> </w:t>
      </w:r>
      <w:r>
        <w:rPr>
          <w:color w:val="231F20"/>
        </w:rPr>
        <w:t>and</w:t>
      </w:r>
      <w:r>
        <w:rPr>
          <w:color w:val="231F20"/>
          <w:spacing w:val="-5"/>
        </w:rPr>
        <w:t> </w:t>
      </w:r>
      <w:r>
        <w:rPr>
          <w:color w:val="231F20"/>
          <w:spacing w:val="-1"/>
        </w:rPr>
        <w:t>mainstream</w:t>
      </w:r>
      <w:r>
        <w:rPr>
          <w:color w:val="231F20"/>
          <w:spacing w:val="-4"/>
        </w:rPr>
        <w:t> </w:t>
      </w:r>
      <w:r>
        <w:rPr>
          <w:color w:val="231F20"/>
        </w:rPr>
        <w:t>boarding</w:t>
      </w:r>
      <w:r>
        <w:rPr>
          <w:color w:val="231F20"/>
          <w:spacing w:val="23"/>
          <w:w w:val="99"/>
        </w:rPr>
        <w:t> </w:t>
      </w:r>
      <w:r>
        <w:rPr>
          <w:color w:val="231F20"/>
        </w:rPr>
        <w:t>providers</w:t>
      </w:r>
      <w:r>
        <w:rPr>
          <w:color w:val="231F20"/>
          <w:spacing w:val="-6"/>
        </w:rPr>
        <w:t> </w:t>
      </w:r>
      <w:r>
        <w:rPr>
          <w:color w:val="231F20"/>
        </w:rPr>
        <w:t>receiving</w:t>
      </w:r>
      <w:r>
        <w:rPr>
          <w:color w:val="231F20"/>
          <w:spacing w:val="-7"/>
        </w:rPr>
        <w:t> </w:t>
      </w:r>
      <w:r>
        <w:rPr>
          <w:color w:val="231F20"/>
        </w:rPr>
        <w:t>ABSTUDY</w:t>
      </w:r>
      <w:r>
        <w:rPr>
          <w:color w:val="231F20"/>
          <w:spacing w:val="-5"/>
        </w:rPr>
        <w:t> </w:t>
      </w:r>
      <w:r>
        <w:rPr>
          <w:color w:val="231F20"/>
          <w:spacing w:val="-1"/>
        </w:rPr>
        <w:t>living</w:t>
      </w:r>
      <w:r>
        <w:rPr>
          <w:color w:val="231F20"/>
          <w:spacing w:val="-5"/>
        </w:rPr>
        <w:t> </w:t>
      </w:r>
      <w:r>
        <w:rPr>
          <w:color w:val="231F20"/>
          <w:spacing w:val="-1"/>
        </w:rPr>
        <w:t>allowance</w:t>
      </w:r>
      <w:r>
        <w:rPr>
          <w:rFonts w:ascii="Segoe UI Semibold"/>
          <w:b/>
          <w:color w:val="231F20"/>
          <w:spacing w:val="-1"/>
          <w:position w:val="7"/>
          <w:sz w:val="11"/>
        </w:rPr>
        <w:t>14</w:t>
      </w:r>
      <w:r>
        <w:rPr>
          <w:rFonts w:ascii="Segoe UI Semibold"/>
          <w:b/>
          <w:color w:val="231F20"/>
          <w:spacing w:val="29"/>
          <w:w w:val="106"/>
          <w:position w:val="7"/>
          <w:sz w:val="11"/>
        </w:rPr>
        <w:t> </w:t>
      </w:r>
      <w:r>
        <w:rPr>
          <w:rFonts w:ascii="Segoe UI"/>
          <w:color w:val="231F20"/>
        </w:rPr>
        <w:t>charge</w:t>
      </w:r>
      <w:r>
        <w:rPr>
          <w:rFonts w:ascii="Segoe UI"/>
          <w:color w:val="231F20"/>
          <w:spacing w:val="-2"/>
        </w:rPr>
        <w:t> </w:t>
      </w:r>
      <w:r>
        <w:rPr>
          <w:rFonts w:ascii="Segoe UI"/>
          <w:color w:val="231F20"/>
        </w:rPr>
        <w:t>differential</w:t>
      </w:r>
      <w:r>
        <w:rPr>
          <w:rFonts w:ascii="Segoe UI"/>
          <w:color w:val="231F20"/>
          <w:spacing w:val="-2"/>
        </w:rPr>
        <w:t> </w:t>
      </w:r>
      <w:r>
        <w:rPr>
          <w:rFonts w:ascii="Segoe UI"/>
          <w:color w:val="231F20"/>
        </w:rPr>
        <w:t>fees</w:t>
      </w:r>
      <w:r>
        <w:rPr>
          <w:rFonts w:ascii="Segoe UI"/>
          <w:color w:val="231F20"/>
          <w:spacing w:val="-1"/>
        </w:rPr>
        <w:t> </w:t>
      </w:r>
      <w:r>
        <w:rPr>
          <w:rFonts w:ascii="Segoe UI"/>
          <w:color w:val="231F20"/>
        </w:rPr>
        <w:t>based</w:t>
      </w:r>
      <w:r>
        <w:rPr>
          <w:rFonts w:ascii="Segoe UI"/>
          <w:color w:val="231F20"/>
          <w:spacing w:val="-2"/>
        </w:rPr>
        <w:t> </w:t>
      </w:r>
      <w:r>
        <w:rPr>
          <w:rFonts w:ascii="Segoe UI"/>
          <w:color w:val="231F20"/>
        </w:rPr>
        <w:t>on</w:t>
      </w:r>
      <w:r>
        <w:rPr>
          <w:rFonts w:ascii="Segoe UI"/>
          <w:color w:val="231F20"/>
          <w:spacing w:val="-1"/>
        </w:rPr>
        <w:t> </w:t>
      </w:r>
      <w:r>
        <w:rPr>
          <w:rFonts w:ascii="Segoe UI"/>
          <w:color w:val="231F20"/>
        </w:rPr>
        <w:t>age,</w:t>
      </w:r>
      <w:r>
        <w:rPr>
          <w:rFonts w:ascii="Segoe UI"/>
          <w:color w:val="231F20"/>
          <w:spacing w:val="-2"/>
        </w:rPr>
        <w:t> </w:t>
      </w:r>
      <w:r>
        <w:rPr>
          <w:rFonts w:ascii="Segoe UI"/>
          <w:color w:val="231F20"/>
        </w:rPr>
        <w:t>usually</w:t>
      </w:r>
      <w:r>
        <w:rPr>
          <w:rFonts w:ascii="Segoe UI"/>
          <w:color w:val="231F20"/>
        </w:rPr>
        <w:t> </w:t>
      </w:r>
      <w:r>
        <w:rPr>
          <w:color w:val="231F20"/>
        </w:rPr>
        <w:t>higher</w:t>
      </w:r>
      <w:r>
        <w:rPr>
          <w:color w:val="231F20"/>
          <w:spacing w:val="-8"/>
        </w:rPr>
        <w:t> </w:t>
      </w:r>
      <w:r>
        <w:rPr>
          <w:color w:val="231F20"/>
        </w:rPr>
        <w:t>for</w:t>
      </w:r>
      <w:r>
        <w:rPr>
          <w:color w:val="231F20"/>
          <w:spacing w:val="-7"/>
        </w:rPr>
        <w:t> </w:t>
      </w:r>
      <w:r>
        <w:rPr>
          <w:color w:val="231F20"/>
        </w:rPr>
        <w:t>older</w:t>
      </w:r>
      <w:r>
        <w:rPr>
          <w:color w:val="231F20"/>
          <w:spacing w:val="-7"/>
        </w:rPr>
        <w:t> </w:t>
      </w:r>
      <w:r>
        <w:rPr>
          <w:color w:val="231F20"/>
        </w:rPr>
        <w:t>boarders.</w:t>
      </w:r>
      <w:r>
        <w:rPr/>
      </w:r>
    </w:p>
    <w:p>
      <w:pPr>
        <w:pStyle w:val="BodyText"/>
        <w:spacing w:line="250" w:lineRule="exact" w:before="113"/>
        <w:ind w:right="140"/>
        <w:jc w:val="left"/>
      </w:pPr>
      <w:r>
        <w:rPr>
          <w:color w:val="231F20"/>
        </w:rPr>
        <w:t>Grant</w:t>
      </w:r>
      <w:r>
        <w:rPr>
          <w:color w:val="231F20"/>
          <w:spacing w:val="-7"/>
        </w:rPr>
        <w:t> </w:t>
      </w:r>
      <w:r>
        <w:rPr>
          <w:color w:val="231F20"/>
        </w:rPr>
        <w:t>Thornton</w:t>
      </w:r>
      <w:r>
        <w:rPr>
          <w:color w:val="231F20"/>
          <w:spacing w:val="-7"/>
        </w:rPr>
        <w:t> </w:t>
      </w:r>
      <w:r>
        <w:rPr>
          <w:color w:val="231F20"/>
        </w:rPr>
        <w:t>found</w:t>
      </w:r>
      <w:r>
        <w:rPr>
          <w:color w:val="231F20"/>
          <w:spacing w:val="-6"/>
        </w:rPr>
        <w:t> </w:t>
      </w:r>
      <w:r>
        <w:rPr>
          <w:color w:val="231F20"/>
        </w:rPr>
        <w:t>no</w:t>
      </w:r>
      <w:r>
        <w:rPr>
          <w:color w:val="231F20"/>
          <w:spacing w:val="-6"/>
        </w:rPr>
        <w:t> </w:t>
      </w:r>
      <w:r>
        <w:rPr>
          <w:color w:val="231F20"/>
        </w:rPr>
        <w:t>reliable</w:t>
      </w:r>
      <w:r>
        <w:rPr>
          <w:color w:val="231F20"/>
          <w:spacing w:val="-7"/>
        </w:rPr>
        <w:t> </w:t>
      </w:r>
      <w:r>
        <w:rPr>
          <w:color w:val="231F20"/>
        </w:rPr>
        <w:t>evidence</w:t>
      </w:r>
      <w:r>
        <w:rPr>
          <w:color w:val="231F20"/>
          <w:spacing w:val="-7"/>
        </w:rPr>
        <w:t> </w:t>
      </w:r>
      <w:r>
        <w:rPr>
          <w:color w:val="231F20"/>
        </w:rPr>
        <w:t>to</w:t>
      </w:r>
      <w:r>
        <w:rPr>
          <w:color w:val="231F20"/>
          <w:w w:val="99"/>
        </w:rPr>
        <w:t> </w:t>
      </w:r>
      <w:r>
        <w:rPr>
          <w:rFonts w:ascii="Segoe UI"/>
          <w:color w:val="231F20"/>
        </w:rPr>
        <w:t>support a finding that age plays a contributing</w:t>
      </w:r>
      <w:r>
        <w:rPr>
          <w:rFonts w:ascii="Segoe UI"/>
          <w:color w:val="231F20"/>
        </w:rPr>
        <w:t> </w:t>
      </w:r>
      <w:r>
        <w:rPr>
          <w:color w:val="231F20"/>
        </w:rPr>
        <w:t>factor</w:t>
      </w:r>
      <w:r>
        <w:rPr>
          <w:color w:val="231F20"/>
          <w:spacing w:val="-4"/>
        </w:rPr>
        <w:t> </w:t>
      </w:r>
      <w:r>
        <w:rPr>
          <w:color w:val="231F20"/>
          <w:spacing w:val="-1"/>
        </w:rPr>
        <w:t>in</w:t>
      </w:r>
      <w:r>
        <w:rPr>
          <w:color w:val="231F20"/>
          <w:spacing w:val="-4"/>
        </w:rPr>
        <w:t> </w:t>
      </w:r>
      <w:r>
        <w:rPr>
          <w:color w:val="231F20"/>
        </w:rPr>
        <w:t>the</w:t>
      </w:r>
      <w:r>
        <w:rPr>
          <w:color w:val="231F20"/>
          <w:spacing w:val="-5"/>
        </w:rPr>
        <w:t> </w:t>
      </w:r>
      <w:r>
        <w:rPr>
          <w:color w:val="231F20"/>
        </w:rPr>
        <w:t>cost</w:t>
      </w:r>
      <w:r>
        <w:rPr>
          <w:color w:val="231F20"/>
          <w:spacing w:val="-5"/>
        </w:rPr>
        <w:t> </w:t>
      </w:r>
      <w:r>
        <w:rPr>
          <w:color w:val="231F20"/>
        </w:rPr>
        <w:t>of</w:t>
      </w:r>
      <w:r>
        <w:rPr>
          <w:color w:val="231F20"/>
          <w:spacing w:val="-3"/>
        </w:rPr>
        <w:t> </w:t>
      </w:r>
      <w:r>
        <w:rPr>
          <w:color w:val="231F20"/>
        </w:rPr>
        <w:t>boarding</w:t>
      </w:r>
      <w:r>
        <w:rPr>
          <w:color w:val="231F20"/>
          <w:spacing w:val="-5"/>
        </w:rPr>
        <w:t> </w:t>
      </w:r>
      <w:r>
        <w:rPr>
          <w:color w:val="231F20"/>
        </w:rPr>
        <w:t>or</w:t>
      </w:r>
      <w:r>
        <w:rPr>
          <w:color w:val="231F20"/>
          <w:spacing w:val="-4"/>
        </w:rPr>
        <w:t> </w:t>
      </w:r>
      <w:r>
        <w:rPr>
          <w:color w:val="231F20"/>
          <w:spacing w:val="-1"/>
        </w:rPr>
        <w:t>support</w:t>
      </w:r>
      <w:r>
        <w:rPr>
          <w:color w:val="231F20"/>
          <w:spacing w:val="21"/>
          <w:w w:val="99"/>
        </w:rPr>
        <w:t> </w:t>
      </w:r>
      <w:r>
        <w:rPr>
          <w:color w:val="231F20"/>
          <w:spacing w:val="-1"/>
        </w:rPr>
        <w:t>services</w:t>
      </w:r>
      <w:r>
        <w:rPr>
          <w:color w:val="231F20"/>
          <w:spacing w:val="-5"/>
        </w:rPr>
        <w:t> </w:t>
      </w:r>
      <w:r>
        <w:rPr>
          <w:color w:val="231F20"/>
        </w:rPr>
        <w:t>for</w:t>
      </w:r>
      <w:r>
        <w:rPr>
          <w:color w:val="231F20"/>
          <w:spacing w:val="-4"/>
        </w:rPr>
        <w:t> </w:t>
      </w:r>
      <w:r>
        <w:rPr>
          <w:color w:val="231F20"/>
        </w:rPr>
        <w:t>Aboriginal</w:t>
      </w:r>
      <w:r>
        <w:rPr>
          <w:color w:val="231F20"/>
          <w:spacing w:val="-4"/>
        </w:rPr>
        <w:t> </w:t>
      </w:r>
      <w:r>
        <w:rPr>
          <w:color w:val="231F20"/>
        </w:rPr>
        <w:t>and</w:t>
      </w:r>
      <w:r>
        <w:rPr>
          <w:color w:val="231F20"/>
          <w:spacing w:val="-5"/>
        </w:rPr>
        <w:t> 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20"/>
          <w:w w:val="99"/>
        </w:rPr>
        <w:t> </w:t>
      </w:r>
      <w:r>
        <w:rPr>
          <w:color w:val="231F20"/>
          <w:spacing w:val="-1"/>
        </w:rPr>
        <w:t>students.</w:t>
      </w:r>
      <w:r>
        <w:rPr/>
      </w:r>
    </w:p>
    <w:p>
      <w:pPr>
        <w:spacing w:line="240" w:lineRule="auto" w:before="9"/>
        <w:rPr>
          <w:rFonts w:ascii="Segoe UI" w:hAnsi="Segoe UI" w:cs="Segoe UI" w:eastAsia="Segoe UI"/>
          <w:sz w:val="19"/>
          <w:szCs w:val="19"/>
        </w:rPr>
      </w:pPr>
    </w:p>
    <w:p>
      <w:pPr>
        <w:pStyle w:val="Heading5"/>
        <w:spacing w:line="240" w:lineRule="auto"/>
        <w:ind w:right="0"/>
        <w:jc w:val="left"/>
        <w:rPr>
          <w:i w:val="0"/>
        </w:rPr>
      </w:pPr>
      <w:r>
        <w:rPr>
          <w:b/>
          <w:i/>
          <w:color w:val="00779B"/>
          <w:spacing w:val="-1"/>
        </w:rPr>
        <w:t>Special</w:t>
      </w:r>
      <w:r>
        <w:rPr>
          <w:b/>
          <w:i/>
          <w:color w:val="00779B"/>
          <w:spacing w:val="-5"/>
        </w:rPr>
        <w:t> </w:t>
      </w:r>
      <w:r>
        <w:rPr>
          <w:b/>
          <w:i/>
          <w:color w:val="00779B"/>
          <w:spacing w:val="-2"/>
        </w:rPr>
        <w:t>assistance</w:t>
      </w:r>
      <w:r>
        <w:rPr>
          <w:b/>
          <w:i/>
          <w:color w:val="00779B"/>
          <w:spacing w:val="-5"/>
        </w:rPr>
        <w:t> </w:t>
      </w:r>
      <w:r>
        <w:rPr>
          <w:b/>
          <w:i/>
          <w:color w:val="00779B"/>
          <w:spacing w:val="-1"/>
        </w:rPr>
        <w:t>schools</w:t>
      </w:r>
      <w:r>
        <w:rPr>
          <w:i w:val="0"/>
        </w:rPr>
      </w:r>
    </w:p>
    <w:p>
      <w:pPr>
        <w:pStyle w:val="BodyText"/>
        <w:spacing w:line="250" w:lineRule="exact" w:before="131"/>
        <w:ind w:right="806" w:hanging="1"/>
        <w:jc w:val="left"/>
      </w:pPr>
      <w:r>
        <w:rPr>
          <w:color w:val="231F20"/>
          <w:spacing w:val="-1"/>
        </w:rPr>
        <w:t>Special</w:t>
      </w:r>
      <w:r>
        <w:rPr>
          <w:color w:val="231F20"/>
        </w:rPr>
        <w:t> assistance </w:t>
      </w:r>
      <w:r>
        <w:rPr>
          <w:color w:val="231F20"/>
          <w:spacing w:val="-1"/>
        </w:rPr>
        <w:t>schools</w:t>
      </w:r>
      <w:r>
        <w:rPr>
          <w:color w:val="231F20"/>
          <w:spacing w:val="1"/>
        </w:rPr>
        <w:t> </w:t>
      </w:r>
      <w:r>
        <w:rPr>
          <w:color w:val="231F20"/>
          <w:spacing w:val="-1"/>
        </w:rPr>
        <w:t>(SAS)</w:t>
      </w:r>
      <w:r>
        <w:rPr>
          <w:rFonts w:ascii="Segoe UI Semibold"/>
          <w:b/>
          <w:color w:val="231F20"/>
          <w:spacing w:val="-1"/>
          <w:position w:val="7"/>
          <w:sz w:val="11"/>
        </w:rPr>
        <w:t>15</w:t>
      </w:r>
      <w:r>
        <w:rPr>
          <w:rFonts w:ascii="Segoe UI Semibold"/>
          <w:b/>
          <w:color w:val="231F20"/>
          <w:spacing w:val="24"/>
          <w:position w:val="7"/>
          <w:sz w:val="11"/>
        </w:rPr>
        <w:t> </w:t>
      </w:r>
      <w:r>
        <w:rPr>
          <w:color w:val="231F20"/>
        </w:rPr>
        <w:t>play</w:t>
      </w:r>
      <w:r>
        <w:rPr>
          <w:color w:val="231F20"/>
          <w:spacing w:val="28"/>
          <w:w w:val="99"/>
        </w:rPr>
        <w:t> </w:t>
      </w:r>
      <w:r>
        <w:rPr>
          <w:color w:val="231F20"/>
        </w:rPr>
        <w:t>an</w:t>
      </w:r>
      <w:r>
        <w:rPr>
          <w:color w:val="231F20"/>
          <w:spacing w:val="-4"/>
        </w:rPr>
        <w:t> </w:t>
      </w:r>
      <w:r>
        <w:rPr>
          <w:color w:val="231F20"/>
          <w:spacing w:val="-1"/>
        </w:rPr>
        <w:t>important</w:t>
      </w:r>
      <w:r>
        <w:rPr>
          <w:color w:val="231F20"/>
          <w:spacing w:val="-3"/>
        </w:rPr>
        <w:t> </w:t>
      </w:r>
      <w:r>
        <w:rPr>
          <w:color w:val="231F20"/>
        </w:rPr>
        <w:t>role</w:t>
      </w:r>
      <w:r>
        <w:rPr>
          <w:color w:val="231F20"/>
          <w:spacing w:val="-4"/>
        </w:rPr>
        <w:t> </w:t>
      </w:r>
      <w:r>
        <w:rPr>
          <w:color w:val="231F20"/>
          <w:spacing w:val="-1"/>
        </w:rPr>
        <w:t>in</w:t>
      </w:r>
      <w:r>
        <w:rPr>
          <w:color w:val="231F20"/>
          <w:spacing w:val="-3"/>
        </w:rPr>
        <w:t> </w:t>
      </w:r>
      <w:r>
        <w:rPr>
          <w:color w:val="231F20"/>
          <w:spacing w:val="-1"/>
        </w:rPr>
        <w:t>meeting</w:t>
      </w:r>
      <w:r>
        <w:rPr>
          <w:color w:val="231F20"/>
          <w:spacing w:val="-3"/>
        </w:rPr>
        <w:t> </w:t>
      </w:r>
      <w:r>
        <w:rPr>
          <w:color w:val="231F20"/>
        </w:rPr>
        <w:t>the</w:t>
      </w:r>
      <w:r>
        <w:rPr>
          <w:color w:val="231F20"/>
          <w:spacing w:val="-4"/>
        </w:rPr>
        <w:t> </w:t>
      </w:r>
      <w:r>
        <w:rPr>
          <w:color w:val="231F20"/>
        </w:rPr>
        <w:t>needs</w:t>
      </w:r>
      <w:r>
        <w:rPr>
          <w:color w:val="231F20"/>
          <w:spacing w:val="24"/>
        </w:rPr>
        <w:t> </w:t>
      </w:r>
      <w:r>
        <w:rPr>
          <w:color w:val="231F20"/>
        </w:rPr>
        <w:t>of</w:t>
      </w:r>
      <w:r>
        <w:rPr>
          <w:color w:val="231F20"/>
          <w:spacing w:val="-4"/>
        </w:rPr>
        <w:t> </w:t>
      </w:r>
      <w:r>
        <w:rPr>
          <w:color w:val="231F20"/>
          <w:spacing w:val="-1"/>
        </w:rPr>
        <w:t>students</w:t>
      </w:r>
      <w:r>
        <w:rPr>
          <w:color w:val="231F20"/>
          <w:spacing w:val="-4"/>
        </w:rPr>
        <w:t> </w:t>
      </w:r>
      <w:r>
        <w:rPr>
          <w:color w:val="231F20"/>
        </w:rPr>
        <w:t>who</w:t>
      </w:r>
      <w:r>
        <w:rPr>
          <w:color w:val="231F20"/>
          <w:spacing w:val="-5"/>
        </w:rPr>
        <w:t> </w:t>
      </w:r>
      <w:r>
        <w:rPr>
          <w:color w:val="231F20"/>
        </w:rPr>
        <w:t>have</w:t>
      </w:r>
      <w:r>
        <w:rPr>
          <w:color w:val="231F20"/>
          <w:spacing w:val="-4"/>
        </w:rPr>
        <w:t> </w:t>
      </w:r>
      <w:r>
        <w:rPr>
          <w:color w:val="231F20"/>
        </w:rPr>
        <w:t>had</w:t>
      </w:r>
      <w:r>
        <w:rPr>
          <w:color w:val="231F20"/>
          <w:spacing w:val="-4"/>
        </w:rPr>
        <w:t> </w:t>
      </w:r>
      <w:r>
        <w:rPr>
          <w:color w:val="231F20"/>
        </w:rPr>
        <w:t>a</w:t>
      </w:r>
      <w:r>
        <w:rPr>
          <w:color w:val="231F20"/>
          <w:spacing w:val="-4"/>
        </w:rPr>
        <w:t> </w:t>
      </w:r>
      <w:r>
        <w:rPr>
          <w:color w:val="231F20"/>
        </w:rPr>
        <w:t>disrupted</w:t>
      </w:r>
      <w:r>
        <w:rPr/>
      </w:r>
    </w:p>
    <w:p>
      <w:pPr>
        <w:pStyle w:val="BodyText"/>
        <w:spacing w:line="250" w:lineRule="exact"/>
        <w:ind w:right="472"/>
        <w:jc w:val="left"/>
      </w:pPr>
      <w:r>
        <w:rPr>
          <w:color w:val="231F20"/>
        </w:rPr>
        <w:t>education</w:t>
      </w:r>
      <w:r>
        <w:rPr>
          <w:color w:val="231F20"/>
          <w:spacing w:val="-8"/>
        </w:rPr>
        <w:t> </w:t>
      </w:r>
      <w:r>
        <w:rPr>
          <w:color w:val="231F20"/>
        </w:rPr>
        <w:t>due</w:t>
      </w:r>
      <w:r>
        <w:rPr>
          <w:color w:val="231F20"/>
          <w:spacing w:val="-8"/>
        </w:rPr>
        <w:t> </w:t>
      </w:r>
      <w:r>
        <w:rPr>
          <w:color w:val="231F20"/>
        </w:rPr>
        <w:t>to</w:t>
      </w:r>
      <w:r>
        <w:rPr>
          <w:color w:val="231F20"/>
          <w:spacing w:val="-6"/>
        </w:rPr>
        <w:t> </w:t>
      </w:r>
      <w:r>
        <w:rPr>
          <w:color w:val="231F20"/>
        </w:rPr>
        <w:t>disadvantage.</w:t>
      </w:r>
      <w:r>
        <w:rPr>
          <w:color w:val="231F20"/>
          <w:spacing w:val="-8"/>
        </w:rPr>
        <w:t> </w:t>
      </w:r>
      <w:r>
        <w:rPr>
          <w:color w:val="231F20"/>
        </w:rPr>
        <w:t>A</w:t>
      </w:r>
      <w:r>
        <w:rPr>
          <w:color w:val="231F20"/>
          <w:spacing w:val="-7"/>
        </w:rPr>
        <w:t> </w:t>
      </w:r>
      <w:r>
        <w:rPr>
          <w:color w:val="231F20"/>
        </w:rPr>
        <w:t>number</w:t>
      </w:r>
      <w:r>
        <w:rPr>
          <w:color w:val="231F20"/>
          <w:w w:val="99"/>
        </w:rPr>
        <w:t> </w:t>
      </w:r>
      <w:r>
        <w:rPr>
          <w:color w:val="231F20"/>
        </w:rPr>
        <w:t>of</w:t>
      </w:r>
      <w:r>
        <w:rPr>
          <w:color w:val="231F20"/>
          <w:spacing w:val="-4"/>
        </w:rPr>
        <w:t> </w:t>
      </w:r>
      <w:r>
        <w:rPr>
          <w:color w:val="231F20"/>
        </w:rPr>
        <w:t>new</w:t>
      </w:r>
      <w:r>
        <w:rPr>
          <w:color w:val="231F20"/>
          <w:spacing w:val="-4"/>
        </w:rPr>
        <w:t> </w:t>
      </w:r>
      <w:r>
        <w:rPr>
          <w:color w:val="231F20"/>
          <w:spacing w:val="-1"/>
        </w:rPr>
        <w:t>small</w:t>
      </w:r>
      <w:r>
        <w:rPr>
          <w:color w:val="231F20"/>
          <w:spacing w:val="-3"/>
        </w:rPr>
        <w:t> </w:t>
      </w:r>
      <w:r>
        <w:rPr>
          <w:color w:val="231F20"/>
          <w:spacing w:val="-1"/>
        </w:rPr>
        <w:t>scale</w:t>
      </w:r>
      <w:r>
        <w:rPr>
          <w:color w:val="231F20"/>
          <w:spacing w:val="-4"/>
        </w:rPr>
        <w:t> </w:t>
      </w:r>
      <w:r>
        <w:rPr>
          <w:color w:val="231F20"/>
          <w:spacing w:val="-1"/>
        </w:rPr>
        <w:t>SAS</w:t>
      </w:r>
      <w:r>
        <w:rPr>
          <w:color w:val="231F20"/>
          <w:spacing w:val="-4"/>
        </w:rPr>
        <w:t> </w:t>
      </w:r>
      <w:r>
        <w:rPr>
          <w:color w:val="231F20"/>
        </w:rPr>
        <w:t>boarding</w:t>
      </w:r>
      <w:r>
        <w:rPr>
          <w:color w:val="231F20"/>
          <w:spacing w:val="-4"/>
        </w:rPr>
        <w:t> </w:t>
      </w:r>
      <w:r>
        <w:rPr>
          <w:color w:val="231F20"/>
        </w:rPr>
        <w:t>providers</w:t>
      </w:r>
      <w:r>
        <w:rPr>
          <w:color w:val="231F20"/>
          <w:spacing w:val="24"/>
          <w:w w:val="99"/>
        </w:rPr>
        <w:t> </w:t>
      </w:r>
      <w:r>
        <w:rPr>
          <w:color w:val="231F20"/>
          <w:spacing w:val="-1"/>
        </w:rPr>
        <w:t>specialising</w:t>
      </w:r>
      <w:r>
        <w:rPr>
          <w:color w:val="231F20"/>
          <w:spacing w:val="-3"/>
        </w:rPr>
        <w:t> </w:t>
      </w:r>
      <w:r>
        <w:rPr>
          <w:color w:val="231F20"/>
          <w:spacing w:val="-1"/>
        </w:rPr>
        <w:t>in</w:t>
      </w:r>
      <w:r>
        <w:rPr>
          <w:color w:val="231F20"/>
          <w:spacing w:val="-3"/>
        </w:rPr>
        <w:t> </w:t>
      </w:r>
      <w:r>
        <w:rPr>
          <w:color w:val="231F20"/>
        </w:rPr>
        <w:t>Aboriginal</w:t>
      </w:r>
      <w:r>
        <w:rPr>
          <w:color w:val="231F20"/>
          <w:spacing w:val="-3"/>
        </w:rPr>
        <w:t> </w:t>
      </w:r>
      <w:r>
        <w:rPr>
          <w:color w:val="231F20"/>
        </w:rPr>
        <w:t>and</w:t>
      </w:r>
      <w:r>
        <w:rPr>
          <w:color w:val="231F20"/>
          <w:spacing w:val="-4"/>
        </w:rPr>
        <w:t> </w:t>
      </w:r>
      <w:r>
        <w:rPr>
          <w:color w:val="231F20"/>
          <w:spacing w:val="-5"/>
        </w:rPr>
        <w:t>Torres</w:t>
      </w:r>
      <w:r>
        <w:rPr>
          <w:color w:val="231F20"/>
          <w:spacing w:val="-3"/>
        </w:rPr>
        <w:t> </w:t>
      </w:r>
      <w:r>
        <w:rPr>
          <w:color w:val="231F20"/>
          <w:spacing w:val="-2"/>
        </w:rPr>
        <w:t>Strait</w:t>
      </w:r>
      <w:r>
        <w:rPr>
          <w:color w:val="231F20"/>
          <w:spacing w:val="23"/>
          <w:w w:val="99"/>
        </w:rPr>
        <w:t> </w:t>
      </w:r>
      <w:r>
        <w:rPr>
          <w:color w:val="231F20"/>
          <w:spacing w:val="-1"/>
        </w:rPr>
        <w:t>Islander</w:t>
      </w:r>
      <w:r>
        <w:rPr>
          <w:color w:val="231F20"/>
          <w:spacing w:val="-7"/>
        </w:rPr>
        <w:t> </w:t>
      </w:r>
      <w:r>
        <w:rPr>
          <w:color w:val="231F20"/>
        </w:rPr>
        <w:t>boarding</w:t>
      </w:r>
      <w:r>
        <w:rPr>
          <w:color w:val="231F20"/>
          <w:spacing w:val="-7"/>
        </w:rPr>
        <w:t> </w:t>
      </w:r>
      <w:r>
        <w:rPr>
          <w:color w:val="231F20"/>
        </w:rPr>
        <w:t>have</w:t>
      </w:r>
      <w:r>
        <w:rPr>
          <w:color w:val="231F20"/>
          <w:spacing w:val="-7"/>
        </w:rPr>
        <w:t> </w:t>
      </w:r>
      <w:r>
        <w:rPr>
          <w:color w:val="231F20"/>
        </w:rPr>
        <w:t>opened</w:t>
      </w:r>
      <w:r>
        <w:rPr>
          <w:color w:val="231F20"/>
          <w:spacing w:val="-8"/>
        </w:rPr>
        <w:t> </w:t>
      </w:r>
      <w:r>
        <w:rPr>
          <w:color w:val="231F20"/>
          <w:spacing w:val="-1"/>
        </w:rPr>
        <w:t>in</w:t>
      </w:r>
      <w:r>
        <w:rPr>
          <w:color w:val="231F20"/>
          <w:spacing w:val="-6"/>
        </w:rPr>
        <w:t> </w:t>
      </w:r>
      <w:r>
        <w:rPr>
          <w:color w:val="231F20"/>
        </w:rPr>
        <w:t>recent</w:t>
      </w:r>
      <w:r>
        <w:rPr>
          <w:color w:val="231F20"/>
          <w:spacing w:val="23"/>
          <w:w w:val="99"/>
        </w:rPr>
        <w:t> </w:t>
      </w:r>
      <w:r>
        <w:rPr>
          <w:color w:val="231F20"/>
        </w:rPr>
        <w:t>years,</w:t>
      </w:r>
      <w:r>
        <w:rPr>
          <w:color w:val="231F20"/>
          <w:spacing w:val="-5"/>
        </w:rPr>
        <w:t> </w:t>
      </w:r>
      <w:r>
        <w:rPr>
          <w:color w:val="231F20"/>
          <w:spacing w:val="-1"/>
        </w:rPr>
        <w:t>such</w:t>
      </w:r>
      <w:r>
        <w:rPr>
          <w:color w:val="231F20"/>
          <w:spacing w:val="-3"/>
        </w:rPr>
        <w:t> </w:t>
      </w:r>
      <w:r>
        <w:rPr>
          <w:color w:val="231F20"/>
        </w:rPr>
        <w:t>as</w:t>
      </w:r>
      <w:r>
        <w:rPr>
          <w:color w:val="231F20"/>
          <w:spacing w:val="-4"/>
        </w:rPr>
        <w:t> </w:t>
      </w:r>
      <w:r>
        <w:rPr>
          <w:color w:val="231F20"/>
        </w:rPr>
        <w:t>the</w:t>
      </w:r>
      <w:r>
        <w:rPr>
          <w:color w:val="231F20"/>
          <w:spacing w:val="-5"/>
        </w:rPr>
        <w:t> </w:t>
      </w:r>
      <w:r>
        <w:rPr>
          <w:color w:val="231F20"/>
        </w:rPr>
        <w:t>Holy</w:t>
      </w:r>
      <w:r>
        <w:rPr>
          <w:color w:val="231F20"/>
          <w:spacing w:val="-4"/>
        </w:rPr>
        <w:t> </w:t>
      </w:r>
      <w:r>
        <w:rPr>
          <w:color w:val="231F20"/>
          <w:spacing w:val="-1"/>
        </w:rPr>
        <w:t>Spirit</w:t>
      </w:r>
      <w:r>
        <w:rPr>
          <w:color w:val="231F20"/>
          <w:spacing w:val="-3"/>
        </w:rPr>
        <w:t> </w:t>
      </w:r>
      <w:r>
        <w:rPr>
          <w:color w:val="231F20"/>
        </w:rPr>
        <w:t>boarding</w:t>
      </w:r>
      <w:r>
        <w:rPr>
          <w:color w:val="231F20"/>
          <w:spacing w:val="23"/>
          <w:w w:val="99"/>
        </w:rPr>
        <w:t> </w:t>
      </w:r>
      <w:r>
        <w:rPr>
          <w:color w:val="231F20"/>
        </w:rPr>
        <w:t>campus</w:t>
      </w:r>
      <w:r>
        <w:rPr>
          <w:color w:val="231F20"/>
          <w:spacing w:val="-7"/>
        </w:rPr>
        <w:t> </w:t>
      </w:r>
      <w:r>
        <w:rPr>
          <w:color w:val="231F20"/>
          <w:spacing w:val="-1"/>
        </w:rPr>
        <w:t>in</w:t>
      </w:r>
      <w:r>
        <w:rPr>
          <w:color w:val="231F20"/>
          <w:spacing w:val="-5"/>
        </w:rPr>
        <w:t> </w:t>
      </w:r>
      <w:r>
        <w:rPr>
          <w:color w:val="231F20"/>
          <w:spacing w:val="-1"/>
        </w:rPr>
        <w:t>Cooktown,</w:t>
      </w:r>
      <w:r>
        <w:rPr>
          <w:color w:val="231F20"/>
          <w:spacing w:val="-5"/>
        </w:rPr>
        <w:t> </w:t>
      </w:r>
      <w:r>
        <w:rPr>
          <w:color w:val="231F20"/>
        </w:rPr>
        <w:t>Queensland.</w:t>
      </w:r>
      <w:r>
        <w:rPr>
          <w:color w:val="231F20"/>
          <w:spacing w:val="-6"/>
        </w:rPr>
        <w:t> </w:t>
      </w:r>
      <w:r>
        <w:rPr>
          <w:color w:val="231F20"/>
        </w:rPr>
        <w:t>These</w:t>
      </w:r>
      <w:r>
        <w:rPr/>
      </w:r>
    </w:p>
    <w:p>
      <w:pPr>
        <w:pStyle w:val="BodyText"/>
        <w:spacing w:line="250" w:lineRule="exact"/>
        <w:ind w:right="170"/>
        <w:jc w:val="left"/>
      </w:pPr>
      <w:r>
        <w:rPr>
          <w:rFonts w:ascii="Segoe UI"/>
          <w:color w:val="231F20"/>
        </w:rPr>
        <w:t>facilities provide an individualised, flexible and </w:t>
      </w:r>
      <w:r>
        <w:rPr>
          <w:color w:val="231F20"/>
        </w:rPr>
        <w:t>culturally</w:t>
      </w:r>
      <w:r>
        <w:rPr>
          <w:color w:val="231F20"/>
          <w:spacing w:val="-11"/>
        </w:rPr>
        <w:t> </w:t>
      </w:r>
      <w:r>
        <w:rPr>
          <w:color w:val="231F20"/>
        </w:rPr>
        <w:t>appropriate</w:t>
      </w:r>
      <w:r>
        <w:rPr>
          <w:color w:val="231F20"/>
          <w:spacing w:val="-11"/>
        </w:rPr>
        <w:t> </w:t>
      </w:r>
      <w:r>
        <w:rPr>
          <w:color w:val="231F20"/>
          <w:spacing w:val="-1"/>
        </w:rPr>
        <w:t>learning</w:t>
      </w:r>
      <w:r>
        <w:rPr>
          <w:color w:val="231F20"/>
          <w:spacing w:val="-10"/>
        </w:rPr>
        <w:t> </w:t>
      </w:r>
      <w:r>
        <w:rPr>
          <w:color w:val="231F20"/>
        </w:rPr>
        <w:t>environment</w:t>
      </w:r>
      <w:r>
        <w:rPr>
          <w:color w:val="231F20"/>
          <w:spacing w:val="-11"/>
        </w:rPr>
        <w:t> </w:t>
      </w:r>
      <w:r>
        <w:rPr>
          <w:color w:val="231F20"/>
        </w:rPr>
        <w:t>for</w:t>
      </w:r>
      <w:r>
        <w:rPr>
          <w:color w:val="231F20"/>
          <w:spacing w:val="22"/>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boarders,</w:t>
      </w:r>
      <w:r>
        <w:rPr>
          <w:color w:val="231F20"/>
          <w:spacing w:val="21"/>
          <w:w w:val="99"/>
        </w:rPr>
        <w:t> </w:t>
      </w:r>
      <w:r>
        <w:rPr>
          <w:color w:val="231F20"/>
        </w:rPr>
        <w:t>as</w:t>
      </w:r>
      <w:r>
        <w:rPr>
          <w:color w:val="231F20"/>
          <w:spacing w:val="-4"/>
        </w:rPr>
        <w:t> </w:t>
      </w:r>
      <w:r>
        <w:rPr>
          <w:color w:val="231F20"/>
        </w:rPr>
        <w:t>well</w:t>
      </w:r>
      <w:r>
        <w:rPr>
          <w:color w:val="231F20"/>
          <w:spacing w:val="-3"/>
        </w:rPr>
        <w:t> </w:t>
      </w:r>
      <w:r>
        <w:rPr>
          <w:color w:val="231F20"/>
        </w:rPr>
        <w:t>as</w:t>
      </w:r>
      <w:r>
        <w:rPr>
          <w:color w:val="231F20"/>
          <w:spacing w:val="-3"/>
        </w:rPr>
        <w:t> </w:t>
      </w:r>
      <w:r>
        <w:rPr>
          <w:color w:val="231F20"/>
        </w:rPr>
        <w:t>providing</w:t>
      </w:r>
      <w:r>
        <w:rPr>
          <w:color w:val="231F20"/>
          <w:spacing w:val="-4"/>
        </w:rPr>
        <w:t> </w:t>
      </w:r>
      <w:r>
        <w:rPr>
          <w:color w:val="231F20"/>
        </w:rPr>
        <w:t>access</w:t>
      </w:r>
      <w:r>
        <w:rPr>
          <w:color w:val="231F20"/>
          <w:spacing w:val="-3"/>
        </w:rPr>
        <w:t> </w:t>
      </w:r>
      <w:r>
        <w:rPr>
          <w:color w:val="231F20"/>
        </w:rPr>
        <w:t>to</w:t>
      </w:r>
      <w:r>
        <w:rPr>
          <w:color w:val="231F20"/>
          <w:spacing w:val="-2"/>
        </w:rPr>
        <w:t> </w:t>
      </w:r>
      <w:r>
        <w:rPr>
          <w:color w:val="231F20"/>
        </w:rPr>
        <w:t>counselling,</w:t>
      </w:r>
      <w:r>
        <w:rPr>
          <w:color w:val="231F20"/>
        </w:rPr>
        <w:t> </w:t>
      </w:r>
      <w:r>
        <w:rPr>
          <w:color w:val="231F20"/>
          <w:spacing w:val="-1"/>
        </w:rPr>
        <w:t>social</w:t>
      </w:r>
      <w:r>
        <w:rPr>
          <w:color w:val="231F20"/>
          <w:spacing w:val="-5"/>
        </w:rPr>
        <w:t> </w:t>
      </w:r>
      <w:r>
        <w:rPr>
          <w:color w:val="231F20"/>
        </w:rPr>
        <w:t>and</w:t>
      </w:r>
      <w:r>
        <w:rPr>
          <w:color w:val="231F20"/>
          <w:spacing w:val="-5"/>
        </w:rPr>
        <w:t> </w:t>
      </w:r>
      <w:r>
        <w:rPr>
          <w:color w:val="231F20"/>
        </w:rPr>
        <w:t>emotional</w:t>
      </w:r>
      <w:r>
        <w:rPr>
          <w:color w:val="231F20"/>
          <w:spacing w:val="-5"/>
        </w:rPr>
        <w:t> </w:t>
      </w:r>
      <w:r>
        <w:rPr>
          <w:color w:val="231F20"/>
        </w:rPr>
        <w:t>well-being</w:t>
      </w:r>
      <w:r>
        <w:rPr>
          <w:color w:val="231F20"/>
          <w:spacing w:val="-7"/>
        </w:rPr>
        <w:t> </w:t>
      </w:r>
      <w:r>
        <w:rPr>
          <w:color w:val="231F20"/>
        </w:rPr>
        <w:t>and</w:t>
      </w:r>
      <w:r>
        <w:rPr>
          <w:color w:val="231F20"/>
          <w:spacing w:val="-5"/>
        </w:rPr>
        <w:t> </w:t>
      </w:r>
      <w:r>
        <w:rPr>
          <w:color w:val="231F20"/>
        </w:rPr>
        <w:t>health</w:t>
      </w:r>
      <w:r>
        <w:rPr>
          <w:color w:val="231F20"/>
          <w:spacing w:val="21"/>
          <w:w w:val="99"/>
        </w:rPr>
        <w:t> </w:t>
      </w:r>
      <w:r>
        <w:rPr>
          <w:color w:val="231F20"/>
          <w:spacing w:val="-1"/>
        </w:rPr>
        <w:t>services</w:t>
      </w:r>
      <w:r>
        <w:rPr>
          <w:color w:val="231F20"/>
          <w:spacing w:val="-6"/>
        </w:rPr>
        <w:t> </w:t>
      </w:r>
      <w:r>
        <w:rPr>
          <w:color w:val="231F20"/>
        </w:rPr>
        <w:t>aimed</w:t>
      </w:r>
      <w:r>
        <w:rPr>
          <w:color w:val="231F20"/>
          <w:spacing w:val="-6"/>
        </w:rPr>
        <w:t> </w:t>
      </w:r>
      <w:r>
        <w:rPr>
          <w:color w:val="231F20"/>
        </w:rPr>
        <w:t>at</w:t>
      </w:r>
      <w:r>
        <w:rPr>
          <w:color w:val="231F20"/>
          <w:spacing w:val="-5"/>
        </w:rPr>
        <w:t> </w:t>
      </w:r>
      <w:r>
        <w:rPr>
          <w:color w:val="231F20"/>
        </w:rPr>
        <w:t>addressing</w:t>
      </w:r>
      <w:r>
        <w:rPr>
          <w:color w:val="231F20"/>
          <w:spacing w:val="-7"/>
        </w:rPr>
        <w:t> </w:t>
      </w:r>
      <w:r>
        <w:rPr>
          <w:color w:val="231F20"/>
        </w:rPr>
        <w:t>disadvantage</w:t>
      </w:r>
      <w:r>
        <w:rPr>
          <w:color w:val="231F20"/>
          <w:spacing w:val="-6"/>
        </w:rPr>
        <w:t> </w:t>
      </w:r>
      <w:r>
        <w:rPr>
          <w:color w:val="231F20"/>
        </w:rPr>
        <w:t>and</w:t>
      </w:r>
      <w:r>
        <w:rPr>
          <w:color w:val="231F20"/>
          <w:spacing w:val="22"/>
          <w:w w:val="99"/>
        </w:rPr>
        <w:t> </w:t>
      </w:r>
      <w:r>
        <w:rPr>
          <w:color w:val="231F20"/>
        </w:rPr>
        <w:t>disability.</w:t>
      </w:r>
      <w:r>
        <w:rPr/>
      </w:r>
    </w:p>
    <w:p>
      <w:pPr>
        <w:pStyle w:val="BodyText"/>
        <w:spacing w:line="250" w:lineRule="exact" w:before="113"/>
        <w:ind w:right="140"/>
        <w:jc w:val="left"/>
        <w:rPr>
          <w:rFonts w:ascii="Segoe UI Semibold" w:hAnsi="Segoe UI Semibold" w:cs="Segoe UI Semibold" w:eastAsia="Segoe UI Semibold"/>
          <w:sz w:val="11"/>
          <w:szCs w:val="11"/>
        </w:rPr>
      </w:pPr>
      <w:r>
        <w:rPr>
          <w:color w:val="231F20"/>
        </w:rPr>
        <w:t>As</w:t>
      </w:r>
      <w:r>
        <w:rPr>
          <w:color w:val="231F20"/>
          <w:spacing w:val="-6"/>
        </w:rPr>
        <w:t> </w:t>
      </w:r>
      <w:r>
        <w:rPr>
          <w:color w:val="231F20"/>
        </w:rPr>
        <w:t>expected,</w:t>
      </w:r>
      <w:r>
        <w:rPr>
          <w:color w:val="231F20"/>
          <w:spacing w:val="-4"/>
        </w:rPr>
        <w:t> </w:t>
      </w:r>
      <w:r>
        <w:rPr>
          <w:color w:val="231F20"/>
          <w:spacing w:val="-1"/>
        </w:rPr>
        <w:t>special</w:t>
      </w:r>
      <w:r>
        <w:rPr>
          <w:color w:val="231F20"/>
          <w:spacing w:val="-4"/>
        </w:rPr>
        <w:t> </w:t>
      </w:r>
      <w:r>
        <w:rPr>
          <w:color w:val="231F20"/>
        </w:rPr>
        <w:t>assistance</w:t>
      </w:r>
      <w:r>
        <w:rPr>
          <w:color w:val="231F20"/>
          <w:spacing w:val="-5"/>
        </w:rPr>
        <w:t> </w:t>
      </w:r>
      <w:r>
        <w:rPr>
          <w:color w:val="231F20"/>
        </w:rPr>
        <w:t>boarding</w:t>
      </w:r>
      <w:r>
        <w:rPr>
          <w:color w:val="231F20"/>
          <w:spacing w:val="22"/>
          <w:w w:val="99"/>
        </w:rPr>
        <w:t> </w:t>
      </w:r>
      <w:r>
        <w:rPr>
          <w:color w:val="231F20"/>
          <w:spacing w:val="-1"/>
        </w:rPr>
        <w:t>schools</w:t>
      </w:r>
      <w:r>
        <w:rPr>
          <w:color w:val="231F20"/>
          <w:spacing w:val="-2"/>
        </w:rPr>
        <w:t> </w:t>
      </w:r>
      <w:r>
        <w:rPr>
          <w:color w:val="231F20"/>
        </w:rPr>
        <w:t>have</w:t>
      </w:r>
      <w:r>
        <w:rPr>
          <w:color w:val="231F20"/>
          <w:spacing w:val="-3"/>
        </w:rPr>
        <w:t> </w:t>
      </w:r>
      <w:r>
        <w:rPr>
          <w:color w:val="231F20"/>
          <w:spacing w:val="-1"/>
        </w:rPr>
        <w:t>lower</w:t>
      </w:r>
      <w:r>
        <w:rPr>
          <w:color w:val="231F20"/>
          <w:spacing w:val="-2"/>
        </w:rPr>
        <w:t> </w:t>
      </w:r>
      <w:r>
        <w:rPr>
          <w:color w:val="231F20"/>
        </w:rPr>
        <w:t>outcomes</w:t>
      </w:r>
      <w:r>
        <w:rPr>
          <w:color w:val="231F20"/>
          <w:spacing w:val="-3"/>
        </w:rPr>
        <w:t> </w:t>
      </w:r>
      <w:r>
        <w:rPr>
          <w:color w:val="231F20"/>
          <w:spacing w:val="-1"/>
        </w:rPr>
        <w:t>in </w:t>
      </w:r>
      <w:r>
        <w:rPr>
          <w:color w:val="231F20"/>
        </w:rPr>
        <w:t>terms</w:t>
      </w:r>
      <w:r>
        <w:rPr>
          <w:color w:val="231F20"/>
          <w:spacing w:val="-3"/>
        </w:rPr>
        <w:t> </w:t>
      </w:r>
      <w:r>
        <w:rPr>
          <w:color w:val="231F20"/>
        </w:rPr>
        <w:t>of</w:t>
      </w:r>
      <w:r>
        <w:rPr>
          <w:color w:val="231F20"/>
          <w:spacing w:val="24"/>
          <w:w w:val="99"/>
        </w:rPr>
        <w:t> </w:t>
      </w:r>
      <w:r>
        <w:rPr>
          <w:rFonts w:ascii="Segoe UI"/>
          <w:color w:val="231F20"/>
        </w:rPr>
        <w:t>attendance, formal qualifications (graduations)</w:t>
      </w:r>
      <w:r>
        <w:rPr>
          <w:rFonts w:ascii="Segoe UI"/>
          <w:color w:val="231F20"/>
        </w:rPr>
        <w:t> </w:t>
      </w:r>
      <w:r>
        <w:rPr>
          <w:color w:val="231F20"/>
        </w:rPr>
        <w:t>and</w:t>
      </w:r>
      <w:r>
        <w:rPr>
          <w:color w:val="231F20"/>
          <w:spacing w:val="-5"/>
        </w:rPr>
        <w:t> </w:t>
      </w:r>
      <w:r>
        <w:rPr>
          <w:color w:val="231F20"/>
        </w:rPr>
        <w:t>NAPLAN</w:t>
      </w:r>
      <w:r>
        <w:rPr>
          <w:color w:val="231F20"/>
          <w:spacing w:val="-4"/>
        </w:rPr>
        <w:t> </w:t>
      </w:r>
      <w:r>
        <w:rPr>
          <w:color w:val="231F20"/>
        </w:rPr>
        <w:t>results</w:t>
      </w:r>
      <w:r>
        <w:rPr>
          <w:color w:val="231F20"/>
          <w:spacing w:val="-5"/>
        </w:rPr>
        <w:t> </w:t>
      </w:r>
      <w:r>
        <w:rPr>
          <w:color w:val="231F20"/>
        </w:rPr>
        <w:t>compared</w:t>
      </w:r>
      <w:r>
        <w:rPr>
          <w:color w:val="231F20"/>
          <w:spacing w:val="-5"/>
        </w:rPr>
        <w:t> </w:t>
      </w:r>
      <w:r>
        <w:rPr>
          <w:color w:val="231F20"/>
        </w:rPr>
        <w:t>to</w:t>
      </w:r>
      <w:r>
        <w:rPr>
          <w:color w:val="231F20"/>
          <w:spacing w:val="-3"/>
        </w:rPr>
        <w:t> </w:t>
      </w:r>
      <w:r>
        <w:rPr>
          <w:color w:val="231F20"/>
        </w:rPr>
        <w:t>non-SAS</w:t>
      </w:r>
      <w:r>
        <w:rPr>
          <w:color w:val="231F20"/>
          <w:spacing w:val="25"/>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spacing w:val="-1"/>
        </w:rPr>
        <w:t>schools.</w:t>
      </w:r>
      <w:r>
        <w:rPr>
          <w:color w:val="231F20"/>
          <w:spacing w:val="-4"/>
        </w:rPr>
        <w:t> </w:t>
      </w:r>
      <w:r>
        <w:rPr>
          <w:color w:val="231F20"/>
          <w:spacing w:val="-1"/>
        </w:rPr>
        <w:t>Despite</w:t>
      </w:r>
      <w:r>
        <w:rPr>
          <w:color w:val="231F20"/>
          <w:spacing w:val="-3"/>
        </w:rPr>
        <w:t> </w:t>
      </w:r>
      <w:r>
        <w:rPr>
          <w:color w:val="231F20"/>
        </w:rPr>
        <w:t>the</w:t>
      </w:r>
      <w:r>
        <w:rPr>
          <w:color w:val="231F20"/>
          <w:spacing w:val="-4"/>
        </w:rPr>
        <w:t> </w:t>
      </w:r>
      <w:r>
        <w:rPr>
          <w:color w:val="231F20"/>
        </w:rPr>
        <w:t>higher</w:t>
      </w:r>
      <w:r>
        <w:rPr>
          <w:color w:val="231F20"/>
          <w:spacing w:val="-4"/>
        </w:rPr>
        <w:t> </w:t>
      </w:r>
      <w:r>
        <w:rPr>
          <w:color w:val="231F20"/>
        </w:rPr>
        <w:t>needs</w:t>
      </w:r>
      <w:r>
        <w:rPr>
          <w:color w:val="231F20"/>
          <w:spacing w:val="-4"/>
        </w:rPr>
        <w:t> </w:t>
      </w:r>
      <w:r>
        <w:rPr>
          <w:color w:val="231F20"/>
        </w:rPr>
        <w:t>of</w:t>
      </w:r>
      <w:r>
        <w:rPr>
          <w:color w:val="231F20"/>
          <w:spacing w:val="-3"/>
        </w:rPr>
        <w:t> </w:t>
      </w:r>
      <w:r>
        <w:rPr>
          <w:color w:val="231F20"/>
          <w:spacing w:val="-1"/>
        </w:rPr>
        <w:t>students,</w:t>
      </w:r>
      <w:r>
        <w:rPr>
          <w:color w:val="231F20"/>
          <w:spacing w:val="22"/>
          <w:w w:val="99"/>
        </w:rPr>
        <w:t> </w:t>
      </w:r>
      <w:r>
        <w:rPr>
          <w:color w:val="231F20"/>
        </w:rPr>
        <w:t>the</w:t>
      </w:r>
      <w:r>
        <w:rPr>
          <w:color w:val="231F20"/>
          <w:spacing w:val="-7"/>
        </w:rPr>
        <w:t> </w:t>
      </w:r>
      <w:r>
        <w:rPr>
          <w:color w:val="231F20"/>
        </w:rPr>
        <w:t>three-year</w:t>
      </w:r>
      <w:r>
        <w:rPr>
          <w:color w:val="231F20"/>
          <w:spacing w:val="-7"/>
        </w:rPr>
        <w:t> </w:t>
      </w:r>
      <w:r>
        <w:rPr>
          <w:color w:val="231F20"/>
        </w:rPr>
        <w:t>average</w:t>
      </w:r>
      <w:r>
        <w:rPr>
          <w:color w:val="231F20"/>
          <w:spacing w:val="-7"/>
        </w:rPr>
        <w:t> </w:t>
      </w:r>
      <w:r>
        <w:rPr>
          <w:color w:val="231F20"/>
        </w:rPr>
        <w:t>annual</w:t>
      </w:r>
      <w:r>
        <w:rPr>
          <w:color w:val="231F20"/>
          <w:spacing w:val="-7"/>
        </w:rPr>
        <w:t> </w:t>
      </w:r>
      <w:r>
        <w:rPr>
          <w:color w:val="231F20"/>
        </w:rPr>
        <w:t>cost</w:t>
      </w:r>
      <w:r>
        <w:rPr>
          <w:color w:val="231F20"/>
          <w:spacing w:val="-6"/>
        </w:rPr>
        <w:t> </w:t>
      </w:r>
      <w:r>
        <w:rPr>
          <w:color w:val="231F20"/>
        </w:rPr>
        <w:t>of</w:t>
      </w:r>
      <w:r>
        <w:rPr>
          <w:color w:val="231F20"/>
          <w:spacing w:val="-6"/>
        </w:rPr>
        <w:t> </w:t>
      </w:r>
      <w:r>
        <w:rPr>
          <w:color w:val="231F20"/>
        </w:rPr>
        <w:t>boarding</w:t>
      </w:r>
      <w:r>
        <w:rPr>
          <w:color w:val="231F20"/>
          <w:w w:val="99"/>
        </w:rPr>
        <w:t> </w:t>
      </w:r>
      <w:r>
        <w:rPr>
          <w:color w:val="231F20"/>
        </w:rPr>
        <w:t>per</w:t>
      </w:r>
      <w:r>
        <w:rPr>
          <w:color w:val="231F20"/>
          <w:spacing w:val="-4"/>
        </w:rPr>
        <w:t> </w:t>
      </w:r>
      <w:r>
        <w:rPr>
          <w:color w:val="231F20"/>
        </w:rPr>
        <w:t>boarder</w:t>
      </w:r>
      <w:r>
        <w:rPr>
          <w:color w:val="231F20"/>
          <w:spacing w:val="-4"/>
        </w:rPr>
        <w:t> </w:t>
      </w:r>
      <w:r>
        <w:rPr>
          <w:color w:val="231F20"/>
        </w:rPr>
        <w:t>at</w:t>
      </w:r>
      <w:r>
        <w:rPr>
          <w:color w:val="231F20"/>
          <w:spacing w:val="-4"/>
        </w:rPr>
        <w:t> </w:t>
      </w:r>
      <w:r>
        <w:rPr>
          <w:color w:val="231F20"/>
          <w:spacing w:val="-1"/>
        </w:rPr>
        <w:t>special</w:t>
      </w:r>
      <w:r>
        <w:rPr>
          <w:color w:val="231F20"/>
          <w:spacing w:val="-4"/>
        </w:rPr>
        <w:t> </w:t>
      </w:r>
      <w:r>
        <w:rPr>
          <w:color w:val="231F20"/>
        </w:rPr>
        <w:t>assistance</w:t>
      </w:r>
      <w:r>
        <w:rPr>
          <w:color w:val="231F20"/>
          <w:spacing w:val="-5"/>
        </w:rPr>
        <w:t> </w:t>
      </w:r>
      <w:r>
        <w:rPr>
          <w:color w:val="231F20"/>
        </w:rPr>
        <w:t>boarding</w:t>
      </w:r>
      <w:r>
        <w:rPr>
          <w:color w:val="231F20"/>
          <w:spacing w:val="22"/>
          <w:w w:val="99"/>
        </w:rPr>
        <w:t> </w:t>
      </w:r>
      <w:r>
        <w:rPr>
          <w:color w:val="231F20"/>
          <w:spacing w:val="-1"/>
        </w:rPr>
        <w:t>schools</w:t>
      </w:r>
      <w:r>
        <w:rPr>
          <w:color w:val="231F20"/>
          <w:spacing w:val="-5"/>
        </w:rPr>
        <w:t> </w:t>
      </w:r>
      <w:r>
        <w:rPr>
          <w:color w:val="231F20"/>
        </w:rPr>
        <w:t>at</w:t>
      </w:r>
      <w:r>
        <w:rPr>
          <w:color w:val="231F20"/>
          <w:spacing w:val="-5"/>
        </w:rPr>
        <w:t> </w:t>
      </w:r>
      <w:r>
        <w:rPr>
          <w:color w:val="231F20"/>
          <w:spacing w:val="-1"/>
        </w:rPr>
        <w:t>$22,623</w:t>
      </w:r>
      <w:r>
        <w:rPr>
          <w:color w:val="231F20"/>
          <w:spacing w:val="-5"/>
        </w:rPr>
        <w:t> </w:t>
      </w:r>
      <w:r>
        <w:rPr>
          <w:color w:val="231F20"/>
          <w:spacing w:val="-1"/>
        </w:rPr>
        <w:t>is</w:t>
      </w:r>
      <w:r>
        <w:rPr>
          <w:color w:val="231F20"/>
          <w:spacing w:val="-6"/>
        </w:rPr>
        <w:t> </w:t>
      </w:r>
      <w:r>
        <w:rPr>
          <w:color w:val="231F20"/>
        </w:rPr>
        <w:t>unexpectedly</w:t>
      </w:r>
      <w:r>
        <w:rPr>
          <w:color w:val="231F20"/>
          <w:spacing w:val="-5"/>
        </w:rPr>
        <w:t> </w:t>
      </w:r>
      <w:r>
        <w:rPr>
          <w:color w:val="231F20"/>
        </w:rPr>
        <w:t>comparable</w:t>
      </w:r>
      <w:r>
        <w:rPr>
          <w:color w:val="231F20"/>
          <w:spacing w:val="24"/>
          <w:w w:val="99"/>
        </w:rPr>
        <w:t> </w:t>
      </w:r>
      <w:r>
        <w:rPr>
          <w:color w:val="231F20"/>
        </w:rPr>
        <w:t>to</w:t>
      </w:r>
      <w:r>
        <w:rPr>
          <w:color w:val="231F20"/>
          <w:spacing w:val="-4"/>
        </w:rPr>
        <w:t> </w:t>
      </w:r>
      <w:r>
        <w:rPr>
          <w:color w:val="231F20"/>
        </w:rPr>
        <w:t>the</w:t>
      </w:r>
      <w:r>
        <w:rPr>
          <w:color w:val="231F20"/>
          <w:spacing w:val="-4"/>
        </w:rPr>
        <w:t> </w:t>
      </w:r>
      <w:r>
        <w:rPr>
          <w:color w:val="231F20"/>
        </w:rPr>
        <w:t>average</w:t>
      </w:r>
      <w:r>
        <w:rPr>
          <w:color w:val="231F20"/>
          <w:spacing w:val="-4"/>
        </w:rPr>
        <w:t> </w:t>
      </w:r>
      <w:r>
        <w:rPr>
          <w:color w:val="231F20"/>
        </w:rPr>
        <w:t>cost</w:t>
      </w:r>
      <w:r>
        <w:rPr>
          <w:color w:val="231F20"/>
          <w:spacing w:val="-5"/>
        </w:rPr>
        <w:t> </w:t>
      </w:r>
      <w:r>
        <w:rPr>
          <w:color w:val="231F20"/>
        </w:rPr>
        <w:t>of</w:t>
      </w:r>
      <w:r>
        <w:rPr>
          <w:color w:val="231F20"/>
          <w:spacing w:val="-3"/>
        </w:rPr>
        <w:t> </w:t>
      </w:r>
      <w:r>
        <w:rPr>
          <w:color w:val="231F20"/>
        </w:rPr>
        <w:t>boarding</w:t>
      </w:r>
      <w:r>
        <w:rPr>
          <w:color w:val="231F20"/>
          <w:spacing w:val="-4"/>
        </w:rPr>
        <w:t> </w:t>
      </w:r>
      <w:r>
        <w:rPr>
          <w:color w:val="231F20"/>
        </w:rPr>
        <w:t>at</w:t>
      </w:r>
      <w:r>
        <w:rPr>
          <w:color w:val="231F20"/>
          <w:spacing w:val="-4"/>
        </w:rPr>
        <w:t> </w:t>
      </w:r>
      <w:r>
        <w:rPr>
          <w:color w:val="231F20"/>
        </w:rPr>
        <w:t>non</w:t>
      </w:r>
      <w:r>
        <w:rPr>
          <w:color w:val="231F20"/>
          <w:spacing w:val="-4"/>
        </w:rPr>
        <w:t> </w:t>
      </w:r>
      <w:r>
        <w:rPr>
          <w:color w:val="231F20"/>
          <w:spacing w:val="-1"/>
        </w:rPr>
        <w:t>special</w:t>
      </w:r>
      <w:r>
        <w:rPr>
          <w:color w:val="231F20"/>
          <w:spacing w:val="20"/>
        </w:rPr>
        <w:t> </w:t>
      </w:r>
      <w:r>
        <w:rPr>
          <w:color w:val="231F20"/>
        </w:rPr>
        <w:t>assistance</w:t>
      </w:r>
      <w:r>
        <w:rPr>
          <w:color w:val="231F20"/>
          <w:spacing w:val="-4"/>
        </w:rPr>
        <w:t> </w:t>
      </w:r>
      <w:r>
        <w:rPr>
          <w:color w:val="231F20"/>
        </w:rPr>
        <w:t>boarding</w:t>
      </w:r>
      <w:r>
        <w:rPr>
          <w:color w:val="231F20"/>
          <w:spacing w:val="-4"/>
        </w:rPr>
        <w:t> </w:t>
      </w:r>
      <w:r>
        <w:rPr>
          <w:color w:val="231F20"/>
          <w:spacing w:val="-1"/>
        </w:rPr>
        <w:t>schools</w:t>
      </w:r>
      <w:r>
        <w:rPr>
          <w:color w:val="231F20"/>
          <w:spacing w:val="-3"/>
        </w:rPr>
        <w:t> </w:t>
      </w:r>
      <w:r>
        <w:rPr>
          <w:color w:val="231F20"/>
        </w:rPr>
        <w:t>at</w:t>
      </w:r>
      <w:r>
        <w:rPr>
          <w:color w:val="231F20"/>
          <w:spacing w:val="-2"/>
        </w:rPr>
        <w:t> </w:t>
      </w:r>
      <w:r>
        <w:rPr>
          <w:color w:val="231F20"/>
          <w:spacing w:val="-1"/>
        </w:rPr>
        <w:t>$22,956.</w:t>
      </w:r>
      <w:r>
        <w:rPr>
          <w:rFonts w:ascii="Segoe UI Semibold"/>
          <w:b/>
          <w:color w:val="231F20"/>
          <w:spacing w:val="-1"/>
          <w:position w:val="7"/>
          <w:sz w:val="11"/>
        </w:rPr>
        <w:t>16</w:t>
      </w:r>
      <w:r>
        <w:rPr>
          <w:rFonts w:ascii="Segoe UI Semibold"/>
          <w:sz w:val="11"/>
        </w:rPr>
      </w:r>
    </w:p>
    <w:p>
      <w:pPr>
        <w:spacing w:after="0" w:line="250" w:lineRule="exact"/>
        <w:jc w:val="left"/>
        <w:rPr>
          <w:rFonts w:ascii="Segoe UI Semibold" w:hAnsi="Segoe UI Semibold" w:cs="Segoe UI Semibold" w:eastAsia="Segoe UI Semibold"/>
          <w:sz w:val="11"/>
          <w:szCs w:val="11"/>
        </w:rPr>
        <w:sectPr>
          <w:type w:val="continuous"/>
          <w:pgSz w:w="11910" w:h="16840"/>
          <w:pgMar w:top="1580" w:bottom="280" w:left="1300" w:right="1600"/>
          <w:cols w:num="2" w:equalWidth="0">
            <w:col w:w="4371" w:space="221"/>
            <w:col w:w="4418"/>
          </w:cols>
        </w:sectPr>
      </w:pPr>
    </w:p>
    <w:p>
      <w:pPr>
        <w:spacing w:line="240" w:lineRule="auto" w:before="0"/>
        <w:rPr>
          <w:rFonts w:ascii="Segoe UI Semibold" w:hAnsi="Segoe UI Semibold" w:cs="Segoe UI Semibold" w:eastAsia="Segoe UI Semibold"/>
          <w:b/>
          <w:bCs/>
          <w:sz w:val="20"/>
          <w:szCs w:val="20"/>
        </w:rPr>
      </w:pPr>
    </w:p>
    <w:p>
      <w:pPr>
        <w:spacing w:line="240" w:lineRule="auto" w:before="5"/>
        <w:rPr>
          <w:rFonts w:ascii="Segoe UI Semibold" w:hAnsi="Segoe UI Semibold" w:cs="Segoe UI Semibold" w:eastAsia="Segoe UI Semibold"/>
          <w:b/>
          <w:bCs/>
          <w:sz w:val="21"/>
          <w:szCs w:val="21"/>
        </w:rPr>
      </w:pPr>
    </w:p>
    <w:p>
      <w:pPr>
        <w:spacing w:after="0" w:line="240" w:lineRule="auto"/>
        <w:rPr>
          <w:rFonts w:ascii="Segoe UI Semibold" w:hAnsi="Segoe UI Semibold" w:cs="Segoe UI Semibold" w:eastAsia="Segoe UI Semibold"/>
          <w:sz w:val="21"/>
          <w:szCs w:val="21"/>
        </w:rPr>
        <w:sectPr>
          <w:pgSz w:w="11910" w:h="16840"/>
          <w:pgMar w:header="0" w:footer="691" w:top="1580" w:bottom="880" w:left="1600" w:right="1300"/>
        </w:sectPr>
      </w:pPr>
    </w:p>
    <w:p>
      <w:pPr>
        <w:pStyle w:val="Heading5"/>
        <w:spacing w:line="240" w:lineRule="auto" w:before="34"/>
        <w:ind w:left="100" w:right="0"/>
        <w:jc w:val="left"/>
        <w:rPr>
          <w:i w:val="0"/>
        </w:rPr>
      </w:pPr>
      <w:r>
        <w:rPr>
          <w:b/>
          <w:i/>
          <w:color w:val="00779B"/>
          <w:spacing w:val="-4"/>
        </w:rPr>
        <w:t>Type</w:t>
      </w:r>
      <w:r>
        <w:rPr>
          <w:b/>
          <w:i/>
          <w:color w:val="00779B"/>
          <w:spacing w:val="-2"/>
        </w:rPr>
        <w:t> </w:t>
      </w:r>
      <w:r>
        <w:rPr>
          <w:b/>
          <w:i/>
          <w:color w:val="00779B"/>
          <w:spacing w:val="-3"/>
        </w:rPr>
        <w:t>of</w:t>
      </w:r>
      <w:r>
        <w:rPr>
          <w:b/>
          <w:i/>
          <w:color w:val="00779B"/>
          <w:spacing w:val="-1"/>
        </w:rPr>
        <w:t> </w:t>
      </w:r>
      <w:r>
        <w:rPr>
          <w:b/>
          <w:i/>
          <w:color w:val="00779B"/>
          <w:spacing w:val="-2"/>
        </w:rPr>
        <w:t>boarding</w:t>
      </w:r>
      <w:r>
        <w:rPr>
          <w:b/>
          <w:i/>
          <w:color w:val="00779B"/>
        </w:rPr>
        <w:t> </w:t>
      </w:r>
      <w:r>
        <w:rPr>
          <w:b/>
          <w:i/>
          <w:color w:val="00779B"/>
          <w:spacing w:val="-2"/>
        </w:rPr>
        <w:t>accommodation</w:t>
      </w:r>
      <w:r>
        <w:rPr>
          <w:i w:val="0"/>
        </w:rPr>
      </w:r>
    </w:p>
    <w:p>
      <w:pPr>
        <w:pStyle w:val="BodyText"/>
        <w:spacing w:line="250" w:lineRule="exact" w:before="131"/>
        <w:ind w:left="100" w:right="73"/>
        <w:jc w:val="left"/>
      </w:pP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8"/>
        </w:rPr>
        <w:t> </w:t>
      </w:r>
      <w:r>
        <w:rPr>
          <w:color w:val="231F20"/>
        </w:rPr>
        <w:t>deliver</w:t>
      </w:r>
      <w:r>
        <w:rPr>
          <w:color w:val="231F20"/>
          <w:spacing w:val="-8"/>
        </w:rPr>
        <w:t> </w:t>
      </w:r>
      <w:r>
        <w:rPr>
          <w:color w:val="231F20"/>
        </w:rPr>
        <w:t>boarding</w:t>
      </w:r>
      <w:r>
        <w:rPr>
          <w:color w:val="231F20"/>
          <w:spacing w:val="-8"/>
        </w:rPr>
        <w:t> </w:t>
      </w:r>
      <w:r>
        <w:rPr>
          <w:color w:val="231F20"/>
        </w:rPr>
        <w:t>through</w:t>
      </w:r>
      <w:r>
        <w:rPr>
          <w:color w:val="231F20"/>
          <w:spacing w:val="-8"/>
        </w:rPr>
        <w:t> </w:t>
      </w:r>
      <w:r>
        <w:rPr>
          <w:color w:val="231F20"/>
        </w:rPr>
        <w:t>a</w:t>
      </w:r>
      <w:r>
        <w:rPr>
          <w:color w:val="231F20"/>
          <w:spacing w:val="-7"/>
        </w:rPr>
        <w:t> </w:t>
      </w:r>
      <w:r>
        <w:rPr>
          <w:color w:val="231F20"/>
        </w:rPr>
        <w:t>wide</w:t>
      </w:r>
      <w:r>
        <w:rPr>
          <w:color w:val="231F20"/>
          <w:w w:val="99"/>
        </w:rPr>
        <w:t> </w:t>
      </w:r>
      <w:r>
        <w:rPr>
          <w:color w:val="231F20"/>
        </w:rPr>
        <w:t>variety</w:t>
      </w:r>
      <w:r>
        <w:rPr>
          <w:color w:val="231F20"/>
          <w:spacing w:val="-9"/>
        </w:rPr>
        <w:t> </w:t>
      </w:r>
      <w:r>
        <w:rPr>
          <w:color w:val="231F20"/>
        </w:rPr>
        <w:t>of</w:t>
      </w:r>
      <w:r>
        <w:rPr>
          <w:color w:val="231F20"/>
          <w:spacing w:val="-9"/>
        </w:rPr>
        <w:t> </w:t>
      </w:r>
      <w:r>
        <w:rPr>
          <w:color w:val="231F20"/>
        </w:rPr>
        <w:t>boarding</w:t>
      </w:r>
      <w:r>
        <w:rPr>
          <w:color w:val="231F20"/>
          <w:spacing w:val="-10"/>
        </w:rPr>
        <w:t> </w:t>
      </w:r>
      <w:r>
        <w:rPr>
          <w:color w:val="231F20"/>
        </w:rPr>
        <w:t>accommodation</w:t>
      </w:r>
      <w:r>
        <w:rPr>
          <w:color w:val="231F20"/>
          <w:spacing w:val="-10"/>
        </w:rPr>
        <w:t> </w:t>
      </w:r>
      <w:r>
        <w:rPr>
          <w:color w:val="231F20"/>
        </w:rPr>
        <w:t>types.</w:t>
      </w:r>
      <w:r>
        <w:rPr/>
      </w:r>
    </w:p>
    <w:p>
      <w:pPr>
        <w:pStyle w:val="BodyText"/>
        <w:spacing w:line="250" w:lineRule="exact"/>
        <w:ind w:left="100" w:right="73"/>
        <w:jc w:val="left"/>
        <w:rPr>
          <w:rFonts w:ascii="Segoe UI" w:hAnsi="Segoe UI" w:cs="Segoe UI" w:eastAsia="Segoe UI"/>
        </w:rPr>
      </w:pPr>
      <w:r>
        <w:rPr>
          <w:color w:val="231F20"/>
        </w:rPr>
        <w:t>This</w:t>
      </w:r>
      <w:r>
        <w:rPr>
          <w:color w:val="231F20"/>
          <w:spacing w:val="-6"/>
        </w:rPr>
        <w:t> </w:t>
      </w:r>
      <w:r>
        <w:rPr>
          <w:color w:val="231F20"/>
          <w:spacing w:val="-1"/>
        </w:rPr>
        <w:t>includes</w:t>
      </w:r>
      <w:r>
        <w:rPr>
          <w:color w:val="231F20"/>
          <w:spacing w:val="-5"/>
        </w:rPr>
        <w:t> </w:t>
      </w:r>
      <w:r>
        <w:rPr>
          <w:color w:val="231F20"/>
        </w:rPr>
        <w:t>traditional</w:t>
      </w:r>
      <w:r>
        <w:rPr>
          <w:color w:val="231F20"/>
          <w:spacing w:val="-6"/>
        </w:rPr>
        <w:t> </w:t>
      </w:r>
      <w:r>
        <w:rPr>
          <w:color w:val="231F20"/>
        </w:rPr>
        <w:t>dormitories,</w:t>
      </w:r>
      <w:r>
        <w:rPr>
          <w:color w:val="231F20"/>
          <w:spacing w:val="-6"/>
        </w:rPr>
        <w:t> </w:t>
      </w:r>
      <w:r>
        <w:rPr>
          <w:color w:val="231F20"/>
        </w:rPr>
        <w:t>family</w:t>
      </w:r>
      <w:r>
        <w:rPr>
          <w:color w:val="231F20"/>
          <w:spacing w:val="22"/>
        </w:rPr>
        <w:t> </w:t>
      </w:r>
      <w:r>
        <w:rPr>
          <w:rFonts w:ascii="Segoe UI"/>
          <w:color w:val="231F20"/>
        </w:rPr>
        <w:t>group</w:t>
      </w:r>
      <w:r>
        <w:rPr>
          <w:rFonts w:ascii="Segoe UI"/>
          <w:color w:val="231F20"/>
          <w:spacing w:val="-2"/>
        </w:rPr>
        <w:t> </w:t>
      </w:r>
      <w:r>
        <w:rPr>
          <w:rFonts w:ascii="Segoe UI"/>
          <w:color w:val="231F20"/>
        </w:rPr>
        <w:t>homes,</w:t>
      </w:r>
      <w:r>
        <w:rPr>
          <w:rFonts w:ascii="Segoe UI"/>
          <w:color w:val="231F20"/>
          <w:spacing w:val="-1"/>
        </w:rPr>
        <w:t> </w:t>
      </w:r>
      <w:r>
        <w:rPr>
          <w:rFonts w:ascii="Segoe UI"/>
          <w:color w:val="231F20"/>
        </w:rPr>
        <w:t>accommodation</w:t>
      </w:r>
      <w:r>
        <w:rPr>
          <w:rFonts w:ascii="Segoe UI"/>
          <w:color w:val="231F20"/>
          <w:spacing w:val="-2"/>
        </w:rPr>
        <w:t> </w:t>
      </w:r>
      <w:r>
        <w:rPr>
          <w:rFonts w:ascii="Segoe UI"/>
          <w:color w:val="231F20"/>
        </w:rPr>
        <w:t>pods,</w:t>
      </w:r>
      <w:r>
        <w:rPr>
          <w:rFonts w:ascii="Segoe UI"/>
          <w:color w:val="231F20"/>
          <w:spacing w:val="-1"/>
        </w:rPr>
        <w:t> </w:t>
      </w:r>
      <w:r>
        <w:rPr>
          <w:rFonts w:ascii="Segoe UI"/>
          <w:color w:val="231F20"/>
        </w:rPr>
        <w:t>offsite</w:t>
      </w:r>
      <w:r>
        <w:rPr>
          <w:rFonts w:ascii="Segoe UI"/>
          <w:color w:val="231F20"/>
          <w:w w:val="99"/>
        </w:rPr>
        <w:t> </w:t>
      </w:r>
      <w:r>
        <w:rPr>
          <w:color w:val="231F20"/>
          <w:spacing w:val="-1"/>
        </w:rPr>
        <w:t>standalone</w:t>
      </w:r>
      <w:r>
        <w:rPr>
          <w:color w:val="231F20"/>
          <w:spacing w:val="-3"/>
        </w:rPr>
        <w:t> </w:t>
      </w:r>
      <w:r>
        <w:rPr>
          <w:color w:val="231F20"/>
        </w:rPr>
        <w:t>residences</w:t>
      </w:r>
      <w:r>
        <w:rPr>
          <w:color w:val="231F20"/>
          <w:spacing w:val="-6"/>
        </w:rPr>
        <w:t> </w:t>
      </w:r>
      <w:r>
        <w:rPr>
          <w:color w:val="231F20"/>
        </w:rPr>
        <w:t>that</w:t>
      </w:r>
      <w:r>
        <w:rPr>
          <w:color w:val="231F20"/>
          <w:spacing w:val="-4"/>
        </w:rPr>
        <w:t> </w:t>
      </w:r>
      <w:r>
        <w:rPr>
          <w:color w:val="231F20"/>
        </w:rPr>
        <w:t>are</w:t>
      </w:r>
      <w:r>
        <w:rPr>
          <w:color w:val="231F20"/>
          <w:spacing w:val="-5"/>
        </w:rPr>
        <w:t> </w:t>
      </w:r>
      <w:r>
        <w:rPr>
          <w:color w:val="231F20"/>
        </w:rPr>
        <w:t>not</w:t>
      </w:r>
      <w:r>
        <w:rPr>
          <w:color w:val="231F20"/>
          <w:spacing w:val="-4"/>
        </w:rPr>
        <w:t> </w:t>
      </w:r>
      <w:r>
        <w:rPr>
          <w:color w:val="231F20"/>
        </w:rPr>
        <w:t>part</w:t>
      </w:r>
      <w:r>
        <w:rPr>
          <w:color w:val="231F20"/>
          <w:spacing w:val="-3"/>
        </w:rPr>
        <w:t> </w:t>
      </w:r>
      <w:r>
        <w:rPr>
          <w:color w:val="231F20"/>
        </w:rPr>
        <w:t>of</w:t>
      </w:r>
      <w:r>
        <w:rPr>
          <w:color w:val="231F20"/>
          <w:spacing w:val="-4"/>
        </w:rPr>
        <w:t> </w:t>
      </w:r>
      <w:r>
        <w:rPr>
          <w:color w:val="231F20"/>
        </w:rPr>
        <w:t>a</w:t>
      </w:r>
      <w:r>
        <w:rPr>
          <w:color w:val="231F20"/>
          <w:spacing w:val="22"/>
          <w:w w:val="99"/>
        </w:rPr>
        <w:t> </w:t>
      </w:r>
      <w:r>
        <w:rPr>
          <w:color w:val="231F20"/>
          <w:spacing w:val="-1"/>
        </w:rPr>
        <w:t>school</w:t>
      </w:r>
      <w:r>
        <w:rPr>
          <w:color w:val="231F20"/>
          <w:spacing w:val="-9"/>
        </w:rPr>
        <w:t> </w:t>
      </w:r>
      <w:r>
        <w:rPr>
          <w:color w:val="231F20"/>
          <w:spacing w:val="-1"/>
        </w:rPr>
        <w:t>structure</w:t>
      </w:r>
      <w:r>
        <w:rPr>
          <w:color w:val="231F20"/>
          <w:spacing w:val="-7"/>
        </w:rPr>
        <w:t> </w:t>
      </w:r>
      <w:r>
        <w:rPr>
          <w:color w:val="231F20"/>
        </w:rPr>
        <w:t>or</w:t>
      </w:r>
      <w:r>
        <w:rPr>
          <w:color w:val="231F20"/>
          <w:spacing w:val="-8"/>
        </w:rPr>
        <w:t> </w:t>
      </w:r>
      <w:r>
        <w:rPr>
          <w:color w:val="231F20"/>
        </w:rPr>
        <w:t>accommodation</w:t>
      </w:r>
      <w:r>
        <w:rPr>
          <w:color w:val="231F20"/>
          <w:spacing w:val="-9"/>
        </w:rPr>
        <w:t> </w:t>
      </w:r>
      <w:r>
        <w:rPr>
          <w:color w:val="231F20"/>
        </w:rPr>
        <w:t>designed</w:t>
      </w:r>
      <w:r>
        <w:rPr>
          <w:color w:val="231F20"/>
          <w:spacing w:val="23"/>
          <w:w w:val="99"/>
        </w:rPr>
        <w:t> </w:t>
      </w:r>
      <w:r>
        <w:rPr>
          <w:rFonts w:ascii="Segoe UI"/>
          <w:color w:val="231F20"/>
        </w:rPr>
        <w:t>and developed specifically to meet the</w:t>
      </w:r>
      <w:r>
        <w:rPr>
          <w:rFonts w:ascii="Segoe UI"/>
        </w:rPr>
      </w:r>
    </w:p>
    <w:p>
      <w:pPr>
        <w:pStyle w:val="BodyText"/>
        <w:spacing w:line="250" w:lineRule="exact"/>
        <w:ind w:left="100" w:right="0"/>
        <w:jc w:val="left"/>
      </w:pPr>
      <w:r>
        <w:rPr>
          <w:color w:val="231F20"/>
        </w:rPr>
        <w:t>needs</w:t>
      </w:r>
      <w:r>
        <w:rPr>
          <w:color w:val="231F20"/>
          <w:spacing w:val="-5"/>
        </w:rPr>
        <w:t> </w:t>
      </w:r>
      <w:r>
        <w:rPr>
          <w:color w:val="231F20"/>
        </w:rPr>
        <w:t>of</w:t>
      </w:r>
      <w:r>
        <w:rPr>
          <w:color w:val="231F20"/>
          <w:spacing w:val="-5"/>
        </w:rPr>
        <w:t> </w:t>
      </w:r>
      <w:r>
        <w:rPr>
          <w:color w:val="231F20"/>
        </w:rPr>
        <w:t>Aboriginal</w:t>
      </w:r>
      <w:r>
        <w:rPr>
          <w:color w:val="231F20"/>
          <w:spacing w:val="-4"/>
        </w:rPr>
        <w:t> </w:t>
      </w:r>
      <w:r>
        <w:rPr>
          <w:color w:val="231F20"/>
        </w:rPr>
        <w:t>and</w:t>
      </w:r>
      <w:r>
        <w:rPr>
          <w:color w:val="231F20"/>
          <w:spacing w:val="-5"/>
        </w:rPr>
        <w:t> 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29"/>
          <w:w w:val="99"/>
        </w:rPr>
        <w:t> </w:t>
      </w:r>
      <w:r>
        <w:rPr>
          <w:color w:val="231F20"/>
          <w:spacing w:val="-1"/>
        </w:rPr>
        <w:t>students.</w:t>
      </w:r>
      <w:r>
        <w:rPr/>
      </w:r>
    </w:p>
    <w:p>
      <w:pPr>
        <w:pStyle w:val="BodyText"/>
        <w:spacing w:line="250" w:lineRule="exact" w:before="113"/>
        <w:ind w:left="100" w:right="0"/>
        <w:jc w:val="left"/>
      </w:pPr>
      <w:r>
        <w:rPr>
          <w:rFonts w:ascii="Segoe UI"/>
          <w:color w:val="231F20"/>
        </w:rPr>
        <w:t>There was no identifiable variance in the </w:t>
      </w:r>
      <w:r>
        <w:rPr>
          <w:color w:val="231F20"/>
        </w:rPr>
        <w:t>average</w:t>
      </w:r>
      <w:r>
        <w:rPr>
          <w:color w:val="231F20"/>
          <w:spacing w:val="-7"/>
        </w:rPr>
        <w:t> </w:t>
      </w:r>
      <w:r>
        <w:rPr>
          <w:color w:val="231F20"/>
        </w:rPr>
        <w:t>cost</w:t>
      </w:r>
      <w:r>
        <w:rPr>
          <w:color w:val="231F20"/>
          <w:spacing w:val="-6"/>
        </w:rPr>
        <w:t> </w:t>
      </w:r>
      <w:r>
        <w:rPr>
          <w:color w:val="231F20"/>
        </w:rPr>
        <w:t>of</w:t>
      </w:r>
      <w:r>
        <w:rPr>
          <w:color w:val="231F20"/>
          <w:spacing w:val="-5"/>
        </w:rPr>
        <w:t> </w:t>
      </w:r>
      <w:r>
        <w:rPr>
          <w:color w:val="231F20"/>
        </w:rPr>
        <w:t>boarding</w:t>
      </w:r>
      <w:r>
        <w:rPr>
          <w:color w:val="231F20"/>
          <w:spacing w:val="-7"/>
        </w:rPr>
        <w:t> </w:t>
      </w:r>
      <w:r>
        <w:rPr>
          <w:color w:val="231F20"/>
        </w:rPr>
        <w:t>attributable</w:t>
      </w:r>
      <w:r>
        <w:rPr>
          <w:color w:val="231F20"/>
          <w:spacing w:val="-6"/>
        </w:rPr>
        <w:t> </w:t>
      </w:r>
      <w:r>
        <w:rPr>
          <w:color w:val="231F20"/>
        </w:rPr>
        <w:t>to</w:t>
      </w:r>
      <w:r>
        <w:rPr>
          <w:color w:val="231F20"/>
          <w:spacing w:val="-5"/>
        </w:rPr>
        <w:t> </w:t>
      </w:r>
      <w:r>
        <w:rPr>
          <w:color w:val="231F20"/>
        </w:rPr>
        <w:t>the</w:t>
      </w:r>
      <w:r>
        <w:rPr>
          <w:color w:val="231F20"/>
          <w:w w:val="99"/>
        </w:rPr>
        <w:t> </w:t>
      </w:r>
      <w:r>
        <w:rPr>
          <w:color w:val="231F20"/>
        </w:rPr>
        <w:t>type</w:t>
      </w:r>
      <w:r>
        <w:rPr>
          <w:color w:val="231F20"/>
          <w:spacing w:val="-11"/>
        </w:rPr>
        <w:t> </w:t>
      </w:r>
      <w:r>
        <w:rPr>
          <w:color w:val="231F20"/>
        </w:rPr>
        <w:t>of</w:t>
      </w:r>
      <w:r>
        <w:rPr>
          <w:color w:val="231F20"/>
          <w:spacing w:val="-10"/>
        </w:rPr>
        <w:t> </w:t>
      </w:r>
      <w:r>
        <w:rPr>
          <w:color w:val="231F20"/>
        </w:rPr>
        <w:t>boarding</w:t>
      </w:r>
      <w:r>
        <w:rPr>
          <w:color w:val="231F20"/>
          <w:spacing w:val="-10"/>
        </w:rPr>
        <w:t> </w:t>
      </w:r>
      <w:r>
        <w:rPr>
          <w:color w:val="231F20"/>
        </w:rPr>
        <w:t>accommodation.</w:t>
      </w:r>
      <w:r>
        <w:rPr/>
      </w:r>
    </w:p>
    <w:p>
      <w:pPr>
        <w:spacing w:line="240" w:lineRule="auto" w:before="9"/>
        <w:rPr>
          <w:rFonts w:ascii="Segoe UI" w:hAnsi="Segoe UI" w:cs="Segoe UI" w:eastAsia="Segoe UI"/>
          <w:sz w:val="15"/>
          <w:szCs w:val="15"/>
        </w:rPr>
      </w:pPr>
    </w:p>
    <w:p>
      <w:pPr>
        <w:pStyle w:val="Heading3"/>
        <w:spacing w:line="300" w:lineRule="exact" w:before="0"/>
        <w:ind w:left="100" w:right="0"/>
        <w:jc w:val="left"/>
      </w:pPr>
      <w:r>
        <w:rPr>
          <w:b/>
          <w:color w:val="00779B"/>
          <w:spacing w:val="-1"/>
        </w:rPr>
        <w:t>Sector</w:t>
      </w:r>
      <w:r>
        <w:rPr>
          <w:b/>
          <w:color w:val="00779B"/>
        </w:rPr>
        <w:t> </w:t>
      </w:r>
      <w:r>
        <w:rPr>
          <w:b/>
          <w:color w:val="00779B"/>
          <w:spacing w:val="-2"/>
        </w:rPr>
        <w:t>restructuring</w:t>
      </w:r>
      <w:r>
        <w:rPr>
          <w:b/>
          <w:color w:val="00779B"/>
        </w:rPr>
        <w:t> </w:t>
      </w:r>
      <w:r>
        <w:rPr>
          <w:b/>
          <w:color w:val="00779B"/>
          <w:spacing w:val="-1"/>
        </w:rPr>
        <w:t>challenges</w:t>
      </w:r>
      <w:r>
        <w:rPr>
          <w:b/>
          <w:color w:val="00779B"/>
          <w:spacing w:val="24"/>
        </w:rPr>
        <w:t> </w:t>
      </w:r>
      <w:r>
        <w:rPr>
          <w:b/>
          <w:color w:val="00779B"/>
        </w:rPr>
        <w:t>and</w:t>
      </w:r>
      <w:r>
        <w:rPr>
          <w:b/>
          <w:color w:val="00779B"/>
          <w:spacing w:val="-1"/>
        </w:rPr>
        <w:t> costs</w:t>
      </w:r>
      <w:r>
        <w:rPr/>
      </w:r>
    </w:p>
    <w:p>
      <w:pPr>
        <w:pStyle w:val="BodyText"/>
        <w:spacing w:line="250" w:lineRule="exact" w:before="75"/>
        <w:ind w:left="100" w:right="73"/>
        <w:jc w:val="left"/>
      </w:pPr>
      <w:r>
        <w:rPr>
          <w:color w:val="231F20"/>
        </w:rPr>
        <w:t>There</w:t>
      </w:r>
      <w:r>
        <w:rPr>
          <w:color w:val="231F20"/>
          <w:spacing w:val="-5"/>
        </w:rPr>
        <w:t> </w:t>
      </w:r>
      <w:r>
        <w:rPr>
          <w:color w:val="231F20"/>
          <w:spacing w:val="-1"/>
        </w:rPr>
        <w:t>is</w:t>
      </w:r>
      <w:r>
        <w:rPr>
          <w:color w:val="231F20"/>
          <w:spacing w:val="-6"/>
        </w:rPr>
        <w:t> </w:t>
      </w:r>
      <w:r>
        <w:rPr>
          <w:color w:val="231F20"/>
        </w:rPr>
        <w:t>a</w:t>
      </w:r>
      <w:r>
        <w:rPr>
          <w:color w:val="231F20"/>
          <w:spacing w:val="-5"/>
        </w:rPr>
        <w:t> </w:t>
      </w:r>
      <w:r>
        <w:rPr>
          <w:color w:val="231F20"/>
        </w:rPr>
        <w:t>transition</w:t>
      </w:r>
      <w:r>
        <w:rPr>
          <w:color w:val="231F20"/>
          <w:spacing w:val="-6"/>
        </w:rPr>
        <w:t> </w:t>
      </w:r>
      <w:r>
        <w:rPr>
          <w:color w:val="231F20"/>
        </w:rPr>
        <w:t>occurring</w:t>
      </w:r>
      <w:r>
        <w:rPr>
          <w:color w:val="231F20"/>
          <w:spacing w:val="-5"/>
        </w:rPr>
        <w:t> </w:t>
      </w:r>
      <w:r>
        <w:rPr>
          <w:color w:val="231F20"/>
          <w:spacing w:val="-1"/>
        </w:rPr>
        <w:t>in</w:t>
      </w:r>
      <w:r>
        <w:rPr>
          <w:color w:val="231F20"/>
          <w:spacing w:val="-5"/>
        </w:rPr>
        <w:t> </w:t>
      </w:r>
      <w:r>
        <w:rPr>
          <w:color w:val="231F20"/>
        </w:rPr>
        <w:t>the</w:t>
      </w:r>
      <w:r>
        <w:rPr>
          <w:color w:val="231F20"/>
          <w:spacing w:val="-6"/>
        </w:rPr>
        <w:t> </w:t>
      </w:r>
      <w:r>
        <w:rPr>
          <w:color w:val="231F20"/>
        </w:rPr>
        <w:t>Aboriginal</w:t>
      </w:r>
      <w:r>
        <w:rPr>
          <w:color w:val="231F20"/>
          <w:spacing w:val="22"/>
          <w:w w:val="99"/>
        </w:rPr>
        <w:t> </w:t>
      </w:r>
      <w:r>
        <w:rPr>
          <w:color w:val="231F20"/>
        </w:rPr>
        <w:t>and</w:t>
      </w:r>
      <w:r>
        <w:rPr>
          <w:color w:val="231F20"/>
          <w:spacing w:val="-7"/>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6"/>
        </w:rPr>
        <w:t> </w:t>
      </w:r>
      <w:r>
        <w:rPr>
          <w:color w:val="231F20"/>
        </w:rPr>
        <w:t>boarding</w:t>
      </w:r>
      <w:r>
        <w:rPr>
          <w:color w:val="231F20"/>
          <w:spacing w:val="-6"/>
        </w:rPr>
        <w:t> </w:t>
      </w:r>
      <w:r>
        <w:rPr>
          <w:color w:val="231F20"/>
          <w:spacing w:val="-1"/>
        </w:rPr>
        <w:t>sector</w:t>
      </w:r>
      <w:r>
        <w:rPr/>
      </w:r>
    </w:p>
    <w:p>
      <w:pPr>
        <w:pStyle w:val="BodyText"/>
        <w:spacing w:line="250" w:lineRule="exact"/>
        <w:ind w:left="100" w:right="391"/>
        <w:jc w:val="left"/>
      </w:pPr>
      <w:r>
        <w:rPr>
          <w:color w:val="231F20"/>
        </w:rPr>
        <w:t>away</w:t>
      </w:r>
      <w:r>
        <w:rPr>
          <w:color w:val="231F20"/>
          <w:spacing w:val="-6"/>
        </w:rPr>
        <w:t> </w:t>
      </w:r>
      <w:r>
        <w:rPr>
          <w:color w:val="231F20"/>
        </w:rPr>
        <w:t>from</w:t>
      </w:r>
      <w:r>
        <w:rPr>
          <w:color w:val="231F20"/>
          <w:spacing w:val="-5"/>
        </w:rPr>
        <w:t> </w:t>
      </w:r>
      <w:r>
        <w:rPr>
          <w:color w:val="231F20"/>
        </w:rPr>
        <w:t>the</w:t>
      </w:r>
      <w:r>
        <w:rPr>
          <w:color w:val="231F20"/>
          <w:spacing w:val="-6"/>
        </w:rPr>
        <w:t> </w:t>
      </w:r>
      <w:r>
        <w:rPr>
          <w:color w:val="231F20"/>
        </w:rPr>
        <w:t>traditional</w:t>
      </w:r>
      <w:r>
        <w:rPr>
          <w:color w:val="231F20"/>
          <w:spacing w:val="-6"/>
        </w:rPr>
        <w:t> </w:t>
      </w:r>
      <w:r>
        <w:rPr>
          <w:color w:val="231F20"/>
          <w:spacing w:val="-1"/>
        </w:rPr>
        <w:t>long</w:t>
      </w:r>
      <w:r>
        <w:rPr>
          <w:color w:val="231F20"/>
          <w:spacing w:val="-5"/>
        </w:rPr>
        <w:t> </w:t>
      </w:r>
      <w:r>
        <w:rPr>
          <w:color w:val="231F20"/>
        </w:rPr>
        <w:t>established</w:t>
      </w:r>
      <w:r>
        <w:rPr>
          <w:color w:val="231F20"/>
          <w:spacing w:val="21"/>
        </w:rPr>
        <w:t> </w:t>
      </w:r>
      <w:r>
        <w:rPr>
          <w:color w:val="231F20"/>
          <w:spacing w:val="-1"/>
        </w:rPr>
        <w:t>large</w:t>
      </w:r>
      <w:r>
        <w:rPr>
          <w:color w:val="231F20"/>
          <w:spacing w:val="-5"/>
        </w:rPr>
        <w:t> </w:t>
      </w:r>
      <w:r>
        <w:rPr>
          <w:color w:val="231F20"/>
        </w:rPr>
        <w:t>boarding</w:t>
      </w:r>
      <w:r>
        <w:rPr>
          <w:color w:val="231F20"/>
          <w:spacing w:val="-6"/>
        </w:rPr>
        <w:t> </w:t>
      </w:r>
      <w:r>
        <w:rPr>
          <w:color w:val="231F20"/>
        </w:rPr>
        <w:t>providers</w:t>
      </w:r>
      <w:r>
        <w:rPr>
          <w:color w:val="231F20"/>
          <w:spacing w:val="-5"/>
        </w:rPr>
        <w:t> </w:t>
      </w:r>
      <w:r>
        <w:rPr>
          <w:color w:val="231F20"/>
        </w:rPr>
        <w:t>to</w:t>
      </w:r>
      <w:r>
        <w:rPr>
          <w:color w:val="231F20"/>
          <w:spacing w:val="-5"/>
        </w:rPr>
        <w:t> </w:t>
      </w:r>
      <w:r>
        <w:rPr>
          <w:color w:val="231F20"/>
        </w:rPr>
        <w:t>a</w:t>
      </w:r>
      <w:r>
        <w:rPr>
          <w:color w:val="231F20"/>
          <w:spacing w:val="-4"/>
        </w:rPr>
        <w:t> </w:t>
      </w:r>
      <w:r>
        <w:rPr>
          <w:color w:val="231F20"/>
        </w:rPr>
        <w:t>new</w:t>
      </w:r>
      <w:r>
        <w:rPr>
          <w:color w:val="231F20"/>
          <w:spacing w:val="-5"/>
        </w:rPr>
        <w:t> </w:t>
      </w:r>
      <w:r>
        <w:rPr>
          <w:color w:val="231F20"/>
          <w:spacing w:val="-1"/>
        </w:rPr>
        <w:t>model</w:t>
      </w:r>
      <w:r>
        <w:rPr>
          <w:color w:val="231F20"/>
          <w:spacing w:val="-1"/>
        </w:rPr>
        <w:t> </w:t>
      </w:r>
      <w:r>
        <w:rPr>
          <w:color w:val="231F20"/>
          <w:spacing w:val="21"/>
        </w:rPr>
        <w:t> </w:t>
      </w:r>
      <w:r>
        <w:rPr>
          <w:color w:val="231F20"/>
        </w:rPr>
        <w:t>of</w:t>
      </w:r>
      <w:r>
        <w:rPr>
          <w:color w:val="231F20"/>
          <w:spacing w:val="-5"/>
        </w:rPr>
        <w:t> </w:t>
      </w:r>
      <w:r>
        <w:rPr>
          <w:color w:val="231F20"/>
        </w:rPr>
        <w:t>boarding</w:t>
      </w:r>
      <w:r>
        <w:rPr>
          <w:color w:val="231F20"/>
          <w:spacing w:val="-6"/>
        </w:rPr>
        <w:t> </w:t>
      </w:r>
      <w:r>
        <w:rPr>
          <w:color w:val="231F20"/>
        </w:rPr>
        <w:t>provider</w:t>
      </w:r>
      <w:r>
        <w:rPr>
          <w:color w:val="231F20"/>
          <w:spacing w:val="-6"/>
        </w:rPr>
        <w:t> </w:t>
      </w:r>
      <w:r>
        <w:rPr>
          <w:color w:val="231F20"/>
        </w:rPr>
        <w:t>that</w:t>
      </w:r>
      <w:r>
        <w:rPr>
          <w:color w:val="231F20"/>
          <w:spacing w:val="-5"/>
        </w:rPr>
        <w:t> </w:t>
      </w:r>
      <w:r>
        <w:rPr>
          <w:color w:val="231F20"/>
        </w:rPr>
        <w:t>caters</w:t>
      </w:r>
      <w:r>
        <w:rPr>
          <w:color w:val="231F20"/>
          <w:spacing w:val="-6"/>
        </w:rPr>
        <w:t> </w:t>
      </w:r>
      <w:r>
        <w:rPr>
          <w:color w:val="231F20"/>
        </w:rPr>
        <w:t>for</w:t>
      </w:r>
      <w:r>
        <w:rPr>
          <w:color w:val="231F20"/>
          <w:spacing w:val="-5"/>
        </w:rPr>
        <w:t> </w:t>
      </w:r>
      <w:r>
        <w:rPr>
          <w:color w:val="231F20"/>
          <w:spacing w:val="-1"/>
        </w:rPr>
        <w:t>smaller</w:t>
      </w:r>
      <w:r>
        <w:rPr/>
      </w:r>
    </w:p>
    <w:p>
      <w:pPr>
        <w:pStyle w:val="BodyText"/>
        <w:spacing w:line="250" w:lineRule="exact"/>
        <w:ind w:left="100" w:right="73"/>
        <w:jc w:val="left"/>
      </w:pPr>
      <w:r>
        <w:rPr>
          <w:color w:val="231F20"/>
        </w:rPr>
        <w:t>numbers</w:t>
      </w:r>
      <w:r>
        <w:rPr>
          <w:color w:val="231F20"/>
          <w:spacing w:val="-5"/>
        </w:rPr>
        <w:t> </w:t>
      </w:r>
      <w:r>
        <w:rPr>
          <w:color w:val="231F20"/>
        </w:rPr>
        <w:t>of</w:t>
      </w:r>
      <w:r>
        <w:rPr>
          <w:color w:val="231F20"/>
          <w:spacing w:val="-4"/>
        </w:rPr>
        <w:t> </w:t>
      </w:r>
      <w:r>
        <w:rPr>
          <w:color w:val="231F20"/>
        </w:rPr>
        <w:t>boarders,</w:t>
      </w:r>
      <w:r>
        <w:rPr>
          <w:color w:val="231F20"/>
          <w:spacing w:val="-5"/>
        </w:rPr>
        <w:t> </w:t>
      </w:r>
      <w:r>
        <w:rPr>
          <w:color w:val="231F20"/>
        </w:rPr>
        <w:t>usually</w:t>
      </w:r>
      <w:r>
        <w:rPr>
          <w:color w:val="231F20"/>
          <w:spacing w:val="-5"/>
        </w:rPr>
        <w:t> </w:t>
      </w:r>
      <w:r>
        <w:rPr>
          <w:color w:val="231F20"/>
        </w:rPr>
        <w:t>from</w:t>
      </w:r>
      <w:r>
        <w:rPr>
          <w:color w:val="231F20"/>
          <w:spacing w:val="-4"/>
        </w:rPr>
        <w:t> </w:t>
      </w:r>
      <w:r>
        <w:rPr>
          <w:color w:val="231F20"/>
        </w:rPr>
        <w:t>a</w:t>
      </w:r>
      <w:r>
        <w:rPr>
          <w:color w:val="231F20"/>
          <w:spacing w:val="-4"/>
        </w:rPr>
        <w:t> </w:t>
      </w:r>
      <w:r>
        <w:rPr>
          <w:color w:val="231F20"/>
        </w:rPr>
        <w:t>common</w:t>
      </w:r>
      <w:r>
        <w:rPr>
          <w:color w:val="231F20"/>
        </w:rPr>
        <w:t> background</w:t>
      </w:r>
      <w:r>
        <w:rPr>
          <w:color w:val="231F20"/>
          <w:spacing w:val="-9"/>
        </w:rPr>
        <w:t> </w:t>
      </w:r>
      <w:r>
        <w:rPr>
          <w:color w:val="231F20"/>
        </w:rPr>
        <w:t>or</w:t>
      </w:r>
      <w:r>
        <w:rPr>
          <w:color w:val="231F20"/>
          <w:spacing w:val="-8"/>
        </w:rPr>
        <w:t> </w:t>
      </w:r>
      <w:r>
        <w:rPr>
          <w:color w:val="231F20"/>
        </w:rPr>
        <w:t>home</w:t>
      </w:r>
      <w:r>
        <w:rPr>
          <w:color w:val="231F20"/>
          <w:spacing w:val="-8"/>
        </w:rPr>
        <w:t> </w:t>
      </w:r>
      <w:r>
        <w:rPr>
          <w:color w:val="231F20"/>
        </w:rPr>
        <w:t>geographical</w:t>
      </w:r>
      <w:r>
        <w:rPr>
          <w:color w:val="231F20"/>
          <w:spacing w:val="-9"/>
        </w:rPr>
        <w:t> </w:t>
      </w:r>
      <w:r>
        <w:rPr>
          <w:color w:val="231F20"/>
        </w:rPr>
        <w:t>region.</w:t>
      </w:r>
      <w:r>
        <w:rPr/>
      </w:r>
    </w:p>
    <w:p>
      <w:pPr>
        <w:pStyle w:val="BodyText"/>
        <w:spacing w:line="250" w:lineRule="exact"/>
        <w:ind w:left="100" w:right="0"/>
        <w:jc w:val="left"/>
      </w:pPr>
      <w:r>
        <w:rPr>
          <w:color w:val="231F20"/>
          <w:spacing w:val="-1"/>
        </w:rPr>
        <w:t>In</w:t>
      </w:r>
      <w:r>
        <w:rPr>
          <w:color w:val="231F20"/>
          <w:spacing w:val="-3"/>
        </w:rPr>
        <w:t> </w:t>
      </w:r>
      <w:r>
        <w:rPr>
          <w:color w:val="231F20"/>
        </w:rPr>
        <w:t>the</w:t>
      </w:r>
      <w:r>
        <w:rPr>
          <w:color w:val="231F20"/>
          <w:spacing w:val="-4"/>
        </w:rPr>
        <w:t> </w:t>
      </w:r>
      <w:r>
        <w:rPr>
          <w:color w:val="231F20"/>
          <w:spacing w:val="-1"/>
        </w:rPr>
        <w:t>last</w:t>
      </w:r>
      <w:r>
        <w:rPr>
          <w:color w:val="231F20"/>
          <w:spacing w:val="-3"/>
        </w:rPr>
        <w:t> </w:t>
      </w:r>
      <w:r>
        <w:rPr>
          <w:color w:val="231F20"/>
        </w:rPr>
        <w:t>decade</w:t>
      </w:r>
      <w:r>
        <w:rPr>
          <w:color w:val="231F20"/>
          <w:spacing w:val="-4"/>
        </w:rPr>
        <w:t> </w:t>
      </w:r>
      <w:r>
        <w:rPr>
          <w:color w:val="231F20"/>
        </w:rPr>
        <w:t>a</w:t>
      </w:r>
      <w:r>
        <w:rPr>
          <w:color w:val="231F20"/>
          <w:spacing w:val="-3"/>
        </w:rPr>
        <w:t> </w:t>
      </w:r>
      <w:r>
        <w:rPr>
          <w:color w:val="231F20"/>
        </w:rPr>
        <w:t>number</w:t>
      </w:r>
      <w:r>
        <w:rPr>
          <w:color w:val="231F20"/>
          <w:spacing w:val="-3"/>
        </w:rPr>
        <w:t> </w:t>
      </w:r>
      <w:r>
        <w:rPr>
          <w:color w:val="231F20"/>
        </w:rPr>
        <w:t>of</w:t>
      </w:r>
      <w:r>
        <w:rPr>
          <w:color w:val="231F20"/>
          <w:spacing w:val="-3"/>
        </w:rPr>
        <w:t> </w:t>
      </w:r>
      <w:r>
        <w:rPr>
          <w:color w:val="231F20"/>
        </w:rPr>
        <w:t>new</w:t>
      </w:r>
      <w:r>
        <w:rPr>
          <w:color w:val="231F20"/>
          <w:spacing w:val="-3"/>
        </w:rPr>
        <w:t> </w:t>
      </w:r>
      <w:r>
        <w:rPr>
          <w:color w:val="231F20"/>
          <w:spacing w:val="-1"/>
        </w:rPr>
        <w:t>smaller</w:t>
      </w:r>
      <w:r>
        <w:rPr>
          <w:color w:val="231F20"/>
          <w:spacing w:val="22"/>
        </w:rPr>
        <w:t> </w:t>
      </w:r>
      <w:r>
        <w:rPr>
          <w:color w:val="231F20"/>
        </w:rPr>
        <w:t>boarding</w:t>
      </w:r>
      <w:r>
        <w:rPr>
          <w:color w:val="231F20"/>
          <w:spacing w:val="-5"/>
        </w:rPr>
        <w:t> </w:t>
      </w:r>
      <w:r>
        <w:rPr>
          <w:color w:val="231F20"/>
        </w:rPr>
        <w:t>providers</w:t>
      </w:r>
      <w:r>
        <w:rPr>
          <w:color w:val="231F20"/>
          <w:spacing w:val="-5"/>
        </w:rPr>
        <w:t> </w:t>
      </w:r>
      <w:r>
        <w:rPr>
          <w:color w:val="231F20"/>
        </w:rPr>
        <w:t>or</w:t>
      </w:r>
      <w:r>
        <w:rPr>
          <w:color w:val="231F20"/>
          <w:spacing w:val="-4"/>
        </w:rPr>
        <w:t> </w:t>
      </w:r>
      <w:r>
        <w:rPr>
          <w:color w:val="231F20"/>
        </w:rPr>
        <w:t>campuses</w:t>
      </w:r>
      <w:r>
        <w:rPr>
          <w:color w:val="231F20"/>
          <w:spacing w:val="-5"/>
        </w:rPr>
        <w:t> </w:t>
      </w:r>
      <w:r>
        <w:rPr>
          <w:color w:val="231F20"/>
        </w:rPr>
        <w:t>of</w:t>
      </w:r>
      <w:r>
        <w:rPr>
          <w:color w:val="231F20"/>
          <w:spacing w:val="-4"/>
        </w:rPr>
        <w:t> </w:t>
      </w:r>
      <w:r>
        <w:rPr>
          <w:color w:val="231F20"/>
        </w:rPr>
        <w:t>existing</w:t>
      </w:r>
      <w:r>
        <w:rPr>
          <w:color w:val="231F20"/>
        </w:rPr>
        <w:t> facilities</w:t>
      </w:r>
      <w:r>
        <w:rPr>
          <w:color w:val="231F20"/>
          <w:spacing w:val="-5"/>
        </w:rPr>
        <w:t> </w:t>
      </w:r>
      <w:r>
        <w:rPr>
          <w:color w:val="231F20"/>
        </w:rPr>
        <w:t>have</w:t>
      </w:r>
      <w:r>
        <w:rPr>
          <w:color w:val="231F20"/>
          <w:spacing w:val="-4"/>
        </w:rPr>
        <w:t> </w:t>
      </w:r>
      <w:r>
        <w:rPr>
          <w:color w:val="231F20"/>
        </w:rPr>
        <w:t>also</w:t>
      </w:r>
      <w:r>
        <w:rPr>
          <w:color w:val="231F20"/>
          <w:spacing w:val="-5"/>
        </w:rPr>
        <w:t> </w:t>
      </w:r>
      <w:r>
        <w:rPr>
          <w:color w:val="231F20"/>
        </w:rPr>
        <w:t>opened</w:t>
      </w:r>
      <w:r>
        <w:rPr>
          <w:color w:val="231F20"/>
          <w:spacing w:val="-4"/>
        </w:rPr>
        <w:t> </w:t>
      </w:r>
      <w:r>
        <w:rPr>
          <w:color w:val="231F20"/>
          <w:spacing w:val="-1"/>
        </w:rPr>
        <w:t>in</w:t>
      </w:r>
      <w:r>
        <w:rPr>
          <w:color w:val="231F20"/>
          <w:spacing w:val="-4"/>
        </w:rPr>
        <w:t> </w:t>
      </w:r>
      <w:r>
        <w:rPr>
          <w:color w:val="231F20"/>
        </w:rPr>
        <w:t>remote</w:t>
      </w:r>
      <w:r>
        <w:rPr>
          <w:color w:val="231F20"/>
          <w:spacing w:val="-4"/>
        </w:rPr>
        <w:t> </w:t>
      </w:r>
      <w:r>
        <w:rPr>
          <w:color w:val="231F20"/>
        </w:rPr>
        <w:t>and</w:t>
      </w:r>
      <w:r>
        <w:rPr>
          <w:color w:val="231F20"/>
          <w:spacing w:val="-5"/>
        </w:rPr>
        <w:t> </w:t>
      </w:r>
      <w:r>
        <w:rPr>
          <w:color w:val="231F20"/>
        </w:rPr>
        <w:t>very</w:t>
      </w:r>
      <w:r>
        <w:rPr>
          <w:color w:val="231F20"/>
          <w:spacing w:val="21"/>
          <w:w w:val="99"/>
        </w:rPr>
        <w:t> </w:t>
      </w:r>
      <w:r>
        <w:rPr>
          <w:color w:val="231F20"/>
        </w:rPr>
        <w:t>remote</w:t>
      </w:r>
      <w:r>
        <w:rPr>
          <w:color w:val="231F20"/>
          <w:spacing w:val="-6"/>
        </w:rPr>
        <w:t> </w:t>
      </w:r>
      <w:r>
        <w:rPr>
          <w:color w:val="231F20"/>
          <w:spacing w:val="-1"/>
        </w:rPr>
        <w:t>locations</w:t>
      </w:r>
      <w:r>
        <w:rPr>
          <w:color w:val="231F20"/>
          <w:spacing w:val="-5"/>
        </w:rPr>
        <w:t> </w:t>
      </w:r>
      <w:r>
        <w:rPr>
          <w:color w:val="231F20"/>
        </w:rPr>
        <w:t>to</w:t>
      </w:r>
      <w:r>
        <w:rPr>
          <w:color w:val="231F20"/>
          <w:spacing w:val="-4"/>
        </w:rPr>
        <w:t> </w:t>
      </w:r>
      <w:r>
        <w:rPr>
          <w:color w:val="231F20"/>
        </w:rPr>
        <w:t>reduce</w:t>
      </w:r>
      <w:r>
        <w:rPr>
          <w:color w:val="231F20"/>
          <w:spacing w:val="-6"/>
        </w:rPr>
        <w:t> </w:t>
      </w:r>
      <w:r>
        <w:rPr>
          <w:color w:val="231F20"/>
        </w:rPr>
        <w:t>the</w:t>
      </w:r>
      <w:r>
        <w:rPr>
          <w:color w:val="231F20"/>
          <w:spacing w:val="-5"/>
        </w:rPr>
        <w:t> </w:t>
      </w:r>
      <w:r>
        <w:rPr>
          <w:color w:val="231F20"/>
          <w:spacing w:val="-1"/>
        </w:rPr>
        <w:t>incidence</w:t>
      </w:r>
      <w:r>
        <w:rPr>
          <w:color w:val="231F20"/>
          <w:spacing w:val="-5"/>
        </w:rPr>
        <w:t> </w:t>
      </w:r>
      <w:r>
        <w:rPr>
          <w:color w:val="231F20"/>
        </w:rPr>
        <w:t>of</w:t>
      </w:r>
      <w:r>
        <w:rPr>
          <w:color w:val="231F20"/>
          <w:spacing w:val="23"/>
          <w:w w:val="99"/>
        </w:rPr>
        <w:t> </w:t>
      </w:r>
      <w:r>
        <w:rPr>
          <w:color w:val="231F20"/>
        </w:rPr>
        <w:t>homesickness</w:t>
      </w:r>
      <w:r>
        <w:rPr>
          <w:color w:val="231F20"/>
          <w:spacing w:val="-5"/>
        </w:rPr>
        <w:t> </w:t>
      </w:r>
      <w:r>
        <w:rPr>
          <w:color w:val="231F20"/>
        </w:rPr>
        <w:t>and</w:t>
      </w:r>
      <w:r>
        <w:rPr>
          <w:color w:val="231F20"/>
          <w:spacing w:val="-4"/>
        </w:rPr>
        <w:t> </w:t>
      </w:r>
      <w:r>
        <w:rPr>
          <w:color w:val="231F20"/>
        </w:rPr>
        <w:t>cultural</w:t>
      </w:r>
      <w:r>
        <w:rPr>
          <w:color w:val="231F20"/>
          <w:spacing w:val="-4"/>
        </w:rPr>
        <w:t> </w:t>
      </w:r>
      <w:r>
        <w:rPr>
          <w:color w:val="231F20"/>
        </w:rPr>
        <w:t>and</w:t>
      </w:r>
      <w:r>
        <w:rPr>
          <w:color w:val="231F20"/>
          <w:spacing w:val="-5"/>
        </w:rPr>
        <w:t> </w:t>
      </w:r>
      <w:r>
        <w:rPr>
          <w:color w:val="231F20"/>
        </w:rPr>
        <w:t>community</w:t>
      </w:r>
      <w:r>
        <w:rPr>
          <w:color w:val="231F20"/>
        </w:rPr>
        <w:t> disconnect.</w:t>
      </w:r>
      <w:r>
        <w:rPr>
          <w:color w:val="231F20"/>
          <w:spacing w:val="-9"/>
        </w:rPr>
        <w:t> </w:t>
      </w:r>
      <w:r>
        <w:rPr>
          <w:color w:val="231F20"/>
          <w:spacing w:val="-1"/>
        </w:rPr>
        <w:t>Smaller</w:t>
      </w:r>
      <w:r>
        <w:rPr>
          <w:color w:val="231F20"/>
          <w:spacing w:val="-8"/>
        </w:rPr>
        <w:t> </w:t>
      </w:r>
      <w:r>
        <w:rPr>
          <w:color w:val="231F20"/>
        </w:rPr>
        <w:t>boarding</w:t>
      </w:r>
      <w:r>
        <w:rPr>
          <w:color w:val="231F20"/>
          <w:spacing w:val="-8"/>
        </w:rPr>
        <w:t> </w:t>
      </w:r>
      <w:r>
        <w:rPr>
          <w:color w:val="231F20"/>
        </w:rPr>
        <w:t>providers</w:t>
      </w:r>
      <w:r>
        <w:rPr>
          <w:color w:val="231F20"/>
          <w:spacing w:val="-9"/>
        </w:rPr>
        <w:t> </w:t>
      </w:r>
      <w:r>
        <w:rPr>
          <w:color w:val="231F20"/>
        </w:rPr>
        <w:t>are</w:t>
      </w:r>
      <w:r>
        <w:rPr>
          <w:color w:val="231F20"/>
          <w:spacing w:val="-8"/>
        </w:rPr>
        <w:t> </w:t>
      </w:r>
      <w:r>
        <w:rPr>
          <w:color w:val="231F20"/>
        </w:rPr>
        <w:t>able</w:t>
      </w:r>
      <w:r>
        <w:rPr>
          <w:color w:val="231F20"/>
          <w:spacing w:val="26"/>
          <w:w w:val="99"/>
        </w:rPr>
        <w:t> </w:t>
      </w:r>
      <w:r>
        <w:rPr>
          <w:rFonts w:ascii="Segoe UI"/>
          <w:color w:val="231F20"/>
        </w:rPr>
        <w:t>to provide flexible tailored services for high</w:t>
      </w:r>
      <w:r>
        <w:rPr>
          <w:rFonts w:ascii="Segoe UI"/>
          <w:color w:val="231F20"/>
        </w:rPr>
        <w:t> </w:t>
      </w:r>
      <w:r>
        <w:rPr>
          <w:color w:val="231F20"/>
        </w:rPr>
        <w:t>needs</w:t>
      </w:r>
      <w:r>
        <w:rPr>
          <w:color w:val="231F20"/>
          <w:spacing w:val="-5"/>
        </w:rPr>
        <w:t> </w:t>
      </w:r>
      <w:r>
        <w:rPr>
          <w:color w:val="231F20"/>
        </w:rPr>
        <w:t>boarding</w:t>
      </w:r>
      <w:r>
        <w:rPr>
          <w:color w:val="231F20"/>
          <w:spacing w:val="-5"/>
        </w:rPr>
        <w:t> </w:t>
      </w:r>
      <w:r>
        <w:rPr>
          <w:color w:val="231F20"/>
          <w:spacing w:val="-1"/>
        </w:rPr>
        <w:t>students</w:t>
      </w:r>
      <w:r>
        <w:rPr>
          <w:color w:val="231F20"/>
          <w:spacing w:val="-4"/>
        </w:rPr>
        <w:t> </w:t>
      </w:r>
      <w:r>
        <w:rPr>
          <w:color w:val="231F20"/>
        </w:rPr>
        <w:t>and</w:t>
      </w:r>
      <w:r>
        <w:rPr>
          <w:color w:val="231F20"/>
          <w:spacing w:val="-5"/>
        </w:rPr>
        <w:t> </w:t>
      </w:r>
      <w:r>
        <w:rPr>
          <w:color w:val="231F20"/>
        </w:rPr>
        <w:t>adapt</w:t>
      </w:r>
      <w:r>
        <w:rPr>
          <w:color w:val="231F20"/>
          <w:spacing w:val="-5"/>
        </w:rPr>
        <w:t> </w:t>
      </w:r>
      <w:r>
        <w:rPr>
          <w:color w:val="231F20"/>
        </w:rPr>
        <w:t>faster</w:t>
      </w:r>
      <w:r>
        <w:rPr>
          <w:color w:val="231F20"/>
          <w:spacing w:val="-4"/>
        </w:rPr>
        <w:t> </w:t>
      </w:r>
      <w:r>
        <w:rPr>
          <w:color w:val="231F20"/>
        </w:rPr>
        <w:t>to</w:t>
      </w:r>
      <w:r>
        <w:rPr>
          <w:color w:val="231F20"/>
          <w:spacing w:val="22"/>
          <w:w w:val="99"/>
        </w:rPr>
        <w:t> </w:t>
      </w:r>
      <w:r>
        <w:rPr>
          <w:color w:val="231F20"/>
        </w:rPr>
        <w:t>changing</w:t>
      </w:r>
      <w:r>
        <w:rPr>
          <w:color w:val="231F20"/>
          <w:spacing w:val="-6"/>
        </w:rPr>
        <w:t> </w:t>
      </w:r>
      <w:r>
        <w:rPr>
          <w:color w:val="231F20"/>
        </w:rPr>
        <w:t>revenue,</w:t>
      </w:r>
      <w:r>
        <w:rPr>
          <w:color w:val="231F20"/>
          <w:spacing w:val="-6"/>
        </w:rPr>
        <w:t> </w:t>
      </w:r>
      <w:r>
        <w:rPr>
          <w:color w:val="231F20"/>
        </w:rPr>
        <w:t>enrolments</w:t>
      </w:r>
      <w:r>
        <w:rPr>
          <w:color w:val="231F20"/>
          <w:spacing w:val="-6"/>
        </w:rPr>
        <w:t> </w:t>
      </w:r>
      <w:r>
        <w:rPr>
          <w:color w:val="231F20"/>
        </w:rPr>
        <w:t>and</w:t>
      </w:r>
      <w:r>
        <w:rPr>
          <w:color w:val="231F20"/>
          <w:spacing w:val="-5"/>
        </w:rPr>
        <w:t> </w:t>
      </w:r>
      <w:r>
        <w:rPr>
          <w:color w:val="231F20"/>
        </w:rPr>
        <w:t>costs.</w:t>
      </w:r>
      <w:r>
        <w:rPr/>
      </w:r>
    </w:p>
    <w:p>
      <w:pPr>
        <w:pStyle w:val="BodyText"/>
        <w:spacing w:line="250" w:lineRule="exact" w:before="113"/>
        <w:ind w:left="100" w:right="0"/>
        <w:jc w:val="left"/>
        <w:rPr>
          <w:rFonts w:ascii="Segoe UI" w:hAnsi="Segoe UI" w:cs="Segoe UI" w:eastAsia="Segoe UI"/>
        </w:rPr>
      </w:pPr>
      <w:r>
        <w:rPr>
          <w:color w:val="231F20"/>
        </w:rPr>
        <w:t>The</w:t>
      </w:r>
      <w:r>
        <w:rPr>
          <w:color w:val="231F20"/>
          <w:spacing w:val="-5"/>
        </w:rPr>
        <w:t> </w:t>
      </w:r>
      <w:r>
        <w:rPr>
          <w:color w:val="231F20"/>
        </w:rPr>
        <w:t>transition</w:t>
      </w:r>
      <w:r>
        <w:rPr>
          <w:color w:val="231F20"/>
          <w:spacing w:val="-6"/>
        </w:rPr>
        <w:t> </w:t>
      </w:r>
      <w:r>
        <w:rPr>
          <w:color w:val="231F20"/>
          <w:spacing w:val="-1"/>
        </w:rPr>
        <w:t>in</w:t>
      </w:r>
      <w:r>
        <w:rPr>
          <w:color w:val="231F20"/>
          <w:spacing w:val="-5"/>
        </w:rPr>
        <w:t> </w:t>
      </w:r>
      <w:r>
        <w:rPr>
          <w:color w:val="231F20"/>
        </w:rPr>
        <w:t>the</w:t>
      </w:r>
      <w:r>
        <w:rPr>
          <w:color w:val="231F20"/>
          <w:spacing w:val="-5"/>
        </w:rPr>
        <w:t> </w:t>
      </w:r>
      <w:r>
        <w:rPr>
          <w:color w:val="231F20"/>
          <w:spacing w:val="-1"/>
        </w:rPr>
        <w:t>sector</w:t>
      </w:r>
      <w:r>
        <w:rPr>
          <w:color w:val="231F20"/>
          <w:spacing w:val="-5"/>
        </w:rPr>
        <w:t> </w:t>
      </w:r>
      <w:r>
        <w:rPr>
          <w:color w:val="231F20"/>
        </w:rPr>
        <w:t>away</w:t>
      </w:r>
      <w:r>
        <w:rPr>
          <w:color w:val="231F20"/>
          <w:spacing w:val="-6"/>
        </w:rPr>
        <w:t> </w:t>
      </w:r>
      <w:r>
        <w:rPr>
          <w:color w:val="231F20"/>
        </w:rPr>
        <w:t>from</w:t>
      </w:r>
      <w:r>
        <w:rPr>
          <w:color w:val="231F20"/>
          <w:spacing w:val="-4"/>
        </w:rPr>
        <w:t> </w:t>
      </w:r>
      <w:r>
        <w:rPr>
          <w:color w:val="231F20"/>
          <w:spacing w:val="-1"/>
        </w:rPr>
        <w:t>large</w:t>
      </w:r>
      <w:r>
        <w:rPr>
          <w:color w:val="231F20"/>
          <w:spacing w:val="22"/>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6"/>
        </w:rPr>
        <w:t> </w:t>
      </w:r>
      <w:r>
        <w:rPr>
          <w:color w:val="231F20"/>
        </w:rPr>
        <w:t>has</w:t>
      </w:r>
      <w:r>
        <w:rPr>
          <w:color w:val="231F20"/>
          <w:spacing w:val="-5"/>
        </w:rPr>
        <w:t> </w:t>
      </w:r>
      <w:r>
        <w:rPr>
          <w:color w:val="231F20"/>
        </w:rPr>
        <w:t>had</w:t>
      </w:r>
      <w:r>
        <w:rPr>
          <w:color w:val="231F20"/>
          <w:spacing w:val="-4"/>
        </w:rPr>
        <w:t> </w:t>
      </w:r>
      <w:r>
        <w:rPr>
          <w:color w:val="231F20"/>
        </w:rPr>
        <w:t>an</w:t>
      </w:r>
      <w:r>
        <w:rPr>
          <w:color w:val="231F20"/>
          <w:spacing w:val="-5"/>
        </w:rPr>
        <w:t> </w:t>
      </w:r>
      <w:r>
        <w:rPr>
          <w:color w:val="231F20"/>
          <w:spacing w:val="-1"/>
        </w:rPr>
        <w:t>impact</w:t>
      </w:r>
      <w:r>
        <w:rPr>
          <w:color w:val="231F20"/>
          <w:spacing w:val="-4"/>
        </w:rPr>
        <w:t> </w:t>
      </w:r>
      <w:r>
        <w:rPr>
          <w:color w:val="231F20"/>
        </w:rPr>
        <w:t>on</w:t>
      </w:r>
      <w:r>
        <w:rPr>
          <w:color w:val="231F20"/>
          <w:spacing w:val="-5"/>
        </w:rPr>
        <w:t> </w:t>
      </w:r>
      <w:r>
        <w:rPr>
          <w:color w:val="231F20"/>
        </w:rPr>
        <w:t>the</w:t>
      </w:r>
      <w:r>
        <w:rPr>
          <w:color w:val="231F20"/>
          <w:spacing w:val="-5"/>
        </w:rPr>
        <w:t> </w:t>
      </w:r>
      <w:r>
        <w:rPr>
          <w:color w:val="231F20"/>
          <w:spacing w:val="-1"/>
        </w:rPr>
        <w:t>large</w:t>
      </w:r>
      <w:r>
        <w:rPr>
          <w:color w:val="231F20"/>
          <w:spacing w:val="21"/>
          <w:w w:val="99"/>
        </w:rPr>
        <w:t> </w:t>
      </w:r>
      <w:r>
        <w:rPr>
          <w:color w:val="231F20"/>
        </w:rPr>
        <w:t>providers</w:t>
      </w:r>
      <w:r>
        <w:rPr>
          <w:color w:val="231F20"/>
          <w:spacing w:val="-6"/>
        </w:rPr>
        <w:t> </w:t>
      </w:r>
      <w:r>
        <w:rPr>
          <w:color w:val="231F20"/>
          <w:spacing w:val="-1"/>
        </w:rPr>
        <w:t>in</w:t>
      </w:r>
      <w:r>
        <w:rPr>
          <w:color w:val="231F20"/>
          <w:spacing w:val="-6"/>
        </w:rPr>
        <w:t> </w:t>
      </w:r>
      <w:r>
        <w:rPr>
          <w:color w:val="231F20"/>
        </w:rPr>
        <w:t>terms</w:t>
      </w:r>
      <w:r>
        <w:rPr>
          <w:color w:val="231F20"/>
          <w:spacing w:val="-6"/>
        </w:rPr>
        <w:t> </w:t>
      </w:r>
      <w:r>
        <w:rPr>
          <w:color w:val="231F20"/>
        </w:rPr>
        <w:t>of</w:t>
      </w:r>
      <w:r>
        <w:rPr>
          <w:color w:val="231F20"/>
          <w:spacing w:val="-5"/>
        </w:rPr>
        <w:t> </w:t>
      </w:r>
      <w:r>
        <w:rPr>
          <w:color w:val="231F20"/>
        </w:rPr>
        <w:t>enrolment</w:t>
      </w:r>
      <w:r>
        <w:rPr>
          <w:color w:val="231F20"/>
          <w:spacing w:val="-6"/>
        </w:rPr>
        <w:t> </w:t>
      </w:r>
      <w:r>
        <w:rPr>
          <w:color w:val="231F20"/>
        </w:rPr>
        <w:t>numbers</w:t>
      </w:r>
      <w:r>
        <w:rPr>
          <w:color w:val="231F20"/>
          <w:spacing w:val="-6"/>
        </w:rPr>
        <w:t> </w:t>
      </w:r>
      <w:r>
        <w:rPr>
          <w:color w:val="231F20"/>
        </w:rPr>
        <w:t>and</w:t>
      </w:r>
      <w:r>
        <w:rPr>
          <w:color w:val="231F20"/>
          <w:spacing w:val="21"/>
          <w:w w:val="99"/>
        </w:rPr>
        <w:t> </w:t>
      </w:r>
      <w:r>
        <w:rPr>
          <w:rFonts w:ascii="Segoe UI"/>
          <w:color w:val="231F20"/>
        </w:rPr>
        <w:t>financial performance.</w:t>
      </w:r>
      <w:r>
        <w:rPr>
          <w:rFonts w:ascii="Segoe UI"/>
        </w:rPr>
      </w:r>
    </w:p>
    <w:p>
      <w:pPr>
        <w:pStyle w:val="BodyText"/>
        <w:spacing w:line="250" w:lineRule="exact" w:before="113"/>
        <w:ind w:left="100" w:right="0"/>
        <w:jc w:val="left"/>
      </w:pPr>
      <w:r>
        <w:rPr>
          <w:color w:val="231F20"/>
          <w:spacing w:val="-1"/>
        </w:rPr>
        <w:t>Some</w:t>
      </w:r>
      <w:r>
        <w:rPr>
          <w:color w:val="231F20"/>
          <w:spacing w:val="-5"/>
        </w:rPr>
        <w:t> </w:t>
      </w:r>
      <w:r>
        <w:rPr>
          <w:color w:val="231F20"/>
        </w:rPr>
        <w:t>Aboriginal</w:t>
      </w:r>
      <w:r>
        <w:rPr>
          <w:color w:val="231F20"/>
          <w:spacing w:val="-5"/>
        </w:rPr>
        <w:t> </w:t>
      </w:r>
      <w:r>
        <w:rPr>
          <w:color w:val="231F20"/>
        </w:rPr>
        <w:t>and</w:t>
      </w:r>
      <w:r>
        <w:rPr>
          <w:color w:val="231F20"/>
          <w:spacing w:val="-5"/>
        </w:rPr>
        <w:t> Torres</w:t>
      </w:r>
      <w:r>
        <w:rPr>
          <w:color w:val="231F20"/>
          <w:spacing w:val="-4"/>
        </w:rPr>
        <w:t> </w:t>
      </w:r>
      <w:r>
        <w:rPr>
          <w:color w:val="231F20"/>
          <w:spacing w:val="-2"/>
        </w:rPr>
        <w:t>Strait</w:t>
      </w:r>
      <w:r>
        <w:rPr>
          <w:color w:val="231F20"/>
          <w:spacing w:val="-6"/>
        </w:rPr>
        <w:t> </w:t>
      </w:r>
      <w:r>
        <w:rPr>
          <w:color w:val="231F20"/>
          <w:spacing w:val="-1"/>
        </w:rPr>
        <w:t>Islander</w:t>
      </w:r>
      <w:r>
        <w:rPr>
          <w:color w:val="231F20"/>
          <w:spacing w:val="20"/>
          <w:w w:val="99"/>
        </w:rPr>
        <w:t> </w:t>
      </w:r>
      <w:r>
        <w:rPr>
          <w:color w:val="231F20"/>
        </w:rPr>
        <w:t>boarding</w:t>
      </w:r>
      <w:r>
        <w:rPr>
          <w:color w:val="231F20"/>
          <w:spacing w:val="-7"/>
        </w:rPr>
        <w:t> </w:t>
      </w:r>
      <w:r>
        <w:rPr>
          <w:color w:val="231F20"/>
        </w:rPr>
        <w:t>providers</w:t>
      </w:r>
      <w:r>
        <w:rPr>
          <w:color w:val="231F20"/>
          <w:spacing w:val="-6"/>
        </w:rPr>
        <w:t> </w:t>
      </w:r>
      <w:r>
        <w:rPr>
          <w:color w:val="231F20"/>
          <w:spacing w:val="-1"/>
        </w:rPr>
        <w:t>may</w:t>
      </w:r>
      <w:r>
        <w:rPr>
          <w:color w:val="231F20"/>
          <w:spacing w:val="-5"/>
        </w:rPr>
        <w:t> </w:t>
      </w:r>
      <w:r>
        <w:rPr>
          <w:color w:val="231F20"/>
        </w:rPr>
        <w:t>require</w:t>
      </w:r>
      <w:r>
        <w:rPr>
          <w:color w:val="231F20"/>
          <w:spacing w:val="-7"/>
        </w:rPr>
        <w:t> </w:t>
      </w:r>
      <w:r>
        <w:rPr>
          <w:color w:val="231F20"/>
        </w:rPr>
        <w:t>assistance</w:t>
      </w:r>
      <w:r>
        <w:rPr>
          <w:color w:val="231F20"/>
          <w:spacing w:val="-6"/>
        </w:rPr>
        <w:t> </w:t>
      </w:r>
      <w:r>
        <w:rPr>
          <w:color w:val="231F20"/>
        </w:rPr>
        <w:t>with</w:t>
      </w:r>
      <w:r>
        <w:rPr>
          <w:color w:val="231F20"/>
          <w:spacing w:val="21"/>
          <w:w w:val="99"/>
        </w:rPr>
        <w:t> </w:t>
      </w:r>
      <w:r>
        <w:rPr>
          <w:color w:val="231F20"/>
        </w:rPr>
        <w:t>restructuring</w:t>
      </w:r>
      <w:r>
        <w:rPr>
          <w:color w:val="231F20"/>
          <w:spacing w:val="-7"/>
        </w:rPr>
        <w:t> </w:t>
      </w:r>
      <w:r>
        <w:rPr>
          <w:color w:val="231F20"/>
        </w:rPr>
        <w:t>to</w:t>
      </w:r>
      <w:r>
        <w:rPr>
          <w:color w:val="231F20"/>
          <w:spacing w:val="-5"/>
        </w:rPr>
        <w:t> </w:t>
      </w:r>
      <w:r>
        <w:rPr>
          <w:color w:val="231F20"/>
          <w:spacing w:val="-1"/>
        </w:rPr>
        <w:t>meet</w:t>
      </w:r>
      <w:r>
        <w:rPr>
          <w:color w:val="231F20"/>
          <w:spacing w:val="-5"/>
        </w:rPr>
        <w:t> </w:t>
      </w:r>
      <w:r>
        <w:rPr>
          <w:color w:val="231F20"/>
        </w:rPr>
        <w:t>the</w:t>
      </w:r>
      <w:r>
        <w:rPr>
          <w:color w:val="231F20"/>
          <w:spacing w:val="-6"/>
        </w:rPr>
        <w:t> </w:t>
      </w:r>
      <w:r>
        <w:rPr>
          <w:color w:val="231F20"/>
        </w:rPr>
        <w:t>challenges</w:t>
      </w:r>
      <w:r>
        <w:rPr>
          <w:color w:val="231F20"/>
          <w:spacing w:val="-6"/>
        </w:rPr>
        <w:t> </w:t>
      </w:r>
      <w:r>
        <w:rPr>
          <w:color w:val="231F20"/>
        </w:rPr>
        <w:t>of</w:t>
      </w:r>
      <w:r>
        <w:rPr>
          <w:color w:val="231F20"/>
          <w:spacing w:val="-5"/>
        </w:rPr>
        <w:t> </w:t>
      </w:r>
      <w:r>
        <w:rPr>
          <w:color w:val="231F20"/>
        </w:rPr>
        <w:t>the</w:t>
      </w:r>
      <w:r>
        <w:rPr>
          <w:color w:val="231F20"/>
          <w:spacing w:val="21"/>
          <w:w w:val="99"/>
        </w:rPr>
        <w:t> </w:t>
      </w:r>
      <w:r>
        <w:rPr>
          <w:color w:val="231F20"/>
        </w:rPr>
        <w:t>changing</w:t>
      </w:r>
      <w:r>
        <w:rPr>
          <w:color w:val="231F20"/>
          <w:spacing w:val="-6"/>
        </w:rPr>
        <w:t> </w:t>
      </w:r>
      <w:r>
        <w:rPr>
          <w:color w:val="231F20"/>
        </w:rPr>
        <w:t>trends</w:t>
      </w:r>
      <w:r>
        <w:rPr>
          <w:color w:val="231F20"/>
          <w:spacing w:val="-6"/>
        </w:rPr>
        <w:t> </w:t>
      </w:r>
      <w:r>
        <w:rPr>
          <w:color w:val="231F20"/>
          <w:spacing w:val="-1"/>
        </w:rPr>
        <w:t>in</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 </w:t>
      </w:r>
      <w:r>
        <w:rPr>
          <w:color w:val="231F20"/>
          <w:spacing w:val="-2"/>
        </w:rPr>
        <w:t>Strait</w:t>
      </w:r>
      <w:r>
        <w:rPr>
          <w:color w:val="231F20"/>
          <w:spacing w:val="21"/>
          <w:w w:val="99"/>
        </w:rPr>
        <w:t> </w:t>
      </w:r>
      <w:r>
        <w:rPr>
          <w:color w:val="231F20"/>
          <w:spacing w:val="-1"/>
        </w:rPr>
        <w:t>Islander</w:t>
      </w:r>
      <w:r>
        <w:rPr>
          <w:color w:val="231F20"/>
          <w:spacing w:val="-16"/>
        </w:rPr>
        <w:t> </w:t>
      </w:r>
      <w:r>
        <w:rPr>
          <w:color w:val="231F20"/>
        </w:rPr>
        <w:t>boarding.</w:t>
      </w:r>
      <w:r>
        <w:rPr/>
      </w:r>
    </w:p>
    <w:p>
      <w:pPr>
        <w:pStyle w:val="BodyText"/>
        <w:spacing w:line="250" w:lineRule="exact" w:before="65"/>
        <w:ind w:left="100" w:right="243"/>
        <w:jc w:val="left"/>
      </w:pPr>
      <w:r>
        <w:rPr/>
        <w:br w:type="column"/>
      </w:r>
      <w:r>
        <w:rPr>
          <w:color w:val="231F20"/>
          <w:spacing w:val="-1"/>
        </w:rPr>
        <w:t>Scholarship</w:t>
      </w:r>
      <w:r>
        <w:rPr>
          <w:color w:val="231F20"/>
          <w:spacing w:val="-4"/>
        </w:rPr>
        <w:t> </w:t>
      </w:r>
      <w:r>
        <w:rPr>
          <w:color w:val="231F20"/>
        </w:rPr>
        <w:t>and</w:t>
      </w:r>
      <w:r>
        <w:rPr>
          <w:color w:val="231F20"/>
          <w:spacing w:val="-5"/>
        </w:rPr>
        <w:t> </w:t>
      </w:r>
      <w:r>
        <w:rPr>
          <w:color w:val="231F20"/>
          <w:spacing w:val="-1"/>
        </w:rPr>
        <w:t>social</w:t>
      </w:r>
      <w:r>
        <w:rPr>
          <w:color w:val="231F20"/>
          <w:spacing w:val="-5"/>
        </w:rPr>
        <w:t> </w:t>
      </w:r>
      <w:r>
        <w:rPr>
          <w:color w:val="231F20"/>
        </w:rPr>
        <w:t>programs</w:t>
      </w:r>
      <w:r>
        <w:rPr>
          <w:color w:val="231F20"/>
          <w:spacing w:val="-5"/>
        </w:rPr>
        <w:t> </w:t>
      </w:r>
      <w:r>
        <w:rPr>
          <w:color w:val="231F20"/>
        </w:rPr>
        <w:t>have</w:t>
      </w:r>
      <w:r>
        <w:rPr>
          <w:color w:val="231F20"/>
          <w:spacing w:val="-5"/>
        </w:rPr>
        <w:t> </w:t>
      </w:r>
      <w:r>
        <w:rPr>
          <w:color w:val="231F20"/>
        </w:rPr>
        <w:t>also</w:t>
      </w:r>
      <w:r>
        <w:rPr>
          <w:color w:val="231F20"/>
          <w:spacing w:val="-6"/>
        </w:rPr>
        <w:t> </w:t>
      </w:r>
      <w:r>
        <w:rPr>
          <w:color w:val="231F20"/>
          <w:spacing w:val="-1"/>
        </w:rPr>
        <w:t>led</w:t>
      </w:r>
      <w:r>
        <w:rPr>
          <w:color w:val="231F20"/>
          <w:spacing w:val="23"/>
        </w:rPr>
        <w:t> </w:t>
      </w:r>
      <w:r>
        <w:rPr>
          <w:color w:val="231F20"/>
        </w:rPr>
        <w:t>to</w:t>
      </w:r>
      <w:r>
        <w:rPr>
          <w:color w:val="231F20"/>
          <w:spacing w:val="-5"/>
        </w:rPr>
        <w:t> </w:t>
      </w:r>
      <w:r>
        <w:rPr>
          <w:color w:val="231F20"/>
        </w:rPr>
        <w:t>changes</w:t>
      </w:r>
      <w:r>
        <w:rPr>
          <w:color w:val="231F20"/>
          <w:spacing w:val="-6"/>
        </w:rPr>
        <w:t> </w:t>
      </w:r>
      <w:r>
        <w:rPr>
          <w:color w:val="231F20"/>
          <w:spacing w:val="-1"/>
        </w:rPr>
        <w:t>in</w:t>
      </w:r>
      <w:r>
        <w:rPr>
          <w:color w:val="231F20"/>
          <w:spacing w:val="-5"/>
        </w:rPr>
        <w:t> </w:t>
      </w:r>
      <w:r>
        <w:rPr>
          <w:color w:val="231F20"/>
        </w:rPr>
        <w:t>the</w:t>
      </w:r>
      <w:r>
        <w:rPr>
          <w:color w:val="231F20"/>
          <w:spacing w:val="-6"/>
        </w:rPr>
        <w:t> </w:t>
      </w:r>
      <w:r>
        <w:rPr>
          <w:color w:val="231F20"/>
          <w:spacing w:val="-1"/>
        </w:rPr>
        <w:t>sector.</w:t>
      </w:r>
      <w:r>
        <w:rPr>
          <w:color w:val="231F20"/>
          <w:spacing w:val="-5"/>
        </w:rPr>
        <w:t> </w:t>
      </w:r>
      <w:r>
        <w:rPr>
          <w:color w:val="231F20"/>
        </w:rPr>
        <w:t>Greater</w:t>
      </w:r>
      <w:r>
        <w:rPr>
          <w:color w:val="231F20"/>
          <w:spacing w:val="-5"/>
        </w:rPr>
        <w:t> </w:t>
      </w:r>
      <w:r>
        <w:rPr>
          <w:color w:val="231F20"/>
        </w:rPr>
        <w:t>numbers</w:t>
      </w:r>
      <w:r>
        <w:rPr>
          <w:color w:val="231F20"/>
          <w:spacing w:val="-5"/>
        </w:rPr>
        <w:t> </w:t>
      </w:r>
      <w:r>
        <w:rPr>
          <w:color w:val="231F20"/>
        </w:rPr>
        <w:t>of</w:t>
      </w:r>
      <w:r>
        <w:rPr>
          <w:color w:val="231F20"/>
          <w:spacing w:val="23"/>
          <w:w w:val="99"/>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5"/>
        </w:rPr>
        <w:t> </w:t>
      </w:r>
      <w:r>
        <w:rPr>
          <w:color w:val="231F20"/>
          <w:spacing w:val="-1"/>
        </w:rPr>
        <w:t>Islander</w:t>
      </w:r>
      <w:r>
        <w:rPr>
          <w:color w:val="231F20"/>
          <w:spacing w:val="-5"/>
        </w:rPr>
        <w:t> </w:t>
      </w:r>
      <w:r>
        <w:rPr>
          <w:color w:val="231F20"/>
          <w:spacing w:val="-1"/>
        </w:rPr>
        <w:t>students</w:t>
      </w:r>
      <w:r>
        <w:rPr>
          <w:color w:val="231F20"/>
          <w:spacing w:val="20"/>
        </w:rPr>
        <w:t> </w:t>
      </w:r>
      <w:r>
        <w:rPr>
          <w:color w:val="231F20"/>
        </w:rPr>
        <w:t>now</w:t>
      </w:r>
      <w:r>
        <w:rPr>
          <w:color w:val="231F20"/>
          <w:spacing w:val="-5"/>
        </w:rPr>
        <w:t> </w:t>
      </w:r>
      <w:r>
        <w:rPr>
          <w:color w:val="231F20"/>
        </w:rPr>
        <w:t>have</w:t>
      </w:r>
      <w:r>
        <w:rPr>
          <w:color w:val="231F20"/>
          <w:spacing w:val="-6"/>
        </w:rPr>
        <w:t> </w:t>
      </w:r>
      <w:r>
        <w:rPr>
          <w:color w:val="231F20"/>
        </w:rPr>
        <w:t>the</w:t>
      </w:r>
      <w:r>
        <w:rPr>
          <w:color w:val="231F20"/>
          <w:spacing w:val="-6"/>
        </w:rPr>
        <w:t> </w:t>
      </w:r>
      <w:r>
        <w:rPr>
          <w:color w:val="231F20"/>
        </w:rPr>
        <w:t>opportunity</w:t>
      </w:r>
      <w:r>
        <w:rPr>
          <w:color w:val="231F20"/>
          <w:spacing w:val="-6"/>
        </w:rPr>
        <w:t> </w:t>
      </w:r>
      <w:r>
        <w:rPr>
          <w:color w:val="231F20"/>
        </w:rPr>
        <w:t>to</w:t>
      </w:r>
      <w:r>
        <w:rPr>
          <w:color w:val="231F20"/>
          <w:spacing w:val="-5"/>
        </w:rPr>
        <w:t> </w:t>
      </w:r>
      <w:r>
        <w:rPr>
          <w:color w:val="231F20"/>
        </w:rPr>
        <w:t>access</w:t>
      </w:r>
      <w:r>
        <w:rPr>
          <w:color w:val="231F20"/>
          <w:spacing w:val="-6"/>
        </w:rPr>
        <w:t> </w:t>
      </w:r>
      <w:r>
        <w:rPr>
          <w:color w:val="231F20"/>
          <w:spacing w:val="-1"/>
        </w:rPr>
        <w:t>leading</w:t>
      </w:r>
      <w:r>
        <w:rPr>
          <w:color w:val="231F20"/>
          <w:spacing w:val="20"/>
          <w:w w:val="99"/>
        </w:rPr>
        <w:t> </w:t>
      </w:r>
      <w:r>
        <w:rPr>
          <w:color w:val="231F20"/>
        </w:rPr>
        <w:t>Australian</w:t>
      </w:r>
      <w:r>
        <w:rPr>
          <w:color w:val="231F20"/>
          <w:spacing w:val="-4"/>
        </w:rPr>
        <w:t> </w:t>
      </w:r>
      <w:r>
        <w:rPr>
          <w:color w:val="231F20"/>
          <w:spacing w:val="-1"/>
        </w:rPr>
        <w:t>schools</w:t>
      </w:r>
      <w:r>
        <w:rPr>
          <w:color w:val="231F20"/>
          <w:spacing w:val="-4"/>
        </w:rPr>
        <w:t> </w:t>
      </w:r>
      <w:r>
        <w:rPr>
          <w:color w:val="231F20"/>
          <w:spacing w:val="-1"/>
        </w:rPr>
        <w:t>in</w:t>
      </w:r>
      <w:r>
        <w:rPr>
          <w:color w:val="231F20"/>
          <w:spacing w:val="-4"/>
        </w:rPr>
        <w:t> </w:t>
      </w:r>
      <w:r>
        <w:rPr>
          <w:color w:val="231F20"/>
          <w:spacing w:val="-1"/>
        </w:rPr>
        <w:t>state</w:t>
      </w:r>
      <w:r>
        <w:rPr>
          <w:color w:val="231F20"/>
          <w:spacing w:val="-3"/>
        </w:rPr>
        <w:t> </w:t>
      </w:r>
      <w:r>
        <w:rPr>
          <w:color w:val="231F20"/>
        </w:rPr>
        <w:t>capital</w:t>
      </w:r>
      <w:r>
        <w:rPr>
          <w:color w:val="231F20"/>
          <w:spacing w:val="-5"/>
        </w:rPr>
        <w:t> </w:t>
      </w:r>
      <w:r>
        <w:rPr>
          <w:color w:val="231F20"/>
        </w:rPr>
        <w:t>cities</w:t>
      </w:r>
      <w:r>
        <w:rPr>
          <w:color w:val="231F20"/>
          <w:spacing w:val="-5"/>
        </w:rPr>
        <w:t> </w:t>
      </w:r>
      <w:r>
        <w:rPr>
          <w:color w:val="231F20"/>
        </w:rPr>
        <w:t>and</w:t>
      </w:r>
      <w:r>
        <w:rPr>
          <w:color w:val="231F20"/>
          <w:spacing w:val="24"/>
          <w:w w:val="99"/>
        </w:rPr>
        <w:t> </w:t>
      </w:r>
      <w:r>
        <w:rPr>
          <w:color w:val="231F20"/>
          <w:spacing w:val="-1"/>
        </w:rPr>
        <w:t>major</w:t>
      </w:r>
      <w:r>
        <w:rPr>
          <w:color w:val="231F20"/>
          <w:spacing w:val="-8"/>
        </w:rPr>
        <w:t> </w:t>
      </w:r>
      <w:r>
        <w:rPr>
          <w:color w:val="231F20"/>
        </w:rPr>
        <w:t>regional</w:t>
      </w:r>
      <w:r>
        <w:rPr>
          <w:color w:val="231F20"/>
          <w:spacing w:val="-8"/>
        </w:rPr>
        <w:t> </w:t>
      </w:r>
      <w:r>
        <w:rPr>
          <w:color w:val="231F20"/>
        </w:rPr>
        <w:t>centres</w:t>
      </w:r>
      <w:r>
        <w:rPr>
          <w:color w:val="231F20"/>
          <w:spacing w:val="-8"/>
        </w:rPr>
        <w:t> </w:t>
      </w:r>
      <w:r>
        <w:rPr>
          <w:color w:val="231F20"/>
        </w:rPr>
        <w:t>around</w:t>
      </w:r>
      <w:r>
        <w:rPr>
          <w:color w:val="231F20"/>
          <w:spacing w:val="-7"/>
        </w:rPr>
        <w:t> </w:t>
      </w:r>
      <w:r>
        <w:rPr>
          <w:color w:val="231F20"/>
        </w:rPr>
        <w:t>the</w:t>
      </w:r>
      <w:r>
        <w:rPr>
          <w:color w:val="231F20"/>
          <w:spacing w:val="-8"/>
        </w:rPr>
        <w:t> </w:t>
      </w:r>
      <w:r>
        <w:rPr>
          <w:color w:val="231F20"/>
        </w:rPr>
        <w:t>country.</w:t>
      </w:r>
      <w:r>
        <w:rPr/>
      </w:r>
    </w:p>
    <w:p>
      <w:pPr>
        <w:pStyle w:val="BodyText"/>
        <w:spacing w:line="250" w:lineRule="exact"/>
        <w:ind w:left="100" w:right="203"/>
        <w:jc w:val="left"/>
      </w:pPr>
      <w:r>
        <w:rPr>
          <w:color w:val="231F20"/>
        </w:rPr>
        <w:t>These</w:t>
      </w:r>
      <w:r>
        <w:rPr>
          <w:color w:val="231F20"/>
          <w:spacing w:val="-7"/>
        </w:rPr>
        <w:t> </w:t>
      </w:r>
      <w:r>
        <w:rPr>
          <w:color w:val="231F20"/>
        </w:rPr>
        <w:t>programs</w:t>
      </w:r>
      <w:r>
        <w:rPr>
          <w:color w:val="231F20"/>
          <w:spacing w:val="-7"/>
        </w:rPr>
        <w:t> </w:t>
      </w:r>
      <w:r>
        <w:rPr>
          <w:color w:val="231F20"/>
        </w:rPr>
        <w:t>usually</w:t>
      </w:r>
      <w:r>
        <w:rPr>
          <w:color w:val="231F20"/>
          <w:spacing w:val="-6"/>
        </w:rPr>
        <w:t> </w:t>
      </w:r>
      <w:r>
        <w:rPr>
          <w:color w:val="231F20"/>
        </w:rPr>
        <w:t>target</w:t>
      </w:r>
      <w:r>
        <w:rPr>
          <w:color w:val="231F20"/>
          <w:spacing w:val="-7"/>
        </w:rPr>
        <w:t> </w:t>
      </w:r>
      <w:r>
        <w:rPr>
          <w:color w:val="231F20"/>
        </w:rPr>
        <w:t>high</w:t>
      </w:r>
      <w:r>
        <w:rPr>
          <w:color w:val="231F20"/>
          <w:spacing w:val="-6"/>
        </w:rPr>
        <w:t> </w:t>
      </w:r>
      <w:r>
        <w:rPr>
          <w:color w:val="231F20"/>
        </w:rPr>
        <w:t>performing</w:t>
      </w:r>
      <w:r>
        <w:rPr>
          <w:color w:val="231F20"/>
          <w:w w:val="99"/>
        </w:rPr>
        <w:t> </w:t>
      </w:r>
      <w:r>
        <w:rPr>
          <w:color w:val="231F20"/>
          <w:spacing w:val="-1"/>
        </w:rPr>
        <w:t>students</w:t>
      </w:r>
      <w:r>
        <w:rPr>
          <w:color w:val="231F20"/>
          <w:spacing w:val="-5"/>
        </w:rPr>
        <w:t> </w:t>
      </w:r>
      <w:r>
        <w:rPr>
          <w:color w:val="231F20"/>
        </w:rPr>
        <w:t>and</w:t>
      </w:r>
      <w:r>
        <w:rPr>
          <w:color w:val="231F20"/>
          <w:spacing w:val="-5"/>
        </w:rPr>
        <w:t> </w:t>
      </w:r>
      <w:r>
        <w:rPr>
          <w:color w:val="231F20"/>
        </w:rPr>
        <w:t>have</w:t>
      </w:r>
      <w:r>
        <w:rPr>
          <w:color w:val="231F20"/>
          <w:spacing w:val="-5"/>
        </w:rPr>
        <w:t> </w:t>
      </w:r>
      <w:r>
        <w:rPr>
          <w:color w:val="231F20"/>
          <w:spacing w:val="-1"/>
        </w:rPr>
        <w:t>impacted</w:t>
      </w:r>
      <w:r>
        <w:rPr>
          <w:color w:val="231F20"/>
          <w:spacing w:val="-4"/>
        </w:rPr>
        <w:t> </w:t>
      </w:r>
      <w:r>
        <w:rPr>
          <w:color w:val="231F20"/>
        </w:rPr>
        <w:t>upon</w:t>
      </w:r>
      <w:r>
        <w:rPr>
          <w:color w:val="231F20"/>
          <w:spacing w:val="-5"/>
        </w:rPr>
        <w:t> </w:t>
      </w:r>
      <w:r>
        <w:rPr>
          <w:color w:val="231F20"/>
        </w:rPr>
        <w:t>enrolments</w:t>
      </w:r>
      <w:r>
        <w:rPr>
          <w:color w:val="231F20"/>
          <w:spacing w:val="23"/>
        </w:rPr>
        <w:t> </w:t>
      </w:r>
      <w:r>
        <w:rPr>
          <w:color w:val="231F20"/>
        </w:rPr>
        <w:t>at</w:t>
      </w:r>
      <w:r>
        <w:rPr>
          <w:color w:val="231F20"/>
          <w:spacing w:val="-6"/>
        </w:rPr>
        <w:t> </w:t>
      </w:r>
      <w:r>
        <w:rPr>
          <w:color w:val="231F20"/>
        </w:rPr>
        <w:t>the</w:t>
      </w:r>
      <w:r>
        <w:rPr>
          <w:color w:val="231F20"/>
          <w:spacing w:val="-6"/>
        </w:rPr>
        <w:t> </w:t>
      </w:r>
      <w:r>
        <w:rPr>
          <w:color w:val="231F20"/>
        </w:rPr>
        <w:t>traditional</w:t>
      </w:r>
      <w:r>
        <w:rPr>
          <w:color w:val="231F20"/>
          <w:spacing w:val="-6"/>
        </w:rPr>
        <w:t> </w:t>
      </w:r>
      <w:r>
        <w:rPr>
          <w:color w:val="231F20"/>
          <w:spacing w:val="-1"/>
        </w:rPr>
        <w:t>long</w:t>
      </w:r>
      <w:r>
        <w:rPr>
          <w:color w:val="231F20"/>
          <w:spacing w:val="-6"/>
        </w:rPr>
        <w:t> </w:t>
      </w:r>
      <w:r>
        <w:rPr>
          <w:color w:val="231F20"/>
        </w:rPr>
        <w:t>established</w:t>
      </w:r>
      <w:r>
        <w:rPr>
          <w:color w:val="231F20"/>
          <w:spacing w:val="-6"/>
        </w:rPr>
        <w:t> </w:t>
      </w:r>
      <w:r>
        <w:rPr>
          <w:color w:val="231F20"/>
        </w:rPr>
        <w:t>Aboriginal</w:t>
      </w:r>
      <w:r>
        <w:rPr>
          <w:color w:val="231F20"/>
          <w:spacing w:val="21"/>
          <w:w w:val="99"/>
        </w:rPr>
        <w:t> </w:t>
      </w:r>
      <w:r>
        <w:rPr>
          <w:color w:val="231F20"/>
        </w:rPr>
        <w:t>and</w:t>
      </w:r>
      <w:r>
        <w:rPr>
          <w:color w:val="231F20"/>
          <w:spacing w:val="-7"/>
        </w:rPr>
        <w:t> </w:t>
      </w:r>
      <w:r>
        <w:rPr>
          <w:color w:val="231F20"/>
          <w:spacing w:val="-5"/>
        </w:rPr>
        <w:t>Torres</w:t>
      </w:r>
      <w:r>
        <w:rPr>
          <w:color w:val="231F20"/>
          <w:spacing w:val="-7"/>
        </w:rPr>
        <w:t> </w:t>
      </w:r>
      <w:r>
        <w:rPr>
          <w:color w:val="231F20"/>
          <w:spacing w:val="-2"/>
        </w:rPr>
        <w:t>Strait</w:t>
      </w:r>
      <w:r>
        <w:rPr>
          <w:color w:val="231F20"/>
          <w:spacing w:val="-6"/>
        </w:rPr>
        <w:t> </w:t>
      </w:r>
      <w:r>
        <w:rPr>
          <w:color w:val="231F20"/>
          <w:spacing w:val="-1"/>
        </w:rPr>
        <w:t>Islander</w:t>
      </w:r>
      <w:r>
        <w:rPr>
          <w:color w:val="231F20"/>
          <w:spacing w:val="-7"/>
        </w:rPr>
        <w:t> </w:t>
      </w:r>
      <w:r>
        <w:rPr>
          <w:color w:val="231F20"/>
        </w:rPr>
        <w:t>boarding</w:t>
      </w:r>
      <w:r>
        <w:rPr>
          <w:color w:val="231F20"/>
          <w:spacing w:val="-7"/>
        </w:rPr>
        <w:t> </w:t>
      </w:r>
      <w:r>
        <w:rPr>
          <w:color w:val="231F20"/>
        </w:rPr>
        <w:t>providers.</w:t>
      </w:r>
      <w:r>
        <w:rPr>
          <w:color w:val="231F20"/>
          <w:spacing w:val="21"/>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boarders</w:t>
      </w:r>
      <w:r>
        <w:rPr>
          <w:color w:val="231F20"/>
          <w:spacing w:val="21"/>
          <w:w w:val="99"/>
        </w:rPr>
        <w:t> </w:t>
      </w:r>
      <w:r>
        <w:rPr>
          <w:color w:val="231F20"/>
        </w:rPr>
        <w:t>that</w:t>
      </w:r>
      <w:r>
        <w:rPr>
          <w:color w:val="231F20"/>
          <w:spacing w:val="-5"/>
        </w:rPr>
        <w:t> </w:t>
      </w:r>
      <w:r>
        <w:rPr>
          <w:color w:val="231F20"/>
          <w:spacing w:val="-1"/>
        </w:rPr>
        <w:t>may</w:t>
      </w:r>
      <w:r>
        <w:rPr>
          <w:color w:val="231F20"/>
          <w:spacing w:val="-4"/>
        </w:rPr>
        <w:t> </w:t>
      </w:r>
      <w:r>
        <w:rPr>
          <w:color w:val="231F20"/>
        </w:rPr>
        <w:t>have</w:t>
      </w:r>
      <w:r>
        <w:rPr>
          <w:color w:val="231F20"/>
          <w:spacing w:val="-5"/>
        </w:rPr>
        <w:t> </w:t>
      </w:r>
      <w:r>
        <w:rPr>
          <w:color w:val="231F20"/>
          <w:spacing w:val="-1"/>
        </w:rPr>
        <w:t>in</w:t>
      </w:r>
      <w:r>
        <w:rPr>
          <w:color w:val="231F20"/>
          <w:spacing w:val="-4"/>
        </w:rPr>
        <w:t> </w:t>
      </w:r>
      <w:r>
        <w:rPr>
          <w:color w:val="231F20"/>
        </w:rPr>
        <w:t>the</w:t>
      </w:r>
      <w:r>
        <w:rPr>
          <w:color w:val="231F20"/>
          <w:spacing w:val="-5"/>
        </w:rPr>
        <w:t> </w:t>
      </w:r>
      <w:r>
        <w:rPr>
          <w:color w:val="231F20"/>
        </w:rPr>
        <w:t>past</w:t>
      </w:r>
      <w:r>
        <w:rPr>
          <w:color w:val="231F20"/>
          <w:spacing w:val="-4"/>
        </w:rPr>
        <w:t> </w:t>
      </w:r>
      <w:r>
        <w:rPr>
          <w:color w:val="231F20"/>
        </w:rPr>
        <w:t>attended</w:t>
      </w:r>
      <w:r>
        <w:rPr>
          <w:color w:val="231F20"/>
          <w:spacing w:val="-5"/>
        </w:rPr>
        <w:t> </w:t>
      </w:r>
      <w:r>
        <w:rPr>
          <w:color w:val="231F20"/>
          <w:spacing w:val="-1"/>
        </w:rPr>
        <w:t>large</w:t>
      </w:r>
      <w:r>
        <w:rPr>
          <w:color w:val="231F20"/>
          <w:spacing w:val="22"/>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10"/>
        </w:rPr>
        <w:t> </w:t>
      </w:r>
      <w:r>
        <w:rPr>
          <w:color w:val="231F20"/>
        </w:rPr>
        <w:t>are</w:t>
      </w:r>
      <w:r>
        <w:rPr>
          <w:color w:val="231F20"/>
          <w:spacing w:val="-9"/>
        </w:rPr>
        <w:t> </w:t>
      </w:r>
      <w:r>
        <w:rPr>
          <w:color w:val="231F20"/>
        </w:rPr>
        <w:t>now</w:t>
      </w:r>
      <w:r>
        <w:rPr>
          <w:color w:val="231F20"/>
          <w:spacing w:val="-9"/>
        </w:rPr>
        <w:t> </w:t>
      </w:r>
      <w:r>
        <w:rPr>
          <w:color w:val="231F20"/>
          <w:spacing w:val="-1"/>
        </w:rPr>
        <w:t>increasingly</w:t>
      </w:r>
      <w:r>
        <w:rPr>
          <w:color w:val="231F20"/>
          <w:spacing w:val="-8"/>
        </w:rPr>
        <w:t> </w:t>
      </w:r>
      <w:r>
        <w:rPr>
          <w:color w:val="231F20"/>
        </w:rPr>
        <w:t>attending</w:t>
      </w:r>
      <w:r>
        <w:rPr/>
      </w:r>
    </w:p>
    <w:p>
      <w:pPr>
        <w:pStyle w:val="BodyText"/>
        <w:spacing w:line="250" w:lineRule="exact"/>
        <w:ind w:left="100" w:right="294"/>
        <w:jc w:val="left"/>
      </w:pPr>
      <w:r>
        <w:rPr>
          <w:color w:val="231F20"/>
          <w:spacing w:val="-1"/>
        </w:rPr>
        <w:t>large</w:t>
      </w:r>
      <w:r>
        <w:rPr>
          <w:color w:val="231F20"/>
          <w:spacing w:val="-5"/>
        </w:rPr>
        <w:t> </w:t>
      </w:r>
      <w:r>
        <w:rPr>
          <w:color w:val="231F20"/>
          <w:spacing w:val="-1"/>
        </w:rPr>
        <w:t>mainstream</w:t>
      </w:r>
      <w:r>
        <w:rPr>
          <w:color w:val="231F20"/>
          <w:spacing w:val="-3"/>
        </w:rPr>
        <w:t> </w:t>
      </w:r>
      <w:r>
        <w:rPr>
          <w:color w:val="231F20"/>
        </w:rPr>
        <w:t>boarding</w:t>
      </w:r>
      <w:r>
        <w:rPr>
          <w:color w:val="231F20"/>
          <w:spacing w:val="-6"/>
        </w:rPr>
        <w:t> </w:t>
      </w:r>
      <w:r>
        <w:rPr>
          <w:color w:val="231F20"/>
        </w:rPr>
        <w:t>providers</w:t>
      </w:r>
      <w:r>
        <w:rPr>
          <w:color w:val="231F20"/>
          <w:spacing w:val="-5"/>
        </w:rPr>
        <w:t> </w:t>
      </w:r>
      <w:r>
        <w:rPr>
          <w:color w:val="231F20"/>
        </w:rPr>
        <w:t>as</w:t>
      </w:r>
      <w:r>
        <w:rPr>
          <w:color w:val="231F20"/>
          <w:spacing w:val="-5"/>
        </w:rPr>
        <w:t> </w:t>
      </w:r>
      <w:r>
        <w:rPr>
          <w:color w:val="231F20"/>
        </w:rPr>
        <w:t>a</w:t>
      </w:r>
      <w:r>
        <w:rPr>
          <w:color w:val="231F20"/>
          <w:spacing w:val="23"/>
          <w:w w:val="99"/>
        </w:rPr>
        <w:t> </w:t>
      </w:r>
      <w:r>
        <w:rPr>
          <w:color w:val="231F20"/>
        </w:rPr>
        <w:t>result</w:t>
      </w:r>
      <w:r>
        <w:rPr>
          <w:color w:val="231F20"/>
          <w:spacing w:val="-5"/>
        </w:rPr>
        <w:t> </w:t>
      </w:r>
      <w:r>
        <w:rPr>
          <w:color w:val="231F20"/>
        </w:rPr>
        <w:t>of</w:t>
      </w:r>
      <w:r>
        <w:rPr>
          <w:color w:val="231F20"/>
          <w:spacing w:val="-4"/>
        </w:rPr>
        <w:t> </w:t>
      </w:r>
      <w:r>
        <w:rPr>
          <w:color w:val="231F20"/>
          <w:spacing w:val="-1"/>
        </w:rPr>
        <w:t>scholarships,</w:t>
      </w:r>
      <w:r>
        <w:rPr>
          <w:color w:val="231F20"/>
          <w:spacing w:val="-2"/>
        </w:rPr>
        <w:t> </w:t>
      </w:r>
      <w:r>
        <w:rPr>
          <w:color w:val="231F20"/>
        </w:rPr>
        <w:t>ongoing</w:t>
      </w:r>
      <w:r>
        <w:rPr>
          <w:color w:val="231F20"/>
          <w:spacing w:val="-5"/>
        </w:rPr>
        <w:t> </w:t>
      </w:r>
      <w:r>
        <w:rPr>
          <w:color w:val="231F20"/>
          <w:spacing w:val="-1"/>
        </w:rPr>
        <w:t>investment</w:t>
      </w:r>
      <w:r>
        <w:rPr>
          <w:color w:val="231F20"/>
          <w:spacing w:val="21"/>
        </w:rPr>
        <w:t> </w:t>
      </w:r>
      <w:r>
        <w:rPr>
          <w:color w:val="231F20"/>
        </w:rPr>
        <w:t>through</w:t>
      </w:r>
      <w:r>
        <w:rPr>
          <w:color w:val="231F20"/>
          <w:spacing w:val="-9"/>
        </w:rPr>
        <w:t> </w:t>
      </w:r>
      <w:r>
        <w:rPr>
          <w:color w:val="231F20"/>
        </w:rPr>
        <w:t>ABSTUDY</w:t>
      </w:r>
      <w:r>
        <w:rPr>
          <w:color w:val="231F20"/>
          <w:spacing w:val="-8"/>
        </w:rPr>
        <w:t> </w:t>
      </w:r>
      <w:r>
        <w:rPr>
          <w:color w:val="231F20"/>
        </w:rPr>
        <w:t>and</w:t>
      </w:r>
      <w:r>
        <w:rPr>
          <w:color w:val="231F20"/>
          <w:spacing w:val="-8"/>
        </w:rPr>
        <w:t> </w:t>
      </w:r>
      <w:r>
        <w:rPr>
          <w:color w:val="231F20"/>
          <w:spacing w:val="-1"/>
        </w:rPr>
        <w:t>increasing</w:t>
      </w:r>
      <w:r>
        <w:rPr>
          <w:color w:val="231F20"/>
          <w:spacing w:val="-7"/>
        </w:rPr>
        <w:t> </w:t>
      </w:r>
      <w:r>
        <w:rPr>
          <w:color w:val="231F20"/>
        </w:rPr>
        <w:t>household</w:t>
      </w:r>
      <w:r>
        <w:rPr>
          <w:color w:val="231F20"/>
          <w:spacing w:val="22"/>
          <w:w w:val="99"/>
        </w:rPr>
        <w:t> </w:t>
      </w:r>
      <w:r>
        <w:rPr>
          <w:color w:val="231F20"/>
          <w:spacing w:val="-1"/>
        </w:rPr>
        <w:t>incomes</w:t>
      </w:r>
      <w:r>
        <w:rPr>
          <w:color w:val="231F20"/>
          <w:spacing w:val="-6"/>
        </w:rPr>
        <w:t> </w:t>
      </w:r>
      <w:r>
        <w:rPr>
          <w:color w:val="231F20"/>
        </w:rPr>
        <w:t>(median</w:t>
      </w:r>
      <w:r>
        <w:rPr>
          <w:color w:val="231F20"/>
          <w:spacing w:val="-7"/>
        </w:rPr>
        <w:t> </w:t>
      </w:r>
      <w:r>
        <w:rPr>
          <w:color w:val="231F20"/>
        </w:rPr>
        <w:t>weekly</w:t>
      </w:r>
      <w:r>
        <w:rPr>
          <w:color w:val="231F20"/>
          <w:spacing w:val="-6"/>
        </w:rPr>
        <w:t> </w:t>
      </w:r>
      <w:r>
        <w:rPr>
          <w:color w:val="231F20"/>
        </w:rPr>
        <w:t>household</w:t>
      </w:r>
      <w:r>
        <w:rPr>
          <w:color w:val="231F20"/>
          <w:spacing w:val="-7"/>
        </w:rPr>
        <w:t> </w:t>
      </w:r>
      <w:r>
        <w:rPr>
          <w:color w:val="231F20"/>
          <w:spacing w:val="-1"/>
        </w:rPr>
        <w:t>income</w:t>
      </w:r>
      <w:r>
        <w:rPr>
          <w:color w:val="231F20"/>
          <w:spacing w:val="-1"/>
        </w:rPr>
        <w:t> </w:t>
      </w:r>
      <w:r>
        <w:rPr>
          <w:color w:val="231F20"/>
          <w:spacing w:val="21"/>
        </w:rPr>
        <w:t> </w:t>
      </w:r>
      <w:r>
        <w:rPr>
          <w:color w:val="231F20"/>
        </w:rPr>
        <w:t>for</w:t>
      </w:r>
      <w:r>
        <w:rPr>
          <w:color w:val="231F20"/>
          <w:spacing w:val="-6"/>
        </w:rPr>
        <w:t> </w:t>
      </w:r>
      <w:r>
        <w:rPr>
          <w:color w:val="231F20"/>
        </w:rPr>
        <w:t>Aboriginal</w:t>
      </w:r>
      <w:r>
        <w:rPr>
          <w:color w:val="231F20"/>
          <w:spacing w:val="-5"/>
        </w:rPr>
        <w:t> </w:t>
      </w:r>
      <w:r>
        <w:rPr>
          <w:color w:val="231F20"/>
        </w:rPr>
        <w:t>and</w:t>
      </w:r>
      <w:r>
        <w:rPr>
          <w:color w:val="231F20"/>
          <w:spacing w:val="-6"/>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6"/>
        </w:rPr>
        <w:t> </w:t>
      </w:r>
      <w:r>
        <w:rPr>
          <w:color w:val="231F20"/>
        </w:rPr>
        <w:t>people</w:t>
      </w:r>
      <w:r>
        <w:rPr>
          <w:color w:val="231F20"/>
          <w:spacing w:val="21"/>
          <w:w w:val="99"/>
        </w:rPr>
        <w:t> </w:t>
      </w:r>
      <w:r>
        <w:rPr>
          <w:color w:val="231F20"/>
          <w:spacing w:val="-1"/>
        </w:rPr>
        <w:t>increased</w:t>
      </w:r>
      <w:r>
        <w:rPr>
          <w:color w:val="231F20"/>
          <w:spacing w:val="-3"/>
        </w:rPr>
        <w:t> </w:t>
      </w:r>
      <w:r>
        <w:rPr>
          <w:color w:val="231F20"/>
        </w:rPr>
        <w:t>from</w:t>
      </w:r>
      <w:r>
        <w:rPr>
          <w:color w:val="231F20"/>
          <w:spacing w:val="-3"/>
        </w:rPr>
        <w:t> </w:t>
      </w:r>
      <w:r>
        <w:rPr>
          <w:color w:val="231F20"/>
          <w:spacing w:val="-1"/>
        </w:rPr>
        <w:t>$991</w:t>
      </w:r>
      <w:r>
        <w:rPr>
          <w:color w:val="231F20"/>
          <w:spacing w:val="-2"/>
        </w:rPr>
        <w:t> </w:t>
      </w:r>
      <w:r>
        <w:rPr>
          <w:color w:val="231F20"/>
          <w:spacing w:val="-1"/>
        </w:rPr>
        <w:t>in</w:t>
      </w:r>
      <w:r>
        <w:rPr>
          <w:color w:val="231F20"/>
          <w:spacing w:val="-3"/>
        </w:rPr>
        <w:t> </w:t>
      </w:r>
      <w:r>
        <w:rPr>
          <w:color w:val="231F20"/>
        </w:rPr>
        <w:t>the</w:t>
      </w:r>
      <w:r>
        <w:rPr>
          <w:color w:val="231F20"/>
          <w:spacing w:val="-3"/>
        </w:rPr>
        <w:t> </w:t>
      </w:r>
      <w:r>
        <w:rPr>
          <w:color w:val="231F20"/>
          <w:spacing w:val="-1"/>
        </w:rPr>
        <w:t>2011</w:t>
      </w:r>
      <w:r>
        <w:rPr>
          <w:color w:val="231F20"/>
          <w:spacing w:val="-3"/>
        </w:rPr>
        <w:t> </w:t>
      </w:r>
      <w:r>
        <w:rPr>
          <w:color w:val="231F20"/>
          <w:spacing w:val="-1"/>
        </w:rPr>
        <w:t>Census</w:t>
      </w:r>
      <w:r>
        <w:rPr/>
      </w:r>
    </w:p>
    <w:p>
      <w:pPr>
        <w:pStyle w:val="BodyText"/>
        <w:spacing w:line="250" w:lineRule="exact"/>
        <w:ind w:left="100" w:right="132"/>
        <w:jc w:val="left"/>
      </w:pPr>
      <w:r>
        <w:rPr>
          <w:color w:val="231F20"/>
        </w:rPr>
        <w:t>to</w:t>
      </w:r>
      <w:r>
        <w:rPr>
          <w:color w:val="231F20"/>
          <w:spacing w:val="-2"/>
        </w:rPr>
        <w:t> </w:t>
      </w:r>
      <w:r>
        <w:rPr>
          <w:color w:val="231F20"/>
          <w:spacing w:val="-1"/>
        </w:rPr>
        <w:t>$1,203</w:t>
      </w:r>
      <w:r>
        <w:rPr>
          <w:color w:val="231F20"/>
          <w:spacing w:val="-2"/>
        </w:rPr>
        <w:t> </w:t>
      </w:r>
      <w:r>
        <w:rPr>
          <w:color w:val="231F20"/>
          <w:spacing w:val="-1"/>
        </w:rPr>
        <w:t>in</w:t>
      </w:r>
      <w:r>
        <w:rPr>
          <w:color w:val="231F20"/>
          <w:spacing w:val="-2"/>
        </w:rPr>
        <w:t> </w:t>
      </w:r>
      <w:r>
        <w:rPr>
          <w:color w:val="231F20"/>
        </w:rPr>
        <w:t>the</w:t>
      </w:r>
      <w:r>
        <w:rPr>
          <w:color w:val="231F20"/>
          <w:spacing w:val="-3"/>
        </w:rPr>
        <w:t> </w:t>
      </w:r>
      <w:r>
        <w:rPr>
          <w:color w:val="231F20"/>
          <w:spacing w:val="-1"/>
        </w:rPr>
        <w:t>2016 Census</w:t>
      </w:r>
      <w:r>
        <w:rPr>
          <w:color w:val="231F20"/>
          <w:spacing w:val="-2"/>
        </w:rPr>
        <w:t> </w:t>
      </w:r>
      <w:r>
        <w:rPr>
          <w:color w:val="231F20"/>
        </w:rPr>
        <w:t>(21</w:t>
      </w:r>
      <w:r>
        <w:rPr>
          <w:color w:val="231F20"/>
          <w:spacing w:val="-3"/>
        </w:rPr>
        <w:t> </w:t>
      </w:r>
      <w:r>
        <w:rPr>
          <w:color w:val="231F20"/>
        </w:rPr>
        <w:t>per</w:t>
      </w:r>
      <w:r>
        <w:rPr>
          <w:color w:val="231F20"/>
          <w:spacing w:val="-2"/>
        </w:rPr>
        <w:t> </w:t>
      </w:r>
      <w:r>
        <w:rPr>
          <w:color w:val="231F20"/>
        </w:rPr>
        <w:t>cent</w:t>
      </w:r>
      <w:r>
        <w:rPr>
          <w:color w:val="231F20"/>
          <w:spacing w:val="25"/>
          <w:w w:val="99"/>
        </w:rPr>
        <w:t> </w:t>
      </w:r>
      <w:r>
        <w:rPr>
          <w:color w:val="231F20"/>
          <w:spacing w:val="-1"/>
        </w:rPr>
        <w:t>increase)</w:t>
      </w:r>
      <w:r>
        <w:rPr>
          <w:rFonts w:ascii="Segoe UI Semibold"/>
          <w:b/>
          <w:color w:val="231F20"/>
          <w:spacing w:val="-1"/>
          <w:position w:val="7"/>
          <w:sz w:val="11"/>
        </w:rPr>
        <w:t>17</w:t>
      </w:r>
      <w:r>
        <w:rPr>
          <w:color w:val="231F20"/>
          <w:spacing w:val="-1"/>
        </w:rPr>
        <w:t>).</w:t>
      </w:r>
      <w:r>
        <w:rPr/>
      </w:r>
    </w:p>
    <w:p>
      <w:pPr>
        <w:pStyle w:val="Heading3"/>
        <w:spacing w:line="240" w:lineRule="auto"/>
        <w:ind w:left="100" w:right="0"/>
        <w:jc w:val="left"/>
      </w:pPr>
      <w:r>
        <w:rPr>
          <w:b/>
          <w:color w:val="00779B"/>
        </w:rPr>
        <w:t>Support</w:t>
      </w:r>
      <w:r>
        <w:rPr>
          <w:b/>
          <w:color w:val="00779B"/>
          <w:spacing w:val="-1"/>
        </w:rPr>
        <w:t> </w:t>
      </w:r>
      <w:r>
        <w:rPr>
          <w:b/>
          <w:color w:val="00779B"/>
        </w:rPr>
        <w:t>services</w:t>
      </w:r>
      <w:r>
        <w:rPr/>
      </w:r>
    </w:p>
    <w:p>
      <w:pPr>
        <w:pStyle w:val="BodyText"/>
        <w:spacing w:line="250" w:lineRule="exact" w:before="64"/>
        <w:ind w:left="100" w:right="452"/>
        <w:jc w:val="left"/>
      </w:pPr>
      <w:r>
        <w:rPr>
          <w:color w:val="231F20"/>
        </w:rPr>
        <w:t>All</w:t>
      </w:r>
      <w:r>
        <w:rPr>
          <w:color w:val="231F20"/>
          <w:spacing w:val="-10"/>
        </w:rPr>
        <w:t> </w:t>
      </w:r>
      <w:r>
        <w:rPr>
          <w:color w:val="231F20"/>
        </w:rPr>
        <w:t>boarding</w:t>
      </w:r>
      <w:r>
        <w:rPr>
          <w:color w:val="231F20"/>
          <w:spacing w:val="-9"/>
        </w:rPr>
        <w:t> </w:t>
      </w:r>
      <w:r>
        <w:rPr>
          <w:color w:val="231F20"/>
        </w:rPr>
        <w:t>providers</w:t>
      </w:r>
      <w:r>
        <w:rPr>
          <w:color w:val="231F20"/>
          <w:spacing w:val="-9"/>
        </w:rPr>
        <w:t> </w:t>
      </w:r>
      <w:r>
        <w:rPr>
          <w:color w:val="231F20"/>
        </w:rPr>
        <w:t>reported</w:t>
      </w:r>
      <w:r>
        <w:rPr>
          <w:color w:val="231F20"/>
          <w:spacing w:val="-9"/>
        </w:rPr>
        <w:t> </w:t>
      </w:r>
      <w:r>
        <w:rPr>
          <w:color w:val="231F20"/>
        </w:rPr>
        <w:t>providing</w:t>
      </w:r>
      <w:r>
        <w:rPr>
          <w:color w:val="231F20"/>
          <w:w w:val="99"/>
        </w:rPr>
        <w:t> </w:t>
      </w:r>
      <w:r>
        <w:rPr>
          <w:rFonts w:ascii="Segoe UI"/>
          <w:color w:val="231F20"/>
        </w:rPr>
        <w:t>specific services to assist with transitioning</w:t>
      </w:r>
      <w:r>
        <w:rPr>
          <w:rFonts w:ascii="Segoe UI"/>
          <w:color w:val="231F20"/>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5"/>
        </w:rPr>
        <w:t> </w:t>
      </w:r>
      <w:r>
        <w:rPr>
          <w:color w:val="231F20"/>
          <w:spacing w:val="-1"/>
        </w:rPr>
        <w:t>Islander</w:t>
      </w:r>
      <w:r>
        <w:rPr>
          <w:color w:val="231F20"/>
          <w:spacing w:val="-5"/>
        </w:rPr>
        <w:t> </w:t>
      </w:r>
      <w:r>
        <w:rPr>
          <w:color w:val="231F20"/>
          <w:spacing w:val="-1"/>
        </w:rPr>
        <w:t>students</w:t>
      </w:r>
      <w:r>
        <w:rPr>
          <w:color w:val="231F20"/>
          <w:spacing w:val="20"/>
        </w:rPr>
        <w:t> </w:t>
      </w:r>
      <w:r>
        <w:rPr>
          <w:color w:val="231F20"/>
        </w:rPr>
        <w:t>to</w:t>
      </w:r>
      <w:r>
        <w:rPr>
          <w:color w:val="231F20"/>
          <w:spacing w:val="-5"/>
        </w:rPr>
        <w:t> </w:t>
      </w:r>
      <w:r>
        <w:rPr>
          <w:color w:val="231F20"/>
        </w:rPr>
        <w:t>boarding,</w:t>
      </w:r>
      <w:r>
        <w:rPr>
          <w:color w:val="231F20"/>
          <w:spacing w:val="-5"/>
        </w:rPr>
        <w:t> </w:t>
      </w:r>
      <w:r>
        <w:rPr>
          <w:color w:val="231F20"/>
        </w:rPr>
        <w:t>retaining</w:t>
      </w:r>
      <w:r>
        <w:rPr>
          <w:color w:val="231F20"/>
          <w:spacing w:val="-5"/>
        </w:rPr>
        <w:t> </w:t>
      </w:r>
      <w:r>
        <w:rPr>
          <w:color w:val="231F20"/>
          <w:spacing w:val="-1"/>
        </w:rPr>
        <w:t>students</w:t>
      </w:r>
      <w:r>
        <w:rPr>
          <w:color w:val="231F20"/>
          <w:spacing w:val="-5"/>
        </w:rPr>
        <w:t> </w:t>
      </w:r>
      <w:r>
        <w:rPr>
          <w:color w:val="231F20"/>
        </w:rPr>
        <w:t>and</w:t>
      </w:r>
      <w:r>
        <w:rPr>
          <w:color w:val="231F20"/>
          <w:spacing w:val="-5"/>
        </w:rPr>
        <w:t> </w:t>
      </w:r>
      <w:r>
        <w:rPr>
          <w:color w:val="231F20"/>
          <w:spacing w:val="-1"/>
        </w:rPr>
        <w:t>meeting</w:t>
      </w:r>
      <w:r>
        <w:rPr>
          <w:color w:val="231F20"/>
          <w:spacing w:val="21"/>
        </w:rPr>
        <w:t> </w:t>
      </w:r>
      <w:r>
        <w:rPr>
          <w:color w:val="231F20"/>
        </w:rPr>
        <w:t>their</w:t>
      </w:r>
      <w:r>
        <w:rPr>
          <w:color w:val="231F20"/>
          <w:spacing w:val="-7"/>
        </w:rPr>
        <w:t> </w:t>
      </w:r>
      <w:r>
        <w:rPr>
          <w:color w:val="231F20"/>
        </w:rPr>
        <w:t>development</w:t>
      </w:r>
      <w:r>
        <w:rPr>
          <w:color w:val="231F20"/>
          <w:spacing w:val="-7"/>
        </w:rPr>
        <w:t> </w:t>
      </w:r>
      <w:r>
        <w:rPr>
          <w:color w:val="231F20"/>
        </w:rPr>
        <w:t>and</w:t>
      </w:r>
      <w:r>
        <w:rPr>
          <w:color w:val="231F20"/>
          <w:spacing w:val="-7"/>
        </w:rPr>
        <w:t> </w:t>
      </w:r>
      <w:r>
        <w:rPr>
          <w:color w:val="231F20"/>
        </w:rPr>
        <w:t>cultural</w:t>
      </w:r>
      <w:r>
        <w:rPr>
          <w:color w:val="231F20"/>
          <w:spacing w:val="-6"/>
        </w:rPr>
        <w:t> </w:t>
      </w:r>
      <w:r>
        <w:rPr>
          <w:color w:val="231F20"/>
        </w:rPr>
        <w:t>needs.</w:t>
      </w:r>
      <w:r>
        <w:rPr>
          <w:color w:val="231F20"/>
          <w:spacing w:val="-7"/>
        </w:rPr>
        <w:t> </w:t>
      </w:r>
      <w:r>
        <w:rPr>
          <w:color w:val="231F20"/>
        </w:rPr>
        <w:t>A</w:t>
      </w:r>
      <w:r>
        <w:rPr>
          <w:color w:val="231F20"/>
          <w:spacing w:val="-6"/>
        </w:rPr>
        <w:t> </w:t>
      </w:r>
      <w:r>
        <w:rPr>
          <w:color w:val="231F20"/>
          <w:spacing w:val="-1"/>
        </w:rPr>
        <w:t>key</w:t>
      </w:r>
      <w:r>
        <w:rPr>
          <w:color w:val="231F20"/>
          <w:spacing w:val="19"/>
          <w:w w:val="99"/>
        </w:rPr>
        <w:t> </w:t>
      </w:r>
      <w:r>
        <w:rPr>
          <w:color w:val="231F20"/>
        </w:rPr>
        <w:t>component</w:t>
      </w:r>
      <w:r>
        <w:rPr>
          <w:color w:val="231F20"/>
          <w:spacing w:val="-4"/>
        </w:rPr>
        <w:t> </w:t>
      </w:r>
      <w:r>
        <w:rPr>
          <w:color w:val="231F20"/>
        </w:rPr>
        <w:t>of</w:t>
      </w:r>
      <w:r>
        <w:rPr>
          <w:color w:val="231F20"/>
          <w:spacing w:val="-3"/>
        </w:rPr>
        <w:t> </w:t>
      </w:r>
      <w:r>
        <w:rPr>
          <w:color w:val="231F20"/>
        </w:rPr>
        <w:t>these</w:t>
      </w:r>
      <w:r>
        <w:rPr>
          <w:color w:val="231F20"/>
          <w:spacing w:val="-3"/>
        </w:rPr>
        <w:t> </w:t>
      </w:r>
      <w:r>
        <w:rPr>
          <w:color w:val="231F20"/>
          <w:spacing w:val="-1"/>
        </w:rPr>
        <w:t>services</w:t>
      </w:r>
      <w:r>
        <w:rPr>
          <w:color w:val="231F20"/>
          <w:spacing w:val="-3"/>
        </w:rPr>
        <w:t> </w:t>
      </w:r>
      <w:r>
        <w:rPr>
          <w:color w:val="231F20"/>
          <w:spacing w:val="-1"/>
        </w:rPr>
        <w:t>is</w:t>
      </w:r>
      <w:r>
        <w:rPr>
          <w:color w:val="231F20"/>
          <w:spacing w:val="-3"/>
        </w:rPr>
        <w:t> </w:t>
      </w:r>
      <w:r>
        <w:rPr>
          <w:color w:val="231F20"/>
        </w:rPr>
        <w:t>family</w:t>
      </w:r>
      <w:r>
        <w:rPr>
          <w:color w:val="231F20"/>
          <w:spacing w:val="-4"/>
        </w:rPr>
        <w:t> </w:t>
      </w:r>
      <w:r>
        <w:rPr>
          <w:color w:val="231F20"/>
        </w:rPr>
        <w:t>and</w:t>
      </w:r>
      <w:r>
        <w:rPr>
          <w:color w:val="231F20"/>
          <w:spacing w:val="23"/>
          <w:w w:val="99"/>
        </w:rPr>
        <w:t> </w:t>
      </w:r>
      <w:r>
        <w:rPr>
          <w:color w:val="231F20"/>
        </w:rPr>
        <w:t>community</w:t>
      </w:r>
      <w:r>
        <w:rPr>
          <w:color w:val="231F20"/>
          <w:spacing w:val="-5"/>
        </w:rPr>
        <w:t> </w:t>
      </w:r>
      <w:r>
        <w:rPr>
          <w:color w:val="231F20"/>
        </w:rPr>
        <w:t>engagement.</w:t>
      </w:r>
      <w:r>
        <w:rPr>
          <w:color w:val="231F20"/>
          <w:spacing w:val="-5"/>
        </w:rPr>
        <w:t> </w:t>
      </w:r>
      <w:r>
        <w:rPr>
          <w:color w:val="231F20"/>
        </w:rPr>
        <w:t>These</w:t>
      </w:r>
      <w:r>
        <w:rPr>
          <w:color w:val="231F20"/>
          <w:spacing w:val="-5"/>
        </w:rPr>
        <w:t> </w:t>
      </w:r>
      <w:r>
        <w:rPr>
          <w:color w:val="231F20"/>
          <w:spacing w:val="-1"/>
        </w:rPr>
        <w:t>services</w:t>
      </w:r>
      <w:r>
        <w:rPr>
          <w:color w:val="231F20"/>
          <w:spacing w:val="20"/>
        </w:rPr>
        <w:t> </w:t>
      </w:r>
      <w:r>
        <w:rPr>
          <w:color w:val="231F20"/>
        </w:rPr>
        <w:t>have</w:t>
      </w:r>
      <w:r>
        <w:rPr>
          <w:color w:val="231F20"/>
          <w:spacing w:val="-7"/>
        </w:rPr>
        <w:t> </w:t>
      </w:r>
      <w:r>
        <w:rPr>
          <w:color w:val="231F20"/>
        </w:rPr>
        <w:t>been</w:t>
      </w:r>
      <w:r>
        <w:rPr>
          <w:color w:val="231F20"/>
          <w:spacing w:val="-6"/>
        </w:rPr>
        <w:t> </w:t>
      </w:r>
      <w:r>
        <w:rPr>
          <w:color w:val="231F20"/>
        </w:rPr>
        <w:t>developed</w:t>
      </w:r>
      <w:r>
        <w:rPr>
          <w:color w:val="231F20"/>
          <w:spacing w:val="-6"/>
        </w:rPr>
        <w:t> </w:t>
      </w:r>
      <w:r>
        <w:rPr>
          <w:color w:val="231F20"/>
          <w:spacing w:val="-1"/>
        </w:rPr>
        <w:t>in</w:t>
      </w:r>
      <w:r>
        <w:rPr>
          <w:color w:val="231F20"/>
          <w:spacing w:val="-5"/>
        </w:rPr>
        <w:t> </w:t>
      </w:r>
      <w:r>
        <w:rPr>
          <w:color w:val="231F20"/>
        </w:rPr>
        <w:t>response</w:t>
      </w:r>
      <w:r>
        <w:rPr>
          <w:color w:val="231F20"/>
          <w:spacing w:val="-6"/>
        </w:rPr>
        <w:t> </w:t>
      </w:r>
      <w:r>
        <w:rPr>
          <w:color w:val="231F20"/>
        </w:rPr>
        <w:t>to</w:t>
      </w:r>
      <w:r>
        <w:rPr>
          <w:color w:val="231F20"/>
          <w:spacing w:val="-5"/>
        </w:rPr>
        <w:t> </w:t>
      </w:r>
      <w:r>
        <w:rPr>
          <w:color w:val="231F20"/>
        </w:rPr>
        <w:t>the</w:t>
      </w:r>
      <w:r>
        <w:rPr>
          <w:color w:val="231F20"/>
          <w:spacing w:val="21"/>
          <w:w w:val="99"/>
        </w:rPr>
        <w:t> </w:t>
      </w:r>
      <w:r>
        <w:rPr>
          <w:color w:val="231F20"/>
        </w:rPr>
        <w:t>circumstances</w:t>
      </w:r>
      <w:r>
        <w:rPr>
          <w:color w:val="231F20"/>
          <w:spacing w:val="-8"/>
        </w:rPr>
        <w:t> </w:t>
      </w:r>
      <w:r>
        <w:rPr>
          <w:color w:val="231F20"/>
        </w:rPr>
        <w:t>faced</w:t>
      </w:r>
      <w:r>
        <w:rPr>
          <w:color w:val="231F20"/>
          <w:spacing w:val="-6"/>
        </w:rPr>
        <w:t> </w:t>
      </w:r>
      <w:r>
        <w:rPr>
          <w:color w:val="231F20"/>
        </w:rPr>
        <w:t>by</w:t>
      </w:r>
      <w:r>
        <w:rPr>
          <w:color w:val="231F20"/>
          <w:spacing w:val="-6"/>
        </w:rPr>
        <w:t> </w:t>
      </w:r>
      <w:r>
        <w:rPr>
          <w:color w:val="231F20"/>
        </w:rPr>
        <w:t>the</w:t>
      </w:r>
      <w:r>
        <w:rPr>
          <w:color w:val="231F20"/>
          <w:spacing w:val="-7"/>
        </w:rPr>
        <w:t> </w:t>
      </w:r>
      <w:r>
        <w:rPr>
          <w:color w:val="231F20"/>
          <w:spacing w:val="-1"/>
        </w:rPr>
        <w:t>majority</w:t>
      </w:r>
      <w:r>
        <w:rPr>
          <w:color w:val="231F20"/>
          <w:spacing w:val="-7"/>
        </w:rPr>
        <w:t> </w:t>
      </w:r>
      <w:r>
        <w:rPr>
          <w:color w:val="231F20"/>
        </w:rPr>
        <w:t>of</w:t>
      </w:r>
      <w:r>
        <w:rPr>
          <w:color w:val="231F20"/>
          <w:spacing w:val="22"/>
          <w:w w:val="99"/>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5"/>
        </w:rPr>
        <w:t> </w:t>
      </w:r>
      <w:r>
        <w:rPr>
          <w:color w:val="231F20"/>
          <w:spacing w:val="-1"/>
        </w:rPr>
        <w:t>Islander</w:t>
      </w:r>
      <w:r>
        <w:rPr>
          <w:color w:val="231F20"/>
          <w:spacing w:val="-5"/>
        </w:rPr>
        <w:t> </w:t>
      </w:r>
      <w:r>
        <w:rPr>
          <w:color w:val="231F20"/>
          <w:spacing w:val="-1"/>
        </w:rPr>
        <w:t>students</w:t>
      </w:r>
      <w:r>
        <w:rPr>
          <w:color w:val="231F20"/>
          <w:spacing w:val="20"/>
        </w:rPr>
        <w:t> </w:t>
      </w:r>
      <w:r>
        <w:rPr>
          <w:color w:val="231F20"/>
        </w:rPr>
        <w:t>attending</w:t>
      </w:r>
      <w:r>
        <w:rPr>
          <w:color w:val="231F20"/>
          <w:spacing w:val="-18"/>
        </w:rPr>
        <w:t> </w:t>
      </w:r>
      <w:r>
        <w:rPr>
          <w:color w:val="231F20"/>
        </w:rPr>
        <w:t>boarding.</w:t>
      </w:r>
      <w:r>
        <w:rPr/>
      </w:r>
    </w:p>
    <w:p>
      <w:pPr>
        <w:pStyle w:val="BodyText"/>
        <w:spacing w:line="250" w:lineRule="exact" w:before="113"/>
        <w:ind w:left="100" w:right="374"/>
        <w:jc w:val="left"/>
      </w:pPr>
      <w:r>
        <w:rPr>
          <w:color w:val="231F20"/>
          <w:spacing w:val="-1"/>
        </w:rPr>
        <w:t>Boarding</w:t>
      </w:r>
      <w:r>
        <w:rPr>
          <w:color w:val="231F20"/>
          <w:spacing w:val="-7"/>
        </w:rPr>
        <w:t> </w:t>
      </w:r>
      <w:r>
        <w:rPr>
          <w:color w:val="231F20"/>
        </w:rPr>
        <w:t>providers</w:t>
      </w:r>
      <w:r>
        <w:rPr>
          <w:color w:val="231F20"/>
          <w:spacing w:val="-8"/>
        </w:rPr>
        <w:t> </w:t>
      </w:r>
      <w:r>
        <w:rPr>
          <w:color w:val="231F20"/>
        </w:rPr>
        <w:t>reported</w:t>
      </w:r>
      <w:r>
        <w:rPr>
          <w:color w:val="231F20"/>
          <w:spacing w:val="-7"/>
        </w:rPr>
        <w:t> </w:t>
      </w:r>
      <w:r>
        <w:rPr>
          <w:color w:val="231F20"/>
        </w:rPr>
        <w:t>the</w:t>
      </w:r>
      <w:r>
        <w:rPr>
          <w:color w:val="231F20"/>
          <w:spacing w:val="-8"/>
        </w:rPr>
        <w:t> </w:t>
      </w:r>
      <w:r>
        <w:rPr>
          <w:color w:val="231F20"/>
        </w:rPr>
        <w:t>need</w:t>
      </w:r>
      <w:r>
        <w:rPr>
          <w:color w:val="231F20"/>
          <w:spacing w:val="-8"/>
        </w:rPr>
        <w:t> </w:t>
      </w:r>
      <w:r>
        <w:rPr>
          <w:color w:val="231F20"/>
        </w:rPr>
        <w:t>to</w:t>
      </w:r>
      <w:r>
        <w:rPr>
          <w:color w:val="231F20"/>
          <w:spacing w:val="22"/>
          <w:w w:val="99"/>
        </w:rPr>
        <w:t> </w:t>
      </w:r>
      <w:r>
        <w:rPr>
          <w:color w:val="231F20"/>
        </w:rPr>
        <w:t>address</w:t>
      </w:r>
      <w:r>
        <w:rPr>
          <w:color w:val="231F20"/>
          <w:spacing w:val="-6"/>
        </w:rPr>
        <w:t> </w:t>
      </w:r>
      <w:r>
        <w:rPr>
          <w:color w:val="231F20"/>
        </w:rPr>
        <w:t>health</w:t>
      </w:r>
      <w:r>
        <w:rPr>
          <w:color w:val="231F20"/>
          <w:spacing w:val="-5"/>
        </w:rPr>
        <w:t> </w:t>
      </w:r>
      <w:r>
        <w:rPr>
          <w:color w:val="231F20"/>
        </w:rPr>
        <w:t>and</w:t>
      </w:r>
      <w:r>
        <w:rPr>
          <w:color w:val="231F20"/>
          <w:spacing w:val="-5"/>
        </w:rPr>
        <w:t> </w:t>
      </w:r>
      <w:r>
        <w:rPr>
          <w:color w:val="231F20"/>
        </w:rPr>
        <w:t>hygiene</w:t>
      </w:r>
      <w:r>
        <w:rPr>
          <w:color w:val="231F20"/>
          <w:spacing w:val="-6"/>
        </w:rPr>
        <w:t> </w:t>
      </w:r>
      <w:r>
        <w:rPr>
          <w:color w:val="231F20"/>
          <w:spacing w:val="-1"/>
        </w:rPr>
        <w:t>issues,</w:t>
      </w:r>
      <w:r>
        <w:rPr>
          <w:color w:val="231F20"/>
          <w:spacing w:val="-4"/>
        </w:rPr>
        <w:t> </w:t>
      </w:r>
      <w:r>
        <w:rPr>
          <w:color w:val="231F20"/>
          <w:spacing w:val="-1"/>
        </w:rPr>
        <w:t>low</w:t>
      </w:r>
      <w:r>
        <w:rPr>
          <w:color w:val="231F20"/>
          <w:spacing w:val="-4"/>
        </w:rPr>
        <w:t> </w:t>
      </w:r>
      <w:r>
        <w:rPr>
          <w:color w:val="231F20"/>
          <w:spacing w:val="-1"/>
        </w:rPr>
        <w:t>levels</w:t>
      </w:r>
      <w:r>
        <w:rPr>
          <w:color w:val="231F20"/>
          <w:spacing w:val="22"/>
        </w:rPr>
        <w:t> </w:t>
      </w:r>
      <w:r>
        <w:rPr>
          <w:color w:val="231F20"/>
        </w:rPr>
        <w:t>of</w:t>
      </w:r>
      <w:r>
        <w:rPr>
          <w:color w:val="231F20"/>
          <w:spacing w:val="-9"/>
        </w:rPr>
        <w:t> </w:t>
      </w:r>
      <w:r>
        <w:rPr>
          <w:color w:val="231F20"/>
          <w:spacing w:val="-1"/>
        </w:rPr>
        <w:t>literacy</w:t>
      </w:r>
      <w:r>
        <w:rPr>
          <w:color w:val="231F20"/>
          <w:spacing w:val="-8"/>
        </w:rPr>
        <w:t> </w:t>
      </w:r>
      <w:r>
        <w:rPr>
          <w:color w:val="231F20"/>
        </w:rPr>
        <w:t>and</w:t>
      </w:r>
      <w:r>
        <w:rPr>
          <w:color w:val="231F20"/>
          <w:spacing w:val="-9"/>
        </w:rPr>
        <w:t> </w:t>
      </w:r>
      <w:r>
        <w:rPr>
          <w:color w:val="231F20"/>
        </w:rPr>
        <w:t>numeracy,</w:t>
      </w:r>
      <w:r>
        <w:rPr>
          <w:color w:val="231F20"/>
          <w:spacing w:val="-8"/>
        </w:rPr>
        <w:t> </w:t>
      </w:r>
      <w:r>
        <w:rPr>
          <w:color w:val="231F20"/>
        </w:rPr>
        <w:t>undiagnosed</w:t>
      </w:r>
      <w:r>
        <w:rPr/>
      </w:r>
    </w:p>
    <w:p>
      <w:pPr>
        <w:pStyle w:val="BodyText"/>
        <w:spacing w:line="250" w:lineRule="exact"/>
        <w:ind w:left="100" w:right="243"/>
        <w:jc w:val="left"/>
      </w:pPr>
      <w:r>
        <w:rPr>
          <w:color w:val="231F20"/>
        </w:rPr>
        <w:t>and</w:t>
      </w:r>
      <w:r>
        <w:rPr>
          <w:color w:val="231F20"/>
          <w:spacing w:val="-8"/>
        </w:rPr>
        <w:t> </w:t>
      </w:r>
      <w:r>
        <w:rPr>
          <w:color w:val="231F20"/>
        </w:rPr>
        <w:t>diagnosed</w:t>
      </w:r>
      <w:r>
        <w:rPr>
          <w:color w:val="231F20"/>
          <w:spacing w:val="-7"/>
        </w:rPr>
        <w:t> </w:t>
      </w:r>
      <w:r>
        <w:rPr>
          <w:color w:val="231F20"/>
        </w:rPr>
        <w:t>disabilities,</w:t>
      </w:r>
      <w:r>
        <w:rPr>
          <w:color w:val="231F20"/>
          <w:spacing w:val="-8"/>
        </w:rPr>
        <w:t> </w:t>
      </w:r>
      <w:r>
        <w:rPr>
          <w:color w:val="231F20"/>
          <w:spacing w:val="-1"/>
        </w:rPr>
        <w:t>maintenance</w:t>
      </w:r>
      <w:r>
        <w:rPr>
          <w:color w:val="231F20"/>
          <w:spacing w:val="-5"/>
        </w:rPr>
        <w:t> </w:t>
      </w:r>
      <w:r>
        <w:rPr>
          <w:color w:val="231F20"/>
        </w:rPr>
        <w:t>of</w:t>
      </w:r>
      <w:r>
        <w:rPr>
          <w:color w:val="231F20"/>
          <w:spacing w:val="22"/>
          <w:w w:val="99"/>
        </w:rPr>
        <w:t> </w:t>
      </w:r>
      <w:r>
        <w:rPr>
          <w:color w:val="231F20"/>
        </w:rPr>
        <w:t>connection</w:t>
      </w:r>
      <w:r>
        <w:rPr>
          <w:color w:val="231F20"/>
          <w:spacing w:val="-7"/>
        </w:rPr>
        <w:t> </w:t>
      </w:r>
      <w:r>
        <w:rPr>
          <w:color w:val="231F20"/>
        </w:rPr>
        <w:t>with</w:t>
      </w:r>
      <w:r>
        <w:rPr>
          <w:color w:val="231F20"/>
          <w:spacing w:val="-7"/>
        </w:rPr>
        <w:t> </w:t>
      </w:r>
      <w:r>
        <w:rPr>
          <w:color w:val="231F20"/>
        </w:rPr>
        <w:t>culture</w:t>
      </w:r>
      <w:r>
        <w:rPr>
          <w:color w:val="231F20"/>
          <w:spacing w:val="-7"/>
        </w:rPr>
        <w:t> </w:t>
      </w:r>
      <w:r>
        <w:rPr>
          <w:color w:val="231F20"/>
        </w:rPr>
        <w:t>and</w:t>
      </w:r>
      <w:r>
        <w:rPr>
          <w:color w:val="231F20"/>
          <w:spacing w:val="-6"/>
        </w:rPr>
        <w:t> </w:t>
      </w:r>
      <w:r>
        <w:rPr>
          <w:color w:val="231F20"/>
        </w:rPr>
        <w:t>community,</w:t>
      </w:r>
      <w:r>
        <w:rPr>
          <w:color w:val="231F20"/>
        </w:rPr>
        <w:t> trauma</w:t>
      </w:r>
      <w:r>
        <w:rPr>
          <w:color w:val="231F20"/>
          <w:spacing w:val="-8"/>
        </w:rPr>
        <w:t> </w:t>
      </w:r>
      <w:r>
        <w:rPr>
          <w:color w:val="231F20"/>
        </w:rPr>
        <w:t>backgrounds</w:t>
      </w:r>
      <w:r>
        <w:rPr>
          <w:color w:val="231F20"/>
          <w:spacing w:val="-9"/>
        </w:rPr>
        <w:t> </w:t>
      </w:r>
      <w:r>
        <w:rPr>
          <w:color w:val="231F20"/>
        </w:rPr>
        <w:t>and</w:t>
      </w:r>
      <w:r>
        <w:rPr>
          <w:color w:val="231F20"/>
          <w:spacing w:val="-8"/>
        </w:rPr>
        <w:t> </w:t>
      </w:r>
      <w:r>
        <w:rPr>
          <w:color w:val="231F20"/>
        </w:rPr>
        <w:t>homesickness.</w:t>
      </w:r>
      <w:r>
        <w:rPr/>
      </w:r>
    </w:p>
    <w:p>
      <w:pPr>
        <w:spacing w:after="0" w:line="250" w:lineRule="exact"/>
        <w:jc w:val="left"/>
        <w:sectPr>
          <w:type w:val="continuous"/>
          <w:pgSz w:w="11910" w:h="16840"/>
          <w:pgMar w:top="1580" w:bottom="280" w:left="1600" w:right="1300"/>
          <w:cols w:num="2" w:equalWidth="0">
            <w:col w:w="4297" w:space="238"/>
            <w:col w:w="4475"/>
          </w:cols>
        </w:sectPr>
      </w:pPr>
    </w:p>
    <w:p>
      <w:pPr>
        <w:spacing w:line="240" w:lineRule="auto" w:before="0"/>
        <w:rPr>
          <w:rFonts w:ascii="Segoe UI" w:hAnsi="Segoe UI" w:cs="Segoe UI" w:eastAsia="Segoe UI"/>
          <w:sz w:val="20"/>
          <w:szCs w:val="20"/>
        </w:rPr>
      </w:pPr>
    </w:p>
    <w:p>
      <w:pPr>
        <w:spacing w:line="240" w:lineRule="auto" w:before="1"/>
        <w:rPr>
          <w:rFonts w:ascii="Segoe UI" w:hAnsi="Segoe UI" w:cs="Segoe UI" w:eastAsia="Segoe UI"/>
          <w:sz w:val="21"/>
          <w:szCs w:val="21"/>
        </w:rPr>
      </w:pPr>
    </w:p>
    <w:p>
      <w:pPr>
        <w:spacing w:after="0" w:line="240" w:lineRule="auto"/>
        <w:rPr>
          <w:rFonts w:ascii="Segoe UI" w:hAnsi="Segoe UI" w:cs="Segoe UI" w:eastAsia="Segoe UI"/>
          <w:sz w:val="21"/>
          <w:szCs w:val="21"/>
        </w:rPr>
        <w:sectPr>
          <w:pgSz w:w="11910" w:h="16840"/>
          <w:pgMar w:header="0" w:footer="691" w:top="1580" w:bottom="880" w:left="1300" w:right="1680"/>
        </w:sectPr>
      </w:pPr>
    </w:p>
    <w:p>
      <w:pPr>
        <w:pStyle w:val="BodyText"/>
        <w:spacing w:line="250" w:lineRule="exact" w:before="69"/>
        <w:ind w:right="151"/>
        <w:jc w:val="left"/>
      </w:pPr>
      <w:r>
        <w:rPr>
          <w:color w:val="231F20"/>
        </w:rPr>
        <w:t>Many</w:t>
      </w:r>
      <w:r>
        <w:rPr>
          <w:color w:val="231F20"/>
          <w:spacing w:val="-4"/>
        </w:rPr>
        <w:t> </w:t>
      </w:r>
      <w:r>
        <w:rPr>
          <w:color w:val="231F20"/>
        </w:rPr>
        <w:t>examples</w:t>
      </w:r>
      <w:r>
        <w:rPr>
          <w:color w:val="231F20"/>
          <w:spacing w:val="-5"/>
        </w:rPr>
        <w:t> </w:t>
      </w:r>
      <w:r>
        <w:rPr>
          <w:color w:val="231F20"/>
        </w:rPr>
        <w:t>were</w:t>
      </w:r>
      <w:r>
        <w:rPr>
          <w:color w:val="231F20"/>
          <w:spacing w:val="-5"/>
        </w:rPr>
        <w:t> </w:t>
      </w:r>
      <w:r>
        <w:rPr>
          <w:color w:val="231F20"/>
        </w:rPr>
        <w:t>provided</w:t>
      </w:r>
      <w:r>
        <w:rPr>
          <w:color w:val="231F20"/>
          <w:spacing w:val="-5"/>
        </w:rPr>
        <w:t> </w:t>
      </w:r>
      <w:r>
        <w:rPr>
          <w:color w:val="231F20"/>
        </w:rPr>
        <w:t>of</w:t>
      </w:r>
      <w:r>
        <w:rPr>
          <w:color w:val="231F20"/>
          <w:spacing w:val="-3"/>
        </w:rPr>
        <w:t> </w:t>
      </w:r>
      <w:r>
        <w:rPr>
          <w:color w:val="231F20"/>
          <w:spacing w:val="-1"/>
        </w:rPr>
        <w:t>successful</w:t>
      </w:r>
      <w:r>
        <w:rPr>
          <w:color w:val="231F20"/>
          <w:spacing w:val="20"/>
        </w:rPr>
        <w:t> </w:t>
      </w:r>
      <w:r>
        <w:rPr>
          <w:color w:val="231F20"/>
          <w:spacing w:val="-1"/>
        </w:rPr>
        <w:t>support</w:t>
      </w:r>
      <w:r>
        <w:rPr>
          <w:color w:val="231F20"/>
          <w:spacing w:val="-4"/>
        </w:rPr>
        <w:t> </w:t>
      </w:r>
      <w:r>
        <w:rPr>
          <w:color w:val="231F20"/>
          <w:spacing w:val="-1"/>
        </w:rPr>
        <w:t>services</w:t>
      </w:r>
      <w:r>
        <w:rPr>
          <w:color w:val="231F20"/>
          <w:spacing w:val="-4"/>
        </w:rPr>
        <w:t> </w:t>
      </w:r>
      <w:r>
        <w:rPr>
          <w:color w:val="231F20"/>
        </w:rPr>
        <w:t>for</w:t>
      </w:r>
      <w:r>
        <w:rPr>
          <w:color w:val="231F20"/>
          <w:spacing w:val="-4"/>
        </w:rPr>
        <w:t> </w:t>
      </w:r>
      <w:r>
        <w:rPr>
          <w:color w:val="231F20"/>
        </w:rPr>
        <w:t>boarding</w:t>
      </w:r>
      <w:r>
        <w:rPr>
          <w:color w:val="231F20"/>
          <w:spacing w:val="-5"/>
        </w:rPr>
        <w:t> </w:t>
      </w:r>
      <w:r>
        <w:rPr>
          <w:color w:val="231F20"/>
          <w:spacing w:val="-1"/>
        </w:rPr>
        <w:t>students</w:t>
      </w:r>
      <w:r>
        <w:rPr>
          <w:color w:val="231F20"/>
          <w:spacing w:val="-4"/>
        </w:rPr>
        <w:t> </w:t>
      </w:r>
      <w:r>
        <w:rPr>
          <w:color w:val="231F20"/>
        </w:rPr>
        <w:t>but</w:t>
      </w:r>
      <w:r>
        <w:rPr>
          <w:color w:val="231F20"/>
          <w:spacing w:val="-4"/>
        </w:rPr>
        <w:t> </w:t>
      </w:r>
      <w:r>
        <w:rPr>
          <w:color w:val="231F20"/>
          <w:spacing w:val="-4"/>
        </w:rPr>
      </w:r>
      <w:r>
        <w:rPr>
          <w:color w:val="231F20"/>
        </w:rPr>
        <w:t>the</w:t>
      </w:r>
      <w:r>
        <w:rPr>
          <w:color w:val="231F20"/>
          <w:spacing w:val="23"/>
        </w:rPr>
        <w:t> </w:t>
      </w:r>
      <w:r>
        <w:rPr>
          <w:color w:val="231F20"/>
        </w:rPr>
        <w:t>extent</w:t>
      </w:r>
      <w:r>
        <w:rPr>
          <w:color w:val="231F20"/>
          <w:spacing w:val="-4"/>
        </w:rPr>
        <w:t> </w:t>
      </w:r>
      <w:r>
        <w:rPr>
          <w:color w:val="231F20"/>
        </w:rPr>
        <w:t>and</w:t>
      </w:r>
      <w:r>
        <w:rPr>
          <w:color w:val="231F20"/>
          <w:spacing w:val="-4"/>
        </w:rPr>
        <w:t> </w:t>
      </w:r>
      <w:r>
        <w:rPr>
          <w:color w:val="231F20"/>
          <w:spacing w:val="-1"/>
        </w:rPr>
        <w:t>level</w:t>
      </w:r>
      <w:r>
        <w:rPr>
          <w:color w:val="231F20"/>
          <w:spacing w:val="-4"/>
        </w:rPr>
        <w:t> </w:t>
      </w:r>
      <w:r>
        <w:rPr>
          <w:color w:val="231F20"/>
        </w:rPr>
        <w:t>of</w:t>
      </w:r>
      <w:r>
        <w:rPr>
          <w:color w:val="231F20"/>
          <w:spacing w:val="-3"/>
        </w:rPr>
        <w:t> </w:t>
      </w:r>
      <w:r>
        <w:rPr>
          <w:color w:val="231F20"/>
        </w:rPr>
        <w:t>the</w:t>
      </w:r>
      <w:r>
        <w:rPr>
          <w:color w:val="231F20"/>
          <w:spacing w:val="-5"/>
        </w:rPr>
        <w:t> </w:t>
      </w:r>
      <w:r>
        <w:rPr>
          <w:color w:val="231F20"/>
          <w:spacing w:val="-1"/>
        </w:rPr>
        <w:t>services</w:t>
      </w:r>
      <w:r>
        <w:rPr>
          <w:color w:val="231F20"/>
          <w:spacing w:val="-3"/>
        </w:rPr>
        <w:t> </w:t>
      </w:r>
      <w:r>
        <w:rPr>
          <w:color w:val="231F20"/>
        </w:rPr>
        <w:t>varied</w:t>
      </w:r>
      <w:r>
        <w:rPr>
          <w:color w:val="231F20"/>
          <w:spacing w:val="-4"/>
        </w:rPr>
        <w:t> </w:t>
      </w:r>
      <w:r>
        <w:rPr>
          <w:color w:val="231F20"/>
          <w:spacing w:val="-4"/>
        </w:rPr>
      </w:r>
      <w:r>
        <w:rPr>
          <w:color w:val="231F20"/>
        </w:rPr>
        <w:t>widely</w:t>
      </w:r>
      <w:r>
        <w:rPr>
          <w:color w:val="231F20"/>
          <w:spacing w:val="22"/>
        </w:rPr>
        <w:t> </w:t>
      </w:r>
      <w:r>
        <w:rPr>
          <w:color w:val="231F20"/>
        </w:rPr>
        <w:t>across</w:t>
      </w:r>
      <w:r>
        <w:rPr>
          <w:color w:val="231F20"/>
          <w:spacing w:val="-7"/>
        </w:rPr>
        <w:t> </w:t>
      </w:r>
      <w:r>
        <w:rPr>
          <w:color w:val="231F20"/>
        </w:rPr>
        <w:t>the</w:t>
      </w:r>
      <w:r>
        <w:rPr>
          <w:color w:val="231F20"/>
          <w:spacing w:val="-7"/>
        </w:rPr>
        <w:t> </w:t>
      </w:r>
      <w:r>
        <w:rPr>
          <w:color w:val="231F20"/>
        </w:rPr>
        <w:t>boarding</w:t>
      </w:r>
      <w:r>
        <w:rPr>
          <w:color w:val="231F20"/>
          <w:spacing w:val="-7"/>
        </w:rPr>
        <w:t> </w:t>
      </w:r>
      <w:r>
        <w:rPr>
          <w:color w:val="231F20"/>
        </w:rPr>
        <w:t>providers</w:t>
      </w:r>
      <w:r>
        <w:rPr>
          <w:color w:val="231F20"/>
          <w:spacing w:val="-7"/>
        </w:rPr>
        <w:t> </w:t>
      </w:r>
      <w:r>
        <w:rPr>
          <w:color w:val="231F20"/>
        </w:rPr>
        <w:t>and</w:t>
      </w:r>
      <w:r>
        <w:rPr>
          <w:color w:val="231F20"/>
          <w:spacing w:val="-6"/>
        </w:rPr>
        <w:t> </w:t>
      </w:r>
      <w:r>
        <w:rPr>
          <w:color w:val="231F20"/>
        </w:rPr>
        <w:t>very</w:t>
      </w:r>
      <w:r>
        <w:rPr>
          <w:color w:val="231F20"/>
          <w:spacing w:val="-7"/>
        </w:rPr>
        <w:t> </w:t>
      </w:r>
      <w:r>
        <w:rPr>
          <w:color w:val="231F20"/>
          <w:spacing w:val="-7"/>
        </w:rPr>
      </w:r>
      <w:r>
        <w:rPr>
          <w:color w:val="231F20"/>
        </w:rPr>
        <w:t>few</w:t>
      </w:r>
      <w:r>
        <w:rPr>
          <w:color w:val="231F20"/>
        </w:rPr>
        <w:t> providers</w:t>
      </w:r>
      <w:r>
        <w:rPr>
          <w:color w:val="231F20"/>
          <w:spacing w:val="-8"/>
        </w:rPr>
        <w:t> </w:t>
      </w:r>
      <w:r>
        <w:rPr>
          <w:color w:val="231F20"/>
          <w:spacing w:val="-1"/>
        </w:rPr>
        <w:t>kept</w:t>
      </w:r>
      <w:r>
        <w:rPr>
          <w:color w:val="231F20"/>
          <w:spacing w:val="-7"/>
        </w:rPr>
        <w:t> </w:t>
      </w:r>
      <w:r>
        <w:rPr>
          <w:color w:val="231F20"/>
        </w:rPr>
        <w:t>accurate</w:t>
      </w:r>
      <w:r>
        <w:rPr>
          <w:color w:val="231F20"/>
          <w:spacing w:val="-7"/>
        </w:rPr>
        <w:t> </w:t>
      </w:r>
      <w:r>
        <w:rPr>
          <w:color w:val="231F20"/>
        </w:rPr>
        <w:t>and</w:t>
      </w:r>
      <w:r>
        <w:rPr>
          <w:color w:val="231F20"/>
          <w:spacing w:val="-8"/>
        </w:rPr>
        <w:t> </w:t>
      </w:r>
      <w:r>
        <w:rPr>
          <w:color w:val="231F20"/>
        </w:rPr>
        <w:t>reliable</w:t>
      </w:r>
      <w:r>
        <w:rPr>
          <w:color w:val="231F20"/>
          <w:spacing w:val="-8"/>
        </w:rPr>
        <w:t> </w:t>
      </w:r>
      <w:r>
        <w:rPr>
          <w:color w:val="231F20"/>
        </w:rPr>
        <w:t>data</w:t>
      </w:r>
      <w:r>
        <w:rPr>
          <w:color w:val="231F20"/>
          <w:spacing w:val="21"/>
          <w:w w:val="99"/>
        </w:rPr>
        <w:t> </w:t>
      </w:r>
      <w:r>
        <w:rPr>
          <w:color w:val="231F20"/>
        </w:rPr>
        <w:t>relating</w:t>
      </w:r>
      <w:r>
        <w:rPr>
          <w:color w:val="231F20"/>
          <w:spacing w:val="-6"/>
        </w:rPr>
        <w:t> </w:t>
      </w:r>
      <w:r>
        <w:rPr>
          <w:color w:val="231F20"/>
        </w:rPr>
        <w:t>to</w:t>
      </w:r>
      <w:r>
        <w:rPr>
          <w:color w:val="231F20"/>
          <w:spacing w:val="-5"/>
        </w:rPr>
        <w:t> </w:t>
      </w:r>
      <w:r>
        <w:rPr>
          <w:color w:val="231F20"/>
        </w:rPr>
        <w:t>the</w:t>
      </w:r>
      <w:r>
        <w:rPr>
          <w:color w:val="231F20"/>
          <w:spacing w:val="-6"/>
        </w:rPr>
        <w:t> </w:t>
      </w:r>
      <w:r>
        <w:rPr>
          <w:color w:val="231F20"/>
        </w:rPr>
        <w:t>actual</w:t>
      </w:r>
      <w:r>
        <w:rPr>
          <w:color w:val="231F20"/>
          <w:spacing w:val="-5"/>
        </w:rPr>
        <w:t> </w:t>
      </w:r>
      <w:r>
        <w:rPr>
          <w:color w:val="231F20"/>
        </w:rPr>
        <w:t>cost</w:t>
      </w:r>
      <w:r>
        <w:rPr>
          <w:color w:val="231F20"/>
          <w:spacing w:val="-6"/>
        </w:rPr>
        <w:t> </w:t>
      </w:r>
      <w:r>
        <w:rPr>
          <w:color w:val="231F20"/>
        </w:rPr>
        <w:t>(direct</w:t>
      </w:r>
      <w:r>
        <w:rPr>
          <w:color w:val="231F20"/>
          <w:spacing w:val="-6"/>
        </w:rPr>
        <w:t> </w:t>
      </w:r>
      <w:r>
        <w:rPr>
          <w:color w:val="231F20"/>
        </w:rPr>
        <w:t>and</w:t>
      </w:r>
      <w:r>
        <w:rPr>
          <w:color w:val="231F20"/>
          <w:spacing w:val="-5"/>
        </w:rPr>
        <w:t> </w:t>
      </w:r>
      <w:r>
        <w:rPr>
          <w:color w:val="231F20"/>
          <w:spacing w:val="-1"/>
        </w:rPr>
        <w:t>indirect)</w:t>
      </w:r>
      <w:r>
        <w:rPr>
          <w:color w:val="231F20"/>
          <w:spacing w:val="20"/>
          <w:w w:val="99"/>
        </w:rPr>
        <w:t> </w:t>
      </w:r>
      <w:r>
        <w:rPr>
          <w:color w:val="231F20"/>
        </w:rPr>
        <w:t>of</w:t>
      </w:r>
      <w:r>
        <w:rPr>
          <w:color w:val="231F20"/>
          <w:spacing w:val="-4"/>
        </w:rPr>
        <w:t> </w:t>
      </w:r>
      <w:r>
        <w:rPr>
          <w:color w:val="231F20"/>
        </w:rPr>
        <w:t>these</w:t>
      </w:r>
      <w:r>
        <w:rPr>
          <w:color w:val="231F20"/>
          <w:spacing w:val="-4"/>
        </w:rPr>
        <w:t> </w:t>
      </w:r>
      <w:r>
        <w:rPr>
          <w:color w:val="231F20"/>
          <w:spacing w:val="-1"/>
        </w:rPr>
        <w:t>services.</w:t>
      </w:r>
      <w:r>
        <w:rPr>
          <w:color w:val="231F20"/>
          <w:spacing w:val="-2"/>
        </w:rPr>
        <w:t> </w:t>
      </w:r>
      <w:r>
        <w:rPr>
          <w:color w:val="231F20"/>
        </w:rPr>
        <w:t>The</w:t>
      </w:r>
      <w:r>
        <w:rPr>
          <w:color w:val="231F20"/>
          <w:spacing w:val="-3"/>
        </w:rPr>
        <w:t> </w:t>
      </w:r>
      <w:r>
        <w:rPr>
          <w:color w:val="231F20"/>
        </w:rPr>
        <w:t>variance</w:t>
      </w:r>
      <w:r>
        <w:rPr>
          <w:color w:val="231F20"/>
          <w:spacing w:val="-3"/>
        </w:rPr>
        <w:t> </w:t>
      </w:r>
      <w:r>
        <w:rPr>
          <w:color w:val="231F20"/>
          <w:spacing w:val="-1"/>
        </w:rPr>
        <w:t>in</w:t>
      </w:r>
      <w:r>
        <w:rPr>
          <w:color w:val="231F20"/>
          <w:spacing w:val="-4"/>
        </w:rPr>
        <w:t> </w:t>
      </w:r>
      <w:r>
        <w:rPr>
          <w:color w:val="231F20"/>
          <w:spacing w:val="-1"/>
        </w:rPr>
        <w:t>support</w:t>
      </w:r>
      <w:r>
        <w:rPr>
          <w:color w:val="231F20"/>
          <w:spacing w:val="22"/>
          <w:w w:val="99"/>
        </w:rPr>
        <w:t> </w:t>
      </w:r>
      <w:r>
        <w:rPr>
          <w:color w:val="231F20"/>
          <w:spacing w:val="-1"/>
        </w:rPr>
        <w:t>services</w:t>
      </w:r>
      <w:r>
        <w:rPr>
          <w:color w:val="231F20"/>
          <w:spacing w:val="-4"/>
        </w:rPr>
        <w:t> </w:t>
      </w:r>
      <w:r>
        <w:rPr>
          <w:color w:val="231F20"/>
          <w:spacing w:val="-1"/>
        </w:rPr>
        <w:t>may</w:t>
      </w:r>
      <w:r>
        <w:rPr>
          <w:color w:val="231F20"/>
          <w:spacing w:val="-3"/>
        </w:rPr>
        <w:t> </w:t>
      </w:r>
      <w:r>
        <w:rPr>
          <w:color w:val="231F20"/>
        </w:rPr>
        <w:t>be</w:t>
      </w:r>
      <w:r>
        <w:rPr>
          <w:color w:val="231F20"/>
          <w:spacing w:val="-3"/>
        </w:rPr>
        <w:t> </w:t>
      </w:r>
      <w:r>
        <w:rPr>
          <w:color w:val="231F20"/>
        </w:rPr>
        <w:t>explained</w:t>
      </w:r>
      <w:r>
        <w:rPr>
          <w:color w:val="231F20"/>
          <w:spacing w:val="-4"/>
        </w:rPr>
        <w:t> </w:t>
      </w:r>
      <w:r>
        <w:rPr>
          <w:color w:val="231F20"/>
        </w:rPr>
        <w:t>by</w:t>
      </w:r>
      <w:r>
        <w:rPr>
          <w:color w:val="231F20"/>
          <w:spacing w:val="-3"/>
        </w:rPr>
        <w:t> </w:t>
      </w:r>
      <w:r>
        <w:rPr>
          <w:color w:val="231F20"/>
        </w:rPr>
        <w:t>the</w:t>
      </w:r>
      <w:r>
        <w:rPr>
          <w:color w:val="231F20"/>
          <w:spacing w:val="-4"/>
        </w:rPr>
        <w:t> </w:t>
      </w:r>
      <w:r>
        <w:rPr>
          <w:color w:val="231F20"/>
        </w:rPr>
        <w:t>need</w:t>
      </w:r>
      <w:r>
        <w:rPr>
          <w:color w:val="231F20"/>
          <w:spacing w:val="-4"/>
        </w:rPr>
        <w:t> </w:t>
      </w:r>
      <w:r>
        <w:rPr>
          <w:color w:val="231F20"/>
        </w:rPr>
        <w:t>to</w:t>
      </w:r>
      <w:r>
        <w:rPr>
          <w:color w:val="231F20"/>
          <w:spacing w:val="23"/>
          <w:w w:val="99"/>
        </w:rPr>
        <w:t> </w:t>
      </w:r>
      <w:r>
        <w:rPr>
          <w:color w:val="231F20"/>
        </w:rPr>
        <w:t>develop</w:t>
      </w:r>
      <w:r>
        <w:rPr>
          <w:color w:val="231F20"/>
          <w:spacing w:val="-5"/>
        </w:rPr>
        <w:t> </w:t>
      </w:r>
      <w:r>
        <w:rPr>
          <w:color w:val="231F20"/>
          <w:spacing w:val="-1"/>
        </w:rPr>
        <w:t>individualised</w:t>
      </w:r>
      <w:r>
        <w:rPr>
          <w:color w:val="231F20"/>
          <w:spacing w:val="-3"/>
        </w:rPr>
        <w:t> </w:t>
      </w:r>
      <w:r>
        <w:rPr>
          <w:color w:val="231F20"/>
          <w:spacing w:val="-1"/>
        </w:rPr>
        <w:t>support</w:t>
      </w:r>
      <w:r>
        <w:rPr>
          <w:color w:val="231F20"/>
          <w:spacing w:val="-4"/>
        </w:rPr>
        <w:t> </w:t>
      </w:r>
      <w:r>
        <w:rPr>
          <w:color w:val="231F20"/>
          <w:spacing w:val="-1"/>
        </w:rPr>
        <w:t>services</w:t>
      </w:r>
      <w:r>
        <w:rPr>
          <w:color w:val="231F20"/>
          <w:spacing w:val="-3"/>
        </w:rPr>
        <w:t> </w:t>
      </w:r>
      <w:r>
        <w:rPr>
          <w:color w:val="231F20"/>
          <w:spacing w:val="-1"/>
        </w:rPr>
        <w:t>suited</w:t>
      </w:r>
      <w:r>
        <w:rPr>
          <w:color w:val="231F20"/>
          <w:spacing w:val="23"/>
        </w:rPr>
        <w:t> </w:t>
      </w:r>
      <w:r>
        <w:rPr>
          <w:color w:val="231F20"/>
        </w:rPr>
        <w:t>to</w:t>
      </w:r>
      <w:r>
        <w:rPr>
          <w:color w:val="231F20"/>
          <w:spacing w:val="-5"/>
        </w:rPr>
        <w:t> </w:t>
      </w:r>
      <w:r>
        <w:rPr>
          <w:color w:val="231F20"/>
        </w:rPr>
        <w:t>the</w:t>
      </w:r>
      <w:r>
        <w:rPr>
          <w:color w:val="231F20"/>
          <w:spacing w:val="-5"/>
        </w:rPr>
        <w:t> </w:t>
      </w:r>
      <w:r>
        <w:rPr>
          <w:color w:val="231F20"/>
        </w:rPr>
        <w:t>needs</w:t>
      </w:r>
      <w:r>
        <w:rPr>
          <w:color w:val="231F20"/>
          <w:spacing w:val="-6"/>
        </w:rPr>
        <w:t> </w:t>
      </w:r>
      <w:r>
        <w:rPr>
          <w:color w:val="231F20"/>
        </w:rPr>
        <w:t>of</w:t>
      </w:r>
      <w:r>
        <w:rPr>
          <w:color w:val="231F20"/>
          <w:spacing w:val="-5"/>
        </w:rPr>
        <w:t> </w:t>
      </w:r>
      <w:r>
        <w:rPr>
          <w:color w:val="231F20"/>
        </w:rPr>
        <w:t>particular</w:t>
      </w:r>
      <w:r>
        <w:rPr>
          <w:color w:val="231F20"/>
          <w:spacing w:val="-5"/>
        </w:rPr>
        <w:t> </w:t>
      </w:r>
      <w:r>
        <w:rPr>
          <w:color w:val="231F20"/>
        </w:rPr>
        <w:t>cohorts</w:t>
      </w:r>
      <w:r>
        <w:rPr>
          <w:color w:val="231F20"/>
          <w:spacing w:val="-5"/>
        </w:rPr>
        <w:t> </w:t>
      </w:r>
      <w:r>
        <w:rPr>
          <w:color w:val="231F20"/>
        </w:rPr>
        <w:t>of</w:t>
      </w:r>
      <w:r>
        <w:rPr>
          <w:color w:val="231F20"/>
          <w:spacing w:val="-5"/>
        </w:rPr>
        <w:t> </w:t>
      </w:r>
      <w:r>
        <w:rPr>
          <w:color w:val="231F20"/>
        </w:rPr>
        <w:t>boarders.</w:t>
      </w:r>
      <w:r>
        <w:rPr/>
      </w:r>
    </w:p>
    <w:p>
      <w:pPr>
        <w:pStyle w:val="BodyText"/>
        <w:spacing w:line="250" w:lineRule="exact" w:before="113"/>
        <w:ind w:right="0"/>
        <w:jc w:val="left"/>
      </w:pPr>
      <w:r>
        <w:rPr>
          <w:color w:val="231F20"/>
        </w:rPr>
        <w:t>The</w:t>
      </w:r>
      <w:r>
        <w:rPr>
          <w:color w:val="231F20"/>
          <w:spacing w:val="-7"/>
        </w:rPr>
        <w:t> </w:t>
      </w:r>
      <w:r>
        <w:rPr>
          <w:color w:val="231F20"/>
          <w:spacing w:val="-1"/>
        </w:rPr>
        <w:t>strength</w:t>
      </w:r>
      <w:r>
        <w:rPr>
          <w:color w:val="231F20"/>
          <w:spacing w:val="-5"/>
        </w:rPr>
        <w:t> </w:t>
      </w:r>
      <w:r>
        <w:rPr>
          <w:color w:val="231F20"/>
        </w:rPr>
        <w:t>of</w:t>
      </w:r>
      <w:r>
        <w:rPr>
          <w:color w:val="231F20"/>
          <w:spacing w:val="-7"/>
        </w:rPr>
        <w:t> </w:t>
      </w:r>
      <w:r>
        <w:rPr>
          <w:color w:val="231F20"/>
        </w:rPr>
        <w:t>evidence</w:t>
      </w:r>
      <w:r>
        <w:rPr>
          <w:color w:val="231F20"/>
          <w:spacing w:val="-7"/>
        </w:rPr>
        <w:t> </w:t>
      </w:r>
      <w:r>
        <w:rPr>
          <w:color w:val="231F20"/>
        </w:rPr>
        <w:t>regarding</w:t>
      </w:r>
      <w:r>
        <w:rPr>
          <w:color w:val="231F20"/>
          <w:spacing w:val="-7"/>
        </w:rPr>
        <w:t> </w:t>
      </w:r>
      <w:r>
        <w:rPr>
          <w:color w:val="231F20"/>
        </w:rPr>
        <w:t>the</w:t>
      </w:r>
      <w:r>
        <w:rPr>
          <w:color w:val="231F20"/>
          <w:spacing w:val="-7"/>
        </w:rPr>
        <w:t> </w:t>
      </w:r>
      <w:r>
        <w:rPr>
          <w:color w:val="231F20"/>
          <w:spacing w:val="-1"/>
        </w:rPr>
        <w:t>impact</w:t>
      </w:r>
      <w:r>
        <w:rPr>
          <w:color w:val="231F20"/>
          <w:spacing w:val="21"/>
          <w:w w:val="99"/>
        </w:rPr>
        <w:t> </w:t>
      </w:r>
      <w:r>
        <w:rPr>
          <w:color w:val="231F20"/>
        </w:rPr>
        <w:t>and</w:t>
      </w:r>
      <w:r>
        <w:rPr>
          <w:color w:val="231F20"/>
          <w:spacing w:val="-3"/>
        </w:rPr>
        <w:t> </w:t>
      </w:r>
      <w:r>
        <w:rPr>
          <w:color w:val="231F20"/>
        </w:rPr>
        <w:t>outcomes</w:t>
      </w:r>
      <w:r>
        <w:rPr>
          <w:color w:val="231F20"/>
          <w:spacing w:val="-3"/>
        </w:rPr>
        <w:t> </w:t>
      </w:r>
      <w:r>
        <w:rPr>
          <w:color w:val="231F20"/>
        </w:rPr>
        <w:t>of</w:t>
      </w:r>
      <w:r>
        <w:rPr>
          <w:color w:val="231F20"/>
          <w:spacing w:val="-2"/>
        </w:rPr>
        <w:t> </w:t>
      </w:r>
      <w:r>
        <w:rPr>
          <w:color w:val="231F20"/>
          <w:spacing w:val="-1"/>
        </w:rPr>
        <w:t>investment</w:t>
      </w:r>
      <w:r>
        <w:rPr>
          <w:color w:val="231F20"/>
          <w:spacing w:val="-2"/>
        </w:rPr>
        <w:t> </w:t>
      </w:r>
      <w:r>
        <w:rPr>
          <w:color w:val="231F20"/>
          <w:spacing w:val="-1"/>
        </w:rPr>
        <w:t>in</w:t>
      </w:r>
      <w:r>
        <w:rPr>
          <w:color w:val="231F20"/>
          <w:spacing w:val="-2"/>
        </w:rPr>
        <w:t> </w:t>
      </w:r>
      <w:r>
        <w:rPr>
          <w:color w:val="231F20"/>
          <w:spacing w:val="-1"/>
        </w:rPr>
        <w:t>support</w:t>
      </w:r>
      <w:r>
        <w:rPr>
          <w:color w:val="231F20"/>
          <w:spacing w:val="-2"/>
        </w:rPr>
        <w:t> </w:t>
      </w:r>
      <w:r>
        <w:rPr>
          <w:color w:val="231F20"/>
          <w:spacing w:val="-1"/>
        </w:rPr>
        <w:t>services</w:t>
      </w:r>
      <w:r>
        <w:rPr>
          <w:color w:val="231F20"/>
          <w:spacing w:val="23"/>
        </w:rPr>
        <w:t> </w:t>
      </w:r>
      <w:r>
        <w:rPr>
          <w:color w:val="231F20"/>
        </w:rPr>
        <w:t>for</w:t>
      </w:r>
      <w:r>
        <w:rPr>
          <w:color w:val="231F20"/>
          <w:spacing w:val="-5"/>
        </w:rPr>
        <w:t> </w:t>
      </w:r>
      <w:r>
        <w:rPr>
          <w:color w:val="231F20"/>
        </w:rPr>
        <w:t>boarders</w:t>
      </w:r>
      <w:r>
        <w:rPr>
          <w:color w:val="231F20"/>
          <w:spacing w:val="-6"/>
        </w:rPr>
        <w:t> </w:t>
      </w:r>
      <w:r>
        <w:rPr>
          <w:color w:val="231F20"/>
          <w:spacing w:val="-1"/>
        </w:rPr>
        <w:t>is</w:t>
      </w:r>
      <w:r>
        <w:rPr>
          <w:color w:val="231F20"/>
          <w:spacing w:val="-5"/>
        </w:rPr>
        <w:t> </w:t>
      </w:r>
      <w:r>
        <w:rPr>
          <w:color w:val="231F20"/>
          <w:spacing w:val="-1"/>
        </w:rPr>
        <w:t>sparse</w:t>
      </w:r>
      <w:r>
        <w:rPr>
          <w:color w:val="231F20"/>
          <w:spacing w:val="-5"/>
        </w:rPr>
        <w:t> </w:t>
      </w:r>
      <w:r>
        <w:rPr>
          <w:color w:val="231F20"/>
        </w:rPr>
        <w:t>and</w:t>
      </w:r>
      <w:r>
        <w:rPr>
          <w:color w:val="231F20"/>
          <w:spacing w:val="-6"/>
        </w:rPr>
        <w:t> </w:t>
      </w:r>
      <w:r>
        <w:rPr>
          <w:color w:val="231F20"/>
          <w:spacing w:val="-1"/>
        </w:rPr>
        <w:t>largely</w:t>
      </w:r>
      <w:r>
        <w:rPr>
          <w:color w:val="231F20"/>
          <w:spacing w:val="-4"/>
        </w:rPr>
        <w:t> </w:t>
      </w:r>
      <w:r>
        <w:rPr>
          <w:color w:val="231F20"/>
          <w:spacing w:val="-1"/>
        </w:rPr>
        <w:t>anecdotal</w:t>
      </w:r>
      <w:r>
        <w:rPr>
          <w:rFonts w:ascii="Segoe UI Semibold"/>
          <w:b/>
          <w:color w:val="231F20"/>
          <w:spacing w:val="-1"/>
          <w:position w:val="7"/>
          <w:sz w:val="11"/>
        </w:rPr>
        <w:t>18</w:t>
      </w:r>
      <w:r>
        <w:rPr>
          <w:color w:val="231F20"/>
          <w:spacing w:val="-1"/>
        </w:rPr>
        <w:t>.</w:t>
      </w:r>
      <w:r>
        <w:rPr/>
      </w:r>
    </w:p>
    <w:p>
      <w:pPr>
        <w:pStyle w:val="BodyText"/>
        <w:spacing w:line="250" w:lineRule="exact"/>
        <w:ind w:right="151"/>
        <w:jc w:val="left"/>
      </w:pPr>
      <w:r>
        <w:rPr>
          <w:color w:val="231F20"/>
        </w:rPr>
        <w:t>There</w:t>
      </w:r>
      <w:r>
        <w:rPr>
          <w:color w:val="231F20"/>
          <w:spacing w:val="-5"/>
        </w:rPr>
        <w:t> </w:t>
      </w:r>
      <w:r>
        <w:rPr>
          <w:color w:val="231F20"/>
          <w:spacing w:val="-1"/>
        </w:rPr>
        <w:t>is</w:t>
      </w:r>
      <w:r>
        <w:rPr>
          <w:color w:val="231F20"/>
          <w:spacing w:val="-5"/>
        </w:rPr>
        <w:t> </w:t>
      </w:r>
      <w:r>
        <w:rPr>
          <w:color w:val="231F20"/>
        </w:rPr>
        <w:t>a</w:t>
      </w:r>
      <w:r>
        <w:rPr>
          <w:color w:val="231F20"/>
          <w:spacing w:val="-4"/>
        </w:rPr>
        <w:t> </w:t>
      </w:r>
      <w:r>
        <w:rPr>
          <w:color w:val="231F20"/>
        </w:rPr>
        <w:t>need</w:t>
      </w:r>
      <w:r>
        <w:rPr>
          <w:color w:val="231F20"/>
          <w:spacing w:val="-5"/>
        </w:rPr>
        <w:t> </w:t>
      </w:r>
      <w:r>
        <w:rPr>
          <w:color w:val="231F20"/>
        </w:rPr>
        <w:t>for</w:t>
      </w:r>
      <w:r>
        <w:rPr>
          <w:color w:val="231F20"/>
          <w:spacing w:val="-4"/>
        </w:rPr>
        <w:t> </w:t>
      </w:r>
      <w:r>
        <w:rPr>
          <w:color w:val="231F20"/>
        </w:rPr>
        <w:t>further</w:t>
      </w:r>
      <w:r>
        <w:rPr>
          <w:color w:val="231F20"/>
          <w:spacing w:val="-4"/>
        </w:rPr>
        <w:t> </w:t>
      </w:r>
      <w:r>
        <w:rPr>
          <w:color w:val="231F20"/>
        </w:rPr>
        <w:t>research</w:t>
      </w:r>
      <w:r>
        <w:rPr>
          <w:color w:val="231F20"/>
          <w:spacing w:val="-5"/>
        </w:rPr>
        <w:t> </w:t>
      </w:r>
      <w:r>
        <w:rPr>
          <w:color w:val="231F20"/>
          <w:spacing w:val="-1"/>
        </w:rPr>
        <w:t>into</w:t>
      </w:r>
      <w:r>
        <w:rPr>
          <w:color w:val="231F20"/>
          <w:spacing w:val="-4"/>
        </w:rPr>
        <w:t> </w:t>
      </w:r>
      <w:r>
        <w:rPr>
          <w:color w:val="231F20"/>
        </w:rPr>
        <w:t>the</w:t>
      </w:r>
      <w:r>
        <w:rPr>
          <w:color w:val="231F20"/>
          <w:spacing w:val="22"/>
          <w:w w:val="99"/>
        </w:rPr>
        <w:t> </w:t>
      </w:r>
      <w:r>
        <w:rPr>
          <w:color w:val="231F20"/>
          <w:spacing w:val="-1"/>
        </w:rPr>
        <w:t>support</w:t>
      </w:r>
      <w:r>
        <w:rPr>
          <w:color w:val="231F20"/>
          <w:spacing w:val="-6"/>
        </w:rPr>
        <w:t> </w:t>
      </w:r>
      <w:r>
        <w:rPr>
          <w:color w:val="231F20"/>
          <w:spacing w:val="-1"/>
        </w:rPr>
        <w:t>services</w:t>
      </w:r>
      <w:r>
        <w:rPr>
          <w:color w:val="231F20"/>
          <w:spacing w:val="-6"/>
        </w:rPr>
        <w:t> </w:t>
      </w:r>
      <w:r>
        <w:rPr>
          <w:color w:val="231F20"/>
        </w:rPr>
        <w:t>required</w:t>
      </w:r>
      <w:r>
        <w:rPr>
          <w:color w:val="231F20"/>
          <w:spacing w:val="-7"/>
        </w:rPr>
        <w:t> </w:t>
      </w:r>
      <w:r>
        <w:rPr>
          <w:color w:val="231F20"/>
        </w:rPr>
        <w:t>by</w:t>
      </w:r>
      <w:r>
        <w:rPr>
          <w:color w:val="231F20"/>
          <w:spacing w:val="-6"/>
        </w:rPr>
        <w:t> </w:t>
      </w:r>
      <w:r>
        <w:rPr>
          <w:color w:val="231F20"/>
        </w:rPr>
        <w:t>Aboriginal</w:t>
      </w:r>
      <w:r>
        <w:rPr>
          <w:color w:val="231F20"/>
          <w:spacing w:val="-5"/>
        </w:rPr>
        <w:t> </w:t>
      </w:r>
      <w:r>
        <w:rPr>
          <w:color w:val="231F20"/>
        </w:rPr>
        <w:t>and</w:t>
      </w:r>
      <w:r>
        <w:rPr>
          <w:color w:val="231F20"/>
          <w:spacing w:val="23"/>
          <w:w w:val="99"/>
        </w:rPr>
        <w:t> </w:t>
      </w:r>
      <w:r>
        <w:rPr>
          <w:color w:val="231F20"/>
          <w:spacing w:val="-5"/>
        </w:rPr>
        <w:t>Torres</w:t>
      </w:r>
      <w:r>
        <w:rPr>
          <w:color w:val="231F20"/>
          <w:spacing w:val="-6"/>
        </w:rPr>
        <w:t> </w:t>
      </w:r>
      <w:r>
        <w:rPr>
          <w:color w:val="231F20"/>
          <w:spacing w:val="-2"/>
        </w:rPr>
        <w:t>Strait</w:t>
      </w:r>
      <w:r>
        <w:rPr>
          <w:color w:val="231F20"/>
          <w:spacing w:val="-6"/>
        </w:rPr>
        <w:t> </w:t>
      </w:r>
      <w:r>
        <w:rPr>
          <w:color w:val="231F20"/>
          <w:spacing w:val="-1"/>
        </w:rPr>
        <w:t>Islander</w:t>
      </w:r>
      <w:r>
        <w:rPr>
          <w:color w:val="231F20"/>
          <w:spacing w:val="-5"/>
        </w:rPr>
        <w:t> </w:t>
      </w:r>
      <w:r>
        <w:rPr>
          <w:color w:val="231F20"/>
        </w:rPr>
        <w:t>boarders</w:t>
      </w:r>
      <w:r>
        <w:rPr>
          <w:color w:val="231F20"/>
          <w:spacing w:val="-6"/>
        </w:rPr>
        <w:t> </w:t>
      </w:r>
      <w:r>
        <w:rPr>
          <w:color w:val="231F20"/>
        </w:rPr>
        <w:t>and</w:t>
      </w:r>
      <w:r>
        <w:rPr>
          <w:color w:val="231F20"/>
          <w:spacing w:val="-6"/>
        </w:rPr>
        <w:t> </w:t>
      </w:r>
      <w:r>
        <w:rPr>
          <w:color w:val="231F20"/>
        </w:rPr>
        <w:t>to</w:t>
      </w:r>
      <w:r>
        <w:rPr>
          <w:color w:val="231F20"/>
          <w:spacing w:val="-5"/>
        </w:rPr>
        <w:t> </w:t>
      </w:r>
      <w:r>
        <w:rPr>
          <w:color w:val="231F20"/>
          <w:spacing w:val="-1"/>
        </w:rPr>
        <w:t>measure</w:t>
      </w:r>
      <w:r>
        <w:rPr>
          <w:color w:val="231F20"/>
          <w:spacing w:val="20"/>
          <w:w w:val="99"/>
        </w:rPr>
        <w:t> </w:t>
      </w:r>
      <w:r>
        <w:rPr>
          <w:color w:val="231F20"/>
        </w:rPr>
        <w:t>the</w:t>
      </w:r>
      <w:r>
        <w:rPr>
          <w:color w:val="231F20"/>
          <w:spacing w:val="-5"/>
        </w:rPr>
        <w:t> </w:t>
      </w:r>
      <w:r>
        <w:rPr>
          <w:color w:val="231F20"/>
          <w:spacing w:val="-1"/>
        </w:rPr>
        <w:t>impact</w:t>
      </w:r>
      <w:r>
        <w:rPr>
          <w:color w:val="231F20"/>
          <w:spacing w:val="-3"/>
        </w:rPr>
        <w:t> </w:t>
      </w:r>
      <w:r>
        <w:rPr>
          <w:color w:val="231F20"/>
        </w:rPr>
        <w:t>of</w:t>
      </w:r>
      <w:r>
        <w:rPr>
          <w:color w:val="231F20"/>
          <w:spacing w:val="-4"/>
        </w:rPr>
        <w:t> </w:t>
      </w:r>
      <w:r>
        <w:rPr>
          <w:color w:val="231F20"/>
        </w:rPr>
        <w:t>the</w:t>
      </w:r>
      <w:r>
        <w:rPr>
          <w:color w:val="231F20"/>
          <w:spacing w:val="-4"/>
        </w:rPr>
        <w:t> </w:t>
      </w:r>
      <w:r>
        <w:rPr>
          <w:color w:val="231F20"/>
          <w:spacing w:val="-1"/>
        </w:rPr>
        <w:t>investment</w:t>
      </w:r>
      <w:r>
        <w:rPr>
          <w:color w:val="231F20"/>
          <w:spacing w:val="-3"/>
        </w:rPr>
        <w:t> </w:t>
      </w:r>
      <w:r>
        <w:rPr>
          <w:color w:val="231F20"/>
          <w:spacing w:val="-1"/>
        </w:rPr>
        <w:t>in</w:t>
      </w:r>
      <w:r>
        <w:rPr>
          <w:color w:val="231F20"/>
          <w:spacing w:val="-4"/>
        </w:rPr>
        <w:t> </w:t>
      </w:r>
      <w:r>
        <w:rPr>
          <w:color w:val="231F20"/>
          <w:spacing w:val="-1"/>
        </w:rPr>
        <w:t>support</w:t>
      </w:r>
      <w:r>
        <w:rPr>
          <w:color w:val="231F20"/>
          <w:spacing w:val="23"/>
          <w:w w:val="99"/>
        </w:rPr>
        <w:t> </w:t>
      </w:r>
      <w:r>
        <w:rPr>
          <w:color w:val="231F20"/>
          <w:spacing w:val="-1"/>
        </w:rPr>
        <w:t>services</w:t>
      </w:r>
      <w:r>
        <w:rPr>
          <w:color w:val="231F20"/>
          <w:spacing w:val="-4"/>
        </w:rPr>
        <w:t> </w:t>
      </w:r>
      <w:r>
        <w:rPr>
          <w:color w:val="231F20"/>
          <w:spacing w:val="-1"/>
        </w:rPr>
        <w:t>in</w:t>
      </w:r>
      <w:r>
        <w:rPr>
          <w:color w:val="231F20"/>
          <w:spacing w:val="-4"/>
        </w:rPr>
        <w:t> </w:t>
      </w:r>
      <w:r>
        <w:rPr>
          <w:color w:val="231F20"/>
        </w:rPr>
        <w:t>delivering</w:t>
      </w:r>
      <w:r>
        <w:rPr>
          <w:color w:val="231F20"/>
          <w:spacing w:val="-5"/>
        </w:rPr>
        <w:t> </w:t>
      </w:r>
      <w:r>
        <w:rPr>
          <w:color w:val="231F20"/>
        </w:rPr>
        <w:t>the</w:t>
      </w:r>
      <w:r>
        <w:rPr>
          <w:color w:val="231F20"/>
          <w:spacing w:val="-5"/>
        </w:rPr>
        <w:t> </w:t>
      </w:r>
      <w:r>
        <w:rPr>
          <w:color w:val="231F20"/>
          <w:spacing w:val="-1"/>
        </w:rPr>
        <w:t>intended</w:t>
      </w:r>
      <w:r>
        <w:rPr>
          <w:color w:val="231F20"/>
          <w:spacing w:val="-4"/>
        </w:rPr>
        <w:t> </w:t>
      </w:r>
      <w:r>
        <w:rPr>
          <w:color w:val="231F20"/>
        </w:rPr>
        <w:t>objectives</w:t>
      </w:r>
      <w:r>
        <w:rPr>
          <w:color w:val="231F20"/>
          <w:spacing w:val="24"/>
        </w:rPr>
        <w:t> </w:t>
      </w:r>
      <w:r>
        <w:rPr>
          <w:color w:val="231F20"/>
        </w:rPr>
        <w:t>of</w:t>
      </w:r>
      <w:r>
        <w:rPr>
          <w:color w:val="231F20"/>
          <w:spacing w:val="-11"/>
        </w:rPr>
        <w:t> </w:t>
      </w:r>
      <w:r>
        <w:rPr>
          <w:color w:val="231F20"/>
        </w:rPr>
        <w:t>boarding.</w:t>
      </w:r>
      <w:r>
        <w:rPr/>
      </w:r>
    </w:p>
    <w:p>
      <w:pPr>
        <w:pStyle w:val="BodyText"/>
        <w:spacing w:line="250" w:lineRule="exact" w:before="113"/>
        <w:ind w:right="178"/>
        <w:jc w:val="left"/>
        <w:rPr>
          <w:rFonts w:ascii="Segoe UI" w:hAnsi="Segoe UI" w:cs="Segoe UI" w:eastAsia="Segoe UI"/>
        </w:rPr>
      </w:pP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6"/>
        </w:rPr>
        <w:t> </w:t>
      </w:r>
      <w:r>
        <w:rPr>
          <w:color w:val="231F20"/>
        </w:rPr>
        <w:t>and</w:t>
      </w:r>
      <w:r>
        <w:rPr>
          <w:color w:val="231F20"/>
          <w:spacing w:val="-6"/>
        </w:rPr>
        <w:t> </w:t>
      </w:r>
      <w:r>
        <w:rPr>
          <w:color w:val="231F20"/>
        </w:rPr>
        <w:t>peak</w:t>
      </w:r>
      <w:r>
        <w:rPr>
          <w:color w:val="231F20"/>
          <w:spacing w:val="-5"/>
        </w:rPr>
        <w:t> </w:t>
      </w:r>
      <w:r>
        <w:rPr>
          <w:color w:val="231F20"/>
        </w:rPr>
        <w:t>bodies</w:t>
      </w:r>
      <w:r>
        <w:rPr>
          <w:color w:val="231F20"/>
          <w:spacing w:val="-6"/>
        </w:rPr>
        <w:t> </w:t>
      </w:r>
      <w:r>
        <w:rPr>
          <w:color w:val="231F20"/>
        </w:rPr>
        <w:t>noted</w:t>
      </w:r>
      <w:r>
        <w:rPr>
          <w:color w:val="231F20"/>
          <w:spacing w:val="-5"/>
        </w:rPr>
        <w:t> </w:t>
      </w:r>
      <w:r>
        <w:rPr>
          <w:color w:val="231F20"/>
        </w:rPr>
        <w:t>that</w:t>
      </w:r>
      <w:r>
        <w:rPr>
          <w:color w:val="231F20"/>
          <w:spacing w:val="-6"/>
        </w:rPr>
        <w:t> </w:t>
      </w:r>
      <w:r>
        <w:rPr>
          <w:color w:val="231F20"/>
        </w:rPr>
        <w:t>the</w:t>
      </w:r>
      <w:r>
        <w:rPr>
          <w:color w:val="231F20"/>
          <w:w w:val="99"/>
        </w:rPr>
        <w:t> </w:t>
      </w:r>
      <w:r>
        <w:rPr>
          <w:color w:val="231F20"/>
        </w:rPr>
        <w:t>cost</w:t>
      </w:r>
      <w:r>
        <w:rPr>
          <w:color w:val="231F20"/>
          <w:spacing w:val="-5"/>
        </w:rPr>
        <w:t> </w:t>
      </w:r>
      <w:r>
        <w:rPr>
          <w:color w:val="231F20"/>
        </w:rPr>
        <w:t>of</w:t>
      </w:r>
      <w:r>
        <w:rPr>
          <w:color w:val="231F20"/>
          <w:spacing w:val="-3"/>
        </w:rPr>
        <w:t> </w:t>
      </w:r>
      <w:r>
        <w:rPr>
          <w:color w:val="231F20"/>
          <w:spacing w:val="-1"/>
        </w:rPr>
        <w:t>support</w:t>
      </w:r>
      <w:r>
        <w:rPr>
          <w:color w:val="231F20"/>
          <w:spacing w:val="-3"/>
        </w:rPr>
        <w:t> </w:t>
      </w:r>
      <w:r>
        <w:rPr>
          <w:color w:val="231F20"/>
          <w:spacing w:val="-1"/>
        </w:rPr>
        <w:t>services</w:t>
      </w:r>
      <w:r>
        <w:rPr>
          <w:color w:val="231F20"/>
          <w:spacing w:val="-3"/>
        </w:rPr>
        <w:t> </w:t>
      </w:r>
      <w:r>
        <w:rPr>
          <w:color w:val="231F20"/>
        </w:rPr>
        <w:t>are</w:t>
      </w:r>
      <w:r>
        <w:rPr>
          <w:color w:val="231F20"/>
          <w:spacing w:val="-4"/>
        </w:rPr>
        <w:t> </w:t>
      </w:r>
      <w:r>
        <w:rPr>
          <w:color w:val="231F20"/>
        </w:rPr>
        <w:t>high</w:t>
      </w:r>
      <w:r>
        <w:rPr>
          <w:color w:val="231F20"/>
          <w:spacing w:val="-4"/>
        </w:rPr>
        <w:t> </w:t>
      </w:r>
      <w:r>
        <w:rPr>
          <w:color w:val="231F20"/>
        </w:rPr>
        <w:t>and</w:t>
      </w:r>
      <w:r>
        <w:rPr>
          <w:color w:val="231F20"/>
          <w:spacing w:val="-4"/>
        </w:rPr>
        <w:t> </w:t>
      </w:r>
      <w:r>
        <w:rPr>
          <w:color w:val="231F20"/>
        </w:rPr>
        <w:t>are</w:t>
      </w:r>
      <w:r>
        <w:rPr>
          <w:color w:val="231F20"/>
          <w:spacing w:val="23"/>
          <w:w w:val="99"/>
        </w:rPr>
        <w:t> </w:t>
      </w:r>
      <w:r>
        <w:rPr>
          <w:color w:val="231F20"/>
        </w:rPr>
        <w:t>funded</w:t>
      </w:r>
      <w:r>
        <w:rPr>
          <w:color w:val="231F20"/>
          <w:spacing w:val="-4"/>
        </w:rPr>
        <w:t> </w:t>
      </w:r>
      <w:r>
        <w:rPr>
          <w:color w:val="231F20"/>
        </w:rPr>
        <w:t>not</w:t>
      </w:r>
      <w:r>
        <w:rPr>
          <w:color w:val="231F20"/>
          <w:spacing w:val="-3"/>
        </w:rPr>
        <w:t> </w:t>
      </w:r>
      <w:r>
        <w:rPr>
          <w:color w:val="231F20"/>
          <w:spacing w:val="-1"/>
        </w:rPr>
        <w:t>just</w:t>
      </w:r>
      <w:r>
        <w:rPr>
          <w:color w:val="231F20"/>
          <w:spacing w:val="-3"/>
        </w:rPr>
        <w:t> </w:t>
      </w:r>
      <w:r>
        <w:rPr>
          <w:color w:val="231F20"/>
        </w:rPr>
        <w:t>from</w:t>
      </w:r>
      <w:r>
        <w:rPr>
          <w:color w:val="231F20"/>
          <w:spacing w:val="-3"/>
        </w:rPr>
        <w:t> </w:t>
      </w:r>
      <w:r>
        <w:rPr>
          <w:color w:val="231F20"/>
        </w:rPr>
        <w:t>ABSTUDY</w:t>
      </w:r>
      <w:r>
        <w:rPr>
          <w:color w:val="231F20"/>
          <w:spacing w:val="-4"/>
        </w:rPr>
        <w:t> </w:t>
      </w:r>
      <w:r>
        <w:rPr>
          <w:color w:val="231F20"/>
        </w:rPr>
        <w:t>but</w:t>
      </w:r>
      <w:r>
        <w:rPr>
          <w:color w:val="231F20"/>
          <w:spacing w:val="-4"/>
        </w:rPr>
        <w:t> </w:t>
      </w:r>
      <w:r>
        <w:rPr>
          <w:color w:val="231F20"/>
        </w:rPr>
        <w:t>from</w:t>
      </w:r>
      <w:r>
        <w:rPr>
          <w:color w:val="231F20"/>
          <w:spacing w:val="-3"/>
        </w:rPr>
        <w:t> </w:t>
      </w:r>
      <w:r>
        <w:rPr>
          <w:color w:val="231F20"/>
        </w:rPr>
        <w:t>a</w:t>
      </w:r>
      <w:r>
        <w:rPr>
          <w:color w:val="231F20"/>
          <w:spacing w:val="21"/>
          <w:w w:val="99"/>
        </w:rPr>
        <w:t> </w:t>
      </w:r>
      <w:r>
        <w:rPr>
          <w:color w:val="231F20"/>
        </w:rPr>
        <w:t>variety</w:t>
      </w:r>
      <w:r>
        <w:rPr>
          <w:color w:val="231F20"/>
          <w:spacing w:val="-7"/>
        </w:rPr>
        <w:t> </w:t>
      </w:r>
      <w:r>
        <w:rPr>
          <w:color w:val="231F20"/>
        </w:rPr>
        <w:t>of</w:t>
      </w:r>
      <w:r>
        <w:rPr>
          <w:color w:val="231F20"/>
          <w:spacing w:val="-6"/>
        </w:rPr>
        <w:t> </w:t>
      </w:r>
      <w:r>
        <w:rPr>
          <w:color w:val="231F20"/>
          <w:spacing w:val="-1"/>
        </w:rPr>
        <w:t>income</w:t>
      </w:r>
      <w:r>
        <w:rPr>
          <w:color w:val="231F20"/>
          <w:spacing w:val="-6"/>
        </w:rPr>
        <w:t> </w:t>
      </w:r>
      <w:r>
        <w:rPr>
          <w:color w:val="231F20"/>
          <w:spacing w:val="-1"/>
        </w:rPr>
        <w:t>sources,</w:t>
      </w:r>
      <w:r>
        <w:rPr>
          <w:color w:val="231F20"/>
          <w:spacing w:val="-6"/>
        </w:rPr>
        <w:t> </w:t>
      </w:r>
      <w:r>
        <w:rPr>
          <w:color w:val="231F20"/>
          <w:spacing w:val="-1"/>
        </w:rPr>
        <w:t>including</w:t>
      </w:r>
      <w:r>
        <w:rPr>
          <w:color w:val="231F20"/>
          <w:spacing w:val="-6"/>
        </w:rPr>
        <w:t> </w:t>
      </w:r>
      <w:r>
        <w:rPr>
          <w:color w:val="231F20"/>
        </w:rPr>
        <w:t>recurrent</w:t>
      </w:r>
      <w:r>
        <w:rPr>
          <w:color w:val="231F20"/>
          <w:spacing w:val="24"/>
          <w:w w:val="99"/>
        </w:rPr>
        <w:t> </w:t>
      </w:r>
      <w:r>
        <w:rPr>
          <w:color w:val="231F20"/>
        </w:rPr>
        <w:t>funding.</w:t>
      </w:r>
      <w:r>
        <w:rPr>
          <w:color w:val="231F20"/>
          <w:spacing w:val="-6"/>
        </w:rPr>
        <w:t> </w:t>
      </w:r>
      <w:r>
        <w:rPr>
          <w:color w:val="231F20"/>
          <w:spacing w:val="-1"/>
        </w:rPr>
        <w:t>While</w:t>
      </w:r>
      <w:r>
        <w:rPr>
          <w:color w:val="231F20"/>
          <w:spacing w:val="-6"/>
        </w:rPr>
        <w:t> </w:t>
      </w:r>
      <w:r>
        <w:rPr>
          <w:color w:val="231F20"/>
          <w:spacing w:val="-1"/>
        </w:rPr>
        <w:t>some</w:t>
      </w:r>
      <w:r>
        <w:rPr>
          <w:color w:val="231F20"/>
          <w:spacing w:val="-6"/>
        </w:rPr>
        <w:t> </w:t>
      </w:r>
      <w:r>
        <w:rPr>
          <w:color w:val="231F20"/>
        </w:rPr>
        <w:t>boarding</w:t>
      </w:r>
      <w:r>
        <w:rPr>
          <w:color w:val="231F20"/>
          <w:spacing w:val="-7"/>
        </w:rPr>
        <w:t> </w:t>
      </w:r>
      <w:r>
        <w:rPr>
          <w:color w:val="231F20"/>
        </w:rPr>
        <w:t>providers</w:t>
      </w:r>
      <w:r>
        <w:rPr>
          <w:color w:val="231F20"/>
          <w:spacing w:val="23"/>
          <w:w w:val="99"/>
        </w:rPr>
        <w:t> </w:t>
      </w:r>
      <w:r>
        <w:rPr>
          <w:color w:val="231F20"/>
        </w:rPr>
        <w:t>access</w:t>
      </w:r>
      <w:r>
        <w:rPr>
          <w:color w:val="231F20"/>
          <w:spacing w:val="-5"/>
        </w:rPr>
        <w:t> </w:t>
      </w:r>
      <w:r>
        <w:rPr>
          <w:color w:val="231F20"/>
        </w:rPr>
        <w:t>free</w:t>
      </w:r>
      <w:r>
        <w:rPr>
          <w:color w:val="231F20"/>
          <w:spacing w:val="-3"/>
        </w:rPr>
        <w:t> </w:t>
      </w:r>
      <w:r>
        <w:rPr>
          <w:color w:val="231F20"/>
        </w:rPr>
        <w:t>government</w:t>
      </w:r>
      <w:r>
        <w:rPr>
          <w:color w:val="231F20"/>
          <w:spacing w:val="-4"/>
        </w:rPr>
        <w:t> </w:t>
      </w:r>
      <w:r>
        <w:rPr>
          <w:color w:val="231F20"/>
        </w:rPr>
        <w:t>health</w:t>
      </w:r>
      <w:r>
        <w:rPr>
          <w:color w:val="231F20"/>
          <w:spacing w:val="-5"/>
        </w:rPr>
        <w:t> </w:t>
      </w:r>
      <w:r>
        <w:rPr>
          <w:color w:val="231F20"/>
          <w:spacing w:val="-1"/>
        </w:rPr>
        <w:t>services</w:t>
      </w:r>
      <w:r>
        <w:rPr>
          <w:color w:val="231F20"/>
          <w:spacing w:val="-3"/>
        </w:rPr>
        <w:t> </w:t>
      </w:r>
      <w:r>
        <w:rPr>
          <w:color w:val="231F20"/>
          <w:spacing w:val="-1"/>
        </w:rPr>
        <w:t>it</w:t>
      </w:r>
      <w:r>
        <w:rPr>
          <w:color w:val="231F20"/>
          <w:spacing w:val="-3"/>
        </w:rPr>
        <w:t> </w:t>
      </w:r>
      <w:r>
        <w:rPr>
          <w:color w:val="231F20"/>
          <w:spacing w:val="-1"/>
        </w:rPr>
        <w:t>is</w:t>
      </w:r>
      <w:r>
        <w:rPr>
          <w:color w:val="231F20"/>
          <w:spacing w:val="22"/>
        </w:rPr>
        <w:t> </w:t>
      </w:r>
      <w:r>
        <w:rPr>
          <w:color w:val="231F20"/>
        </w:rPr>
        <w:t>not</w:t>
      </w:r>
      <w:r>
        <w:rPr>
          <w:color w:val="231F20"/>
          <w:spacing w:val="-3"/>
        </w:rPr>
        <w:t> </w:t>
      </w:r>
      <w:r>
        <w:rPr>
          <w:color w:val="231F20"/>
        </w:rPr>
        <w:t>always</w:t>
      </w:r>
      <w:r>
        <w:rPr>
          <w:color w:val="231F20"/>
          <w:spacing w:val="-3"/>
        </w:rPr>
        <w:t> </w:t>
      </w:r>
      <w:r>
        <w:rPr>
          <w:color w:val="231F20"/>
        </w:rPr>
        <w:t>possible</w:t>
      </w:r>
      <w:r>
        <w:rPr>
          <w:color w:val="231F20"/>
          <w:spacing w:val="-3"/>
        </w:rPr>
        <w:t> </w:t>
      </w:r>
      <w:r>
        <w:rPr>
          <w:color w:val="231F20"/>
        </w:rPr>
        <w:t>or</w:t>
      </w:r>
      <w:r>
        <w:rPr>
          <w:color w:val="231F20"/>
          <w:spacing w:val="-2"/>
        </w:rPr>
        <w:t> </w:t>
      </w:r>
      <w:r>
        <w:rPr>
          <w:color w:val="231F20"/>
        </w:rPr>
        <w:t>realistic</w:t>
      </w:r>
      <w:r>
        <w:rPr>
          <w:color w:val="231F20"/>
          <w:spacing w:val="-5"/>
        </w:rPr>
        <w:t> </w:t>
      </w:r>
      <w:r>
        <w:rPr>
          <w:color w:val="231F20"/>
        </w:rPr>
        <w:t>to</w:t>
      </w:r>
      <w:r>
        <w:rPr>
          <w:color w:val="231F20"/>
          <w:spacing w:val="-2"/>
        </w:rPr>
        <w:t> </w:t>
      </w:r>
      <w:r>
        <w:rPr>
          <w:color w:val="231F20"/>
        </w:rPr>
        <w:t>rely</w:t>
      </w:r>
      <w:r>
        <w:rPr>
          <w:color w:val="231F20"/>
          <w:spacing w:val="-3"/>
        </w:rPr>
        <w:t> </w:t>
      </w:r>
      <w:r>
        <w:rPr>
          <w:color w:val="231F20"/>
          <w:spacing w:val="-1"/>
        </w:rPr>
        <w:t>solely</w:t>
      </w:r>
      <w:r>
        <w:rPr>
          <w:color w:val="231F20"/>
          <w:spacing w:val="20"/>
        </w:rPr>
        <w:t> </w:t>
      </w:r>
      <w:r>
        <w:rPr>
          <w:color w:val="231F20"/>
        </w:rPr>
        <w:t>on</w:t>
      </w:r>
      <w:r>
        <w:rPr>
          <w:color w:val="231F20"/>
          <w:spacing w:val="-8"/>
        </w:rPr>
        <w:t> </w:t>
      </w:r>
      <w:r>
        <w:rPr>
          <w:color w:val="231F20"/>
        </w:rPr>
        <w:t>government</w:t>
      </w:r>
      <w:r>
        <w:rPr>
          <w:color w:val="231F20"/>
          <w:spacing w:val="-9"/>
        </w:rPr>
        <w:t> </w:t>
      </w:r>
      <w:r>
        <w:rPr>
          <w:color w:val="231F20"/>
        </w:rPr>
        <w:t>primary</w:t>
      </w:r>
      <w:r>
        <w:rPr>
          <w:color w:val="231F20"/>
          <w:spacing w:val="-8"/>
        </w:rPr>
        <w:t> </w:t>
      </w:r>
      <w:r>
        <w:rPr>
          <w:color w:val="231F20"/>
        </w:rPr>
        <w:t>and</w:t>
      </w:r>
      <w:r>
        <w:rPr>
          <w:color w:val="231F20"/>
          <w:spacing w:val="-8"/>
        </w:rPr>
        <w:t> </w:t>
      </w:r>
      <w:r>
        <w:rPr>
          <w:color w:val="231F20"/>
          <w:spacing w:val="-1"/>
        </w:rPr>
        <w:t>secondary</w:t>
      </w:r>
      <w:r>
        <w:rPr>
          <w:color w:val="231F20"/>
          <w:spacing w:val="-7"/>
        </w:rPr>
        <w:t> </w:t>
      </w:r>
      <w:r>
        <w:rPr>
          <w:color w:val="231F20"/>
        </w:rPr>
        <w:t>health</w:t>
      </w:r>
      <w:r>
        <w:rPr>
          <w:color w:val="231F20"/>
          <w:spacing w:val="22"/>
          <w:w w:val="99"/>
        </w:rPr>
        <w:t> </w:t>
      </w:r>
      <w:r>
        <w:rPr>
          <w:rFonts w:ascii="Segoe UI"/>
          <w:color w:val="231F20"/>
        </w:rPr>
        <w:t>services. Boarding providers identified a need</w:t>
      </w:r>
      <w:r>
        <w:rPr>
          <w:rFonts w:ascii="Segoe UI"/>
        </w:rPr>
      </w:r>
    </w:p>
    <w:p>
      <w:pPr>
        <w:pStyle w:val="BodyText"/>
        <w:spacing w:line="250" w:lineRule="exact"/>
        <w:ind w:right="23"/>
        <w:jc w:val="left"/>
      </w:pPr>
      <w:r>
        <w:rPr>
          <w:rFonts w:ascii="Segoe UI" w:hAnsi="Segoe UI" w:cs="Segoe UI" w:eastAsia="Segoe UI"/>
          <w:color w:val="231F20"/>
        </w:rPr>
        <w:t>for specific funding to deliver support services, </w:t>
      </w:r>
      <w:r>
        <w:rPr>
          <w:color w:val="231F20"/>
          <w:spacing w:val="-1"/>
        </w:rPr>
        <w:t>similar</w:t>
      </w:r>
      <w:r>
        <w:rPr>
          <w:color w:val="231F20"/>
          <w:spacing w:val="-5"/>
        </w:rPr>
        <w:t> </w:t>
      </w:r>
      <w:r>
        <w:rPr>
          <w:color w:val="231F20"/>
        </w:rPr>
        <w:t>to</w:t>
      </w:r>
      <w:r>
        <w:rPr>
          <w:color w:val="231F20"/>
          <w:spacing w:val="-5"/>
        </w:rPr>
        <w:t> </w:t>
      </w:r>
      <w:r>
        <w:rPr>
          <w:color w:val="231F20"/>
        </w:rPr>
        <w:t>the</w:t>
      </w:r>
      <w:r>
        <w:rPr>
          <w:color w:val="231F20"/>
          <w:spacing w:val="-5"/>
        </w:rPr>
        <w:t> </w:t>
      </w:r>
      <w:r>
        <w:rPr>
          <w:color w:val="231F20"/>
          <w:spacing w:val="-1"/>
        </w:rPr>
        <w:t>Indigenous</w:t>
      </w:r>
      <w:r>
        <w:rPr>
          <w:color w:val="231F20"/>
          <w:spacing w:val="-4"/>
        </w:rPr>
        <w:t> </w:t>
      </w:r>
      <w:r>
        <w:rPr>
          <w:color w:val="231F20"/>
          <w:spacing w:val="-1"/>
        </w:rPr>
        <w:t>Boarding</w:t>
      </w:r>
      <w:r>
        <w:rPr>
          <w:color w:val="231F20"/>
          <w:spacing w:val="-5"/>
        </w:rPr>
        <w:t> </w:t>
      </w:r>
      <w:r>
        <w:rPr>
          <w:color w:val="231F20"/>
          <w:spacing w:val="-1"/>
        </w:rPr>
        <w:t>Initiative</w:t>
      </w:r>
      <w:r>
        <w:rPr>
          <w:color w:val="231F20"/>
          <w:spacing w:val="23"/>
        </w:rPr>
        <w:t> </w:t>
      </w:r>
      <w:r>
        <w:rPr>
          <w:color w:val="231F20"/>
        </w:rPr>
        <w:t>that</w:t>
      </w:r>
      <w:r>
        <w:rPr>
          <w:color w:val="231F20"/>
          <w:spacing w:val="-5"/>
        </w:rPr>
        <w:t> </w:t>
      </w:r>
      <w:r>
        <w:rPr>
          <w:color w:val="231F20"/>
        </w:rPr>
        <w:t>operated</w:t>
      </w:r>
      <w:r>
        <w:rPr>
          <w:color w:val="231F20"/>
          <w:spacing w:val="-4"/>
        </w:rPr>
        <w:t> </w:t>
      </w:r>
      <w:r>
        <w:rPr>
          <w:color w:val="231F20"/>
        </w:rPr>
        <w:t>from</w:t>
      </w:r>
      <w:r>
        <w:rPr>
          <w:color w:val="231F20"/>
          <w:spacing w:val="-4"/>
        </w:rPr>
        <w:t> </w:t>
      </w:r>
      <w:r>
        <w:rPr>
          <w:color w:val="231F20"/>
          <w:spacing w:val="-1"/>
        </w:rPr>
        <w:t>2014</w:t>
      </w:r>
      <w:r>
        <w:rPr>
          <w:color w:val="231F20"/>
          <w:spacing w:val="-4"/>
        </w:rPr>
        <w:t> </w:t>
      </w:r>
      <w:r>
        <w:rPr>
          <w:color w:val="231F20"/>
        </w:rPr>
        <w:t>to</w:t>
      </w:r>
      <w:r>
        <w:rPr>
          <w:color w:val="231F20"/>
          <w:spacing w:val="-4"/>
        </w:rPr>
        <w:t> </w:t>
      </w:r>
      <w:r>
        <w:rPr>
          <w:color w:val="231F20"/>
          <w:spacing w:val="-1"/>
        </w:rPr>
        <w:t>2016.</w:t>
      </w:r>
      <w:r>
        <w:rPr>
          <w:color w:val="231F20"/>
          <w:spacing w:val="-3"/>
        </w:rPr>
        <w:t> </w:t>
      </w:r>
      <w:r>
        <w:rPr>
          <w:color w:val="231F20"/>
          <w:spacing w:val="-1"/>
        </w:rPr>
        <w:t>It</w:t>
      </w:r>
      <w:r>
        <w:rPr>
          <w:color w:val="231F20"/>
          <w:spacing w:val="-4"/>
        </w:rPr>
        <w:t> </w:t>
      </w:r>
      <w:r>
        <w:rPr>
          <w:color w:val="231F20"/>
        </w:rPr>
        <w:t>provided</w:t>
      </w:r>
      <w:r>
        <w:rPr>
          <w:color w:val="231F20"/>
          <w:spacing w:val="24"/>
          <w:w w:val="99"/>
        </w:rPr>
        <w:t> </w:t>
      </w:r>
      <w:r>
        <w:rPr>
          <w:color w:val="231F20"/>
        </w:rPr>
        <w:t>funding</w:t>
      </w:r>
      <w:r>
        <w:rPr>
          <w:color w:val="231F20"/>
          <w:spacing w:val="-7"/>
        </w:rPr>
        <w:t> </w:t>
      </w:r>
      <w:r>
        <w:rPr>
          <w:color w:val="231F20"/>
        </w:rPr>
        <w:t>to</w:t>
      </w:r>
      <w:r>
        <w:rPr>
          <w:color w:val="231F20"/>
          <w:spacing w:val="-7"/>
        </w:rPr>
        <w:t> </w:t>
      </w:r>
      <w:r>
        <w:rPr>
          <w:color w:val="231F20"/>
        </w:rPr>
        <w:t>‘non-government</w:t>
      </w:r>
      <w:r>
        <w:rPr>
          <w:color w:val="231F20"/>
          <w:spacing w:val="-6"/>
        </w:rPr>
        <w:t> </w:t>
      </w:r>
      <w:r>
        <w:rPr>
          <w:color w:val="231F20"/>
          <w:spacing w:val="-1"/>
        </w:rPr>
        <w:t>schools</w:t>
      </w:r>
      <w:r>
        <w:rPr>
          <w:color w:val="231F20"/>
          <w:spacing w:val="-7"/>
        </w:rPr>
        <w:t> </w:t>
      </w:r>
      <w:r>
        <w:rPr>
          <w:color w:val="231F20"/>
        </w:rPr>
        <w:t>with</w:t>
      </w:r>
      <w:r>
        <w:rPr>
          <w:color w:val="231F20"/>
          <w:spacing w:val="-7"/>
        </w:rPr>
        <w:t> </w:t>
      </w:r>
      <w:r>
        <w:rPr>
          <w:color w:val="231F20"/>
          <w:spacing w:val="-1"/>
        </w:rPr>
        <w:t>more</w:t>
      </w:r>
      <w:r>
        <w:rPr>
          <w:color w:val="231F20"/>
          <w:spacing w:val="21"/>
          <w:w w:val="99"/>
        </w:rPr>
        <w:t> </w:t>
      </w:r>
      <w:r>
        <w:rPr>
          <w:color w:val="231F20"/>
        </w:rPr>
        <w:t>than</w:t>
      </w:r>
      <w:r>
        <w:rPr>
          <w:color w:val="231F20"/>
          <w:spacing w:val="-6"/>
        </w:rPr>
        <w:t> </w:t>
      </w:r>
      <w:r>
        <w:rPr>
          <w:color w:val="231F20"/>
          <w:spacing w:val="-1"/>
        </w:rPr>
        <w:t>50</w:t>
      </w:r>
      <w:r>
        <w:rPr>
          <w:color w:val="231F20"/>
          <w:spacing w:val="-4"/>
        </w:rPr>
        <w:t> </w:t>
      </w:r>
      <w:r>
        <w:rPr>
          <w:color w:val="231F20"/>
        </w:rPr>
        <w:t>Aboriginal</w:t>
      </w:r>
      <w:r>
        <w:rPr>
          <w:color w:val="231F20"/>
          <w:spacing w:val="-4"/>
        </w:rPr>
        <w:t> </w:t>
      </w:r>
      <w:r>
        <w:rPr>
          <w:color w:val="231F20"/>
        </w:rPr>
        <w:t>or</w:t>
      </w:r>
      <w:r>
        <w:rPr>
          <w:color w:val="231F20"/>
          <w:spacing w:val="-4"/>
        </w:rPr>
        <w:t> </w:t>
      </w:r>
      <w:r>
        <w:rPr>
          <w:color w:val="231F20"/>
          <w:spacing w:val="-5"/>
        </w:rPr>
        <w:t>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20"/>
          <w:w w:val="99"/>
        </w:rPr>
        <w:t> </w:t>
      </w:r>
      <w:r>
        <w:rPr>
          <w:color w:val="231F20"/>
        </w:rPr>
        <w:t>boarding</w:t>
      </w:r>
      <w:r>
        <w:rPr>
          <w:color w:val="231F20"/>
          <w:spacing w:val="-7"/>
        </w:rPr>
        <w:t> </w:t>
      </w:r>
      <w:r>
        <w:rPr>
          <w:color w:val="231F20"/>
          <w:spacing w:val="-1"/>
        </w:rPr>
        <w:t>students—or</w:t>
      </w:r>
      <w:r>
        <w:rPr>
          <w:color w:val="231F20"/>
          <w:spacing w:val="-5"/>
        </w:rPr>
        <w:t> </w:t>
      </w:r>
      <w:r>
        <w:rPr>
          <w:color w:val="231F20"/>
          <w:spacing w:val="-1"/>
        </w:rPr>
        <w:t>50</w:t>
      </w:r>
      <w:r>
        <w:rPr>
          <w:color w:val="231F20"/>
          <w:spacing w:val="-6"/>
        </w:rPr>
        <w:t> </w:t>
      </w:r>
      <w:r>
        <w:rPr>
          <w:color w:val="231F20"/>
        </w:rPr>
        <w:t>per</w:t>
      </w:r>
      <w:r>
        <w:rPr>
          <w:color w:val="231F20"/>
          <w:spacing w:val="-6"/>
        </w:rPr>
        <w:t> </w:t>
      </w:r>
      <w:r>
        <w:rPr>
          <w:color w:val="231F20"/>
        </w:rPr>
        <w:t>cent</w:t>
      </w:r>
      <w:r>
        <w:rPr>
          <w:color w:val="231F20"/>
          <w:spacing w:val="-6"/>
        </w:rPr>
        <w:t> </w:t>
      </w:r>
      <w:r>
        <w:rPr>
          <w:color w:val="231F20"/>
        </w:rPr>
        <w:t>or</w:t>
      </w:r>
      <w:r>
        <w:rPr>
          <w:color w:val="231F20"/>
          <w:spacing w:val="-6"/>
        </w:rPr>
        <w:t> </w:t>
      </w:r>
      <w:r>
        <w:rPr>
          <w:color w:val="231F20"/>
          <w:spacing w:val="-1"/>
        </w:rPr>
        <w:t>more—</w:t>
      </w:r>
      <w:r>
        <w:rPr>
          <w:color w:val="231F20"/>
          <w:spacing w:val="22"/>
          <w:w w:val="99"/>
        </w:rPr>
        <w:t> </w:t>
      </w:r>
      <w:r>
        <w:rPr>
          <w:color w:val="231F20"/>
        </w:rPr>
        <w:t>from</w:t>
      </w:r>
      <w:r>
        <w:rPr>
          <w:color w:val="231F20"/>
          <w:spacing w:val="-6"/>
        </w:rPr>
        <w:t> </w:t>
      </w:r>
      <w:r>
        <w:rPr>
          <w:color w:val="231F20"/>
        </w:rPr>
        <w:t>remote</w:t>
      </w:r>
      <w:r>
        <w:rPr>
          <w:color w:val="231F20"/>
          <w:spacing w:val="-6"/>
        </w:rPr>
        <w:t> </w:t>
      </w:r>
      <w:r>
        <w:rPr>
          <w:color w:val="231F20"/>
        </w:rPr>
        <w:t>or</w:t>
      </w:r>
      <w:r>
        <w:rPr>
          <w:color w:val="231F20"/>
          <w:spacing w:val="-6"/>
        </w:rPr>
        <w:t> </w:t>
      </w:r>
      <w:r>
        <w:rPr>
          <w:color w:val="231F20"/>
        </w:rPr>
        <w:t>very</w:t>
      </w:r>
      <w:r>
        <w:rPr>
          <w:color w:val="231F20"/>
          <w:spacing w:val="-5"/>
        </w:rPr>
        <w:t> </w:t>
      </w:r>
      <w:r>
        <w:rPr>
          <w:color w:val="231F20"/>
        </w:rPr>
        <w:t>remote</w:t>
      </w:r>
      <w:r>
        <w:rPr>
          <w:color w:val="231F20"/>
          <w:spacing w:val="-7"/>
        </w:rPr>
        <w:t> </w:t>
      </w:r>
      <w:r>
        <w:rPr>
          <w:color w:val="231F20"/>
        </w:rPr>
        <w:t>areas’.</w:t>
      </w:r>
      <w:r>
        <w:rPr>
          <w:color w:val="231F20"/>
          <w:spacing w:val="-6"/>
        </w:rPr>
        <w:t> </w:t>
      </w:r>
      <w:r>
        <w:rPr>
          <w:color w:val="231F20"/>
        </w:rPr>
        <w:t>The</w:t>
      </w:r>
      <w:r>
        <w:rPr>
          <w:color w:val="231F20"/>
          <w:spacing w:val="-6"/>
        </w:rPr>
        <w:t> </w:t>
      </w:r>
      <w:r>
        <w:rPr>
          <w:color w:val="231F20"/>
        </w:rPr>
        <w:t>funding</w:t>
      </w:r>
      <w:r>
        <w:rPr>
          <w:color w:val="231F20"/>
          <w:w w:val="99"/>
        </w:rPr>
        <w:t> </w:t>
      </w:r>
      <w:r>
        <w:rPr>
          <w:rFonts w:ascii="Segoe UI" w:hAnsi="Segoe UI" w:cs="Segoe UI" w:eastAsia="Segoe UI"/>
          <w:color w:val="231F20"/>
        </w:rPr>
        <w:t>was to assist with the ‘significant additional</w:t>
      </w:r>
      <w:r>
        <w:rPr>
          <w:rFonts w:ascii="Segoe UI" w:hAnsi="Segoe UI" w:cs="Segoe UI" w:eastAsia="Segoe UI"/>
          <w:color w:val="231F20"/>
        </w:rPr>
        <w:t> </w:t>
      </w:r>
      <w:r>
        <w:rPr>
          <w:color w:val="231F20"/>
        </w:rPr>
        <w:t>costs,</w:t>
      </w:r>
      <w:r>
        <w:rPr>
          <w:color w:val="231F20"/>
          <w:spacing w:val="-5"/>
        </w:rPr>
        <w:t> </w:t>
      </w:r>
      <w:r>
        <w:rPr>
          <w:color w:val="231F20"/>
          <w:spacing w:val="-1"/>
        </w:rPr>
        <w:t>such</w:t>
      </w:r>
      <w:r>
        <w:rPr>
          <w:color w:val="231F20"/>
          <w:spacing w:val="-4"/>
        </w:rPr>
        <w:t> </w:t>
      </w:r>
      <w:r>
        <w:rPr>
          <w:color w:val="231F20"/>
        </w:rPr>
        <w:t>as</w:t>
      </w:r>
      <w:r>
        <w:rPr>
          <w:color w:val="231F20"/>
          <w:spacing w:val="-5"/>
        </w:rPr>
        <w:t> </w:t>
      </w:r>
      <w:r>
        <w:rPr>
          <w:color w:val="231F20"/>
        </w:rPr>
        <w:t>health</w:t>
      </w:r>
      <w:r>
        <w:rPr>
          <w:color w:val="231F20"/>
          <w:spacing w:val="-4"/>
        </w:rPr>
        <w:t> </w:t>
      </w:r>
      <w:r>
        <w:rPr>
          <w:color w:val="231F20"/>
        </w:rPr>
        <w:t>care,</w:t>
      </w:r>
      <w:r>
        <w:rPr>
          <w:color w:val="231F20"/>
          <w:spacing w:val="-4"/>
        </w:rPr>
        <w:t> </w:t>
      </w:r>
      <w:r>
        <w:rPr>
          <w:color w:val="231F20"/>
        </w:rPr>
        <w:t>associated</w:t>
      </w:r>
      <w:r>
        <w:rPr>
          <w:color w:val="231F20"/>
          <w:spacing w:val="-5"/>
        </w:rPr>
        <w:t> </w:t>
      </w:r>
      <w:r>
        <w:rPr>
          <w:color w:val="231F20"/>
        </w:rPr>
        <w:t>with</w:t>
      </w:r>
      <w:r>
        <w:rPr>
          <w:color w:val="231F20"/>
          <w:spacing w:val="21"/>
          <w:w w:val="99"/>
        </w:rPr>
        <w:t> </w:t>
      </w:r>
      <w:r>
        <w:rPr>
          <w:color w:val="231F20"/>
        </w:rPr>
        <w:t>boarding</w:t>
      </w:r>
      <w:r>
        <w:rPr>
          <w:color w:val="231F20"/>
          <w:spacing w:val="-9"/>
        </w:rPr>
        <w:t> </w:t>
      </w:r>
      <w:r>
        <w:rPr>
          <w:color w:val="231F20"/>
        </w:rPr>
        <w:t>and</w:t>
      </w:r>
      <w:r>
        <w:rPr>
          <w:color w:val="231F20"/>
          <w:spacing w:val="-8"/>
        </w:rPr>
        <w:t> </w:t>
      </w:r>
      <w:r>
        <w:rPr>
          <w:color w:val="231F20"/>
        </w:rPr>
        <w:t>educating</w:t>
      </w:r>
      <w:r>
        <w:rPr>
          <w:color w:val="231F20"/>
          <w:spacing w:val="-8"/>
        </w:rPr>
        <w:t> </w:t>
      </w:r>
      <w:r>
        <w:rPr>
          <w:color w:val="231F20"/>
          <w:spacing w:val="-1"/>
        </w:rPr>
        <w:t>Indigenous</w:t>
      </w:r>
      <w:r>
        <w:rPr>
          <w:color w:val="231F20"/>
          <w:spacing w:val="-7"/>
        </w:rPr>
        <w:t> </w:t>
      </w:r>
      <w:r>
        <w:rPr>
          <w:color w:val="231F20"/>
          <w:spacing w:val="-1"/>
        </w:rPr>
        <w:t>students</w:t>
      </w:r>
      <w:r>
        <w:rPr>
          <w:color w:val="231F20"/>
          <w:spacing w:val="21"/>
        </w:rPr>
        <w:t> </w:t>
      </w:r>
      <w:r>
        <w:rPr>
          <w:color w:val="231F20"/>
        </w:rPr>
        <w:t>from</w:t>
      </w:r>
      <w:r>
        <w:rPr>
          <w:color w:val="231F20"/>
          <w:spacing w:val="-6"/>
        </w:rPr>
        <w:t> </w:t>
      </w:r>
      <w:r>
        <w:rPr>
          <w:color w:val="231F20"/>
        </w:rPr>
        <w:t>remote</w:t>
      </w:r>
      <w:r>
        <w:rPr>
          <w:color w:val="231F20"/>
          <w:spacing w:val="-6"/>
        </w:rPr>
        <w:t> </w:t>
      </w:r>
      <w:r>
        <w:rPr>
          <w:color w:val="231F20"/>
        </w:rPr>
        <w:t>areas’</w:t>
      </w:r>
      <w:r>
        <w:rPr>
          <w:color w:val="231F20"/>
          <w:spacing w:val="-6"/>
        </w:rPr>
        <w:t> </w:t>
      </w:r>
      <w:r>
        <w:rPr>
          <w:color w:val="231F20"/>
        </w:rPr>
        <w:t>to</w:t>
      </w:r>
      <w:r>
        <w:rPr>
          <w:color w:val="231F20"/>
          <w:spacing w:val="-5"/>
        </w:rPr>
        <w:t> </w:t>
      </w:r>
      <w:r>
        <w:rPr>
          <w:color w:val="231F20"/>
        </w:rPr>
        <w:t>reduce</w:t>
      </w:r>
      <w:r>
        <w:rPr>
          <w:color w:val="231F20"/>
          <w:spacing w:val="-6"/>
        </w:rPr>
        <w:t> </w:t>
      </w:r>
      <w:r>
        <w:rPr>
          <w:color w:val="231F20"/>
        </w:rPr>
        <w:t>the</w:t>
      </w:r>
      <w:r>
        <w:rPr>
          <w:color w:val="231F20"/>
          <w:spacing w:val="-6"/>
        </w:rPr>
        <w:t> </w:t>
      </w:r>
      <w:r>
        <w:rPr>
          <w:color w:val="231F20"/>
        </w:rPr>
        <w:t>reliance</w:t>
      </w:r>
      <w:r>
        <w:rPr>
          <w:color w:val="231F20"/>
          <w:spacing w:val="-6"/>
        </w:rPr>
        <w:t> </w:t>
      </w:r>
      <w:r>
        <w:rPr>
          <w:color w:val="231F20"/>
        </w:rPr>
        <w:t>on</w:t>
      </w:r>
      <w:r>
        <w:rPr>
          <w:color w:val="231F20"/>
          <w:w w:val="99"/>
        </w:rPr>
        <w:t> </w:t>
      </w:r>
      <w:r>
        <w:rPr>
          <w:color w:val="231F20"/>
        </w:rPr>
        <w:t>‘funding</w:t>
      </w:r>
      <w:r>
        <w:rPr>
          <w:color w:val="231F20"/>
          <w:spacing w:val="-4"/>
        </w:rPr>
        <w:t> </w:t>
      </w:r>
      <w:r>
        <w:rPr>
          <w:color w:val="231F20"/>
        </w:rPr>
        <w:t>from</w:t>
      </w:r>
      <w:r>
        <w:rPr>
          <w:color w:val="231F20"/>
          <w:spacing w:val="-3"/>
        </w:rPr>
        <w:t> </w:t>
      </w:r>
      <w:r>
        <w:rPr>
          <w:color w:val="231F20"/>
        </w:rPr>
        <w:t>other</w:t>
      </w:r>
      <w:r>
        <w:rPr>
          <w:color w:val="231F20"/>
          <w:spacing w:val="-4"/>
        </w:rPr>
        <w:t> </w:t>
      </w:r>
      <w:r>
        <w:rPr>
          <w:color w:val="231F20"/>
          <w:spacing w:val="-1"/>
        </w:rPr>
        <w:t>sources</w:t>
      </w:r>
      <w:r>
        <w:rPr>
          <w:color w:val="231F20"/>
          <w:spacing w:val="-3"/>
        </w:rPr>
        <w:t> </w:t>
      </w:r>
      <w:r>
        <w:rPr>
          <w:color w:val="231F20"/>
        </w:rPr>
        <w:t>to</w:t>
      </w:r>
      <w:r>
        <w:rPr>
          <w:color w:val="231F20"/>
          <w:spacing w:val="-4"/>
        </w:rPr>
        <w:t> </w:t>
      </w:r>
      <w:r>
        <w:rPr>
          <w:color w:val="231F20"/>
          <w:spacing w:val="-1"/>
        </w:rPr>
        <w:t>subsidise</w:t>
      </w:r>
      <w:r>
        <w:rPr>
          <w:color w:val="231F20"/>
          <w:spacing w:val="-3"/>
        </w:rPr>
        <w:t> </w:t>
      </w:r>
      <w:r>
        <w:rPr>
          <w:color w:val="231F20"/>
        </w:rPr>
        <w:t>the</w:t>
      </w:r>
      <w:r>
        <w:rPr>
          <w:color w:val="231F20"/>
          <w:spacing w:val="23"/>
          <w:w w:val="99"/>
        </w:rPr>
        <w:t> </w:t>
      </w:r>
      <w:r>
        <w:rPr>
          <w:color w:val="231F20"/>
        </w:rPr>
        <w:t>essential</w:t>
      </w:r>
      <w:r>
        <w:rPr>
          <w:color w:val="231F20"/>
          <w:spacing w:val="-6"/>
        </w:rPr>
        <w:t> </w:t>
      </w:r>
      <w:r>
        <w:rPr>
          <w:color w:val="231F20"/>
          <w:spacing w:val="-1"/>
        </w:rPr>
        <w:t>services</w:t>
      </w:r>
      <w:r>
        <w:rPr>
          <w:color w:val="231F20"/>
          <w:spacing w:val="-4"/>
        </w:rPr>
        <w:t> </w:t>
      </w:r>
      <w:r>
        <w:rPr>
          <w:color w:val="231F20"/>
        </w:rPr>
        <w:t>and</w:t>
      </w:r>
      <w:r>
        <w:rPr>
          <w:color w:val="231F20"/>
          <w:spacing w:val="-6"/>
        </w:rPr>
        <w:t> </w:t>
      </w:r>
      <w:r>
        <w:rPr>
          <w:color w:val="231F20"/>
          <w:spacing w:val="-1"/>
        </w:rPr>
        <w:t>support</w:t>
      </w:r>
      <w:r>
        <w:rPr>
          <w:color w:val="231F20"/>
          <w:spacing w:val="-4"/>
        </w:rPr>
        <w:t> </w:t>
      </w:r>
      <w:r>
        <w:rPr>
          <w:color w:val="231F20"/>
        </w:rPr>
        <w:t>for</w:t>
      </w:r>
      <w:r>
        <w:rPr>
          <w:color w:val="231F20"/>
          <w:spacing w:val="-4"/>
        </w:rPr>
        <w:t> </w:t>
      </w:r>
      <w:r>
        <w:rPr>
          <w:color w:val="231F20"/>
        </w:rPr>
        <w:t>Aboriginal</w:t>
      </w:r>
      <w:r>
        <w:rPr>
          <w:color w:val="231F20"/>
          <w:spacing w:val="23"/>
          <w:w w:val="99"/>
        </w:rPr>
        <w:t> </w:t>
      </w:r>
      <w:r>
        <w:rPr>
          <w:color w:val="231F20"/>
        </w:rPr>
        <w:t>and</w:t>
      </w:r>
      <w:r>
        <w:rPr>
          <w:color w:val="231F20"/>
          <w:spacing w:val="-6"/>
        </w:rPr>
        <w:t> </w:t>
      </w:r>
      <w:r>
        <w:rPr>
          <w:color w:val="231F20"/>
          <w:spacing w:val="-5"/>
        </w:rPr>
        <w:t>Torres</w:t>
      </w:r>
      <w:r>
        <w:rPr>
          <w:color w:val="231F20"/>
          <w:spacing w:val="-6"/>
        </w:rPr>
        <w:t> </w:t>
      </w:r>
      <w:r>
        <w:rPr>
          <w:color w:val="231F20"/>
          <w:spacing w:val="-2"/>
        </w:rPr>
        <w:t>Strait</w:t>
      </w:r>
      <w:r>
        <w:rPr>
          <w:color w:val="231F20"/>
          <w:spacing w:val="-6"/>
        </w:rPr>
        <w:t> </w:t>
      </w:r>
      <w:r>
        <w:rPr>
          <w:color w:val="231F20"/>
        </w:rPr>
        <w:t>boarders’.</w:t>
      </w:r>
      <w:r>
        <w:rPr/>
      </w:r>
    </w:p>
    <w:p>
      <w:pPr>
        <w:pStyle w:val="Heading3"/>
        <w:spacing w:line="240" w:lineRule="auto" w:before="25"/>
        <w:ind w:right="0"/>
        <w:jc w:val="left"/>
      </w:pPr>
      <w:r>
        <w:rPr/>
        <w:br w:type="column"/>
      </w:r>
      <w:r>
        <w:rPr>
          <w:b/>
          <w:color w:val="00779B"/>
          <w:spacing w:val="-1"/>
        </w:rPr>
        <w:t>ABSTUDY</w:t>
      </w:r>
      <w:r>
        <w:rPr/>
      </w:r>
    </w:p>
    <w:p>
      <w:pPr>
        <w:pStyle w:val="BodyText"/>
        <w:spacing w:line="250" w:lineRule="exact" w:before="64"/>
        <w:ind w:right="198"/>
        <w:jc w:val="left"/>
      </w:pP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5"/>
        </w:rPr>
        <w:t> </w:t>
      </w:r>
      <w:r>
        <w:rPr>
          <w:color w:val="231F20"/>
        </w:rPr>
        <w:t>rely</w:t>
      </w:r>
      <w:r>
        <w:rPr>
          <w:color w:val="231F20"/>
          <w:spacing w:val="-5"/>
        </w:rPr>
        <w:t> </w:t>
      </w:r>
      <w:r>
        <w:rPr>
          <w:color w:val="231F20"/>
        </w:rPr>
        <w:t>heavily</w:t>
      </w:r>
      <w:r>
        <w:rPr>
          <w:color w:val="231F20"/>
          <w:spacing w:val="-4"/>
        </w:rPr>
        <w:t> </w:t>
      </w:r>
      <w:r>
        <w:rPr>
          <w:color w:val="231F20"/>
        </w:rPr>
        <w:t>on</w:t>
      </w:r>
      <w:r>
        <w:rPr>
          <w:color w:val="231F20"/>
          <w:spacing w:val="-4"/>
        </w:rPr>
        <w:t> </w:t>
      </w:r>
      <w:r>
        <w:rPr>
          <w:color w:val="231F20"/>
        </w:rPr>
        <w:t>ABSTUDY</w:t>
      </w:r>
      <w:r>
        <w:rPr>
          <w:color w:val="231F20"/>
          <w:spacing w:val="-5"/>
        </w:rPr>
        <w:t> </w:t>
      </w:r>
      <w:r>
        <w:rPr>
          <w:color w:val="231F20"/>
        </w:rPr>
        <w:t>to</w:t>
      </w:r>
      <w:r>
        <w:rPr>
          <w:color w:val="231F20"/>
          <w:spacing w:val="-3"/>
        </w:rPr>
        <w:t> </w:t>
      </w:r>
      <w:r>
        <w:rPr>
          <w:color w:val="231F20"/>
          <w:spacing w:val="-1"/>
        </w:rPr>
        <w:t>meet</w:t>
      </w:r>
      <w:r>
        <w:rPr>
          <w:color w:val="231F20"/>
          <w:spacing w:val="19"/>
        </w:rPr>
        <w:t> </w:t>
      </w:r>
      <w:r>
        <w:rPr>
          <w:color w:val="231F20"/>
        </w:rPr>
        <w:t>the</w:t>
      </w:r>
      <w:r>
        <w:rPr>
          <w:color w:val="231F20"/>
          <w:spacing w:val="-5"/>
        </w:rPr>
        <w:t> </w:t>
      </w:r>
      <w:r>
        <w:rPr>
          <w:color w:val="231F20"/>
        </w:rPr>
        <w:t>cost</w:t>
      </w:r>
      <w:r>
        <w:rPr>
          <w:color w:val="231F20"/>
          <w:spacing w:val="-4"/>
        </w:rPr>
        <w:t> </w:t>
      </w:r>
      <w:r>
        <w:rPr>
          <w:color w:val="231F20"/>
        </w:rPr>
        <w:t>of</w:t>
      </w:r>
      <w:r>
        <w:rPr>
          <w:color w:val="231F20"/>
          <w:spacing w:val="-3"/>
        </w:rPr>
        <w:t> </w:t>
      </w:r>
      <w:r>
        <w:rPr>
          <w:color w:val="231F20"/>
        </w:rPr>
        <w:t>boarding.</w:t>
      </w:r>
      <w:r>
        <w:rPr>
          <w:color w:val="231F20"/>
          <w:spacing w:val="-4"/>
        </w:rPr>
        <w:t> </w:t>
      </w:r>
      <w:r>
        <w:rPr>
          <w:color w:val="231F20"/>
        </w:rPr>
        <w:t>Over</w:t>
      </w:r>
      <w:r>
        <w:rPr>
          <w:color w:val="231F20"/>
          <w:spacing w:val="-3"/>
        </w:rPr>
        <w:t> </w:t>
      </w:r>
      <w:r>
        <w:rPr>
          <w:color w:val="231F20"/>
        </w:rPr>
        <w:t>the</w:t>
      </w:r>
      <w:r>
        <w:rPr>
          <w:color w:val="231F20"/>
          <w:spacing w:val="-4"/>
        </w:rPr>
        <w:t> </w:t>
      </w:r>
      <w:r>
        <w:rPr>
          <w:color w:val="231F20"/>
          <w:spacing w:val="-1"/>
        </w:rPr>
        <w:t>last</w:t>
      </w:r>
      <w:r>
        <w:rPr>
          <w:color w:val="231F20"/>
          <w:spacing w:val="-3"/>
        </w:rPr>
        <w:t> </w:t>
      </w:r>
      <w:r>
        <w:rPr>
          <w:color w:val="231F20"/>
          <w:spacing w:val="-1"/>
        </w:rPr>
        <w:t>50</w:t>
      </w:r>
      <w:r>
        <w:rPr>
          <w:color w:val="231F20"/>
          <w:spacing w:val="-3"/>
        </w:rPr>
        <w:t> </w:t>
      </w:r>
      <w:r>
        <w:rPr>
          <w:color w:val="231F20"/>
        </w:rPr>
        <w:t>years</w:t>
      </w:r>
      <w:r>
        <w:rPr>
          <w:color w:val="231F20"/>
          <w:spacing w:val="22"/>
          <w:w w:val="99"/>
        </w:rPr>
        <w:t> </w:t>
      </w:r>
      <w:r>
        <w:rPr>
          <w:color w:val="231F20"/>
        </w:rPr>
        <w:t>ABSTUDY</w:t>
      </w:r>
      <w:r>
        <w:rPr>
          <w:color w:val="231F20"/>
          <w:spacing w:val="-6"/>
        </w:rPr>
        <w:t> </w:t>
      </w:r>
      <w:r>
        <w:rPr>
          <w:color w:val="231F20"/>
        </w:rPr>
        <w:t>has</w:t>
      </w:r>
      <w:r>
        <w:rPr>
          <w:color w:val="231F20"/>
          <w:spacing w:val="-6"/>
        </w:rPr>
        <w:t> </w:t>
      </w:r>
      <w:r>
        <w:rPr>
          <w:color w:val="231F20"/>
        </w:rPr>
        <w:t>enabled</w:t>
      </w:r>
      <w:r>
        <w:rPr>
          <w:color w:val="231F20"/>
          <w:spacing w:val="-6"/>
        </w:rPr>
        <w:t> </w:t>
      </w:r>
      <w:r>
        <w:rPr>
          <w:color w:val="231F20"/>
          <w:spacing w:val="-1"/>
        </w:rPr>
        <w:t>many</w:t>
      </w:r>
      <w:r>
        <w:rPr>
          <w:color w:val="231F20"/>
          <w:spacing w:val="-5"/>
        </w:rPr>
        <w:t> </w:t>
      </w:r>
      <w:r>
        <w:rPr>
          <w:color w:val="231F20"/>
        </w:rPr>
        <w:t>Aboriginal</w:t>
      </w:r>
      <w:r>
        <w:rPr>
          <w:color w:val="231F20"/>
          <w:spacing w:val="-5"/>
        </w:rPr>
        <w:t> </w:t>
      </w:r>
      <w:r>
        <w:rPr>
          <w:color w:val="231F20"/>
        </w:rPr>
        <w:t>and</w:t>
      </w:r>
      <w:r>
        <w:rPr>
          <w:color w:val="231F20"/>
          <w:spacing w:val="21"/>
          <w:w w:val="99"/>
        </w:rPr>
        <w:t> </w:t>
      </w:r>
      <w:r>
        <w:rPr>
          <w:color w:val="231F20"/>
          <w:spacing w:val="-5"/>
        </w:rPr>
        <w:t>Torres</w:t>
      </w:r>
      <w:r>
        <w:rPr>
          <w:color w:val="231F20"/>
          <w:spacing w:val="-3"/>
        </w:rPr>
        <w:t> </w:t>
      </w:r>
      <w:r>
        <w:rPr>
          <w:color w:val="231F20"/>
          <w:spacing w:val="-2"/>
        </w:rPr>
        <w:t>Strait</w:t>
      </w:r>
      <w:r>
        <w:rPr>
          <w:color w:val="231F20"/>
          <w:spacing w:val="-3"/>
        </w:rPr>
        <w:t> </w:t>
      </w:r>
      <w:r>
        <w:rPr>
          <w:color w:val="231F20"/>
          <w:spacing w:val="-1"/>
        </w:rPr>
        <w:t>Islander</w:t>
      </w:r>
      <w:r>
        <w:rPr>
          <w:color w:val="231F20"/>
          <w:spacing w:val="-2"/>
        </w:rPr>
        <w:t> </w:t>
      </w:r>
      <w:r>
        <w:rPr>
          <w:color w:val="231F20"/>
          <w:spacing w:val="-1"/>
        </w:rPr>
        <w:t>students</w:t>
      </w:r>
      <w:r>
        <w:rPr>
          <w:color w:val="231F20"/>
          <w:spacing w:val="-2"/>
        </w:rPr>
        <w:t> </w:t>
      </w:r>
      <w:r>
        <w:rPr>
          <w:color w:val="231F20"/>
        </w:rPr>
        <w:t>to</w:t>
      </w:r>
      <w:r>
        <w:rPr>
          <w:color w:val="231F20"/>
          <w:spacing w:val="-2"/>
        </w:rPr>
        <w:t> </w:t>
      </w:r>
      <w:r>
        <w:rPr>
          <w:color w:val="231F20"/>
        </w:rPr>
        <w:t>access</w:t>
      </w:r>
      <w:r>
        <w:rPr>
          <w:color w:val="231F20"/>
          <w:spacing w:val="-3"/>
        </w:rPr>
        <w:t> </w:t>
      </w:r>
      <w:r>
        <w:rPr>
          <w:color w:val="231F20"/>
        </w:rPr>
        <w:t>a</w:t>
      </w:r>
      <w:r>
        <w:rPr>
          <w:color w:val="231F20"/>
          <w:spacing w:val="23"/>
          <w:w w:val="99"/>
        </w:rPr>
        <w:t> </w:t>
      </w:r>
      <w:r>
        <w:rPr>
          <w:color w:val="231F20"/>
        </w:rPr>
        <w:t>quality</w:t>
      </w:r>
      <w:r>
        <w:rPr>
          <w:color w:val="231F20"/>
          <w:spacing w:val="-13"/>
        </w:rPr>
        <w:t> </w:t>
      </w:r>
      <w:r>
        <w:rPr>
          <w:color w:val="231F20"/>
          <w:spacing w:val="-1"/>
        </w:rPr>
        <w:t>secondary</w:t>
      </w:r>
      <w:r>
        <w:rPr>
          <w:color w:val="231F20"/>
          <w:spacing w:val="-12"/>
        </w:rPr>
        <w:t> </w:t>
      </w:r>
      <w:r>
        <w:rPr>
          <w:color w:val="231F20"/>
        </w:rPr>
        <w:t>education.</w:t>
      </w:r>
      <w:r>
        <w:rPr/>
      </w:r>
    </w:p>
    <w:p>
      <w:pPr>
        <w:pStyle w:val="BodyText"/>
        <w:spacing w:line="250" w:lineRule="exact" w:before="113"/>
        <w:ind w:right="373"/>
        <w:jc w:val="left"/>
      </w:pPr>
      <w:r>
        <w:rPr>
          <w:color w:val="231F20"/>
          <w:spacing w:val="-1"/>
        </w:rPr>
        <w:t>Due</w:t>
      </w:r>
      <w:r>
        <w:rPr>
          <w:color w:val="231F20"/>
          <w:spacing w:val="-4"/>
        </w:rPr>
        <w:t> </w:t>
      </w:r>
      <w:r>
        <w:rPr>
          <w:color w:val="231F20"/>
        </w:rPr>
        <w:t>to</w:t>
      </w:r>
      <w:r>
        <w:rPr>
          <w:color w:val="231F20"/>
          <w:spacing w:val="-3"/>
        </w:rPr>
        <w:t> </w:t>
      </w:r>
      <w:r>
        <w:rPr>
          <w:color w:val="231F20"/>
        </w:rPr>
        <w:t>reporting</w:t>
      </w:r>
      <w:r>
        <w:rPr>
          <w:color w:val="231F20"/>
          <w:spacing w:val="-5"/>
        </w:rPr>
        <w:t> </w:t>
      </w:r>
      <w:r>
        <w:rPr>
          <w:color w:val="231F20"/>
          <w:spacing w:val="-1"/>
        </w:rPr>
        <w:t>inconsistencies</w:t>
      </w:r>
      <w:r>
        <w:rPr>
          <w:color w:val="231F20"/>
          <w:spacing w:val="-3"/>
        </w:rPr>
        <w:t> </w:t>
      </w:r>
      <w:r>
        <w:rPr>
          <w:color w:val="231F20"/>
        </w:rPr>
        <w:t>and</w:t>
      </w:r>
      <w:r>
        <w:rPr>
          <w:color w:val="231F20"/>
          <w:spacing w:val="-5"/>
        </w:rPr>
        <w:t> </w:t>
      </w:r>
      <w:r>
        <w:rPr>
          <w:color w:val="231F20"/>
        </w:rPr>
        <w:t>data</w:t>
      </w:r>
      <w:r>
        <w:rPr>
          <w:color w:val="231F20"/>
          <w:spacing w:val="23"/>
          <w:w w:val="99"/>
        </w:rPr>
        <w:t> </w:t>
      </w:r>
      <w:r>
        <w:rPr>
          <w:color w:val="231F20"/>
          <w:spacing w:val="-1"/>
        </w:rPr>
        <w:t>limitations</w:t>
      </w:r>
      <w:r>
        <w:rPr>
          <w:color w:val="231F20"/>
          <w:spacing w:val="-3"/>
        </w:rPr>
        <w:t> </w:t>
      </w:r>
      <w:r>
        <w:rPr>
          <w:color w:val="231F20"/>
          <w:spacing w:val="-1"/>
        </w:rPr>
        <w:t>it</w:t>
      </w:r>
      <w:r>
        <w:rPr>
          <w:color w:val="231F20"/>
          <w:spacing w:val="-2"/>
        </w:rPr>
        <w:t> </w:t>
      </w:r>
      <w:r>
        <w:rPr>
          <w:color w:val="231F20"/>
          <w:spacing w:val="-1"/>
        </w:rPr>
        <w:t>is</w:t>
      </w:r>
      <w:r>
        <w:rPr>
          <w:color w:val="231F20"/>
          <w:spacing w:val="-3"/>
        </w:rPr>
        <w:t> </w:t>
      </w:r>
      <w:r>
        <w:rPr>
          <w:color w:val="231F20"/>
        </w:rPr>
        <w:t>not</w:t>
      </w:r>
      <w:r>
        <w:rPr>
          <w:color w:val="231F20"/>
          <w:spacing w:val="-3"/>
        </w:rPr>
        <w:t> </w:t>
      </w:r>
      <w:r>
        <w:rPr>
          <w:color w:val="231F20"/>
        </w:rPr>
        <w:t>possible</w:t>
      </w:r>
      <w:r>
        <w:rPr>
          <w:color w:val="231F20"/>
          <w:spacing w:val="-3"/>
        </w:rPr>
        <w:t> </w:t>
      </w:r>
      <w:r>
        <w:rPr>
          <w:color w:val="231F20"/>
        </w:rPr>
        <w:t>to</w:t>
      </w:r>
      <w:r>
        <w:rPr>
          <w:color w:val="231F20"/>
          <w:spacing w:val="-2"/>
        </w:rPr>
        <w:t> </w:t>
      </w:r>
      <w:r>
        <w:rPr>
          <w:color w:val="231F20"/>
        </w:rPr>
        <w:t>determine</w:t>
      </w:r>
      <w:r>
        <w:rPr>
          <w:color w:val="231F20"/>
          <w:spacing w:val="24"/>
          <w:w w:val="99"/>
        </w:rPr>
        <w:t> </w:t>
      </w:r>
      <w:r>
        <w:rPr>
          <w:color w:val="231F20"/>
        </w:rPr>
        <w:t>the</w:t>
      </w:r>
      <w:r>
        <w:rPr>
          <w:color w:val="231F20"/>
          <w:spacing w:val="-3"/>
        </w:rPr>
        <w:t> </w:t>
      </w:r>
      <w:r>
        <w:rPr>
          <w:color w:val="231F20"/>
          <w:spacing w:val="-1"/>
        </w:rPr>
        <w:t>level</w:t>
      </w:r>
      <w:r>
        <w:rPr>
          <w:color w:val="231F20"/>
          <w:spacing w:val="-2"/>
        </w:rPr>
        <w:t> </w:t>
      </w:r>
      <w:r>
        <w:rPr>
          <w:color w:val="231F20"/>
        </w:rPr>
        <w:t>of</w:t>
      </w:r>
      <w:r>
        <w:rPr>
          <w:color w:val="231F20"/>
          <w:spacing w:val="-2"/>
        </w:rPr>
        <w:t> </w:t>
      </w:r>
      <w:r>
        <w:rPr>
          <w:color w:val="231F20"/>
        </w:rPr>
        <w:t>reliance</w:t>
      </w:r>
      <w:r>
        <w:rPr>
          <w:color w:val="231F20"/>
          <w:spacing w:val="-3"/>
        </w:rPr>
        <w:t> </w:t>
      </w:r>
      <w:r>
        <w:rPr>
          <w:color w:val="231F20"/>
        </w:rPr>
        <w:t>on</w:t>
      </w:r>
      <w:r>
        <w:rPr>
          <w:color w:val="231F20"/>
          <w:spacing w:val="-2"/>
        </w:rPr>
        <w:t> </w:t>
      </w:r>
      <w:r>
        <w:rPr>
          <w:color w:val="231F20"/>
        </w:rPr>
        <w:t>ABSTUDY</w:t>
      </w:r>
      <w:r>
        <w:rPr>
          <w:color w:val="231F20"/>
          <w:spacing w:val="-3"/>
        </w:rPr>
        <w:t> </w:t>
      </w:r>
      <w:r>
        <w:rPr>
          <w:color w:val="231F20"/>
        </w:rPr>
        <w:t>by</w:t>
      </w:r>
      <w:r>
        <w:rPr>
          <w:color w:val="231F20"/>
          <w:spacing w:val="-2"/>
        </w:rPr>
        <w:t> </w:t>
      </w:r>
      <w:r>
        <w:rPr>
          <w:color w:val="231F20"/>
        </w:rPr>
        <w:t>all</w:t>
      </w:r>
      <w:r>
        <w:rPr>
          <w:color w:val="231F20"/>
          <w:spacing w:val="-3"/>
        </w:rPr>
        <w:t> </w:t>
      </w:r>
      <w:r>
        <w:rPr>
          <w:color w:val="231F20"/>
          <w:spacing w:val="-1"/>
        </w:rPr>
        <w:t>27</w:t>
      </w:r>
      <w:r>
        <w:rPr/>
      </w:r>
    </w:p>
    <w:p>
      <w:pPr>
        <w:pStyle w:val="BodyText"/>
        <w:spacing w:line="250" w:lineRule="exact"/>
        <w:ind w:right="198"/>
        <w:jc w:val="left"/>
      </w:pP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5"/>
        </w:rPr>
        <w:t> </w:t>
      </w:r>
      <w:r>
        <w:rPr>
          <w:color w:val="231F20"/>
          <w:spacing w:val="-1"/>
        </w:rPr>
        <w:t>included</w:t>
      </w:r>
      <w:r>
        <w:rPr>
          <w:color w:val="231F20"/>
          <w:spacing w:val="-4"/>
        </w:rPr>
        <w:t> </w:t>
      </w:r>
      <w:r>
        <w:rPr>
          <w:color w:val="231F20"/>
          <w:spacing w:val="-1"/>
        </w:rPr>
        <w:t>in</w:t>
      </w:r>
      <w:r>
        <w:rPr>
          <w:color w:val="231F20"/>
          <w:spacing w:val="-3"/>
        </w:rPr>
        <w:t> </w:t>
      </w:r>
      <w:r>
        <w:rPr>
          <w:color w:val="231F20"/>
        </w:rPr>
        <w:t>the</w:t>
      </w:r>
      <w:r>
        <w:rPr>
          <w:color w:val="231F20"/>
          <w:spacing w:val="-5"/>
        </w:rPr>
        <w:t> </w:t>
      </w:r>
      <w:r>
        <w:rPr>
          <w:color w:val="231F20"/>
        </w:rPr>
        <w:t>analysis</w:t>
      </w:r>
      <w:r>
        <w:rPr>
          <w:color w:val="231F20"/>
          <w:spacing w:val="-4"/>
        </w:rPr>
        <w:t> </w:t>
      </w:r>
      <w:r>
        <w:rPr>
          <w:color w:val="231F20"/>
        </w:rPr>
        <w:t>for</w:t>
      </w:r>
      <w:r>
        <w:rPr>
          <w:color w:val="231F20"/>
          <w:spacing w:val="-4"/>
        </w:rPr>
        <w:t> </w:t>
      </w:r>
      <w:r>
        <w:rPr>
          <w:color w:val="231F20"/>
        </w:rPr>
        <w:t>this</w:t>
      </w:r>
      <w:r>
        <w:rPr>
          <w:color w:val="231F20"/>
          <w:spacing w:val="23"/>
        </w:rPr>
        <w:t> </w:t>
      </w:r>
      <w:r>
        <w:rPr>
          <w:color w:val="231F20"/>
        </w:rPr>
        <w:t>report.</w:t>
      </w:r>
      <w:r>
        <w:rPr>
          <w:color w:val="231F20"/>
          <w:spacing w:val="-7"/>
        </w:rPr>
        <w:t> </w:t>
      </w:r>
      <w:r>
        <w:rPr>
          <w:color w:val="231F20"/>
        </w:rPr>
        <w:t>However,</w:t>
      </w:r>
      <w:r>
        <w:rPr>
          <w:color w:val="231F20"/>
          <w:spacing w:val="-7"/>
        </w:rPr>
        <w:t> </w:t>
      </w:r>
      <w:r>
        <w:rPr>
          <w:color w:val="231F20"/>
        </w:rPr>
        <w:t>four</w:t>
      </w:r>
      <w:r>
        <w:rPr>
          <w:color w:val="231F20"/>
          <w:spacing w:val="-6"/>
        </w:rPr>
        <w:t> </w:t>
      </w:r>
      <w:r>
        <w:rPr>
          <w:color w:val="231F20"/>
        </w:rPr>
        <w:t>case</w:t>
      </w:r>
      <w:r>
        <w:rPr>
          <w:color w:val="231F20"/>
          <w:spacing w:val="-7"/>
        </w:rPr>
        <w:t> </w:t>
      </w:r>
      <w:r>
        <w:rPr>
          <w:color w:val="231F20"/>
          <w:spacing w:val="-1"/>
        </w:rPr>
        <w:t>studies</w:t>
      </w:r>
      <w:r>
        <w:rPr>
          <w:color w:val="231F20"/>
          <w:spacing w:val="-6"/>
        </w:rPr>
        <w:t> </w:t>
      </w:r>
      <w:r>
        <w:rPr>
          <w:color w:val="231F20"/>
        </w:rPr>
        <w:t>examined</w:t>
      </w:r>
      <w:r>
        <w:rPr>
          <w:color w:val="231F20"/>
          <w:spacing w:val="22"/>
          <w:w w:val="99"/>
        </w:rPr>
        <w:t> </w:t>
      </w:r>
      <w:r>
        <w:rPr>
          <w:color w:val="231F20"/>
          <w:spacing w:val="-1"/>
        </w:rPr>
        <w:t>in</w:t>
      </w:r>
      <w:r>
        <w:rPr>
          <w:color w:val="231F20"/>
          <w:spacing w:val="-2"/>
        </w:rPr>
        <w:t> </w:t>
      </w:r>
      <w:r>
        <w:rPr>
          <w:color w:val="231F20"/>
        </w:rPr>
        <w:t>this</w:t>
      </w:r>
      <w:r>
        <w:rPr>
          <w:color w:val="231F20"/>
          <w:spacing w:val="-3"/>
        </w:rPr>
        <w:t> </w:t>
      </w:r>
      <w:r>
        <w:rPr>
          <w:color w:val="231F20"/>
        </w:rPr>
        <w:t>report</w:t>
      </w:r>
      <w:r>
        <w:rPr>
          <w:color w:val="231F20"/>
          <w:spacing w:val="-3"/>
        </w:rPr>
        <w:t> </w:t>
      </w:r>
      <w:r>
        <w:rPr>
          <w:color w:val="231F20"/>
          <w:spacing w:val="-1"/>
        </w:rPr>
        <w:t>in </w:t>
      </w:r>
      <w:r>
        <w:rPr>
          <w:color w:val="231F20"/>
          <w:spacing w:val="-2"/>
        </w:rPr>
        <w:t>Part</w:t>
      </w:r>
      <w:r>
        <w:rPr>
          <w:color w:val="231F20"/>
          <w:spacing w:val="-3"/>
        </w:rPr>
        <w:t> </w:t>
      </w:r>
      <w:r>
        <w:rPr>
          <w:color w:val="231F20"/>
          <w:spacing w:val="-1"/>
        </w:rPr>
        <w:t>10</w:t>
      </w:r>
      <w:r>
        <w:rPr>
          <w:color w:val="231F20"/>
          <w:spacing w:val="-2"/>
        </w:rPr>
        <w:t> </w:t>
      </w:r>
      <w:r>
        <w:rPr>
          <w:color w:val="231F20"/>
        </w:rPr>
        <w:t>are</w:t>
      </w:r>
      <w:r>
        <w:rPr>
          <w:color w:val="231F20"/>
          <w:spacing w:val="-2"/>
        </w:rPr>
        <w:t> </w:t>
      </w:r>
      <w:r>
        <w:rPr>
          <w:color w:val="231F20"/>
          <w:spacing w:val="-1"/>
        </w:rPr>
        <w:t>illustrative</w:t>
      </w:r>
      <w:r>
        <w:rPr>
          <w:color w:val="231F20"/>
          <w:spacing w:val="-2"/>
        </w:rPr>
        <w:t> </w:t>
      </w:r>
      <w:r>
        <w:rPr>
          <w:color w:val="231F20"/>
        </w:rPr>
        <w:t>of</w:t>
      </w:r>
      <w:r>
        <w:rPr>
          <w:color w:val="231F20"/>
          <w:spacing w:val="-2"/>
        </w:rPr>
        <w:t> </w:t>
      </w:r>
      <w:r>
        <w:rPr>
          <w:color w:val="231F20"/>
        </w:rPr>
        <w:t>the</w:t>
      </w:r>
      <w:r>
        <w:rPr>
          <w:color w:val="231F20"/>
          <w:spacing w:val="26"/>
          <w:w w:val="99"/>
        </w:rPr>
        <w:t> </w:t>
      </w:r>
      <w:r>
        <w:rPr>
          <w:color w:val="231F20"/>
        </w:rPr>
        <w:t>extent</w:t>
      </w:r>
      <w:r>
        <w:rPr>
          <w:color w:val="231F20"/>
          <w:spacing w:val="-4"/>
        </w:rPr>
        <w:t> </w:t>
      </w:r>
      <w:r>
        <w:rPr>
          <w:color w:val="231F20"/>
        </w:rPr>
        <w:t>that</w:t>
      </w:r>
      <w:r>
        <w:rPr>
          <w:color w:val="231F20"/>
          <w:spacing w:val="-5"/>
        </w:rPr>
        <w:t> </w:t>
      </w:r>
      <w:r>
        <w:rPr>
          <w:color w:val="231F20"/>
          <w:spacing w:val="-1"/>
        </w:rPr>
        <w:t>some</w:t>
      </w:r>
      <w:r>
        <w:rPr>
          <w:color w:val="231F20"/>
          <w:spacing w:val="-4"/>
        </w:rPr>
        <w:t> </w:t>
      </w:r>
      <w:r>
        <w:rPr>
          <w:color w:val="231F20"/>
        </w:rPr>
        <w:t>providers</w:t>
      </w:r>
      <w:r>
        <w:rPr>
          <w:color w:val="231F20"/>
          <w:spacing w:val="-5"/>
        </w:rPr>
        <w:t> </w:t>
      </w:r>
      <w:r>
        <w:rPr>
          <w:color w:val="231F20"/>
        </w:rPr>
        <w:t>rely</w:t>
      </w:r>
      <w:r>
        <w:rPr>
          <w:color w:val="231F20"/>
          <w:spacing w:val="-4"/>
        </w:rPr>
        <w:t> </w:t>
      </w:r>
      <w:r>
        <w:rPr>
          <w:color w:val="231F20"/>
        </w:rPr>
        <w:t>on</w:t>
      </w:r>
      <w:r>
        <w:rPr>
          <w:color w:val="231F20"/>
          <w:spacing w:val="-4"/>
        </w:rPr>
        <w:t> </w:t>
      </w:r>
      <w:r>
        <w:rPr>
          <w:color w:val="231F20"/>
        </w:rPr>
        <w:t>ABSTUDY</w:t>
      </w:r>
      <w:r>
        <w:rPr>
          <w:color w:val="231F20"/>
          <w:spacing w:val="21"/>
        </w:rPr>
        <w:t> </w:t>
      </w:r>
      <w:r>
        <w:rPr>
          <w:color w:val="231F20"/>
        </w:rPr>
        <w:t>to</w:t>
      </w:r>
      <w:r>
        <w:rPr>
          <w:color w:val="231F20"/>
          <w:spacing w:val="-3"/>
        </w:rPr>
        <w:t> </w:t>
      </w:r>
      <w:r>
        <w:rPr>
          <w:color w:val="231F20"/>
          <w:spacing w:val="-1"/>
        </w:rPr>
        <w:t>meet</w:t>
      </w:r>
      <w:r>
        <w:rPr>
          <w:color w:val="231F20"/>
          <w:spacing w:val="-3"/>
        </w:rPr>
        <w:t> </w:t>
      </w:r>
      <w:r>
        <w:rPr>
          <w:color w:val="231F20"/>
        </w:rPr>
        <w:t>the</w:t>
      </w:r>
      <w:r>
        <w:rPr>
          <w:color w:val="231F20"/>
          <w:spacing w:val="-4"/>
        </w:rPr>
        <w:t> </w:t>
      </w:r>
      <w:r>
        <w:rPr>
          <w:color w:val="231F20"/>
        </w:rPr>
        <w:t>costs</w:t>
      </w:r>
      <w:r>
        <w:rPr>
          <w:color w:val="231F20"/>
          <w:spacing w:val="-4"/>
        </w:rPr>
        <w:t> </w:t>
      </w:r>
      <w:r>
        <w:rPr>
          <w:color w:val="231F20"/>
        </w:rPr>
        <w:t>of</w:t>
      </w:r>
      <w:r>
        <w:rPr>
          <w:color w:val="231F20"/>
          <w:spacing w:val="-3"/>
        </w:rPr>
        <w:t> </w:t>
      </w:r>
      <w:r>
        <w:rPr>
          <w:color w:val="231F20"/>
        </w:rPr>
        <w:t>boarding.</w:t>
      </w:r>
      <w:r>
        <w:rPr>
          <w:color w:val="231F20"/>
          <w:spacing w:val="-4"/>
        </w:rPr>
        <w:t> </w:t>
      </w:r>
      <w:r>
        <w:rPr>
          <w:color w:val="231F20"/>
        </w:rPr>
        <w:t>At</w:t>
      </w:r>
      <w:r>
        <w:rPr>
          <w:color w:val="231F20"/>
          <w:spacing w:val="-3"/>
        </w:rPr>
        <w:t> </w:t>
      </w:r>
      <w:r>
        <w:rPr>
          <w:color w:val="231F20"/>
        </w:rPr>
        <w:t>the</w:t>
      </w:r>
      <w:r>
        <w:rPr>
          <w:color w:val="231F20"/>
          <w:spacing w:val="-4"/>
        </w:rPr>
        <w:t> </w:t>
      </w:r>
      <w:r>
        <w:rPr>
          <w:color w:val="231F20"/>
        </w:rPr>
        <w:t>four</w:t>
      </w:r>
      <w:r>
        <w:rPr>
          <w:color w:val="231F20"/>
          <w:spacing w:val="21"/>
          <w:w w:val="99"/>
        </w:rPr>
        <w:t> </w:t>
      </w:r>
      <w:r>
        <w:rPr>
          <w:color w:val="231F20"/>
        </w:rPr>
        <w:t>providers</w:t>
      </w:r>
      <w:r>
        <w:rPr>
          <w:color w:val="231F20"/>
          <w:spacing w:val="-6"/>
        </w:rPr>
        <w:t> </w:t>
      </w:r>
      <w:r>
        <w:rPr>
          <w:color w:val="231F20"/>
          <w:spacing w:val="-1"/>
        </w:rPr>
        <w:t>more</w:t>
      </w:r>
      <w:r>
        <w:rPr>
          <w:color w:val="231F20"/>
          <w:spacing w:val="-5"/>
        </w:rPr>
        <w:t> </w:t>
      </w:r>
      <w:r>
        <w:rPr>
          <w:color w:val="231F20"/>
        </w:rPr>
        <w:t>than</w:t>
      </w:r>
      <w:r>
        <w:rPr>
          <w:color w:val="231F20"/>
          <w:spacing w:val="-6"/>
        </w:rPr>
        <w:t> </w:t>
      </w:r>
      <w:r>
        <w:rPr>
          <w:color w:val="231F20"/>
          <w:spacing w:val="-1"/>
        </w:rPr>
        <w:t>90</w:t>
      </w:r>
      <w:r>
        <w:rPr>
          <w:color w:val="231F20"/>
          <w:spacing w:val="-5"/>
        </w:rPr>
        <w:t> </w:t>
      </w:r>
      <w:r>
        <w:rPr>
          <w:color w:val="231F20"/>
        </w:rPr>
        <w:t>per</w:t>
      </w:r>
      <w:r>
        <w:rPr>
          <w:color w:val="231F20"/>
          <w:spacing w:val="-4"/>
        </w:rPr>
        <w:t> </w:t>
      </w:r>
      <w:r>
        <w:rPr>
          <w:color w:val="231F20"/>
        </w:rPr>
        <w:t>cent</w:t>
      </w:r>
      <w:r>
        <w:rPr>
          <w:color w:val="231F20"/>
          <w:spacing w:val="-6"/>
        </w:rPr>
        <w:t> </w:t>
      </w:r>
      <w:r>
        <w:rPr>
          <w:color w:val="231F20"/>
        </w:rPr>
        <w:t>of</w:t>
      </w:r>
      <w:r>
        <w:rPr>
          <w:color w:val="231F20"/>
          <w:spacing w:val="-5"/>
        </w:rPr>
        <w:t> </w:t>
      </w:r>
      <w:r>
        <w:rPr>
          <w:color w:val="231F20"/>
        </w:rPr>
        <w:t>boarding</w:t>
      </w:r>
      <w:r>
        <w:rPr>
          <w:color w:val="231F20"/>
          <w:spacing w:val="22"/>
          <w:w w:val="99"/>
        </w:rPr>
        <w:t> </w:t>
      </w:r>
      <w:r>
        <w:rPr>
          <w:color w:val="231F20"/>
        </w:rPr>
        <w:t>revenue</w:t>
      </w:r>
      <w:r>
        <w:rPr>
          <w:color w:val="231F20"/>
          <w:spacing w:val="-7"/>
        </w:rPr>
        <w:t> </w:t>
      </w:r>
      <w:r>
        <w:rPr>
          <w:color w:val="231F20"/>
          <w:spacing w:val="-1"/>
        </w:rPr>
        <w:t>is</w:t>
      </w:r>
      <w:r>
        <w:rPr>
          <w:color w:val="231F20"/>
          <w:spacing w:val="-6"/>
        </w:rPr>
        <w:t> </w:t>
      </w:r>
      <w:r>
        <w:rPr>
          <w:color w:val="231F20"/>
          <w:spacing w:val="-1"/>
        </w:rPr>
        <w:t>sourced</w:t>
      </w:r>
      <w:r>
        <w:rPr>
          <w:color w:val="231F20"/>
          <w:spacing w:val="-5"/>
        </w:rPr>
        <w:t> </w:t>
      </w:r>
      <w:r>
        <w:rPr>
          <w:color w:val="231F20"/>
        </w:rPr>
        <w:t>from</w:t>
      </w:r>
      <w:r>
        <w:rPr>
          <w:color w:val="231F20"/>
          <w:spacing w:val="-5"/>
        </w:rPr>
        <w:t> </w:t>
      </w:r>
      <w:r>
        <w:rPr>
          <w:color w:val="231F20"/>
        </w:rPr>
        <w:t>ABSTUDY,</w:t>
      </w:r>
      <w:r>
        <w:rPr>
          <w:color w:val="231F20"/>
          <w:spacing w:val="-5"/>
        </w:rPr>
        <w:t> </w:t>
      </w:r>
      <w:r>
        <w:rPr>
          <w:color w:val="231F20"/>
        </w:rPr>
        <w:t>whereas</w:t>
      </w:r>
      <w:r>
        <w:rPr>
          <w:color w:val="231F20"/>
          <w:spacing w:val="23"/>
          <w:w w:val="99"/>
        </w:rPr>
        <w:t> </w:t>
      </w:r>
      <w:r>
        <w:rPr>
          <w:color w:val="231F20"/>
        </w:rPr>
        <w:t>only</w:t>
      </w:r>
      <w:r>
        <w:rPr>
          <w:color w:val="231F20"/>
          <w:spacing w:val="-4"/>
        </w:rPr>
        <w:t> </w:t>
      </w:r>
      <w:r>
        <w:rPr>
          <w:color w:val="231F20"/>
        </w:rPr>
        <w:t>8</w:t>
      </w:r>
      <w:r>
        <w:rPr>
          <w:color w:val="231F20"/>
          <w:spacing w:val="-3"/>
        </w:rPr>
        <w:t> </w:t>
      </w:r>
      <w:r>
        <w:rPr>
          <w:color w:val="231F20"/>
        </w:rPr>
        <w:t>–</w:t>
      </w:r>
      <w:r>
        <w:rPr>
          <w:color w:val="231F20"/>
          <w:spacing w:val="-3"/>
        </w:rPr>
        <w:t> </w:t>
      </w:r>
      <w:r>
        <w:rPr>
          <w:color w:val="231F20"/>
          <w:spacing w:val="-1"/>
        </w:rPr>
        <w:t>23</w:t>
      </w:r>
      <w:r>
        <w:rPr>
          <w:color w:val="231F20"/>
          <w:spacing w:val="-3"/>
        </w:rPr>
        <w:t> </w:t>
      </w:r>
      <w:r>
        <w:rPr>
          <w:color w:val="231F20"/>
        </w:rPr>
        <w:t>per</w:t>
      </w:r>
      <w:r>
        <w:rPr>
          <w:color w:val="231F20"/>
          <w:spacing w:val="-2"/>
        </w:rPr>
        <w:t> </w:t>
      </w:r>
      <w:r>
        <w:rPr>
          <w:color w:val="231F20"/>
        </w:rPr>
        <w:t>cent</w:t>
      </w:r>
      <w:r>
        <w:rPr>
          <w:color w:val="231F20"/>
          <w:spacing w:val="-4"/>
        </w:rPr>
        <w:t> </w:t>
      </w:r>
      <w:r>
        <w:rPr>
          <w:color w:val="231F20"/>
        </w:rPr>
        <w:t>of</w:t>
      </w:r>
      <w:r>
        <w:rPr>
          <w:color w:val="231F20"/>
          <w:spacing w:val="-3"/>
        </w:rPr>
        <w:t> </w:t>
      </w:r>
      <w:r>
        <w:rPr>
          <w:color w:val="231F20"/>
        </w:rPr>
        <w:t>tuition</w:t>
      </w:r>
      <w:r>
        <w:rPr>
          <w:color w:val="231F20"/>
          <w:spacing w:val="-4"/>
        </w:rPr>
        <w:t> </w:t>
      </w:r>
      <w:r>
        <w:rPr>
          <w:color w:val="231F20"/>
        </w:rPr>
        <w:t>revenue</w:t>
      </w:r>
      <w:r>
        <w:rPr>
          <w:color w:val="231F20"/>
          <w:spacing w:val="-4"/>
        </w:rPr>
        <w:t> </w:t>
      </w:r>
      <w:r>
        <w:rPr>
          <w:color w:val="231F20"/>
          <w:spacing w:val="-1"/>
        </w:rPr>
        <w:t>is</w:t>
      </w:r>
      <w:r>
        <w:rPr>
          <w:color w:val="231F20"/>
          <w:spacing w:val="20"/>
        </w:rPr>
        <w:t> </w:t>
      </w:r>
      <w:r>
        <w:rPr>
          <w:color w:val="231F20"/>
          <w:spacing w:val="-1"/>
        </w:rPr>
        <w:t>sourced</w:t>
      </w:r>
      <w:r>
        <w:rPr>
          <w:color w:val="231F20"/>
          <w:spacing w:val="-5"/>
        </w:rPr>
        <w:t> </w:t>
      </w:r>
      <w:r>
        <w:rPr>
          <w:color w:val="231F20"/>
        </w:rPr>
        <w:t>from</w:t>
      </w:r>
      <w:r>
        <w:rPr>
          <w:color w:val="231F20"/>
          <w:spacing w:val="-5"/>
        </w:rPr>
        <w:t> </w:t>
      </w:r>
      <w:r>
        <w:rPr>
          <w:color w:val="231F20"/>
        </w:rPr>
        <w:t>ABSTUDY.</w:t>
      </w:r>
      <w:r>
        <w:rPr>
          <w:color w:val="231F20"/>
          <w:spacing w:val="-4"/>
        </w:rPr>
        <w:t> </w:t>
      </w:r>
      <w:r>
        <w:rPr>
          <w:color w:val="231F20"/>
        </w:rPr>
        <w:t>The</w:t>
      </w:r>
      <w:r>
        <w:rPr>
          <w:color w:val="231F20"/>
          <w:spacing w:val="-5"/>
        </w:rPr>
        <w:t> </w:t>
      </w:r>
      <w:r>
        <w:rPr>
          <w:color w:val="231F20"/>
          <w:spacing w:val="-1"/>
        </w:rPr>
        <w:t>largest</w:t>
      </w:r>
      <w:r>
        <w:rPr>
          <w:color w:val="231F20"/>
          <w:spacing w:val="-5"/>
        </w:rPr>
        <w:t> </w:t>
      </w:r>
      <w:r>
        <w:rPr>
          <w:color w:val="231F20"/>
          <w:spacing w:val="-1"/>
        </w:rPr>
        <w:t>source</w:t>
      </w:r>
      <w:r>
        <w:rPr>
          <w:color w:val="231F20"/>
          <w:spacing w:val="-4"/>
        </w:rPr>
        <w:t> </w:t>
      </w:r>
      <w:r>
        <w:rPr>
          <w:color w:val="231F20"/>
        </w:rPr>
        <w:t>of</w:t>
      </w:r>
      <w:r>
        <w:rPr>
          <w:color w:val="231F20"/>
          <w:spacing w:val="24"/>
          <w:w w:val="99"/>
        </w:rPr>
        <w:t> </w:t>
      </w:r>
      <w:r>
        <w:rPr>
          <w:color w:val="231F20"/>
        </w:rPr>
        <w:t>revenue</w:t>
      </w:r>
      <w:r>
        <w:rPr>
          <w:color w:val="231F20"/>
          <w:spacing w:val="-7"/>
        </w:rPr>
        <w:t> </w:t>
      </w:r>
      <w:r>
        <w:rPr>
          <w:color w:val="231F20"/>
        </w:rPr>
        <w:t>for</w:t>
      </w:r>
      <w:r>
        <w:rPr>
          <w:color w:val="231F20"/>
          <w:spacing w:val="-5"/>
        </w:rPr>
        <w:t> </w:t>
      </w:r>
      <w:r>
        <w:rPr>
          <w:color w:val="231F20"/>
        </w:rPr>
        <w:t>all</w:t>
      </w:r>
      <w:r>
        <w:rPr>
          <w:color w:val="231F20"/>
          <w:spacing w:val="-7"/>
        </w:rPr>
        <w:t> </w:t>
      </w:r>
      <w:r>
        <w:rPr>
          <w:color w:val="231F20"/>
        </w:rPr>
        <w:t>four</w:t>
      </w:r>
      <w:r>
        <w:rPr>
          <w:color w:val="231F20"/>
          <w:spacing w:val="-5"/>
        </w:rPr>
        <w:t> </w:t>
      </w:r>
      <w:r>
        <w:rPr>
          <w:color w:val="231F20"/>
        </w:rPr>
        <w:t>boarding</w:t>
      </w:r>
      <w:r>
        <w:rPr>
          <w:color w:val="231F20"/>
          <w:spacing w:val="-7"/>
        </w:rPr>
        <w:t> </w:t>
      </w:r>
      <w:r>
        <w:rPr>
          <w:color w:val="231F20"/>
        </w:rPr>
        <w:t>providers</w:t>
      </w:r>
      <w:r>
        <w:rPr>
          <w:color w:val="231F20"/>
          <w:spacing w:val="-6"/>
        </w:rPr>
        <w:t> </w:t>
      </w:r>
      <w:r>
        <w:rPr>
          <w:color w:val="231F20"/>
        </w:rPr>
        <w:t>was</w:t>
      </w:r>
      <w:r>
        <w:rPr>
          <w:color w:val="231F20"/>
          <w:w w:val="99"/>
        </w:rPr>
        <w:t> </w:t>
      </w:r>
      <w:r>
        <w:rPr>
          <w:color w:val="231F20"/>
          <w:spacing w:val="-1"/>
        </w:rPr>
        <w:t>Commonwealth</w:t>
      </w:r>
      <w:r>
        <w:rPr>
          <w:color w:val="231F20"/>
          <w:spacing w:val="-10"/>
        </w:rPr>
        <w:t> </w:t>
      </w:r>
      <w:r>
        <w:rPr>
          <w:color w:val="231F20"/>
        </w:rPr>
        <w:t>recurrent</w:t>
      </w:r>
      <w:r>
        <w:rPr>
          <w:color w:val="231F20"/>
          <w:spacing w:val="-11"/>
        </w:rPr>
        <w:t> </w:t>
      </w:r>
      <w:r>
        <w:rPr>
          <w:color w:val="231F20"/>
          <w:spacing w:val="-1"/>
        </w:rPr>
        <w:t>school</w:t>
      </w:r>
      <w:r>
        <w:rPr>
          <w:color w:val="231F20"/>
          <w:spacing w:val="-10"/>
        </w:rPr>
        <w:t> </w:t>
      </w:r>
      <w:r>
        <w:rPr>
          <w:color w:val="231F20"/>
        </w:rPr>
        <w:t>funding.</w:t>
      </w:r>
      <w:r>
        <w:rPr/>
      </w:r>
    </w:p>
    <w:p>
      <w:pPr>
        <w:pStyle w:val="BodyText"/>
        <w:spacing w:line="250" w:lineRule="exact" w:before="113"/>
        <w:ind w:right="226"/>
        <w:jc w:val="left"/>
      </w:pPr>
      <w:r>
        <w:rPr>
          <w:color w:val="231F20"/>
        </w:rPr>
        <w:t>The</w:t>
      </w:r>
      <w:r>
        <w:rPr>
          <w:color w:val="231F20"/>
          <w:spacing w:val="-7"/>
        </w:rPr>
        <w:t> </w:t>
      </w:r>
      <w:r>
        <w:rPr>
          <w:color w:val="231F20"/>
        </w:rPr>
        <w:t>boarding</w:t>
      </w:r>
      <w:r>
        <w:rPr>
          <w:color w:val="231F20"/>
          <w:spacing w:val="-7"/>
        </w:rPr>
        <w:t> </w:t>
      </w:r>
      <w:r>
        <w:rPr>
          <w:color w:val="231F20"/>
        </w:rPr>
        <w:t>operations</w:t>
      </w:r>
      <w:r>
        <w:rPr>
          <w:color w:val="231F20"/>
          <w:spacing w:val="-7"/>
        </w:rPr>
        <w:t> </w:t>
      </w:r>
      <w:r>
        <w:rPr>
          <w:color w:val="231F20"/>
        </w:rPr>
        <w:t>at</w:t>
      </w:r>
      <w:r>
        <w:rPr>
          <w:color w:val="231F20"/>
          <w:spacing w:val="-6"/>
        </w:rPr>
        <w:t> </w:t>
      </w:r>
      <w:r>
        <w:rPr>
          <w:color w:val="231F20"/>
          <w:spacing w:val="-1"/>
        </w:rPr>
        <w:t>some</w:t>
      </w:r>
      <w:r>
        <w:rPr>
          <w:color w:val="231F20"/>
          <w:spacing w:val="-6"/>
        </w:rPr>
        <w:t> </w:t>
      </w:r>
      <w:r>
        <w:rPr>
          <w:color w:val="231F20"/>
        </w:rPr>
        <w:t>boarding</w:t>
      </w:r>
      <w:r>
        <w:rPr>
          <w:color w:val="231F20"/>
          <w:spacing w:val="21"/>
          <w:w w:val="99"/>
        </w:rPr>
        <w:t> </w:t>
      </w:r>
      <w:r>
        <w:rPr>
          <w:color w:val="231F20"/>
        </w:rPr>
        <w:t>providers</w:t>
      </w:r>
      <w:r>
        <w:rPr>
          <w:color w:val="231F20"/>
          <w:spacing w:val="-7"/>
        </w:rPr>
        <w:t> </w:t>
      </w:r>
      <w:r>
        <w:rPr>
          <w:color w:val="231F20"/>
        </w:rPr>
        <w:t>would</w:t>
      </w:r>
      <w:r>
        <w:rPr>
          <w:color w:val="231F20"/>
          <w:spacing w:val="-6"/>
        </w:rPr>
        <w:t> </w:t>
      </w:r>
      <w:r>
        <w:rPr>
          <w:color w:val="231F20"/>
        </w:rPr>
        <w:t>not</w:t>
      </w:r>
      <w:r>
        <w:rPr>
          <w:color w:val="231F20"/>
          <w:spacing w:val="-5"/>
        </w:rPr>
        <w:t> </w:t>
      </w:r>
      <w:r>
        <w:rPr>
          <w:color w:val="231F20"/>
        </w:rPr>
        <w:t>be</w:t>
      </w:r>
      <w:r>
        <w:rPr>
          <w:color w:val="231F20"/>
          <w:spacing w:val="-5"/>
        </w:rPr>
        <w:t> </w:t>
      </w:r>
      <w:r>
        <w:rPr>
          <w:color w:val="231F20"/>
        </w:rPr>
        <w:t>viable</w:t>
      </w:r>
      <w:r>
        <w:rPr>
          <w:color w:val="231F20"/>
          <w:spacing w:val="-5"/>
        </w:rPr>
        <w:t> </w:t>
      </w:r>
      <w:r>
        <w:rPr>
          <w:color w:val="231F20"/>
        </w:rPr>
        <w:t>without</w:t>
      </w:r>
      <w:r>
        <w:rPr>
          <w:color w:val="231F20"/>
          <w:w w:val="99"/>
        </w:rPr>
        <w:t> </w:t>
      </w:r>
      <w:r>
        <w:rPr>
          <w:color w:val="231F20"/>
        </w:rPr>
        <w:t>ABSTUDY</w:t>
      </w:r>
      <w:r>
        <w:rPr>
          <w:color w:val="231F20"/>
          <w:spacing w:val="-6"/>
        </w:rPr>
        <w:t> </w:t>
      </w:r>
      <w:r>
        <w:rPr>
          <w:color w:val="231F20"/>
        </w:rPr>
        <w:t>or</w:t>
      </w:r>
      <w:r>
        <w:rPr>
          <w:color w:val="231F20"/>
          <w:spacing w:val="-4"/>
        </w:rPr>
        <w:t> </w:t>
      </w:r>
      <w:r>
        <w:rPr>
          <w:color w:val="231F20"/>
        </w:rPr>
        <w:t>a</w:t>
      </w:r>
      <w:r>
        <w:rPr>
          <w:color w:val="231F20"/>
          <w:spacing w:val="-4"/>
        </w:rPr>
        <w:t> </w:t>
      </w:r>
      <w:r>
        <w:rPr>
          <w:color w:val="231F20"/>
        </w:rPr>
        <w:t>replacement</w:t>
      </w:r>
      <w:r>
        <w:rPr>
          <w:color w:val="231F20"/>
          <w:spacing w:val="-7"/>
        </w:rPr>
        <w:t> </w:t>
      </w:r>
      <w:r>
        <w:rPr>
          <w:color w:val="231F20"/>
          <w:spacing w:val="-1"/>
        </w:rPr>
        <w:t>source</w:t>
      </w:r>
      <w:r>
        <w:rPr>
          <w:color w:val="231F20"/>
          <w:spacing w:val="-4"/>
        </w:rPr>
        <w:t> </w:t>
      </w:r>
      <w:r>
        <w:rPr>
          <w:color w:val="231F20"/>
        </w:rPr>
        <w:t>of</w:t>
      </w:r>
      <w:r>
        <w:rPr>
          <w:color w:val="231F20"/>
          <w:spacing w:val="21"/>
          <w:w w:val="99"/>
        </w:rPr>
        <w:t> </w:t>
      </w:r>
      <w:r>
        <w:rPr>
          <w:color w:val="231F20"/>
        </w:rPr>
        <w:t>revenue.</w:t>
      </w:r>
      <w:r>
        <w:rPr>
          <w:color w:val="231F20"/>
          <w:spacing w:val="-6"/>
        </w:rPr>
        <w:t> </w:t>
      </w:r>
      <w:r>
        <w:rPr>
          <w:color w:val="231F20"/>
          <w:spacing w:val="-1"/>
        </w:rPr>
        <w:t>Reliable</w:t>
      </w:r>
      <w:r>
        <w:rPr>
          <w:color w:val="231F20"/>
          <w:spacing w:val="-5"/>
        </w:rPr>
        <w:t> </w:t>
      </w:r>
      <w:r>
        <w:rPr>
          <w:color w:val="231F20"/>
        </w:rPr>
        <w:t>ABSTUDY</w:t>
      </w:r>
      <w:r>
        <w:rPr>
          <w:color w:val="231F20"/>
          <w:spacing w:val="-6"/>
        </w:rPr>
        <w:t> </w:t>
      </w:r>
      <w:r>
        <w:rPr>
          <w:color w:val="231F20"/>
        </w:rPr>
        <w:t>revenue</w:t>
      </w:r>
      <w:r>
        <w:rPr>
          <w:color w:val="231F20"/>
          <w:spacing w:val="-5"/>
        </w:rPr>
        <w:t> </w:t>
      </w:r>
      <w:r>
        <w:rPr>
          <w:color w:val="231F20"/>
        </w:rPr>
        <w:t>data</w:t>
      </w:r>
      <w:r>
        <w:rPr>
          <w:color w:val="231F20"/>
          <w:spacing w:val="-5"/>
        </w:rPr>
        <w:t> </w:t>
      </w:r>
      <w:r>
        <w:rPr>
          <w:color w:val="231F20"/>
        </w:rPr>
        <w:t>was</w:t>
      </w:r>
      <w:r>
        <w:rPr>
          <w:color w:val="231F20"/>
          <w:spacing w:val="21"/>
          <w:w w:val="99"/>
        </w:rPr>
        <w:t> </w:t>
      </w:r>
      <w:r>
        <w:rPr>
          <w:color w:val="231F20"/>
        </w:rPr>
        <w:t>available</w:t>
      </w:r>
      <w:r>
        <w:rPr>
          <w:color w:val="231F20"/>
          <w:spacing w:val="-8"/>
        </w:rPr>
        <w:t> </w:t>
      </w:r>
      <w:r>
        <w:rPr>
          <w:color w:val="231F20"/>
        </w:rPr>
        <w:t>for</w:t>
      </w:r>
      <w:r>
        <w:rPr>
          <w:color w:val="231F20"/>
          <w:spacing w:val="-7"/>
        </w:rPr>
        <w:t> </w:t>
      </w:r>
      <w:r>
        <w:rPr>
          <w:color w:val="231F20"/>
        </w:rPr>
        <w:t>other</w:t>
      </w:r>
      <w:r>
        <w:rPr>
          <w:color w:val="231F20"/>
          <w:spacing w:val="-7"/>
        </w:rPr>
        <w:t> </w:t>
      </w:r>
      <w:r>
        <w:rPr>
          <w:color w:val="231F20"/>
        </w:rPr>
        <w:t>boarding</w:t>
      </w:r>
      <w:r>
        <w:rPr>
          <w:color w:val="231F20"/>
          <w:spacing w:val="-8"/>
        </w:rPr>
        <w:t> </w:t>
      </w:r>
      <w:r>
        <w:rPr>
          <w:color w:val="231F20"/>
        </w:rPr>
        <w:t>providers</w:t>
      </w:r>
      <w:r>
        <w:rPr>
          <w:color w:val="231F20"/>
          <w:spacing w:val="-8"/>
        </w:rPr>
        <w:t> </w:t>
      </w:r>
      <w:r>
        <w:rPr>
          <w:color w:val="231F20"/>
        </w:rPr>
        <w:t>but</w:t>
      </w:r>
      <w:r>
        <w:rPr>
          <w:color w:val="231F20"/>
          <w:w w:val="99"/>
        </w:rPr>
        <w:t> </w:t>
      </w:r>
      <w:r>
        <w:rPr>
          <w:color w:val="231F20"/>
        </w:rPr>
        <w:t>while</w:t>
      </w:r>
      <w:r>
        <w:rPr>
          <w:color w:val="231F20"/>
          <w:spacing w:val="-5"/>
        </w:rPr>
        <w:t> </w:t>
      </w:r>
      <w:r>
        <w:rPr>
          <w:color w:val="231F20"/>
        </w:rPr>
        <w:t>they</w:t>
      </w:r>
      <w:r>
        <w:rPr>
          <w:color w:val="231F20"/>
          <w:spacing w:val="-5"/>
        </w:rPr>
        <w:t> </w:t>
      </w:r>
      <w:r>
        <w:rPr>
          <w:color w:val="231F20"/>
        </w:rPr>
        <w:t>had</w:t>
      </w:r>
      <w:r>
        <w:rPr>
          <w:color w:val="231F20"/>
          <w:spacing w:val="-4"/>
        </w:rPr>
        <w:t> </w:t>
      </w:r>
      <w:r>
        <w:rPr>
          <w:color w:val="231F20"/>
        </w:rPr>
        <w:t>a</w:t>
      </w:r>
      <w:r>
        <w:rPr>
          <w:color w:val="231F20"/>
          <w:spacing w:val="-4"/>
        </w:rPr>
        <w:t> </w:t>
      </w:r>
      <w:r>
        <w:rPr>
          <w:color w:val="231F20"/>
        </w:rPr>
        <w:t>heavy</w:t>
      </w:r>
      <w:r>
        <w:rPr>
          <w:color w:val="231F20"/>
          <w:spacing w:val="-5"/>
        </w:rPr>
        <w:t> </w:t>
      </w:r>
      <w:r>
        <w:rPr>
          <w:color w:val="231F20"/>
        </w:rPr>
        <w:t>reliance</w:t>
      </w:r>
      <w:r>
        <w:rPr>
          <w:color w:val="231F20"/>
          <w:spacing w:val="-5"/>
        </w:rPr>
        <w:t> </w:t>
      </w:r>
      <w:r>
        <w:rPr>
          <w:color w:val="231F20"/>
        </w:rPr>
        <w:t>on</w:t>
      </w:r>
      <w:r>
        <w:rPr>
          <w:color w:val="231F20"/>
          <w:spacing w:val="-3"/>
        </w:rPr>
        <w:t> </w:t>
      </w:r>
      <w:r>
        <w:rPr>
          <w:color w:val="231F20"/>
        </w:rPr>
        <w:t>ABSTUDY</w:t>
      </w:r>
      <w:r>
        <w:rPr>
          <w:color w:val="231F20"/>
        </w:rPr>
        <w:t> payments</w:t>
      </w:r>
      <w:r>
        <w:rPr>
          <w:color w:val="231F20"/>
          <w:spacing w:val="-9"/>
        </w:rPr>
        <w:t> </w:t>
      </w:r>
      <w:r>
        <w:rPr>
          <w:color w:val="231F20"/>
        </w:rPr>
        <w:t>to</w:t>
      </w:r>
      <w:r>
        <w:rPr>
          <w:color w:val="231F20"/>
          <w:spacing w:val="-7"/>
        </w:rPr>
        <w:t> </w:t>
      </w:r>
      <w:r>
        <w:rPr>
          <w:color w:val="231F20"/>
          <w:spacing w:val="-1"/>
        </w:rPr>
        <w:t>support</w:t>
      </w:r>
      <w:r>
        <w:rPr>
          <w:color w:val="231F20"/>
          <w:spacing w:val="-8"/>
        </w:rPr>
        <w:t> </w:t>
      </w:r>
      <w:r>
        <w:rPr>
          <w:color w:val="231F20"/>
        </w:rPr>
        <w:t>boarding</w:t>
      </w:r>
      <w:r>
        <w:rPr>
          <w:color w:val="231F20"/>
          <w:spacing w:val="-8"/>
        </w:rPr>
        <w:t> </w:t>
      </w:r>
      <w:r>
        <w:rPr>
          <w:color w:val="231F20"/>
        </w:rPr>
        <w:t>their</w:t>
      </w:r>
      <w:r>
        <w:rPr>
          <w:color w:val="231F20"/>
          <w:spacing w:val="-9"/>
        </w:rPr>
        <w:t> </w:t>
      </w:r>
      <w:r>
        <w:rPr>
          <w:color w:val="231F20"/>
        </w:rPr>
        <w:t>boarding</w:t>
      </w:r>
      <w:r>
        <w:rPr>
          <w:color w:val="231F20"/>
          <w:spacing w:val="22"/>
          <w:w w:val="99"/>
        </w:rPr>
        <w:t> </w:t>
      </w:r>
      <w:r>
        <w:rPr>
          <w:color w:val="231F20"/>
        </w:rPr>
        <w:t>revenue</w:t>
      </w:r>
      <w:r>
        <w:rPr>
          <w:color w:val="231F20"/>
          <w:spacing w:val="-6"/>
        </w:rPr>
        <w:t> </w:t>
      </w:r>
      <w:r>
        <w:rPr>
          <w:color w:val="231F20"/>
        </w:rPr>
        <w:t>was</w:t>
      </w:r>
      <w:r>
        <w:rPr>
          <w:color w:val="231F20"/>
          <w:spacing w:val="-5"/>
        </w:rPr>
        <w:t> </w:t>
      </w:r>
      <w:r>
        <w:rPr>
          <w:color w:val="231F20"/>
        </w:rPr>
        <w:t>also</w:t>
      </w:r>
      <w:r>
        <w:rPr>
          <w:color w:val="231F20"/>
          <w:spacing w:val="-5"/>
        </w:rPr>
        <w:t> </w:t>
      </w:r>
      <w:r>
        <w:rPr>
          <w:color w:val="231F20"/>
          <w:spacing w:val="-1"/>
        </w:rPr>
        <w:t>supplemented</w:t>
      </w:r>
      <w:r>
        <w:rPr>
          <w:color w:val="231F20"/>
          <w:spacing w:val="-3"/>
        </w:rPr>
        <w:t> </w:t>
      </w:r>
      <w:r>
        <w:rPr>
          <w:color w:val="231F20"/>
        </w:rPr>
        <w:t>by</w:t>
      </w:r>
      <w:r>
        <w:rPr>
          <w:color w:val="231F20"/>
          <w:spacing w:val="-4"/>
        </w:rPr>
        <w:t> </w:t>
      </w:r>
      <w:r>
        <w:rPr>
          <w:color w:val="231F20"/>
        </w:rPr>
        <w:t>Northern</w:t>
      </w:r>
      <w:r>
        <w:rPr>
          <w:color w:val="231F20"/>
          <w:spacing w:val="22"/>
          <w:w w:val="99"/>
        </w:rPr>
        <w:t> </w:t>
      </w:r>
      <w:r>
        <w:rPr>
          <w:color w:val="231F20"/>
          <w:spacing w:val="-3"/>
        </w:rPr>
        <w:t>Territory</w:t>
      </w:r>
      <w:r>
        <w:rPr>
          <w:color w:val="231F20"/>
          <w:spacing w:val="-8"/>
        </w:rPr>
        <w:t> </w:t>
      </w:r>
      <w:r>
        <w:rPr>
          <w:color w:val="231F20"/>
        </w:rPr>
        <w:t>or</w:t>
      </w:r>
      <w:r>
        <w:rPr>
          <w:color w:val="231F20"/>
          <w:spacing w:val="-8"/>
        </w:rPr>
        <w:t> </w:t>
      </w:r>
      <w:r>
        <w:rPr>
          <w:color w:val="231F20"/>
          <w:spacing w:val="-1"/>
        </w:rPr>
        <w:t>state</w:t>
      </w:r>
      <w:r>
        <w:rPr>
          <w:color w:val="231F20"/>
          <w:spacing w:val="-8"/>
        </w:rPr>
        <w:t> </w:t>
      </w:r>
      <w:r>
        <w:rPr>
          <w:color w:val="231F20"/>
        </w:rPr>
        <w:t>boarding</w:t>
      </w:r>
      <w:r>
        <w:rPr>
          <w:color w:val="231F20"/>
          <w:spacing w:val="-8"/>
        </w:rPr>
        <w:t> </w:t>
      </w:r>
      <w:r>
        <w:rPr>
          <w:color w:val="231F20"/>
        </w:rPr>
        <w:t>payments,</w:t>
      </w:r>
      <w:r>
        <w:rPr/>
      </w:r>
    </w:p>
    <w:p>
      <w:pPr>
        <w:pStyle w:val="BodyText"/>
        <w:spacing w:line="250" w:lineRule="exact"/>
        <w:ind w:right="290"/>
        <w:jc w:val="left"/>
      </w:pPr>
      <w:r>
        <w:rPr>
          <w:color w:val="231F20"/>
          <w:spacing w:val="-1"/>
        </w:rPr>
        <w:t>Indigenous</w:t>
      </w:r>
      <w:r>
        <w:rPr>
          <w:color w:val="231F20"/>
          <w:spacing w:val="-12"/>
        </w:rPr>
        <w:t> </w:t>
      </w:r>
      <w:r>
        <w:rPr>
          <w:color w:val="231F20"/>
        </w:rPr>
        <w:t>Advancement</w:t>
      </w:r>
      <w:r>
        <w:rPr>
          <w:color w:val="231F20"/>
          <w:spacing w:val="-12"/>
        </w:rPr>
        <w:t> </w:t>
      </w:r>
      <w:r>
        <w:rPr>
          <w:color w:val="231F20"/>
          <w:spacing w:val="-1"/>
        </w:rPr>
        <w:t>Strategy</w:t>
      </w:r>
      <w:r>
        <w:rPr>
          <w:color w:val="231F20"/>
          <w:spacing w:val="-13"/>
        </w:rPr>
        <w:t> </w:t>
      </w:r>
      <w:r>
        <w:rPr>
          <w:color w:val="231F20"/>
        </w:rPr>
        <w:t>funding</w:t>
      </w:r>
      <w:r>
        <w:rPr>
          <w:color w:val="231F20"/>
          <w:spacing w:val="23"/>
          <w:w w:val="99"/>
        </w:rPr>
        <w:t> </w:t>
      </w:r>
      <w:r>
        <w:rPr>
          <w:color w:val="231F20"/>
        </w:rPr>
        <w:t>or</w:t>
      </w:r>
      <w:r>
        <w:rPr>
          <w:color w:val="231F20"/>
          <w:spacing w:val="-5"/>
        </w:rPr>
        <w:t> </w:t>
      </w:r>
      <w:r>
        <w:rPr>
          <w:color w:val="231F20"/>
        </w:rPr>
        <w:t>private</w:t>
      </w:r>
      <w:r>
        <w:rPr>
          <w:color w:val="231F20"/>
          <w:spacing w:val="-6"/>
        </w:rPr>
        <w:t> </w:t>
      </w:r>
      <w:r>
        <w:rPr>
          <w:color w:val="231F20"/>
        </w:rPr>
        <w:t>donations.</w:t>
      </w:r>
      <w:r>
        <w:rPr>
          <w:color w:val="231F20"/>
          <w:spacing w:val="-5"/>
        </w:rPr>
        <w:t> </w:t>
      </w:r>
      <w:r>
        <w:rPr>
          <w:color w:val="231F20"/>
        </w:rPr>
        <w:t>The</w:t>
      </w:r>
      <w:r>
        <w:rPr>
          <w:color w:val="231F20"/>
          <w:spacing w:val="-5"/>
        </w:rPr>
        <w:t> </w:t>
      </w:r>
      <w:r>
        <w:rPr>
          <w:color w:val="231F20"/>
        </w:rPr>
        <w:t>four</w:t>
      </w:r>
      <w:r>
        <w:rPr>
          <w:color w:val="231F20"/>
          <w:spacing w:val="-5"/>
        </w:rPr>
        <w:t> </w:t>
      </w:r>
      <w:r>
        <w:rPr>
          <w:color w:val="231F20"/>
        </w:rPr>
        <w:t>case</w:t>
      </w:r>
      <w:r>
        <w:rPr>
          <w:color w:val="231F20"/>
          <w:spacing w:val="-5"/>
        </w:rPr>
        <w:t> </w:t>
      </w:r>
      <w:r>
        <w:rPr>
          <w:color w:val="231F20"/>
          <w:spacing w:val="-1"/>
        </w:rPr>
        <w:t>studies</w:t>
      </w:r>
      <w:r>
        <w:rPr>
          <w:color w:val="231F20"/>
          <w:spacing w:val="20"/>
        </w:rPr>
        <w:t> </w:t>
      </w:r>
      <w:r>
        <w:rPr>
          <w:rFonts w:ascii="Segoe UI" w:hAnsi="Segoe UI" w:cs="Segoe UI" w:eastAsia="Segoe UI"/>
          <w:color w:val="231F20"/>
        </w:rPr>
        <w:t>also</w:t>
      </w:r>
      <w:r>
        <w:rPr>
          <w:rFonts w:ascii="Segoe UI" w:hAnsi="Segoe UI" w:cs="Segoe UI" w:eastAsia="Segoe UI"/>
          <w:color w:val="231F20"/>
          <w:spacing w:val="-2"/>
        </w:rPr>
        <w:t> </w:t>
      </w:r>
      <w:r>
        <w:rPr>
          <w:rFonts w:ascii="Segoe UI" w:hAnsi="Segoe UI" w:cs="Segoe UI" w:eastAsia="Segoe UI"/>
          <w:color w:val="231F20"/>
        </w:rPr>
        <w:t>highlight</w:t>
      </w:r>
      <w:r>
        <w:rPr>
          <w:rFonts w:ascii="Segoe UI" w:hAnsi="Segoe UI" w:cs="Segoe UI" w:eastAsia="Segoe UI"/>
          <w:color w:val="231F20"/>
          <w:spacing w:val="-2"/>
        </w:rPr>
        <w:t> </w:t>
      </w:r>
      <w:r>
        <w:rPr>
          <w:rFonts w:ascii="Segoe UI" w:hAnsi="Segoe UI" w:cs="Segoe UI" w:eastAsia="Segoe UI"/>
          <w:color w:val="231F20"/>
        </w:rPr>
        <w:t>the</w:t>
      </w:r>
      <w:r>
        <w:rPr>
          <w:rFonts w:ascii="Segoe UI" w:hAnsi="Segoe UI" w:cs="Segoe UI" w:eastAsia="Segoe UI"/>
          <w:color w:val="231F20"/>
          <w:spacing w:val="-2"/>
        </w:rPr>
        <w:t> </w:t>
      </w:r>
      <w:r>
        <w:rPr>
          <w:rFonts w:ascii="Segoe UI" w:hAnsi="Segoe UI" w:cs="Segoe UI" w:eastAsia="Segoe UI"/>
          <w:color w:val="231F20"/>
        </w:rPr>
        <w:t>structural</w:t>
      </w:r>
      <w:r>
        <w:rPr>
          <w:rFonts w:ascii="Segoe UI" w:hAnsi="Segoe UI" w:cs="Segoe UI" w:eastAsia="Segoe UI"/>
          <w:color w:val="231F20"/>
          <w:spacing w:val="-2"/>
        </w:rPr>
        <w:t> </w:t>
      </w:r>
      <w:r>
        <w:rPr>
          <w:rFonts w:ascii="Segoe UI" w:hAnsi="Segoe UI" w:cs="Segoe UI" w:eastAsia="Segoe UI"/>
          <w:color w:val="231F20"/>
        </w:rPr>
        <w:t>differences</w:t>
      </w:r>
      <w:r>
        <w:rPr>
          <w:rFonts w:ascii="Segoe UI" w:hAnsi="Segoe UI" w:cs="Segoe UI" w:eastAsia="Segoe UI"/>
          <w:color w:val="231F20"/>
          <w:spacing w:val="-2"/>
        </w:rPr>
        <w:t> </w:t>
      </w:r>
      <w:r>
        <w:rPr>
          <w:rFonts w:ascii="Segoe UI" w:hAnsi="Segoe UI" w:cs="Segoe UI" w:eastAsia="Segoe UI"/>
          <w:color w:val="231F20"/>
        </w:rPr>
        <w:t>in</w:t>
      </w:r>
      <w:r>
        <w:rPr>
          <w:rFonts w:ascii="Segoe UI" w:hAnsi="Segoe UI" w:cs="Segoe UI" w:eastAsia="Segoe UI"/>
          <w:color w:val="231F20"/>
        </w:rPr>
        <w:t> funding and financial support for tuition and </w:t>
      </w:r>
      <w:r>
        <w:rPr>
          <w:color w:val="231F20"/>
        </w:rPr>
        <w:t>boarding—tuition</w:t>
      </w:r>
      <w:r>
        <w:rPr>
          <w:color w:val="231F20"/>
          <w:spacing w:val="-10"/>
        </w:rPr>
        <w:t> </w:t>
      </w:r>
      <w:r>
        <w:rPr>
          <w:color w:val="231F20"/>
        </w:rPr>
        <w:t>attracts</w:t>
      </w:r>
      <w:r>
        <w:rPr>
          <w:color w:val="231F20"/>
          <w:spacing w:val="-10"/>
        </w:rPr>
        <w:t> </w:t>
      </w:r>
      <w:r>
        <w:rPr>
          <w:color w:val="231F20"/>
        </w:rPr>
        <w:t>both</w:t>
      </w:r>
      <w:r>
        <w:rPr>
          <w:color w:val="231F20"/>
          <w:spacing w:val="-10"/>
        </w:rPr>
        <w:t> </w:t>
      </w:r>
      <w:r>
        <w:rPr>
          <w:color w:val="231F20"/>
        </w:rPr>
        <w:t>ABSTUDY</w:t>
      </w:r>
      <w:r>
        <w:rPr>
          <w:color w:val="231F20"/>
        </w:rPr>
        <w:t> and</w:t>
      </w:r>
      <w:r>
        <w:rPr>
          <w:color w:val="231F20"/>
          <w:spacing w:val="-10"/>
        </w:rPr>
        <w:t> </w:t>
      </w:r>
      <w:r>
        <w:rPr>
          <w:color w:val="231F20"/>
        </w:rPr>
        <w:t>broad</w:t>
      </w:r>
      <w:r>
        <w:rPr>
          <w:color w:val="231F20"/>
          <w:spacing w:val="-9"/>
        </w:rPr>
        <w:t> </w:t>
      </w:r>
      <w:r>
        <w:rPr>
          <w:color w:val="231F20"/>
          <w:spacing w:val="-1"/>
        </w:rPr>
        <w:t>Commonwealth</w:t>
      </w:r>
      <w:r>
        <w:rPr>
          <w:color w:val="231F20"/>
          <w:spacing w:val="-8"/>
        </w:rPr>
        <w:t> </w:t>
      </w:r>
      <w:r>
        <w:rPr>
          <w:color w:val="231F20"/>
        </w:rPr>
        <w:t>funding,</w:t>
      </w:r>
      <w:r>
        <w:rPr>
          <w:color w:val="231F20"/>
          <w:spacing w:val="-9"/>
        </w:rPr>
        <w:t> </w:t>
      </w:r>
      <w:r>
        <w:rPr>
          <w:color w:val="231F20"/>
        </w:rPr>
        <w:t>while</w:t>
      </w:r>
      <w:r>
        <w:rPr>
          <w:color w:val="231F20"/>
          <w:spacing w:val="22"/>
          <w:w w:val="99"/>
        </w:rPr>
        <w:t> </w:t>
      </w:r>
      <w:r>
        <w:rPr>
          <w:color w:val="231F20"/>
        </w:rPr>
        <w:t>boarding</w:t>
      </w:r>
      <w:r>
        <w:rPr>
          <w:color w:val="231F20"/>
          <w:spacing w:val="-7"/>
        </w:rPr>
        <w:t> </w:t>
      </w:r>
      <w:r>
        <w:rPr>
          <w:color w:val="231F20"/>
        </w:rPr>
        <w:t>attracts</w:t>
      </w:r>
      <w:r>
        <w:rPr>
          <w:color w:val="231F20"/>
          <w:spacing w:val="-6"/>
        </w:rPr>
        <w:t> </w:t>
      </w:r>
      <w:r>
        <w:rPr>
          <w:color w:val="231F20"/>
        </w:rPr>
        <w:t>only</w:t>
      </w:r>
      <w:r>
        <w:rPr>
          <w:color w:val="231F20"/>
          <w:spacing w:val="-6"/>
        </w:rPr>
        <w:t> </w:t>
      </w:r>
      <w:r>
        <w:rPr>
          <w:color w:val="231F20"/>
          <w:spacing w:val="-1"/>
        </w:rPr>
        <w:t>ABSTUDY</w:t>
      </w:r>
      <w:r>
        <w:rPr>
          <w:rFonts w:ascii="Segoe UI Semibold" w:hAnsi="Segoe UI Semibold" w:cs="Segoe UI Semibold" w:eastAsia="Segoe UI Semibold"/>
          <w:b/>
          <w:bCs/>
          <w:color w:val="231F20"/>
          <w:spacing w:val="-1"/>
          <w:position w:val="7"/>
          <w:sz w:val="11"/>
          <w:szCs w:val="11"/>
        </w:rPr>
        <w:t>19</w:t>
      </w:r>
      <w:r>
        <w:rPr>
          <w:color w:val="231F20"/>
          <w:spacing w:val="-1"/>
        </w:rPr>
        <w:t>—and</w:t>
      </w:r>
      <w:r>
        <w:rPr>
          <w:color w:val="231F20"/>
          <w:spacing w:val="-5"/>
        </w:rPr>
        <w:t> </w:t>
      </w:r>
      <w:r>
        <w:rPr>
          <w:color w:val="231F20"/>
        </w:rPr>
        <w:t>the</w:t>
      </w:r>
      <w:r>
        <w:rPr>
          <w:color w:val="231F20"/>
          <w:spacing w:val="22"/>
          <w:w w:val="99"/>
        </w:rPr>
        <w:t> </w:t>
      </w:r>
      <w:r>
        <w:rPr>
          <w:color w:val="231F20"/>
          <w:spacing w:val="-1"/>
        </w:rPr>
        <w:t>importance</w:t>
      </w:r>
      <w:r>
        <w:rPr>
          <w:color w:val="231F20"/>
          <w:spacing w:val="-6"/>
        </w:rPr>
        <w:t> </w:t>
      </w:r>
      <w:r>
        <w:rPr>
          <w:color w:val="231F20"/>
        </w:rPr>
        <w:t>of</w:t>
      </w:r>
      <w:r>
        <w:rPr>
          <w:color w:val="231F20"/>
          <w:spacing w:val="-5"/>
        </w:rPr>
        <w:t> </w:t>
      </w:r>
      <w:r>
        <w:rPr>
          <w:color w:val="231F20"/>
        </w:rPr>
        <w:t>Aboriginal</w:t>
      </w:r>
      <w:r>
        <w:rPr>
          <w:color w:val="231F20"/>
          <w:spacing w:val="-6"/>
        </w:rPr>
        <w:t> </w:t>
      </w:r>
      <w:r>
        <w:rPr>
          <w:color w:val="231F20"/>
        </w:rPr>
        <w:t>and</w:t>
      </w:r>
      <w:r>
        <w:rPr>
          <w:color w:val="231F20"/>
          <w:spacing w:val="-6"/>
        </w:rPr>
        <w:t> </w:t>
      </w:r>
      <w:r>
        <w:rPr>
          <w:color w:val="231F20"/>
          <w:spacing w:val="-5"/>
        </w:rPr>
        <w:t>Torres</w:t>
      </w:r>
      <w:r>
        <w:rPr>
          <w:color w:val="231F20"/>
          <w:spacing w:val="-6"/>
        </w:rPr>
        <w:t> </w:t>
      </w:r>
      <w:r>
        <w:rPr>
          <w:color w:val="231F20"/>
          <w:spacing w:val="-2"/>
        </w:rPr>
        <w:t>Strait</w:t>
      </w:r>
      <w:r>
        <w:rPr>
          <w:color w:val="231F20"/>
          <w:spacing w:val="21"/>
          <w:w w:val="99"/>
        </w:rPr>
        <w:t> </w:t>
      </w:r>
      <w:r>
        <w:rPr>
          <w:color w:val="231F20"/>
          <w:spacing w:val="-1"/>
        </w:rPr>
        <w:t>Islander</w:t>
      </w:r>
      <w:r>
        <w:rPr>
          <w:color w:val="231F20"/>
          <w:spacing w:val="-8"/>
        </w:rPr>
        <w:t> </w:t>
      </w:r>
      <w:r>
        <w:rPr>
          <w:color w:val="231F20"/>
        </w:rPr>
        <w:t>boarding</w:t>
      </w:r>
      <w:r>
        <w:rPr>
          <w:color w:val="231F20"/>
          <w:spacing w:val="-9"/>
        </w:rPr>
        <w:t> </w:t>
      </w:r>
      <w:r>
        <w:rPr>
          <w:color w:val="231F20"/>
        </w:rPr>
        <w:t>providers</w:t>
      </w:r>
      <w:r>
        <w:rPr>
          <w:color w:val="231F20"/>
          <w:spacing w:val="-9"/>
        </w:rPr>
        <w:t> </w:t>
      </w:r>
      <w:r>
        <w:rPr>
          <w:color w:val="231F20"/>
          <w:spacing w:val="-1"/>
        </w:rPr>
        <w:t>implementing</w:t>
      </w:r>
      <w:r>
        <w:rPr>
          <w:color w:val="231F20"/>
          <w:spacing w:val="21"/>
        </w:rPr>
        <w:t> </w:t>
      </w:r>
      <w:r>
        <w:rPr>
          <w:color w:val="231F20"/>
        </w:rPr>
        <w:t>fee</w:t>
      </w:r>
      <w:r>
        <w:rPr>
          <w:color w:val="231F20"/>
          <w:spacing w:val="-6"/>
        </w:rPr>
        <w:t> </w:t>
      </w:r>
      <w:r>
        <w:rPr>
          <w:color w:val="231F20"/>
          <w:spacing w:val="-1"/>
        </w:rPr>
        <w:t>structures</w:t>
      </w:r>
      <w:r>
        <w:rPr>
          <w:color w:val="231F20"/>
          <w:spacing w:val="-4"/>
        </w:rPr>
        <w:t> </w:t>
      </w:r>
      <w:r>
        <w:rPr>
          <w:color w:val="231F20"/>
        </w:rPr>
        <w:t>and</w:t>
      </w:r>
      <w:r>
        <w:rPr>
          <w:color w:val="231F20"/>
          <w:spacing w:val="-6"/>
        </w:rPr>
        <w:t> </w:t>
      </w:r>
      <w:r>
        <w:rPr>
          <w:color w:val="231F20"/>
          <w:spacing w:val="-1"/>
        </w:rPr>
        <w:t>monitoring</w:t>
      </w:r>
      <w:r>
        <w:rPr>
          <w:color w:val="231F20"/>
          <w:spacing w:val="-5"/>
        </w:rPr>
        <w:t> </w:t>
      </w:r>
      <w:r>
        <w:rPr>
          <w:color w:val="231F20"/>
        </w:rPr>
        <w:t>processes</w:t>
      </w:r>
      <w:r>
        <w:rPr>
          <w:color w:val="231F20"/>
          <w:spacing w:val="-6"/>
        </w:rPr>
        <w:t> </w:t>
      </w:r>
      <w:r>
        <w:rPr>
          <w:color w:val="231F20"/>
        </w:rPr>
        <w:t>to</w:t>
      </w:r>
      <w:r>
        <w:rPr>
          <w:color w:val="231F20"/>
          <w:spacing w:val="23"/>
          <w:w w:val="99"/>
        </w:rPr>
        <w:t> </w:t>
      </w:r>
      <w:r>
        <w:rPr>
          <w:color w:val="231F20"/>
          <w:spacing w:val="-1"/>
        </w:rPr>
        <w:t>maximise</w:t>
      </w:r>
      <w:r>
        <w:rPr>
          <w:color w:val="231F20"/>
          <w:spacing w:val="-4"/>
        </w:rPr>
        <w:t> </w:t>
      </w:r>
      <w:r>
        <w:rPr>
          <w:color w:val="231F20"/>
        </w:rPr>
        <w:t>ABSTUDY</w:t>
      </w:r>
      <w:r>
        <w:rPr>
          <w:color w:val="231F20"/>
          <w:spacing w:val="-5"/>
        </w:rPr>
        <w:t> </w:t>
      </w:r>
      <w:r>
        <w:rPr>
          <w:color w:val="231F20"/>
        </w:rPr>
        <w:t>receipts.</w:t>
      </w:r>
      <w:r>
        <w:rPr/>
      </w:r>
    </w:p>
    <w:p>
      <w:pPr>
        <w:spacing w:after="0" w:line="250" w:lineRule="exact"/>
        <w:jc w:val="left"/>
        <w:sectPr>
          <w:type w:val="continuous"/>
          <w:pgSz w:w="11910" w:h="16840"/>
          <w:pgMar w:top="1580" w:bottom="280" w:left="1300" w:right="1680"/>
          <w:cols w:num="2" w:equalWidth="0">
            <w:col w:w="4334" w:space="258"/>
            <w:col w:w="4338"/>
          </w:cols>
        </w:sectPr>
      </w:pPr>
    </w:p>
    <w:p>
      <w:pPr>
        <w:spacing w:line="240" w:lineRule="auto" w:before="0"/>
        <w:rPr>
          <w:rFonts w:ascii="Segoe UI" w:hAnsi="Segoe UI" w:cs="Segoe UI" w:eastAsia="Segoe UI"/>
          <w:sz w:val="20"/>
          <w:szCs w:val="20"/>
        </w:rPr>
      </w:pPr>
    </w:p>
    <w:p>
      <w:pPr>
        <w:spacing w:line="240" w:lineRule="auto" w:before="8"/>
        <w:rPr>
          <w:rFonts w:ascii="Segoe UI" w:hAnsi="Segoe UI" w:cs="Segoe UI" w:eastAsia="Segoe UI"/>
          <w:sz w:val="21"/>
          <w:szCs w:val="21"/>
        </w:rPr>
      </w:pPr>
    </w:p>
    <w:p>
      <w:pPr>
        <w:spacing w:after="0" w:line="240" w:lineRule="auto"/>
        <w:rPr>
          <w:rFonts w:ascii="Segoe UI" w:hAnsi="Segoe UI" w:cs="Segoe UI" w:eastAsia="Segoe UI"/>
          <w:sz w:val="21"/>
          <w:szCs w:val="21"/>
        </w:rPr>
        <w:sectPr>
          <w:pgSz w:w="11910" w:h="16840"/>
          <w:pgMar w:header="0" w:footer="691" w:top="1580" w:bottom="880" w:left="1600" w:right="1300"/>
        </w:sectPr>
      </w:pPr>
    </w:p>
    <w:p>
      <w:pPr>
        <w:pStyle w:val="BodyText"/>
        <w:spacing w:line="250" w:lineRule="exact" w:before="62"/>
        <w:ind w:left="100" w:right="6"/>
        <w:jc w:val="left"/>
      </w:pPr>
      <w:r>
        <w:rPr>
          <w:color w:val="231F20"/>
        </w:rPr>
        <w:t>ABSTUDY</w:t>
      </w:r>
      <w:r>
        <w:rPr>
          <w:color w:val="231F20"/>
          <w:spacing w:val="-5"/>
        </w:rPr>
        <w:t> </w:t>
      </w:r>
      <w:r>
        <w:rPr>
          <w:color w:val="231F20"/>
          <w:spacing w:val="-1"/>
        </w:rPr>
        <w:t>is</w:t>
      </w:r>
      <w:r>
        <w:rPr>
          <w:color w:val="231F20"/>
          <w:spacing w:val="-5"/>
        </w:rPr>
        <w:t> </w:t>
      </w:r>
      <w:r>
        <w:rPr>
          <w:color w:val="231F20"/>
        </w:rPr>
        <w:t>not</w:t>
      </w:r>
      <w:r>
        <w:rPr>
          <w:color w:val="231F20"/>
          <w:spacing w:val="-3"/>
        </w:rPr>
        <w:t> </w:t>
      </w:r>
      <w:r>
        <w:rPr>
          <w:color w:val="231F20"/>
        </w:rPr>
        <w:t>direct</w:t>
      </w:r>
      <w:r>
        <w:rPr>
          <w:color w:val="231F20"/>
          <w:spacing w:val="-5"/>
        </w:rPr>
        <w:t> </w:t>
      </w:r>
      <w:r>
        <w:rPr>
          <w:color w:val="231F20"/>
        </w:rPr>
        <w:t>funding</w:t>
      </w:r>
      <w:r>
        <w:rPr>
          <w:color w:val="231F20"/>
          <w:spacing w:val="-4"/>
        </w:rPr>
        <w:t> </w:t>
      </w:r>
      <w:r>
        <w:rPr>
          <w:color w:val="231F20"/>
        </w:rPr>
        <w:t>from</w:t>
      </w:r>
      <w:r>
        <w:rPr>
          <w:color w:val="231F20"/>
          <w:spacing w:val="-3"/>
        </w:rPr>
        <w:t> </w:t>
      </w:r>
      <w:r>
        <w:rPr>
          <w:color w:val="231F20"/>
        </w:rPr>
        <w:t>the</w:t>
      </w:r>
      <w:r>
        <w:rPr>
          <w:color w:val="231F20"/>
          <w:spacing w:val="21"/>
          <w:w w:val="99"/>
        </w:rPr>
        <w:t> </w:t>
      </w:r>
      <w:r>
        <w:rPr>
          <w:color w:val="231F20"/>
          <w:spacing w:val="-1"/>
        </w:rPr>
        <w:t>Commonwealth</w:t>
      </w:r>
      <w:r>
        <w:rPr>
          <w:color w:val="231F20"/>
          <w:spacing w:val="-6"/>
        </w:rPr>
        <w:t> </w:t>
      </w:r>
      <w:r>
        <w:rPr>
          <w:color w:val="231F20"/>
        </w:rPr>
        <w:t>to</w:t>
      </w:r>
      <w:r>
        <w:rPr>
          <w:color w:val="231F20"/>
          <w:spacing w:val="-5"/>
        </w:rPr>
        <w:t> </w:t>
      </w:r>
      <w:r>
        <w:rPr>
          <w:color w:val="231F20"/>
        </w:rPr>
        <w:t>a</w:t>
      </w:r>
      <w:r>
        <w:rPr>
          <w:color w:val="231F20"/>
          <w:spacing w:val="-5"/>
        </w:rPr>
        <w:t> </w:t>
      </w:r>
      <w:r>
        <w:rPr>
          <w:color w:val="231F20"/>
        </w:rPr>
        <w:t>boarding</w:t>
      </w:r>
      <w:r>
        <w:rPr>
          <w:color w:val="231F20"/>
          <w:spacing w:val="-6"/>
        </w:rPr>
        <w:t> </w:t>
      </w:r>
      <w:r>
        <w:rPr>
          <w:color w:val="231F20"/>
        </w:rPr>
        <w:t>provider.</w:t>
      </w:r>
      <w:r>
        <w:rPr>
          <w:color w:val="231F20"/>
          <w:spacing w:val="-6"/>
        </w:rPr>
        <w:t> </w:t>
      </w:r>
      <w:r>
        <w:rPr>
          <w:color w:val="231F20"/>
          <w:spacing w:val="-1"/>
        </w:rPr>
        <w:t>It</w:t>
      </w:r>
      <w:r>
        <w:rPr>
          <w:color w:val="231F20"/>
          <w:spacing w:val="-5"/>
        </w:rPr>
        <w:t> </w:t>
      </w:r>
      <w:r>
        <w:rPr>
          <w:color w:val="231F20"/>
          <w:spacing w:val="-1"/>
        </w:rPr>
        <w:t>is</w:t>
      </w:r>
      <w:r>
        <w:rPr>
          <w:color w:val="231F20"/>
          <w:spacing w:val="-7"/>
        </w:rPr>
        <w:t> </w:t>
      </w:r>
      <w:r>
        <w:rPr>
          <w:color w:val="231F20"/>
        </w:rPr>
        <w:t>an</w:t>
      </w:r>
      <w:r>
        <w:rPr>
          <w:color w:val="231F20"/>
          <w:spacing w:val="24"/>
          <w:w w:val="99"/>
        </w:rPr>
        <w:t> </w:t>
      </w:r>
      <w:r>
        <w:rPr>
          <w:color w:val="231F20"/>
          <w:spacing w:val="-1"/>
        </w:rPr>
        <w:t>individual</w:t>
      </w:r>
      <w:r>
        <w:rPr>
          <w:color w:val="231F20"/>
          <w:spacing w:val="-3"/>
        </w:rPr>
        <w:t> </w:t>
      </w:r>
      <w:r>
        <w:rPr>
          <w:color w:val="231F20"/>
          <w:spacing w:val="-1"/>
        </w:rPr>
        <w:t>student’s means</w:t>
      </w:r>
      <w:r>
        <w:rPr>
          <w:color w:val="231F20"/>
          <w:spacing w:val="-2"/>
        </w:rPr>
        <w:t> </w:t>
      </w:r>
      <w:r>
        <w:rPr>
          <w:color w:val="231F20"/>
          <w:spacing w:val="-1"/>
        </w:rPr>
        <w:t>tested</w:t>
      </w:r>
      <w:r>
        <w:rPr>
          <w:rFonts w:ascii="Segoe UI Semibold" w:hAnsi="Segoe UI Semibold" w:cs="Segoe UI Semibold" w:eastAsia="Segoe UI Semibold"/>
          <w:b/>
          <w:bCs/>
          <w:color w:val="231F20"/>
          <w:spacing w:val="-1"/>
          <w:position w:val="7"/>
          <w:sz w:val="11"/>
          <w:szCs w:val="11"/>
        </w:rPr>
        <w:t>20</w:t>
      </w:r>
      <w:r>
        <w:rPr>
          <w:rFonts w:ascii="Segoe UI Semibold" w:hAnsi="Segoe UI Semibold" w:cs="Segoe UI Semibold" w:eastAsia="Segoe UI Semibold"/>
          <w:b/>
          <w:bCs/>
          <w:color w:val="231F20"/>
          <w:spacing w:val="22"/>
          <w:position w:val="7"/>
          <w:sz w:val="11"/>
          <w:szCs w:val="11"/>
        </w:rPr>
        <w:t> </w:t>
      </w:r>
      <w:r>
        <w:rPr>
          <w:color w:val="231F20"/>
        </w:rPr>
        <w:t>entitlement</w:t>
      </w:r>
      <w:r>
        <w:rPr>
          <w:color w:val="231F20"/>
          <w:spacing w:val="30"/>
          <w:w w:val="99"/>
        </w:rPr>
        <w:t> </w:t>
      </w:r>
      <w:r>
        <w:rPr>
          <w:color w:val="231F20"/>
        </w:rPr>
        <w:t>to</w:t>
      </w:r>
      <w:r>
        <w:rPr>
          <w:color w:val="231F20"/>
          <w:spacing w:val="-4"/>
        </w:rPr>
        <w:t> </w:t>
      </w:r>
      <w:r>
        <w:rPr>
          <w:color w:val="231F20"/>
        </w:rPr>
        <w:t>help</w:t>
      </w:r>
      <w:r>
        <w:rPr>
          <w:color w:val="231F20"/>
          <w:spacing w:val="-5"/>
        </w:rPr>
        <w:t> </w:t>
      </w:r>
      <w:r>
        <w:rPr>
          <w:color w:val="231F20"/>
        </w:rPr>
        <w:t>pay</w:t>
      </w:r>
      <w:r>
        <w:rPr>
          <w:color w:val="231F20"/>
          <w:spacing w:val="-4"/>
        </w:rPr>
        <w:t> </w:t>
      </w:r>
      <w:r>
        <w:rPr>
          <w:color w:val="231F20"/>
        </w:rPr>
        <w:t>tuition</w:t>
      </w:r>
      <w:r>
        <w:rPr>
          <w:color w:val="231F20"/>
          <w:spacing w:val="-5"/>
        </w:rPr>
        <w:t> </w:t>
      </w:r>
      <w:r>
        <w:rPr>
          <w:color w:val="231F20"/>
        </w:rPr>
        <w:t>and</w:t>
      </w:r>
      <w:r>
        <w:rPr>
          <w:color w:val="231F20"/>
          <w:spacing w:val="-4"/>
        </w:rPr>
        <w:t> </w:t>
      </w:r>
      <w:r>
        <w:rPr>
          <w:color w:val="231F20"/>
        </w:rPr>
        <w:t>boarding</w:t>
      </w:r>
      <w:r>
        <w:rPr>
          <w:color w:val="231F20"/>
          <w:spacing w:val="-5"/>
        </w:rPr>
        <w:t> </w:t>
      </w:r>
      <w:r>
        <w:rPr>
          <w:color w:val="231F20"/>
        </w:rPr>
        <w:t>fees</w:t>
      </w:r>
      <w:r>
        <w:rPr>
          <w:color w:val="231F20"/>
          <w:spacing w:val="-5"/>
        </w:rPr>
        <w:t> </w:t>
      </w:r>
      <w:r>
        <w:rPr>
          <w:color w:val="231F20"/>
        </w:rPr>
        <w:t>up</w:t>
      </w:r>
      <w:r>
        <w:rPr>
          <w:color w:val="231F20"/>
          <w:spacing w:val="-4"/>
        </w:rPr>
        <w:t> </w:t>
      </w:r>
      <w:r>
        <w:rPr>
          <w:color w:val="231F20"/>
        </w:rPr>
        <w:t>to</w:t>
      </w:r>
      <w:r>
        <w:rPr/>
      </w:r>
    </w:p>
    <w:p>
      <w:pPr>
        <w:pStyle w:val="BodyText"/>
        <w:spacing w:line="250" w:lineRule="exact"/>
        <w:ind w:left="100" w:right="0"/>
        <w:jc w:val="left"/>
      </w:pPr>
      <w:r>
        <w:rPr>
          <w:color w:val="231F20"/>
        </w:rPr>
        <w:t>a</w:t>
      </w:r>
      <w:r>
        <w:rPr>
          <w:color w:val="231F20"/>
          <w:spacing w:val="-4"/>
        </w:rPr>
        <w:t> </w:t>
      </w:r>
      <w:r>
        <w:rPr>
          <w:color w:val="231F20"/>
        </w:rPr>
        <w:t>certain</w:t>
      </w:r>
      <w:r>
        <w:rPr>
          <w:color w:val="231F20"/>
          <w:spacing w:val="-5"/>
        </w:rPr>
        <w:t> </w:t>
      </w:r>
      <w:r>
        <w:rPr>
          <w:color w:val="231F20"/>
        </w:rPr>
        <w:t>amount.</w:t>
      </w:r>
      <w:r>
        <w:rPr>
          <w:color w:val="231F20"/>
          <w:spacing w:val="-5"/>
        </w:rPr>
        <w:t> </w:t>
      </w:r>
      <w:r>
        <w:rPr>
          <w:color w:val="231F20"/>
          <w:spacing w:val="-1"/>
        </w:rPr>
        <w:t>It</w:t>
      </w:r>
      <w:r>
        <w:rPr>
          <w:color w:val="231F20"/>
          <w:spacing w:val="-4"/>
        </w:rPr>
        <w:t> </w:t>
      </w:r>
      <w:r>
        <w:rPr>
          <w:color w:val="231F20"/>
          <w:spacing w:val="-1"/>
        </w:rPr>
        <w:t>is</w:t>
      </w:r>
      <w:r>
        <w:rPr>
          <w:color w:val="231F20"/>
          <w:spacing w:val="-4"/>
        </w:rPr>
        <w:t> </w:t>
      </w:r>
      <w:r>
        <w:rPr>
          <w:color w:val="231F20"/>
        </w:rPr>
        <w:t>paid</w:t>
      </w:r>
      <w:r>
        <w:rPr>
          <w:color w:val="231F20"/>
          <w:spacing w:val="-5"/>
        </w:rPr>
        <w:t> </w:t>
      </w:r>
      <w:r>
        <w:rPr>
          <w:color w:val="231F20"/>
        </w:rPr>
        <w:t>to</w:t>
      </w:r>
      <w:r>
        <w:rPr>
          <w:color w:val="231F20"/>
          <w:spacing w:val="-4"/>
        </w:rPr>
        <w:t> </w:t>
      </w:r>
      <w:r>
        <w:rPr>
          <w:color w:val="231F20"/>
        </w:rPr>
        <w:t>a</w:t>
      </w:r>
      <w:r>
        <w:rPr>
          <w:color w:val="231F20"/>
          <w:spacing w:val="-4"/>
        </w:rPr>
        <w:t> </w:t>
      </w:r>
      <w:r>
        <w:rPr>
          <w:color w:val="231F20"/>
        </w:rPr>
        <w:t>boarding</w:t>
      </w:r>
      <w:r>
        <w:rPr>
          <w:color w:val="231F20"/>
          <w:spacing w:val="22"/>
          <w:w w:val="99"/>
        </w:rPr>
        <w:t> </w:t>
      </w:r>
      <w:r>
        <w:rPr>
          <w:color w:val="231F20"/>
        </w:rPr>
        <w:t>provider</w:t>
      </w:r>
      <w:r>
        <w:rPr>
          <w:color w:val="231F20"/>
          <w:spacing w:val="-5"/>
        </w:rPr>
        <w:t> </w:t>
      </w:r>
      <w:r>
        <w:rPr>
          <w:color w:val="231F20"/>
        </w:rPr>
        <w:t>on</w:t>
      </w:r>
      <w:r>
        <w:rPr>
          <w:color w:val="231F20"/>
          <w:spacing w:val="-3"/>
        </w:rPr>
        <w:t> </w:t>
      </w:r>
      <w:r>
        <w:rPr>
          <w:color w:val="231F20"/>
        </w:rPr>
        <w:t>the</w:t>
      </w:r>
      <w:r>
        <w:rPr>
          <w:color w:val="231F20"/>
          <w:spacing w:val="-4"/>
        </w:rPr>
        <w:t> </w:t>
      </w:r>
      <w:r>
        <w:rPr>
          <w:color w:val="231F20"/>
          <w:spacing w:val="-1"/>
        </w:rPr>
        <w:t>student's</w:t>
      </w:r>
      <w:r>
        <w:rPr>
          <w:color w:val="231F20"/>
          <w:spacing w:val="-2"/>
        </w:rPr>
        <w:t> </w:t>
      </w:r>
      <w:r>
        <w:rPr>
          <w:color w:val="231F20"/>
        </w:rPr>
        <w:t>behalf.</w:t>
      </w:r>
      <w:r>
        <w:rPr>
          <w:color w:val="231F20"/>
          <w:spacing w:val="-4"/>
        </w:rPr>
        <w:t> </w:t>
      </w:r>
      <w:r>
        <w:rPr>
          <w:color w:val="231F20"/>
        </w:rPr>
        <w:t>ABSTUDY</w:t>
      </w:r>
      <w:r>
        <w:rPr>
          <w:color w:val="231F20"/>
          <w:spacing w:val="-4"/>
        </w:rPr>
        <w:t> </w:t>
      </w:r>
      <w:r>
        <w:rPr>
          <w:color w:val="231F20"/>
          <w:spacing w:val="-1"/>
        </w:rPr>
        <w:t>is</w:t>
      </w:r>
      <w:r>
        <w:rPr>
          <w:color w:val="231F20"/>
          <w:spacing w:val="21"/>
        </w:rPr>
        <w:t> </w:t>
      </w:r>
      <w:r>
        <w:rPr>
          <w:color w:val="231F20"/>
        </w:rPr>
        <w:t>not</w:t>
      </w:r>
      <w:r>
        <w:rPr>
          <w:color w:val="231F20"/>
          <w:spacing w:val="-5"/>
        </w:rPr>
        <w:t> </w:t>
      </w:r>
      <w:r>
        <w:rPr>
          <w:color w:val="231F20"/>
        </w:rPr>
        <w:t>designed</w:t>
      </w:r>
      <w:r>
        <w:rPr>
          <w:color w:val="231F20"/>
          <w:spacing w:val="-5"/>
        </w:rPr>
        <w:t> </w:t>
      </w:r>
      <w:r>
        <w:rPr>
          <w:color w:val="231F20"/>
        </w:rPr>
        <w:t>to</w:t>
      </w:r>
      <w:r>
        <w:rPr>
          <w:color w:val="231F20"/>
          <w:spacing w:val="-4"/>
        </w:rPr>
        <w:t> </w:t>
      </w:r>
      <w:r>
        <w:rPr>
          <w:color w:val="231F20"/>
        </w:rPr>
        <w:t>be</w:t>
      </w:r>
      <w:r>
        <w:rPr>
          <w:color w:val="231F20"/>
          <w:spacing w:val="-4"/>
        </w:rPr>
        <w:t> </w:t>
      </w:r>
      <w:r>
        <w:rPr>
          <w:color w:val="231F20"/>
        </w:rPr>
        <w:t>the</w:t>
      </w:r>
      <w:r>
        <w:rPr>
          <w:color w:val="231F20"/>
          <w:spacing w:val="-5"/>
        </w:rPr>
        <w:t> </w:t>
      </w:r>
      <w:r>
        <w:rPr>
          <w:color w:val="231F20"/>
          <w:spacing w:val="-1"/>
        </w:rPr>
        <w:t>sole</w:t>
      </w:r>
      <w:r>
        <w:rPr>
          <w:color w:val="231F20"/>
          <w:spacing w:val="-4"/>
        </w:rPr>
        <w:t> </w:t>
      </w:r>
      <w:r>
        <w:rPr>
          <w:color w:val="231F20"/>
          <w:spacing w:val="-1"/>
        </w:rPr>
        <w:t>source</w:t>
      </w:r>
      <w:r>
        <w:rPr>
          <w:color w:val="231F20"/>
          <w:spacing w:val="-4"/>
        </w:rPr>
        <w:t> </w:t>
      </w:r>
      <w:r>
        <w:rPr>
          <w:color w:val="231F20"/>
        </w:rPr>
        <w:t>of</w:t>
      </w:r>
      <w:r>
        <w:rPr>
          <w:color w:val="231F20"/>
          <w:spacing w:val="-4"/>
        </w:rPr>
        <w:t> </w:t>
      </w:r>
      <w:r>
        <w:rPr>
          <w:color w:val="231F20"/>
        </w:rPr>
        <w:t>revenue</w:t>
      </w:r>
      <w:r>
        <w:rPr>
          <w:color w:val="231F20"/>
          <w:spacing w:val="23"/>
          <w:w w:val="99"/>
        </w:rPr>
        <w:t> </w:t>
      </w:r>
      <w:r>
        <w:rPr>
          <w:color w:val="231F20"/>
        </w:rPr>
        <w:t>for</w:t>
      </w:r>
      <w:r>
        <w:rPr>
          <w:color w:val="231F20"/>
          <w:spacing w:val="-4"/>
        </w:rPr>
        <w:t> </w:t>
      </w:r>
      <w:r>
        <w:rPr>
          <w:color w:val="231F20"/>
        </w:rPr>
        <w:t>boarding.</w:t>
      </w:r>
      <w:r>
        <w:rPr>
          <w:color w:val="231F20"/>
          <w:spacing w:val="-5"/>
        </w:rPr>
        <w:t> </w:t>
      </w:r>
      <w:r>
        <w:rPr>
          <w:color w:val="231F20"/>
        </w:rPr>
        <w:t>The</w:t>
      </w:r>
      <w:r>
        <w:rPr>
          <w:color w:val="231F20"/>
          <w:spacing w:val="-4"/>
        </w:rPr>
        <w:t> </w:t>
      </w:r>
      <w:r>
        <w:rPr>
          <w:color w:val="231F20"/>
          <w:spacing w:val="-1"/>
        </w:rPr>
        <w:t>intention</w:t>
      </w:r>
      <w:r>
        <w:rPr>
          <w:color w:val="231F20"/>
          <w:spacing w:val="-3"/>
        </w:rPr>
        <w:t> </w:t>
      </w:r>
      <w:r>
        <w:rPr>
          <w:color w:val="231F20"/>
        </w:rPr>
        <w:t>of</w:t>
      </w:r>
      <w:r>
        <w:rPr>
          <w:color w:val="231F20"/>
          <w:spacing w:val="-4"/>
        </w:rPr>
        <w:t> </w:t>
      </w:r>
      <w:r>
        <w:rPr>
          <w:color w:val="231F20"/>
        </w:rPr>
        <w:t>ABSTUDY</w:t>
      </w:r>
      <w:r>
        <w:rPr>
          <w:color w:val="231F20"/>
          <w:spacing w:val="-5"/>
        </w:rPr>
        <w:t> </w:t>
      </w:r>
      <w:r>
        <w:rPr>
          <w:color w:val="231F20"/>
          <w:spacing w:val="-1"/>
        </w:rPr>
        <w:t>is</w:t>
      </w:r>
      <w:r>
        <w:rPr>
          <w:color w:val="231F20"/>
          <w:spacing w:val="-4"/>
        </w:rPr>
        <w:t> </w:t>
      </w:r>
      <w:r>
        <w:rPr>
          <w:color w:val="231F20"/>
        </w:rPr>
        <w:t>to</w:t>
      </w:r>
      <w:r>
        <w:rPr>
          <w:color w:val="231F20"/>
          <w:spacing w:val="23"/>
          <w:w w:val="99"/>
        </w:rPr>
        <w:t> </w:t>
      </w:r>
      <w:r>
        <w:rPr>
          <w:color w:val="231F20"/>
          <w:spacing w:val="-1"/>
        </w:rPr>
        <w:t>support</w:t>
      </w:r>
      <w:r>
        <w:rPr>
          <w:color w:val="231F20"/>
          <w:spacing w:val="-4"/>
        </w:rPr>
        <w:t> </w:t>
      </w:r>
      <w:r>
        <w:rPr>
          <w:color w:val="231F20"/>
          <w:spacing w:val="-1"/>
        </w:rPr>
        <w:t>students</w:t>
      </w:r>
      <w:r>
        <w:rPr>
          <w:color w:val="231F20"/>
          <w:spacing w:val="-4"/>
        </w:rPr>
        <w:t> </w:t>
      </w:r>
      <w:r>
        <w:rPr>
          <w:color w:val="231F20"/>
        </w:rPr>
        <w:t>and</w:t>
      </w:r>
      <w:r>
        <w:rPr>
          <w:color w:val="231F20"/>
          <w:spacing w:val="-5"/>
        </w:rPr>
        <w:t> </w:t>
      </w:r>
      <w:r>
        <w:rPr>
          <w:color w:val="231F20"/>
        </w:rPr>
        <w:t>their</w:t>
      </w:r>
      <w:r>
        <w:rPr>
          <w:color w:val="231F20"/>
          <w:spacing w:val="-5"/>
        </w:rPr>
        <w:t> </w:t>
      </w:r>
      <w:r>
        <w:rPr>
          <w:color w:val="231F20"/>
        </w:rPr>
        <w:t>families</w:t>
      </w:r>
      <w:r>
        <w:rPr>
          <w:color w:val="231F20"/>
          <w:spacing w:val="-4"/>
        </w:rPr>
        <w:t> </w:t>
      </w:r>
      <w:r>
        <w:rPr>
          <w:color w:val="231F20"/>
        </w:rPr>
        <w:t>to</w:t>
      </w:r>
      <w:r>
        <w:rPr>
          <w:color w:val="231F20"/>
          <w:spacing w:val="-4"/>
        </w:rPr>
        <w:t> </w:t>
      </w:r>
      <w:r>
        <w:rPr>
          <w:color w:val="231F20"/>
        </w:rPr>
        <w:t>engage</w:t>
      </w:r>
      <w:r>
        <w:rPr>
          <w:color w:val="231F20"/>
          <w:spacing w:val="23"/>
          <w:w w:val="99"/>
        </w:rPr>
        <w:t> </w:t>
      </w:r>
      <w:r>
        <w:rPr>
          <w:rFonts w:ascii="Segoe UI"/>
          <w:color w:val="231F20"/>
        </w:rPr>
        <w:t>in education. While the report confirmed a</w:t>
      </w:r>
      <w:r>
        <w:rPr>
          <w:rFonts w:ascii="Segoe UI"/>
          <w:color w:val="231F20"/>
        </w:rPr>
        <w:t> </w:t>
      </w:r>
      <w:r>
        <w:rPr>
          <w:color w:val="231F20"/>
          <w:spacing w:val="-1"/>
        </w:rPr>
        <w:t>shortfall</w:t>
      </w:r>
      <w:r>
        <w:rPr>
          <w:color w:val="231F20"/>
          <w:spacing w:val="-7"/>
        </w:rPr>
        <w:t> </w:t>
      </w:r>
      <w:r>
        <w:rPr>
          <w:color w:val="231F20"/>
        </w:rPr>
        <w:t>between</w:t>
      </w:r>
      <w:r>
        <w:rPr>
          <w:color w:val="231F20"/>
          <w:spacing w:val="-7"/>
        </w:rPr>
        <w:t> </w:t>
      </w:r>
      <w:r>
        <w:rPr>
          <w:color w:val="231F20"/>
        </w:rPr>
        <w:t>the</w:t>
      </w:r>
      <w:r>
        <w:rPr>
          <w:color w:val="231F20"/>
          <w:spacing w:val="-8"/>
        </w:rPr>
        <w:t> </w:t>
      </w:r>
      <w:r>
        <w:rPr>
          <w:color w:val="231F20"/>
        </w:rPr>
        <w:t>boarding</w:t>
      </w:r>
      <w:r>
        <w:rPr>
          <w:color w:val="231F20"/>
          <w:spacing w:val="-8"/>
        </w:rPr>
        <w:t> </w:t>
      </w:r>
      <w:r>
        <w:rPr>
          <w:color w:val="231F20"/>
        </w:rPr>
        <w:t>revenue</w:t>
      </w:r>
      <w:r>
        <w:rPr>
          <w:color w:val="231F20"/>
          <w:spacing w:val="-8"/>
        </w:rPr>
        <w:t> </w:t>
      </w:r>
      <w:r>
        <w:rPr>
          <w:color w:val="231F20"/>
        </w:rPr>
        <w:t>of</w:t>
      </w:r>
      <w:r>
        <w:rPr>
          <w:color w:val="231F20"/>
          <w:spacing w:val="22"/>
          <w:w w:val="99"/>
        </w:rPr>
        <w:t> </w:t>
      </w:r>
      <w:r>
        <w:rPr>
          <w:color w:val="231F20"/>
        </w:rPr>
        <w:t>boarding</w:t>
      </w:r>
      <w:r>
        <w:rPr>
          <w:color w:val="231F20"/>
          <w:spacing w:val="-7"/>
        </w:rPr>
        <w:t> </w:t>
      </w:r>
      <w:r>
        <w:rPr>
          <w:color w:val="231F20"/>
        </w:rPr>
        <w:t>providers</w:t>
      </w:r>
      <w:r>
        <w:rPr>
          <w:color w:val="231F20"/>
          <w:spacing w:val="-6"/>
        </w:rPr>
        <w:t> </w:t>
      </w:r>
      <w:r>
        <w:rPr>
          <w:color w:val="231F20"/>
        </w:rPr>
        <w:t>and</w:t>
      </w:r>
      <w:r>
        <w:rPr>
          <w:color w:val="231F20"/>
          <w:spacing w:val="-7"/>
        </w:rPr>
        <w:t> </w:t>
      </w:r>
      <w:r>
        <w:rPr>
          <w:color w:val="231F20"/>
        </w:rPr>
        <w:t>the</w:t>
      </w:r>
      <w:r>
        <w:rPr>
          <w:color w:val="231F20"/>
          <w:spacing w:val="-6"/>
        </w:rPr>
        <w:t> </w:t>
      </w:r>
      <w:r>
        <w:rPr>
          <w:color w:val="231F20"/>
        </w:rPr>
        <w:t>cost</w:t>
      </w:r>
      <w:r>
        <w:rPr>
          <w:color w:val="231F20"/>
          <w:spacing w:val="-7"/>
        </w:rPr>
        <w:t> </w:t>
      </w:r>
      <w:r>
        <w:rPr>
          <w:color w:val="231F20"/>
        </w:rPr>
        <w:t>of</w:t>
      </w:r>
      <w:r>
        <w:rPr>
          <w:color w:val="231F20"/>
          <w:spacing w:val="-5"/>
        </w:rPr>
        <w:t> </w:t>
      </w:r>
      <w:r>
        <w:rPr>
          <w:color w:val="231F20"/>
        </w:rPr>
        <w:t>boarding,</w:t>
      </w:r>
      <w:r>
        <w:rPr>
          <w:color w:val="231F20"/>
          <w:w w:val="99"/>
        </w:rPr>
        <w:t> </w:t>
      </w:r>
      <w:r>
        <w:rPr>
          <w:rFonts w:ascii="Segoe UI"/>
          <w:color w:val="231F20"/>
        </w:rPr>
        <w:t>there were opportunities identified for some</w:t>
      </w:r>
      <w:r>
        <w:rPr>
          <w:rFonts w:ascii="Segoe UI"/>
          <w:color w:val="231F20"/>
        </w:rPr>
        <w:t> </w:t>
      </w:r>
      <w:r>
        <w:rPr>
          <w:color w:val="231F20"/>
          <w:spacing w:val="-1"/>
        </w:rPr>
        <w:t>schools</w:t>
      </w:r>
      <w:r>
        <w:rPr>
          <w:color w:val="231F20"/>
          <w:spacing w:val="-5"/>
        </w:rPr>
        <w:t> </w:t>
      </w:r>
      <w:r>
        <w:rPr>
          <w:color w:val="231F20"/>
        </w:rPr>
        <w:t>to</w:t>
      </w:r>
      <w:r>
        <w:rPr>
          <w:color w:val="231F20"/>
          <w:spacing w:val="-5"/>
        </w:rPr>
        <w:t> </w:t>
      </w:r>
      <w:r>
        <w:rPr>
          <w:color w:val="231F20"/>
        </w:rPr>
        <w:t>review</w:t>
      </w:r>
      <w:r>
        <w:rPr>
          <w:color w:val="231F20"/>
          <w:spacing w:val="-6"/>
        </w:rPr>
        <w:t> </w:t>
      </w:r>
      <w:r>
        <w:rPr>
          <w:color w:val="231F20"/>
        </w:rPr>
        <w:t>their</w:t>
      </w:r>
      <w:r>
        <w:rPr>
          <w:color w:val="231F20"/>
          <w:spacing w:val="-6"/>
        </w:rPr>
        <w:t> </w:t>
      </w:r>
      <w:r>
        <w:rPr>
          <w:color w:val="231F20"/>
        </w:rPr>
        <w:t>boarding</w:t>
      </w:r>
      <w:r>
        <w:rPr>
          <w:color w:val="231F20"/>
          <w:spacing w:val="-5"/>
        </w:rPr>
        <w:t> </w:t>
      </w:r>
      <w:r>
        <w:rPr>
          <w:color w:val="231F20"/>
        </w:rPr>
        <w:t>and</w:t>
      </w:r>
      <w:r>
        <w:rPr>
          <w:color w:val="231F20"/>
          <w:spacing w:val="-6"/>
        </w:rPr>
        <w:t> </w:t>
      </w:r>
      <w:r>
        <w:rPr>
          <w:color w:val="231F20"/>
        </w:rPr>
        <w:t>tuition</w:t>
      </w:r>
      <w:r>
        <w:rPr>
          <w:color w:val="231F20"/>
          <w:spacing w:val="22"/>
          <w:w w:val="99"/>
        </w:rPr>
        <w:t> </w:t>
      </w:r>
      <w:r>
        <w:rPr>
          <w:color w:val="231F20"/>
        </w:rPr>
        <w:t>fees</w:t>
      </w:r>
      <w:r>
        <w:rPr>
          <w:color w:val="231F20"/>
          <w:spacing w:val="-4"/>
        </w:rPr>
        <w:t> </w:t>
      </w:r>
      <w:r>
        <w:rPr>
          <w:color w:val="231F20"/>
        </w:rPr>
        <w:t>to</w:t>
      </w:r>
      <w:r>
        <w:rPr>
          <w:color w:val="231F20"/>
          <w:spacing w:val="-3"/>
        </w:rPr>
        <w:t> </w:t>
      </w:r>
      <w:r>
        <w:rPr>
          <w:color w:val="231F20"/>
          <w:spacing w:val="-1"/>
        </w:rPr>
        <w:t>maximise</w:t>
      </w:r>
      <w:r>
        <w:rPr>
          <w:color w:val="231F20"/>
          <w:spacing w:val="-3"/>
        </w:rPr>
        <w:t> </w:t>
      </w:r>
      <w:r>
        <w:rPr>
          <w:color w:val="231F20"/>
        </w:rPr>
        <w:t>receipts</w:t>
      </w:r>
      <w:r>
        <w:rPr>
          <w:color w:val="231F20"/>
          <w:spacing w:val="-4"/>
        </w:rPr>
        <w:t> </w:t>
      </w:r>
      <w:r>
        <w:rPr>
          <w:color w:val="231F20"/>
        </w:rPr>
        <w:t>from</w:t>
      </w:r>
      <w:r>
        <w:rPr>
          <w:color w:val="231F20"/>
          <w:spacing w:val="-3"/>
        </w:rPr>
        <w:t> </w:t>
      </w:r>
      <w:r>
        <w:rPr>
          <w:color w:val="231F20"/>
        </w:rPr>
        <w:t>ABSTUDY.</w:t>
      </w:r>
      <w:r>
        <w:rPr>
          <w:color w:val="231F20"/>
          <w:spacing w:val="-3"/>
        </w:rPr>
        <w:t> </w:t>
      </w:r>
      <w:r>
        <w:rPr>
          <w:color w:val="231F20"/>
        </w:rPr>
        <w:t>Many</w:t>
      </w:r>
      <w:r>
        <w:rPr>
          <w:color w:val="231F20"/>
          <w:spacing w:val="22"/>
          <w:w w:val="99"/>
        </w:rPr>
        <w:t> </w:t>
      </w:r>
      <w:r>
        <w:rPr>
          <w:color w:val="231F20"/>
        </w:rPr>
        <w:t>boarding</w:t>
      </w:r>
      <w:r>
        <w:rPr>
          <w:color w:val="231F20"/>
          <w:spacing w:val="-7"/>
        </w:rPr>
        <w:t> </w:t>
      </w:r>
      <w:r>
        <w:rPr>
          <w:color w:val="231F20"/>
        </w:rPr>
        <w:t>providers</w:t>
      </w:r>
      <w:r>
        <w:rPr>
          <w:color w:val="231F20"/>
          <w:spacing w:val="-6"/>
        </w:rPr>
        <w:t> </w:t>
      </w:r>
      <w:r>
        <w:rPr>
          <w:color w:val="231F20"/>
        </w:rPr>
        <w:t>have</w:t>
      </w:r>
      <w:r>
        <w:rPr>
          <w:color w:val="231F20"/>
          <w:spacing w:val="-6"/>
        </w:rPr>
        <w:t> </w:t>
      </w:r>
      <w:r>
        <w:rPr>
          <w:color w:val="231F20"/>
        </w:rPr>
        <w:t>also</w:t>
      </w:r>
      <w:r>
        <w:rPr>
          <w:color w:val="231F20"/>
          <w:spacing w:val="-6"/>
        </w:rPr>
        <w:t> </w:t>
      </w:r>
      <w:r>
        <w:rPr>
          <w:color w:val="231F20"/>
          <w:spacing w:val="-1"/>
        </w:rPr>
        <w:t>successfully</w:t>
      </w:r>
      <w:r>
        <w:rPr>
          <w:color w:val="231F20"/>
          <w:spacing w:val="20"/>
        </w:rPr>
        <w:t> </w:t>
      </w:r>
      <w:r>
        <w:rPr>
          <w:rFonts w:ascii="Segoe UI"/>
          <w:color w:val="231F20"/>
        </w:rPr>
        <w:t>diversified their sources of income to include</w:t>
      </w:r>
      <w:r>
        <w:rPr>
          <w:rFonts w:ascii="Segoe UI"/>
          <w:color w:val="231F20"/>
        </w:rPr>
        <w:t> </w:t>
      </w:r>
      <w:r>
        <w:rPr>
          <w:color w:val="231F20"/>
        </w:rPr>
        <w:t>donations,</w:t>
      </w:r>
      <w:r>
        <w:rPr>
          <w:color w:val="231F20"/>
          <w:spacing w:val="-7"/>
        </w:rPr>
        <w:t> </w:t>
      </w:r>
      <w:r>
        <w:rPr>
          <w:color w:val="231F20"/>
          <w:spacing w:val="-1"/>
        </w:rPr>
        <w:t>scholarships</w:t>
      </w:r>
      <w:r>
        <w:rPr>
          <w:color w:val="231F20"/>
          <w:spacing w:val="-4"/>
        </w:rPr>
        <w:t> </w:t>
      </w:r>
      <w:r>
        <w:rPr>
          <w:color w:val="231F20"/>
        </w:rPr>
        <w:t>and</w:t>
      </w:r>
      <w:r>
        <w:rPr>
          <w:color w:val="231F20"/>
          <w:spacing w:val="-6"/>
        </w:rPr>
        <w:t> </w:t>
      </w:r>
      <w:r>
        <w:rPr>
          <w:color w:val="231F20"/>
        </w:rPr>
        <w:t>third</w:t>
      </w:r>
      <w:r>
        <w:rPr>
          <w:color w:val="231F20"/>
          <w:spacing w:val="-7"/>
        </w:rPr>
        <w:t> </w:t>
      </w:r>
      <w:r>
        <w:rPr>
          <w:color w:val="231F20"/>
        </w:rPr>
        <w:t>party</w:t>
      </w:r>
      <w:r>
        <w:rPr>
          <w:color w:val="231F20"/>
          <w:spacing w:val="22"/>
          <w:w w:val="99"/>
        </w:rPr>
        <w:t> </w:t>
      </w:r>
      <w:r>
        <w:rPr>
          <w:color w:val="231F20"/>
        </w:rPr>
        <w:t>partnerships.</w:t>
      </w:r>
      <w:r>
        <w:rPr/>
      </w:r>
    </w:p>
    <w:p>
      <w:pPr>
        <w:pStyle w:val="BodyText"/>
        <w:spacing w:line="250" w:lineRule="exact" w:before="113"/>
        <w:ind w:left="100" w:right="243"/>
        <w:jc w:val="left"/>
        <w:rPr>
          <w:rFonts w:ascii="Segoe UI" w:hAnsi="Segoe UI" w:cs="Segoe UI" w:eastAsia="Segoe UI"/>
        </w:rPr>
      </w:pPr>
      <w:r>
        <w:rPr>
          <w:color w:val="231F20"/>
        </w:rPr>
        <w:t>The</w:t>
      </w:r>
      <w:r>
        <w:rPr>
          <w:color w:val="231F20"/>
          <w:spacing w:val="-8"/>
        </w:rPr>
        <w:t> </w:t>
      </w:r>
      <w:r>
        <w:rPr>
          <w:color w:val="231F20"/>
          <w:spacing w:val="-1"/>
        </w:rPr>
        <w:t>majority</w:t>
      </w:r>
      <w:r>
        <w:rPr>
          <w:color w:val="231F20"/>
          <w:spacing w:val="-7"/>
        </w:rPr>
        <w:t> </w:t>
      </w:r>
      <w:r>
        <w:rPr>
          <w:color w:val="231F20"/>
        </w:rPr>
        <w:t>of</w:t>
      </w:r>
      <w:r>
        <w:rPr>
          <w:color w:val="231F20"/>
          <w:spacing w:val="-7"/>
        </w:rPr>
        <w:t> </w:t>
      </w:r>
      <w:r>
        <w:rPr>
          <w:color w:val="231F20"/>
        </w:rPr>
        <w:t>boarding</w:t>
      </w:r>
      <w:r>
        <w:rPr>
          <w:color w:val="231F20"/>
          <w:spacing w:val="-8"/>
        </w:rPr>
        <w:t> </w:t>
      </w:r>
      <w:r>
        <w:rPr>
          <w:color w:val="231F20"/>
        </w:rPr>
        <w:t>providers</w:t>
      </w:r>
      <w:r>
        <w:rPr>
          <w:color w:val="231F20"/>
          <w:spacing w:val="-9"/>
        </w:rPr>
        <w:t> </w:t>
      </w:r>
      <w:r>
        <w:rPr>
          <w:color w:val="231F20"/>
          <w:spacing w:val="-1"/>
        </w:rPr>
        <w:t>included</w:t>
      </w:r>
      <w:r>
        <w:rPr>
          <w:color w:val="231F20"/>
          <w:spacing w:val="21"/>
          <w:w w:val="99"/>
        </w:rPr>
        <w:t> </w:t>
      </w:r>
      <w:r>
        <w:rPr>
          <w:rFonts w:ascii="Segoe UI"/>
          <w:color w:val="231F20"/>
        </w:rPr>
        <w:t>as part of the analysis identified concerns</w:t>
      </w:r>
      <w:r>
        <w:rPr>
          <w:rFonts w:ascii="Segoe UI"/>
          <w:color w:val="231F20"/>
        </w:rPr>
        <w:t> </w:t>
      </w:r>
      <w:r>
        <w:rPr>
          <w:color w:val="231F20"/>
        </w:rPr>
        <w:t>and</w:t>
      </w:r>
      <w:r>
        <w:rPr>
          <w:color w:val="231F20"/>
          <w:spacing w:val="-6"/>
        </w:rPr>
        <w:t> </w:t>
      </w:r>
      <w:r>
        <w:rPr>
          <w:color w:val="231F20"/>
          <w:spacing w:val="-1"/>
        </w:rPr>
        <w:t>issues</w:t>
      </w:r>
      <w:r>
        <w:rPr>
          <w:color w:val="231F20"/>
          <w:spacing w:val="-6"/>
        </w:rPr>
        <w:t> </w:t>
      </w:r>
      <w:r>
        <w:rPr>
          <w:color w:val="231F20"/>
        </w:rPr>
        <w:t>regarding</w:t>
      </w:r>
      <w:r>
        <w:rPr>
          <w:color w:val="231F20"/>
          <w:spacing w:val="-5"/>
        </w:rPr>
        <w:t> </w:t>
      </w:r>
      <w:r>
        <w:rPr>
          <w:color w:val="231F20"/>
        </w:rPr>
        <w:t>ABSTUDY,</w:t>
      </w:r>
      <w:r>
        <w:rPr>
          <w:color w:val="231F20"/>
          <w:spacing w:val="-6"/>
        </w:rPr>
        <w:t> </w:t>
      </w:r>
      <w:r>
        <w:rPr>
          <w:color w:val="231F20"/>
          <w:spacing w:val="-1"/>
        </w:rPr>
        <w:t>including</w:t>
      </w:r>
      <w:r>
        <w:rPr>
          <w:color w:val="231F20"/>
          <w:spacing w:val="-1"/>
          <w:w w:val="99"/>
        </w:rPr>
        <w:t> </w:t>
      </w:r>
      <w:r>
        <w:rPr>
          <w:color w:val="231F20"/>
          <w:spacing w:val="21"/>
          <w:w w:val="99"/>
        </w:rPr>
        <w:t> </w:t>
      </w:r>
      <w:r>
        <w:rPr>
          <w:color w:val="231F20"/>
        </w:rPr>
        <w:t>the</w:t>
      </w:r>
      <w:r>
        <w:rPr>
          <w:color w:val="231F20"/>
          <w:spacing w:val="-5"/>
        </w:rPr>
        <w:t> </w:t>
      </w:r>
      <w:r>
        <w:rPr>
          <w:color w:val="231F20"/>
          <w:spacing w:val="-1"/>
        </w:rPr>
        <w:t>inadequacy</w:t>
      </w:r>
      <w:r>
        <w:rPr>
          <w:color w:val="231F20"/>
          <w:spacing w:val="-3"/>
        </w:rPr>
        <w:t> </w:t>
      </w:r>
      <w:r>
        <w:rPr>
          <w:color w:val="231F20"/>
        </w:rPr>
        <w:t>of</w:t>
      </w:r>
      <w:r>
        <w:rPr>
          <w:color w:val="231F20"/>
          <w:spacing w:val="-3"/>
        </w:rPr>
        <w:t> </w:t>
      </w:r>
      <w:r>
        <w:rPr>
          <w:color w:val="231F20"/>
        </w:rPr>
        <w:t>ABSTUDY</w:t>
      </w:r>
      <w:r>
        <w:rPr>
          <w:color w:val="231F20"/>
          <w:spacing w:val="-4"/>
        </w:rPr>
        <w:t> </w:t>
      </w:r>
      <w:r>
        <w:rPr>
          <w:color w:val="231F20"/>
        </w:rPr>
        <w:t>to</w:t>
      </w:r>
      <w:r>
        <w:rPr>
          <w:color w:val="231F20"/>
          <w:spacing w:val="-4"/>
        </w:rPr>
        <w:t> </w:t>
      </w:r>
      <w:r>
        <w:rPr>
          <w:color w:val="231F20"/>
          <w:spacing w:val="-1"/>
        </w:rPr>
        <w:t>meet</w:t>
      </w:r>
      <w:r>
        <w:rPr>
          <w:color w:val="231F20"/>
          <w:spacing w:val="-3"/>
        </w:rPr>
        <w:t> </w:t>
      </w:r>
      <w:r>
        <w:rPr>
          <w:color w:val="231F20"/>
        </w:rPr>
        <w:t>the</w:t>
      </w:r>
      <w:r>
        <w:rPr>
          <w:color w:val="231F20"/>
          <w:spacing w:val="23"/>
          <w:w w:val="99"/>
        </w:rPr>
        <w:t> </w:t>
      </w:r>
      <w:r>
        <w:rPr>
          <w:rFonts w:ascii="Segoe UI"/>
          <w:color w:val="231F20"/>
        </w:rPr>
        <w:t>true cost of boarding, complex and inflexible</w:t>
      </w:r>
      <w:r>
        <w:rPr>
          <w:rFonts w:ascii="Segoe UI"/>
        </w:rPr>
      </w:r>
    </w:p>
    <w:p>
      <w:pPr>
        <w:pStyle w:val="BodyText"/>
        <w:spacing w:line="250" w:lineRule="exact"/>
        <w:ind w:left="100" w:right="6"/>
        <w:jc w:val="left"/>
        <w:rPr>
          <w:rFonts w:ascii="Segoe UI" w:hAnsi="Segoe UI" w:cs="Segoe UI" w:eastAsia="Segoe UI"/>
        </w:rPr>
      </w:pPr>
      <w:r>
        <w:rPr>
          <w:color w:val="231F20"/>
        </w:rPr>
        <w:t>administration</w:t>
      </w:r>
      <w:r>
        <w:rPr>
          <w:color w:val="231F20"/>
          <w:spacing w:val="-11"/>
        </w:rPr>
        <w:t> </w:t>
      </w:r>
      <w:r>
        <w:rPr>
          <w:color w:val="231F20"/>
        </w:rPr>
        <w:t>and</w:t>
      </w:r>
      <w:r>
        <w:rPr>
          <w:color w:val="231F20"/>
          <w:spacing w:val="-9"/>
        </w:rPr>
        <w:t> </w:t>
      </w:r>
      <w:r>
        <w:rPr>
          <w:color w:val="231F20"/>
        </w:rPr>
        <w:t>challenges</w:t>
      </w:r>
      <w:r>
        <w:rPr>
          <w:color w:val="231F20"/>
          <w:spacing w:val="-10"/>
        </w:rPr>
        <w:t> </w:t>
      </w:r>
      <w:r>
        <w:rPr>
          <w:color w:val="231F20"/>
        </w:rPr>
        <w:t>communicating</w:t>
      </w:r>
      <w:r>
        <w:rPr>
          <w:color w:val="231F20"/>
        </w:rPr>
        <w:t> with</w:t>
      </w:r>
      <w:r>
        <w:rPr>
          <w:color w:val="231F20"/>
          <w:spacing w:val="-4"/>
        </w:rPr>
        <w:t> </w:t>
      </w:r>
      <w:r>
        <w:rPr>
          <w:color w:val="231F20"/>
        </w:rPr>
        <w:t>ABSTUDY.</w:t>
      </w:r>
      <w:r>
        <w:rPr>
          <w:color w:val="231F20"/>
          <w:spacing w:val="-2"/>
        </w:rPr>
        <w:t> </w:t>
      </w:r>
      <w:r>
        <w:rPr>
          <w:color w:val="231F20"/>
        </w:rPr>
        <w:t>These</w:t>
      </w:r>
      <w:r>
        <w:rPr>
          <w:color w:val="231F20"/>
          <w:spacing w:val="-4"/>
        </w:rPr>
        <w:t> </w:t>
      </w:r>
      <w:r>
        <w:rPr>
          <w:color w:val="231F20"/>
          <w:spacing w:val="-1"/>
        </w:rPr>
        <w:t>issues</w:t>
      </w:r>
      <w:r>
        <w:rPr>
          <w:color w:val="231F20"/>
          <w:spacing w:val="-2"/>
        </w:rPr>
        <w:t> </w:t>
      </w:r>
      <w:r>
        <w:rPr>
          <w:color w:val="231F20"/>
        </w:rPr>
        <w:t>have</w:t>
      </w:r>
      <w:r>
        <w:rPr>
          <w:color w:val="231F20"/>
          <w:spacing w:val="-4"/>
        </w:rPr>
        <w:t> </w:t>
      </w:r>
      <w:r>
        <w:rPr>
          <w:color w:val="231F20"/>
        </w:rPr>
        <w:t>been</w:t>
      </w:r>
      <w:r>
        <w:rPr>
          <w:color w:val="231F20"/>
          <w:spacing w:val="21"/>
          <w:w w:val="99"/>
        </w:rPr>
        <w:t> </w:t>
      </w:r>
      <w:r>
        <w:rPr>
          <w:rFonts w:ascii="Segoe UI"/>
          <w:color w:val="231F20"/>
        </w:rPr>
        <w:t>identified in a number of previous reviews</w:t>
      </w:r>
      <w:r>
        <w:rPr>
          <w:rFonts w:ascii="Segoe UI"/>
        </w:rPr>
      </w:r>
    </w:p>
    <w:p>
      <w:pPr>
        <w:spacing w:line="250" w:lineRule="exact" w:before="0"/>
        <w:ind w:left="100" w:right="9" w:firstLine="0"/>
        <w:jc w:val="left"/>
        <w:rPr>
          <w:rFonts w:ascii="Segoe UI" w:hAnsi="Segoe UI" w:cs="Segoe UI" w:eastAsia="Segoe UI"/>
          <w:sz w:val="20"/>
          <w:szCs w:val="20"/>
        </w:rPr>
      </w:pPr>
      <w:r>
        <w:rPr>
          <w:rFonts w:ascii="Segoe UI"/>
          <w:color w:val="231F20"/>
          <w:sz w:val="20"/>
        </w:rPr>
        <w:t>and</w:t>
      </w:r>
      <w:r>
        <w:rPr>
          <w:rFonts w:ascii="Segoe UI"/>
          <w:color w:val="231F20"/>
          <w:spacing w:val="-6"/>
          <w:sz w:val="20"/>
        </w:rPr>
        <w:t> </w:t>
      </w:r>
      <w:r>
        <w:rPr>
          <w:rFonts w:ascii="Segoe UI"/>
          <w:color w:val="231F20"/>
          <w:sz w:val="20"/>
        </w:rPr>
        <w:t>reports,</w:t>
      </w:r>
      <w:r>
        <w:rPr>
          <w:rFonts w:ascii="Segoe UI"/>
          <w:color w:val="231F20"/>
          <w:spacing w:val="-5"/>
          <w:sz w:val="20"/>
        </w:rPr>
        <w:t> </w:t>
      </w:r>
      <w:r>
        <w:rPr>
          <w:rFonts w:ascii="Segoe UI"/>
          <w:color w:val="231F20"/>
          <w:spacing w:val="-1"/>
          <w:sz w:val="20"/>
        </w:rPr>
        <w:t>such</w:t>
      </w:r>
      <w:r>
        <w:rPr>
          <w:rFonts w:ascii="Segoe UI"/>
          <w:color w:val="231F20"/>
          <w:spacing w:val="-5"/>
          <w:sz w:val="20"/>
        </w:rPr>
        <w:t> </w:t>
      </w:r>
      <w:r>
        <w:rPr>
          <w:rFonts w:ascii="Segoe UI"/>
          <w:color w:val="231F20"/>
          <w:sz w:val="20"/>
        </w:rPr>
        <w:t>as</w:t>
      </w:r>
      <w:r>
        <w:rPr>
          <w:rFonts w:ascii="Segoe UI"/>
          <w:color w:val="231F20"/>
          <w:spacing w:val="-5"/>
          <w:sz w:val="20"/>
        </w:rPr>
        <w:t> </w:t>
      </w:r>
      <w:r>
        <w:rPr>
          <w:rFonts w:ascii="Segoe UI"/>
          <w:i/>
          <w:color w:val="231F20"/>
          <w:sz w:val="20"/>
        </w:rPr>
        <w:t>Barriers</w:t>
      </w:r>
      <w:r>
        <w:rPr>
          <w:rFonts w:ascii="Segoe UI"/>
          <w:i/>
          <w:color w:val="231F20"/>
          <w:spacing w:val="-4"/>
          <w:sz w:val="20"/>
        </w:rPr>
        <w:t> </w:t>
      </w:r>
      <w:r>
        <w:rPr>
          <w:rFonts w:ascii="Segoe UI"/>
          <w:i/>
          <w:color w:val="231F20"/>
          <w:sz w:val="20"/>
        </w:rPr>
        <w:t>and</w:t>
      </w:r>
      <w:r>
        <w:rPr>
          <w:rFonts w:ascii="Segoe UI"/>
          <w:i/>
          <w:color w:val="231F20"/>
          <w:spacing w:val="-5"/>
          <w:sz w:val="20"/>
        </w:rPr>
        <w:t> </w:t>
      </w:r>
      <w:r>
        <w:rPr>
          <w:rFonts w:ascii="Segoe UI"/>
          <w:i/>
          <w:color w:val="231F20"/>
          <w:spacing w:val="-2"/>
          <w:sz w:val="20"/>
        </w:rPr>
        <w:t>Bureaucracy,</w:t>
      </w:r>
      <w:r>
        <w:rPr>
          <w:rFonts w:ascii="Segoe UI"/>
          <w:i/>
          <w:color w:val="231F20"/>
          <w:spacing w:val="30"/>
          <w:w w:val="99"/>
          <w:sz w:val="20"/>
        </w:rPr>
        <w:t> </w:t>
      </w:r>
      <w:r>
        <w:rPr>
          <w:rFonts w:ascii="Segoe UI"/>
          <w:i/>
          <w:color w:val="231F20"/>
          <w:spacing w:val="-1"/>
          <w:sz w:val="20"/>
        </w:rPr>
        <w:t>Bridges</w:t>
      </w:r>
      <w:r>
        <w:rPr>
          <w:rFonts w:ascii="Segoe UI"/>
          <w:i/>
          <w:color w:val="231F20"/>
          <w:spacing w:val="-3"/>
          <w:sz w:val="20"/>
        </w:rPr>
        <w:t> </w:t>
      </w:r>
      <w:r>
        <w:rPr>
          <w:rFonts w:ascii="Segoe UI"/>
          <w:i/>
          <w:color w:val="231F20"/>
          <w:sz w:val="20"/>
        </w:rPr>
        <w:t>and</w:t>
      </w:r>
      <w:r>
        <w:rPr>
          <w:rFonts w:ascii="Segoe UI"/>
          <w:i/>
          <w:color w:val="231F20"/>
          <w:spacing w:val="-2"/>
          <w:sz w:val="20"/>
        </w:rPr>
        <w:t> </w:t>
      </w:r>
      <w:r>
        <w:rPr>
          <w:rFonts w:ascii="Segoe UI"/>
          <w:i/>
          <w:color w:val="231F20"/>
          <w:spacing w:val="-1"/>
          <w:sz w:val="20"/>
        </w:rPr>
        <w:t>Brokers</w:t>
      </w:r>
      <w:r>
        <w:rPr>
          <w:rFonts w:ascii="Segoe UI Semibold"/>
          <w:b/>
          <w:color w:val="231F20"/>
          <w:spacing w:val="-1"/>
          <w:position w:val="7"/>
          <w:sz w:val="11"/>
        </w:rPr>
        <w:t>21</w:t>
      </w:r>
      <w:r>
        <w:rPr>
          <w:rFonts w:ascii="Segoe UI"/>
          <w:color w:val="231F20"/>
          <w:spacing w:val="-1"/>
          <w:sz w:val="20"/>
        </w:rPr>
        <w:t>.</w:t>
      </w:r>
      <w:r>
        <w:rPr>
          <w:rFonts w:ascii="Segoe UI"/>
          <w:sz w:val="20"/>
        </w:rPr>
      </w:r>
    </w:p>
    <w:p>
      <w:pPr>
        <w:pStyle w:val="BodyText"/>
        <w:spacing w:line="250" w:lineRule="exact" w:before="113"/>
        <w:ind w:left="100" w:right="9"/>
        <w:jc w:val="left"/>
      </w:pPr>
      <w:r>
        <w:rPr>
          <w:color w:val="231F20"/>
        </w:rPr>
        <w:t>The</w:t>
      </w:r>
      <w:r>
        <w:rPr>
          <w:color w:val="231F20"/>
          <w:spacing w:val="-4"/>
        </w:rPr>
        <w:t> </w:t>
      </w:r>
      <w:r>
        <w:rPr>
          <w:color w:val="231F20"/>
          <w:spacing w:val="-1"/>
        </w:rPr>
        <w:t>2018-19</w:t>
      </w:r>
      <w:r>
        <w:rPr>
          <w:color w:val="231F20"/>
          <w:spacing w:val="-3"/>
        </w:rPr>
        <w:t> </w:t>
      </w:r>
      <w:r>
        <w:rPr>
          <w:color w:val="231F20"/>
        </w:rPr>
        <w:t>ABSTUDY</w:t>
      </w:r>
      <w:r>
        <w:rPr>
          <w:color w:val="231F20"/>
          <w:spacing w:val="-5"/>
        </w:rPr>
        <w:t> </w:t>
      </w:r>
      <w:r>
        <w:rPr>
          <w:color w:val="231F20"/>
          <w:spacing w:val="-1"/>
        </w:rPr>
        <w:t>Budget</w:t>
      </w:r>
      <w:r>
        <w:rPr>
          <w:color w:val="231F20"/>
          <w:spacing w:val="-3"/>
        </w:rPr>
        <w:t> </w:t>
      </w:r>
      <w:r>
        <w:rPr>
          <w:color w:val="231F20"/>
        </w:rPr>
        <w:t>Measure</w:t>
      </w:r>
      <w:r>
        <w:rPr>
          <w:color w:val="231F20"/>
          <w:spacing w:val="-5"/>
        </w:rPr>
        <w:t> </w:t>
      </w:r>
      <w:r>
        <w:rPr>
          <w:color w:val="231F20"/>
        </w:rPr>
        <w:t>has</w:t>
      </w:r>
      <w:r>
        <w:rPr>
          <w:color w:val="231F20"/>
          <w:spacing w:val="23"/>
        </w:rPr>
        <w:t> </w:t>
      </w:r>
      <w:r>
        <w:rPr>
          <w:color w:val="231F20"/>
        </w:rPr>
        <w:t>been</w:t>
      </w:r>
      <w:r>
        <w:rPr>
          <w:color w:val="231F20"/>
          <w:spacing w:val="-7"/>
        </w:rPr>
        <w:t> </w:t>
      </w:r>
      <w:r>
        <w:rPr>
          <w:color w:val="231F20"/>
        </w:rPr>
        <w:t>welcomed</w:t>
      </w:r>
      <w:r>
        <w:rPr>
          <w:color w:val="231F20"/>
          <w:spacing w:val="-7"/>
        </w:rPr>
        <w:t> </w:t>
      </w:r>
      <w:r>
        <w:rPr>
          <w:color w:val="231F20"/>
        </w:rPr>
        <w:t>by</w:t>
      </w:r>
      <w:r>
        <w:rPr>
          <w:color w:val="231F20"/>
          <w:spacing w:val="-6"/>
        </w:rPr>
        <w:t> </w:t>
      </w:r>
      <w:r>
        <w:rPr>
          <w:color w:val="231F20"/>
        </w:rPr>
        <w:t>boarding</w:t>
      </w:r>
      <w:r>
        <w:rPr>
          <w:color w:val="231F20"/>
          <w:spacing w:val="-7"/>
        </w:rPr>
        <w:t> </w:t>
      </w:r>
      <w:r>
        <w:rPr>
          <w:color w:val="231F20"/>
        </w:rPr>
        <w:t>providers</w:t>
      </w:r>
      <w:r>
        <w:rPr>
          <w:color w:val="231F20"/>
          <w:spacing w:val="-7"/>
        </w:rPr>
        <w:t> </w:t>
      </w:r>
      <w:r>
        <w:rPr>
          <w:color w:val="231F20"/>
        </w:rPr>
        <w:t>and</w:t>
      </w:r>
      <w:r>
        <w:rPr>
          <w:color w:val="231F20"/>
          <w:spacing w:val="-7"/>
        </w:rPr>
        <w:t> </w:t>
      </w:r>
      <w:r>
        <w:rPr>
          <w:color w:val="231F20"/>
          <w:spacing w:val="-1"/>
        </w:rPr>
        <w:t>is</w:t>
      </w:r>
      <w:r>
        <w:rPr>
          <w:color w:val="231F20"/>
          <w:spacing w:val="19"/>
        </w:rPr>
        <w:t> </w:t>
      </w:r>
      <w:r>
        <w:rPr>
          <w:color w:val="231F20"/>
          <w:spacing w:val="-1"/>
        </w:rPr>
        <w:t>seen</w:t>
      </w:r>
      <w:r>
        <w:rPr>
          <w:color w:val="231F20"/>
          <w:spacing w:val="-2"/>
        </w:rPr>
        <w:t> </w:t>
      </w:r>
      <w:r>
        <w:rPr>
          <w:color w:val="231F20"/>
        </w:rPr>
        <w:t>as</w:t>
      </w:r>
      <w:r>
        <w:rPr>
          <w:color w:val="231F20"/>
          <w:spacing w:val="-3"/>
        </w:rPr>
        <w:t> </w:t>
      </w:r>
      <w:r>
        <w:rPr>
          <w:color w:val="231F20"/>
        </w:rPr>
        <w:t>delivering</w:t>
      </w:r>
      <w:r>
        <w:rPr>
          <w:color w:val="231F20"/>
          <w:spacing w:val="-3"/>
        </w:rPr>
        <w:t> </w:t>
      </w:r>
      <w:r>
        <w:rPr>
          <w:color w:val="231F20"/>
        </w:rPr>
        <w:t>positive</w:t>
      </w:r>
      <w:r>
        <w:rPr>
          <w:color w:val="231F20"/>
          <w:spacing w:val="-2"/>
        </w:rPr>
        <w:t> </w:t>
      </w:r>
      <w:r>
        <w:rPr>
          <w:color w:val="231F20"/>
          <w:spacing w:val="-1"/>
        </w:rPr>
        <w:t>improvements</w:t>
      </w:r>
      <w:r>
        <w:rPr>
          <w:color w:val="231F20"/>
          <w:spacing w:val="-2"/>
        </w:rPr>
        <w:t> </w:t>
      </w:r>
      <w:r>
        <w:rPr>
          <w:color w:val="231F20"/>
          <w:spacing w:val="-1"/>
        </w:rPr>
        <w:t>in</w:t>
      </w:r>
      <w:r>
        <w:rPr>
          <w:color w:val="231F20"/>
          <w:spacing w:val="22"/>
        </w:rPr>
        <w:t> </w:t>
      </w:r>
      <w:r>
        <w:rPr>
          <w:rFonts w:ascii="Segoe UI"/>
          <w:color w:val="231F20"/>
        </w:rPr>
        <w:t>reducing administration, increasing flexibility</w:t>
      </w:r>
      <w:r>
        <w:rPr>
          <w:rFonts w:ascii="Segoe UI"/>
          <w:color w:val="231F20"/>
        </w:rPr>
        <w:t> </w:t>
      </w:r>
      <w:r>
        <w:rPr>
          <w:color w:val="231F20"/>
        </w:rPr>
        <w:t>for</w:t>
      </w:r>
      <w:r>
        <w:rPr>
          <w:color w:val="231F20"/>
          <w:spacing w:val="-5"/>
        </w:rPr>
        <w:t> </w:t>
      </w:r>
      <w:r>
        <w:rPr>
          <w:color w:val="231F20"/>
        </w:rPr>
        <w:t>travel</w:t>
      </w:r>
      <w:r>
        <w:rPr>
          <w:color w:val="231F20"/>
          <w:spacing w:val="-5"/>
        </w:rPr>
        <w:t> </w:t>
      </w:r>
      <w:r>
        <w:rPr>
          <w:color w:val="231F20"/>
        </w:rPr>
        <w:t>and</w:t>
      </w:r>
      <w:r>
        <w:rPr>
          <w:color w:val="231F20"/>
          <w:spacing w:val="-5"/>
        </w:rPr>
        <w:t> </w:t>
      </w:r>
      <w:r>
        <w:rPr>
          <w:color w:val="231F20"/>
          <w:spacing w:val="-1"/>
        </w:rPr>
        <w:t>improving</w:t>
      </w:r>
      <w:r>
        <w:rPr>
          <w:color w:val="231F20"/>
          <w:spacing w:val="-4"/>
        </w:rPr>
        <w:t> </w:t>
      </w:r>
      <w:r>
        <w:rPr>
          <w:color w:val="231F20"/>
        </w:rPr>
        <w:t>the</w:t>
      </w:r>
      <w:r>
        <w:rPr>
          <w:color w:val="231F20"/>
          <w:spacing w:val="-6"/>
        </w:rPr>
        <w:t> </w:t>
      </w:r>
      <w:r>
        <w:rPr>
          <w:color w:val="231F20"/>
          <w:spacing w:val="-1"/>
        </w:rPr>
        <w:t>safety</w:t>
      </w:r>
      <w:r>
        <w:rPr>
          <w:color w:val="231F20"/>
          <w:spacing w:val="-4"/>
        </w:rPr>
        <w:t> </w:t>
      </w:r>
      <w:r>
        <w:rPr>
          <w:color w:val="231F20"/>
        </w:rPr>
        <w:t>of</w:t>
      </w:r>
      <w:r>
        <w:rPr>
          <w:color w:val="231F20"/>
          <w:spacing w:val="-4"/>
        </w:rPr>
        <w:t> </w:t>
      </w:r>
      <w:r>
        <w:rPr>
          <w:color w:val="231F20"/>
          <w:spacing w:val="-1"/>
        </w:rPr>
        <w:t>students</w:t>
      </w:r>
      <w:r>
        <w:rPr>
          <w:color w:val="231F20"/>
          <w:spacing w:val="22"/>
        </w:rPr>
        <w:t> </w:t>
      </w:r>
      <w:r>
        <w:rPr>
          <w:color w:val="231F20"/>
        </w:rPr>
        <w:t>while</w:t>
      </w:r>
      <w:r>
        <w:rPr>
          <w:color w:val="231F20"/>
          <w:spacing w:val="-7"/>
        </w:rPr>
        <w:t> </w:t>
      </w:r>
      <w:r>
        <w:rPr>
          <w:color w:val="231F20"/>
        </w:rPr>
        <w:t>travelling</w:t>
      </w:r>
      <w:r>
        <w:rPr>
          <w:color w:val="231F20"/>
          <w:spacing w:val="-6"/>
        </w:rPr>
        <w:t> </w:t>
      </w:r>
      <w:r>
        <w:rPr>
          <w:color w:val="231F20"/>
        </w:rPr>
        <w:t>to</w:t>
      </w:r>
      <w:r>
        <w:rPr>
          <w:color w:val="231F20"/>
          <w:spacing w:val="-5"/>
        </w:rPr>
        <w:t> </w:t>
      </w:r>
      <w:r>
        <w:rPr>
          <w:color w:val="231F20"/>
        </w:rPr>
        <w:t>and</w:t>
      </w:r>
      <w:r>
        <w:rPr>
          <w:color w:val="231F20"/>
          <w:spacing w:val="-6"/>
        </w:rPr>
        <w:t> </w:t>
      </w:r>
      <w:r>
        <w:rPr>
          <w:color w:val="231F20"/>
        </w:rPr>
        <w:t>from</w:t>
      </w:r>
      <w:r>
        <w:rPr>
          <w:color w:val="231F20"/>
          <w:spacing w:val="-5"/>
        </w:rPr>
        <w:t> </w:t>
      </w:r>
      <w:r>
        <w:rPr>
          <w:color w:val="231F20"/>
        </w:rPr>
        <w:t>boarding.</w:t>
      </w:r>
      <w:r>
        <w:rPr>
          <w:color w:val="231F20"/>
          <w:spacing w:val="-6"/>
        </w:rPr>
        <w:t> </w:t>
      </w:r>
      <w:r>
        <w:rPr>
          <w:color w:val="231F20"/>
          <w:spacing w:val="-1"/>
        </w:rPr>
        <w:t>Positive</w:t>
      </w:r>
      <w:r>
        <w:rPr>
          <w:color w:val="231F20"/>
          <w:spacing w:val="20"/>
        </w:rPr>
        <w:t> </w:t>
      </w:r>
      <w:r>
        <w:rPr>
          <w:color w:val="231F20"/>
        </w:rPr>
        <w:t>changes</w:t>
      </w:r>
      <w:r>
        <w:rPr>
          <w:color w:val="231F20"/>
          <w:spacing w:val="-6"/>
        </w:rPr>
        <w:t> </w:t>
      </w:r>
      <w:r>
        <w:rPr>
          <w:color w:val="231F20"/>
          <w:spacing w:val="-1"/>
        </w:rPr>
        <w:t>in</w:t>
      </w:r>
      <w:r>
        <w:rPr>
          <w:color w:val="231F20"/>
          <w:spacing w:val="-5"/>
        </w:rPr>
        <w:t> </w:t>
      </w:r>
      <w:r>
        <w:rPr>
          <w:color w:val="231F20"/>
        </w:rPr>
        <w:t>the</w:t>
      </w:r>
      <w:r>
        <w:rPr>
          <w:color w:val="231F20"/>
          <w:spacing w:val="-6"/>
        </w:rPr>
        <w:t> </w:t>
      </w:r>
      <w:r>
        <w:rPr>
          <w:color w:val="231F20"/>
        </w:rPr>
        <w:t>administration</w:t>
      </w:r>
      <w:r>
        <w:rPr>
          <w:color w:val="231F20"/>
          <w:spacing w:val="-7"/>
        </w:rPr>
        <w:t> </w:t>
      </w:r>
      <w:r>
        <w:rPr>
          <w:color w:val="231F20"/>
        </w:rPr>
        <w:t>of</w:t>
      </w:r>
      <w:r>
        <w:rPr>
          <w:color w:val="231F20"/>
          <w:spacing w:val="-5"/>
        </w:rPr>
        <w:t> </w:t>
      </w:r>
      <w:r>
        <w:rPr>
          <w:color w:val="231F20"/>
        </w:rPr>
        <w:t>ABSTUDY</w:t>
      </w:r>
      <w:r>
        <w:rPr>
          <w:color w:val="231F20"/>
          <w:spacing w:val="21"/>
        </w:rPr>
        <w:t> </w:t>
      </w:r>
      <w:r>
        <w:rPr>
          <w:rFonts w:ascii="Segoe UI"/>
          <w:color w:val="231F20"/>
        </w:rPr>
        <w:t>were also identified during the analysis, such as</w:t>
      </w:r>
      <w:r>
        <w:rPr>
          <w:rFonts w:ascii="Segoe UI"/>
          <w:color w:val="231F20"/>
        </w:rPr>
        <w:t> </w:t>
      </w:r>
      <w:r>
        <w:rPr>
          <w:color w:val="231F20"/>
        </w:rPr>
        <w:t>the</w:t>
      </w:r>
      <w:r>
        <w:rPr>
          <w:color w:val="231F20"/>
          <w:spacing w:val="-8"/>
        </w:rPr>
        <w:t> </w:t>
      </w:r>
      <w:r>
        <w:rPr>
          <w:color w:val="231F20"/>
          <w:spacing w:val="-1"/>
        </w:rPr>
        <w:t>introduction</w:t>
      </w:r>
      <w:r>
        <w:rPr>
          <w:color w:val="231F20"/>
          <w:spacing w:val="-5"/>
        </w:rPr>
        <w:t> </w:t>
      </w:r>
      <w:r>
        <w:rPr>
          <w:color w:val="231F20"/>
        </w:rPr>
        <w:t>by</w:t>
      </w:r>
      <w:r>
        <w:rPr>
          <w:color w:val="231F20"/>
          <w:spacing w:val="-6"/>
        </w:rPr>
        <w:t> </w:t>
      </w:r>
      <w:r>
        <w:rPr>
          <w:color w:val="231F20"/>
        </w:rPr>
        <w:t>the</w:t>
      </w:r>
      <w:r>
        <w:rPr>
          <w:color w:val="231F20"/>
          <w:spacing w:val="-7"/>
        </w:rPr>
        <w:t> </w:t>
      </w:r>
      <w:r>
        <w:rPr>
          <w:color w:val="231F20"/>
          <w:spacing w:val="-1"/>
        </w:rPr>
        <w:t>Department</w:t>
      </w:r>
      <w:r>
        <w:rPr>
          <w:color w:val="231F20"/>
          <w:spacing w:val="-7"/>
        </w:rPr>
        <w:t> </w:t>
      </w:r>
      <w:r>
        <w:rPr>
          <w:color w:val="231F20"/>
        </w:rPr>
        <w:t>of</w:t>
      </w:r>
      <w:r>
        <w:rPr>
          <w:color w:val="231F20"/>
          <w:spacing w:val="-6"/>
        </w:rPr>
        <w:t> </w:t>
      </w:r>
      <w:r>
        <w:rPr>
          <w:color w:val="231F20"/>
        </w:rPr>
        <w:t>Human</w:t>
      </w:r>
      <w:r>
        <w:rPr>
          <w:color w:val="231F20"/>
          <w:spacing w:val="23"/>
          <w:w w:val="99"/>
        </w:rPr>
        <w:t> </w:t>
      </w:r>
      <w:r>
        <w:rPr>
          <w:color w:val="231F20"/>
          <w:spacing w:val="-1"/>
        </w:rPr>
        <w:t>Services</w:t>
      </w:r>
      <w:r>
        <w:rPr>
          <w:color w:val="231F20"/>
          <w:spacing w:val="-7"/>
        </w:rPr>
        <w:t> </w:t>
      </w:r>
      <w:r>
        <w:rPr>
          <w:color w:val="231F20"/>
        </w:rPr>
        <w:t>of</w:t>
      </w:r>
      <w:r>
        <w:rPr>
          <w:color w:val="231F20"/>
          <w:spacing w:val="-7"/>
        </w:rPr>
        <w:t> </w:t>
      </w:r>
      <w:r>
        <w:rPr>
          <w:color w:val="231F20"/>
        </w:rPr>
        <w:t>verbal</w:t>
      </w:r>
      <w:r>
        <w:rPr>
          <w:color w:val="231F20"/>
          <w:spacing w:val="-6"/>
        </w:rPr>
        <w:t> </w:t>
      </w:r>
      <w:r>
        <w:rPr>
          <w:color w:val="231F20"/>
        </w:rPr>
        <w:t>customer</w:t>
      </w:r>
      <w:r>
        <w:rPr>
          <w:color w:val="231F20"/>
          <w:spacing w:val="-8"/>
        </w:rPr>
        <w:t> </w:t>
      </w:r>
      <w:r>
        <w:rPr>
          <w:color w:val="231F20"/>
        </w:rPr>
        <w:t>declarations</w:t>
      </w:r>
      <w:r>
        <w:rPr/>
      </w:r>
    </w:p>
    <w:p>
      <w:pPr>
        <w:pStyle w:val="BodyText"/>
        <w:spacing w:line="250" w:lineRule="exact"/>
        <w:ind w:left="100" w:right="621"/>
        <w:jc w:val="both"/>
      </w:pPr>
      <w:r>
        <w:rPr>
          <w:color w:val="231F20"/>
          <w:spacing w:val="-1"/>
        </w:rPr>
        <w:t>in</w:t>
      </w:r>
      <w:r>
        <w:rPr>
          <w:color w:val="231F20"/>
          <w:spacing w:val="-3"/>
        </w:rPr>
        <w:t> </w:t>
      </w:r>
      <w:r>
        <w:rPr>
          <w:color w:val="231F20"/>
        </w:rPr>
        <w:t>November</w:t>
      </w:r>
      <w:r>
        <w:rPr>
          <w:color w:val="231F20"/>
          <w:spacing w:val="-2"/>
        </w:rPr>
        <w:t> </w:t>
      </w:r>
      <w:r>
        <w:rPr>
          <w:color w:val="231F20"/>
          <w:spacing w:val="-1"/>
        </w:rPr>
        <w:t>2016</w:t>
      </w:r>
      <w:r>
        <w:rPr>
          <w:color w:val="231F20"/>
          <w:spacing w:val="-2"/>
        </w:rPr>
        <w:t> </w:t>
      </w:r>
      <w:r>
        <w:rPr>
          <w:color w:val="231F20"/>
        </w:rPr>
        <w:t>and</w:t>
      </w:r>
      <w:r>
        <w:rPr>
          <w:color w:val="231F20"/>
          <w:spacing w:val="-3"/>
        </w:rPr>
        <w:t> </w:t>
      </w:r>
      <w:r>
        <w:rPr>
          <w:color w:val="231F20"/>
          <w:spacing w:val="-1"/>
        </w:rPr>
        <w:t>improvements</w:t>
      </w:r>
      <w:r>
        <w:rPr>
          <w:color w:val="231F20"/>
          <w:spacing w:val="-3"/>
        </w:rPr>
        <w:t> </w:t>
      </w:r>
      <w:r>
        <w:rPr>
          <w:color w:val="231F20"/>
          <w:spacing w:val="-1"/>
        </w:rPr>
        <w:t>in</w:t>
      </w:r>
      <w:r>
        <w:rPr>
          <w:color w:val="231F20"/>
          <w:spacing w:val="23"/>
        </w:rPr>
        <w:t> </w:t>
      </w:r>
      <w:r>
        <w:rPr>
          <w:color w:val="231F20"/>
        </w:rPr>
        <w:t>the</w:t>
      </w:r>
      <w:r>
        <w:rPr>
          <w:color w:val="231F20"/>
          <w:spacing w:val="-5"/>
        </w:rPr>
        <w:t> </w:t>
      </w:r>
      <w:r>
        <w:rPr>
          <w:color w:val="231F20"/>
        </w:rPr>
        <w:t>administration</w:t>
      </w:r>
      <w:r>
        <w:rPr>
          <w:color w:val="231F20"/>
          <w:spacing w:val="-5"/>
        </w:rPr>
        <w:t> </w:t>
      </w:r>
      <w:r>
        <w:rPr>
          <w:color w:val="231F20"/>
        </w:rPr>
        <w:t>of</w:t>
      </w:r>
      <w:r>
        <w:rPr>
          <w:color w:val="231F20"/>
          <w:spacing w:val="-4"/>
        </w:rPr>
        <w:t> </w:t>
      </w:r>
      <w:r>
        <w:rPr>
          <w:color w:val="231F20"/>
        </w:rPr>
        <w:t>ABSTUDY</w:t>
      </w:r>
      <w:r>
        <w:rPr>
          <w:color w:val="231F20"/>
          <w:spacing w:val="-4"/>
        </w:rPr>
        <w:t> </w:t>
      </w:r>
      <w:r>
        <w:rPr>
          <w:color w:val="231F20"/>
        </w:rPr>
        <w:t>travel</w:t>
      </w:r>
      <w:r>
        <w:rPr>
          <w:color w:val="231F20"/>
          <w:spacing w:val="-4"/>
        </w:rPr>
        <w:t> </w:t>
      </w:r>
      <w:r>
        <w:rPr>
          <w:color w:val="231F20"/>
          <w:spacing w:val="-1"/>
        </w:rPr>
        <w:t>in</w:t>
      </w:r>
      <w:r>
        <w:rPr>
          <w:color w:val="231F20"/>
          <w:spacing w:val="19"/>
        </w:rPr>
        <w:t> </w:t>
      </w:r>
      <w:r>
        <w:rPr>
          <w:color w:val="231F20"/>
        </w:rPr>
        <w:t>recent</w:t>
      </w:r>
      <w:r>
        <w:rPr>
          <w:color w:val="231F20"/>
          <w:spacing w:val="-12"/>
        </w:rPr>
        <w:t> </w:t>
      </w:r>
      <w:r>
        <w:rPr>
          <w:color w:val="231F20"/>
        </w:rPr>
        <w:t>years.</w:t>
      </w:r>
      <w:r>
        <w:rPr/>
      </w:r>
    </w:p>
    <w:p>
      <w:pPr>
        <w:pStyle w:val="BodyText"/>
        <w:spacing w:line="250" w:lineRule="exact" w:before="62"/>
        <w:ind w:left="100" w:right="164"/>
        <w:jc w:val="left"/>
      </w:pPr>
      <w:r>
        <w:rPr/>
        <w:br w:type="column"/>
      </w:r>
      <w:r>
        <w:rPr>
          <w:rFonts w:ascii="Segoe UI"/>
          <w:color w:val="231F20"/>
        </w:rPr>
        <w:t>A</w:t>
      </w:r>
      <w:r>
        <w:rPr>
          <w:rFonts w:ascii="Segoe UI"/>
          <w:color w:val="231F20"/>
          <w:spacing w:val="-2"/>
        </w:rPr>
        <w:t> </w:t>
      </w:r>
      <w:r>
        <w:rPr>
          <w:rFonts w:ascii="Segoe UI"/>
          <w:color w:val="231F20"/>
        </w:rPr>
        <w:t>number</w:t>
      </w:r>
      <w:r>
        <w:rPr>
          <w:rFonts w:ascii="Segoe UI"/>
          <w:color w:val="231F20"/>
          <w:spacing w:val="-1"/>
        </w:rPr>
        <w:t> </w:t>
      </w:r>
      <w:r>
        <w:rPr>
          <w:rFonts w:ascii="Segoe UI"/>
          <w:color w:val="231F20"/>
        </w:rPr>
        <w:t>of</w:t>
      </w:r>
      <w:r>
        <w:rPr>
          <w:rFonts w:ascii="Segoe UI"/>
          <w:color w:val="231F20"/>
          <w:spacing w:val="-1"/>
        </w:rPr>
        <w:t> </w:t>
      </w:r>
      <w:r>
        <w:rPr>
          <w:rFonts w:ascii="Segoe UI"/>
          <w:color w:val="231F20"/>
        </w:rPr>
        <w:t>different</w:t>
      </w:r>
      <w:r>
        <w:rPr>
          <w:rFonts w:ascii="Segoe UI"/>
          <w:color w:val="231F20"/>
          <w:spacing w:val="-1"/>
        </w:rPr>
        <w:t> </w:t>
      </w:r>
      <w:r>
        <w:rPr>
          <w:rFonts w:ascii="Segoe UI"/>
          <w:color w:val="231F20"/>
        </w:rPr>
        <w:t>models</w:t>
      </w:r>
      <w:r>
        <w:rPr>
          <w:rFonts w:ascii="Segoe UI"/>
          <w:color w:val="231F20"/>
          <w:spacing w:val="-1"/>
        </w:rPr>
        <w:t> </w:t>
      </w:r>
      <w:r>
        <w:rPr>
          <w:rFonts w:ascii="Segoe UI"/>
          <w:color w:val="231F20"/>
        </w:rPr>
        <w:t>for</w:t>
      </w:r>
      <w:r>
        <w:rPr>
          <w:rFonts w:ascii="Segoe UI"/>
          <w:color w:val="231F20"/>
          <w:spacing w:val="-1"/>
        </w:rPr>
        <w:t> </w:t>
      </w:r>
      <w:r>
        <w:rPr>
          <w:rFonts w:ascii="Segoe UI"/>
          <w:color w:val="231F20"/>
        </w:rPr>
        <w:t>ABSTUDY</w:t>
      </w:r>
      <w:r>
        <w:rPr>
          <w:rFonts w:ascii="Segoe UI"/>
          <w:color w:val="231F20"/>
          <w:spacing w:val="-1"/>
        </w:rPr>
        <w:t> </w:t>
      </w:r>
      <w:r>
        <w:rPr>
          <w:rFonts w:ascii="Segoe UI"/>
          <w:color w:val="231F20"/>
        </w:rPr>
        <w:t>and</w:t>
      </w:r>
      <w:r>
        <w:rPr>
          <w:rFonts w:ascii="Segoe UI"/>
          <w:color w:val="231F20"/>
        </w:rPr>
        <w:t> recommendations</w:t>
      </w:r>
      <w:r>
        <w:rPr>
          <w:rFonts w:ascii="Segoe UI"/>
          <w:color w:val="231F20"/>
          <w:spacing w:val="-2"/>
        </w:rPr>
        <w:t> </w:t>
      </w:r>
      <w:r>
        <w:rPr>
          <w:rFonts w:ascii="Segoe UI"/>
          <w:color w:val="231F20"/>
        </w:rPr>
        <w:t>have</w:t>
      </w:r>
      <w:r>
        <w:rPr>
          <w:rFonts w:ascii="Segoe UI"/>
          <w:color w:val="231F20"/>
          <w:spacing w:val="-2"/>
        </w:rPr>
        <w:t> </w:t>
      </w:r>
      <w:r>
        <w:rPr>
          <w:rFonts w:ascii="Segoe UI"/>
          <w:color w:val="231F20"/>
        </w:rPr>
        <w:t>been</w:t>
      </w:r>
      <w:r>
        <w:rPr>
          <w:rFonts w:ascii="Segoe UI"/>
          <w:color w:val="231F20"/>
          <w:spacing w:val="-1"/>
        </w:rPr>
        <w:t> </w:t>
      </w:r>
      <w:r>
        <w:rPr>
          <w:rFonts w:ascii="Segoe UI"/>
          <w:color w:val="231F20"/>
        </w:rPr>
        <w:t>proffered</w:t>
      </w:r>
      <w:r>
        <w:rPr>
          <w:rFonts w:ascii="Segoe UI"/>
          <w:color w:val="231F20"/>
          <w:spacing w:val="-2"/>
        </w:rPr>
        <w:t> </w:t>
      </w:r>
      <w:r>
        <w:rPr>
          <w:rFonts w:ascii="Segoe UI"/>
          <w:color w:val="231F20"/>
        </w:rPr>
        <w:t>as</w:t>
      </w:r>
      <w:r>
        <w:rPr>
          <w:rFonts w:ascii="Segoe UI"/>
          <w:color w:val="231F20"/>
          <w:spacing w:val="-2"/>
        </w:rPr>
        <w:t> </w:t>
      </w:r>
      <w:r>
        <w:rPr>
          <w:rFonts w:ascii="Segoe UI"/>
          <w:color w:val="231F20"/>
        </w:rPr>
        <w:t>part</w:t>
      </w:r>
      <w:r>
        <w:rPr>
          <w:rFonts w:ascii="Segoe UI"/>
          <w:color w:val="231F20"/>
        </w:rPr>
        <w:t> </w:t>
      </w:r>
      <w:r>
        <w:rPr>
          <w:color w:val="231F20"/>
        </w:rPr>
        <w:t>of</w:t>
      </w:r>
      <w:r>
        <w:rPr>
          <w:color w:val="231F20"/>
          <w:spacing w:val="-6"/>
        </w:rPr>
        <w:t> </w:t>
      </w:r>
      <w:r>
        <w:rPr>
          <w:color w:val="231F20"/>
        </w:rPr>
        <w:t>previous</w:t>
      </w:r>
      <w:r>
        <w:rPr>
          <w:color w:val="231F20"/>
          <w:spacing w:val="-5"/>
        </w:rPr>
        <w:t> </w:t>
      </w:r>
      <w:r>
        <w:rPr>
          <w:color w:val="231F20"/>
        </w:rPr>
        <w:t>reviews</w:t>
      </w:r>
      <w:r>
        <w:rPr>
          <w:color w:val="231F20"/>
          <w:spacing w:val="-6"/>
        </w:rPr>
        <w:t> </w:t>
      </w:r>
      <w:r>
        <w:rPr>
          <w:color w:val="231F20"/>
        </w:rPr>
        <w:t>and</w:t>
      </w:r>
      <w:r>
        <w:rPr>
          <w:color w:val="231F20"/>
          <w:spacing w:val="-6"/>
        </w:rPr>
        <w:t> </w:t>
      </w:r>
      <w:r>
        <w:rPr>
          <w:color w:val="231F20"/>
        </w:rPr>
        <w:t>reports</w:t>
      </w:r>
      <w:r>
        <w:rPr>
          <w:color w:val="231F20"/>
          <w:spacing w:val="-6"/>
        </w:rPr>
        <w:t> </w:t>
      </w:r>
      <w:r>
        <w:rPr>
          <w:color w:val="231F20"/>
        </w:rPr>
        <w:t>and</w:t>
      </w:r>
      <w:r>
        <w:rPr>
          <w:color w:val="231F20"/>
          <w:spacing w:val="-6"/>
        </w:rPr>
        <w:t> </w:t>
      </w:r>
      <w:r>
        <w:rPr>
          <w:color w:val="231F20"/>
        </w:rPr>
        <w:t>during</w:t>
      </w:r>
      <w:r>
        <w:rPr>
          <w:color w:val="231F20"/>
          <w:spacing w:val="-6"/>
        </w:rPr>
        <w:t> </w:t>
      </w:r>
      <w:r>
        <w:rPr>
          <w:color w:val="231F20"/>
        </w:rPr>
        <w:t>this</w:t>
      </w:r>
      <w:r>
        <w:rPr>
          <w:color w:val="231F20"/>
        </w:rPr>
        <w:t> analysis.</w:t>
      </w:r>
      <w:r>
        <w:rPr>
          <w:color w:val="231F20"/>
          <w:spacing w:val="-4"/>
        </w:rPr>
        <w:t> </w:t>
      </w:r>
      <w:r>
        <w:rPr>
          <w:color w:val="231F20"/>
        </w:rPr>
        <w:t>This</w:t>
      </w:r>
      <w:r>
        <w:rPr>
          <w:color w:val="231F20"/>
          <w:spacing w:val="-3"/>
        </w:rPr>
        <w:t> </w:t>
      </w:r>
      <w:r>
        <w:rPr>
          <w:color w:val="231F20"/>
          <w:spacing w:val="-1"/>
        </w:rPr>
        <w:t>is</w:t>
      </w:r>
      <w:r>
        <w:rPr>
          <w:color w:val="231F20"/>
          <w:spacing w:val="-3"/>
        </w:rPr>
        <w:t> </w:t>
      </w:r>
      <w:r>
        <w:rPr>
          <w:color w:val="231F20"/>
        </w:rPr>
        <w:t>expanded</w:t>
      </w:r>
      <w:r>
        <w:rPr>
          <w:color w:val="231F20"/>
          <w:spacing w:val="-3"/>
        </w:rPr>
        <w:t> </w:t>
      </w:r>
      <w:r>
        <w:rPr>
          <w:color w:val="231F20"/>
        </w:rPr>
        <w:t>upon</w:t>
      </w:r>
      <w:r>
        <w:rPr>
          <w:color w:val="231F20"/>
          <w:spacing w:val="-3"/>
        </w:rPr>
        <w:t> </w:t>
      </w:r>
      <w:r>
        <w:rPr>
          <w:color w:val="231F20"/>
          <w:spacing w:val="-1"/>
        </w:rPr>
        <w:t>in</w:t>
      </w:r>
      <w:r>
        <w:rPr>
          <w:color w:val="231F20"/>
          <w:spacing w:val="-2"/>
        </w:rPr>
        <w:t> </w:t>
      </w:r>
      <w:r>
        <w:rPr>
          <w:color w:val="231F20"/>
        </w:rPr>
        <w:t>the</w:t>
      </w:r>
      <w:r>
        <w:rPr>
          <w:color w:val="231F20"/>
          <w:spacing w:val="-4"/>
        </w:rPr>
        <w:t> </w:t>
      </w:r>
      <w:r>
        <w:rPr>
          <w:color w:val="231F20"/>
          <w:spacing w:val="-1"/>
        </w:rPr>
        <w:t>section</w:t>
      </w:r>
      <w:r>
        <w:rPr>
          <w:color w:val="231F20"/>
          <w:spacing w:val="22"/>
        </w:rPr>
        <w:t> </w:t>
      </w:r>
      <w:r>
        <w:rPr>
          <w:color w:val="231F20"/>
        </w:rPr>
        <w:t>on</w:t>
      </w:r>
      <w:r>
        <w:rPr>
          <w:color w:val="231F20"/>
          <w:spacing w:val="-2"/>
        </w:rPr>
        <w:t> </w:t>
      </w:r>
      <w:r>
        <w:rPr>
          <w:color w:val="231F20"/>
        </w:rPr>
        <w:t>ABSTUDY</w:t>
      </w:r>
      <w:r>
        <w:rPr>
          <w:color w:val="231F20"/>
          <w:spacing w:val="-3"/>
        </w:rPr>
        <w:t> </w:t>
      </w:r>
      <w:r>
        <w:rPr>
          <w:color w:val="231F20"/>
          <w:spacing w:val="-1"/>
        </w:rPr>
        <w:t>in</w:t>
      </w:r>
      <w:r>
        <w:rPr>
          <w:color w:val="231F20"/>
          <w:spacing w:val="-2"/>
        </w:rPr>
        <w:t> Part</w:t>
      </w:r>
      <w:r>
        <w:rPr>
          <w:color w:val="231F20"/>
          <w:spacing w:val="-3"/>
        </w:rPr>
        <w:t> </w:t>
      </w:r>
      <w:r>
        <w:rPr>
          <w:color w:val="231F20"/>
          <w:spacing w:val="-1"/>
        </w:rPr>
        <w:t>10 </w:t>
      </w:r>
      <w:r>
        <w:rPr>
          <w:color w:val="231F20"/>
        </w:rPr>
        <w:t>of</w:t>
      </w:r>
      <w:r>
        <w:rPr>
          <w:color w:val="231F20"/>
          <w:spacing w:val="-2"/>
        </w:rPr>
        <w:t> </w:t>
      </w:r>
      <w:r>
        <w:rPr>
          <w:color w:val="231F20"/>
        </w:rPr>
        <w:t>this</w:t>
      </w:r>
      <w:r>
        <w:rPr>
          <w:color w:val="231F20"/>
          <w:spacing w:val="-3"/>
        </w:rPr>
        <w:t> </w:t>
      </w:r>
      <w:r>
        <w:rPr>
          <w:color w:val="231F20"/>
        </w:rPr>
        <w:t>report.</w:t>
      </w:r>
      <w:r>
        <w:rPr/>
      </w:r>
    </w:p>
    <w:p>
      <w:pPr>
        <w:pStyle w:val="BodyText"/>
        <w:spacing w:line="258" w:lineRule="exact" w:before="97"/>
        <w:ind w:left="100" w:right="0"/>
        <w:jc w:val="left"/>
      </w:pPr>
      <w:r>
        <w:rPr>
          <w:color w:val="231F20"/>
          <w:spacing w:val="-1"/>
        </w:rPr>
        <w:t>Boarding</w:t>
      </w:r>
      <w:r>
        <w:rPr>
          <w:color w:val="231F20"/>
          <w:spacing w:val="-8"/>
        </w:rPr>
        <w:t> </w:t>
      </w:r>
      <w:r>
        <w:rPr>
          <w:color w:val="231F20"/>
        </w:rPr>
        <w:t>providers</w:t>
      </w:r>
      <w:r>
        <w:rPr>
          <w:color w:val="231F20"/>
          <w:spacing w:val="-9"/>
        </w:rPr>
        <w:t> </w:t>
      </w:r>
      <w:r>
        <w:rPr>
          <w:color w:val="231F20"/>
        </w:rPr>
        <w:t>raised</w:t>
      </w:r>
      <w:r>
        <w:rPr>
          <w:color w:val="231F20"/>
          <w:spacing w:val="-8"/>
        </w:rPr>
        <w:t> </w:t>
      </w:r>
      <w:r>
        <w:rPr>
          <w:color w:val="231F20"/>
        </w:rPr>
        <w:t>concerns</w:t>
      </w:r>
      <w:r>
        <w:rPr>
          <w:color w:val="231F20"/>
          <w:spacing w:val="-9"/>
        </w:rPr>
        <w:t> </w:t>
      </w:r>
      <w:r>
        <w:rPr>
          <w:color w:val="231F20"/>
        </w:rPr>
        <w:t>that</w:t>
      </w:r>
      <w:r>
        <w:rPr>
          <w:color w:val="231F20"/>
          <w:spacing w:val="-8"/>
        </w:rPr>
        <w:t> </w:t>
      </w:r>
      <w:r>
        <w:rPr>
          <w:color w:val="231F20"/>
          <w:spacing w:val="-1"/>
        </w:rPr>
        <w:t>many</w:t>
      </w:r>
      <w:r>
        <w:rPr/>
      </w:r>
    </w:p>
    <w:p>
      <w:pPr>
        <w:pStyle w:val="BodyText"/>
        <w:spacing w:line="250" w:lineRule="exact" w:before="8"/>
        <w:ind w:left="100" w:right="570"/>
        <w:jc w:val="both"/>
      </w:pPr>
      <w:r>
        <w:rPr>
          <w:rFonts w:ascii="Segoe UI"/>
          <w:color w:val="231F20"/>
        </w:rPr>
        <w:t>of the issues identified regarding ABSTUDY </w:t>
      </w:r>
      <w:r>
        <w:rPr>
          <w:color w:val="231F20"/>
          <w:spacing w:val="-1"/>
        </w:rPr>
        <w:t>in</w:t>
      </w:r>
      <w:r>
        <w:rPr>
          <w:color w:val="231F20"/>
          <w:spacing w:val="-5"/>
        </w:rPr>
        <w:t> </w:t>
      </w:r>
      <w:r>
        <w:rPr>
          <w:color w:val="231F20"/>
        </w:rPr>
        <w:t>previous</w:t>
      </w:r>
      <w:r>
        <w:rPr>
          <w:color w:val="231F20"/>
          <w:spacing w:val="-5"/>
        </w:rPr>
        <w:t> </w:t>
      </w:r>
      <w:r>
        <w:rPr>
          <w:color w:val="231F20"/>
        </w:rPr>
        <w:t>reviews</w:t>
      </w:r>
      <w:r>
        <w:rPr>
          <w:color w:val="231F20"/>
          <w:spacing w:val="-5"/>
        </w:rPr>
        <w:t> </w:t>
      </w:r>
      <w:r>
        <w:rPr>
          <w:color w:val="231F20"/>
        </w:rPr>
        <w:t>and</w:t>
      </w:r>
      <w:r>
        <w:rPr>
          <w:color w:val="231F20"/>
          <w:spacing w:val="-5"/>
        </w:rPr>
        <w:t> </w:t>
      </w:r>
      <w:r>
        <w:rPr>
          <w:color w:val="231F20"/>
        </w:rPr>
        <w:t>reports</w:t>
      </w:r>
      <w:r>
        <w:rPr>
          <w:color w:val="231F20"/>
          <w:spacing w:val="-5"/>
        </w:rPr>
        <w:t> </w:t>
      </w:r>
      <w:r>
        <w:rPr>
          <w:color w:val="231F20"/>
          <w:spacing w:val="-1"/>
        </w:rPr>
        <w:t>still</w:t>
      </w:r>
      <w:r>
        <w:rPr>
          <w:color w:val="231F20"/>
          <w:spacing w:val="-4"/>
        </w:rPr>
        <w:t> </w:t>
      </w:r>
      <w:r>
        <w:rPr>
          <w:color w:val="231F20"/>
        </w:rPr>
        <w:t>remain</w:t>
      </w:r>
      <w:r>
        <w:rPr>
          <w:color w:val="231F20"/>
          <w:spacing w:val="22"/>
          <w:w w:val="99"/>
        </w:rPr>
        <w:t> </w:t>
      </w:r>
      <w:r>
        <w:rPr>
          <w:color w:val="231F20"/>
        </w:rPr>
        <w:t>unresolved</w:t>
      </w:r>
      <w:r>
        <w:rPr>
          <w:color w:val="231F20"/>
          <w:spacing w:val="-6"/>
        </w:rPr>
        <w:t> </w:t>
      </w:r>
      <w:r>
        <w:rPr>
          <w:color w:val="231F20"/>
        </w:rPr>
        <w:t>and</w:t>
      </w:r>
      <w:r>
        <w:rPr>
          <w:color w:val="231F20"/>
          <w:spacing w:val="-6"/>
        </w:rPr>
        <w:t> </w:t>
      </w:r>
      <w:r>
        <w:rPr>
          <w:color w:val="231F20"/>
        </w:rPr>
        <w:t>this</w:t>
      </w:r>
      <w:r>
        <w:rPr>
          <w:color w:val="231F20"/>
          <w:spacing w:val="-5"/>
        </w:rPr>
        <w:t> </w:t>
      </w:r>
      <w:r>
        <w:rPr>
          <w:color w:val="231F20"/>
          <w:spacing w:val="-1"/>
        </w:rPr>
        <w:t>is</w:t>
      </w:r>
      <w:r>
        <w:rPr>
          <w:color w:val="231F20"/>
          <w:spacing w:val="-6"/>
        </w:rPr>
        <w:t> </w:t>
      </w:r>
      <w:r>
        <w:rPr>
          <w:color w:val="231F20"/>
          <w:spacing w:val="-1"/>
        </w:rPr>
        <w:t>impacting</w:t>
      </w:r>
      <w:r>
        <w:rPr>
          <w:color w:val="231F20"/>
          <w:spacing w:val="-5"/>
        </w:rPr>
        <w:t> </w:t>
      </w:r>
      <w:r>
        <w:rPr>
          <w:color w:val="231F20"/>
        </w:rPr>
        <w:t>on</w:t>
      </w:r>
      <w:r>
        <w:rPr>
          <w:color w:val="231F20"/>
          <w:spacing w:val="-5"/>
        </w:rPr>
        <w:t> </w:t>
      </w:r>
      <w:r>
        <w:rPr>
          <w:color w:val="231F20"/>
        </w:rPr>
        <w:t>their</w:t>
      </w:r>
      <w:r>
        <w:rPr/>
      </w:r>
    </w:p>
    <w:p>
      <w:pPr>
        <w:pStyle w:val="BodyText"/>
        <w:spacing w:line="250" w:lineRule="exact"/>
        <w:ind w:left="100" w:right="243"/>
        <w:jc w:val="left"/>
      </w:pPr>
      <w:r>
        <w:rPr>
          <w:color w:val="231F20"/>
        </w:rPr>
        <w:t>operations,</w:t>
      </w:r>
      <w:r>
        <w:rPr>
          <w:color w:val="231F20"/>
          <w:spacing w:val="-4"/>
        </w:rPr>
        <w:t> </w:t>
      </w:r>
      <w:r>
        <w:rPr>
          <w:color w:val="231F20"/>
        </w:rPr>
        <w:t>and</w:t>
      </w:r>
      <w:r>
        <w:rPr>
          <w:color w:val="231F20"/>
          <w:spacing w:val="-4"/>
        </w:rPr>
        <w:t> </w:t>
      </w:r>
      <w:r>
        <w:rPr>
          <w:color w:val="231F20"/>
          <w:spacing w:val="-1"/>
        </w:rPr>
        <w:t>in</w:t>
      </w:r>
      <w:r>
        <w:rPr>
          <w:color w:val="231F20"/>
          <w:spacing w:val="-2"/>
        </w:rPr>
        <w:t> </w:t>
      </w:r>
      <w:r>
        <w:rPr>
          <w:color w:val="231F20"/>
          <w:spacing w:val="-1"/>
        </w:rPr>
        <w:t>some</w:t>
      </w:r>
      <w:r>
        <w:rPr>
          <w:color w:val="231F20"/>
          <w:spacing w:val="-3"/>
        </w:rPr>
        <w:t> </w:t>
      </w:r>
      <w:r>
        <w:rPr>
          <w:color w:val="231F20"/>
        </w:rPr>
        <w:t>cases</w:t>
      </w:r>
      <w:r>
        <w:rPr>
          <w:color w:val="231F20"/>
          <w:spacing w:val="-4"/>
        </w:rPr>
        <w:t> </w:t>
      </w:r>
      <w:r>
        <w:rPr>
          <w:color w:val="231F20"/>
        </w:rPr>
        <w:t>on</w:t>
      </w:r>
      <w:r>
        <w:rPr>
          <w:color w:val="231F20"/>
          <w:spacing w:val="-2"/>
        </w:rPr>
        <w:t> </w:t>
      </w:r>
      <w:r>
        <w:rPr>
          <w:color w:val="231F20"/>
        </w:rPr>
        <w:t>the</w:t>
      </w:r>
      <w:r>
        <w:rPr>
          <w:color w:val="231F20"/>
          <w:spacing w:val="-4"/>
        </w:rPr>
        <w:t> </w:t>
      </w:r>
      <w:r>
        <w:rPr>
          <w:color w:val="231F20"/>
        </w:rPr>
        <w:t>viability</w:t>
      </w:r>
      <w:r>
        <w:rPr>
          <w:color w:val="231F20"/>
          <w:spacing w:val="22"/>
        </w:rPr>
        <w:t> </w:t>
      </w:r>
      <w:r>
        <w:rPr>
          <w:color w:val="231F20"/>
        </w:rPr>
        <w:t>of</w:t>
      </w:r>
      <w:r>
        <w:rPr>
          <w:color w:val="231F20"/>
          <w:spacing w:val="-7"/>
        </w:rPr>
        <w:t> </w:t>
      </w:r>
      <w:r>
        <w:rPr>
          <w:color w:val="231F20"/>
        </w:rPr>
        <w:t>the</w:t>
      </w:r>
      <w:r>
        <w:rPr>
          <w:color w:val="231F20"/>
          <w:spacing w:val="-7"/>
        </w:rPr>
        <w:t> </w:t>
      </w:r>
      <w:r>
        <w:rPr>
          <w:color w:val="231F20"/>
        </w:rPr>
        <w:t>boarding</w:t>
      </w:r>
      <w:r>
        <w:rPr>
          <w:color w:val="231F20"/>
          <w:spacing w:val="-7"/>
        </w:rPr>
        <w:t> </w:t>
      </w:r>
      <w:r>
        <w:rPr>
          <w:color w:val="231F20"/>
        </w:rPr>
        <w:t>facility.</w:t>
      </w:r>
      <w:r>
        <w:rPr/>
      </w:r>
    </w:p>
    <w:p>
      <w:pPr>
        <w:pStyle w:val="Heading3"/>
        <w:spacing w:line="240" w:lineRule="auto"/>
        <w:ind w:left="100" w:right="0"/>
        <w:jc w:val="left"/>
      </w:pPr>
      <w:r>
        <w:rPr>
          <w:b/>
          <w:color w:val="00779B"/>
          <w:spacing w:val="-1"/>
        </w:rPr>
        <w:t>Boarding</w:t>
      </w:r>
      <w:r>
        <w:rPr>
          <w:b/>
          <w:color w:val="00779B"/>
          <w:spacing w:val="-9"/>
        </w:rPr>
        <w:t> </w:t>
      </w:r>
      <w:r>
        <w:rPr>
          <w:b/>
          <w:color w:val="00779B"/>
          <w:spacing w:val="-2"/>
        </w:rPr>
        <w:t>standard</w:t>
      </w:r>
      <w:r>
        <w:rPr/>
      </w:r>
    </w:p>
    <w:p>
      <w:pPr>
        <w:pStyle w:val="BodyText"/>
        <w:spacing w:line="250" w:lineRule="exact" w:before="64"/>
        <w:ind w:left="100" w:right="243"/>
        <w:jc w:val="left"/>
      </w:pPr>
      <w:r>
        <w:rPr>
          <w:color w:val="231F20"/>
        </w:rPr>
        <w:t>A</w:t>
      </w:r>
      <w:r>
        <w:rPr>
          <w:color w:val="231F20"/>
          <w:spacing w:val="-3"/>
        </w:rPr>
        <w:t> </w:t>
      </w:r>
      <w:r>
        <w:rPr>
          <w:color w:val="231F20"/>
          <w:spacing w:val="-1"/>
        </w:rPr>
        <w:t>self-assessed survey</w:t>
      </w:r>
      <w:r>
        <w:rPr>
          <w:color w:val="231F20"/>
          <w:spacing w:val="-3"/>
        </w:rPr>
        <w:t> </w:t>
      </w:r>
      <w:r>
        <w:rPr>
          <w:color w:val="231F20"/>
        </w:rPr>
        <w:t>of</w:t>
      </w:r>
      <w:r>
        <w:rPr>
          <w:color w:val="231F20"/>
          <w:spacing w:val="-2"/>
        </w:rPr>
        <w:t> </w:t>
      </w:r>
      <w:r>
        <w:rPr>
          <w:color w:val="231F20"/>
        </w:rPr>
        <w:t>compliance</w:t>
      </w:r>
      <w:r>
        <w:rPr>
          <w:color w:val="231F20"/>
          <w:spacing w:val="-3"/>
        </w:rPr>
        <w:t> </w:t>
      </w:r>
      <w:r>
        <w:rPr>
          <w:color w:val="231F20"/>
        </w:rPr>
        <w:t>with</w:t>
      </w:r>
      <w:r>
        <w:rPr>
          <w:color w:val="231F20"/>
          <w:spacing w:val="-3"/>
        </w:rPr>
        <w:t> </w:t>
      </w:r>
      <w:r>
        <w:rPr>
          <w:color w:val="231F20"/>
          <w:spacing w:val="-3"/>
        </w:rPr>
      </w:r>
      <w:r>
        <w:rPr>
          <w:color w:val="231F20"/>
        </w:rPr>
        <w:t>the</w:t>
      </w:r>
      <w:r>
        <w:rPr>
          <w:color w:val="231F20"/>
          <w:spacing w:val="22"/>
        </w:rPr>
        <w:t> </w:t>
      </w:r>
      <w:r>
        <w:rPr>
          <w:color w:val="231F20"/>
          <w:spacing w:val="-1"/>
        </w:rPr>
        <w:t>Boarding</w:t>
      </w:r>
      <w:r>
        <w:rPr>
          <w:color w:val="231F20"/>
          <w:spacing w:val="-6"/>
        </w:rPr>
        <w:t> </w:t>
      </w:r>
      <w:r>
        <w:rPr>
          <w:color w:val="231F20"/>
          <w:spacing w:val="-1"/>
        </w:rPr>
        <w:t>Standard</w:t>
      </w:r>
      <w:r>
        <w:rPr>
          <w:rFonts w:ascii="Segoe UI Semibold"/>
          <w:b/>
          <w:color w:val="231F20"/>
          <w:spacing w:val="-1"/>
          <w:position w:val="7"/>
          <w:sz w:val="11"/>
        </w:rPr>
        <w:t>22</w:t>
      </w:r>
      <w:r>
        <w:rPr>
          <w:rFonts w:ascii="Segoe UI Semibold"/>
          <w:b/>
          <w:color w:val="231F20"/>
          <w:spacing w:val="19"/>
          <w:position w:val="7"/>
          <w:sz w:val="11"/>
        </w:rPr>
        <w:t> </w:t>
      </w:r>
      <w:r>
        <w:rPr>
          <w:color w:val="231F20"/>
        </w:rPr>
        <w:t>revealed</w:t>
      </w:r>
      <w:r>
        <w:rPr>
          <w:color w:val="231F20"/>
          <w:spacing w:val="-6"/>
        </w:rPr>
        <w:t> </w:t>
      </w:r>
      <w:r>
        <w:rPr>
          <w:color w:val="231F20"/>
        </w:rPr>
        <w:t>that</w:t>
      </w:r>
      <w:r>
        <w:rPr>
          <w:color w:val="231F20"/>
          <w:spacing w:val="-7"/>
        </w:rPr>
        <w:t> </w:t>
      </w:r>
      <w:r>
        <w:rPr>
          <w:color w:val="231F20"/>
        </w:rPr>
        <w:t>the</w:t>
      </w:r>
      <w:r>
        <w:rPr>
          <w:color w:val="231F20"/>
          <w:spacing w:val="23"/>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r>
    </w:p>
    <w:p>
      <w:pPr>
        <w:pStyle w:val="BodyText"/>
        <w:spacing w:line="250" w:lineRule="exact"/>
        <w:ind w:left="100" w:right="132"/>
        <w:jc w:val="left"/>
      </w:pPr>
      <w:r>
        <w:rPr>
          <w:color w:val="231F20"/>
        </w:rPr>
        <w:t>providers</w:t>
      </w:r>
      <w:r>
        <w:rPr>
          <w:color w:val="231F20"/>
          <w:spacing w:val="-5"/>
        </w:rPr>
        <w:t> </w:t>
      </w:r>
      <w:r>
        <w:rPr>
          <w:color w:val="231F20"/>
          <w:spacing w:val="-1"/>
        </w:rPr>
        <w:t>included</w:t>
      </w:r>
      <w:r>
        <w:rPr>
          <w:color w:val="231F20"/>
          <w:spacing w:val="-4"/>
        </w:rPr>
        <w:t> </w:t>
      </w:r>
      <w:r>
        <w:rPr>
          <w:color w:val="231F20"/>
          <w:spacing w:val="-1"/>
        </w:rPr>
        <w:t>in</w:t>
      </w:r>
      <w:r>
        <w:rPr>
          <w:color w:val="231F20"/>
          <w:spacing w:val="-4"/>
        </w:rPr>
        <w:t> </w:t>
      </w:r>
      <w:r>
        <w:rPr>
          <w:color w:val="231F20"/>
        </w:rPr>
        <w:t>the</w:t>
      </w:r>
      <w:r>
        <w:rPr>
          <w:color w:val="231F20"/>
          <w:spacing w:val="-5"/>
        </w:rPr>
        <w:t> </w:t>
      </w:r>
      <w:r>
        <w:rPr>
          <w:color w:val="231F20"/>
        </w:rPr>
        <w:t>analysis</w:t>
      </w:r>
      <w:r>
        <w:rPr>
          <w:color w:val="231F20"/>
          <w:spacing w:val="-4"/>
        </w:rPr>
        <w:t> </w:t>
      </w:r>
      <w:r>
        <w:rPr>
          <w:color w:val="231F20"/>
        </w:rPr>
        <w:t>for</w:t>
      </w:r>
      <w:r>
        <w:rPr>
          <w:color w:val="231F20"/>
          <w:spacing w:val="-4"/>
        </w:rPr>
        <w:t> </w:t>
      </w:r>
      <w:r>
        <w:rPr>
          <w:color w:val="231F20"/>
        </w:rPr>
        <w:t>this</w:t>
      </w:r>
      <w:r>
        <w:rPr>
          <w:color w:val="231F20"/>
          <w:spacing w:val="-5"/>
        </w:rPr>
        <w:t> </w:t>
      </w:r>
      <w:r>
        <w:rPr>
          <w:color w:val="231F20"/>
        </w:rPr>
        <w:t>report</w:t>
      </w:r>
      <w:r>
        <w:rPr>
          <w:color w:val="231F20"/>
          <w:spacing w:val="23"/>
          <w:w w:val="99"/>
        </w:rPr>
        <w:t> </w:t>
      </w:r>
      <w:r>
        <w:rPr>
          <w:color w:val="231F20"/>
        </w:rPr>
        <w:t>complied</w:t>
      </w:r>
      <w:r>
        <w:rPr>
          <w:color w:val="231F20"/>
          <w:spacing w:val="-4"/>
        </w:rPr>
        <w:t> </w:t>
      </w:r>
      <w:r>
        <w:rPr>
          <w:color w:val="231F20"/>
        </w:rPr>
        <w:t>with</w:t>
      </w:r>
      <w:r>
        <w:rPr>
          <w:color w:val="231F20"/>
          <w:spacing w:val="-4"/>
        </w:rPr>
        <w:t> </w:t>
      </w:r>
      <w:r>
        <w:rPr>
          <w:color w:val="231F20"/>
        </w:rPr>
        <w:t>an</w:t>
      </w:r>
      <w:r>
        <w:rPr>
          <w:color w:val="231F20"/>
          <w:spacing w:val="-4"/>
        </w:rPr>
        <w:t> </w:t>
      </w:r>
      <w:r>
        <w:rPr>
          <w:color w:val="231F20"/>
        </w:rPr>
        <w:t>average</w:t>
      </w:r>
      <w:r>
        <w:rPr>
          <w:color w:val="231F20"/>
          <w:spacing w:val="-4"/>
        </w:rPr>
        <w:t> </w:t>
      </w:r>
      <w:r>
        <w:rPr>
          <w:color w:val="231F20"/>
        </w:rPr>
        <w:t>of</w:t>
      </w:r>
      <w:r>
        <w:rPr>
          <w:color w:val="231F20"/>
          <w:spacing w:val="-3"/>
        </w:rPr>
        <w:t> </w:t>
      </w:r>
      <w:r>
        <w:rPr>
          <w:color w:val="231F20"/>
          <w:spacing w:val="-1"/>
        </w:rPr>
        <w:t>92</w:t>
      </w:r>
      <w:r>
        <w:rPr>
          <w:color w:val="231F20"/>
          <w:spacing w:val="-3"/>
        </w:rPr>
        <w:t> </w:t>
      </w:r>
      <w:r>
        <w:rPr>
          <w:color w:val="231F20"/>
        </w:rPr>
        <w:t>per</w:t>
      </w:r>
      <w:r>
        <w:rPr>
          <w:color w:val="231F20"/>
          <w:spacing w:val="-3"/>
        </w:rPr>
        <w:t> </w:t>
      </w:r>
      <w:r>
        <w:rPr>
          <w:color w:val="231F20"/>
        </w:rPr>
        <w:t>cent</w:t>
      </w:r>
      <w:r>
        <w:rPr>
          <w:color w:val="231F20"/>
          <w:spacing w:val="-4"/>
        </w:rPr>
        <w:t> </w:t>
      </w:r>
      <w:r>
        <w:rPr>
          <w:color w:val="231F20"/>
        </w:rPr>
        <w:t>of</w:t>
      </w:r>
      <w:r>
        <w:rPr>
          <w:color w:val="231F20"/>
          <w:spacing w:val="-2"/>
        </w:rPr>
        <w:t> </w:t>
      </w:r>
      <w:r>
        <w:rPr>
          <w:color w:val="231F20"/>
        </w:rPr>
        <w:t>the</w:t>
      </w:r>
      <w:r>
        <w:rPr>
          <w:color w:val="231F20"/>
          <w:spacing w:val="21"/>
          <w:w w:val="99"/>
        </w:rPr>
        <w:t> </w:t>
      </w:r>
      <w:r>
        <w:rPr>
          <w:color w:val="231F20"/>
          <w:spacing w:val="-1"/>
        </w:rPr>
        <w:t>standards</w:t>
      </w:r>
      <w:r>
        <w:rPr>
          <w:color w:val="231F20"/>
          <w:spacing w:val="-4"/>
        </w:rPr>
        <w:t> </w:t>
      </w:r>
      <w:r>
        <w:rPr>
          <w:color w:val="231F20"/>
          <w:spacing w:val="-1"/>
        </w:rPr>
        <w:t>in</w:t>
      </w:r>
      <w:r>
        <w:rPr>
          <w:color w:val="231F20"/>
          <w:spacing w:val="-5"/>
        </w:rPr>
        <w:t> </w:t>
      </w:r>
      <w:r>
        <w:rPr>
          <w:color w:val="231F20"/>
        </w:rPr>
        <w:t>the</w:t>
      </w:r>
      <w:r>
        <w:rPr>
          <w:color w:val="231F20"/>
          <w:spacing w:val="-5"/>
        </w:rPr>
        <w:t> </w:t>
      </w:r>
      <w:r>
        <w:rPr>
          <w:color w:val="231F20"/>
          <w:spacing w:val="-1"/>
        </w:rPr>
        <w:t>Boarding</w:t>
      </w:r>
      <w:r>
        <w:rPr>
          <w:color w:val="231F20"/>
          <w:spacing w:val="-5"/>
        </w:rPr>
        <w:t> </w:t>
      </w:r>
      <w:r>
        <w:rPr>
          <w:color w:val="231F20"/>
          <w:spacing w:val="-1"/>
        </w:rPr>
        <w:t>Standard</w:t>
      </w:r>
      <w:r>
        <w:rPr>
          <w:rFonts w:ascii="Segoe UI Semibold"/>
          <w:b/>
          <w:color w:val="231F20"/>
          <w:spacing w:val="-1"/>
          <w:position w:val="7"/>
          <w:sz w:val="11"/>
        </w:rPr>
        <w:t>23</w:t>
      </w:r>
      <w:r>
        <w:rPr>
          <w:color w:val="231F20"/>
          <w:spacing w:val="-1"/>
        </w:rPr>
        <w:t>.</w:t>
      </w:r>
      <w:r>
        <w:rPr>
          <w:color w:val="231F20"/>
          <w:spacing w:val="-5"/>
        </w:rPr>
        <w:t> </w:t>
      </w:r>
      <w:r>
        <w:rPr>
          <w:color w:val="231F20"/>
        </w:rPr>
        <w:t>There</w:t>
      </w:r>
      <w:r>
        <w:rPr>
          <w:color w:val="231F20"/>
          <w:spacing w:val="-5"/>
        </w:rPr>
        <w:t> </w:t>
      </w:r>
      <w:r>
        <w:rPr>
          <w:color w:val="231F20"/>
          <w:spacing w:val="-5"/>
        </w:rPr>
      </w:r>
      <w:r>
        <w:rPr>
          <w:color w:val="231F20"/>
        </w:rPr>
        <w:t>was</w:t>
      </w:r>
      <w:r>
        <w:rPr>
          <w:color w:val="231F20"/>
          <w:spacing w:val="25"/>
        </w:rPr>
        <w:t> </w:t>
      </w:r>
      <w:r>
        <w:rPr>
          <w:color w:val="231F20"/>
        </w:rPr>
        <w:t>an</w:t>
      </w:r>
      <w:r>
        <w:rPr>
          <w:color w:val="231F20"/>
          <w:spacing w:val="-5"/>
        </w:rPr>
        <w:t> </w:t>
      </w:r>
      <w:r>
        <w:rPr>
          <w:color w:val="231F20"/>
          <w:spacing w:val="-1"/>
        </w:rPr>
        <w:t>89</w:t>
      </w:r>
      <w:r>
        <w:rPr>
          <w:color w:val="231F20"/>
          <w:spacing w:val="-4"/>
        </w:rPr>
        <w:t> </w:t>
      </w:r>
      <w:r>
        <w:rPr>
          <w:color w:val="231F20"/>
        </w:rPr>
        <w:t>per</w:t>
      </w:r>
      <w:r>
        <w:rPr>
          <w:color w:val="231F20"/>
          <w:spacing w:val="-4"/>
        </w:rPr>
        <w:t> </w:t>
      </w:r>
      <w:r>
        <w:rPr>
          <w:color w:val="231F20"/>
        </w:rPr>
        <w:t>cent</w:t>
      </w:r>
      <w:r>
        <w:rPr>
          <w:color w:val="231F20"/>
          <w:spacing w:val="-5"/>
        </w:rPr>
        <w:t> </w:t>
      </w:r>
      <w:r>
        <w:rPr>
          <w:color w:val="231F20"/>
        </w:rPr>
        <w:t>response</w:t>
      </w:r>
      <w:r>
        <w:rPr>
          <w:color w:val="231F20"/>
          <w:spacing w:val="-5"/>
        </w:rPr>
        <w:t> </w:t>
      </w:r>
      <w:r>
        <w:rPr>
          <w:color w:val="231F20"/>
        </w:rPr>
        <w:t>rate</w:t>
      </w:r>
      <w:r>
        <w:rPr>
          <w:color w:val="231F20"/>
          <w:spacing w:val="-5"/>
        </w:rPr>
        <w:t> </w:t>
      </w:r>
      <w:r>
        <w:rPr>
          <w:color w:val="231F20"/>
        </w:rPr>
        <w:t>to</w:t>
      </w:r>
      <w:r>
        <w:rPr>
          <w:color w:val="231F20"/>
          <w:spacing w:val="-4"/>
        </w:rPr>
        <w:t> </w:t>
      </w:r>
      <w:r>
        <w:rPr>
          <w:color w:val="231F20"/>
        </w:rPr>
        <w:t>the</w:t>
      </w:r>
      <w:r>
        <w:rPr>
          <w:color w:val="231F20"/>
          <w:spacing w:val="-5"/>
        </w:rPr>
        <w:t> </w:t>
      </w:r>
      <w:r>
        <w:rPr>
          <w:color w:val="231F20"/>
          <w:spacing w:val="-1"/>
        </w:rPr>
        <w:t>survey.</w:t>
      </w:r>
      <w:r>
        <w:rPr>
          <w:color w:val="231F20"/>
          <w:spacing w:val="21"/>
          <w:w w:val="99"/>
        </w:rPr>
        <w:t> </w:t>
      </w:r>
      <w:r>
        <w:rPr>
          <w:color w:val="231F20"/>
          <w:spacing w:val="-1"/>
        </w:rPr>
        <w:t>Consultations</w:t>
      </w:r>
      <w:r>
        <w:rPr>
          <w:color w:val="231F20"/>
          <w:spacing w:val="-5"/>
        </w:rPr>
        <w:t> </w:t>
      </w:r>
      <w:r>
        <w:rPr>
          <w:color w:val="231F20"/>
        </w:rPr>
        <w:t>during</w:t>
      </w:r>
      <w:r>
        <w:rPr>
          <w:color w:val="231F20"/>
          <w:spacing w:val="-5"/>
        </w:rPr>
        <w:t> </w:t>
      </w:r>
      <w:r>
        <w:rPr>
          <w:color w:val="231F20"/>
        </w:rPr>
        <w:t>the</w:t>
      </w:r>
      <w:r>
        <w:rPr>
          <w:color w:val="231F20"/>
          <w:spacing w:val="-5"/>
        </w:rPr>
        <w:t> </w:t>
      </w:r>
      <w:r>
        <w:rPr>
          <w:color w:val="231F20"/>
        </w:rPr>
        <w:t>analysis</w:t>
      </w:r>
      <w:r>
        <w:rPr>
          <w:color w:val="231F20"/>
          <w:spacing w:val="-5"/>
        </w:rPr>
        <w:t> </w:t>
      </w:r>
      <w:r>
        <w:rPr>
          <w:color w:val="231F20"/>
          <w:spacing w:val="-1"/>
        </w:rPr>
        <w:t>indicated</w:t>
      </w:r>
      <w:r>
        <w:rPr>
          <w:color w:val="231F20"/>
          <w:spacing w:val="-4"/>
        </w:rPr>
        <w:t> </w:t>
      </w:r>
      <w:r>
        <w:rPr>
          <w:color w:val="231F20"/>
        </w:rPr>
        <w:t>that</w:t>
      </w:r>
      <w:r>
        <w:rPr>
          <w:color w:val="231F20"/>
          <w:spacing w:val="23"/>
          <w:w w:val="99"/>
        </w:rPr>
        <w:t> </w:t>
      </w:r>
      <w:r>
        <w:rPr>
          <w:color w:val="231F20"/>
        </w:rPr>
        <w:t>boarding</w:t>
      </w:r>
      <w:r>
        <w:rPr>
          <w:color w:val="231F20"/>
          <w:spacing w:val="-8"/>
        </w:rPr>
        <w:t> </w:t>
      </w:r>
      <w:r>
        <w:rPr>
          <w:color w:val="231F20"/>
        </w:rPr>
        <w:t>providers</w:t>
      </w:r>
      <w:r>
        <w:rPr>
          <w:color w:val="231F20"/>
          <w:spacing w:val="-7"/>
        </w:rPr>
        <w:t> </w:t>
      </w:r>
      <w:r>
        <w:rPr>
          <w:color w:val="231F20"/>
        </w:rPr>
        <w:t>had</w:t>
      </w:r>
      <w:r>
        <w:rPr>
          <w:color w:val="231F20"/>
          <w:spacing w:val="-7"/>
        </w:rPr>
        <w:t> </w:t>
      </w:r>
      <w:r>
        <w:rPr>
          <w:color w:val="231F20"/>
          <w:spacing w:val="-1"/>
        </w:rPr>
        <w:t>strong</w:t>
      </w:r>
      <w:r>
        <w:rPr>
          <w:color w:val="231F20"/>
          <w:spacing w:val="-7"/>
        </w:rPr>
        <w:t> </w:t>
      </w:r>
      <w:r>
        <w:rPr>
          <w:color w:val="231F20"/>
        </w:rPr>
        <w:t>awareness</w:t>
      </w:r>
      <w:r>
        <w:rPr>
          <w:color w:val="231F20"/>
          <w:spacing w:val="-7"/>
        </w:rPr>
        <w:t> </w:t>
      </w:r>
      <w:r>
        <w:rPr>
          <w:color w:val="231F20"/>
        </w:rPr>
        <w:t>of</w:t>
      </w:r>
      <w:r>
        <w:rPr>
          <w:color w:val="231F20"/>
          <w:spacing w:val="-7"/>
        </w:rPr>
        <w:t> </w:t>
      </w:r>
      <w:r>
        <w:rPr>
          <w:color w:val="231F20"/>
          <w:spacing w:val="-7"/>
        </w:rPr>
      </w:r>
      <w:r>
        <w:rPr>
          <w:color w:val="231F20"/>
        </w:rPr>
        <w:t>the</w:t>
      </w:r>
      <w:r>
        <w:rPr>
          <w:color w:val="231F20"/>
          <w:spacing w:val="21"/>
        </w:rPr>
        <w:t> </w:t>
      </w:r>
      <w:r>
        <w:rPr>
          <w:color w:val="231F20"/>
          <w:spacing w:val="-1"/>
        </w:rPr>
        <w:t>standard</w:t>
      </w:r>
      <w:r>
        <w:rPr>
          <w:color w:val="231F20"/>
          <w:spacing w:val="-4"/>
        </w:rPr>
        <w:t> </w:t>
      </w:r>
      <w:r>
        <w:rPr>
          <w:color w:val="231F20"/>
        </w:rPr>
        <w:t>and</w:t>
      </w:r>
      <w:r>
        <w:rPr>
          <w:color w:val="231F20"/>
          <w:spacing w:val="-5"/>
        </w:rPr>
        <w:t> </w:t>
      </w:r>
      <w:r>
        <w:rPr>
          <w:color w:val="231F20"/>
        </w:rPr>
        <w:t>that</w:t>
      </w:r>
      <w:r>
        <w:rPr>
          <w:color w:val="231F20"/>
          <w:spacing w:val="-5"/>
        </w:rPr>
        <w:t> </w:t>
      </w:r>
      <w:r>
        <w:rPr>
          <w:color w:val="231F20"/>
        </w:rPr>
        <w:t>the</w:t>
      </w:r>
      <w:r>
        <w:rPr>
          <w:color w:val="231F20"/>
          <w:spacing w:val="-5"/>
        </w:rPr>
        <w:t> </w:t>
      </w:r>
      <w:r>
        <w:rPr>
          <w:color w:val="231F20"/>
        </w:rPr>
        <w:t>peak</w:t>
      </w:r>
      <w:r>
        <w:rPr>
          <w:color w:val="231F20"/>
          <w:spacing w:val="-4"/>
        </w:rPr>
        <w:t> </w:t>
      </w:r>
      <w:r>
        <w:rPr>
          <w:color w:val="231F20"/>
        </w:rPr>
        <w:t>bodies,</w:t>
      </w:r>
      <w:r>
        <w:rPr>
          <w:color w:val="231F20"/>
          <w:spacing w:val="-5"/>
        </w:rPr>
        <w:t> </w:t>
      </w:r>
      <w:r>
        <w:rPr>
          <w:color w:val="231F20"/>
          <w:spacing w:val="-1"/>
        </w:rPr>
        <w:t>such</w:t>
      </w:r>
      <w:r>
        <w:rPr>
          <w:color w:val="231F20"/>
          <w:spacing w:val="-4"/>
        </w:rPr>
        <w:t> </w:t>
      </w:r>
      <w:r>
        <w:rPr>
          <w:color w:val="231F20"/>
        </w:rPr>
        <w:t>as</w:t>
      </w:r>
      <w:r>
        <w:rPr>
          <w:color w:val="231F20"/>
          <w:spacing w:val="23"/>
        </w:rPr>
        <w:t> </w:t>
      </w:r>
      <w:r>
        <w:rPr>
          <w:color w:val="231F20"/>
          <w:spacing w:val="-1"/>
        </w:rPr>
        <w:t>Indigenous</w:t>
      </w:r>
      <w:r>
        <w:rPr>
          <w:color w:val="231F20"/>
          <w:spacing w:val="-10"/>
        </w:rPr>
        <w:t> </w:t>
      </w:r>
      <w:r>
        <w:rPr>
          <w:color w:val="231F20"/>
        </w:rPr>
        <w:t>Education</w:t>
      </w:r>
      <w:r>
        <w:rPr>
          <w:color w:val="231F20"/>
          <w:spacing w:val="-10"/>
        </w:rPr>
        <w:t> </w:t>
      </w:r>
      <w:r>
        <w:rPr>
          <w:color w:val="231F20"/>
        </w:rPr>
        <w:t>and</w:t>
      </w:r>
      <w:r>
        <w:rPr>
          <w:color w:val="231F20"/>
          <w:spacing w:val="-11"/>
        </w:rPr>
        <w:t> </w:t>
      </w:r>
      <w:r>
        <w:rPr>
          <w:color w:val="231F20"/>
          <w:spacing w:val="-1"/>
        </w:rPr>
        <w:t>Boarding</w:t>
      </w:r>
      <w:r>
        <w:rPr>
          <w:color w:val="231F20"/>
          <w:spacing w:val="-9"/>
        </w:rPr>
        <w:t> </w:t>
      </w:r>
      <w:r>
        <w:rPr>
          <w:color w:val="231F20"/>
        </w:rPr>
        <w:t>Australia,</w:t>
      </w:r>
      <w:r>
        <w:rPr>
          <w:color w:val="231F20"/>
          <w:spacing w:val="23"/>
          <w:w w:val="99"/>
        </w:rPr>
        <w:t> </w:t>
      </w:r>
      <w:r>
        <w:rPr>
          <w:color w:val="231F20"/>
        </w:rPr>
        <w:t>had</w:t>
      </w:r>
      <w:r>
        <w:rPr>
          <w:color w:val="231F20"/>
          <w:spacing w:val="-8"/>
        </w:rPr>
        <w:t> </w:t>
      </w:r>
      <w:r>
        <w:rPr>
          <w:color w:val="231F20"/>
          <w:spacing w:val="-1"/>
        </w:rPr>
        <w:t>increased</w:t>
      </w:r>
      <w:r>
        <w:rPr>
          <w:color w:val="231F20"/>
          <w:spacing w:val="-7"/>
        </w:rPr>
        <w:t> </w:t>
      </w:r>
      <w:r>
        <w:rPr>
          <w:color w:val="231F20"/>
        </w:rPr>
        <w:t>compliance</w:t>
      </w:r>
      <w:r>
        <w:rPr>
          <w:color w:val="231F20"/>
          <w:spacing w:val="-8"/>
        </w:rPr>
        <w:t> </w:t>
      </w:r>
      <w:r>
        <w:rPr>
          <w:color w:val="231F20"/>
        </w:rPr>
        <w:t>through</w:t>
      </w:r>
      <w:r>
        <w:rPr>
          <w:color w:val="231F20"/>
          <w:spacing w:val="-8"/>
        </w:rPr>
        <w:t> </w:t>
      </w:r>
      <w:r>
        <w:rPr>
          <w:color w:val="231F20"/>
        </w:rPr>
        <w:t>awareness,</w:t>
      </w:r>
      <w:r>
        <w:rPr>
          <w:color w:val="231F20"/>
          <w:spacing w:val="22"/>
          <w:w w:val="99"/>
        </w:rPr>
        <w:t> </w:t>
      </w:r>
      <w:r>
        <w:rPr>
          <w:color w:val="231F20"/>
        </w:rPr>
        <w:t>training</w:t>
      </w:r>
      <w:r>
        <w:rPr>
          <w:color w:val="231F20"/>
          <w:spacing w:val="-7"/>
        </w:rPr>
        <w:t> </w:t>
      </w:r>
      <w:r>
        <w:rPr>
          <w:color w:val="231F20"/>
        </w:rPr>
        <w:t>and</w:t>
      </w:r>
      <w:r>
        <w:rPr>
          <w:color w:val="231F20"/>
          <w:spacing w:val="-7"/>
        </w:rPr>
        <w:t> </w:t>
      </w:r>
      <w:r>
        <w:rPr>
          <w:color w:val="231F20"/>
        </w:rPr>
        <w:t>compliance</w:t>
      </w:r>
      <w:r>
        <w:rPr>
          <w:color w:val="231F20"/>
          <w:spacing w:val="-7"/>
        </w:rPr>
        <w:t> </w:t>
      </w:r>
      <w:r>
        <w:rPr>
          <w:color w:val="231F20"/>
        </w:rPr>
        <w:t>reviews.</w:t>
      </w:r>
      <w:r>
        <w:rPr/>
      </w:r>
    </w:p>
    <w:p>
      <w:pPr>
        <w:pStyle w:val="BodyText"/>
        <w:spacing w:line="250" w:lineRule="exact" w:before="113"/>
        <w:ind w:left="100" w:right="247"/>
        <w:jc w:val="left"/>
      </w:pPr>
      <w:r>
        <w:rPr>
          <w:color w:val="231F20"/>
        </w:rPr>
        <w:t>A</w:t>
      </w:r>
      <w:r>
        <w:rPr>
          <w:color w:val="231F20"/>
          <w:spacing w:val="-4"/>
        </w:rPr>
        <w:t> </w:t>
      </w:r>
      <w:r>
        <w:rPr>
          <w:color w:val="231F20"/>
        </w:rPr>
        <w:t>number</w:t>
      </w:r>
      <w:r>
        <w:rPr>
          <w:color w:val="231F20"/>
          <w:spacing w:val="-5"/>
        </w:rPr>
        <w:t> </w:t>
      </w:r>
      <w:r>
        <w:rPr>
          <w:color w:val="231F20"/>
        </w:rPr>
        <w:t>of</w:t>
      </w:r>
      <w:r>
        <w:rPr>
          <w:color w:val="231F20"/>
          <w:spacing w:val="-4"/>
        </w:rPr>
        <w:t> </w:t>
      </w:r>
      <w:r>
        <w:rPr>
          <w:color w:val="231F20"/>
          <w:spacing w:val="-1"/>
        </w:rPr>
        <w:t>interviewees</w:t>
      </w:r>
      <w:r>
        <w:rPr>
          <w:color w:val="231F20"/>
          <w:spacing w:val="-4"/>
        </w:rPr>
        <w:t> </w:t>
      </w:r>
      <w:r>
        <w:rPr>
          <w:color w:val="231F20"/>
          <w:spacing w:val="-1"/>
        </w:rPr>
        <w:t>in</w:t>
      </w:r>
      <w:r>
        <w:rPr>
          <w:color w:val="231F20"/>
          <w:spacing w:val="-4"/>
        </w:rPr>
        <w:t> </w:t>
      </w:r>
      <w:r>
        <w:rPr>
          <w:color w:val="231F20"/>
        </w:rPr>
        <w:t>consultations</w:t>
      </w:r>
      <w:r>
        <w:rPr>
          <w:color w:val="231F20"/>
          <w:spacing w:val="23"/>
        </w:rPr>
        <w:t> </w:t>
      </w:r>
      <w:r>
        <w:rPr>
          <w:color w:val="231F20"/>
        </w:rPr>
        <w:t>conducted</w:t>
      </w:r>
      <w:r>
        <w:rPr>
          <w:color w:val="231F20"/>
          <w:spacing w:val="-8"/>
        </w:rPr>
        <w:t> </w:t>
      </w:r>
      <w:r>
        <w:rPr>
          <w:color w:val="231F20"/>
        </w:rPr>
        <w:t>during</w:t>
      </w:r>
      <w:r>
        <w:rPr>
          <w:color w:val="231F20"/>
          <w:spacing w:val="-7"/>
        </w:rPr>
        <w:t> </w:t>
      </w:r>
      <w:r>
        <w:rPr>
          <w:color w:val="231F20"/>
        </w:rPr>
        <w:t>the</w:t>
      </w:r>
      <w:r>
        <w:rPr>
          <w:color w:val="231F20"/>
          <w:spacing w:val="-7"/>
        </w:rPr>
        <w:t> </w:t>
      </w:r>
      <w:r>
        <w:rPr>
          <w:color w:val="231F20"/>
        </w:rPr>
        <w:t>analysis</w:t>
      </w:r>
      <w:r>
        <w:rPr>
          <w:color w:val="231F20"/>
          <w:spacing w:val="-7"/>
        </w:rPr>
        <w:t> </w:t>
      </w:r>
      <w:r>
        <w:rPr>
          <w:color w:val="231F20"/>
        </w:rPr>
        <w:t>highlighted</w:t>
      </w:r>
      <w:r>
        <w:rPr>
          <w:color w:val="231F20"/>
          <w:spacing w:val="-7"/>
        </w:rPr>
        <w:t> </w:t>
      </w:r>
      <w:r>
        <w:rPr>
          <w:color w:val="231F20"/>
        </w:rPr>
        <w:t>the</w:t>
      </w:r>
      <w:r>
        <w:rPr>
          <w:color w:val="231F20"/>
          <w:w w:val="99"/>
        </w:rPr>
        <w:t> </w:t>
      </w:r>
      <w:r>
        <w:rPr>
          <w:color w:val="231F20"/>
        </w:rPr>
        <w:t>need</w:t>
      </w:r>
      <w:r>
        <w:rPr>
          <w:color w:val="231F20"/>
          <w:spacing w:val="-6"/>
        </w:rPr>
        <w:t> </w:t>
      </w:r>
      <w:r>
        <w:rPr>
          <w:color w:val="231F20"/>
        </w:rPr>
        <w:t>for</w:t>
      </w:r>
      <w:r>
        <w:rPr>
          <w:color w:val="231F20"/>
          <w:spacing w:val="-5"/>
        </w:rPr>
        <w:t> </w:t>
      </w:r>
      <w:r>
        <w:rPr>
          <w:color w:val="231F20"/>
          <w:spacing w:val="-1"/>
        </w:rPr>
        <w:t>minimum</w:t>
      </w:r>
      <w:r>
        <w:rPr>
          <w:color w:val="231F20"/>
          <w:spacing w:val="-5"/>
        </w:rPr>
        <w:t> </w:t>
      </w:r>
      <w:r>
        <w:rPr>
          <w:color w:val="231F20"/>
          <w:spacing w:val="-1"/>
        </w:rPr>
        <w:t>standards</w:t>
      </w:r>
      <w:r>
        <w:rPr>
          <w:color w:val="231F20"/>
          <w:spacing w:val="-4"/>
        </w:rPr>
        <w:t> </w:t>
      </w:r>
      <w:r>
        <w:rPr>
          <w:color w:val="231F20"/>
        </w:rPr>
        <w:t>for</w:t>
      </w:r>
      <w:r>
        <w:rPr>
          <w:color w:val="231F20"/>
          <w:spacing w:val="-5"/>
        </w:rPr>
        <w:t> </w:t>
      </w:r>
      <w:r>
        <w:rPr>
          <w:color w:val="231F20"/>
        </w:rPr>
        <w:t>boarding.</w:t>
      </w:r>
      <w:r>
        <w:rPr>
          <w:color w:val="231F20"/>
          <w:spacing w:val="-6"/>
        </w:rPr>
        <w:t> </w:t>
      </w:r>
      <w:r>
        <w:rPr>
          <w:color w:val="231F20"/>
        </w:rPr>
        <w:t>No</w:t>
      </w:r>
      <w:r>
        <w:rPr>
          <w:color w:val="231F20"/>
          <w:spacing w:val="23"/>
          <w:w w:val="99"/>
        </w:rPr>
        <w:t> </w:t>
      </w:r>
      <w:r>
        <w:rPr>
          <w:color w:val="231F20"/>
        </w:rPr>
        <w:t>comments</w:t>
      </w:r>
      <w:r>
        <w:rPr>
          <w:color w:val="231F20"/>
          <w:spacing w:val="-6"/>
        </w:rPr>
        <w:t> </w:t>
      </w:r>
      <w:r>
        <w:rPr>
          <w:color w:val="231F20"/>
        </w:rPr>
        <w:t>were</w:t>
      </w:r>
      <w:r>
        <w:rPr>
          <w:color w:val="231F20"/>
          <w:spacing w:val="-6"/>
        </w:rPr>
        <w:t> </w:t>
      </w:r>
      <w:r>
        <w:rPr>
          <w:color w:val="231F20"/>
          <w:spacing w:val="-1"/>
        </w:rPr>
        <w:t>made</w:t>
      </w:r>
      <w:r>
        <w:rPr>
          <w:color w:val="231F20"/>
          <w:spacing w:val="-4"/>
        </w:rPr>
        <w:t> </w:t>
      </w:r>
      <w:r>
        <w:rPr>
          <w:color w:val="231F20"/>
        </w:rPr>
        <w:t>about</w:t>
      </w:r>
      <w:r>
        <w:rPr>
          <w:color w:val="231F20"/>
          <w:spacing w:val="-6"/>
        </w:rPr>
        <w:t> </w:t>
      </w:r>
      <w:r>
        <w:rPr>
          <w:color w:val="231F20"/>
        </w:rPr>
        <w:t>the</w:t>
      </w:r>
      <w:r>
        <w:rPr>
          <w:color w:val="231F20"/>
          <w:spacing w:val="-5"/>
        </w:rPr>
        <w:t> </w:t>
      </w:r>
      <w:r>
        <w:rPr>
          <w:color w:val="231F20"/>
        </w:rPr>
        <w:t>adequacy</w:t>
      </w:r>
      <w:r>
        <w:rPr>
          <w:color w:val="231F20"/>
          <w:spacing w:val="-6"/>
        </w:rPr>
        <w:t> </w:t>
      </w:r>
      <w:r>
        <w:rPr>
          <w:color w:val="231F20"/>
        </w:rPr>
        <w:t>of</w:t>
      </w:r>
      <w:r>
        <w:rPr>
          <w:color w:val="231F20"/>
          <w:spacing w:val="21"/>
          <w:w w:val="99"/>
        </w:rPr>
        <w:t> </w:t>
      </w:r>
      <w:r>
        <w:rPr>
          <w:color w:val="231F20"/>
        </w:rPr>
        <w:t>the</w:t>
      </w:r>
      <w:r>
        <w:rPr>
          <w:color w:val="231F20"/>
          <w:spacing w:val="-7"/>
        </w:rPr>
        <w:t> </w:t>
      </w:r>
      <w:r>
        <w:rPr>
          <w:color w:val="231F20"/>
        </w:rPr>
        <w:t>current</w:t>
      </w:r>
      <w:r>
        <w:rPr>
          <w:color w:val="231F20"/>
          <w:spacing w:val="-6"/>
        </w:rPr>
        <w:t> </w:t>
      </w:r>
      <w:r>
        <w:rPr>
          <w:color w:val="231F20"/>
          <w:spacing w:val="-1"/>
        </w:rPr>
        <w:t>Boarding</w:t>
      </w:r>
      <w:r>
        <w:rPr>
          <w:color w:val="231F20"/>
          <w:spacing w:val="-6"/>
        </w:rPr>
        <w:t> </w:t>
      </w:r>
      <w:r>
        <w:rPr>
          <w:color w:val="231F20"/>
          <w:spacing w:val="-1"/>
        </w:rPr>
        <w:t>Standard</w:t>
      </w:r>
      <w:r>
        <w:rPr>
          <w:color w:val="231F20"/>
          <w:spacing w:val="-7"/>
        </w:rPr>
        <w:t> </w:t>
      </w:r>
      <w:r>
        <w:rPr>
          <w:color w:val="231F20"/>
        </w:rPr>
        <w:t>and</w:t>
      </w:r>
      <w:r>
        <w:rPr>
          <w:color w:val="231F20"/>
          <w:spacing w:val="-6"/>
        </w:rPr>
        <w:t> </w:t>
      </w:r>
      <w:r>
        <w:rPr>
          <w:color w:val="231F20"/>
        </w:rPr>
        <w:t>whether</w:t>
      </w:r>
      <w:r>
        <w:rPr>
          <w:color w:val="231F20"/>
          <w:spacing w:val="-7"/>
        </w:rPr>
        <w:t> </w:t>
      </w:r>
      <w:r>
        <w:rPr>
          <w:color w:val="231F20"/>
          <w:spacing w:val="-1"/>
        </w:rPr>
        <w:t>it</w:t>
      </w:r>
      <w:r>
        <w:rPr>
          <w:color w:val="231F20"/>
          <w:spacing w:val="22"/>
        </w:rPr>
        <w:t> </w:t>
      </w:r>
      <w:r>
        <w:rPr>
          <w:color w:val="231F20"/>
        </w:rPr>
        <w:t>was</w:t>
      </w:r>
      <w:r>
        <w:rPr>
          <w:color w:val="231F20"/>
          <w:spacing w:val="-6"/>
        </w:rPr>
        <w:t> </w:t>
      </w:r>
      <w:r>
        <w:rPr>
          <w:color w:val="231F20"/>
        </w:rPr>
        <w:t>appropriate</w:t>
      </w:r>
      <w:r>
        <w:rPr>
          <w:color w:val="231F20"/>
          <w:spacing w:val="-5"/>
        </w:rPr>
        <w:t> </w:t>
      </w:r>
      <w:r>
        <w:rPr>
          <w:color w:val="231F20"/>
        </w:rPr>
        <w:t>for</w:t>
      </w:r>
      <w:r>
        <w:rPr>
          <w:color w:val="231F20"/>
          <w:spacing w:val="-5"/>
        </w:rPr>
        <w:t> </w:t>
      </w:r>
      <w:r>
        <w:rPr>
          <w:color w:val="231F20"/>
        </w:rPr>
        <w:t>all</w:t>
      </w:r>
      <w:r>
        <w:rPr>
          <w:color w:val="231F20"/>
          <w:spacing w:val="-5"/>
        </w:rPr>
        <w:t> </w:t>
      </w:r>
      <w:r>
        <w:rPr>
          <w:color w:val="231F20"/>
          <w:spacing w:val="-1"/>
        </w:rPr>
        <w:t>models</w:t>
      </w:r>
      <w:r>
        <w:rPr>
          <w:color w:val="231F20"/>
          <w:spacing w:val="-5"/>
        </w:rPr>
        <w:t> </w:t>
      </w:r>
      <w:r>
        <w:rPr>
          <w:color w:val="231F20"/>
        </w:rPr>
        <w:t>of</w:t>
      </w:r>
      <w:r>
        <w:rPr>
          <w:color w:val="231F20"/>
          <w:spacing w:val="-5"/>
        </w:rPr>
        <w:t> </w:t>
      </w:r>
      <w:r>
        <w:rPr>
          <w:color w:val="231F20"/>
        </w:rPr>
        <w:t>Aboriginal</w:t>
      </w:r>
      <w:r>
        <w:rPr>
          <w:color w:val="231F20"/>
          <w:spacing w:val="21"/>
          <w:w w:val="99"/>
        </w:rPr>
        <w:t> </w:t>
      </w:r>
      <w:r>
        <w:rPr>
          <w:color w:val="231F20"/>
        </w:rPr>
        <w:t>and</w:t>
      </w:r>
      <w:r>
        <w:rPr>
          <w:color w:val="231F20"/>
          <w:spacing w:val="-6"/>
        </w:rPr>
        <w:t> </w:t>
      </w:r>
      <w:r>
        <w:rPr>
          <w:color w:val="231F20"/>
          <w:spacing w:val="-5"/>
        </w:rPr>
        <w:t>Torres</w:t>
      </w:r>
      <w:r>
        <w:rPr>
          <w:color w:val="231F20"/>
          <w:spacing w:val="-4"/>
        </w:rPr>
        <w:t> </w:t>
      </w:r>
      <w:r>
        <w:rPr>
          <w:color w:val="231F20"/>
          <w:spacing w:val="-2"/>
        </w:rPr>
        <w:t>Strait</w:t>
      </w:r>
      <w:r>
        <w:rPr>
          <w:color w:val="231F20"/>
          <w:spacing w:val="-6"/>
        </w:rPr>
        <w:t> </w:t>
      </w:r>
      <w:r>
        <w:rPr>
          <w:color w:val="231F20"/>
          <w:spacing w:val="-1"/>
        </w:rPr>
        <w:t>Islander</w:t>
      </w:r>
      <w:r>
        <w:rPr>
          <w:color w:val="231F20"/>
          <w:spacing w:val="-4"/>
        </w:rPr>
        <w:t> </w:t>
      </w:r>
      <w:r>
        <w:rPr>
          <w:color w:val="231F20"/>
        </w:rPr>
        <w:t>boarding.</w:t>
      </w:r>
      <w:r>
        <w:rPr>
          <w:color w:val="231F20"/>
          <w:spacing w:val="-5"/>
        </w:rPr>
        <w:t> </w:t>
      </w:r>
      <w:r>
        <w:rPr>
          <w:color w:val="231F20"/>
          <w:spacing w:val="-1"/>
        </w:rPr>
        <w:t>Some</w:t>
      </w:r>
      <w:r>
        <w:rPr>
          <w:color w:val="231F20"/>
          <w:spacing w:val="20"/>
        </w:rPr>
        <w:t> </w:t>
      </w:r>
      <w:r>
        <w:rPr>
          <w:color w:val="231F20"/>
          <w:spacing w:val="-1"/>
        </w:rPr>
        <w:t>interviewees</w:t>
      </w:r>
      <w:r>
        <w:rPr>
          <w:color w:val="231F20"/>
          <w:spacing w:val="-10"/>
        </w:rPr>
        <w:t> </w:t>
      </w:r>
      <w:r>
        <w:rPr>
          <w:color w:val="231F20"/>
        </w:rPr>
        <w:t>recommended</w:t>
      </w:r>
      <w:r>
        <w:rPr>
          <w:color w:val="231F20"/>
          <w:spacing w:val="-11"/>
        </w:rPr>
        <w:t> </w:t>
      </w:r>
      <w:r>
        <w:rPr>
          <w:color w:val="231F20"/>
        </w:rPr>
        <w:t>that</w:t>
      </w:r>
      <w:r>
        <w:rPr>
          <w:color w:val="231F20"/>
          <w:spacing w:val="-10"/>
        </w:rPr>
        <w:t> </w:t>
      </w:r>
      <w:r>
        <w:rPr>
          <w:color w:val="231F20"/>
        </w:rPr>
        <w:t>compliance</w:t>
      </w:r>
      <w:r>
        <w:rPr>
          <w:color w:val="231F20"/>
          <w:spacing w:val="22"/>
        </w:rPr>
        <w:t> </w:t>
      </w:r>
      <w:r>
        <w:rPr>
          <w:color w:val="231F20"/>
        </w:rPr>
        <w:t>with</w:t>
      </w:r>
      <w:r>
        <w:rPr>
          <w:color w:val="231F20"/>
          <w:spacing w:val="-5"/>
        </w:rPr>
        <w:t> </w:t>
      </w:r>
      <w:r>
        <w:rPr>
          <w:color w:val="231F20"/>
        </w:rPr>
        <w:t>the</w:t>
      </w:r>
      <w:r>
        <w:rPr>
          <w:color w:val="231F20"/>
          <w:spacing w:val="-5"/>
        </w:rPr>
        <w:t> </w:t>
      </w:r>
      <w:r>
        <w:rPr>
          <w:color w:val="231F20"/>
          <w:spacing w:val="-1"/>
        </w:rPr>
        <w:t>Boarding</w:t>
      </w:r>
      <w:r>
        <w:rPr>
          <w:color w:val="231F20"/>
          <w:spacing w:val="-4"/>
        </w:rPr>
        <w:t> </w:t>
      </w:r>
      <w:r>
        <w:rPr>
          <w:color w:val="231F20"/>
          <w:spacing w:val="-1"/>
        </w:rPr>
        <w:t>Standard</w:t>
      </w:r>
      <w:r>
        <w:rPr>
          <w:color w:val="231F20"/>
          <w:spacing w:val="-5"/>
        </w:rPr>
        <w:t> </w:t>
      </w:r>
      <w:r>
        <w:rPr>
          <w:color w:val="231F20"/>
          <w:spacing w:val="-1"/>
        </w:rPr>
        <w:t>should</w:t>
      </w:r>
      <w:r>
        <w:rPr>
          <w:color w:val="231F20"/>
          <w:spacing w:val="-4"/>
        </w:rPr>
        <w:t> </w:t>
      </w:r>
      <w:r>
        <w:rPr>
          <w:color w:val="231F20"/>
        </w:rPr>
        <w:t>be</w:t>
      </w:r>
      <w:r>
        <w:rPr>
          <w:color w:val="231F20"/>
          <w:spacing w:val="-4"/>
        </w:rPr>
        <w:t> </w:t>
      </w:r>
      <w:r>
        <w:rPr>
          <w:color w:val="231F20"/>
          <w:spacing w:val="-1"/>
        </w:rPr>
        <w:t>legally</w:t>
      </w:r>
      <w:r>
        <w:rPr>
          <w:color w:val="231F20"/>
          <w:spacing w:val="23"/>
        </w:rPr>
        <w:t> </w:t>
      </w:r>
      <w:r>
        <w:rPr>
          <w:color w:val="231F20"/>
          <w:spacing w:val="-1"/>
        </w:rPr>
        <w:t>mandated,</w:t>
      </w:r>
      <w:r>
        <w:rPr>
          <w:color w:val="231F20"/>
          <w:spacing w:val="-9"/>
        </w:rPr>
        <w:t> </w:t>
      </w:r>
      <w:r>
        <w:rPr>
          <w:color w:val="231F20"/>
        </w:rPr>
        <w:t>provided</w:t>
      </w:r>
      <w:r>
        <w:rPr>
          <w:color w:val="231F20"/>
          <w:spacing w:val="-10"/>
        </w:rPr>
        <w:t> </w:t>
      </w:r>
      <w:r>
        <w:rPr>
          <w:color w:val="231F20"/>
        </w:rPr>
        <w:t>additional</w:t>
      </w:r>
      <w:r>
        <w:rPr>
          <w:color w:val="231F20"/>
          <w:spacing w:val="-10"/>
        </w:rPr>
        <w:t> </w:t>
      </w:r>
      <w:r>
        <w:rPr>
          <w:color w:val="231F20"/>
        </w:rPr>
        <w:t>funding</w:t>
      </w:r>
      <w:r>
        <w:rPr>
          <w:color w:val="231F20"/>
          <w:spacing w:val="-9"/>
        </w:rPr>
        <w:t> </w:t>
      </w:r>
      <w:r>
        <w:rPr>
          <w:color w:val="231F20"/>
        </w:rPr>
        <w:t>was</w:t>
      </w:r>
      <w:r>
        <w:rPr>
          <w:color w:val="231F20"/>
          <w:spacing w:val="22"/>
          <w:w w:val="99"/>
        </w:rPr>
        <w:t> </w:t>
      </w:r>
      <w:r>
        <w:rPr>
          <w:color w:val="231F20"/>
        </w:rPr>
        <w:t>provided</w:t>
      </w:r>
      <w:r>
        <w:rPr>
          <w:color w:val="231F20"/>
          <w:spacing w:val="-6"/>
        </w:rPr>
        <w:t> </w:t>
      </w:r>
      <w:r>
        <w:rPr>
          <w:color w:val="231F20"/>
        </w:rPr>
        <w:t>to</w:t>
      </w:r>
      <w:r>
        <w:rPr>
          <w:color w:val="231F20"/>
          <w:spacing w:val="-5"/>
        </w:rPr>
        <w:t> </w:t>
      </w:r>
      <w:r>
        <w:rPr>
          <w:color w:val="231F20"/>
        </w:rPr>
        <w:t>assist</w:t>
      </w:r>
      <w:r>
        <w:rPr>
          <w:color w:val="231F20"/>
          <w:spacing w:val="-5"/>
        </w:rPr>
        <w:t> </w:t>
      </w:r>
      <w:r>
        <w:rPr>
          <w:color w:val="231F20"/>
        </w:rPr>
        <w:t>boarding</w:t>
      </w:r>
      <w:r>
        <w:rPr>
          <w:color w:val="231F20"/>
          <w:spacing w:val="-6"/>
        </w:rPr>
        <w:t> </w:t>
      </w:r>
      <w:r>
        <w:rPr>
          <w:color w:val="231F20"/>
        </w:rPr>
        <w:t>providers</w:t>
      </w:r>
      <w:r>
        <w:rPr>
          <w:color w:val="231F20"/>
          <w:spacing w:val="-6"/>
        </w:rPr>
        <w:t> </w:t>
      </w:r>
      <w:r>
        <w:rPr>
          <w:color w:val="231F20"/>
        </w:rPr>
        <w:t>to</w:t>
      </w:r>
      <w:r>
        <w:rPr>
          <w:color w:val="231F20"/>
          <w:spacing w:val="-4"/>
        </w:rPr>
        <w:t> </w:t>
      </w:r>
      <w:r>
        <w:rPr>
          <w:color w:val="231F20"/>
          <w:spacing w:val="-1"/>
        </w:rPr>
        <w:t>move</w:t>
      </w:r>
      <w:r>
        <w:rPr>
          <w:color w:val="231F20"/>
          <w:spacing w:val="19"/>
        </w:rPr>
        <w:t> </w:t>
      </w:r>
      <w:r>
        <w:rPr>
          <w:color w:val="231F20"/>
        </w:rPr>
        <w:t>to</w:t>
      </w:r>
      <w:r>
        <w:rPr>
          <w:color w:val="231F20"/>
          <w:spacing w:val="-4"/>
        </w:rPr>
        <w:t> </w:t>
      </w:r>
      <w:r>
        <w:rPr>
          <w:color w:val="231F20"/>
        </w:rPr>
        <w:t>full</w:t>
      </w:r>
      <w:r>
        <w:rPr>
          <w:color w:val="231F20"/>
          <w:spacing w:val="-5"/>
        </w:rPr>
        <w:t> </w:t>
      </w:r>
      <w:r>
        <w:rPr>
          <w:color w:val="231F20"/>
        </w:rPr>
        <w:t>compliance.</w:t>
      </w:r>
      <w:r>
        <w:rPr>
          <w:color w:val="231F20"/>
          <w:spacing w:val="-4"/>
        </w:rPr>
        <w:t> </w:t>
      </w:r>
      <w:r>
        <w:rPr>
          <w:color w:val="231F20"/>
          <w:spacing w:val="-1"/>
        </w:rPr>
        <w:t>KPMG,</w:t>
      </w:r>
      <w:r>
        <w:rPr>
          <w:color w:val="231F20"/>
          <w:spacing w:val="-4"/>
        </w:rPr>
        <w:t> </w:t>
      </w:r>
      <w:r>
        <w:rPr>
          <w:color w:val="231F20"/>
          <w:spacing w:val="-1"/>
        </w:rPr>
        <w:t>2016</w:t>
      </w:r>
      <w:r>
        <w:rPr>
          <w:color w:val="231F20"/>
          <w:spacing w:val="-4"/>
        </w:rPr>
        <w:t> </w:t>
      </w:r>
      <w:r>
        <w:rPr>
          <w:color w:val="231F20"/>
        </w:rPr>
        <w:t>estimated</w:t>
      </w:r>
      <w:r>
        <w:rPr/>
      </w:r>
    </w:p>
    <w:p>
      <w:pPr>
        <w:pStyle w:val="BodyText"/>
        <w:spacing w:line="250" w:lineRule="exact"/>
        <w:ind w:left="100" w:right="132"/>
        <w:jc w:val="left"/>
        <w:rPr>
          <w:rFonts w:ascii="Segoe UI Semibold" w:hAnsi="Segoe UI Semibold" w:cs="Segoe UI Semibold" w:eastAsia="Segoe UI Semibold"/>
          <w:sz w:val="11"/>
          <w:szCs w:val="11"/>
        </w:rPr>
      </w:pPr>
      <w:r>
        <w:rPr>
          <w:color w:val="231F20"/>
        </w:rPr>
        <w:t>that</w:t>
      </w:r>
      <w:r>
        <w:rPr>
          <w:color w:val="231F20"/>
          <w:spacing w:val="-5"/>
        </w:rPr>
        <w:t> </w:t>
      </w:r>
      <w:r>
        <w:rPr>
          <w:color w:val="231F20"/>
        </w:rPr>
        <w:t>the</w:t>
      </w:r>
      <w:r>
        <w:rPr>
          <w:color w:val="231F20"/>
          <w:spacing w:val="-4"/>
        </w:rPr>
        <w:t> </w:t>
      </w:r>
      <w:r>
        <w:rPr>
          <w:color w:val="231F20"/>
        </w:rPr>
        <w:t>average</w:t>
      </w:r>
      <w:r>
        <w:rPr>
          <w:color w:val="231F20"/>
          <w:spacing w:val="-4"/>
        </w:rPr>
        <w:t> </w:t>
      </w:r>
      <w:r>
        <w:rPr>
          <w:color w:val="231F20"/>
        </w:rPr>
        <w:t>cost</w:t>
      </w:r>
      <w:r>
        <w:rPr>
          <w:color w:val="231F20"/>
          <w:spacing w:val="-4"/>
        </w:rPr>
        <w:t> </w:t>
      </w:r>
      <w:r>
        <w:rPr>
          <w:color w:val="231F20"/>
          <w:spacing w:val="-1"/>
        </w:rPr>
        <w:t>in</w:t>
      </w:r>
      <w:r>
        <w:rPr>
          <w:color w:val="231F20"/>
          <w:spacing w:val="-3"/>
        </w:rPr>
        <w:t> </w:t>
      </w:r>
      <w:r>
        <w:rPr>
          <w:color w:val="231F20"/>
          <w:spacing w:val="-1"/>
        </w:rPr>
        <w:t>2016</w:t>
      </w:r>
      <w:r>
        <w:rPr>
          <w:color w:val="231F20"/>
          <w:spacing w:val="-3"/>
        </w:rPr>
        <w:t> </w:t>
      </w:r>
      <w:r>
        <w:rPr>
          <w:color w:val="231F20"/>
        </w:rPr>
        <w:t>for</w:t>
      </w:r>
      <w:r>
        <w:rPr>
          <w:color w:val="231F20"/>
          <w:spacing w:val="-3"/>
        </w:rPr>
        <w:t> </w:t>
      </w:r>
      <w:r>
        <w:rPr>
          <w:color w:val="231F20"/>
        </w:rPr>
        <w:t>a</w:t>
      </w:r>
      <w:r>
        <w:rPr>
          <w:color w:val="231F20"/>
          <w:spacing w:val="-3"/>
        </w:rPr>
        <w:t> </w:t>
      </w:r>
      <w:r>
        <w:rPr>
          <w:color w:val="231F20"/>
        </w:rPr>
        <w:t>boarding</w:t>
      </w:r>
      <w:r>
        <w:rPr>
          <w:color w:val="231F20"/>
          <w:spacing w:val="22"/>
          <w:w w:val="99"/>
        </w:rPr>
        <w:t> </w:t>
      </w:r>
      <w:r>
        <w:rPr>
          <w:color w:val="231F20"/>
        </w:rPr>
        <w:t>provider</w:t>
      </w:r>
      <w:r>
        <w:rPr>
          <w:color w:val="231F20"/>
          <w:spacing w:val="-6"/>
        </w:rPr>
        <w:t> </w:t>
      </w:r>
      <w:r>
        <w:rPr>
          <w:color w:val="231F20"/>
        </w:rPr>
        <w:t>to</w:t>
      </w:r>
      <w:r>
        <w:rPr>
          <w:color w:val="231F20"/>
          <w:spacing w:val="-6"/>
        </w:rPr>
        <w:t> </w:t>
      </w:r>
      <w:r>
        <w:rPr>
          <w:color w:val="231F20"/>
        </w:rPr>
        <w:t>deliver</w:t>
      </w:r>
      <w:r>
        <w:rPr>
          <w:color w:val="231F20"/>
          <w:spacing w:val="-6"/>
        </w:rPr>
        <w:t> </w:t>
      </w:r>
      <w:r>
        <w:rPr>
          <w:color w:val="231F20"/>
        </w:rPr>
        <w:t>a</w:t>
      </w:r>
      <w:r>
        <w:rPr>
          <w:color w:val="231F20"/>
          <w:spacing w:val="-5"/>
        </w:rPr>
        <w:t> </w:t>
      </w:r>
      <w:r>
        <w:rPr>
          <w:color w:val="231F20"/>
        </w:rPr>
        <w:t>boarding</w:t>
      </w:r>
      <w:r>
        <w:rPr>
          <w:color w:val="231F20"/>
          <w:spacing w:val="-6"/>
        </w:rPr>
        <w:t> </w:t>
      </w:r>
      <w:r>
        <w:rPr>
          <w:color w:val="231F20"/>
          <w:spacing w:val="-1"/>
        </w:rPr>
        <w:t>service</w:t>
      </w:r>
      <w:r>
        <w:rPr>
          <w:color w:val="231F20"/>
          <w:spacing w:val="-5"/>
        </w:rPr>
        <w:t> </w:t>
      </w:r>
      <w:r>
        <w:rPr>
          <w:color w:val="231F20"/>
          <w:spacing w:val="-1"/>
        </w:rPr>
        <w:t>in</w:t>
      </w:r>
      <w:r>
        <w:rPr>
          <w:color w:val="231F20"/>
          <w:spacing w:val="21"/>
        </w:rPr>
        <w:t> </w:t>
      </w:r>
      <w:r>
        <w:rPr>
          <w:color w:val="231F20"/>
        </w:rPr>
        <w:t>compliance</w:t>
      </w:r>
      <w:r>
        <w:rPr>
          <w:color w:val="231F20"/>
          <w:spacing w:val="-6"/>
        </w:rPr>
        <w:t> </w:t>
      </w:r>
      <w:r>
        <w:rPr>
          <w:color w:val="231F20"/>
        </w:rPr>
        <w:t>with</w:t>
      </w:r>
      <w:r>
        <w:rPr>
          <w:color w:val="231F20"/>
          <w:spacing w:val="-5"/>
        </w:rPr>
        <w:t> </w:t>
      </w:r>
      <w:r>
        <w:rPr>
          <w:color w:val="231F20"/>
        </w:rPr>
        <w:t>the</w:t>
      </w:r>
      <w:r>
        <w:rPr>
          <w:color w:val="231F20"/>
          <w:spacing w:val="-6"/>
        </w:rPr>
        <w:t> </w:t>
      </w:r>
      <w:r>
        <w:rPr>
          <w:color w:val="231F20"/>
          <w:spacing w:val="-1"/>
        </w:rPr>
        <w:t>Boarding</w:t>
      </w:r>
      <w:r>
        <w:rPr>
          <w:color w:val="231F20"/>
          <w:spacing w:val="-4"/>
        </w:rPr>
        <w:t> </w:t>
      </w:r>
      <w:r>
        <w:rPr>
          <w:color w:val="231F20"/>
          <w:spacing w:val="-1"/>
        </w:rPr>
        <w:t>Standard</w:t>
      </w:r>
      <w:r>
        <w:rPr>
          <w:color w:val="231F20"/>
          <w:spacing w:val="-6"/>
        </w:rPr>
        <w:t> </w:t>
      </w:r>
      <w:r>
        <w:rPr>
          <w:color w:val="231F20"/>
        </w:rPr>
        <w:t>was</w:t>
      </w:r>
      <w:r>
        <w:rPr>
          <w:color w:val="231F20"/>
          <w:spacing w:val="-5"/>
        </w:rPr>
        <w:t> </w:t>
      </w:r>
      <w:r>
        <w:rPr>
          <w:color w:val="231F20"/>
        </w:rPr>
        <w:t>an</w:t>
      </w:r>
      <w:r>
        <w:rPr>
          <w:color w:val="231F20"/>
          <w:spacing w:val="23"/>
          <w:w w:val="99"/>
        </w:rPr>
        <w:t> </w:t>
      </w:r>
      <w:r>
        <w:rPr>
          <w:color w:val="231F20"/>
        </w:rPr>
        <w:t>additional</w:t>
      </w:r>
      <w:r>
        <w:rPr>
          <w:color w:val="231F20"/>
          <w:spacing w:val="-5"/>
        </w:rPr>
        <w:t> </w:t>
      </w:r>
      <w:r>
        <w:rPr>
          <w:color w:val="231F20"/>
          <w:spacing w:val="-1"/>
        </w:rPr>
        <w:t>$1,209</w:t>
      </w:r>
      <w:r>
        <w:rPr>
          <w:color w:val="231F20"/>
          <w:spacing w:val="-3"/>
        </w:rPr>
        <w:t> </w:t>
      </w:r>
      <w:r>
        <w:rPr>
          <w:color w:val="231F20"/>
        </w:rPr>
        <w:t>per</w:t>
      </w:r>
      <w:r>
        <w:rPr>
          <w:color w:val="231F20"/>
          <w:spacing w:val="-4"/>
        </w:rPr>
        <w:t> </w:t>
      </w:r>
      <w:r>
        <w:rPr>
          <w:color w:val="231F20"/>
        </w:rPr>
        <w:t>boarder,</w:t>
      </w:r>
      <w:r>
        <w:rPr>
          <w:color w:val="231F20"/>
          <w:spacing w:val="-3"/>
        </w:rPr>
        <w:t> </w:t>
      </w:r>
      <w:r>
        <w:rPr>
          <w:color w:val="231F20"/>
        </w:rPr>
        <w:t>and</w:t>
      </w:r>
      <w:r>
        <w:rPr>
          <w:color w:val="231F20"/>
          <w:spacing w:val="-4"/>
        </w:rPr>
        <w:t> </w:t>
      </w:r>
      <w:r>
        <w:rPr>
          <w:color w:val="231F20"/>
          <w:spacing w:val="-1"/>
        </w:rPr>
        <w:t>$2,709</w:t>
      </w:r>
      <w:r>
        <w:rPr>
          <w:color w:val="231F20"/>
          <w:spacing w:val="-4"/>
        </w:rPr>
        <w:t> </w:t>
      </w:r>
      <w:r>
        <w:rPr>
          <w:color w:val="231F20"/>
          <w:spacing w:val="-1"/>
        </w:rPr>
        <w:t>in</w:t>
      </w:r>
      <w:r>
        <w:rPr>
          <w:color w:val="231F20"/>
          <w:spacing w:val="-3"/>
        </w:rPr>
        <w:t> </w:t>
      </w:r>
      <w:r>
        <w:rPr>
          <w:color w:val="231F20"/>
        </w:rPr>
        <w:t>a</w:t>
      </w:r>
      <w:r>
        <w:rPr>
          <w:color w:val="231F20"/>
          <w:spacing w:val="24"/>
          <w:w w:val="99"/>
        </w:rPr>
        <w:t> </w:t>
      </w:r>
      <w:r>
        <w:rPr>
          <w:color w:val="231F20"/>
        </w:rPr>
        <w:t>Northern</w:t>
      </w:r>
      <w:r>
        <w:rPr>
          <w:color w:val="231F20"/>
          <w:spacing w:val="-8"/>
        </w:rPr>
        <w:t> </w:t>
      </w:r>
      <w:r>
        <w:rPr>
          <w:color w:val="231F20"/>
          <w:spacing w:val="-3"/>
        </w:rPr>
        <w:t>Territory</w:t>
      </w:r>
      <w:r>
        <w:rPr>
          <w:color w:val="231F20"/>
          <w:spacing w:val="-8"/>
        </w:rPr>
        <w:t> </w:t>
      </w:r>
      <w:r>
        <w:rPr>
          <w:color w:val="231F20"/>
          <w:spacing w:val="-1"/>
        </w:rPr>
        <w:t>context.</w:t>
      </w:r>
      <w:r>
        <w:rPr>
          <w:rFonts w:ascii="Segoe UI Semibold"/>
          <w:b/>
          <w:color w:val="231F20"/>
          <w:spacing w:val="-1"/>
          <w:position w:val="7"/>
          <w:sz w:val="11"/>
        </w:rPr>
        <w:t>24</w:t>
      </w:r>
      <w:r>
        <w:rPr>
          <w:rFonts w:ascii="Segoe UI Semibold"/>
          <w:sz w:val="11"/>
        </w:rPr>
      </w:r>
    </w:p>
    <w:p>
      <w:pPr>
        <w:pStyle w:val="BodyText"/>
        <w:spacing w:line="250" w:lineRule="exact" w:before="113"/>
        <w:ind w:left="100" w:right="188"/>
        <w:jc w:val="left"/>
      </w:pPr>
      <w:r>
        <w:rPr>
          <w:color w:val="231F20"/>
          <w:spacing w:val="-1"/>
        </w:rPr>
        <w:t>Some</w:t>
      </w:r>
      <w:r>
        <w:rPr>
          <w:color w:val="231F20"/>
          <w:spacing w:val="-6"/>
        </w:rPr>
        <w:t> </w:t>
      </w:r>
      <w:r>
        <w:rPr>
          <w:color w:val="231F20"/>
        </w:rPr>
        <w:t>of</w:t>
      </w:r>
      <w:r>
        <w:rPr>
          <w:color w:val="231F20"/>
          <w:spacing w:val="-5"/>
        </w:rPr>
        <w:t> </w:t>
      </w:r>
      <w:r>
        <w:rPr>
          <w:color w:val="231F20"/>
        </w:rPr>
        <w:t>the</w:t>
      </w:r>
      <w:r>
        <w:rPr>
          <w:color w:val="231F20"/>
          <w:spacing w:val="-6"/>
        </w:rPr>
        <w:t> </w:t>
      </w:r>
      <w:r>
        <w:rPr>
          <w:color w:val="231F20"/>
          <w:spacing w:val="-1"/>
        </w:rPr>
        <w:t>literature</w:t>
      </w:r>
      <w:r>
        <w:rPr>
          <w:color w:val="231F20"/>
          <w:spacing w:val="-6"/>
        </w:rPr>
        <w:t> </w:t>
      </w:r>
      <w:r>
        <w:rPr>
          <w:color w:val="231F20"/>
        </w:rPr>
        <w:t>cautions</w:t>
      </w:r>
      <w:r>
        <w:rPr>
          <w:color w:val="231F20"/>
          <w:spacing w:val="-6"/>
        </w:rPr>
        <w:t> </w:t>
      </w:r>
      <w:r>
        <w:rPr>
          <w:color w:val="231F20"/>
        </w:rPr>
        <w:t>against</w:t>
      </w:r>
      <w:r>
        <w:rPr>
          <w:color w:val="231F20"/>
          <w:spacing w:val="23"/>
          <w:w w:val="99"/>
        </w:rPr>
        <w:t> </w:t>
      </w:r>
      <w:r>
        <w:rPr>
          <w:rFonts w:ascii="Segoe UI"/>
          <w:color w:val="231F20"/>
        </w:rPr>
        <w:t>mandating a one-size fits all boarding standard</w:t>
      </w:r>
      <w:r>
        <w:rPr>
          <w:rFonts w:ascii="Segoe UI"/>
          <w:color w:val="231F20"/>
        </w:rPr>
        <w:t> </w:t>
      </w:r>
      <w:r>
        <w:rPr>
          <w:color w:val="231F20"/>
        </w:rPr>
        <w:t>for</w:t>
      </w:r>
      <w:r>
        <w:rPr>
          <w:color w:val="231F20"/>
          <w:spacing w:val="-6"/>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6"/>
        </w:rPr>
        <w:t> </w:t>
      </w:r>
      <w:r>
        <w:rPr>
          <w:color w:val="231F20"/>
          <w:spacing w:val="-1"/>
        </w:rPr>
        <w:t>Islander</w:t>
      </w:r>
      <w:r>
        <w:rPr>
          <w:color w:val="231F20"/>
          <w:spacing w:val="29"/>
          <w:w w:val="99"/>
        </w:rPr>
        <w:t> </w:t>
      </w:r>
      <w:r>
        <w:rPr>
          <w:color w:val="231F20"/>
        </w:rPr>
        <w:t>boarding</w:t>
      </w:r>
      <w:r>
        <w:rPr>
          <w:color w:val="231F20"/>
          <w:spacing w:val="-18"/>
        </w:rPr>
        <w:t> </w:t>
      </w:r>
      <w:r>
        <w:rPr>
          <w:color w:val="231F20"/>
        </w:rPr>
        <w:t>providers.</w:t>
      </w:r>
      <w:r>
        <w:rPr/>
      </w:r>
    </w:p>
    <w:p>
      <w:pPr>
        <w:spacing w:after="0" w:line="250" w:lineRule="exact"/>
        <w:jc w:val="left"/>
        <w:sectPr>
          <w:type w:val="continuous"/>
          <w:pgSz w:w="11910" w:h="16840"/>
          <w:pgMar w:top="1580" w:bottom="280" w:left="1600" w:right="1300"/>
          <w:cols w:num="2" w:equalWidth="0">
            <w:col w:w="4285" w:space="250"/>
            <w:col w:w="4475"/>
          </w:cols>
        </w:sectPr>
      </w:pPr>
    </w:p>
    <w:p>
      <w:pPr>
        <w:spacing w:line="240" w:lineRule="auto" w:before="0"/>
        <w:rPr>
          <w:rFonts w:ascii="Segoe UI" w:hAnsi="Segoe UI" w:cs="Segoe UI" w:eastAsia="Segoe UI"/>
          <w:sz w:val="20"/>
          <w:szCs w:val="20"/>
        </w:rPr>
      </w:pPr>
    </w:p>
    <w:p>
      <w:pPr>
        <w:spacing w:line="240" w:lineRule="auto" w:before="11"/>
        <w:rPr>
          <w:rFonts w:ascii="Segoe UI" w:hAnsi="Segoe UI" w:cs="Segoe UI" w:eastAsia="Segoe UI"/>
          <w:sz w:val="20"/>
          <w:szCs w:val="20"/>
        </w:rPr>
      </w:pPr>
    </w:p>
    <w:p>
      <w:pPr>
        <w:spacing w:before="14"/>
        <w:ind w:left="117" w:right="0" w:firstLine="0"/>
        <w:jc w:val="left"/>
        <w:rPr>
          <w:rFonts w:ascii="Segoe UI" w:hAnsi="Segoe UI" w:cs="Segoe UI" w:eastAsia="Segoe UI"/>
          <w:sz w:val="32"/>
          <w:szCs w:val="32"/>
        </w:rPr>
      </w:pPr>
      <w:r>
        <w:rPr>
          <w:rFonts w:ascii="Segoe UI"/>
          <w:b/>
          <w:color w:val="452A70"/>
          <w:spacing w:val="1"/>
          <w:sz w:val="32"/>
        </w:rPr>
        <w:t>Summary</w:t>
      </w:r>
      <w:r>
        <w:rPr>
          <w:rFonts w:ascii="Segoe UI"/>
          <w:b/>
          <w:color w:val="452A70"/>
          <w:spacing w:val="-8"/>
          <w:sz w:val="32"/>
        </w:rPr>
        <w:t> </w:t>
      </w:r>
      <w:r>
        <w:rPr>
          <w:rFonts w:ascii="Segoe UI"/>
          <w:b/>
          <w:color w:val="452A70"/>
          <w:spacing w:val="-3"/>
          <w:sz w:val="32"/>
        </w:rPr>
        <w:t>of</w:t>
      </w:r>
      <w:r>
        <w:rPr>
          <w:rFonts w:ascii="Segoe UI"/>
          <w:b/>
          <w:color w:val="452A70"/>
          <w:spacing w:val="-8"/>
          <w:sz w:val="32"/>
        </w:rPr>
        <w:t> </w:t>
      </w:r>
      <w:r>
        <w:rPr>
          <w:rFonts w:ascii="Segoe UI"/>
          <w:b/>
          <w:color w:val="452A70"/>
          <w:spacing w:val="-1"/>
          <w:sz w:val="32"/>
        </w:rPr>
        <w:t>recommendations</w:t>
      </w:r>
      <w:r>
        <w:rPr>
          <w:rFonts w:ascii="Segoe UI"/>
          <w:sz w:val="32"/>
        </w:rPr>
      </w:r>
    </w:p>
    <w:p>
      <w:pPr>
        <w:pStyle w:val="Heading4"/>
        <w:spacing w:line="300" w:lineRule="exact" w:before="121"/>
        <w:ind w:left="117" w:right="210"/>
        <w:jc w:val="left"/>
      </w:pPr>
      <w:r>
        <w:rPr>
          <w:color w:val="666155"/>
        </w:rPr>
        <w:t>Grant</w:t>
      </w:r>
      <w:r>
        <w:rPr>
          <w:color w:val="666155"/>
          <w:spacing w:val="-8"/>
        </w:rPr>
        <w:t> </w:t>
      </w:r>
      <w:r>
        <w:rPr>
          <w:color w:val="666155"/>
        </w:rPr>
        <w:t>Thornton</w:t>
      </w:r>
      <w:r>
        <w:rPr>
          <w:color w:val="666155"/>
          <w:spacing w:val="-8"/>
        </w:rPr>
        <w:t> </w:t>
      </w:r>
      <w:r>
        <w:rPr>
          <w:color w:val="666155"/>
          <w:spacing w:val="-1"/>
        </w:rPr>
        <w:t>makes</w:t>
      </w:r>
      <w:r>
        <w:rPr>
          <w:color w:val="666155"/>
          <w:spacing w:val="-7"/>
        </w:rPr>
        <w:t> </w:t>
      </w:r>
      <w:r>
        <w:rPr>
          <w:color w:val="666155"/>
        </w:rPr>
        <w:t>the</w:t>
      </w:r>
      <w:r>
        <w:rPr>
          <w:color w:val="666155"/>
          <w:spacing w:val="-8"/>
        </w:rPr>
        <w:t> </w:t>
      </w:r>
      <w:r>
        <w:rPr>
          <w:color w:val="666155"/>
        </w:rPr>
        <w:t>following</w:t>
      </w:r>
      <w:r>
        <w:rPr>
          <w:color w:val="666155"/>
          <w:spacing w:val="-7"/>
        </w:rPr>
        <w:t> </w:t>
      </w:r>
      <w:r>
        <w:rPr>
          <w:color w:val="666155"/>
        </w:rPr>
        <w:t>recommendations</w:t>
      </w:r>
      <w:r>
        <w:rPr>
          <w:color w:val="666155"/>
          <w:spacing w:val="-10"/>
        </w:rPr>
        <w:t> </w:t>
      </w:r>
      <w:r>
        <w:rPr>
          <w:color w:val="666155"/>
        </w:rPr>
        <w:t>arising</w:t>
      </w:r>
      <w:r>
        <w:rPr>
          <w:color w:val="666155"/>
          <w:spacing w:val="-8"/>
        </w:rPr>
        <w:t> </w:t>
      </w:r>
      <w:r>
        <w:rPr>
          <w:color w:val="666155"/>
        </w:rPr>
        <w:t>from</w:t>
      </w:r>
      <w:r>
        <w:rPr>
          <w:color w:val="666155"/>
          <w:spacing w:val="-7"/>
        </w:rPr>
        <w:t> </w:t>
      </w:r>
      <w:r>
        <w:rPr>
          <w:color w:val="666155"/>
        </w:rPr>
        <w:t>the</w:t>
      </w:r>
      <w:r>
        <w:rPr>
          <w:color w:val="666155"/>
          <w:spacing w:val="-8"/>
        </w:rPr>
        <w:t> </w:t>
      </w:r>
      <w:r>
        <w:rPr>
          <w:color w:val="666155"/>
        </w:rPr>
        <w:t>analysis</w:t>
      </w:r>
      <w:r>
        <w:rPr>
          <w:color w:val="666155"/>
          <w:spacing w:val="21"/>
        </w:rPr>
        <w:t> </w:t>
      </w:r>
      <w:r>
        <w:rPr>
          <w:color w:val="666155"/>
        </w:rPr>
        <w:t>and</w:t>
      </w:r>
      <w:r>
        <w:rPr>
          <w:color w:val="666155"/>
          <w:spacing w:val="-7"/>
        </w:rPr>
        <w:t> </w:t>
      </w:r>
      <w:r>
        <w:rPr>
          <w:color w:val="666155"/>
        </w:rPr>
        <w:t>consultations</w:t>
      </w:r>
      <w:r>
        <w:rPr>
          <w:color w:val="666155"/>
          <w:spacing w:val="-6"/>
        </w:rPr>
        <w:t> </w:t>
      </w:r>
      <w:r>
        <w:rPr>
          <w:color w:val="666155"/>
        </w:rPr>
        <w:t>for</w:t>
      </w:r>
      <w:r>
        <w:rPr>
          <w:color w:val="666155"/>
          <w:spacing w:val="-6"/>
        </w:rPr>
        <w:t> </w:t>
      </w:r>
      <w:r>
        <w:rPr>
          <w:color w:val="666155"/>
        </w:rPr>
        <w:t>this</w:t>
      </w:r>
      <w:r>
        <w:rPr>
          <w:color w:val="666155"/>
          <w:spacing w:val="-6"/>
        </w:rPr>
        <w:t> </w:t>
      </w:r>
      <w:r>
        <w:rPr>
          <w:color w:val="666155"/>
        </w:rPr>
        <w:t>report.</w:t>
      </w:r>
      <w:r>
        <w:rPr>
          <w:color w:val="666155"/>
          <w:spacing w:val="-7"/>
        </w:rPr>
        <w:t> </w:t>
      </w:r>
      <w:r>
        <w:rPr>
          <w:color w:val="666155"/>
        </w:rPr>
        <w:t>More</w:t>
      </w:r>
      <w:r>
        <w:rPr>
          <w:color w:val="666155"/>
          <w:spacing w:val="-5"/>
        </w:rPr>
        <w:t> </w:t>
      </w:r>
      <w:r>
        <w:rPr>
          <w:color w:val="666155"/>
        </w:rPr>
        <w:t>detail</w:t>
      </w:r>
      <w:r>
        <w:rPr>
          <w:color w:val="666155"/>
          <w:spacing w:val="-7"/>
        </w:rPr>
        <w:t> </w:t>
      </w:r>
      <w:r>
        <w:rPr>
          <w:color w:val="666155"/>
        </w:rPr>
        <w:t>about</w:t>
      </w:r>
      <w:r>
        <w:rPr>
          <w:color w:val="666155"/>
          <w:spacing w:val="-6"/>
        </w:rPr>
        <w:t> </w:t>
      </w:r>
      <w:r>
        <w:rPr>
          <w:color w:val="666155"/>
        </w:rPr>
        <w:t>the</w:t>
      </w:r>
      <w:r>
        <w:rPr>
          <w:color w:val="666155"/>
          <w:spacing w:val="-7"/>
        </w:rPr>
        <w:t> </w:t>
      </w:r>
      <w:r>
        <w:rPr>
          <w:color w:val="666155"/>
        </w:rPr>
        <w:t>recommendations</w:t>
      </w:r>
      <w:r>
        <w:rPr>
          <w:color w:val="666155"/>
          <w:spacing w:val="-8"/>
        </w:rPr>
        <w:t> </w:t>
      </w:r>
      <w:r>
        <w:rPr>
          <w:color w:val="666155"/>
          <w:spacing w:val="-1"/>
        </w:rPr>
        <w:t>is</w:t>
      </w:r>
      <w:r>
        <w:rPr>
          <w:color w:val="666155"/>
          <w:spacing w:val="19"/>
        </w:rPr>
        <w:t> </w:t>
      </w:r>
      <w:r>
        <w:rPr>
          <w:color w:val="666155"/>
        </w:rPr>
        <w:t>provided</w:t>
      </w:r>
      <w:r>
        <w:rPr>
          <w:color w:val="666155"/>
          <w:spacing w:val="-7"/>
        </w:rPr>
        <w:t> </w:t>
      </w:r>
      <w:r>
        <w:rPr>
          <w:color w:val="666155"/>
          <w:spacing w:val="-1"/>
        </w:rPr>
        <w:t>in</w:t>
      </w:r>
      <w:r>
        <w:rPr>
          <w:color w:val="666155"/>
          <w:spacing w:val="-5"/>
        </w:rPr>
        <w:t> </w:t>
      </w:r>
      <w:r>
        <w:rPr>
          <w:color w:val="666155"/>
        </w:rPr>
        <w:t>the</w:t>
      </w:r>
      <w:r>
        <w:rPr>
          <w:color w:val="666155"/>
          <w:spacing w:val="-6"/>
        </w:rPr>
        <w:t> </w:t>
      </w:r>
      <w:r>
        <w:rPr>
          <w:color w:val="666155"/>
        </w:rPr>
        <w:t>body</w:t>
      </w:r>
      <w:r>
        <w:rPr>
          <w:color w:val="666155"/>
          <w:spacing w:val="-6"/>
        </w:rPr>
        <w:t> </w:t>
      </w:r>
      <w:r>
        <w:rPr>
          <w:color w:val="666155"/>
        </w:rPr>
        <w:t>of</w:t>
      </w:r>
      <w:r>
        <w:rPr>
          <w:color w:val="666155"/>
          <w:spacing w:val="-5"/>
        </w:rPr>
        <w:t> </w:t>
      </w:r>
      <w:r>
        <w:rPr>
          <w:color w:val="666155"/>
        </w:rPr>
        <w:t>the</w:t>
      </w:r>
      <w:r>
        <w:rPr>
          <w:color w:val="666155"/>
          <w:spacing w:val="-6"/>
        </w:rPr>
        <w:t> </w:t>
      </w:r>
      <w:r>
        <w:rPr>
          <w:color w:val="666155"/>
        </w:rPr>
        <w:t>report.</w:t>
      </w:r>
      <w:r>
        <w:rPr/>
      </w:r>
    </w:p>
    <w:p>
      <w:pPr>
        <w:spacing w:line="240" w:lineRule="auto" w:before="5"/>
        <w:rPr>
          <w:rFonts w:ascii="Segoe UI" w:hAnsi="Segoe UI" w:cs="Segoe UI" w:eastAsia="Segoe UI"/>
          <w:sz w:val="16"/>
          <w:szCs w:val="16"/>
        </w:rPr>
      </w:pPr>
    </w:p>
    <w:p>
      <w:pPr>
        <w:spacing w:after="0" w:line="240" w:lineRule="auto"/>
        <w:rPr>
          <w:rFonts w:ascii="Segoe UI" w:hAnsi="Segoe UI" w:cs="Segoe UI" w:eastAsia="Segoe UI"/>
          <w:sz w:val="16"/>
          <w:szCs w:val="16"/>
        </w:rPr>
        <w:sectPr>
          <w:pgSz w:w="11910" w:h="16840"/>
          <w:pgMar w:header="0" w:footer="691" w:top="1580" w:bottom="880" w:left="1300" w:right="1600"/>
        </w:sectPr>
      </w:pPr>
    </w:p>
    <w:p>
      <w:pPr>
        <w:spacing w:before="35"/>
        <w:ind w:left="382" w:right="0" w:firstLine="0"/>
        <w:jc w:val="left"/>
        <w:rPr>
          <w:rFonts w:ascii="Segoe UI" w:hAnsi="Segoe UI" w:cs="Segoe UI" w:eastAsia="Segoe UI"/>
          <w:sz w:val="24"/>
          <w:szCs w:val="24"/>
        </w:rPr>
      </w:pPr>
      <w:r>
        <w:rPr/>
        <w:pict>
          <v:group style="position:absolute;margin-left:70.865997pt;margin-top:5.962849pt;width:8.8pt;height:8.8pt;mso-position-horizontal-relative:page;mso-position-vertical-relative:paragraph;z-index:1840" coordorigin="1417,119" coordsize="176,176">
            <v:shape style="position:absolute;left:1417;top:119;width:176;height:176" coordorigin="1417,119" coordsize="176,176" path="m1417,295l1593,295,1593,119,1417,119,1417,295xe" filled="true" fillcolor="#c1b5a9" stroked="false">
              <v:path arrowok="t"/>
              <v:fill type="solid"/>
            </v:shape>
            <w10:wrap type="none"/>
          </v:group>
        </w:pict>
      </w:r>
      <w:r>
        <w:rPr>
          <w:rFonts w:ascii="Segoe UI"/>
          <w:b/>
          <w:color w:val="00779B"/>
          <w:spacing w:val="-1"/>
          <w:sz w:val="24"/>
        </w:rPr>
        <w:t>Recommendation</w:t>
      </w:r>
      <w:r>
        <w:rPr>
          <w:rFonts w:ascii="Segoe UI"/>
          <w:b/>
          <w:color w:val="00779B"/>
          <w:spacing w:val="-7"/>
          <w:sz w:val="24"/>
        </w:rPr>
        <w:t> </w:t>
      </w:r>
      <w:r>
        <w:rPr>
          <w:rFonts w:ascii="Segoe UI"/>
          <w:b/>
          <w:color w:val="00779B"/>
          <w:spacing w:val="-1"/>
          <w:sz w:val="24"/>
        </w:rPr>
        <w:t>1:</w:t>
      </w:r>
      <w:r>
        <w:rPr>
          <w:rFonts w:ascii="Segoe UI"/>
          <w:b/>
          <w:color w:val="00779B"/>
          <w:spacing w:val="-6"/>
          <w:sz w:val="24"/>
        </w:rPr>
        <w:t> </w:t>
      </w:r>
      <w:r>
        <w:rPr>
          <w:rFonts w:ascii="Segoe UI"/>
          <w:color w:val="00779B"/>
          <w:spacing w:val="-1"/>
          <w:sz w:val="24"/>
        </w:rPr>
        <w:t>Data</w:t>
      </w:r>
      <w:r>
        <w:rPr>
          <w:rFonts w:ascii="Segoe UI"/>
          <w:color w:val="00779B"/>
          <w:spacing w:val="-5"/>
          <w:sz w:val="24"/>
        </w:rPr>
        <w:t> </w:t>
      </w:r>
      <w:r>
        <w:rPr>
          <w:rFonts w:ascii="Segoe UI"/>
          <w:color w:val="00779B"/>
          <w:sz w:val="24"/>
        </w:rPr>
        <w:t>recording</w:t>
      </w:r>
      <w:r>
        <w:rPr>
          <w:rFonts w:ascii="Segoe UI"/>
          <w:sz w:val="24"/>
        </w:rPr>
      </w:r>
    </w:p>
    <w:p>
      <w:pPr>
        <w:pStyle w:val="BodyText"/>
        <w:spacing w:line="250" w:lineRule="exact" w:before="75"/>
        <w:ind w:right="0"/>
        <w:jc w:val="left"/>
      </w:pPr>
      <w:r>
        <w:rPr>
          <w:rFonts w:ascii="Segoe UI"/>
          <w:color w:val="231F20"/>
        </w:rPr>
        <w:t>Improve and refine data collection by boarding </w:t>
      </w:r>
      <w:r>
        <w:rPr>
          <w:color w:val="231F20"/>
        </w:rPr>
        <w:t>providers</w:t>
      </w:r>
      <w:r>
        <w:rPr>
          <w:color w:val="231F20"/>
          <w:spacing w:val="-7"/>
        </w:rPr>
        <w:t> </w:t>
      </w:r>
      <w:r>
        <w:rPr>
          <w:color w:val="231F20"/>
        </w:rPr>
        <w:t>for</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w:t>
      </w:r>
      <w:r>
        <w:rPr>
          <w:color w:val="231F20"/>
          <w:spacing w:val="-6"/>
        </w:rPr>
        <w:t> </w:t>
      </w:r>
      <w:r>
        <w:rPr>
          <w:color w:val="231F20"/>
          <w:spacing w:val="-2"/>
        </w:rPr>
        <w:t>Strait</w:t>
      </w:r>
      <w:r>
        <w:rPr>
          <w:color w:val="231F20"/>
          <w:spacing w:val="29"/>
          <w:w w:val="99"/>
        </w:rPr>
        <w:t> </w:t>
      </w:r>
      <w:r>
        <w:rPr>
          <w:color w:val="231F20"/>
          <w:spacing w:val="-1"/>
        </w:rPr>
        <w:t>Islander</w:t>
      </w:r>
      <w:r>
        <w:rPr>
          <w:color w:val="231F20"/>
          <w:spacing w:val="-5"/>
        </w:rPr>
        <w:t> </w:t>
      </w:r>
      <w:r>
        <w:rPr>
          <w:color w:val="231F20"/>
          <w:spacing w:val="-1"/>
        </w:rPr>
        <w:t>students</w:t>
      </w:r>
      <w:r>
        <w:rPr>
          <w:color w:val="231F20"/>
          <w:spacing w:val="-5"/>
        </w:rPr>
        <w:t> </w:t>
      </w:r>
      <w:r>
        <w:rPr>
          <w:color w:val="231F20"/>
        </w:rPr>
        <w:t>to</w:t>
      </w:r>
      <w:r>
        <w:rPr>
          <w:color w:val="231F20"/>
          <w:spacing w:val="-4"/>
        </w:rPr>
        <w:t> </w:t>
      </w:r>
      <w:r>
        <w:rPr>
          <w:color w:val="231F20"/>
        </w:rPr>
        <w:t>assist</w:t>
      </w:r>
      <w:r>
        <w:rPr>
          <w:color w:val="231F20"/>
          <w:spacing w:val="-6"/>
        </w:rPr>
        <w:t> </w:t>
      </w:r>
      <w:r>
        <w:rPr>
          <w:color w:val="231F20"/>
        </w:rPr>
        <w:t>government</w:t>
      </w:r>
      <w:r>
        <w:rPr>
          <w:color w:val="231F20"/>
          <w:spacing w:val="-5"/>
        </w:rPr>
        <w:t> </w:t>
      </w:r>
      <w:r>
        <w:rPr>
          <w:color w:val="231F20"/>
        </w:rPr>
        <w:t>and</w:t>
      </w:r>
      <w:r>
        <w:rPr>
          <w:color w:val="231F20"/>
          <w:spacing w:val="23"/>
          <w:w w:val="99"/>
        </w:rPr>
        <w:t> </w:t>
      </w:r>
      <w:r>
        <w:rPr>
          <w:color w:val="231F20"/>
        </w:rPr>
        <w:t>boarding</w:t>
      </w:r>
      <w:r>
        <w:rPr>
          <w:color w:val="231F20"/>
          <w:spacing w:val="-7"/>
        </w:rPr>
        <w:t> </w:t>
      </w:r>
      <w:r>
        <w:rPr>
          <w:color w:val="231F20"/>
        </w:rPr>
        <w:t>providers</w:t>
      </w:r>
      <w:r>
        <w:rPr>
          <w:color w:val="231F20"/>
          <w:spacing w:val="-6"/>
        </w:rPr>
        <w:t> </w:t>
      </w:r>
      <w:r>
        <w:rPr>
          <w:color w:val="231F20"/>
        </w:rPr>
        <w:t>to</w:t>
      </w:r>
      <w:r>
        <w:rPr>
          <w:color w:val="231F20"/>
          <w:spacing w:val="-5"/>
        </w:rPr>
        <w:t> </w:t>
      </w:r>
      <w:r>
        <w:rPr>
          <w:color w:val="231F20"/>
          <w:spacing w:val="-1"/>
        </w:rPr>
        <w:t>make</w:t>
      </w:r>
      <w:r>
        <w:rPr>
          <w:color w:val="231F20"/>
          <w:spacing w:val="-5"/>
        </w:rPr>
        <w:t> </w:t>
      </w:r>
      <w:r>
        <w:rPr>
          <w:color w:val="231F20"/>
          <w:spacing w:val="-1"/>
        </w:rPr>
        <w:t>informed</w:t>
      </w:r>
      <w:r>
        <w:rPr>
          <w:color w:val="231F20"/>
          <w:spacing w:val="-6"/>
        </w:rPr>
        <w:t> </w:t>
      </w:r>
      <w:r>
        <w:rPr>
          <w:color w:val="231F20"/>
        </w:rPr>
        <w:t>decisions</w:t>
      </w:r>
      <w:r>
        <w:rPr>
          <w:color w:val="231F20"/>
          <w:spacing w:val="23"/>
        </w:rPr>
        <w:t> </w:t>
      </w:r>
      <w:r>
        <w:rPr>
          <w:color w:val="231F20"/>
        </w:rPr>
        <w:t>about</w:t>
      </w:r>
      <w:r>
        <w:rPr>
          <w:color w:val="231F20"/>
          <w:spacing w:val="-9"/>
        </w:rPr>
        <w:t> </w:t>
      </w:r>
      <w:r>
        <w:rPr>
          <w:color w:val="231F20"/>
        </w:rPr>
        <w:t>boarding,</w:t>
      </w:r>
      <w:r>
        <w:rPr>
          <w:color w:val="231F20"/>
          <w:spacing w:val="-8"/>
        </w:rPr>
        <w:t> </w:t>
      </w:r>
      <w:r>
        <w:rPr>
          <w:color w:val="231F20"/>
        </w:rPr>
        <w:t>funding</w:t>
      </w:r>
      <w:r>
        <w:rPr>
          <w:color w:val="231F20"/>
          <w:spacing w:val="-8"/>
        </w:rPr>
        <w:t> </w:t>
      </w:r>
      <w:r>
        <w:rPr>
          <w:color w:val="231F20"/>
        </w:rPr>
        <w:t>and</w:t>
      </w:r>
      <w:r>
        <w:rPr>
          <w:color w:val="231F20"/>
          <w:spacing w:val="-9"/>
        </w:rPr>
        <w:t> </w:t>
      </w:r>
      <w:r>
        <w:rPr>
          <w:color w:val="231F20"/>
        </w:rPr>
        <w:t>policy,</w:t>
      </w:r>
      <w:r>
        <w:rPr>
          <w:color w:val="231F20"/>
          <w:spacing w:val="-8"/>
        </w:rPr>
        <w:t> </w:t>
      </w:r>
      <w:r>
        <w:rPr>
          <w:color w:val="231F20"/>
          <w:spacing w:val="-1"/>
        </w:rPr>
        <w:t>including</w:t>
      </w:r>
      <w:r>
        <w:rPr>
          <w:color w:val="231F20"/>
          <w:spacing w:val="20"/>
          <w:w w:val="99"/>
        </w:rPr>
        <w:t> </w:t>
      </w:r>
      <w:r>
        <w:rPr>
          <w:color w:val="231F20"/>
        </w:rPr>
        <w:t>but</w:t>
      </w:r>
      <w:r>
        <w:rPr>
          <w:color w:val="231F20"/>
          <w:spacing w:val="-3"/>
        </w:rPr>
        <w:t> </w:t>
      </w:r>
      <w:r>
        <w:rPr>
          <w:color w:val="231F20"/>
        </w:rPr>
        <w:t>not</w:t>
      </w:r>
      <w:r>
        <w:rPr>
          <w:color w:val="231F20"/>
          <w:spacing w:val="-2"/>
        </w:rPr>
        <w:t> </w:t>
      </w:r>
      <w:r>
        <w:rPr>
          <w:color w:val="231F20"/>
          <w:spacing w:val="-1"/>
        </w:rPr>
        <w:t>limited</w:t>
      </w:r>
      <w:r>
        <w:rPr>
          <w:color w:val="231F20"/>
          <w:spacing w:val="-2"/>
        </w:rPr>
        <w:t> </w:t>
      </w:r>
      <w:r>
        <w:rPr>
          <w:color w:val="231F20"/>
        </w:rPr>
        <w:t>to</w:t>
      </w:r>
      <w:r>
        <w:rPr>
          <w:color w:val="231F20"/>
          <w:spacing w:val="-2"/>
        </w:rPr>
        <w:t> </w:t>
      </w:r>
      <w:r>
        <w:rPr>
          <w:color w:val="231F20"/>
        </w:rPr>
        <w:t>expulsion,</w:t>
      </w:r>
      <w:r>
        <w:rPr>
          <w:color w:val="231F20"/>
          <w:spacing w:val="-3"/>
        </w:rPr>
        <w:t> </w:t>
      </w:r>
      <w:r>
        <w:rPr>
          <w:color w:val="231F20"/>
        </w:rPr>
        <w:t>exclusion</w:t>
      </w:r>
      <w:r>
        <w:rPr>
          <w:color w:val="231F20"/>
          <w:spacing w:val="-3"/>
        </w:rPr>
        <w:t> </w:t>
      </w:r>
      <w:r>
        <w:rPr>
          <w:color w:val="231F20"/>
        </w:rPr>
        <w:t>and</w:t>
      </w:r>
      <w:r>
        <w:rPr>
          <w:color w:val="231F20"/>
          <w:spacing w:val="22"/>
          <w:w w:val="99"/>
        </w:rPr>
        <w:t> </w:t>
      </w:r>
      <w:r>
        <w:rPr>
          <w:color w:val="231F20"/>
          <w:spacing w:val="-1"/>
        </w:rPr>
        <w:t>suspension</w:t>
      </w:r>
      <w:r>
        <w:rPr>
          <w:color w:val="231F20"/>
          <w:spacing w:val="-5"/>
        </w:rPr>
        <w:t> </w:t>
      </w:r>
      <w:r>
        <w:rPr>
          <w:color w:val="231F20"/>
        </w:rPr>
        <w:t>data</w:t>
      </w:r>
      <w:r>
        <w:rPr>
          <w:color w:val="231F20"/>
          <w:spacing w:val="-6"/>
        </w:rPr>
        <w:t> </w:t>
      </w:r>
      <w:r>
        <w:rPr>
          <w:color w:val="231F20"/>
        </w:rPr>
        <w:t>and</w:t>
      </w:r>
      <w:r>
        <w:rPr>
          <w:color w:val="231F20"/>
          <w:spacing w:val="-6"/>
        </w:rPr>
        <w:t> </w:t>
      </w:r>
      <w:r>
        <w:rPr>
          <w:color w:val="231F20"/>
        </w:rPr>
        <w:t>the</w:t>
      </w:r>
      <w:r>
        <w:rPr>
          <w:color w:val="231F20"/>
          <w:spacing w:val="-6"/>
        </w:rPr>
        <w:t> </w:t>
      </w:r>
      <w:r>
        <w:rPr>
          <w:color w:val="231F20"/>
          <w:spacing w:val="-1"/>
        </w:rPr>
        <w:t>separate</w:t>
      </w:r>
      <w:r>
        <w:rPr>
          <w:color w:val="231F20"/>
          <w:spacing w:val="-4"/>
        </w:rPr>
        <w:t> </w:t>
      </w:r>
      <w:r>
        <w:rPr>
          <w:color w:val="231F20"/>
        </w:rPr>
        <w:t>reporting</w:t>
      </w:r>
      <w:r>
        <w:rPr/>
      </w:r>
    </w:p>
    <w:p>
      <w:pPr>
        <w:pStyle w:val="BodyText"/>
        <w:spacing w:line="250" w:lineRule="exact"/>
        <w:ind w:right="85"/>
        <w:jc w:val="left"/>
      </w:pPr>
      <w:r>
        <w:rPr>
          <w:color w:val="231F20"/>
        </w:rPr>
        <w:t>of</w:t>
      </w:r>
      <w:r>
        <w:rPr>
          <w:color w:val="231F20"/>
          <w:spacing w:val="-6"/>
        </w:rPr>
        <w:t> </w:t>
      </w:r>
      <w:r>
        <w:rPr>
          <w:color w:val="231F20"/>
        </w:rPr>
        <w:t>direct</w:t>
      </w:r>
      <w:r>
        <w:rPr>
          <w:color w:val="231F20"/>
          <w:spacing w:val="-6"/>
        </w:rPr>
        <w:t> </w:t>
      </w:r>
      <w:r>
        <w:rPr>
          <w:color w:val="231F20"/>
        </w:rPr>
        <w:t>and</w:t>
      </w:r>
      <w:r>
        <w:rPr>
          <w:color w:val="231F20"/>
          <w:spacing w:val="-6"/>
        </w:rPr>
        <w:t> </w:t>
      </w:r>
      <w:r>
        <w:rPr>
          <w:color w:val="231F20"/>
        </w:rPr>
        <w:t>attributable</w:t>
      </w:r>
      <w:r>
        <w:rPr>
          <w:color w:val="231F20"/>
          <w:spacing w:val="-6"/>
        </w:rPr>
        <w:t> </w:t>
      </w:r>
      <w:r>
        <w:rPr>
          <w:color w:val="231F20"/>
        </w:rPr>
        <w:t>costs</w:t>
      </w:r>
      <w:r>
        <w:rPr>
          <w:color w:val="231F20"/>
          <w:spacing w:val="-6"/>
        </w:rPr>
        <w:t> </w:t>
      </w:r>
      <w:r>
        <w:rPr>
          <w:color w:val="231F20"/>
        </w:rPr>
        <w:t>of</w:t>
      </w:r>
      <w:r>
        <w:rPr>
          <w:color w:val="231F20"/>
          <w:spacing w:val="-5"/>
        </w:rPr>
        <w:t> </w:t>
      </w:r>
      <w:r>
        <w:rPr>
          <w:color w:val="231F20"/>
        </w:rPr>
        <w:t>boarding</w:t>
      </w:r>
      <w:r>
        <w:rPr>
          <w:color w:val="231F20"/>
          <w:w w:val="99"/>
        </w:rPr>
        <w:t> </w:t>
      </w:r>
      <w:r>
        <w:rPr>
          <w:color w:val="231F20"/>
        </w:rPr>
        <w:t>and</w:t>
      </w:r>
      <w:r>
        <w:rPr>
          <w:color w:val="231F20"/>
          <w:spacing w:val="-5"/>
        </w:rPr>
        <w:t> </w:t>
      </w:r>
      <w:r>
        <w:rPr>
          <w:color w:val="231F20"/>
          <w:spacing w:val="-1"/>
        </w:rPr>
        <w:t>support</w:t>
      </w:r>
      <w:r>
        <w:rPr>
          <w:color w:val="231F20"/>
          <w:spacing w:val="-3"/>
        </w:rPr>
        <w:t> </w:t>
      </w:r>
      <w:r>
        <w:rPr>
          <w:color w:val="231F20"/>
          <w:spacing w:val="-1"/>
        </w:rPr>
        <w:t>services.</w:t>
      </w:r>
      <w:r>
        <w:rPr>
          <w:color w:val="231F20"/>
          <w:spacing w:val="-3"/>
        </w:rPr>
        <w:t> </w:t>
      </w:r>
      <w:r>
        <w:rPr>
          <w:color w:val="231F20"/>
          <w:spacing w:val="-1"/>
        </w:rPr>
        <w:t>For</w:t>
      </w:r>
      <w:r>
        <w:rPr>
          <w:color w:val="231F20"/>
          <w:spacing w:val="-3"/>
        </w:rPr>
        <w:t> </w:t>
      </w:r>
      <w:r>
        <w:rPr>
          <w:color w:val="231F20"/>
        </w:rPr>
        <w:t>consistency</w:t>
      </w:r>
      <w:r>
        <w:rPr>
          <w:color w:val="231F20"/>
          <w:spacing w:val="-4"/>
        </w:rPr>
        <w:t> </w:t>
      </w:r>
      <w:r>
        <w:rPr>
          <w:color w:val="231F20"/>
        </w:rPr>
        <w:t>the</w:t>
      </w:r>
      <w:r>
        <w:rPr>
          <w:color w:val="231F20"/>
          <w:spacing w:val="-5"/>
        </w:rPr>
        <w:t> </w:t>
      </w:r>
      <w:r>
        <w:rPr>
          <w:color w:val="231F20"/>
        </w:rPr>
        <w:t>data,</w:t>
      </w:r>
      <w:r>
        <w:rPr>
          <w:color w:val="231F20"/>
          <w:spacing w:val="24"/>
          <w:w w:val="99"/>
        </w:rPr>
        <w:t> </w:t>
      </w:r>
      <w:r>
        <w:rPr>
          <w:color w:val="231F20"/>
          <w:spacing w:val="-1"/>
        </w:rPr>
        <w:t>including</w:t>
      </w:r>
      <w:r>
        <w:rPr>
          <w:color w:val="231F20"/>
          <w:spacing w:val="-10"/>
        </w:rPr>
        <w:t> </w:t>
      </w:r>
      <w:r>
        <w:rPr>
          <w:color w:val="231F20"/>
        </w:rPr>
        <w:t>for</w:t>
      </w:r>
      <w:r>
        <w:rPr>
          <w:color w:val="231F20"/>
          <w:spacing w:val="-9"/>
        </w:rPr>
        <w:t> </w:t>
      </w:r>
      <w:r>
        <w:rPr>
          <w:color w:val="231F20"/>
          <w:spacing w:val="-1"/>
        </w:rPr>
        <w:t>standalone</w:t>
      </w:r>
      <w:r>
        <w:rPr>
          <w:color w:val="231F20"/>
          <w:spacing w:val="-8"/>
        </w:rPr>
        <w:t> </w:t>
      </w:r>
      <w:r>
        <w:rPr>
          <w:color w:val="231F20"/>
        </w:rPr>
        <w:t>boarding</w:t>
      </w:r>
      <w:r>
        <w:rPr>
          <w:color w:val="231F20"/>
          <w:spacing w:val="-11"/>
        </w:rPr>
        <w:t> </w:t>
      </w:r>
      <w:r>
        <w:rPr>
          <w:color w:val="231F20"/>
        </w:rPr>
        <w:t>providers,</w:t>
      </w:r>
      <w:r>
        <w:rPr>
          <w:color w:val="231F20"/>
          <w:spacing w:val="23"/>
          <w:w w:val="99"/>
        </w:rPr>
        <w:t> </w:t>
      </w:r>
      <w:r>
        <w:rPr>
          <w:color w:val="231F20"/>
          <w:spacing w:val="-1"/>
        </w:rPr>
        <w:t>should</w:t>
      </w:r>
      <w:r>
        <w:rPr>
          <w:color w:val="231F20"/>
          <w:spacing w:val="-5"/>
        </w:rPr>
        <w:t> </w:t>
      </w:r>
      <w:r>
        <w:rPr>
          <w:color w:val="231F20"/>
        </w:rPr>
        <w:t>be</w:t>
      </w:r>
      <w:r>
        <w:rPr>
          <w:color w:val="231F20"/>
          <w:spacing w:val="-5"/>
        </w:rPr>
        <w:t> </w:t>
      </w:r>
      <w:r>
        <w:rPr>
          <w:color w:val="231F20"/>
        </w:rPr>
        <w:t>provided</w:t>
      </w:r>
      <w:r>
        <w:rPr>
          <w:color w:val="231F20"/>
          <w:spacing w:val="-5"/>
        </w:rPr>
        <w:t> </w:t>
      </w:r>
      <w:r>
        <w:rPr>
          <w:color w:val="231F20"/>
        </w:rPr>
        <w:t>to</w:t>
      </w:r>
      <w:r>
        <w:rPr>
          <w:color w:val="231F20"/>
          <w:spacing w:val="-5"/>
        </w:rPr>
        <w:t> </w:t>
      </w:r>
      <w:r>
        <w:rPr>
          <w:color w:val="231F20"/>
        </w:rPr>
        <w:t>the</w:t>
      </w:r>
      <w:r>
        <w:rPr>
          <w:color w:val="231F20"/>
          <w:spacing w:val="-5"/>
        </w:rPr>
        <w:t> </w:t>
      </w:r>
      <w:r>
        <w:rPr>
          <w:color w:val="231F20"/>
          <w:spacing w:val="-1"/>
        </w:rPr>
        <w:t>Department</w:t>
      </w:r>
      <w:r>
        <w:rPr>
          <w:color w:val="231F20"/>
          <w:spacing w:val="-5"/>
        </w:rPr>
        <w:t> </w:t>
      </w:r>
      <w:r>
        <w:rPr>
          <w:color w:val="231F20"/>
        </w:rPr>
        <w:t>of</w:t>
      </w:r>
      <w:r>
        <w:rPr>
          <w:color w:val="231F20"/>
          <w:spacing w:val="23"/>
          <w:w w:val="99"/>
        </w:rPr>
        <w:t> </w:t>
      </w:r>
      <w:r>
        <w:rPr>
          <w:color w:val="231F20"/>
        </w:rPr>
        <w:t>Education</w:t>
      </w:r>
      <w:r>
        <w:rPr>
          <w:color w:val="231F20"/>
          <w:spacing w:val="-7"/>
        </w:rPr>
        <w:t> </w:t>
      </w:r>
      <w:r>
        <w:rPr>
          <w:color w:val="231F20"/>
        </w:rPr>
        <w:t>and</w:t>
      </w:r>
      <w:r>
        <w:rPr>
          <w:color w:val="231F20"/>
          <w:spacing w:val="-7"/>
        </w:rPr>
        <w:t> </w:t>
      </w:r>
      <w:r>
        <w:rPr>
          <w:color w:val="231F20"/>
          <w:spacing w:val="-3"/>
        </w:rPr>
        <w:t>Training</w:t>
      </w:r>
      <w:r>
        <w:rPr>
          <w:color w:val="231F20"/>
          <w:spacing w:val="-7"/>
        </w:rPr>
        <w:t> </w:t>
      </w:r>
      <w:r>
        <w:rPr>
          <w:color w:val="231F20"/>
        </w:rPr>
        <w:t>to</w:t>
      </w:r>
      <w:r>
        <w:rPr>
          <w:color w:val="231F20"/>
          <w:spacing w:val="-6"/>
        </w:rPr>
        <w:t> </w:t>
      </w:r>
      <w:r>
        <w:rPr>
          <w:color w:val="231F20"/>
        </w:rPr>
        <w:t>develop</w:t>
      </w:r>
      <w:r>
        <w:rPr>
          <w:color w:val="231F20"/>
          <w:spacing w:val="-7"/>
        </w:rPr>
        <w:t> </w:t>
      </w:r>
      <w:r>
        <w:rPr>
          <w:color w:val="231F20"/>
        </w:rPr>
        <w:t>a</w:t>
      </w:r>
      <w:r>
        <w:rPr>
          <w:color w:val="231F20"/>
          <w:spacing w:val="-6"/>
        </w:rPr>
        <w:t> </w:t>
      </w:r>
      <w:r>
        <w:rPr>
          <w:color w:val="231F20"/>
        </w:rPr>
        <w:t>central</w:t>
      </w:r>
      <w:r>
        <w:rPr>
          <w:color w:val="231F20"/>
          <w:spacing w:val="26"/>
          <w:w w:val="99"/>
        </w:rPr>
        <w:t> </w:t>
      </w:r>
      <w:r>
        <w:rPr>
          <w:color w:val="231F20"/>
        </w:rPr>
        <w:t>repository</w:t>
      </w:r>
      <w:r>
        <w:rPr>
          <w:color w:val="231F20"/>
          <w:spacing w:val="-9"/>
        </w:rPr>
        <w:t> </w:t>
      </w:r>
      <w:r>
        <w:rPr>
          <w:color w:val="231F20"/>
        </w:rPr>
        <w:t>of</w:t>
      </w:r>
      <w:r>
        <w:rPr>
          <w:color w:val="231F20"/>
          <w:spacing w:val="-7"/>
        </w:rPr>
        <w:t> </w:t>
      </w:r>
      <w:r>
        <w:rPr>
          <w:color w:val="231F20"/>
        </w:rPr>
        <w:t>data</w:t>
      </w:r>
      <w:r>
        <w:rPr>
          <w:color w:val="231F20"/>
          <w:spacing w:val="-8"/>
        </w:rPr>
        <w:t> </w:t>
      </w:r>
      <w:r>
        <w:rPr>
          <w:color w:val="231F20"/>
        </w:rPr>
        <w:t>regarding</w:t>
      </w:r>
      <w:r>
        <w:rPr>
          <w:color w:val="231F20"/>
          <w:spacing w:val="-8"/>
        </w:rPr>
        <w:t> </w:t>
      </w:r>
      <w:r>
        <w:rPr>
          <w:color w:val="231F20"/>
        </w:rPr>
        <w:t>boarders</w:t>
      </w:r>
      <w:r>
        <w:rPr>
          <w:color w:val="231F20"/>
          <w:spacing w:val="-8"/>
        </w:rPr>
        <w:t> </w:t>
      </w:r>
      <w:r>
        <w:rPr>
          <w:color w:val="231F20"/>
        </w:rPr>
        <w:t>and</w:t>
      </w:r>
      <w:r>
        <w:rPr>
          <w:color w:val="231F20"/>
          <w:w w:val="99"/>
        </w:rPr>
        <w:t> </w:t>
      </w:r>
      <w:r>
        <w:rPr>
          <w:color w:val="231F20"/>
        </w:rPr>
        <w:t>boarding.</w:t>
      </w:r>
      <w:r>
        <w:rPr/>
      </w:r>
    </w:p>
    <w:p>
      <w:pPr>
        <w:spacing w:line="240" w:lineRule="auto" w:before="9"/>
        <w:rPr>
          <w:rFonts w:ascii="Segoe UI" w:hAnsi="Segoe UI" w:cs="Segoe UI" w:eastAsia="Segoe UI"/>
          <w:sz w:val="15"/>
          <w:szCs w:val="15"/>
        </w:rPr>
      </w:pPr>
    </w:p>
    <w:p>
      <w:pPr>
        <w:spacing w:line="300" w:lineRule="exact" w:before="0"/>
        <w:ind w:left="117" w:right="85" w:firstLine="264"/>
        <w:jc w:val="left"/>
        <w:rPr>
          <w:rFonts w:ascii="Segoe UI" w:hAnsi="Segoe UI" w:cs="Segoe UI" w:eastAsia="Segoe UI"/>
          <w:sz w:val="24"/>
          <w:szCs w:val="24"/>
        </w:rPr>
      </w:pPr>
      <w:r>
        <w:rPr/>
        <w:pict>
          <v:group style="position:absolute;margin-left:70.865997pt;margin-top:3.468412pt;width:8.8pt;height:8.8pt;mso-position-horizontal-relative:page;mso-position-vertical-relative:paragraph;z-index:-228328" coordorigin="1417,69" coordsize="176,176">
            <v:shape style="position:absolute;left:1417;top:69;width:176;height:176" coordorigin="1417,69" coordsize="176,176" path="m1417,245l1593,245,1593,69,1417,69,1417,245xe" filled="true" fillcolor="#c1b5a9" stroked="false">
              <v:path arrowok="t"/>
              <v:fill type="solid"/>
            </v:shape>
            <w10:wrap type="none"/>
          </v:group>
        </w:pict>
      </w:r>
      <w:r>
        <w:rPr>
          <w:rFonts w:ascii="Segoe UI"/>
          <w:b/>
          <w:color w:val="00779B"/>
          <w:spacing w:val="-1"/>
          <w:sz w:val="24"/>
        </w:rPr>
        <w:t>Recommendation</w:t>
      </w:r>
      <w:r>
        <w:rPr>
          <w:rFonts w:ascii="Segoe UI"/>
          <w:b/>
          <w:color w:val="00779B"/>
          <w:spacing w:val="-6"/>
          <w:sz w:val="24"/>
        </w:rPr>
        <w:t> </w:t>
      </w:r>
      <w:r>
        <w:rPr>
          <w:rFonts w:ascii="Segoe UI"/>
          <w:b/>
          <w:color w:val="00779B"/>
          <w:spacing w:val="-1"/>
          <w:sz w:val="24"/>
        </w:rPr>
        <w:t>2:</w:t>
      </w:r>
      <w:r>
        <w:rPr>
          <w:rFonts w:ascii="Segoe UI"/>
          <w:b/>
          <w:color w:val="00779B"/>
          <w:spacing w:val="-4"/>
          <w:sz w:val="24"/>
        </w:rPr>
        <w:t> </w:t>
      </w:r>
      <w:r>
        <w:rPr>
          <w:rFonts w:ascii="Segoe UI"/>
          <w:color w:val="00779B"/>
          <w:sz w:val="24"/>
        </w:rPr>
        <w:t>Health</w:t>
      </w:r>
      <w:r>
        <w:rPr>
          <w:rFonts w:ascii="Segoe UI"/>
          <w:color w:val="00779B"/>
          <w:spacing w:val="28"/>
          <w:w w:val="99"/>
          <w:sz w:val="24"/>
        </w:rPr>
        <w:t> </w:t>
      </w:r>
      <w:r>
        <w:rPr>
          <w:rFonts w:ascii="Segoe UI"/>
          <w:color w:val="00779B"/>
          <w:spacing w:val="-1"/>
          <w:sz w:val="24"/>
        </w:rPr>
        <w:t>management</w:t>
      </w:r>
      <w:r>
        <w:rPr>
          <w:rFonts w:ascii="Segoe UI"/>
          <w:sz w:val="24"/>
        </w:rPr>
      </w:r>
    </w:p>
    <w:p>
      <w:pPr>
        <w:pStyle w:val="BodyText"/>
        <w:spacing w:line="250" w:lineRule="exact" w:before="75"/>
        <w:ind w:right="223"/>
        <w:jc w:val="left"/>
      </w:pPr>
      <w:r>
        <w:rPr>
          <w:color w:val="231F20"/>
        </w:rPr>
        <w:t>Many</w:t>
      </w:r>
      <w:r>
        <w:rPr>
          <w:color w:val="231F20"/>
          <w:spacing w:val="-6"/>
        </w:rPr>
        <w:t> </w:t>
      </w:r>
      <w:r>
        <w:rPr>
          <w:color w:val="231F20"/>
        </w:rPr>
        <w:t>Aboriginal</w:t>
      </w:r>
      <w:r>
        <w:rPr>
          <w:color w:val="231F20"/>
          <w:spacing w:val="-6"/>
        </w:rPr>
        <w:t> </w:t>
      </w:r>
      <w:r>
        <w:rPr>
          <w:color w:val="231F20"/>
        </w:rPr>
        <w:t>and</w:t>
      </w:r>
      <w:r>
        <w:rPr>
          <w:color w:val="231F20"/>
          <w:spacing w:val="-6"/>
        </w:rPr>
        <w:t> </w:t>
      </w:r>
      <w:r>
        <w:rPr>
          <w:color w:val="231F20"/>
          <w:spacing w:val="-5"/>
        </w:rPr>
        <w:t>Torres </w:t>
      </w:r>
      <w:r>
        <w:rPr>
          <w:color w:val="231F20"/>
          <w:spacing w:val="-2"/>
        </w:rPr>
        <w:t>Strait</w:t>
      </w:r>
      <w:r>
        <w:rPr>
          <w:color w:val="231F20"/>
          <w:spacing w:val="-7"/>
        </w:rPr>
        <w:t> </w:t>
      </w:r>
      <w:r>
        <w:rPr>
          <w:color w:val="231F20"/>
          <w:spacing w:val="-1"/>
        </w:rPr>
        <w:t>Islander</w:t>
      </w:r>
      <w:r>
        <w:rPr>
          <w:color w:val="231F20"/>
          <w:spacing w:val="29"/>
          <w:w w:val="99"/>
        </w:rPr>
        <w:t> </w:t>
      </w:r>
      <w:r>
        <w:rPr>
          <w:color w:val="231F20"/>
          <w:spacing w:val="-1"/>
        </w:rPr>
        <w:t>students</w:t>
      </w:r>
      <w:r>
        <w:rPr>
          <w:color w:val="231F20"/>
          <w:spacing w:val="-6"/>
        </w:rPr>
        <w:t> </w:t>
      </w:r>
      <w:r>
        <w:rPr>
          <w:color w:val="231F20"/>
        </w:rPr>
        <w:t>attending</w:t>
      </w:r>
      <w:r>
        <w:rPr>
          <w:color w:val="231F20"/>
          <w:spacing w:val="-7"/>
        </w:rPr>
        <w:t> </w:t>
      </w:r>
      <w:r>
        <w:rPr>
          <w:color w:val="231F20"/>
        </w:rPr>
        <w:t>boarding</w:t>
      </w:r>
      <w:r>
        <w:rPr>
          <w:color w:val="231F20"/>
          <w:spacing w:val="-7"/>
        </w:rPr>
        <w:t> </w:t>
      </w:r>
      <w:r>
        <w:rPr>
          <w:color w:val="231F20"/>
        </w:rPr>
        <w:t>face</w:t>
      </w:r>
      <w:r>
        <w:rPr>
          <w:color w:val="231F20"/>
          <w:spacing w:val="-6"/>
        </w:rPr>
        <w:t> </w:t>
      </w:r>
      <w:r>
        <w:rPr>
          <w:color w:val="231F20"/>
        </w:rPr>
        <w:t>‘barriers</w:t>
      </w:r>
      <w:r>
        <w:rPr>
          <w:color w:val="231F20"/>
          <w:spacing w:val="-6"/>
        </w:rPr>
        <w:t> </w:t>
      </w:r>
      <w:r>
        <w:rPr>
          <w:color w:val="231F20"/>
        </w:rPr>
        <w:t>to</w:t>
      </w:r>
      <w:r>
        <w:rPr>
          <w:color w:val="231F20"/>
          <w:spacing w:val="22"/>
          <w:w w:val="99"/>
        </w:rPr>
        <w:t> </w:t>
      </w:r>
      <w:r>
        <w:rPr>
          <w:color w:val="231F20"/>
        </w:rPr>
        <w:t>achievement’.</w:t>
      </w:r>
      <w:r>
        <w:rPr>
          <w:color w:val="231F20"/>
          <w:spacing w:val="-10"/>
        </w:rPr>
        <w:t> </w:t>
      </w:r>
      <w:r>
        <w:rPr>
          <w:color w:val="231F20"/>
          <w:spacing w:val="-1"/>
        </w:rPr>
        <w:t>Boarding</w:t>
      </w:r>
      <w:r>
        <w:rPr>
          <w:color w:val="231F20"/>
          <w:spacing w:val="-9"/>
        </w:rPr>
        <w:t> </w:t>
      </w:r>
      <w:r>
        <w:rPr>
          <w:color w:val="231F20"/>
        </w:rPr>
        <w:t>providers</w:t>
      </w:r>
      <w:r>
        <w:rPr>
          <w:color w:val="231F20"/>
          <w:spacing w:val="-10"/>
        </w:rPr>
        <w:t> </w:t>
      </w:r>
      <w:r>
        <w:rPr>
          <w:color w:val="231F20"/>
        </w:rPr>
        <w:t>deliver</w:t>
      </w:r>
      <w:r>
        <w:rPr>
          <w:color w:val="231F20"/>
          <w:spacing w:val="-10"/>
        </w:rPr>
        <w:t> </w:t>
      </w:r>
      <w:r>
        <w:rPr>
          <w:color w:val="231F20"/>
        </w:rPr>
        <w:t>a</w:t>
      </w:r>
      <w:r>
        <w:rPr>
          <w:color w:val="231F20"/>
          <w:spacing w:val="22"/>
          <w:w w:val="99"/>
        </w:rPr>
        <w:t> </w:t>
      </w:r>
      <w:r>
        <w:rPr>
          <w:color w:val="231F20"/>
        </w:rPr>
        <w:t>range</w:t>
      </w:r>
      <w:r>
        <w:rPr>
          <w:color w:val="231F20"/>
          <w:spacing w:val="-6"/>
        </w:rPr>
        <w:t> </w:t>
      </w:r>
      <w:r>
        <w:rPr>
          <w:color w:val="231F20"/>
        </w:rPr>
        <w:t>of</w:t>
      </w:r>
      <w:r>
        <w:rPr>
          <w:color w:val="231F20"/>
          <w:spacing w:val="-5"/>
        </w:rPr>
        <w:t> </w:t>
      </w:r>
      <w:r>
        <w:rPr>
          <w:color w:val="231F20"/>
          <w:spacing w:val="-1"/>
        </w:rPr>
        <w:t>support</w:t>
      </w:r>
      <w:r>
        <w:rPr>
          <w:color w:val="231F20"/>
          <w:spacing w:val="-4"/>
        </w:rPr>
        <w:t> </w:t>
      </w:r>
      <w:r>
        <w:rPr>
          <w:color w:val="231F20"/>
          <w:spacing w:val="-1"/>
        </w:rPr>
        <w:t>services</w:t>
      </w:r>
      <w:r>
        <w:rPr>
          <w:color w:val="231F20"/>
          <w:spacing w:val="-5"/>
        </w:rPr>
        <w:t> </w:t>
      </w:r>
      <w:r>
        <w:rPr>
          <w:color w:val="231F20"/>
        </w:rPr>
        <w:t>to</w:t>
      </w:r>
      <w:r>
        <w:rPr>
          <w:color w:val="231F20"/>
          <w:spacing w:val="-5"/>
        </w:rPr>
        <w:t> </w:t>
      </w:r>
      <w:r>
        <w:rPr>
          <w:color w:val="231F20"/>
        </w:rPr>
        <w:t>address</w:t>
      </w:r>
      <w:r>
        <w:rPr>
          <w:color w:val="231F20"/>
          <w:spacing w:val="-5"/>
        </w:rPr>
        <w:t> </w:t>
      </w:r>
      <w:r>
        <w:rPr>
          <w:color w:val="231F20"/>
        </w:rPr>
        <w:t>health</w:t>
      </w:r>
      <w:r>
        <w:rPr>
          <w:color w:val="231F20"/>
          <w:spacing w:val="23"/>
          <w:w w:val="99"/>
        </w:rPr>
        <w:t> </w:t>
      </w:r>
      <w:r>
        <w:rPr>
          <w:color w:val="231F20"/>
        </w:rPr>
        <w:t>and</w:t>
      </w:r>
      <w:r>
        <w:rPr>
          <w:color w:val="231F20"/>
          <w:spacing w:val="-5"/>
        </w:rPr>
        <w:t> </w:t>
      </w:r>
      <w:r>
        <w:rPr>
          <w:color w:val="231F20"/>
        </w:rPr>
        <w:t>hygiene</w:t>
      </w:r>
      <w:r>
        <w:rPr>
          <w:color w:val="231F20"/>
          <w:spacing w:val="-5"/>
        </w:rPr>
        <w:t> </w:t>
      </w:r>
      <w:r>
        <w:rPr>
          <w:color w:val="231F20"/>
          <w:spacing w:val="-1"/>
        </w:rPr>
        <w:t>issues,</w:t>
      </w:r>
      <w:r>
        <w:rPr>
          <w:color w:val="231F20"/>
          <w:spacing w:val="-3"/>
        </w:rPr>
        <w:t> </w:t>
      </w:r>
      <w:r>
        <w:rPr>
          <w:color w:val="231F20"/>
          <w:spacing w:val="-1"/>
        </w:rPr>
        <w:t>low</w:t>
      </w:r>
      <w:r>
        <w:rPr>
          <w:color w:val="231F20"/>
          <w:spacing w:val="-4"/>
        </w:rPr>
        <w:t> </w:t>
      </w:r>
      <w:r>
        <w:rPr>
          <w:color w:val="231F20"/>
          <w:spacing w:val="-1"/>
        </w:rPr>
        <w:t>levels</w:t>
      </w:r>
      <w:r>
        <w:rPr>
          <w:color w:val="231F20"/>
          <w:spacing w:val="-3"/>
        </w:rPr>
        <w:t> </w:t>
      </w:r>
      <w:r>
        <w:rPr>
          <w:color w:val="231F20"/>
        </w:rPr>
        <w:t>of</w:t>
      </w:r>
      <w:r>
        <w:rPr>
          <w:color w:val="231F20"/>
          <w:spacing w:val="-4"/>
        </w:rPr>
        <w:t> </w:t>
      </w:r>
      <w:r>
        <w:rPr>
          <w:color w:val="231F20"/>
          <w:spacing w:val="-1"/>
        </w:rPr>
        <w:t>literacy</w:t>
      </w:r>
      <w:r>
        <w:rPr/>
      </w:r>
    </w:p>
    <w:p>
      <w:pPr>
        <w:pStyle w:val="BodyText"/>
        <w:spacing w:line="250" w:lineRule="exact"/>
        <w:ind w:right="309"/>
        <w:jc w:val="both"/>
      </w:pPr>
      <w:r>
        <w:rPr>
          <w:color w:val="231F20"/>
        </w:rPr>
        <w:t>and</w:t>
      </w:r>
      <w:r>
        <w:rPr>
          <w:color w:val="231F20"/>
          <w:spacing w:val="-9"/>
        </w:rPr>
        <w:t> </w:t>
      </w:r>
      <w:r>
        <w:rPr>
          <w:color w:val="231F20"/>
        </w:rPr>
        <w:t>numeracy,</w:t>
      </w:r>
      <w:r>
        <w:rPr>
          <w:color w:val="231F20"/>
          <w:spacing w:val="-8"/>
        </w:rPr>
        <w:t> </w:t>
      </w:r>
      <w:r>
        <w:rPr>
          <w:color w:val="231F20"/>
        </w:rPr>
        <w:t>undiagnosed</w:t>
      </w:r>
      <w:r>
        <w:rPr>
          <w:color w:val="231F20"/>
          <w:spacing w:val="-9"/>
        </w:rPr>
        <w:t> </w:t>
      </w:r>
      <w:r>
        <w:rPr>
          <w:color w:val="231F20"/>
        </w:rPr>
        <w:t>and</w:t>
      </w:r>
      <w:r>
        <w:rPr>
          <w:color w:val="231F20"/>
          <w:spacing w:val="-8"/>
        </w:rPr>
        <w:t> </w:t>
      </w:r>
      <w:r>
        <w:rPr>
          <w:color w:val="231F20"/>
        </w:rPr>
        <w:t>diagnosed</w:t>
      </w:r>
      <w:r>
        <w:rPr>
          <w:color w:val="231F20"/>
          <w:w w:val="99"/>
        </w:rPr>
        <w:t> </w:t>
      </w:r>
      <w:r>
        <w:rPr>
          <w:color w:val="231F20"/>
        </w:rPr>
        <w:t>disabilities,</w:t>
      </w:r>
      <w:r>
        <w:rPr>
          <w:color w:val="231F20"/>
          <w:spacing w:val="-7"/>
        </w:rPr>
        <w:t> </w:t>
      </w:r>
      <w:r>
        <w:rPr>
          <w:color w:val="231F20"/>
          <w:spacing w:val="-1"/>
        </w:rPr>
        <w:t>substance</w:t>
      </w:r>
      <w:r>
        <w:rPr>
          <w:color w:val="231F20"/>
          <w:spacing w:val="-5"/>
        </w:rPr>
        <w:t> </w:t>
      </w:r>
      <w:r>
        <w:rPr>
          <w:color w:val="231F20"/>
        </w:rPr>
        <w:t>addictions</w:t>
      </w:r>
      <w:r>
        <w:rPr>
          <w:color w:val="231F20"/>
          <w:spacing w:val="-7"/>
        </w:rPr>
        <w:t> </w:t>
      </w:r>
      <w:r>
        <w:rPr>
          <w:color w:val="231F20"/>
        </w:rPr>
        <w:t>and</w:t>
      </w:r>
      <w:r>
        <w:rPr>
          <w:color w:val="231F20"/>
          <w:spacing w:val="-6"/>
        </w:rPr>
        <w:t> </w:t>
      </w:r>
      <w:r>
        <w:rPr>
          <w:color w:val="231F20"/>
        </w:rPr>
        <w:t>abuse,</w:t>
      </w:r>
      <w:r>
        <w:rPr>
          <w:color w:val="231F20"/>
          <w:spacing w:val="22"/>
          <w:w w:val="99"/>
        </w:rPr>
        <w:t> </w:t>
      </w:r>
      <w:r>
        <w:rPr>
          <w:color w:val="231F20"/>
        </w:rPr>
        <w:t>trauma</w:t>
      </w:r>
      <w:r>
        <w:rPr>
          <w:color w:val="231F20"/>
          <w:spacing w:val="-8"/>
        </w:rPr>
        <w:t> </w:t>
      </w:r>
      <w:r>
        <w:rPr>
          <w:color w:val="231F20"/>
        </w:rPr>
        <w:t>backgrounds</w:t>
      </w:r>
      <w:r>
        <w:rPr>
          <w:color w:val="231F20"/>
          <w:spacing w:val="-9"/>
        </w:rPr>
        <w:t> </w:t>
      </w:r>
      <w:r>
        <w:rPr>
          <w:color w:val="231F20"/>
        </w:rPr>
        <w:t>and</w:t>
      </w:r>
      <w:r>
        <w:rPr>
          <w:color w:val="231F20"/>
          <w:spacing w:val="-8"/>
        </w:rPr>
        <w:t> </w:t>
      </w:r>
      <w:r>
        <w:rPr>
          <w:color w:val="231F20"/>
        </w:rPr>
        <w:t>homesickness.</w:t>
      </w:r>
      <w:r>
        <w:rPr/>
      </w:r>
    </w:p>
    <w:p>
      <w:pPr>
        <w:pStyle w:val="BodyText"/>
        <w:spacing w:line="242" w:lineRule="exact"/>
        <w:ind w:right="0"/>
        <w:jc w:val="left"/>
      </w:pPr>
      <w:r>
        <w:rPr>
          <w:color w:val="231F20"/>
        </w:rPr>
        <w:t>These</w:t>
      </w:r>
      <w:r>
        <w:rPr>
          <w:color w:val="231F20"/>
          <w:spacing w:val="-4"/>
        </w:rPr>
        <w:t> </w:t>
      </w:r>
      <w:r>
        <w:rPr>
          <w:color w:val="231F20"/>
          <w:spacing w:val="-1"/>
        </w:rPr>
        <w:t>services</w:t>
      </w:r>
      <w:r>
        <w:rPr>
          <w:color w:val="231F20"/>
          <w:spacing w:val="-2"/>
        </w:rPr>
        <w:t> </w:t>
      </w:r>
      <w:r>
        <w:rPr>
          <w:color w:val="231F20"/>
        </w:rPr>
        <w:t>are</w:t>
      </w:r>
      <w:r>
        <w:rPr>
          <w:color w:val="231F20"/>
          <w:spacing w:val="-4"/>
        </w:rPr>
        <w:t> </w:t>
      </w:r>
      <w:r>
        <w:rPr>
          <w:color w:val="231F20"/>
          <w:spacing w:val="-1"/>
        </w:rPr>
        <w:t>more</w:t>
      </w:r>
      <w:r>
        <w:rPr>
          <w:color w:val="231F20"/>
          <w:spacing w:val="-2"/>
        </w:rPr>
        <w:t> </w:t>
      </w:r>
      <w:r>
        <w:rPr>
          <w:color w:val="231F20"/>
          <w:spacing w:val="-1"/>
        </w:rPr>
        <w:t>intensive</w:t>
      </w:r>
      <w:r>
        <w:rPr>
          <w:color w:val="231F20"/>
          <w:spacing w:val="-3"/>
        </w:rPr>
        <w:t> </w:t>
      </w:r>
      <w:r>
        <w:rPr>
          <w:color w:val="231F20"/>
        </w:rPr>
        <w:t>when</w:t>
      </w:r>
      <w:r>
        <w:rPr/>
      </w:r>
    </w:p>
    <w:p>
      <w:pPr>
        <w:pStyle w:val="BodyText"/>
        <w:spacing w:line="250" w:lineRule="exact"/>
        <w:ind w:right="0"/>
        <w:jc w:val="left"/>
        <w:rPr>
          <w:rFonts w:ascii="Segoe UI" w:hAnsi="Segoe UI" w:cs="Segoe UI" w:eastAsia="Segoe UI"/>
        </w:rPr>
      </w:pPr>
      <w:r>
        <w:rPr>
          <w:rFonts w:ascii="Segoe UI"/>
          <w:color w:val="231F20"/>
        </w:rPr>
        <w:t>a student first transitions to boarding and</w:t>
      </w:r>
      <w:r>
        <w:rPr>
          <w:rFonts w:ascii="Segoe UI"/>
        </w:rPr>
      </w:r>
    </w:p>
    <w:p>
      <w:pPr>
        <w:pStyle w:val="BodyText"/>
        <w:spacing w:line="258" w:lineRule="exact"/>
        <w:ind w:right="0"/>
        <w:jc w:val="left"/>
      </w:pPr>
      <w:r>
        <w:rPr>
          <w:color w:val="231F20"/>
        </w:rPr>
        <w:t>at</w:t>
      </w:r>
      <w:r>
        <w:rPr>
          <w:color w:val="231F20"/>
          <w:spacing w:val="-4"/>
        </w:rPr>
        <w:t> </w:t>
      </w:r>
      <w:r>
        <w:rPr>
          <w:color w:val="231F20"/>
        </w:rPr>
        <w:t>the</w:t>
      </w:r>
      <w:r>
        <w:rPr>
          <w:color w:val="231F20"/>
          <w:spacing w:val="-4"/>
        </w:rPr>
        <w:t> </w:t>
      </w:r>
      <w:r>
        <w:rPr>
          <w:color w:val="231F20"/>
          <w:spacing w:val="-1"/>
        </w:rPr>
        <w:t>start</w:t>
      </w:r>
      <w:r>
        <w:rPr>
          <w:color w:val="231F20"/>
          <w:spacing w:val="-3"/>
        </w:rPr>
        <w:t> </w:t>
      </w:r>
      <w:r>
        <w:rPr>
          <w:color w:val="231F20"/>
        </w:rPr>
        <w:t>of</w:t>
      </w:r>
      <w:r>
        <w:rPr>
          <w:color w:val="231F20"/>
          <w:spacing w:val="-3"/>
        </w:rPr>
        <w:t> </w:t>
      </w:r>
      <w:r>
        <w:rPr>
          <w:color w:val="231F20"/>
          <w:spacing w:val="-1"/>
        </w:rPr>
        <w:t>school</w:t>
      </w:r>
      <w:r>
        <w:rPr>
          <w:color w:val="231F20"/>
          <w:spacing w:val="-3"/>
        </w:rPr>
        <w:t> </w:t>
      </w:r>
      <w:r>
        <w:rPr>
          <w:color w:val="231F20"/>
        </w:rPr>
        <w:t>terms.</w:t>
      </w:r>
      <w:r>
        <w:rPr/>
      </w:r>
    </w:p>
    <w:p>
      <w:pPr>
        <w:pStyle w:val="BodyText"/>
        <w:spacing w:line="250" w:lineRule="exact" w:before="113"/>
        <w:ind w:right="85"/>
        <w:jc w:val="left"/>
      </w:pPr>
      <w:r>
        <w:rPr>
          <w:color w:val="231F20"/>
          <w:spacing w:val="-1"/>
        </w:rPr>
        <w:t>Consider</w:t>
      </w:r>
      <w:r>
        <w:rPr>
          <w:color w:val="231F20"/>
          <w:spacing w:val="-7"/>
        </w:rPr>
        <w:t> </w:t>
      </w:r>
      <w:r>
        <w:rPr>
          <w:color w:val="231F20"/>
        </w:rPr>
        <w:t>funding</w:t>
      </w:r>
      <w:r>
        <w:rPr>
          <w:color w:val="231F20"/>
          <w:spacing w:val="-7"/>
        </w:rPr>
        <w:t> </w:t>
      </w:r>
      <w:r>
        <w:rPr>
          <w:color w:val="231F20"/>
        </w:rPr>
        <w:t>to</w:t>
      </w:r>
      <w:r>
        <w:rPr>
          <w:color w:val="231F20"/>
          <w:spacing w:val="-7"/>
        </w:rPr>
        <w:t> </w:t>
      </w:r>
      <w:r>
        <w:rPr>
          <w:color w:val="231F20"/>
        </w:rPr>
        <w:t>boarding</w:t>
      </w:r>
      <w:r>
        <w:rPr>
          <w:color w:val="231F20"/>
          <w:spacing w:val="-8"/>
        </w:rPr>
        <w:t> </w:t>
      </w:r>
      <w:r>
        <w:rPr>
          <w:color w:val="231F20"/>
        </w:rPr>
        <w:t>providers</w:t>
      </w:r>
      <w:r>
        <w:rPr>
          <w:color w:val="231F20"/>
          <w:spacing w:val="-8"/>
        </w:rPr>
        <w:t> </w:t>
      </w:r>
      <w:r>
        <w:rPr>
          <w:color w:val="231F20"/>
        </w:rPr>
        <w:t>to</w:t>
      </w:r>
      <w:r>
        <w:rPr>
          <w:color w:val="231F20"/>
          <w:spacing w:val="22"/>
          <w:w w:val="99"/>
        </w:rPr>
        <w:t> </w:t>
      </w:r>
      <w:r>
        <w:rPr>
          <w:color w:val="231F20"/>
        </w:rPr>
        <w:t>enable</w:t>
      </w:r>
      <w:r>
        <w:rPr>
          <w:color w:val="231F20"/>
          <w:spacing w:val="-7"/>
        </w:rPr>
        <w:t> </w:t>
      </w:r>
      <w:r>
        <w:rPr>
          <w:color w:val="231F20"/>
        </w:rPr>
        <w:t>Aboriginal</w:t>
      </w:r>
      <w:r>
        <w:rPr>
          <w:color w:val="231F20"/>
          <w:spacing w:val="-6"/>
        </w:rPr>
        <w:t> </w:t>
      </w:r>
      <w:r>
        <w:rPr>
          <w:color w:val="231F20"/>
        </w:rPr>
        <w:t>and</w:t>
      </w:r>
      <w:r>
        <w:rPr>
          <w:color w:val="231F20"/>
          <w:spacing w:val="-6"/>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29"/>
          <w:w w:val="99"/>
        </w:rPr>
        <w:t> </w:t>
      </w:r>
      <w:r>
        <w:rPr>
          <w:color w:val="231F20"/>
        </w:rPr>
        <w:t>boarding</w:t>
      </w:r>
      <w:r>
        <w:rPr>
          <w:color w:val="231F20"/>
          <w:spacing w:val="-6"/>
        </w:rPr>
        <w:t> </w:t>
      </w:r>
      <w:r>
        <w:rPr>
          <w:color w:val="231F20"/>
          <w:spacing w:val="-1"/>
        </w:rPr>
        <w:t>students</w:t>
      </w:r>
      <w:r>
        <w:rPr>
          <w:color w:val="231F20"/>
          <w:spacing w:val="-5"/>
        </w:rPr>
        <w:t> </w:t>
      </w:r>
      <w:r>
        <w:rPr>
          <w:color w:val="231F20"/>
        </w:rPr>
        <w:t>to</w:t>
      </w:r>
      <w:r>
        <w:rPr>
          <w:color w:val="231F20"/>
          <w:spacing w:val="-5"/>
        </w:rPr>
        <w:t> </w:t>
      </w:r>
      <w:r>
        <w:rPr>
          <w:color w:val="231F20"/>
        </w:rPr>
        <w:t>undertake</w:t>
      </w:r>
      <w:r>
        <w:rPr>
          <w:color w:val="231F20"/>
          <w:spacing w:val="-5"/>
        </w:rPr>
        <w:t> </w:t>
      </w:r>
      <w:r>
        <w:rPr>
          <w:color w:val="231F20"/>
          <w:spacing w:val="-1"/>
        </w:rPr>
        <w:t>individual</w:t>
      </w:r>
      <w:r>
        <w:rPr>
          <w:color w:val="231F20"/>
          <w:spacing w:val="21"/>
        </w:rPr>
        <w:t> </w:t>
      </w:r>
      <w:r>
        <w:rPr>
          <w:color w:val="231F20"/>
        </w:rPr>
        <w:t>health</w:t>
      </w:r>
      <w:r>
        <w:rPr>
          <w:color w:val="231F20"/>
          <w:spacing w:val="-2"/>
        </w:rPr>
        <w:t> </w:t>
      </w:r>
      <w:r>
        <w:rPr>
          <w:color w:val="231F20"/>
        </w:rPr>
        <w:t>and</w:t>
      </w:r>
      <w:r>
        <w:rPr>
          <w:color w:val="231F20"/>
          <w:spacing w:val="-2"/>
        </w:rPr>
        <w:t> </w:t>
      </w:r>
      <w:r>
        <w:rPr>
          <w:color w:val="231F20"/>
        </w:rPr>
        <w:t>disability</w:t>
      </w:r>
      <w:r>
        <w:rPr>
          <w:color w:val="231F20"/>
          <w:spacing w:val="-2"/>
        </w:rPr>
        <w:t> </w:t>
      </w:r>
      <w:r>
        <w:rPr>
          <w:color w:val="231F20"/>
          <w:spacing w:val="-1"/>
        </w:rPr>
        <w:t>assessments</w:t>
      </w:r>
      <w:r>
        <w:rPr>
          <w:rFonts w:ascii="Segoe UI Semibold"/>
          <w:b/>
          <w:color w:val="231F20"/>
          <w:spacing w:val="-1"/>
          <w:position w:val="7"/>
          <w:sz w:val="11"/>
        </w:rPr>
        <w:t>25</w:t>
      </w:r>
      <w:r>
        <w:rPr>
          <w:rFonts w:ascii="Segoe UI Semibold"/>
          <w:b/>
          <w:color w:val="231F20"/>
          <w:spacing w:val="24"/>
          <w:position w:val="7"/>
          <w:sz w:val="11"/>
        </w:rPr>
        <w:t> </w:t>
      </w:r>
      <w:r>
        <w:rPr>
          <w:color w:val="231F20"/>
        </w:rPr>
        <w:t>at</w:t>
      </w:r>
      <w:r>
        <w:rPr/>
      </w:r>
    </w:p>
    <w:p>
      <w:pPr>
        <w:pStyle w:val="BodyText"/>
        <w:spacing w:line="250" w:lineRule="exact"/>
        <w:ind w:right="223"/>
        <w:jc w:val="left"/>
      </w:pPr>
      <w:r>
        <w:rPr>
          <w:color w:val="231F20"/>
        </w:rPr>
        <w:t>the</w:t>
      </w:r>
      <w:r>
        <w:rPr>
          <w:color w:val="231F20"/>
          <w:spacing w:val="-5"/>
        </w:rPr>
        <w:t> </w:t>
      </w:r>
      <w:r>
        <w:rPr>
          <w:color w:val="231F20"/>
        </w:rPr>
        <w:t>commencement</w:t>
      </w:r>
      <w:r>
        <w:rPr>
          <w:color w:val="231F20"/>
          <w:spacing w:val="-5"/>
        </w:rPr>
        <w:t> </w:t>
      </w:r>
      <w:r>
        <w:rPr>
          <w:color w:val="231F20"/>
        </w:rPr>
        <w:t>of</w:t>
      </w:r>
      <w:r>
        <w:rPr>
          <w:color w:val="231F20"/>
          <w:spacing w:val="-5"/>
        </w:rPr>
        <w:t> </w:t>
      </w:r>
      <w:r>
        <w:rPr>
          <w:color w:val="231F20"/>
        </w:rPr>
        <w:t>boarding</w:t>
      </w:r>
      <w:r>
        <w:rPr>
          <w:color w:val="231F20"/>
          <w:spacing w:val="-4"/>
        </w:rPr>
        <w:t> </w:t>
      </w:r>
      <w:r>
        <w:rPr>
          <w:color w:val="231F20"/>
        </w:rPr>
        <w:t>and</w:t>
      </w:r>
      <w:r>
        <w:rPr>
          <w:color w:val="231F20"/>
          <w:w w:val="99"/>
        </w:rPr>
        <w:t> </w:t>
      </w:r>
      <w:r>
        <w:rPr>
          <w:color w:val="231F20"/>
          <w:spacing w:val="-1"/>
        </w:rPr>
        <w:t>subsequent</w:t>
      </w:r>
      <w:r>
        <w:rPr>
          <w:color w:val="231F20"/>
          <w:spacing w:val="-7"/>
        </w:rPr>
        <w:t> </w:t>
      </w:r>
      <w:r>
        <w:rPr>
          <w:color w:val="231F20"/>
        </w:rPr>
        <w:t>academic</w:t>
      </w:r>
      <w:r>
        <w:rPr>
          <w:color w:val="231F20"/>
          <w:spacing w:val="-8"/>
        </w:rPr>
        <w:t> </w:t>
      </w:r>
      <w:r>
        <w:rPr>
          <w:color w:val="231F20"/>
        </w:rPr>
        <w:t>years</w:t>
      </w:r>
      <w:r>
        <w:rPr>
          <w:color w:val="231F20"/>
          <w:spacing w:val="-8"/>
        </w:rPr>
        <w:t> </w:t>
      </w:r>
      <w:r>
        <w:rPr>
          <w:color w:val="231F20"/>
        </w:rPr>
        <w:t>and</w:t>
      </w:r>
      <w:r>
        <w:rPr>
          <w:color w:val="231F20"/>
          <w:spacing w:val="-8"/>
        </w:rPr>
        <w:t> </w:t>
      </w:r>
      <w:r>
        <w:rPr>
          <w:color w:val="231F20"/>
        </w:rPr>
        <w:t>to</w:t>
      </w:r>
      <w:r>
        <w:rPr>
          <w:color w:val="231F20"/>
          <w:spacing w:val="-7"/>
        </w:rPr>
        <w:t> </w:t>
      </w:r>
      <w:r>
        <w:rPr>
          <w:color w:val="231F20"/>
        </w:rPr>
        <w:t>develop</w:t>
      </w:r>
      <w:r>
        <w:rPr>
          <w:color w:val="231F20"/>
          <w:spacing w:val="22"/>
          <w:w w:val="99"/>
        </w:rPr>
        <w:t> </w:t>
      </w:r>
      <w:r>
        <w:rPr>
          <w:color w:val="231F20"/>
        </w:rPr>
        <w:t>and</w:t>
      </w:r>
      <w:r>
        <w:rPr>
          <w:color w:val="231F20"/>
          <w:spacing w:val="-4"/>
        </w:rPr>
        <w:t> </w:t>
      </w:r>
      <w:r>
        <w:rPr>
          <w:color w:val="231F20"/>
          <w:spacing w:val="-1"/>
        </w:rPr>
        <w:t>implement</w:t>
      </w:r>
      <w:r>
        <w:rPr>
          <w:color w:val="231F20"/>
          <w:spacing w:val="-3"/>
        </w:rPr>
        <w:t> </w:t>
      </w:r>
      <w:r>
        <w:rPr>
          <w:color w:val="231F20"/>
          <w:spacing w:val="-1"/>
        </w:rPr>
        <w:t>individual</w:t>
      </w:r>
      <w:r>
        <w:rPr>
          <w:color w:val="231F20"/>
          <w:spacing w:val="-3"/>
        </w:rPr>
        <w:t> </w:t>
      </w:r>
      <w:r>
        <w:rPr>
          <w:color w:val="231F20"/>
        </w:rPr>
        <w:t>health</w:t>
      </w:r>
      <w:r>
        <w:rPr>
          <w:color w:val="231F20"/>
          <w:spacing w:val="23"/>
          <w:w w:val="99"/>
        </w:rPr>
        <w:t> </w:t>
      </w:r>
      <w:r>
        <w:rPr>
          <w:color w:val="231F20"/>
          <w:spacing w:val="-1"/>
        </w:rPr>
        <w:t>management</w:t>
      </w:r>
      <w:r>
        <w:rPr>
          <w:color w:val="231F20"/>
          <w:spacing w:val="-9"/>
        </w:rPr>
        <w:t> </w:t>
      </w:r>
      <w:r>
        <w:rPr>
          <w:color w:val="231F20"/>
        </w:rPr>
        <w:t>and</w:t>
      </w:r>
      <w:r>
        <w:rPr>
          <w:color w:val="231F20"/>
          <w:spacing w:val="-11"/>
        </w:rPr>
        <w:t> </w:t>
      </w:r>
      <w:r>
        <w:rPr>
          <w:color w:val="231F20"/>
        </w:rPr>
        <w:t>education</w:t>
      </w:r>
      <w:r>
        <w:rPr>
          <w:color w:val="231F20"/>
          <w:spacing w:val="-10"/>
        </w:rPr>
        <w:t> </w:t>
      </w:r>
      <w:r>
        <w:rPr>
          <w:color w:val="231F20"/>
        </w:rPr>
        <w:t>plans.</w:t>
      </w:r>
      <w:r>
        <w:rPr/>
      </w:r>
    </w:p>
    <w:p>
      <w:pPr>
        <w:pStyle w:val="BodyText"/>
        <w:spacing w:line="250" w:lineRule="exact" w:before="113"/>
        <w:ind w:right="170"/>
        <w:jc w:val="left"/>
      </w:pPr>
      <w:r>
        <w:rPr>
          <w:color w:val="231F20"/>
          <w:spacing w:val="-1"/>
        </w:rPr>
        <w:t>Boarding</w:t>
      </w:r>
      <w:r>
        <w:rPr>
          <w:color w:val="231F20"/>
          <w:spacing w:val="-6"/>
        </w:rPr>
        <w:t> </w:t>
      </w:r>
      <w:r>
        <w:rPr>
          <w:color w:val="231F20"/>
        </w:rPr>
        <w:t>providers</w:t>
      </w:r>
      <w:r>
        <w:rPr>
          <w:color w:val="231F20"/>
          <w:spacing w:val="-7"/>
        </w:rPr>
        <w:t> </w:t>
      </w:r>
      <w:r>
        <w:rPr>
          <w:color w:val="231F20"/>
          <w:spacing w:val="-1"/>
        </w:rPr>
        <w:t>should</w:t>
      </w:r>
      <w:r>
        <w:rPr>
          <w:color w:val="231F20"/>
          <w:spacing w:val="-6"/>
        </w:rPr>
        <w:t> </w:t>
      </w:r>
      <w:r>
        <w:rPr>
          <w:color w:val="231F20"/>
        </w:rPr>
        <w:t>develop</w:t>
      </w:r>
      <w:r>
        <w:rPr>
          <w:color w:val="231F20"/>
          <w:spacing w:val="-7"/>
        </w:rPr>
        <w:t> </w:t>
      </w:r>
      <w:r>
        <w:rPr>
          <w:color w:val="231F20"/>
        </w:rPr>
        <w:t>close</w:t>
      </w:r>
      <w:r>
        <w:rPr>
          <w:color w:val="231F20"/>
          <w:spacing w:val="23"/>
        </w:rPr>
        <w:t> </w:t>
      </w:r>
      <w:r>
        <w:rPr>
          <w:color w:val="231F20"/>
        </w:rPr>
        <w:t>working</w:t>
      </w:r>
      <w:r>
        <w:rPr>
          <w:color w:val="231F20"/>
          <w:spacing w:val="-6"/>
        </w:rPr>
        <w:t> </w:t>
      </w:r>
      <w:r>
        <w:rPr>
          <w:color w:val="231F20"/>
        </w:rPr>
        <w:t>relationships</w:t>
      </w:r>
      <w:r>
        <w:rPr>
          <w:color w:val="231F20"/>
          <w:spacing w:val="-6"/>
        </w:rPr>
        <w:t> </w:t>
      </w:r>
      <w:r>
        <w:rPr>
          <w:color w:val="231F20"/>
        </w:rPr>
        <w:t>with</w:t>
      </w:r>
      <w:r>
        <w:rPr>
          <w:color w:val="231F20"/>
          <w:spacing w:val="-5"/>
        </w:rPr>
        <w:t> </w:t>
      </w:r>
      <w:r>
        <w:rPr>
          <w:color w:val="231F20"/>
          <w:spacing w:val="-1"/>
        </w:rPr>
        <w:t>local</w:t>
      </w:r>
      <w:r>
        <w:rPr>
          <w:color w:val="231F20"/>
          <w:spacing w:val="-4"/>
        </w:rPr>
        <w:t> </w:t>
      </w:r>
      <w:r>
        <w:rPr>
          <w:color w:val="231F20"/>
        </w:rPr>
        <w:t>health</w:t>
      </w:r>
      <w:r>
        <w:rPr>
          <w:color w:val="231F20"/>
          <w:spacing w:val="21"/>
          <w:w w:val="99"/>
        </w:rPr>
        <w:t> </w:t>
      </w:r>
      <w:r>
        <w:rPr>
          <w:color w:val="231F20"/>
          <w:spacing w:val="-1"/>
        </w:rPr>
        <w:t>services</w:t>
      </w:r>
      <w:r>
        <w:rPr>
          <w:color w:val="231F20"/>
          <w:spacing w:val="-8"/>
        </w:rPr>
        <w:t> </w:t>
      </w:r>
      <w:r>
        <w:rPr>
          <w:color w:val="231F20"/>
        </w:rPr>
        <w:t>and</w:t>
      </w:r>
      <w:r>
        <w:rPr>
          <w:color w:val="231F20"/>
          <w:spacing w:val="-9"/>
        </w:rPr>
        <w:t> </w:t>
      </w:r>
      <w:r>
        <w:rPr>
          <w:color w:val="231F20"/>
        </w:rPr>
        <w:t>providers,</w:t>
      </w:r>
      <w:r>
        <w:rPr>
          <w:color w:val="231F20"/>
          <w:spacing w:val="-9"/>
        </w:rPr>
        <w:t> </w:t>
      </w:r>
      <w:r>
        <w:rPr>
          <w:color w:val="231F20"/>
        </w:rPr>
        <w:t>particularly</w:t>
      </w:r>
      <w:r>
        <w:rPr>
          <w:color w:val="231F20"/>
          <w:spacing w:val="-8"/>
        </w:rPr>
        <w:t> </w:t>
      </w:r>
      <w:r>
        <w:rPr>
          <w:color w:val="231F20"/>
        </w:rPr>
        <w:t>Aboriginal</w:t>
      </w:r>
      <w:r>
        <w:rPr/>
      </w:r>
    </w:p>
    <w:p>
      <w:pPr>
        <w:pStyle w:val="BodyText"/>
        <w:spacing w:line="250" w:lineRule="exact"/>
        <w:ind w:right="8"/>
        <w:jc w:val="left"/>
      </w:pPr>
      <w:r>
        <w:rPr>
          <w:color w:val="231F20"/>
        </w:rPr>
        <w:t>and</w:t>
      </w:r>
      <w:r>
        <w:rPr>
          <w:color w:val="231F20"/>
          <w:spacing w:val="-6"/>
        </w:rPr>
        <w:t> </w:t>
      </w:r>
      <w:r>
        <w:rPr>
          <w:color w:val="231F20"/>
          <w:spacing w:val="-5"/>
        </w:rPr>
        <w:t>Torres</w:t>
      </w:r>
      <w:r>
        <w:rPr>
          <w:color w:val="231F20"/>
          <w:spacing w:val="-4"/>
        </w:rPr>
        <w:t> </w:t>
      </w:r>
      <w:r>
        <w:rPr>
          <w:color w:val="231F20"/>
          <w:spacing w:val="-2"/>
        </w:rPr>
        <w:t>Strait</w:t>
      </w:r>
      <w:r>
        <w:rPr>
          <w:color w:val="231F20"/>
          <w:spacing w:val="-6"/>
        </w:rPr>
        <w:t> </w:t>
      </w:r>
      <w:r>
        <w:rPr>
          <w:color w:val="231F20"/>
          <w:spacing w:val="-1"/>
        </w:rPr>
        <w:t>Islander</w:t>
      </w:r>
      <w:r>
        <w:rPr>
          <w:color w:val="231F20"/>
          <w:spacing w:val="-4"/>
        </w:rPr>
        <w:t> </w:t>
      </w:r>
      <w:r>
        <w:rPr>
          <w:color w:val="231F20"/>
        </w:rPr>
        <w:t>community</w:t>
      </w:r>
      <w:r>
        <w:rPr>
          <w:color w:val="231F20"/>
          <w:spacing w:val="-6"/>
        </w:rPr>
        <w:t> </w:t>
      </w:r>
      <w:r>
        <w:rPr>
          <w:color w:val="231F20"/>
        </w:rPr>
        <w:t>controlled</w:t>
      </w:r>
      <w:r>
        <w:rPr>
          <w:color w:val="231F20"/>
          <w:spacing w:val="21"/>
          <w:w w:val="99"/>
        </w:rPr>
        <w:t> </w:t>
      </w:r>
      <w:r>
        <w:rPr>
          <w:color w:val="231F20"/>
        </w:rPr>
        <w:t>health</w:t>
      </w:r>
      <w:r>
        <w:rPr>
          <w:color w:val="231F20"/>
          <w:spacing w:val="-7"/>
        </w:rPr>
        <w:t> </w:t>
      </w:r>
      <w:r>
        <w:rPr>
          <w:color w:val="231F20"/>
          <w:spacing w:val="-1"/>
        </w:rPr>
        <w:t>services,</w:t>
      </w:r>
      <w:r>
        <w:rPr>
          <w:color w:val="231F20"/>
          <w:spacing w:val="-4"/>
        </w:rPr>
        <w:t> </w:t>
      </w:r>
      <w:r>
        <w:rPr>
          <w:color w:val="231F20"/>
          <w:spacing w:val="-1"/>
        </w:rPr>
        <w:t>in</w:t>
      </w:r>
      <w:r>
        <w:rPr>
          <w:color w:val="231F20"/>
          <w:spacing w:val="-6"/>
        </w:rPr>
        <w:t> </w:t>
      </w:r>
      <w:r>
        <w:rPr>
          <w:color w:val="231F20"/>
        </w:rPr>
        <w:t>undertaking</w:t>
      </w:r>
      <w:r>
        <w:rPr>
          <w:color w:val="231F20"/>
          <w:spacing w:val="-6"/>
        </w:rPr>
        <w:t> </w:t>
      </w:r>
      <w:r>
        <w:rPr>
          <w:color w:val="231F20"/>
        </w:rPr>
        <w:t>health</w:t>
      </w:r>
      <w:r>
        <w:rPr>
          <w:color w:val="231F20"/>
          <w:spacing w:val="23"/>
          <w:w w:val="99"/>
        </w:rPr>
        <w:t> </w:t>
      </w:r>
      <w:r>
        <w:rPr>
          <w:color w:val="231F20"/>
        </w:rPr>
        <w:t>assessments</w:t>
      </w:r>
      <w:r>
        <w:rPr>
          <w:color w:val="231F20"/>
          <w:spacing w:val="-7"/>
        </w:rPr>
        <w:t> </w:t>
      </w:r>
      <w:r>
        <w:rPr>
          <w:color w:val="231F20"/>
        </w:rPr>
        <w:t>and</w:t>
      </w:r>
      <w:r>
        <w:rPr>
          <w:color w:val="231F20"/>
          <w:spacing w:val="-5"/>
        </w:rPr>
        <w:t> </w:t>
      </w:r>
      <w:r>
        <w:rPr>
          <w:color w:val="231F20"/>
        </w:rPr>
        <w:t>developing</w:t>
      </w:r>
      <w:r>
        <w:rPr>
          <w:color w:val="231F20"/>
          <w:spacing w:val="-6"/>
        </w:rPr>
        <w:t> </w:t>
      </w:r>
      <w:r>
        <w:rPr>
          <w:color w:val="231F20"/>
          <w:spacing w:val="-1"/>
        </w:rPr>
        <w:t>individual</w:t>
      </w:r>
      <w:r>
        <w:rPr/>
      </w:r>
    </w:p>
    <w:p>
      <w:pPr>
        <w:pStyle w:val="BodyText"/>
        <w:spacing w:line="250" w:lineRule="exact"/>
        <w:ind w:right="0"/>
        <w:jc w:val="left"/>
      </w:pPr>
      <w:r>
        <w:rPr>
          <w:color w:val="231F20"/>
        </w:rPr>
        <w:t>health</w:t>
      </w:r>
      <w:r>
        <w:rPr>
          <w:color w:val="231F20"/>
          <w:spacing w:val="-12"/>
        </w:rPr>
        <w:t> </w:t>
      </w:r>
      <w:r>
        <w:rPr>
          <w:color w:val="231F20"/>
          <w:spacing w:val="-1"/>
        </w:rPr>
        <w:t>management</w:t>
      </w:r>
      <w:r>
        <w:rPr>
          <w:color w:val="231F20"/>
          <w:spacing w:val="-11"/>
        </w:rPr>
        <w:t> </w:t>
      </w:r>
      <w:r>
        <w:rPr>
          <w:color w:val="231F20"/>
        </w:rPr>
        <w:t>plans.</w:t>
      </w:r>
      <w:r>
        <w:rPr/>
      </w:r>
    </w:p>
    <w:p>
      <w:pPr>
        <w:spacing w:line="300" w:lineRule="exact" w:before="54"/>
        <w:ind w:left="117" w:right="140" w:firstLine="264"/>
        <w:jc w:val="left"/>
        <w:rPr>
          <w:rFonts w:ascii="Segoe UI" w:hAnsi="Segoe UI" w:cs="Segoe UI" w:eastAsia="Segoe UI"/>
          <w:sz w:val="24"/>
          <w:szCs w:val="24"/>
        </w:rPr>
      </w:pPr>
      <w:r>
        <w:rPr/>
        <w:br w:type="column"/>
      </w:r>
      <w:r>
        <w:rPr>
          <w:rFonts w:ascii="Segoe UI"/>
          <w:b/>
          <w:color w:val="00779B"/>
          <w:spacing w:val="-1"/>
          <w:sz w:val="24"/>
        </w:rPr>
        <w:t>Recommendation</w:t>
      </w:r>
      <w:r>
        <w:rPr>
          <w:rFonts w:ascii="Segoe UI"/>
          <w:b/>
          <w:color w:val="00779B"/>
          <w:spacing w:val="-7"/>
          <w:sz w:val="24"/>
        </w:rPr>
        <w:t> </w:t>
      </w:r>
      <w:r>
        <w:rPr>
          <w:rFonts w:ascii="Segoe UI"/>
          <w:b/>
          <w:color w:val="00779B"/>
          <w:spacing w:val="-1"/>
          <w:sz w:val="24"/>
        </w:rPr>
        <w:t>3:</w:t>
      </w:r>
      <w:r>
        <w:rPr>
          <w:rFonts w:ascii="Segoe UI"/>
          <w:b/>
          <w:color w:val="00779B"/>
          <w:spacing w:val="-6"/>
          <w:sz w:val="24"/>
        </w:rPr>
        <w:t> </w:t>
      </w:r>
      <w:r>
        <w:rPr>
          <w:rFonts w:ascii="Segoe UI"/>
          <w:color w:val="00779B"/>
          <w:spacing w:val="-3"/>
          <w:sz w:val="24"/>
        </w:rPr>
        <w:t>Transition</w:t>
      </w:r>
      <w:r>
        <w:rPr>
          <w:rFonts w:ascii="Segoe UI"/>
          <w:color w:val="00779B"/>
          <w:spacing w:val="37"/>
          <w:w w:val="99"/>
          <w:sz w:val="24"/>
        </w:rPr>
        <w:t> </w:t>
      </w:r>
      <w:r>
        <w:rPr>
          <w:rFonts w:ascii="Segoe UI"/>
          <w:color w:val="00779B"/>
          <w:spacing w:val="-1"/>
          <w:sz w:val="24"/>
        </w:rPr>
        <w:t>support</w:t>
      </w:r>
      <w:r>
        <w:rPr>
          <w:rFonts w:ascii="Segoe UI"/>
          <w:sz w:val="24"/>
        </w:rPr>
      </w:r>
    </w:p>
    <w:p>
      <w:pPr>
        <w:pStyle w:val="BodyText"/>
        <w:spacing w:line="250" w:lineRule="exact" w:before="75"/>
        <w:ind w:right="229"/>
        <w:jc w:val="left"/>
      </w:pPr>
      <w:r>
        <w:rPr/>
        <w:pict>
          <v:group style="position:absolute;margin-left:300.471985pt;margin-top:-26.738384pt;width:8.8pt;height:8.8pt;mso-position-horizontal-relative:page;mso-position-vertical-relative:paragraph;z-index:-228280" coordorigin="6009,-535" coordsize="176,176">
            <v:shape style="position:absolute;left:6009;top:-535;width:176;height:176" coordorigin="6009,-535" coordsize="176,176" path="m6009,-359l6185,-359,6185,-535,6009,-535,6009,-359xe" filled="true" fillcolor="#c1b5a9" stroked="false">
              <v:path arrowok="t"/>
              <v:fill type="solid"/>
            </v:shape>
            <w10:wrap type="none"/>
          </v:group>
        </w:pict>
      </w:r>
      <w:r>
        <w:rPr>
          <w:color w:val="231F20"/>
          <w:spacing w:val="-1"/>
        </w:rPr>
        <w:t>Increase</w:t>
      </w:r>
      <w:r>
        <w:rPr>
          <w:color w:val="231F20"/>
          <w:spacing w:val="-6"/>
        </w:rPr>
        <w:t> </w:t>
      </w:r>
      <w:r>
        <w:rPr>
          <w:color w:val="231F20"/>
          <w:spacing w:val="-1"/>
        </w:rPr>
        <w:t>support</w:t>
      </w:r>
      <w:r>
        <w:rPr>
          <w:color w:val="231F20"/>
          <w:spacing w:val="-6"/>
        </w:rPr>
        <w:t> </w:t>
      </w:r>
      <w:r>
        <w:rPr>
          <w:color w:val="231F20"/>
        </w:rPr>
        <w:t>for</w:t>
      </w:r>
      <w:r>
        <w:rPr>
          <w:color w:val="231F20"/>
          <w:spacing w:val="-6"/>
        </w:rPr>
        <w:t> </w:t>
      </w:r>
      <w:r>
        <w:rPr>
          <w:color w:val="231F20"/>
        </w:rPr>
        <w:t>Aboriginal</w:t>
      </w:r>
      <w:r>
        <w:rPr>
          <w:color w:val="231F20"/>
          <w:spacing w:val="-5"/>
        </w:rPr>
        <w:t> </w:t>
      </w:r>
      <w:r>
        <w:rPr>
          <w:color w:val="231F20"/>
        </w:rPr>
        <w:t>and</w:t>
      </w:r>
      <w:r>
        <w:rPr>
          <w:color w:val="231F20"/>
          <w:spacing w:val="-7"/>
        </w:rPr>
        <w:t> </w:t>
      </w:r>
      <w:r>
        <w:rPr>
          <w:color w:val="231F20"/>
          <w:spacing w:val="-5"/>
        </w:rPr>
        <w:t>Torres</w:t>
      </w:r>
      <w:r>
        <w:rPr>
          <w:color w:val="231F20"/>
          <w:spacing w:val="26"/>
          <w:w w:val="99"/>
        </w:rPr>
        <w:t> </w:t>
      </w:r>
      <w:r>
        <w:rPr>
          <w:color w:val="231F20"/>
          <w:spacing w:val="-2"/>
        </w:rPr>
        <w:t>Strait</w:t>
      </w:r>
      <w:r>
        <w:rPr>
          <w:color w:val="231F20"/>
          <w:spacing w:val="-6"/>
        </w:rPr>
        <w:t> </w:t>
      </w:r>
      <w:r>
        <w:rPr>
          <w:color w:val="231F20"/>
          <w:spacing w:val="-1"/>
        </w:rPr>
        <w:t>Islander</w:t>
      </w:r>
      <w:r>
        <w:rPr>
          <w:color w:val="231F20"/>
          <w:spacing w:val="-4"/>
        </w:rPr>
        <w:t> </w:t>
      </w:r>
      <w:r>
        <w:rPr>
          <w:color w:val="231F20"/>
          <w:spacing w:val="-1"/>
        </w:rPr>
        <w:t>students</w:t>
      </w:r>
      <w:r>
        <w:rPr>
          <w:color w:val="231F20"/>
          <w:spacing w:val="-4"/>
        </w:rPr>
        <w:t> </w:t>
      </w:r>
      <w:r>
        <w:rPr>
          <w:color w:val="231F20"/>
        </w:rPr>
        <w:t>to</w:t>
      </w:r>
      <w:r>
        <w:rPr>
          <w:color w:val="231F20"/>
          <w:spacing w:val="-4"/>
        </w:rPr>
        <w:t> </w:t>
      </w:r>
      <w:r>
        <w:rPr>
          <w:color w:val="231F20"/>
        </w:rPr>
        <w:t>prepare</w:t>
      </w:r>
      <w:r>
        <w:rPr>
          <w:color w:val="231F20"/>
          <w:spacing w:val="-4"/>
        </w:rPr>
        <w:t> </w:t>
      </w:r>
      <w:r>
        <w:rPr>
          <w:color w:val="231F20"/>
        </w:rPr>
        <w:t>for</w:t>
      </w:r>
      <w:r>
        <w:rPr>
          <w:color w:val="231F20"/>
          <w:spacing w:val="-4"/>
        </w:rPr>
        <w:t> </w:t>
      </w:r>
      <w:r>
        <w:rPr>
          <w:color w:val="231F20"/>
        </w:rPr>
        <w:t>and</w:t>
      </w:r>
      <w:r>
        <w:rPr>
          <w:color w:val="231F20"/>
          <w:spacing w:val="28"/>
          <w:w w:val="99"/>
        </w:rPr>
        <w:t> </w:t>
      </w:r>
      <w:r>
        <w:rPr>
          <w:color w:val="231F20"/>
        </w:rPr>
        <w:t>transition</w:t>
      </w:r>
      <w:r>
        <w:rPr>
          <w:color w:val="231F20"/>
          <w:spacing w:val="-9"/>
        </w:rPr>
        <w:t> </w:t>
      </w:r>
      <w:r>
        <w:rPr>
          <w:color w:val="231F20"/>
        </w:rPr>
        <w:t>to</w:t>
      </w:r>
      <w:r>
        <w:rPr>
          <w:color w:val="231F20"/>
          <w:spacing w:val="-7"/>
        </w:rPr>
        <w:t> </w:t>
      </w:r>
      <w:r>
        <w:rPr>
          <w:color w:val="231F20"/>
        </w:rPr>
        <w:t>boarding</w:t>
      </w:r>
      <w:r>
        <w:rPr>
          <w:color w:val="231F20"/>
          <w:spacing w:val="-9"/>
        </w:rPr>
        <w:t> </w:t>
      </w:r>
      <w:r>
        <w:rPr>
          <w:color w:val="231F20"/>
        </w:rPr>
        <w:t>through</w:t>
      </w:r>
      <w:r>
        <w:rPr>
          <w:color w:val="231F20"/>
          <w:spacing w:val="-8"/>
        </w:rPr>
        <w:t> </w:t>
      </w:r>
      <w:r>
        <w:rPr>
          <w:color w:val="231F20"/>
        </w:rPr>
        <w:t>direct</w:t>
      </w:r>
      <w:r>
        <w:rPr>
          <w:color w:val="231F20"/>
          <w:spacing w:val="-9"/>
        </w:rPr>
        <w:t> </w:t>
      </w:r>
      <w:r>
        <w:rPr>
          <w:color w:val="231F20"/>
        </w:rPr>
        <w:t>funding</w:t>
      </w:r>
      <w:r>
        <w:rPr>
          <w:color w:val="231F20"/>
          <w:w w:val="99"/>
        </w:rPr>
        <w:t> </w:t>
      </w:r>
      <w:r>
        <w:rPr>
          <w:color w:val="231F20"/>
        </w:rPr>
        <w:t>to</w:t>
      </w:r>
      <w:r>
        <w:rPr>
          <w:color w:val="231F20"/>
          <w:spacing w:val="-6"/>
        </w:rPr>
        <w:t> </w:t>
      </w:r>
      <w:r>
        <w:rPr>
          <w:color w:val="231F20"/>
        </w:rPr>
        <w:t>boarding</w:t>
      </w:r>
      <w:r>
        <w:rPr>
          <w:color w:val="231F20"/>
          <w:spacing w:val="-6"/>
        </w:rPr>
        <w:t> </w:t>
      </w:r>
      <w:r>
        <w:rPr>
          <w:color w:val="231F20"/>
        </w:rPr>
        <w:t>providers</w:t>
      </w:r>
      <w:r>
        <w:rPr>
          <w:color w:val="231F20"/>
          <w:spacing w:val="-7"/>
        </w:rPr>
        <w:t> </w:t>
      </w:r>
      <w:r>
        <w:rPr>
          <w:color w:val="231F20"/>
        </w:rPr>
        <w:t>for</w:t>
      </w:r>
      <w:r>
        <w:rPr>
          <w:color w:val="231F20"/>
          <w:spacing w:val="-5"/>
        </w:rPr>
        <w:t> </w:t>
      </w:r>
      <w:r>
        <w:rPr>
          <w:color w:val="231F20"/>
          <w:spacing w:val="-1"/>
        </w:rPr>
        <w:t>support</w:t>
      </w:r>
      <w:r>
        <w:rPr>
          <w:color w:val="231F20"/>
          <w:spacing w:val="-6"/>
        </w:rPr>
        <w:t> </w:t>
      </w:r>
      <w:r>
        <w:rPr>
          <w:color w:val="231F20"/>
          <w:spacing w:val="-1"/>
        </w:rPr>
        <w:t>services.</w:t>
      </w:r>
      <w:r>
        <w:rPr/>
      </w:r>
    </w:p>
    <w:p>
      <w:pPr>
        <w:pStyle w:val="BodyText"/>
        <w:spacing w:line="250" w:lineRule="exact" w:before="113"/>
        <w:ind w:right="116"/>
        <w:jc w:val="left"/>
      </w:pPr>
      <w:r>
        <w:rPr>
          <w:color w:val="231F20"/>
          <w:spacing w:val="-1"/>
        </w:rPr>
        <w:t>Identify</w:t>
      </w:r>
      <w:r>
        <w:rPr>
          <w:color w:val="231F20"/>
          <w:spacing w:val="-8"/>
        </w:rPr>
        <w:t> </w:t>
      </w:r>
      <w:r>
        <w:rPr>
          <w:color w:val="231F20"/>
          <w:spacing w:val="-1"/>
        </w:rPr>
        <w:t>Commonwealth</w:t>
      </w:r>
      <w:r>
        <w:rPr>
          <w:color w:val="231F20"/>
          <w:spacing w:val="-8"/>
        </w:rPr>
        <w:t> </w:t>
      </w:r>
      <w:r>
        <w:rPr>
          <w:color w:val="231F20"/>
        </w:rPr>
        <w:t>and</w:t>
      </w:r>
      <w:r>
        <w:rPr>
          <w:color w:val="231F20"/>
          <w:spacing w:val="-8"/>
        </w:rPr>
        <w:t> </w:t>
      </w:r>
      <w:r>
        <w:rPr>
          <w:color w:val="231F20"/>
          <w:spacing w:val="-1"/>
        </w:rPr>
        <w:t>state</w:t>
      </w:r>
      <w:r>
        <w:rPr>
          <w:color w:val="231F20"/>
          <w:spacing w:val="-7"/>
        </w:rPr>
        <w:t> </w:t>
      </w:r>
      <w:r>
        <w:rPr>
          <w:color w:val="231F20"/>
        </w:rPr>
        <w:t>funding</w:t>
      </w:r>
      <w:r>
        <w:rPr>
          <w:color w:val="231F20"/>
          <w:spacing w:val="-8"/>
        </w:rPr>
        <w:t> </w:t>
      </w:r>
      <w:r>
        <w:rPr>
          <w:color w:val="231F20"/>
        </w:rPr>
        <w:t>for</w:t>
      </w:r>
      <w:r>
        <w:rPr>
          <w:color w:val="231F20"/>
          <w:spacing w:val="24"/>
          <w:w w:val="99"/>
        </w:rPr>
        <w:t> </w:t>
      </w:r>
      <w:r>
        <w:rPr>
          <w:color w:val="231F20"/>
        </w:rPr>
        <w:t>transition</w:t>
      </w:r>
      <w:r>
        <w:rPr>
          <w:color w:val="231F20"/>
          <w:spacing w:val="-7"/>
        </w:rPr>
        <w:t> </w:t>
      </w:r>
      <w:r>
        <w:rPr>
          <w:color w:val="231F20"/>
          <w:spacing w:val="-1"/>
        </w:rPr>
        <w:t>support</w:t>
      </w:r>
      <w:r>
        <w:rPr>
          <w:color w:val="231F20"/>
          <w:spacing w:val="-6"/>
        </w:rPr>
        <w:t> </w:t>
      </w:r>
      <w:r>
        <w:rPr>
          <w:color w:val="231F20"/>
        </w:rPr>
        <w:t>units</w:t>
      </w:r>
      <w:r>
        <w:rPr>
          <w:color w:val="231F20"/>
          <w:spacing w:val="-7"/>
        </w:rPr>
        <w:t> </w:t>
      </w:r>
      <w:r>
        <w:rPr>
          <w:color w:val="231F20"/>
          <w:spacing w:val="-1"/>
        </w:rPr>
        <w:t>in</w:t>
      </w:r>
      <w:r>
        <w:rPr>
          <w:color w:val="231F20"/>
          <w:spacing w:val="-6"/>
        </w:rPr>
        <w:t> </w:t>
      </w:r>
      <w:r>
        <w:rPr>
          <w:color w:val="231F20"/>
          <w:spacing w:val="-2"/>
        </w:rPr>
        <w:t>Western</w:t>
      </w:r>
      <w:r>
        <w:rPr>
          <w:color w:val="231F20"/>
          <w:spacing w:val="-6"/>
        </w:rPr>
        <w:t> </w:t>
      </w:r>
      <w:r>
        <w:rPr>
          <w:color w:val="231F20"/>
        </w:rPr>
        <w:t>Australia,</w:t>
      </w:r>
      <w:r>
        <w:rPr>
          <w:color w:val="231F20"/>
          <w:spacing w:val="29"/>
          <w:w w:val="99"/>
        </w:rPr>
        <w:t> </w:t>
      </w:r>
      <w:r>
        <w:rPr>
          <w:color w:val="231F20"/>
        </w:rPr>
        <w:t>New</w:t>
      </w:r>
      <w:r>
        <w:rPr>
          <w:color w:val="231F20"/>
          <w:spacing w:val="-5"/>
        </w:rPr>
        <w:t> </w:t>
      </w:r>
      <w:r>
        <w:rPr>
          <w:color w:val="231F20"/>
          <w:spacing w:val="-1"/>
        </w:rPr>
        <w:t>South</w:t>
      </w:r>
      <w:r>
        <w:rPr>
          <w:color w:val="231F20"/>
          <w:spacing w:val="-5"/>
        </w:rPr>
        <w:t> </w:t>
      </w:r>
      <w:r>
        <w:rPr>
          <w:color w:val="231F20"/>
          <w:spacing w:val="-2"/>
        </w:rPr>
        <w:t>Wales</w:t>
      </w:r>
      <w:r>
        <w:rPr>
          <w:color w:val="231F20"/>
          <w:spacing w:val="-6"/>
        </w:rPr>
        <w:t> </w:t>
      </w:r>
      <w:r>
        <w:rPr>
          <w:color w:val="231F20"/>
        </w:rPr>
        <w:t>and</w:t>
      </w:r>
      <w:r>
        <w:rPr>
          <w:color w:val="231F20"/>
          <w:spacing w:val="-5"/>
        </w:rPr>
        <w:t> </w:t>
      </w:r>
      <w:r>
        <w:rPr>
          <w:color w:val="231F20"/>
          <w:spacing w:val="-1"/>
        </w:rPr>
        <w:t>South</w:t>
      </w:r>
      <w:r>
        <w:rPr>
          <w:color w:val="231F20"/>
          <w:spacing w:val="-5"/>
        </w:rPr>
        <w:t> </w:t>
      </w:r>
      <w:r>
        <w:rPr>
          <w:color w:val="231F20"/>
        </w:rPr>
        <w:t>Australia</w:t>
      </w:r>
      <w:r>
        <w:rPr>
          <w:color w:val="231F20"/>
          <w:spacing w:val="-5"/>
        </w:rPr>
        <w:t> </w:t>
      </w:r>
      <w:r>
        <w:rPr>
          <w:color w:val="231F20"/>
        </w:rPr>
        <w:t>based</w:t>
      </w:r>
      <w:r>
        <w:rPr>
          <w:color w:val="231F20"/>
          <w:spacing w:val="-5"/>
        </w:rPr>
        <w:t> </w:t>
      </w:r>
      <w:r>
        <w:rPr>
          <w:color w:val="231F20"/>
        </w:rPr>
        <w:t>on</w:t>
      </w:r>
      <w:r>
        <w:rPr>
          <w:color w:val="231F20"/>
          <w:spacing w:val="25"/>
          <w:w w:val="99"/>
        </w:rPr>
        <w:t> </w:t>
      </w:r>
      <w:r>
        <w:rPr>
          <w:color w:val="231F20"/>
        </w:rPr>
        <w:t>the</w:t>
      </w:r>
      <w:r>
        <w:rPr>
          <w:color w:val="231F20"/>
          <w:spacing w:val="-8"/>
        </w:rPr>
        <w:t> </w:t>
      </w:r>
      <w:r>
        <w:rPr>
          <w:color w:val="231F20"/>
          <w:spacing w:val="-2"/>
        </w:rPr>
        <w:t>Transition</w:t>
      </w:r>
      <w:r>
        <w:rPr>
          <w:color w:val="231F20"/>
          <w:spacing w:val="-8"/>
        </w:rPr>
        <w:t> </w:t>
      </w:r>
      <w:r>
        <w:rPr>
          <w:color w:val="231F20"/>
          <w:spacing w:val="-1"/>
        </w:rPr>
        <w:t>Support</w:t>
      </w:r>
      <w:r>
        <w:rPr>
          <w:color w:val="231F20"/>
          <w:spacing w:val="-6"/>
        </w:rPr>
        <w:t> </w:t>
      </w:r>
      <w:r>
        <w:rPr>
          <w:color w:val="231F20"/>
          <w:spacing w:val="-1"/>
        </w:rPr>
        <w:t>Services</w:t>
      </w:r>
      <w:r>
        <w:rPr>
          <w:color w:val="231F20"/>
          <w:spacing w:val="-6"/>
        </w:rPr>
        <w:t> </w:t>
      </w:r>
      <w:r>
        <w:rPr>
          <w:color w:val="231F20"/>
        </w:rPr>
        <w:t>and</w:t>
      </w:r>
      <w:r>
        <w:rPr>
          <w:color w:val="231F20"/>
          <w:spacing w:val="-7"/>
        </w:rPr>
        <w:t> </w:t>
      </w:r>
      <w:r>
        <w:rPr>
          <w:color w:val="231F20"/>
          <w:spacing w:val="-2"/>
        </w:rPr>
        <w:t>Transition</w:t>
      </w:r>
      <w:r>
        <w:rPr>
          <w:color w:val="231F20"/>
          <w:spacing w:val="27"/>
          <w:w w:val="99"/>
        </w:rPr>
        <w:t> </w:t>
      </w:r>
      <w:r>
        <w:rPr>
          <w:color w:val="231F20"/>
          <w:spacing w:val="-1"/>
        </w:rPr>
        <w:t>Support</w:t>
      </w:r>
      <w:r>
        <w:rPr>
          <w:color w:val="231F20"/>
          <w:spacing w:val="-5"/>
        </w:rPr>
        <w:t> </w:t>
      </w:r>
      <w:r>
        <w:rPr>
          <w:color w:val="231F20"/>
        </w:rPr>
        <w:t>Unit</w:t>
      </w:r>
      <w:r>
        <w:rPr>
          <w:color w:val="231F20"/>
          <w:spacing w:val="-5"/>
        </w:rPr>
        <w:t> </w:t>
      </w:r>
      <w:r>
        <w:rPr>
          <w:color w:val="231F20"/>
          <w:spacing w:val="-1"/>
        </w:rPr>
        <w:t>models</w:t>
      </w:r>
      <w:r>
        <w:rPr>
          <w:color w:val="231F20"/>
          <w:spacing w:val="-4"/>
        </w:rPr>
        <w:t> </w:t>
      </w:r>
      <w:r>
        <w:rPr>
          <w:color w:val="231F20"/>
          <w:spacing w:val="-1"/>
        </w:rPr>
        <w:t>in</w:t>
      </w:r>
      <w:r>
        <w:rPr>
          <w:color w:val="231F20"/>
          <w:spacing w:val="-5"/>
        </w:rPr>
        <w:t> </w:t>
      </w:r>
      <w:r>
        <w:rPr>
          <w:color w:val="231F20"/>
        </w:rPr>
        <w:t>Queensland</w:t>
      </w:r>
      <w:r>
        <w:rPr>
          <w:color w:val="231F20"/>
          <w:spacing w:val="-5"/>
        </w:rPr>
        <w:t> </w:t>
      </w:r>
      <w:r>
        <w:rPr>
          <w:color w:val="231F20"/>
        </w:rPr>
        <w:t>and</w:t>
      </w:r>
      <w:r>
        <w:rPr>
          <w:color w:val="231F20"/>
          <w:spacing w:val="-6"/>
        </w:rPr>
        <w:t> </w:t>
      </w:r>
      <w:r>
        <w:rPr>
          <w:color w:val="231F20"/>
        </w:rPr>
        <w:t>the</w:t>
      </w:r>
      <w:r>
        <w:rPr>
          <w:color w:val="231F20"/>
          <w:spacing w:val="24"/>
          <w:w w:val="99"/>
        </w:rPr>
        <w:t> </w:t>
      </w:r>
      <w:r>
        <w:rPr>
          <w:color w:val="231F20"/>
        </w:rPr>
        <w:t>Northern</w:t>
      </w:r>
      <w:r>
        <w:rPr>
          <w:color w:val="231F20"/>
          <w:spacing w:val="-8"/>
        </w:rPr>
        <w:t> </w:t>
      </w:r>
      <w:r>
        <w:rPr>
          <w:color w:val="231F20"/>
          <w:spacing w:val="-3"/>
        </w:rPr>
        <w:t>Territory</w:t>
      </w:r>
      <w:r>
        <w:rPr>
          <w:color w:val="231F20"/>
          <w:spacing w:val="-7"/>
        </w:rPr>
        <w:t> </w:t>
      </w:r>
      <w:r>
        <w:rPr>
          <w:color w:val="231F20"/>
        </w:rPr>
        <w:t>to</w:t>
      </w:r>
      <w:r>
        <w:rPr>
          <w:color w:val="231F20"/>
          <w:spacing w:val="-7"/>
        </w:rPr>
        <w:t> </w:t>
      </w:r>
      <w:r>
        <w:rPr>
          <w:color w:val="231F20"/>
        </w:rPr>
        <w:t>augment</w:t>
      </w:r>
      <w:r>
        <w:rPr>
          <w:color w:val="231F20"/>
          <w:spacing w:val="-8"/>
        </w:rPr>
        <w:t> </w:t>
      </w:r>
      <w:r>
        <w:rPr>
          <w:color w:val="231F20"/>
        </w:rPr>
        <w:t>the</w:t>
      </w:r>
      <w:r>
        <w:rPr>
          <w:color w:val="231F20"/>
          <w:spacing w:val="-8"/>
        </w:rPr>
        <w:t> </w:t>
      </w:r>
      <w:r>
        <w:rPr>
          <w:color w:val="231F20"/>
          <w:spacing w:val="-1"/>
        </w:rPr>
        <w:t>support</w:t>
      </w:r>
      <w:r>
        <w:rPr>
          <w:color w:val="231F20"/>
          <w:spacing w:val="27"/>
          <w:w w:val="99"/>
        </w:rPr>
        <w:t> </w:t>
      </w:r>
      <w:r>
        <w:rPr>
          <w:color w:val="231F20"/>
          <w:spacing w:val="-1"/>
        </w:rPr>
        <w:t>services</w:t>
      </w:r>
      <w:r>
        <w:rPr>
          <w:color w:val="231F20"/>
          <w:spacing w:val="-7"/>
        </w:rPr>
        <w:t> </w:t>
      </w:r>
      <w:r>
        <w:rPr>
          <w:color w:val="231F20"/>
        </w:rPr>
        <w:t>provided</w:t>
      </w:r>
      <w:r>
        <w:rPr>
          <w:color w:val="231F20"/>
          <w:spacing w:val="-8"/>
        </w:rPr>
        <w:t> </w:t>
      </w:r>
      <w:r>
        <w:rPr>
          <w:color w:val="231F20"/>
        </w:rPr>
        <w:t>by</w:t>
      </w:r>
      <w:r>
        <w:rPr>
          <w:color w:val="231F20"/>
          <w:spacing w:val="-7"/>
        </w:rPr>
        <w:t> </w:t>
      </w:r>
      <w:r>
        <w:rPr>
          <w:color w:val="231F20"/>
        </w:rPr>
        <w:t>boarding</w:t>
      </w:r>
      <w:r>
        <w:rPr>
          <w:color w:val="231F20"/>
          <w:spacing w:val="-7"/>
        </w:rPr>
        <w:t> </w:t>
      </w:r>
      <w:r>
        <w:rPr>
          <w:color w:val="231F20"/>
        </w:rPr>
        <w:t>providers.</w:t>
      </w:r>
      <w:r>
        <w:rPr/>
      </w:r>
    </w:p>
    <w:p>
      <w:pPr>
        <w:spacing w:line="240" w:lineRule="auto" w:before="9"/>
        <w:rPr>
          <w:rFonts w:ascii="Segoe UI" w:hAnsi="Segoe UI" w:cs="Segoe UI" w:eastAsia="Segoe UI"/>
          <w:sz w:val="15"/>
          <w:szCs w:val="15"/>
        </w:rPr>
      </w:pPr>
    </w:p>
    <w:p>
      <w:pPr>
        <w:spacing w:line="300" w:lineRule="exact" w:before="0"/>
        <w:ind w:left="117" w:right="116" w:firstLine="264"/>
        <w:jc w:val="left"/>
        <w:rPr>
          <w:rFonts w:ascii="Segoe UI" w:hAnsi="Segoe UI" w:cs="Segoe UI" w:eastAsia="Segoe UI"/>
          <w:sz w:val="24"/>
          <w:szCs w:val="24"/>
        </w:rPr>
      </w:pPr>
      <w:r>
        <w:rPr/>
        <w:pict>
          <v:group style="position:absolute;margin-left:300.471985pt;margin-top:3.291009pt;width:8.8pt;height:8.8pt;mso-position-horizontal-relative:page;mso-position-vertical-relative:paragraph;z-index:-228304" coordorigin="6009,66" coordsize="176,176">
            <v:shape style="position:absolute;left:6009;top:66;width:176;height:176" coordorigin="6009,66" coordsize="176,176" path="m6009,242l6185,242,6185,66,6009,66,6009,242xe" filled="true" fillcolor="#c1b5a9" stroked="false">
              <v:path arrowok="t"/>
              <v:fill type="solid"/>
            </v:shape>
            <w10:wrap type="none"/>
          </v:group>
        </w:pict>
      </w:r>
      <w:r>
        <w:rPr>
          <w:rFonts w:ascii="Segoe UI"/>
          <w:b/>
          <w:color w:val="00779B"/>
          <w:spacing w:val="-1"/>
          <w:sz w:val="24"/>
        </w:rPr>
        <w:t>Recommendation</w:t>
      </w:r>
      <w:r>
        <w:rPr>
          <w:rFonts w:ascii="Segoe UI"/>
          <w:b/>
          <w:color w:val="00779B"/>
          <w:spacing w:val="-4"/>
          <w:sz w:val="24"/>
        </w:rPr>
        <w:t> </w:t>
      </w:r>
      <w:r>
        <w:rPr>
          <w:rFonts w:ascii="Segoe UI"/>
          <w:b/>
          <w:color w:val="00779B"/>
          <w:spacing w:val="-1"/>
          <w:sz w:val="24"/>
        </w:rPr>
        <w:t>4:</w:t>
      </w:r>
      <w:r>
        <w:rPr>
          <w:rFonts w:ascii="Segoe UI"/>
          <w:b/>
          <w:color w:val="00779B"/>
          <w:spacing w:val="-4"/>
          <w:sz w:val="24"/>
        </w:rPr>
        <w:t> </w:t>
      </w:r>
      <w:r>
        <w:rPr>
          <w:rFonts w:ascii="Segoe UI"/>
          <w:color w:val="00779B"/>
          <w:spacing w:val="-1"/>
          <w:sz w:val="24"/>
        </w:rPr>
        <w:t>Needs</w:t>
      </w:r>
      <w:r>
        <w:rPr>
          <w:rFonts w:ascii="Segoe UI"/>
          <w:color w:val="00779B"/>
          <w:spacing w:val="-2"/>
          <w:sz w:val="24"/>
        </w:rPr>
        <w:t> </w:t>
      </w:r>
      <w:r>
        <w:rPr>
          <w:rFonts w:ascii="Segoe UI"/>
          <w:color w:val="00779B"/>
          <w:sz w:val="24"/>
        </w:rPr>
        <w:t>based</w:t>
      </w:r>
      <w:r>
        <w:rPr>
          <w:rFonts w:ascii="Segoe UI"/>
          <w:color w:val="00779B"/>
          <w:spacing w:val="30"/>
          <w:w w:val="99"/>
          <w:sz w:val="24"/>
        </w:rPr>
        <w:t> </w:t>
      </w:r>
      <w:r>
        <w:rPr>
          <w:rFonts w:ascii="Segoe UI"/>
          <w:color w:val="00779B"/>
          <w:sz w:val="24"/>
        </w:rPr>
        <w:t>funding</w:t>
      </w:r>
      <w:r>
        <w:rPr>
          <w:rFonts w:ascii="Segoe UI"/>
          <w:color w:val="00779B"/>
          <w:spacing w:val="-7"/>
          <w:sz w:val="24"/>
        </w:rPr>
        <w:t> </w:t>
      </w:r>
      <w:r>
        <w:rPr>
          <w:rFonts w:ascii="Segoe UI"/>
          <w:color w:val="00779B"/>
          <w:sz w:val="24"/>
        </w:rPr>
        <w:t>for</w:t>
      </w:r>
      <w:r>
        <w:rPr>
          <w:rFonts w:ascii="Segoe UI"/>
          <w:color w:val="00779B"/>
          <w:spacing w:val="-6"/>
          <w:sz w:val="24"/>
        </w:rPr>
        <w:t> </w:t>
      </w:r>
      <w:r>
        <w:rPr>
          <w:rFonts w:ascii="Segoe UI"/>
          <w:color w:val="00779B"/>
          <w:spacing w:val="-1"/>
          <w:sz w:val="24"/>
        </w:rPr>
        <w:t>support</w:t>
      </w:r>
      <w:r>
        <w:rPr>
          <w:rFonts w:ascii="Segoe UI"/>
          <w:color w:val="00779B"/>
          <w:spacing w:val="-6"/>
          <w:sz w:val="24"/>
        </w:rPr>
        <w:t> </w:t>
      </w:r>
      <w:r>
        <w:rPr>
          <w:rFonts w:ascii="Segoe UI"/>
          <w:color w:val="00779B"/>
          <w:spacing w:val="-1"/>
          <w:sz w:val="24"/>
        </w:rPr>
        <w:t>services</w:t>
      </w:r>
      <w:r>
        <w:rPr>
          <w:rFonts w:ascii="Segoe UI"/>
          <w:sz w:val="24"/>
        </w:rPr>
      </w:r>
    </w:p>
    <w:p>
      <w:pPr>
        <w:pStyle w:val="BodyText"/>
        <w:spacing w:line="250" w:lineRule="exact" w:before="75"/>
        <w:ind w:right="229"/>
        <w:jc w:val="left"/>
      </w:pPr>
      <w:r>
        <w:rPr>
          <w:color w:val="231F20"/>
        </w:rPr>
        <w:t>The</w:t>
      </w:r>
      <w:r>
        <w:rPr>
          <w:color w:val="231F20"/>
          <w:spacing w:val="-6"/>
        </w:rPr>
        <w:t> </w:t>
      </w:r>
      <w:r>
        <w:rPr>
          <w:color w:val="231F20"/>
          <w:spacing w:val="-1"/>
        </w:rPr>
        <w:t>support</w:t>
      </w:r>
      <w:r>
        <w:rPr>
          <w:color w:val="231F20"/>
          <w:spacing w:val="-6"/>
        </w:rPr>
        <w:t> </w:t>
      </w:r>
      <w:r>
        <w:rPr>
          <w:color w:val="231F20"/>
          <w:spacing w:val="-1"/>
        </w:rPr>
        <w:t>services</w:t>
      </w:r>
      <w:r>
        <w:rPr>
          <w:color w:val="231F20"/>
          <w:spacing w:val="-6"/>
        </w:rPr>
        <w:t> </w:t>
      </w:r>
      <w:r>
        <w:rPr>
          <w:color w:val="231F20"/>
        </w:rPr>
        <w:t>required</w:t>
      </w:r>
      <w:r>
        <w:rPr>
          <w:color w:val="231F20"/>
          <w:spacing w:val="-7"/>
        </w:rPr>
        <w:t> </w:t>
      </w:r>
      <w:r>
        <w:rPr>
          <w:color w:val="231F20"/>
        </w:rPr>
        <w:t>by</w:t>
      </w:r>
      <w:r>
        <w:rPr>
          <w:color w:val="231F20"/>
          <w:spacing w:val="-5"/>
        </w:rPr>
        <w:t> </w:t>
      </w:r>
      <w:r>
        <w:rPr>
          <w:color w:val="231F20"/>
        </w:rPr>
        <w:t>Aboriginal</w:t>
      </w:r>
      <w:r>
        <w:rPr>
          <w:color w:val="231F20"/>
          <w:spacing w:val="23"/>
          <w:w w:val="99"/>
        </w:rPr>
        <w:t> </w:t>
      </w:r>
      <w:r>
        <w:rPr>
          <w:color w:val="231F20"/>
        </w:rPr>
        <w:t>and</w:t>
      </w:r>
      <w:r>
        <w:rPr>
          <w:color w:val="231F20"/>
          <w:spacing w:val="-6"/>
        </w:rPr>
        <w:t> </w:t>
      </w:r>
      <w:r>
        <w:rPr>
          <w:color w:val="231F20"/>
          <w:spacing w:val="-5"/>
        </w:rPr>
        <w:t>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5"/>
        </w:rPr>
        <w:t> </w:t>
      </w:r>
      <w:r>
        <w:rPr>
          <w:color w:val="231F20"/>
        </w:rPr>
        <w:t>boarding</w:t>
      </w:r>
      <w:r>
        <w:rPr>
          <w:color w:val="231F20"/>
          <w:spacing w:val="-5"/>
        </w:rPr>
        <w:t> </w:t>
      </w:r>
      <w:r>
        <w:rPr>
          <w:color w:val="231F20"/>
          <w:spacing w:val="-1"/>
        </w:rPr>
        <w:t>students</w:t>
      </w:r>
      <w:r>
        <w:rPr>
          <w:color w:val="231F20"/>
          <w:spacing w:val="20"/>
        </w:rPr>
        <w:t> </w:t>
      </w:r>
      <w:r>
        <w:rPr>
          <w:rFonts w:ascii="Segoe UI"/>
          <w:color w:val="231F20"/>
        </w:rPr>
        <w:t>vary significantly depending on the individual</w:t>
      </w:r>
      <w:r>
        <w:rPr>
          <w:rFonts w:ascii="Segoe UI"/>
          <w:color w:val="231F20"/>
        </w:rPr>
        <w:t> </w:t>
      </w:r>
      <w:r>
        <w:rPr>
          <w:color w:val="231F20"/>
        </w:rPr>
        <w:t>circumstances</w:t>
      </w:r>
      <w:r>
        <w:rPr>
          <w:color w:val="231F20"/>
          <w:spacing w:val="-12"/>
        </w:rPr>
        <w:t> </w:t>
      </w:r>
      <w:r>
        <w:rPr>
          <w:color w:val="231F20"/>
        </w:rPr>
        <w:t>of</w:t>
      </w:r>
      <w:r>
        <w:rPr>
          <w:color w:val="231F20"/>
          <w:spacing w:val="-12"/>
        </w:rPr>
        <w:t> </w:t>
      </w:r>
      <w:r>
        <w:rPr>
          <w:color w:val="231F20"/>
          <w:spacing w:val="-1"/>
        </w:rPr>
        <w:t>students.</w:t>
      </w:r>
      <w:r>
        <w:rPr/>
      </w:r>
    </w:p>
    <w:p>
      <w:pPr>
        <w:pStyle w:val="BodyText"/>
        <w:spacing w:line="250" w:lineRule="exact" w:before="113"/>
        <w:ind w:right="384"/>
        <w:jc w:val="left"/>
      </w:pPr>
      <w:r>
        <w:rPr>
          <w:color w:val="231F20"/>
          <w:spacing w:val="-1"/>
        </w:rPr>
        <w:t>Provide</w:t>
      </w:r>
      <w:r>
        <w:rPr>
          <w:color w:val="231F20"/>
          <w:spacing w:val="-6"/>
        </w:rPr>
        <w:t> </w:t>
      </w:r>
      <w:r>
        <w:rPr>
          <w:color w:val="231F20"/>
        </w:rPr>
        <w:t>base</w:t>
      </w:r>
      <w:r>
        <w:rPr>
          <w:color w:val="231F20"/>
          <w:spacing w:val="-6"/>
        </w:rPr>
        <w:t> </w:t>
      </w:r>
      <w:r>
        <w:rPr>
          <w:color w:val="231F20"/>
        </w:rPr>
        <w:t>funding</w:t>
      </w:r>
      <w:r>
        <w:rPr>
          <w:color w:val="231F20"/>
          <w:spacing w:val="-6"/>
        </w:rPr>
        <w:t> </w:t>
      </w:r>
      <w:r>
        <w:rPr>
          <w:color w:val="231F20"/>
        </w:rPr>
        <w:t>for</w:t>
      </w:r>
      <w:r>
        <w:rPr>
          <w:color w:val="231F20"/>
          <w:spacing w:val="-5"/>
        </w:rPr>
        <w:t> </w:t>
      </w:r>
      <w:r>
        <w:rPr>
          <w:color w:val="231F20"/>
          <w:spacing w:val="-1"/>
        </w:rPr>
        <w:t>support</w:t>
      </w:r>
      <w:r>
        <w:rPr>
          <w:color w:val="231F20"/>
          <w:spacing w:val="-5"/>
        </w:rPr>
        <w:t> </w:t>
      </w:r>
      <w:r>
        <w:rPr>
          <w:color w:val="231F20"/>
          <w:spacing w:val="-1"/>
        </w:rPr>
        <w:t>services</w:t>
      </w:r>
      <w:r>
        <w:rPr>
          <w:color w:val="231F20"/>
          <w:spacing w:val="-1"/>
        </w:rPr>
        <w:t> </w:t>
      </w:r>
      <w:r>
        <w:rPr>
          <w:color w:val="231F20"/>
          <w:spacing w:val="22"/>
        </w:rPr>
        <w:t> </w:t>
      </w:r>
      <w:r>
        <w:rPr>
          <w:color w:val="231F20"/>
        </w:rPr>
        <w:t>for</w:t>
      </w:r>
      <w:r>
        <w:rPr>
          <w:color w:val="231F20"/>
          <w:spacing w:val="-6"/>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6"/>
        </w:rPr>
        <w:t> </w:t>
      </w:r>
      <w:r>
        <w:rPr>
          <w:color w:val="231F20"/>
          <w:spacing w:val="-1"/>
        </w:rPr>
        <w:t>Islander</w:t>
      </w:r>
      <w:r>
        <w:rPr>
          <w:color w:val="231F20"/>
          <w:spacing w:val="29"/>
          <w:w w:val="99"/>
        </w:rPr>
        <w:t> </w:t>
      </w:r>
      <w:r>
        <w:rPr>
          <w:color w:val="231F20"/>
        </w:rPr>
        <w:t>boarding</w:t>
      </w:r>
      <w:r>
        <w:rPr>
          <w:color w:val="231F20"/>
          <w:spacing w:val="-6"/>
        </w:rPr>
        <w:t> </w:t>
      </w:r>
      <w:r>
        <w:rPr>
          <w:color w:val="231F20"/>
          <w:spacing w:val="-1"/>
        </w:rPr>
        <w:t>students</w:t>
      </w:r>
      <w:r>
        <w:rPr>
          <w:color w:val="231F20"/>
          <w:spacing w:val="-4"/>
        </w:rPr>
        <w:t> </w:t>
      </w:r>
      <w:r>
        <w:rPr>
          <w:color w:val="231F20"/>
        </w:rPr>
        <w:t>with</w:t>
      </w:r>
      <w:r>
        <w:rPr>
          <w:color w:val="231F20"/>
          <w:spacing w:val="-5"/>
        </w:rPr>
        <w:t> </w:t>
      </w:r>
      <w:r>
        <w:rPr>
          <w:color w:val="231F20"/>
          <w:spacing w:val="-1"/>
        </w:rPr>
        <w:t>loadings</w:t>
      </w:r>
      <w:r>
        <w:rPr>
          <w:color w:val="231F20"/>
          <w:spacing w:val="-4"/>
        </w:rPr>
        <w:t> </w:t>
      </w:r>
      <w:r>
        <w:rPr>
          <w:color w:val="231F20"/>
        </w:rPr>
        <w:t>to</w:t>
      </w:r>
      <w:r>
        <w:rPr>
          <w:color w:val="231F20"/>
          <w:spacing w:val="-4"/>
        </w:rPr>
        <w:t> </w:t>
      </w:r>
      <w:r>
        <w:rPr>
          <w:color w:val="231F20"/>
        </w:rPr>
        <w:t>address</w:t>
      </w:r>
      <w:r>
        <w:rPr>
          <w:color w:val="231F20"/>
          <w:spacing w:val="23"/>
          <w:w w:val="99"/>
        </w:rPr>
        <w:t> </w:t>
      </w:r>
      <w:r>
        <w:rPr>
          <w:color w:val="231F20"/>
        </w:rPr>
        <w:t>the</w:t>
      </w:r>
      <w:r>
        <w:rPr>
          <w:color w:val="231F20"/>
          <w:spacing w:val="-7"/>
        </w:rPr>
        <w:t> </w:t>
      </w:r>
      <w:r>
        <w:rPr>
          <w:color w:val="231F20"/>
        </w:rPr>
        <w:t>disadvantage</w:t>
      </w:r>
      <w:r>
        <w:rPr>
          <w:color w:val="231F20"/>
          <w:spacing w:val="-6"/>
        </w:rPr>
        <w:t> </w:t>
      </w:r>
      <w:r>
        <w:rPr>
          <w:color w:val="231F20"/>
        </w:rPr>
        <w:t>of</w:t>
      </w:r>
      <w:r>
        <w:rPr>
          <w:color w:val="231F20"/>
          <w:spacing w:val="-6"/>
        </w:rPr>
        <w:t> </w:t>
      </w:r>
      <w:r>
        <w:rPr>
          <w:color w:val="231F20"/>
          <w:spacing w:val="-1"/>
        </w:rPr>
        <w:t>students</w:t>
      </w:r>
      <w:r>
        <w:rPr>
          <w:color w:val="231F20"/>
          <w:spacing w:val="-6"/>
        </w:rPr>
        <w:t> </w:t>
      </w:r>
      <w:r>
        <w:rPr>
          <w:color w:val="231F20"/>
        </w:rPr>
        <w:t>and</w:t>
      </w:r>
      <w:r>
        <w:rPr>
          <w:color w:val="231F20"/>
          <w:spacing w:val="-6"/>
        </w:rPr>
        <w:t> </w:t>
      </w:r>
      <w:r>
        <w:rPr>
          <w:color w:val="231F20"/>
        </w:rPr>
        <w:t>boarding</w:t>
      </w:r>
      <w:r>
        <w:rPr>
          <w:color w:val="231F20"/>
          <w:spacing w:val="22"/>
          <w:w w:val="99"/>
        </w:rPr>
        <w:t> </w:t>
      </w:r>
      <w:r>
        <w:rPr>
          <w:color w:val="231F20"/>
        </w:rPr>
        <w:t>providers,</w:t>
      </w:r>
      <w:r>
        <w:rPr>
          <w:color w:val="231F20"/>
          <w:spacing w:val="-7"/>
        </w:rPr>
        <w:t> </w:t>
      </w:r>
      <w:r>
        <w:rPr>
          <w:color w:val="231F20"/>
        </w:rPr>
        <w:t>based</w:t>
      </w:r>
      <w:r>
        <w:rPr>
          <w:color w:val="231F20"/>
          <w:spacing w:val="-6"/>
        </w:rPr>
        <w:t> </w:t>
      </w:r>
      <w:r>
        <w:rPr>
          <w:color w:val="231F20"/>
        </w:rPr>
        <w:t>on</w:t>
      </w:r>
      <w:r>
        <w:rPr>
          <w:color w:val="231F20"/>
          <w:spacing w:val="-5"/>
        </w:rPr>
        <w:t> </w:t>
      </w:r>
      <w:r>
        <w:rPr>
          <w:color w:val="231F20"/>
        </w:rPr>
        <w:t>the</w:t>
      </w:r>
      <w:r>
        <w:rPr>
          <w:color w:val="231F20"/>
          <w:spacing w:val="-6"/>
        </w:rPr>
        <w:t> </w:t>
      </w:r>
      <w:r>
        <w:rPr>
          <w:color w:val="231F20"/>
          <w:spacing w:val="-1"/>
        </w:rPr>
        <w:t>Schooling</w:t>
      </w:r>
      <w:r>
        <w:rPr>
          <w:color w:val="231F20"/>
          <w:spacing w:val="-5"/>
        </w:rPr>
        <w:t> </w:t>
      </w:r>
      <w:r>
        <w:rPr>
          <w:color w:val="231F20"/>
          <w:spacing w:val="-1"/>
        </w:rPr>
        <w:t>Resource</w:t>
      </w:r>
      <w:r>
        <w:rPr>
          <w:color w:val="231F20"/>
          <w:spacing w:val="23"/>
          <w:w w:val="99"/>
        </w:rPr>
        <w:t> </w:t>
      </w:r>
      <w:r>
        <w:rPr>
          <w:color w:val="231F20"/>
          <w:spacing w:val="-1"/>
        </w:rPr>
        <w:t>Standard</w:t>
      </w:r>
      <w:r>
        <w:rPr>
          <w:color w:val="231F20"/>
          <w:spacing w:val="-10"/>
        </w:rPr>
        <w:t> </w:t>
      </w:r>
      <w:r>
        <w:rPr>
          <w:color w:val="231F20"/>
        </w:rPr>
        <w:t>determinants</w:t>
      </w:r>
      <w:r>
        <w:rPr>
          <w:color w:val="231F20"/>
          <w:spacing w:val="-10"/>
        </w:rPr>
        <w:t> </w:t>
      </w:r>
      <w:r>
        <w:rPr>
          <w:color w:val="231F20"/>
        </w:rPr>
        <w:t>that</w:t>
      </w:r>
      <w:r>
        <w:rPr>
          <w:color w:val="231F20"/>
          <w:spacing w:val="-10"/>
        </w:rPr>
        <w:t> </w:t>
      </w:r>
      <w:r>
        <w:rPr>
          <w:color w:val="231F20"/>
        </w:rPr>
        <w:t>were</w:t>
      </w:r>
      <w:r>
        <w:rPr>
          <w:color w:val="231F20"/>
          <w:spacing w:val="-10"/>
        </w:rPr>
        <w:t> </w:t>
      </w:r>
      <w:r>
        <w:rPr>
          <w:color w:val="231F20"/>
          <w:spacing w:val="-1"/>
        </w:rPr>
        <w:t>introduced</w:t>
      </w:r>
      <w:r>
        <w:rPr>
          <w:color w:val="231F20"/>
          <w:spacing w:val="21"/>
          <w:w w:val="99"/>
        </w:rPr>
        <w:t> </w:t>
      </w:r>
      <w:r>
        <w:rPr>
          <w:color w:val="231F20"/>
        </w:rPr>
        <w:t>as</w:t>
      </w:r>
      <w:r>
        <w:rPr>
          <w:color w:val="231F20"/>
          <w:spacing w:val="-5"/>
        </w:rPr>
        <w:t> </w:t>
      </w:r>
      <w:r>
        <w:rPr>
          <w:color w:val="231F20"/>
        </w:rPr>
        <w:t>part</w:t>
      </w:r>
      <w:r>
        <w:rPr>
          <w:color w:val="231F20"/>
          <w:spacing w:val="-3"/>
        </w:rPr>
        <w:t> </w:t>
      </w:r>
      <w:r>
        <w:rPr>
          <w:color w:val="231F20"/>
        </w:rPr>
        <w:t>of</w:t>
      </w:r>
      <w:r>
        <w:rPr>
          <w:color w:val="231F20"/>
          <w:spacing w:val="-3"/>
        </w:rPr>
        <w:t> </w:t>
      </w:r>
      <w:r>
        <w:rPr>
          <w:color w:val="231F20"/>
        </w:rPr>
        <w:t>the</w:t>
      </w:r>
      <w:r>
        <w:rPr>
          <w:color w:val="231F20"/>
          <w:spacing w:val="-4"/>
        </w:rPr>
        <w:t> </w:t>
      </w:r>
      <w:r>
        <w:rPr>
          <w:color w:val="231F20"/>
        </w:rPr>
        <w:t>amendments</w:t>
      </w:r>
      <w:r>
        <w:rPr>
          <w:color w:val="231F20"/>
          <w:spacing w:val="-4"/>
        </w:rPr>
        <w:t> </w:t>
      </w:r>
      <w:r>
        <w:rPr>
          <w:color w:val="231F20"/>
        </w:rPr>
        <w:t>to</w:t>
      </w:r>
      <w:r>
        <w:rPr>
          <w:color w:val="231F20"/>
          <w:spacing w:val="-3"/>
        </w:rPr>
        <w:t> </w:t>
      </w:r>
      <w:r>
        <w:rPr>
          <w:color w:val="231F20"/>
        </w:rPr>
        <w:t>the</w:t>
      </w:r>
      <w:r>
        <w:rPr>
          <w:color w:val="231F20"/>
          <w:spacing w:val="-4"/>
        </w:rPr>
        <w:t> </w:t>
      </w:r>
      <w:r>
        <w:rPr>
          <w:color w:val="231F20"/>
        </w:rPr>
        <w:t>Australian</w:t>
      </w:r>
      <w:r>
        <w:rPr>
          <w:color w:val="231F20"/>
          <w:w w:val="99"/>
        </w:rPr>
        <w:t> </w:t>
      </w:r>
      <w:r>
        <w:rPr>
          <w:rFonts w:ascii="Segoe UI"/>
          <w:i/>
          <w:color w:val="231F20"/>
        </w:rPr>
        <w:t>Education</w:t>
      </w:r>
      <w:r>
        <w:rPr>
          <w:rFonts w:ascii="Segoe UI"/>
          <w:i/>
          <w:color w:val="231F20"/>
          <w:spacing w:val="-2"/>
        </w:rPr>
        <w:t> </w:t>
      </w:r>
      <w:r>
        <w:rPr>
          <w:rFonts w:ascii="Segoe UI"/>
          <w:i/>
          <w:color w:val="231F20"/>
        </w:rPr>
        <w:t>Act</w:t>
      </w:r>
      <w:r>
        <w:rPr>
          <w:rFonts w:ascii="Segoe UI"/>
          <w:i/>
          <w:color w:val="231F20"/>
          <w:spacing w:val="-2"/>
        </w:rPr>
        <w:t> </w:t>
      </w:r>
      <w:r>
        <w:rPr>
          <w:rFonts w:ascii="Segoe UI"/>
          <w:i/>
          <w:color w:val="231F20"/>
        </w:rPr>
        <w:t>2013</w:t>
      </w:r>
      <w:r>
        <w:rPr>
          <w:rFonts w:ascii="Segoe UI"/>
          <w:i/>
          <w:color w:val="231F20"/>
          <w:spacing w:val="-2"/>
        </w:rPr>
        <w:t> </w:t>
      </w:r>
      <w:r>
        <w:rPr>
          <w:color w:val="231F20"/>
        </w:rPr>
        <w:t>that</w:t>
      </w:r>
      <w:r>
        <w:rPr>
          <w:color w:val="231F20"/>
          <w:spacing w:val="-2"/>
        </w:rPr>
        <w:t> </w:t>
      </w:r>
      <w:r>
        <w:rPr>
          <w:color w:val="231F20"/>
        </w:rPr>
        <w:t>commenced</w:t>
      </w:r>
      <w:r>
        <w:rPr>
          <w:color w:val="231F20"/>
          <w:spacing w:val="-2"/>
        </w:rPr>
        <w:t> </w:t>
      </w:r>
      <w:r>
        <w:rPr>
          <w:color w:val="231F20"/>
        </w:rPr>
        <w:t>on</w:t>
      </w:r>
      <w:r>
        <w:rPr/>
      </w:r>
    </w:p>
    <w:p>
      <w:pPr>
        <w:pStyle w:val="BodyText"/>
        <w:spacing w:line="250" w:lineRule="exact"/>
        <w:ind w:right="0"/>
        <w:jc w:val="left"/>
        <w:rPr>
          <w:rFonts w:ascii="Segoe UI Semibold" w:hAnsi="Segoe UI Semibold" w:cs="Segoe UI Semibold" w:eastAsia="Segoe UI Semibold"/>
          <w:sz w:val="11"/>
          <w:szCs w:val="11"/>
        </w:rPr>
      </w:pPr>
      <w:r>
        <w:rPr>
          <w:color w:val="231F20"/>
        </w:rPr>
        <w:t>1 January </w:t>
      </w:r>
      <w:r>
        <w:rPr>
          <w:color w:val="231F20"/>
          <w:spacing w:val="-1"/>
        </w:rPr>
        <w:t>2018.</w:t>
      </w:r>
      <w:r>
        <w:rPr>
          <w:rFonts w:ascii="Segoe UI Semibold"/>
          <w:b/>
          <w:color w:val="231F20"/>
          <w:spacing w:val="-1"/>
          <w:position w:val="7"/>
          <w:sz w:val="11"/>
        </w:rPr>
        <w:t>26</w:t>
      </w:r>
      <w:r>
        <w:rPr>
          <w:rFonts w:ascii="Segoe UI Semibold"/>
          <w:sz w:val="11"/>
        </w:rPr>
      </w:r>
    </w:p>
    <w:p>
      <w:pPr>
        <w:pStyle w:val="BodyText"/>
        <w:spacing w:line="250" w:lineRule="exact" w:before="113"/>
        <w:ind w:right="116"/>
        <w:jc w:val="left"/>
      </w:pPr>
      <w:r>
        <w:rPr>
          <w:color w:val="231F20"/>
          <w:spacing w:val="-1"/>
        </w:rPr>
        <w:t>Funding</w:t>
      </w:r>
      <w:r>
        <w:rPr>
          <w:color w:val="231F20"/>
          <w:spacing w:val="-6"/>
        </w:rPr>
        <w:t> </w:t>
      </w:r>
      <w:r>
        <w:rPr>
          <w:color w:val="231F20"/>
        </w:rPr>
        <w:t>allocations</w:t>
      </w:r>
      <w:r>
        <w:rPr>
          <w:color w:val="231F20"/>
          <w:spacing w:val="-7"/>
        </w:rPr>
        <w:t> </w:t>
      </w:r>
      <w:r>
        <w:rPr>
          <w:color w:val="231F20"/>
        </w:rPr>
        <w:t>to</w:t>
      </w:r>
      <w:r>
        <w:rPr>
          <w:color w:val="231F20"/>
          <w:spacing w:val="-5"/>
        </w:rPr>
        <w:t> </w:t>
      </w:r>
      <w:r>
        <w:rPr>
          <w:color w:val="231F20"/>
        </w:rPr>
        <w:t>boarding</w:t>
      </w:r>
      <w:r>
        <w:rPr>
          <w:color w:val="231F20"/>
          <w:spacing w:val="-7"/>
        </w:rPr>
        <w:t> </w:t>
      </w:r>
      <w:r>
        <w:rPr>
          <w:color w:val="231F20"/>
        </w:rPr>
        <w:t>providers</w:t>
      </w:r>
      <w:r>
        <w:rPr>
          <w:color w:val="231F20"/>
          <w:spacing w:val="-6"/>
        </w:rPr>
        <w:t> </w:t>
      </w:r>
      <w:r>
        <w:rPr>
          <w:color w:val="231F20"/>
        </w:rPr>
        <w:t>for</w:t>
      </w:r>
      <w:r>
        <w:rPr>
          <w:color w:val="231F20"/>
          <w:spacing w:val="22"/>
          <w:w w:val="99"/>
        </w:rPr>
        <w:t> </w:t>
      </w:r>
      <w:r>
        <w:rPr>
          <w:color w:val="231F20"/>
          <w:spacing w:val="-1"/>
        </w:rPr>
        <w:t>support</w:t>
      </w:r>
      <w:r>
        <w:rPr>
          <w:color w:val="231F20"/>
          <w:spacing w:val="-3"/>
        </w:rPr>
        <w:t> </w:t>
      </w:r>
      <w:r>
        <w:rPr>
          <w:color w:val="231F20"/>
          <w:spacing w:val="-1"/>
        </w:rPr>
        <w:t>services</w:t>
      </w:r>
      <w:r>
        <w:rPr>
          <w:color w:val="231F20"/>
          <w:spacing w:val="-3"/>
        </w:rPr>
        <w:t> </w:t>
      </w:r>
      <w:r>
        <w:rPr>
          <w:color w:val="231F20"/>
        </w:rPr>
        <w:t>for</w:t>
      </w:r>
      <w:r>
        <w:rPr>
          <w:color w:val="231F20"/>
          <w:spacing w:val="-2"/>
        </w:rPr>
        <w:t> </w:t>
      </w:r>
      <w:r>
        <w:rPr>
          <w:color w:val="231F20"/>
        </w:rPr>
        <w:t>a</w:t>
      </w:r>
      <w:r>
        <w:rPr>
          <w:color w:val="231F20"/>
          <w:spacing w:val="-3"/>
        </w:rPr>
        <w:t> </w:t>
      </w:r>
      <w:r>
        <w:rPr>
          <w:color w:val="231F20"/>
          <w:spacing w:val="-1"/>
        </w:rPr>
        <w:t>schooling</w:t>
      </w:r>
      <w:r>
        <w:rPr>
          <w:color w:val="231F20"/>
          <w:spacing w:val="-2"/>
        </w:rPr>
        <w:t> </w:t>
      </w:r>
      <w:r>
        <w:rPr>
          <w:color w:val="231F20"/>
        </w:rPr>
        <w:t>year</w:t>
      </w:r>
      <w:r>
        <w:rPr>
          <w:color w:val="231F20"/>
          <w:spacing w:val="-3"/>
        </w:rPr>
        <w:t> </w:t>
      </w:r>
      <w:r>
        <w:rPr>
          <w:color w:val="231F20"/>
        </w:rPr>
        <w:t>to</w:t>
      </w:r>
      <w:r>
        <w:rPr>
          <w:color w:val="231F20"/>
          <w:spacing w:val="-3"/>
        </w:rPr>
        <w:t> </w:t>
      </w:r>
      <w:r>
        <w:rPr>
          <w:color w:val="231F20"/>
        </w:rPr>
        <w:t>be</w:t>
      </w:r>
      <w:r>
        <w:rPr>
          <w:color w:val="231F20"/>
          <w:spacing w:val="24"/>
          <w:w w:val="99"/>
        </w:rPr>
        <w:t> </w:t>
      </w:r>
      <w:r>
        <w:rPr>
          <w:rFonts w:ascii="Segoe UI"/>
          <w:color w:val="231F20"/>
        </w:rPr>
        <w:t>notified to boarding providers by October of</w:t>
      </w:r>
      <w:r>
        <w:rPr>
          <w:rFonts w:ascii="Segoe UI"/>
          <w:color w:val="231F20"/>
        </w:rPr>
        <w:t> </w:t>
      </w:r>
      <w:r>
        <w:rPr>
          <w:color w:val="231F20"/>
        </w:rPr>
        <w:t>the</w:t>
      </w:r>
      <w:r>
        <w:rPr>
          <w:color w:val="231F20"/>
          <w:spacing w:val="-8"/>
        </w:rPr>
        <w:t> </w:t>
      </w:r>
      <w:r>
        <w:rPr>
          <w:color w:val="231F20"/>
        </w:rPr>
        <w:t>previous</w:t>
      </w:r>
      <w:r>
        <w:rPr>
          <w:color w:val="231F20"/>
          <w:spacing w:val="-7"/>
        </w:rPr>
        <w:t> </w:t>
      </w:r>
      <w:r>
        <w:rPr>
          <w:color w:val="231F20"/>
        </w:rPr>
        <w:t>year</w:t>
      </w:r>
      <w:r>
        <w:rPr>
          <w:color w:val="231F20"/>
          <w:spacing w:val="-7"/>
        </w:rPr>
        <w:t> </w:t>
      </w:r>
      <w:r>
        <w:rPr>
          <w:color w:val="231F20"/>
        </w:rPr>
        <w:t>to</w:t>
      </w:r>
      <w:r>
        <w:rPr>
          <w:color w:val="231F20"/>
          <w:spacing w:val="-6"/>
        </w:rPr>
        <w:t> </w:t>
      </w:r>
      <w:r>
        <w:rPr>
          <w:color w:val="231F20"/>
        </w:rPr>
        <w:t>enable</w:t>
      </w:r>
      <w:r>
        <w:rPr>
          <w:color w:val="231F20"/>
          <w:spacing w:val="-7"/>
        </w:rPr>
        <w:t> </w:t>
      </w:r>
      <w:r>
        <w:rPr>
          <w:color w:val="231F20"/>
        </w:rPr>
        <w:t>boarding</w:t>
      </w:r>
      <w:r>
        <w:rPr>
          <w:color w:val="231F20"/>
          <w:spacing w:val="-8"/>
        </w:rPr>
        <w:t> </w:t>
      </w:r>
      <w:r>
        <w:rPr>
          <w:color w:val="231F20"/>
        </w:rPr>
        <w:t>providers</w:t>
      </w:r>
      <w:r>
        <w:rPr>
          <w:color w:val="231F20"/>
          <w:w w:val="99"/>
        </w:rPr>
        <w:t> </w:t>
      </w:r>
      <w:r>
        <w:rPr>
          <w:color w:val="231F20"/>
        </w:rPr>
        <w:t>to</w:t>
      </w:r>
      <w:r>
        <w:rPr>
          <w:color w:val="231F20"/>
          <w:spacing w:val="-5"/>
        </w:rPr>
        <w:t> </w:t>
      </w:r>
      <w:r>
        <w:rPr>
          <w:color w:val="231F20"/>
        </w:rPr>
        <w:t>plan</w:t>
      </w:r>
      <w:r>
        <w:rPr>
          <w:color w:val="231F20"/>
          <w:spacing w:val="-5"/>
        </w:rPr>
        <w:t> </w:t>
      </w:r>
      <w:r>
        <w:rPr>
          <w:color w:val="231F20"/>
        </w:rPr>
        <w:t>with</w:t>
      </w:r>
      <w:r>
        <w:rPr>
          <w:color w:val="231F20"/>
          <w:spacing w:val="-5"/>
        </w:rPr>
        <w:t> </w:t>
      </w:r>
      <w:r>
        <w:rPr>
          <w:color w:val="231F20"/>
        </w:rPr>
        <w:t>certainty</w:t>
      </w:r>
      <w:r>
        <w:rPr>
          <w:color w:val="231F20"/>
          <w:spacing w:val="-5"/>
        </w:rPr>
        <w:t> </w:t>
      </w:r>
      <w:r>
        <w:rPr>
          <w:color w:val="231F20"/>
        </w:rPr>
        <w:t>for</w:t>
      </w:r>
      <w:r>
        <w:rPr>
          <w:color w:val="231F20"/>
          <w:spacing w:val="-4"/>
        </w:rPr>
        <w:t> </w:t>
      </w:r>
      <w:r>
        <w:rPr>
          <w:color w:val="231F20"/>
        </w:rPr>
        <w:t>the</w:t>
      </w:r>
      <w:r>
        <w:rPr>
          <w:color w:val="231F20"/>
          <w:spacing w:val="-6"/>
        </w:rPr>
        <w:t> </w:t>
      </w:r>
      <w:r>
        <w:rPr>
          <w:color w:val="231F20"/>
          <w:spacing w:val="-1"/>
        </w:rPr>
        <w:t>support</w:t>
      </w:r>
      <w:r>
        <w:rPr>
          <w:color w:val="231F20"/>
          <w:spacing w:val="-4"/>
        </w:rPr>
        <w:t> </w:t>
      </w:r>
      <w:r>
        <w:rPr>
          <w:color w:val="231F20"/>
          <w:spacing w:val="-1"/>
        </w:rPr>
        <w:t>services</w:t>
      </w:r>
      <w:r>
        <w:rPr>
          <w:color w:val="231F20"/>
          <w:spacing w:val="21"/>
        </w:rPr>
        <w:t> </w:t>
      </w:r>
      <w:r>
        <w:rPr>
          <w:color w:val="231F20"/>
        </w:rPr>
        <w:t>that</w:t>
      </w:r>
      <w:r>
        <w:rPr>
          <w:color w:val="231F20"/>
          <w:spacing w:val="-6"/>
        </w:rPr>
        <w:t> </w:t>
      </w:r>
      <w:r>
        <w:rPr>
          <w:color w:val="231F20"/>
        </w:rPr>
        <w:t>can</w:t>
      </w:r>
      <w:r>
        <w:rPr>
          <w:color w:val="231F20"/>
          <w:spacing w:val="-4"/>
        </w:rPr>
        <w:t> </w:t>
      </w:r>
      <w:r>
        <w:rPr>
          <w:color w:val="231F20"/>
        </w:rPr>
        <w:t>be</w:t>
      </w:r>
      <w:r>
        <w:rPr>
          <w:color w:val="231F20"/>
          <w:spacing w:val="-4"/>
        </w:rPr>
        <w:t> </w:t>
      </w:r>
      <w:r>
        <w:rPr>
          <w:color w:val="231F20"/>
        </w:rPr>
        <w:t>delivered.</w:t>
      </w:r>
      <w:r>
        <w:rPr>
          <w:color w:val="231F20"/>
          <w:spacing w:val="-5"/>
        </w:rPr>
        <w:t> </w:t>
      </w:r>
      <w:r>
        <w:rPr>
          <w:color w:val="231F20"/>
        </w:rPr>
        <w:t>The</w:t>
      </w:r>
      <w:r>
        <w:rPr>
          <w:color w:val="231F20"/>
          <w:spacing w:val="-5"/>
        </w:rPr>
        <w:t> </w:t>
      </w:r>
      <w:r>
        <w:rPr>
          <w:color w:val="231F20"/>
        </w:rPr>
        <w:t>funding</w:t>
      </w:r>
      <w:r>
        <w:rPr>
          <w:color w:val="231F20"/>
          <w:spacing w:val="-4"/>
        </w:rPr>
        <w:t> </w:t>
      </w:r>
      <w:r>
        <w:rPr>
          <w:color w:val="231F20"/>
          <w:spacing w:val="-1"/>
        </w:rPr>
        <w:t>should</w:t>
      </w:r>
      <w:r>
        <w:rPr>
          <w:color w:val="231F20"/>
          <w:spacing w:val="-4"/>
        </w:rPr>
        <w:t> </w:t>
      </w:r>
      <w:r>
        <w:rPr>
          <w:color w:val="231F20"/>
        </w:rPr>
        <w:t>be</w:t>
      </w:r>
      <w:r>
        <w:rPr>
          <w:color w:val="231F20"/>
          <w:spacing w:val="21"/>
          <w:w w:val="99"/>
        </w:rPr>
        <w:t> </w:t>
      </w:r>
      <w:r>
        <w:rPr>
          <w:color w:val="231F20"/>
        </w:rPr>
        <w:t>based</w:t>
      </w:r>
      <w:r>
        <w:rPr>
          <w:color w:val="231F20"/>
          <w:spacing w:val="-6"/>
        </w:rPr>
        <w:t> </w:t>
      </w:r>
      <w:r>
        <w:rPr>
          <w:color w:val="231F20"/>
        </w:rPr>
        <w:t>on</w:t>
      </w:r>
      <w:r>
        <w:rPr>
          <w:color w:val="231F20"/>
          <w:spacing w:val="-4"/>
        </w:rPr>
        <w:t> </w:t>
      </w:r>
      <w:r>
        <w:rPr>
          <w:color w:val="231F20"/>
        </w:rPr>
        <w:t>the</w:t>
      </w:r>
      <w:r>
        <w:rPr>
          <w:color w:val="231F20"/>
          <w:spacing w:val="-5"/>
        </w:rPr>
        <w:t> </w:t>
      </w:r>
      <w:r>
        <w:rPr>
          <w:color w:val="231F20"/>
        </w:rPr>
        <w:t>August</w:t>
      </w:r>
      <w:r>
        <w:rPr>
          <w:color w:val="231F20"/>
          <w:spacing w:val="-4"/>
        </w:rPr>
        <w:t> </w:t>
      </w:r>
      <w:r>
        <w:rPr>
          <w:color w:val="231F20"/>
        </w:rPr>
        <w:t>census</w:t>
      </w:r>
      <w:r>
        <w:rPr>
          <w:color w:val="231F20"/>
          <w:spacing w:val="-5"/>
        </w:rPr>
        <w:t> </w:t>
      </w:r>
      <w:r>
        <w:rPr>
          <w:color w:val="231F20"/>
        </w:rPr>
        <w:t>data.</w:t>
      </w:r>
      <w:r>
        <w:rPr/>
      </w:r>
    </w:p>
    <w:p>
      <w:pPr>
        <w:spacing w:after="0" w:line="250" w:lineRule="exact"/>
        <w:jc w:val="left"/>
        <w:sectPr>
          <w:type w:val="continuous"/>
          <w:pgSz w:w="11910" w:h="16840"/>
          <w:pgMar w:top="1580" w:bottom="280" w:left="1300" w:right="1600"/>
          <w:cols w:num="2" w:equalWidth="0">
            <w:col w:w="4301" w:space="291"/>
            <w:col w:w="4418"/>
          </w:cols>
        </w:sectPr>
      </w:pPr>
    </w:p>
    <w:p>
      <w:pPr>
        <w:spacing w:line="240" w:lineRule="auto" w:before="0"/>
        <w:rPr>
          <w:rFonts w:ascii="Segoe UI" w:hAnsi="Segoe UI" w:cs="Segoe UI" w:eastAsia="Segoe UI"/>
          <w:sz w:val="20"/>
          <w:szCs w:val="20"/>
        </w:rPr>
      </w:pPr>
    </w:p>
    <w:p>
      <w:pPr>
        <w:spacing w:line="240" w:lineRule="auto" w:before="5"/>
        <w:rPr>
          <w:rFonts w:ascii="Segoe UI" w:hAnsi="Segoe UI" w:cs="Segoe UI" w:eastAsia="Segoe UI"/>
          <w:sz w:val="21"/>
          <w:szCs w:val="21"/>
        </w:rPr>
      </w:pPr>
    </w:p>
    <w:p>
      <w:pPr>
        <w:spacing w:after="0" w:line="240" w:lineRule="auto"/>
        <w:rPr>
          <w:rFonts w:ascii="Segoe UI" w:hAnsi="Segoe UI" w:cs="Segoe UI" w:eastAsia="Segoe UI"/>
          <w:sz w:val="21"/>
          <w:szCs w:val="21"/>
        </w:rPr>
        <w:sectPr>
          <w:pgSz w:w="11910" w:h="16840"/>
          <w:pgMar w:header="0" w:footer="691" w:top="1580" w:bottom="880" w:left="1600" w:right="1300"/>
        </w:sectPr>
      </w:pPr>
    </w:p>
    <w:p>
      <w:pPr>
        <w:spacing w:line="300" w:lineRule="exact" w:before="54"/>
        <w:ind w:left="100" w:right="0" w:firstLine="264"/>
        <w:jc w:val="left"/>
        <w:rPr>
          <w:rFonts w:ascii="Segoe UI" w:hAnsi="Segoe UI" w:cs="Segoe UI" w:eastAsia="Segoe UI"/>
          <w:sz w:val="24"/>
          <w:szCs w:val="24"/>
        </w:rPr>
      </w:pPr>
      <w:r>
        <w:rPr/>
        <w:pict>
          <v:group style="position:absolute;margin-left:85.039001pt;margin-top:5.963578pt;width:8.8pt;height:8.8pt;mso-position-horizontal-relative:page;mso-position-vertical-relative:paragraph;z-index:-228256" coordorigin="1701,119" coordsize="176,176">
            <v:shape style="position:absolute;left:1701;top:119;width:176;height:176" coordorigin="1701,119" coordsize="176,176" path="m1701,295l1877,295,1877,119,1701,119,1701,295xe" filled="true" fillcolor="#c1b5a9" stroked="false">
              <v:path arrowok="t"/>
              <v:fill type="solid"/>
            </v:shape>
            <w10:wrap type="none"/>
          </v:group>
        </w:pict>
      </w:r>
      <w:r>
        <w:rPr>
          <w:rFonts w:ascii="Segoe UI"/>
          <w:b/>
          <w:color w:val="00779B"/>
          <w:spacing w:val="-1"/>
          <w:sz w:val="24"/>
        </w:rPr>
        <w:t>Recommendation</w:t>
      </w:r>
      <w:r>
        <w:rPr>
          <w:rFonts w:ascii="Segoe UI"/>
          <w:b/>
          <w:color w:val="00779B"/>
          <w:spacing w:val="-2"/>
          <w:sz w:val="24"/>
        </w:rPr>
        <w:t> </w:t>
      </w:r>
      <w:r>
        <w:rPr>
          <w:rFonts w:ascii="Segoe UI"/>
          <w:b/>
          <w:color w:val="00779B"/>
          <w:spacing w:val="-1"/>
          <w:sz w:val="24"/>
        </w:rPr>
        <w:t>5: </w:t>
      </w:r>
      <w:r>
        <w:rPr>
          <w:rFonts w:ascii="Segoe UI"/>
          <w:color w:val="00779B"/>
          <w:sz w:val="24"/>
        </w:rPr>
        <w:t>ABSTUDY</w:t>
      </w:r>
      <w:r>
        <w:rPr>
          <w:rFonts w:ascii="Segoe UI"/>
          <w:color w:val="00779B"/>
          <w:spacing w:val="28"/>
          <w:sz w:val="24"/>
        </w:rPr>
        <w:t> </w:t>
      </w:r>
      <w:r>
        <w:rPr>
          <w:rFonts w:ascii="Segoe UI"/>
          <w:color w:val="00779B"/>
          <w:sz w:val="24"/>
        </w:rPr>
        <w:t>remittance</w:t>
      </w:r>
      <w:r>
        <w:rPr>
          <w:rFonts w:ascii="Segoe UI"/>
          <w:color w:val="00779B"/>
          <w:spacing w:val="-21"/>
          <w:sz w:val="24"/>
        </w:rPr>
        <w:t> </w:t>
      </w:r>
      <w:r>
        <w:rPr>
          <w:rFonts w:ascii="Segoe UI"/>
          <w:color w:val="00779B"/>
          <w:sz w:val="24"/>
        </w:rPr>
        <w:t>advice</w:t>
      </w:r>
      <w:r>
        <w:rPr>
          <w:rFonts w:ascii="Segoe UI"/>
          <w:sz w:val="24"/>
        </w:rPr>
      </w:r>
    </w:p>
    <w:p>
      <w:pPr>
        <w:pStyle w:val="BodyText"/>
        <w:spacing w:line="250" w:lineRule="exact" w:before="75"/>
        <w:ind w:left="100" w:right="50"/>
        <w:jc w:val="left"/>
      </w:pPr>
      <w:r>
        <w:rPr>
          <w:color w:val="231F20"/>
          <w:spacing w:val="-1"/>
        </w:rPr>
        <w:t>Reduce</w:t>
      </w:r>
      <w:r>
        <w:rPr>
          <w:color w:val="231F20"/>
          <w:spacing w:val="-7"/>
        </w:rPr>
        <w:t> </w:t>
      </w:r>
      <w:r>
        <w:rPr>
          <w:color w:val="231F20"/>
        </w:rPr>
        <w:t>the</w:t>
      </w:r>
      <w:r>
        <w:rPr>
          <w:color w:val="231F20"/>
          <w:spacing w:val="-7"/>
        </w:rPr>
        <w:t> </w:t>
      </w:r>
      <w:r>
        <w:rPr>
          <w:color w:val="231F20"/>
        </w:rPr>
        <w:t>administrative</w:t>
      </w:r>
      <w:r>
        <w:rPr>
          <w:color w:val="231F20"/>
          <w:spacing w:val="-8"/>
        </w:rPr>
        <w:t> </w:t>
      </w:r>
      <w:r>
        <w:rPr>
          <w:color w:val="231F20"/>
        </w:rPr>
        <w:t>cost</w:t>
      </w:r>
      <w:r>
        <w:rPr>
          <w:color w:val="231F20"/>
          <w:spacing w:val="-7"/>
        </w:rPr>
        <w:t> </w:t>
      </w:r>
      <w:r>
        <w:rPr>
          <w:color w:val="231F20"/>
        </w:rPr>
        <w:t>to</w:t>
      </w:r>
      <w:r>
        <w:rPr>
          <w:color w:val="231F20"/>
          <w:spacing w:val="-6"/>
        </w:rPr>
        <w:t> </w:t>
      </w:r>
      <w:r>
        <w:rPr>
          <w:color w:val="231F20"/>
        </w:rPr>
        <w:t>boarding</w:t>
      </w:r>
      <w:r>
        <w:rPr>
          <w:color w:val="231F20"/>
          <w:spacing w:val="20"/>
          <w:w w:val="99"/>
        </w:rPr>
        <w:t> </w:t>
      </w:r>
      <w:r>
        <w:rPr>
          <w:color w:val="231F20"/>
        </w:rPr>
        <w:t>providers</w:t>
      </w:r>
      <w:r>
        <w:rPr>
          <w:color w:val="231F20"/>
          <w:spacing w:val="-8"/>
        </w:rPr>
        <w:t> </w:t>
      </w:r>
      <w:r>
        <w:rPr>
          <w:color w:val="231F20"/>
        </w:rPr>
        <w:t>by</w:t>
      </w:r>
      <w:r>
        <w:rPr>
          <w:color w:val="231F20"/>
          <w:spacing w:val="-7"/>
        </w:rPr>
        <w:t> </w:t>
      </w:r>
      <w:r>
        <w:rPr>
          <w:color w:val="231F20"/>
        </w:rPr>
        <w:t>providing</w:t>
      </w:r>
      <w:r>
        <w:rPr>
          <w:color w:val="231F20"/>
          <w:spacing w:val="-8"/>
        </w:rPr>
        <w:t> </w:t>
      </w:r>
      <w:r>
        <w:rPr>
          <w:color w:val="231F20"/>
        </w:rPr>
        <w:t>clear,</w:t>
      </w:r>
      <w:r>
        <w:rPr>
          <w:color w:val="231F20"/>
          <w:spacing w:val="-8"/>
        </w:rPr>
        <w:t> </w:t>
      </w:r>
      <w:r>
        <w:rPr>
          <w:color w:val="231F20"/>
        </w:rPr>
        <w:t>relevant</w:t>
      </w:r>
      <w:r>
        <w:rPr>
          <w:color w:val="231F20"/>
          <w:spacing w:val="-7"/>
        </w:rPr>
        <w:t> </w:t>
      </w:r>
      <w:r>
        <w:rPr>
          <w:color w:val="231F20"/>
        </w:rPr>
        <w:t>and</w:t>
      </w:r>
      <w:r>
        <w:rPr>
          <w:color w:val="231F20"/>
          <w:w w:val="99"/>
        </w:rPr>
        <w:t> </w:t>
      </w:r>
      <w:r>
        <w:rPr>
          <w:color w:val="231F20"/>
        </w:rPr>
        <w:t>timely</w:t>
      </w:r>
      <w:r>
        <w:rPr>
          <w:color w:val="231F20"/>
          <w:spacing w:val="-7"/>
        </w:rPr>
        <w:t> </w:t>
      </w:r>
      <w:r>
        <w:rPr>
          <w:color w:val="231F20"/>
        </w:rPr>
        <w:t>payment</w:t>
      </w:r>
      <w:r>
        <w:rPr>
          <w:color w:val="231F20"/>
          <w:spacing w:val="-7"/>
        </w:rPr>
        <w:t> </w:t>
      </w:r>
      <w:r>
        <w:rPr>
          <w:color w:val="231F20"/>
        </w:rPr>
        <w:t>and</w:t>
      </w:r>
      <w:r>
        <w:rPr>
          <w:color w:val="231F20"/>
          <w:spacing w:val="-7"/>
        </w:rPr>
        <w:t> </w:t>
      </w:r>
      <w:r>
        <w:rPr>
          <w:color w:val="231F20"/>
        </w:rPr>
        <w:t>remittance</w:t>
      </w:r>
      <w:r>
        <w:rPr>
          <w:color w:val="231F20"/>
          <w:spacing w:val="-7"/>
        </w:rPr>
        <w:t> </w:t>
      </w:r>
      <w:r>
        <w:rPr>
          <w:color w:val="231F20"/>
        </w:rPr>
        <w:t>advice</w:t>
      </w:r>
      <w:r>
        <w:rPr>
          <w:color w:val="231F20"/>
          <w:spacing w:val="-7"/>
        </w:rPr>
        <w:t> </w:t>
      </w:r>
      <w:r>
        <w:rPr>
          <w:color w:val="231F20"/>
        </w:rPr>
        <w:t>for</w:t>
      </w:r>
      <w:r>
        <w:rPr>
          <w:color w:val="231F20"/>
          <w:w w:val="99"/>
        </w:rPr>
        <w:t> </w:t>
      </w:r>
      <w:r>
        <w:rPr>
          <w:color w:val="231F20"/>
        </w:rPr>
        <w:t>ABSTUDY</w:t>
      </w:r>
      <w:r>
        <w:rPr>
          <w:color w:val="231F20"/>
          <w:spacing w:val="-7"/>
        </w:rPr>
        <w:t> </w:t>
      </w:r>
      <w:r>
        <w:rPr>
          <w:color w:val="231F20"/>
        </w:rPr>
        <w:t>payments.</w:t>
      </w:r>
      <w:r>
        <w:rPr>
          <w:color w:val="231F20"/>
          <w:spacing w:val="-7"/>
        </w:rPr>
        <w:t> </w:t>
      </w:r>
      <w:r>
        <w:rPr>
          <w:color w:val="231F20"/>
          <w:spacing w:val="-1"/>
        </w:rPr>
        <w:t>Review</w:t>
      </w:r>
      <w:r>
        <w:rPr>
          <w:color w:val="231F20"/>
          <w:spacing w:val="-6"/>
        </w:rPr>
        <w:t> </w:t>
      </w:r>
      <w:r>
        <w:rPr>
          <w:color w:val="231F20"/>
        </w:rPr>
        <w:t>the</w:t>
      </w:r>
      <w:r>
        <w:rPr>
          <w:color w:val="231F20"/>
          <w:spacing w:val="-7"/>
        </w:rPr>
        <w:t> </w:t>
      </w:r>
      <w:r>
        <w:rPr>
          <w:color w:val="231F20"/>
          <w:spacing w:val="-1"/>
        </w:rPr>
        <w:t>structure</w:t>
      </w:r>
      <w:r>
        <w:rPr>
          <w:color w:val="231F20"/>
          <w:spacing w:val="-4"/>
        </w:rPr>
        <w:t> </w:t>
      </w:r>
      <w:r>
        <w:rPr>
          <w:color w:val="231F20"/>
        </w:rPr>
        <w:t>and</w:t>
      </w:r>
      <w:r>
        <w:rPr>
          <w:color w:val="231F20"/>
          <w:spacing w:val="22"/>
          <w:w w:val="99"/>
        </w:rPr>
        <w:t> </w:t>
      </w:r>
      <w:r>
        <w:rPr>
          <w:color w:val="231F20"/>
        </w:rPr>
        <w:t>timing</w:t>
      </w:r>
      <w:r>
        <w:rPr>
          <w:color w:val="231F20"/>
          <w:spacing w:val="-8"/>
        </w:rPr>
        <w:t> </w:t>
      </w:r>
      <w:r>
        <w:rPr>
          <w:color w:val="231F20"/>
        </w:rPr>
        <w:t>of</w:t>
      </w:r>
      <w:r>
        <w:rPr>
          <w:color w:val="231F20"/>
          <w:spacing w:val="-6"/>
        </w:rPr>
        <w:t> </w:t>
      </w:r>
      <w:r>
        <w:rPr>
          <w:color w:val="231F20"/>
        </w:rPr>
        <w:t>payments</w:t>
      </w:r>
      <w:r>
        <w:rPr>
          <w:color w:val="231F20"/>
          <w:spacing w:val="-8"/>
        </w:rPr>
        <w:t> </w:t>
      </w:r>
      <w:r>
        <w:rPr>
          <w:color w:val="231F20"/>
          <w:spacing w:val="-1"/>
        </w:rPr>
        <w:t>supporting</w:t>
      </w:r>
      <w:r>
        <w:rPr>
          <w:color w:val="231F20"/>
          <w:spacing w:val="-6"/>
        </w:rPr>
        <w:t> </w:t>
      </w:r>
      <w:r>
        <w:rPr>
          <w:color w:val="231F20"/>
        </w:rPr>
        <w:t>Aboriginal</w:t>
      </w:r>
      <w:r>
        <w:rPr>
          <w:color w:val="231F20"/>
          <w:spacing w:val="-7"/>
        </w:rPr>
        <w:t> </w:t>
      </w:r>
      <w:r>
        <w:rPr>
          <w:color w:val="231F20"/>
          <w:spacing w:val="-7"/>
        </w:rPr>
      </w:r>
      <w:r>
        <w:rPr>
          <w:color w:val="231F20"/>
        </w:rPr>
        <w:t>and</w:t>
      </w:r>
      <w:r>
        <w:rPr>
          <w:color w:val="231F20"/>
          <w:spacing w:val="21"/>
        </w:rPr>
        <w:t> </w:t>
      </w:r>
      <w:r>
        <w:rPr>
          <w:color w:val="231F20"/>
          <w:spacing w:val="-5"/>
        </w:rPr>
        <w:t>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4"/>
        </w:rPr>
        <w:t> </w:t>
      </w:r>
      <w:r>
        <w:rPr>
          <w:color w:val="231F20"/>
        </w:rPr>
        <w:t>boarding</w:t>
      </w:r>
      <w:r>
        <w:rPr>
          <w:color w:val="231F20"/>
          <w:spacing w:val="-5"/>
        </w:rPr>
        <w:t> </w:t>
      </w:r>
      <w:r>
        <w:rPr>
          <w:color w:val="231F20"/>
          <w:spacing w:val="-1"/>
        </w:rPr>
        <w:t>students</w:t>
      </w:r>
      <w:r>
        <w:rPr>
          <w:color w:val="231F20"/>
          <w:spacing w:val="-4"/>
        </w:rPr>
        <w:t> </w:t>
      </w:r>
      <w:r>
        <w:rPr>
          <w:color w:val="231F20"/>
        </w:rPr>
        <w:t>to</w:t>
      </w:r>
      <w:r>
        <w:rPr>
          <w:color w:val="231F20"/>
          <w:spacing w:val="23"/>
          <w:w w:val="99"/>
        </w:rPr>
        <w:t> </w:t>
      </w:r>
      <w:r>
        <w:rPr>
          <w:color w:val="231F20"/>
        </w:rPr>
        <w:t>better</w:t>
      </w:r>
      <w:r>
        <w:rPr>
          <w:color w:val="231F20"/>
          <w:spacing w:val="-5"/>
        </w:rPr>
        <w:t> </w:t>
      </w:r>
      <w:r>
        <w:rPr>
          <w:color w:val="231F20"/>
        </w:rPr>
        <w:t>address</w:t>
      </w:r>
      <w:r>
        <w:rPr>
          <w:color w:val="231F20"/>
          <w:spacing w:val="-4"/>
        </w:rPr>
        <w:t> </w:t>
      </w:r>
      <w:r>
        <w:rPr>
          <w:color w:val="231F20"/>
        </w:rPr>
        <w:t>the</w:t>
      </w:r>
      <w:r>
        <w:rPr>
          <w:color w:val="231F20"/>
          <w:spacing w:val="-4"/>
        </w:rPr>
        <w:t> </w:t>
      </w:r>
      <w:r>
        <w:rPr>
          <w:color w:val="231F20"/>
        </w:rPr>
        <w:t>needs</w:t>
      </w:r>
      <w:r>
        <w:rPr>
          <w:color w:val="231F20"/>
          <w:spacing w:val="-4"/>
        </w:rPr>
        <w:t> </w:t>
      </w:r>
      <w:r>
        <w:rPr>
          <w:color w:val="231F20"/>
        </w:rPr>
        <w:t>of</w:t>
      </w:r>
      <w:r>
        <w:rPr>
          <w:color w:val="231F20"/>
          <w:spacing w:val="-3"/>
        </w:rPr>
        <w:t> </w:t>
      </w:r>
      <w:r>
        <w:rPr>
          <w:color w:val="231F20"/>
          <w:spacing w:val="-1"/>
        </w:rPr>
        <w:t>students</w:t>
      </w:r>
      <w:r>
        <w:rPr>
          <w:color w:val="231F20"/>
          <w:spacing w:val="-3"/>
        </w:rPr>
        <w:t> </w:t>
      </w:r>
      <w:r>
        <w:rPr>
          <w:color w:val="231F20"/>
        </w:rPr>
        <w:t>and</w:t>
      </w:r>
      <w:r>
        <w:rPr>
          <w:color w:val="231F20"/>
          <w:spacing w:val="-4"/>
        </w:rPr>
        <w:t> </w:t>
      </w:r>
      <w:r>
        <w:rPr>
          <w:color w:val="231F20"/>
        </w:rPr>
        <w:t>to</w:t>
      </w:r>
      <w:r>
        <w:rPr/>
      </w:r>
    </w:p>
    <w:p>
      <w:pPr>
        <w:pStyle w:val="BodyText"/>
        <w:spacing w:line="250" w:lineRule="exact"/>
        <w:ind w:left="100" w:right="0"/>
        <w:jc w:val="left"/>
      </w:pPr>
      <w:r>
        <w:rPr>
          <w:color w:val="231F20"/>
        </w:rPr>
        <w:t>provide</w:t>
      </w:r>
      <w:r>
        <w:rPr>
          <w:color w:val="231F20"/>
          <w:spacing w:val="-9"/>
        </w:rPr>
        <w:t> </w:t>
      </w:r>
      <w:r>
        <w:rPr>
          <w:color w:val="231F20"/>
        </w:rPr>
        <w:t>greater</w:t>
      </w:r>
      <w:r>
        <w:rPr>
          <w:color w:val="231F20"/>
          <w:spacing w:val="-9"/>
        </w:rPr>
        <w:t> </w:t>
      </w:r>
      <w:r>
        <w:rPr>
          <w:color w:val="231F20"/>
        </w:rPr>
        <w:t>revenue</w:t>
      </w:r>
      <w:r>
        <w:rPr>
          <w:color w:val="231F20"/>
          <w:spacing w:val="-8"/>
        </w:rPr>
        <w:t> </w:t>
      </w:r>
      <w:r>
        <w:rPr>
          <w:color w:val="231F20"/>
        </w:rPr>
        <w:t>certainty</w:t>
      </w:r>
      <w:r>
        <w:rPr>
          <w:color w:val="231F20"/>
          <w:spacing w:val="-9"/>
        </w:rPr>
        <w:t> </w:t>
      </w:r>
      <w:r>
        <w:rPr>
          <w:color w:val="231F20"/>
        </w:rPr>
        <w:t>for</w:t>
      </w:r>
      <w:r>
        <w:rPr>
          <w:color w:val="231F20"/>
          <w:spacing w:val="-8"/>
        </w:rPr>
        <w:t> </w:t>
      </w:r>
      <w:r>
        <w:rPr>
          <w:color w:val="231F20"/>
        </w:rPr>
        <w:t>boarding</w:t>
      </w:r>
      <w:r>
        <w:rPr>
          <w:color w:val="231F20"/>
          <w:w w:val="99"/>
        </w:rPr>
        <w:t> </w:t>
      </w:r>
      <w:r>
        <w:rPr>
          <w:color w:val="231F20"/>
        </w:rPr>
        <w:t>providers</w:t>
      </w:r>
      <w:r>
        <w:rPr>
          <w:color w:val="231F20"/>
          <w:spacing w:val="-8"/>
        </w:rPr>
        <w:t> </w:t>
      </w:r>
      <w:r>
        <w:rPr>
          <w:color w:val="231F20"/>
        </w:rPr>
        <w:t>to</w:t>
      </w:r>
      <w:r>
        <w:rPr>
          <w:color w:val="231F20"/>
          <w:spacing w:val="-7"/>
        </w:rPr>
        <w:t> </w:t>
      </w:r>
      <w:r>
        <w:rPr>
          <w:color w:val="231F20"/>
        </w:rPr>
        <w:t>address</w:t>
      </w:r>
      <w:r>
        <w:rPr>
          <w:color w:val="231F20"/>
          <w:spacing w:val="-8"/>
        </w:rPr>
        <w:t> </w:t>
      </w:r>
      <w:r>
        <w:rPr>
          <w:color w:val="231F20"/>
        </w:rPr>
        <w:t>those</w:t>
      </w:r>
      <w:r>
        <w:rPr>
          <w:color w:val="231F20"/>
          <w:spacing w:val="-8"/>
        </w:rPr>
        <w:t> </w:t>
      </w:r>
      <w:r>
        <w:rPr>
          <w:color w:val="231F20"/>
        </w:rPr>
        <w:t>needs.</w:t>
      </w:r>
      <w:r>
        <w:rPr/>
      </w:r>
    </w:p>
    <w:p>
      <w:pPr>
        <w:spacing w:line="240" w:lineRule="auto" w:before="3"/>
        <w:rPr>
          <w:rFonts w:ascii="Segoe UI" w:hAnsi="Segoe UI" w:cs="Segoe UI" w:eastAsia="Segoe UI"/>
          <w:sz w:val="14"/>
          <w:szCs w:val="14"/>
        </w:rPr>
      </w:pPr>
    </w:p>
    <w:p>
      <w:pPr>
        <w:spacing w:before="0"/>
        <w:ind w:left="365" w:right="0" w:firstLine="0"/>
        <w:jc w:val="left"/>
        <w:rPr>
          <w:rFonts w:ascii="Segoe UI" w:hAnsi="Segoe UI" w:cs="Segoe UI" w:eastAsia="Segoe UI"/>
          <w:sz w:val="24"/>
          <w:szCs w:val="24"/>
        </w:rPr>
      </w:pPr>
      <w:r>
        <w:rPr/>
        <w:pict>
          <v:group style="position:absolute;margin-left:85.039001pt;margin-top:4.01264pt;width:8.8pt;height:8.8pt;mso-position-horizontal-relative:page;mso-position-vertical-relative:paragraph;z-index:1960" coordorigin="1701,80" coordsize="176,176">
            <v:shape style="position:absolute;left:1701;top:80;width:176;height:176" coordorigin="1701,80" coordsize="176,176" path="m1701,256l1877,256,1877,80,1701,80,1701,256xe" filled="true" fillcolor="#c1b5a9" stroked="false">
              <v:path arrowok="t"/>
              <v:fill type="solid"/>
            </v:shape>
            <w10:wrap type="none"/>
          </v:group>
        </w:pict>
      </w:r>
      <w:r>
        <w:rPr>
          <w:rFonts w:ascii="Segoe UI"/>
          <w:b/>
          <w:color w:val="00779B"/>
          <w:spacing w:val="-1"/>
          <w:sz w:val="24"/>
        </w:rPr>
        <w:t>Recommendation</w:t>
      </w:r>
      <w:r>
        <w:rPr>
          <w:rFonts w:ascii="Segoe UI"/>
          <w:b/>
          <w:color w:val="00779B"/>
          <w:spacing w:val="-5"/>
          <w:sz w:val="24"/>
        </w:rPr>
        <w:t> </w:t>
      </w:r>
      <w:r>
        <w:rPr>
          <w:rFonts w:ascii="Segoe UI"/>
          <w:b/>
          <w:color w:val="00779B"/>
          <w:spacing w:val="-1"/>
          <w:sz w:val="24"/>
        </w:rPr>
        <w:t>6:</w:t>
      </w:r>
      <w:r>
        <w:rPr>
          <w:rFonts w:ascii="Segoe UI"/>
          <w:b/>
          <w:color w:val="00779B"/>
          <w:spacing w:val="-4"/>
          <w:sz w:val="24"/>
        </w:rPr>
        <w:t> </w:t>
      </w:r>
      <w:r>
        <w:rPr>
          <w:rFonts w:ascii="Segoe UI"/>
          <w:color w:val="00779B"/>
          <w:spacing w:val="-1"/>
          <w:sz w:val="24"/>
        </w:rPr>
        <w:t>Fee</w:t>
      </w:r>
      <w:r>
        <w:rPr>
          <w:rFonts w:ascii="Segoe UI"/>
          <w:color w:val="00779B"/>
          <w:spacing w:val="-4"/>
          <w:sz w:val="24"/>
        </w:rPr>
        <w:t> </w:t>
      </w:r>
      <w:r>
        <w:rPr>
          <w:rFonts w:ascii="Segoe UI"/>
          <w:color w:val="00779B"/>
          <w:spacing w:val="-1"/>
          <w:sz w:val="24"/>
        </w:rPr>
        <w:t>structures</w:t>
      </w:r>
      <w:r>
        <w:rPr>
          <w:rFonts w:ascii="Segoe UI"/>
          <w:sz w:val="24"/>
        </w:rPr>
      </w:r>
    </w:p>
    <w:p>
      <w:pPr>
        <w:pStyle w:val="BodyText"/>
        <w:spacing w:line="250" w:lineRule="exact" w:before="75"/>
        <w:ind w:left="100" w:right="474"/>
        <w:jc w:val="left"/>
      </w:pPr>
      <w:r>
        <w:rPr>
          <w:color w:val="231F20"/>
          <w:spacing w:val="-1"/>
        </w:rPr>
        <w:t>Provide</w:t>
      </w:r>
      <w:r>
        <w:rPr>
          <w:color w:val="231F20"/>
          <w:spacing w:val="-7"/>
        </w:rPr>
        <w:t> </w:t>
      </w:r>
      <w:r>
        <w:rPr>
          <w:color w:val="231F20"/>
        </w:rPr>
        <w:t>assistance</w:t>
      </w:r>
      <w:r>
        <w:rPr>
          <w:color w:val="231F20"/>
          <w:spacing w:val="-7"/>
        </w:rPr>
        <w:t> </w:t>
      </w:r>
      <w:r>
        <w:rPr>
          <w:color w:val="231F20"/>
        </w:rPr>
        <w:t>to</w:t>
      </w:r>
      <w:r>
        <w:rPr>
          <w:color w:val="231F20"/>
          <w:spacing w:val="-6"/>
        </w:rPr>
        <w:t> </w:t>
      </w:r>
      <w:r>
        <w:rPr>
          <w:color w:val="231F20"/>
        </w:rPr>
        <w:t>boarding</w:t>
      </w:r>
      <w:r>
        <w:rPr>
          <w:color w:val="231F20"/>
          <w:spacing w:val="-7"/>
        </w:rPr>
        <w:t> </w:t>
      </w:r>
      <w:r>
        <w:rPr>
          <w:color w:val="231F20"/>
        </w:rPr>
        <w:t>providers</w:t>
      </w:r>
      <w:r>
        <w:rPr>
          <w:color w:val="231F20"/>
          <w:spacing w:val="22"/>
          <w:w w:val="99"/>
        </w:rPr>
        <w:t> </w:t>
      </w:r>
      <w:r>
        <w:rPr>
          <w:color w:val="231F20"/>
        </w:rPr>
        <w:t>to</w:t>
      </w:r>
      <w:r>
        <w:rPr>
          <w:color w:val="231F20"/>
          <w:spacing w:val="-7"/>
        </w:rPr>
        <w:t> </w:t>
      </w:r>
      <w:r>
        <w:rPr>
          <w:color w:val="231F20"/>
          <w:spacing w:val="-1"/>
        </w:rPr>
        <w:t>improve</w:t>
      </w:r>
      <w:r>
        <w:rPr>
          <w:color w:val="231F20"/>
          <w:spacing w:val="-6"/>
        </w:rPr>
        <w:t> </w:t>
      </w:r>
      <w:r>
        <w:rPr>
          <w:color w:val="231F20"/>
        </w:rPr>
        <w:t>understanding</w:t>
      </w:r>
      <w:r>
        <w:rPr>
          <w:color w:val="231F20"/>
          <w:spacing w:val="-7"/>
        </w:rPr>
        <w:t> </w:t>
      </w:r>
      <w:r>
        <w:rPr>
          <w:color w:val="231F20"/>
        </w:rPr>
        <w:t>of</w:t>
      </w:r>
      <w:r>
        <w:rPr>
          <w:color w:val="231F20"/>
          <w:spacing w:val="-6"/>
        </w:rPr>
        <w:t> </w:t>
      </w:r>
      <w:r>
        <w:rPr>
          <w:color w:val="231F20"/>
        </w:rPr>
        <w:t>how</w:t>
      </w:r>
      <w:r>
        <w:rPr>
          <w:color w:val="231F20"/>
          <w:spacing w:val="-6"/>
        </w:rPr>
        <w:t> </w:t>
      </w:r>
      <w:r>
        <w:rPr>
          <w:color w:val="231F20"/>
        </w:rPr>
        <w:t>fee</w:t>
      </w:r>
      <w:r>
        <w:rPr/>
      </w:r>
    </w:p>
    <w:p>
      <w:pPr>
        <w:pStyle w:val="BodyText"/>
        <w:spacing w:line="250" w:lineRule="exact"/>
        <w:ind w:left="100" w:right="0"/>
        <w:jc w:val="left"/>
      </w:pPr>
      <w:r>
        <w:rPr>
          <w:color w:val="231F20"/>
          <w:spacing w:val="-1"/>
        </w:rPr>
        <w:t>structures</w:t>
      </w:r>
      <w:r>
        <w:rPr>
          <w:color w:val="231F20"/>
          <w:spacing w:val="-6"/>
        </w:rPr>
        <w:t> </w:t>
      </w:r>
      <w:r>
        <w:rPr>
          <w:color w:val="231F20"/>
          <w:spacing w:val="-1"/>
        </w:rPr>
        <w:t>interact</w:t>
      </w:r>
      <w:r>
        <w:rPr>
          <w:color w:val="231F20"/>
          <w:spacing w:val="-6"/>
        </w:rPr>
        <w:t> </w:t>
      </w:r>
      <w:r>
        <w:rPr>
          <w:color w:val="231F20"/>
        </w:rPr>
        <w:t>with</w:t>
      </w:r>
      <w:r>
        <w:rPr>
          <w:color w:val="231F20"/>
          <w:spacing w:val="-6"/>
        </w:rPr>
        <w:t> </w:t>
      </w:r>
      <w:r>
        <w:rPr>
          <w:color w:val="231F20"/>
        </w:rPr>
        <w:t>ABSTUDY</w:t>
      </w:r>
      <w:r>
        <w:rPr>
          <w:color w:val="231F20"/>
          <w:spacing w:val="-7"/>
        </w:rPr>
        <w:t> </w:t>
      </w:r>
      <w:r>
        <w:rPr>
          <w:color w:val="231F20"/>
        </w:rPr>
        <w:t>and</w:t>
      </w:r>
      <w:r>
        <w:rPr>
          <w:color w:val="231F20"/>
          <w:spacing w:val="-7"/>
        </w:rPr>
        <w:t> </w:t>
      </w:r>
      <w:r>
        <w:rPr>
          <w:color w:val="231F20"/>
        </w:rPr>
        <w:t>parental</w:t>
      </w:r>
      <w:r>
        <w:rPr>
          <w:color w:val="231F20"/>
          <w:spacing w:val="23"/>
          <w:w w:val="99"/>
        </w:rPr>
        <w:t> </w:t>
      </w:r>
      <w:r>
        <w:rPr>
          <w:color w:val="231F20"/>
        </w:rPr>
        <w:t>contributions.</w:t>
      </w:r>
      <w:r>
        <w:rPr/>
      </w:r>
    </w:p>
    <w:p>
      <w:pPr>
        <w:spacing w:line="240" w:lineRule="auto" w:before="9"/>
        <w:rPr>
          <w:rFonts w:ascii="Segoe UI" w:hAnsi="Segoe UI" w:cs="Segoe UI" w:eastAsia="Segoe UI"/>
          <w:sz w:val="15"/>
          <w:szCs w:val="15"/>
        </w:rPr>
      </w:pPr>
    </w:p>
    <w:p>
      <w:pPr>
        <w:spacing w:line="300" w:lineRule="exact" w:before="0"/>
        <w:ind w:left="100" w:right="50" w:firstLine="264"/>
        <w:jc w:val="left"/>
        <w:rPr>
          <w:rFonts w:ascii="Segoe UI" w:hAnsi="Segoe UI" w:cs="Segoe UI" w:eastAsia="Segoe UI"/>
          <w:sz w:val="24"/>
          <w:szCs w:val="24"/>
        </w:rPr>
      </w:pPr>
      <w:r>
        <w:rPr/>
        <w:pict>
          <v:group style="position:absolute;margin-left:85.039001pt;margin-top:3.543112pt;width:8.8pt;height:8.8pt;mso-position-horizontal-relative:page;mso-position-vertical-relative:paragraph;z-index:-228208" coordorigin="1701,71" coordsize="176,176">
            <v:shape style="position:absolute;left:1701;top:71;width:176;height:176" coordorigin="1701,71" coordsize="176,176" path="m1701,247l1877,247,1877,71,1701,71,1701,247xe" filled="true" fillcolor="#c1b5a9" stroked="false">
              <v:path arrowok="t"/>
              <v:fill type="solid"/>
            </v:shape>
            <w10:wrap type="none"/>
          </v:group>
        </w:pict>
      </w:r>
      <w:r>
        <w:rPr>
          <w:rFonts w:ascii="Segoe UI"/>
          <w:b/>
          <w:color w:val="00779B"/>
          <w:spacing w:val="-1"/>
          <w:sz w:val="24"/>
        </w:rPr>
        <w:t>Recommendation</w:t>
      </w:r>
      <w:r>
        <w:rPr>
          <w:rFonts w:ascii="Segoe UI"/>
          <w:b/>
          <w:color w:val="00779B"/>
          <w:spacing w:val="-2"/>
          <w:sz w:val="24"/>
        </w:rPr>
        <w:t> </w:t>
      </w:r>
      <w:r>
        <w:rPr>
          <w:rFonts w:ascii="Segoe UI"/>
          <w:b/>
          <w:color w:val="00779B"/>
          <w:spacing w:val="-1"/>
          <w:sz w:val="24"/>
        </w:rPr>
        <w:t>7: </w:t>
      </w:r>
      <w:r>
        <w:rPr>
          <w:rFonts w:ascii="Segoe UI"/>
          <w:color w:val="00779B"/>
          <w:sz w:val="24"/>
        </w:rPr>
        <w:t>ABSTUDY</w:t>
      </w:r>
      <w:r>
        <w:rPr>
          <w:rFonts w:ascii="Segoe UI"/>
          <w:color w:val="00779B"/>
          <w:spacing w:val="28"/>
          <w:sz w:val="24"/>
        </w:rPr>
        <w:t> </w:t>
      </w:r>
      <w:r>
        <w:rPr>
          <w:rFonts w:ascii="Segoe UI"/>
          <w:color w:val="00779B"/>
          <w:sz w:val="24"/>
        </w:rPr>
        <w:t>travel</w:t>
      </w:r>
      <w:r>
        <w:rPr>
          <w:rFonts w:ascii="Segoe UI"/>
          <w:color w:val="00779B"/>
          <w:spacing w:val="-21"/>
          <w:sz w:val="24"/>
        </w:rPr>
        <w:t> </w:t>
      </w:r>
      <w:r>
        <w:rPr>
          <w:rFonts w:ascii="Segoe UI"/>
          <w:color w:val="00779B"/>
          <w:spacing w:val="-1"/>
          <w:sz w:val="24"/>
        </w:rPr>
        <w:t>management</w:t>
      </w:r>
      <w:r>
        <w:rPr>
          <w:rFonts w:ascii="Segoe UI"/>
          <w:sz w:val="24"/>
        </w:rPr>
      </w:r>
    </w:p>
    <w:p>
      <w:pPr>
        <w:pStyle w:val="BodyText"/>
        <w:spacing w:line="250" w:lineRule="exact" w:before="75"/>
        <w:ind w:left="100" w:right="193"/>
        <w:jc w:val="left"/>
      </w:pPr>
      <w:r>
        <w:rPr>
          <w:color w:val="231F20"/>
          <w:spacing w:val="-1"/>
        </w:rPr>
        <w:t>Identify</w:t>
      </w:r>
      <w:r>
        <w:rPr>
          <w:color w:val="231F20"/>
          <w:spacing w:val="-8"/>
        </w:rPr>
        <w:t> </w:t>
      </w:r>
      <w:r>
        <w:rPr>
          <w:color w:val="231F20"/>
        </w:rPr>
        <w:t>options</w:t>
      </w:r>
      <w:r>
        <w:rPr>
          <w:color w:val="231F20"/>
          <w:spacing w:val="-8"/>
        </w:rPr>
        <w:t> </w:t>
      </w:r>
      <w:r>
        <w:rPr>
          <w:color w:val="231F20"/>
        </w:rPr>
        <w:t>for</w:t>
      </w:r>
      <w:r>
        <w:rPr>
          <w:color w:val="231F20"/>
          <w:spacing w:val="-7"/>
        </w:rPr>
        <w:t> </w:t>
      </w:r>
      <w:r>
        <w:rPr>
          <w:color w:val="231F20"/>
        </w:rPr>
        <w:t>further</w:t>
      </w:r>
      <w:r>
        <w:rPr>
          <w:color w:val="231F20"/>
          <w:spacing w:val="-8"/>
        </w:rPr>
        <w:t> </w:t>
      </w:r>
      <w:r>
        <w:rPr>
          <w:color w:val="231F20"/>
        </w:rPr>
        <w:t>decentralisation</w:t>
      </w:r>
      <w:r>
        <w:rPr>
          <w:color w:val="231F20"/>
          <w:spacing w:val="22"/>
          <w:w w:val="99"/>
        </w:rPr>
        <w:t> </w:t>
      </w:r>
      <w:r>
        <w:rPr>
          <w:color w:val="231F20"/>
        </w:rPr>
        <w:t>of</w:t>
      </w:r>
      <w:r>
        <w:rPr>
          <w:color w:val="231F20"/>
          <w:spacing w:val="-6"/>
        </w:rPr>
        <w:t> </w:t>
      </w:r>
      <w:r>
        <w:rPr>
          <w:color w:val="231F20"/>
        </w:rPr>
        <w:t>ABSTUDY</w:t>
      </w:r>
      <w:r>
        <w:rPr>
          <w:color w:val="231F20"/>
          <w:spacing w:val="-7"/>
        </w:rPr>
        <w:t> </w:t>
      </w:r>
      <w:r>
        <w:rPr>
          <w:color w:val="231F20"/>
        </w:rPr>
        <w:t>travel</w:t>
      </w:r>
      <w:r>
        <w:rPr>
          <w:color w:val="231F20"/>
          <w:spacing w:val="-7"/>
        </w:rPr>
        <w:t> </w:t>
      </w:r>
      <w:r>
        <w:rPr>
          <w:color w:val="231F20"/>
        </w:rPr>
        <w:t>arrangements</w:t>
      </w:r>
      <w:r>
        <w:rPr>
          <w:color w:val="231F20"/>
          <w:spacing w:val="-6"/>
        </w:rPr>
        <w:t> </w:t>
      </w:r>
      <w:r>
        <w:rPr>
          <w:color w:val="231F20"/>
        </w:rPr>
        <w:t>to</w:t>
      </w:r>
      <w:r>
        <w:rPr>
          <w:color w:val="231F20"/>
          <w:spacing w:val="-6"/>
        </w:rPr>
        <w:t> </w:t>
      </w:r>
      <w:r>
        <w:rPr>
          <w:color w:val="231F20"/>
        </w:rPr>
        <w:t>boarding</w:t>
      </w:r>
      <w:r>
        <w:rPr>
          <w:color w:val="231F20"/>
          <w:w w:val="99"/>
        </w:rPr>
        <w:t> </w:t>
      </w:r>
      <w:r>
        <w:rPr>
          <w:color w:val="231F20"/>
        </w:rPr>
        <w:t>providers</w:t>
      </w:r>
      <w:r>
        <w:rPr>
          <w:color w:val="231F20"/>
          <w:spacing w:val="-8"/>
        </w:rPr>
        <w:t> </w:t>
      </w:r>
      <w:r>
        <w:rPr>
          <w:color w:val="231F20"/>
        </w:rPr>
        <w:t>and</w:t>
      </w:r>
      <w:r>
        <w:rPr>
          <w:color w:val="231F20"/>
          <w:spacing w:val="-8"/>
        </w:rPr>
        <w:t> </w:t>
      </w:r>
      <w:r>
        <w:rPr>
          <w:color w:val="231F20"/>
        </w:rPr>
        <w:t>transition</w:t>
      </w:r>
      <w:r>
        <w:rPr>
          <w:color w:val="231F20"/>
          <w:spacing w:val="-7"/>
        </w:rPr>
        <w:t> </w:t>
      </w:r>
      <w:r>
        <w:rPr>
          <w:color w:val="231F20"/>
          <w:spacing w:val="-1"/>
        </w:rPr>
        <w:t>support</w:t>
      </w:r>
      <w:r>
        <w:rPr>
          <w:color w:val="231F20"/>
          <w:spacing w:val="-7"/>
        </w:rPr>
        <w:t> </w:t>
      </w:r>
      <w:r>
        <w:rPr>
          <w:color w:val="231F20"/>
        </w:rPr>
        <w:t>units</w:t>
      </w:r>
      <w:r>
        <w:rPr/>
      </w:r>
    </w:p>
    <w:p>
      <w:pPr>
        <w:pStyle w:val="BodyText"/>
        <w:spacing w:line="250" w:lineRule="exact"/>
        <w:ind w:left="100" w:right="233"/>
        <w:jc w:val="left"/>
      </w:pPr>
      <w:r>
        <w:rPr>
          <w:rFonts w:ascii="Segoe UI"/>
          <w:color w:val="231F20"/>
        </w:rPr>
        <w:t>to reduce costs and increase flexibility. </w:t>
      </w:r>
      <w:r>
        <w:rPr>
          <w:color w:val="231F20"/>
          <w:spacing w:val="-1"/>
        </w:rPr>
        <w:t>Provide</w:t>
      </w:r>
      <w:r>
        <w:rPr>
          <w:color w:val="231F20"/>
          <w:spacing w:val="-4"/>
        </w:rPr>
        <w:t> </w:t>
      </w:r>
      <w:r>
        <w:rPr>
          <w:color w:val="231F20"/>
        </w:rPr>
        <w:t>funding</w:t>
      </w:r>
      <w:r>
        <w:rPr>
          <w:color w:val="231F20"/>
          <w:spacing w:val="-3"/>
        </w:rPr>
        <w:t> </w:t>
      </w:r>
      <w:r>
        <w:rPr>
          <w:color w:val="231F20"/>
          <w:spacing w:val="-1"/>
        </w:rPr>
        <w:t>incentives</w:t>
      </w:r>
      <w:r>
        <w:rPr>
          <w:color w:val="231F20"/>
          <w:spacing w:val="-3"/>
        </w:rPr>
        <w:t> </w:t>
      </w:r>
      <w:r>
        <w:rPr>
          <w:color w:val="231F20"/>
        </w:rPr>
        <w:t>to</w:t>
      </w:r>
      <w:r>
        <w:rPr>
          <w:color w:val="231F20"/>
          <w:spacing w:val="-3"/>
        </w:rPr>
        <w:t> </w:t>
      </w:r>
      <w:r>
        <w:rPr>
          <w:color w:val="231F20"/>
          <w:spacing w:val="-1"/>
        </w:rPr>
        <w:t>meet</w:t>
      </w:r>
      <w:r>
        <w:rPr>
          <w:color w:val="231F20"/>
          <w:spacing w:val="-3"/>
        </w:rPr>
        <w:t> </w:t>
      </w:r>
      <w:r>
        <w:rPr>
          <w:color w:val="231F20"/>
        </w:rPr>
        <w:t>the</w:t>
      </w:r>
      <w:r>
        <w:rPr>
          <w:color w:val="231F20"/>
          <w:spacing w:val="-4"/>
        </w:rPr>
        <w:t> </w:t>
      </w:r>
      <w:r>
        <w:rPr>
          <w:color w:val="231F20"/>
        </w:rPr>
        <w:t>cost</w:t>
      </w:r>
      <w:r>
        <w:rPr>
          <w:color w:val="231F20"/>
          <w:spacing w:val="24"/>
        </w:rPr>
        <w:t> </w:t>
      </w:r>
      <w:r>
        <w:rPr>
          <w:color w:val="231F20"/>
        </w:rPr>
        <w:t>of</w:t>
      </w:r>
      <w:r>
        <w:rPr>
          <w:color w:val="231F20"/>
          <w:spacing w:val="-9"/>
        </w:rPr>
        <w:t> </w:t>
      </w:r>
      <w:r>
        <w:rPr>
          <w:color w:val="231F20"/>
        </w:rPr>
        <w:t>decentralised</w:t>
      </w:r>
      <w:r>
        <w:rPr>
          <w:color w:val="231F20"/>
          <w:spacing w:val="-10"/>
        </w:rPr>
        <w:t> </w:t>
      </w:r>
      <w:r>
        <w:rPr>
          <w:color w:val="231F20"/>
        </w:rPr>
        <w:t>travel</w:t>
      </w:r>
      <w:r>
        <w:rPr>
          <w:color w:val="231F20"/>
          <w:spacing w:val="-9"/>
        </w:rPr>
        <w:t> </w:t>
      </w:r>
      <w:r>
        <w:rPr>
          <w:color w:val="231F20"/>
        </w:rPr>
        <w:t>arrangements</w:t>
      </w:r>
      <w:r>
        <w:rPr>
          <w:color w:val="231F20"/>
          <w:spacing w:val="-9"/>
        </w:rPr>
        <w:t> </w:t>
      </w:r>
      <w:r>
        <w:rPr>
          <w:color w:val="231F20"/>
        </w:rPr>
        <w:t>and</w:t>
      </w:r>
      <w:r>
        <w:rPr>
          <w:color w:val="231F20"/>
          <w:w w:val="99"/>
        </w:rPr>
        <w:t> </w:t>
      </w:r>
      <w:r>
        <w:rPr>
          <w:color w:val="231F20"/>
        </w:rPr>
        <w:t>administration</w:t>
      </w:r>
      <w:r>
        <w:rPr>
          <w:color w:val="231F20"/>
          <w:spacing w:val="-8"/>
        </w:rPr>
        <w:t> </w:t>
      </w:r>
      <w:r>
        <w:rPr>
          <w:color w:val="231F20"/>
        </w:rPr>
        <w:t>of</w:t>
      </w:r>
      <w:r>
        <w:rPr>
          <w:color w:val="231F20"/>
          <w:spacing w:val="-7"/>
        </w:rPr>
        <w:t> </w:t>
      </w:r>
      <w:r>
        <w:rPr>
          <w:color w:val="231F20"/>
          <w:spacing w:val="-1"/>
        </w:rPr>
        <w:t>safe</w:t>
      </w:r>
      <w:r>
        <w:rPr>
          <w:color w:val="231F20"/>
          <w:spacing w:val="-6"/>
        </w:rPr>
        <w:t> </w:t>
      </w:r>
      <w:r>
        <w:rPr>
          <w:color w:val="231F20"/>
        </w:rPr>
        <w:t>travel</w:t>
      </w:r>
      <w:r>
        <w:rPr>
          <w:color w:val="231F20"/>
          <w:spacing w:val="-7"/>
        </w:rPr>
        <w:t> </w:t>
      </w:r>
      <w:r>
        <w:rPr>
          <w:color w:val="231F20"/>
        </w:rPr>
        <w:t>plans.</w:t>
      </w:r>
      <w:r>
        <w:rPr/>
      </w:r>
    </w:p>
    <w:p>
      <w:pPr>
        <w:pStyle w:val="BodyText"/>
        <w:spacing w:line="250" w:lineRule="exact" w:before="113"/>
        <w:ind w:left="100" w:right="0"/>
        <w:jc w:val="left"/>
      </w:pPr>
      <w:r>
        <w:rPr>
          <w:color w:val="231F20"/>
          <w:spacing w:val="-1"/>
        </w:rPr>
        <w:t>Improve</w:t>
      </w:r>
      <w:r>
        <w:rPr>
          <w:color w:val="231F20"/>
          <w:spacing w:val="-7"/>
        </w:rPr>
        <w:t> </w:t>
      </w:r>
      <w:r>
        <w:rPr>
          <w:color w:val="231F20"/>
        </w:rPr>
        <w:t>communication</w:t>
      </w:r>
      <w:r>
        <w:rPr>
          <w:color w:val="231F20"/>
          <w:spacing w:val="-7"/>
        </w:rPr>
        <w:t> </w:t>
      </w:r>
      <w:r>
        <w:rPr>
          <w:color w:val="231F20"/>
        </w:rPr>
        <w:t>to</w:t>
      </w:r>
      <w:r>
        <w:rPr>
          <w:color w:val="231F20"/>
          <w:spacing w:val="-7"/>
        </w:rPr>
        <w:t> </w:t>
      </w:r>
      <w:r>
        <w:rPr>
          <w:color w:val="231F20"/>
        </w:rPr>
        <w:t>boarding</w:t>
      </w:r>
      <w:r>
        <w:rPr>
          <w:color w:val="231F20"/>
          <w:spacing w:val="-7"/>
        </w:rPr>
        <w:t> </w:t>
      </w:r>
      <w:r>
        <w:rPr>
          <w:color w:val="231F20"/>
        </w:rPr>
        <w:t>providers</w:t>
      </w:r>
      <w:r>
        <w:rPr>
          <w:color w:val="231F20"/>
          <w:spacing w:val="22"/>
          <w:w w:val="99"/>
        </w:rPr>
        <w:t> </w:t>
      </w:r>
      <w:r>
        <w:rPr>
          <w:color w:val="231F20"/>
        </w:rPr>
        <w:t>and</w:t>
      </w:r>
      <w:r>
        <w:rPr>
          <w:color w:val="231F20"/>
          <w:spacing w:val="-4"/>
        </w:rPr>
        <w:t> </w:t>
      </w:r>
      <w:r>
        <w:rPr>
          <w:color w:val="231F20"/>
        </w:rPr>
        <w:t>families</w:t>
      </w:r>
      <w:r>
        <w:rPr>
          <w:color w:val="231F20"/>
          <w:spacing w:val="-4"/>
        </w:rPr>
        <w:t> </w:t>
      </w:r>
      <w:r>
        <w:rPr>
          <w:color w:val="231F20"/>
        </w:rPr>
        <w:t>where</w:t>
      </w:r>
      <w:r>
        <w:rPr>
          <w:color w:val="231F20"/>
          <w:spacing w:val="-4"/>
        </w:rPr>
        <w:t> </w:t>
      </w:r>
      <w:r>
        <w:rPr>
          <w:color w:val="231F20"/>
        </w:rPr>
        <w:t>the</w:t>
      </w:r>
      <w:r>
        <w:rPr>
          <w:color w:val="231F20"/>
          <w:spacing w:val="-3"/>
        </w:rPr>
        <w:t> </w:t>
      </w:r>
      <w:r>
        <w:rPr>
          <w:color w:val="231F20"/>
          <w:spacing w:val="-1"/>
        </w:rPr>
        <w:t>DHS</w:t>
      </w:r>
      <w:r>
        <w:rPr>
          <w:color w:val="231F20"/>
          <w:spacing w:val="-3"/>
        </w:rPr>
        <w:t> </w:t>
      </w:r>
      <w:r>
        <w:rPr>
          <w:color w:val="231F20"/>
        </w:rPr>
        <w:t>ABSTUDY</w:t>
      </w:r>
      <w:r>
        <w:rPr>
          <w:color w:val="231F20"/>
          <w:spacing w:val="-4"/>
        </w:rPr>
        <w:t> </w:t>
      </w:r>
      <w:r>
        <w:rPr>
          <w:color w:val="231F20"/>
        </w:rPr>
        <w:t>travel</w:t>
      </w:r>
      <w:r>
        <w:rPr>
          <w:color w:val="231F20"/>
          <w:spacing w:val="21"/>
          <w:w w:val="99"/>
        </w:rPr>
        <w:t> </w:t>
      </w:r>
      <w:r>
        <w:rPr>
          <w:color w:val="231F20"/>
        </w:rPr>
        <w:t>team</w:t>
      </w:r>
      <w:r>
        <w:rPr>
          <w:color w:val="231F20"/>
          <w:spacing w:val="-5"/>
        </w:rPr>
        <w:t> </w:t>
      </w:r>
      <w:r>
        <w:rPr>
          <w:color w:val="231F20"/>
        </w:rPr>
        <w:t>declines</w:t>
      </w:r>
      <w:r>
        <w:rPr>
          <w:color w:val="231F20"/>
          <w:spacing w:val="-5"/>
        </w:rPr>
        <w:t> </w:t>
      </w:r>
      <w:r>
        <w:rPr>
          <w:color w:val="231F20"/>
        </w:rPr>
        <w:t>a</w:t>
      </w:r>
      <w:r>
        <w:rPr>
          <w:color w:val="231F20"/>
          <w:spacing w:val="-5"/>
        </w:rPr>
        <w:t> </w:t>
      </w:r>
      <w:r>
        <w:rPr>
          <w:color w:val="231F20"/>
        </w:rPr>
        <w:t>request</w:t>
      </w:r>
      <w:r>
        <w:rPr>
          <w:color w:val="231F20"/>
          <w:spacing w:val="-5"/>
        </w:rPr>
        <w:t> </w:t>
      </w:r>
      <w:r>
        <w:rPr>
          <w:color w:val="231F20"/>
        </w:rPr>
        <w:t>for</w:t>
      </w:r>
      <w:r>
        <w:rPr>
          <w:color w:val="231F20"/>
          <w:spacing w:val="-4"/>
        </w:rPr>
        <w:t> </w:t>
      </w:r>
      <w:r>
        <w:rPr>
          <w:color w:val="231F20"/>
        </w:rPr>
        <w:t>a</w:t>
      </w:r>
      <w:r>
        <w:rPr>
          <w:color w:val="231F20"/>
          <w:spacing w:val="-4"/>
        </w:rPr>
        <w:t> </w:t>
      </w:r>
      <w:r>
        <w:rPr>
          <w:color w:val="231F20"/>
        </w:rPr>
        <w:t>travel</w:t>
      </w:r>
      <w:r>
        <w:rPr>
          <w:color w:val="231F20"/>
          <w:spacing w:val="-5"/>
        </w:rPr>
        <w:t> </w:t>
      </w:r>
      <w:r>
        <w:rPr>
          <w:color w:val="231F20"/>
        </w:rPr>
        <w:t>booking,</w:t>
      </w:r>
      <w:r>
        <w:rPr>
          <w:color w:val="231F20"/>
          <w:w w:val="99"/>
        </w:rPr>
        <w:t> </w:t>
      </w:r>
      <w:r>
        <w:rPr>
          <w:color w:val="231F20"/>
          <w:spacing w:val="-1"/>
        </w:rPr>
        <w:t>including</w:t>
      </w:r>
      <w:r>
        <w:rPr>
          <w:color w:val="231F20"/>
          <w:spacing w:val="-7"/>
        </w:rPr>
        <w:t> </w:t>
      </w:r>
      <w:r>
        <w:rPr>
          <w:color w:val="231F20"/>
        </w:rPr>
        <w:t>requested</w:t>
      </w:r>
      <w:r>
        <w:rPr>
          <w:color w:val="231F20"/>
          <w:spacing w:val="-8"/>
        </w:rPr>
        <w:t> </w:t>
      </w:r>
      <w:r>
        <w:rPr>
          <w:color w:val="231F20"/>
        </w:rPr>
        <w:t>travel</w:t>
      </w:r>
      <w:r>
        <w:rPr>
          <w:color w:val="231F20"/>
          <w:spacing w:val="-8"/>
        </w:rPr>
        <w:t> </w:t>
      </w:r>
      <w:r>
        <w:rPr>
          <w:color w:val="231F20"/>
        </w:rPr>
        <w:t>dates</w:t>
      </w:r>
      <w:r>
        <w:rPr>
          <w:color w:val="231F20"/>
          <w:spacing w:val="-8"/>
        </w:rPr>
        <w:t> </w:t>
      </w:r>
      <w:r>
        <w:rPr>
          <w:color w:val="231F20"/>
        </w:rPr>
        <w:t>or</w:t>
      </w:r>
      <w:r>
        <w:rPr>
          <w:color w:val="231F20"/>
          <w:spacing w:val="-7"/>
        </w:rPr>
        <w:t> </w:t>
      </w:r>
      <w:r>
        <w:rPr>
          <w:color w:val="231F20"/>
        </w:rPr>
        <w:t>routes.</w:t>
      </w:r>
      <w:r>
        <w:rPr/>
      </w:r>
    </w:p>
    <w:p>
      <w:pPr>
        <w:pStyle w:val="BodyText"/>
        <w:spacing w:line="250" w:lineRule="exact" w:before="113"/>
        <w:ind w:left="100" w:right="187"/>
        <w:jc w:val="left"/>
      </w:pPr>
      <w:r>
        <w:rPr>
          <w:color w:val="231F20"/>
          <w:spacing w:val="-1"/>
        </w:rPr>
        <w:t>Investigate</w:t>
      </w:r>
      <w:r>
        <w:rPr>
          <w:color w:val="231F20"/>
          <w:spacing w:val="-6"/>
        </w:rPr>
        <w:t> </w:t>
      </w:r>
      <w:r>
        <w:rPr>
          <w:color w:val="231F20"/>
          <w:spacing w:val="-1"/>
        </w:rPr>
        <w:t>mechanisms</w:t>
      </w:r>
      <w:r>
        <w:rPr>
          <w:color w:val="231F20"/>
          <w:spacing w:val="-4"/>
        </w:rPr>
        <w:t> </w:t>
      </w:r>
      <w:r>
        <w:rPr>
          <w:color w:val="231F20"/>
        </w:rPr>
        <w:t>to</w:t>
      </w:r>
      <w:r>
        <w:rPr>
          <w:color w:val="231F20"/>
          <w:spacing w:val="-5"/>
        </w:rPr>
        <w:t> </w:t>
      </w:r>
      <w:r>
        <w:rPr>
          <w:color w:val="231F20"/>
        </w:rPr>
        <w:t>permit,</w:t>
      </w:r>
      <w:r>
        <w:rPr>
          <w:color w:val="231F20"/>
          <w:spacing w:val="-6"/>
        </w:rPr>
        <w:t> </w:t>
      </w:r>
      <w:r>
        <w:rPr>
          <w:color w:val="231F20"/>
        </w:rPr>
        <w:t>within</w:t>
      </w:r>
      <w:r>
        <w:rPr>
          <w:color w:val="231F20"/>
          <w:spacing w:val="-6"/>
        </w:rPr>
        <w:t> </w:t>
      </w:r>
      <w:r>
        <w:rPr>
          <w:color w:val="231F20"/>
        </w:rPr>
        <w:t>the</w:t>
      </w:r>
      <w:r>
        <w:rPr>
          <w:color w:val="231F20"/>
          <w:spacing w:val="23"/>
          <w:w w:val="99"/>
        </w:rPr>
        <w:t> </w:t>
      </w:r>
      <w:r>
        <w:rPr>
          <w:color w:val="231F20"/>
        </w:rPr>
        <w:t>existing</w:t>
      </w:r>
      <w:r>
        <w:rPr>
          <w:color w:val="231F20"/>
          <w:spacing w:val="-9"/>
        </w:rPr>
        <w:t> </w:t>
      </w:r>
      <w:r>
        <w:rPr>
          <w:color w:val="231F20"/>
        </w:rPr>
        <w:t>privacy</w:t>
      </w:r>
      <w:r>
        <w:rPr>
          <w:color w:val="231F20"/>
          <w:spacing w:val="-9"/>
        </w:rPr>
        <w:t> </w:t>
      </w:r>
      <w:r>
        <w:rPr>
          <w:color w:val="231F20"/>
        </w:rPr>
        <w:t>framework,</w:t>
      </w:r>
      <w:r>
        <w:rPr>
          <w:color w:val="231F20"/>
          <w:spacing w:val="-8"/>
        </w:rPr>
        <w:t> </w:t>
      </w:r>
      <w:r>
        <w:rPr>
          <w:color w:val="231F20"/>
        </w:rPr>
        <w:t>transition</w:t>
      </w:r>
      <w:r>
        <w:rPr>
          <w:color w:val="231F20"/>
          <w:spacing w:val="-9"/>
        </w:rPr>
        <w:t> </w:t>
      </w:r>
      <w:r>
        <w:rPr>
          <w:color w:val="231F20"/>
          <w:spacing w:val="-1"/>
        </w:rPr>
        <w:t>support</w:t>
      </w:r>
      <w:r>
        <w:rPr>
          <w:color w:val="231F20"/>
          <w:spacing w:val="20"/>
          <w:w w:val="99"/>
        </w:rPr>
        <w:t> </w:t>
      </w:r>
      <w:r>
        <w:rPr>
          <w:color w:val="231F20"/>
        </w:rPr>
        <w:t>units</w:t>
      </w:r>
      <w:r>
        <w:rPr>
          <w:color w:val="231F20"/>
          <w:spacing w:val="-4"/>
        </w:rPr>
        <w:t> </w:t>
      </w:r>
      <w:r>
        <w:rPr>
          <w:color w:val="231F20"/>
        </w:rPr>
        <w:t>to</w:t>
      </w:r>
      <w:r>
        <w:rPr>
          <w:color w:val="231F20"/>
          <w:spacing w:val="-2"/>
        </w:rPr>
        <w:t> </w:t>
      </w:r>
      <w:r>
        <w:rPr>
          <w:color w:val="231F20"/>
        </w:rPr>
        <w:t>communicate</w:t>
      </w:r>
      <w:r>
        <w:rPr>
          <w:color w:val="231F20"/>
          <w:spacing w:val="-4"/>
        </w:rPr>
        <w:t> </w:t>
      </w:r>
      <w:r>
        <w:rPr>
          <w:color w:val="231F20"/>
        </w:rPr>
        <w:t>directly</w:t>
      </w:r>
      <w:r>
        <w:rPr>
          <w:color w:val="231F20"/>
          <w:spacing w:val="-3"/>
        </w:rPr>
        <w:t> </w:t>
      </w:r>
      <w:r>
        <w:rPr>
          <w:color w:val="231F20"/>
        </w:rPr>
        <w:t>with</w:t>
      </w:r>
      <w:r>
        <w:rPr>
          <w:color w:val="231F20"/>
          <w:spacing w:val="-4"/>
        </w:rPr>
        <w:t> </w:t>
      </w:r>
      <w:r>
        <w:rPr>
          <w:color w:val="231F20"/>
        </w:rPr>
        <w:t>the</w:t>
      </w:r>
      <w:r>
        <w:rPr>
          <w:color w:val="231F20"/>
          <w:spacing w:val="-3"/>
        </w:rPr>
        <w:t> </w:t>
      </w:r>
      <w:r>
        <w:rPr>
          <w:color w:val="231F20"/>
          <w:spacing w:val="-1"/>
        </w:rPr>
        <w:t>DHS</w:t>
      </w:r>
      <w:r>
        <w:rPr>
          <w:color w:val="231F20"/>
          <w:spacing w:val="19"/>
        </w:rPr>
        <w:t> </w:t>
      </w:r>
      <w:r>
        <w:rPr>
          <w:color w:val="231F20"/>
        </w:rPr>
        <w:t>ABSTUDY</w:t>
      </w:r>
      <w:r>
        <w:rPr>
          <w:color w:val="231F20"/>
          <w:spacing w:val="-4"/>
        </w:rPr>
        <w:t> </w:t>
      </w:r>
      <w:r>
        <w:rPr>
          <w:color w:val="231F20"/>
        </w:rPr>
        <w:t>travel</w:t>
      </w:r>
      <w:r>
        <w:rPr>
          <w:color w:val="231F20"/>
          <w:spacing w:val="-4"/>
        </w:rPr>
        <w:t> </w:t>
      </w:r>
      <w:r>
        <w:rPr>
          <w:color w:val="231F20"/>
        </w:rPr>
        <w:t>team</w:t>
      </w:r>
      <w:r>
        <w:rPr>
          <w:color w:val="231F20"/>
          <w:spacing w:val="-4"/>
        </w:rPr>
        <w:t> </w:t>
      </w:r>
      <w:r>
        <w:rPr>
          <w:color w:val="231F20"/>
        </w:rPr>
        <w:t>or</w:t>
      </w:r>
      <w:r>
        <w:rPr>
          <w:color w:val="231F20"/>
          <w:spacing w:val="-3"/>
        </w:rPr>
        <w:t> </w:t>
      </w:r>
      <w:r>
        <w:rPr>
          <w:color w:val="231F20"/>
          <w:spacing w:val="-4"/>
        </w:rPr>
        <w:t>QB</w:t>
      </w:r>
      <w:r>
        <w:rPr>
          <w:color w:val="231F20"/>
          <w:spacing w:val="-5"/>
        </w:rPr>
        <w:t>T</w:t>
      </w:r>
      <w:r>
        <w:rPr>
          <w:color w:val="231F20"/>
          <w:spacing w:val="-3"/>
        </w:rPr>
        <w:t> </w:t>
      </w:r>
      <w:r>
        <w:rPr>
          <w:color w:val="231F20"/>
          <w:spacing w:val="-1"/>
        </w:rPr>
        <w:t>in</w:t>
      </w:r>
      <w:r>
        <w:rPr>
          <w:color w:val="231F20"/>
          <w:spacing w:val="-2"/>
        </w:rPr>
        <w:t> </w:t>
      </w:r>
      <w:r>
        <w:rPr>
          <w:color w:val="231F20"/>
        </w:rPr>
        <w:t>relation</w:t>
      </w:r>
      <w:r>
        <w:rPr>
          <w:color w:val="231F20"/>
          <w:spacing w:val="-4"/>
        </w:rPr>
        <w:t> </w:t>
      </w:r>
      <w:r>
        <w:rPr>
          <w:color w:val="231F20"/>
        </w:rPr>
        <w:t>to</w:t>
      </w:r>
      <w:r>
        <w:rPr>
          <w:color w:val="231F20"/>
          <w:spacing w:val="23"/>
          <w:w w:val="99"/>
        </w:rPr>
        <w:t> </w:t>
      </w:r>
      <w:r>
        <w:rPr>
          <w:color w:val="231F20"/>
        </w:rPr>
        <w:t>the</w:t>
      </w:r>
      <w:r>
        <w:rPr>
          <w:color w:val="231F20"/>
          <w:spacing w:val="-7"/>
        </w:rPr>
        <w:t> </w:t>
      </w:r>
      <w:r>
        <w:rPr>
          <w:color w:val="231F20"/>
        </w:rPr>
        <w:t>travel</w:t>
      </w:r>
      <w:r>
        <w:rPr>
          <w:color w:val="231F20"/>
          <w:spacing w:val="-7"/>
        </w:rPr>
        <w:t> </w:t>
      </w:r>
      <w:r>
        <w:rPr>
          <w:color w:val="231F20"/>
        </w:rPr>
        <w:t>arrangements</w:t>
      </w:r>
      <w:r>
        <w:rPr>
          <w:color w:val="231F20"/>
          <w:spacing w:val="-7"/>
        </w:rPr>
        <w:t> </w:t>
      </w:r>
      <w:r>
        <w:rPr>
          <w:color w:val="231F20"/>
        </w:rPr>
        <w:t>for</w:t>
      </w:r>
      <w:r>
        <w:rPr>
          <w:color w:val="231F20"/>
          <w:spacing w:val="-6"/>
        </w:rPr>
        <w:t> </w:t>
      </w:r>
      <w:r>
        <w:rPr>
          <w:color w:val="231F20"/>
        </w:rPr>
        <w:t>a</w:t>
      </w:r>
      <w:r>
        <w:rPr>
          <w:color w:val="231F20"/>
          <w:spacing w:val="-6"/>
        </w:rPr>
        <w:t> </w:t>
      </w:r>
      <w:r>
        <w:rPr>
          <w:color w:val="231F20"/>
        </w:rPr>
        <w:t>transition</w:t>
      </w:r>
      <w:r>
        <w:rPr>
          <w:color w:val="231F20"/>
          <w:spacing w:val="-7"/>
        </w:rPr>
        <w:t> </w:t>
      </w:r>
      <w:r>
        <w:rPr>
          <w:color w:val="231F20"/>
        </w:rPr>
        <w:t>unit</w:t>
      </w:r>
      <w:r>
        <w:rPr>
          <w:color w:val="231F20"/>
          <w:w w:val="99"/>
        </w:rPr>
        <w:t> </w:t>
      </w:r>
      <w:r>
        <w:rPr>
          <w:color w:val="231F20"/>
          <w:spacing w:val="-1"/>
        </w:rPr>
        <w:t>supported</w:t>
      </w:r>
      <w:r>
        <w:rPr>
          <w:color w:val="231F20"/>
          <w:spacing w:val="-16"/>
        </w:rPr>
        <w:t> </w:t>
      </w:r>
      <w:r>
        <w:rPr>
          <w:color w:val="231F20"/>
          <w:spacing w:val="-1"/>
        </w:rPr>
        <w:t>student.</w:t>
      </w:r>
      <w:r>
        <w:rPr/>
      </w:r>
    </w:p>
    <w:p>
      <w:pPr>
        <w:spacing w:line="240" w:lineRule="auto" w:before="9"/>
        <w:rPr>
          <w:rFonts w:ascii="Segoe UI" w:hAnsi="Segoe UI" w:cs="Segoe UI" w:eastAsia="Segoe UI"/>
          <w:sz w:val="15"/>
          <w:szCs w:val="15"/>
        </w:rPr>
      </w:pPr>
    </w:p>
    <w:p>
      <w:pPr>
        <w:spacing w:line="300" w:lineRule="exact" w:before="0"/>
        <w:ind w:left="100" w:right="50" w:firstLine="264"/>
        <w:jc w:val="left"/>
        <w:rPr>
          <w:rFonts w:ascii="Segoe UI" w:hAnsi="Segoe UI" w:cs="Segoe UI" w:eastAsia="Segoe UI"/>
          <w:sz w:val="24"/>
          <w:szCs w:val="24"/>
        </w:rPr>
      </w:pPr>
      <w:r>
        <w:rPr/>
        <w:pict>
          <v:group style="position:absolute;margin-left:85.039001pt;margin-top:3.122302pt;width:8.8pt;height:8.8pt;mso-position-horizontal-relative:page;mso-position-vertical-relative:paragraph;z-index:-228184" coordorigin="1701,62" coordsize="176,176">
            <v:shape style="position:absolute;left:1701;top:62;width:176;height:176" coordorigin="1701,62" coordsize="176,176" path="m1701,238l1877,238,1877,62,1701,62,1701,238xe" filled="true" fillcolor="#c1b5a9" stroked="false">
              <v:path arrowok="t"/>
              <v:fill type="solid"/>
            </v:shape>
            <w10:wrap type="none"/>
          </v:group>
        </w:pict>
      </w:r>
      <w:r>
        <w:rPr>
          <w:rFonts w:ascii="Segoe UI"/>
          <w:b/>
          <w:color w:val="00779B"/>
          <w:spacing w:val="-1"/>
          <w:sz w:val="24"/>
        </w:rPr>
        <w:t>Recommendation</w:t>
      </w:r>
      <w:r>
        <w:rPr>
          <w:rFonts w:ascii="Segoe UI"/>
          <w:b/>
          <w:color w:val="00779B"/>
          <w:spacing w:val="-2"/>
          <w:sz w:val="24"/>
        </w:rPr>
        <w:t> </w:t>
      </w:r>
      <w:r>
        <w:rPr>
          <w:rFonts w:ascii="Segoe UI"/>
          <w:b/>
          <w:color w:val="00779B"/>
          <w:spacing w:val="-1"/>
          <w:sz w:val="24"/>
        </w:rPr>
        <w:t>8: </w:t>
      </w:r>
      <w:r>
        <w:rPr>
          <w:rFonts w:ascii="Segoe UI"/>
          <w:color w:val="00779B"/>
          <w:sz w:val="24"/>
        </w:rPr>
        <w:t>ABSTUDY</w:t>
      </w:r>
      <w:r>
        <w:rPr>
          <w:rFonts w:ascii="Segoe UI"/>
          <w:color w:val="00779B"/>
          <w:spacing w:val="28"/>
          <w:sz w:val="24"/>
        </w:rPr>
        <w:t> </w:t>
      </w:r>
      <w:r>
        <w:rPr>
          <w:rFonts w:ascii="Segoe UI"/>
          <w:color w:val="00779B"/>
          <w:sz w:val="24"/>
        </w:rPr>
        <w:t>travel</w:t>
      </w:r>
      <w:r>
        <w:rPr>
          <w:rFonts w:ascii="Segoe UI"/>
          <w:color w:val="00779B"/>
          <w:spacing w:val="-7"/>
          <w:sz w:val="24"/>
        </w:rPr>
        <w:t> </w:t>
      </w:r>
      <w:r>
        <w:rPr>
          <w:rFonts w:ascii="Segoe UI"/>
          <w:color w:val="00779B"/>
          <w:sz w:val="24"/>
        </w:rPr>
        <w:t>policies</w:t>
      </w:r>
      <w:r>
        <w:rPr>
          <w:rFonts w:ascii="Segoe UI"/>
          <w:sz w:val="24"/>
        </w:rPr>
      </w:r>
    </w:p>
    <w:p>
      <w:pPr>
        <w:pStyle w:val="BodyText"/>
        <w:spacing w:line="250" w:lineRule="exact" w:before="75"/>
        <w:ind w:left="100" w:right="0"/>
        <w:jc w:val="left"/>
      </w:pPr>
      <w:r>
        <w:rPr>
          <w:color w:val="231F20"/>
          <w:spacing w:val="-1"/>
        </w:rPr>
        <w:t>Review</w:t>
      </w:r>
      <w:r>
        <w:rPr>
          <w:color w:val="231F20"/>
          <w:spacing w:val="-5"/>
        </w:rPr>
        <w:t> </w:t>
      </w:r>
      <w:r>
        <w:rPr>
          <w:color w:val="231F20"/>
        </w:rPr>
        <w:t>ABSTUDY</w:t>
      </w:r>
      <w:r>
        <w:rPr>
          <w:color w:val="231F20"/>
          <w:spacing w:val="-5"/>
        </w:rPr>
        <w:t> </w:t>
      </w:r>
      <w:r>
        <w:rPr>
          <w:color w:val="231F20"/>
        </w:rPr>
        <w:t>travel</w:t>
      </w:r>
      <w:r>
        <w:rPr>
          <w:color w:val="231F20"/>
          <w:spacing w:val="-4"/>
        </w:rPr>
        <w:t> </w:t>
      </w:r>
      <w:r>
        <w:rPr>
          <w:color w:val="231F20"/>
        </w:rPr>
        <w:t>policy</w:t>
      </w:r>
      <w:r>
        <w:rPr>
          <w:color w:val="231F20"/>
          <w:spacing w:val="-5"/>
        </w:rPr>
        <w:t> </w:t>
      </w:r>
      <w:r>
        <w:rPr>
          <w:color w:val="231F20"/>
        </w:rPr>
        <w:t>to</w:t>
      </w:r>
      <w:r>
        <w:rPr>
          <w:color w:val="231F20"/>
          <w:spacing w:val="-4"/>
        </w:rPr>
        <w:t> </w:t>
      </w:r>
      <w:r>
        <w:rPr>
          <w:color w:val="231F20"/>
        </w:rPr>
        <w:t>provide</w:t>
      </w:r>
      <w:r>
        <w:rPr>
          <w:color w:val="231F20"/>
          <w:spacing w:val="20"/>
          <w:w w:val="99"/>
        </w:rPr>
        <w:t> </w:t>
      </w:r>
      <w:r>
        <w:rPr>
          <w:rFonts w:ascii="Segoe UI"/>
          <w:color w:val="231F20"/>
        </w:rPr>
        <w:t>greater flexibility for weekend travel, and for</w:t>
      </w:r>
      <w:r>
        <w:rPr>
          <w:rFonts w:ascii="Segoe UI"/>
          <w:color w:val="231F20"/>
        </w:rPr>
        <w:t> </w:t>
      </w:r>
      <w:r>
        <w:rPr>
          <w:color w:val="231F20"/>
        </w:rPr>
        <w:t>travel</w:t>
      </w:r>
      <w:r>
        <w:rPr>
          <w:color w:val="231F20"/>
          <w:spacing w:val="-5"/>
        </w:rPr>
        <w:t> </w:t>
      </w:r>
      <w:r>
        <w:rPr>
          <w:color w:val="231F20"/>
        </w:rPr>
        <w:t>assistance</w:t>
      </w:r>
      <w:r>
        <w:rPr>
          <w:color w:val="231F20"/>
          <w:spacing w:val="-5"/>
        </w:rPr>
        <w:t> </w:t>
      </w:r>
      <w:r>
        <w:rPr>
          <w:color w:val="231F20"/>
        </w:rPr>
        <w:t>where</w:t>
      </w:r>
      <w:r>
        <w:rPr>
          <w:color w:val="231F20"/>
          <w:spacing w:val="-5"/>
        </w:rPr>
        <w:t> </w:t>
      </w:r>
      <w:r>
        <w:rPr>
          <w:color w:val="231F20"/>
          <w:spacing w:val="-1"/>
        </w:rPr>
        <w:t>it</w:t>
      </w:r>
      <w:r>
        <w:rPr>
          <w:color w:val="231F20"/>
          <w:spacing w:val="-4"/>
        </w:rPr>
        <w:t> </w:t>
      </w:r>
      <w:r>
        <w:rPr>
          <w:color w:val="231F20"/>
          <w:spacing w:val="-1"/>
        </w:rPr>
        <w:t>is</w:t>
      </w:r>
      <w:r>
        <w:rPr>
          <w:color w:val="231F20"/>
          <w:spacing w:val="-4"/>
        </w:rPr>
        <w:t> </w:t>
      </w:r>
      <w:r>
        <w:rPr>
          <w:color w:val="231F20"/>
        </w:rPr>
        <w:t>required</w:t>
      </w:r>
      <w:r>
        <w:rPr>
          <w:color w:val="231F20"/>
          <w:spacing w:val="-5"/>
        </w:rPr>
        <w:t> </w:t>
      </w:r>
      <w:r>
        <w:rPr>
          <w:color w:val="231F20"/>
        </w:rPr>
        <w:t>to</w:t>
      </w:r>
      <w:r>
        <w:rPr>
          <w:color w:val="231F20"/>
          <w:spacing w:val="-4"/>
        </w:rPr>
        <w:t> </w:t>
      </w:r>
      <w:r>
        <w:rPr>
          <w:color w:val="231F20"/>
          <w:spacing w:val="-1"/>
        </w:rPr>
        <w:t>manage</w:t>
      </w:r>
      <w:r>
        <w:rPr>
          <w:color w:val="231F20"/>
          <w:spacing w:val="22"/>
          <w:w w:val="99"/>
        </w:rPr>
        <w:t> </w:t>
      </w:r>
      <w:r>
        <w:rPr>
          <w:color w:val="231F20"/>
          <w:spacing w:val="-1"/>
        </w:rPr>
        <w:t>student</w:t>
      </w:r>
      <w:r>
        <w:rPr>
          <w:color w:val="231F20"/>
          <w:spacing w:val="-4"/>
        </w:rPr>
        <w:t> </w:t>
      </w:r>
      <w:r>
        <w:rPr>
          <w:color w:val="231F20"/>
          <w:spacing w:val="-1"/>
        </w:rPr>
        <w:t>suspensions</w:t>
      </w:r>
      <w:r>
        <w:rPr>
          <w:color w:val="231F20"/>
          <w:spacing w:val="-3"/>
        </w:rPr>
        <w:t> </w:t>
      </w:r>
      <w:r>
        <w:rPr>
          <w:color w:val="231F20"/>
        </w:rPr>
        <w:t>and</w:t>
      </w:r>
      <w:r>
        <w:rPr>
          <w:color w:val="231F20"/>
          <w:spacing w:val="-4"/>
        </w:rPr>
        <w:t> </w:t>
      </w:r>
      <w:r>
        <w:rPr>
          <w:color w:val="231F20"/>
        </w:rPr>
        <w:t>exclusions,</w:t>
      </w:r>
      <w:r>
        <w:rPr>
          <w:color w:val="231F20"/>
          <w:spacing w:val="-5"/>
        </w:rPr>
        <w:t> </w:t>
      </w:r>
      <w:r>
        <w:rPr>
          <w:color w:val="231F20"/>
        </w:rPr>
        <w:t>provided</w:t>
      </w:r>
      <w:r>
        <w:rPr>
          <w:color w:val="231F20"/>
          <w:spacing w:val="-4"/>
        </w:rPr>
        <w:t> </w:t>
      </w:r>
      <w:r>
        <w:rPr>
          <w:color w:val="231F20"/>
          <w:spacing w:val="-1"/>
        </w:rPr>
        <w:t>it</w:t>
      </w:r>
      <w:r>
        <w:rPr>
          <w:color w:val="231F20"/>
          <w:spacing w:val="22"/>
        </w:rPr>
        <w:t> </w:t>
      </w:r>
      <w:r>
        <w:rPr>
          <w:color w:val="231F20"/>
        </w:rPr>
        <w:t>does</w:t>
      </w:r>
      <w:r>
        <w:rPr>
          <w:color w:val="231F20"/>
          <w:spacing w:val="-7"/>
        </w:rPr>
        <w:t> </w:t>
      </w:r>
      <w:r>
        <w:rPr>
          <w:color w:val="231F20"/>
        </w:rPr>
        <w:t>not</w:t>
      </w:r>
      <w:r>
        <w:rPr>
          <w:color w:val="231F20"/>
          <w:spacing w:val="-5"/>
        </w:rPr>
        <w:t> </w:t>
      </w:r>
      <w:r>
        <w:rPr>
          <w:color w:val="231F20"/>
          <w:spacing w:val="-1"/>
        </w:rPr>
        <w:t>impact</w:t>
      </w:r>
      <w:r>
        <w:rPr>
          <w:color w:val="231F20"/>
          <w:spacing w:val="-5"/>
        </w:rPr>
        <w:t> </w:t>
      </w:r>
      <w:r>
        <w:rPr>
          <w:color w:val="231F20"/>
        </w:rPr>
        <w:t>on</w:t>
      </w:r>
      <w:r>
        <w:rPr>
          <w:color w:val="231F20"/>
          <w:spacing w:val="-5"/>
        </w:rPr>
        <w:t> </w:t>
      </w:r>
      <w:r>
        <w:rPr>
          <w:color w:val="231F20"/>
        </w:rPr>
        <w:t>engagement</w:t>
      </w:r>
      <w:r>
        <w:rPr>
          <w:color w:val="231F20"/>
          <w:spacing w:val="-6"/>
        </w:rPr>
        <w:t> </w:t>
      </w:r>
      <w:r>
        <w:rPr>
          <w:color w:val="231F20"/>
          <w:spacing w:val="-1"/>
        </w:rPr>
        <w:t>in</w:t>
      </w:r>
      <w:r>
        <w:rPr>
          <w:color w:val="231F20"/>
          <w:spacing w:val="-6"/>
        </w:rPr>
        <w:t> </w:t>
      </w:r>
      <w:r>
        <w:rPr>
          <w:color w:val="231F20"/>
        </w:rPr>
        <w:t>education</w:t>
      </w:r>
      <w:r>
        <w:rPr>
          <w:color w:val="231F20"/>
          <w:spacing w:val="23"/>
          <w:w w:val="99"/>
        </w:rPr>
        <w:t> </w:t>
      </w:r>
      <w:r>
        <w:rPr>
          <w:color w:val="231F20"/>
        </w:rPr>
        <w:t>by</w:t>
      </w:r>
      <w:r>
        <w:rPr>
          <w:color w:val="231F20"/>
          <w:spacing w:val="-3"/>
        </w:rPr>
        <w:t> </w:t>
      </w:r>
      <w:r>
        <w:rPr>
          <w:color w:val="231F20"/>
          <w:spacing w:val="-1"/>
        </w:rPr>
        <w:t>students</w:t>
      </w:r>
      <w:r>
        <w:rPr>
          <w:color w:val="231F20"/>
          <w:spacing w:val="-3"/>
        </w:rPr>
        <w:t> </w:t>
      </w:r>
      <w:r>
        <w:rPr>
          <w:color w:val="231F20"/>
        </w:rPr>
        <w:t>and</w:t>
      </w:r>
      <w:r>
        <w:rPr>
          <w:color w:val="231F20"/>
          <w:spacing w:val="-3"/>
        </w:rPr>
        <w:t> </w:t>
      </w:r>
      <w:r>
        <w:rPr>
          <w:color w:val="231F20"/>
        </w:rPr>
        <w:t>their</w:t>
      </w:r>
      <w:r>
        <w:rPr>
          <w:color w:val="231F20"/>
          <w:spacing w:val="-3"/>
        </w:rPr>
        <w:t> </w:t>
      </w:r>
      <w:r>
        <w:rPr>
          <w:color w:val="231F20"/>
        </w:rPr>
        <w:t>families.</w:t>
      </w:r>
      <w:r>
        <w:rPr>
          <w:color w:val="231F20"/>
          <w:spacing w:val="-4"/>
        </w:rPr>
        <w:t> </w:t>
      </w:r>
      <w:r>
        <w:rPr>
          <w:color w:val="231F20"/>
          <w:spacing w:val="-1"/>
        </w:rPr>
        <w:t>Review</w:t>
      </w:r>
      <w:r>
        <w:rPr>
          <w:color w:val="231F20"/>
          <w:spacing w:val="-3"/>
        </w:rPr>
        <w:t> </w:t>
      </w:r>
      <w:r>
        <w:rPr>
          <w:color w:val="231F20"/>
        </w:rPr>
        <w:t>the</w:t>
      </w:r>
      <w:r>
        <w:rPr>
          <w:color w:val="231F20"/>
          <w:spacing w:val="-4"/>
        </w:rPr>
        <w:t> </w:t>
      </w:r>
      <w:r>
        <w:rPr>
          <w:color w:val="231F20"/>
        </w:rPr>
        <w:t>rules</w:t>
      </w:r>
      <w:r>
        <w:rPr>
          <w:color w:val="231F20"/>
          <w:spacing w:val="22"/>
        </w:rPr>
        <w:t> </w:t>
      </w:r>
      <w:r>
        <w:rPr>
          <w:color w:val="231F20"/>
        </w:rPr>
        <w:t>and</w:t>
      </w:r>
      <w:r>
        <w:rPr>
          <w:color w:val="231F20"/>
          <w:spacing w:val="-6"/>
        </w:rPr>
        <w:t> </w:t>
      </w:r>
      <w:r>
        <w:rPr>
          <w:color w:val="231F20"/>
        </w:rPr>
        <w:t>processes</w:t>
      </w:r>
      <w:r>
        <w:rPr>
          <w:color w:val="231F20"/>
          <w:spacing w:val="-6"/>
        </w:rPr>
        <w:t> </w:t>
      </w:r>
      <w:r>
        <w:rPr>
          <w:color w:val="231F20"/>
        </w:rPr>
        <w:t>for</w:t>
      </w:r>
      <w:r>
        <w:rPr>
          <w:color w:val="231F20"/>
          <w:spacing w:val="-5"/>
        </w:rPr>
        <w:t> </w:t>
      </w:r>
      <w:r>
        <w:rPr>
          <w:color w:val="231F20"/>
        </w:rPr>
        <w:t>the</w:t>
      </w:r>
      <w:r>
        <w:rPr>
          <w:color w:val="231F20"/>
          <w:spacing w:val="-6"/>
        </w:rPr>
        <w:t> </w:t>
      </w:r>
      <w:r>
        <w:rPr>
          <w:color w:val="231F20"/>
        </w:rPr>
        <w:t>reimbursement</w:t>
      </w:r>
      <w:r>
        <w:rPr>
          <w:color w:val="231F20"/>
          <w:spacing w:val="-6"/>
        </w:rPr>
        <w:t> </w:t>
      </w:r>
      <w:r>
        <w:rPr>
          <w:color w:val="231F20"/>
        </w:rPr>
        <w:t>of</w:t>
      </w:r>
      <w:r>
        <w:rPr>
          <w:color w:val="231F20"/>
          <w:spacing w:val="-5"/>
        </w:rPr>
        <w:t> </w:t>
      </w:r>
      <w:r>
        <w:rPr>
          <w:color w:val="231F20"/>
        </w:rPr>
        <w:t>travel</w:t>
      </w:r>
      <w:r>
        <w:rPr>
          <w:color w:val="231F20"/>
          <w:w w:val="99"/>
        </w:rPr>
        <w:t> </w:t>
      </w:r>
      <w:r>
        <w:rPr>
          <w:color w:val="231F20"/>
        </w:rPr>
        <w:t>paid</w:t>
      </w:r>
      <w:r>
        <w:rPr>
          <w:color w:val="231F20"/>
          <w:spacing w:val="-8"/>
        </w:rPr>
        <w:t> </w:t>
      </w:r>
      <w:r>
        <w:rPr>
          <w:color w:val="231F20"/>
        </w:rPr>
        <w:t>by</w:t>
      </w:r>
      <w:r>
        <w:rPr>
          <w:color w:val="231F20"/>
          <w:spacing w:val="-6"/>
        </w:rPr>
        <w:t> </w:t>
      </w:r>
      <w:r>
        <w:rPr>
          <w:color w:val="231F20"/>
        </w:rPr>
        <w:t>boarding</w:t>
      </w:r>
      <w:r>
        <w:rPr>
          <w:color w:val="231F20"/>
          <w:spacing w:val="-7"/>
        </w:rPr>
        <w:t> </w:t>
      </w:r>
      <w:r>
        <w:rPr>
          <w:color w:val="231F20"/>
        </w:rPr>
        <w:t>providers</w:t>
      </w:r>
      <w:r>
        <w:rPr>
          <w:color w:val="231F20"/>
          <w:spacing w:val="-7"/>
        </w:rPr>
        <w:t> </w:t>
      </w:r>
      <w:r>
        <w:rPr>
          <w:color w:val="231F20"/>
        </w:rPr>
        <w:t>to</w:t>
      </w:r>
      <w:r>
        <w:rPr>
          <w:color w:val="231F20"/>
          <w:spacing w:val="-7"/>
        </w:rPr>
        <w:t> </w:t>
      </w:r>
      <w:r>
        <w:rPr>
          <w:color w:val="231F20"/>
        </w:rPr>
        <w:t>provide</w:t>
      </w:r>
      <w:r>
        <w:rPr>
          <w:color w:val="231F20"/>
          <w:spacing w:val="-7"/>
        </w:rPr>
        <w:t> </w:t>
      </w:r>
      <w:r>
        <w:rPr>
          <w:color w:val="231F20"/>
        </w:rPr>
        <w:t>greater</w:t>
      </w:r>
      <w:r>
        <w:rPr>
          <w:color w:val="231F20"/>
          <w:w w:val="99"/>
        </w:rPr>
        <w:t> </w:t>
      </w:r>
      <w:r>
        <w:rPr>
          <w:color w:val="231F20"/>
        </w:rPr>
        <w:t>certainty</w:t>
      </w:r>
      <w:r>
        <w:rPr>
          <w:color w:val="231F20"/>
          <w:spacing w:val="-10"/>
        </w:rPr>
        <w:t> </w:t>
      </w:r>
      <w:r>
        <w:rPr>
          <w:color w:val="231F20"/>
        </w:rPr>
        <w:t>to</w:t>
      </w:r>
      <w:r>
        <w:rPr>
          <w:color w:val="231F20"/>
          <w:spacing w:val="-9"/>
        </w:rPr>
        <w:t> </w:t>
      </w:r>
      <w:r>
        <w:rPr>
          <w:color w:val="231F20"/>
        </w:rPr>
        <w:t>boarding</w:t>
      </w:r>
      <w:r>
        <w:rPr>
          <w:color w:val="231F20"/>
          <w:spacing w:val="-10"/>
        </w:rPr>
        <w:t> </w:t>
      </w:r>
      <w:r>
        <w:rPr>
          <w:color w:val="231F20"/>
        </w:rPr>
        <w:t>providers.</w:t>
      </w:r>
      <w:r>
        <w:rPr/>
      </w:r>
    </w:p>
    <w:p>
      <w:pPr>
        <w:spacing w:line="300" w:lineRule="exact" w:before="54"/>
        <w:ind w:left="100" w:right="243" w:firstLine="264"/>
        <w:jc w:val="left"/>
        <w:rPr>
          <w:rFonts w:ascii="Segoe UI" w:hAnsi="Segoe UI" w:cs="Segoe UI" w:eastAsia="Segoe UI"/>
          <w:sz w:val="24"/>
          <w:szCs w:val="24"/>
        </w:rPr>
      </w:pPr>
      <w:r>
        <w:rPr/>
        <w:br w:type="column"/>
      </w:r>
      <w:r>
        <w:rPr>
          <w:rFonts w:ascii="Segoe UI"/>
          <w:b/>
          <w:color w:val="00779B"/>
          <w:spacing w:val="-1"/>
          <w:sz w:val="24"/>
        </w:rPr>
        <w:t>Recommendation</w:t>
      </w:r>
      <w:r>
        <w:rPr>
          <w:rFonts w:ascii="Segoe UI"/>
          <w:b/>
          <w:color w:val="00779B"/>
          <w:spacing w:val="-8"/>
          <w:sz w:val="24"/>
        </w:rPr>
        <w:t> </w:t>
      </w:r>
      <w:r>
        <w:rPr>
          <w:rFonts w:ascii="Segoe UI"/>
          <w:b/>
          <w:color w:val="00779B"/>
          <w:spacing w:val="-1"/>
          <w:sz w:val="24"/>
        </w:rPr>
        <w:t>9:</w:t>
      </w:r>
      <w:r>
        <w:rPr>
          <w:rFonts w:ascii="Segoe UI"/>
          <w:b/>
          <w:color w:val="00779B"/>
          <w:spacing w:val="-7"/>
          <w:sz w:val="24"/>
        </w:rPr>
        <w:t> </w:t>
      </w:r>
      <w:r>
        <w:rPr>
          <w:rFonts w:ascii="Segoe UI"/>
          <w:color w:val="00779B"/>
          <w:spacing w:val="-1"/>
          <w:sz w:val="24"/>
        </w:rPr>
        <w:t>Scholarship</w:t>
      </w:r>
      <w:r>
        <w:rPr>
          <w:rFonts w:ascii="Segoe UI"/>
          <w:color w:val="00779B"/>
          <w:spacing w:val="29"/>
          <w:w w:val="99"/>
          <w:sz w:val="24"/>
        </w:rPr>
        <w:t> </w:t>
      </w:r>
      <w:r>
        <w:rPr>
          <w:rFonts w:ascii="Segoe UI"/>
          <w:color w:val="00779B"/>
          <w:sz w:val="24"/>
        </w:rPr>
        <w:t>arrangements</w:t>
      </w:r>
      <w:r>
        <w:rPr>
          <w:rFonts w:ascii="Segoe UI"/>
          <w:sz w:val="24"/>
        </w:rPr>
      </w:r>
    </w:p>
    <w:p>
      <w:pPr>
        <w:pStyle w:val="BodyText"/>
        <w:spacing w:line="250" w:lineRule="exact" w:before="75"/>
        <w:ind w:left="100" w:right="243"/>
        <w:jc w:val="left"/>
      </w:pPr>
      <w:r>
        <w:rPr/>
        <w:pict>
          <v:group style="position:absolute;margin-left:311.811005pt;margin-top:-26.738375pt;width:8.8pt;height:8.8pt;mso-position-horizontal-relative:page;mso-position-vertical-relative:paragraph;z-index:-228088" coordorigin="6236,-535" coordsize="176,176">
            <v:shape style="position:absolute;left:6236;top:-535;width:176;height:176" coordorigin="6236,-535" coordsize="176,176" path="m6236,-359l6412,-359,6412,-535,6236,-535,6236,-359xe" filled="true" fillcolor="#c1b5a9" stroked="false">
              <v:path arrowok="t"/>
              <v:fill type="solid"/>
            </v:shape>
            <w10:wrap type="none"/>
          </v:group>
        </w:pict>
      </w:r>
      <w:r>
        <w:rPr>
          <w:color w:val="231F20"/>
          <w:spacing w:val="-1"/>
        </w:rPr>
        <w:t>Review</w:t>
      </w:r>
      <w:r>
        <w:rPr>
          <w:color w:val="231F20"/>
          <w:spacing w:val="-8"/>
        </w:rPr>
        <w:t> </w:t>
      </w:r>
      <w:r>
        <w:rPr>
          <w:color w:val="231F20"/>
          <w:spacing w:val="-1"/>
        </w:rPr>
        <w:t>scholarship</w:t>
      </w:r>
      <w:r>
        <w:rPr>
          <w:color w:val="231F20"/>
          <w:spacing w:val="-5"/>
        </w:rPr>
        <w:t> </w:t>
      </w:r>
      <w:r>
        <w:rPr>
          <w:color w:val="231F20"/>
        </w:rPr>
        <w:t>arrangements</w:t>
      </w:r>
      <w:r>
        <w:rPr>
          <w:color w:val="231F20"/>
          <w:spacing w:val="-8"/>
        </w:rPr>
        <w:t> </w:t>
      </w:r>
      <w:r>
        <w:rPr>
          <w:color w:val="231F20"/>
        </w:rPr>
        <w:t>to</w:t>
      </w:r>
      <w:r>
        <w:rPr>
          <w:color w:val="231F20"/>
          <w:spacing w:val="-6"/>
        </w:rPr>
        <w:t> </w:t>
      </w:r>
      <w:r>
        <w:rPr>
          <w:color w:val="231F20"/>
        </w:rPr>
        <w:t>provide</w:t>
      </w:r>
      <w:r>
        <w:rPr>
          <w:color w:val="231F20"/>
          <w:spacing w:val="22"/>
          <w:w w:val="99"/>
        </w:rPr>
        <w:t> </w:t>
      </w:r>
      <w:r>
        <w:rPr>
          <w:color w:val="231F20"/>
        </w:rPr>
        <w:t>greater</w:t>
      </w:r>
      <w:r>
        <w:rPr>
          <w:color w:val="231F20"/>
          <w:spacing w:val="-8"/>
        </w:rPr>
        <w:t> </w:t>
      </w:r>
      <w:r>
        <w:rPr>
          <w:color w:val="231F20"/>
        </w:rPr>
        <w:t>opportunities</w:t>
      </w:r>
      <w:r>
        <w:rPr>
          <w:color w:val="231F20"/>
          <w:spacing w:val="-7"/>
        </w:rPr>
        <w:t> </w:t>
      </w:r>
      <w:r>
        <w:rPr>
          <w:color w:val="231F20"/>
        </w:rPr>
        <w:t>for</w:t>
      </w:r>
      <w:r>
        <w:rPr>
          <w:color w:val="231F20"/>
          <w:spacing w:val="-7"/>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23"/>
          <w:w w:val="99"/>
        </w:rPr>
        <w:t> </w:t>
      </w:r>
      <w:r>
        <w:rPr>
          <w:color w:val="231F20"/>
          <w:spacing w:val="-2"/>
        </w:rPr>
        <w:t>Strait</w:t>
      </w:r>
      <w:r>
        <w:rPr>
          <w:color w:val="231F20"/>
          <w:spacing w:val="-7"/>
        </w:rPr>
        <w:t> </w:t>
      </w:r>
      <w:r>
        <w:rPr>
          <w:color w:val="231F20"/>
          <w:spacing w:val="-1"/>
        </w:rPr>
        <w:t>Islander</w:t>
      </w:r>
      <w:r>
        <w:rPr>
          <w:color w:val="231F20"/>
          <w:spacing w:val="-5"/>
        </w:rPr>
        <w:t> </w:t>
      </w:r>
      <w:r>
        <w:rPr>
          <w:color w:val="231F20"/>
        </w:rPr>
        <w:t>boarding</w:t>
      </w:r>
      <w:r>
        <w:rPr>
          <w:color w:val="231F20"/>
          <w:spacing w:val="-6"/>
        </w:rPr>
        <w:t> </w:t>
      </w:r>
      <w:r>
        <w:rPr>
          <w:color w:val="231F20"/>
          <w:spacing w:val="-1"/>
        </w:rPr>
        <w:t>students</w:t>
      </w:r>
      <w:r>
        <w:rPr>
          <w:color w:val="231F20"/>
          <w:spacing w:val="-5"/>
        </w:rPr>
        <w:t> </w:t>
      </w:r>
      <w:r>
        <w:rPr>
          <w:color w:val="231F20"/>
        </w:rPr>
        <w:t>to</w:t>
      </w:r>
      <w:r>
        <w:rPr>
          <w:color w:val="231F20"/>
          <w:spacing w:val="-6"/>
        </w:rPr>
        <w:t> </w:t>
      </w:r>
      <w:r>
        <w:rPr>
          <w:color w:val="231F20"/>
        </w:rPr>
        <w:t>attend</w:t>
      </w:r>
      <w:r>
        <w:rPr>
          <w:color w:val="231F20"/>
          <w:spacing w:val="28"/>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8"/>
        </w:rPr>
        <w:t> </w:t>
      </w:r>
      <w:r>
        <w:rPr>
          <w:color w:val="231F20"/>
        </w:rPr>
        <w:t>and</w:t>
      </w:r>
      <w:r>
        <w:rPr>
          <w:color w:val="231F20"/>
          <w:spacing w:val="-7"/>
        </w:rPr>
        <w:t> </w:t>
      </w:r>
      <w:r>
        <w:rPr>
          <w:color w:val="231F20"/>
        </w:rPr>
        <w:t>other</w:t>
      </w:r>
      <w:r>
        <w:rPr>
          <w:color w:val="231F20"/>
          <w:spacing w:val="-6"/>
        </w:rPr>
        <w:t> </w:t>
      </w:r>
      <w:r>
        <w:rPr>
          <w:color w:val="231F20"/>
        </w:rPr>
        <w:t>providers</w:t>
      </w:r>
      <w:r>
        <w:rPr>
          <w:color w:val="231F20"/>
          <w:spacing w:val="-7"/>
        </w:rPr>
        <w:t> </w:t>
      </w:r>
      <w:r>
        <w:rPr>
          <w:color w:val="231F20"/>
          <w:spacing w:val="-1"/>
        </w:rPr>
        <w:t>located</w:t>
      </w:r>
      <w:r>
        <w:rPr>
          <w:color w:val="231F20"/>
          <w:spacing w:val="-7"/>
        </w:rPr>
        <w:t> </w:t>
      </w:r>
      <w:r>
        <w:rPr>
          <w:color w:val="231F20"/>
          <w:spacing w:val="-1"/>
        </w:rPr>
        <w:t>in</w:t>
      </w:r>
      <w:r>
        <w:rPr>
          <w:color w:val="231F20"/>
          <w:spacing w:val="21"/>
        </w:rPr>
        <w:t> </w:t>
      </w:r>
      <w:r>
        <w:rPr>
          <w:color w:val="231F20"/>
        </w:rPr>
        <w:t>regional,</w:t>
      </w:r>
      <w:r>
        <w:rPr>
          <w:color w:val="231F20"/>
          <w:spacing w:val="-8"/>
        </w:rPr>
        <w:t> </w:t>
      </w:r>
      <w:r>
        <w:rPr>
          <w:color w:val="231F20"/>
        </w:rPr>
        <w:t>remote</w:t>
      </w:r>
      <w:r>
        <w:rPr>
          <w:color w:val="231F20"/>
          <w:spacing w:val="-7"/>
        </w:rPr>
        <w:t> </w:t>
      </w:r>
      <w:r>
        <w:rPr>
          <w:color w:val="231F20"/>
        </w:rPr>
        <w:t>and</w:t>
      </w:r>
      <w:r>
        <w:rPr>
          <w:color w:val="231F20"/>
          <w:spacing w:val="-8"/>
        </w:rPr>
        <w:t> </w:t>
      </w:r>
      <w:r>
        <w:rPr>
          <w:color w:val="231F20"/>
        </w:rPr>
        <w:t>very</w:t>
      </w:r>
      <w:r>
        <w:rPr>
          <w:color w:val="231F20"/>
          <w:spacing w:val="-6"/>
        </w:rPr>
        <w:t> </w:t>
      </w:r>
      <w:r>
        <w:rPr>
          <w:color w:val="231F20"/>
        </w:rPr>
        <w:t>remote</w:t>
      </w:r>
      <w:r>
        <w:rPr>
          <w:color w:val="231F20"/>
          <w:spacing w:val="-8"/>
        </w:rPr>
        <w:t> </w:t>
      </w:r>
      <w:r>
        <w:rPr>
          <w:color w:val="231F20"/>
        </w:rPr>
        <w:t>areas.</w:t>
      </w:r>
      <w:r>
        <w:rPr/>
      </w:r>
    </w:p>
    <w:p>
      <w:pPr>
        <w:spacing w:line="240" w:lineRule="auto" w:before="3"/>
        <w:rPr>
          <w:rFonts w:ascii="Segoe UI" w:hAnsi="Segoe UI" w:cs="Segoe UI" w:eastAsia="Segoe UI"/>
          <w:sz w:val="14"/>
          <w:szCs w:val="14"/>
        </w:rPr>
      </w:pPr>
    </w:p>
    <w:p>
      <w:pPr>
        <w:spacing w:before="0"/>
        <w:ind w:left="100" w:right="0" w:firstLine="264"/>
        <w:jc w:val="left"/>
        <w:rPr>
          <w:rFonts w:ascii="Segoe UI" w:hAnsi="Segoe UI" w:cs="Segoe UI" w:eastAsia="Segoe UI"/>
          <w:sz w:val="24"/>
          <w:szCs w:val="24"/>
        </w:rPr>
      </w:pPr>
      <w:r>
        <w:rPr/>
        <w:pict>
          <v:group style="position:absolute;margin-left:311.811005pt;margin-top:4.37864pt;width:8.8pt;height:8.8pt;mso-position-horizontal-relative:page;mso-position-vertical-relative:paragraph;z-index:-228112" coordorigin="6236,88" coordsize="176,176">
            <v:shape style="position:absolute;left:6236;top:88;width:176;height:176" coordorigin="6236,88" coordsize="176,176" path="m6236,263l6412,263,6412,88,6236,88,6236,263xe" filled="true" fillcolor="#c1b5a9" stroked="false">
              <v:path arrowok="t"/>
              <v:fill type="solid"/>
            </v:shape>
            <w10:wrap type="none"/>
          </v:group>
        </w:pict>
      </w:r>
      <w:r>
        <w:rPr>
          <w:rFonts w:ascii="Segoe UI"/>
          <w:b/>
          <w:color w:val="00779B"/>
          <w:spacing w:val="-1"/>
          <w:sz w:val="24"/>
        </w:rPr>
        <w:t>Recommendation</w:t>
      </w:r>
      <w:r>
        <w:rPr>
          <w:rFonts w:ascii="Segoe UI"/>
          <w:b/>
          <w:color w:val="00779B"/>
          <w:spacing w:val="-7"/>
          <w:sz w:val="24"/>
        </w:rPr>
        <w:t> </w:t>
      </w:r>
      <w:r>
        <w:rPr>
          <w:rFonts w:ascii="Segoe UI"/>
          <w:b/>
          <w:color w:val="00779B"/>
          <w:spacing w:val="-1"/>
          <w:sz w:val="24"/>
        </w:rPr>
        <w:t>10:</w:t>
      </w:r>
      <w:r>
        <w:rPr>
          <w:rFonts w:ascii="Segoe UI"/>
          <w:b/>
          <w:color w:val="00779B"/>
          <w:spacing w:val="-5"/>
          <w:sz w:val="24"/>
        </w:rPr>
        <w:t> </w:t>
      </w:r>
      <w:r>
        <w:rPr>
          <w:rFonts w:ascii="Segoe UI"/>
          <w:color w:val="00779B"/>
          <w:spacing w:val="-1"/>
          <w:sz w:val="24"/>
        </w:rPr>
        <w:t>Sector</w:t>
      </w:r>
      <w:r>
        <w:rPr>
          <w:rFonts w:ascii="Segoe UI"/>
          <w:color w:val="00779B"/>
          <w:spacing w:val="-5"/>
          <w:sz w:val="24"/>
        </w:rPr>
        <w:t> </w:t>
      </w:r>
      <w:r>
        <w:rPr>
          <w:rFonts w:ascii="Segoe UI"/>
          <w:color w:val="00779B"/>
          <w:sz w:val="24"/>
        </w:rPr>
        <w:t>change</w:t>
      </w:r>
      <w:r>
        <w:rPr>
          <w:rFonts w:ascii="Segoe UI"/>
          <w:sz w:val="24"/>
        </w:rPr>
      </w:r>
    </w:p>
    <w:p>
      <w:pPr>
        <w:pStyle w:val="BodyText"/>
        <w:spacing w:line="250" w:lineRule="exact" w:before="75"/>
        <w:ind w:left="100" w:right="243"/>
        <w:jc w:val="left"/>
      </w:pPr>
      <w:r>
        <w:rPr>
          <w:color w:val="231F20"/>
          <w:spacing w:val="-1"/>
        </w:rPr>
        <w:t>Provide</w:t>
      </w:r>
      <w:r>
        <w:rPr>
          <w:color w:val="231F20"/>
          <w:spacing w:val="-8"/>
        </w:rPr>
        <w:t> </w:t>
      </w:r>
      <w:r>
        <w:rPr>
          <w:color w:val="231F20"/>
        </w:rPr>
        <w:t>advice</w:t>
      </w:r>
      <w:r>
        <w:rPr>
          <w:color w:val="231F20"/>
          <w:spacing w:val="-8"/>
        </w:rPr>
        <w:t> </w:t>
      </w:r>
      <w:r>
        <w:rPr>
          <w:color w:val="231F20"/>
        </w:rPr>
        <w:t>on</w:t>
      </w:r>
      <w:r>
        <w:rPr>
          <w:color w:val="231F20"/>
          <w:spacing w:val="-7"/>
        </w:rPr>
        <w:t> </w:t>
      </w:r>
      <w:r>
        <w:rPr>
          <w:color w:val="231F20"/>
        </w:rPr>
        <w:t>transitioning</w:t>
      </w:r>
      <w:r>
        <w:rPr>
          <w:color w:val="231F20"/>
          <w:spacing w:val="-8"/>
        </w:rPr>
        <w:t> </w:t>
      </w:r>
      <w:r>
        <w:rPr>
          <w:color w:val="231F20"/>
        </w:rPr>
        <w:t>and</w:t>
      </w:r>
      <w:r>
        <w:rPr>
          <w:color w:val="231F20"/>
          <w:spacing w:val="22"/>
          <w:w w:val="99"/>
        </w:rPr>
        <w:t> </w:t>
      </w:r>
      <w:r>
        <w:rPr>
          <w:color w:val="231F20"/>
        </w:rPr>
        <w:t>restructuring</w:t>
      </w:r>
      <w:r>
        <w:rPr>
          <w:color w:val="231F20"/>
          <w:spacing w:val="-12"/>
        </w:rPr>
        <w:t> </w:t>
      </w:r>
      <w:r>
        <w:rPr>
          <w:color w:val="231F20"/>
        </w:rPr>
        <w:t>to</w:t>
      </w:r>
      <w:r>
        <w:rPr>
          <w:color w:val="231F20"/>
          <w:spacing w:val="-10"/>
        </w:rPr>
        <w:t> </w:t>
      </w:r>
      <w:r>
        <w:rPr>
          <w:color w:val="231F20"/>
        </w:rPr>
        <w:t>boarding</w:t>
      </w:r>
      <w:r>
        <w:rPr>
          <w:color w:val="231F20"/>
          <w:spacing w:val="-11"/>
        </w:rPr>
        <w:t> </w:t>
      </w:r>
      <w:r>
        <w:rPr>
          <w:color w:val="231F20"/>
        </w:rPr>
        <w:t>providers</w:t>
      </w:r>
      <w:r>
        <w:rPr>
          <w:color w:val="231F20"/>
          <w:w w:val="99"/>
        </w:rPr>
        <w:t> </w:t>
      </w:r>
      <w:r>
        <w:rPr>
          <w:rFonts w:ascii="Segoe UI"/>
          <w:color w:val="231F20"/>
        </w:rPr>
        <w:t>experiencing difficulty with changing trends in</w:t>
      </w:r>
      <w:r>
        <w:rPr>
          <w:rFonts w:ascii="Segoe UI"/>
          <w:color w:val="231F20"/>
        </w:rPr>
        <w:t> </w:t>
      </w:r>
      <w:r>
        <w:rPr>
          <w:color w:val="231F20"/>
        </w:rPr>
        <w:t>boarding</w:t>
      </w:r>
      <w:r>
        <w:rPr>
          <w:color w:val="231F20"/>
          <w:spacing w:val="-6"/>
        </w:rPr>
        <w:t> </w:t>
      </w:r>
      <w:r>
        <w:rPr>
          <w:color w:val="231F20"/>
        </w:rPr>
        <w:t>provision</w:t>
      </w:r>
      <w:r>
        <w:rPr>
          <w:color w:val="231F20"/>
          <w:spacing w:val="-5"/>
        </w:rPr>
        <w:t> </w:t>
      </w:r>
      <w:r>
        <w:rPr>
          <w:color w:val="231F20"/>
        </w:rPr>
        <w:t>for</w:t>
      </w:r>
      <w:r>
        <w:rPr>
          <w:color w:val="231F20"/>
          <w:spacing w:val="-5"/>
        </w:rPr>
        <w:t> </w:t>
      </w:r>
      <w:r>
        <w:rPr>
          <w:color w:val="231F20"/>
        </w:rPr>
        <w:t>Aboriginal</w:t>
      </w:r>
      <w:r>
        <w:rPr>
          <w:color w:val="231F20"/>
          <w:spacing w:val="-4"/>
        </w:rPr>
        <w:t> </w:t>
      </w:r>
      <w:r>
        <w:rPr>
          <w:color w:val="231F20"/>
        </w:rPr>
        <w:t>and</w:t>
      </w:r>
      <w:r>
        <w:rPr>
          <w:color w:val="231F20"/>
          <w:spacing w:val="-6"/>
        </w:rPr>
        <w:t> </w:t>
      </w:r>
      <w:r>
        <w:rPr>
          <w:color w:val="231F20"/>
          <w:spacing w:val="-5"/>
        </w:rPr>
        <w:t>Torres</w:t>
      </w:r>
      <w:r>
        <w:rPr>
          <w:color w:val="231F20"/>
          <w:spacing w:val="23"/>
          <w:w w:val="99"/>
        </w:rPr>
        <w:t> </w:t>
      </w:r>
      <w:r>
        <w:rPr>
          <w:color w:val="231F20"/>
          <w:spacing w:val="-2"/>
        </w:rPr>
        <w:t>Strait</w:t>
      </w:r>
      <w:r>
        <w:rPr>
          <w:color w:val="231F20"/>
          <w:spacing w:val="-11"/>
        </w:rPr>
        <w:t> </w:t>
      </w:r>
      <w:r>
        <w:rPr>
          <w:color w:val="231F20"/>
          <w:spacing w:val="-1"/>
        </w:rPr>
        <w:t>Islander</w:t>
      </w:r>
      <w:r>
        <w:rPr>
          <w:color w:val="231F20"/>
          <w:spacing w:val="-9"/>
        </w:rPr>
        <w:t> </w:t>
      </w:r>
      <w:r>
        <w:rPr>
          <w:color w:val="231F20"/>
          <w:spacing w:val="-1"/>
        </w:rPr>
        <w:t>students.</w:t>
      </w:r>
      <w:r>
        <w:rPr/>
      </w:r>
    </w:p>
    <w:p>
      <w:pPr>
        <w:pStyle w:val="BodyText"/>
        <w:spacing w:line="250" w:lineRule="exact" w:before="113"/>
        <w:ind w:left="100" w:right="243"/>
        <w:jc w:val="left"/>
      </w:pPr>
      <w:r>
        <w:rPr>
          <w:color w:val="231F20"/>
        </w:rPr>
        <w:t>The</w:t>
      </w:r>
      <w:r>
        <w:rPr>
          <w:color w:val="231F20"/>
          <w:spacing w:val="-6"/>
        </w:rPr>
        <w:t> </w:t>
      </w:r>
      <w:r>
        <w:rPr>
          <w:color w:val="231F20"/>
        </w:rPr>
        <w:t>professional</w:t>
      </w:r>
      <w:r>
        <w:rPr>
          <w:color w:val="231F20"/>
          <w:spacing w:val="-6"/>
        </w:rPr>
        <w:t> </w:t>
      </w:r>
      <w:r>
        <w:rPr>
          <w:color w:val="231F20"/>
        </w:rPr>
        <w:t>networks</w:t>
      </w:r>
      <w:r>
        <w:rPr>
          <w:color w:val="231F20"/>
          <w:spacing w:val="-6"/>
        </w:rPr>
        <w:t> </w:t>
      </w:r>
      <w:r>
        <w:rPr>
          <w:color w:val="231F20"/>
        </w:rPr>
        <w:t>of</w:t>
      </w:r>
      <w:r>
        <w:rPr>
          <w:color w:val="231F20"/>
          <w:spacing w:val="-5"/>
        </w:rPr>
        <w:t> </w:t>
      </w:r>
      <w:r>
        <w:rPr>
          <w:color w:val="231F20"/>
        </w:rPr>
        <w:t>Aboriginal</w:t>
      </w:r>
      <w:r>
        <w:rPr>
          <w:color w:val="231F20"/>
          <w:spacing w:val="-5"/>
        </w:rPr>
        <w:t> </w:t>
      </w:r>
      <w:r>
        <w:rPr>
          <w:color w:val="231F20"/>
        </w:rPr>
        <w:t>and</w:t>
      </w:r>
      <w:r>
        <w:rPr>
          <w:color w:val="231F20"/>
          <w:w w:val="99"/>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7"/>
        </w:rPr>
        <w:t> </w:t>
      </w:r>
      <w:r>
        <w:rPr>
          <w:color w:val="231F20"/>
        </w:rPr>
        <w:t>providers</w:t>
      </w:r>
      <w:r>
        <w:rPr>
          <w:color w:val="231F20"/>
          <w:spacing w:val="-7"/>
        </w:rPr>
        <w:t> </w:t>
      </w:r>
      <w:r>
        <w:rPr>
          <w:color w:val="231F20"/>
        </w:rPr>
        <w:t>and</w:t>
      </w:r>
      <w:r>
        <w:rPr>
          <w:color w:val="231F20"/>
          <w:spacing w:val="21"/>
          <w:w w:val="99"/>
        </w:rPr>
        <w:t> </w:t>
      </w:r>
      <w:r>
        <w:rPr>
          <w:color w:val="231F20"/>
        </w:rPr>
        <w:t>the</w:t>
      </w:r>
      <w:r>
        <w:rPr>
          <w:color w:val="231F20"/>
          <w:spacing w:val="-5"/>
        </w:rPr>
        <w:t> </w:t>
      </w:r>
      <w:r>
        <w:rPr>
          <w:color w:val="231F20"/>
        </w:rPr>
        <w:t>composition</w:t>
      </w:r>
      <w:r>
        <w:rPr>
          <w:color w:val="231F20"/>
          <w:spacing w:val="-4"/>
        </w:rPr>
        <w:t> </w:t>
      </w:r>
      <w:r>
        <w:rPr>
          <w:color w:val="231F20"/>
        </w:rPr>
        <w:t>of</w:t>
      </w:r>
      <w:r>
        <w:rPr>
          <w:color w:val="231F20"/>
          <w:spacing w:val="-4"/>
        </w:rPr>
        <w:t> </w:t>
      </w:r>
      <w:r>
        <w:rPr>
          <w:color w:val="231F20"/>
        </w:rPr>
        <w:t>their</w:t>
      </w:r>
      <w:r>
        <w:rPr>
          <w:color w:val="231F20"/>
          <w:spacing w:val="-5"/>
        </w:rPr>
        <w:t> </w:t>
      </w:r>
      <w:r>
        <w:rPr>
          <w:color w:val="231F20"/>
        </w:rPr>
        <w:t>boards</w:t>
      </w:r>
      <w:r>
        <w:rPr>
          <w:color w:val="231F20"/>
          <w:spacing w:val="-4"/>
        </w:rPr>
        <w:t> </w:t>
      </w:r>
      <w:r>
        <w:rPr>
          <w:color w:val="231F20"/>
          <w:spacing w:val="-1"/>
        </w:rPr>
        <w:t>should</w:t>
      </w:r>
      <w:r>
        <w:rPr>
          <w:color w:val="231F20"/>
          <w:spacing w:val="-4"/>
        </w:rPr>
        <w:t> </w:t>
      </w:r>
      <w:r>
        <w:rPr>
          <w:color w:val="231F20"/>
          <w:spacing w:val="-1"/>
        </w:rPr>
        <w:t>include</w:t>
      </w:r>
      <w:r>
        <w:rPr>
          <w:color w:val="231F20"/>
          <w:spacing w:val="21"/>
          <w:w w:val="99"/>
        </w:rPr>
        <w:t> </w:t>
      </w:r>
      <w:r>
        <w:rPr>
          <w:color w:val="231F20"/>
        </w:rPr>
        <w:t>a</w:t>
      </w:r>
      <w:r>
        <w:rPr>
          <w:color w:val="231F20"/>
          <w:spacing w:val="-5"/>
        </w:rPr>
        <w:t> </w:t>
      </w:r>
      <w:r>
        <w:rPr>
          <w:color w:val="231F20"/>
        </w:rPr>
        <w:t>greater</w:t>
      </w:r>
      <w:r>
        <w:rPr>
          <w:color w:val="231F20"/>
          <w:spacing w:val="-6"/>
        </w:rPr>
        <w:t> </w:t>
      </w:r>
      <w:r>
        <w:rPr>
          <w:color w:val="231F20"/>
        </w:rPr>
        <w:t>diversity</w:t>
      </w:r>
      <w:r>
        <w:rPr>
          <w:color w:val="231F20"/>
          <w:spacing w:val="-6"/>
        </w:rPr>
        <w:t> </w:t>
      </w:r>
      <w:r>
        <w:rPr>
          <w:color w:val="231F20"/>
        </w:rPr>
        <w:t>of</w:t>
      </w:r>
      <w:r>
        <w:rPr>
          <w:color w:val="231F20"/>
          <w:spacing w:val="-5"/>
        </w:rPr>
        <w:t> </w:t>
      </w:r>
      <w:r>
        <w:rPr>
          <w:color w:val="231F20"/>
          <w:spacing w:val="-1"/>
        </w:rPr>
        <w:t>skills</w:t>
      </w:r>
      <w:r>
        <w:rPr>
          <w:color w:val="231F20"/>
          <w:spacing w:val="-5"/>
        </w:rPr>
        <w:t> </w:t>
      </w:r>
      <w:r>
        <w:rPr>
          <w:color w:val="231F20"/>
        </w:rPr>
        <w:t>and</w:t>
      </w:r>
      <w:r>
        <w:rPr>
          <w:color w:val="231F20"/>
          <w:spacing w:val="-6"/>
        </w:rPr>
        <w:t> </w:t>
      </w:r>
      <w:r>
        <w:rPr>
          <w:color w:val="231F20"/>
        </w:rPr>
        <w:t>experience</w:t>
      </w:r>
      <w:r>
        <w:rPr>
          <w:color w:val="231F20"/>
          <w:spacing w:val="21"/>
          <w:w w:val="99"/>
        </w:rPr>
        <w:t> </w:t>
      </w:r>
      <w:r>
        <w:rPr>
          <w:rFonts w:ascii="Segoe UI"/>
          <w:color w:val="231F20"/>
        </w:rPr>
        <w:t>relevant to financial management, boarding</w:t>
      </w:r>
      <w:r>
        <w:rPr>
          <w:rFonts w:ascii="Segoe UI"/>
          <w:color w:val="231F20"/>
        </w:rPr>
        <w:t> </w:t>
      </w:r>
      <w:r>
        <w:rPr>
          <w:color w:val="231F20"/>
        </w:rPr>
        <w:t>and</w:t>
      </w:r>
      <w:r>
        <w:rPr>
          <w:color w:val="231F20"/>
          <w:spacing w:val="-9"/>
        </w:rPr>
        <w:t> </w:t>
      </w:r>
      <w:r>
        <w:rPr>
          <w:color w:val="231F20"/>
        </w:rPr>
        <w:t>cultural</w:t>
      </w:r>
      <w:r>
        <w:rPr>
          <w:color w:val="231F20"/>
          <w:spacing w:val="-8"/>
        </w:rPr>
        <w:t> </w:t>
      </w:r>
      <w:r>
        <w:rPr>
          <w:color w:val="231F20"/>
        </w:rPr>
        <w:t>practices.</w:t>
      </w:r>
      <w:r>
        <w:rPr>
          <w:color w:val="231F20"/>
          <w:spacing w:val="-8"/>
        </w:rPr>
        <w:t> </w:t>
      </w:r>
      <w:r>
        <w:rPr>
          <w:color w:val="231F20"/>
          <w:spacing w:val="-1"/>
        </w:rPr>
        <w:t>Increase</w:t>
      </w:r>
      <w:r>
        <w:rPr>
          <w:color w:val="231F20"/>
          <w:spacing w:val="-8"/>
        </w:rPr>
        <w:t> </w:t>
      </w:r>
      <w:r>
        <w:rPr>
          <w:color w:val="231F20"/>
        </w:rPr>
        <w:t>awareness</w:t>
      </w:r>
      <w:r>
        <w:rPr>
          <w:color w:val="231F20"/>
          <w:spacing w:val="-8"/>
        </w:rPr>
        <w:t> </w:t>
      </w:r>
      <w:r>
        <w:rPr>
          <w:color w:val="231F20"/>
        </w:rPr>
        <w:t>of</w:t>
      </w:r>
      <w:r>
        <w:rPr>
          <w:color w:val="231F20"/>
          <w:spacing w:val="22"/>
          <w:w w:val="99"/>
        </w:rPr>
        <w:t> </w:t>
      </w:r>
      <w:r>
        <w:rPr>
          <w:rFonts w:ascii="Segoe UI"/>
          <w:color w:val="231F20"/>
        </w:rPr>
        <w:t>existing programs to assist not for profits in</w:t>
      </w:r>
      <w:r>
        <w:rPr>
          <w:rFonts w:ascii="Segoe UI"/>
          <w:color w:val="231F20"/>
        </w:rPr>
        <w:t> </w:t>
      </w:r>
      <w:r>
        <w:rPr>
          <w:color w:val="231F20"/>
        </w:rPr>
        <w:t>regional,</w:t>
      </w:r>
      <w:r>
        <w:rPr>
          <w:color w:val="231F20"/>
          <w:spacing w:val="-7"/>
        </w:rPr>
        <w:t> </w:t>
      </w:r>
      <w:r>
        <w:rPr>
          <w:color w:val="231F20"/>
        </w:rPr>
        <w:t>remote</w:t>
      </w:r>
      <w:r>
        <w:rPr>
          <w:color w:val="231F20"/>
          <w:spacing w:val="-7"/>
        </w:rPr>
        <w:t> </w:t>
      </w:r>
      <w:r>
        <w:rPr>
          <w:color w:val="231F20"/>
        </w:rPr>
        <w:t>and</w:t>
      </w:r>
      <w:r>
        <w:rPr>
          <w:color w:val="231F20"/>
          <w:spacing w:val="-7"/>
        </w:rPr>
        <w:t> </w:t>
      </w:r>
      <w:r>
        <w:rPr>
          <w:color w:val="231F20"/>
        </w:rPr>
        <w:t>very</w:t>
      </w:r>
      <w:r>
        <w:rPr>
          <w:color w:val="231F20"/>
          <w:spacing w:val="-6"/>
        </w:rPr>
        <w:t> </w:t>
      </w:r>
      <w:r>
        <w:rPr>
          <w:color w:val="231F20"/>
        </w:rPr>
        <w:t>remote</w:t>
      </w:r>
      <w:r>
        <w:rPr>
          <w:color w:val="231F20"/>
          <w:spacing w:val="-7"/>
        </w:rPr>
        <w:t> </w:t>
      </w:r>
      <w:r>
        <w:rPr>
          <w:color w:val="231F20"/>
        </w:rPr>
        <w:t>regions</w:t>
      </w:r>
      <w:r>
        <w:rPr>
          <w:color w:val="231F20"/>
          <w:spacing w:val="-7"/>
        </w:rPr>
        <w:t> </w:t>
      </w:r>
      <w:r>
        <w:rPr>
          <w:color w:val="231F20"/>
        </w:rPr>
        <w:t>to</w:t>
      </w:r>
      <w:r>
        <w:rPr/>
      </w:r>
    </w:p>
    <w:p>
      <w:pPr>
        <w:pStyle w:val="BodyText"/>
        <w:spacing w:line="250" w:lineRule="exact"/>
        <w:ind w:left="100" w:right="124"/>
        <w:jc w:val="left"/>
      </w:pPr>
      <w:r>
        <w:rPr>
          <w:rFonts w:ascii="Segoe UI"/>
          <w:color w:val="231F20"/>
        </w:rPr>
        <w:t>identify, recruit and train appropriately qualified </w:t>
      </w:r>
      <w:r>
        <w:rPr>
          <w:color w:val="231F20"/>
        </w:rPr>
        <w:t>directors</w:t>
      </w:r>
      <w:r>
        <w:rPr>
          <w:color w:val="231F20"/>
          <w:spacing w:val="-7"/>
        </w:rPr>
        <w:t> </w:t>
      </w:r>
      <w:r>
        <w:rPr>
          <w:color w:val="231F20"/>
        </w:rPr>
        <w:t>and</w:t>
      </w:r>
      <w:r>
        <w:rPr>
          <w:color w:val="231F20"/>
          <w:spacing w:val="-6"/>
        </w:rPr>
        <w:t> </w:t>
      </w:r>
      <w:r>
        <w:rPr>
          <w:color w:val="231F20"/>
        </w:rPr>
        <w:t>committee</w:t>
      </w:r>
      <w:r>
        <w:rPr>
          <w:color w:val="231F20"/>
          <w:spacing w:val="-6"/>
        </w:rPr>
        <w:t> </w:t>
      </w:r>
      <w:r>
        <w:rPr>
          <w:color w:val="231F20"/>
          <w:spacing w:val="-1"/>
        </w:rPr>
        <w:t>members,</w:t>
      </w:r>
      <w:r>
        <w:rPr>
          <w:color w:val="231F20"/>
          <w:spacing w:val="-5"/>
        </w:rPr>
        <w:t> </w:t>
      </w:r>
      <w:r>
        <w:rPr>
          <w:color w:val="231F20"/>
        </w:rPr>
        <w:t>particularly</w:t>
      </w:r>
      <w:r>
        <w:rPr>
          <w:color w:val="231F20"/>
          <w:spacing w:val="22"/>
          <w:w w:val="99"/>
        </w:rPr>
        <w:t> </w:t>
      </w:r>
      <w:r>
        <w:rPr>
          <w:color w:val="231F20"/>
        </w:rPr>
        <w:t>Aboriginal</w:t>
      </w:r>
      <w:r>
        <w:rPr>
          <w:color w:val="231F20"/>
          <w:spacing w:val="-6"/>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5"/>
        </w:rPr>
        <w:t> </w:t>
      </w:r>
      <w:r>
        <w:rPr>
          <w:color w:val="231F20"/>
        </w:rPr>
        <w:t>people.</w:t>
      </w:r>
      <w:r>
        <w:rPr/>
      </w:r>
    </w:p>
    <w:p>
      <w:pPr>
        <w:spacing w:line="240" w:lineRule="auto" w:before="9"/>
        <w:rPr>
          <w:rFonts w:ascii="Segoe UI" w:hAnsi="Segoe UI" w:cs="Segoe UI" w:eastAsia="Segoe UI"/>
          <w:sz w:val="15"/>
          <w:szCs w:val="15"/>
        </w:rPr>
      </w:pPr>
    </w:p>
    <w:p>
      <w:pPr>
        <w:spacing w:line="300" w:lineRule="exact" w:before="0"/>
        <w:ind w:left="100" w:right="203" w:firstLine="264"/>
        <w:jc w:val="left"/>
        <w:rPr>
          <w:rFonts w:ascii="Segoe UI" w:hAnsi="Segoe UI" w:cs="Segoe UI" w:eastAsia="Segoe UI"/>
          <w:sz w:val="24"/>
          <w:szCs w:val="24"/>
        </w:rPr>
      </w:pPr>
      <w:r>
        <w:rPr/>
        <w:pict>
          <v:group style="position:absolute;margin-left:311.811005pt;margin-top:3.5788pt;width:8.8pt;height:8.8pt;mso-position-horizontal-relative:page;mso-position-vertical-relative:paragraph;z-index:-228136" coordorigin="6236,72" coordsize="176,176">
            <v:shape style="position:absolute;left:6236;top:72;width:176;height:176" coordorigin="6236,72" coordsize="176,176" path="m6236,247l6412,247,6412,72,6236,72,6236,247xe" filled="true" fillcolor="#c1b5a9" stroked="false">
              <v:path arrowok="t"/>
              <v:fill type="solid"/>
            </v:shape>
            <w10:wrap type="none"/>
          </v:group>
        </w:pict>
      </w:r>
      <w:r>
        <w:rPr>
          <w:rFonts w:ascii="Segoe UI"/>
          <w:b/>
          <w:color w:val="00779B"/>
          <w:spacing w:val="-1"/>
          <w:sz w:val="24"/>
        </w:rPr>
        <w:t>Recommendation</w:t>
      </w:r>
      <w:r>
        <w:rPr>
          <w:rFonts w:ascii="Segoe UI"/>
          <w:b/>
          <w:color w:val="00779B"/>
          <w:spacing w:val="-7"/>
          <w:sz w:val="24"/>
        </w:rPr>
        <w:t> </w:t>
      </w:r>
      <w:r>
        <w:rPr>
          <w:rFonts w:ascii="Segoe UI"/>
          <w:b/>
          <w:color w:val="00779B"/>
          <w:spacing w:val="-1"/>
          <w:sz w:val="24"/>
        </w:rPr>
        <w:t>11:</w:t>
      </w:r>
      <w:r>
        <w:rPr>
          <w:rFonts w:ascii="Segoe UI"/>
          <w:b/>
          <w:color w:val="00779B"/>
          <w:spacing w:val="-6"/>
          <w:sz w:val="24"/>
        </w:rPr>
        <w:t> </w:t>
      </w:r>
      <w:r>
        <w:rPr>
          <w:rFonts w:ascii="Segoe UI"/>
          <w:color w:val="00779B"/>
          <w:spacing w:val="-1"/>
          <w:sz w:val="24"/>
        </w:rPr>
        <w:t>Boarding</w:t>
      </w:r>
      <w:r>
        <w:rPr>
          <w:rFonts w:ascii="Segoe UI"/>
          <w:color w:val="00779B"/>
          <w:spacing w:val="28"/>
          <w:w w:val="99"/>
          <w:sz w:val="24"/>
        </w:rPr>
        <w:t> </w:t>
      </w:r>
      <w:r>
        <w:rPr>
          <w:rFonts w:ascii="Segoe UI"/>
          <w:color w:val="00779B"/>
          <w:spacing w:val="-1"/>
          <w:sz w:val="24"/>
        </w:rPr>
        <w:t>standards</w:t>
      </w:r>
      <w:r>
        <w:rPr>
          <w:rFonts w:ascii="Segoe UI"/>
          <w:sz w:val="24"/>
        </w:rPr>
      </w:r>
    </w:p>
    <w:p>
      <w:pPr>
        <w:pStyle w:val="BodyText"/>
        <w:spacing w:line="250" w:lineRule="exact" w:before="75"/>
        <w:ind w:left="100" w:right="247"/>
        <w:jc w:val="left"/>
      </w:pPr>
      <w:r>
        <w:rPr>
          <w:color w:val="231F20"/>
        </w:rPr>
        <w:t>Undertake</w:t>
      </w:r>
      <w:r>
        <w:rPr>
          <w:color w:val="231F20"/>
          <w:spacing w:val="-7"/>
        </w:rPr>
        <w:t> </w:t>
      </w:r>
      <w:r>
        <w:rPr>
          <w:color w:val="231F20"/>
        </w:rPr>
        <w:t>consultations</w:t>
      </w:r>
      <w:r>
        <w:rPr>
          <w:color w:val="231F20"/>
          <w:spacing w:val="-8"/>
        </w:rPr>
        <w:t> </w:t>
      </w:r>
      <w:r>
        <w:rPr>
          <w:color w:val="231F20"/>
        </w:rPr>
        <w:t>to</w:t>
      </w:r>
      <w:r>
        <w:rPr>
          <w:color w:val="231F20"/>
          <w:spacing w:val="-7"/>
        </w:rPr>
        <w:t> </w:t>
      </w:r>
      <w:r>
        <w:rPr>
          <w:color w:val="231F20"/>
        </w:rPr>
        <w:t>determine</w:t>
      </w:r>
      <w:r>
        <w:rPr>
          <w:color w:val="231F20"/>
          <w:spacing w:val="-8"/>
        </w:rPr>
        <w:t> </w:t>
      </w:r>
      <w:r>
        <w:rPr>
          <w:color w:val="231F20"/>
        </w:rPr>
        <w:t>whether</w:t>
      </w:r>
      <w:r>
        <w:rPr>
          <w:color w:val="231F20"/>
          <w:w w:val="99"/>
        </w:rPr>
        <w:t> </w:t>
      </w:r>
      <w:r>
        <w:rPr>
          <w:color w:val="231F20"/>
        </w:rPr>
        <w:t>the</w:t>
      </w:r>
      <w:r>
        <w:rPr>
          <w:color w:val="231F20"/>
          <w:spacing w:val="-5"/>
        </w:rPr>
        <w:t> </w:t>
      </w:r>
      <w:r>
        <w:rPr>
          <w:rFonts w:ascii="Segoe UI"/>
          <w:i/>
          <w:color w:val="231F20"/>
          <w:spacing w:val="-1"/>
        </w:rPr>
        <w:t>Boarding</w:t>
      </w:r>
      <w:r>
        <w:rPr>
          <w:rFonts w:ascii="Segoe UI"/>
          <w:i/>
          <w:color w:val="231F20"/>
          <w:spacing w:val="-4"/>
        </w:rPr>
        <w:t> </w:t>
      </w:r>
      <w:r>
        <w:rPr>
          <w:rFonts w:ascii="Segoe UI"/>
          <w:i/>
          <w:color w:val="231F20"/>
          <w:spacing w:val="-1"/>
        </w:rPr>
        <w:t>Standard</w:t>
      </w:r>
      <w:r>
        <w:rPr>
          <w:rFonts w:ascii="Segoe UI"/>
          <w:i/>
          <w:color w:val="231F20"/>
          <w:spacing w:val="-4"/>
        </w:rPr>
        <w:t> </w:t>
      </w:r>
      <w:r>
        <w:rPr>
          <w:rFonts w:ascii="Segoe UI"/>
          <w:i/>
          <w:color w:val="231F20"/>
        </w:rPr>
        <w:t>for</w:t>
      </w:r>
      <w:r>
        <w:rPr>
          <w:rFonts w:ascii="Segoe UI"/>
          <w:i/>
          <w:color w:val="231F20"/>
          <w:spacing w:val="-5"/>
        </w:rPr>
        <w:t> </w:t>
      </w:r>
      <w:r>
        <w:rPr>
          <w:rFonts w:ascii="Segoe UI"/>
          <w:i/>
          <w:color w:val="231F20"/>
          <w:spacing w:val="-1"/>
        </w:rPr>
        <w:t>Australian</w:t>
      </w:r>
      <w:r>
        <w:rPr>
          <w:rFonts w:ascii="Segoe UI"/>
          <w:i/>
          <w:color w:val="231F20"/>
          <w:spacing w:val="-3"/>
        </w:rPr>
        <w:t> </w:t>
      </w:r>
      <w:r>
        <w:rPr>
          <w:rFonts w:ascii="Segoe UI"/>
          <w:i/>
          <w:color w:val="231F20"/>
          <w:spacing w:val="-1"/>
        </w:rPr>
        <w:t>Schools</w:t>
      </w:r>
      <w:r>
        <w:rPr>
          <w:rFonts w:ascii="Segoe UI"/>
          <w:i/>
          <w:color w:val="231F20"/>
          <w:spacing w:val="40"/>
        </w:rPr>
        <w:t> </w:t>
      </w:r>
      <w:r>
        <w:rPr>
          <w:rFonts w:ascii="Segoe UI"/>
          <w:i/>
          <w:color w:val="231F20"/>
        </w:rPr>
        <w:t>and</w:t>
      </w:r>
      <w:r>
        <w:rPr>
          <w:rFonts w:ascii="Segoe UI"/>
          <w:i/>
          <w:color w:val="231F20"/>
          <w:spacing w:val="-3"/>
        </w:rPr>
        <w:t> </w:t>
      </w:r>
      <w:r>
        <w:rPr>
          <w:rFonts w:ascii="Segoe UI"/>
          <w:i/>
          <w:color w:val="231F20"/>
          <w:spacing w:val="-1"/>
        </w:rPr>
        <w:t>Residences</w:t>
      </w:r>
      <w:r>
        <w:rPr>
          <w:rFonts w:ascii="Segoe UI"/>
          <w:i/>
          <w:color w:val="231F20"/>
          <w:spacing w:val="-4"/>
        </w:rPr>
        <w:t> </w:t>
      </w:r>
      <w:r>
        <w:rPr>
          <w:color w:val="231F20"/>
        </w:rPr>
        <w:t>(AS</w:t>
      </w:r>
      <w:r>
        <w:rPr>
          <w:color w:val="231F20"/>
          <w:spacing w:val="-4"/>
        </w:rPr>
        <w:t> </w:t>
      </w:r>
      <w:r>
        <w:rPr>
          <w:color w:val="231F20"/>
          <w:spacing w:val="-1"/>
        </w:rPr>
        <w:t>5725:2015)</w:t>
      </w:r>
      <w:r>
        <w:rPr>
          <w:color w:val="231F20"/>
          <w:spacing w:val="-2"/>
        </w:rPr>
        <w:t> </w:t>
      </w:r>
      <w:r>
        <w:rPr>
          <w:color w:val="231F20"/>
          <w:spacing w:val="-1"/>
        </w:rPr>
        <w:t>should</w:t>
      </w:r>
      <w:r>
        <w:rPr>
          <w:color w:val="231F20"/>
          <w:spacing w:val="-3"/>
        </w:rPr>
        <w:t> </w:t>
      </w:r>
      <w:r>
        <w:rPr>
          <w:color w:val="231F20"/>
        </w:rPr>
        <w:t>be</w:t>
      </w:r>
      <w:r>
        <w:rPr>
          <w:color w:val="231F20"/>
          <w:spacing w:val="25"/>
          <w:w w:val="99"/>
        </w:rPr>
        <w:t> </w:t>
      </w:r>
      <w:r>
        <w:rPr>
          <w:color w:val="231F20"/>
          <w:spacing w:val="-1"/>
        </w:rPr>
        <w:t>mandated</w:t>
      </w:r>
      <w:r>
        <w:rPr>
          <w:color w:val="231F20"/>
          <w:spacing w:val="-9"/>
        </w:rPr>
        <w:t> </w:t>
      </w:r>
      <w:r>
        <w:rPr>
          <w:color w:val="231F20"/>
        </w:rPr>
        <w:t>for</w:t>
      </w:r>
      <w:r>
        <w:rPr>
          <w:color w:val="231F20"/>
          <w:spacing w:val="-9"/>
        </w:rPr>
        <w:t> </w:t>
      </w:r>
      <w:r>
        <w:rPr>
          <w:color w:val="231F20"/>
        </w:rPr>
        <w:t>boarding</w:t>
      </w:r>
      <w:r>
        <w:rPr>
          <w:color w:val="231F20"/>
          <w:spacing w:val="-9"/>
        </w:rPr>
        <w:t> </w:t>
      </w:r>
      <w:r>
        <w:rPr>
          <w:color w:val="231F20"/>
        </w:rPr>
        <w:t>providers</w:t>
      </w:r>
      <w:r>
        <w:rPr>
          <w:color w:val="231F20"/>
          <w:spacing w:val="-10"/>
        </w:rPr>
        <w:t> </w:t>
      </w:r>
      <w:r>
        <w:rPr>
          <w:color w:val="231F20"/>
        </w:rPr>
        <w:t>receiving</w:t>
      </w:r>
      <w:r>
        <w:rPr>
          <w:color w:val="231F20"/>
          <w:spacing w:val="22"/>
          <w:w w:val="99"/>
        </w:rPr>
        <w:t> </w:t>
      </w:r>
      <w:r>
        <w:rPr>
          <w:color w:val="231F20"/>
        </w:rPr>
        <w:t>funding</w:t>
      </w:r>
      <w:r>
        <w:rPr>
          <w:color w:val="231F20"/>
          <w:spacing w:val="-6"/>
        </w:rPr>
        <w:t> </w:t>
      </w:r>
      <w:r>
        <w:rPr>
          <w:color w:val="231F20"/>
        </w:rPr>
        <w:t>or</w:t>
      </w:r>
      <w:r>
        <w:rPr>
          <w:color w:val="231F20"/>
          <w:spacing w:val="-6"/>
        </w:rPr>
        <w:t> </w:t>
      </w:r>
      <w:r>
        <w:rPr>
          <w:color w:val="231F20"/>
        </w:rPr>
        <w:t>ABSTUDY</w:t>
      </w:r>
      <w:r>
        <w:rPr>
          <w:color w:val="231F20"/>
          <w:spacing w:val="-7"/>
        </w:rPr>
        <w:t> </w:t>
      </w:r>
      <w:r>
        <w:rPr>
          <w:color w:val="231F20"/>
        </w:rPr>
        <w:t>payments</w:t>
      </w:r>
      <w:r>
        <w:rPr>
          <w:color w:val="231F20"/>
          <w:spacing w:val="-7"/>
        </w:rPr>
        <w:t> </w:t>
      </w:r>
      <w:r>
        <w:rPr>
          <w:color w:val="231F20"/>
        </w:rPr>
        <w:t>for</w:t>
      </w:r>
      <w:r>
        <w:rPr>
          <w:color w:val="231F20"/>
          <w:spacing w:val="-5"/>
        </w:rPr>
        <w:t> </w:t>
      </w:r>
      <w:r>
        <w:rPr>
          <w:color w:val="231F20"/>
        </w:rPr>
        <w:t>Aboriginal</w:t>
      </w:r>
      <w:r>
        <w:rPr>
          <w:color w:val="231F20"/>
          <w:w w:val="99"/>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spacing w:val="-1"/>
        </w:rPr>
        <w:t>students,</w:t>
      </w:r>
      <w:r>
        <w:rPr>
          <w:color w:val="231F20"/>
          <w:spacing w:val="-5"/>
        </w:rPr>
        <w:t> </w:t>
      </w:r>
      <w:r>
        <w:rPr>
          <w:color w:val="231F20"/>
          <w:spacing w:val="-1"/>
        </w:rPr>
        <w:t>including</w:t>
      </w:r>
      <w:r>
        <w:rPr>
          <w:color w:val="231F20"/>
          <w:spacing w:val="22"/>
          <w:w w:val="99"/>
        </w:rPr>
        <w:t> </w:t>
      </w:r>
      <w:r>
        <w:rPr>
          <w:color w:val="231F20"/>
        </w:rPr>
        <w:t>how</w:t>
      </w:r>
      <w:r>
        <w:rPr>
          <w:color w:val="231F20"/>
          <w:spacing w:val="-4"/>
        </w:rPr>
        <w:t> </w:t>
      </w:r>
      <w:r>
        <w:rPr>
          <w:color w:val="231F20"/>
        </w:rPr>
        <w:t>the</w:t>
      </w:r>
      <w:r>
        <w:rPr>
          <w:color w:val="231F20"/>
          <w:spacing w:val="-5"/>
        </w:rPr>
        <w:t> </w:t>
      </w:r>
      <w:r>
        <w:rPr>
          <w:color w:val="231F20"/>
          <w:spacing w:val="-1"/>
        </w:rPr>
        <w:t>standard</w:t>
      </w:r>
      <w:r>
        <w:rPr>
          <w:color w:val="231F20"/>
          <w:spacing w:val="-3"/>
        </w:rPr>
        <w:t> </w:t>
      </w:r>
      <w:r>
        <w:rPr>
          <w:color w:val="231F20"/>
          <w:spacing w:val="-1"/>
        </w:rPr>
        <w:t>should</w:t>
      </w:r>
      <w:r>
        <w:rPr>
          <w:color w:val="231F20"/>
          <w:spacing w:val="-4"/>
        </w:rPr>
        <w:t> </w:t>
      </w:r>
      <w:r>
        <w:rPr>
          <w:color w:val="231F20"/>
        </w:rPr>
        <w:t>be</w:t>
      </w:r>
      <w:r>
        <w:rPr>
          <w:color w:val="231F20"/>
          <w:spacing w:val="-3"/>
        </w:rPr>
        <w:t> </w:t>
      </w:r>
      <w:r>
        <w:rPr>
          <w:color w:val="231F20"/>
        </w:rPr>
        <w:t>phased</w:t>
      </w:r>
      <w:r>
        <w:rPr>
          <w:color w:val="231F20"/>
          <w:spacing w:val="-5"/>
        </w:rPr>
        <w:t> </w:t>
      </w:r>
      <w:r>
        <w:rPr>
          <w:color w:val="231F20"/>
          <w:spacing w:val="-1"/>
        </w:rPr>
        <w:t>in</w:t>
      </w:r>
      <w:r>
        <w:rPr>
          <w:color w:val="231F20"/>
          <w:spacing w:val="-4"/>
        </w:rPr>
        <w:t> </w:t>
      </w:r>
      <w:r>
        <w:rPr>
          <w:color w:val="231F20"/>
        </w:rPr>
        <w:t>and</w:t>
      </w:r>
      <w:r>
        <w:rPr>
          <w:color w:val="231F20"/>
          <w:spacing w:val="24"/>
          <w:w w:val="99"/>
        </w:rPr>
        <w:t> </w:t>
      </w:r>
      <w:r>
        <w:rPr>
          <w:color w:val="231F20"/>
        </w:rPr>
        <w:t>whether</w:t>
      </w:r>
      <w:r>
        <w:rPr>
          <w:color w:val="231F20"/>
          <w:spacing w:val="-7"/>
        </w:rPr>
        <w:t> </w:t>
      </w:r>
      <w:r>
        <w:rPr>
          <w:color w:val="231F20"/>
        </w:rPr>
        <w:t>funding</w:t>
      </w:r>
      <w:r>
        <w:rPr>
          <w:color w:val="231F20"/>
          <w:spacing w:val="-5"/>
        </w:rPr>
        <w:t> </w:t>
      </w:r>
      <w:r>
        <w:rPr>
          <w:color w:val="231F20"/>
          <w:spacing w:val="-1"/>
        </w:rPr>
        <w:t>should</w:t>
      </w:r>
      <w:r>
        <w:rPr>
          <w:color w:val="231F20"/>
          <w:spacing w:val="-5"/>
        </w:rPr>
        <w:t> </w:t>
      </w:r>
      <w:r>
        <w:rPr>
          <w:color w:val="231F20"/>
        </w:rPr>
        <w:t>be</w:t>
      </w:r>
      <w:r>
        <w:rPr>
          <w:color w:val="231F20"/>
          <w:spacing w:val="-5"/>
        </w:rPr>
        <w:t> </w:t>
      </w:r>
      <w:r>
        <w:rPr>
          <w:color w:val="231F20"/>
          <w:spacing w:val="-1"/>
        </w:rPr>
        <w:t>made</w:t>
      </w:r>
      <w:r>
        <w:rPr>
          <w:color w:val="231F20"/>
          <w:spacing w:val="-5"/>
        </w:rPr>
        <w:t> </w:t>
      </w:r>
      <w:r>
        <w:rPr>
          <w:color w:val="231F20"/>
        </w:rPr>
        <w:t>available</w:t>
      </w:r>
      <w:r>
        <w:rPr>
          <w:color w:val="231F20"/>
          <w:spacing w:val="-6"/>
        </w:rPr>
        <w:t> </w:t>
      </w:r>
      <w:r>
        <w:rPr>
          <w:color w:val="231F20"/>
        </w:rPr>
        <w:t>to</w:t>
      </w:r>
      <w:r>
        <w:rPr>
          <w:color w:val="231F20"/>
          <w:spacing w:val="23"/>
          <w:w w:val="99"/>
        </w:rPr>
        <w:t> </w:t>
      </w:r>
      <w:r>
        <w:rPr>
          <w:color w:val="231F20"/>
          <w:spacing w:val="-1"/>
        </w:rPr>
        <w:t>meet</w:t>
      </w:r>
      <w:r>
        <w:rPr>
          <w:color w:val="231F20"/>
          <w:spacing w:val="-3"/>
        </w:rPr>
        <w:t> </w:t>
      </w:r>
      <w:r>
        <w:rPr>
          <w:color w:val="231F20"/>
        </w:rPr>
        <w:t>the</w:t>
      </w:r>
      <w:r>
        <w:rPr>
          <w:color w:val="231F20"/>
          <w:spacing w:val="-4"/>
        </w:rPr>
        <w:t> </w:t>
      </w:r>
      <w:r>
        <w:rPr>
          <w:color w:val="231F20"/>
        </w:rPr>
        <w:t>cost</w:t>
      </w:r>
      <w:r>
        <w:rPr>
          <w:color w:val="231F20"/>
          <w:spacing w:val="-3"/>
        </w:rPr>
        <w:t> </w:t>
      </w:r>
      <w:r>
        <w:rPr>
          <w:color w:val="231F20"/>
        </w:rPr>
        <w:t>of</w:t>
      </w:r>
      <w:r>
        <w:rPr>
          <w:color w:val="231F20"/>
          <w:spacing w:val="-3"/>
        </w:rPr>
        <w:t> </w:t>
      </w:r>
      <w:r>
        <w:rPr>
          <w:color w:val="231F20"/>
        </w:rPr>
        <w:t>compliance</w:t>
      </w:r>
      <w:r>
        <w:rPr>
          <w:color w:val="231F20"/>
          <w:spacing w:val="-4"/>
        </w:rPr>
        <w:t> </w:t>
      </w:r>
      <w:r>
        <w:rPr>
          <w:color w:val="231F20"/>
        </w:rPr>
        <w:t>with</w:t>
      </w:r>
      <w:r>
        <w:rPr>
          <w:color w:val="231F20"/>
          <w:spacing w:val="-3"/>
        </w:rPr>
        <w:t> </w:t>
      </w:r>
      <w:r>
        <w:rPr>
          <w:color w:val="231F20"/>
        </w:rPr>
        <w:t>voluntary</w:t>
      </w:r>
      <w:r>
        <w:rPr>
          <w:color w:val="231F20"/>
          <w:spacing w:val="-3"/>
        </w:rPr>
        <w:t> </w:t>
      </w:r>
      <w:r>
        <w:rPr>
          <w:color w:val="231F20"/>
        </w:rPr>
        <w:t>or</w:t>
      </w:r>
      <w:r>
        <w:rPr>
          <w:color w:val="231F20"/>
          <w:spacing w:val="21"/>
          <w:w w:val="99"/>
        </w:rPr>
        <w:t> </w:t>
      </w:r>
      <w:r>
        <w:rPr>
          <w:color w:val="231F20"/>
          <w:spacing w:val="-1"/>
        </w:rPr>
        <w:t>mandatory</w:t>
      </w:r>
      <w:r>
        <w:rPr>
          <w:color w:val="231F20"/>
          <w:spacing w:val="-18"/>
        </w:rPr>
        <w:t> </w:t>
      </w:r>
      <w:r>
        <w:rPr>
          <w:color w:val="231F20"/>
          <w:spacing w:val="-1"/>
        </w:rPr>
        <w:t>standards.</w:t>
      </w:r>
      <w:r>
        <w:rPr/>
      </w:r>
    </w:p>
    <w:p>
      <w:pPr>
        <w:spacing w:line="240" w:lineRule="auto" w:before="3"/>
        <w:rPr>
          <w:rFonts w:ascii="Segoe UI" w:hAnsi="Segoe UI" w:cs="Segoe UI" w:eastAsia="Segoe UI"/>
          <w:sz w:val="14"/>
          <w:szCs w:val="14"/>
        </w:rPr>
      </w:pPr>
    </w:p>
    <w:p>
      <w:pPr>
        <w:spacing w:line="310" w:lineRule="exact" w:before="0"/>
        <w:ind w:left="365" w:right="0" w:firstLine="0"/>
        <w:jc w:val="left"/>
        <w:rPr>
          <w:rFonts w:ascii="Segoe UI" w:hAnsi="Segoe UI" w:cs="Segoe UI" w:eastAsia="Segoe UI"/>
          <w:sz w:val="24"/>
          <w:szCs w:val="24"/>
        </w:rPr>
      </w:pPr>
      <w:r>
        <w:rPr/>
        <w:pict>
          <v:group style="position:absolute;margin-left:311.811005pt;margin-top:4.582817pt;width:8.8pt;height:8.8pt;mso-position-horizontal-relative:page;mso-position-vertical-relative:paragraph;z-index:2032" coordorigin="6236,92" coordsize="176,176">
            <v:shape style="position:absolute;left:6236;top:92;width:176;height:176" coordorigin="6236,92" coordsize="176,176" path="m6236,267l6412,267,6412,92,6236,92,6236,267xe" filled="true" fillcolor="#c1b5a9" stroked="false">
              <v:path arrowok="t"/>
              <v:fill type="solid"/>
            </v:shape>
            <w10:wrap type="none"/>
          </v:group>
        </w:pict>
      </w:r>
      <w:r>
        <w:rPr>
          <w:rFonts w:ascii="Segoe UI"/>
          <w:b/>
          <w:color w:val="00779B"/>
          <w:spacing w:val="-1"/>
          <w:sz w:val="24"/>
        </w:rPr>
        <w:t>Recommendation</w:t>
      </w:r>
      <w:r>
        <w:rPr>
          <w:rFonts w:ascii="Segoe UI"/>
          <w:b/>
          <w:color w:val="00779B"/>
          <w:spacing w:val="-3"/>
          <w:sz w:val="24"/>
        </w:rPr>
        <w:t> </w:t>
      </w:r>
      <w:r>
        <w:rPr>
          <w:rFonts w:ascii="Segoe UI"/>
          <w:b/>
          <w:color w:val="00779B"/>
          <w:spacing w:val="-1"/>
          <w:sz w:val="24"/>
        </w:rPr>
        <w:t>12:</w:t>
      </w:r>
      <w:r>
        <w:rPr>
          <w:rFonts w:ascii="Segoe UI"/>
          <w:sz w:val="24"/>
        </w:rPr>
      </w:r>
    </w:p>
    <w:p>
      <w:pPr>
        <w:pStyle w:val="Heading4"/>
        <w:spacing w:line="310" w:lineRule="exact"/>
        <w:ind w:right="0"/>
        <w:jc w:val="left"/>
      </w:pPr>
      <w:r>
        <w:rPr>
          <w:color w:val="00779B"/>
          <w:spacing w:val="-1"/>
        </w:rPr>
        <w:t>Communication</w:t>
      </w:r>
      <w:r>
        <w:rPr/>
      </w:r>
    </w:p>
    <w:p>
      <w:pPr>
        <w:pStyle w:val="BodyText"/>
        <w:spacing w:line="250" w:lineRule="exact" w:before="75"/>
        <w:ind w:left="100" w:right="777"/>
        <w:jc w:val="left"/>
      </w:pPr>
      <w:r>
        <w:rPr>
          <w:color w:val="231F20"/>
          <w:spacing w:val="-2"/>
        </w:rPr>
        <w:t>State,</w:t>
      </w:r>
      <w:r>
        <w:rPr>
          <w:color w:val="231F20"/>
          <w:spacing w:val="-11"/>
        </w:rPr>
        <w:t> </w:t>
      </w:r>
      <w:r>
        <w:rPr>
          <w:color w:val="231F20"/>
        </w:rPr>
        <w:t>territory</w:t>
      </w:r>
      <w:r>
        <w:rPr>
          <w:color w:val="231F20"/>
          <w:spacing w:val="-10"/>
        </w:rPr>
        <w:t> </w:t>
      </w:r>
      <w:r>
        <w:rPr>
          <w:color w:val="231F20"/>
        </w:rPr>
        <w:t>and</w:t>
      </w:r>
      <w:r>
        <w:rPr>
          <w:color w:val="231F20"/>
          <w:spacing w:val="-11"/>
        </w:rPr>
        <w:t> </w:t>
      </w:r>
      <w:r>
        <w:rPr>
          <w:color w:val="231F20"/>
          <w:spacing w:val="-1"/>
        </w:rPr>
        <w:t>Commonwealth</w:t>
      </w:r>
      <w:r>
        <w:rPr>
          <w:color w:val="231F20"/>
          <w:spacing w:val="25"/>
          <w:w w:val="99"/>
        </w:rPr>
        <w:t> </w:t>
      </w:r>
      <w:r>
        <w:rPr>
          <w:color w:val="231F20"/>
        </w:rPr>
        <w:t>governments</w:t>
      </w:r>
      <w:r>
        <w:rPr>
          <w:color w:val="231F20"/>
          <w:spacing w:val="-7"/>
        </w:rPr>
        <w:t> </w:t>
      </w:r>
      <w:r>
        <w:rPr>
          <w:color w:val="231F20"/>
        </w:rPr>
        <w:t>to</w:t>
      </w:r>
      <w:r>
        <w:rPr>
          <w:color w:val="231F20"/>
          <w:spacing w:val="-5"/>
        </w:rPr>
        <w:t> </w:t>
      </w:r>
      <w:r>
        <w:rPr>
          <w:color w:val="231F20"/>
        </w:rPr>
        <w:t>work</w:t>
      </w:r>
      <w:r>
        <w:rPr>
          <w:color w:val="231F20"/>
          <w:spacing w:val="-6"/>
        </w:rPr>
        <w:t> </w:t>
      </w:r>
      <w:r>
        <w:rPr>
          <w:color w:val="231F20"/>
        </w:rPr>
        <w:t>with</w:t>
      </w:r>
      <w:r>
        <w:rPr>
          <w:color w:val="231F20"/>
          <w:spacing w:val="-6"/>
        </w:rPr>
        <w:t> </w:t>
      </w:r>
      <w:r>
        <w:rPr>
          <w:color w:val="231F20"/>
        </w:rPr>
        <w:t>peak</w:t>
      </w:r>
      <w:r>
        <w:rPr>
          <w:color w:val="231F20"/>
          <w:spacing w:val="-6"/>
        </w:rPr>
        <w:t> </w:t>
      </w:r>
      <w:r>
        <w:rPr>
          <w:color w:val="231F20"/>
        </w:rPr>
        <w:t>bodies</w:t>
      </w:r>
      <w:r>
        <w:rPr>
          <w:color w:val="231F20"/>
        </w:rPr>
        <w:t> to</w:t>
      </w:r>
      <w:r>
        <w:rPr>
          <w:color w:val="231F20"/>
          <w:spacing w:val="-7"/>
        </w:rPr>
        <w:t> </w:t>
      </w:r>
      <w:r>
        <w:rPr>
          <w:color w:val="231F20"/>
          <w:spacing w:val="-1"/>
        </w:rPr>
        <w:t>strengthen</w:t>
      </w:r>
      <w:r>
        <w:rPr>
          <w:color w:val="231F20"/>
          <w:spacing w:val="-5"/>
        </w:rPr>
        <w:t> </w:t>
      </w:r>
      <w:r>
        <w:rPr>
          <w:color w:val="231F20"/>
        </w:rPr>
        <w:t>communication</w:t>
      </w:r>
      <w:r>
        <w:rPr>
          <w:color w:val="231F20"/>
          <w:spacing w:val="-7"/>
        </w:rPr>
        <w:t> </w:t>
      </w:r>
      <w:r>
        <w:rPr>
          <w:color w:val="231F20"/>
        </w:rPr>
        <w:t>between</w:t>
      </w:r>
      <w:r>
        <w:rPr>
          <w:color w:val="231F20"/>
          <w:spacing w:val="22"/>
          <w:w w:val="99"/>
        </w:rPr>
        <w:t> </w:t>
      </w:r>
      <w:r>
        <w:rPr>
          <w:color w:val="231F20"/>
        </w:rPr>
        <w:t>government</w:t>
      </w:r>
      <w:r>
        <w:rPr>
          <w:color w:val="231F20"/>
          <w:spacing w:val="-10"/>
        </w:rPr>
        <w:t> </w:t>
      </w:r>
      <w:r>
        <w:rPr>
          <w:color w:val="231F20"/>
        </w:rPr>
        <w:t>and</w:t>
      </w:r>
      <w:r>
        <w:rPr>
          <w:color w:val="231F20"/>
          <w:spacing w:val="-9"/>
        </w:rPr>
        <w:t> </w:t>
      </w:r>
      <w:r>
        <w:rPr>
          <w:color w:val="231F20"/>
        </w:rPr>
        <w:t>boarding</w:t>
      </w:r>
      <w:r>
        <w:rPr>
          <w:color w:val="231F20"/>
          <w:spacing w:val="-10"/>
        </w:rPr>
        <w:t> </w:t>
      </w:r>
      <w:r>
        <w:rPr>
          <w:color w:val="231F20"/>
        </w:rPr>
        <w:t>providers</w:t>
      </w:r>
      <w:r>
        <w:rPr>
          <w:color w:val="231F20"/>
          <w:spacing w:val="-9"/>
        </w:rPr>
        <w:t> </w:t>
      </w:r>
      <w:r>
        <w:rPr>
          <w:color w:val="231F20"/>
        </w:rPr>
        <w:t>and</w:t>
      </w:r>
      <w:r>
        <w:rPr>
          <w:color w:val="231F20"/>
          <w:w w:val="99"/>
        </w:rPr>
        <w:t> </w:t>
      </w:r>
      <w:r>
        <w:rPr>
          <w:color w:val="231F20"/>
        </w:rPr>
        <w:t>also</w:t>
      </w:r>
      <w:r>
        <w:rPr>
          <w:color w:val="231F20"/>
          <w:spacing w:val="-10"/>
        </w:rPr>
        <w:t> </w:t>
      </w:r>
      <w:r>
        <w:rPr>
          <w:color w:val="231F20"/>
        </w:rPr>
        <w:t>between</w:t>
      </w:r>
      <w:r>
        <w:rPr>
          <w:color w:val="231F20"/>
          <w:spacing w:val="-9"/>
        </w:rPr>
        <w:t> </w:t>
      </w:r>
      <w:r>
        <w:rPr>
          <w:color w:val="231F20"/>
        </w:rPr>
        <w:t>boarding</w:t>
      </w:r>
      <w:r>
        <w:rPr>
          <w:color w:val="231F20"/>
          <w:spacing w:val="-9"/>
        </w:rPr>
        <w:t> </w:t>
      </w:r>
      <w:r>
        <w:rPr>
          <w:color w:val="231F20"/>
        </w:rPr>
        <w:t>providers.</w:t>
      </w:r>
      <w:r>
        <w:rPr/>
      </w:r>
    </w:p>
    <w:p>
      <w:pPr>
        <w:spacing w:after="0" w:line="250" w:lineRule="exact"/>
        <w:jc w:val="left"/>
        <w:sectPr>
          <w:type w:val="continuous"/>
          <w:pgSz w:w="11910" w:h="16840"/>
          <w:pgMar w:top="1580" w:bottom="280" w:left="1600" w:right="1300"/>
          <w:cols w:num="2" w:equalWidth="0">
            <w:col w:w="4291" w:space="244"/>
            <w:col w:w="4475"/>
          </w:cols>
        </w:sect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5"/>
        <w:rPr>
          <w:rFonts w:ascii="Segoe UI" w:hAnsi="Segoe UI" w:cs="Segoe UI" w:eastAsia="Segoe UI"/>
          <w:sz w:val="10"/>
          <w:szCs w:val="10"/>
        </w:rPr>
      </w:pPr>
    </w:p>
    <w:p>
      <w:pPr>
        <w:spacing w:line="200" w:lineRule="atLeast"/>
        <w:ind w:left="114" w:right="0" w:firstLine="0"/>
        <w:rPr>
          <w:rFonts w:ascii="Segoe UI" w:hAnsi="Segoe UI" w:cs="Segoe UI" w:eastAsia="Segoe UI"/>
          <w:sz w:val="20"/>
          <w:szCs w:val="20"/>
        </w:rPr>
      </w:pPr>
      <w:r>
        <w:rPr>
          <w:rFonts w:ascii="Segoe UI" w:hAnsi="Segoe UI" w:cs="Segoe UI" w:eastAsia="Segoe UI"/>
          <w:sz w:val="20"/>
          <w:szCs w:val="20"/>
        </w:rPr>
        <w:drawing>
          <wp:inline distT="0" distB="0" distL="0" distR="0">
            <wp:extent cx="5590617" cy="1804416"/>
            <wp:effectExtent l="0" t="0" r="0" b="0"/>
            <wp:docPr id="5" name="image8.jpeg" descr=""/>
            <wp:cNvGraphicFramePr>
              <a:graphicFrameLocks noChangeAspect="1"/>
            </wp:cNvGraphicFramePr>
            <a:graphic>
              <a:graphicData uri="http://schemas.openxmlformats.org/drawingml/2006/picture">
                <pic:pic>
                  <pic:nvPicPr>
                    <pic:cNvPr id="6" name="image8.jpeg"/>
                    <pic:cNvPicPr/>
                  </pic:nvPicPr>
                  <pic:blipFill>
                    <a:blip r:embed="rId20" cstate="print"/>
                    <a:stretch>
                      <a:fillRect/>
                    </a:stretch>
                  </pic:blipFill>
                  <pic:spPr>
                    <a:xfrm>
                      <a:off x="0" y="0"/>
                      <a:ext cx="5590617" cy="1804416"/>
                    </a:xfrm>
                    <a:prstGeom prst="rect">
                      <a:avLst/>
                    </a:prstGeom>
                  </pic:spPr>
                </pic:pic>
              </a:graphicData>
            </a:graphic>
          </wp:inline>
        </w:drawing>
      </w:r>
      <w:r>
        <w:rPr>
          <w:rFonts w:ascii="Segoe UI" w:hAnsi="Segoe UI" w:cs="Segoe UI" w:eastAsia="Segoe UI"/>
          <w:sz w:val="20"/>
          <w:szCs w:val="20"/>
        </w:rPr>
      </w:r>
    </w:p>
    <w:p>
      <w:pPr>
        <w:spacing w:line="240" w:lineRule="auto" w:before="0"/>
        <w:rPr>
          <w:rFonts w:ascii="Segoe UI" w:hAnsi="Segoe UI" w:cs="Segoe UI" w:eastAsia="Segoe UI"/>
          <w:sz w:val="20"/>
          <w:szCs w:val="20"/>
        </w:rPr>
      </w:pPr>
    </w:p>
    <w:p>
      <w:pPr>
        <w:spacing w:line="240" w:lineRule="auto" w:before="9"/>
        <w:rPr>
          <w:rFonts w:ascii="Segoe UI" w:hAnsi="Segoe UI" w:cs="Segoe UI" w:eastAsia="Segoe UI"/>
          <w:sz w:val="14"/>
          <w:szCs w:val="14"/>
        </w:rPr>
      </w:pPr>
    </w:p>
    <w:p>
      <w:pPr>
        <w:spacing w:after="0" w:line="240" w:lineRule="auto"/>
        <w:rPr>
          <w:rFonts w:ascii="Segoe UI" w:hAnsi="Segoe UI" w:cs="Segoe UI" w:eastAsia="Segoe UI"/>
          <w:sz w:val="14"/>
          <w:szCs w:val="14"/>
        </w:rPr>
        <w:sectPr>
          <w:footerReference w:type="even" r:id="rId18"/>
          <w:footerReference w:type="default" r:id="rId19"/>
          <w:pgSz w:w="11910" w:h="16840"/>
          <w:pgMar w:footer="691" w:header="0" w:top="1580" w:bottom="880" w:left="1160" w:right="1600"/>
        </w:sectPr>
      </w:pPr>
    </w:p>
    <w:p>
      <w:pPr>
        <w:spacing w:before="14"/>
        <w:ind w:left="257" w:right="0" w:firstLine="0"/>
        <w:jc w:val="left"/>
        <w:rPr>
          <w:rFonts w:ascii="Segoe UI" w:hAnsi="Segoe UI" w:cs="Segoe UI" w:eastAsia="Segoe UI"/>
          <w:sz w:val="32"/>
          <w:szCs w:val="32"/>
        </w:rPr>
      </w:pPr>
      <w:r>
        <w:rPr>
          <w:rFonts w:ascii="Segoe UI"/>
          <w:b/>
          <w:color w:val="452A70"/>
          <w:sz w:val="32"/>
        </w:rPr>
        <w:t>Conclusion</w:t>
      </w:r>
      <w:r>
        <w:rPr>
          <w:rFonts w:ascii="Segoe UI"/>
          <w:sz w:val="32"/>
        </w:rPr>
      </w:r>
    </w:p>
    <w:p>
      <w:pPr>
        <w:pStyle w:val="BodyText"/>
        <w:spacing w:line="250" w:lineRule="exact" w:before="111"/>
        <w:ind w:left="257" w:right="23"/>
        <w:jc w:val="left"/>
      </w:pPr>
      <w:r>
        <w:rPr>
          <w:rFonts w:ascii="Segoe UI"/>
          <w:color w:val="231F20"/>
        </w:rPr>
        <w:t>This report </w:t>
      </w:r>
      <w:r>
        <w:rPr>
          <w:rFonts w:ascii="Segoe UI"/>
          <w:color w:val="231F20"/>
          <w:spacing w:val="-1"/>
        </w:rPr>
        <w:t>confirmed</w:t>
      </w:r>
      <w:r>
        <w:rPr>
          <w:rFonts w:ascii="Segoe UI"/>
          <w:color w:val="231F20"/>
        </w:rPr>
        <w:t> the</w:t>
      </w:r>
      <w:r>
        <w:rPr>
          <w:rFonts w:ascii="Segoe UI"/>
          <w:color w:val="231F20"/>
          <w:spacing w:val="-1"/>
        </w:rPr>
        <w:t> </w:t>
      </w:r>
      <w:r>
        <w:rPr>
          <w:rFonts w:ascii="Segoe UI"/>
          <w:color w:val="231F20"/>
        </w:rPr>
        <w:t>findings of previous</w:t>
      </w:r>
      <w:r>
        <w:rPr>
          <w:rFonts w:ascii="Segoe UI"/>
          <w:color w:val="231F20"/>
          <w:spacing w:val="28"/>
        </w:rPr>
        <w:t> </w:t>
      </w:r>
      <w:r>
        <w:rPr>
          <w:color w:val="231F20"/>
        </w:rPr>
        <w:t>reviews</w:t>
      </w:r>
      <w:r>
        <w:rPr>
          <w:color w:val="231F20"/>
          <w:spacing w:val="-6"/>
        </w:rPr>
        <w:t> </w:t>
      </w:r>
      <w:r>
        <w:rPr>
          <w:color w:val="231F20"/>
        </w:rPr>
        <w:t>and</w:t>
      </w:r>
      <w:r>
        <w:rPr>
          <w:color w:val="231F20"/>
          <w:spacing w:val="-6"/>
        </w:rPr>
        <w:t> </w:t>
      </w:r>
      <w:r>
        <w:rPr>
          <w:color w:val="231F20"/>
        </w:rPr>
        <w:t>reports</w:t>
      </w:r>
      <w:r>
        <w:rPr>
          <w:color w:val="231F20"/>
          <w:spacing w:val="-5"/>
        </w:rPr>
        <w:t> </w:t>
      </w:r>
      <w:r>
        <w:rPr>
          <w:color w:val="231F20"/>
        </w:rPr>
        <w:t>that</w:t>
      </w:r>
      <w:r>
        <w:rPr>
          <w:color w:val="231F20"/>
          <w:spacing w:val="-6"/>
        </w:rPr>
        <w:t> </w:t>
      </w:r>
      <w:r>
        <w:rPr>
          <w:color w:val="231F20"/>
        </w:rPr>
        <w:t>the</w:t>
      </w:r>
      <w:r>
        <w:rPr>
          <w:color w:val="231F20"/>
          <w:spacing w:val="-6"/>
        </w:rPr>
        <w:t> </w:t>
      </w:r>
      <w:r>
        <w:rPr>
          <w:color w:val="231F20"/>
        </w:rPr>
        <w:t>cost</w:t>
      </w:r>
      <w:r>
        <w:rPr>
          <w:color w:val="231F20"/>
          <w:spacing w:val="-5"/>
        </w:rPr>
        <w:t> </w:t>
      </w:r>
      <w:r>
        <w:rPr>
          <w:color w:val="231F20"/>
        </w:rPr>
        <w:t>of</w:t>
      </w:r>
      <w:r>
        <w:rPr>
          <w:color w:val="231F20"/>
          <w:spacing w:val="-5"/>
        </w:rPr>
        <w:t> </w:t>
      </w:r>
      <w:r>
        <w:rPr>
          <w:color w:val="231F20"/>
        </w:rPr>
        <w:t>boarding</w:t>
      </w:r>
      <w:r>
        <w:rPr>
          <w:color w:val="231F20"/>
          <w:w w:val="99"/>
        </w:rPr>
        <w:t> </w:t>
      </w:r>
      <w:r>
        <w:rPr>
          <w:color w:val="231F20"/>
        </w:rPr>
        <w:t>for</w:t>
      </w:r>
      <w:r>
        <w:rPr>
          <w:color w:val="231F20"/>
          <w:spacing w:val="-4"/>
        </w:rPr>
        <w:t> </w:t>
      </w:r>
      <w:r>
        <w:rPr>
          <w:color w:val="231F20"/>
        </w:rPr>
        <w:t>Aboriginal</w:t>
      </w:r>
      <w:r>
        <w:rPr>
          <w:color w:val="231F20"/>
          <w:spacing w:val="-4"/>
        </w:rPr>
        <w:t> </w:t>
      </w:r>
      <w:r>
        <w:rPr>
          <w:color w:val="231F20"/>
        </w:rPr>
        <w:t>and</w:t>
      </w:r>
      <w:r>
        <w:rPr>
          <w:color w:val="231F20"/>
          <w:spacing w:val="-4"/>
        </w:rPr>
        <w:t> </w:t>
      </w:r>
      <w:r>
        <w:rPr>
          <w:color w:val="231F20"/>
          <w:spacing w:val="-5"/>
        </w:rPr>
        <w:t>Torres</w:t>
      </w:r>
      <w:r>
        <w:rPr>
          <w:color w:val="231F20"/>
          <w:spacing w:val="-4"/>
        </w:rPr>
        <w:t> </w:t>
      </w:r>
      <w:r>
        <w:rPr>
          <w:color w:val="231F20"/>
          <w:spacing w:val="-2"/>
        </w:rPr>
        <w:t>Strait</w:t>
      </w:r>
      <w:r>
        <w:rPr>
          <w:color w:val="231F20"/>
          <w:spacing w:val="-4"/>
        </w:rPr>
        <w:t> </w:t>
      </w:r>
      <w:r>
        <w:rPr>
          <w:color w:val="231F20"/>
          <w:spacing w:val="-1"/>
        </w:rPr>
        <w:t>Islanders</w:t>
      </w:r>
      <w:r>
        <w:rPr>
          <w:color w:val="231F20"/>
          <w:spacing w:val="29"/>
        </w:rPr>
        <w:t> </w:t>
      </w:r>
      <w:r>
        <w:rPr>
          <w:color w:val="231F20"/>
          <w:spacing w:val="-1"/>
        </w:rPr>
        <w:t>students</w:t>
      </w:r>
      <w:r>
        <w:rPr>
          <w:color w:val="231F20"/>
          <w:spacing w:val="-5"/>
        </w:rPr>
        <w:t> </w:t>
      </w:r>
      <w:r>
        <w:rPr>
          <w:color w:val="231F20"/>
        </w:rPr>
        <w:t>at</w:t>
      </w:r>
      <w:r>
        <w:rPr>
          <w:color w:val="231F20"/>
          <w:spacing w:val="-4"/>
        </w:rPr>
        <w:t> </w:t>
      </w:r>
      <w:r>
        <w:rPr>
          <w:color w:val="231F20"/>
        </w:rPr>
        <w:t>Aboriginal</w:t>
      </w:r>
      <w:r>
        <w:rPr>
          <w:color w:val="231F20"/>
          <w:spacing w:val="-4"/>
        </w:rPr>
        <w:t> </w:t>
      </w:r>
      <w:r>
        <w:rPr>
          <w:color w:val="231F20"/>
        </w:rPr>
        <w:t>and</w:t>
      </w:r>
      <w:r>
        <w:rPr>
          <w:color w:val="231F20"/>
          <w:spacing w:val="-5"/>
        </w:rPr>
        <w:t> 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20"/>
          <w:w w:val="99"/>
        </w:rPr>
        <w:t> </w:t>
      </w:r>
      <w:r>
        <w:rPr>
          <w:color w:val="231F20"/>
        </w:rPr>
        <w:t>boarding</w:t>
      </w:r>
      <w:r>
        <w:rPr>
          <w:color w:val="231F20"/>
          <w:spacing w:val="-10"/>
        </w:rPr>
        <w:t> </w:t>
      </w:r>
      <w:r>
        <w:rPr>
          <w:color w:val="231F20"/>
        </w:rPr>
        <w:t>providers</w:t>
      </w:r>
      <w:r>
        <w:rPr>
          <w:color w:val="231F20"/>
          <w:spacing w:val="-10"/>
        </w:rPr>
        <w:t> </w:t>
      </w:r>
      <w:r>
        <w:rPr>
          <w:color w:val="231F20"/>
        </w:rPr>
        <w:t>exceeds</w:t>
      </w:r>
      <w:r>
        <w:rPr>
          <w:color w:val="231F20"/>
          <w:spacing w:val="-9"/>
        </w:rPr>
        <w:t> </w:t>
      </w:r>
      <w:r>
        <w:rPr>
          <w:color w:val="231F20"/>
        </w:rPr>
        <w:t>the</w:t>
      </w:r>
      <w:r>
        <w:rPr>
          <w:color w:val="231F20"/>
          <w:spacing w:val="-10"/>
        </w:rPr>
        <w:t> </w:t>
      </w:r>
      <w:r>
        <w:rPr>
          <w:color w:val="231F20"/>
        </w:rPr>
        <w:t>boarding</w:t>
      </w:r>
      <w:r>
        <w:rPr>
          <w:color w:val="231F20"/>
          <w:w w:val="99"/>
        </w:rPr>
        <w:t> </w:t>
      </w:r>
      <w:r>
        <w:rPr>
          <w:color w:val="231F20"/>
        </w:rPr>
        <w:t>revenue</w:t>
      </w:r>
      <w:r>
        <w:rPr>
          <w:color w:val="231F20"/>
          <w:spacing w:val="-8"/>
        </w:rPr>
        <w:t> </w:t>
      </w:r>
      <w:r>
        <w:rPr>
          <w:color w:val="231F20"/>
        </w:rPr>
        <w:t>generated</w:t>
      </w:r>
      <w:r>
        <w:rPr>
          <w:color w:val="231F20"/>
          <w:spacing w:val="-8"/>
        </w:rPr>
        <w:t> </w:t>
      </w:r>
      <w:r>
        <w:rPr>
          <w:color w:val="231F20"/>
        </w:rPr>
        <w:t>by</w:t>
      </w:r>
      <w:r>
        <w:rPr>
          <w:color w:val="231F20"/>
          <w:spacing w:val="-8"/>
        </w:rPr>
        <w:t> </w:t>
      </w:r>
      <w:r>
        <w:rPr>
          <w:color w:val="231F20"/>
        </w:rPr>
        <w:t>those</w:t>
      </w:r>
      <w:r>
        <w:rPr>
          <w:color w:val="231F20"/>
          <w:spacing w:val="-8"/>
        </w:rPr>
        <w:t> </w:t>
      </w:r>
      <w:r>
        <w:rPr>
          <w:color w:val="231F20"/>
        </w:rPr>
        <w:t>providers.</w:t>
      </w:r>
      <w:r>
        <w:rPr>
          <w:color w:val="231F20"/>
          <w:spacing w:val="-7"/>
        </w:rPr>
        <w:t> </w:t>
      </w:r>
      <w:r>
        <w:rPr>
          <w:color w:val="231F20"/>
        </w:rPr>
        <w:t>The</w:t>
      </w:r>
      <w:r>
        <w:rPr>
          <w:color w:val="231F20"/>
          <w:w w:val="99"/>
        </w:rPr>
        <w:t> </w:t>
      </w:r>
      <w:r>
        <w:rPr>
          <w:color w:val="231F20"/>
          <w:spacing w:val="-1"/>
        </w:rPr>
        <w:t>shortfall</w:t>
      </w:r>
      <w:r>
        <w:rPr>
          <w:color w:val="231F20"/>
          <w:spacing w:val="-4"/>
        </w:rPr>
        <w:t> </w:t>
      </w:r>
      <w:r>
        <w:rPr>
          <w:color w:val="231F20"/>
          <w:spacing w:val="-1"/>
        </w:rPr>
        <w:t>is</w:t>
      </w:r>
      <w:r>
        <w:rPr>
          <w:color w:val="231F20"/>
          <w:spacing w:val="-5"/>
        </w:rPr>
        <w:t> </w:t>
      </w:r>
      <w:r>
        <w:rPr>
          <w:color w:val="231F20"/>
          <w:spacing w:val="-1"/>
        </w:rPr>
        <w:t>met</w:t>
      </w:r>
      <w:r>
        <w:rPr>
          <w:color w:val="231F20"/>
          <w:spacing w:val="-4"/>
        </w:rPr>
        <w:t> </w:t>
      </w:r>
      <w:r>
        <w:rPr>
          <w:color w:val="231F20"/>
        </w:rPr>
        <w:t>through</w:t>
      </w:r>
      <w:r>
        <w:rPr>
          <w:color w:val="231F20"/>
          <w:spacing w:val="-5"/>
        </w:rPr>
        <w:t> </w:t>
      </w:r>
      <w:r>
        <w:rPr>
          <w:color w:val="231F20"/>
        </w:rPr>
        <w:t>a</w:t>
      </w:r>
      <w:r>
        <w:rPr>
          <w:color w:val="231F20"/>
          <w:spacing w:val="-4"/>
        </w:rPr>
        <w:t> </w:t>
      </w:r>
      <w:r>
        <w:rPr>
          <w:color w:val="231F20"/>
        </w:rPr>
        <w:t>number</w:t>
      </w:r>
      <w:r>
        <w:rPr>
          <w:color w:val="231F20"/>
          <w:spacing w:val="-5"/>
        </w:rPr>
        <w:t> </w:t>
      </w:r>
      <w:r>
        <w:rPr>
          <w:color w:val="231F20"/>
        </w:rPr>
        <w:t>of</w:t>
      </w:r>
      <w:r>
        <w:rPr>
          <w:color w:val="231F20"/>
          <w:spacing w:val="-4"/>
        </w:rPr>
        <w:t> </w:t>
      </w:r>
      <w:r>
        <w:rPr>
          <w:color w:val="231F20"/>
        </w:rPr>
        <w:t>other</w:t>
      </w:r>
      <w:r>
        <w:rPr>
          <w:color w:val="231F20"/>
          <w:spacing w:val="24"/>
          <w:w w:val="99"/>
        </w:rPr>
        <w:t> </w:t>
      </w:r>
      <w:r>
        <w:rPr>
          <w:color w:val="231F20"/>
          <w:spacing w:val="-1"/>
        </w:rPr>
        <w:t>sources</w:t>
      </w:r>
      <w:r>
        <w:rPr>
          <w:color w:val="231F20"/>
          <w:spacing w:val="-4"/>
        </w:rPr>
        <w:t> </w:t>
      </w:r>
      <w:r>
        <w:rPr>
          <w:color w:val="231F20"/>
        </w:rPr>
        <w:t>but</w:t>
      </w:r>
      <w:r>
        <w:rPr>
          <w:color w:val="231F20"/>
          <w:spacing w:val="-3"/>
        </w:rPr>
        <w:t> </w:t>
      </w:r>
      <w:r>
        <w:rPr>
          <w:color w:val="231F20"/>
        </w:rPr>
        <w:t>the</w:t>
      </w:r>
      <w:r>
        <w:rPr>
          <w:color w:val="231F20"/>
          <w:spacing w:val="-4"/>
        </w:rPr>
        <w:t> </w:t>
      </w:r>
      <w:r>
        <w:rPr>
          <w:color w:val="231F20"/>
          <w:spacing w:val="-1"/>
        </w:rPr>
        <w:t>impact</w:t>
      </w:r>
      <w:r>
        <w:rPr>
          <w:color w:val="231F20"/>
          <w:spacing w:val="-3"/>
        </w:rPr>
        <w:t> </w:t>
      </w:r>
      <w:r>
        <w:rPr>
          <w:color w:val="231F20"/>
        </w:rPr>
        <w:t>has</w:t>
      </w:r>
      <w:r>
        <w:rPr>
          <w:color w:val="231F20"/>
          <w:spacing w:val="-4"/>
        </w:rPr>
        <w:t> </w:t>
      </w:r>
      <w:r>
        <w:rPr>
          <w:color w:val="231F20"/>
          <w:spacing w:val="-1"/>
        </w:rPr>
        <w:t>seen</w:t>
      </w:r>
      <w:r>
        <w:rPr>
          <w:color w:val="231F20"/>
          <w:spacing w:val="-4"/>
        </w:rPr>
        <w:t> </w:t>
      </w:r>
      <w:r>
        <w:rPr>
          <w:color w:val="231F20"/>
        </w:rPr>
        <w:t>the</w:t>
      </w:r>
      <w:r>
        <w:rPr>
          <w:color w:val="231F20"/>
          <w:spacing w:val="-3"/>
        </w:rPr>
        <w:t> </w:t>
      </w:r>
      <w:r>
        <w:rPr>
          <w:color w:val="231F20"/>
        </w:rPr>
        <w:t>closure</w:t>
      </w:r>
      <w:r>
        <w:rPr/>
      </w:r>
    </w:p>
    <w:p>
      <w:pPr>
        <w:pStyle w:val="BodyText"/>
        <w:spacing w:line="250" w:lineRule="exact"/>
        <w:ind w:left="257" w:right="284"/>
        <w:jc w:val="both"/>
        <w:rPr>
          <w:rFonts w:ascii="Segoe UI" w:hAnsi="Segoe UI" w:cs="Segoe UI" w:eastAsia="Segoe UI"/>
        </w:rPr>
      </w:pPr>
      <w:r>
        <w:rPr>
          <w:color w:val="231F20"/>
        </w:rPr>
        <w:t>of</w:t>
      </w:r>
      <w:r>
        <w:rPr>
          <w:color w:val="231F20"/>
          <w:spacing w:val="-4"/>
        </w:rPr>
        <w:t> </w:t>
      </w:r>
      <w:r>
        <w:rPr>
          <w:color w:val="231F20"/>
          <w:spacing w:val="-1"/>
        </w:rPr>
        <w:t>some</w:t>
      </w:r>
      <w:r>
        <w:rPr>
          <w:color w:val="231F20"/>
          <w:spacing w:val="-3"/>
        </w:rPr>
        <w:t> </w:t>
      </w:r>
      <w:r>
        <w:rPr>
          <w:color w:val="231F20"/>
        </w:rPr>
        <w:t>Aboriginal</w:t>
      </w:r>
      <w:r>
        <w:rPr>
          <w:color w:val="231F20"/>
          <w:spacing w:val="-4"/>
        </w:rPr>
        <w:t> </w:t>
      </w:r>
      <w:r>
        <w:rPr>
          <w:color w:val="231F20"/>
        </w:rPr>
        <w:t>and</w:t>
      </w:r>
      <w:r>
        <w:rPr>
          <w:color w:val="231F20"/>
          <w:spacing w:val="-4"/>
        </w:rPr>
        <w:t> </w:t>
      </w:r>
      <w:r>
        <w:rPr>
          <w:color w:val="231F20"/>
          <w:spacing w:val="-5"/>
        </w:rPr>
        <w:t>Torres</w:t>
      </w:r>
      <w:r>
        <w:rPr>
          <w:color w:val="231F20"/>
          <w:spacing w:val="-4"/>
        </w:rPr>
        <w:t> </w:t>
      </w:r>
      <w:r>
        <w:rPr>
          <w:color w:val="231F20"/>
          <w:spacing w:val="-2"/>
        </w:rPr>
        <w:t>Strait</w:t>
      </w:r>
      <w:r>
        <w:rPr>
          <w:color w:val="231F20"/>
          <w:spacing w:val="-4"/>
        </w:rPr>
        <w:t> </w:t>
      </w:r>
      <w:r>
        <w:rPr>
          <w:color w:val="231F20"/>
          <w:spacing w:val="-1"/>
        </w:rPr>
        <w:t>Islander</w:t>
      </w:r>
      <w:r>
        <w:rPr>
          <w:color w:val="231F20"/>
          <w:spacing w:val="20"/>
          <w:w w:val="99"/>
        </w:rPr>
        <w:t> </w:t>
      </w:r>
      <w:r>
        <w:rPr>
          <w:color w:val="231F20"/>
        </w:rPr>
        <w:t>boarding</w:t>
      </w:r>
      <w:r>
        <w:rPr>
          <w:color w:val="231F20"/>
          <w:spacing w:val="-8"/>
        </w:rPr>
        <w:t> </w:t>
      </w:r>
      <w:r>
        <w:rPr>
          <w:color w:val="231F20"/>
        </w:rPr>
        <w:t>providers</w:t>
      </w:r>
      <w:r>
        <w:rPr>
          <w:color w:val="231F20"/>
          <w:spacing w:val="-7"/>
        </w:rPr>
        <w:t> </w:t>
      </w:r>
      <w:r>
        <w:rPr>
          <w:color w:val="231F20"/>
        </w:rPr>
        <w:t>and</w:t>
      </w:r>
      <w:r>
        <w:rPr>
          <w:color w:val="231F20"/>
          <w:spacing w:val="-8"/>
        </w:rPr>
        <w:t> </w:t>
      </w:r>
      <w:r>
        <w:rPr>
          <w:color w:val="231F20"/>
        </w:rPr>
        <w:t>others</w:t>
      </w:r>
      <w:r>
        <w:rPr>
          <w:color w:val="231F20"/>
          <w:spacing w:val="-7"/>
        </w:rPr>
        <w:t> </w:t>
      </w:r>
      <w:r>
        <w:rPr>
          <w:color w:val="231F20"/>
        </w:rPr>
        <w:t>experiencing</w:t>
      </w:r>
      <w:r>
        <w:rPr>
          <w:color w:val="231F20"/>
          <w:w w:val="99"/>
        </w:rPr>
        <w:t> </w:t>
      </w:r>
      <w:r>
        <w:rPr>
          <w:rFonts w:ascii="Segoe UI"/>
          <w:color w:val="231F20"/>
        </w:rPr>
        <w:t>financial stress.</w:t>
      </w:r>
      <w:r>
        <w:rPr>
          <w:rFonts w:ascii="Segoe UI"/>
        </w:rPr>
      </w:r>
    </w:p>
    <w:p>
      <w:pPr>
        <w:pStyle w:val="BodyText"/>
        <w:spacing w:line="250" w:lineRule="exact" w:before="113"/>
        <w:ind w:left="257" w:right="23"/>
        <w:jc w:val="left"/>
      </w:pPr>
      <w:r>
        <w:rPr>
          <w:color w:val="231F20"/>
        </w:rPr>
        <w:t>The</w:t>
      </w:r>
      <w:r>
        <w:rPr>
          <w:color w:val="231F20"/>
          <w:spacing w:val="-8"/>
        </w:rPr>
        <w:t> </w:t>
      </w:r>
      <w:r>
        <w:rPr>
          <w:color w:val="231F20"/>
        </w:rPr>
        <w:t>three-year</w:t>
      </w:r>
      <w:r>
        <w:rPr>
          <w:color w:val="231F20"/>
          <w:spacing w:val="-8"/>
        </w:rPr>
        <w:t> </w:t>
      </w:r>
      <w:r>
        <w:rPr>
          <w:color w:val="231F20"/>
        </w:rPr>
        <w:t>average</w:t>
      </w:r>
      <w:r>
        <w:rPr>
          <w:color w:val="231F20"/>
          <w:spacing w:val="-8"/>
        </w:rPr>
        <w:t> </w:t>
      </w:r>
      <w:r>
        <w:rPr>
          <w:color w:val="231F20"/>
        </w:rPr>
        <w:t>annual</w:t>
      </w:r>
      <w:r>
        <w:rPr>
          <w:color w:val="231F20"/>
          <w:spacing w:val="-8"/>
        </w:rPr>
        <w:t> </w:t>
      </w:r>
      <w:r>
        <w:rPr>
          <w:color w:val="231F20"/>
        </w:rPr>
        <w:t>revenue</w:t>
      </w:r>
      <w:r>
        <w:rPr>
          <w:color w:val="231F20"/>
          <w:spacing w:val="-8"/>
        </w:rPr>
        <w:t> </w:t>
      </w:r>
      <w:r>
        <w:rPr>
          <w:color w:val="231F20"/>
        </w:rPr>
        <w:t>per</w:t>
      </w:r>
      <w:r>
        <w:rPr>
          <w:color w:val="231F20"/>
          <w:w w:val="99"/>
        </w:rPr>
        <w:t> </w:t>
      </w:r>
      <w:r>
        <w:rPr>
          <w:color w:val="231F20"/>
        </w:rPr>
        <w:t>boarder</w:t>
      </w:r>
      <w:r>
        <w:rPr>
          <w:color w:val="231F20"/>
          <w:spacing w:val="-4"/>
        </w:rPr>
        <w:t> </w:t>
      </w:r>
      <w:r>
        <w:rPr>
          <w:color w:val="231F20"/>
        </w:rPr>
        <w:t>from</w:t>
      </w:r>
      <w:r>
        <w:rPr>
          <w:color w:val="231F20"/>
          <w:spacing w:val="-3"/>
        </w:rPr>
        <w:t> </w:t>
      </w:r>
      <w:r>
        <w:rPr>
          <w:color w:val="231F20"/>
          <w:spacing w:val="-1"/>
        </w:rPr>
        <w:t>2015</w:t>
      </w:r>
      <w:r>
        <w:rPr>
          <w:color w:val="231F20"/>
          <w:spacing w:val="-4"/>
        </w:rPr>
        <w:t> </w:t>
      </w:r>
      <w:r>
        <w:rPr>
          <w:color w:val="231F20"/>
        </w:rPr>
        <w:t>to</w:t>
      </w:r>
      <w:r>
        <w:rPr>
          <w:color w:val="231F20"/>
          <w:spacing w:val="-3"/>
        </w:rPr>
        <w:t> </w:t>
      </w:r>
      <w:r>
        <w:rPr>
          <w:color w:val="231F20"/>
          <w:spacing w:val="-1"/>
        </w:rPr>
        <w:t>2017</w:t>
      </w:r>
      <w:r>
        <w:rPr>
          <w:color w:val="231F20"/>
          <w:spacing w:val="-3"/>
        </w:rPr>
        <w:t> </w:t>
      </w:r>
      <w:r>
        <w:rPr>
          <w:color w:val="231F20"/>
        </w:rPr>
        <w:t>at</w:t>
      </w:r>
      <w:r>
        <w:rPr>
          <w:color w:val="231F20"/>
          <w:spacing w:val="-4"/>
        </w:rPr>
        <w:t> </w:t>
      </w:r>
      <w:r>
        <w:rPr>
          <w:color w:val="231F20"/>
        </w:rPr>
        <w:t>the</w:t>
      </w:r>
      <w:r>
        <w:rPr>
          <w:color w:val="231F20"/>
          <w:spacing w:val="-4"/>
        </w:rPr>
        <w:t> </w:t>
      </w:r>
      <w:r>
        <w:rPr>
          <w:color w:val="231F20"/>
          <w:spacing w:val="-1"/>
        </w:rPr>
        <w:t>27</w:t>
      </w:r>
      <w:r>
        <w:rPr>
          <w:color w:val="231F20"/>
          <w:spacing w:val="-3"/>
        </w:rPr>
        <w:t> </w:t>
      </w:r>
      <w:r>
        <w:rPr>
          <w:color w:val="231F20"/>
        </w:rPr>
        <w:t>Aboriginal</w:t>
      </w:r>
      <w:r>
        <w:rPr>
          <w:color w:val="231F20"/>
          <w:spacing w:val="24"/>
          <w:w w:val="99"/>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7"/>
        </w:rPr>
        <w:t> </w:t>
      </w:r>
      <w:r>
        <w:rPr>
          <w:color w:val="231F20"/>
        </w:rPr>
        <w:t>providers</w:t>
      </w:r>
      <w:r>
        <w:rPr>
          <w:color w:val="231F20"/>
          <w:spacing w:val="21"/>
          <w:w w:val="99"/>
        </w:rPr>
        <w:t> </w:t>
      </w:r>
      <w:r>
        <w:rPr>
          <w:color w:val="231F20"/>
        </w:rPr>
        <w:t>analysed</w:t>
      </w:r>
      <w:r>
        <w:rPr>
          <w:color w:val="231F20"/>
          <w:spacing w:val="-6"/>
        </w:rPr>
        <w:t> </w:t>
      </w:r>
      <w:r>
        <w:rPr>
          <w:color w:val="231F20"/>
        </w:rPr>
        <w:t>for</w:t>
      </w:r>
      <w:r>
        <w:rPr>
          <w:color w:val="231F20"/>
          <w:spacing w:val="-5"/>
        </w:rPr>
        <w:t> </w:t>
      </w:r>
      <w:r>
        <w:rPr>
          <w:color w:val="231F20"/>
        </w:rPr>
        <w:t>this</w:t>
      </w:r>
      <w:r>
        <w:rPr>
          <w:color w:val="231F20"/>
          <w:spacing w:val="-6"/>
        </w:rPr>
        <w:t> </w:t>
      </w:r>
      <w:r>
        <w:rPr>
          <w:color w:val="231F20"/>
        </w:rPr>
        <w:t>report</w:t>
      </w:r>
      <w:r>
        <w:rPr>
          <w:color w:val="231F20"/>
          <w:spacing w:val="-6"/>
        </w:rPr>
        <w:t> </w:t>
      </w:r>
      <w:r>
        <w:rPr>
          <w:color w:val="231F20"/>
        </w:rPr>
        <w:t>was</w:t>
      </w:r>
      <w:r>
        <w:rPr>
          <w:color w:val="231F20"/>
          <w:spacing w:val="-6"/>
        </w:rPr>
        <w:t> </w:t>
      </w:r>
      <w:r>
        <w:rPr>
          <w:color w:val="231F20"/>
          <w:spacing w:val="-1"/>
        </w:rPr>
        <w:t>$16,679.</w:t>
      </w:r>
      <w:r>
        <w:rPr>
          <w:color w:val="231F20"/>
          <w:spacing w:val="-5"/>
        </w:rPr>
        <w:t> </w:t>
      </w:r>
      <w:r>
        <w:rPr>
          <w:color w:val="231F20"/>
        </w:rPr>
        <w:t>The</w:t>
      </w:r>
      <w:r>
        <w:rPr>
          <w:color w:val="231F20"/>
          <w:spacing w:val="22"/>
          <w:w w:val="99"/>
        </w:rPr>
        <w:t> </w:t>
      </w:r>
      <w:r>
        <w:rPr>
          <w:color w:val="231F20"/>
        </w:rPr>
        <w:t>comparative</w:t>
      </w:r>
      <w:r>
        <w:rPr>
          <w:color w:val="231F20"/>
          <w:spacing w:val="-8"/>
        </w:rPr>
        <w:t> </w:t>
      </w:r>
      <w:r>
        <w:rPr>
          <w:color w:val="231F20"/>
        </w:rPr>
        <w:t>average</w:t>
      </w:r>
      <w:r>
        <w:rPr>
          <w:color w:val="231F20"/>
          <w:spacing w:val="-7"/>
        </w:rPr>
        <w:t> </w:t>
      </w:r>
      <w:r>
        <w:rPr>
          <w:color w:val="231F20"/>
        </w:rPr>
        <w:t>cost</w:t>
      </w:r>
      <w:r>
        <w:rPr>
          <w:color w:val="231F20"/>
          <w:spacing w:val="-7"/>
        </w:rPr>
        <w:t> </w:t>
      </w:r>
      <w:r>
        <w:rPr>
          <w:color w:val="231F20"/>
        </w:rPr>
        <w:t>per</w:t>
      </w:r>
      <w:r>
        <w:rPr>
          <w:color w:val="231F20"/>
          <w:spacing w:val="-6"/>
        </w:rPr>
        <w:t> </w:t>
      </w:r>
      <w:r>
        <w:rPr>
          <w:color w:val="231F20"/>
        </w:rPr>
        <w:t>boarder</w:t>
      </w:r>
      <w:r>
        <w:rPr>
          <w:color w:val="231F20"/>
          <w:spacing w:val="-7"/>
        </w:rPr>
        <w:t> </w:t>
      </w:r>
      <w:r>
        <w:rPr>
          <w:color w:val="231F20"/>
        </w:rPr>
        <w:t>was</w:t>
      </w:r>
      <w:r>
        <w:rPr/>
      </w:r>
    </w:p>
    <w:p>
      <w:pPr>
        <w:pStyle w:val="BodyText"/>
        <w:spacing w:line="250" w:lineRule="exact"/>
        <w:ind w:left="257" w:right="23"/>
        <w:jc w:val="left"/>
        <w:rPr>
          <w:rFonts w:ascii="Segoe UI" w:hAnsi="Segoe UI" w:cs="Segoe UI" w:eastAsia="Segoe UI"/>
        </w:rPr>
      </w:pPr>
      <w:r>
        <w:rPr>
          <w:color w:val="231F20"/>
          <w:spacing w:val="-1"/>
        </w:rPr>
        <w:t>$22,927,</w:t>
      </w:r>
      <w:r>
        <w:rPr>
          <w:color w:val="231F20"/>
          <w:spacing w:val="-9"/>
        </w:rPr>
        <w:t> </w:t>
      </w:r>
      <w:r>
        <w:rPr>
          <w:color w:val="231F20"/>
        </w:rPr>
        <w:t>representing</w:t>
      </w:r>
      <w:r>
        <w:rPr>
          <w:color w:val="231F20"/>
          <w:spacing w:val="-11"/>
        </w:rPr>
        <w:t> </w:t>
      </w:r>
      <w:r>
        <w:rPr>
          <w:color w:val="231F20"/>
        </w:rPr>
        <w:t>an</w:t>
      </w:r>
      <w:r>
        <w:rPr>
          <w:color w:val="231F20"/>
          <w:spacing w:val="-9"/>
        </w:rPr>
        <w:t> </w:t>
      </w:r>
      <w:r>
        <w:rPr>
          <w:color w:val="231F20"/>
        </w:rPr>
        <w:t>average</w:t>
      </w:r>
      <w:r>
        <w:rPr>
          <w:color w:val="231F20"/>
          <w:spacing w:val="-10"/>
        </w:rPr>
        <w:t> </w:t>
      </w:r>
      <w:r>
        <w:rPr>
          <w:color w:val="231F20"/>
        </w:rPr>
        <w:t>revenue</w:t>
      </w:r>
      <w:r>
        <w:rPr>
          <w:color w:val="231F20"/>
          <w:spacing w:val="22"/>
          <w:w w:val="99"/>
        </w:rPr>
        <w:t> </w:t>
      </w:r>
      <w:r>
        <w:rPr>
          <w:color w:val="231F20"/>
          <w:spacing w:val="-1"/>
        </w:rPr>
        <w:t>shortfall</w:t>
      </w:r>
      <w:r>
        <w:rPr>
          <w:color w:val="231F20"/>
          <w:spacing w:val="-4"/>
        </w:rPr>
        <w:t> </w:t>
      </w:r>
      <w:r>
        <w:rPr>
          <w:color w:val="231F20"/>
        </w:rPr>
        <w:t>of</w:t>
      </w:r>
      <w:r>
        <w:rPr>
          <w:color w:val="231F20"/>
          <w:spacing w:val="-5"/>
        </w:rPr>
        <w:t> </w:t>
      </w:r>
      <w:r>
        <w:rPr>
          <w:color w:val="231F20"/>
          <w:spacing w:val="-1"/>
        </w:rPr>
        <w:t>$6,248</w:t>
      </w:r>
      <w:r>
        <w:rPr>
          <w:color w:val="231F20"/>
          <w:spacing w:val="-5"/>
        </w:rPr>
        <w:t> </w:t>
      </w:r>
      <w:r>
        <w:rPr>
          <w:color w:val="231F20"/>
        </w:rPr>
        <w:t>per</w:t>
      </w:r>
      <w:r>
        <w:rPr>
          <w:color w:val="231F20"/>
          <w:spacing w:val="-4"/>
        </w:rPr>
        <w:t> </w:t>
      </w:r>
      <w:r>
        <w:rPr>
          <w:color w:val="231F20"/>
        </w:rPr>
        <w:t>boarder.</w:t>
      </w:r>
      <w:r>
        <w:rPr>
          <w:color w:val="231F20"/>
          <w:spacing w:val="-5"/>
        </w:rPr>
        <w:t> </w:t>
      </w:r>
      <w:r>
        <w:rPr>
          <w:color w:val="231F20"/>
        </w:rPr>
        <w:t>This</w:t>
      </w:r>
      <w:r>
        <w:rPr>
          <w:color w:val="231F20"/>
          <w:spacing w:val="-5"/>
        </w:rPr>
        <w:t> </w:t>
      </w:r>
      <w:r>
        <w:rPr>
          <w:color w:val="231F20"/>
        </w:rPr>
        <w:t>compares</w:t>
      </w:r>
      <w:r>
        <w:rPr>
          <w:color w:val="231F20"/>
          <w:spacing w:val="23"/>
          <w:w w:val="99"/>
        </w:rPr>
        <w:t> </w:t>
      </w:r>
      <w:r>
        <w:rPr>
          <w:rFonts w:ascii="Segoe UI"/>
          <w:color w:val="231F20"/>
        </w:rPr>
        <w:t>to an average shortfall of $10,437 </w:t>
      </w:r>
      <w:r>
        <w:rPr>
          <w:rFonts w:ascii="Segoe UI"/>
          <w:color w:val="231F20"/>
          <w:spacing w:val="-1"/>
        </w:rPr>
        <w:t>identified</w:t>
      </w:r>
      <w:r>
        <w:rPr>
          <w:rFonts w:ascii="Segoe UI"/>
        </w:rPr>
      </w:r>
    </w:p>
    <w:p>
      <w:pPr>
        <w:pStyle w:val="BodyText"/>
        <w:spacing w:line="250" w:lineRule="exact"/>
        <w:ind w:left="257" w:right="23"/>
        <w:jc w:val="left"/>
      </w:pPr>
      <w:r>
        <w:rPr>
          <w:color w:val="231F20"/>
          <w:spacing w:val="-1"/>
        </w:rPr>
        <w:t>in</w:t>
      </w:r>
      <w:r>
        <w:rPr>
          <w:color w:val="231F20"/>
          <w:spacing w:val="-4"/>
        </w:rPr>
        <w:t> </w:t>
      </w:r>
      <w:r>
        <w:rPr>
          <w:color w:val="231F20"/>
        </w:rPr>
        <w:t>the</w:t>
      </w:r>
      <w:r>
        <w:rPr>
          <w:color w:val="231F20"/>
          <w:spacing w:val="-5"/>
        </w:rPr>
        <w:t> </w:t>
      </w:r>
      <w:r>
        <w:rPr>
          <w:color w:val="231F20"/>
          <w:spacing w:val="-1"/>
        </w:rPr>
        <w:t>KPMG,</w:t>
      </w:r>
      <w:r>
        <w:rPr>
          <w:color w:val="231F20"/>
          <w:spacing w:val="-3"/>
        </w:rPr>
        <w:t> </w:t>
      </w:r>
      <w:r>
        <w:rPr>
          <w:color w:val="231F20"/>
          <w:spacing w:val="-1"/>
        </w:rPr>
        <w:t>2016</w:t>
      </w:r>
      <w:r>
        <w:rPr>
          <w:color w:val="231F20"/>
          <w:spacing w:val="-4"/>
        </w:rPr>
        <w:t> </w:t>
      </w:r>
      <w:r>
        <w:rPr>
          <w:color w:val="231F20"/>
        </w:rPr>
        <w:t>report</w:t>
      </w:r>
      <w:r>
        <w:rPr>
          <w:color w:val="231F20"/>
          <w:spacing w:val="-4"/>
        </w:rPr>
        <w:t> </w:t>
      </w:r>
      <w:r>
        <w:rPr>
          <w:color w:val="231F20"/>
        </w:rPr>
        <w:t>for</w:t>
      </w:r>
      <w:r>
        <w:rPr>
          <w:color w:val="231F20"/>
          <w:spacing w:val="-4"/>
        </w:rPr>
        <w:t> </w:t>
      </w:r>
      <w:r>
        <w:rPr>
          <w:color w:val="231F20"/>
          <w:spacing w:val="-1"/>
        </w:rPr>
        <w:t>seven</w:t>
      </w:r>
      <w:r>
        <w:rPr>
          <w:color w:val="231F20"/>
          <w:spacing w:val="-3"/>
        </w:rPr>
        <w:t> </w:t>
      </w:r>
      <w:r>
        <w:rPr>
          <w:color w:val="231F20"/>
        </w:rPr>
        <w:t>Northern</w:t>
      </w:r>
      <w:r>
        <w:rPr>
          <w:color w:val="231F20"/>
          <w:spacing w:val="25"/>
          <w:w w:val="99"/>
        </w:rPr>
        <w:t> </w:t>
      </w:r>
      <w:r>
        <w:rPr>
          <w:color w:val="231F20"/>
          <w:spacing w:val="-3"/>
        </w:rPr>
        <w:t>Territory</w:t>
      </w:r>
      <w:r>
        <w:rPr>
          <w:color w:val="231F20"/>
          <w:spacing w:val="-7"/>
        </w:rPr>
        <w:t> </w:t>
      </w:r>
      <w:r>
        <w:rPr>
          <w:color w:val="231F20"/>
        </w:rPr>
        <w:t>Aboriginal</w:t>
      </w:r>
      <w:r>
        <w:rPr>
          <w:color w:val="231F20"/>
          <w:spacing w:val="-6"/>
        </w:rPr>
        <w:t> </w:t>
      </w:r>
      <w:r>
        <w:rPr>
          <w:color w:val="231F20"/>
        </w:rPr>
        <w:t>and</w:t>
      </w:r>
      <w:r>
        <w:rPr>
          <w:color w:val="231F20"/>
          <w:spacing w:val="-6"/>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32"/>
          <w:w w:val="99"/>
        </w:rPr>
        <w:t> </w:t>
      </w:r>
      <w:r>
        <w:rPr>
          <w:color w:val="231F20"/>
        </w:rPr>
        <w:t>boarding</w:t>
      </w:r>
      <w:r>
        <w:rPr>
          <w:color w:val="231F20"/>
          <w:spacing w:val="-7"/>
        </w:rPr>
        <w:t> </w:t>
      </w:r>
      <w:r>
        <w:rPr>
          <w:color w:val="231F20"/>
        </w:rPr>
        <w:t>providers.</w:t>
      </w:r>
      <w:r>
        <w:rPr>
          <w:color w:val="231F20"/>
          <w:spacing w:val="-7"/>
        </w:rPr>
        <w:t> </w:t>
      </w:r>
      <w:r>
        <w:rPr>
          <w:color w:val="231F20"/>
        </w:rPr>
        <w:t>There</w:t>
      </w:r>
      <w:r>
        <w:rPr>
          <w:color w:val="231F20"/>
          <w:spacing w:val="-5"/>
        </w:rPr>
        <w:t> </w:t>
      </w:r>
      <w:r>
        <w:rPr>
          <w:color w:val="231F20"/>
        </w:rPr>
        <w:t>was</w:t>
      </w:r>
      <w:r>
        <w:rPr>
          <w:color w:val="231F20"/>
          <w:spacing w:val="-7"/>
        </w:rPr>
        <w:t> </w:t>
      </w:r>
      <w:r>
        <w:rPr>
          <w:color w:val="231F20"/>
        </w:rPr>
        <w:t>a</w:t>
      </w:r>
      <w:r>
        <w:rPr>
          <w:color w:val="231F20"/>
          <w:spacing w:val="-5"/>
        </w:rPr>
        <w:t> </w:t>
      </w:r>
      <w:r>
        <w:rPr>
          <w:color w:val="231F20"/>
        </w:rPr>
        <w:t>variation</w:t>
      </w:r>
      <w:r>
        <w:rPr>
          <w:color w:val="231F20"/>
          <w:spacing w:val="-6"/>
        </w:rPr>
        <w:t> </w:t>
      </w:r>
      <w:r>
        <w:rPr>
          <w:color w:val="231F20"/>
          <w:spacing w:val="-1"/>
        </w:rPr>
        <w:t>in</w:t>
      </w:r>
      <w:r>
        <w:rPr>
          <w:color w:val="231F20"/>
          <w:spacing w:val="19"/>
        </w:rPr>
        <w:t> </w:t>
      </w:r>
      <w:r>
        <w:rPr>
          <w:color w:val="231F20"/>
        </w:rPr>
        <w:t>approach</w:t>
      </w:r>
      <w:r>
        <w:rPr>
          <w:color w:val="231F20"/>
          <w:spacing w:val="-5"/>
        </w:rPr>
        <w:t> </w:t>
      </w:r>
      <w:r>
        <w:rPr>
          <w:color w:val="231F20"/>
        </w:rPr>
        <w:t>used</w:t>
      </w:r>
      <w:r>
        <w:rPr>
          <w:color w:val="231F20"/>
          <w:spacing w:val="-5"/>
        </w:rPr>
        <w:t> </w:t>
      </w:r>
      <w:r>
        <w:rPr>
          <w:color w:val="231F20"/>
        </w:rPr>
        <w:t>by</w:t>
      </w:r>
      <w:r>
        <w:rPr>
          <w:color w:val="231F20"/>
          <w:spacing w:val="-4"/>
        </w:rPr>
        <w:t> </w:t>
      </w:r>
      <w:r>
        <w:rPr>
          <w:color w:val="231F20"/>
        </w:rPr>
        <w:t>Grant</w:t>
      </w:r>
      <w:r>
        <w:rPr>
          <w:color w:val="231F20"/>
          <w:spacing w:val="-4"/>
        </w:rPr>
        <w:t> </w:t>
      </w:r>
      <w:r>
        <w:rPr>
          <w:color w:val="231F20"/>
        </w:rPr>
        <w:t>Thornton</w:t>
      </w:r>
      <w:r>
        <w:rPr>
          <w:color w:val="231F20"/>
          <w:spacing w:val="-5"/>
        </w:rPr>
        <w:t> </w:t>
      </w:r>
      <w:r>
        <w:rPr>
          <w:color w:val="231F20"/>
        </w:rPr>
        <w:t>and</w:t>
      </w:r>
      <w:r>
        <w:rPr>
          <w:color w:val="231F20"/>
          <w:spacing w:val="-5"/>
        </w:rPr>
        <w:t> </w:t>
      </w:r>
      <w:r>
        <w:rPr>
          <w:color w:val="231F20"/>
        </w:rPr>
        <w:t>this</w:t>
      </w:r>
      <w:r>
        <w:rPr>
          <w:color w:val="231F20"/>
          <w:spacing w:val="-4"/>
        </w:rPr>
        <w:t> </w:t>
      </w:r>
      <w:r>
        <w:rPr>
          <w:color w:val="231F20"/>
          <w:spacing w:val="-1"/>
        </w:rPr>
        <w:t>is</w:t>
      </w:r>
      <w:r>
        <w:rPr>
          <w:color w:val="231F20"/>
          <w:spacing w:val="19"/>
        </w:rPr>
        <w:t> </w:t>
      </w:r>
      <w:r>
        <w:rPr>
          <w:color w:val="231F20"/>
        </w:rPr>
        <w:t>further</w:t>
      </w:r>
      <w:r>
        <w:rPr>
          <w:color w:val="231F20"/>
          <w:spacing w:val="-6"/>
        </w:rPr>
        <w:t> </w:t>
      </w:r>
      <w:r>
        <w:rPr>
          <w:color w:val="231F20"/>
        </w:rPr>
        <w:t>explained</w:t>
      </w:r>
      <w:r>
        <w:rPr>
          <w:color w:val="231F20"/>
          <w:spacing w:val="-7"/>
        </w:rPr>
        <w:t> </w:t>
      </w:r>
      <w:r>
        <w:rPr>
          <w:color w:val="231F20"/>
        </w:rPr>
        <w:t>under</w:t>
      </w:r>
      <w:r>
        <w:rPr>
          <w:color w:val="231F20"/>
          <w:spacing w:val="-6"/>
        </w:rPr>
        <w:t> </w:t>
      </w:r>
      <w:r>
        <w:rPr>
          <w:color w:val="231F20"/>
        </w:rPr>
        <w:t>data</w:t>
      </w:r>
      <w:r>
        <w:rPr>
          <w:color w:val="231F20"/>
          <w:spacing w:val="-7"/>
        </w:rPr>
        <w:t> </w:t>
      </w:r>
      <w:r>
        <w:rPr>
          <w:color w:val="231F20"/>
          <w:spacing w:val="-1"/>
        </w:rPr>
        <w:t>limitations.</w:t>
      </w:r>
      <w:r>
        <w:rPr/>
      </w:r>
    </w:p>
    <w:p>
      <w:pPr>
        <w:pStyle w:val="BodyText"/>
        <w:spacing w:line="250" w:lineRule="exact" w:before="113"/>
        <w:ind w:left="257" w:right="0"/>
        <w:jc w:val="left"/>
      </w:pPr>
      <w:r>
        <w:rPr>
          <w:color w:val="231F20"/>
        </w:rPr>
        <w:t>Across</w:t>
      </w:r>
      <w:r>
        <w:rPr>
          <w:color w:val="231F20"/>
          <w:spacing w:val="-5"/>
        </w:rPr>
        <w:t> </w:t>
      </w:r>
      <w:r>
        <w:rPr>
          <w:color w:val="231F20"/>
        </w:rPr>
        <w:t>the</w:t>
      </w:r>
      <w:r>
        <w:rPr>
          <w:color w:val="231F20"/>
          <w:spacing w:val="-5"/>
        </w:rPr>
        <w:t> </w:t>
      </w:r>
      <w:r>
        <w:rPr>
          <w:color w:val="231F20"/>
        </w:rPr>
        <w:t>three-year</w:t>
      </w:r>
      <w:r>
        <w:rPr>
          <w:color w:val="231F20"/>
          <w:spacing w:val="-5"/>
        </w:rPr>
        <w:t> </w:t>
      </w:r>
      <w:r>
        <w:rPr>
          <w:color w:val="231F20"/>
        </w:rPr>
        <w:t>average</w:t>
      </w:r>
      <w:r>
        <w:rPr>
          <w:color w:val="231F20"/>
          <w:spacing w:val="-5"/>
        </w:rPr>
        <w:t> </w:t>
      </w:r>
      <w:r>
        <w:rPr>
          <w:color w:val="231F20"/>
        </w:rPr>
        <w:t>of</w:t>
      </w:r>
      <w:r>
        <w:rPr>
          <w:color w:val="231F20"/>
          <w:spacing w:val="-4"/>
        </w:rPr>
        <w:t> </w:t>
      </w:r>
      <w:r>
        <w:rPr>
          <w:color w:val="231F20"/>
          <w:spacing w:val="-1"/>
        </w:rPr>
        <w:t>1,918</w:t>
      </w:r>
      <w:r>
        <w:rPr>
          <w:color w:val="231F20"/>
          <w:spacing w:val="20"/>
        </w:rPr>
        <w:t> </w:t>
      </w:r>
      <w:r>
        <w:rPr>
          <w:color w:val="231F20"/>
        </w:rPr>
        <w:t>Aboriginal</w:t>
      </w:r>
      <w:r>
        <w:rPr>
          <w:color w:val="231F20"/>
          <w:spacing w:val="-6"/>
        </w:rPr>
        <w:t> </w:t>
      </w:r>
      <w:r>
        <w:rPr>
          <w:color w:val="231F20"/>
        </w:rPr>
        <w:t>and</w:t>
      </w:r>
      <w:r>
        <w:rPr>
          <w:color w:val="231F20"/>
          <w:spacing w:val="-6"/>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5"/>
        </w:rPr>
        <w:t> </w:t>
      </w:r>
      <w:r>
        <w:rPr>
          <w:color w:val="231F20"/>
        </w:rPr>
        <w:t>boarders</w:t>
      </w:r>
      <w:r>
        <w:rPr>
          <w:color w:val="231F20"/>
          <w:spacing w:val="-6"/>
        </w:rPr>
        <w:t> </w:t>
      </w:r>
      <w:r>
        <w:rPr>
          <w:color w:val="231F20"/>
          <w:spacing w:val="-1"/>
        </w:rPr>
        <w:t>in</w:t>
      </w:r>
      <w:r>
        <w:rPr>
          <w:color w:val="231F20"/>
          <w:spacing w:val="20"/>
        </w:rPr>
        <w:t> </w:t>
      </w:r>
      <w:r>
        <w:rPr>
          <w:color w:val="231F20"/>
        </w:rPr>
        <w:t>the</w:t>
      </w:r>
      <w:r>
        <w:rPr>
          <w:color w:val="231F20"/>
          <w:spacing w:val="-6"/>
        </w:rPr>
        <w:t> </w:t>
      </w:r>
      <w:r>
        <w:rPr>
          <w:color w:val="231F20"/>
        </w:rPr>
        <w:t>boarding</w:t>
      </w:r>
      <w:r>
        <w:rPr>
          <w:color w:val="231F20"/>
          <w:spacing w:val="-6"/>
        </w:rPr>
        <w:t> </w:t>
      </w:r>
      <w:r>
        <w:rPr>
          <w:color w:val="231F20"/>
        </w:rPr>
        <w:t>providers</w:t>
      </w:r>
      <w:r>
        <w:rPr>
          <w:color w:val="231F20"/>
          <w:spacing w:val="-6"/>
        </w:rPr>
        <w:t> </w:t>
      </w:r>
      <w:r>
        <w:rPr>
          <w:color w:val="231F20"/>
          <w:spacing w:val="-1"/>
        </w:rPr>
        <w:t>included</w:t>
      </w:r>
      <w:r>
        <w:rPr>
          <w:color w:val="231F20"/>
          <w:spacing w:val="-5"/>
        </w:rPr>
        <w:t> </w:t>
      </w:r>
      <w:r>
        <w:rPr>
          <w:color w:val="231F20"/>
          <w:spacing w:val="-1"/>
        </w:rPr>
        <w:t>in</w:t>
      </w:r>
      <w:r>
        <w:rPr>
          <w:color w:val="231F20"/>
          <w:spacing w:val="-5"/>
        </w:rPr>
        <w:t> </w:t>
      </w:r>
      <w:r>
        <w:rPr>
          <w:color w:val="231F20"/>
        </w:rPr>
        <w:t>the</w:t>
      </w:r>
      <w:r>
        <w:rPr>
          <w:color w:val="231F20"/>
          <w:spacing w:val="-6"/>
        </w:rPr>
        <w:t> </w:t>
      </w:r>
      <w:r>
        <w:rPr>
          <w:color w:val="231F20"/>
        </w:rPr>
        <w:t>analysis,</w:t>
      </w:r>
      <w:r>
        <w:rPr>
          <w:color w:val="231F20"/>
          <w:spacing w:val="23"/>
        </w:rPr>
        <w:t> </w:t>
      </w:r>
      <w:r>
        <w:rPr>
          <w:color w:val="231F20"/>
        </w:rPr>
        <w:t>the</w:t>
      </w:r>
      <w:r>
        <w:rPr>
          <w:color w:val="231F20"/>
          <w:spacing w:val="-7"/>
        </w:rPr>
        <w:t> </w:t>
      </w:r>
      <w:r>
        <w:rPr>
          <w:color w:val="231F20"/>
          <w:spacing w:val="-1"/>
        </w:rPr>
        <w:t>shortfall</w:t>
      </w:r>
      <w:r>
        <w:rPr>
          <w:color w:val="231F20"/>
          <w:spacing w:val="-5"/>
        </w:rPr>
        <w:t> </w:t>
      </w:r>
      <w:r>
        <w:rPr>
          <w:color w:val="231F20"/>
        </w:rPr>
        <w:t>per</w:t>
      </w:r>
      <w:r>
        <w:rPr>
          <w:color w:val="231F20"/>
          <w:spacing w:val="-6"/>
        </w:rPr>
        <w:t> </w:t>
      </w:r>
      <w:r>
        <w:rPr>
          <w:color w:val="231F20"/>
        </w:rPr>
        <w:t>boarder</w:t>
      </w:r>
      <w:r>
        <w:rPr>
          <w:color w:val="231F20"/>
          <w:spacing w:val="-5"/>
        </w:rPr>
        <w:t> </w:t>
      </w:r>
      <w:r>
        <w:rPr>
          <w:color w:val="231F20"/>
        </w:rPr>
        <w:t>represents</w:t>
      </w:r>
      <w:r>
        <w:rPr>
          <w:color w:val="231F20"/>
          <w:spacing w:val="-8"/>
        </w:rPr>
        <w:t> </w:t>
      </w:r>
      <w:r>
        <w:rPr>
          <w:color w:val="231F20"/>
        </w:rPr>
        <w:t>a</w:t>
      </w:r>
      <w:r>
        <w:rPr>
          <w:color w:val="231F20"/>
          <w:spacing w:val="-6"/>
        </w:rPr>
        <w:t> </w:t>
      </w:r>
      <w:r>
        <w:rPr>
          <w:color w:val="231F20"/>
        </w:rPr>
        <w:t>total</w:t>
      </w:r>
      <w:r>
        <w:rPr>
          <w:color w:val="231F20"/>
          <w:spacing w:val="22"/>
          <w:w w:val="99"/>
        </w:rPr>
        <w:t> </w:t>
      </w:r>
      <w:r>
        <w:rPr>
          <w:color w:val="231F20"/>
        </w:rPr>
        <w:t>annual</w:t>
      </w:r>
      <w:r>
        <w:rPr>
          <w:color w:val="231F20"/>
          <w:spacing w:val="-7"/>
        </w:rPr>
        <w:t> </w:t>
      </w:r>
      <w:r>
        <w:rPr>
          <w:color w:val="231F20"/>
        </w:rPr>
        <w:t>revenue</w:t>
      </w:r>
      <w:r>
        <w:rPr>
          <w:color w:val="231F20"/>
          <w:spacing w:val="-6"/>
        </w:rPr>
        <w:t> </w:t>
      </w:r>
      <w:r>
        <w:rPr>
          <w:color w:val="231F20"/>
          <w:spacing w:val="-1"/>
        </w:rPr>
        <w:t>shortfall</w:t>
      </w:r>
      <w:r>
        <w:rPr>
          <w:color w:val="231F20"/>
          <w:spacing w:val="-5"/>
        </w:rPr>
        <w:t> </w:t>
      </w:r>
      <w:r>
        <w:rPr>
          <w:color w:val="231F20"/>
        </w:rPr>
        <w:t>of</w:t>
      </w:r>
      <w:r>
        <w:rPr>
          <w:color w:val="231F20"/>
          <w:spacing w:val="-6"/>
        </w:rPr>
        <w:t> </w:t>
      </w:r>
      <w:r>
        <w:rPr>
          <w:color w:val="231F20"/>
          <w:spacing w:val="-1"/>
        </w:rPr>
        <w:t>$11,98</w:t>
      </w:r>
      <w:r>
        <w:rPr>
          <w:rFonts w:ascii="Segoe UI"/>
          <w:color w:val="231F20"/>
          <w:spacing w:val="-1"/>
        </w:rPr>
        <w:t>3,664</w:t>
      </w:r>
      <w:r>
        <w:rPr>
          <w:color w:val="231F20"/>
          <w:spacing w:val="-1"/>
        </w:rPr>
        <w:t>.</w:t>
      </w:r>
      <w:r>
        <w:rPr/>
      </w:r>
    </w:p>
    <w:p>
      <w:pPr>
        <w:pStyle w:val="BodyText"/>
        <w:spacing w:line="250" w:lineRule="exact" w:before="72"/>
        <w:ind w:left="257" w:right="333"/>
        <w:jc w:val="left"/>
      </w:pPr>
      <w:r>
        <w:rPr/>
        <w:br w:type="column"/>
      </w:r>
      <w:r>
        <w:rPr>
          <w:color w:val="231F20"/>
        </w:rPr>
        <w:t>The</w:t>
      </w:r>
      <w:r>
        <w:rPr>
          <w:color w:val="231F20"/>
          <w:spacing w:val="-5"/>
        </w:rPr>
        <w:t> </w:t>
      </w:r>
      <w:r>
        <w:rPr>
          <w:color w:val="231F20"/>
        </w:rPr>
        <w:t>cost</w:t>
      </w:r>
      <w:r>
        <w:rPr>
          <w:color w:val="231F20"/>
          <w:spacing w:val="-6"/>
        </w:rPr>
        <w:t> </w:t>
      </w:r>
      <w:r>
        <w:rPr>
          <w:color w:val="231F20"/>
        </w:rPr>
        <w:t>of</w:t>
      </w:r>
      <w:r>
        <w:rPr>
          <w:color w:val="231F20"/>
          <w:spacing w:val="-4"/>
        </w:rPr>
        <w:t> </w:t>
      </w:r>
      <w:r>
        <w:rPr>
          <w:color w:val="231F20"/>
        </w:rPr>
        <w:t>boarding</w:t>
      </w:r>
      <w:r>
        <w:rPr>
          <w:color w:val="231F20"/>
          <w:spacing w:val="-6"/>
        </w:rPr>
        <w:t> </w:t>
      </w:r>
      <w:r>
        <w:rPr>
          <w:color w:val="231F20"/>
        </w:rPr>
        <w:t>for</w:t>
      </w:r>
      <w:r>
        <w:rPr>
          <w:color w:val="231F20"/>
          <w:spacing w:val="-5"/>
        </w:rPr>
        <w:t> </w:t>
      </w:r>
      <w:r>
        <w:rPr>
          <w:color w:val="231F20"/>
        </w:rPr>
        <w:t>Aboriginal</w:t>
      </w:r>
      <w:r>
        <w:rPr>
          <w:color w:val="231F20"/>
          <w:spacing w:val="-4"/>
        </w:rPr>
        <w:t> </w:t>
      </w:r>
      <w:r>
        <w:rPr>
          <w:color w:val="231F20"/>
        </w:rPr>
        <w:t>and</w:t>
      </w:r>
      <w:r>
        <w:rPr>
          <w:color w:val="231F20"/>
          <w:w w:val="99"/>
        </w:rPr>
        <w:t> </w:t>
      </w:r>
      <w:r>
        <w:rPr>
          <w:color w:val="231F20"/>
          <w:spacing w:val="-5"/>
        </w:rPr>
        <w:t>Torres</w:t>
      </w:r>
      <w:r>
        <w:rPr>
          <w:color w:val="231F20"/>
          <w:spacing w:val="-4"/>
        </w:rPr>
        <w:t> </w:t>
      </w:r>
      <w:r>
        <w:rPr>
          <w:color w:val="231F20"/>
          <w:spacing w:val="-2"/>
        </w:rPr>
        <w:t>Strait</w:t>
      </w:r>
      <w:r>
        <w:rPr>
          <w:color w:val="231F20"/>
          <w:spacing w:val="-4"/>
        </w:rPr>
        <w:t> </w:t>
      </w:r>
      <w:r>
        <w:rPr>
          <w:color w:val="231F20"/>
          <w:spacing w:val="-1"/>
        </w:rPr>
        <w:t>Islander</w:t>
      </w:r>
      <w:r>
        <w:rPr>
          <w:color w:val="231F20"/>
          <w:spacing w:val="-3"/>
        </w:rPr>
        <w:t> </w:t>
      </w:r>
      <w:r>
        <w:rPr>
          <w:color w:val="231F20"/>
          <w:spacing w:val="-1"/>
        </w:rPr>
        <w:t>secondary</w:t>
      </w:r>
      <w:r>
        <w:rPr>
          <w:color w:val="231F20"/>
          <w:spacing w:val="-3"/>
        </w:rPr>
        <w:t> </w:t>
      </w:r>
      <w:r>
        <w:rPr>
          <w:color w:val="231F20"/>
          <w:spacing w:val="-1"/>
        </w:rPr>
        <w:t>students</w:t>
      </w:r>
      <w:r>
        <w:rPr>
          <w:color w:val="231F20"/>
          <w:spacing w:val="-3"/>
        </w:rPr>
        <w:t> </w:t>
      </w:r>
      <w:r>
        <w:rPr>
          <w:color w:val="231F20"/>
          <w:spacing w:val="-1"/>
        </w:rPr>
        <w:t>is</w:t>
      </w:r>
      <w:r>
        <w:rPr>
          <w:color w:val="231F20"/>
          <w:spacing w:val="-4"/>
        </w:rPr>
        <w:t> </w:t>
      </w:r>
      <w:r>
        <w:rPr>
          <w:color w:val="231F20"/>
        </w:rPr>
        <w:t>a</w:t>
      </w:r>
      <w:r>
        <w:rPr>
          <w:color w:val="231F20"/>
          <w:spacing w:val="27"/>
          <w:w w:val="99"/>
        </w:rPr>
        <w:t> </w:t>
      </w:r>
      <w:r>
        <w:rPr>
          <w:color w:val="231F20"/>
        </w:rPr>
        <w:t>product</w:t>
      </w:r>
      <w:r>
        <w:rPr>
          <w:color w:val="231F20"/>
          <w:spacing w:val="-7"/>
        </w:rPr>
        <w:t> </w:t>
      </w:r>
      <w:r>
        <w:rPr>
          <w:color w:val="231F20"/>
        </w:rPr>
        <w:t>of</w:t>
      </w:r>
      <w:r>
        <w:rPr>
          <w:color w:val="231F20"/>
          <w:spacing w:val="-6"/>
        </w:rPr>
        <w:t> </w:t>
      </w:r>
      <w:r>
        <w:rPr>
          <w:color w:val="231F20"/>
        </w:rPr>
        <w:t>a</w:t>
      </w:r>
      <w:r>
        <w:rPr>
          <w:color w:val="231F20"/>
          <w:spacing w:val="-6"/>
        </w:rPr>
        <w:t> </w:t>
      </w:r>
      <w:r>
        <w:rPr>
          <w:color w:val="231F20"/>
        </w:rPr>
        <w:t>number</w:t>
      </w:r>
      <w:r>
        <w:rPr>
          <w:color w:val="231F20"/>
          <w:spacing w:val="-6"/>
        </w:rPr>
        <w:t> </w:t>
      </w:r>
      <w:r>
        <w:rPr>
          <w:color w:val="231F20"/>
        </w:rPr>
        <w:t>of</w:t>
      </w:r>
      <w:r>
        <w:rPr>
          <w:color w:val="231F20"/>
          <w:spacing w:val="-6"/>
        </w:rPr>
        <w:t> </w:t>
      </w:r>
      <w:r>
        <w:rPr>
          <w:color w:val="231F20"/>
        </w:rPr>
        <w:t>factors,</w:t>
      </w:r>
      <w:r>
        <w:rPr>
          <w:color w:val="231F20"/>
          <w:spacing w:val="-6"/>
        </w:rPr>
        <w:t> </w:t>
      </w:r>
      <w:r>
        <w:rPr>
          <w:color w:val="231F20"/>
        </w:rPr>
        <w:t>particularly</w:t>
      </w:r>
      <w:r>
        <w:rPr/>
      </w:r>
    </w:p>
    <w:p>
      <w:pPr>
        <w:pStyle w:val="BodyText"/>
        <w:spacing w:line="250" w:lineRule="exact"/>
        <w:ind w:left="257" w:right="0"/>
        <w:jc w:val="left"/>
      </w:pPr>
      <w:r>
        <w:rPr>
          <w:color w:val="231F20"/>
        </w:rPr>
        <w:t>disadvantage,</w:t>
      </w:r>
      <w:r>
        <w:rPr>
          <w:color w:val="231F20"/>
          <w:spacing w:val="-7"/>
        </w:rPr>
        <w:t> </w:t>
      </w:r>
      <w:r>
        <w:rPr>
          <w:color w:val="231F20"/>
          <w:spacing w:val="-1"/>
        </w:rPr>
        <w:t>school</w:t>
      </w:r>
      <w:r>
        <w:rPr>
          <w:color w:val="231F20"/>
          <w:spacing w:val="-6"/>
        </w:rPr>
        <w:t> </w:t>
      </w:r>
      <w:r>
        <w:rPr>
          <w:color w:val="231F20"/>
          <w:spacing w:val="-1"/>
        </w:rPr>
        <w:t>size</w:t>
      </w:r>
      <w:r>
        <w:rPr>
          <w:color w:val="231F20"/>
          <w:spacing w:val="-6"/>
        </w:rPr>
        <w:t> </w:t>
      </w:r>
      <w:r>
        <w:rPr>
          <w:color w:val="231F20"/>
        </w:rPr>
        <w:t>and</w:t>
      </w:r>
      <w:r>
        <w:rPr>
          <w:color w:val="231F20"/>
          <w:spacing w:val="-6"/>
        </w:rPr>
        <w:t> </w:t>
      </w:r>
      <w:r>
        <w:rPr>
          <w:color w:val="231F20"/>
        </w:rPr>
        <w:t>the</w:t>
      </w:r>
      <w:r>
        <w:rPr>
          <w:color w:val="231F20"/>
          <w:spacing w:val="-6"/>
        </w:rPr>
        <w:t> </w:t>
      </w:r>
      <w:r>
        <w:rPr>
          <w:color w:val="231F20"/>
        </w:rPr>
        <w:t>proportion</w:t>
      </w:r>
      <w:r>
        <w:rPr>
          <w:color w:val="231F20"/>
          <w:spacing w:val="-7"/>
        </w:rPr>
        <w:t> </w:t>
      </w:r>
      <w:r>
        <w:rPr>
          <w:color w:val="231F20"/>
        </w:rPr>
        <w:t>of</w:t>
      </w:r>
      <w:r>
        <w:rPr>
          <w:color w:val="231F20"/>
          <w:spacing w:val="23"/>
          <w:w w:val="99"/>
        </w:rPr>
        <w:t> </w:t>
      </w:r>
      <w:r>
        <w:rPr>
          <w:color w:val="231F20"/>
        </w:rPr>
        <w:t>Aboriginal</w:t>
      </w:r>
      <w:r>
        <w:rPr>
          <w:color w:val="231F20"/>
          <w:spacing w:val="-6"/>
        </w:rPr>
        <w:t> </w:t>
      </w:r>
      <w:r>
        <w:rPr>
          <w:color w:val="231F20"/>
        </w:rPr>
        <w:t>and</w:t>
      </w:r>
      <w:r>
        <w:rPr>
          <w:color w:val="231F20"/>
          <w:spacing w:val="-6"/>
        </w:rPr>
        <w:t> </w:t>
      </w:r>
      <w:r>
        <w:rPr>
          <w:color w:val="231F20"/>
          <w:spacing w:val="-5"/>
        </w:rPr>
        <w:t>Torres</w:t>
      </w:r>
      <w:r>
        <w:rPr>
          <w:color w:val="231F20"/>
          <w:spacing w:val="-6"/>
        </w:rPr>
        <w:t> </w:t>
      </w:r>
      <w:r>
        <w:rPr>
          <w:color w:val="231F20"/>
          <w:spacing w:val="-2"/>
        </w:rPr>
        <w:t>Strait</w:t>
      </w:r>
      <w:r>
        <w:rPr>
          <w:color w:val="231F20"/>
          <w:spacing w:val="-6"/>
        </w:rPr>
        <w:t> </w:t>
      </w:r>
      <w:r>
        <w:rPr>
          <w:color w:val="231F20"/>
          <w:spacing w:val="-1"/>
        </w:rPr>
        <w:t>Islander</w:t>
      </w:r>
      <w:r>
        <w:rPr>
          <w:color w:val="231F20"/>
          <w:spacing w:val="-5"/>
        </w:rPr>
        <w:t> </w:t>
      </w:r>
      <w:r>
        <w:rPr>
          <w:color w:val="231F20"/>
        </w:rPr>
        <w:t>boarders</w:t>
      </w:r>
      <w:r>
        <w:rPr>
          <w:color w:val="231F20"/>
          <w:spacing w:val="-6"/>
        </w:rPr>
        <w:t> </w:t>
      </w:r>
      <w:r>
        <w:rPr>
          <w:color w:val="231F20"/>
          <w:spacing w:val="-6"/>
        </w:rPr>
      </w:r>
      <w:r>
        <w:rPr>
          <w:color w:val="231F20"/>
        </w:rPr>
        <w:t>to</w:t>
      </w:r>
      <w:r>
        <w:rPr>
          <w:color w:val="231F20"/>
          <w:spacing w:val="21"/>
        </w:rPr>
        <w:t> </w:t>
      </w:r>
      <w:r>
        <w:rPr>
          <w:color w:val="231F20"/>
        </w:rPr>
        <w:t>total</w:t>
      </w:r>
      <w:r>
        <w:rPr>
          <w:color w:val="231F20"/>
          <w:spacing w:val="-14"/>
        </w:rPr>
        <w:t> </w:t>
      </w:r>
      <w:r>
        <w:rPr>
          <w:color w:val="231F20"/>
        </w:rPr>
        <w:t>boarders.</w:t>
      </w:r>
      <w:r>
        <w:rPr/>
      </w:r>
    </w:p>
    <w:p>
      <w:pPr>
        <w:pStyle w:val="BodyText"/>
        <w:spacing w:line="250" w:lineRule="exact" w:before="113"/>
        <w:ind w:left="257" w:right="121"/>
        <w:jc w:val="left"/>
      </w:pPr>
      <w:r>
        <w:rPr>
          <w:color w:val="231F20"/>
        </w:rPr>
        <w:t>There</w:t>
      </w:r>
      <w:r>
        <w:rPr>
          <w:color w:val="231F20"/>
          <w:spacing w:val="-5"/>
        </w:rPr>
        <w:t> </w:t>
      </w:r>
      <w:r>
        <w:rPr>
          <w:color w:val="231F20"/>
          <w:spacing w:val="-1"/>
        </w:rPr>
        <w:t>is</w:t>
      </w:r>
      <w:r>
        <w:rPr>
          <w:color w:val="231F20"/>
          <w:spacing w:val="-6"/>
        </w:rPr>
        <w:t> </w:t>
      </w:r>
      <w:r>
        <w:rPr>
          <w:color w:val="231F20"/>
        </w:rPr>
        <w:t>a</w:t>
      </w:r>
      <w:r>
        <w:rPr>
          <w:color w:val="231F20"/>
          <w:spacing w:val="-5"/>
        </w:rPr>
        <w:t> </w:t>
      </w:r>
      <w:r>
        <w:rPr>
          <w:color w:val="231F20"/>
        </w:rPr>
        <w:t>transition</w:t>
      </w:r>
      <w:r>
        <w:rPr>
          <w:color w:val="231F20"/>
          <w:spacing w:val="-6"/>
        </w:rPr>
        <w:t> </w:t>
      </w:r>
      <w:r>
        <w:rPr>
          <w:color w:val="231F20"/>
        </w:rPr>
        <w:t>occurring</w:t>
      </w:r>
      <w:r>
        <w:rPr>
          <w:color w:val="231F20"/>
          <w:spacing w:val="-5"/>
        </w:rPr>
        <w:t> </w:t>
      </w:r>
      <w:r>
        <w:rPr>
          <w:color w:val="231F20"/>
          <w:spacing w:val="-1"/>
        </w:rPr>
        <w:t>in</w:t>
      </w:r>
      <w:r>
        <w:rPr>
          <w:color w:val="231F20"/>
          <w:spacing w:val="-5"/>
        </w:rPr>
        <w:t> </w:t>
      </w:r>
      <w:r>
        <w:rPr>
          <w:color w:val="231F20"/>
        </w:rPr>
        <w:t>the</w:t>
      </w:r>
      <w:r>
        <w:rPr>
          <w:color w:val="231F20"/>
          <w:spacing w:val="-6"/>
        </w:rPr>
        <w:t> </w:t>
      </w:r>
      <w:r>
        <w:rPr>
          <w:color w:val="231F20"/>
        </w:rPr>
        <w:t>Aboriginal</w:t>
      </w:r>
      <w:r>
        <w:rPr>
          <w:color w:val="231F20"/>
          <w:spacing w:val="22"/>
          <w:w w:val="99"/>
        </w:rPr>
        <w:t> </w:t>
      </w:r>
      <w:r>
        <w:rPr>
          <w:color w:val="231F20"/>
        </w:rPr>
        <w:t>and</w:t>
      </w:r>
      <w:r>
        <w:rPr>
          <w:color w:val="231F20"/>
          <w:spacing w:val="-7"/>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5"/>
        </w:rPr>
        <w:t> </w:t>
      </w:r>
      <w:r>
        <w:rPr>
          <w:color w:val="231F20"/>
        </w:rPr>
        <w:t>boarding</w:t>
      </w:r>
      <w:r>
        <w:rPr>
          <w:color w:val="231F20"/>
          <w:spacing w:val="-6"/>
        </w:rPr>
        <w:t> </w:t>
      </w:r>
      <w:r>
        <w:rPr>
          <w:color w:val="231F20"/>
          <w:spacing w:val="-1"/>
        </w:rPr>
        <w:t>sector</w:t>
      </w:r>
      <w:r>
        <w:rPr>
          <w:color w:val="231F20"/>
          <w:spacing w:val="-6"/>
        </w:rPr>
        <w:t> </w:t>
      </w:r>
      <w:r>
        <w:rPr>
          <w:color w:val="231F20"/>
        </w:rPr>
        <w:t>away</w:t>
      </w:r>
      <w:r>
        <w:rPr>
          <w:color w:val="231F20"/>
          <w:spacing w:val="23"/>
          <w:w w:val="99"/>
        </w:rPr>
        <w:t> </w:t>
      </w:r>
      <w:r>
        <w:rPr>
          <w:color w:val="231F20"/>
        </w:rPr>
        <w:t>from</w:t>
      </w:r>
      <w:r>
        <w:rPr>
          <w:color w:val="231F20"/>
          <w:spacing w:val="-5"/>
        </w:rPr>
        <w:t> </w:t>
      </w:r>
      <w:r>
        <w:rPr>
          <w:color w:val="231F20"/>
        </w:rPr>
        <w:t>the</w:t>
      </w:r>
      <w:r>
        <w:rPr>
          <w:color w:val="231F20"/>
          <w:spacing w:val="-6"/>
        </w:rPr>
        <w:t> </w:t>
      </w:r>
      <w:r>
        <w:rPr>
          <w:color w:val="231F20"/>
        </w:rPr>
        <w:t>traditional</w:t>
      </w:r>
      <w:r>
        <w:rPr>
          <w:color w:val="231F20"/>
          <w:spacing w:val="-6"/>
        </w:rPr>
        <w:t> </w:t>
      </w:r>
      <w:r>
        <w:rPr>
          <w:color w:val="231F20"/>
          <w:spacing w:val="-1"/>
        </w:rPr>
        <w:t>long</w:t>
      </w:r>
      <w:r>
        <w:rPr>
          <w:color w:val="231F20"/>
          <w:spacing w:val="-5"/>
        </w:rPr>
        <w:t> </w:t>
      </w:r>
      <w:r>
        <w:rPr>
          <w:color w:val="231F20"/>
        </w:rPr>
        <w:t>established</w:t>
      </w:r>
      <w:r>
        <w:rPr>
          <w:color w:val="231F20"/>
          <w:spacing w:val="-6"/>
        </w:rPr>
        <w:t> </w:t>
      </w:r>
      <w:r>
        <w:rPr>
          <w:color w:val="231F20"/>
          <w:spacing w:val="-1"/>
        </w:rPr>
        <w:t>large</w:t>
      </w:r>
      <w:r>
        <w:rPr>
          <w:color w:val="231F20"/>
          <w:spacing w:val="21"/>
          <w:w w:val="99"/>
        </w:rPr>
        <w:t> </w:t>
      </w:r>
      <w:r>
        <w:rPr>
          <w:color w:val="231F20"/>
        </w:rPr>
        <w:t>boarding</w:t>
      </w:r>
      <w:r>
        <w:rPr>
          <w:color w:val="231F20"/>
          <w:spacing w:val="-7"/>
        </w:rPr>
        <w:t> </w:t>
      </w:r>
      <w:r>
        <w:rPr>
          <w:color w:val="231F20"/>
        </w:rPr>
        <w:t>providers</w:t>
      </w:r>
      <w:r>
        <w:rPr>
          <w:color w:val="231F20"/>
          <w:spacing w:val="-7"/>
        </w:rPr>
        <w:t> </w:t>
      </w:r>
      <w:r>
        <w:rPr>
          <w:color w:val="231F20"/>
        </w:rPr>
        <w:t>to</w:t>
      </w:r>
      <w:r>
        <w:rPr>
          <w:color w:val="231F20"/>
          <w:spacing w:val="-6"/>
        </w:rPr>
        <w:t> </w:t>
      </w:r>
      <w:r>
        <w:rPr>
          <w:color w:val="231F20"/>
        </w:rPr>
        <w:t>a</w:t>
      </w:r>
      <w:r>
        <w:rPr>
          <w:color w:val="231F20"/>
          <w:spacing w:val="-7"/>
        </w:rPr>
        <w:t> </w:t>
      </w:r>
      <w:r>
        <w:rPr>
          <w:color w:val="231F20"/>
        </w:rPr>
        <w:t>new</w:t>
      </w:r>
      <w:r>
        <w:rPr>
          <w:color w:val="231F20"/>
          <w:spacing w:val="-7"/>
        </w:rPr>
        <w:t> </w:t>
      </w:r>
      <w:r>
        <w:rPr>
          <w:color w:val="231F20"/>
          <w:spacing w:val="-1"/>
        </w:rPr>
        <w:t>model</w:t>
      </w:r>
      <w:r>
        <w:rPr>
          <w:color w:val="231F20"/>
          <w:spacing w:val="-5"/>
        </w:rPr>
        <w:t> </w:t>
      </w:r>
      <w:r>
        <w:rPr>
          <w:color w:val="231F20"/>
        </w:rPr>
        <w:t>of</w:t>
      </w:r>
      <w:r>
        <w:rPr>
          <w:color w:val="231F20"/>
          <w:spacing w:val="-7"/>
        </w:rPr>
        <w:t> </w:t>
      </w:r>
      <w:r>
        <w:rPr>
          <w:color w:val="231F20"/>
        </w:rPr>
        <w:t>boarding</w:t>
      </w:r>
      <w:r>
        <w:rPr>
          <w:color w:val="231F20"/>
          <w:spacing w:val="21"/>
          <w:w w:val="99"/>
        </w:rPr>
        <w:t> </w:t>
      </w:r>
      <w:r>
        <w:rPr>
          <w:color w:val="231F20"/>
        </w:rPr>
        <w:t>provider</w:t>
      </w:r>
      <w:r>
        <w:rPr>
          <w:color w:val="231F20"/>
          <w:spacing w:val="-6"/>
        </w:rPr>
        <w:t> </w:t>
      </w:r>
      <w:r>
        <w:rPr>
          <w:color w:val="231F20"/>
        </w:rPr>
        <w:t>that</w:t>
      </w:r>
      <w:r>
        <w:rPr>
          <w:color w:val="231F20"/>
          <w:spacing w:val="-6"/>
        </w:rPr>
        <w:t> </w:t>
      </w:r>
      <w:r>
        <w:rPr>
          <w:color w:val="231F20"/>
        </w:rPr>
        <w:t>caters</w:t>
      </w:r>
      <w:r>
        <w:rPr>
          <w:color w:val="231F20"/>
          <w:spacing w:val="-5"/>
        </w:rPr>
        <w:t> </w:t>
      </w:r>
      <w:r>
        <w:rPr>
          <w:color w:val="231F20"/>
        </w:rPr>
        <w:t>for</w:t>
      </w:r>
      <w:r>
        <w:rPr>
          <w:color w:val="231F20"/>
          <w:spacing w:val="-5"/>
        </w:rPr>
        <w:t> </w:t>
      </w:r>
      <w:r>
        <w:rPr>
          <w:color w:val="231F20"/>
          <w:spacing w:val="-1"/>
        </w:rPr>
        <w:t>smaller</w:t>
      </w:r>
      <w:r>
        <w:rPr>
          <w:color w:val="231F20"/>
          <w:spacing w:val="-5"/>
        </w:rPr>
        <w:t> </w:t>
      </w:r>
      <w:r>
        <w:rPr>
          <w:color w:val="231F20"/>
        </w:rPr>
        <w:t>numbers</w:t>
      </w:r>
      <w:r>
        <w:rPr>
          <w:color w:val="231F20"/>
          <w:spacing w:val="-6"/>
        </w:rPr>
        <w:t> </w:t>
      </w:r>
      <w:r>
        <w:rPr>
          <w:color w:val="231F20"/>
        </w:rPr>
        <w:t>of</w:t>
      </w:r>
      <w:r>
        <w:rPr>
          <w:color w:val="231F20"/>
          <w:spacing w:val="22"/>
          <w:w w:val="99"/>
        </w:rPr>
        <w:t> </w:t>
      </w:r>
      <w:r>
        <w:rPr>
          <w:color w:val="231F20"/>
        </w:rPr>
        <w:t>boarders.</w:t>
      </w:r>
      <w:r>
        <w:rPr>
          <w:color w:val="231F20"/>
          <w:spacing w:val="-6"/>
        </w:rPr>
        <w:t> </w:t>
      </w:r>
      <w:r>
        <w:rPr>
          <w:color w:val="231F20"/>
          <w:spacing w:val="-1"/>
        </w:rPr>
        <w:t>While</w:t>
      </w:r>
      <w:r>
        <w:rPr>
          <w:color w:val="231F20"/>
          <w:spacing w:val="-5"/>
        </w:rPr>
        <w:t> </w:t>
      </w:r>
      <w:r>
        <w:rPr>
          <w:color w:val="231F20"/>
        </w:rPr>
        <w:t>the</w:t>
      </w:r>
      <w:r>
        <w:rPr>
          <w:color w:val="231F20"/>
          <w:spacing w:val="-6"/>
        </w:rPr>
        <w:t> </w:t>
      </w:r>
      <w:r>
        <w:rPr>
          <w:color w:val="231F20"/>
        </w:rPr>
        <w:t>costs</w:t>
      </w:r>
      <w:r>
        <w:rPr>
          <w:color w:val="231F20"/>
          <w:spacing w:val="-5"/>
        </w:rPr>
        <w:t> </w:t>
      </w:r>
      <w:r>
        <w:rPr>
          <w:color w:val="231F20"/>
        </w:rPr>
        <w:t>are</w:t>
      </w:r>
      <w:r>
        <w:rPr>
          <w:color w:val="231F20"/>
          <w:spacing w:val="-6"/>
        </w:rPr>
        <w:t> </w:t>
      </w:r>
      <w:r>
        <w:rPr>
          <w:color w:val="231F20"/>
        </w:rPr>
        <w:t>generally</w:t>
      </w:r>
      <w:r>
        <w:rPr>
          <w:color w:val="231F20"/>
          <w:spacing w:val="-6"/>
        </w:rPr>
        <w:t> </w:t>
      </w:r>
      <w:r>
        <w:rPr>
          <w:color w:val="231F20"/>
        </w:rPr>
        <w:t>higher,</w:t>
      </w:r>
      <w:r>
        <w:rPr>
          <w:color w:val="231F20"/>
          <w:spacing w:val="21"/>
          <w:w w:val="99"/>
        </w:rPr>
        <w:t> </w:t>
      </w:r>
      <w:r>
        <w:rPr>
          <w:color w:val="231F20"/>
        </w:rPr>
        <w:t>the</w:t>
      </w:r>
      <w:r>
        <w:rPr>
          <w:color w:val="231F20"/>
          <w:spacing w:val="-7"/>
        </w:rPr>
        <w:t> </w:t>
      </w:r>
      <w:r>
        <w:rPr>
          <w:color w:val="231F20"/>
          <w:spacing w:val="-1"/>
        </w:rPr>
        <w:t>smaller</w:t>
      </w:r>
      <w:r>
        <w:rPr>
          <w:color w:val="231F20"/>
          <w:spacing w:val="-5"/>
        </w:rPr>
        <w:t> </w:t>
      </w:r>
      <w:r>
        <w:rPr>
          <w:color w:val="231F20"/>
        </w:rPr>
        <w:t>providers</w:t>
      </w:r>
      <w:r>
        <w:rPr>
          <w:color w:val="231F20"/>
          <w:spacing w:val="-6"/>
        </w:rPr>
        <w:t> </w:t>
      </w:r>
      <w:r>
        <w:rPr>
          <w:color w:val="231F20"/>
        </w:rPr>
        <w:t>are</w:t>
      </w:r>
      <w:r>
        <w:rPr>
          <w:color w:val="231F20"/>
          <w:spacing w:val="-6"/>
        </w:rPr>
        <w:t> </w:t>
      </w:r>
      <w:r>
        <w:rPr>
          <w:color w:val="231F20"/>
        </w:rPr>
        <w:t>attracting</w:t>
      </w:r>
      <w:r>
        <w:rPr>
          <w:color w:val="231F20"/>
          <w:spacing w:val="-6"/>
        </w:rPr>
        <w:t> </w:t>
      </w:r>
      <w:r>
        <w:rPr>
          <w:color w:val="231F20"/>
        </w:rPr>
        <w:t>new</w:t>
      </w:r>
      <w:r>
        <w:rPr>
          <w:color w:val="231F20"/>
          <w:w w:val="99"/>
        </w:rPr>
        <w:t> </w:t>
      </w:r>
      <w:r>
        <w:rPr>
          <w:color w:val="231F20"/>
          <w:spacing w:val="22"/>
          <w:w w:val="99"/>
        </w:rPr>
        <w:t> </w:t>
      </w:r>
      <w:r>
        <w:rPr>
          <w:color w:val="231F20"/>
          <w:spacing w:val="-1"/>
        </w:rPr>
        <w:t>sources</w:t>
      </w:r>
      <w:r>
        <w:rPr>
          <w:color w:val="231F20"/>
          <w:spacing w:val="-4"/>
        </w:rPr>
        <w:t> </w:t>
      </w:r>
      <w:r>
        <w:rPr>
          <w:color w:val="231F20"/>
        </w:rPr>
        <w:t>of</w:t>
      </w:r>
      <w:r>
        <w:rPr>
          <w:color w:val="231F20"/>
          <w:spacing w:val="-3"/>
        </w:rPr>
        <w:t> </w:t>
      </w:r>
      <w:r>
        <w:rPr>
          <w:color w:val="231F20"/>
          <w:spacing w:val="-1"/>
        </w:rPr>
        <w:t>income</w:t>
      </w:r>
      <w:r>
        <w:rPr>
          <w:color w:val="231F20"/>
          <w:spacing w:val="-4"/>
        </w:rPr>
        <w:t> </w:t>
      </w:r>
      <w:r>
        <w:rPr>
          <w:color w:val="231F20"/>
        </w:rPr>
        <w:t>from</w:t>
      </w:r>
      <w:r>
        <w:rPr>
          <w:color w:val="231F20"/>
          <w:spacing w:val="-3"/>
        </w:rPr>
        <w:t> </w:t>
      </w:r>
      <w:r>
        <w:rPr>
          <w:color w:val="231F20"/>
        </w:rPr>
        <w:t>the</w:t>
      </w:r>
      <w:r>
        <w:rPr>
          <w:color w:val="231F20"/>
          <w:spacing w:val="-4"/>
        </w:rPr>
        <w:t> </w:t>
      </w:r>
      <w:r>
        <w:rPr>
          <w:color w:val="231F20"/>
        </w:rPr>
        <w:t>private</w:t>
      </w:r>
      <w:r>
        <w:rPr>
          <w:color w:val="231F20"/>
          <w:spacing w:val="-5"/>
        </w:rPr>
        <w:t> </w:t>
      </w:r>
      <w:r>
        <w:rPr>
          <w:color w:val="231F20"/>
          <w:spacing w:val="-1"/>
        </w:rPr>
        <w:t>sector</w:t>
      </w:r>
      <w:r>
        <w:rPr>
          <w:color w:val="231F20"/>
          <w:spacing w:val="-3"/>
        </w:rPr>
        <w:t> </w:t>
      </w:r>
      <w:r>
        <w:rPr>
          <w:color w:val="231F20"/>
        </w:rPr>
        <w:t>and</w:t>
      </w:r>
      <w:r>
        <w:rPr>
          <w:color w:val="231F20"/>
          <w:spacing w:val="24"/>
          <w:w w:val="99"/>
        </w:rPr>
        <w:t> </w:t>
      </w:r>
      <w:r>
        <w:rPr>
          <w:color w:val="231F20"/>
        </w:rPr>
        <w:t>government</w:t>
      </w:r>
      <w:r>
        <w:rPr>
          <w:color w:val="231F20"/>
          <w:spacing w:val="-7"/>
        </w:rPr>
        <w:t> </w:t>
      </w:r>
      <w:r>
        <w:rPr>
          <w:color w:val="231F20"/>
        </w:rPr>
        <w:t>to</w:t>
      </w:r>
      <w:r>
        <w:rPr>
          <w:color w:val="231F20"/>
          <w:spacing w:val="-6"/>
        </w:rPr>
        <w:t> </w:t>
      </w:r>
      <w:r>
        <w:rPr>
          <w:color w:val="231F20"/>
        </w:rPr>
        <w:t>address</w:t>
      </w:r>
      <w:r>
        <w:rPr>
          <w:color w:val="231F20"/>
          <w:spacing w:val="-7"/>
        </w:rPr>
        <w:t> </w:t>
      </w:r>
      <w:r>
        <w:rPr>
          <w:color w:val="231F20"/>
        </w:rPr>
        <w:t>revenue</w:t>
      </w:r>
      <w:r>
        <w:rPr>
          <w:color w:val="231F20"/>
          <w:spacing w:val="-7"/>
        </w:rPr>
        <w:t> </w:t>
      </w:r>
      <w:r>
        <w:rPr>
          <w:color w:val="231F20"/>
          <w:spacing w:val="-1"/>
        </w:rPr>
        <w:t>shortfalls</w:t>
      </w:r>
      <w:r>
        <w:rPr>
          <w:color w:val="231F20"/>
          <w:spacing w:val="-5"/>
        </w:rPr>
        <w:t> </w:t>
      </w:r>
      <w:r>
        <w:rPr>
          <w:color w:val="231F20"/>
        </w:rPr>
        <w:t>and</w:t>
      </w:r>
      <w:r>
        <w:rPr>
          <w:color w:val="231F20"/>
          <w:spacing w:val="22"/>
          <w:w w:val="99"/>
        </w:rPr>
        <w:t> </w:t>
      </w:r>
      <w:r>
        <w:rPr>
          <w:color w:val="231F20"/>
        </w:rPr>
        <w:t>the</w:t>
      </w:r>
      <w:r>
        <w:rPr>
          <w:color w:val="231F20"/>
          <w:spacing w:val="-5"/>
        </w:rPr>
        <w:t> </w:t>
      </w:r>
      <w:r>
        <w:rPr>
          <w:color w:val="231F20"/>
        </w:rPr>
        <w:t>early</w:t>
      </w:r>
      <w:r>
        <w:rPr>
          <w:color w:val="231F20"/>
          <w:spacing w:val="-3"/>
        </w:rPr>
        <w:t> </w:t>
      </w:r>
      <w:r>
        <w:rPr>
          <w:color w:val="231F20"/>
        </w:rPr>
        <w:t>evidence</w:t>
      </w:r>
      <w:r>
        <w:rPr>
          <w:color w:val="231F20"/>
          <w:spacing w:val="-4"/>
        </w:rPr>
        <w:t> </w:t>
      </w:r>
      <w:r>
        <w:rPr>
          <w:color w:val="231F20"/>
          <w:spacing w:val="-1"/>
        </w:rPr>
        <w:t>suggests</w:t>
      </w:r>
      <w:r>
        <w:rPr>
          <w:color w:val="231F20"/>
          <w:spacing w:val="-3"/>
        </w:rPr>
        <w:t> </w:t>
      </w:r>
      <w:r>
        <w:rPr>
          <w:color w:val="231F20"/>
        </w:rPr>
        <w:t>that</w:t>
      </w:r>
      <w:r>
        <w:rPr>
          <w:color w:val="231F20"/>
          <w:spacing w:val="-4"/>
        </w:rPr>
        <w:t> </w:t>
      </w:r>
      <w:r>
        <w:rPr>
          <w:color w:val="231F20"/>
        </w:rPr>
        <w:t>these</w:t>
      </w:r>
      <w:r>
        <w:rPr>
          <w:color w:val="231F20"/>
          <w:spacing w:val="-4"/>
        </w:rPr>
        <w:t> </w:t>
      </w:r>
      <w:r>
        <w:rPr>
          <w:color w:val="231F20"/>
          <w:spacing w:val="-1"/>
        </w:rPr>
        <w:t>smaller</w:t>
      </w:r>
      <w:r>
        <w:rPr>
          <w:color w:val="231F20"/>
          <w:spacing w:val="21"/>
        </w:rPr>
        <w:t> </w:t>
      </w:r>
      <w:r>
        <w:rPr>
          <w:color w:val="231F20"/>
        </w:rPr>
        <w:t>providers</w:t>
      </w:r>
      <w:r>
        <w:rPr>
          <w:color w:val="231F20"/>
          <w:spacing w:val="-7"/>
        </w:rPr>
        <w:t> </w:t>
      </w:r>
      <w:r>
        <w:rPr>
          <w:color w:val="231F20"/>
        </w:rPr>
        <w:t>are</w:t>
      </w:r>
      <w:r>
        <w:rPr>
          <w:color w:val="231F20"/>
          <w:spacing w:val="-6"/>
        </w:rPr>
        <w:t> </w:t>
      </w:r>
      <w:r>
        <w:rPr>
          <w:color w:val="231F20"/>
        </w:rPr>
        <w:t>delivering</w:t>
      </w:r>
      <w:r>
        <w:rPr>
          <w:color w:val="231F20"/>
          <w:spacing w:val="-7"/>
        </w:rPr>
        <w:t> </w:t>
      </w:r>
      <w:r>
        <w:rPr>
          <w:color w:val="231F20"/>
        </w:rPr>
        <w:t>better</w:t>
      </w:r>
      <w:r>
        <w:rPr>
          <w:color w:val="231F20"/>
          <w:spacing w:val="-6"/>
        </w:rPr>
        <w:t> </w:t>
      </w:r>
      <w:r>
        <w:rPr>
          <w:color w:val="231F20"/>
        </w:rPr>
        <w:t>outcomes</w:t>
      </w:r>
      <w:r>
        <w:rPr>
          <w:color w:val="231F20"/>
          <w:spacing w:val="-7"/>
        </w:rPr>
        <w:t> </w:t>
      </w:r>
      <w:r>
        <w:rPr>
          <w:color w:val="231F20"/>
        </w:rPr>
        <w:t>for</w:t>
      </w:r>
      <w:r>
        <w:rPr>
          <w:color w:val="231F20"/>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spacing w:val="-1"/>
        </w:rPr>
        <w:t>students.</w:t>
      </w:r>
      <w:r>
        <w:rPr/>
      </w:r>
    </w:p>
    <w:p>
      <w:pPr>
        <w:pStyle w:val="BodyText"/>
        <w:spacing w:line="250" w:lineRule="exact" w:before="113"/>
        <w:ind w:left="257" w:right="134"/>
        <w:jc w:val="left"/>
      </w:pPr>
      <w:r>
        <w:rPr>
          <w:color w:val="231F20"/>
        </w:rPr>
        <w:t>A</w:t>
      </w:r>
      <w:r>
        <w:rPr>
          <w:color w:val="231F20"/>
          <w:spacing w:val="-7"/>
        </w:rPr>
        <w:t> </w:t>
      </w:r>
      <w:r>
        <w:rPr>
          <w:color w:val="231F20"/>
        </w:rPr>
        <w:t>number</w:t>
      </w:r>
      <w:r>
        <w:rPr>
          <w:color w:val="231F20"/>
          <w:spacing w:val="-8"/>
        </w:rPr>
        <w:t> </w:t>
      </w:r>
      <w:r>
        <w:rPr>
          <w:color w:val="231F20"/>
        </w:rPr>
        <w:t>of</w:t>
      </w:r>
      <w:r>
        <w:rPr>
          <w:color w:val="231F20"/>
          <w:spacing w:val="-7"/>
        </w:rPr>
        <w:t> </w:t>
      </w:r>
      <w:r>
        <w:rPr>
          <w:color w:val="231F20"/>
        </w:rPr>
        <w:t>recommendations</w:t>
      </w:r>
      <w:r>
        <w:rPr>
          <w:color w:val="231F20"/>
          <w:spacing w:val="-8"/>
        </w:rPr>
        <w:t> </w:t>
      </w:r>
      <w:r>
        <w:rPr>
          <w:color w:val="231F20"/>
        </w:rPr>
        <w:t>have</w:t>
      </w:r>
      <w:r>
        <w:rPr>
          <w:color w:val="231F20"/>
          <w:spacing w:val="-8"/>
        </w:rPr>
        <w:t> </w:t>
      </w:r>
      <w:r>
        <w:rPr>
          <w:color w:val="231F20"/>
        </w:rPr>
        <w:t>been</w:t>
      </w:r>
      <w:r>
        <w:rPr>
          <w:color w:val="231F20"/>
          <w:w w:val="99"/>
        </w:rPr>
        <w:t> </w:t>
      </w:r>
      <w:r>
        <w:rPr>
          <w:color w:val="231F20"/>
          <w:spacing w:val="-1"/>
        </w:rPr>
        <w:t>made</w:t>
      </w:r>
      <w:r>
        <w:rPr>
          <w:color w:val="231F20"/>
          <w:spacing w:val="-5"/>
        </w:rPr>
        <w:t> </w:t>
      </w:r>
      <w:r>
        <w:rPr>
          <w:color w:val="231F20"/>
        </w:rPr>
        <w:t>to</w:t>
      </w:r>
      <w:r>
        <w:rPr>
          <w:color w:val="231F20"/>
          <w:spacing w:val="-5"/>
        </w:rPr>
        <w:t> </w:t>
      </w:r>
      <w:r>
        <w:rPr>
          <w:color w:val="231F20"/>
          <w:spacing w:val="-1"/>
        </w:rPr>
        <w:t>improve</w:t>
      </w:r>
      <w:r>
        <w:rPr>
          <w:color w:val="231F20"/>
          <w:spacing w:val="-5"/>
        </w:rPr>
        <w:t> </w:t>
      </w:r>
      <w:r>
        <w:rPr>
          <w:color w:val="231F20"/>
        </w:rPr>
        <w:t>boarding</w:t>
      </w:r>
      <w:r>
        <w:rPr>
          <w:color w:val="231F20"/>
          <w:spacing w:val="-6"/>
        </w:rPr>
        <w:t> </w:t>
      </w:r>
      <w:r>
        <w:rPr>
          <w:color w:val="231F20"/>
        </w:rPr>
        <w:t>outcomes</w:t>
      </w:r>
      <w:r>
        <w:rPr>
          <w:color w:val="231F20"/>
          <w:spacing w:val="-6"/>
        </w:rPr>
        <w:t> </w:t>
      </w:r>
      <w:r>
        <w:rPr>
          <w:color w:val="231F20"/>
        </w:rPr>
        <w:t>for</w:t>
      </w:r>
      <w:r>
        <w:rPr>
          <w:color w:val="231F20"/>
          <w:spacing w:val="23"/>
          <w:w w:val="99"/>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5"/>
        </w:rPr>
        <w:t> </w:t>
      </w:r>
      <w:r>
        <w:rPr>
          <w:color w:val="231F20"/>
          <w:spacing w:val="-1"/>
        </w:rPr>
        <w:t>Islander</w:t>
      </w:r>
      <w:r>
        <w:rPr>
          <w:color w:val="231F20"/>
          <w:spacing w:val="-5"/>
        </w:rPr>
        <w:t> </w:t>
      </w:r>
      <w:r>
        <w:rPr>
          <w:color w:val="231F20"/>
          <w:spacing w:val="-1"/>
        </w:rPr>
        <w:t>students</w:t>
      </w:r>
      <w:r>
        <w:rPr>
          <w:color w:val="231F20"/>
          <w:spacing w:val="20"/>
        </w:rPr>
        <w:t> </w:t>
      </w:r>
      <w:r>
        <w:rPr>
          <w:color w:val="231F20"/>
        </w:rPr>
        <w:t>and</w:t>
      </w:r>
      <w:r>
        <w:rPr>
          <w:color w:val="231F20"/>
          <w:spacing w:val="-6"/>
        </w:rPr>
        <w:t> </w:t>
      </w:r>
      <w:r>
        <w:rPr>
          <w:color w:val="231F20"/>
        </w:rPr>
        <w:t>their</w:t>
      </w:r>
      <w:r>
        <w:rPr>
          <w:color w:val="231F20"/>
          <w:spacing w:val="-5"/>
        </w:rPr>
        <w:t> </w:t>
      </w:r>
      <w:r>
        <w:rPr>
          <w:color w:val="231F20"/>
        </w:rPr>
        <w:t>families</w:t>
      </w:r>
      <w:r>
        <w:rPr>
          <w:color w:val="231F20"/>
          <w:spacing w:val="-5"/>
        </w:rPr>
        <w:t> </w:t>
      </w:r>
      <w:r>
        <w:rPr>
          <w:color w:val="231F20"/>
        </w:rPr>
        <w:t>and</w:t>
      </w:r>
      <w:r>
        <w:rPr>
          <w:color w:val="231F20"/>
          <w:spacing w:val="-5"/>
        </w:rPr>
        <w:t> </w:t>
      </w:r>
      <w:r>
        <w:rPr>
          <w:color w:val="231F20"/>
        </w:rPr>
        <w:t>to</w:t>
      </w:r>
      <w:r>
        <w:rPr>
          <w:color w:val="231F20"/>
          <w:spacing w:val="-4"/>
        </w:rPr>
        <w:t> </w:t>
      </w:r>
      <w:r>
        <w:rPr>
          <w:color w:val="231F20"/>
        </w:rPr>
        <w:t>better</w:t>
      </w:r>
      <w:r>
        <w:rPr>
          <w:color w:val="231F20"/>
          <w:spacing w:val="-5"/>
        </w:rPr>
        <w:t> </w:t>
      </w:r>
      <w:r>
        <w:rPr>
          <w:color w:val="231F20"/>
          <w:spacing w:val="-1"/>
        </w:rPr>
        <w:t>support</w:t>
      </w:r>
      <w:r>
        <w:rPr>
          <w:color w:val="231F20"/>
          <w:spacing w:val="20"/>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r>
    </w:p>
    <w:p>
      <w:pPr>
        <w:pStyle w:val="BodyText"/>
        <w:spacing w:line="250" w:lineRule="exact" w:before="113"/>
        <w:ind w:left="257" w:right="68"/>
        <w:jc w:val="left"/>
      </w:pPr>
      <w:r>
        <w:rPr>
          <w:color w:val="231F20"/>
          <w:spacing w:val="-1"/>
        </w:rPr>
        <w:t>While</w:t>
      </w:r>
      <w:r>
        <w:rPr>
          <w:color w:val="231F20"/>
          <w:spacing w:val="-5"/>
        </w:rPr>
        <w:t> </w:t>
      </w:r>
      <w:r>
        <w:rPr>
          <w:color w:val="231F20"/>
        </w:rPr>
        <w:t>current</w:t>
      </w:r>
      <w:r>
        <w:rPr>
          <w:color w:val="231F20"/>
          <w:spacing w:val="-4"/>
        </w:rPr>
        <w:t> </w:t>
      </w:r>
      <w:r>
        <w:rPr>
          <w:color w:val="231F20"/>
        </w:rPr>
        <w:t>government</w:t>
      </w:r>
      <w:r>
        <w:rPr>
          <w:color w:val="231F20"/>
          <w:spacing w:val="-5"/>
        </w:rPr>
        <w:t> </w:t>
      </w:r>
      <w:r>
        <w:rPr>
          <w:color w:val="231F20"/>
          <w:spacing w:val="-1"/>
        </w:rPr>
        <w:t>investment</w:t>
      </w:r>
      <w:r>
        <w:rPr>
          <w:color w:val="231F20"/>
          <w:spacing w:val="-4"/>
        </w:rPr>
        <w:t> </w:t>
      </w:r>
      <w:r>
        <w:rPr>
          <w:color w:val="231F20"/>
          <w:spacing w:val="-1"/>
        </w:rPr>
        <w:t>is</w:t>
      </w:r>
      <w:r>
        <w:rPr>
          <w:color w:val="231F20"/>
          <w:spacing w:val="-5"/>
        </w:rPr>
        <w:t> </w:t>
      </w:r>
      <w:r>
        <w:rPr>
          <w:color w:val="231F20"/>
        </w:rPr>
        <w:t>not</w:t>
      </w:r>
      <w:r>
        <w:rPr>
          <w:color w:val="231F20"/>
          <w:spacing w:val="24"/>
          <w:w w:val="99"/>
        </w:rPr>
        <w:t> </w:t>
      </w:r>
      <w:r>
        <w:rPr>
          <w:color w:val="231F20"/>
          <w:spacing w:val="-1"/>
        </w:rPr>
        <w:t>intended</w:t>
      </w:r>
      <w:r>
        <w:rPr>
          <w:color w:val="231F20"/>
          <w:spacing w:val="-4"/>
        </w:rPr>
        <w:t> </w:t>
      </w:r>
      <w:r>
        <w:rPr>
          <w:color w:val="231F20"/>
        </w:rPr>
        <w:t>to</w:t>
      </w:r>
      <w:r>
        <w:rPr>
          <w:color w:val="231F20"/>
          <w:spacing w:val="-3"/>
        </w:rPr>
        <w:t> </w:t>
      </w:r>
      <w:r>
        <w:rPr>
          <w:color w:val="231F20"/>
          <w:spacing w:val="-1"/>
        </w:rPr>
        <w:t>meet</w:t>
      </w:r>
      <w:r>
        <w:rPr>
          <w:color w:val="231F20"/>
          <w:spacing w:val="-3"/>
        </w:rPr>
        <w:t> </w:t>
      </w:r>
      <w:r>
        <w:rPr>
          <w:color w:val="231F20"/>
        </w:rPr>
        <w:t>the</w:t>
      </w:r>
      <w:r>
        <w:rPr>
          <w:color w:val="231F20"/>
          <w:spacing w:val="-5"/>
        </w:rPr>
        <w:t> </w:t>
      </w:r>
      <w:r>
        <w:rPr>
          <w:color w:val="231F20"/>
        </w:rPr>
        <w:t>full</w:t>
      </w:r>
      <w:r>
        <w:rPr>
          <w:color w:val="231F20"/>
          <w:spacing w:val="-4"/>
        </w:rPr>
        <w:t> </w:t>
      </w:r>
      <w:r>
        <w:rPr>
          <w:color w:val="231F20"/>
        </w:rPr>
        <w:t>cost</w:t>
      </w:r>
      <w:r>
        <w:rPr>
          <w:color w:val="231F20"/>
          <w:spacing w:val="-4"/>
        </w:rPr>
        <w:t> </w:t>
      </w:r>
      <w:r>
        <w:rPr>
          <w:color w:val="231F20"/>
        </w:rPr>
        <w:t>of</w:t>
      </w:r>
      <w:r>
        <w:rPr>
          <w:color w:val="231F20"/>
          <w:spacing w:val="-3"/>
        </w:rPr>
        <w:t> </w:t>
      </w:r>
      <w:r>
        <w:rPr>
          <w:color w:val="231F20"/>
        </w:rPr>
        <w:t>boarding,</w:t>
      </w:r>
      <w:r>
        <w:rPr>
          <w:color w:val="231F20"/>
          <w:spacing w:val="23"/>
          <w:w w:val="99"/>
        </w:rPr>
        <w:t> </w:t>
      </w:r>
      <w:r>
        <w:rPr>
          <w:color w:val="231F20"/>
        </w:rPr>
        <w:t>recommendations</w:t>
      </w:r>
      <w:r>
        <w:rPr>
          <w:color w:val="231F20"/>
          <w:spacing w:val="-10"/>
        </w:rPr>
        <w:t> </w:t>
      </w:r>
      <w:r>
        <w:rPr>
          <w:color w:val="231F20"/>
        </w:rPr>
        <w:t>have</w:t>
      </w:r>
      <w:r>
        <w:rPr>
          <w:color w:val="231F20"/>
          <w:spacing w:val="-8"/>
        </w:rPr>
        <w:t> </w:t>
      </w:r>
      <w:r>
        <w:rPr>
          <w:color w:val="231F20"/>
        </w:rPr>
        <w:t>been</w:t>
      </w:r>
      <w:r>
        <w:rPr>
          <w:color w:val="231F20"/>
          <w:spacing w:val="-8"/>
        </w:rPr>
        <w:t> </w:t>
      </w:r>
      <w:r>
        <w:rPr>
          <w:color w:val="231F20"/>
          <w:spacing w:val="-1"/>
        </w:rPr>
        <w:t>made</w:t>
      </w:r>
      <w:r>
        <w:rPr>
          <w:color w:val="231F20"/>
          <w:spacing w:val="-8"/>
        </w:rPr>
        <w:t> </w:t>
      </w:r>
      <w:r>
        <w:rPr>
          <w:color w:val="231F20"/>
        </w:rPr>
        <w:t>to</w:t>
      </w:r>
      <w:r>
        <w:rPr>
          <w:color w:val="231F20"/>
          <w:spacing w:val="-7"/>
        </w:rPr>
        <w:t> </w:t>
      </w:r>
      <w:r>
        <w:rPr>
          <w:color w:val="231F20"/>
        </w:rPr>
        <w:t>better</w:t>
      </w:r>
      <w:r>
        <w:rPr>
          <w:color w:val="231F20"/>
          <w:spacing w:val="21"/>
          <w:w w:val="99"/>
        </w:rPr>
        <w:t> </w:t>
      </w:r>
      <w:r>
        <w:rPr>
          <w:color w:val="231F20"/>
        </w:rPr>
        <w:t>align</w:t>
      </w:r>
      <w:r>
        <w:rPr>
          <w:color w:val="231F20"/>
          <w:spacing w:val="-7"/>
        </w:rPr>
        <w:t> </w:t>
      </w:r>
      <w:r>
        <w:rPr>
          <w:color w:val="231F20"/>
          <w:spacing w:val="-1"/>
        </w:rPr>
        <w:t>investment</w:t>
      </w:r>
      <w:r>
        <w:rPr>
          <w:color w:val="231F20"/>
          <w:spacing w:val="-6"/>
        </w:rPr>
        <w:t> </w:t>
      </w:r>
      <w:r>
        <w:rPr>
          <w:color w:val="231F20"/>
          <w:spacing w:val="-1"/>
        </w:rPr>
        <w:t>in</w:t>
      </w:r>
      <w:r>
        <w:rPr>
          <w:color w:val="231F20"/>
          <w:spacing w:val="-5"/>
        </w:rPr>
        <w:t> </w:t>
      </w:r>
      <w:r>
        <w:rPr>
          <w:color w:val="231F20"/>
        </w:rPr>
        <w:t>boarding</w:t>
      </w:r>
      <w:r>
        <w:rPr>
          <w:color w:val="231F20"/>
          <w:spacing w:val="-7"/>
        </w:rPr>
        <w:t> </w:t>
      </w:r>
      <w:r>
        <w:rPr>
          <w:color w:val="231F20"/>
        </w:rPr>
        <w:t>with</w:t>
      </w:r>
      <w:r>
        <w:rPr>
          <w:color w:val="231F20"/>
          <w:spacing w:val="-6"/>
        </w:rPr>
        <w:t> </w:t>
      </w:r>
      <w:r>
        <w:rPr>
          <w:color w:val="231F20"/>
        </w:rPr>
        <w:t>disadvantage</w:t>
      </w:r>
      <w:r>
        <w:rPr>
          <w:color w:val="231F20"/>
          <w:spacing w:val="23"/>
          <w:w w:val="99"/>
        </w:rPr>
        <w:t> </w:t>
      </w:r>
      <w:r>
        <w:rPr>
          <w:color w:val="231F20"/>
        </w:rPr>
        <w:t>and</w:t>
      </w:r>
      <w:r>
        <w:rPr>
          <w:color w:val="231F20"/>
          <w:spacing w:val="-4"/>
        </w:rPr>
        <w:t> </w:t>
      </w:r>
      <w:r>
        <w:rPr>
          <w:color w:val="231F20"/>
        </w:rPr>
        <w:t>need,</w:t>
      </w:r>
      <w:r>
        <w:rPr>
          <w:color w:val="231F20"/>
          <w:spacing w:val="-4"/>
        </w:rPr>
        <w:t> </w:t>
      </w:r>
      <w:r>
        <w:rPr>
          <w:color w:val="231F20"/>
        </w:rPr>
        <w:t>consistent</w:t>
      </w:r>
      <w:r>
        <w:rPr>
          <w:color w:val="231F20"/>
          <w:spacing w:val="-4"/>
        </w:rPr>
        <w:t> </w:t>
      </w:r>
      <w:r>
        <w:rPr>
          <w:color w:val="231F20"/>
        </w:rPr>
        <w:t>with</w:t>
      </w:r>
      <w:r>
        <w:rPr>
          <w:color w:val="231F20"/>
          <w:spacing w:val="-4"/>
        </w:rPr>
        <w:t> </w:t>
      </w:r>
      <w:r>
        <w:rPr>
          <w:color w:val="231F20"/>
        </w:rPr>
        <w:t>the</w:t>
      </w:r>
      <w:r>
        <w:rPr>
          <w:color w:val="231F20"/>
          <w:spacing w:val="-4"/>
        </w:rPr>
        <w:t> </w:t>
      </w:r>
      <w:r>
        <w:rPr>
          <w:color w:val="231F20"/>
          <w:spacing w:val="-1"/>
        </w:rPr>
        <w:t>Schooling</w:t>
      </w:r>
      <w:r>
        <w:rPr>
          <w:color w:val="231F20"/>
          <w:spacing w:val="20"/>
        </w:rPr>
        <w:t> </w:t>
      </w:r>
      <w:r>
        <w:rPr>
          <w:color w:val="231F20"/>
          <w:spacing w:val="-1"/>
        </w:rPr>
        <w:t>Resource</w:t>
      </w:r>
      <w:r>
        <w:rPr>
          <w:color w:val="231F20"/>
          <w:spacing w:val="-7"/>
        </w:rPr>
        <w:t> </w:t>
      </w:r>
      <w:r>
        <w:rPr>
          <w:color w:val="231F20"/>
          <w:spacing w:val="-1"/>
        </w:rPr>
        <w:t>Standard</w:t>
      </w:r>
      <w:r>
        <w:rPr>
          <w:color w:val="231F20"/>
          <w:spacing w:val="-6"/>
        </w:rPr>
        <w:t> </w:t>
      </w:r>
      <w:r>
        <w:rPr>
          <w:color w:val="231F20"/>
          <w:spacing w:val="-1"/>
        </w:rPr>
        <w:t>loadings</w:t>
      </w:r>
      <w:r>
        <w:rPr>
          <w:color w:val="231F20"/>
          <w:spacing w:val="-6"/>
        </w:rPr>
        <w:t> </w:t>
      </w:r>
      <w:r>
        <w:rPr>
          <w:color w:val="231F20"/>
          <w:spacing w:val="-1"/>
        </w:rPr>
        <w:t>introduced</w:t>
      </w:r>
      <w:r>
        <w:rPr>
          <w:color w:val="231F20"/>
          <w:spacing w:val="-5"/>
        </w:rPr>
        <w:t> </w:t>
      </w:r>
      <w:r>
        <w:rPr>
          <w:color w:val="231F20"/>
        </w:rPr>
        <w:t>as</w:t>
      </w:r>
      <w:r>
        <w:rPr>
          <w:color w:val="231F20"/>
          <w:spacing w:val="-6"/>
        </w:rPr>
        <w:t> </w:t>
      </w:r>
      <w:r>
        <w:rPr>
          <w:color w:val="231F20"/>
        </w:rPr>
        <w:t>part</w:t>
      </w:r>
      <w:r>
        <w:rPr>
          <w:color w:val="231F20"/>
          <w:spacing w:val="26"/>
          <w:w w:val="99"/>
        </w:rPr>
        <w:t> </w:t>
      </w:r>
      <w:r>
        <w:rPr>
          <w:color w:val="231F20"/>
        </w:rPr>
        <w:t>of</w:t>
      </w:r>
      <w:r>
        <w:rPr>
          <w:color w:val="231F20"/>
          <w:spacing w:val="-3"/>
        </w:rPr>
        <w:t> </w:t>
      </w:r>
      <w:r>
        <w:rPr>
          <w:color w:val="231F20"/>
        </w:rPr>
        <w:t>the</w:t>
      </w:r>
      <w:r>
        <w:rPr>
          <w:color w:val="231F20"/>
          <w:spacing w:val="-3"/>
        </w:rPr>
        <w:t> </w:t>
      </w:r>
      <w:r>
        <w:rPr>
          <w:color w:val="231F20"/>
        </w:rPr>
        <w:t>amendments</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spacing w:val="-1"/>
        </w:rPr>
        <w:t>A</w:t>
      </w:r>
      <w:r>
        <w:rPr>
          <w:rFonts w:ascii="Segoe UI"/>
          <w:i/>
          <w:color w:val="231F20"/>
          <w:spacing w:val="-1"/>
        </w:rPr>
        <w:t>ustralian</w:t>
      </w:r>
      <w:r>
        <w:rPr>
          <w:rFonts w:ascii="Segoe UI"/>
          <w:i/>
          <w:color w:val="231F20"/>
          <w:spacing w:val="-2"/>
        </w:rPr>
        <w:t> </w:t>
      </w:r>
      <w:r>
        <w:rPr>
          <w:rFonts w:ascii="Segoe UI"/>
          <w:i/>
          <w:color w:val="231F20"/>
        </w:rPr>
        <w:t>Education</w:t>
      </w:r>
      <w:r>
        <w:rPr>
          <w:rFonts w:ascii="Segoe UI"/>
          <w:i/>
          <w:color w:val="231F20"/>
          <w:spacing w:val="25"/>
        </w:rPr>
        <w:t> </w:t>
      </w:r>
      <w:r>
        <w:rPr>
          <w:rFonts w:ascii="Segoe UI"/>
          <w:i/>
          <w:color w:val="231F20"/>
        </w:rPr>
        <w:t>Act</w:t>
      </w:r>
      <w:r>
        <w:rPr>
          <w:rFonts w:ascii="Segoe UI"/>
          <w:i/>
          <w:color w:val="231F20"/>
          <w:spacing w:val="-6"/>
        </w:rPr>
        <w:t> </w:t>
      </w:r>
      <w:r>
        <w:rPr>
          <w:rFonts w:ascii="Segoe UI"/>
          <w:i/>
          <w:color w:val="231F20"/>
        </w:rPr>
        <w:t>2013</w:t>
      </w:r>
      <w:r>
        <w:rPr>
          <w:color w:val="231F20"/>
        </w:rPr>
        <w:t>,</w:t>
      </w:r>
      <w:r>
        <w:rPr>
          <w:color w:val="231F20"/>
          <w:spacing w:val="-4"/>
        </w:rPr>
        <w:t> </w:t>
      </w:r>
      <w:r>
        <w:rPr>
          <w:color w:val="231F20"/>
        </w:rPr>
        <w:t>and</w:t>
      </w:r>
      <w:r>
        <w:rPr>
          <w:color w:val="231F20"/>
          <w:spacing w:val="-5"/>
        </w:rPr>
        <w:t> </w:t>
      </w:r>
      <w:r>
        <w:rPr>
          <w:color w:val="231F20"/>
        </w:rPr>
        <w:t>to</w:t>
      </w:r>
      <w:r>
        <w:rPr>
          <w:color w:val="231F20"/>
          <w:spacing w:val="-5"/>
        </w:rPr>
        <w:t> </w:t>
      </w:r>
      <w:r>
        <w:rPr>
          <w:color w:val="231F20"/>
        </w:rPr>
        <w:t>provide</w:t>
      </w:r>
      <w:r>
        <w:rPr>
          <w:color w:val="231F20"/>
          <w:spacing w:val="-5"/>
        </w:rPr>
        <w:t> </w:t>
      </w:r>
      <w:r>
        <w:rPr>
          <w:color w:val="231F20"/>
        </w:rPr>
        <w:t>greater</w:t>
      </w:r>
      <w:r>
        <w:rPr>
          <w:color w:val="231F20"/>
          <w:spacing w:val="-5"/>
        </w:rPr>
        <w:t> </w:t>
      </w:r>
      <w:r>
        <w:rPr>
          <w:color w:val="231F20"/>
        </w:rPr>
        <w:t>funding</w:t>
      </w:r>
      <w:r>
        <w:rPr>
          <w:color w:val="231F20"/>
          <w:w w:val="99"/>
        </w:rPr>
        <w:t> </w:t>
      </w:r>
      <w:r>
        <w:rPr>
          <w:color w:val="231F20"/>
        </w:rPr>
        <w:t>certainty</w:t>
      </w:r>
      <w:r>
        <w:rPr>
          <w:color w:val="231F20"/>
          <w:spacing w:val="-10"/>
        </w:rPr>
        <w:t> </w:t>
      </w:r>
      <w:r>
        <w:rPr>
          <w:color w:val="231F20"/>
        </w:rPr>
        <w:t>for</w:t>
      </w:r>
      <w:r>
        <w:rPr>
          <w:color w:val="231F20"/>
          <w:spacing w:val="-9"/>
        </w:rPr>
        <w:t> </w:t>
      </w:r>
      <w:r>
        <w:rPr>
          <w:color w:val="231F20"/>
        </w:rPr>
        <w:t>boarding</w:t>
      </w:r>
      <w:r>
        <w:rPr>
          <w:color w:val="231F20"/>
          <w:spacing w:val="-10"/>
        </w:rPr>
        <w:t> </w:t>
      </w:r>
      <w:r>
        <w:rPr>
          <w:color w:val="231F20"/>
        </w:rPr>
        <w:t>providers.</w:t>
      </w:r>
      <w:r>
        <w:rPr/>
      </w:r>
    </w:p>
    <w:p>
      <w:pPr>
        <w:spacing w:after="0" w:line="250" w:lineRule="exact"/>
        <w:jc w:val="left"/>
        <w:sectPr>
          <w:type w:val="continuous"/>
          <w:pgSz w:w="11910" w:h="16840"/>
          <w:pgMar w:top="1580" w:bottom="280" w:left="1160" w:right="1600"/>
          <w:cols w:num="2" w:equalWidth="0">
            <w:col w:w="4455" w:space="138"/>
            <w:col w:w="4557"/>
          </w:cols>
        </w:sectPr>
      </w:pPr>
    </w:p>
    <w:p>
      <w:pPr>
        <w:spacing w:line="240" w:lineRule="auto" w:before="0"/>
        <w:rPr>
          <w:rFonts w:ascii="Segoe UI" w:hAnsi="Segoe UI" w:cs="Segoe UI" w:eastAsia="Segoe UI"/>
          <w:sz w:val="20"/>
          <w:szCs w:val="20"/>
        </w:rPr>
      </w:pPr>
    </w:p>
    <w:p>
      <w:pPr>
        <w:spacing w:line="240" w:lineRule="auto" w:before="1"/>
        <w:rPr>
          <w:rFonts w:ascii="Segoe UI" w:hAnsi="Segoe UI" w:cs="Segoe UI" w:eastAsia="Segoe UI"/>
          <w:sz w:val="20"/>
          <w:szCs w:val="20"/>
        </w:rPr>
      </w:pPr>
    </w:p>
    <w:p>
      <w:pPr>
        <w:tabs>
          <w:tab w:pos="667" w:val="left" w:leader="none"/>
        </w:tabs>
        <w:spacing w:line="567" w:lineRule="exact" w:before="0"/>
        <w:ind w:left="100" w:right="0" w:firstLine="0"/>
        <w:jc w:val="left"/>
        <w:rPr>
          <w:rFonts w:ascii="Segoe UI" w:hAnsi="Segoe UI" w:cs="Segoe UI" w:eastAsia="Segoe UI"/>
          <w:sz w:val="44"/>
          <w:szCs w:val="44"/>
        </w:rPr>
      </w:pPr>
      <w:r>
        <w:rPr>
          <w:rFonts w:ascii="Segoe UI"/>
          <w:color w:val="67973F"/>
          <w:spacing w:val="-1"/>
          <w:w w:val="95"/>
          <w:sz w:val="44"/>
        </w:rPr>
        <w:t>3.</w:t>
        <w:tab/>
      </w:r>
      <w:r>
        <w:rPr>
          <w:rFonts w:ascii="Segoe UI"/>
          <w:color w:val="67973F"/>
          <w:spacing w:val="-1"/>
          <w:sz w:val="44"/>
        </w:rPr>
        <w:t>Background</w:t>
      </w:r>
      <w:r>
        <w:rPr>
          <w:rFonts w:ascii="Segoe UI"/>
          <w:sz w:val="44"/>
        </w:rPr>
      </w:r>
    </w:p>
    <w:p>
      <w:pPr>
        <w:pStyle w:val="Heading4"/>
        <w:spacing w:line="300" w:lineRule="exact" w:before="148"/>
        <w:ind w:right="186"/>
        <w:jc w:val="left"/>
      </w:pPr>
      <w:r>
        <w:rPr>
          <w:color w:val="666155"/>
        </w:rPr>
        <w:t>Attending</w:t>
      </w:r>
      <w:r>
        <w:rPr>
          <w:color w:val="666155"/>
          <w:spacing w:val="-5"/>
        </w:rPr>
        <w:t> </w:t>
      </w:r>
      <w:r>
        <w:rPr>
          <w:color w:val="666155"/>
        </w:rPr>
        <w:t>a</w:t>
      </w:r>
      <w:r>
        <w:rPr>
          <w:color w:val="666155"/>
          <w:spacing w:val="-5"/>
        </w:rPr>
        <w:t> </w:t>
      </w:r>
      <w:r>
        <w:rPr>
          <w:color w:val="666155"/>
        </w:rPr>
        <w:t>boarding</w:t>
      </w:r>
      <w:r>
        <w:rPr>
          <w:color w:val="666155"/>
          <w:spacing w:val="-6"/>
        </w:rPr>
        <w:t> </w:t>
      </w:r>
      <w:r>
        <w:rPr>
          <w:color w:val="666155"/>
          <w:spacing w:val="-1"/>
        </w:rPr>
        <w:t>schoo</w:t>
      </w:r>
      <w:r>
        <w:rPr>
          <w:color w:val="666155"/>
        </w:rPr>
        <w:t>l</w:t>
      </w:r>
      <w:r>
        <w:rPr>
          <w:color w:val="666155"/>
          <w:spacing w:val="-4"/>
        </w:rPr>
        <w:t> </w:t>
      </w:r>
      <w:r>
        <w:rPr>
          <w:color w:val="666155"/>
          <w:spacing w:val="-1"/>
        </w:rPr>
        <w:t>i</w:t>
      </w:r>
      <w:r>
        <w:rPr>
          <w:color w:val="666155"/>
        </w:rPr>
        <w:t>s</w:t>
      </w:r>
      <w:r>
        <w:rPr>
          <w:color w:val="666155"/>
          <w:spacing w:val="-6"/>
        </w:rPr>
        <w:t> </w:t>
      </w:r>
      <w:r>
        <w:rPr>
          <w:color w:val="666155"/>
        </w:rPr>
        <w:t>a</w:t>
      </w:r>
      <w:r>
        <w:rPr>
          <w:color w:val="666155"/>
          <w:spacing w:val="-5"/>
        </w:rPr>
        <w:t> </w:t>
      </w:r>
      <w:r>
        <w:rPr>
          <w:color w:val="666155"/>
        </w:rPr>
        <w:t>necessity</w:t>
      </w:r>
      <w:r>
        <w:rPr>
          <w:color w:val="666155"/>
          <w:spacing w:val="-5"/>
        </w:rPr>
        <w:t> </w:t>
      </w:r>
      <w:r>
        <w:rPr>
          <w:color w:val="666155"/>
        </w:rPr>
        <w:t>for</w:t>
      </w:r>
      <w:r>
        <w:rPr>
          <w:color w:val="666155"/>
          <w:spacing w:val="-5"/>
        </w:rPr>
        <w:t> </w:t>
      </w:r>
      <w:r>
        <w:rPr>
          <w:color w:val="666155"/>
          <w:spacing w:val="-1"/>
        </w:rPr>
        <w:t>man</w:t>
      </w:r>
      <w:r>
        <w:rPr>
          <w:color w:val="666155"/>
        </w:rPr>
        <w:t>y</w:t>
      </w:r>
      <w:r>
        <w:rPr>
          <w:color w:val="666155"/>
          <w:spacing w:val="-5"/>
        </w:rPr>
        <w:t> </w:t>
      </w:r>
      <w:r>
        <w:rPr>
          <w:color w:val="666155"/>
        </w:rPr>
        <w:t>Aboriginal</w:t>
      </w:r>
      <w:r>
        <w:rPr>
          <w:color w:val="666155"/>
          <w:spacing w:val="-4"/>
        </w:rPr>
        <w:t> </w:t>
      </w:r>
      <w:r>
        <w:rPr>
          <w:color w:val="666155"/>
        </w:rPr>
        <w:t>and</w:t>
      </w:r>
      <w:r>
        <w:rPr>
          <w:color w:val="666155"/>
          <w:spacing w:val="-6"/>
        </w:rPr>
        <w:t> </w:t>
      </w:r>
      <w:r>
        <w:rPr>
          <w:color w:val="666155"/>
          <w:spacing w:val="-26"/>
        </w:rPr>
        <w:t>T</w:t>
      </w:r>
      <w:r>
        <w:rPr>
          <w:color w:val="666155"/>
        </w:rPr>
        <w:t>orres</w:t>
      </w:r>
      <w:r>
        <w:rPr>
          <w:color w:val="666155"/>
          <w:spacing w:val="-5"/>
        </w:rPr>
        <w:t> </w:t>
      </w:r>
      <w:r>
        <w:rPr>
          <w:color w:val="666155"/>
          <w:spacing w:val="-8"/>
        </w:rPr>
        <w:t>S</w:t>
      </w:r>
      <w:r>
        <w:rPr>
          <w:color w:val="666155"/>
        </w:rPr>
        <w:t>trait</w:t>
      </w:r>
      <w:r>
        <w:rPr>
          <w:color w:val="666155"/>
          <w:w w:val="99"/>
        </w:rPr>
        <w:t> </w:t>
      </w:r>
      <w:r>
        <w:rPr>
          <w:color w:val="666155"/>
          <w:spacing w:val="-1"/>
        </w:rPr>
        <w:t>Islander</w:t>
      </w:r>
      <w:r>
        <w:rPr>
          <w:color w:val="666155"/>
          <w:spacing w:val="-6"/>
        </w:rPr>
        <w:t> </w:t>
      </w:r>
      <w:r>
        <w:rPr>
          <w:color w:val="666155"/>
          <w:spacing w:val="-1"/>
        </w:rPr>
        <w:t>students</w:t>
      </w:r>
      <w:r>
        <w:rPr>
          <w:color w:val="666155"/>
          <w:spacing w:val="-5"/>
        </w:rPr>
        <w:t> </w:t>
      </w:r>
      <w:r>
        <w:rPr>
          <w:color w:val="666155"/>
        </w:rPr>
        <w:t>undertaking</w:t>
      </w:r>
      <w:r>
        <w:rPr>
          <w:color w:val="666155"/>
          <w:spacing w:val="-6"/>
        </w:rPr>
        <w:t> </w:t>
      </w:r>
      <w:r>
        <w:rPr>
          <w:color w:val="666155"/>
          <w:spacing w:val="-1"/>
        </w:rPr>
        <w:t>secondary</w:t>
      </w:r>
      <w:r>
        <w:rPr>
          <w:color w:val="666155"/>
          <w:spacing w:val="-5"/>
        </w:rPr>
        <w:t> </w:t>
      </w:r>
      <w:r>
        <w:rPr>
          <w:color w:val="666155"/>
        </w:rPr>
        <w:t>education.</w:t>
      </w:r>
      <w:r>
        <w:rPr>
          <w:color w:val="666155"/>
          <w:spacing w:val="-6"/>
        </w:rPr>
        <w:t> </w:t>
      </w:r>
      <w:r>
        <w:rPr>
          <w:color w:val="666155"/>
        </w:rPr>
        <w:t>This</w:t>
      </w:r>
      <w:r>
        <w:rPr>
          <w:color w:val="666155"/>
          <w:spacing w:val="-6"/>
        </w:rPr>
        <w:t> </w:t>
      </w:r>
      <w:r>
        <w:rPr>
          <w:color w:val="666155"/>
          <w:spacing w:val="-1"/>
        </w:rPr>
        <w:t>is</w:t>
      </w:r>
      <w:r>
        <w:rPr>
          <w:color w:val="666155"/>
          <w:spacing w:val="-7"/>
        </w:rPr>
        <w:t> </w:t>
      </w:r>
      <w:r>
        <w:rPr>
          <w:color w:val="666155"/>
          <w:spacing w:val="-1"/>
        </w:rPr>
        <w:t>largely</w:t>
      </w:r>
      <w:r>
        <w:rPr>
          <w:color w:val="666155"/>
          <w:spacing w:val="-6"/>
        </w:rPr>
        <w:t> </w:t>
      </w:r>
      <w:r>
        <w:rPr>
          <w:color w:val="666155"/>
        </w:rPr>
        <w:t>due</w:t>
      </w:r>
      <w:r>
        <w:rPr>
          <w:color w:val="666155"/>
          <w:spacing w:val="-6"/>
        </w:rPr>
        <w:t> </w:t>
      </w:r>
      <w:r>
        <w:rPr>
          <w:color w:val="666155"/>
        </w:rPr>
        <w:t>to</w:t>
      </w:r>
      <w:r>
        <w:rPr>
          <w:color w:val="666155"/>
          <w:spacing w:val="-6"/>
        </w:rPr>
        <w:t> </w:t>
      </w:r>
      <w:r>
        <w:rPr>
          <w:color w:val="666155"/>
          <w:spacing w:val="-1"/>
        </w:rPr>
        <w:t>limited</w:t>
      </w:r>
      <w:r>
        <w:rPr>
          <w:color w:val="666155"/>
          <w:spacing w:val="25"/>
        </w:rPr>
        <w:t> </w:t>
      </w:r>
      <w:r>
        <w:rPr>
          <w:color w:val="666155"/>
          <w:spacing w:val="-1"/>
        </w:rPr>
        <w:t>secondary</w:t>
      </w:r>
      <w:r>
        <w:rPr>
          <w:color w:val="666155"/>
          <w:spacing w:val="-5"/>
        </w:rPr>
        <w:t> </w:t>
      </w:r>
      <w:r>
        <w:rPr>
          <w:color w:val="666155"/>
          <w:spacing w:val="-1"/>
        </w:rPr>
        <w:t>schooling</w:t>
      </w:r>
      <w:r>
        <w:rPr>
          <w:color w:val="666155"/>
          <w:spacing w:val="-4"/>
        </w:rPr>
        <w:t> </w:t>
      </w:r>
      <w:r>
        <w:rPr>
          <w:color w:val="666155"/>
        </w:rPr>
        <w:t>options</w:t>
      </w:r>
      <w:r>
        <w:rPr>
          <w:color w:val="666155"/>
          <w:spacing w:val="-6"/>
        </w:rPr>
        <w:t> </w:t>
      </w:r>
      <w:r>
        <w:rPr>
          <w:color w:val="666155"/>
          <w:spacing w:val="-1"/>
        </w:rPr>
        <w:t>in</w:t>
      </w:r>
      <w:r>
        <w:rPr>
          <w:color w:val="666155"/>
          <w:spacing w:val="-5"/>
        </w:rPr>
        <w:t> </w:t>
      </w:r>
      <w:r>
        <w:rPr>
          <w:color w:val="666155"/>
          <w:spacing w:val="-1"/>
        </w:rPr>
        <w:t>many</w:t>
      </w:r>
      <w:r>
        <w:rPr>
          <w:color w:val="666155"/>
          <w:spacing w:val="-6"/>
        </w:rPr>
        <w:t> </w:t>
      </w:r>
      <w:r>
        <w:rPr>
          <w:color w:val="666155"/>
        </w:rPr>
        <w:t>remote</w:t>
      </w:r>
      <w:r>
        <w:rPr>
          <w:color w:val="666155"/>
          <w:spacing w:val="-6"/>
        </w:rPr>
        <w:t> </w:t>
      </w:r>
      <w:r>
        <w:rPr>
          <w:color w:val="666155"/>
        </w:rPr>
        <w:t>communities</w:t>
      </w:r>
      <w:r>
        <w:rPr>
          <w:color w:val="666155"/>
          <w:spacing w:val="-6"/>
        </w:rPr>
        <w:t> </w:t>
      </w:r>
      <w:r>
        <w:rPr>
          <w:color w:val="666155"/>
        </w:rPr>
        <w:t>of</w:t>
      </w:r>
      <w:r>
        <w:rPr>
          <w:color w:val="666155"/>
          <w:spacing w:val="-5"/>
        </w:rPr>
        <w:t> </w:t>
      </w:r>
      <w:r>
        <w:rPr>
          <w:color w:val="666155"/>
        </w:rPr>
        <w:t>Australia.</w:t>
      </w:r>
      <w:r>
        <w:rPr>
          <w:color w:val="666155"/>
          <w:spacing w:val="-5"/>
        </w:rPr>
        <w:t> </w:t>
      </w:r>
      <w:r>
        <w:rPr>
          <w:color w:val="666155"/>
        </w:rPr>
        <w:t>Aboriginal</w:t>
      </w:r>
      <w:r>
        <w:rPr>
          <w:color w:val="666155"/>
          <w:spacing w:val="25"/>
          <w:w w:val="99"/>
        </w:rPr>
        <w:t> </w:t>
      </w:r>
      <w:r>
        <w:rPr>
          <w:color w:val="666155"/>
        </w:rPr>
        <w:t>and</w:t>
      </w:r>
      <w:r>
        <w:rPr>
          <w:color w:val="666155"/>
          <w:spacing w:val="-6"/>
        </w:rPr>
        <w:t> </w:t>
      </w:r>
      <w:r>
        <w:rPr>
          <w:color w:val="666155"/>
          <w:spacing w:val="-5"/>
        </w:rPr>
        <w:t>Torres</w:t>
      </w:r>
      <w:r>
        <w:rPr>
          <w:color w:val="666155"/>
          <w:spacing w:val="-4"/>
        </w:rPr>
        <w:t> </w:t>
      </w:r>
      <w:r>
        <w:rPr>
          <w:color w:val="666155"/>
          <w:spacing w:val="-2"/>
        </w:rPr>
        <w:t>Strait</w:t>
      </w:r>
      <w:r>
        <w:rPr>
          <w:color w:val="666155"/>
          <w:spacing w:val="-6"/>
        </w:rPr>
        <w:t> </w:t>
      </w:r>
      <w:r>
        <w:rPr>
          <w:color w:val="666155"/>
          <w:spacing w:val="-1"/>
        </w:rPr>
        <w:t>Islander</w:t>
      </w:r>
      <w:r>
        <w:rPr>
          <w:color w:val="666155"/>
          <w:spacing w:val="-4"/>
        </w:rPr>
        <w:t> </w:t>
      </w:r>
      <w:r>
        <w:rPr>
          <w:color w:val="666155"/>
          <w:spacing w:val="-1"/>
        </w:rPr>
        <w:t>students</w:t>
      </w:r>
      <w:r>
        <w:rPr>
          <w:color w:val="666155"/>
          <w:spacing w:val="-4"/>
        </w:rPr>
        <w:t> </w:t>
      </w:r>
      <w:r>
        <w:rPr>
          <w:color w:val="666155"/>
        </w:rPr>
        <w:t>also</w:t>
      </w:r>
      <w:r>
        <w:rPr>
          <w:color w:val="666155"/>
          <w:spacing w:val="-6"/>
        </w:rPr>
        <w:t> </w:t>
      </w:r>
      <w:r>
        <w:rPr>
          <w:color w:val="666155"/>
        </w:rPr>
        <w:t>attend</w:t>
      </w:r>
      <w:r>
        <w:rPr>
          <w:color w:val="666155"/>
          <w:spacing w:val="-5"/>
        </w:rPr>
        <w:t> </w:t>
      </w:r>
      <w:r>
        <w:rPr>
          <w:color w:val="666155"/>
        </w:rPr>
        <w:t>boarding</w:t>
      </w:r>
      <w:r>
        <w:rPr>
          <w:color w:val="666155"/>
          <w:spacing w:val="-5"/>
        </w:rPr>
        <w:t> </w:t>
      </w:r>
      <w:r>
        <w:rPr>
          <w:color w:val="666155"/>
        </w:rPr>
        <w:t>for</w:t>
      </w:r>
      <w:r>
        <w:rPr>
          <w:color w:val="666155"/>
          <w:spacing w:val="-5"/>
        </w:rPr>
        <w:t> </w:t>
      </w:r>
      <w:r>
        <w:rPr>
          <w:color w:val="666155"/>
        </w:rPr>
        <w:t>a</w:t>
      </w:r>
      <w:r>
        <w:rPr>
          <w:color w:val="666155"/>
          <w:spacing w:val="-5"/>
        </w:rPr>
        <w:t> </w:t>
      </w:r>
      <w:r>
        <w:rPr>
          <w:color w:val="666155"/>
        </w:rPr>
        <w:t>number</w:t>
      </w:r>
      <w:r>
        <w:rPr>
          <w:color w:val="666155"/>
          <w:spacing w:val="-5"/>
        </w:rPr>
        <w:t> </w:t>
      </w:r>
      <w:r>
        <w:rPr>
          <w:color w:val="666155"/>
        </w:rPr>
        <w:t>of</w:t>
      </w:r>
      <w:r>
        <w:rPr>
          <w:color w:val="666155"/>
          <w:spacing w:val="-5"/>
        </w:rPr>
        <w:t> </w:t>
      </w:r>
      <w:r>
        <w:rPr>
          <w:color w:val="666155"/>
        </w:rPr>
        <w:t>other</w:t>
      </w:r>
      <w:r>
        <w:rPr>
          <w:color w:val="666155"/>
          <w:spacing w:val="27"/>
          <w:w w:val="99"/>
        </w:rPr>
        <w:t> </w:t>
      </w:r>
      <w:r>
        <w:rPr>
          <w:rFonts w:ascii="Segoe UI"/>
          <w:color w:val="666155"/>
        </w:rPr>
        <w:t>reasons, such as accessing specific courses of study and schools with more</w:t>
      </w:r>
      <w:r>
        <w:rPr>
          <w:rFonts w:ascii="Segoe UI"/>
          <w:color w:val="666155"/>
        </w:rPr>
        <w:t> </w:t>
      </w:r>
      <w:r>
        <w:rPr>
          <w:color w:val="666155"/>
        </w:rPr>
        <w:t>resources,</w:t>
      </w:r>
      <w:r>
        <w:rPr>
          <w:color w:val="666155"/>
          <w:spacing w:val="-8"/>
        </w:rPr>
        <w:t> </w:t>
      </w:r>
      <w:r>
        <w:rPr>
          <w:color w:val="666155"/>
        </w:rPr>
        <w:t>avoiding</w:t>
      </w:r>
      <w:r>
        <w:rPr>
          <w:color w:val="666155"/>
          <w:spacing w:val="-6"/>
        </w:rPr>
        <w:t> </w:t>
      </w:r>
      <w:r>
        <w:rPr>
          <w:color w:val="666155"/>
        </w:rPr>
        <w:t>community</w:t>
      </w:r>
      <w:r>
        <w:rPr>
          <w:color w:val="666155"/>
          <w:spacing w:val="-6"/>
        </w:rPr>
        <w:t> </w:t>
      </w:r>
      <w:r>
        <w:rPr>
          <w:color w:val="666155"/>
        </w:rPr>
        <w:t>unrest</w:t>
      </w:r>
      <w:r>
        <w:rPr>
          <w:color w:val="666155"/>
          <w:spacing w:val="-7"/>
        </w:rPr>
        <w:t> </w:t>
      </w:r>
      <w:r>
        <w:rPr>
          <w:color w:val="666155"/>
        </w:rPr>
        <w:t>or</w:t>
      </w:r>
      <w:r>
        <w:rPr>
          <w:color w:val="666155"/>
          <w:spacing w:val="-5"/>
        </w:rPr>
        <w:t> </w:t>
      </w:r>
      <w:r>
        <w:rPr>
          <w:color w:val="666155"/>
        </w:rPr>
        <w:t>domestic</w:t>
      </w:r>
      <w:r>
        <w:rPr>
          <w:color w:val="666155"/>
          <w:spacing w:val="-6"/>
        </w:rPr>
        <w:t> </w:t>
      </w:r>
      <w:r>
        <w:rPr>
          <w:color w:val="666155"/>
          <w:spacing w:val="-1"/>
        </w:rPr>
        <w:t>issues,</w:t>
      </w:r>
      <w:r>
        <w:rPr>
          <w:color w:val="666155"/>
          <w:spacing w:val="-6"/>
        </w:rPr>
        <w:t> </w:t>
      </w:r>
      <w:r>
        <w:rPr>
          <w:color w:val="666155"/>
        </w:rPr>
        <w:t>referrals</w:t>
      </w:r>
      <w:r>
        <w:rPr>
          <w:color w:val="666155"/>
          <w:spacing w:val="-7"/>
        </w:rPr>
        <w:t> </w:t>
      </w:r>
      <w:r>
        <w:rPr>
          <w:color w:val="666155"/>
        </w:rPr>
        <w:t>by</w:t>
      </w:r>
      <w:r>
        <w:rPr>
          <w:color w:val="666155"/>
          <w:spacing w:val="-5"/>
        </w:rPr>
        <w:t> </w:t>
      </w:r>
      <w:r>
        <w:rPr>
          <w:color w:val="666155"/>
        </w:rPr>
        <w:t>courts,</w:t>
      </w:r>
      <w:r>
        <w:rPr>
          <w:color w:val="666155"/>
          <w:spacing w:val="-6"/>
        </w:rPr>
        <w:t> </w:t>
      </w:r>
      <w:r>
        <w:rPr>
          <w:color w:val="666155"/>
          <w:spacing w:val="-6"/>
        </w:rPr>
      </w:r>
      <w:r>
        <w:rPr>
          <w:color w:val="666155"/>
        </w:rPr>
        <w:t>youth</w:t>
      </w:r>
      <w:r>
        <w:rPr>
          <w:color w:val="666155"/>
          <w:spacing w:val="21"/>
        </w:rPr>
        <w:t> </w:t>
      </w:r>
      <w:r>
        <w:rPr>
          <w:color w:val="666155"/>
          <w:spacing w:val="-1"/>
        </w:rPr>
        <w:t>service</w:t>
      </w:r>
      <w:r>
        <w:rPr>
          <w:color w:val="666155"/>
          <w:spacing w:val="-7"/>
        </w:rPr>
        <w:t> </w:t>
      </w:r>
      <w:r>
        <w:rPr>
          <w:color w:val="666155"/>
        </w:rPr>
        <w:t>providers,</w:t>
      </w:r>
      <w:r>
        <w:rPr>
          <w:color w:val="666155"/>
          <w:spacing w:val="-8"/>
        </w:rPr>
        <w:t> </w:t>
      </w:r>
      <w:r>
        <w:rPr>
          <w:color w:val="666155"/>
        </w:rPr>
        <w:t>churches,</w:t>
      </w:r>
      <w:r>
        <w:rPr>
          <w:color w:val="666155"/>
          <w:spacing w:val="-8"/>
        </w:rPr>
        <w:t> </w:t>
      </w:r>
      <w:r>
        <w:rPr>
          <w:color w:val="666155"/>
        </w:rPr>
        <w:t>councils,</w:t>
      </w:r>
      <w:r>
        <w:rPr>
          <w:color w:val="666155"/>
          <w:spacing w:val="-8"/>
        </w:rPr>
        <w:t> </w:t>
      </w:r>
      <w:r>
        <w:rPr>
          <w:color w:val="666155"/>
        </w:rPr>
        <w:t>other</w:t>
      </w:r>
      <w:r>
        <w:rPr>
          <w:color w:val="666155"/>
          <w:spacing w:val="-7"/>
        </w:rPr>
        <w:t> </w:t>
      </w:r>
      <w:r>
        <w:rPr>
          <w:color w:val="666155"/>
          <w:spacing w:val="-1"/>
        </w:rPr>
        <w:t>schools</w:t>
      </w:r>
      <w:r>
        <w:rPr>
          <w:color w:val="666155"/>
          <w:spacing w:val="-7"/>
        </w:rPr>
        <w:t> </w:t>
      </w:r>
      <w:r>
        <w:rPr>
          <w:color w:val="666155"/>
        </w:rPr>
        <w:t>and</w:t>
      </w:r>
      <w:r>
        <w:rPr>
          <w:color w:val="666155"/>
          <w:spacing w:val="-8"/>
        </w:rPr>
        <w:t> </w:t>
      </w:r>
      <w:r>
        <w:rPr>
          <w:color w:val="666155"/>
        </w:rPr>
        <w:t>transition</w:t>
      </w:r>
      <w:r>
        <w:rPr>
          <w:color w:val="666155"/>
          <w:spacing w:val="-8"/>
        </w:rPr>
        <w:t> </w:t>
      </w:r>
      <w:r>
        <w:rPr>
          <w:color w:val="666155"/>
          <w:spacing w:val="-1"/>
        </w:rPr>
        <w:t>support</w:t>
      </w:r>
      <w:r>
        <w:rPr>
          <w:color w:val="666155"/>
          <w:spacing w:val="-1"/>
          <w:w w:val="99"/>
        </w:rPr>
        <w:t> </w:t>
      </w:r>
      <w:r>
        <w:rPr>
          <w:color w:val="666155"/>
          <w:spacing w:val="8"/>
          <w:w w:val="99"/>
        </w:rPr>
        <w:t>   </w:t>
      </w:r>
      <w:r>
        <w:rPr>
          <w:color w:val="666155"/>
          <w:spacing w:val="-1"/>
        </w:rPr>
        <w:t>services,</w:t>
      </w:r>
      <w:r>
        <w:rPr>
          <w:color w:val="666155"/>
          <w:spacing w:val="-4"/>
        </w:rPr>
        <w:t> </w:t>
      </w:r>
      <w:r>
        <w:rPr>
          <w:color w:val="666155"/>
        </w:rPr>
        <w:t>or</w:t>
      </w:r>
      <w:r>
        <w:rPr>
          <w:color w:val="666155"/>
          <w:spacing w:val="-5"/>
        </w:rPr>
        <w:t> </w:t>
      </w:r>
      <w:r>
        <w:rPr>
          <w:color w:val="666155"/>
        </w:rPr>
        <w:t>because</w:t>
      </w:r>
      <w:r>
        <w:rPr>
          <w:color w:val="666155"/>
          <w:spacing w:val="-6"/>
        </w:rPr>
        <w:t> </w:t>
      </w:r>
      <w:r>
        <w:rPr>
          <w:color w:val="666155"/>
        </w:rPr>
        <w:t>of</w:t>
      </w:r>
      <w:r>
        <w:rPr>
          <w:color w:val="666155"/>
          <w:spacing w:val="-5"/>
        </w:rPr>
        <w:t> </w:t>
      </w:r>
      <w:r>
        <w:rPr>
          <w:color w:val="666155"/>
        </w:rPr>
        <w:t>family</w:t>
      </w:r>
      <w:r>
        <w:rPr>
          <w:color w:val="666155"/>
          <w:spacing w:val="-6"/>
        </w:rPr>
        <w:t> </w:t>
      </w:r>
      <w:r>
        <w:rPr>
          <w:color w:val="666155"/>
        </w:rPr>
        <w:t>or</w:t>
      </w:r>
      <w:r>
        <w:rPr>
          <w:color w:val="666155"/>
          <w:spacing w:val="-5"/>
        </w:rPr>
        <w:t> </w:t>
      </w:r>
      <w:r>
        <w:rPr>
          <w:color w:val="666155"/>
        </w:rPr>
        <w:t>community</w:t>
      </w:r>
      <w:r>
        <w:rPr>
          <w:color w:val="666155"/>
          <w:spacing w:val="-5"/>
        </w:rPr>
        <w:t> </w:t>
      </w:r>
      <w:r>
        <w:rPr>
          <w:color w:val="666155"/>
        </w:rPr>
        <w:t>historical</w:t>
      </w:r>
      <w:r>
        <w:rPr>
          <w:color w:val="666155"/>
          <w:spacing w:val="-6"/>
        </w:rPr>
        <w:t> </w:t>
      </w:r>
      <w:r>
        <w:rPr>
          <w:color w:val="666155"/>
        </w:rPr>
        <w:t>connections</w:t>
      </w:r>
      <w:r>
        <w:rPr>
          <w:color w:val="666155"/>
          <w:spacing w:val="-6"/>
        </w:rPr>
        <w:t> </w:t>
      </w:r>
      <w:r>
        <w:rPr>
          <w:color w:val="666155"/>
        </w:rPr>
        <w:t>with</w:t>
      </w:r>
      <w:r>
        <w:rPr>
          <w:color w:val="666155"/>
          <w:spacing w:val="-6"/>
        </w:rPr>
        <w:t> </w:t>
      </w:r>
      <w:r>
        <w:rPr>
          <w:color w:val="666155"/>
        </w:rPr>
        <w:t>a</w:t>
      </w:r>
      <w:r>
        <w:rPr>
          <w:color w:val="666155"/>
          <w:spacing w:val="-5"/>
        </w:rPr>
        <w:t> </w:t>
      </w:r>
      <w:r>
        <w:rPr>
          <w:color w:val="666155"/>
        </w:rPr>
        <w:t>particular</w:t>
      </w:r>
      <w:r>
        <w:rPr>
          <w:color w:val="666155"/>
          <w:spacing w:val="22"/>
          <w:w w:val="99"/>
        </w:rPr>
        <w:t> </w:t>
      </w:r>
      <w:r>
        <w:rPr>
          <w:color w:val="666155"/>
        </w:rPr>
        <w:t>boarding</w:t>
      </w:r>
      <w:r>
        <w:rPr>
          <w:color w:val="666155"/>
          <w:spacing w:val="-13"/>
        </w:rPr>
        <w:t> </w:t>
      </w:r>
      <w:r>
        <w:rPr>
          <w:color w:val="666155"/>
          <w:spacing w:val="-1"/>
        </w:rPr>
        <w:t>provider</w:t>
      </w:r>
      <w:r>
        <w:rPr>
          <w:rFonts w:ascii="Segoe UI Semibold"/>
          <w:b/>
          <w:color w:val="231F20"/>
          <w:spacing w:val="-1"/>
          <w:position w:val="7"/>
          <w:sz w:val="11"/>
        </w:rPr>
        <w:t>27</w:t>
      </w:r>
      <w:r>
        <w:rPr>
          <w:color w:val="666155"/>
          <w:spacing w:val="-1"/>
        </w:rPr>
        <w:t>.</w:t>
      </w:r>
      <w:r>
        <w:rPr/>
      </w:r>
    </w:p>
    <w:p>
      <w:pPr>
        <w:spacing w:line="240" w:lineRule="auto" w:before="5"/>
        <w:rPr>
          <w:rFonts w:ascii="Segoe UI" w:hAnsi="Segoe UI" w:cs="Segoe UI" w:eastAsia="Segoe UI"/>
          <w:sz w:val="14"/>
          <w:szCs w:val="14"/>
        </w:rPr>
      </w:pPr>
    </w:p>
    <w:p>
      <w:pPr>
        <w:spacing w:line="60" w:lineRule="atLeast"/>
        <w:ind w:left="120" w:right="0" w:firstLine="0"/>
        <w:rPr>
          <w:rFonts w:ascii="Segoe UI" w:hAnsi="Segoe UI" w:cs="Segoe UI" w:eastAsia="Segoe UI"/>
          <w:sz w:val="6"/>
          <w:szCs w:val="6"/>
        </w:rPr>
      </w:pPr>
      <w:r>
        <w:rPr>
          <w:rFonts w:ascii="Segoe UI"/>
          <w:sz w:val="6"/>
        </w:rPr>
        <w:pict>
          <v:group style="width:3pt;height:3pt;mso-position-horizontal-relative:char;mso-position-vertical-relative:line" coordorigin="0,0" coordsize="60,60">
            <v:group style="position:absolute;left:30;top:30;width:2;height:2" coordorigin="30,30" coordsize="2,2">
              <v:shape style="position:absolute;left:30;top:30;width:2;height:2" coordorigin="30,30" coordsize="0,0" path="m30,30l30,30e" filled="false" stroked="true" strokeweight="3pt" strokecolor="#67973f">
                <v:path arrowok="t"/>
              </v:shape>
            </v:group>
          </v:group>
        </w:pict>
      </w:r>
      <w:r>
        <w:rPr>
          <w:rFonts w:ascii="Segoe UI"/>
          <w:sz w:val="6"/>
        </w:rPr>
      </w:r>
      <w:r>
        <w:rPr>
          <w:rFonts w:ascii="Times New Roman"/>
          <w:spacing w:val="44"/>
          <w:sz w:val="6"/>
        </w:rPr>
        <w:t> </w:t>
      </w:r>
      <w:r>
        <w:rPr>
          <w:rFonts w:ascii="Segoe UI"/>
          <w:spacing w:val="44"/>
          <w:sz w:val="6"/>
        </w:rPr>
        <w:pict>
          <v:group style="width:433.4pt;height:3pt;mso-position-horizontal-relative:char;mso-position-vertical-relative:line" coordorigin="0,0" coordsize="8668,60">
            <v:group style="position:absolute;left:30;top:30;width:8549;height:2" coordorigin="30,30" coordsize="8549,2">
              <v:shape style="position:absolute;left:30;top:30;width:8549;height:2" coordorigin="30,30" coordsize="8549,0" path="m30,30l8578,30e" filled="false" stroked="true" strokeweight="3pt" strokecolor="#67973f">
                <v:path arrowok="t"/>
                <v:stroke dashstyle="dash"/>
              </v:shape>
            </v:group>
            <v:group style="position:absolute;left:8638;top:30;width:2;height:2" coordorigin="8638,30" coordsize="2,2">
              <v:shape style="position:absolute;left:8638;top:30;width:2;height:2" coordorigin="8638,30" coordsize="0,0" path="m8638,30l8638,30e" filled="false" stroked="true" strokeweight="3pt" strokecolor="#67973f">
                <v:path arrowok="t"/>
              </v:shape>
            </v:group>
          </v:group>
        </w:pict>
      </w:r>
      <w:r>
        <w:rPr>
          <w:rFonts w:ascii="Segoe UI"/>
          <w:spacing w:val="44"/>
          <w:sz w:val="6"/>
        </w:rPr>
      </w:r>
    </w:p>
    <w:p>
      <w:pPr>
        <w:spacing w:line="240" w:lineRule="auto" w:before="9"/>
        <w:rPr>
          <w:rFonts w:ascii="Segoe UI" w:hAnsi="Segoe UI" w:cs="Segoe UI" w:eastAsia="Segoe UI"/>
          <w:sz w:val="6"/>
          <w:szCs w:val="6"/>
        </w:rPr>
      </w:pPr>
    </w:p>
    <w:p>
      <w:pPr>
        <w:spacing w:after="0" w:line="240" w:lineRule="auto"/>
        <w:rPr>
          <w:rFonts w:ascii="Segoe UI" w:hAnsi="Segoe UI" w:cs="Segoe UI" w:eastAsia="Segoe UI"/>
          <w:sz w:val="6"/>
          <w:szCs w:val="6"/>
        </w:rPr>
        <w:sectPr>
          <w:pgSz w:w="11910" w:h="16840"/>
          <w:pgMar w:header="0" w:footer="691" w:top="1580" w:bottom="880" w:left="1600" w:right="1280"/>
        </w:sectPr>
      </w:pPr>
    </w:p>
    <w:p>
      <w:pPr>
        <w:pStyle w:val="BodyText"/>
        <w:spacing w:line="250" w:lineRule="exact" w:before="70"/>
        <w:ind w:left="100" w:right="0" w:hanging="1"/>
        <w:jc w:val="left"/>
      </w:pPr>
      <w:r>
        <w:rPr>
          <w:color w:val="231F20"/>
          <w:spacing w:val="-1"/>
        </w:rPr>
        <w:t>Benveniste,</w:t>
      </w:r>
      <w:r>
        <w:rPr>
          <w:color w:val="231F20"/>
        </w:rPr>
        <w:t> </w:t>
      </w:r>
      <w:r>
        <w:rPr>
          <w:color w:val="231F20"/>
          <w:spacing w:val="-1"/>
        </w:rPr>
        <w:t>2014</w:t>
      </w:r>
      <w:r>
        <w:rPr>
          <w:rFonts w:ascii="Segoe UI Semibold"/>
          <w:b/>
          <w:color w:val="231F20"/>
          <w:spacing w:val="-1"/>
          <w:position w:val="7"/>
          <w:sz w:val="11"/>
        </w:rPr>
        <w:t>28</w:t>
      </w:r>
      <w:r>
        <w:rPr>
          <w:rFonts w:ascii="Segoe UI Semibold"/>
          <w:b/>
          <w:color w:val="231F20"/>
          <w:spacing w:val="25"/>
          <w:position w:val="7"/>
          <w:sz w:val="11"/>
        </w:rPr>
        <w:t> </w:t>
      </w:r>
      <w:r>
        <w:rPr>
          <w:color w:val="231F20"/>
        </w:rPr>
        <w:t>and Guenther, </w:t>
      </w:r>
      <w:r>
        <w:rPr>
          <w:color w:val="231F20"/>
          <w:spacing w:val="-1"/>
        </w:rPr>
        <w:t>2017</w:t>
      </w:r>
      <w:r>
        <w:rPr>
          <w:rFonts w:ascii="Segoe UI Semibold"/>
          <w:b/>
          <w:color w:val="231F20"/>
          <w:spacing w:val="-1"/>
          <w:position w:val="7"/>
          <w:sz w:val="11"/>
        </w:rPr>
        <w:t>29</w:t>
      </w:r>
      <w:r>
        <w:rPr>
          <w:rFonts w:ascii="Segoe UI Semibold"/>
          <w:b/>
          <w:color w:val="231F20"/>
          <w:spacing w:val="29"/>
          <w:w w:val="106"/>
          <w:position w:val="7"/>
          <w:sz w:val="11"/>
        </w:rPr>
        <w:t> </w:t>
      </w:r>
      <w:r>
        <w:rPr>
          <w:rFonts w:ascii="Segoe UI"/>
          <w:color w:val="231F20"/>
        </w:rPr>
        <w:t>identified from the literature four main</w:t>
      </w:r>
      <w:r>
        <w:rPr>
          <w:rFonts w:ascii="Segoe UI"/>
          <w:color w:val="231F20"/>
        </w:rPr>
        <w:t> justifications for the investment by the </w:t>
      </w:r>
      <w:r>
        <w:rPr>
          <w:color w:val="231F20"/>
        </w:rPr>
        <w:t>community</w:t>
      </w:r>
      <w:r>
        <w:rPr>
          <w:color w:val="231F20"/>
          <w:spacing w:val="-6"/>
        </w:rPr>
        <w:t> </w:t>
      </w:r>
      <w:r>
        <w:rPr>
          <w:color w:val="231F20"/>
        </w:rPr>
        <w:t>and</w:t>
      </w:r>
      <w:r>
        <w:rPr>
          <w:color w:val="231F20"/>
          <w:spacing w:val="-6"/>
        </w:rPr>
        <w:t> </w:t>
      </w:r>
      <w:r>
        <w:rPr>
          <w:color w:val="231F20"/>
        </w:rPr>
        <w:t>government</w:t>
      </w:r>
      <w:r>
        <w:rPr>
          <w:color w:val="231F20"/>
          <w:spacing w:val="-6"/>
        </w:rPr>
        <w:t> </w:t>
      </w:r>
      <w:r>
        <w:rPr>
          <w:color w:val="231F20"/>
          <w:spacing w:val="-1"/>
        </w:rPr>
        <w:t>in</w:t>
      </w:r>
      <w:r>
        <w:rPr>
          <w:color w:val="231F20"/>
          <w:spacing w:val="-5"/>
        </w:rPr>
        <w:t> </w:t>
      </w:r>
      <w:r>
        <w:rPr>
          <w:color w:val="231F20"/>
        </w:rPr>
        <w:t>boarding</w:t>
      </w:r>
      <w:r>
        <w:rPr>
          <w:color w:val="231F20"/>
          <w:spacing w:val="-6"/>
        </w:rPr>
        <w:t> </w:t>
      </w:r>
      <w:r>
        <w:rPr>
          <w:color w:val="231F20"/>
        </w:rPr>
        <w:t>for</w:t>
      </w:r>
      <w:r>
        <w:rPr>
          <w:color w:val="231F20"/>
          <w:spacing w:val="21"/>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8"/>
        </w:rPr>
        <w:t> </w:t>
      </w:r>
      <w:r>
        <w:rPr>
          <w:color w:val="231F20"/>
          <w:spacing w:val="-1"/>
        </w:rPr>
        <w:t>Islander</w:t>
      </w:r>
      <w:r>
        <w:rPr>
          <w:color w:val="231F20"/>
          <w:spacing w:val="-6"/>
        </w:rPr>
        <w:t> </w:t>
      </w:r>
      <w:r>
        <w:rPr>
          <w:color w:val="231F20"/>
          <w:spacing w:val="-1"/>
        </w:rPr>
        <w:t>secondary</w:t>
      </w:r>
      <w:r>
        <w:rPr>
          <w:color w:val="231F20"/>
          <w:spacing w:val="20"/>
          <w:w w:val="99"/>
        </w:rPr>
        <w:t> </w:t>
      </w:r>
      <w:r>
        <w:rPr>
          <w:color w:val="231F20"/>
          <w:spacing w:val="-1"/>
        </w:rPr>
        <w:t>students:</w:t>
      </w:r>
      <w:r>
        <w:rPr/>
      </w:r>
    </w:p>
    <w:p>
      <w:pPr>
        <w:pStyle w:val="BodyText"/>
        <w:spacing w:line="250" w:lineRule="exact" w:before="113"/>
        <w:ind w:left="327" w:right="159" w:hanging="227"/>
        <w:jc w:val="left"/>
      </w:pPr>
      <w:r>
        <w:rPr>
          <w:rFonts w:ascii="Century Gothic" w:hAnsi="Century Gothic"/>
          <w:color w:val="231F20"/>
        </w:rPr>
        <w:t>» </w:t>
      </w:r>
      <w:r>
        <w:rPr>
          <w:rFonts w:ascii="Century Gothic" w:hAnsi="Century Gothic"/>
          <w:color w:val="231F20"/>
          <w:spacing w:val="15"/>
        </w:rPr>
        <w:t> </w:t>
      </w:r>
      <w:r>
        <w:rPr>
          <w:color w:val="231F20"/>
        </w:rPr>
        <w:t>Government</w:t>
      </w:r>
      <w:r>
        <w:rPr>
          <w:color w:val="231F20"/>
          <w:spacing w:val="-6"/>
        </w:rPr>
        <w:t> </w:t>
      </w:r>
      <w:r>
        <w:rPr>
          <w:color w:val="231F20"/>
        </w:rPr>
        <w:t>cannot</w:t>
      </w:r>
      <w:r>
        <w:rPr>
          <w:color w:val="231F20"/>
          <w:spacing w:val="-7"/>
        </w:rPr>
        <w:t> </w:t>
      </w:r>
      <w:r>
        <w:rPr>
          <w:color w:val="231F20"/>
        </w:rPr>
        <w:t>provide</w:t>
      </w:r>
      <w:r>
        <w:rPr>
          <w:color w:val="231F20"/>
          <w:spacing w:val="-7"/>
        </w:rPr>
        <w:t> </w:t>
      </w:r>
      <w:r>
        <w:rPr>
          <w:color w:val="231F20"/>
          <w:spacing w:val="-1"/>
        </w:rPr>
        <w:t>secondary</w:t>
      </w:r>
      <w:r>
        <w:rPr>
          <w:color w:val="231F20"/>
          <w:spacing w:val="20"/>
          <w:w w:val="99"/>
        </w:rPr>
        <w:t> </w:t>
      </w:r>
      <w:r>
        <w:rPr>
          <w:color w:val="231F20"/>
        </w:rPr>
        <w:t>education</w:t>
      </w:r>
      <w:r>
        <w:rPr>
          <w:color w:val="231F20"/>
          <w:spacing w:val="-7"/>
        </w:rPr>
        <w:t> </w:t>
      </w:r>
      <w:r>
        <w:rPr>
          <w:color w:val="231F20"/>
          <w:spacing w:val="-1"/>
        </w:rPr>
        <w:t>in</w:t>
      </w:r>
      <w:r>
        <w:rPr>
          <w:color w:val="231F20"/>
          <w:spacing w:val="-6"/>
        </w:rPr>
        <w:t> </w:t>
      </w:r>
      <w:r>
        <w:rPr>
          <w:color w:val="231F20"/>
        </w:rPr>
        <w:t>remote</w:t>
      </w:r>
      <w:r>
        <w:rPr>
          <w:color w:val="231F20"/>
          <w:spacing w:val="-7"/>
        </w:rPr>
        <w:t> </w:t>
      </w:r>
      <w:r>
        <w:rPr>
          <w:color w:val="231F20"/>
        </w:rPr>
        <w:t>and</w:t>
      </w:r>
      <w:r>
        <w:rPr>
          <w:color w:val="231F20"/>
          <w:spacing w:val="-6"/>
        </w:rPr>
        <w:t> </w:t>
      </w:r>
      <w:r>
        <w:rPr>
          <w:color w:val="231F20"/>
        </w:rPr>
        <w:t>very</w:t>
      </w:r>
      <w:r>
        <w:rPr>
          <w:color w:val="231F20"/>
          <w:spacing w:val="-6"/>
        </w:rPr>
        <w:t> </w:t>
      </w:r>
      <w:r>
        <w:rPr>
          <w:color w:val="231F20"/>
        </w:rPr>
        <w:t>remote</w:t>
      </w:r>
      <w:r>
        <w:rPr>
          <w:color w:val="231F20"/>
          <w:spacing w:val="21"/>
          <w:w w:val="99"/>
        </w:rPr>
        <w:t> </w:t>
      </w:r>
      <w:r>
        <w:rPr>
          <w:color w:val="231F20"/>
          <w:spacing w:val="-1"/>
        </w:rPr>
        <w:t>locations</w:t>
      </w:r>
      <w:r>
        <w:rPr/>
      </w:r>
    </w:p>
    <w:p>
      <w:pPr>
        <w:pStyle w:val="BodyText"/>
        <w:spacing w:line="250" w:lineRule="exact" w:before="113"/>
        <w:ind w:left="327" w:right="0" w:hanging="227"/>
        <w:jc w:val="left"/>
      </w:pPr>
      <w:r>
        <w:rPr>
          <w:rFonts w:ascii="Century Gothic" w:hAnsi="Century Gothic"/>
          <w:color w:val="231F20"/>
        </w:rPr>
        <w:t>» </w:t>
      </w:r>
      <w:r>
        <w:rPr>
          <w:rFonts w:ascii="Century Gothic" w:hAnsi="Century Gothic"/>
          <w:color w:val="231F20"/>
          <w:spacing w:val="25"/>
        </w:rPr>
        <w:t> </w:t>
      </w:r>
      <w:r>
        <w:rPr>
          <w:color w:val="231F20"/>
          <w:spacing w:val="-1"/>
        </w:rPr>
        <w:t>Choice</w:t>
      </w:r>
      <w:r>
        <w:rPr>
          <w:color w:val="231F20"/>
          <w:spacing w:val="-2"/>
        </w:rPr>
        <w:t> </w:t>
      </w:r>
      <w:r>
        <w:rPr>
          <w:color w:val="231F20"/>
        </w:rPr>
        <w:t>for</w:t>
      </w:r>
      <w:r>
        <w:rPr>
          <w:color w:val="231F20"/>
          <w:spacing w:val="-2"/>
        </w:rPr>
        <w:t> </w:t>
      </w:r>
      <w:r>
        <w:rPr>
          <w:color w:val="231F20"/>
        </w:rPr>
        <w:t>parents:</w:t>
      </w:r>
      <w:r>
        <w:rPr>
          <w:color w:val="231F20"/>
          <w:spacing w:val="-3"/>
        </w:rPr>
        <w:t> </w:t>
      </w:r>
      <w:r>
        <w:rPr>
          <w:color w:val="231F20"/>
        </w:rPr>
        <w:t>Access</w:t>
      </w:r>
      <w:r>
        <w:rPr>
          <w:color w:val="231F20"/>
          <w:spacing w:val="-3"/>
        </w:rPr>
        <w:t> </w:t>
      </w:r>
      <w:r>
        <w:rPr>
          <w:color w:val="231F20"/>
        </w:rPr>
        <w:t>to</w:t>
      </w:r>
      <w:r>
        <w:rPr>
          <w:color w:val="231F20"/>
          <w:spacing w:val="-3"/>
        </w:rPr>
        <w:t> </w:t>
      </w:r>
      <w:r>
        <w:rPr>
          <w:color w:val="231F20"/>
        </w:rPr>
        <w:t>a</w:t>
      </w:r>
      <w:r>
        <w:rPr>
          <w:color w:val="231F20"/>
          <w:spacing w:val="-2"/>
        </w:rPr>
        <w:t> </w:t>
      </w:r>
      <w:r>
        <w:rPr>
          <w:color w:val="231F20"/>
        </w:rPr>
        <w:t>good</w:t>
      </w:r>
      <w:r>
        <w:rPr>
          <w:color w:val="231F20"/>
          <w:spacing w:val="21"/>
          <w:w w:val="99"/>
        </w:rPr>
        <w:t> </w:t>
      </w:r>
      <w:r>
        <w:rPr>
          <w:color w:val="231F20"/>
        </w:rPr>
        <w:t>education</w:t>
      </w:r>
      <w:r>
        <w:rPr/>
      </w:r>
    </w:p>
    <w:p>
      <w:pPr>
        <w:pStyle w:val="BodyText"/>
        <w:spacing w:line="250" w:lineRule="exact" w:before="113"/>
        <w:ind w:left="327" w:right="159" w:hanging="227"/>
        <w:jc w:val="left"/>
      </w:pPr>
      <w:r>
        <w:rPr>
          <w:rFonts w:ascii="Century Gothic" w:hAnsi="Century Gothic"/>
          <w:color w:val="231F20"/>
        </w:rPr>
        <w:t>» </w:t>
      </w:r>
      <w:r>
        <w:rPr>
          <w:rFonts w:ascii="Century Gothic" w:hAnsi="Century Gothic"/>
          <w:color w:val="231F20"/>
          <w:spacing w:val="19"/>
        </w:rPr>
        <w:t> </w:t>
      </w:r>
      <w:r>
        <w:rPr>
          <w:color w:val="231F20"/>
          <w:spacing w:val="-1"/>
        </w:rPr>
        <w:t>Better</w:t>
      </w:r>
      <w:r>
        <w:rPr>
          <w:color w:val="231F20"/>
          <w:spacing w:val="-4"/>
        </w:rPr>
        <w:t> </w:t>
      </w:r>
      <w:r>
        <w:rPr>
          <w:color w:val="231F20"/>
        </w:rPr>
        <w:t>opportunities</w:t>
      </w:r>
      <w:r>
        <w:rPr>
          <w:color w:val="231F20"/>
          <w:spacing w:val="-5"/>
        </w:rPr>
        <w:t> </w:t>
      </w:r>
      <w:r>
        <w:rPr>
          <w:color w:val="231F20"/>
        </w:rPr>
        <w:t>for</w:t>
      </w:r>
      <w:r>
        <w:rPr>
          <w:color w:val="231F20"/>
          <w:spacing w:val="-5"/>
        </w:rPr>
        <w:t> </w:t>
      </w:r>
      <w:r>
        <w:rPr>
          <w:color w:val="231F20"/>
          <w:spacing w:val="-1"/>
        </w:rPr>
        <w:t>students:</w:t>
      </w:r>
      <w:r>
        <w:rPr>
          <w:color w:val="231F20"/>
          <w:spacing w:val="-3"/>
        </w:rPr>
        <w:t> </w:t>
      </w:r>
      <w:r>
        <w:rPr>
          <w:color w:val="231F20"/>
          <w:spacing w:val="-1"/>
        </w:rPr>
        <w:t>Building</w:t>
      </w:r>
      <w:r>
        <w:rPr>
          <w:color w:val="231F20"/>
          <w:spacing w:val="22"/>
        </w:rPr>
        <w:t> </w:t>
      </w:r>
      <w:r>
        <w:rPr>
          <w:color w:val="231F20"/>
          <w:spacing w:val="-1"/>
        </w:rPr>
        <w:t>social</w:t>
      </w:r>
      <w:r>
        <w:rPr>
          <w:color w:val="231F20"/>
          <w:spacing w:val="-6"/>
        </w:rPr>
        <w:t> </w:t>
      </w:r>
      <w:r>
        <w:rPr>
          <w:color w:val="231F20"/>
        </w:rPr>
        <w:t>capital</w:t>
      </w:r>
      <w:r>
        <w:rPr/>
      </w:r>
    </w:p>
    <w:p>
      <w:pPr>
        <w:pStyle w:val="BodyText"/>
        <w:spacing w:line="250" w:lineRule="exact" w:before="113"/>
        <w:ind w:left="327" w:right="0" w:hanging="227"/>
        <w:jc w:val="left"/>
      </w:pPr>
      <w:r>
        <w:rPr>
          <w:rFonts w:ascii="Century Gothic" w:hAnsi="Century Gothic"/>
          <w:color w:val="231F20"/>
        </w:rPr>
        <w:t>» </w:t>
      </w:r>
      <w:r>
        <w:rPr>
          <w:rFonts w:ascii="Century Gothic" w:hAnsi="Century Gothic"/>
          <w:color w:val="231F20"/>
          <w:spacing w:val="16"/>
        </w:rPr>
        <w:t> </w:t>
      </w:r>
      <w:r>
        <w:rPr>
          <w:color w:val="231F20"/>
          <w:spacing w:val="-1"/>
        </w:rPr>
        <w:t>Practical</w:t>
      </w:r>
      <w:r>
        <w:rPr>
          <w:color w:val="231F20"/>
          <w:spacing w:val="-6"/>
        </w:rPr>
        <w:t> </w:t>
      </w:r>
      <w:r>
        <w:rPr>
          <w:color w:val="231F20"/>
        </w:rPr>
        <w:t>reconciliation:</w:t>
      </w:r>
      <w:r>
        <w:rPr>
          <w:color w:val="231F20"/>
          <w:spacing w:val="-7"/>
        </w:rPr>
        <w:t> </w:t>
      </w:r>
      <w:r>
        <w:rPr>
          <w:color w:val="231F20"/>
        </w:rPr>
        <w:t>A</w:t>
      </w:r>
      <w:r>
        <w:rPr>
          <w:color w:val="231F20"/>
          <w:spacing w:val="-6"/>
        </w:rPr>
        <w:t> </w:t>
      </w:r>
      <w:r>
        <w:rPr>
          <w:color w:val="231F20"/>
        </w:rPr>
        <w:t>two-way</w:t>
      </w:r>
      <w:r>
        <w:rPr>
          <w:color w:val="231F20"/>
          <w:spacing w:val="-6"/>
        </w:rPr>
        <w:t> </w:t>
      </w:r>
      <w:r>
        <w:rPr>
          <w:color w:val="231F20"/>
        </w:rPr>
        <w:t>exchange</w:t>
      </w:r>
      <w:r>
        <w:rPr>
          <w:color w:val="231F20"/>
          <w:spacing w:val="22"/>
          <w:w w:val="99"/>
        </w:rPr>
        <w:t> </w:t>
      </w:r>
      <w:r>
        <w:rPr>
          <w:color w:val="231F20"/>
        </w:rPr>
        <w:t>and</w:t>
      </w:r>
      <w:r>
        <w:rPr>
          <w:color w:val="231F20"/>
          <w:spacing w:val="-14"/>
        </w:rPr>
        <w:t> </w:t>
      </w:r>
      <w:r>
        <w:rPr>
          <w:color w:val="231F20"/>
        </w:rPr>
        <w:t>addressing</w:t>
      </w:r>
      <w:r>
        <w:rPr>
          <w:color w:val="231F20"/>
          <w:spacing w:val="-14"/>
        </w:rPr>
        <w:t> </w:t>
      </w:r>
      <w:r>
        <w:rPr>
          <w:color w:val="231F20"/>
        </w:rPr>
        <w:t>disadvantage.</w:t>
      </w:r>
      <w:r>
        <w:rPr/>
      </w:r>
    </w:p>
    <w:p>
      <w:pPr>
        <w:pStyle w:val="BodyText"/>
        <w:spacing w:line="250" w:lineRule="exact" w:before="113"/>
        <w:ind w:left="100" w:right="374"/>
        <w:jc w:val="left"/>
      </w:pPr>
      <w:r>
        <w:rPr>
          <w:color w:val="231F20"/>
          <w:spacing w:val="-1"/>
        </w:rPr>
        <w:t>In</w:t>
      </w:r>
      <w:r>
        <w:rPr>
          <w:color w:val="231F20"/>
          <w:spacing w:val="-3"/>
        </w:rPr>
        <w:t> </w:t>
      </w:r>
      <w:r>
        <w:rPr>
          <w:color w:val="231F20"/>
        </w:rPr>
        <w:t>the</w:t>
      </w:r>
      <w:r>
        <w:rPr>
          <w:color w:val="231F20"/>
          <w:spacing w:val="-3"/>
        </w:rPr>
        <w:t> </w:t>
      </w:r>
      <w:r>
        <w:rPr>
          <w:color w:val="231F20"/>
          <w:spacing w:val="-1"/>
        </w:rPr>
        <w:t>2017</w:t>
      </w:r>
      <w:r>
        <w:rPr>
          <w:color w:val="231F20"/>
          <w:spacing w:val="-3"/>
        </w:rPr>
        <w:t> </w:t>
      </w:r>
      <w:r>
        <w:rPr>
          <w:color w:val="231F20"/>
        </w:rPr>
        <w:t>calendar</w:t>
      </w:r>
      <w:r>
        <w:rPr>
          <w:color w:val="231F20"/>
          <w:spacing w:val="-3"/>
        </w:rPr>
        <w:t> </w:t>
      </w:r>
      <w:r>
        <w:rPr>
          <w:color w:val="231F20"/>
        </w:rPr>
        <w:t>year,</w:t>
      </w:r>
      <w:r>
        <w:rPr>
          <w:color w:val="231F20"/>
          <w:spacing w:val="-3"/>
        </w:rPr>
        <w:t> </w:t>
      </w:r>
      <w:r>
        <w:rPr>
          <w:color w:val="231F20"/>
          <w:spacing w:val="-1"/>
        </w:rPr>
        <w:t>5,190</w:t>
      </w:r>
      <w:r>
        <w:rPr>
          <w:color w:val="231F20"/>
          <w:spacing w:val="-2"/>
        </w:rPr>
        <w:t> </w:t>
      </w:r>
      <w:r>
        <w:rPr>
          <w:color w:val="231F20"/>
          <w:spacing w:val="-1"/>
        </w:rPr>
        <w:t>students</w:t>
      </w:r>
      <w:r>
        <w:rPr>
          <w:color w:val="231F20"/>
          <w:spacing w:val="23"/>
        </w:rPr>
        <w:t> </w:t>
      </w:r>
      <w:r>
        <w:rPr>
          <w:color w:val="231F20"/>
        </w:rPr>
        <w:t>received</w:t>
      </w:r>
      <w:r>
        <w:rPr>
          <w:color w:val="231F20"/>
          <w:spacing w:val="-7"/>
        </w:rPr>
        <w:t> </w:t>
      </w:r>
      <w:r>
        <w:rPr>
          <w:color w:val="231F20"/>
        </w:rPr>
        <w:t>an</w:t>
      </w:r>
      <w:r>
        <w:rPr>
          <w:color w:val="231F20"/>
          <w:spacing w:val="-7"/>
        </w:rPr>
        <w:t> </w:t>
      </w:r>
      <w:r>
        <w:rPr>
          <w:color w:val="231F20"/>
        </w:rPr>
        <w:t>ABSTUDY</w:t>
      </w:r>
      <w:r>
        <w:rPr>
          <w:color w:val="231F20"/>
          <w:spacing w:val="-7"/>
        </w:rPr>
        <w:t> </w:t>
      </w:r>
      <w:r>
        <w:rPr>
          <w:color w:val="231F20"/>
        </w:rPr>
        <w:t>boarding</w:t>
      </w:r>
      <w:r>
        <w:rPr>
          <w:color w:val="231F20"/>
          <w:spacing w:val="-7"/>
        </w:rPr>
        <w:t> </w:t>
      </w:r>
      <w:r>
        <w:rPr>
          <w:color w:val="231F20"/>
        </w:rPr>
        <w:t>related</w:t>
      </w:r>
      <w:r>
        <w:rPr>
          <w:color w:val="231F20"/>
          <w:w w:val="99"/>
        </w:rPr>
        <w:t> </w:t>
      </w:r>
      <w:r>
        <w:rPr>
          <w:color w:val="231F20"/>
        </w:rPr>
        <w:t>payment</w:t>
      </w:r>
      <w:r>
        <w:rPr>
          <w:color w:val="231F20"/>
          <w:spacing w:val="-7"/>
        </w:rPr>
        <w:t> </w:t>
      </w:r>
      <w:r>
        <w:rPr>
          <w:color w:val="231F20"/>
        </w:rPr>
        <w:t>to</w:t>
      </w:r>
      <w:r>
        <w:rPr>
          <w:color w:val="231F20"/>
          <w:spacing w:val="-7"/>
        </w:rPr>
        <w:t> </w:t>
      </w:r>
      <w:r>
        <w:rPr>
          <w:color w:val="231F20"/>
        </w:rPr>
        <w:t>attend</w:t>
      </w:r>
      <w:r>
        <w:rPr>
          <w:color w:val="231F20"/>
          <w:spacing w:val="-7"/>
        </w:rPr>
        <w:t> </w:t>
      </w:r>
      <w:r>
        <w:rPr>
          <w:color w:val="231F20"/>
          <w:spacing w:val="-1"/>
        </w:rPr>
        <w:t>secondary</w:t>
      </w:r>
      <w:r>
        <w:rPr>
          <w:color w:val="231F20"/>
          <w:spacing w:val="-5"/>
        </w:rPr>
        <w:t> </w:t>
      </w:r>
      <w:r>
        <w:rPr>
          <w:color w:val="231F20"/>
          <w:spacing w:val="-1"/>
        </w:rPr>
        <w:t>school</w:t>
      </w:r>
      <w:r>
        <w:rPr>
          <w:color w:val="231F20"/>
          <w:spacing w:val="21"/>
        </w:rPr>
        <w:t> </w:t>
      </w:r>
      <w:r>
        <w:rPr>
          <w:color w:val="231F20"/>
        </w:rPr>
        <w:t>(down</w:t>
      </w:r>
      <w:r>
        <w:rPr>
          <w:color w:val="231F20"/>
          <w:spacing w:val="-5"/>
        </w:rPr>
        <w:t> </w:t>
      </w:r>
      <w:r>
        <w:rPr>
          <w:color w:val="231F20"/>
        </w:rPr>
        <w:t>from</w:t>
      </w:r>
      <w:r>
        <w:rPr>
          <w:color w:val="231F20"/>
          <w:spacing w:val="-3"/>
        </w:rPr>
        <w:t> </w:t>
      </w:r>
      <w:r>
        <w:rPr>
          <w:color w:val="231F20"/>
          <w:spacing w:val="-1"/>
        </w:rPr>
        <w:t>5,267</w:t>
      </w:r>
      <w:r>
        <w:rPr>
          <w:color w:val="231F20"/>
          <w:spacing w:val="-4"/>
        </w:rPr>
        <w:t> </w:t>
      </w:r>
      <w:r>
        <w:rPr>
          <w:color w:val="231F20"/>
          <w:spacing w:val="-1"/>
        </w:rPr>
        <w:t>in</w:t>
      </w:r>
      <w:r>
        <w:rPr>
          <w:color w:val="231F20"/>
          <w:spacing w:val="-3"/>
        </w:rPr>
        <w:t> </w:t>
      </w:r>
      <w:r>
        <w:rPr>
          <w:color w:val="231F20"/>
          <w:spacing w:val="-1"/>
        </w:rPr>
        <w:t>2016).</w:t>
      </w:r>
      <w:r>
        <w:rPr>
          <w:color w:val="231F20"/>
          <w:spacing w:val="-4"/>
        </w:rPr>
        <w:t> </w:t>
      </w:r>
      <w:r>
        <w:rPr>
          <w:color w:val="231F20"/>
        </w:rPr>
        <w:t>Of</w:t>
      </w:r>
      <w:r>
        <w:rPr>
          <w:color w:val="231F20"/>
          <w:spacing w:val="-3"/>
        </w:rPr>
        <w:t> </w:t>
      </w:r>
      <w:r>
        <w:rPr>
          <w:color w:val="231F20"/>
        </w:rPr>
        <w:t>the</w:t>
      </w:r>
      <w:r>
        <w:rPr>
          <w:color w:val="231F20"/>
          <w:spacing w:val="-5"/>
        </w:rPr>
        <w:t> </w:t>
      </w:r>
      <w:r>
        <w:rPr>
          <w:color w:val="231F20"/>
        </w:rPr>
        <w:t>total</w:t>
      </w:r>
      <w:r>
        <w:rPr>
          <w:color w:val="231F20"/>
          <w:spacing w:val="24"/>
          <w:w w:val="99"/>
        </w:rPr>
        <w:t> </w:t>
      </w:r>
      <w:r>
        <w:rPr>
          <w:color w:val="231F20"/>
          <w:spacing w:val="-1"/>
        </w:rPr>
        <w:t>supported</w:t>
      </w:r>
      <w:r>
        <w:rPr>
          <w:color w:val="231F20"/>
          <w:spacing w:val="-5"/>
        </w:rPr>
        <w:t> </w:t>
      </w:r>
      <w:r>
        <w:rPr>
          <w:color w:val="231F20"/>
          <w:spacing w:val="-1"/>
        </w:rPr>
        <w:t>students,</w:t>
      </w:r>
      <w:r>
        <w:rPr>
          <w:color w:val="231F20"/>
          <w:spacing w:val="-4"/>
        </w:rPr>
        <w:t> </w:t>
      </w:r>
      <w:r>
        <w:rPr>
          <w:color w:val="231F20"/>
          <w:spacing w:val="-1"/>
        </w:rPr>
        <w:t>4,051</w:t>
      </w:r>
      <w:r>
        <w:rPr>
          <w:color w:val="231F20"/>
          <w:spacing w:val="-6"/>
        </w:rPr>
        <w:t> </w:t>
      </w:r>
      <w:r>
        <w:rPr>
          <w:color w:val="231F20"/>
          <w:spacing w:val="-1"/>
        </w:rPr>
        <w:t>students</w:t>
      </w:r>
      <w:r>
        <w:rPr>
          <w:color w:val="231F20"/>
          <w:spacing w:val="-5"/>
        </w:rPr>
        <w:t> </w:t>
      </w:r>
      <w:r>
        <w:rPr>
          <w:color w:val="231F20"/>
        </w:rPr>
        <w:t>were</w:t>
      </w:r>
      <w:r>
        <w:rPr>
          <w:color w:val="231F20"/>
          <w:spacing w:val="25"/>
          <w:w w:val="99"/>
        </w:rPr>
        <w:t> </w:t>
      </w:r>
      <w:r>
        <w:rPr>
          <w:color w:val="231F20"/>
        </w:rPr>
        <w:t>under</w:t>
      </w:r>
      <w:r>
        <w:rPr>
          <w:color w:val="231F20"/>
          <w:spacing w:val="-4"/>
        </w:rPr>
        <w:t> </w:t>
      </w:r>
      <w:r>
        <w:rPr>
          <w:color w:val="231F20"/>
          <w:spacing w:val="-1"/>
        </w:rPr>
        <w:t>16</w:t>
      </w:r>
      <w:r>
        <w:rPr>
          <w:color w:val="231F20"/>
          <w:spacing w:val="-3"/>
        </w:rPr>
        <w:t> </w:t>
      </w:r>
      <w:r>
        <w:rPr>
          <w:color w:val="231F20"/>
        </w:rPr>
        <w:t>years</w:t>
      </w:r>
      <w:r>
        <w:rPr>
          <w:color w:val="231F20"/>
          <w:spacing w:val="-4"/>
        </w:rPr>
        <w:t> </w:t>
      </w:r>
      <w:r>
        <w:rPr>
          <w:color w:val="231F20"/>
        </w:rPr>
        <w:t>of</w:t>
      </w:r>
      <w:r>
        <w:rPr>
          <w:color w:val="231F20"/>
          <w:spacing w:val="-4"/>
        </w:rPr>
        <w:t> </w:t>
      </w:r>
      <w:r>
        <w:rPr>
          <w:color w:val="231F20"/>
        </w:rPr>
        <w:t>age</w:t>
      </w:r>
      <w:r>
        <w:rPr>
          <w:color w:val="231F20"/>
          <w:spacing w:val="-4"/>
        </w:rPr>
        <w:t> </w:t>
      </w:r>
      <w:r>
        <w:rPr>
          <w:color w:val="231F20"/>
        </w:rPr>
        <w:t>and</w:t>
      </w:r>
      <w:r>
        <w:rPr>
          <w:color w:val="231F20"/>
          <w:spacing w:val="-4"/>
        </w:rPr>
        <w:t> </w:t>
      </w:r>
      <w:r>
        <w:rPr>
          <w:color w:val="231F20"/>
          <w:spacing w:val="-1"/>
        </w:rPr>
        <w:t>1,139</w:t>
      </w:r>
      <w:r>
        <w:rPr>
          <w:color w:val="231F20"/>
          <w:spacing w:val="-4"/>
        </w:rPr>
        <w:t> </w:t>
      </w:r>
      <w:r>
        <w:rPr>
          <w:color w:val="231F20"/>
        </w:rPr>
        <w:t>aged</w:t>
      </w:r>
      <w:r>
        <w:rPr>
          <w:color w:val="231F20"/>
          <w:spacing w:val="-4"/>
        </w:rPr>
        <w:t> </w:t>
      </w:r>
      <w:r>
        <w:rPr>
          <w:color w:val="231F20"/>
        </w:rPr>
        <w:t>over</w:t>
      </w:r>
      <w:r>
        <w:rPr/>
      </w:r>
    </w:p>
    <w:p>
      <w:pPr>
        <w:pStyle w:val="BodyText"/>
        <w:spacing w:line="250" w:lineRule="exact"/>
        <w:ind w:left="100" w:right="159"/>
        <w:jc w:val="left"/>
      </w:pPr>
      <w:r>
        <w:rPr>
          <w:color w:val="231F20"/>
        </w:rPr>
        <w:t>16.</w:t>
      </w:r>
      <w:r>
        <w:rPr>
          <w:color w:val="231F20"/>
          <w:spacing w:val="-7"/>
        </w:rPr>
        <w:t> </w:t>
      </w:r>
      <w:r>
        <w:rPr>
          <w:color w:val="231F20"/>
        </w:rPr>
        <w:t>ABSTUDY</w:t>
      </w:r>
      <w:r>
        <w:rPr>
          <w:color w:val="231F20"/>
          <w:spacing w:val="-8"/>
        </w:rPr>
        <w:t> </w:t>
      </w:r>
      <w:r>
        <w:rPr>
          <w:color w:val="231F20"/>
        </w:rPr>
        <w:t>payments</w:t>
      </w:r>
      <w:r>
        <w:rPr>
          <w:color w:val="231F20"/>
          <w:spacing w:val="-8"/>
        </w:rPr>
        <w:t> </w:t>
      </w:r>
      <w:r>
        <w:rPr>
          <w:color w:val="231F20"/>
          <w:spacing w:val="-1"/>
        </w:rPr>
        <w:t>include</w:t>
      </w:r>
      <w:r>
        <w:rPr>
          <w:color w:val="231F20"/>
          <w:spacing w:val="-7"/>
        </w:rPr>
        <w:t> </w:t>
      </w:r>
      <w:r>
        <w:rPr>
          <w:color w:val="231F20"/>
        </w:rPr>
        <w:t>allowances</w:t>
      </w:r>
      <w:r>
        <w:rPr>
          <w:color w:val="231F20"/>
          <w:spacing w:val="22"/>
          <w:w w:val="99"/>
        </w:rPr>
        <w:t> </w:t>
      </w:r>
      <w:r>
        <w:rPr>
          <w:color w:val="231F20"/>
        </w:rPr>
        <w:t>for</w:t>
      </w:r>
      <w:r>
        <w:rPr>
          <w:color w:val="231F20"/>
          <w:spacing w:val="-9"/>
        </w:rPr>
        <w:t> </w:t>
      </w:r>
      <w:r>
        <w:rPr>
          <w:color w:val="231F20"/>
        </w:rPr>
        <w:t>accommodation</w:t>
      </w:r>
      <w:r>
        <w:rPr>
          <w:color w:val="231F20"/>
          <w:spacing w:val="-10"/>
        </w:rPr>
        <w:t> </w:t>
      </w:r>
      <w:r>
        <w:rPr>
          <w:color w:val="231F20"/>
        </w:rPr>
        <w:t>at</w:t>
      </w:r>
      <w:r>
        <w:rPr>
          <w:color w:val="231F20"/>
          <w:spacing w:val="-9"/>
        </w:rPr>
        <w:t> </w:t>
      </w:r>
      <w:r>
        <w:rPr>
          <w:color w:val="231F20"/>
        </w:rPr>
        <w:t>boarding</w:t>
      </w:r>
      <w:r>
        <w:rPr>
          <w:color w:val="231F20"/>
          <w:spacing w:val="-9"/>
        </w:rPr>
        <w:t> </w:t>
      </w:r>
      <w:r>
        <w:rPr>
          <w:color w:val="231F20"/>
        </w:rPr>
        <w:t>providers</w:t>
      </w:r>
      <w:r>
        <w:rPr>
          <w:color w:val="231F20"/>
          <w:w w:val="99"/>
        </w:rPr>
        <w:t> </w:t>
      </w:r>
      <w:r>
        <w:rPr>
          <w:color w:val="231F20"/>
        </w:rPr>
        <w:t>and</w:t>
      </w:r>
      <w:r>
        <w:rPr>
          <w:color w:val="231F20"/>
          <w:spacing w:val="-6"/>
        </w:rPr>
        <w:t> </w:t>
      </w:r>
      <w:r>
        <w:rPr>
          <w:color w:val="231F20"/>
        </w:rPr>
        <w:t>hostels,</w:t>
      </w:r>
      <w:r>
        <w:rPr>
          <w:color w:val="231F20"/>
          <w:spacing w:val="-5"/>
        </w:rPr>
        <w:t> </w:t>
      </w:r>
      <w:r>
        <w:rPr>
          <w:color w:val="231F20"/>
        </w:rPr>
        <w:t>boarding</w:t>
      </w:r>
      <w:r>
        <w:rPr>
          <w:color w:val="231F20"/>
          <w:spacing w:val="-5"/>
        </w:rPr>
        <w:t> </w:t>
      </w:r>
      <w:r>
        <w:rPr>
          <w:color w:val="231F20"/>
          <w:spacing w:val="-1"/>
        </w:rPr>
        <w:t>schools</w:t>
      </w:r>
      <w:r>
        <w:rPr>
          <w:color w:val="231F20"/>
          <w:spacing w:val="-4"/>
        </w:rPr>
        <w:t> </w:t>
      </w:r>
      <w:r>
        <w:rPr>
          <w:color w:val="231F20"/>
        </w:rPr>
        <w:t>and</w:t>
      </w:r>
      <w:r>
        <w:rPr>
          <w:color w:val="231F20"/>
          <w:spacing w:val="-5"/>
        </w:rPr>
        <w:t> </w:t>
      </w:r>
      <w:r>
        <w:rPr>
          <w:color w:val="231F20"/>
        </w:rPr>
        <w:t>private</w:t>
      </w:r>
      <w:r>
        <w:rPr>
          <w:color w:val="231F20"/>
          <w:spacing w:val="22"/>
          <w:w w:val="99"/>
        </w:rPr>
        <w:t> </w:t>
      </w:r>
      <w:r>
        <w:rPr>
          <w:color w:val="231F20"/>
        </w:rPr>
        <w:t>accommodation</w:t>
      </w:r>
      <w:r>
        <w:rPr>
          <w:color w:val="231F20"/>
          <w:spacing w:val="-14"/>
        </w:rPr>
        <w:t> </w:t>
      </w:r>
      <w:r>
        <w:rPr>
          <w:color w:val="231F20"/>
          <w:spacing w:val="-1"/>
        </w:rPr>
        <w:t>arrangements.</w:t>
      </w:r>
      <w:r>
        <w:rPr>
          <w:rFonts w:ascii="Segoe UI Semibold"/>
          <w:b/>
          <w:color w:val="231F20"/>
          <w:spacing w:val="-1"/>
          <w:position w:val="7"/>
          <w:sz w:val="11"/>
        </w:rPr>
        <w:t>30</w:t>
      </w:r>
      <w:r>
        <w:rPr>
          <w:rFonts w:ascii="Segoe UI Semibold"/>
          <w:b/>
          <w:color w:val="231F20"/>
          <w:spacing w:val="12"/>
          <w:position w:val="7"/>
          <w:sz w:val="11"/>
        </w:rPr>
        <w:t> </w:t>
      </w:r>
      <w:r>
        <w:rPr>
          <w:color w:val="231F20"/>
          <w:spacing w:val="-3"/>
        </w:rPr>
        <w:t>Travel</w:t>
      </w:r>
      <w:r>
        <w:rPr/>
      </w:r>
    </w:p>
    <w:p>
      <w:pPr>
        <w:pStyle w:val="BodyText"/>
        <w:spacing w:line="250" w:lineRule="exact"/>
        <w:ind w:left="100" w:right="81"/>
        <w:jc w:val="left"/>
        <w:rPr>
          <w:rFonts w:ascii="Segoe UI Semibold" w:hAnsi="Segoe UI Semibold" w:cs="Segoe UI Semibold" w:eastAsia="Segoe UI Semibold"/>
          <w:sz w:val="11"/>
          <w:szCs w:val="11"/>
        </w:rPr>
      </w:pPr>
      <w:r>
        <w:rPr>
          <w:color w:val="231F20"/>
          <w:spacing w:val="-1"/>
        </w:rPr>
        <w:t>is</w:t>
      </w:r>
      <w:r>
        <w:rPr>
          <w:color w:val="231F20"/>
          <w:spacing w:val="-5"/>
        </w:rPr>
        <w:t> </w:t>
      </w:r>
      <w:r>
        <w:rPr>
          <w:color w:val="231F20"/>
        </w:rPr>
        <w:t>an</w:t>
      </w:r>
      <w:r>
        <w:rPr>
          <w:color w:val="231F20"/>
          <w:spacing w:val="-5"/>
        </w:rPr>
        <w:t> </w:t>
      </w:r>
      <w:r>
        <w:rPr>
          <w:color w:val="231F20"/>
        </w:rPr>
        <w:t>essential</w:t>
      </w:r>
      <w:r>
        <w:rPr>
          <w:color w:val="231F20"/>
          <w:spacing w:val="-5"/>
        </w:rPr>
        <w:t> </w:t>
      </w:r>
      <w:r>
        <w:rPr>
          <w:color w:val="231F20"/>
        </w:rPr>
        <w:t>component</w:t>
      </w:r>
      <w:r>
        <w:rPr>
          <w:color w:val="231F20"/>
          <w:spacing w:val="-5"/>
        </w:rPr>
        <w:t> </w:t>
      </w:r>
      <w:r>
        <w:rPr>
          <w:color w:val="231F20"/>
        </w:rPr>
        <w:t>of</w:t>
      </w:r>
      <w:r>
        <w:rPr>
          <w:color w:val="231F20"/>
          <w:spacing w:val="-4"/>
        </w:rPr>
        <w:t> </w:t>
      </w:r>
      <w:r>
        <w:rPr>
          <w:color w:val="231F20"/>
          <w:spacing w:val="-1"/>
        </w:rPr>
        <w:t>support</w:t>
      </w:r>
      <w:r>
        <w:rPr>
          <w:color w:val="231F20"/>
          <w:spacing w:val="-4"/>
        </w:rPr>
        <w:t> </w:t>
      </w:r>
      <w:r>
        <w:rPr>
          <w:color w:val="231F20"/>
        </w:rPr>
        <w:t>for</w:t>
      </w:r>
      <w:r>
        <w:rPr>
          <w:color w:val="231F20"/>
          <w:spacing w:val="23"/>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with</w:t>
      </w:r>
      <w:r>
        <w:rPr>
          <w:color w:val="231F20"/>
          <w:spacing w:val="-7"/>
        </w:rPr>
        <w:t> </w:t>
      </w:r>
      <w:r>
        <w:rPr>
          <w:color w:val="231F20"/>
        </w:rPr>
        <w:t>approximately</w:t>
      </w:r>
      <w:r>
        <w:rPr>
          <w:color w:val="231F20"/>
          <w:spacing w:val="-6"/>
        </w:rPr>
        <w:t> </w:t>
      </w:r>
      <w:r>
        <w:rPr>
          <w:color w:val="231F20"/>
          <w:spacing w:val="-1"/>
        </w:rPr>
        <w:t>77</w:t>
      </w:r>
      <w:r>
        <w:rPr>
          <w:color w:val="231F20"/>
          <w:spacing w:val="-6"/>
        </w:rPr>
        <w:t> </w:t>
      </w:r>
      <w:r>
        <w:rPr>
          <w:color w:val="231F20"/>
        </w:rPr>
        <w:t>per</w:t>
      </w:r>
      <w:r>
        <w:rPr>
          <w:color w:val="231F20"/>
          <w:spacing w:val="-5"/>
        </w:rPr>
        <w:t> </w:t>
      </w:r>
      <w:r>
        <w:rPr>
          <w:color w:val="231F20"/>
        </w:rPr>
        <w:t>cent</w:t>
      </w:r>
      <w:r>
        <w:rPr>
          <w:color w:val="231F20"/>
          <w:spacing w:val="-7"/>
        </w:rPr>
        <w:t> </w:t>
      </w:r>
      <w:r>
        <w:rPr>
          <w:color w:val="231F20"/>
        </w:rPr>
        <w:t>of</w:t>
      </w:r>
      <w:r>
        <w:rPr>
          <w:color w:val="231F20"/>
          <w:spacing w:val="-5"/>
        </w:rPr>
        <w:t> </w:t>
      </w:r>
      <w:r>
        <w:rPr>
          <w:color w:val="231F20"/>
        </w:rPr>
        <w:t>boarders</w:t>
      </w:r>
      <w:r>
        <w:rPr>
          <w:color w:val="231F20"/>
          <w:spacing w:val="21"/>
          <w:w w:val="99"/>
        </w:rPr>
        <w:t> </w:t>
      </w:r>
      <w:r>
        <w:rPr>
          <w:color w:val="231F20"/>
        </w:rPr>
        <w:t>attending</w:t>
      </w:r>
      <w:r>
        <w:rPr>
          <w:color w:val="231F20"/>
          <w:spacing w:val="-8"/>
        </w:rPr>
        <w:t> </w:t>
      </w:r>
      <w:r>
        <w:rPr>
          <w:color w:val="231F20"/>
        </w:rPr>
        <w:t>non</w:t>
      </w:r>
      <w:r>
        <w:rPr>
          <w:color w:val="231F20"/>
          <w:spacing w:val="-8"/>
        </w:rPr>
        <w:t> </w:t>
      </w:r>
      <w:r>
        <w:rPr>
          <w:color w:val="231F20"/>
        </w:rPr>
        <w:t>government</w:t>
      </w:r>
      <w:r>
        <w:rPr>
          <w:color w:val="231F20"/>
          <w:spacing w:val="-8"/>
        </w:rPr>
        <w:t> </w:t>
      </w:r>
      <w:r>
        <w:rPr>
          <w:color w:val="231F20"/>
          <w:spacing w:val="-1"/>
        </w:rPr>
        <w:t>schools</w:t>
      </w:r>
      <w:r>
        <w:rPr>
          <w:color w:val="231F20"/>
          <w:spacing w:val="-8"/>
        </w:rPr>
        <w:t> </w:t>
      </w:r>
      <w:r>
        <w:rPr>
          <w:color w:val="231F20"/>
        </w:rPr>
        <w:t>within</w:t>
      </w:r>
      <w:r>
        <w:rPr>
          <w:color w:val="231F20"/>
          <w:spacing w:val="22"/>
          <w:w w:val="99"/>
        </w:rPr>
        <w:t> </w:t>
      </w:r>
      <w:r>
        <w:rPr>
          <w:color w:val="231F20"/>
        </w:rPr>
        <w:t>their</w:t>
      </w:r>
      <w:r>
        <w:rPr>
          <w:color w:val="231F20"/>
          <w:spacing w:val="-5"/>
        </w:rPr>
        <w:t> </w:t>
      </w:r>
      <w:r>
        <w:rPr>
          <w:color w:val="231F20"/>
        </w:rPr>
        <w:t>home</w:t>
      </w:r>
      <w:r>
        <w:rPr>
          <w:color w:val="231F20"/>
          <w:spacing w:val="-4"/>
        </w:rPr>
        <w:t> </w:t>
      </w:r>
      <w:r>
        <w:rPr>
          <w:color w:val="231F20"/>
          <w:spacing w:val="-1"/>
        </w:rPr>
        <w:t>state</w:t>
      </w:r>
      <w:r>
        <w:rPr>
          <w:color w:val="231F20"/>
          <w:spacing w:val="-4"/>
        </w:rPr>
        <w:t> </w:t>
      </w:r>
      <w:r>
        <w:rPr>
          <w:color w:val="231F20"/>
        </w:rPr>
        <w:t>and</w:t>
      </w:r>
      <w:r>
        <w:rPr>
          <w:color w:val="231F20"/>
          <w:spacing w:val="-4"/>
        </w:rPr>
        <w:t> </w:t>
      </w:r>
      <w:r>
        <w:rPr>
          <w:color w:val="231F20"/>
          <w:spacing w:val="-1"/>
        </w:rPr>
        <w:t>more</w:t>
      </w:r>
      <w:r>
        <w:rPr>
          <w:color w:val="231F20"/>
          <w:spacing w:val="-3"/>
        </w:rPr>
        <w:t> </w:t>
      </w:r>
      <w:r>
        <w:rPr>
          <w:color w:val="231F20"/>
        </w:rPr>
        <w:t>than</w:t>
      </w:r>
      <w:r>
        <w:rPr>
          <w:color w:val="231F20"/>
          <w:spacing w:val="-5"/>
        </w:rPr>
        <w:t> </w:t>
      </w:r>
      <w:r>
        <w:rPr>
          <w:color w:val="231F20"/>
          <w:spacing w:val="-1"/>
        </w:rPr>
        <w:t>75</w:t>
      </w:r>
      <w:r>
        <w:rPr>
          <w:color w:val="231F20"/>
          <w:spacing w:val="-3"/>
        </w:rPr>
        <w:t> </w:t>
      </w:r>
      <w:r>
        <w:rPr>
          <w:color w:val="231F20"/>
        </w:rPr>
        <w:t>per</w:t>
      </w:r>
      <w:r>
        <w:rPr>
          <w:color w:val="231F20"/>
          <w:spacing w:val="-3"/>
        </w:rPr>
        <w:t> </w:t>
      </w:r>
      <w:r>
        <w:rPr>
          <w:color w:val="231F20"/>
        </w:rPr>
        <w:t>cent</w:t>
      </w:r>
      <w:r>
        <w:rPr>
          <w:color w:val="231F20"/>
          <w:spacing w:val="24"/>
          <w:w w:val="99"/>
        </w:rPr>
        <w:t> </w:t>
      </w:r>
      <w:r>
        <w:rPr>
          <w:rFonts w:ascii="Segoe UI" w:hAnsi="Segoe UI" w:cs="Segoe UI" w:eastAsia="Segoe UI"/>
          <w:color w:val="231F20"/>
        </w:rPr>
        <w:t>came from an area that was classified as ‘very</w:t>
      </w:r>
      <w:r>
        <w:rPr>
          <w:rFonts w:ascii="Segoe UI" w:hAnsi="Segoe UI" w:cs="Segoe UI" w:eastAsia="Segoe UI"/>
          <w:color w:val="231F20"/>
        </w:rPr>
        <w:t> </w:t>
      </w:r>
      <w:r>
        <w:rPr>
          <w:color w:val="231F20"/>
        </w:rPr>
        <w:t>remote’</w:t>
      </w:r>
      <w:r>
        <w:rPr>
          <w:color w:val="231F20"/>
          <w:spacing w:val="-6"/>
        </w:rPr>
        <w:t> </w:t>
      </w:r>
      <w:r>
        <w:rPr>
          <w:color w:val="231F20"/>
        </w:rPr>
        <w:t>or</w:t>
      </w:r>
      <w:r>
        <w:rPr>
          <w:color w:val="231F20"/>
          <w:spacing w:val="-6"/>
        </w:rPr>
        <w:t> </w:t>
      </w:r>
      <w:r>
        <w:rPr>
          <w:color w:val="231F20"/>
          <w:spacing w:val="-1"/>
        </w:rPr>
        <w:t>‘remote’.</w:t>
      </w:r>
      <w:r>
        <w:rPr>
          <w:rFonts w:ascii="Segoe UI Semibold" w:hAnsi="Segoe UI Semibold" w:cs="Segoe UI Semibold" w:eastAsia="Segoe UI Semibold"/>
          <w:b/>
          <w:bCs/>
          <w:color w:val="231F20"/>
          <w:spacing w:val="-1"/>
          <w:position w:val="7"/>
          <w:sz w:val="11"/>
          <w:szCs w:val="11"/>
        </w:rPr>
        <w:t>31</w:t>
      </w:r>
      <w:r>
        <w:rPr>
          <w:rFonts w:ascii="Segoe UI Semibold" w:hAnsi="Segoe UI Semibold" w:cs="Segoe UI Semibold" w:eastAsia="Segoe UI Semibold"/>
          <w:sz w:val="11"/>
          <w:szCs w:val="11"/>
        </w:rPr>
      </w:r>
    </w:p>
    <w:p>
      <w:pPr>
        <w:spacing w:line="245" w:lineRule="auto" w:before="58"/>
        <w:ind w:left="100" w:right="200" w:firstLine="2"/>
        <w:jc w:val="left"/>
        <w:rPr>
          <w:rFonts w:ascii="Segoe UI Semibold" w:hAnsi="Segoe UI Semibold" w:cs="Segoe UI Semibold" w:eastAsia="Segoe UI Semibold"/>
          <w:sz w:val="11"/>
          <w:szCs w:val="11"/>
        </w:rPr>
      </w:pPr>
      <w:r>
        <w:rPr/>
        <w:br w:type="column"/>
      </w:r>
      <w:r>
        <w:rPr>
          <w:rFonts w:ascii="Segoe UI Semibold"/>
          <w:b/>
          <w:color w:val="666155"/>
          <w:spacing w:val="1"/>
          <w:sz w:val="16"/>
        </w:rPr>
        <w:t>TABLE</w:t>
      </w:r>
      <w:r>
        <w:rPr>
          <w:rFonts w:ascii="Segoe UI Semibold"/>
          <w:b/>
          <w:color w:val="666155"/>
          <w:spacing w:val="-2"/>
          <w:sz w:val="16"/>
        </w:rPr>
        <w:t> </w:t>
      </w:r>
      <w:r>
        <w:rPr>
          <w:rFonts w:ascii="Segoe UI Semibold"/>
          <w:b/>
          <w:color w:val="666155"/>
          <w:sz w:val="16"/>
        </w:rPr>
        <w:t>4:</w:t>
      </w:r>
      <w:r>
        <w:rPr>
          <w:rFonts w:ascii="Segoe UI Semibold"/>
          <w:b/>
          <w:color w:val="666155"/>
          <w:spacing w:val="-1"/>
          <w:sz w:val="16"/>
        </w:rPr>
        <w:t> TOTAL</w:t>
      </w:r>
      <w:r>
        <w:rPr>
          <w:rFonts w:ascii="Segoe UI Semibold"/>
          <w:b/>
          <w:color w:val="666155"/>
          <w:spacing w:val="2"/>
          <w:sz w:val="16"/>
        </w:rPr>
        <w:t> </w:t>
      </w:r>
      <w:r>
        <w:rPr>
          <w:rFonts w:ascii="Segoe UI Semibold"/>
          <w:b/>
          <w:color w:val="666155"/>
          <w:spacing w:val="4"/>
          <w:sz w:val="16"/>
        </w:rPr>
        <w:t>ABSTUDY</w:t>
      </w:r>
      <w:r>
        <w:rPr>
          <w:rFonts w:ascii="Segoe UI Semibold"/>
          <w:b/>
          <w:color w:val="666155"/>
          <w:spacing w:val="2"/>
          <w:sz w:val="16"/>
        </w:rPr>
        <w:t> </w:t>
      </w:r>
      <w:r>
        <w:rPr>
          <w:rFonts w:ascii="Segoe UI Semibold"/>
          <w:b/>
          <w:color w:val="666155"/>
          <w:spacing w:val="4"/>
          <w:sz w:val="16"/>
        </w:rPr>
        <w:t>RECIPIENTS</w:t>
      </w:r>
      <w:r>
        <w:rPr>
          <w:rFonts w:ascii="Segoe UI Semibold"/>
          <w:b/>
          <w:color w:val="666155"/>
          <w:spacing w:val="-1"/>
          <w:sz w:val="16"/>
        </w:rPr>
        <w:t> </w:t>
      </w:r>
      <w:r>
        <w:rPr>
          <w:rFonts w:ascii="Segoe UI Semibold"/>
          <w:b/>
          <w:color w:val="666155"/>
          <w:spacing w:val="3"/>
          <w:position w:val="1"/>
          <w:sz w:val="16"/>
        </w:rPr>
        <w:t>(</w:t>
      </w:r>
      <w:r>
        <w:rPr>
          <w:rFonts w:ascii="Segoe UI Semibold"/>
          <w:b/>
          <w:color w:val="666155"/>
          <w:spacing w:val="3"/>
          <w:sz w:val="16"/>
        </w:rPr>
        <w:t>STUDENTS</w:t>
      </w:r>
      <w:r>
        <w:rPr>
          <w:rFonts w:ascii="Segoe UI Semibold"/>
          <w:b/>
          <w:color w:val="666155"/>
          <w:spacing w:val="3"/>
          <w:position w:val="1"/>
          <w:sz w:val="16"/>
        </w:rPr>
        <w:t>)</w:t>
      </w:r>
      <w:r>
        <w:rPr>
          <w:rFonts w:ascii="Segoe UI Semibold"/>
          <w:b/>
          <w:color w:val="666155"/>
          <w:spacing w:val="40"/>
          <w:position w:val="1"/>
          <w:sz w:val="16"/>
        </w:rPr>
        <w:t> </w:t>
      </w:r>
      <w:r>
        <w:rPr>
          <w:rFonts w:ascii="Segoe UI Semibold"/>
          <w:b/>
          <w:color w:val="666155"/>
          <w:spacing w:val="3"/>
          <w:sz w:val="16"/>
        </w:rPr>
        <w:t>WITH</w:t>
      </w:r>
      <w:r>
        <w:rPr>
          <w:rFonts w:ascii="Segoe UI Semibold"/>
          <w:b/>
          <w:color w:val="666155"/>
          <w:spacing w:val="-2"/>
          <w:sz w:val="16"/>
        </w:rPr>
        <w:t> </w:t>
      </w:r>
      <w:r>
        <w:rPr>
          <w:rFonts w:ascii="Segoe UI Semibold"/>
          <w:b/>
          <w:color w:val="666155"/>
          <w:spacing w:val="4"/>
          <w:sz w:val="16"/>
        </w:rPr>
        <w:t>BOARDING</w:t>
      </w:r>
      <w:r>
        <w:rPr>
          <w:rFonts w:ascii="Segoe UI Semibold"/>
          <w:b/>
          <w:color w:val="666155"/>
          <w:spacing w:val="-2"/>
          <w:sz w:val="16"/>
        </w:rPr>
        <w:t> </w:t>
      </w:r>
      <w:r>
        <w:rPr>
          <w:rFonts w:ascii="Segoe UI Semibold"/>
          <w:b/>
          <w:color w:val="666155"/>
          <w:spacing w:val="3"/>
          <w:sz w:val="16"/>
        </w:rPr>
        <w:t>RELATED</w:t>
      </w:r>
      <w:r>
        <w:rPr>
          <w:rFonts w:ascii="Segoe UI Semibold"/>
          <w:b/>
          <w:color w:val="666155"/>
          <w:spacing w:val="-2"/>
          <w:sz w:val="16"/>
        </w:rPr>
        <w:t> </w:t>
      </w:r>
      <w:r>
        <w:rPr>
          <w:rFonts w:ascii="Segoe UI Semibold"/>
          <w:b/>
          <w:color w:val="666155"/>
          <w:spacing w:val="1"/>
          <w:sz w:val="16"/>
        </w:rPr>
        <w:t>PAYMENT</w:t>
      </w:r>
      <w:r>
        <w:rPr>
          <w:rFonts w:ascii="Segoe UI Semibold"/>
          <w:b/>
          <w:color w:val="666155"/>
          <w:spacing w:val="-2"/>
          <w:sz w:val="16"/>
        </w:rPr>
        <w:t> </w:t>
      </w:r>
      <w:r>
        <w:rPr>
          <w:rFonts w:ascii="Segoe UI Semibold"/>
          <w:b/>
          <w:color w:val="666155"/>
          <w:spacing w:val="5"/>
          <w:sz w:val="16"/>
        </w:rPr>
        <w:t>ENTITLEMENT</w:t>
      </w:r>
      <w:r>
        <w:rPr>
          <w:rFonts w:ascii="Segoe UI Semibold"/>
          <w:b/>
          <w:color w:val="666155"/>
          <w:spacing w:val="31"/>
          <w:w w:val="99"/>
          <w:sz w:val="16"/>
        </w:rPr>
        <w:t> </w:t>
      </w:r>
      <w:r>
        <w:rPr>
          <w:rFonts w:ascii="Segoe UI Semibold"/>
          <w:b/>
          <w:color w:val="666155"/>
          <w:spacing w:val="3"/>
          <w:position w:val="1"/>
          <w:sz w:val="16"/>
        </w:rPr>
        <w:t>(</w:t>
      </w:r>
      <w:r>
        <w:rPr>
          <w:rFonts w:ascii="Segoe UI Semibold"/>
          <w:b/>
          <w:color w:val="666155"/>
          <w:spacing w:val="3"/>
          <w:sz w:val="16"/>
        </w:rPr>
        <w:t>SECONDARY </w:t>
      </w:r>
      <w:r>
        <w:rPr>
          <w:rFonts w:ascii="Segoe UI Semibold"/>
          <w:b/>
          <w:color w:val="666155"/>
          <w:spacing w:val="4"/>
          <w:sz w:val="16"/>
        </w:rPr>
        <w:t>LEVEL </w:t>
      </w:r>
      <w:r>
        <w:rPr>
          <w:rFonts w:ascii="Segoe UI Semibold"/>
          <w:b/>
          <w:color w:val="666155"/>
          <w:spacing w:val="3"/>
          <w:sz w:val="16"/>
        </w:rPr>
        <w:t>STUDIES</w:t>
      </w:r>
      <w:r>
        <w:rPr>
          <w:rFonts w:ascii="Segoe UI Semibold"/>
          <w:b/>
          <w:color w:val="666155"/>
          <w:spacing w:val="3"/>
          <w:position w:val="1"/>
          <w:sz w:val="16"/>
        </w:rPr>
        <w:t>)</w:t>
      </w:r>
      <w:r>
        <w:rPr>
          <w:rFonts w:ascii="Segoe UI Semibold"/>
          <w:b/>
          <w:color w:val="666155"/>
          <w:spacing w:val="3"/>
          <w:sz w:val="16"/>
        </w:rPr>
        <w:t>,</w:t>
      </w:r>
      <w:r>
        <w:rPr>
          <w:rFonts w:ascii="Segoe UI Semibold"/>
          <w:b/>
          <w:color w:val="666155"/>
          <w:spacing w:val="-2"/>
          <w:sz w:val="16"/>
        </w:rPr>
        <w:t> </w:t>
      </w:r>
      <w:r>
        <w:rPr>
          <w:rFonts w:ascii="Segoe UI Semibold"/>
          <w:b/>
          <w:color w:val="666155"/>
          <w:spacing w:val="-1"/>
          <w:sz w:val="16"/>
        </w:rPr>
        <w:t>2016</w:t>
      </w:r>
      <w:r>
        <w:rPr>
          <w:rFonts w:ascii="Segoe UI Semibold"/>
          <w:b/>
          <w:color w:val="666155"/>
          <w:spacing w:val="2"/>
          <w:sz w:val="16"/>
        </w:rPr>
        <w:t> </w:t>
      </w:r>
      <w:r>
        <w:rPr>
          <w:rFonts w:ascii="Segoe UI Semibold"/>
          <w:b/>
          <w:color w:val="666155"/>
          <w:spacing w:val="3"/>
          <w:sz w:val="16"/>
        </w:rPr>
        <w:t>AND</w:t>
      </w:r>
      <w:r>
        <w:rPr>
          <w:rFonts w:ascii="Segoe UI Semibold"/>
          <w:b/>
          <w:color w:val="666155"/>
          <w:spacing w:val="1"/>
          <w:sz w:val="16"/>
        </w:rPr>
        <w:t> </w:t>
      </w:r>
      <w:r>
        <w:rPr>
          <w:rFonts w:ascii="Segoe UI Semibold"/>
          <w:b/>
          <w:color w:val="666155"/>
          <w:spacing w:val="-1"/>
          <w:sz w:val="16"/>
        </w:rPr>
        <w:t>2017</w:t>
      </w:r>
      <w:r>
        <w:rPr>
          <w:rFonts w:ascii="Segoe UI Semibold"/>
          <w:b/>
          <w:color w:val="231F20"/>
          <w:spacing w:val="-1"/>
          <w:position w:val="7"/>
          <w:sz w:val="11"/>
        </w:rPr>
        <w:t>32</w:t>
      </w:r>
      <w:r>
        <w:rPr>
          <w:rFonts w:ascii="Segoe UI Semibold"/>
          <w:sz w:val="11"/>
        </w:rPr>
      </w:r>
    </w:p>
    <w:p>
      <w:pPr>
        <w:spacing w:line="240" w:lineRule="auto" w:before="7"/>
        <w:rPr>
          <w:rFonts w:ascii="Segoe UI Semibold" w:hAnsi="Segoe UI Semibold" w:cs="Segoe UI Semibold" w:eastAsia="Segoe UI Semibold"/>
          <w:b/>
          <w:bCs/>
          <w:sz w:val="11"/>
          <w:szCs w:val="11"/>
        </w:rPr>
      </w:pPr>
    </w:p>
    <w:tbl>
      <w:tblPr>
        <w:tblW w:w="0" w:type="auto"/>
        <w:jc w:val="left"/>
        <w:tblInd w:w="100" w:type="dxa"/>
        <w:tblLayout w:type="fixed"/>
        <w:tblCellMar>
          <w:top w:w="0" w:type="dxa"/>
          <w:left w:w="0" w:type="dxa"/>
          <w:bottom w:w="0" w:type="dxa"/>
          <w:right w:w="0" w:type="dxa"/>
        </w:tblCellMar>
        <w:tblLook w:val="01E0"/>
      </w:tblPr>
      <w:tblGrid>
        <w:gridCol w:w="2093"/>
        <w:gridCol w:w="1134"/>
        <w:gridCol w:w="1015"/>
      </w:tblGrid>
      <w:tr>
        <w:trPr>
          <w:trHeight w:val="343" w:hRule="exact"/>
        </w:trPr>
        <w:tc>
          <w:tcPr>
            <w:tcW w:w="2093"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left="152" w:right="0"/>
              <w:jc w:val="left"/>
              <w:rPr>
                <w:rFonts w:ascii="Segoe UI" w:hAnsi="Segoe UI" w:cs="Segoe UI" w:eastAsia="Segoe UI"/>
                <w:sz w:val="16"/>
                <w:szCs w:val="16"/>
              </w:rPr>
            </w:pPr>
            <w:r>
              <w:rPr>
                <w:rFonts w:ascii="Segoe UI"/>
                <w:color w:val="231F20"/>
                <w:sz w:val="16"/>
              </w:rPr>
              <w:t>Age</w:t>
            </w:r>
            <w:r>
              <w:rPr>
                <w:rFonts w:ascii="Segoe UI"/>
                <w:color w:val="231F20"/>
                <w:spacing w:val="-3"/>
                <w:sz w:val="16"/>
              </w:rPr>
              <w:t> </w:t>
            </w:r>
            <w:r>
              <w:rPr>
                <w:rFonts w:ascii="Segoe UI"/>
                <w:color w:val="231F20"/>
                <w:sz w:val="16"/>
              </w:rPr>
              <w:t>as</w:t>
            </w:r>
            <w:r>
              <w:rPr>
                <w:rFonts w:ascii="Segoe UI"/>
                <w:color w:val="231F20"/>
                <w:spacing w:val="-3"/>
                <w:sz w:val="16"/>
              </w:rPr>
              <w:t> </w:t>
            </w:r>
            <w:r>
              <w:rPr>
                <w:rFonts w:ascii="Segoe UI"/>
                <w:color w:val="231F20"/>
                <w:sz w:val="16"/>
              </w:rPr>
              <w:t>at</w:t>
            </w:r>
            <w:r>
              <w:rPr>
                <w:rFonts w:ascii="Segoe UI"/>
                <w:color w:val="231F20"/>
                <w:spacing w:val="-3"/>
                <w:sz w:val="16"/>
              </w:rPr>
              <w:t> </w:t>
            </w:r>
            <w:r>
              <w:rPr>
                <w:rFonts w:ascii="Segoe UI"/>
                <w:color w:val="231F20"/>
                <w:sz w:val="16"/>
              </w:rPr>
              <w:t>1</w:t>
            </w:r>
            <w:r>
              <w:rPr>
                <w:rFonts w:ascii="Segoe UI"/>
                <w:color w:val="231F20"/>
                <w:spacing w:val="-2"/>
                <w:sz w:val="16"/>
              </w:rPr>
              <w:t> </w:t>
            </w:r>
            <w:r>
              <w:rPr>
                <w:rFonts w:ascii="Segoe UI"/>
                <w:color w:val="231F20"/>
                <w:sz w:val="16"/>
              </w:rPr>
              <w:t>January</w:t>
            </w:r>
            <w:r>
              <w:rPr>
                <w:rFonts w:ascii="Segoe UI"/>
                <w:sz w:val="16"/>
              </w:rPr>
            </w:r>
          </w:p>
        </w:tc>
        <w:tc>
          <w:tcPr>
            <w:tcW w:w="1134"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left="670" w:right="0"/>
              <w:jc w:val="left"/>
              <w:rPr>
                <w:rFonts w:ascii="Segoe UI" w:hAnsi="Segoe UI" w:cs="Segoe UI" w:eastAsia="Segoe UI"/>
                <w:sz w:val="16"/>
                <w:szCs w:val="16"/>
              </w:rPr>
            </w:pPr>
            <w:r>
              <w:rPr>
                <w:rFonts w:ascii="Segoe UI"/>
                <w:color w:val="231F20"/>
                <w:sz w:val="16"/>
              </w:rPr>
              <w:t>2016</w:t>
            </w:r>
            <w:r>
              <w:rPr>
                <w:rFonts w:ascii="Segoe UI"/>
                <w:sz w:val="16"/>
              </w:rPr>
            </w:r>
          </w:p>
        </w:tc>
        <w:tc>
          <w:tcPr>
            <w:tcW w:w="1015"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left="552" w:right="0"/>
              <w:jc w:val="left"/>
              <w:rPr>
                <w:rFonts w:ascii="Segoe UI" w:hAnsi="Segoe UI" w:cs="Segoe UI" w:eastAsia="Segoe UI"/>
                <w:sz w:val="16"/>
                <w:szCs w:val="16"/>
              </w:rPr>
            </w:pPr>
            <w:r>
              <w:rPr>
                <w:rFonts w:ascii="Segoe UI"/>
                <w:color w:val="231F20"/>
                <w:sz w:val="16"/>
              </w:rPr>
              <w:t>2017</w:t>
            </w:r>
            <w:r>
              <w:rPr>
                <w:rFonts w:ascii="Segoe UI"/>
                <w:sz w:val="16"/>
              </w:rPr>
            </w:r>
          </w:p>
        </w:tc>
      </w:tr>
      <w:tr>
        <w:trPr>
          <w:trHeight w:val="348" w:hRule="exact"/>
        </w:trPr>
        <w:tc>
          <w:tcPr>
            <w:tcW w:w="2093"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08" w:right="0"/>
              <w:jc w:val="left"/>
              <w:rPr>
                <w:rFonts w:ascii="Segoe UI" w:hAnsi="Segoe UI" w:cs="Segoe UI" w:eastAsia="Segoe UI"/>
                <w:sz w:val="16"/>
                <w:szCs w:val="16"/>
              </w:rPr>
            </w:pPr>
            <w:r>
              <w:rPr>
                <w:rFonts w:ascii="Segoe UI"/>
                <w:color w:val="231F20"/>
                <w:sz w:val="16"/>
              </w:rPr>
              <w:t>Under</w:t>
            </w:r>
            <w:r>
              <w:rPr>
                <w:rFonts w:ascii="Segoe UI"/>
                <w:color w:val="231F20"/>
                <w:spacing w:val="-4"/>
                <w:sz w:val="16"/>
              </w:rPr>
              <w:t> </w:t>
            </w:r>
            <w:r>
              <w:rPr>
                <w:rFonts w:ascii="Segoe UI"/>
                <w:color w:val="231F20"/>
                <w:spacing w:val="-1"/>
                <w:sz w:val="16"/>
              </w:rPr>
              <w:t>16</w:t>
            </w:r>
            <w:r>
              <w:rPr>
                <w:rFonts w:ascii="Segoe UI"/>
                <w:color w:val="231F20"/>
                <w:spacing w:val="-3"/>
                <w:sz w:val="16"/>
              </w:rPr>
              <w:t> </w:t>
            </w:r>
            <w:r>
              <w:rPr>
                <w:rFonts w:ascii="Segoe UI"/>
                <w:color w:val="231F20"/>
                <w:sz w:val="16"/>
              </w:rPr>
              <w:t>($)</w:t>
            </w:r>
            <w:r>
              <w:rPr>
                <w:rFonts w:ascii="Segoe UI"/>
                <w:sz w:val="16"/>
              </w:rPr>
            </w:r>
          </w:p>
        </w:tc>
        <w:tc>
          <w:tcPr>
            <w:tcW w:w="1134"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635" w:right="0"/>
              <w:jc w:val="left"/>
              <w:rPr>
                <w:rFonts w:ascii="Segoe UI" w:hAnsi="Segoe UI" w:cs="Segoe UI" w:eastAsia="Segoe UI"/>
                <w:sz w:val="16"/>
                <w:szCs w:val="16"/>
              </w:rPr>
            </w:pPr>
            <w:r>
              <w:rPr>
                <w:rFonts w:ascii="Segoe UI"/>
                <w:color w:val="231F20"/>
                <w:sz w:val="16"/>
              </w:rPr>
              <w:t>4,182</w:t>
            </w:r>
            <w:r>
              <w:rPr>
                <w:rFonts w:ascii="Segoe UI"/>
                <w:sz w:val="16"/>
              </w:rPr>
            </w:r>
          </w:p>
        </w:tc>
        <w:tc>
          <w:tcPr>
            <w:tcW w:w="1015"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517" w:right="0"/>
              <w:jc w:val="left"/>
              <w:rPr>
                <w:rFonts w:ascii="Segoe UI" w:hAnsi="Segoe UI" w:cs="Segoe UI" w:eastAsia="Segoe UI"/>
                <w:sz w:val="16"/>
                <w:szCs w:val="16"/>
              </w:rPr>
            </w:pPr>
            <w:r>
              <w:rPr>
                <w:rFonts w:ascii="Segoe UI"/>
                <w:color w:val="231F20"/>
                <w:sz w:val="16"/>
              </w:rPr>
              <w:t>4,051</w:t>
            </w:r>
            <w:r>
              <w:rPr>
                <w:rFonts w:ascii="Segoe UI"/>
                <w:sz w:val="16"/>
              </w:rPr>
            </w:r>
          </w:p>
        </w:tc>
      </w:tr>
      <w:tr>
        <w:trPr>
          <w:trHeight w:val="343" w:hRule="exact"/>
        </w:trPr>
        <w:tc>
          <w:tcPr>
            <w:tcW w:w="2093"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08" w:right="0"/>
              <w:jc w:val="left"/>
              <w:rPr>
                <w:rFonts w:ascii="Segoe UI" w:hAnsi="Segoe UI" w:cs="Segoe UI" w:eastAsia="Segoe UI"/>
                <w:sz w:val="16"/>
                <w:szCs w:val="16"/>
              </w:rPr>
            </w:pPr>
            <w:r>
              <w:rPr>
                <w:rFonts w:ascii="Segoe UI"/>
                <w:color w:val="231F20"/>
                <w:spacing w:val="-1"/>
                <w:sz w:val="16"/>
              </w:rPr>
              <w:t>16</w:t>
            </w:r>
            <w:r>
              <w:rPr>
                <w:rFonts w:ascii="Segoe UI"/>
                <w:color w:val="231F20"/>
                <w:spacing w:val="-3"/>
                <w:sz w:val="16"/>
              </w:rPr>
              <w:t> </w:t>
            </w:r>
            <w:r>
              <w:rPr>
                <w:rFonts w:ascii="Segoe UI"/>
                <w:color w:val="231F20"/>
                <w:sz w:val="16"/>
              </w:rPr>
              <w:t>and</w:t>
            </w:r>
            <w:r>
              <w:rPr>
                <w:rFonts w:ascii="Segoe UI"/>
                <w:color w:val="231F20"/>
                <w:spacing w:val="-4"/>
                <w:sz w:val="16"/>
              </w:rPr>
              <w:t> </w:t>
            </w:r>
            <w:r>
              <w:rPr>
                <w:rFonts w:ascii="Segoe UI"/>
                <w:color w:val="231F20"/>
                <w:sz w:val="16"/>
              </w:rPr>
              <w:t>over</w:t>
            </w:r>
            <w:r>
              <w:rPr>
                <w:rFonts w:ascii="Segoe UI"/>
                <w:color w:val="231F20"/>
                <w:spacing w:val="-2"/>
                <w:sz w:val="16"/>
              </w:rPr>
              <w:t> </w:t>
            </w:r>
            <w:r>
              <w:rPr>
                <w:rFonts w:ascii="Segoe UI"/>
                <w:color w:val="231F20"/>
                <w:sz w:val="16"/>
              </w:rPr>
              <w:t>($)</w:t>
            </w:r>
            <w:r>
              <w:rPr>
                <w:rFonts w:ascii="Segoe UI"/>
                <w:sz w:val="16"/>
              </w:rPr>
            </w:r>
          </w:p>
        </w:tc>
        <w:tc>
          <w:tcPr>
            <w:tcW w:w="1134"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635" w:right="0"/>
              <w:jc w:val="left"/>
              <w:rPr>
                <w:rFonts w:ascii="Segoe UI" w:hAnsi="Segoe UI" w:cs="Segoe UI" w:eastAsia="Segoe UI"/>
                <w:sz w:val="16"/>
                <w:szCs w:val="16"/>
              </w:rPr>
            </w:pPr>
            <w:r>
              <w:rPr>
                <w:rFonts w:ascii="Segoe UI"/>
                <w:color w:val="231F20"/>
                <w:sz w:val="16"/>
              </w:rPr>
              <w:t>1,085</w:t>
            </w:r>
            <w:r>
              <w:rPr>
                <w:rFonts w:ascii="Segoe UI"/>
                <w:sz w:val="16"/>
              </w:rPr>
            </w:r>
          </w:p>
        </w:tc>
        <w:tc>
          <w:tcPr>
            <w:tcW w:w="1015"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517" w:right="0"/>
              <w:jc w:val="left"/>
              <w:rPr>
                <w:rFonts w:ascii="Segoe UI" w:hAnsi="Segoe UI" w:cs="Segoe UI" w:eastAsia="Segoe UI"/>
                <w:sz w:val="16"/>
                <w:szCs w:val="16"/>
              </w:rPr>
            </w:pPr>
            <w:r>
              <w:rPr>
                <w:rFonts w:ascii="Segoe UI"/>
                <w:color w:val="231F20"/>
                <w:sz w:val="16"/>
              </w:rPr>
              <w:t>1,139</w:t>
            </w:r>
            <w:r>
              <w:rPr>
                <w:rFonts w:ascii="Segoe UI"/>
                <w:sz w:val="16"/>
              </w:rPr>
            </w:r>
          </w:p>
        </w:tc>
      </w:tr>
      <w:tr>
        <w:trPr>
          <w:trHeight w:val="343" w:hRule="exact"/>
        </w:trPr>
        <w:tc>
          <w:tcPr>
            <w:tcW w:w="2093"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08" w:right="0"/>
              <w:jc w:val="left"/>
              <w:rPr>
                <w:rFonts w:ascii="Segoe UI" w:hAnsi="Segoe UI" w:cs="Segoe UI" w:eastAsia="Segoe UI"/>
                <w:sz w:val="16"/>
                <w:szCs w:val="16"/>
              </w:rPr>
            </w:pPr>
            <w:r>
              <w:rPr>
                <w:rFonts w:ascii="Segoe UI"/>
                <w:color w:val="231F20"/>
                <w:spacing w:val="-5"/>
                <w:sz w:val="16"/>
              </w:rPr>
              <w:t>Total</w:t>
            </w:r>
            <w:r>
              <w:rPr>
                <w:rFonts w:ascii="Segoe UI"/>
                <w:color w:val="231F20"/>
                <w:spacing w:val="-2"/>
                <w:sz w:val="16"/>
              </w:rPr>
              <w:t> </w:t>
            </w:r>
            <w:r>
              <w:rPr>
                <w:rFonts w:ascii="Segoe UI"/>
                <w:color w:val="231F20"/>
                <w:sz w:val="16"/>
              </w:rPr>
              <w:t>($)</w:t>
            </w:r>
            <w:r>
              <w:rPr>
                <w:rFonts w:ascii="Segoe UI"/>
                <w:sz w:val="16"/>
              </w:rPr>
            </w:r>
          </w:p>
        </w:tc>
        <w:tc>
          <w:tcPr>
            <w:tcW w:w="1134"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635" w:right="0"/>
              <w:jc w:val="left"/>
              <w:rPr>
                <w:rFonts w:ascii="Segoe UI" w:hAnsi="Segoe UI" w:cs="Segoe UI" w:eastAsia="Segoe UI"/>
                <w:sz w:val="16"/>
                <w:szCs w:val="16"/>
              </w:rPr>
            </w:pPr>
            <w:r>
              <w:rPr>
                <w:rFonts w:ascii="Segoe UI"/>
                <w:color w:val="231F20"/>
                <w:sz w:val="16"/>
              </w:rPr>
              <w:t>5,267</w:t>
            </w:r>
            <w:r>
              <w:rPr>
                <w:rFonts w:ascii="Segoe UI"/>
                <w:sz w:val="16"/>
              </w:rPr>
            </w:r>
          </w:p>
        </w:tc>
        <w:tc>
          <w:tcPr>
            <w:tcW w:w="1015"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517" w:right="0"/>
              <w:jc w:val="left"/>
              <w:rPr>
                <w:rFonts w:ascii="Segoe UI" w:hAnsi="Segoe UI" w:cs="Segoe UI" w:eastAsia="Segoe UI"/>
                <w:sz w:val="16"/>
                <w:szCs w:val="16"/>
              </w:rPr>
            </w:pPr>
            <w:r>
              <w:rPr>
                <w:rFonts w:ascii="Segoe UI"/>
                <w:color w:val="231F20"/>
                <w:sz w:val="16"/>
              </w:rPr>
              <w:t>5,190</w:t>
            </w:r>
            <w:r>
              <w:rPr>
                <w:rFonts w:ascii="Segoe UI"/>
                <w:sz w:val="16"/>
              </w:rPr>
            </w:r>
          </w:p>
        </w:tc>
      </w:tr>
    </w:tbl>
    <w:p>
      <w:pPr>
        <w:spacing w:line="240" w:lineRule="auto" w:before="0"/>
        <w:rPr>
          <w:rFonts w:ascii="Segoe UI Semibold" w:hAnsi="Segoe UI Semibold" w:cs="Segoe UI Semibold" w:eastAsia="Segoe UI Semibold"/>
          <w:b/>
          <w:bCs/>
          <w:sz w:val="18"/>
          <w:szCs w:val="18"/>
        </w:rPr>
      </w:pPr>
    </w:p>
    <w:p>
      <w:pPr>
        <w:spacing w:line="240" w:lineRule="auto" w:before="6"/>
        <w:rPr>
          <w:rFonts w:ascii="Segoe UI Semibold" w:hAnsi="Segoe UI Semibold" w:cs="Segoe UI Semibold" w:eastAsia="Segoe UI Semibold"/>
          <w:b/>
          <w:bCs/>
          <w:sz w:val="17"/>
          <w:szCs w:val="17"/>
        </w:rPr>
      </w:pPr>
    </w:p>
    <w:p>
      <w:pPr>
        <w:pStyle w:val="BodyText"/>
        <w:spacing w:line="250" w:lineRule="exact"/>
        <w:ind w:left="100" w:right="193"/>
        <w:jc w:val="left"/>
      </w:pPr>
      <w:r>
        <w:rPr>
          <w:color w:val="231F20"/>
          <w:spacing w:val="-1"/>
        </w:rPr>
        <w:t>Research</w:t>
      </w:r>
      <w:r>
        <w:rPr>
          <w:color w:val="231F20"/>
          <w:spacing w:val="-6"/>
        </w:rPr>
        <w:t> </w:t>
      </w:r>
      <w:r>
        <w:rPr>
          <w:color w:val="231F20"/>
        </w:rPr>
        <w:t>has</w:t>
      </w:r>
      <w:r>
        <w:rPr>
          <w:color w:val="231F20"/>
          <w:spacing w:val="-6"/>
        </w:rPr>
        <w:t> </w:t>
      </w:r>
      <w:r>
        <w:rPr>
          <w:color w:val="231F20"/>
          <w:spacing w:val="-1"/>
        </w:rPr>
        <w:t>shown</w:t>
      </w:r>
      <w:r>
        <w:rPr>
          <w:color w:val="231F20"/>
          <w:spacing w:val="-4"/>
        </w:rPr>
        <w:t> </w:t>
      </w:r>
      <w:r>
        <w:rPr>
          <w:color w:val="231F20"/>
        </w:rPr>
        <w:t>that</w:t>
      </w:r>
      <w:r>
        <w:rPr>
          <w:color w:val="231F20"/>
          <w:spacing w:val="-6"/>
        </w:rPr>
        <w:t> </w:t>
      </w:r>
      <w:r>
        <w:rPr>
          <w:color w:val="231F20"/>
        </w:rPr>
        <w:t>the</w:t>
      </w:r>
      <w:r>
        <w:rPr>
          <w:color w:val="231F20"/>
          <w:spacing w:val="-5"/>
        </w:rPr>
        <w:t> </w:t>
      </w:r>
      <w:r>
        <w:rPr>
          <w:color w:val="231F20"/>
          <w:spacing w:val="-1"/>
        </w:rPr>
        <w:t>longer</w:t>
      </w:r>
      <w:r>
        <w:rPr>
          <w:color w:val="231F20"/>
          <w:spacing w:val="-5"/>
        </w:rPr>
        <w:t> </w:t>
      </w:r>
      <w:r>
        <w:rPr>
          <w:color w:val="231F20"/>
        </w:rPr>
        <w:t>a</w:t>
      </w:r>
      <w:r>
        <w:rPr>
          <w:color w:val="231F20"/>
          <w:spacing w:val="-5"/>
        </w:rPr>
        <w:t> </w:t>
      </w:r>
      <w:r>
        <w:rPr>
          <w:color w:val="231F20"/>
          <w:spacing w:val="-1"/>
        </w:rPr>
        <w:t>student</w:t>
      </w:r>
      <w:r>
        <w:rPr>
          <w:color w:val="231F20"/>
          <w:spacing w:val="-1"/>
          <w:w w:val="99"/>
        </w:rPr>
        <w:t> </w:t>
      </w:r>
      <w:r>
        <w:rPr>
          <w:color w:val="231F20"/>
          <w:spacing w:val="24"/>
          <w:w w:val="99"/>
        </w:rPr>
        <w:t> </w:t>
      </w:r>
      <w:r>
        <w:rPr>
          <w:color w:val="231F20"/>
          <w:spacing w:val="-1"/>
        </w:rPr>
        <w:t>is</w:t>
      </w:r>
      <w:r>
        <w:rPr>
          <w:color w:val="231F20"/>
          <w:spacing w:val="-8"/>
        </w:rPr>
        <w:t> </w:t>
      </w:r>
      <w:r>
        <w:rPr>
          <w:color w:val="231F20"/>
        </w:rPr>
        <w:t>undertaking</w:t>
      </w:r>
      <w:r>
        <w:rPr>
          <w:color w:val="231F20"/>
          <w:spacing w:val="-7"/>
        </w:rPr>
        <w:t> </w:t>
      </w:r>
      <w:r>
        <w:rPr>
          <w:color w:val="231F20"/>
        </w:rPr>
        <w:t>education,</w:t>
      </w:r>
      <w:r>
        <w:rPr>
          <w:color w:val="231F20"/>
          <w:spacing w:val="-6"/>
        </w:rPr>
        <w:t> </w:t>
      </w:r>
      <w:r>
        <w:rPr>
          <w:color w:val="231F20"/>
        </w:rPr>
        <w:t>the</w:t>
      </w:r>
      <w:r>
        <w:rPr>
          <w:color w:val="231F20"/>
          <w:spacing w:val="-7"/>
        </w:rPr>
        <w:t> </w:t>
      </w:r>
      <w:r>
        <w:rPr>
          <w:color w:val="231F20"/>
        </w:rPr>
        <w:t>greater</w:t>
      </w:r>
      <w:r>
        <w:rPr>
          <w:color w:val="231F20"/>
          <w:spacing w:val="-8"/>
        </w:rPr>
        <w:t> </w:t>
      </w:r>
      <w:r>
        <w:rPr>
          <w:color w:val="231F20"/>
        </w:rPr>
        <w:t>the</w:t>
      </w:r>
      <w:r>
        <w:rPr>
          <w:color w:val="231F20"/>
          <w:spacing w:val="-7"/>
        </w:rPr>
        <w:t> </w:t>
      </w:r>
      <w:r>
        <w:rPr>
          <w:color w:val="231F20"/>
        </w:rPr>
        <w:t>return</w:t>
      </w:r>
      <w:r>
        <w:rPr/>
      </w:r>
    </w:p>
    <w:p>
      <w:pPr>
        <w:pStyle w:val="BodyText"/>
        <w:spacing w:line="250" w:lineRule="exact"/>
        <w:ind w:left="100" w:right="84"/>
        <w:jc w:val="left"/>
        <w:rPr>
          <w:rFonts w:ascii="Segoe UI Semibold" w:hAnsi="Segoe UI Semibold" w:cs="Segoe UI Semibold" w:eastAsia="Segoe UI Semibold"/>
          <w:sz w:val="11"/>
          <w:szCs w:val="11"/>
        </w:rPr>
      </w:pPr>
      <w:r>
        <w:rPr>
          <w:color w:val="231F20"/>
        </w:rPr>
        <w:t>to</w:t>
      </w:r>
      <w:r>
        <w:rPr>
          <w:color w:val="231F20"/>
          <w:spacing w:val="-3"/>
        </w:rPr>
        <w:t> </w:t>
      </w:r>
      <w:r>
        <w:rPr>
          <w:color w:val="231F20"/>
        </w:rPr>
        <w:t>the</w:t>
      </w:r>
      <w:r>
        <w:rPr>
          <w:color w:val="231F20"/>
          <w:spacing w:val="-4"/>
        </w:rPr>
        <w:t> </w:t>
      </w:r>
      <w:r>
        <w:rPr>
          <w:color w:val="231F20"/>
          <w:spacing w:val="-1"/>
        </w:rPr>
        <w:t>individual</w:t>
      </w:r>
      <w:r>
        <w:rPr>
          <w:color w:val="231F20"/>
          <w:spacing w:val="-3"/>
        </w:rPr>
        <w:t> </w:t>
      </w:r>
      <w:r>
        <w:rPr>
          <w:color w:val="231F20"/>
        </w:rPr>
        <w:t>and</w:t>
      </w:r>
      <w:r>
        <w:rPr>
          <w:color w:val="231F20"/>
          <w:spacing w:val="-4"/>
        </w:rPr>
        <w:t> </w:t>
      </w:r>
      <w:r>
        <w:rPr>
          <w:color w:val="231F20"/>
        </w:rPr>
        <w:t>the</w:t>
      </w:r>
      <w:r>
        <w:rPr>
          <w:color w:val="231F20"/>
          <w:spacing w:val="-4"/>
        </w:rPr>
        <w:t> </w:t>
      </w:r>
      <w:r>
        <w:rPr>
          <w:color w:val="231F20"/>
        </w:rPr>
        <w:t>broader</w:t>
      </w:r>
      <w:r>
        <w:rPr>
          <w:color w:val="231F20"/>
          <w:spacing w:val="-3"/>
        </w:rPr>
        <w:t> </w:t>
      </w:r>
      <w:r>
        <w:rPr>
          <w:color w:val="231F20"/>
        </w:rPr>
        <w:t>community</w:t>
      </w:r>
      <w:r>
        <w:rPr>
          <w:color w:val="231F20"/>
          <w:spacing w:val="-4"/>
        </w:rPr>
        <w:t> </w:t>
      </w:r>
      <w:r>
        <w:rPr>
          <w:color w:val="231F20"/>
        </w:rPr>
        <w:t>on</w:t>
      </w:r>
      <w:r>
        <w:rPr>
          <w:color w:val="231F20"/>
          <w:spacing w:val="22"/>
          <w:w w:val="99"/>
        </w:rPr>
        <w:t> </w:t>
      </w:r>
      <w:r>
        <w:rPr>
          <w:color w:val="231F20"/>
        </w:rPr>
        <w:t>the</w:t>
      </w:r>
      <w:r>
        <w:rPr>
          <w:color w:val="231F20"/>
          <w:spacing w:val="-4"/>
        </w:rPr>
        <w:t> </w:t>
      </w:r>
      <w:r>
        <w:rPr>
          <w:color w:val="231F20"/>
          <w:spacing w:val="-1"/>
        </w:rPr>
        <w:t>investment</w:t>
      </w:r>
      <w:r>
        <w:rPr>
          <w:color w:val="231F20"/>
          <w:spacing w:val="-2"/>
        </w:rPr>
        <w:t> </w:t>
      </w:r>
      <w:r>
        <w:rPr>
          <w:color w:val="231F20"/>
          <w:spacing w:val="-1"/>
        </w:rPr>
        <w:t>in</w:t>
      </w:r>
      <w:r>
        <w:rPr>
          <w:color w:val="231F20"/>
          <w:spacing w:val="-2"/>
        </w:rPr>
        <w:t> </w:t>
      </w:r>
      <w:r>
        <w:rPr>
          <w:color w:val="231F20"/>
        </w:rPr>
        <w:t>that</w:t>
      </w:r>
      <w:r>
        <w:rPr>
          <w:color w:val="231F20"/>
          <w:spacing w:val="-3"/>
        </w:rPr>
        <w:t> </w:t>
      </w:r>
      <w:r>
        <w:rPr>
          <w:color w:val="231F20"/>
          <w:spacing w:val="-1"/>
        </w:rPr>
        <w:t>education.</w:t>
      </w:r>
      <w:r>
        <w:rPr>
          <w:rFonts w:ascii="Segoe UI Semibold"/>
          <w:b/>
          <w:color w:val="231F20"/>
          <w:spacing w:val="-1"/>
          <w:position w:val="7"/>
          <w:sz w:val="11"/>
        </w:rPr>
        <w:t>33</w:t>
      </w:r>
      <w:r>
        <w:rPr>
          <w:rFonts w:ascii="Segoe UI Semibold"/>
          <w:sz w:val="11"/>
        </w:rPr>
      </w:r>
    </w:p>
    <w:p>
      <w:pPr>
        <w:pStyle w:val="BodyText"/>
        <w:spacing w:line="250" w:lineRule="exact" w:before="113"/>
        <w:ind w:left="100" w:right="200"/>
        <w:jc w:val="left"/>
        <w:rPr>
          <w:rFonts w:ascii="Segoe UI" w:hAnsi="Segoe UI" w:cs="Segoe UI" w:eastAsia="Segoe UI"/>
        </w:rPr>
      </w:pPr>
      <w:r>
        <w:rPr>
          <w:color w:val="231F20"/>
          <w:spacing w:val="-1"/>
        </w:rPr>
        <w:t>Boarding</w:t>
      </w:r>
      <w:r>
        <w:rPr>
          <w:color w:val="231F20"/>
          <w:spacing w:val="-5"/>
        </w:rPr>
        <w:t> </w:t>
      </w:r>
      <w:r>
        <w:rPr>
          <w:color w:val="231F20"/>
        </w:rPr>
        <w:t>and</w:t>
      </w:r>
      <w:r>
        <w:rPr>
          <w:color w:val="231F20"/>
          <w:spacing w:val="-6"/>
        </w:rPr>
        <w:t> </w:t>
      </w:r>
      <w:r>
        <w:rPr>
          <w:color w:val="231F20"/>
        </w:rPr>
        <w:t>ABSTUDY</w:t>
      </w:r>
      <w:r>
        <w:rPr>
          <w:color w:val="231F20"/>
          <w:spacing w:val="-6"/>
        </w:rPr>
        <w:t> </w:t>
      </w:r>
      <w:r>
        <w:rPr>
          <w:color w:val="231F20"/>
          <w:spacing w:val="-1"/>
        </w:rPr>
        <w:t>support</w:t>
      </w:r>
      <w:r>
        <w:rPr>
          <w:color w:val="231F20"/>
          <w:spacing w:val="-5"/>
        </w:rPr>
        <w:t> </w:t>
      </w:r>
      <w:r>
        <w:rPr>
          <w:color w:val="231F20"/>
        </w:rPr>
        <w:t>play</w:t>
      </w:r>
      <w:r>
        <w:rPr>
          <w:color w:val="231F20"/>
          <w:spacing w:val="-5"/>
        </w:rPr>
        <w:t> </w:t>
      </w:r>
      <w:r>
        <w:rPr>
          <w:color w:val="231F20"/>
        </w:rPr>
        <w:t>an</w:t>
      </w:r>
      <w:r>
        <w:rPr>
          <w:color w:val="231F20"/>
          <w:spacing w:val="23"/>
          <w:w w:val="99"/>
        </w:rPr>
        <w:t> </w:t>
      </w:r>
      <w:r>
        <w:rPr>
          <w:color w:val="231F20"/>
          <w:spacing w:val="-1"/>
        </w:rPr>
        <w:t>important</w:t>
      </w:r>
      <w:r>
        <w:rPr>
          <w:color w:val="231F20"/>
          <w:spacing w:val="-6"/>
        </w:rPr>
        <w:t> </w:t>
      </w:r>
      <w:r>
        <w:rPr>
          <w:color w:val="231F20"/>
        </w:rPr>
        <w:t>part</w:t>
      </w:r>
      <w:r>
        <w:rPr>
          <w:color w:val="231F20"/>
          <w:spacing w:val="-6"/>
        </w:rPr>
        <w:t> </w:t>
      </w:r>
      <w:r>
        <w:rPr>
          <w:color w:val="231F20"/>
          <w:spacing w:val="-1"/>
        </w:rPr>
        <w:t>in</w:t>
      </w:r>
      <w:r>
        <w:rPr>
          <w:color w:val="231F20"/>
          <w:spacing w:val="-6"/>
        </w:rPr>
        <w:t> </w:t>
      </w:r>
      <w:r>
        <w:rPr>
          <w:color w:val="231F20"/>
        </w:rPr>
        <w:t>the</w:t>
      </w:r>
      <w:r>
        <w:rPr>
          <w:color w:val="231F20"/>
          <w:spacing w:val="-7"/>
        </w:rPr>
        <w:t> </w:t>
      </w:r>
      <w:r>
        <w:rPr>
          <w:color w:val="231F20"/>
        </w:rPr>
        <w:t>education</w:t>
      </w:r>
      <w:r>
        <w:rPr>
          <w:color w:val="231F20"/>
          <w:spacing w:val="-6"/>
        </w:rPr>
        <w:t> </w:t>
      </w:r>
      <w:r>
        <w:rPr>
          <w:color w:val="231F20"/>
        </w:rPr>
        <w:t>of</w:t>
      </w:r>
      <w:r>
        <w:rPr>
          <w:color w:val="231F20"/>
          <w:spacing w:val="-6"/>
        </w:rPr>
        <w:t> </w:t>
      </w:r>
      <w:r>
        <w:rPr>
          <w:color w:val="231F20"/>
        </w:rPr>
        <w:t>Aboriginal</w:t>
      </w:r>
      <w:r>
        <w:rPr>
          <w:color w:val="231F20"/>
          <w:spacing w:val="23"/>
          <w:w w:val="99"/>
        </w:rPr>
        <w:t> </w:t>
      </w:r>
      <w:r>
        <w:rPr>
          <w:color w:val="231F20"/>
        </w:rPr>
        <w:t>and</w:t>
      </w:r>
      <w:r>
        <w:rPr>
          <w:color w:val="231F20"/>
          <w:spacing w:val="-6"/>
        </w:rPr>
        <w:t> </w:t>
      </w:r>
      <w:r>
        <w:rPr>
          <w:color w:val="231F20"/>
          <w:spacing w:val="-5"/>
        </w:rPr>
        <w:t>Torres</w:t>
      </w:r>
      <w:r>
        <w:rPr>
          <w:color w:val="231F20"/>
          <w:spacing w:val="-4"/>
        </w:rPr>
        <w:t> </w:t>
      </w:r>
      <w:r>
        <w:rPr>
          <w:color w:val="231F20"/>
          <w:spacing w:val="-2"/>
        </w:rPr>
        <w:t>Strait</w:t>
      </w:r>
      <w:r>
        <w:rPr>
          <w:color w:val="231F20"/>
          <w:spacing w:val="-6"/>
        </w:rPr>
        <w:t> </w:t>
      </w:r>
      <w:r>
        <w:rPr>
          <w:color w:val="231F20"/>
          <w:spacing w:val="-1"/>
        </w:rPr>
        <w:t>Islander</w:t>
      </w:r>
      <w:r>
        <w:rPr>
          <w:color w:val="231F20"/>
          <w:spacing w:val="-4"/>
        </w:rPr>
        <w:t> </w:t>
      </w:r>
      <w:r>
        <w:rPr>
          <w:color w:val="231F20"/>
          <w:spacing w:val="-1"/>
        </w:rPr>
        <w:t>secondary</w:t>
      </w:r>
      <w:r>
        <w:rPr>
          <w:color w:val="231F20"/>
          <w:spacing w:val="-4"/>
        </w:rPr>
        <w:t> </w:t>
      </w:r>
      <w:r>
        <w:rPr>
          <w:color w:val="231F20"/>
          <w:spacing w:val="-1"/>
        </w:rPr>
        <w:t>students</w:t>
      </w:r>
      <w:r>
        <w:rPr>
          <w:color w:val="231F20"/>
          <w:spacing w:val="22"/>
        </w:rPr>
        <w:t> </w:t>
      </w:r>
      <w:r>
        <w:rPr>
          <w:color w:val="231F20"/>
        </w:rPr>
        <w:t>and</w:t>
      </w:r>
      <w:r>
        <w:rPr>
          <w:color w:val="231F20"/>
          <w:spacing w:val="-4"/>
        </w:rPr>
        <w:t> </w:t>
      </w:r>
      <w:r>
        <w:rPr>
          <w:color w:val="231F20"/>
          <w:spacing w:val="-1"/>
        </w:rPr>
        <w:t>in</w:t>
      </w:r>
      <w:r>
        <w:rPr>
          <w:color w:val="231F20"/>
          <w:spacing w:val="-2"/>
        </w:rPr>
        <w:t> </w:t>
      </w:r>
      <w:r>
        <w:rPr>
          <w:color w:val="231F20"/>
        </w:rPr>
        <w:t>closing</w:t>
      </w:r>
      <w:r>
        <w:rPr>
          <w:color w:val="231F20"/>
          <w:spacing w:val="-3"/>
        </w:rPr>
        <w:t> </w:t>
      </w:r>
      <w:r>
        <w:rPr>
          <w:color w:val="231F20"/>
        </w:rPr>
        <w:t>the</w:t>
      </w:r>
      <w:r>
        <w:rPr>
          <w:color w:val="231F20"/>
          <w:spacing w:val="-4"/>
        </w:rPr>
        <w:t> </w:t>
      </w:r>
      <w:r>
        <w:rPr>
          <w:color w:val="231F20"/>
        </w:rPr>
        <w:t>gap</w:t>
      </w:r>
      <w:r>
        <w:rPr>
          <w:color w:val="231F20"/>
          <w:spacing w:val="-2"/>
        </w:rPr>
        <w:t> </w:t>
      </w:r>
      <w:r>
        <w:rPr>
          <w:color w:val="231F20"/>
          <w:spacing w:val="-1"/>
        </w:rPr>
        <w:t>in</w:t>
      </w:r>
      <w:r>
        <w:rPr>
          <w:color w:val="231F20"/>
          <w:spacing w:val="-2"/>
        </w:rPr>
        <w:t> </w:t>
      </w:r>
      <w:r>
        <w:rPr>
          <w:color w:val="231F20"/>
        </w:rPr>
        <w:t>education.</w:t>
      </w:r>
      <w:r>
        <w:rPr>
          <w:color w:val="231F20"/>
          <w:spacing w:val="-2"/>
        </w:rPr>
        <w:t> </w:t>
      </w:r>
      <w:r>
        <w:rPr>
          <w:color w:val="231F20"/>
          <w:spacing w:val="-6"/>
        </w:rPr>
        <w:t>Year</w:t>
      </w:r>
      <w:r>
        <w:rPr>
          <w:color w:val="231F20"/>
          <w:spacing w:val="-3"/>
        </w:rPr>
        <w:t> </w:t>
      </w:r>
      <w:r>
        <w:rPr>
          <w:color w:val="231F20"/>
          <w:spacing w:val="-1"/>
        </w:rPr>
        <w:t>12</w:t>
      </w:r>
      <w:r>
        <w:rPr>
          <w:color w:val="231F20"/>
          <w:spacing w:val="-2"/>
        </w:rPr>
        <w:t> </w:t>
      </w:r>
      <w:r>
        <w:rPr>
          <w:color w:val="231F20"/>
        </w:rPr>
        <w:t>or</w:t>
      </w:r>
      <w:r>
        <w:rPr>
          <w:color w:val="231F20"/>
          <w:spacing w:val="26"/>
          <w:w w:val="99"/>
        </w:rPr>
        <w:t> </w:t>
      </w:r>
      <w:r>
        <w:rPr>
          <w:color w:val="231F20"/>
        </w:rPr>
        <w:t>equivalent</w:t>
      </w:r>
      <w:r>
        <w:rPr>
          <w:color w:val="231F20"/>
          <w:spacing w:val="-8"/>
        </w:rPr>
        <w:t> </w:t>
      </w:r>
      <w:r>
        <w:rPr>
          <w:color w:val="231F20"/>
        </w:rPr>
        <w:t>attainment</w:t>
      </w:r>
      <w:r>
        <w:rPr>
          <w:color w:val="231F20"/>
          <w:spacing w:val="-8"/>
        </w:rPr>
        <w:t> </w:t>
      </w:r>
      <w:r>
        <w:rPr>
          <w:color w:val="231F20"/>
        </w:rPr>
        <w:t>for</w:t>
      </w:r>
      <w:r>
        <w:rPr>
          <w:color w:val="231F20"/>
          <w:spacing w:val="-6"/>
        </w:rPr>
        <w:t> </w:t>
      </w:r>
      <w:r>
        <w:rPr>
          <w:color w:val="231F20"/>
        </w:rPr>
        <w:t>Aboriginal</w:t>
      </w:r>
      <w:r>
        <w:rPr>
          <w:color w:val="231F20"/>
          <w:spacing w:val="-7"/>
        </w:rPr>
        <w:t> </w:t>
      </w:r>
      <w:r>
        <w:rPr>
          <w:color w:val="231F20"/>
        </w:rPr>
        <w:t>and</w:t>
      </w:r>
      <w:r>
        <w:rPr>
          <w:color w:val="231F20"/>
          <w:spacing w:val="-8"/>
        </w:rPr>
        <w:t> </w:t>
      </w:r>
      <w:r>
        <w:rPr>
          <w:color w:val="231F20"/>
          <w:spacing w:val="-5"/>
        </w:rPr>
        <w:t>Torres</w:t>
      </w:r>
      <w:r>
        <w:rPr>
          <w:color w:val="231F20"/>
          <w:spacing w:val="23"/>
          <w:w w:val="99"/>
        </w:rPr>
        <w:t> </w:t>
      </w:r>
      <w:r>
        <w:rPr>
          <w:color w:val="231F20"/>
          <w:spacing w:val="-2"/>
        </w:rPr>
        <w:t>Strait</w:t>
      </w:r>
      <w:r>
        <w:rPr>
          <w:color w:val="231F20"/>
          <w:spacing w:val="-6"/>
        </w:rPr>
        <w:t> </w:t>
      </w:r>
      <w:r>
        <w:rPr>
          <w:color w:val="231F20"/>
          <w:spacing w:val="-1"/>
        </w:rPr>
        <w:t>Islander</w:t>
      </w:r>
      <w:r>
        <w:rPr>
          <w:color w:val="231F20"/>
          <w:spacing w:val="-5"/>
        </w:rPr>
        <w:t> </w:t>
      </w:r>
      <w:r>
        <w:rPr>
          <w:color w:val="231F20"/>
          <w:spacing w:val="-1"/>
        </w:rPr>
        <w:t>20</w:t>
      </w:r>
      <w:r>
        <w:rPr>
          <w:color w:val="231F20"/>
          <w:spacing w:val="-5"/>
        </w:rPr>
        <w:t> </w:t>
      </w:r>
      <w:r>
        <w:rPr>
          <w:color w:val="231F20"/>
        </w:rPr>
        <w:t>to</w:t>
      </w:r>
      <w:r>
        <w:rPr>
          <w:color w:val="231F20"/>
          <w:spacing w:val="-5"/>
        </w:rPr>
        <w:t> </w:t>
      </w:r>
      <w:r>
        <w:rPr>
          <w:color w:val="231F20"/>
          <w:spacing w:val="-1"/>
        </w:rPr>
        <w:t>24</w:t>
      </w:r>
      <w:r>
        <w:rPr>
          <w:color w:val="231F20"/>
          <w:spacing w:val="-5"/>
        </w:rPr>
        <w:t> </w:t>
      </w:r>
      <w:r>
        <w:rPr>
          <w:color w:val="231F20"/>
        </w:rPr>
        <w:t>year-olds</w:t>
      </w:r>
      <w:r>
        <w:rPr>
          <w:color w:val="231F20"/>
          <w:spacing w:val="-5"/>
        </w:rPr>
        <w:t> </w:t>
      </w:r>
      <w:r>
        <w:rPr>
          <w:color w:val="231F20"/>
          <w:spacing w:val="-1"/>
        </w:rPr>
        <w:t>increased</w:t>
      </w:r>
      <w:r>
        <w:rPr>
          <w:color w:val="231F20"/>
          <w:spacing w:val="28"/>
          <w:w w:val="99"/>
        </w:rPr>
        <w:t> </w:t>
      </w:r>
      <w:r>
        <w:rPr>
          <w:rFonts w:ascii="Segoe UI"/>
          <w:color w:val="231F20"/>
        </w:rPr>
        <w:t>significantly from 47.4 per cent in 2006 to</w:t>
      </w:r>
      <w:r>
        <w:rPr>
          <w:rFonts w:ascii="Segoe UI"/>
        </w:rPr>
      </w:r>
    </w:p>
    <w:p>
      <w:pPr>
        <w:pStyle w:val="BodyText"/>
        <w:spacing w:line="242" w:lineRule="exact"/>
        <w:ind w:left="100" w:right="0"/>
        <w:jc w:val="left"/>
      </w:pPr>
      <w:r>
        <w:rPr>
          <w:color w:val="231F20"/>
          <w:spacing w:val="-1"/>
        </w:rPr>
        <w:t>65.3</w:t>
      </w:r>
      <w:r>
        <w:rPr>
          <w:color w:val="231F20"/>
          <w:spacing w:val="-3"/>
        </w:rPr>
        <w:t> </w:t>
      </w:r>
      <w:r>
        <w:rPr>
          <w:color w:val="231F20"/>
        </w:rPr>
        <w:t>per</w:t>
      </w:r>
      <w:r>
        <w:rPr>
          <w:color w:val="231F20"/>
          <w:spacing w:val="-2"/>
        </w:rPr>
        <w:t> </w:t>
      </w:r>
      <w:r>
        <w:rPr>
          <w:color w:val="231F20"/>
        </w:rPr>
        <w:t>cent</w:t>
      </w:r>
      <w:r>
        <w:rPr>
          <w:color w:val="231F20"/>
          <w:spacing w:val="-3"/>
        </w:rPr>
        <w:t> </w:t>
      </w:r>
      <w:r>
        <w:rPr>
          <w:color w:val="231F20"/>
          <w:spacing w:val="-1"/>
        </w:rPr>
        <w:t>in</w:t>
      </w:r>
      <w:r>
        <w:rPr>
          <w:color w:val="231F20"/>
          <w:spacing w:val="-2"/>
        </w:rPr>
        <w:t> </w:t>
      </w:r>
      <w:r>
        <w:rPr>
          <w:color w:val="231F20"/>
          <w:spacing w:val="-1"/>
        </w:rPr>
        <w:t>2016</w:t>
      </w:r>
      <w:r>
        <w:rPr>
          <w:color w:val="231F20"/>
          <w:spacing w:val="-2"/>
        </w:rPr>
        <w:t> </w:t>
      </w:r>
      <w:r>
        <w:rPr>
          <w:color w:val="231F20"/>
        </w:rPr>
        <w:t>(an</w:t>
      </w:r>
      <w:r>
        <w:rPr>
          <w:color w:val="231F20"/>
          <w:spacing w:val="-3"/>
        </w:rPr>
        <w:t> </w:t>
      </w:r>
      <w:r>
        <w:rPr>
          <w:color w:val="231F20"/>
          <w:spacing w:val="-1"/>
        </w:rPr>
        <w:t>improvement</w:t>
      </w:r>
      <w:r>
        <w:rPr>
          <w:color w:val="231F20"/>
          <w:spacing w:val="-2"/>
        </w:rPr>
        <w:t> </w:t>
      </w:r>
      <w:r>
        <w:rPr>
          <w:color w:val="231F20"/>
        </w:rPr>
        <w:t>of</w:t>
      </w:r>
      <w:r>
        <w:rPr/>
      </w:r>
    </w:p>
    <w:p>
      <w:pPr>
        <w:pStyle w:val="BodyText"/>
        <w:spacing w:line="250" w:lineRule="exact" w:before="8"/>
        <w:ind w:left="100" w:right="305"/>
        <w:jc w:val="left"/>
      </w:pPr>
      <w:r>
        <w:rPr>
          <w:color w:val="231F20"/>
        </w:rPr>
        <w:t>17.9</w:t>
      </w:r>
      <w:r>
        <w:rPr>
          <w:color w:val="231F20"/>
          <w:spacing w:val="-8"/>
        </w:rPr>
        <w:t> </w:t>
      </w:r>
      <w:r>
        <w:rPr>
          <w:color w:val="231F20"/>
        </w:rPr>
        <w:t>percentage</w:t>
      </w:r>
      <w:r>
        <w:rPr>
          <w:color w:val="231F20"/>
          <w:spacing w:val="-7"/>
        </w:rPr>
        <w:t> </w:t>
      </w:r>
      <w:r>
        <w:rPr>
          <w:color w:val="231F20"/>
        </w:rPr>
        <w:t>points).</w:t>
      </w:r>
      <w:r>
        <w:rPr>
          <w:color w:val="231F20"/>
          <w:spacing w:val="-8"/>
        </w:rPr>
        <w:t> </w:t>
      </w:r>
      <w:r>
        <w:rPr>
          <w:color w:val="231F20"/>
          <w:spacing w:val="-1"/>
        </w:rPr>
        <w:t>By</w:t>
      </w:r>
      <w:r>
        <w:rPr>
          <w:color w:val="231F20"/>
          <w:spacing w:val="-7"/>
        </w:rPr>
        <w:t> </w:t>
      </w:r>
      <w:r>
        <w:rPr>
          <w:color w:val="231F20"/>
        </w:rPr>
        <w:t>comparison,</w:t>
      </w:r>
      <w:r>
        <w:rPr>
          <w:color w:val="231F20"/>
          <w:spacing w:val="-8"/>
        </w:rPr>
        <w:t> </w:t>
      </w:r>
      <w:r>
        <w:rPr>
          <w:color w:val="231F20"/>
        </w:rPr>
        <w:t>over</w:t>
      </w:r>
      <w:r>
        <w:rPr>
          <w:color w:val="231F20"/>
          <w:spacing w:val="21"/>
          <w:w w:val="99"/>
        </w:rPr>
        <w:t> </w:t>
      </w:r>
      <w:r>
        <w:rPr>
          <w:color w:val="231F20"/>
        </w:rPr>
        <w:t>the</w:t>
      </w:r>
      <w:r>
        <w:rPr>
          <w:color w:val="231F20"/>
          <w:spacing w:val="-5"/>
        </w:rPr>
        <w:t> </w:t>
      </w:r>
      <w:r>
        <w:rPr>
          <w:color w:val="231F20"/>
          <w:spacing w:val="-1"/>
        </w:rPr>
        <w:t>same</w:t>
      </w:r>
      <w:r>
        <w:rPr>
          <w:color w:val="231F20"/>
          <w:spacing w:val="-3"/>
        </w:rPr>
        <w:t> </w:t>
      </w:r>
      <w:r>
        <w:rPr>
          <w:color w:val="231F20"/>
        </w:rPr>
        <w:t>period</w:t>
      </w:r>
      <w:r>
        <w:rPr>
          <w:color w:val="231F20"/>
          <w:spacing w:val="-5"/>
        </w:rPr>
        <w:t> </w:t>
      </w:r>
      <w:r>
        <w:rPr>
          <w:color w:val="231F20"/>
        </w:rPr>
        <w:t>the</w:t>
      </w:r>
      <w:r>
        <w:rPr>
          <w:color w:val="231F20"/>
          <w:spacing w:val="-4"/>
        </w:rPr>
        <w:t> </w:t>
      </w:r>
      <w:r>
        <w:rPr>
          <w:color w:val="231F20"/>
          <w:spacing w:val="-6"/>
        </w:rPr>
        <w:t>Year</w:t>
      </w:r>
      <w:r>
        <w:rPr>
          <w:color w:val="231F20"/>
          <w:spacing w:val="-4"/>
        </w:rPr>
        <w:t> </w:t>
      </w:r>
      <w:r>
        <w:rPr>
          <w:color w:val="231F20"/>
          <w:spacing w:val="-1"/>
        </w:rPr>
        <w:t>12</w:t>
      </w:r>
      <w:r>
        <w:rPr>
          <w:color w:val="231F20"/>
          <w:spacing w:val="-3"/>
        </w:rPr>
        <w:t> </w:t>
      </w:r>
      <w:r>
        <w:rPr>
          <w:color w:val="231F20"/>
        </w:rPr>
        <w:t>attainment</w:t>
      </w:r>
      <w:r>
        <w:rPr>
          <w:color w:val="231F20"/>
          <w:spacing w:val="-5"/>
        </w:rPr>
        <w:t> </w:t>
      </w:r>
      <w:r>
        <w:rPr>
          <w:color w:val="231F20"/>
        </w:rPr>
        <w:t>rate</w:t>
      </w:r>
      <w:r>
        <w:rPr>
          <w:color w:val="231F20"/>
          <w:spacing w:val="25"/>
          <w:w w:val="99"/>
        </w:rPr>
        <w:t> </w:t>
      </w:r>
      <w:r>
        <w:rPr>
          <w:color w:val="231F20"/>
        </w:rPr>
        <w:t>for</w:t>
      </w:r>
      <w:r>
        <w:rPr>
          <w:color w:val="231F20"/>
          <w:spacing w:val="-10"/>
        </w:rPr>
        <w:t> </w:t>
      </w:r>
      <w:r>
        <w:rPr>
          <w:color w:val="231F20"/>
        </w:rPr>
        <w:t>non-Indigenous</w:t>
      </w:r>
      <w:r>
        <w:rPr>
          <w:color w:val="231F20"/>
          <w:spacing w:val="-11"/>
        </w:rPr>
        <w:t> </w:t>
      </w:r>
      <w:r>
        <w:rPr>
          <w:color w:val="231F20"/>
        </w:rPr>
        <w:t>Australians</w:t>
      </w:r>
      <w:r>
        <w:rPr>
          <w:color w:val="231F20"/>
          <w:spacing w:val="-10"/>
        </w:rPr>
        <w:t> </w:t>
      </w:r>
      <w:r>
        <w:rPr>
          <w:color w:val="231F20"/>
          <w:spacing w:val="-1"/>
        </w:rPr>
        <w:t>improved</w:t>
      </w:r>
      <w:r>
        <w:rPr>
          <w:color w:val="231F20"/>
          <w:spacing w:val="-9"/>
        </w:rPr>
        <w:t> </w:t>
      </w:r>
      <w:r>
        <w:rPr>
          <w:color w:val="231F20"/>
        </w:rPr>
        <w:t>from</w:t>
      </w:r>
      <w:r>
        <w:rPr/>
      </w:r>
    </w:p>
    <w:p>
      <w:pPr>
        <w:pStyle w:val="BodyText"/>
        <w:spacing w:line="250" w:lineRule="exact"/>
        <w:ind w:left="100" w:right="200"/>
        <w:jc w:val="left"/>
        <w:rPr>
          <w:rFonts w:ascii="Segoe UI Semibold" w:hAnsi="Segoe UI Semibold" w:cs="Segoe UI Semibold" w:eastAsia="Segoe UI Semibold"/>
          <w:sz w:val="11"/>
          <w:szCs w:val="11"/>
        </w:rPr>
      </w:pPr>
      <w:r>
        <w:rPr>
          <w:color w:val="231F20"/>
        </w:rPr>
        <w:t>83.8</w:t>
      </w:r>
      <w:r>
        <w:rPr>
          <w:color w:val="231F20"/>
          <w:spacing w:val="-4"/>
        </w:rPr>
        <w:t> </w:t>
      </w:r>
      <w:r>
        <w:rPr>
          <w:color w:val="231F20"/>
        </w:rPr>
        <w:t>per</w:t>
      </w:r>
      <w:r>
        <w:rPr>
          <w:color w:val="231F20"/>
          <w:spacing w:val="-3"/>
        </w:rPr>
        <w:t> </w:t>
      </w:r>
      <w:r>
        <w:rPr>
          <w:color w:val="231F20"/>
        </w:rPr>
        <w:t>cent</w:t>
      </w:r>
      <w:r>
        <w:rPr>
          <w:color w:val="231F20"/>
          <w:spacing w:val="-4"/>
        </w:rPr>
        <w:t> </w:t>
      </w:r>
      <w:r>
        <w:rPr>
          <w:color w:val="231F20"/>
        </w:rPr>
        <w:t>to</w:t>
      </w:r>
      <w:r>
        <w:rPr>
          <w:color w:val="231F20"/>
          <w:spacing w:val="-3"/>
        </w:rPr>
        <w:t> </w:t>
      </w:r>
      <w:r>
        <w:rPr>
          <w:color w:val="231F20"/>
          <w:spacing w:val="-1"/>
        </w:rPr>
        <w:t>89.1</w:t>
      </w:r>
      <w:r>
        <w:rPr>
          <w:color w:val="231F20"/>
          <w:spacing w:val="-3"/>
        </w:rPr>
        <w:t> </w:t>
      </w:r>
      <w:r>
        <w:rPr>
          <w:color w:val="231F20"/>
        </w:rPr>
        <w:t>per</w:t>
      </w:r>
      <w:r>
        <w:rPr>
          <w:color w:val="231F20"/>
          <w:spacing w:val="-4"/>
        </w:rPr>
        <w:t> </w:t>
      </w:r>
      <w:r>
        <w:rPr>
          <w:color w:val="231F20"/>
        </w:rPr>
        <w:t>cent</w:t>
      </w:r>
      <w:r>
        <w:rPr>
          <w:color w:val="231F20"/>
          <w:spacing w:val="-4"/>
        </w:rPr>
        <w:t> </w:t>
      </w:r>
      <w:r>
        <w:rPr>
          <w:color w:val="231F20"/>
        </w:rPr>
        <w:t>(an</w:t>
      </w:r>
      <w:r>
        <w:rPr>
          <w:color w:val="231F20"/>
          <w:spacing w:val="-4"/>
        </w:rPr>
        <w:t> </w:t>
      </w:r>
      <w:r>
        <w:rPr>
          <w:color w:val="231F20"/>
          <w:spacing w:val="-1"/>
        </w:rPr>
        <w:t>improvement</w:t>
      </w:r>
      <w:r>
        <w:rPr>
          <w:color w:val="231F20"/>
          <w:spacing w:val="21"/>
        </w:rPr>
        <w:t> </w:t>
      </w:r>
      <w:r>
        <w:rPr>
          <w:color w:val="231F20"/>
        </w:rPr>
        <w:t>of</w:t>
      </w:r>
      <w:r>
        <w:rPr>
          <w:color w:val="231F20"/>
          <w:spacing w:val="-5"/>
        </w:rPr>
        <w:t> </w:t>
      </w:r>
      <w:r>
        <w:rPr>
          <w:color w:val="231F20"/>
          <w:spacing w:val="-1"/>
        </w:rPr>
        <w:t>5.3</w:t>
      </w:r>
      <w:r>
        <w:rPr>
          <w:color w:val="231F20"/>
          <w:spacing w:val="-4"/>
        </w:rPr>
        <w:t> </w:t>
      </w:r>
      <w:r>
        <w:rPr>
          <w:color w:val="231F20"/>
        </w:rPr>
        <w:t>percentage</w:t>
      </w:r>
      <w:r>
        <w:rPr>
          <w:color w:val="231F20"/>
          <w:spacing w:val="-6"/>
        </w:rPr>
        <w:t> </w:t>
      </w:r>
      <w:r>
        <w:rPr>
          <w:color w:val="231F20"/>
          <w:spacing w:val="-1"/>
        </w:rPr>
        <w:t>points).</w:t>
      </w:r>
      <w:r>
        <w:rPr>
          <w:rFonts w:ascii="Segoe UI Semibold"/>
          <w:b/>
          <w:color w:val="231F20"/>
          <w:spacing w:val="-1"/>
          <w:position w:val="7"/>
          <w:sz w:val="11"/>
        </w:rPr>
        <w:t>34</w:t>
      </w:r>
      <w:r>
        <w:rPr>
          <w:rFonts w:ascii="Segoe UI Semibold"/>
          <w:sz w:val="11"/>
        </w:rPr>
      </w:r>
    </w:p>
    <w:p>
      <w:pPr>
        <w:spacing w:after="0" w:line="250" w:lineRule="exact"/>
        <w:jc w:val="left"/>
        <w:rPr>
          <w:rFonts w:ascii="Segoe UI Semibold" w:hAnsi="Segoe UI Semibold" w:cs="Segoe UI Semibold" w:eastAsia="Segoe UI Semibold"/>
          <w:sz w:val="11"/>
          <w:szCs w:val="11"/>
        </w:rPr>
        <w:sectPr>
          <w:type w:val="continuous"/>
          <w:pgSz w:w="11910" w:h="16840"/>
          <w:pgMar w:top="1580" w:bottom="280" w:left="1600" w:right="1280"/>
          <w:cols w:num="2" w:equalWidth="0">
            <w:col w:w="4229" w:space="306"/>
            <w:col w:w="4495"/>
          </w:cols>
        </w:sect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16"/>
          <w:szCs w:val="16"/>
        </w:rPr>
      </w:pPr>
    </w:p>
    <w:tbl>
      <w:tblPr>
        <w:tblW w:w="0" w:type="auto"/>
        <w:jc w:val="left"/>
        <w:tblInd w:w="4569" w:type="dxa"/>
        <w:tblLayout w:type="fixed"/>
        <w:tblCellMar>
          <w:top w:w="0" w:type="dxa"/>
          <w:left w:w="0" w:type="dxa"/>
          <w:bottom w:w="0" w:type="dxa"/>
          <w:right w:w="0" w:type="dxa"/>
        </w:tblCellMar>
        <w:tblLook w:val="01E0"/>
      </w:tblPr>
      <w:tblGrid>
        <w:gridCol w:w="343"/>
        <w:gridCol w:w="300"/>
        <w:gridCol w:w="295"/>
        <w:gridCol w:w="300"/>
        <w:gridCol w:w="337"/>
        <w:gridCol w:w="300"/>
        <w:gridCol w:w="1059"/>
      </w:tblGrid>
      <w:tr>
        <w:trPr>
          <w:trHeight w:val="290" w:hRule="exact"/>
        </w:trPr>
        <w:tc>
          <w:tcPr>
            <w:tcW w:w="1576" w:type="dxa"/>
            <w:gridSpan w:val="5"/>
            <w:tcBorders>
              <w:top w:val="single" w:sz="6" w:space="0" w:color="DCDDDE"/>
              <w:left w:val="nil" w:sz="6" w:space="0" w:color="auto"/>
              <w:bottom w:val="single" w:sz="6" w:space="0" w:color="DCDDDE"/>
              <w:right w:val="nil" w:sz="6" w:space="0" w:color="auto"/>
            </w:tcBorders>
          </w:tcPr>
          <w:p>
            <w:pPr/>
          </w:p>
        </w:tc>
        <w:tc>
          <w:tcPr>
            <w:tcW w:w="300" w:type="dxa"/>
            <w:vMerge w:val="restart"/>
            <w:tcBorders>
              <w:top w:val="nil" w:sz="6" w:space="0" w:color="auto"/>
              <w:left w:val="nil" w:sz="6" w:space="0" w:color="auto"/>
              <w:right w:val="nil" w:sz="6" w:space="0" w:color="auto"/>
            </w:tcBorders>
            <w:shd w:val="clear" w:color="auto" w:fill="BAB0C9"/>
          </w:tcPr>
          <w:p>
            <w:pPr/>
          </w:p>
        </w:tc>
        <w:tc>
          <w:tcPr>
            <w:tcW w:w="1059" w:type="dxa"/>
            <w:tcBorders>
              <w:top w:val="single" w:sz="6" w:space="0" w:color="DCDDDE"/>
              <w:left w:val="nil" w:sz="6" w:space="0" w:color="auto"/>
              <w:bottom w:val="single" w:sz="6" w:space="0" w:color="DCDDDE"/>
              <w:right w:val="nil" w:sz="6" w:space="0" w:color="auto"/>
            </w:tcBorders>
          </w:tcPr>
          <w:p>
            <w:pPr/>
          </w:p>
        </w:tc>
      </w:tr>
      <w:tr>
        <w:trPr>
          <w:trHeight w:val="118" w:hRule="exact"/>
        </w:trPr>
        <w:tc>
          <w:tcPr>
            <w:tcW w:w="1576" w:type="dxa"/>
            <w:gridSpan w:val="5"/>
            <w:tcBorders>
              <w:top w:val="single" w:sz="6" w:space="0" w:color="DCDDDE"/>
              <w:left w:val="nil" w:sz="6" w:space="0" w:color="auto"/>
              <w:bottom w:val="nil" w:sz="6" w:space="0" w:color="auto"/>
              <w:right w:val="nil" w:sz="6" w:space="0" w:color="auto"/>
            </w:tcBorders>
          </w:tcPr>
          <w:p>
            <w:pPr/>
          </w:p>
        </w:tc>
        <w:tc>
          <w:tcPr>
            <w:tcW w:w="300" w:type="dxa"/>
            <w:vMerge/>
            <w:tcBorders>
              <w:left w:val="nil" w:sz="6" w:space="0" w:color="auto"/>
              <w:right w:val="nil" w:sz="6" w:space="0" w:color="auto"/>
            </w:tcBorders>
            <w:shd w:val="clear" w:color="auto" w:fill="BAB0C9"/>
          </w:tcPr>
          <w:p>
            <w:pPr/>
          </w:p>
        </w:tc>
        <w:tc>
          <w:tcPr>
            <w:tcW w:w="1059" w:type="dxa"/>
            <w:vMerge w:val="restart"/>
            <w:tcBorders>
              <w:top w:val="single" w:sz="6" w:space="0" w:color="DCDDDE"/>
              <w:left w:val="nil" w:sz="6" w:space="0" w:color="auto"/>
              <w:right w:val="nil" w:sz="6" w:space="0" w:color="auto"/>
            </w:tcBorders>
          </w:tcPr>
          <w:p>
            <w:pPr/>
          </w:p>
        </w:tc>
      </w:tr>
      <w:tr>
        <w:trPr>
          <w:trHeight w:val="175" w:hRule="exact"/>
        </w:trPr>
        <w:tc>
          <w:tcPr>
            <w:tcW w:w="939" w:type="dxa"/>
            <w:gridSpan w:val="3"/>
            <w:tcBorders>
              <w:top w:val="nil" w:sz="6" w:space="0" w:color="auto"/>
              <w:left w:val="nil" w:sz="6" w:space="0" w:color="auto"/>
              <w:bottom w:val="single" w:sz="6" w:space="0" w:color="DCDDDE"/>
              <w:right w:val="nil" w:sz="6" w:space="0" w:color="auto"/>
            </w:tcBorders>
          </w:tcPr>
          <w:p>
            <w:pPr/>
          </w:p>
        </w:tc>
        <w:tc>
          <w:tcPr>
            <w:tcW w:w="300" w:type="dxa"/>
            <w:vMerge w:val="restart"/>
            <w:tcBorders>
              <w:top w:val="nil" w:sz="6" w:space="0" w:color="auto"/>
              <w:left w:val="nil" w:sz="6" w:space="0" w:color="auto"/>
              <w:right w:val="nil" w:sz="6" w:space="0" w:color="auto"/>
            </w:tcBorders>
            <w:shd w:val="clear" w:color="auto" w:fill="BAB0C9"/>
          </w:tcPr>
          <w:p>
            <w:pPr/>
          </w:p>
        </w:tc>
        <w:tc>
          <w:tcPr>
            <w:tcW w:w="337" w:type="dxa"/>
            <w:tcBorders>
              <w:top w:val="nil" w:sz="6" w:space="0" w:color="auto"/>
              <w:left w:val="nil" w:sz="6" w:space="0" w:color="auto"/>
              <w:bottom w:val="single" w:sz="6" w:space="0" w:color="DCDDDE"/>
              <w:right w:val="nil" w:sz="6" w:space="0" w:color="auto"/>
            </w:tcBorders>
          </w:tcPr>
          <w:p>
            <w:pPr/>
          </w:p>
        </w:tc>
        <w:tc>
          <w:tcPr>
            <w:tcW w:w="300" w:type="dxa"/>
            <w:vMerge/>
            <w:tcBorders>
              <w:left w:val="nil" w:sz="6" w:space="0" w:color="auto"/>
              <w:right w:val="nil" w:sz="6" w:space="0" w:color="auto"/>
            </w:tcBorders>
            <w:shd w:val="clear" w:color="auto" w:fill="BAB0C9"/>
          </w:tcPr>
          <w:p>
            <w:pPr/>
          </w:p>
        </w:tc>
        <w:tc>
          <w:tcPr>
            <w:tcW w:w="1059" w:type="dxa"/>
            <w:vMerge/>
            <w:tcBorders>
              <w:left w:val="nil" w:sz="6" w:space="0" w:color="auto"/>
              <w:bottom w:val="single" w:sz="6" w:space="0" w:color="DCDDDE"/>
              <w:right w:val="nil" w:sz="6" w:space="0" w:color="auto"/>
            </w:tcBorders>
          </w:tcPr>
          <w:p>
            <w:pPr/>
          </w:p>
        </w:tc>
      </w:tr>
      <w:tr>
        <w:trPr>
          <w:trHeight w:val="175" w:hRule="exact"/>
        </w:trPr>
        <w:tc>
          <w:tcPr>
            <w:tcW w:w="939" w:type="dxa"/>
            <w:gridSpan w:val="3"/>
            <w:tcBorders>
              <w:top w:val="single" w:sz="6" w:space="0" w:color="DCDDDE"/>
              <w:left w:val="nil" w:sz="6" w:space="0" w:color="auto"/>
              <w:bottom w:val="nil" w:sz="6" w:space="0" w:color="auto"/>
              <w:right w:val="nil" w:sz="6" w:space="0" w:color="auto"/>
            </w:tcBorders>
          </w:tcPr>
          <w:p>
            <w:pPr/>
          </w:p>
        </w:tc>
        <w:tc>
          <w:tcPr>
            <w:tcW w:w="300" w:type="dxa"/>
            <w:vMerge/>
            <w:tcBorders>
              <w:left w:val="nil" w:sz="6" w:space="0" w:color="auto"/>
              <w:right w:val="nil" w:sz="6" w:space="0" w:color="auto"/>
            </w:tcBorders>
            <w:shd w:val="clear" w:color="auto" w:fill="BAB0C9"/>
          </w:tcPr>
          <w:p>
            <w:pPr/>
          </w:p>
        </w:tc>
        <w:tc>
          <w:tcPr>
            <w:tcW w:w="337" w:type="dxa"/>
            <w:vMerge w:val="restart"/>
            <w:tcBorders>
              <w:top w:val="single" w:sz="6" w:space="0" w:color="DCDDDE"/>
              <w:left w:val="nil" w:sz="6" w:space="0" w:color="auto"/>
              <w:right w:val="nil" w:sz="6" w:space="0" w:color="auto"/>
            </w:tcBorders>
          </w:tcPr>
          <w:p>
            <w:pPr/>
          </w:p>
        </w:tc>
        <w:tc>
          <w:tcPr>
            <w:tcW w:w="300" w:type="dxa"/>
            <w:vMerge/>
            <w:tcBorders>
              <w:left w:val="nil" w:sz="6" w:space="0" w:color="auto"/>
              <w:right w:val="nil" w:sz="6" w:space="0" w:color="auto"/>
            </w:tcBorders>
            <w:shd w:val="clear" w:color="auto" w:fill="BAB0C9"/>
          </w:tcPr>
          <w:p>
            <w:pPr/>
          </w:p>
        </w:tc>
        <w:tc>
          <w:tcPr>
            <w:tcW w:w="1059" w:type="dxa"/>
            <w:vMerge w:val="restart"/>
            <w:tcBorders>
              <w:top w:val="single" w:sz="6" w:space="0" w:color="DCDDDE"/>
              <w:left w:val="nil" w:sz="6" w:space="0" w:color="auto"/>
              <w:right w:val="nil" w:sz="6" w:space="0" w:color="auto"/>
            </w:tcBorders>
          </w:tcPr>
          <w:p>
            <w:pPr/>
          </w:p>
        </w:tc>
      </w:tr>
      <w:tr>
        <w:trPr>
          <w:trHeight w:val="115" w:hRule="exact"/>
        </w:trPr>
        <w:tc>
          <w:tcPr>
            <w:tcW w:w="343" w:type="dxa"/>
            <w:tcBorders>
              <w:top w:val="nil" w:sz="6" w:space="0" w:color="auto"/>
              <w:left w:val="nil" w:sz="6" w:space="0" w:color="auto"/>
              <w:bottom w:val="single" w:sz="6" w:space="0" w:color="DCDDDE"/>
              <w:right w:val="nil" w:sz="6" w:space="0" w:color="auto"/>
            </w:tcBorders>
          </w:tcPr>
          <w:p>
            <w:pPr/>
          </w:p>
        </w:tc>
        <w:tc>
          <w:tcPr>
            <w:tcW w:w="300" w:type="dxa"/>
            <w:vMerge w:val="restart"/>
            <w:tcBorders>
              <w:top w:val="nil" w:sz="6" w:space="0" w:color="auto"/>
              <w:left w:val="nil" w:sz="6" w:space="0" w:color="auto"/>
              <w:right w:val="nil" w:sz="6" w:space="0" w:color="auto"/>
            </w:tcBorders>
            <w:shd w:val="clear" w:color="auto" w:fill="BAB0C9"/>
          </w:tcPr>
          <w:p>
            <w:pPr/>
          </w:p>
        </w:tc>
        <w:tc>
          <w:tcPr>
            <w:tcW w:w="295" w:type="dxa"/>
            <w:tcBorders>
              <w:top w:val="nil" w:sz="6" w:space="0" w:color="auto"/>
              <w:left w:val="nil" w:sz="6" w:space="0" w:color="auto"/>
              <w:bottom w:val="single" w:sz="6" w:space="0" w:color="DCDDDE"/>
              <w:right w:val="nil" w:sz="6" w:space="0" w:color="auto"/>
            </w:tcBorders>
          </w:tcPr>
          <w:p>
            <w:pPr/>
          </w:p>
        </w:tc>
        <w:tc>
          <w:tcPr>
            <w:tcW w:w="300" w:type="dxa"/>
            <w:vMerge/>
            <w:tcBorders>
              <w:left w:val="nil" w:sz="6" w:space="0" w:color="auto"/>
              <w:right w:val="nil" w:sz="6" w:space="0" w:color="auto"/>
            </w:tcBorders>
            <w:shd w:val="clear" w:color="auto" w:fill="BAB0C9"/>
          </w:tcPr>
          <w:p>
            <w:pPr/>
          </w:p>
        </w:tc>
        <w:tc>
          <w:tcPr>
            <w:tcW w:w="337" w:type="dxa"/>
            <w:vMerge/>
            <w:tcBorders>
              <w:left w:val="nil" w:sz="6" w:space="0" w:color="auto"/>
              <w:bottom w:val="single" w:sz="6" w:space="0" w:color="DCDDDE"/>
              <w:right w:val="nil" w:sz="6" w:space="0" w:color="auto"/>
            </w:tcBorders>
          </w:tcPr>
          <w:p>
            <w:pPr/>
          </w:p>
        </w:tc>
        <w:tc>
          <w:tcPr>
            <w:tcW w:w="300" w:type="dxa"/>
            <w:vMerge/>
            <w:tcBorders>
              <w:left w:val="nil" w:sz="6" w:space="0" w:color="auto"/>
              <w:right w:val="nil" w:sz="6" w:space="0" w:color="auto"/>
            </w:tcBorders>
            <w:shd w:val="clear" w:color="auto" w:fill="BAB0C9"/>
          </w:tcPr>
          <w:p>
            <w:pPr/>
          </w:p>
        </w:tc>
        <w:tc>
          <w:tcPr>
            <w:tcW w:w="1059" w:type="dxa"/>
            <w:vMerge/>
            <w:tcBorders>
              <w:left w:val="nil" w:sz="6" w:space="0" w:color="auto"/>
              <w:bottom w:val="single" w:sz="6" w:space="0" w:color="DCDDDE"/>
              <w:right w:val="nil" w:sz="6" w:space="0" w:color="auto"/>
            </w:tcBorders>
          </w:tcPr>
          <w:p>
            <w:pPr/>
          </w:p>
        </w:tc>
      </w:tr>
      <w:tr>
        <w:trPr>
          <w:trHeight w:val="293" w:hRule="exact"/>
        </w:trPr>
        <w:tc>
          <w:tcPr>
            <w:tcW w:w="343" w:type="dxa"/>
            <w:tcBorders>
              <w:top w:val="single" w:sz="6" w:space="0" w:color="DCDDDE"/>
              <w:left w:val="nil" w:sz="6" w:space="0" w:color="auto"/>
              <w:bottom w:val="single" w:sz="6" w:space="0" w:color="DCDDDE"/>
              <w:right w:val="nil" w:sz="6" w:space="0" w:color="auto"/>
            </w:tcBorders>
          </w:tcPr>
          <w:p>
            <w:pPr/>
          </w:p>
        </w:tc>
        <w:tc>
          <w:tcPr>
            <w:tcW w:w="300" w:type="dxa"/>
            <w:vMerge/>
            <w:tcBorders>
              <w:left w:val="nil" w:sz="6" w:space="0" w:color="auto"/>
              <w:right w:val="nil" w:sz="6" w:space="0" w:color="auto"/>
            </w:tcBorders>
            <w:shd w:val="clear" w:color="auto" w:fill="BAB0C9"/>
          </w:tcPr>
          <w:p>
            <w:pPr/>
          </w:p>
        </w:tc>
        <w:tc>
          <w:tcPr>
            <w:tcW w:w="295" w:type="dxa"/>
            <w:tcBorders>
              <w:top w:val="single" w:sz="6" w:space="0" w:color="DCDDDE"/>
              <w:left w:val="nil" w:sz="6" w:space="0" w:color="auto"/>
              <w:bottom w:val="single" w:sz="6" w:space="0" w:color="DCDDDE"/>
              <w:right w:val="nil" w:sz="6" w:space="0" w:color="auto"/>
            </w:tcBorders>
          </w:tcPr>
          <w:p>
            <w:pPr/>
          </w:p>
        </w:tc>
        <w:tc>
          <w:tcPr>
            <w:tcW w:w="300" w:type="dxa"/>
            <w:vMerge/>
            <w:tcBorders>
              <w:left w:val="nil" w:sz="6" w:space="0" w:color="auto"/>
              <w:right w:val="nil" w:sz="6" w:space="0" w:color="auto"/>
            </w:tcBorders>
            <w:shd w:val="clear" w:color="auto" w:fill="BAB0C9"/>
          </w:tcPr>
          <w:p>
            <w:pPr/>
          </w:p>
        </w:tc>
        <w:tc>
          <w:tcPr>
            <w:tcW w:w="337" w:type="dxa"/>
            <w:tcBorders>
              <w:top w:val="single" w:sz="6" w:space="0" w:color="DCDDDE"/>
              <w:left w:val="nil" w:sz="6" w:space="0" w:color="auto"/>
              <w:bottom w:val="single" w:sz="6" w:space="0" w:color="DCDDDE"/>
              <w:right w:val="nil" w:sz="6" w:space="0" w:color="auto"/>
            </w:tcBorders>
          </w:tcPr>
          <w:p>
            <w:pPr/>
          </w:p>
        </w:tc>
        <w:tc>
          <w:tcPr>
            <w:tcW w:w="300" w:type="dxa"/>
            <w:vMerge/>
            <w:tcBorders>
              <w:left w:val="nil" w:sz="6" w:space="0" w:color="auto"/>
              <w:right w:val="nil" w:sz="6" w:space="0" w:color="auto"/>
            </w:tcBorders>
            <w:shd w:val="clear" w:color="auto" w:fill="BAB0C9"/>
          </w:tcPr>
          <w:p>
            <w:pPr/>
          </w:p>
        </w:tc>
        <w:tc>
          <w:tcPr>
            <w:tcW w:w="1059" w:type="dxa"/>
            <w:tcBorders>
              <w:top w:val="single" w:sz="6" w:space="0" w:color="DCDDDE"/>
              <w:left w:val="nil" w:sz="6" w:space="0" w:color="auto"/>
              <w:bottom w:val="single" w:sz="6" w:space="0" w:color="DCDDDE"/>
              <w:right w:val="nil" w:sz="6" w:space="0" w:color="auto"/>
            </w:tcBorders>
          </w:tcPr>
          <w:p>
            <w:pPr/>
          </w:p>
        </w:tc>
      </w:tr>
      <w:tr>
        <w:trPr>
          <w:trHeight w:val="290" w:hRule="exact"/>
        </w:trPr>
        <w:tc>
          <w:tcPr>
            <w:tcW w:w="343" w:type="dxa"/>
            <w:tcBorders>
              <w:top w:val="single" w:sz="6" w:space="0" w:color="DCDDDE"/>
              <w:left w:val="nil" w:sz="6" w:space="0" w:color="auto"/>
              <w:bottom w:val="single" w:sz="6" w:space="0" w:color="DCDDDE"/>
              <w:right w:val="nil" w:sz="6" w:space="0" w:color="auto"/>
            </w:tcBorders>
          </w:tcPr>
          <w:p>
            <w:pPr/>
          </w:p>
        </w:tc>
        <w:tc>
          <w:tcPr>
            <w:tcW w:w="300" w:type="dxa"/>
            <w:vMerge/>
            <w:tcBorders>
              <w:left w:val="nil" w:sz="6" w:space="0" w:color="auto"/>
              <w:right w:val="nil" w:sz="6" w:space="0" w:color="auto"/>
            </w:tcBorders>
            <w:shd w:val="clear" w:color="auto" w:fill="BAB0C9"/>
          </w:tcPr>
          <w:p>
            <w:pPr/>
          </w:p>
        </w:tc>
        <w:tc>
          <w:tcPr>
            <w:tcW w:w="295" w:type="dxa"/>
            <w:tcBorders>
              <w:top w:val="single" w:sz="6" w:space="0" w:color="DCDDDE"/>
              <w:left w:val="nil" w:sz="6" w:space="0" w:color="auto"/>
              <w:bottom w:val="single" w:sz="6" w:space="0" w:color="DCDDDE"/>
              <w:right w:val="nil" w:sz="6" w:space="0" w:color="auto"/>
            </w:tcBorders>
          </w:tcPr>
          <w:p>
            <w:pPr/>
          </w:p>
        </w:tc>
        <w:tc>
          <w:tcPr>
            <w:tcW w:w="300" w:type="dxa"/>
            <w:vMerge/>
            <w:tcBorders>
              <w:left w:val="nil" w:sz="6" w:space="0" w:color="auto"/>
              <w:right w:val="nil" w:sz="6" w:space="0" w:color="auto"/>
            </w:tcBorders>
            <w:shd w:val="clear" w:color="auto" w:fill="BAB0C9"/>
          </w:tcPr>
          <w:p>
            <w:pPr/>
          </w:p>
        </w:tc>
        <w:tc>
          <w:tcPr>
            <w:tcW w:w="337" w:type="dxa"/>
            <w:tcBorders>
              <w:top w:val="single" w:sz="6" w:space="0" w:color="DCDDDE"/>
              <w:left w:val="nil" w:sz="6" w:space="0" w:color="auto"/>
              <w:bottom w:val="single" w:sz="6" w:space="0" w:color="DCDDDE"/>
              <w:right w:val="nil" w:sz="6" w:space="0" w:color="auto"/>
            </w:tcBorders>
          </w:tcPr>
          <w:p>
            <w:pPr/>
          </w:p>
        </w:tc>
        <w:tc>
          <w:tcPr>
            <w:tcW w:w="300" w:type="dxa"/>
            <w:vMerge/>
            <w:tcBorders>
              <w:left w:val="nil" w:sz="6" w:space="0" w:color="auto"/>
              <w:right w:val="nil" w:sz="6" w:space="0" w:color="auto"/>
            </w:tcBorders>
            <w:shd w:val="clear" w:color="auto" w:fill="BAB0C9"/>
          </w:tcPr>
          <w:p>
            <w:pPr/>
          </w:p>
        </w:tc>
        <w:tc>
          <w:tcPr>
            <w:tcW w:w="1059" w:type="dxa"/>
            <w:tcBorders>
              <w:top w:val="single" w:sz="6" w:space="0" w:color="DCDDDE"/>
              <w:left w:val="nil" w:sz="6" w:space="0" w:color="auto"/>
              <w:bottom w:val="single" w:sz="6" w:space="0" w:color="DCDDDE"/>
              <w:right w:val="nil" w:sz="6" w:space="0" w:color="auto"/>
            </w:tcBorders>
          </w:tcPr>
          <w:p>
            <w:pPr/>
          </w:p>
        </w:tc>
      </w:tr>
      <w:tr>
        <w:trPr>
          <w:trHeight w:val="293" w:hRule="exact"/>
        </w:trPr>
        <w:tc>
          <w:tcPr>
            <w:tcW w:w="343" w:type="dxa"/>
            <w:tcBorders>
              <w:top w:val="single" w:sz="6" w:space="0" w:color="DCDDDE"/>
              <w:left w:val="nil" w:sz="6" w:space="0" w:color="auto"/>
              <w:bottom w:val="single" w:sz="6" w:space="0" w:color="DCDDDE"/>
              <w:right w:val="nil" w:sz="6" w:space="0" w:color="auto"/>
            </w:tcBorders>
          </w:tcPr>
          <w:p>
            <w:pPr/>
          </w:p>
        </w:tc>
        <w:tc>
          <w:tcPr>
            <w:tcW w:w="300" w:type="dxa"/>
            <w:vMerge/>
            <w:tcBorders>
              <w:left w:val="nil" w:sz="6" w:space="0" w:color="auto"/>
              <w:right w:val="nil" w:sz="6" w:space="0" w:color="auto"/>
            </w:tcBorders>
            <w:shd w:val="clear" w:color="auto" w:fill="BAB0C9"/>
          </w:tcPr>
          <w:p>
            <w:pPr/>
          </w:p>
        </w:tc>
        <w:tc>
          <w:tcPr>
            <w:tcW w:w="295" w:type="dxa"/>
            <w:tcBorders>
              <w:top w:val="single" w:sz="6" w:space="0" w:color="DCDDDE"/>
              <w:left w:val="nil" w:sz="6" w:space="0" w:color="auto"/>
              <w:bottom w:val="single" w:sz="6" w:space="0" w:color="DCDDDE"/>
              <w:right w:val="nil" w:sz="6" w:space="0" w:color="auto"/>
            </w:tcBorders>
          </w:tcPr>
          <w:p>
            <w:pPr/>
          </w:p>
        </w:tc>
        <w:tc>
          <w:tcPr>
            <w:tcW w:w="300" w:type="dxa"/>
            <w:vMerge/>
            <w:tcBorders>
              <w:left w:val="nil" w:sz="6" w:space="0" w:color="auto"/>
              <w:right w:val="nil" w:sz="6" w:space="0" w:color="auto"/>
            </w:tcBorders>
            <w:shd w:val="clear" w:color="auto" w:fill="BAB0C9"/>
          </w:tcPr>
          <w:p>
            <w:pPr/>
          </w:p>
        </w:tc>
        <w:tc>
          <w:tcPr>
            <w:tcW w:w="337" w:type="dxa"/>
            <w:tcBorders>
              <w:top w:val="single" w:sz="6" w:space="0" w:color="DCDDDE"/>
              <w:left w:val="nil" w:sz="6" w:space="0" w:color="auto"/>
              <w:bottom w:val="single" w:sz="6" w:space="0" w:color="DCDDDE"/>
              <w:right w:val="nil" w:sz="6" w:space="0" w:color="auto"/>
            </w:tcBorders>
          </w:tcPr>
          <w:p>
            <w:pPr/>
          </w:p>
        </w:tc>
        <w:tc>
          <w:tcPr>
            <w:tcW w:w="300" w:type="dxa"/>
            <w:vMerge/>
            <w:tcBorders>
              <w:left w:val="nil" w:sz="6" w:space="0" w:color="auto"/>
              <w:right w:val="nil" w:sz="6" w:space="0" w:color="auto"/>
            </w:tcBorders>
            <w:shd w:val="clear" w:color="auto" w:fill="BAB0C9"/>
          </w:tcPr>
          <w:p>
            <w:pPr/>
          </w:p>
        </w:tc>
        <w:tc>
          <w:tcPr>
            <w:tcW w:w="1059" w:type="dxa"/>
            <w:tcBorders>
              <w:top w:val="single" w:sz="6" w:space="0" w:color="DCDDDE"/>
              <w:left w:val="nil" w:sz="6" w:space="0" w:color="auto"/>
              <w:bottom w:val="single" w:sz="6" w:space="0" w:color="DCDDDE"/>
              <w:right w:val="nil" w:sz="6" w:space="0" w:color="auto"/>
            </w:tcBorders>
          </w:tcPr>
          <w:p>
            <w:pPr/>
          </w:p>
        </w:tc>
      </w:tr>
      <w:tr>
        <w:trPr>
          <w:trHeight w:val="290" w:hRule="exact"/>
        </w:trPr>
        <w:tc>
          <w:tcPr>
            <w:tcW w:w="343" w:type="dxa"/>
            <w:tcBorders>
              <w:top w:val="single" w:sz="6" w:space="0" w:color="DCDDDE"/>
              <w:left w:val="nil" w:sz="6" w:space="0" w:color="auto"/>
              <w:bottom w:val="single" w:sz="6" w:space="0" w:color="DCDDDE"/>
              <w:right w:val="nil" w:sz="6" w:space="0" w:color="auto"/>
            </w:tcBorders>
          </w:tcPr>
          <w:p>
            <w:pPr/>
          </w:p>
        </w:tc>
        <w:tc>
          <w:tcPr>
            <w:tcW w:w="300" w:type="dxa"/>
            <w:vMerge/>
            <w:tcBorders>
              <w:left w:val="nil" w:sz="6" w:space="0" w:color="auto"/>
              <w:right w:val="nil" w:sz="6" w:space="0" w:color="auto"/>
            </w:tcBorders>
            <w:shd w:val="clear" w:color="auto" w:fill="BAB0C9"/>
          </w:tcPr>
          <w:p>
            <w:pPr/>
          </w:p>
        </w:tc>
        <w:tc>
          <w:tcPr>
            <w:tcW w:w="295" w:type="dxa"/>
            <w:tcBorders>
              <w:top w:val="single" w:sz="6" w:space="0" w:color="DCDDDE"/>
              <w:left w:val="nil" w:sz="6" w:space="0" w:color="auto"/>
              <w:bottom w:val="single" w:sz="6" w:space="0" w:color="DCDDDE"/>
              <w:right w:val="nil" w:sz="6" w:space="0" w:color="auto"/>
            </w:tcBorders>
          </w:tcPr>
          <w:p>
            <w:pPr/>
          </w:p>
        </w:tc>
        <w:tc>
          <w:tcPr>
            <w:tcW w:w="300" w:type="dxa"/>
            <w:vMerge/>
            <w:tcBorders>
              <w:left w:val="nil" w:sz="6" w:space="0" w:color="auto"/>
              <w:right w:val="nil" w:sz="6" w:space="0" w:color="auto"/>
            </w:tcBorders>
            <w:shd w:val="clear" w:color="auto" w:fill="BAB0C9"/>
          </w:tcPr>
          <w:p>
            <w:pPr/>
          </w:p>
        </w:tc>
        <w:tc>
          <w:tcPr>
            <w:tcW w:w="337" w:type="dxa"/>
            <w:tcBorders>
              <w:top w:val="single" w:sz="6" w:space="0" w:color="DCDDDE"/>
              <w:left w:val="nil" w:sz="6" w:space="0" w:color="auto"/>
              <w:bottom w:val="single" w:sz="6" w:space="0" w:color="DCDDDE"/>
              <w:right w:val="nil" w:sz="6" w:space="0" w:color="auto"/>
            </w:tcBorders>
          </w:tcPr>
          <w:p>
            <w:pPr/>
          </w:p>
        </w:tc>
        <w:tc>
          <w:tcPr>
            <w:tcW w:w="300" w:type="dxa"/>
            <w:vMerge/>
            <w:tcBorders>
              <w:left w:val="nil" w:sz="6" w:space="0" w:color="auto"/>
              <w:right w:val="nil" w:sz="6" w:space="0" w:color="auto"/>
            </w:tcBorders>
            <w:shd w:val="clear" w:color="auto" w:fill="BAB0C9"/>
          </w:tcPr>
          <w:p>
            <w:pPr/>
          </w:p>
        </w:tc>
        <w:tc>
          <w:tcPr>
            <w:tcW w:w="1059" w:type="dxa"/>
            <w:tcBorders>
              <w:top w:val="single" w:sz="6" w:space="0" w:color="DCDDDE"/>
              <w:left w:val="nil" w:sz="6" w:space="0" w:color="auto"/>
              <w:bottom w:val="single" w:sz="6" w:space="0" w:color="DCDDDE"/>
              <w:right w:val="nil" w:sz="6" w:space="0" w:color="auto"/>
            </w:tcBorders>
          </w:tcPr>
          <w:p>
            <w:pPr/>
          </w:p>
        </w:tc>
      </w:tr>
      <w:tr>
        <w:trPr>
          <w:trHeight w:val="291" w:hRule="exact"/>
        </w:trPr>
        <w:tc>
          <w:tcPr>
            <w:tcW w:w="343" w:type="dxa"/>
            <w:tcBorders>
              <w:top w:val="single" w:sz="6" w:space="0" w:color="DCDDDE"/>
              <w:left w:val="nil" w:sz="6" w:space="0" w:color="auto"/>
              <w:bottom w:val="single" w:sz="6" w:space="0" w:color="DCDDDE"/>
              <w:right w:val="nil" w:sz="6" w:space="0" w:color="auto"/>
            </w:tcBorders>
          </w:tcPr>
          <w:p>
            <w:pPr/>
          </w:p>
        </w:tc>
        <w:tc>
          <w:tcPr>
            <w:tcW w:w="300" w:type="dxa"/>
            <w:vMerge/>
            <w:tcBorders>
              <w:left w:val="nil" w:sz="6" w:space="0" w:color="auto"/>
              <w:bottom w:val="single" w:sz="6" w:space="0" w:color="DCDDDE"/>
              <w:right w:val="nil" w:sz="6" w:space="0" w:color="auto"/>
            </w:tcBorders>
            <w:shd w:val="clear" w:color="auto" w:fill="BAB0C9"/>
          </w:tcPr>
          <w:p>
            <w:pPr/>
          </w:p>
        </w:tc>
        <w:tc>
          <w:tcPr>
            <w:tcW w:w="295" w:type="dxa"/>
            <w:tcBorders>
              <w:top w:val="single" w:sz="6" w:space="0" w:color="DCDDDE"/>
              <w:left w:val="nil" w:sz="6" w:space="0" w:color="auto"/>
              <w:bottom w:val="single" w:sz="6" w:space="0" w:color="DCDDDE"/>
              <w:right w:val="nil" w:sz="6" w:space="0" w:color="auto"/>
            </w:tcBorders>
          </w:tcPr>
          <w:p>
            <w:pPr/>
          </w:p>
        </w:tc>
        <w:tc>
          <w:tcPr>
            <w:tcW w:w="300" w:type="dxa"/>
            <w:vMerge/>
            <w:tcBorders>
              <w:left w:val="nil" w:sz="6" w:space="0" w:color="auto"/>
              <w:bottom w:val="single" w:sz="6" w:space="0" w:color="DCDDDE"/>
              <w:right w:val="nil" w:sz="6" w:space="0" w:color="auto"/>
            </w:tcBorders>
            <w:shd w:val="clear" w:color="auto" w:fill="BAB0C9"/>
          </w:tcPr>
          <w:p>
            <w:pPr/>
          </w:p>
        </w:tc>
        <w:tc>
          <w:tcPr>
            <w:tcW w:w="337" w:type="dxa"/>
            <w:tcBorders>
              <w:top w:val="single" w:sz="6" w:space="0" w:color="DCDDDE"/>
              <w:left w:val="nil" w:sz="6" w:space="0" w:color="auto"/>
              <w:bottom w:val="single" w:sz="6" w:space="0" w:color="DCDDDE"/>
              <w:right w:val="nil" w:sz="6" w:space="0" w:color="auto"/>
            </w:tcBorders>
          </w:tcPr>
          <w:p>
            <w:pPr/>
          </w:p>
        </w:tc>
        <w:tc>
          <w:tcPr>
            <w:tcW w:w="300" w:type="dxa"/>
            <w:vMerge/>
            <w:tcBorders>
              <w:left w:val="nil" w:sz="6" w:space="0" w:color="auto"/>
              <w:bottom w:val="single" w:sz="6" w:space="0" w:color="DCDDDE"/>
              <w:right w:val="nil" w:sz="6" w:space="0" w:color="auto"/>
            </w:tcBorders>
            <w:shd w:val="clear" w:color="auto" w:fill="BAB0C9"/>
          </w:tcPr>
          <w:p>
            <w:pPr/>
          </w:p>
        </w:tc>
        <w:tc>
          <w:tcPr>
            <w:tcW w:w="1059" w:type="dxa"/>
            <w:tcBorders>
              <w:top w:val="single" w:sz="6" w:space="0" w:color="DCDDDE"/>
              <w:left w:val="nil" w:sz="6" w:space="0" w:color="auto"/>
              <w:bottom w:val="single" w:sz="6" w:space="0" w:color="DCDDDE"/>
              <w:right w:val="nil" w:sz="6" w:space="0" w:color="auto"/>
            </w:tcBorders>
          </w:tcPr>
          <w:p>
            <w:pPr/>
          </w:p>
        </w:tc>
      </w:tr>
    </w:tbl>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8"/>
        <w:rPr>
          <w:rFonts w:ascii="Segoe UI Semibold" w:hAnsi="Segoe UI Semibold" w:cs="Segoe UI Semibold" w:eastAsia="Segoe UI Semibold"/>
          <w:b/>
          <w:bCs/>
          <w:sz w:val="22"/>
          <w:szCs w:val="22"/>
        </w:rPr>
      </w:pPr>
    </w:p>
    <w:p>
      <w:pPr>
        <w:spacing w:after="0" w:line="240" w:lineRule="auto"/>
        <w:rPr>
          <w:rFonts w:ascii="Segoe UI Semibold" w:hAnsi="Segoe UI Semibold" w:cs="Segoe UI Semibold" w:eastAsia="Segoe UI Semibold"/>
          <w:sz w:val="22"/>
          <w:szCs w:val="22"/>
        </w:rPr>
        <w:sectPr>
          <w:footerReference w:type="even" r:id="rId21"/>
          <w:footerReference w:type="default" r:id="rId22"/>
          <w:pgSz w:w="11910" w:h="16840"/>
          <w:pgMar w:footer="691" w:header="0" w:top="1580" w:bottom="880" w:left="1300" w:right="1600"/>
          <w:pgNumType w:start="22"/>
        </w:sectPr>
      </w:pPr>
    </w:p>
    <w:p>
      <w:pPr>
        <w:pStyle w:val="BodyText"/>
        <w:spacing w:line="250" w:lineRule="exact" w:before="62"/>
        <w:ind w:right="6"/>
        <w:jc w:val="left"/>
      </w:pPr>
      <w:r>
        <w:rPr/>
        <w:pict>
          <v:group style="position:absolute;margin-left:70.865997pt;margin-top:-269.138611pt;width:439.4pt;height:247.3pt;mso-position-horizontal-relative:page;mso-position-vertical-relative:paragraph;z-index:-227992" coordorigin="1417,-5383" coordsize="8788,4946">
            <v:group style="position:absolute;left:4639;top:-1930;width:984;height:2" coordorigin="4639,-1930" coordsize="984,2">
              <v:shape style="position:absolute;left:4639;top:-1930;width:984;height:2" coordorigin="4639,-1930" coordsize="984,0" path="m4639,-1930l5622,-1930e" filled="false" stroked="true" strokeweight=".75pt" strokecolor="#dcddde">
                <v:path arrowok="t"/>
              </v:shape>
            </v:group>
            <v:group style="position:absolute;left:4026;top:-1930;width:314;height:2" coordorigin="4026,-1930" coordsize="314,2">
              <v:shape style="position:absolute;left:4026;top:-1930;width:314;height:2" coordorigin="4026,-1930" coordsize="314,0" path="m4026,-1930l4339,-1930e" filled="false" stroked="true" strokeweight=".75pt" strokecolor="#dcddde">
                <v:path arrowok="t"/>
              </v:shape>
            </v:group>
            <v:group style="position:absolute;left:3409;top:-1930;width:317;height:2" coordorigin="3409,-1930" coordsize="317,2">
              <v:shape style="position:absolute;left:3409;top:-1930;width:317;height:2" coordorigin="3409,-1930" coordsize="317,0" path="m3409,-1930l3726,-1930e" filled="false" stroked="true" strokeweight=".75pt" strokecolor="#dcddde">
                <v:path arrowok="t"/>
              </v:shape>
            </v:group>
            <v:group style="position:absolute;left:2745;top:-1930;width:365;height:2" coordorigin="2745,-1930" coordsize="365,2">
              <v:shape style="position:absolute;left:2745;top:-1930;width:365;height:2" coordorigin="2745,-1930" coordsize="365,0" path="m2745,-1930l3109,-1930e" filled="false" stroked="true" strokeweight=".75pt" strokecolor="#dcddde">
                <v:path arrowok="t"/>
              </v:shape>
            </v:group>
            <v:group style="position:absolute;left:3409;top:-2221;width:317;height:2" coordorigin="3409,-2221" coordsize="317,2">
              <v:shape style="position:absolute;left:3409;top:-2221;width:317;height:2" coordorigin="3409,-2221" coordsize="317,0" path="m3409,-2221l3726,-2221e" filled="false" stroked="true" strokeweight=".75pt" strokecolor="#dcddde">
                <v:path arrowok="t"/>
              </v:shape>
            </v:group>
            <v:group style="position:absolute;left:2745;top:-2221;width:365;height:2" coordorigin="2745,-2221" coordsize="365,2">
              <v:shape style="position:absolute;left:2745;top:-2221;width:365;height:2" coordorigin="2745,-2221" coordsize="365,0" path="m2745,-2221l3109,-2221e" filled="false" stroked="true" strokeweight=".75pt" strokecolor="#dcddde">
                <v:path arrowok="t"/>
              </v:shape>
            </v:group>
            <v:group style="position:absolute;left:3409;top:-2513;width:317;height:2" coordorigin="3409,-2513" coordsize="317,2">
              <v:shape style="position:absolute;left:3409;top:-2513;width:317;height:2" coordorigin="3409,-2513" coordsize="317,0" path="m3409,-2513l3726,-2513e" filled="false" stroked="true" strokeweight=".75pt" strokecolor="#dcddde">
                <v:path arrowok="t"/>
              </v:shape>
            </v:group>
            <v:group style="position:absolute;left:2745;top:-2513;width:365;height:2" coordorigin="2745,-2513" coordsize="365,2">
              <v:shape style="position:absolute;left:2745;top:-2513;width:365;height:2" coordorigin="2745,-2513" coordsize="365,0" path="m2745,-2513l3109,-2513e" filled="false" stroked="true" strokeweight=".75pt" strokecolor="#dcddde">
                <v:path arrowok="t"/>
              </v:shape>
            </v:group>
            <v:group style="position:absolute;left:3409;top:-2804;width:317;height:2" coordorigin="3409,-2804" coordsize="317,2">
              <v:shape style="position:absolute;left:3409;top:-2804;width:317;height:2" coordorigin="3409,-2804" coordsize="317,0" path="m3409,-2804l3726,-2804e" filled="false" stroked="true" strokeweight=".75pt" strokecolor="#dcddde">
                <v:path arrowok="t"/>
              </v:shape>
            </v:group>
            <v:group style="position:absolute;left:2745;top:-2804;width:365;height:2" coordorigin="2745,-2804" coordsize="365,2">
              <v:shape style="position:absolute;left:2745;top:-2804;width:365;height:2" coordorigin="2745,-2804" coordsize="365,0" path="m2745,-2804l3109,-2804e" filled="false" stroked="true" strokeweight=".75pt" strokecolor="#dcddde">
                <v:path arrowok="t"/>
              </v:shape>
            </v:group>
            <v:group style="position:absolute;left:2745;top:-3097;width:981;height:2" coordorigin="2745,-3097" coordsize="981,2">
              <v:shape style="position:absolute;left:2745;top:-3097;width:981;height:2" coordorigin="2745,-3097" coordsize="981,0" path="m2745,-3097l3726,-3097e" filled="false" stroked="true" strokeweight=".75pt" strokecolor="#dcddde">
                <v:path arrowok="t"/>
              </v:shape>
            </v:group>
            <v:group style="position:absolute;left:2745;top:-1639;width:2878;height:2" coordorigin="2745,-1639" coordsize="2878,2">
              <v:shape style="position:absolute;left:2745;top:-1639;width:2878;height:2" coordorigin="2745,-1639" coordsize="2878,0" path="m2745,-1639l5622,-1639e" filled="false" stroked="true" strokeweight=".75pt" strokecolor="#dcddde">
                <v:path arrowok="t"/>
              </v:shape>
            </v:group>
            <v:group style="position:absolute;left:3109;top:-3039;width:300;height:1401" coordorigin="3109,-3039" coordsize="300,1401">
              <v:shape style="position:absolute;left:3109;top:-3039;width:300;height:1401" coordorigin="3109,-3039" coordsize="300,1401" path="m3109,-3039l3409,-3039,3409,-1639,3109,-1639,3109,-3039xe" filled="true" fillcolor="#6a5185" stroked="false">
                <v:path arrowok="t"/>
                <v:fill type="solid"/>
              </v:shape>
            </v:group>
            <v:group style="position:absolute;left:4026;top:-2221;width:314;height:2" coordorigin="4026,-2221" coordsize="314,2">
              <v:shape style="position:absolute;left:4026;top:-2221;width:314;height:2" coordorigin="4026,-2221" coordsize="314,0" path="m4026,-2221l4339,-2221e" filled="false" stroked="true" strokeweight=".75pt" strokecolor="#dcddde">
                <v:path arrowok="t"/>
              </v:shape>
            </v:group>
            <v:group style="position:absolute;left:4026;top:-2513;width:314;height:2" coordorigin="4026,-2513" coordsize="314,2">
              <v:shape style="position:absolute;left:4026;top:-2513;width:314;height:2" coordorigin="4026,-2513" coordsize="314,0" path="m4026,-2513l4339,-2513e" filled="false" stroked="true" strokeweight=".75pt" strokecolor="#dcddde">
                <v:path arrowok="t"/>
              </v:shape>
            </v:group>
            <v:group style="position:absolute;left:4026;top:-2804;width:314;height:2" coordorigin="4026,-2804" coordsize="314,2">
              <v:shape style="position:absolute;left:4026;top:-2804;width:314;height:2" coordorigin="4026,-2804" coordsize="314,0" path="m4026,-2804l4339,-2804e" filled="false" stroked="true" strokeweight=".75pt" strokecolor="#dcddde">
                <v:path arrowok="t"/>
              </v:shape>
            </v:group>
            <v:group style="position:absolute;left:4026;top:-3097;width:314;height:2" coordorigin="4026,-3097" coordsize="314,2">
              <v:shape style="position:absolute;left:4026;top:-3097;width:314;height:2" coordorigin="4026,-3097" coordsize="314,0" path="m4026,-3097l4339,-3097e" filled="false" stroked="true" strokeweight=".75pt" strokecolor="#dcddde">
                <v:path arrowok="t"/>
              </v:shape>
            </v:group>
            <v:group style="position:absolute;left:3726;top:-3212;width:300;height:1573" coordorigin="3726,-3212" coordsize="300,1573">
              <v:shape style="position:absolute;left:3726;top:-3212;width:300;height:1573" coordorigin="3726,-3212" coordsize="300,1573" path="m3726,-3212l4026,-3212,4026,-1639,3726,-1639,3726,-3212xe" filled="true" fillcolor="#6a5185" stroked="false">
                <v:path arrowok="t"/>
                <v:fill type="solid"/>
              </v:shape>
            </v:group>
            <v:group style="position:absolute;left:4639;top:-2221;width:984;height:2" coordorigin="4639,-2221" coordsize="984,2">
              <v:shape style="position:absolute;left:4639;top:-2221;width:984;height:2" coordorigin="4639,-2221" coordsize="984,0" path="m4639,-2221l5622,-2221e" filled="false" stroked="true" strokeweight=".75pt" strokecolor="#dcddde">
                <v:path arrowok="t"/>
              </v:shape>
            </v:group>
            <v:group style="position:absolute;left:4639;top:-2513;width:984;height:2" coordorigin="4639,-2513" coordsize="984,2">
              <v:shape style="position:absolute;left:4639;top:-2513;width:984;height:2" coordorigin="4639,-2513" coordsize="984,0" path="m4639,-2513l5622,-2513e" filled="false" stroked="true" strokeweight=".75pt" strokecolor="#dcddde">
                <v:path arrowok="t"/>
              </v:shape>
            </v:group>
            <v:group style="position:absolute;left:4639;top:-2804;width:984;height:2" coordorigin="4639,-2804" coordsize="984,2">
              <v:shape style="position:absolute;left:4639;top:-2804;width:984;height:2" coordorigin="4639,-2804" coordsize="984,0" path="m4639,-2804l5622,-2804e" filled="false" stroked="true" strokeweight=".75pt" strokecolor="#dcddde">
                <v:path arrowok="t"/>
              </v:shape>
            </v:group>
            <v:group style="position:absolute;left:4639;top:-3097;width:984;height:2" coordorigin="4639,-3097" coordsize="984,2">
              <v:shape style="position:absolute;left:4639;top:-3097;width:984;height:2" coordorigin="4639,-3097" coordsize="984,0" path="m4639,-3097l5622,-3097e" filled="false" stroked="true" strokeweight=".75pt" strokecolor="#dcddde">
                <v:path arrowok="t"/>
              </v:shape>
            </v:group>
            <v:group style="position:absolute;left:4639;top:-3387;width:984;height:2" coordorigin="4639,-3387" coordsize="984,2">
              <v:shape style="position:absolute;left:4639;top:-3387;width:984;height:2" coordorigin="4639,-3387" coordsize="984,0" path="m4639,-3387l5622,-3387e" filled="false" stroked="true" strokeweight=".75pt" strokecolor="#dcddde">
                <v:path arrowok="t"/>
              </v:shape>
            </v:group>
            <v:group style="position:absolute;left:2745;top:-3387;width:1594;height:2" coordorigin="2745,-3387" coordsize="1594,2">
              <v:shape style="position:absolute;left:2745;top:-3387;width:1594;height:2" coordorigin="2745,-3387" coordsize="1594,0" path="m2745,-3387l4339,-3387e" filled="false" stroked="true" strokeweight=".75pt" strokecolor="#dcddde">
                <v:path arrowok="t"/>
              </v:shape>
            </v:group>
            <v:group style="position:absolute;left:4339;top:-3562;width:300;height:1924" coordorigin="4339,-3562" coordsize="300,1924">
              <v:shape style="position:absolute;left:4339;top:-3562;width:300;height:1924" coordorigin="4339,-3562" coordsize="300,1924" path="m4339,-3562l4639,-3562,4639,-1639,4339,-1639,4339,-3562xe" filled="true" fillcolor="#6a5185" stroked="false">
                <v:path arrowok="t"/>
                <v:fill type="solid"/>
              </v:shape>
            </v:group>
            <v:group style="position:absolute;left:2745;top:-3680;width:2878;height:2" coordorigin="2745,-3680" coordsize="2878,2">
              <v:shape style="position:absolute;left:2745;top:-3680;width:2878;height:2" coordorigin="2745,-3680" coordsize="2878,0" path="m2745,-3680l5622,-3680e" filled="false" stroked="true" strokeweight=".75pt" strokecolor="#dcddde">
                <v:path arrowok="t"/>
              </v:shape>
            </v:group>
            <v:group style="position:absolute;left:4941;top:-3659;width:300;height:2" coordorigin="4941,-3659" coordsize="300,2">
              <v:shape style="position:absolute;left:4941;top:-3659;width:300;height:2" coordorigin="4941,-3659" coordsize="300,0" path="m4941,-3659l5241,-3659e" filled="false" stroked="true" strokeweight="3.74pt" strokecolor="#a8aaac">
                <v:path arrowok="t"/>
              </v:shape>
            </v:group>
            <v:group style="position:absolute;left:2745;top:-3970;width:2878;height:2" coordorigin="2745,-3970" coordsize="2878,2">
              <v:shape style="position:absolute;left:2745;top:-3970;width:2878;height:2" coordorigin="2745,-3970" coordsize="2878,0" path="m2745,-3970l5622,-3970e" filled="false" stroked="true" strokeweight=".75pt" strokecolor="#dcddde">
                <v:path arrowok="t"/>
              </v:shape>
            </v:group>
            <v:group style="position:absolute;left:5877;top:-4263;width:2935;height:2" coordorigin="5877,-4263" coordsize="2935,2">
              <v:shape style="position:absolute;left:5877;top:-4263;width:2935;height:2" coordorigin="5877,-4263" coordsize="2935,0" path="m5877,-4263l8812,-4263e" filled="false" stroked="true" strokeweight=".75pt" strokecolor="#dcddde">
                <v:path arrowok="t"/>
              </v:shape>
            </v:group>
            <v:group style="position:absolute;left:8049;top:-4299;width:300;height:2" coordorigin="8049,-4299" coordsize="300,2">
              <v:shape style="position:absolute;left:8049;top:-4299;width:300;height:2" coordorigin="8049,-4299" coordsize="300,0" path="m8049,-4299l8349,-4299e" filled="false" stroked="true" strokeweight="3.7pt" strokecolor="#a8aaac">
                <v:path arrowok="t"/>
              </v:shape>
            </v:group>
            <v:group style="position:absolute;left:2745;top:-4263;width:2878;height:2" coordorigin="2745,-4263" coordsize="2878,2">
              <v:shape style="position:absolute;left:2745;top:-4263;width:2878;height:2" coordorigin="2745,-4263" coordsize="2878,0" path="m2745,-4263l5622,-4263e" filled="false" stroked="true" strokeweight=".75pt" strokecolor="#dcddde">
                <v:path arrowok="t"/>
              </v:shape>
            </v:group>
            <v:group style="position:absolute;left:5877;top:-4554;width:2935;height:2" coordorigin="5877,-4554" coordsize="2935,2">
              <v:shape style="position:absolute;left:5877;top:-4554;width:2935;height:2" coordorigin="5877,-4554" coordsize="2935,0" path="m5877,-4554l8812,-4554e" filled="false" stroked="true" strokeweight=".75pt" strokecolor="#dcddde">
                <v:path arrowok="t"/>
              </v:shape>
            </v:group>
            <v:group style="position:absolute;left:2745;top:-4554;width:2878;height:2" coordorigin="2745,-4554" coordsize="2878,2">
              <v:shape style="position:absolute;left:2745;top:-4554;width:2878;height:2" coordorigin="2745,-4554" coordsize="2878,0" path="m2745,-4554l5622,-4554e" filled="false" stroked="true" strokeweight=".75pt" strokecolor="#dcddde">
                <v:path arrowok="t"/>
              </v:shape>
            </v:group>
            <v:group style="position:absolute;left:4312;top:-1063;width:96;height:96" coordorigin="4312,-1063" coordsize="96,96">
              <v:shape style="position:absolute;left:4312;top:-1063;width:96;height:96" coordorigin="4312,-1063" coordsize="96,96" path="m4312,-967l4408,-967,4408,-1063,4312,-1063,4312,-967xe" filled="true" fillcolor="#6a5185" stroked="false">
                <v:path arrowok="t"/>
                <v:fill type="solid"/>
              </v:shape>
            </v:group>
            <v:group style="position:absolute;left:5451;top:-1063;width:96;height:96" coordorigin="5451,-1063" coordsize="96,96">
              <v:shape style="position:absolute;left:5451;top:-1063;width:96;height:96" coordorigin="5451,-1063" coordsize="96,96" path="m5451,-967l5547,-967,5547,-1063,5451,-1063,5451,-967xe" filled="true" fillcolor="#bab0c9" stroked="false">
                <v:path arrowok="t"/>
                <v:fill type="solid"/>
              </v:shape>
            </v:group>
            <v:group style="position:absolute;left:6958;top:-1063;width:96;height:96" coordorigin="6958,-1063" coordsize="96,96">
              <v:shape style="position:absolute;left:6958;top:-1063;width:96;height:96" coordorigin="6958,-1063" coordsize="96,96" path="m6958,-967l7054,-967,7054,-1063,6958,-1063,6958,-967xe" filled="true" fillcolor="#a8aaac" stroked="false">
                <v:path arrowok="t"/>
                <v:fill type="solid"/>
              </v:shape>
            </v:group>
            <v:group style="position:absolute;left:1517;top:-5283;width:8588;height:4746" coordorigin="1517,-5283" coordsize="8588,4746">
              <v:shape style="position:absolute;left:1517;top:-5283;width:8588;height:4746" coordorigin="1517,-5283" coordsize="8588,4746" path="m1517,-537l10105,-537,10105,-5283,1517,-5283,1517,-537xe" filled="false" stroked="true" strokeweight="10pt" strokecolor="#c1b5a9">
                <v:path arrowok="t"/>
              </v:shape>
              <v:shape style="position:absolute;left:1417;top:-5383;width:8788;height:4946" type="#_x0000_t202" filled="false" stroked="false">
                <v:textbox inset="0,0,0,0">
                  <w:txbxContent>
                    <w:p>
                      <w:pPr>
                        <w:spacing w:line="240" w:lineRule="auto" w:before="4"/>
                        <w:rPr>
                          <w:rFonts w:ascii="Segoe UI" w:hAnsi="Segoe UI" w:cs="Segoe UI" w:eastAsia="Segoe UI"/>
                          <w:sz w:val="16"/>
                          <w:szCs w:val="16"/>
                        </w:rPr>
                      </w:pPr>
                    </w:p>
                    <w:p>
                      <w:pPr>
                        <w:spacing w:before="0"/>
                        <w:ind w:left="286" w:right="0" w:firstLine="0"/>
                        <w:jc w:val="left"/>
                        <w:rPr>
                          <w:rFonts w:ascii="Segoe UI Semibold" w:hAnsi="Segoe UI Semibold" w:cs="Segoe UI Semibold" w:eastAsia="Segoe UI Semibold"/>
                          <w:sz w:val="9"/>
                          <w:szCs w:val="9"/>
                        </w:rPr>
                      </w:pPr>
                      <w:r>
                        <w:rPr>
                          <w:rFonts w:ascii="Segoe UI Semibold" w:hAnsi="Segoe UI Semibold" w:cs="Segoe UI Semibold" w:eastAsia="Segoe UI Semibold"/>
                          <w:b/>
                          <w:bCs/>
                          <w:color w:val="666155"/>
                          <w:spacing w:val="4"/>
                          <w:sz w:val="16"/>
                          <w:szCs w:val="16"/>
                        </w:rPr>
                        <w:t>GRAPH</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z w:val="16"/>
                          <w:szCs w:val="16"/>
                        </w:rPr>
                        <w:t>5:</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YEAR</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z w:val="16"/>
                          <w:szCs w:val="16"/>
                        </w:rPr>
                        <w:t>12</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2"/>
                          <w:sz w:val="16"/>
                          <w:szCs w:val="16"/>
                        </w:rPr>
                        <w:t>OR </w:t>
                      </w:r>
                      <w:r>
                        <w:rPr>
                          <w:rFonts w:ascii="Segoe UI Semibold" w:hAnsi="Segoe UI Semibold" w:cs="Segoe UI Semibold" w:eastAsia="Segoe UI Semibold"/>
                          <w:b/>
                          <w:bCs/>
                          <w:color w:val="666155"/>
                          <w:spacing w:val="3"/>
                          <w:sz w:val="16"/>
                          <w:szCs w:val="16"/>
                        </w:rPr>
                        <w:t>EQUIVALENT</w:t>
                      </w:r>
                      <w:r>
                        <w:rPr>
                          <w:rFonts w:ascii="Segoe UI Semibold" w:hAnsi="Segoe UI Semibold" w:cs="Segoe UI Semibold" w:eastAsia="Segoe UI Semibold"/>
                          <w:b/>
                          <w:bCs/>
                          <w:color w:val="666155"/>
                          <w:spacing w:val="2"/>
                          <w:sz w:val="16"/>
                          <w:szCs w:val="16"/>
                        </w:rPr>
                        <w:t> ATTAINMENT</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spacing w:val="1"/>
                          <w:sz w:val="16"/>
                          <w:szCs w:val="16"/>
                        </w:rPr>
                        <w:t>RATE,</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1"/>
                          <w:sz w:val="16"/>
                          <w:szCs w:val="16"/>
                        </w:rPr>
                        <w:t>20</w:t>
                      </w:r>
                      <w:r>
                        <w:rPr>
                          <w:rFonts w:ascii="Segoe UI Semibold" w:hAnsi="Segoe UI Semibold" w:cs="Segoe UI Semibold" w:eastAsia="Segoe UI Semibold"/>
                          <w:b/>
                          <w:bCs/>
                          <w:color w:val="666155"/>
                          <w:spacing w:val="-1"/>
                          <w:position w:val="1"/>
                          <w:sz w:val="16"/>
                          <w:szCs w:val="16"/>
                        </w:rPr>
                        <w:t>–</w:t>
                      </w:r>
                      <w:r>
                        <w:rPr>
                          <w:rFonts w:ascii="Segoe UI Semibold" w:hAnsi="Segoe UI Semibold" w:cs="Segoe UI Semibold" w:eastAsia="Segoe UI Semibold"/>
                          <w:b/>
                          <w:bCs/>
                          <w:color w:val="666155"/>
                          <w:spacing w:val="-1"/>
                          <w:sz w:val="16"/>
                          <w:szCs w:val="16"/>
                        </w:rPr>
                        <w:t>24 </w:t>
                      </w:r>
                      <w:r>
                        <w:rPr>
                          <w:rFonts w:ascii="Segoe UI Semibold" w:hAnsi="Segoe UI Semibold" w:cs="Segoe UI Semibold" w:eastAsia="Segoe UI Semibold"/>
                          <w:b/>
                          <w:bCs/>
                          <w:color w:val="666155"/>
                          <w:spacing w:val="3"/>
                          <w:sz w:val="16"/>
                          <w:szCs w:val="16"/>
                        </w:rPr>
                        <w:t>YEAR</w:t>
                      </w:r>
                      <w:r>
                        <w:rPr>
                          <w:rFonts w:ascii="Segoe UI Semibold" w:hAnsi="Segoe UI Semibold" w:cs="Segoe UI Semibold" w:eastAsia="Segoe UI Semibold"/>
                          <w:b/>
                          <w:bCs/>
                          <w:color w:val="666155"/>
                          <w:spacing w:val="3"/>
                          <w:position w:val="1"/>
                          <w:sz w:val="16"/>
                          <w:szCs w:val="16"/>
                        </w:rPr>
                        <w:t>-</w:t>
                      </w:r>
                      <w:r>
                        <w:rPr>
                          <w:rFonts w:ascii="Segoe UI Semibold" w:hAnsi="Segoe UI Semibold" w:cs="Segoe UI Semibold" w:eastAsia="Segoe UI Semibold"/>
                          <w:b/>
                          <w:bCs/>
                          <w:color w:val="666155"/>
                          <w:spacing w:val="3"/>
                          <w:sz w:val="16"/>
                          <w:szCs w:val="16"/>
                        </w:rPr>
                        <w:t>OLDS</w:t>
                      </w:r>
                      <w:r>
                        <w:rPr>
                          <w:rFonts w:ascii="Segoe UI Semibold" w:hAnsi="Segoe UI Semibold" w:cs="Segoe UI Semibold" w:eastAsia="Segoe UI Semibold"/>
                          <w:b/>
                          <w:bCs/>
                          <w:color w:val="231F20"/>
                          <w:spacing w:val="2"/>
                          <w:position w:val="5"/>
                          <w:sz w:val="9"/>
                          <w:szCs w:val="9"/>
                        </w:rPr>
                        <w:t>35</w:t>
                      </w:r>
                      <w:r>
                        <w:rPr>
                          <w:rFonts w:ascii="Segoe UI Semibold" w:hAnsi="Segoe UI Semibold" w:cs="Segoe UI Semibold" w:eastAsia="Segoe UI Semibold"/>
                          <w:sz w:val="9"/>
                          <w:szCs w:val="9"/>
                        </w:rPr>
                      </w:r>
                    </w:p>
                    <w:p>
                      <w:pPr>
                        <w:spacing w:line="240" w:lineRule="auto" w:before="4"/>
                        <w:rPr>
                          <w:rFonts w:ascii="Segoe UI" w:hAnsi="Segoe UI" w:cs="Segoe UI" w:eastAsia="Segoe UI"/>
                          <w:sz w:val="20"/>
                          <w:szCs w:val="20"/>
                        </w:rPr>
                      </w:pPr>
                    </w:p>
                    <w:p>
                      <w:pPr>
                        <w:spacing w:before="0"/>
                        <w:ind w:left="0" w:right="6715" w:firstLine="0"/>
                        <w:jc w:val="center"/>
                        <w:rPr>
                          <w:rFonts w:ascii="Segoe UI" w:hAnsi="Segoe UI" w:cs="Segoe UI" w:eastAsia="Segoe UI"/>
                          <w:sz w:val="16"/>
                          <w:szCs w:val="16"/>
                        </w:rPr>
                      </w:pPr>
                      <w:r>
                        <w:rPr>
                          <w:rFonts w:ascii="Segoe UI"/>
                          <w:color w:val="77787B"/>
                          <w:spacing w:val="-1"/>
                          <w:sz w:val="16"/>
                        </w:rPr>
                        <w:t>100</w:t>
                      </w:r>
                      <w:r>
                        <w:rPr>
                          <w:rFonts w:ascii="Segoe UI"/>
                          <w:sz w:val="16"/>
                        </w:rPr>
                      </w:r>
                    </w:p>
                    <w:p>
                      <w:pPr>
                        <w:spacing w:before="78"/>
                        <w:ind w:left="991" w:right="0" w:firstLine="0"/>
                        <w:jc w:val="left"/>
                        <w:rPr>
                          <w:rFonts w:ascii="Segoe UI" w:hAnsi="Segoe UI" w:cs="Segoe UI" w:eastAsia="Segoe UI"/>
                          <w:sz w:val="16"/>
                          <w:szCs w:val="16"/>
                        </w:rPr>
                      </w:pPr>
                      <w:r>
                        <w:rPr>
                          <w:rFonts w:ascii="Segoe UI"/>
                          <w:color w:val="77787B"/>
                          <w:spacing w:val="-1"/>
                          <w:sz w:val="16"/>
                        </w:rPr>
                        <w:t>90</w:t>
                      </w:r>
                      <w:r>
                        <w:rPr>
                          <w:rFonts w:ascii="Segoe UI"/>
                          <w:sz w:val="16"/>
                        </w:rPr>
                      </w:r>
                    </w:p>
                    <w:p>
                      <w:pPr>
                        <w:spacing w:before="79"/>
                        <w:ind w:left="991" w:right="0" w:firstLine="0"/>
                        <w:jc w:val="left"/>
                        <w:rPr>
                          <w:rFonts w:ascii="Segoe UI" w:hAnsi="Segoe UI" w:cs="Segoe UI" w:eastAsia="Segoe UI"/>
                          <w:sz w:val="16"/>
                          <w:szCs w:val="16"/>
                        </w:rPr>
                      </w:pPr>
                      <w:r>
                        <w:rPr>
                          <w:rFonts w:ascii="Segoe UI"/>
                          <w:color w:val="77787B"/>
                          <w:spacing w:val="-1"/>
                          <w:sz w:val="16"/>
                        </w:rPr>
                        <w:t>80</w:t>
                      </w:r>
                      <w:r>
                        <w:rPr>
                          <w:rFonts w:ascii="Segoe UI"/>
                          <w:sz w:val="16"/>
                        </w:rPr>
                      </w:r>
                    </w:p>
                    <w:p>
                      <w:pPr>
                        <w:spacing w:before="78"/>
                        <w:ind w:left="991" w:right="0" w:firstLine="0"/>
                        <w:jc w:val="left"/>
                        <w:rPr>
                          <w:rFonts w:ascii="Segoe UI" w:hAnsi="Segoe UI" w:cs="Segoe UI" w:eastAsia="Segoe UI"/>
                          <w:sz w:val="16"/>
                          <w:szCs w:val="16"/>
                        </w:rPr>
                      </w:pPr>
                      <w:r>
                        <w:rPr>
                          <w:rFonts w:ascii="Segoe UI"/>
                          <w:color w:val="77787B"/>
                          <w:spacing w:val="-1"/>
                          <w:sz w:val="16"/>
                        </w:rPr>
                        <w:t>70</w:t>
                      </w:r>
                      <w:r>
                        <w:rPr>
                          <w:rFonts w:ascii="Segoe UI"/>
                          <w:sz w:val="16"/>
                        </w:rPr>
                      </w:r>
                    </w:p>
                    <w:p>
                      <w:pPr>
                        <w:spacing w:before="79"/>
                        <w:ind w:left="991" w:right="0" w:firstLine="0"/>
                        <w:jc w:val="left"/>
                        <w:rPr>
                          <w:rFonts w:ascii="Segoe UI" w:hAnsi="Segoe UI" w:cs="Segoe UI" w:eastAsia="Segoe UI"/>
                          <w:sz w:val="16"/>
                          <w:szCs w:val="16"/>
                        </w:rPr>
                      </w:pPr>
                      <w:r>
                        <w:rPr>
                          <w:rFonts w:ascii="Segoe UI"/>
                          <w:color w:val="77787B"/>
                          <w:spacing w:val="-1"/>
                          <w:sz w:val="16"/>
                        </w:rPr>
                        <w:t>60</w:t>
                      </w:r>
                      <w:r>
                        <w:rPr>
                          <w:rFonts w:ascii="Segoe UI"/>
                          <w:sz w:val="16"/>
                        </w:rPr>
                      </w:r>
                    </w:p>
                    <w:p>
                      <w:pPr>
                        <w:spacing w:before="78"/>
                        <w:ind w:left="991" w:right="0" w:firstLine="0"/>
                        <w:jc w:val="left"/>
                        <w:rPr>
                          <w:rFonts w:ascii="Segoe UI" w:hAnsi="Segoe UI" w:cs="Segoe UI" w:eastAsia="Segoe UI"/>
                          <w:sz w:val="16"/>
                          <w:szCs w:val="16"/>
                        </w:rPr>
                      </w:pPr>
                      <w:r>
                        <w:rPr>
                          <w:rFonts w:ascii="Segoe UI"/>
                          <w:color w:val="77787B"/>
                          <w:spacing w:val="-1"/>
                          <w:sz w:val="16"/>
                        </w:rPr>
                        <w:t>50</w:t>
                      </w:r>
                      <w:r>
                        <w:rPr>
                          <w:rFonts w:ascii="Segoe UI"/>
                          <w:sz w:val="16"/>
                        </w:rPr>
                      </w:r>
                    </w:p>
                    <w:p>
                      <w:pPr>
                        <w:spacing w:before="78"/>
                        <w:ind w:left="991" w:right="0" w:firstLine="0"/>
                        <w:jc w:val="left"/>
                        <w:rPr>
                          <w:rFonts w:ascii="Segoe UI" w:hAnsi="Segoe UI" w:cs="Segoe UI" w:eastAsia="Segoe UI"/>
                          <w:sz w:val="16"/>
                          <w:szCs w:val="16"/>
                        </w:rPr>
                      </w:pPr>
                      <w:r>
                        <w:rPr>
                          <w:rFonts w:ascii="Segoe UI"/>
                          <w:color w:val="77787B"/>
                          <w:spacing w:val="-1"/>
                          <w:sz w:val="16"/>
                        </w:rPr>
                        <w:t>40</w:t>
                      </w:r>
                      <w:r>
                        <w:rPr>
                          <w:rFonts w:ascii="Segoe UI"/>
                          <w:sz w:val="16"/>
                        </w:rPr>
                      </w:r>
                    </w:p>
                    <w:p>
                      <w:pPr>
                        <w:spacing w:before="79"/>
                        <w:ind w:left="991" w:right="0" w:firstLine="0"/>
                        <w:jc w:val="left"/>
                        <w:rPr>
                          <w:rFonts w:ascii="Segoe UI" w:hAnsi="Segoe UI" w:cs="Segoe UI" w:eastAsia="Segoe UI"/>
                          <w:sz w:val="16"/>
                          <w:szCs w:val="16"/>
                        </w:rPr>
                      </w:pPr>
                      <w:r>
                        <w:rPr>
                          <w:rFonts w:ascii="Segoe UI"/>
                          <w:color w:val="77787B"/>
                          <w:spacing w:val="-1"/>
                          <w:sz w:val="16"/>
                        </w:rPr>
                        <w:t>30</w:t>
                      </w:r>
                      <w:r>
                        <w:rPr>
                          <w:rFonts w:ascii="Segoe UI"/>
                          <w:sz w:val="16"/>
                        </w:rPr>
                      </w:r>
                    </w:p>
                    <w:p>
                      <w:pPr>
                        <w:spacing w:before="78"/>
                        <w:ind w:left="991" w:right="0" w:firstLine="0"/>
                        <w:jc w:val="left"/>
                        <w:rPr>
                          <w:rFonts w:ascii="Segoe UI" w:hAnsi="Segoe UI" w:cs="Segoe UI" w:eastAsia="Segoe UI"/>
                          <w:sz w:val="16"/>
                          <w:szCs w:val="16"/>
                        </w:rPr>
                      </w:pPr>
                      <w:r>
                        <w:rPr>
                          <w:rFonts w:ascii="Segoe UI"/>
                          <w:color w:val="77787B"/>
                          <w:spacing w:val="-1"/>
                          <w:sz w:val="16"/>
                        </w:rPr>
                        <w:t>20</w:t>
                      </w:r>
                      <w:r>
                        <w:rPr>
                          <w:rFonts w:ascii="Segoe UI"/>
                          <w:sz w:val="16"/>
                        </w:rPr>
                      </w:r>
                    </w:p>
                    <w:p>
                      <w:pPr>
                        <w:spacing w:before="79"/>
                        <w:ind w:left="991" w:right="0" w:firstLine="0"/>
                        <w:jc w:val="left"/>
                        <w:rPr>
                          <w:rFonts w:ascii="Segoe UI" w:hAnsi="Segoe UI" w:cs="Segoe UI" w:eastAsia="Segoe UI"/>
                          <w:sz w:val="16"/>
                          <w:szCs w:val="16"/>
                        </w:rPr>
                      </w:pPr>
                      <w:r>
                        <w:rPr>
                          <w:rFonts w:ascii="Segoe UI"/>
                          <w:color w:val="77787B"/>
                          <w:spacing w:val="-1"/>
                          <w:sz w:val="16"/>
                        </w:rPr>
                        <w:t>10</w:t>
                      </w:r>
                      <w:r>
                        <w:rPr>
                          <w:rFonts w:ascii="Segoe UI"/>
                          <w:sz w:val="16"/>
                        </w:rPr>
                      </w:r>
                    </w:p>
                    <w:p>
                      <w:pPr>
                        <w:spacing w:before="78"/>
                        <w:ind w:left="0" w:right="6543" w:firstLine="0"/>
                        <w:jc w:val="center"/>
                        <w:rPr>
                          <w:rFonts w:ascii="Segoe UI" w:hAnsi="Segoe UI" w:cs="Segoe UI" w:eastAsia="Segoe UI"/>
                          <w:sz w:val="16"/>
                          <w:szCs w:val="16"/>
                        </w:rPr>
                      </w:pPr>
                      <w:r>
                        <w:rPr>
                          <w:rFonts w:ascii="Segoe UI"/>
                          <w:color w:val="77787B"/>
                          <w:sz w:val="16"/>
                        </w:rPr>
                        <w:t>0</w:t>
                      </w:r>
                      <w:r>
                        <w:rPr>
                          <w:rFonts w:ascii="Segoe UI"/>
                          <w:sz w:val="16"/>
                        </w:rPr>
                      </w:r>
                    </w:p>
                    <w:p>
                      <w:pPr>
                        <w:tabs>
                          <w:tab w:pos="2288" w:val="left" w:leader="none"/>
                          <w:tab w:pos="2901" w:val="left" w:leader="none"/>
                          <w:tab w:pos="3514" w:val="left" w:leader="none"/>
                          <w:tab w:pos="4780" w:val="left" w:leader="none"/>
                          <w:tab w:pos="5397" w:val="left" w:leader="none"/>
                          <w:tab w:pos="6014" w:val="left" w:leader="none"/>
                          <w:tab w:pos="6631" w:val="left" w:leader="none"/>
                        </w:tabs>
                        <w:spacing w:before="22"/>
                        <w:ind w:left="1675" w:right="0" w:firstLine="0"/>
                        <w:jc w:val="left"/>
                        <w:rPr>
                          <w:rFonts w:ascii="Segoe UI" w:hAnsi="Segoe UI" w:cs="Segoe UI" w:eastAsia="Segoe UI"/>
                          <w:sz w:val="16"/>
                          <w:szCs w:val="16"/>
                        </w:rPr>
                      </w:pPr>
                      <w:r>
                        <w:rPr>
                          <w:rFonts w:ascii="Segoe UI"/>
                          <w:color w:val="77787B"/>
                          <w:spacing w:val="-1"/>
                          <w:sz w:val="16"/>
                        </w:rPr>
                        <w:t>2006</w:t>
                        <w:tab/>
                        <w:t>2011</w:t>
                        <w:tab/>
                        <w:t>2016</w:t>
                        <w:tab/>
                        <w:t>2020</w:t>
                        <w:tab/>
                        <w:t>2006</w:t>
                        <w:tab/>
                        <w:t>2011</w:t>
                        <w:tab/>
                        <w:t>2016</w:t>
                        <w:tab/>
                        <w:t>2020</w:t>
                      </w:r>
                      <w:r>
                        <w:rPr>
                          <w:rFonts w:ascii="Segoe UI"/>
                          <w:sz w:val="16"/>
                        </w:rPr>
                      </w:r>
                    </w:p>
                    <w:p>
                      <w:pPr>
                        <w:spacing w:line="240" w:lineRule="auto" w:before="3"/>
                        <w:rPr>
                          <w:rFonts w:ascii="Segoe UI" w:hAnsi="Segoe UI" w:cs="Segoe UI" w:eastAsia="Segoe UI"/>
                          <w:sz w:val="13"/>
                          <w:szCs w:val="13"/>
                        </w:rPr>
                      </w:pPr>
                    </w:p>
                    <w:p>
                      <w:pPr>
                        <w:tabs>
                          <w:tab w:pos="4170" w:val="left" w:leader="none"/>
                          <w:tab w:pos="5677" w:val="left" w:leader="none"/>
                        </w:tabs>
                        <w:spacing w:before="0"/>
                        <w:ind w:left="3031" w:right="0" w:firstLine="0"/>
                        <w:jc w:val="left"/>
                        <w:rPr>
                          <w:rFonts w:ascii="Segoe UI" w:hAnsi="Segoe UI" w:cs="Segoe UI" w:eastAsia="Segoe UI"/>
                          <w:sz w:val="16"/>
                          <w:szCs w:val="16"/>
                        </w:rPr>
                      </w:pPr>
                      <w:r>
                        <w:rPr>
                          <w:rFonts w:ascii="Segoe UI"/>
                          <w:color w:val="77787B"/>
                          <w:sz w:val="16"/>
                        </w:rPr>
                        <w:t>Indigenous</w:t>
                        <w:tab/>
                      </w:r>
                      <w:r>
                        <w:rPr>
                          <w:rFonts w:ascii="Segoe UI"/>
                          <w:color w:val="77787B"/>
                          <w:spacing w:val="-1"/>
                          <w:sz w:val="16"/>
                        </w:rPr>
                        <w:t>Non-Indigenous</w:t>
                        <w:tab/>
                        <w:t>Trajectory</w:t>
                      </w:r>
                      <w:r>
                        <w:rPr>
                          <w:rFonts w:ascii="Segoe UI"/>
                          <w:sz w:val="16"/>
                        </w:rPr>
                      </w:r>
                    </w:p>
                  </w:txbxContent>
                </v:textbox>
                <w10:wrap type="none"/>
              </v:shape>
            </v:group>
            <w10:wrap type="none"/>
          </v:group>
        </w:pict>
      </w:r>
      <w:r>
        <w:rPr>
          <w:color w:val="231F20"/>
        </w:rPr>
        <w:t>Many</w:t>
      </w:r>
      <w:r>
        <w:rPr>
          <w:color w:val="231F20"/>
          <w:spacing w:val="-6"/>
        </w:rPr>
        <w:t> </w:t>
      </w:r>
      <w:r>
        <w:rPr>
          <w:color w:val="231F20"/>
        </w:rPr>
        <w:t>Aboriginal</w:t>
      </w:r>
      <w:r>
        <w:rPr>
          <w:color w:val="231F20"/>
          <w:spacing w:val="-6"/>
        </w:rPr>
        <w:t> </w:t>
      </w:r>
      <w:r>
        <w:rPr>
          <w:color w:val="231F20"/>
        </w:rPr>
        <w:t>and</w:t>
      </w:r>
      <w:r>
        <w:rPr>
          <w:color w:val="231F20"/>
          <w:spacing w:val="-6"/>
        </w:rPr>
        <w:t> </w:t>
      </w:r>
      <w:r>
        <w:rPr>
          <w:color w:val="231F20"/>
          <w:spacing w:val="-5"/>
        </w:rPr>
        <w:t>Torres </w:t>
      </w:r>
      <w:r>
        <w:rPr>
          <w:color w:val="231F20"/>
          <w:spacing w:val="-2"/>
        </w:rPr>
        <w:t>Strait</w:t>
      </w:r>
      <w:r>
        <w:rPr>
          <w:color w:val="231F20"/>
          <w:spacing w:val="-7"/>
        </w:rPr>
        <w:t> </w:t>
      </w:r>
      <w:r>
        <w:rPr>
          <w:color w:val="231F20"/>
          <w:spacing w:val="-1"/>
        </w:rPr>
        <w:t>Islander</w:t>
      </w:r>
      <w:r>
        <w:rPr>
          <w:color w:val="231F20"/>
          <w:spacing w:val="29"/>
          <w:w w:val="99"/>
        </w:rPr>
        <w:t> </w:t>
      </w:r>
      <w:r>
        <w:rPr>
          <w:color w:val="231F20"/>
          <w:spacing w:val="-1"/>
        </w:rPr>
        <w:t>students</w:t>
      </w:r>
      <w:r>
        <w:rPr>
          <w:color w:val="231F20"/>
          <w:spacing w:val="-6"/>
        </w:rPr>
        <w:t> </w:t>
      </w:r>
      <w:r>
        <w:rPr>
          <w:color w:val="231F20"/>
        </w:rPr>
        <w:t>from</w:t>
      </w:r>
      <w:r>
        <w:rPr>
          <w:color w:val="231F20"/>
          <w:spacing w:val="-5"/>
        </w:rPr>
        <w:t> </w:t>
      </w:r>
      <w:r>
        <w:rPr>
          <w:color w:val="231F20"/>
        </w:rPr>
        <w:t>remote</w:t>
      </w:r>
      <w:r>
        <w:rPr>
          <w:color w:val="231F20"/>
          <w:spacing w:val="-6"/>
        </w:rPr>
        <w:t> </w:t>
      </w:r>
      <w:r>
        <w:rPr>
          <w:color w:val="231F20"/>
        </w:rPr>
        <w:t>Australia</w:t>
      </w:r>
      <w:r>
        <w:rPr>
          <w:color w:val="231F20"/>
          <w:spacing w:val="-6"/>
        </w:rPr>
        <w:t> </w:t>
      </w:r>
      <w:r>
        <w:rPr>
          <w:color w:val="231F20"/>
        </w:rPr>
        <w:t>access</w:t>
      </w:r>
      <w:r>
        <w:rPr>
          <w:color w:val="231F20"/>
          <w:spacing w:val="-6"/>
        </w:rPr>
        <w:t> </w:t>
      </w:r>
      <w:r>
        <w:rPr>
          <w:color w:val="231F20"/>
        </w:rPr>
        <w:t>boarding</w:t>
      </w:r>
      <w:r>
        <w:rPr>
          <w:color w:val="231F20"/>
          <w:spacing w:val="22"/>
          <w:w w:val="99"/>
        </w:rPr>
        <w:t> </w:t>
      </w:r>
      <w:r>
        <w:rPr>
          <w:color w:val="231F20"/>
        </w:rPr>
        <w:t>providers</w:t>
      </w:r>
      <w:r>
        <w:rPr>
          <w:color w:val="231F20"/>
          <w:spacing w:val="-5"/>
        </w:rPr>
        <w:t> </w:t>
      </w:r>
      <w:r>
        <w:rPr>
          <w:color w:val="231F20"/>
        </w:rPr>
        <w:t>and</w:t>
      </w:r>
      <w:r>
        <w:rPr>
          <w:color w:val="231F20"/>
          <w:spacing w:val="-5"/>
        </w:rPr>
        <w:t> </w:t>
      </w:r>
      <w:r>
        <w:rPr>
          <w:color w:val="231F20"/>
          <w:spacing w:val="-1"/>
        </w:rPr>
        <w:t>schools</w:t>
      </w:r>
      <w:r>
        <w:rPr>
          <w:color w:val="231F20"/>
          <w:spacing w:val="-5"/>
        </w:rPr>
        <w:t> </w:t>
      </w:r>
      <w:r>
        <w:rPr>
          <w:color w:val="231F20"/>
        </w:rPr>
        <w:t>that</w:t>
      </w:r>
      <w:r>
        <w:rPr>
          <w:color w:val="231F20"/>
          <w:spacing w:val="-5"/>
        </w:rPr>
        <w:t> </w:t>
      </w:r>
      <w:r>
        <w:rPr>
          <w:color w:val="231F20"/>
        </w:rPr>
        <w:t>charge</w:t>
      </w:r>
      <w:r>
        <w:rPr>
          <w:color w:val="231F20"/>
          <w:spacing w:val="-4"/>
        </w:rPr>
        <w:t> </w:t>
      </w:r>
      <w:r>
        <w:rPr>
          <w:color w:val="231F20"/>
          <w:spacing w:val="-1"/>
        </w:rPr>
        <w:t>low</w:t>
      </w:r>
      <w:r>
        <w:rPr>
          <w:color w:val="231F20"/>
          <w:spacing w:val="-4"/>
        </w:rPr>
        <w:t> </w:t>
      </w:r>
      <w:r>
        <w:rPr>
          <w:color w:val="231F20"/>
        </w:rPr>
        <w:t>fees</w:t>
      </w:r>
      <w:r>
        <w:rPr/>
      </w:r>
    </w:p>
    <w:p>
      <w:pPr>
        <w:pStyle w:val="BodyText"/>
        <w:spacing w:line="250" w:lineRule="exact"/>
        <w:ind w:right="0"/>
        <w:jc w:val="left"/>
      </w:pPr>
      <w:r>
        <w:rPr>
          <w:color w:val="231F20"/>
        </w:rPr>
        <w:t>or</w:t>
      </w:r>
      <w:r>
        <w:rPr>
          <w:color w:val="231F20"/>
          <w:spacing w:val="-5"/>
        </w:rPr>
        <w:t> </w:t>
      </w:r>
      <w:r>
        <w:rPr>
          <w:color w:val="231F20"/>
        </w:rPr>
        <w:t>no</w:t>
      </w:r>
      <w:r>
        <w:rPr>
          <w:color w:val="231F20"/>
          <w:spacing w:val="-4"/>
        </w:rPr>
        <w:t> </w:t>
      </w:r>
      <w:r>
        <w:rPr>
          <w:color w:val="231F20"/>
        </w:rPr>
        <w:t>additional</w:t>
      </w:r>
      <w:r>
        <w:rPr>
          <w:color w:val="231F20"/>
          <w:spacing w:val="-5"/>
        </w:rPr>
        <w:t> </w:t>
      </w:r>
      <w:r>
        <w:rPr>
          <w:color w:val="231F20"/>
        </w:rPr>
        <w:t>boarding</w:t>
      </w:r>
      <w:r>
        <w:rPr>
          <w:color w:val="231F20"/>
          <w:spacing w:val="-5"/>
        </w:rPr>
        <w:t> </w:t>
      </w:r>
      <w:r>
        <w:rPr>
          <w:color w:val="231F20"/>
        </w:rPr>
        <w:t>and</w:t>
      </w:r>
      <w:r>
        <w:rPr>
          <w:color w:val="231F20"/>
          <w:spacing w:val="-5"/>
        </w:rPr>
        <w:t> </w:t>
      </w:r>
      <w:r>
        <w:rPr>
          <w:color w:val="231F20"/>
          <w:spacing w:val="-1"/>
        </w:rPr>
        <w:t>school</w:t>
      </w:r>
      <w:r>
        <w:rPr>
          <w:color w:val="231F20"/>
          <w:spacing w:val="-4"/>
        </w:rPr>
        <w:t> </w:t>
      </w:r>
      <w:r>
        <w:rPr>
          <w:color w:val="231F20"/>
        </w:rPr>
        <w:t>fees</w:t>
      </w:r>
      <w:r>
        <w:rPr>
          <w:color w:val="231F20"/>
          <w:spacing w:val="21"/>
        </w:rPr>
        <w:t> </w:t>
      </w:r>
      <w:r>
        <w:rPr>
          <w:color w:val="231F20"/>
        </w:rPr>
        <w:t>beyond</w:t>
      </w:r>
      <w:r>
        <w:rPr>
          <w:color w:val="231F20"/>
          <w:spacing w:val="-3"/>
        </w:rPr>
        <w:t> </w:t>
      </w:r>
      <w:r>
        <w:rPr>
          <w:color w:val="231F20"/>
        </w:rPr>
        <w:t>a</w:t>
      </w:r>
      <w:r>
        <w:rPr>
          <w:color w:val="231F20"/>
          <w:spacing w:val="-2"/>
        </w:rPr>
        <w:t> </w:t>
      </w:r>
      <w:r>
        <w:rPr>
          <w:color w:val="231F20"/>
          <w:spacing w:val="-1"/>
        </w:rPr>
        <w:t>student’s </w:t>
      </w:r>
      <w:r>
        <w:rPr>
          <w:color w:val="231F20"/>
        </w:rPr>
        <w:t>ABSTUDY</w:t>
      </w:r>
      <w:r>
        <w:rPr>
          <w:color w:val="231F20"/>
          <w:spacing w:val="-3"/>
        </w:rPr>
        <w:t> </w:t>
      </w:r>
      <w:r>
        <w:rPr>
          <w:color w:val="231F20"/>
        </w:rPr>
        <w:t>entitlements.</w:t>
      </w:r>
      <w:r>
        <w:rPr>
          <w:color w:val="231F20"/>
          <w:spacing w:val="22"/>
        </w:rPr>
        <w:t> </w:t>
      </w:r>
      <w:r>
        <w:rPr>
          <w:rFonts w:ascii="Segoe UI" w:hAnsi="Segoe UI" w:cs="Segoe UI" w:eastAsia="Segoe UI"/>
          <w:color w:val="231F20"/>
        </w:rPr>
        <w:t>These boarding providers support a significant</w:t>
      </w:r>
      <w:r>
        <w:rPr>
          <w:rFonts w:ascii="Segoe UI" w:hAnsi="Segoe UI" w:cs="Segoe UI" w:eastAsia="Segoe UI"/>
          <w:color w:val="231F20"/>
        </w:rPr>
        <w:t> </w:t>
      </w:r>
      <w:r>
        <w:rPr>
          <w:color w:val="231F20"/>
        </w:rPr>
        <w:t>number</w:t>
      </w:r>
      <w:r>
        <w:rPr>
          <w:color w:val="231F20"/>
          <w:spacing w:val="-7"/>
        </w:rPr>
        <w:t> </w:t>
      </w:r>
      <w:r>
        <w:rPr>
          <w:color w:val="231F20"/>
        </w:rPr>
        <w:t>of</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 </w:t>
      </w:r>
      <w:r>
        <w:rPr>
          <w:color w:val="231F20"/>
          <w:spacing w:val="-2"/>
        </w:rPr>
        <w:t>Strait</w:t>
      </w:r>
      <w:r>
        <w:rPr>
          <w:color w:val="231F20"/>
          <w:spacing w:val="-7"/>
        </w:rPr>
        <w:t> </w:t>
      </w:r>
      <w:r>
        <w:rPr>
          <w:color w:val="231F20"/>
          <w:spacing w:val="-1"/>
        </w:rPr>
        <w:t>Islander</w:t>
      </w:r>
      <w:r>
        <w:rPr>
          <w:color w:val="231F20"/>
          <w:spacing w:val="29"/>
          <w:w w:val="99"/>
        </w:rPr>
        <w:t> </w:t>
      </w:r>
      <w:r>
        <w:rPr>
          <w:color w:val="231F20"/>
          <w:spacing w:val="-1"/>
        </w:rPr>
        <w:t>secondary</w:t>
      </w:r>
      <w:r>
        <w:rPr>
          <w:color w:val="231F20"/>
          <w:spacing w:val="-5"/>
        </w:rPr>
        <w:t> </w:t>
      </w:r>
      <w:r>
        <w:rPr>
          <w:color w:val="231F20"/>
          <w:spacing w:val="-1"/>
        </w:rPr>
        <w:t>students.</w:t>
      </w:r>
      <w:r>
        <w:rPr>
          <w:color w:val="231F20"/>
          <w:spacing w:val="-4"/>
        </w:rPr>
        <w:t> </w:t>
      </w:r>
      <w:r>
        <w:rPr>
          <w:color w:val="231F20"/>
        </w:rPr>
        <w:t>A</w:t>
      </w:r>
      <w:r>
        <w:rPr>
          <w:color w:val="231F20"/>
          <w:spacing w:val="-5"/>
        </w:rPr>
        <w:t> </w:t>
      </w:r>
      <w:r>
        <w:rPr>
          <w:color w:val="231F20"/>
        </w:rPr>
        <w:t>number</w:t>
      </w:r>
      <w:r>
        <w:rPr>
          <w:color w:val="231F20"/>
          <w:spacing w:val="-6"/>
        </w:rPr>
        <w:t> </w:t>
      </w:r>
      <w:r>
        <w:rPr>
          <w:color w:val="231F20"/>
        </w:rPr>
        <w:t>of</w:t>
      </w:r>
      <w:r>
        <w:rPr>
          <w:color w:val="231F20"/>
          <w:spacing w:val="-5"/>
        </w:rPr>
        <w:t> </w:t>
      </w:r>
      <w:r>
        <w:rPr>
          <w:color w:val="231F20"/>
          <w:spacing w:val="-1"/>
        </w:rPr>
        <w:t>scholarship</w:t>
      </w:r>
      <w:r>
        <w:rPr>
          <w:color w:val="231F20"/>
          <w:spacing w:val="22"/>
        </w:rPr>
        <w:t> </w:t>
      </w:r>
      <w:r>
        <w:rPr>
          <w:color w:val="231F20"/>
        </w:rPr>
        <w:t>programs</w:t>
      </w:r>
      <w:r>
        <w:rPr>
          <w:color w:val="231F20"/>
          <w:spacing w:val="-7"/>
        </w:rPr>
        <w:t> </w:t>
      </w:r>
      <w:r>
        <w:rPr>
          <w:color w:val="231F20"/>
        </w:rPr>
        <w:t>also</w:t>
      </w:r>
      <w:r>
        <w:rPr>
          <w:color w:val="231F20"/>
          <w:spacing w:val="-6"/>
        </w:rPr>
        <w:t> </w:t>
      </w:r>
      <w:r>
        <w:rPr>
          <w:color w:val="231F20"/>
          <w:spacing w:val="-1"/>
        </w:rPr>
        <w:t>support</w:t>
      </w:r>
      <w:r>
        <w:rPr>
          <w:color w:val="231F20"/>
          <w:spacing w:val="-6"/>
        </w:rPr>
        <w:t> </w:t>
      </w:r>
      <w:r>
        <w:rPr>
          <w:color w:val="231F20"/>
        </w:rPr>
        <w:t>Aboriginal</w:t>
      </w:r>
      <w:r>
        <w:rPr>
          <w:color w:val="231F20"/>
          <w:spacing w:val="-5"/>
        </w:rPr>
        <w:t> </w:t>
      </w:r>
      <w:r>
        <w:rPr>
          <w:color w:val="231F20"/>
        </w:rPr>
        <w:t>and</w:t>
      </w:r>
      <w:r>
        <w:rPr>
          <w:color w:val="231F20"/>
          <w:spacing w:val="-7"/>
        </w:rPr>
        <w:t> </w:t>
      </w:r>
      <w:r>
        <w:rPr>
          <w:color w:val="231F20"/>
          <w:spacing w:val="-5"/>
        </w:rPr>
        <w:t>Torres</w:t>
      </w:r>
      <w:r>
        <w:rPr>
          <w:color w:val="231F20"/>
          <w:spacing w:val="26"/>
          <w:w w:val="99"/>
        </w:rPr>
        <w:t> </w:t>
      </w:r>
      <w:r>
        <w:rPr>
          <w:color w:val="231F20"/>
          <w:spacing w:val="-2"/>
        </w:rPr>
        <w:t>Strait</w:t>
      </w:r>
      <w:r>
        <w:rPr>
          <w:color w:val="231F20"/>
          <w:spacing w:val="-6"/>
        </w:rPr>
        <w:t> </w:t>
      </w:r>
      <w:r>
        <w:rPr>
          <w:color w:val="231F20"/>
          <w:spacing w:val="-1"/>
        </w:rPr>
        <w:t>Islander</w:t>
      </w:r>
      <w:r>
        <w:rPr>
          <w:color w:val="231F20"/>
          <w:spacing w:val="-4"/>
        </w:rPr>
        <w:t> </w:t>
      </w:r>
      <w:r>
        <w:rPr>
          <w:color w:val="231F20"/>
          <w:spacing w:val="-1"/>
        </w:rPr>
        <w:t>students</w:t>
      </w:r>
      <w:r>
        <w:rPr>
          <w:color w:val="231F20"/>
          <w:spacing w:val="-5"/>
        </w:rPr>
        <w:t> </w:t>
      </w:r>
      <w:r>
        <w:rPr>
          <w:color w:val="231F20"/>
        </w:rPr>
        <w:t>to</w:t>
      </w:r>
      <w:r>
        <w:rPr>
          <w:color w:val="231F20"/>
          <w:spacing w:val="-4"/>
        </w:rPr>
        <w:t> </w:t>
      </w:r>
      <w:r>
        <w:rPr>
          <w:color w:val="231F20"/>
        </w:rPr>
        <w:t>attend</w:t>
      </w:r>
      <w:r>
        <w:rPr>
          <w:color w:val="231F20"/>
          <w:spacing w:val="-6"/>
        </w:rPr>
        <w:t> </w:t>
      </w:r>
      <w:r>
        <w:rPr>
          <w:color w:val="231F20"/>
        </w:rPr>
        <w:t>higher</w:t>
      </w:r>
      <w:r>
        <w:rPr>
          <w:color w:val="231F20"/>
          <w:spacing w:val="-5"/>
        </w:rPr>
        <w:t> </w:t>
      </w:r>
      <w:r>
        <w:rPr>
          <w:color w:val="231F20"/>
        </w:rPr>
        <w:t>fee</w:t>
      </w:r>
      <w:r>
        <w:rPr>
          <w:color w:val="231F20"/>
          <w:spacing w:val="28"/>
          <w:w w:val="99"/>
        </w:rPr>
        <w:t> </w:t>
      </w:r>
      <w:r>
        <w:rPr>
          <w:color w:val="231F20"/>
        </w:rPr>
        <w:t>boarding</w:t>
      </w:r>
      <w:r>
        <w:rPr>
          <w:color w:val="231F20"/>
          <w:spacing w:val="-11"/>
        </w:rPr>
        <w:t> </w:t>
      </w:r>
      <w:r>
        <w:rPr>
          <w:color w:val="231F20"/>
        </w:rPr>
        <w:t>providers,</w:t>
      </w:r>
      <w:r>
        <w:rPr>
          <w:color w:val="231F20"/>
          <w:spacing w:val="-10"/>
        </w:rPr>
        <w:t> </w:t>
      </w:r>
      <w:r>
        <w:rPr>
          <w:color w:val="231F20"/>
        </w:rPr>
        <w:t>which</w:t>
      </w:r>
      <w:r>
        <w:rPr>
          <w:color w:val="231F20"/>
          <w:spacing w:val="-11"/>
        </w:rPr>
        <w:t> </w:t>
      </w:r>
      <w:r>
        <w:rPr>
          <w:color w:val="231F20"/>
        </w:rPr>
        <w:t>are</w:t>
      </w:r>
      <w:r>
        <w:rPr>
          <w:color w:val="231F20"/>
          <w:spacing w:val="-10"/>
        </w:rPr>
        <w:t> </w:t>
      </w:r>
      <w:r>
        <w:rPr>
          <w:color w:val="231F20"/>
        </w:rPr>
        <w:t>predominantly</w:t>
      </w:r>
      <w:r>
        <w:rPr>
          <w:color w:val="231F20"/>
          <w:w w:val="99"/>
        </w:rPr>
        <w:t> </w:t>
      </w:r>
      <w:r>
        <w:rPr>
          <w:color w:val="231F20"/>
          <w:spacing w:val="-1"/>
        </w:rPr>
        <w:t>mainstream</w:t>
      </w:r>
      <w:r>
        <w:rPr>
          <w:color w:val="231F20"/>
          <w:spacing w:val="-8"/>
        </w:rPr>
        <w:t> </w:t>
      </w:r>
      <w:r>
        <w:rPr>
          <w:color w:val="231F20"/>
        </w:rPr>
        <w:t>boarding</w:t>
      </w:r>
      <w:r>
        <w:rPr>
          <w:color w:val="231F20"/>
          <w:spacing w:val="-9"/>
        </w:rPr>
        <w:t> </w:t>
      </w:r>
      <w:r>
        <w:rPr>
          <w:color w:val="231F20"/>
        </w:rPr>
        <w:t>providers.</w:t>
      </w:r>
      <w:r>
        <w:rPr/>
      </w:r>
    </w:p>
    <w:p>
      <w:pPr>
        <w:pStyle w:val="BodyText"/>
        <w:spacing w:line="250" w:lineRule="exact" w:before="113"/>
        <w:ind w:right="6"/>
        <w:jc w:val="left"/>
      </w:pPr>
      <w:r>
        <w:rPr>
          <w:color w:val="231F20"/>
        </w:rPr>
        <w:t>A</w:t>
      </w:r>
      <w:r>
        <w:rPr>
          <w:color w:val="231F20"/>
          <w:spacing w:val="-5"/>
        </w:rPr>
        <w:t> </w:t>
      </w:r>
      <w:r>
        <w:rPr>
          <w:color w:val="231F20"/>
          <w:spacing w:val="-1"/>
        </w:rPr>
        <w:t>small</w:t>
      </w:r>
      <w:r>
        <w:rPr>
          <w:color w:val="231F20"/>
          <w:spacing w:val="-4"/>
        </w:rPr>
        <w:t> </w:t>
      </w:r>
      <w:r>
        <w:rPr>
          <w:color w:val="231F20"/>
        </w:rPr>
        <w:t>number</w:t>
      </w:r>
      <w:r>
        <w:rPr>
          <w:color w:val="231F20"/>
          <w:spacing w:val="-6"/>
        </w:rPr>
        <w:t> </w:t>
      </w:r>
      <w:r>
        <w:rPr>
          <w:color w:val="231F20"/>
        </w:rPr>
        <w:t>of</w:t>
      </w:r>
      <w:r>
        <w:rPr>
          <w:color w:val="231F20"/>
          <w:spacing w:val="-4"/>
        </w:rPr>
        <w:t> </w:t>
      </w:r>
      <w:r>
        <w:rPr>
          <w:color w:val="231F20"/>
        </w:rPr>
        <w:t>boarding</w:t>
      </w:r>
      <w:r>
        <w:rPr>
          <w:color w:val="231F20"/>
          <w:spacing w:val="-6"/>
        </w:rPr>
        <w:t> </w:t>
      </w:r>
      <w:r>
        <w:rPr>
          <w:color w:val="231F20"/>
        </w:rPr>
        <w:t>providers</w:t>
      </w:r>
      <w:r>
        <w:rPr>
          <w:color w:val="231F20"/>
          <w:spacing w:val="-5"/>
        </w:rPr>
        <w:t> </w:t>
      </w:r>
      <w:r>
        <w:rPr>
          <w:color w:val="231F20"/>
        </w:rPr>
        <w:t>are</w:t>
      </w:r>
      <w:r>
        <w:rPr>
          <w:color w:val="231F20"/>
          <w:spacing w:val="-5"/>
        </w:rPr>
        <w:t> </w:t>
      </w:r>
      <w:r>
        <w:rPr>
          <w:color w:val="231F20"/>
        </w:rPr>
        <w:t>not</w:t>
      </w:r>
      <w:r>
        <w:rPr>
          <w:color w:val="231F20"/>
          <w:spacing w:val="21"/>
          <w:w w:val="99"/>
        </w:rPr>
        <w:t> </w:t>
      </w:r>
      <w:r>
        <w:rPr>
          <w:color w:val="231F20"/>
          <w:spacing w:val="-1"/>
        </w:rPr>
        <w:t>linked</w:t>
      </w:r>
      <w:r>
        <w:rPr>
          <w:color w:val="231F20"/>
          <w:spacing w:val="-3"/>
        </w:rPr>
        <w:t> </w:t>
      </w:r>
      <w:r>
        <w:rPr>
          <w:color w:val="231F20"/>
        </w:rPr>
        <w:t>with</w:t>
      </w:r>
      <w:r>
        <w:rPr>
          <w:color w:val="231F20"/>
          <w:spacing w:val="-3"/>
        </w:rPr>
        <w:t> </w:t>
      </w:r>
      <w:r>
        <w:rPr>
          <w:color w:val="231F20"/>
        </w:rPr>
        <w:t>a</w:t>
      </w:r>
      <w:r>
        <w:rPr>
          <w:color w:val="231F20"/>
          <w:spacing w:val="-2"/>
        </w:rPr>
        <w:t> </w:t>
      </w:r>
      <w:r>
        <w:rPr>
          <w:color w:val="231F20"/>
          <w:spacing w:val="-1"/>
        </w:rPr>
        <w:t>school.</w:t>
      </w:r>
      <w:r>
        <w:rPr>
          <w:color w:val="231F20"/>
          <w:spacing w:val="-2"/>
        </w:rPr>
        <w:t> </w:t>
      </w:r>
      <w:r>
        <w:rPr>
          <w:color w:val="231F20"/>
          <w:spacing w:val="-1"/>
        </w:rPr>
        <w:t>In</w:t>
      </w:r>
      <w:r>
        <w:rPr>
          <w:color w:val="231F20"/>
          <w:spacing w:val="-2"/>
        </w:rPr>
        <w:t> </w:t>
      </w:r>
      <w:r>
        <w:rPr>
          <w:color w:val="231F20"/>
        </w:rPr>
        <w:t>addition</w:t>
      </w:r>
      <w:r>
        <w:rPr>
          <w:color w:val="231F20"/>
          <w:spacing w:val="-3"/>
        </w:rPr>
        <w:t> </w:t>
      </w:r>
      <w:r>
        <w:rPr>
          <w:color w:val="231F20"/>
        </w:rPr>
        <w:t>to</w:t>
      </w:r>
      <w:r>
        <w:rPr>
          <w:color w:val="231F20"/>
          <w:spacing w:val="-2"/>
        </w:rPr>
        <w:t> </w:t>
      </w:r>
      <w:r>
        <w:rPr>
          <w:color w:val="231F20"/>
        </w:rPr>
        <w:t>the</w:t>
      </w:r>
      <w:r>
        <w:rPr>
          <w:color w:val="231F20"/>
          <w:spacing w:val="-3"/>
        </w:rPr>
        <w:t> </w:t>
      </w:r>
      <w:r>
        <w:rPr>
          <w:color w:val="231F20"/>
          <w:spacing w:val="-1"/>
        </w:rPr>
        <w:t>students’</w:t>
      </w:r>
      <w:r>
        <w:rPr>
          <w:color w:val="231F20"/>
          <w:spacing w:val="23"/>
        </w:rPr>
        <w:t> </w:t>
      </w:r>
      <w:r>
        <w:rPr>
          <w:color w:val="231F20"/>
        </w:rPr>
        <w:t>ABSTUDY</w:t>
      </w:r>
      <w:r>
        <w:rPr>
          <w:color w:val="231F20"/>
          <w:spacing w:val="-5"/>
        </w:rPr>
        <w:t> </w:t>
      </w:r>
      <w:r>
        <w:rPr>
          <w:color w:val="231F20"/>
          <w:spacing w:val="-1"/>
        </w:rPr>
        <w:t>living</w:t>
      </w:r>
      <w:r>
        <w:rPr>
          <w:color w:val="231F20"/>
          <w:spacing w:val="-4"/>
        </w:rPr>
        <w:t> </w:t>
      </w:r>
      <w:r>
        <w:rPr>
          <w:color w:val="231F20"/>
        </w:rPr>
        <w:t>allowance</w:t>
      </w:r>
      <w:r>
        <w:rPr>
          <w:color w:val="231F20"/>
          <w:spacing w:val="-5"/>
        </w:rPr>
        <w:t> </w:t>
      </w:r>
      <w:r>
        <w:rPr>
          <w:color w:val="231F20"/>
        </w:rPr>
        <w:t>payments,</w:t>
      </w:r>
      <w:r>
        <w:rPr>
          <w:color w:val="231F20"/>
          <w:spacing w:val="-5"/>
        </w:rPr>
        <w:t> </w:t>
      </w:r>
      <w:r>
        <w:rPr>
          <w:color w:val="231F20"/>
          <w:spacing w:val="-1"/>
        </w:rPr>
        <w:t>some</w:t>
      </w:r>
      <w:r>
        <w:rPr>
          <w:color w:val="231F20"/>
          <w:spacing w:val="-4"/>
        </w:rPr>
        <w:t> </w:t>
      </w:r>
      <w:r>
        <w:rPr>
          <w:color w:val="231F20"/>
        </w:rPr>
        <w:t>of</w:t>
      </w:r>
      <w:r>
        <w:rPr>
          <w:color w:val="231F20"/>
          <w:spacing w:val="23"/>
          <w:w w:val="99"/>
        </w:rPr>
        <w:t> </w:t>
      </w:r>
      <w:r>
        <w:rPr>
          <w:color w:val="231F20"/>
        </w:rPr>
        <w:t>these</w:t>
      </w:r>
      <w:r>
        <w:rPr>
          <w:color w:val="231F20"/>
          <w:spacing w:val="-8"/>
        </w:rPr>
        <w:t> </w:t>
      </w:r>
      <w:r>
        <w:rPr>
          <w:color w:val="231F20"/>
        </w:rPr>
        <w:t>facilities</w:t>
      </w:r>
      <w:r>
        <w:rPr>
          <w:color w:val="231F20"/>
          <w:spacing w:val="-7"/>
        </w:rPr>
        <w:t> </w:t>
      </w:r>
      <w:r>
        <w:rPr>
          <w:color w:val="231F20"/>
        </w:rPr>
        <w:t>receive</w:t>
      </w:r>
      <w:r>
        <w:rPr>
          <w:color w:val="231F20"/>
          <w:spacing w:val="-8"/>
        </w:rPr>
        <w:t> </w:t>
      </w:r>
      <w:r>
        <w:rPr>
          <w:color w:val="231F20"/>
          <w:spacing w:val="-1"/>
        </w:rPr>
        <w:t>supplementary</w:t>
      </w:r>
      <w:r>
        <w:rPr>
          <w:color w:val="231F20"/>
          <w:spacing w:val="-6"/>
        </w:rPr>
        <w:t> </w:t>
      </w:r>
      <w:r>
        <w:rPr>
          <w:color w:val="231F20"/>
        </w:rPr>
        <w:t>funding</w:t>
      </w:r>
      <w:r>
        <w:rPr>
          <w:color w:val="231F20"/>
          <w:spacing w:val="22"/>
          <w:w w:val="99"/>
        </w:rPr>
        <w:t> </w:t>
      </w:r>
      <w:r>
        <w:rPr>
          <w:color w:val="231F20"/>
        </w:rPr>
        <w:t>under</w:t>
      </w:r>
      <w:r>
        <w:rPr>
          <w:color w:val="231F20"/>
          <w:spacing w:val="-10"/>
        </w:rPr>
        <w:t> </w:t>
      </w:r>
      <w:r>
        <w:rPr>
          <w:color w:val="231F20"/>
        </w:rPr>
        <w:t>the</w:t>
      </w:r>
      <w:r>
        <w:rPr>
          <w:color w:val="231F20"/>
          <w:spacing w:val="-10"/>
        </w:rPr>
        <w:t> </w:t>
      </w:r>
      <w:r>
        <w:rPr>
          <w:color w:val="231F20"/>
          <w:spacing w:val="-1"/>
        </w:rPr>
        <w:t>Indigenous</w:t>
      </w:r>
      <w:r>
        <w:rPr>
          <w:color w:val="231F20"/>
          <w:spacing w:val="-9"/>
        </w:rPr>
        <w:t> </w:t>
      </w:r>
      <w:r>
        <w:rPr>
          <w:color w:val="231F20"/>
        </w:rPr>
        <w:t>Advancement</w:t>
      </w:r>
      <w:r>
        <w:rPr>
          <w:color w:val="231F20"/>
          <w:spacing w:val="-9"/>
        </w:rPr>
        <w:t> </w:t>
      </w:r>
      <w:r>
        <w:rPr>
          <w:color w:val="231F20"/>
          <w:spacing w:val="-1"/>
        </w:rPr>
        <w:t>Strategy</w:t>
      </w:r>
      <w:r>
        <w:rPr>
          <w:color w:val="231F20"/>
          <w:spacing w:val="23"/>
          <w:w w:val="99"/>
        </w:rPr>
        <w:t> </w:t>
      </w:r>
      <w:r>
        <w:rPr>
          <w:color w:val="231F20"/>
        </w:rPr>
        <w:t>(IAS).</w:t>
      </w:r>
      <w:r>
        <w:rPr>
          <w:color w:val="231F20"/>
          <w:spacing w:val="-4"/>
        </w:rPr>
        <w:t> </w:t>
      </w:r>
      <w:r>
        <w:rPr>
          <w:color w:val="231F20"/>
        </w:rPr>
        <w:t>This</w:t>
      </w:r>
      <w:r>
        <w:rPr>
          <w:color w:val="231F20"/>
          <w:spacing w:val="-3"/>
        </w:rPr>
        <w:t> </w:t>
      </w:r>
      <w:r>
        <w:rPr>
          <w:color w:val="231F20"/>
          <w:spacing w:val="-1"/>
        </w:rPr>
        <w:t>includes</w:t>
      </w:r>
      <w:r>
        <w:rPr>
          <w:color w:val="231F20"/>
          <w:spacing w:val="-2"/>
        </w:rPr>
        <w:t> </w:t>
      </w:r>
      <w:r>
        <w:rPr>
          <w:color w:val="231F20"/>
        </w:rPr>
        <w:t>AFL</w:t>
      </w:r>
      <w:r>
        <w:rPr>
          <w:color w:val="231F20"/>
          <w:spacing w:val="-2"/>
        </w:rPr>
        <w:t> </w:t>
      </w:r>
      <w:r>
        <w:rPr>
          <w:color w:val="231F20"/>
          <w:spacing w:val="-1"/>
        </w:rPr>
        <w:t>Cape</w:t>
      </w:r>
      <w:r>
        <w:rPr>
          <w:color w:val="231F20"/>
          <w:spacing w:val="-2"/>
        </w:rPr>
        <w:t> </w:t>
      </w:r>
      <w:r>
        <w:rPr>
          <w:color w:val="231F20"/>
          <w:spacing w:val="-6"/>
        </w:rPr>
        <w:t>York</w:t>
      </w:r>
      <w:r>
        <w:rPr>
          <w:color w:val="231F20"/>
          <w:spacing w:val="-2"/>
        </w:rPr>
        <w:t> </w:t>
      </w:r>
      <w:r>
        <w:rPr>
          <w:color w:val="231F20"/>
        </w:rPr>
        <w:t>House,</w:t>
      </w:r>
      <w:r>
        <w:rPr>
          <w:color w:val="231F20"/>
          <w:spacing w:val="-3"/>
        </w:rPr>
        <w:t> </w:t>
      </w:r>
      <w:r>
        <w:rPr>
          <w:color w:val="231F20"/>
          <w:spacing w:val="-5"/>
        </w:rPr>
        <w:t>Torres</w:t>
      </w:r>
      <w:r>
        <w:rPr>
          <w:color w:val="231F20"/>
          <w:spacing w:val="29"/>
          <w:w w:val="99"/>
        </w:rPr>
        <w:t> </w:t>
      </w:r>
      <w:r>
        <w:rPr>
          <w:color w:val="231F20"/>
          <w:spacing w:val="-2"/>
        </w:rPr>
        <w:t>Strait</w:t>
      </w:r>
      <w:r>
        <w:rPr>
          <w:color w:val="231F20"/>
          <w:spacing w:val="-7"/>
        </w:rPr>
        <w:t> </w:t>
      </w:r>
      <w:r>
        <w:rPr>
          <w:color w:val="231F20"/>
          <w:spacing w:val="-1"/>
        </w:rPr>
        <w:t>Kaziw</w:t>
      </w:r>
      <w:r>
        <w:rPr>
          <w:color w:val="231F20"/>
          <w:spacing w:val="-6"/>
        </w:rPr>
        <w:t> </w:t>
      </w:r>
      <w:r>
        <w:rPr>
          <w:color w:val="231F20"/>
        </w:rPr>
        <w:t>Meta</w:t>
      </w:r>
      <w:r>
        <w:rPr>
          <w:color w:val="231F20"/>
          <w:spacing w:val="-6"/>
        </w:rPr>
        <w:t> </w:t>
      </w:r>
      <w:r>
        <w:rPr>
          <w:color w:val="231F20"/>
        </w:rPr>
        <w:t>and</w:t>
      </w:r>
      <w:r>
        <w:rPr>
          <w:color w:val="231F20"/>
          <w:spacing w:val="-6"/>
        </w:rPr>
        <w:t> </w:t>
      </w:r>
      <w:r>
        <w:rPr>
          <w:color w:val="231F20"/>
        </w:rPr>
        <w:t>NRL</w:t>
      </w:r>
      <w:r>
        <w:rPr>
          <w:color w:val="231F20"/>
          <w:spacing w:val="-6"/>
        </w:rPr>
        <w:t> </w:t>
      </w:r>
      <w:r>
        <w:rPr>
          <w:color w:val="231F20"/>
          <w:spacing w:val="-1"/>
        </w:rPr>
        <w:t>Cowboys</w:t>
      </w:r>
      <w:r>
        <w:rPr>
          <w:color w:val="231F20"/>
          <w:spacing w:val="-6"/>
        </w:rPr>
        <w:t> </w:t>
      </w:r>
      <w:r>
        <w:rPr>
          <w:color w:val="231F20"/>
        </w:rPr>
        <w:t>House.</w:t>
      </w:r>
      <w:r>
        <w:rPr/>
      </w:r>
    </w:p>
    <w:p>
      <w:pPr>
        <w:pStyle w:val="BodyText"/>
        <w:spacing w:line="250" w:lineRule="exact"/>
        <w:ind w:right="0"/>
        <w:jc w:val="left"/>
      </w:pPr>
      <w:r>
        <w:rPr>
          <w:rFonts w:ascii="Segoe UI" w:hAnsi="Segoe UI" w:cs="Segoe UI" w:eastAsia="Segoe UI"/>
          <w:color w:val="231F20"/>
        </w:rPr>
        <w:t>Those</w:t>
      </w:r>
      <w:r>
        <w:rPr>
          <w:rFonts w:ascii="Segoe UI" w:hAnsi="Segoe UI" w:cs="Segoe UI" w:eastAsia="Segoe UI"/>
          <w:color w:val="231F20"/>
          <w:spacing w:val="-1"/>
        </w:rPr>
        <w:t> </w:t>
      </w:r>
      <w:r>
        <w:rPr>
          <w:rFonts w:ascii="Segoe UI" w:hAnsi="Segoe UI" w:cs="Segoe UI" w:eastAsia="Segoe UI"/>
          <w:color w:val="231F20"/>
        </w:rPr>
        <w:t>boarding</w:t>
      </w:r>
      <w:r>
        <w:rPr>
          <w:rFonts w:ascii="Segoe UI" w:hAnsi="Segoe UI" w:cs="Segoe UI" w:eastAsia="Segoe UI"/>
          <w:color w:val="231F20"/>
          <w:spacing w:val="-1"/>
        </w:rPr>
        <w:t> </w:t>
      </w:r>
      <w:r>
        <w:rPr>
          <w:rFonts w:ascii="Segoe UI" w:hAnsi="Segoe UI" w:cs="Segoe UI" w:eastAsia="Segoe UI"/>
          <w:color w:val="231F20"/>
        </w:rPr>
        <w:t>providers</w:t>
      </w:r>
      <w:r>
        <w:rPr>
          <w:rFonts w:ascii="Segoe UI" w:hAnsi="Segoe UI" w:cs="Segoe UI" w:eastAsia="Segoe UI"/>
          <w:color w:val="231F20"/>
          <w:spacing w:val="-1"/>
        </w:rPr>
        <w:t> </w:t>
      </w:r>
      <w:r>
        <w:rPr>
          <w:rFonts w:ascii="Segoe UI" w:hAnsi="Segoe UI" w:cs="Segoe UI" w:eastAsia="Segoe UI"/>
          <w:color w:val="231F20"/>
        </w:rPr>
        <w:t>that offer</w:t>
      </w:r>
      <w:r>
        <w:rPr>
          <w:rFonts w:ascii="Segoe UI" w:hAnsi="Segoe UI" w:cs="Segoe UI" w:eastAsia="Segoe UI"/>
          <w:color w:val="231F20"/>
          <w:spacing w:val="-1"/>
        </w:rPr>
        <w:t> </w:t>
      </w:r>
      <w:r>
        <w:rPr>
          <w:rFonts w:ascii="Segoe UI" w:hAnsi="Segoe UI" w:cs="Segoe UI" w:eastAsia="Segoe UI"/>
          <w:color w:val="231F20"/>
        </w:rPr>
        <w:t>both</w:t>
      </w:r>
      <w:r>
        <w:rPr>
          <w:rFonts w:ascii="Segoe UI" w:hAnsi="Segoe UI" w:cs="Segoe UI" w:eastAsia="Segoe UI"/>
          <w:color w:val="231F20"/>
          <w:spacing w:val="-1"/>
        </w:rPr>
        <w:t> </w:t>
      </w:r>
      <w:r>
        <w:rPr>
          <w:rFonts w:ascii="Segoe UI" w:hAnsi="Segoe UI" w:cs="Segoe UI" w:eastAsia="Segoe UI"/>
          <w:color w:val="231F20"/>
        </w:rPr>
        <w:t>school</w:t>
      </w:r>
      <w:r>
        <w:rPr>
          <w:rFonts w:ascii="Segoe UI" w:hAnsi="Segoe UI" w:cs="Segoe UI" w:eastAsia="Segoe UI"/>
          <w:color w:val="231F20"/>
        </w:rPr>
        <w:t> </w:t>
      </w:r>
      <w:r>
        <w:rPr>
          <w:color w:val="231F20"/>
        </w:rPr>
        <w:t>and</w:t>
      </w:r>
      <w:r>
        <w:rPr>
          <w:color w:val="231F20"/>
          <w:spacing w:val="-6"/>
        </w:rPr>
        <w:t> </w:t>
      </w:r>
      <w:r>
        <w:rPr>
          <w:color w:val="231F20"/>
        </w:rPr>
        <w:t>boarding</w:t>
      </w:r>
      <w:r>
        <w:rPr>
          <w:color w:val="231F20"/>
          <w:spacing w:val="-5"/>
        </w:rPr>
        <w:t> </w:t>
      </w:r>
      <w:r>
        <w:rPr>
          <w:color w:val="231F20"/>
        </w:rPr>
        <w:t>receive</w:t>
      </w:r>
      <w:r>
        <w:rPr>
          <w:color w:val="231F20"/>
          <w:spacing w:val="-5"/>
        </w:rPr>
        <w:t> </w:t>
      </w:r>
      <w:r>
        <w:rPr>
          <w:color w:val="231F20"/>
        </w:rPr>
        <w:t>the</w:t>
      </w:r>
      <w:r>
        <w:rPr>
          <w:color w:val="231F20"/>
          <w:spacing w:val="-5"/>
        </w:rPr>
        <w:t> </w:t>
      </w:r>
      <w:r>
        <w:rPr>
          <w:color w:val="231F20"/>
          <w:spacing w:val="-1"/>
        </w:rPr>
        <w:t>students’</w:t>
      </w:r>
      <w:r>
        <w:rPr>
          <w:color w:val="231F20"/>
          <w:spacing w:val="-3"/>
        </w:rPr>
        <w:t> </w:t>
      </w:r>
      <w:r>
        <w:rPr>
          <w:color w:val="231F20"/>
        </w:rPr>
        <w:t>ABSTUDY</w:t>
      </w:r>
      <w:r>
        <w:rPr>
          <w:color w:val="231F20"/>
          <w:spacing w:val="22"/>
        </w:rPr>
        <w:t> </w:t>
      </w:r>
      <w:r>
        <w:rPr>
          <w:color w:val="231F20"/>
        </w:rPr>
        <w:t>entitlements</w:t>
      </w:r>
      <w:r>
        <w:rPr>
          <w:color w:val="231F20"/>
          <w:spacing w:val="-4"/>
        </w:rPr>
        <w:t> </w:t>
      </w:r>
      <w:r>
        <w:rPr>
          <w:color w:val="231F20"/>
        </w:rPr>
        <w:t>for</w:t>
      </w:r>
      <w:r>
        <w:rPr>
          <w:color w:val="231F20"/>
          <w:spacing w:val="-4"/>
        </w:rPr>
        <w:t> </w:t>
      </w:r>
      <w:r>
        <w:rPr>
          <w:color w:val="231F20"/>
        </w:rPr>
        <w:t>both</w:t>
      </w:r>
      <w:r>
        <w:rPr>
          <w:color w:val="231F20"/>
          <w:spacing w:val="-3"/>
        </w:rPr>
        <w:t> </w:t>
      </w:r>
      <w:r>
        <w:rPr>
          <w:color w:val="231F20"/>
          <w:spacing w:val="-1"/>
        </w:rPr>
        <w:t>school</w:t>
      </w:r>
      <w:r>
        <w:rPr>
          <w:color w:val="231F20"/>
          <w:spacing w:val="-4"/>
        </w:rPr>
        <w:t> </w:t>
      </w:r>
      <w:r>
        <w:rPr>
          <w:color w:val="231F20"/>
        </w:rPr>
        <w:t>fees</w:t>
      </w:r>
      <w:r>
        <w:rPr>
          <w:color w:val="231F20"/>
          <w:spacing w:val="-4"/>
        </w:rPr>
        <w:t> </w:t>
      </w:r>
      <w:r>
        <w:rPr>
          <w:color w:val="231F20"/>
        </w:rPr>
        <w:t>and</w:t>
      </w:r>
      <w:r>
        <w:rPr>
          <w:color w:val="231F20"/>
          <w:spacing w:val="-3"/>
        </w:rPr>
        <w:t> </w:t>
      </w:r>
      <w:r>
        <w:rPr>
          <w:color w:val="231F20"/>
        </w:rPr>
        <w:t>boarding</w:t>
      </w:r>
      <w:r>
        <w:rPr>
          <w:color w:val="231F20"/>
          <w:spacing w:val="21"/>
          <w:w w:val="99"/>
        </w:rPr>
        <w:t> </w:t>
      </w:r>
      <w:r>
        <w:rPr>
          <w:color w:val="231F20"/>
        </w:rPr>
        <w:t>payments</w:t>
      </w:r>
      <w:r>
        <w:rPr>
          <w:color w:val="231F20"/>
          <w:spacing w:val="-8"/>
        </w:rPr>
        <w:t> </w:t>
      </w:r>
      <w:r>
        <w:rPr>
          <w:color w:val="231F20"/>
        </w:rPr>
        <w:t>(Living</w:t>
      </w:r>
      <w:r>
        <w:rPr>
          <w:color w:val="231F20"/>
          <w:spacing w:val="-8"/>
        </w:rPr>
        <w:t> </w:t>
      </w:r>
      <w:r>
        <w:rPr>
          <w:color w:val="231F20"/>
        </w:rPr>
        <w:t>Allowance,</w:t>
      </w:r>
      <w:r>
        <w:rPr>
          <w:color w:val="231F20"/>
          <w:spacing w:val="-6"/>
        </w:rPr>
        <w:t> </w:t>
      </w:r>
      <w:r>
        <w:rPr>
          <w:color w:val="231F20"/>
          <w:spacing w:val="-2"/>
        </w:rPr>
        <w:t>Rent</w:t>
      </w:r>
      <w:r>
        <w:rPr>
          <w:color w:val="231F20"/>
          <w:spacing w:val="-7"/>
        </w:rPr>
        <w:t> </w:t>
      </w:r>
      <w:r>
        <w:rPr>
          <w:color w:val="231F20"/>
        </w:rPr>
        <w:t>Assistance,</w:t>
      </w:r>
      <w:r>
        <w:rPr>
          <w:color w:val="231F20"/>
          <w:spacing w:val="21"/>
        </w:rPr>
        <w:t> </w:t>
      </w:r>
      <w:r>
        <w:rPr>
          <w:color w:val="231F20"/>
          <w:spacing w:val="-1"/>
        </w:rPr>
        <w:t>Remote</w:t>
      </w:r>
      <w:r>
        <w:rPr>
          <w:color w:val="231F20"/>
          <w:spacing w:val="-8"/>
        </w:rPr>
        <w:t> </w:t>
      </w:r>
      <w:r>
        <w:rPr>
          <w:color w:val="231F20"/>
        </w:rPr>
        <w:t>Area</w:t>
      </w:r>
      <w:r>
        <w:rPr>
          <w:color w:val="231F20"/>
          <w:spacing w:val="-6"/>
        </w:rPr>
        <w:t> </w:t>
      </w:r>
      <w:r>
        <w:rPr>
          <w:color w:val="231F20"/>
        </w:rPr>
        <w:t>Allowance),</w:t>
      </w:r>
      <w:r>
        <w:rPr>
          <w:color w:val="231F20"/>
          <w:spacing w:val="-7"/>
        </w:rPr>
        <w:t> </w:t>
      </w:r>
      <w:r>
        <w:rPr>
          <w:color w:val="231F20"/>
        </w:rPr>
        <w:t>while</w:t>
      </w:r>
      <w:r>
        <w:rPr>
          <w:color w:val="231F20"/>
          <w:spacing w:val="-7"/>
        </w:rPr>
        <w:t> </w:t>
      </w:r>
      <w:r>
        <w:rPr>
          <w:color w:val="231F20"/>
        </w:rPr>
        <w:t>those</w:t>
      </w:r>
      <w:r>
        <w:rPr>
          <w:color w:val="231F20"/>
          <w:spacing w:val="-7"/>
        </w:rPr>
        <w:t> </w:t>
      </w:r>
      <w:r>
        <w:rPr>
          <w:color w:val="231F20"/>
        </w:rPr>
        <w:t>boarding</w:t>
      </w:r>
      <w:r>
        <w:rPr>
          <w:color w:val="231F20"/>
          <w:spacing w:val="20"/>
          <w:w w:val="99"/>
        </w:rPr>
        <w:t> </w:t>
      </w:r>
      <w:r>
        <w:rPr>
          <w:rFonts w:ascii="Segoe UI" w:hAnsi="Segoe UI" w:cs="Segoe UI" w:eastAsia="Segoe UI"/>
          <w:color w:val="231F20"/>
        </w:rPr>
        <w:t>providers</w:t>
      </w:r>
      <w:r>
        <w:rPr>
          <w:rFonts w:ascii="Segoe UI" w:hAnsi="Segoe UI" w:cs="Segoe UI" w:eastAsia="Segoe UI"/>
          <w:color w:val="231F20"/>
          <w:spacing w:val="-1"/>
        </w:rPr>
        <w:t> </w:t>
      </w:r>
      <w:r>
        <w:rPr>
          <w:rFonts w:ascii="Segoe UI" w:hAnsi="Segoe UI" w:cs="Segoe UI" w:eastAsia="Segoe UI"/>
          <w:color w:val="231F20"/>
        </w:rPr>
        <w:t>that</w:t>
      </w:r>
      <w:r>
        <w:rPr>
          <w:rFonts w:ascii="Segoe UI" w:hAnsi="Segoe UI" w:cs="Segoe UI" w:eastAsia="Segoe UI"/>
          <w:color w:val="231F20"/>
          <w:spacing w:val="-1"/>
        </w:rPr>
        <w:t> </w:t>
      </w:r>
      <w:r>
        <w:rPr>
          <w:rFonts w:ascii="Segoe UI" w:hAnsi="Segoe UI" w:cs="Segoe UI" w:eastAsia="Segoe UI"/>
          <w:color w:val="231F20"/>
        </w:rPr>
        <w:t>offer</w:t>
      </w:r>
      <w:r>
        <w:rPr>
          <w:rFonts w:ascii="Segoe UI" w:hAnsi="Segoe UI" w:cs="Segoe UI" w:eastAsia="Segoe UI"/>
          <w:color w:val="231F20"/>
          <w:spacing w:val="-1"/>
        </w:rPr>
        <w:t> </w:t>
      </w:r>
      <w:r>
        <w:rPr>
          <w:rFonts w:ascii="Segoe UI" w:hAnsi="Segoe UI" w:cs="Segoe UI" w:eastAsia="Segoe UI"/>
          <w:color w:val="231F20"/>
        </w:rPr>
        <w:t>boarding alone</w:t>
      </w:r>
      <w:r>
        <w:rPr>
          <w:rFonts w:ascii="Segoe UI" w:hAnsi="Segoe UI" w:cs="Segoe UI" w:eastAsia="Segoe UI"/>
          <w:color w:val="231F20"/>
          <w:spacing w:val="-1"/>
        </w:rPr>
        <w:t> </w:t>
      </w:r>
      <w:r>
        <w:rPr>
          <w:rFonts w:ascii="Segoe UI" w:hAnsi="Segoe UI" w:cs="Segoe UI" w:eastAsia="Segoe UI"/>
          <w:color w:val="231F20"/>
        </w:rPr>
        <w:t>receive</w:t>
      </w:r>
      <w:r>
        <w:rPr>
          <w:rFonts w:ascii="Segoe UI" w:hAnsi="Segoe UI" w:cs="Segoe UI" w:eastAsia="Segoe UI"/>
          <w:color w:val="231F20"/>
          <w:spacing w:val="-1"/>
        </w:rPr>
        <w:t> </w:t>
      </w:r>
      <w:r>
        <w:rPr>
          <w:rFonts w:ascii="Segoe UI" w:hAnsi="Segoe UI" w:cs="Segoe UI" w:eastAsia="Segoe UI"/>
          <w:color w:val="231F20"/>
        </w:rPr>
        <w:t>only</w:t>
      </w:r>
      <w:r>
        <w:rPr>
          <w:rFonts w:ascii="Segoe UI" w:hAnsi="Segoe UI" w:cs="Segoe UI" w:eastAsia="Segoe UI"/>
          <w:color w:val="231F20"/>
        </w:rPr>
        <w:t> </w:t>
      </w:r>
      <w:r>
        <w:rPr>
          <w:color w:val="231F20"/>
        </w:rPr>
        <w:t>the</w:t>
      </w:r>
      <w:r>
        <w:rPr>
          <w:color w:val="231F20"/>
          <w:spacing w:val="-4"/>
        </w:rPr>
        <w:t> </w:t>
      </w:r>
      <w:r>
        <w:rPr>
          <w:color w:val="231F20"/>
          <w:spacing w:val="-1"/>
        </w:rPr>
        <w:t>students’</w:t>
      </w:r>
      <w:r>
        <w:rPr>
          <w:color w:val="231F20"/>
          <w:spacing w:val="-2"/>
        </w:rPr>
        <w:t> </w:t>
      </w:r>
      <w:r>
        <w:rPr>
          <w:color w:val="231F20"/>
        </w:rPr>
        <w:t>ABSTUDY</w:t>
      </w:r>
      <w:r>
        <w:rPr>
          <w:color w:val="231F20"/>
          <w:spacing w:val="-4"/>
        </w:rPr>
        <w:t> </w:t>
      </w:r>
      <w:r>
        <w:rPr>
          <w:color w:val="231F20"/>
        </w:rPr>
        <w:t>boarding</w:t>
      </w:r>
      <w:r>
        <w:rPr>
          <w:color w:val="231F20"/>
          <w:spacing w:val="-3"/>
        </w:rPr>
        <w:t> </w:t>
      </w:r>
      <w:r>
        <w:rPr>
          <w:color w:val="231F20"/>
        </w:rPr>
        <w:t>entitlements.</w:t>
      </w:r>
      <w:r>
        <w:rPr>
          <w:color w:val="231F20"/>
          <w:spacing w:val="22"/>
        </w:rPr>
        <w:t> </w:t>
      </w:r>
      <w:r>
        <w:rPr>
          <w:color w:val="231F20"/>
        </w:rPr>
        <w:t>Any</w:t>
      </w:r>
      <w:r>
        <w:rPr>
          <w:color w:val="231F20"/>
          <w:spacing w:val="-5"/>
        </w:rPr>
        <w:t> </w:t>
      </w:r>
      <w:r>
        <w:rPr>
          <w:color w:val="231F20"/>
        </w:rPr>
        <w:t>unused</w:t>
      </w:r>
      <w:r>
        <w:rPr>
          <w:color w:val="231F20"/>
          <w:spacing w:val="-5"/>
        </w:rPr>
        <w:t> </w:t>
      </w:r>
      <w:r>
        <w:rPr>
          <w:color w:val="231F20"/>
          <w:spacing w:val="-1"/>
        </w:rPr>
        <w:t>school</w:t>
      </w:r>
      <w:r>
        <w:rPr>
          <w:color w:val="231F20"/>
          <w:spacing w:val="-4"/>
        </w:rPr>
        <w:t> </w:t>
      </w:r>
      <w:r>
        <w:rPr>
          <w:color w:val="231F20"/>
        </w:rPr>
        <w:t>fees</w:t>
      </w:r>
      <w:r>
        <w:rPr>
          <w:color w:val="231F20"/>
          <w:spacing w:val="-5"/>
        </w:rPr>
        <w:t> </w:t>
      </w:r>
      <w:r>
        <w:rPr>
          <w:color w:val="231F20"/>
        </w:rPr>
        <w:t>allowances</w:t>
      </w:r>
      <w:r>
        <w:rPr>
          <w:color w:val="231F20"/>
          <w:spacing w:val="-5"/>
        </w:rPr>
        <w:t> </w:t>
      </w:r>
      <w:r>
        <w:rPr>
          <w:color w:val="231F20"/>
        </w:rPr>
        <w:t>can</w:t>
      </w:r>
      <w:r>
        <w:rPr>
          <w:color w:val="231F20"/>
          <w:spacing w:val="-4"/>
        </w:rPr>
        <w:t> </w:t>
      </w:r>
      <w:r>
        <w:rPr>
          <w:color w:val="231F20"/>
        </w:rPr>
        <w:t>be</w:t>
      </w:r>
      <w:r>
        <w:rPr>
          <w:color w:val="231F20"/>
          <w:spacing w:val="21"/>
          <w:w w:val="99"/>
        </w:rPr>
        <w:t> </w:t>
      </w:r>
      <w:r>
        <w:rPr>
          <w:color w:val="231F20"/>
        </w:rPr>
        <w:t>accessed</w:t>
      </w:r>
      <w:r>
        <w:rPr>
          <w:color w:val="231F20"/>
          <w:spacing w:val="-6"/>
        </w:rPr>
        <w:t> </w:t>
      </w:r>
      <w:r>
        <w:rPr>
          <w:color w:val="231F20"/>
        </w:rPr>
        <w:t>by</w:t>
      </w:r>
      <w:r>
        <w:rPr>
          <w:color w:val="231F20"/>
          <w:spacing w:val="-5"/>
        </w:rPr>
        <w:t> </w:t>
      </w:r>
      <w:r>
        <w:rPr>
          <w:color w:val="231F20"/>
        </w:rPr>
        <w:t>boarding</w:t>
      </w:r>
      <w:r>
        <w:rPr>
          <w:color w:val="231F20"/>
          <w:spacing w:val="-6"/>
        </w:rPr>
        <w:t> </w:t>
      </w:r>
      <w:r>
        <w:rPr>
          <w:color w:val="231F20"/>
        </w:rPr>
        <w:t>providers</w:t>
      </w:r>
      <w:r>
        <w:rPr>
          <w:color w:val="231F20"/>
          <w:spacing w:val="-6"/>
        </w:rPr>
        <w:t> </w:t>
      </w:r>
      <w:r>
        <w:rPr>
          <w:color w:val="231F20"/>
          <w:spacing w:val="-1"/>
        </w:rPr>
        <w:t>if</w:t>
      </w:r>
      <w:r>
        <w:rPr>
          <w:color w:val="231F20"/>
          <w:spacing w:val="-5"/>
        </w:rPr>
        <w:t> </w:t>
      </w:r>
      <w:r>
        <w:rPr>
          <w:color w:val="231F20"/>
        </w:rPr>
        <w:t>the</w:t>
      </w:r>
      <w:r>
        <w:rPr>
          <w:color w:val="231F20"/>
          <w:spacing w:val="-6"/>
        </w:rPr>
        <w:t> </w:t>
      </w:r>
      <w:r>
        <w:rPr>
          <w:color w:val="231F20"/>
        </w:rPr>
        <w:t>boarding</w:t>
      </w:r>
      <w:r>
        <w:rPr>
          <w:color w:val="231F20"/>
          <w:spacing w:val="21"/>
          <w:w w:val="99"/>
        </w:rPr>
        <w:t> </w:t>
      </w:r>
      <w:r>
        <w:rPr>
          <w:color w:val="231F20"/>
        </w:rPr>
        <w:t>fees</w:t>
      </w:r>
      <w:r>
        <w:rPr>
          <w:color w:val="231F20"/>
          <w:spacing w:val="-6"/>
        </w:rPr>
        <w:t> </w:t>
      </w:r>
      <w:r>
        <w:rPr>
          <w:color w:val="231F20"/>
        </w:rPr>
        <w:t>exceed</w:t>
      </w:r>
      <w:r>
        <w:rPr>
          <w:color w:val="231F20"/>
          <w:spacing w:val="-6"/>
        </w:rPr>
        <w:t> </w:t>
      </w:r>
      <w:r>
        <w:rPr>
          <w:color w:val="231F20"/>
        </w:rPr>
        <w:t>the</w:t>
      </w:r>
      <w:r>
        <w:rPr>
          <w:color w:val="231F20"/>
          <w:spacing w:val="-6"/>
        </w:rPr>
        <w:t> </w:t>
      </w:r>
      <w:r>
        <w:rPr>
          <w:color w:val="231F20"/>
          <w:spacing w:val="-1"/>
        </w:rPr>
        <w:t>living</w:t>
      </w:r>
      <w:r>
        <w:rPr>
          <w:color w:val="231F20"/>
          <w:spacing w:val="-6"/>
        </w:rPr>
        <w:t> </w:t>
      </w:r>
      <w:r>
        <w:rPr>
          <w:color w:val="231F20"/>
        </w:rPr>
        <w:t>allowance</w:t>
      </w:r>
      <w:r>
        <w:rPr>
          <w:color w:val="231F20"/>
          <w:spacing w:val="-6"/>
        </w:rPr>
        <w:t> </w:t>
      </w:r>
      <w:r>
        <w:rPr>
          <w:color w:val="231F20"/>
        </w:rPr>
        <w:t>amount.</w:t>
      </w:r>
      <w:r>
        <w:rPr/>
      </w:r>
    </w:p>
    <w:p>
      <w:pPr>
        <w:pStyle w:val="BodyText"/>
        <w:spacing w:line="250" w:lineRule="exact" w:before="62"/>
        <w:ind w:right="546"/>
        <w:jc w:val="left"/>
        <w:rPr>
          <w:rFonts w:ascii="Segoe UI" w:hAnsi="Segoe UI" w:cs="Segoe UI" w:eastAsia="Segoe UI"/>
        </w:rPr>
      </w:pPr>
      <w:r>
        <w:rPr/>
        <w:br w:type="column"/>
      </w:r>
      <w:r>
        <w:rPr>
          <w:color w:val="231F20"/>
          <w:spacing w:val="-1"/>
        </w:rPr>
        <w:t>Some</w:t>
      </w:r>
      <w:r>
        <w:rPr>
          <w:color w:val="231F20"/>
          <w:spacing w:val="-4"/>
        </w:rPr>
        <w:t> </w:t>
      </w:r>
      <w:r>
        <w:rPr>
          <w:color w:val="231F20"/>
        </w:rPr>
        <w:t>boarding</w:t>
      </w:r>
      <w:r>
        <w:rPr>
          <w:color w:val="231F20"/>
          <w:spacing w:val="-5"/>
        </w:rPr>
        <w:t> </w:t>
      </w:r>
      <w:r>
        <w:rPr>
          <w:color w:val="231F20"/>
        </w:rPr>
        <w:t>providers</w:t>
      </w:r>
      <w:r>
        <w:rPr>
          <w:color w:val="231F20"/>
          <w:spacing w:val="-5"/>
        </w:rPr>
        <w:t> </w:t>
      </w:r>
      <w:r>
        <w:rPr>
          <w:color w:val="231F20"/>
        </w:rPr>
        <w:t>that</w:t>
      </w:r>
      <w:r>
        <w:rPr>
          <w:color w:val="231F20"/>
          <w:spacing w:val="-5"/>
        </w:rPr>
        <w:t> </w:t>
      </w:r>
      <w:r>
        <w:rPr>
          <w:color w:val="231F20"/>
          <w:spacing w:val="-1"/>
        </w:rPr>
        <w:t>specialise</w:t>
      </w:r>
      <w:r>
        <w:rPr>
          <w:color w:val="231F20"/>
          <w:spacing w:val="-3"/>
        </w:rPr>
        <w:t> </w:t>
      </w:r>
      <w:r>
        <w:rPr>
          <w:color w:val="231F20"/>
          <w:spacing w:val="-1"/>
        </w:rPr>
        <w:t>in</w:t>
      </w:r>
      <w:r>
        <w:rPr>
          <w:color w:val="231F20"/>
          <w:spacing w:val="23"/>
        </w:rPr>
        <w:t> </w:t>
      </w:r>
      <w:r>
        <w:rPr>
          <w:color w:val="231F20"/>
        </w:rPr>
        <w:t>boarding</w:t>
      </w:r>
      <w:r>
        <w:rPr>
          <w:color w:val="231F20"/>
          <w:spacing w:val="-7"/>
        </w:rPr>
        <w:t> </w:t>
      </w:r>
      <w:r>
        <w:rPr>
          <w:color w:val="231F20"/>
        </w:rPr>
        <w:t>for</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w:t>
      </w:r>
      <w:r>
        <w:rPr>
          <w:color w:val="231F20"/>
          <w:spacing w:val="-6"/>
        </w:rPr>
        <w:t> </w:t>
      </w:r>
      <w:r>
        <w:rPr>
          <w:color w:val="231F20"/>
          <w:spacing w:val="-2"/>
        </w:rPr>
        <w:t>Strait</w:t>
      </w:r>
      <w:r>
        <w:rPr>
          <w:color w:val="231F20"/>
          <w:spacing w:val="29"/>
          <w:w w:val="99"/>
        </w:rPr>
        <w:t> </w:t>
      </w:r>
      <w:r>
        <w:rPr>
          <w:color w:val="231F20"/>
          <w:spacing w:val="-1"/>
        </w:rPr>
        <w:t>Islander</w:t>
      </w:r>
      <w:r>
        <w:rPr>
          <w:color w:val="231F20"/>
          <w:spacing w:val="-6"/>
        </w:rPr>
        <w:t> </w:t>
      </w:r>
      <w:r>
        <w:rPr>
          <w:color w:val="231F20"/>
          <w:spacing w:val="-1"/>
        </w:rPr>
        <w:t>students</w:t>
      </w:r>
      <w:r>
        <w:rPr>
          <w:color w:val="231F20"/>
          <w:spacing w:val="-5"/>
        </w:rPr>
        <w:t> </w:t>
      </w:r>
      <w:r>
        <w:rPr>
          <w:color w:val="231F20"/>
        </w:rPr>
        <w:t>have</w:t>
      </w:r>
      <w:r>
        <w:rPr>
          <w:color w:val="231F20"/>
          <w:spacing w:val="-6"/>
        </w:rPr>
        <w:t> </w:t>
      </w:r>
      <w:r>
        <w:rPr>
          <w:color w:val="231F20"/>
          <w:spacing w:val="-1"/>
        </w:rPr>
        <w:t>indicated</w:t>
      </w:r>
      <w:r>
        <w:rPr>
          <w:color w:val="231F20"/>
          <w:spacing w:val="-5"/>
        </w:rPr>
        <w:t> </w:t>
      </w:r>
      <w:r>
        <w:rPr>
          <w:color w:val="231F20"/>
        </w:rPr>
        <w:t>that</w:t>
      </w:r>
      <w:r>
        <w:rPr>
          <w:color w:val="231F20"/>
          <w:spacing w:val="-7"/>
        </w:rPr>
        <w:t> </w:t>
      </w:r>
      <w:r>
        <w:rPr>
          <w:color w:val="231F20"/>
        </w:rPr>
        <w:t>due</w:t>
      </w:r>
      <w:r>
        <w:rPr>
          <w:color w:val="231F20"/>
          <w:spacing w:val="24"/>
          <w:w w:val="99"/>
        </w:rPr>
        <w:t> </w:t>
      </w:r>
      <w:r>
        <w:rPr>
          <w:rFonts w:ascii="Segoe UI"/>
          <w:color w:val="231F20"/>
        </w:rPr>
        <w:t>to limited financial resources, professional</w:t>
      </w:r>
      <w:r>
        <w:rPr>
          <w:rFonts w:ascii="Segoe UI"/>
        </w:rPr>
      </w:r>
    </w:p>
    <w:p>
      <w:pPr>
        <w:pStyle w:val="BodyText"/>
        <w:spacing w:line="250" w:lineRule="exact"/>
        <w:ind w:right="167"/>
        <w:jc w:val="left"/>
      </w:pPr>
      <w:r>
        <w:rPr>
          <w:color w:val="231F20"/>
        </w:rPr>
        <w:t>expertise</w:t>
      </w:r>
      <w:r>
        <w:rPr>
          <w:color w:val="231F20"/>
          <w:spacing w:val="-7"/>
        </w:rPr>
        <w:t> </w:t>
      </w:r>
      <w:r>
        <w:rPr>
          <w:color w:val="231F20"/>
        </w:rPr>
        <w:t>and</w:t>
      </w:r>
      <w:r>
        <w:rPr>
          <w:color w:val="231F20"/>
          <w:spacing w:val="-6"/>
        </w:rPr>
        <w:t> </w:t>
      </w:r>
      <w:r>
        <w:rPr>
          <w:color w:val="231F20"/>
        </w:rPr>
        <w:t>human</w:t>
      </w:r>
      <w:r>
        <w:rPr>
          <w:color w:val="231F20"/>
          <w:spacing w:val="-7"/>
        </w:rPr>
        <w:t> </w:t>
      </w:r>
      <w:r>
        <w:rPr>
          <w:color w:val="231F20"/>
        </w:rPr>
        <w:t>capital</w:t>
      </w:r>
      <w:r>
        <w:rPr>
          <w:color w:val="231F20"/>
          <w:spacing w:val="-6"/>
        </w:rPr>
        <w:t> </w:t>
      </w:r>
      <w:r>
        <w:rPr>
          <w:color w:val="231F20"/>
        </w:rPr>
        <w:t>they</w:t>
      </w:r>
      <w:r>
        <w:rPr>
          <w:color w:val="231F20"/>
          <w:spacing w:val="-6"/>
        </w:rPr>
        <w:t> </w:t>
      </w:r>
      <w:r>
        <w:rPr>
          <w:color w:val="231F20"/>
        </w:rPr>
        <w:t>are</w:t>
      </w:r>
      <w:r>
        <w:rPr>
          <w:color w:val="231F20"/>
          <w:spacing w:val="-7"/>
        </w:rPr>
        <w:t> </w:t>
      </w:r>
      <w:r>
        <w:rPr>
          <w:color w:val="231F20"/>
        </w:rPr>
        <w:t>unable</w:t>
      </w:r>
      <w:r>
        <w:rPr>
          <w:color w:val="231F20"/>
          <w:spacing w:val="-6"/>
        </w:rPr>
        <w:t> </w:t>
      </w:r>
      <w:r>
        <w:rPr>
          <w:color w:val="231F20"/>
        </w:rPr>
        <w:t>to</w:t>
      </w:r>
      <w:r>
        <w:rPr>
          <w:color w:val="231F20"/>
          <w:w w:val="99"/>
        </w:rPr>
        <w:t> </w:t>
      </w:r>
      <w:r>
        <w:rPr>
          <w:rFonts w:ascii="Segoe UI"/>
          <w:color w:val="231F20"/>
        </w:rPr>
        <w:t>offer</w:t>
      </w:r>
      <w:r>
        <w:rPr>
          <w:rFonts w:ascii="Segoe UI"/>
          <w:color w:val="231F20"/>
          <w:spacing w:val="-1"/>
        </w:rPr>
        <w:t> </w:t>
      </w:r>
      <w:r>
        <w:rPr>
          <w:rFonts w:ascii="Segoe UI"/>
          <w:color w:val="231F20"/>
        </w:rPr>
        <w:t>the</w:t>
      </w:r>
      <w:r>
        <w:rPr>
          <w:rFonts w:ascii="Segoe UI"/>
          <w:color w:val="231F20"/>
          <w:spacing w:val="-1"/>
        </w:rPr>
        <w:t> </w:t>
      </w:r>
      <w:r>
        <w:rPr>
          <w:rFonts w:ascii="Segoe UI"/>
          <w:color w:val="231F20"/>
        </w:rPr>
        <w:t>optimal</w:t>
      </w:r>
      <w:r>
        <w:rPr>
          <w:rFonts w:ascii="Segoe UI"/>
          <w:color w:val="231F20"/>
          <w:spacing w:val="-1"/>
        </w:rPr>
        <w:t> </w:t>
      </w:r>
      <w:r>
        <w:rPr>
          <w:rFonts w:ascii="Segoe UI"/>
          <w:color w:val="231F20"/>
        </w:rPr>
        <w:t>range of</w:t>
      </w:r>
      <w:r>
        <w:rPr>
          <w:rFonts w:ascii="Segoe UI"/>
          <w:color w:val="231F20"/>
          <w:spacing w:val="-1"/>
        </w:rPr>
        <w:t> </w:t>
      </w:r>
      <w:r>
        <w:rPr>
          <w:rFonts w:ascii="Segoe UI"/>
          <w:color w:val="231F20"/>
        </w:rPr>
        <w:t>assistance</w:t>
      </w:r>
      <w:r>
        <w:rPr>
          <w:rFonts w:ascii="Segoe UI"/>
          <w:color w:val="231F20"/>
          <w:spacing w:val="-1"/>
        </w:rPr>
        <w:t> </w:t>
      </w:r>
      <w:r>
        <w:rPr>
          <w:rFonts w:ascii="Segoe UI"/>
          <w:color w:val="231F20"/>
        </w:rPr>
        <w:t>measures</w:t>
      </w:r>
      <w:r>
        <w:rPr>
          <w:rFonts w:ascii="Segoe UI"/>
          <w:color w:val="231F20"/>
        </w:rPr>
        <w:t> </w:t>
      </w:r>
      <w:r>
        <w:rPr>
          <w:color w:val="231F20"/>
        </w:rPr>
        <w:t>required</w:t>
      </w:r>
      <w:r>
        <w:rPr>
          <w:color w:val="231F20"/>
          <w:spacing w:val="-7"/>
        </w:rPr>
        <w:t> </w:t>
      </w:r>
      <w:r>
        <w:rPr>
          <w:color w:val="231F20"/>
        </w:rPr>
        <w:t>to</w:t>
      </w:r>
      <w:r>
        <w:rPr>
          <w:color w:val="231F20"/>
          <w:spacing w:val="-6"/>
        </w:rPr>
        <w:t> </w:t>
      </w:r>
      <w:r>
        <w:rPr>
          <w:color w:val="231F20"/>
          <w:spacing w:val="-1"/>
        </w:rPr>
        <w:t>support</w:t>
      </w:r>
      <w:r>
        <w:rPr>
          <w:color w:val="231F20"/>
          <w:spacing w:val="-6"/>
        </w:rPr>
        <w:t> </w:t>
      </w:r>
      <w:r>
        <w:rPr>
          <w:color w:val="231F20"/>
        </w:rPr>
        <w:t>their</w:t>
      </w:r>
      <w:r>
        <w:rPr>
          <w:color w:val="231F20"/>
          <w:spacing w:val="-6"/>
        </w:rPr>
        <w:t> </w:t>
      </w:r>
      <w:r>
        <w:rPr>
          <w:color w:val="231F20"/>
        </w:rPr>
        <w:t>boarding</w:t>
      </w:r>
      <w:r>
        <w:rPr>
          <w:color w:val="231F20"/>
          <w:spacing w:val="-7"/>
        </w:rPr>
        <w:t> </w:t>
      </w:r>
      <w:r>
        <w:rPr>
          <w:color w:val="231F20"/>
          <w:spacing w:val="-1"/>
        </w:rPr>
        <w:t>students</w:t>
      </w:r>
      <w:r>
        <w:rPr>
          <w:color w:val="231F20"/>
          <w:spacing w:val="-1"/>
        </w:rPr>
        <w:t> </w:t>
      </w:r>
      <w:r>
        <w:rPr>
          <w:color w:val="231F20"/>
          <w:spacing w:val="21"/>
        </w:rPr>
        <w:t> </w:t>
      </w:r>
      <w:r>
        <w:rPr>
          <w:color w:val="231F20"/>
        </w:rPr>
        <w:t>for</w:t>
      </w:r>
      <w:r>
        <w:rPr>
          <w:color w:val="231F20"/>
          <w:spacing w:val="-4"/>
        </w:rPr>
        <w:t> </w:t>
      </w:r>
      <w:r>
        <w:rPr>
          <w:color w:val="231F20"/>
          <w:spacing w:val="-1"/>
        </w:rPr>
        <w:t>success.</w:t>
      </w:r>
      <w:r>
        <w:rPr>
          <w:color w:val="231F20"/>
          <w:spacing w:val="-4"/>
        </w:rPr>
        <w:t> </w:t>
      </w:r>
      <w:r>
        <w:rPr>
          <w:color w:val="231F20"/>
        </w:rPr>
        <w:t>Many</w:t>
      </w:r>
      <w:r>
        <w:rPr>
          <w:color w:val="231F20"/>
          <w:spacing w:val="-4"/>
        </w:rPr>
        <w:t> </w:t>
      </w:r>
      <w:r>
        <w:rPr>
          <w:color w:val="231F20"/>
        </w:rPr>
        <w:t>boarding</w:t>
      </w:r>
      <w:r>
        <w:rPr>
          <w:color w:val="231F20"/>
          <w:spacing w:val="-5"/>
        </w:rPr>
        <w:t> </w:t>
      </w:r>
      <w:r>
        <w:rPr>
          <w:color w:val="231F20"/>
        </w:rPr>
        <w:t>providers</w:t>
      </w:r>
      <w:r>
        <w:rPr>
          <w:color w:val="231F20"/>
          <w:spacing w:val="-5"/>
        </w:rPr>
        <w:t> </w:t>
      </w:r>
      <w:r>
        <w:rPr>
          <w:color w:val="231F20"/>
          <w:spacing w:val="-1"/>
        </w:rPr>
        <w:t>in</w:t>
      </w:r>
      <w:r>
        <w:rPr>
          <w:color w:val="231F20"/>
          <w:spacing w:val="-4"/>
        </w:rPr>
        <w:t> </w:t>
      </w:r>
      <w:r>
        <w:rPr>
          <w:color w:val="231F20"/>
        </w:rPr>
        <w:t>this</w:t>
      </w:r>
      <w:r>
        <w:rPr>
          <w:color w:val="231F20"/>
          <w:spacing w:val="23"/>
        </w:rPr>
        <w:t> </w:t>
      </w:r>
      <w:r>
        <w:rPr>
          <w:color w:val="231F20"/>
        </w:rPr>
        <w:t>category</w:t>
      </w:r>
      <w:r>
        <w:rPr>
          <w:color w:val="231F20"/>
          <w:spacing w:val="-8"/>
        </w:rPr>
        <w:t> </w:t>
      </w:r>
      <w:r>
        <w:rPr>
          <w:color w:val="231F20"/>
        </w:rPr>
        <w:t>have</w:t>
      </w:r>
      <w:r>
        <w:rPr>
          <w:color w:val="231F20"/>
          <w:spacing w:val="-8"/>
        </w:rPr>
        <w:t> </w:t>
      </w:r>
      <w:r>
        <w:rPr>
          <w:color w:val="231F20"/>
          <w:spacing w:val="-1"/>
        </w:rPr>
        <w:t>low</w:t>
      </w:r>
      <w:r>
        <w:rPr>
          <w:color w:val="231F20"/>
          <w:spacing w:val="-7"/>
        </w:rPr>
        <w:t> </w:t>
      </w:r>
      <w:r>
        <w:rPr>
          <w:color w:val="231F20"/>
        </w:rPr>
        <w:t>retention</w:t>
      </w:r>
      <w:r>
        <w:rPr>
          <w:color w:val="231F20"/>
          <w:spacing w:val="-8"/>
        </w:rPr>
        <w:t> </w:t>
      </w:r>
      <w:r>
        <w:rPr>
          <w:color w:val="231F20"/>
        </w:rPr>
        <w:t>and</w:t>
      </w:r>
      <w:r>
        <w:rPr>
          <w:color w:val="231F20"/>
          <w:spacing w:val="-9"/>
        </w:rPr>
        <w:t> </w:t>
      </w:r>
      <w:r>
        <w:rPr>
          <w:color w:val="231F20"/>
        </w:rPr>
        <w:t>attendance</w:t>
      </w:r>
      <w:r>
        <w:rPr>
          <w:color w:val="231F20"/>
          <w:spacing w:val="21"/>
          <w:w w:val="99"/>
        </w:rPr>
        <w:t> </w:t>
      </w:r>
      <w:r>
        <w:rPr>
          <w:color w:val="231F20"/>
        </w:rPr>
        <w:t>rates,</w:t>
      </w:r>
      <w:r>
        <w:rPr>
          <w:color w:val="231F20"/>
          <w:spacing w:val="-5"/>
        </w:rPr>
        <w:t> </w:t>
      </w:r>
      <w:r>
        <w:rPr>
          <w:color w:val="231F20"/>
        </w:rPr>
        <w:t>and</w:t>
      </w:r>
      <w:r>
        <w:rPr>
          <w:color w:val="231F20"/>
          <w:spacing w:val="-4"/>
        </w:rPr>
        <w:t> </w:t>
      </w:r>
      <w:r>
        <w:rPr>
          <w:color w:val="231F20"/>
        </w:rPr>
        <w:t>high</w:t>
      </w:r>
      <w:r>
        <w:rPr>
          <w:color w:val="231F20"/>
          <w:spacing w:val="-4"/>
        </w:rPr>
        <w:t> </w:t>
      </w:r>
      <w:r>
        <w:rPr>
          <w:color w:val="231F20"/>
        </w:rPr>
        <w:t>rates</w:t>
      </w:r>
      <w:r>
        <w:rPr>
          <w:color w:val="231F20"/>
          <w:spacing w:val="-5"/>
        </w:rPr>
        <w:t> </w:t>
      </w:r>
      <w:r>
        <w:rPr>
          <w:color w:val="231F20"/>
        </w:rPr>
        <w:t>of</w:t>
      </w:r>
      <w:r>
        <w:rPr>
          <w:color w:val="231F20"/>
          <w:spacing w:val="-3"/>
        </w:rPr>
        <w:t> </w:t>
      </w:r>
      <w:r>
        <w:rPr>
          <w:color w:val="231F20"/>
          <w:spacing w:val="-1"/>
        </w:rPr>
        <w:t>suspension</w:t>
      </w:r>
      <w:r>
        <w:rPr>
          <w:color w:val="231F20"/>
          <w:spacing w:val="-2"/>
        </w:rPr>
        <w:t> </w:t>
      </w:r>
      <w:r>
        <w:rPr>
          <w:color w:val="231F20"/>
        </w:rPr>
        <w:t>or</w:t>
      </w:r>
      <w:r>
        <w:rPr>
          <w:color w:val="231F20"/>
          <w:spacing w:val="22"/>
          <w:w w:val="99"/>
        </w:rPr>
        <w:t> </w:t>
      </w:r>
      <w:r>
        <w:rPr>
          <w:color w:val="231F20"/>
        </w:rPr>
        <w:t>expulsion.</w:t>
      </w:r>
      <w:r>
        <w:rPr/>
      </w:r>
    </w:p>
    <w:p>
      <w:pPr>
        <w:pStyle w:val="BodyText"/>
        <w:spacing w:line="250" w:lineRule="exact" w:before="113"/>
        <w:ind w:right="116"/>
        <w:jc w:val="left"/>
      </w:pPr>
      <w:r>
        <w:rPr>
          <w:color w:val="231F20"/>
        </w:rPr>
        <w:t>Many</w:t>
      </w:r>
      <w:r>
        <w:rPr>
          <w:color w:val="231F20"/>
          <w:spacing w:val="-6"/>
        </w:rPr>
        <w:t> </w:t>
      </w:r>
      <w:r>
        <w:rPr>
          <w:color w:val="231F20"/>
        </w:rPr>
        <w:t>Aboriginal</w:t>
      </w:r>
      <w:r>
        <w:rPr>
          <w:color w:val="231F20"/>
          <w:spacing w:val="-6"/>
        </w:rPr>
        <w:t> </w:t>
      </w:r>
      <w:r>
        <w:rPr>
          <w:color w:val="231F20"/>
        </w:rPr>
        <w:t>and</w:t>
      </w:r>
      <w:r>
        <w:rPr>
          <w:color w:val="231F20"/>
          <w:spacing w:val="-6"/>
        </w:rPr>
        <w:t> </w:t>
      </w:r>
      <w:r>
        <w:rPr>
          <w:color w:val="231F20"/>
          <w:spacing w:val="-5"/>
        </w:rPr>
        <w:t>Torres </w:t>
      </w:r>
      <w:r>
        <w:rPr>
          <w:color w:val="231F20"/>
          <w:spacing w:val="-2"/>
        </w:rPr>
        <w:t>Strait</w:t>
      </w:r>
      <w:r>
        <w:rPr>
          <w:color w:val="231F20"/>
          <w:spacing w:val="-7"/>
        </w:rPr>
        <w:t> </w:t>
      </w:r>
      <w:r>
        <w:rPr>
          <w:color w:val="231F20"/>
          <w:spacing w:val="-1"/>
        </w:rPr>
        <w:t>Islander</w:t>
      </w:r>
      <w:r>
        <w:rPr>
          <w:color w:val="231F20"/>
          <w:spacing w:val="29"/>
          <w:w w:val="99"/>
        </w:rPr>
        <w:t> </w:t>
      </w:r>
      <w:r>
        <w:rPr>
          <w:rFonts w:ascii="Segoe UI"/>
          <w:color w:val="231F20"/>
        </w:rPr>
        <w:t>students and their families also find the</w:t>
      </w:r>
      <w:r>
        <w:rPr>
          <w:rFonts w:ascii="Segoe UI"/>
          <w:color w:val="231F20"/>
        </w:rPr>
        <w:t> </w:t>
      </w:r>
      <w:r>
        <w:rPr>
          <w:color w:val="231F20"/>
        </w:rPr>
        <w:t>transition</w:t>
      </w:r>
      <w:r>
        <w:rPr>
          <w:color w:val="231F20"/>
          <w:spacing w:val="-7"/>
        </w:rPr>
        <w:t> </w:t>
      </w:r>
      <w:r>
        <w:rPr>
          <w:color w:val="231F20"/>
        </w:rPr>
        <w:t>away</w:t>
      </w:r>
      <w:r>
        <w:rPr>
          <w:color w:val="231F20"/>
          <w:spacing w:val="-6"/>
        </w:rPr>
        <w:t> </w:t>
      </w:r>
      <w:r>
        <w:rPr>
          <w:color w:val="231F20"/>
        </w:rPr>
        <w:t>from</w:t>
      </w:r>
      <w:r>
        <w:rPr>
          <w:color w:val="231F20"/>
          <w:spacing w:val="-5"/>
        </w:rPr>
        <w:t> </w:t>
      </w:r>
      <w:r>
        <w:rPr>
          <w:color w:val="231F20"/>
        </w:rPr>
        <w:t>home</w:t>
      </w:r>
      <w:r>
        <w:rPr>
          <w:color w:val="231F20"/>
          <w:spacing w:val="-6"/>
        </w:rPr>
        <w:t> </w:t>
      </w:r>
      <w:r>
        <w:rPr>
          <w:color w:val="231F20"/>
        </w:rPr>
        <w:t>to</w:t>
      </w:r>
      <w:r>
        <w:rPr>
          <w:color w:val="231F20"/>
          <w:spacing w:val="-5"/>
        </w:rPr>
        <w:t> </w:t>
      </w:r>
      <w:r>
        <w:rPr>
          <w:color w:val="231F20"/>
          <w:spacing w:val="-1"/>
        </w:rPr>
        <w:t>studying</w:t>
      </w:r>
      <w:r>
        <w:rPr>
          <w:color w:val="231F20"/>
          <w:spacing w:val="-5"/>
        </w:rPr>
        <w:t> </w:t>
      </w:r>
      <w:r>
        <w:rPr>
          <w:color w:val="231F20"/>
        </w:rPr>
        <w:t>away</w:t>
      </w:r>
      <w:r>
        <w:rPr>
          <w:color w:val="231F20"/>
          <w:spacing w:val="22"/>
          <w:w w:val="99"/>
        </w:rPr>
        <w:t> </w:t>
      </w:r>
      <w:r>
        <w:rPr>
          <w:rFonts w:ascii="Segoe UI"/>
          <w:color w:val="231F20"/>
        </w:rPr>
        <w:t>very difficult and face a multitude of challenges</w:t>
      </w:r>
      <w:r>
        <w:rPr>
          <w:rFonts w:ascii="Segoe UI"/>
          <w:color w:val="231F20"/>
        </w:rPr>
        <w:t> along the way. These include insufficient </w:t>
      </w:r>
      <w:r>
        <w:rPr>
          <w:color w:val="231F20"/>
        </w:rPr>
        <w:t>preparation,</w:t>
      </w:r>
      <w:r>
        <w:rPr>
          <w:color w:val="231F20"/>
          <w:spacing w:val="-13"/>
        </w:rPr>
        <w:t> </w:t>
      </w:r>
      <w:r>
        <w:rPr>
          <w:color w:val="231F20"/>
        </w:rPr>
        <w:t>administrative</w:t>
      </w:r>
      <w:r>
        <w:rPr>
          <w:color w:val="231F20"/>
          <w:spacing w:val="-14"/>
        </w:rPr>
        <w:t> </w:t>
      </w:r>
      <w:r>
        <w:rPr>
          <w:color w:val="231F20"/>
        </w:rPr>
        <w:t>challenges</w:t>
      </w:r>
      <w:r>
        <w:rPr>
          <w:color w:val="231F20"/>
          <w:spacing w:val="-13"/>
        </w:rPr>
        <w:t> </w:t>
      </w:r>
      <w:r>
        <w:rPr>
          <w:color w:val="231F20"/>
        </w:rPr>
        <w:t>and</w:t>
      </w:r>
      <w:r>
        <w:rPr/>
      </w:r>
    </w:p>
    <w:p>
      <w:pPr>
        <w:pStyle w:val="BodyText"/>
        <w:spacing w:line="242" w:lineRule="exact"/>
        <w:ind w:right="0"/>
        <w:jc w:val="left"/>
        <w:rPr>
          <w:rFonts w:ascii="Segoe UI" w:hAnsi="Segoe UI" w:cs="Segoe UI" w:eastAsia="Segoe UI"/>
        </w:rPr>
      </w:pPr>
      <w:r>
        <w:rPr>
          <w:rFonts w:ascii="Segoe UI"/>
          <w:color w:val="231F20"/>
        </w:rPr>
        <w:t>the need to overcome significant social and</w:t>
      </w:r>
      <w:r>
        <w:rPr>
          <w:rFonts w:ascii="Segoe UI"/>
        </w:rPr>
      </w:r>
    </w:p>
    <w:p>
      <w:pPr>
        <w:pStyle w:val="BodyText"/>
        <w:spacing w:line="258" w:lineRule="exact"/>
        <w:ind w:right="0"/>
        <w:jc w:val="left"/>
      </w:pPr>
      <w:r>
        <w:rPr>
          <w:color w:val="231F20"/>
        </w:rPr>
        <w:t>cultural</w:t>
      </w:r>
      <w:r>
        <w:rPr>
          <w:color w:val="231F20"/>
          <w:spacing w:val="-9"/>
        </w:rPr>
        <w:t> </w:t>
      </w:r>
      <w:r>
        <w:rPr>
          <w:color w:val="231F20"/>
        </w:rPr>
        <w:t>gaps</w:t>
      </w:r>
      <w:r>
        <w:rPr>
          <w:color w:val="231F20"/>
          <w:spacing w:val="-8"/>
        </w:rPr>
        <w:t> </w:t>
      </w:r>
      <w:r>
        <w:rPr>
          <w:color w:val="231F20"/>
        </w:rPr>
        <w:t>between</w:t>
      </w:r>
      <w:r>
        <w:rPr>
          <w:color w:val="231F20"/>
          <w:spacing w:val="-8"/>
        </w:rPr>
        <w:t> </w:t>
      </w:r>
      <w:r>
        <w:rPr>
          <w:color w:val="231F20"/>
        </w:rPr>
        <w:t>boarding</w:t>
      </w:r>
      <w:r>
        <w:rPr>
          <w:color w:val="231F20"/>
          <w:spacing w:val="-8"/>
        </w:rPr>
        <w:t> </w:t>
      </w:r>
      <w:r>
        <w:rPr>
          <w:color w:val="231F20"/>
        </w:rPr>
        <w:t>and</w:t>
      </w:r>
      <w:r>
        <w:rPr>
          <w:color w:val="231F20"/>
          <w:spacing w:val="-8"/>
        </w:rPr>
        <w:t> </w:t>
      </w:r>
      <w:r>
        <w:rPr>
          <w:color w:val="231F20"/>
        </w:rPr>
        <w:t>home.</w:t>
      </w:r>
      <w:r>
        <w:rPr/>
      </w:r>
    </w:p>
    <w:p>
      <w:pPr>
        <w:spacing w:line="250" w:lineRule="exact" w:before="113"/>
        <w:ind w:left="117" w:right="375" w:firstLine="0"/>
        <w:jc w:val="left"/>
        <w:rPr>
          <w:rFonts w:ascii="Segoe UI" w:hAnsi="Segoe UI" w:cs="Segoe UI" w:eastAsia="Segoe UI"/>
          <w:sz w:val="20"/>
          <w:szCs w:val="20"/>
        </w:rPr>
      </w:pPr>
      <w:r>
        <w:rPr>
          <w:rFonts w:ascii="Segoe UI"/>
          <w:color w:val="231F20"/>
          <w:spacing w:val="-1"/>
          <w:sz w:val="20"/>
        </w:rPr>
        <w:t>In</w:t>
      </w:r>
      <w:r>
        <w:rPr>
          <w:rFonts w:ascii="Segoe UI"/>
          <w:color w:val="231F20"/>
          <w:spacing w:val="-4"/>
          <w:sz w:val="20"/>
        </w:rPr>
        <w:t> </w:t>
      </w:r>
      <w:r>
        <w:rPr>
          <w:rFonts w:ascii="Segoe UI"/>
          <w:color w:val="231F20"/>
          <w:spacing w:val="-1"/>
          <w:sz w:val="20"/>
        </w:rPr>
        <w:t>December</w:t>
      </w:r>
      <w:r>
        <w:rPr>
          <w:rFonts w:ascii="Segoe UI"/>
          <w:color w:val="231F20"/>
          <w:spacing w:val="-4"/>
          <w:sz w:val="20"/>
        </w:rPr>
        <w:t> </w:t>
      </w:r>
      <w:r>
        <w:rPr>
          <w:rFonts w:ascii="Segoe UI"/>
          <w:color w:val="231F20"/>
          <w:spacing w:val="-1"/>
          <w:sz w:val="20"/>
        </w:rPr>
        <w:t>2017</w:t>
      </w:r>
      <w:r>
        <w:rPr>
          <w:rFonts w:ascii="Segoe UI"/>
          <w:color w:val="231F20"/>
          <w:spacing w:val="-4"/>
          <w:sz w:val="20"/>
        </w:rPr>
        <w:t> </w:t>
      </w:r>
      <w:r>
        <w:rPr>
          <w:rFonts w:ascii="Segoe UI"/>
          <w:color w:val="231F20"/>
          <w:spacing w:val="-1"/>
          <w:sz w:val="20"/>
        </w:rPr>
        <w:t>PM&amp;C</w:t>
      </w:r>
      <w:r>
        <w:rPr>
          <w:rFonts w:ascii="Segoe UI"/>
          <w:color w:val="231F20"/>
          <w:spacing w:val="-4"/>
          <w:sz w:val="20"/>
        </w:rPr>
        <w:t> </w:t>
      </w:r>
      <w:r>
        <w:rPr>
          <w:rFonts w:ascii="Segoe UI"/>
          <w:color w:val="231F20"/>
          <w:sz w:val="20"/>
        </w:rPr>
        <w:t>released</w:t>
      </w:r>
      <w:r>
        <w:rPr>
          <w:rFonts w:ascii="Segoe UI"/>
          <w:color w:val="231F20"/>
          <w:spacing w:val="-5"/>
          <w:sz w:val="20"/>
        </w:rPr>
        <w:t> </w:t>
      </w:r>
      <w:r>
        <w:rPr>
          <w:rFonts w:ascii="Segoe UI"/>
          <w:color w:val="231F20"/>
          <w:sz w:val="20"/>
        </w:rPr>
        <w:t>a</w:t>
      </w:r>
      <w:r>
        <w:rPr>
          <w:rFonts w:ascii="Segoe UI"/>
          <w:color w:val="231F20"/>
          <w:spacing w:val="-4"/>
          <w:sz w:val="20"/>
        </w:rPr>
        <w:t> </w:t>
      </w:r>
      <w:r>
        <w:rPr>
          <w:rFonts w:ascii="Segoe UI"/>
          <w:color w:val="231F20"/>
          <w:sz w:val="20"/>
        </w:rPr>
        <w:t>review</w:t>
      </w:r>
      <w:r>
        <w:rPr>
          <w:rFonts w:ascii="Segoe UI"/>
          <w:color w:val="231F20"/>
          <w:spacing w:val="25"/>
          <w:w w:val="99"/>
          <w:sz w:val="20"/>
        </w:rPr>
        <w:t> </w:t>
      </w:r>
      <w:r>
        <w:rPr>
          <w:rFonts w:ascii="Segoe UI"/>
          <w:color w:val="231F20"/>
          <w:sz w:val="20"/>
        </w:rPr>
        <w:t>of</w:t>
      </w:r>
      <w:r>
        <w:rPr>
          <w:rFonts w:ascii="Segoe UI"/>
          <w:color w:val="231F20"/>
          <w:spacing w:val="-7"/>
          <w:sz w:val="20"/>
        </w:rPr>
        <w:t> </w:t>
      </w:r>
      <w:r>
        <w:rPr>
          <w:rFonts w:ascii="Segoe UI"/>
          <w:color w:val="231F20"/>
          <w:sz w:val="20"/>
        </w:rPr>
        <w:t>boarding</w:t>
      </w:r>
      <w:r>
        <w:rPr>
          <w:rFonts w:ascii="Segoe UI"/>
          <w:color w:val="231F20"/>
          <w:spacing w:val="-7"/>
          <w:sz w:val="20"/>
        </w:rPr>
        <w:t> </w:t>
      </w:r>
      <w:r>
        <w:rPr>
          <w:rFonts w:ascii="Segoe UI"/>
          <w:color w:val="231F20"/>
          <w:spacing w:val="-1"/>
          <w:sz w:val="20"/>
        </w:rPr>
        <w:t>support</w:t>
      </w:r>
      <w:r>
        <w:rPr>
          <w:rFonts w:ascii="Segoe UI"/>
          <w:color w:val="231F20"/>
          <w:spacing w:val="-6"/>
          <w:sz w:val="20"/>
        </w:rPr>
        <w:t> </w:t>
      </w:r>
      <w:r>
        <w:rPr>
          <w:rFonts w:ascii="Segoe UI"/>
          <w:color w:val="231F20"/>
          <w:sz w:val="20"/>
        </w:rPr>
        <w:t>for</w:t>
      </w:r>
      <w:r>
        <w:rPr>
          <w:rFonts w:ascii="Segoe UI"/>
          <w:color w:val="231F20"/>
          <w:spacing w:val="-7"/>
          <w:sz w:val="20"/>
        </w:rPr>
        <w:t> </w:t>
      </w:r>
      <w:r>
        <w:rPr>
          <w:rFonts w:ascii="Segoe UI"/>
          <w:color w:val="231F20"/>
          <w:sz w:val="20"/>
        </w:rPr>
        <w:t>Aboriginal</w:t>
      </w:r>
      <w:r>
        <w:rPr>
          <w:rFonts w:ascii="Segoe UI"/>
          <w:color w:val="231F20"/>
          <w:spacing w:val="-6"/>
          <w:sz w:val="20"/>
        </w:rPr>
        <w:t> </w:t>
      </w:r>
      <w:r>
        <w:rPr>
          <w:rFonts w:ascii="Segoe UI"/>
          <w:color w:val="231F20"/>
          <w:sz w:val="20"/>
        </w:rPr>
        <w:t>and</w:t>
      </w:r>
      <w:r>
        <w:rPr>
          <w:rFonts w:ascii="Segoe UI"/>
          <w:color w:val="231F20"/>
          <w:spacing w:val="22"/>
          <w:w w:val="99"/>
          <w:sz w:val="20"/>
        </w:rPr>
        <w:t> </w:t>
      </w:r>
      <w:r>
        <w:rPr>
          <w:rFonts w:ascii="Segoe UI"/>
          <w:color w:val="231F20"/>
          <w:spacing w:val="-5"/>
          <w:sz w:val="20"/>
        </w:rPr>
        <w:t>Torres</w:t>
      </w:r>
      <w:r>
        <w:rPr>
          <w:rFonts w:ascii="Segoe UI"/>
          <w:color w:val="231F20"/>
          <w:spacing w:val="-6"/>
          <w:sz w:val="20"/>
        </w:rPr>
        <w:t> </w:t>
      </w:r>
      <w:r>
        <w:rPr>
          <w:rFonts w:ascii="Segoe UI"/>
          <w:color w:val="231F20"/>
          <w:spacing w:val="-2"/>
          <w:sz w:val="20"/>
        </w:rPr>
        <w:t>Strait</w:t>
      </w:r>
      <w:r>
        <w:rPr>
          <w:rFonts w:ascii="Segoe UI"/>
          <w:color w:val="231F20"/>
          <w:spacing w:val="-7"/>
          <w:sz w:val="20"/>
        </w:rPr>
        <w:t> </w:t>
      </w:r>
      <w:r>
        <w:rPr>
          <w:rFonts w:ascii="Segoe UI"/>
          <w:color w:val="231F20"/>
          <w:spacing w:val="-1"/>
          <w:sz w:val="20"/>
        </w:rPr>
        <w:t>Islander</w:t>
      </w:r>
      <w:r>
        <w:rPr>
          <w:rFonts w:ascii="Segoe UI"/>
          <w:color w:val="231F20"/>
          <w:spacing w:val="-6"/>
          <w:sz w:val="20"/>
        </w:rPr>
        <w:t> </w:t>
      </w:r>
      <w:r>
        <w:rPr>
          <w:rFonts w:ascii="Segoe UI"/>
          <w:color w:val="231F20"/>
          <w:spacing w:val="-1"/>
          <w:sz w:val="20"/>
        </w:rPr>
        <w:t>secondary</w:t>
      </w:r>
      <w:r>
        <w:rPr>
          <w:rFonts w:ascii="Segoe UI"/>
          <w:color w:val="231F20"/>
          <w:spacing w:val="-5"/>
          <w:sz w:val="20"/>
        </w:rPr>
        <w:t> </w:t>
      </w:r>
      <w:r>
        <w:rPr>
          <w:rFonts w:ascii="Segoe UI"/>
          <w:color w:val="231F20"/>
          <w:spacing w:val="-1"/>
          <w:sz w:val="20"/>
        </w:rPr>
        <w:t>students:</w:t>
      </w:r>
      <w:r>
        <w:rPr>
          <w:rFonts w:ascii="Segoe UI"/>
          <w:color w:val="231F20"/>
          <w:spacing w:val="-5"/>
          <w:sz w:val="20"/>
        </w:rPr>
        <w:t> </w:t>
      </w:r>
      <w:r>
        <w:rPr>
          <w:rFonts w:ascii="Segoe UI"/>
          <w:color w:val="231F20"/>
          <w:sz w:val="20"/>
        </w:rPr>
        <w:t>the</w:t>
      </w:r>
      <w:r>
        <w:rPr>
          <w:rFonts w:ascii="Segoe UI"/>
          <w:color w:val="231F20"/>
          <w:spacing w:val="25"/>
          <w:w w:val="99"/>
          <w:sz w:val="20"/>
        </w:rPr>
        <w:t> </w:t>
      </w:r>
      <w:r>
        <w:rPr>
          <w:rFonts w:ascii="Segoe UI"/>
          <w:color w:val="231F20"/>
          <w:spacing w:val="-1"/>
          <w:sz w:val="20"/>
        </w:rPr>
        <w:t>S</w:t>
      </w:r>
      <w:r>
        <w:rPr>
          <w:rFonts w:ascii="Segoe UI"/>
          <w:i/>
          <w:color w:val="231F20"/>
          <w:spacing w:val="-1"/>
          <w:sz w:val="20"/>
        </w:rPr>
        <w:t>tudy</w:t>
      </w:r>
      <w:r>
        <w:rPr>
          <w:rFonts w:ascii="Segoe UI"/>
          <w:i/>
          <w:color w:val="231F20"/>
          <w:spacing w:val="-2"/>
          <w:sz w:val="20"/>
        </w:rPr>
        <w:t> Away</w:t>
      </w:r>
      <w:r>
        <w:rPr>
          <w:rFonts w:ascii="Segoe UI"/>
          <w:i/>
          <w:color w:val="231F20"/>
          <w:spacing w:val="-3"/>
          <w:sz w:val="20"/>
        </w:rPr>
        <w:t> </w:t>
      </w:r>
      <w:r>
        <w:rPr>
          <w:rFonts w:ascii="Segoe UI"/>
          <w:i/>
          <w:color w:val="231F20"/>
          <w:spacing w:val="-1"/>
          <w:sz w:val="20"/>
        </w:rPr>
        <w:t>Review:</w:t>
      </w:r>
      <w:r>
        <w:rPr>
          <w:rFonts w:ascii="Segoe UI"/>
          <w:i/>
          <w:color w:val="231F20"/>
          <w:spacing w:val="-2"/>
          <w:sz w:val="20"/>
        </w:rPr>
        <w:t> </w:t>
      </w:r>
      <w:r>
        <w:rPr>
          <w:rFonts w:ascii="Segoe UI"/>
          <w:i/>
          <w:color w:val="231F20"/>
          <w:spacing w:val="-1"/>
          <w:sz w:val="20"/>
        </w:rPr>
        <w:t>Review</w:t>
      </w:r>
      <w:r>
        <w:rPr>
          <w:rFonts w:ascii="Segoe UI"/>
          <w:i/>
          <w:color w:val="231F20"/>
          <w:spacing w:val="-3"/>
          <w:sz w:val="20"/>
        </w:rPr>
        <w:t> </w:t>
      </w:r>
      <w:r>
        <w:rPr>
          <w:rFonts w:ascii="Segoe UI"/>
          <w:i/>
          <w:color w:val="231F20"/>
          <w:spacing w:val="-2"/>
          <w:sz w:val="20"/>
        </w:rPr>
        <w:t>of </w:t>
      </w:r>
      <w:r>
        <w:rPr>
          <w:rFonts w:ascii="Segoe UI"/>
          <w:i/>
          <w:color w:val="231F20"/>
          <w:sz w:val="20"/>
        </w:rPr>
        <w:t>Support</w:t>
      </w:r>
      <w:r>
        <w:rPr>
          <w:rFonts w:ascii="Segoe UI"/>
          <w:i/>
          <w:color w:val="231F20"/>
          <w:spacing w:val="-3"/>
          <w:sz w:val="20"/>
        </w:rPr>
        <w:t> </w:t>
      </w:r>
      <w:r>
        <w:rPr>
          <w:rFonts w:ascii="Segoe UI"/>
          <w:i/>
          <w:color w:val="231F20"/>
          <w:sz w:val="20"/>
        </w:rPr>
        <w:t>for</w:t>
      </w:r>
      <w:r>
        <w:rPr>
          <w:rFonts w:ascii="Segoe UI"/>
          <w:sz w:val="20"/>
        </w:rPr>
      </w:r>
    </w:p>
    <w:p>
      <w:pPr>
        <w:spacing w:line="250" w:lineRule="exact" w:before="0"/>
        <w:ind w:left="117" w:right="116" w:firstLine="0"/>
        <w:jc w:val="left"/>
        <w:rPr>
          <w:rFonts w:ascii="Segoe UI" w:hAnsi="Segoe UI" w:cs="Segoe UI" w:eastAsia="Segoe UI"/>
          <w:sz w:val="20"/>
          <w:szCs w:val="20"/>
        </w:rPr>
      </w:pPr>
      <w:r>
        <w:rPr>
          <w:rFonts w:ascii="Segoe UI"/>
          <w:i/>
          <w:color w:val="231F20"/>
          <w:sz w:val="20"/>
        </w:rPr>
        <w:t>Aboriginal</w:t>
      </w:r>
      <w:r>
        <w:rPr>
          <w:rFonts w:ascii="Segoe UI"/>
          <w:i/>
          <w:color w:val="231F20"/>
          <w:spacing w:val="-6"/>
          <w:sz w:val="20"/>
        </w:rPr>
        <w:t> </w:t>
      </w:r>
      <w:r>
        <w:rPr>
          <w:rFonts w:ascii="Segoe UI"/>
          <w:i/>
          <w:color w:val="231F20"/>
          <w:sz w:val="20"/>
        </w:rPr>
        <w:t>and</w:t>
      </w:r>
      <w:r>
        <w:rPr>
          <w:rFonts w:ascii="Segoe UI"/>
          <w:i/>
          <w:color w:val="231F20"/>
          <w:spacing w:val="-5"/>
          <w:sz w:val="20"/>
        </w:rPr>
        <w:t> T</w:t>
      </w:r>
      <w:r>
        <w:rPr>
          <w:rFonts w:ascii="Segoe UI"/>
          <w:i/>
          <w:color w:val="231F20"/>
          <w:spacing w:val="-4"/>
          <w:sz w:val="20"/>
        </w:rPr>
        <w:t>orr</w:t>
      </w:r>
      <w:r>
        <w:rPr>
          <w:rFonts w:ascii="Segoe UI"/>
          <w:i/>
          <w:color w:val="231F20"/>
          <w:spacing w:val="-5"/>
          <w:sz w:val="20"/>
        </w:rPr>
        <w:t>es </w:t>
      </w:r>
      <w:r>
        <w:rPr>
          <w:rFonts w:ascii="Segoe UI"/>
          <w:i/>
          <w:color w:val="231F20"/>
          <w:spacing w:val="-1"/>
          <w:sz w:val="20"/>
        </w:rPr>
        <w:t>Strait</w:t>
      </w:r>
      <w:r>
        <w:rPr>
          <w:rFonts w:ascii="Segoe UI"/>
          <w:i/>
          <w:color w:val="231F20"/>
          <w:spacing w:val="-5"/>
          <w:sz w:val="20"/>
        </w:rPr>
        <w:t> </w:t>
      </w:r>
      <w:r>
        <w:rPr>
          <w:rFonts w:ascii="Segoe UI"/>
          <w:i/>
          <w:color w:val="231F20"/>
          <w:spacing w:val="-1"/>
          <w:sz w:val="20"/>
        </w:rPr>
        <w:t>Islander</w:t>
      </w:r>
      <w:r>
        <w:rPr>
          <w:rFonts w:ascii="Segoe UI"/>
          <w:i/>
          <w:color w:val="231F20"/>
          <w:spacing w:val="-4"/>
          <w:sz w:val="20"/>
        </w:rPr>
        <w:t> </w:t>
      </w:r>
      <w:r>
        <w:rPr>
          <w:rFonts w:ascii="Segoe UI"/>
          <w:i/>
          <w:color w:val="231F20"/>
          <w:spacing w:val="-1"/>
          <w:sz w:val="20"/>
        </w:rPr>
        <w:t>Secondary</w:t>
      </w:r>
      <w:r>
        <w:rPr>
          <w:rFonts w:ascii="Segoe UI"/>
          <w:i/>
          <w:color w:val="231F20"/>
          <w:spacing w:val="29"/>
          <w:w w:val="99"/>
          <w:sz w:val="20"/>
        </w:rPr>
        <w:t> </w:t>
      </w:r>
      <w:r>
        <w:rPr>
          <w:rFonts w:ascii="Segoe UI"/>
          <w:i/>
          <w:color w:val="231F20"/>
          <w:spacing w:val="-1"/>
          <w:sz w:val="20"/>
        </w:rPr>
        <w:t>Students Studying </w:t>
      </w:r>
      <w:r>
        <w:rPr>
          <w:rFonts w:ascii="Segoe UI"/>
          <w:i/>
          <w:color w:val="231F20"/>
          <w:spacing w:val="-2"/>
          <w:sz w:val="20"/>
        </w:rPr>
        <w:t>Away</w:t>
      </w:r>
      <w:r>
        <w:rPr>
          <w:rFonts w:ascii="Segoe UI"/>
          <w:i/>
          <w:color w:val="231F20"/>
          <w:spacing w:val="-1"/>
          <w:sz w:val="20"/>
        </w:rPr>
        <w:t> From Home</w:t>
      </w:r>
      <w:r>
        <w:rPr>
          <w:rFonts w:ascii="Segoe UI Semibold"/>
          <w:b/>
          <w:color w:val="231F20"/>
          <w:spacing w:val="-1"/>
          <w:position w:val="7"/>
          <w:sz w:val="11"/>
        </w:rPr>
        <w:t>36</w:t>
      </w:r>
      <w:r>
        <w:rPr>
          <w:rFonts w:ascii="Segoe UI Semibold"/>
          <w:b/>
          <w:color w:val="231F20"/>
          <w:spacing w:val="23"/>
          <w:position w:val="7"/>
          <w:sz w:val="11"/>
        </w:rPr>
        <w:t> </w:t>
      </w:r>
      <w:r>
        <w:rPr>
          <w:rFonts w:ascii="Segoe UI"/>
          <w:color w:val="231F20"/>
          <w:spacing w:val="-2"/>
          <w:sz w:val="20"/>
        </w:rPr>
        <w:t>(Study</w:t>
      </w:r>
      <w:r>
        <w:rPr>
          <w:rFonts w:ascii="Segoe UI"/>
          <w:color w:val="231F20"/>
          <w:spacing w:val="37"/>
          <w:w w:val="99"/>
          <w:sz w:val="20"/>
        </w:rPr>
        <w:t> </w:t>
      </w:r>
      <w:r>
        <w:rPr>
          <w:rFonts w:ascii="Segoe UI"/>
          <w:color w:val="231F20"/>
          <w:spacing w:val="-1"/>
          <w:sz w:val="20"/>
        </w:rPr>
        <w:t>Away</w:t>
      </w:r>
      <w:r>
        <w:rPr>
          <w:rFonts w:ascii="Segoe UI"/>
          <w:color w:val="231F20"/>
          <w:spacing w:val="-7"/>
          <w:sz w:val="20"/>
        </w:rPr>
        <w:t> </w:t>
      </w:r>
      <w:r>
        <w:rPr>
          <w:rFonts w:ascii="Segoe UI"/>
          <w:color w:val="231F20"/>
          <w:spacing w:val="-1"/>
          <w:sz w:val="20"/>
        </w:rPr>
        <w:t>Review).</w:t>
      </w:r>
      <w:r>
        <w:rPr>
          <w:rFonts w:ascii="Segoe UI"/>
          <w:color w:val="231F20"/>
          <w:spacing w:val="-5"/>
          <w:sz w:val="20"/>
        </w:rPr>
        <w:t> </w:t>
      </w:r>
      <w:r>
        <w:rPr>
          <w:rFonts w:ascii="Segoe UI"/>
          <w:color w:val="231F20"/>
          <w:sz w:val="20"/>
        </w:rPr>
        <w:t>The</w:t>
      </w:r>
      <w:r>
        <w:rPr>
          <w:rFonts w:ascii="Segoe UI"/>
          <w:color w:val="231F20"/>
          <w:spacing w:val="-5"/>
          <w:sz w:val="20"/>
        </w:rPr>
        <w:t> </w:t>
      </w:r>
      <w:r>
        <w:rPr>
          <w:rFonts w:ascii="Segoe UI"/>
          <w:color w:val="231F20"/>
          <w:sz w:val="20"/>
        </w:rPr>
        <w:t>review</w:t>
      </w:r>
      <w:r>
        <w:rPr>
          <w:rFonts w:ascii="Segoe UI"/>
          <w:color w:val="231F20"/>
          <w:spacing w:val="-6"/>
          <w:sz w:val="20"/>
        </w:rPr>
        <w:t> </w:t>
      </w:r>
      <w:r>
        <w:rPr>
          <w:rFonts w:ascii="Segoe UI"/>
          <w:color w:val="231F20"/>
          <w:sz w:val="20"/>
        </w:rPr>
        <w:t>was</w:t>
      </w:r>
      <w:r>
        <w:rPr>
          <w:rFonts w:ascii="Segoe UI"/>
          <w:color w:val="231F20"/>
          <w:spacing w:val="-6"/>
          <w:sz w:val="20"/>
        </w:rPr>
        <w:t> </w:t>
      </w:r>
      <w:r>
        <w:rPr>
          <w:rFonts w:ascii="Segoe UI"/>
          <w:color w:val="231F20"/>
          <w:sz w:val="20"/>
        </w:rPr>
        <w:t>carried</w:t>
      </w:r>
      <w:r>
        <w:rPr>
          <w:rFonts w:ascii="Segoe UI"/>
          <w:color w:val="231F20"/>
          <w:spacing w:val="-5"/>
          <w:sz w:val="20"/>
        </w:rPr>
        <w:t> </w:t>
      </w:r>
      <w:r>
        <w:rPr>
          <w:rFonts w:ascii="Segoe UI"/>
          <w:color w:val="231F20"/>
          <w:sz w:val="20"/>
        </w:rPr>
        <w:t>out</w:t>
      </w:r>
      <w:r>
        <w:rPr>
          <w:rFonts w:ascii="Segoe UI"/>
          <w:sz w:val="20"/>
        </w:rPr>
      </w:r>
    </w:p>
    <w:p>
      <w:pPr>
        <w:pStyle w:val="BodyText"/>
        <w:spacing w:line="250" w:lineRule="exact"/>
        <w:ind w:right="375"/>
        <w:jc w:val="left"/>
      </w:pPr>
      <w:r>
        <w:rPr>
          <w:color w:val="231F20"/>
          <w:spacing w:val="-1"/>
        </w:rPr>
        <w:t>in</w:t>
      </w:r>
      <w:r>
        <w:rPr>
          <w:color w:val="231F20"/>
          <w:spacing w:val="-7"/>
        </w:rPr>
        <w:t> </w:t>
      </w:r>
      <w:r>
        <w:rPr>
          <w:color w:val="231F20"/>
        </w:rPr>
        <w:t>collaboration</w:t>
      </w:r>
      <w:r>
        <w:rPr>
          <w:color w:val="231F20"/>
          <w:spacing w:val="-7"/>
        </w:rPr>
        <w:t> </w:t>
      </w:r>
      <w:r>
        <w:rPr>
          <w:color w:val="231F20"/>
        </w:rPr>
        <w:t>with</w:t>
      </w:r>
      <w:r>
        <w:rPr>
          <w:color w:val="231F20"/>
          <w:spacing w:val="-7"/>
        </w:rPr>
        <w:t> </w:t>
      </w:r>
      <w:r>
        <w:rPr>
          <w:color w:val="231F20"/>
        </w:rPr>
        <w:t>the</w:t>
      </w:r>
      <w:r>
        <w:rPr>
          <w:color w:val="231F20"/>
          <w:spacing w:val="-8"/>
        </w:rPr>
        <w:t> </w:t>
      </w:r>
      <w:r>
        <w:rPr>
          <w:color w:val="231F20"/>
          <w:spacing w:val="-1"/>
        </w:rPr>
        <w:t>Departments</w:t>
      </w:r>
      <w:r>
        <w:rPr>
          <w:color w:val="231F20"/>
          <w:spacing w:val="-6"/>
        </w:rPr>
        <w:t> </w:t>
      </w:r>
      <w:r>
        <w:rPr>
          <w:color w:val="231F20"/>
        </w:rPr>
        <w:t>of</w:t>
      </w:r>
      <w:r>
        <w:rPr>
          <w:color w:val="231F20"/>
          <w:spacing w:val="23"/>
          <w:w w:val="99"/>
        </w:rPr>
        <w:t> </w:t>
      </w:r>
      <w:r>
        <w:rPr>
          <w:color w:val="231F20"/>
        </w:rPr>
        <w:t>Human</w:t>
      </w:r>
      <w:r>
        <w:rPr>
          <w:color w:val="231F20"/>
          <w:spacing w:val="-5"/>
        </w:rPr>
        <w:t> </w:t>
      </w:r>
      <w:r>
        <w:rPr>
          <w:color w:val="231F20"/>
          <w:spacing w:val="-1"/>
        </w:rPr>
        <w:t>Services,</w:t>
      </w:r>
      <w:r>
        <w:rPr>
          <w:color w:val="231F20"/>
          <w:spacing w:val="-4"/>
        </w:rPr>
        <w:t> </w:t>
      </w:r>
      <w:r>
        <w:rPr>
          <w:color w:val="231F20"/>
          <w:spacing w:val="-1"/>
        </w:rPr>
        <w:t>Social</w:t>
      </w:r>
      <w:r>
        <w:rPr>
          <w:color w:val="231F20"/>
          <w:spacing w:val="-4"/>
        </w:rPr>
        <w:t> </w:t>
      </w:r>
      <w:r>
        <w:rPr>
          <w:color w:val="231F20"/>
          <w:spacing w:val="-1"/>
        </w:rPr>
        <w:t>Services,</w:t>
      </w:r>
      <w:r>
        <w:rPr>
          <w:color w:val="231F20"/>
          <w:spacing w:val="-4"/>
        </w:rPr>
        <w:t> </w:t>
      </w:r>
      <w:r>
        <w:rPr>
          <w:color w:val="231F20"/>
        </w:rPr>
        <w:t>Education</w:t>
      </w:r>
      <w:r>
        <w:rPr>
          <w:color w:val="231F20"/>
          <w:spacing w:val="24"/>
          <w:w w:val="99"/>
        </w:rPr>
        <w:t> </w:t>
      </w:r>
      <w:r>
        <w:rPr>
          <w:color w:val="231F20"/>
        </w:rPr>
        <w:t>and</w:t>
      </w:r>
      <w:r>
        <w:rPr>
          <w:color w:val="231F20"/>
          <w:spacing w:val="-8"/>
        </w:rPr>
        <w:t> </w:t>
      </w:r>
      <w:r>
        <w:rPr>
          <w:color w:val="231F20"/>
          <w:spacing w:val="-2"/>
        </w:rPr>
        <w:t>Training,</w:t>
      </w:r>
      <w:r>
        <w:rPr>
          <w:color w:val="231F20"/>
          <w:spacing w:val="-8"/>
        </w:rPr>
        <w:t> </w:t>
      </w:r>
      <w:r>
        <w:rPr>
          <w:color w:val="231F20"/>
        </w:rPr>
        <w:t>and</w:t>
      </w:r>
      <w:r>
        <w:rPr>
          <w:color w:val="231F20"/>
          <w:spacing w:val="-8"/>
        </w:rPr>
        <w:t> </w:t>
      </w:r>
      <w:r>
        <w:rPr>
          <w:color w:val="231F20"/>
        </w:rPr>
        <w:t>Health.</w:t>
      </w:r>
      <w:r>
        <w:rPr/>
      </w:r>
    </w:p>
    <w:p>
      <w:pPr>
        <w:spacing w:after="0" w:line="250" w:lineRule="exact"/>
        <w:jc w:val="left"/>
        <w:sectPr>
          <w:type w:val="continuous"/>
          <w:pgSz w:w="11910" w:h="16840"/>
          <w:pgMar w:top="1580" w:bottom="280" w:left="1300" w:right="1600"/>
          <w:cols w:num="2" w:equalWidth="0">
            <w:col w:w="4355" w:space="237"/>
            <w:col w:w="4418"/>
          </w:cols>
        </w:sectPr>
      </w:pPr>
    </w:p>
    <w:p>
      <w:pPr>
        <w:spacing w:line="240" w:lineRule="auto" w:before="0"/>
        <w:rPr>
          <w:rFonts w:ascii="Segoe UI" w:hAnsi="Segoe UI" w:cs="Segoe UI" w:eastAsia="Segoe UI"/>
          <w:sz w:val="20"/>
          <w:szCs w:val="20"/>
        </w:rPr>
      </w:pPr>
    </w:p>
    <w:p>
      <w:pPr>
        <w:spacing w:line="240" w:lineRule="auto" w:before="8"/>
        <w:rPr>
          <w:rFonts w:ascii="Segoe UI" w:hAnsi="Segoe UI" w:cs="Segoe UI" w:eastAsia="Segoe UI"/>
          <w:sz w:val="21"/>
          <w:szCs w:val="21"/>
        </w:rPr>
      </w:pPr>
    </w:p>
    <w:p>
      <w:pPr>
        <w:spacing w:after="0" w:line="240" w:lineRule="auto"/>
        <w:rPr>
          <w:rFonts w:ascii="Segoe UI" w:hAnsi="Segoe UI" w:cs="Segoe UI" w:eastAsia="Segoe UI"/>
          <w:sz w:val="21"/>
          <w:szCs w:val="21"/>
        </w:rPr>
        <w:sectPr>
          <w:pgSz w:w="11910" w:h="16840"/>
          <w:pgMar w:header="0" w:footer="691" w:top="1580" w:bottom="880" w:left="1600" w:right="1300"/>
        </w:sectPr>
      </w:pPr>
    </w:p>
    <w:p>
      <w:pPr>
        <w:spacing w:line="240" w:lineRule="auto" w:before="10"/>
        <w:rPr>
          <w:rFonts w:ascii="Segoe UI" w:hAnsi="Segoe UI" w:cs="Segoe UI" w:eastAsia="Segoe UI"/>
          <w:sz w:val="8"/>
          <w:szCs w:val="8"/>
        </w:rPr>
      </w:pPr>
    </w:p>
    <w:p>
      <w:pPr>
        <w:spacing w:line="200" w:lineRule="atLeast"/>
        <w:ind w:left="100" w:right="0" w:firstLine="0"/>
        <w:rPr>
          <w:rFonts w:ascii="Segoe UI" w:hAnsi="Segoe UI" w:cs="Segoe UI" w:eastAsia="Segoe UI"/>
          <w:sz w:val="20"/>
          <w:szCs w:val="20"/>
        </w:rPr>
      </w:pPr>
      <w:r>
        <w:rPr>
          <w:rFonts w:ascii="Segoe UI" w:hAnsi="Segoe UI" w:cs="Segoe UI" w:eastAsia="Segoe UI"/>
          <w:sz w:val="20"/>
          <w:szCs w:val="20"/>
        </w:rPr>
        <w:drawing>
          <wp:inline distT="0" distB="0" distL="0" distR="0">
            <wp:extent cx="2673774" cy="2481072"/>
            <wp:effectExtent l="0" t="0" r="0" b="0"/>
            <wp:docPr id="7" name="image9.jpeg" descr=""/>
            <wp:cNvGraphicFramePr>
              <a:graphicFrameLocks noChangeAspect="1"/>
            </wp:cNvGraphicFramePr>
            <a:graphic>
              <a:graphicData uri="http://schemas.openxmlformats.org/drawingml/2006/picture">
                <pic:pic>
                  <pic:nvPicPr>
                    <pic:cNvPr id="8" name="image9.jpeg"/>
                    <pic:cNvPicPr/>
                  </pic:nvPicPr>
                  <pic:blipFill>
                    <a:blip r:embed="rId23" cstate="print"/>
                    <a:stretch>
                      <a:fillRect/>
                    </a:stretch>
                  </pic:blipFill>
                  <pic:spPr>
                    <a:xfrm>
                      <a:off x="0" y="0"/>
                      <a:ext cx="2673774" cy="2481072"/>
                    </a:xfrm>
                    <a:prstGeom prst="rect">
                      <a:avLst/>
                    </a:prstGeom>
                  </pic:spPr>
                </pic:pic>
              </a:graphicData>
            </a:graphic>
          </wp:inline>
        </w:drawing>
      </w:r>
      <w:r>
        <w:rPr>
          <w:rFonts w:ascii="Segoe UI" w:hAnsi="Segoe UI" w:cs="Segoe UI" w:eastAsia="Segoe UI"/>
          <w:sz w:val="20"/>
          <w:szCs w:val="20"/>
        </w:rPr>
      </w:r>
    </w:p>
    <w:p>
      <w:pPr>
        <w:spacing w:line="240" w:lineRule="auto" w:before="0"/>
        <w:rPr>
          <w:rFonts w:ascii="Segoe UI" w:hAnsi="Segoe UI" w:cs="Segoe UI" w:eastAsia="Segoe UI"/>
          <w:sz w:val="20"/>
          <w:szCs w:val="20"/>
        </w:rPr>
      </w:pPr>
    </w:p>
    <w:p>
      <w:pPr>
        <w:spacing w:line="240" w:lineRule="auto" w:before="5"/>
        <w:rPr>
          <w:rFonts w:ascii="Segoe UI" w:hAnsi="Segoe UI" w:cs="Segoe UI" w:eastAsia="Segoe UI"/>
          <w:sz w:val="28"/>
          <w:szCs w:val="28"/>
        </w:rPr>
      </w:pPr>
    </w:p>
    <w:p>
      <w:pPr>
        <w:pStyle w:val="BodyText"/>
        <w:spacing w:line="240" w:lineRule="auto"/>
        <w:ind w:left="100" w:right="0"/>
        <w:jc w:val="left"/>
      </w:pPr>
      <w:r>
        <w:rPr>
          <w:color w:val="231F20"/>
        </w:rPr>
        <w:t>The</w:t>
      </w:r>
      <w:r>
        <w:rPr>
          <w:color w:val="231F20"/>
          <w:spacing w:val="-5"/>
        </w:rPr>
        <w:t> </w:t>
      </w:r>
      <w:r>
        <w:rPr>
          <w:color w:val="231F20"/>
          <w:spacing w:val="-2"/>
        </w:rPr>
        <w:t>Study</w:t>
      </w:r>
      <w:r>
        <w:rPr>
          <w:color w:val="231F20"/>
          <w:spacing w:val="-6"/>
        </w:rPr>
        <w:t> </w:t>
      </w:r>
      <w:r>
        <w:rPr>
          <w:color w:val="231F20"/>
          <w:spacing w:val="-1"/>
        </w:rPr>
        <w:t>Away</w:t>
      </w:r>
      <w:r>
        <w:rPr>
          <w:color w:val="231F20"/>
          <w:spacing w:val="-6"/>
        </w:rPr>
        <w:t> </w:t>
      </w:r>
      <w:r>
        <w:rPr>
          <w:color w:val="231F20"/>
          <w:spacing w:val="-1"/>
        </w:rPr>
        <w:t>Review</w:t>
      </w:r>
      <w:r>
        <w:rPr>
          <w:color w:val="231F20"/>
          <w:spacing w:val="-6"/>
        </w:rPr>
        <w:t> </w:t>
      </w:r>
      <w:r>
        <w:rPr>
          <w:color w:val="231F20"/>
        </w:rPr>
        <w:t>found</w:t>
      </w:r>
      <w:r>
        <w:rPr>
          <w:color w:val="231F20"/>
          <w:spacing w:val="-5"/>
        </w:rPr>
        <w:t> </w:t>
      </w:r>
      <w:r>
        <w:rPr>
          <w:color w:val="231F20"/>
        </w:rPr>
        <w:t>that:</w:t>
      </w:r>
      <w:r>
        <w:rPr/>
      </w:r>
    </w:p>
    <w:p>
      <w:pPr>
        <w:pStyle w:val="BodyText"/>
        <w:spacing w:line="250" w:lineRule="exact" w:before="113"/>
        <w:ind w:left="327" w:right="73" w:hanging="227"/>
        <w:jc w:val="left"/>
      </w:pPr>
      <w:r>
        <w:rPr>
          <w:rFonts w:ascii="Century Gothic" w:hAnsi="Century Gothic"/>
          <w:color w:val="231F20"/>
        </w:rPr>
        <w:t>» </w:t>
      </w:r>
      <w:r>
        <w:rPr>
          <w:rFonts w:ascii="Century Gothic" w:hAnsi="Century Gothic"/>
          <w:color w:val="231F20"/>
          <w:spacing w:val="24"/>
        </w:rPr>
        <w:t> </w:t>
      </w:r>
      <w:r>
        <w:rPr>
          <w:color w:val="231F20"/>
          <w:spacing w:val="-1"/>
        </w:rPr>
        <w:t>many</w:t>
      </w:r>
      <w:r>
        <w:rPr>
          <w:color w:val="231F20"/>
          <w:spacing w:val="-3"/>
        </w:rPr>
        <w:t> </w:t>
      </w:r>
      <w:r>
        <w:rPr>
          <w:color w:val="231F20"/>
          <w:spacing w:val="-1"/>
        </w:rPr>
        <w:t>students</w:t>
      </w:r>
      <w:r>
        <w:rPr>
          <w:color w:val="231F20"/>
          <w:spacing w:val="-2"/>
        </w:rPr>
        <w:t> </w:t>
      </w:r>
      <w:r>
        <w:rPr>
          <w:color w:val="231F20"/>
        </w:rPr>
        <w:t>are</w:t>
      </w:r>
      <w:r>
        <w:rPr>
          <w:color w:val="231F20"/>
          <w:spacing w:val="-4"/>
        </w:rPr>
        <w:t> </w:t>
      </w:r>
      <w:r>
        <w:rPr>
          <w:color w:val="231F20"/>
          <w:spacing w:val="-1"/>
        </w:rPr>
        <w:t>sent</w:t>
      </w:r>
      <w:r>
        <w:rPr>
          <w:color w:val="231F20"/>
          <w:spacing w:val="-3"/>
        </w:rPr>
        <w:t> </w:t>
      </w:r>
      <w:r>
        <w:rPr>
          <w:color w:val="231F20"/>
        </w:rPr>
        <w:t>to</w:t>
      </w:r>
      <w:r>
        <w:rPr>
          <w:color w:val="231F20"/>
          <w:spacing w:val="-2"/>
        </w:rPr>
        <w:t> </w:t>
      </w:r>
      <w:r>
        <w:rPr>
          <w:color w:val="231F20"/>
        </w:rPr>
        <w:t>boarding</w:t>
      </w:r>
      <w:r>
        <w:rPr>
          <w:color w:val="231F20"/>
          <w:spacing w:val="-4"/>
        </w:rPr>
        <w:t> </w:t>
      </w:r>
      <w:r>
        <w:rPr>
          <w:color w:val="231F20"/>
        </w:rPr>
        <w:t>with</w:t>
      </w:r>
      <w:r>
        <w:rPr>
          <w:color w:val="231F20"/>
          <w:spacing w:val="24"/>
          <w:w w:val="99"/>
        </w:rPr>
        <w:t> </w:t>
      </w:r>
      <w:r>
        <w:rPr>
          <w:color w:val="231F20"/>
          <w:spacing w:val="-1"/>
        </w:rPr>
        <w:t>little</w:t>
      </w:r>
      <w:r>
        <w:rPr>
          <w:color w:val="231F20"/>
          <w:spacing w:val="-11"/>
        </w:rPr>
        <w:t> </w:t>
      </w:r>
      <w:r>
        <w:rPr>
          <w:color w:val="231F20"/>
        </w:rPr>
        <w:t>preparation</w:t>
      </w:r>
      <w:r>
        <w:rPr/>
      </w:r>
    </w:p>
    <w:p>
      <w:pPr>
        <w:pStyle w:val="BodyText"/>
        <w:spacing w:line="250" w:lineRule="exact" w:before="113"/>
        <w:ind w:left="327" w:right="73" w:hanging="227"/>
        <w:jc w:val="left"/>
      </w:pPr>
      <w:r>
        <w:rPr>
          <w:rFonts w:ascii="Century Gothic" w:hAnsi="Century Gothic"/>
          <w:color w:val="231F20"/>
        </w:rPr>
        <w:t>» </w:t>
      </w:r>
      <w:r>
        <w:rPr>
          <w:rFonts w:ascii="Century Gothic" w:hAnsi="Century Gothic"/>
          <w:color w:val="231F20"/>
          <w:spacing w:val="21"/>
        </w:rPr>
        <w:t> </w:t>
      </w:r>
      <w:r>
        <w:rPr>
          <w:color w:val="231F20"/>
        </w:rPr>
        <w:t>ABSTUDY</w:t>
      </w:r>
      <w:r>
        <w:rPr>
          <w:color w:val="231F20"/>
          <w:spacing w:val="-5"/>
        </w:rPr>
        <w:t> </w:t>
      </w:r>
      <w:r>
        <w:rPr>
          <w:color w:val="231F20"/>
        </w:rPr>
        <w:t>administration</w:t>
      </w:r>
      <w:r>
        <w:rPr>
          <w:color w:val="231F20"/>
          <w:spacing w:val="-6"/>
        </w:rPr>
        <w:t> </w:t>
      </w:r>
      <w:r>
        <w:rPr>
          <w:color w:val="231F20"/>
          <w:spacing w:val="-1"/>
        </w:rPr>
        <w:t>is</w:t>
      </w:r>
      <w:r>
        <w:rPr>
          <w:color w:val="231F20"/>
          <w:spacing w:val="-4"/>
        </w:rPr>
        <w:t> </w:t>
      </w:r>
      <w:r>
        <w:rPr>
          <w:color w:val="231F20"/>
        </w:rPr>
        <w:t>experienced</w:t>
      </w:r>
      <w:r>
        <w:rPr>
          <w:color w:val="231F20"/>
          <w:spacing w:val="-5"/>
        </w:rPr>
        <w:t> </w:t>
      </w:r>
      <w:r>
        <w:rPr>
          <w:color w:val="231F20"/>
        </w:rPr>
        <w:t>as</w:t>
      </w:r>
      <w:r>
        <w:rPr>
          <w:color w:val="231F20"/>
          <w:spacing w:val="21"/>
        </w:rPr>
        <w:t> </w:t>
      </w:r>
      <w:r>
        <w:rPr>
          <w:color w:val="231F20"/>
        </w:rPr>
        <w:t>being</w:t>
      </w:r>
      <w:r>
        <w:rPr>
          <w:color w:val="231F20"/>
          <w:spacing w:val="-7"/>
        </w:rPr>
        <w:t> </w:t>
      </w:r>
      <w:r>
        <w:rPr>
          <w:color w:val="231F20"/>
        </w:rPr>
        <w:t>overly</w:t>
      </w:r>
      <w:r>
        <w:rPr>
          <w:color w:val="231F20"/>
          <w:spacing w:val="-6"/>
        </w:rPr>
        <w:t> </w:t>
      </w:r>
      <w:r>
        <w:rPr>
          <w:color w:val="231F20"/>
        </w:rPr>
        <w:t>complex</w:t>
      </w:r>
      <w:r>
        <w:rPr/>
      </w:r>
    </w:p>
    <w:p>
      <w:pPr>
        <w:pStyle w:val="BodyText"/>
        <w:spacing w:line="250" w:lineRule="exact" w:before="113"/>
        <w:ind w:left="327" w:right="43" w:hanging="227"/>
        <w:jc w:val="left"/>
      </w:pPr>
      <w:r>
        <w:rPr>
          <w:rFonts w:ascii="Century Gothic" w:hAnsi="Century Gothic"/>
          <w:color w:val="231F20"/>
        </w:rPr>
        <w:t>» </w:t>
      </w:r>
      <w:r>
        <w:rPr>
          <w:rFonts w:ascii="Century Gothic" w:hAnsi="Century Gothic"/>
          <w:color w:val="231F20"/>
          <w:spacing w:val="19"/>
        </w:rPr>
        <w:t> </w:t>
      </w:r>
      <w:r>
        <w:rPr>
          <w:color w:val="231F20"/>
        </w:rPr>
        <w:t>travel</w:t>
      </w:r>
      <w:r>
        <w:rPr>
          <w:color w:val="231F20"/>
          <w:spacing w:val="-5"/>
        </w:rPr>
        <w:t> </w:t>
      </w:r>
      <w:r>
        <w:rPr>
          <w:color w:val="231F20"/>
          <w:spacing w:val="-1"/>
        </w:rPr>
        <w:t>support</w:t>
      </w:r>
      <w:r>
        <w:rPr>
          <w:color w:val="231F20"/>
          <w:spacing w:val="-4"/>
        </w:rPr>
        <w:t> </w:t>
      </w:r>
      <w:r>
        <w:rPr>
          <w:color w:val="231F20"/>
        </w:rPr>
        <w:t>varies</w:t>
      </w:r>
      <w:r>
        <w:rPr>
          <w:color w:val="231F20"/>
          <w:spacing w:val="-5"/>
        </w:rPr>
        <w:t> </w:t>
      </w:r>
      <w:r>
        <w:rPr>
          <w:color w:val="231F20"/>
        </w:rPr>
        <w:t>from</w:t>
      </w:r>
      <w:r>
        <w:rPr>
          <w:color w:val="231F20"/>
          <w:spacing w:val="-4"/>
        </w:rPr>
        <w:t> </w:t>
      </w:r>
      <w:r>
        <w:rPr>
          <w:color w:val="231F20"/>
          <w:spacing w:val="-1"/>
        </w:rPr>
        <w:t>student</w:t>
      </w:r>
      <w:r>
        <w:rPr>
          <w:color w:val="231F20"/>
          <w:spacing w:val="-5"/>
        </w:rPr>
        <w:t> </w:t>
      </w:r>
      <w:r>
        <w:rPr>
          <w:color w:val="231F20"/>
        </w:rPr>
        <w:t>to</w:t>
      </w:r>
      <w:r>
        <w:rPr>
          <w:color w:val="231F20"/>
          <w:spacing w:val="-4"/>
        </w:rPr>
        <w:t> </w:t>
      </w:r>
      <w:r>
        <w:rPr>
          <w:color w:val="231F20"/>
          <w:spacing w:val="-1"/>
        </w:rPr>
        <w:t>student</w:t>
      </w:r>
      <w:r>
        <w:rPr>
          <w:color w:val="231F20"/>
          <w:spacing w:val="22"/>
          <w:w w:val="99"/>
        </w:rPr>
        <w:t> </w:t>
      </w:r>
      <w:r>
        <w:rPr>
          <w:color w:val="231F20"/>
        </w:rPr>
        <w:t>and</w:t>
      </w:r>
      <w:r>
        <w:rPr>
          <w:color w:val="231F20"/>
          <w:spacing w:val="-5"/>
        </w:rPr>
        <w:t> </w:t>
      </w:r>
      <w:r>
        <w:rPr>
          <w:color w:val="231F20"/>
        </w:rPr>
        <w:t>for</w:t>
      </w:r>
      <w:r>
        <w:rPr>
          <w:color w:val="231F20"/>
          <w:spacing w:val="-3"/>
        </w:rPr>
        <w:t> </w:t>
      </w:r>
      <w:r>
        <w:rPr>
          <w:color w:val="231F20"/>
          <w:spacing w:val="-1"/>
        </w:rPr>
        <w:t>many</w:t>
      </w:r>
      <w:r>
        <w:rPr>
          <w:color w:val="231F20"/>
          <w:spacing w:val="-4"/>
        </w:rPr>
        <w:t> </w:t>
      </w:r>
      <w:r>
        <w:rPr>
          <w:color w:val="231F20"/>
          <w:spacing w:val="-1"/>
        </w:rPr>
        <w:t>students</w:t>
      </w:r>
      <w:r>
        <w:rPr>
          <w:color w:val="231F20"/>
          <w:spacing w:val="-3"/>
        </w:rPr>
        <w:t> </w:t>
      </w:r>
      <w:r>
        <w:rPr>
          <w:color w:val="231F20"/>
          <w:spacing w:val="-1"/>
        </w:rPr>
        <w:t>it</w:t>
      </w:r>
      <w:r>
        <w:rPr>
          <w:color w:val="231F20"/>
          <w:spacing w:val="-4"/>
        </w:rPr>
        <w:t> </w:t>
      </w:r>
      <w:r>
        <w:rPr>
          <w:color w:val="231F20"/>
          <w:spacing w:val="-1"/>
        </w:rPr>
        <w:t>is</w:t>
      </w:r>
      <w:r>
        <w:rPr>
          <w:color w:val="231F20"/>
          <w:spacing w:val="-4"/>
        </w:rPr>
        <w:t> </w:t>
      </w:r>
      <w:r>
        <w:rPr>
          <w:color w:val="231F20"/>
          <w:spacing w:val="-1"/>
        </w:rPr>
        <w:t>inadequate</w:t>
      </w:r>
      <w:r>
        <w:rPr/>
      </w:r>
    </w:p>
    <w:p>
      <w:pPr>
        <w:pStyle w:val="BodyText"/>
        <w:spacing w:line="250" w:lineRule="exact" w:before="113"/>
        <w:ind w:left="327" w:right="43" w:hanging="227"/>
        <w:jc w:val="left"/>
      </w:pPr>
      <w:r>
        <w:rPr>
          <w:rFonts w:ascii="Century Gothic" w:hAnsi="Century Gothic"/>
          <w:color w:val="231F20"/>
        </w:rPr>
        <w:t>» </w:t>
      </w:r>
      <w:r>
        <w:rPr>
          <w:rFonts w:ascii="Century Gothic" w:hAnsi="Century Gothic"/>
          <w:color w:val="231F20"/>
          <w:spacing w:val="24"/>
        </w:rPr>
        <w:t> </w:t>
      </w:r>
      <w:r>
        <w:rPr>
          <w:color w:val="231F20"/>
          <w:spacing w:val="-1"/>
        </w:rPr>
        <w:t>many</w:t>
      </w:r>
      <w:r>
        <w:rPr>
          <w:color w:val="231F20"/>
          <w:spacing w:val="-2"/>
        </w:rPr>
        <w:t> </w:t>
      </w:r>
      <w:r>
        <w:rPr>
          <w:color w:val="231F20"/>
        </w:rPr>
        <w:t>families</w:t>
      </w:r>
      <w:r>
        <w:rPr>
          <w:color w:val="231F20"/>
          <w:spacing w:val="-3"/>
        </w:rPr>
        <w:t> </w:t>
      </w:r>
      <w:r>
        <w:rPr>
          <w:color w:val="231F20"/>
        </w:rPr>
        <w:t>and</w:t>
      </w:r>
      <w:r>
        <w:rPr>
          <w:color w:val="231F20"/>
          <w:spacing w:val="-4"/>
        </w:rPr>
        <w:t> </w:t>
      </w:r>
      <w:r>
        <w:rPr>
          <w:color w:val="231F20"/>
        </w:rPr>
        <w:t>communities</w:t>
      </w:r>
      <w:r>
        <w:rPr>
          <w:color w:val="231F20"/>
          <w:spacing w:val="-3"/>
        </w:rPr>
        <w:t> </w:t>
      </w:r>
      <w:r>
        <w:rPr>
          <w:color w:val="231F20"/>
        </w:rPr>
        <w:t>are</w:t>
      </w:r>
      <w:r>
        <w:rPr>
          <w:color w:val="231F20"/>
          <w:spacing w:val="-4"/>
        </w:rPr>
        <w:t> </w:t>
      </w:r>
      <w:r>
        <w:rPr>
          <w:color w:val="231F20"/>
        </w:rPr>
        <w:t>unsure</w:t>
      </w:r>
      <w:r>
        <w:rPr>
          <w:color w:val="231F20"/>
          <w:spacing w:val="21"/>
          <w:w w:val="99"/>
        </w:rPr>
        <w:t> </w:t>
      </w:r>
      <w:r>
        <w:rPr>
          <w:color w:val="231F20"/>
        </w:rPr>
        <w:t>of</w:t>
      </w:r>
      <w:r>
        <w:rPr>
          <w:color w:val="231F20"/>
          <w:spacing w:val="-6"/>
        </w:rPr>
        <w:t> </w:t>
      </w:r>
      <w:r>
        <w:rPr>
          <w:color w:val="231F20"/>
        </w:rPr>
        <w:t>how</w:t>
      </w:r>
      <w:r>
        <w:rPr>
          <w:color w:val="231F20"/>
          <w:spacing w:val="-5"/>
        </w:rPr>
        <w:t> </w:t>
      </w:r>
      <w:r>
        <w:rPr>
          <w:color w:val="231F20"/>
        </w:rPr>
        <w:t>to</w:t>
      </w:r>
      <w:r>
        <w:rPr>
          <w:color w:val="231F20"/>
          <w:spacing w:val="-5"/>
        </w:rPr>
        <w:t> </w:t>
      </w:r>
      <w:r>
        <w:rPr>
          <w:color w:val="231F20"/>
        </w:rPr>
        <w:t>prepare</w:t>
      </w:r>
      <w:r>
        <w:rPr>
          <w:color w:val="231F20"/>
          <w:spacing w:val="-5"/>
        </w:rPr>
        <w:t> </w:t>
      </w:r>
      <w:r>
        <w:rPr>
          <w:color w:val="231F20"/>
        </w:rPr>
        <w:t>and</w:t>
      </w:r>
      <w:r>
        <w:rPr>
          <w:color w:val="231F20"/>
          <w:spacing w:val="-6"/>
        </w:rPr>
        <w:t> </w:t>
      </w:r>
      <w:r>
        <w:rPr>
          <w:color w:val="231F20"/>
          <w:spacing w:val="-1"/>
        </w:rPr>
        <w:t>support</w:t>
      </w:r>
      <w:r>
        <w:rPr>
          <w:color w:val="231F20"/>
          <w:spacing w:val="-5"/>
        </w:rPr>
        <w:t> </w:t>
      </w:r>
      <w:r>
        <w:rPr>
          <w:color w:val="231F20"/>
        </w:rPr>
        <w:t>their</w:t>
      </w:r>
      <w:r>
        <w:rPr>
          <w:color w:val="231F20"/>
          <w:spacing w:val="-6"/>
        </w:rPr>
        <w:t> </w:t>
      </w:r>
      <w:r>
        <w:rPr>
          <w:color w:val="231F20"/>
        </w:rPr>
        <w:t>children</w:t>
      </w:r>
      <w:r>
        <w:rPr>
          <w:color w:val="231F20"/>
          <w:spacing w:val="22"/>
          <w:w w:val="99"/>
        </w:rPr>
        <w:t> </w:t>
      </w:r>
      <w:r>
        <w:rPr>
          <w:color w:val="231F20"/>
          <w:spacing w:val="-1"/>
        </w:rPr>
        <w:t>in</w:t>
      </w:r>
      <w:r>
        <w:rPr>
          <w:color w:val="231F20"/>
          <w:spacing w:val="-5"/>
        </w:rPr>
        <w:t> </w:t>
      </w:r>
      <w:r>
        <w:rPr>
          <w:color w:val="231F20"/>
        </w:rPr>
        <w:t>boarding</w:t>
      </w:r>
      <w:r>
        <w:rPr>
          <w:color w:val="231F20"/>
          <w:spacing w:val="-5"/>
        </w:rPr>
        <w:t> </w:t>
      </w:r>
      <w:r>
        <w:rPr>
          <w:color w:val="231F20"/>
          <w:spacing w:val="-1"/>
        </w:rPr>
        <w:t>school</w:t>
      </w:r>
      <w:r>
        <w:rPr/>
      </w:r>
    </w:p>
    <w:p>
      <w:pPr>
        <w:pStyle w:val="BodyText"/>
        <w:spacing w:line="250" w:lineRule="exact" w:before="113"/>
        <w:ind w:left="327" w:right="73" w:hanging="227"/>
        <w:jc w:val="left"/>
      </w:pPr>
      <w:r>
        <w:rPr>
          <w:rFonts w:ascii="Century Gothic" w:hAnsi="Century Gothic"/>
          <w:color w:val="231F20"/>
        </w:rPr>
        <w:t>» </w:t>
      </w:r>
      <w:r>
        <w:rPr>
          <w:rFonts w:ascii="Century Gothic" w:hAnsi="Century Gothic"/>
          <w:color w:val="231F20"/>
          <w:spacing w:val="21"/>
        </w:rPr>
        <w:t> </w:t>
      </w:r>
      <w:r>
        <w:rPr>
          <w:color w:val="231F20"/>
        </w:rPr>
        <w:t>there</w:t>
      </w:r>
      <w:r>
        <w:rPr>
          <w:color w:val="231F20"/>
          <w:spacing w:val="-5"/>
        </w:rPr>
        <w:t> </w:t>
      </w:r>
      <w:r>
        <w:rPr>
          <w:color w:val="231F20"/>
        </w:rPr>
        <w:t>are</w:t>
      </w:r>
      <w:r>
        <w:rPr>
          <w:color w:val="231F20"/>
          <w:spacing w:val="-5"/>
        </w:rPr>
        <w:t> </w:t>
      </w:r>
      <w:r>
        <w:rPr>
          <w:color w:val="231F20"/>
        </w:rPr>
        <w:t>a</w:t>
      </w:r>
      <w:r>
        <w:rPr>
          <w:color w:val="231F20"/>
          <w:spacing w:val="-4"/>
        </w:rPr>
        <w:t> </w:t>
      </w:r>
      <w:r>
        <w:rPr>
          <w:color w:val="231F20"/>
          <w:spacing w:val="-1"/>
        </w:rPr>
        <w:t>lack</w:t>
      </w:r>
      <w:r>
        <w:rPr>
          <w:color w:val="231F20"/>
          <w:spacing w:val="-4"/>
        </w:rPr>
        <w:t> </w:t>
      </w:r>
      <w:r>
        <w:rPr>
          <w:color w:val="231F20"/>
        </w:rPr>
        <w:t>of</w:t>
      </w:r>
      <w:r>
        <w:rPr>
          <w:color w:val="231F20"/>
          <w:spacing w:val="-4"/>
        </w:rPr>
        <w:t> </w:t>
      </w:r>
      <w:r>
        <w:rPr>
          <w:color w:val="231F20"/>
        </w:rPr>
        <w:t>alternative</w:t>
      </w:r>
      <w:r>
        <w:rPr>
          <w:color w:val="231F20"/>
          <w:spacing w:val="-4"/>
        </w:rPr>
        <w:t> </w:t>
      </w:r>
      <w:r>
        <w:rPr>
          <w:color w:val="231F20"/>
        </w:rPr>
        <w:t>education</w:t>
      </w:r>
      <w:r>
        <w:rPr>
          <w:color w:val="231F20"/>
          <w:spacing w:val="21"/>
          <w:w w:val="99"/>
        </w:rPr>
        <w:t> </w:t>
      </w:r>
      <w:r>
        <w:rPr>
          <w:color w:val="231F20"/>
        </w:rPr>
        <w:t>options</w:t>
      </w:r>
      <w:r>
        <w:rPr>
          <w:color w:val="231F20"/>
          <w:spacing w:val="-3"/>
        </w:rPr>
        <w:t> </w:t>
      </w:r>
      <w:r>
        <w:rPr>
          <w:color w:val="231F20"/>
        </w:rPr>
        <w:t>for</w:t>
      </w:r>
      <w:r>
        <w:rPr>
          <w:color w:val="231F20"/>
          <w:spacing w:val="-1"/>
        </w:rPr>
        <w:t> students</w:t>
      </w:r>
      <w:r>
        <w:rPr>
          <w:color w:val="231F20"/>
          <w:spacing w:val="-2"/>
        </w:rPr>
        <w:t> </w:t>
      </w:r>
      <w:r>
        <w:rPr>
          <w:color w:val="231F20"/>
        </w:rPr>
        <w:t>not</w:t>
      </w:r>
      <w:r>
        <w:rPr>
          <w:color w:val="231F20"/>
          <w:spacing w:val="-1"/>
        </w:rPr>
        <w:t> suited</w:t>
      </w:r>
      <w:r>
        <w:rPr>
          <w:color w:val="231F20"/>
          <w:spacing w:val="-2"/>
        </w:rPr>
        <w:t> </w:t>
      </w:r>
      <w:r>
        <w:rPr>
          <w:color w:val="231F20"/>
        </w:rPr>
        <w:t>to</w:t>
      </w:r>
      <w:r>
        <w:rPr>
          <w:color w:val="231F20"/>
          <w:spacing w:val="23"/>
          <w:w w:val="99"/>
        </w:rPr>
        <w:t> </w:t>
      </w:r>
      <w:r>
        <w:rPr>
          <w:color w:val="231F20"/>
          <w:spacing w:val="-1"/>
        </w:rPr>
        <w:t>mainstream</w:t>
      </w:r>
      <w:r>
        <w:rPr>
          <w:color w:val="231F20"/>
          <w:spacing w:val="-8"/>
        </w:rPr>
        <w:t> </w:t>
      </w:r>
      <w:r>
        <w:rPr>
          <w:color w:val="231F20"/>
        </w:rPr>
        <w:t>boarding</w:t>
      </w:r>
      <w:r>
        <w:rPr/>
      </w:r>
    </w:p>
    <w:p>
      <w:pPr>
        <w:pStyle w:val="BodyText"/>
        <w:spacing w:line="250" w:lineRule="exact" w:before="113"/>
        <w:ind w:left="327" w:right="0" w:hanging="227"/>
        <w:jc w:val="left"/>
      </w:pPr>
      <w:r>
        <w:rPr>
          <w:rFonts w:ascii="Century Gothic" w:hAnsi="Century Gothic"/>
          <w:color w:val="231F20"/>
        </w:rPr>
        <w:t>» </w:t>
      </w:r>
      <w:r>
        <w:rPr>
          <w:rFonts w:ascii="Century Gothic" w:hAnsi="Century Gothic"/>
          <w:color w:val="231F20"/>
          <w:spacing w:val="24"/>
        </w:rPr>
        <w:t> </w:t>
      </w:r>
      <w:r>
        <w:rPr>
          <w:color w:val="231F20"/>
        </w:rPr>
        <w:t>there</w:t>
      </w:r>
      <w:r>
        <w:rPr>
          <w:color w:val="231F20"/>
          <w:spacing w:val="-4"/>
        </w:rPr>
        <w:t> </w:t>
      </w:r>
      <w:r>
        <w:rPr>
          <w:color w:val="231F20"/>
        </w:rPr>
        <w:t>are</w:t>
      </w:r>
      <w:r>
        <w:rPr>
          <w:color w:val="231F20"/>
          <w:spacing w:val="-4"/>
        </w:rPr>
        <w:t> </w:t>
      </w:r>
      <w:r>
        <w:rPr>
          <w:color w:val="231F20"/>
        </w:rPr>
        <w:t>gaps</w:t>
      </w:r>
      <w:r>
        <w:rPr>
          <w:color w:val="231F20"/>
          <w:spacing w:val="-3"/>
        </w:rPr>
        <w:t> </w:t>
      </w:r>
      <w:r>
        <w:rPr>
          <w:color w:val="231F20"/>
          <w:spacing w:val="-1"/>
        </w:rPr>
        <w:t>in</w:t>
      </w:r>
      <w:r>
        <w:rPr>
          <w:color w:val="231F20"/>
          <w:spacing w:val="-3"/>
        </w:rPr>
        <w:t> </w:t>
      </w:r>
      <w:r>
        <w:rPr>
          <w:color w:val="231F20"/>
        </w:rPr>
        <w:t>funding</w:t>
      </w:r>
      <w:r>
        <w:rPr>
          <w:color w:val="231F20"/>
          <w:spacing w:val="-3"/>
        </w:rPr>
        <w:t> </w:t>
      </w:r>
      <w:r>
        <w:rPr>
          <w:color w:val="231F20"/>
        </w:rPr>
        <w:t>and</w:t>
      </w:r>
      <w:r>
        <w:rPr>
          <w:color w:val="231F20"/>
          <w:spacing w:val="-4"/>
        </w:rPr>
        <w:t> </w:t>
      </w:r>
      <w:r>
        <w:rPr>
          <w:color w:val="231F20"/>
        </w:rPr>
        <w:t>policy</w:t>
      </w:r>
      <w:r>
        <w:rPr>
          <w:color w:val="231F20"/>
          <w:spacing w:val="21"/>
        </w:rPr>
        <w:t> </w:t>
      </w:r>
      <w:r>
        <w:rPr>
          <w:color w:val="231F20"/>
        </w:rPr>
        <w:t>responsibility</w:t>
      </w:r>
      <w:r>
        <w:rPr>
          <w:color w:val="231F20"/>
          <w:spacing w:val="-4"/>
        </w:rPr>
        <w:t> </w:t>
      </w:r>
      <w:r>
        <w:rPr>
          <w:color w:val="231F20"/>
          <w:spacing w:val="-1"/>
        </w:rPr>
        <w:t>in</w:t>
      </w:r>
      <w:r>
        <w:rPr>
          <w:color w:val="231F20"/>
          <w:spacing w:val="-2"/>
        </w:rPr>
        <w:t> </w:t>
      </w:r>
      <w:r>
        <w:rPr>
          <w:color w:val="231F20"/>
        </w:rPr>
        <w:t>a</w:t>
      </w:r>
      <w:r>
        <w:rPr>
          <w:color w:val="231F20"/>
          <w:spacing w:val="-2"/>
        </w:rPr>
        <w:t> </w:t>
      </w:r>
      <w:r>
        <w:rPr>
          <w:color w:val="231F20"/>
        </w:rPr>
        <w:t>range</w:t>
      </w:r>
      <w:r>
        <w:rPr>
          <w:color w:val="231F20"/>
          <w:spacing w:val="-3"/>
        </w:rPr>
        <w:t> </w:t>
      </w:r>
      <w:r>
        <w:rPr>
          <w:color w:val="231F20"/>
        </w:rPr>
        <w:t>of</w:t>
      </w:r>
      <w:r>
        <w:rPr>
          <w:color w:val="231F20"/>
          <w:spacing w:val="-1"/>
        </w:rPr>
        <w:t> </w:t>
      </w:r>
      <w:r>
        <w:rPr>
          <w:color w:val="231F20"/>
        </w:rPr>
        <w:t>areas</w:t>
      </w:r>
      <w:r>
        <w:rPr>
          <w:color w:val="231F20"/>
          <w:spacing w:val="-3"/>
        </w:rPr>
        <w:t> </w:t>
      </w:r>
      <w:r>
        <w:rPr>
          <w:color w:val="231F20"/>
          <w:spacing w:val="-1"/>
        </w:rPr>
        <w:t>such</w:t>
      </w:r>
      <w:r>
        <w:rPr>
          <w:color w:val="231F20"/>
          <w:spacing w:val="-2"/>
        </w:rPr>
        <w:t> </w:t>
      </w:r>
      <w:r>
        <w:rPr>
          <w:color w:val="231F20"/>
        </w:rPr>
        <w:t>as</w:t>
      </w:r>
      <w:r>
        <w:rPr>
          <w:color w:val="231F20"/>
          <w:spacing w:val="22"/>
        </w:rPr>
        <w:t> </w:t>
      </w:r>
      <w:r>
        <w:rPr>
          <w:color w:val="231F20"/>
        </w:rPr>
        <w:t>health</w:t>
      </w:r>
      <w:r>
        <w:rPr>
          <w:color w:val="231F20"/>
          <w:spacing w:val="-7"/>
        </w:rPr>
        <w:t> </w:t>
      </w:r>
      <w:r>
        <w:rPr>
          <w:color w:val="231F20"/>
          <w:spacing w:val="-1"/>
        </w:rPr>
        <w:t>management,</w:t>
      </w:r>
      <w:r>
        <w:rPr>
          <w:color w:val="231F20"/>
          <w:spacing w:val="-4"/>
        </w:rPr>
        <w:t> </w:t>
      </w:r>
      <w:r>
        <w:rPr>
          <w:color w:val="231F20"/>
        </w:rPr>
        <w:t>family</w:t>
      </w:r>
      <w:r>
        <w:rPr>
          <w:color w:val="231F20"/>
          <w:spacing w:val="-6"/>
        </w:rPr>
        <w:t> </w:t>
      </w:r>
      <w:r>
        <w:rPr>
          <w:color w:val="231F20"/>
        </w:rPr>
        <w:t>and</w:t>
      </w:r>
      <w:r>
        <w:rPr>
          <w:color w:val="231F20"/>
          <w:spacing w:val="-6"/>
        </w:rPr>
        <w:t> </w:t>
      </w:r>
      <w:r>
        <w:rPr>
          <w:color w:val="231F20"/>
        </w:rPr>
        <w:t>community</w:t>
      </w:r>
      <w:r>
        <w:rPr>
          <w:color w:val="231F20"/>
          <w:spacing w:val="22"/>
        </w:rPr>
        <w:t> </w:t>
      </w:r>
      <w:r>
        <w:rPr>
          <w:rFonts w:ascii="Segoe UI" w:hAnsi="Segoe UI"/>
          <w:color w:val="231F20"/>
        </w:rPr>
        <w:t>engagement,</w:t>
      </w:r>
      <w:r>
        <w:rPr>
          <w:rFonts w:ascii="Segoe UI" w:hAnsi="Segoe UI"/>
          <w:color w:val="231F20"/>
          <w:spacing w:val="-1"/>
        </w:rPr>
        <w:t> </w:t>
      </w:r>
      <w:r>
        <w:rPr>
          <w:rFonts w:ascii="Segoe UI" w:hAnsi="Segoe UI"/>
          <w:color w:val="231F20"/>
        </w:rPr>
        <w:t>travel</w:t>
      </w:r>
      <w:r>
        <w:rPr>
          <w:rFonts w:ascii="Segoe UI" w:hAnsi="Segoe UI"/>
          <w:color w:val="231F20"/>
          <w:spacing w:val="-1"/>
        </w:rPr>
        <w:t> </w:t>
      </w:r>
      <w:r>
        <w:rPr>
          <w:rFonts w:ascii="Segoe UI" w:hAnsi="Segoe UI"/>
          <w:color w:val="231F20"/>
        </w:rPr>
        <w:t>support</w:t>
      </w:r>
      <w:r>
        <w:rPr>
          <w:rFonts w:ascii="Segoe UI" w:hAnsi="Segoe UI"/>
          <w:color w:val="231F20"/>
          <w:spacing w:val="-1"/>
        </w:rPr>
        <w:t> </w:t>
      </w:r>
      <w:r>
        <w:rPr>
          <w:rFonts w:ascii="Segoe UI" w:hAnsi="Segoe UI"/>
          <w:color w:val="231F20"/>
        </w:rPr>
        <w:t>and</w:t>
      </w:r>
      <w:r>
        <w:rPr>
          <w:rFonts w:ascii="Segoe UI" w:hAnsi="Segoe UI"/>
          <w:color w:val="231F20"/>
          <w:spacing w:val="-1"/>
        </w:rPr>
        <w:t> </w:t>
      </w:r>
      <w:r>
        <w:rPr>
          <w:rFonts w:ascii="Segoe UI" w:hAnsi="Segoe UI"/>
          <w:color w:val="231F20"/>
        </w:rPr>
        <w:t>staff</w:t>
      </w:r>
      <w:r>
        <w:rPr>
          <w:rFonts w:ascii="Segoe UI" w:hAnsi="Segoe UI"/>
          <w:color w:val="231F20"/>
          <w:w w:val="99"/>
        </w:rPr>
        <w:t> </w:t>
      </w:r>
      <w:r>
        <w:rPr>
          <w:color w:val="231F20"/>
        </w:rPr>
        <w:t>development</w:t>
      </w:r>
      <w:r>
        <w:rPr>
          <w:color w:val="231F20"/>
          <w:spacing w:val="-8"/>
        </w:rPr>
        <w:t> </w:t>
      </w:r>
      <w:r>
        <w:rPr>
          <w:color w:val="231F20"/>
        </w:rPr>
        <w:t>(e.g.</w:t>
      </w:r>
      <w:r>
        <w:rPr>
          <w:color w:val="231F20"/>
          <w:spacing w:val="-8"/>
        </w:rPr>
        <w:t> </w:t>
      </w:r>
      <w:r>
        <w:rPr>
          <w:color w:val="231F20"/>
          <w:spacing w:val="-1"/>
        </w:rPr>
        <w:t>in</w:t>
      </w:r>
      <w:r>
        <w:rPr>
          <w:color w:val="231F20"/>
          <w:spacing w:val="-7"/>
        </w:rPr>
        <w:t> </w:t>
      </w:r>
      <w:r>
        <w:rPr>
          <w:color w:val="231F20"/>
        </w:rPr>
        <w:t>cultural</w:t>
      </w:r>
      <w:r>
        <w:rPr>
          <w:color w:val="231F20"/>
          <w:spacing w:val="-8"/>
        </w:rPr>
        <w:t> </w:t>
      </w:r>
      <w:r>
        <w:rPr>
          <w:color w:val="231F20"/>
        </w:rPr>
        <w:t>awareness</w:t>
      </w:r>
      <w:r>
        <w:rPr>
          <w:color w:val="231F20"/>
          <w:spacing w:val="-8"/>
        </w:rPr>
        <w:t> </w:t>
      </w:r>
      <w:r>
        <w:rPr>
          <w:color w:val="231F20"/>
        </w:rPr>
        <w:t>and</w:t>
      </w:r>
      <w:r>
        <w:rPr>
          <w:color w:val="231F20"/>
          <w:spacing w:val="21"/>
          <w:w w:val="99"/>
        </w:rPr>
        <w:t> </w:t>
      </w:r>
      <w:r>
        <w:rPr>
          <w:color w:val="231F20"/>
        </w:rPr>
        <w:t>trauma</w:t>
      </w:r>
      <w:r>
        <w:rPr>
          <w:color w:val="231F20"/>
          <w:spacing w:val="-13"/>
        </w:rPr>
        <w:t> </w:t>
      </w:r>
      <w:r>
        <w:rPr>
          <w:color w:val="231F20"/>
          <w:spacing w:val="-1"/>
        </w:rPr>
        <w:t>informed</w:t>
      </w:r>
      <w:r>
        <w:rPr>
          <w:color w:val="231F20"/>
          <w:spacing w:val="-12"/>
        </w:rPr>
        <w:t> </w:t>
      </w:r>
      <w:r>
        <w:rPr>
          <w:color w:val="231F20"/>
        </w:rPr>
        <w:t>practices).</w:t>
      </w:r>
      <w:r>
        <w:rPr/>
      </w:r>
    </w:p>
    <w:p>
      <w:pPr>
        <w:pStyle w:val="BodyText"/>
        <w:spacing w:line="250" w:lineRule="exact" w:before="62"/>
        <w:ind w:left="100" w:right="243"/>
        <w:jc w:val="left"/>
      </w:pPr>
      <w:r>
        <w:rPr/>
        <w:br w:type="column"/>
      </w:r>
      <w:r>
        <w:rPr>
          <w:color w:val="231F20"/>
        </w:rPr>
        <w:t>The</w:t>
      </w:r>
      <w:r>
        <w:rPr>
          <w:color w:val="231F20"/>
          <w:spacing w:val="-4"/>
        </w:rPr>
        <w:t> </w:t>
      </w:r>
      <w:r>
        <w:rPr>
          <w:color w:val="231F20"/>
          <w:spacing w:val="-2"/>
        </w:rPr>
        <w:t>Study</w:t>
      </w:r>
      <w:r>
        <w:rPr>
          <w:color w:val="231F20"/>
          <w:spacing w:val="-5"/>
        </w:rPr>
        <w:t> </w:t>
      </w:r>
      <w:r>
        <w:rPr>
          <w:color w:val="231F20"/>
          <w:spacing w:val="-1"/>
        </w:rPr>
        <w:t>Away</w:t>
      </w:r>
      <w:r>
        <w:rPr>
          <w:color w:val="231F20"/>
          <w:spacing w:val="-4"/>
        </w:rPr>
        <w:t> </w:t>
      </w:r>
      <w:r>
        <w:rPr>
          <w:color w:val="231F20"/>
          <w:spacing w:val="-1"/>
        </w:rPr>
        <w:t>Review</w:t>
      </w:r>
      <w:r>
        <w:rPr>
          <w:color w:val="231F20"/>
          <w:spacing w:val="-5"/>
        </w:rPr>
        <w:t> </w:t>
      </w:r>
      <w:r>
        <w:rPr>
          <w:color w:val="231F20"/>
        </w:rPr>
        <w:t>focussed</w:t>
      </w:r>
      <w:r>
        <w:rPr>
          <w:color w:val="231F20"/>
          <w:spacing w:val="-4"/>
        </w:rPr>
        <w:t> </w:t>
      </w:r>
      <w:r>
        <w:rPr>
          <w:color w:val="231F20"/>
        </w:rPr>
        <w:t>on</w:t>
      </w:r>
      <w:r>
        <w:rPr>
          <w:color w:val="231F20"/>
          <w:spacing w:val="24"/>
          <w:w w:val="99"/>
        </w:rPr>
        <w:t> </w:t>
      </w:r>
      <w:r>
        <w:rPr>
          <w:color w:val="231F20"/>
          <w:spacing w:val="-1"/>
        </w:rPr>
        <w:t>Commonwealth</w:t>
      </w:r>
      <w:r>
        <w:rPr>
          <w:color w:val="231F20"/>
          <w:spacing w:val="-9"/>
        </w:rPr>
        <w:t> </w:t>
      </w:r>
      <w:r>
        <w:rPr>
          <w:color w:val="231F20"/>
          <w:spacing w:val="-1"/>
        </w:rPr>
        <w:t>support</w:t>
      </w:r>
      <w:r>
        <w:rPr>
          <w:color w:val="231F20"/>
          <w:spacing w:val="-9"/>
        </w:rPr>
        <w:t> </w:t>
      </w:r>
      <w:r>
        <w:rPr>
          <w:color w:val="231F20"/>
        </w:rPr>
        <w:t>for</w:t>
      </w:r>
      <w:r>
        <w:rPr>
          <w:color w:val="231F20"/>
          <w:spacing w:val="-9"/>
        </w:rPr>
        <w:t> </w:t>
      </w:r>
      <w:r>
        <w:rPr>
          <w:color w:val="231F20"/>
        </w:rPr>
        <w:t>Aboriginal</w:t>
      </w:r>
      <w:r>
        <w:rPr>
          <w:color w:val="231F20"/>
          <w:spacing w:val="-9"/>
        </w:rPr>
        <w:t> </w:t>
      </w:r>
      <w:r>
        <w:rPr>
          <w:color w:val="231F20"/>
        </w:rPr>
        <w:t>and</w:t>
      </w:r>
      <w:r>
        <w:rPr>
          <w:color w:val="231F20"/>
          <w:spacing w:val="23"/>
          <w:w w:val="99"/>
        </w:rPr>
        <w:t> </w:t>
      </w:r>
      <w:r>
        <w:rPr>
          <w:color w:val="231F20"/>
          <w:spacing w:val="-5"/>
        </w:rPr>
        <w:t>Torres </w:t>
      </w:r>
      <w:r>
        <w:rPr>
          <w:color w:val="231F20"/>
          <w:spacing w:val="-2"/>
        </w:rPr>
        <w:t>Strait</w:t>
      </w:r>
      <w:r>
        <w:rPr>
          <w:color w:val="231F20"/>
          <w:spacing w:val="-5"/>
        </w:rPr>
        <w:t> </w:t>
      </w:r>
      <w:r>
        <w:rPr>
          <w:color w:val="231F20"/>
          <w:spacing w:val="-1"/>
        </w:rPr>
        <w:t>Islander</w:t>
      </w:r>
      <w:r>
        <w:rPr>
          <w:color w:val="231F20"/>
          <w:spacing w:val="-5"/>
        </w:rPr>
        <w:t> </w:t>
      </w:r>
      <w:r>
        <w:rPr>
          <w:color w:val="231F20"/>
          <w:spacing w:val="-1"/>
        </w:rPr>
        <w:t>students</w:t>
      </w:r>
      <w:r>
        <w:rPr>
          <w:color w:val="231F20"/>
          <w:spacing w:val="-4"/>
        </w:rPr>
        <w:t> </w:t>
      </w:r>
      <w:r>
        <w:rPr>
          <w:color w:val="231F20"/>
          <w:spacing w:val="-1"/>
        </w:rPr>
        <w:t>studying</w:t>
      </w:r>
      <w:r>
        <w:rPr>
          <w:color w:val="231F20"/>
          <w:spacing w:val="-5"/>
        </w:rPr>
        <w:t> </w:t>
      </w:r>
      <w:r>
        <w:rPr>
          <w:color w:val="231F20"/>
        </w:rPr>
        <w:t>away</w:t>
      </w:r>
      <w:r>
        <w:rPr>
          <w:color w:val="231F20"/>
          <w:spacing w:val="25"/>
          <w:w w:val="99"/>
        </w:rPr>
        <w:t> </w:t>
      </w:r>
      <w:r>
        <w:rPr>
          <w:rFonts w:ascii="Segoe UI"/>
          <w:color w:val="231F20"/>
        </w:rPr>
        <w:t>from home and identified four main pillars of</w:t>
      </w:r>
      <w:r>
        <w:rPr>
          <w:rFonts w:ascii="Segoe UI"/>
          <w:color w:val="231F20"/>
        </w:rPr>
        <w:t> </w:t>
      </w:r>
      <w:r>
        <w:rPr>
          <w:color w:val="231F20"/>
          <w:spacing w:val="-1"/>
        </w:rPr>
        <w:t>support:</w:t>
      </w:r>
      <w:r>
        <w:rPr/>
      </w:r>
    </w:p>
    <w:p>
      <w:pPr>
        <w:pStyle w:val="BodyText"/>
        <w:numPr>
          <w:ilvl w:val="0"/>
          <w:numId w:val="3"/>
        </w:numPr>
        <w:tabs>
          <w:tab w:pos="341" w:val="left" w:leader="none"/>
        </w:tabs>
        <w:spacing w:line="250" w:lineRule="exact" w:before="113" w:after="0"/>
        <w:ind w:left="340" w:right="209" w:hanging="220"/>
        <w:jc w:val="left"/>
      </w:pPr>
      <w:r>
        <w:rPr>
          <w:rFonts w:ascii="Segoe UI" w:hAnsi="Segoe UI" w:cs="Segoe UI" w:eastAsia="Segoe UI"/>
          <w:b/>
          <w:bCs/>
          <w:color w:val="231F20"/>
          <w:spacing w:val="-1"/>
        </w:rPr>
        <w:t>boarding</w:t>
      </w:r>
      <w:r>
        <w:rPr>
          <w:rFonts w:ascii="Segoe UI" w:hAnsi="Segoe UI" w:cs="Segoe UI" w:eastAsia="Segoe UI"/>
          <w:b/>
          <w:bCs/>
          <w:color w:val="231F20"/>
          <w:spacing w:val="-6"/>
        </w:rPr>
        <w:t> </w:t>
      </w:r>
      <w:r>
        <w:rPr>
          <w:rFonts w:ascii="Segoe UI" w:hAnsi="Segoe UI" w:cs="Segoe UI" w:eastAsia="Segoe UI"/>
          <w:b/>
          <w:bCs/>
          <w:color w:val="231F20"/>
          <w:spacing w:val="-1"/>
        </w:rPr>
        <w:t>preparation</w:t>
      </w:r>
      <w:r>
        <w:rPr>
          <w:color w:val="231F20"/>
          <w:spacing w:val="-1"/>
        </w:rPr>
        <w:t>—</w:t>
      </w:r>
      <w:r>
        <w:rPr>
          <w:color w:val="231F20"/>
          <w:spacing w:val="-5"/>
        </w:rPr>
        <w:t> </w:t>
      </w:r>
      <w:r>
        <w:rPr>
          <w:color w:val="231F20"/>
        </w:rPr>
        <w:t>psychological</w:t>
      </w:r>
      <w:r>
        <w:rPr>
          <w:color w:val="231F20"/>
          <w:spacing w:val="-6"/>
        </w:rPr>
        <w:t> </w:t>
      </w:r>
      <w:r>
        <w:rPr>
          <w:color w:val="231F20"/>
        </w:rPr>
        <w:t>and</w:t>
      </w:r>
      <w:r>
        <w:rPr>
          <w:color w:val="231F20"/>
          <w:spacing w:val="29"/>
          <w:w w:val="99"/>
        </w:rPr>
        <w:t> </w:t>
      </w:r>
      <w:r>
        <w:rPr>
          <w:color w:val="231F20"/>
        </w:rPr>
        <w:t>practical</w:t>
      </w:r>
      <w:r>
        <w:rPr>
          <w:color w:val="231F20"/>
          <w:spacing w:val="-8"/>
        </w:rPr>
        <w:t> </w:t>
      </w:r>
      <w:r>
        <w:rPr>
          <w:color w:val="231F20"/>
        </w:rPr>
        <w:t>preparation</w:t>
      </w:r>
      <w:r>
        <w:rPr>
          <w:color w:val="231F20"/>
          <w:spacing w:val="-7"/>
        </w:rPr>
        <w:t> </w:t>
      </w:r>
      <w:r>
        <w:rPr>
          <w:color w:val="231F20"/>
        </w:rPr>
        <w:t>for</w:t>
      </w:r>
      <w:r>
        <w:rPr>
          <w:color w:val="231F20"/>
          <w:spacing w:val="-6"/>
        </w:rPr>
        <w:t> </w:t>
      </w:r>
      <w:r>
        <w:rPr>
          <w:color w:val="231F20"/>
        </w:rPr>
        <w:t>boarding</w:t>
      </w:r>
      <w:r>
        <w:rPr>
          <w:color w:val="231F20"/>
          <w:spacing w:val="-7"/>
        </w:rPr>
        <w:t> </w:t>
      </w:r>
      <w:r>
        <w:rPr>
          <w:color w:val="231F20"/>
          <w:spacing w:val="-1"/>
        </w:rPr>
        <w:t>school</w:t>
      </w:r>
      <w:r>
        <w:rPr>
          <w:color w:val="231F20"/>
          <w:spacing w:val="-6"/>
        </w:rPr>
        <w:t> </w:t>
      </w:r>
      <w:r>
        <w:rPr>
          <w:color w:val="231F20"/>
        </w:rPr>
        <w:t>for</w:t>
      </w:r>
      <w:r>
        <w:rPr>
          <w:color w:val="231F20"/>
          <w:spacing w:val="21"/>
          <w:w w:val="99"/>
        </w:rPr>
        <w:t> </w:t>
      </w:r>
      <w:r>
        <w:rPr>
          <w:color w:val="231F20"/>
        </w:rPr>
        <w:t>both</w:t>
      </w:r>
      <w:r>
        <w:rPr>
          <w:color w:val="231F20"/>
          <w:spacing w:val="-4"/>
        </w:rPr>
        <w:t> </w:t>
      </w:r>
      <w:r>
        <w:rPr>
          <w:color w:val="231F20"/>
        </w:rPr>
        <w:t>families</w:t>
      </w:r>
      <w:r>
        <w:rPr>
          <w:color w:val="231F20"/>
          <w:spacing w:val="-4"/>
        </w:rPr>
        <w:t> </w:t>
      </w:r>
      <w:r>
        <w:rPr>
          <w:color w:val="231F20"/>
        </w:rPr>
        <w:t>and</w:t>
      </w:r>
      <w:r>
        <w:rPr>
          <w:color w:val="231F20"/>
          <w:spacing w:val="-4"/>
        </w:rPr>
        <w:t> </w:t>
      </w:r>
      <w:r>
        <w:rPr>
          <w:color w:val="231F20"/>
        </w:rPr>
        <w:t>the</w:t>
      </w:r>
      <w:r>
        <w:rPr>
          <w:color w:val="231F20"/>
          <w:spacing w:val="-4"/>
        </w:rPr>
        <w:t> </w:t>
      </w:r>
      <w:r>
        <w:rPr>
          <w:color w:val="231F20"/>
          <w:spacing w:val="-1"/>
        </w:rPr>
        <w:t>student,</w:t>
      </w:r>
      <w:r>
        <w:rPr>
          <w:color w:val="231F20"/>
          <w:spacing w:val="-2"/>
        </w:rPr>
        <w:t> </w:t>
      </w:r>
      <w:r>
        <w:rPr>
          <w:color w:val="231F20"/>
        </w:rPr>
        <w:t>as</w:t>
      </w:r>
      <w:r>
        <w:rPr>
          <w:color w:val="231F20"/>
          <w:spacing w:val="-4"/>
        </w:rPr>
        <w:t> </w:t>
      </w:r>
      <w:r>
        <w:rPr>
          <w:color w:val="231F20"/>
        </w:rPr>
        <w:t>well</w:t>
      </w:r>
      <w:r>
        <w:rPr>
          <w:color w:val="231F20"/>
          <w:spacing w:val="-4"/>
        </w:rPr>
        <w:t> </w:t>
      </w:r>
      <w:r>
        <w:rPr>
          <w:color w:val="231F20"/>
        </w:rPr>
        <w:t>as</w:t>
      </w:r>
      <w:r>
        <w:rPr>
          <w:color w:val="231F20"/>
          <w:spacing w:val="-4"/>
        </w:rPr>
        <w:t> </w:t>
      </w:r>
      <w:r>
        <w:rPr>
          <w:color w:val="231F20"/>
        </w:rPr>
        <w:t>the</w:t>
      </w:r>
      <w:r>
        <w:rPr>
          <w:color w:val="231F20"/>
          <w:spacing w:val="22"/>
          <w:w w:val="99"/>
        </w:rPr>
        <w:t> </w:t>
      </w:r>
      <w:r>
        <w:rPr>
          <w:rFonts w:ascii="Segoe UI" w:hAnsi="Segoe UI" w:cs="Segoe UI" w:eastAsia="Segoe UI"/>
          <w:color w:val="231F20"/>
        </w:rPr>
        <w:t>experience of applying for financial support</w:t>
      </w:r>
      <w:r>
        <w:rPr>
          <w:rFonts w:ascii="Segoe UI" w:hAnsi="Segoe UI" w:cs="Segoe UI" w:eastAsia="Segoe UI"/>
          <w:color w:val="231F20"/>
        </w:rPr>
        <w:t> </w:t>
      </w:r>
      <w:r>
        <w:rPr>
          <w:color w:val="231F20"/>
        </w:rPr>
        <w:t>(e.g.</w:t>
      </w:r>
      <w:r>
        <w:rPr>
          <w:color w:val="231F20"/>
          <w:spacing w:val="-4"/>
        </w:rPr>
        <w:t> </w:t>
      </w:r>
      <w:r>
        <w:rPr>
          <w:color w:val="231F20"/>
        </w:rPr>
        <w:t>ABSTUDY</w:t>
      </w:r>
      <w:r>
        <w:rPr>
          <w:color w:val="231F20"/>
          <w:spacing w:val="-4"/>
        </w:rPr>
        <w:t> </w:t>
      </w:r>
      <w:r>
        <w:rPr>
          <w:color w:val="231F20"/>
        </w:rPr>
        <w:t>and</w:t>
      </w:r>
      <w:r>
        <w:rPr>
          <w:color w:val="231F20"/>
          <w:spacing w:val="-3"/>
        </w:rPr>
        <w:t> </w:t>
      </w:r>
      <w:r>
        <w:rPr>
          <w:color w:val="231F20"/>
          <w:spacing w:val="-1"/>
        </w:rPr>
        <w:t>scholarships)</w:t>
      </w:r>
      <w:r>
        <w:rPr>
          <w:color w:val="231F20"/>
          <w:spacing w:val="-2"/>
        </w:rPr>
        <w:t> </w:t>
      </w:r>
      <w:r>
        <w:rPr>
          <w:color w:val="231F20"/>
        </w:rPr>
        <w:t>prior</w:t>
      </w:r>
      <w:r>
        <w:rPr>
          <w:color w:val="231F20"/>
          <w:spacing w:val="-4"/>
        </w:rPr>
        <w:t> </w:t>
      </w:r>
      <w:r>
        <w:rPr>
          <w:color w:val="231F20"/>
        </w:rPr>
        <w:t>to</w:t>
      </w:r>
      <w:r>
        <w:rPr>
          <w:color w:val="231F20"/>
          <w:spacing w:val="-2"/>
        </w:rPr>
        <w:t> </w:t>
      </w:r>
      <w:r>
        <w:rPr>
          <w:color w:val="231F20"/>
        </w:rPr>
        <w:t>the</w:t>
      </w:r>
      <w:r>
        <w:rPr>
          <w:color w:val="231F20"/>
          <w:spacing w:val="22"/>
          <w:w w:val="99"/>
        </w:rPr>
        <w:t> </w:t>
      </w:r>
      <w:r>
        <w:rPr>
          <w:color w:val="231F20"/>
          <w:spacing w:val="-1"/>
        </w:rPr>
        <w:t>school</w:t>
      </w:r>
      <w:r>
        <w:rPr>
          <w:color w:val="231F20"/>
          <w:spacing w:val="-4"/>
        </w:rPr>
        <w:t> </w:t>
      </w:r>
      <w:r>
        <w:rPr>
          <w:color w:val="231F20"/>
        </w:rPr>
        <w:t>year</w:t>
      </w:r>
      <w:r>
        <w:rPr/>
      </w:r>
    </w:p>
    <w:p>
      <w:pPr>
        <w:pStyle w:val="BodyText"/>
        <w:numPr>
          <w:ilvl w:val="0"/>
          <w:numId w:val="3"/>
        </w:numPr>
        <w:tabs>
          <w:tab w:pos="341" w:val="left" w:leader="none"/>
        </w:tabs>
        <w:spacing w:line="250" w:lineRule="exact" w:before="113" w:after="0"/>
        <w:ind w:left="340" w:right="124" w:hanging="220"/>
        <w:jc w:val="left"/>
      </w:pPr>
      <w:r>
        <w:rPr>
          <w:rFonts w:ascii="Segoe UI" w:hAnsi="Segoe UI" w:cs="Segoe UI" w:eastAsia="Segoe UI"/>
          <w:b/>
          <w:bCs/>
          <w:color w:val="231F20"/>
        </w:rPr>
        <w:t>student</w:t>
      </w:r>
      <w:r>
        <w:rPr>
          <w:rFonts w:ascii="Segoe UI" w:hAnsi="Segoe UI" w:cs="Segoe UI" w:eastAsia="Segoe UI"/>
          <w:b/>
          <w:bCs/>
          <w:color w:val="231F20"/>
          <w:spacing w:val="-5"/>
        </w:rPr>
        <w:t> </w:t>
      </w:r>
      <w:r>
        <w:rPr>
          <w:rFonts w:ascii="Segoe UI" w:hAnsi="Segoe UI" w:cs="Segoe UI" w:eastAsia="Segoe UI"/>
          <w:b/>
          <w:bCs/>
          <w:color w:val="231F20"/>
          <w:spacing w:val="-1"/>
        </w:rPr>
        <w:t>travel</w:t>
      </w:r>
      <w:r>
        <w:rPr>
          <w:color w:val="231F20"/>
          <w:spacing w:val="-1"/>
        </w:rPr>
        <w:t>—</w:t>
      </w:r>
      <w:r>
        <w:rPr>
          <w:color w:val="231F20"/>
          <w:spacing w:val="-3"/>
        </w:rPr>
        <w:t> </w:t>
      </w:r>
      <w:r>
        <w:rPr>
          <w:color w:val="231F20"/>
          <w:spacing w:val="-1"/>
        </w:rPr>
        <w:t>students</w:t>
      </w:r>
      <w:r>
        <w:rPr>
          <w:color w:val="231F20"/>
          <w:spacing w:val="-3"/>
        </w:rPr>
        <w:t> </w:t>
      </w:r>
      <w:r>
        <w:rPr>
          <w:color w:val="231F20"/>
        </w:rPr>
        <w:t>travelling</w:t>
      </w:r>
      <w:r>
        <w:rPr>
          <w:color w:val="231F20"/>
          <w:spacing w:val="-4"/>
        </w:rPr>
        <w:t> </w:t>
      </w:r>
      <w:r>
        <w:rPr>
          <w:color w:val="231F20"/>
        </w:rPr>
        <w:t>from</w:t>
      </w:r>
      <w:r>
        <w:rPr>
          <w:color w:val="231F20"/>
          <w:spacing w:val="23"/>
          <w:w w:val="99"/>
        </w:rPr>
        <w:t> </w:t>
      </w:r>
      <w:r>
        <w:rPr>
          <w:color w:val="231F20"/>
        </w:rPr>
        <w:t>community</w:t>
      </w:r>
      <w:r>
        <w:rPr>
          <w:color w:val="231F20"/>
          <w:spacing w:val="-3"/>
        </w:rPr>
        <w:t> </w:t>
      </w:r>
      <w:r>
        <w:rPr>
          <w:color w:val="231F20"/>
        </w:rPr>
        <w:t>to</w:t>
      </w:r>
      <w:r>
        <w:rPr>
          <w:color w:val="231F20"/>
          <w:spacing w:val="-2"/>
        </w:rPr>
        <w:t> </w:t>
      </w:r>
      <w:r>
        <w:rPr>
          <w:color w:val="231F20"/>
          <w:spacing w:val="-1"/>
        </w:rPr>
        <w:t>school</w:t>
      </w:r>
      <w:r>
        <w:rPr>
          <w:color w:val="231F20"/>
          <w:spacing w:val="-2"/>
        </w:rPr>
        <w:t> </w:t>
      </w:r>
      <w:r>
        <w:rPr>
          <w:color w:val="231F20"/>
        </w:rPr>
        <w:t>and</w:t>
      </w:r>
      <w:r>
        <w:rPr>
          <w:color w:val="231F20"/>
          <w:spacing w:val="-3"/>
        </w:rPr>
        <w:t> </w:t>
      </w:r>
      <w:r>
        <w:rPr>
          <w:color w:val="231F20"/>
        </w:rPr>
        <w:t>back</w:t>
      </w:r>
      <w:r>
        <w:rPr>
          <w:color w:val="231F20"/>
          <w:spacing w:val="-3"/>
        </w:rPr>
        <w:t> </w:t>
      </w:r>
      <w:r>
        <w:rPr>
          <w:color w:val="231F20"/>
        </w:rPr>
        <w:t>to</w:t>
      </w:r>
      <w:r>
        <w:rPr>
          <w:color w:val="231F20"/>
          <w:spacing w:val="-2"/>
        </w:rPr>
        <w:t> </w:t>
      </w:r>
      <w:r>
        <w:rPr>
          <w:color w:val="231F20"/>
        </w:rPr>
        <w:t>community</w:t>
      </w:r>
      <w:r>
        <w:rPr/>
      </w:r>
    </w:p>
    <w:p>
      <w:pPr>
        <w:pStyle w:val="BodyText"/>
        <w:numPr>
          <w:ilvl w:val="0"/>
          <w:numId w:val="3"/>
        </w:numPr>
        <w:tabs>
          <w:tab w:pos="341" w:val="left" w:leader="none"/>
        </w:tabs>
        <w:spacing w:line="250" w:lineRule="exact" w:before="113" w:after="0"/>
        <w:ind w:left="340" w:right="147" w:hanging="220"/>
        <w:jc w:val="left"/>
      </w:pPr>
      <w:r>
        <w:rPr>
          <w:rFonts w:ascii="Segoe UI" w:hAnsi="Segoe UI" w:cs="Segoe UI" w:eastAsia="Segoe UI"/>
          <w:b/>
          <w:bCs/>
          <w:color w:val="231F20"/>
          <w:spacing w:val="-1"/>
        </w:rPr>
        <w:t>in-school</w:t>
      </w:r>
      <w:r>
        <w:rPr>
          <w:rFonts w:ascii="Segoe UI" w:hAnsi="Segoe UI" w:cs="Segoe UI" w:eastAsia="Segoe UI"/>
          <w:b/>
          <w:bCs/>
          <w:color w:val="231F20"/>
        </w:rPr>
        <w:t> </w:t>
      </w:r>
      <w:r>
        <w:rPr>
          <w:rFonts w:ascii="Segoe UI" w:hAnsi="Segoe UI" w:cs="Segoe UI" w:eastAsia="Segoe UI"/>
          <w:b/>
          <w:bCs/>
          <w:color w:val="231F20"/>
          <w:spacing w:val="-1"/>
        </w:rPr>
        <w:t>and</w:t>
      </w:r>
      <w:r>
        <w:rPr>
          <w:rFonts w:ascii="Segoe UI" w:hAnsi="Segoe UI" w:cs="Segoe UI" w:eastAsia="Segoe UI"/>
          <w:b/>
          <w:bCs/>
          <w:color w:val="231F20"/>
        </w:rPr>
        <w:t> </w:t>
      </w:r>
      <w:r>
        <w:rPr>
          <w:rFonts w:ascii="Segoe UI" w:hAnsi="Segoe UI" w:cs="Segoe UI" w:eastAsia="Segoe UI"/>
          <w:b/>
          <w:bCs/>
          <w:color w:val="231F20"/>
          <w:spacing w:val="-1"/>
        </w:rPr>
        <w:t>accommodation</w:t>
      </w:r>
      <w:r>
        <w:rPr>
          <w:rFonts w:ascii="Segoe UI" w:hAnsi="Segoe UI" w:cs="Segoe UI" w:eastAsia="Segoe UI"/>
          <w:b/>
          <w:bCs/>
          <w:color w:val="231F20"/>
        </w:rPr>
        <w:t> support</w:t>
      </w:r>
      <w:r>
        <w:rPr>
          <w:color w:val="231F20"/>
        </w:rPr>
        <w:t>—</w:t>
      </w:r>
      <w:r>
        <w:rPr>
          <w:color w:val="231F20"/>
          <w:spacing w:val="29"/>
        </w:rPr>
        <w:t> </w:t>
      </w:r>
      <w:r>
        <w:rPr>
          <w:color w:val="231F20"/>
        </w:rPr>
        <w:t>activity</w:t>
      </w:r>
      <w:r>
        <w:rPr>
          <w:color w:val="231F20"/>
          <w:spacing w:val="-6"/>
        </w:rPr>
        <w:t> </w:t>
      </w:r>
      <w:r>
        <w:rPr>
          <w:color w:val="231F20"/>
        </w:rPr>
        <w:t>both</w:t>
      </w:r>
      <w:r>
        <w:rPr>
          <w:color w:val="231F20"/>
          <w:spacing w:val="-5"/>
        </w:rPr>
        <w:t> </w:t>
      </w:r>
      <w:r>
        <w:rPr>
          <w:color w:val="231F20"/>
        </w:rPr>
        <w:t>within</w:t>
      </w:r>
      <w:r>
        <w:rPr>
          <w:color w:val="231F20"/>
          <w:spacing w:val="-5"/>
        </w:rPr>
        <w:t> </w:t>
      </w:r>
      <w:r>
        <w:rPr>
          <w:color w:val="231F20"/>
        </w:rPr>
        <w:t>the</w:t>
      </w:r>
      <w:r>
        <w:rPr>
          <w:color w:val="231F20"/>
          <w:spacing w:val="-6"/>
        </w:rPr>
        <w:t> </w:t>
      </w:r>
      <w:r>
        <w:rPr>
          <w:color w:val="231F20"/>
          <w:spacing w:val="-1"/>
        </w:rPr>
        <w:t>school</w:t>
      </w:r>
      <w:r>
        <w:rPr>
          <w:color w:val="231F20"/>
          <w:spacing w:val="-4"/>
        </w:rPr>
        <w:t> </w:t>
      </w:r>
      <w:r>
        <w:rPr>
          <w:color w:val="231F20"/>
        </w:rPr>
        <w:t>gate</w:t>
      </w:r>
      <w:r>
        <w:rPr>
          <w:color w:val="231F20"/>
          <w:spacing w:val="-5"/>
        </w:rPr>
        <w:t> </w:t>
      </w:r>
      <w:r>
        <w:rPr>
          <w:color w:val="231F20"/>
        </w:rPr>
        <w:t>and</w:t>
      </w:r>
      <w:r>
        <w:rPr>
          <w:color w:val="231F20"/>
          <w:spacing w:val="21"/>
          <w:w w:val="99"/>
        </w:rPr>
        <w:t> </w:t>
      </w:r>
      <w:r>
        <w:rPr>
          <w:color w:val="231F20"/>
        </w:rPr>
        <w:t>outside</w:t>
      </w:r>
      <w:r>
        <w:rPr>
          <w:color w:val="231F20"/>
          <w:spacing w:val="-6"/>
        </w:rPr>
        <w:t> </w:t>
      </w:r>
      <w:r>
        <w:rPr>
          <w:color w:val="231F20"/>
          <w:spacing w:val="-1"/>
        </w:rPr>
        <w:t>school</w:t>
      </w:r>
      <w:r>
        <w:rPr>
          <w:color w:val="231F20"/>
          <w:spacing w:val="-6"/>
        </w:rPr>
        <w:t> </w:t>
      </w:r>
      <w:r>
        <w:rPr>
          <w:color w:val="231F20"/>
        </w:rPr>
        <w:t>hours</w:t>
      </w:r>
      <w:r>
        <w:rPr>
          <w:color w:val="231F20"/>
          <w:spacing w:val="-6"/>
        </w:rPr>
        <w:t> </w:t>
      </w:r>
      <w:r>
        <w:rPr>
          <w:color w:val="231F20"/>
        </w:rPr>
        <w:t>through</w:t>
      </w:r>
      <w:r>
        <w:rPr>
          <w:color w:val="231F20"/>
          <w:spacing w:val="-6"/>
        </w:rPr>
        <w:t> </w:t>
      </w:r>
      <w:r>
        <w:rPr>
          <w:color w:val="231F20"/>
        </w:rPr>
        <w:t>boarding</w:t>
      </w:r>
      <w:r>
        <w:rPr>
          <w:color w:val="231F20"/>
          <w:spacing w:val="21"/>
          <w:w w:val="99"/>
        </w:rPr>
        <w:t> </w:t>
      </w:r>
      <w:r>
        <w:rPr>
          <w:color w:val="231F20"/>
        </w:rPr>
        <w:t>residences.</w:t>
      </w:r>
      <w:r>
        <w:rPr>
          <w:color w:val="231F20"/>
          <w:spacing w:val="-8"/>
        </w:rPr>
        <w:t> </w:t>
      </w:r>
      <w:r>
        <w:rPr>
          <w:color w:val="231F20"/>
        </w:rPr>
        <w:t>This</w:t>
      </w:r>
      <w:r>
        <w:rPr>
          <w:color w:val="231F20"/>
          <w:spacing w:val="-6"/>
        </w:rPr>
        <w:t> </w:t>
      </w:r>
      <w:r>
        <w:rPr>
          <w:color w:val="231F20"/>
          <w:spacing w:val="-1"/>
        </w:rPr>
        <w:t>includes</w:t>
      </w:r>
      <w:r>
        <w:rPr>
          <w:color w:val="231F20"/>
          <w:spacing w:val="-5"/>
        </w:rPr>
        <w:t> </w:t>
      </w:r>
      <w:r>
        <w:rPr>
          <w:color w:val="231F20"/>
        </w:rPr>
        <w:t>pastoral</w:t>
      </w:r>
      <w:r>
        <w:rPr>
          <w:color w:val="231F20"/>
          <w:spacing w:val="-7"/>
        </w:rPr>
        <w:t> </w:t>
      </w:r>
      <w:r>
        <w:rPr>
          <w:color w:val="231F20"/>
        </w:rPr>
        <w:t>care,</w:t>
      </w:r>
      <w:r>
        <w:rPr>
          <w:color w:val="231F20"/>
          <w:spacing w:val="-5"/>
        </w:rPr>
        <w:t> </w:t>
      </w:r>
      <w:r>
        <w:rPr>
          <w:color w:val="231F20"/>
        </w:rPr>
        <w:t>health</w:t>
      </w:r>
      <w:r>
        <w:rPr>
          <w:color w:val="231F20"/>
          <w:spacing w:val="22"/>
          <w:w w:val="99"/>
        </w:rPr>
        <w:t> </w:t>
      </w:r>
      <w:r>
        <w:rPr>
          <w:color w:val="231F20"/>
          <w:spacing w:val="-1"/>
        </w:rPr>
        <w:t>services,</w:t>
      </w:r>
      <w:r>
        <w:rPr>
          <w:color w:val="231F20"/>
          <w:spacing w:val="-8"/>
        </w:rPr>
        <w:t> </w:t>
      </w:r>
      <w:r>
        <w:rPr>
          <w:color w:val="231F20"/>
          <w:spacing w:val="-1"/>
        </w:rPr>
        <w:t>mentoring</w:t>
      </w:r>
      <w:r>
        <w:rPr>
          <w:color w:val="231F20"/>
          <w:spacing w:val="-8"/>
        </w:rPr>
        <w:t> </w:t>
      </w:r>
      <w:r>
        <w:rPr>
          <w:color w:val="231F20"/>
        </w:rPr>
        <w:t>and</w:t>
      </w:r>
      <w:r>
        <w:rPr>
          <w:color w:val="231F20"/>
          <w:spacing w:val="-9"/>
        </w:rPr>
        <w:t> </w:t>
      </w:r>
      <w:r>
        <w:rPr>
          <w:color w:val="231F20"/>
        </w:rPr>
        <w:t>extra-curricular</w:t>
      </w:r>
      <w:r>
        <w:rPr>
          <w:color w:val="231F20"/>
          <w:spacing w:val="23"/>
          <w:w w:val="99"/>
        </w:rPr>
        <w:t> </w:t>
      </w:r>
      <w:r>
        <w:rPr>
          <w:color w:val="231F20"/>
        </w:rPr>
        <w:t>activities</w:t>
      </w:r>
      <w:r>
        <w:rPr/>
      </w:r>
    </w:p>
    <w:p>
      <w:pPr>
        <w:pStyle w:val="BodyText"/>
        <w:numPr>
          <w:ilvl w:val="0"/>
          <w:numId w:val="3"/>
        </w:numPr>
        <w:tabs>
          <w:tab w:pos="341" w:val="left" w:leader="none"/>
        </w:tabs>
        <w:spacing w:line="250" w:lineRule="exact" w:before="113" w:after="0"/>
        <w:ind w:left="340" w:right="309" w:hanging="220"/>
        <w:jc w:val="left"/>
      </w:pPr>
      <w:r>
        <w:rPr>
          <w:rFonts w:ascii="Segoe UI" w:hAnsi="Segoe UI" w:cs="Segoe UI" w:eastAsia="Segoe UI"/>
          <w:b/>
          <w:bCs/>
          <w:color w:val="231F20"/>
          <w:spacing w:val="-1"/>
        </w:rPr>
        <w:t>family</w:t>
      </w:r>
      <w:r>
        <w:rPr>
          <w:rFonts w:ascii="Segoe UI" w:hAnsi="Segoe UI" w:cs="Segoe UI" w:eastAsia="Segoe UI"/>
          <w:b/>
          <w:bCs/>
          <w:color w:val="231F20"/>
        </w:rPr>
        <w:t> </w:t>
      </w:r>
      <w:r>
        <w:rPr>
          <w:rFonts w:ascii="Segoe UI" w:hAnsi="Segoe UI" w:cs="Segoe UI" w:eastAsia="Segoe UI"/>
          <w:b/>
          <w:bCs/>
          <w:color w:val="231F20"/>
          <w:spacing w:val="-1"/>
        </w:rPr>
        <w:t>and</w:t>
      </w:r>
      <w:r>
        <w:rPr>
          <w:rFonts w:ascii="Segoe UI" w:hAnsi="Segoe UI" w:cs="Segoe UI" w:eastAsia="Segoe UI"/>
          <w:b/>
          <w:bCs/>
          <w:color w:val="231F20"/>
        </w:rPr>
        <w:t> community</w:t>
      </w:r>
      <w:r>
        <w:rPr>
          <w:rFonts w:ascii="Segoe UI" w:hAnsi="Segoe UI" w:cs="Segoe UI" w:eastAsia="Segoe UI"/>
          <w:b/>
          <w:bCs/>
          <w:color w:val="231F20"/>
          <w:spacing w:val="-1"/>
        </w:rPr>
        <w:t> </w:t>
      </w:r>
      <w:r>
        <w:rPr>
          <w:rFonts w:ascii="Segoe UI" w:hAnsi="Segoe UI" w:cs="Segoe UI" w:eastAsia="Segoe UI"/>
          <w:b/>
          <w:bCs/>
          <w:color w:val="231F20"/>
        </w:rPr>
        <w:t>engagement</w:t>
      </w:r>
      <w:r>
        <w:rPr>
          <w:color w:val="231F20"/>
        </w:rPr>
        <w:t>—</w:t>
      </w:r>
      <w:r>
        <w:rPr>
          <w:color w:val="231F20"/>
          <w:spacing w:val="23"/>
        </w:rPr>
        <w:t> </w:t>
      </w:r>
      <w:r>
        <w:rPr>
          <w:color w:val="231F20"/>
        </w:rPr>
        <w:t>activities</w:t>
      </w:r>
      <w:r>
        <w:rPr>
          <w:color w:val="231F20"/>
          <w:spacing w:val="-7"/>
        </w:rPr>
        <w:t> </w:t>
      </w:r>
      <w:r>
        <w:rPr>
          <w:color w:val="231F20"/>
        </w:rPr>
        <w:t>to</w:t>
      </w:r>
      <w:r>
        <w:rPr>
          <w:color w:val="231F20"/>
          <w:spacing w:val="-7"/>
        </w:rPr>
        <w:t> </w:t>
      </w:r>
      <w:r>
        <w:rPr>
          <w:color w:val="231F20"/>
        </w:rPr>
        <w:t>enhance</w:t>
      </w:r>
      <w:r>
        <w:rPr>
          <w:color w:val="231F20"/>
          <w:spacing w:val="-6"/>
        </w:rPr>
        <w:t> </w:t>
      </w:r>
      <w:r>
        <w:rPr>
          <w:color w:val="231F20"/>
        </w:rPr>
        <w:t>collaboration</w:t>
      </w:r>
      <w:r>
        <w:rPr>
          <w:color w:val="231F20"/>
          <w:spacing w:val="-7"/>
        </w:rPr>
        <w:t> </w:t>
      </w:r>
      <w:r>
        <w:rPr>
          <w:color w:val="231F20"/>
        </w:rPr>
        <w:t>and</w:t>
      </w:r>
      <w:r>
        <w:rPr>
          <w:color w:val="231F20"/>
          <w:w w:val="99"/>
        </w:rPr>
        <w:t> </w:t>
      </w:r>
      <w:r>
        <w:rPr>
          <w:color w:val="231F20"/>
        </w:rPr>
        <w:t>communication</w:t>
      </w:r>
      <w:r>
        <w:rPr>
          <w:color w:val="231F20"/>
          <w:spacing w:val="-5"/>
        </w:rPr>
        <w:t> </w:t>
      </w:r>
      <w:r>
        <w:rPr>
          <w:color w:val="231F20"/>
        </w:rPr>
        <w:t>between</w:t>
      </w:r>
      <w:r>
        <w:rPr>
          <w:color w:val="231F20"/>
          <w:spacing w:val="-4"/>
        </w:rPr>
        <w:t> </w:t>
      </w:r>
      <w:r>
        <w:rPr>
          <w:color w:val="231F20"/>
        </w:rPr>
        <w:t>home</w:t>
      </w:r>
      <w:r>
        <w:rPr>
          <w:color w:val="231F20"/>
          <w:spacing w:val="-5"/>
        </w:rPr>
        <w:t> </w:t>
      </w:r>
      <w:r>
        <w:rPr>
          <w:color w:val="231F20"/>
        </w:rPr>
        <w:t>and</w:t>
      </w:r>
      <w:r>
        <w:rPr>
          <w:color w:val="231F20"/>
          <w:spacing w:val="-4"/>
        </w:rPr>
        <w:t> </w:t>
      </w:r>
      <w:r>
        <w:rPr>
          <w:color w:val="231F20"/>
        </w:rPr>
        <w:t>the</w:t>
      </w:r>
      <w:r>
        <w:rPr>
          <w:color w:val="231F20"/>
          <w:w w:val="99"/>
        </w:rPr>
        <w:t> </w:t>
      </w:r>
      <w:r>
        <w:rPr>
          <w:color w:val="231F20"/>
        </w:rPr>
        <w:t>boarding</w:t>
      </w:r>
      <w:r>
        <w:rPr>
          <w:color w:val="231F20"/>
          <w:spacing w:val="-7"/>
        </w:rPr>
        <w:t> </w:t>
      </w:r>
      <w:r>
        <w:rPr>
          <w:color w:val="231F20"/>
          <w:spacing w:val="-1"/>
        </w:rPr>
        <w:t>school/residence</w:t>
      </w:r>
      <w:r>
        <w:rPr>
          <w:color w:val="231F20"/>
          <w:spacing w:val="-3"/>
        </w:rPr>
        <w:t> </w:t>
      </w:r>
      <w:r>
        <w:rPr>
          <w:color w:val="231F20"/>
        </w:rPr>
        <w:t>as</w:t>
      </w:r>
      <w:r>
        <w:rPr>
          <w:color w:val="231F20"/>
          <w:spacing w:val="-6"/>
        </w:rPr>
        <w:t> </w:t>
      </w:r>
      <w:r>
        <w:rPr>
          <w:color w:val="231F20"/>
        </w:rPr>
        <w:t>well</w:t>
      </w:r>
      <w:r>
        <w:rPr>
          <w:color w:val="231F20"/>
          <w:spacing w:val="-7"/>
        </w:rPr>
        <w:t> </w:t>
      </w:r>
      <w:r>
        <w:rPr>
          <w:color w:val="231F20"/>
        </w:rPr>
        <w:t>as</w:t>
      </w:r>
      <w:r>
        <w:rPr>
          <w:color w:val="231F20"/>
          <w:spacing w:val="-6"/>
        </w:rPr>
        <w:t> </w:t>
      </w:r>
      <w:r>
        <w:rPr>
          <w:color w:val="231F20"/>
        </w:rPr>
        <w:t>family</w:t>
      </w:r>
      <w:r>
        <w:rPr>
          <w:color w:val="231F20"/>
          <w:spacing w:val="22"/>
        </w:rPr>
        <w:t> </w:t>
      </w:r>
      <w:r>
        <w:rPr>
          <w:color w:val="231F20"/>
        </w:rPr>
        <w:t>and</w:t>
      </w:r>
      <w:r>
        <w:rPr>
          <w:color w:val="231F20"/>
          <w:spacing w:val="-5"/>
        </w:rPr>
        <w:t> </w:t>
      </w:r>
      <w:r>
        <w:rPr>
          <w:color w:val="231F20"/>
        </w:rPr>
        <w:t>community</w:t>
      </w:r>
      <w:r>
        <w:rPr>
          <w:color w:val="231F20"/>
          <w:spacing w:val="-5"/>
        </w:rPr>
        <w:t> </w:t>
      </w:r>
      <w:r>
        <w:rPr>
          <w:color w:val="231F20"/>
        </w:rPr>
        <w:t>engagement</w:t>
      </w:r>
      <w:r>
        <w:rPr>
          <w:color w:val="231F20"/>
          <w:spacing w:val="-4"/>
        </w:rPr>
        <w:t> </w:t>
      </w:r>
      <w:r>
        <w:rPr>
          <w:color w:val="231F20"/>
          <w:spacing w:val="-1"/>
        </w:rPr>
        <w:t>in</w:t>
      </w:r>
      <w:r>
        <w:rPr>
          <w:color w:val="231F20"/>
          <w:spacing w:val="-4"/>
        </w:rPr>
        <w:t> </w:t>
      </w:r>
      <w:r>
        <w:rPr>
          <w:color w:val="231F20"/>
          <w:spacing w:val="-1"/>
        </w:rPr>
        <w:t>students’</w:t>
      </w:r>
      <w:r>
        <w:rPr>
          <w:color w:val="231F20"/>
          <w:spacing w:val="21"/>
        </w:rPr>
        <w:t> </w:t>
      </w:r>
      <w:r>
        <w:rPr>
          <w:color w:val="231F20"/>
        </w:rPr>
        <w:t>education</w:t>
      </w:r>
      <w:r>
        <w:rPr>
          <w:color w:val="231F20"/>
          <w:spacing w:val="-12"/>
        </w:rPr>
        <w:t> </w:t>
      </w:r>
      <w:r>
        <w:rPr>
          <w:color w:val="231F20"/>
        </w:rPr>
        <w:t>and</w:t>
      </w:r>
      <w:r>
        <w:rPr>
          <w:color w:val="231F20"/>
          <w:spacing w:val="-11"/>
        </w:rPr>
        <w:t> </w:t>
      </w:r>
      <w:r>
        <w:rPr>
          <w:color w:val="231F20"/>
        </w:rPr>
        <w:t>boarding</w:t>
      </w:r>
      <w:r>
        <w:rPr>
          <w:color w:val="231F20"/>
          <w:spacing w:val="-11"/>
        </w:rPr>
        <w:t> </w:t>
      </w:r>
      <w:r>
        <w:rPr>
          <w:color w:val="231F20"/>
        </w:rPr>
        <w:t>experiences.</w:t>
      </w:r>
      <w:r>
        <w:rPr/>
      </w:r>
    </w:p>
    <w:p>
      <w:pPr>
        <w:pStyle w:val="BodyText"/>
        <w:spacing w:line="250" w:lineRule="exact" w:before="113"/>
        <w:ind w:left="100" w:right="243"/>
        <w:jc w:val="left"/>
      </w:pPr>
      <w:r>
        <w:rPr>
          <w:color w:val="231F20"/>
        </w:rPr>
        <w:t>The</w:t>
      </w:r>
      <w:r>
        <w:rPr>
          <w:color w:val="231F20"/>
          <w:spacing w:val="-5"/>
        </w:rPr>
        <w:t> </w:t>
      </w:r>
      <w:r>
        <w:rPr>
          <w:color w:val="231F20"/>
          <w:spacing w:val="-2"/>
        </w:rPr>
        <w:t>Study</w:t>
      </w:r>
      <w:r>
        <w:rPr>
          <w:color w:val="231F20"/>
          <w:spacing w:val="-6"/>
        </w:rPr>
        <w:t> </w:t>
      </w:r>
      <w:r>
        <w:rPr>
          <w:color w:val="231F20"/>
          <w:spacing w:val="-1"/>
        </w:rPr>
        <w:t>Away</w:t>
      </w:r>
      <w:r>
        <w:rPr>
          <w:color w:val="231F20"/>
          <w:spacing w:val="-6"/>
        </w:rPr>
        <w:t> </w:t>
      </w:r>
      <w:r>
        <w:rPr>
          <w:color w:val="231F20"/>
          <w:spacing w:val="-1"/>
        </w:rPr>
        <w:t>Review</w:t>
      </w:r>
      <w:r>
        <w:rPr>
          <w:color w:val="231F20"/>
          <w:spacing w:val="-5"/>
        </w:rPr>
        <w:t> </w:t>
      </w:r>
      <w:r>
        <w:rPr>
          <w:color w:val="231F20"/>
        </w:rPr>
        <w:t>followed</w:t>
      </w:r>
      <w:r>
        <w:rPr>
          <w:color w:val="231F20"/>
          <w:spacing w:val="-5"/>
        </w:rPr>
        <w:t> </w:t>
      </w:r>
      <w:r>
        <w:rPr>
          <w:color w:val="231F20"/>
        </w:rPr>
        <w:t>a</w:t>
      </w:r>
      <w:r>
        <w:rPr>
          <w:color w:val="231F20"/>
          <w:spacing w:val="-5"/>
        </w:rPr>
        <w:t> </w:t>
      </w:r>
      <w:r>
        <w:rPr>
          <w:color w:val="231F20"/>
        </w:rPr>
        <w:t>number</w:t>
      </w:r>
      <w:r>
        <w:rPr>
          <w:color w:val="231F20"/>
          <w:spacing w:val="-5"/>
        </w:rPr>
        <w:t> </w:t>
      </w:r>
      <w:r>
        <w:rPr>
          <w:color w:val="231F20"/>
        </w:rPr>
        <w:t>of</w:t>
      </w:r>
      <w:r>
        <w:rPr>
          <w:color w:val="231F20"/>
          <w:spacing w:val="24"/>
          <w:w w:val="99"/>
        </w:rPr>
        <w:t> </w:t>
      </w:r>
      <w:r>
        <w:rPr>
          <w:color w:val="231F20"/>
        </w:rPr>
        <w:t>other</w:t>
      </w:r>
      <w:r>
        <w:rPr>
          <w:color w:val="231F20"/>
          <w:spacing w:val="-6"/>
        </w:rPr>
        <w:t> </w:t>
      </w:r>
      <w:r>
        <w:rPr>
          <w:color w:val="231F20"/>
        </w:rPr>
        <w:t>reviews</w:t>
      </w:r>
      <w:r>
        <w:rPr>
          <w:color w:val="231F20"/>
          <w:spacing w:val="-7"/>
        </w:rPr>
        <w:t> </w:t>
      </w:r>
      <w:r>
        <w:rPr>
          <w:color w:val="231F20"/>
        </w:rPr>
        <w:t>and</w:t>
      </w:r>
      <w:r>
        <w:rPr>
          <w:color w:val="231F20"/>
          <w:spacing w:val="-7"/>
        </w:rPr>
        <w:t> </w:t>
      </w:r>
      <w:r>
        <w:rPr>
          <w:color w:val="231F20"/>
        </w:rPr>
        <w:t>reports</w:t>
      </w:r>
      <w:r>
        <w:rPr>
          <w:color w:val="231F20"/>
          <w:spacing w:val="-7"/>
        </w:rPr>
        <w:t> </w:t>
      </w:r>
      <w:r>
        <w:rPr>
          <w:color w:val="231F20"/>
          <w:spacing w:val="-1"/>
        </w:rPr>
        <w:t>into</w:t>
      </w:r>
      <w:r>
        <w:rPr>
          <w:color w:val="231F20"/>
          <w:spacing w:val="-6"/>
        </w:rPr>
        <w:t> </w:t>
      </w:r>
      <w:r>
        <w:rPr>
          <w:color w:val="231F20"/>
        </w:rPr>
        <w:t>boarding</w:t>
      </w:r>
      <w:r>
        <w:rPr>
          <w:color w:val="231F20"/>
          <w:spacing w:val="-6"/>
        </w:rPr>
        <w:t> </w:t>
      </w:r>
      <w:r>
        <w:rPr>
          <w:color w:val="231F20"/>
        </w:rPr>
        <w:t>for</w:t>
      </w:r>
      <w:r>
        <w:rPr>
          <w:color w:val="231F20"/>
          <w:spacing w:val="21"/>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spacing w:val="-1"/>
        </w:rPr>
        <w:t>students.</w:t>
      </w:r>
      <w:r>
        <w:rPr>
          <w:color w:val="231F20"/>
          <w:spacing w:val="20"/>
          <w:w w:val="99"/>
        </w:rPr>
        <w:t> </w:t>
      </w:r>
      <w:r>
        <w:rPr>
          <w:color w:val="231F20"/>
        </w:rPr>
        <w:t>These</w:t>
      </w:r>
      <w:r>
        <w:rPr>
          <w:color w:val="231F20"/>
          <w:spacing w:val="-8"/>
        </w:rPr>
        <w:t> </w:t>
      </w:r>
      <w:r>
        <w:rPr>
          <w:color w:val="231F20"/>
          <w:spacing w:val="-1"/>
        </w:rPr>
        <w:t>include:</w:t>
      </w:r>
      <w:r>
        <w:rPr/>
      </w:r>
    </w:p>
    <w:p>
      <w:pPr>
        <w:spacing w:line="250" w:lineRule="exact" w:before="113"/>
        <w:ind w:left="327" w:right="132" w:hanging="227"/>
        <w:jc w:val="left"/>
        <w:rPr>
          <w:rFonts w:ascii="Segoe UI" w:hAnsi="Segoe UI" w:cs="Segoe UI" w:eastAsia="Segoe UI"/>
          <w:sz w:val="20"/>
          <w:szCs w:val="20"/>
        </w:rPr>
      </w:pPr>
      <w:r>
        <w:rPr>
          <w:rFonts w:ascii="Century Gothic" w:hAnsi="Century Gothic"/>
          <w:color w:val="231F20"/>
          <w:sz w:val="20"/>
        </w:rPr>
        <w:t>» </w:t>
      </w:r>
      <w:r>
        <w:rPr>
          <w:rFonts w:ascii="Century Gothic" w:hAnsi="Century Gothic"/>
          <w:color w:val="231F20"/>
          <w:spacing w:val="25"/>
          <w:sz w:val="20"/>
        </w:rPr>
        <w:t> </w:t>
      </w:r>
      <w:r>
        <w:rPr>
          <w:rFonts w:ascii="Segoe UI" w:hAnsi="Segoe UI"/>
          <w:i/>
          <w:color w:val="231F20"/>
          <w:sz w:val="20"/>
        </w:rPr>
        <w:t>Final</w:t>
      </w:r>
      <w:r>
        <w:rPr>
          <w:rFonts w:ascii="Segoe UI" w:hAnsi="Segoe UI"/>
          <w:i/>
          <w:color w:val="231F20"/>
          <w:spacing w:val="-3"/>
          <w:sz w:val="20"/>
        </w:rPr>
        <w:t> </w:t>
      </w:r>
      <w:r>
        <w:rPr>
          <w:rFonts w:ascii="Segoe UI" w:hAnsi="Segoe UI"/>
          <w:i/>
          <w:color w:val="231F20"/>
          <w:spacing w:val="-1"/>
          <w:sz w:val="20"/>
        </w:rPr>
        <w:t>Report</w:t>
      </w:r>
      <w:r>
        <w:rPr>
          <w:rFonts w:ascii="Segoe UI" w:hAnsi="Segoe UI"/>
          <w:i/>
          <w:color w:val="231F20"/>
          <w:spacing w:val="-4"/>
          <w:sz w:val="20"/>
        </w:rPr>
        <w:t> </w:t>
      </w:r>
      <w:r>
        <w:rPr>
          <w:rFonts w:ascii="Segoe UI" w:hAnsi="Segoe UI"/>
          <w:i/>
          <w:color w:val="231F20"/>
          <w:sz w:val="20"/>
        </w:rPr>
        <w:t>to</w:t>
      </w:r>
      <w:r>
        <w:rPr>
          <w:rFonts w:ascii="Segoe UI" w:hAnsi="Segoe UI"/>
          <w:i/>
          <w:color w:val="231F20"/>
          <w:spacing w:val="-3"/>
          <w:sz w:val="20"/>
        </w:rPr>
        <w:t> </w:t>
      </w:r>
      <w:r>
        <w:rPr>
          <w:rFonts w:ascii="Segoe UI" w:hAnsi="Segoe UI"/>
          <w:i/>
          <w:color w:val="231F20"/>
          <w:spacing w:val="-1"/>
          <w:sz w:val="20"/>
        </w:rPr>
        <w:t>the</w:t>
      </w:r>
      <w:r>
        <w:rPr>
          <w:rFonts w:ascii="Segoe UI" w:hAnsi="Segoe UI"/>
          <w:i/>
          <w:color w:val="231F20"/>
          <w:spacing w:val="-2"/>
          <w:sz w:val="20"/>
        </w:rPr>
        <w:t> </w:t>
      </w:r>
      <w:r>
        <w:rPr>
          <w:rFonts w:ascii="Segoe UI" w:hAnsi="Segoe UI"/>
          <w:i/>
          <w:color w:val="231F20"/>
          <w:spacing w:val="-1"/>
          <w:sz w:val="20"/>
        </w:rPr>
        <w:t>Review</w:t>
      </w:r>
      <w:r>
        <w:rPr>
          <w:rFonts w:ascii="Segoe UI" w:hAnsi="Segoe UI"/>
          <w:i/>
          <w:color w:val="231F20"/>
          <w:spacing w:val="-4"/>
          <w:sz w:val="20"/>
        </w:rPr>
        <w:t> </w:t>
      </w:r>
      <w:r>
        <w:rPr>
          <w:rFonts w:ascii="Segoe UI" w:hAnsi="Segoe UI"/>
          <w:i/>
          <w:color w:val="231F20"/>
          <w:spacing w:val="-2"/>
          <w:sz w:val="20"/>
        </w:rPr>
        <w:t>of </w:t>
      </w:r>
      <w:r>
        <w:rPr>
          <w:rFonts w:ascii="Segoe UI" w:hAnsi="Segoe UI"/>
          <w:i/>
          <w:color w:val="231F20"/>
          <w:sz w:val="20"/>
        </w:rPr>
        <w:t>Funding</w:t>
      </w:r>
      <w:r>
        <w:rPr>
          <w:rFonts w:ascii="Segoe UI" w:hAnsi="Segoe UI"/>
          <w:i/>
          <w:color w:val="231F20"/>
          <w:spacing w:val="-3"/>
          <w:sz w:val="20"/>
        </w:rPr>
        <w:t> </w:t>
      </w:r>
      <w:r>
        <w:rPr>
          <w:rFonts w:ascii="Segoe UI" w:hAnsi="Segoe UI"/>
          <w:i/>
          <w:color w:val="231F20"/>
          <w:sz w:val="20"/>
        </w:rPr>
        <w:t>for</w:t>
      </w:r>
      <w:r>
        <w:rPr>
          <w:rFonts w:ascii="Segoe UI" w:hAnsi="Segoe UI"/>
          <w:i/>
          <w:color w:val="231F20"/>
          <w:spacing w:val="25"/>
          <w:sz w:val="20"/>
        </w:rPr>
        <w:t> </w:t>
      </w:r>
      <w:r>
        <w:rPr>
          <w:rFonts w:ascii="Segoe UI" w:hAnsi="Segoe UI"/>
          <w:i/>
          <w:color w:val="231F20"/>
          <w:sz w:val="20"/>
        </w:rPr>
        <w:t>Selected</w:t>
      </w:r>
      <w:r>
        <w:rPr>
          <w:rFonts w:ascii="Segoe UI" w:hAnsi="Segoe UI"/>
          <w:i/>
          <w:color w:val="231F20"/>
          <w:spacing w:val="-5"/>
          <w:sz w:val="20"/>
        </w:rPr>
        <w:t> </w:t>
      </w:r>
      <w:r>
        <w:rPr>
          <w:rFonts w:ascii="Segoe UI" w:hAnsi="Segoe UI"/>
          <w:i/>
          <w:color w:val="231F20"/>
          <w:spacing w:val="-1"/>
          <w:sz w:val="20"/>
        </w:rPr>
        <w:t>Indigenous</w:t>
      </w:r>
      <w:r>
        <w:rPr>
          <w:rFonts w:ascii="Segoe UI" w:hAnsi="Segoe UI"/>
          <w:i/>
          <w:color w:val="231F20"/>
          <w:spacing w:val="-3"/>
          <w:sz w:val="20"/>
        </w:rPr>
        <w:t> </w:t>
      </w:r>
      <w:r>
        <w:rPr>
          <w:rFonts w:ascii="Segoe UI" w:hAnsi="Segoe UI"/>
          <w:i/>
          <w:color w:val="231F20"/>
          <w:spacing w:val="-1"/>
          <w:sz w:val="20"/>
        </w:rPr>
        <w:t>Boarding</w:t>
      </w:r>
      <w:r>
        <w:rPr>
          <w:rFonts w:ascii="Segoe UI" w:hAnsi="Segoe UI"/>
          <w:i/>
          <w:color w:val="231F20"/>
          <w:spacing w:val="-3"/>
          <w:sz w:val="20"/>
        </w:rPr>
        <w:t> </w:t>
      </w:r>
      <w:r>
        <w:rPr>
          <w:rFonts w:ascii="Segoe UI" w:hAnsi="Segoe UI"/>
          <w:i/>
          <w:color w:val="231F20"/>
          <w:sz w:val="20"/>
        </w:rPr>
        <w:t>Schools,</w:t>
      </w:r>
      <w:r>
        <w:rPr>
          <w:rFonts w:ascii="Segoe UI" w:hAnsi="Segoe UI"/>
          <w:i/>
          <w:color w:val="231F20"/>
          <w:spacing w:val="-4"/>
          <w:sz w:val="20"/>
        </w:rPr>
        <w:t> </w:t>
      </w:r>
      <w:r>
        <w:rPr>
          <w:rFonts w:ascii="Segoe UI" w:hAnsi="Segoe UI"/>
          <w:color w:val="231F20"/>
          <w:sz w:val="20"/>
        </w:rPr>
        <w:t>2013</w:t>
      </w:r>
      <w:r>
        <w:rPr>
          <w:rFonts w:ascii="Segoe UI" w:hAnsi="Segoe UI"/>
          <w:color w:val="231F20"/>
          <w:spacing w:val="28"/>
          <w:sz w:val="20"/>
        </w:rPr>
        <w:t> </w:t>
      </w:r>
      <w:r>
        <w:rPr>
          <w:rFonts w:ascii="Segoe UI" w:hAnsi="Segoe UI"/>
          <w:color w:val="231F20"/>
          <w:sz w:val="20"/>
        </w:rPr>
        <w:t>(Deloitte,</w:t>
      </w:r>
      <w:r>
        <w:rPr>
          <w:rFonts w:ascii="Segoe UI" w:hAnsi="Segoe UI"/>
          <w:color w:val="231F20"/>
          <w:spacing w:val="-10"/>
          <w:sz w:val="20"/>
        </w:rPr>
        <w:t> </w:t>
      </w:r>
      <w:r>
        <w:rPr>
          <w:rFonts w:ascii="Segoe UI" w:hAnsi="Segoe UI"/>
          <w:color w:val="231F20"/>
          <w:sz w:val="20"/>
        </w:rPr>
        <w:t>2013)</w:t>
      </w:r>
      <w:r>
        <w:rPr>
          <w:rFonts w:ascii="Segoe UI" w:hAnsi="Segoe UI"/>
          <w:sz w:val="20"/>
        </w:rPr>
      </w:r>
    </w:p>
    <w:p>
      <w:pPr>
        <w:spacing w:line="250" w:lineRule="exact" w:before="113"/>
        <w:ind w:left="327" w:right="243" w:hanging="227"/>
        <w:jc w:val="left"/>
        <w:rPr>
          <w:rFonts w:ascii="Segoe UI" w:hAnsi="Segoe UI" w:cs="Segoe UI" w:eastAsia="Segoe UI"/>
          <w:sz w:val="20"/>
          <w:szCs w:val="20"/>
        </w:rPr>
      </w:pPr>
      <w:r>
        <w:rPr>
          <w:rFonts w:ascii="Century Gothic" w:hAnsi="Century Gothic"/>
          <w:color w:val="231F20"/>
          <w:sz w:val="20"/>
        </w:rPr>
        <w:t>» </w:t>
      </w:r>
      <w:r>
        <w:rPr>
          <w:rFonts w:ascii="Century Gothic" w:hAnsi="Century Gothic"/>
          <w:color w:val="231F20"/>
          <w:spacing w:val="28"/>
          <w:sz w:val="20"/>
        </w:rPr>
        <w:t> </w:t>
      </w:r>
      <w:r>
        <w:rPr>
          <w:rFonts w:ascii="Segoe UI" w:hAnsi="Segoe UI"/>
          <w:i/>
          <w:color w:val="231F20"/>
          <w:sz w:val="20"/>
        </w:rPr>
        <w:t>A</w:t>
      </w:r>
      <w:r>
        <w:rPr>
          <w:rFonts w:ascii="Segoe UI" w:hAnsi="Segoe UI"/>
          <w:i/>
          <w:color w:val="231F20"/>
          <w:spacing w:val="-2"/>
          <w:sz w:val="20"/>
        </w:rPr>
        <w:t> </w:t>
      </w:r>
      <w:r>
        <w:rPr>
          <w:rFonts w:ascii="Segoe UI" w:hAnsi="Segoe UI"/>
          <w:i/>
          <w:color w:val="231F20"/>
          <w:sz w:val="20"/>
        </w:rPr>
        <w:t>Share</w:t>
      </w:r>
      <w:r>
        <w:rPr>
          <w:rFonts w:ascii="Segoe UI" w:hAnsi="Segoe UI"/>
          <w:i/>
          <w:color w:val="231F20"/>
          <w:spacing w:val="-1"/>
          <w:sz w:val="20"/>
        </w:rPr>
        <w:t> </w:t>
      </w:r>
      <w:r>
        <w:rPr>
          <w:rFonts w:ascii="Segoe UI" w:hAnsi="Segoe UI"/>
          <w:i/>
          <w:color w:val="231F20"/>
          <w:sz w:val="20"/>
        </w:rPr>
        <w:t>in</w:t>
      </w:r>
      <w:r>
        <w:rPr>
          <w:rFonts w:ascii="Segoe UI" w:hAnsi="Segoe UI"/>
          <w:i/>
          <w:color w:val="231F20"/>
          <w:spacing w:val="-2"/>
          <w:sz w:val="20"/>
        </w:rPr>
        <w:t> </w:t>
      </w:r>
      <w:r>
        <w:rPr>
          <w:rFonts w:ascii="Segoe UI" w:hAnsi="Segoe UI"/>
          <w:i/>
          <w:color w:val="231F20"/>
          <w:spacing w:val="-1"/>
          <w:sz w:val="20"/>
        </w:rPr>
        <w:t>the</w:t>
      </w:r>
      <w:r>
        <w:rPr>
          <w:rFonts w:ascii="Segoe UI" w:hAnsi="Segoe UI"/>
          <w:i/>
          <w:color w:val="231F20"/>
          <w:spacing w:val="-2"/>
          <w:sz w:val="20"/>
        </w:rPr>
        <w:t> </w:t>
      </w:r>
      <w:r>
        <w:rPr>
          <w:rFonts w:ascii="Segoe UI" w:hAnsi="Segoe UI"/>
          <w:i/>
          <w:color w:val="231F20"/>
          <w:sz w:val="20"/>
        </w:rPr>
        <w:t>future:</w:t>
      </w:r>
      <w:r>
        <w:rPr>
          <w:rFonts w:ascii="Segoe UI" w:hAnsi="Segoe UI"/>
          <w:i/>
          <w:color w:val="231F20"/>
          <w:spacing w:val="-1"/>
          <w:sz w:val="20"/>
        </w:rPr>
        <w:t> Review</w:t>
      </w:r>
      <w:r>
        <w:rPr>
          <w:rFonts w:ascii="Segoe UI" w:hAnsi="Segoe UI"/>
          <w:i/>
          <w:color w:val="231F20"/>
          <w:spacing w:val="-2"/>
          <w:sz w:val="20"/>
        </w:rPr>
        <w:t> of </w:t>
      </w:r>
      <w:r>
        <w:rPr>
          <w:rFonts w:ascii="Segoe UI" w:hAnsi="Segoe UI"/>
          <w:i/>
          <w:color w:val="231F20"/>
          <w:spacing w:val="-1"/>
          <w:sz w:val="20"/>
        </w:rPr>
        <w:t>Indigenous</w:t>
      </w:r>
      <w:r>
        <w:rPr>
          <w:rFonts w:ascii="Segoe UI" w:hAnsi="Segoe UI"/>
          <w:i/>
          <w:color w:val="231F20"/>
          <w:spacing w:val="21"/>
          <w:sz w:val="20"/>
        </w:rPr>
        <w:t> </w:t>
      </w:r>
      <w:r>
        <w:rPr>
          <w:rFonts w:ascii="Segoe UI" w:hAnsi="Segoe UI"/>
          <w:i/>
          <w:color w:val="231F20"/>
          <w:sz w:val="20"/>
        </w:rPr>
        <w:t>education</w:t>
      </w:r>
      <w:r>
        <w:rPr>
          <w:rFonts w:ascii="Segoe UI" w:hAnsi="Segoe UI"/>
          <w:i/>
          <w:color w:val="231F20"/>
          <w:spacing w:val="-4"/>
          <w:sz w:val="20"/>
        </w:rPr>
        <w:t> </w:t>
      </w:r>
      <w:r>
        <w:rPr>
          <w:rFonts w:ascii="Segoe UI" w:hAnsi="Segoe UI"/>
          <w:i/>
          <w:color w:val="231F20"/>
          <w:sz w:val="20"/>
        </w:rPr>
        <w:t>in</w:t>
      </w:r>
      <w:r>
        <w:rPr>
          <w:rFonts w:ascii="Segoe UI" w:hAnsi="Segoe UI"/>
          <w:i/>
          <w:color w:val="231F20"/>
          <w:spacing w:val="-3"/>
          <w:sz w:val="20"/>
        </w:rPr>
        <w:t> </w:t>
      </w:r>
      <w:r>
        <w:rPr>
          <w:rFonts w:ascii="Segoe UI" w:hAnsi="Segoe UI"/>
          <w:i/>
          <w:color w:val="231F20"/>
          <w:spacing w:val="-1"/>
          <w:sz w:val="20"/>
        </w:rPr>
        <w:t>the</w:t>
      </w:r>
      <w:r>
        <w:rPr>
          <w:rFonts w:ascii="Segoe UI" w:hAnsi="Segoe UI"/>
          <w:i/>
          <w:color w:val="231F20"/>
          <w:spacing w:val="-2"/>
          <w:sz w:val="20"/>
        </w:rPr>
        <w:t> </w:t>
      </w:r>
      <w:r>
        <w:rPr>
          <w:rFonts w:ascii="Segoe UI" w:hAnsi="Segoe UI"/>
          <w:i/>
          <w:color w:val="231F20"/>
          <w:sz w:val="20"/>
        </w:rPr>
        <w:t>Northern</w:t>
      </w:r>
      <w:r>
        <w:rPr>
          <w:rFonts w:ascii="Segoe UI" w:hAnsi="Segoe UI"/>
          <w:i/>
          <w:color w:val="231F20"/>
          <w:spacing w:val="-3"/>
          <w:sz w:val="20"/>
        </w:rPr>
        <w:t> Territory, </w:t>
      </w:r>
      <w:r>
        <w:rPr>
          <w:rFonts w:ascii="Segoe UI" w:hAnsi="Segoe UI"/>
          <w:color w:val="231F20"/>
          <w:spacing w:val="-1"/>
          <w:sz w:val="20"/>
        </w:rPr>
        <w:t>Bruce</w:t>
      </w:r>
      <w:r>
        <w:rPr>
          <w:rFonts w:ascii="Segoe UI" w:hAnsi="Segoe UI"/>
          <w:color w:val="231F20"/>
          <w:spacing w:val="24"/>
          <w:w w:val="99"/>
          <w:sz w:val="20"/>
        </w:rPr>
        <w:t> </w:t>
      </w:r>
      <w:r>
        <w:rPr>
          <w:rFonts w:ascii="Segoe UI" w:hAnsi="Segoe UI"/>
          <w:color w:val="231F20"/>
          <w:spacing w:val="-1"/>
          <w:sz w:val="20"/>
        </w:rPr>
        <w:t>Wilson,</w:t>
      </w:r>
      <w:r>
        <w:rPr>
          <w:rFonts w:ascii="Segoe UI" w:hAnsi="Segoe UI"/>
          <w:color w:val="231F20"/>
          <w:spacing w:val="-7"/>
          <w:sz w:val="20"/>
        </w:rPr>
        <w:t> </w:t>
      </w:r>
      <w:r>
        <w:rPr>
          <w:rFonts w:ascii="Segoe UI" w:hAnsi="Segoe UI"/>
          <w:color w:val="231F20"/>
          <w:sz w:val="20"/>
        </w:rPr>
        <w:t>Northern</w:t>
      </w:r>
      <w:r>
        <w:rPr>
          <w:rFonts w:ascii="Segoe UI" w:hAnsi="Segoe UI"/>
          <w:color w:val="231F20"/>
          <w:spacing w:val="-7"/>
          <w:sz w:val="20"/>
        </w:rPr>
        <w:t> </w:t>
      </w:r>
      <w:r>
        <w:rPr>
          <w:rFonts w:ascii="Segoe UI" w:hAnsi="Segoe UI"/>
          <w:color w:val="231F20"/>
          <w:spacing w:val="-3"/>
          <w:sz w:val="20"/>
        </w:rPr>
        <w:t>Territory</w:t>
      </w:r>
      <w:r>
        <w:rPr>
          <w:rFonts w:ascii="Segoe UI" w:hAnsi="Segoe UI"/>
          <w:color w:val="231F20"/>
          <w:spacing w:val="-7"/>
          <w:sz w:val="20"/>
        </w:rPr>
        <w:t> </w:t>
      </w:r>
      <w:r>
        <w:rPr>
          <w:rFonts w:ascii="Segoe UI" w:hAnsi="Segoe UI"/>
          <w:color w:val="231F20"/>
          <w:spacing w:val="-1"/>
          <w:sz w:val="20"/>
        </w:rPr>
        <w:t>Department</w:t>
      </w:r>
      <w:r>
        <w:rPr>
          <w:rFonts w:ascii="Segoe UI" w:hAnsi="Segoe UI"/>
          <w:color w:val="231F20"/>
          <w:spacing w:val="-7"/>
          <w:sz w:val="20"/>
        </w:rPr>
        <w:t> </w:t>
      </w:r>
      <w:r>
        <w:rPr>
          <w:rFonts w:ascii="Segoe UI" w:hAnsi="Segoe UI"/>
          <w:color w:val="231F20"/>
          <w:sz w:val="20"/>
        </w:rPr>
        <w:t>of</w:t>
      </w:r>
      <w:r>
        <w:rPr>
          <w:rFonts w:ascii="Segoe UI" w:hAnsi="Segoe UI"/>
          <w:color w:val="231F20"/>
          <w:spacing w:val="30"/>
          <w:w w:val="99"/>
          <w:sz w:val="20"/>
        </w:rPr>
        <w:t> </w:t>
      </w:r>
      <w:r>
        <w:rPr>
          <w:rFonts w:ascii="Segoe UI" w:hAnsi="Segoe UI"/>
          <w:color w:val="231F20"/>
          <w:sz w:val="20"/>
        </w:rPr>
        <w:t>Education,</w:t>
      </w:r>
      <w:r>
        <w:rPr>
          <w:rFonts w:ascii="Segoe UI" w:hAnsi="Segoe UI"/>
          <w:color w:val="231F20"/>
          <w:spacing w:val="-11"/>
          <w:sz w:val="20"/>
        </w:rPr>
        <w:t> </w:t>
      </w:r>
      <w:r>
        <w:rPr>
          <w:rFonts w:ascii="Segoe UI" w:hAnsi="Segoe UI"/>
          <w:color w:val="231F20"/>
          <w:sz w:val="20"/>
        </w:rPr>
        <w:t>2015</w:t>
      </w:r>
      <w:r>
        <w:rPr>
          <w:rFonts w:ascii="Segoe UI" w:hAnsi="Segoe UI"/>
          <w:sz w:val="20"/>
        </w:rPr>
      </w:r>
    </w:p>
    <w:p>
      <w:pPr>
        <w:spacing w:line="250" w:lineRule="exact" w:before="113"/>
        <w:ind w:left="327" w:right="466" w:hanging="227"/>
        <w:jc w:val="left"/>
        <w:rPr>
          <w:rFonts w:ascii="Segoe UI" w:hAnsi="Segoe UI" w:cs="Segoe UI" w:eastAsia="Segoe UI"/>
          <w:sz w:val="20"/>
          <w:szCs w:val="20"/>
        </w:rPr>
      </w:pPr>
      <w:r>
        <w:rPr>
          <w:rFonts w:ascii="Century Gothic" w:hAnsi="Century Gothic"/>
          <w:color w:val="231F20"/>
          <w:sz w:val="20"/>
        </w:rPr>
        <w:t>» </w:t>
      </w:r>
      <w:r>
        <w:rPr>
          <w:rFonts w:ascii="Century Gothic" w:hAnsi="Century Gothic"/>
          <w:color w:val="231F20"/>
          <w:spacing w:val="23"/>
          <w:sz w:val="20"/>
        </w:rPr>
        <w:t> </w:t>
      </w:r>
      <w:r>
        <w:rPr>
          <w:rFonts w:ascii="Segoe UI" w:hAnsi="Segoe UI"/>
          <w:i/>
          <w:color w:val="231F20"/>
          <w:spacing w:val="-1"/>
          <w:sz w:val="20"/>
        </w:rPr>
        <w:t>Non-Government</w:t>
      </w:r>
      <w:r>
        <w:rPr>
          <w:rFonts w:ascii="Segoe UI" w:hAnsi="Segoe UI"/>
          <w:i/>
          <w:color w:val="231F20"/>
          <w:spacing w:val="-3"/>
          <w:sz w:val="20"/>
        </w:rPr>
        <w:t> </w:t>
      </w:r>
      <w:r>
        <w:rPr>
          <w:rFonts w:ascii="Segoe UI" w:hAnsi="Segoe UI"/>
          <w:i/>
          <w:color w:val="231F20"/>
          <w:spacing w:val="-1"/>
          <w:sz w:val="20"/>
        </w:rPr>
        <w:t>Indigenous</w:t>
      </w:r>
      <w:r>
        <w:rPr>
          <w:rFonts w:ascii="Segoe UI" w:hAnsi="Segoe UI"/>
          <w:i/>
          <w:color w:val="231F20"/>
          <w:spacing w:val="-4"/>
          <w:sz w:val="20"/>
        </w:rPr>
        <w:t> </w:t>
      </w:r>
      <w:r>
        <w:rPr>
          <w:rFonts w:ascii="Segoe UI" w:hAnsi="Segoe UI"/>
          <w:i/>
          <w:color w:val="231F20"/>
          <w:spacing w:val="-1"/>
          <w:sz w:val="20"/>
        </w:rPr>
        <w:t>boarding</w:t>
      </w:r>
      <w:r>
        <w:rPr>
          <w:rFonts w:ascii="Segoe UI" w:hAnsi="Segoe UI"/>
          <w:i/>
          <w:color w:val="231F20"/>
          <w:spacing w:val="33"/>
          <w:w w:val="99"/>
          <w:sz w:val="20"/>
        </w:rPr>
        <w:t> </w:t>
      </w:r>
      <w:r>
        <w:rPr>
          <w:rFonts w:ascii="Segoe UI" w:hAnsi="Segoe UI"/>
          <w:i/>
          <w:color w:val="231F20"/>
          <w:spacing w:val="-1"/>
          <w:sz w:val="20"/>
        </w:rPr>
        <w:t>schools:</w:t>
      </w:r>
      <w:r>
        <w:rPr>
          <w:rFonts w:ascii="Segoe UI" w:hAnsi="Segoe UI"/>
          <w:i/>
          <w:color w:val="231F20"/>
          <w:spacing w:val="-7"/>
          <w:sz w:val="20"/>
        </w:rPr>
        <w:t> </w:t>
      </w:r>
      <w:r>
        <w:rPr>
          <w:rFonts w:ascii="Segoe UI" w:hAnsi="Segoe UI"/>
          <w:i/>
          <w:color w:val="231F20"/>
          <w:spacing w:val="-1"/>
          <w:sz w:val="20"/>
        </w:rPr>
        <w:t>Review</w:t>
      </w:r>
      <w:r>
        <w:rPr>
          <w:rFonts w:ascii="Segoe UI" w:hAnsi="Segoe UI"/>
          <w:i/>
          <w:color w:val="231F20"/>
          <w:spacing w:val="-6"/>
          <w:sz w:val="20"/>
        </w:rPr>
        <w:t> </w:t>
      </w:r>
      <w:r>
        <w:rPr>
          <w:rFonts w:ascii="Segoe UI" w:hAnsi="Segoe UI"/>
          <w:i/>
          <w:color w:val="231F20"/>
          <w:spacing w:val="-2"/>
          <w:sz w:val="20"/>
        </w:rPr>
        <w:t>of</w:t>
      </w:r>
      <w:r>
        <w:rPr>
          <w:rFonts w:ascii="Segoe UI" w:hAnsi="Segoe UI"/>
          <w:i/>
          <w:color w:val="231F20"/>
          <w:spacing w:val="-7"/>
          <w:sz w:val="20"/>
        </w:rPr>
        <w:t> </w:t>
      </w:r>
      <w:r>
        <w:rPr>
          <w:rFonts w:ascii="Segoe UI" w:hAnsi="Segoe UI"/>
          <w:i/>
          <w:color w:val="231F20"/>
          <w:spacing w:val="-1"/>
          <w:sz w:val="20"/>
        </w:rPr>
        <w:t>funding</w:t>
      </w:r>
      <w:r>
        <w:rPr>
          <w:rFonts w:ascii="Segoe UI" w:hAnsi="Segoe UI"/>
          <w:i/>
          <w:color w:val="231F20"/>
          <w:spacing w:val="-6"/>
          <w:sz w:val="20"/>
        </w:rPr>
        <w:t> </w:t>
      </w:r>
      <w:r>
        <w:rPr>
          <w:rFonts w:ascii="Segoe UI" w:hAnsi="Segoe UI"/>
          <w:i/>
          <w:color w:val="231F20"/>
          <w:spacing w:val="-1"/>
          <w:sz w:val="20"/>
        </w:rPr>
        <w:t>arrangements</w:t>
      </w:r>
      <w:r>
        <w:rPr>
          <w:rFonts w:ascii="Segoe UI" w:hAnsi="Segoe UI"/>
          <w:i/>
          <w:color w:val="231F20"/>
          <w:spacing w:val="35"/>
          <w:w w:val="99"/>
          <w:sz w:val="20"/>
        </w:rPr>
        <w:t> </w:t>
      </w:r>
      <w:r>
        <w:rPr>
          <w:rFonts w:ascii="Segoe UI" w:hAnsi="Segoe UI"/>
          <w:i/>
          <w:color w:val="231F20"/>
          <w:sz w:val="20"/>
        </w:rPr>
        <w:t>for</w:t>
      </w:r>
      <w:r>
        <w:rPr>
          <w:rFonts w:ascii="Segoe UI" w:hAnsi="Segoe UI"/>
          <w:i/>
          <w:color w:val="231F20"/>
          <w:spacing w:val="-4"/>
          <w:sz w:val="20"/>
        </w:rPr>
        <w:t> </w:t>
      </w:r>
      <w:r>
        <w:rPr>
          <w:rFonts w:ascii="Segoe UI" w:hAnsi="Segoe UI"/>
          <w:i/>
          <w:color w:val="231F20"/>
          <w:spacing w:val="-1"/>
          <w:sz w:val="20"/>
        </w:rPr>
        <w:t>the</w:t>
      </w:r>
      <w:r>
        <w:rPr>
          <w:rFonts w:ascii="Segoe UI" w:hAnsi="Segoe UI"/>
          <w:i/>
          <w:color w:val="231F20"/>
          <w:spacing w:val="-4"/>
          <w:sz w:val="20"/>
        </w:rPr>
        <w:t> </w:t>
      </w:r>
      <w:r>
        <w:rPr>
          <w:rFonts w:ascii="Segoe UI" w:hAnsi="Segoe UI"/>
          <w:i/>
          <w:color w:val="231F20"/>
          <w:sz w:val="20"/>
        </w:rPr>
        <w:t>Northern</w:t>
      </w:r>
      <w:r>
        <w:rPr>
          <w:rFonts w:ascii="Segoe UI" w:hAnsi="Segoe UI"/>
          <w:i/>
          <w:color w:val="231F20"/>
          <w:spacing w:val="-3"/>
          <w:sz w:val="20"/>
        </w:rPr>
        <w:t> </w:t>
      </w:r>
      <w:r>
        <w:rPr>
          <w:rFonts w:ascii="Segoe UI" w:hAnsi="Segoe UI"/>
          <w:i/>
          <w:color w:val="231F20"/>
          <w:spacing w:val="-2"/>
          <w:sz w:val="20"/>
        </w:rPr>
        <w:t>Territory</w:t>
      </w:r>
      <w:r>
        <w:rPr>
          <w:rFonts w:ascii="Segoe UI" w:hAnsi="Segoe UI"/>
          <w:i/>
          <w:color w:val="231F20"/>
          <w:spacing w:val="-3"/>
          <w:sz w:val="20"/>
        </w:rPr>
        <w:t> </w:t>
      </w:r>
      <w:r>
        <w:rPr>
          <w:rFonts w:ascii="Segoe UI" w:hAnsi="Segoe UI"/>
          <w:i/>
          <w:color w:val="231F20"/>
          <w:spacing w:val="-1"/>
          <w:sz w:val="20"/>
        </w:rPr>
        <w:t>Government,</w:t>
      </w:r>
      <w:r>
        <w:rPr>
          <w:rFonts w:ascii="Segoe UI" w:hAnsi="Segoe UI"/>
          <w:sz w:val="20"/>
        </w:rPr>
      </w:r>
    </w:p>
    <w:p>
      <w:pPr>
        <w:spacing w:line="250" w:lineRule="exact" w:before="0"/>
        <w:ind w:left="327" w:right="0" w:firstLine="0"/>
        <w:jc w:val="left"/>
        <w:rPr>
          <w:rFonts w:ascii="Segoe UI" w:hAnsi="Segoe UI" w:cs="Segoe UI" w:eastAsia="Segoe UI"/>
          <w:sz w:val="20"/>
          <w:szCs w:val="20"/>
        </w:rPr>
      </w:pPr>
      <w:r>
        <w:rPr>
          <w:rFonts w:ascii="Segoe UI"/>
          <w:i/>
          <w:color w:val="231F20"/>
          <w:sz w:val="20"/>
        </w:rPr>
        <w:t>Department</w:t>
      </w:r>
      <w:r>
        <w:rPr>
          <w:rFonts w:ascii="Segoe UI"/>
          <w:i/>
          <w:color w:val="231F20"/>
          <w:spacing w:val="-3"/>
          <w:sz w:val="20"/>
        </w:rPr>
        <w:t> </w:t>
      </w:r>
      <w:r>
        <w:rPr>
          <w:rFonts w:ascii="Segoe UI"/>
          <w:i/>
          <w:color w:val="231F20"/>
          <w:spacing w:val="-2"/>
          <w:sz w:val="20"/>
        </w:rPr>
        <w:t>of</w:t>
      </w:r>
      <w:r>
        <w:rPr>
          <w:rFonts w:ascii="Segoe UI"/>
          <w:i/>
          <w:color w:val="231F20"/>
          <w:spacing w:val="-3"/>
          <w:sz w:val="20"/>
        </w:rPr>
        <w:t> </w:t>
      </w:r>
      <w:r>
        <w:rPr>
          <w:rFonts w:ascii="Segoe UI"/>
          <w:i/>
          <w:color w:val="231F20"/>
          <w:spacing w:val="-1"/>
          <w:sz w:val="20"/>
        </w:rPr>
        <w:t>Education</w:t>
      </w:r>
      <w:r>
        <w:rPr>
          <w:rFonts w:ascii="Segoe UI"/>
          <w:color w:val="231F20"/>
          <w:spacing w:val="-1"/>
          <w:sz w:val="20"/>
        </w:rPr>
        <w:t>,</w:t>
      </w:r>
      <w:r>
        <w:rPr>
          <w:rFonts w:ascii="Segoe UI"/>
          <w:color w:val="231F20"/>
          <w:spacing w:val="-2"/>
          <w:sz w:val="20"/>
        </w:rPr>
        <w:t> </w:t>
      </w:r>
      <w:r>
        <w:rPr>
          <w:rFonts w:ascii="Segoe UI"/>
          <w:color w:val="231F20"/>
          <w:spacing w:val="-1"/>
          <w:sz w:val="20"/>
        </w:rPr>
        <w:t>2016</w:t>
      </w:r>
      <w:r>
        <w:rPr>
          <w:rFonts w:ascii="Segoe UI"/>
          <w:color w:val="231F20"/>
          <w:spacing w:val="-3"/>
          <w:sz w:val="20"/>
        </w:rPr>
        <w:t> </w:t>
      </w:r>
      <w:r>
        <w:rPr>
          <w:rFonts w:ascii="Segoe UI"/>
          <w:color w:val="231F20"/>
          <w:sz w:val="20"/>
        </w:rPr>
        <w:t>(KPMG,</w:t>
      </w:r>
      <w:r>
        <w:rPr>
          <w:rFonts w:ascii="Segoe UI"/>
          <w:color w:val="231F20"/>
          <w:spacing w:val="-3"/>
          <w:sz w:val="20"/>
        </w:rPr>
        <w:t> </w:t>
      </w:r>
      <w:r>
        <w:rPr>
          <w:rFonts w:ascii="Segoe UI"/>
          <w:color w:val="231F20"/>
          <w:sz w:val="20"/>
        </w:rPr>
        <w:t>2016)</w:t>
      </w:r>
      <w:r>
        <w:rPr>
          <w:rFonts w:ascii="Segoe UI"/>
          <w:sz w:val="20"/>
        </w:rPr>
      </w:r>
    </w:p>
    <w:p>
      <w:pPr>
        <w:spacing w:line="250" w:lineRule="exact" w:before="113"/>
        <w:ind w:left="327" w:right="243" w:hanging="227"/>
        <w:jc w:val="left"/>
        <w:rPr>
          <w:rFonts w:ascii="Segoe UI" w:hAnsi="Segoe UI" w:cs="Segoe UI" w:eastAsia="Segoe UI"/>
          <w:sz w:val="20"/>
          <w:szCs w:val="20"/>
        </w:rPr>
      </w:pPr>
      <w:r>
        <w:rPr>
          <w:rFonts w:ascii="Century Gothic" w:hAnsi="Century Gothic"/>
          <w:color w:val="231F20"/>
          <w:sz w:val="20"/>
        </w:rPr>
        <w:t>» </w:t>
      </w:r>
      <w:r>
        <w:rPr>
          <w:rFonts w:ascii="Century Gothic" w:hAnsi="Century Gothic"/>
          <w:color w:val="231F20"/>
          <w:spacing w:val="21"/>
          <w:sz w:val="20"/>
        </w:rPr>
        <w:t> </w:t>
      </w:r>
      <w:r>
        <w:rPr>
          <w:rFonts w:ascii="Segoe UI" w:hAnsi="Segoe UI"/>
          <w:i/>
          <w:color w:val="231F20"/>
          <w:sz w:val="20"/>
        </w:rPr>
        <w:t>Barriers</w:t>
      </w:r>
      <w:r>
        <w:rPr>
          <w:rFonts w:ascii="Segoe UI" w:hAnsi="Segoe UI"/>
          <w:i/>
          <w:color w:val="231F20"/>
          <w:spacing w:val="-4"/>
          <w:sz w:val="20"/>
        </w:rPr>
        <w:t> </w:t>
      </w:r>
      <w:r>
        <w:rPr>
          <w:rFonts w:ascii="Segoe UI" w:hAnsi="Segoe UI"/>
          <w:i/>
          <w:color w:val="231F20"/>
          <w:sz w:val="20"/>
        </w:rPr>
        <w:t>and</w:t>
      </w:r>
      <w:r>
        <w:rPr>
          <w:rFonts w:ascii="Segoe UI" w:hAnsi="Segoe UI"/>
          <w:i/>
          <w:color w:val="231F20"/>
          <w:spacing w:val="-4"/>
          <w:sz w:val="20"/>
        </w:rPr>
        <w:t> </w:t>
      </w:r>
      <w:r>
        <w:rPr>
          <w:rFonts w:ascii="Segoe UI" w:hAnsi="Segoe UI"/>
          <w:i/>
          <w:color w:val="231F20"/>
          <w:spacing w:val="-2"/>
          <w:sz w:val="20"/>
        </w:rPr>
        <w:t>Bureaucracy,</w:t>
      </w:r>
      <w:r>
        <w:rPr>
          <w:rFonts w:ascii="Segoe UI" w:hAnsi="Segoe UI"/>
          <w:i/>
          <w:color w:val="231F20"/>
          <w:spacing w:val="-4"/>
          <w:sz w:val="20"/>
        </w:rPr>
        <w:t> </w:t>
      </w:r>
      <w:r>
        <w:rPr>
          <w:rFonts w:ascii="Segoe UI" w:hAnsi="Segoe UI"/>
          <w:i/>
          <w:color w:val="231F20"/>
          <w:spacing w:val="-1"/>
          <w:sz w:val="20"/>
        </w:rPr>
        <w:t>Bridges</w:t>
      </w:r>
      <w:r>
        <w:rPr>
          <w:rFonts w:ascii="Segoe UI" w:hAnsi="Segoe UI"/>
          <w:i/>
          <w:color w:val="231F20"/>
          <w:spacing w:val="-5"/>
          <w:sz w:val="20"/>
        </w:rPr>
        <w:t> </w:t>
      </w:r>
      <w:r>
        <w:rPr>
          <w:rFonts w:ascii="Segoe UI" w:hAnsi="Segoe UI"/>
          <w:i/>
          <w:color w:val="231F20"/>
          <w:sz w:val="20"/>
        </w:rPr>
        <w:t>and</w:t>
      </w:r>
      <w:r>
        <w:rPr>
          <w:rFonts w:ascii="Segoe UI" w:hAnsi="Segoe UI"/>
          <w:i/>
          <w:color w:val="231F20"/>
          <w:spacing w:val="29"/>
          <w:w w:val="99"/>
          <w:sz w:val="20"/>
        </w:rPr>
        <w:t> </w:t>
      </w:r>
      <w:r>
        <w:rPr>
          <w:rFonts w:ascii="Segoe UI" w:hAnsi="Segoe UI"/>
          <w:i/>
          <w:color w:val="231F20"/>
          <w:spacing w:val="-1"/>
          <w:sz w:val="20"/>
        </w:rPr>
        <w:t>Brokers,</w:t>
      </w:r>
      <w:r>
        <w:rPr>
          <w:rFonts w:ascii="Segoe UI" w:hAnsi="Segoe UI"/>
          <w:i/>
          <w:color w:val="231F20"/>
          <w:spacing w:val="-8"/>
          <w:sz w:val="20"/>
        </w:rPr>
        <w:t> </w:t>
      </w:r>
      <w:r>
        <w:rPr>
          <w:rFonts w:ascii="Segoe UI" w:hAnsi="Segoe UI"/>
          <w:color w:val="231F20"/>
          <w:sz w:val="20"/>
        </w:rPr>
        <w:t>(Centre</w:t>
      </w:r>
      <w:r>
        <w:rPr>
          <w:rFonts w:ascii="Segoe UI" w:hAnsi="Segoe UI"/>
          <w:color w:val="231F20"/>
          <w:spacing w:val="-8"/>
          <w:sz w:val="20"/>
        </w:rPr>
        <w:t> </w:t>
      </w:r>
      <w:r>
        <w:rPr>
          <w:rFonts w:ascii="Segoe UI" w:hAnsi="Segoe UI"/>
          <w:color w:val="231F20"/>
          <w:sz w:val="20"/>
        </w:rPr>
        <w:t>for</w:t>
      </w:r>
      <w:r>
        <w:rPr>
          <w:rFonts w:ascii="Segoe UI" w:hAnsi="Segoe UI"/>
          <w:color w:val="231F20"/>
          <w:spacing w:val="-8"/>
          <w:sz w:val="20"/>
        </w:rPr>
        <w:t> </w:t>
      </w:r>
      <w:r>
        <w:rPr>
          <w:rFonts w:ascii="Segoe UI" w:hAnsi="Segoe UI"/>
          <w:color w:val="231F20"/>
          <w:sz w:val="20"/>
        </w:rPr>
        <w:t>Aboriginal</w:t>
      </w:r>
      <w:r>
        <w:rPr>
          <w:rFonts w:ascii="Segoe UI" w:hAnsi="Segoe UI"/>
          <w:color w:val="231F20"/>
          <w:spacing w:val="-7"/>
          <w:sz w:val="20"/>
        </w:rPr>
        <w:t> </w:t>
      </w:r>
      <w:r>
        <w:rPr>
          <w:rFonts w:ascii="Segoe UI" w:hAnsi="Segoe UI"/>
          <w:color w:val="231F20"/>
          <w:sz w:val="20"/>
        </w:rPr>
        <w:t>Economic</w:t>
      </w:r>
      <w:r>
        <w:rPr>
          <w:rFonts w:ascii="Segoe UI" w:hAnsi="Segoe UI"/>
          <w:color w:val="231F20"/>
          <w:spacing w:val="21"/>
          <w:w w:val="99"/>
          <w:sz w:val="20"/>
        </w:rPr>
        <w:t> </w:t>
      </w:r>
      <w:r>
        <w:rPr>
          <w:rFonts w:ascii="Segoe UI" w:hAnsi="Segoe UI"/>
          <w:color w:val="231F20"/>
          <w:spacing w:val="-2"/>
          <w:sz w:val="20"/>
        </w:rPr>
        <w:t>Policy</w:t>
      </w:r>
      <w:r>
        <w:rPr>
          <w:rFonts w:ascii="Segoe UI" w:hAnsi="Segoe UI"/>
          <w:color w:val="231F20"/>
          <w:spacing w:val="-6"/>
          <w:sz w:val="20"/>
        </w:rPr>
        <w:t> </w:t>
      </w:r>
      <w:r>
        <w:rPr>
          <w:rFonts w:ascii="Segoe UI" w:hAnsi="Segoe UI"/>
          <w:color w:val="231F20"/>
          <w:spacing w:val="-1"/>
          <w:sz w:val="20"/>
        </w:rPr>
        <w:t>Research</w:t>
      </w:r>
      <w:r>
        <w:rPr>
          <w:rFonts w:ascii="Segoe UI" w:hAnsi="Segoe UI"/>
          <w:color w:val="231F20"/>
          <w:spacing w:val="-6"/>
          <w:sz w:val="20"/>
        </w:rPr>
        <w:t> </w:t>
      </w:r>
      <w:r>
        <w:rPr>
          <w:rFonts w:ascii="Segoe UI" w:hAnsi="Segoe UI"/>
          <w:color w:val="231F20"/>
          <w:sz w:val="20"/>
        </w:rPr>
        <w:t>for</w:t>
      </w:r>
      <w:r>
        <w:rPr>
          <w:rFonts w:ascii="Segoe UI" w:hAnsi="Segoe UI"/>
          <w:color w:val="231F20"/>
          <w:spacing w:val="-4"/>
          <w:sz w:val="20"/>
        </w:rPr>
        <w:t> </w:t>
      </w:r>
      <w:r>
        <w:rPr>
          <w:rFonts w:ascii="Segoe UI" w:hAnsi="Segoe UI"/>
          <w:color w:val="231F20"/>
          <w:sz w:val="20"/>
        </w:rPr>
        <w:t>the</w:t>
      </w:r>
      <w:r>
        <w:rPr>
          <w:rFonts w:ascii="Segoe UI" w:hAnsi="Segoe UI"/>
          <w:color w:val="231F20"/>
          <w:spacing w:val="-6"/>
          <w:sz w:val="20"/>
        </w:rPr>
        <w:t> </w:t>
      </w:r>
      <w:r>
        <w:rPr>
          <w:rFonts w:ascii="Segoe UI" w:hAnsi="Segoe UI"/>
          <w:color w:val="231F20"/>
          <w:spacing w:val="-1"/>
          <w:sz w:val="20"/>
        </w:rPr>
        <w:t>Independent</w:t>
      </w:r>
      <w:r>
        <w:rPr>
          <w:rFonts w:ascii="Segoe UI" w:hAnsi="Segoe UI"/>
          <w:color w:val="231F20"/>
          <w:spacing w:val="-5"/>
          <w:sz w:val="20"/>
        </w:rPr>
        <w:t> </w:t>
      </w:r>
      <w:r>
        <w:rPr>
          <w:rFonts w:ascii="Segoe UI" w:hAnsi="Segoe UI"/>
          <w:color w:val="231F20"/>
          <w:spacing w:val="-1"/>
          <w:sz w:val="20"/>
        </w:rPr>
        <w:t>Schools</w:t>
      </w:r>
      <w:r>
        <w:rPr>
          <w:rFonts w:ascii="Segoe UI" w:hAnsi="Segoe UI"/>
          <w:color w:val="231F20"/>
          <w:spacing w:val="27"/>
          <w:sz w:val="20"/>
        </w:rPr>
        <w:t> </w:t>
      </w:r>
      <w:r>
        <w:rPr>
          <w:rFonts w:ascii="Segoe UI" w:hAnsi="Segoe UI"/>
          <w:color w:val="231F20"/>
          <w:spacing w:val="-1"/>
          <w:sz w:val="20"/>
        </w:rPr>
        <w:t>Council</w:t>
      </w:r>
      <w:r>
        <w:rPr>
          <w:rFonts w:ascii="Segoe UI" w:hAnsi="Segoe UI"/>
          <w:color w:val="231F20"/>
          <w:spacing w:val="-4"/>
          <w:sz w:val="20"/>
        </w:rPr>
        <w:t> </w:t>
      </w:r>
      <w:r>
        <w:rPr>
          <w:rFonts w:ascii="Segoe UI" w:hAnsi="Segoe UI"/>
          <w:color w:val="231F20"/>
          <w:sz w:val="20"/>
        </w:rPr>
        <w:t>of</w:t>
      </w:r>
      <w:r>
        <w:rPr>
          <w:rFonts w:ascii="Segoe UI" w:hAnsi="Segoe UI"/>
          <w:color w:val="231F20"/>
          <w:spacing w:val="-3"/>
          <w:sz w:val="20"/>
        </w:rPr>
        <w:t> </w:t>
      </w:r>
      <w:r>
        <w:rPr>
          <w:rFonts w:ascii="Segoe UI" w:hAnsi="Segoe UI"/>
          <w:color w:val="231F20"/>
          <w:sz w:val="20"/>
        </w:rPr>
        <w:t>Australia,</w:t>
      </w:r>
      <w:r>
        <w:rPr>
          <w:rFonts w:ascii="Segoe UI" w:hAnsi="Segoe UI"/>
          <w:color w:val="231F20"/>
          <w:spacing w:val="-4"/>
          <w:sz w:val="20"/>
        </w:rPr>
        <w:t> </w:t>
      </w:r>
      <w:r>
        <w:rPr>
          <w:rFonts w:ascii="Segoe UI" w:hAnsi="Segoe UI"/>
          <w:color w:val="231F20"/>
          <w:spacing w:val="-1"/>
          <w:sz w:val="20"/>
        </w:rPr>
        <w:t>2017</w:t>
      </w:r>
      <w:r>
        <w:rPr>
          <w:rFonts w:ascii="Segoe UI" w:hAnsi="Segoe UI"/>
          <w:color w:val="231F20"/>
          <w:spacing w:val="-3"/>
          <w:sz w:val="20"/>
        </w:rPr>
        <w:t> </w:t>
      </w:r>
      <w:r>
        <w:rPr>
          <w:rFonts w:ascii="Segoe UI" w:hAnsi="Segoe UI"/>
          <w:color w:val="231F20"/>
          <w:sz w:val="20"/>
        </w:rPr>
        <w:t>(CAEPR,</w:t>
      </w:r>
      <w:r>
        <w:rPr>
          <w:rFonts w:ascii="Segoe UI" w:hAnsi="Segoe UI"/>
          <w:color w:val="231F20"/>
          <w:spacing w:val="-4"/>
          <w:sz w:val="20"/>
        </w:rPr>
        <w:t> </w:t>
      </w:r>
      <w:r>
        <w:rPr>
          <w:rFonts w:ascii="Segoe UI" w:hAnsi="Segoe UI"/>
          <w:color w:val="231F20"/>
          <w:sz w:val="20"/>
        </w:rPr>
        <w:t>2017)</w:t>
      </w:r>
      <w:r>
        <w:rPr>
          <w:rFonts w:ascii="Segoe UI" w:hAnsi="Segoe UI"/>
          <w:sz w:val="20"/>
        </w:rPr>
      </w:r>
    </w:p>
    <w:p>
      <w:pPr>
        <w:spacing w:after="0" w:line="250" w:lineRule="exact"/>
        <w:jc w:val="left"/>
        <w:rPr>
          <w:rFonts w:ascii="Segoe UI" w:hAnsi="Segoe UI" w:cs="Segoe UI" w:eastAsia="Segoe UI"/>
          <w:sz w:val="20"/>
          <w:szCs w:val="20"/>
        </w:rPr>
        <w:sectPr>
          <w:type w:val="continuous"/>
          <w:pgSz w:w="11910" w:h="16840"/>
          <w:pgMar w:top="1580" w:bottom="280" w:left="1600" w:right="1300"/>
          <w:cols w:num="2" w:equalWidth="0">
            <w:col w:w="4297" w:space="239"/>
            <w:col w:w="4474"/>
          </w:cols>
        </w:sectPr>
      </w:pPr>
    </w:p>
    <w:p>
      <w:pPr>
        <w:spacing w:line="240" w:lineRule="auto" w:before="0"/>
        <w:rPr>
          <w:rFonts w:ascii="Segoe UI" w:hAnsi="Segoe UI" w:cs="Segoe UI" w:eastAsia="Segoe UI"/>
          <w:sz w:val="20"/>
          <w:szCs w:val="20"/>
        </w:rPr>
      </w:pPr>
    </w:p>
    <w:p>
      <w:pPr>
        <w:spacing w:line="240" w:lineRule="auto" w:before="8"/>
        <w:rPr>
          <w:rFonts w:ascii="Segoe UI" w:hAnsi="Segoe UI" w:cs="Segoe UI" w:eastAsia="Segoe UI"/>
          <w:sz w:val="21"/>
          <w:szCs w:val="21"/>
        </w:rPr>
      </w:pPr>
    </w:p>
    <w:p>
      <w:pPr>
        <w:spacing w:after="0" w:line="240" w:lineRule="auto"/>
        <w:rPr>
          <w:rFonts w:ascii="Segoe UI" w:hAnsi="Segoe UI" w:cs="Segoe UI" w:eastAsia="Segoe UI"/>
          <w:sz w:val="21"/>
          <w:szCs w:val="21"/>
        </w:rPr>
        <w:sectPr>
          <w:pgSz w:w="11910" w:h="16840"/>
          <w:pgMar w:header="0" w:footer="691" w:top="1580" w:bottom="880" w:left="1300" w:right="1620"/>
        </w:sectPr>
      </w:pPr>
    </w:p>
    <w:p>
      <w:pPr>
        <w:spacing w:line="250" w:lineRule="exact" w:before="62"/>
        <w:ind w:left="344" w:right="543" w:hanging="227"/>
        <w:jc w:val="left"/>
        <w:rPr>
          <w:rFonts w:ascii="Segoe UI" w:hAnsi="Segoe UI" w:cs="Segoe UI" w:eastAsia="Segoe UI"/>
          <w:sz w:val="20"/>
          <w:szCs w:val="20"/>
        </w:rPr>
      </w:pPr>
      <w:r>
        <w:rPr>
          <w:rFonts w:ascii="Century Gothic" w:hAnsi="Century Gothic" w:cs="Century Gothic" w:eastAsia="Century Gothic"/>
          <w:color w:val="231F20"/>
          <w:sz w:val="20"/>
          <w:szCs w:val="20"/>
        </w:rPr>
        <w:t>» </w:t>
      </w:r>
      <w:r>
        <w:rPr>
          <w:rFonts w:ascii="Century Gothic" w:hAnsi="Century Gothic" w:cs="Century Gothic" w:eastAsia="Century Gothic"/>
          <w:color w:val="231F20"/>
          <w:spacing w:val="23"/>
          <w:sz w:val="20"/>
          <w:szCs w:val="20"/>
        </w:rPr>
        <w:t> </w:t>
      </w:r>
      <w:r>
        <w:rPr>
          <w:rFonts w:ascii="Segoe UI" w:hAnsi="Segoe UI" w:cs="Segoe UI" w:eastAsia="Segoe UI"/>
          <w:i/>
          <w:color w:val="231F20"/>
          <w:sz w:val="20"/>
          <w:szCs w:val="20"/>
        </w:rPr>
        <w:t>The</w:t>
      </w:r>
      <w:r>
        <w:rPr>
          <w:rFonts w:ascii="Segoe UI" w:hAnsi="Segoe UI" w:cs="Segoe UI" w:eastAsia="Segoe UI"/>
          <w:i/>
          <w:color w:val="231F20"/>
          <w:spacing w:val="-4"/>
          <w:sz w:val="20"/>
          <w:szCs w:val="20"/>
        </w:rPr>
        <w:t> </w:t>
      </w:r>
      <w:r>
        <w:rPr>
          <w:rFonts w:ascii="Segoe UI" w:hAnsi="Segoe UI" w:cs="Segoe UI" w:eastAsia="Segoe UI"/>
          <w:i/>
          <w:color w:val="231F20"/>
          <w:spacing w:val="-1"/>
          <w:sz w:val="20"/>
          <w:szCs w:val="20"/>
        </w:rPr>
        <w:t>power</w:t>
      </w:r>
      <w:r>
        <w:rPr>
          <w:rFonts w:ascii="Segoe UI" w:hAnsi="Segoe UI" w:cs="Segoe UI" w:eastAsia="Segoe UI"/>
          <w:i/>
          <w:color w:val="231F20"/>
          <w:spacing w:val="-4"/>
          <w:sz w:val="20"/>
          <w:szCs w:val="20"/>
        </w:rPr>
        <w:t> </w:t>
      </w:r>
      <w:r>
        <w:rPr>
          <w:rFonts w:ascii="Segoe UI" w:hAnsi="Segoe UI" w:cs="Segoe UI" w:eastAsia="Segoe UI"/>
          <w:i/>
          <w:color w:val="231F20"/>
          <w:spacing w:val="-2"/>
          <w:sz w:val="20"/>
          <w:szCs w:val="20"/>
        </w:rPr>
        <w:t>of</w:t>
      </w:r>
      <w:r>
        <w:rPr>
          <w:rFonts w:ascii="Segoe UI" w:hAnsi="Segoe UI" w:cs="Segoe UI" w:eastAsia="Segoe UI"/>
          <w:i/>
          <w:color w:val="231F20"/>
          <w:spacing w:val="-3"/>
          <w:sz w:val="20"/>
          <w:szCs w:val="20"/>
        </w:rPr>
        <w:t> </w:t>
      </w:r>
      <w:r>
        <w:rPr>
          <w:rFonts w:ascii="Segoe UI" w:hAnsi="Segoe UI" w:cs="Segoe UI" w:eastAsia="Segoe UI"/>
          <w:i/>
          <w:color w:val="231F20"/>
          <w:sz w:val="20"/>
          <w:szCs w:val="20"/>
        </w:rPr>
        <w:t>education:</w:t>
      </w:r>
      <w:r>
        <w:rPr>
          <w:rFonts w:ascii="Segoe UI" w:hAnsi="Segoe UI" w:cs="Segoe UI" w:eastAsia="Segoe UI"/>
          <w:i/>
          <w:color w:val="231F20"/>
          <w:spacing w:val="-4"/>
          <w:sz w:val="20"/>
          <w:szCs w:val="20"/>
        </w:rPr>
        <w:t> </w:t>
      </w:r>
      <w:r>
        <w:rPr>
          <w:rFonts w:ascii="Segoe UI" w:hAnsi="Segoe UI" w:cs="Segoe UI" w:eastAsia="Segoe UI"/>
          <w:i/>
          <w:color w:val="231F20"/>
          <w:spacing w:val="-1"/>
          <w:sz w:val="20"/>
          <w:szCs w:val="20"/>
        </w:rPr>
        <w:t>From</w:t>
      </w:r>
      <w:r>
        <w:rPr>
          <w:rFonts w:ascii="Segoe UI" w:hAnsi="Segoe UI" w:cs="Segoe UI" w:eastAsia="Segoe UI"/>
          <w:i/>
          <w:color w:val="231F20"/>
          <w:spacing w:val="-3"/>
          <w:sz w:val="20"/>
          <w:szCs w:val="20"/>
        </w:rPr>
        <w:t> </w:t>
      </w:r>
      <w:r>
        <w:rPr>
          <w:rFonts w:ascii="Segoe UI" w:hAnsi="Segoe UI" w:cs="Segoe UI" w:eastAsia="Segoe UI"/>
          <w:i/>
          <w:color w:val="231F20"/>
          <w:spacing w:val="-1"/>
          <w:sz w:val="20"/>
          <w:szCs w:val="20"/>
        </w:rPr>
        <w:t>surviving</w:t>
      </w:r>
      <w:r>
        <w:rPr>
          <w:rFonts w:ascii="Segoe UI" w:hAnsi="Segoe UI" w:cs="Segoe UI" w:eastAsia="Segoe UI"/>
          <w:i/>
          <w:color w:val="231F20"/>
          <w:spacing w:val="24"/>
          <w:w w:val="99"/>
          <w:sz w:val="20"/>
          <w:szCs w:val="20"/>
        </w:rPr>
        <w:t> </w:t>
      </w:r>
      <w:r>
        <w:rPr>
          <w:rFonts w:ascii="Segoe UI" w:hAnsi="Segoe UI" w:cs="Segoe UI" w:eastAsia="Segoe UI"/>
          <w:i/>
          <w:color w:val="231F20"/>
          <w:sz w:val="20"/>
          <w:szCs w:val="20"/>
        </w:rPr>
        <w:t>to</w:t>
      </w:r>
      <w:r>
        <w:rPr>
          <w:rFonts w:ascii="Segoe UI" w:hAnsi="Segoe UI" w:cs="Segoe UI" w:eastAsia="Segoe UI"/>
          <w:i/>
          <w:color w:val="231F20"/>
          <w:spacing w:val="-10"/>
          <w:sz w:val="20"/>
          <w:szCs w:val="20"/>
        </w:rPr>
        <w:t> </w:t>
      </w:r>
      <w:r>
        <w:rPr>
          <w:rFonts w:ascii="Segoe UI" w:hAnsi="Segoe UI" w:cs="Segoe UI" w:eastAsia="Segoe UI"/>
          <w:i/>
          <w:color w:val="231F20"/>
          <w:spacing w:val="-1"/>
          <w:sz w:val="20"/>
          <w:szCs w:val="20"/>
        </w:rPr>
        <w:t>thriving—Educational</w:t>
      </w:r>
      <w:r>
        <w:rPr>
          <w:rFonts w:ascii="Segoe UI" w:hAnsi="Segoe UI" w:cs="Segoe UI" w:eastAsia="Segoe UI"/>
          <w:i/>
          <w:color w:val="231F20"/>
          <w:spacing w:val="-10"/>
          <w:sz w:val="20"/>
          <w:szCs w:val="20"/>
        </w:rPr>
        <w:t> </w:t>
      </w:r>
      <w:r>
        <w:rPr>
          <w:rFonts w:ascii="Segoe UI" w:hAnsi="Segoe UI" w:cs="Segoe UI" w:eastAsia="Segoe UI"/>
          <w:i/>
          <w:color w:val="231F20"/>
          <w:spacing w:val="-1"/>
          <w:sz w:val="20"/>
          <w:szCs w:val="20"/>
        </w:rPr>
        <w:t>opportunities</w:t>
      </w:r>
      <w:r>
        <w:rPr>
          <w:rFonts w:ascii="Segoe UI" w:hAnsi="Segoe UI" w:cs="Segoe UI" w:eastAsia="Segoe UI"/>
          <w:i/>
          <w:color w:val="231F20"/>
          <w:spacing w:val="46"/>
          <w:sz w:val="20"/>
          <w:szCs w:val="20"/>
        </w:rPr>
        <w:t> </w:t>
      </w:r>
      <w:r>
        <w:rPr>
          <w:rFonts w:ascii="Segoe UI" w:hAnsi="Segoe UI" w:cs="Segoe UI" w:eastAsia="Segoe UI"/>
          <w:i/>
          <w:color w:val="231F20"/>
          <w:sz w:val="20"/>
          <w:szCs w:val="20"/>
        </w:rPr>
        <w:t>for</w:t>
      </w:r>
      <w:r>
        <w:rPr>
          <w:rFonts w:ascii="Segoe UI" w:hAnsi="Segoe UI" w:cs="Segoe UI" w:eastAsia="Segoe UI"/>
          <w:i/>
          <w:color w:val="231F20"/>
          <w:spacing w:val="-5"/>
          <w:sz w:val="20"/>
          <w:szCs w:val="20"/>
        </w:rPr>
        <w:t> </w:t>
      </w:r>
      <w:r>
        <w:rPr>
          <w:rFonts w:ascii="Segoe UI" w:hAnsi="Segoe UI" w:cs="Segoe UI" w:eastAsia="Segoe UI"/>
          <w:i/>
          <w:color w:val="231F20"/>
          <w:sz w:val="20"/>
          <w:szCs w:val="20"/>
        </w:rPr>
        <w:t>Aboriginal</w:t>
      </w:r>
      <w:r>
        <w:rPr>
          <w:rFonts w:ascii="Segoe UI" w:hAnsi="Segoe UI" w:cs="Segoe UI" w:eastAsia="Segoe UI"/>
          <w:i/>
          <w:color w:val="231F20"/>
          <w:spacing w:val="-5"/>
          <w:sz w:val="20"/>
          <w:szCs w:val="20"/>
        </w:rPr>
        <w:t> </w:t>
      </w:r>
      <w:r>
        <w:rPr>
          <w:rFonts w:ascii="Segoe UI" w:hAnsi="Segoe UI" w:cs="Segoe UI" w:eastAsia="Segoe UI"/>
          <w:i/>
          <w:color w:val="231F20"/>
          <w:sz w:val="20"/>
          <w:szCs w:val="20"/>
        </w:rPr>
        <w:t>and</w:t>
      </w:r>
      <w:r>
        <w:rPr>
          <w:rFonts w:ascii="Segoe UI" w:hAnsi="Segoe UI" w:cs="Segoe UI" w:eastAsia="Segoe UI"/>
          <w:i/>
          <w:color w:val="231F20"/>
          <w:spacing w:val="-4"/>
          <w:sz w:val="20"/>
          <w:szCs w:val="20"/>
        </w:rPr>
        <w:t> </w:t>
      </w:r>
      <w:r>
        <w:rPr>
          <w:rFonts w:ascii="Segoe UI" w:hAnsi="Segoe UI" w:cs="Segoe UI" w:eastAsia="Segoe UI"/>
          <w:i/>
          <w:color w:val="231F20"/>
          <w:spacing w:val="-5"/>
          <w:sz w:val="20"/>
          <w:szCs w:val="20"/>
        </w:rPr>
        <w:t>T</w:t>
      </w:r>
      <w:r>
        <w:rPr>
          <w:rFonts w:ascii="Segoe UI" w:hAnsi="Segoe UI" w:cs="Segoe UI" w:eastAsia="Segoe UI"/>
          <w:i/>
          <w:color w:val="231F20"/>
          <w:spacing w:val="-4"/>
          <w:sz w:val="20"/>
          <w:szCs w:val="20"/>
        </w:rPr>
        <w:t>orr</w:t>
      </w:r>
      <w:r>
        <w:rPr>
          <w:rFonts w:ascii="Segoe UI" w:hAnsi="Segoe UI" w:cs="Segoe UI" w:eastAsia="Segoe UI"/>
          <w:i/>
          <w:color w:val="231F20"/>
          <w:spacing w:val="-5"/>
          <w:sz w:val="20"/>
          <w:szCs w:val="20"/>
        </w:rPr>
        <w:t>es </w:t>
      </w:r>
      <w:r>
        <w:rPr>
          <w:rFonts w:ascii="Segoe UI" w:hAnsi="Segoe UI" w:cs="Segoe UI" w:eastAsia="Segoe UI"/>
          <w:i/>
          <w:color w:val="231F20"/>
          <w:spacing w:val="-1"/>
          <w:sz w:val="20"/>
          <w:szCs w:val="20"/>
        </w:rPr>
        <w:t>Strait</w:t>
      </w:r>
      <w:r>
        <w:rPr>
          <w:rFonts w:ascii="Segoe UI" w:hAnsi="Segoe UI" w:cs="Segoe UI" w:eastAsia="Segoe UI"/>
          <w:i/>
          <w:color w:val="231F20"/>
          <w:spacing w:val="-3"/>
          <w:sz w:val="20"/>
          <w:szCs w:val="20"/>
        </w:rPr>
        <w:t> </w:t>
      </w:r>
      <w:r>
        <w:rPr>
          <w:rFonts w:ascii="Segoe UI" w:hAnsi="Segoe UI" w:cs="Segoe UI" w:eastAsia="Segoe UI"/>
          <w:i/>
          <w:color w:val="231F20"/>
          <w:spacing w:val="-1"/>
          <w:sz w:val="20"/>
          <w:szCs w:val="20"/>
        </w:rPr>
        <w:t>Islander</w:t>
      </w:r>
      <w:r>
        <w:rPr>
          <w:rFonts w:ascii="Segoe UI" w:hAnsi="Segoe UI" w:cs="Segoe UI" w:eastAsia="Segoe UI"/>
          <w:sz w:val="20"/>
          <w:szCs w:val="20"/>
        </w:rPr>
      </w:r>
    </w:p>
    <w:p>
      <w:pPr>
        <w:pStyle w:val="BodyText"/>
        <w:spacing w:line="250" w:lineRule="exact"/>
        <w:ind w:left="344" w:right="129"/>
        <w:jc w:val="left"/>
        <w:rPr>
          <w:rFonts w:ascii="Segoe UI" w:hAnsi="Segoe UI" w:cs="Segoe UI" w:eastAsia="Segoe UI"/>
        </w:rPr>
      </w:pPr>
      <w:r>
        <w:rPr>
          <w:rFonts w:ascii="Segoe UI"/>
          <w:i/>
          <w:color w:val="231F20"/>
        </w:rPr>
        <w:t>students,</w:t>
      </w:r>
      <w:r>
        <w:rPr>
          <w:rFonts w:ascii="Segoe UI"/>
          <w:i/>
          <w:color w:val="231F20"/>
          <w:spacing w:val="-7"/>
        </w:rPr>
        <w:t> </w:t>
      </w:r>
      <w:r>
        <w:rPr>
          <w:rFonts w:ascii="Segoe UI"/>
          <w:color w:val="231F20"/>
        </w:rPr>
        <w:t>House</w:t>
      </w:r>
      <w:r>
        <w:rPr>
          <w:rFonts w:ascii="Segoe UI"/>
          <w:color w:val="231F20"/>
          <w:spacing w:val="-6"/>
        </w:rPr>
        <w:t> </w:t>
      </w:r>
      <w:r>
        <w:rPr>
          <w:rFonts w:ascii="Segoe UI"/>
          <w:color w:val="231F20"/>
        </w:rPr>
        <w:t>of</w:t>
      </w:r>
      <w:r>
        <w:rPr>
          <w:rFonts w:ascii="Segoe UI"/>
          <w:color w:val="231F20"/>
          <w:spacing w:val="-5"/>
        </w:rPr>
        <w:t> </w:t>
      </w:r>
      <w:r>
        <w:rPr>
          <w:rFonts w:ascii="Segoe UI"/>
          <w:color w:val="231F20"/>
          <w:spacing w:val="-1"/>
        </w:rPr>
        <w:t>Representatives</w:t>
      </w:r>
      <w:r>
        <w:rPr>
          <w:rFonts w:ascii="Segoe UI"/>
          <w:color w:val="231F20"/>
          <w:spacing w:val="-7"/>
        </w:rPr>
        <w:t> </w:t>
      </w:r>
      <w:r>
        <w:rPr>
          <w:rFonts w:ascii="Segoe UI"/>
          <w:color w:val="231F20"/>
          <w:spacing w:val="-1"/>
        </w:rPr>
        <w:t>Standing</w:t>
      </w:r>
      <w:r>
        <w:rPr>
          <w:rFonts w:ascii="Segoe UI"/>
          <w:color w:val="231F20"/>
          <w:spacing w:val="21"/>
          <w:w w:val="99"/>
        </w:rPr>
        <w:t> </w:t>
      </w:r>
      <w:r>
        <w:rPr>
          <w:rFonts w:ascii="Segoe UI"/>
          <w:color w:val="231F20"/>
        </w:rPr>
        <w:t>Committee</w:t>
      </w:r>
      <w:r>
        <w:rPr>
          <w:rFonts w:ascii="Segoe UI"/>
          <w:color w:val="231F20"/>
          <w:spacing w:val="-2"/>
        </w:rPr>
        <w:t> </w:t>
      </w:r>
      <w:r>
        <w:rPr>
          <w:rFonts w:ascii="Segoe UI"/>
          <w:color w:val="231F20"/>
        </w:rPr>
        <w:t>on</w:t>
      </w:r>
      <w:r>
        <w:rPr>
          <w:rFonts w:ascii="Segoe UI"/>
          <w:color w:val="231F20"/>
          <w:spacing w:val="-1"/>
        </w:rPr>
        <w:t> </w:t>
      </w:r>
      <w:r>
        <w:rPr>
          <w:rFonts w:ascii="Segoe UI"/>
          <w:color w:val="231F20"/>
        </w:rPr>
        <w:t>Indigenous</w:t>
      </w:r>
      <w:r>
        <w:rPr>
          <w:rFonts w:ascii="Segoe UI"/>
          <w:color w:val="231F20"/>
          <w:spacing w:val="-2"/>
        </w:rPr>
        <w:t> </w:t>
      </w:r>
      <w:r>
        <w:rPr>
          <w:rFonts w:ascii="Segoe UI"/>
          <w:color w:val="231F20"/>
        </w:rPr>
        <w:t>Affairs,</w:t>
      </w:r>
      <w:r>
        <w:rPr>
          <w:rFonts w:ascii="Segoe UI"/>
          <w:color w:val="231F20"/>
          <w:spacing w:val="-2"/>
        </w:rPr>
        <w:t> </w:t>
      </w:r>
      <w:r>
        <w:rPr>
          <w:rFonts w:ascii="Segoe UI"/>
          <w:color w:val="231F20"/>
        </w:rPr>
        <w:t>2017</w:t>
      </w:r>
      <w:r>
        <w:rPr>
          <w:rFonts w:ascii="Segoe UI"/>
          <w:color w:val="231F20"/>
        </w:rPr>
        <w:t> </w:t>
      </w:r>
      <w:r>
        <w:rPr>
          <w:rFonts w:ascii="Segoe UI"/>
          <w:color w:val="231F20"/>
        </w:rPr>
        <w:t>(HoRSCIA,</w:t>
      </w:r>
      <w:r>
        <w:rPr>
          <w:rFonts w:ascii="Segoe UI"/>
          <w:color w:val="231F20"/>
          <w:spacing w:val="-1"/>
        </w:rPr>
        <w:t> </w:t>
      </w:r>
      <w:r>
        <w:rPr>
          <w:rFonts w:ascii="Segoe UI"/>
          <w:color w:val="231F20"/>
        </w:rPr>
        <w:t>2017)</w:t>
      </w:r>
      <w:r>
        <w:rPr>
          <w:rFonts w:ascii="Segoe UI"/>
        </w:rPr>
      </w:r>
    </w:p>
    <w:p>
      <w:pPr>
        <w:spacing w:line="250" w:lineRule="exact" w:before="113"/>
        <w:ind w:left="344" w:right="0" w:hanging="227"/>
        <w:jc w:val="left"/>
        <w:rPr>
          <w:rFonts w:ascii="Segoe UI" w:hAnsi="Segoe UI" w:cs="Segoe UI" w:eastAsia="Segoe UI"/>
          <w:sz w:val="20"/>
          <w:szCs w:val="20"/>
        </w:rPr>
      </w:pPr>
      <w:r>
        <w:rPr>
          <w:rFonts w:ascii="Century Gothic" w:hAnsi="Century Gothic"/>
          <w:color w:val="231F20"/>
          <w:sz w:val="20"/>
        </w:rPr>
        <w:t>» </w:t>
      </w:r>
      <w:r>
        <w:rPr>
          <w:rFonts w:ascii="Century Gothic" w:hAnsi="Century Gothic"/>
          <w:color w:val="231F20"/>
          <w:spacing w:val="29"/>
          <w:sz w:val="20"/>
        </w:rPr>
        <w:t> </w:t>
      </w:r>
      <w:r>
        <w:rPr>
          <w:rFonts w:ascii="Segoe UI" w:hAnsi="Segoe UI"/>
          <w:i/>
          <w:color w:val="231F20"/>
          <w:spacing w:val="-2"/>
          <w:sz w:val="20"/>
        </w:rPr>
        <w:t>We</w:t>
      </w:r>
      <w:r>
        <w:rPr>
          <w:rFonts w:ascii="Segoe UI" w:hAnsi="Segoe UI"/>
          <w:i/>
          <w:color w:val="231F20"/>
          <w:spacing w:val="-1"/>
          <w:sz w:val="20"/>
        </w:rPr>
        <w:t> </w:t>
      </w:r>
      <w:r>
        <w:rPr>
          <w:rFonts w:ascii="Segoe UI" w:hAnsi="Segoe UI"/>
          <w:i/>
          <w:color w:val="231F20"/>
          <w:sz w:val="20"/>
        </w:rPr>
        <w:t>need</w:t>
      </w:r>
      <w:r>
        <w:rPr>
          <w:rFonts w:ascii="Segoe UI" w:hAnsi="Segoe UI"/>
          <w:i/>
          <w:color w:val="231F20"/>
          <w:spacing w:val="-1"/>
          <w:sz w:val="20"/>
        </w:rPr>
        <w:t> to know</w:t>
      </w:r>
      <w:r>
        <w:rPr>
          <w:rFonts w:ascii="Segoe UI" w:hAnsi="Segoe UI"/>
          <w:i/>
          <w:color w:val="231F20"/>
          <w:spacing w:val="-2"/>
          <w:sz w:val="20"/>
        </w:rPr>
        <w:t> </w:t>
      </w:r>
      <w:r>
        <w:rPr>
          <w:rFonts w:ascii="Segoe UI" w:hAnsi="Segoe UI"/>
          <w:i/>
          <w:color w:val="231F20"/>
          <w:spacing w:val="-1"/>
          <w:sz w:val="20"/>
        </w:rPr>
        <w:t>the true cost </w:t>
      </w:r>
      <w:r>
        <w:rPr>
          <w:rFonts w:ascii="Segoe UI" w:hAnsi="Segoe UI"/>
          <w:i/>
          <w:color w:val="231F20"/>
          <w:spacing w:val="-2"/>
          <w:sz w:val="20"/>
        </w:rPr>
        <w:t>of</w:t>
      </w:r>
      <w:r>
        <w:rPr>
          <w:rFonts w:ascii="Segoe UI" w:hAnsi="Segoe UI"/>
          <w:i/>
          <w:color w:val="231F20"/>
          <w:spacing w:val="-1"/>
          <w:sz w:val="20"/>
        </w:rPr>
        <w:t> Indigenous</w:t>
      </w:r>
      <w:r>
        <w:rPr>
          <w:rFonts w:ascii="Segoe UI" w:hAnsi="Segoe UI"/>
          <w:i/>
          <w:color w:val="231F20"/>
          <w:spacing w:val="25"/>
          <w:sz w:val="20"/>
        </w:rPr>
        <w:t> </w:t>
      </w:r>
      <w:r>
        <w:rPr>
          <w:rFonts w:ascii="Segoe UI" w:hAnsi="Segoe UI"/>
          <w:i/>
          <w:color w:val="231F20"/>
          <w:spacing w:val="-1"/>
          <w:sz w:val="20"/>
        </w:rPr>
        <w:t>boarding</w:t>
      </w:r>
      <w:r>
        <w:rPr>
          <w:rFonts w:ascii="Segoe UI" w:hAnsi="Segoe UI"/>
          <w:i/>
          <w:color w:val="231F20"/>
          <w:spacing w:val="-6"/>
          <w:sz w:val="20"/>
        </w:rPr>
        <w:t> </w:t>
      </w:r>
      <w:r>
        <w:rPr>
          <w:rFonts w:ascii="Segoe UI" w:hAnsi="Segoe UI"/>
          <w:i/>
          <w:color w:val="231F20"/>
          <w:spacing w:val="-1"/>
          <w:sz w:val="20"/>
        </w:rPr>
        <w:t>school</w:t>
      </w:r>
      <w:r>
        <w:rPr>
          <w:rFonts w:ascii="Segoe UI" w:hAnsi="Segoe UI"/>
          <w:i/>
          <w:color w:val="231F20"/>
          <w:spacing w:val="-5"/>
          <w:sz w:val="20"/>
        </w:rPr>
        <w:t> </w:t>
      </w:r>
      <w:r>
        <w:rPr>
          <w:rFonts w:ascii="Segoe UI" w:hAnsi="Segoe UI"/>
          <w:i/>
          <w:color w:val="231F20"/>
          <w:spacing w:val="-1"/>
          <w:sz w:val="20"/>
        </w:rPr>
        <w:t>scholarships</w:t>
      </w:r>
      <w:r>
        <w:rPr>
          <w:rFonts w:ascii="Segoe UI" w:hAnsi="Segoe UI"/>
          <w:i/>
          <w:color w:val="231F20"/>
          <w:spacing w:val="-5"/>
          <w:sz w:val="20"/>
        </w:rPr>
        <w:t> </w:t>
      </w:r>
      <w:r>
        <w:rPr>
          <w:rFonts w:ascii="Segoe UI" w:hAnsi="Segoe UI"/>
          <w:i/>
          <w:color w:val="231F20"/>
          <w:spacing w:val="-1"/>
          <w:sz w:val="20"/>
        </w:rPr>
        <w:t>on</w:t>
      </w:r>
      <w:r>
        <w:rPr>
          <w:rFonts w:ascii="Segoe UI" w:hAnsi="Segoe UI"/>
          <w:i/>
          <w:color w:val="231F20"/>
          <w:spacing w:val="-5"/>
          <w:sz w:val="20"/>
        </w:rPr>
        <w:t> </w:t>
      </w:r>
      <w:r>
        <w:rPr>
          <w:rFonts w:ascii="Segoe UI" w:hAnsi="Segoe UI"/>
          <w:i/>
          <w:color w:val="231F20"/>
          <w:spacing w:val="-2"/>
          <w:sz w:val="20"/>
        </w:rPr>
        <w:t>communities,</w:t>
      </w:r>
      <w:r>
        <w:rPr>
          <w:rFonts w:ascii="Segoe UI" w:hAnsi="Segoe UI"/>
          <w:i/>
          <w:color w:val="231F20"/>
          <w:spacing w:val="60"/>
          <w:w w:val="99"/>
          <w:sz w:val="20"/>
        </w:rPr>
        <w:t> </w:t>
      </w:r>
      <w:r>
        <w:rPr>
          <w:rFonts w:ascii="Segoe UI" w:hAnsi="Segoe UI"/>
          <w:i/>
          <w:color w:val="231F20"/>
          <w:spacing w:val="-1"/>
          <w:sz w:val="20"/>
        </w:rPr>
        <w:t>Rogers,</w:t>
      </w:r>
      <w:r>
        <w:rPr>
          <w:rFonts w:ascii="Segoe UI" w:hAnsi="Segoe UI"/>
          <w:i/>
          <w:color w:val="231F20"/>
          <w:spacing w:val="-4"/>
          <w:sz w:val="20"/>
        </w:rPr>
        <w:t> </w:t>
      </w:r>
      <w:r>
        <w:rPr>
          <w:rFonts w:ascii="Segoe UI" w:hAnsi="Segoe UI"/>
          <w:i/>
          <w:color w:val="231F20"/>
          <w:spacing w:val="-1"/>
          <w:sz w:val="20"/>
        </w:rPr>
        <w:t>Jessa,</w:t>
      </w:r>
      <w:r>
        <w:rPr>
          <w:rFonts w:ascii="Segoe UI" w:hAnsi="Segoe UI"/>
          <w:i/>
          <w:color w:val="231F20"/>
          <w:spacing w:val="-3"/>
          <w:sz w:val="20"/>
        </w:rPr>
        <w:t> </w:t>
      </w:r>
      <w:r>
        <w:rPr>
          <w:rFonts w:ascii="Segoe UI" w:hAnsi="Segoe UI"/>
          <w:i/>
          <w:color w:val="231F20"/>
          <w:sz w:val="20"/>
        </w:rPr>
        <w:t>The</w:t>
      </w:r>
      <w:r>
        <w:rPr>
          <w:rFonts w:ascii="Segoe UI" w:hAnsi="Segoe UI"/>
          <w:i/>
          <w:color w:val="231F20"/>
          <w:spacing w:val="-5"/>
          <w:sz w:val="20"/>
        </w:rPr>
        <w:t> </w:t>
      </w:r>
      <w:r>
        <w:rPr>
          <w:rFonts w:ascii="Segoe UI" w:hAnsi="Segoe UI"/>
          <w:i/>
          <w:color w:val="231F20"/>
          <w:spacing w:val="-1"/>
          <w:sz w:val="20"/>
        </w:rPr>
        <w:t>Conversation,</w:t>
      </w:r>
      <w:r>
        <w:rPr>
          <w:rFonts w:ascii="Segoe UI" w:hAnsi="Segoe UI"/>
          <w:i/>
          <w:color w:val="231F20"/>
          <w:spacing w:val="-4"/>
          <w:sz w:val="20"/>
        </w:rPr>
        <w:t> </w:t>
      </w:r>
      <w:r>
        <w:rPr>
          <w:rFonts w:ascii="Segoe UI" w:hAnsi="Segoe UI"/>
          <w:color w:val="231F20"/>
          <w:spacing w:val="-1"/>
          <w:sz w:val="20"/>
        </w:rPr>
        <w:t>13</w:t>
      </w:r>
      <w:r>
        <w:rPr>
          <w:rFonts w:ascii="Segoe UI" w:hAnsi="Segoe UI"/>
          <w:color w:val="231F20"/>
          <w:spacing w:val="-3"/>
          <w:sz w:val="20"/>
        </w:rPr>
        <w:t> </w:t>
      </w:r>
      <w:r>
        <w:rPr>
          <w:rFonts w:ascii="Segoe UI" w:hAnsi="Segoe UI"/>
          <w:color w:val="231F20"/>
          <w:sz w:val="20"/>
        </w:rPr>
        <w:t>June</w:t>
      </w:r>
      <w:r>
        <w:rPr>
          <w:rFonts w:ascii="Segoe UI" w:hAnsi="Segoe UI"/>
          <w:color w:val="231F20"/>
          <w:spacing w:val="-5"/>
          <w:sz w:val="20"/>
        </w:rPr>
        <w:t> </w:t>
      </w:r>
      <w:r>
        <w:rPr>
          <w:rFonts w:ascii="Segoe UI" w:hAnsi="Segoe UI"/>
          <w:color w:val="231F20"/>
          <w:sz w:val="20"/>
        </w:rPr>
        <w:t>2017,</w:t>
      </w:r>
      <w:r>
        <w:rPr>
          <w:rFonts w:ascii="Segoe UI" w:hAnsi="Segoe UI"/>
          <w:color w:val="231F20"/>
          <w:spacing w:val="29"/>
          <w:sz w:val="20"/>
        </w:rPr>
        <w:t> </w:t>
      </w:r>
      <w:r>
        <w:rPr>
          <w:rFonts w:ascii="Segoe UI" w:hAnsi="Segoe UI"/>
          <w:color w:val="231F20"/>
          <w:sz w:val="20"/>
        </w:rPr>
        <w:t>accessed</w:t>
      </w:r>
      <w:r>
        <w:rPr>
          <w:rFonts w:ascii="Segoe UI" w:hAnsi="Segoe UI"/>
          <w:color w:val="231F20"/>
          <w:spacing w:val="-5"/>
          <w:sz w:val="20"/>
        </w:rPr>
        <w:t> </w:t>
      </w:r>
      <w:r>
        <w:rPr>
          <w:rFonts w:ascii="Segoe UI" w:hAnsi="Segoe UI"/>
          <w:color w:val="231F20"/>
          <w:sz w:val="20"/>
        </w:rPr>
        <w:t>9</w:t>
      </w:r>
      <w:r>
        <w:rPr>
          <w:rFonts w:ascii="Segoe UI" w:hAnsi="Segoe UI"/>
          <w:color w:val="231F20"/>
          <w:spacing w:val="-3"/>
          <w:sz w:val="20"/>
        </w:rPr>
        <w:t> </w:t>
      </w:r>
      <w:r>
        <w:rPr>
          <w:rFonts w:ascii="Segoe UI" w:hAnsi="Segoe UI"/>
          <w:color w:val="231F20"/>
          <w:sz w:val="20"/>
        </w:rPr>
        <w:t>May</w:t>
      </w:r>
      <w:r>
        <w:rPr>
          <w:rFonts w:ascii="Segoe UI" w:hAnsi="Segoe UI"/>
          <w:color w:val="231F20"/>
          <w:spacing w:val="-3"/>
          <w:sz w:val="20"/>
        </w:rPr>
        <w:t> </w:t>
      </w:r>
      <w:r>
        <w:rPr>
          <w:rFonts w:ascii="Segoe UI" w:hAnsi="Segoe UI"/>
          <w:color w:val="231F20"/>
          <w:spacing w:val="-1"/>
          <w:sz w:val="20"/>
        </w:rPr>
        <w:t>2018.</w:t>
      </w:r>
      <w:r>
        <w:rPr>
          <w:rFonts w:ascii="Segoe UI" w:hAnsi="Segoe UI"/>
          <w:color w:val="231F20"/>
          <w:spacing w:val="-3"/>
          <w:sz w:val="20"/>
        </w:rPr>
        <w:t> </w:t>
      </w:r>
      <w:r>
        <w:rPr>
          <w:rFonts w:ascii="Segoe UI" w:hAnsi="Segoe UI"/>
          <w:color w:val="231F20"/>
          <w:spacing w:val="-1"/>
          <w:sz w:val="20"/>
        </w:rPr>
        <w:t>Available</w:t>
      </w:r>
      <w:r>
        <w:rPr>
          <w:rFonts w:ascii="Segoe UI" w:hAnsi="Segoe UI"/>
          <w:color w:val="231F20"/>
          <w:spacing w:val="-3"/>
          <w:sz w:val="20"/>
        </w:rPr>
        <w:t> </w:t>
      </w:r>
      <w:r>
        <w:rPr>
          <w:rFonts w:ascii="Segoe UI" w:hAnsi="Segoe UI"/>
          <w:color w:val="231F20"/>
          <w:sz w:val="20"/>
        </w:rPr>
        <w:t>at:</w:t>
      </w:r>
      <w:r>
        <w:rPr>
          <w:rFonts w:ascii="Segoe UI" w:hAnsi="Segoe UI"/>
          <w:color w:val="231F20"/>
          <w:spacing w:val="-5"/>
          <w:sz w:val="20"/>
        </w:rPr>
        <w:t> </w:t>
      </w:r>
      <w:r>
        <w:rPr>
          <w:rFonts w:ascii="Segoe UI" w:hAnsi="Segoe UI"/>
          <w:color w:val="231F20"/>
          <w:sz w:val="20"/>
        </w:rPr>
        <w:t>https://</w:t>
      </w:r>
      <w:r>
        <w:rPr>
          <w:rFonts w:ascii="Segoe UI" w:hAnsi="Segoe UI"/>
          <w:color w:val="231F20"/>
          <w:spacing w:val="25"/>
          <w:w w:val="99"/>
          <w:sz w:val="20"/>
        </w:rPr>
        <w:t> </w:t>
      </w:r>
      <w:r>
        <w:rPr>
          <w:rFonts w:ascii="Segoe UI" w:hAnsi="Segoe UI"/>
          <w:color w:val="231F20"/>
          <w:sz w:val="20"/>
        </w:rPr>
        <w:t>theconversation.com/we-need-to-know-</w:t>
      </w:r>
      <w:r>
        <w:rPr>
          <w:rFonts w:ascii="Segoe UI" w:hAnsi="Segoe UI"/>
          <w:sz w:val="20"/>
        </w:rPr>
      </w:r>
    </w:p>
    <w:p>
      <w:pPr>
        <w:pStyle w:val="BodyText"/>
        <w:spacing w:line="250" w:lineRule="exact"/>
        <w:ind w:left="344" w:right="129"/>
        <w:jc w:val="left"/>
        <w:rPr>
          <w:rFonts w:ascii="Segoe UI" w:hAnsi="Segoe UI" w:cs="Segoe UI" w:eastAsia="Segoe UI"/>
        </w:rPr>
      </w:pPr>
      <w:r>
        <w:rPr>
          <w:rFonts w:ascii="Segoe UI"/>
          <w:color w:val="231F20"/>
        </w:rPr>
        <w:t>the-true-cost-of-indigenous-boarding-</w:t>
      </w:r>
      <w:r>
        <w:rPr>
          <w:rFonts w:ascii="Segoe UI"/>
          <w:color w:val="231F20"/>
          <w:w w:val="99"/>
        </w:rPr>
        <w:t> </w:t>
      </w:r>
      <w:r>
        <w:rPr>
          <w:rFonts w:ascii="Segoe UI"/>
          <w:color w:val="231F20"/>
          <w:spacing w:val="-1"/>
        </w:rPr>
        <w:t>school-scholarships-on-communities-74622</w:t>
      </w:r>
      <w:r>
        <w:rPr>
          <w:rFonts w:ascii="Segoe UI"/>
          <w:color w:val="231F20"/>
          <w:spacing w:val="20"/>
        </w:rPr>
        <w:t> </w:t>
      </w:r>
      <w:r>
        <w:rPr>
          <w:rFonts w:ascii="Segoe UI"/>
          <w:color w:val="231F20"/>
          <w:spacing w:val="-1"/>
        </w:rPr>
        <w:t>(Rogers,</w:t>
      </w:r>
      <w:r>
        <w:rPr>
          <w:rFonts w:ascii="Segoe UI"/>
          <w:color w:val="231F20"/>
          <w:spacing w:val="-8"/>
        </w:rPr>
        <w:t> </w:t>
      </w:r>
      <w:r>
        <w:rPr>
          <w:rFonts w:ascii="Segoe UI"/>
          <w:color w:val="231F20"/>
        </w:rPr>
        <w:t>2017)</w:t>
      </w:r>
      <w:r>
        <w:rPr>
          <w:rFonts w:ascii="Segoe UI"/>
        </w:rPr>
      </w:r>
    </w:p>
    <w:p>
      <w:pPr>
        <w:spacing w:line="250" w:lineRule="exact" w:before="113"/>
        <w:ind w:left="344" w:right="64" w:hanging="227"/>
        <w:jc w:val="left"/>
        <w:rPr>
          <w:rFonts w:ascii="Segoe UI" w:hAnsi="Segoe UI" w:cs="Segoe UI" w:eastAsia="Segoe UI"/>
          <w:sz w:val="20"/>
          <w:szCs w:val="20"/>
        </w:rPr>
      </w:pPr>
      <w:r>
        <w:rPr>
          <w:rFonts w:ascii="Century Gothic" w:hAnsi="Century Gothic"/>
          <w:color w:val="231F20"/>
          <w:sz w:val="20"/>
        </w:rPr>
        <w:t>» </w:t>
      </w:r>
      <w:r>
        <w:rPr>
          <w:rFonts w:ascii="Century Gothic" w:hAnsi="Century Gothic"/>
          <w:color w:val="231F20"/>
          <w:spacing w:val="21"/>
          <w:sz w:val="20"/>
        </w:rPr>
        <w:t> </w:t>
      </w:r>
      <w:r>
        <w:rPr>
          <w:rFonts w:ascii="Segoe UI" w:hAnsi="Segoe UI"/>
          <w:i/>
          <w:color w:val="231F20"/>
          <w:spacing w:val="-2"/>
          <w:sz w:val="20"/>
        </w:rPr>
        <w:t>Red</w:t>
      </w:r>
      <w:r>
        <w:rPr>
          <w:rFonts w:ascii="Segoe UI" w:hAnsi="Segoe UI"/>
          <w:i/>
          <w:color w:val="231F20"/>
          <w:spacing w:val="-5"/>
          <w:sz w:val="20"/>
        </w:rPr>
        <w:t> </w:t>
      </w:r>
      <w:r>
        <w:rPr>
          <w:rFonts w:ascii="Segoe UI" w:hAnsi="Segoe UI"/>
          <w:i/>
          <w:color w:val="231F20"/>
          <w:sz w:val="20"/>
        </w:rPr>
        <w:t>dirt</w:t>
      </w:r>
      <w:r>
        <w:rPr>
          <w:rFonts w:ascii="Segoe UI" w:hAnsi="Segoe UI"/>
          <w:i/>
          <w:color w:val="231F20"/>
          <w:spacing w:val="-5"/>
          <w:sz w:val="20"/>
        </w:rPr>
        <w:t> </w:t>
      </w:r>
      <w:r>
        <w:rPr>
          <w:rFonts w:ascii="Segoe UI" w:hAnsi="Segoe UI"/>
          <w:i/>
          <w:color w:val="231F20"/>
          <w:sz w:val="20"/>
        </w:rPr>
        <w:t>education:</w:t>
      </w:r>
      <w:r>
        <w:rPr>
          <w:rFonts w:ascii="Segoe UI" w:hAnsi="Segoe UI"/>
          <w:i/>
          <w:color w:val="231F20"/>
          <w:spacing w:val="-5"/>
          <w:sz w:val="20"/>
        </w:rPr>
        <w:t> </w:t>
      </w:r>
      <w:r>
        <w:rPr>
          <w:rFonts w:ascii="Segoe UI" w:hAnsi="Segoe UI"/>
          <w:i/>
          <w:color w:val="231F20"/>
          <w:sz w:val="20"/>
        </w:rPr>
        <w:t>a</w:t>
      </w:r>
      <w:r>
        <w:rPr>
          <w:rFonts w:ascii="Segoe UI" w:hAnsi="Segoe UI"/>
          <w:i/>
          <w:color w:val="231F20"/>
          <w:spacing w:val="-4"/>
          <w:sz w:val="20"/>
        </w:rPr>
        <w:t> </w:t>
      </w:r>
      <w:r>
        <w:rPr>
          <w:rFonts w:ascii="Segoe UI" w:hAnsi="Segoe UI"/>
          <w:i/>
          <w:color w:val="231F20"/>
          <w:spacing w:val="-1"/>
          <w:sz w:val="20"/>
        </w:rPr>
        <w:t>compilation</w:t>
      </w:r>
      <w:r>
        <w:rPr>
          <w:rFonts w:ascii="Segoe UI" w:hAnsi="Segoe UI"/>
          <w:i/>
          <w:color w:val="231F20"/>
          <w:spacing w:val="-4"/>
          <w:sz w:val="20"/>
        </w:rPr>
        <w:t> </w:t>
      </w:r>
      <w:r>
        <w:rPr>
          <w:rFonts w:ascii="Segoe UI" w:hAnsi="Segoe UI"/>
          <w:i/>
          <w:color w:val="231F20"/>
          <w:spacing w:val="-2"/>
          <w:sz w:val="20"/>
        </w:rPr>
        <w:t>of</w:t>
      </w:r>
      <w:r>
        <w:rPr>
          <w:rFonts w:ascii="Segoe UI" w:hAnsi="Segoe UI"/>
          <w:i/>
          <w:color w:val="231F20"/>
          <w:spacing w:val="-4"/>
          <w:sz w:val="20"/>
        </w:rPr>
        <w:t> </w:t>
      </w:r>
      <w:r>
        <w:rPr>
          <w:rFonts w:ascii="Segoe UI" w:hAnsi="Segoe UI"/>
          <w:i/>
          <w:color w:val="231F20"/>
          <w:sz w:val="20"/>
        </w:rPr>
        <w:t>learnings</w:t>
      </w:r>
      <w:r>
        <w:rPr>
          <w:rFonts w:ascii="Segoe UI" w:hAnsi="Segoe UI"/>
          <w:i/>
          <w:color w:val="231F20"/>
          <w:spacing w:val="25"/>
          <w:w w:val="99"/>
          <w:sz w:val="20"/>
        </w:rPr>
        <w:t> </w:t>
      </w:r>
      <w:r>
        <w:rPr>
          <w:rFonts w:ascii="Segoe UI" w:hAnsi="Segoe UI"/>
          <w:i/>
          <w:color w:val="231F20"/>
          <w:spacing w:val="-1"/>
          <w:sz w:val="20"/>
        </w:rPr>
        <w:t>from</w:t>
      </w:r>
      <w:r>
        <w:rPr>
          <w:rFonts w:ascii="Segoe UI" w:hAnsi="Segoe UI"/>
          <w:i/>
          <w:color w:val="231F20"/>
          <w:spacing w:val="-2"/>
          <w:sz w:val="20"/>
        </w:rPr>
        <w:t> </w:t>
      </w:r>
      <w:r>
        <w:rPr>
          <w:rFonts w:ascii="Segoe UI" w:hAnsi="Segoe UI"/>
          <w:i/>
          <w:color w:val="231F20"/>
          <w:spacing w:val="-1"/>
          <w:sz w:val="20"/>
        </w:rPr>
        <w:t>the</w:t>
      </w:r>
      <w:r>
        <w:rPr>
          <w:rFonts w:ascii="Segoe UI" w:hAnsi="Segoe UI"/>
          <w:i/>
          <w:color w:val="231F20"/>
          <w:spacing w:val="-2"/>
          <w:sz w:val="20"/>
        </w:rPr>
        <w:t> </w:t>
      </w:r>
      <w:r>
        <w:rPr>
          <w:rFonts w:ascii="Segoe UI" w:hAnsi="Segoe UI"/>
          <w:i/>
          <w:color w:val="231F20"/>
          <w:spacing w:val="-1"/>
          <w:sz w:val="20"/>
        </w:rPr>
        <w:t>Remote </w:t>
      </w:r>
      <w:r>
        <w:rPr>
          <w:rFonts w:ascii="Segoe UI" w:hAnsi="Segoe UI"/>
          <w:i/>
          <w:color w:val="231F20"/>
          <w:sz w:val="20"/>
        </w:rPr>
        <w:t>Education</w:t>
      </w:r>
      <w:r>
        <w:rPr>
          <w:rFonts w:ascii="Segoe UI" w:hAnsi="Segoe UI"/>
          <w:i/>
          <w:color w:val="231F20"/>
          <w:spacing w:val="-2"/>
          <w:sz w:val="20"/>
        </w:rPr>
        <w:t> Systems </w:t>
      </w:r>
      <w:r>
        <w:rPr>
          <w:rFonts w:ascii="Segoe UI" w:hAnsi="Segoe UI"/>
          <w:i/>
          <w:color w:val="231F20"/>
          <w:spacing w:val="-1"/>
          <w:sz w:val="20"/>
        </w:rPr>
        <w:t>project,</w:t>
      </w:r>
      <w:r>
        <w:rPr>
          <w:rFonts w:ascii="Segoe UI" w:hAnsi="Segoe UI"/>
          <w:i/>
          <w:color w:val="231F20"/>
          <w:spacing w:val="24"/>
          <w:sz w:val="20"/>
        </w:rPr>
        <w:t> </w:t>
      </w:r>
      <w:r>
        <w:rPr>
          <w:rFonts w:ascii="Segoe UI" w:hAnsi="Segoe UI"/>
          <w:color w:val="231F20"/>
          <w:sz w:val="20"/>
        </w:rPr>
        <w:t>Ninti</w:t>
      </w:r>
      <w:r>
        <w:rPr>
          <w:rFonts w:ascii="Segoe UI" w:hAnsi="Segoe UI"/>
          <w:color w:val="231F20"/>
          <w:spacing w:val="-5"/>
          <w:sz w:val="20"/>
        </w:rPr>
        <w:t> </w:t>
      </w:r>
      <w:r>
        <w:rPr>
          <w:rFonts w:ascii="Segoe UI" w:hAnsi="Segoe UI"/>
          <w:color w:val="231F20"/>
          <w:sz w:val="20"/>
        </w:rPr>
        <w:t>One</w:t>
      </w:r>
      <w:r>
        <w:rPr>
          <w:rFonts w:ascii="Segoe UI" w:hAnsi="Segoe UI"/>
          <w:color w:val="231F20"/>
          <w:spacing w:val="-5"/>
          <w:sz w:val="20"/>
        </w:rPr>
        <w:t> </w:t>
      </w:r>
      <w:r>
        <w:rPr>
          <w:rFonts w:ascii="Segoe UI" w:hAnsi="Segoe UI"/>
          <w:color w:val="231F20"/>
          <w:sz w:val="20"/>
        </w:rPr>
        <w:t>Limited,</w:t>
      </w:r>
      <w:r>
        <w:rPr>
          <w:rFonts w:ascii="Segoe UI" w:hAnsi="Segoe UI"/>
          <w:color w:val="231F20"/>
          <w:spacing w:val="-5"/>
          <w:sz w:val="20"/>
        </w:rPr>
        <w:t> </w:t>
      </w:r>
      <w:r>
        <w:rPr>
          <w:rFonts w:ascii="Segoe UI" w:hAnsi="Segoe UI"/>
          <w:color w:val="231F20"/>
          <w:sz w:val="20"/>
        </w:rPr>
        <w:t>Guenther</w:t>
      </w:r>
      <w:r>
        <w:rPr>
          <w:rFonts w:ascii="Segoe UI" w:hAnsi="Segoe UI"/>
          <w:color w:val="231F20"/>
          <w:spacing w:val="-5"/>
          <w:sz w:val="20"/>
        </w:rPr>
        <w:t> </w:t>
      </w:r>
      <w:r>
        <w:rPr>
          <w:rFonts w:ascii="Segoe UI" w:hAnsi="Segoe UI"/>
          <w:color w:val="231F20"/>
          <w:sz w:val="20"/>
        </w:rPr>
        <w:t>J,</w:t>
      </w:r>
      <w:r>
        <w:rPr>
          <w:rFonts w:ascii="Segoe UI" w:hAnsi="Segoe UI"/>
          <w:color w:val="231F20"/>
          <w:spacing w:val="-4"/>
          <w:sz w:val="20"/>
        </w:rPr>
        <w:t> </w:t>
      </w:r>
      <w:r>
        <w:rPr>
          <w:rFonts w:ascii="Segoe UI" w:hAnsi="Segoe UI"/>
          <w:color w:val="231F20"/>
          <w:spacing w:val="-1"/>
          <w:sz w:val="20"/>
        </w:rPr>
        <w:t>Disbray</w:t>
      </w:r>
      <w:r>
        <w:rPr>
          <w:rFonts w:ascii="Segoe UI" w:hAnsi="Segoe UI"/>
          <w:color w:val="231F20"/>
          <w:spacing w:val="-4"/>
          <w:sz w:val="20"/>
        </w:rPr>
        <w:t> </w:t>
      </w:r>
      <w:r>
        <w:rPr>
          <w:rFonts w:ascii="Segoe UI" w:hAnsi="Segoe UI"/>
          <w:color w:val="231F20"/>
          <w:sz w:val="20"/>
        </w:rPr>
        <w:t>S</w:t>
      </w:r>
      <w:r>
        <w:rPr>
          <w:rFonts w:ascii="Segoe UI" w:hAnsi="Segoe UI"/>
          <w:color w:val="231F20"/>
          <w:spacing w:val="-5"/>
          <w:sz w:val="20"/>
        </w:rPr>
        <w:t> </w:t>
      </w:r>
      <w:r>
        <w:rPr>
          <w:rFonts w:ascii="Segoe UI" w:hAnsi="Segoe UI"/>
          <w:color w:val="231F20"/>
          <w:sz w:val="20"/>
        </w:rPr>
        <w:t>and</w:t>
      </w:r>
      <w:r>
        <w:rPr>
          <w:rFonts w:ascii="Segoe UI" w:hAnsi="Segoe UI"/>
          <w:color w:val="231F20"/>
          <w:spacing w:val="22"/>
          <w:w w:val="99"/>
          <w:sz w:val="20"/>
        </w:rPr>
        <w:t> </w:t>
      </w:r>
      <w:r>
        <w:rPr>
          <w:rFonts w:ascii="Segoe UI" w:hAnsi="Segoe UI"/>
          <w:color w:val="231F20"/>
          <w:sz w:val="20"/>
        </w:rPr>
        <w:t>Osborne</w:t>
      </w:r>
      <w:r>
        <w:rPr>
          <w:rFonts w:ascii="Segoe UI" w:hAnsi="Segoe UI"/>
          <w:color w:val="231F20"/>
          <w:spacing w:val="-6"/>
          <w:sz w:val="20"/>
        </w:rPr>
        <w:t> </w:t>
      </w:r>
      <w:r>
        <w:rPr>
          <w:rFonts w:ascii="Segoe UI" w:hAnsi="Segoe UI"/>
          <w:color w:val="231F20"/>
          <w:spacing w:val="-1"/>
          <w:sz w:val="20"/>
        </w:rPr>
        <w:t>S,</w:t>
      </w:r>
      <w:r>
        <w:rPr>
          <w:rFonts w:ascii="Segoe UI" w:hAnsi="Segoe UI"/>
          <w:color w:val="231F20"/>
          <w:spacing w:val="-4"/>
          <w:sz w:val="20"/>
        </w:rPr>
        <w:t> </w:t>
      </w:r>
      <w:r>
        <w:rPr>
          <w:rFonts w:ascii="Segoe UI" w:hAnsi="Segoe UI"/>
          <w:color w:val="231F20"/>
          <w:sz w:val="20"/>
        </w:rPr>
        <w:t>Alice</w:t>
      </w:r>
      <w:r>
        <w:rPr>
          <w:rFonts w:ascii="Segoe UI" w:hAnsi="Segoe UI"/>
          <w:color w:val="231F20"/>
          <w:spacing w:val="-6"/>
          <w:sz w:val="20"/>
        </w:rPr>
        <w:t> </w:t>
      </w:r>
      <w:r>
        <w:rPr>
          <w:rFonts w:ascii="Segoe UI" w:hAnsi="Segoe UI"/>
          <w:color w:val="231F20"/>
          <w:spacing w:val="-1"/>
          <w:sz w:val="20"/>
        </w:rPr>
        <w:t>Springs,</w:t>
      </w:r>
      <w:r>
        <w:rPr>
          <w:rFonts w:ascii="Segoe UI" w:hAnsi="Segoe UI"/>
          <w:color w:val="231F20"/>
          <w:spacing w:val="-4"/>
          <w:sz w:val="20"/>
        </w:rPr>
        <w:t> </w:t>
      </w:r>
      <w:r>
        <w:rPr>
          <w:rFonts w:ascii="Segoe UI" w:hAnsi="Segoe UI"/>
          <w:color w:val="231F20"/>
          <w:spacing w:val="-1"/>
          <w:sz w:val="20"/>
        </w:rPr>
        <w:t>2017,</w:t>
      </w:r>
      <w:r>
        <w:rPr>
          <w:rFonts w:ascii="Segoe UI" w:hAnsi="Segoe UI"/>
          <w:color w:val="231F20"/>
          <w:spacing w:val="-5"/>
          <w:sz w:val="20"/>
        </w:rPr>
        <w:t> </w:t>
      </w:r>
      <w:r>
        <w:rPr>
          <w:rFonts w:ascii="Segoe UI" w:hAnsi="Segoe UI"/>
          <w:color w:val="231F20"/>
          <w:sz w:val="20"/>
        </w:rPr>
        <w:t>retrieved</w:t>
      </w:r>
      <w:r>
        <w:rPr>
          <w:rFonts w:ascii="Segoe UI" w:hAnsi="Segoe UI"/>
          <w:color w:val="231F20"/>
          <w:spacing w:val="24"/>
          <w:w w:val="99"/>
          <w:sz w:val="20"/>
        </w:rPr>
        <w:t> </w:t>
      </w:r>
      <w:r>
        <w:rPr>
          <w:rFonts w:ascii="Segoe UI" w:hAnsi="Segoe UI"/>
          <w:color w:val="231F20"/>
          <w:w w:val="95"/>
          <w:sz w:val="20"/>
        </w:rPr>
        <w:t>from</w:t>
      </w:r>
      <w:r>
        <w:rPr>
          <w:rFonts w:ascii="Segoe UI" w:hAnsi="Segoe UI"/>
          <w:color w:val="231F20"/>
          <w:w w:val="95"/>
          <w:sz w:val="20"/>
        </w:rPr>
        <w:t>  </w:t>
      </w:r>
      <w:r>
        <w:rPr>
          <w:rFonts w:ascii="Segoe UI" w:hAnsi="Segoe UI"/>
          <w:color w:val="231F20"/>
          <w:spacing w:val="46"/>
          <w:w w:val="95"/>
          <w:sz w:val="20"/>
        </w:rPr>
        <w:t> </w:t>
      </w:r>
      <w:hyperlink r:id="rId24">
        <w:r>
          <w:rPr>
            <w:rFonts w:ascii="Segoe UI" w:hAnsi="Segoe UI"/>
            <w:color w:val="231F20"/>
            <w:w w:val="95"/>
            <w:sz w:val="20"/>
          </w:rPr>
          <w:t>http://www.crc-rep.com.au/resource/</w:t>
        </w:r>
      </w:hyperlink>
      <w:r>
        <w:rPr>
          <w:rFonts w:ascii="Segoe UI" w:hAnsi="Segoe UI"/>
          <w:color w:val="231F20"/>
          <w:w w:val="99"/>
          <w:sz w:val="20"/>
        </w:rPr>
        <w:t> </w:t>
      </w:r>
      <w:r>
        <w:rPr>
          <w:rFonts w:ascii="Segoe UI" w:hAnsi="Segoe UI"/>
          <w:color w:val="231F20"/>
          <w:spacing w:val="-1"/>
          <w:sz w:val="20"/>
        </w:rPr>
        <w:t>RedDirtEducation_CompilationLearningsRES_</w:t>
      </w:r>
      <w:r>
        <w:rPr>
          <w:rFonts w:ascii="Segoe UI" w:hAnsi="Segoe UI"/>
          <w:color w:val="231F20"/>
          <w:spacing w:val="70"/>
          <w:w w:val="99"/>
          <w:sz w:val="20"/>
        </w:rPr>
        <w:t> </w:t>
      </w:r>
      <w:r>
        <w:rPr>
          <w:rFonts w:ascii="Segoe UI" w:hAnsi="Segoe UI"/>
          <w:color w:val="231F20"/>
          <w:sz w:val="20"/>
        </w:rPr>
        <w:t>EBook.pdf</w:t>
      </w:r>
      <w:r>
        <w:rPr>
          <w:rFonts w:ascii="Segoe UI" w:hAnsi="Segoe UI"/>
          <w:sz w:val="20"/>
        </w:rPr>
      </w:r>
    </w:p>
    <w:p>
      <w:pPr>
        <w:spacing w:line="250" w:lineRule="exact" w:before="113"/>
        <w:ind w:left="344" w:right="138" w:hanging="227"/>
        <w:jc w:val="left"/>
        <w:rPr>
          <w:rFonts w:ascii="Segoe UI" w:hAnsi="Segoe UI" w:cs="Segoe UI" w:eastAsia="Segoe UI"/>
          <w:sz w:val="20"/>
          <w:szCs w:val="20"/>
        </w:rPr>
      </w:pPr>
      <w:r>
        <w:rPr>
          <w:rFonts w:ascii="Century Gothic" w:hAnsi="Century Gothic"/>
          <w:color w:val="231F20"/>
          <w:sz w:val="20"/>
        </w:rPr>
        <w:t>» </w:t>
      </w:r>
      <w:r>
        <w:rPr>
          <w:rFonts w:ascii="Century Gothic" w:hAnsi="Century Gothic"/>
          <w:color w:val="231F20"/>
          <w:spacing w:val="19"/>
          <w:sz w:val="20"/>
        </w:rPr>
        <w:t> </w:t>
      </w:r>
      <w:r>
        <w:rPr>
          <w:rFonts w:ascii="Segoe UI" w:hAnsi="Segoe UI"/>
          <w:i/>
          <w:color w:val="231F20"/>
          <w:sz w:val="20"/>
        </w:rPr>
        <w:t>Theorising</w:t>
      </w:r>
      <w:r>
        <w:rPr>
          <w:rFonts w:ascii="Segoe UI" w:hAnsi="Segoe UI"/>
          <w:i/>
          <w:color w:val="231F20"/>
          <w:spacing w:val="-5"/>
          <w:sz w:val="20"/>
        </w:rPr>
        <w:t> </w:t>
      </w:r>
      <w:r>
        <w:rPr>
          <w:rFonts w:ascii="Segoe UI" w:hAnsi="Segoe UI"/>
          <w:i/>
          <w:color w:val="231F20"/>
          <w:spacing w:val="-1"/>
          <w:sz w:val="20"/>
        </w:rPr>
        <w:t>the</w:t>
      </w:r>
      <w:r>
        <w:rPr>
          <w:rFonts w:ascii="Segoe UI" w:hAnsi="Segoe UI"/>
          <w:i/>
          <w:color w:val="231F20"/>
          <w:spacing w:val="-4"/>
          <w:sz w:val="20"/>
        </w:rPr>
        <w:t> </w:t>
      </w:r>
      <w:r>
        <w:rPr>
          <w:rFonts w:ascii="Segoe UI" w:hAnsi="Segoe UI"/>
          <w:i/>
          <w:color w:val="231F20"/>
          <w:sz w:val="20"/>
        </w:rPr>
        <w:t>mechanisms</w:t>
      </w:r>
      <w:r>
        <w:rPr>
          <w:rFonts w:ascii="Segoe UI" w:hAnsi="Segoe UI"/>
          <w:i/>
          <w:color w:val="231F20"/>
          <w:spacing w:val="-6"/>
          <w:sz w:val="20"/>
        </w:rPr>
        <w:t> </w:t>
      </w:r>
      <w:r>
        <w:rPr>
          <w:rFonts w:ascii="Segoe UI" w:hAnsi="Segoe UI"/>
          <w:i/>
          <w:color w:val="231F20"/>
          <w:sz w:val="20"/>
        </w:rPr>
        <w:t>and</w:t>
      </w:r>
      <w:r>
        <w:rPr>
          <w:rFonts w:ascii="Segoe UI" w:hAnsi="Segoe UI"/>
          <w:i/>
          <w:color w:val="231F20"/>
          <w:spacing w:val="-4"/>
          <w:sz w:val="20"/>
        </w:rPr>
        <w:t> </w:t>
      </w:r>
      <w:r>
        <w:rPr>
          <w:rFonts w:ascii="Segoe UI" w:hAnsi="Segoe UI"/>
          <w:i/>
          <w:color w:val="231F20"/>
          <w:spacing w:val="-1"/>
          <w:sz w:val="20"/>
        </w:rPr>
        <w:t>outcomes</w:t>
      </w:r>
      <w:r>
        <w:rPr>
          <w:rFonts w:ascii="Segoe UI" w:hAnsi="Segoe UI"/>
          <w:i/>
          <w:color w:val="231F20"/>
          <w:spacing w:val="21"/>
          <w:w w:val="99"/>
          <w:sz w:val="20"/>
        </w:rPr>
        <w:t> </w:t>
      </w:r>
      <w:r>
        <w:rPr>
          <w:rFonts w:ascii="Segoe UI" w:hAnsi="Segoe UI"/>
          <w:i/>
          <w:color w:val="231F20"/>
          <w:sz w:val="20"/>
        </w:rPr>
        <w:t>pathways</w:t>
      </w:r>
      <w:r>
        <w:rPr>
          <w:rFonts w:ascii="Segoe UI" w:hAnsi="Segoe UI"/>
          <w:i/>
          <w:color w:val="231F20"/>
          <w:spacing w:val="-5"/>
          <w:sz w:val="20"/>
        </w:rPr>
        <w:t> </w:t>
      </w:r>
      <w:r>
        <w:rPr>
          <w:rFonts w:ascii="Segoe UI" w:hAnsi="Segoe UI"/>
          <w:i/>
          <w:color w:val="231F20"/>
          <w:spacing w:val="-1"/>
          <w:sz w:val="20"/>
        </w:rPr>
        <w:t>from</w:t>
      </w:r>
      <w:r>
        <w:rPr>
          <w:rFonts w:ascii="Segoe UI" w:hAnsi="Segoe UI"/>
          <w:i/>
          <w:color w:val="231F20"/>
          <w:spacing w:val="-4"/>
          <w:sz w:val="20"/>
        </w:rPr>
        <w:t> </w:t>
      </w:r>
      <w:r>
        <w:rPr>
          <w:rFonts w:ascii="Segoe UI" w:hAnsi="Segoe UI"/>
          <w:i/>
          <w:color w:val="231F20"/>
          <w:spacing w:val="-1"/>
          <w:sz w:val="20"/>
        </w:rPr>
        <w:t>boarding</w:t>
      </w:r>
      <w:r>
        <w:rPr>
          <w:rFonts w:ascii="Segoe UI" w:hAnsi="Segoe UI"/>
          <w:i/>
          <w:color w:val="231F20"/>
          <w:spacing w:val="-3"/>
          <w:sz w:val="20"/>
        </w:rPr>
        <w:t> </w:t>
      </w:r>
      <w:r>
        <w:rPr>
          <w:rFonts w:ascii="Segoe UI" w:hAnsi="Segoe UI"/>
          <w:i/>
          <w:color w:val="231F20"/>
          <w:spacing w:val="-1"/>
          <w:sz w:val="20"/>
        </w:rPr>
        <w:t>school</w:t>
      </w:r>
      <w:r>
        <w:rPr>
          <w:rFonts w:ascii="Segoe UI" w:hAnsi="Segoe UI"/>
          <w:i/>
          <w:color w:val="231F20"/>
          <w:spacing w:val="-4"/>
          <w:sz w:val="20"/>
        </w:rPr>
        <w:t> </w:t>
      </w:r>
      <w:r>
        <w:rPr>
          <w:rFonts w:ascii="Segoe UI" w:hAnsi="Segoe UI"/>
          <w:i/>
          <w:color w:val="231F20"/>
          <w:sz w:val="20"/>
        </w:rPr>
        <w:t>participation</w:t>
      </w:r>
      <w:r>
        <w:rPr>
          <w:rFonts w:ascii="Segoe UI" w:hAnsi="Segoe UI"/>
          <w:i/>
          <w:color w:val="231F20"/>
          <w:spacing w:val="26"/>
          <w:sz w:val="20"/>
        </w:rPr>
        <w:t> </w:t>
      </w:r>
      <w:r>
        <w:rPr>
          <w:rFonts w:ascii="Segoe UI" w:hAnsi="Segoe UI"/>
          <w:i/>
          <w:color w:val="231F20"/>
          <w:sz w:val="20"/>
        </w:rPr>
        <w:t>for</w:t>
      </w:r>
      <w:r>
        <w:rPr>
          <w:rFonts w:ascii="Segoe UI" w:hAnsi="Segoe UI"/>
          <w:i/>
          <w:color w:val="231F20"/>
          <w:spacing w:val="-4"/>
          <w:sz w:val="20"/>
        </w:rPr>
        <w:t> </w:t>
      </w:r>
      <w:r>
        <w:rPr>
          <w:rFonts w:ascii="Segoe UI" w:hAnsi="Segoe UI"/>
          <w:i/>
          <w:color w:val="231F20"/>
          <w:sz w:val="20"/>
        </w:rPr>
        <w:t>remote</w:t>
      </w:r>
      <w:r>
        <w:rPr>
          <w:rFonts w:ascii="Segoe UI" w:hAnsi="Segoe UI"/>
          <w:i/>
          <w:color w:val="231F20"/>
          <w:spacing w:val="-3"/>
          <w:sz w:val="20"/>
        </w:rPr>
        <w:t> </w:t>
      </w:r>
      <w:r>
        <w:rPr>
          <w:rFonts w:ascii="Segoe UI" w:hAnsi="Segoe UI"/>
          <w:i/>
          <w:color w:val="231F20"/>
          <w:sz w:val="20"/>
        </w:rPr>
        <w:t>Aboriginal</w:t>
      </w:r>
      <w:r>
        <w:rPr>
          <w:rFonts w:ascii="Segoe UI" w:hAnsi="Segoe UI"/>
          <w:i/>
          <w:color w:val="231F20"/>
          <w:spacing w:val="-4"/>
          <w:sz w:val="20"/>
        </w:rPr>
        <w:t> </w:t>
      </w:r>
      <w:r>
        <w:rPr>
          <w:rFonts w:ascii="Segoe UI" w:hAnsi="Segoe UI"/>
          <w:i/>
          <w:color w:val="231F20"/>
          <w:sz w:val="20"/>
        </w:rPr>
        <w:t>and</w:t>
      </w:r>
      <w:r>
        <w:rPr>
          <w:rFonts w:ascii="Segoe UI" w:hAnsi="Segoe UI"/>
          <w:i/>
          <w:color w:val="231F20"/>
          <w:spacing w:val="-3"/>
          <w:sz w:val="20"/>
        </w:rPr>
        <w:t> </w:t>
      </w:r>
      <w:r>
        <w:rPr>
          <w:rFonts w:ascii="Segoe UI" w:hAnsi="Segoe UI"/>
          <w:i/>
          <w:color w:val="231F20"/>
          <w:spacing w:val="-5"/>
          <w:sz w:val="20"/>
        </w:rPr>
        <w:t>T</w:t>
      </w:r>
      <w:r>
        <w:rPr>
          <w:rFonts w:ascii="Segoe UI" w:hAnsi="Segoe UI"/>
          <w:i/>
          <w:color w:val="231F20"/>
          <w:spacing w:val="-4"/>
          <w:sz w:val="20"/>
        </w:rPr>
        <w:t>orr</w:t>
      </w:r>
      <w:r>
        <w:rPr>
          <w:rFonts w:ascii="Segoe UI" w:hAnsi="Segoe UI"/>
          <w:i/>
          <w:color w:val="231F20"/>
          <w:spacing w:val="-5"/>
          <w:sz w:val="20"/>
        </w:rPr>
        <w:t>es</w:t>
      </w:r>
      <w:r>
        <w:rPr>
          <w:rFonts w:ascii="Segoe UI" w:hAnsi="Segoe UI"/>
          <w:i/>
          <w:color w:val="231F20"/>
          <w:spacing w:val="-3"/>
          <w:sz w:val="20"/>
        </w:rPr>
        <w:t> </w:t>
      </w:r>
      <w:r>
        <w:rPr>
          <w:rFonts w:ascii="Segoe UI" w:hAnsi="Segoe UI"/>
          <w:i/>
          <w:color w:val="231F20"/>
          <w:spacing w:val="-1"/>
          <w:sz w:val="20"/>
        </w:rPr>
        <w:t>Strait</w:t>
      </w:r>
      <w:r>
        <w:rPr>
          <w:rFonts w:ascii="Segoe UI" w:hAnsi="Segoe UI"/>
          <w:i/>
          <w:color w:val="231F20"/>
          <w:spacing w:val="27"/>
          <w:sz w:val="20"/>
        </w:rPr>
        <w:t> </w:t>
      </w:r>
      <w:r>
        <w:rPr>
          <w:rFonts w:ascii="Segoe UI" w:hAnsi="Segoe UI"/>
          <w:i/>
          <w:color w:val="231F20"/>
          <w:spacing w:val="-1"/>
          <w:sz w:val="20"/>
        </w:rPr>
        <w:t>Islander</w:t>
      </w:r>
      <w:r>
        <w:rPr>
          <w:rFonts w:ascii="Segoe UI" w:hAnsi="Segoe UI"/>
          <w:i/>
          <w:color w:val="231F20"/>
          <w:spacing w:val="-7"/>
          <w:sz w:val="20"/>
        </w:rPr>
        <w:t> </w:t>
      </w:r>
      <w:r>
        <w:rPr>
          <w:rFonts w:ascii="Segoe UI" w:hAnsi="Segoe UI"/>
          <w:i/>
          <w:color w:val="231F20"/>
          <w:sz w:val="20"/>
        </w:rPr>
        <w:t>students,</w:t>
      </w:r>
      <w:r>
        <w:rPr>
          <w:rFonts w:ascii="Segoe UI" w:hAnsi="Segoe UI"/>
          <w:i/>
          <w:color w:val="231F20"/>
          <w:spacing w:val="-7"/>
          <w:sz w:val="20"/>
        </w:rPr>
        <w:t> </w:t>
      </w:r>
      <w:r>
        <w:rPr>
          <w:rFonts w:ascii="Segoe UI" w:hAnsi="Segoe UI"/>
          <w:color w:val="231F20"/>
          <w:sz w:val="20"/>
        </w:rPr>
        <w:t>Guenther,</w:t>
      </w:r>
      <w:r>
        <w:rPr>
          <w:rFonts w:ascii="Segoe UI" w:hAnsi="Segoe UI"/>
          <w:color w:val="231F20"/>
          <w:spacing w:val="-7"/>
          <w:sz w:val="20"/>
        </w:rPr>
        <w:t> </w:t>
      </w:r>
      <w:r>
        <w:rPr>
          <w:rFonts w:ascii="Segoe UI" w:hAnsi="Segoe UI"/>
          <w:color w:val="231F20"/>
          <w:sz w:val="20"/>
        </w:rPr>
        <w:t>John;</w:t>
      </w:r>
      <w:r>
        <w:rPr>
          <w:rFonts w:ascii="Segoe UI" w:hAnsi="Segoe UI"/>
          <w:color w:val="231F20"/>
          <w:spacing w:val="-6"/>
          <w:sz w:val="20"/>
        </w:rPr>
        <w:t> </w:t>
      </w:r>
      <w:r>
        <w:rPr>
          <w:rFonts w:ascii="Segoe UI" w:hAnsi="Segoe UI"/>
          <w:color w:val="231F20"/>
          <w:spacing w:val="-1"/>
          <w:sz w:val="20"/>
        </w:rPr>
        <w:t>Redman-</w:t>
      </w:r>
      <w:r>
        <w:rPr>
          <w:rFonts w:ascii="Segoe UI" w:hAnsi="Segoe UI"/>
          <w:color w:val="231F20"/>
          <w:spacing w:val="22"/>
          <w:w w:val="99"/>
          <w:sz w:val="20"/>
        </w:rPr>
        <w:t> </w:t>
      </w:r>
      <w:r>
        <w:rPr>
          <w:rFonts w:ascii="Segoe UI" w:hAnsi="Segoe UI"/>
          <w:color w:val="231F20"/>
          <w:sz w:val="20"/>
        </w:rPr>
        <w:t>MacLaren,</w:t>
      </w:r>
      <w:r>
        <w:rPr>
          <w:rFonts w:ascii="Segoe UI" w:hAnsi="Segoe UI"/>
          <w:color w:val="231F20"/>
          <w:spacing w:val="-7"/>
          <w:sz w:val="20"/>
        </w:rPr>
        <w:t> </w:t>
      </w:r>
      <w:r>
        <w:rPr>
          <w:rFonts w:ascii="Segoe UI" w:hAnsi="Segoe UI"/>
          <w:color w:val="231F20"/>
          <w:sz w:val="20"/>
        </w:rPr>
        <w:t>Michelle;</w:t>
      </w:r>
      <w:r>
        <w:rPr>
          <w:rFonts w:ascii="Segoe UI" w:hAnsi="Segoe UI"/>
          <w:color w:val="231F20"/>
          <w:spacing w:val="-8"/>
          <w:sz w:val="20"/>
        </w:rPr>
        <w:t> </w:t>
      </w:r>
      <w:r>
        <w:rPr>
          <w:rFonts w:ascii="Segoe UI" w:hAnsi="Segoe UI"/>
          <w:color w:val="231F20"/>
          <w:sz w:val="20"/>
        </w:rPr>
        <w:t>Mander,</w:t>
      </w:r>
      <w:r>
        <w:rPr>
          <w:rFonts w:ascii="Segoe UI" w:hAnsi="Segoe UI"/>
          <w:color w:val="231F20"/>
          <w:spacing w:val="-7"/>
          <w:sz w:val="20"/>
        </w:rPr>
        <w:t> </w:t>
      </w:r>
      <w:r>
        <w:rPr>
          <w:rFonts w:ascii="Segoe UI" w:hAnsi="Segoe UI"/>
          <w:color w:val="231F20"/>
          <w:spacing w:val="-1"/>
          <w:sz w:val="20"/>
        </w:rPr>
        <w:t>David;</w:t>
      </w:r>
      <w:r>
        <w:rPr>
          <w:rFonts w:ascii="Segoe UI" w:hAnsi="Segoe UI"/>
          <w:color w:val="231F20"/>
          <w:spacing w:val="-7"/>
          <w:sz w:val="20"/>
        </w:rPr>
        <w:t> </w:t>
      </w:r>
      <w:r>
        <w:rPr>
          <w:rFonts w:ascii="Segoe UI" w:hAnsi="Segoe UI"/>
          <w:color w:val="231F20"/>
          <w:spacing w:val="-1"/>
          <w:sz w:val="20"/>
        </w:rPr>
        <w:t>Stewart,</w:t>
      </w:r>
      <w:r>
        <w:rPr>
          <w:rFonts w:ascii="Segoe UI" w:hAnsi="Segoe UI"/>
          <w:color w:val="231F20"/>
          <w:spacing w:val="22"/>
          <w:w w:val="99"/>
          <w:sz w:val="20"/>
        </w:rPr>
        <w:t> </w:t>
      </w:r>
      <w:r>
        <w:rPr>
          <w:rFonts w:ascii="Segoe UI" w:hAnsi="Segoe UI"/>
          <w:color w:val="231F20"/>
          <w:spacing w:val="-1"/>
          <w:sz w:val="20"/>
        </w:rPr>
        <w:t>Richard;</w:t>
      </w:r>
      <w:r>
        <w:rPr>
          <w:rFonts w:ascii="Segoe UI" w:hAnsi="Segoe UI"/>
          <w:color w:val="231F20"/>
          <w:spacing w:val="-11"/>
          <w:sz w:val="20"/>
        </w:rPr>
        <w:t> </w:t>
      </w:r>
      <w:r>
        <w:rPr>
          <w:rFonts w:ascii="Segoe UI" w:hAnsi="Segoe UI"/>
          <w:color w:val="231F20"/>
          <w:spacing w:val="-1"/>
          <w:sz w:val="20"/>
        </w:rPr>
        <w:t>Bobongie,</w:t>
      </w:r>
      <w:r>
        <w:rPr>
          <w:rFonts w:ascii="Segoe UI" w:hAnsi="Segoe UI"/>
          <w:color w:val="231F20"/>
          <w:spacing w:val="-11"/>
          <w:sz w:val="20"/>
        </w:rPr>
        <w:t> </w:t>
      </w:r>
      <w:r>
        <w:rPr>
          <w:rFonts w:ascii="Segoe UI" w:hAnsi="Segoe UI"/>
          <w:color w:val="231F20"/>
          <w:spacing w:val="-1"/>
          <w:sz w:val="20"/>
        </w:rPr>
        <w:t>Francis;</w:t>
      </w:r>
      <w:r>
        <w:rPr>
          <w:rFonts w:ascii="Segoe UI" w:hAnsi="Segoe UI"/>
          <w:color w:val="231F20"/>
          <w:spacing w:val="-11"/>
          <w:sz w:val="20"/>
        </w:rPr>
        <w:t> </w:t>
      </w:r>
      <w:r>
        <w:rPr>
          <w:rFonts w:ascii="Segoe UI" w:hAnsi="Segoe UI"/>
          <w:color w:val="231F20"/>
          <w:sz w:val="20"/>
        </w:rPr>
        <w:t>McCalman,</w:t>
      </w:r>
      <w:r>
        <w:rPr>
          <w:rFonts w:ascii="Segoe UI" w:hAnsi="Segoe UI"/>
          <w:color w:val="231F20"/>
          <w:spacing w:val="24"/>
          <w:w w:val="99"/>
          <w:sz w:val="20"/>
        </w:rPr>
        <w:t> </w:t>
      </w:r>
      <w:r>
        <w:rPr>
          <w:rFonts w:ascii="Segoe UI" w:hAnsi="Segoe UI"/>
          <w:color w:val="231F20"/>
          <w:sz w:val="20"/>
        </w:rPr>
        <w:t>Janya;</w:t>
      </w:r>
      <w:r>
        <w:rPr>
          <w:rFonts w:ascii="Segoe UI" w:hAnsi="Segoe UI"/>
          <w:color w:val="231F20"/>
          <w:spacing w:val="-6"/>
          <w:sz w:val="20"/>
        </w:rPr>
        <w:t> </w:t>
      </w:r>
      <w:r>
        <w:rPr>
          <w:rFonts w:ascii="Segoe UI" w:hAnsi="Segoe UI"/>
          <w:color w:val="231F20"/>
          <w:spacing w:val="-1"/>
          <w:sz w:val="20"/>
        </w:rPr>
        <w:t>Barrett,</w:t>
      </w:r>
      <w:r>
        <w:rPr>
          <w:rFonts w:ascii="Segoe UI" w:hAnsi="Segoe UI"/>
          <w:color w:val="231F20"/>
          <w:spacing w:val="-6"/>
          <w:sz w:val="20"/>
        </w:rPr>
        <w:t> </w:t>
      </w:r>
      <w:r>
        <w:rPr>
          <w:rFonts w:ascii="Segoe UI" w:hAnsi="Segoe UI"/>
          <w:color w:val="231F20"/>
          <w:spacing w:val="-2"/>
          <w:sz w:val="20"/>
        </w:rPr>
        <w:t>Peter;</w:t>
      </w:r>
      <w:r>
        <w:rPr>
          <w:rFonts w:ascii="Segoe UI" w:hAnsi="Segoe UI"/>
          <w:color w:val="231F20"/>
          <w:spacing w:val="-6"/>
          <w:sz w:val="20"/>
        </w:rPr>
        <w:t> </w:t>
      </w:r>
      <w:r>
        <w:rPr>
          <w:rFonts w:ascii="Segoe UI" w:hAnsi="Segoe UI"/>
          <w:color w:val="231F20"/>
          <w:spacing w:val="-1"/>
          <w:sz w:val="20"/>
        </w:rPr>
        <w:t>Fogarty,</w:t>
      </w:r>
      <w:r>
        <w:rPr>
          <w:rFonts w:ascii="Segoe UI" w:hAnsi="Segoe UI"/>
          <w:color w:val="231F20"/>
          <w:spacing w:val="-6"/>
          <w:sz w:val="20"/>
        </w:rPr>
        <w:t> </w:t>
      </w:r>
      <w:r>
        <w:rPr>
          <w:rFonts w:ascii="Segoe UI" w:hAnsi="Segoe UI"/>
          <w:color w:val="231F20"/>
          <w:spacing w:val="-1"/>
          <w:sz w:val="20"/>
        </w:rPr>
        <w:t>Bill;</w:t>
      </w:r>
      <w:r>
        <w:rPr>
          <w:rFonts w:ascii="Segoe UI" w:hAnsi="Segoe UI"/>
          <w:color w:val="231F20"/>
          <w:spacing w:val="-6"/>
          <w:sz w:val="20"/>
        </w:rPr>
        <w:t> </w:t>
      </w:r>
      <w:r>
        <w:rPr>
          <w:rFonts w:ascii="Segoe UI" w:hAnsi="Segoe UI"/>
          <w:color w:val="231F20"/>
          <w:sz w:val="20"/>
        </w:rPr>
        <w:t>Milgate,</w:t>
      </w:r>
      <w:r>
        <w:rPr>
          <w:rFonts w:ascii="Segoe UI" w:hAnsi="Segoe UI"/>
          <w:color w:val="231F20"/>
          <w:spacing w:val="28"/>
          <w:w w:val="99"/>
          <w:sz w:val="20"/>
        </w:rPr>
        <w:t> </w:t>
      </w:r>
      <w:r>
        <w:rPr>
          <w:rFonts w:ascii="Segoe UI" w:hAnsi="Segoe UI"/>
          <w:color w:val="231F20"/>
          <w:sz w:val="20"/>
        </w:rPr>
        <w:t>Gina;</w:t>
      </w:r>
      <w:r>
        <w:rPr>
          <w:rFonts w:ascii="Segoe UI" w:hAnsi="Segoe UI"/>
          <w:color w:val="231F20"/>
          <w:spacing w:val="-8"/>
          <w:sz w:val="20"/>
        </w:rPr>
        <w:t> </w:t>
      </w:r>
      <w:r>
        <w:rPr>
          <w:rFonts w:ascii="Segoe UI" w:hAnsi="Segoe UI"/>
          <w:color w:val="231F20"/>
          <w:sz w:val="20"/>
        </w:rPr>
        <w:t>Lloyd,</w:t>
      </w:r>
      <w:r>
        <w:rPr>
          <w:rFonts w:ascii="Segoe UI" w:hAnsi="Segoe UI"/>
          <w:color w:val="231F20"/>
          <w:spacing w:val="-9"/>
          <w:sz w:val="20"/>
        </w:rPr>
        <w:t> </w:t>
      </w:r>
      <w:r>
        <w:rPr>
          <w:rFonts w:ascii="Segoe UI" w:hAnsi="Segoe UI"/>
          <w:color w:val="231F20"/>
          <w:sz w:val="20"/>
        </w:rPr>
        <w:t>Andrew;</w:t>
      </w:r>
      <w:r>
        <w:rPr>
          <w:rFonts w:ascii="Segoe UI" w:hAnsi="Segoe UI"/>
          <w:color w:val="231F20"/>
          <w:spacing w:val="-8"/>
          <w:sz w:val="20"/>
        </w:rPr>
        <w:t> </w:t>
      </w:r>
      <w:r>
        <w:rPr>
          <w:rFonts w:ascii="Segoe UI" w:hAnsi="Segoe UI"/>
          <w:color w:val="231F20"/>
          <w:sz w:val="20"/>
        </w:rPr>
        <w:t>O'Bryan,</w:t>
      </w:r>
      <w:r>
        <w:rPr>
          <w:rFonts w:ascii="Segoe UI" w:hAnsi="Segoe UI"/>
          <w:color w:val="231F20"/>
          <w:spacing w:val="-8"/>
          <w:sz w:val="20"/>
        </w:rPr>
        <w:t> </w:t>
      </w:r>
      <w:r>
        <w:rPr>
          <w:rFonts w:ascii="Segoe UI" w:hAnsi="Segoe UI"/>
          <w:color w:val="231F20"/>
          <w:sz w:val="20"/>
        </w:rPr>
        <w:t>Marnie;</w:t>
      </w:r>
      <w:r>
        <w:rPr>
          <w:rFonts w:ascii="Segoe UI" w:hAnsi="Segoe UI"/>
          <w:color w:val="231F20"/>
          <w:w w:val="99"/>
          <w:sz w:val="20"/>
        </w:rPr>
        <w:t> </w:t>
      </w:r>
      <w:r>
        <w:rPr>
          <w:rFonts w:ascii="Segoe UI" w:hAnsi="Segoe UI"/>
          <w:color w:val="231F20"/>
          <w:sz w:val="20"/>
        </w:rPr>
        <w:t>Osborne,</w:t>
      </w:r>
      <w:r>
        <w:rPr>
          <w:rFonts w:ascii="Segoe UI" w:hAnsi="Segoe UI"/>
          <w:color w:val="231F20"/>
          <w:spacing w:val="-4"/>
          <w:sz w:val="20"/>
        </w:rPr>
        <w:t> </w:t>
      </w:r>
      <w:r>
        <w:rPr>
          <w:rFonts w:ascii="Segoe UI" w:hAnsi="Segoe UI"/>
          <w:color w:val="231F20"/>
          <w:spacing w:val="-1"/>
          <w:sz w:val="20"/>
        </w:rPr>
        <w:t>Sam</w:t>
      </w:r>
      <w:r>
        <w:rPr>
          <w:rFonts w:ascii="Segoe UI" w:hAnsi="Segoe UI"/>
          <w:color w:val="231F20"/>
          <w:spacing w:val="-2"/>
          <w:sz w:val="20"/>
        </w:rPr>
        <w:t> </w:t>
      </w:r>
      <w:r>
        <w:rPr>
          <w:rFonts w:ascii="Segoe UI" w:hAnsi="Segoe UI"/>
          <w:color w:val="231F20"/>
          <w:sz w:val="20"/>
        </w:rPr>
        <w:t>and</w:t>
      </w:r>
      <w:r>
        <w:rPr>
          <w:rFonts w:ascii="Segoe UI" w:hAnsi="Segoe UI"/>
          <w:color w:val="231F20"/>
          <w:spacing w:val="-3"/>
          <w:sz w:val="20"/>
        </w:rPr>
        <w:t> </w:t>
      </w:r>
      <w:r>
        <w:rPr>
          <w:rFonts w:ascii="Segoe UI" w:hAnsi="Segoe UI"/>
          <w:color w:val="231F20"/>
          <w:spacing w:val="-1"/>
          <w:sz w:val="20"/>
        </w:rPr>
        <w:t>Benveniste,</w:t>
      </w:r>
      <w:r>
        <w:rPr>
          <w:rFonts w:ascii="Segoe UI" w:hAnsi="Segoe UI"/>
          <w:color w:val="231F20"/>
          <w:spacing w:val="-3"/>
          <w:sz w:val="20"/>
        </w:rPr>
        <w:t> </w:t>
      </w:r>
      <w:r>
        <w:rPr>
          <w:rFonts w:ascii="Segoe UI" w:hAnsi="Segoe UI"/>
          <w:color w:val="231F20"/>
          <w:spacing w:val="-5"/>
          <w:sz w:val="20"/>
        </w:rPr>
        <w:t>T</w:t>
      </w:r>
      <w:r>
        <w:rPr>
          <w:rFonts w:ascii="Segoe UI" w:hAnsi="Segoe UI"/>
          <w:color w:val="231F20"/>
          <w:spacing w:val="-4"/>
          <w:sz w:val="20"/>
        </w:rPr>
        <w:t>essa,</w:t>
      </w:r>
      <w:r>
        <w:rPr>
          <w:rFonts w:ascii="Segoe UI" w:hAnsi="Segoe UI"/>
          <w:color w:val="231F20"/>
          <w:spacing w:val="-3"/>
          <w:sz w:val="20"/>
        </w:rPr>
        <w:t> </w:t>
      </w:r>
      <w:r>
        <w:rPr>
          <w:rFonts w:ascii="Segoe UI" w:hAnsi="Segoe UI"/>
          <w:color w:val="231F20"/>
          <w:sz w:val="20"/>
        </w:rPr>
        <w:t>2017</w:t>
      </w:r>
      <w:r>
        <w:rPr>
          <w:rFonts w:ascii="Segoe UI" w:hAnsi="Segoe UI"/>
          <w:color w:val="231F20"/>
          <w:spacing w:val="27"/>
          <w:sz w:val="20"/>
        </w:rPr>
        <w:t> </w:t>
      </w:r>
      <w:r>
        <w:rPr>
          <w:rFonts w:ascii="Segoe UI" w:hAnsi="Segoe UI"/>
          <w:color w:val="231F20"/>
          <w:sz w:val="20"/>
        </w:rPr>
        <w:t>(Guenther,</w:t>
      </w:r>
      <w:r>
        <w:rPr>
          <w:rFonts w:ascii="Segoe UI" w:hAnsi="Segoe UI"/>
          <w:color w:val="231F20"/>
          <w:spacing w:val="-16"/>
          <w:sz w:val="20"/>
        </w:rPr>
        <w:t> </w:t>
      </w:r>
      <w:r>
        <w:rPr>
          <w:rFonts w:ascii="Segoe UI" w:hAnsi="Segoe UI"/>
          <w:color w:val="231F20"/>
          <w:sz w:val="20"/>
        </w:rPr>
        <w:t>2017).</w:t>
      </w:r>
      <w:r>
        <w:rPr>
          <w:rFonts w:ascii="Segoe UI" w:hAnsi="Segoe UI"/>
          <w:sz w:val="20"/>
        </w:rPr>
      </w:r>
    </w:p>
    <w:p>
      <w:pPr>
        <w:pStyle w:val="BodyText"/>
        <w:spacing w:line="250" w:lineRule="exact" w:before="62"/>
        <w:ind w:right="165"/>
        <w:jc w:val="left"/>
        <w:rPr>
          <w:rFonts w:ascii="Segoe UI" w:hAnsi="Segoe UI" w:cs="Segoe UI" w:eastAsia="Segoe UI"/>
        </w:rPr>
      </w:pPr>
      <w:r>
        <w:rPr/>
        <w:br w:type="column"/>
      </w:r>
      <w:r>
        <w:rPr>
          <w:rFonts w:ascii="Segoe UI"/>
          <w:color w:val="231F20"/>
        </w:rPr>
        <w:t>The</w:t>
      </w:r>
      <w:r>
        <w:rPr>
          <w:rFonts w:ascii="Segoe UI"/>
          <w:color w:val="231F20"/>
          <w:spacing w:val="-6"/>
        </w:rPr>
        <w:t> </w:t>
      </w:r>
      <w:r>
        <w:rPr>
          <w:rFonts w:ascii="Segoe UI"/>
          <w:color w:val="231F20"/>
        </w:rPr>
        <w:t>previous</w:t>
      </w:r>
      <w:r>
        <w:rPr>
          <w:rFonts w:ascii="Segoe UI"/>
          <w:color w:val="231F20"/>
          <w:spacing w:val="-7"/>
        </w:rPr>
        <w:t> </w:t>
      </w:r>
      <w:r>
        <w:rPr>
          <w:rFonts w:ascii="Segoe UI"/>
          <w:color w:val="231F20"/>
        </w:rPr>
        <w:t>reviews</w:t>
      </w:r>
      <w:r>
        <w:rPr>
          <w:rFonts w:ascii="Segoe UI"/>
          <w:color w:val="231F20"/>
          <w:spacing w:val="-7"/>
        </w:rPr>
        <w:t> </w:t>
      </w:r>
      <w:r>
        <w:rPr>
          <w:rFonts w:ascii="Segoe UI"/>
          <w:color w:val="231F20"/>
        </w:rPr>
        <w:t>and</w:t>
      </w:r>
      <w:r>
        <w:rPr>
          <w:rFonts w:ascii="Segoe UI"/>
          <w:color w:val="231F20"/>
          <w:spacing w:val="-7"/>
        </w:rPr>
        <w:t> </w:t>
      </w:r>
      <w:r>
        <w:rPr>
          <w:rFonts w:ascii="Segoe UI"/>
          <w:color w:val="231F20"/>
        </w:rPr>
        <w:t>reports</w:t>
      </w:r>
      <w:r>
        <w:rPr>
          <w:rFonts w:ascii="Segoe UI"/>
          <w:color w:val="231F20"/>
          <w:spacing w:val="-7"/>
        </w:rPr>
        <w:t> </w:t>
      </w:r>
      <w:r>
        <w:rPr>
          <w:rFonts w:ascii="Segoe UI"/>
          <w:color w:val="231F20"/>
        </w:rPr>
        <w:t>found</w:t>
      </w:r>
      <w:r>
        <w:rPr>
          <w:rFonts w:ascii="Segoe UI"/>
          <w:color w:val="231F20"/>
          <w:spacing w:val="-6"/>
        </w:rPr>
        <w:t> </w:t>
      </w:r>
      <w:r>
        <w:rPr>
          <w:rFonts w:ascii="Segoe UI"/>
          <w:color w:val="231F20"/>
        </w:rPr>
        <w:t>that</w:t>
      </w:r>
      <w:r>
        <w:rPr>
          <w:rFonts w:ascii="Segoe UI"/>
          <w:color w:val="231F20"/>
          <w:w w:val="99"/>
        </w:rPr>
        <w:t> </w:t>
      </w:r>
      <w:r>
        <w:rPr>
          <w:rFonts w:ascii="Segoe UI"/>
          <w:color w:val="231F20"/>
        </w:rPr>
        <w:t>Aboriginal</w:t>
      </w:r>
      <w:r>
        <w:rPr>
          <w:rFonts w:ascii="Segoe UI"/>
          <w:color w:val="231F20"/>
          <w:spacing w:val="-7"/>
        </w:rPr>
        <w:t> </w:t>
      </w:r>
      <w:r>
        <w:rPr>
          <w:rFonts w:ascii="Segoe UI"/>
          <w:color w:val="231F20"/>
        </w:rPr>
        <w:t>and</w:t>
      </w:r>
      <w:r>
        <w:rPr>
          <w:rFonts w:ascii="Segoe UI"/>
          <w:color w:val="231F20"/>
          <w:spacing w:val="-7"/>
        </w:rPr>
        <w:t> </w:t>
      </w:r>
      <w:r>
        <w:rPr>
          <w:rFonts w:ascii="Segoe UI"/>
          <w:color w:val="231F20"/>
          <w:spacing w:val="-5"/>
        </w:rPr>
        <w:t>Torres</w:t>
      </w:r>
      <w:r>
        <w:rPr>
          <w:rFonts w:ascii="Segoe UI"/>
          <w:color w:val="231F20"/>
          <w:spacing w:val="-6"/>
        </w:rPr>
        <w:t> </w:t>
      </w:r>
      <w:r>
        <w:rPr>
          <w:rFonts w:ascii="Segoe UI"/>
          <w:color w:val="231F20"/>
          <w:spacing w:val="-2"/>
        </w:rPr>
        <w:t>Strait</w:t>
      </w:r>
      <w:r>
        <w:rPr>
          <w:rFonts w:ascii="Segoe UI"/>
          <w:color w:val="231F20"/>
          <w:spacing w:val="-7"/>
        </w:rPr>
        <w:t> </w:t>
      </w:r>
      <w:r>
        <w:rPr>
          <w:rFonts w:ascii="Segoe UI"/>
          <w:color w:val="231F20"/>
          <w:spacing w:val="-1"/>
        </w:rPr>
        <w:t>Islander</w:t>
      </w:r>
      <w:r>
        <w:rPr>
          <w:rFonts w:ascii="Segoe UI"/>
          <w:color w:val="231F20"/>
          <w:spacing w:val="-6"/>
        </w:rPr>
        <w:t> </w:t>
      </w:r>
      <w:r>
        <w:rPr>
          <w:rFonts w:ascii="Segoe UI"/>
          <w:color w:val="231F20"/>
        </w:rPr>
        <w:t>boarding</w:t>
      </w:r>
      <w:r>
        <w:rPr>
          <w:rFonts w:ascii="Segoe UI"/>
          <w:color w:val="231F20"/>
          <w:spacing w:val="21"/>
          <w:w w:val="99"/>
        </w:rPr>
        <w:t> </w:t>
      </w:r>
      <w:r>
        <w:rPr>
          <w:rFonts w:ascii="Segoe UI"/>
          <w:color w:val="231F20"/>
          <w:spacing w:val="-1"/>
        </w:rPr>
        <w:t>students,</w:t>
      </w:r>
      <w:r>
        <w:rPr>
          <w:rFonts w:ascii="Segoe UI"/>
          <w:color w:val="231F20"/>
          <w:spacing w:val="-7"/>
        </w:rPr>
        <w:t> </w:t>
      </w:r>
      <w:r>
        <w:rPr>
          <w:rFonts w:ascii="Segoe UI"/>
          <w:color w:val="231F20"/>
        </w:rPr>
        <w:t>particularly</w:t>
      </w:r>
      <w:r>
        <w:rPr>
          <w:rFonts w:ascii="Segoe UI"/>
          <w:color w:val="231F20"/>
          <w:spacing w:val="-8"/>
        </w:rPr>
        <w:t> </w:t>
      </w:r>
      <w:r>
        <w:rPr>
          <w:rFonts w:ascii="Segoe UI"/>
          <w:color w:val="231F20"/>
        </w:rPr>
        <w:t>those</w:t>
      </w:r>
      <w:r>
        <w:rPr>
          <w:rFonts w:ascii="Segoe UI"/>
          <w:color w:val="231F20"/>
          <w:spacing w:val="-8"/>
        </w:rPr>
        <w:t> </w:t>
      </w:r>
      <w:r>
        <w:rPr>
          <w:rFonts w:ascii="Segoe UI"/>
          <w:color w:val="231F20"/>
        </w:rPr>
        <w:t>from</w:t>
      </w:r>
      <w:r>
        <w:rPr>
          <w:rFonts w:ascii="Segoe UI"/>
          <w:color w:val="231F20"/>
          <w:spacing w:val="-8"/>
        </w:rPr>
        <w:t> </w:t>
      </w:r>
      <w:r>
        <w:rPr>
          <w:rFonts w:ascii="Segoe UI"/>
          <w:color w:val="231F20"/>
        </w:rPr>
        <w:t>remote</w:t>
      </w:r>
      <w:r>
        <w:rPr>
          <w:rFonts w:ascii="Segoe UI"/>
          <w:color w:val="231F20"/>
          <w:spacing w:val="-8"/>
        </w:rPr>
        <w:t> </w:t>
      </w:r>
      <w:r>
        <w:rPr>
          <w:rFonts w:ascii="Segoe UI"/>
          <w:color w:val="231F20"/>
        </w:rPr>
        <w:t>and</w:t>
      </w:r>
      <w:r>
        <w:rPr>
          <w:rFonts w:ascii="Segoe UI"/>
          <w:color w:val="231F20"/>
          <w:spacing w:val="22"/>
          <w:w w:val="99"/>
        </w:rPr>
        <w:t> </w:t>
      </w:r>
      <w:r>
        <w:rPr>
          <w:rFonts w:ascii="Segoe UI"/>
          <w:color w:val="231F20"/>
        </w:rPr>
        <w:t>very</w:t>
      </w:r>
      <w:r>
        <w:rPr>
          <w:rFonts w:ascii="Segoe UI"/>
          <w:color w:val="231F20"/>
          <w:spacing w:val="-7"/>
        </w:rPr>
        <w:t> </w:t>
      </w:r>
      <w:r>
        <w:rPr>
          <w:rFonts w:ascii="Segoe UI"/>
          <w:color w:val="231F20"/>
        </w:rPr>
        <w:t>remote</w:t>
      </w:r>
      <w:r>
        <w:rPr>
          <w:rFonts w:ascii="Segoe UI"/>
          <w:color w:val="231F20"/>
          <w:spacing w:val="-7"/>
        </w:rPr>
        <w:t> </w:t>
      </w:r>
      <w:r>
        <w:rPr>
          <w:rFonts w:ascii="Segoe UI"/>
          <w:color w:val="231F20"/>
        </w:rPr>
        <w:t>Australia</w:t>
      </w:r>
      <w:r>
        <w:rPr>
          <w:rFonts w:ascii="Segoe UI"/>
          <w:color w:val="231F20"/>
          <w:spacing w:val="-6"/>
        </w:rPr>
        <w:t> </w:t>
      </w:r>
      <w:r>
        <w:rPr>
          <w:rFonts w:ascii="Segoe UI"/>
          <w:color w:val="231F20"/>
        </w:rPr>
        <w:t>bring</w:t>
      </w:r>
      <w:r>
        <w:rPr>
          <w:rFonts w:ascii="Segoe UI"/>
          <w:color w:val="231F20"/>
          <w:spacing w:val="-7"/>
        </w:rPr>
        <w:t> </w:t>
      </w:r>
      <w:r>
        <w:rPr>
          <w:rFonts w:ascii="Segoe UI"/>
          <w:color w:val="231F20"/>
        </w:rPr>
        <w:t>additional</w:t>
      </w:r>
      <w:r>
        <w:rPr>
          <w:rFonts w:ascii="Segoe UI"/>
          <w:color w:val="231F20"/>
          <w:spacing w:val="-8"/>
        </w:rPr>
        <w:t> </w:t>
      </w:r>
      <w:r>
        <w:rPr>
          <w:rFonts w:ascii="Segoe UI"/>
          <w:color w:val="231F20"/>
        </w:rPr>
        <w:t>costs</w:t>
      </w:r>
      <w:r>
        <w:rPr>
          <w:rFonts w:ascii="Segoe UI"/>
          <w:color w:val="231F20"/>
        </w:rPr>
        <w:t> compared</w:t>
      </w:r>
      <w:r>
        <w:rPr>
          <w:rFonts w:ascii="Segoe UI"/>
          <w:color w:val="231F20"/>
          <w:spacing w:val="-8"/>
        </w:rPr>
        <w:t> </w:t>
      </w:r>
      <w:r>
        <w:rPr>
          <w:rFonts w:ascii="Segoe UI"/>
          <w:color w:val="231F20"/>
        </w:rPr>
        <w:t>with</w:t>
      </w:r>
      <w:r>
        <w:rPr>
          <w:rFonts w:ascii="Segoe UI"/>
          <w:color w:val="231F20"/>
          <w:spacing w:val="-7"/>
        </w:rPr>
        <w:t> </w:t>
      </w:r>
      <w:r>
        <w:rPr>
          <w:rFonts w:ascii="Segoe UI"/>
          <w:color w:val="231F20"/>
        </w:rPr>
        <w:t>other</w:t>
      </w:r>
      <w:r>
        <w:rPr>
          <w:rFonts w:ascii="Segoe UI"/>
          <w:color w:val="231F20"/>
          <w:spacing w:val="-6"/>
        </w:rPr>
        <w:t> </w:t>
      </w:r>
      <w:r>
        <w:rPr>
          <w:rFonts w:ascii="Segoe UI"/>
          <w:color w:val="231F20"/>
          <w:spacing w:val="-1"/>
        </w:rPr>
        <w:t>students,</w:t>
      </w:r>
      <w:r>
        <w:rPr>
          <w:rFonts w:ascii="Segoe UI"/>
          <w:color w:val="231F20"/>
          <w:spacing w:val="-5"/>
        </w:rPr>
        <w:t> </w:t>
      </w:r>
      <w:r>
        <w:rPr>
          <w:rFonts w:ascii="Segoe UI"/>
          <w:color w:val="231F20"/>
        </w:rPr>
        <w:t>and</w:t>
      </w:r>
      <w:r>
        <w:rPr>
          <w:rFonts w:ascii="Segoe UI"/>
          <w:color w:val="231F20"/>
          <w:spacing w:val="-7"/>
        </w:rPr>
        <w:t> </w:t>
      </w:r>
      <w:r>
        <w:rPr>
          <w:rFonts w:ascii="Segoe UI"/>
          <w:color w:val="231F20"/>
        </w:rPr>
        <w:t>that</w:t>
      </w:r>
      <w:r>
        <w:rPr>
          <w:rFonts w:ascii="Segoe UI"/>
          <w:color w:val="231F20"/>
          <w:spacing w:val="-7"/>
        </w:rPr>
        <w:t> </w:t>
      </w:r>
      <w:r>
        <w:rPr>
          <w:rFonts w:ascii="Segoe UI"/>
          <w:color w:val="231F20"/>
        </w:rPr>
        <w:t>there</w:t>
      </w:r>
      <w:r>
        <w:rPr>
          <w:rFonts w:ascii="Segoe UI"/>
          <w:color w:val="231F20"/>
          <w:spacing w:val="22"/>
          <w:w w:val="99"/>
        </w:rPr>
        <w:t> </w:t>
      </w:r>
      <w:r>
        <w:rPr>
          <w:rFonts w:ascii="Segoe UI"/>
          <w:color w:val="231F20"/>
          <w:spacing w:val="-1"/>
        </w:rPr>
        <w:t>is</w:t>
      </w:r>
      <w:r>
        <w:rPr>
          <w:rFonts w:ascii="Segoe UI"/>
          <w:color w:val="231F20"/>
          <w:spacing w:val="-7"/>
        </w:rPr>
        <w:t> </w:t>
      </w:r>
      <w:r>
        <w:rPr>
          <w:rFonts w:ascii="Segoe UI"/>
          <w:color w:val="231F20"/>
        </w:rPr>
        <w:t>a</w:t>
      </w:r>
      <w:r>
        <w:rPr>
          <w:rFonts w:ascii="Segoe UI"/>
          <w:color w:val="231F20"/>
          <w:spacing w:val="-6"/>
        </w:rPr>
        <w:t> </w:t>
      </w:r>
      <w:r>
        <w:rPr>
          <w:rFonts w:ascii="Segoe UI"/>
          <w:color w:val="231F20"/>
        </w:rPr>
        <w:t>disconnect</w:t>
      </w:r>
      <w:r>
        <w:rPr>
          <w:rFonts w:ascii="Segoe UI"/>
          <w:color w:val="231F20"/>
          <w:spacing w:val="-6"/>
        </w:rPr>
        <w:t> </w:t>
      </w:r>
      <w:r>
        <w:rPr>
          <w:rFonts w:ascii="Segoe UI"/>
          <w:color w:val="231F20"/>
        </w:rPr>
        <w:t>between</w:t>
      </w:r>
      <w:r>
        <w:rPr>
          <w:rFonts w:ascii="Segoe UI"/>
          <w:color w:val="231F20"/>
          <w:spacing w:val="-7"/>
        </w:rPr>
        <w:t> </w:t>
      </w:r>
      <w:r>
        <w:rPr>
          <w:rFonts w:ascii="Segoe UI"/>
          <w:color w:val="231F20"/>
        </w:rPr>
        <w:t>the</w:t>
      </w:r>
      <w:r>
        <w:rPr>
          <w:rFonts w:ascii="Segoe UI"/>
          <w:color w:val="231F20"/>
          <w:spacing w:val="-6"/>
        </w:rPr>
        <w:t> </w:t>
      </w:r>
      <w:r>
        <w:rPr>
          <w:rFonts w:ascii="Segoe UI"/>
          <w:color w:val="231F20"/>
        </w:rPr>
        <w:t>expenditure</w:t>
      </w:r>
      <w:r>
        <w:rPr>
          <w:rFonts w:ascii="Segoe UI"/>
          <w:color w:val="231F20"/>
          <w:spacing w:val="-7"/>
        </w:rPr>
        <w:t> </w:t>
      </w:r>
      <w:r>
        <w:rPr>
          <w:rFonts w:ascii="Segoe UI"/>
          <w:color w:val="231F20"/>
        </w:rPr>
        <w:t>to</w:t>
      </w:r>
      <w:r>
        <w:rPr>
          <w:rFonts w:ascii="Segoe UI"/>
          <w:color w:val="231F20"/>
          <w:spacing w:val="21"/>
          <w:w w:val="99"/>
        </w:rPr>
        <w:t> </w:t>
      </w:r>
      <w:r>
        <w:rPr>
          <w:rFonts w:ascii="Segoe UI"/>
          <w:color w:val="231F20"/>
          <w:spacing w:val="-1"/>
        </w:rPr>
        <w:t>support</w:t>
      </w:r>
      <w:r>
        <w:rPr>
          <w:rFonts w:ascii="Segoe UI"/>
          <w:color w:val="231F20"/>
          <w:spacing w:val="-6"/>
        </w:rPr>
        <w:t> </w:t>
      </w:r>
      <w:r>
        <w:rPr>
          <w:rFonts w:ascii="Segoe UI"/>
          <w:color w:val="231F20"/>
        </w:rPr>
        <w:t>Aboriginal</w:t>
      </w:r>
      <w:r>
        <w:rPr>
          <w:rFonts w:ascii="Segoe UI"/>
          <w:color w:val="231F20"/>
          <w:spacing w:val="-6"/>
        </w:rPr>
        <w:t> </w:t>
      </w:r>
      <w:r>
        <w:rPr>
          <w:rFonts w:ascii="Segoe UI"/>
          <w:color w:val="231F20"/>
        </w:rPr>
        <w:t>and</w:t>
      </w:r>
      <w:r>
        <w:rPr>
          <w:rFonts w:ascii="Segoe UI"/>
          <w:color w:val="231F20"/>
          <w:spacing w:val="-7"/>
        </w:rPr>
        <w:t> </w:t>
      </w:r>
      <w:r>
        <w:rPr>
          <w:rFonts w:ascii="Segoe UI"/>
          <w:color w:val="231F20"/>
          <w:spacing w:val="-5"/>
        </w:rPr>
        <w:t>Torres</w:t>
      </w:r>
      <w:r>
        <w:rPr>
          <w:rFonts w:ascii="Segoe UI"/>
          <w:color w:val="231F20"/>
          <w:spacing w:val="-6"/>
        </w:rPr>
        <w:t> </w:t>
      </w:r>
      <w:r>
        <w:rPr>
          <w:rFonts w:ascii="Segoe UI"/>
          <w:color w:val="231F20"/>
          <w:spacing w:val="-2"/>
        </w:rPr>
        <w:t>Strait</w:t>
      </w:r>
      <w:r>
        <w:rPr>
          <w:rFonts w:ascii="Segoe UI"/>
          <w:color w:val="231F20"/>
          <w:spacing w:val="-7"/>
        </w:rPr>
        <w:t> </w:t>
      </w:r>
      <w:r>
        <w:rPr>
          <w:rFonts w:ascii="Segoe UI"/>
          <w:color w:val="231F20"/>
          <w:spacing w:val="-1"/>
        </w:rPr>
        <w:t>Islander</w:t>
      </w:r>
      <w:r>
        <w:rPr>
          <w:rFonts w:ascii="Segoe UI"/>
          <w:color w:val="231F20"/>
          <w:spacing w:val="20"/>
          <w:w w:val="99"/>
        </w:rPr>
        <w:t> </w:t>
      </w:r>
      <w:r>
        <w:rPr>
          <w:rFonts w:ascii="Segoe UI"/>
          <w:color w:val="231F20"/>
        </w:rPr>
        <w:t>boarding</w:t>
      </w:r>
      <w:r>
        <w:rPr>
          <w:rFonts w:ascii="Segoe UI"/>
          <w:color w:val="231F20"/>
          <w:spacing w:val="-7"/>
        </w:rPr>
        <w:t> </w:t>
      </w:r>
      <w:r>
        <w:rPr>
          <w:rFonts w:ascii="Segoe UI"/>
          <w:color w:val="231F20"/>
          <w:spacing w:val="-1"/>
        </w:rPr>
        <w:t>students</w:t>
      </w:r>
      <w:r>
        <w:rPr>
          <w:rFonts w:ascii="Segoe UI"/>
          <w:color w:val="231F20"/>
          <w:spacing w:val="-6"/>
        </w:rPr>
        <w:t> </w:t>
      </w:r>
      <w:r>
        <w:rPr>
          <w:rFonts w:ascii="Segoe UI"/>
          <w:color w:val="231F20"/>
        </w:rPr>
        <w:t>and</w:t>
      </w:r>
      <w:r>
        <w:rPr>
          <w:rFonts w:ascii="Segoe UI"/>
          <w:color w:val="231F20"/>
          <w:spacing w:val="-6"/>
        </w:rPr>
        <w:t> </w:t>
      </w:r>
      <w:r>
        <w:rPr>
          <w:rFonts w:ascii="Segoe UI"/>
          <w:color w:val="231F20"/>
        </w:rPr>
        <w:t>funding</w:t>
      </w:r>
      <w:r>
        <w:rPr>
          <w:rFonts w:ascii="Segoe UI"/>
          <w:color w:val="231F20"/>
          <w:spacing w:val="-6"/>
        </w:rPr>
        <w:t> </w:t>
      </w:r>
      <w:r>
        <w:rPr>
          <w:rFonts w:ascii="Segoe UI"/>
          <w:color w:val="231F20"/>
        </w:rPr>
        <w:t>provided</w:t>
      </w:r>
      <w:r>
        <w:rPr>
          <w:rFonts w:ascii="Segoe UI"/>
          <w:color w:val="231F20"/>
          <w:spacing w:val="-7"/>
        </w:rPr>
        <w:t> </w:t>
      </w:r>
      <w:r>
        <w:rPr>
          <w:rFonts w:ascii="Segoe UI"/>
          <w:color w:val="231F20"/>
        </w:rPr>
        <w:t>by</w:t>
      </w:r>
      <w:r>
        <w:rPr>
          <w:rFonts w:ascii="Segoe UI"/>
          <w:color w:val="231F20"/>
          <w:spacing w:val="22"/>
          <w:w w:val="99"/>
        </w:rPr>
        <w:t> </w:t>
      </w:r>
      <w:r>
        <w:rPr>
          <w:rFonts w:ascii="Segoe UI"/>
          <w:color w:val="231F20"/>
        </w:rPr>
        <w:t>governments</w:t>
      </w:r>
      <w:r>
        <w:rPr>
          <w:rFonts w:ascii="Segoe UI"/>
          <w:color w:val="231F20"/>
          <w:spacing w:val="-8"/>
        </w:rPr>
        <w:t> </w:t>
      </w:r>
      <w:r>
        <w:rPr>
          <w:rFonts w:ascii="Segoe UI"/>
          <w:color w:val="231F20"/>
        </w:rPr>
        <w:t>(Deloitte,</w:t>
      </w:r>
      <w:r>
        <w:rPr>
          <w:rFonts w:ascii="Segoe UI"/>
          <w:color w:val="231F20"/>
          <w:spacing w:val="-7"/>
        </w:rPr>
        <w:t> </w:t>
      </w:r>
      <w:r>
        <w:rPr>
          <w:rFonts w:ascii="Segoe UI"/>
          <w:color w:val="231F20"/>
          <w:spacing w:val="-1"/>
        </w:rPr>
        <w:t>2013;</w:t>
      </w:r>
      <w:r>
        <w:rPr>
          <w:rFonts w:ascii="Segoe UI"/>
          <w:color w:val="231F20"/>
          <w:spacing w:val="-7"/>
        </w:rPr>
        <w:t> </w:t>
      </w:r>
      <w:r>
        <w:rPr>
          <w:rFonts w:ascii="Segoe UI"/>
          <w:color w:val="231F20"/>
          <w:spacing w:val="-1"/>
        </w:rPr>
        <w:t>KPMG,</w:t>
      </w:r>
      <w:r>
        <w:rPr>
          <w:rFonts w:ascii="Segoe UI"/>
          <w:color w:val="231F20"/>
          <w:spacing w:val="-6"/>
        </w:rPr>
        <w:t> </w:t>
      </w:r>
      <w:r>
        <w:rPr>
          <w:rFonts w:ascii="Segoe UI"/>
          <w:color w:val="231F20"/>
          <w:spacing w:val="-1"/>
        </w:rPr>
        <w:t>2016;</w:t>
      </w:r>
      <w:r>
        <w:rPr>
          <w:rFonts w:ascii="Segoe UI"/>
          <w:color w:val="231F20"/>
          <w:spacing w:val="22"/>
        </w:rPr>
        <w:t> </w:t>
      </w:r>
      <w:r>
        <w:rPr>
          <w:rFonts w:ascii="Segoe UI"/>
          <w:color w:val="231F20"/>
          <w:spacing w:val="-2"/>
        </w:rPr>
        <w:t>Study</w:t>
      </w:r>
      <w:r>
        <w:rPr>
          <w:rFonts w:ascii="Segoe UI"/>
          <w:color w:val="231F20"/>
          <w:spacing w:val="-6"/>
        </w:rPr>
        <w:t> </w:t>
      </w:r>
      <w:r>
        <w:rPr>
          <w:rFonts w:ascii="Segoe UI"/>
          <w:color w:val="231F20"/>
          <w:spacing w:val="-1"/>
        </w:rPr>
        <w:t>Away</w:t>
      </w:r>
      <w:r>
        <w:rPr>
          <w:rFonts w:ascii="Segoe UI"/>
          <w:color w:val="231F20"/>
          <w:spacing w:val="-6"/>
        </w:rPr>
        <w:t> </w:t>
      </w:r>
      <w:r>
        <w:rPr>
          <w:rFonts w:ascii="Segoe UI"/>
          <w:color w:val="231F20"/>
          <w:spacing w:val="-1"/>
        </w:rPr>
        <w:t>Review,</w:t>
      </w:r>
      <w:r>
        <w:rPr>
          <w:rFonts w:ascii="Segoe UI"/>
          <w:color w:val="231F20"/>
          <w:spacing w:val="-6"/>
        </w:rPr>
        <w:t> </w:t>
      </w:r>
      <w:r>
        <w:rPr>
          <w:rFonts w:ascii="Segoe UI"/>
          <w:color w:val="231F20"/>
          <w:spacing w:val="-1"/>
        </w:rPr>
        <w:t>2016).</w:t>
      </w:r>
      <w:r>
        <w:rPr>
          <w:rFonts w:ascii="Segoe UI"/>
          <w:color w:val="231F20"/>
          <w:spacing w:val="-5"/>
        </w:rPr>
        <w:t> </w:t>
      </w:r>
      <w:r>
        <w:rPr>
          <w:rFonts w:ascii="Segoe UI"/>
          <w:color w:val="231F20"/>
        </w:rPr>
        <w:t>The</w:t>
      </w:r>
      <w:r>
        <w:rPr>
          <w:rFonts w:ascii="Segoe UI"/>
          <w:color w:val="231F20"/>
          <w:spacing w:val="-5"/>
        </w:rPr>
        <w:t> </w:t>
      </w:r>
      <w:r>
        <w:rPr>
          <w:rFonts w:ascii="Segoe UI"/>
          <w:color w:val="231F20"/>
        </w:rPr>
        <w:t>additional</w:t>
      </w:r>
      <w:r>
        <w:rPr>
          <w:rFonts w:ascii="Segoe UI"/>
          <w:color w:val="231F20"/>
          <w:spacing w:val="-6"/>
        </w:rPr>
        <w:t> </w:t>
      </w:r>
      <w:r>
        <w:rPr>
          <w:rFonts w:ascii="Segoe UI"/>
          <w:color w:val="231F20"/>
        </w:rPr>
        <w:t>costs</w:t>
      </w:r>
      <w:r>
        <w:rPr>
          <w:rFonts w:ascii="Segoe UI"/>
          <w:color w:val="231F20"/>
          <w:spacing w:val="26"/>
        </w:rPr>
        <w:t> </w:t>
      </w:r>
      <w:r>
        <w:rPr>
          <w:rFonts w:ascii="Segoe UI"/>
          <w:color w:val="231F20"/>
        </w:rPr>
        <w:t>identified in the reviews and reports include:</w:t>
      </w:r>
      <w:r>
        <w:rPr>
          <w:rFonts w:ascii="Segoe UI"/>
        </w:rPr>
      </w:r>
    </w:p>
    <w:p>
      <w:pPr>
        <w:pStyle w:val="BodyText"/>
        <w:spacing w:line="250" w:lineRule="exact" w:before="113"/>
        <w:ind w:left="344" w:right="86" w:hanging="227"/>
        <w:jc w:val="left"/>
        <w:rPr>
          <w:rFonts w:ascii="Segoe UI" w:hAnsi="Segoe UI" w:cs="Segoe UI" w:eastAsia="Segoe UI"/>
        </w:rPr>
      </w:pPr>
      <w:r>
        <w:rPr>
          <w:rFonts w:ascii="Century Gothic" w:hAnsi="Century Gothic" w:cs="Century Gothic" w:eastAsia="Century Gothic"/>
          <w:color w:val="231F20"/>
        </w:rPr>
        <w:t>» </w:t>
      </w:r>
      <w:r>
        <w:rPr>
          <w:rFonts w:ascii="Century Gothic" w:hAnsi="Century Gothic" w:cs="Century Gothic" w:eastAsia="Century Gothic"/>
          <w:color w:val="231F20"/>
          <w:spacing w:val="16"/>
        </w:rPr>
        <w:t> </w:t>
      </w:r>
      <w:r>
        <w:rPr>
          <w:rFonts w:ascii="Segoe UI" w:hAnsi="Segoe UI" w:cs="Segoe UI" w:eastAsia="Segoe UI"/>
          <w:color w:val="231F20"/>
        </w:rPr>
        <w:t>addressing</w:t>
      </w:r>
      <w:r>
        <w:rPr>
          <w:rFonts w:ascii="Segoe UI" w:hAnsi="Segoe UI" w:cs="Segoe UI" w:eastAsia="Segoe UI"/>
          <w:color w:val="231F20"/>
          <w:spacing w:val="-7"/>
        </w:rPr>
        <w:t> </w:t>
      </w:r>
      <w:r>
        <w:rPr>
          <w:rFonts w:ascii="Segoe UI" w:hAnsi="Segoe UI" w:cs="Segoe UI" w:eastAsia="Segoe UI"/>
          <w:color w:val="231F20"/>
        </w:rPr>
        <w:t>and</w:t>
      </w:r>
      <w:r>
        <w:rPr>
          <w:rFonts w:ascii="Segoe UI" w:hAnsi="Segoe UI" w:cs="Segoe UI" w:eastAsia="Segoe UI"/>
          <w:color w:val="231F20"/>
          <w:spacing w:val="-7"/>
        </w:rPr>
        <w:t> </w:t>
      </w:r>
      <w:r>
        <w:rPr>
          <w:rFonts w:ascii="Segoe UI" w:hAnsi="Segoe UI" w:cs="Segoe UI" w:eastAsia="Segoe UI"/>
          <w:color w:val="231F20"/>
          <w:spacing w:val="-1"/>
        </w:rPr>
        <w:t>managing</w:t>
      </w:r>
      <w:r>
        <w:rPr>
          <w:rFonts w:ascii="Segoe UI" w:hAnsi="Segoe UI" w:cs="Segoe UI" w:eastAsia="Segoe UI"/>
          <w:color w:val="231F20"/>
          <w:spacing w:val="-5"/>
        </w:rPr>
        <w:t> </w:t>
      </w:r>
      <w:r>
        <w:rPr>
          <w:rFonts w:ascii="Segoe UI" w:hAnsi="Segoe UI" w:cs="Segoe UI" w:eastAsia="Segoe UI"/>
          <w:color w:val="231F20"/>
        </w:rPr>
        <w:t>remote</w:t>
      </w:r>
      <w:r>
        <w:rPr>
          <w:rFonts w:ascii="Segoe UI" w:hAnsi="Segoe UI" w:cs="Segoe UI" w:eastAsia="Segoe UI"/>
          <w:color w:val="231F20"/>
          <w:spacing w:val="-7"/>
        </w:rPr>
        <w:t> </w:t>
      </w:r>
      <w:r>
        <w:rPr>
          <w:rFonts w:ascii="Segoe UI" w:hAnsi="Segoe UI" w:cs="Segoe UI" w:eastAsia="Segoe UI"/>
          <w:color w:val="231F20"/>
        </w:rPr>
        <w:t>Aboriginal</w:t>
      </w:r>
      <w:r>
        <w:rPr>
          <w:rFonts w:ascii="Segoe UI" w:hAnsi="Segoe UI" w:cs="Segoe UI" w:eastAsia="Segoe UI"/>
          <w:color w:val="231F20"/>
          <w:spacing w:val="22"/>
          <w:w w:val="99"/>
        </w:rPr>
        <w:t> </w:t>
      </w:r>
      <w:r>
        <w:rPr>
          <w:rFonts w:ascii="Segoe UI" w:hAnsi="Segoe UI" w:cs="Segoe UI" w:eastAsia="Segoe UI"/>
          <w:color w:val="231F20"/>
        </w:rPr>
        <w:t>and</w:t>
      </w:r>
      <w:r>
        <w:rPr>
          <w:rFonts w:ascii="Segoe UI" w:hAnsi="Segoe UI" w:cs="Segoe UI" w:eastAsia="Segoe UI"/>
          <w:color w:val="231F20"/>
          <w:spacing w:val="-6"/>
        </w:rPr>
        <w:t> </w:t>
      </w:r>
      <w:r>
        <w:rPr>
          <w:rFonts w:ascii="Segoe UI" w:hAnsi="Segoe UI" w:cs="Segoe UI" w:eastAsia="Segoe UI"/>
          <w:color w:val="231F20"/>
          <w:spacing w:val="-5"/>
        </w:rPr>
        <w:t>Torres</w:t>
      </w:r>
      <w:r>
        <w:rPr>
          <w:rFonts w:ascii="Segoe UI" w:hAnsi="Segoe UI" w:cs="Segoe UI" w:eastAsia="Segoe UI"/>
          <w:color w:val="231F20"/>
          <w:spacing w:val="-4"/>
        </w:rPr>
        <w:t> </w:t>
      </w:r>
      <w:r>
        <w:rPr>
          <w:rFonts w:ascii="Segoe UI" w:hAnsi="Segoe UI" w:cs="Segoe UI" w:eastAsia="Segoe UI"/>
          <w:color w:val="231F20"/>
          <w:spacing w:val="-2"/>
        </w:rPr>
        <w:t>Strait</w:t>
      </w:r>
      <w:r>
        <w:rPr>
          <w:rFonts w:ascii="Segoe UI" w:hAnsi="Segoe UI" w:cs="Segoe UI" w:eastAsia="Segoe UI"/>
          <w:color w:val="231F20"/>
          <w:spacing w:val="-5"/>
        </w:rPr>
        <w:t> </w:t>
      </w:r>
      <w:r>
        <w:rPr>
          <w:rFonts w:ascii="Segoe UI" w:hAnsi="Segoe UI" w:cs="Segoe UI" w:eastAsia="Segoe UI"/>
          <w:color w:val="231F20"/>
          <w:spacing w:val="-1"/>
        </w:rPr>
        <w:t>Islander</w:t>
      </w:r>
      <w:r>
        <w:rPr>
          <w:rFonts w:ascii="Segoe UI" w:hAnsi="Segoe UI" w:cs="Segoe UI" w:eastAsia="Segoe UI"/>
          <w:color w:val="231F20"/>
          <w:spacing w:val="-4"/>
        </w:rPr>
        <w:t> </w:t>
      </w:r>
      <w:r>
        <w:rPr>
          <w:rFonts w:ascii="Segoe UI" w:hAnsi="Segoe UI" w:cs="Segoe UI" w:eastAsia="Segoe UI"/>
          <w:color w:val="231F20"/>
          <w:spacing w:val="-1"/>
        </w:rPr>
        <w:t>students’</w:t>
      </w:r>
      <w:r>
        <w:rPr>
          <w:rFonts w:ascii="Segoe UI" w:hAnsi="Segoe UI" w:cs="Segoe UI" w:eastAsia="Segoe UI"/>
          <w:color w:val="231F20"/>
          <w:spacing w:val="-3"/>
        </w:rPr>
        <w:t> </w:t>
      </w:r>
      <w:r>
        <w:rPr>
          <w:rFonts w:ascii="Segoe UI" w:hAnsi="Segoe UI" w:cs="Segoe UI" w:eastAsia="Segoe UI"/>
          <w:color w:val="231F20"/>
        </w:rPr>
        <w:t>ongoing</w:t>
      </w:r>
      <w:r>
        <w:rPr>
          <w:rFonts w:ascii="Segoe UI" w:hAnsi="Segoe UI" w:cs="Segoe UI" w:eastAsia="Segoe UI"/>
          <w:color w:val="231F20"/>
          <w:spacing w:val="23"/>
          <w:w w:val="99"/>
        </w:rPr>
        <w:t> </w:t>
      </w:r>
      <w:r>
        <w:rPr>
          <w:rFonts w:ascii="Segoe UI" w:hAnsi="Segoe UI" w:cs="Segoe UI" w:eastAsia="Segoe UI"/>
          <w:color w:val="231F20"/>
        </w:rPr>
        <w:t>physical</w:t>
      </w:r>
      <w:r>
        <w:rPr>
          <w:rFonts w:ascii="Segoe UI" w:hAnsi="Segoe UI" w:cs="Segoe UI" w:eastAsia="Segoe UI"/>
          <w:color w:val="231F20"/>
          <w:spacing w:val="-4"/>
        </w:rPr>
        <w:t> </w:t>
      </w:r>
      <w:r>
        <w:rPr>
          <w:rFonts w:ascii="Segoe UI" w:hAnsi="Segoe UI" w:cs="Segoe UI" w:eastAsia="Segoe UI"/>
          <w:color w:val="231F20"/>
        </w:rPr>
        <w:t>and</w:t>
      </w:r>
      <w:r>
        <w:rPr>
          <w:rFonts w:ascii="Segoe UI" w:hAnsi="Segoe UI" w:cs="Segoe UI" w:eastAsia="Segoe UI"/>
          <w:color w:val="231F20"/>
          <w:spacing w:val="-3"/>
        </w:rPr>
        <w:t> </w:t>
      </w:r>
      <w:r>
        <w:rPr>
          <w:rFonts w:ascii="Segoe UI" w:hAnsi="Segoe UI" w:cs="Segoe UI" w:eastAsia="Segoe UI"/>
          <w:color w:val="231F20"/>
          <w:spacing w:val="-1"/>
        </w:rPr>
        <w:t>mental</w:t>
      </w:r>
      <w:r>
        <w:rPr>
          <w:rFonts w:ascii="Segoe UI" w:hAnsi="Segoe UI" w:cs="Segoe UI" w:eastAsia="Segoe UI"/>
          <w:color w:val="231F20"/>
          <w:spacing w:val="-2"/>
        </w:rPr>
        <w:t> </w:t>
      </w:r>
      <w:r>
        <w:rPr>
          <w:rFonts w:ascii="Segoe UI" w:hAnsi="Segoe UI" w:cs="Segoe UI" w:eastAsia="Segoe UI"/>
          <w:color w:val="231F20"/>
        </w:rPr>
        <w:t>health</w:t>
      </w:r>
      <w:r>
        <w:rPr>
          <w:rFonts w:ascii="Segoe UI" w:hAnsi="Segoe UI" w:cs="Segoe UI" w:eastAsia="Segoe UI"/>
          <w:color w:val="231F20"/>
          <w:spacing w:val="-3"/>
        </w:rPr>
        <w:t> </w:t>
      </w:r>
      <w:r>
        <w:rPr>
          <w:rFonts w:ascii="Segoe UI" w:hAnsi="Segoe UI" w:cs="Segoe UI" w:eastAsia="Segoe UI"/>
          <w:color w:val="231F20"/>
        </w:rPr>
        <w:t>needs</w:t>
      </w:r>
      <w:r>
        <w:rPr>
          <w:rFonts w:ascii="Segoe UI" w:hAnsi="Segoe UI" w:cs="Segoe UI" w:eastAsia="Segoe UI"/>
        </w:rPr>
      </w:r>
    </w:p>
    <w:p>
      <w:pPr>
        <w:pStyle w:val="BodyText"/>
        <w:spacing w:line="250" w:lineRule="exact" w:before="113"/>
        <w:ind w:left="344" w:right="86" w:hanging="227"/>
        <w:jc w:val="left"/>
        <w:rPr>
          <w:rFonts w:ascii="Segoe UI" w:hAnsi="Segoe UI" w:cs="Segoe UI" w:eastAsia="Segoe UI"/>
        </w:rPr>
      </w:pPr>
      <w:r>
        <w:rPr>
          <w:rFonts w:ascii="Century Gothic" w:hAnsi="Century Gothic"/>
          <w:color w:val="231F20"/>
        </w:rPr>
        <w:t>» </w:t>
      </w:r>
      <w:r>
        <w:rPr>
          <w:rFonts w:ascii="Century Gothic" w:hAnsi="Century Gothic"/>
          <w:color w:val="231F20"/>
          <w:spacing w:val="24"/>
        </w:rPr>
        <w:t> </w:t>
      </w:r>
      <w:r>
        <w:rPr>
          <w:rFonts w:ascii="Segoe UI" w:hAnsi="Segoe UI"/>
          <w:color w:val="231F20"/>
        </w:rPr>
        <w:t>the</w:t>
      </w:r>
      <w:r>
        <w:rPr>
          <w:rFonts w:ascii="Segoe UI" w:hAnsi="Segoe UI"/>
          <w:color w:val="231F20"/>
          <w:spacing w:val="-4"/>
        </w:rPr>
        <w:t> </w:t>
      </w:r>
      <w:r>
        <w:rPr>
          <w:rFonts w:ascii="Segoe UI" w:hAnsi="Segoe UI"/>
          <w:color w:val="231F20"/>
        </w:rPr>
        <w:t>cost</w:t>
      </w:r>
      <w:r>
        <w:rPr>
          <w:rFonts w:ascii="Segoe UI" w:hAnsi="Segoe UI"/>
          <w:color w:val="231F20"/>
          <w:spacing w:val="-4"/>
        </w:rPr>
        <w:t> </w:t>
      </w:r>
      <w:r>
        <w:rPr>
          <w:rFonts w:ascii="Segoe UI" w:hAnsi="Segoe UI"/>
          <w:color w:val="231F20"/>
        </w:rPr>
        <w:t>of</w:t>
      </w:r>
      <w:r>
        <w:rPr>
          <w:rFonts w:ascii="Segoe UI" w:hAnsi="Segoe UI"/>
          <w:color w:val="231F20"/>
          <w:spacing w:val="-3"/>
        </w:rPr>
        <w:t> </w:t>
      </w:r>
      <w:r>
        <w:rPr>
          <w:rFonts w:ascii="Segoe UI" w:hAnsi="Segoe UI"/>
          <w:color w:val="231F20"/>
        </w:rPr>
        <w:t>addressing</w:t>
      </w:r>
      <w:r>
        <w:rPr>
          <w:rFonts w:ascii="Segoe UI" w:hAnsi="Segoe UI"/>
          <w:color w:val="231F20"/>
          <w:spacing w:val="-4"/>
        </w:rPr>
        <w:t> </w:t>
      </w:r>
      <w:r>
        <w:rPr>
          <w:rFonts w:ascii="Segoe UI" w:hAnsi="Segoe UI"/>
          <w:color w:val="231F20"/>
          <w:spacing w:val="-1"/>
        </w:rPr>
        <w:t>low</w:t>
      </w:r>
      <w:r>
        <w:rPr>
          <w:rFonts w:ascii="Segoe UI" w:hAnsi="Segoe UI"/>
          <w:color w:val="231F20"/>
          <w:spacing w:val="-3"/>
        </w:rPr>
        <w:t> </w:t>
      </w:r>
      <w:r>
        <w:rPr>
          <w:rFonts w:ascii="Segoe UI" w:hAnsi="Segoe UI"/>
          <w:color w:val="231F20"/>
          <w:spacing w:val="-1"/>
        </w:rPr>
        <w:t>levels</w:t>
      </w:r>
      <w:r>
        <w:rPr>
          <w:rFonts w:ascii="Segoe UI" w:hAnsi="Segoe UI"/>
          <w:color w:val="231F20"/>
          <w:spacing w:val="-2"/>
        </w:rPr>
        <w:t> </w:t>
      </w:r>
      <w:r>
        <w:rPr>
          <w:rFonts w:ascii="Segoe UI" w:hAnsi="Segoe UI"/>
          <w:color w:val="231F20"/>
        </w:rPr>
        <w:t>of</w:t>
      </w:r>
      <w:r>
        <w:rPr>
          <w:rFonts w:ascii="Segoe UI" w:hAnsi="Segoe UI"/>
          <w:color w:val="231F20"/>
          <w:spacing w:val="-3"/>
        </w:rPr>
        <w:t> </w:t>
      </w:r>
      <w:r>
        <w:rPr>
          <w:rFonts w:ascii="Segoe UI" w:hAnsi="Segoe UI"/>
          <w:color w:val="231F20"/>
          <w:spacing w:val="-1"/>
        </w:rPr>
        <w:t>literacy</w:t>
      </w:r>
      <w:r>
        <w:rPr>
          <w:rFonts w:ascii="Segoe UI" w:hAnsi="Segoe UI"/>
          <w:color w:val="231F20"/>
          <w:spacing w:val="22"/>
          <w:w w:val="99"/>
        </w:rPr>
        <w:t> </w:t>
      </w:r>
      <w:r>
        <w:rPr>
          <w:rFonts w:ascii="Segoe UI" w:hAnsi="Segoe UI"/>
          <w:color w:val="231F20"/>
        </w:rPr>
        <w:t>and</w:t>
      </w:r>
      <w:r>
        <w:rPr>
          <w:rFonts w:ascii="Segoe UI" w:hAnsi="Segoe UI"/>
          <w:color w:val="231F20"/>
          <w:spacing w:val="-13"/>
        </w:rPr>
        <w:t> </w:t>
      </w:r>
      <w:r>
        <w:rPr>
          <w:rFonts w:ascii="Segoe UI" w:hAnsi="Segoe UI"/>
          <w:color w:val="231F20"/>
        </w:rPr>
        <w:t>numeracy</w:t>
      </w:r>
      <w:r>
        <w:rPr>
          <w:rFonts w:ascii="Segoe UI" w:hAnsi="Segoe UI"/>
        </w:rPr>
      </w:r>
    </w:p>
    <w:p>
      <w:pPr>
        <w:pStyle w:val="BodyText"/>
        <w:spacing w:line="258" w:lineRule="exact" w:before="97"/>
        <w:ind w:right="0"/>
        <w:jc w:val="left"/>
        <w:rPr>
          <w:rFonts w:ascii="Segoe UI" w:hAnsi="Segoe UI" w:cs="Segoe UI" w:eastAsia="Segoe UI"/>
        </w:rPr>
      </w:pPr>
      <w:r>
        <w:rPr>
          <w:rFonts w:ascii="Century Gothic" w:hAnsi="Century Gothic"/>
          <w:color w:val="231F20"/>
        </w:rPr>
        <w:t>» </w:t>
      </w:r>
      <w:r>
        <w:rPr>
          <w:rFonts w:ascii="Century Gothic" w:hAnsi="Century Gothic"/>
          <w:color w:val="231F20"/>
          <w:spacing w:val="29"/>
        </w:rPr>
        <w:t> </w:t>
      </w:r>
      <w:r>
        <w:rPr>
          <w:rFonts w:ascii="Segoe UI" w:hAnsi="Segoe UI"/>
          <w:color w:val="231F20"/>
        </w:rPr>
        <w:t>training</w:t>
      </w:r>
      <w:r>
        <w:rPr>
          <w:rFonts w:ascii="Segoe UI" w:hAnsi="Segoe UI"/>
          <w:color w:val="231F20"/>
          <w:spacing w:val="-1"/>
        </w:rPr>
        <w:t> </w:t>
      </w:r>
      <w:r>
        <w:rPr>
          <w:rFonts w:ascii="Segoe UI" w:hAnsi="Segoe UI"/>
          <w:color w:val="231F20"/>
        </w:rPr>
        <w:t>staff in</w:t>
      </w:r>
      <w:r>
        <w:rPr>
          <w:rFonts w:ascii="Segoe UI" w:hAnsi="Segoe UI"/>
          <w:color w:val="231F20"/>
          <w:spacing w:val="-1"/>
        </w:rPr>
        <w:t> </w:t>
      </w:r>
      <w:r>
        <w:rPr>
          <w:rFonts w:ascii="Segoe UI" w:hAnsi="Segoe UI"/>
          <w:color w:val="231F20"/>
        </w:rPr>
        <w:t>trauma</w:t>
      </w:r>
      <w:r>
        <w:rPr>
          <w:rFonts w:ascii="Segoe UI" w:hAnsi="Segoe UI"/>
          <w:color w:val="231F20"/>
          <w:spacing w:val="-1"/>
        </w:rPr>
        <w:t> </w:t>
      </w:r>
      <w:r>
        <w:rPr>
          <w:rFonts w:ascii="Segoe UI" w:hAnsi="Segoe UI"/>
          <w:color w:val="231F20"/>
        </w:rPr>
        <w:t>informed</w:t>
      </w:r>
      <w:r>
        <w:rPr>
          <w:rFonts w:ascii="Segoe UI" w:hAnsi="Segoe UI"/>
          <w:color w:val="231F20"/>
          <w:spacing w:val="-1"/>
        </w:rPr>
        <w:t> </w:t>
      </w:r>
      <w:r>
        <w:rPr>
          <w:rFonts w:ascii="Segoe UI" w:hAnsi="Segoe UI"/>
          <w:color w:val="231F20"/>
        </w:rPr>
        <w:t>practices</w:t>
      </w:r>
      <w:r>
        <w:rPr>
          <w:rFonts w:ascii="Segoe UI" w:hAnsi="Segoe UI"/>
        </w:rPr>
      </w:r>
    </w:p>
    <w:p>
      <w:pPr>
        <w:pStyle w:val="BodyText"/>
        <w:spacing w:line="258" w:lineRule="exact"/>
        <w:ind w:left="344" w:right="0"/>
        <w:jc w:val="left"/>
        <w:rPr>
          <w:rFonts w:ascii="Segoe UI" w:hAnsi="Segoe UI" w:cs="Segoe UI" w:eastAsia="Segoe UI"/>
        </w:rPr>
      </w:pPr>
      <w:r>
        <w:rPr>
          <w:rFonts w:ascii="Segoe UI"/>
          <w:color w:val="231F20"/>
        </w:rPr>
        <w:t>and</w:t>
      </w:r>
      <w:r>
        <w:rPr>
          <w:rFonts w:ascii="Segoe UI"/>
          <w:color w:val="231F20"/>
          <w:spacing w:val="-11"/>
        </w:rPr>
        <w:t> </w:t>
      </w:r>
      <w:r>
        <w:rPr>
          <w:rFonts w:ascii="Segoe UI"/>
          <w:color w:val="231F20"/>
        </w:rPr>
        <w:t>cultural</w:t>
      </w:r>
      <w:r>
        <w:rPr>
          <w:rFonts w:ascii="Segoe UI"/>
          <w:color w:val="231F20"/>
          <w:spacing w:val="-10"/>
        </w:rPr>
        <w:t> </w:t>
      </w:r>
      <w:r>
        <w:rPr>
          <w:rFonts w:ascii="Segoe UI"/>
          <w:color w:val="231F20"/>
        </w:rPr>
        <w:t>awareness</w:t>
      </w:r>
      <w:r>
        <w:rPr>
          <w:rFonts w:ascii="Segoe UI"/>
        </w:rPr>
      </w:r>
    </w:p>
    <w:p>
      <w:pPr>
        <w:pStyle w:val="BodyText"/>
        <w:spacing w:line="258" w:lineRule="exact" w:before="97"/>
        <w:ind w:right="0"/>
        <w:jc w:val="left"/>
        <w:rPr>
          <w:rFonts w:ascii="Segoe UI" w:hAnsi="Segoe UI" w:cs="Segoe UI" w:eastAsia="Segoe UI"/>
        </w:rPr>
      </w:pPr>
      <w:r>
        <w:rPr>
          <w:rFonts w:ascii="Century Gothic" w:hAnsi="Century Gothic"/>
          <w:color w:val="231F20"/>
        </w:rPr>
        <w:t>» </w:t>
      </w:r>
      <w:r>
        <w:rPr>
          <w:rFonts w:ascii="Century Gothic" w:hAnsi="Century Gothic"/>
          <w:color w:val="231F20"/>
          <w:spacing w:val="29"/>
        </w:rPr>
        <w:t> </w:t>
      </w:r>
      <w:r>
        <w:rPr>
          <w:rFonts w:ascii="Segoe UI" w:hAnsi="Segoe UI"/>
          <w:color w:val="231F20"/>
        </w:rPr>
        <w:t>employing</w:t>
      </w:r>
      <w:r>
        <w:rPr>
          <w:rFonts w:ascii="Segoe UI" w:hAnsi="Segoe UI"/>
          <w:color w:val="231F20"/>
          <w:spacing w:val="-1"/>
        </w:rPr>
        <w:t> </w:t>
      </w:r>
      <w:r>
        <w:rPr>
          <w:rFonts w:ascii="Segoe UI" w:hAnsi="Segoe UI"/>
          <w:color w:val="231F20"/>
        </w:rPr>
        <w:t>extra staff</w:t>
      </w:r>
      <w:r>
        <w:rPr>
          <w:rFonts w:ascii="Segoe UI" w:hAnsi="Segoe UI"/>
          <w:color w:val="231F20"/>
          <w:spacing w:val="-1"/>
        </w:rPr>
        <w:t> </w:t>
      </w:r>
      <w:r>
        <w:rPr>
          <w:rFonts w:ascii="Segoe UI" w:hAnsi="Segoe UI"/>
          <w:color w:val="231F20"/>
        </w:rPr>
        <w:t>to</w:t>
      </w:r>
      <w:r>
        <w:rPr>
          <w:rFonts w:ascii="Segoe UI" w:hAnsi="Segoe UI"/>
          <w:color w:val="231F20"/>
          <w:spacing w:val="-1"/>
        </w:rPr>
        <w:t> </w:t>
      </w:r>
      <w:r>
        <w:rPr>
          <w:rFonts w:ascii="Segoe UI" w:hAnsi="Segoe UI"/>
          <w:color w:val="231F20"/>
        </w:rPr>
        <w:t>manage</w:t>
      </w:r>
      <w:r>
        <w:rPr>
          <w:rFonts w:ascii="Segoe UI" w:hAnsi="Segoe UI"/>
          <w:color w:val="231F20"/>
          <w:spacing w:val="-1"/>
        </w:rPr>
        <w:t> </w:t>
      </w:r>
      <w:r>
        <w:rPr>
          <w:rFonts w:ascii="Segoe UI" w:hAnsi="Segoe UI"/>
          <w:color w:val="231F20"/>
        </w:rPr>
        <w:t>ABSTUDY</w:t>
      </w:r>
      <w:r>
        <w:rPr>
          <w:rFonts w:ascii="Segoe UI" w:hAnsi="Segoe UI"/>
        </w:rPr>
      </w:r>
    </w:p>
    <w:p>
      <w:pPr>
        <w:pStyle w:val="BodyText"/>
        <w:spacing w:line="258" w:lineRule="exact"/>
        <w:ind w:left="344" w:right="0"/>
        <w:jc w:val="left"/>
        <w:rPr>
          <w:rFonts w:ascii="Segoe UI" w:hAnsi="Segoe UI" w:cs="Segoe UI" w:eastAsia="Segoe UI"/>
        </w:rPr>
      </w:pPr>
      <w:r>
        <w:rPr>
          <w:rFonts w:ascii="Segoe UI"/>
          <w:color w:val="231F20"/>
        </w:rPr>
        <w:t>administration</w:t>
      </w:r>
      <w:r>
        <w:rPr>
          <w:rFonts w:ascii="Segoe UI"/>
        </w:rPr>
      </w:r>
    </w:p>
    <w:p>
      <w:pPr>
        <w:pStyle w:val="BodyText"/>
        <w:spacing w:line="240" w:lineRule="auto" w:before="97"/>
        <w:ind w:right="0"/>
        <w:jc w:val="left"/>
        <w:rPr>
          <w:rFonts w:ascii="Segoe UI" w:hAnsi="Segoe UI" w:cs="Segoe UI" w:eastAsia="Segoe UI"/>
        </w:rPr>
      </w:pPr>
      <w:r>
        <w:rPr>
          <w:rFonts w:ascii="Century Gothic" w:hAnsi="Century Gothic"/>
          <w:color w:val="231F20"/>
        </w:rPr>
        <w:t>» </w:t>
      </w:r>
      <w:r>
        <w:rPr>
          <w:rFonts w:ascii="Century Gothic" w:hAnsi="Century Gothic"/>
          <w:color w:val="231F20"/>
          <w:spacing w:val="23"/>
        </w:rPr>
        <w:t> </w:t>
      </w:r>
      <w:r>
        <w:rPr>
          <w:rFonts w:ascii="Segoe UI" w:hAnsi="Segoe UI"/>
          <w:color w:val="231F20"/>
          <w:spacing w:val="-1"/>
        </w:rPr>
        <w:t>maintenance</w:t>
      </w:r>
      <w:r>
        <w:rPr>
          <w:rFonts w:ascii="Segoe UI" w:hAnsi="Segoe UI"/>
          <w:color w:val="231F20"/>
          <w:spacing w:val="-3"/>
        </w:rPr>
        <w:t> </w:t>
      </w:r>
      <w:r>
        <w:rPr>
          <w:rFonts w:ascii="Segoe UI" w:hAnsi="Segoe UI"/>
          <w:color w:val="231F20"/>
        </w:rPr>
        <w:t>of</w:t>
      </w:r>
      <w:r>
        <w:rPr>
          <w:rFonts w:ascii="Segoe UI" w:hAnsi="Segoe UI"/>
          <w:color w:val="231F20"/>
          <w:spacing w:val="-3"/>
        </w:rPr>
        <w:t> </w:t>
      </w:r>
      <w:r>
        <w:rPr>
          <w:rFonts w:ascii="Segoe UI" w:hAnsi="Segoe UI"/>
          <w:color w:val="231F20"/>
        </w:rPr>
        <w:t>facilities</w:t>
      </w:r>
      <w:r>
        <w:rPr>
          <w:rFonts w:ascii="Segoe UI" w:hAnsi="Segoe UI"/>
        </w:rPr>
      </w:r>
    </w:p>
    <w:p>
      <w:pPr>
        <w:pStyle w:val="BodyText"/>
        <w:spacing w:line="258" w:lineRule="exact" w:before="97"/>
        <w:ind w:right="0"/>
        <w:jc w:val="left"/>
        <w:rPr>
          <w:rFonts w:ascii="Segoe UI" w:hAnsi="Segoe UI" w:cs="Segoe UI" w:eastAsia="Segoe UI"/>
        </w:rPr>
      </w:pPr>
      <w:r>
        <w:rPr>
          <w:rFonts w:ascii="Century Gothic" w:hAnsi="Century Gothic"/>
          <w:color w:val="231F20"/>
        </w:rPr>
        <w:t>» </w:t>
      </w:r>
      <w:r>
        <w:rPr>
          <w:rFonts w:ascii="Century Gothic" w:hAnsi="Century Gothic"/>
          <w:color w:val="231F20"/>
          <w:spacing w:val="29"/>
        </w:rPr>
        <w:t> </w:t>
      </w:r>
      <w:r>
        <w:rPr>
          <w:rFonts w:ascii="Segoe UI" w:hAnsi="Segoe UI"/>
          <w:color w:val="231F20"/>
        </w:rPr>
        <w:t>employing</w:t>
      </w:r>
      <w:r>
        <w:rPr>
          <w:rFonts w:ascii="Segoe UI" w:hAnsi="Segoe UI"/>
          <w:color w:val="231F20"/>
          <w:spacing w:val="-1"/>
        </w:rPr>
        <w:t> </w:t>
      </w:r>
      <w:r>
        <w:rPr>
          <w:rFonts w:ascii="Segoe UI" w:hAnsi="Segoe UI"/>
          <w:color w:val="231F20"/>
        </w:rPr>
        <w:t>staff</w:t>
      </w:r>
      <w:r>
        <w:rPr>
          <w:rFonts w:ascii="Segoe UI" w:hAnsi="Segoe UI"/>
          <w:color w:val="231F20"/>
          <w:spacing w:val="-1"/>
        </w:rPr>
        <w:t> </w:t>
      </w:r>
      <w:r>
        <w:rPr>
          <w:rFonts w:ascii="Segoe UI" w:hAnsi="Segoe UI"/>
          <w:color w:val="231F20"/>
        </w:rPr>
        <w:t>to</w:t>
      </w:r>
      <w:r>
        <w:rPr>
          <w:rFonts w:ascii="Segoe UI" w:hAnsi="Segoe UI"/>
          <w:color w:val="231F20"/>
          <w:spacing w:val="-1"/>
        </w:rPr>
        <w:t> </w:t>
      </w:r>
      <w:r>
        <w:rPr>
          <w:rFonts w:ascii="Segoe UI" w:hAnsi="Segoe UI"/>
          <w:color w:val="231F20"/>
        </w:rPr>
        <w:t>undertake</w:t>
      </w:r>
      <w:r>
        <w:rPr>
          <w:rFonts w:ascii="Segoe UI" w:hAnsi="Segoe UI"/>
          <w:color w:val="231F20"/>
          <w:spacing w:val="-1"/>
        </w:rPr>
        <w:t> </w:t>
      </w:r>
      <w:r>
        <w:rPr>
          <w:rFonts w:ascii="Segoe UI" w:hAnsi="Segoe UI"/>
          <w:color w:val="231F20"/>
        </w:rPr>
        <w:t>community</w:t>
      </w:r>
      <w:r>
        <w:rPr>
          <w:rFonts w:ascii="Segoe UI" w:hAnsi="Segoe UI"/>
        </w:rPr>
      </w:r>
    </w:p>
    <w:p>
      <w:pPr>
        <w:pStyle w:val="BodyText"/>
        <w:spacing w:line="258" w:lineRule="exact"/>
        <w:ind w:left="344" w:right="0"/>
        <w:jc w:val="left"/>
        <w:rPr>
          <w:rFonts w:ascii="Segoe UI" w:hAnsi="Segoe UI" w:cs="Segoe UI" w:eastAsia="Segoe UI"/>
        </w:rPr>
      </w:pPr>
      <w:r>
        <w:rPr>
          <w:rFonts w:ascii="Segoe UI"/>
          <w:color w:val="231F20"/>
        </w:rPr>
        <w:t>outreach</w:t>
      </w:r>
      <w:r>
        <w:rPr>
          <w:rFonts w:ascii="Segoe UI"/>
          <w:color w:val="231F20"/>
          <w:spacing w:val="-8"/>
        </w:rPr>
        <w:t> </w:t>
      </w:r>
      <w:r>
        <w:rPr>
          <w:rFonts w:ascii="Segoe UI"/>
          <w:color w:val="231F20"/>
        </w:rPr>
        <w:t>activities</w:t>
      </w:r>
      <w:r>
        <w:rPr>
          <w:rFonts w:ascii="Segoe UI"/>
        </w:rPr>
      </w:r>
    </w:p>
    <w:p>
      <w:pPr>
        <w:pStyle w:val="BodyText"/>
        <w:spacing w:line="250" w:lineRule="exact" w:before="113"/>
        <w:ind w:left="344" w:right="868" w:hanging="227"/>
        <w:jc w:val="both"/>
        <w:rPr>
          <w:rFonts w:ascii="Segoe UI" w:hAnsi="Segoe UI" w:cs="Segoe UI" w:eastAsia="Segoe UI"/>
        </w:rPr>
      </w:pPr>
      <w:r>
        <w:rPr>
          <w:rFonts w:ascii="Century Gothic" w:hAnsi="Century Gothic"/>
          <w:color w:val="231F20"/>
        </w:rPr>
        <w:t>»</w:t>
      </w:r>
      <w:r>
        <w:rPr>
          <w:rFonts w:ascii="Century Gothic" w:hAnsi="Century Gothic"/>
          <w:color w:val="231F20"/>
          <w:spacing w:val="24"/>
        </w:rPr>
        <w:t> </w:t>
      </w:r>
      <w:r>
        <w:rPr>
          <w:rFonts w:ascii="Segoe UI" w:hAnsi="Segoe UI"/>
          <w:color w:val="231F20"/>
        </w:rPr>
        <w:t>providing</w:t>
      </w:r>
      <w:r>
        <w:rPr>
          <w:rFonts w:ascii="Segoe UI" w:hAnsi="Segoe UI"/>
          <w:color w:val="231F20"/>
          <w:spacing w:val="-3"/>
        </w:rPr>
        <w:t> </w:t>
      </w:r>
      <w:r>
        <w:rPr>
          <w:rFonts w:ascii="Segoe UI" w:hAnsi="Segoe UI"/>
          <w:color w:val="231F20"/>
          <w:spacing w:val="-1"/>
        </w:rPr>
        <w:t>students</w:t>
      </w:r>
      <w:r>
        <w:rPr>
          <w:rFonts w:ascii="Segoe UI" w:hAnsi="Segoe UI"/>
          <w:color w:val="231F20"/>
          <w:spacing w:val="-3"/>
        </w:rPr>
        <w:t> </w:t>
      </w:r>
      <w:r>
        <w:rPr>
          <w:rFonts w:ascii="Segoe UI" w:hAnsi="Segoe UI"/>
          <w:color w:val="231F20"/>
        </w:rPr>
        <w:t>with</w:t>
      </w:r>
      <w:r>
        <w:rPr>
          <w:rFonts w:ascii="Segoe UI" w:hAnsi="Segoe UI"/>
          <w:color w:val="231F20"/>
          <w:spacing w:val="-4"/>
        </w:rPr>
        <w:t> </w:t>
      </w:r>
      <w:r>
        <w:rPr>
          <w:rFonts w:ascii="Segoe UI" w:hAnsi="Segoe UI"/>
          <w:color w:val="231F20"/>
        </w:rPr>
        <w:t>one</w:t>
      </w:r>
      <w:r>
        <w:rPr>
          <w:rFonts w:ascii="Segoe UI" w:hAnsi="Segoe UI"/>
          <w:color w:val="231F20"/>
          <w:spacing w:val="-2"/>
        </w:rPr>
        <w:t> </w:t>
      </w:r>
      <w:r>
        <w:rPr>
          <w:rFonts w:ascii="Segoe UI" w:hAnsi="Segoe UI"/>
          <w:color w:val="231F20"/>
        </w:rPr>
        <w:t>on</w:t>
      </w:r>
      <w:r>
        <w:rPr>
          <w:rFonts w:ascii="Segoe UI" w:hAnsi="Segoe UI"/>
          <w:color w:val="231F20"/>
          <w:spacing w:val="-3"/>
        </w:rPr>
        <w:t> </w:t>
      </w:r>
      <w:r>
        <w:rPr>
          <w:rFonts w:ascii="Segoe UI" w:hAnsi="Segoe UI"/>
          <w:color w:val="231F20"/>
        </w:rPr>
        <w:t>one</w:t>
      </w:r>
      <w:r>
        <w:rPr>
          <w:rFonts w:ascii="Segoe UI" w:hAnsi="Segoe UI"/>
          <w:color w:val="231F20"/>
          <w:spacing w:val="22"/>
          <w:w w:val="99"/>
        </w:rPr>
        <w:t> </w:t>
      </w:r>
      <w:r>
        <w:rPr>
          <w:rFonts w:ascii="Segoe UI" w:hAnsi="Segoe UI"/>
          <w:color w:val="231F20"/>
          <w:spacing w:val="-1"/>
        </w:rPr>
        <w:t>mentoring</w:t>
      </w:r>
      <w:r>
        <w:rPr>
          <w:rFonts w:ascii="Segoe UI" w:hAnsi="Segoe UI"/>
          <w:color w:val="231F20"/>
          <w:spacing w:val="-6"/>
        </w:rPr>
        <w:t> </w:t>
      </w:r>
      <w:r>
        <w:rPr>
          <w:rFonts w:ascii="Segoe UI" w:hAnsi="Segoe UI"/>
          <w:color w:val="231F20"/>
        </w:rPr>
        <w:t>and</w:t>
      </w:r>
      <w:r>
        <w:rPr>
          <w:rFonts w:ascii="Segoe UI" w:hAnsi="Segoe UI"/>
          <w:color w:val="231F20"/>
          <w:spacing w:val="-7"/>
        </w:rPr>
        <w:t> </w:t>
      </w:r>
      <w:r>
        <w:rPr>
          <w:rFonts w:ascii="Segoe UI" w:hAnsi="Segoe UI"/>
          <w:color w:val="231F20"/>
        </w:rPr>
        <w:t>tutoring</w:t>
      </w:r>
      <w:r>
        <w:rPr>
          <w:rFonts w:ascii="Segoe UI" w:hAnsi="Segoe UI"/>
          <w:color w:val="231F20"/>
          <w:spacing w:val="-7"/>
        </w:rPr>
        <w:t> </w:t>
      </w:r>
      <w:r>
        <w:rPr>
          <w:rFonts w:ascii="Segoe UI" w:hAnsi="Segoe UI"/>
          <w:color w:val="231F20"/>
        </w:rPr>
        <w:t>and</w:t>
      </w:r>
      <w:r>
        <w:rPr>
          <w:rFonts w:ascii="Segoe UI" w:hAnsi="Segoe UI"/>
          <w:color w:val="231F20"/>
          <w:spacing w:val="-7"/>
        </w:rPr>
        <w:t> </w:t>
      </w:r>
      <w:r>
        <w:rPr>
          <w:rFonts w:ascii="Segoe UI" w:hAnsi="Segoe UI"/>
          <w:color w:val="231F20"/>
        </w:rPr>
        <w:t>cultural</w:t>
      </w:r>
      <w:r>
        <w:rPr>
          <w:rFonts w:ascii="Segoe UI" w:hAnsi="Segoe UI"/>
          <w:color w:val="231F20"/>
          <w:spacing w:val="22"/>
          <w:w w:val="99"/>
        </w:rPr>
        <w:t> </w:t>
      </w:r>
      <w:r>
        <w:rPr>
          <w:rFonts w:ascii="Segoe UI" w:hAnsi="Segoe UI"/>
          <w:color w:val="231F20"/>
        </w:rPr>
        <w:t>connections.</w:t>
      </w:r>
      <w:r>
        <w:rPr>
          <w:rFonts w:ascii="Segoe UI" w:hAnsi="Segoe UI"/>
        </w:rPr>
      </w:r>
    </w:p>
    <w:p>
      <w:pPr>
        <w:pStyle w:val="BodyText"/>
        <w:spacing w:line="250" w:lineRule="exact" w:before="113"/>
        <w:ind w:right="182"/>
        <w:jc w:val="left"/>
        <w:rPr>
          <w:rFonts w:ascii="Segoe UI" w:hAnsi="Segoe UI" w:cs="Segoe UI" w:eastAsia="Segoe UI"/>
        </w:rPr>
      </w:pPr>
      <w:r>
        <w:rPr>
          <w:rFonts w:ascii="Segoe UI" w:hAnsi="Segoe UI" w:cs="Segoe UI" w:eastAsia="Segoe UI"/>
          <w:color w:val="231F20"/>
        </w:rPr>
        <w:t>The</w:t>
      </w:r>
      <w:r>
        <w:rPr>
          <w:rFonts w:ascii="Segoe UI" w:hAnsi="Segoe UI" w:cs="Segoe UI" w:eastAsia="Segoe UI"/>
          <w:color w:val="231F20"/>
          <w:spacing w:val="-5"/>
        </w:rPr>
        <w:t> </w:t>
      </w:r>
      <w:r>
        <w:rPr>
          <w:rFonts w:ascii="Segoe UI" w:hAnsi="Segoe UI" w:cs="Segoe UI" w:eastAsia="Segoe UI"/>
          <w:color w:val="231F20"/>
          <w:spacing w:val="-1"/>
        </w:rPr>
        <w:t>KPMG,</w:t>
      </w:r>
      <w:r>
        <w:rPr>
          <w:rFonts w:ascii="Segoe UI" w:hAnsi="Segoe UI" w:cs="Segoe UI" w:eastAsia="Segoe UI"/>
          <w:color w:val="231F20"/>
          <w:spacing w:val="-4"/>
        </w:rPr>
        <w:t> </w:t>
      </w:r>
      <w:r>
        <w:rPr>
          <w:rFonts w:ascii="Segoe UI" w:hAnsi="Segoe UI" w:cs="Segoe UI" w:eastAsia="Segoe UI"/>
          <w:color w:val="231F20"/>
          <w:spacing w:val="-1"/>
        </w:rPr>
        <w:t>2016</w:t>
      </w:r>
      <w:r>
        <w:rPr>
          <w:rFonts w:ascii="Segoe UI" w:hAnsi="Segoe UI" w:cs="Segoe UI" w:eastAsia="Segoe UI"/>
          <w:color w:val="231F20"/>
          <w:spacing w:val="-5"/>
        </w:rPr>
        <w:t> </w:t>
      </w:r>
      <w:r>
        <w:rPr>
          <w:rFonts w:ascii="Segoe UI" w:hAnsi="Segoe UI" w:cs="Segoe UI" w:eastAsia="Segoe UI"/>
          <w:color w:val="231F20"/>
        </w:rPr>
        <w:t>report</w:t>
      </w:r>
      <w:r>
        <w:rPr>
          <w:rFonts w:ascii="Segoe UI" w:hAnsi="Segoe UI" w:cs="Segoe UI" w:eastAsia="Segoe UI"/>
          <w:color w:val="231F20"/>
          <w:spacing w:val="-5"/>
        </w:rPr>
        <w:t> </w:t>
      </w:r>
      <w:r>
        <w:rPr>
          <w:rFonts w:ascii="Segoe UI" w:hAnsi="Segoe UI" w:cs="Segoe UI" w:eastAsia="Segoe UI"/>
          <w:color w:val="231F20"/>
          <w:spacing w:val="-1"/>
        </w:rPr>
        <w:t>stated</w:t>
      </w:r>
      <w:r>
        <w:rPr>
          <w:rFonts w:ascii="Segoe UI" w:hAnsi="Segoe UI" w:cs="Segoe UI" w:eastAsia="Segoe UI"/>
          <w:color w:val="231F20"/>
          <w:spacing w:val="-5"/>
        </w:rPr>
        <w:t> </w:t>
      </w:r>
      <w:r>
        <w:rPr>
          <w:rFonts w:ascii="Segoe UI" w:hAnsi="Segoe UI" w:cs="Segoe UI" w:eastAsia="Segoe UI"/>
          <w:color w:val="231F20"/>
        </w:rPr>
        <w:t>that</w:t>
      </w:r>
      <w:r>
        <w:rPr>
          <w:rFonts w:ascii="Segoe UI" w:hAnsi="Segoe UI" w:cs="Segoe UI" w:eastAsia="Segoe UI"/>
          <w:color w:val="231F20"/>
          <w:spacing w:val="-5"/>
        </w:rPr>
        <w:t> </w:t>
      </w:r>
      <w:r>
        <w:rPr>
          <w:rFonts w:ascii="Segoe UI" w:hAnsi="Segoe UI" w:cs="Segoe UI" w:eastAsia="Segoe UI"/>
          <w:color w:val="231F20"/>
        </w:rPr>
        <w:t>‘the</w:t>
      </w:r>
      <w:r>
        <w:rPr>
          <w:rFonts w:ascii="Segoe UI" w:hAnsi="Segoe UI" w:cs="Segoe UI" w:eastAsia="Segoe UI"/>
          <w:color w:val="231F20"/>
          <w:spacing w:val="24"/>
          <w:w w:val="99"/>
        </w:rPr>
        <w:t> </w:t>
      </w:r>
      <w:r>
        <w:rPr>
          <w:rFonts w:ascii="Segoe UI" w:hAnsi="Segoe UI" w:cs="Segoe UI" w:eastAsia="Segoe UI"/>
          <w:color w:val="231F20"/>
          <w:spacing w:val="-1"/>
        </w:rPr>
        <w:t>increase</w:t>
      </w:r>
      <w:r>
        <w:rPr>
          <w:rFonts w:ascii="Segoe UI" w:hAnsi="Segoe UI" w:cs="Segoe UI" w:eastAsia="Segoe UI"/>
          <w:color w:val="231F20"/>
          <w:spacing w:val="-6"/>
        </w:rPr>
        <w:t> </w:t>
      </w:r>
      <w:r>
        <w:rPr>
          <w:rFonts w:ascii="Segoe UI" w:hAnsi="Segoe UI" w:cs="Segoe UI" w:eastAsia="Segoe UI"/>
          <w:color w:val="231F20"/>
          <w:spacing w:val="-1"/>
        </w:rPr>
        <w:t>in</w:t>
      </w:r>
      <w:r>
        <w:rPr>
          <w:rFonts w:ascii="Segoe UI" w:hAnsi="Segoe UI" w:cs="Segoe UI" w:eastAsia="Segoe UI"/>
          <w:color w:val="231F20"/>
          <w:spacing w:val="-5"/>
        </w:rPr>
        <w:t> </w:t>
      </w:r>
      <w:r>
        <w:rPr>
          <w:rFonts w:ascii="Segoe UI" w:hAnsi="Segoe UI" w:cs="Segoe UI" w:eastAsia="Segoe UI"/>
          <w:color w:val="231F20"/>
        </w:rPr>
        <w:t>the</w:t>
      </w:r>
      <w:r>
        <w:rPr>
          <w:rFonts w:ascii="Segoe UI" w:hAnsi="Segoe UI" w:cs="Segoe UI" w:eastAsia="Segoe UI"/>
          <w:color w:val="231F20"/>
          <w:spacing w:val="-6"/>
        </w:rPr>
        <w:t> </w:t>
      </w:r>
      <w:r>
        <w:rPr>
          <w:rFonts w:ascii="Segoe UI" w:hAnsi="Segoe UI" w:cs="Segoe UI" w:eastAsia="Segoe UI"/>
          <w:color w:val="231F20"/>
        </w:rPr>
        <w:t>percentage</w:t>
      </w:r>
      <w:r>
        <w:rPr>
          <w:rFonts w:ascii="Segoe UI" w:hAnsi="Segoe UI" w:cs="Segoe UI" w:eastAsia="Segoe UI"/>
          <w:color w:val="231F20"/>
          <w:spacing w:val="-6"/>
        </w:rPr>
        <w:t> </w:t>
      </w:r>
      <w:r>
        <w:rPr>
          <w:rFonts w:ascii="Segoe UI" w:hAnsi="Segoe UI" w:cs="Segoe UI" w:eastAsia="Segoe UI"/>
          <w:color w:val="231F20"/>
          <w:spacing w:val="-1"/>
        </w:rPr>
        <w:t>mix</w:t>
      </w:r>
      <w:r>
        <w:rPr>
          <w:rFonts w:ascii="Segoe UI" w:hAnsi="Segoe UI" w:cs="Segoe UI" w:eastAsia="Segoe UI"/>
          <w:color w:val="231F20"/>
          <w:spacing w:val="-5"/>
        </w:rPr>
        <w:t> </w:t>
      </w:r>
      <w:r>
        <w:rPr>
          <w:rFonts w:ascii="Segoe UI" w:hAnsi="Segoe UI" w:cs="Segoe UI" w:eastAsia="Segoe UI"/>
          <w:color w:val="231F20"/>
        </w:rPr>
        <w:t>of</w:t>
      </w:r>
      <w:r>
        <w:rPr>
          <w:rFonts w:ascii="Segoe UI" w:hAnsi="Segoe UI" w:cs="Segoe UI" w:eastAsia="Segoe UI"/>
          <w:color w:val="231F20"/>
          <w:spacing w:val="-5"/>
        </w:rPr>
        <w:t> </w:t>
      </w:r>
      <w:r>
        <w:rPr>
          <w:rFonts w:ascii="Segoe UI" w:hAnsi="Segoe UI" w:cs="Segoe UI" w:eastAsia="Segoe UI"/>
          <w:color w:val="231F20"/>
        </w:rPr>
        <w:t>Aboriginal</w:t>
      </w:r>
      <w:r>
        <w:rPr>
          <w:rFonts w:ascii="Segoe UI" w:hAnsi="Segoe UI" w:cs="Segoe UI" w:eastAsia="Segoe UI"/>
          <w:color w:val="231F20"/>
          <w:spacing w:val="24"/>
          <w:w w:val="99"/>
        </w:rPr>
        <w:t> </w:t>
      </w:r>
      <w:r>
        <w:rPr>
          <w:rFonts w:ascii="Segoe UI" w:hAnsi="Segoe UI" w:cs="Segoe UI" w:eastAsia="Segoe UI"/>
          <w:color w:val="231F20"/>
        </w:rPr>
        <w:t>and</w:t>
      </w:r>
      <w:r>
        <w:rPr>
          <w:rFonts w:ascii="Segoe UI" w:hAnsi="Segoe UI" w:cs="Segoe UI" w:eastAsia="Segoe UI"/>
          <w:color w:val="231F20"/>
          <w:spacing w:val="-8"/>
        </w:rPr>
        <w:t> </w:t>
      </w:r>
      <w:r>
        <w:rPr>
          <w:rFonts w:ascii="Segoe UI" w:hAnsi="Segoe UI" w:cs="Segoe UI" w:eastAsia="Segoe UI"/>
          <w:color w:val="231F20"/>
          <w:spacing w:val="-5"/>
        </w:rPr>
        <w:t>Torres</w:t>
      </w:r>
      <w:r>
        <w:rPr>
          <w:rFonts w:ascii="Segoe UI" w:hAnsi="Segoe UI" w:cs="Segoe UI" w:eastAsia="Segoe UI"/>
          <w:color w:val="231F20"/>
          <w:spacing w:val="-6"/>
        </w:rPr>
        <w:t> </w:t>
      </w:r>
      <w:r>
        <w:rPr>
          <w:rFonts w:ascii="Segoe UI" w:hAnsi="Segoe UI" w:cs="Segoe UI" w:eastAsia="Segoe UI"/>
          <w:color w:val="231F20"/>
          <w:spacing w:val="-2"/>
        </w:rPr>
        <w:t>Strait</w:t>
      </w:r>
      <w:r>
        <w:rPr>
          <w:rFonts w:ascii="Segoe UI" w:hAnsi="Segoe UI" w:cs="Segoe UI" w:eastAsia="Segoe UI"/>
          <w:color w:val="231F20"/>
          <w:spacing w:val="-7"/>
        </w:rPr>
        <w:t> </w:t>
      </w:r>
      <w:r>
        <w:rPr>
          <w:rFonts w:ascii="Segoe UI" w:hAnsi="Segoe UI" w:cs="Segoe UI" w:eastAsia="Segoe UI"/>
          <w:color w:val="231F20"/>
          <w:spacing w:val="-1"/>
        </w:rPr>
        <w:t>Islander</w:t>
      </w:r>
      <w:r>
        <w:rPr>
          <w:rFonts w:ascii="Segoe UI" w:hAnsi="Segoe UI" w:cs="Segoe UI" w:eastAsia="Segoe UI"/>
          <w:color w:val="231F20"/>
          <w:spacing w:val="-6"/>
        </w:rPr>
        <w:t> </w:t>
      </w:r>
      <w:r>
        <w:rPr>
          <w:rFonts w:ascii="Segoe UI" w:hAnsi="Segoe UI" w:cs="Segoe UI" w:eastAsia="Segoe UI"/>
          <w:color w:val="231F20"/>
        </w:rPr>
        <w:t>boarders</w:t>
      </w:r>
      <w:r>
        <w:rPr>
          <w:rFonts w:ascii="Segoe UI" w:hAnsi="Segoe UI" w:cs="Segoe UI" w:eastAsia="Segoe UI"/>
          <w:color w:val="231F20"/>
          <w:spacing w:val="-8"/>
        </w:rPr>
        <w:t> </w:t>
      </w:r>
      <w:r>
        <w:rPr>
          <w:rFonts w:ascii="Segoe UI" w:hAnsi="Segoe UI" w:cs="Segoe UI" w:eastAsia="Segoe UI"/>
          <w:color w:val="231F20"/>
        </w:rPr>
        <w:t>occasioned</w:t>
      </w:r>
      <w:r>
        <w:rPr>
          <w:rFonts w:ascii="Segoe UI" w:hAnsi="Segoe UI" w:cs="Segoe UI" w:eastAsia="Segoe UI"/>
          <w:color w:val="231F20"/>
          <w:spacing w:val="21"/>
          <w:w w:val="99"/>
        </w:rPr>
        <w:t> </w:t>
      </w:r>
      <w:r>
        <w:rPr>
          <w:rFonts w:ascii="Segoe UI" w:hAnsi="Segoe UI" w:cs="Segoe UI" w:eastAsia="Segoe UI"/>
          <w:color w:val="231F20"/>
        </w:rPr>
        <w:t>an</w:t>
      </w:r>
      <w:r>
        <w:rPr>
          <w:rFonts w:ascii="Segoe UI" w:hAnsi="Segoe UI" w:cs="Segoe UI" w:eastAsia="Segoe UI"/>
          <w:color w:val="231F20"/>
          <w:spacing w:val="-5"/>
        </w:rPr>
        <w:t> </w:t>
      </w:r>
      <w:r>
        <w:rPr>
          <w:rFonts w:ascii="Segoe UI" w:hAnsi="Segoe UI" w:cs="Segoe UI" w:eastAsia="Segoe UI"/>
          <w:color w:val="231F20"/>
          <w:spacing w:val="-1"/>
        </w:rPr>
        <w:t>increase</w:t>
      </w:r>
      <w:r>
        <w:rPr>
          <w:rFonts w:ascii="Segoe UI" w:hAnsi="Segoe UI" w:cs="Segoe UI" w:eastAsia="Segoe UI"/>
          <w:color w:val="231F20"/>
          <w:spacing w:val="-3"/>
        </w:rPr>
        <w:t> </w:t>
      </w:r>
      <w:r>
        <w:rPr>
          <w:rFonts w:ascii="Segoe UI" w:hAnsi="Segoe UI" w:cs="Segoe UI" w:eastAsia="Segoe UI"/>
          <w:color w:val="231F20"/>
          <w:spacing w:val="-1"/>
        </w:rPr>
        <w:t>in</w:t>
      </w:r>
      <w:r>
        <w:rPr>
          <w:rFonts w:ascii="Segoe UI" w:hAnsi="Segoe UI" w:cs="Segoe UI" w:eastAsia="Segoe UI"/>
          <w:color w:val="231F20"/>
          <w:spacing w:val="-4"/>
        </w:rPr>
        <w:t> </w:t>
      </w:r>
      <w:r>
        <w:rPr>
          <w:rFonts w:ascii="Segoe UI" w:hAnsi="Segoe UI" w:cs="Segoe UI" w:eastAsia="Segoe UI"/>
          <w:color w:val="231F20"/>
        </w:rPr>
        <w:t>the</w:t>
      </w:r>
      <w:r>
        <w:rPr>
          <w:rFonts w:ascii="Segoe UI" w:hAnsi="Segoe UI" w:cs="Segoe UI" w:eastAsia="Segoe UI"/>
          <w:color w:val="231F20"/>
          <w:spacing w:val="-4"/>
        </w:rPr>
        <w:t> </w:t>
      </w:r>
      <w:r>
        <w:rPr>
          <w:rFonts w:ascii="Segoe UI" w:hAnsi="Segoe UI" w:cs="Segoe UI" w:eastAsia="Segoe UI"/>
          <w:color w:val="231F20"/>
        </w:rPr>
        <w:t>cost</w:t>
      </w:r>
      <w:r>
        <w:rPr>
          <w:rFonts w:ascii="Segoe UI" w:hAnsi="Segoe UI" w:cs="Segoe UI" w:eastAsia="Segoe UI"/>
          <w:color w:val="231F20"/>
          <w:spacing w:val="-4"/>
        </w:rPr>
        <w:t> </w:t>
      </w:r>
      <w:r>
        <w:rPr>
          <w:rFonts w:ascii="Segoe UI" w:hAnsi="Segoe UI" w:cs="Segoe UI" w:eastAsia="Segoe UI"/>
          <w:color w:val="231F20"/>
        </w:rPr>
        <w:t>and</w:t>
      </w:r>
      <w:r>
        <w:rPr>
          <w:rFonts w:ascii="Segoe UI" w:hAnsi="Segoe UI" w:cs="Segoe UI" w:eastAsia="Segoe UI"/>
          <w:color w:val="231F20"/>
          <w:spacing w:val="-4"/>
        </w:rPr>
        <w:t> </w:t>
      </w:r>
      <w:r>
        <w:rPr>
          <w:rFonts w:ascii="Segoe UI" w:hAnsi="Segoe UI" w:cs="Segoe UI" w:eastAsia="Segoe UI"/>
          <w:color w:val="231F20"/>
        </w:rPr>
        <w:t>resultant</w:t>
      </w:r>
      <w:r>
        <w:rPr>
          <w:rFonts w:ascii="Segoe UI" w:hAnsi="Segoe UI" w:cs="Segoe UI" w:eastAsia="Segoe UI"/>
          <w:color w:val="231F20"/>
          <w:spacing w:val="-5"/>
        </w:rPr>
        <w:t> </w:t>
      </w:r>
      <w:r>
        <w:rPr>
          <w:rFonts w:ascii="Segoe UI" w:hAnsi="Segoe UI" w:cs="Segoe UI" w:eastAsia="Segoe UI"/>
          <w:color w:val="231F20"/>
          <w:spacing w:val="-1"/>
        </w:rPr>
        <w:t>losses,</w:t>
      </w:r>
      <w:r>
        <w:rPr>
          <w:rFonts w:ascii="Segoe UI" w:hAnsi="Segoe UI" w:cs="Segoe UI" w:eastAsia="Segoe UI"/>
        </w:rPr>
      </w:r>
    </w:p>
    <w:p>
      <w:pPr>
        <w:pStyle w:val="BodyText"/>
        <w:spacing w:line="250" w:lineRule="exact"/>
        <w:ind w:right="327"/>
        <w:jc w:val="left"/>
        <w:rPr>
          <w:rFonts w:ascii="Segoe UI" w:hAnsi="Segoe UI" w:cs="Segoe UI" w:eastAsia="Segoe UI"/>
        </w:rPr>
      </w:pPr>
      <w:r>
        <w:rPr>
          <w:rFonts w:ascii="Segoe UI" w:hAnsi="Segoe UI" w:cs="Segoe UI" w:eastAsia="Segoe UI"/>
          <w:color w:val="231F20"/>
        </w:rPr>
        <w:t>as</w:t>
      </w:r>
      <w:r>
        <w:rPr>
          <w:rFonts w:ascii="Segoe UI" w:hAnsi="Segoe UI" w:cs="Segoe UI" w:eastAsia="Segoe UI"/>
          <w:color w:val="231F20"/>
          <w:spacing w:val="-6"/>
        </w:rPr>
        <w:t> </w:t>
      </w:r>
      <w:r>
        <w:rPr>
          <w:rFonts w:ascii="Segoe UI" w:hAnsi="Segoe UI" w:cs="Segoe UI" w:eastAsia="Segoe UI"/>
          <w:color w:val="231F20"/>
        </w:rPr>
        <w:t>a</w:t>
      </w:r>
      <w:r>
        <w:rPr>
          <w:rFonts w:ascii="Segoe UI" w:hAnsi="Segoe UI" w:cs="Segoe UI" w:eastAsia="Segoe UI"/>
          <w:color w:val="231F20"/>
          <w:spacing w:val="-4"/>
        </w:rPr>
        <w:t> </w:t>
      </w:r>
      <w:r>
        <w:rPr>
          <w:rFonts w:ascii="Segoe UI" w:hAnsi="Segoe UI" w:cs="Segoe UI" w:eastAsia="Segoe UI"/>
          <w:color w:val="231F20"/>
        </w:rPr>
        <w:t>result</w:t>
      </w:r>
      <w:r>
        <w:rPr>
          <w:rFonts w:ascii="Segoe UI" w:hAnsi="Segoe UI" w:cs="Segoe UI" w:eastAsia="Segoe UI"/>
          <w:color w:val="231F20"/>
          <w:spacing w:val="-5"/>
        </w:rPr>
        <w:t> </w:t>
      </w:r>
      <w:r>
        <w:rPr>
          <w:rFonts w:ascii="Segoe UI" w:hAnsi="Segoe UI" w:cs="Segoe UI" w:eastAsia="Segoe UI"/>
          <w:color w:val="231F20"/>
        </w:rPr>
        <w:t>of</w:t>
      </w:r>
      <w:r>
        <w:rPr>
          <w:rFonts w:ascii="Segoe UI" w:hAnsi="Segoe UI" w:cs="Segoe UI" w:eastAsia="Segoe UI"/>
          <w:color w:val="231F20"/>
          <w:spacing w:val="-4"/>
        </w:rPr>
        <w:t> </w:t>
      </w:r>
      <w:r>
        <w:rPr>
          <w:rFonts w:ascii="Segoe UI" w:hAnsi="Segoe UI" w:cs="Segoe UI" w:eastAsia="Segoe UI"/>
          <w:color w:val="231F20"/>
          <w:spacing w:val="-1"/>
        </w:rPr>
        <w:t>incremental</w:t>
      </w:r>
      <w:r>
        <w:rPr>
          <w:rFonts w:ascii="Segoe UI" w:hAnsi="Segoe UI" w:cs="Segoe UI" w:eastAsia="Segoe UI"/>
          <w:color w:val="231F20"/>
          <w:spacing w:val="-4"/>
        </w:rPr>
        <w:t> </w:t>
      </w:r>
      <w:r>
        <w:rPr>
          <w:rFonts w:ascii="Segoe UI" w:hAnsi="Segoe UI" w:cs="Segoe UI" w:eastAsia="Segoe UI"/>
          <w:color w:val="231F20"/>
        </w:rPr>
        <w:t>costs</w:t>
      </w:r>
      <w:r>
        <w:rPr>
          <w:rFonts w:ascii="Segoe UI" w:hAnsi="Segoe UI" w:cs="Segoe UI" w:eastAsia="Segoe UI"/>
          <w:color w:val="231F20"/>
          <w:spacing w:val="-5"/>
        </w:rPr>
        <w:t> </w:t>
      </w:r>
      <w:r>
        <w:rPr>
          <w:rFonts w:ascii="Segoe UI" w:hAnsi="Segoe UI" w:cs="Segoe UI" w:eastAsia="Segoe UI"/>
          <w:color w:val="231F20"/>
        </w:rPr>
        <w:t>of</w:t>
      </w:r>
      <w:r>
        <w:rPr>
          <w:rFonts w:ascii="Segoe UI" w:hAnsi="Segoe UI" w:cs="Segoe UI" w:eastAsia="Segoe UI"/>
          <w:color w:val="231F20"/>
          <w:spacing w:val="-4"/>
        </w:rPr>
        <w:t> </w:t>
      </w:r>
      <w:r>
        <w:rPr>
          <w:rFonts w:ascii="Segoe UI" w:hAnsi="Segoe UI" w:cs="Segoe UI" w:eastAsia="Segoe UI"/>
          <w:color w:val="231F20"/>
        </w:rPr>
        <w:t>additional</w:t>
      </w:r>
      <w:r>
        <w:rPr>
          <w:rFonts w:ascii="Segoe UI" w:hAnsi="Segoe UI" w:cs="Segoe UI" w:eastAsia="Segoe UI"/>
          <w:color w:val="231F20"/>
          <w:spacing w:val="22"/>
          <w:w w:val="99"/>
        </w:rPr>
        <w:t> </w:t>
      </w:r>
      <w:r>
        <w:rPr>
          <w:rFonts w:ascii="Segoe UI" w:hAnsi="Segoe UI" w:cs="Segoe UI" w:eastAsia="Segoe UI"/>
          <w:color w:val="231F20"/>
        </w:rPr>
        <w:t>boarders</w:t>
      </w:r>
      <w:r>
        <w:rPr>
          <w:rFonts w:ascii="Segoe UI" w:hAnsi="Segoe UI" w:cs="Segoe UI" w:eastAsia="Segoe UI"/>
          <w:color w:val="231F20"/>
          <w:spacing w:val="-12"/>
        </w:rPr>
        <w:t> </w:t>
      </w:r>
      <w:r>
        <w:rPr>
          <w:rFonts w:ascii="Segoe UI" w:hAnsi="Segoe UI" w:cs="Segoe UI" w:eastAsia="Segoe UI"/>
          <w:color w:val="231F20"/>
        </w:rPr>
        <w:t>being</w:t>
      </w:r>
      <w:r>
        <w:rPr>
          <w:rFonts w:ascii="Segoe UI" w:hAnsi="Segoe UI" w:cs="Segoe UI" w:eastAsia="Segoe UI"/>
          <w:color w:val="231F20"/>
          <w:spacing w:val="-11"/>
        </w:rPr>
        <w:t> </w:t>
      </w:r>
      <w:r>
        <w:rPr>
          <w:rFonts w:ascii="Segoe UI" w:hAnsi="Segoe UI" w:cs="Segoe UI" w:eastAsia="Segoe UI"/>
          <w:color w:val="231F20"/>
        </w:rPr>
        <w:t>unrecovered</w:t>
      </w:r>
      <w:r>
        <w:rPr>
          <w:rFonts w:ascii="Segoe UI" w:hAnsi="Segoe UI" w:cs="Segoe UI" w:eastAsia="Segoe UI"/>
          <w:color w:val="231F20"/>
          <w:spacing w:val="-11"/>
        </w:rPr>
        <w:t> </w:t>
      </w:r>
      <w:r>
        <w:rPr>
          <w:rFonts w:ascii="Segoe UI" w:hAnsi="Segoe UI" w:cs="Segoe UI" w:eastAsia="Segoe UI"/>
          <w:color w:val="231F20"/>
        </w:rPr>
        <w:t>through</w:t>
      </w:r>
      <w:r>
        <w:rPr>
          <w:rFonts w:ascii="Segoe UI" w:hAnsi="Segoe UI" w:cs="Segoe UI" w:eastAsia="Segoe UI"/>
          <w:color w:val="231F20"/>
          <w:w w:val="99"/>
        </w:rPr>
        <w:t> </w:t>
      </w:r>
      <w:r>
        <w:rPr>
          <w:rFonts w:ascii="Segoe UI" w:hAnsi="Segoe UI" w:cs="Segoe UI" w:eastAsia="Segoe UI"/>
          <w:color w:val="231F20"/>
        </w:rPr>
        <w:t>corresponding</w:t>
      </w:r>
      <w:r>
        <w:rPr>
          <w:rFonts w:ascii="Segoe UI" w:hAnsi="Segoe UI" w:cs="Segoe UI" w:eastAsia="Segoe UI"/>
          <w:color w:val="231F20"/>
          <w:spacing w:val="-10"/>
        </w:rPr>
        <w:t> </w:t>
      </w:r>
      <w:r>
        <w:rPr>
          <w:rFonts w:ascii="Segoe UI" w:hAnsi="Segoe UI" w:cs="Segoe UI" w:eastAsia="Segoe UI"/>
          <w:color w:val="231F20"/>
        </w:rPr>
        <w:t>funding</w:t>
      </w:r>
      <w:r>
        <w:rPr>
          <w:rFonts w:ascii="Segoe UI" w:hAnsi="Segoe UI" w:cs="Segoe UI" w:eastAsia="Segoe UI"/>
          <w:color w:val="231F20"/>
          <w:spacing w:val="-9"/>
        </w:rPr>
        <w:t> </w:t>
      </w:r>
      <w:r>
        <w:rPr>
          <w:rFonts w:ascii="Segoe UI" w:hAnsi="Segoe UI" w:cs="Segoe UI" w:eastAsia="Segoe UI"/>
          <w:color w:val="231F20"/>
        </w:rPr>
        <w:t>available</w:t>
      </w:r>
      <w:r>
        <w:rPr>
          <w:rFonts w:ascii="Segoe UI" w:hAnsi="Segoe UI" w:cs="Segoe UI" w:eastAsia="Segoe UI"/>
          <w:color w:val="231F20"/>
          <w:spacing w:val="-9"/>
        </w:rPr>
        <w:t> </w:t>
      </w:r>
      <w:r>
        <w:rPr>
          <w:rFonts w:ascii="Segoe UI" w:hAnsi="Segoe UI" w:cs="Segoe UI" w:eastAsia="Segoe UI"/>
          <w:color w:val="231F20"/>
        </w:rPr>
        <w:t>for</w:t>
      </w:r>
      <w:r>
        <w:rPr>
          <w:rFonts w:ascii="Segoe UI" w:hAnsi="Segoe UI" w:cs="Segoe UI" w:eastAsia="Segoe UI"/>
          <w:color w:val="231F20"/>
          <w:spacing w:val="-9"/>
        </w:rPr>
        <w:t> </w:t>
      </w:r>
      <w:r>
        <w:rPr>
          <w:rFonts w:ascii="Segoe UI" w:hAnsi="Segoe UI" w:cs="Segoe UI" w:eastAsia="Segoe UI"/>
          <w:color w:val="231F20"/>
        </w:rPr>
        <w:t>those</w:t>
      </w:r>
      <w:r>
        <w:rPr>
          <w:rFonts w:ascii="Segoe UI" w:hAnsi="Segoe UI" w:cs="Segoe UI" w:eastAsia="Segoe UI"/>
          <w:color w:val="231F20"/>
          <w:w w:val="99"/>
        </w:rPr>
        <w:t> </w:t>
      </w:r>
      <w:r>
        <w:rPr>
          <w:rFonts w:ascii="Segoe UI" w:hAnsi="Segoe UI" w:cs="Segoe UI" w:eastAsia="Segoe UI"/>
          <w:color w:val="231F20"/>
          <w:spacing w:val="-1"/>
        </w:rPr>
        <w:t>boarders’.</w:t>
      </w:r>
      <w:r>
        <w:rPr>
          <w:rFonts w:ascii="Segoe UI Semibold" w:hAnsi="Segoe UI Semibold" w:cs="Segoe UI Semibold" w:eastAsia="Segoe UI Semibold"/>
          <w:b/>
          <w:bCs/>
          <w:color w:val="231F20"/>
          <w:spacing w:val="-1"/>
          <w:position w:val="7"/>
          <w:sz w:val="11"/>
          <w:szCs w:val="11"/>
        </w:rPr>
        <w:t>37</w:t>
      </w:r>
      <w:r>
        <w:rPr>
          <w:rFonts w:ascii="Segoe UI Semibold" w:hAnsi="Segoe UI Semibold" w:cs="Segoe UI Semibold" w:eastAsia="Segoe UI Semibold"/>
          <w:b/>
          <w:bCs/>
          <w:color w:val="231F20"/>
          <w:spacing w:val="21"/>
          <w:position w:val="7"/>
          <w:sz w:val="11"/>
          <w:szCs w:val="11"/>
        </w:rPr>
        <w:t> </w:t>
      </w:r>
      <w:r>
        <w:rPr>
          <w:rFonts w:ascii="Segoe UI" w:hAnsi="Segoe UI" w:cs="Segoe UI" w:eastAsia="Segoe UI"/>
          <w:color w:val="231F20"/>
        </w:rPr>
        <w:t>The</w:t>
      </w:r>
      <w:r>
        <w:rPr>
          <w:rFonts w:ascii="Segoe UI" w:hAnsi="Segoe UI" w:cs="Segoe UI" w:eastAsia="Segoe UI"/>
          <w:color w:val="231F20"/>
          <w:spacing w:val="-3"/>
        </w:rPr>
        <w:t> </w:t>
      </w:r>
      <w:r>
        <w:rPr>
          <w:rFonts w:ascii="Segoe UI" w:hAnsi="Segoe UI" w:cs="Segoe UI" w:eastAsia="Segoe UI"/>
          <w:color w:val="231F20"/>
          <w:spacing w:val="-1"/>
        </w:rPr>
        <w:t>CAEPR,</w:t>
      </w:r>
      <w:r>
        <w:rPr>
          <w:rFonts w:ascii="Segoe UI" w:hAnsi="Segoe UI" w:cs="Segoe UI" w:eastAsia="Segoe UI"/>
          <w:color w:val="231F20"/>
          <w:spacing w:val="-3"/>
        </w:rPr>
        <w:t> </w:t>
      </w:r>
      <w:r>
        <w:rPr>
          <w:rFonts w:ascii="Segoe UI" w:hAnsi="Segoe UI" w:cs="Segoe UI" w:eastAsia="Segoe UI"/>
          <w:color w:val="231F20"/>
          <w:spacing w:val="-1"/>
        </w:rPr>
        <w:t>2017</w:t>
      </w:r>
      <w:r>
        <w:rPr>
          <w:rFonts w:ascii="Segoe UI" w:hAnsi="Segoe UI" w:cs="Segoe UI" w:eastAsia="Segoe UI"/>
          <w:color w:val="231F20"/>
          <w:spacing w:val="-2"/>
        </w:rPr>
        <w:t> </w:t>
      </w:r>
      <w:r>
        <w:rPr>
          <w:rFonts w:ascii="Segoe UI" w:hAnsi="Segoe UI" w:cs="Segoe UI" w:eastAsia="Segoe UI"/>
          <w:color w:val="231F20"/>
        </w:rPr>
        <w:t>report</w:t>
      </w:r>
      <w:r>
        <w:rPr>
          <w:rFonts w:ascii="Segoe UI" w:hAnsi="Segoe UI" w:cs="Segoe UI" w:eastAsia="Segoe UI"/>
          <w:color w:val="231F20"/>
          <w:spacing w:val="-4"/>
        </w:rPr>
        <w:t> </w:t>
      </w:r>
      <w:r>
        <w:rPr>
          <w:rFonts w:ascii="Segoe UI" w:hAnsi="Segoe UI" w:cs="Segoe UI" w:eastAsia="Segoe UI"/>
          <w:color w:val="231F20"/>
        </w:rPr>
        <w:t>came</w:t>
      </w:r>
      <w:r>
        <w:rPr>
          <w:rFonts w:ascii="Segoe UI" w:hAnsi="Segoe UI" w:cs="Segoe UI" w:eastAsia="Segoe UI"/>
          <w:color w:val="231F20"/>
          <w:spacing w:val="-4"/>
        </w:rPr>
        <w:t> </w:t>
      </w:r>
      <w:r>
        <w:rPr>
          <w:rFonts w:ascii="Segoe UI" w:hAnsi="Segoe UI" w:cs="Segoe UI" w:eastAsia="Segoe UI"/>
          <w:color w:val="231F20"/>
          <w:spacing w:val="-4"/>
        </w:rPr>
      </w:r>
      <w:r>
        <w:rPr>
          <w:rFonts w:ascii="Segoe UI" w:hAnsi="Segoe UI" w:cs="Segoe UI" w:eastAsia="Segoe UI"/>
          <w:color w:val="231F20"/>
        </w:rPr>
        <w:t>to</w:t>
      </w:r>
      <w:r>
        <w:rPr>
          <w:rFonts w:ascii="Segoe UI" w:hAnsi="Segoe UI" w:cs="Segoe UI" w:eastAsia="Segoe UI"/>
          <w:color w:val="231F20"/>
          <w:spacing w:val="25"/>
        </w:rPr>
        <w:t> </w:t>
      </w:r>
      <w:r>
        <w:rPr>
          <w:rFonts w:ascii="Segoe UI" w:hAnsi="Segoe UI" w:cs="Segoe UI" w:eastAsia="Segoe UI"/>
          <w:color w:val="231F20"/>
        </w:rPr>
        <w:t>a</w:t>
      </w:r>
      <w:r>
        <w:rPr>
          <w:rFonts w:ascii="Segoe UI" w:hAnsi="Segoe UI" w:cs="Segoe UI" w:eastAsia="Segoe UI"/>
          <w:color w:val="231F20"/>
          <w:spacing w:val="-1"/>
        </w:rPr>
        <w:t> similar</w:t>
      </w:r>
      <w:r>
        <w:rPr>
          <w:rFonts w:ascii="Segoe UI" w:hAnsi="Segoe UI" w:cs="Segoe UI" w:eastAsia="Segoe UI"/>
          <w:color w:val="231F20"/>
        </w:rPr>
        <w:t> conclusion—‘Schools</w:t>
      </w:r>
      <w:r>
        <w:rPr>
          <w:rFonts w:ascii="Segoe UI" w:hAnsi="Segoe UI" w:cs="Segoe UI" w:eastAsia="Segoe UI"/>
          <w:color w:val="231F20"/>
          <w:spacing w:val="-1"/>
        </w:rPr>
        <w:t> subsidise</w:t>
      </w:r>
      <w:r>
        <w:rPr>
          <w:rFonts w:ascii="Segoe UI" w:hAnsi="Segoe UI" w:cs="Segoe UI" w:eastAsia="Segoe UI"/>
          <w:color w:val="231F20"/>
          <w:spacing w:val="21"/>
        </w:rPr>
        <w:t> </w:t>
      </w:r>
      <w:r>
        <w:rPr>
          <w:rFonts w:ascii="Segoe UI" w:hAnsi="Segoe UI" w:cs="Segoe UI" w:eastAsia="Segoe UI"/>
          <w:color w:val="231F20"/>
        </w:rPr>
        <w:t>[wraparound]</w:t>
      </w:r>
      <w:r>
        <w:rPr>
          <w:rFonts w:ascii="Segoe UI" w:hAnsi="Segoe UI" w:cs="Segoe UI" w:eastAsia="Segoe UI"/>
          <w:color w:val="231F20"/>
          <w:spacing w:val="-8"/>
        </w:rPr>
        <w:t> </w:t>
      </w:r>
      <w:r>
        <w:rPr>
          <w:rFonts w:ascii="Segoe UI" w:hAnsi="Segoe UI" w:cs="Segoe UI" w:eastAsia="Segoe UI"/>
          <w:color w:val="231F20"/>
          <w:spacing w:val="-1"/>
        </w:rPr>
        <w:t>services</w:t>
      </w:r>
      <w:r>
        <w:rPr>
          <w:rFonts w:ascii="Segoe UI" w:hAnsi="Segoe UI" w:cs="Segoe UI" w:eastAsia="Segoe UI"/>
          <w:color w:val="231F20"/>
          <w:spacing w:val="-7"/>
        </w:rPr>
        <w:t> </w:t>
      </w:r>
      <w:r>
        <w:rPr>
          <w:rFonts w:ascii="Segoe UI" w:hAnsi="Segoe UI" w:cs="Segoe UI" w:eastAsia="Segoe UI"/>
          <w:color w:val="231F20"/>
        </w:rPr>
        <w:t>from</w:t>
      </w:r>
      <w:r>
        <w:rPr>
          <w:rFonts w:ascii="Segoe UI" w:hAnsi="Segoe UI" w:cs="Segoe UI" w:eastAsia="Segoe UI"/>
          <w:color w:val="231F20"/>
          <w:spacing w:val="-7"/>
        </w:rPr>
        <w:t> </w:t>
      </w:r>
      <w:r>
        <w:rPr>
          <w:rFonts w:ascii="Segoe UI" w:hAnsi="Segoe UI" w:cs="Segoe UI" w:eastAsia="Segoe UI"/>
          <w:color w:val="231F20"/>
        </w:rPr>
        <w:t>other</w:t>
      </w:r>
      <w:r>
        <w:rPr>
          <w:rFonts w:ascii="Segoe UI" w:hAnsi="Segoe UI" w:cs="Segoe UI" w:eastAsia="Segoe UI"/>
          <w:color w:val="231F20"/>
          <w:spacing w:val="-7"/>
        </w:rPr>
        <w:t> </w:t>
      </w:r>
      <w:r>
        <w:rPr>
          <w:rFonts w:ascii="Segoe UI" w:hAnsi="Segoe UI" w:cs="Segoe UI" w:eastAsia="Segoe UI"/>
          <w:color w:val="231F20"/>
          <w:spacing w:val="-1"/>
        </w:rPr>
        <w:t>sources;</w:t>
      </w:r>
      <w:r>
        <w:rPr>
          <w:rFonts w:ascii="Segoe UI" w:hAnsi="Segoe UI" w:cs="Segoe UI" w:eastAsia="Segoe UI"/>
          <w:color w:val="231F20"/>
          <w:spacing w:val="21"/>
          <w:w w:val="99"/>
        </w:rPr>
        <w:t> </w:t>
      </w:r>
      <w:r>
        <w:rPr>
          <w:rFonts w:ascii="Segoe UI" w:hAnsi="Segoe UI" w:cs="Segoe UI" w:eastAsia="Segoe UI"/>
          <w:color w:val="231F20"/>
        </w:rPr>
        <w:t>however,</w:t>
      </w:r>
      <w:r>
        <w:rPr>
          <w:rFonts w:ascii="Segoe UI" w:hAnsi="Segoe UI" w:cs="Segoe UI" w:eastAsia="Segoe UI"/>
          <w:color w:val="231F20"/>
          <w:spacing w:val="-5"/>
        </w:rPr>
        <w:t> </w:t>
      </w:r>
      <w:r>
        <w:rPr>
          <w:rFonts w:ascii="Segoe UI" w:hAnsi="Segoe UI" w:cs="Segoe UI" w:eastAsia="Segoe UI"/>
          <w:color w:val="231F20"/>
        </w:rPr>
        <w:t>for</w:t>
      </w:r>
      <w:r>
        <w:rPr>
          <w:rFonts w:ascii="Segoe UI" w:hAnsi="Segoe UI" w:cs="Segoe UI" w:eastAsia="Segoe UI"/>
          <w:color w:val="231F20"/>
          <w:spacing w:val="-4"/>
        </w:rPr>
        <w:t> </w:t>
      </w:r>
      <w:r>
        <w:rPr>
          <w:rFonts w:ascii="Segoe UI" w:hAnsi="Segoe UI" w:cs="Segoe UI" w:eastAsia="Segoe UI"/>
          <w:color w:val="231F20"/>
          <w:spacing w:val="-1"/>
        </w:rPr>
        <w:t>some</w:t>
      </w:r>
      <w:r>
        <w:rPr>
          <w:rFonts w:ascii="Segoe UI" w:hAnsi="Segoe UI" w:cs="Segoe UI" w:eastAsia="Segoe UI"/>
          <w:color w:val="231F20"/>
          <w:spacing w:val="-5"/>
        </w:rPr>
        <w:t> </w:t>
      </w:r>
      <w:r>
        <w:rPr>
          <w:rFonts w:ascii="Segoe UI" w:hAnsi="Segoe UI" w:cs="Segoe UI" w:eastAsia="Segoe UI"/>
          <w:color w:val="231F20"/>
        </w:rPr>
        <w:t>boarding</w:t>
      </w:r>
      <w:r>
        <w:rPr>
          <w:rFonts w:ascii="Segoe UI" w:hAnsi="Segoe UI" w:cs="Segoe UI" w:eastAsia="Segoe UI"/>
          <w:color w:val="231F20"/>
          <w:spacing w:val="-5"/>
        </w:rPr>
        <w:t> </w:t>
      </w:r>
      <w:r>
        <w:rPr>
          <w:rFonts w:ascii="Segoe UI" w:hAnsi="Segoe UI" w:cs="Segoe UI" w:eastAsia="Segoe UI"/>
          <w:color w:val="231F20"/>
          <w:spacing w:val="-1"/>
        </w:rPr>
        <w:t>schools</w:t>
      </w:r>
      <w:r>
        <w:rPr>
          <w:rFonts w:ascii="Segoe UI" w:hAnsi="Segoe UI" w:cs="Segoe UI" w:eastAsia="Segoe UI"/>
          <w:color w:val="231F20"/>
          <w:spacing w:val="-4"/>
        </w:rPr>
        <w:t> </w:t>
      </w:r>
      <w:r>
        <w:rPr>
          <w:rFonts w:ascii="Segoe UI" w:hAnsi="Segoe UI" w:cs="Segoe UI" w:eastAsia="Segoe UI"/>
          <w:color w:val="231F20"/>
        </w:rPr>
        <w:t>that</w:t>
      </w:r>
      <w:r>
        <w:rPr>
          <w:rFonts w:ascii="Segoe UI" w:hAnsi="Segoe UI" w:cs="Segoe UI" w:eastAsia="Segoe UI"/>
        </w:rPr>
      </w:r>
    </w:p>
    <w:p>
      <w:pPr>
        <w:pStyle w:val="BodyText"/>
        <w:spacing w:line="250" w:lineRule="exact"/>
        <w:ind w:right="86"/>
        <w:jc w:val="left"/>
        <w:rPr>
          <w:rFonts w:ascii="Segoe UI" w:hAnsi="Segoe UI" w:cs="Segoe UI" w:eastAsia="Segoe UI"/>
        </w:rPr>
      </w:pPr>
      <w:r>
        <w:rPr>
          <w:rFonts w:ascii="Segoe UI" w:hAnsi="Segoe UI" w:cs="Segoe UI" w:eastAsia="Segoe UI"/>
          <w:color w:val="231F20"/>
        </w:rPr>
        <w:t>provide</w:t>
      </w:r>
      <w:r>
        <w:rPr>
          <w:rFonts w:ascii="Segoe UI" w:hAnsi="Segoe UI" w:cs="Segoe UI" w:eastAsia="Segoe UI"/>
          <w:color w:val="231F20"/>
          <w:spacing w:val="-8"/>
        </w:rPr>
        <w:t> </w:t>
      </w:r>
      <w:r>
        <w:rPr>
          <w:rFonts w:ascii="Segoe UI" w:hAnsi="Segoe UI" w:cs="Segoe UI" w:eastAsia="Segoe UI"/>
          <w:color w:val="231F20"/>
        </w:rPr>
        <w:t>education</w:t>
      </w:r>
      <w:r>
        <w:rPr>
          <w:rFonts w:ascii="Segoe UI" w:hAnsi="Segoe UI" w:cs="Segoe UI" w:eastAsia="Segoe UI"/>
          <w:color w:val="231F20"/>
          <w:spacing w:val="-8"/>
        </w:rPr>
        <w:t> </w:t>
      </w:r>
      <w:r>
        <w:rPr>
          <w:rFonts w:ascii="Segoe UI" w:hAnsi="Segoe UI" w:cs="Segoe UI" w:eastAsia="Segoe UI"/>
          <w:color w:val="231F20"/>
        </w:rPr>
        <w:t>to</w:t>
      </w:r>
      <w:r>
        <w:rPr>
          <w:rFonts w:ascii="Segoe UI" w:hAnsi="Segoe UI" w:cs="Segoe UI" w:eastAsia="Segoe UI"/>
          <w:color w:val="231F20"/>
          <w:spacing w:val="-6"/>
        </w:rPr>
        <w:t> </w:t>
      </w:r>
      <w:r>
        <w:rPr>
          <w:rFonts w:ascii="Segoe UI" w:hAnsi="Segoe UI" w:cs="Segoe UI" w:eastAsia="Segoe UI"/>
          <w:color w:val="231F20"/>
        </w:rPr>
        <w:t>the</w:t>
      </w:r>
      <w:r>
        <w:rPr>
          <w:rFonts w:ascii="Segoe UI" w:hAnsi="Segoe UI" w:cs="Segoe UI" w:eastAsia="Segoe UI"/>
          <w:color w:val="231F20"/>
          <w:spacing w:val="-8"/>
        </w:rPr>
        <w:t> </w:t>
      </w:r>
      <w:r>
        <w:rPr>
          <w:rFonts w:ascii="Segoe UI" w:hAnsi="Segoe UI" w:cs="Segoe UI" w:eastAsia="Segoe UI"/>
          <w:color w:val="231F20"/>
          <w:spacing w:val="-1"/>
        </w:rPr>
        <w:t>most</w:t>
      </w:r>
      <w:r>
        <w:rPr>
          <w:rFonts w:ascii="Segoe UI" w:hAnsi="Segoe UI" w:cs="Segoe UI" w:eastAsia="Segoe UI"/>
          <w:color w:val="231F20"/>
          <w:spacing w:val="-7"/>
        </w:rPr>
        <w:t> </w:t>
      </w:r>
      <w:r>
        <w:rPr>
          <w:rFonts w:ascii="Segoe UI" w:hAnsi="Segoe UI" w:cs="Segoe UI" w:eastAsia="Segoe UI"/>
          <w:color w:val="231F20"/>
        </w:rPr>
        <w:t>disadvantaged</w:t>
      </w:r>
      <w:r>
        <w:rPr>
          <w:rFonts w:ascii="Segoe UI" w:hAnsi="Segoe UI" w:cs="Segoe UI" w:eastAsia="Segoe UI"/>
          <w:color w:val="231F20"/>
          <w:spacing w:val="21"/>
          <w:w w:val="99"/>
        </w:rPr>
        <w:t> </w:t>
      </w:r>
      <w:r>
        <w:rPr>
          <w:rFonts w:ascii="Segoe UI" w:hAnsi="Segoe UI" w:cs="Segoe UI" w:eastAsia="Segoe UI"/>
          <w:color w:val="231F20"/>
          <w:spacing w:val="-1"/>
        </w:rPr>
        <w:t>Indigenous</w:t>
      </w:r>
      <w:r>
        <w:rPr>
          <w:rFonts w:ascii="Segoe UI" w:hAnsi="Segoe UI" w:cs="Segoe UI" w:eastAsia="Segoe UI"/>
          <w:color w:val="231F20"/>
          <w:spacing w:val="-8"/>
        </w:rPr>
        <w:t> </w:t>
      </w:r>
      <w:r>
        <w:rPr>
          <w:rFonts w:ascii="Segoe UI" w:hAnsi="Segoe UI" w:cs="Segoe UI" w:eastAsia="Segoe UI"/>
          <w:color w:val="231F20"/>
          <w:spacing w:val="-1"/>
        </w:rPr>
        <w:t>secondary</w:t>
      </w:r>
      <w:r>
        <w:rPr>
          <w:rFonts w:ascii="Segoe UI" w:hAnsi="Segoe UI" w:cs="Segoe UI" w:eastAsia="Segoe UI"/>
          <w:color w:val="231F20"/>
          <w:spacing w:val="-6"/>
        </w:rPr>
        <w:t> </w:t>
      </w:r>
      <w:r>
        <w:rPr>
          <w:rFonts w:ascii="Segoe UI" w:hAnsi="Segoe UI" w:cs="Segoe UI" w:eastAsia="Segoe UI"/>
          <w:color w:val="231F20"/>
          <w:spacing w:val="-1"/>
        </w:rPr>
        <w:t>students</w:t>
      </w:r>
      <w:r>
        <w:rPr>
          <w:rFonts w:ascii="Segoe UI" w:hAnsi="Segoe UI" w:cs="Segoe UI" w:eastAsia="Segoe UI"/>
          <w:color w:val="231F20"/>
          <w:spacing w:val="-8"/>
        </w:rPr>
        <w:t> </w:t>
      </w:r>
      <w:r>
        <w:rPr>
          <w:rFonts w:ascii="Segoe UI" w:hAnsi="Segoe UI" w:cs="Segoe UI" w:eastAsia="Segoe UI"/>
          <w:color w:val="231F20"/>
        </w:rPr>
        <w:t>from</w:t>
      </w:r>
      <w:r>
        <w:rPr>
          <w:rFonts w:ascii="Segoe UI" w:hAnsi="Segoe UI" w:cs="Segoe UI" w:eastAsia="Segoe UI"/>
          <w:color w:val="231F20"/>
          <w:spacing w:val="-7"/>
        </w:rPr>
        <w:t> </w:t>
      </w:r>
      <w:r>
        <w:rPr>
          <w:rFonts w:ascii="Segoe UI" w:hAnsi="Segoe UI" w:cs="Segoe UI" w:eastAsia="Segoe UI"/>
          <w:color w:val="231F20"/>
        </w:rPr>
        <w:t>remote</w:t>
      </w:r>
      <w:r>
        <w:rPr>
          <w:rFonts w:ascii="Segoe UI" w:hAnsi="Segoe UI" w:cs="Segoe UI" w:eastAsia="Segoe UI"/>
          <w:color w:val="231F20"/>
          <w:spacing w:val="24"/>
          <w:w w:val="99"/>
        </w:rPr>
        <w:t> </w:t>
      </w:r>
      <w:r>
        <w:rPr>
          <w:rFonts w:ascii="Segoe UI" w:hAnsi="Segoe UI" w:cs="Segoe UI" w:eastAsia="Segoe UI"/>
          <w:color w:val="231F20"/>
        </w:rPr>
        <w:t>areas,</w:t>
      </w:r>
      <w:r>
        <w:rPr>
          <w:rFonts w:ascii="Segoe UI" w:hAnsi="Segoe UI" w:cs="Segoe UI" w:eastAsia="Segoe UI"/>
          <w:color w:val="231F20"/>
          <w:spacing w:val="-5"/>
        </w:rPr>
        <w:t> </w:t>
      </w:r>
      <w:r>
        <w:rPr>
          <w:rFonts w:ascii="Segoe UI" w:hAnsi="Segoe UI" w:cs="Segoe UI" w:eastAsia="Segoe UI"/>
          <w:color w:val="231F20"/>
        </w:rPr>
        <w:t>this</w:t>
      </w:r>
      <w:r>
        <w:rPr>
          <w:rFonts w:ascii="Segoe UI" w:hAnsi="Segoe UI" w:cs="Segoe UI" w:eastAsia="Segoe UI"/>
          <w:color w:val="231F20"/>
          <w:spacing w:val="-5"/>
        </w:rPr>
        <w:t> </w:t>
      </w:r>
      <w:r>
        <w:rPr>
          <w:rFonts w:ascii="Segoe UI" w:hAnsi="Segoe UI" w:cs="Segoe UI" w:eastAsia="Segoe UI"/>
          <w:color w:val="231F20"/>
          <w:spacing w:val="-1"/>
        </w:rPr>
        <w:t>is</w:t>
      </w:r>
      <w:r>
        <w:rPr>
          <w:rFonts w:ascii="Segoe UI" w:hAnsi="Segoe UI" w:cs="Segoe UI" w:eastAsia="Segoe UI"/>
          <w:color w:val="231F20"/>
          <w:spacing w:val="-4"/>
        </w:rPr>
        <w:t> </w:t>
      </w:r>
      <w:r>
        <w:rPr>
          <w:rFonts w:ascii="Segoe UI" w:hAnsi="Segoe UI" w:cs="Segoe UI" w:eastAsia="Segoe UI"/>
          <w:color w:val="231F20"/>
          <w:spacing w:val="-1"/>
        </w:rPr>
        <w:t>unsustainable’</w:t>
      </w:r>
      <w:r>
        <w:rPr>
          <w:rFonts w:ascii="Segoe UI Semibold" w:hAnsi="Segoe UI Semibold" w:cs="Segoe UI Semibold" w:eastAsia="Segoe UI Semibold"/>
          <w:b/>
          <w:bCs/>
          <w:color w:val="231F20"/>
          <w:spacing w:val="-1"/>
          <w:position w:val="7"/>
          <w:sz w:val="11"/>
          <w:szCs w:val="11"/>
        </w:rPr>
        <w:t>38</w:t>
      </w:r>
      <w:r>
        <w:rPr>
          <w:rFonts w:ascii="Segoe UI" w:hAnsi="Segoe UI" w:cs="Segoe UI" w:eastAsia="Segoe UI"/>
          <w:color w:val="231F20"/>
          <w:spacing w:val="-1"/>
        </w:rPr>
        <w:t>.</w:t>
      </w:r>
      <w:r>
        <w:rPr>
          <w:rFonts w:ascii="Segoe UI" w:hAnsi="Segoe UI" w:cs="Segoe UI" w:eastAsia="Segoe UI"/>
        </w:rPr>
      </w:r>
    </w:p>
    <w:p>
      <w:pPr>
        <w:spacing w:after="0" w:line="250" w:lineRule="exact"/>
        <w:jc w:val="left"/>
        <w:rPr>
          <w:rFonts w:ascii="Segoe UI" w:hAnsi="Segoe UI" w:cs="Segoe UI" w:eastAsia="Segoe UI"/>
        </w:rPr>
        <w:sectPr>
          <w:type w:val="continuous"/>
          <w:pgSz w:w="11910" w:h="16840"/>
          <w:pgMar w:top="1580" w:bottom="280" w:left="1300" w:right="1620"/>
          <w:cols w:num="2" w:equalWidth="0">
            <w:col w:w="4347" w:space="245"/>
            <w:col w:w="4398"/>
          </w:cols>
        </w:sectPr>
      </w:pPr>
    </w:p>
    <w:p>
      <w:pPr>
        <w:spacing w:line="240" w:lineRule="auto" w:before="0"/>
        <w:rPr>
          <w:rFonts w:ascii="Segoe UI" w:hAnsi="Segoe UI" w:cs="Segoe UI" w:eastAsia="Segoe UI"/>
          <w:sz w:val="20"/>
          <w:szCs w:val="20"/>
        </w:rPr>
      </w:pPr>
    </w:p>
    <w:p>
      <w:pPr>
        <w:spacing w:line="240" w:lineRule="auto" w:before="1"/>
        <w:rPr>
          <w:rFonts w:ascii="Segoe UI" w:hAnsi="Segoe UI" w:cs="Segoe UI" w:eastAsia="Segoe UI"/>
          <w:sz w:val="20"/>
          <w:szCs w:val="20"/>
        </w:rPr>
      </w:pPr>
    </w:p>
    <w:p>
      <w:pPr>
        <w:numPr>
          <w:ilvl w:val="0"/>
          <w:numId w:val="4"/>
        </w:numPr>
        <w:tabs>
          <w:tab w:pos="668" w:val="left" w:leader="none"/>
        </w:tabs>
        <w:spacing w:line="180" w:lineRule="auto" w:before="100"/>
        <w:ind w:left="100" w:right="1621" w:firstLine="0"/>
        <w:jc w:val="left"/>
        <w:rPr>
          <w:rFonts w:ascii="Segoe UI" w:hAnsi="Segoe UI" w:cs="Segoe UI" w:eastAsia="Segoe UI"/>
          <w:sz w:val="44"/>
          <w:szCs w:val="44"/>
        </w:rPr>
      </w:pPr>
      <w:r>
        <w:rPr>
          <w:rFonts w:ascii="Segoe UI"/>
          <w:color w:val="67973F"/>
          <w:sz w:val="44"/>
        </w:rPr>
        <w:t>Aboriginal</w:t>
      </w:r>
      <w:r>
        <w:rPr>
          <w:rFonts w:ascii="Segoe UI"/>
          <w:color w:val="67973F"/>
          <w:spacing w:val="-16"/>
          <w:sz w:val="44"/>
        </w:rPr>
        <w:t> </w:t>
      </w:r>
      <w:r>
        <w:rPr>
          <w:rFonts w:ascii="Segoe UI"/>
          <w:color w:val="67973F"/>
          <w:sz w:val="44"/>
        </w:rPr>
        <w:t>and</w:t>
      </w:r>
      <w:r>
        <w:rPr>
          <w:rFonts w:ascii="Segoe UI"/>
          <w:color w:val="67973F"/>
          <w:spacing w:val="-16"/>
          <w:sz w:val="44"/>
        </w:rPr>
        <w:t> </w:t>
      </w:r>
      <w:r>
        <w:rPr>
          <w:rFonts w:ascii="Segoe UI"/>
          <w:color w:val="67973F"/>
          <w:spacing w:val="-45"/>
          <w:sz w:val="44"/>
        </w:rPr>
        <w:t>T</w:t>
      </w:r>
      <w:r>
        <w:rPr>
          <w:rFonts w:ascii="Segoe UI"/>
          <w:color w:val="67973F"/>
          <w:sz w:val="44"/>
        </w:rPr>
        <w:t>orres</w:t>
      </w:r>
      <w:r>
        <w:rPr>
          <w:rFonts w:ascii="Segoe UI"/>
          <w:color w:val="67973F"/>
          <w:spacing w:val="-16"/>
          <w:sz w:val="44"/>
        </w:rPr>
        <w:t> </w:t>
      </w:r>
      <w:r>
        <w:rPr>
          <w:rFonts w:ascii="Segoe UI"/>
          <w:color w:val="67973F"/>
          <w:spacing w:val="-15"/>
          <w:sz w:val="44"/>
        </w:rPr>
        <w:t>S</w:t>
      </w:r>
      <w:r>
        <w:rPr>
          <w:rFonts w:ascii="Segoe UI"/>
          <w:color w:val="67973F"/>
          <w:sz w:val="44"/>
        </w:rPr>
        <w:t>trait</w:t>
      </w:r>
      <w:r>
        <w:rPr>
          <w:rFonts w:ascii="Segoe UI"/>
          <w:color w:val="67973F"/>
          <w:spacing w:val="-16"/>
          <w:sz w:val="44"/>
        </w:rPr>
        <w:t> </w:t>
      </w:r>
      <w:r>
        <w:rPr>
          <w:rFonts w:ascii="Segoe UI"/>
          <w:color w:val="67973F"/>
          <w:spacing w:val="-1"/>
          <w:sz w:val="44"/>
        </w:rPr>
        <w:t>Islander</w:t>
      </w:r>
      <w:r>
        <w:rPr>
          <w:rFonts w:ascii="Segoe UI"/>
          <w:color w:val="67973F"/>
          <w:spacing w:val="-1"/>
          <w:w w:val="99"/>
          <w:sz w:val="44"/>
        </w:rPr>
        <w:t> </w:t>
      </w:r>
      <w:r>
        <w:rPr>
          <w:rFonts w:ascii="Segoe UI"/>
          <w:color w:val="67973F"/>
          <w:sz w:val="44"/>
        </w:rPr>
        <w:t>boarding</w:t>
      </w:r>
      <w:r>
        <w:rPr>
          <w:rFonts w:ascii="Segoe UI"/>
          <w:color w:val="67973F"/>
          <w:spacing w:val="-37"/>
          <w:sz w:val="44"/>
        </w:rPr>
        <w:t> </w:t>
      </w:r>
      <w:r>
        <w:rPr>
          <w:rFonts w:ascii="Segoe UI"/>
          <w:color w:val="67973F"/>
          <w:sz w:val="44"/>
        </w:rPr>
        <w:t>providers</w:t>
      </w:r>
      <w:r>
        <w:rPr>
          <w:rFonts w:ascii="Segoe UI"/>
          <w:sz w:val="44"/>
        </w:rPr>
      </w:r>
    </w:p>
    <w:p>
      <w:pPr>
        <w:pStyle w:val="BodyText"/>
        <w:spacing w:line="258" w:lineRule="exact" w:before="220"/>
        <w:ind w:left="100" w:right="0"/>
        <w:jc w:val="left"/>
        <w:rPr>
          <w:rFonts w:ascii="Segoe UI" w:hAnsi="Segoe UI" w:cs="Segoe UI" w:eastAsia="Segoe UI"/>
        </w:rPr>
      </w:pPr>
      <w:r>
        <w:rPr>
          <w:rFonts w:ascii="Segoe UI"/>
          <w:color w:val="231F20"/>
        </w:rPr>
        <w:t>The following Aboriginal and </w:t>
      </w:r>
      <w:r>
        <w:rPr>
          <w:rFonts w:ascii="Segoe UI"/>
          <w:color w:val="231F20"/>
          <w:spacing w:val="-4"/>
        </w:rPr>
        <w:t>Torres</w:t>
      </w:r>
      <w:r>
        <w:rPr>
          <w:rFonts w:ascii="Segoe UI"/>
          <w:color w:val="231F20"/>
        </w:rPr>
        <w:t> </w:t>
      </w:r>
      <w:r>
        <w:rPr>
          <w:rFonts w:ascii="Segoe UI"/>
          <w:color w:val="231F20"/>
          <w:spacing w:val="-2"/>
        </w:rPr>
        <w:t>Strait</w:t>
      </w:r>
      <w:r>
        <w:rPr>
          <w:rFonts w:ascii="Segoe UI"/>
          <w:color w:val="231F20"/>
        </w:rPr>
        <w:t> Islander boarding providers were identified by PM&amp;C for</w:t>
      </w:r>
      <w:r>
        <w:rPr>
          <w:rFonts w:ascii="Segoe UI"/>
        </w:rPr>
      </w:r>
    </w:p>
    <w:p>
      <w:pPr>
        <w:pStyle w:val="BodyText"/>
        <w:spacing w:line="258" w:lineRule="exact"/>
        <w:ind w:left="100" w:right="0"/>
        <w:jc w:val="left"/>
        <w:rPr>
          <w:rFonts w:ascii="Segoe UI Semibold" w:hAnsi="Segoe UI Semibold" w:cs="Segoe UI Semibold" w:eastAsia="Segoe UI Semibold"/>
          <w:sz w:val="11"/>
          <w:szCs w:val="11"/>
        </w:rPr>
      </w:pPr>
      <w:r>
        <w:rPr>
          <w:rFonts w:ascii="Segoe UI"/>
          <w:color w:val="231F20"/>
          <w:spacing w:val="-1"/>
        </w:rPr>
        <w:t>inclusion</w:t>
      </w:r>
      <w:r>
        <w:rPr>
          <w:rFonts w:ascii="Segoe UI"/>
          <w:color w:val="231F20"/>
          <w:spacing w:val="1"/>
        </w:rPr>
        <w:t> </w:t>
      </w:r>
      <w:r>
        <w:rPr>
          <w:rFonts w:ascii="Segoe UI"/>
          <w:color w:val="231F20"/>
          <w:spacing w:val="-1"/>
        </w:rPr>
        <w:t>in</w:t>
      </w:r>
      <w:r>
        <w:rPr>
          <w:rFonts w:ascii="Segoe UI"/>
          <w:color w:val="231F20"/>
          <w:spacing w:val="2"/>
        </w:rPr>
        <w:t> </w:t>
      </w:r>
      <w:r>
        <w:rPr>
          <w:rFonts w:ascii="Segoe UI"/>
          <w:color w:val="231F20"/>
        </w:rPr>
        <w:t>the </w:t>
      </w:r>
      <w:r>
        <w:rPr>
          <w:rFonts w:ascii="Segoe UI"/>
          <w:color w:val="231F20"/>
          <w:spacing w:val="-1"/>
        </w:rPr>
        <w:t>analysis:</w:t>
      </w:r>
      <w:r>
        <w:rPr>
          <w:rFonts w:ascii="Segoe UI Semibold"/>
          <w:b/>
          <w:color w:val="231F20"/>
          <w:spacing w:val="-1"/>
          <w:position w:val="7"/>
          <w:sz w:val="11"/>
        </w:rPr>
        <w:t>39</w:t>
      </w:r>
      <w:r>
        <w:rPr>
          <w:rFonts w:ascii="Segoe UI Semibold"/>
          <w:sz w:val="11"/>
        </w:rPr>
      </w:r>
    </w:p>
    <w:p>
      <w:pPr>
        <w:spacing w:line="240" w:lineRule="auto" w:before="2"/>
        <w:rPr>
          <w:rFonts w:ascii="Segoe UI Semibold" w:hAnsi="Segoe UI Semibold" w:cs="Segoe UI Semibold" w:eastAsia="Segoe UI Semibold"/>
          <w:b/>
          <w:bCs/>
          <w:sz w:val="11"/>
          <w:szCs w:val="11"/>
        </w:rPr>
      </w:pPr>
    </w:p>
    <w:tbl>
      <w:tblPr>
        <w:tblW w:w="0" w:type="auto"/>
        <w:jc w:val="left"/>
        <w:tblInd w:w="100" w:type="dxa"/>
        <w:tblLayout w:type="fixed"/>
        <w:tblCellMar>
          <w:top w:w="0" w:type="dxa"/>
          <w:left w:w="0" w:type="dxa"/>
          <w:bottom w:w="0" w:type="dxa"/>
          <w:right w:w="0" w:type="dxa"/>
        </w:tblCellMar>
        <w:tblLook w:val="01E0"/>
      </w:tblPr>
      <w:tblGrid>
        <w:gridCol w:w="567"/>
        <w:gridCol w:w="4209"/>
        <w:gridCol w:w="3926"/>
      </w:tblGrid>
      <w:tr>
        <w:trPr>
          <w:trHeight w:val="302" w:hRule="exact"/>
        </w:trPr>
        <w:tc>
          <w:tcPr>
            <w:tcW w:w="567" w:type="dxa"/>
            <w:tcBorders>
              <w:top w:val="single" w:sz="4" w:space="0" w:color="C1B5A9"/>
              <w:left w:val="single" w:sz="4" w:space="0" w:color="C1B5A9"/>
              <w:bottom w:val="single" w:sz="4" w:space="0" w:color="C1B5A9"/>
              <w:right w:val="single" w:sz="4" w:space="0" w:color="C1B5A9"/>
            </w:tcBorders>
            <w:shd w:val="clear" w:color="auto" w:fill="C1B5A9"/>
          </w:tcPr>
          <w:p>
            <w:pPr/>
          </w:p>
        </w:tc>
        <w:tc>
          <w:tcPr>
            <w:tcW w:w="4209"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22"/>
              <w:ind w:left="75" w:right="0"/>
              <w:jc w:val="left"/>
              <w:rPr>
                <w:rFonts w:ascii="Segoe UI" w:hAnsi="Segoe UI" w:cs="Segoe UI" w:eastAsia="Segoe UI"/>
                <w:sz w:val="18"/>
                <w:szCs w:val="18"/>
              </w:rPr>
            </w:pPr>
            <w:r>
              <w:rPr>
                <w:rFonts w:ascii="Segoe UI"/>
                <w:b/>
                <w:color w:val="231F20"/>
                <w:sz w:val="18"/>
              </w:rPr>
              <w:t>Name </w:t>
            </w:r>
            <w:r>
              <w:rPr>
                <w:rFonts w:ascii="Segoe UI"/>
                <w:b/>
                <w:color w:val="231F20"/>
                <w:spacing w:val="-2"/>
                <w:sz w:val="18"/>
              </w:rPr>
              <w:t>of</w:t>
            </w:r>
            <w:r>
              <w:rPr>
                <w:rFonts w:ascii="Segoe UI"/>
                <w:b/>
                <w:color w:val="231F20"/>
                <w:spacing w:val="-1"/>
                <w:sz w:val="18"/>
              </w:rPr>
              <w:t> boarding</w:t>
            </w:r>
            <w:r>
              <w:rPr>
                <w:rFonts w:ascii="Segoe UI"/>
                <w:b/>
                <w:color w:val="231F20"/>
                <w:sz w:val="18"/>
              </w:rPr>
              <w:t> </w:t>
            </w:r>
            <w:r>
              <w:rPr>
                <w:rFonts w:ascii="Segoe UI"/>
                <w:b/>
                <w:color w:val="231F20"/>
                <w:spacing w:val="-1"/>
                <w:sz w:val="18"/>
              </w:rPr>
              <w:t>facility</w:t>
            </w:r>
            <w:r>
              <w:rPr>
                <w:rFonts w:ascii="Segoe UI"/>
                <w:sz w:val="18"/>
              </w:rPr>
            </w:r>
          </w:p>
        </w:tc>
        <w:tc>
          <w:tcPr>
            <w:tcW w:w="3926"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22"/>
              <w:ind w:left="74" w:right="0"/>
              <w:jc w:val="left"/>
              <w:rPr>
                <w:rFonts w:ascii="Segoe UI" w:hAnsi="Segoe UI" w:cs="Segoe UI" w:eastAsia="Segoe UI"/>
                <w:sz w:val="18"/>
                <w:szCs w:val="18"/>
              </w:rPr>
            </w:pPr>
            <w:r>
              <w:rPr>
                <w:rFonts w:ascii="Segoe UI"/>
                <w:b/>
                <w:color w:val="231F20"/>
                <w:spacing w:val="-1"/>
                <w:sz w:val="18"/>
              </w:rPr>
              <w:t>Location</w:t>
            </w:r>
            <w:r>
              <w:rPr>
                <w:rFonts w:ascii="Segoe UI"/>
                <w:sz w:val="18"/>
              </w:rPr>
            </w:r>
          </w:p>
        </w:tc>
      </w:tr>
      <w:tr>
        <w:trPr>
          <w:trHeight w:val="307" w:hRule="exact"/>
        </w:trPr>
        <w:tc>
          <w:tcPr>
            <w:tcW w:w="56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z w:val="18"/>
              </w:rPr>
              <w:t>1.</w:t>
            </w:r>
            <w:r>
              <w:rPr>
                <w:rFonts w:ascii="Segoe UI"/>
                <w:sz w:val="18"/>
              </w:rPr>
            </w:r>
          </w:p>
        </w:tc>
        <w:tc>
          <w:tcPr>
            <w:tcW w:w="420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5" w:right="0"/>
              <w:jc w:val="left"/>
              <w:rPr>
                <w:rFonts w:ascii="Segoe UI" w:hAnsi="Segoe UI" w:cs="Segoe UI" w:eastAsia="Segoe UI"/>
                <w:sz w:val="18"/>
                <w:szCs w:val="18"/>
              </w:rPr>
            </w:pPr>
            <w:r>
              <w:rPr>
                <w:rFonts w:ascii="Segoe UI"/>
                <w:color w:val="231F20"/>
                <w:sz w:val="18"/>
              </w:rPr>
              <w:t>AFL</w:t>
            </w:r>
            <w:r>
              <w:rPr>
                <w:rFonts w:ascii="Segoe UI"/>
                <w:color w:val="231F20"/>
                <w:spacing w:val="-2"/>
                <w:sz w:val="18"/>
              </w:rPr>
              <w:t> </w:t>
            </w:r>
            <w:r>
              <w:rPr>
                <w:rFonts w:ascii="Segoe UI"/>
                <w:color w:val="231F20"/>
                <w:spacing w:val="-1"/>
                <w:sz w:val="18"/>
              </w:rPr>
              <w:t>Cape </w:t>
            </w:r>
            <w:r>
              <w:rPr>
                <w:rFonts w:ascii="Segoe UI"/>
                <w:color w:val="231F20"/>
                <w:spacing w:val="-5"/>
                <w:sz w:val="18"/>
              </w:rPr>
              <w:t>York</w:t>
            </w:r>
            <w:r>
              <w:rPr>
                <w:rFonts w:ascii="Segoe UI"/>
                <w:color w:val="231F20"/>
                <w:spacing w:val="-1"/>
                <w:sz w:val="18"/>
              </w:rPr>
              <w:t> </w:t>
            </w:r>
            <w:r>
              <w:rPr>
                <w:rFonts w:ascii="Segoe UI"/>
                <w:color w:val="231F20"/>
                <w:sz w:val="18"/>
              </w:rPr>
              <w:t>House</w:t>
            </w:r>
            <w:r>
              <w:rPr>
                <w:rFonts w:ascii="Segoe UI"/>
                <w:sz w:val="18"/>
              </w:rPr>
            </w:r>
          </w:p>
        </w:tc>
        <w:tc>
          <w:tcPr>
            <w:tcW w:w="392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pacing w:val="-1"/>
                <w:sz w:val="18"/>
              </w:rPr>
              <w:t>Cairns,</w:t>
            </w:r>
            <w:r>
              <w:rPr>
                <w:rFonts w:ascii="Segoe UI"/>
                <w:color w:val="231F20"/>
                <w:spacing w:val="-15"/>
                <w:sz w:val="18"/>
              </w:rPr>
              <w:t> </w:t>
            </w:r>
            <w:r>
              <w:rPr>
                <w:rFonts w:ascii="Segoe UI"/>
                <w:color w:val="231F20"/>
                <w:sz w:val="18"/>
              </w:rPr>
              <w:t>Queensland</w:t>
            </w:r>
            <w:r>
              <w:rPr>
                <w:rFonts w:ascii="Segoe UI"/>
                <w:sz w:val="18"/>
              </w:rPr>
            </w:r>
          </w:p>
        </w:tc>
      </w:tr>
      <w:tr>
        <w:trPr>
          <w:trHeight w:val="302" w:hRule="exact"/>
        </w:trPr>
        <w:tc>
          <w:tcPr>
            <w:tcW w:w="56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z w:val="18"/>
              </w:rPr>
              <w:t>2.</w:t>
            </w:r>
            <w:r>
              <w:rPr>
                <w:rFonts w:ascii="Segoe UI"/>
                <w:sz w:val="18"/>
              </w:rPr>
            </w:r>
          </w:p>
        </w:tc>
        <w:tc>
          <w:tcPr>
            <w:tcW w:w="420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5" w:right="0"/>
              <w:jc w:val="left"/>
              <w:rPr>
                <w:rFonts w:ascii="Segoe UI" w:hAnsi="Segoe UI" w:cs="Segoe UI" w:eastAsia="Segoe UI"/>
                <w:sz w:val="18"/>
                <w:szCs w:val="18"/>
              </w:rPr>
            </w:pPr>
            <w:r>
              <w:rPr>
                <w:rFonts w:ascii="Segoe UI"/>
                <w:color w:val="231F20"/>
                <w:spacing w:val="-1"/>
                <w:sz w:val="18"/>
              </w:rPr>
              <w:t>Cape</w:t>
            </w:r>
            <w:r>
              <w:rPr>
                <w:rFonts w:ascii="Segoe UI"/>
                <w:color w:val="231F20"/>
                <w:spacing w:val="-4"/>
                <w:sz w:val="18"/>
              </w:rPr>
              <w:t> </w:t>
            </w:r>
            <w:r>
              <w:rPr>
                <w:rFonts w:ascii="Segoe UI"/>
                <w:color w:val="231F20"/>
                <w:spacing w:val="-5"/>
                <w:sz w:val="18"/>
              </w:rPr>
              <w:t>York</w:t>
            </w:r>
            <w:r>
              <w:rPr>
                <w:rFonts w:ascii="Segoe UI"/>
                <w:color w:val="231F20"/>
                <w:spacing w:val="-4"/>
                <w:sz w:val="18"/>
              </w:rPr>
              <w:t> </w:t>
            </w:r>
            <w:r>
              <w:rPr>
                <w:rFonts w:ascii="Segoe UI"/>
                <w:color w:val="231F20"/>
                <w:sz w:val="18"/>
              </w:rPr>
              <w:t>Girl</w:t>
            </w:r>
            <w:r>
              <w:rPr>
                <w:rFonts w:ascii="Segoe UI"/>
                <w:color w:val="231F20"/>
                <w:spacing w:val="-3"/>
                <w:sz w:val="18"/>
              </w:rPr>
              <w:t> </w:t>
            </w:r>
            <w:r>
              <w:rPr>
                <w:rFonts w:ascii="Segoe UI"/>
                <w:color w:val="231F20"/>
                <w:sz w:val="18"/>
              </w:rPr>
              <w:t>Academy</w:t>
            </w:r>
            <w:r>
              <w:rPr>
                <w:rFonts w:ascii="Segoe UI"/>
                <w:sz w:val="18"/>
              </w:rPr>
            </w:r>
          </w:p>
        </w:tc>
        <w:tc>
          <w:tcPr>
            <w:tcW w:w="392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pacing w:val="-1"/>
                <w:sz w:val="18"/>
              </w:rPr>
              <w:t>Wangetti</w:t>
            </w:r>
            <w:r>
              <w:rPr>
                <w:rFonts w:ascii="Segoe UI"/>
                <w:color w:val="231F20"/>
                <w:spacing w:val="-12"/>
                <w:sz w:val="18"/>
              </w:rPr>
              <w:t> </w:t>
            </w:r>
            <w:r>
              <w:rPr>
                <w:rFonts w:ascii="Segoe UI"/>
                <w:color w:val="231F20"/>
                <w:sz w:val="18"/>
              </w:rPr>
              <w:t>(Cairns),</w:t>
            </w:r>
            <w:r>
              <w:rPr>
                <w:rFonts w:ascii="Segoe UI"/>
                <w:color w:val="231F20"/>
                <w:spacing w:val="-12"/>
                <w:sz w:val="18"/>
              </w:rPr>
              <w:t> </w:t>
            </w:r>
            <w:r>
              <w:rPr>
                <w:rFonts w:ascii="Segoe UI"/>
                <w:color w:val="231F20"/>
                <w:sz w:val="18"/>
              </w:rPr>
              <w:t>Queensland</w:t>
            </w:r>
            <w:r>
              <w:rPr>
                <w:rFonts w:ascii="Segoe UI"/>
                <w:sz w:val="18"/>
              </w:rPr>
            </w:r>
          </w:p>
        </w:tc>
      </w:tr>
      <w:tr>
        <w:trPr>
          <w:trHeight w:val="552" w:hRule="exact"/>
        </w:trPr>
        <w:tc>
          <w:tcPr>
            <w:tcW w:w="56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z w:val="18"/>
              </w:rPr>
              <w:t>3.</w:t>
            </w:r>
            <w:r>
              <w:rPr>
                <w:rFonts w:ascii="Segoe UI"/>
                <w:sz w:val="18"/>
              </w:rPr>
            </w:r>
          </w:p>
        </w:tc>
        <w:tc>
          <w:tcPr>
            <w:tcW w:w="4209" w:type="dxa"/>
            <w:tcBorders>
              <w:top w:val="single" w:sz="4" w:space="0" w:color="C1B5A9"/>
              <w:left w:val="single" w:sz="4" w:space="0" w:color="C1B5A9"/>
              <w:bottom w:val="single" w:sz="4" w:space="0" w:color="C1B5A9"/>
              <w:right w:val="single" w:sz="4" w:space="0" w:color="C1B5A9"/>
            </w:tcBorders>
          </w:tcPr>
          <w:p>
            <w:pPr>
              <w:pStyle w:val="TableParagraph"/>
              <w:spacing w:line="250" w:lineRule="auto" w:before="22"/>
              <w:ind w:left="75" w:right="340"/>
              <w:jc w:val="left"/>
              <w:rPr>
                <w:rFonts w:ascii="Segoe UI" w:hAnsi="Segoe UI" w:cs="Segoe UI" w:eastAsia="Segoe UI"/>
                <w:sz w:val="18"/>
                <w:szCs w:val="18"/>
              </w:rPr>
            </w:pPr>
            <w:r>
              <w:rPr>
                <w:rFonts w:ascii="Segoe UI"/>
                <w:color w:val="231F20"/>
                <w:spacing w:val="-1"/>
                <w:sz w:val="18"/>
              </w:rPr>
              <w:t>Coolgardie</w:t>
            </w:r>
            <w:r>
              <w:rPr>
                <w:rFonts w:ascii="Segoe UI"/>
                <w:color w:val="231F20"/>
                <w:spacing w:val="-12"/>
                <w:sz w:val="18"/>
              </w:rPr>
              <w:t> </w:t>
            </w:r>
            <w:r>
              <w:rPr>
                <w:rFonts w:ascii="Segoe UI"/>
                <w:color w:val="231F20"/>
                <w:spacing w:val="-1"/>
                <w:sz w:val="18"/>
              </w:rPr>
              <w:t>Christian</w:t>
            </w:r>
            <w:r>
              <w:rPr>
                <w:rFonts w:ascii="Segoe UI"/>
                <w:color w:val="231F20"/>
                <w:spacing w:val="-12"/>
                <w:sz w:val="18"/>
              </w:rPr>
              <w:t> </w:t>
            </w:r>
            <w:r>
              <w:rPr>
                <w:rFonts w:ascii="Segoe UI"/>
                <w:color w:val="231F20"/>
                <w:sz w:val="18"/>
              </w:rPr>
              <w:t>Aboriginal</w:t>
            </w:r>
            <w:r>
              <w:rPr>
                <w:rFonts w:ascii="Segoe UI"/>
                <w:color w:val="231F20"/>
                <w:spacing w:val="-12"/>
                <w:sz w:val="18"/>
              </w:rPr>
              <w:t> </w:t>
            </w:r>
            <w:r>
              <w:rPr>
                <w:rFonts w:ascii="Segoe UI"/>
                <w:color w:val="231F20"/>
                <w:spacing w:val="-1"/>
                <w:sz w:val="18"/>
              </w:rPr>
              <w:t>Parent-Directed</w:t>
            </w:r>
            <w:r>
              <w:rPr>
                <w:rFonts w:ascii="Segoe UI"/>
                <w:color w:val="231F20"/>
                <w:spacing w:val="21"/>
                <w:w w:val="99"/>
                <w:sz w:val="18"/>
              </w:rPr>
              <w:t> </w:t>
            </w:r>
            <w:r>
              <w:rPr>
                <w:rFonts w:ascii="Segoe UI"/>
                <w:color w:val="231F20"/>
                <w:spacing w:val="-1"/>
                <w:sz w:val="18"/>
              </w:rPr>
              <w:t>School</w:t>
            </w:r>
            <w:r>
              <w:rPr>
                <w:rFonts w:ascii="Segoe UI"/>
                <w:sz w:val="18"/>
              </w:rPr>
            </w:r>
          </w:p>
        </w:tc>
        <w:tc>
          <w:tcPr>
            <w:tcW w:w="392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pacing w:val="-1"/>
                <w:sz w:val="18"/>
              </w:rPr>
              <w:t>Coolgardie,</w:t>
            </w:r>
            <w:r>
              <w:rPr>
                <w:rFonts w:ascii="Segoe UI"/>
                <w:color w:val="231F20"/>
                <w:spacing w:val="-11"/>
                <w:sz w:val="18"/>
              </w:rPr>
              <w:t> </w:t>
            </w:r>
            <w:r>
              <w:rPr>
                <w:rFonts w:ascii="Segoe UI"/>
                <w:color w:val="231F20"/>
                <w:spacing w:val="-2"/>
                <w:sz w:val="18"/>
              </w:rPr>
              <w:t>Western</w:t>
            </w:r>
            <w:r>
              <w:rPr>
                <w:rFonts w:ascii="Segoe UI"/>
                <w:color w:val="231F20"/>
                <w:spacing w:val="-11"/>
                <w:sz w:val="18"/>
              </w:rPr>
              <w:t> </w:t>
            </w:r>
            <w:r>
              <w:rPr>
                <w:rFonts w:ascii="Segoe UI"/>
                <w:color w:val="231F20"/>
                <w:sz w:val="18"/>
              </w:rPr>
              <w:t>Australia</w:t>
            </w:r>
            <w:r>
              <w:rPr>
                <w:rFonts w:ascii="Segoe UI"/>
                <w:sz w:val="18"/>
              </w:rPr>
            </w:r>
          </w:p>
        </w:tc>
      </w:tr>
      <w:tr>
        <w:trPr>
          <w:trHeight w:val="302" w:hRule="exact"/>
        </w:trPr>
        <w:tc>
          <w:tcPr>
            <w:tcW w:w="56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z w:val="18"/>
              </w:rPr>
              <w:t>4.</w:t>
            </w:r>
            <w:r>
              <w:rPr>
                <w:rFonts w:ascii="Segoe UI"/>
                <w:sz w:val="18"/>
              </w:rPr>
            </w:r>
          </w:p>
        </w:tc>
        <w:tc>
          <w:tcPr>
            <w:tcW w:w="420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5" w:right="0"/>
              <w:jc w:val="left"/>
              <w:rPr>
                <w:rFonts w:ascii="Segoe UI" w:hAnsi="Segoe UI" w:cs="Segoe UI" w:eastAsia="Segoe UI"/>
                <w:sz w:val="18"/>
                <w:szCs w:val="18"/>
              </w:rPr>
            </w:pPr>
            <w:r>
              <w:rPr>
                <w:rFonts w:ascii="Segoe UI"/>
                <w:color w:val="231F20"/>
                <w:spacing w:val="-1"/>
                <w:sz w:val="18"/>
              </w:rPr>
              <w:t>Clontarf</w:t>
            </w:r>
            <w:r>
              <w:rPr>
                <w:rFonts w:ascii="Segoe UI"/>
                <w:color w:val="231F20"/>
                <w:spacing w:val="-8"/>
                <w:sz w:val="18"/>
              </w:rPr>
              <w:t> </w:t>
            </w:r>
            <w:r>
              <w:rPr>
                <w:rFonts w:ascii="Segoe UI"/>
                <w:color w:val="231F20"/>
                <w:sz w:val="18"/>
              </w:rPr>
              <w:t>Aboriginal</w:t>
            </w:r>
            <w:r>
              <w:rPr>
                <w:rFonts w:ascii="Segoe UI"/>
                <w:color w:val="231F20"/>
                <w:spacing w:val="-7"/>
                <w:sz w:val="18"/>
              </w:rPr>
              <w:t> </w:t>
            </w:r>
            <w:r>
              <w:rPr>
                <w:rFonts w:ascii="Segoe UI"/>
                <w:color w:val="231F20"/>
                <w:spacing w:val="-1"/>
                <w:sz w:val="18"/>
              </w:rPr>
              <w:t>College</w:t>
            </w:r>
            <w:r>
              <w:rPr>
                <w:rFonts w:ascii="Segoe UI"/>
                <w:sz w:val="18"/>
              </w:rPr>
            </w:r>
          </w:p>
        </w:tc>
        <w:tc>
          <w:tcPr>
            <w:tcW w:w="392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pacing w:val="-1"/>
                <w:sz w:val="18"/>
              </w:rPr>
              <w:t>Waterford</w:t>
            </w:r>
            <w:r>
              <w:rPr>
                <w:rFonts w:ascii="Segoe UI"/>
                <w:color w:val="231F20"/>
                <w:spacing w:val="-9"/>
                <w:sz w:val="18"/>
              </w:rPr>
              <w:t> </w:t>
            </w:r>
            <w:r>
              <w:rPr>
                <w:rFonts w:ascii="Segoe UI"/>
                <w:color w:val="231F20"/>
                <w:spacing w:val="-1"/>
                <w:sz w:val="18"/>
              </w:rPr>
              <w:t>(Perth),</w:t>
            </w:r>
            <w:r>
              <w:rPr>
                <w:rFonts w:ascii="Segoe UI"/>
                <w:color w:val="231F20"/>
                <w:spacing w:val="-8"/>
                <w:sz w:val="18"/>
              </w:rPr>
              <w:t> </w:t>
            </w:r>
            <w:r>
              <w:rPr>
                <w:rFonts w:ascii="Segoe UI"/>
                <w:color w:val="231F20"/>
                <w:spacing w:val="-2"/>
                <w:sz w:val="18"/>
              </w:rPr>
              <w:t>Western</w:t>
            </w:r>
            <w:r>
              <w:rPr>
                <w:rFonts w:ascii="Segoe UI"/>
                <w:color w:val="231F20"/>
                <w:spacing w:val="-9"/>
                <w:sz w:val="18"/>
              </w:rPr>
              <w:t> </w:t>
            </w:r>
            <w:r>
              <w:rPr>
                <w:rFonts w:ascii="Segoe UI"/>
                <w:color w:val="231F20"/>
                <w:sz w:val="18"/>
              </w:rPr>
              <w:t>Australia</w:t>
            </w:r>
            <w:r>
              <w:rPr>
                <w:rFonts w:ascii="Segoe UI"/>
                <w:sz w:val="18"/>
              </w:rPr>
            </w:r>
          </w:p>
        </w:tc>
      </w:tr>
      <w:tr>
        <w:trPr>
          <w:trHeight w:val="302" w:hRule="exact"/>
        </w:trPr>
        <w:tc>
          <w:tcPr>
            <w:tcW w:w="56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z w:val="18"/>
              </w:rPr>
              <w:t>5.</w:t>
            </w:r>
            <w:r>
              <w:rPr>
                <w:rFonts w:ascii="Segoe UI"/>
                <w:sz w:val="18"/>
              </w:rPr>
            </w:r>
          </w:p>
        </w:tc>
        <w:tc>
          <w:tcPr>
            <w:tcW w:w="420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5" w:right="0"/>
              <w:jc w:val="left"/>
              <w:rPr>
                <w:rFonts w:ascii="Segoe UI" w:hAnsi="Segoe UI" w:cs="Segoe UI" w:eastAsia="Segoe UI"/>
                <w:sz w:val="18"/>
                <w:szCs w:val="18"/>
              </w:rPr>
            </w:pPr>
            <w:r>
              <w:rPr>
                <w:rFonts w:ascii="Segoe UI"/>
                <w:color w:val="231F20"/>
                <w:spacing w:val="-1"/>
                <w:sz w:val="18"/>
              </w:rPr>
              <w:t>Djarragun</w:t>
            </w:r>
            <w:r>
              <w:rPr>
                <w:rFonts w:ascii="Segoe UI"/>
                <w:color w:val="231F20"/>
                <w:spacing w:val="-8"/>
                <w:sz w:val="18"/>
              </w:rPr>
              <w:t> </w:t>
            </w:r>
            <w:r>
              <w:rPr>
                <w:rFonts w:ascii="Segoe UI"/>
                <w:color w:val="231F20"/>
                <w:spacing w:val="-1"/>
                <w:sz w:val="18"/>
              </w:rPr>
              <w:t>College</w:t>
            </w:r>
            <w:r>
              <w:rPr>
                <w:rFonts w:ascii="Segoe UI"/>
                <w:sz w:val="18"/>
              </w:rPr>
            </w:r>
          </w:p>
        </w:tc>
        <w:tc>
          <w:tcPr>
            <w:tcW w:w="392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z w:val="18"/>
              </w:rPr>
              <w:t>Gordonvale,</w:t>
            </w:r>
            <w:r>
              <w:rPr>
                <w:rFonts w:ascii="Segoe UI"/>
                <w:color w:val="231F20"/>
                <w:spacing w:val="-20"/>
                <w:sz w:val="18"/>
              </w:rPr>
              <w:t> </w:t>
            </w:r>
            <w:r>
              <w:rPr>
                <w:rFonts w:ascii="Segoe UI"/>
                <w:color w:val="231F20"/>
                <w:sz w:val="18"/>
              </w:rPr>
              <w:t>Queensland</w:t>
            </w:r>
            <w:r>
              <w:rPr>
                <w:rFonts w:ascii="Segoe UI"/>
                <w:sz w:val="18"/>
              </w:rPr>
            </w:r>
          </w:p>
        </w:tc>
      </w:tr>
      <w:tr>
        <w:trPr>
          <w:trHeight w:val="302" w:hRule="exact"/>
        </w:trPr>
        <w:tc>
          <w:tcPr>
            <w:tcW w:w="56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z w:val="18"/>
              </w:rPr>
              <w:t>6.</w:t>
            </w:r>
            <w:r>
              <w:rPr>
                <w:rFonts w:ascii="Segoe UI"/>
                <w:sz w:val="18"/>
              </w:rPr>
            </w:r>
          </w:p>
        </w:tc>
        <w:tc>
          <w:tcPr>
            <w:tcW w:w="420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5" w:right="0"/>
              <w:jc w:val="left"/>
              <w:rPr>
                <w:rFonts w:ascii="Segoe UI" w:hAnsi="Segoe UI" w:cs="Segoe UI" w:eastAsia="Segoe UI"/>
                <w:sz w:val="18"/>
                <w:szCs w:val="18"/>
              </w:rPr>
            </w:pPr>
            <w:r>
              <w:rPr>
                <w:rFonts w:ascii="Segoe UI"/>
                <w:color w:val="231F20"/>
                <w:sz w:val="18"/>
              </w:rPr>
              <w:t>Edmund</w:t>
            </w:r>
            <w:r>
              <w:rPr>
                <w:rFonts w:ascii="Segoe UI"/>
                <w:color w:val="231F20"/>
                <w:spacing w:val="-5"/>
                <w:sz w:val="18"/>
              </w:rPr>
              <w:t> </w:t>
            </w:r>
            <w:r>
              <w:rPr>
                <w:rFonts w:ascii="Segoe UI"/>
                <w:color w:val="231F20"/>
                <w:spacing w:val="-1"/>
                <w:sz w:val="18"/>
              </w:rPr>
              <w:t>Rice</w:t>
            </w:r>
            <w:r>
              <w:rPr>
                <w:rFonts w:ascii="Segoe UI"/>
                <w:color w:val="231F20"/>
                <w:spacing w:val="-3"/>
                <w:sz w:val="18"/>
              </w:rPr>
              <w:t> </w:t>
            </w:r>
            <w:r>
              <w:rPr>
                <w:rFonts w:ascii="Segoe UI"/>
                <w:color w:val="231F20"/>
                <w:spacing w:val="-1"/>
                <w:sz w:val="18"/>
              </w:rPr>
              <w:t>College</w:t>
            </w:r>
            <w:r>
              <w:rPr>
                <w:rFonts w:ascii="Segoe UI"/>
                <w:sz w:val="18"/>
              </w:rPr>
            </w:r>
          </w:p>
        </w:tc>
        <w:tc>
          <w:tcPr>
            <w:tcW w:w="392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pacing w:val="-1"/>
                <w:sz w:val="18"/>
              </w:rPr>
              <w:t>Bindoon</w:t>
            </w:r>
            <w:r>
              <w:rPr>
                <w:rFonts w:ascii="Segoe UI"/>
                <w:color w:val="231F20"/>
                <w:spacing w:val="-6"/>
                <w:sz w:val="18"/>
              </w:rPr>
              <w:t> </w:t>
            </w:r>
            <w:r>
              <w:rPr>
                <w:rFonts w:ascii="Segoe UI"/>
                <w:color w:val="231F20"/>
                <w:spacing w:val="-1"/>
                <w:sz w:val="18"/>
              </w:rPr>
              <w:t>(Perth),</w:t>
            </w:r>
            <w:r>
              <w:rPr>
                <w:rFonts w:ascii="Segoe UI"/>
                <w:color w:val="231F20"/>
                <w:spacing w:val="-6"/>
                <w:sz w:val="18"/>
              </w:rPr>
              <w:t> </w:t>
            </w:r>
            <w:r>
              <w:rPr>
                <w:rFonts w:ascii="Segoe UI"/>
                <w:color w:val="231F20"/>
                <w:spacing w:val="-2"/>
                <w:sz w:val="18"/>
              </w:rPr>
              <w:t>Western</w:t>
            </w:r>
            <w:r>
              <w:rPr>
                <w:rFonts w:ascii="Segoe UI"/>
                <w:color w:val="231F20"/>
                <w:spacing w:val="-7"/>
                <w:sz w:val="18"/>
              </w:rPr>
              <w:t> </w:t>
            </w:r>
            <w:r>
              <w:rPr>
                <w:rFonts w:ascii="Segoe UI"/>
                <w:color w:val="231F20"/>
                <w:sz w:val="18"/>
              </w:rPr>
              <w:t>Australia</w:t>
            </w:r>
            <w:r>
              <w:rPr>
                <w:rFonts w:ascii="Segoe UI"/>
                <w:sz w:val="18"/>
              </w:rPr>
            </w:r>
          </w:p>
        </w:tc>
      </w:tr>
      <w:tr>
        <w:trPr>
          <w:trHeight w:val="302" w:hRule="exact"/>
        </w:trPr>
        <w:tc>
          <w:tcPr>
            <w:tcW w:w="56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z w:val="18"/>
              </w:rPr>
              <w:t>7.</w:t>
            </w:r>
            <w:r>
              <w:rPr>
                <w:rFonts w:ascii="Segoe UI"/>
                <w:sz w:val="18"/>
              </w:rPr>
            </w:r>
          </w:p>
        </w:tc>
        <w:tc>
          <w:tcPr>
            <w:tcW w:w="420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5" w:right="0"/>
              <w:jc w:val="left"/>
              <w:rPr>
                <w:rFonts w:ascii="Segoe UI" w:hAnsi="Segoe UI" w:cs="Segoe UI" w:eastAsia="Segoe UI"/>
                <w:sz w:val="18"/>
                <w:szCs w:val="18"/>
              </w:rPr>
            </w:pPr>
            <w:r>
              <w:rPr>
                <w:rFonts w:ascii="Segoe UI"/>
                <w:color w:val="231F20"/>
                <w:sz w:val="18"/>
              </w:rPr>
              <w:t>Haileybury</w:t>
            </w:r>
            <w:r>
              <w:rPr>
                <w:rFonts w:ascii="Segoe UI"/>
                <w:color w:val="231F20"/>
                <w:spacing w:val="-7"/>
                <w:sz w:val="18"/>
              </w:rPr>
              <w:t> </w:t>
            </w:r>
            <w:r>
              <w:rPr>
                <w:rFonts w:ascii="Segoe UI"/>
                <w:color w:val="231F20"/>
                <w:spacing w:val="-1"/>
                <w:sz w:val="18"/>
              </w:rPr>
              <w:t>Rendall</w:t>
            </w:r>
            <w:r>
              <w:rPr>
                <w:rFonts w:ascii="Segoe UI"/>
                <w:color w:val="231F20"/>
                <w:spacing w:val="-8"/>
                <w:sz w:val="18"/>
              </w:rPr>
              <w:t> </w:t>
            </w:r>
            <w:r>
              <w:rPr>
                <w:rFonts w:ascii="Segoe UI"/>
                <w:color w:val="231F20"/>
                <w:spacing w:val="-1"/>
                <w:sz w:val="18"/>
              </w:rPr>
              <w:t>School</w:t>
            </w:r>
            <w:r>
              <w:rPr>
                <w:rFonts w:ascii="Segoe UI"/>
                <w:sz w:val="18"/>
              </w:rPr>
            </w:r>
          </w:p>
        </w:tc>
        <w:tc>
          <w:tcPr>
            <w:tcW w:w="392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pacing w:val="-1"/>
                <w:sz w:val="18"/>
              </w:rPr>
              <w:t>Darwin,</w:t>
            </w:r>
            <w:r>
              <w:rPr>
                <w:rFonts w:ascii="Segoe UI"/>
                <w:color w:val="231F20"/>
                <w:spacing w:val="-10"/>
                <w:sz w:val="18"/>
              </w:rPr>
              <w:t> </w:t>
            </w:r>
            <w:r>
              <w:rPr>
                <w:rFonts w:ascii="Segoe UI"/>
                <w:color w:val="231F20"/>
                <w:sz w:val="18"/>
              </w:rPr>
              <w:t>Northern</w:t>
            </w:r>
            <w:r>
              <w:rPr>
                <w:rFonts w:ascii="Segoe UI"/>
                <w:color w:val="231F20"/>
                <w:spacing w:val="-10"/>
                <w:sz w:val="18"/>
              </w:rPr>
              <w:t> </w:t>
            </w:r>
            <w:r>
              <w:rPr>
                <w:rFonts w:ascii="Segoe UI"/>
                <w:color w:val="231F20"/>
                <w:spacing w:val="-2"/>
                <w:sz w:val="18"/>
              </w:rPr>
              <w:t>Territory</w:t>
            </w:r>
            <w:r>
              <w:rPr>
                <w:rFonts w:ascii="Segoe UI"/>
                <w:sz w:val="18"/>
              </w:rPr>
            </w:r>
          </w:p>
        </w:tc>
      </w:tr>
      <w:tr>
        <w:trPr>
          <w:trHeight w:val="302" w:hRule="exact"/>
        </w:trPr>
        <w:tc>
          <w:tcPr>
            <w:tcW w:w="56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z w:val="18"/>
              </w:rPr>
              <w:t>8.</w:t>
            </w:r>
            <w:r>
              <w:rPr>
                <w:rFonts w:ascii="Segoe UI"/>
                <w:sz w:val="18"/>
              </w:rPr>
            </w:r>
          </w:p>
        </w:tc>
        <w:tc>
          <w:tcPr>
            <w:tcW w:w="420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5" w:right="0"/>
              <w:jc w:val="left"/>
              <w:rPr>
                <w:rFonts w:ascii="Segoe UI" w:hAnsi="Segoe UI" w:cs="Segoe UI" w:eastAsia="Segoe UI"/>
                <w:sz w:val="18"/>
                <w:szCs w:val="18"/>
              </w:rPr>
            </w:pPr>
            <w:r>
              <w:rPr>
                <w:rFonts w:ascii="Segoe UI"/>
                <w:color w:val="231F20"/>
                <w:sz w:val="18"/>
              </w:rPr>
              <w:t>Holy</w:t>
            </w:r>
            <w:r>
              <w:rPr>
                <w:rFonts w:ascii="Segoe UI"/>
                <w:color w:val="231F20"/>
                <w:spacing w:val="-3"/>
                <w:sz w:val="18"/>
              </w:rPr>
              <w:t> </w:t>
            </w:r>
            <w:r>
              <w:rPr>
                <w:rFonts w:ascii="Segoe UI"/>
                <w:color w:val="231F20"/>
                <w:spacing w:val="-1"/>
                <w:sz w:val="18"/>
              </w:rPr>
              <w:t>Spirit</w:t>
            </w:r>
            <w:r>
              <w:rPr>
                <w:rFonts w:ascii="Segoe UI"/>
                <w:color w:val="231F20"/>
                <w:spacing w:val="-2"/>
                <w:sz w:val="18"/>
              </w:rPr>
              <w:t> </w:t>
            </w:r>
            <w:r>
              <w:rPr>
                <w:rFonts w:ascii="Segoe UI"/>
                <w:color w:val="231F20"/>
                <w:spacing w:val="-1"/>
                <w:sz w:val="18"/>
              </w:rPr>
              <w:t>College</w:t>
            </w:r>
            <w:r>
              <w:rPr>
                <w:rFonts w:ascii="Segoe UI"/>
                <w:sz w:val="18"/>
              </w:rPr>
            </w:r>
          </w:p>
        </w:tc>
        <w:tc>
          <w:tcPr>
            <w:tcW w:w="392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pacing w:val="-1"/>
                <w:sz w:val="18"/>
              </w:rPr>
              <w:t>Cooktown,</w:t>
            </w:r>
            <w:r>
              <w:rPr>
                <w:rFonts w:ascii="Segoe UI"/>
                <w:color w:val="231F20"/>
                <w:spacing w:val="-18"/>
                <w:sz w:val="18"/>
              </w:rPr>
              <w:t> </w:t>
            </w:r>
            <w:r>
              <w:rPr>
                <w:rFonts w:ascii="Segoe UI"/>
                <w:color w:val="231F20"/>
                <w:sz w:val="18"/>
              </w:rPr>
              <w:t>Queensland</w:t>
            </w:r>
            <w:r>
              <w:rPr>
                <w:rFonts w:ascii="Segoe UI"/>
                <w:sz w:val="18"/>
              </w:rPr>
            </w:r>
          </w:p>
        </w:tc>
      </w:tr>
      <w:tr>
        <w:trPr>
          <w:trHeight w:val="302" w:hRule="exact"/>
        </w:trPr>
        <w:tc>
          <w:tcPr>
            <w:tcW w:w="56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z w:val="18"/>
              </w:rPr>
              <w:t>9.</w:t>
            </w:r>
            <w:r>
              <w:rPr>
                <w:rFonts w:ascii="Segoe UI"/>
                <w:sz w:val="18"/>
              </w:rPr>
            </w:r>
          </w:p>
        </w:tc>
        <w:tc>
          <w:tcPr>
            <w:tcW w:w="420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5" w:right="0"/>
              <w:jc w:val="left"/>
              <w:rPr>
                <w:rFonts w:ascii="Segoe UI" w:hAnsi="Segoe UI" w:cs="Segoe UI" w:eastAsia="Segoe UI"/>
                <w:sz w:val="18"/>
                <w:szCs w:val="18"/>
              </w:rPr>
            </w:pPr>
            <w:r>
              <w:rPr>
                <w:rFonts w:ascii="Segoe UI"/>
                <w:color w:val="231F20"/>
                <w:sz w:val="18"/>
              </w:rPr>
              <w:t>La</w:t>
            </w:r>
            <w:r>
              <w:rPr>
                <w:rFonts w:ascii="Segoe UI"/>
                <w:color w:val="231F20"/>
                <w:spacing w:val="-1"/>
                <w:sz w:val="18"/>
              </w:rPr>
              <w:t> Salle College</w:t>
            </w:r>
            <w:r>
              <w:rPr>
                <w:rFonts w:ascii="Segoe UI"/>
                <w:sz w:val="18"/>
              </w:rPr>
            </w:r>
          </w:p>
        </w:tc>
        <w:tc>
          <w:tcPr>
            <w:tcW w:w="392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z w:val="18"/>
              </w:rPr>
              <w:t>Middle</w:t>
            </w:r>
            <w:r>
              <w:rPr>
                <w:rFonts w:ascii="Segoe UI"/>
                <w:color w:val="231F20"/>
                <w:spacing w:val="-7"/>
                <w:sz w:val="18"/>
              </w:rPr>
              <w:t> </w:t>
            </w:r>
            <w:r>
              <w:rPr>
                <w:rFonts w:ascii="Segoe UI"/>
                <w:color w:val="231F20"/>
                <w:spacing w:val="-1"/>
                <w:sz w:val="18"/>
              </w:rPr>
              <w:t>Swan</w:t>
            </w:r>
            <w:r>
              <w:rPr>
                <w:rFonts w:ascii="Segoe UI"/>
                <w:color w:val="231F20"/>
                <w:spacing w:val="-6"/>
                <w:sz w:val="18"/>
              </w:rPr>
              <w:t> </w:t>
            </w:r>
            <w:r>
              <w:rPr>
                <w:rFonts w:ascii="Segoe UI"/>
                <w:color w:val="231F20"/>
                <w:spacing w:val="-1"/>
                <w:sz w:val="18"/>
              </w:rPr>
              <w:t>(Perth),</w:t>
            </w:r>
            <w:r>
              <w:rPr>
                <w:rFonts w:ascii="Segoe UI"/>
                <w:color w:val="231F20"/>
                <w:spacing w:val="-5"/>
                <w:sz w:val="18"/>
              </w:rPr>
              <w:t> </w:t>
            </w:r>
            <w:r>
              <w:rPr>
                <w:rFonts w:ascii="Segoe UI"/>
                <w:color w:val="231F20"/>
                <w:spacing w:val="-2"/>
                <w:sz w:val="18"/>
              </w:rPr>
              <w:t>Western</w:t>
            </w:r>
            <w:r>
              <w:rPr>
                <w:rFonts w:ascii="Segoe UI"/>
                <w:color w:val="231F20"/>
                <w:spacing w:val="-6"/>
                <w:sz w:val="18"/>
              </w:rPr>
              <w:t> </w:t>
            </w:r>
            <w:r>
              <w:rPr>
                <w:rFonts w:ascii="Segoe UI"/>
                <w:color w:val="231F20"/>
                <w:sz w:val="18"/>
              </w:rPr>
              <w:t>Australia</w:t>
            </w:r>
            <w:r>
              <w:rPr>
                <w:rFonts w:ascii="Segoe UI"/>
                <w:sz w:val="18"/>
              </w:rPr>
            </w:r>
          </w:p>
        </w:tc>
      </w:tr>
      <w:tr>
        <w:trPr>
          <w:trHeight w:val="302" w:hRule="exact"/>
        </w:trPr>
        <w:tc>
          <w:tcPr>
            <w:tcW w:w="56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1"/>
              <w:ind w:left="74" w:right="0"/>
              <w:jc w:val="left"/>
              <w:rPr>
                <w:rFonts w:ascii="Segoe UI" w:hAnsi="Segoe UI" w:cs="Segoe UI" w:eastAsia="Segoe UI"/>
                <w:sz w:val="18"/>
                <w:szCs w:val="18"/>
              </w:rPr>
            </w:pPr>
            <w:r>
              <w:rPr>
                <w:rFonts w:ascii="Segoe UI"/>
                <w:color w:val="231F20"/>
                <w:sz w:val="18"/>
              </w:rPr>
              <w:t>10.</w:t>
            </w:r>
            <w:r>
              <w:rPr>
                <w:rFonts w:ascii="Segoe UI"/>
                <w:sz w:val="18"/>
              </w:rPr>
            </w:r>
          </w:p>
        </w:tc>
        <w:tc>
          <w:tcPr>
            <w:tcW w:w="420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1"/>
              <w:ind w:left="75" w:right="0"/>
              <w:jc w:val="left"/>
              <w:rPr>
                <w:rFonts w:ascii="Segoe UI" w:hAnsi="Segoe UI" w:cs="Segoe UI" w:eastAsia="Segoe UI"/>
                <w:sz w:val="18"/>
                <w:szCs w:val="18"/>
              </w:rPr>
            </w:pPr>
            <w:r>
              <w:rPr>
                <w:rFonts w:ascii="Segoe UI"/>
                <w:color w:val="231F20"/>
                <w:sz w:val="18"/>
              </w:rPr>
              <w:t>Marrara</w:t>
            </w:r>
            <w:r>
              <w:rPr>
                <w:rFonts w:ascii="Segoe UI"/>
                <w:color w:val="231F20"/>
                <w:spacing w:val="-7"/>
                <w:sz w:val="18"/>
              </w:rPr>
              <w:t> </w:t>
            </w:r>
            <w:r>
              <w:rPr>
                <w:rFonts w:ascii="Segoe UI"/>
                <w:color w:val="231F20"/>
                <w:spacing w:val="-1"/>
                <w:sz w:val="18"/>
              </w:rPr>
              <w:t>Christian</w:t>
            </w:r>
            <w:r>
              <w:rPr>
                <w:rFonts w:ascii="Segoe UI"/>
                <w:color w:val="231F20"/>
                <w:spacing w:val="-7"/>
                <w:sz w:val="18"/>
              </w:rPr>
              <w:t> </w:t>
            </w:r>
            <w:r>
              <w:rPr>
                <w:rFonts w:ascii="Segoe UI"/>
                <w:color w:val="231F20"/>
                <w:spacing w:val="-1"/>
                <w:sz w:val="18"/>
              </w:rPr>
              <w:t>College</w:t>
            </w:r>
            <w:r>
              <w:rPr>
                <w:rFonts w:ascii="Segoe UI"/>
                <w:sz w:val="18"/>
              </w:rPr>
            </w:r>
          </w:p>
        </w:tc>
        <w:tc>
          <w:tcPr>
            <w:tcW w:w="392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1"/>
              <w:ind w:left="74" w:right="0"/>
              <w:jc w:val="left"/>
              <w:rPr>
                <w:rFonts w:ascii="Segoe UI" w:hAnsi="Segoe UI" w:cs="Segoe UI" w:eastAsia="Segoe UI"/>
                <w:sz w:val="18"/>
                <w:szCs w:val="18"/>
              </w:rPr>
            </w:pPr>
            <w:r>
              <w:rPr>
                <w:rFonts w:ascii="Segoe UI"/>
                <w:color w:val="231F20"/>
                <w:spacing w:val="-1"/>
                <w:sz w:val="18"/>
              </w:rPr>
              <w:t>Darwin,</w:t>
            </w:r>
            <w:r>
              <w:rPr>
                <w:rFonts w:ascii="Segoe UI"/>
                <w:color w:val="231F20"/>
                <w:spacing w:val="-10"/>
                <w:sz w:val="18"/>
              </w:rPr>
              <w:t> </w:t>
            </w:r>
            <w:r>
              <w:rPr>
                <w:rFonts w:ascii="Segoe UI"/>
                <w:color w:val="231F20"/>
                <w:sz w:val="18"/>
              </w:rPr>
              <w:t>Northern</w:t>
            </w:r>
            <w:r>
              <w:rPr>
                <w:rFonts w:ascii="Segoe UI"/>
                <w:color w:val="231F20"/>
                <w:spacing w:val="-10"/>
                <w:sz w:val="18"/>
              </w:rPr>
              <w:t> </w:t>
            </w:r>
            <w:r>
              <w:rPr>
                <w:rFonts w:ascii="Segoe UI"/>
                <w:color w:val="231F20"/>
                <w:spacing w:val="-2"/>
                <w:sz w:val="18"/>
              </w:rPr>
              <w:t>Territory</w:t>
            </w:r>
            <w:r>
              <w:rPr>
                <w:rFonts w:ascii="Segoe UI"/>
                <w:sz w:val="18"/>
              </w:rPr>
            </w:r>
          </w:p>
        </w:tc>
      </w:tr>
      <w:tr>
        <w:trPr>
          <w:trHeight w:val="302" w:hRule="exact"/>
        </w:trPr>
        <w:tc>
          <w:tcPr>
            <w:tcW w:w="56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1"/>
              <w:ind w:left="74" w:right="0"/>
              <w:jc w:val="left"/>
              <w:rPr>
                <w:rFonts w:ascii="Segoe UI" w:hAnsi="Segoe UI" w:cs="Segoe UI" w:eastAsia="Segoe UI"/>
                <w:sz w:val="18"/>
                <w:szCs w:val="18"/>
              </w:rPr>
            </w:pPr>
            <w:r>
              <w:rPr>
                <w:rFonts w:ascii="Segoe UI"/>
                <w:color w:val="231F20"/>
                <w:sz w:val="18"/>
              </w:rPr>
              <w:t>11.</w:t>
            </w:r>
            <w:r>
              <w:rPr>
                <w:rFonts w:ascii="Segoe UI"/>
                <w:sz w:val="18"/>
              </w:rPr>
            </w:r>
          </w:p>
        </w:tc>
        <w:tc>
          <w:tcPr>
            <w:tcW w:w="420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1"/>
              <w:ind w:left="75" w:right="0"/>
              <w:jc w:val="left"/>
              <w:rPr>
                <w:rFonts w:ascii="Segoe UI" w:hAnsi="Segoe UI" w:cs="Segoe UI" w:eastAsia="Segoe UI"/>
                <w:sz w:val="18"/>
                <w:szCs w:val="18"/>
              </w:rPr>
            </w:pPr>
            <w:r>
              <w:rPr>
                <w:rFonts w:ascii="Segoe UI"/>
                <w:color w:val="231F20"/>
                <w:sz w:val="18"/>
              </w:rPr>
              <w:t>Melbourne</w:t>
            </w:r>
            <w:r>
              <w:rPr>
                <w:rFonts w:ascii="Segoe UI"/>
                <w:color w:val="231F20"/>
                <w:spacing w:val="-10"/>
                <w:sz w:val="18"/>
              </w:rPr>
              <w:t> </w:t>
            </w:r>
            <w:r>
              <w:rPr>
                <w:rFonts w:ascii="Segoe UI"/>
                <w:color w:val="231F20"/>
                <w:spacing w:val="-1"/>
                <w:sz w:val="18"/>
              </w:rPr>
              <w:t>Indigenous</w:t>
            </w:r>
            <w:r>
              <w:rPr>
                <w:rFonts w:ascii="Segoe UI"/>
                <w:color w:val="231F20"/>
                <w:spacing w:val="-8"/>
                <w:sz w:val="18"/>
              </w:rPr>
              <w:t> </w:t>
            </w:r>
            <w:r>
              <w:rPr>
                <w:rFonts w:ascii="Segoe UI"/>
                <w:color w:val="231F20"/>
                <w:spacing w:val="-2"/>
                <w:sz w:val="18"/>
              </w:rPr>
              <w:t>Transition</w:t>
            </w:r>
            <w:r>
              <w:rPr>
                <w:rFonts w:ascii="Segoe UI"/>
                <w:color w:val="231F20"/>
                <w:spacing w:val="-10"/>
                <w:sz w:val="18"/>
              </w:rPr>
              <w:t> </w:t>
            </w:r>
            <w:r>
              <w:rPr>
                <w:rFonts w:ascii="Segoe UI"/>
                <w:color w:val="231F20"/>
                <w:spacing w:val="-1"/>
                <w:sz w:val="18"/>
              </w:rPr>
              <w:t>School</w:t>
            </w:r>
            <w:r>
              <w:rPr>
                <w:rFonts w:ascii="Segoe UI"/>
                <w:sz w:val="18"/>
              </w:rPr>
            </w:r>
          </w:p>
        </w:tc>
        <w:tc>
          <w:tcPr>
            <w:tcW w:w="392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1"/>
              <w:ind w:left="74" w:right="0"/>
              <w:jc w:val="left"/>
              <w:rPr>
                <w:rFonts w:ascii="Segoe UI" w:hAnsi="Segoe UI" w:cs="Segoe UI" w:eastAsia="Segoe UI"/>
                <w:sz w:val="18"/>
                <w:szCs w:val="18"/>
              </w:rPr>
            </w:pPr>
            <w:r>
              <w:rPr>
                <w:rFonts w:ascii="Segoe UI"/>
                <w:color w:val="231F20"/>
                <w:spacing w:val="-1"/>
                <w:sz w:val="18"/>
              </w:rPr>
              <w:t>Richmond,</w:t>
            </w:r>
            <w:r>
              <w:rPr>
                <w:rFonts w:ascii="Segoe UI"/>
                <w:color w:val="231F20"/>
                <w:spacing w:val="-7"/>
                <w:sz w:val="18"/>
              </w:rPr>
              <w:t> </w:t>
            </w:r>
            <w:r>
              <w:rPr>
                <w:rFonts w:ascii="Segoe UI"/>
                <w:color w:val="231F20"/>
                <w:sz w:val="18"/>
              </w:rPr>
              <w:t>Victoria</w:t>
            </w:r>
            <w:r>
              <w:rPr>
                <w:rFonts w:ascii="Segoe UI"/>
                <w:sz w:val="18"/>
              </w:rPr>
            </w:r>
          </w:p>
        </w:tc>
      </w:tr>
      <w:tr>
        <w:trPr>
          <w:trHeight w:val="302" w:hRule="exact"/>
        </w:trPr>
        <w:tc>
          <w:tcPr>
            <w:tcW w:w="56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1"/>
              <w:ind w:left="74" w:right="0"/>
              <w:jc w:val="left"/>
              <w:rPr>
                <w:rFonts w:ascii="Segoe UI" w:hAnsi="Segoe UI" w:cs="Segoe UI" w:eastAsia="Segoe UI"/>
                <w:sz w:val="18"/>
                <w:szCs w:val="18"/>
              </w:rPr>
            </w:pPr>
            <w:r>
              <w:rPr>
                <w:rFonts w:ascii="Segoe UI"/>
                <w:color w:val="231F20"/>
                <w:sz w:val="18"/>
              </w:rPr>
              <w:t>12.</w:t>
            </w:r>
            <w:r>
              <w:rPr>
                <w:rFonts w:ascii="Segoe UI"/>
                <w:sz w:val="18"/>
              </w:rPr>
            </w:r>
          </w:p>
        </w:tc>
        <w:tc>
          <w:tcPr>
            <w:tcW w:w="420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1"/>
              <w:ind w:left="75" w:right="0"/>
              <w:jc w:val="left"/>
              <w:rPr>
                <w:rFonts w:ascii="Segoe UI" w:hAnsi="Segoe UI" w:cs="Segoe UI" w:eastAsia="Segoe UI"/>
                <w:sz w:val="18"/>
                <w:szCs w:val="18"/>
              </w:rPr>
            </w:pPr>
            <w:r>
              <w:rPr>
                <w:rFonts w:ascii="Segoe UI"/>
                <w:color w:val="231F20"/>
                <w:sz w:val="18"/>
              </w:rPr>
              <w:t>Mount</w:t>
            </w:r>
            <w:r>
              <w:rPr>
                <w:rFonts w:ascii="Segoe UI"/>
                <w:color w:val="231F20"/>
                <w:spacing w:val="-5"/>
                <w:sz w:val="18"/>
              </w:rPr>
              <w:t> </w:t>
            </w:r>
            <w:r>
              <w:rPr>
                <w:rFonts w:ascii="Segoe UI"/>
                <w:color w:val="231F20"/>
                <w:spacing w:val="-3"/>
                <w:sz w:val="18"/>
              </w:rPr>
              <w:t>St</w:t>
            </w:r>
            <w:r>
              <w:rPr>
                <w:rFonts w:ascii="Segoe UI"/>
                <w:color w:val="231F20"/>
                <w:spacing w:val="-4"/>
                <w:sz w:val="18"/>
              </w:rPr>
              <w:t> </w:t>
            </w:r>
            <w:r>
              <w:rPr>
                <w:rFonts w:ascii="Segoe UI"/>
                <w:color w:val="231F20"/>
                <w:spacing w:val="-1"/>
                <w:sz w:val="18"/>
              </w:rPr>
              <w:t>Bernard</w:t>
            </w:r>
            <w:r>
              <w:rPr>
                <w:rFonts w:ascii="Segoe UI"/>
                <w:color w:val="231F20"/>
                <w:spacing w:val="-4"/>
                <w:sz w:val="18"/>
              </w:rPr>
              <w:t> </w:t>
            </w:r>
            <w:r>
              <w:rPr>
                <w:rFonts w:ascii="Segoe UI"/>
                <w:color w:val="231F20"/>
                <w:spacing w:val="-1"/>
                <w:sz w:val="18"/>
              </w:rPr>
              <w:t>College</w:t>
            </w:r>
            <w:r>
              <w:rPr>
                <w:rFonts w:ascii="Segoe UI"/>
                <w:sz w:val="18"/>
              </w:rPr>
            </w:r>
          </w:p>
        </w:tc>
        <w:tc>
          <w:tcPr>
            <w:tcW w:w="392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1"/>
              <w:ind w:left="74" w:right="0"/>
              <w:jc w:val="left"/>
              <w:rPr>
                <w:rFonts w:ascii="Segoe UI" w:hAnsi="Segoe UI" w:cs="Segoe UI" w:eastAsia="Segoe UI"/>
                <w:sz w:val="18"/>
                <w:szCs w:val="18"/>
              </w:rPr>
            </w:pPr>
            <w:r>
              <w:rPr>
                <w:rFonts w:ascii="Segoe UI"/>
                <w:color w:val="231F20"/>
                <w:sz w:val="18"/>
              </w:rPr>
              <w:t>Herberton,</w:t>
            </w:r>
            <w:r>
              <w:rPr>
                <w:rFonts w:ascii="Segoe UI"/>
                <w:color w:val="231F20"/>
                <w:spacing w:val="-18"/>
                <w:sz w:val="18"/>
              </w:rPr>
              <w:t> </w:t>
            </w:r>
            <w:r>
              <w:rPr>
                <w:rFonts w:ascii="Segoe UI"/>
                <w:color w:val="231F20"/>
                <w:sz w:val="18"/>
              </w:rPr>
              <w:t>Queensland</w:t>
            </w:r>
            <w:r>
              <w:rPr>
                <w:rFonts w:ascii="Segoe UI"/>
                <w:sz w:val="18"/>
              </w:rPr>
            </w:r>
          </w:p>
        </w:tc>
      </w:tr>
      <w:tr>
        <w:trPr>
          <w:trHeight w:val="302" w:hRule="exact"/>
        </w:trPr>
        <w:tc>
          <w:tcPr>
            <w:tcW w:w="56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1"/>
              <w:ind w:left="74" w:right="0"/>
              <w:jc w:val="left"/>
              <w:rPr>
                <w:rFonts w:ascii="Segoe UI" w:hAnsi="Segoe UI" w:cs="Segoe UI" w:eastAsia="Segoe UI"/>
                <w:sz w:val="18"/>
                <w:szCs w:val="18"/>
              </w:rPr>
            </w:pPr>
            <w:r>
              <w:rPr>
                <w:rFonts w:ascii="Segoe UI"/>
                <w:color w:val="231F20"/>
                <w:sz w:val="18"/>
              </w:rPr>
              <w:t>13.</w:t>
            </w:r>
            <w:r>
              <w:rPr>
                <w:rFonts w:ascii="Segoe UI"/>
                <w:sz w:val="18"/>
              </w:rPr>
            </w:r>
          </w:p>
        </w:tc>
        <w:tc>
          <w:tcPr>
            <w:tcW w:w="420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1"/>
              <w:ind w:left="75" w:right="0"/>
              <w:jc w:val="left"/>
              <w:rPr>
                <w:rFonts w:ascii="Segoe UI" w:hAnsi="Segoe UI" w:cs="Segoe UI" w:eastAsia="Segoe UI"/>
                <w:sz w:val="18"/>
                <w:szCs w:val="18"/>
              </w:rPr>
            </w:pPr>
            <w:r>
              <w:rPr>
                <w:rFonts w:ascii="Segoe UI"/>
                <w:color w:val="231F20"/>
                <w:sz w:val="18"/>
              </w:rPr>
              <w:t>Nhulunbuy</w:t>
            </w:r>
            <w:r>
              <w:rPr>
                <w:rFonts w:ascii="Segoe UI"/>
                <w:color w:val="231F20"/>
                <w:spacing w:val="-8"/>
                <w:sz w:val="18"/>
              </w:rPr>
              <w:t> </w:t>
            </w:r>
            <w:r>
              <w:rPr>
                <w:rFonts w:ascii="Segoe UI"/>
                <w:color w:val="231F20"/>
                <w:spacing w:val="-1"/>
                <w:sz w:val="18"/>
              </w:rPr>
              <w:t>Boarding</w:t>
            </w:r>
            <w:r>
              <w:rPr>
                <w:rFonts w:ascii="Segoe UI"/>
                <w:color w:val="231F20"/>
                <w:spacing w:val="-8"/>
                <w:sz w:val="18"/>
              </w:rPr>
              <w:t> </w:t>
            </w:r>
            <w:r>
              <w:rPr>
                <w:rFonts w:ascii="Segoe UI"/>
                <w:color w:val="231F20"/>
                <w:spacing w:val="-1"/>
                <w:sz w:val="18"/>
              </w:rPr>
              <w:t>School</w:t>
            </w:r>
            <w:r>
              <w:rPr>
                <w:rFonts w:ascii="Segoe UI"/>
                <w:sz w:val="18"/>
              </w:rPr>
            </w:r>
          </w:p>
        </w:tc>
        <w:tc>
          <w:tcPr>
            <w:tcW w:w="392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1"/>
              <w:ind w:left="74" w:right="0"/>
              <w:jc w:val="left"/>
              <w:rPr>
                <w:rFonts w:ascii="Segoe UI" w:hAnsi="Segoe UI" w:cs="Segoe UI" w:eastAsia="Segoe UI"/>
                <w:sz w:val="18"/>
                <w:szCs w:val="18"/>
              </w:rPr>
            </w:pPr>
            <w:r>
              <w:rPr>
                <w:rFonts w:ascii="Segoe UI"/>
                <w:color w:val="231F20"/>
                <w:sz w:val="18"/>
              </w:rPr>
              <w:t>Nhulunbuy,</w:t>
            </w:r>
            <w:r>
              <w:rPr>
                <w:rFonts w:ascii="Segoe UI"/>
                <w:color w:val="231F20"/>
                <w:spacing w:val="-12"/>
                <w:sz w:val="18"/>
              </w:rPr>
              <w:t> </w:t>
            </w:r>
            <w:r>
              <w:rPr>
                <w:rFonts w:ascii="Segoe UI"/>
                <w:color w:val="231F20"/>
                <w:sz w:val="18"/>
              </w:rPr>
              <w:t>Northern</w:t>
            </w:r>
            <w:r>
              <w:rPr>
                <w:rFonts w:ascii="Segoe UI"/>
                <w:color w:val="231F20"/>
                <w:spacing w:val="-12"/>
                <w:sz w:val="18"/>
              </w:rPr>
              <w:t> </w:t>
            </w:r>
            <w:r>
              <w:rPr>
                <w:rFonts w:ascii="Segoe UI"/>
                <w:color w:val="231F20"/>
                <w:spacing w:val="-2"/>
                <w:sz w:val="18"/>
              </w:rPr>
              <w:t>Territory</w:t>
            </w:r>
            <w:r>
              <w:rPr>
                <w:rFonts w:ascii="Segoe UI"/>
                <w:sz w:val="18"/>
              </w:rPr>
            </w:r>
          </w:p>
        </w:tc>
      </w:tr>
      <w:tr>
        <w:trPr>
          <w:trHeight w:val="316" w:hRule="exact"/>
        </w:trPr>
        <w:tc>
          <w:tcPr>
            <w:tcW w:w="56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1"/>
              <w:ind w:left="74" w:right="0"/>
              <w:jc w:val="left"/>
              <w:rPr>
                <w:rFonts w:ascii="Segoe UI" w:hAnsi="Segoe UI" w:cs="Segoe UI" w:eastAsia="Segoe UI"/>
                <w:sz w:val="18"/>
                <w:szCs w:val="18"/>
              </w:rPr>
            </w:pPr>
            <w:r>
              <w:rPr>
                <w:rFonts w:ascii="Segoe UI"/>
                <w:color w:val="231F20"/>
                <w:sz w:val="18"/>
              </w:rPr>
              <w:t>14.</w:t>
            </w:r>
            <w:r>
              <w:rPr>
                <w:rFonts w:ascii="Segoe UI"/>
                <w:sz w:val="18"/>
              </w:rPr>
            </w:r>
          </w:p>
        </w:tc>
        <w:tc>
          <w:tcPr>
            <w:tcW w:w="420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36"/>
              <w:ind w:left="75" w:right="0"/>
              <w:jc w:val="left"/>
              <w:rPr>
                <w:rFonts w:ascii="Segoe UI Semibold" w:hAnsi="Segoe UI Semibold" w:cs="Segoe UI Semibold" w:eastAsia="Segoe UI Semibold"/>
                <w:sz w:val="11"/>
                <w:szCs w:val="11"/>
              </w:rPr>
            </w:pPr>
            <w:r>
              <w:rPr>
                <w:rFonts w:ascii="Segoe UI"/>
                <w:color w:val="231F20"/>
                <w:sz w:val="18"/>
              </w:rPr>
              <w:t>Northern</w:t>
            </w:r>
            <w:r>
              <w:rPr>
                <w:rFonts w:ascii="Segoe UI"/>
                <w:color w:val="231F20"/>
                <w:spacing w:val="-5"/>
                <w:sz w:val="18"/>
              </w:rPr>
              <w:t> </w:t>
            </w:r>
            <w:r>
              <w:rPr>
                <w:rFonts w:ascii="Segoe UI"/>
                <w:color w:val="231F20"/>
                <w:spacing w:val="-2"/>
                <w:sz w:val="18"/>
              </w:rPr>
              <w:t>Territory</w:t>
            </w:r>
            <w:r>
              <w:rPr>
                <w:rFonts w:ascii="Segoe UI"/>
                <w:color w:val="231F20"/>
                <w:spacing w:val="-4"/>
                <w:sz w:val="18"/>
              </w:rPr>
              <w:t> </w:t>
            </w:r>
            <w:r>
              <w:rPr>
                <w:rFonts w:ascii="Segoe UI"/>
                <w:color w:val="231F20"/>
                <w:spacing w:val="-1"/>
                <w:sz w:val="18"/>
              </w:rPr>
              <w:t>Christian</w:t>
            </w:r>
            <w:r>
              <w:rPr>
                <w:rFonts w:ascii="Segoe UI"/>
                <w:color w:val="231F20"/>
                <w:spacing w:val="-5"/>
                <w:sz w:val="18"/>
              </w:rPr>
              <w:t> </w:t>
            </w:r>
            <w:r>
              <w:rPr>
                <w:rFonts w:ascii="Segoe UI"/>
                <w:color w:val="231F20"/>
                <w:spacing w:val="-1"/>
                <w:sz w:val="18"/>
              </w:rPr>
              <w:t>College</w:t>
            </w:r>
            <w:r>
              <w:rPr>
                <w:rFonts w:ascii="Segoe UI Semibold"/>
                <w:b/>
                <w:color w:val="231F20"/>
                <w:spacing w:val="-1"/>
                <w:position w:val="7"/>
                <w:sz w:val="11"/>
              </w:rPr>
              <w:t>40</w:t>
            </w:r>
            <w:r>
              <w:rPr>
                <w:rFonts w:ascii="Segoe UI Semibold"/>
                <w:sz w:val="11"/>
              </w:rPr>
            </w:r>
          </w:p>
        </w:tc>
        <w:tc>
          <w:tcPr>
            <w:tcW w:w="392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pacing w:val="-1"/>
                <w:sz w:val="18"/>
              </w:rPr>
              <w:t>Darwin,</w:t>
            </w:r>
            <w:r>
              <w:rPr>
                <w:rFonts w:ascii="Segoe UI"/>
                <w:color w:val="231F20"/>
                <w:spacing w:val="-10"/>
                <w:sz w:val="18"/>
              </w:rPr>
              <w:t> </w:t>
            </w:r>
            <w:r>
              <w:rPr>
                <w:rFonts w:ascii="Segoe UI"/>
                <w:color w:val="231F20"/>
                <w:sz w:val="18"/>
              </w:rPr>
              <w:t>Northern</w:t>
            </w:r>
            <w:r>
              <w:rPr>
                <w:rFonts w:ascii="Segoe UI"/>
                <w:color w:val="231F20"/>
                <w:spacing w:val="-10"/>
                <w:sz w:val="18"/>
              </w:rPr>
              <w:t> </w:t>
            </w:r>
            <w:r>
              <w:rPr>
                <w:rFonts w:ascii="Segoe UI"/>
                <w:color w:val="231F20"/>
                <w:spacing w:val="-2"/>
                <w:sz w:val="18"/>
              </w:rPr>
              <w:t>Territory</w:t>
            </w:r>
            <w:r>
              <w:rPr>
                <w:rFonts w:ascii="Segoe UI"/>
                <w:sz w:val="18"/>
              </w:rPr>
            </w:r>
          </w:p>
        </w:tc>
      </w:tr>
      <w:tr>
        <w:trPr>
          <w:trHeight w:val="302" w:hRule="exact"/>
        </w:trPr>
        <w:tc>
          <w:tcPr>
            <w:tcW w:w="56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z w:val="18"/>
              </w:rPr>
              <w:t>15.</w:t>
            </w:r>
            <w:r>
              <w:rPr>
                <w:rFonts w:ascii="Segoe UI"/>
                <w:sz w:val="18"/>
              </w:rPr>
            </w:r>
          </w:p>
        </w:tc>
        <w:tc>
          <w:tcPr>
            <w:tcW w:w="420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z w:val="18"/>
              </w:rPr>
              <w:t>NRL</w:t>
            </w:r>
            <w:r>
              <w:rPr>
                <w:rFonts w:ascii="Segoe UI"/>
                <w:color w:val="231F20"/>
                <w:spacing w:val="-6"/>
                <w:sz w:val="18"/>
              </w:rPr>
              <w:t> </w:t>
            </w:r>
            <w:r>
              <w:rPr>
                <w:rFonts w:ascii="Segoe UI"/>
                <w:color w:val="231F20"/>
                <w:spacing w:val="-1"/>
                <w:sz w:val="18"/>
              </w:rPr>
              <w:t>Cowboys</w:t>
            </w:r>
            <w:r>
              <w:rPr>
                <w:rFonts w:ascii="Segoe UI"/>
                <w:color w:val="231F20"/>
                <w:spacing w:val="-5"/>
                <w:sz w:val="18"/>
              </w:rPr>
              <w:t> </w:t>
            </w:r>
            <w:r>
              <w:rPr>
                <w:rFonts w:ascii="Segoe UI"/>
                <w:color w:val="231F20"/>
                <w:sz w:val="18"/>
              </w:rPr>
              <w:t>House</w:t>
            </w:r>
            <w:r>
              <w:rPr>
                <w:rFonts w:ascii="Segoe UI"/>
                <w:sz w:val="18"/>
              </w:rPr>
            </w:r>
          </w:p>
        </w:tc>
        <w:tc>
          <w:tcPr>
            <w:tcW w:w="392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z w:val="18"/>
              </w:rPr>
              <w:t>Gulliver</w:t>
            </w:r>
            <w:r>
              <w:rPr>
                <w:rFonts w:ascii="Segoe UI"/>
                <w:color w:val="231F20"/>
                <w:spacing w:val="-10"/>
                <w:sz w:val="18"/>
              </w:rPr>
              <w:t> </w:t>
            </w:r>
            <w:r>
              <w:rPr>
                <w:rFonts w:ascii="Segoe UI"/>
                <w:color w:val="231F20"/>
                <w:spacing w:val="-2"/>
                <w:sz w:val="18"/>
              </w:rPr>
              <w:t>(Townsville),</w:t>
            </w:r>
            <w:r>
              <w:rPr>
                <w:rFonts w:ascii="Segoe UI"/>
                <w:color w:val="231F20"/>
                <w:spacing w:val="-11"/>
                <w:sz w:val="18"/>
              </w:rPr>
              <w:t> </w:t>
            </w:r>
            <w:r>
              <w:rPr>
                <w:rFonts w:ascii="Segoe UI"/>
                <w:color w:val="231F20"/>
                <w:sz w:val="18"/>
              </w:rPr>
              <w:t>Queensland</w:t>
            </w:r>
            <w:r>
              <w:rPr>
                <w:rFonts w:ascii="Segoe UI"/>
                <w:sz w:val="18"/>
              </w:rPr>
            </w:r>
          </w:p>
        </w:tc>
      </w:tr>
      <w:tr>
        <w:trPr>
          <w:trHeight w:val="302" w:hRule="exact"/>
        </w:trPr>
        <w:tc>
          <w:tcPr>
            <w:tcW w:w="56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z w:val="18"/>
              </w:rPr>
              <w:t>16.</w:t>
            </w:r>
            <w:r>
              <w:rPr>
                <w:rFonts w:ascii="Segoe UI"/>
                <w:sz w:val="18"/>
              </w:rPr>
            </w:r>
          </w:p>
        </w:tc>
        <w:tc>
          <w:tcPr>
            <w:tcW w:w="420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pacing w:val="-2"/>
                <w:sz w:val="18"/>
              </w:rPr>
              <w:t>Peace</w:t>
            </w:r>
            <w:r>
              <w:rPr>
                <w:rFonts w:ascii="Segoe UI"/>
                <w:color w:val="231F20"/>
                <w:spacing w:val="-6"/>
                <w:sz w:val="18"/>
              </w:rPr>
              <w:t> </w:t>
            </w:r>
            <w:r>
              <w:rPr>
                <w:rFonts w:ascii="Segoe UI"/>
                <w:color w:val="231F20"/>
                <w:sz w:val="18"/>
              </w:rPr>
              <w:t>Lutheran</w:t>
            </w:r>
            <w:r>
              <w:rPr>
                <w:rFonts w:ascii="Segoe UI"/>
                <w:color w:val="231F20"/>
                <w:spacing w:val="-6"/>
                <w:sz w:val="18"/>
              </w:rPr>
              <w:t> </w:t>
            </w:r>
            <w:r>
              <w:rPr>
                <w:rFonts w:ascii="Segoe UI"/>
                <w:color w:val="231F20"/>
                <w:spacing w:val="-1"/>
                <w:sz w:val="18"/>
              </w:rPr>
              <w:t>College</w:t>
            </w:r>
            <w:r>
              <w:rPr>
                <w:rFonts w:ascii="Segoe UI"/>
                <w:sz w:val="18"/>
              </w:rPr>
            </w:r>
          </w:p>
        </w:tc>
        <w:tc>
          <w:tcPr>
            <w:tcW w:w="392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pacing w:val="-1"/>
                <w:sz w:val="18"/>
              </w:rPr>
              <w:t>Kamerunga</w:t>
            </w:r>
            <w:r>
              <w:rPr>
                <w:rFonts w:ascii="Segoe UI"/>
                <w:color w:val="231F20"/>
                <w:spacing w:val="-13"/>
                <w:sz w:val="18"/>
              </w:rPr>
              <w:t> </w:t>
            </w:r>
            <w:r>
              <w:rPr>
                <w:rFonts w:ascii="Segoe UI"/>
                <w:color w:val="231F20"/>
                <w:sz w:val="18"/>
              </w:rPr>
              <w:t>(Cairns),</w:t>
            </w:r>
            <w:r>
              <w:rPr>
                <w:rFonts w:ascii="Segoe UI"/>
                <w:color w:val="231F20"/>
                <w:spacing w:val="-13"/>
                <w:sz w:val="18"/>
              </w:rPr>
              <w:t> </w:t>
            </w:r>
            <w:r>
              <w:rPr>
                <w:rFonts w:ascii="Segoe UI"/>
                <w:color w:val="231F20"/>
                <w:sz w:val="18"/>
              </w:rPr>
              <w:t>Queensland</w:t>
            </w:r>
            <w:r>
              <w:rPr>
                <w:rFonts w:ascii="Segoe UI"/>
                <w:sz w:val="18"/>
              </w:rPr>
            </w:r>
          </w:p>
        </w:tc>
      </w:tr>
      <w:tr>
        <w:trPr>
          <w:trHeight w:val="302" w:hRule="exact"/>
        </w:trPr>
        <w:tc>
          <w:tcPr>
            <w:tcW w:w="56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z w:val="18"/>
              </w:rPr>
              <w:t>17.</w:t>
            </w:r>
            <w:r>
              <w:rPr>
                <w:rFonts w:ascii="Segoe UI"/>
                <w:sz w:val="18"/>
              </w:rPr>
            </w:r>
          </w:p>
        </w:tc>
        <w:tc>
          <w:tcPr>
            <w:tcW w:w="420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pacing w:val="-3"/>
                <w:sz w:val="18"/>
              </w:rPr>
              <w:t>St</w:t>
            </w:r>
            <w:r>
              <w:rPr>
                <w:rFonts w:ascii="Segoe UI"/>
                <w:color w:val="231F20"/>
                <w:spacing w:val="-5"/>
                <w:sz w:val="18"/>
              </w:rPr>
              <w:t> </w:t>
            </w:r>
            <w:r>
              <w:rPr>
                <w:rFonts w:ascii="Segoe UI"/>
                <w:color w:val="231F20"/>
                <w:spacing w:val="-1"/>
                <w:sz w:val="18"/>
              </w:rPr>
              <w:t>Brendan's</w:t>
            </w:r>
            <w:r>
              <w:rPr>
                <w:rFonts w:ascii="Segoe UI"/>
                <w:color w:val="231F20"/>
                <w:spacing w:val="-4"/>
                <w:sz w:val="18"/>
              </w:rPr>
              <w:t> </w:t>
            </w:r>
            <w:r>
              <w:rPr>
                <w:rFonts w:ascii="Segoe UI"/>
                <w:color w:val="231F20"/>
                <w:spacing w:val="-1"/>
                <w:sz w:val="18"/>
              </w:rPr>
              <w:t>College</w:t>
            </w:r>
            <w:r>
              <w:rPr>
                <w:rFonts w:ascii="Segoe UI"/>
                <w:sz w:val="18"/>
              </w:rPr>
            </w:r>
          </w:p>
        </w:tc>
        <w:tc>
          <w:tcPr>
            <w:tcW w:w="392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pacing w:val="-2"/>
                <w:sz w:val="18"/>
              </w:rPr>
              <w:t>Yeppoon,</w:t>
            </w:r>
            <w:r>
              <w:rPr>
                <w:rFonts w:ascii="Segoe UI"/>
                <w:color w:val="231F20"/>
                <w:spacing w:val="-18"/>
                <w:sz w:val="18"/>
              </w:rPr>
              <w:t> </w:t>
            </w:r>
            <w:r>
              <w:rPr>
                <w:rFonts w:ascii="Segoe UI"/>
                <w:color w:val="231F20"/>
                <w:sz w:val="18"/>
              </w:rPr>
              <w:t>Queensland</w:t>
            </w:r>
            <w:r>
              <w:rPr>
                <w:rFonts w:ascii="Segoe UI"/>
                <w:sz w:val="18"/>
              </w:rPr>
            </w:r>
          </w:p>
        </w:tc>
      </w:tr>
      <w:tr>
        <w:trPr>
          <w:trHeight w:val="302" w:hRule="exact"/>
        </w:trPr>
        <w:tc>
          <w:tcPr>
            <w:tcW w:w="56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z w:val="18"/>
              </w:rPr>
              <w:t>18.</w:t>
            </w:r>
            <w:r>
              <w:rPr>
                <w:rFonts w:ascii="Segoe UI"/>
                <w:sz w:val="18"/>
              </w:rPr>
            </w:r>
          </w:p>
        </w:tc>
        <w:tc>
          <w:tcPr>
            <w:tcW w:w="420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pacing w:val="-3"/>
                <w:sz w:val="18"/>
              </w:rPr>
              <w:t>St</w:t>
            </w:r>
            <w:r>
              <w:rPr>
                <w:rFonts w:ascii="Segoe UI"/>
                <w:color w:val="231F20"/>
                <w:spacing w:val="-1"/>
                <w:sz w:val="18"/>
              </w:rPr>
              <w:t> </w:t>
            </w:r>
            <w:r>
              <w:rPr>
                <w:rFonts w:ascii="Segoe UI"/>
                <w:color w:val="231F20"/>
                <w:sz w:val="18"/>
              </w:rPr>
              <w:t>John's</w:t>
            </w:r>
            <w:r>
              <w:rPr>
                <w:rFonts w:ascii="Segoe UI"/>
                <w:color w:val="231F20"/>
                <w:spacing w:val="-1"/>
                <w:sz w:val="18"/>
              </w:rPr>
              <w:t> College</w:t>
            </w:r>
            <w:r>
              <w:rPr>
                <w:rFonts w:ascii="Segoe UI"/>
                <w:sz w:val="18"/>
              </w:rPr>
            </w:r>
          </w:p>
        </w:tc>
        <w:tc>
          <w:tcPr>
            <w:tcW w:w="392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pacing w:val="-1"/>
                <w:sz w:val="18"/>
              </w:rPr>
              <w:t>Darwin,</w:t>
            </w:r>
            <w:r>
              <w:rPr>
                <w:rFonts w:ascii="Segoe UI"/>
                <w:color w:val="231F20"/>
                <w:spacing w:val="-10"/>
                <w:sz w:val="18"/>
              </w:rPr>
              <w:t> </w:t>
            </w:r>
            <w:r>
              <w:rPr>
                <w:rFonts w:ascii="Segoe UI"/>
                <w:color w:val="231F20"/>
                <w:sz w:val="18"/>
              </w:rPr>
              <w:t>Northern</w:t>
            </w:r>
            <w:r>
              <w:rPr>
                <w:rFonts w:ascii="Segoe UI"/>
                <w:color w:val="231F20"/>
                <w:spacing w:val="-10"/>
                <w:sz w:val="18"/>
              </w:rPr>
              <w:t> </w:t>
            </w:r>
            <w:r>
              <w:rPr>
                <w:rFonts w:ascii="Segoe UI"/>
                <w:color w:val="231F20"/>
                <w:spacing w:val="-2"/>
                <w:sz w:val="18"/>
              </w:rPr>
              <w:t>Territory</w:t>
            </w:r>
            <w:r>
              <w:rPr>
                <w:rFonts w:ascii="Segoe UI"/>
                <w:sz w:val="18"/>
              </w:rPr>
            </w:r>
          </w:p>
        </w:tc>
      </w:tr>
      <w:tr>
        <w:trPr>
          <w:trHeight w:val="302" w:hRule="exact"/>
        </w:trPr>
        <w:tc>
          <w:tcPr>
            <w:tcW w:w="56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z w:val="18"/>
              </w:rPr>
              <w:t>19.</w:t>
            </w:r>
            <w:r>
              <w:rPr>
                <w:rFonts w:ascii="Segoe UI"/>
                <w:sz w:val="18"/>
              </w:rPr>
            </w:r>
          </w:p>
        </w:tc>
        <w:tc>
          <w:tcPr>
            <w:tcW w:w="420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pacing w:val="-3"/>
                <w:sz w:val="18"/>
              </w:rPr>
              <w:t>St</w:t>
            </w:r>
            <w:r>
              <w:rPr>
                <w:rFonts w:ascii="Segoe UI"/>
                <w:color w:val="231F20"/>
                <w:spacing w:val="-4"/>
                <w:sz w:val="18"/>
              </w:rPr>
              <w:t> </w:t>
            </w:r>
            <w:r>
              <w:rPr>
                <w:rFonts w:ascii="Segoe UI"/>
                <w:color w:val="231F20"/>
                <w:spacing w:val="-1"/>
                <w:sz w:val="18"/>
              </w:rPr>
              <w:t>Patrick's</w:t>
            </w:r>
            <w:r>
              <w:rPr>
                <w:rFonts w:ascii="Segoe UI"/>
                <w:color w:val="231F20"/>
                <w:spacing w:val="-4"/>
                <w:sz w:val="18"/>
              </w:rPr>
              <w:t> </w:t>
            </w:r>
            <w:r>
              <w:rPr>
                <w:rFonts w:ascii="Segoe UI"/>
                <w:color w:val="231F20"/>
                <w:spacing w:val="-1"/>
                <w:sz w:val="18"/>
              </w:rPr>
              <w:t>College</w:t>
            </w:r>
            <w:r>
              <w:rPr>
                <w:rFonts w:ascii="Segoe UI"/>
                <w:sz w:val="18"/>
              </w:rPr>
            </w:r>
          </w:p>
        </w:tc>
        <w:tc>
          <w:tcPr>
            <w:tcW w:w="392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pacing w:val="-2"/>
                <w:sz w:val="18"/>
              </w:rPr>
              <w:t>Townsville,</w:t>
            </w:r>
            <w:r>
              <w:rPr>
                <w:rFonts w:ascii="Segoe UI"/>
                <w:color w:val="231F20"/>
                <w:spacing w:val="-12"/>
                <w:sz w:val="18"/>
              </w:rPr>
              <w:t> </w:t>
            </w:r>
            <w:r>
              <w:rPr>
                <w:rFonts w:ascii="Segoe UI"/>
                <w:color w:val="231F20"/>
                <w:sz w:val="18"/>
              </w:rPr>
              <w:t>Queensland</w:t>
            </w:r>
            <w:r>
              <w:rPr>
                <w:rFonts w:ascii="Segoe UI"/>
                <w:sz w:val="18"/>
              </w:rPr>
            </w:r>
          </w:p>
        </w:tc>
      </w:tr>
      <w:tr>
        <w:trPr>
          <w:trHeight w:val="302" w:hRule="exact"/>
        </w:trPr>
        <w:tc>
          <w:tcPr>
            <w:tcW w:w="56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z w:val="18"/>
              </w:rPr>
              <w:t>20.</w:t>
            </w:r>
            <w:r>
              <w:rPr>
                <w:rFonts w:ascii="Segoe UI"/>
                <w:sz w:val="18"/>
              </w:rPr>
            </w:r>
          </w:p>
        </w:tc>
        <w:tc>
          <w:tcPr>
            <w:tcW w:w="420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pacing w:val="-3"/>
                <w:sz w:val="18"/>
              </w:rPr>
              <w:t>St</w:t>
            </w:r>
            <w:r>
              <w:rPr>
                <w:rFonts w:ascii="Segoe UI"/>
                <w:color w:val="231F20"/>
                <w:spacing w:val="-1"/>
                <w:sz w:val="18"/>
              </w:rPr>
              <w:t> Philip's</w:t>
            </w:r>
            <w:r>
              <w:rPr>
                <w:rFonts w:ascii="Segoe UI"/>
                <w:color w:val="231F20"/>
                <w:sz w:val="18"/>
              </w:rPr>
              <w:t> </w:t>
            </w:r>
            <w:r>
              <w:rPr>
                <w:rFonts w:ascii="Segoe UI"/>
                <w:color w:val="231F20"/>
                <w:spacing w:val="-1"/>
                <w:sz w:val="18"/>
              </w:rPr>
              <w:t>College</w:t>
            </w:r>
            <w:r>
              <w:rPr>
                <w:rFonts w:ascii="Segoe UI"/>
                <w:sz w:val="18"/>
              </w:rPr>
            </w:r>
          </w:p>
        </w:tc>
        <w:tc>
          <w:tcPr>
            <w:tcW w:w="392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z w:val="18"/>
              </w:rPr>
              <w:t>Alice</w:t>
            </w:r>
            <w:r>
              <w:rPr>
                <w:rFonts w:ascii="Segoe UI"/>
                <w:color w:val="231F20"/>
                <w:spacing w:val="-7"/>
                <w:sz w:val="18"/>
              </w:rPr>
              <w:t> </w:t>
            </w:r>
            <w:r>
              <w:rPr>
                <w:rFonts w:ascii="Segoe UI"/>
                <w:color w:val="231F20"/>
                <w:spacing w:val="-1"/>
                <w:sz w:val="18"/>
              </w:rPr>
              <w:t>Springs,</w:t>
            </w:r>
            <w:r>
              <w:rPr>
                <w:rFonts w:ascii="Segoe UI"/>
                <w:color w:val="231F20"/>
                <w:spacing w:val="-7"/>
                <w:sz w:val="18"/>
              </w:rPr>
              <w:t> </w:t>
            </w:r>
            <w:r>
              <w:rPr>
                <w:rFonts w:ascii="Segoe UI"/>
                <w:color w:val="231F20"/>
                <w:sz w:val="18"/>
              </w:rPr>
              <w:t>Northern</w:t>
            </w:r>
            <w:r>
              <w:rPr>
                <w:rFonts w:ascii="Segoe UI"/>
                <w:color w:val="231F20"/>
                <w:spacing w:val="-7"/>
                <w:sz w:val="18"/>
              </w:rPr>
              <w:t> </w:t>
            </w:r>
            <w:r>
              <w:rPr>
                <w:rFonts w:ascii="Segoe UI"/>
                <w:color w:val="231F20"/>
                <w:spacing w:val="-2"/>
                <w:sz w:val="18"/>
              </w:rPr>
              <w:t>Territory</w:t>
            </w:r>
            <w:r>
              <w:rPr>
                <w:rFonts w:ascii="Segoe UI"/>
                <w:sz w:val="18"/>
              </w:rPr>
            </w:r>
          </w:p>
        </w:tc>
      </w:tr>
      <w:tr>
        <w:trPr>
          <w:trHeight w:val="302" w:hRule="exact"/>
        </w:trPr>
        <w:tc>
          <w:tcPr>
            <w:tcW w:w="56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z w:val="18"/>
              </w:rPr>
              <w:t>21.</w:t>
            </w:r>
            <w:r>
              <w:rPr>
                <w:rFonts w:ascii="Segoe UI"/>
                <w:sz w:val="18"/>
              </w:rPr>
            </w:r>
          </w:p>
        </w:tc>
        <w:tc>
          <w:tcPr>
            <w:tcW w:w="420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pacing w:val="-3"/>
                <w:sz w:val="18"/>
              </w:rPr>
              <w:t>St</w:t>
            </w:r>
            <w:r>
              <w:rPr>
                <w:rFonts w:ascii="Segoe UI"/>
                <w:color w:val="231F20"/>
                <w:spacing w:val="-6"/>
                <w:sz w:val="18"/>
              </w:rPr>
              <w:t> </w:t>
            </w:r>
            <w:r>
              <w:rPr>
                <w:rFonts w:ascii="Segoe UI"/>
                <w:color w:val="231F20"/>
                <w:spacing w:val="-3"/>
                <w:sz w:val="18"/>
              </w:rPr>
              <w:t>Teresa's</w:t>
            </w:r>
            <w:r>
              <w:rPr>
                <w:rFonts w:ascii="Segoe UI"/>
                <w:color w:val="231F20"/>
                <w:spacing w:val="-6"/>
                <w:sz w:val="18"/>
              </w:rPr>
              <w:t> </w:t>
            </w:r>
            <w:r>
              <w:rPr>
                <w:rFonts w:ascii="Segoe UI"/>
                <w:color w:val="231F20"/>
                <w:sz w:val="18"/>
              </w:rPr>
              <w:t>Agricultural</w:t>
            </w:r>
            <w:r>
              <w:rPr>
                <w:rFonts w:ascii="Segoe UI"/>
                <w:color w:val="231F20"/>
                <w:spacing w:val="-6"/>
                <w:sz w:val="18"/>
              </w:rPr>
              <w:t> </w:t>
            </w:r>
            <w:r>
              <w:rPr>
                <w:rFonts w:ascii="Segoe UI"/>
                <w:color w:val="231F20"/>
                <w:spacing w:val="-1"/>
                <w:sz w:val="18"/>
              </w:rPr>
              <w:t>College</w:t>
            </w:r>
            <w:r>
              <w:rPr>
                <w:rFonts w:ascii="Segoe UI"/>
                <w:sz w:val="18"/>
              </w:rPr>
            </w:r>
          </w:p>
        </w:tc>
        <w:tc>
          <w:tcPr>
            <w:tcW w:w="392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z w:val="18"/>
              </w:rPr>
              <w:t>Abergowrie</w:t>
            </w:r>
            <w:r>
              <w:rPr>
                <w:rFonts w:ascii="Segoe UI"/>
                <w:color w:val="231F20"/>
                <w:spacing w:val="-14"/>
                <w:sz w:val="18"/>
              </w:rPr>
              <w:t> </w:t>
            </w:r>
            <w:r>
              <w:rPr>
                <w:rFonts w:ascii="Segoe UI"/>
                <w:color w:val="231F20"/>
                <w:sz w:val="18"/>
              </w:rPr>
              <w:t>(Ingham),</w:t>
            </w:r>
            <w:r>
              <w:rPr>
                <w:rFonts w:ascii="Segoe UI"/>
                <w:color w:val="231F20"/>
                <w:spacing w:val="-14"/>
                <w:sz w:val="18"/>
              </w:rPr>
              <w:t> </w:t>
            </w:r>
            <w:r>
              <w:rPr>
                <w:rFonts w:ascii="Segoe UI"/>
                <w:color w:val="231F20"/>
                <w:sz w:val="18"/>
              </w:rPr>
              <w:t>Queensland</w:t>
            </w:r>
            <w:r>
              <w:rPr>
                <w:rFonts w:ascii="Segoe UI"/>
                <w:sz w:val="18"/>
              </w:rPr>
            </w:r>
          </w:p>
        </w:tc>
      </w:tr>
      <w:tr>
        <w:trPr>
          <w:trHeight w:val="302" w:hRule="exact"/>
        </w:trPr>
        <w:tc>
          <w:tcPr>
            <w:tcW w:w="56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z w:val="18"/>
              </w:rPr>
              <w:t>22.</w:t>
            </w:r>
            <w:r>
              <w:rPr>
                <w:rFonts w:ascii="Segoe UI"/>
                <w:sz w:val="18"/>
              </w:rPr>
            </w:r>
          </w:p>
        </w:tc>
        <w:tc>
          <w:tcPr>
            <w:tcW w:w="420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pacing w:val="-3"/>
                <w:sz w:val="18"/>
              </w:rPr>
              <w:t>Tec-NQ</w:t>
            </w:r>
            <w:r>
              <w:rPr>
                <w:rFonts w:ascii="Segoe UI"/>
                <w:color w:val="231F20"/>
                <w:spacing w:val="-8"/>
                <w:sz w:val="18"/>
              </w:rPr>
              <w:t> </w:t>
            </w:r>
            <w:r>
              <w:rPr>
                <w:rFonts w:ascii="Segoe UI"/>
                <w:color w:val="231F20"/>
                <w:sz w:val="18"/>
              </w:rPr>
              <w:t>(senior</w:t>
            </w:r>
            <w:r>
              <w:rPr>
                <w:rFonts w:ascii="Segoe UI"/>
                <w:color w:val="231F20"/>
                <w:spacing w:val="-8"/>
                <w:sz w:val="18"/>
              </w:rPr>
              <w:t> </w:t>
            </w:r>
            <w:r>
              <w:rPr>
                <w:rFonts w:ascii="Segoe UI"/>
                <w:color w:val="231F20"/>
                <w:sz w:val="18"/>
              </w:rPr>
              <w:t>years</w:t>
            </w:r>
            <w:r>
              <w:rPr>
                <w:rFonts w:ascii="Segoe UI"/>
                <w:color w:val="231F20"/>
                <w:spacing w:val="-7"/>
                <w:sz w:val="18"/>
              </w:rPr>
              <w:t> </w:t>
            </w:r>
            <w:r>
              <w:rPr>
                <w:rFonts w:ascii="Segoe UI"/>
                <w:color w:val="231F20"/>
                <w:sz w:val="18"/>
              </w:rPr>
              <w:t>only)</w:t>
            </w:r>
            <w:r>
              <w:rPr>
                <w:rFonts w:ascii="Segoe UI"/>
                <w:sz w:val="18"/>
              </w:rPr>
            </w:r>
          </w:p>
        </w:tc>
        <w:tc>
          <w:tcPr>
            <w:tcW w:w="392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pacing w:val="-2"/>
                <w:sz w:val="18"/>
              </w:rPr>
              <w:t>Townsville,</w:t>
            </w:r>
            <w:r>
              <w:rPr>
                <w:rFonts w:ascii="Segoe UI"/>
                <w:color w:val="231F20"/>
                <w:spacing w:val="-12"/>
                <w:sz w:val="18"/>
              </w:rPr>
              <w:t> </w:t>
            </w:r>
            <w:r>
              <w:rPr>
                <w:rFonts w:ascii="Segoe UI"/>
                <w:color w:val="231F20"/>
                <w:sz w:val="18"/>
              </w:rPr>
              <w:t>Queensland</w:t>
            </w:r>
            <w:r>
              <w:rPr>
                <w:rFonts w:ascii="Segoe UI"/>
                <w:sz w:val="18"/>
              </w:rPr>
            </w:r>
          </w:p>
        </w:tc>
      </w:tr>
      <w:tr>
        <w:trPr>
          <w:trHeight w:val="302" w:hRule="exact"/>
        </w:trPr>
        <w:tc>
          <w:tcPr>
            <w:tcW w:w="56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z w:val="18"/>
              </w:rPr>
              <w:t>23.</w:t>
            </w:r>
            <w:r>
              <w:rPr>
                <w:rFonts w:ascii="Segoe UI"/>
                <w:sz w:val="18"/>
              </w:rPr>
            </w:r>
          </w:p>
        </w:tc>
        <w:tc>
          <w:tcPr>
            <w:tcW w:w="420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z w:val="18"/>
              </w:rPr>
              <w:t>Tiwi</w:t>
            </w:r>
            <w:r>
              <w:rPr>
                <w:rFonts w:ascii="Segoe UI"/>
                <w:color w:val="231F20"/>
                <w:spacing w:val="-5"/>
                <w:sz w:val="18"/>
              </w:rPr>
              <w:t> </w:t>
            </w:r>
            <w:r>
              <w:rPr>
                <w:rFonts w:ascii="Segoe UI"/>
                <w:color w:val="231F20"/>
                <w:spacing w:val="-1"/>
                <w:sz w:val="18"/>
              </w:rPr>
              <w:t>College</w:t>
            </w:r>
            <w:r>
              <w:rPr>
                <w:rFonts w:ascii="Segoe UI"/>
                <w:sz w:val="18"/>
              </w:rPr>
            </w:r>
          </w:p>
        </w:tc>
        <w:tc>
          <w:tcPr>
            <w:tcW w:w="392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2"/>
              <w:ind w:left="74" w:right="0"/>
              <w:jc w:val="left"/>
              <w:rPr>
                <w:rFonts w:ascii="Segoe UI" w:hAnsi="Segoe UI" w:cs="Segoe UI" w:eastAsia="Segoe UI"/>
                <w:sz w:val="18"/>
                <w:szCs w:val="18"/>
              </w:rPr>
            </w:pPr>
            <w:r>
              <w:rPr>
                <w:rFonts w:ascii="Segoe UI"/>
                <w:color w:val="231F20"/>
                <w:spacing w:val="-1"/>
                <w:sz w:val="18"/>
              </w:rPr>
              <w:t>Pickataramoor</w:t>
            </w:r>
            <w:r>
              <w:rPr>
                <w:rFonts w:ascii="Segoe UI"/>
                <w:color w:val="231F20"/>
                <w:spacing w:val="-8"/>
                <w:sz w:val="18"/>
              </w:rPr>
              <w:t> </w:t>
            </w:r>
            <w:r>
              <w:rPr>
                <w:rFonts w:ascii="Segoe UI"/>
                <w:color w:val="231F20"/>
                <w:sz w:val="18"/>
              </w:rPr>
              <w:t>(Tiwi</w:t>
            </w:r>
            <w:r>
              <w:rPr>
                <w:rFonts w:ascii="Segoe UI"/>
                <w:color w:val="231F20"/>
                <w:spacing w:val="-8"/>
                <w:sz w:val="18"/>
              </w:rPr>
              <w:t> </w:t>
            </w:r>
            <w:r>
              <w:rPr>
                <w:rFonts w:ascii="Segoe UI"/>
                <w:color w:val="231F20"/>
                <w:spacing w:val="-1"/>
                <w:sz w:val="18"/>
              </w:rPr>
              <w:t>Islands),</w:t>
            </w:r>
            <w:r>
              <w:rPr>
                <w:rFonts w:ascii="Segoe UI"/>
                <w:color w:val="231F20"/>
                <w:spacing w:val="-7"/>
                <w:sz w:val="18"/>
              </w:rPr>
              <w:t> </w:t>
            </w:r>
            <w:r>
              <w:rPr>
                <w:rFonts w:ascii="Segoe UI"/>
                <w:color w:val="231F20"/>
                <w:sz w:val="18"/>
              </w:rPr>
              <w:t>Northern</w:t>
            </w:r>
            <w:r>
              <w:rPr>
                <w:rFonts w:ascii="Segoe UI"/>
                <w:color w:val="231F20"/>
                <w:spacing w:val="-8"/>
                <w:sz w:val="18"/>
              </w:rPr>
              <w:t> </w:t>
            </w:r>
            <w:r>
              <w:rPr>
                <w:rFonts w:ascii="Segoe UI"/>
                <w:color w:val="231F20"/>
                <w:spacing w:val="-3"/>
                <w:sz w:val="18"/>
              </w:rPr>
              <w:t>Territory</w:t>
            </w:r>
            <w:r>
              <w:rPr>
                <w:rFonts w:ascii="Segoe UI"/>
                <w:sz w:val="18"/>
              </w:rPr>
            </w:r>
          </w:p>
        </w:tc>
      </w:tr>
      <w:tr>
        <w:trPr>
          <w:trHeight w:val="302" w:hRule="exact"/>
        </w:trPr>
        <w:tc>
          <w:tcPr>
            <w:tcW w:w="56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1"/>
              <w:ind w:left="74" w:right="0"/>
              <w:jc w:val="left"/>
              <w:rPr>
                <w:rFonts w:ascii="Segoe UI" w:hAnsi="Segoe UI" w:cs="Segoe UI" w:eastAsia="Segoe UI"/>
                <w:sz w:val="18"/>
                <w:szCs w:val="18"/>
              </w:rPr>
            </w:pPr>
            <w:r>
              <w:rPr>
                <w:rFonts w:ascii="Segoe UI"/>
                <w:color w:val="231F20"/>
                <w:sz w:val="18"/>
              </w:rPr>
              <w:t>24.</w:t>
            </w:r>
            <w:r>
              <w:rPr>
                <w:rFonts w:ascii="Segoe UI"/>
                <w:sz w:val="18"/>
              </w:rPr>
            </w:r>
          </w:p>
        </w:tc>
        <w:tc>
          <w:tcPr>
            <w:tcW w:w="420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1"/>
              <w:ind w:left="74" w:right="0"/>
              <w:jc w:val="left"/>
              <w:rPr>
                <w:rFonts w:ascii="Segoe UI" w:hAnsi="Segoe UI" w:cs="Segoe UI" w:eastAsia="Segoe UI"/>
                <w:sz w:val="18"/>
                <w:szCs w:val="18"/>
              </w:rPr>
            </w:pPr>
            <w:r>
              <w:rPr>
                <w:rFonts w:ascii="Segoe UI"/>
                <w:color w:val="231F20"/>
                <w:spacing w:val="-3"/>
                <w:sz w:val="18"/>
              </w:rPr>
              <w:t>Torres</w:t>
            </w:r>
            <w:r>
              <w:rPr>
                <w:rFonts w:ascii="Segoe UI"/>
                <w:color w:val="231F20"/>
                <w:spacing w:val="-5"/>
                <w:sz w:val="18"/>
              </w:rPr>
              <w:t> </w:t>
            </w:r>
            <w:r>
              <w:rPr>
                <w:rFonts w:ascii="Segoe UI"/>
                <w:color w:val="231F20"/>
                <w:spacing w:val="-1"/>
                <w:sz w:val="18"/>
              </w:rPr>
              <w:t>Strait</w:t>
            </w:r>
            <w:r>
              <w:rPr>
                <w:rFonts w:ascii="Segoe UI"/>
                <w:color w:val="231F20"/>
                <w:spacing w:val="-6"/>
                <w:sz w:val="18"/>
              </w:rPr>
              <w:t> </w:t>
            </w:r>
            <w:r>
              <w:rPr>
                <w:rFonts w:ascii="Segoe UI"/>
                <w:color w:val="231F20"/>
                <w:spacing w:val="-1"/>
                <w:sz w:val="18"/>
              </w:rPr>
              <w:t>Kaziw</w:t>
            </w:r>
            <w:r>
              <w:rPr>
                <w:rFonts w:ascii="Segoe UI"/>
                <w:color w:val="231F20"/>
                <w:spacing w:val="-5"/>
                <w:sz w:val="18"/>
              </w:rPr>
              <w:t> </w:t>
            </w:r>
            <w:r>
              <w:rPr>
                <w:rFonts w:ascii="Segoe UI"/>
                <w:color w:val="231F20"/>
                <w:sz w:val="18"/>
              </w:rPr>
              <w:t>Meta</w:t>
            </w:r>
            <w:r>
              <w:rPr>
                <w:rFonts w:ascii="Segoe UI"/>
                <w:color w:val="231F20"/>
                <w:spacing w:val="-5"/>
                <w:sz w:val="18"/>
              </w:rPr>
              <w:t> </w:t>
            </w:r>
            <w:r>
              <w:rPr>
                <w:rFonts w:ascii="Segoe UI"/>
                <w:color w:val="231F20"/>
                <w:spacing w:val="-1"/>
                <w:sz w:val="18"/>
              </w:rPr>
              <w:t>Inc.</w:t>
            </w:r>
            <w:r>
              <w:rPr>
                <w:rFonts w:ascii="Segoe UI"/>
                <w:sz w:val="18"/>
              </w:rPr>
            </w:r>
          </w:p>
        </w:tc>
        <w:tc>
          <w:tcPr>
            <w:tcW w:w="392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1"/>
              <w:ind w:left="74" w:right="0"/>
              <w:jc w:val="left"/>
              <w:rPr>
                <w:rFonts w:ascii="Segoe UI" w:hAnsi="Segoe UI" w:cs="Segoe UI" w:eastAsia="Segoe UI"/>
                <w:sz w:val="18"/>
                <w:szCs w:val="18"/>
              </w:rPr>
            </w:pPr>
            <w:r>
              <w:rPr>
                <w:rFonts w:ascii="Segoe UI"/>
                <w:color w:val="231F20"/>
                <w:sz w:val="18"/>
              </w:rPr>
              <w:t>Thursday</w:t>
            </w:r>
            <w:r>
              <w:rPr>
                <w:rFonts w:ascii="Segoe UI"/>
                <w:color w:val="231F20"/>
                <w:spacing w:val="-12"/>
                <w:sz w:val="18"/>
              </w:rPr>
              <w:t> </w:t>
            </w:r>
            <w:r>
              <w:rPr>
                <w:rFonts w:ascii="Segoe UI"/>
                <w:color w:val="231F20"/>
                <w:spacing w:val="-1"/>
                <w:sz w:val="18"/>
              </w:rPr>
              <w:t>Island,</w:t>
            </w:r>
            <w:r>
              <w:rPr>
                <w:rFonts w:ascii="Segoe UI"/>
                <w:color w:val="231F20"/>
                <w:spacing w:val="-11"/>
                <w:sz w:val="18"/>
              </w:rPr>
              <w:t> </w:t>
            </w:r>
            <w:r>
              <w:rPr>
                <w:rFonts w:ascii="Segoe UI"/>
                <w:color w:val="231F20"/>
                <w:sz w:val="18"/>
              </w:rPr>
              <w:t>Queensland</w:t>
            </w:r>
            <w:r>
              <w:rPr>
                <w:rFonts w:ascii="Segoe UI"/>
                <w:sz w:val="18"/>
              </w:rPr>
            </w:r>
          </w:p>
        </w:tc>
      </w:tr>
      <w:tr>
        <w:trPr>
          <w:trHeight w:val="552" w:hRule="exact"/>
        </w:trPr>
        <w:tc>
          <w:tcPr>
            <w:tcW w:w="56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1"/>
              <w:ind w:left="74" w:right="0"/>
              <w:jc w:val="left"/>
              <w:rPr>
                <w:rFonts w:ascii="Segoe UI" w:hAnsi="Segoe UI" w:cs="Segoe UI" w:eastAsia="Segoe UI"/>
                <w:sz w:val="18"/>
                <w:szCs w:val="18"/>
              </w:rPr>
            </w:pPr>
            <w:r>
              <w:rPr>
                <w:rFonts w:ascii="Segoe UI"/>
                <w:color w:val="231F20"/>
                <w:sz w:val="18"/>
              </w:rPr>
              <w:t>25.</w:t>
            </w:r>
            <w:r>
              <w:rPr>
                <w:rFonts w:ascii="Segoe UI"/>
                <w:sz w:val="18"/>
              </w:rPr>
            </w:r>
          </w:p>
        </w:tc>
        <w:tc>
          <w:tcPr>
            <w:tcW w:w="4209" w:type="dxa"/>
            <w:tcBorders>
              <w:top w:val="single" w:sz="4" w:space="0" w:color="C1B5A9"/>
              <w:left w:val="single" w:sz="4" w:space="0" w:color="C1B5A9"/>
              <w:bottom w:val="single" w:sz="4" w:space="0" w:color="C1B5A9"/>
              <w:right w:val="single" w:sz="4" w:space="0" w:color="C1B5A9"/>
            </w:tcBorders>
          </w:tcPr>
          <w:p>
            <w:pPr>
              <w:pStyle w:val="TableParagraph"/>
              <w:spacing w:line="250" w:lineRule="auto" w:before="21"/>
              <w:ind w:left="74" w:right="379"/>
              <w:jc w:val="left"/>
              <w:rPr>
                <w:rFonts w:ascii="Segoe UI" w:hAnsi="Segoe UI" w:cs="Segoe UI" w:eastAsia="Segoe UI"/>
                <w:sz w:val="18"/>
                <w:szCs w:val="18"/>
              </w:rPr>
            </w:pPr>
            <w:r>
              <w:rPr>
                <w:rFonts w:ascii="Segoe UI"/>
                <w:color w:val="231F20"/>
                <w:spacing w:val="-1"/>
                <w:sz w:val="18"/>
              </w:rPr>
              <w:t>Wongutha</w:t>
            </w:r>
            <w:r>
              <w:rPr>
                <w:rFonts w:ascii="Segoe UI"/>
                <w:color w:val="231F20"/>
                <w:spacing w:val="-12"/>
                <w:sz w:val="18"/>
              </w:rPr>
              <w:t> </w:t>
            </w:r>
            <w:r>
              <w:rPr>
                <w:rFonts w:ascii="Segoe UI"/>
                <w:color w:val="231F20"/>
                <w:spacing w:val="-1"/>
                <w:sz w:val="18"/>
              </w:rPr>
              <w:t>Christian</w:t>
            </w:r>
            <w:r>
              <w:rPr>
                <w:rFonts w:ascii="Segoe UI"/>
                <w:color w:val="231F20"/>
                <w:spacing w:val="-11"/>
                <w:sz w:val="18"/>
              </w:rPr>
              <w:t> </w:t>
            </w:r>
            <w:r>
              <w:rPr>
                <w:rFonts w:ascii="Segoe UI"/>
                <w:color w:val="231F20"/>
                <w:sz w:val="18"/>
              </w:rPr>
              <w:t>Aboriginal</w:t>
            </w:r>
            <w:r>
              <w:rPr>
                <w:rFonts w:ascii="Segoe UI"/>
                <w:color w:val="231F20"/>
                <w:spacing w:val="-11"/>
                <w:sz w:val="18"/>
              </w:rPr>
              <w:t> </w:t>
            </w:r>
            <w:r>
              <w:rPr>
                <w:rFonts w:ascii="Segoe UI"/>
                <w:color w:val="231F20"/>
                <w:spacing w:val="-1"/>
                <w:sz w:val="18"/>
              </w:rPr>
              <w:t>Parent-Directed</w:t>
            </w:r>
            <w:r>
              <w:rPr>
                <w:rFonts w:ascii="Segoe UI"/>
                <w:color w:val="231F20"/>
                <w:spacing w:val="30"/>
                <w:w w:val="99"/>
                <w:sz w:val="18"/>
              </w:rPr>
              <w:t> </w:t>
            </w:r>
            <w:r>
              <w:rPr>
                <w:rFonts w:ascii="Segoe UI"/>
                <w:color w:val="231F20"/>
                <w:spacing w:val="-1"/>
                <w:sz w:val="18"/>
              </w:rPr>
              <w:t>School</w:t>
            </w:r>
            <w:r>
              <w:rPr>
                <w:rFonts w:ascii="Segoe UI"/>
                <w:sz w:val="18"/>
              </w:rPr>
            </w:r>
          </w:p>
        </w:tc>
        <w:tc>
          <w:tcPr>
            <w:tcW w:w="392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1"/>
              <w:ind w:left="74" w:right="0"/>
              <w:jc w:val="left"/>
              <w:rPr>
                <w:rFonts w:ascii="Segoe UI" w:hAnsi="Segoe UI" w:cs="Segoe UI" w:eastAsia="Segoe UI"/>
                <w:sz w:val="18"/>
                <w:szCs w:val="18"/>
              </w:rPr>
            </w:pPr>
            <w:r>
              <w:rPr>
                <w:rFonts w:ascii="Segoe UI"/>
                <w:color w:val="231F20"/>
                <w:sz w:val="18"/>
              </w:rPr>
              <w:t>Gibson</w:t>
            </w:r>
            <w:r>
              <w:rPr>
                <w:rFonts w:ascii="Segoe UI"/>
                <w:color w:val="231F20"/>
                <w:spacing w:val="-8"/>
                <w:sz w:val="18"/>
              </w:rPr>
              <w:t> </w:t>
            </w:r>
            <w:r>
              <w:rPr>
                <w:rFonts w:ascii="Segoe UI"/>
                <w:color w:val="231F20"/>
                <w:sz w:val="18"/>
              </w:rPr>
              <w:t>(Esperance),</w:t>
            </w:r>
            <w:r>
              <w:rPr>
                <w:rFonts w:ascii="Segoe UI"/>
                <w:color w:val="231F20"/>
                <w:spacing w:val="-8"/>
                <w:sz w:val="18"/>
              </w:rPr>
              <w:t> </w:t>
            </w:r>
            <w:r>
              <w:rPr>
                <w:rFonts w:ascii="Segoe UI"/>
                <w:color w:val="231F20"/>
                <w:spacing w:val="-2"/>
                <w:sz w:val="18"/>
              </w:rPr>
              <w:t>Western</w:t>
            </w:r>
            <w:r>
              <w:rPr>
                <w:rFonts w:ascii="Segoe UI"/>
                <w:color w:val="231F20"/>
                <w:spacing w:val="-8"/>
                <w:sz w:val="18"/>
              </w:rPr>
              <w:t> </w:t>
            </w:r>
            <w:r>
              <w:rPr>
                <w:rFonts w:ascii="Segoe UI"/>
                <w:color w:val="231F20"/>
                <w:sz w:val="18"/>
              </w:rPr>
              <w:t>Australia</w:t>
            </w:r>
            <w:r>
              <w:rPr>
                <w:rFonts w:ascii="Segoe UI"/>
                <w:sz w:val="18"/>
              </w:rPr>
            </w:r>
          </w:p>
        </w:tc>
      </w:tr>
      <w:tr>
        <w:trPr>
          <w:trHeight w:val="302" w:hRule="exact"/>
        </w:trPr>
        <w:tc>
          <w:tcPr>
            <w:tcW w:w="56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1"/>
              <w:ind w:left="74" w:right="0"/>
              <w:jc w:val="left"/>
              <w:rPr>
                <w:rFonts w:ascii="Segoe UI" w:hAnsi="Segoe UI" w:cs="Segoe UI" w:eastAsia="Segoe UI"/>
                <w:sz w:val="18"/>
                <w:szCs w:val="18"/>
              </w:rPr>
            </w:pPr>
            <w:r>
              <w:rPr>
                <w:rFonts w:ascii="Segoe UI"/>
                <w:color w:val="231F20"/>
                <w:sz w:val="18"/>
              </w:rPr>
              <w:t>26.</w:t>
            </w:r>
            <w:r>
              <w:rPr>
                <w:rFonts w:ascii="Segoe UI"/>
                <w:sz w:val="18"/>
              </w:rPr>
            </w:r>
          </w:p>
        </w:tc>
        <w:tc>
          <w:tcPr>
            <w:tcW w:w="420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1"/>
              <w:ind w:left="74" w:right="0"/>
              <w:jc w:val="left"/>
              <w:rPr>
                <w:rFonts w:ascii="Segoe UI" w:hAnsi="Segoe UI" w:cs="Segoe UI" w:eastAsia="Segoe UI"/>
                <w:sz w:val="18"/>
                <w:szCs w:val="18"/>
              </w:rPr>
            </w:pPr>
            <w:r>
              <w:rPr>
                <w:rFonts w:ascii="Segoe UI"/>
                <w:color w:val="231F20"/>
                <w:spacing w:val="-2"/>
                <w:sz w:val="18"/>
              </w:rPr>
              <w:t>Worawa</w:t>
            </w:r>
            <w:r>
              <w:rPr>
                <w:rFonts w:ascii="Segoe UI"/>
                <w:color w:val="231F20"/>
                <w:spacing w:val="-7"/>
                <w:sz w:val="18"/>
              </w:rPr>
              <w:t> </w:t>
            </w:r>
            <w:r>
              <w:rPr>
                <w:rFonts w:ascii="Segoe UI"/>
                <w:color w:val="231F20"/>
                <w:sz w:val="18"/>
              </w:rPr>
              <w:t>Aboriginal</w:t>
            </w:r>
            <w:r>
              <w:rPr>
                <w:rFonts w:ascii="Segoe UI"/>
                <w:color w:val="231F20"/>
                <w:spacing w:val="-6"/>
                <w:sz w:val="18"/>
              </w:rPr>
              <w:t> </w:t>
            </w:r>
            <w:r>
              <w:rPr>
                <w:rFonts w:ascii="Segoe UI"/>
                <w:color w:val="231F20"/>
                <w:spacing w:val="-1"/>
                <w:sz w:val="18"/>
              </w:rPr>
              <w:t>College</w:t>
            </w:r>
            <w:r>
              <w:rPr>
                <w:rFonts w:ascii="Segoe UI"/>
                <w:sz w:val="18"/>
              </w:rPr>
            </w:r>
          </w:p>
        </w:tc>
        <w:tc>
          <w:tcPr>
            <w:tcW w:w="392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1"/>
              <w:ind w:left="74" w:right="0"/>
              <w:jc w:val="left"/>
              <w:rPr>
                <w:rFonts w:ascii="Segoe UI" w:hAnsi="Segoe UI" w:cs="Segoe UI" w:eastAsia="Segoe UI"/>
                <w:sz w:val="18"/>
                <w:szCs w:val="18"/>
              </w:rPr>
            </w:pPr>
            <w:r>
              <w:rPr>
                <w:rFonts w:ascii="Segoe UI"/>
                <w:color w:val="231F20"/>
                <w:sz w:val="18"/>
              </w:rPr>
              <w:t>Healesville</w:t>
            </w:r>
            <w:r>
              <w:rPr>
                <w:rFonts w:ascii="Segoe UI"/>
                <w:color w:val="231F20"/>
                <w:spacing w:val="-10"/>
                <w:sz w:val="18"/>
              </w:rPr>
              <w:t> </w:t>
            </w:r>
            <w:r>
              <w:rPr>
                <w:rFonts w:ascii="Segoe UI"/>
                <w:color w:val="231F20"/>
                <w:sz w:val="18"/>
              </w:rPr>
              <w:t>(Melbourne),</w:t>
            </w:r>
            <w:r>
              <w:rPr>
                <w:rFonts w:ascii="Segoe UI"/>
                <w:color w:val="231F20"/>
                <w:spacing w:val="-9"/>
                <w:sz w:val="18"/>
              </w:rPr>
              <w:t> </w:t>
            </w:r>
            <w:r>
              <w:rPr>
                <w:rFonts w:ascii="Segoe UI"/>
                <w:color w:val="231F20"/>
                <w:sz w:val="18"/>
              </w:rPr>
              <w:t>Victoria</w:t>
            </w:r>
            <w:r>
              <w:rPr>
                <w:rFonts w:ascii="Segoe UI"/>
                <w:sz w:val="18"/>
              </w:rPr>
            </w:r>
          </w:p>
        </w:tc>
      </w:tr>
      <w:tr>
        <w:trPr>
          <w:trHeight w:val="302" w:hRule="exact"/>
        </w:trPr>
        <w:tc>
          <w:tcPr>
            <w:tcW w:w="56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1"/>
              <w:ind w:left="74" w:right="0"/>
              <w:jc w:val="left"/>
              <w:rPr>
                <w:rFonts w:ascii="Segoe UI" w:hAnsi="Segoe UI" w:cs="Segoe UI" w:eastAsia="Segoe UI"/>
                <w:sz w:val="18"/>
                <w:szCs w:val="18"/>
              </w:rPr>
            </w:pPr>
            <w:r>
              <w:rPr>
                <w:rFonts w:ascii="Segoe UI"/>
                <w:color w:val="231F20"/>
                <w:sz w:val="18"/>
              </w:rPr>
              <w:t>27.</w:t>
            </w:r>
            <w:r>
              <w:rPr>
                <w:rFonts w:ascii="Segoe UI"/>
                <w:sz w:val="18"/>
              </w:rPr>
            </w:r>
          </w:p>
        </w:tc>
        <w:tc>
          <w:tcPr>
            <w:tcW w:w="420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1"/>
              <w:ind w:left="74" w:right="0"/>
              <w:jc w:val="left"/>
              <w:rPr>
                <w:rFonts w:ascii="Segoe UI" w:hAnsi="Segoe UI" w:cs="Segoe UI" w:eastAsia="Segoe UI"/>
                <w:sz w:val="18"/>
                <w:szCs w:val="18"/>
              </w:rPr>
            </w:pPr>
            <w:r>
              <w:rPr>
                <w:rFonts w:ascii="Segoe UI"/>
                <w:color w:val="231F20"/>
                <w:sz w:val="18"/>
              </w:rPr>
              <w:t>Yiramalay</w:t>
            </w:r>
            <w:r>
              <w:rPr>
                <w:rFonts w:ascii="Segoe UI"/>
                <w:color w:val="231F20"/>
                <w:spacing w:val="-5"/>
                <w:sz w:val="18"/>
              </w:rPr>
              <w:t> </w:t>
            </w:r>
            <w:r>
              <w:rPr>
                <w:rFonts w:ascii="Segoe UI"/>
                <w:color w:val="231F20"/>
                <w:sz w:val="18"/>
              </w:rPr>
              <w:t>/</w:t>
            </w:r>
            <w:r>
              <w:rPr>
                <w:rFonts w:ascii="Segoe UI"/>
                <w:color w:val="231F20"/>
                <w:spacing w:val="-3"/>
                <w:sz w:val="18"/>
              </w:rPr>
              <w:t> </w:t>
            </w:r>
            <w:r>
              <w:rPr>
                <w:rFonts w:ascii="Segoe UI"/>
                <w:color w:val="231F20"/>
                <w:spacing w:val="-2"/>
                <w:sz w:val="18"/>
              </w:rPr>
              <w:t>Wesley</w:t>
            </w:r>
            <w:r>
              <w:rPr>
                <w:rFonts w:ascii="Segoe UI"/>
                <w:color w:val="231F20"/>
                <w:spacing w:val="-4"/>
                <w:sz w:val="18"/>
              </w:rPr>
              <w:t> </w:t>
            </w:r>
            <w:r>
              <w:rPr>
                <w:rFonts w:ascii="Segoe UI"/>
                <w:color w:val="231F20"/>
                <w:spacing w:val="-1"/>
                <w:sz w:val="18"/>
              </w:rPr>
              <w:t>Studio</w:t>
            </w:r>
            <w:r>
              <w:rPr>
                <w:rFonts w:ascii="Segoe UI"/>
                <w:color w:val="231F20"/>
                <w:spacing w:val="-4"/>
                <w:sz w:val="18"/>
              </w:rPr>
              <w:t> </w:t>
            </w:r>
            <w:r>
              <w:rPr>
                <w:rFonts w:ascii="Segoe UI"/>
                <w:color w:val="231F20"/>
                <w:spacing w:val="-1"/>
                <w:sz w:val="18"/>
              </w:rPr>
              <w:t>School</w:t>
            </w:r>
            <w:r>
              <w:rPr>
                <w:rFonts w:ascii="Segoe UI"/>
                <w:sz w:val="18"/>
              </w:rPr>
            </w:r>
          </w:p>
        </w:tc>
        <w:tc>
          <w:tcPr>
            <w:tcW w:w="392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1"/>
              <w:ind w:left="74" w:right="0"/>
              <w:jc w:val="left"/>
              <w:rPr>
                <w:rFonts w:ascii="Segoe UI" w:hAnsi="Segoe UI" w:cs="Segoe UI" w:eastAsia="Segoe UI"/>
                <w:sz w:val="18"/>
                <w:szCs w:val="18"/>
              </w:rPr>
            </w:pPr>
            <w:r>
              <w:rPr>
                <w:rFonts w:ascii="Segoe UI"/>
                <w:color w:val="231F20"/>
                <w:spacing w:val="-1"/>
                <w:sz w:val="18"/>
              </w:rPr>
              <w:t>Fitzroy</w:t>
            </w:r>
            <w:r>
              <w:rPr>
                <w:rFonts w:ascii="Segoe UI"/>
                <w:color w:val="231F20"/>
                <w:spacing w:val="-6"/>
                <w:sz w:val="18"/>
              </w:rPr>
              <w:t> </w:t>
            </w:r>
            <w:r>
              <w:rPr>
                <w:rFonts w:ascii="Segoe UI"/>
                <w:color w:val="231F20"/>
                <w:spacing w:val="-1"/>
                <w:sz w:val="18"/>
              </w:rPr>
              <w:t>Crossing,</w:t>
            </w:r>
            <w:r>
              <w:rPr>
                <w:rFonts w:ascii="Segoe UI"/>
                <w:color w:val="231F20"/>
                <w:spacing w:val="-6"/>
                <w:sz w:val="18"/>
              </w:rPr>
              <w:t> </w:t>
            </w:r>
            <w:r>
              <w:rPr>
                <w:rFonts w:ascii="Segoe UI"/>
                <w:color w:val="231F20"/>
                <w:spacing w:val="-2"/>
                <w:sz w:val="18"/>
              </w:rPr>
              <w:t>Western</w:t>
            </w:r>
            <w:r>
              <w:rPr>
                <w:rFonts w:ascii="Segoe UI"/>
                <w:color w:val="231F20"/>
                <w:spacing w:val="-7"/>
                <w:sz w:val="18"/>
              </w:rPr>
              <w:t> </w:t>
            </w:r>
            <w:r>
              <w:rPr>
                <w:rFonts w:ascii="Segoe UI"/>
                <w:color w:val="231F20"/>
                <w:sz w:val="18"/>
              </w:rPr>
              <w:t>Australia</w:t>
            </w:r>
            <w:r>
              <w:rPr>
                <w:rFonts w:ascii="Segoe UI"/>
                <w:sz w:val="18"/>
              </w:rPr>
            </w:r>
          </w:p>
        </w:tc>
      </w:tr>
      <w:tr>
        <w:trPr>
          <w:trHeight w:val="302" w:hRule="exact"/>
        </w:trPr>
        <w:tc>
          <w:tcPr>
            <w:tcW w:w="56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1"/>
              <w:ind w:left="74" w:right="0"/>
              <w:jc w:val="left"/>
              <w:rPr>
                <w:rFonts w:ascii="Segoe UI" w:hAnsi="Segoe UI" w:cs="Segoe UI" w:eastAsia="Segoe UI"/>
                <w:sz w:val="18"/>
                <w:szCs w:val="18"/>
              </w:rPr>
            </w:pPr>
            <w:r>
              <w:rPr>
                <w:rFonts w:ascii="Segoe UI"/>
                <w:color w:val="231F20"/>
                <w:sz w:val="18"/>
              </w:rPr>
              <w:t>28.</w:t>
            </w:r>
            <w:r>
              <w:rPr>
                <w:rFonts w:ascii="Segoe UI"/>
                <w:sz w:val="18"/>
              </w:rPr>
            </w:r>
          </w:p>
        </w:tc>
        <w:tc>
          <w:tcPr>
            <w:tcW w:w="420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1"/>
              <w:ind w:left="74" w:right="0"/>
              <w:jc w:val="left"/>
              <w:rPr>
                <w:rFonts w:ascii="Segoe UI" w:hAnsi="Segoe UI" w:cs="Segoe UI" w:eastAsia="Segoe UI"/>
                <w:sz w:val="18"/>
                <w:szCs w:val="18"/>
              </w:rPr>
            </w:pPr>
            <w:r>
              <w:rPr>
                <w:rFonts w:ascii="Segoe UI"/>
                <w:color w:val="231F20"/>
                <w:sz w:val="18"/>
              </w:rPr>
              <w:t>Yirara</w:t>
            </w:r>
            <w:r>
              <w:rPr>
                <w:rFonts w:ascii="Segoe UI"/>
                <w:color w:val="231F20"/>
                <w:spacing w:val="-6"/>
                <w:sz w:val="18"/>
              </w:rPr>
              <w:t> </w:t>
            </w:r>
            <w:r>
              <w:rPr>
                <w:rFonts w:ascii="Segoe UI"/>
                <w:color w:val="231F20"/>
                <w:spacing w:val="-1"/>
                <w:sz w:val="18"/>
              </w:rPr>
              <w:t>College</w:t>
            </w:r>
            <w:r>
              <w:rPr>
                <w:rFonts w:ascii="Segoe UI"/>
                <w:sz w:val="18"/>
              </w:rPr>
            </w:r>
          </w:p>
        </w:tc>
        <w:tc>
          <w:tcPr>
            <w:tcW w:w="392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1"/>
              <w:ind w:left="74" w:right="0"/>
              <w:jc w:val="left"/>
              <w:rPr>
                <w:rFonts w:ascii="Segoe UI" w:hAnsi="Segoe UI" w:cs="Segoe UI" w:eastAsia="Segoe UI"/>
                <w:sz w:val="18"/>
                <w:szCs w:val="18"/>
              </w:rPr>
            </w:pPr>
            <w:r>
              <w:rPr>
                <w:rFonts w:ascii="Segoe UI"/>
                <w:color w:val="231F20"/>
                <w:sz w:val="18"/>
              </w:rPr>
              <w:t>Alice</w:t>
            </w:r>
            <w:r>
              <w:rPr>
                <w:rFonts w:ascii="Segoe UI"/>
                <w:color w:val="231F20"/>
                <w:spacing w:val="-7"/>
                <w:sz w:val="18"/>
              </w:rPr>
              <w:t> </w:t>
            </w:r>
            <w:r>
              <w:rPr>
                <w:rFonts w:ascii="Segoe UI"/>
                <w:color w:val="231F20"/>
                <w:spacing w:val="-1"/>
                <w:sz w:val="18"/>
              </w:rPr>
              <w:t>Springs,</w:t>
            </w:r>
            <w:r>
              <w:rPr>
                <w:rFonts w:ascii="Segoe UI"/>
                <w:color w:val="231F20"/>
                <w:spacing w:val="-7"/>
                <w:sz w:val="18"/>
              </w:rPr>
              <w:t> </w:t>
            </w:r>
            <w:r>
              <w:rPr>
                <w:rFonts w:ascii="Segoe UI"/>
                <w:color w:val="231F20"/>
                <w:sz w:val="18"/>
              </w:rPr>
              <w:t>Northern</w:t>
            </w:r>
            <w:r>
              <w:rPr>
                <w:rFonts w:ascii="Segoe UI"/>
                <w:color w:val="231F20"/>
                <w:spacing w:val="-7"/>
                <w:sz w:val="18"/>
              </w:rPr>
              <w:t> </w:t>
            </w:r>
            <w:r>
              <w:rPr>
                <w:rFonts w:ascii="Segoe UI"/>
                <w:color w:val="231F20"/>
                <w:spacing w:val="-2"/>
                <w:sz w:val="18"/>
              </w:rPr>
              <w:t>Territory</w:t>
            </w:r>
            <w:r>
              <w:rPr>
                <w:rFonts w:ascii="Segoe UI"/>
                <w:sz w:val="18"/>
              </w:rPr>
            </w:r>
          </w:p>
        </w:tc>
      </w:tr>
    </w:tbl>
    <w:p>
      <w:pPr>
        <w:spacing w:line="240" w:lineRule="auto" w:before="5"/>
        <w:rPr>
          <w:rFonts w:ascii="Segoe UI Semibold" w:hAnsi="Segoe UI Semibold" w:cs="Segoe UI Semibold" w:eastAsia="Segoe UI Semibold"/>
          <w:b/>
          <w:bCs/>
          <w:sz w:val="15"/>
          <w:szCs w:val="15"/>
        </w:rPr>
      </w:pPr>
    </w:p>
    <w:p>
      <w:pPr>
        <w:spacing w:after="0" w:line="240" w:lineRule="auto"/>
        <w:rPr>
          <w:rFonts w:ascii="Segoe UI Semibold" w:hAnsi="Segoe UI Semibold" w:cs="Segoe UI Semibold" w:eastAsia="Segoe UI Semibold"/>
          <w:sz w:val="15"/>
          <w:szCs w:val="15"/>
        </w:rPr>
        <w:sectPr>
          <w:pgSz w:w="11910" w:h="16840"/>
          <w:pgMar w:header="0" w:footer="691" w:top="1580" w:bottom="880" w:left="1600" w:right="1100"/>
        </w:sectPr>
      </w:pPr>
    </w:p>
    <w:p>
      <w:pPr>
        <w:pStyle w:val="BodyText"/>
        <w:spacing w:line="250" w:lineRule="exact" w:before="62"/>
        <w:ind w:left="100" w:right="0"/>
        <w:jc w:val="left"/>
        <w:rPr>
          <w:rFonts w:ascii="Segoe UI" w:hAnsi="Segoe UI" w:cs="Segoe UI" w:eastAsia="Segoe UI"/>
        </w:rPr>
      </w:pPr>
      <w:r>
        <w:rPr>
          <w:rFonts w:ascii="Segoe UI"/>
          <w:color w:val="231F20"/>
          <w:spacing w:val="-1"/>
        </w:rPr>
        <w:t>Data</w:t>
      </w:r>
      <w:r>
        <w:rPr>
          <w:rFonts w:ascii="Segoe UI"/>
          <w:color w:val="231F20"/>
          <w:spacing w:val="-5"/>
        </w:rPr>
        <w:t> </w:t>
      </w:r>
      <w:r>
        <w:rPr>
          <w:rFonts w:ascii="Segoe UI"/>
          <w:color w:val="231F20"/>
        </w:rPr>
        <w:t>from</w:t>
      </w:r>
      <w:r>
        <w:rPr>
          <w:rFonts w:ascii="Segoe UI"/>
          <w:color w:val="231F20"/>
          <w:spacing w:val="-5"/>
        </w:rPr>
        <w:t> </w:t>
      </w:r>
      <w:r>
        <w:rPr>
          <w:rFonts w:ascii="Segoe UI"/>
          <w:color w:val="231F20"/>
          <w:spacing w:val="-1"/>
        </w:rPr>
        <w:t>23</w:t>
      </w:r>
      <w:r>
        <w:rPr>
          <w:rFonts w:ascii="Segoe UI"/>
          <w:color w:val="231F20"/>
          <w:spacing w:val="-5"/>
        </w:rPr>
        <w:t> </w:t>
      </w:r>
      <w:r>
        <w:rPr>
          <w:rFonts w:ascii="Segoe UI"/>
          <w:color w:val="231F20"/>
          <w:spacing w:val="-1"/>
        </w:rPr>
        <w:t>mainstream</w:t>
      </w:r>
      <w:r>
        <w:rPr>
          <w:rFonts w:ascii="Segoe UI"/>
          <w:color w:val="231F20"/>
          <w:spacing w:val="-4"/>
        </w:rPr>
        <w:t> </w:t>
      </w:r>
      <w:r>
        <w:rPr>
          <w:rFonts w:ascii="Segoe UI"/>
          <w:color w:val="231F20"/>
        </w:rPr>
        <w:t>boarding</w:t>
      </w:r>
      <w:r>
        <w:rPr>
          <w:rFonts w:ascii="Segoe UI"/>
          <w:color w:val="231F20"/>
          <w:spacing w:val="-6"/>
        </w:rPr>
        <w:t> </w:t>
      </w:r>
      <w:r>
        <w:rPr>
          <w:rFonts w:ascii="Segoe UI"/>
          <w:color w:val="231F20"/>
        </w:rPr>
        <w:t>providers</w:t>
      </w:r>
      <w:r>
        <w:rPr>
          <w:rFonts w:ascii="Segoe UI"/>
          <w:color w:val="231F20"/>
          <w:spacing w:val="24"/>
          <w:w w:val="99"/>
        </w:rPr>
        <w:t> </w:t>
      </w:r>
      <w:r>
        <w:rPr>
          <w:rFonts w:ascii="Segoe UI"/>
          <w:color w:val="231F20"/>
          <w:spacing w:val="-1"/>
        </w:rPr>
        <w:t>located</w:t>
      </w:r>
      <w:r>
        <w:rPr>
          <w:rFonts w:ascii="Segoe UI"/>
          <w:color w:val="231F20"/>
          <w:spacing w:val="-5"/>
        </w:rPr>
        <w:t> </w:t>
      </w:r>
      <w:r>
        <w:rPr>
          <w:rFonts w:ascii="Segoe UI"/>
          <w:color w:val="231F20"/>
          <w:spacing w:val="-1"/>
        </w:rPr>
        <w:t>in</w:t>
      </w:r>
      <w:r>
        <w:rPr>
          <w:rFonts w:ascii="Segoe UI"/>
          <w:color w:val="231F20"/>
          <w:spacing w:val="-5"/>
        </w:rPr>
        <w:t> </w:t>
      </w:r>
      <w:r>
        <w:rPr>
          <w:rFonts w:ascii="Segoe UI"/>
          <w:color w:val="231F20"/>
        </w:rPr>
        <w:t>Queensland</w:t>
      </w:r>
      <w:r>
        <w:rPr>
          <w:rFonts w:ascii="Segoe UI"/>
          <w:color w:val="231F20"/>
          <w:spacing w:val="-6"/>
        </w:rPr>
        <w:t> </w:t>
      </w:r>
      <w:r>
        <w:rPr>
          <w:rFonts w:ascii="Segoe UI"/>
          <w:color w:val="231F20"/>
        </w:rPr>
        <w:t>(10),</w:t>
      </w:r>
      <w:r>
        <w:rPr>
          <w:rFonts w:ascii="Segoe UI"/>
          <w:color w:val="231F20"/>
          <w:spacing w:val="-5"/>
        </w:rPr>
        <w:t> </w:t>
      </w:r>
      <w:r>
        <w:rPr>
          <w:rFonts w:ascii="Segoe UI"/>
          <w:color w:val="231F20"/>
        </w:rPr>
        <w:t>New</w:t>
      </w:r>
      <w:r>
        <w:rPr>
          <w:rFonts w:ascii="Segoe UI"/>
          <w:color w:val="231F20"/>
          <w:spacing w:val="-5"/>
        </w:rPr>
        <w:t> </w:t>
      </w:r>
      <w:r>
        <w:rPr>
          <w:rFonts w:ascii="Segoe UI"/>
          <w:color w:val="231F20"/>
          <w:spacing w:val="-1"/>
        </w:rPr>
        <w:t>South</w:t>
      </w:r>
      <w:r>
        <w:rPr>
          <w:rFonts w:ascii="Segoe UI"/>
          <w:color w:val="231F20"/>
          <w:spacing w:val="-5"/>
        </w:rPr>
        <w:t> </w:t>
      </w:r>
      <w:r>
        <w:rPr>
          <w:rFonts w:ascii="Segoe UI"/>
          <w:color w:val="231F20"/>
          <w:spacing w:val="-2"/>
        </w:rPr>
        <w:t>Wales</w:t>
      </w:r>
      <w:r>
        <w:rPr>
          <w:rFonts w:ascii="Segoe UI"/>
          <w:color w:val="231F20"/>
          <w:spacing w:val="-5"/>
        </w:rPr>
        <w:t> </w:t>
      </w:r>
      <w:r>
        <w:rPr>
          <w:rFonts w:ascii="Segoe UI"/>
          <w:color w:val="231F20"/>
        </w:rPr>
        <w:t>(4),</w:t>
      </w:r>
      <w:r>
        <w:rPr>
          <w:rFonts w:ascii="Segoe UI"/>
          <w:color w:val="231F20"/>
          <w:spacing w:val="25"/>
          <w:w w:val="99"/>
        </w:rPr>
        <w:t> </w:t>
      </w:r>
      <w:r>
        <w:rPr>
          <w:rFonts w:ascii="Segoe UI"/>
          <w:color w:val="231F20"/>
          <w:spacing w:val="-1"/>
        </w:rPr>
        <w:t>South</w:t>
      </w:r>
      <w:r>
        <w:rPr>
          <w:rFonts w:ascii="Segoe UI"/>
          <w:color w:val="231F20"/>
          <w:spacing w:val="-6"/>
        </w:rPr>
        <w:t> </w:t>
      </w:r>
      <w:r>
        <w:rPr>
          <w:rFonts w:ascii="Segoe UI"/>
          <w:color w:val="231F20"/>
        </w:rPr>
        <w:t>Australia</w:t>
      </w:r>
      <w:r>
        <w:rPr>
          <w:rFonts w:ascii="Segoe UI"/>
          <w:color w:val="231F20"/>
          <w:spacing w:val="-5"/>
        </w:rPr>
        <w:t> </w:t>
      </w:r>
      <w:r>
        <w:rPr>
          <w:rFonts w:ascii="Segoe UI"/>
          <w:color w:val="231F20"/>
        </w:rPr>
        <w:t>(3),</w:t>
      </w:r>
      <w:r>
        <w:rPr>
          <w:rFonts w:ascii="Segoe UI"/>
          <w:color w:val="231F20"/>
          <w:spacing w:val="-7"/>
        </w:rPr>
        <w:t> </w:t>
      </w:r>
      <w:r>
        <w:rPr>
          <w:rFonts w:ascii="Segoe UI"/>
          <w:color w:val="231F20"/>
          <w:spacing w:val="-3"/>
        </w:rPr>
        <w:t>Tasmania</w:t>
      </w:r>
      <w:r>
        <w:rPr>
          <w:rFonts w:ascii="Segoe UI"/>
          <w:color w:val="231F20"/>
          <w:spacing w:val="-6"/>
        </w:rPr>
        <w:t> </w:t>
      </w:r>
      <w:r>
        <w:rPr>
          <w:rFonts w:ascii="Segoe UI"/>
          <w:color w:val="231F20"/>
        </w:rPr>
        <w:t>(1),</w:t>
      </w:r>
      <w:r>
        <w:rPr>
          <w:rFonts w:ascii="Segoe UI"/>
          <w:color w:val="231F20"/>
          <w:spacing w:val="-7"/>
        </w:rPr>
        <w:t> </w:t>
      </w:r>
      <w:r>
        <w:rPr>
          <w:rFonts w:ascii="Segoe UI"/>
          <w:color w:val="231F20"/>
          <w:spacing w:val="-2"/>
        </w:rPr>
        <w:t>Western</w:t>
      </w:r>
      <w:r>
        <w:rPr>
          <w:rFonts w:ascii="Segoe UI"/>
          <w:color w:val="231F20"/>
          <w:spacing w:val="-6"/>
        </w:rPr>
        <w:t> </w:t>
      </w:r>
      <w:r>
        <w:rPr>
          <w:rFonts w:ascii="Segoe UI"/>
          <w:color w:val="231F20"/>
        </w:rPr>
        <w:t>Australia</w:t>
      </w:r>
      <w:r>
        <w:rPr>
          <w:rFonts w:ascii="Segoe UI"/>
        </w:rPr>
      </w:r>
    </w:p>
    <w:p>
      <w:pPr>
        <w:pStyle w:val="BodyText"/>
        <w:numPr>
          <w:ilvl w:val="0"/>
          <w:numId w:val="2"/>
        </w:numPr>
        <w:tabs>
          <w:tab w:pos="385" w:val="left" w:leader="none"/>
        </w:tabs>
        <w:spacing w:line="250" w:lineRule="exact" w:before="0" w:after="0"/>
        <w:ind w:left="100" w:right="44" w:firstLine="0"/>
        <w:jc w:val="left"/>
        <w:rPr>
          <w:rFonts w:ascii="Segoe UI" w:hAnsi="Segoe UI" w:cs="Segoe UI" w:eastAsia="Segoe UI"/>
        </w:rPr>
      </w:pPr>
      <w:r>
        <w:rPr>
          <w:rFonts w:ascii="Segoe UI"/>
          <w:color w:val="231F20"/>
        </w:rPr>
        <w:t>and</w:t>
      </w:r>
      <w:r>
        <w:rPr>
          <w:rFonts w:ascii="Segoe UI"/>
          <w:color w:val="231F20"/>
          <w:spacing w:val="-7"/>
        </w:rPr>
        <w:t> </w:t>
      </w:r>
      <w:r>
        <w:rPr>
          <w:rFonts w:ascii="Segoe UI"/>
          <w:color w:val="231F20"/>
          <w:spacing w:val="-1"/>
        </w:rPr>
        <w:t>Victoria</w:t>
      </w:r>
      <w:r>
        <w:rPr>
          <w:rFonts w:ascii="Segoe UI"/>
          <w:color w:val="231F20"/>
          <w:spacing w:val="-5"/>
        </w:rPr>
        <w:t> </w:t>
      </w:r>
      <w:r>
        <w:rPr>
          <w:rFonts w:ascii="Segoe UI"/>
          <w:color w:val="231F20"/>
        </w:rPr>
        <w:t>(2)</w:t>
      </w:r>
      <w:r>
        <w:rPr>
          <w:rFonts w:ascii="Segoe UI"/>
          <w:color w:val="231F20"/>
          <w:spacing w:val="-7"/>
        </w:rPr>
        <w:t> </w:t>
      </w:r>
      <w:r>
        <w:rPr>
          <w:rFonts w:ascii="Segoe UI"/>
          <w:color w:val="231F20"/>
        </w:rPr>
        <w:t>was</w:t>
      </w:r>
      <w:r>
        <w:rPr>
          <w:rFonts w:ascii="Segoe UI"/>
          <w:color w:val="231F20"/>
          <w:spacing w:val="-6"/>
        </w:rPr>
        <w:t> </w:t>
      </w:r>
      <w:r>
        <w:rPr>
          <w:rFonts w:ascii="Segoe UI"/>
          <w:color w:val="231F20"/>
        </w:rPr>
        <w:t>compared</w:t>
      </w:r>
      <w:r>
        <w:rPr>
          <w:rFonts w:ascii="Segoe UI"/>
          <w:color w:val="231F20"/>
          <w:spacing w:val="-6"/>
        </w:rPr>
        <w:t> </w:t>
      </w:r>
      <w:r>
        <w:rPr>
          <w:rFonts w:ascii="Segoe UI"/>
          <w:color w:val="231F20"/>
        </w:rPr>
        <w:t>against</w:t>
      </w:r>
      <w:r>
        <w:rPr>
          <w:rFonts w:ascii="Segoe UI"/>
          <w:color w:val="231F20"/>
          <w:spacing w:val="-7"/>
        </w:rPr>
        <w:t> </w:t>
      </w:r>
      <w:r>
        <w:rPr>
          <w:rFonts w:ascii="Segoe UI"/>
          <w:color w:val="231F20"/>
        </w:rPr>
        <w:t>the</w:t>
      </w:r>
      <w:r>
        <w:rPr>
          <w:rFonts w:ascii="Segoe UI"/>
          <w:color w:val="231F20"/>
          <w:spacing w:val="-6"/>
        </w:rPr>
        <w:t> </w:t>
      </w:r>
      <w:r>
        <w:rPr>
          <w:rFonts w:ascii="Segoe UI"/>
          <w:color w:val="231F20"/>
          <w:spacing w:val="-6"/>
        </w:rPr>
      </w:r>
      <w:r>
        <w:rPr>
          <w:rFonts w:ascii="Segoe UI"/>
          <w:color w:val="231F20"/>
        </w:rPr>
        <w:t>data</w:t>
      </w:r>
      <w:r>
        <w:rPr>
          <w:rFonts w:ascii="Segoe UI"/>
          <w:color w:val="231F20"/>
          <w:spacing w:val="21"/>
        </w:rPr>
        <w:t> </w:t>
      </w:r>
      <w:r>
        <w:rPr>
          <w:rFonts w:ascii="Segoe UI"/>
          <w:color w:val="231F20"/>
        </w:rPr>
        <w:t>from</w:t>
      </w:r>
      <w:r>
        <w:rPr>
          <w:rFonts w:ascii="Segoe UI"/>
          <w:color w:val="231F20"/>
          <w:spacing w:val="-5"/>
        </w:rPr>
        <w:t> </w:t>
      </w:r>
      <w:r>
        <w:rPr>
          <w:rFonts w:ascii="Segoe UI"/>
          <w:color w:val="231F20"/>
        </w:rPr>
        <w:t>the</w:t>
      </w:r>
      <w:r>
        <w:rPr>
          <w:rFonts w:ascii="Segoe UI"/>
          <w:color w:val="231F20"/>
          <w:spacing w:val="-6"/>
        </w:rPr>
        <w:t> </w:t>
      </w:r>
      <w:r>
        <w:rPr>
          <w:rFonts w:ascii="Segoe UI"/>
          <w:color w:val="231F20"/>
        </w:rPr>
        <w:t>Aboriginal</w:t>
      </w:r>
      <w:r>
        <w:rPr>
          <w:rFonts w:ascii="Segoe UI"/>
          <w:color w:val="231F20"/>
          <w:spacing w:val="-5"/>
        </w:rPr>
        <w:t> </w:t>
      </w:r>
      <w:r>
        <w:rPr>
          <w:rFonts w:ascii="Segoe UI"/>
          <w:color w:val="231F20"/>
        </w:rPr>
        <w:t>and</w:t>
      </w:r>
      <w:r>
        <w:rPr>
          <w:rFonts w:ascii="Segoe UI"/>
          <w:color w:val="231F20"/>
          <w:spacing w:val="-6"/>
        </w:rPr>
        <w:t> </w:t>
      </w:r>
      <w:r>
        <w:rPr>
          <w:rFonts w:ascii="Segoe UI"/>
          <w:color w:val="231F20"/>
          <w:spacing w:val="-5"/>
        </w:rPr>
        <w:t>Torres </w:t>
      </w:r>
      <w:r>
        <w:rPr>
          <w:rFonts w:ascii="Segoe UI"/>
          <w:color w:val="231F20"/>
          <w:spacing w:val="-2"/>
        </w:rPr>
        <w:t>Strait</w:t>
      </w:r>
      <w:r>
        <w:rPr>
          <w:rFonts w:ascii="Segoe UI"/>
          <w:color w:val="231F20"/>
          <w:spacing w:val="-6"/>
        </w:rPr>
        <w:t> </w:t>
      </w:r>
      <w:r>
        <w:rPr>
          <w:rFonts w:ascii="Segoe UI"/>
          <w:color w:val="231F20"/>
          <w:spacing w:val="-1"/>
        </w:rPr>
        <w:t>Islander</w:t>
      </w:r>
      <w:r>
        <w:rPr>
          <w:rFonts w:ascii="Segoe UI"/>
          <w:color w:val="231F20"/>
          <w:spacing w:val="29"/>
          <w:w w:val="99"/>
        </w:rPr>
        <w:t> </w:t>
      </w:r>
      <w:r>
        <w:rPr>
          <w:rFonts w:ascii="Segoe UI"/>
          <w:color w:val="231F20"/>
        </w:rPr>
        <w:t>boarding</w:t>
      </w:r>
      <w:r>
        <w:rPr>
          <w:rFonts w:ascii="Segoe UI"/>
          <w:color w:val="231F20"/>
          <w:spacing w:val="-8"/>
        </w:rPr>
        <w:t> </w:t>
      </w:r>
      <w:r>
        <w:rPr>
          <w:rFonts w:ascii="Segoe UI"/>
          <w:color w:val="231F20"/>
        </w:rPr>
        <w:t>providers.</w:t>
      </w:r>
      <w:r>
        <w:rPr>
          <w:rFonts w:ascii="Segoe UI"/>
          <w:color w:val="231F20"/>
          <w:spacing w:val="-8"/>
        </w:rPr>
        <w:t> </w:t>
      </w:r>
      <w:r>
        <w:rPr>
          <w:rFonts w:ascii="Segoe UI"/>
          <w:color w:val="231F20"/>
        </w:rPr>
        <w:t>The</w:t>
      </w:r>
      <w:r>
        <w:rPr>
          <w:rFonts w:ascii="Segoe UI"/>
          <w:color w:val="231F20"/>
          <w:spacing w:val="-7"/>
        </w:rPr>
        <w:t> </w:t>
      </w:r>
      <w:r>
        <w:rPr>
          <w:rFonts w:ascii="Segoe UI"/>
          <w:color w:val="231F20"/>
          <w:spacing w:val="-1"/>
        </w:rPr>
        <w:t>mainstream</w:t>
      </w:r>
      <w:r>
        <w:rPr>
          <w:rFonts w:ascii="Segoe UI"/>
          <w:color w:val="231F20"/>
          <w:spacing w:val="-6"/>
        </w:rPr>
        <w:t> </w:t>
      </w:r>
      <w:r>
        <w:rPr>
          <w:rFonts w:ascii="Segoe UI"/>
          <w:color w:val="231F20"/>
        </w:rPr>
        <w:t>boarding</w:t>
      </w:r>
      <w:r>
        <w:rPr>
          <w:rFonts w:ascii="Segoe UI"/>
          <w:color w:val="231F20"/>
          <w:spacing w:val="22"/>
          <w:w w:val="99"/>
        </w:rPr>
        <w:t> </w:t>
      </w:r>
      <w:r>
        <w:rPr>
          <w:rFonts w:ascii="Segoe UI"/>
          <w:color w:val="231F20"/>
        </w:rPr>
        <w:t>providers</w:t>
      </w:r>
      <w:r>
        <w:rPr>
          <w:rFonts w:ascii="Segoe UI"/>
          <w:color w:val="231F20"/>
          <w:spacing w:val="-7"/>
        </w:rPr>
        <w:t> </w:t>
      </w:r>
      <w:r>
        <w:rPr>
          <w:rFonts w:ascii="Segoe UI"/>
          <w:color w:val="231F20"/>
        </w:rPr>
        <w:t>have</w:t>
      </w:r>
      <w:r>
        <w:rPr>
          <w:rFonts w:ascii="Segoe UI"/>
          <w:color w:val="231F20"/>
          <w:spacing w:val="-7"/>
        </w:rPr>
        <w:t> </w:t>
      </w:r>
      <w:r>
        <w:rPr>
          <w:rFonts w:ascii="Segoe UI"/>
          <w:color w:val="231F20"/>
        </w:rPr>
        <w:t>Aboriginal</w:t>
      </w:r>
      <w:r>
        <w:rPr>
          <w:rFonts w:ascii="Segoe UI"/>
          <w:color w:val="231F20"/>
          <w:spacing w:val="-5"/>
        </w:rPr>
        <w:t> </w:t>
      </w:r>
      <w:r>
        <w:rPr>
          <w:rFonts w:ascii="Segoe UI"/>
          <w:color w:val="231F20"/>
        </w:rPr>
        <w:t>and</w:t>
      </w:r>
      <w:r>
        <w:rPr>
          <w:rFonts w:ascii="Segoe UI"/>
          <w:color w:val="231F20"/>
          <w:spacing w:val="-7"/>
        </w:rPr>
        <w:t> </w:t>
      </w:r>
      <w:r>
        <w:rPr>
          <w:rFonts w:ascii="Segoe UI"/>
          <w:color w:val="231F20"/>
          <w:spacing w:val="-5"/>
        </w:rPr>
        <w:t>Torres </w:t>
      </w:r>
      <w:r>
        <w:rPr>
          <w:rFonts w:ascii="Segoe UI"/>
          <w:color w:val="231F20"/>
          <w:spacing w:val="-2"/>
        </w:rPr>
        <w:t>Strait</w:t>
      </w:r>
      <w:r>
        <w:rPr>
          <w:rFonts w:ascii="Segoe UI"/>
        </w:rPr>
      </w:r>
    </w:p>
    <w:p>
      <w:pPr>
        <w:pStyle w:val="BodyText"/>
        <w:spacing w:line="250" w:lineRule="exact" w:before="62"/>
        <w:ind w:left="100" w:right="113"/>
        <w:jc w:val="left"/>
        <w:rPr>
          <w:rFonts w:ascii="Segoe UI" w:hAnsi="Segoe UI" w:cs="Segoe UI" w:eastAsia="Segoe UI"/>
        </w:rPr>
      </w:pPr>
      <w:r>
        <w:rPr/>
        <w:br w:type="column"/>
      </w:r>
      <w:r>
        <w:rPr>
          <w:rFonts w:ascii="Segoe UI"/>
          <w:color w:val="231F20"/>
          <w:spacing w:val="-1"/>
        </w:rPr>
        <w:t>Islander</w:t>
      </w:r>
      <w:r>
        <w:rPr>
          <w:rFonts w:ascii="Segoe UI"/>
          <w:color w:val="231F20"/>
          <w:spacing w:val="-8"/>
        </w:rPr>
        <w:t> </w:t>
      </w:r>
      <w:r>
        <w:rPr>
          <w:rFonts w:ascii="Segoe UI"/>
          <w:color w:val="231F20"/>
          <w:spacing w:val="-1"/>
        </w:rPr>
        <w:t>student</w:t>
      </w:r>
      <w:r>
        <w:rPr>
          <w:rFonts w:ascii="Segoe UI"/>
          <w:color w:val="231F20"/>
          <w:spacing w:val="-8"/>
        </w:rPr>
        <w:t> </w:t>
      </w:r>
      <w:r>
        <w:rPr>
          <w:rFonts w:ascii="Segoe UI"/>
          <w:color w:val="231F20"/>
        </w:rPr>
        <w:t>populations</w:t>
      </w:r>
      <w:r>
        <w:rPr>
          <w:rFonts w:ascii="Segoe UI"/>
          <w:color w:val="231F20"/>
          <w:spacing w:val="-9"/>
        </w:rPr>
        <w:t> </w:t>
      </w:r>
      <w:r>
        <w:rPr>
          <w:rFonts w:ascii="Segoe UI"/>
          <w:color w:val="231F20"/>
        </w:rPr>
        <w:t>ranging</w:t>
      </w:r>
      <w:r>
        <w:rPr>
          <w:rFonts w:ascii="Segoe UI"/>
          <w:color w:val="231F20"/>
          <w:spacing w:val="-8"/>
        </w:rPr>
        <w:t> </w:t>
      </w:r>
      <w:r>
        <w:rPr>
          <w:rFonts w:ascii="Segoe UI"/>
          <w:color w:val="231F20"/>
        </w:rPr>
        <w:t>from</w:t>
      </w:r>
      <w:r>
        <w:rPr>
          <w:rFonts w:ascii="Segoe UI"/>
          <w:color w:val="231F20"/>
          <w:spacing w:val="-8"/>
        </w:rPr>
        <w:t> </w:t>
      </w:r>
      <w:r>
        <w:rPr>
          <w:rFonts w:ascii="Segoe UI"/>
          <w:color w:val="231F20"/>
        </w:rPr>
        <w:t>one</w:t>
      </w:r>
      <w:r>
        <w:rPr>
          <w:rFonts w:ascii="Segoe UI"/>
          <w:color w:val="231F20"/>
          <w:spacing w:val="24"/>
          <w:w w:val="99"/>
        </w:rPr>
        <w:t> </w:t>
      </w:r>
      <w:r>
        <w:rPr>
          <w:rFonts w:ascii="Segoe UI"/>
          <w:color w:val="231F20"/>
        </w:rPr>
        <w:t>to 16 per cent and all were classified as medium</w:t>
      </w:r>
      <w:r>
        <w:rPr>
          <w:rFonts w:ascii="Segoe UI"/>
          <w:color w:val="231F20"/>
        </w:rPr>
        <w:t> </w:t>
      </w:r>
      <w:r>
        <w:rPr>
          <w:rFonts w:ascii="Segoe UI"/>
          <w:color w:val="231F20"/>
          <w:spacing w:val="-1"/>
        </w:rPr>
        <w:t>sized</w:t>
      </w:r>
      <w:r>
        <w:rPr>
          <w:rFonts w:ascii="Segoe UI"/>
          <w:color w:val="231F20"/>
          <w:spacing w:val="-4"/>
        </w:rPr>
        <w:t> </w:t>
      </w:r>
      <w:r>
        <w:rPr>
          <w:rFonts w:ascii="Segoe UI"/>
          <w:color w:val="231F20"/>
        </w:rPr>
        <w:t>(between</w:t>
      </w:r>
      <w:r>
        <w:rPr>
          <w:rFonts w:ascii="Segoe UI"/>
          <w:color w:val="231F20"/>
          <w:spacing w:val="-5"/>
        </w:rPr>
        <w:t> </w:t>
      </w:r>
      <w:r>
        <w:rPr>
          <w:rFonts w:ascii="Segoe UI"/>
          <w:color w:val="231F20"/>
          <w:spacing w:val="-1"/>
        </w:rPr>
        <w:t>226</w:t>
      </w:r>
      <w:r>
        <w:rPr>
          <w:rFonts w:ascii="Segoe UI"/>
          <w:color w:val="231F20"/>
          <w:spacing w:val="-3"/>
        </w:rPr>
        <w:t> </w:t>
      </w:r>
      <w:r>
        <w:rPr>
          <w:rFonts w:ascii="Segoe UI"/>
          <w:color w:val="231F20"/>
        </w:rPr>
        <w:t>and</w:t>
      </w:r>
      <w:r>
        <w:rPr>
          <w:rFonts w:ascii="Segoe UI"/>
          <w:color w:val="231F20"/>
          <w:spacing w:val="-5"/>
        </w:rPr>
        <w:t> </w:t>
      </w:r>
      <w:r>
        <w:rPr>
          <w:rFonts w:ascii="Segoe UI"/>
          <w:color w:val="231F20"/>
          <w:spacing w:val="-1"/>
        </w:rPr>
        <w:t>600</w:t>
      </w:r>
      <w:r>
        <w:rPr>
          <w:rFonts w:ascii="Segoe UI"/>
          <w:color w:val="231F20"/>
          <w:spacing w:val="-4"/>
        </w:rPr>
        <w:t> </w:t>
      </w:r>
      <w:r>
        <w:rPr>
          <w:rFonts w:ascii="Segoe UI"/>
          <w:color w:val="231F20"/>
        </w:rPr>
        <w:t>total</w:t>
      </w:r>
      <w:r>
        <w:rPr>
          <w:rFonts w:ascii="Segoe UI"/>
          <w:color w:val="231F20"/>
          <w:spacing w:val="-4"/>
        </w:rPr>
        <w:t> </w:t>
      </w:r>
      <w:r>
        <w:rPr>
          <w:rFonts w:ascii="Segoe UI"/>
          <w:color w:val="231F20"/>
          <w:spacing w:val="-1"/>
        </w:rPr>
        <w:t>students)</w:t>
      </w:r>
      <w:r>
        <w:rPr>
          <w:rFonts w:ascii="Segoe UI"/>
          <w:color w:val="231F20"/>
          <w:spacing w:val="-3"/>
        </w:rPr>
        <w:t> </w:t>
      </w:r>
      <w:r>
        <w:rPr>
          <w:rFonts w:ascii="Segoe UI"/>
          <w:color w:val="231F20"/>
        </w:rPr>
        <w:t>or</w:t>
      </w:r>
      <w:r>
        <w:rPr>
          <w:rFonts w:ascii="Segoe UI"/>
          <w:color w:val="231F20"/>
          <w:spacing w:val="25"/>
          <w:w w:val="99"/>
        </w:rPr>
        <w:t> </w:t>
      </w:r>
      <w:r>
        <w:rPr>
          <w:rFonts w:ascii="Segoe UI"/>
          <w:color w:val="231F20"/>
          <w:spacing w:val="-1"/>
        </w:rPr>
        <w:t>large</w:t>
      </w:r>
      <w:r>
        <w:rPr>
          <w:rFonts w:ascii="Segoe UI"/>
          <w:color w:val="231F20"/>
          <w:spacing w:val="-5"/>
        </w:rPr>
        <w:t> </w:t>
      </w:r>
      <w:r>
        <w:rPr>
          <w:rFonts w:ascii="Segoe UI"/>
          <w:color w:val="231F20"/>
          <w:spacing w:val="-1"/>
        </w:rPr>
        <w:t>sized</w:t>
      </w:r>
      <w:r>
        <w:rPr>
          <w:rFonts w:ascii="Segoe UI"/>
          <w:color w:val="231F20"/>
          <w:spacing w:val="-4"/>
        </w:rPr>
        <w:t> </w:t>
      </w:r>
      <w:r>
        <w:rPr>
          <w:rFonts w:ascii="Segoe UI"/>
          <w:color w:val="231F20"/>
        </w:rPr>
        <w:t>(over</w:t>
      </w:r>
      <w:r>
        <w:rPr>
          <w:rFonts w:ascii="Segoe UI"/>
          <w:color w:val="231F20"/>
          <w:spacing w:val="-5"/>
        </w:rPr>
        <w:t> </w:t>
      </w:r>
      <w:r>
        <w:rPr>
          <w:rFonts w:ascii="Segoe UI"/>
          <w:color w:val="231F20"/>
          <w:spacing w:val="-1"/>
        </w:rPr>
        <w:t>600</w:t>
      </w:r>
      <w:r>
        <w:rPr>
          <w:rFonts w:ascii="Segoe UI"/>
          <w:color w:val="231F20"/>
          <w:spacing w:val="-5"/>
        </w:rPr>
        <w:t> </w:t>
      </w:r>
      <w:r>
        <w:rPr>
          <w:rFonts w:ascii="Segoe UI"/>
          <w:color w:val="231F20"/>
        </w:rPr>
        <w:t>total</w:t>
      </w:r>
      <w:r>
        <w:rPr>
          <w:rFonts w:ascii="Segoe UI"/>
          <w:color w:val="231F20"/>
          <w:spacing w:val="-5"/>
        </w:rPr>
        <w:t> </w:t>
      </w:r>
      <w:r>
        <w:rPr>
          <w:rFonts w:ascii="Segoe UI"/>
          <w:color w:val="231F20"/>
          <w:spacing w:val="-1"/>
        </w:rPr>
        <w:t>students).</w:t>
      </w:r>
      <w:r>
        <w:rPr>
          <w:rFonts w:ascii="Segoe UI"/>
        </w:rPr>
      </w:r>
    </w:p>
    <w:p>
      <w:pPr>
        <w:pStyle w:val="BodyText"/>
        <w:spacing w:line="250" w:lineRule="exact" w:before="113"/>
        <w:ind w:left="100" w:right="356"/>
        <w:jc w:val="both"/>
        <w:rPr>
          <w:rFonts w:ascii="Segoe UI" w:hAnsi="Segoe UI" w:cs="Segoe UI" w:eastAsia="Segoe UI"/>
        </w:rPr>
      </w:pPr>
      <w:r>
        <w:rPr>
          <w:rFonts w:ascii="Segoe UI"/>
          <w:color w:val="231F20"/>
          <w:spacing w:val="-2"/>
        </w:rPr>
        <w:t>Peak</w:t>
      </w:r>
      <w:r>
        <w:rPr>
          <w:rFonts w:ascii="Segoe UI"/>
          <w:color w:val="231F20"/>
          <w:spacing w:val="-6"/>
        </w:rPr>
        <w:t> </w:t>
      </w:r>
      <w:r>
        <w:rPr>
          <w:rFonts w:ascii="Segoe UI"/>
          <w:color w:val="231F20"/>
        </w:rPr>
        <w:t>bodies,</w:t>
      </w:r>
      <w:r>
        <w:rPr>
          <w:rFonts w:ascii="Segoe UI"/>
          <w:color w:val="231F20"/>
          <w:spacing w:val="-7"/>
        </w:rPr>
        <w:t> </w:t>
      </w:r>
      <w:r>
        <w:rPr>
          <w:rFonts w:ascii="Segoe UI"/>
          <w:color w:val="231F20"/>
        </w:rPr>
        <w:t>government</w:t>
      </w:r>
      <w:r>
        <w:rPr>
          <w:rFonts w:ascii="Segoe UI"/>
          <w:color w:val="231F20"/>
          <w:spacing w:val="-7"/>
        </w:rPr>
        <w:t> </w:t>
      </w:r>
      <w:r>
        <w:rPr>
          <w:rFonts w:ascii="Segoe UI"/>
          <w:color w:val="231F20"/>
        </w:rPr>
        <w:t>agencies</w:t>
      </w:r>
      <w:r>
        <w:rPr>
          <w:rFonts w:ascii="Segoe UI"/>
          <w:color w:val="231F20"/>
          <w:spacing w:val="-7"/>
        </w:rPr>
        <w:t> </w:t>
      </w:r>
      <w:r>
        <w:rPr>
          <w:rFonts w:ascii="Segoe UI"/>
          <w:color w:val="231F20"/>
        </w:rPr>
        <w:t>and</w:t>
      </w:r>
      <w:r>
        <w:rPr>
          <w:rFonts w:ascii="Segoe UI"/>
          <w:color w:val="231F20"/>
          <w:spacing w:val="-7"/>
        </w:rPr>
        <w:t> </w:t>
      </w:r>
      <w:r>
        <w:rPr>
          <w:rFonts w:ascii="Segoe UI"/>
          <w:color w:val="231F20"/>
        </w:rPr>
        <w:t>other</w:t>
      </w:r>
      <w:r>
        <w:rPr>
          <w:rFonts w:ascii="Segoe UI"/>
          <w:color w:val="231F20"/>
          <w:spacing w:val="20"/>
          <w:w w:val="99"/>
        </w:rPr>
        <w:t> </w:t>
      </w:r>
      <w:r>
        <w:rPr>
          <w:rFonts w:ascii="Segoe UI"/>
          <w:color w:val="231F20"/>
        </w:rPr>
        <w:t>boarding</w:t>
      </w:r>
      <w:r>
        <w:rPr>
          <w:rFonts w:ascii="Segoe UI"/>
          <w:color w:val="231F20"/>
          <w:spacing w:val="-6"/>
        </w:rPr>
        <w:t> </w:t>
      </w:r>
      <w:r>
        <w:rPr>
          <w:rFonts w:ascii="Segoe UI"/>
          <w:color w:val="231F20"/>
        </w:rPr>
        <w:t>providers</w:t>
      </w:r>
      <w:r>
        <w:rPr>
          <w:rFonts w:ascii="Segoe UI"/>
          <w:color w:val="231F20"/>
          <w:spacing w:val="-5"/>
        </w:rPr>
        <w:t> </w:t>
      </w:r>
      <w:r>
        <w:rPr>
          <w:rFonts w:ascii="Segoe UI"/>
          <w:color w:val="231F20"/>
          <w:spacing w:val="-1"/>
        </w:rPr>
        <w:t>listed</w:t>
      </w:r>
      <w:r>
        <w:rPr>
          <w:rFonts w:ascii="Segoe UI"/>
          <w:color w:val="231F20"/>
          <w:spacing w:val="-4"/>
        </w:rPr>
        <w:t> </w:t>
      </w:r>
      <w:r>
        <w:rPr>
          <w:rFonts w:ascii="Segoe UI"/>
          <w:color w:val="231F20"/>
          <w:spacing w:val="-1"/>
        </w:rPr>
        <w:t>in</w:t>
      </w:r>
      <w:r>
        <w:rPr>
          <w:rFonts w:ascii="Segoe UI"/>
          <w:color w:val="231F20"/>
          <w:spacing w:val="-5"/>
        </w:rPr>
        <w:t> </w:t>
      </w:r>
      <w:r>
        <w:rPr>
          <w:rFonts w:ascii="Segoe UI"/>
          <w:color w:val="231F20"/>
        </w:rPr>
        <w:t>Appendix</w:t>
      </w:r>
      <w:r>
        <w:rPr>
          <w:rFonts w:ascii="Segoe UI"/>
          <w:color w:val="231F20"/>
          <w:spacing w:val="-4"/>
        </w:rPr>
        <w:t> </w:t>
      </w:r>
      <w:r>
        <w:rPr>
          <w:rFonts w:ascii="Segoe UI"/>
          <w:color w:val="231F20"/>
        </w:rPr>
        <w:t>A</w:t>
      </w:r>
      <w:r>
        <w:rPr>
          <w:rFonts w:ascii="Segoe UI"/>
          <w:color w:val="231F20"/>
          <w:spacing w:val="-4"/>
        </w:rPr>
        <w:t> </w:t>
      </w:r>
      <w:r>
        <w:rPr>
          <w:rFonts w:ascii="Segoe UI"/>
          <w:color w:val="231F20"/>
        </w:rPr>
        <w:t>were</w:t>
      </w:r>
      <w:r>
        <w:rPr>
          <w:rFonts w:ascii="Segoe UI"/>
          <w:color w:val="231F20"/>
          <w:spacing w:val="23"/>
          <w:w w:val="99"/>
        </w:rPr>
        <w:t> </w:t>
      </w:r>
      <w:r>
        <w:rPr>
          <w:rFonts w:ascii="Segoe UI"/>
          <w:color w:val="231F20"/>
        </w:rPr>
        <w:t>also</w:t>
      </w:r>
      <w:r>
        <w:rPr>
          <w:rFonts w:ascii="Segoe UI"/>
          <w:color w:val="231F20"/>
          <w:spacing w:val="-6"/>
        </w:rPr>
        <w:t> </w:t>
      </w:r>
      <w:r>
        <w:rPr>
          <w:rFonts w:ascii="Segoe UI"/>
          <w:color w:val="231F20"/>
        </w:rPr>
        <w:t>consulted</w:t>
      </w:r>
      <w:r>
        <w:rPr>
          <w:rFonts w:ascii="Segoe UI"/>
          <w:color w:val="231F20"/>
          <w:spacing w:val="-5"/>
        </w:rPr>
        <w:t> </w:t>
      </w:r>
      <w:r>
        <w:rPr>
          <w:rFonts w:ascii="Segoe UI"/>
          <w:color w:val="231F20"/>
        </w:rPr>
        <w:t>for</w:t>
      </w:r>
      <w:r>
        <w:rPr>
          <w:rFonts w:ascii="Segoe UI"/>
          <w:color w:val="231F20"/>
          <w:spacing w:val="-4"/>
        </w:rPr>
        <w:t> </w:t>
      </w:r>
      <w:r>
        <w:rPr>
          <w:rFonts w:ascii="Segoe UI"/>
          <w:color w:val="231F20"/>
        </w:rPr>
        <w:t>this</w:t>
      </w:r>
      <w:r>
        <w:rPr>
          <w:rFonts w:ascii="Segoe UI"/>
          <w:color w:val="231F20"/>
          <w:spacing w:val="-5"/>
        </w:rPr>
        <w:t> </w:t>
      </w:r>
      <w:r>
        <w:rPr>
          <w:rFonts w:ascii="Segoe UI"/>
          <w:color w:val="231F20"/>
        </w:rPr>
        <w:t>report.</w:t>
      </w:r>
      <w:r>
        <w:rPr>
          <w:rFonts w:ascii="Segoe UI"/>
        </w:rPr>
      </w:r>
    </w:p>
    <w:p>
      <w:pPr>
        <w:spacing w:after="0" w:line="250" w:lineRule="exact"/>
        <w:jc w:val="both"/>
        <w:rPr>
          <w:rFonts w:ascii="Segoe UI" w:hAnsi="Segoe UI" w:cs="Segoe UI" w:eastAsia="Segoe UI"/>
        </w:rPr>
        <w:sectPr>
          <w:type w:val="continuous"/>
          <w:pgSz w:w="11910" w:h="16840"/>
          <w:pgMar w:top="1580" w:bottom="280" w:left="1600" w:right="1100"/>
          <w:cols w:num="2" w:equalWidth="0">
            <w:col w:w="4551" w:space="211"/>
            <w:col w:w="4448"/>
          </w:cols>
        </w:sectPr>
      </w:pPr>
    </w:p>
    <w:p>
      <w:pPr>
        <w:spacing w:line="240" w:lineRule="auto" w:before="0"/>
        <w:rPr>
          <w:rFonts w:ascii="Segoe UI" w:hAnsi="Segoe UI" w:cs="Segoe UI" w:eastAsia="Segoe UI"/>
          <w:sz w:val="20"/>
          <w:szCs w:val="20"/>
        </w:rPr>
      </w:pPr>
    </w:p>
    <w:p>
      <w:pPr>
        <w:spacing w:line="240" w:lineRule="auto" w:before="1"/>
        <w:rPr>
          <w:rFonts w:ascii="Segoe UI" w:hAnsi="Segoe UI" w:cs="Segoe UI" w:eastAsia="Segoe UI"/>
          <w:sz w:val="20"/>
          <w:szCs w:val="20"/>
        </w:rPr>
      </w:pPr>
    </w:p>
    <w:p>
      <w:pPr>
        <w:numPr>
          <w:ilvl w:val="0"/>
          <w:numId w:val="4"/>
        </w:numPr>
        <w:tabs>
          <w:tab w:pos="670" w:val="left" w:leader="none"/>
        </w:tabs>
        <w:spacing w:line="567" w:lineRule="exact" w:before="0"/>
        <w:ind w:left="669" w:right="0" w:hanging="566"/>
        <w:jc w:val="left"/>
        <w:rPr>
          <w:rFonts w:ascii="Segoe UI" w:hAnsi="Segoe UI" w:cs="Segoe UI" w:eastAsia="Segoe UI"/>
          <w:sz w:val="44"/>
          <w:szCs w:val="44"/>
        </w:rPr>
      </w:pPr>
      <w:r>
        <w:rPr>
          <w:rFonts w:ascii="Segoe UI"/>
          <w:color w:val="67973F"/>
          <w:spacing w:val="-1"/>
          <w:sz w:val="44"/>
        </w:rPr>
        <w:t>Grant</w:t>
      </w:r>
      <w:r>
        <w:rPr>
          <w:rFonts w:ascii="Segoe UI"/>
          <w:color w:val="67973F"/>
          <w:spacing w:val="-28"/>
          <w:sz w:val="44"/>
        </w:rPr>
        <w:t> </w:t>
      </w:r>
      <w:r>
        <w:rPr>
          <w:rFonts w:ascii="Segoe UI"/>
          <w:color w:val="67973F"/>
          <w:spacing w:val="-1"/>
          <w:sz w:val="44"/>
        </w:rPr>
        <w:t>Thornton</w:t>
      </w:r>
      <w:r>
        <w:rPr>
          <w:rFonts w:ascii="Segoe UI"/>
          <w:color w:val="67973F"/>
          <w:spacing w:val="-28"/>
          <w:sz w:val="44"/>
        </w:rPr>
        <w:t> </w:t>
      </w:r>
      <w:r>
        <w:rPr>
          <w:rFonts w:ascii="Segoe UI"/>
          <w:color w:val="67973F"/>
          <w:spacing w:val="-1"/>
          <w:sz w:val="44"/>
        </w:rPr>
        <w:t>methodology</w:t>
      </w:r>
      <w:r>
        <w:rPr>
          <w:rFonts w:ascii="Segoe UI"/>
          <w:sz w:val="44"/>
        </w:rPr>
      </w:r>
    </w:p>
    <w:p>
      <w:pPr>
        <w:pStyle w:val="Heading4"/>
        <w:spacing w:line="240" w:lineRule="auto" w:before="129"/>
        <w:ind w:left="103" w:right="0"/>
        <w:jc w:val="left"/>
      </w:pPr>
      <w:r>
        <w:rPr>
          <w:color w:val="666155"/>
        </w:rPr>
        <w:t>The</w:t>
      </w:r>
      <w:r>
        <w:rPr>
          <w:color w:val="666155"/>
          <w:spacing w:val="-8"/>
        </w:rPr>
        <w:t> </w:t>
      </w:r>
      <w:r>
        <w:rPr>
          <w:color w:val="666155"/>
        </w:rPr>
        <w:t>analysis</w:t>
      </w:r>
      <w:r>
        <w:rPr>
          <w:color w:val="666155"/>
          <w:spacing w:val="-7"/>
        </w:rPr>
        <w:t> </w:t>
      </w:r>
      <w:r>
        <w:rPr>
          <w:color w:val="666155"/>
        </w:rPr>
        <w:t>was</w:t>
      </w:r>
      <w:r>
        <w:rPr>
          <w:color w:val="666155"/>
          <w:spacing w:val="-7"/>
        </w:rPr>
        <w:t> </w:t>
      </w:r>
      <w:r>
        <w:rPr>
          <w:color w:val="666155"/>
        </w:rPr>
        <w:t>conducted</w:t>
      </w:r>
      <w:r>
        <w:rPr>
          <w:color w:val="666155"/>
          <w:spacing w:val="-7"/>
        </w:rPr>
        <w:t> </w:t>
      </w:r>
      <w:r>
        <w:rPr>
          <w:color w:val="666155"/>
        </w:rPr>
        <w:t>over</w:t>
      </w:r>
      <w:r>
        <w:rPr>
          <w:color w:val="666155"/>
          <w:spacing w:val="-6"/>
        </w:rPr>
        <w:t> </w:t>
      </w:r>
      <w:r>
        <w:rPr>
          <w:color w:val="666155"/>
        </w:rPr>
        <w:t>three</w:t>
      </w:r>
      <w:r>
        <w:rPr>
          <w:color w:val="666155"/>
          <w:spacing w:val="-8"/>
        </w:rPr>
        <w:t> </w:t>
      </w:r>
      <w:r>
        <w:rPr>
          <w:color w:val="666155"/>
        </w:rPr>
        <w:t>phases.</w:t>
      </w:r>
      <w:r>
        <w:rPr/>
      </w:r>
    </w:p>
    <w:p>
      <w:pPr>
        <w:spacing w:line="240" w:lineRule="auto" w:before="9"/>
        <w:rPr>
          <w:rFonts w:ascii="Segoe UI" w:hAnsi="Segoe UI" w:cs="Segoe UI" w:eastAsia="Segoe UI"/>
          <w:sz w:val="9"/>
          <w:szCs w:val="9"/>
        </w:rPr>
      </w:pPr>
    </w:p>
    <w:p>
      <w:pPr>
        <w:spacing w:after="0" w:line="240" w:lineRule="auto"/>
        <w:rPr>
          <w:rFonts w:ascii="Segoe UI" w:hAnsi="Segoe UI" w:cs="Segoe UI" w:eastAsia="Segoe UI"/>
          <w:sz w:val="9"/>
          <w:szCs w:val="9"/>
        </w:rPr>
        <w:sectPr>
          <w:pgSz w:w="11910" w:h="16840"/>
          <w:pgMar w:header="0" w:footer="691" w:top="1580" w:bottom="880" w:left="1300" w:right="1640"/>
        </w:sectPr>
      </w:pPr>
    </w:p>
    <w:p>
      <w:pPr>
        <w:spacing w:before="14"/>
        <w:ind w:left="117" w:right="0" w:firstLine="0"/>
        <w:jc w:val="left"/>
        <w:rPr>
          <w:rFonts w:ascii="Segoe UI" w:hAnsi="Segoe UI" w:cs="Segoe UI" w:eastAsia="Segoe UI"/>
          <w:sz w:val="32"/>
          <w:szCs w:val="32"/>
        </w:rPr>
      </w:pPr>
      <w:r>
        <w:rPr>
          <w:rFonts w:ascii="Segoe UI"/>
          <w:b/>
          <w:color w:val="452A70"/>
          <w:spacing w:val="-1"/>
          <w:sz w:val="32"/>
        </w:rPr>
        <w:t>Phase</w:t>
      </w:r>
      <w:r>
        <w:rPr>
          <w:rFonts w:ascii="Segoe UI"/>
          <w:b/>
          <w:color w:val="452A70"/>
          <w:sz w:val="32"/>
        </w:rPr>
        <w:t> 1</w:t>
      </w:r>
      <w:r>
        <w:rPr>
          <w:rFonts w:ascii="Segoe UI"/>
          <w:sz w:val="32"/>
        </w:rPr>
      </w:r>
    </w:p>
    <w:p>
      <w:pPr>
        <w:pStyle w:val="BodyText"/>
        <w:spacing w:line="250" w:lineRule="exact" w:before="111"/>
        <w:ind w:right="63"/>
        <w:jc w:val="left"/>
      </w:pPr>
      <w:r>
        <w:rPr>
          <w:color w:val="231F20"/>
          <w:spacing w:val="-1"/>
        </w:rPr>
        <w:t>Phase</w:t>
      </w:r>
      <w:r>
        <w:rPr>
          <w:color w:val="231F20"/>
          <w:spacing w:val="-4"/>
        </w:rPr>
        <w:t> </w:t>
      </w:r>
      <w:r>
        <w:rPr>
          <w:color w:val="231F20"/>
        </w:rPr>
        <w:t>1</w:t>
      </w:r>
      <w:r>
        <w:rPr>
          <w:color w:val="231F20"/>
          <w:spacing w:val="-3"/>
        </w:rPr>
        <w:t> </w:t>
      </w:r>
      <w:r>
        <w:rPr>
          <w:color w:val="231F20"/>
        </w:rPr>
        <w:t>of</w:t>
      </w:r>
      <w:r>
        <w:rPr>
          <w:color w:val="231F20"/>
          <w:spacing w:val="-4"/>
        </w:rPr>
        <w:t> </w:t>
      </w:r>
      <w:r>
        <w:rPr>
          <w:color w:val="231F20"/>
        </w:rPr>
        <w:t>the</w:t>
      </w:r>
      <w:r>
        <w:rPr>
          <w:color w:val="231F20"/>
          <w:spacing w:val="-4"/>
        </w:rPr>
        <w:t> </w:t>
      </w:r>
      <w:r>
        <w:rPr>
          <w:color w:val="231F20"/>
        </w:rPr>
        <w:t>analysis</w:t>
      </w:r>
      <w:r>
        <w:rPr>
          <w:color w:val="231F20"/>
          <w:spacing w:val="-4"/>
        </w:rPr>
        <w:t> </w:t>
      </w:r>
      <w:r>
        <w:rPr>
          <w:color w:val="231F20"/>
        </w:rPr>
        <w:t>collected</w:t>
      </w:r>
      <w:r>
        <w:rPr>
          <w:color w:val="231F20"/>
          <w:spacing w:val="-5"/>
        </w:rPr>
        <w:t> </w:t>
      </w:r>
      <w:r>
        <w:rPr>
          <w:color w:val="231F20"/>
        </w:rPr>
        <w:t>and</w:t>
      </w:r>
      <w:r>
        <w:rPr>
          <w:color w:val="231F20"/>
          <w:spacing w:val="-4"/>
        </w:rPr>
        <w:t> </w:t>
      </w:r>
      <w:r>
        <w:rPr>
          <w:color w:val="231F20"/>
        </w:rPr>
        <w:t>analysed</w:t>
      </w:r>
      <w:r>
        <w:rPr>
          <w:color w:val="231F20"/>
          <w:spacing w:val="21"/>
          <w:w w:val="99"/>
        </w:rPr>
        <w:t> </w:t>
      </w:r>
      <w:r>
        <w:rPr>
          <w:color w:val="231F20"/>
        </w:rPr>
        <w:t>data</w:t>
      </w:r>
      <w:r>
        <w:rPr>
          <w:color w:val="231F20"/>
          <w:spacing w:val="-7"/>
        </w:rPr>
        <w:t> </w:t>
      </w:r>
      <w:r>
        <w:rPr>
          <w:color w:val="231F20"/>
        </w:rPr>
        <w:t>from</w:t>
      </w:r>
      <w:r>
        <w:rPr>
          <w:color w:val="231F20"/>
          <w:spacing w:val="-6"/>
        </w:rPr>
        <w:t> </w:t>
      </w:r>
      <w:r>
        <w:rPr>
          <w:color w:val="231F20"/>
        </w:rPr>
        <w:t>nominated</w:t>
      </w:r>
      <w:r>
        <w:rPr>
          <w:color w:val="231F20"/>
          <w:spacing w:val="-7"/>
        </w:rPr>
        <w:t> </w:t>
      </w:r>
      <w:r>
        <w:rPr>
          <w:color w:val="231F20"/>
        </w:rPr>
        <w:t>Aboriginal</w:t>
      </w:r>
      <w:r>
        <w:rPr>
          <w:color w:val="231F20"/>
          <w:spacing w:val="-6"/>
        </w:rPr>
        <w:t> </w:t>
      </w:r>
      <w:r>
        <w:rPr>
          <w:color w:val="231F20"/>
        </w:rPr>
        <w:t>and</w:t>
      </w:r>
      <w:r>
        <w:rPr>
          <w:color w:val="231F20"/>
          <w:spacing w:val="-7"/>
        </w:rPr>
        <w:t> </w:t>
      </w:r>
      <w:r>
        <w:rPr>
          <w:color w:val="231F20"/>
          <w:spacing w:val="-5"/>
        </w:rPr>
        <w:t>Torres</w:t>
      </w:r>
      <w:r>
        <w:rPr>
          <w:color w:val="231F20"/>
          <w:spacing w:val="24"/>
          <w:w w:val="99"/>
        </w:rPr>
        <w:t> </w:t>
      </w:r>
      <w:r>
        <w:rPr>
          <w:color w:val="231F20"/>
          <w:spacing w:val="-2"/>
        </w:rPr>
        <w:t>Strait</w:t>
      </w:r>
      <w:r>
        <w:rPr>
          <w:color w:val="231F20"/>
          <w:spacing w:val="-9"/>
        </w:rPr>
        <w:t> </w:t>
      </w:r>
      <w:r>
        <w:rPr>
          <w:color w:val="231F20"/>
          <w:spacing w:val="-1"/>
        </w:rPr>
        <w:t>Islander</w:t>
      </w:r>
      <w:r>
        <w:rPr>
          <w:color w:val="231F20"/>
          <w:spacing w:val="-7"/>
        </w:rPr>
        <w:t> </w:t>
      </w:r>
      <w:r>
        <w:rPr>
          <w:color w:val="231F20"/>
        </w:rPr>
        <w:t>boarding</w:t>
      </w:r>
      <w:r>
        <w:rPr>
          <w:color w:val="231F20"/>
          <w:spacing w:val="-8"/>
        </w:rPr>
        <w:t> </w:t>
      </w:r>
      <w:r>
        <w:rPr>
          <w:color w:val="231F20"/>
        </w:rPr>
        <w:t>providers</w:t>
      </w:r>
      <w:r>
        <w:rPr>
          <w:color w:val="231F20"/>
          <w:spacing w:val="-8"/>
        </w:rPr>
        <w:t> </w:t>
      </w:r>
      <w:r>
        <w:rPr>
          <w:color w:val="231F20"/>
        </w:rPr>
        <w:t>relating</w:t>
      </w:r>
      <w:r>
        <w:rPr>
          <w:color w:val="231F20"/>
          <w:spacing w:val="-8"/>
        </w:rPr>
        <w:t> </w:t>
      </w:r>
      <w:r>
        <w:rPr>
          <w:color w:val="231F20"/>
        </w:rPr>
        <w:t>to</w:t>
      </w:r>
      <w:r>
        <w:rPr>
          <w:color w:val="231F20"/>
          <w:spacing w:val="27"/>
          <w:w w:val="99"/>
        </w:rPr>
        <w:t> </w:t>
      </w:r>
      <w:r>
        <w:rPr>
          <w:color w:val="231F20"/>
        </w:rPr>
        <w:t>revenue,</w:t>
      </w:r>
      <w:r>
        <w:rPr>
          <w:color w:val="231F20"/>
          <w:spacing w:val="-11"/>
        </w:rPr>
        <w:t> </w:t>
      </w:r>
      <w:r>
        <w:rPr>
          <w:color w:val="231F20"/>
        </w:rPr>
        <w:t>expenditure,</w:t>
      </w:r>
      <w:r>
        <w:rPr>
          <w:color w:val="231F20"/>
          <w:spacing w:val="-9"/>
        </w:rPr>
        <w:t> </w:t>
      </w:r>
      <w:r>
        <w:rPr>
          <w:color w:val="231F20"/>
        </w:rPr>
        <w:t>enrolments</w:t>
      </w:r>
      <w:r>
        <w:rPr>
          <w:color w:val="231F20"/>
          <w:spacing w:val="-10"/>
        </w:rPr>
        <w:t> </w:t>
      </w:r>
      <w:r>
        <w:rPr>
          <w:color w:val="231F20"/>
        </w:rPr>
        <w:t>(retention,</w:t>
      </w:r>
      <w:r>
        <w:rPr>
          <w:color w:val="231F20"/>
          <w:w w:val="99"/>
        </w:rPr>
        <w:t> </w:t>
      </w:r>
      <w:r>
        <w:rPr>
          <w:color w:val="231F20"/>
        </w:rPr>
        <w:t>expulsion</w:t>
      </w:r>
      <w:r>
        <w:rPr>
          <w:color w:val="231F20"/>
          <w:spacing w:val="-6"/>
        </w:rPr>
        <w:t> </w:t>
      </w:r>
      <w:r>
        <w:rPr>
          <w:color w:val="231F20"/>
        </w:rPr>
        <w:t>and</w:t>
      </w:r>
      <w:r>
        <w:rPr>
          <w:color w:val="231F20"/>
          <w:spacing w:val="-5"/>
        </w:rPr>
        <w:t> </w:t>
      </w:r>
      <w:r>
        <w:rPr>
          <w:color w:val="231F20"/>
        </w:rPr>
        <w:t>exclusion)</w:t>
      </w:r>
      <w:r>
        <w:rPr>
          <w:color w:val="231F20"/>
          <w:spacing w:val="-6"/>
        </w:rPr>
        <w:t> </w:t>
      </w:r>
      <w:r>
        <w:rPr>
          <w:color w:val="231F20"/>
        </w:rPr>
        <w:t>and</w:t>
      </w:r>
      <w:r>
        <w:rPr>
          <w:color w:val="231F20"/>
          <w:spacing w:val="-5"/>
        </w:rPr>
        <w:t> </w:t>
      </w:r>
      <w:r>
        <w:rPr>
          <w:color w:val="231F20"/>
        </w:rPr>
        <w:t>graduations.</w:t>
      </w:r>
      <w:r>
        <w:rPr/>
      </w:r>
    </w:p>
    <w:p>
      <w:pPr>
        <w:pStyle w:val="BodyText"/>
        <w:spacing w:line="250" w:lineRule="exact"/>
        <w:ind w:right="63"/>
        <w:jc w:val="left"/>
      </w:pPr>
      <w:r>
        <w:rPr>
          <w:color w:val="231F20"/>
          <w:spacing w:val="-1"/>
        </w:rPr>
        <w:t>Included</w:t>
      </w:r>
      <w:r>
        <w:rPr>
          <w:color w:val="231F20"/>
          <w:spacing w:val="-6"/>
        </w:rPr>
        <w:t> </w:t>
      </w:r>
      <w:r>
        <w:rPr>
          <w:color w:val="231F20"/>
          <w:spacing w:val="-1"/>
        </w:rPr>
        <w:t>in</w:t>
      </w:r>
      <w:r>
        <w:rPr>
          <w:color w:val="231F20"/>
          <w:spacing w:val="-5"/>
        </w:rPr>
        <w:t> </w:t>
      </w:r>
      <w:r>
        <w:rPr>
          <w:color w:val="231F20"/>
        </w:rPr>
        <w:t>phase</w:t>
      </w:r>
      <w:r>
        <w:rPr>
          <w:color w:val="231F20"/>
          <w:spacing w:val="-6"/>
        </w:rPr>
        <w:t> </w:t>
      </w:r>
      <w:r>
        <w:rPr>
          <w:color w:val="231F20"/>
        </w:rPr>
        <w:t>1</w:t>
      </w:r>
      <w:r>
        <w:rPr>
          <w:color w:val="231F20"/>
          <w:spacing w:val="-5"/>
        </w:rPr>
        <w:t> </w:t>
      </w:r>
      <w:r>
        <w:rPr>
          <w:color w:val="231F20"/>
        </w:rPr>
        <w:t>was</w:t>
      </w:r>
      <w:r>
        <w:rPr>
          <w:color w:val="231F20"/>
          <w:spacing w:val="-6"/>
        </w:rPr>
        <w:t> </w:t>
      </w:r>
      <w:r>
        <w:rPr>
          <w:color w:val="231F20"/>
        </w:rPr>
        <w:t>the</w:t>
      </w:r>
      <w:r>
        <w:rPr>
          <w:color w:val="231F20"/>
          <w:spacing w:val="-6"/>
        </w:rPr>
        <w:t> </w:t>
      </w:r>
      <w:r>
        <w:rPr>
          <w:color w:val="231F20"/>
        </w:rPr>
        <w:t>threshold</w:t>
      </w:r>
      <w:r>
        <w:rPr>
          <w:color w:val="231F20"/>
          <w:spacing w:val="-6"/>
        </w:rPr>
        <w:t> </w:t>
      </w:r>
      <w:r>
        <w:rPr>
          <w:color w:val="231F20"/>
        </w:rPr>
        <w:t>question</w:t>
      </w:r>
      <w:r>
        <w:rPr>
          <w:color w:val="231F20"/>
          <w:spacing w:val="23"/>
          <w:w w:val="99"/>
        </w:rPr>
        <w:t> </w:t>
      </w:r>
      <w:r>
        <w:rPr>
          <w:color w:val="231F20"/>
        </w:rPr>
        <w:t>of</w:t>
      </w:r>
      <w:r>
        <w:rPr>
          <w:color w:val="231F20"/>
          <w:spacing w:val="-4"/>
        </w:rPr>
        <w:t> </w:t>
      </w:r>
      <w:r>
        <w:rPr>
          <w:color w:val="231F20"/>
        </w:rPr>
        <w:t>whether</w:t>
      </w:r>
      <w:r>
        <w:rPr>
          <w:color w:val="231F20"/>
          <w:spacing w:val="-5"/>
        </w:rPr>
        <w:t> </w:t>
      </w:r>
      <w:r>
        <w:rPr>
          <w:color w:val="231F20"/>
        </w:rPr>
        <w:t>there</w:t>
      </w:r>
      <w:r>
        <w:rPr>
          <w:color w:val="231F20"/>
          <w:spacing w:val="-4"/>
        </w:rPr>
        <w:t> </w:t>
      </w:r>
      <w:r>
        <w:rPr>
          <w:color w:val="231F20"/>
          <w:spacing w:val="-1"/>
        </w:rPr>
        <w:t>is</w:t>
      </w:r>
      <w:r>
        <w:rPr>
          <w:color w:val="231F20"/>
          <w:spacing w:val="-5"/>
        </w:rPr>
        <w:t> </w:t>
      </w:r>
      <w:r>
        <w:rPr>
          <w:color w:val="231F20"/>
        </w:rPr>
        <w:t>a</w:t>
      </w:r>
      <w:r>
        <w:rPr>
          <w:color w:val="231F20"/>
          <w:spacing w:val="-3"/>
        </w:rPr>
        <w:t> </w:t>
      </w:r>
      <w:r>
        <w:rPr>
          <w:color w:val="231F20"/>
          <w:spacing w:val="-1"/>
        </w:rPr>
        <w:t>minimum</w:t>
      </w:r>
      <w:r>
        <w:rPr>
          <w:color w:val="231F20"/>
          <w:spacing w:val="-4"/>
        </w:rPr>
        <w:t> </w:t>
      </w:r>
      <w:r>
        <w:rPr>
          <w:color w:val="231F20"/>
        </w:rPr>
        <w:t>number</w:t>
      </w:r>
      <w:r>
        <w:rPr/>
      </w:r>
    </w:p>
    <w:p>
      <w:pPr>
        <w:pStyle w:val="BodyText"/>
        <w:spacing w:line="250" w:lineRule="exact"/>
        <w:ind w:right="85"/>
        <w:jc w:val="left"/>
      </w:pPr>
      <w:r>
        <w:rPr>
          <w:color w:val="231F20"/>
        </w:rPr>
        <w:t>of</w:t>
      </w:r>
      <w:r>
        <w:rPr>
          <w:color w:val="231F20"/>
          <w:spacing w:val="-4"/>
        </w:rPr>
        <w:t> </w:t>
      </w:r>
      <w:r>
        <w:rPr>
          <w:color w:val="231F20"/>
        </w:rPr>
        <w:t>boarding</w:t>
      </w:r>
      <w:r>
        <w:rPr>
          <w:color w:val="231F20"/>
          <w:spacing w:val="-4"/>
        </w:rPr>
        <w:t> </w:t>
      </w:r>
      <w:r>
        <w:rPr>
          <w:color w:val="231F20"/>
          <w:spacing w:val="-1"/>
        </w:rPr>
        <w:t>students</w:t>
      </w:r>
      <w:r>
        <w:rPr>
          <w:color w:val="231F20"/>
          <w:spacing w:val="-4"/>
        </w:rPr>
        <w:t> </w:t>
      </w:r>
      <w:r>
        <w:rPr>
          <w:color w:val="231F20"/>
        </w:rPr>
        <w:t>required</w:t>
      </w:r>
      <w:r>
        <w:rPr>
          <w:color w:val="231F20"/>
          <w:spacing w:val="-4"/>
        </w:rPr>
        <w:t> </w:t>
      </w:r>
      <w:r>
        <w:rPr>
          <w:color w:val="231F20"/>
        </w:rPr>
        <w:t>to</w:t>
      </w:r>
      <w:r>
        <w:rPr>
          <w:color w:val="231F20"/>
          <w:spacing w:val="-3"/>
        </w:rPr>
        <w:t> </w:t>
      </w:r>
      <w:r>
        <w:rPr>
          <w:color w:val="231F20"/>
          <w:spacing w:val="-1"/>
        </w:rPr>
        <w:t>make</w:t>
      </w:r>
      <w:r>
        <w:rPr>
          <w:color w:val="231F20"/>
          <w:spacing w:val="-4"/>
        </w:rPr>
        <w:t> </w:t>
      </w:r>
      <w:r>
        <w:rPr>
          <w:color w:val="231F20"/>
        </w:rPr>
        <w:t>a</w:t>
      </w:r>
      <w:r>
        <w:rPr>
          <w:color w:val="231F20"/>
          <w:spacing w:val="23"/>
          <w:w w:val="99"/>
        </w:rPr>
        <w:t> </w:t>
      </w:r>
      <w:r>
        <w:rPr>
          <w:rFonts w:ascii="Segoe UI"/>
          <w:color w:val="231F20"/>
        </w:rPr>
        <w:t>boarding facility financially viable. The analysis</w:t>
      </w:r>
      <w:r>
        <w:rPr>
          <w:rFonts w:ascii="Segoe UI"/>
          <w:color w:val="231F20"/>
        </w:rPr>
        <w:t> </w:t>
      </w:r>
      <w:r>
        <w:rPr>
          <w:color w:val="231F20"/>
        </w:rPr>
        <w:t>also</w:t>
      </w:r>
      <w:r>
        <w:rPr>
          <w:color w:val="231F20"/>
          <w:spacing w:val="-5"/>
        </w:rPr>
        <w:t> </w:t>
      </w:r>
      <w:r>
        <w:rPr>
          <w:color w:val="231F20"/>
        </w:rPr>
        <w:t>reviewed</w:t>
      </w:r>
      <w:r>
        <w:rPr>
          <w:color w:val="231F20"/>
          <w:spacing w:val="-5"/>
        </w:rPr>
        <w:t> </w:t>
      </w:r>
      <w:r>
        <w:rPr>
          <w:color w:val="231F20"/>
        </w:rPr>
        <w:t>whether</w:t>
      </w:r>
      <w:r>
        <w:rPr>
          <w:color w:val="231F20"/>
          <w:spacing w:val="-5"/>
        </w:rPr>
        <w:t> </w:t>
      </w:r>
      <w:r>
        <w:rPr>
          <w:color w:val="231F20"/>
        </w:rPr>
        <w:t>there</w:t>
      </w:r>
      <w:r>
        <w:rPr>
          <w:color w:val="231F20"/>
          <w:spacing w:val="-5"/>
        </w:rPr>
        <w:t> </w:t>
      </w:r>
      <w:r>
        <w:rPr>
          <w:color w:val="231F20"/>
        </w:rPr>
        <w:t>was</w:t>
      </w:r>
      <w:r>
        <w:rPr>
          <w:color w:val="231F20"/>
          <w:spacing w:val="-5"/>
        </w:rPr>
        <w:t> </w:t>
      </w:r>
      <w:r>
        <w:rPr>
          <w:color w:val="231F20"/>
        </w:rPr>
        <w:t>a</w:t>
      </w:r>
      <w:r>
        <w:rPr>
          <w:color w:val="231F20"/>
          <w:spacing w:val="-4"/>
        </w:rPr>
        <w:t> </w:t>
      </w:r>
      <w:r>
        <w:rPr>
          <w:color w:val="231F20"/>
        </w:rPr>
        <w:t>gap</w:t>
      </w:r>
      <w:r>
        <w:rPr>
          <w:color w:val="231F20"/>
          <w:spacing w:val="-4"/>
        </w:rPr>
        <w:t> </w:t>
      </w:r>
      <w:r>
        <w:rPr>
          <w:color w:val="231F20"/>
          <w:spacing w:val="-1"/>
        </w:rPr>
        <w:t>in</w:t>
      </w:r>
      <w:r>
        <w:rPr>
          <w:color w:val="231F20"/>
          <w:spacing w:val="19"/>
        </w:rPr>
        <w:t> </w:t>
      </w:r>
      <w:r>
        <w:rPr>
          <w:color w:val="231F20"/>
        </w:rPr>
        <w:t>government</w:t>
      </w:r>
      <w:r>
        <w:rPr>
          <w:color w:val="231F20"/>
          <w:spacing w:val="-7"/>
        </w:rPr>
        <w:t> </w:t>
      </w:r>
      <w:r>
        <w:rPr>
          <w:color w:val="231F20"/>
        </w:rPr>
        <w:t>funding</w:t>
      </w:r>
      <w:r>
        <w:rPr>
          <w:color w:val="231F20"/>
          <w:spacing w:val="-5"/>
        </w:rPr>
        <w:t> </w:t>
      </w:r>
      <w:r>
        <w:rPr>
          <w:color w:val="231F20"/>
        </w:rPr>
        <w:t>for</w:t>
      </w:r>
      <w:r>
        <w:rPr>
          <w:color w:val="231F20"/>
          <w:spacing w:val="-6"/>
        </w:rPr>
        <w:t> </w:t>
      </w:r>
      <w:r>
        <w:rPr>
          <w:color w:val="231F20"/>
        </w:rPr>
        <w:t>the</w:t>
      </w:r>
      <w:r>
        <w:rPr>
          <w:color w:val="231F20"/>
          <w:spacing w:val="-6"/>
        </w:rPr>
        <w:t> </w:t>
      </w:r>
      <w:r>
        <w:rPr>
          <w:color w:val="231F20"/>
        </w:rPr>
        <w:t>cost</w:t>
      </w:r>
      <w:r>
        <w:rPr>
          <w:color w:val="231F20"/>
          <w:spacing w:val="-7"/>
        </w:rPr>
        <w:t> </w:t>
      </w:r>
      <w:r>
        <w:rPr>
          <w:color w:val="231F20"/>
        </w:rPr>
        <w:t>of</w:t>
      </w:r>
      <w:r>
        <w:rPr>
          <w:color w:val="231F20"/>
          <w:spacing w:val="-5"/>
        </w:rPr>
        <w:t> </w:t>
      </w:r>
      <w:r>
        <w:rPr>
          <w:color w:val="231F20"/>
        </w:rPr>
        <w:t>boarding</w:t>
      </w:r>
      <w:r>
        <w:rPr>
          <w:color w:val="231F20"/>
          <w:w w:val="99"/>
        </w:rPr>
        <w:t> </w:t>
      </w:r>
      <w:r>
        <w:rPr>
          <w:color w:val="231F20"/>
        </w:rPr>
        <w:t>for</w:t>
      </w:r>
      <w:r>
        <w:rPr>
          <w:color w:val="231F20"/>
          <w:spacing w:val="-6"/>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6"/>
        </w:rPr>
        <w:t> </w:t>
      </w:r>
      <w:r>
        <w:rPr>
          <w:color w:val="231F20"/>
          <w:spacing w:val="-1"/>
        </w:rPr>
        <w:t>Islander</w:t>
      </w:r>
      <w:r>
        <w:rPr>
          <w:color w:val="231F20"/>
          <w:spacing w:val="29"/>
          <w:w w:val="99"/>
        </w:rPr>
        <w:t> </w:t>
      </w:r>
      <w:r>
        <w:rPr>
          <w:color w:val="231F20"/>
          <w:spacing w:val="-1"/>
        </w:rPr>
        <w:t>secondary</w:t>
      </w:r>
      <w:r>
        <w:rPr>
          <w:color w:val="231F20"/>
          <w:spacing w:val="-4"/>
        </w:rPr>
        <w:t> </w:t>
      </w:r>
      <w:r>
        <w:rPr>
          <w:color w:val="231F20"/>
          <w:spacing w:val="-1"/>
        </w:rPr>
        <w:t>students</w:t>
      </w:r>
      <w:r>
        <w:rPr>
          <w:color w:val="231F20"/>
          <w:spacing w:val="-4"/>
        </w:rPr>
        <w:t> </w:t>
      </w:r>
      <w:r>
        <w:rPr>
          <w:color w:val="231F20"/>
        </w:rPr>
        <w:t>and</w:t>
      </w:r>
      <w:r>
        <w:rPr>
          <w:color w:val="231F20"/>
          <w:spacing w:val="-5"/>
        </w:rPr>
        <w:t> </w:t>
      </w:r>
      <w:r>
        <w:rPr>
          <w:color w:val="231F20"/>
          <w:spacing w:val="-1"/>
        </w:rPr>
        <w:t>if</w:t>
      </w:r>
      <w:r>
        <w:rPr>
          <w:color w:val="231F20"/>
          <w:spacing w:val="-4"/>
        </w:rPr>
        <w:t> </w:t>
      </w:r>
      <w:r>
        <w:rPr>
          <w:color w:val="231F20"/>
          <w:spacing w:val="-1"/>
        </w:rPr>
        <w:t>so,</w:t>
      </w:r>
      <w:r>
        <w:rPr>
          <w:color w:val="231F20"/>
          <w:spacing w:val="-4"/>
        </w:rPr>
        <w:t> </w:t>
      </w:r>
      <w:r>
        <w:rPr>
          <w:color w:val="231F20"/>
        </w:rPr>
        <w:t>how</w:t>
      </w:r>
      <w:r>
        <w:rPr>
          <w:color w:val="231F20"/>
          <w:spacing w:val="-4"/>
        </w:rPr>
        <w:t> </w:t>
      </w:r>
      <w:r>
        <w:rPr>
          <w:color w:val="231F20"/>
        </w:rPr>
        <w:t>boarding</w:t>
      </w:r>
      <w:r>
        <w:rPr>
          <w:color w:val="231F20"/>
          <w:spacing w:val="25"/>
          <w:w w:val="99"/>
        </w:rPr>
        <w:t> </w:t>
      </w:r>
      <w:r>
        <w:rPr>
          <w:color w:val="231F20"/>
        </w:rPr>
        <w:t>providers</w:t>
      </w:r>
      <w:r>
        <w:rPr>
          <w:color w:val="231F20"/>
          <w:spacing w:val="-5"/>
        </w:rPr>
        <w:t> </w:t>
      </w:r>
      <w:r>
        <w:rPr>
          <w:color w:val="231F20"/>
        </w:rPr>
        <w:t>are</w:t>
      </w:r>
      <w:r>
        <w:rPr>
          <w:color w:val="231F20"/>
          <w:spacing w:val="-4"/>
        </w:rPr>
        <w:t> </w:t>
      </w:r>
      <w:r>
        <w:rPr>
          <w:color w:val="231F20"/>
          <w:spacing w:val="-1"/>
        </w:rPr>
        <w:t>meeting</w:t>
      </w:r>
      <w:r>
        <w:rPr>
          <w:color w:val="231F20"/>
          <w:spacing w:val="-4"/>
        </w:rPr>
        <w:t> </w:t>
      </w:r>
      <w:r>
        <w:rPr>
          <w:color w:val="231F20"/>
        </w:rPr>
        <w:t>that</w:t>
      </w:r>
      <w:r>
        <w:rPr>
          <w:color w:val="231F20"/>
          <w:spacing w:val="-4"/>
        </w:rPr>
        <w:t> </w:t>
      </w:r>
      <w:r>
        <w:rPr>
          <w:color w:val="231F20"/>
        </w:rPr>
        <w:t>gap.</w:t>
      </w:r>
      <w:r>
        <w:rPr>
          <w:color w:val="231F20"/>
          <w:spacing w:val="-4"/>
        </w:rPr>
        <w:t> </w:t>
      </w:r>
      <w:r>
        <w:rPr>
          <w:color w:val="231F20"/>
        </w:rPr>
        <w:t>Examples</w:t>
      </w:r>
      <w:r>
        <w:rPr>
          <w:color w:val="231F20"/>
          <w:spacing w:val="-5"/>
        </w:rPr>
        <w:t> </w:t>
      </w:r>
      <w:r>
        <w:rPr>
          <w:color w:val="231F20"/>
        </w:rPr>
        <w:t>of</w:t>
      </w:r>
      <w:r>
        <w:rPr>
          <w:color w:val="231F20"/>
          <w:spacing w:val="22"/>
          <w:w w:val="99"/>
        </w:rPr>
        <w:t> </w:t>
      </w:r>
      <w:r>
        <w:rPr>
          <w:color w:val="231F20"/>
        </w:rPr>
        <w:t>best</w:t>
      </w:r>
      <w:r>
        <w:rPr>
          <w:color w:val="231F20"/>
          <w:spacing w:val="-6"/>
        </w:rPr>
        <w:t> </w:t>
      </w:r>
      <w:r>
        <w:rPr>
          <w:color w:val="231F20"/>
        </w:rPr>
        <w:t>practice</w:t>
      </w:r>
      <w:r>
        <w:rPr>
          <w:color w:val="231F20"/>
          <w:spacing w:val="-5"/>
        </w:rPr>
        <w:t> </w:t>
      </w:r>
      <w:r>
        <w:rPr>
          <w:color w:val="231F20"/>
          <w:spacing w:val="-1"/>
        </w:rPr>
        <w:t>in</w:t>
      </w:r>
      <w:r>
        <w:rPr>
          <w:color w:val="231F20"/>
          <w:spacing w:val="-5"/>
        </w:rPr>
        <w:t> </w:t>
      </w:r>
      <w:r>
        <w:rPr>
          <w:color w:val="231F20"/>
        </w:rPr>
        <w:t>reducing</w:t>
      </w:r>
      <w:r>
        <w:rPr>
          <w:color w:val="231F20"/>
          <w:spacing w:val="-6"/>
        </w:rPr>
        <w:t> </w:t>
      </w:r>
      <w:r>
        <w:rPr>
          <w:color w:val="231F20"/>
        </w:rPr>
        <w:t>costs</w:t>
      </w:r>
      <w:r>
        <w:rPr>
          <w:color w:val="231F20"/>
          <w:spacing w:val="-5"/>
        </w:rPr>
        <w:t> </w:t>
      </w:r>
      <w:r>
        <w:rPr>
          <w:color w:val="231F20"/>
        </w:rPr>
        <w:t>and</w:t>
      </w:r>
      <w:r>
        <w:rPr>
          <w:color w:val="231F20"/>
          <w:spacing w:val="-6"/>
        </w:rPr>
        <w:t> </w:t>
      </w:r>
      <w:r>
        <w:rPr>
          <w:color w:val="231F20"/>
          <w:spacing w:val="-1"/>
        </w:rPr>
        <w:t>improving</w:t>
      </w:r>
      <w:r>
        <w:rPr>
          <w:color w:val="231F20"/>
          <w:spacing w:val="21"/>
          <w:w w:val="99"/>
        </w:rPr>
        <w:t> </w:t>
      </w:r>
      <w:r>
        <w:rPr>
          <w:color w:val="231F20"/>
        </w:rPr>
        <w:t>attendance</w:t>
      </w:r>
      <w:r>
        <w:rPr>
          <w:color w:val="231F20"/>
          <w:spacing w:val="-9"/>
        </w:rPr>
        <w:t> </w:t>
      </w:r>
      <w:r>
        <w:rPr>
          <w:color w:val="231F20"/>
        </w:rPr>
        <w:t>and</w:t>
      </w:r>
      <w:r>
        <w:rPr>
          <w:color w:val="231F20"/>
          <w:spacing w:val="-8"/>
        </w:rPr>
        <w:t> </w:t>
      </w:r>
      <w:r>
        <w:rPr>
          <w:color w:val="231F20"/>
        </w:rPr>
        <w:t>engagement</w:t>
      </w:r>
      <w:r>
        <w:rPr>
          <w:color w:val="231F20"/>
          <w:spacing w:val="-8"/>
        </w:rPr>
        <w:t> </w:t>
      </w:r>
      <w:r>
        <w:rPr>
          <w:color w:val="231F20"/>
        </w:rPr>
        <w:t>were</w:t>
      </w:r>
      <w:r>
        <w:rPr>
          <w:color w:val="231F20"/>
          <w:spacing w:val="-8"/>
        </w:rPr>
        <w:t> </w:t>
      </w:r>
      <w:r>
        <w:rPr>
          <w:color w:val="231F20"/>
        </w:rPr>
        <w:t>also</w:t>
      </w:r>
      <w:r>
        <w:rPr>
          <w:color w:val="231F20"/>
        </w:rPr>
        <w:t> collected.</w:t>
      </w:r>
      <w:r>
        <w:rPr/>
      </w:r>
    </w:p>
    <w:p>
      <w:pPr>
        <w:pStyle w:val="BodyText"/>
        <w:spacing w:line="250" w:lineRule="exact" w:before="113"/>
        <w:ind w:right="37"/>
        <w:jc w:val="left"/>
      </w:pPr>
      <w:r>
        <w:rPr>
          <w:color w:val="231F20"/>
        </w:rPr>
        <w:t>The</w:t>
      </w:r>
      <w:r>
        <w:rPr>
          <w:color w:val="231F20"/>
          <w:spacing w:val="-3"/>
        </w:rPr>
        <w:t> </w:t>
      </w:r>
      <w:r>
        <w:rPr>
          <w:color w:val="231F20"/>
        </w:rPr>
        <w:t>full</w:t>
      </w:r>
      <w:r>
        <w:rPr>
          <w:color w:val="231F20"/>
          <w:spacing w:val="-4"/>
        </w:rPr>
        <w:t> </w:t>
      </w:r>
      <w:r>
        <w:rPr>
          <w:color w:val="231F20"/>
          <w:spacing w:val="-1"/>
        </w:rPr>
        <w:t>list</w:t>
      </w:r>
      <w:r>
        <w:rPr>
          <w:color w:val="231F20"/>
          <w:spacing w:val="-3"/>
        </w:rPr>
        <w:t> </w:t>
      </w:r>
      <w:r>
        <w:rPr>
          <w:color w:val="231F20"/>
        </w:rPr>
        <w:t>of</w:t>
      </w:r>
      <w:r>
        <w:rPr>
          <w:color w:val="231F20"/>
          <w:spacing w:val="-3"/>
        </w:rPr>
        <w:t> </w:t>
      </w:r>
      <w:r>
        <w:rPr>
          <w:color w:val="231F20"/>
        </w:rPr>
        <w:t>Aboriginal</w:t>
      </w:r>
      <w:r>
        <w:rPr>
          <w:color w:val="231F20"/>
          <w:spacing w:val="-3"/>
        </w:rPr>
        <w:t> </w:t>
      </w:r>
      <w:r>
        <w:rPr>
          <w:color w:val="231F20"/>
        </w:rPr>
        <w:t>and</w:t>
      </w:r>
      <w:r>
        <w:rPr>
          <w:color w:val="231F20"/>
          <w:spacing w:val="-4"/>
        </w:rPr>
        <w:t> </w:t>
      </w:r>
      <w:r>
        <w:rPr>
          <w:color w:val="231F20"/>
          <w:spacing w:val="-5"/>
        </w:rPr>
        <w:t>Torres</w:t>
      </w:r>
      <w:r>
        <w:rPr>
          <w:color w:val="231F20"/>
          <w:spacing w:val="-3"/>
        </w:rPr>
        <w:t> </w:t>
      </w:r>
      <w:r>
        <w:rPr>
          <w:color w:val="231F20"/>
          <w:spacing w:val="-2"/>
        </w:rPr>
        <w:t>Strait</w:t>
      </w:r>
      <w:r>
        <w:rPr>
          <w:color w:val="231F20"/>
          <w:spacing w:val="21"/>
          <w:w w:val="99"/>
        </w:rPr>
        <w:t> </w:t>
      </w:r>
      <w:r>
        <w:rPr>
          <w:color w:val="231F20"/>
          <w:spacing w:val="-1"/>
        </w:rPr>
        <w:t>Islander</w:t>
      </w:r>
      <w:r>
        <w:rPr>
          <w:color w:val="231F20"/>
          <w:spacing w:val="-4"/>
        </w:rPr>
        <w:t> </w:t>
      </w:r>
      <w:r>
        <w:rPr>
          <w:color w:val="231F20"/>
        </w:rPr>
        <w:t>boarding</w:t>
      </w:r>
      <w:r>
        <w:rPr>
          <w:color w:val="231F20"/>
          <w:spacing w:val="-5"/>
        </w:rPr>
        <w:t> </w:t>
      </w:r>
      <w:r>
        <w:rPr>
          <w:color w:val="231F20"/>
        </w:rPr>
        <w:t>providers</w:t>
      </w:r>
      <w:r>
        <w:rPr>
          <w:color w:val="231F20"/>
          <w:spacing w:val="-5"/>
        </w:rPr>
        <w:t> </w:t>
      </w:r>
      <w:r>
        <w:rPr>
          <w:color w:val="231F20"/>
          <w:spacing w:val="-1"/>
        </w:rPr>
        <w:t>is</w:t>
      </w:r>
      <w:r>
        <w:rPr>
          <w:color w:val="231F20"/>
          <w:spacing w:val="-4"/>
        </w:rPr>
        <w:t> </w:t>
      </w:r>
      <w:r>
        <w:rPr>
          <w:color w:val="231F20"/>
          <w:spacing w:val="-1"/>
        </w:rPr>
        <w:t>set</w:t>
      </w:r>
      <w:r>
        <w:rPr>
          <w:color w:val="231F20"/>
          <w:spacing w:val="-4"/>
        </w:rPr>
        <w:t> </w:t>
      </w:r>
      <w:r>
        <w:rPr>
          <w:color w:val="231F20"/>
        </w:rPr>
        <w:t>out</w:t>
      </w:r>
      <w:r>
        <w:rPr>
          <w:color w:val="231F20"/>
          <w:spacing w:val="-4"/>
        </w:rPr>
        <w:t> </w:t>
      </w:r>
      <w:r>
        <w:rPr>
          <w:color w:val="231F20"/>
          <w:spacing w:val="-1"/>
        </w:rPr>
        <w:t>in</w:t>
      </w:r>
      <w:r>
        <w:rPr>
          <w:color w:val="231F20"/>
          <w:spacing w:val="-4"/>
        </w:rPr>
        <w:t> </w:t>
      </w:r>
      <w:r>
        <w:rPr>
          <w:color w:val="231F20"/>
          <w:spacing w:val="-2"/>
        </w:rPr>
        <w:t>Part</w:t>
      </w:r>
      <w:r>
        <w:rPr>
          <w:color w:val="231F20"/>
          <w:spacing w:val="-5"/>
        </w:rPr>
        <w:t> </w:t>
      </w:r>
      <w:r>
        <w:rPr>
          <w:color w:val="231F20"/>
          <w:spacing w:val="-1"/>
        </w:rPr>
        <w:t>4.</w:t>
      </w:r>
      <w:r>
        <w:rPr>
          <w:color w:val="231F20"/>
          <w:spacing w:val="24"/>
          <w:w w:val="99"/>
        </w:rPr>
        <w:t> </w:t>
      </w:r>
      <w:r>
        <w:rPr>
          <w:color w:val="231F20"/>
        </w:rPr>
        <w:t>The</w:t>
      </w:r>
      <w:r>
        <w:rPr>
          <w:color w:val="231F20"/>
          <w:spacing w:val="-8"/>
        </w:rPr>
        <w:t> </w:t>
      </w:r>
      <w:r>
        <w:rPr>
          <w:color w:val="231F20"/>
          <w:spacing w:val="-1"/>
        </w:rPr>
        <w:t>providers</w:t>
      </w:r>
      <w:r>
        <w:rPr>
          <w:color w:val="231F20"/>
          <w:spacing w:val="-8"/>
        </w:rPr>
        <w:t> </w:t>
      </w:r>
      <w:r>
        <w:rPr>
          <w:color w:val="231F20"/>
        </w:rPr>
        <w:t>are</w:t>
      </w:r>
      <w:r>
        <w:rPr>
          <w:color w:val="231F20"/>
          <w:spacing w:val="-8"/>
        </w:rPr>
        <w:t> </w:t>
      </w:r>
      <w:r>
        <w:rPr>
          <w:color w:val="231F20"/>
        </w:rPr>
        <w:t>based</w:t>
      </w:r>
      <w:r>
        <w:rPr>
          <w:color w:val="231F20"/>
          <w:spacing w:val="-8"/>
        </w:rPr>
        <w:t> </w:t>
      </w:r>
      <w:r>
        <w:rPr>
          <w:color w:val="231F20"/>
          <w:spacing w:val="-1"/>
        </w:rPr>
        <w:t>in</w:t>
      </w:r>
      <w:r>
        <w:rPr>
          <w:color w:val="231F20"/>
          <w:spacing w:val="-8"/>
        </w:rPr>
        <w:t> </w:t>
      </w:r>
      <w:r>
        <w:rPr>
          <w:color w:val="231F20"/>
        </w:rPr>
        <w:t>Queensland,</w:t>
      </w:r>
      <w:r>
        <w:rPr>
          <w:color w:val="231F20"/>
          <w:spacing w:val="-8"/>
        </w:rPr>
        <w:t> </w:t>
      </w:r>
      <w:r>
        <w:rPr>
          <w:color w:val="231F20"/>
          <w:spacing w:val="-2"/>
        </w:rPr>
        <w:t>Western</w:t>
      </w:r>
      <w:r>
        <w:rPr>
          <w:color w:val="231F20"/>
          <w:spacing w:val="31"/>
          <w:w w:val="99"/>
        </w:rPr>
        <w:t> </w:t>
      </w:r>
      <w:r>
        <w:rPr>
          <w:color w:val="231F20"/>
        </w:rPr>
        <w:t>Australia,</w:t>
      </w:r>
      <w:r>
        <w:rPr>
          <w:color w:val="231F20"/>
          <w:spacing w:val="-8"/>
        </w:rPr>
        <w:t> </w:t>
      </w:r>
      <w:r>
        <w:rPr>
          <w:color w:val="231F20"/>
        </w:rPr>
        <w:t>the</w:t>
      </w:r>
      <w:r>
        <w:rPr>
          <w:color w:val="231F20"/>
          <w:spacing w:val="-8"/>
        </w:rPr>
        <w:t> </w:t>
      </w:r>
      <w:r>
        <w:rPr>
          <w:color w:val="231F20"/>
        </w:rPr>
        <w:t>Northern</w:t>
      </w:r>
      <w:r>
        <w:rPr>
          <w:color w:val="231F20"/>
          <w:spacing w:val="-7"/>
        </w:rPr>
        <w:t> </w:t>
      </w:r>
      <w:r>
        <w:rPr>
          <w:color w:val="231F20"/>
          <w:spacing w:val="-3"/>
        </w:rPr>
        <w:t>Territory</w:t>
      </w:r>
      <w:r>
        <w:rPr>
          <w:color w:val="231F20"/>
          <w:spacing w:val="-8"/>
        </w:rPr>
        <w:t> </w:t>
      </w:r>
      <w:r>
        <w:rPr>
          <w:color w:val="231F20"/>
        </w:rPr>
        <w:t>and</w:t>
      </w:r>
      <w:r>
        <w:rPr>
          <w:color w:val="231F20"/>
          <w:spacing w:val="-8"/>
        </w:rPr>
        <w:t> </w:t>
      </w:r>
      <w:r>
        <w:rPr>
          <w:color w:val="231F20"/>
          <w:spacing w:val="-1"/>
        </w:rPr>
        <w:t>Victoria</w:t>
      </w:r>
      <w:r>
        <w:rPr>
          <w:color w:val="231F20"/>
          <w:spacing w:val="-1"/>
          <w:w w:val="99"/>
        </w:rPr>
        <w:t> </w:t>
      </w:r>
      <w:r>
        <w:rPr>
          <w:color w:val="231F20"/>
          <w:spacing w:val="27"/>
          <w:w w:val="99"/>
        </w:rPr>
        <w:t> </w:t>
      </w:r>
      <w:r>
        <w:rPr>
          <w:color w:val="231F20"/>
        </w:rPr>
        <w:t>and</w:t>
      </w:r>
      <w:r>
        <w:rPr>
          <w:color w:val="231F20"/>
          <w:spacing w:val="-7"/>
        </w:rPr>
        <w:t> </w:t>
      </w:r>
      <w:r>
        <w:rPr>
          <w:color w:val="231F20"/>
        </w:rPr>
        <w:t>accommodate</w:t>
      </w:r>
      <w:r>
        <w:rPr>
          <w:color w:val="231F20"/>
          <w:spacing w:val="-6"/>
        </w:rPr>
        <w:t> </w:t>
      </w:r>
      <w:r>
        <w:rPr>
          <w:color w:val="231F20"/>
        </w:rPr>
        <w:t>almost</w:t>
      </w:r>
      <w:r>
        <w:rPr>
          <w:color w:val="231F20"/>
          <w:spacing w:val="-7"/>
        </w:rPr>
        <w:t> </w:t>
      </w:r>
      <w:r>
        <w:rPr>
          <w:color w:val="231F20"/>
          <w:spacing w:val="-1"/>
        </w:rPr>
        <w:t>1,900</w:t>
      </w:r>
      <w:r>
        <w:rPr>
          <w:color w:val="231F20"/>
          <w:spacing w:val="-5"/>
        </w:rPr>
        <w:t> </w:t>
      </w:r>
      <w:r>
        <w:rPr>
          <w:color w:val="231F20"/>
        </w:rPr>
        <w:t>boarders.</w:t>
      </w:r>
      <w:r>
        <w:rPr>
          <w:color w:val="231F20"/>
          <w:spacing w:val="-7"/>
        </w:rPr>
        <w:t> </w:t>
      </w:r>
      <w:r>
        <w:rPr>
          <w:color w:val="231F20"/>
        </w:rPr>
        <w:t>The</w:t>
      </w:r>
      <w:r>
        <w:rPr>
          <w:color w:val="231F20"/>
          <w:spacing w:val="21"/>
          <w:w w:val="99"/>
        </w:rPr>
        <w:t> </w:t>
      </w:r>
      <w:r>
        <w:rPr>
          <w:color w:val="231F20"/>
        </w:rPr>
        <w:t>analysis</w:t>
      </w:r>
      <w:r>
        <w:rPr>
          <w:color w:val="231F20"/>
          <w:spacing w:val="-6"/>
        </w:rPr>
        <w:t> </w:t>
      </w:r>
      <w:r>
        <w:rPr>
          <w:color w:val="231F20"/>
        </w:rPr>
        <w:t>considered</w:t>
      </w:r>
      <w:r>
        <w:rPr>
          <w:color w:val="231F20"/>
          <w:spacing w:val="-5"/>
        </w:rPr>
        <w:t> </w:t>
      </w:r>
      <w:r>
        <w:rPr>
          <w:color w:val="231F20"/>
        </w:rPr>
        <w:t>whether</w:t>
      </w:r>
      <w:r>
        <w:rPr>
          <w:color w:val="231F20"/>
          <w:spacing w:val="-5"/>
        </w:rPr>
        <w:t> </w:t>
      </w:r>
      <w:r>
        <w:rPr>
          <w:color w:val="231F20"/>
          <w:spacing w:val="-1"/>
        </w:rPr>
        <w:t>it</w:t>
      </w:r>
      <w:r>
        <w:rPr>
          <w:color w:val="231F20"/>
          <w:spacing w:val="-4"/>
        </w:rPr>
        <w:t> </w:t>
      </w:r>
      <w:r>
        <w:rPr>
          <w:color w:val="231F20"/>
        </w:rPr>
        <w:t>was</w:t>
      </w:r>
      <w:r>
        <w:rPr>
          <w:color w:val="231F20"/>
          <w:spacing w:val="-5"/>
        </w:rPr>
        <w:t> </w:t>
      </w:r>
      <w:r>
        <w:rPr>
          <w:color w:val="231F20"/>
        </w:rPr>
        <w:t>possible</w:t>
      </w:r>
      <w:r>
        <w:rPr/>
      </w:r>
    </w:p>
    <w:p>
      <w:pPr>
        <w:pStyle w:val="BodyText"/>
        <w:spacing w:line="250" w:lineRule="exact"/>
        <w:ind w:right="63"/>
        <w:jc w:val="left"/>
      </w:pPr>
      <w:r>
        <w:rPr>
          <w:color w:val="231F20"/>
        </w:rPr>
        <w:t>to</w:t>
      </w:r>
      <w:r>
        <w:rPr>
          <w:color w:val="231F20"/>
          <w:spacing w:val="-5"/>
        </w:rPr>
        <w:t> </w:t>
      </w:r>
      <w:r>
        <w:rPr>
          <w:color w:val="231F20"/>
          <w:spacing w:val="-1"/>
        </w:rPr>
        <w:t>identify</w:t>
      </w:r>
      <w:r>
        <w:rPr>
          <w:color w:val="231F20"/>
          <w:spacing w:val="-4"/>
        </w:rPr>
        <w:t> </w:t>
      </w:r>
      <w:r>
        <w:rPr>
          <w:color w:val="231F20"/>
        </w:rPr>
        <w:t>variances</w:t>
      </w:r>
      <w:r>
        <w:rPr>
          <w:color w:val="231F20"/>
          <w:spacing w:val="-4"/>
        </w:rPr>
        <w:t> </w:t>
      </w:r>
      <w:r>
        <w:rPr>
          <w:color w:val="231F20"/>
          <w:spacing w:val="-1"/>
        </w:rPr>
        <w:t>in</w:t>
      </w:r>
      <w:r>
        <w:rPr>
          <w:color w:val="231F20"/>
          <w:spacing w:val="-4"/>
        </w:rPr>
        <w:t> </w:t>
      </w:r>
      <w:r>
        <w:rPr>
          <w:color w:val="231F20"/>
        </w:rPr>
        <w:t>the</w:t>
      </w:r>
      <w:r>
        <w:rPr>
          <w:color w:val="231F20"/>
          <w:spacing w:val="-5"/>
        </w:rPr>
        <w:t> </w:t>
      </w:r>
      <w:r>
        <w:rPr>
          <w:color w:val="231F20"/>
        </w:rPr>
        <w:t>cost</w:t>
      </w:r>
      <w:r>
        <w:rPr>
          <w:color w:val="231F20"/>
          <w:spacing w:val="-6"/>
        </w:rPr>
        <w:t> </w:t>
      </w:r>
      <w:r>
        <w:rPr>
          <w:color w:val="231F20"/>
        </w:rPr>
        <w:t>of</w:t>
      </w:r>
      <w:r>
        <w:rPr>
          <w:color w:val="231F20"/>
          <w:spacing w:val="-4"/>
        </w:rPr>
        <w:t> </w:t>
      </w:r>
      <w:r>
        <w:rPr>
          <w:color w:val="231F20"/>
        </w:rPr>
        <w:t>boarding</w:t>
      </w:r>
      <w:r>
        <w:rPr>
          <w:color w:val="231F20"/>
          <w:spacing w:val="23"/>
          <w:w w:val="99"/>
        </w:rPr>
        <w:t> </w:t>
      </w:r>
      <w:r>
        <w:rPr>
          <w:color w:val="231F20"/>
        </w:rPr>
        <w:t>attributable</w:t>
      </w:r>
      <w:r>
        <w:rPr>
          <w:color w:val="231F20"/>
          <w:spacing w:val="-7"/>
        </w:rPr>
        <w:t> </w:t>
      </w:r>
      <w:r>
        <w:rPr>
          <w:color w:val="231F20"/>
        </w:rPr>
        <w:t>to</w:t>
      </w:r>
      <w:r>
        <w:rPr>
          <w:color w:val="231F20"/>
          <w:spacing w:val="-6"/>
        </w:rPr>
        <w:t> </w:t>
      </w:r>
      <w:r>
        <w:rPr>
          <w:color w:val="231F20"/>
        </w:rPr>
        <w:t>a</w:t>
      </w:r>
      <w:r>
        <w:rPr>
          <w:color w:val="231F20"/>
          <w:spacing w:val="-6"/>
        </w:rPr>
        <w:t> </w:t>
      </w:r>
      <w:r>
        <w:rPr>
          <w:color w:val="231F20"/>
        </w:rPr>
        <w:t>number</w:t>
      </w:r>
      <w:r>
        <w:rPr>
          <w:color w:val="231F20"/>
          <w:spacing w:val="-7"/>
        </w:rPr>
        <w:t> </w:t>
      </w:r>
      <w:r>
        <w:rPr>
          <w:color w:val="231F20"/>
        </w:rPr>
        <w:t>of</w:t>
      </w:r>
      <w:r>
        <w:rPr>
          <w:color w:val="231F20"/>
          <w:spacing w:val="-5"/>
        </w:rPr>
        <w:t> </w:t>
      </w:r>
      <w:r>
        <w:rPr>
          <w:color w:val="231F20"/>
        </w:rPr>
        <w:t>characteristics,</w:t>
      </w:r>
      <w:r>
        <w:rPr>
          <w:color w:val="231F20"/>
          <w:spacing w:val="-7"/>
        </w:rPr>
        <w:t> </w:t>
      </w:r>
      <w:r>
        <w:rPr>
          <w:color w:val="231F20"/>
          <w:spacing w:val="-1"/>
        </w:rPr>
        <w:t>such</w:t>
      </w:r>
      <w:r>
        <w:rPr>
          <w:color w:val="231F20"/>
          <w:spacing w:val="19"/>
        </w:rPr>
        <w:t> </w:t>
      </w:r>
      <w:r>
        <w:rPr>
          <w:color w:val="231F20"/>
        </w:rPr>
        <w:t>as</w:t>
      </w:r>
      <w:r>
        <w:rPr>
          <w:color w:val="231F20"/>
          <w:spacing w:val="-3"/>
        </w:rPr>
        <w:t> </w:t>
      </w:r>
      <w:r>
        <w:rPr>
          <w:color w:val="231F20"/>
        </w:rPr>
        <w:t>the</w:t>
      </w:r>
      <w:r>
        <w:rPr>
          <w:color w:val="231F20"/>
          <w:spacing w:val="-2"/>
        </w:rPr>
        <w:t> </w:t>
      </w:r>
      <w:r>
        <w:rPr>
          <w:color w:val="231F20"/>
        </w:rPr>
        <w:t>remoteness</w:t>
      </w:r>
      <w:r>
        <w:rPr>
          <w:color w:val="231F20"/>
          <w:spacing w:val="-3"/>
        </w:rPr>
        <w:t> </w:t>
      </w:r>
      <w:r>
        <w:rPr>
          <w:color w:val="231F20"/>
        </w:rPr>
        <w:t>of</w:t>
      </w:r>
      <w:r>
        <w:rPr>
          <w:color w:val="231F20"/>
          <w:spacing w:val="-2"/>
        </w:rPr>
        <w:t> </w:t>
      </w:r>
      <w:r>
        <w:rPr>
          <w:color w:val="231F20"/>
        </w:rPr>
        <w:t>the</w:t>
      </w:r>
      <w:r>
        <w:rPr>
          <w:color w:val="231F20"/>
          <w:spacing w:val="-2"/>
        </w:rPr>
        <w:t> </w:t>
      </w:r>
      <w:r>
        <w:rPr>
          <w:color w:val="231F20"/>
        </w:rPr>
        <w:t>home</w:t>
      </w:r>
      <w:r>
        <w:rPr>
          <w:color w:val="231F20"/>
          <w:spacing w:val="-2"/>
        </w:rPr>
        <w:t> </w:t>
      </w:r>
      <w:r>
        <w:rPr>
          <w:color w:val="231F20"/>
        </w:rPr>
        <w:t>community</w:t>
      </w:r>
      <w:r>
        <w:rPr>
          <w:color w:val="231F20"/>
          <w:spacing w:val="-3"/>
        </w:rPr>
        <w:t> </w:t>
      </w:r>
      <w:r>
        <w:rPr>
          <w:color w:val="231F20"/>
        </w:rPr>
        <w:t>of</w:t>
      </w:r>
      <w:r>
        <w:rPr>
          <w:color w:val="231F20"/>
          <w:w w:val="99"/>
        </w:rPr>
        <w:t> </w:t>
      </w:r>
      <w:r>
        <w:rPr>
          <w:color w:val="231F20"/>
        </w:rPr>
        <w:t>the</w:t>
      </w:r>
      <w:r>
        <w:rPr>
          <w:color w:val="231F20"/>
          <w:spacing w:val="-7"/>
        </w:rPr>
        <w:t> </w:t>
      </w:r>
      <w:r>
        <w:rPr>
          <w:color w:val="231F20"/>
          <w:spacing w:val="-1"/>
        </w:rPr>
        <w:t>student,</w:t>
      </w:r>
      <w:r>
        <w:rPr>
          <w:color w:val="231F20"/>
          <w:spacing w:val="-5"/>
        </w:rPr>
        <w:t> </w:t>
      </w:r>
      <w:r>
        <w:rPr>
          <w:color w:val="231F20"/>
        </w:rPr>
        <w:t>age,</w:t>
      </w:r>
      <w:r>
        <w:rPr>
          <w:color w:val="231F20"/>
          <w:spacing w:val="-6"/>
        </w:rPr>
        <w:t> </w:t>
      </w:r>
      <w:r>
        <w:rPr>
          <w:color w:val="231F20"/>
          <w:spacing w:val="-1"/>
        </w:rPr>
        <w:t>Indigeneity,</w:t>
      </w:r>
      <w:r>
        <w:rPr>
          <w:color w:val="231F20"/>
          <w:spacing w:val="-6"/>
        </w:rPr>
        <w:t> </w:t>
      </w:r>
      <w:r>
        <w:rPr>
          <w:color w:val="231F20"/>
        </w:rPr>
        <w:t>the</w:t>
      </w:r>
      <w:r>
        <w:rPr>
          <w:color w:val="231F20"/>
          <w:spacing w:val="-6"/>
        </w:rPr>
        <w:t> </w:t>
      </w:r>
      <w:r>
        <w:rPr>
          <w:color w:val="231F20"/>
          <w:spacing w:val="-1"/>
        </w:rPr>
        <w:t>location</w:t>
      </w:r>
      <w:r>
        <w:rPr>
          <w:color w:val="231F20"/>
          <w:spacing w:val="-6"/>
        </w:rPr>
        <w:t> </w:t>
      </w:r>
      <w:r>
        <w:rPr>
          <w:color w:val="231F20"/>
        </w:rPr>
        <w:t>of</w:t>
      </w:r>
      <w:r>
        <w:rPr>
          <w:color w:val="231F20"/>
          <w:spacing w:val="-6"/>
        </w:rPr>
        <w:t> </w:t>
      </w:r>
      <w:r>
        <w:rPr>
          <w:color w:val="231F20"/>
          <w:spacing w:val="-6"/>
        </w:rPr>
      </w:r>
      <w:r>
        <w:rPr>
          <w:color w:val="231F20"/>
        </w:rPr>
        <w:t>the</w:t>
      </w:r>
      <w:r>
        <w:rPr>
          <w:color w:val="231F20"/>
          <w:spacing w:val="23"/>
        </w:rPr>
        <w:t> </w:t>
      </w:r>
      <w:r>
        <w:rPr>
          <w:color w:val="231F20"/>
        </w:rPr>
        <w:t>boarding</w:t>
      </w:r>
      <w:r>
        <w:rPr>
          <w:color w:val="231F20"/>
          <w:spacing w:val="-7"/>
        </w:rPr>
        <w:t> </w:t>
      </w:r>
      <w:r>
        <w:rPr>
          <w:color w:val="231F20"/>
        </w:rPr>
        <w:t>facility,</w:t>
      </w:r>
      <w:r>
        <w:rPr>
          <w:color w:val="231F20"/>
          <w:spacing w:val="-5"/>
        </w:rPr>
        <w:t> </w:t>
      </w:r>
      <w:r>
        <w:rPr>
          <w:color w:val="231F20"/>
        </w:rPr>
        <w:t>the</w:t>
      </w:r>
      <w:r>
        <w:rPr>
          <w:color w:val="231F20"/>
          <w:spacing w:val="-6"/>
        </w:rPr>
        <w:t> </w:t>
      </w:r>
      <w:r>
        <w:rPr>
          <w:color w:val="231F20"/>
          <w:spacing w:val="-1"/>
        </w:rPr>
        <w:t>model</w:t>
      </w:r>
      <w:r>
        <w:rPr>
          <w:color w:val="231F20"/>
          <w:spacing w:val="-6"/>
        </w:rPr>
        <w:t> </w:t>
      </w:r>
      <w:r>
        <w:rPr>
          <w:color w:val="231F20"/>
        </w:rPr>
        <w:t>of</w:t>
      </w:r>
      <w:r>
        <w:rPr>
          <w:color w:val="231F20"/>
          <w:spacing w:val="-5"/>
        </w:rPr>
        <w:t> </w:t>
      </w:r>
      <w:r>
        <w:rPr>
          <w:color w:val="231F20"/>
        </w:rPr>
        <w:t>boarding</w:t>
      </w:r>
      <w:r>
        <w:rPr>
          <w:color w:val="231F20"/>
          <w:spacing w:val="21"/>
          <w:w w:val="99"/>
        </w:rPr>
        <w:t> </w:t>
      </w:r>
      <w:r>
        <w:rPr>
          <w:color w:val="231F20"/>
        </w:rPr>
        <w:t>accommodation</w:t>
      </w:r>
      <w:r>
        <w:rPr>
          <w:color w:val="231F20"/>
          <w:spacing w:val="-8"/>
        </w:rPr>
        <w:t> </w:t>
      </w:r>
      <w:r>
        <w:rPr>
          <w:color w:val="231F20"/>
        </w:rPr>
        <w:t>and</w:t>
      </w:r>
      <w:r>
        <w:rPr>
          <w:color w:val="231F20"/>
          <w:spacing w:val="-7"/>
        </w:rPr>
        <w:t> </w:t>
      </w:r>
      <w:r>
        <w:rPr>
          <w:color w:val="231F20"/>
        </w:rPr>
        <w:t>the</w:t>
      </w:r>
      <w:r>
        <w:rPr>
          <w:color w:val="231F20"/>
          <w:spacing w:val="-7"/>
        </w:rPr>
        <w:t> </w:t>
      </w:r>
      <w:r>
        <w:rPr>
          <w:color w:val="231F20"/>
        </w:rPr>
        <w:t>quantum</w:t>
      </w:r>
      <w:r>
        <w:rPr>
          <w:color w:val="231F20"/>
          <w:spacing w:val="-7"/>
        </w:rPr>
        <w:t> </w:t>
      </w:r>
      <w:r>
        <w:rPr>
          <w:color w:val="231F20"/>
        </w:rPr>
        <w:t>of</w:t>
      </w:r>
      <w:r>
        <w:rPr>
          <w:color w:val="231F20"/>
          <w:spacing w:val="-6"/>
        </w:rPr>
        <w:t> </w:t>
      </w:r>
      <w:r>
        <w:rPr>
          <w:color w:val="231F20"/>
          <w:spacing w:val="-1"/>
        </w:rPr>
        <w:t>students</w:t>
      </w:r>
      <w:r>
        <w:rPr>
          <w:color w:val="231F20"/>
          <w:spacing w:val="20"/>
        </w:rPr>
        <w:t> </w:t>
      </w:r>
      <w:r>
        <w:rPr>
          <w:color w:val="231F20"/>
        </w:rPr>
        <w:t>attending</w:t>
      </w:r>
      <w:r>
        <w:rPr>
          <w:color w:val="231F20"/>
          <w:spacing w:val="-14"/>
        </w:rPr>
        <w:t> </w:t>
      </w:r>
      <w:r>
        <w:rPr>
          <w:color w:val="231F20"/>
        </w:rPr>
        <w:t>boarding</w:t>
      </w:r>
      <w:r>
        <w:rPr>
          <w:color w:val="231F20"/>
          <w:spacing w:val="-14"/>
        </w:rPr>
        <w:t> </w:t>
      </w:r>
      <w:r>
        <w:rPr>
          <w:color w:val="231F20"/>
        </w:rPr>
        <w:t>providers.</w:t>
      </w:r>
      <w:r>
        <w:rPr/>
      </w:r>
    </w:p>
    <w:p>
      <w:pPr>
        <w:spacing w:before="14"/>
        <w:ind w:left="117" w:right="174" w:firstLine="0"/>
        <w:jc w:val="left"/>
        <w:rPr>
          <w:rFonts w:ascii="Segoe UI" w:hAnsi="Segoe UI" w:cs="Segoe UI" w:eastAsia="Segoe UI"/>
          <w:sz w:val="32"/>
          <w:szCs w:val="32"/>
        </w:rPr>
      </w:pPr>
      <w:r>
        <w:rPr/>
        <w:br w:type="column"/>
      </w:r>
      <w:r>
        <w:rPr>
          <w:rFonts w:ascii="Segoe UI"/>
          <w:b/>
          <w:color w:val="452A70"/>
          <w:spacing w:val="-1"/>
          <w:sz w:val="32"/>
        </w:rPr>
        <w:t>Phase</w:t>
      </w:r>
      <w:r>
        <w:rPr>
          <w:rFonts w:ascii="Segoe UI"/>
          <w:b/>
          <w:color w:val="452A70"/>
          <w:sz w:val="32"/>
        </w:rPr>
        <w:t> 2</w:t>
      </w:r>
      <w:r>
        <w:rPr>
          <w:rFonts w:ascii="Segoe UI"/>
          <w:sz w:val="32"/>
        </w:rPr>
      </w:r>
    </w:p>
    <w:p>
      <w:pPr>
        <w:pStyle w:val="BodyText"/>
        <w:spacing w:line="250" w:lineRule="exact" w:before="111"/>
        <w:ind w:right="65"/>
        <w:jc w:val="left"/>
      </w:pPr>
      <w:r>
        <w:rPr>
          <w:color w:val="231F20"/>
          <w:spacing w:val="-1"/>
        </w:rPr>
        <w:t>Phase</w:t>
      </w:r>
      <w:r>
        <w:rPr>
          <w:color w:val="231F20"/>
          <w:spacing w:val="-4"/>
        </w:rPr>
        <w:t> </w:t>
      </w:r>
      <w:r>
        <w:rPr>
          <w:color w:val="231F20"/>
        </w:rPr>
        <w:t>2</w:t>
      </w:r>
      <w:r>
        <w:rPr>
          <w:color w:val="231F20"/>
          <w:spacing w:val="-3"/>
        </w:rPr>
        <w:t> </w:t>
      </w:r>
      <w:r>
        <w:rPr>
          <w:color w:val="231F20"/>
        </w:rPr>
        <w:t>of</w:t>
      </w:r>
      <w:r>
        <w:rPr>
          <w:color w:val="231F20"/>
          <w:spacing w:val="-4"/>
        </w:rPr>
        <w:t> </w:t>
      </w:r>
      <w:r>
        <w:rPr>
          <w:color w:val="231F20"/>
        </w:rPr>
        <w:t>the</w:t>
      </w:r>
      <w:r>
        <w:rPr>
          <w:color w:val="231F20"/>
          <w:spacing w:val="-4"/>
        </w:rPr>
        <w:t> </w:t>
      </w:r>
      <w:r>
        <w:rPr>
          <w:color w:val="231F20"/>
        </w:rPr>
        <w:t>analysis</w:t>
      </w:r>
      <w:r>
        <w:rPr>
          <w:color w:val="231F20"/>
          <w:spacing w:val="-4"/>
        </w:rPr>
        <w:t> </w:t>
      </w:r>
      <w:r>
        <w:rPr>
          <w:color w:val="231F20"/>
        </w:rPr>
        <w:t>collected</w:t>
      </w:r>
      <w:r>
        <w:rPr>
          <w:color w:val="231F20"/>
          <w:spacing w:val="-5"/>
        </w:rPr>
        <w:t> </w:t>
      </w:r>
      <w:r>
        <w:rPr>
          <w:color w:val="231F20"/>
        </w:rPr>
        <w:t>and</w:t>
      </w:r>
      <w:r>
        <w:rPr>
          <w:color w:val="231F20"/>
          <w:spacing w:val="-4"/>
        </w:rPr>
        <w:t> </w:t>
      </w:r>
      <w:r>
        <w:rPr>
          <w:color w:val="231F20"/>
        </w:rPr>
        <w:t>analysed</w:t>
      </w:r>
      <w:r>
        <w:rPr>
          <w:color w:val="231F20"/>
          <w:spacing w:val="21"/>
          <w:w w:val="99"/>
        </w:rPr>
        <w:t> </w:t>
      </w:r>
      <w:r>
        <w:rPr>
          <w:rFonts w:ascii="Segoe UI"/>
          <w:color w:val="231F20"/>
        </w:rPr>
        <w:t>for comparative purposes, financial data from a</w:t>
      </w:r>
      <w:r>
        <w:rPr>
          <w:rFonts w:ascii="Segoe UI"/>
          <w:color w:val="231F20"/>
        </w:rPr>
        <w:t> </w:t>
      </w:r>
      <w:r>
        <w:rPr>
          <w:color w:val="231F20"/>
        </w:rPr>
        <w:t>representative</w:t>
      </w:r>
      <w:r>
        <w:rPr>
          <w:color w:val="231F20"/>
          <w:spacing w:val="-8"/>
        </w:rPr>
        <w:t> </w:t>
      </w:r>
      <w:r>
        <w:rPr>
          <w:color w:val="231F20"/>
          <w:spacing w:val="-1"/>
        </w:rPr>
        <w:t>sample</w:t>
      </w:r>
      <w:r>
        <w:rPr>
          <w:color w:val="231F20"/>
          <w:spacing w:val="-6"/>
        </w:rPr>
        <w:t> </w:t>
      </w:r>
      <w:r>
        <w:rPr>
          <w:color w:val="231F20"/>
        </w:rPr>
        <w:t>of</w:t>
      </w:r>
      <w:r>
        <w:rPr>
          <w:color w:val="231F20"/>
          <w:spacing w:val="-5"/>
        </w:rPr>
        <w:t> </w:t>
      </w:r>
      <w:r>
        <w:rPr>
          <w:color w:val="231F20"/>
          <w:spacing w:val="-1"/>
        </w:rPr>
        <w:t>mainstream</w:t>
      </w:r>
      <w:r>
        <w:rPr>
          <w:color w:val="231F20"/>
          <w:spacing w:val="-5"/>
        </w:rPr>
        <w:t> </w:t>
      </w:r>
      <w:r>
        <w:rPr>
          <w:color w:val="231F20"/>
        </w:rPr>
        <w:t>boarding</w:t>
      </w:r>
      <w:r>
        <w:rPr>
          <w:color w:val="231F20"/>
          <w:spacing w:val="23"/>
          <w:w w:val="99"/>
        </w:rPr>
        <w:t> </w:t>
      </w:r>
      <w:r>
        <w:rPr>
          <w:color w:val="231F20"/>
        </w:rPr>
        <w:t>providers</w:t>
      </w:r>
      <w:r>
        <w:rPr>
          <w:color w:val="231F20"/>
          <w:spacing w:val="-6"/>
        </w:rPr>
        <w:t> </w:t>
      </w:r>
      <w:r>
        <w:rPr>
          <w:color w:val="231F20"/>
        </w:rPr>
        <w:t>that</w:t>
      </w:r>
      <w:r>
        <w:rPr>
          <w:color w:val="231F20"/>
          <w:spacing w:val="-6"/>
        </w:rPr>
        <w:t> </w:t>
      </w:r>
      <w:r>
        <w:rPr>
          <w:color w:val="231F20"/>
        </w:rPr>
        <w:t>have</w:t>
      </w:r>
      <w:r>
        <w:rPr>
          <w:color w:val="231F20"/>
          <w:spacing w:val="-6"/>
        </w:rPr>
        <w:t> </w:t>
      </w:r>
      <w:r>
        <w:rPr>
          <w:color w:val="231F20"/>
        </w:rPr>
        <w:t>a</w:t>
      </w:r>
      <w:r>
        <w:rPr>
          <w:color w:val="231F20"/>
          <w:spacing w:val="-5"/>
        </w:rPr>
        <w:t> </w:t>
      </w:r>
      <w:r>
        <w:rPr>
          <w:color w:val="231F20"/>
          <w:spacing w:val="-1"/>
        </w:rPr>
        <w:t>small</w:t>
      </w:r>
      <w:r>
        <w:rPr>
          <w:color w:val="231F20"/>
          <w:spacing w:val="-4"/>
        </w:rPr>
        <w:t> </w:t>
      </w:r>
      <w:r>
        <w:rPr>
          <w:color w:val="231F20"/>
        </w:rPr>
        <w:t>cohort</w:t>
      </w:r>
      <w:r>
        <w:rPr>
          <w:color w:val="231F20"/>
          <w:spacing w:val="-5"/>
        </w:rPr>
        <w:t> </w:t>
      </w:r>
      <w:r>
        <w:rPr>
          <w:color w:val="231F20"/>
        </w:rPr>
        <w:t>of</w:t>
      </w:r>
      <w:r>
        <w:rPr>
          <w:color w:val="231F20"/>
          <w:spacing w:val="-5"/>
        </w:rPr>
        <w:t> </w:t>
      </w:r>
      <w:r>
        <w:rPr>
          <w:color w:val="231F20"/>
        </w:rPr>
        <w:t>Aboriginal</w:t>
      </w:r>
      <w:r>
        <w:rPr>
          <w:color w:val="231F20"/>
          <w:spacing w:val="21"/>
          <w:w w:val="99"/>
        </w:rPr>
        <w:t> </w:t>
      </w:r>
      <w:r>
        <w:rPr>
          <w:color w:val="231F20"/>
        </w:rPr>
        <w:t>and</w:t>
      </w:r>
      <w:r>
        <w:rPr>
          <w:color w:val="231F20"/>
          <w:spacing w:val="-7"/>
        </w:rPr>
        <w:t> </w:t>
      </w:r>
      <w:r>
        <w:rPr>
          <w:color w:val="231F20"/>
          <w:spacing w:val="-5"/>
        </w:rPr>
        <w:t>Torres </w:t>
      </w:r>
      <w:r>
        <w:rPr>
          <w:color w:val="231F20"/>
          <w:spacing w:val="-2"/>
        </w:rPr>
        <w:t>Strait</w:t>
      </w:r>
      <w:r>
        <w:rPr>
          <w:color w:val="231F20"/>
          <w:spacing w:val="-7"/>
        </w:rPr>
        <w:t> </w:t>
      </w:r>
      <w:r>
        <w:rPr>
          <w:color w:val="231F20"/>
          <w:spacing w:val="-1"/>
        </w:rPr>
        <w:t>Islander</w:t>
      </w:r>
      <w:r>
        <w:rPr>
          <w:color w:val="231F20"/>
          <w:spacing w:val="-5"/>
        </w:rPr>
        <w:t> </w:t>
      </w:r>
      <w:r>
        <w:rPr>
          <w:color w:val="231F20"/>
        </w:rPr>
        <w:t>boarders.</w:t>
      </w:r>
      <w:r>
        <w:rPr/>
      </w:r>
    </w:p>
    <w:p>
      <w:pPr>
        <w:spacing w:line="240" w:lineRule="auto" w:before="10"/>
        <w:rPr>
          <w:rFonts w:ascii="Segoe UI" w:hAnsi="Segoe UI" w:cs="Segoe UI" w:eastAsia="Segoe UI"/>
          <w:sz w:val="20"/>
          <w:szCs w:val="20"/>
        </w:rPr>
      </w:pPr>
    </w:p>
    <w:p>
      <w:pPr>
        <w:spacing w:before="0"/>
        <w:ind w:left="117" w:right="174" w:firstLine="0"/>
        <w:jc w:val="left"/>
        <w:rPr>
          <w:rFonts w:ascii="Segoe UI" w:hAnsi="Segoe UI" w:cs="Segoe UI" w:eastAsia="Segoe UI"/>
          <w:sz w:val="32"/>
          <w:szCs w:val="32"/>
        </w:rPr>
      </w:pPr>
      <w:r>
        <w:rPr>
          <w:rFonts w:ascii="Segoe UI"/>
          <w:b/>
          <w:color w:val="452A70"/>
          <w:spacing w:val="-1"/>
          <w:sz w:val="32"/>
        </w:rPr>
        <w:t>Phase</w:t>
      </w:r>
      <w:r>
        <w:rPr>
          <w:rFonts w:ascii="Segoe UI"/>
          <w:b/>
          <w:color w:val="452A70"/>
          <w:sz w:val="32"/>
        </w:rPr>
        <w:t> 3</w:t>
      </w:r>
      <w:r>
        <w:rPr>
          <w:rFonts w:ascii="Segoe UI"/>
          <w:sz w:val="32"/>
        </w:rPr>
      </w:r>
    </w:p>
    <w:p>
      <w:pPr>
        <w:pStyle w:val="BodyText"/>
        <w:spacing w:line="250" w:lineRule="exact" w:before="111"/>
        <w:ind w:right="226"/>
        <w:jc w:val="left"/>
      </w:pPr>
      <w:r>
        <w:rPr>
          <w:color w:val="231F20"/>
          <w:spacing w:val="-1"/>
        </w:rPr>
        <w:t>Phase</w:t>
      </w:r>
      <w:r>
        <w:rPr>
          <w:color w:val="231F20"/>
          <w:spacing w:val="-3"/>
        </w:rPr>
        <w:t> </w:t>
      </w:r>
      <w:r>
        <w:rPr>
          <w:color w:val="231F20"/>
        </w:rPr>
        <w:t>3</w:t>
      </w:r>
      <w:r>
        <w:rPr>
          <w:color w:val="231F20"/>
          <w:spacing w:val="-2"/>
        </w:rPr>
        <w:t> </w:t>
      </w:r>
      <w:r>
        <w:rPr>
          <w:color w:val="231F20"/>
        </w:rPr>
        <w:t>compared</w:t>
      </w:r>
      <w:r>
        <w:rPr>
          <w:color w:val="231F20"/>
          <w:spacing w:val="-3"/>
        </w:rPr>
        <w:t> </w:t>
      </w:r>
      <w:r>
        <w:rPr>
          <w:color w:val="231F20"/>
        </w:rPr>
        <w:t>the</w:t>
      </w:r>
      <w:r>
        <w:rPr>
          <w:color w:val="231F20"/>
          <w:spacing w:val="-4"/>
        </w:rPr>
        <w:t> </w:t>
      </w:r>
      <w:r>
        <w:rPr>
          <w:color w:val="231F20"/>
        </w:rPr>
        <w:t>analysis</w:t>
      </w:r>
      <w:r>
        <w:rPr>
          <w:color w:val="231F20"/>
          <w:spacing w:val="-3"/>
        </w:rPr>
        <w:t> </w:t>
      </w:r>
      <w:r>
        <w:rPr>
          <w:color w:val="231F20"/>
        </w:rPr>
        <w:t>from</w:t>
      </w:r>
      <w:r>
        <w:rPr>
          <w:color w:val="231F20"/>
          <w:spacing w:val="-2"/>
        </w:rPr>
        <w:t> </w:t>
      </w:r>
      <w:r>
        <w:rPr>
          <w:color w:val="231F20"/>
          <w:spacing w:val="-1"/>
        </w:rPr>
        <w:t>Phase</w:t>
      </w:r>
      <w:r>
        <w:rPr>
          <w:color w:val="231F20"/>
          <w:spacing w:val="-2"/>
        </w:rPr>
        <w:t> </w:t>
      </w:r>
      <w:r>
        <w:rPr>
          <w:color w:val="231F20"/>
        </w:rPr>
        <w:t>1</w:t>
      </w:r>
      <w:r>
        <w:rPr>
          <w:color w:val="231F20"/>
          <w:spacing w:val="23"/>
        </w:rPr>
        <w:t> </w:t>
      </w:r>
      <w:r>
        <w:rPr>
          <w:color w:val="231F20"/>
        </w:rPr>
        <w:t>and</w:t>
      </w:r>
      <w:r>
        <w:rPr>
          <w:color w:val="231F20"/>
          <w:spacing w:val="-6"/>
        </w:rPr>
        <w:t> </w:t>
      </w:r>
      <w:r>
        <w:rPr>
          <w:color w:val="231F20"/>
          <w:spacing w:val="-1"/>
        </w:rPr>
        <w:t>Phase</w:t>
      </w:r>
      <w:r>
        <w:rPr>
          <w:color w:val="231F20"/>
          <w:spacing w:val="-4"/>
        </w:rPr>
        <w:t> </w:t>
      </w:r>
      <w:r>
        <w:rPr>
          <w:color w:val="231F20"/>
        </w:rPr>
        <w:t>2</w:t>
      </w:r>
      <w:r>
        <w:rPr>
          <w:color w:val="231F20"/>
          <w:spacing w:val="-4"/>
        </w:rPr>
        <w:t> </w:t>
      </w:r>
      <w:r>
        <w:rPr>
          <w:color w:val="231F20"/>
        </w:rPr>
        <w:t>for</w:t>
      </w:r>
      <w:r>
        <w:rPr>
          <w:color w:val="231F20"/>
          <w:spacing w:val="-4"/>
        </w:rPr>
        <w:t> </w:t>
      </w:r>
      <w:r>
        <w:rPr>
          <w:color w:val="231F20"/>
        </w:rPr>
        <w:t>the</w:t>
      </w:r>
      <w:r>
        <w:rPr>
          <w:color w:val="231F20"/>
          <w:spacing w:val="-5"/>
        </w:rPr>
        <w:t> </w:t>
      </w:r>
      <w:r>
        <w:rPr>
          <w:color w:val="231F20"/>
        </w:rPr>
        <w:t>purpose</w:t>
      </w:r>
      <w:r>
        <w:rPr>
          <w:color w:val="231F20"/>
          <w:spacing w:val="-5"/>
        </w:rPr>
        <w:t> </w:t>
      </w:r>
      <w:r>
        <w:rPr>
          <w:color w:val="231F20"/>
        </w:rPr>
        <w:t>of</w:t>
      </w:r>
      <w:r>
        <w:rPr>
          <w:color w:val="231F20"/>
          <w:spacing w:val="-4"/>
        </w:rPr>
        <w:t> </w:t>
      </w:r>
      <w:r>
        <w:rPr>
          <w:color w:val="231F20"/>
        </w:rPr>
        <w:t>determining</w:t>
      </w:r>
      <w:r>
        <w:rPr>
          <w:color w:val="231F20"/>
          <w:spacing w:val="21"/>
          <w:w w:val="99"/>
        </w:rPr>
        <w:t> </w:t>
      </w:r>
      <w:r>
        <w:rPr>
          <w:color w:val="231F20"/>
        </w:rPr>
        <w:t>whether</w:t>
      </w:r>
      <w:r>
        <w:rPr>
          <w:color w:val="231F20"/>
          <w:spacing w:val="-6"/>
        </w:rPr>
        <w:t> </w:t>
      </w:r>
      <w:r>
        <w:rPr>
          <w:color w:val="231F20"/>
          <w:spacing w:val="-1"/>
        </w:rPr>
        <w:t>it</w:t>
      </w:r>
      <w:r>
        <w:rPr>
          <w:color w:val="231F20"/>
          <w:spacing w:val="-4"/>
        </w:rPr>
        <w:t> </w:t>
      </w:r>
      <w:r>
        <w:rPr>
          <w:color w:val="231F20"/>
        </w:rPr>
        <w:t>was</w:t>
      </w:r>
      <w:r>
        <w:rPr>
          <w:color w:val="231F20"/>
          <w:spacing w:val="-5"/>
        </w:rPr>
        <w:t> </w:t>
      </w:r>
      <w:r>
        <w:rPr>
          <w:color w:val="231F20"/>
        </w:rPr>
        <w:t>possible</w:t>
      </w:r>
      <w:r>
        <w:rPr>
          <w:color w:val="231F20"/>
          <w:spacing w:val="-5"/>
        </w:rPr>
        <w:t> </w:t>
      </w:r>
      <w:r>
        <w:rPr>
          <w:color w:val="231F20"/>
        </w:rPr>
        <w:t>to</w:t>
      </w:r>
      <w:r>
        <w:rPr>
          <w:color w:val="231F20"/>
          <w:spacing w:val="-4"/>
        </w:rPr>
        <w:t> </w:t>
      </w:r>
      <w:r>
        <w:rPr>
          <w:color w:val="231F20"/>
        </w:rPr>
        <w:t>benchmark</w:t>
      </w:r>
      <w:r>
        <w:rPr>
          <w:color w:val="231F20"/>
          <w:spacing w:val="-5"/>
        </w:rPr>
        <w:t> </w:t>
      </w:r>
      <w:r>
        <w:rPr>
          <w:color w:val="231F20"/>
        </w:rPr>
        <w:t>an</w:t>
      </w:r>
      <w:r>
        <w:rPr>
          <w:color w:val="231F20"/>
          <w:spacing w:val="21"/>
          <w:w w:val="99"/>
        </w:rPr>
        <w:t> </w:t>
      </w:r>
      <w:r>
        <w:rPr>
          <w:rFonts w:ascii="Segoe UI"/>
          <w:color w:val="231F20"/>
        </w:rPr>
        <w:t>efficient level of operating costs for the</w:t>
      </w:r>
      <w:r>
        <w:rPr>
          <w:rFonts w:ascii="Segoe UI"/>
          <w:color w:val="231F20"/>
        </w:rPr>
        <w:t> </w:t>
      </w:r>
      <w:r>
        <w:rPr>
          <w:color w:val="231F20"/>
        </w:rPr>
        <w:t>provision</w:t>
      </w:r>
      <w:r>
        <w:rPr>
          <w:color w:val="231F20"/>
          <w:spacing w:val="-5"/>
        </w:rPr>
        <w:t> </w:t>
      </w:r>
      <w:r>
        <w:rPr>
          <w:color w:val="231F20"/>
        </w:rPr>
        <w:t>of</w:t>
      </w:r>
      <w:r>
        <w:rPr>
          <w:color w:val="231F20"/>
          <w:spacing w:val="-4"/>
        </w:rPr>
        <w:t> </w:t>
      </w:r>
      <w:r>
        <w:rPr>
          <w:color w:val="231F20"/>
        </w:rPr>
        <w:t>boarding</w:t>
      </w:r>
      <w:r>
        <w:rPr>
          <w:color w:val="231F20"/>
          <w:spacing w:val="-5"/>
        </w:rPr>
        <w:t> </w:t>
      </w:r>
      <w:r>
        <w:rPr>
          <w:color w:val="231F20"/>
        </w:rPr>
        <w:t>to</w:t>
      </w:r>
      <w:r>
        <w:rPr>
          <w:color w:val="231F20"/>
          <w:spacing w:val="-4"/>
        </w:rPr>
        <w:t> </w:t>
      </w:r>
      <w:r>
        <w:rPr>
          <w:color w:val="231F20"/>
        </w:rPr>
        <w:t>Aboriginal</w:t>
      </w:r>
      <w:r>
        <w:rPr>
          <w:color w:val="231F20"/>
          <w:spacing w:val="-4"/>
        </w:rPr>
        <w:t> </w:t>
      </w:r>
      <w:r>
        <w:rPr>
          <w:color w:val="231F20"/>
        </w:rPr>
        <w:t>and</w:t>
      </w:r>
      <w:r>
        <w:rPr>
          <w:color w:val="231F20"/>
          <w:spacing w:val="-5"/>
        </w:rPr>
        <w:t> Torres</w:t>
      </w:r>
      <w:r>
        <w:rPr>
          <w:color w:val="231F20"/>
          <w:spacing w:val="24"/>
          <w:w w:val="99"/>
        </w:rPr>
        <w:t> </w:t>
      </w:r>
      <w:r>
        <w:rPr>
          <w:color w:val="231F20"/>
          <w:spacing w:val="-2"/>
        </w:rPr>
        <w:t>Strait</w:t>
      </w:r>
      <w:r>
        <w:rPr>
          <w:color w:val="231F20"/>
          <w:spacing w:val="-6"/>
        </w:rPr>
        <w:t> </w:t>
      </w:r>
      <w:r>
        <w:rPr>
          <w:color w:val="231F20"/>
          <w:spacing w:val="-1"/>
        </w:rPr>
        <w:t>Islander</w:t>
      </w:r>
      <w:r>
        <w:rPr>
          <w:color w:val="231F20"/>
          <w:spacing w:val="-4"/>
        </w:rPr>
        <w:t> </w:t>
      </w:r>
      <w:r>
        <w:rPr>
          <w:color w:val="231F20"/>
          <w:spacing w:val="-1"/>
        </w:rPr>
        <w:t>students</w:t>
      </w:r>
      <w:r>
        <w:rPr>
          <w:color w:val="231F20"/>
          <w:spacing w:val="-5"/>
        </w:rPr>
        <w:t> </w:t>
      </w:r>
      <w:r>
        <w:rPr>
          <w:color w:val="231F20"/>
        </w:rPr>
        <w:t>under</w:t>
      </w:r>
      <w:r>
        <w:rPr>
          <w:color w:val="231F20"/>
          <w:spacing w:val="-4"/>
        </w:rPr>
        <w:t> </w:t>
      </w:r>
      <w:r>
        <w:rPr>
          <w:color w:val="231F20"/>
        </w:rPr>
        <w:t>various</w:t>
      </w:r>
      <w:r>
        <w:rPr>
          <w:color w:val="231F20"/>
          <w:spacing w:val="-4"/>
        </w:rPr>
        <w:t> </w:t>
      </w:r>
      <w:r>
        <w:rPr>
          <w:color w:val="231F20"/>
          <w:spacing w:val="-1"/>
        </w:rPr>
        <w:t>models</w:t>
      </w:r>
      <w:r>
        <w:rPr>
          <w:color w:val="231F20"/>
          <w:spacing w:val="27"/>
        </w:rPr>
        <w:t> </w:t>
      </w:r>
      <w:r>
        <w:rPr>
          <w:color w:val="231F20"/>
        </w:rPr>
        <w:t>of</w:t>
      </w:r>
      <w:r>
        <w:rPr>
          <w:color w:val="231F20"/>
          <w:spacing w:val="-11"/>
        </w:rPr>
        <w:t> </w:t>
      </w:r>
      <w:r>
        <w:rPr>
          <w:color w:val="231F20"/>
        </w:rPr>
        <w:t>boarding.</w:t>
      </w:r>
      <w:r>
        <w:rPr/>
      </w:r>
    </w:p>
    <w:p>
      <w:pPr>
        <w:spacing w:after="0" w:line="250" w:lineRule="exact"/>
        <w:jc w:val="left"/>
        <w:sectPr>
          <w:type w:val="continuous"/>
          <w:pgSz w:w="11910" w:h="16840"/>
          <w:pgMar w:top="1580" w:bottom="280" w:left="1300" w:right="1640"/>
          <w:cols w:num="2" w:equalWidth="0">
            <w:col w:w="4370" w:space="166"/>
            <w:col w:w="4434"/>
          </w:cols>
        </w:sectPr>
      </w:pPr>
    </w:p>
    <w:p>
      <w:pPr>
        <w:spacing w:line="240" w:lineRule="auto" w:before="13"/>
        <w:rPr>
          <w:rFonts w:ascii="Segoe UI" w:hAnsi="Segoe UI" w:cs="Segoe UI" w:eastAsia="Segoe UI"/>
          <w:sz w:val="28"/>
          <w:szCs w:val="28"/>
        </w:rPr>
      </w:pPr>
    </w:p>
    <w:p>
      <w:pPr>
        <w:spacing w:line="200" w:lineRule="atLeast"/>
        <w:ind w:left="100" w:right="0" w:firstLine="0"/>
        <w:rPr>
          <w:rFonts w:ascii="Segoe UI" w:hAnsi="Segoe UI" w:cs="Segoe UI" w:eastAsia="Segoe UI"/>
          <w:sz w:val="20"/>
          <w:szCs w:val="20"/>
        </w:rPr>
      </w:pPr>
      <w:r>
        <w:rPr>
          <w:rFonts w:ascii="Segoe UI" w:hAnsi="Segoe UI" w:cs="Segoe UI" w:eastAsia="Segoe UI"/>
          <w:sz w:val="20"/>
          <w:szCs w:val="20"/>
        </w:rPr>
        <w:drawing>
          <wp:inline distT="0" distB="0" distL="0" distR="0">
            <wp:extent cx="5590643" cy="1804416"/>
            <wp:effectExtent l="0" t="0" r="0" b="0"/>
            <wp:docPr id="9" name="image10.jpeg" descr=""/>
            <wp:cNvGraphicFramePr>
              <a:graphicFrameLocks noChangeAspect="1"/>
            </wp:cNvGraphicFramePr>
            <a:graphic>
              <a:graphicData uri="http://schemas.openxmlformats.org/drawingml/2006/picture">
                <pic:pic>
                  <pic:nvPicPr>
                    <pic:cNvPr id="10" name="image10.jpeg"/>
                    <pic:cNvPicPr/>
                  </pic:nvPicPr>
                  <pic:blipFill>
                    <a:blip r:embed="rId25" cstate="print"/>
                    <a:stretch>
                      <a:fillRect/>
                    </a:stretch>
                  </pic:blipFill>
                  <pic:spPr>
                    <a:xfrm>
                      <a:off x="0" y="0"/>
                      <a:ext cx="5590643" cy="1804416"/>
                    </a:xfrm>
                    <a:prstGeom prst="rect">
                      <a:avLst/>
                    </a:prstGeom>
                  </pic:spPr>
                </pic:pic>
              </a:graphicData>
            </a:graphic>
          </wp:inline>
        </w:drawing>
      </w:r>
      <w:r>
        <w:rPr>
          <w:rFonts w:ascii="Segoe UI" w:hAnsi="Segoe UI" w:cs="Segoe UI" w:eastAsia="Segoe UI"/>
          <w:sz w:val="20"/>
          <w:szCs w:val="20"/>
        </w:rPr>
      </w:r>
    </w:p>
    <w:p>
      <w:pPr>
        <w:spacing w:line="240" w:lineRule="auto" w:before="0"/>
        <w:rPr>
          <w:rFonts w:ascii="Segoe UI" w:hAnsi="Segoe UI" w:cs="Segoe UI" w:eastAsia="Segoe UI"/>
          <w:sz w:val="20"/>
          <w:szCs w:val="20"/>
        </w:rPr>
      </w:pPr>
    </w:p>
    <w:p>
      <w:pPr>
        <w:spacing w:after="0" w:line="240" w:lineRule="auto"/>
        <w:rPr>
          <w:rFonts w:ascii="Segoe UI" w:hAnsi="Segoe UI" w:cs="Segoe UI" w:eastAsia="Segoe UI"/>
          <w:sz w:val="20"/>
          <w:szCs w:val="20"/>
        </w:rPr>
        <w:sectPr>
          <w:pgSz w:w="11910" w:h="16840"/>
          <w:pgMar w:header="0" w:footer="691" w:top="1580" w:bottom="880" w:left="1600" w:right="1300"/>
        </w:sectPr>
      </w:pPr>
    </w:p>
    <w:p>
      <w:pPr>
        <w:spacing w:before="154"/>
        <w:ind w:left="100" w:right="0" w:firstLine="0"/>
        <w:jc w:val="left"/>
        <w:rPr>
          <w:rFonts w:ascii="Segoe UI" w:hAnsi="Segoe UI" w:cs="Segoe UI" w:eastAsia="Segoe UI"/>
          <w:sz w:val="32"/>
          <w:szCs w:val="32"/>
        </w:rPr>
      </w:pPr>
      <w:r>
        <w:rPr>
          <w:rFonts w:ascii="Segoe UI"/>
          <w:b/>
          <w:color w:val="452A70"/>
          <w:sz w:val="32"/>
        </w:rPr>
        <w:t>Collection</w:t>
      </w:r>
      <w:r>
        <w:rPr>
          <w:rFonts w:ascii="Segoe UI"/>
          <w:b/>
          <w:color w:val="452A70"/>
          <w:spacing w:val="-1"/>
          <w:sz w:val="32"/>
        </w:rPr>
        <w:t> </w:t>
      </w:r>
      <w:r>
        <w:rPr>
          <w:rFonts w:ascii="Segoe UI"/>
          <w:b/>
          <w:color w:val="452A70"/>
          <w:spacing w:val="-3"/>
          <w:sz w:val="32"/>
        </w:rPr>
        <w:t>of</w:t>
      </w:r>
      <w:r>
        <w:rPr>
          <w:rFonts w:ascii="Segoe UI"/>
          <w:b/>
          <w:color w:val="452A70"/>
          <w:spacing w:val="-1"/>
          <w:sz w:val="32"/>
        </w:rPr>
        <w:t> data</w:t>
      </w:r>
      <w:r>
        <w:rPr>
          <w:rFonts w:ascii="Segoe UI"/>
          <w:sz w:val="32"/>
        </w:rPr>
      </w:r>
    </w:p>
    <w:p>
      <w:pPr>
        <w:pStyle w:val="BodyText"/>
        <w:spacing w:line="250" w:lineRule="exact" w:before="111"/>
        <w:ind w:left="100" w:right="30"/>
        <w:jc w:val="left"/>
      </w:pPr>
      <w:r>
        <w:rPr>
          <w:color w:val="231F20"/>
          <w:spacing w:val="-1"/>
        </w:rPr>
        <w:t>In</w:t>
      </w:r>
      <w:r>
        <w:rPr>
          <w:color w:val="231F20"/>
          <w:spacing w:val="-4"/>
        </w:rPr>
        <w:t> </w:t>
      </w:r>
      <w:r>
        <w:rPr>
          <w:color w:val="231F20"/>
        </w:rPr>
        <w:t>conducting</w:t>
      </w:r>
      <w:r>
        <w:rPr>
          <w:color w:val="231F20"/>
          <w:spacing w:val="-5"/>
        </w:rPr>
        <w:t> </w:t>
      </w:r>
      <w:r>
        <w:rPr>
          <w:color w:val="231F20"/>
        </w:rPr>
        <w:t>the</w:t>
      </w:r>
      <w:r>
        <w:rPr>
          <w:color w:val="231F20"/>
          <w:spacing w:val="-5"/>
        </w:rPr>
        <w:t> </w:t>
      </w:r>
      <w:r>
        <w:rPr>
          <w:color w:val="231F20"/>
        </w:rPr>
        <w:t>analysis</w:t>
      </w:r>
      <w:r>
        <w:rPr>
          <w:color w:val="231F20"/>
          <w:spacing w:val="-5"/>
        </w:rPr>
        <w:t> </w:t>
      </w:r>
      <w:r>
        <w:rPr>
          <w:color w:val="231F20"/>
        </w:rPr>
        <w:t>across</w:t>
      </w:r>
      <w:r>
        <w:rPr>
          <w:color w:val="231F20"/>
          <w:spacing w:val="-5"/>
        </w:rPr>
        <w:t> </w:t>
      </w:r>
      <w:r>
        <w:rPr>
          <w:color w:val="231F20"/>
        </w:rPr>
        <w:t>each</w:t>
      </w:r>
      <w:r>
        <w:rPr>
          <w:color w:val="231F20"/>
          <w:spacing w:val="-4"/>
        </w:rPr>
        <w:t> </w:t>
      </w:r>
      <w:r>
        <w:rPr>
          <w:color w:val="231F20"/>
        </w:rPr>
        <w:t>of</w:t>
      </w:r>
      <w:r>
        <w:rPr>
          <w:color w:val="231F20"/>
          <w:spacing w:val="-4"/>
        </w:rPr>
        <w:t> </w:t>
      </w:r>
      <w:r>
        <w:rPr>
          <w:color w:val="231F20"/>
        </w:rPr>
        <w:t>the</w:t>
      </w:r>
      <w:r>
        <w:rPr>
          <w:color w:val="231F20"/>
          <w:spacing w:val="21"/>
          <w:w w:val="99"/>
        </w:rPr>
        <w:t> </w:t>
      </w:r>
      <w:r>
        <w:rPr>
          <w:color w:val="231F20"/>
        </w:rPr>
        <w:t>three</w:t>
      </w:r>
      <w:r>
        <w:rPr>
          <w:color w:val="231F20"/>
          <w:spacing w:val="-7"/>
        </w:rPr>
        <w:t> </w:t>
      </w:r>
      <w:r>
        <w:rPr>
          <w:color w:val="231F20"/>
        </w:rPr>
        <w:t>phases</w:t>
      </w:r>
      <w:r>
        <w:rPr>
          <w:color w:val="231F20"/>
          <w:spacing w:val="-7"/>
        </w:rPr>
        <w:t> </w:t>
      </w:r>
      <w:r>
        <w:rPr>
          <w:color w:val="231F20"/>
        </w:rPr>
        <w:t>Grant</w:t>
      </w:r>
      <w:r>
        <w:rPr>
          <w:color w:val="231F20"/>
          <w:spacing w:val="-5"/>
        </w:rPr>
        <w:t> </w:t>
      </w:r>
      <w:r>
        <w:rPr>
          <w:color w:val="231F20"/>
        </w:rPr>
        <w:t>Thornton</w:t>
      </w:r>
      <w:r>
        <w:rPr>
          <w:color w:val="231F20"/>
          <w:spacing w:val="-7"/>
        </w:rPr>
        <w:t> </w:t>
      </w:r>
      <w:r>
        <w:rPr>
          <w:color w:val="231F20"/>
        </w:rPr>
        <w:t>adopted</w:t>
      </w:r>
      <w:r>
        <w:rPr>
          <w:color w:val="231F20"/>
          <w:spacing w:val="-6"/>
        </w:rPr>
        <w:t> </w:t>
      </w:r>
      <w:r>
        <w:rPr>
          <w:color w:val="231F20"/>
        </w:rPr>
        <w:t>the</w:t>
      </w:r>
      <w:r>
        <w:rPr>
          <w:color w:val="231F20"/>
          <w:w w:val="99"/>
        </w:rPr>
        <w:t> </w:t>
      </w:r>
      <w:r>
        <w:rPr>
          <w:color w:val="231F20"/>
        </w:rPr>
        <w:t>following</w:t>
      </w:r>
      <w:r>
        <w:rPr>
          <w:color w:val="231F20"/>
          <w:spacing w:val="-21"/>
        </w:rPr>
        <w:t> </w:t>
      </w:r>
      <w:r>
        <w:rPr>
          <w:color w:val="231F20"/>
          <w:spacing w:val="-1"/>
        </w:rPr>
        <w:t>methodology:</w:t>
      </w:r>
      <w:r>
        <w:rPr/>
      </w:r>
    </w:p>
    <w:p>
      <w:pPr>
        <w:pStyle w:val="BodyText"/>
        <w:spacing w:line="250" w:lineRule="exact" w:before="113"/>
        <w:ind w:left="327" w:right="438" w:hanging="227"/>
        <w:jc w:val="left"/>
      </w:pPr>
      <w:r>
        <w:rPr>
          <w:rFonts w:ascii="Century Gothic" w:hAnsi="Century Gothic"/>
          <w:color w:val="231F20"/>
        </w:rPr>
        <w:t>» </w:t>
      </w:r>
      <w:r>
        <w:rPr>
          <w:rFonts w:ascii="Century Gothic" w:hAnsi="Century Gothic"/>
          <w:color w:val="231F20"/>
          <w:spacing w:val="19"/>
        </w:rPr>
        <w:t> </w:t>
      </w:r>
      <w:r>
        <w:rPr>
          <w:color w:val="231F20"/>
        </w:rPr>
        <w:t>An</w:t>
      </w:r>
      <w:r>
        <w:rPr>
          <w:color w:val="231F20"/>
          <w:spacing w:val="-5"/>
        </w:rPr>
        <w:t> </w:t>
      </w:r>
      <w:r>
        <w:rPr>
          <w:color w:val="231F20"/>
          <w:spacing w:val="-1"/>
        </w:rPr>
        <w:t>introduction</w:t>
      </w:r>
      <w:r>
        <w:rPr>
          <w:color w:val="231F20"/>
          <w:spacing w:val="-4"/>
        </w:rPr>
        <w:t> </w:t>
      </w:r>
      <w:r>
        <w:rPr>
          <w:color w:val="231F20"/>
          <w:spacing w:val="-1"/>
        </w:rPr>
        <w:t>letter</w:t>
      </w:r>
      <w:r>
        <w:rPr>
          <w:color w:val="231F20"/>
          <w:spacing w:val="-5"/>
        </w:rPr>
        <w:t> </w:t>
      </w:r>
      <w:r>
        <w:rPr>
          <w:color w:val="231F20"/>
        </w:rPr>
        <w:t>explaining</w:t>
      </w:r>
      <w:r>
        <w:rPr>
          <w:color w:val="231F20"/>
          <w:spacing w:val="-6"/>
        </w:rPr>
        <w:t> </w:t>
      </w:r>
      <w:r>
        <w:rPr>
          <w:color w:val="231F20"/>
        </w:rPr>
        <w:t>the</w:t>
      </w:r>
      <w:r>
        <w:rPr>
          <w:color w:val="231F20"/>
          <w:spacing w:val="23"/>
          <w:w w:val="99"/>
        </w:rPr>
        <w:t> </w:t>
      </w:r>
      <w:r>
        <w:rPr>
          <w:color w:val="231F20"/>
        </w:rPr>
        <w:t>background</w:t>
      </w:r>
      <w:r>
        <w:rPr>
          <w:color w:val="231F20"/>
          <w:spacing w:val="-5"/>
        </w:rPr>
        <w:t> </w:t>
      </w:r>
      <w:r>
        <w:rPr>
          <w:color w:val="231F20"/>
        </w:rPr>
        <w:t>of</w:t>
      </w:r>
      <w:r>
        <w:rPr>
          <w:color w:val="231F20"/>
          <w:spacing w:val="-3"/>
        </w:rPr>
        <w:t> </w:t>
      </w:r>
      <w:r>
        <w:rPr>
          <w:color w:val="231F20"/>
        </w:rPr>
        <w:t>the</w:t>
      </w:r>
      <w:r>
        <w:rPr>
          <w:color w:val="231F20"/>
          <w:spacing w:val="-4"/>
        </w:rPr>
        <w:t> </w:t>
      </w:r>
      <w:r>
        <w:rPr>
          <w:color w:val="231F20"/>
        </w:rPr>
        <w:t>analysis</w:t>
      </w:r>
      <w:r>
        <w:rPr>
          <w:color w:val="231F20"/>
          <w:spacing w:val="-4"/>
        </w:rPr>
        <w:t> </w:t>
      </w:r>
      <w:r>
        <w:rPr>
          <w:color w:val="231F20"/>
        </w:rPr>
        <w:t>was</w:t>
      </w:r>
      <w:r>
        <w:rPr>
          <w:color w:val="231F20"/>
          <w:spacing w:val="-4"/>
        </w:rPr>
        <w:t> </w:t>
      </w:r>
      <w:r>
        <w:rPr>
          <w:color w:val="231F20"/>
          <w:spacing w:val="-1"/>
        </w:rPr>
        <w:t>sent</w:t>
      </w:r>
      <w:r>
        <w:rPr>
          <w:color w:val="231F20"/>
          <w:spacing w:val="-3"/>
        </w:rPr>
        <w:t> </w:t>
      </w:r>
      <w:r>
        <w:rPr>
          <w:color w:val="231F20"/>
          <w:spacing w:val="-1"/>
        </w:rPr>
        <w:t>in</w:t>
      </w:r>
      <w:r>
        <w:rPr>
          <w:color w:val="231F20"/>
          <w:spacing w:val="21"/>
        </w:rPr>
        <w:t> </w:t>
      </w:r>
      <w:r>
        <w:rPr>
          <w:color w:val="231F20"/>
        </w:rPr>
        <w:t>August</w:t>
      </w:r>
      <w:r>
        <w:rPr>
          <w:color w:val="231F20"/>
          <w:spacing w:val="-4"/>
        </w:rPr>
        <w:t> </w:t>
      </w:r>
      <w:r>
        <w:rPr>
          <w:color w:val="231F20"/>
          <w:spacing w:val="-1"/>
        </w:rPr>
        <w:t>2018</w:t>
      </w:r>
      <w:r>
        <w:rPr>
          <w:color w:val="231F20"/>
          <w:spacing w:val="-3"/>
        </w:rPr>
        <w:t> </w:t>
      </w:r>
      <w:r>
        <w:rPr>
          <w:color w:val="231F20"/>
        </w:rPr>
        <w:t>to</w:t>
      </w:r>
      <w:r>
        <w:rPr>
          <w:color w:val="231F20"/>
          <w:spacing w:val="-3"/>
        </w:rPr>
        <w:t> </w:t>
      </w:r>
      <w:r>
        <w:rPr>
          <w:color w:val="231F20"/>
        </w:rPr>
        <w:t>all</w:t>
      </w:r>
      <w:r>
        <w:rPr>
          <w:color w:val="231F20"/>
          <w:spacing w:val="-4"/>
        </w:rPr>
        <w:t> </w:t>
      </w:r>
      <w:r>
        <w:rPr>
          <w:color w:val="231F20"/>
        </w:rPr>
        <w:t>boarding</w:t>
      </w:r>
      <w:r>
        <w:rPr>
          <w:color w:val="231F20"/>
          <w:spacing w:val="-5"/>
        </w:rPr>
        <w:t> </w:t>
      </w:r>
      <w:r>
        <w:rPr>
          <w:color w:val="231F20"/>
        </w:rPr>
        <w:t>facilities</w:t>
      </w:r>
      <w:r>
        <w:rPr>
          <w:color w:val="231F20"/>
          <w:spacing w:val="21"/>
        </w:rPr>
        <w:t> </w:t>
      </w:r>
      <w:r>
        <w:rPr>
          <w:color w:val="231F20"/>
          <w:spacing w:val="-1"/>
        </w:rPr>
        <w:t>included</w:t>
      </w:r>
      <w:r>
        <w:rPr>
          <w:color w:val="231F20"/>
          <w:spacing w:val="-3"/>
        </w:rPr>
        <w:t> </w:t>
      </w:r>
      <w:r>
        <w:rPr>
          <w:color w:val="231F20"/>
          <w:spacing w:val="-1"/>
        </w:rPr>
        <w:t>in</w:t>
      </w:r>
      <w:r>
        <w:rPr>
          <w:color w:val="231F20"/>
          <w:spacing w:val="-2"/>
        </w:rPr>
        <w:t> </w:t>
      </w:r>
      <w:r>
        <w:rPr>
          <w:color w:val="231F20"/>
        </w:rPr>
        <w:t>the</w:t>
      </w:r>
      <w:r>
        <w:rPr>
          <w:color w:val="231F20"/>
          <w:spacing w:val="-4"/>
        </w:rPr>
        <w:t> </w:t>
      </w:r>
      <w:r>
        <w:rPr>
          <w:color w:val="231F20"/>
        </w:rPr>
        <w:t>analysis,</w:t>
      </w:r>
      <w:r>
        <w:rPr>
          <w:color w:val="231F20"/>
          <w:spacing w:val="-3"/>
        </w:rPr>
        <w:t> </w:t>
      </w:r>
      <w:r>
        <w:rPr>
          <w:color w:val="231F20"/>
        </w:rPr>
        <w:t>as</w:t>
      </w:r>
      <w:r>
        <w:rPr>
          <w:color w:val="231F20"/>
          <w:spacing w:val="-3"/>
        </w:rPr>
        <w:t> </w:t>
      </w:r>
      <w:r>
        <w:rPr>
          <w:color w:val="231F20"/>
        </w:rPr>
        <w:t>well</w:t>
      </w:r>
      <w:r>
        <w:rPr>
          <w:color w:val="231F20"/>
          <w:spacing w:val="-4"/>
        </w:rPr>
        <w:t> </w:t>
      </w:r>
      <w:r>
        <w:rPr>
          <w:color w:val="231F20"/>
        </w:rPr>
        <w:t>as</w:t>
      </w:r>
      <w:r>
        <w:rPr>
          <w:color w:val="231F20"/>
          <w:spacing w:val="-3"/>
        </w:rPr>
        <w:t> </w:t>
      </w:r>
      <w:r>
        <w:rPr>
          <w:color w:val="231F20"/>
        </w:rPr>
        <w:t>the</w:t>
      </w:r>
      <w:r>
        <w:rPr>
          <w:color w:val="231F20"/>
          <w:spacing w:val="23"/>
          <w:w w:val="99"/>
        </w:rPr>
        <w:t> </w:t>
      </w:r>
      <w:r>
        <w:rPr>
          <w:color w:val="231F20"/>
        </w:rPr>
        <w:t>peak</w:t>
      </w:r>
      <w:r>
        <w:rPr>
          <w:color w:val="231F20"/>
          <w:spacing w:val="-12"/>
        </w:rPr>
        <w:t> </w:t>
      </w:r>
      <w:r>
        <w:rPr>
          <w:color w:val="231F20"/>
        </w:rPr>
        <w:t>bodies.</w:t>
      </w:r>
      <w:r>
        <w:rPr/>
      </w:r>
    </w:p>
    <w:p>
      <w:pPr>
        <w:pStyle w:val="BodyText"/>
        <w:spacing w:line="250" w:lineRule="exact" w:before="113"/>
        <w:ind w:left="327" w:right="0" w:hanging="227"/>
        <w:jc w:val="left"/>
      </w:pPr>
      <w:r>
        <w:rPr>
          <w:rFonts w:ascii="Century Gothic" w:hAnsi="Century Gothic"/>
          <w:color w:val="231F20"/>
        </w:rPr>
        <w:t>» </w:t>
      </w:r>
      <w:r>
        <w:rPr>
          <w:rFonts w:ascii="Century Gothic" w:hAnsi="Century Gothic"/>
          <w:color w:val="231F20"/>
          <w:spacing w:val="22"/>
        </w:rPr>
        <w:t> </w:t>
      </w:r>
      <w:r>
        <w:rPr>
          <w:color w:val="231F20"/>
        </w:rPr>
        <w:t>A</w:t>
      </w:r>
      <w:r>
        <w:rPr>
          <w:color w:val="231F20"/>
          <w:spacing w:val="-4"/>
        </w:rPr>
        <w:t> </w:t>
      </w:r>
      <w:r>
        <w:rPr>
          <w:color w:val="231F20"/>
          <w:spacing w:val="-1"/>
        </w:rPr>
        <w:t>literature</w:t>
      </w:r>
      <w:r>
        <w:rPr>
          <w:color w:val="231F20"/>
          <w:spacing w:val="-3"/>
        </w:rPr>
        <w:t> </w:t>
      </w:r>
      <w:r>
        <w:rPr>
          <w:color w:val="231F20"/>
        </w:rPr>
        <w:t>review</w:t>
      </w:r>
      <w:r>
        <w:rPr>
          <w:color w:val="231F20"/>
          <w:spacing w:val="-5"/>
        </w:rPr>
        <w:t> </w:t>
      </w:r>
      <w:r>
        <w:rPr>
          <w:color w:val="231F20"/>
        </w:rPr>
        <w:t>was</w:t>
      </w:r>
      <w:r>
        <w:rPr>
          <w:color w:val="231F20"/>
          <w:spacing w:val="-4"/>
        </w:rPr>
        <w:t> </w:t>
      </w:r>
      <w:r>
        <w:rPr>
          <w:color w:val="231F20"/>
        </w:rPr>
        <w:t>conducted</w:t>
      </w:r>
      <w:r>
        <w:rPr>
          <w:color w:val="231F20"/>
          <w:spacing w:val="-4"/>
        </w:rPr>
        <w:t> </w:t>
      </w:r>
      <w:r>
        <w:rPr>
          <w:color w:val="231F20"/>
        </w:rPr>
        <w:t>of</w:t>
      </w:r>
      <w:r>
        <w:rPr>
          <w:color w:val="231F20"/>
          <w:spacing w:val="-4"/>
        </w:rPr>
        <w:t> </w:t>
      </w:r>
      <w:r>
        <w:rPr>
          <w:color w:val="231F20"/>
        </w:rPr>
        <w:t>existing</w:t>
      </w:r>
      <w:r>
        <w:rPr>
          <w:color w:val="231F20"/>
          <w:spacing w:val="22"/>
        </w:rPr>
        <w:t> </w:t>
      </w:r>
      <w:r>
        <w:rPr>
          <w:color w:val="231F20"/>
        </w:rPr>
        <w:t>reviews</w:t>
      </w:r>
      <w:r>
        <w:rPr>
          <w:color w:val="231F20"/>
          <w:spacing w:val="-7"/>
        </w:rPr>
        <w:t> </w:t>
      </w:r>
      <w:r>
        <w:rPr>
          <w:color w:val="231F20"/>
        </w:rPr>
        <w:t>and</w:t>
      </w:r>
      <w:r>
        <w:rPr>
          <w:color w:val="231F20"/>
          <w:spacing w:val="-7"/>
        </w:rPr>
        <w:t> </w:t>
      </w:r>
      <w:r>
        <w:rPr>
          <w:color w:val="231F20"/>
        </w:rPr>
        <w:t>reports</w:t>
      </w:r>
      <w:r>
        <w:rPr>
          <w:color w:val="231F20"/>
          <w:spacing w:val="-8"/>
        </w:rPr>
        <w:t> </w:t>
      </w:r>
      <w:r>
        <w:rPr>
          <w:color w:val="231F20"/>
          <w:spacing w:val="-1"/>
        </w:rPr>
        <w:t>into</w:t>
      </w:r>
      <w:r>
        <w:rPr>
          <w:color w:val="231F20"/>
          <w:spacing w:val="-6"/>
        </w:rPr>
        <w:t> </w:t>
      </w:r>
      <w:r>
        <w:rPr>
          <w:color w:val="231F20"/>
        </w:rPr>
        <w:t>boarding</w:t>
      </w:r>
      <w:r>
        <w:rPr>
          <w:color w:val="231F20"/>
          <w:spacing w:val="-7"/>
        </w:rPr>
        <w:t> </w:t>
      </w:r>
      <w:r>
        <w:rPr>
          <w:color w:val="231F20"/>
        </w:rPr>
        <w:t>for</w:t>
      </w:r>
      <w:r>
        <w:rPr>
          <w:color w:val="231F20"/>
          <w:spacing w:val="21"/>
          <w:w w:val="99"/>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5"/>
        </w:rPr>
        <w:t> </w:t>
      </w:r>
      <w:r>
        <w:rPr>
          <w:color w:val="231F20"/>
          <w:spacing w:val="-1"/>
        </w:rPr>
        <w:t>Islander</w:t>
      </w:r>
      <w:r>
        <w:rPr>
          <w:color w:val="231F20"/>
          <w:spacing w:val="-5"/>
        </w:rPr>
        <w:t> </w:t>
      </w:r>
      <w:r>
        <w:rPr>
          <w:color w:val="231F20"/>
          <w:spacing w:val="-1"/>
        </w:rPr>
        <w:t>students</w:t>
      </w:r>
      <w:r>
        <w:rPr>
          <w:color w:val="231F20"/>
          <w:spacing w:val="20"/>
        </w:rPr>
        <w:t> </w:t>
      </w:r>
      <w:r>
        <w:rPr>
          <w:color w:val="231F20"/>
        </w:rPr>
        <w:t>and</w:t>
      </w:r>
      <w:r>
        <w:rPr>
          <w:color w:val="231F20"/>
          <w:spacing w:val="-7"/>
        </w:rPr>
        <w:t> </w:t>
      </w:r>
      <w:r>
        <w:rPr>
          <w:color w:val="231F20"/>
        </w:rPr>
        <w:t>what</w:t>
      </w:r>
      <w:r>
        <w:rPr>
          <w:color w:val="231F20"/>
          <w:spacing w:val="-6"/>
        </w:rPr>
        <w:t> </w:t>
      </w:r>
      <w:r>
        <w:rPr>
          <w:color w:val="231F20"/>
        </w:rPr>
        <w:t>works</w:t>
      </w:r>
      <w:r>
        <w:rPr>
          <w:color w:val="231F20"/>
          <w:spacing w:val="-6"/>
        </w:rPr>
        <w:t> </w:t>
      </w:r>
      <w:r>
        <w:rPr>
          <w:color w:val="231F20"/>
        </w:rPr>
        <w:t>to</w:t>
      </w:r>
      <w:r>
        <w:rPr>
          <w:color w:val="231F20"/>
          <w:spacing w:val="-6"/>
        </w:rPr>
        <w:t> </w:t>
      </w:r>
      <w:r>
        <w:rPr>
          <w:color w:val="231F20"/>
          <w:spacing w:val="-1"/>
        </w:rPr>
        <w:t>support</w:t>
      </w:r>
      <w:r>
        <w:rPr>
          <w:color w:val="231F20"/>
          <w:spacing w:val="-5"/>
        </w:rPr>
        <w:t> </w:t>
      </w:r>
      <w:r>
        <w:rPr>
          <w:color w:val="231F20"/>
        </w:rPr>
        <w:t>them.</w:t>
      </w:r>
      <w:r>
        <w:rPr/>
      </w:r>
    </w:p>
    <w:p>
      <w:pPr>
        <w:pStyle w:val="BodyText"/>
        <w:spacing w:line="250" w:lineRule="exact" w:before="113"/>
        <w:ind w:left="327" w:right="98" w:hanging="227"/>
        <w:jc w:val="left"/>
      </w:pPr>
      <w:r>
        <w:rPr>
          <w:rFonts w:ascii="Century Gothic" w:hAnsi="Century Gothic"/>
          <w:color w:val="231F20"/>
        </w:rPr>
        <w:t>» </w:t>
      </w:r>
      <w:r>
        <w:rPr>
          <w:rFonts w:ascii="Century Gothic" w:hAnsi="Century Gothic"/>
          <w:color w:val="231F20"/>
          <w:spacing w:val="30"/>
        </w:rPr>
        <w:t> </w:t>
      </w:r>
      <w:r>
        <w:rPr>
          <w:rFonts w:ascii="Segoe UI" w:hAnsi="Segoe UI"/>
          <w:color w:val="231F20"/>
        </w:rPr>
        <w:t>Three year financial and</w:t>
      </w:r>
      <w:r>
        <w:rPr>
          <w:rFonts w:ascii="Segoe UI" w:hAnsi="Segoe UI"/>
          <w:color w:val="231F20"/>
          <w:spacing w:val="-1"/>
        </w:rPr>
        <w:t> </w:t>
      </w:r>
      <w:r>
        <w:rPr>
          <w:rFonts w:ascii="Segoe UI" w:hAnsi="Segoe UI"/>
          <w:color w:val="231F20"/>
        </w:rPr>
        <w:t>operational trend</w:t>
      </w:r>
      <w:r>
        <w:rPr>
          <w:rFonts w:ascii="Segoe UI" w:hAnsi="Segoe UI"/>
          <w:color w:val="231F20"/>
        </w:rPr>
        <w:t> data for 2015, 2016 and 2017 from financial </w:t>
      </w:r>
      <w:r>
        <w:rPr>
          <w:color w:val="231F20"/>
        </w:rPr>
        <w:t>questionnaires</w:t>
      </w:r>
      <w:r>
        <w:rPr>
          <w:color w:val="231F20"/>
          <w:spacing w:val="-10"/>
        </w:rPr>
        <w:t> </w:t>
      </w:r>
      <w:r>
        <w:rPr>
          <w:color w:val="231F20"/>
        </w:rPr>
        <w:t>provided</w:t>
      </w:r>
      <w:r>
        <w:rPr>
          <w:color w:val="231F20"/>
          <w:spacing w:val="-10"/>
        </w:rPr>
        <w:t> </w:t>
      </w:r>
      <w:r>
        <w:rPr>
          <w:color w:val="231F20"/>
        </w:rPr>
        <w:t>to</w:t>
      </w:r>
      <w:r>
        <w:rPr>
          <w:color w:val="231F20"/>
          <w:spacing w:val="-10"/>
        </w:rPr>
        <w:t> </w:t>
      </w:r>
      <w:r>
        <w:rPr>
          <w:color w:val="231F20"/>
        </w:rPr>
        <w:t>the</w:t>
      </w:r>
      <w:r>
        <w:rPr>
          <w:color w:val="231F20"/>
          <w:spacing w:val="-10"/>
        </w:rPr>
        <w:t> </w:t>
      </w:r>
      <w:r>
        <w:rPr>
          <w:color w:val="231F20"/>
          <w:spacing w:val="-1"/>
        </w:rPr>
        <w:t>Department</w:t>
      </w:r>
      <w:r>
        <w:rPr>
          <w:color w:val="231F20"/>
          <w:spacing w:val="20"/>
          <w:w w:val="99"/>
        </w:rPr>
        <w:t> </w:t>
      </w:r>
      <w:r>
        <w:rPr>
          <w:color w:val="231F20"/>
        </w:rPr>
        <w:t>of</w:t>
      </w:r>
      <w:r>
        <w:rPr>
          <w:color w:val="231F20"/>
          <w:spacing w:val="-6"/>
        </w:rPr>
        <w:t> </w:t>
      </w:r>
      <w:r>
        <w:rPr>
          <w:color w:val="231F20"/>
        </w:rPr>
        <w:t>Education</w:t>
      </w:r>
      <w:r>
        <w:rPr>
          <w:color w:val="231F20"/>
          <w:spacing w:val="-6"/>
        </w:rPr>
        <w:t> </w:t>
      </w:r>
      <w:r>
        <w:rPr>
          <w:color w:val="231F20"/>
        </w:rPr>
        <w:t>and</w:t>
      </w:r>
      <w:r>
        <w:rPr>
          <w:color w:val="231F20"/>
          <w:spacing w:val="-6"/>
        </w:rPr>
        <w:t> </w:t>
      </w:r>
      <w:r>
        <w:rPr>
          <w:color w:val="231F20"/>
          <w:spacing w:val="-3"/>
        </w:rPr>
        <w:t>Training</w:t>
      </w:r>
      <w:r>
        <w:rPr>
          <w:color w:val="231F20"/>
          <w:spacing w:val="-6"/>
        </w:rPr>
        <w:t> </w:t>
      </w:r>
      <w:r>
        <w:rPr>
          <w:color w:val="231F20"/>
        </w:rPr>
        <w:t>(DET)</w:t>
      </w:r>
      <w:r>
        <w:rPr>
          <w:color w:val="231F20"/>
          <w:spacing w:val="-6"/>
        </w:rPr>
        <w:t> </w:t>
      </w:r>
      <w:r>
        <w:rPr>
          <w:color w:val="231F20"/>
        </w:rPr>
        <w:t>by</w:t>
      </w:r>
      <w:r>
        <w:rPr>
          <w:color w:val="231F20"/>
          <w:spacing w:val="-5"/>
        </w:rPr>
        <w:t> </w:t>
      </w:r>
      <w:r>
        <w:rPr>
          <w:color w:val="231F20"/>
        </w:rPr>
        <w:t>the</w:t>
      </w:r>
      <w:r>
        <w:rPr>
          <w:color w:val="231F20"/>
          <w:spacing w:val="26"/>
          <w:w w:val="99"/>
        </w:rPr>
        <w:t> </w:t>
      </w:r>
      <w:r>
        <w:rPr>
          <w:color w:val="231F20"/>
        </w:rPr>
        <w:t>boarding</w:t>
      </w:r>
      <w:r>
        <w:rPr>
          <w:color w:val="231F20"/>
          <w:spacing w:val="-7"/>
        </w:rPr>
        <w:t> </w:t>
      </w:r>
      <w:r>
        <w:rPr>
          <w:color w:val="231F20"/>
          <w:spacing w:val="-1"/>
        </w:rPr>
        <w:t>schools</w:t>
      </w:r>
      <w:r>
        <w:rPr>
          <w:color w:val="231F20"/>
          <w:spacing w:val="-5"/>
        </w:rPr>
        <w:t> </w:t>
      </w:r>
      <w:r>
        <w:rPr>
          <w:color w:val="231F20"/>
          <w:spacing w:val="-1"/>
        </w:rPr>
        <w:t>included</w:t>
      </w:r>
      <w:r>
        <w:rPr>
          <w:color w:val="231F20"/>
          <w:spacing w:val="-6"/>
        </w:rPr>
        <w:t> </w:t>
      </w:r>
      <w:r>
        <w:rPr>
          <w:color w:val="231F20"/>
          <w:spacing w:val="-1"/>
        </w:rPr>
        <w:t>in</w:t>
      </w:r>
      <w:r>
        <w:rPr>
          <w:color w:val="231F20"/>
          <w:spacing w:val="-6"/>
        </w:rPr>
        <w:t> </w:t>
      </w:r>
      <w:r>
        <w:rPr>
          <w:color w:val="231F20"/>
        </w:rPr>
        <w:t>the</w:t>
      </w:r>
      <w:r>
        <w:rPr>
          <w:color w:val="231F20"/>
          <w:spacing w:val="-6"/>
        </w:rPr>
        <w:t> </w:t>
      </w:r>
      <w:r>
        <w:rPr>
          <w:color w:val="231F20"/>
        </w:rPr>
        <w:t>evaluation</w:t>
      </w:r>
      <w:r>
        <w:rPr>
          <w:color w:val="231F20"/>
          <w:spacing w:val="24"/>
          <w:w w:val="99"/>
        </w:rPr>
        <w:t> </w:t>
      </w:r>
      <w:r>
        <w:rPr>
          <w:color w:val="231F20"/>
        </w:rPr>
        <w:t>was</w:t>
      </w:r>
      <w:r>
        <w:rPr>
          <w:color w:val="231F20"/>
          <w:spacing w:val="-6"/>
        </w:rPr>
        <w:t> </w:t>
      </w:r>
      <w:r>
        <w:rPr>
          <w:color w:val="231F20"/>
        </w:rPr>
        <w:t>analysed.</w:t>
      </w:r>
      <w:r>
        <w:rPr>
          <w:color w:val="231F20"/>
          <w:spacing w:val="-6"/>
        </w:rPr>
        <w:t> </w:t>
      </w:r>
      <w:r>
        <w:rPr>
          <w:color w:val="231F20"/>
          <w:spacing w:val="-5"/>
        </w:rPr>
        <w:t>Trend</w:t>
      </w:r>
      <w:r>
        <w:rPr>
          <w:color w:val="231F20"/>
          <w:spacing w:val="-6"/>
        </w:rPr>
        <w:t> </w:t>
      </w:r>
      <w:r>
        <w:rPr>
          <w:color w:val="231F20"/>
        </w:rPr>
        <w:t>data</w:t>
      </w:r>
      <w:r>
        <w:rPr>
          <w:color w:val="231F20"/>
          <w:spacing w:val="-6"/>
        </w:rPr>
        <w:t> </w:t>
      </w:r>
      <w:r>
        <w:rPr>
          <w:color w:val="231F20"/>
        </w:rPr>
        <w:t>was</w:t>
      </w:r>
      <w:r>
        <w:rPr>
          <w:color w:val="231F20"/>
          <w:spacing w:val="-6"/>
        </w:rPr>
        <w:t> </w:t>
      </w:r>
      <w:r>
        <w:rPr>
          <w:color w:val="231F20"/>
        </w:rPr>
        <w:t>not</w:t>
      </w:r>
      <w:r>
        <w:rPr>
          <w:color w:val="231F20"/>
          <w:spacing w:val="-5"/>
        </w:rPr>
        <w:t> </w:t>
      </w:r>
      <w:r>
        <w:rPr>
          <w:color w:val="231F20"/>
        </w:rPr>
        <w:t>available</w:t>
      </w:r>
      <w:r>
        <w:rPr>
          <w:color w:val="231F20"/>
          <w:spacing w:val="22"/>
          <w:w w:val="99"/>
        </w:rPr>
        <w:t> </w:t>
      </w:r>
      <w:r>
        <w:rPr>
          <w:color w:val="231F20"/>
        </w:rPr>
        <w:t>for</w:t>
      </w:r>
      <w:r>
        <w:rPr>
          <w:color w:val="231F20"/>
          <w:spacing w:val="-7"/>
        </w:rPr>
        <w:t> </w:t>
      </w:r>
      <w:r>
        <w:rPr>
          <w:color w:val="231F20"/>
        </w:rPr>
        <w:t>all</w:t>
      </w:r>
      <w:r>
        <w:rPr>
          <w:color w:val="231F20"/>
          <w:spacing w:val="-7"/>
        </w:rPr>
        <w:t> </w:t>
      </w:r>
      <w:r>
        <w:rPr>
          <w:color w:val="231F20"/>
        </w:rPr>
        <w:t>boarding</w:t>
      </w:r>
      <w:r>
        <w:rPr>
          <w:color w:val="231F20"/>
          <w:spacing w:val="-8"/>
        </w:rPr>
        <w:t> </w:t>
      </w:r>
      <w:r>
        <w:rPr>
          <w:color w:val="231F20"/>
        </w:rPr>
        <w:t>providers,</w:t>
      </w:r>
      <w:r>
        <w:rPr>
          <w:color w:val="231F20"/>
          <w:spacing w:val="-7"/>
        </w:rPr>
        <w:t> </w:t>
      </w:r>
      <w:r>
        <w:rPr>
          <w:color w:val="231F20"/>
          <w:spacing w:val="-1"/>
        </w:rPr>
        <w:t>including</w:t>
      </w:r>
      <w:r>
        <w:rPr>
          <w:color w:val="231F20"/>
          <w:spacing w:val="-7"/>
        </w:rPr>
        <w:t> </w:t>
      </w:r>
      <w:r>
        <w:rPr>
          <w:color w:val="231F20"/>
        </w:rPr>
        <w:t>those</w:t>
      </w:r>
      <w:r>
        <w:rPr>
          <w:color w:val="231F20"/>
          <w:spacing w:val="22"/>
          <w:w w:val="99"/>
        </w:rPr>
        <w:t> </w:t>
      </w:r>
      <w:r>
        <w:rPr>
          <w:color w:val="231F20"/>
        </w:rPr>
        <w:t>that</w:t>
      </w:r>
      <w:r>
        <w:rPr>
          <w:color w:val="231F20"/>
          <w:spacing w:val="-9"/>
        </w:rPr>
        <w:t> </w:t>
      </w:r>
      <w:r>
        <w:rPr>
          <w:color w:val="231F20"/>
        </w:rPr>
        <w:t>are</w:t>
      </w:r>
      <w:r>
        <w:rPr>
          <w:color w:val="231F20"/>
          <w:spacing w:val="-8"/>
        </w:rPr>
        <w:t> </w:t>
      </w:r>
      <w:r>
        <w:rPr>
          <w:color w:val="231F20"/>
          <w:spacing w:val="-1"/>
        </w:rPr>
        <w:t>standalone</w:t>
      </w:r>
      <w:r>
        <w:rPr>
          <w:color w:val="231F20"/>
          <w:spacing w:val="-6"/>
        </w:rPr>
        <w:t> </w:t>
      </w:r>
      <w:r>
        <w:rPr>
          <w:color w:val="231F20"/>
        </w:rPr>
        <w:t>boarding</w:t>
      </w:r>
      <w:r>
        <w:rPr>
          <w:color w:val="231F20"/>
          <w:spacing w:val="-8"/>
        </w:rPr>
        <w:t> </w:t>
      </w:r>
      <w:r>
        <w:rPr>
          <w:color w:val="231F20"/>
        </w:rPr>
        <w:t>providers</w:t>
      </w:r>
      <w:r>
        <w:rPr>
          <w:color w:val="231F20"/>
          <w:spacing w:val="-8"/>
        </w:rPr>
        <w:t> </w:t>
      </w:r>
      <w:r>
        <w:rPr>
          <w:color w:val="231F20"/>
        </w:rPr>
        <w:t>and</w:t>
      </w:r>
      <w:r>
        <w:rPr>
          <w:color w:val="231F20"/>
          <w:spacing w:val="22"/>
          <w:w w:val="99"/>
        </w:rPr>
        <w:t> </w:t>
      </w:r>
      <w:r>
        <w:rPr>
          <w:color w:val="231F20"/>
        </w:rPr>
        <w:t>not</w:t>
      </w:r>
      <w:r>
        <w:rPr>
          <w:color w:val="231F20"/>
          <w:spacing w:val="-4"/>
        </w:rPr>
        <w:t> </w:t>
      </w:r>
      <w:r>
        <w:rPr>
          <w:color w:val="231F20"/>
        </w:rPr>
        <w:t>part</w:t>
      </w:r>
      <w:r>
        <w:rPr>
          <w:color w:val="231F20"/>
          <w:spacing w:val="-4"/>
        </w:rPr>
        <w:t> </w:t>
      </w:r>
      <w:r>
        <w:rPr>
          <w:color w:val="231F20"/>
        </w:rPr>
        <w:t>of</w:t>
      </w:r>
      <w:r>
        <w:rPr>
          <w:color w:val="231F20"/>
          <w:spacing w:val="-4"/>
        </w:rPr>
        <w:t> </w:t>
      </w:r>
      <w:r>
        <w:rPr>
          <w:color w:val="231F20"/>
        </w:rPr>
        <w:t>a</w:t>
      </w:r>
      <w:r>
        <w:rPr>
          <w:color w:val="231F20"/>
          <w:spacing w:val="-3"/>
        </w:rPr>
        <w:t> </w:t>
      </w:r>
      <w:r>
        <w:rPr>
          <w:color w:val="231F20"/>
          <w:spacing w:val="-1"/>
        </w:rPr>
        <w:t>school</w:t>
      </w:r>
      <w:r>
        <w:rPr>
          <w:color w:val="231F20"/>
          <w:spacing w:val="-4"/>
        </w:rPr>
        <w:t> </w:t>
      </w:r>
      <w:r>
        <w:rPr>
          <w:color w:val="231F20"/>
          <w:spacing w:val="-1"/>
        </w:rPr>
        <w:t>structure,</w:t>
      </w:r>
      <w:r>
        <w:rPr>
          <w:color w:val="231F20"/>
          <w:spacing w:val="-3"/>
        </w:rPr>
        <w:t> </w:t>
      </w:r>
      <w:r>
        <w:rPr>
          <w:color w:val="231F20"/>
        </w:rPr>
        <w:t>and</w:t>
      </w:r>
      <w:r>
        <w:rPr>
          <w:color w:val="231F20"/>
          <w:spacing w:val="-4"/>
        </w:rPr>
        <w:t> </w:t>
      </w:r>
      <w:r>
        <w:rPr>
          <w:color w:val="231F20"/>
        </w:rPr>
        <w:t>those</w:t>
      </w:r>
      <w:r>
        <w:rPr>
          <w:color w:val="231F20"/>
          <w:spacing w:val="23"/>
          <w:w w:val="99"/>
        </w:rPr>
        <w:t> </w:t>
      </w:r>
      <w:r>
        <w:rPr>
          <w:color w:val="231F20"/>
        </w:rPr>
        <w:t>that</w:t>
      </w:r>
      <w:r>
        <w:rPr>
          <w:color w:val="231F20"/>
          <w:spacing w:val="-4"/>
        </w:rPr>
        <w:t> </w:t>
      </w:r>
      <w:r>
        <w:rPr>
          <w:color w:val="231F20"/>
        </w:rPr>
        <w:t>have</w:t>
      </w:r>
      <w:r>
        <w:rPr>
          <w:color w:val="231F20"/>
          <w:spacing w:val="-4"/>
        </w:rPr>
        <w:t> </w:t>
      </w:r>
      <w:r>
        <w:rPr>
          <w:color w:val="231F20"/>
        </w:rPr>
        <w:t>only</w:t>
      </w:r>
      <w:r>
        <w:rPr>
          <w:color w:val="231F20"/>
          <w:spacing w:val="-5"/>
        </w:rPr>
        <w:t> </w:t>
      </w:r>
      <w:r>
        <w:rPr>
          <w:color w:val="231F20"/>
        </w:rPr>
        <w:t>opened</w:t>
      </w:r>
      <w:r>
        <w:rPr>
          <w:color w:val="231F20"/>
          <w:spacing w:val="-4"/>
        </w:rPr>
        <w:t> </w:t>
      </w:r>
      <w:r>
        <w:rPr>
          <w:color w:val="231F20"/>
          <w:spacing w:val="-1"/>
        </w:rPr>
        <w:t>since</w:t>
      </w:r>
      <w:r>
        <w:rPr>
          <w:color w:val="231F20"/>
          <w:spacing w:val="-3"/>
        </w:rPr>
        <w:t> </w:t>
      </w:r>
      <w:r>
        <w:rPr>
          <w:color w:val="231F20"/>
          <w:spacing w:val="-1"/>
        </w:rPr>
        <w:t>2017.</w:t>
      </w:r>
      <w:r>
        <w:rPr>
          <w:color w:val="231F20"/>
          <w:spacing w:val="-3"/>
        </w:rPr>
        <w:t> </w:t>
      </w:r>
      <w:r>
        <w:rPr>
          <w:color w:val="231F20"/>
        </w:rPr>
        <w:t>Gaps</w:t>
      </w:r>
      <w:r>
        <w:rPr/>
      </w:r>
    </w:p>
    <w:p>
      <w:pPr>
        <w:pStyle w:val="BodyText"/>
        <w:spacing w:line="250" w:lineRule="exact"/>
        <w:ind w:left="327" w:right="33"/>
        <w:jc w:val="left"/>
      </w:pPr>
      <w:r>
        <w:rPr>
          <w:color w:val="231F20"/>
          <w:spacing w:val="-1"/>
        </w:rPr>
        <w:t>in</w:t>
      </w:r>
      <w:r>
        <w:rPr>
          <w:color w:val="231F20"/>
          <w:spacing w:val="-5"/>
        </w:rPr>
        <w:t> </w:t>
      </w:r>
      <w:r>
        <w:rPr>
          <w:color w:val="231F20"/>
        </w:rPr>
        <w:t>the</w:t>
      </w:r>
      <w:r>
        <w:rPr>
          <w:color w:val="231F20"/>
          <w:spacing w:val="-6"/>
        </w:rPr>
        <w:t> </w:t>
      </w:r>
      <w:r>
        <w:rPr>
          <w:color w:val="231F20"/>
        </w:rPr>
        <w:t>three-year</w:t>
      </w:r>
      <w:r>
        <w:rPr>
          <w:color w:val="231F20"/>
          <w:spacing w:val="-6"/>
        </w:rPr>
        <w:t> </w:t>
      </w:r>
      <w:r>
        <w:rPr>
          <w:color w:val="231F20"/>
        </w:rPr>
        <w:t>trend</w:t>
      </w:r>
      <w:r>
        <w:rPr>
          <w:color w:val="231F20"/>
          <w:spacing w:val="-6"/>
        </w:rPr>
        <w:t> </w:t>
      </w:r>
      <w:r>
        <w:rPr>
          <w:color w:val="231F20"/>
        </w:rPr>
        <w:t>data</w:t>
      </w:r>
      <w:r>
        <w:rPr>
          <w:color w:val="231F20"/>
          <w:spacing w:val="-6"/>
        </w:rPr>
        <w:t> </w:t>
      </w:r>
      <w:r>
        <w:rPr>
          <w:color w:val="231F20"/>
        </w:rPr>
        <w:t>have</w:t>
      </w:r>
      <w:r>
        <w:rPr>
          <w:color w:val="231F20"/>
          <w:spacing w:val="-6"/>
        </w:rPr>
        <w:t> </w:t>
      </w:r>
      <w:r>
        <w:rPr>
          <w:color w:val="231F20"/>
        </w:rPr>
        <w:t>been</w:t>
      </w:r>
      <w:r>
        <w:rPr>
          <w:color w:val="231F20"/>
          <w:spacing w:val="21"/>
          <w:w w:val="99"/>
        </w:rPr>
        <w:t> </w:t>
      </w:r>
      <w:r>
        <w:rPr>
          <w:color w:val="231F20"/>
          <w:spacing w:val="-1"/>
        </w:rPr>
        <w:t>supplemented</w:t>
      </w:r>
      <w:r>
        <w:rPr>
          <w:color w:val="231F20"/>
          <w:spacing w:val="-6"/>
        </w:rPr>
        <w:t> </w:t>
      </w:r>
      <w:r>
        <w:rPr>
          <w:color w:val="231F20"/>
        </w:rPr>
        <w:t>by</w:t>
      </w:r>
      <w:r>
        <w:rPr>
          <w:color w:val="231F20"/>
          <w:spacing w:val="-6"/>
        </w:rPr>
        <w:t> </w:t>
      </w:r>
      <w:r>
        <w:rPr>
          <w:color w:val="231F20"/>
          <w:spacing w:val="-1"/>
        </w:rPr>
        <w:t>information</w:t>
      </w:r>
      <w:r>
        <w:rPr>
          <w:color w:val="231F20"/>
          <w:spacing w:val="-6"/>
        </w:rPr>
        <w:t> </w:t>
      </w:r>
      <w:r>
        <w:rPr>
          <w:color w:val="231F20"/>
        </w:rPr>
        <w:t>obtained</w:t>
      </w:r>
      <w:r>
        <w:rPr>
          <w:color w:val="231F20"/>
          <w:spacing w:val="-7"/>
        </w:rPr>
        <w:t> </w:t>
      </w:r>
      <w:r>
        <w:rPr>
          <w:color w:val="231F20"/>
          <w:spacing w:val="-7"/>
        </w:rPr>
      </w:r>
      <w:r>
        <w:rPr>
          <w:color w:val="231F20"/>
        </w:rPr>
        <w:t>from</w:t>
      </w:r>
      <w:r>
        <w:rPr>
          <w:color w:val="231F20"/>
          <w:spacing w:val="23"/>
        </w:rPr>
        <w:t> </w:t>
      </w:r>
      <w:r>
        <w:rPr>
          <w:color w:val="231F20"/>
        </w:rPr>
        <w:t>publicly</w:t>
      </w:r>
      <w:r>
        <w:rPr>
          <w:color w:val="231F20"/>
          <w:spacing w:val="-9"/>
        </w:rPr>
        <w:t> </w:t>
      </w:r>
      <w:r>
        <w:rPr>
          <w:color w:val="231F20"/>
        </w:rPr>
        <w:t>available</w:t>
      </w:r>
      <w:r>
        <w:rPr>
          <w:color w:val="231F20"/>
          <w:spacing w:val="-8"/>
        </w:rPr>
        <w:t> </w:t>
      </w:r>
      <w:r>
        <w:rPr>
          <w:color w:val="231F20"/>
          <w:spacing w:val="-1"/>
        </w:rPr>
        <w:t>information</w:t>
      </w:r>
      <w:r>
        <w:rPr>
          <w:color w:val="231F20"/>
          <w:spacing w:val="-7"/>
        </w:rPr>
        <w:t> </w:t>
      </w:r>
      <w:r>
        <w:rPr>
          <w:color w:val="231F20"/>
        </w:rPr>
        <w:t>and</w:t>
      </w:r>
      <w:r>
        <w:rPr>
          <w:color w:val="231F20"/>
          <w:w w:val="99"/>
        </w:rPr>
        <w:t> </w:t>
      </w:r>
      <w:r>
        <w:rPr>
          <w:color w:val="231F20"/>
          <w:spacing w:val="6"/>
          <w:w w:val="99"/>
        </w:rPr>
        <w:t>    </w:t>
      </w:r>
      <w:r>
        <w:rPr>
          <w:rFonts w:ascii="Segoe UI"/>
          <w:color w:val="231F20"/>
        </w:rPr>
        <w:t>financial statements, management accounts,</w:t>
      </w:r>
      <w:r>
        <w:rPr>
          <w:rFonts w:ascii="Segoe UI"/>
          <w:color w:val="231F20"/>
        </w:rPr>
        <w:t> </w:t>
      </w:r>
      <w:r>
        <w:rPr>
          <w:color w:val="231F20"/>
        </w:rPr>
        <w:t>census</w:t>
      </w:r>
      <w:r>
        <w:rPr>
          <w:color w:val="231F20"/>
          <w:spacing w:val="-9"/>
        </w:rPr>
        <w:t> </w:t>
      </w:r>
      <w:r>
        <w:rPr>
          <w:color w:val="231F20"/>
        </w:rPr>
        <w:t>reports,</w:t>
      </w:r>
      <w:r>
        <w:rPr>
          <w:color w:val="231F20"/>
          <w:spacing w:val="-9"/>
        </w:rPr>
        <w:t> </w:t>
      </w:r>
      <w:r>
        <w:rPr>
          <w:color w:val="231F20"/>
        </w:rPr>
        <w:t>enrolment</w:t>
      </w:r>
      <w:r>
        <w:rPr>
          <w:color w:val="231F20"/>
          <w:spacing w:val="-9"/>
        </w:rPr>
        <w:t> </w:t>
      </w:r>
      <w:r>
        <w:rPr>
          <w:color w:val="231F20"/>
        </w:rPr>
        <w:t>data,</w:t>
      </w:r>
      <w:r>
        <w:rPr>
          <w:color w:val="231F20"/>
          <w:spacing w:val="-9"/>
        </w:rPr>
        <w:t> </w:t>
      </w:r>
      <w:r>
        <w:rPr>
          <w:color w:val="231F20"/>
        </w:rPr>
        <w:t>consultation</w:t>
      </w:r>
      <w:r>
        <w:rPr>
          <w:color w:val="231F20"/>
          <w:w w:val="99"/>
        </w:rPr>
        <w:t> </w:t>
      </w:r>
      <w:r>
        <w:rPr>
          <w:color w:val="231F20"/>
          <w:spacing w:val="-1"/>
        </w:rPr>
        <w:t>interviews</w:t>
      </w:r>
      <w:r>
        <w:rPr>
          <w:color w:val="231F20"/>
          <w:spacing w:val="-7"/>
        </w:rPr>
        <w:t> </w:t>
      </w:r>
      <w:r>
        <w:rPr>
          <w:color w:val="231F20"/>
        </w:rPr>
        <w:t>and</w:t>
      </w:r>
      <w:r>
        <w:rPr>
          <w:color w:val="231F20"/>
          <w:spacing w:val="-8"/>
        </w:rPr>
        <w:t> </w:t>
      </w:r>
      <w:r>
        <w:rPr>
          <w:color w:val="231F20"/>
        </w:rPr>
        <w:t>annual</w:t>
      </w:r>
      <w:r>
        <w:rPr>
          <w:color w:val="231F20"/>
          <w:spacing w:val="-8"/>
        </w:rPr>
        <w:t> </w:t>
      </w:r>
      <w:r>
        <w:rPr>
          <w:color w:val="231F20"/>
        </w:rPr>
        <w:t>reports</w:t>
      </w:r>
      <w:r>
        <w:rPr>
          <w:color w:val="231F20"/>
          <w:spacing w:val="-8"/>
        </w:rPr>
        <w:t> </w:t>
      </w:r>
      <w:r>
        <w:rPr>
          <w:color w:val="231F20"/>
        </w:rPr>
        <w:t>provided</w:t>
      </w:r>
      <w:r>
        <w:rPr>
          <w:color w:val="231F20"/>
          <w:spacing w:val="-8"/>
        </w:rPr>
        <w:t> </w:t>
      </w:r>
      <w:r>
        <w:rPr>
          <w:color w:val="231F20"/>
        </w:rPr>
        <w:t>by</w:t>
      </w:r>
      <w:r>
        <w:rPr>
          <w:color w:val="231F20"/>
          <w:spacing w:val="22"/>
          <w:w w:val="99"/>
        </w:rPr>
        <w:t> </w:t>
      </w:r>
      <w:r>
        <w:rPr>
          <w:color w:val="231F20"/>
        </w:rPr>
        <w:t>boarding</w:t>
      </w:r>
      <w:r>
        <w:rPr>
          <w:color w:val="231F20"/>
          <w:spacing w:val="-8"/>
        </w:rPr>
        <w:t> </w:t>
      </w:r>
      <w:r>
        <w:rPr>
          <w:color w:val="231F20"/>
        </w:rPr>
        <w:t>providers.</w:t>
      </w:r>
      <w:r>
        <w:rPr>
          <w:color w:val="231F20"/>
          <w:spacing w:val="-8"/>
        </w:rPr>
        <w:t> </w:t>
      </w:r>
      <w:r>
        <w:rPr>
          <w:color w:val="231F20"/>
          <w:spacing w:val="-1"/>
        </w:rPr>
        <w:t>For</w:t>
      </w:r>
      <w:r>
        <w:rPr>
          <w:color w:val="231F20"/>
          <w:spacing w:val="-7"/>
        </w:rPr>
        <w:t> </w:t>
      </w:r>
      <w:r>
        <w:rPr>
          <w:color w:val="231F20"/>
          <w:spacing w:val="-1"/>
        </w:rPr>
        <w:t>some</w:t>
      </w:r>
      <w:r>
        <w:rPr>
          <w:color w:val="231F20"/>
          <w:spacing w:val="-7"/>
        </w:rPr>
        <w:t> </w:t>
      </w:r>
      <w:r>
        <w:rPr>
          <w:color w:val="231F20"/>
        </w:rPr>
        <w:t>boarding</w:t>
      </w:r>
      <w:r>
        <w:rPr>
          <w:color w:val="231F20"/>
          <w:spacing w:val="22"/>
          <w:w w:val="99"/>
        </w:rPr>
        <w:t> </w:t>
      </w:r>
      <w:r>
        <w:rPr>
          <w:color w:val="231F20"/>
        </w:rPr>
        <w:t>providers</w:t>
      </w:r>
      <w:r>
        <w:rPr>
          <w:color w:val="231F20"/>
          <w:spacing w:val="-6"/>
        </w:rPr>
        <w:t> </w:t>
      </w:r>
      <w:r>
        <w:rPr>
          <w:color w:val="231F20"/>
        </w:rPr>
        <w:t>the</w:t>
      </w:r>
      <w:r>
        <w:rPr>
          <w:color w:val="231F20"/>
          <w:spacing w:val="-5"/>
        </w:rPr>
        <w:t> </w:t>
      </w:r>
      <w:r>
        <w:rPr>
          <w:color w:val="231F20"/>
        </w:rPr>
        <w:t>data</w:t>
      </w:r>
      <w:r>
        <w:rPr>
          <w:color w:val="231F20"/>
          <w:spacing w:val="-5"/>
        </w:rPr>
        <w:t> </w:t>
      </w:r>
      <w:r>
        <w:rPr>
          <w:color w:val="231F20"/>
        </w:rPr>
        <w:t>was</w:t>
      </w:r>
      <w:r>
        <w:rPr>
          <w:color w:val="231F20"/>
          <w:spacing w:val="-6"/>
        </w:rPr>
        <w:t> </w:t>
      </w:r>
      <w:r>
        <w:rPr>
          <w:color w:val="231F20"/>
          <w:spacing w:val="-1"/>
        </w:rPr>
        <w:t>incomplete</w:t>
      </w:r>
      <w:r>
        <w:rPr>
          <w:color w:val="231F20"/>
          <w:spacing w:val="-4"/>
        </w:rPr>
        <w:t> </w:t>
      </w:r>
      <w:r>
        <w:rPr>
          <w:color w:val="231F20"/>
        </w:rPr>
        <w:t>and</w:t>
      </w:r>
      <w:r>
        <w:rPr>
          <w:color w:val="231F20"/>
          <w:spacing w:val="22"/>
          <w:w w:val="99"/>
        </w:rPr>
        <w:t> </w:t>
      </w:r>
      <w:r>
        <w:rPr>
          <w:color w:val="231F20"/>
          <w:spacing w:val="-1"/>
        </w:rPr>
        <w:t>inconsistent</w:t>
      </w:r>
      <w:r>
        <w:rPr>
          <w:color w:val="231F20"/>
          <w:spacing w:val="-3"/>
        </w:rPr>
        <w:t> </w:t>
      </w:r>
      <w:r>
        <w:rPr>
          <w:color w:val="231F20"/>
        </w:rPr>
        <w:t>and</w:t>
      </w:r>
      <w:r>
        <w:rPr>
          <w:color w:val="231F20"/>
          <w:spacing w:val="-4"/>
        </w:rPr>
        <w:t> </w:t>
      </w:r>
      <w:r>
        <w:rPr>
          <w:color w:val="231F20"/>
        </w:rPr>
        <w:t>assumptions</w:t>
      </w:r>
      <w:r>
        <w:rPr>
          <w:color w:val="231F20"/>
          <w:spacing w:val="-4"/>
        </w:rPr>
        <w:t> </w:t>
      </w:r>
      <w:r>
        <w:rPr>
          <w:color w:val="231F20"/>
        </w:rPr>
        <w:t>were</w:t>
      </w:r>
      <w:r>
        <w:rPr>
          <w:color w:val="231F20"/>
          <w:spacing w:val="-4"/>
        </w:rPr>
        <w:t> </w:t>
      </w:r>
      <w:r>
        <w:rPr>
          <w:color w:val="231F20"/>
          <w:spacing w:val="-1"/>
        </w:rPr>
        <w:t>made</w:t>
      </w:r>
      <w:r>
        <w:rPr>
          <w:color w:val="231F20"/>
          <w:spacing w:val="-3"/>
        </w:rPr>
        <w:t> </w:t>
      </w:r>
      <w:r>
        <w:rPr>
          <w:color w:val="231F20"/>
        </w:rPr>
        <w:t>to</w:t>
      </w:r>
      <w:r>
        <w:rPr>
          <w:color w:val="231F20"/>
          <w:spacing w:val="23"/>
          <w:w w:val="99"/>
        </w:rPr>
        <w:t> </w:t>
      </w:r>
      <w:r>
        <w:rPr>
          <w:color w:val="231F20"/>
        </w:rPr>
        <w:t>enable</w:t>
      </w:r>
      <w:r>
        <w:rPr>
          <w:color w:val="231F20"/>
          <w:spacing w:val="-6"/>
        </w:rPr>
        <w:t> </w:t>
      </w:r>
      <w:r>
        <w:rPr>
          <w:color w:val="231F20"/>
        </w:rPr>
        <w:t>accurate</w:t>
      </w:r>
      <w:r>
        <w:rPr>
          <w:color w:val="231F20"/>
          <w:spacing w:val="-6"/>
        </w:rPr>
        <w:t> </w:t>
      </w:r>
      <w:r>
        <w:rPr>
          <w:color w:val="231F20"/>
        </w:rPr>
        <w:t>and</w:t>
      </w:r>
      <w:r>
        <w:rPr>
          <w:color w:val="231F20"/>
          <w:spacing w:val="-6"/>
        </w:rPr>
        <w:t> </w:t>
      </w:r>
      <w:r>
        <w:rPr>
          <w:color w:val="231F20"/>
        </w:rPr>
        <w:t>reliable</w:t>
      </w:r>
      <w:r>
        <w:rPr>
          <w:color w:val="231F20"/>
          <w:spacing w:val="-6"/>
        </w:rPr>
        <w:t> </w:t>
      </w:r>
      <w:r>
        <w:rPr>
          <w:color w:val="231F20"/>
        </w:rPr>
        <w:t>comparisons</w:t>
      </w:r>
      <w:r>
        <w:rPr>
          <w:color w:val="231F20"/>
          <w:spacing w:val="-6"/>
        </w:rPr>
        <w:t> </w:t>
      </w:r>
      <w:r>
        <w:rPr>
          <w:color w:val="231F20"/>
        </w:rPr>
        <w:t>to</w:t>
      </w:r>
      <w:r>
        <w:rPr>
          <w:color w:val="231F20"/>
          <w:w w:val="99"/>
        </w:rPr>
        <w:t> </w:t>
      </w:r>
      <w:r>
        <w:rPr>
          <w:color w:val="231F20"/>
        </w:rPr>
        <w:t>be</w:t>
      </w:r>
      <w:r>
        <w:rPr>
          <w:color w:val="231F20"/>
          <w:spacing w:val="-6"/>
        </w:rPr>
        <w:t> </w:t>
      </w:r>
      <w:r>
        <w:rPr>
          <w:color w:val="231F20"/>
          <w:spacing w:val="-1"/>
        </w:rPr>
        <w:t>made.</w:t>
      </w:r>
      <w:r>
        <w:rPr>
          <w:color w:val="231F20"/>
          <w:spacing w:val="-5"/>
        </w:rPr>
        <w:t> </w:t>
      </w:r>
      <w:r>
        <w:rPr>
          <w:color w:val="231F20"/>
          <w:spacing w:val="-1"/>
        </w:rPr>
        <w:t>Boarding</w:t>
      </w:r>
      <w:r>
        <w:rPr>
          <w:color w:val="231F20"/>
          <w:spacing w:val="-5"/>
        </w:rPr>
        <w:t> </w:t>
      </w:r>
      <w:r>
        <w:rPr>
          <w:color w:val="231F20"/>
        </w:rPr>
        <w:t>revenue</w:t>
      </w:r>
      <w:r>
        <w:rPr>
          <w:color w:val="231F20"/>
          <w:spacing w:val="-6"/>
        </w:rPr>
        <w:t> </w:t>
      </w:r>
      <w:r>
        <w:rPr>
          <w:color w:val="231F20"/>
        </w:rPr>
        <w:t>and</w:t>
      </w:r>
      <w:r>
        <w:rPr>
          <w:color w:val="231F20"/>
          <w:spacing w:val="-6"/>
        </w:rPr>
        <w:t> </w:t>
      </w:r>
      <w:r>
        <w:rPr>
          <w:color w:val="231F20"/>
        </w:rPr>
        <w:t>costs</w:t>
      </w:r>
      <w:r>
        <w:rPr>
          <w:color w:val="231F20"/>
          <w:spacing w:val="-6"/>
        </w:rPr>
        <w:t> </w:t>
      </w:r>
      <w:r>
        <w:rPr>
          <w:color w:val="231F20"/>
        </w:rPr>
        <w:t>have</w:t>
      </w:r>
      <w:r>
        <w:rPr>
          <w:color w:val="231F20"/>
          <w:spacing w:val="23"/>
          <w:w w:val="99"/>
        </w:rPr>
        <w:t> </w:t>
      </w:r>
      <w:r>
        <w:rPr>
          <w:color w:val="231F20"/>
        </w:rPr>
        <w:t>been</w:t>
      </w:r>
      <w:r>
        <w:rPr>
          <w:color w:val="231F20"/>
          <w:spacing w:val="-8"/>
        </w:rPr>
        <w:t> </w:t>
      </w:r>
      <w:r>
        <w:rPr>
          <w:color w:val="231F20"/>
          <w:spacing w:val="-1"/>
        </w:rPr>
        <w:t>separated</w:t>
      </w:r>
      <w:r>
        <w:rPr>
          <w:color w:val="231F20"/>
          <w:spacing w:val="-6"/>
        </w:rPr>
        <w:t> </w:t>
      </w:r>
      <w:r>
        <w:rPr>
          <w:color w:val="231F20"/>
        </w:rPr>
        <w:t>from</w:t>
      </w:r>
      <w:r>
        <w:rPr>
          <w:color w:val="231F20"/>
          <w:spacing w:val="-7"/>
        </w:rPr>
        <w:t> </w:t>
      </w:r>
      <w:r>
        <w:rPr>
          <w:color w:val="231F20"/>
        </w:rPr>
        <w:t>tuition</w:t>
      </w:r>
      <w:r>
        <w:rPr>
          <w:color w:val="231F20"/>
          <w:spacing w:val="-7"/>
        </w:rPr>
        <w:t> </w:t>
      </w:r>
      <w:r>
        <w:rPr>
          <w:color w:val="231F20"/>
        </w:rPr>
        <w:t>revenue</w:t>
      </w:r>
      <w:r>
        <w:rPr>
          <w:color w:val="231F20"/>
          <w:spacing w:val="-8"/>
        </w:rPr>
        <w:t> </w:t>
      </w:r>
      <w:r>
        <w:rPr>
          <w:color w:val="231F20"/>
        </w:rPr>
        <w:t>and</w:t>
      </w:r>
      <w:r>
        <w:rPr>
          <w:color w:val="231F20"/>
          <w:spacing w:val="22"/>
          <w:w w:val="99"/>
        </w:rPr>
        <w:t> </w:t>
      </w:r>
      <w:r>
        <w:rPr>
          <w:color w:val="231F20"/>
        </w:rPr>
        <w:t>costs</w:t>
      </w:r>
      <w:r>
        <w:rPr>
          <w:color w:val="231F20"/>
          <w:spacing w:val="-3"/>
        </w:rPr>
        <w:t> </w:t>
      </w:r>
      <w:r>
        <w:rPr>
          <w:color w:val="231F20"/>
          <w:spacing w:val="-1"/>
        </w:rPr>
        <w:t>in</w:t>
      </w:r>
      <w:r>
        <w:rPr>
          <w:color w:val="231F20"/>
          <w:spacing w:val="-2"/>
        </w:rPr>
        <w:t> </w:t>
      </w:r>
      <w:r>
        <w:rPr>
          <w:color w:val="231F20"/>
        </w:rPr>
        <w:t>the</w:t>
      </w:r>
      <w:r>
        <w:rPr>
          <w:color w:val="231F20"/>
          <w:spacing w:val="-3"/>
        </w:rPr>
        <w:t> </w:t>
      </w:r>
      <w:r>
        <w:rPr>
          <w:color w:val="231F20"/>
        </w:rPr>
        <w:t>analysis</w:t>
      </w:r>
      <w:r>
        <w:rPr>
          <w:color w:val="231F20"/>
          <w:spacing w:val="-3"/>
        </w:rPr>
        <w:t> </w:t>
      </w:r>
      <w:r>
        <w:rPr>
          <w:color w:val="231F20"/>
        </w:rPr>
        <w:t>for</w:t>
      </w:r>
      <w:r>
        <w:rPr>
          <w:color w:val="231F20"/>
          <w:spacing w:val="-2"/>
        </w:rPr>
        <w:t> </w:t>
      </w:r>
      <w:r>
        <w:rPr>
          <w:color w:val="231F20"/>
        </w:rPr>
        <w:t>this</w:t>
      </w:r>
      <w:r>
        <w:rPr>
          <w:color w:val="231F20"/>
          <w:spacing w:val="-3"/>
        </w:rPr>
        <w:t> </w:t>
      </w:r>
      <w:r>
        <w:rPr>
          <w:color w:val="231F20"/>
        </w:rPr>
        <w:t>report.</w:t>
      </w:r>
      <w:r>
        <w:rPr/>
      </w:r>
    </w:p>
    <w:p>
      <w:pPr>
        <w:spacing w:line="240" w:lineRule="auto" w:before="10"/>
        <w:rPr>
          <w:rFonts w:ascii="Segoe UI" w:hAnsi="Segoe UI" w:cs="Segoe UI" w:eastAsia="Segoe UI"/>
          <w:sz w:val="14"/>
          <w:szCs w:val="14"/>
        </w:rPr>
      </w:pPr>
      <w:r>
        <w:rPr/>
        <w:br w:type="column"/>
      </w:r>
      <w:r>
        <w:rPr>
          <w:rFonts w:ascii="Segoe UI"/>
          <w:sz w:val="14"/>
        </w:rPr>
      </w:r>
    </w:p>
    <w:p>
      <w:pPr>
        <w:pStyle w:val="BodyText"/>
        <w:spacing w:line="258" w:lineRule="exact"/>
        <w:ind w:left="100" w:right="0"/>
        <w:jc w:val="left"/>
      </w:pPr>
      <w:r>
        <w:rPr>
          <w:rFonts w:ascii="Century Gothic" w:hAnsi="Century Gothic"/>
          <w:color w:val="231F20"/>
        </w:rPr>
        <w:t>» </w:t>
      </w:r>
      <w:r>
        <w:rPr>
          <w:rFonts w:ascii="Century Gothic" w:hAnsi="Century Gothic"/>
          <w:color w:val="231F20"/>
          <w:spacing w:val="23"/>
        </w:rPr>
        <w:t> </w:t>
      </w:r>
      <w:r>
        <w:rPr>
          <w:color w:val="231F20"/>
          <w:spacing w:val="-2"/>
        </w:rPr>
        <w:t>Face</w:t>
      </w:r>
      <w:r>
        <w:rPr>
          <w:color w:val="231F20"/>
          <w:spacing w:val="-4"/>
        </w:rPr>
        <w:t> </w:t>
      </w:r>
      <w:r>
        <w:rPr>
          <w:color w:val="231F20"/>
        </w:rPr>
        <w:t>to</w:t>
      </w:r>
      <w:r>
        <w:rPr>
          <w:color w:val="231F20"/>
          <w:spacing w:val="-3"/>
        </w:rPr>
        <w:t> </w:t>
      </w:r>
      <w:r>
        <w:rPr>
          <w:color w:val="231F20"/>
        </w:rPr>
        <w:t>face</w:t>
      </w:r>
      <w:r>
        <w:rPr>
          <w:color w:val="231F20"/>
          <w:spacing w:val="-4"/>
        </w:rPr>
        <w:t> </w:t>
      </w:r>
      <w:r>
        <w:rPr>
          <w:color w:val="231F20"/>
        </w:rPr>
        <w:t>consultations</w:t>
      </w:r>
      <w:r>
        <w:rPr>
          <w:color w:val="231F20"/>
          <w:spacing w:val="-4"/>
        </w:rPr>
        <w:t> </w:t>
      </w:r>
      <w:r>
        <w:rPr>
          <w:color w:val="231F20"/>
        </w:rPr>
        <w:t>were</w:t>
      </w:r>
      <w:r>
        <w:rPr>
          <w:color w:val="231F20"/>
          <w:spacing w:val="-4"/>
        </w:rPr>
        <w:t> </w:t>
      </w:r>
      <w:r>
        <w:rPr>
          <w:color w:val="231F20"/>
        </w:rPr>
        <w:t>conducted</w:t>
      </w:r>
      <w:r>
        <w:rPr/>
      </w:r>
    </w:p>
    <w:p>
      <w:pPr>
        <w:pStyle w:val="BodyText"/>
        <w:spacing w:line="250" w:lineRule="exact"/>
        <w:ind w:left="327" w:right="0"/>
        <w:jc w:val="left"/>
        <w:rPr>
          <w:rFonts w:ascii="Segoe UI" w:hAnsi="Segoe UI" w:cs="Segoe UI" w:eastAsia="Segoe UI"/>
        </w:rPr>
      </w:pPr>
      <w:r>
        <w:rPr>
          <w:rFonts w:ascii="Segoe UI"/>
          <w:color w:val="231F20"/>
        </w:rPr>
        <w:t>with</w:t>
      </w:r>
      <w:r>
        <w:rPr>
          <w:rFonts w:ascii="Segoe UI"/>
          <w:color w:val="231F20"/>
          <w:spacing w:val="-1"/>
        </w:rPr>
        <w:t> </w:t>
      </w:r>
      <w:r>
        <w:rPr>
          <w:rFonts w:ascii="Segoe UI"/>
          <w:color w:val="231F20"/>
        </w:rPr>
        <w:t>senior</w:t>
      </w:r>
      <w:r>
        <w:rPr>
          <w:rFonts w:ascii="Segoe UI"/>
          <w:color w:val="231F20"/>
          <w:spacing w:val="-1"/>
        </w:rPr>
        <w:t> </w:t>
      </w:r>
      <w:r>
        <w:rPr>
          <w:rFonts w:ascii="Segoe UI"/>
          <w:color w:val="231F20"/>
        </w:rPr>
        <w:t>staff of</w:t>
      </w:r>
      <w:r>
        <w:rPr>
          <w:rFonts w:ascii="Segoe UI"/>
          <w:color w:val="231F20"/>
          <w:spacing w:val="-1"/>
        </w:rPr>
        <w:t> </w:t>
      </w:r>
      <w:r>
        <w:rPr>
          <w:rFonts w:ascii="Segoe UI"/>
          <w:color w:val="231F20"/>
        </w:rPr>
        <w:t>each of</w:t>
      </w:r>
      <w:r>
        <w:rPr>
          <w:rFonts w:ascii="Segoe UI"/>
          <w:color w:val="231F20"/>
          <w:spacing w:val="-1"/>
        </w:rPr>
        <w:t> </w:t>
      </w:r>
      <w:r>
        <w:rPr>
          <w:rFonts w:ascii="Segoe UI"/>
          <w:color w:val="231F20"/>
        </w:rPr>
        <w:t>all Aboriginal</w:t>
      </w:r>
      <w:r>
        <w:rPr>
          <w:rFonts w:ascii="Segoe UI"/>
        </w:rPr>
      </w:r>
    </w:p>
    <w:p>
      <w:pPr>
        <w:pStyle w:val="BodyText"/>
        <w:spacing w:line="250" w:lineRule="exact" w:before="8"/>
        <w:ind w:left="327" w:right="140"/>
        <w:jc w:val="left"/>
      </w:pP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7"/>
        </w:rPr>
        <w:t> </w:t>
      </w:r>
      <w:r>
        <w:rPr>
          <w:color w:val="231F20"/>
        </w:rPr>
        <w:t>providers</w:t>
      </w:r>
      <w:r>
        <w:rPr>
          <w:color w:val="231F20"/>
          <w:spacing w:val="21"/>
          <w:w w:val="99"/>
        </w:rPr>
        <w:t> </w:t>
      </w:r>
      <w:r>
        <w:rPr>
          <w:color w:val="231F20"/>
        </w:rPr>
        <w:t>and</w:t>
      </w:r>
      <w:r>
        <w:rPr>
          <w:color w:val="231F20"/>
          <w:spacing w:val="-6"/>
        </w:rPr>
        <w:t> </w:t>
      </w:r>
      <w:r>
        <w:rPr>
          <w:color w:val="231F20"/>
        </w:rPr>
        <w:t>the</w:t>
      </w:r>
      <w:r>
        <w:rPr>
          <w:color w:val="231F20"/>
          <w:spacing w:val="-6"/>
        </w:rPr>
        <w:t> </w:t>
      </w:r>
      <w:r>
        <w:rPr>
          <w:color w:val="231F20"/>
          <w:spacing w:val="-1"/>
        </w:rPr>
        <w:t>majority</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peak</w:t>
      </w:r>
      <w:r>
        <w:rPr>
          <w:color w:val="231F20"/>
          <w:spacing w:val="-6"/>
        </w:rPr>
        <w:t> </w:t>
      </w:r>
      <w:r>
        <w:rPr>
          <w:color w:val="231F20"/>
        </w:rPr>
        <w:t>bodies.</w:t>
      </w:r>
      <w:r>
        <w:rPr/>
      </w:r>
    </w:p>
    <w:p>
      <w:pPr>
        <w:pStyle w:val="BodyText"/>
        <w:spacing w:line="250" w:lineRule="exact"/>
        <w:ind w:left="327" w:right="133"/>
        <w:jc w:val="left"/>
      </w:pPr>
      <w:r>
        <w:rPr>
          <w:color w:val="231F20"/>
        </w:rPr>
        <w:t>A</w:t>
      </w:r>
      <w:r>
        <w:rPr>
          <w:color w:val="231F20"/>
          <w:spacing w:val="-6"/>
        </w:rPr>
        <w:t> </w:t>
      </w:r>
      <w:r>
        <w:rPr>
          <w:color w:val="231F20"/>
          <w:spacing w:val="-1"/>
        </w:rPr>
        <w:t>standardised</w:t>
      </w:r>
      <w:r>
        <w:rPr>
          <w:color w:val="231F20"/>
          <w:spacing w:val="-5"/>
        </w:rPr>
        <w:t> </w:t>
      </w:r>
      <w:r>
        <w:rPr>
          <w:color w:val="231F20"/>
          <w:spacing w:val="-1"/>
        </w:rPr>
        <w:t>interview</w:t>
      </w:r>
      <w:r>
        <w:rPr>
          <w:color w:val="231F20"/>
          <w:spacing w:val="-6"/>
        </w:rPr>
        <w:t> </w:t>
      </w:r>
      <w:r>
        <w:rPr>
          <w:color w:val="231F20"/>
        </w:rPr>
        <w:t>checklist</w:t>
      </w:r>
      <w:r>
        <w:rPr>
          <w:color w:val="231F20"/>
          <w:spacing w:val="-6"/>
        </w:rPr>
        <w:t> </w:t>
      </w:r>
      <w:r>
        <w:rPr>
          <w:color w:val="231F20"/>
        </w:rPr>
        <w:t>was</w:t>
      </w:r>
      <w:r>
        <w:rPr>
          <w:color w:val="231F20"/>
          <w:spacing w:val="23"/>
          <w:w w:val="99"/>
        </w:rPr>
        <w:t> </w:t>
      </w:r>
      <w:r>
        <w:rPr>
          <w:color w:val="231F20"/>
        </w:rPr>
        <w:t>developed</w:t>
      </w:r>
      <w:r>
        <w:rPr>
          <w:color w:val="231F20"/>
          <w:spacing w:val="-8"/>
        </w:rPr>
        <w:t> </w:t>
      </w:r>
      <w:r>
        <w:rPr>
          <w:color w:val="231F20"/>
        </w:rPr>
        <w:t>to</w:t>
      </w:r>
      <w:r>
        <w:rPr>
          <w:color w:val="231F20"/>
          <w:spacing w:val="-7"/>
        </w:rPr>
        <w:t> </w:t>
      </w:r>
      <w:r>
        <w:rPr>
          <w:color w:val="231F20"/>
        </w:rPr>
        <w:t>guide</w:t>
      </w:r>
      <w:r>
        <w:rPr>
          <w:color w:val="231F20"/>
          <w:spacing w:val="-8"/>
        </w:rPr>
        <w:t> </w:t>
      </w:r>
      <w:r>
        <w:rPr>
          <w:color w:val="231F20"/>
        </w:rPr>
        <w:t>the</w:t>
      </w:r>
      <w:r>
        <w:rPr>
          <w:color w:val="231F20"/>
          <w:spacing w:val="-8"/>
        </w:rPr>
        <w:t> </w:t>
      </w:r>
      <w:r>
        <w:rPr>
          <w:color w:val="231F20"/>
        </w:rPr>
        <w:t>consultations.</w:t>
      </w:r>
      <w:r>
        <w:rPr>
          <w:color w:val="231F20"/>
          <w:spacing w:val="-8"/>
        </w:rPr>
        <w:t> </w:t>
      </w:r>
      <w:r>
        <w:rPr>
          <w:color w:val="231F20"/>
        </w:rPr>
        <w:t>The</w:t>
      </w:r>
      <w:r>
        <w:rPr>
          <w:color w:val="231F20"/>
          <w:w w:val="99"/>
        </w:rPr>
        <w:t> </w:t>
      </w:r>
      <w:r>
        <w:rPr>
          <w:color w:val="231F20"/>
        </w:rPr>
        <w:t>checklist</w:t>
      </w:r>
      <w:r>
        <w:rPr>
          <w:color w:val="231F20"/>
          <w:spacing w:val="-4"/>
        </w:rPr>
        <w:t> </w:t>
      </w:r>
      <w:r>
        <w:rPr>
          <w:color w:val="231F20"/>
        </w:rPr>
        <w:t>focussed</w:t>
      </w:r>
      <w:r>
        <w:rPr>
          <w:color w:val="231F20"/>
          <w:spacing w:val="-4"/>
        </w:rPr>
        <w:t> </w:t>
      </w:r>
      <w:r>
        <w:rPr>
          <w:color w:val="231F20"/>
        </w:rPr>
        <w:t>on</w:t>
      </w:r>
      <w:r>
        <w:rPr>
          <w:color w:val="231F20"/>
          <w:spacing w:val="-2"/>
        </w:rPr>
        <w:t> </w:t>
      </w:r>
      <w:r>
        <w:rPr>
          <w:color w:val="231F20"/>
        </w:rPr>
        <w:t>the</w:t>
      </w:r>
      <w:r>
        <w:rPr>
          <w:color w:val="231F20"/>
          <w:spacing w:val="-4"/>
        </w:rPr>
        <w:t> </w:t>
      </w:r>
      <w:r>
        <w:rPr>
          <w:color w:val="231F20"/>
        </w:rPr>
        <w:t>revenue</w:t>
      </w:r>
      <w:r>
        <w:rPr>
          <w:color w:val="231F20"/>
          <w:spacing w:val="-3"/>
        </w:rPr>
        <w:t> </w:t>
      </w:r>
      <w:r>
        <w:rPr>
          <w:color w:val="231F20"/>
        </w:rPr>
        <w:t>and</w:t>
      </w:r>
      <w:r>
        <w:rPr>
          <w:color w:val="231F20"/>
          <w:spacing w:val="-4"/>
        </w:rPr>
        <w:t> </w:t>
      </w:r>
      <w:r>
        <w:rPr>
          <w:color w:val="231F20"/>
        </w:rPr>
        <w:t>costs</w:t>
      </w:r>
      <w:r>
        <w:rPr>
          <w:color w:val="231F20"/>
        </w:rPr>
        <w:t> of</w:t>
      </w:r>
      <w:r>
        <w:rPr>
          <w:color w:val="231F20"/>
          <w:spacing w:val="-7"/>
        </w:rPr>
        <w:t> </w:t>
      </w:r>
      <w:r>
        <w:rPr>
          <w:color w:val="231F20"/>
          <w:spacing w:val="-1"/>
        </w:rPr>
        <w:t>boarding,</w:t>
      </w:r>
      <w:r>
        <w:rPr>
          <w:color w:val="231F20"/>
          <w:spacing w:val="-6"/>
        </w:rPr>
        <w:t> </w:t>
      </w:r>
      <w:r>
        <w:rPr>
          <w:color w:val="231F20"/>
        </w:rPr>
        <w:t>the</w:t>
      </w:r>
      <w:r>
        <w:rPr>
          <w:color w:val="231F20"/>
          <w:spacing w:val="-6"/>
        </w:rPr>
        <w:t> </w:t>
      </w:r>
      <w:r>
        <w:rPr>
          <w:color w:val="231F20"/>
          <w:spacing w:val="-1"/>
        </w:rPr>
        <w:t>model</w:t>
      </w:r>
      <w:r>
        <w:rPr>
          <w:color w:val="231F20"/>
          <w:spacing w:val="-6"/>
        </w:rPr>
        <w:t> </w:t>
      </w:r>
      <w:r>
        <w:rPr>
          <w:color w:val="231F20"/>
        </w:rPr>
        <w:t>of</w:t>
      </w:r>
      <w:r>
        <w:rPr>
          <w:color w:val="231F20"/>
          <w:spacing w:val="-6"/>
        </w:rPr>
        <w:t> </w:t>
      </w:r>
      <w:r>
        <w:rPr>
          <w:color w:val="231F20"/>
        </w:rPr>
        <w:t>boarding</w:t>
      </w:r>
      <w:r>
        <w:rPr>
          <w:color w:val="231F20"/>
          <w:spacing w:val="-6"/>
        </w:rPr>
        <w:t> </w:t>
      </w:r>
      <w:r>
        <w:rPr>
          <w:color w:val="231F20"/>
        </w:rPr>
        <w:t>provided</w:t>
      </w:r>
      <w:r>
        <w:rPr>
          <w:color w:val="231F20"/>
          <w:spacing w:val="27"/>
          <w:w w:val="99"/>
        </w:rPr>
        <w:t> </w:t>
      </w:r>
      <w:r>
        <w:rPr>
          <w:color w:val="231F20"/>
        </w:rPr>
        <w:t>by</w:t>
      </w:r>
      <w:r>
        <w:rPr>
          <w:color w:val="231F20"/>
          <w:spacing w:val="-6"/>
        </w:rPr>
        <w:t> </w:t>
      </w:r>
      <w:r>
        <w:rPr>
          <w:color w:val="231F20"/>
        </w:rPr>
        <w:t>the</w:t>
      </w:r>
      <w:r>
        <w:rPr>
          <w:color w:val="231F20"/>
          <w:spacing w:val="-6"/>
        </w:rPr>
        <w:t> </w:t>
      </w:r>
      <w:r>
        <w:rPr>
          <w:color w:val="231F20"/>
        </w:rPr>
        <w:t>boarding</w:t>
      </w:r>
      <w:r>
        <w:rPr>
          <w:color w:val="231F20"/>
          <w:spacing w:val="-7"/>
        </w:rPr>
        <w:t> </w:t>
      </w:r>
      <w:r>
        <w:rPr>
          <w:color w:val="231F20"/>
        </w:rPr>
        <w:t>facility,</w:t>
      </w:r>
      <w:r>
        <w:rPr>
          <w:color w:val="231F20"/>
          <w:spacing w:val="-5"/>
        </w:rPr>
        <w:t> </w:t>
      </w:r>
      <w:r>
        <w:rPr>
          <w:color w:val="231F20"/>
        </w:rPr>
        <w:t>whether</w:t>
      </w:r>
      <w:r>
        <w:rPr>
          <w:color w:val="231F20"/>
          <w:spacing w:val="-7"/>
        </w:rPr>
        <w:t> </w:t>
      </w:r>
      <w:r>
        <w:rPr>
          <w:color w:val="231F20"/>
        </w:rPr>
        <w:t>age</w:t>
      </w:r>
      <w:r>
        <w:rPr>
          <w:color w:val="231F20"/>
          <w:spacing w:val="-6"/>
        </w:rPr>
        <w:t> </w:t>
      </w:r>
      <w:r>
        <w:rPr>
          <w:color w:val="231F20"/>
        </w:rPr>
        <w:t>and</w:t>
      </w:r>
      <w:r>
        <w:rPr>
          <w:color w:val="231F20"/>
          <w:w w:val="99"/>
        </w:rPr>
        <w:t> </w:t>
      </w:r>
      <w:r>
        <w:rPr>
          <w:color w:val="231F20"/>
        </w:rPr>
        <w:t>remoteness</w:t>
      </w:r>
      <w:r>
        <w:rPr>
          <w:color w:val="231F20"/>
          <w:spacing w:val="-4"/>
        </w:rPr>
        <w:t> </w:t>
      </w:r>
      <w:r>
        <w:rPr>
          <w:color w:val="231F20"/>
        </w:rPr>
        <w:t>of</w:t>
      </w:r>
      <w:r>
        <w:rPr>
          <w:color w:val="231F20"/>
          <w:spacing w:val="-1"/>
        </w:rPr>
        <w:t> </w:t>
      </w:r>
      <w:r>
        <w:rPr>
          <w:color w:val="231F20"/>
        </w:rPr>
        <w:t>the</w:t>
      </w:r>
      <w:r>
        <w:rPr>
          <w:color w:val="231F20"/>
          <w:spacing w:val="-2"/>
        </w:rPr>
        <w:t> </w:t>
      </w:r>
      <w:r>
        <w:rPr>
          <w:color w:val="231F20"/>
        </w:rPr>
        <w:t>home</w:t>
      </w:r>
      <w:r>
        <w:rPr>
          <w:color w:val="231F20"/>
          <w:spacing w:val="-3"/>
        </w:rPr>
        <w:t> </w:t>
      </w:r>
      <w:r>
        <w:rPr>
          <w:color w:val="231F20"/>
        </w:rPr>
        <w:t>communities</w:t>
      </w:r>
      <w:r>
        <w:rPr>
          <w:color w:val="231F20"/>
          <w:spacing w:val="-2"/>
        </w:rPr>
        <w:t> </w:t>
      </w:r>
      <w:r>
        <w:rPr>
          <w:color w:val="231F20"/>
        </w:rPr>
        <w:t>of</w:t>
      </w:r>
      <w:r>
        <w:rPr>
          <w:color w:val="231F20"/>
          <w:w w:val="99"/>
        </w:rPr>
        <w:t> </w:t>
      </w:r>
      <w:r>
        <w:rPr>
          <w:color w:val="231F20"/>
        </w:rPr>
        <w:t>boarders</w:t>
      </w:r>
      <w:r>
        <w:rPr>
          <w:color w:val="231F20"/>
          <w:spacing w:val="-5"/>
        </w:rPr>
        <w:t> </w:t>
      </w:r>
      <w:r>
        <w:rPr>
          <w:color w:val="231F20"/>
        </w:rPr>
        <w:t>are</w:t>
      </w:r>
      <w:r>
        <w:rPr>
          <w:color w:val="231F20"/>
          <w:spacing w:val="-5"/>
        </w:rPr>
        <w:t> </w:t>
      </w:r>
      <w:r>
        <w:rPr>
          <w:color w:val="231F20"/>
        </w:rPr>
        <w:t>a</w:t>
      </w:r>
      <w:r>
        <w:rPr>
          <w:color w:val="231F20"/>
          <w:spacing w:val="-4"/>
        </w:rPr>
        <w:t> </w:t>
      </w:r>
      <w:r>
        <w:rPr>
          <w:color w:val="231F20"/>
        </w:rPr>
        <w:t>factor</w:t>
      </w:r>
      <w:r>
        <w:rPr>
          <w:color w:val="231F20"/>
          <w:spacing w:val="-4"/>
        </w:rPr>
        <w:t> </w:t>
      </w:r>
      <w:r>
        <w:rPr>
          <w:color w:val="231F20"/>
          <w:spacing w:val="-1"/>
        </w:rPr>
        <w:t>in</w:t>
      </w:r>
      <w:r>
        <w:rPr>
          <w:color w:val="231F20"/>
          <w:spacing w:val="-3"/>
        </w:rPr>
        <w:t> </w:t>
      </w:r>
      <w:r>
        <w:rPr>
          <w:color w:val="231F20"/>
        </w:rPr>
        <w:t>the</w:t>
      </w:r>
      <w:r>
        <w:rPr>
          <w:color w:val="231F20"/>
          <w:spacing w:val="-5"/>
        </w:rPr>
        <w:t> </w:t>
      </w:r>
      <w:r>
        <w:rPr>
          <w:color w:val="231F20"/>
        </w:rPr>
        <w:t>cost</w:t>
      </w:r>
      <w:r>
        <w:rPr>
          <w:color w:val="231F20"/>
          <w:spacing w:val="-5"/>
        </w:rPr>
        <w:t> </w:t>
      </w:r>
      <w:r>
        <w:rPr>
          <w:color w:val="231F20"/>
        </w:rPr>
        <w:t>of</w:t>
      </w:r>
      <w:r>
        <w:rPr>
          <w:color w:val="231F20"/>
          <w:spacing w:val="-4"/>
        </w:rPr>
        <w:t> </w:t>
      </w:r>
      <w:r>
        <w:rPr>
          <w:color w:val="231F20"/>
        </w:rPr>
        <w:t>delivering</w:t>
      </w:r>
      <w:r>
        <w:rPr>
          <w:color w:val="231F20"/>
          <w:spacing w:val="21"/>
          <w:w w:val="99"/>
        </w:rPr>
        <w:t> </w:t>
      </w:r>
      <w:r>
        <w:rPr>
          <w:color w:val="231F20"/>
        </w:rPr>
        <w:t>boarding</w:t>
      </w:r>
      <w:r>
        <w:rPr>
          <w:color w:val="231F20"/>
          <w:spacing w:val="-7"/>
        </w:rPr>
        <w:t> </w:t>
      </w:r>
      <w:r>
        <w:rPr>
          <w:color w:val="231F20"/>
        </w:rPr>
        <w:t>and</w:t>
      </w:r>
      <w:r>
        <w:rPr>
          <w:color w:val="231F20"/>
          <w:spacing w:val="-7"/>
        </w:rPr>
        <w:t> </w:t>
      </w:r>
      <w:r>
        <w:rPr>
          <w:color w:val="231F20"/>
        </w:rPr>
        <w:t>the</w:t>
      </w:r>
      <w:r>
        <w:rPr>
          <w:color w:val="231F20"/>
          <w:spacing w:val="-7"/>
        </w:rPr>
        <w:t> </w:t>
      </w:r>
      <w:r>
        <w:rPr>
          <w:color w:val="231F20"/>
        </w:rPr>
        <w:t>amount</w:t>
      </w:r>
      <w:r>
        <w:rPr>
          <w:color w:val="231F20"/>
          <w:spacing w:val="-7"/>
        </w:rPr>
        <w:t> </w:t>
      </w:r>
      <w:r>
        <w:rPr>
          <w:color w:val="231F20"/>
        </w:rPr>
        <w:t>of</w:t>
      </w:r>
      <w:r>
        <w:rPr>
          <w:color w:val="231F20"/>
          <w:spacing w:val="-6"/>
        </w:rPr>
        <w:t> </w:t>
      </w:r>
      <w:r>
        <w:rPr>
          <w:color w:val="231F20"/>
          <w:spacing w:val="-1"/>
        </w:rPr>
        <w:t>support</w:t>
      </w:r>
      <w:r>
        <w:rPr>
          <w:color w:val="231F20"/>
          <w:spacing w:val="-1"/>
          <w:w w:val="99"/>
        </w:rPr>
        <w:t> </w:t>
      </w:r>
      <w:r>
        <w:rPr>
          <w:color w:val="231F20"/>
          <w:spacing w:val="20"/>
          <w:w w:val="99"/>
        </w:rPr>
        <w:t> </w:t>
      </w:r>
      <w:r>
        <w:rPr>
          <w:color w:val="231F20"/>
          <w:spacing w:val="-1"/>
        </w:rPr>
        <w:t>services</w:t>
      </w:r>
      <w:r>
        <w:rPr>
          <w:color w:val="231F20"/>
          <w:spacing w:val="-6"/>
        </w:rPr>
        <w:t> </w:t>
      </w:r>
      <w:r>
        <w:rPr>
          <w:color w:val="231F20"/>
        </w:rPr>
        <w:t>required</w:t>
      </w:r>
      <w:r>
        <w:rPr>
          <w:color w:val="231F20"/>
          <w:spacing w:val="-7"/>
        </w:rPr>
        <w:t> </w:t>
      </w:r>
      <w:r>
        <w:rPr>
          <w:color w:val="231F20"/>
        </w:rPr>
        <w:t>and</w:t>
      </w:r>
      <w:r>
        <w:rPr>
          <w:color w:val="231F20"/>
          <w:spacing w:val="-6"/>
        </w:rPr>
        <w:t> </w:t>
      </w:r>
      <w:r>
        <w:rPr>
          <w:color w:val="231F20"/>
        </w:rPr>
        <w:t>the</w:t>
      </w:r>
      <w:r>
        <w:rPr>
          <w:color w:val="231F20"/>
          <w:spacing w:val="-7"/>
        </w:rPr>
        <w:t> </w:t>
      </w:r>
      <w:r>
        <w:rPr>
          <w:color w:val="231F20"/>
        </w:rPr>
        <w:t>administration</w:t>
      </w:r>
      <w:r>
        <w:rPr>
          <w:color w:val="231F20"/>
          <w:spacing w:val="-8"/>
        </w:rPr>
        <w:t> </w:t>
      </w:r>
      <w:r>
        <w:rPr>
          <w:color w:val="231F20"/>
        </w:rPr>
        <w:t>of</w:t>
      </w:r>
      <w:r>
        <w:rPr>
          <w:color w:val="231F20"/>
          <w:spacing w:val="22"/>
          <w:w w:val="99"/>
        </w:rPr>
        <w:t> </w:t>
      </w:r>
      <w:r>
        <w:rPr>
          <w:color w:val="231F20"/>
        </w:rPr>
        <w:t>ABSTUDY.</w:t>
      </w:r>
      <w:r>
        <w:rPr/>
      </w:r>
    </w:p>
    <w:p>
      <w:pPr>
        <w:pStyle w:val="BodyText"/>
        <w:spacing w:line="250" w:lineRule="exact" w:before="113"/>
        <w:ind w:left="327" w:right="353" w:hanging="227"/>
        <w:jc w:val="left"/>
      </w:pPr>
      <w:r>
        <w:rPr>
          <w:rFonts w:ascii="Century Gothic" w:hAnsi="Century Gothic"/>
          <w:color w:val="231F20"/>
        </w:rPr>
        <w:t>» </w:t>
      </w:r>
      <w:r>
        <w:rPr>
          <w:rFonts w:ascii="Century Gothic" w:hAnsi="Century Gothic"/>
          <w:color w:val="231F20"/>
          <w:spacing w:val="21"/>
        </w:rPr>
        <w:t> </w:t>
      </w:r>
      <w:r>
        <w:rPr>
          <w:color w:val="231F20"/>
        </w:rPr>
        <w:t>Aboriginal</w:t>
      </w:r>
      <w:r>
        <w:rPr>
          <w:color w:val="231F20"/>
          <w:spacing w:val="-3"/>
        </w:rPr>
        <w:t> </w:t>
      </w:r>
      <w:r>
        <w:rPr>
          <w:color w:val="231F20"/>
        </w:rPr>
        <w:t>and</w:t>
      </w:r>
      <w:r>
        <w:rPr>
          <w:color w:val="231F20"/>
          <w:spacing w:val="-5"/>
        </w:rPr>
        <w:t> Torres</w:t>
      </w:r>
      <w:r>
        <w:rPr>
          <w:color w:val="231F20"/>
          <w:spacing w:val="-4"/>
        </w:rPr>
        <w:t> </w:t>
      </w:r>
      <w:r>
        <w:rPr>
          <w:color w:val="231F20"/>
          <w:spacing w:val="-2"/>
        </w:rPr>
        <w:t>Strait</w:t>
      </w:r>
      <w:r>
        <w:rPr>
          <w:color w:val="231F20"/>
          <w:spacing w:val="-4"/>
        </w:rPr>
        <w:t> </w:t>
      </w:r>
      <w:r>
        <w:rPr>
          <w:color w:val="231F20"/>
          <w:spacing w:val="-1"/>
        </w:rPr>
        <w:t>Islander</w:t>
      </w:r>
      <w:r>
        <w:rPr>
          <w:color w:val="231F20"/>
          <w:spacing w:val="29"/>
          <w:w w:val="99"/>
        </w:rPr>
        <w:t> </w:t>
      </w:r>
      <w:r>
        <w:rPr>
          <w:color w:val="231F20"/>
        </w:rPr>
        <w:t>boarding</w:t>
      </w:r>
      <w:r>
        <w:rPr>
          <w:color w:val="231F20"/>
          <w:spacing w:val="-8"/>
        </w:rPr>
        <w:t> </w:t>
      </w:r>
      <w:r>
        <w:rPr>
          <w:color w:val="231F20"/>
        </w:rPr>
        <w:t>providers</w:t>
      </w:r>
      <w:r>
        <w:rPr>
          <w:color w:val="231F20"/>
          <w:spacing w:val="-8"/>
        </w:rPr>
        <w:t> </w:t>
      </w:r>
      <w:r>
        <w:rPr>
          <w:color w:val="231F20"/>
        </w:rPr>
        <w:t>were</w:t>
      </w:r>
      <w:r>
        <w:rPr>
          <w:color w:val="231F20"/>
          <w:spacing w:val="-7"/>
        </w:rPr>
        <w:t> </w:t>
      </w:r>
      <w:r>
        <w:rPr>
          <w:color w:val="231F20"/>
        </w:rPr>
        <w:t>provided</w:t>
      </w:r>
      <w:r>
        <w:rPr>
          <w:color w:val="231F20"/>
          <w:spacing w:val="-8"/>
        </w:rPr>
        <w:t> </w:t>
      </w:r>
      <w:r>
        <w:rPr>
          <w:color w:val="231F20"/>
        </w:rPr>
        <w:t>with</w:t>
      </w:r>
      <w:r>
        <w:rPr>
          <w:color w:val="231F20"/>
          <w:spacing w:val="-8"/>
        </w:rPr>
        <w:t> </w:t>
      </w:r>
      <w:r>
        <w:rPr>
          <w:color w:val="231F20"/>
        </w:rPr>
        <w:t>a</w:t>
      </w:r>
      <w:r>
        <w:rPr>
          <w:color w:val="231F20"/>
          <w:w w:val="99"/>
        </w:rPr>
        <w:t> </w:t>
      </w:r>
      <w:r>
        <w:rPr>
          <w:color w:val="231F20"/>
          <w:spacing w:val="-1"/>
        </w:rPr>
        <w:t>self-assessment</w:t>
      </w:r>
      <w:r>
        <w:rPr>
          <w:color w:val="231F20"/>
          <w:spacing w:val="-2"/>
        </w:rPr>
        <w:t> </w:t>
      </w:r>
      <w:r>
        <w:rPr>
          <w:color w:val="231F20"/>
          <w:spacing w:val="-1"/>
        </w:rPr>
        <w:t>survey</w:t>
      </w:r>
      <w:r>
        <w:rPr>
          <w:color w:val="231F20"/>
          <w:spacing w:val="-3"/>
        </w:rPr>
        <w:t> </w:t>
      </w:r>
      <w:r>
        <w:rPr>
          <w:color w:val="231F20"/>
        </w:rPr>
        <w:t>of</w:t>
      </w:r>
      <w:r>
        <w:rPr>
          <w:color w:val="231F20"/>
          <w:spacing w:val="-3"/>
        </w:rPr>
        <w:t> </w:t>
      </w:r>
      <w:r>
        <w:rPr>
          <w:color w:val="231F20"/>
        </w:rPr>
        <w:t>compliance</w:t>
      </w:r>
      <w:r>
        <w:rPr>
          <w:color w:val="231F20"/>
          <w:spacing w:val="-4"/>
        </w:rPr>
        <w:t> </w:t>
      </w:r>
      <w:r>
        <w:rPr>
          <w:color w:val="231F20"/>
        </w:rPr>
        <w:t>with</w:t>
      </w:r>
      <w:r>
        <w:rPr>
          <w:color w:val="231F20"/>
          <w:spacing w:val="23"/>
          <w:w w:val="99"/>
        </w:rPr>
        <w:t> </w:t>
      </w:r>
      <w:r>
        <w:rPr>
          <w:color w:val="231F20"/>
        </w:rPr>
        <w:t>the</w:t>
      </w:r>
      <w:r>
        <w:rPr>
          <w:color w:val="231F20"/>
          <w:spacing w:val="-8"/>
        </w:rPr>
        <w:t> </w:t>
      </w:r>
      <w:r>
        <w:rPr>
          <w:color w:val="231F20"/>
        </w:rPr>
        <w:t>National</w:t>
      </w:r>
      <w:r>
        <w:rPr>
          <w:color w:val="231F20"/>
          <w:spacing w:val="-6"/>
        </w:rPr>
        <w:t> </w:t>
      </w:r>
      <w:r>
        <w:rPr>
          <w:color w:val="231F20"/>
          <w:spacing w:val="-1"/>
        </w:rPr>
        <w:t>Boarding</w:t>
      </w:r>
      <w:r>
        <w:rPr>
          <w:color w:val="231F20"/>
          <w:spacing w:val="-7"/>
        </w:rPr>
        <w:t> </w:t>
      </w:r>
      <w:r>
        <w:rPr>
          <w:color w:val="231F20"/>
          <w:spacing w:val="-1"/>
        </w:rPr>
        <w:t>Standard</w:t>
      </w:r>
      <w:r>
        <w:rPr>
          <w:rFonts w:ascii="Segoe UI Semibold" w:hAnsi="Segoe UI Semibold"/>
          <w:b/>
          <w:color w:val="231F20"/>
          <w:spacing w:val="-1"/>
          <w:position w:val="7"/>
          <w:sz w:val="11"/>
        </w:rPr>
        <w:t>41</w:t>
      </w:r>
      <w:r>
        <w:rPr>
          <w:color w:val="231F20"/>
          <w:spacing w:val="-1"/>
        </w:rPr>
        <w:t>.</w:t>
      </w:r>
      <w:r>
        <w:rPr/>
      </w:r>
    </w:p>
    <w:p>
      <w:pPr>
        <w:spacing w:after="0" w:line="250" w:lineRule="exact"/>
        <w:jc w:val="left"/>
        <w:sectPr>
          <w:type w:val="continuous"/>
          <w:pgSz w:w="11910" w:h="16840"/>
          <w:pgMar w:top="1580" w:bottom="280" w:left="1600" w:right="1300"/>
          <w:cols w:num="2" w:equalWidth="0">
            <w:col w:w="4279" w:space="313"/>
            <w:col w:w="4418"/>
          </w:cols>
        </w:sectPr>
      </w:pPr>
    </w:p>
    <w:p>
      <w:pPr>
        <w:spacing w:line="240" w:lineRule="auto" w:before="0"/>
        <w:rPr>
          <w:rFonts w:ascii="Segoe UI" w:hAnsi="Segoe UI" w:cs="Segoe UI" w:eastAsia="Segoe UI"/>
          <w:sz w:val="20"/>
          <w:szCs w:val="20"/>
        </w:rPr>
      </w:pPr>
    </w:p>
    <w:p>
      <w:pPr>
        <w:spacing w:line="240" w:lineRule="auto" w:before="1"/>
        <w:rPr>
          <w:rFonts w:ascii="Segoe UI" w:hAnsi="Segoe UI" w:cs="Segoe UI" w:eastAsia="Segoe UI"/>
          <w:sz w:val="20"/>
          <w:szCs w:val="20"/>
        </w:rPr>
      </w:pPr>
    </w:p>
    <w:p>
      <w:pPr>
        <w:numPr>
          <w:ilvl w:val="0"/>
          <w:numId w:val="4"/>
        </w:numPr>
        <w:tabs>
          <w:tab w:pos="713" w:val="left" w:leader="none"/>
        </w:tabs>
        <w:spacing w:line="567" w:lineRule="exact" w:before="0"/>
        <w:ind w:left="712" w:right="0" w:hanging="567"/>
        <w:jc w:val="left"/>
        <w:rPr>
          <w:rFonts w:ascii="Segoe UI" w:hAnsi="Segoe UI" w:cs="Segoe UI" w:eastAsia="Segoe UI"/>
          <w:sz w:val="44"/>
          <w:szCs w:val="44"/>
        </w:rPr>
      </w:pPr>
      <w:r>
        <w:rPr>
          <w:rFonts w:ascii="Segoe UI"/>
          <w:color w:val="67973F"/>
          <w:sz w:val="44"/>
        </w:rPr>
        <w:t>Assumptions</w:t>
      </w:r>
      <w:r>
        <w:rPr>
          <w:rFonts w:ascii="Segoe UI"/>
          <w:color w:val="67973F"/>
          <w:spacing w:val="-7"/>
          <w:sz w:val="44"/>
        </w:rPr>
        <w:t> </w:t>
      </w:r>
      <w:r>
        <w:rPr>
          <w:rFonts w:ascii="Segoe UI"/>
          <w:color w:val="67973F"/>
          <w:sz w:val="44"/>
        </w:rPr>
        <w:t>and</w:t>
      </w:r>
      <w:r>
        <w:rPr>
          <w:rFonts w:ascii="Segoe UI"/>
          <w:color w:val="67973F"/>
          <w:spacing w:val="-6"/>
          <w:sz w:val="44"/>
        </w:rPr>
        <w:t> </w:t>
      </w:r>
      <w:r>
        <w:rPr>
          <w:rFonts w:ascii="Segoe UI"/>
          <w:color w:val="67973F"/>
          <w:sz w:val="44"/>
        </w:rPr>
        <w:t>data</w:t>
      </w:r>
      <w:r>
        <w:rPr>
          <w:rFonts w:ascii="Segoe UI"/>
          <w:color w:val="67973F"/>
          <w:spacing w:val="-6"/>
          <w:sz w:val="44"/>
        </w:rPr>
        <w:t> </w:t>
      </w:r>
      <w:r>
        <w:rPr>
          <w:rFonts w:ascii="Segoe UI"/>
          <w:color w:val="67973F"/>
          <w:spacing w:val="-1"/>
          <w:sz w:val="44"/>
        </w:rPr>
        <w:t>limitations</w:t>
      </w:r>
      <w:r>
        <w:rPr>
          <w:rFonts w:ascii="Segoe UI"/>
          <w:sz w:val="44"/>
        </w:rPr>
      </w:r>
    </w:p>
    <w:p>
      <w:pPr>
        <w:spacing w:line="240" w:lineRule="auto" w:before="0"/>
        <w:rPr>
          <w:rFonts w:ascii="Segoe UI" w:hAnsi="Segoe UI" w:cs="Segoe UI" w:eastAsia="Segoe UI"/>
          <w:sz w:val="22"/>
          <w:szCs w:val="22"/>
        </w:rPr>
      </w:pPr>
    </w:p>
    <w:p>
      <w:pPr>
        <w:spacing w:after="0" w:line="240" w:lineRule="auto"/>
        <w:rPr>
          <w:rFonts w:ascii="Segoe UI" w:hAnsi="Segoe UI" w:cs="Segoe UI" w:eastAsia="Segoe UI"/>
          <w:sz w:val="22"/>
          <w:szCs w:val="22"/>
        </w:rPr>
        <w:sectPr>
          <w:pgSz w:w="11910" w:h="16840"/>
          <w:pgMar w:header="0" w:footer="691" w:top="1580" w:bottom="880" w:left="1300" w:right="1580"/>
        </w:sectPr>
      </w:pPr>
    </w:p>
    <w:p>
      <w:pPr>
        <w:spacing w:before="14"/>
        <w:ind w:left="145" w:right="156" w:firstLine="0"/>
        <w:jc w:val="left"/>
        <w:rPr>
          <w:rFonts w:ascii="Segoe UI" w:hAnsi="Segoe UI" w:cs="Segoe UI" w:eastAsia="Segoe UI"/>
          <w:sz w:val="32"/>
          <w:szCs w:val="32"/>
        </w:rPr>
      </w:pPr>
      <w:r>
        <w:rPr>
          <w:rFonts w:ascii="Segoe UI"/>
          <w:b/>
          <w:color w:val="452A70"/>
          <w:spacing w:val="-1"/>
          <w:sz w:val="32"/>
        </w:rPr>
        <w:t>Assumptions</w:t>
      </w:r>
      <w:r>
        <w:rPr>
          <w:rFonts w:ascii="Segoe UI"/>
          <w:sz w:val="32"/>
        </w:rPr>
      </w:r>
    </w:p>
    <w:p>
      <w:pPr>
        <w:pStyle w:val="BodyText"/>
        <w:spacing w:line="250" w:lineRule="exact" w:before="111"/>
        <w:ind w:left="145" w:right="284"/>
        <w:jc w:val="left"/>
      </w:pPr>
      <w:r>
        <w:rPr>
          <w:color w:val="231F20"/>
        </w:rPr>
        <w:t>The</w:t>
      </w:r>
      <w:r>
        <w:rPr>
          <w:color w:val="231F20"/>
          <w:spacing w:val="-6"/>
        </w:rPr>
        <w:t> </w:t>
      </w:r>
      <w:r>
        <w:rPr>
          <w:color w:val="231F20"/>
        </w:rPr>
        <w:t>Aboriginal</w:t>
      </w:r>
      <w:r>
        <w:rPr>
          <w:color w:val="231F20"/>
          <w:spacing w:val="-5"/>
        </w:rPr>
        <w:t> </w:t>
      </w:r>
      <w:r>
        <w:rPr>
          <w:color w:val="231F20"/>
        </w:rPr>
        <w:t>and</w:t>
      </w:r>
      <w:r>
        <w:rPr>
          <w:color w:val="231F20"/>
          <w:spacing w:val="-6"/>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29"/>
          <w:w w:val="99"/>
        </w:rPr>
        <w:t> </w:t>
      </w:r>
      <w:r>
        <w:rPr>
          <w:color w:val="231F20"/>
        </w:rPr>
        <w:t>boarding</w:t>
      </w:r>
      <w:r>
        <w:rPr>
          <w:color w:val="231F20"/>
          <w:spacing w:val="-7"/>
        </w:rPr>
        <w:t> </w:t>
      </w:r>
      <w:r>
        <w:rPr>
          <w:color w:val="231F20"/>
        </w:rPr>
        <w:t>providers</w:t>
      </w:r>
      <w:r>
        <w:rPr>
          <w:color w:val="231F20"/>
          <w:spacing w:val="-6"/>
        </w:rPr>
        <w:t> </w:t>
      </w:r>
      <w:r>
        <w:rPr>
          <w:color w:val="231F20"/>
          <w:spacing w:val="-1"/>
        </w:rPr>
        <w:t>included</w:t>
      </w:r>
      <w:r>
        <w:rPr>
          <w:color w:val="231F20"/>
          <w:spacing w:val="-5"/>
        </w:rPr>
        <w:t> </w:t>
      </w:r>
      <w:r>
        <w:rPr>
          <w:color w:val="231F20"/>
          <w:spacing w:val="-1"/>
        </w:rPr>
        <w:t>in</w:t>
      </w:r>
      <w:r>
        <w:rPr>
          <w:color w:val="231F20"/>
          <w:spacing w:val="-6"/>
        </w:rPr>
        <w:t> </w:t>
      </w:r>
      <w:r>
        <w:rPr>
          <w:color w:val="231F20"/>
        </w:rPr>
        <w:t>the</w:t>
      </w:r>
      <w:r>
        <w:rPr>
          <w:color w:val="231F20"/>
          <w:spacing w:val="-6"/>
        </w:rPr>
        <w:t> </w:t>
      </w:r>
      <w:r>
        <w:rPr>
          <w:color w:val="231F20"/>
        </w:rPr>
        <w:t>analysis</w:t>
      </w:r>
      <w:r>
        <w:rPr>
          <w:color w:val="231F20"/>
          <w:spacing w:val="23"/>
        </w:rPr>
        <w:t> </w:t>
      </w:r>
      <w:r>
        <w:rPr>
          <w:color w:val="231F20"/>
        </w:rPr>
        <w:t>predominately</w:t>
      </w:r>
      <w:r>
        <w:rPr>
          <w:color w:val="231F20"/>
          <w:spacing w:val="-12"/>
        </w:rPr>
        <w:t> </w:t>
      </w:r>
      <w:r>
        <w:rPr>
          <w:color w:val="231F20"/>
          <w:spacing w:val="-1"/>
        </w:rPr>
        <w:t>support</w:t>
      </w:r>
      <w:r>
        <w:rPr>
          <w:color w:val="231F20"/>
          <w:spacing w:val="-11"/>
        </w:rPr>
        <w:t> </w:t>
      </w:r>
      <w:r>
        <w:rPr>
          <w:color w:val="231F20"/>
        </w:rPr>
        <w:t>Aboriginal</w:t>
      </w:r>
      <w:r>
        <w:rPr>
          <w:color w:val="231F20"/>
          <w:spacing w:val="-11"/>
        </w:rPr>
        <w:t> </w:t>
      </w:r>
      <w:r>
        <w:rPr>
          <w:color w:val="231F20"/>
        </w:rPr>
        <w:t>and</w:t>
      </w:r>
      <w:r>
        <w:rPr>
          <w:color w:val="231F20"/>
          <w:spacing w:val="22"/>
          <w:w w:val="99"/>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boarders.</w:t>
      </w:r>
      <w:r>
        <w:rPr>
          <w:color w:val="231F20"/>
          <w:spacing w:val="-7"/>
        </w:rPr>
        <w:t> </w:t>
      </w:r>
      <w:r>
        <w:rPr>
          <w:color w:val="231F20"/>
        </w:rPr>
        <w:t>They</w:t>
      </w:r>
      <w:r>
        <w:rPr>
          <w:color w:val="231F20"/>
          <w:spacing w:val="-7"/>
        </w:rPr>
        <w:t> </w:t>
      </w:r>
      <w:r>
        <w:rPr>
          <w:color w:val="231F20"/>
        </w:rPr>
        <w:t>provide</w:t>
      </w:r>
      <w:r>
        <w:rPr/>
      </w:r>
    </w:p>
    <w:p>
      <w:pPr>
        <w:pStyle w:val="BodyText"/>
        <w:spacing w:line="250" w:lineRule="exact"/>
        <w:ind w:left="145" w:right="38"/>
        <w:jc w:val="left"/>
      </w:pPr>
      <w:r>
        <w:rPr>
          <w:color w:val="231F20"/>
        </w:rPr>
        <w:t>boarding</w:t>
      </w:r>
      <w:r>
        <w:rPr>
          <w:color w:val="231F20"/>
          <w:spacing w:val="-7"/>
        </w:rPr>
        <w:t> </w:t>
      </w:r>
      <w:r>
        <w:rPr>
          <w:color w:val="231F20"/>
        </w:rPr>
        <w:t>for</w:t>
      </w:r>
      <w:r>
        <w:rPr>
          <w:color w:val="231F20"/>
          <w:spacing w:val="-6"/>
        </w:rPr>
        <w:t> </w:t>
      </w:r>
      <w:r>
        <w:rPr>
          <w:color w:val="231F20"/>
          <w:spacing w:val="-1"/>
        </w:rPr>
        <w:t>2,174</w:t>
      </w:r>
      <w:r>
        <w:rPr>
          <w:color w:val="231F20"/>
          <w:spacing w:val="-5"/>
        </w:rPr>
        <w:t> </w:t>
      </w:r>
      <w:r>
        <w:rPr>
          <w:color w:val="231F20"/>
          <w:spacing w:val="-1"/>
        </w:rPr>
        <w:t>secondary</w:t>
      </w:r>
      <w:r>
        <w:rPr>
          <w:color w:val="231F20"/>
          <w:spacing w:val="-5"/>
        </w:rPr>
        <w:t> </w:t>
      </w:r>
      <w:r>
        <w:rPr>
          <w:color w:val="231F20"/>
          <w:spacing w:val="-1"/>
        </w:rPr>
        <w:t>students,</w:t>
      </w:r>
      <w:r>
        <w:rPr>
          <w:color w:val="231F20"/>
          <w:spacing w:val="-4"/>
        </w:rPr>
        <w:t> </w:t>
      </w:r>
      <w:r>
        <w:rPr>
          <w:color w:val="231F20"/>
        </w:rPr>
        <w:t>with</w:t>
      </w:r>
      <w:r>
        <w:rPr>
          <w:color w:val="231F20"/>
          <w:spacing w:val="-7"/>
        </w:rPr>
        <w:t> </w:t>
      </w:r>
      <w:r>
        <w:rPr>
          <w:color w:val="231F20"/>
        </w:rPr>
        <w:t>an</w:t>
      </w:r>
      <w:r>
        <w:rPr>
          <w:color w:val="231F20"/>
          <w:spacing w:val="24"/>
          <w:w w:val="99"/>
        </w:rPr>
        <w:t> </w:t>
      </w:r>
      <w:r>
        <w:rPr>
          <w:color w:val="231F20"/>
        </w:rPr>
        <w:t>estimated</w:t>
      </w:r>
      <w:r>
        <w:rPr>
          <w:color w:val="231F20"/>
          <w:spacing w:val="-4"/>
        </w:rPr>
        <w:t> </w:t>
      </w:r>
      <w:r>
        <w:rPr>
          <w:color w:val="231F20"/>
          <w:spacing w:val="-1"/>
        </w:rPr>
        <w:t>1,918</w:t>
      </w:r>
      <w:r>
        <w:rPr>
          <w:color w:val="231F20"/>
          <w:spacing w:val="-3"/>
        </w:rPr>
        <w:t> </w:t>
      </w:r>
      <w:r>
        <w:rPr>
          <w:color w:val="231F20"/>
        </w:rPr>
        <w:t>or</w:t>
      </w:r>
      <w:r>
        <w:rPr>
          <w:color w:val="231F20"/>
          <w:spacing w:val="-2"/>
        </w:rPr>
        <w:t> </w:t>
      </w:r>
      <w:r>
        <w:rPr>
          <w:color w:val="231F20"/>
          <w:spacing w:val="-1"/>
        </w:rPr>
        <w:t>88</w:t>
      </w:r>
      <w:r>
        <w:rPr>
          <w:color w:val="231F20"/>
          <w:spacing w:val="-3"/>
        </w:rPr>
        <w:t> </w:t>
      </w:r>
      <w:r>
        <w:rPr>
          <w:color w:val="231F20"/>
        </w:rPr>
        <w:t>per</w:t>
      </w:r>
      <w:r>
        <w:rPr>
          <w:color w:val="231F20"/>
          <w:spacing w:val="-2"/>
        </w:rPr>
        <w:t> </w:t>
      </w:r>
      <w:r>
        <w:rPr>
          <w:color w:val="231F20"/>
        </w:rPr>
        <w:t>cent</w:t>
      </w:r>
      <w:r>
        <w:rPr>
          <w:color w:val="231F20"/>
          <w:spacing w:val="-4"/>
        </w:rPr>
        <w:t> </w:t>
      </w:r>
      <w:r>
        <w:rPr>
          <w:color w:val="231F20"/>
          <w:spacing w:val="-1"/>
        </w:rPr>
        <w:t>identifying</w:t>
      </w:r>
      <w:r>
        <w:rPr>
          <w:color w:val="231F20"/>
          <w:spacing w:val="-2"/>
        </w:rPr>
        <w:t> </w:t>
      </w:r>
      <w:r>
        <w:rPr>
          <w:color w:val="231F20"/>
        </w:rPr>
        <w:t>as</w:t>
      </w:r>
      <w:r>
        <w:rPr>
          <w:color w:val="231F20"/>
          <w:spacing w:val="24"/>
        </w:rPr>
        <w:t> </w:t>
      </w:r>
      <w:r>
        <w:rPr>
          <w:color w:val="231F20"/>
        </w:rPr>
        <w:t>Aboriginal</w:t>
      </w:r>
      <w:r>
        <w:rPr>
          <w:color w:val="231F20"/>
          <w:spacing w:val="-6"/>
        </w:rPr>
        <w:t> </w:t>
      </w:r>
      <w:r>
        <w:rPr>
          <w:color w:val="231F20"/>
        </w:rPr>
        <w:t>and/or</w:t>
      </w:r>
      <w:r>
        <w:rPr>
          <w:color w:val="231F20"/>
          <w:spacing w:val="-6"/>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5"/>
        </w:rPr>
        <w:t> </w:t>
      </w:r>
      <w:r>
        <w:rPr>
          <w:color w:val="231F20"/>
        </w:rPr>
        <w:t>Most</w:t>
      </w:r>
      <w:r>
        <w:rPr>
          <w:color w:val="231F20"/>
          <w:spacing w:val="21"/>
        </w:rPr>
        <w:t> </w:t>
      </w:r>
      <w:r>
        <w:rPr>
          <w:color w:val="231F20"/>
        </w:rPr>
        <w:t>of</w:t>
      </w:r>
      <w:r>
        <w:rPr>
          <w:color w:val="231F20"/>
          <w:spacing w:val="-5"/>
        </w:rPr>
        <w:t> </w:t>
      </w:r>
      <w:r>
        <w:rPr>
          <w:color w:val="231F20"/>
        </w:rPr>
        <w:t>these</w:t>
      </w:r>
      <w:r>
        <w:rPr>
          <w:color w:val="231F20"/>
          <w:spacing w:val="-5"/>
        </w:rPr>
        <w:t> </w:t>
      </w:r>
      <w:r>
        <w:rPr>
          <w:color w:val="231F20"/>
        </w:rPr>
        <w:t>boarding</w:t>
      </w:r>
      <w:r>
        <w:rPr>
          <w:color w:val="231F20"/>
          <w:spacing w:val="-5"/>
        </w:rPr>
        <w:t> </w:t>
      </w:r>
      <w:r>
        <w:rPr>
          <w:color w:val="231F20"/>
        </w:rPr>
        <w:t>providers</w:t>
      </w:r>
      <w:r>
        <w:rPr>
          <w:color w:val="231F20"/>
          <w:spacing w:val="-5"/>
        </w:rPr>
        <w:t> </w:t>
      </w:r>
      <w:r>
        <w:rPr>
          <w:color w:val="231F20"/>
        </w:rPr>
        <w:t>that</w:t>
      </w:r>
      <w:r>
        <w:rPr>
          <w:color w:val="231F20"/>
          <w:spacing w:val="-6"/>
        </w:rPr>
        <w:t> </w:t>
      </w:r>
      <w:r>
        <w:rPr>
          <w:color w:val="231F20"/>
        </w:rPr>
        <w:t>are</w:t>
      </w:r>
      <w:r>
        <w:rPr>
          <w:color w:val="231F20"/>
          <w:spacing w:val="-5"/>
        </w:rPr>
        <w:t> </w:t>
      </w:r>
      <w:r>
        <w:rPr>
          <w:color w:val="231F20"/>
        </w:rPr>
        <w:t>part</w:t>
      </w:r>
      <w:r>
        <w:rPr>
          <w:color w:val="231F20"/>
          <w:spacing w:val="-4"/>
        </w:rPr>
        <w:t> </w:t>
      </w:r>
      <w:r>
        <w:rPr>
          <w:color w:val="231F20"/>
        </w:rPr>
        <w:t>of</w:t>
      </w:r>
      <w:r>
        <w:rPr/>
      </w:r>
    </w:p>
    <w:p>
      <w:pPr>
        <w:pStyle w:val="BodyText"/>
        <w:spacing w:line="250" w:lineRule="exact"/>
        <w:ind w:left="145" w:right="115"/>
        <w:jc w:val="left"/>
      </w:pPr>
      <w:r>
        <w:rPr>
          <w:rFonts w:ascii="Segoe UI"/>
          <w:color w:val="231F20"/>
        </w:rPr>
        <w:t>a school are classified by the Department of </w:t>
      </w:r>
      <w:r>
        <w:rPr>
          <w:color w:val="231F20"/>
        </w:rPr>
        <w:t>Education</w:t>
      </w:r>
      <w:r>
        <w:rPr>
          <w:color w:val="231F20"/>
          <w:spacing w:val="-9"/>
        </w:rPr>
        <w:t> </w:t>
      </w:r>
      <w:r>
        <w:rPr>
          <w:color w:val="231F20"/>
        </w:rPr>
        <w:t>and</w:t>
      </w:r>
      <w:r>
        <w:rPr>
          <w:color w:val="231F20"/>
          <w:spacing w:val="-8"/>
        </w:rPr>
        <w:t> </w:t>
      </w:r>
      <w:r>
        <w:rPr>
          <w:color w:val="231F20"/>
          <w:spacing w:val="-3"/>
        </w:rPr>
        <w:t>Training</w:t>
      </w:r>
      <w:r>
        <w:rPr>
          <w:color w:val="231F20"/>
          <w:spacing w:val="-8"/>
        </w:rPr>
        <w:t> </w:t>
      </w:r>
      <w:r>
        <w:rPr>
          <w:color w:val="231F20"/>
        </w:rPr>
        <w:t>as</w:t>
      </w:r>
      <w:r>
        <w:rPr>
          <w:color w:val="231F20"/>
          <w:spacing w:val="-8"/>
        </w:rPr>
        <w:t> </w:t>
      </w:r>
      <w:r>
        <w:rPr>
          <w:color w:val="231F20"/>
        </w:rPr>
        <w:t>Majority</w:t>
      </w:r>
      <w:r>
        <w:rPr>
          <w:color w:val="231F20"/>
          <w:spacing w:val="-8"/>
        </w:rPr>
        <w:t> </w:t>
      </w:r>
      <w:r>
        <w:rPr>
          <w:color w:val="231F20"/>
        </w:rPr>
        <w:t>Aboriginal</w:t>
      </w:r>
      <w:r>
        <w:rPr>
          <w:color w:val="231F20"/>
          <w:spacing w:val="26"/>
          <w:w w:val="99"/>
        </w:rPr>
        <w:t> </w:t>
      </w:r>
      <w:r>
        <w:rPr>
          <w:color w:val="231F20"/>
        </w:rPr>
        <w:t>and</w:t>
      </w:r>
      <w:r>
        <w:rPr>
          <w:color w:val="231F20"/>
          <w:spacing w:val="-5"/>
        </w:rPr>
        <w:t> 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4"/>
        </w:rPr>
        <w:t> </w:t>
      </w:r>
      <w:r>
        <w:rPr>
          <w:color w:val="231F20"/>
          <w:spacing w:val="-1"/>
        </w:rPr>
        <w:t>Schools</w:t>
      </w:r>
      <w:r>
        <w:rPr>
          <w:color w:val="231F20"/>
          <w:spacing w:val="-3"/>
        </w:rPr>
        <w:t> </w:t>
      </w:r>
      <w:r>
        <w:rPr>
          <w:color w:val="231F20"/>
        </w:rPr>
        <w:t>for</w:t>
      </w:r>
      <w:r>
        <w:rPr>
          <w:color w:val="231F20"/>
          <w:spacing w:val="-4"/>
        </w:rPr>
        <w:t> </w:t>
      </w:r>
      <w:r>
        <w:rPr>
          <w:color w:val="231F20"/>
        </w:rPr>
        <w:t>funding</w:t>
      </w:r>
      <w:r>
        <w:rPr>
          <w:color w:val="231F20"/>
          <w:spacing w:val="23"/>
          <w:w w:val="99"/>
        </w:rPr>
        <w:t> </w:t>
      </w:r>
      <w:r>
        <w:rPr>
          <w:color w:val="231F20"/>
        </w:rPr>
        <w:t>purposes.</w:t>
      </w:r>
      <w:r>
        <w:rPr>
          <w:color w:val="231F20"/>
          <w:spacing w:val="-5"/>
        </w:rPr>
        <w:t> </w:t>
      </w:r>
      <w:r>
        <w:rPr>
          <w:color w:val="231F20"/>
        </w:rPr>
        <w:t>The</w:t>
      </w:r>
      <w:r>
        <w:rPr>
          <w:color w:val="231F20"/>
          <w:spacing w:val="-4"/>
        </w:rPr>
        <w:t> </w:t>
      </w:r>
      <w:r>
        <w:rPr>
          <w:color w:val="231F20"/>
        </w:rPr>
        <w:t>assumption</w:t>
      </w:r>
      <w:r>
        <w:rPr>
          <w:color w:val="231F20"/>
          <w:spacing w:val="-5"/>
        </w:rPr>
        <w:t> </w:t>
      </w:r>
      <w:r>
        <w:rPr>
          <w:color w:val="231F20"/>
          <w:spacing w:val="-1"/>
        </w:rPr>
        <w:t>is</w:t>
      </w:r>
      <w:r>
        <w:rPr>
          <w:color w:val="231F20"/>
          <w:spacing w:val="-5"/>
        </w:rPr>
        <w:t> </w:t>
      </w:r>
      <w:r>
        <w:rPr>
          <w:color w:val="231F20"/>
          <w:spacing w:val="-1"/>
        </w:rPr>
        <w:t>made</w:t>
      </w:r>
      <w:r>
        <w:rPr>
          <w:color w:val="231F20"/>
          <w:spacing w:val="-4"/>
        </w:rPr>
        <w:t> </w:t>
      </w:r>
      <w:r>
        <w:rPr>
          <w:color w:val="231F20"/>
        </w:rPr>
        <w:t>that</w:t>
      </w:r>
      <w:r>
        <w:rPr>
          <w:color w:val="231F20"/>
          <w:spacing w:val="-5"/>
        </w:rPr>
        <w:t> </w:t>
      </w:r>
      <w:r>
        <w:rPr>
          <w:color w:val="231F20"/>
        </w:rPr>
        <w:t>the</w:t>
      </w:r>
      <w:r>
        <w:rPr>
          <w:color w:val="231F20"/>
          <w:spacing w:val="22"/>
          <w:w w:val="99"/>
        </w:rPr>
        <w:t> </w:t>
      </w:r>
      <w:r>
        <w:rPr>
          <w:color w:val="231F20"/>
        </w:rPr>
        <w:t>data</w:t>
      </w:r>
      <w:r>
        <w:rPr>
          <w:color w:val="231F20"/>
          <w:spacing w:val="-8"/>
        </w:rPr>
        <w:t> </w:t>
      </w:r>
      <w:r>
        <w:rPr>
          <w:color w:val="231F20"/>
        </w:rPr>
        <w:t>for</w:t>
      </w:r>
      <w:r>
        <w:rPr>
          <w:color w:val="231F20"/>
          <w:spacing w:val="-7"/>
        </w:rPr>
        <w:t> </w:t>
      </w:r>
      <w:r>
        <w:rPr>
          <w:color w:val="231F20"/>
        </w:rPr>
        <w:t>the</w:t>
      </w:r>
      <w:r>
        <w:rPr>
          <w:color w:val="231F20"/>
          <w:spacing w:val="-7"/>
        </w:rPr>
        <w:t> </w:t>
      </w:r>
      <w:r>
        <w:rPr>
          <w:color w:val="231F20"/>
          <w:spacing w:val="-1"/>
        </w:rPr>
        <w:t>included</w:t>
      </w:r>
      <w:r>
        <w:rPr>
          <w:color w:val="231F20"/>
          <w:spacing w:val="-7"/>
        </w:rPr>
        <w:t> </w:t>
      </w:r>
      <w:r>
        <w:rPr>
          <w:color w:val="231F20"/>
        </w:rPr>
        <w:t>boarding</w:t>
      </w:r>
      <w:r>
        <w:rPr>
          <w:color w:val="231F20"/>
          <w:spacing w:val="-8"/>
        </w:rPr>
        <w:t> </w:t>
      </w:r>
      <w:r>
        <w:rPr>
          <w:color w:val="231F20"/>
        </w:rPr>
        <w:t>providers</w:t>
      </w:r>
      <w:r>
        <w:rPr/>
      </w:r>
    </w:p>
    <w:p>
      <w:pPr>
        <w:pStyle w:val="BodyText"/>
        <w:spacing w:line="250" w:lineRule="exact"/>
        <w:ind w:left="145" w:right="0"/>
        <w:jc w:val="left"/>
      </w:pPr>
      <w:r>
        <w:rPr>
          <w:color w:val="231F20"/>
          <w:spacing w:val="-1"/>
        </w:rPr>
        <w:t>is</w:t>
      </w:r>
      <w:r>
        <w:rPr>
          <w:color w:val="231F20"/>
          <w:spacing w:val="-8"/>
        </w:rPr>
        <w:t> </w:t>
      </w:r>
      <w:r>
        <w:rPr>
          <w:color w:val="231F20"/>
        </w:rPr>
        <w:t>therefore</w:t>
      </w:r>
      <w:r>
        <w:rPr>
          <w:color w:val="231F20"/>
          <w:spacing w:val="-8"/>
        </w:rPr>
        <w:t> </w:t>
      </w:r>
      <w:r>
        <w:rPr>
          <w:color w:val="231F20"/>
        </w:rPr>
        <w:t>representative</w:t>
      </w:r>
      <w:r>
        <w:rPr>
          <w:color w:val="231F20"/>
          <w:spacing w:val="-8"/>
        </w:rPr>
        <w:t> </w:t>
      </w:r>
      <w:r>
        <w:rPr>
          <w:color w:val="231F20"/>
        </w:rPr>
        <w:t>of</w:t>
      </w:r>
      <w:r>
        <w:rPr>
          <w:color w:val="231F20"/>
          <w:spacing w:val="-7"/>
        </w:rPr>
        <w:t> </w:t>
      </w:r>
      <w:r>
        <w:rPr>
          <w:color w:val="231F20"/>
        </w:rPr>
        <w:t>boarding</w:t>
      </w:r>
      <w:r>
        <w:rPr>
          <w:color w:val="231F20"/>
          <w:spacing w:val="-7"/>
        </w:rPr>
        <w:t> </w:t>
      </w:r>
      <w:r>
        <w:rPr>
          <w:color w:val="231F20"/>
        </w:rPr>
        <w:t>for</w:t>
      </w:r>
      <w:r>
        <w:rPr>
          <w:color w:val="231F20"/>
          <w:spacing w:val="21"/>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8"/>
        </w:rPr>
        <w:t> </w:t>
      </w:r>
      <w:r>
        <w:rPr>
          <w:color w:val="231F20"/>
          <w:spacing w:val="-1"/>
        </w:rPr>
        <w:t>Islander</w:t>
      </w:r>
      <w:r>
        <w:rPr>
          <w:color w:val="231F20"/>
          <w:spacing w:val="-6"/>
        </w:rPr>
        <w:t> </w:t>
      </w:r>
      <w:r>
        <w:rPr>
          <w:color w:val="231F20"/>
          <w:spacing w:val="-1"/>
        </w:rPr>
        <w:t>secondary</w:t>
      </w:r>
      <w:r>
        <w:rPr>
          <w:color w:val="231F20"/>
          <w:spacing w:val="20"/>
          <w:w w:val="99"/>
        </w:rPr>
        <w:t> </w:t>
      </w:r>
      <w:r>
        <w:rPr>
          <w:color w:val="231F20"/>
          <w:spacing w:val="-1"/>
        </w:rPr>
        <w:t>students.</w:t>
      </w:r>
      <w:r>
        <w:rPr/>
      </w:r>
    </w:p>
    <w:p>
      <w:pPr>
        <w:pStyle w:val="BodyText"/>
        <w:spacing w:line="250" w:lineRule="exact" w:before="113"/>
        <w:ind w:left="145" w:right="59"/>
        <w:jc w:val="left"/>
      </w:pPr>
      <w:r>
        <w:rPr>
          <w:color w:val="231F20"/>
          <w:spacing w:val="-5"/>
        </w:rPr>
        <w:t>T</w:t>
      </w:r>
      <w:r>
        <w:rPr>
          <w:color w:val="231F20"/>
          <w:spacing w:val="-4"/>
        </w:rPr>
        <w:t>ables </w:t>
      </w:r>
      <w:r>
        <w:rPr>
          <w:color w:val="231F20"/>
        </w:rPr>
        <w:t>and</w:t>
      </w:r>
      <w:r>
        <w:rPr>
          <w:color w:val="231F20"/>
          <w:spacing w:val="-4"/>
        </w:rPr>
        <w:t> </w:t>
      </w:r>
      <w:r>
        <w:rPr>
          <w:color w:val="231F20"/>
        </w:rPr>
        <w:t>graphs</w:t>
      </w:r>
      <w:r>
        <w:rPr>
          <w:color w:val="231F20"/>
          <w:spacing w:val="-4"/>
        </w:rPr>
        <w:t> </w:t>
      </w:r>
      <w:r>
        <w:rPr>
          <w:color w:val="231F20"/>
          <w:spacing w:val="-1"/>
        </w:rPr>
        <w:t>in</w:t>
      </w:r>
      <w:r>
        <w:rPr>
          <w:color w:val="231F20"/>
          <w:spacing w:val="-3"/>
        </w:rPr>
        <w:t> </w:t>
      </w:r>
      <w:r>
        <w:rPr>
          <w:color w:val="231F20"/>
        </w:rPr>
        <w:t>this</w:t>
      </w:r>
      <w:r>
        <w:rPr>
          <w:color w:val="231F20"/>
          <w:spacing w:val="-4"/>
        </w:rPr>
        <w:t> </w:t>
      </w:r>
      <w:r>
        <w:rPr>
          <w:color w:val="231F20"/>
        </w:rPr>
        <w:t>report</w:t>
      </w:r>
      <w:r>
        <w:rPr>
          <w:color w:val="231F20"/>
          <w:spacing w:val="-4"/>
        </w:rPr>
        <w:t> </w:t>
      </w:r>
      <w:r>
        <w:rPr>
          <w:color w:val="231F20"/>
        </w:rPr>
        <w:t>refer</w:t>
      </w:r>
      <w:r>
        <w:rPr>
          <w:color w:val="231F20"/>
          <w:spacing w:val="-4"/>
        </w:rPr>
        <w:t> </w:t>
      </w:r>
      <w:r>
        <w:rPr>
          <w:color w:val="231F20"/>
        </w:rPr>
        <w:t>to</w:t>
      </w:r>
      <w:r>
        <w:rPr>
          <w:color w:val="231F20"/>
          <w:spacing w:val="22"/>
          <w:w w:val="99"/>
        </w:rPr>
        <w:t> </w:t>
      </w:r>
      <w:r>
        <w:rPr>
          <w:color w:val="231F20"/>
        </w:rPr>
        <w:t>boarding</w:t>
      </w:r>
      <w:r>
        <w:rPr>
          <w:color w:val="231F20"/>
          <w:spacing w:val="-7"/>
        </w:rPr>
        <w:t> </w:t>
      </w:r>
      <w:r>
        <w:rPr>
          <w:color w:val="231F20"/>
        </w:rPr>
        <w:t>data</w:t>
      </w:r>
      <w:r>
        <w:rPr>
          <w:color w:val="231F20"/>
          <w:spacing w:val="-7"/>
        </w:rPr>
        <w:t> </w:t>
      </w:r>
      <w:r>
        <w:rPr>
          <w:color w:val="231F20"/>
        </w:rPr>
        <w:t>only</w:t>
      </w:r>
      <w:r>
        <w:rPr>
          <w:color w:val="231F20"/>
          <w:spacing w:val="-7"/>
        </w:rPr>
        <w:t> </w:t>
      </w:r>
      <w:r>
        <w:rPr>
          <w:color w:val="231F20"/>
        </w:rPr>
        <w:t>unless</w:t>
      </w:r>
      <w:r>
        <w:rPr>
          <w:color w:val="231F20"/>
          <w:spacing w:val="-7"/>
        </w:rPr>
        <w:t> </w:t>
      </w:r>
      <w:r>
        <w:rPr>
          <w:color w:val="231F20"/>
          <w:spacing w:val="-1"/>
        </w:rPr>
        <w:t>stated</w:t>
      </w:r>
      <w:r>
        <w:rPr>
          <w:color w:val="231F20"/>
          <w:spacing w:val="-7"/>
        </w:rPr>
        <w:t> </w:t>
      </w:r>
      <w:r>
        <w:rPr>
          <w:color w:val="231F20"/>
        </w:rPr>
        <w:t>otherwise.</w:t>
      </w:r>
      <w:r>
        <w:rPr/>
      </w:r>
    </w:p>
    <w:p>
      <w:pPr>
        <w:pStyle w:val="BodyText"/>
        <w:spacing w:line="250" w:lineRule="exact" w:before="113"/>
        <w:ind w:left="145" w:right="162"/>
        <w:jc w:val="left"/>
      </w:pPr>
      <w:r>
        <w:rPr>
          <w:color w:val="231F20"/>
          <w:spacing w:val="-1"/>
        </w:rPr>
        <w:t>Boarding</w:t>
      </w:r>
      <w:r>
        <w:rPr>
          <w:color w:val="231F20"/>
          <w:spacing w:val="-6"/>
        </w:rPr>
        <w:t> </w:t>
      </w:r>
      <w:r>
        <w:rPr>
          <w:color w:val="231F20"/>
        </w:rPr>
        <w:t>revenue</w:t>
      </w:r>
      <w:r>
        <w:rPr>
          <w:color w:val="231F20"/>
          <w:spacing w:val="-6"/>
        </w:rPr>
        <w:t> </w:t>
      </w:r>
      <w:r>
        <w:rPr>
          <w:color w:val="231F20"/>
        </w:rPr>
        <w:t>and</w:t>
      </w:r>
      <w:r>
        <w:rPr>
          <w:color w:val="231F20"/>
          <w:spacing w:val="-7"/>
        </w:rPr>
        <w:t> </w:t>
      </w:r>
      <w:r>
        <w:rPr>
          <w:color w:val="231F20"/>
        </w:rPr>
        <w:t>costs</w:t>
      </w:r>
      <w:r>
        <w:rPr>
          <w:color w:val="231F20"/>
          <w:spacing w:val="-6"/>
        </w:rPr>
        <w:t> </w:t>
      </w:r>
      <w:r>
        <w:rPr>
          <w:color w:val="231F20"/>
        </w:rPr>
        <w:t>have</w:t>
      </w:r>
      <w:r>
        <w:rPr>
          <w:color w:val="231F20"/>
          <w:spacing w:val="-6"/>
        </w:rPr>
        <w:t> </w:t>
      </w:r>
      <w:r>
        <w:rPr>
          <w:color w:val="231F20"/>
        </w:rPr>
        <w:t>been</w:t>
      </w:r>
      <w:r>
        <w:rPr>
          <w:color w:val="231F20"/>
          <w:spacing w:val="22"/>
          <w:w w:val="99"/>
        </w:rPr>
        <w:t> </w:t>
      </w:r>
      <w:r>
        <w:rPr>
          <w:color w:val="231F20"/>
          <w:spacing w:val="-1"/>
        </w:rPr>
        <w:t>separated</w:t>
      </w:r>
      <w:r>
        <w:rPr>
          <w:color w:val="231F20"/>
          <w:spacing w:val="-5"/>
        </w:rPr>
        <w:t> </w:t>
      </w:r>
      <w:r>
        <w:rPr>
          <w:color w:val="231F20"/>
        </w:rPr>
        <w:t>from</w:t>
      </w:r>
      <w:r>
        <w:rPr>
          <w:color w:val="231F20"/>
          <w:spacing w:val="-6"/>
        </w:rPr>
        <w:t> </w:t>
      </w:r>
      <w:r>
        <w:rPr>
          <w:color w:val="231F20"/>
        </w:rPr>
        <w:t>tuition</w:t>
      </w:r>
      <w:r>
        <w:rPr>
          <w:color w:val="231F20"/>
          <w:spacing w:val="-7"/>
        </w:rPr>
        <w:t> </w:t>
      </w:r>
      <w:r>
        <w:rPr>
          <w:color w:val="231F20"/>
        </w:rPr>
        <w:t>revenue</w:t>
      </w:r>
      <w:r>
        <w:rPr>
          <w:color w:val="231F20"/>
          <w:spacing w:val="-7"/>
        </w:rPr>
        <w:t> </w:t>
      </w:r>
      <w:r>
        <w:rPr>
          <w:color w:val="231F20"/>
        </w:rPr>
        <w:t>and</w:t>
      </w:r>
      <w:r>
        <w:rPr>
          <w:color w:val="231F20"/>
          <w:spacing w:val="-7"/>
        </w:rPr>
        <w:t> </w:t>
      </w:r>
      <w:r>
        <w:rPr>
          <w:color w:val="231F20"/>
        </w:rPr>
        <w:t>costs</w:t>
      </w:r>
      <w:r>
        <w:rPr>
          <w:color w:val="231F20"/>
        </w:rPr>
        <w:t> </w:t>
      </w:r>
      <w:r>
        <w:rPr>
          <w:color w:val="231F20"/>
          <w:spacing w:val="22"/>
        </w:rPr>
        <w:t> </w:t>
      </w:r>
      <w:r>
        <w:rPr>
          <w:color w:val="231F20"/>
        </w:rPr>
        <w:t>and</w:t>
      </w:r>
      <w:r>
        <w:rPr>
          <w:color w:val="231F20"/>
          <w:spacing w:val="-5"/>
        </w:rPr>
        <w:t> </w:t>
      </w:r>
      <w:r>
        <w:rPr>
          <w:color w:val="231F20"/>
        </w:rPr>
        <w:t>used</w:t>
      </w:r>
      <w:r>
        <w:rPr>
          <w:color w:val="231F20"/>
          <w:spacing w:val="-5"/>
        </w:rPr>
        <w:t> </w:t>
      </w:r>
      <w:r>
        <w:rPr>
          <w:color w:val="231F20"/>
        </w:rPr>
        <w:t>for</w:t>
      </w:r>
      <w:r>
        <w:rPr>
          <w:color w:val="231F20"/>
          <w:spacing w:val="-4"/>
        </w:rPr>
        <w:t> </w:t>
      </w:r>
      <w:r>
        <w:rPr>
          <w:color w:val="231F20"/>
        </w:rPr>
        <w:t>this</w:t>
      </w:r>
      <w:r>
        <w:rPr>
          <w:color w:val="231F20"/>
          <w:spacing w:val="-5"/>
        </w:rPr>
        <w:t> </w:t>
      </w:r>
      <w:r>
        <w:rPr>
          <w:color w:val="231F20"/>
        </w:rPr>
        <w:t>report.</w:t>
      </w:r>
      <w:r>
        <w:rPr>
          <w:color w:val="231F20"/>
          <w:spacing w:val="-5"/>
        </w:rPr>
        <w:t> </w:t>
      </w:r>
      <w:r>
        <w:rPr>
          <w:color w:val="231F20"/>
        </w:rPr>
        <w:t>The</w:t>
      </w:r>
      <w:r>
        <w:rPr>
          <w:color w:val="231F20"/>
          <w:spacing w:val="-4"/>
        </w:rPr>
        <w:t> </w:t>
      </w:r>
      <w:r>
        <w:rPr>
          <w:color w:val="231F20"/>
          <w:spacing w:val="-1"/>
        </w:rPr>
        <w:t>separation</w:t>
      </w:r>
      <w:r>
        <w:rPr>
          <w:color w:val="231F20"/>
          <w:spacing w:val="-3"/>
        </w:rPr>
        <w:t> </w:t>
      </w:r>
      <w:r>
        <w:rPr>
          <w:color w:val="231F20"/>
        </w:rPr>
        <w:t>was</w:t>
      </w:r>
      <w:r>
        <w:rPr>
          <w:color w:val="231F20"/>
          <w:spacing w:val="22"/>
          <w:w w:val="99"/>
        </w:rPr>
        <w:t> </w:t>
      </w:r>
      <w:r>
        <w:rPr>
          <w:color w:val="231F20"/>
        </w:rPr>
        <w:t>undertaken</w:t>
      </w:r>
      <w:r>
        <w:rPr>
          <w:color w:val="231F20"/>
          <w:spacing w:val="-9"/>
        </w:rPr>
        <w:t> </w:t>
      </w:r>
      <w:r>
        <w:rPr>
          <w:color w:val="231F20"/>
        </w:rPr>
        <w:t>by</w:t>
      </w:r>
      <w:r>
        <w:rPr>
          <w:color w:val="231F20"/>
          <w:spacing w:val="-7"/>
        </w:rPr>
        <w:t> </w:t>
      </w:r>
      <w:r>
        <w:rPr>
          <w:color w:val="231F20"/>
        </w:rPr>
        <w:t>each</w:t>
      </w:r>
      <w:r>
        <w:rPr>
          <w:color w:val="231F20"/>
          <w:spacing w:val="-8"/>
        </w:rPr>
        <w:t> </w:t>
      </w:r>
      <w:r>
        <w:rPr>
          <w:color w:val="231F20"/>
        </w:rPr>
        <w:t>boarding</w:t>
      </w:r>
      <w:r>
        <w:rPr>
          <w:color w:val="231F20"/>
          <w:spacing w:val="-8"/>
        </w:rPr>
        <w:t> </w:t>
      </w:r>
      <w:r>
        <w:rPr>
          <w:color w:val="231F20"/>
        </w:rPr>
        <w:t>provider</w:t>
      </w:r>
      <w:r>
        <w:rPr>
          <w:color w:val="231F20"/>
          <w:spacing w:val="-9"/>
        </w:rPr>
        <w:t> </w:t>
      </w:r>
      <w:r>
        <w:rPr>
          <w:color w:val="231F20"/>
        </w:rPr>
        <w:t>based</w:t>
      </w:r>
      <w:r>
        <w:rPr>
          <w:color w:val="231F20"/>
          <w:w w:val="99"/>
        </w:rPr>
        <w:t> </w:t>
      </w:r>
      <w:r>
        <w:rPr>
          <w:color w:val="231F20"/>
        </w:rPr>
        <w:t>on</w:t>
      </w:r>
      <w:r>
        <w:rPr>
          <w:color w:val="231F20"/>
          <w:spacing w:val="-3"/>
        </w:rPr>
        <w:t> </w:t>
      </w:r>
      <w:r>
        <w:rPr>
          <w:color w:val="231F20"/>
        </w:rPr>
        <w:t>estimates.</w:t>
      </w:r>
      <w:r>
        <w:rPr/>
      </w:r>
    </w:p>
    <w:p>
      <w:pPr>
        <w:pStyle w:val="BodyText"/>
        <w:spacing w:line="250" w:lineRule="exact" w:before="113"/>
        <w:ind w:left="145" w:right="64"/>
        <w:jc w:val="both"/>
        <w:rPr>
          <w:rFonts w:ascii="Segoe UI" w:hAnsi="Segoe UI" w:cs="Segoe UI" w:eastAsia="Segoe UI"/>
        </w:rPr>
      </w:pPr>
      <w:r>
        <w:rPr>
          <w:rFonts w:ascii="Segoe UI"/>
          <w:color w:val="231F20"/>
          <w:spacing w:val="-10"/>
        </w:rPr>
        <w:t>To</w:t>
      </w:r>
      <w:r>
        <w:rPr>
          <w:rFonts w:ascii="Segoe UI"/>
          <w:color w:val="231F20"/>
        </w:rPr>
        <w:t> ensure consistency, the financial analysis in</w:t>
      </w:r>
      <w:r>
        <w:rPr>
          <w:rFonts w:ascii="Segoe UI"/>
          <w:color w:val="231F20"/>
        </w:rPr>
        <w:t> this evaluation is based on three year financial </w:t>
      </w:r>
      <w:r>
        <w:rPr>
          <w:color w:val="231F20"/>
        </w:rPr>
        <w:t>and</w:t>
      </w:r>
      <w:r>
        <w:rPr>
          <w:color w:val="231F20"/>
          <w:spacing w:val="-5"/>
        </w:rPr>
        <w:t> </w:t>
      </w:r>
      <w:r>
        <w:rPr>
          <w:color w:val="231F20"/>
        </w:rPr>
        <w:t>operational</w:t>
      </w:r>
      <w:r>
        <w:rPr>
          <w:color w:val="231F20"/>
          <w:spacing w:val="-5"/>
        </w:rPr>
        <w:t> </w:t>
      </w:r>
      <w:r>
        <w:rPr>
          <w:color w:val="231F20"/>
        </w:rPr>
        <w:t>trend</w:t>
      </w:r>
      <w:r>
        <w:rPr>
          <w:color w:val="231F20"/>
          <w:spacing w:val="-4"/>
        </w:rPr>
        <w:t> </w:t>
      </w:r>
      <w:r>
        <w:rPr>
          <w:color w:val="231F20"/>
        </w:rPr>
        <w:t>data</w:t>
      </w:r>
      <w:r>
        <w:rPr>
          <w:color w:val="231F20"/>
          <w:spacing w:val="-5"/>
        </w:rPr>
        <w:t> </w:t>
      </w:r>
      <w:r>
        <w:rPr>
          <w:color w:val="231F20"/>
        </w:rPr>
        <w:t>for</w:t>
      </w:r>
      <w:r>
        <w:rPr>
          <w:color w:val="231F20"/>
          <w:spacing w:val="-3"/>
        </w:rPr>
        <w:t> </w:t>
      </w:r>
      <w:r>
        <w:rPr>
          <w:color w:val="231F20"/>
          <w:spacing w:val="-1"/>
        </w:rPr>
        <w:t>2015,</w:t>
      </w:r>
      <w:r>
        <w:rPr>
          <w:color w:val="231F20"/>
          <w:spacing w:val="-4"/>
        </w:rPr>
        <w:t> </w:t>
      </w:r>
      <w:r>
        <w:rPr>
          <w:color w:val="231F20"/>
          <w:spacing w:val="-1"/>
        </w:rPr>
        <w:t>2016</w:t>
      </w:r>
      <w:r>
        <w:rPr>
          <w:color w:val="231F20"/>
          <w:spacing w:val="-4"/>
        </w:rPr>
        <w:t> </w:t>
      </w:r>
      <w:r>
        <w:rPr>
          <w:color w:val="231F20"/>
        </w:rPr>
        <w:t>and</w:t>
      </w:r>
      <w:r>
        <w:rPr>
          <w:color w:val="231F20"/>
          <w:spacing w:val="23"/>
          <w:w w:val="99"/>
        </w:rPr>
        <w:t> </w:t>
      </w:r>
      <w:r>
        <w:rPr>
          <w:rFonts w:ascii="Segoe UI"/>
          <w:color w:val="231F20"/>
        </w:rPr>
        <w:t>2017 from financial questionnaires provided</w:t>
      </w:r>
      <w:r>
        <w:rPr>
          <w:rFonts w:ascii="Segoe UI"/>
        </w:rPr>
      </w:r>
    </w:p>
    <w:p>
      <w:pPr>
        <w:pStyle w:val="BodyText"/>
        <w:spacing w:line="250" w:lineRule="exact"/>
        <w:ind w:left="145" w:right="115"/>
        <w:jc w:val="left"/>
      </w:pPr>
      <w:r>
        <w:rPr>
          <w:color w:val="231F20"/>
        </w:rPr>
        <w:t>to</w:t>
      </w:r>
      <w:r>
        <w:rPr>
          <w:color w:val="231F20"/>
          <w:spacing w:val="-7"/>
        </w:rPr>
        <w:t> </w:t>
      </w:r>
      <w:r>
        <w:rPr>
          <w:color w:val="231F20"/>
        </w:rPr>
        <w:t>the</w:t>
      </w:r>
      <w:r>
        <w:rPr>
          <w:color w:val="231F20"/>
          <w:spacing w:val="-7"/>
        </w:rPr>
        <w:t> </w:t>
      </w:r>
      <w:r>
        <w:rPr>
          <w:color w:val="231F20"/>
          <w:spacing w:val="-1"/>
        </w:rPr>
        <w:t>Department</w:t>
      </w:r>
      <w:r>
        <w:rPr>
          <w:color w:val="231F20"/>
          <w:spacing w:val="-6"/>
        </w:rPr>
        <w:t> </w:t>
      </w:r>
      <w:r>
        <w:rPr>
          <w:color w:val="231F20"/>
        </w:rPr>
        <w:t>of</w:t>
      </w:r>
      <w:r>
        <w:rPr>
          <w:color w:val="231F20"/>
          <w:spacing w:val="-6"/>
        </w:rPr>
        <w:t> </w:t>
      </w:r>
      <w:r>
        <w:rPr>
          <w:color w:val="231F20"/>
        </w:rPr>
        <w:t>Education</w:t>
      </w:r>
      <w:r>
        <w:rPr>
          <w:color w:val="231F20"/>
          <w:spacing w:val="-7"/>
        </w:rPr>
        <w:t> </w:t>
      </w:r>
      <w:r>
        <w:rPr>
          <w:color w:val="231F20"/>
        </w:rPr>
        <w:t>and</w:t>
      </w:r>
      <w:r>
        <w:rPr>
          <w:color w:val="231F20"/>
          <w:spacing w:val="-7"/>
        </w:rPr>
        <w:t> </w:t>
      </w:r>
      <w:r>
        <w:rPr>
          <w:color w:val="231F20"/>
          <w:spacing w:val="-3"/>
        </w:rPr>
        <w:t>Training</w:t>
      </w:r>
      <w:r>
        <w:rPr>
          <w:color w:val="231F20"/>
          <w:spacing w:val="28"/>
          <w:w w:val="99"/>
        </w:rPr>
        <w:t> </w:t>
      </w:r>
      <w:r>
        <w:rPr>
          <w:color w:val="231F20"/>
        </w:rPr>
        <w:t>(DET)</w:t>
      </w:r>
      <w:r>
        <w:rPr>
          <w:color w:val="231F20"/>
          <w:spacing w:val="-4"/>
        </w:rPr>
        <w:t> </w:t>
      </w:r>
      <w:r>
        <w:rPr>
          <w:color w:val="231F20"/>
        </w:rPr>
        <w:t>by</w:t>
      </w:r>
      <w:r>
        <w:rPr>
          <w:color w:val="231F20"/>
          <w:spacing w:val="-3"/>
        </w:rPr>
        <w:t> </w:t>
      </w:r>
      <w:r>
        <w:rPr>
          <w:color w:val="231F20"/>
        </w:rPr>
        <w:t>the</w:t>
      </w:r>
      <w:r>
        <w:rPr>
          <w:color w:val="231F20"/>
          <w:spacing w:val="-4"/>
        </w:rPr>
        <w:t> </w:t>
      </w:r>
      <w:r>
        <w:rPr>
          <w:color w:val="231F20"/>
        </w:rPr>
        <w:t>boarding</w:t>
      </w:r>
      <w:r>
        <w:rPr>
          <w:color w:val="231F20"/>
          <w:spacing w:val="-4"/>
        </w:rPr>
        <w:t> </w:t>
      </w:r>
      <w:r>
        <w:rPr>
          <w:color w:val="231F20"/>
          <w:spacing w:val="-1"/>
        </w:rPr>
        <w:t>schools</w:t>
      </w:r>
      <w:r>
        <w:rPr>
          <w:rFonts w:ascii="Segoe UI Semibold"/>
          <w:b/>
          <w:color w:val="231F20"/>
          <w:spacing w:val="-1"/>
          <w:position w:val="7"/>
          <w:sz w:val="11"/>
        </w:rPr>
        <w:t>42</w:t>
      </w:r>
      <w:r>
        <w:rPr>
          <w:rFonts w:ascii="Segoe UI Semibold"/>
          <w:b/>
          <w:color w:val="231F20"/>
          <w:spacing w:val="21"/>
          <w:position w:val="7"/>
          <w:sz w:val="11"/>
        </w:rPr>
        <w:t> </w:t>
      </w:r>
      <w:r>
        <w:rPr>
          <w:color w:val="231F20"/>
          <w:spacing w:val="-1"/>
        </w:rPr>
        <w:t>included</w:t>
      </w:r>
      <w:r>
        <w:rPr>
          <w:color w:val="231F20"/>
          <w:spacing w:val="-3"/>
        </w:rPr>
        <w:t> </w:t>
      </w:r>
      <w:r>
        <w:rPr>
          <w:color w:val="231F20"/>
          <w:spacing w:val="-1"/>
        </w:rPr>
        <w:t>in</w:t>
      </w:r>
      <w:r>
        <w:rPr>
          <w:color w:val="231F20"/>
          <w:spacing w:val="22"/>
        </w:rPr>
        <w:t> </w:t>
      </w:r>
      <w:r>
        <w:rPr>
          <w:color w:val="231F20"/>
        </w:rPr>
        <w:t>the</w:t>
      </w:r>
      <w:r>
        <w:rPr>
          <w:color w:val="231F20"/>
          <w:spacing w:val="-8"/>
        </w:rPr>
        <w:t> </w:t>
      </w:r>
      <w:r>
        <w:rPr>
          <w:color w:val="231F20"/>
        </w:rPr>
        <w:t>evaluation.</w:t>
      </w:r>
      <w:r>
        <w:rPr>
          <w:color w:val="231F20"/>
          <w:spacing w:val="-7"/>
        </w:rPr>
        <w:t> </w:t>
      </w:r>
      <w:r>
        <w:rPr>
          <w:color w:val="231F20"/>
          <w:spacing w:val="-1"/>
        </w:rPr>
        <w:t>For</w:t>
      </w:r>
      <w:r>
        <w:rPr>
          <w:color w:val="231F20"/>
          <w:spacing w:val="-6"/>
        </w:rPr>
        <w:t> </w:t>
      </w:r>
      <w:r>
        <w:rPr>
          <w:color w:val="231F20"/>
          <w:spacing w:val="-1"/>
        </w:rPr>
        <w:t>some</w:t>
      </w:r>
      <w:r>
        <w:rPr>
          <w:color w:val="231F20"/>
          <w:spacing w:val="-7"/>
        </w:rPr>
        <w:t> </w:t>
      </w:r>
      <w:r>
        <w:rPr>
          <w:color w:val="231F20"/>
        </w:rPr>
        <w:t>boarding</w:t>
      </w:r>
      <w:r>
        <w:rPr>
          <w:color w:val="231F20"/>
          <w:spacing w:val="-7"/>
        </w:rPr>
        <w:t> </w:t>
      </w:r>
      <w:r>
        <w:rPr>
          <w:color w:val="231F20"/>
        </w:rPr>
        <w:t>providers</w:t>
      </w:r>
      <w:r>
        <w:rPr>
          <w:color w:val="231F20"/>
          <w:spacing w:val="22"/>
          <w:w w:val="99"/>
        </w:rPr>
        <w:t> </w:t>
      </w:r>
      <w:r>
        <w:rPr>
          <w:color w:val="231F20"/>
        </w:rPr>
        <w:t>the</w:t>
      </w:r>
      <w:r>
        <w:rPr>
          <w:color w:val="231F20"/>
          <w:spacing w:val="-4"/>
        </w:rPr>
        <w:t> </w:t>
      </w:r>
      <w:r>
        <w:rPr>
          <w:color w:val="231F20"/>
        </w:rPr>
        <w:t>data</w:t>
      </w:r>
      <w:r>
        <w:rPr>
          <w:color w:val="231F20"/>
          <w:spacing w:val="-4"/>
        </w:rPr>
        <w:t> </w:t>
      </w:r>
      <w:r>
        <w:rPr>
          <w:color w:val="231F20"/>
        </w:rPr>
        <w:t>was</w:t>
      </w:r>
      <w:r>
        <w:rPr>
          <w:color w:val="231F20"/>
          <w:spacing w:val="-3"/>
        </w:rPr>
        <w:t> </w:t>
      </w:r>
      <w:r>
        <w:rPr>
          <w:color w:val="231F20"/>
          <w:spacing w:val="-1"/>
        </w:rPr>
        <w:t>incomplete</w:t>
      </w:r>
      <w:r>
        <w:rPr>
          <w:color w:val="231F20"/>
          <w:spacing w:val="-3"/>
        </w:rPr>
        <w:t> </w:t>
      </w:r>
      <w:r>
        <w:rPr>
          <w:color w:val="231F20"/>
        </w:rPr>
        <w:t>and</w:t>
      </w:r>
      <w:r>
        <w:rPr>
          <w:color w:val="231F20"/>
          <w:spacing w:val="-4"/>
        </w:rPr>
        <w:t> </w:t>
      </w:r>
      <w:r>
        <w:rPr>
          <w:color w:val="231F20"/>
        </w:rPr>
        <w:t>assumptions</w:t>
      </w:r>
      <w:r>
        <w:rPr>
          <w:color w:val="231F20"/>
          <w:spacing w:val="22"/>
        </w:rPr>
        <w:t> </w:t>
      </w:r>
      <w:r>
        <w:rPr>
          <w:color w:val="231F20"/>
        </w:rPr>
        <w:t>were</w:t>
      </w:r>
      <w:r>
        <w:rPr>
          <w:color w:val="231F20"/>
          <w:spacing w:val="-7"/>
        </w:rPr>
        <w:t> </w:t>
      </w:r>
      <w:r>
        <w:rPr>
          <w:color w:val="231F20"/>
          <w:spacing w:val="-1"/>
        </w:rPr>
        <w:t>made</w:t>
      </w:r>
      <w:r>
        <w:rPr>
          <w:color w:val="231F20"/>
          <w:spacing w:val="-6"/>
        </w:rPr>
        <w:t> </w:t>
      </w:r>
      <w:r>
        <w:rPr>
          <w:color w:val="231F20"/>
        </w:rPr>
        <w:t>to</w:t>
      </w:r>
      <w:r>
        <w:rPr>
          <w:color w:val="231F20"/>
          <w:spacing w:val="-6"/>
        </w:rPr>
        <w:t> </w:t>
      </w:r>
      <w:r>
        <w:rPr>
          <w:color w:val="231F20"/>
        </w:rPr>
        <w:t>enable</w:t>
      </w:r>
      <w:r>
        <w:rPr>
          <w:color w:val="231F20"/>
          <w:spacing w:val="-6"/>
        </w:rPr>
        <w:t> </w:t>
      </w:r>
      <w:r>
        <w:rPr>
          <w:color w:val="231F20"/>
        </w:rPr>
        <w:t>accurate</w:t>
      </w:r>
      <w:r>
        <w:rPr>
          <w:color w:val="231F20"/>
          <w:spacing w:val="-7"/>
        </w:rPr>
        <w:t> </w:t>
      </w:r>
      <w:r>
        <w:rPr>
          <w:color w:val="231F20"/>
        </w:rPr>
        <w:t>and</w:t>
      </w:r>
      <w:r>
        <w:rPr>
          <w:color w:val="231F20"/>
          <w:spacing w:val="-7"/>
        </w:rPr>
        <w:t> </w:t>
      </w:r>
      <w:r>
        <w:rPr>
          <w:color w:val="231F20"/>
        </w:rPr>
        <w:t>reliable</w:t>
      </w:r>
      <w:r>
        <w:rPr>
          <w:color w:val="231F20"/>
          <w:spacing w:val="21"/>
          <w:w w:val="99"/>
        </w:rPr>
        <w:t> </w:t>
      </w:r>
      <w:r>
        <w:rPr>
          <w:color w:val="231F20"/>
        </w:rPr>
        <w:t>comparisons</w:t>
      </w:r>
      <w:r>
        <w:rPr>
          <w:color w:val="231F20"/>
          <w:spacing w:val="-5"/>
        </w:rPr>
        <w:t> </w:t>
      </w:r>
      <w:r>
        <w:rPr>
          <w:color w:val="231F20"/>
        </w:rPr>
        <w:t>to</w:t>
      </w:r>
      <w:r>
        <w:rPr>
          <w:color w:val="231F20"/>
          <w:spacing w:val="-3"/>
        </w:rPr>
        <w:t> </w:t>
      </w:r>
      <w:r>
        <w:rPr>
          <w:color w:val="231F20"/>
        </w:rPr>
        <w:t>be</w:t>
      </w:r>
      <w:r>
        <w:rPr>
          <w:color w:val="231F20"/>
          <w:spacing w:val="-3"/>
        </w:rPr>
        <w:t> </w:t>
      </w:r>
      <w:r>
        <w:rPr>
          <w:color w:val="231F20"/>
          <w:spacing w:val="-1"/>
        </w:rPr>
        <w:t>made.</w:t>
      </w:r>
      <w:r>
        <w:rPr/>
      </w:r>
    </w:p>
    <w:p>
      <w:pPr>
        <w:pStyle w:val="BodyText"/>
        <w:spacing w:line="250" w:lineRule="exact" w:before="113"/>
        <w:ind w:left="145" w:right="59"/>
        <w:jc w:val="left"/>
        <w:rPr>
          <w:rFonts w:ascii="Segoe UI" w:hAnsi="Segoe UI" w:cs="Segoe UI" w:eastAsia="Segoe UI"/>
        </w:rPr>
      </w:pPr>
      <w:r>
        <w:rPr>
          <w:color w:val="231F20"/>
        </w:rPr>
        <w:t>The</w:t>
      </w:r>
      <w:r>
        <w:rPr>
          <w:color w:val="231F20"/>
          <w:spacing w:val="-4"/>
        </w:rPr>
        <w:t> </w:t>
      </w:r>
      <w:r>
        <w:rPr>
          <w:color w:val="231F20"/>
        </w:rPr>
        <w:t>accuracy</w:t>
      </w:r>
      <w:r>
        <w:rPr>
          <w:color w:val="231F20"/>
          <w:spacing w:val="-5"/>
        </w:rPr>
        <w:t> </w:t>
      </w:r>
      <w:r>
        <w:rPr>
          <w:color w:val="231F20"/>
        </w:rPr>
        <w:t>of</w:t>
      </w:r>
      <w:r>
        <w:rPr>
          <w:color w:val="231F20"/>
          <w:spacing w:val="-4"/>
        </w:rPr>
        <w:t> </w:t>
      </w:r>
      <w:r>
        <w:rPr>
          <w:color w:val="231F20"/>
        </w:rPr>
        <w:t>the</w:t>
      </w:r>
      <w:r>
        <w:rPr>
          <w:color w:val="231F20"/>
          <w:spacing w:val="-5"/>
        </w:rPr>
        <w:t> </w:t>
      </w:r>
      <w:r>
        <w:rPr>
          <w:color w:val="231F20"/>
        </w:rPr>
        <w:t>data</w:t>
      </w:r>
      <w:r>
        <w:rPr>
          <w:color w:val="231F20"/>
          <w:spacing w:val="-5"/>
        </w:rPr>
        <w:t> </w:t>
      </w:r>
      <w:r>
        <w:rPr>
          <w:color w:val="231F20"/>
        </w:rPr>
        <w:t>relies</w:t>
      </w:r>
      <w:r>
        <w:rPr>
          <w:color w:val="231F20"/>
          <w:spacing w:val="-4"/>
        </w:rPr>
        <w:t> </w:t>
      </w:r>
      <w:r>
        <w:rPr>
          <w:color w:val="231F20"/>
        </w:rPr>
        <w:t>on</w:t>
      </w:r>
      <w:r>
        <w:rPr>
          <w:color w:val="231F20"/>
          <w:spacing w:val="-4"/>
        </w:rPr>
        <w:t> </w:t>
      </w:r>
      <w:r>
        <w:rPr>
          <w:color w:val="231F20"/>
        </w:rPr>
        <w:t>the</w:t>
      </w:r>
      <w:r>
        <w:rPr>
          <w:color w:val="231F20"/>
          <w:spacing w:val="-5"/>
        </w:rPr>
        <w:t> </w:t>
      </w:r>
      <w:r>
        <w:rPr>
          <w:color w:val="231F20"/>
        </w:rPr>
        <w:t>quality</w:t>
      </w:r>
      <w:r>
        <w:rPr>
          <w:color w:val="231F20"/>
          <w:w w:val="99"/>
        </w:rPr>
        <w:t> </w:t>
      </w:r>
      <w:r>
        <w:rPr>
          <w:color w:val="231F20"/>
        </w:rPr>
        <w:t>of</w:t>
      </w:r>
      <w:r>
        <w:rPr>
          <w:color w:val="231F20"/>
          <w:spacing w:val="-6"/>
        </w:rPr>
        <w:t> </w:t>
      </w:r>
      <w:r>
        <w:rPr>
          <w:color w:val="231F20"/>
        </w:rPr>
        <w:t>the</w:t>
      </w:r>
      <w:r>
        <w:rPr>
          <w:color w:val="231F20"/>
          <w:spacing w:val="-6"/>
        </w:rPr>
        <w:t> </w:t>
      </w:r>
      <w:r>
        <w:rPr>
          <w:color w:val="231F20"/>
          <w:spacing w:val="-1"/>
        </w:rPr>
        <w:t>information</w:t>
      </w:r>
      <w:r>
        <w:rPr>
          <w:color w:val="231F20"/>
          <w:spacing w:val="-5"/>
        </w:rPr>
        <w:t> </w:t>
      </w:r>
      <w:r>
        <w:rPr>
          <w:color w:val="231F20"/>
        </w:rPr>
        <w:t>provided</w:t>
      </w:r>
      <w:r>
        <w:rPr>
          <w:color w:val="231F20"/>
          <w:spacing w:val="-6"/>
        </w:rPr>
        <w:t> </w:t>
      </w:r>
      <w:r>
        <w:rPr>
          <w:color w:val="231F20"/>
        </w:rPr>
        <w:t>to</w:t>
      </w:r>
      <w:r>
        <w:rPr>
          <w:color w:val="231F20"/>
          <w:spacing w:val="-5"/>
        </w:rPr>
        <w:t> </w:t>
      </w:r>
      <w:r>
        <w:rPr>
          <w:color w:val="231F20"/>
          <w:spacing w:val="-1"/>
        </w:rPr>
        <w:t>DET</w:t>
      </w:r>
      <w:r>
        <w:rPr>
          <w:color w:val="231F20"/>
          <w:spacing w:val="-6"/>
        </w:rPr>
        <w:t> </w:t>
      </w:r>
      <w:r>
        <w:rPr>
          <w:color w:val="231F20"/>
        </w:rPr>
        <w:t>and</w:t>
      </w:r>
      <w:r>
        <w:rPr>
          <w:color w:val="231F20"/>
          <w:spacing w:val="-6"/>
        </w:rPr>
        <w:t> </w:t>
      </w:r>
      <w:r>
        <w:rPr>
          <w:color w:val="231F20"/>
        </w:rPr>
        <w:t>Grant</w:t>
      </w:r>
      <w:r>
        <w:rPr>
          <w:color w:val="231F20"/>
          <w:spacing w:val="23"/>
          <w:w w:val="99"/>
        </w:rPr>
        <w:t> </w:t>
      </w:r>
      <w:r>
        <w:rPr>
          <w:color w:val="231F20"/>
        </w:rPr>
        <w:t>Thornton.</w:t>
      </w:r>
      <w:r>
        <w:rPr>
          <w:color w:val="231F20"/>
          <w:spacing w:val="-7"/>
        </w:rPr>
        <w:t> </w:t>
      </w:r>
      <w:r>
        <w:rPr>
          <w:color w:val="231F20"/>
        </w:rPr>
        <w:t>The</w:t>
      </w:r>
      <w:r>
        <w:rPr>
          <w:color w:val="231F20"/>
          <w:spacing w:val="-6"/>
        </w:rPr>
        <w:t> </w:t>
      </w:r>
      <w:r>
        <w:rPr>
          <w:color w:val="231F20"/>
        </w:rPr>
        <w:t>data</w:t>
      </w:r>
      <w:r>
        <w:rPr>
          <w:color w:val="231F20"/>
          <w:spacing w:val="-7"/>
        </w:rPr>
        <w:t> </w:t>
      </w:r>
      <w:r>
        <w:rPr>
          <w:color w:val="231F20"/>
        </w:rPr>
        <w:t>was</w:t>
      </w:r>
      <w:r>
        <w:rPr>
          <w:color w:val="231F20"/>
          <w:spacing w:val="-8"/>
        </w:rPr>
        <w:t> </w:t>
      </w:r>
      <w:r>
        <w:rPr>
          <w:color w:val="231F20"/>
        </w:rPr>
        <w:t>not</w:t>
      </w:r>
      <w:r>
        <w:rPr>
          <w:color w:val="231F20"/>
          <w:spacing w:val="-6"/>
        </w:rPr>
        <w:t> </w:t>
      </w:r>
      <w:r>
        <w:rPr>
          <w:color w:val="231F20"/>
        </w:rPr>
        <w:t>produced,</w:t>
      </w:r>
      <w:r>
        <w:rPr>
          <w:color w:val="231F20"/>
          <w:spacing w:val="-7"/>
        </w:rPr>
        <w:t> </w:t>
      </w:r>
      <w:r>
        <w:rPr>
          <w:color w:val="231F20"/>
        </w:rPr>
        <w:t>audited</w:t>
      </w:r>
      <w:r>
        <w:rPr>
          <w:color w:val="231F20"/>
          <w:w w:val="99"/>
        </w:rPr>
        <w:t> </w:t>
      </w:r>
      <w:r>
        <w:rPr>
          <w:rFonts w:ascii="Segoe UI"/>
          <w:color w:val="231F20"/>
        </w:rPr>
        <w:t>or independently verified by Grant Thornton.</w:t>
      </w:r>
      <w:r>
        <w:rPr>
          <w:rFonts w:ascii="Segoe UI"/>
        </w:rPr>
      </w:r>
    </w:p>
    <w:p>
      <w:pPr>
        <w:pStyle w:val="BodyText"/>
        <w:spacing w:line="250" w:lineRule="exact" w:before="72"/>
        <w:ind w:left="145" w:right="0"/>
        <w:jc w:val="left"/>
      </w:pPr>
      <w:r>
        <w:rPr/>
        <w:br w:type="column"/>
      </w:r>
      <w:r>
        <w:rPr>
          <w:color w:val="231F20"/>
          <w:spacing w:val="-3"/>
        </w:rPr>
        <w:t>We </w:t>
      </w:r>
      <w:r>
        <w:rPr>
          <w:color w:val="231F20"/>
        </w:rPr>
        <w:t>have</w:t>
      </w:r>
      <w:r>
        <w:rPr>
          <w:color w:val="231F20"/>
          <w:spacing w:val="-4"/>
        </w:rPr>
        <w:t> </w:t>
      </w:r>
      <w:r>
        <w:rPr>
          <w:color w:val="231F20"/>
        </w:rPr>
        <w:t>used</w:t>
      </w:r>
      <w:r>
        <w:rPr>
          <w:color w:val="231F20"/>
          <w:spacing w:val="-4"/>
        </w:rPr>
        <w:t> </w:t>
      </w:r>
      <w:r>
        <w:rPr>
          <w:color w:val="231F20"/>
        </w:rPr>
        <w:t>recurrent</w:t>
      </w:r>
      <w:r>
        <w:rPr>
          <w:color w:val="231F20"/>
          <w:spacing w:val="-4"/>
        </w:rPr>
        <w:t> </w:t>
      </w:r>
      <w:r>
        <w:rPr>
          <w:color w:val="231F20"/>
          <w:spacing w:val="-1"/>
        </w:rPr>
        <w:t>income</w:t>
      </w:r>
      <w:r>
        <w:rPr>
          <w:rFonts w:ascii="Segoe UI Semibold"/>
          <w:b/>
          <w:color w:val="231F20"/>
          <w:spacing w:val="-1"/>
          <w:position w:val="7"/>
          <w:sz w:val="11"/>
        </w:rPr>
        <w:t>43</w:t>
      </w:r>
      <w:r>
        <w:rPr>
          <w:rFonts w:ascii="Segoe UI Semibold"/>
          <w:b/>
          <w:color w:val="231F20"/>
          <w:spacing w:val="21"/>
          <w:position w:val="7"/>
          <w:sz w:val="11"/>
        </w:rPr>
        <w:t> </w:t>
      </w:r>
      <w:r>
        <w:rPr>
          <w:color w:val="231F20"/>
        </w:rPr>
        <w:t>and</w:t>
      </w:r>
      <w:r>
        <w:rPr>
          <w:color w:val="231F20"/>
          <w:spacing w:val="-3"/>
        </w:rPr>
        <w:t> </w:t>
      </w:r>
      <w:r>
        <w:rPr>
          <w:color w:val="231F20"/>
        </w:rPr>
        <w:t>recurrent</w:t>
      </w:r>
      <w:r>
        <w:rPr>
          <w:color w:val="231F20"/>
          <w:spacing w:val="23"/>
          <w:w w:val="99"/>
        </w:rPr>
        <w:t> </w:t>
      </w:r>
      <w:r>
        <w:rPr>
          <w:color w:val="231F20"/>
          <w:spacing w:val="-1"/>
        </w:rPr>
        <w:t>costs</w:t>
      </w:r>
      <w:r>
        <w:rPr>
          <w:rFonts w:ascii="Segoe UI Semibold"/>
          <w:b/>
          <w:color w:val="231F20"/>
          <w:spacing w:val="-1"/>
          <w:position w:val="7"/>
          <w:sz w:val="11"/>
        </w:rPr>
        <w:t>44</w:t>
      </w:r>
      <w:r>
        <w:rPr>
          <w:rFonts w:ascii="Segoe UI Semibold"/>
          <w:b/>
          <w:color w:val="231F20"/>
          <w:spacing w:val="23"/>
          <w:position w:val="7"/>
          <w:sz w:val="11"/>
        </w:rPr>
        <w:t> </w:t>
      </w:r>
      <w:r>
        <w:rPr>
          <w:color w:val="231F20"/>
        </w:rPr>
        <w:t>data</w:t>
      </w:r>
      <w:r>
        <w:rPr>
          <w:color w:val="231F20"/>
          <w:spacing w:val="-1"/>
        </w:rPr>
        <w:t> </w:t>
      </w:r>
      <w:r>
        <w:rPr>
          <w:color w:val="231F20"/>
        </w:rPr>
        <w:t>as</w:t>
      </w:r>
      <w:r>
        <w:rPr>
          <w:color w:val="231F20"/>
          <w:spacing w:val="-2"/>
        </w:rPr>
        <w:t> </w:t>
      </w:r>
      <w:r>
        <w:rPr>
          <w:color w:val="231F20"/>
        </w:rPr>
        <w:t>the</w:t>
      </w:r>
      <w:r>
        <w:rPr>
          <w:color w:val="231F20"/>
          <w:spacing w:val="-1"/>
        </w:rPr>
        <w:t> </w:t>
      </w:r>
      <w:r>
        <w:rPr>
          <w:color w:val="231F20"/>
        </w:rPr>
        <w:t>basis</w:t>
      </w:r>
      <w:r>
        <w:rPr>
          <w:color w:val="231F20"/>
          <w:spacing w:val="-2"/>
        </w:rPr>
        <w:t> </w:t>
      </w:r>
      <w:r>
        <w:rPr>
          <w:color w:val="231F20"/>
        </w:rPr>
        <w:t>for the</w:t>
      </w:r>
      <w:r>
        <w:rPr>
          <w:color w:val="231F20"/>
          <w:spacing w:val="-2"/>
        </w:rPr>
        <w:t> </w:t>
      </w:r>
      <w:r>
        <w:rPr>
          <w:color w:val="231F20"/>
        </w:rPr>
        <w:t>analysis</w:t>
      </w:r>
      <w:r>
        <w:rPr>
          <w:color w:val="231F20"/>
          <w:spacing w:val="-1"/>
        </w:rPr>
        <w:t> in </w:t>
      </w:r>
      <w:r>
        <w:rPr>
          <w:color w:val="231F20"/>
        </w:rPr>
        <w:t>this</w:t>
      </w:r>
      <w:r>
        <w:rPr>
          <w:color w:val="231F20"/>
          <w:spacing w:val="27"/>
        </w:rPr>
        <w:t> </w:t>
      </w:r>
      <w:r>
        <w:rPr>
          <w:color w:val="231F20"/>
        </w:rPr>
        <w:t>report</w:t>
      </w:r>
      <w:r>
        <w:rPr>
          <w:color w:val="231F20"/>
          <w:spacing w:val="-8"/>
        </w:rPr>
        <w:t> </w:t>
      </w:r>
      <w:r>
        <w:rPr>
          <w:color w:val="231F20"/>
        </w:rPr>
        <w:t>for</w:t>
      </w:r>
      <w:r>
        <w:rPr>
          <w:color w:val="231F20"/>
          <w:spacing w:val="-7"/>
        </w:rPr>
        <w:t> </w:t>
      </w:r>
      <w:r>
        <w:rPr>
          <w:color w:val="231F20"/>
        </w:rPr>
        <w:t>the</w:t>
      </w:r>
      <w:r>
        <w:rPr>
          <w:color w:val="231F20"/>
          <w:spacing w:val="-7"/>
        </w:rPr>
        <w:t> </w:t>
      </w:r>
      <w:r>
        <w:rPr>
          <w:color w:val="231F20"/>
        </w:rPr>
        <w:t>following</w:t>
      </w:r>
      <w:r>
        <w:rPr>
          <w:color w:val="231F20"/>
          <w:spacing w:val="-7"/>
        </w:rPr>
        <w:t> </w:t>
      </w:r>
      <w:r>
        <w:rPr>
          <w:color w:val="231F20"/>
        </w:rPr>
        <w:t>reasons:</w:t>
      </w:r>
      <w:r>
        <w:rPr/>
      </w:r>
    </w:p>
    <w:p>
      <w:pPr>
        <w:pStyle w:val="BodyText"/>
        <w:spacing w:line="250" w:lineRule="exact" w:before="113"/>
        <w:ind w:left="372" w:right="227" w:hanging="227"/>
        <w:jc w:val="left"/>
      </w:pPr>
      <w:r>
        <w:rPr>
          <w:rFonts w:ascii="Century Gothic" w:hAnsi="Century Gothic"/>
          <w:color w:val="231F20"/>
        </w:rPr>
        <w:t>» </w:t>
      </w:r>
      <w:r>
        <w:rPr>
          <w:rFonts w:ascii="Century Gothic" w:hAnsi="Century Gothic"/>
          <w:color w:val="231F20"/>
          <w:spacing w:val="21"/>
        </w:rPr>
        <w:t> </w:t>
      </w:r>
      <w:r>
        <w:rPr>
          <w:color w:val="231F20"/>
        </w:rPr>
        <w:t>to</w:t>
      </w:r>
      <w:r>
        <w:rPr>
          <w:color w:val="231F20"/>
          <w:spacing w:val="-4"/>
        </w:rPr>
        <w:t> </w:t>
      </w:r>
      <w:r>
        <w:rPr>
          <w:color w:val="231F20"/>
        </w:rPr>
        <w:t>exclude</w:t>
      </w:r>
      <w:r>
        <w:rPr>
          <w:color w:val="231F20"/>
          <w:spacing w:val="-5"/>
        </w:rPr>
        <w:t> </w:t>
      </w:r>
      <w:r>
        <w:rPr>
          <w:color w:val="231F20"/>
        </w:rPr>
        <w:t>capital</w:t>
      </w:r>
      <w:r>
        <w:rPr>
          <w:color w:val="231F20"/>
          <w:spacing w:val="-5"/>
        </w:rPr>
        <w:t> </w:t>
      </w:r>
      <w:r>
        <w:rPr>
          <w:color w:val="231F20"/>
          <w:spacing w:val="-1"/>
        </w:rPr>
        <w:t>income</w:t>
      </w:r>
      <w:r>
        <w:rPr>
          <w:color w:val="231F20"/>
          <w:spacing w:val="-4"/>
        </w:rPr>
        <w:t> </w:t>
      </w:r>
      <w:r>
        <w:rPr>
          <w:color w:val="231F20"/>
        </w:rPr>
        <w:t>and</w:t>
      </w:r>
      <w:r>
        <w:rPr>
          <w:color w:val="231F20"/>
          <w:spacing w:val="-5"/>
        </w:rPr>
        <w:t> </w:t>
      </w:r>
      <w:r>
        <w:rPr>
          <w:color w:val="231F20"/>
        </w:rPr>
        <w:t>expenditure</w:t>
      </w:r>
      <w:r>
        <w:rPr>
          <w:color w:val="231F20"/>
          <w:spacing w:val="21"/>
          <w:w w:val="99"/>
        </w:rPr>
        <w:t> </w:t>
      </w:r>
      <w:r>
        <w:rPr>
          <w:color w:val="231F20"/>
        </w:rPr>
        <w:t>amounts.</w:t>
      </w:r>
      <w:r>
        <w:rPr>
          <w:color w:val="231F20"/>
          <w:spacing w:val="-5"/>
        </w:rPr>
        <w:t> </w:t>
      </w:r>
      <w:r>
        <w:rPr>
          <w:color w:val="231F20"/>
        </w:rPr>
        <w:t>The</w:t>
      </w:r>
      <w:r>
        <w:rPr>
          <w:color w:val="231F20"/>
          <w:spacing w:val="-4"/>
        </w:rPr>
        <w:t> </w:t>
      </w:r>
      <w:r>
        <w:rPr>
          <w:color w:val="231F20"/>
        </w:rPr>
        <w:t>exclusion</w:t>
      </w:r>
      <w:r>
        <w:rPr>
          <w:color w:val="231F20"/>
          <w:spacing w:val="-5"/>
        </w:rPr>
        <w:t> </w:t>
      </w:r>
      <w:r>
        <w:rPr>
          <w:color w:val="231F20"/>
        </w:rPr>
        <w:t>of</w:t>
      </w:r>
      <w:r>
        <w:rPr>
          <w:color w:val="231F20"/>
          <w:spacing w:val="-4"/>
        </w:rPr>
        <w:t> </w:t>
      </w:r>
      <w:r>
        <w:rPr>
          <w:color w:val="231F20"/>
        </w:rPr>
        <w:t>capital</w:t>
      </w:r>
      <w:r>
        <w:rPr>
          <w:color w:val="231F20"/>
          <w:spacing w:val="-4"/>
        </w:rPr>
        <w:t> </w:t>
      </w:r>
      <w:r>
        <w:rPr>
          <w:color w:val="231F20"/>
        </w:rPr>
        <w:t>amounts</w:t>
      </w:r>
      <w:r>
        <w:rPr>
          <w:color w:val="231F20"/>
        </w:rPr>
        <w:t> </w:t>
      </w:r>
      <w:r>
        <w:rPr>
          <w:color w:val="231F20"/>
          <w:spacing w:val="-1"/>
        </w:rPr>
        <w:t>improves</w:t>
      </w:r>
      <w:r>
        <w:rPr>
          <w:color w:val="231F20"/>
          <w:spacing w:val="-5"/>
        </w:rPr>
        <w:t> </w:t>
      </w:r>
      <w:r>
        <w:rPr>
          <w:color w:val="231F20"/>
        </w:rPr>
        <w:t>the</w:t>
      </w:r>
      <w:r>
        <w:rPr>
          <w:color w:val="231F20"/>
          <w:spacing w:val="-5"/>
        </w:rPr>
        <w:t> </w:t>
      </w:r>
      <w:r>
        <w:rPr>
          <w:color w:val="231F20"/>
        </w:rPr>
        <w:t>ability</w:t>
      </w:r>
      <w:r>
        <w:rPr>
          <w:color w:val="231F20"/>
          <w:spacing w:val="-5"/>
        </w:rPr>
        <w:t> </w:t>
      </w:r>
      <w:r>
        <w:rPr>
          <w:color w:val="231F20"/>
        </w:rPr>
        <w:t>to</w:t>
      </w:r>
      <w:r>
        <w:rPr>
          <w:color w:val="231F20"/>
          <w:spacing w:val="-4"/>
        </w:rPr>
        <w:t> </w:t>
      </w:r>
      <w:r>
        <w:rPr>
          <w:color w:val="231F20"/>
        </w:rPr>
        <w:t>compare</w:t>
      </w:r>
      <w:r>
        <w:rPr>
          <w:color w:val="231F20"/>
          <w:spacing w:val="-5"/>
        </w:rPr>
        <w:t> </w:t>
      </w:r>
      <w:r>
        <w:rPr>
          <w:color w:val="231F20"/>
        </w:rPr>
        <w:t>the</w:t>
      </w:r>
      <w:r>
        <w:rPr>
          <w:color w:val="231F20"/>
          <w:spacing w:val="22"/>
          <w:w w:val="99"/>
        </w:rPr>
        <w:t> </w:t>
      </w:r>
      <w:r>
        <w:rPr>
          <w:color w:val="231F20"/>
        </w:rPr>
        <w:t>performance</w:t>
      </w:r>
      <w:r>
        <w:rPr>
          <w:color w:val="231F20"/>
          <w:spacing w:val="-9"/>
        </w:rPr>
        <w:t> </w:t>
      </w:r>
      <w:r>
        <w:rPr>
          <w:color w:val="231F20"/>
        </w:rPr>
        <w:t>of</w:t>
      </w:r>
      <w:r>
        <w:rPr>
          <w:color w:val="231F20"/>
          <w:spacing w:val="-8"/>
        </w:rPr>
        <w:t> </w:t>
      </w:r>
      <w:r>
        <w:rPr>
          <w:color w:val="231F20"/>
        </w:rPr>
        <w:t>the</w:t>
      </w:r>
      <w:r>
        <w:rPr>
          <w:color w:val="231F20"/>
          <w:spacing w:val="-8"/>
        </w:rPr>
        <w:t> </w:t>
      </w:r>
      <w:r>
        <w:rPr>
          <w:color w:val="231F20"/>
        </w:rPr>
        <w:t>various</w:t>
      </w:r>
      <w:r>
        <w:rPr>
          <w:color w:val="231F20"/>
          <w:spacing w:val="-8"/>
        </w:rPr>
        <w:t> </w:t>
      </w:r>
      <w:r>
        <w:rPr>
          <w:color w:val="231F20"/>
        </w:rPr>
        <w:t>boarding</w:t>
      </w:r>
      <w:r>
        <w:rPr>
          <w:color w:val="231F20"/>
          <w:w w:val="99"/>
        </w:rPr>
        <w:t> </w:t>
      </w:r>
      <w:r>
        <w:rPr>
          <w:color w:val="231F20"/>
        </w:rPr>
        <w:t>providers</w:t>
      </w:r>
      <w:r>
        <w:rPr>
          <w:color w:val="231F20"/>
          <w:spacing w:val="-6"/>
        </w:rPr>
        <w:t> </w:t>
      </w:r>
      <w:r>
        <w:rPr>
          <w:color w:val="231F20"/>
        </w:rPr>
        <w:t>and</w:t>
      </w:r>
      <w:r>
        <w:rPr>
          <w:color w:val="231F20"/>
          <w:spacing w:val="-6"/>
        </w:rPr>
        <w:t> </w:t>
      </w:r>
      <w:r>
        <w:rPr>
          <w:color w:val="231F20"/>
        </w:rPr>
        <w:t>also</w:t>
      </w:r>
      <w:r>
        <w:rPr>
          <w:color w:val="231F20"/>
          <w:spacing w:val="-6"/>
        </w:rPr>
        <w:t> </w:t>
      </w:r>
      <w:r>
        <w:rPr>
          <w:color w:val="231F20"/>
        </w:rPr>
        <w:t>provides</w:t>
      </w:r>
      <w:r>
        <w:rPr>
          <w:color w:val="231F20"/>
          <w:spacing w:val="-6"/>
        </w:rPr>
        <w:t> </w:t>
      </w:r>
      <w:r>
        <w:rPr>
          <w:color w:val="231F20"/>
        </w:rPr>
        <w:t>a</w:t>
      </w:r>
      <w:r>
        <w:rPr>
          <w:color w:val="231F20"/>
          <w:spacing w:val="-5"/>
        </w:rPr>
        <w:t> </w:t>
      </w:r>
      <w:r>
        <w:rPr>
          <w:color w:val="231F20"/>
          <w:spacing w:val="-1"/>
        </w:rPr>
        <w:t>more</w:t>
      </w:r>
      <w:r>
        <w:rPr>
          <w:color w:val="231F20"/>
          <w:spacing w:val="-1"/>
          <w:w w:val="99"/>
        </w:rPr>
        <w:t> </w:t>
      </w:r>
      <w:r>
        <w:rPr>
          <w:color w:val="231F20"/>
          <w:spacing w:val="19"/>
          <w:w w:val="99"/>
        </w:rPr>
        <w:t> </w:t>
      </w:r>
      <w:r>
        <w:rPr>
          <w:color w:val="231F20"/>
        </w:rPr>
        <w:t>accurate</w:t>
      </w:r>
      <w:r>
        <w:rPr>
          <w:color w:val="231F20"/>
          <w:spacing w:val="-10"/>
        </w:rPr>
        <w:t> </w:t>
      </w:r>
      <w:r>
        <w:rPr>
          <w:color w:val="231F20"/>
        </w:rPr>
        <w:t>representation</w:t>
      </w:r>
      <w:r>
        <w:rPr>
          <w:color w:val="231F20"/>
          <w:spacing w:val="-11"/>
        </w:rPr>
        <w:t> </w:t>
      </w:r>
      <w:r>
        <w:rPr>
          <w:color w:val="231F20"/>
        </w:rPr>
        <w:t>of</w:t>
      </w:r>
      <w:r>
        <w:rPr>
          <w:color w:val="231F20"/>
          <w:spacing w:val="-8"/>
        </w:rPr>
        <w:t> </w:t>
      </w:r>
      <w:r>
        <w:rPr>
          <w:color w:val="231F20"/>
        </w:rPr>
        <w:t>the</w:t>
      </w:r>
      <w:r>
        <w:rPr>
          <w:color w:val="231F20"/>
          <w:spacing w:val="-10"/>
        </w:rPr>
        <w:t> </w:t>
      </w:r>
      <w:r>
        <w:rPr>
          <w:color w:val="231F20"/>
        </w:rPr>
        <w:t>underlying</w:t>
      </w:r>
      <w:r>
        <w:rPr>
          <w:color w:val="231F20"/>
          <w:w w:val="99"/>
        </w:rPr>
        <w:t> </w:t>
      </w:r>
      <w:r>
        <w:rPr>
          <w:color w:val="231F20"/>
        </w:rPr>
        <w:t>performance</w:t>
      </w:r>
      <w:r>
        <w:rPr>
          <w:color w:val="231F20"/>
          <w:spacing w:val="-6"/>
        </w:rPr>
        <w:t> </w:t>
      </w:r>
      <w:r>
        <w:rPr>
          <w:color w:val="231F20"/>
        </w:rPr>
        <w:t>of</w:t>
      </w:r>
      <w:r>
        <w:rPr>
          <w:color w:val="231F20"/>
          <w:spacing w:val="-4"/>
        </w:rPr>
        <w:t> </w:t>
      </w:r>
      <w:r>
        <w:rPr>
          <w:color w:val="231F20"/>
        </w:rPr>
        <w:t>a</w:t>
      </w:r>
      <w:r>
        <w:rPr>
          <w:color w:val="231F20"/>
          <w:spacing w:val="-4"/>
        </w:rPr>
        <w:t> </w:t>
      </w:r>
      <w:r>
        <w:rPr>
          <w:color w:val="231F20"/>
          <w:spacing w:val="-1"/>
        </w:rPr>
        <w:t>school</w:t>
      </w:r>
      <w:r>
        <w:rPr>
          <w:color w:val="231F20"/>
          <w:spacing w:val="-4"/>
        </w:rPr>
        <w:t> </w:t>
      </w:r>
      <w:r>
        <w:rPr>
          <w:color w:val="231F20"/>
        </w:rPr>
        <w:t>(which</w:t>
      </w:r>
      <w:r>
        <w:rPr>
          <w:color w:val="231F20"/>
          <w:spacing w:val="-5"/>
        </w:rPr>
        <w:t> </w:t>
      </w:r>
      <w:r>
        <w:rPr>
          <w:color w:val="231F20"/>
        </w:rPr>
        <w:t>can</w:t>
      </w:r>
      <w:r>
        <w:rPr>
          <w:color w:val="231F20"/>
          <w:spacing w:val="-5"/>
        </w:rPr>
        <w:t> </w:t>
      </w:r>
      <w:r>
        <w:rPr>
          <w:color w:val="231F20"/>
        </w:rPr>
        <w:t>be</w:t>
      </w:r>
      <w:r>
        <w:rPr>
          <w:color w:val="231F20"/>
          <w:spacing w:val="21"/>
          <w:w w:val="99"/>
        </w:rPr>
        <w:t> </w:t>
      </w:r>
      <w:r>
        <w:rPr>
          <w:color w:val="231F20"/>
          <w:spacing w:val="-1"/>
        </w:rPr>
        <w:t>skewed</w:t>
      </w:r>
      <w:r>
        <w:rPr>
          <w:color w:val="231F20"/>
          <w:spacing w:val="-6"/>
        </w:rPr>
        <w:t> </w:t>
      </w:r>
      <w:r>
        <w:rPr>
          <w:color w:val="231F20"/>
        </w:rPr>
        <w:t>when</w:t>
      </w:r>
      <w:r>
        <w:rPr>
          <w:color w:val="231F20"/>
          <w:spacing w:val="-7"/>
        </w:rPr>
        <w:t> </w:t>
      </w:r>
      <w:r>
        <w:rPr>
          <w:color w:val="231F20"/>
        </w:rPr>
        <w:t>capital</w:t>
      </w:r>
      <w:r>
        <w:rPr>
          <w:color w:val="231F20"/>
          <w:spacing w:val="-7"/>
        </w:rPr>
        <w:t> </w:t>
      </w:r>
      <w:r>
        <w:rPr>
          <w:color w:val="231F20"/>
        </w:rPr>
        <w:t>amounts</w:t>
      </w:r>
      <w:r>
        <w:rPr>
          <w:color w:val="231F20"/>
          <w:spacing w:val="-6"/>
        </w:rPr>
        <w:t> </w:t>
      </w:r>
      <w:r>
        <w:rPr>
          <w:color w:val="231F20"/>
        </w:rPr>
        <w:t>are</w:t>
      </w:r>
      <w:r>
        <w:rPr>
          <w:color w:val="231F20"/>
          <w:spacing w:val="-7"/>
        </w:rPr>
        <w:t> </w:t>
      </w:r>
      <w:r>
        <w:rPr>
          <w:color w:val="231F20"/>
          <w:spacing w:val="-1"/>
        </w:rPr>
        <w:t>included).</w:t>
      </w:r>
      <w:r>
        <w:rPr/>
      </w:r>
    </w:p>
    <w:p>
      <w:pPr>
        <w:pStyle w:val="BodyText"/>
        <w:spacing w:line="250" w:lineRule="exact"/>
        <w:ind w:left="372" w:right="0"/>
        <w:jc w:val="left"/>
        <w:rPr>
          <w:rFonts w:ascii="Segoe UI" w:hAnsi="Segoe UI" w:cs="Segoe UI" w:eastAsia="Segoe UI"/>
        </w:rPr>
      </w:pPr>
      <w:r>
        <w:rPr>
          <w:color w:val="231F20"/>
        </w:rPr>
        <w:t>This</w:t>
      </w:r>
      <w:r>
        <w:rPr>
          <w:color w:val="231F20"/>
          <w:spacing w:val="-8"/>
        </w:rPr>
        <w:t> </w:t>
      </w:r>
      <w:r>
        <w:rPr>
          <w:color w:val="231F20"/>
          <w:spacing w:val="-1"/>
        </w:rPr>
        <w:t>is</w:t>
      </w:r>
      <w:r>
        <w:rPr>
          <w:color w:val="231F20"/>
          <w:spacing w:val="-7"/>
        </w:rPr>
        <w:t> </w:t>
      </w:r>
      <w:r>
        <w:rPr>
          <w:color w:val="231F20"/>
        </w:rPr>
        <w:t>particularly</w:t>
      </w:r>
      <w:r>
        <w:rPr>
          <w:color w:val="231F20"/>
          <w:spacing w:val="-7"/>
        </w:rPr>
        <w:t> </w:t>
      </w:r>
      <w:r>
        <w:rPr>
          <w:color w:val="231F20"/>
          <w:spacing w:val="-1"/>
        </w:rPr>
        <w:t>important</w:t>
      </w:r>
      <w:r>
        <w:rPr>
          <w:color w:val="231F20"/>
          <w:spacing w:val="-6"/>
        </w:rPr>
        <w:t> </w:t>
      </w:r>
      <w:r>
        <w:rPr>
          <w:color w:val="231F20"/>
          <w:spacing w:val="-1"/>
        </w:rPr>
        <w:t>in</w:t>
      </w:r>
      <w:r>
        <w:rPr>
          <w:color w:val="231F20"/>
          <w:spacing w:val="-6"/>
        </w:rPr>
        <w:t> </w:t>
      </w:r>
      <w:r>
        <w:rPr>
          <w:color w:val="231F20"/>
        </w:rPr>
        <w:t>circumstances</w:t>
      </w:r>
      <w:r>
        <w:rPr>
          <w:color w:val="231F20"/>
          <w:spacing w:val="24"/>
          <w:w w:val="99"/>
        </w:rPr>
        <w:t> </w:t>
      </w:r>
      <w:r>
        <w:rPr>
          <w:color w:val="231F20"/>
        </w:rPr>
        <w:t>where</w:t>
      </w:r>
      <w:r>
        <w:rPr>
          <w:color w:val="231F20"/>
          <w:spacing w:val="-6"/>
        </w:rPr>
        <w:t> </w:t>
      </w:r>
      <w:r>
        <w:rPr>
          <w:color w:val="231F20"/>
        </w:rPr>
        <w:t>a</w:t>
      </w:r>
      <w:r>
        <w:rPr>
          <w:color w:val="231F20"/>
          <w:spacing w:val="-4"/>
        </w:rPr>
        <w:t> </w:t>
      </w:r>
      <w:r>
        <w:rPr>
          <w:color w:val="231F20"/>
        </w:rPr>
        <w:t>provider’s</w:t>
      </w:r>
      <w:r>
        <w:rPr>
          <w:color w:val="231F20"/>
          <w:spacing w:val="-5"/>
        </w:rPr>
        <w:t> </w:t>
      </w:r>
      <w:r>
        <w:rPr>
          <w:color w:val="231F20"/>
          <w:spacing w:val="-1"/>
        </w:rPr>
        <w:t>income</w:t>
      </w:r>
      <w:r>
        <w:rPr>
          <w:color w:val="231F20"/>
          <w:spacing w:val="-4"/>
        </w:rPr>
        <w:t> </w:t>
      </w:r>
      <w:r>
        <w:rPr>
          <w:color w:val="231F20"/>
          <w:spacing w:val="-1"/>
        </w:rPr>
        <w:t>includes</w:t>
      </w:r>
      <w:r>
        <w:rPr>
          <w:color w:val="231F20"/>
          <w:spacing w:val="-4"/>
        </w:rPr>
        <w:t> </w:t>
      </w:r>
      <w:r>
        <w:rPr>
          <w:color w:val="231F20"/>
        </w:rPr>
        <w:t>capital</w:t>
      </w:r>
      <w:r>
        <w:rPr>
          <w:color w:val="231F20"/>
          <w:spacing w:val="23"/>
          <w:w w:val="99"/>
        </w:rPr>
        <w:t> </w:t>
      </w:r>
      <w:r>
        <w:rPr>
          <w:color w:val="231F20"/>
        </w:rPr>
        <w:t>amounts</w:t>
      </w:r>
      <w:r>
        <w:rPr>
          <w:color w:val="231F20"/>
          <w:spacing w:val="-5"/>
        </w:rPr>
        <w:t> </w:t>
      </w:r>
      <w:r>
        <w:rPr>
          <w:color w:val="231F20"/>
        </w:rPr>
        <w:t>but</w:t>
      </w:r>
      <w:r>
        <w:rPr>
          <w:color w:val="231F20"/>
          <w:spacing w:val="-5"/>
        </w:rPr>
        <w:t> </w:t>
      </w:r>
      <w:r>
        <w:rPr>
          <w:color w:val="231F20"/>
        </w:rPr>
        <w:t>excludes</w:t>
      </w:r>
      <w:r>
        <w:rPr>
          <w:color w:val="231F20"/>
          <w:spacing w:val="-5"/>
        </w:rPr>
        <w:t> </w:t>
      </w:r>
      <w:r>
        <w:rPr>
          <w:color w:val="231F20"/>
        </w:rPr>
        <w:t>the</w:t>
      </w:r>
      <w:r>
        <w:rPr>
          <w:color w:val="231F20"/>
          <w:spacing w:val="-5"/>
        </w:rPr>
        <w:t> </w:t>
      </w:r>
      <w:r>
        <w:rPr>
          <w:color w:val="231F20"/>
        </w:rPr>
        <w:t>associated</w:t>
      </w:r>
      <w:r>
        <w:rPr>
          <w:color w:val="231F20"/>
          <w:w w:val="99"/>
        </w:rPr>
        <w:t> </w:t>
      </w:r>
      <w:r>
        <w:rPr>
          <w:color w:val="231F20"/>
        </w:rPr>
        <w:t>expenditure</w:t>
      </w:r>
      <w:r>
        <w:rPr>
          <w:color w:val="231F20"/>
          <w:spacing w:val="-11"/>
        </w:rPr>
        <w:t> </w:t>
      </w:r>
      <w:r>
        <w:rPr>
          <w:color w:val="231F20"/>
        </w:rPr>
        <w:t>(with</w:t>
      </w:r>
      <w:r>
        <w:rPr>
          <w:color w:val="231F20"/>
          <w:spacing w:val="-10"/>
        </w:rPr>
        <w:t> </w:t>
      </w:r>
      <w:r>
        <w:rPr>
          <w:color w:val="231F20"/>
        </w:rPr>
        <w:t>the</w:t>
      </w:r>
      <w:r>
        <w:rPr>
          <w:color w:val="231F20"/>
          <w:spacing w:val="-11"/>
        </w:rPr>
        <w:t> </w:t>
      </w:r>
      <w:r>
        <w:rPr>
          <w:color w:val="231F20"/>
        </w:rPr>
        <w:t>associated</w:t>
      </w:r>
      <w:r>
        <w:rPr>
          <w:color w:val="231F20"/>
          <w:spacing w:val="-10"/>
        </w:rPr>
        <w:t> </w:t>
      </w:r>
      <w:r>
        <w:rPr>
          <w:color w:val="231F20"/>
        </w:rPr>
        <w:t>expenditure</w:t>
      </w:r>
      <w:r>
        <w:rPr>
          <w:color w:val="231F20"/>
          <w:w w:val="99"/>
        </w:rPr>
        <w:t> </w:t>
      </w:r>
      <w:r>
        <w:rPr>
          <w:color w:val="231F20"/>
        </w:rPr>
        <w:t>treated</w:t>
      </w:r>
      <w:r>
        <w:rPr>
          <w:color w:val="231F20"/>
          <w:spacing w:val="-7"/>
        </w:rPr>
        <w:t> </w:t>
      </w:r>
      <w:r>
        <w:rPr>
          <w:color w:val="231F20"/>
        </w:rPr>
        <w:t>as</w:t>
      </w:r>
      <w:r>
        <w:rPr>
          <w:color w:val="231F20"/>
          <w:spacing w:val="-6"/>
        </w:rPr>
        <w:t> </w:t>
      </w:r>
      <w:r>
        <w:rPr>
          <w:color w:val="231F20"/>
        </w:rPr>
        <w:t>capital</w:t>
      </w:r>
      <w:r>
        <w:rPr>
          <w:color w:val="231F20"/>
          <w:spacing w:val="-6"/>
        </w:rPr>
        <w:t> </w:t>
      </w:r>
      <w:r>
        <w:rPr>
          <w:color w:val="231F20"/>
        </w:rPr>
        <w:t>expenditure</w:t>
      </w:r>
      <w:r>
        <w:rPr>
          <w:color w:val="231F20"/>
          <w:spacing w:val="-7"/>
        </w:rPr>
        <w:t> </w:t>
      </w:r>
      <w:r>
        <w:rPr>
          <w:color w:val="231F20"/>
        </w:rPr>
        <w:t>(capex)</w:t>
      </w:r>
      <w:r>
        <w:rPr>
          <w:color w:val="231F20"/>
          <w:spacing w:val="-6"/>
        </w:rPr>
        <w:t> </w:t>
      </w:r>
      <w:r>
        <w:rPr>
          <w:color w:val="231F20"/>
          <w:spacing w:val="-1"/>
        </w:rPr>
        <w:t>in</w:t>
      </w:r>
      <w:r>
        <w:rPr>
          <w:color w:val="231F20"/>
          <w:spacing w:val="-5"/>
        </w:rPr>
        <w:t> </w:t>
      </w:r>
      <w:r>
        <w:rPr>
          <w:color w:val="231F20"/>
        </w:rPr>
        <w:t>the</w:t>
      </w:r>
      <w:r>
        <w:rPr>
          <w:color w:val="231F20"/>
          <w:spacing w:val="21"/>
          <w:w w:val="99"/>
        </w:rPr>
        <w:t> </w:t>
      </w:r>
      <w:r>
        <w:rPr>
          <w:rFonts w:ascii="Segoe UI" w:hAnsi="Segoe UI" w:cs="Segoe UI" w:eastAsia="Segoe UI"/>
          <w:color w:val="231F20"/>
        </w:rPr>
        <w:t>cash flow statement)</w:t>
      </w:r>
      <w:r>
        <w:rPr>
          <w:rFonts w:ascii="Segoe UI" w:hAnsi="Segoe UI" w:cs="Segoe UI" w:eastAsia="Segoe UI"/>
        </w:rPr>
      </w:r>
    </w:p>
    <w:p>
      <w:pPr>
        <w:pStyle w:val="BodyText"/>
        <w:spacing w:line="250" w:lineRule="exact" w:before="113"/>
        <w:ind w:left="372" w:right="287" w:hanging="227"/>
        <w:jc w:val="left"/>
      </w:pPr>
      <w:r>
        <w:rPr>
          <w:rFonts w:ascii="Century Gothic" w:hAnsi="Century Gothic"/>
          <w:color w:val="231F20"/>
        </w:rPr>
        <w:t>» </w:t>
      </w:r>
      <w:r>
        <w:rPr>
          <w:rFonts w:ascii="Century Gothic" w:hAnsi="Century Gothic"/>
          <w:color w:val="231F20"/>
          <w:spacing w:val="22"/>
        </w:rPr>
        <w:t> </w:t>
      </w:r>
      <w:r>
        <w:rPr>
          <w:color w:val="231F20"/>
        </w:rPr>
        <w:t>to</w:t>
      </w:r>
      <w:r>
        <w:rPr>
          <w:color w:val="231F20"/>
          <w:spacing w:val="-3"/>
        </w:rPr>
        <w:t> </w:t>
      </w:r>
      <w:r>
        <w:rPr>
          <w:color w:val="231F20"/>
        </w:rPr>
        <w:t>provide</w:t>
      </w:r>
      <w:r>
        <w:rPr>
          <w:color w:val="231F20"/>
          <w:spacing w:val="-4"/>
        </w:rPr>
        <w:t> </w:t>
      </w:r>
      <w:r>
        <w:rPr>
          <w:color w:val="231F20"/>
        </w:rPr>
        <w:t>the</w:t>
      </w:r>
      <w:r>
        <w:rPr>
          <w:color w:val="231F20"/>
          <w:spacing w:val="-4"/>
        </w:rPr>
        <w:t> </w:t>
      </w:r>
      <w:r>
        <w:rPr>
          <w:color w:val="231F20"/>
        </w:rPr>
        <w:t>greatest</w:t>
      </w:r>
      <w:r>
        <w:rPr>
          <w:color w:val="231F20"/>
          <w:spacing w:val="-5"/>
        </w:rPr>
        <w:t> </w:t>
      </w:r>
      <w:r>
        <w:rPr>
          <w:color w:val="231F20"/>
          <w:spacing w:val="-1"/>
        </w:rPr>
        <w:t>level</w:t>
      </w:r>
      <w:r>
        <w:rPr>
          <w:color w:val="231F20"/>
          <w:spacing w:val="-3"/>
        </w:rPr>
        <w:t> </w:t>
      </w:r>
      <w:r>
        <w:rPr>
          <w:color w:val="231F20"/>
        </w:rPr>
        <w:t>of</w:t>
      </w:r>
      <w:r>
        <w:rPr>
          <w:color w:val="231F20"/>
          <w:spacing w:val="-3"/>
        </w:rPr>
        <w:t> </w:t>
      </w:r>
      <w:r>
        <w:rPr>
          <w:color w:val="231F20"/>
        </w:rPr>
        <w:t>detail</w:t>
      </w:r>
      <w:r>
        <w:rPr>
          <w:color w:val="231F20"/>
          <w:spacing w:val="-4"/>
        </w:rPr>
        <w:t> </w:t>
      </w:r>
      <w:r>
        <w:rPr>
          <w:color w:val="231F20"/>
        </w:rPr>
        <w:t>from</w:t>
      </w:r>
      <w:r>
        <w:rPr>
          <w:color w:val="231F20"/>
          <w:spacing w:val="21"/>
          <w:w w:val="99"/>
        </w:rPr>
        <w:t> </w:t>
      </w:r>
      <w:r>
        <w:rPr>
          <w:color w:val="231F20"/>
        </w:rPr>
        <w:t>the</w:t>
      </w:r>
      <w:r>
        <w:rPr>
          <w:color w:val="231F20"/>
          <w:spacing w:val="-7"/>
        </w:rPr>
        <w:t> </w:t>
      </w:r>
      <w:r>
        <w:rPr>
          <w:color w:val="231F20"/>
          <w:spacing w:val="-1"/>
        </w:rPr>
        <w:t>source</w:t>
      </w:r>
      <w:r>
        <w:rPr>
          <w:color w:val="231F20"/>
          <w:spacing w:val="-6"/>
        </w:rPr>
        <w:t> </w:t>
      </w:r>
      <w:r>
        <w:rPr>
          <w:color w:val="231F20"/>
        </w:rPr>
        <w:t>data</w:t>
      </w:r>
      <w:r>
        <w:rPr>
          <w:color w:val="231F20"/>
          <w:spacing w:val="-7"/>
        </w:rPr>
        <w:t> </w:t>
      </w:r>
      <w:r>
        <w:rPr>
          <w:color w:val="231F20"/>
        </w:rPr>
        <w:t>(the</w:t>
      </w:r>
      <w:r>
        <w:rPr>
          <w:color w:val="231F20"/>
          <w:spacing w:val="-7"/>
        </w:rPr>
        <w:t> </w:t>
      </w:r>
      <w:r>
        <w:rPr>
          <w:color w:val="231F20"/>
        </w:rPr>
        <w:t>three-year</w:t>
      </w:r>
      <w:r>
        <w:rPr>
          <w:color w:val="231F20"/>
          <w:spacing w:val="-7"/>
        </w:rPr>
        <w:t> </w:t>
      </w:r>
      <w:r>
        <w:rPr>
          <w:color w:val="231F20"/>
        </w:rPr>
        <w:t>trend</w:t>
      </w:r>
      <w:r>
        <w:rPr>
          <w:color w:val="231F20"/>
          <w:spacing w:val="-6"/>
        </w:rPr>
        <w:t> </w:t>
      </w:r>
      <w:r>
        <w:rPr>
          <w:color w:val="231F20"/>
        </w:rPr>
        <w:t>data).</w:t>
      </w:r>
      <w:r>
        <w:rPr>
          <w:color w:val="231F20"/>
          <w:spacing w:val="21"/>
          <w:w w:val="99"/>
        </w:rPr>
        <w:t> </w:t>
      </w:r>
      <w:r>
        <w:rPr>
          <w:color w:val="231F20"/>
        </w:rPr>
        <w:t>The</w:t>
      </w:r>
      <w:r>
        <w:rPr>
          <w:color w:val="231F20"/>
          <w:spacing w:val="-6"/>
        </w:rPr>
        <w:t> </w:t>
      </w:r>
      <w:r>
        <w:rPr>
          <w:color w:val="231F20"/>
        </w:rPr>
        <w:t>three</w:t>
      </w:r>
      <w:r>
        <w:rPr>
          <w:color w:val="231F20"/>
          <w:spacing w:val="-6"/>
        </w:rPr>
        <w:t> </w:t>
      </w:r>
      <w:r>
        <w:rPr>
          <w:color w:val="231F20"/>
        </w:rPr>
        <w:t>year</w:t>
      </w:r>
      <w:r>
        <w:rPr>
          <w:color w:val="231F20"/>
          <w:spacing w:val="-6"/>
        </w:rPr>
        <w:t> </w:t>
      </w:r>
      <w:r>
        <w:rPr>
          <w:color w:val="231F20"/>
        </w:rPr>
        <w:t>trend</w:t>
      </w:r>
      <w:r>
        <w:rPr>
          <w:color w:val="231F20"/>
          <w:spacing w:val="-6"/>
        </w:rPr>
        <w:t> </w:t>
      </w:r>
      <w:r>
        <w:rPr>
          <w:color w:val="231F20"/>
        </w:rPr>
        <w:t>data</w:t>
      </w:r>
      <w:r>
        <w:rPr>
          <w:color w:val="231F20"/>
          <w:spacing w:val="-6"/>
        </w:rPr>
        <w:t> </w:t>
      </w:r>
      <w:r>
        <w:rPr>
          <w:color w:val="231F20"/>
          <w:spacing w:val="-1"/>
        </w:rPr>
        <w:t>included</w:t>
      </w:r>
      <w:r>
        <w:rPr>
          <w:color w:val="231F20"/>
          <w:spacing w:val="-6"/>
        </w:rPr>
        <w:t> </w:t>
      </w:r>
      <w:r>
        <w:rPr>
          <w:color w:val="231F20"/>
          <w:spacing w:val="-1"/>
        </w:rPr>
        <w:t>more</w:t>
      </w:r>
      <w:r>
        <w:rPr>
          <w:color w:val="231F20"/>
          <w:spacing w:val="21"/>
          <w:w w:val="99"/>
        </w:rPr>
        <w:t> </w:t>
      </w:r>
      <w:r>
        <w:rPr>
          <w:color w:val="231F20"/>
        </w:rPr>
        <w:t>detailed</w:t>
      </w:r>
      <w:r>
        <w:rPr>
          <w:color w:val="231F20"/>
          <w:spacing w:val="-13"/>
        </w:rPr>
        <w:t> </w:t>
      </w:r>
      <w:r>
        <w:rPr>
          <w:color w:val="231F20"/>
          <w:spacing w:val="-1"/>
        </w:rPr>
        <w:t>information</w:t>
      </w:r>
      <w:r>
        <w:rPr>
          <w:color w:val="231F20"/>
          <w:spacing w:val="-11"/>
        </w:rPr>
        <w:t> </w:t>
      </w:r>
      <w:r>
        <w:rPr>
          <w:color w:val="231F20"/>
        </w:rPr>
        <w:t>regarding</w:t>
      </w:r>
      <w:r>
        <w:rPr>
          <w:color w:val="231F20"/>
          <w:spacing w:val="-13"/>
        </w:rPr>
        <w:t> </w:t>
      </w:r>
      <w:r>
        <w:rPr>
          <w:color w:val="231F20"/>
        </w:rPr>
        <w:t>recurrent</w:t>
      </w:r>
      <w:r>
        <w:rPr>
          <w:color w:val="231F20"/>
          <w:spacing w:val="22"/>
          <w:w w:val="99"/>
        </w:rPr>
        <w:t> </w:t>
      </w:r>
      <w:r>
        <w:rPr>
          <w:color w:val="231F20"/>
          <w:spacing w:val="-1"/>
        </w:rPr>
        <w:t>income</w:t>
      </w:r>
      <w:r>
        <w:rPr>
          <w:color w:val="231F20"/>
          <w:spacing w:val="-6"/>
        </w:rPr>
        <w:t> </w:t>
      </w:r>
      <w:r>
        <w:rPr>
          <w:color w:val="231F20"/>
        </w:rPr>
        <w:t>and</w:t>
      </w:r>
      <w:r>
        <w:rPr>
          <w:color w:val="231F20"/>
          <w:spacing w:val="-7"/>
        </w:rPr>
        <w:t> </w:t>
      </w:r>
      <w:r>
        <w:rPr>
          <w:color w:val="231F20"/>
        </w:rPr>
        <w:t>expenditure,</w:t>
      </w:r>
      <w:r>
        <w:rPr>
          <w:color w:val="231F20"/>
          <w:spacing w:val="-6"/>
        </w:rPr>
        <w:t> </w:t>
      </w:r>
      <w:r>
        <w:rPr>
          <w:color w:val="231F20"/>
        </w:rPr>
        <w:t>providing</w:t>
      </w:r>
      <w:r>
        <w:rPr>
          <w:color w:val="231F20"/>
          <w:spacing w:val="-7"/>
        </w:rPr>
        <w:t> </w:t>
      </w:r>
      <w:r>
        <w:rPr>
          <w:color w:val="231F20"/>
        </w:rPr>
        <w:t>a</w:t>
      </w:r>
      <w:r>
        <w:rPr>
          <w:color w:val="231F20"/>
          <w:spacing w:val="21"/>
          <w:w w:val="99"/>
        </w:rPr>
        <w:t> </w:t>
      </w:r>
      <w:r>
        <w:rPr>
          <w:color w:val="231F20"/>
        </w:rPr>
        <w:t>greater</w:t>
      </w:r>
      <w:r>
        <w:rPr>
          <w:color w:val="231F20"/>
          <w:spacing w:val="-5"/>
        </w:rPr>
        <w:t> </w:t>
      </w:r>
      <w:r>
        <w:rPr>
          <w:color w:val="231F20"/>
          <w:spacing w:val="-1"/>
        </w:rPr>
        <w:t>level</w:t>
      </w:r>
      <w:r>
        <w:rPr>
          <w:color w:val="231F20"/>
          <w:spacing w:val="-4"/>
        </w:rPr>
        <w:t> </w:t>
      </w:r>
      <w:r>
        <w:rPr>
          <w:color w:val="231F20"/>
        </w:rPr>
        <w:t>of</w:t>
      </w:r>
      <w:r>
        <w:rPr>
          <w:color w:val="231F20"/>
          <w:spacing w:val="-4"/>
        </w:rPr>
        <w:t> </w:t>
      </w:r>
      <w:r>
        <w:rPr>
          <w:color w:val="231F20"/>
        </w:rPr>
        <w:t>breakdown</w:t>
      </w:r>
      <w:r>
        <w:rPr>
          <w:color w:val="231F20"/>
          <w:spacing w:val="-5"/>
        </w:rPr>
        <w:t> </w:t>
      </w:r>
      <w:r>
        <w:rPr>
          <w:color w:val="231F20"/>
        </w:rPr>
        <w:t>of</w:t>
      </w:r>
      <w:r>
        <w:rPr>
          <w:color w:val="231F20"/>
          <w:spacing w:val="-4"/>
        </w:rPr>
        <w:t> </w:t>
      </w:r>
      <w:r>
        <w:rPr>
          <w:color w:val="231F20"/>
          <w:spacing w:val="-1"/>
        </w:rPr>
        <w:t>income</w:t>
      </w:r>
      <w:r>
        <w:rPr/>
      </w:r>
    </w:p>
    <w:p>
      <w:pPr>
        <w:pStyle w:val="BodyText"/>
        <w:spacing w:line="250" w:lineRule="exact"/>
        <w:ind w:left="372" w:right="84"/>
        <w:jc w:val="left"/>
      </w:pPr>
      <w:r>
        <w:rPr>
          <w:color w:val="231F20"/>
        </w:rPr>
        <w:t>and</w:t>
      </w:r>
      <w:r>
        <w:rPr>
          <w:color w:val="231F20"/>
          <w:spacing w:val="-10"/>
        </w:rPr>
        <w:t> </w:t>
      </w:r>
      <w:r>
        <w:rPr>
          <w:color w:val="231F20"/>
        </w:rPr>
        <w:t>expenditure</w:t>
      </w:r>
      <w:r>
        <w:rPr>
          <w:color w:val="231F20"/>
          <w:spacing w:val="-10"/>
        </w:rPr>
        <w:t> </w:t>
      </w:r>
      <w:r>
        <w:rPr>
          <w:color w:val="231F20"/>
        </w:rPr>
        <w:t>amounts.</w:t>
      </w:r>
      <w:r>
        <w:rPr>
          <w:color w:val="231F20"/>
          <w:spacing w:val="-9"/>
        </w:rPr>
        <w:t> </w:t>
      </w:r>
      <w:r>
        <w:rPr>
          <w:color w:val="231F20"/>
        </w:rPr>
        <w:t>The</w:t>
      </w:r>
      <w:r>
        <w:rPr>
          <w:color w:val="231F20"/>
          <w:spacing w:val="-9"/>
        </w:rPr>
        <w:t> </w:t>
      </w:r>
      <w:r>
        <w:rPr>
          <w:color w:val="231F20"/>
        </w:rPr>
        <w:t>three-year</w:t>
      </w:r>
      <w:r>
        <w:rPr>
          <w:color w:val="231F20"/>
          <w:w w:val="99"/>
        </w:rPr>
        <w:t> </w:t>
      </w:r>
      <w:r>
        <w:rPr>
          <w:color w:val="231F20"/>
        </w:rPr>
        <w:t>recurrent</w:t>
      </w:r>
      <w:r>
        <w:rPr>
          <w:color w:val="231F20"/>
          <w:spacing w:val="-8"/>
        </w:rPr>
        <w:t> </w:t>
      </w:r>
      <w:r>
        <w:rPr>
          <w:color w:val="231F20"/>
          <w:spacing w:val="-1"/>
        </w:rPr>
        <w:t>income</w:t>
      </w:r>
      <w:r>
        <w:rPr>
          <w:color w:val="231F20"/>
          <w:spacing w:val="-6"/>
        </w:rPr>
        <w:t> </w:t>
      </w:r>
      <w:r>
        <w:rPr>
          <w:color w:val="231F20"/>
        </w:rPr>
        <w:t>data</w:t>
      </w:r>
      <w:r>
        <w:rPr>
          <w:color w:val="231F20"/>
          <w:spacing w:val="-7"/>
        </w:rPr>
        <w:t> </w:t>
      </w:r>
      <w:r>
        <w:rPr>
          <w:color w:val="231F20"/>
        </w:rPr>
        <w:t>provides</w:t>
      </w:r>
      <w:r>
        <w:rPr>
          <w:color w:val="231F20"/>
          <w:spacing w:val="-7"/>
        </w:rPr>
        <w:t> </w:t>
      </w:r>
      <w:r>
        <w:rPr>
          <w:color w:val="231F20"/>
        </w:rPr>
        <w:t>a</w:t>
      </w:r>
      <w:r>
        <w:rPr>
          <w:color w:val="231F20"/>
          <w:spacing w:val="-6"/>
        </w:rPr>
        <w:t> </w:t>
      </w:r>
      <w:r>
        <w:rPr>
          <w:color w:val="231F20"/>
        </w:rPr>
        <w:t>breakdown</w:t>
      </w:r>
      <w:r>
        <w:rPr>
          <w:color w:val="231F20"/>
          <w:spacing w:val="21"/>
          <w:w w:val="99"/>
        </w:rPr>
        <w:t> </w:t>
      </w:r>
      <w:r>
        <w:rPr>
          <w:color w:val="231F20"/>
        </w:rPr>
        <w:t>of</w:t>
      </w:r>
      <w:r>
        <w:rPr>
          <w:color w:val="231F20"/>
          <w:spacing w:val="-3"/>
        </w:rPr>
        <w:t> </w:t>
      </w:r>
      <w:r>
        <w:rPr>
          <w:color w:val="231F20"/>
        </w:rPr>
        <w:t>the</w:t>
      </w:r>
      <w:r>
        <w:rPr>
          <w:color w:val="231F20"/>
          <w:spacing w:val="-3"/>
        </w:rPr>
        <w:t> </w:t>
      </w:r>
      <w:r>
        <w:rPr>
          <w:color w:val="231F20"/>
        </w:rPr>
        <w:t>various</w:t>
      </w:r>
      <w:r>
        <w:rPr>
          <w:color w:val="231F20"/>
          <w:spacing w:val="-2"/>
        </w:rPr>
        <w:t> </w:t>
      </w:r>
      <w:r>
        <w:rPr>
          <w:color w:val="231F20"/>
          <w:spacing w:val="-1"/>
        </w:rPr>
        <w:t>sources</w:t>
      </w:r>
      <w:r>
        <w:rPr>
          <w:color w:val="231F20"/>
          <w:spacing w:val="-3"/>
        </w:rPr>
        <w:t> </w:t>
      </w:r>
      <w:r>
        <w:rPr>
          <w:color w:val="231F20"/>
        </w:rPr>
        <w:t>of</w:t>
      </w:r>
      <w:r>
        <w:rPr>
          <w:color w:val="231F20"/>
          <w:spacing w:val="-2"/>
        </w:rPr>
        <w:t> </w:t>
      </w:r>
      <w:r>
        <w:rPr>
          <w:color w:val="231F20"/>
          <w:spacing w:val="-1"/>
        </w:rPr>
        <w:t>income</w:t>
      </w:r>
      <w:r>
        <w:rPr>
          <w:color w:val="231F20"/>
          <w:spacing w:val="-2"/>
        </w:rPr>
        <w:t> </w:t>
      </w:r>
      <w:r>
        <w:rPr>
          <w:color w:val="231F20"/>
        </w:rPr>
        <w:t>and</w:t>
      </w:r>
      <w:r>
        <w:rPr>
          <w:color w:val="231F20"/>
          <w:spacing w:val="-4"/>
        </w:rPr>
        <w:t> </w:t>
      </w:r>
      <w:r>
        <w:rPr>
          <w:color w:val="231F20"/>
          <w:spacing w:val="-1"/>
        </w:rPr>
        <w:t>shows</w:t>
      </w:r>
      <w:r>
        <w:rPr>
          <w:color w:val="231F20"/>
          <w:spacing w:val="22"/>
        </w:rPr>
        <w:t> </w:t>
      </w:r>
      <w:r>
        <w:rPr>
          <w:color w:val="231F20"/>
        </w:rPr>
        <w:t>what</w:t>
      </w:r>
      <w:r>
        <w:rPr>
          <w:color w:val="231F20"/>
          <w:spacing w:val="-6"/>
        </w:rPr>
        <w:t> </w:t>
      </w:r>
      <w:r>
        <w:rPr>
          <w:color w:val="231F20"/>
        </w:rPr>
        <w:t>proportion</w:t>
      </w:r>
      <w:r>
        <w:rPr>
          <w:color w:val="231F20"/>
          <w:spacing w:val="-5"/>
        </w:rPr>
        <w:t> </w:t>
      </w:r>
      <w:r>
        <w:rPr>
          <w:color w:val="231F20"/>
        </w:rPr>
        <w:t>of</w:t>
      </w:r>
      <w:r>
        <w:rPr>
          <w:color w:val="231F20"/>
          <w:spacing w:val="-4"/>
        </w:rPr>
        <w:t> </w:t>
      </w:r>
      <w:r>
        <w:rPr>
          <w:color w:val="231F20"/>
          <w:spacing w:val="-1"/>
        </w:rPr>
        <w:t>income</w:t>
      </w:r>
      <w:r>
        <w:rPr>
          <w:color w:val="231F20"/>
          <w:spacing w:val="-4"/>
        </w:rPr>
        <w:t> </w:t>
      </w:r>
      <w:r>
        <w:rPr>
          <w:color w:val="231F20"/>
        </w:rPr>
        <w:t>a</w:t>
      </w:r>
      <w:r>
        <w:rPr>
          <w:color w:val="231F20"/>
          <w:spacing w:val="-4"/>
        </w:rPr>
        <w:t> </w:t>
      </w:r>
      <w:r>
        <w:rPr>
          <w:color w:val="231F20"/>
        </w:rPr>
        <w:t>boarding</w:t>
      </w:r>
      <w:r>
        <w:rPr>
          <w:color w:val="231F20"/>
          <w:spacing w:val="-5"/>
        </w:rPr>
        <w:t> </w:t>
      </w:r>
      <w:r>
        <w:rPr>
          <w:color w:val="231F20"/>
          <w:spacing w:val="-1"/>
        </w:rPr>
        <w:t>school</w:t>
      </w:r>
      <w:r>
        <w:rPr>
          <w:color w:val="231F20"/>
          <w:spacing w:val="21"/>
        </w:rPr>
        <w:t> </w:t>
      </w:r>
      <w:r>
        <w:rPr>
          <w:color w:val="231F20"/>
        </w:rPr>
        <w:t>depends</w:t>
      </w:r>
      <w:r>
        <w:rPr>
          <w:color w:val="231F20"/>
          <w:spacing w:val="-3"/>
        </w:rPr>
        <w:t> </w:t>
      </w:r>
      <w:r>
        <w:rPr>
          <w:color w:val="231F20"/>
        </w:rPr>
        <w:t>on</w:t>
      </w:r>
      <w:r>
        <w:rPr>
          <w:color w:val="231F20"/>
          <w:spacing w:val="-2"/>
        </w:rPr>
        <w:t> </w:t>
      </w:r>
      <w:r>
        <w:rPr>
          <w:color w:val="231F20"/>
        </w:rPr>
        <w:t>to</w:t>
      </w:r>
      <w:r>
        <w:rPr>
          <w:color w:val="231F20"/>
          <w:spacing w:val="-2"/>
        </w:rPr>
        <w:t> </w:t>
      </w:r>
      <w:r>
        <w:rPr>
          <w:color w:val="231F20"/>
          <w:spacing w:val="-1"/>
        </w:rPr>
        <w:t>meet</w:t>
      </w:r>
      <w:r>
        <w:rPr>
          <w:color w:val="231F20"/>
          <w:spacing w:val="-2"/>
        </w:rPr>
        <w:t> </w:t>
      </w:r>
      <w:r>
        <w:rPr>
          <w:color w:val="231F20"/>
          <w:spacing w:val="-1"/>
        </w:rPr>
        <w:t>its</w:t>
      </w:r>
      <w:r>
        <w:rPr>
          <w:color w:val="231F20"/>
          <w:spacing w:val="-2"/>
        </w:rPr>
        <w:t> </w:t>
      </w:r>
      <w:r>
        <w:rPr>
          <w:color w:val="231F20"/>
        </w:rPr>
        <w:t>expenses.</w:t>
      </w:r>
      <w:r>
        <w:rPr>
          <w:color w:val="231F20"/>
          <w:spacing w:val="-3"/>
        </w:rPr>
        <w:t> </w:t>
      </w:r>
      <w:r>
        <w:rPr>
          <w:color w:val="231F20"/>
          <w:spacing w:val="-1"/>
        </w:rPr>
        <w:t>Income</w:t>
      </w:r>
      <w:r>
        <w:rPr>
          <w:color w:val="231F20"/>
          <w:spacing w:val="22"/>
        </w:rPr>
        <w:t> </w:t>
      </w:r>
      <w:r>
        <w:rPr>
          <w:color w:val="231F20"/>
        </w:rPr>
        <w:t>from</w:t>
      </w:r>
      <w:r>
        <w:rPr>
          <w:color w:val="231F20"/>
          <w:spacing w:val="-8"/>
        </w:rPr>
        <w:t> </w:t>
      </w:r>
      <w:r>
        <w:rPr>
          <w:color w:val="231F20"/>
        </w:rPr>
        <w:t>trading</w:t>
      </w:r>
      <w:r>
        <w:rPr>
          <w:color w:val="231F20"/>
          <w:spacing w:val="-8"/>
        </w:rPr>
        <w:t> </w:t>
      </w:r>
      <w:r>
        <w:rPr>
          <w:color w:val="231F20"/>
        </w:rPr>
        <w:t>accounts</w:t>
      </w:r>
      <w:r>
        <w:rPr>
          <w:color w:val="231F20"/>
          <w:spacing w:val="-8"/>
        </w:rPr>
        <w:t> </w:t>
      </w:r>
      <w:r>
        <w:rPr>
          <w:color w:val="231F20"/>
        </w:rPr>
        <w:t>(canteen</w:t>
      </w:r>
      <w:r>
        <w:rPr>
          <w:color w:val="231F20"/>
          <w:spacing w:val="-9"/>
        </w:rPr>
        <w:t> </w:t>
      </w:r>
      <w:r>
        <w:rPr>
          <w:color w:val="231F20"/>
        </w:rPr>
        <w:t>and</w:t>
      </w:r>
      <w:r>
        <w:rPr>
          <w:color w:val="231F20"/>
          <w:spacing w:val="-8"/>
        </w:rPr>
        <w:t> </w:t>
      </w:r>
      <w:r>
        <w:rPr>
          <w:color w:val="231F20"/>
        </w:rPr>
        <w:t>clothing</w:t>
      </w:r>
      <w:r>
        <w:rPr>
          <w:color w:val="231F20"/>
          <w:w w:val="99"/>
        </w:rPr>
        <w:t> </w:t>
      </w:r>
      <w:r>
        <w:rPr>
          <w:color w:val="231F20"/>
          <w:spacing w:val="-1"/>
        </w:rPr>
        <w:t>shop)</w:t>
      </w:r>
      <w:r>
        <w:rPr>
          <w:color w:val="231F20"/>
          <w:spacing w:val="-7"/>
        </w:rPr>
        <w:t> </w:t>
      </w:r>
      <w:r>
        <w:rPr>
          <w:color w:val="231F20"/>
        </w:rPr>
        <w:t>has</w:t>
      </w:r>
      <w:r>
        <w:rPr>
          <w:color w:val="231F20"/>
          <w:spacing w:val="-7"/>
        </w:rPr>
        <w:t> </w:t>
      </w:r>
      <w:r>
        <w:rPr>
          <w:color w:val="231F20"/>
        </w:rPr>
        <w:t>been</w:t>
      </w:r>
      <w:r>
        <w:rPr>
          <w:color w:val="231F20"/>
          <w:spacing w:val="-6"/>
        </w:rPr>
        <w:t> </w:t>
      </w:r>
      <w:r>
        <w:rPr>
          <w:color w:val="231F20"/>
        </w:rPr>
        <w:t>excluded.</w:t>
      </w:r>
      <w:r>
        <w:rPr>
          <w:color w:val="231F20"/>
          <w:spacing w:val="-7"/>
        </w:rPr>
        <w:t> </w:t>
      </w:r>
      <w:r>
        <w:rPr>
          <w:color w:val="231F20"/>
        </w:rPr>
        <w:t>The</w:t>
      </w:r>
      <w:r>
        <w:rPr>
          <w:color w:val="231F20"/>
          <w:spacing w:val="-7"/>
        </w:rPr>
        <w:t> </w:t>
      </w:r>
      <w:r>
        <w:rPr>
          <w:color w:val="231F20"/>
        </w:rPr>
        <w:t>three-year</w:t>
      </w:r>
      <w:r>
        <w:rPr>
          <w:color w:val="231F20"/>
          <w:spacing w:val="21"/>
          <w:w w:val="99"/>
        </w:rPr>
        <w:t> </w:t>
      </w:r>
      <w:r>
        <w:rPr>
          <w:color w:val="231F20"/>
        </w:rPr>
        <w:t>recurrent</w:t>
      </w:r>
      <w:r>
        <w:rPr>
          <w:color w:val="231F20"/>
          <w:spacing w:val="-6"/>
        </w:rPr>
        <w:t> </w:t>
      </w:r>
      <w:r>
        <w:rPr>
          <w:color w:val="231F20"/>
        </w:rPr>
        <w:t>costs</w:t>
      </w:r>
      <w:r>
        <w:rPr>
          <w:color w:val="231F20"/>
          <w:spacing w:val="-6"/>
        </w:rPr>
        <w:t> </w:t>
      </w:r>
      <w:r>
        <w:rPr>
          <w:color w:val="231F20"/>
        </w:rPr>
        <w:t>data</w:t>
      </w:r>
      <w:r>
        <w:rPr>
          <w:color w:val="231F20"/>
          <w:spacing w:val="-5"/>
        </w:rPr>
        <w:t> </w:t>
      </w:r>
      <w:r>
        <w:rPr>
          <w:color w:val="231F20"/>
        </w:rPr>
        <w:t>does</w:t>
      </w:r>
      <w:r>
        <w:rPr>
          <w:color w:val="231F20"/>
          <w:spacing w:val="-6"/>
        </w:rPr>
        <w:t> </w:t>
      </w:r>
      <w:r>
        <w:rPr>
          <w:color w:val="231F20"/>
        </w:rPr>
        <w:t>not</w:t>
      </w:r>
      <w:r>
        <w:rPr>
          <w:color w:val="231F20"/>
          <w:spacing w:val="-4"/>
        </w:rPr>
        <w:t> </w:t>
      </w:r>
      <w:r>
        <w:rPr>
          <w:color w:val="231F20"/>
          <w:spacing w:val="-1"/>
        </w:rPr>
        <w:t>include</w:t>
      </w:r>
      <w:r>
        <w:rPr>
          <w:color w:val="231F20"/>
          <w:spacing w:val="-5"/>
        </w:rPr>
        <w:t> </w:t>
      </w:r>
      <w:r>
        <w:rPr>
          <w:color w:val="231F20"/>
        </w:rPr>
        <w:t>trading</w:t>
      </w:r>
      <w:r>
        <w:rPr>
          <w:color w:val="231F20"/>
          <w:spacing w:val="22"/>
          <w:w w:val="99"/>
        </w:rPr>
        <w:t> </w:t>
      </w:r>
      <w:r>
        <w:rPr>
          <w:color w:val="231F20"/>
        </w:rPr>
        <w:t>activities</w:t>
      </w:r>
      <w:r>
        <w:rPr>
          <w:color w:val="231F20"/>
          <w:spacing w:val="-6"/>
        </w:rPr>
        <w:t> </w:t>
      </w:r>
      <w:r>
        <w:rPr>
          <w:color w:val="231F20"/>
        </w:rPr>
        <w:t>expenses/loss,</w:t>
      </w:r>
      <w:r>
        <w:rPr>
          <w:color w:val="231F20"/>
          <w:spacing w:val="-5"/>
        </w:rPr>
        <w:t> </w:t>
      </w:r>
      <w:r>
        <w:rPr>
          <w:color w:val="231F20"/>
        </w:rPr>
        <w:t>depreciation</w:t>
      </w:r>
      <w:r>
        <w:rPr>
          <w:color w:val="231F20"/>
          <w:spacing w:val="-5"/>
        </w:rPr>
        <w:t> </w:t>
      </w:r>
      <w:r>
        <w:rPr>
          <w:color w:val="231F20"/>
        </w:rPr>
        <w:t>or</w:t>
      </w:r>
      <w:r>
        <w:rPr>
          <w:color w:val="231F20"/>
          <w:w w:val="99"/>
        </w:rPr>
        <w:t> </w:t>
      </w:r>
      <w:r>
        <w:rPr>
          <w:color w:val="231F20"/>
        </w:rPr>
        <w:t>amortisation.</w:t>
      </w:r>
      <w:r>
        <w:rPr/>
      </w:r>
    </w:p>
    <w:p>
      <w:pPr>
        <w:pStyle w:val="BodyText"/>
        <w:spacing w:line="250" w:lineRule="exact" w:before="113"/>
        <w:ind w:left="145" w:right="541"/>
        <w:jc w:val="left"/>
      </w:pPr>
      <w:r>
        <w:rPr>
          <w:color w:val="231F20"/>
          <w:spacing w:val="-1"/>
        </w:rPr>
        <w:t>Interest</w:t>
      </w:r>
      <w:r>
        <w:rPr>
          <w:color w:val="231F20"/>
          <w:spacing w:val="-7"/>
        </w:rPr>
        <w:t> </w:t>
      </w:r>
      <w:r>
        <w:rPr>
          <w:color w:val="231F20"/>
        </w:rPr>
        <w:t>expense</w:t>
      </w:r>
      <w:r>
        <w:rPr>
          <w:color w:val="231F20"/>
          <w:spacing w:val="-7"/>
        </w:rPr>
        <w:t> </w:t>
      </w:r>
      <w:r>
        <w:rPr>
          <w:color w:val="231F20"/>
        </w:rPr>
        <w:t>has</w:t>
      </w:r>
      <w:r>
        <w:rPr>
          <w:color w:val="231F20"/>
          <w:spacing w:val="-7"/>
        </w:rPr>
        <w:t> </w:t>
      </w:r>
      <w:r>
        <w:rPr>
          <w:color w:val="231F20"/>
        </w:rPr>
        <w:t>been</w:t>
      </w:r>
      <w:r>
        <w:rPr>
          <w:color w:val="231F20"/>
          <w:spacing w:val="-7"/>
        </w:rPr>
        <w:t> </w:t>
      </w:r>
      <w:r>
        <w:rPr>
          <w:color w:val="231F20"/>
        </w:rPr>
        <w:t>excluded</w:t>
      </w:r>
      <w:r>
        <w:rPr>
          <w:color w:val="231F20"/>
          <w:spacing w:val="-7"/>
        </w:rPr>
        <w:t> </w:t>
      </w:r>
      <w:r>
        <w:rPr>
          <w:color w:val="231F20"/>
        </w:rPr>
        <w:t>from</w:t>
      </w:r>
      <w:r>
        <w:rPr>
          <w:color w:val="231F20"/>
          <w:spacing w:val="22"/>
          <w:w w:val="99"/>
        </w:rPr>
        <w:t> </w:t>
      </w:r>
      <w:r>
        <w:rPr>
          <w:color w:val="231F20"/>
        </w:rPr>
        <w:t>recurrent</w:t>
      </w:r>
      <w:r>
        <w:rPr>
          <w:color w:val="231F20"/>
          <w:spacing w:val="-8"/>
        </w:rPr>
        <w:t> </w:t>
      </w:r>
      <w:r>
        <w:rPr>
          <w:color w:val="231F20"/>
        </w:rPr>
        <w:t>expenditure</w:t>
      </w:r>
      <w:r>
        <w:rPr>
          <w:color w:val="231F20"/>
          <w:spacing w:val="-7"/>
        </w:rPr>
        <w:t> </w:t>
      </w:r>
      <w:r>
        <w:rPr>
          <w:color w:val="231F20"/>
          <w:spacing w:val="-1"/>
        </w:rPr>
        <w:t>in</w:t>
      </w:r>
      <w:r>
        <w:rPr>
          <w:color w:val="231F20"/>
          <w:spacing w:val="-7"/>
        </w:rPr>
        <w:t> </w:t>
      </w:r>
      <w:r>
        <w:rPr>
          <w:color w:val="231F20"/>
        </w:rPr>
        <w:t>order</w:t>
      </w:r>
      <w:r>
        <w:rPr>
          <w:color w:val="231F20"/>
          <w:spacing w:val="-7"/>
        </w:rPr>
        <w:t> </w:t>
      </w:r>
      <w:r>
        <w:rPr>
          <w:color w:val="231F20"/>
        </w:rPr>
        <w:t>to</w:t>
      </w:r>
      <w:r>
        <w:rPr>
          <w:color w:val="231F20"/>
          <w:spacing w:val="-6"/>
        </w:rPr>
        <w:t> </w:t>
      </w:r>
      <w:r>
        <w:rPr>
          <w:color w:val="231F20"/>
        </w:rPr>
        <w:t>consider</w:t>
      </w:r>
      <w:r>
        <w:rPr>
          <w:color w:val="231F20"/>
          <w:spacing w:val="21"/>
          <w:w w:val="99"/>
        </w:rPr>
        <w:t> </w:t>
      </w:r>
      <w:r>
        <w:rPr>
          <w:color w:val="231F20"/>
        </w:rPr>
        <w:t>the</w:t>
      </w:r>
      <w:r>
        <w:rPr>
          <w:color w:val="231F20"/>
          <w:spacing w:val="-9"/>
        </w:rPr>
        <w:t> </w:t>
      </w:r>
      <w:r>
        <w:rPr>
          <w:color w:val="231F20"/>
        </w:rPr>
        <w:t>underlying</w:t>
      </w:r>
      <w:r>
        <w:rPr>
          <w:color w:val="231F20"/>
          <w:spacing w:val="-8"/>
        </w:rPr>
        <w:t> </w:t>
      </w:r>
      <w:r>
        <w:rPr>
          <w:color w:val="231F20"/>
        </w:rPr>
        <w:t>performance</w:t>
      </w:r>
      <w:r>
        <w:rPr>
          <w:color w:val="231F20"/>
          <w:spacing w:val="-8"/>
        </w:rPr>
        <w:t> </w:t>
      </w:r>
      <w:r>
        <w:rPr>
          <w:color w:val="231F20"/>
        </w:rPr>
        <w:t>of</w:t>
      </w:r>
      <w:r>
        <w:rPr>
          <w:color w:val="231F20"/>
          <w:spacing w:val="-7"/>
        </w:rPr>
        <w:t> </w:t>
      </w:r>
      <w:r>
        <w:rPr>
          <w:color w:val="231F20"/>
        </w:rPr>
        <w:t>the</w:t>
      </w:r>
      <w:r>
        <w:rPr>
          <w:color w:val="231F20"/>
          <w:spacing w:val="-8"/>
        </w:rPr>
        <w:t> </w:t>
      </w:r>
      <w:r>
        <w:rPr>
          <w:color w:val="231F20"/>
        </w:rPr>
        <w:t>relevant</w:t>
      </w:r>
      <w:r>
        <w:rPr/>
      </w:r>
    </w:p>
    <w:p>
      <w:pPr>
        <w:pStyle w:val="BodyText"/>
        <w:spacing w:line="250" w:lineRule="exact"/>
        <w:ind w:left="145" w:right="84"/>
        <w:jc w:val="left"/>
      </w:pPr>
      <w:r>
        <w:rPr>
          <w:color w:val="231F20"/>
        </w:rPr>
        <w:t>providers.</w:t>
      </w:r>
      <w:r>
        <w:rPr>
          <w:color w:val="231F20"/>
          <w:spacing w:val="-5"/>
        </w:rPr>
        <w:t> </w:t>
      </w:r>
      <w:r>
        <w:rPr>
          <w:color w:val="231F20"/>
        </w:rPr>
        <w:t>This</w:t>
      </w:r>
      <w:r>
        <w:rPr>
          <w:color w:val="231F20"/>
          <w:spacing w:val="-5"/>
        </w:rPr>
        <w:t> </w:t>
      </w:r>
      <w:r>
        <w:rPr>
          <w:color w:val="231F20"/>
        </w:rPr>
        <w:t>removes</w:t>
      </w:r>
      <w:r>
        <w:rPr>
          <w:color w:val="231F20"/>
          <w:spacing w:val="-5"/>
        </w:rPr>
        <w:t> </w:t>
      </w:r>
      <w:r>
        <w:rPr>
          <w:color w:val="231F20"/>
        </w:rPr>
        <w:t>the</w:t>
      </w:r>
      <w:r>
        <w:rPr>
          <w:color w:val="231F20"/>
          <w:spacing w:val="-5"/>
        </w:rPr>
        <w:t> </w:t>
      </w:r>
      <w:r>
        <w:rPr>
          <w:color w:val="231F20"/>
          <w:spacing w:val="-1"/>
        </w:rPr>
        <w:t>impact</w:t>
      </w:r>
      <w:r>
        <w:rPr>
          <w:color w:val="231F20"/>
          <w:spacing w:val="-3"/>
        </w:rPr>
        <w:t> </w:t>
      </w:r>
      <w:r>
        <w:rPr>
          <w:color w:val="231F20"/>
        </w:rPr>
        <w:t>of</w:t>
      </w:r>
      <w:r>
        <w:rPr>
          <w:color w:val="231F20"/>
          <w:spacing w:val="-4"/>
        </w:rPr>
        <w:t> </w:t>
      </w:r>
      <w:r>
        <w:rPr>
          <w:color w:val="231F20"/>
        </w:rPr>
        <w:t>any</w:t>
      </w:r>
      <w:r>
        <w:rPr>
          <w:color w:val="231F20"/>
          <w:spacing w:val="-5"/>
        </w:rPr>
        <w:t> </w:t>
      </w:r>
      <w:r>
        <w:rPr>
          <w:color w:val="231F20"/>
        </w:rPr>
        <w:t>debt</w:t>
      </w:r>
      <w:r>
        <w:rPr>
          <w:color w:val="231F20"/>
          <w:spacing w:val="21"/>
          <w:w w:val="99"/>
        </w:rPr>
        <w:t> </w:t>
      </w:r>
      <w:r>
        <w:rPr>
          <w:color w:val="231F20"/>
          <w:spacing w:val="-1"/>
        </w:rPr>
        <w:t>servicing</w:t>
      </w:r>
      <w:r>
        <w:rPr>
          <w:color w:val="231F20"/>
          <w:spacing w:val="-6"/>
        </w:rPr>
        <w:t> </w:t>
      </w:r>
      <w:r>
        <w:rPr>
          <w:color w:val="231F20"/>
        </w:rPr>
        <w:t>requirements</w:t>
      </w:r>
      <w:r>
        <w:rPr>
          <w:color w:val="231F20"/>
          <w:spacing w:val="-7"/>
        </w:rPr>
        <w:t> </w:t>
      </w:r>
      <w:r>
        <w:rPr>
          <w:color w:val="231F20"/>
        </w:rPr>
        <w:t>and/or</w:t>
      </w:r>
      <w:r>
        <w:rPr>
          <w:color w:val="231F20"/>
          <w:spacing w:val="-7"/>
        </w:rPr>
        <w:t> </w:t>
      </w:r>
      <w:r>
        <w:rPr>
          <w:color w:val="231F20"/>
        </w:rPr>
        <w:t>variation</w:t>
      </w:r>
      <w:r>
        <w:rPr>
          <w:color w:val="231F20"/>
          <w:spacing w:val="-6"/>
        </w:rPr>
        <w:t> </w:t>
      </w:r>
      <w:r>
        <w:rPr>
          <w:color w:val="231F20"/>
          <w:spacing w:val="-1"/>
        </w:rPr>
        <w:t>in</w:t>
      </w:r>
      <w:r>
        <w:rPr>
          <w:color w:val="231F20"/>
          <w:spacing w:val="-6"/>
        </w:rPr>
        <w:t> </w:t>
      </w:r>
      <w:r>
        <w:rPr>
          <w:color w:val="231F20"/>
        </w:rPr>
        <w:t>debt</w:t>
      </w:r>
      <w:r>
        <w:rPr>
          <w:color w:val="231F20"/>
          <w:spacing w:val="23"/>
          <w:w w:val="99"/>
        </w:rPr>
        <w:t> </w:t>
      </w:r>
      <w:r>
        <w:rPr>
          <w:color w:val="231F20"/>
          <w:spacing w:val="-1"/>
        </w:rPr>
        <w:t>levels</w:t>
      </w:r>
      <w:r>
        <w:rPr>
          <w:color w:val="231F20"/>
          <w:spacing w:val="-6"/>
        </w:rPr>
        <w:t> </w:t>
      </w:r>
      <w:r>
        <w:rPr>
          <w:color w:val="231F20"/>
        </w:rPr>
        <w:t>amongst</w:t>
      </w:r>
      <w:r>
        <w:rPr>
          <w:color w:val="231F20"/>
          <w:spacing w:val="-7"/>
        </w:rPr>
        <w:t> </w:t>
      </w:r>
      <w:r>
        <w:rPr>
          <w:color w:val="231F20"/>
        </w:rPr>
        <w:t>boarding</w:t>
      </w:r>
      <w:r>
        <w:rPr>
          <w:color w:val="231F20"/>
          <w:spacing w:val="-7"/>
        </w:rPr>
        <w:t> </w:t>
      </w:r>
      <w:r>
        <w:rPr>
          <w:color w:val="231F20"/>
        </w:rPr>
        <w:t>providers.</w:t>
      </w:r>
      <w:r>
        <w:rPr>
          <w:color w:val="231F20"/>
          <w:spacing w:val="-7"/>
        </w:rPr>
        <w:t> </w:t>
      </w:r>
      <w:r>
        <w:rPr>
          <w:color w:val="231F20"/>
          <w:spacing w:val="-1"/>
        </w:rPr>
        <w:t>Interest</w:t>
      </w:r>
      <w:r>
        <w:rPr>
          <w:color w:val="231F20"/>
          <w:spacing w:val="21"/>
          <w:w w:val="99"/>
        </w:rPr>
        <w:t> </w:t>
      </w:r>
      <w:r>
        <w:rPr>
          <w:color w:val="231F20"/>
        </w:rPr>
        <w:t>expenses</w:t>
      </w:r>
      <w:r>
        <w:rPr>
          <w:color w:val="231F20"/>
          <w:spacing w:val="-5"/>
        </w:rPr>
        <w:t> </w:t>
      </w:r>
      <w:r>
        <w:rPr>
          <w:color w:val="231F20"/>
        </w:rPr>
        <w:t>however</w:t>
      </w:r>
      <w:r>
        <w:rPr>
          <w:color w:val="231F20"/>
          <w:spacing w:val="-3"/>
        </w:rPr>
        <w:t> </w:t>
      </w:r>
      <w:r>
        <w:rPr>
          <w:color w:val="231F20"/>
        </w:rPr>
        <w:t>are</w:t>
      </w:r>
      <w:r>
        <w:rPr>
          <w:color w:val="231F20"/>
          <w:spacing w:val="-4"/>
        </w:rPr>
        <w:t> </w:t>
      </w:r>
      <w:r>
        <w:rPr>
          <w:color w:val="231F20"/>
        </w:rPr>
        <w:t>negligible</w:t>
      </w:r>
      <w:r>
        <w:rPr>
          <w:color w:val="231F20"/>
          <w:spacing w:val="-4"/>
        </w:rPr>
        <w:t> </w:t>
      </w:r>
      <w:r>
        <w:rPr>
          <w:color w:val="231F20"/>
        </w:rPr>
        <w:t>across</w:t>
      </w:r>
      <w:r>
        <w:rPr>
          <w:color w:val="231F20"/>
          <w:spacing w:val="-4"/>
        </w:rPr>
        <w:t> </w:t>
      </w:r>
      <w:r>
        <w:rPr>
          <w:color w:val="231F20"/>
        </w:rPr>
        <w:t>the</w:t>
      </w:r>
      <w:r>
        <w:rPr>
          <w:color w:val="231F20"/>
          <w:spacing w:val="-4"/>
        </w:rPr>
        <w:t> </w:t>
      </w:r>
      <w:r>
        <w:rPr>
          <w:color w:val="231F20"/>
          <w:spacing w:val="-1"/>
        </w:rPr>
        <w:t>27</w:t>
      </w:r>
      <w:r>
        <w:rPr>
          <w:color w:val="231F20"/>
          <w:spacing w:val="1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providers—a</w:t>
      </w:r>
      <w:r>
        <w:rPr>
          <w:color w:val="231F20"/>
          <w:spacing w:val="-7"/>
        </w:rPr>
        <w:t> </w:t>
      </w:r>
      <w:r>
        <w:rPr>
          <w:color w:val="231F20"/>
        </w:rPr>
        <w:t>total</w:t>
      </w:r>
      <w:r>
        <w:rPr>
          <w:color w:val="231F20"/>
          <w:spacing w:val="-7"/>
        </w:rPr>
        <w:t> </w:t>
      </w:r>
      <w:r>
        <w:rPr>
          <w:color w:val="231F20"/>
        </w:rPr>
        <w:t>of</w:t>
      </w:r>
      <w:r>
        <w:rPr>
          <w:color w:val="231F20"/>
          <w:spacing w:val="-6"/>
        </w:rPr>
        <w:t> </w:t>
      </w:r>
      <w:r>
        <w:rPr>
          <w:color w:val="231F20"/>
        </w:rPr>
        <w:t>approximately</w:t>
      </w:r>
      <w:r>
        <w:rPr>
          <w:color w:val="231F20"/>
          <w:spacing w:val="-7"/>
        </w:rPr>
        <w:t> </w:t>
      </w:r>
      <w:r>
        <w:rPr>
          <w:color w:val="231F20"/>
          <w:spacing w:val="-1"/>
        </w:rPr>
        <w:t>$700,000</w:t>
      </w:r>
      <w:r>
        <w:rPr>
          <w:color w:val="231F20"/>
          <w:spacing w:val="-6"/>
        </w:rPr>
        <w:t> </w:t>
      </w:r>
      <w:r>
        <w:rPr>
          <w:color w:val="231F20"/>
          <w:spacing w:val="-1"/>
        </w:rPr>
        <w:t>in</w:t>
      </w:r>
      <w:r>
        <w:rPr>
          <w:color w:val="231F20"/>
          <w:spacing w:val="21"/>
        </w:rPr>
        <w:t> </w:t>
      </w:r>
      <w:r>
        <w:rPr>
          <w:color w:val="231F20"/>
        </w:rPr>
        <w:t>each</w:t>
      </w:r>
      <w:r>
        <w:rPr>
          <w:color w:val="231F20"/>
          <w:spacing w:val="-2"/>
        </w:rPr>
        <w:t> </w:t>
      </w:r>
      <w:r>
        <w:rPr>
          <w:color w:val="231F20"/>
        </w:rPr>
        <w:t>of</w:t>
      </w:r>
      <w:r>
        <w:rPr>
          <w:color w:val="231F20"/>
          <w:spacing w:val="-2"/>
        </w:rPr>
        <w:t> </w:t>
      </w:r>
      <w:r>
        <w:rPr>
          <w:color w:val="231F20"/>
          <w:spacing w:val="-1"/>
        </w:rPr>
        <w:t>2015 </w:t>
      </w:r>
      <w:r>
        <w:rPr>
          <w:color w:val="231F20"/>
        </w:rPr>
        <w:t>and</w:t>
      </w:r>
      <w:r>
        <w:rPr>
          <w:color w:val="231F20"/>
          <w:spacing w:val="-3"/>
        </w:rPr>
        <w:t> </w:t>
      </w:r>
      <w:r>
        <w:rPr>
          <w:color w:val="231F20"/>
          <w:spacing w:val="-1"/>
        </w:rPr>
        <w:t>2016, </w:t>
      </w:r>
      <w:r>
        <w:rPr>
          <w:color w:val="231F20"/>
        </w:rPr>
        <w:t>and</w:t>
      </w:r>
      <w:r>
        <w:rPr>
          <w:color w:val="231F20"/>
          <w:spacing w:val="-3"/>
        </w:rPr>
        <w:t> </w:t>
      </w:r>
      <w:r>
        <w:rPr>
          <w:color w:val="231F20"/>
          <w:spacing w:val="-1"/>
        </w:rPr>
        <w:t>$400,000 in</w:t>
      </w:r>
      <w:r>
        <w:rPr>
          <w:color w:val="231F20"/>
          <w:spacing w:val="-2"/>
        </w:rPr>
        <w:t> </w:t>
      </w:r>
      <w:r>
        <w:rPr>
          <w:color w:val="231F20"/>
        </w:rPr>
        <w:t>2017.</w:t>
      </w:r>
      <w:r>
        <w:rPr/>
      </w:r>
    </w:p>
    <w:p>
      <w:pPr>
        <w:spacing w:after="0" w:line="250" w:lineRule="exact"/>
        <w:jc w:val="left"/>
        <w:sectPr>
          <w:type w:val="continuous"/>
          <w:pgSz w:w="11910" w:h="16840"/>
          <w:pgMar w:top="1580" w:bottom="280" w:left="1300" w:right="1580"/>
          <w:cols w:num="2" w:equalWidth="0">
            <w:col w:w="4287" w:space="248"/>
            <w:col w:w="4495"/>
          </w:cols>
        </w:sectPr>
      </w:pPr>
    </w:p>
    <w:p>
      <w:pPr>
        <w:spacing w:line="240" w:lineRule="auto" w:before="0"/>
        <w:rPr>
          <w:rFonts w:ascii="Segoe UI" w:hAnsi="Segoe UI" w:cs="Segoe UI" w:eastAsia="Segoe UI"/>
          <w:sz w:val="20"/>
          <w:szCs w:val="20"/>
        </w:rPr>
      </w:pPr>
    </w:p>
    <w:p>
      <w:pPr>
        <w:spacing w:line="240" w:lineRule="auto" w:before="8"/>
        <w:rPr>
          <w:rFonts w:ascii="Segoe UI" w:hAnsi="Segoe UI" w:cs="Segoe UI" w:eastAsia="Segoe UI"/>
          <w:sz w:val="21"/>
          <w:szCs w:val="21"/>
        </w:rPr>
      </w:pPr>
    </w:p>
    <w:p>
      <w:pPr>
        <w:spacing w:after="0" w:line="240" w:lineRule="auto"/>
        <w:rPr>
          <w:rFonts w:ascii="Segoe UI" w:hAnsi="Segoe UI" w:cs="Segoe UI" w:eastAsia="Segoe UI"/>
          <w:sz w:val="21"/>
          <w:szCs w:val="21"/>
        </w:rPr>
        <w:sectPr>
          <w:pgSz w:w="11910" w:h="16840"/>
          <w:pgMar w:header="0" w:footer="691" w:top="1580" w:bottom="880" w:left="1600" w:right="1300"/>
        </w:sectPr>
      </w:pPr>
    </w:p>
    <w:p>
      <w:pPr>
        <w:pStyle w:val="BodyText"/>
        <w:spacing w:line="250" w:lineRule="exact" w:before="62"/>
        <w:ind w:left="100" w:right="0"/>
        <w:jc w:val="left"/>
      </w:pPr>
      <w:r>
        <w:rPr>
          <w:rFonts w:ascii="Segoe UI"/>
          <w:color w:val="231F20"/>
        </w:rPr>
        <w:t>Each boarding school in its financial </w:t>
      </w:r>
      <w:r>
        <w:rPr>
          <w:color w:val="231F20"/>
        </w:rPr>
        <w:t>questionnaire</w:t>
      </w:r>
      <w:r>
        <w:rPr>
          <w:color w:val="231F20"/>
          <w:spacing w:val="-8"/>
        </w:rPr>
        <w:t> </w:t>
      </w:r>
      <w:r>
        <w:rPr>
          <w:color w:val="231F20"/>
        </w:rPr>
        <w:t>provides</w:t>
      </w:r>
      <w:r>
        <w:rPr>
          <w:color w:val="231F20"/>
          <w:spacing w:val="-7"/>
        </w:rPr>
        <w:t> </w:t>
      </w:r>
      <w:r>
        <w:rPr>
          <w:color w:val="231F20"/>
        </w:rPr>
        <w:t>a</w:t>
      </w:r>
      <w:r>
        <w:rPr>
          <w:color w:val="231F20"/>
          <w:spacing w:val="-6"/>
        </w:rPr>
        <w:t> </w:t>
      </w:r>
      <w:r>
        <w:rPr>
          <w:color w:val="231F20"/>
          <w:spacing w:val="-1"/>
        </w:rPr>
        <w:t>split</w:t>
      </w:r>
      <w:r>
        <w:rPr>
          <w:color w:val="231F20"/>
          <w:spacing w:val="-6"/>
        </w:rPr>
        <w:t> </w:t>
      </w:r>
      <w:r>
        <w:rPr>
          <w:color w:val="231F20"/>
        </w:rPr>
        <w:t>of</w:t>
      </w:r>
      <w:r>
        <w:rPr>
          <w:color w:val="231F20"/>
          <w:spacing w:val="-6"/>
        </w:rPr>
        <w:t> </w:t>
      </w:r>
      <w:r>
        <w:rPr>
          <w:color w:val="231F20"/>
        </w:rPr>
        <w:t>recurrent</w:t>
      </w:r>
      <w:r>
        <w:rPr>
          <w:color w:val="231F20"/>
          <w:spacing w:val="21"/>
          <w:w w:val="99"/>
        </w:rPr>
        <w:t> </w:t>
      </w:r>
      <w:r>
        <w:rPr>
          <w:color w:val="231F20"/>
          <w:spacing w:val="-1"/>
        </w:rPr>
        <w:t>income</w:t>
      </w:r>
      <w:r>
        <w:rPr>
          <w:color w:val="231F20"/>
          <w:spacing w:val="-5"/>
        </w:rPr>
        <w:t> </w:t>
      </w:r>
      <w:r>
        <w:rPr>
          <w:color w:val="231F20"/>
        </w:rPr>
        <w:t>and</w:t>
      </w:r>
      <w:r>
        <w:rPr>
          <w:color w:val="231F20"/>
          <w:spacing w:val="-5"/>
        </w:rPr>
        <w:t> </w:t>
      </w:r>
      <w:r>
        <w:rPr>
          <w:color w:val="231F20"/>
        </w:rPr>
        <w:t>expenses</w:t>
      </w:r>
      <w:r>
        <w:rPr>
          <w:color w:val="231F20"/>
          <w:spacing w:val="-5"/>
        </w:rPr>
        <w:t> </w:t>
      </w:r>
      <w:r>
        <w:rPr>
          <w:color w:val="231F20"/>
        </w:rPr>
        <w:t>between</w:t>
      </w:r>
      <w:r>
        <w:rPr>
          <w:color w:val="231F20"/>
          <w:spacing w:val="-4"/>
        </w:rPr>
        <w:t> </w:t>
      </w:r>
      <w:r>
        <w:rPr>
          <w:color w:val="231F20"/>
        </w:rPr>
        <w:t>tuition</w:t>
      </w:r>
      <w:r>
        <w:rPr>
          <w:color w:val="231F20"/>
          <w:spacing w:val="-5"/>
        </w:rPr>
        <w:t> </w:t>
      </w:r>
      <w:r>
        <w:rPr>
          <w:color w:val="231F20"/>
        </w:rPr>
        <w:t>and</w:t>
      </w:r>
      <w:r>
        <w:rPr>
          <w:color w:val="231F20"/>
          <w:spacing w:val="21"/>
          <w:w w:val="99"/>
        </w:rPr>
        <w:t> </w:t>
      </w:r>
      <w:r>
        <w:rPr>
          <w:color w:val="231F20"/>
        </w:rPr>
        <w:t>boarding</w:t>
      </w:r>
      <w:r>
        <w:rPr>
          <w:color w:val="231F20"/>
          <w:spacing w:val="-5"/>
        </w:rPr>
        <w:t> </w:t>
      </w:r>
      <w:r>
        <w:rPr>
          <w:color w:val="231F20"/>
        </w:rPr>
        <w:t>using</w:t>
      </w:r>
      <w:r>
        <w:rPr>
          <w:color w:val="231F20"/>
          <w:spacing w:val="-5"/>
        </w:rPr>
        <w:t> </w:t>
      </w:r>
      <w:r>
        <w:rPr>
          <w:color w:val="231F20"/>
        </w:rPr>
        <w:t>an</w:t>
      </w:r>
      <w:r>
        <w:rPr>
          <w:color w:val="231F20"/>
          <w:spacing w:val="-5"/>
        </w:rPr>
        <w:t> </w:t>
      </w:r>
      <w:r>
        <w:rPr>
          <w:color w:val="231F20"/>
        </w:rPr>
        <w:t>allocation</w:t>
      </w:r>
      <w:r>
        <w:rPr>
          <w:color w:val="231F20"/>
          <w:spacing w:val="-4"/>
        </w:rPr>
        <w:t> </w:t>
      </w:r>
      <w:r>
        <w:rPr>
          <w:color w:val="231F20"/>
        </w:rPr>
        <w:t>rate.</w:t>
      </w:r>
      <w:r>
        <w:rPr>
          <w:color w:val="231F20"/>
          <w:spacing w:val="-5"/>
        </w:rPr>
        <w:t> </w:t>
      </w:r>
      <w:r>
        <w:rPr>
          <w:color w:val="231F20"/>
        </w:rPr>
        <w:t>This</w:t>
      </w:r>
      <w:r>
        <w:rPr>
          <w:color w:val="231F20"/>
          <w:spacing w:val="-5"/>
        </w:rPr>
        <w:t> </w:t>
      </w:r>
      <w:r>
        <w:rPr>
          <w:color w:val="231F20"/>
          <w:spacing w:val="-1"/>
        </w:rPr>
        <w:t>split</w:t>
      </w:r>
      <w:r>
        <w:rPr>
          <w:color w:val="231F20"/>
          <w:spacing w:val="-3"/>
        </w:rPr>
        <w:t> </w:t>
      </w:r>
      <w:r>
        <w:rPr>
          <w:color w:val="231F20"/>
        </w:rPr>
        <w:t>was</w:t>
      </w:r>
      <w:r>
        <w:rPr>
          <w:color w:val="231F20"/>
          <w:spacing w:val="21"/>
          <w:w w:val="99"/>
        </w:rPr>
        <w:t> </w:t>
      </w:r>
      <w:r>
        <w:rPr>
          <w:color w:val="231F20"/>
        </w:rPr>
        <w:t>available</w:t>
      </w:r>
      <w:r>
        <w:rPr>
          <w:color w:val="231F20"/>
          <w:spacing w:val="-5"/>
        </w:rPr>
        <w:t> </w:t>
      </w:r>
      <w:r>
        <w:rPr>
          <w:color w:val="231F20"/>
        </w:rPr>
        <w:t>for</w:t>
      </w:r>
      <w:r>
        <w:rPr>
          <w:color w:val="231F20"/>
          <w:spacing w:val="-5"/>
        </w:rPr>
        <w:t> </w:t>
      </w:r>
      <w:r>
        <w:rPr>
          <w:color w:val="231F20"/>
          <w:spacing w:val="-1"/>
        </w:rPr>
        <w:t>2016</w:t>
      </w:r>
      <w:r>
        <w:rPr>
          <w:color w:val="231F20"/>
          <w:spacing w:val="-4"/>
        </w:rPr>
        <w:t> </w:t>
      </w:r>
      <w:r>
        <w:rPr>
          <w:color w:val="231F20"/>
        </w:rPr>
        <w:t>and</w:t>
      </w:r>
      <w:r>
        <w:rPr>
          <w:color w:val="231F20"/>
          <w:spacing w:val="-5"/>
        </w:rPr>
        <w:t> </w:t>
      </w:r>
      <w:r>
        <w:rPr>
          <w:color w:val="231F20"/>
          <w:spacing w:val="-1"/>
        </w:rPr>
        <w:t>2017</w:t>
      </w:r>
      <w:r>
        <w:rPr>
          <w:color w:val="231F20"/>
          <w:spacing w:val="-4"/>
        </w:rPr>
        <w:t> </w:t>
      </w:r>
      <w:r>
        <w:rPr>
          <w:color w:val="231F20"/>
        </w:rPr>
        <w:t>for</w:t>
      </w:r>
      <w:r>
        <w:rPr>
          <w:color w:val="231F20"/>
          <w:spacing w:val="-4"/>
        </w:rPr>
        <w:t> </w:t>
      </w:r>
      <w:r>
        <w:rPr>
          <w:color w:val="231F20"/>
        </w:rPr>
        <w:t>Aboriginal</w:t>
      </w:r>
      <w:r>
        <w:rPr>
          <w:color w:val="231F20"/>
          <w:spacing w:val="-4"/>
        </w:rPr>
        <w:t> </w:t>
      </w:r>
      <w:r>
        <w:rPr>
          <w:color w:val="231F20"/>
        </w:rPr>
        <w:t>and</w:t>
      </w:r>
      <w:r>
        <w:rPr>
          <w:color w:val="231F20"/>
          <w:spacing w:val="23"/>
          <w:w w:val="99"/>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7"/>
        </w:rPr>
        <w:t> </w:t>
      </w:r>
      <w:r>
        <w:rPr>
          <w:color w:val="231F20"/>
        </w:rPr>
        <w:t>providers</w:t>
      </w:r>
      <w:r>
        <w:rPr>
          <w:color w:val="231F20"/>
          <w:spacing w:val="-7"/>
        </w:rPr>
        <w:t> </w:t>
      </w:r>
      <w:r>
        <w:rPr>
          <w:color w:val="231F20"/>
        </w:rPr>
        <w:t>and</w:t>
      </w:r>
      <w:r>
        <w:rPr>
          <w:color w:val="231F20"/>
          <w:spacing w:val="21"/>
          <w:w w:val="99"/>
        </w:rPr>
        <w:t> </w:t>
      </w:r>
      <w:r>
        <w:rPr>
          <w:color w:val="231F20"/>
          <w:spacing w:val="-1"/>
        </w:rPr>
        <w:t>2017</w:t>
      </w:r>
      <w:r>
        <w:rPr>
          <w:color w:val="231F20"/>
          <w:spacing w:val="-5"/>
        </w:rPr>
        <w:t> </w:t>
      </w:r>
      <w:r>
        <w:rPr>
          <w:color w:val="231F20"/>
        </w:rPr>
        <w:t>for</w:t>
      </w:r>
      <w:r>
        <w:rPr>
          <w:color w:val="231F20"/>
          <w:spacing w:val="-5"/>
        </w:rPr>
        <w:t> </w:t>
      </w:r>
      <w:r>
        <w:rPr>
          <w:color w:val="231F20"/>
          <w:spacing w:val="-1"/>
        </w:rPr>
        <w:t>mainstream</w:t>
      </w:r>
      <w:r>
        <w:rPr>
          <w:color w:val="231F20"/>
          <w:spacing w:val="-4"/>
        </w:rPr>
        <w:t> </w:t>
      </w:r>
      <w:r>
        <w:rPr>
          <w:color w:val="231F20"/>
        </w:rPr>
        <w:t>boarding</w:t>
      </w:r>
      <w:r>
        <w:rPr>
          <w:color w:val="231F20"/>
          <w:spacing w:val="-6"/>
        </w:rPr>
        <w:t> </w:t>
      </w:r>
      <w:r>
        <w:rPr>
          <w:color w:val="231F20"/>
        </w:rPr>
        <w:t>providers.</w:t>
      </w:r>
      <w:r>
        <w:rPr/>
      </w:r>
    </w:p>
    <w:p>
      <w:pPr>
        <w:pStyle w:val="BodyText"/>
        <w:spacing w:line="250" w:lineRule="exact" w:before="113"/>
        <w:ind w:left="100" w:right="419"/>
        <w:jc w:val="left"/>
      </w:pPr>
      <w:r>
        <w:rPr>
          <w:color w:val="231F20"/>
          <w:spacing w:val="-1"/>
        </w:rPr>
        <w:t>For</w:t>
      </w:r>
      <w:r>
        <w:rPr>
          <w:color w:val="231F20"/>
          <w:spacing w:val="-5"/>
        </w:rPr>
        <w:t> </w:t>
      </w:r>
      <w:r>
        <w:rPr>
          <w:color w:val="231F20"/>
        </w:rPr>
        <w:t>this</w:t>
      </w:r>
      <w:r>
        <w:rPr>
          <w:color w:val="231F20"/>
          <w:spacing w:val="-5"/>
        </w:rPr>
        <w:t> </w:t>
      </w:r>
      <w:r>
        <w:rPr>
          <w:color w:val="231F20"/>
        </w:rPr>
        <w:t>report</w:t>
      </w:r>
      <w:r>
        <w:rPr>
          <w:color w:val="231F20"/>
          <w:spacing w:val="-6"/>
        </w:rPr>
        <w:t> </w:t>
      </w:r>
      <w:r>
        <w:rPr>
          <w:color w:val="231F20"/>
        </w:rPr>
        <w:t>Grant</w:t>
      </w:r>
      <w:r>
        <w:rPr>
          <w:color w:val="231F20"/>
          <w:spacing w:val="-4"/>
        </w:rPr>
        <w:t> </w:t>
      </w:r>
      <w:r>
        <w:rPr>
          <w:color w:val="231F20"/>
        </w:rPr>
        <w:t>Thornton</w:t>
      </w:r>
      <w:r>
        <w:rPr>
          <w:color w:val="231F20"/>
          <w:spacing w:val="-5"/>
        </w:rPr>
        <w:t> </w:t>
      </w:r>
      <w:r>
        <w:rPr>
          <w:color w:val="231F20"/>
        </w:rPr>
        <w:t>has</w:t>
      </w:r>
      <w:r>
        <w:rPr>
          <w:color w:val="231F20"/>
          <w:spacing w:val="-6"/>
        </w:rPr>
        <w:t> </w:t>
      </w:r>
      <w:r>
        <w:rPr>
          <w:color w:val="231F20"/>
          <w:spacing w:val="-1"/>
        </w:rPr>
        <w:t>made</w:t>
      </w:r>
      <w:r>
        <w:rPr>
          <w:color w:val="231F20"/>
          <w:spacing w:val="21"/>
          <w:w w:val="99"/>
        </w:rPr>
        <w:t> </w:t>
      </w:r>
      <w:r>
        <w:rPr>
          <w:color w:val="231F20"/>
        </w:rPr>
        <w:t>the</w:t>
      </w:r>
      <w:r>
        <w:rPr>
          <w:color w:val="231F20"/>
          <w:spacing w:val="-6"/>
        </w:rPr>
        <w:t> </w:t>
      </w:r>
      <w:r>
        <w:rPr>
          <w:color w:val="231F20"/>
        </w:rPr>
        <w:t>following</w:t>
      </w:r>
      <w:r>
        <w:rPr>
          <w:color w:val="231F20"/>
          <w:spacing w:val="-5"/>
        </w:rPr>
        <w:t> </w:t>
      </w:r>
      <w:r>
        <w:rPr>
          <w:color w:val="231F20"/>
        </w:rPr>
        <w:t>adjustments</w:t>
      </w:r>
      <w:r>
        <w:rPr>
          <w:color w:val="231F20"/>
          <w:spacing w:val="-6"/>
        </w:rPr>
        <w:t> </w:t>
      </w:r>
      <w:r>
        <w:rPr>
          <w:color w:val="231F20"/>
        </w:rPr>
        <w:t>to</w:t>
      </w:r>
      <w:r>
        <w:rPr>
          <w:color w:val="231F20"/>
          <w:spacing w:val="-5"/>
        </w:rPr>
        <w:t> </w:t>
      </w:r>
      <w:r>
        <w:rPr>
          <w:color w:val="231F20"/>
        </w:rPr>
        <w:t>the</w:t>
      </w:r>
      <w:r>
        <w:rPr>
          <w:color w:val="231F20"/>
          <w:spacing w:val="-6"/>
        </w:rPr>
        <w:t> </w:t>
      </w:r>
      <w:r>
        <w:rPr>
          <w:color w:val="231F20"/>
        </w:rPr>
        <w:t>three-year</w:t>
      </w:r>
      <w:r>
        <w:rPr>
          <w:color w:val="231F20"/>
          <w:w w:val="99"/>
        </w:rPr>
        <w:t> </w:t>
      </w:r>
      <w:r>
        <w:rPr>
          <w:color w:val="231F20"/>
        </w:rPr>
        <w:t>trend</w:t>
      </w:r>
      <w:r>
        <w:rPr>
          <w:color w:val="231F20"/>
          <w:spacing w:val="-10"/>
        </w:rPr>
        <w:t> </w:t>
      </w:r>
      <w:r>
        <w:rPr>
          <w:color w:val="231F20"/>
        </w:rPr>
        <w:t>data:</w:t>
      </w:r>
      <w:r>
        <w:rPr/>
      </w:r>
    </w:p>
    <w:p>
      <w:pPr>
        <w:pStyle w:val="BodyText"/>
        <w:spacing w:line="250" w:lineRule="exact" w:before="113"/>
        <w:ind w:left="327" w:right="56" w:hanging="227"/>
        <w:jc w:val="left"/>
      </w:pPr>
      <w:r>
        <w:rPr>
          <w:rFonts w:ascii="Century Gothic" w:hAnsi="Century Gothic"/>
          <w:color w:val="231F20"/>
        </w:rPr>
        <w:t>» </w:t>
      </w:r>
      <w:r>
        <w:rPr>
          <w:rFonts w:ascii="Century Gothic" w:hAnsi="Century Gothic"/>
          <w:color w:val="231F20"/>
          <w:spacing w:val="20"/>
        </w:rPr>
        <w:t> </w:t>
      </w:r>
      <w:r>
        <w:rPr>
          <w:color w:val="231F20"/>
        </w:rPr>
        <w:t>to</w:t>
      </w:r>
      <w:r>
        <w:rPr>
          <w:color w:val="231F20"/>
          <w:spacing w:val="-4"/>
        </w:rPr>
        <w:t> </w:t>
      </w:r>
      <w:r>
        <w:rPr>
          <w:color w:val="231F20"/>
        </w:rPr>
        <w:t>determine</w:t>
      </w:r>
      <w:r>
        <w:rPr>
          <w:color w:val="231F20"/>
          <w:spacing w:val="-5"/>
        </w:rPr>
        <w:t> </w:t>
      </w:r>
      <w:r>
        <w:rPr>
          <w:color w:val="231F20"/>
        </w:rPr>
        <w:t>the</w:t>
      </w:r>
      <w:r>
        <w:rPr>
          <w:color w:val="231F20"/>
          <w:spacing w:val="-4"/>
        </w:rPr>
        <w:t> </w:t>
      </w:r>
      <w:r>
        <w:rPr>
          <w:color w:val="231F20"/>
          <w:spacing w:val="-1"/>
        </w:rPr>
        <w:t>split</w:t>
      </w:r>
      <w:r>
        <w:rPr>
          <w:color w:val="231F20"/>
          <w:spacing w:val="-5"/>
        </w:rPr>
        <w:t> </w:t>
      </w:r>
      <w:r>
        <w:rPr>
          <w:color w:val="231F20"/>
        </w:rPr>
        <w:t>between</w:t>
      </w:r>
      <w:r>
        <w:rPr>
          <w:color w:val="231F20"/>
          <w:spacing w:val="-4"/>
        </w:rPr>
        <w:t> </w:t>
      </w:r>
      <w:r>
        <w:rPr>
          <w:color w:val="231F20"/>
        </w:rPr>
        <w:t>boarding</w:t>
      </w:r>
      <w:r>
        <w:rPr>
          <w:color w:val="231F20"/>
          <w:spacing w:val="-5"/>
        </w:rPr>
        <w:t> </w:t>
      </w:r>
      <w:r>
        <w:rPr>
          <w:color w:val="231F20"/>
        </w:rPr>
        <w:t>and</w:t>
      </w:r>
      <w:r>
        <w:rPr>
          <w:color w:val="231F20"/>
          <w:spacing w:val="21"/>
          <w:w w:val="99"/>
        </w:rPr>
        <w:t> </w:t>
      </w:r>
      <w:r>
        <w:rPr>
          <w:color w:val="231F20"/>
        </w:rPr>
        <w:t>tuition</w:t>
      </w:r>
      <w:r>
        <w:rPr>
          <w:color w:val="231F20"/>
          <w:spacing w:val="-6"/>
        </w:rPr>
        <w:t> </w:t>
      </w:r>
      <w:r>
        <w:rPr>
          <w:color w:val="231F20"/>
        </w:rPr>
        <w:t>(revenue</w:t>
      </w:r>
      <w:r>
        <w:rPr>
          <w:color w:val="231F20"/>
          <w:spacing w:val="-6"/>
        </w:rPr>
        <w:t> </w:t>
      </w:r>
      <w:r>
        <w:rPr>
          <w:color w:val="231F20"/>
        </w:rPr>
        <w:t>and</w:t>
      </w:r>
      <w:r>
        <w:rPr>
          <w:color w:val="231F20"/>
          <w:spacing w:val="-6"/>
        </w:rPr>
        <w:t> </w:t>
      </w:r>
      <w:r>
        <w:rPr>
          <w:color w:val="231F20"/>
        </w:rPr>
        <w:t>costs),</w:t>
      </w:r>
      <w:r>
        <w:rPr>
          <w:color w:val="231F20"/>
          <w:spacing w:val="-6"/>
        </w:rPr>
        <w:t> </w:t>
      </w:r>
      <w:r>
        <w:rPr>
          <w:color w:val="231F20"/>
        </w:rPr>
        <w:t>we</w:t>
      </w:r>
      <w:r>
        <w:rPr>
          <w:color w:val="231F20"/>
          <w:spacing w:val="-6"/>
        </w:rPr>
        <w:t> </w:t>
      </w:r>
      <w:r>
        <w:rPr>
          <w:color w:val="231F20"/>
        </w:rPr>
        <w:t>have</w:t>
      </w:r>
      <w:r>
        <w:rPr>
          <w:color w:val="231F20"/>
          <w:spacing w:val="-5"/>
        </w:rPr>
        <w:t> </w:t>
      </w:r>
      <w:r>
        <w:rPr>
          <w:color w:val="231F20"/>
        </w:rPr>
        <w:t>utilised</w:t>
      </w:r>
      <w:r>
        <w:rPr>
          <w:color w:val="231F20"/>
        </w:rPr>
        <w:t> the</w:t>
      </w:r>
      <w:r>
        <w:rPr>
          <w:color w:val="231F20"/>
          <w:spacing w:val="-5"/>
        </w:rPr>
        <w:t> </w:t>
      </w:r>
      <w:r>
        <w:rPr>
          <w:color w:val="231F20"/>
          <w:spacing w:val="-1"/>
        </w:rPr>
        <w:t>2016</w:t>
      </w:r>
      <w:r>
        <w:rPr>
          <w:color w:val="231F20"/>
          <w:spacing w:val="-4"/>
        </w:rPr>
        <w:t> </w:t>
      </w:r>
      <w:r>
        <w:rPr>
          <w:color w:val="231F20"/>
        </w:rPr>
        <w:t>allocation</w:t>
      </w:r>
      <w:r>
        <w:rPr>
          <w:color w:val="231F20"/>
          <w:spacing w:val="-5"/>
        </w:rPr>
        <w:t> </w:t>
      </w:r>
      <w:r>
        <w:rPr>
          <w:color w:val="231F20"/>
        </w:rPr>
        <w:t>rate</w:t>
      </w:r>
      <w:r>
        <w:rPr>
          <w:color w:val="231F20"/>
          <w:spacing w:val="-4"/>
        </w:rPr>
        <w:t> </w:t>
      </w:r>
      <w:r>
        <w:rPr>
          <w:color w:val="231F20"/>
          <w:spacing w:val="-1"/>
        </w:rPr>
        <w:t>in</w:t>
      </w:r>
      <w:r>
        <w:rPr>
          <w:color w:val="231F20"/>
          <w:spacing w:val="-4"/>
        </w:rPr>
        <w:t> </w:t>
      </w:r>
      <w:r>
        <w:rPr>
          <w:color w:val="231F20"/>
        </w:rPr>
        <w:t>the</w:t>
      </w:r>
      <w:r>
        <w:rPr>
          <w:color w:val="231F20"/>
          <w:spacing w:val="-5"/>
        </w:rPr>
        <w:t> </w:t>
      </w:r>
      <w:r>
        <w:rPr>
          <w:color w:val="231F20"/>
        </w:rPr>
        <w:t>trend</w:t>
      </w:r>
      <w:r>
        <w:rPr>
          <w:color w:val="231F20"/>
          <w:spacing w:val="-4"/>
        </w:rPr>
        <w:t> </w:t>
      </w:r>
      <w:r>
        <w:rPr>
          <w:color w:val="231F20"/>
        </w:rPr>
        <w:t>data</w:t>
      </w:r>
      <w:r>
        <w:rPr>
          <w:color w:val="231F20"/>
          <w:spacing w:val="-5"/>
        </w:rPr>
        <w:t> </w:t>
      </w:r>
      <w:r>
        <w:rPr>
          <w:color w:val="231F20"/>
          <w:spacing w:val="-5"/>
        </w:rPr>
      </w:r>
      <w:r>
        <w:rPr>
          <w:color w:val="231F20"/>
        </w:rPr>
        <w:t>and</w:t>
      </w:r>
      <w:r>
        <w:rPr>
          <w:color w:val="231F20"/>
          <w:spacing w:val="21"/>
        </w:rPr>
        <w:t> </w:t>
      </w:r>
      <w:r>
        <w:rPr>
          <w:color w:val="231F20"/>
        </w:rPr>
        <w:t>applied</w:t>
      </w:r>
      <w:r>
        <w:rPr>
          <w:color w:val="231F20"/>
          <w:spacing w:val="-5"/>
        </w:rPr>
        <w:t> </w:t>
      </w:r>
      <w:r>
        <w:rPr>
          <w:color w:val="231F20"/>
        </w:rPr>
        <w:t>that</w:t>
      </w:r>
      <w:r>
        <w:rPr>
          <w:color w:val="231F20"/>
          <w:spacing w:val="-5"/>
        </w:rPr>
        <w:t> </w:t>
      </w:r>
      <w:r>
        <w:rPr>
          <w:color w:val="231F20"/>
        </w:rPr>
        <w:t>across</w:t>
      </w:r>
      <w:r>
        <w:rPr>
          <w:color w:val="231F20"/>
          <w:spacing w:val="-4"/>
        </w:rPr>
        <w:t> </w:t>
      </w:r>
      <w:r>
        <w:rPr>
          <w:color w:val="231F20"/>
        </w:rPr>
        <w:t>the</w:t>
      </w:r>
      <w:r>
        <w:rPr>
          <w:color w:val="231F20"/>
          <w:spacing w:val="-5"/>
        </w:rPr>
        <w:t> </w:t>
      </w:r>
      <w:r>
        <w:rPr>
          <w:color w:val="231F20"/>
          <w:spacing w:val="-1"/>
        </w:rPr>
        <w:t>2015</w:t>
      </w:r>
      <w:r>
        <w:rPr>
          <w:color w:val="231F20"/>
          <w:spacing w:val="-4"/>
        </w:rPr>
        <w:t> </w:t>
      </w:r>
      <w:r>
        <w:rPr>
          <w:color w:val="231F20"/>
        </w:rPr>
        <w:t>and</w:t>
      </w:r>
      <w:r>
        <w:rPr>
          <w:color w:val="231F20"/>
          <w:spacing w:val="-4"/>
        </w:rPr>
        <w:t> </w:t>
      </w:r>
      <w:r>
        <w:rPr>
          <w:color w:val="231F20"/>
          <w:spacing w:val="-1"/>
        </w:rPr>
        <w:t>2016</w:t>
      </w:r>
      <w:r>
        <w:rPr>
          <w:color w:val="231F20"/>
          <w:spacing w:val="-1"/>
        </w:rPr>
        <w:t> </w:t>
      </w:r>
      <w:r>
        <w:rPr>
          <w:color w:val="231F20"/>
          <w:spacing w:val="5"/>
        </w:rPr>
        <w:t>    </w:t>
      </w:r>
      <w:r>
        <w:rPr>
          <w:color w:val="231F20"/>
        </w:rPr>
        <w:t>data</w:t>
      </w:r>
      <w:r>
        <w:rPr>
          <w:color w:val="231F20"/>
          <w:spacing w:val="-6"/>
        </w:rPr>
        <w:t> </w:t>
      </w:r>
      <w:r>
        <w:rPr>
          <w:color w:val="231F20"/>
        </w:rPr>
        <w:t>for</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 </w:t>
      </w:r>
      <w:r>
        <w:rPr>
          <w:color w:val="231F20"/>
          <w:spacing w:val="-2"/>
        </w:rPr>
        <w:t>Strait</w:t>
      </w:r>
      <w:r>
        <w:rPr>
          <w:color w:val="231F20"/>
          <w:spacing w:val="-5"/>
        </w:rPr>
        <w:t> </w:t>
      </w:r>
      <w:r>
        <w:rPr>
          <w:color w:val="231F20"/>
          <w:spacing w:val="-1"/>
        </w:rPr>
        <w:t>Islander</w:t>
      </w:r>
      <w:r>
        <w:rPr>
          <w:color w:val="231F20"/>
          <w:spacing w:val="29"/>
          <w:w w:val="99"/>
        </w:rPr>
        <w:t> </w:t>
      </w:r>
      <w:r>
        <w:rPr>
          <w:color w:val="231F20"/>
        </w:rPr>
        <w:t>boarding</w:t>
      </w:r>
      <w:r>
        <w:rPr>
          <w:color w:val="231F20"/>
          <w:spacing w:val="-6"/>
        </w:rPr>
        <w:t> </w:t>
      </w:r>
      <w:r>
        <w:rPr>
          <w:color w:val="231F20"/>
          <w:spacing w:val="-1"/>
        </w:rPr>
        <w:t>schools.</w:t>
      </w:r>
      <w:r>
        <w:rPr>
          <w:color w:val="231F20"/>
          <w:spacing w:val="-5"/>
        </w:rPr>
        <w:t> </w:t>
      </w:r>
      <w:r>
        <w:rPr>
          <w:color w:val="231F20"/>
        </w:rPr>
        <w:t>The</w:t>
      </w:r>
      <w:r>
        <w:rPr>
          <w:color w:val="231F20"/>
          <w:spacing w:val="-4"/>
        </w:rPr>
        <w:t> </w:t>
      </w:r>
      <w:r>
        <w:rPr>
          <w:color w:val="231F20"/>
          <w:spacing w:val="-1"/>
        </w:rPr>
        <w:t>2017</w:t>
      </w:r>
      <w:r>
        <w:rPr>
          <w:color w:val="231F20"/>
          <w:spacing w:val="-5"/>
        </w:rPr>
        <w:t> </w:t>
      </w:r>
      <w:r>
        <w:rPr>
          <w:color w:val="231F20"/>
        </w:rPr>
        <w:t>allocation</w:t>
      </w:r>
      <w:r>
        <w:rPr>
          <w:color w:val="231F20"/>
          <w:spacing w:val="-6"/>
        </w:rPr>
        <w:t> </w:t>
      </w:r>
      <w:r>
        <w:rPr>
          <w:color w:val="231F20"/>
        </w:rPr>
        <w:t>rate</w:t>
      </w:r>
      <w:r>
        <w:rPr>
          <w:color w:val="231F20"/>
          <w:spacing w:val="23"/>
          <w:w w:val="99"/>
        </w:rPr>
        <w:t> </w:t>
      </w:r>
      <w:r>
        <w:rPr>
          <w:color w:val="231F20"/>
        </w:rPr>
        <w:t>has</w:t>
      </w:r>
      <w:r>
        <w:rPr>
          <w:color w:val="231F20"/>
          <w:spacing w:val="-4"/>
        </w:rPr>
        <w:t> </w:t>
      </w:r>
      <w:r>
        <w:rPr>
          <w:color w:val="231F20"/>
        </w:rPr>
        <w:t>been</w:t>
      </w:r>
      <w:r>
        <w:rPr>
          <w:color w:val="231F20"/>
          <w:spacing w:val="-3"/>
        </w:rPr>
        <w:t> </w:t>
      </w:r>
      <w:r>
        <w:rPr>
          <w:color w:val="231F20"/>
        </w:rPr>
        <w:t>utilised</w:t>
      </w:r>
      <w:r>
        <w:rPr>
          <w:color w:val="231F20"/>
          <w:spacing w:val="-4"/>
        </w:rPr>
        <w:t> </w:t>
      </w:r>
      <w:r>
        <w:rPr>
          <w:color w:val="231F20"/>
        </w:rPr>
        <w:t>for</w:t>
      </w:r>
      <w:r>
        <w:rPr>
          <w:color w:val="231F20"/>
          <w:spacing w:val="-2"/>
        </w:rPr>
        <w:t> </w:t>
      </w:r>
      <w:r>
        <w:rPr>
          <w:color w:val="231F20"/>
        </w:rPr>
        <w:t>the</w:t>
      </w:r>
      <w:r>
        <w:rPr>
          <w:color w:val="231F20"/>
          <w:spacing w:val="-4"/>
        </w:rPr>
        <w:t> </w:t>
      </w:r>
      <w:r>
        <w:rPr>
          <w:color w:val="231F20"/>
          <w:spacing w:val="-1"/>
        </w:rPr>
        <w:t>2017</w:t>
      </w:r>
      <w:r>
        <w:rPr>
          <w:color w:val="231F20"/>
          <w:spacing w:val="-2"/>
        </w:rPr>
        <w:t> </w:t>
      </w:r>
      <w:r>
        <w:rPr>
          <w:color w:val="231F20"/>
        </w:rPr>
        <w:t>data.</w:t>
      </w:r>
      <w:r>
        <w:rPr>
          <w:color w:val="231F20"/>
          <w:spacing w:val="-3"/>
        </w:rPr>
        <w:t> </w:t>
      </w:r>
      <w:r>
        <w:rPr>
          <w:color w:val="231F20"/>
          <w:spacing w:val="-1"/>
        </w:rPr>
        <w:t>For</w:t>
      </w:r>
      <w:r>
        <w:rPr/>
      </w:r>
    </w:p>
    <w:p>
      <w:pPr>
        <w:pStyle w:val="BodyText"/>
        <w:spacing w:line="250" w:lineRule="exact"/>
        <w:ind w:left="327" w:right="65"/>
        <w:jc w:val="left"/>
      </w:pPr>
      <w:r>
        <w:rPr>
          <w:color w:val="231F20"/>
        </w:rPr>
        <w:t>the</w:t>
      </w:r>
      <w:r>
        <w:rPr>
          <w:color w:val="231F20"/>
          <w:spacing w:val="-4"/>
        </w:rPr>
        <w:t> </w:t>
      </w:r>
      <w:r>
        <w:rPr>
          <w:color w:val="231F20"/>
          <w:spacing w:val="-1"/>
        </w:rPr>
        <w:t>mainstream</w:t>
      </w:r>
      <w:r>
        <w:rPr>
          <w:color w:val="231F20"/>
          <w:spacing w:val="-2"/>
        </w:rPr>
        <w:t> </w:t>
      </w:r>
      <w:r>
        <w:rPr>
          <w:color w:val="231F20"/>
        </w:rPr>
        <w:t>boarding</w:t>
      </w:r>
      <w:r>
        <w:rPr>
          <w:color w:val="231F20"/>
          <w:spacing w:val="-4"/>
        </w:rPr>
        <w:t> </w:t>
      </w:r>
      <w:r>
        <w:rPr>
          <w:color w:val="231F20"/>
          <w:spacing w:val="-1"/>
        </w:rPr>
        <w:t>schools</w:t>
      </w:r>
      <w:r>
        <w:rPr>
          <w:color w:val="231F20"/>
          <w:spacing w:val="-3"/>
        </w:rPr>
        <w:t> </w:t>
      </w:r>
      <w:r>
        <w:rPr>
          <w:color w:val="231F20"/>
        </w:rPr>
        <w:t>the</w:t>
      </w:r>
      <w:r>
        <w:rPr>
          <w:color w:val="231F20"/>
          <w:spacing w:val="-3"/>
        </w:rPr>
        <w:t> </w:t>
      </w:r>
      <w:r>
        <w:rPr>
          <w:color w:val="231F20"/>
          <w:spacing w:val="-1"/>
        </w:rPr>
        <w:t>2017</w:t>
      </w:r>
      <w:r>
        <w:rPr>
          <w:color w:val="231F20"/>
          <w:spacing w:val="22"/>
        </w:rPr>
        <w:t> </w:t>
      </w:r>
      <w:r>
        <w:rPr>
          <w:color w:val="231F20"/>
        </w:rPr>
        <w:t>allocation</w:t>
      </w:r>
      <w:r>
        <w:rPr>
          <w:color w:val="231F20"/>
          <w:spacing w:val="-6"/>
        </w:rPr>
        <w:t> </w:t>
      </w:r>
      <w:r>
        <w:rPr>
          <w:color w:val="231F20"/>
        </w:rPr>
        <w:t>rate</w:t>
      </w:r>
      <w:r>
        <w:rPr>
          <w:color w:val="231F20"/>
          <w:spacing w:val="-5"/>
        </w:rPr>
        <w:t> </w:t>
      </w:r>
      <w:r>
        <w:rPr>
          <w:color w:val="231F20"/>
        </w:rPr>
        <w:t>has</w:t>
      </w:r>
      <w:r>
        <w:rPr>
          <w:color w:val="231F20"/>
          <w:spacing w:val="-6"/>
        </w:rPr>
        <w:t> </w:t>
      </w:r>
      <w:r>
        <w:rPr>
          <w:color w:val="231F20"/>
        </w:rPr>
        <w:t>been</w:t>
      </w:r>
      <w:r>
        <w:rPr>
          <w:color w:val="231F20"/>
          <w:spacing w:val="-5"/>
        </w:rPr>
        <w:t> </w:t>
      </w:r>
      <w:r>
        <w:rPr>
          <w:color w:val="231F20"/>
        </w:rPr>
        <w:t>utilised</w:t>
      </w:r>
      <w:r>
        <w:rPr>
          <w:color w:val="231F20"/>
          <w:spacing w:val="-5"/>
        </w:rPr>
        <w:t> </w:t>
      </w:r>
      <w:r>
        <w:rPr>
          <w:color w:val="231F20"/>
        </w:rPr>
        <w:t>and</w:t>
      </w:r>
      <w:r>
        <w:rPr>
          <w:color w:val="231F20"/>
          <w:spacing w:val="-6"/>
        </w:rPr>
        <w:t> </w:t>
      </w:r>
      <w:r>
        <w:rPr>
          <w:color w:val="231F20"/>
        </w:rPr>
        <w:t>applied</w:t>
      </w:r>
      <w:r>
        <w:rPr>
          <w:color w:val="231F20"/>
          <w:w w:val="99"/>
        </w:rPr>
        <w:t> </w:t>
      </w:r>
      <w:r>
        <w:rPr>
          <w:color w:val="231F20"/>
        </w:rPr>
        <w:t>across</w:t>
      </w:r>
      <w:r>
        <w:rPr>
          <w:color w:val="231F20"/>
          <w:spacing w:val="-5"/>
        </w:rPr>
        <w:t> </w:t>
      </w:r>
      <w:r>
        <w:rPr>
          <w:color w:val="231F20"/>
        </w:rPr>
        <w:t>the</w:t>
      </w:r>
      <w:r>
        <w:rPr>
          <w:color w:val="231F20"/>
          <w:spacing w:val="-4"/>
        </w:rPr>
        <w:t> </w:t>
      </w:r>
      <w:r>
        <w:rPr>
          <w:color w:val="231F20"/>
        </w:rPr>
        <w:t>historical</w:t>
      </w:r>
      <w:r>
        <w:rPr>
          <w:color w:val="231F20"/>
          <w:spacing w:val="-4"/>
        </w:rPr>
        <w:t> </w:t>
      </w:r>
      <w:r>
        <w:rPr>
          <w:color w:val="231F20"/>
        </w:rPr>
        <w:t>data</w:t>
      </w:r>
      <w:r>
        <w:rPr>
          <w:color w:val="231F20"/>
          <w:spacing w:val="-4"/>
        </w:rPr>
        <w:t> </w:t>
      </w:r>
      <w:r>
        <w:rPr>
          <w:color w:val="231F20"/>
          <w:spacing w:val="-1"/>
        </w:rPr>
        <w:t>set</w:t>
      </w:r>
      <w:r>
        <w:rPr>
          <w:color w:val="231F20"/>
          <w:spacing w:val="-4"/>
        </w:rPr>
        <w:t> </w:t>
      </w:r>
      <w:r>
        <w:rPr>
          <w:color w:val="231F20"/>
        </w:rPr>
        <w:t>for</w:t>
      </w:r>
      <w:r>
        <w:rPr>
          <w:color w:val="231F20"/>
          <w:spacing w:val="-3"/>
        </w:rPr>
        <w:t> </w:t>
      </w:r>
      <w:r>
        <w:rPr>
          <w:color w:val="231F20"/>
          <w:spacing w:val="-1"/>
        </w:rPr>
        <w:t>2015</w:t>
      </w:r>
      <w:r>
        <w:rPr>
          <w:color w:val="231F20"/>
          <w:spacing w:val="-3"/>
        </w:rPr>
        <w:t> </w:t>
      </w:r>
      <w:r>
        <w:rPr>
          <w:color w:val="231F20"/>
        </w:rPr>
        <w:t>—</w:t>
      </w:r>
      <w:r>
        <w:rPr>
          <w:color w:val="231F20"/>
          <w:spacing w:val="22"/>
        </w:rPr>
        <w:t> </w:t>
      </w:r>
      <w:r>
        <w:rPr>
          <w:color w:val="231F20"/>
          <w:spacing w:val="-1"/>
        </w:rPr>
        <w:t>2017.</w:t>
      </w:r>
      <w:r>
        <w:rPr>
          <w:color w:val="231F20"/>
          <w:spacing w:val="-7"/>
        </w:rPr>
        <w:t> </w:t>
      </w:r>
      <w:r>
        <w:rPr>
          <w:color w:val="231F20"/>
          <w:spacing w:val="-1"/>
        </w:rPr>
        <w:t>For</w:t>
      </w:r>
      <w:r>
        <w:rPr>
          <w:color w:val="231F20"/>
          <w:spacing w:val="-6"/>
        </w:rPr>
        <w:t> </w:t>
      </w:r>
      <w:r>
        <w:rPr>
          <w:color w:val="231F20"/>
        </w:rPr>
        <w:t>the</w:t>
      </w:r>
      <w:r>
        <w:rPr>
          <w:color w:val="231F20"/>
          <w:spacing w:val="-7"/>
        </w:rPr>
        <w:t> </w:t>
      </w:r>
      <w:r>
        <w:rPr>
          <w:color w:val="231F20"/>
          <w:spacing w:val="-1"/>
        </w:rPr>
        <w:t>standalone</w:t>
      </w:r>
      <w:r>
        <w:rPr>
          <w:color w:val="231F20"/>
          <w:spacing w:val="-6"/>
        </w:rPr>
        <w:t> </w:t>
      </w:r>
      <w:r>
        <w:rPr>
          <w:color w:val="231F20"/>
        </w:rPr>
        <w:t>boarding</w:t>
      </w:r>
      <w:r>
        <w:rPr>
          <w:color w:val="231F20"/>
          <w:spacing w:val="-7"/>
        </w:rPr>
        <w:t> </w:t>
      </w:r>
      <w:r>
        <w:rPr>
          <w:color w:val="231F20"/>
        </w:rPr>
        <w:t>providers</w:t>
      </w:r>
      <w:r>
        <w:rPr>
          <w:color w:val="231F20"/>
          <w:spacing w:val="24"/>
          <w:w w:val="99"/>
        </w:rPr>
        <w:t> </w:t>
      </w:r>
      <w:r>
        <w:rPr>
          <w:color w:val="231F20"/>
        </w:rPr>
        <w:t>there</w:t>
      </w:r>
      <w:r>
        <w:rPr>
          <w:color w:val="231F20"/>
          <w:spacing w:val="-5"/>
        </w:rPr>
        <w:t> </w:t>
      </w:r>
      <w:r>
        <w:rPr>
          <w:color w:val="231F20"/>
        </w:rPr>
        <w:t>was</w:t>
      </w:r>
      <w:r>
        <w:rPr>
          <w:color w:val="231F20"/>
          <w:spacing w:val="-4"/>
        </w:rPr>
        <w:t> </w:t>
      </w:r>
      <w:r>
        <w:rPr>
          <w:color w:val="231F20"/>
        </w:rPr>
        <w:t>no</w:t>
      </w:r>
      <w:r>
        <w:rPr>
          <w:color w:val="231F20"/>
          <w:spacing w:val="-3"/>
        </w:rPr>
        <w:t> </w:t>
      </w:r>
      <w:r>
        <w:rPr>
          <w:color w:val="231F20"/>
          <w:spacing w:val="-1"/>
        </w:rPr>
        <w:t>split</w:t>
      </w:r>
      <w:r>
        <w:rPr>
          <w:color w:val="231F20"/>
          <w:spacing w:val="-4"/>
        </w:rPr>
        <w:t> </w:t>
      </w:r>
      <w:r>
        <w:rPr>
          <w:color w:val="231F20"/>
        </w:rPr>
        <w:t>as</w:t>
      </w:r>
      <w:r>
        <w:rPr>
          <w:color w:val="231F20"/>
          <w:spacing w:val="-4"/>
        </w:rPr>
        <w:t> </w:t>
      </w:r>
      <w:r>
        <w:rPr>
          <w:color w:val="231F20"/>
        </w:rPr>
        <w:t>there</w:t>
      </w:r>
      <w:r>
        <w:rPr>
          <w:color w:val="231F20"/>
          <w:spacing w:val="-4"/>
        </w:rPr>
        <w:t> </w:t>
      </w:r>
      <w:r>
        <w:rPr>
          <w:color w:val="231F20"/>
        </w:rPr>
        <w:t>was</w:t>
      </w:r>
      <w:r>
        <w:rPr>
          <w:color w:val="231F20"/>
          <w:spacing w:val="-4"/>
        </w:rPr>
        <w:t> </w:t>
      </w:r>
      <w:r>
        <w:rPr>
          <w:color w:val="231F20"/>
        </w:rPr>
        <w:t>no</w:t>
      </w:r>
      <w:r>
        <w:rPr>
          <w:color w:val="231F20"/>
          <w:spacing w:val="-4"/>
        </w:rPr>
        <w:t> </w:t>
      </w:r>
      <w:r>
        <w:rPr>
          <w:color w:val="231F20"/>
        </w:rPr>
        <w:t>tuition</w:t>
      </w:r>
      <w:r>
        <w:rPr>
          <w:color w:val="231F20"/>
          <w:spacing w:val="21"/>
          <w:w w:val="99"/>
        </w:rPr>
        <w:t> </w:t>
      </w:r>
      <w:r>
        <w:rPr>
          <w:color w:val="231F20"/>
        </w:rPr>
        <w:t>revenue</w:t>
      </w:r>
      <w:r>
        <w:rPr>
          <w:color w:val="231F20"/>
          <w:spacing w:val="-6"/>
        </w:rPr>
        <w:t> </w:t>
      </w:r>
      <w:r>
        <w:rPr>
          <w:color w:val="231F20"/>
        </w:rPr>
        <w:t>or</w:t>
      </w:r>
      <w:r>
        <w:rPr>
          <w:color w:val="231F20"/>
          <w:spacing w:val="-4"/>
        </w:rPr>
        <w:t> </w:t>
      </w:r>
      <w:r>
        <w:rPr>
          <w:color w:val="231F20"/>
        </w:rPr>
        <w:t>costs</w:t>
      </w:r>
      <w:r>
        <w:rPr/>
      </w:r>
    </w:p>
    <w:p>
      <w:pPr>
        <w:pStyle w:val="BodyText"/>
        <w:spacing w:line="250" w:lineRule="exact" w:before="113"/>
        <w:ind w:left="327" w:right="0" w:hanging="227"/>
        <w:jc w:val="left"/>
      </w:pPr>
      <w:r>
        <w:rPr>
          <w:rFonts w:ascii="Century Gothic" w:hAnsi="Century Gothic"/>
          <w:color w:val="231F20"/>
        </w:rPr>
        <w:t>» </w:t>
      </w:r>
      <w:r>
        <w:rPr>
          <w:rFonts w:ascii="Century Gothic" w:hAnsi="Century Gothic"/>
          <w:color w:val="231F20"/>
          <w:spacing w:val="21"/>
        </w:rPr>
        <w:t> </w:t>
      </w:r>
      <w:r>
        <w:rPr>
          <w:color w:val="231F20"/>
        </w:rPr>
        <w:t>once</w:t>
      </w:r>
      <w:r>
        <w:rPr>
          <w:color w:val="231F20"/>
          <w:spacing w:val="-4"/>
        </w:rPr>
        <w:t> </w:t>
      </w:r>
      <w:r>
        <w:rPr>
          <w:color w:val="231F20"/>
        </w:rPr>
        <w:t>boarding</w:t>
      </w:r>
      <w:r>
        <w:rPr>
          <w:color w:val="231F20"/>
          <w:spacing w:val="-5"/>
        </w:rPr>
        <w:t> </w:t>
      </w:r>
      <w:r>
        <w:rPr>
          <w:color w:val="231F20"/>
        </w:rPr>
        <w:t>and</w:t>
      </w:r>
      <w:r>
        <w:rPr>
          <w:color w:val="231F20"/>
          <w:spacing w:val="-5"/>
        </w:rPr>
        <w:t> </w:t>
      </w:r>
      <w:r>
        <w:rPr>
          <w:color w:val="231F20"/>
        </w:rPr>
        <w:t>tuition</w:t>
      </w:r>
      <w:r>
        <w:rPr>
          <w:color w:val="231F20"/>
          <w:spacing w:val="-5"/>
        </w:rPr>
        <w:t> </w:t>
      </w:r>
      <w:r>
        <w:rPr>
          <w:color w:val="231F20"/>
        </w:rPr>
        <w:t>revenue</w:t>
      </w:r>
      <w:r>
        <w:rPr>
          <w:color w:val="231F20"/>
          <w:spacing w:val="-5"/>
        </w:rPr>
        <w:t> </w:t>
      </w:r>
      <w:r>
        <w:rPr>
          <w:color w:val="231F20"/>
        </w:rPr>
        <w:t>and</w:t>
      </w:r>
      <w:r>
        <w:rPr>
          <w:color w:val="231F20"/>
          <w:spacing w:val="-5"/>
        </w:rPr>
        <w:t> </w:t>
      </w:r>
      <w:r>
        <w:rPr>
          <w:color w:val="231F20"/>
        </w:rPr>
        <w:t>costs</w:t>
      </w:r>
      <w:r>
        <w:rPr>
          <w:color w:val="231F20"/>
        </w:rPr>
        <w:t> were</w:t>
      </w:r>
      <w:r>
        <w:rPr>
          <w:color w:val="231F20"/>
          <w:spacing w:val="-6"/>
        </w:rPr>
        <w:t> </w:t>
      </w:r>
      <w:r>
        <w:rPr>
          <w:color w:val="231F20"/>
        </w:rPr>
        <w:t>determined,</w:t>
      </w:r>
      <w:r>
        <w:rPr>
          <w:color w:val="231F20"/>
          <w:spacing w:val="-5"/>
        </w:rPr>
        <w:t> </w:t>
      </w:r>
      <w:r>
        <w:rPr>
          <w:color w:val="231F20"/>
        </w:rPr>
        <w:t>we</w:t>
      </w:r>
      <w:r>
        <w:rPr>
          <w:color w:val="231F20"/>
          <w:spacing w:val="-5"/>
        </w:rPr>
        <w:t> </w:t>
      </w:r>
      <w:r>
        <w:rPr>
          <w:color w:val="231F20"/>
        </w:rPr>
        <w:t>assumed</w:t>
      </w:r>
      <w:r>
        <w:rPr>
          <w:color w:val="231F20"/>
          <w:spacing w:val="-5"/>
        </w:rPr>
        <w:t> </w:t>
      </w:r>
      <w:r>
        <w:rPr>
          <w:color w:val="231F20"/>
        </w:rPr>
        <w:t>a</w:t>
      </w:r>
      <w:r>
        <w:rPr>
          <w:color w:val="231F20"/>
          <w:spacing w:val="-4"/>
        </w:rPr>
        <w:t> </w:t>
      </w:r>
      <w:r>
        <w:rPr>
          <w:color w:val="231F20"/>
        </w:rPr>
        <w:t>pro</w:t>
      </w:r>
      <w:r>
        <w:rPr>
          <w:color w:val="231F20"/>
          <w:spacing w:val="-4"/>
        </w:rPr>
        <w:t> </w:t>
      </w:r>
      <w:r>
        <w:rPr>
          <w:color w:val="231F20"/>
        </w:rPr>
        <w:t>rata</w:t>
      </w:r>
      <w:r>
        <w:rPr>
          <w:color w:val="231F20"/>
          <w:w w:val="99"/>
        </w:rPr>
        <w:t> </w:t>
      </w:r>
      <w:r>
        <w:rPr>
          <w:color w:val="231F20"/>
        </w:rPr>
        <w:t>allocation</w:t>
      </w:r>
      <w:r>
        <w:rPr>
          <w:color w:val="231F20"/>
          <w:spacing w:val="-7"/>
        </w:rPr>
        <w:t> </w:t>
      </w:r>
      <w:r>
        <w:rPr>
          <w:color w:val="231F20"/>
        </w:rPr>
        <w:t>for</w:t>
      </w:r>
      <w:r>
        <w:rPr>
          <w:color w:val="231F20"/>
          <w:spacing w:val="-5"/>
        </w:rPr>
        <w:t> </w:t>
      </w:r>
      <w:r>
        <w:rPr>
          <w:color w:val="231F20"/>
        </w:rPr>
        <w:t>Aboriginal</w:t>
      </w:r>
      <w:r>
        <w:rPr>
          <w:color w:val="231F20"/>
          <w:spacing w:val="-5"/>
        </w:rPr>
        <w:t> </w:t>
      </w:r>
      <w:r>
        <w:rPr>
          <w:color w:val="231F20"/>
        </w:rPr>
        <w:t>and</w:t>
      </w:r>
      <w:r>
        <w:rPr>
          <w:color w:val="231F20"/>
          <w:spacing w:val="-7"/>
        </w:rPr>
        <w:t> </w:t>
      </w:r>
      <w:r>
        <w:rPr>
          <w:color w:val="231F20"/>
          <w:spacing w:val="-5"/>
        </w:rPr>
        <w:t>Torres </w:t>
      </w:r>
      <w:r>
        <w:rPr>
          <w:color w:val="231F20"/>
          <w:spacing w:val="-2"/>
        </w:rPr>
        <w:t>Strait</w:t>
      </w:r>
      <w:r>
        <w:rPr>
          <w:color w:val="231F20"/>
          <w:spacing w:val="29"/>
          <w:w w:val="99"/>
        </w:rPr>
        <w:t> </w:t>
      </w:r>
      <w:r>
        <w:rPr>
          <w:color w:val="231F20"/>
          <w:spacing w:val="-1"/>
        </w:rPr>
        <w:t>Islander</w:t>
      </w:r>
      <w:r>
        <w:rPr>
          <w:color w:val="231F20"/>
          <w:spacing w:val="-8"/>
        </w:rPr>
        <w:t> </w:t>
      </w:r>
      <w:r>
        <w:rPr>
          <w:color w:val="231F20"/>
        </w:rPr>
        <w:t>boarding</w:t>
      </w:r>
      <w:r>
        <w:rPr>
          <w:color w:val="231F20"/>
          <w:spacing w:val="-8"/>
        </w:rPr>
        <w:t> </w:t>
      </w:r>
      <w:r>
        <w:rPr>
          <w:color w:val="231F20"/>
          <w:spacing w:val="-1"/>
        </w:rPr>
        <w:t>students</w:t>
      </w:r>
      <w:r>
        <w:rPr/>
      </w:r>
    </w:p>
    <w:p>
      <w:pPr>
        <w:pStyle w:val="BodyText"/>
        <w:spacing w:line="250" w:lineRule="exact" w:before="113"/>
        <w:ind w:left="327" w:right="0" w:hanging="227"/>
        <w:jc w:val="left"/>
      </w:pPr>
      <w:r>
        <w:rPr>
          <w:rFonts w:ascii="Century Gothic" w:hAnsi="Century Gothic"/>
          <w:color w:val="231F20"/>
        </w:rPr>
        <w:t>» </w:t>
      </w:r>
      <w:r>
        <w:rPr>
          <w:rFonts w:ascii="Century Gothic" w:hAnsi="Century Gothic"/>
          <w:color w:val="231F20"/>
          <w:spacing w:val="21"/>
        </w:rPr>
        <w:t> </w:t>
      </w:r>
      <w:r>
        <w:rPr>
          <w:color w:val="231F20"/>
        </w:rPr>
        <w:t>for</w:t>
      </w:r>
      <w:r>
        <w:rPr>
          <w:color w:val="231F20"/>
          <w:spacing w:val="-4"/>
        </w:rPr>
        <w:t> </w:t>
      </w:r>
      <w:r>
        <w:rPr>
          <w:color w:val="231F20"/>
          <w:spacing w:val="-1"/>
        </w:rPr>
        <w:t>some</w:t>
      </w:r>
      <w:r>
        <w:rPr>
          <w:color w:val="231F20"/>
          <w:spacing w:val="-4"/>
        </w:rPr>
        <w:t> </w:t>
      </w:r>
      <w:r>
        <w:rPr>
          <w:color w:val="231F20"/>
        </w:rPr>
        <w:t>boarding</w:t>
      </w:r>
      <w:r>
        <w:rPr>
          <w:color w:val="231F20"/>
          <w:spacing w:val="-5"/>
        </w:rPr>
        <w:t> </w:t>
      </w:r>
      <w:r>
        <w:rPr>
          <w:color w:val="231F20"/>
        </w:rPr>
        <w:t>providers</w:t>
      </w:r>
      <w:r>
        <w:rPr>
          <w:color w:val="231F20"/>
          <w:spacing w:val="-5"/>
        </w:rPr>
        <w:t> </w:t>
      </w:r>
      <w:r>
        <w:rPr>
          <w:color w:val="231F20"/>
        </w:rPr>
        <w:t>there</w:t>
      </w:r>
      <w:r>
        <w:rPr>
          <w:color w:val="231F20"/>
          <w:spacing w:val="-4"/>
        </w:rPr>
        <w:t> </w:t>
      </w:r>
      <w:r>
        <w:rPr>
          <w:color w:val="231F20"/>
        </w:rPr>
        <w:t>were</w:t>
      </w:r>
      <w:r>
        <w:rPr>
          <w:color w:val="231F20"/>
          <w:spacing w:val="21"/>
          <w:w w:val="99"/>
        </w:rPr>
        <w:t> </w:t>
      </w:r>
      <w:r>
        <w:rPr>
          <w:color w:val="231F20"/>
        </w:rPr>
        <w:t>apparent</w:t>
      </w:r>
      <w:r>
        <w:rPr>
          <w:color w:val="231F20"/>
          <w:spacing w:val="-7"/>
        </w:rPr>
        <w:t> </w:t>
      </w:r>
      <w:r>
        <w:rPr>
          <w:color w:val="231F20"/>
        </w:rPr>
        <w:t>anomalies</w:t>
      </w:r>
      <w:r>
        <w:rPr>
          <w:color w:val="231F20"/>
          <w:spacing w:val="-6"/>
        </w:rPr>
        <w:t> </w:t>
      </w:r>
      <w:r>
        <w:rPr>
          <w:color w:val="231F20"/>
          <w:spacing w:val="-1"/>
        </w:rPr>
        <w:t>in</w:t>
      </w:r>
      <w:r>
        <w:rPr>
          <w:color w:val="231F20"/>
          <w:spacing w:val="-6"/>
        </w:rPr>
        <w:t> </w:t>
      </w:r>
      <w:r>
        <w:rPr>
          <w:color w:val="231F20"/>
        </w:rPr>
        <w:t>the</w:t>
      </w:r>
      <w:r>
        <w:rPr>
          <w:color w:val="231F20"/>
          <w:spacing w:val="-6"/>
        </w:rPr>
        <w:t> </w:t>
      </w:r>
      <w:r>
        <w:rPr>
          <w:color w:val="231F20"/>
        </w:rPr>
        <w:t>allocation</w:t>
      </w:r>
      <w:r>
        <w:rPr>
          <w:color w:val="231F20"/>
          <w:spacing w:val="-6"/>
        </w:rPr>
        <w:t> </w:t>
      </w:r>
      <w:r>
        <w:rPr>
          <w:color w:val="231F20"/>
        </w:rPr>
        <w:t>between</w:t>
      </w:r>
      <w:r>
        <w:rPr>
          <w:color w:val="231F20"/>
          <w:spacing w:val="21"/>
          <w:w w:val="99"/>
        </w:rPr>
        <w:t> </w:t>
      </w:r>
      <w:r>
        <w:rPr>
          <w:color w:val="231F20"/>
        </w:rPr>
        <w:t>tuition</w:t>
      </w:r>
      <w:r>
        <w:rPr>
          <w:color w:val="231F20"/>
          <w:spacing w:val="-6"/>
        </w:rPr>
        <w:t> </w:t>
      </w:r>
      <w:r>
        <w:rPr>
          <w:color w:val="231F20"/>
        </w:rPr>
        <w:t>and</w:t>
      </w:r>
      <w:r>
        <w:rPr>
          <w:color w:val="231F20"/>
          <w:spacing w:val="-6"/>
        </w:rPr>
        <w:t> </w:t>
      </w:r>
      <w:r>
        <w:rPr>
          <w:color w:val="231F20"/>
        </w:rPr>
        <w:t>boarding</w:t>
      </w:r>
      <w:r>
        <w:rPr>
          <w:color w:val="231F20"/>
          <w:spacing w:val="-6"/>
        </w:rPr>
        <w:t> </w:t>
      </w:r>
      <w:r>
        <w:rPr>
          <w:color w:val="231F20"/>
        </w:rPr>
        <w:t>cited</w:t>
      </w:r>
      <w:r>
        <w:rPr>
          <w:color w:val="231F20"/>
          <w:spacing w:val="-6"/>
        </w:rPr>
        <w:t> </w:t>
      </w:r>
      <w:r>
        <w:rPr>
          <w:color w:val="231F20"/>
          <w:spacing w:val="-1"/>
        </w:rPr>
        <w:t>in</w:t>
      </w:r>
      <w:r>
        <w:rPr>
          <w:color w:val="231F20"/>
          <w:spacing w:val="-5"/>
        </w:rPr>
        <w:t> </w:t>
      </w:r>
      <w:r>
        <w:rPr>
          <w:color w:val="231F20"/>
        </w:rPr>
        <w:t>the</w:t>
      </w:r>
      <w:r>
        <w:rPr>
          <w:color w:val="231F20"/>
          <w:spacing w:val="-6"/>
        </w:rPr>
        <w:t> </w:t>
      </w:r>
      <w:r>
        <w:rPr>
          <w:color w:val="231F20"/>
        </w:rPr>
        <w:t>three-</w:t>
      </w:r>
      <w:r>
        <w:rPr/>
      </w:r>
    </w:p>
    <w:p>
      <w:pPr>
        <w:pStyle w:val="BodyText"/>
        <w:spacing w:line="250" w:lineRule="exact"/>
        <w:ind w:left="327" w:right="65"/>
        <w:jc w:val="left"/>
      </w:pPr>
      <w:r>
        <w:rPr>
          <w:color w:val="231F20"/>
        </w:rPr>
        <w:t>year</w:t>
      </w:r>
      <w:r>
        <w:rPr>
          <w:color w:val="231F20"/>
          <w:spacing w:val="-4"/>
        </w:rPr>
        <w:t> </w:t>
      </w:r>
      <w:r>
        <w:rPr>
          <w:color w:val="231F20"/>
        </w:rPr>
        <w:t>trend</w:t>
      </w:r>
      <w:r>
        <w:rPr>
          <w:color w:val="231F20"/>
          <w:spacing w:val="-4"/>
        </w:rPr>
        <w:t> </w:t>
      </w:r>
      <w:r>
        <w:rPr>
          <w:color w:val="231F20"/>
        </w:rPr>
        <w:t>data.</w:t>
      </w:r>
      <w:r>
        <w:rPr>
          <w:color w:val="231F20"/>
          <w:spacing w:val="-4"/>
        </w:rPr>
        <w:t> </w:t>
      </w:r>
      <w:r>
        <w:rPr>
          <w:color w:val="231F20"/>
          <w:spacing w:val="-12"/>
        </w:rPr>
        <w:t>To</w:t>
      </w:r>
      <w:r>
        <w:rPr>
          <w:color w:val="231F20"/>
          <w:spacing w:val="-3"/>
        </w:rPr>
        <w:t> </w:t>
      </w:r>
      <w:r>
        <w:rPr>
          <w:color w:val="231F20"/>
        </w:rPr>
        <w:t>correct</w:t>
      </w:r>
      <w:r>
        <w:rPr>
          <w:color w:val="231F20"/>
          <w:spacing w:val="-3"/>
        </w:rPr>
        <w:t> </w:t>
      </w:r>
      <w:r>
        <w:rPr>
          <w:color w:val="231F20"/>
        </w:rPr>
        <w:t>these</w:t>
      </w:r>
      <w:r>
        <w:rPr>
          <w:color w:val="231F20"/>
          <w:spacing w:val="-5"/>
        </w:rPr>
        <w:t> </w:t>
      </w:r>
      <w:r>
        <w:rPr>
          <w:color w:val="231F20"/>
        </w:rPr>
        <w:t>anomalies,</w:t>
      </w:r>
      <w:r>
        <w:rPr>
          <w:color w:val="231F20"/>
          <w:spacing w:val="21"/>
        </w:rPr>
        <w:t> </w:t>
      </w:r>
      <w:r>
        <w:rPr>
          <w:color w:val="231F20"/>
        </w:rPr>
        <w:t>we</w:t>
      </w:r>
      <w:r>
        <w:rPr>
          <w:color w:val="231F20"/>
          <w:spacing w:val="-7"/>
        </w:rPr>
        <w:t> </w:t>
      </w:r>
      <w:r>
        <w:rPr>
          <w:color w:val="231F20"/>
        </w:rPr>
        <w:t>have</w:t>
      </w:r>
      <w:r>
        <w:rPr>
          <w:color w:val="231F20"/>
          <w:spacing w:val="-7"/>
        </w:rPr>
        <w:t> </w:t>
      </w:r>
      <w:r>
        <w:rPr>
          <w:color w:val="231F20"/>
          <w:spacing w:val="-1"/>
        </w:rPr>
        <w:t>instead</w:t>
      </w:r>
      <w:r>
        <w:rPr>
          <w:color w:val="231F20"/>
          <w:spacing w:val="-7"/>
        </w:rPr>
        <w:t> </w:t>
      </w:r>
      <w:r>
        <w:rPr>
          <w:color w:val="231F20"/>
        </w:rPr>
        <w:t>allocated</w:t>
      </w:r>
      <w:r>
        <w:rPr>
          <w:color w:val="231F20"/>
          <w:spacing w:val="-7"/>
        </w:rPr>
        <w:t> </w:t>
      </w:r>
      <w:r>
        <w:rPr>
          <w:color w:val="231F20"/>
        </w:rPr>
        <w:t>tuition</w:t>
      </w:r>
      <w:r>
        <w:rPr>
          <w:color w:val="231F20"/>
          <w:spacing w:val="-7"/>
        </w:rPr>
        <w:t> </w:t>
      </w:r>
      <w:r>
        <w:rPr>
          <w:color w:val="231F20"/>
        </w:rPr>
        <w:t>and</w:t>
      </w:r>
      <w:r>
        <w:rPr>
          <w:color w:val="231F20"/>
          <w:spacing w:val="22"/>
          <w:w w:val="99"/>
        </w:rPr>
        <w:t> </w:t>
      </w:r>
      <w:r>
        <w:rPr>
          <w:color w:val="231F20"/>
        </w:rPr>
        <w:t>boarding</w:t>
      </w:r>
      <w:r>
        <w:rPr>
          <w:color w:val="231F20"/>
          <w:spacing w:val="-8"/>
        </w:rPr>
        <w:t> </w:t>
      </w:r>
      <w:r>
        <w:rPr>
          <w:color w:val="231F20"/>
        </w:rPr>
        <w:t>for</w:t>
      </w:r>
      <w:r>
        <w:rPr>
          <w:color w:val="231F20"/>
          <w:spacing w:val="-6"/>
        </w:rPr>
        <w:t> </w:t>
      </w:r>
      <w:r>
        <w:rPr>
          <w:color w:val="231F20"/>
        </w:rPr>
        <w:t>the</w:t>
      </w:r>
      <w:r>
        <w:rPr>
          <w:color w:val="231F20"/>
          <w:spacing w:val="-7"/>
        </w:rPr>
        <w:t> </w:t>
      </w:r>
      <w:r>
        <w:rPr>
          <w:color w:val="231F20"/>
        </w:rPr>
        <w:t>boarding</w:t>
      </w:r>
      <w:r>
        <w:rPr>
          <w:color w:val="231F20"/>
          <w:spacing w:val="-7"/>
        </w:rPr>
        <w:t> </w:t>
      </w:r>
      <w:r>
        <w:rPr>
          <w:color w:val="231F20"/>
        </w:rPr>
        <w:t>provider</w:t>
      </w:r>
      <w:r>
        <w:rPr>
          <w:color w:val="231F20"/>
          <w:spacing w:val="-7"/>
        </w:rPr>
        <w:t> </w:t>
      </w:r>
      <w:r>
        <w:rPr>
          <w:color w:val="231F20"/>
        </w:rPr>
        <w:t>based</w:t>
      </w:r>
      <w:r>
        <w:rPr>
          <w:color w:val="231F20"/>
          <w:spacing w:val="-7"/>
        </w:rPr>
        <w:t> </w:t>
      </w:r>
      <w:r>
        <w:rPr>
          <w:color w:val="231F20"/>
        </w:rPr>
        <w:t>on</w:t>
      </w:r>
      <w:r>
        <w:rPr>
          <w:color w:val="231F20"/>
          <w:w w:val="99"/>
        </w:rPr>
        <w:t> </w:t>
      </w:r>
      <w:r>
        <w:rPr>
          <w:color w:val="231F20"/>
        </w:rPr>
        <w:t>comparative</w:t>
      </w:r>
      <w:r>
        <w:rPr>
          <w:color w:val="231F20"/>
          <w:spacing w:val="-9"/>
        </w:rPr>
        <w:t> </w:t>
      </w:r>
      <w:r>
        <w:rPr>
          <w:color w:val="231F20"/>
        </w:rPr>
        <w:t>boarding</w:t>
      </w:r>
      <w:r>
        <w:rPr>
          <w:color w:val="231F20"/>
          <w:spacing w:val="-9"/>
        </w:rPr>
        <w:t> </w:t>
      </w:r>
      <w:r>
        <w:rPr>
          <w:color w:val="231F20"/>
        </w:rPr>
        <w:t>providers</w:t>
      </w:r>
      <w:r>
        <w:rPr>
          <w:color w:val="231F20"/>
          <w:spacing w:val="-9"/>
        </w:rPr>
        <w:t> </w:t>
      </w:r>
      <w:r>
        <w:rPr>
          <w:color w:val="231F20"/>
        </w:rPr>
        <w:t>with</w:t>
      </w:r>
      <w:r>
        <w:rPr>
          <w:color w:val="231F20"/>
          <w:spacing w:val="-8"/>
        </w:rPr>
        <w:t> </w:t>
      </w:r>
      <w:r>
        <w:rPr>
          <w:color w:val="231F20"/>
          <w:spacing w:val="-1"/>
        </w:rPr>
        <w:t>similar</w:t>
      </w:r>
      <w:r>
        <w:rPr>
          <w:color w:val="231F20"/>
          <w:spacing w:val="20"/>
        </w:rPr>
        <w:t> </w:t>
      </w:r>
      <w:r>
        <w:rPr>
          <w:rFonts w:ascii="Segoe UI"/>
          <w:color w:val="231F20"/>
        </w:rPr>
        <w:t>operating and financial models, or used</w:t>
      </w:r>
      <w:r>
        <w:rPr>
          <w:rFonts w:ascii="Segoe UI"/>
          <w:color w:val="231F20"/>
        </w:rPr>
        <w:t> </w:t>
      </w:r>
      <w:r>
        <w:rPr>
          <w:color w:val="231F20"/>
        </w:rPr>
        <w:t>direct</w:t>
      </w:r>
      <w:r>
        <w:rPr>
          <w:color w:val="231F20"/>
          <w:spacing w:val="-7"/>
        </w:rPr>
        <w:t> </w:t>
      </w:r>
      <w:r>
        <w:rPr>
          <w:color w:val="231F20"/>
          <w:spacing w:val="-1"/>
        </w:rPr>
        <w:t>source</w:t>
      </w:r>
      <w:r>
        <w:rPr>
          <w:color w:val="231F20"/>
          <w:spacing w:val="-6"/>
        </w:rPr>
        <w:t> </w:t>
      </w:r>
      <w:r>
        <w:rPr>
          <w:color w:val="231F20"/>
        </w:rPr>
        <w:t>data</w:t>
      </w:r>
      <w:r>
        <w:rPr>
          <w:color w:val="231F20"/>
          <w:spacing w:val="-7"/>
        </w:rPr>
        <w:t> </w:t>
      </w:r>
      <w:r>
        <w:rPr>
          <w:color w:val="231F20"/>
        </w:rPr>
        <w:t>provided</w:t>
      </w:r>
      <w:r>
        <w:rPr>
          <w:color w:val="231F20"/>
          <w:spacing w:val="-7"/>
        </w:rPr>
        <w:t> </w:t>
      </w:r>
      <w:r>
        <w:rPr>
          <w:color w:val="231F20"/>
        </w:rPr>
        <w:t>by</w:t>
      </w:r>
      <w:r>
        <w:rPr>
          <w:color w:val="231F20"/>
          <w:spacing w:val="-6"/>
        </w:rPr>
        <w:t> </w:t>
      </w:r>
      <w:r>
        <w:rPr>
          <w:color w:val="231F20"/>
        </w:rPr>
        <w:t>the</w:t>
      </w:r>
      <w:r>
        <w:rPr>
          <w:color w:val="231F20"/>
          <w:spacing w:val="-7"/>
        </w:rPr>
        <w:t> </w:t>
      </w:r>
      <w:r>
        <w:rPr>
          <w:color w:val="231F20"/>
        </w:rPr>
        <w:t>boarding</w:t>
      </w:r>
      <w:r>
        <w:rPr>
          <w:color w:val="231F20"/>
          <w:spacing w:val="21"/>
          <w:w w:val="99"/>
        </w:rPr>
        <w:t> </w:t>
      </w:r>
      <w:r>
        <w:rPr>
          <w:color w:val="231F20"/>
        </w:rPr>
        <w:t>provider</w:t>
      </w:r>
      <w:r>
        <w:rPr/>
      </w:r>
    </w:p>
    <w:p>
      <w:pPr>
        <w:pStyle w:val="BodyText"/>
        <w:spacing w:line="250" w:lineRule="exact" w:before="113"/>
        <w:ind w:left="327" w:right="46" w:hanging="227"/>
        <w:jc w:val="left"/>
      </w:pPr>
      <w:r>
        <w:rPr>
          <w:rFonts w:ascii="Century Gothic" w:hAnsi="Century Gothic"/>
          <w:color w:val="231F20"/>
        </w:rPr>
        <w:t>» </w:t>
      </w:r>
      <w:r>
        <w:rPr>
          <w:rFonts w:ascii="Century Gothic" w:hAnsi="Century Gothic"/>
          <w:color w:val="231F20"/>
          <w:spacing w:val="19"/>
        </w:rPr>
        <w:t> </w:t>
      </w:r>
      <w:r>
        <w:rPr>
          <w:color w:val="231F20"/>
        </w:rPr>
        <w:t>Northern</w:t>
      </w:r>
      <w:r>
        <w:rPr>
          <w:color w:val="231F20"/>
          <w:spacing w:val="-4"/>
        </w:rPr>
        <w:t> </w:t>
      </w:r>
      <w:r>
        <w:rPr>
          <w:color w:val="231F20"/>
          <w:spacing w:val="-3"/>
        </w:rPr>
        <w:t>Territory</w:t>
      </w:r>
      <w:r>
        <w:rPr>
          <w:color w:val="231F20"/>
          <w:spacing w:val="-5"/>
        </w:rPr>
        <w:t> </w:t>
      </w:r>
      <w:r>
        <w:rPr>
          <w:color w:val="231F20"/>
          <w:spacing w:val="-1"/>
        </w:rPr>
        <w:t>Christian</w:t>
      </w:r>
      <w:r>
        <w:rPr>
          <w:color w:val="231F20"/>
          <w:spacing w:val="-4"/>
        </w:rPr>
        <w:t> </w:t>
      </w:r>
      <w:r>
        <w:rPr>
          <w:color w:val="231F20"/>
          <w:spacing w:val="-1"/>
        </w:rPr>
        <w:t>College</w:t>
      </w:r>
      <w:r>
        <w:rPr>
          <w:color w:val="231F20"/>
          <w:spacing w:val="-5"/>
        </w:rPr>
        <w:t> </w:t>
      </w:r>
      <w:r>
        <w:rPr>
          <w:color w:val="231F20"/>
          <w:spacing w:val="-3"/>
        </w:rPr>
        <w:t>(NTCC)</w:t>
      </w:r>
      <w:r>
        <w:rPr>
          <w:color w:val="231F20"/>
          <w:spacing w:val="-1"/>
          <w:w w:val="99"/>
        </w:rPr>
        <w:t> </w:t>
      </w:r>
      <w:r>
        <w:rPr>
          <w:color w:val="231F20"/>
          <w:spacing w:val="29"/>
          <w:w w:val="99"/>
        </w:rPr>
        <w:t> </w:t>
      </w:r>
      <w:r>
        <w:rPr>
          <w:color w:val="231F20"/>
          <w:spacing w:val="-1"/>
        </w:rPr>
        <w:t>is</w:t>
      </w:r>
      <w:r>
        <w:rPr>
          <w:color w:val="231F20"/>
          <w:spacing w:val="-7"/>
        </w:rPr>
        <w:t> </w:t>
      </w:r>
      <w:r>
        <w:rPr>
          <w:color w:val="231F20"/>
        </w:rPr>
        <w:t>closely</w:t>
      </w:r>
      <w:r>
        <w:rPr>
          <w:color w:val="231F20"/>
          <w:spacing w:val="-6"/>
        </w:rPr>
        <w:t> </w:t>
      </w:r>
      <w:r>
        <w:rPr>
          <w:color w:val="231F20"/>
        </w:rPr>
        <w:t>associated</w:t>
      </w:r>
      <w:r>
        <w:rPr>
          <w:color w:val="231F20"/>
          <w:spacing w:val="-7"/>
        </w:rPr>
        <w:t> </w:t>
      </w:r>
      <w:r>
        <w:rPr>
          <w:color w:val="231F20"/>
        </w:rPr>
        <w:t>with</w:t>
      </w:r>
      <w:r>
        <w:rPr>
          <w:color w:val="231F20"/>
          <w:spacing w:val="-6"/>
        </w:rPr>
        <w:t> </w:t>
      </w:r>
      <w:r>
        <w:rPr>
          <w:color w:val="231F20"/>
        </w:rPr>
        <w:t>Marrara</w:t>
      </w:r>
      <w:r>
        <w:rPr>
          <w:color w:val="231F20"/>
          <w:spacing w:val="-6"/>
        </w:rPr>
        <w:t> </w:t>
      </w:r>
      <w:r>
        <w:rPr>
          <w:color w:val="231F20"/>
          <w:spacing w:val="-1"/>
        </w:rPr>
        <w:t>Christian</w:t>
      </w:r>
      <w:r>
        <w:rPr>
          <w:color w:val="231F20"/>
          <w:spacing w:val="21"/>
          <w:w w:val="99"/>
        </w:rPr>
        <w:t> </w:t>
      </w:r>
      <w:r>
        <w:rPr>
          <w:color w:val="231F20"/>
          <w:spacing w:val="-1"/>
        </w:rPr>
        <w:t>College</w:t>
      </w:r>
      <w:r>
        <w:rPr>
          <w:color w:val="231F20"/>
          <w:spacing w:val="-3"/>
        </w:rPr>
        <w:t> </w:t>
      </w:r>
      <w:r>
        <w:rPr>
          <w:color w:val="231F20"/>
          <w:spacing w:val="-2"/>
        </w:rPr>
        <w:t>(MCC). MCC</w:t>
      </w:r>
      <w:r>
        <w:rPr>
          <w:color w:val="231F20"/>
          <w:spacing w:val="-3"/>
        </w:rPr>
        <w:t> </w:t>
      </w:r>
      <w:r>
        <w:rPr>
          <w:color w:val="231F20"/>
        </w:rPr>
        <w:t>owns</w:t>
      </w:r>
      <w:r>
        <w:rPr>
          <w:color w:val="231F20"/>
          <w:spacing w:val="-3"/>
        </w:rPr>
        <w:t> </w:t>
      </w:r>
      <w:r>
        <w:rPr>
          <w:color w:val="231F20"/>
        </w:rPr>
        <w:t>the</w:t>
      </w:r>
      <w:r>
        <w:rPr>
          <w:color w:val="231F20"/>
          <w:spacing w:val="-4"/>
        </w:rPr>
        <w:t> </w:t>
      </w:r>
      <w:r>
        <w:rPr>
          <w:color w:val="231F20"/>
        </w:rPr>
        <w:t>campus</w:t>
      </w:r>
      <w:r>
        <w:rPr>
          <w:color w:val="231F20"/>
          <w:spacing w:val="-3"/>
        </w:rPr>
        <w:t> </w:t>
      </w:r>
      <w:r>
        <w:rPr>
          <w:color w:val="231F20"/>
        </w:rPr>
        <w:t>assets</w:t>
      </w:r>
      <w:r>
        <w:rPr>
          <w:color w:val="231F20"/>
          <w:spacing w:val="26"/>
        </w:rPr>
        <w:t> </w:t>
      </w:r>
      <w:r>
        <w:rPr>
          <w:color w:val="231F20"/>
        </w:rPr>
        <w:t>and</w:t>
      </w:r>
      <w:r>
        <w:rPr>
          <w:color w:val="231F20"/>
          <w:spacing w:val="-7"/>
        </w:rPr>
        <w:t> </w:t>
      </w:r>
      <w:r>
        <w:rPr>
          <w:color w:val="231F20"/>
        </w:rPr>
        <w:t>conducts</w:t>
      </w:r>
      <w:r>
        <w:rPr>
          <w:color w:val="231F20"/>
          <w:spacing w:val="-6"/>
        </w:rPr>
        <w:t> </w:t>
      </w:r>
      <w:r>
        <w:rPr>
          <w:color w:val="231F20"/>
        </w:rPr>
        <w:t>classes</w:t>
      </w:r>
      <w:r>
        <w:rPr>
          <w:color w:val="231F20"/>
          <w:spacing w:val="-7"/>
        </w:rPr>
        <w:t> </w:t>
      </w:r>
      <w:r>
        <w:rPr>
          <w:color w:val="231F20"/>
        </w:rPr>
        <w:t>from</w:t>
      </w:r>
      <w:r>
        <w:rPr>
          <w:color w:val="231F20"/>
          <w:spacing w:val="-5"/>
        </w:rPr>
        <w:t> </w:t>
      </w:r>
      <w:r>
        <w:rPr>
          <w:color w:val="231F20"/>
        </w:rPr>
        <w:t>early</w:t>
      </w:r>
      <w:r>
        <w:rPr>
          <w:color w:val="231F20"/>
          <w:spacing w:val="-5"/>
        </w:rPr>
        <w:t> </w:t>
      </w:r>
      <w:r>
        <w:rPr>
          <w:color w:val="231F20"/>
          <w:spacing w:val="-1"/>
        </w:rPr>
        <w:t>learning</w:t>
      </w:r>
      <w:r>
        <w:rPr>
          <w:color w:val="231F20"/>
          <w:spacing w:val="20"/>
          <w:w w:val="99"/>
        </w:rPr>
        <w:t> </w:t>
      </w:r>
      <w:r>
        <w:rPr>
          <w:color w:val="231F20"/>
        </w:rPr>
        <w:t>through</w:t>
      </w:r>
      <w:r>
        <w:rPr>
          <w:color w:val="231F20"/>
          <w:spacing w:val="-4"/>
        </w:rPr>
        <w:t> </w:t>
      </w:r>
      <w:r>
        <w:rPr>
          <w:color w:val="231F20"/>
        </w:rPr>
        <w:t>to</w:t>
      </w:r>
      <w:r>
        <w:rPr>
          <w:color w:val="231F20"/>
          <w:spacing w:val="-3"/>
        </w:rPr>
        <w:t> </w:t>
      </w:r>
      <w:r>
        <w:rPr>
          <w:color w:val="231F20"/>
        </w:rPr>
        <w:t>grade</w:t>
      </w:r>
      <w:r>
        <w:rPr>
          <w:color w:val="231F20"/>
          <w:spacing w:val="-3"/>
        </w:rPr>
        <w:t> </w:t>
      </w:r>
      <w:r>
        <w:rPr>
          <w:color w:val="231F20"/>
          <w:spacing w:val="-1"/>
        </w:rPr>
        <w:t>10.</w:t>
      </w:r>
      <w:r>
        <w:rPr>
          <w:color w:val="231F20"/>
          <w:spacing w:val="-3"/>
        </w:rPr>
        <w:t> </w:t>
      </w:r>
      <w:r>
        <w:rPr>
          <w:color w:val="231F20"/>
          <w:spacing w:val="-1"/>
        </w:rPr>
        <w:t>It</w:t>
      </w:r>
      <w:r>
        <w:rPr>
          <w:color w:val="231F20"/>
          <w:spacing w:val="-2"/>
        </w:rPr>
        <w:t> </w:t>
      </w:r>
      <w:r>
        <w:rPr>
          <w:color w:val="231F20"/>
          <w:spacing w:val="-1"/>
        </w:rPr>
        <w:t>is</w:t>
      </w:r>
      <w:r>
        <w:rPr>
          <w:color w:val="231F20"/>
          <w:spacing w:val="-4"/>
        </w:rPr>
        <w:t> </w:t>
      </w:r>
      <w:r>
        <w:rPr>
          <w:color w:val="231F20"/>
        </w:rPr>
        <w:t>also</w:t>
      </w:r>
      <w:r>
        <w:rPr>
          <w:color w:val="231F20"/>
          <w:spacing w:val="-3"/>
        </w:rPr>
        <w:t> </w:t>
      </w:r>
      <w:r>
        <w:rPr>
          <w:color w:val="231F20"/>
        </w:rPr>
        <w:t>responsible</w:t>
      </w:r>
      <w:r>
        <w:rPr>
          <w:color w:val="231F20"/>
          <w:spacing w:val="-5"/>
        </w:rPr>
        <w:t> </w:t>
      </w:r>
      <w:r>
        <w:rPr>
          <w:color w:val="231F20"/>
        </w:rPr>
        <w:t>for</w:t>
      </w:r>
      <w:r>
        <w:rPr>
          <w:color w:val="231F20"/>
          <w:spacing w:val="23"/>
          <w:w w:val="99"/>
        </w:rPr>
        <w:t> </w:t>
      </w:r>
      <w:r>
        <w:rPr>
          <w:color w:val="231F20"/>
        </w:rPr>
        <w:t>the</w:t>
      </w:r>
      <w:r>
        <w:rPr>
          <w:color w:val="231F20"/>
          <w:spacing w:val="-14"/>
        </w:rPr>
        <w:t> </w:t>
      </w:r>
      <w:r>
        <w:rPr>
          <w:color w:val="231F20"/>
        </w:rPr>
        <w:t>accommodation/boarding</w:t>
      </w:r>
      <w:r>
        <w:rPr>
          <w:color w:val="231F20"/>
          <w:spacing w:val="-15"/>
        </w:rPr>
        <w:t> </w:t>
      </w:r>
      <w:r>
        <w:rPr>
          <w:color w:val="231F20"/>
        </w:rPr>
        <w:t>operations</w:t>
      </w:r>
      <w:r>
        <w:rPr>
          <w:color w:val="231F20"/>
          <w:spacing w:val="-13"/>
        </w:rPr>
        <w:t> </w:t>
      </w:r>
      <w:r>
        <w:rPr>
          <w:color w:val="231F20"/>
        </w:rPr>
        <w:t>for</w:t>
      </w:r>
      <w:r>
        <w:rPr>
          <w:color w:val="231F20"/>
          <w:w w:val="99"/>
        </w:rPr>
        <w:t> </w:t>
      </w:r>
      <w:r>
        <w:rPr>
          <w:color w:val="231F20"/>
          <w:spacing w:val="-1"/>
        </w:rPr>
        <w:t>students</w:t>
      </w:r>
      <w:r>
        <w:rPr>
          <w:color w:val="231F20"/>
          <w:spacing w:val="-3"/>
        </w:rPr>
        <w:t> </w:t>
      </w:r>
      <w:r>
        <w:rPr>
          <w:color w:val="231F20"/>
        </w:rPr>
        <w:t>from</w:t>
      </w:r>
      <w:r>
        <w:rPr>
          <w:color w:val="231F20"/>
          <w:spacing w:val="-2"/>
        </w:rPr>
        <w:t> </w:t>
      </w:r>
      <w:r>
        <w:rPr>
          <w:color w:val="231F20"/>
          <w:spacing w:val="-6"/>
        </w:rPr>
        <w:t>Year</w:t>
      </w:r>
      <w:r>
        <w:rPr>
          <w:color w:val="231F20"/>
          <w:spacing w:val="-2"/>
        </w:rPr>
        <w:t> </w:t>
      </w:r>
      <w:r>
        <w:rPr>
          <w:color w:val="231F20"/>
        </w:rPr>
        <w:t>7</w:t>
      </w:r>
      <w:r>
        <w:rPr>
          <w:color w:val="231F20"/>
          <w:spacing w:val="-3"/>
        </w:rPr>
        <w:t> </w:t>
      </w:r>
      <w:r>
        <w:rPr>
          <w:color w:val="231F20"/>
        </w:rPr>
        <w:t>to</w:t>
      </w:r>
      <w:r>
        <w:rPr>
          <w:color w:val="231F20"/>
          <w:spacing w:val="-2"/>
        </w:rPr>
        <w:t> </w:t>
      </w:r>
      <w:r>
        <w:rPr>
          <w:color w:val="231F20"/>
          <w:spacing w:val="-6"/>
        </w:rPr>
        <w:t>Year</w:t>
      </w:r>
      <w:r>
        <w:rPr>
          <w:color w:val="231F20"/>
          <w:spacing w:val="-2"/>
        </w:rPr>
        <w:t> </w:t>
      </w:r>
      <w:r>
        <w:rPr>
          <w:color w:val="231F20"/>
          <w:spacing w:val="-1"/>
        </w:rPr>
        <w:t>12.</w:t>
      </w:r>
      <w:r>
        <w:rPr>
          <w:color w:val="231F20"/>
          <w:spacing w:val="-3"/>
        </w:rPr>
        <w:t> </w:t>
      </w:r>
      <w:r>
        <w:rPr>
          <w:color w:val="231F20"/>
        </w:rPr>
        <w:t>NT</w:t>
      </w:r>
      <w:r>
        <w:rPr>
          <w:color w:val="231F20"/>
          <w:spacing w:val="-2"/>
        </w:rPr>
        <w:t> </w:t>
      </w:r>
      <w:r>
        <w:rPr>
          <w:color w:val="231F20"/>
          <w:spacing w:val="-1"/>
        </w:rPr>
        <w:t>Christian</w:t>
      </w:r>
      <w:r>
        <w:rPr>
          <w:color w:val="231F20"/>
          <w:spacing w:val="26"/>
          <w:w w:val="99"/>
        </w:rPr>
        <w:t> </w:t>
      </w:r>
      <w:r>
        <w:rPr>
          <w:color w:val="231F20"/>
          <w:spacing w:val="-1"/>
        </w:rPr>
        <w:t>College</w:t>
      </w:r>
      <w:r>
        <w:rPr>
          <w:color w:val="231F20"/>
          <w:spacing w:val="-4"/>
        </w:rPr>
        <w:t> </w:t>
      </w:r>
      <w:r>
        <w:rPr>
          <w:color w:val="231F20"/>
          <w:spacing w:val="-3"/>
        </w:rPr>
        <w:t>(NTCC) </w:t>
      </w:r>
      <w:r>
        <w:rPr>
          <w:color w:val="231F20"/>
        </w:rPr>
        <w:t>runs</w:t>
      </w:r>
      <w:r>
        <w:rPr>
          <w:color w:val="231F20"/>
          <w:spacing w:val="-5"/>
        </w:rPr>
        <w:t> </w:t>
      </w:r>
      <w:r>
        <w:rPr>
          <w:color w:val="231F20"/>
        </w:rPr>
        <w:t>the</w:t>
      </w:r>
      <w:r>
        <w:rPr>
          <w:color w:val="231F20"/>
          <w:spacing w:val="-4"/>
        </w:rPr>
        <w:t> </w:t>
      </w:r>
      <w:r>
        <w:rPr>
          <w:color w:val="231F20"/>
          <w:spacing w:val="-1"/>
        </w:rPr>
        <w:t>senior</w:t>
      </w:r>
      <w:r>
        <w:rPr>
          <w:color w:val="231F20"/>
          <w:spacing w:val="-4"/>
        </w:rPr>
        <w:t> </w:t>
      </w:r>
      <w:r>
        <w:rPr>
          <w:color w:val="231F20"/>
          <w:spacing w:val="-1"/>
        </w:rPr>
        <w:t>school</w:t>
      </w:r>
      <w:r>
        <w:rPr>
          <w:color w:val="231F20"/>
          <w:spacing w:val="23"/>
        </w:rPr>
        <w:t> </w:t>
      </w:r>
      <w:r>
        <w:rPr>
          <w:color w:val="231F20"/>
        </w:rPr>
        <w:t>education</w:t>
      </w:r>
      <w:r>
        <w:rPr>
          <w:color w:val="231F20"/>
          <w:spacing w:val="-5"/>
        </w:rPr>
        <w:t> </w:t>
      </w:r>
      <w:r>
        <w:rPr>
          <w:color w:val="231F20"/>
        </w:rPr>
        <w:t>programs</w:t>
      </w:r>
      <w:r>
        <w:rPr>
          <w:color w:val="231F20"/>
          <w:spacing w:val="-5"/>
        </w:rPr>
        <w:t> </w:t>
      </w:r>
      <w:r>
        <w:rPr>
          <w:color w:val="231F20"/>
        </w:rPr>
        <w:t>for</w:t>
      </w:r>
      <w:r>
        <w:rPr>
          <w:color w:val="231F20"/>
          <w:spacing w:val="-4"/>
        </w:rPr>
        <w:t> </w:t>
      </w:r>
      <w:r>
        <w:rPr>
          <w:color w:val="231F20"/>
          <w:spacing w:val="-6"/>
        </w:rPr>
        <w:t>Year</w:t>
      </w:r>
      <w:r>
        <w:rPr>
          <w:color w:val="231F20"/>
          <w:spacing w:val="-4"/>
        </w:rPr>
        <w:t> </w:t>
      </w:r>
      <w:r>
        <w:rPr>
          <w:color w:val="231F20"/>
          <w:spacing w:val="-1"/>
        </w:rPr>
        <w:t>11</w:t>
      </w:r>
      <w:r>
        <w:rPr>
          <w:color w:val="231F20"/>
          <w:spacing w:val="-4"/>
        </w:rPr>
        <w:t> </w:t>
      </w:r>
      <w:r>
        <w:rPr>
          <w:color w:val="231F20"/>
        </w:rPr>
        <w:t>and</w:t>
      </w:r>
      <w:r>
        <w:rPr>
          <w:color w:val="231F20"/>
          <w:spacing w:val="-5"/>
        </w:rPr>
        <w:t> </w:t>
      </w:r>
      <w:r>
        <w:rPr>
          <w:color w:val="231F20"/>
          <w:spacing w:val="-1"/>
        </w:rPr>
        <w:t>12</w:t>
      </w:r>
      <w:r>
        <w:rPr>
          <w:color w:val="231F20"/>
          <w:spacing w:val="-4"/>
        </w:rPr>
        <w:t> </w:t>
      </w:r>
      <w:r>
        <w:rPr>
          <w:color w:val="231F20"/>
        </w:rPr>
        <w:t>from</w:t>
      </w:r>
      <w:r>
        <w:rPr/>
      </w:r>
    </w:p>
    <w:p>
      <w:pPr>
        <w:pStyle w:val="BodyText"/>
        <w:spacing w:line="250" w:lineRule="exact"/>
        <w:ind w:left="327" w:right="0"/>
        <w:jc w:val="left"/>
      </w:pPr>
      <w:r>
        <w:rPr>
          <w:color w:val="231F20"/>
        </w:rPr>
        <w:t>campuses</w:t>
      </w:r>
      <w:r>
        <w:rPr>
          <w:color w:val="231F20"/>
          <w:spacing w:val="-7"/>
        </w:rPr>
        <w:t> </w:t>
      </w:r>
      <w:r>
        <w:rPr>
          <w:color w:val="231F20"/>
          <w:spacing w:val="-1"/>
        </w:rPr>
        <w:t>located</w:t>
      </w:r>
      <w:r>
        <w:rPr>
          <w:color w:val="231F20"/>
          <w:spacing w:val="-6"/>
        </w:rPr>
        <w:t> </w:t>
      </w:r>
      <w:r>
        <w:rPr>
          <w:color w:val="231F20"/>
        </w:rPr>
        <w:t>at</w:t>
      </w:r>
      <w:r>
        <w:rPr>
          <w:color w:val="231F20"/>
          <w:spacing w:val="-5"/>
        </w:rPr>
        <w:t> </w:t>
      </w:r>
      <w:r>
        <w:rPr>
          <w:color w:val="231F20"/>
        </w:rPr>
        <w:t>Marrara,</w:t>
      </w:r>
      <w:r>
        <w:rPr>
          <w:color w:val="231F20"/>
          <w:spacing w:val="-6"/>
        </w:rPr>
        <w:t> </w:t>
      </w:r>
      <w:r>
        <w:rPr>
          <w:color w:val="231F20"/>
          <w:spacing w:val="-1"/>
        </w:rPr>
        <w:t>Palmerston</w:t>
      </w:r>
      <w:r>
        <w:rPr>
          <w:color w:val="231F20"/>
          <w:spacing w:val="-6"/>
        </w:rPr>
        <w:t> </w:t>
      </w:r>
      <w:r>
        <w:rPr>
          <w:color w:val="231F20"/>
        </w:rPr>
        <w:t>and</w:t>
      </w:r>
      <w:r>
        <w:rPr>
          <w:color w:val="231F20"/>
          <w:spacing w:val="24"/>
          <w:w w:val="99"/>
        </w:rPr>
        <w:t> </w:t>
      </w:r>
      <w:r>
        <w:rPr>
          <w:color w:val="231F20"/>
        </w:rPr>
        <w:t>Nhulunbuy.</w:t>
      </w:r>
      <w:r>
        <w:rPr>
          <w:color w:val="231F20"/>
          <w:spacing w:val="-4"/>
        </w:rPr>
        <w:t> </w:t>
      </w:r>
      <w:r>
        <w:rPr>
          <w:color w:val="231F20"/>
        </w:rPr>
        <w:t>The</w:t>
      </w:r>
      <w:r>
        <w:rPr>
          <w:color w:val="231F20"/>
          <w:spacing w:val="-3"/>
        </w:rPr>
        <w:t> </w:t>
      </w:r>
      <w:r>
        <w:rPr>
          <w:color w:val="231F20"/>
        </w:rPr>
        <w:t>data</w:t>
      </w:r>
      <w:r>
        <w:rPr>
          <w:color w:val="231F20"/>
          <w:spacing w:val="-5"/>
        </w:rPr>
        <w:t> </w:t>
      </w:r>
      <w:r>
        <w:rPr>
          <w:color w:val="231F20"/>
        </w:rPr>
        <w:t>for</w:t>
      </w:r>
      <w:r>
        <w:rPr>
          <w:color w:val="231F20"/>
          <w:spacing w:val="-3"/>
        </w:rPr>
        <w:t> </w:t>
      </w:r>
      <w:r>
        <w:rPr>
          <w:color w:val="231F20"/>
          <w:spacing w:val="-2"/>
        </w:rPr>
        <w:t>MCC</w:t>
      </w:r>
      <w:r>
        <w:rPr>
          <w:color w:val="231F20"/>
          <w:spacing w:val="-4"/>
        </w:rPr>
        <w:t> </w:t>
      </w:r>
      <w:r>
        <w:rPr>
          <w:color w:val="231F20"/>
        </w:rPr>
        <w:t>and</w:t>
      </w:r>
      <w:r>
        <w:rPr>
          <w:color w:val="231F20"/>
          <w:spacing w:val="-5"/>
        </w:rPr>
        <w:t> NT</w:t>
      </w:r>
      <w:r>
        <w:rPr>
          <w:color w:val="231F20"/>
          <w:spacing w:val="-4"/>
        </w:rPr>
        <w:t>CC </w:t>
      </w:r>
      <w:r>
        <w:rPr>
          <w:color w:val="231F20"/>
        </w:rPr>
        <w:t>has</w:t>
      </w:r>
      <w:r>
        <w:rPr>
          <w:color w:val="231F20"/>
          <w:spacing w:val="20"/>
        </w:rPr>
        <w:t> </w:t>
      </w:r>
      <w:r>
        <w:rPr>
          <w:color w:val="231F20"/>
        </w:rPr>
        <w:t>therefore</w:t>
      </w:r>
      <w:r>
        <w:rPr>
          <w:color w:val="231F20"/>
          <w:spacing w:val="-12"/>
        </w:rPr>
        <w:t> </w:t>
      </w:r>
      <w:r>
        <w:rPr>
          <w:color w:val="231F20"/>
        </w:rPr>
        <w:t>been</w:t>
      </w:r>
      <w:r>
        <w:rPr>
          <w:color w:val="231F20"/>
          <w:spacing w:val="-12"/>
        </w:rPr>
        <w:t> </w:t>
      </w:r>
      <w:r>
        <w:rPr>
          <w:color w:val="231F20"/>
        </w:rPr>
        <w:t>combined.</w:t>
      </w:r>
      <w:r>
        <w:rPr/>
      </w:r>
    </w:p>
    <w:p>
      <w:pPr>
        <w:pStyle w:val="BodyText"/>
        <w:spacing w:line="250" w:lineRule="exact" w:before="62"/>
        <w:ind w:left="100" w:right="375"/>
        <w:jc w:val="left"/>
      </w:pPr>
      <w:r>
        <w:rPr/>
        <w:br w:type="column"/>
      </w:r>
      <w:r>
        <w:rPr>
          <w:color w:val="231F20"/>
          <w:spacing w:val="-1"/>
        </w:rPr>
        <w:t>For</w:t>
      </w:r>
      <w:r>
        <w:rPr>
          <w:color w:val="231F20"/>
          <w:spacing w:val="-7"/>
        </w:rPr>
        <w:t> </w:t>
      </w:r>
      <w:r>
        <w:rPr>
          <w:color w:val="231F20"/>
          <w:spacing w:val="-1"/>
        </w:rPr>
        <w:t>some</w:t>
      </w:r>
      <w:r>
        <w:rPr>
          <w:color w:val="231F20"/>
          <w:spacing w:val="-6"/>
        </w:rPr>
        <w:t> </w:t>
      </w:r>
      <w:r>
        <w:rPr>
          <w:color w:val="231F20"/>
        </w:rPr>
        <w:t>boarding</w:t>
      </w:r>
      <w:r>
        <w:rPr>
          <w:color w:val="231F20"/>
          <w:spacing w:val="-7"/>
        </w:rPr>
        <w:t> </w:t>
      </w:r>
      <w:r>
        <w:rPr>
          <w:color w:val="231F20"/>
        </w:rPr>
        <w:t>providers</w:t>
      </w:r>
      <w:r>
        <w:rPr>
          <w:color w:val="231F20"/>
          <w:spacing w:val="-7"/>
        </w:rPr>
        <w:t> </w:t>
      </w:r>
      <w:r>
        <w:rPr>
          <w:color w:val="231F20"/>
        </w:rPr>
        <w:t>the</w:t>
      </w:r>
      <w:r>
        <w:rPr>
          <w:color w:val="231F20"/>
          <w:spacing w:val="-8"/>
        </w:rPr>
        <w:t> </w:t>
      </w:r>
      <w:r>
        <w:rPr>
          <w:color w:val="231F20"/>
        </w:rPr>
        <w:t>three-year</w:t>
      </w:r>
      <w:r>
        <w:rPr>
          <w:color w:val="231F20"/>
          <w:spacing w:val="23"/>
          <w:w w:val="99"/>
        </w:rPr>
        <w:t> </w:t>
      </w:r>
      <w:r>
        <w:rPr>
          <w:color w:val="231F20"/>
        </w:rPr>
        <w:t>trend</w:t>
      </w:r>
      <w:r>
        <w:rPr>
          <w:color w:val="231F20"/>
          <w:spacing w:val="-5"/>
        </w:rPr>
        <w:t> </w:t>
      </w:r>
      <w:r>
        <w:rPr>
          <w:color w:val="231F20"/>
        </w:rPr>
        <w:t>data</w:t>
      </w:r>
      <w:r>
        <w:rPr>
          <w:color w:val="231F20"/>
          <w:spacing w:val="-5"/>
        </w:rPr>
        <w:t> </w:t>
      </w:r>
      <w:r>
        <w:rPr>
          <w:color w:val="231F20"/>
        </w:rPr>
        <w:t>was</w:t>
      </w:r>
      <w:r>
        <w:rPr>
          <w:color w:val="231F20"/>
          <w:spacing w:val="-5"/>
        </w:rPr>
        <w:t> </w:t>
      </w:r>
      <w:r>
        <w:rPr>
          <w:color w:val="231F20"/>
        </w:rPr>
        <w:t>not</w:t>
      </w:r>
      <w:r>
        <w:rPr>
          <w:color w:val="231F20"/>
          <w:spacing w:val="-5"/>
        </w:rPr>
        <w:t> </w:t>
      </w:r>
      <w:r>
        <w:rPr>
          <w:color w:val="231F20"/>
        </w:rPr>
        <w:t>used</w:t>
      </w:r>
      <w:r>
        <w:rPr>
          <w:color w:val="231F20"/>
          <w:spacing w:val="-5"/>
        </w:rPr>
        <w:t> </w:t>
      </w:r>
      <w:r>
        <w:rPr>
          <w:color w:val="231F20"/>
        </w:rPr>
        <w:t>or</w:t>
      </w:r>
      <w:r>
        <w:rPr>
          <w:color w:val="231F20"/>
          <w:spacing w:val="-4"/>
        </w:rPr>
        <w:t> </w:t>
      </w:r>
      <w:r>
        <w:rPr>
          <w:color w:val="231F20"/>
        </w:rPr>
        <w:t>available.</w:t>
      </w:r>
      <w:r>
        <w:rPr>
          <w:color w:val="231F20"/>
          <w:spacing w:val="-5"/>
        </w:rPr>
        <w:t> </w:t>
      </w:r>
      <w:r>
        <w:rPr>
          <w:color w:val="231F20"/>
        </w:rPr>
        <w:t>The</w:t>
      </w:r>
      <w:r>
        <w:rPr>
          <w:color w:val="231F20"/>
          <w:w w:val="99"/>
        </w:rPr>
        <w:t> </w:t>
      </w:r>
      <w:r>
        <w:rPr>
          <w:color w:val="231F20"/>
        </w:rPr>
        <w:t>reasons</w:t>
      </w:r>
      <w:r>
        <w:rPr>
          <w:color w:val="231F20"/>
          <w:spacing w:val="-7"/>
        </w:rPr>
        <w:t> </w:t>
      </w:r>
      <w:r>
        <w:rPr>
          <w:color w:val="231F20"/>
        </w:rPr>
        <w:t>for</w:t>
      </w:r>
      <w:r>
        <w:rPr>
          <w:color w:val="231F20"/>
          <w:spacing w:val="-5"/>
        </w:rPr>
        <w:t> </w:t>
      </w:r>
      <w:r>
        <w:rPr>
          <w:color w:val="231F20"/>
        </w:rPr>
        <w:t>this</w:t>
      </w:r>
      <w:r>
        <w:rPr>
          <w:color w:val="231F20"/>
          <w:spacing w:val="-6"/>
        </w:rPr>
        <w:t> </w:t>
      </w:r>
      <w:r>
        <w:rPr>
          <w:color w:val="231F20"/>
        </w:rPr>
        <w:t>and</w:t>
      </w:r>
      <w:r>
        <w:rPr>
          <w:color w:val="231F20"/>
          <w:spacing w:val="-6"/>
        </w:rPr>
        <w:t> </w:t>
      </w:r>
      <w:r>
        <w:rPr>
          <w:color w:val="231F20"/>
        </w:rPr>
        <w:t>the</w:t>
      </w:r>
      <w:r>
        <w:rPr>
          <w:color w:val="231F20"/>
          <w:spacing w:val="-6"/>
        </w:rPr>
        <w:t> </w:t>
      </w:r>
      <w:r>
        <w:rPr>
          <w:color w:val="231F20"/>
        </w:rPr>
        <w:t>relevant</w:t>
      </w:r>
      <w:r>
        <w:rPr>
          <w:color w:val="231F20"/>
          <w:spacing w:val="-6"/>
        </w:rPr>
        <w:t> </w:t>
      </w:r>
      <w:r>
        <w:rPr>
          <w:color w:val="231F20"/>
        </w:rPr>
        <w:t>approach</w:t>
      </w:r>
      <w:r>
        <w:rPr>
          <w:color w:val="231F20"/>
          <w:w w:val="99"/>
        </w:rPr>
        <w:t> </w:t>
      </w:r>
      <w:r>
        <w:rPr>
          <w:color w:val="231F20"/>
        </w:rPr>
        <w:t>taken</w:t>
      </w:r>
      <w:r>
        <w:rPr>
          <w:color w:val="231F20"/>
          <w:spacing w:val="-3"/>
        </w:rPr>
        <w:t> </w:t>
      </w:r>
      <w:r>
        <w:rPr>
          <w:color w:val="231F20"/>
          <w:spacing w:val="-1"/>
        </w:rPr>
        <w:t>is</w:t>
      </w:r>
      <w:r>
        <w:rPr>
          <w:color w:val="231F20"/>
          <w:spacing w:val="-3"/>
        </w:rPr>
        <w:t> </w:t>
      </w:r>
      <w:r>
        <w:rPr>
          <w:color w:val="231F20"/>
        </w:rPr>
        <w:t>as</w:t>
      </w:r>
      <w:r>
        <w:rPr>
          <w:color w:val="231F20"/>
          <w:spacing w:val="-2"/>
        </w:rPr>
        <w:t> </w:t>
      </w:r>
      <w:r>
        <w:rPr>
          <w:color w:val="231F20"/>
        </w:rPr>
        <w:t>follows:</w:t>
      </w:r>
      <w:r>
        <w:rPr/>
      </w:r>
    </w:p>
    <w:p>
      <w:pPr>
        <w:pStyle w:val="BodyText"/>
        <w:spacing w:line="258" w:lineRule="exact" w:before="97"/>
        <w:ind w:left="100" w:right="0"/>
        <w:jc w:val="left"/>
      </w:pPr>
      <w:r>
        <w:rPr>
          <w:rFonts w:ascii="Century Gothic" w:hAnsi="Century Gothic"/>
          <w:color w:val="231F20"/>
        </w:rPr>
        <w:t>» </w:t>
      </w:r>
      <w:r>
        <w:rPr>
          <w:rFonts w:ascii="Century Gothic" w:hAnsi="Century Gothic"/>
          <w:color w:val="231F20"/>
          <w:spacing w:val="18"/>
        </w:rPr>
        <w:t> </w:t>
      </w:r>
      <w:r>
        <w:rPr>
          <w:color w:val="231F20"/>
        </w:rPr>
        <w:t>one</w:t>
      </w:r>
      <w:r>
        <w:rPr>
          <w:color w:val="231F20"/>
          <w:spacing w:val="-6"/>
        </w:rPr>
        <w:t> </w:t>
      </w:r>
      <w:r>
        <w:rPr>
          <w:color w:val="231F20"/>
        </w:rPr>
        <w:t>boarding</w:t>
      </w:r>
      <w:r>
        <w:rPr>
          <w:color w:val="231F20"/>
          <w:spacing w:val="-6"/>
        </w:rPr>
        <w:t> </w:t>
      </w:r>
      <w:r>
        <w:rPr>
          <w:color w:val="231F20"/>
        </w:rPr>
        <w:t>provider</w:t>
      </w:r>
      <w:r>
        <w:rPr>
          <w:color w:val="231F20"/>
          <w:spacing w:val="-6"/>
        </w:rPr>
        <w:t> </w:t>
      </w:r>
      <w:r>
        <w:rPr>
          <w:color w:val="231F20"/>
        </w:rPr>
        <w:t>operates</w:t>
      </w:r>
      <w:r>
        <w:rPr>
          <w:color w:val="231F20"/>
          <w:spacing w:val="-6"/>
        </w:rPr>
        <w:t> </w:t>
      </w:r>
      <w:r>
        <w:rPr>
          <w:color w:val="231F20"/>
        </w:rPr>
        <w:t>across</w:t>
      </w:r>
      <w:r>
        <w:rPr/>
      </w:r>
    </w:p>
    <w:p>
      <w:pPr>
        <w:pStyle w:val="BodyText"/>
        <w:spacing w:line="250" w:lineRule="exact"/>
        <w:ind w:left="327" w:right="0"/>
        <w:jc w:val="left"/>
        <w:rPr>
          <w:rFonts w:ascii="Segoe UI" w:hAnsi="Segoe UI" w:cs="Segoe UI" w:eastAsia="Segoe UI"/>
        </w:rPr>
      </w:pPr>
      <w:r>
        <w:rPr>
          <w:rFonts w:ascii="Segoe UI"/>
          <w:color w:val="231F20"/>
        </w:rPr>
        <w:t>two</w:t>
      </w:r>
      <w:r>
        <w:rPr>
          <w:rFonts w:ascii="Segoe UI"/>
          <w:color w:val="231F20"/>
          <w:spacing w:val="-2"/>
        </w:rPr>
        <w:t> </w:t>
      </w:r>
      <w:r>
        <w:rPr>
          <w:rFonts w:ascii="Segoe UI"/>
          <w:color w:val="231F20"/>
        </w:rPr>
        <w:t>distinct</w:t>
      </w:r>
      <w:r>
        <w:rPr>
          <w:rFonts w:ascii="Segoe UI"/>
          <w:color w:val="231F20"/>
          <w:spacing w:val="-1"/>
        </w:rPr>
        <w:t> </w:t>
      </w:r>
      <w:r>
        <w:rPr>
          <w:rFonts w:ascii="Segoe UI"/>
          <w:color w:val="231F20"/>
        </w:rPr>
        <w:t>campuses</w:t>
      </w:r>
      <w:r>
        <w:rPr>
          <w:rFonts w:ascii="Segoe UI"/>
          <w:color w:val="231F20"/>
          <w:spacing w:val="-2"/>
        </w:rPr>
        <w:t> </w:t>
      </w:r>
      <w:r>
        <w:rPr>
          <w:rFonts w:ascii="Segoe UI"/>
          <w:color w:val="231F20"/>
        </w:rPr>
        <w:t>in</w:t>
      </w:r>
      <w:r>
        <w:rPr>
          <w:rFonts w:ascii="Segoe UI"/>
          <w:color w:val="231F20"/>
          <w:spacing w:val="-1"/>
        </w:rPr>
        <w:t> </w:t>
      </w:r>
      <w:r>
        <w:rPr>
          <w:rFonts w:ascii="Segoe UI"/>
          <w:color w:val="231F20"/>
        </w:rPr>
        <w:t>two</w:t>
      </w:r>
      <w:r>
        <w:rPr>
          <w:rFonts w:ascii="Segoe UI"/>
          <w:color w:val="231F20"/>
          <w:spacing w:val="-2"/>
        </w:rPr>
        <w:t> </w:t>
      </w:r>
      <w:r>
        <w:rPr>
          <w:rFonts w:ascii="Segoe UI"/>
          <w:color w:val="231F20"/>
        </w:rPr>
        <w:t>different</w:t>
      </w:r>
      <w:r>
        <w:rPr>
          <w:rFonts w:ascii="Segoe UI"/>
        </w:rPr>
      </w:r>
    </w:p>
    <w:p>
      <w:pPr>
        <w:pStyle w:val="BodyText"/>
        <w:spacing w:line="250" w:lineRule="exact" w:before="8"/>
        <w:ind w:left="327" w:right="116"/>
        <w:jc w:val="left"/>
      </w:pPr>
      <w:r>
        <w:rPr>
          <w:color w:val="231F20"/>
        </w:rPr>
        <w:t>towns,</w:t>
      </w:r>
      <w:r>
        <w:rPr>
          <w:color w:val="231F20"/>
          <w:spacing w:val="-6"/>
        </w:rPr>
        <w:t> </w:t>
      </w:r>
      <w:r>
        <w:rPr>
          <w:color w:val="231F20"/>
        </w:rPr>
        <w:t>one</w:t>
      </w:r>
      <w:r>
        <w:rPr>
          <w:color w:val="231F20"/>
          <w:spacing w:val="-5"/>
        </w:rPr>
        <w:t> </w:t>
      </w:r>
      <w:r>
        <w:rPr>
          <w:color w:val="231F20"/>
        </w:rPr>
        <w:t>of</w:t>
      </w:r>
      <w:r>
        <w:rPr>
          <w:color w:val="231F20"/>
          <w:spacing w:val="-5"/>
        </w:rPr>
        <w:t> </w:t>
      </w:r>
      <w:r>
        <w:rPr>
          <w:color w:val="231F20"/>
        </w:rPr>
        <w:t>which</w:t>
      </w:r>
      <w:r>
        <w:rPr>
          <w:color w:val="231F20"/>
          <w:spacing w:val="-5"/>
        </w:rPr>
        <w:t> </w:t>
      </w:r>
      <w:r>
        <w:rPr>
          <w:color w:val="231F20"/>
          <w:spacing w:val="-1"/>
        </w:rPr>
        <w:t>is</w:t>
      </w:r>
      <w:r>
        <w:rPr>
          <w:color w:val="231F20"/>
          <w:spacing w:val="-6"/>
        </w:rPr>
        <w:t> </w:t>
      </w:r>
      <w:r>
        <w:rPr>
          <w:color w:val="231F20"/>
        </w:rPr>
        <w:t>entirely</w:t>
      </w:r>
      <w:r>
        <w:rPr>
          <w:color w:val="231F20"/>
          <w:spacing w:val="-6"/>
        </w:rPr>
        <w:t> </w:t>
      </w:r>
      <w:r>
        <w:rPr>
          <w:color w:val="231F20"/>
        </w:rPr>
        <w:t>boarding</w:t>
      </w:r>
      <w:r>
        <w:rPr>
          <w:color w:val="231F20"/>
          <w:spacing w:val="-6"/>
        </w:rPr>
        <w:t> </w:t>
      </w:r>
      <w:r>
        <w:rPr>
          <w:color w:val="231F20"/>
        </w:rPr>
        <w:t>for</w:t>
      </w:r>
      <w:r>
        <w:rPr>
          <w:color w:val="231F20"/>
          <w:spacing w:val="21"/>
          <w:w w:val="99"/>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5"/>
        </w:rPr>
        <w:t> </w:t>
      </w:r>
      <w:r>
        <w:rPr>
          <w:color w:val="231F20"/>
          <w:spacing w:val="-1"/>
        </w:rPr>
        <w:t>Islander</w:t>
      </w:r>
      <w:r>
        <w:rPr>
          <w:color w:val="231F20"/>
          <w:spacing w:val="-5"/>
        </w:rPr>
        <w:t> </w:t>
      </w:r>
      <w:r>
        <w:rPr>
          <w:color w:val="231F20"/>
          <w:spacing w:val="-1"/>
        </w:rPr>
        <w:t>students</w:t>
      </w:r>
      <w:r>
        <w:rPr>
          <w:color w:val="231F20"/>
          <w:spacing w:val="20"/>
        </w:rPr>
        <w:t> </w:t>
      </w:r>
      <w:r>
        <w:rPr>
          <w:color w:val="231F20"/>
        </w:rPr>
        <w:t>and</w:t>
      </w:r>
      <w:r>
        <w:rPr>
          <w:color w:val="231F20"/>
          <w:spacing w:val="-6"/>
        </w:rPr>
        <w:t> </w:t>
      </w:r>
      <w:r>
        <w:rPr>
          <w:color w:val="231F20"/>
        </w:rPr>
        <w:t>the</w:t>
      </w:r>
      <w:r>
        <w:rPr>
          <w:color w:val="231F20"/>
          <w:spacing w:val="-5"/>
        </w:rPr>
        <w:t> </w:t>
      </w:r>
      <w:r>
        <w:rPr>
          <w:color w:val="231F20"/>
        </w:rPr>
        <w:t>other</w:t>
      </w:r>
      <w:r>
        <w:rPr>
          <w:color w:val="231F20"/>
          <w:spacing w:val="-4"/>
        </w:rPr>
        <w:t> </w:t>
      </w:r>
      <w:r>
        <w:rPr>
          <w:color w:val="231F20"/>
        </w:rPr>
        <w:t>has</w:t>
      </w:r>
      <w:r>
        <w:rPr>
          <w:color w:val="231F20"/>
          <w:spacing w:val="-6"/>
        </w:rPr>
        <w:t> </w:t>
      </w:r>
      <w:r>
        <w:rPr>
          <w:color w:val="231F20"/>
        </w:rPr>
        <w:t>no</w:t>
      </w:r>
      <w:r>
        <w:rPr>
          <w:color w:val="231F20"/>
          <w:spacing w:val="-4"/>
        </w:rPr>
        <w:t> </w:t>
      </w:r>
      <w:r>
        <w:rPr>
          <w:color w:val="231F20"/>
        </w:rPr>
        <w:t>boarders.</w:t>
      </w:r>
      <w:r>
        <w:rPr>
          <w:color w:val="231F20"/>
          <w:spacing w:val="-5"/>
        </w:rPr>
        <w:t> </w:t>
      </w:r>
      <w:r>
        <w:rPr>
          <w:color w:val="231F20"/>
        </w:rPr>
        <w:t>The</w:t>
      </w:r>
      <w:r>
        <w:rPr>
          <w:color w:val="231F20"/>
          <w:spacing w:val="-5"/>
        </w:rPr>
        <w:t> </w:t>
      </w:r>
      <w:r>
        <w:rPr>
          <w:color w:val="231F20"/>
        </w:rPr>
        <w:t>three-</w:t>
      </w:r>
      <w:r>
        <w:rPr>
          <w:color w:val="231F20"/>
          <w:w w:val="99"/>
        </w:rPr>
        <w:t> </w:t>
      </w:r>
      <w:r>
        <w:rPr>
          <w:color w:val="231F20"/>
        </w:rPr>
        <w:t>year</w:t>
      </w:r>
      <w:r>
        <w:rPr>
          <w:color w:val="231F20"/>
          <w:spacing w:val="-6"/>
        </w:rPr>
        <w:t> </w:t>
      </w:r>
      <w:r>
        <w:rPr>
          <w:color w:val="231F20"/>
        </w:rPr>
        <w:t>trend</w:t>
      </w:r>
      <w:r>
        <w:rPr>
          <w:color w:val="231F20"/>
          <w:spacing w:val="-6"/>
        </w:rPr>
        <w:t> </w:t>
      </w:r>
      <w:r>
        <w:rPr>
          <w:color w:val="231F20"/>
        </w:rPr>
        <w:t>data</w:t>
      </w:r>
      <w:r>
        <w:rPr>
          <w:color w:val="231F20"/>
          <w:spacing w:val="-7"/>
        </w:rPr>
        <w:t> </w:t>
      </w:r>
      <w:r>
        <w:rPr>
          <w:color w:val="231F20"/>
        </w:rPr>
        <w:t>for</w:t>
      </w:r>
      <w:r>
        <w:rPr>
          <w:color w:val="231F20"/>
          <w:spacing w:val="-5"/>
        </w:rPr>
        <w:t> </w:t>
      </w:r>
      <w:r>
        <w:rPr>
          <w:color w:val="231F20"/>
        </w:rPr>
        <w:t>the</w:t>
      </w:r>
      <w:r>
        <w:rPr>
          <w:color w:val="231F20"/>
          <w:spacing w:val="-6"/>
        </w:rPr>
        <w:t> </w:t>
      </w:r>
      <w:r>
        <w:rPr>
          <w:color w:val="231F20"/>
        </w:rPr>
        <w:t>entire</w:t>
      </w:r>
      <w:r>
        <w:rPr>
          <w:color w:val="231F20"/>
          <w:spacing w:val="-6"/>
        </w:rPr>
        <w:t> </w:t>
      </w:r>
      <w:r>
        <w:rPr>
          <w:color w:val="231F20"/>
        </w:rPr>
        <w:t>operations</w:t>
      </w:r>
      <w:r>
        <w:rPr/>
      </w:r>
    </w:p>
    <w:p>
      <w:pPr>
        <w:pStyle w:val="BodyText"/>
        <w:spacing w:line="250" w:lineRule="exact"/>
        <w:ind w:left="327" w:right="116"/>
        <w:jc w:val="left"/>
      </w:pPr>
      <w:r>
        <w:rPr>
          <w:color w:val="231F20"/>
        </w:rPr>
        <w:t>of</w:t>
      </w:r>
      <w:r>
        <w:rPr>
          <w:color w:val="231F20"/>
          <w:spacing w:val="-4"/>
        </w:rPr>
        <w:t> </w:t>
      </w:r>
      <w:r>
        <w:rPr>
          <w:color w:val="231F20"/>
        </w:rPr>
        <w:t>the</w:t>
      </w:r>
      <w:r>
        <w:rPr>
          <w:color w:val="231F20"/>
          <w:spacing w:val="-5"/>
        </w:rPr>
        <w:t> </w:t>
      </w:r>
      <w:r>
        <w:rPr>
          <w:color w:val="231F20"/>
        </w:rPr>
        <w:t>entity</w:t>
      </w:r>
      <w:r>
        <w:rPr>
          <w:color w:val="231F20"/>
          <w:spacing w:val="-5"/>
        </w:rPr>
        <w:t> </w:t>
      </w:r>
      <w:r>
        <w:rPr>
          <w:color w:val="231F20"/>
        </w:rPr>
        <w:t>created</w:t>
      </w:r>
      <w:r>
        <w:rPr>
          <w:color w:val="231F20"/>
          <w:spacing w:val="-4"/>
        </w:rPr>
        <w:t> </w:t>
      </w:r>
      <w:r>
        <w:rPr>
          <w:color w:val="231F20"/>
        </w:rPr>
        <w:t>a</w:t>
      </w:r>
      <w:r>
        <w:rPr>
          <w:color w:val="231F20"/>
          <w:spacing w:val="-4"/>
        </w:rPr>
        <w:t> </w:t>
      </w:r>
      <w:r>
        <w:rPr>
          <w:color w:val="231F20"/>
        </w:rPr>
        <w:t>clear</w:t>
      </w:r>
      <w:r>
        <w:rPr>
          <w:color w:val="231F20"/>
          <w:spacing w:val="-5"/>
        </w:rPr>
        <w:t> </w:t>
      </w:r>
      <w:r>
        <w:rPr>
          <w:color w:val="231F20"/>
        </w:rPr>
        <w:t>anomaly</w:t>
      </w:r>
      <w:r>
        <w:rPr>
          <w:color w:val="231F20"/>
          <w:spacing w:val="-5"/>
        </w:rPr>
        <w:t> </w:t>
      </w:r>
      <w:r>
        <w:rPr>
          <w:color w:val="231F20"/>
          <w:spacing w:val="-1"/>
        </w:rPr>
        <w:t>in</w:t>
      </w:r>
      <w:r>
        <w:rPr>
          <w:color w:val="231F20"/>
          <w:spacing w:val="-4"/>
        </w:rPr>
        <w:t> </w:t>
      </w:r>
      <w:r>
        <w:rPr>
          <w:color w:val="231F20"/>
        </w:rPr>
        <w:t>the</w:t>
      </w:r>
      <w:r>
        <w:rPr>
          <w:color w:val="231F20"/>
          <w:spacing w:val="21"/>
          <w:w w:val="99"/>
        </w:rPr>
        <w:t> </w:t>
      </w:r>
      <w:r>
        <w:rPr>
          <w:color w:val="231F20"/>
        </w:rPr>
        <w:t>data.</w:t>
      </w:r>
      <w:r>
        <w:rPr>
          <w:color w:val="231F20"/>
          <w:spacing w:val="-9"/>
        </w:rPr>
        <w:t> </w:t>
      </w:r>
      <w:r>
        <w:rPr>
          <w:color w:val="231F20"/>
          <w:spacing w:val="-1"/>
        </w:rPr>
        <w:t>Detailed</w:t>
      </w:r>
      <w:r>
        <w:rPr>
          <w:color w:val="231F20"/>
          <w:spacing w:val="-7"/>
        </w:rPr>
        <w:t> </w:t>
      </w:r>
      <w:r>
        <w:rPr>
          <w:color w:val="231F20"/>
          <w:spacing w:val="-1"/>
        </w:rPr>
        <w:t>management</w:t>
      </w:r>
      <w:r>
        <w:rPr>
          <w:color w:val="231F20"/>
          <w:spacing w:val="-6"/>
        </w:rPr>
        <w:t> </w:t>
      </w:r>
      <w:r>
        <w:rPr>
          <w:color w:val="231F20"/>
        </w:rPr>
        <w:t>accounts</w:t>
      </w:r>
      <w:r>
        <w:rPr>
          <w:color w:val="231F20"/>
          <w:spacing w:val="-9"/>
        </w:rPr>
        <w:t> </w:t>
      </w:r>
      <w:r>
        <w:rPr>
          <w:color w:val="231F20"/>
        </w:rPr>
        <w:t>for</w:t>
      </w:r>
      <w:r>
        <w:rPr>
          <w:color w:val="231F20"/>
          <w:spacing w:val="-7"/>
        </w:rPr>
        <w:t> </w:t>
      </w:r>
      <w:r>
        <w:rPr>
          <w:color w:val="231F20"/>
        </w:rPr>
        <w:t>the</w:t>
      </w:r>
      <w:r>
        <w:rPr>
          <w:color w:val="231F20"/>
          <w:spacing w:val="23"/>
          <w:w w:val="99"/>
        </w:rPr>
        <w:t> </w:t>
      </w:r>
      <w:r>
        <w:rPr>
          <w:color w:val="231F20"/>
        </w:rPr>
        <w:t>boarding</w:t>
      </w:r>
      <w:r>
        <w:rPr>
          <w:color w:val="231F20"/>
          <w:spacing w:val="-6"/>
        </w:rPr>
        <w:t> </w:t>
      </w:r>
      <w:r>
        <w:rPr>
          <w:color w:val="231F20"/>
        </w:rPr>
        <w:t>campus</w:t>
      </w:r>
      <w:r>
        <w:rPr>
          <w:color w:val="231F20"/>
          <w:spacing w:val="-6"/>
        </w:rPr>
        <w:t> </w:t>
      </w:r>
      <w:r>
        <w:rPr>
          <w:color w:val="231F20"/>
        </w:rPr>
        <w:t>were</w:t>
      </w:r>
      <w:r>
        <w:rPr>
          <w:color w:val="231F20"/>
          <w:spacing w:val="-5"/>
        </w:rPr>
        <w:t> </w:t>
      </w:r>
      <w:r>
        <w:rPr>
          <w:color w:val="231F20"/>
        </w:rPr>
        <w:t>utilised</w:t>
      </w:r>
      <w:r>
        <w:rPr>
          <w:color w:val="231F20"/>
          <w:spacing w:val="-6"/>
        </w:rPr>
        <w:t> </w:t>
      </w:r>
      <w:r>
        <w:rPr>
          <w:color w:val="231F20"/>
        </w:rPr>
        <w:t>and</w:t>
      </w:r>
      <w:r>
        <w:rPr>
          <w:color w:val="231F20"/>
          <w:spacing w:val="-5"/>
        </w:rPr>
        <w:t> </w:t>
      </w:r>
      <w:r>
        <w:rPr>
          <w:color w:val="231F20"/>
        </w:rPr>
        <w:t>relevant</w:t>
      </w:r>
      <w:r>
        <w:rPr>
          <w:color w:val="231F20"/>
          <w:w w:val="99"/>
        </w:rPr>
        <w:t> </w:t>
      </w:r>
      <w:r>
        <w:rPr>
          <w:color w:val="231F20"/>
        </w:rPr>
        <w:t>adjustments</w:t>
      </w:r>
      <w:r>
        <w:rPr>
          <w:color w:val="231F20"/>
          <w:spacing w:val="-6"/>
        </w:rPr>
        <w:t> </w:t>
      </w:r>
      <w:r>
        <w:rPr>
          <w:color w:val="231F20"/>
        </w:rPr>
        <w:t>were</w:t>
      </w:r>
      <w:r>
        <w:rPr>
          <w:color w:val="231F20"/>
          <w:spacing w:val="-5"/>
        </w:rPr>
        <w:t> </w:t>
      </w:r>
      <w:r>
        <w:rPr>
          <w:color w:val="231F20"/>
          <w:spacing w:val="-1"/>
        </w:rPr>
        <w:t>made</w:t>
      </w:r>
      <w:r>
        <w:rPr>
          <w:color w:val="231F20"/>
          <w:spacing w:val="-5"/>
        </w:rPr>
        <w:t> </w:t>
      </w:r>
      <w:r>
        <w:rPr>
          <w:color w:val="231F20"/>
        </w:rPr>
        <w:t>for</w:t>
      </w:r>
      <w:r>
        <w:rPr>
          <w:color w:val="231F20"/>
          <w:spacing w:val="-4"/>
        </w:rPr>
        <w:t> </w:t>
      </w:r>
      <w:r>
        <w:rPr>
          <w:color w:val="231F20"/>
        </w:rPr>
        <w:t>revenue</w:t>
      </w:r>
      <w:r>
        <w:rPr>
          <w:color w:val="231F20"/>
          <w:spacing w:val="-6"/>
        </w:rPr>
        <w:t> </w:t>
      </w:r>
      <w:r>
        <w:rPr>
          <w:color w:val="231F20"/>
        </w:rPr>
        <w:t>and</w:t>
      </w:r>
      <w:r>
        <w:rPr>
          <w:color w:val="231F20"/>
          <w:spacing w:val="21"/>
          <w:w w:val="99"/>
        </w:rPr>
        <w:t> </w:t>
      </w:r>
      <w:r>
        <w:rPr>
          <w:color w:val="231F20"/>
        </w:rPr>
        <w:t>costs,</w:t>
      </w:r>
      <w:r>
        <w:rPr>
          <w:color w:val="231F20"/>
          <w:spacing w:val="-8"/>
        </w:rPr>
        <w:t> </w:t>
      </w:r>
      <w:r>
        <w:rPr>
          <w:color w:val="231F20"/>
        </w:rPr>
        <w:t>and</w:t>
      </w:r>
      <w:r>
        <w:rPr>
          <w:color w:val="231F20"/>
          <w:spacing w:val="-7"/>
        </w:rPr>
        <w:t> </w:t>
      </w:r>
      <w:r>
        <w:rPr>
          <w:color w:val="231F20"/>
        </w:rPr>
        <w:t>depreciation</w:t>
      </w:r>
      <w:r>
        <w:rPr>
          <w:color w:val="231F20"/>
          <w:spacing w:val="-8"/>
        </w:rPr>
        <w:t> </w:t>
      </w:r>
      <w:r>
        <w:rPr>
          <w:color w:val="231F20"/>
        </w:rPr>
        <w:t>was</w:t>
      </w:r>
      <w:r>
        <w:rPr>
          <w:color w:val="231F20"/>
          <w:spacing w:val="-7"/>
        </w:rPr>
        <w:t> </w:t>
      </w:r>
      <w:r>
        <w:rPr>
          <w:color w:val="231F20"/>
        </w:rPr>
        <w:t>excluded</w:t>
      </w:r>
      <w:r>
        <w:rPr/>
      </w:r>
    </w:p>
    <w:p>
      <w:pPr>
        <w:pStyle w:val="BodyText"/>
        <w:spacing w:line="250" w:lineRule="exact" w:before="113"/>
        <w:ind w:left="327" w:right="106" w:hanging="227"/>
        <w:jc w:val="left"/>
      </w:pPr>
      <w:r>
        <w:rPr>
          <w:rFonts w:ascii="Century Gothic" w:hAnsi="Century Gothic"/>
          <w:color w:val="231F20"/>
        </w:rPr>
        <w:t>» </w:t>
      </w:r>
      <w:r>
        <w:rPr>
          <w:rFonts w:ascii="Century Gothic" w:hAnsi="Century Gothic"/>
          <w:color w:val="231F20"/>
          <w:spacing w:val="23"/>
        </w:rPr>
        <w:t> </w:t>
      </w:r>
      <w:r>
        <w:rPr>
          <w:color w:val="231F20"/>
          <w:spacing w:val="-1"/>
        </w:rPr>
        <w:t>some</w:t>
      </w:r>
      <w:r>
        <w:rPr>
          <w:color w:val="231F20"/>
          <w:spacing w:val="-3"/>
        </w:rPr>
        <w:t> </w:t>
      </w:r>
      <w:r>
        <w:rPr>
          <w:color w:val="231F20"/>
        </w:rPr>
        <w:t>boarding</w:t>
      </w:r>
      <w:r>
        <w:rPr>
          <w:color w:val="231F20"/>
          <w:spacing w:val="-5"/>
        </w:rPr>
        <w:t> </w:t>
      </w:r>
      <w:r>
        <w:rPr>
          <w:color w:val="231F20"/>
        </w:rPr>
        <w:t>providers</w:t>
      </w:r>
      <w:r>
        <w:rPr>
          <w:color w:val="231F20"/>
          <w:spacing w:val="-4"/>
        </w:rPr>
        <w:t> </w:t>
      </w:r>
      <w:r>
        <w:rPr>
          <w:color w:val="231F20"/>
        </w:rPr>
        <w:t>are</w:t>
      </w:r>
      <w:r>
        <w:rPr>
          <w:color w:val="231F20"/>
          <w:spacing w:val="-4"/>
        </w:rPr>
        <w:t> </w:t>
      </w:r>
      <w:r>
        <w:rPr>
          <w:color w:val="231F20"/>
        </w:rPr>
        <w:t>not</w:t>
      </w:r>
      <w:r>
        <w:rPr>
          <w:color w:val="231F20"/>
          <w:spacing w:val="-3"/>
        </w:rPr>
        <w:t> </w:t>
      </w:r>
      <w:r>
        <w:rPr>
          <w:color w:val="231F20"/>
        </w:rPr>
        <w:t>part</w:t>
      </w:r>
      <w:r>
        <w:rPr>
          <w:color w:val="231F20"/>
          <w:spacing w:val="-3"/>
        </w:rPr>
        <w:t> </w:t>
      </w:r>
      <w:r>
        <w:rPr>
          <w:color w:val="231F20"/>
        </w:rPr>
        <w:t>of</w:t>
      </w:r>
      <w:r>
        <w:rPr>
          <w:color w:val="231F20"/>
          <w:spacing w:val="-3"/>
        </w:rPr>
        <w:t> </w:t>
      </w:r>
      <w:r>
        <w:rPr>
          <w:color w:val="231F20"/>
        </w:rPr>
        <w:t>a</w:t>
      </w:r>
      <w:r>
        <w:rPr>
          <w:color w:val="231F20"/>
          <w:spacing w:val="21"/>
          <w:w w:val="99"/>
        </w:rPr>
        <w:t> </w:t>
      </w:r>
      <w:r>
        <w:rPr>
          <w:color w:val="231F20"/>
          <w:spacing w:val="-1"/>
        </w:rPr>
        <w:t>school</w:t>
      </w:r>
      <w:r>
        <w:rPr>
          <w:color w:val="231F20"/>
          <w:spacing w:val="-6"/>
        </w:rPr>
        <w:t> </w:t>
      </w:r>
      <w:r>
        <w:rPr>
          <w:color w:val="231F20"/>
          <w:spacing w:val="-1"/>
        </w:rPr>
        <w:t>structure</w:t>
      </w:r>
      <w:r>
        <w:rPr>
          <w:color w:val="231F20"/>
          <w:spacing w:val="-5"/>
        </w:rPr>
        <w:t> </w:t>
      </w:r>
      <w:r>
        <w:rPr>
          <w:color w:val="231F20"/>
        </w:rPr>
        <w:t>and</w:t>
      </w:r>
      <w:r>
        <w:rPr>
          <w:color w:val="231F20"/>
          <w:spacing w:val="-7"/>
        </w:rPr>
        <w:t> </w:t>
      </w:r>
      <w:r>
        <w:rPr>
          <w:color w:val="231F20"/>
        </w:rPr>
        <w:t>three-year</w:t>
      </w:r>
      <w:r>
        <w:rPr>
          <w:color w:val="231F20"/>
          <w:spacing w:val="-7"/>
        </w:rPr>
        <w:t> </w:t>
      </w:r>
      <w:r>
        <w:rPr>
          <w:color w:val="231F20"/>
        </w:rPr>
        <w:t>trend</w:t>
      </w:r>
      <w:r>
        <w:rPr>
          <w:color w:val="231F20"/>
          <w:spacing w:val="-6"/>
        </w:rPr>
        <w:t> </w:t>
      </w:r>
      <w:r>
        <w:rPr>
          <w:color w:val="231F20"/>
        </w:rPr>
        <w:t>data</w:t>
      </w:r>
      <w:r>
        <w:rPr>
          <w:color w:val="231F20"/>
          <w:spacing w:val="23"/>
          <w:w w:val="99"/>
        </w:rPr>
        <w:t> </w:t>
      </w:r>
      <w:r>
        <w:rPr>
          <w:rFonts w:ascii="Segoe UI" w:hAnsi="Segoe UI"/>
          <w:color w:val="231F20"/>
        </w:rPr>
        <w:t>was therefore not available. Audited financial</w:t>
      </w:r>
      <w:r>
        <w:rPr>
          <w:rFonts w:ascii="Segoe UI" w:hAnsi="Segoe UI"/>
          <w:color w:val="231F20"/>
        </w:rPr>
        <w:t> </w:t>
      </w:r>
      <w:r>
        <w:rPr>
          <w:color w:val="231F20"/>
          <w:spacing w:val="-1"/>
        </w:rPr>
        <w:t>statements</w:t>
      </w:r>
      <w:r>
        <w:rPr>
          <w:color w:val="231F20"/>
          <w:spacing w:val="-7"/>
        </w:rPr>
        <w:t> </w:t>
      </w:r>
      <w:r>
        <w:rPr>
          <w:color w:val="231F20"/>
        </w:rPr>
        <w:t>and</w:t>
      </w:r>
      <w:r>
        <w:rPr>
          <w:color w:val="231F20"/>
          <w:spacing w:val="-9"/>
        </w:rPr>
        <w:t> </w:t>
      </w:r>
      <w:r>
        <w:rPr>
          <w:color w:val="231F20"/>
          <w:spacing w:val="-1"/>
        </w:rPr>
        <w:t>management</w:t>
      </w:r>
      <w:r>
        <w:rPr>
          <w:color w:val="231F20"/>
          <w:spacing w:val="-7"/>
        </w:rPr>
        <w:t> </w:t>
      </w:r>
      <w:r>
        <w:rPr>
          <w:color w:val="231F20"/>
        </w:rPr>
        <w:t>accounts,</w:t>
      </w:r>
      <w:r>
        <w:rPr>
          <w:color w:val="231F20"/>
          <w:spacing w:val="23"/>
          <w:w w:val="99"/>
        </w:rPr>
        <w:t> </w:t>
      </w:r>
      <w:r>
        <w:rPr>
          <w:color w:val="231F20"/>
        </w:rPr>
        <w:t>excluding</w:t>
      </w:r>
      <w:r>
        <w:rPr>
          <w:color w:val="231F20"/>
          <w:spacing w:val="-8"/>
        </w:rPr>
        <w:t> </w:t>
      </w:r>
      <w:r>
        <w:rPr>
          <w:color w:val="231F20"/>
        </w:rPr>
        <w:t>depreciation,</w:t>
      </w:r>
      <w:r>
        <w:rPr>
          <w:color w:val="231F20"/>
          <w:spacing w:val="-7"/>
        </w:rPr>
        <w:t> </w:t>
      </w:r>
      <w:r>
        <w:rPr>
          <w:color w:val="231F20"/>
        </w:rPr>
        <w:t>have</w:t>
      </w:r>
      <w:r>
        <w:rPr>
          <w:color w:val="231F20"/>
          <w:spacing w:val="-8"/>
        </w:rPr>
        <w:t> </w:t>
      </w:r>
      <w:r>
        <w:rPr>
          <w:color w:val="231F20"/>
        </w:rPr>
        <w:t>been</w:t>
      </w:r>
      <w:r>
        <w:rPr>
          <w:color w:val="231F20"/>
          <w:spacing w:val="-7"/>
        </w:rPr>
        <w:t> </w:t>
      </w:r>
      <w:r>
        <w:rPr>
          <w:color w:val="231F20"/>
        </w:rPr>
        <w:t>used</w:t>
      </w:r>
      <w:r>
        <w:rPr>
          <w:color w:val="231F20"/>
          <w:spacing w:val="-8"/>
        </w:rPr>
        <w:t> </w:t>
      </w:r>
      <w:r>
        <w:rPr>
          <w:color w:val="231F20"/>
        </w:rPr>
        <w:t>with</w:t>
      </w:r>
      <w:r>
        <w:rPr>
          <w:color w:val="231F20"/>
          <w:w w:val="99"/>
        </w:rPr>
        <w:t> </w:t>
      </w:r>
      <w:r>
        <w:rPr>
          <w:color w:val="231F20"/>
        </w:rPr>
        <w:t>relevant</w:t>
      </w:r>
      <w:r>
        <w:rPr>
          <w:color w:val="231F20"/>
          <w:spacing w:val="-9"/>
        </w:rPr>
        <w:t> </w:t>
      </w:r>
      <w:r>
        <w:rPr>
          <w:color w:val="231F20"/>
        </w:rPr>
        <w:t>adjustments.</w:t>
      </w:r>
      <w:r>
        <w:rPr/>
      </w:r>
    </w:p>
    <w:p>
      <w:pPr>
        <w:spacing w:line="240" w:lineRule="auto" w:before="10"/>
        <w:rPr>
          <w:rFonts w:ascii="Segoe UI" w:hAnsi="Segoe UI" w:cs="Segoe UI" w:eastAsia="Segoe UI"/>
          <w:sz w:val="20"/>
          <w:szCs w:val="20"/>
        </w:rPr>
      </w:pPr>
    </w:p>
    <w:p>
      <w:pPr>
        <w:spacing w:before="0"/>
        <w:ind w:left="100" w:right="0" w:firstLine="0"/>
        <w:jc w:val="left"/>
        <w:rPr>
          <w:rFonts w:ascii="Segoe UI" w:hAnsi="Segoe UI" w:cs="Segoe UI" w:eastAsia="Segoe UI"/>
          <w:sz w:val="32"/>
          <w:szCs w:val="32"/>
        </w:rPr>
      </w:pPr>
      <w:r>
        <w:rPr>
          <w:rFonts w:ascii="Segoe UI"/>
          <w:b/>
          <w:color w:val="452A70"/>
          <w:spacing w:val="-1"/>
          <w:sz w:val="32"/>
        </w:rPr>
        <w:t>Data</w:t>
      </w:r>
      <w:r>
        <w:rPr>
          <w:rFonts w:ascii="Segoe UI"/>
          <w:b/>
          <w:color w:val="452A70"/>
          <w:sz w:val="32"/>
        </w:rPr>
        <w:t> </w:t>
      </w:r>
      <w:r>
        <w:rPr>
          <w:rFonts w:ascii="Segoe UI"/>
          <w:b/>
          <w:color w:val="452A70"/>
          <w:spacing w:val="-1"/>
          <w:sz w:val="32"/>
        </w:rPr>
        <w:t>limitations</w:t>
      </w:r>
      <w:r>
        <w:rPr>
          <w:rFonts w:ascii="Segoe UI"/>
          <w:sz w:val="32"/>
        </w:rPr>
      </w:r>
    </w:p>
    <w:p>
      <w:pPr>
        <w:pStyle w:val="BodyText"/>
        <w:spacing w:line="250" w:lineRule="exact" w:before="111"/>
        <w:ind w:left="100" w:right="307"/>
        <w:jc w:val="left"/>
      </w:pPr>
      <w:r>
        <w:rPr>
          <w:color w:val="231F20"/>
          <w:spacing w:val="-4"/>
        </w:rPr>
        <w:t>W</w:t>
      </w:r>
      <w:r>
        <w:rPr>
          <w:color w:val="231F20"/>
          <w:spacing w:val="-5"/>
        </w:rPr>
        <w:t>e</w:t>
      </w:r>
      <w:r>
        <w:rPr>
          <w:color w:val="231F20"/>
          <w:spacing w:val="-4"/>
        </w:rPr>
        <w:t> </w:t>
      </w:r>
      <w:r>
        <w:rPr>
          <w:color w:val="231F20"/>
        </w:rPr>
        <w:t>note</w:t>
      </w:r>
      <w:r>
        <w:rPr>
          <w:color w:val="231F20"/>
          <w:spacing w:val="-4"/>
        </w:rPr>
        <w:t> </w:t>
      </w:r>
      <w:r>
        <w:rPr>
          <w:color w:val="231F20"/>
        </w:rPr>
        <w:t>that</w:t>
      </w:r>
      <w:r>
        <w:rPr>
          <w:color w:val="231F20"/>
          <w:spacing w:val="-5"/>
        </w:rPr>
        <w:t> </w:t>
      </w:r>
      <w:r>
        <w:rPr>
          <w:color w:val="231F20"/>
        </w:rPr>
        <w:t>recurrent</w:t>
      </w:r>
      <w:r>
        <w:rPr>
          <w:color w:val="231F20"/>
          <w:spacing w:val="-4"/>
        </w:rPr>
        <w:t> </w:t>
      </w:r>
      <w:r>
        <w:rPr>
          <w:color w:val="231F20"/>
        </w:rPr>
        <w:t>costs</w:t>
      </w:r>
      <w:r>
        <w:rPr>
          <w:color w:val="231F20"/>
          <w:spacing w:val="-5"/>
        </w:rPr>
        <w:t> </w:t>
      </w:r>
      <w:r>
        <w:rPr>
          <w:color w:val="231F20"/>
          <w:spacing w:val="-1"/>
        </w:rPr>
        <w:t>in</w:t>
      </w:r>
      <w:r>
        <w:rPr>
          <w:color w:val="231F20"/>
          <w:spacing w:val="-3"/>
        </w:rPr>
        <w:t> </w:t>
      </w:r>
      <w:r>
        <w:rPr>
          <w:color w:val="231F20"/>
        </w:rPr>
        <w:t>the</w:t>
      </w:r>
      <w:r>
        <w:rPr>
          <w:color w:val="231F20"/>
          <w:spacing w:val="-4"/>
        </w:rPr>
        <w:t> </w:t>
      </w:r>
      <w:r>
        <w:rPr>
          <w:color w:val="231F20"/>
        </w:rPr>
        <w:t>three-</w:t>
      </w:r>
      <w:r>
        <w:rPr>
          <w:color w:val="231F20"/>
          <w:spacing w:val="21"/>
          <w:w w:val="99"/>
        </w:rPr>
        <w:t> </w:t>
      </w:r>
      <w:r>
        <w:rPr>
          <w:color w:val="231F20"/>
        </w:rPr>
        <w:t>year</w:t>
      </w:r>
      <w:r>
        <w:rPr>
          <w:color w:val="231F20"/>
          <w:spacing w:val="-5"/>
        </w:rPr>
        <w:t> </w:t>
      </w:r>
      <w:r>
        <w:rPr>
          <w:color w:val="231F20"/>
        </w:rPr>
        <w:t>trend</w:t>
      </w:r>
      <w:r>
        <w:rPr>
          <w:color w:val="231F20"/>
          <w:spacing w:val="-6"/>
        </w:rPr>
        <w:t> </w:t>
      </w:r>
      <w:r>
        <w:rPr>
          <w:color w:val="231F20"/>
        </w:rPr>
        <w:t>data</w:t>
      </w:r>
      <w:r>
        <w:rPr>
          <w:color w:val="231F20"/>
          <w:spacing w:val="-6"/>
        </w:rPr>
        <w:t> </w:t>
      </w:r>
      <w:r>
        <w:rPr>
          <w:color w:val="231F20"/>
        </w:rPr>
        <w:t>excludes</w:t>
      </w:r>
      <w:r>
        <w:rPr>
          <w:color w:val="231F20"/>
          <w:spacing w:val="-6"/>
        </w:rPr>
        <w:t> </w:t>
      </w:r>
      <w:r>
        <w:rPr>
          <w:color w:val="231F20"/>
        </w:rPr>
        <w:t>depreciation.</w:t>
      </w:r>
      <w:r>
        <w:rPr>
          <w:color w:val="231F20"/>
          <w:spacing w:val="-5"/>
        </w:rPr>
        <w:t> </w:t>
      </w:r>
      <w:r>
        <w:rPr>
          <w:color w:val="231F20"/>
          <w:spacing w:val="-1"/>
        </w:rPr>
        <w:t>Whilst</w:t>
      </w:r>
      <w:r>
        <w:rPr>
          <w:color w:val="231F20"/>
          <w:spacing w:val="20"/>
        </w:rPr>
        <w:t> </w:t>
      </w:r>
      <w:r>
        <w:rPr>
          <w:color w:val="231F20"/>
        </w:rPr>
        <w:t>we</w:t>
      </w:r>
      <w:r>
        <w:rPr>
          <w:color w:val="231F20"/>
          <w:spacing w:val="-4"/>
        </w:rPr>
        <w:t> </w:t>
      </w:r>
      <w:r>
        <w:rPr>
          <w:color w:val="231F20"/>
        </w:rPr>
        <w:t>consider</w:t>
      </w:r>
      <w:r>
        <w:rPr>
          <w:color w:val="231F20"/>
          <w:spacing w:val="-3"/>
        </w:rPr>
        <w:t> </w:t>
      </w:r>
      <w:r>
        <w:rPr>
          <w:color w:val="231F20"/>
        </w:rPr>
        <w:t>that</w:t>
      </w:r>
      <w:r>
        <w:rPr>
          <w:color w:val="231F20"/>
          <w:spacing w:val="-4"/>
        </w:rPr>
        <w:t> </w:t>
      </w:r>
      <w:r>
        <w:rPr>
          <w:color w:val="231F20"/>
        </w:rPr>
        <w:t>this</w:t>
      </w:r>
      <w:r>
        <w:rPr>
          <w:color w:val="231F20"/>
          <w:spacing w:val="-3"/>
        </w:rPr>
        <w:t> </w:t>
      </w:r>
      <w:r>
        <w:rPr>
          <w:color w:val="231F20"/>
          <w:spacing w:val="-1"/>
        </w:rPr>
        <w:t>is</w:t>
      </w:r>
      <w:r>
        <w:rPr>
          <w:color w:val="231F20"/>
          <w:spacing w:val="-3"/>
        </w:rPr>
        <w:t> </w:t>
      </w:r>
      <w:r>
        <w:rPr>
          <w:color w:val="231F20"/>
        </w:rPr>
        <w:t>a</w:t>
      </w:r>
      <w:r>
        <w:rPr>
          <w:color w:val="231F20"/>
          <w:spacing w:val="-3"/>
        </w:rPr>
        <w:t> </w:t>
      </w:r>
      <w:r>
        <w:rPr>
          <w:color w:val="231F20"/>
          <w:spacing w:val="-1"/>
        </w:rPr>
        <w:t>limitation</w:t>
      </w:r>
      <w:r>
        <w:rPr>
          <w:color w:val="231F20"/>
          <w:spacing w:val="-2"/>
        </w:rPr>
        <w:t> </w:t>
      </w:r>
      <w:r>
        <w:rPr>
          <w:color w:val="231F20"/>
        </w:rPr>
        <w:t>of</w:t>
      </w:r>
      <w:r>
        <w:rPr>
          <w:color w:val="231F20"/>
          <w:spacing w:val="-3"/>
        </w:rPr>
        <w:t> </w:t>
      </w:r>
      <w:r>
        <w:rPr>
          <w:color w:val="231F20"/>
        </w:rPr>
        <w:t>the</w:t>
      </w:r>
      <w:r>
        <w:rPr>
          <w:color w:val="231F20"/>
          <w:spacing w:val="23"/>
          <w:w w:val="99"/>
        </w:rPr>
        <w:t> </w:t>
      </w:r>
      <w:r>
        <w:rPr>
          <w:color w:val="231F20"/>
        </w:rPr>
        <w:t>analysis,</w:t>
      </w:r>
      <w:r>
        <w:rPr>
          <w:color w:val="231F20"/>
          <w:spacing w:val="-5"/>
        </w:rPr>
        <w:t> </w:t>
      </w:r>
      <w:r>
        <w:rPr>
          <w:color w:val="231F20"/>
        </w:rPr>
        <w:t>we</w:t>
      </w:r>
      <w:r>
        <w:rPr>
          <w:color w:val="231F20"/>
          <w:spacing w:val="-4"/>
        </w:rPr>
        <w:t> </w:t>
      </w:r>
      <w:r>
        <w:rPr>
          <w:color w:val="231F20"/>
        </w:rPr>
        <w:t>note</w:t>
      </w:r>
      <w:r>
        <w:rPr>
          <w:color w:val="231F20"/>
          <w:spacing w:val="-4"/>
        </w:rPr>
        <w:t> </w:t>
      </w:r>
      <w:r>
        <w:rPr>
          <w:color w:val="231F20"/>
        </w:rPr>
        <w:t>that</w:t>
      </w:r>
      <w:r>
        <w:rPr>
          <w:color w:val="231F20"/>
          <w:spacing w:val="-4"/>
        </w:rPr>
        <w:t> </w:t>
      </w:r>
      <w:r>
        <w:rPr>
          <w:color w:val="231F20"/>
        </w:rPr>
        <w:t>this</w:t>
      </w:r>
      <w:r>
        <w:rPr>
          <w:color w:val="231F20"/>
          <w:spacing w:val="-4"/>
        </w:rPr>
        <w:t> </w:t>
      </w:r>
      <w:r>
        <w:rPr>
          <w:color w:val="231F20"/>
        </w:rPr>
        <w:t>treatment</w:t>
      </w:r>
      <w:r>
        <w:rPr>
          <w:color w:val="231F20"/>
          <w:spacing w:val="-4"/>
        </w:rPr>
        <w:t> </w:t>
      </w:r>
      <w:r>
        <w:rPr>
          <w:color w:val="231F20"/>
        </w:rPr>
        <w:t>ensures</w:t>
      </w:r>
      <w:r>
        <w:rPr>
          <w:color w:val="231F20"/>
        </w:rPr>
        <w:t> </w:t>
      </w:r>
      <w:r>
        <w:rPr>
          <w:rFonts w:ascii="Segoe UI"/>
          <w:color w:val="231F20"/>
        </w:rPr>
        <w:t>consistency with the definition of recurrent</w:t>
      </w:r>
      <w:r>
        <w:rPr>
          <w:rFonts w:ascii="Segoe UI"/>
          <w:color w:val="231F20"/>
        </w:rPr>
        <w:t> </w:t>
      </w:r>
      <w:r>
        <w:rPr>
          <w:color w:val="231F20"/>
        </w:rPr>
        <w:t>data</w:t>
      </w:r>
      <w:r>
        <w:rPr>
          <w:color w:val="231F20"/>
          <w:spacing w:val="-5"/>
        </w:rPr>
        <w:t> </w:t>
      </w:r>
      <w:r>
        <w:rPr>
          <w:color w:val="231F20"/>
          <w:spacing w:val="-1"/>
        </w:rPr>
        <w:t>in</w:t>
      </w:r>
      <w:r>
        <w:rPr>
          <w:color w:val="231F20"/>
          <w:spacing w:val="-4"/>
        </w:rPr>
        <w:t> </w:t>
      </w:r>
      <w:r>
        <w:rPr>
          <w:color w:val="231F20"/>
        </w:rPr>
        <w:t>the</w:t>
      </w:r>
      <w:r>
        <w:rPr>
          <w:color w:val="231F20"/>
          <w:spacing w:val="-4"/>
        </w:rPr>
        <w:t> </w:t>
      </w:r>
      <w:r>
        <w:rPr>
          <w:color w:val="231F20"/>
        </w:rPr>
        <w:t>available</w:t>
      </w:r>
      <w:r>
        <w:rPr>
          <w:color w:val="231F20"/>
          <w:spacing w:val="-5"/>
        </w:rPr>
        <w:t> </w:t>
      </w:r>
      <w:r>
        <w:rPr>
          <w:color w:val="231F20"/>
        </w:rPr>
        <w:t>data</w:t>
      </w:r>
      <w:r>
        <w:rPr>
          <w:color w:val="231F20"/>
          <w:spacing w:val="-4"/>
        </w:rPr>
        <w:t> </w:t>
      </w:r>
      <w:r>
        <w:rPr>
          <w:color w:val="231F20"/>
        </w:rPr>
        <w:t>and</w:t>
      </w:r>
      <w:r>
        <w:rPr>
          <w:color w:val="231F20"/>
          <w:spacing w:val="-4"/>
        </w:rPr>
        <w:t> </w:t>
      </w:r>
      <w:r>
        <w:rPr>
          <w:color w:val="231F20"/>
        </w:rPr>
        <w:t>the</w:t>
      </w:r>
      <w:r>
        <w:rPr>
          <w:color w:val="231F20"/>
          <w:spacing w:val="-5"/>
        </w:rPr>
        <w:t> </w:t>
      </w:r>
      <w:r>
        <w:rPr>
          <w:color w:val="231F20"/>
        </w:rPr>
        <w:t>assumption</w:t>
      </w:r>
      <w:r>
        <w:rPr/>
      </w:r>
    </w:p>
    <w:p>
      <w:pPr>
        <w:pStyle w:val="BodyText"/>
        <w:spacing w:line="250" w:lineRule="exact"/>
        <w:ind w:left="100" w:right="116"/>
        <w:jc w:val="left"/>
      </w:pPr>
      <w:r>
        <w:rPr>
          <w:color w:val="231F20"/>
          <w:spacing w:val="-1"/>
        </w:rPr>
        <w:t>is</w:t>
      </w:r>
      <w:r>
        <w:rPr>
          <w:color w:val="231F20"/>
          <w:spacing w:val="-6"/>
        </w:rPr>
        <w:t> </w:t>
      </w:r>
      <w:r>
        <w:rPr>
          <w:color w:val="231F20"/>
        </w:rPr>
        <w:t>consistently</w:t>
      </w:r>
      <w:r>
        <w:rPr>
          <w:color w:val="231F20"/>
          <w:spacing w:val="-5"/>
        </w:rPr>
        <w:t> </w:t>
      </w:r>
      <w:r>
        <w:rPr>
          <w:color w:val="231F20"/>
        </w:rPr>
        <w:t>applied</w:t>
      </w:r>
      <w:r>
        <w:rPr>
          <w:color w:val="231F20"/>
          <w:spacing w:val="-5"/>
        </w:rPr>
        <w:t> </w:t>
      </w:r>
      <w:r>
        <w:rPr>
          <w:color w:val="231F20"/>
        </w:rPr>
        <w:t>to</w:t>
      </w:r>
      <w:r>
        <w:rPr>
          <w:color w:val="231F20"/>
          <w:spacing w:val="-4"/>
        </w:rPr>
        <w:t> </w:t>
      </w:r>
      <w:r>
        <w:rPr>
          <w:color w:val="231F20"/>
        </w:rPr>
        <w:t>all</w:t>
      </w:r>
      <w:r>
        <w:rPr>
          <w:color w:val="231F20"/>
          <w:spacing w:val="-5"/>
        </w:rPr>
        <w:t> </w:t>
      </w:r>
      <w:r>
        <w:rPr>
          <w:color w:val="231F20"/>
        </w:rPr>
        <w:t>boarding</w:t>
      </w:r>
      <w:r>
        <w:rPr>
          <w:color w:val="231F20"/>
          <w:spacing w:val="-5"/>
        </w:rPr>
        <w:t> </w:t>
      </w:r>
      <w:r>
        <w:rPr>
          <w:color w:val="231F20"/>
        </w:rPr>
        <w:t>providers</w:t>
      </w:r>
      <w:r>
        <w:rPr>
          <w:color w:val="231F20"/>
          <w:spacing w:val="21"/>
          <w:w w:val="99"/>
        </w:rPr>
        <w:t> </w:t>
      </w:r>
      <w:r>
        <w:rPr>
          <w:color w:val="231F20"/>
          <w:spacing w:val="-1"/>
        </w:rPr>
        <w:t>included</w:t>
      </w:r>
      <w:r>
        <w:rPr>
          <w:color w:val="231F20"/>
          <w:spacing w:val="-4"/>
        </w:rPr>
        <w:t> </w:t>
      </w:r>
      <w:r>
        <w:rPr>
          <w:color w:val="231F20"/>
          <w:spacing w:val="-1"/>
        </w:rPr>
        <w:t>in</w:t>
      </w:r>
      <w:r>
        <w:rPr>
          <w:color w:val="231F20"/>
          <w:spacing w:val="-3"/>
        </w:rPr>
        <w:t> </w:t>
      </w:r>
      <w:r>
        <w:rPr>
          <w:color w:val="231F20"/>
        </w:rPr>
        <w:t>the</w:t>
      </w:r>
      <w:r>
        <w:rPr>
          <w:color w:val="231F20"/>
          <w:spacing w:val="-5"/>
        </w:rPr>
        <w:t> </w:t>
      </w:r>
      <w:r>
        <w:rPr>
          <w:color w:val="231F20"/>
        </w:rPr>
        <w:t>analysis.</w:t>
      </w:r>
      <w:r>
        <w:rPr/>
      </w:r>
    </w:p>
    <w:p>
      <w:pPr>
        <w:pStyle w:val="BodyText"/>
        <w:spacing w:line="250" w:lineRule="exact" w:before="113"/>
        <w:ind w:left="100" w:right="140"/>
        <w:jc w:val="left"/>
      </w:pPr>
      <w:r>
        <w:rPr>
          <w:color w:val="231F20"/>
        </w:rPr>
        <w:t>The</w:t>
      </w:r>
      <w:r>
        <w:rPr>
          <w:color w:val="231F20"/>
          <w:spacing w:val="-6"/>
        </w:rPr>
        <w:t> </w:t>
      </w:r>
      <w:r>
        <w:rPr>
          <w:color w:val="231F20"/>
          <w:spacing w:val="-1"/>
        </w:rPr>
        <w:t>split</w:t>
      </w:r>
      <w:r>
        <w:rPr>
          <w:color w:val="231F20"/>
          <w:spacing w:val="-6"/>
        </w:rPr>
        <w:t> </w:t>
      </w:r>
      <w:r>
        <w:rPr>
          <w:color w:val="231F20"/>
        </w:rPr>
        <w:t>between</w:t>
      </w:r>
      <w:r>
        <w:rPr>
          <w:color w:val="231F20"/>
          <w:spacing w:val="-7"/>
        </w:rPr>
        <w:t> </w:t>
      </w:r>
      <w:r>
        <w:rPr>
          <w:color w:val="231F20"/>
        </w:rPr>
        <w:t>tuition</w:t>
      </w:r>
      <w:r>
        <w:rPr>
          <w:color w:val="231F20"/>
          <w:spacing w:val="-7"/>
        </w:rPr>
        <w:t> </w:t>
      </w:r>
      <w:r>
        <w:rPr>
          <w:color w:val="231F20"/>
        </w:rPr>
        <w:t>and</w:t>
      </w:r>
      <w:r>
        <w:rPr>
          <w:color w:val="231F20"/>
          <w:spacing w:val="-7"/>
        </w:rPr>
        <w:t> </w:t>
      </w:r>
      <w:r>
        <w:rPr>
          <w:color w:val="231F20"/>
        </w:rPr>
        <w:t>boarding</w:t>
      </w:r>
      <w:r>
        <w:rPr>
          <w:color w:val="231F20"/>
          <w:spacing w:val="-6"/>
        </w:rPr>
        <w:t> </w:t>
      </w:r>
      <w:r>
        <w:rPr>
          <w:color w:val="231F20"/>
        </w:rPr>
        <w:t>revenue</w:t>
      </w:r>
      <w:r>
        <w:rPr>
          <w:color w:val="231F20"/>
          <w:spacing w:val="21"/>
          <w:w w:val="99"/>
        </w:rPr>
        <w:t> </w:t>
      </w:r>
      <w:r>
        <w:rPr>
          <w:color w:val="231F20"/>
        </w:rPr>
        <w:t>and</w:t>
      </w:r>
      <w:r>
        <w:rPr>
          <w:color w:val="231F20"/>
          <w:spacing w:val="-5"/>
        </w:rPr>
        <w:t> </w:t>
      </w:r>
      <w:r>
        <w:rPr>
          <w:color w:val="231F20"/>
        </w:rPr>
        <w:t>costs</w:t>
      </w:r>
      <w:r>
        <w:rPr>
          <w:color w:val="231F20"/>
          <w:spacing w:val="-4"/>
        </w:rPr>
        <w:t> </w:t>
      </w:r>
      <w:r>
        <w:rPr>
          <w:color w:val="231F20"/>
          <w:spacing w:val="-1"/>
        </w:rPr>
        <w:t>in</w:t>
      </w:r>
      <w:r>
        <w:rPr>
          <w:color w:val="231F20"/>
          <w:spacing w:val="-4"/>
        </w:rPr>
        <w:t> </w:t>
      </w:r>
      <w:r>
        <w:rPr>
          <w:color w:val="231F20"/>
        </w:rPr>
        <w:t>the</w:t>
      </w:r>
      <w:r>
        <w:rPr>
          <w:color w:val="231F20"/>
          <w:spacing w:val="-4"/>
        </w:rPr>
        <w:t> </w:t>
      </w:r>
      <w:r>
        <w:rPr>
          <w:color w:val="231F20"/>
        </w:rPr>
        <w:t>three-year</w:t>
      </w:r>
      <w:r>
        <w:rPr>
          <w:color w:val="231F20"/>
          <w:spacing w:val="-5"/>
        </w:rPr>
        <w:t> </w:t>
      </w:r>
      <w:r>
        <w:rPr>
          <w:color w:val="231F20"/>
        </w:rPr>
        <w:t>trend</w:t>
      </w:r>
      <w:r>
        <w:rPr>
          <w:color w:val="231F20"/>
          <w:spacing w:val="-4"/>
        </w:rPr>
        <w:t> </w:t>
      </w:r>
      <w:r>
        <w:rPr>
          <w:color w:val="231F20"/>
        </w:rPr>
        <w:t>data</w:t>
      </w:r>
      <w:r>
        <w:rPr>
          <w:color w:val="231F20"/>
          <w:spacing w:val="-4"/>
        </w:rPr>
        <w:t> </w:t>
      </w:r>
      <w:r>
        <w:rPr>
          <w:color w:val="231F20"/>
          <w:spacing w:val="-1"/>
        </w:rPr>
        <w:t>is</w:t>
      </w:r>
      <w:r>
        <w:rPr/>
      </w:r>
    </w:p>
    <w:p>
      <w:pPr>
        <w:pStyle w:val="BodyText"/>
        <w:spacing w:line="250" w:lineRule="exact"/>
        <w:ind w:left="100" w:right="306"/>
        <w:jc w:val="left"/>
      </w:pPr>
      <w:r>
        <w:rPr>
          <w:color w:val="231F20"/>
        </w:rPr>
        <w:t>based</w:t>
      </w:r>
      <w:r>
        <w:rPr>
          <w:color w:val="231F20"/>
          <w:spacing w:val="-6"/>
        </w:rPr>
        <w:t> </w:t>
      </w:r>
      <w:r>
        <w:rPr>
          <w:color w:val="231F20"/>
        </w:rPr>
        <w:t>on</w:t>
      </w:r>
      <w:r>
        <w:rPr>
          <w:color w:val="231F20"/>
          <w:spacing w:val="-4"/>
        </w:rPr>
        <w:t> </w:t>
      </w:r>
      <w:r>
        <w:rPr>
          <w:color w:val="231F20"/>
        </w:rPr>
        <w:t>high</w:t>
      </w:r>
      <w:r>
        <w:rPr>
          <w:color w:val="231F20"/>
          <w:spacing w:val="-5"/>
        </w:rPr>
        <w:t> </w:t>
      </w:r>
      <w:r>
        <w:rPr>
          <w:color w:val="231F20"/>
          <w:spacing w:val="-1"/>
        </w:rPr>
        <w:t>level</w:t>
      </w:r>
      <w:r>
        <w:rPr>
          <w:color w:val="231F20"/>
          <w:spacing w:val="-5"/>
        </w:rPr>
        <w:t> </w:t>
      </w:r>
      <w:r>
        <w:rPr>
          <w:color w:val="231F20"/>
        </w:rPr>
        <w:t>estimations</w:t>
      </w:r>
      <w:r>
        <w:rPr>
          <w:color w:val="231F20"/>
          <w:spacing w:val="-5"/>
        </w:rPr>
        <w:t> </w:t>
      </w:r>
      <w:r>
        <w:rPr>
          <w:color w:val="231F20"/>
        </w:rPr>
        <w:t>undertaken</w:t>
      </w:r>
      <w:r>
        <w:rPr>
          <w:color w:val="231F20"/>
          <w:spacing w:val="21"/>
          <w:w w:val="99"/>
        </w:rPr>
        <w:t> </w:t>
      </w:r>
      <w:r>
        <w:rPr>
          <w:color w:val="231F20"/>
        </w:rPr>
        <w:t>by</w:t>
      </w:r>
      <w:r>
        <w:rPr>
          <w:color w:val="231F20"/>
          <w:spacing w:val="-5"/>
        </w:rPr>
        <w:t> </w:t>
      </w:r>
      <w:r>
        <w:rPr>
          <w:color w:val="231F20"/>
        </w:rPr>
        <w:t>boarding</w:t>
      </w:r>
      <w:r>
        <w:rPr>
          <w:color w:val="231F20"/>
          <w:spacing w:val="-6"/>
        </w:rPr>
        <w:t> </w:t>
      </w:r>
      <w:r>
        <w:rPr>
          <w:color w:val="231F20"/>
        </w:rPr>
        <w:t>providers.</w:t>
      </w:r>
      <w:r>
        <w:rPr>
          <w:color w:val="231F20"/>
          <w:spacing w:val="-5"/>
        </w:rPr>
        <w:t> </w:t>
      </w:r>
      <w:r>
        <w:rPr>
          <w:color w:val="231F20"/>
        </w:rPr>
        <w:t>A</w:t>
      </w:r>
      <w:r>
        <w:rPr>
          <w:color w:val="231F20"/>
          <w:spacing w:val="-5"/>
        </w:rPr>
        <w:t> </w:t>
      </w:r>
      <w:r>
        <w:rPr>
          <w:color w:val="231F20"/>
          <w:spacing w:val="-1"/>
        </w:rPr>
        <w:t>small</w:t>
      </w:r>
      <w:r>
        <w:rPr>
          <w:color w:val="231F20"/>
          <w:spacing w:val="-4"/>
        </w:rPr>
        <w:t> </w:t>
      </w:r>
      <w:r>
        <w:rPr>
          <w:color w:val="231F20"/>
        </w:rPr>
        <w:t>number</w:t>
      </w:r>
      <w:r>
        <w:rPr>
          <w:color w:val="231F20"/>
          <w:spacing w:val="-6"/>
        </w:rPr>
        <w:t> </w:t>
      </w:r>
      <w:r>
        <w:rPr>
          <w:color w:val="231F20"/>
        </w:rPr>
        <w:t>of</w:t>
      </w:r>
      <w:r>
        <w:rPr>
          <w:color w:val="231F20"/>
          <w:spacing w:val="21"/>
          <w:w w:val="99"/>
        </w:rPr>
        <w:t> </w:t>
      </w:r>
      <w:r>
        <w:rPr>
          <w:color w:val="231F20"/>
        </w:rPr>
        <w:t>boarding</w:t>
      </w:r>
      <w:r>
        <w:rPr>
          <w:color w:val="231F20"/>
          <w:spacing w:val="-8"/>
        </w:rPr>
        <w:t> </w:t>
      </w:r>
      <w:r>
        <w:rPr>
          <w:color w:val="231F20"/>
        </w:rPr>
        <w:t>providers</w:t>
      </w:r>
      <w:r>
        <w:rPr>
          <w:color w:val="231F20"/>
          <w:spacing w:val="-8"/>
        </w:rPr>
        <w:t> </w:t>
      </w:r>
      <w:r>
        <w:rPr>
          <w:color w:val="231F20"/>
        </w:rPr>
        <w:t>also</w:t>
      </w:r>
      <w:r>
        <w:rPr>
          <w:color w:val="231F20"/>
          <w:spacing w:val="-7"/>
        </w:rPr>
        <w:t> </w:t>
      </w:r>
      <w:r>
        <w:rPr>
          <w:color w:val="231F20"/>
        </w:rPr>
        <w:t>undertake</w:t>
      </w:r>
      <w:r>
        <w:rPr>
          <w:color w:val="231F20"/>
          <w:spacing w:val="-8"/>
        </w:rPr>
        <w:t> </w:t>
      </w:r>
      <w:r>
        <w:rPr>
          <w:color w:val="231F20"/>
        </w:rPr>
        <w:t>a</w:t>
      </w:r>
      <w:r>
        <w:rPr>
          <w:color w:val="231F20"/>
          <w:spacing w:val="-7"/>
        </w:rPr>
        <w:t> </w:t>
      </w:r>
      <w:r>
        <w:rPr>
          <w:color w:val="231F20"/>
        </w:rPr>
        <w:t>detailed</w:t>
      </w:r>
      <w:r>
        <w:rPr/>
      </w:r>
    </w:p>
    <w:p>
      <w:pPr>
        <w:pStyle w:val="BodyText"/>
        <w:spacing w:line="242" w:lineRule="exact"/>
        <w:ind w:left="100" w:right="0"/>
        <w:jc w:val="left"/>
      </w:pPr>
      <w:r>
        <w:rPr>
          <w:color w:val="231F20"/>
        </w:rPr>
        <w:t>attribution</w:t>
      </w:r>
      <w:r>
        <w:rPr>
          <w:color w:val="231F20"/>
          <w:spacing w:val="-7"/>
        </w:rPr>
        <w:t> </w:t>
      </w:r>
      <w:r>
        <w:rPr>
          <w:color w:val="231F20"/>
        </w:rPr>
        <w:t>of</w:t>
      </w:r>
      <w:r>
        <w:rPr>
          <w:color w:val="231F20"/>
          <w:spacing w:val="-6"/>
        </w:rPr>
        <w:t> </w:t>
      </w:r>
      <w:r>
        <w:rPr>
          <w:color w:val="231F20"/>
        </w:rPr>
        <w:t>direct</w:t>
      </w:r>
      <w:r>
        <w:rPr>
          <w:color w:val="231F20"/>
          <w:spacing w:val="-7"/>
        </w:rPr>
        <w:t> </w:t>
      </w:r>
      <w:r>
        <w:rPr>
          <w:color w:val="231F20"/>
        </w:rPr>
        <w:t>and</w:t>
      </w:r>
      <w:r>
        <w:rPr>
          <w:color w:val="231F20"/>
          <w:spacing w:val="-6"/>
        </w:rPr>
        <w:t> </w:t>
      </w:r>
      <w:r>
        <w:rPr>
          <w:color w:val="231F20"/>
          <w:spacing w:val="-1"/>
        </w:rPr>
        <w:t>indirect</w:t>
      </w:r>
      <w:r>
        <w:rPr>
          <w:color w:val="231F20"/>
          <w:spacing w:val="-6"/>
        </w:rPr>
        <w:t> </w:t>
      </w:r>
      <w:r>
        <w:rPr>
          <w:color w:val="231F20"/>
        </w:rPr>
        <w:t>boarding</w:t>
      </w:r>
      <w:r>
        <w:rPr>
          <w:color w:val="231F20"/>
          <w:spacing w:val="-7"/>
        </w:rPr>
        <w:t> </w:t>
      </w:r>
      <w:r>
        <w:rPr>
          <w:color w:val="231F20"/>
        </w:rPr>
        <w:t>costs</w:t>
      </w:r>
      <w:r>
        <w:rPr/>
      </w:r>
    </w:p>
    <w:p>
      <w:pPr>
        <w:pStyle w:val="BodyText"/>
        <w:spacing w:line="250" w:lineRule="exact"/>
        <w:ind w:left="100" w:right="0"/>
        <w:jc w:val="left"/>
        <w:rPr>
          <w:rFonts w:ascii="Segoe UI" w:hAnsi="Segoe UI" w:cs="Segoe UI" w:eastAsia="Segoe UI"/>
        </w:rPr>
      </w:pPr>
      <w:r>
        <w:rPr>
          <w:rFonts w:ascii="Segoe UI"/>
          <w:color w:val="231F20"/>
        </w:rPr>
        <w:t>incurred to reflect the true cost of boarding</w:t>
      </w:r>
      <w:r>
        <w:rPr>
          <w:rFonts w:ascii="Segoe UI"/>
        </w:rPr>
      </w:r>
    </w:p>
    <w:p>
      <w:pPr>
        <w:pStyle w:val="BodyText"/>
        <w:spacing w:line="250" w:lineRule="exact" w:before="8"/>
        <w:ind w:left="100" w:right="142"/>
        <w:jc w:val="left"/>
      </w:pPr>
      <w:r>
        <w:rPr>
          <w:color w:val="231F20"/>
        </w:rPr>
        <w:t>for</w:t>
      </w:r>
      <w:r>
        <w:rPr>
          <w:color w:val="231F20"/>
          <w:spacing w:val="-6"/>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6"/>
        </w:rPr>
        <w:t> </w:t>
      </w:r>
      <w:r>
        <w:rPr>
          <w:color w:val="231F20"/>
          <w:spacing w:val="-1"/>
        </w:rPr>
        <w:t>Islander</w:t>
      </w:r>
      <w:r>
        <w:rPr>
          <w:color w:val="231F20"/>
          <w:spacing w:val="29"/>
          <w:w w:val="99"/>
        </w:rPr>
        <w:t> </w:t>
      </w:r>
      <w:r>
        <w:rPr>
          <w:color w:val="231F20"/>
          <w:spacing w:val="-1"/>
        </w:rPr>
        <w:t>students.</w:t>
      </w:r>
      <w:r>
        <w:rPr>
          <w:color w:val="231F20"/>
          <w:spacing w:val="-4"/>
        </w:rPr>
        <w:t> </w:t>
      </w:r>
      <w:r>
        <w:rPr>
          <w:color w:val="231F20"/>
        </w:rPr>
        <w:t>Given</w:t>
      </w:r>
      <w:r>
        <w:rPr>
          <w:color w:val="231F20"/>
          <w:spacing w:val="-5"/>
        </w:rPr>
        <w:t> </w:t>
      </w:r>
      <w:r>
        <w:rPr>
          <w:color w:val="231F20"/>
        </w:rPr>
        <w:t>the</w:t>
      </w:r>
      <w:r>
        <w:rPr>
          <w:color w:val="231F20"/>
          <w:spacing w:val="-5"/>
        </w:rPr>
        <w:t> </w:t>
      </w:r>
      <w:r>
        <w:rPr>
          <w:color w:val="231F20"/>
          <w:spacing w:val="-1"/>
        </w:rPr>
        <w:t>limited</w:t>
      </w:r>
      <w:r>
        <w:rPr>
          <w:color w:val="231F20"/>
          <w:spacing w:val="-5"/>
        </w:rPr>
        <w:t> </w:t>
      </w:r>
      <w:r>
        <w:rPr>
          <w:color w:val="231F20"/>
        </w:rPr>
        <w:t>number</w:t>
      </w:r>
      <w:r>
        <w:rPr>
          <w:color w:val="231F20"/>
          <w:spacing w:val="-5"/>
        </w:rPr>
        <w:t> </w:t>
      </w:r>
      <w:r>
        <w:rPr>
          <w:color w:val="231F20"/>
        </w:rPr>
        <w:t>of</w:t>
      </w:r>
      <w:r>
        <w:rPr>
          <w:color w:val="231F20"/>
          <w:spacing w:val="-5"/>
        </w:rPr>
        <w:t> </w:t>
      </w:r>
      <w:r>
        <w:rPr>
          <w:color w:val="231F20"/>
        </w:rPr>
        <w:t>boarding</w:t>
      </w:r>
      <w:r>
        <w:rPr>
          <w:color w:val="231F20"/>
          <w:spacing w:val="23"/>
          <w:w w:val="99"/>
        </w:rPr>
        <w:t> </w:t>
      </w:r>
      <w:r>
        <w:rPr>
          <w:color w:val="231F20"/>
        </w:rPr>
        <w:t>providers</w:t>
      </w:r>
      <w:r>
        <w:rPr>
          <w:color w:val="231F20"/>
          <w:spacing w:val="-8"/>
        </w:rPr>
        <w:t> </w:t>
      </w:r>
      <w:r>
        <w:rPr>
          <w:color w:val="231F20"/>
        </w:rPr>
        <w:t>that</w:t>
      </w:r>
      <w:r>
        <w:rPr>
          <w:color w:val="231F20"/>
          <w:spacing w:val="-8"/>
        </w:rPr>
        <w:t> </w:t>
      </w:r>
      <w:r>
        <w:rPr>
          <w:color w:val="231F20"/>
        </w:rPr>
        <w:t>undertake</w:t>
      </w:r>
      <w:r>
        <w:rPr>
          <w:color w:val="231F20"/>
          <w:spacing w:val="-7"/>
        </w:rPr>
        <w:t> </w:t>
      </w:r>
      <w:r>
        <w:rPr>
          <w:color w:val="231F20"/>
        </w:rPr>
        <w:t>this</w:t>
      </w:r>
      <w:r>
        <w:rPr>
          <w:color w:val="231F20"/>
          <w:spacing w:val="-8"/>
        </w:rPr>
        <w:t> </w:t>
      </w:r>
      <w:r>
        <w:rPr>
          <w:color w:val="231F20"/>
        </w:rPr>
        <w:t>attribution,</w:t>
      </w:r>
      <w:r>
        <w:rPr>
          <w:color w:val="231F20"/>
          <w:spacing w:val="-8"/>
        </w:rPr>
        <w:t> </w:t>
      </w:r>
      <w:r>
        <w:rPr>
          <w:color w:val="231F20"/>
        </w:rPr>
        <w:t>the</w:t>
      </w:r>
      <w:r>
        <w:rPr>
          <w:color w:val="231F20"/>
          <w:w w:val="99"/>
        </w:rPr>
        <w:t> </w:t>
      </w:r>
      <w:r>
        <w:rPr>
          <w:color w:val="231F20"/>
        </w:rPr>
        <w:t>high</w:t>
      </w:r>
      <w:r>
        <w:rPr>
          <w:color w:val="231F20"/>
          <w:spacing w:val="-5"/>
        </w:rPr>
        <w:t> </w:t>
      </w:r>
      <w:r>
        <w:rPr>
          <w:color w:val="231F20"/>
          <w:spacing w:val="-1"/>
        </w:rPr>
        <w:t>level</w:t>
      </w:r>
      <w:r>
        <w:rPr>
          <w:color w:val="231F20"/>
          <w:spacing w:val="-4"/>
        </w:rPr>
        <w:t> </w:t>
      </w:r>
      <w:r>
        <w:rPr>
          <w:color w:val="231F20"/>
        </w:rPr>
        <w:t>estimate</w:t>
      </w:r>
      <w:r>
        <w:rPr>
          <w:color w:val="231F20"/>
          <w:spacing w:val="-5"/>
        </w:rPr>
        <w:t> </w:t>
      </w:r>
      <w:r>
        <w:rPr>
          <w:color w:val="231F20"/>
        </w:rPr>
        <w:t>by</w:t>
      </w:r>
      <w:r>
        <w:rPr>
          <w:color w:val="231F20"/>
          <w:spacing w:val="-3"/>
        </w:rPr>
        <w:t> </w:t>
      </w:r>
      <w:r>
        <w:rPr>
          <w:color w:val="231F20"/>
        </w:rPr>
        <w:t>boarding</w:t>
      </w:r>
      <w:r>
        <w:rPr>
          <w:color w:val="231F20"/>
          <w:spacing w:val="-5"/>
        </w:rPr>
        <w:t> </w:t>
      </w:r>
      <w:r>
        <w:rPr>
          <w:color w:val="231F20"/>
        </w:rPr>
        <w:t>providers</w:t>
      </w:r>
      <w:r>
        <w:rPr>
          <w:color w:val="231F20"/>
          <w:spacing w:val="-5"/>
        </w:rPr>
        <w:t> </w:t>
      </w:r>
      <w:r>
        <w:rPr>
          <w:color w:val="231F20"/>
          <w:spacing w:val="-1"/>
        </w:rPr>
        <w:t>is</w:t>
      </w:r>
      <w:r>
        <w:rPr>
          <w:color w:val="231F20"/>
          <w:spacing w:val="21"/>
        </w:rPr>
        <w:t> </w:t>
      </w:r>
      <w:r>
        <w:rPr>
          <w:color w:val="231F20"/>
        </w:rPr>
        <w:t>used</w:t>
      </w:r>
      <w:r>
        <w:rPr>
          <w:color w:val="231F20"/>
          <w:spacing w:val="-3"/>
        </w:rPr>
        <w:t> </w:t>
      </w:r>
      <w:r>
        <w:rPr>
          <w:color w:val="231F20"/>
        </w:rPr>
        <w:t>for</w:t>
      </w:r>
      <w:r>
        <w:rPr>
          <w:color w:val="231F20"/>
          <w:spacing w:val="-2"/>
        </w:rPr>
        <w:t> </w:t>
      </w:r>
      <w:r>
        <w:rPr>
          <w:color w:val="231F20"/>
        </w:rPr>
        <w:t>the</w:t>
      </w:r>
      <w:r>
        <w:rPr>
          <w:color w:val="231F20"/>
          <w:spacing w:val="-3"/>
        </w:rPr>
        <w:t> </w:t>
      </w:r>
      <w:r>
        <w:rPr>
          <w:color w:val="231F20"/>
        </w:rPr>
        <w:t>analysis</w:t>
      </w:r>
      <w:r>
        <w:rPr>
          <w:color w:val="231F20"/>
          <w:spacing w:val="-3"/>
        </w:rPr>
        <w:t> </w:t>
      </w:r>
      <w:r>
        <w:rPr>
          <w:color w:val="231F20"/>
          <w:spacing w:val="-1"/>
        </w:rPr>
        <w:t>in</w:t>
      </w:r>
      <w:r>
        <w:rPr>
          <w:color w:val="231F20"/>
          <w:spacing w:val="-2"/>
        </w:rPr>
        <w:t> </w:t>
      </w:r>
      <w:r>
        <w:rPr>
          <w:color w:val="231F20"/>
        </w:rPr>
        <w:t>this</w:t>
      </w:r>
      <w:r>
        <w:rPr>
          <w:color w:val="231F20"/>
          <w:spacing w:val="-3"/>
        </w:rPr>
        <w:t> </w:t>
      </w:r>
      <w:r>
        <w:rPr>
          <w:color w:val="231F20"/>
        </w:rPr>
        <w:t>report.</w:t>
      </w:r>
      <w:r>
        <w:rPr/>
      </w:r>
    </w:p>
    <w:p>
      <w:pPr>
        <w:spacing w:after="0" w:line="250" w:lineRule="exact"/>
        <w:jc w:val="left"/>
        <w:sectPr>
          <w:type w:val="continuous"/>
          <w:pgSz w:w="11910" w:h="16840"/>
          <w:pgMar w:top="1580" w:bottom="280" w:left="1600" w:right="1300"/>
          <w:cols w:num="2" w:equalWidth="0">
            <w:col w:w="4349" w:space="243"/>
            <w:col w:w="4418"/>
          </w:cols>
        </w:sectPr>
      </w:pPr>
    </w:p>
    <w:p>
      <w:pPr>
        <w:spacing w:line="240" w:lineRule="auto" w:before="0"/>
        <w:rPr>
          <w:rFonts w:ascii="Segoe UI" w:hAnsi="Segoe UI" w:cs="Segoe UI" w:eastAsia="Segoe UI"/>
          <w:sz w:val="20"/>
          <w:szCs w:val="20"/>
        </w:rPr>
      </w:pPr>
    </w:p>
    <w:p>
      <w:pPr>
        <w:spacing w:line="240" w:lineRule="auto" w:before="11"/>
        <w:rPr>
          <w:rFonts w:ascii="Segoe UI" w:hAnsi="Segoe UI" w:cs="Segoe UI" w:eastAsia="Segoe UI"/>
          <w:sz w:val="20"/>
          <w:szCs w:val="20"/>
        </w:rPr>
      </w:pPr>
    </w:p>
    <w:p>
      <w:pPr>
        <w:spacing w:after="0" w:line="240" w:lineRule="auto"/>
        <w:rPr>
          <w:rFonts w:ascii="Segoe UI" w:hAnsi="Segoe UI" w:cs="Segoe UI" w:eastAsia="Segoe UI"/>
          <w:sz w:val="20"/>
          <w:szCs w:val="20"/>
        </w:rPr>
        <w:sectPr>
          <w:footerReference w:type="even" r:id="rId26"/>
          <w:footerReference w:type="default" r:id="rId27"/>
          <w:pgSz w:w="11910" w:h="16840"/>
          <w:pgMar w:footer="691" w:header="0" w:top="1580" w:bottom="880" w:left="1300" w:right="1620"/>
        </w:sectPr>
      </w:pPr>
    </w:p>
    <w:p>
      <w:pPr>
        <w:pStyle w:val="BodyText"/>
        <w:spacing w:line="250" w:lineRule="exact" w:before="72"/>
        <w:ind w:left="145" w:right="66"/>
        <w:jc w:val="left"/>
      </w:pPr>
      <w:r>
        <w:rPr>
          <w:color w:val="231F20"/>
        </w:rPr>
        <w:t>The</w:t>
      </w:r>
      <w:r>
        <w:rPr>
          <w:color w:val="231F20"/>
          <w:spacing w:val="-5"/>
        </w:rPr>
        <w:t> </w:t>
      </w:r>
      <w:r>
        <w:rPr>
          <w:color w:val="231F20"/>
        </w:rPr>
        <w:t>three-year</w:t>
      </w:r>
      <w:r>
        <w:rPr>
          <w:color w:val="231F20"/>
          <w:spacing w:val="-6"/>
        </w:rPr>
        <w:t> </w:t>
      </w:r>
      <w:r>
        <w:rPr>
          <w:color w:val="231F20"/>
        </w:rPr>
        <w:t>trend</w:t>
      </w:r>
      <w:r>
        <w:rPr>
          <w:color w:val="231F20"/>
          <w:spacing w:val="-5"/>
        </w:rPr>
        <w:t> </w:t>
      </w:r>
      <w:r>
        <w:rPr>
          <w:color w:val="231F20"/>
        </w:rPr>
        <w:t>data</w:t>
      </w:r>
      <w:r>
        <w:rPr>
          <w:color w:val="231F20"/>
          <w:spacing w:val="-6"/>
        </w:rPr>
        <w:t> </w:t>
      </w:r>
      <w:r>
        <w:rPr>
          <w:color w:val="231F20"/>
          <w:spacing w:val="-1"/>
        </w:rPr>
        <w:t>includes</w:t>
      </w:r>
      <w:r>
        <w:rPr>
          <w:color w:val="231F20"/>
          <w:spacing w:val="-5"/>
        </w:rPr>
        <w:t> </w:t>
      </w:r>
      <w:r>
        <w:rPr>
          <w:color w:val="231F20"/>
        </w:rPr>
        <w:t>the</w:t>
      </w:r>
      <w:r>
        <w:rPr>
          <w:color w:val="231F20"/>
          <w:spacing w:val="-5"/>
        </w:rPr>
        <w:t> </w:t>
      </w:r>
      <w:r>
        <w:rPr>
          <w:color w:val="231F20"/>
          <w:spacing w:val="-5"/>
        </w:rPr>
      </w:r>
      <w:r>
        <w:rPr>
          <w:color w:val="231F20"/>
        </w:rPr>
        <w:t>total</w:t>
      </w:r>
      <w:r>
        <w:rPr>
          <w:color w:val="231F20"/>
          <w:spacing w:val="21"/>
        </w:rPr>
        <w:t> </w:t>
      </w:r>
      <w:r>
        <w:rPr>
          <w:color w:val="231F20"/>
        </w:rPr>
        <w:t>number</w:t>
      </w:r>
      <w:r>
        <w:rPr>
          <w:color w:val="231F20"/>
          <w:spacing w:val="-6"/>
        </w:rPr>
        <w:t> </w:t>
      </w:r>
      <w:r>
        <w:rPr>
          <w:color w:val="231F20"/>
        </w:rPr>
        <w:t>of</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 </w:t>
      </w:r>
      <w:r>
        <w:rPr>
          <w:color w:val="231F20"/>
          <w:spacing w:val="-2"/>
        </w:rPr>
        <w:t>Strait</w:t>
      </w:r>
      <w:r>
        <w:rPr/>
      </w:r>
    </w:p>
    <w:p>
      <w:pPr>
        <w:pStyle w:val="BodyText"/>
        <w:spacing w:line="250" w:lineRule="exact"/>
        <w:ind w:left="145" w:right="0"/>
        <w:jc w:val="left"/>
      </w:pPr>
      <w:r>
        <w:rPr>
          <w:color w:val="231F20"/>
          <w:spacing w:val="-1"/>
        </w:rPr>
        <w:t>Islander</w:t>
      </w:r>
      <w:r>
        <w:rPr>
          <w:color w:val="231F20"/>
          <w:spacing w:val="-5"/>
        </w:rPr>
        <w:t> </w:t>
      </w:r>
      <w:r>
        <w:rPr>
          <w:color w:val="231F20"/>
          <w:spacing w:val="-1"/>
        </w:rPr>
        <w:t>students</w:t>
      </w:r>
      <w:r>
        <w:rPr>
          <w:color w:val="231F20"/>
          <w:spacing w:val="-4"/>
        </w:rPr>
        <w:t> </w:t>
      </w:r>
      <w:r>
        <w:rPr>
          <w:color w:val="231F20"/>
        </w:rPr>
        <w:t>(boarding</w:t>
      </w:r>
      <w:r>
        <w:rPr>
          <w:color w:val="231F20"/>
          <w:spacing w:val="-6"/>
        </w:rPr>
        <w:t> </w:t>
      </w:r>
      <w:r>
        <w:rPr>
          <w:color w:val="231F20"/>
        </w:rPr>
        <w:t>and</w:t>
      </w:r>
      <w:r>
        <w:rPr>
          <w:color w:val="231F20"/>
          <w:spacing w:val="-5"/>
        </w:rPr>
        <w:t> </w:t>
      </w:r>
      <w:r>
        <w:rPr>
          <w:color w:val="231F20"/>
        </w:rPr>
        <w:t>day</w:t>
      </w:r>
      <w:r>
        <w:rPr>
          <w:color w:val="231F20"/>
          <w:spacing w:val="-5"/>
        </w:rPr>
        <w:t> </w:t>
      </w:r>
      <w:r>
        <w:rPr>
          <w:color w:val="231F20"/>
          <w:spacing w:val="-1"/>
        </w:rPr>
        <w:t>students</w:t>
      </w:r>
      <w:r>
        <w:rPr>
          <w:color w:val="231F20"/>
          <w:spacing w:val="22"/>
        </w:rPr>
        <w:t> </w:t>
      </w:r>
      <w:r>
        <w:rPr>
          <w:color w:val="231F20"/>
        </w:rPr>
        <w:t>combined)</w:t>
      </w:r>
      <w:r>
        <w:rPr>
          <w:color w:val="231F20"/>
          <w:spacing w:val="-8"/>
        </w:rPr>
        <w:t> </w:t>
      </w:r>
      <w:r>
        <w:rPr>
          <w:color w:val="231F20"/>
        </w:rPr>
        <w:t>and</w:t>
      </w:r>
      <w:r>
        <w:rPr>
          <w:color w:val="231F20"/>
          <w:spacing w:val="-7"/>
        </w:rPr>
        <w:t> </w:t>
      </w:r>
      <w:r>
        <w:rPr>
          <w:color w:val="231F20"/>
        </w:rPr>
        <w:t>the</w:t>
      </w:r>
      <w:r>
        <w:rPr>
          <w:color w:val="231F20"/>
          <w:spacing w:val="-7"/>
        </w:rPr>
        <w:t> </w:t>
      </w:r>
      <w:r>
        <w:rPr>
          <w:color w:val="231F20"/>
        </w:rPr>
        <w:t>total</w:t>
      </w:r>
      <w:r>
        <w:rPr>
          <w:color w:val="231F20"/>
          <w:spacing w:val="-7"/>
        </w:rPr>
        <w:t> </w:t>
      </w:r>
      <w:r>
        <w:rPr>
          <w:color w:val="231F20"/>
        </w:rPr>
        <w:t>number</w:t>
      </w:r>
      <w:r>
        <w:rPr>
          <w:color w:val="231F20"/>
          <w:spacing w:val="-7"/>
        </w:rPr>
        <w:t> </w:t>
      </w:r>
      <w:r>
        <w:rPr>
          <w:color w:val="231F20"/>
        </w:rPr>
        <w:t>of</w:t>
      </w:r>
      <w:r>
        <w:rPr>
          <w:color w:val="231F20"/>
          <w:spacing w:val="-6"/>
        </w:rPr>
        <w:t> </w:t>
      </w:r>
      <w:r>
        <w:rPr>
          <w:color w:val="231F20"/>
        </w:rPr>
        <w:t>boarders,</w:t>
      </w:r>
      <w:r>
        <w:rPr>
          <w:color w:val="231F20"/>
          <w:w w:val="99"/>
        </w:rPr>
        <w:t> </w:t>
      </w:r>
      <w:r>
        <w:rPr>
          <w:color w:val="231F20"/>
        </w:rPr>
        <w:t>but</w:t>
      </w:r>
      <w:r>
        <w:rPr>
          <w:color w:val="231F20"/>
          <w:spacing w:val="-6"/>
        </w:rPr>
        <w:t> </w:t>
      </w:r>
      <w:r>
        <w:rPr>
          <w:color w:val="231F20"/>
        </w:rPr>
        <w:t>not</w:t>
      </w:r>
      <w:r>
        <w:rPr>
          <w:color w:val="231F20"/>
          <w:spacing w:val="-4"/>
        </w:rPr>
        <w:t> </w:t>
      </w:r>
      <w:r>
        <w:rPr>
          <w:color w:val="231F20"/>
        </w:rPr>
        <w:t>the</w:t>
      </w:r>
      <w:r>
        <w:rPr>
          <w:color w:val="231F20"/>
          <w:spacing w:val="-5"/>
        </w:rPr>
        <w:t> </w:t>
      </w:r>
      <w:r>
        <w:rPr>
          <w:color w:val="231F20"/>
        </w:rPr>
        <w:t>number</w:t>
      </w:r>
      <w:r>
        <w:rPr>
          <w:color w:val="231F20"/>
          <w:spacing w:val="-5"/>
        </w:rPr>
        <w:t> </w:t>
      </w:r>
      <w:r>
        <w:rPr>
          <w:color w:val="231F20"/>
        </w:rPr>
        <w:t>of</w:t>
      </w:r>
      <w:r>
        <w:rPr>
          <w:color w:val="231F20"/>
          <w:spacing w:val="-5"/>
        </w:rPr>
        <w:t> </w:t>
      </w:r>
      <w:r>
        <w:rPr>
          <w:color w:val="231F20"/>
        </w:rPr>
        <w:t>Aboriginal</w:t>
      </w:r>
      <w:r>
        <w:rPr>
          <w:color w:val="231F20"/>
          <w:spacing w:val="-4"/>
        </w:rPr>
        <w:t> </w:t>
      </w:r>
      <w:r>
        <w:rPr>
          <w:color w:val="231F20"/>
        </w:rPr>
        <w:t>and</w:t>
      </w:r>
      <w:r>
        <w:rPr>
          <w:color w:val="231F20"/>
          <w:spacing w:val="-5"/>
        </w:rPr>
        <w:t> Torres</w:t>
      </w:r>
      <w:r>
        <w:rPr>
          <w:color w:val="231F20"/>
          <w:spacing w:val="23"/>
          <w:w w:val="99"/>
        </w:rPr>
        <w:t> </w:t>
      </w:r>
      <w:r>
        <w:rPr>
          <w:color w:val="231F20"/>
          <w:spacing w:val="-2"/>
        </w:rPr>
        <w:t>Strait</w:t>
      </w:r>
      <w:r>
        <w:rPr>
          <w:color w:val="231F20"/>
          <w:spacing w:val="-8"/>
        </w:rPr>
        <w:t> </w:t>
      </w:r>
      <w:r>
        <w:rPr>
          <w:color w:val="231F20"/>
          <w:spacing w:val="-1"/>
        </w:rPr>
        <w:t>Islander</w:t>
      </w:r>
      <w:r>
        <w:rPr>
          <w:color w:val="231F20"/>
          <w:spacing w:val="-7"/>
        </w:rPr>
        <w:t> </w:t>
      </w:r>
      <w:r>
        <w:rPr>
          <w:color w:val="231F20"/>
        </w:rPr>
        <w:t>boarders.</w:t>
      </w:r>
      <w:r>
        <w:rPr>
          <w:color w:val="231F20"/>
          <w:spacing w:val="-7"/>
        </w:rPr>
        <w:t> </w:t>
      </w:r>
      <w:r>
        <w:rPr>
          <w:color w:val="231F20"/>
          <w:spacing w:val="-5"/>
        </w:rPr>
        <w:t>W</w:t>
      </w:r>
      <w:r>
        <w:rPr>
          <w:color w:val="231F20"/>
          <w:spacing w:val="-6"/>
        </w:rPr>
        <w:t>e</w:t>
      </w:r>
      <w:r>
        <w:rPr>
          <w:color w:val="231F20"/>
          <w:spacing w:val="-7"/>
        </w:rPr>
        <w:t> </w:t>
      </w:r>
      <w:r>
        <w:rPr>
          <w:color w:val="231F20"/>
        </w:rPr>
        <w:t>have</w:t>
      </w:r>
      <w:r>
        <w:rPr>
          <w:color w:val="231F20"/>
          <w:spacing w:val="-8"/>
        </w:rPr>
        <w:t> </w:t>
      </w:r>
      <w:r>
        <w:rPr>
          <w:color w:val="231F20"/>
        </w:rPr>
        <w:t>determined</w:t>
      </w:r>
      <w:r>
        <w:rPr>
          <w:color w:val="231F20"/>
          <w:spacing w:val="28"/>
          <w:w w:val="99"/>
        </w:rPr>
        <w:t> </w:t>
      </w:r>
      <w:r>
        <w:rPr>
          <w:color w:val="231F20"/>
        </w:rPr>
        <w:t>the</w:t>
      </w:r>
      <w:r>
        <w:rPr>
          <w:color w:val="231F20"/>
          <w:spacing w:val="-6"/>
        </w:rPr>
        <w:t> </w:t>
      </w:r>
      <w:r>
        <w:rPr>
          <w:color w:val="231F20"/>
          <w:spacing w:val="-1"/>
        </w:rPr>
        <w:t>split</w:t>
      </w:r>
      <w:r>
        <w:rPr>
          <w:color w:val="231F20"/>
          <w:spacing w:val="-5"/>
        </w:rPr>
        <w:t> </w:t>
      </w:r>
      <w:r>
        <w:rPr>
          <w:color w:val="231F20"/>
        </w:rPr>
        <w:t>between</w:t>
      </w:r>
      <w:r>
        <w:rPr>
          <w:color w:val="231F20"/>
          <w:spacing w:val="-6"/>
        </w:rPr>
        <w:t> </w:t>
      </w:r>
      <w:r>
        <w:rPr>
          <w:color w:val="231F20"/>
        </w:rPr>
        <w:t>the</w:t>
      </w:r>
      <w:r>
        <w:rPr>
          <w:color w:val="231F20"/>
          <w:spacing w:val="-6"/>
        </w:rPr>
        <w:t> </w:t>
      </w:r>
      <w:r>
        <w:rPr>
          <w:color w:val="231F20"/>
        </w:rPr>
        <w:t>number</w:t>
      </w:r>
      <w:r>
        <w:rPr>
          <w:color w:val="231F20"/>
          <w:spacing w:val="-6"/>
        </w:rPr>
        <w:t> </w:t>
      </w:r>
      <w:r>
        <w:rPr>
          <w:color w:val="231F20"/>
        </w:rPr>
        <w:t>of</w:t>
      </w:r>
      <w:r>
        <w:rPr>
          <w:color w:val="231F20"/>
          <w:spacing w:val="-5"/>
        </w:rPr>
        <w:t> </w:t>
      </w:r>
      <w:r>
        <w:rPr>
          <w:color w:val="231F20"/>
        </w:rPr>
        <w:t>Aboriginal</w:t>
      </w:r>
      <w:r>
        <w:rPr>
          <w:color w:val="231F20"/>
          <w:spacing w:val="-5"/>
        </w:rPr>
        <w:t> </w:t>
      </w:r>
      <w:r>
        <w:rPr>
          <w:color w:val="231F20"/>
          <w:spacing w:val="-5"/>
        </w:rPr>
      </w:r>
      <w:r>
        <w:rPr>
          <w:color w:val="231F20"/>
        </w:rPr>
        <w:t>and</w:t>
      </w:r>
      <w:r>
        <w:rPr>
          <w:color w:val="231F20"/>
          <w:spacing w:val="20"/>
        </w:rPr>
        <w:t> </w:t>
      </w:r>
      <w:r>
        <w:rPr>
          <w:color w:val="231F20"/>
          <w:spacing w:val="-5"/>
        </w:rPr>
        <w:t>Torres</w:t>
      </w:r>
      <w:r>
        <w:rPr>
          <w:color w:val="231F20"/>
          <w:spacing w:val="-6"/>
        </w:rPr>
        <w:t> </w:t>
      </w:r>
      <w:r>
        <w:rPr>
          <w:color w:val="231F20"/>
          <w:spacing w:val="-2"/>
        </w:rPr>
        <w:t>Strait</w:t>
      </w:r>
      <w:r>
        <w:rPr>
          <w:color w:val="231F20"/>
          <w:spacing w:val="-6"/>
        </w:rPr>
        <w:t> </w:t>
      </w:r>
      <w:r>
        <w:rPr>
          <w:color w:val="231F20"/>
          <w:spacing w:val="-1"/>
        </w:rPr>
        <w:t>Islander</w:t>
      </w:r>
      <w:r>
        <w:rPr>
          <w:color w:val="231F20"/>
          <w:spacing w:val="-5"/>
        </w:rPr>
        <w:t> </w:t>
      </w:r>
      <w:r>
        <w:rPr>
          <w:color w:val="231F20"/>
        </w:rPr>
        <w:t>boarders</w:t>
      </w:r>
      <w:r>
        <w:rPr>
          <w:color w:val="231F20"/>
          <w:spacing w:val="-6"/>
        </w:rPr>
        <w:t> </w:t>
      </w:r>
      <w:r>
        <w:rPr>
          <w:color w:val="231F20"/>
        </w:rPr>
        <w:t>and</w:t>
      </w:r>
      <w:r>
        <w:rPr>
          <w:color w:val="231F20"/>
          <w:spacing w:val="-6"/>
        </w:rPr>
        <w:t> </w:t>
      </w:r>
      <w:r>
        <w:rPr>
          <w:color w:val="231F20"/>
        </w:rPr>
        <w:t>other</w:t>
      </w:r>
      <w:r>
        <w:rPr>
          <w:color w:val="231F20"/>
          <w:spacing w:val="21"/>
          <w:w w:val="99"/>
        </w:rPr>
        <w:t> </w:t>
      </w:r>
      <w:r>
        <w:rPr>
          <w:color w:val="231F20"/>
        </w:rPr>
        <w:t>boarders</w:t>
      </w:r>
      <w:r>
        <w:rPr>
          <w:color w:val="231F20"/>
          <w:spacing w:val="-6"/>
        </w:rPr>
        <w:t> </w:t>
      </w:r>
      <w:r>
        <w:rPr>
          <w:color w:val="231F20"/>
        </w:rPr>
        <w:t>based</w:t>
      </w:r>
      <w:r>
        <w:rPr>
          <w:color w:val="231F20"/>
          <w:spacing w:val="-5"/>
        </w:rPr>
        <w:t> </w:t>
      </w:r>
      <w:r>
        <w:rPr>
          <w:color w:val="231F20"/>
        </w:rPr>
        <w:t>on</w:t>
      </w:r>
      <w:r>
        <w:rPr>
          <w:color w:val="231F20"/>
          <w:spacing w:val="-5"/>
        </w:rPr>
        <w:t> </w:t>
      </w:r>
      <w:r>
        <w:rPr>
          <w:color w:val="231F20"/>
        </w:rPr>
        <w:t>our</w:t>
      </w:r>
      <w:r>
        <w:rPr>
          <w:color w:val="231F20"/>
          <w:spacing w:val="-4"/>
        </w:rPr>
        <w:t> </w:t>
      </w:r>
      <w:r>
        <w:rPr>
          <w:color w:val="231F20"/>
        </w:rPr>
        <w:t>consultations</w:t>
      </w:r>
      <w:r>
        <w:rPr>
          <w:color w:val="231F20"/>
          <w:spacing w:val="-6"/>
        </w:rPr>
        <w:t> </w:t>
      </w:r>
      <w:r>
        <w:rPr>
          <w:color w:val="231F20"/>
        </w:rPr>
        <w:t>with</w:t>
      </w:r>
      <w:r>
        <w:rPr>
          <w:color w:val="231F20"/>
          <w:w w:val="99"/>
        </w:rPr>
        <w:t> </w:t>
      </w:r>
      <w:r>
        <w:rPr>
          <w:color w:val="231F20"/>
        </w:rPr>
        <w:t>boarding</w:t>
      </w:r>
      <w:r>
        <w:rPr>
          <w:color w:val="231F20"/>
          <w:spacing w:val="-6"/>
        </w:rPr>
        <w:t> </w:t>
      </w:r>
      <w:r>
        <w:rPr>
          <w:color w:val="231F20"/>
        </w:rPr>
        <w:t>providers,</w:t>
      </w:r>
      <w:r>
        <w:rPr>
          <w:color w:val="231F20"/>
          <w:spacing w:val="-6"/>
        </w:rPr>
        <w:t> </w:t>
      </w:r>
      <w:r>
        <w:rPr>
          <w:color w:val="231F20"/>
        </w:rPr>
        <w:t>census</w:t>
      </w:r>
      <w:r>
        <w:rPr>
          <w:color w:val="231F20"/>
          <w:spacing w:val="-6"/>
        </w:rPr>
        <w:t> </w:t>
      </w:r>
      <w:r>
        <w:rPr>
          <w:color w:val="231F20"/>
        </w:rPr>
        <w:t>data</w:t>
      </w:r>
      <w:r>
        <w:rPr>
          <w:color w:val="231F20"/>
          <w:spacing w:val="-6"/>
        </w:rPr>
        <w:t> </w:t>
      </w:r>
      <w:r>
        <w:rPr>
          <w:color w:val="231F20"/>
        </w:rPr>
        <w:t>and</w:t>
      </w:r>
      <w:r>
        <w:rPr>
          <w:color w:val="231F20"/>
          <w:spacing w:val="-5"/>
        </w:rPr>
        <w:t> </w:t>
      </w:r>
      <w:r>
        <w:rPr>
          <w:color w:val="231F20"/>
        </w:rPr>
        <w:t>publicly</w:t>
      </w:r>
      <w:r>
        <w:rPr>
          <w:color w:val="231F20"/>
        </w:rPr>
        <w:t> available</w:t>
      </w:r>
      <w:r>
        <w:rPr>
          <w:color w:val="231F20"/>
          <w:spacing w:val="-9"/>
        </w:rPr>
        <w:t> </w:t>
      </w:r>
      <w:r>
        <w:rPr>
          <w:color w:val="231F20"/>
          <w:spacing w:val="-1"/>
        </w:rPr>
        <w:t>information,</w:t>
      </w:r>
      <w:r>
        <w:rPr>
          <w:color w:val="231F20"/>
          <w:spacing w:val="-8"/>
        </w:rPr>
        <w:t> </w:t>
      </w:r>
      <w:r>
        <w:rPr>
          <w:color w:val="231F20"/>
        </w:rPr>
        <w:t>and</w:t>
      </w:r>
      <w:r>
        <w:rPr>
          <w:color w:val="231F20"/>
          <w:spacing w:val="-9"/>
        </w:rPr>
        <w:t> </w:t>
      </w:r>
      <w:r>
        <w:rPr>
          <w:color w:val="231F20"/>
        </w:rPr>
        <w:t>applied</w:t>
      </w:r>
      <w:r>
        <w:rPr>
          <w:color w:val="231F20"/>
          <w:spacing w:val="-9"/>
        </w:rPr>
        <w:t> </w:t>
      </w:r>
      <w:r>
        <w:rPr>
          <w:color w:val="231F20"/>
        </w:rPr>
        <w:t>the</w:t>
      </w:r>
      <w:r>
        <w:rPr>
          <w:color w:val="231F20"/>
          <w:spacing w:val="-8"/>
        </w:rPr>
        <w:t> </w:t>
      </w:r>
      <w:r>
        <w:rPr>
          <w:color w:val="231F20"/>
        </w:rPr>
        <w:t>resultant</w:t>
      </w:r>
      <w:r>
        <w:rPr>
          <w:color w:val="231F20"/>
          <w:spacing w:val="22"/>
          <w:w w:val="99"/>
        </w:rPr>
        <w:t> </w:t>
      </w:r>
      <w:r>
        <w:rPr>
          <w:color w:val="231F20"/>
        </w:rPr>
        <w:t>allocation</w:t>
      </w:r>
      <w:r>
        <w:rPr>
          <w:color w:val="231F20"/>
          <w:spacing w:val="-8"/>
        </w:rPr>
        <w:t> </w:t>
      </w:r>
      <w:r>
        <w:rPr>
          <w:color w:val="231F20"/>
        </w:rPr>
        <w:t>across</w:t>
      </w:r>
      <w:r>
        <w:rPr>
          <w:color w:val="231F20"/>
          <w:spacing w:val="-7"/>
        </w:rPr>
        <w:t> </w:t>
      </w:r>
      <w:r>
        <w:rPr>
          <w:color w:val="231F20"/>
        </w:rPr>
        <w:t>the</w:t>
      </w:r>
      <w:r>
        <w:rPr>
          <w:color w:val="231F20"/>
          <w:spacing w:val="-7"/>
        </w:rPr>
        <w:t> </w:t>
      </w:r>
      <w:r>
        <w:rPr>
          <w:color w:val="231F20"/>
        </w:rPr>
        <w:t>three-year</w:t>
      </w:r>
      <w:r>
        <w:rPr>
          <w:color w:val="231F20"/>
          <w:spacing w:val="-8"/>
        </w:rPr>
        <w:t> </w:t>
      </w:r>
      <w:r>
        <w:rPr>
          <w:color w:val="231F20"/>
        </w:rPr>
        <w:t>trend</w:t>
      </w:r>
      <w:r>
        <w:rPr>
          <w:color w:val="231F20"/>
          <w:spacing w:val="-7"/>
        </w:rPr>
        <w:t> </w:t>
      </w:r>
      <w:r>
        <w:rPr>
          <w:color w:val="231F20"/>
        </w:rPr>
        <w:t>data</w:t>
      </w:r>
      <w:r>
        <w:rPr>
          <w:color w:val="231F20"/>
          <w:spacing w:val="-7"/>
        </w:rPr>
        <w:t> </w:t>
      </w:r>
      <w:r>
        <w:rPr>
          <w:color w:val="231F20"/>
          <w:spacing w:val="-1"/>
        </w:rPr>
        <w:t>set.</w:t>
      </w:r>
      <w:r>
        <w:rPr/>
      </w:r>
    </w:p>
    <w:p>
      <w:pPr>
        <w:pStyle w:val="BodyText"/>
        <w:spacing w:line="250" w:lineRule="exact" w:before="113"/>
        <w:ind w:left="145" w:right="151"/>
        <w:jc w:val="left"/>
      </w:pPr>
      <w:r>
        <w:rPr>
          <w:color w:val="231F20"/>
        </w:rPr>
        <w:t>The</w:t>
      </w:r>
      <w:r>
        <w:rPr>
          <w:color w:val="231F20"/>
          <w:spacing w:val="-5"/>
        </w:rPr>
        <w:t> </w:t>
      </w:r>
      <w:r>
        <w:rPr>
          <w:color w:val="231F20"/>
        </w:rPr>
        <w:t>boarding</w:t>
      </w:r>
      <w:r>
        <w:rPr>
          <w:color w:val="231F20"/>
          <w:spacing w:val="-5"/>
        </w:rPr>
        <w:t> </w:t>
      </w:r>
      <w:r>
        <w:rPr>
          <w:color w:val="231F20"/>
        </w:rPr>
        <w:t>revenue</w:t>
      </w:r>
      <w:r>
        <w:rPr>
          <w:color w:val="231F20"/>
          <w:spacing w:val="-5"/>
        </w:rPr>
        <w:t> </w:t>
      </w:r>
      <w:r>
        <w:rPr>
          <w:color w:val="231F20"/>
        </w:rPr>
        <w:t>and</w:t>
      </w:r>
      <w:r>
        <w:rPr>
          <w:color w:val="231F20"/>
          <w:spacing w:val="-6"/>
        </w:rPr>
        <w:t> </w:t>
      </w:r>
      <w:r>
        <w:rPr>
          <w:color w:val="231F20"/>
        </w:rPr>
        <w:t>costs</w:t>
      </w:r>
      <w:r>
        <w:rPr>
          <w:color w:val="231F20"/>
          <w:spacing w:val="-5"/>
        </w:rPr>
        <w:t> </w:t>
      </w:r>
      <w:r>
        <w:rPr>
          <w:color w:val="231F20"/>
          <w:spacing w:val="-1"/>
        </w:rPr>
        <w:t>in</w:t>
      </w:r>
      <w:r>
        <w:rPr>
          <w:color w:val="231F20"/>
          <w:spacing w:val="-4"/>
        </w:rPr>
        <w:t> </w:t>
      </w:r>
      <w:r>
        <w:rPr>
          <w:color w:val="231F20"/>
        </w:rPr>
        <w:t>the</w:t>
      </w:r>
      <w:r>
        <w:rPr>
          <w:color w:val="231F20"/>
          <w:spacing w:val="-5"/>
        </w:rPr>
        <w:t> </w:t>
      </w:r>
      <w:r>
        <w:rPr>
          <w:color w:val="231F20"/>
        </w:rPr>
        <w:t>three-</w:t>
      </w:r>
      <w:r>
        <w:rPr>
          <w:color w:val="231F20"/>
          <w:spacing w:val="21"/>
          <w:w w:val="99"/>
        </w:rPr>
        <w:t> </w:t>
      </w:r>
      <w:r>
        <w:rPr>
          <w:color w:val="231F20"/>
        </w:rPr>
        <w:t>year</w:t>
      </w:r>
      <w:r>
        <w:rPr>
          <w:color w:val="231F20"/>
          <w:spacing w:val="-5"/>
        </w:rPr>
        <w:t> </w:t>
      </w:r>
      <w:r>
        <w:rPr>
          <w:color w:val="231F20"/>
        </w:rPr>
        <w:t>data</w:t>
      </w:r>
      <w:r>
        <w:rPr>
          <w:color w:val="231F20"/>
          <w:spacing w:val="-5"/>
        </w:rPr>
        <w:t> </w:t>
      </w:r>
      <w:r>
        <w:rPr>
          <w:color w:val="231F20"/>
          <w:spacing w:val="-1"/>
        </w:rPr>
        <w:t>is</w:t>
      </w:r>
      <w:r>
        <w:rPr>
          <w:color w:val="231F20"/>
          <w:spacing w:val="-6"/>
        </w:rPr>
        <w:t> </w:t>
      </w:r>
      <w:r>
        <w:rPr>
          <w:color w:val="231F20"/>
        </w:rPr>
        <w:t>also</w:t>
      </w:r>
      <w:r>
        <w:rPr>
          <w:color w:val="231F20"/>
          <w:spacing w:val="-5"/>
        </w:rPr>
        <w:t> </w:t>
      </w:r>
      <w:r>
        <w:rPr>
          <w:color w:val="231F20"/>
        </w:rPr>
        <w:t>not</w:t>
      </w:r>
      <w:r>
        <w:rPr>
          <w:color w:val="231F20"/>
          <w:spacing w:val="-4"/>
        </w:rPr>
        <w:t> </w:t>
      </w:r>
      <w:r>
        <w:rPr>
          <w:color w:val="231F20"/>
        </w:rPr>
        <w:t>allocated</w:t>
      </w:r>
      <w:r>
        <w:rPr>
          <w:color w:val="231F20"/>
          <w:spacing w:val="-6"/>
        </w:rPr>
        <w:t> </w:t>
      </w:r>
      <w:r>
        <w:rPr>
          <w:color w:val="231F20"/>
        </w:rPr>
        <w:t>between</w:t>
      </w:r>
      <w:r>
        <w:rPr>
          <w:color w:val="231F20"/>
          <w:spacing w:val="21"/>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boarders</w:t>
      </w:r>
      <w:r>
        <w:rPr>
          <w:color w:val="231F20"/>
          <w:spacing w:val="21"/>
          <w:w w:val="99"/>
        </w:rPr>
        <w:t> </w:t>
      </w:r>
      <w:r>
        <w:rPr>
          <w:color w:val="231F20"/>
        </w:rPr>
        <w:t>and</w:t>
      </w:r>
      <w:r>
        <w:rPr>
          <w:color w:val="231F20"/>
          <w:spacing w:val="-6"/>
        </w:rPr>
        <w:t> </w:t>
      </w:r>
      <w:r>
        <w:rPr>
          <w:color w:val="231F20"/>
        </w:rPr>
        <w:t>other</w:t>
      </w:r>
      <w:r>
        <w:rPr>
          <w:color w:val="231F20"/>
          <w:spacing w:val="-6"/>
        </w:rPr>
        <w:t> </w:t>
      </w:r>
      <w:r>
        <w:rPr>
          <w:color w:val="231F20"/>
        </w:rPr>
        <w:t>boarders.</w:t>
      </w:r>
      <w:r>
        <w:rPr>
          <w:color w:val="231F20"/>
          <w:spacing w:val="-6"/>
        </w:rPr>
        <w:t> </w:t>
      </w:r>
      <w:r>
        <w:rPr>
          <w:color w:val="231F20"/>
        </w:rPr>
        <w:t>There</w:t>
      </w:r>
      <w:r>
        <w:rPr>
          <w:color w:val="231F20"/>
          <w:spacing w:val="-5"/>
        </w:rPr>
        <w:t> </w:t>
      </w:r>
      <w:r>
        <w:rPr>
          <w:color w:val="231F20"/>
          <w:spacing w:val="-1"/>
        </w:rPr>
        <w:t>is</w:t>
      </w:r>
      <w:r>
        <w:rPr>
          <w:color w:val="231F20"/>
          <w:spacing w:val="-6"/>
        </w:rPr>
        <w:t> </w:t>
      </w:r>
      <w:r>
        <w:rPr>
          <w:color w:val="231F20"/>
        </w:rPr>
        <w:t>no</w:t>
      </w:r>
      <w:r>
        <w:rPr>
          <w:color w:val="231F20"/>
          <w:spacing w:val="-5"/>
        </w:rPr>
        <w:t> </w:t>
      </w:r>
      <w:r>
        <w:rPr>
          <w:color w:val="231F20"/>
        </w:rPr>
        <w:t>data</w:t>
      </w:r>
      <w:r>
        <w:rPr>
          <w:color w:val="231F20"/>
          <w:spacing w:val="-5"/>
        </w:rPr>
        <w:t> </w:t>
      </w:r>
      <w:r>
        <w:rPr>
          <w:color w:val="231F20"/>
          <w:spacing w:val="-5"/>
        </w:rPr>
      </w:r>
      <w:r>
        <w:rPr>
          <w:color w:val="231F20"/>
        </w:rPr>
        <w:t>available</w:t>
      </w:r>
      <w:r>
        <w:rPr>
          <w:color w:val="231F20"/>
          <w:spacing w:val="20"/>
        </w:rPr>
        <w:t> </w:t>
      </w:r>
      <w:r>
        <w:rPr>
          <w:color w:val="231F20"/>
        </w:rPr>
        <w:t>that</w:t>
      </w:r>
      <w:r>
        <w:rPr>
          <w:color w:val="231F20"/>
          <w:spacing w:val="-9"/>
        </w:rPr>
        <w:t> </w:t>
      </w:r>
      <w:r>
        <w:rPr>
          <w:color w:val="231F20"/>
        </w:rPr>
        <w:t>accurately</w:t>
      </w:r>
      <w:r>
        <w:rPr>
          <w:color w:val="231F20"/>
          <w:spacing w:val="-8"/>
        </w:rPr>
        <w:t> </w:t>
      </w:r>
      <w:r>
        <w:rPr>
          <w:color w:val="231F20"/>
        </w:rPr>
        <w:t>and</w:t>
      </w:r>
      <w:r>
        <w:rPr>
          <w:color w:val="231F20"/>
          <w:spacing w:val="-9"/>
        </w:rPr>
        <w:t> </w:t>
      </w:r>
      <w:r>
        <w:rPr>
          <w:color w:val="231F20"/>
        </w:rPr>
        <w:t>reliably</w:t>
      </w:r>
      <w:r>
        <w:rPr>
          <w:color w:val="231F20"/>
          <w:spacing w:val="-8"/>
        </w:rPr>
        <w:t> </w:t>
      </w:r>
      <w:r>
        <w:rPr>
          <w:color w:val="231F20"/>
        </w:rPr>
        <w:t>allocates</w:t>
      </w:r>
      <w:r>
        <w:rPr>
          <w:color w:val="231F20"/>
          <w:spacing w:val="-8"/>
        </w:rPr>
        <w:t> </w:t>
      </w:r>
      <w:r>
        <w:rPr>
          <w:color w:val="231F20"/>
          <w:spacing w:val="-8"/>
        </w:rPr>
      </w:r>
      <w:r>
        <w:rPr>
          <w:color w:val="231F20"/>
        </w:rPr>
        <w:t>revenue</w:t>
      </w:r>
      <w:r>
        <w:rPr>
          <w:color w:val="231F20"/>
          <w:spacing w:val="-1"/>
        </w:rPr>
        <w:t> </w:t>
      </w:r>
      <w:r>
        <w:rPr>
          <w:color w:val="231F20"/>
        </w:rPr>
        <w:t>and</w:t>
      </w:r>
      <w:r>
        <w:rPr>
          <w:color w:val="231F20"/>
          <w:spacing w:val="-3"/>
        </w:rPr>
        <w:t> </w:t>
      </w:r>
      <w:r>
        <w:rPr>
          <w:color w:val="231F20"/>
        </w:rPr>
        <w:t>costs</w:t>
      </w:r>
      <w:r>
        <w:rPr>
          <w:color w:val="231F20"/>
          <w:spacing w:val="-3"/>
        </w:rPr>
        <w:t> </w:t>
      </w:r>
      <w:r>
        <w:rPr>
          <w:color w:val="231F20"/>
        </w:rPr>
        <w:t>on</w:t>
      </w:r>
      <w:r>
        <w:rPr>
          <w:color w:val="231F20"/>
          <w:spacing w:val="-2"/>
        </w:rPr>
        <w:t> </w:t>
      </w:r>
      <w:r>
        <w:rPr>
          <w:color w:val="231F20"/>
        </w:rPr>
        <w:t>this</w:t>
      </w:r>
      <w:r>
        <w:rPr>
          <w:color w:val="231F20"/>
          <w:spacing w:val="-3"/>
        </w:rPr>
        <w:t> </w:t>
      </w:r>
      <w:r>
        <w:rPr>
          <w:color w:val="231F20"/>
        </w:rPr>
        <w:t>basis.</w:t>
      </w:r>
      <w:r>
        <w:rPr>
          <w:color w:val="231F20"/>
          <w:spacing w:val="-3"/>
        </w:rPr>
        <w:t> </w:t>
      </w:r>
      <w:r>
        <w:rPr>
          <w:color w:val="231F20"/>
          <w:spacing w:val="-1"/>
        </w:rPr>
        <w:t>KPMG,</w:t>
      </w:r>
      <w:r>
        <w:rPr>
          <w:color w:val="231F20"/>
          <w:spacing w:val="-2"/>
        </w:rPr>
        <w:t> </w:t>
      </w:r>
      <w:r>
        <w:rPr>
          <w:color w:val="231F20"/>
          <w:spacing w:val="-1"/>
        </w:rPr>
        <w:t>2016</w:t>
      </w:r>
      <w:r>
        <w:rPr>
          <w:color w:val="231F20"/>
          <w:spacing w:val="-1"/>
        </w:rPr>
        <w:t> </w:t>
      </w:r>
      <w:r>
        <w:rPr>
          <w:color w:val="231F20"/>
          <w:spacing w:val="21"/>
        </w:rPr>
        <w:t> </w:t>
      </w:r>
      <w:r>
        <w:rPr>
          <w:color w:val="231F20"/>
        </w:rPr>
        <w:t>allocated</w:t>
      </w:r>
      <w:r>
        <w:rPr>
          <w:color w:val="231F20"/>
          <w:spacing w:val="-9"/>
        </w:rPr>
        <w:t> </w:t>
      </w:r>
      <w:r>
        <w:rPr>
          <w:color w:val="231F20"/>
        </w:rPr>
        <w:t>boarding</w:t>
      </w:r>
      <w:r>
        <w:rPr>
          <w:color w:val="231F20"/>
          <w:spacing w:val="-8"/>
        </w:rPr>
        <w:t> </w:t>
      </w:r>
      <w:r>
        <w:rPr>
          <w:color w:val="231F20"/>
          <w:spacing w:val="-1"/>
        </w:rPr>
        <w:t>income</w:t>
      </w:r>
      <w:r>
        <w:rPr>
          <w:color w:val="231F20"/>
          <w:spacing w:val="-8"/>
        </w:rPr>
        <w:t> </w:t>
      </w:r>
      <w:r>
        <w:rPr>
          <w:color w:val="231F20"/>
        </w:rPr>
        <w:t>and</w:t>
      </w:r>
      <w:r>
        <w:rPr>
          <w:color w:val="231F20"/>
          <w:spacing w:val="-8"/>
        </w:rPr>
        <w:t> </w:t>
      </w:r>
      <w:r>
        <w:rPr>
          <w:color w:val="231F20"/>
        </w:rPr>
        <w:t>expenditure</w:t>
      </w:r>
      <w:r>
        <w:rPr>
          <w:color w:val="231F20"/>
          <w:spacing w:val="21"/>
          <w:w w:val="99"/>
        </w:rPr>
        <w:t> </w:t>
      </w:r>
      <w:r>
        <w:rPr>
          <w:color w:val="231F20"/>
        </w:rPr>
        <w:t>between</w:t>
      </w:r>
      <w:r>
        <w:rPr>
          <w:color w:val="231F20"/>
          <w:spacing w:val="-7"/>
        </w:rPr>
        <w:t> </w:t>
      </w:r>
      <w:r>
        <w:rPr>
          <w:color w:val="231F20"/>
        </w:rPr>
        <w:t>Aboriginal</w:t>
      </w:r>
      <w:r>
        <w:rPr>
          <w:color w:val="231F20"/>
          <w:spacing w:val="-7"/>
        </w:rPr>
        <w:t> </w:t>
      </w:r>
      <w:r>
        <w:rPr>
          <w:color w:val="231F20"/>
        </w:rPr>
        <w:t>and</w:t>
      </w:r>
      <w:r>
        <w:rPr>
          <w:color w:val="231F20"/>
          <w:spacing w:val="-6"/>
        </w:rPr>
        <w:t> </w:t>
      </w:r>
      <w:r>
        <w:rPr>
          <w:color w:val="231F20"/>
          <w:spacing w:val="-5"/>
        </w:rPr>
        <w:t>Torres</w:t>
      </w:r>
      <w:r>
        <w:rPr>
          <w:color w:val="231F20"/>
          <w:spacing w:val="-7"/>
        </w:rPr>
        <w:t> </w:t>
      </w:r>
      <w:r>
        <w:rPr>
          <w:color w:val="231F20"/>
          <w:spacing w:val="-2"/>
        </w:rPr>
        <w:t>Strait</w:t>
      </w:r>
      <w:r>
        <w:rPr>
          <w:color w:val="231F20"/>
          <w:spacing w:val="-6"/>
        </w:rPr>
        <w:t> </w:t>
      </w:r>
      <w:r>
        <w:rPr>
          <w:color w:val="231F20"/>
          <w:spacing w:val="-1"/>
        </w:rPr>
        <w:t>Islander</w:t>
      </w:r>
      <w:r>
        <w:rPr>
          <w:color w:val="231F20"/>
          <w:spacing w:val="29"/>
          <w:w w:val="99"/>
        </w:rPr>
        <w:t> </w:t>
      </w:r>
      <w:r>
        <w:rPr>
          <w:color w:val="231F20"/>
        </w:rPr>
        <w:t>boarding</w:t>
      </w:r>
      <w:r>
        <w:rPr>
          <w:color w:val="231F20"/>
          <w:spacing w:val="-7"/>
        </w:rPr>
        <w:t> </w:t>
      </w:r>
      <w:r>
        <w:rPr>
          <w:color w:val="231F20"/>
        </w:rPr>
        <w:t>and</w:t>
      </w:r>
      <w:r>
        <w:rPr>
          <w:color w:val="231F20"/>
          <w:spacing w:val="-6"/>
        </w:rPr>
        <w:t> </w:t>
      </w:r>
      <w:r>
        <w:rPr>
          <w:color w:val="231F20"/>
        </w:rPr>
        <w:t>other</w:t>
      </w:r>
      <w:r>
        <w:rPr>
          <w:color w:val="231F20"/>
          <w:spacing w:val="-5"/>
        </w:rPr>
        <w:t> </w:t>
      </w:r>
      <w:r>
        <w:rPr>
          <w:color w:val="231F20"/>
        </w:rPr>
        <w:t>boarding</w:t>
      </w:r>
      <w:r>
        <w:rPr>
          <w:color w:val="231F20"/>
          <w:spacing w:val="-6"/>
        </w:rPr>
        <w:t> </w:t>
      </w:r>
      <w:r>
        <w:rPr>
          <w:color w:val="231F20"/>
        </w:rPr>
        <w:t>on</w:t>
      </w:r>
      <w:r>
        <w:rPr>
          <w:color w:val="231F20"/>
          <w:spacing w:val="-5"/>
        </w:rPr>
        <w:t> </w:t>
      </w:r>
      <w:r>
        <w:rPr>
          <w:color w:val="231F20"/>
        </w:rPr>
        <w:t>a</w:t>
      </w:r>
      <w:r>
        <w:rPr>
          <w:color w:val="231F20"/>
          <w:spacing w:val="-5"/>
        </w:rPr>
        <w:t> </w:t>
      </w:r>
      <w:r>
        <w:rPr>
          <w:color w:val="231F20"/>
        </w:rPr>
        <w:t>per</w:t>
      </w:r>
      <w:r>
        <w:rPr>
          <w:color w:val="231F20"/>
          <w:spacing w:val="-5"/>
        </w:rPr>
        <w:t> </w:t>
      </w:r>
      <w:r>
        <w:rPr>
          <w:color w:val="231F20"/>
        </w:rPr>
        <w:t>capita</w:t>
      </w:r>
      <w:r>
        <w:rPr/>
      </w:r>
    </w:p>
    <w:p>
      <w:pPr>
        <w:pStyle w:val="BodyText"/>
        <w:spacing w:line="250" w:lineRule="exact"/>
        <w:ind w:left="145" w:right="66"/>
        <w:jc w:val="left"/>
      </w:pPr>
      <w:r>
        <w:rPr>
          <w:color w:val="231F20"/>
          <w:spacing w:val="-1"/>
        </w:rPr>
        <w:t>representation.</w:t>
      </w:r>
      <w:r>
        <w:rPr>
          <w:rFonts w:ascii="Segoe UI Semibold"/>
          <w:b/>
          <w:color w:val="231F20"/>
          <w:spacing w:val="-1"/>
          <w:position w:val="7"/>
          <w:sz w:val="11"/>
        </w:rPr>
        <w:t>45</w:t>
      </w:r>
      <w:r>
        <w:rPr>
          <w:rFonts w:ascii="Segoe UI Semibold"/>
          <w:b/>
          <w:color w:val="231F20"/>
          <w:spacing w:val="19"/>
          <w:position w:val="7"/>
          <w:sz w:val="11"/>
        </w:rPr>
        <w:t> </w:t>
      </w:r>
      <w:r>
        <w:rPr>
          <w:color w:val="231F20"/>
        </w:rPr>
        <w:t>Grant</w:t>
      </w:r>
      <w:r>
        <w:rPr>
          <w:color w:val="231F20"/>
          <w:spacing w:val="-4"/>
        </w:rPr>
        <w:t> </w:t>
      </w:r>
      <w:r>
        <w:rPr>
          <w:color w:val="231F20"/>
        </w:rPr>
        <w:t>Thornton</w:t>
      </w:r>
      <w:r>
        <w:rPr>
          <w:color w:val="231F20"/>
          <w:spacing w:val="-5"/>
        </w:rPr>
        <w:t> </w:t>
      </w:r>
      <w:r>
        <w:rPr>
          <w:color w:val="231F20"/>
        </w:rPr>
        <w:t>has</w:t>
      </w:r>
      <w:r>
        <w:rPr>
          <w:color w:val="231F20"/>
          <w:spacing w:val="-6"/>
        </w:rPr>
        <w:t> </w:t>
      </w:r>
      <w:r>
        <w:rPr>
          <w:color w:val="231F20"/>
        </w:rPr>
        <w:t>used</w:t>
      </w:r>
      <w:r>
        <w:rPr>
          <w:color w:val="231F20"/>
          <w:spacing w:val="-5"/>
        </w:rPr>
        <w:t> </w:t>
      </w:r>
      <w:r>
        <w:rPr>
          <w:color w:val="231F20"/>
        </w:rPr>
        <w:t>the</w:t>
      </w:r>
      <w:r>
        <w:rPr>
          <w:color w:val="231F20"/>
          <w:spacing w:val="30"/>
          <w:w w:val="99"/>
        </w:rPr>
        <w:t> </w:t>
      </w:r>
      <w:r>
        <w:rPr>
          <w:color w:val="231F20"/>
        </w:rPr>
        <w:t>total</w:t>
      </w:r>
      <w:r>
        <w:rPr>
          <w:color w:val="231F20"/>
          <w:spacing w:val="-7"/>
        </w:rPr>
        <w:t> </w:t>
      </w:r>
      <w:r>
        <w:rPr>
          <w:color w:val="231F20"/>
        </w:rPr>
        <w:t>number</w:t>
      </w:r>
      <w:r>
        <w:rPr>
          <w:color w:val="231F20"/>
          <w:spacing w:val="-7"/>
        </w:rPr>
        <w:t> </w:t>
      </w:r>
      <w:r>
        <w:rPr>
          <w:color w:val="231F20"/>
        </w:rPr>
        <w:t>of</w:t>
      </w:r>
      <w:r>
        <w:rPr>
          <w:color w:val="231F20"/>
          <w:spacing w:val="-6"/>
        </w:rPr>
        <w:t> </w:t>
      </w:r>
      <w:r>
        <w:rPr>
          <w:color w:val="231F20"/>
        </w:rPr>
        <w:t>boarders</w:t>
      </w:r>
      <w:r>
        <w:rPr>
          <w:color w:val="231F20"/>
          <w:spacing w:val="-7"/>
        </w:rPr>
        <w:t> </w:t>
      </w:r>
      <w:r>
        <w:rPr>
          <w:color w:val="231F20"/>
        </w:rPr>
        <w:t>and</w:t>
      </w:r>
      <w:r>
        <w:rPr>
          <w:color w:val="231F20"/>
          <w:spacing w:val="-7"/>
        </w:rPr>
        <w:t> </w:t>
      </w:r>
      <w:r>
        <w:rPr>
          <w:color w:val="231F20"/>
        </w:rPr>
        <w:t>total</w:t>
      </w:r>
      <w:r>
        <w:rPr>
          <w:color w:val="231F20"/>
          <w:spacing w:val="-6"/>
        </w:rPr>
        <w:t> </w:t>
      </w:r>
      <w:r>
        <w:rPr>
          <w:color w:val="231F20"/>
        </w:rPr>
        <w:t>revenue</w:t>
      </w:r>
      <w:r>
        <w:rPr>
          <w:color w:val="231F20"/>
          <w:w w:val="99"/>
        </w:rPr>
        <w:t> </w:t>
      </w:r>
      <w:r>
        <w:rPr>
          <w:color w:val="231F20"/>
        </w:rPr>
        <w:t>and</w:t>
      </w:r>
      <w:r>
        <w:rPr>
          <w:color w:val="231F20"/>
          <w:spacing w:val="-7"/>
        </w:rPr>
        <w:t> </w:t>
      </w:r>
      <w:r>
        <w:rPr>
          <w:color w:val="231F20"/>
        </w:rPr>
        <w:t>costs</w:t>
      </w:r>
      <w:r>
        <w:rPr>
          <w:color w:val="231F20"/>
          <w:spacing w:val="-6"/>
        </w:rPr>
        <w:t> </w:t>
      </w:r>
      <w:r>
        <w:rPr>
          <w:color w:val="231F20"/>
        </w:rPr>
        <w:t>to</w:t>
      </w:r>
      <w:r>
        <w:rPr>
          <w:color w:val="231F20"/>
          <w:spacing w:val="-5"/>
        </w:rPr>
        <w:t> </w:t>
      </w:r>
      <w:r>
        <w:rPr>
          <w:color w:val="231F20"/>
        </w:rPr>
        <w:t>calculate</w:t>
      </w:r>
      <w:r>
        <w:rPr>
          <w:color w:val="231F20"/>
          <w:spacing w:val="-6"/>
        </w:rPr>
        <w:t> </w:t>
      </w:r>
      <w:r>
        <w:rPr>
          <w:color w:val="231F20"/>
        </w:rPr>
        <w:t>average</w:t>
      </w:r>
      <w:r>
        <w:rPr>
          <w:color w:val="231F20"/>
          <w:spacing w:val="-6"/>
        </w:rPr>
        <w:t> </w:t>
      </w:r>
      <w:r>
        <w:rPr>
          <w:color w:val="231F20"/>
        </w:rPr>
        <w:t>revenue</w:t>
      </w:r>
      <w:r>
        <w:rPr>
          <w:color w:val="231F20"/>
          <w:spacing w:val="-6"/>
        </w:rPr>
        <w:t> </w:t>
      </w:r>
      <w:r>
        <w:rPr>
          <w:color w:val="231F20"/>
        </w:rPr>
        <w:t>and</w:t>
      </w:r>
      <w:r>
        <w:rPr>
          <w:color w:val="231F20"/>
          <w:w w:val="99"/>
        </w:rPr>
        <w:t> </w:t>
      </w:r>
      <w:r>
        <w:rPr>
          <w:color w:val="231F20"/>
        </w:rPr>
        <w:t>costs.</w:t>
      </w:r>
      <w:r>
        <w:rPr>
          <w:color w:val="231F20"/>
          <w:spacing w:val="-4"/>
        </w:rPr>
        <w:t> </w:t>
      </w:r>
      <w:r>
        <w:rPr>
          <w:color w:val="231F20"/>
        </w:rPr>
        <w:t>The</w:t>
      </w:r>
      <w:r>
        <w:rPr>
          <w:color w:val="231F20"/>
          <w:spacing w:val="-2"/>
        </w:rPr>
        <w:t> </w:t>
      </w:r>
      <w:r>
        <w:rPr>
          <w:color w:val="231F20"/>
        </w:rPr>
        <w:t>result</w:t>
      </w:r>
      <w:r>
        <w:rPr>
          <w:color w:val="231F20"/>
          <w:spacing w:val="-4"/>
        </w:rPr>
        <w:t> </w:t>
      </w:r>
      <w:r>
        <w:rPr>
          <w:color w:val="231F20"/>
          <w:spacing w:val="-1"/>
        </w:rPr>
        <w:t>is</w:t>
      </w:r>
      <w:r>
        <w:rPr>
          <w:color w:val="231F20"/>
          <w:spacing w:val="-3"/>
        </w:rPr>
        <w:t> </w:t>
      </w:r>
      <w:r>
        <w:rPr>
          <w:color w:val="231F20"/>
        </w:rPr>
        <w:t>relatively</w:t>
      </w:r>
      <w:r>
        <w:rPr>
          <w:color w:val="231F20"/>
          <w:spacing w:val="-4"/>
        </w:rPr>
        <w:t> </w:t>
      </w:r>
      <w:r>
        <w:rPr>
          <w:color w:val="231F20"/>
        </w:rPr>
        <w:t>the</w:t>
      </w:r>
      <w:r>
        <w:rPr>
          <w:color w:val="231F20"/>
          <w:spacing w:val="-4"/>
        </w:rPr>
        <w:t> </w:t>
      </w:r>
      <w:r>
        <w:rPr>
          <w:color w:val="231F20"/>
          <w:spacing w:val="-1"/>
        </w:rPr>
        <w:t>same</w:t>
      </w:r>
      <w:r>
        <w:rPr>
          <w:color w:val="231F20"/>
          <w:spacing w:val="-2"/>
        </w:rPr>
        <w:t> </w:t>
      </w:r>
      <w:r>
        <w:rPr>
          <w:color w:val="231F20"/>
          <w:spacing w:val="-1"/>
        </w:rPr>
        <w:t>in</w:t>
      </w:r>
      <w:r>
        <w:rPr>
          <w:color w:val="231F20"/>
          <w:spacing w:val="-2"/>
        </w:rPr>
        <w:t> </w:t>
      </w:r>
      <w:r>
        <w:rPr>
          <w:color w:val="231F20"/>
        </w:rPr>
        <w:t>terms</w:t>
      </w:r>
      <w:r>
        <w:rPr>
          <w:color w:val="231F20"/>
          <w:spacing w:val="23"/>
        </w:rPr>
        <w:t> </w:t>
      </w:r>
      <w:r>
        <w:rPr>
          <w:color w:val="231F20"/>
        </w:rPr>
        <w:t>of</w:t>
      </w:r>
      <w:r>
        <w:rPr>
          <w:color w:val="231F20"/>
          <w:spacing w:val="-10"/>
        </w:rPr>
        <w:t> </w:t>
      </w:r>
      <w:r>
        <w:rPr>
          <w:color w:val="231F20"/>
        </w:rPr>
        <w:t>calculating</w:t>
      </w:r>
      <w:r>
        <w:rPr>
          <w:color w:val="231F20"/>
          <w:spacing w:val="-11"/>
        </w:rPr>
        <w:t> </w:t>
      </w:r>
      <w:r>
        <w:rPr>
          <w:color w:val="231F20"/>
        </w:rPr>
        <w:t>averages.</w:t>
      </w:r>
      <w:r>
        <w:rPr/>
      </w:r>
    </w:p>
    <w:p>
      <w:pPr>
        <w:pStyle w:val="BodyText"/>
        <w:spacing w:line="250" w:lineRule="exact" w:before="113"/>
        <w:ind w:left="145" w:right="1"/>
        <w:jc w:val="left"/>
      </w:pPr>
      <w:r>
        <w:rPr>
          <w:color w:val="231F20"/>
        </w:rPr>
        <w:t>A</w:t>
      </w:r>
      <w:r>
        <w:rPr>
          <w:color w:val="231F20"/>
          <w:spacing w:val="-6"/>
        </w:rPr>
        <w:t> </w:t>
      </w:r>
      <w:r>
        <w:rPr>
          <w:color w:val="231F20"/>
        </w:rPr>
        <w:t>number</w:t>
      </w:r>
      <w:r>
        <w:rPr>
          <w:color w:val="231F20"/>
          <w:spacing w:val="-7"/>
        </w:rPr>
        <w:t> </w:t>
      </w:r>
      <w:r>
        <w:rPr>
          <w:color w:val="231F20"/>
        </w:rPr>
        <w:t>of</w:t>
      </w:r>
      <w:r>
        <w:rPr>
          <w:color w:val="231F20"/>
          <w:spacing w:val="-6"/>
        </w:rPr>
        <w:t> </w:t>
      </w:r>
      <w:r>
        <w:rPr>
          <w:color w:val="231F20"/>
        </w:rPr>
        <w:t>the</w:t>
      </w:r>
      <w:r>
        <w:rPr>
          <w:color w:val="231F20"/>
          <w:spacing w:val="-7"/>
        </w:rPr>
        <w:t> </w:t>
      </w:r>
      <w:r>
        <w:rPr>
          <w:color w:val="231F20"/>
        </w:rPr>
        <w:t>boarding</w:t>
      </w:r>
      <w:r>
        <w:rPr>
          <w:color w:val="231F20"/>
          <w:spacing w:val="-7"/>
        </w:rPr>
        <w:t> </w:t>
      </w:r>
      <w:r>
        <w:rPr>
          <w:color w:val="231F20"/>
        </w:rPr>
        <w:t>providers</w:t>
      </w:r>
      <w:r>
        <w:rPr>
          <w:color w:val="231F20"/>
          <w:spacing w:val="-7"/>
        </w:rPr>
        <w:t> </w:t>
      </w:r>
      <w:r>
        <w:rPr>
          <w:color w:val="231F20"/>
          <w:spacing w:val="-1"/>
        </w:rPr>
        <w:t>included</w:t>
      </w:r>
      <w:r>
        <w:rPr>
          <w:color w:val="231F20"/>
          <w:spacing w:val="20"/>
          <w:w w:val="99"/>
        </w:rPr>
        <w:t> </w:t>
      </w:r>
      <w:r>
        <w:rPr>
          <w:color w:val="231F20"/>
          <w:spacing w:val="-1"/>
        </w:rPr>
        <w:t>in</w:t>
      </w:r>
      <w:r>
        <w:rPr>
          <w:color w:val="231F20"/>
          <w:spacing w:val="-4"/>
        </w:rPr>
        <w:t> </w:t>
      </w:r>
      <w:r>
        <w:rPr>
          <w:color w:val="231F20"/>
        </w:rPr>
        <w:t>the</w:t>
      </w:r>
      <w:r>
        <w:rPr>
          <w:color w:val="231F20"/>
          <w:spacing w:val="-5"/>
        </w:rPr>
        <w:t> </w:t>
      </w:r>
      <w:r>
        <w:rPr>
          <w:color w:val="231F20"/>
        </w:rPr>
        <w:t>analysis</w:t>
      </w:r>
      <w:r>
        <w:rPr>
          <w:color w:val="231F20"/>
          <w:spacing w:val="-5"/>
        </w:rPr>
        <w:t> </w:t>
      </w:r>
      <w:r>
        <w:rPr>
          <w:color w:val="231F20"/>
        </w:rPr>
        <w:t>rely</w:t>
      </w:r>
      <w:r>
        <w:rPr>
          <w:color w:val="231F20"/>
          <w:spacing w:val="-5"/>
        </w:rPr>
        <w:t> </w:t>
      </w:r>
      <w:r>
        <w:rPr>
          <w:color w:val="231F20"/>
        </w:rPr>
        <w:t>on</w:t>
      </w:r>
      <w:r>
        <w:rPr>
          <w:color w:val="231F20"/>
          <w:spacing w:val="-3"/>
        </w:rPr>
        <w:t> </w:t>
      </w:r>
      <w:r>
        <w:rPr>
          <w:color w:val="231F20"/>
        </w:rPr>
        <w:t>private</w:t>
      </w:r>
      <w:r>
        <w:rPr>
          <w:color w:val="231F20"/>
          <w:spacing w:val="-5"/>
        </w:rPr>
        <w:t> </w:t>
      </w:r>
      <w:r>
        <w:rPr>
          <w:color w:val="231F20"/>
        </w:rPr>
        <w:t>donations</w:t>
      </w:r>
      <w:r>
        <w:rPr>
          <w:color w:val="231F20"/>
          <w:spacing w:val="-5"/>
        </w:rPr>
        <w:t> </w:t>
      </w:r>
      <w:r>
        <w:rPr>
          <w:color w:val="231F20"/>
        </w:rPr>
        <w:t>and</w:t>
      </w:r>
      <w:r>
        <w:rPr>
          <w:color w:val="231F20"/>
          <w:spacing w:val="21"/>
          <w:w w:val="99"/>
        </w:rPr>
        <w:t> </w:t>
      </w:r>
      <w:r>
        <w:rPr>
          <w:color w:val="231F20"/>
        </w:rPr>
        <w:t>philanthropic</w:t>
      </w:r>
      <w:r>
        <w:rPr>
          <w:color w:val="231F20"/>
          <w:spacing w:val="-6"/>
        </w:rPr>
        <w:t> </w:t>
      </w:r>
      <w:r>
        <w:rPr>
          <w:color w:val="231F20"/>
        </w:rPr>
        <w:t>gifts</w:t>
      </w:r>
      <w:r>
        <w:rPr>
          <w:color w:val="231F20"/>
          <w:spacing w:val="-6"/>
        </w:rPr>
        <w:t> </w:t>
      </w:r>
      <w:r>
        <w:rPr>
          <w:color w:val="231F20"/>
        </w:rPr>
        <w:t>to</w:t>
      </w:r>
      <w:r>
        <w:rPr>
          <w:color w:val="231F20"/>
          <w:spacing w:val="-5"/>
        </w:rPr>
        <w:t> </w:t>
      </w:r>
      <w:r>
        <w:rPr>
          <w:color w:val="231F20"/>
          <w:spacing w:val="-1"/>
        </w:rPr>
        <w:t>supplement</w:t>
      </w:r>
      <w:r>
        <w:rPr>
          <w:color w:val="231F20"/>
          <w:spacing w:val="-4"/>
        </w:rPr>
        <w:t> </w:t>
      </w:r>
      <w:r>
        <w:rPr>
          <w:color w:val="231F20"/>
        </w:rPr>
        <w:t>funding</w:t>
      </w:r>
      <w:r>
        <w:rPr>
          <w:color w:val="231F20"/>
          <w:spacing w:val="-5"/>
        </w:rPr>
        <w:t> </w:t>
      </w:r>
      <w:r>
        <w:rPr>
          <w:color w:val="231F20"/>
        </w:rPr>
        <w:t>from</w:t>
      </w:r>
      <w:r>
        <w:rPr>
          <w:color w:val="231F20"/>
          <w:spacing w:val="22"/>
          <w:w w:val="99"/>
        </w:rPr>
        <w:t> </w:t>
      </w:r>
      <w:r>
        <w:rPr>
          <w:color w:val="231F20"/>
        </w:rPr>
        <w:t>fees</w:t>
      </w:r>
      <w:r>
        <w:rPr>
          <w:color w:val="231F20"/>
          <w:spacing w:val="-8"/>
        </w:rPr>
        <w:t> </w:t>
      </w:r>
      <w:r>
        <w:rPr>
          <w:color w:val="231F20"/>
        </w:rPr>
        <w:t>and</w:t>
      </w:r>
      <w:r>
        <w:rPr>
          <w:color w:val="231F20"/>
          <w:spacing w:val="-7"/>
        </w:rPr>
        <w:t> </w:t>
      </w:r>
      <w:r>
        <w:rPr>
          <w:color w:val="231F20"/>
        </w:rPr>
        <w:t>charges</w:t>
      </w:r>
      <w:r>
        <w:rPr>
          <w:color w:val="231F20"/>
          <w:spacing w:val="-7"/>
        </w:rPr>
        <w:t> </w:t>
      </w:r>
      <w:r>
        <w:rPr>
          <w:color w:val="231F20"/>
        </w:rPr>
        <w:t>and</w:t>
      </w:r>
      <w:r>
        <w:rPr>
          <w:color w:val="231F20"/>
          <w:spacing w:val="-8"/>
        </w:rPr>
        <w:t> </w:t>
      </w:r>
      <w:r>
        <w:rPr>
          <w:color w:val="231F20"/>
        </w:rPr>
        <w:t>government</w:t>
      </w:r>
      <w:r>
        <w:rPr>
          <w:color w:val="231F20"/>
          <w:spacing w:val="-7"/>
        </w:rPr>
        <w:t> </w:t>
      </w:r>
      <w:r>
        <w:rPr>
          <w:color w:val="231F20"/>
        </w:rPr>
        <w:t>funding.</w:t>
      </w:r>
      <w:r>
        <w:rPr/>
      </w:r>
    </w:p>
    <w:p>
      <w:pPr>
        <w:pStyle w:val="BodyText"/>
        <w:spacing w:line="250" w:lineRule="exact"/>
        <w:ind w:left="145" w:right="363"/>
        <w:jc w:val="left"/>
      </w:pPr>
      <w:r>
        <w:rPr>
          <w:color w:val="231F20"/>
          <w:spacing w:val="-1"/>
        </w:rPr>
        <w:t>In</w:t>
      </w:r>
      <w:r>
        <w:rPr>
          <w:color w:val="231F20"/>
          <w:spacing w:val="-4"/>
        </w:rPr>
        <w:t> </w:t>
      </w:r>
      <w:r>
        <w:rPr>
          <w:color w:val="231F20"/>
          <w:spacing w:val="-1"/>
        </w:rPr>
        <w:t>2016</w:t>
      </w:r>
      <w:r>
        <w:rPr>
          <w:color w:val="231F20"/>
          <w:spacing w:val="-4"/>
        </w:rPr>
        <w:t> </w:t>
      </w:r>
      <w:r>
        <w:rPr>
          <w:color w:val="231F20"/>
        </w:rPr>
        <w:t>two</w:t>
      </w:r>
      <w:r>
        <w:rPr>
          <w:color w:val="231F20"/>
          <w:spacing w:val="-4"/>
        </w:rPr>
        <w:t> </w:t>
      </w:r>
      <w:r>
        <w:rPr>
          <w:color w:val="231F20"/>
        </w:rPr>
        <w:t>high</w:t>
      </w:r>
      <w:r>
        <w:rPr>
          <w:color w:val="231F20"/>
          <w:spacing w:val="-5"/>
        </w:rPr>
        <w:t> </w:t>
      </w:r>
      <w:r>
        <w:rPr>
          <w:color w:val="231F20"/>
        </w:rPr>
        <w:t>cost</w:t>
      </w:r>
      <w:r>
        <w:rPr>
          <w:color w:val="231F20"/>
          <w:spacing w:val="-5"/>
        </w:rPr>
        <w:t> </w:t>
      </w:r>
      <w:r>
        <w:rPr>
          <w:color w:val="231F20"/>
        </w:rPr>
        <w:t>boarding</w:t>
      </w:r>
      <w:r>
        <w:rPr>
          <w:color w:val="231F20"/>
          <w:spacing w:val="-5"/>
        </w:rPr>
        <w:t> </w:t>
      </w:r>
      <w:r>
        <w:rPr>
          <w:color w:val="231F20"/>
        </w:rPr>
        <w:t>providers</w:t>
      </w:r>
      <w:r>
        <w:rPr>
          <w:color w:val="231F20"/>
          <w:spacing w:val="22"/>
          <w:w w:val="99"/>
        </w:rPr>
        <w:t> </w:t>
      </w:r>
      <w:r>
        <w:rPr>
          <w:color w:val="231F20"/>
        </w:rPr>
        <w:t>each</w:t>
      </w:r>
      <w:r>
        <w:rPr>
          <w:color w:val="231F20"/>
          <w:spacing w:val="-5"/>
        </w:rPr>
        <w:t> </w:t>
      </w:r>
      <w:r>
        <w:rPr>
          <w:color w:val="231F20"/>
        </w:rPr>
        <w:t>received</w:t>
      </w:r>
      <w:r>
        <w:rPr>
          <w:color w:val="231F20"/>
          <w:spacing w:val="-5"/>
        </w:rPr>
        <w:t> </w:t>
      </w:r>
      <w:r>
        <w:rPr>
          <w:color w:val="231F20"/>
        </w:rPr>
        <w:t>over</w:t>
      </w:r>
      <w:r>
        <w:rPr>
          <w:color w:val="231F20"/>
          <w:spacing w:val="-4"/>
        </w:rPr>
        <w:t> </w:t>
      </w:r>
      <w:r>
        <w:rPr>
          <w:color w:val="231F20"/>
          <w:spacing w:val="-1"/>
        </w:rPr>
        <w:t>$1</w:t>
      </w:r>
      <w:r>
        <w:rPr>
          <w:color w:val="231F20"/>
          <w:spacing w:val="-4"/>
        </w:rPr>
        <w:t> </w:t>
      </w:r>
      <w:r>
        <w:rPr>
          <w:color w:val="231F20"/>
          <w:spacing w:val="-1"/>
        </w:rPr>
        <w:t>million</w:t>
      </w:r>
      <w:r>
        <w:rPr>
          <w:color w:val="231F20"/>
          <w:spacing w:val="-4"/>
        </w:rPr>
        <w:t> </w:t>
      </w:r>
      <w:r>
        <w:rPr>
          <w:color w:val="231F20"/>
          <w:spacing w:val="-1"/>
        </w:rPr>
        <w:t>in</w:t>
      </w:r>
      <w:r>
        <w:rPr>
          <w:color w:val="231F20"/>
          <w:spacing w:val="-4"/>
        </w:rPr>
        <w:t> </w:t>
      </w:r>
      <w:r>
        <w:rPr>
          <w:color w:val="231F20"/>
        </w:rPr>
        <w:t>donations/</w:t>
      </w:r>
      <w:r>
        <w:rPr>
          <w:color w:val="231F20"/>
          <w:spacing w:val="24"/>
          <w:w w:val="99"/>
        </w:rPr>
        <w:t> </w:t>
      </w:r>
      <w:r>
        <w:rPr>
          <w:color w:val="231F20"/>
        </w:rPr>
        <w:t>philanthropic</w:t>
      </w:r>
      <w:r>
        <w:rPr>
          <w:color w:val="231F20"/>
          <w:spacing w:val="-13"/>
        </w:rPr>
        <w:t> </w:t>
      </w:r>
      <w:r>
        <w:rPr>
          <w:color w:val="231F20"/>
          <w:spacing w:val="-1"/>
        </w:rPr>
        <w:t>support,</w:t>
      </w:r>
      <w:r>
        <w:rPr>
          <w:color w:val="231F20"/>
          <w:spacing w:val="-11"/>
        </w:rPr>
        <w:t> </w:t>
      </w:r>
      <w:r>
        <w:rPr>
          <w:color w:val="231F20"/>
        </w:rPr>
        <w:t>which</w:t>
      </w:r>
      <w:r>
        <w:rPr>
          <w:color w:val="231F20"/>
          <w:spacing w:val="-12"/>
        </w:rPr>
        <w:t> </w:t>
      </w:r>
      <w:r>
        <w:rPr>
          <w:color w:val="231F20"/>
        </w:rPr>
        <w:t>represented</w:t>
      </w:r>
      <w:r>
        <w:rPr>
          <w:color w:val="231F20"/>
          <w:spacing w:val="22"/>
          <w:w w:val="99"/>
        </w:rPr>
        <w:t> </w:t>
      </w:r>
      <w:r>
        <w:rPr>
          <w:color w:val="231F20"/>
          <w:spacing w:val="-1"/>
        </w:rPr>
        <w:t>49</w:t>
      </w:r>
      <w:r>
        <w:rPr>
          <w:color w:val="231F20"/>
          <w:spacing w:val="-3"/>
        </w:rPr>
        <w:t> </w:t>
      </w:r>
      <w:r>
        <w:rPr>
          <w:color w:val="231F20"/>
        </w:rPr>
        <w:t>per</w:t>
      </w:r>
      <w:r>
        <w:rPr>
          <w:color w:val="231F20"/>
          <w:spacing w:val="-2"/>
        </w:rPr>
        <w:t> </w:t>
      </w:r>
      <w:r>
        <w:rPr>
          <w:color w:val="231F20"/>
        </w:rPr>
        <w:t>cent</w:t>
      </w:r>
      <w:r>
        <w:rPr>
          <w:color w:val="231F20"/>
          <w:spacing w:val="-4"/>
        </w:rPr>
        <w:t> </w:t>
      </w:r>
      <w:r>
        <w:rPr>
          <w:color w:val="231F20"/>
        </w:rPr>
        <w:t>of</w:t>
      </w:r>
      <w:r>
        <w:rPr>
          <w:color w:val="231F20"/>
          <w:spacing w:val="-2"/>
        </w:rPr>
        <w:t> </w:t>
      </w:r>
      <w:r>
        <w:rPr>
          <w:color w:val="231F20"/>
        </w:rPr>
        <w:t>the</w:t>
      </w:r>
      <w:r>
        <w:rPr>
          <w:color w:val="231F20"/>
          <w:spacing w:val="-3"/>
        </w:rPr>
        <w:t> </w:t>
      </w:r>
      <w:r>
        <w:rPr>
          <w:color w:val="231F20"/>
          <w:spacing w:val="-1"/>
        </w:rPr>
        <w:t>income</w:t>
      </w:r>
      <w:r>
        <w:rPr>
          <w:color w:val="231F20"/>
          <w:spacing w:val="-3"/>
        </w:rPr>
        <w:t> </w:t>
      </w:r>
      <w:r>
        <w:rPr>
          <w:color w:val="231F20"/>
        </w:rPr>
        <w:t>of</w:t>
      </w:r>
      <w:r>
        <w:rPr>
          <w:color w:val="231F20"/>
          <w:spacing w:val="-2"/>
        </w:rPr>
        <w:t> </w:t>
      </w:r>
      <w:r>
        <w:rPr>
          <w:color w:val="231F20"/>
        </w:rPr>
        <w:t>one</w:t>
      </w:r>
      <w:r>
        <w:rPr>
          <w:color w:val="231F20"/>
          <w:spacing w:val="-2"/>
        </w:rPr>
        <w:t> </w:t>
      </w:r>
      <w:r>
        <w:rPr>
          <w:color w:val="231F20"/>
        </w:rPr>
        <w:t>of</w:t>
      </w:r>
      <w:r>
        <w:rPr>
          <w:color w:val="231F20"/>
          <w:spacing w:val="-3"/>
        </w:rPr>
        <w:t> </w:t>
      </w:r>
      <w:r>
        <w:rPr>
          <w:color w:val="231F20"/>
        </w:rPr>
        <w:t>the</w:t>
      </w:r>
      <w:r>
        <w:rPr/>
      </w:r>
    </w:p>
    <w:p>
      <w:pPr>
        <w:pStyle w:val="BodyText"/>
        <w:spacing w:line="250" w:lineRule="exact"/>
        <w:ind w:left="145" w:right="58"/>
        <w:jc w:val="left"/>
        <w:rPr>
          <w:rFonts w:ascii="Segoe UI" w:hAnsi="Segoe UI" w:cs="Segoe UI" w:eastAsia="Segoe UI"/>
        </w:rPr>
      </w:pPr>
      <w:r>
        <w:rPr>
          <w:color w:val="231F20"/>
        </w:rPr>
        <w:t>providers.</w:t>
      </w:r>
      <w:r>
        <w:rPr>
          <w:color w:val="231F20"/>
          <w:spacing w:val="-9"/>
        </w:rPr>
        <w:t> </w:t>
      </w:r>
      <w:r>
        <w:rPr>
          <w:color w:val="231F20"/>
          <w:spacing w:val="-1"/>
        </w:rPr>
        <w:t>Some</w:t>
      </w:r>
      <w:r>
        <w:rPr>
          <w:color w:val="231F20"/>
          <w:spacing w:val="-9"/>
        </w:rPr>
        <w:t> </w:t>
      </w:r>
      <w:r>
        <w:rPr>
          <w:color w:val="231F20"/>
        </w:rPr>
        <w:t>boarding</w:t>
      </w:r>
      <w:r>
        <w:rPr>
          <w:color w:val="231F20"/>
          <w:spacing w:val="-8"/>
        </w:rPr>
        <w:t> </w:t>
      </w:r>
      <w:r>
        <w:rPr>
          <w:color w:val="231F20"/>
        </w:rPr>
        <w:t>providers</w:t>
      </w:r>
      <w:r>
        <w:rPr>
          <w:color w:val="231F20"/>
          <w:spacing w:val="-9"/>
        </w:rPr>
        <w:t> </w:t>
      </w:r>
      <w:r>
        <w:rPr>
          <w:color w:val="231F20"/>
        </w:rPr>
        <w:t>account</w:t>
      </w:r>
      <w:r>
        <w:rPr>
          <w:color w:val="231F20"/>
          <w:spacing w:val="21"/>
          <w:w w:val="99"/>
        </w:rPr>
        <w:t> </w:t>
      </w:r>
      <w:r>
        <w:rPr>
          <w:rFonts w:ascii="Segoe UI"/>
          <w:color w:val="231F20"/>
        </w:rPr>
        <w:t>for donations and gifts in their financial</w:t>
      </w:r>
      <w:r>
        <w:rPr>
          <w:rFonts w:ascii="Segoe UI"/>
          <w:color w:val="231F20"/>
        </w:rPr>
        <w:t> </w:t>
      </w:r>
      <w:r>
        <w:rPr>
          <w:color w:val="231F20"/>
          <w:spacing w:val="-1"/>
        </w:rPr>
        <w:t>statements</w:t>
      </w:r>
      <w:r>
        <w:rPr>
          <w:color w:val="231F20"/>
          <w:spacing w:val="-5"/>
        </w:rPr>
        <w:t> </w:t>
      </w:r>
      <w:r>
        <w:rPr>
          <w:color w:val="231F20"/>
        </w:rPr>
        <w:t>against</w:t>
      </w:r>
      <w:r>
        <w:rPr>
          <w:color w:val="231F20"/>
          <w:spacing w:val="-7"/>
        </w:rPr>
        <w:t> </w:t>
      </w:r>
      <w:r>
        <w:rPr>
          <w:color w:val="231F20"/>
        </w:rPr>
        <w:t>boarding</w:t>
      </w:r>
      <w:r>
        <w:rPr>
          <w:color w:val="231F20"/>
          <w:spacing w:val="-7"/>
        </w:rPr>
        <w:t> </w:t>
      </w:r>
      <w:r>
        <w:rPr>
          <w:color w:val="231F20"/>
        </w:rPr>
        <w:t>only</w:t>
      </w:r>
      <w:r>
        <w:rPr>
          <w:color w:val="231F20"/>
          <w:spacing w:val="-6"/>
        </w:rPr>
        <w:t> </w:t>
      </w:r>
      <w:r>
        <w:rPr>
          <w:color w:val="231F20"/>
        </w:rPr>
        <w:t>while</w:t>
      </w:r>
      <w:r>
        <w:rPr>
          <w:color w:val="231F20"/>
          <w:spacing w:val="-7"/>
        </w:rPr>
        <w:t> </w:t>
      </w:r>
      <w:r>
        <w:rPr>
          <w:color w:val="231F20"/>
        </w:rPr>
        <w:t>others</w:t>
      </w:r>
      <w:r>
        <w:rPr>
          <w:color w:val="231F20"/>
          <w:spacing w:val="22"/>
          <w:w w:val="99"/>
        </w:rPr>
        <w:t> </w:t>
      </w:r>
      <w:r>
        <w:rPr>
          <w:color w:val="231F20"/>
        </w:rPr>
        <w:t>apportion</w:t>
      </w:r>
      <w:r>
        <w:rPr>
          <w:color w:val="231F20"/>
          <w:spacing w:val="-6"/>
        </w:rPr>
        <w:t> </w:t>
      </w:r>
      <w:r>
        <w:rPr>
          <w:color w:val="231F20"/>
          <w:spacing w:val="-1"/>
        </w:rPr>
        <w:t>such</w:t>
      </w:r>
      <w:r>
        <w:rPr>
          <w:color w:val="231F20"/>
          <w:spacing w:val="-5"/>
        </w:rPr>
        <w:t> </w:t>
      </w:r>
      <w:r>
        <w:rPr>
          <w:color w:val="231F20"/>
          <w:spacing w:val="-1"/>
        </w:rPr>
        <w:t>income</w:t>
      </w:r>
      <w:r>
        <w:rPr>
          <w:color w:val="231F20"/>
          <w:spacing w:val="-5"/>
        </w:rPr>
        <w:t> </w:t>
      </w:r>
      <w:r>
        <w:rPr>
          <w:color w:val="231F20"/>
        </w:rPr>
        <w:t>against</w:t>
      </w:r>
      <w:r>
        <w:rPr>
          <w:color w:val="231F20"/>
          <w:spacing w:val="-6"/>
        </w:rPr>
        <w:t> </w:t>
      </w:r>
      <w:r>
        <w:rPr>
          <w:color w:val="231F20"/>
        </w:rPr>
        <w:t>tuition</w:t>
      </w:r>
      <w:r>
        <w:rPr>
          <w:color w:val="231F20"/>
          <w:spacing w:val="-6"/>
        </w:rPr>
        <w:t> </w:t>
      </w:r>
      <w:r>
        <w:rPr>
          <w:color w:val="231F20"/>
        </w:rPr>
        <w:t>and</w:t>
      </w:r>
      <w:r>
        <w:rPr>
          <w:color w:val="231F20"/>
          <w:spacing w:val="23"/>
          <w:w w:val="99"/>
        </w:rPr>
        <w:t> </w:t>
      </w:r>
      <w:r>
        <w:rPr>
          <w:rFonts w:ascii="Segoe UI"/>
          <w:color w:val="231F20"/>
        </w:rPr>
        <w:t>boarding. In addition some of the deficits</w:t>
      </w:r>
      <w:r>
        <w:rPr>
          <w:rFonts w:ascii="Segoe UI"/>
        </w:rPr>
      </w:r>
    </w:p>
    <w:p>
      <w:pPr>
        <w:pStyle w:val="BodyText"/>
        <w:spacing w:line="250" w:lineRule="exact"/>
        <w:ind w:left="145" w:right="229"/>
        <w:jc w:val="left"/>
      </w:pPr>
      <w:r>
        <w:rPr>
          <w:color w:val="231F20"/>
        </w:rPr>
        <w:t>and</w:t>
      </w:r>
      <w:r>
        <w:rPr>
          <w:color w:val="231F20"/>
          <w:spacing w:val="-7"/>
        </w:rPr>
        <w:t> </w:t>
      </w:r>
      <w:r>
        <w:rPr>
          <w:color w:val="231F20"/>
          <w:spacing w:val="-1"/>
        </w:rPr>
        <w:t>losses</w:t>
      </w:r>
      <w:r>
        <w:rPr>
          <w:color w:val="231F20"/>
          <w:spacing w:val="-6"/>
        </w:rPr>
        <w:t> </w:t>
      </w:r>
      <w:r>
        <w:rPr>
          <w:color w:val="231F20"/>
          <w:spacing w:val="-1"/>
        </w:rPr>
        <w:t>incurred</w:t>
      </w:r>
      <w:r>
        <w:rPr>
          <w:color w:val="231F20"/>
          <w:spacing w:val="-6"/>
        </w:rPr>
        <w:t> </w:t>
      </w:r>
      <w:r>
        <w:rPr>
          <w:color w:val="231F20"/>
        </w:rPr>
        <w:t>by</w:t>
      </w:r>
      <w:r>
        <w:rPr>
          <w:color w:val="231F20"/>
          <w:spacing w:val="-6"/>
        </w:rPr>
        <w:t> </w:t>
      </w:r>
      <w:r>
        <w:rPr>
          <w:color w:val="231F20"/>
        </w:rPr>
        <w:t>boarding</w:t>
      </w:r>
      <w:r>
        <w:rPr>
          <w:color w:val="231F20"/>
          <w:spacing w:val="-7"/>
        </w:rPr>
        <w:t> </w:t>
      </w:r>
      <w:r>
        <w:rPr>
          <w:color w:val="231F20"/>
        </w:rPr>
        <w:t>providers</w:t>
      </w:r>
      <w:r>
        <w:rPr>
          <w:color w:val="231F20"/>
          <w:spacing w:val="23"/>
          <w:w w:val="99"/>
        </w:rPr>
        <w:t> </w:t>
      </w:r>
      <w:r>
        <w:rPr>
          <w:color w:val="231F20"/>
        </w:rPr>
        <w:t>are</w:t>
      </w:r>
      <w:r>
        <w:rPr>
          <w:color w:val="231F20"/>
          <w:spacing w:val="-4"/>
        </w:rPr>
        <w:t> </w:t>
      </w:r>
      <w:r>
        <w:rPr>
          <w:color w:val="231F20"/>
        </w:rPr>
        <w:t>directly</w:t>
      </w:r>
      <w:r>
        <w:rPr>
          <w:color w:val="231F20"/>
          <w:spacing w:val="-3"/>
        </w:rPr>
        <w:t> </w:t>
      </w:r>
      <w:r>
        <w:rPr>
          <w:color w:val="231F20"/>
          <w:spacing w:val="-1"/>
        </w:rPr>
        <w:t>met</w:t>
      </w:r>
      <w:r>
        <w:rPr>
          <w:color w:val="231F20"/>
          <w:spacing w:val="-3"/>
        </w:rPr>
        <w:t> </w:t>
      </w:r>
      <w:r>
        <w:rPr>
          <w:color w:val="231F20"/>
        </w:rPr>
        <w:t>by</w:t>
      </w:r>
      <w:r>
        <w:rPr>
          <w:color w:val="231F20"/>
          <w:spacing w:val="-2"/>
        </w:rPr>
        <w:t> </w:t>
      </w:r>
      <w:r>
        <w:rPr>
          <w:color w:val="231F20"/>
        </w:rPr>
        <w:t>a</w:t>
      </w:r>
      <w:r>
        <w:rPr>
          <w:color w:val="231F20"/>
          <w:spacing w:val="-3"/>
        </w:rPr>
        <w:t> </w:t>
      </w:r>
      <w:r>
        <w:rPr>
          <w:color w:val="231F20"/>
        </w:rPr>
        <w:t>third</w:t>
      </w:r>
      <w:r>
        <w:rPr>
          <w:color w:val="231F20"/>
          <w:spacing w:val="-3"/>
        </w:rPr>
        <w:t> </w:t>
      </w:r>
      <w:r>
        <w:rPr>
          <w:color w:val="231F20"/>
        </w:rPr>
        <w:t>party,</w:t>
      </w:r>
      <w:r>
        <w:rPr>
          <w:color w:val="231F20"/>
          <w:spacing w:val="-3"/>
        </w:rPr>
        <w:t> </w:t>
      </w:r>
      <w:r>
        <w:rPr>
          <w:color w:val="231F20"/>
          <w:spacing w:val="-1"/>
        </w:rPr>
        <w:t>such</w:t>
      </w:r>
      <w:r>
        <w:rPr>
          <w:color w:val="231F20"/>
          <w:spacing w:val="-3"/>
        </w:rPr>
        <w:t> </w:t>
      </w:r>
      <w:r>
        <w:rPr>
          <w:color w:val="231F20"/>
        </w:rPr>
        <w:t>as</w:t>
      </w:r>
      <w:r>
        <w:rPr>
          <w:color w:val="231F20"/>
          <w:spacing w:val="-3"/>
        </w:rPr>
        <w:t> </w:t>
      </w:r>
      <w:r>
        <w:rPr>
          <w:color w:val="231F20"/>
        </w:rPr>
        <w:t>a</w:t>
      </w:r>
      <w:r>
        <w:rPr>
          <w:color w:val="231F20"/>
          <w:spacing w:val="22"/>
          <w:w w:val="99"/>
        </w:rPr>
        <w:t> </w:t>
      </w:r>
      <w:r>
        <w:rPr>
          <w:color w:val="231F20"/>
        </w:rPr>
        <w:t>trust,</w:t>
      </w:r>
      <w:r>
        <w:rPr>
          <w:color w:val="231F20"/>
          <w:spacing w:val="-9"/>
        </w:rPr>
        <w:t> </w:t>
      </w:r>
      <w:r>
        <w:rPr>
          <w:color w:val="231F20"/>
        </w:rPr>
        <w:t>donor</w:t>
      </w:r>
      <w:r>
        <w:rPr>
          <w:color w:val="231F20"/>
          <w:spacing w:val="-8"/>
        </w:rPr>
        <w:t> </w:t>
      </w:r>
      <w:r>
        <w:rPr>
          <w:color w:val="231F20"/>
        </w:rPr>
        <w:t>or</w:t>
      </w:r>
      <w:r>
        <w:rPr>
          <w:color w:val="231F20"/>
          <w:spacing w:val="-8"/>
        </w:rPr>
        <w:t> </w:t>
      </w:r>
      <w:r>
        <w:rPr>
          <w:color w:val="231F20"/>
        </w:rPr>
        <w:t>approved</w:t>
      </w:r>
      <w:r>
        <w:rPr>
          <w:color w:val="231F20"/>
          <w:spacing w:val="-8"/>
        </w:rPr>
        <w:t> </w:t>
      </w:r>
      <w:r>
        <w:rPr>
          <w:color w:val="231F20"/>
        </w:rPr>
        <w:t>authority,</w:t>
      </w:r>
      <w:r>
        <w:rPr>
          <w:color w:val="231F20"/>
          <w:spacing w:val="-8"/>
        </w:rPr>
        <w:t> </w:t>
      </w:r>
      <w:r>
        <w:rPr>
          <w:color w:val="231F20"/>
          <w:spacing w:val="-1"/>
        </w:rPr>
        <w:t>including</w:t>
      </w:r>
      <w:r>
        <w:rPr>
          <w:color w:val="231F20"/>
          <w:spacing w:val="20"/>
          <w:w w:val="99"/>
        </w:rPr>
        <w:t> </w:t>
      </w:r>
      <w:r>
        <w:rPr>
          <w:color w:val="231F20"/>
        </w:rPr>
        <w:t>a</w:t>
      </w:r>
      <w:r>
        <w:rPr>
          <w:color w:val="231F20"/>
          <w:spacing w:val="-3"/>
        </w:rPr>
        <w:t> </w:t>
      </w:r>
      <w:r>
        <w:rPr>
          <w:color w:val="231F20"/>
        </w:rPr>
        <w:t>religious</w:t>
      </w:r>
      <w:r>
        <w:rPr>
          <w:color w:val="231F20"/>
          <w:spacing w:val="-4"/>
        </w:rPr>
        <w:t> </w:t>
      </w:r>
      <w:r>
        <w:rPr>
          <w:color w:val="231F20"/>
        </w:rPr>
        <w:t>diocese</w:t>
      </w:r>
      <w:r>
        <w:rPr>
          <w:color w:val="231F20"/>
          <w:spacing w:val="-3"/>
        </w:rPr>
        <w:t> </w:t>
      </w:r>
      <w:r>
        <w:rPr>
          <w:color w:val="231F20"/>
        </w:rPr>
        <w:t>or</w:t>
      </w:r>
      <w:r>
        <w:rPr>
          <w:color w:val="231F20"/>
          <w:spacing w:val="-2"/>
        </w:rPr>
        <w:t> </w:t>
      </w:r>
      <w:r>
        <w:rPr>
          <w:color w:val="231F20"/>
        </w:rPr>
        <w:t>parish.</w:t>
      </w:r>
      <w:r>
        <w:rPr>
          <w:color w:val="231F20"/>
          <w:spacing w:val="-3"/>
        </w:rPr>
        <w:t> </w:t>
      </w:r>
      <w:r>
        <w:rPr>
          <w:color w:val="231F20"/>
        </w:rPr>
        <w:t>These</w:t>
      </w:r>
      <w:r>
        <w:rPr>
          <w:color w:val="231F20"/>
          <w:spacing w:val="-3"/>
        </w:rPr>
        <w:t> </w:t>
      </w:r>
      <w:r>
        <w:rPr>
          <w:color w:val="231F20"/>
        </w:rPr>
        <w:t>are</w:t>
      </w:r>
      <w:r>
        <w:rPr>
          <w:color w:val="231F20"/>
          <w:spacing w:val="-3"/>
        </w:rPr>
        <w:t> </w:t>
      </w:r>
      <w:r>
        <w:rPr>
          <w:color w:val="231F20"/>
        </w:rPr>
        <w:t>not</w:t>
      </w:r>
      <w:r>
        <w:rPr>
          <w:color w:val="231F20"/>
          <w:w w:val="99"/>
        </w:rPr>
        <w:t> </w:t>
      </w:r>
      <w:r>
        <w:rPr>
          <w:rFonts w:ascii="Segoe UI"/>
          <w:color w:val="231F20"/>
        </w:rPr>
        <w:t>uniformly accounted for in the financial</w:t>
      </w:r>
      <w:r>
        <w:rPr>
          <w:rFonts w:ascii="Segoe UI"/>
          <w:color w:val="231F20"/>
        </w:rPr>
        <w:t> </w:t>
      </w:r>
      <w:r>
        <w:rPr>
          <w:color w:val="231F20"/>
          <w:spacing w:val="-1"/>
        </w:rPr>
        <w:t>statements</w:t>
      </w:r>
      <w:r>
        <w:rPr>
          <w:color w:val="231F20"/>
          <w:spacing w:val="-5"/>
        </w:rPr>
        <w:t> </w:t>
      </w:r>
      <w:r>
        <w:rPr>
          <w:color w:val="231F20"/>
        </w:rPr>
        <w:t>of</w:t>
      </w:r>
      <w:r>
        <w:rPr>
          <w:color w:val="231F20"/>
          <w:spacing w:val="-5"/>
        </w:rPr>
        <w:t> </w:t>
      </w:r>
      <w:r>
        <w:rPr>
          <w:color w:val="231F20"/>
        </w:rPr>
        <w:t>the</w:t>
      </w:r>
      <w:r>
        <w:rPr>
          <w:color w:val="231F20"/>
          <w:spacing w:val="-6"/>
        </w:rPr>
        <w:t> </w:t>
      </w:r>
      <w:r>
        <w:rPr>
          <w:color w:val="231F20"/>
        </w:rPr>
        <w:t>boarding</w:t>
      </w:r>
      <w:r>
        <w:rPr>
          <w:color w:val="231F20"/>
          <w:spacing w:val="-6"/>
        </w:rPr>
        <w:t> </w:t>
      </w:r>
      <w:r>
        <w:rPr>
          <w:color w:val="231F20"/>
        </w:rPr>
        <w:t>provider.</w:t>
      </w:r>
      <w:r>
        <w:rPr/>
      </w:r>
    </w:p>
    <w:p>
      <w:pPr>
        <w:spacing w:before="14"/>
        <w:ind w:left="145" w:right="377" w:firstLine="0"/>
        <w:jc w:val="left"/>
        <w:rPr>
          <w:rFonts w:ascii="Segoe UI" w:hAnsi="Segoe UI" w:cs="Segoe UI" w:eastAsia="Segoe UI"/>
          <w:sz w:val="32"/>
          <w:szCs w:val="32"/>
        </w:rPr>
      </w:pPr>
      <w:r>
        <w:rPr/>
        <w:br w:type="column"/>
      </w:r>
      <w:r>
        <w:rPr>
          <w:rFonts w:ascii="Segoe UI"/>
          <w:b/>
          <w:color w:val="452A70"/>
          <w:spacing w:val="-1"/>
          <w:sz w:val="32"/>
        </w:rPr>
        <w:t>Data</w:t>
      </w:r>
      <w:r>
        <w:rPr>
          <w:rFonts w:ascii="Segoe UI"/>
          <w:b/>
          <w:color w:val="452A70"/>
          <w:sz w:val="32"/>
        </w:rPr>
        <w:t> </w:t>
      </w:r>
      <w:r>
        <w:rPr>
          <w:rFonts w:ascii="Segoe UI"/>
          <w:b/>
          <w:color w:val="452A70"/>
          <w:spacing w:val="-1"/>
          <w:sz w:val="32"/>
        </w:rPr>
        <w:t>testing</w:t>
      </w:r>
      <w:r>
        <w:rPr>
          <w:rFonts w:ascii="Segoe UI"/>
          <w:sz w:val="32"/>
        </w:rPr>
      </w:r>
    </w:p>
    <w:p>
      <w:pPr>
        <w:pStyle w:val="BodyText"/>
        <w:spacing w:line="250" w:lineRule="exact" w:before="111"/>
        <w:ind w:left="145" w:right="211"/>
        <w:jc w:val="left"/>
      </w:pPr>
      <w:r>
        <w:rPr>
          <w:color w:val="231F20"/>
          <w:spacing w:val="-4"/>
        </w:rPr>
        <w:t>W</w:t>
      </w:r>
      <w:r>
        <w:rPr>
          <w:color w:val="231F20"/>
          <w:spacing w:val="-5"/>
        </w:rPr>
        <w:t>e </w:t>
      </w:r>
      <w:r>
        <w:rPr>
          <w:color w:val="231F20"/>
        </w:rPr>
        <w:t>tested</w:t>
      </w:r>
      <w:r>
        <w:rPr>
          <w:color w:val="231F20"/>
          <w:spacing w:val="-6"/>
        </w:rPr>
        <w:t> </w:t>
      </w:r>
      <w:r>
        <w:rPr>
          <w:color w:val="231F20"/>
        </w:rPr>
        <w:t>the</w:t>
      </w:r>
      <w:r>
        <w:rPr>
          <w:color w:val="231F20"/>
          <w:spacing w:val="-6"/>
        </w:rPr>
        <w:t> </w:t>
      </w:r>
      <w:r>
        <w:rPr>
          <w:color w:val="231F20"/>
        </w:rPr>
        <w:t>accuracy</w:t>
      </w:r>
      <w:r>
        <w:rPr>
          <w:color w:val="231F20"/>
          <w:spacing w:val="-6"/>
        </w:rPr>
        <w:t> </w:t>
      </w:r>
      <w:r>
        <w:rPr>
          <w:color w:val="231F20"/>
        </w:rPr>
        <w:t>of</w:t>
      </w:r>
      <w:r>
        <w:rPr>
          <w:color w:val="231F20"/>
          <w:spacing w:val="-5"/>
        </w:rPr>
        <w:t> </w:t>
      </w:r>
      <w:r>
        <w:rPr>
          <w:color w:val="231F20"/>
        </w:rPr>
        <w:t>the</w:t>
      </w:r>
      <w:r>
        <w:rPr>
          <w:color w:val="231F20"/>
          <w:spacing w:val="-6"/>
        </w:rPr>
        <w:t> </w:t>
      </w:r>
      <w:r>
        <w:rPr>
          <w:color w:val="231F20"/>
        </w:rPr>
        <w:t>three-year</w:t>
      </w:r>
      <w:r>
        <w:rPr>
          <w:color w:val="231F20"/>
          <w:spacing w:val="-6"/>
        </w:rPr>
        <w:t> </w:t>
      </w:r>
      <w:r>
        <w:rPr>
          <w:color w:val="231F20"/>
        </w:rPr>
        <w:t>trend</w:t>
      </w:r>
      <w:r>
        <w:rPr>
          <w:color w:val="231F20"/>
          <w:spacing w:val="20"/>
          <w:w w:val="99"/>
        </w:rPr>
        <w:t> </w:t>
      </w:r>
      <w:r>
        <w:rPr>
          <w:color w:val="231F20"/>
        </w:rPr>
        <w:t>data</w:t>
      </w:r>
      <w:r>
        <w:rPr>
          <w:color w:val="231F20"/>
          <w:spacing w:val="-6"/>
        </w:rPr>
        <w:t> </w:t>
      </w:r>
      <w:r>
        <w:rPr>
          <w:color w:val="231F20"/>
        </w:rPr>
        <w:t>for</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 </w:t>
      </w:r>
      <w:r>
        <w:rPr>
          <w:color w:val="231F20"/>
          <w:spacing w:val="-2"/>
        </w:rPr>
        <w:t>Strait</w:t>
      </w:r>
      <w:r>
        <w:rPr>
          <w:color w:val="231F20"/>
          <w:spacing w:val="-5"/>
        </w:rPr>
        <w:t> </w:t>
      </w:r>
      <w:r>
        <w:rPr>
          <w:color w:val="231F20"/>
          <w:spacing w:val="-1"/>
        </w:rPr>
        <w:t>Islander</w:t>
      </w:r>
      <w:r>
        <w:rPr>
          <w:color w:val="231F20"/>
          <w:spacing w:val="29"/>
          <w:w w:val="99"/>
        </w:rPr>
        <w:t> </w:t>
      </w:r>
      <w:r>
        <w:rPr>
          <w:color w:val="231F20"/>
        </w:rPr>
        <w:t>boarding</w:t>
      </w:r>
      <w:r>
        <w:rPr>
          <w:color w:val="231F20"/>
          <w:spacing w:val="-8"/>
        </w:rPr>
        <w:t> </w:t>
      </w:r>
      <w:r>
        <w:rPr>
          <w:color w:val="231F20"/>
        </w:rPr>
        <w:t>providers</w:t>
      </w:r>
      <w:r>
        <w:rPr>
          <w:color w:val="231F20"/>
          <w:spacing w:val="-8"/>
        </w:rPr>
        <w:t> </w:t>
      </w:r>
      <w:r>
        <w:rPr>
          <w:color w:val="231F20"/>
        </w:rPr>
        <w:t>by</w:t>
      </w:r>
      <w:r>
        <w:rPr>
          <w:color w:val="231F20"/>
          <w:spacing w:val="-7"/>
        </w:rPr>
        <w:t> </w:t>
      </w:r>
      <w:r>
        <w:rPr>
          <w:color w:val="231F20"/>
        </w:rPr>
        <w:t>undertaking</w:t>
      </w:r>
      <w:r>
        <w:rPr>
          <w:color w:val="231F20"/>
          <w:spacing w:val="-8"/>
        </w:rPr>
        <w:t> </w:t>
      </w:r>
      <w:r>
        <w:rPr>
          <w:color w:val="231F20"/>
        </w:rPr>
        <w:t>a</w:t>
      </w:r>
      <w:r>
        <w:rPr>
          <w:color w:val="231F20"/>
          <w:spacing w:val="-7"/>
        </w:rPr>
        <w:t> </w:t>
      </w:r>
      <w:r>
        <w:rPr>
          <w:color w:val="231F20"/>
        </w:rPr>
        <w:t>high</w:t>
      </w:r>
      <w:r>
        <w:rPr>
          <w:color w:val="231F20"/>
          <w:w w:val="99"/>
        </w:rPr>
        <w:t> </w:t>
      </w:r>
      <w:r>
        <w:rPr>
          <w:color w:val="231F20"/>
          <w:w w:val="99"/>
        </w:rPr>
        <w:t> </w:t>
      </w:r>
      <w:r>
        <w:rPr>
          <w:color w:val="231F20"/>
          <w:spacing w:val="-1"/>
        </w:rPr>
        <w:t>level</w:t>
      </w:r>
      <w:r>
        <w:rPr>
          <w:color w:val="231F20"/>
          <w:spacing w:val="-5"/>
        </w:rPr>
        <w:t> </w:t>
      </w:r>
      <w:r>
        <w:rPr>
          <w:color w:val="231F20"/>
        </w:rPr>
        <w:t>comparison</w:t>
      </w:r>
      <w:r>
        <w:rPr>
          <w:color w:val="231F20"/>
          <w:spacing w:val="-5"/>
        </w:rPr>
        <w:t> </w:t>
      </w:r>
      <w:r>
        <w:rPr>
          <w:color w:val="231F20"/>
        </w:rPr>
        <w:t>of</w:t>
      </w:r>
      <w:r>
        <w:rPr>
          <w:color w:val="231F20"/>
          <w:spacing w:val="-4"/>
        </w:rPr>
        <w:t> </w:t>
      </w:r>
      <w:r>
        <w:rPr>
          <w:color w:val="231F20"/>
        </w:rPr>
        <w:t>the</w:t>
      </w:r>
      <w:r>
        <w:rPr>
          <w:color w:val="231F20"/>
          <w:spacing w:val="-5"/>
        </w:rPr>
        <w:t> </w:t>
      </w:r>
      <w:r>
        <w:rPr>
          <w:color w:val="231F20"/>
          <w:spacing w:val="-1"/>
        </w:rPr>
        <w:t>2016</w:t>
      </w:r>
      <w:r>
        <w:rPr>
          <w:color w:val="231F20"/>
          <w:spacing w:val="-4"/>
        </w:rPr>
        <w:t> </w:t>
      </w:r>
      <w:r>
        <w:rPr>
          <w:color w:val="231F20"/>
        </w:rPr>
        <w:t>data</w:t>
      </w:r>
      <w:r>
        <w:rPr>
          <w:color w:val="231F20"/>
          <w:spacing w:val="-5"/>
        </w:rPr>
        <w:t> </w:t>
      </w:r>
      <w:r>
        <w:rPr>
          <w:color w:val="231F20"/>
        </w:rPr>
        <w:t>against</w:t>
      </w:r>
      <w:r>
        <w:rPr>
          <w:color w:val="231F20"/>
          <w:spacing w:val="-5"/>
        </w:rPr>
        <w:t> </w:t>
      </w:r>
      <w:r>
        <w:rPr>
          <w:color w:val="231F20"/>
        </w:rPr>
        <w:t>the</w:t>
      </w:r>
      <w:r>
        <w:rPr>
          <w:color w:val="231F20"/>
          <w:spacing w:val="23"/>
          <w:w w:val="99"/>
        </w:rPr>
        <w:t> </w:t>
      </w:r>
      <w:r>
        <w:rPr>
          <w:rFonts w:ascii="Segoe UI"/>
          <w:color w:val="231F20"/>
        </w:rPr>
        <w:t>associated financial statements (2016 financial</w:t>
      </w:r>
      <w:r>
        <w:rPr>
          <w:rFonts w:ascii="Segoe UI"/>
          <w:color w:val="231F20"/>
        </w:rPr>
        <w:t> </w:t>
      </w:r>
      <w:r>
        <w:rPr>
          <w:color w:val="231F20"/>
          <w:spacing w:val="-1"/>
        </w:rPr>
        <w:t>statements,</w:t>
      </w:r>
      <w:r>
        <w:rPr>
          <w:color w:val="231F20"/>
          <w:spacing w:val="-10"/>
        </w:rPr>
        <w:t> </w:t>
      </w:r>
      <w:r>
        <w:rPr>
          <w:color w:val="231F20"/>
          <w:spacing w:val="-1"/>
        </w:rPr>
        <w:t>including</w:t>
      </w:r>
      <w:r>
        <w:rPr>
          <w:color w:val="231F20"/>
          <w:spacing w:val="-10"/>
        </w:rPr>
        <w:t> </w:t>
      </w:r>
      <w:r>
        <w:rPr>
          <w:color w:val="231F20"/>
        </w:rPr>
        <w:t>comparatives).</w:t>
      </w:r>
      <w:r>
        <w:rPr>
          <w:color w:val="231F20"/>
          <w:spacing w:val="-12"/>
        </w:rPr>
        <w:t> </w:t>
      </w:r>
      <w:r>
        <w:rPr>
          <w:color w:val="231F20"/>
          <w:spacing w:val="-5"/>
        </w:rPr>
        <w:t>W</w:t>
      </w:r>
      <w:r>
        <w:rPr>
          <w:color w:val="231F20"/>
          <w:spacing w:val="-6"/>
        </w:rPr>
        <w:t>e</w:t>
      </w:r>
      <w:r>
        <w:rPr>
          <w:color w:val="231F20"/>
          <w:spacing w:val="24"/>
          <w:w w:val="99"/>
        </w:rPr>
        <w:t> </w:t>
      </w:r>
      <w:r>
        <w:rPr>
          <w:color w:val="231F20"/>
        </w:rPr>
        <w:t>conducted</w:t>
      </w:r>
      <w:r>
        <w:rPr>
          <w:color w:val="231F20"/>
          <w:spacing w:val="-6"/>
        </w:rPr>
        <w:t> </w:t>
      </w:r>
      <w:r>
        <w:rPr>
          <w:color w:val="231F20"/>
        </w:rPr>
        <w:t>this</w:t>
      </w:r>
      <w:r>
        <w:rPr>
          <w:color w:val="231F20"/>
          <w:spacing w:val="-6"/>
        </w:rPr>
        <w:t> </w:t>
      </w:r>
      <w:r>
        <w:rPr>
          <w:color w:val="231F20"/>
        </w:rPr>
        <w:t>accuracy</w:t>
      </w:r>
      <w:r>
        <w:rPr>
          <w:color w:val="231F20"/>
          <w:spacing w:val="-5"/>
        </w:rPr>
        <w:t> </w:t>
      </w:r>
      <w:r>
        <w:rPr>
          <w:color w:val="231F20"/>
        </w:rPr>
        <w:t>test</w:t>
      </w:r>
      <w:r>
        <w:rPr>
          <w:color w:val="231F20"/>
          <w:spacing w:val="-6"/>
        </w:rPr>
        <w:t> </w:t>
      </w:r>
      <w:r>
        <w:rPr>
          <w:color w:val="231F20"/>
        </w:rPr>
        <w:t>for</w:t>
      </w:r>
      <w:r>
        <w:rPr>
          <w:color w:val="231F20"/>
          <w:spacing w:val="-4"/>
        </w:rPr>
        <w:t> </w:t>
      </w:r>
      <w:r>
        <w:rPr>
          <w:color w:val="231F20"/>
          <w:spacing w:val="-1"/>
        </w:rPr>
        <w:t>12</w:t>
      </w:r>
      <w:r>
        <w:rPr>
          <w:color w:val="231F20"/>
          <w:spacing w:val="-5"/>
        </w:rPr>
        <w:t> </w:t>
      </w:r>
      <w:r>
        <w:rPr>
          <w:color w:val="231F20"/>
        </w:rPr>
        <w:t>boarding</w:t>
      </w:r>
      <w:r>
        <w:rPr>
          <w:color w:val="231F20"/>
          <w:spacing w:val="21"/>
          <w:w w:val="99"/>
        </w:rPr>
        <w:t> </w:t>
      </w:r>
      <w:r>
        <w:rPr>
          <w:color w:val="231F20"/>
        </w:rPr>
        <w:t>providers</w:t>
      </w:r>
      <w:r>
        <w:rPr>
          <w:color w:val="231F20"/>
          <w:spacing w:val="-6"/>
        </w:rPr>
        <w:t> </w:t>
      </w:r>
      <w:r>
        <w:rPr>
          <w:color w:val="231F20"/>
        </w:rPr>
        <w:t>and</w:t>
      </w:r>
      <w:r>
        <w:rPr>
          <w:color w:val="231F20"/>
          <w:spacing w:val="-6"/>
        </w:rPr>
        <w:t> </w:t>
      </w:r>
      <w:r>
        <w:rPr>
          <w:color w:val="231F20"/>
        </w:rPr>
        <w:t>found</w:t>
      </w:r>
      <w:r>
        <w:rPr>
          <w:color w:val="231F20"/>
          <w:spacing w:val="-5"/>
        </w:rPr>
        <w:t> </w:t>
      </w:r>
      <w:r>
        <w:rPr>
          <w:color w:val="231F20"/>
        </w:rPr>
        <w:t>that</w:t>
      </w:r>
      <w:r>
        <w:rPr>
          <w:color w:val="231F20"/>
          <w:spacing w:val="-5"/>
        </w:rPr>
        <w:t> </w:t>
      </w:r>
      <w:r>
        <w:rPr>
          <w:color w:val="231F20"/>
        </w:rPr>
        <w:t>whilst</w:t>
      </w:r>
      <w:r>
        <w:rPr>
          <w:color w:val="231F20"/>
          <w:spacing w:val="-6"/>
        </w:rPr>
        <w:t> </w:t>
      </w:r>
      <w:r>
        <w:rPr>
          <w:color w:val="231F20"/>
        </w:rPr>
        <w:t>there</w:t>
      </w:r>
      <w:r>
        <w:rPr>
          <w:color w:val="231F20"/>
          <w:spacing w:val="-6"/>
        </w:rPr>
        <w:t> </w:t>
      </w:r>
      <w:r>
        <w:rPr>
          <w:color w:val="231F20"/>
        </w:rPr>
        <w:t>was</w:t>
      </w:r>
      <w:r>
        <w:rPr>
          <w:color w:val="231F20"/>
          <w:w w:val="99"/>
        </w:rPr>
        <w:t> </w:t>
      </w:r>
      <w:r>
        <w:rPr>
          <w:color w:val="231F20"/>
          <w:spacing w:val="-1"/>
        </w:rPr>
        <w:t>some</w:t>
      </w:r>
      <w:r>
        <w:rPr>
          <w:color w:val="231F20"/>
          <w:spacing w:val="-6"/>
        </w:rPr>
        <w:t> </w:t>
      </w:r>
      <w:r>
        <w:rPr>
          <w:color w:val="231F20"/>
        </w:rPr>
        <w:t>variability,</w:t>
      </w:r>
      <w:r>
        <w:rPr>
          <w:color w:val="231F20"/>
          <w:spacing w:val="-5"/>
        </w:rPr>
        <w:t> </w:t>
      </w:r>
      <w:r>
        <w:rPr>
          <w:color w:val="231F20"/>
        </w:rPr>
        <w:t>these</w:t>
      </w:r>
      <w:r>
        <w:rPr>
          <w:color w:val="231F20"/>
          <w:spacing w:val="-6"/>
        </w:rPr>
        <w:t> </w:t>
      </w:r>
      <w:r>
        <w:rPr>
          <w:color w:val="231F20"/>
        </w:rPr>
        <w:t>variance</w:t>
      </w:r>
      <w:r>
        <w:rPr>
          <w:color w:val="231F20"/>
          <w:spacing w:val="-5"/>
        </w:rPr>
        <w:t> </w:t>
      </w:r>
      <w:r>
        <w:rPr>
          <w:color w:val="231F20"/>
        </w:rPr>
        <w:t>were</w:t>
      </w:r>
      <w:r>
        <w:rPr>
          <w:color w:val="231F20"/>
          <w:spacing w:val="-6"/>
        </w:rPr>
        <w:t> </w:t>
      </w:r>
      <w:r>
        <w:rPr>
          <w:color w:val="231F20"/>
        </w:rPr>
        <w:t>within</w:t>
      </w:r>
      <w:r>
        <w:rPr/>
      </w:r>
    </w:p>
    <w:p>
      <w:pPr>
        <w:pStyle w:val="BodyText"/>
        <w:spacing w:line="250" w:lineRule="exact"/>
        <w:ind w:left="145" w:right="0"/>
        <w:jc w:val="left"/>
      </w:pPr>
      <w:r>
        <w:rPr>
          <w:color w:val="231F20"/>
          <w:spacing w:val="-1"/>
        </w:rPr>
        <w:t>15</w:t>
      </w:r>
      <w:r>
        <w:rPr>
          <w:color w:val="231F20"/>
          <w:spacing w:val="-5"/>
        </w:rPr>
        <w:t> </w:t>
      </w:r>
      <w:r>
        <w:rPr>
          <w:color w:val="231F20"/>
        </w:rPr>
        <w:t>per</w:t>
      </w:r>
      <w:r>
        <w:rPr>
          <w:color w:val="231F20"/>
          <w:spacing w:val="-4"/>
        </w:rPr>
        <w:t> </w:t>
      </w:r>
      <w:r>
        <w:rPr>
          <w:color w:val="231F20"/>
        </w:rPr>
        <w:t>cent,</w:t>
      </w:r>
      <w:r>
        <w:rPr>
          <w:color w:val="231F20"/>
          <w:spacing w:val="-6"/>
        </w:rPr>
        <w:t> </w:t>
      </w:r>
      <w:r>
        <w:rPr>
          <w:color w:val="231F20"/>
        </w:rPr>
        <w:t>with</w:t>
      </w:r>
      <w:r>
        <w:rPr>
          <w:color w:val="231F20"/>
          <w:spacing w:val="-5"/>
        </w:rPr>
        <w:t> </w:t>
      </w:r>
      <w:r>
        <w:rPr>
          <w:color w:val="231F20"/>
        </w:rPr>
        <w:t>the</w:t>
      </w:r>
      <w:r>
        <w:rPr>
          <w:color w:val="231F20"/>
          <w:spacing w:val="-6"/>
        </w:rPr>
        <w:t> </w:t>
      </w:r>
      <w:r>
        <w:rPr>
          <w:color w:val="231F20"/>
        </w:rPr>
        <w:t>exception</w:t>
      </w:r>
      <w:r>
        <w:rPr>
          <w:color w:val="231F20"/>
          <w:spacing w:val="-5"/>
        </w:rPr>
        <w:t> </w:t>
      </w:r>
      <w:r>
        <w:rPr>
          <w:color w:val="231F20"/>
        </w:rPr>
        <w:t>of</w:t>
      </w:r>
      <w:r>
        <w:rPr>
          <w:color w:val="231F20"/>
          <w:spacing w:val="-4"/>
        </w:rPr>
        <w:t> </w:t>
      </w:r>
      <w:r>
        <w:rPr>
          <w:color w:val="231F20"/>
        </w:rPr>
        <w:t>one</w:t>
      </w:r>
      <w:r>
        <w:rPr>
          <w:color w:val="231F20"/>
          <w:spacing w:val="-5"/>
        </w:rPr>
        <w:t> </w:t>
      </w:r>
      <w:r>
        <w:rPr>
          <w:color w:val="231F20"/>
        </w:rPr>
        <w:t>boarding</w:t>
      </w:r>
      <w:r>
        <w:rPr>
          <w:color w:val="231F20"/>
          <w:spacing w:val="21"/>
          <w:w w:val="99"/>
        </w:rPr>
        <w:t> </w:t>
      </w:r>
      <w:r>
        <w:rPr>
          <w:color w:val="231F20"/>
        </w:rPr>
        <w:t>provider.</w:t>
      </w:r>
      <w:r>
        <w:rPr>
          <w:color w:val="231F20"/>
          <w:spacing w:val="-6"/>
        </w:rPr>
        <w:t> </w:t>
      </w:r>
      <w:r>
        <w:rPr>
          <w:color w:val="231F20"/>
        </w:rPr>
        <w:t>Our</w:t>
      </w:r>
      <w:r>
        <w:rPr>
          <w:color w:val="231F20"/>
          <w:spacing w:val="-5"/>
        </w:rPr>
        <w:t> </w:t>
      </w:r>
      <w:r>
        <w:rPr>
          <w:color w:val="231F20"/>
        </w:rPr>
        <w:t>analysis</w:t>
      </w:r>
      <w:r>
        <w:rPr>
          <w:color w:val="231F20"/>
          <w:spacing w:val="-5"/>
        </w:rPr>
        <w:t> </w:t>
      </w:r>
      <w:r>
        <w:rPr>
          <w:color w:val="231F20"/>
        </w:rPr>
        <w:t>of</w:t>
      </w:r>
      <w:r>
        <w:rPr>
          <w:color w:val="231F20"/>
          <w:spacing w:val="-5"/>
        </w:rPr>
        <w:t> </w:t>
      </w:r>
      <w:r>
        <w:rPr>
          <w:color w:val="231F20"/>
        </w:rPr>
        <w:t>that</w:t>
      </w:r>
      <w:r>
        <w:rPr>
          <w:color w:val="231F20"/>
          <w:spacing w:val="-6"/>
        </w:rPr>
        <w:t> </w:t>
      </w:r>
      <w:r>
        <w:rPr>
          <w:color w:val="231F20"/>
        </w:rPr>
        <w:t>one</w:t>
      </w:r>
      <w:r>
        <w:rPr>
          <w:color w:val="231F20"/>
          <w:spacing w:val="-4"/>
        </w:rPr>
        <w:t> </w:t>
      </w:r>
      <w:r>
        <w:rPr>
          <w:color w:val="231F20"/>
        </w:rPr>
        <w:t>boarding</w:t>
      </w:r>
      <w:r>
        <w:rPr>
          <w:color w:val="231F20"/>
          <w:w w:val="99"/>
        </w:rPr>
        <w:t> </w:t>
      </w:r>
      <w:r>
        <w:rPr>
          <w:rFonts w:ascii="Segoe UI"/>
          <w:color w:val="231F20"/>
        </w:rPr>
        <w:t>provider identified a recurrent revenue variance</w:t>
      </w:r>
      <w:r>
        <w:rPr>
          <w:rFonts w:ascii="Segoe UI"/>
          <w:color w:val="231F20"/>
        </w:rPr>
        <w:t> </w:t>
      </w:r>
      <w:r>
        <w:rPr>
          <w:color w:val="231F20"/>
        </w:rPr>
        <w:t>of</w:t>
      </w:r>
      <w:r>
        <w:rPr>
          <w:color w:val="231F20"/>
          <w:spacing w:val="-4"/>
        </w:rPr>
        <w:t> </w:t>
      </w:r>
      <w:r>
        <w:rPr>
          <w:color w:val="231F20"/>
          <w:spacing w:val="-1"/>
        </w:rPr>
        <w:t>21</w:t>
      </w:r>
      <w:r>
        <w:rPr>
          <w:color w:val="231F20"/>
          <w:spacing w:val="-4"/>
        </w:rPr>
        <w:t> </w:t>
      </w:r>
      <w:r>
        <w:rPr>
          <w:color w:val="231F20"/>
        </w:rPr>
        <w:t>per</w:t>
      </w:r>
      <w:r>
        <w:rPr>
          <w:color w:val="231F20"/>
          <w:spacing w:val="-3"/>
        </w:rPr>
        <w:t> </w:t>
      </w:r>
      <w:r>
        <w:rPr>
          <w:color w:val="231F20"/>
        </w:rPr>
        <w:t>cent</w:t>
      </w:r>
      <w:r>
        <w:rPr>
          <w:color w:val="231F20"/>
          <w:spacing w:val="-5"/>
        </w:rPr>
        <w:t> </w:t>
      </w:r>
      <w:r>
        <w:rPr>
          <w:color w:val="231F20"/>
        </w:rPr>
        <w:t>for</w:t>
      </w:r>
      <w:r>
        <w:rPr>
          <w:color w:val="231F20"/>
          <w:spacing w:val="-3"/>
        </w:rPr>
        <w:t> </w:t>
      </w:r>
      <w:r>
        <w:rPr>
          <w:color w:val="231F20"/>
        </w:rPr>
        <w:t>the</w:t>
      </w:r>
      <w:r>
        <w:rPr>
          <w:color w:val="231F20"/>
          <w:spacing w:val="-5"/>
        </w:rPr>
        <w:t> </w:t>
      </w:r>
      <w:r>
        <w:rPr>
          <w:color w:val="231F20"/>
        </w:rPr>
        <w:t>year</w:t>
      </w:r>
      <w:r>
        <w:rPr>
          <w:color w:val="231F20"/>
          <w:spacing w:val="-4"/>
        </w:rPr>
        <w:t> </w:t>
      </w:r>
      <w:r>
        <w:rPr>
          <w:color w:val="231F20"/>
        </w:rPr>
        <w:t>ended</w:t>
      </w:r>
      <w:r>
        <w:rPr>
          <w:color w:val="231F20"/>
          <w:spacing w:val="-3"/>
        </w:rPr>
        <w:t> </w:t>
      </w:r>
      <w:r>
        <w:rPr>
          <w:color w:val="231F20"/>
          <w:spacing w:val="-1"/>
        </w:rPr>
        <w:t>31</w:t>
      </w:r>
      <w:r>
        <w:rPr>
          <w:color w:val="231F20"/>
          <w:spacing w:val="-4"/>
        </w:rPr>
        <w:t> </w:t>
      </w:r>
      <w:r>
        <w:rPr>
          <w:color w:val="231F20"/>
          <w:spacing w:val="-1"/>
        </w:rPr>
        <w:t>December</w:t>
      </w:r>
      <w:r>
        <w:rPr>
          <w:color w:val="231F20"/>
          <w:spacing w:val="22"/>
          <w:w w:val="99"/>
        </w:rPr>
        <w:t> </w:t>
      </w:r>
      <w:r>
        <w:rPr>
          <w:color w:val="231F20"/>
          <w:spacing w:val="-1"/>
        </w:rPr>
        <w:t>2015.</w:t>
      </w:r>
      <w:r>
        <w:rPr>
          <w:color w:val="231F20"/>
          <w:spacing w:val="-7"/>
        </w:rPr>
        <w:t> </w:t>
      </w:r>
      <w:r>
        <w:rPr>
          <w:color w:val="231F20"/>
        </w:rPr>
        <w:t>The</w:t>
      </w:r>
      <w:r>
        <w:rPr>
          <w:color w:val="231F20"/>
          <w:spacing w:val="-6"/>
        </w:rPr>
        <w:t> </w:t>
      </w:r>
      <w:r>
        <w:rPr>
          <w:color w:val="231F20"/>
        </w:rPr>
        <w:t>provider</w:t>
      </w:r>
      <w:r>
        <w:rPr>
          <w:color w:val="231F20"/>
          <w:spacing w:val="-6"/>
        </w:rPr>
        <w:t> </w:t>
      </w:r>
      <w:r>
        <w:rPr>
          <w:color w:val="231F20"/>
        </w:rPr>
        <w:t>reported</w:t>
      </w:r>
      <w:r>
        <w:rPr>
          <w:color w:val="231F20"/>
          <w:spacing w:val="-7"/>
        </w:rPr>
        <w:t> </w:t>
      </w:r>
      <w:r>
        <w:rPr>
          <w:color w:val="231F20"/>
        </w:rPr>
        <w:t>a</w:t>
      </w:r>
      <w:r>
        <w:rPr>
          <w:color w:val="231F20"/>
          <w:spacing w:val="-6"/>
        </w:rPr>
        <w:t> </w:t>
      </w:r>
      <w:r>
        <w:rPr>
          <w:color w:val="231F20"/>
        </w:rPr>
        <w:t>restatement</w:t>
      </w:r>
      <w:r>
        <w:rPr/>
      </w:r>
    </w:p>
    <w:p>
      <w:pPr>
        <w:pStyle w:val="BodyText"/>
        <w:spacing w:line="242" w:lineRule="exact"/>
        <w:ind w:left="145" w:right="377"/>
        <w:jc w:val="left"/>
        <w:rPr>
          <w:rFonts w:ascii="Segoe UI" w:hAnsi="Segoe UI" w:cs="Segoe UI" w:eastAsia="Segoe UI"/>
        </w:rPr>
      </w:pPr>
      <w:r>
        <w:rPr>
          <w:rFonts w:ascii="Segoe UI"/>
          <w:color w:val="231F20"/>
        </w:rPr>
        <w:t>of revenue for 2015 in its 2016 financial</w:t>
      </w:r>
      <w:r>
        <w:rPr>
          <w:rFonts w:ascii="Segoe UI"/>
        </w:rPr>
      </w:r>
    </w:p>
    <w:p>
      <w:pPr>
        <w:pStyle w:val="BodyText"/>
        <w:spacing w:line="250" w:lineRule="exact"/>
        <w:ind w:left="145" w:right="377"/>
        <w:jc w:val="left"/>
      </w:pPr>
      <w:r>
        <w:rPr>
          <w:color w:val="231F20"/>
          <w:spacing w:val="-1"/>
        </w:rPr>
        <w:t>statements</w:t>
      </w:r>
      <w:r>
        <w:rPr>
          <w:color w:val="231F20"/>
          <w:spacing w:val="-12"/>
        </w:rPr>
        <w:t> </w:t>
      </w:r>
      <w:r>
        <w:rPr>
          <w:color w:val="231F20"/>
        </w:rPr>
        <w:t>(representing</w:t>
      </w:r>
      <w:r>
        <w:rPr>
          <w:color w:val="231F20"/>
          <w:spacing w:val="-13"/>
        </w:rPr>
        <w:t> </w:t>
      </w:r>
      <w:r>
        <w:rPr>
          <w:color w:val="231F20"/>
        </w:rPr>
        <w:t>approximately</w:t>
      </w:r>
      <w:r>
        <w:rPr/>
      </w:r>
    </w:p>
    <w:p>
      <w:pPr>
        <w:pStyle w:val="BodyText"/>
        <w:spacing w:line="250" w:lineRule="exact" w:before="8"/>
        <w:ind w:left="145" w:right="357"/>
        <w:jc w:val="left"/>
      </w:pPr>
      <w:r>
        <w:rPr>
          <w:color w:val="231F20"/>
        </w:rPr>
        <w:t>6</w:t>
      </w:r>
      <w:r>
        <w:rPr>
          <w:color w:val="231F20"/>
          <w:spacing w:val="-4"/>
        </w:rPr>
        <w:t> </w:t>
      </w:r>
      <w:r>
        <w:rPr>
          <w:color w:val="231F20"/>
        </w:rPr>
        <w:t>per</w:t>
      </w:r>
      <w:r>
        <w:rPr>
          <w:color w:val="231F20"/>
          <w:spacing w:val="-3"/>
        </w:rPr>
        <w:t> </w:t>
      </w:r>
      <w:r>
        <w:rPr>
          <w:color w:val="231F20"/>
        </w:rPr>
        <w:t>cent</w:t>
      </w:r>
      <w:r>
        <w:rPr>
          <w:color w:val="231F20"/>
          <w:spacing w:val="-4"/>
        </w:rPr>
        <w:t> </w:t>
      </w:r>
      <w:r>
        <w:rPr>
          <w:color w:val="231F20"/>
        </w:rPr>
        <w:t>of</w:t>
      </w:r>
      <w:r>
        <w:rPr>
          <w:color w:val="231F20"/>
          <w:spacing w:val="-3"/>
        </w:rPr>
        <w:t> </w:t>
      </w:r>
      <w:r>
        <w:rPr>
          <w:color w:val="231F20"/>
        </w:rPr>
        <w:t>total</w:t>
      </w:r>
      <w:r>
        <w:rPr>
          <w:color w:val="231F20"/>
          <w:spacing w:val="-4"/>
        </w:rPr>
        <w:t> </w:t>
      </w:r>
      <w:r>
        <w:rPr>
          <w:color w:val="231F20"/>
          <w:spacing w:val="-1"/>
        </w:rPr>
        <w:t>income</w:t>
      </w:r>
      <w:r>
        <w:rPr>
          <w:color w:val="231F20"/>
          <w:spacing w:val="-3"/>
        </w:rPr>
        <w:t> </w:t>
      </w:r>
      <w:r>
        <w:rPr>
          <w:color w:val="231F20"/>
          <w:spacing w:val="-1"/>
        </w:rPr>
        <w:t>in</w:t>
      </w:r>
      <w:r>
        <w:rPr>
          <w:color w:val="231F20"/>
          <w:spacing w:val="-4"/>
        </w:rPr>
        <w:t> </w:t>
      </w:r>
      <w:r>
        <w:rPr>
          <w:color w:val="231F20"/>
          <w:spacing w:val="-1"/>
        </w:rPr>
        <w:t>2015),</w:t>
      </w:r>
      <w:r>
        <w:rPr>
          <w:color w:val="231F20"/>
          <w:spacing w:val="-3"/>
        </w:rPr>
        <w:t> </w:t>
      </w:r>
      <w:r>
        <w:rPr>
          <w:color w:val="231F20"/>
        </w:rPr>
        <w:t>however</w:t>
      </w:r>
      <w:r>
        <w:rPr>
          <w:color w:val="231F20"/>
          <w:spacing w:val="24"/>
          <w:w w:val="99"/>
        </w:rPr>
        <w:t> </w:t>
      </w:r>
      <w:r>
        <w:rPr>
          <w:color w:val="231F20"/>
          <w:spacing w:val="-1"/>
        </w:rPr>
        <w:t>it</w:t>
      </w:r>
      <w:r>
        <w:rPr>
          <w:color w:val="231F20"/>
          <w:spacing w:val="-4"/>
        </w:rPr>
        <w:t> </w:t>
      </w:r>
      <w:r>
        <w:rPr>
          <w:color w:val="231F20"/>
          <w:spacing w:val="-1"/>
        </w:rPr>
        <w:t>is</w:t>
      </w:r>
      <w:r>
        <w:rPr>
          <w:color w:val="231F20"/>
          <w:spacing w:val="-5"/>
        </w:rPr>
        <w:t> </w:t>
      </w:r>
      <w:r>
        <w:rPr>
          <w:color w:val="231F20"/>
        </w:rPr>
        <w:t>unclear</w:t>
      </w:r>
      <w:r>
        <w:rPr>
          <w:color w:val="231F20"/>
          <w:spacing w:val="-5"/>
        </w:rPr>
        <w:t> </w:t>
      </w:r>
      <w:r>
        <w:rPr>
          <w:color w:val="231F20"/>
        </w:rPr>
        <w:t>how</w:t>
      </w:r>
      <w:r>
        <w:rPr>
          <w:color w:val="231F20"/>
          <w:spacing w:val="-4"/>
        </w:rPr>
        <w:t> </w:t>
      </w:r>
      <w:r>
        <w:rPr>
          <w:color w:val="231F20"/>
        </w:rPr>
        <w:t>and/or</w:t>
      </w:r>
      <w:r>
        <w:rPr>
          <w:color w:val="231F20"/>
          <w:spacing w:val="-5"/>
        </w:rPr>
        <w:t> </w:t>
      </w:r>
      <w:r>
        <w:rPr>
          <w:color w:val="231F20"/>
          <w:spacing w:val="-1"/>
        </w:rPr>
        <w:t>if</w:t>
      </w:r>
      <w:r>
        <w:rPr>
          <w:color w:val="231F20"/>
          <w:spacing w:val="-3"/>
        </w:rPr>
        <w:t> </w:t>
      </w:r>
      <w:r>
        <w:rPr>
          <w:color w:val="231F20"/>
        </w:rPr>
        <w:t>this</w:t>
      </w:r>
      <w:r>
        <w:rPr>
          <w:color w:val="231F20"/>
          <w:spacing w:val="-5"/>
        </w:rPr>
        <w:t> </w:t>
      </w:r>
      <w:r>
        <w:rPr>
          <w:color w:val="231F20"/>
        </w:rPr>
        <w:t>restatement</w:t>
      </w:r>
      <w:r>
        <w:rPr>
          <w:color w:val="231F20"/>
          <w:spacing w:val="23"/>
          <w:w w:val="99"/>
        </w:rPr>
        <w:t> </w:t>
      </w:r>
      <w:r>
        <w:rPr>
          <w:color w:val="231F20"/>
        </w:rPr>
        <w:t>has</w:t>
      </w:r>
      <w:r>
        <w:rPr>
          <w:color w:val="231F20"/>
          <w:spacing w:val="-7"/>
        </w:rPr>
        <w:t> </w:t>
      </w:r>
      <w:r>
        <w:rPr>
          <w:color w:val="231F20"/>
        </w:rPr>
        <w:t>contributed</w:t>
      </w:r>
      <w:r>
        <w:rPr>
          <w:color w:val="231F20"/>
          <w:spacing w:val="-6"/>
        </w:rPr>
        <w:t> </w:t>
      </w:r>
      <w:r>
        <w:rPr>
          <w:color w:val="231F20"/>
        </w:rPr>
        <w:t>to</w:t>
      </w:r>
      <w:r>
        <w:rPr>
          <w:color w:val="231F20"/>
          <w:spacing w:val="-6"/>
        </w:rPr>
        <w:t> </w:t>
      </w:r>
      <w:r>
        <w:rPr>
          <w:color w:val="231F20"/>
        </w:rPr>
        <w:t>this</w:t>
      </w:r>
      <w:r>
        <w:rPr>
          <w:color w:val="231F20"/>
          <w:spacing w:val="-6"/>
        </w:rPr>
        <w:t> </w:t>
      </w:r>
      <w:r>
        <w:rPr>
          <w:color w:val="231F20"/>
        </w:rPr>
        <w:t>revenue</w:t>
      </w:r>
      <w:r>
        <w:rPr>
          <w:color w:val="231F20"/>
          <w:spacing w:val="-6"/>
        </w:rPr>
        <w:t> </w:t>
      </w:r>
      <w:r>
        <w:rPr>
          <w:color w:val="231F20"/>
        </w:rPr>
        <w:t>variance.</w:t>
      </w:r>
      <w:r>
        <w:rPr/>
      </w:r>
    </w:p>
    <w:p>
      <w:pPr>
        <w:pStyle w:val="BodyText"/>
        <w:spacing w:line="250" w:lineRule="exact" w:before="113"/>
        <w:ind w:left="145" w:right="149"/>
        <w:jc w:val="left"/>
      </w:pPr>
      <w:r>
        <w:rPr>
          <w:color w:val="231F20"/>
          <w:spacing w:val="-1"/>
        </w:rPr>
        <w:t>Despite</w:t>
      </w:r>
      <w:r>
        <w:rPr>
          <w:color w:val="231F20"/>
          <w:spacing w:val="-3"/>
        </w:rPr>
        <w:t> </w:t>
      </w:r>
      <w:r>
        <w:rPr>
          <w:color w:val="231F20"/>
        </w:rPr>
        <w:t>this,</w:t>
      </w:r>
      <w:r>
        <w:rPr>
          <w:color w:val="231F20"/>
          <w:spacing w:val="-3"/>
        </w:rPr>
        <w:t> </w:t>
      </w:r>
      <w:r>
        <w:rPr>
          <w:color w:val="231F20"/>
        </w:rPr>
        <w:t>we</w:t>
      </w:r>
      <w:r>
        <w:rPr>
          <w:color w:val="231F20"/>
          <w:spacing w:val="-3"/>
        </w:rPr>
        <w:t> </w:t>
      </w:r>
      <w:r>
        <w:rPr>
          <w:color w:val="231F20"/>
        </w:rPr>
        <w:t>consider</w:t>
      </w:r>
      <w:r>
        <w:rPr>
          <w:color w:val="231F20"/>
          <w:spacing w:val="-3"/>
        </w:rPr>
        <w:t> </w:t>
      </w:r>
      <w:r>
        <w:rPr>
          <w:color w:val="231F20"/>
        </w:rPr>
        <w:t>that</w:t>
      </w:r>
      <w:r>
        <w:rPr>
          <w:color w:val="231F20"/>
          <w:spacing w:val="-4"/>
        </w:rPr>
        <w:t> </w:t>
      </w:r>
      <w:r>
        <w:rPr>
          <w:color w:val="231F20"/>
        </w:rPr>
        <w:t>this</w:t>
      </w:r>
      <w:r>
        <w:rPr>
          <w:color w:val="231F20"/>
          <w:spacing w:val="-3"/>
        </w:rPr>
        <w:t> </w:t>
      </w:r>
      <w:r>
        <w:rPr>
          <w:color w:val="231F20"/>
        </w:rPr>
        <w:t>analysis</w:t>
      </w:r>
      <w:r>
        <w:rPr>
          <w:color w:val="231F20"/>
          <w:spacing w:val="22"/>
        </w:rPr>
        <w:t> </w:t>
      </w:r>
      <w:r>
        <w:rPr>
          <w:rFonts w:ascii="Segoe UI"/>
          <w:color w:val="231F20"/>
        </w:rPr>
        <w:t>provided sufficient evidence of correlation</w:t>
      </w:r>
      <w:r>
        <w:rPr>
          <w:rFonts w:ascii="Segoe UI"/>
          <w:color w:val="231F20"/>
        </w:rPr>
        <w:t> </w:t>
      </w:r>
      <w:r>
        <w:rPr>
          <w:color w:val="231F20"/>
        </w:rPr>
        <w:t>between</w:t>
      </w:r>
      <w:r>
        <w:rPr>
          <w:color w:val="231F20"/>
          <w:spacing w:val="-6"/>
        </w:rPr>
        <w:t> </w:t>
      </w:r>
      <w:r>
        <w:rPr>
          <w:color w:val="231F20"/>
        </w:rPr>
        <w:t>the</w:t>
      </w:r>
      <w:r>
        <w:rPr>
          <w:color w:val="231F20"/>
          <w:spacing w:val="-6"/>
        </w:rPr>
        <w:t> </w:t>
      </w:r>
      <w:r>
        <w:rPr>
          <w:color w:val="231F20"/>
        </w:rPr>
        <w:t>three</w:t>
      </w:r>
      <w:r>
        <w:rPr>
          <w:color w:val="231F20"/>
          <w:spacing w:val="-6"/>
        </w:rPr>
        <w:t> </w:t>
      </w:r>
      <w:r>
        <w:rPr>
          <w:color w:val="231F20"/>
        </w:rPr>
        <w:t>year</w:t>
      </w:r>
      <w:r>
        <w:rPr>
          <w:color w:val="231F20"/>
          <w:spacing w:val="-5"/>
        </w:rPr>
        <w:t> </w:t>
      </w:r>
      <w:r>
        <w:rPr>
          <w:color w:val="231F20"/>
        </w:rPr>
        <w:t>trend</w:t>
      </w:r>
      <w:r>
        <w:rPr>
          <w:color w:val="231F20"/>
          <w:spacing w:val="-5"/>
        </w:rPr>
        <w:t> </w:t>
      </w:r>
      <w:r>
        <w:rPr>
          <w:color w:val="231F20"/>
        </w:rPr>
        <w:t>data</w:t>
      </w:r>
      <w:r>
        <w:rPr>
          <w:color w:val="231F20"/>
          <w:spacing w:val="-6"/>
        </w:rPr>
        <w:t> </w:t>
      </w:r>
      <w:r>
        <w:rPr>
          <w:color w:val="231F20"/>
        </w:rPr>
        <w:t>and</w:t>
      </w:r>
      <w:r>
        <w:rPr>
          <w:color w:val="231F20"/>
          <w:spacing w:val="-6"/>
        </w:rPr>
        <w:t> </w:t>
      </w:r>
      <w:r>
        <w:rPr>
          <w:color w:val="231F20"/>
        </w:rPr>
        <w:t>the</w:t>
      </w:r>
      <w:r>
        <w:rPr>
          <w:color w:val="231F20"/>
          <w:w w:val="99"/>
        </w:rPr>
        <w:t> </w:t>
      </w:r>
      <w:r>
        <w:rPr>
          <w:rFonts w:ascii="Segoe UI"/>
          <w:color w:val="231F20"/>
        </w:rPr>
        <w:t>financial statements to provide a reasonable</w:t>
      </w:r>
      <w:r>
        <w:rPr>
          <w:rFonts w:ascii="Segoe UI"/>
          <w:color w:val="231F20"/>
        </w:rPr>
        <w:t> </w:t>
      </w:r>
      <w:r>
        <w:rPr>
          <w:color w:val="231F20"/>
        </w:rPr>
        <w:t>basis</w:t>
      </w:r>
      <w:r>
        <w:rPr>
          <w:color w:val="231F20"/>
          <w:spacing w:val="-4"/>
        </w:rPr>
        <w:t> </w:t>
      </w:r>
      <w:r>
        <w:rPr>
          <w:color w:val="231F20"/>
        </w:rPr>
        <w:t>for</w:t>
      </w:r>
      <w:r>
        <w:rPr>
          <w:color w:val="231F20"/>
          <w:spacing w:val="-3"/>
        </w:rPr>
        <w:t> </w:t>
      </w:r>
      <w:r>
        <w:rPr>
          <w:color w:val="231F20"/>
        </w:rPr>
        <w:t>the</w:t>
      </w:r>
      <w:r>
        <w:rPr>
          <w:color w:val="231F20"/>
          <w:spacing w:val="-4"/>
        </w:rPr>
        <w:t> </w:t>
      </w:r>
      <w:r>
        <w:rPr>
          <w:color w:val="231F20"/>
        </w:rPr>
        <w:t>utilisation</w:t>
      </w:r>
      <w:r>
        <w:rPr>
          <w:color w:val="231F20"/>
          <w:spacing w:val="-4"/>
        </w:rPr>
        <w:t> </w:t>
      </w:r>
      <w:r>
        <w:rPr>
          <w:color w:val="231F20"/>
        </w:rPr>
        <w:t>of</w:t>
      </w:r>
      <w:r>
        <w:rPr>
          <w:color w:val="231F20"/>
          <w:spacing w:val="-3"/>
        </w:rPr>
        <w:t> </w:t>
      </w:r>
      <w:r>
        <w:rPr>
          <w:color w:val="231F20"/>
        </w:rPr>
        <w:t>and</w:t>
      </w:r>
      <w:r>
        <w:rPr>
          <w:color w:val="231F20"/>
          <w:spacing w:val="-3"/>
        </w:rPr>
        <w:t> </w:t>
      </w:r>
      <w:r>
        <w:rPr>
          <w:color w:val="231F20"/>
        </w:rPr>
        <w:t>reliance</w:t>
      </w:r>
      <w:r>
        <w:rPr>
          <w:color w:val="231F20"/>
          <w:spacing w:val="-4"/>
        </w:rPr>
        <w:t> </w:t>
      </w:r>
      <w:r>
        <w:rPr>
          <w:color w:val="231F20"/>
        </w:rPr>
        <w:t>on</w:t>
      </w:r>
      <w:r>
        <w:rPr>
          <w:color w:val="231F20"/>
          <w:spacing w:val="-3"/>
        </w:rPr>
        <w:t> </w:t>
      </w:r>
      <w:r>
        <w:rPr>
          <w:color w:val="231F20"/>
        </w:rPr>
        <w:t>the</w:t>
      </w:r>
      <w:r>
        <w:rPr>
          <w:color w:val="231F20"/>
          <w:w w:val="99"/>
        </w:rPr>
        <w:t> </w:t>
      </w:r>
      <w:r>
        <w:rPr>
          <w:color w:val="231F20"/>
        </w:rPr>
        <w:t>three-year</w:t>
      </w:r>
      <w:r>
        <w:rPr>
          <w:color w:val="231F20"/>
          <w:spacing w:val="-7"/>
        </w:rPr>
        <w:t> </w:t>
      </w:r>
      <w:r>
        <w:rPr>
          <w:color w:val="231F20"/>
        </w:rPr>
        <w:t>trend</w:t>
      </w:r>
      <w:r>
        <w:rPr>
          <w:color w:val="231F20"/>
          <w:spacing w:val="-6"/>
        </w:rPr>
        <w:t> </w:t>
      </w:r>
      <w:r>
        <w:rPr>
          <w:color w:val="231F20"/>
        </w:rPr>
        <w:t>data</w:t>
      </w:r>
      <w:r>
        <w:rPr>
          <w:color w:val="231F20"/>
          <w:spacing w:val="-6"/>
        </w:rPr>
        <w:t> </w:t>
      </w:r>
      <w:r>
        <w:rPr>
          <w:color w:val="231F20"/>
        </w:rPr>
        <w:t>for</w:t>
      </w:r>
      <w:r>
        <w:rPr>
          <w:color w:val="231F20"/>
          <w:spacing w:val="-5"/>
        </w:rPr>
        <w:t> </w:t>
      </w:r>
      <w:r>
        <w:rPr>
          <w:color w:val="231F20"/>
        </w:rPr>
        <w:t>the</w:t>
      </w:r>
      <w:r>
        <w:rPr>
          <w:color w:val="231F20"/>
          <w:spacing w:val="-6"/>
        </w:rPr>
        <w:t> </w:t>
      </w:r>
      <w:r>
        <w:rPr>
          <w:color w:val="231F20"/>
          <w:spacing w:val="-1"/>
        </w:rPr>
        <w:t>27</w:t>
      </w:r>
      <w:r>
        <w:rPr>
          <w:color w:val="231F20"/>
          <w:spacing w:val="-5"/>
        </w:rPr>
        <w:t> </w:t>
      </w:r>
      <w:r>
        <w:rPr>
          <w:color w:val="231F20"/>
        </w:rPr>
        <w:t>Aboriginal</w:t>
      </w:r>
      <w:r>
        <w:rPr>
          <w:color w:val="231F20"/>
          <w:spacing w:val="-5"/>
        </w:rPr>
        <w:t> </w:t>
      </w:r>
      <w:r>
        <w:rPr>
          <w:color w:val="231F20"/>
        </w:rPr>
        <w:t>and</w:t>
      </w:r>
      <w:r>
        <w:rPr>
          <w:color w:val="231F20"/>
          <w:spacing w:val="21"/>
          <w:w w:val="99"/>
        </w:rPr>
        <w:t> </w:t>
      </w:r>
      <w:r>
        <w:rPr>
          <w:color w:val="231F20"/>
          <w:spacing w:val="-5"/>
        </w:rPr>
        <w:t>Torres</w:t>
      </w:r>
      <w:r>
        <w:rPr>
          <w:color w:val="231F20"/>
          <w:spacing w:val="-7"/>
        </w:rPr>
        <w:t> </w:t>
      </w:r>
      <w:r>
        <w:rPr>
          <w:color w:val="231F20"/>
          <w:spacing w:val="-2"/>
        </w:rPr>
        <w:t>Strait</w:t>
      </w:r>
      <w:r>
        <w:rPr>
          <w:color w:val="231F20"/>
          <w:spacing w:val="-8"/>
        </w:rPr>
        <w:t> </w:t>
      </w:r>
      <w:r>
        <w:rPr>
          <w:color w:val="231F20"/>
          <w:spacing w:val="-1"/>
        </w:rPr>
        <w:t>Islander</w:t>
      </w:r>
      <w:r>
        <w:rPr>
          <w:color w:val="231F20"/>
          <w:spacing w:val="-7"/>
        </w:rPr>
        <w:t> </w:t>
      </w:r>
      <w:r>
        <w:rPr>
          <w:color w:val="231F20"/>
        </w:rPr>
        <w:t>boarding</w:t>
      </w:r>
      <w:r>
        <w:rPr>
          <w:color w:val="231F20"/>
          <w:spacing w:val="-7"/>
        </w:rPr>
        <w:t> </w:t>
      </w:r>
      <w:r>
        <w:rPr>
          <w:color w:val="231F20"/>
        </w:rPr>
        <w:t>providers.</w:t>
      </w:r>
      <w:r>
        <w:rPr/>
      </w:r>
    </w:p>
    <w:p>
      <w:pPr>
        <w:spacing w:after="0" w:line="250" w:lineRule="exact"/>
        <w:jc w:val="left"/>
        <w:sectPr>
          <w:type w:val="continuous"/>
          <w:pgSz w:w="11910" w:h="16840"/>
          <w:pgMar w:top="1580" w:bottom="280" w:left="1300" w:right="1620"/>
          <w:cols w:num="2" w:equalWidth="0">
            <w:col w:w="4311" w:space="225"/>
            <w:col w:w="4454"/>
          </w:cols>
        </w:sectPr>
      </w:pPr>
    </w:p>
    <w:p>
      <w:pPr>
        <w:spacing w:line="240" w:lineRule="auto" w:before="0"/>
        <w:rPr>
          <w:rFonts w:ascii="Segoe UI" w:hAnsi="Segoe UI" w:cs="Segoe UI" w:eastAsia="Segoe UI"/>
          <w:sz w:val="20"/>
          <w:szCs w:val="20"/>
        </w:rPr>
      </w:pPr>
    </w:p>
    <w:p>
      <w:pPr>
        <w:spacing w:line="240" w:lineRule="auto" w:before="1"/>
        <w:rPr>
          <w:rFonts w:ascii="Segoe UI" w:hAnsi="Segoe UI" w:cs="Segoe UI" w:eastAsia="Segoe UI"/>
          <w:sz w:val="20"/>
          <w:szCs w:val="20"/>
        </w:rPr>
      </w:pPr>
    </w:p>
    <w:p>
      <w:pPr>
        <w:numPr>
          <w:ilvl w:val="0"/>
          <w:numId w:val="4"/>
        </w:numPr>
        <w:tabs>
          <w:tab w:pos="668" w:val="left" w:leader="none"/>
        </w:tabs>
        <w:spacing w:line="567" w:lineRule="exact" w:before="0"/>
        <w:ind w:left="667" w:right="0" w:hanging="567"/>
        <w:jc w:val="left"/>
        <w:rPr>
          <w:rFonts w:ascii="Segoe UI" w:hAnsi="Segoe UI" w:cs="Segoe UI" w:eastAsia="Segoe UI"/>
          <w:sz w:val="44"/>
          <w:szCs w:val="44"/>
        </w:rPr>
      </w:pPr>
      <w:r>
        <w:rPr>
          <w:rFonts w:ascii="Segoe UI"/>
          <w:color w:val="67973F"/>
          <w:sz w:val="44"/>
        </w:rPr>
        <w:t>Theory</w:t>
      </w:r>
      <w:r>
        <w:rPr>
          <w:rFonts w:ascii="Segoe UI"/>
          <w:color w:val="67973F"/>
          <w:spacing w:val="-16"/>
          <w:sz w:val="44"/>
        </w:rPr>
        <w:t> </w:t>
      </w:r>
      <w:r>
        <w:rPr>
          <w:rFonts w:ascii="Segoe UI"/>
          <w:color w:val="67973F"/>
          <w:sz w:val="44"/>
        </w:rPr>
        <w:t>of</w:t>
      </w:r>
      <w:r>
        <w:rPr>
          <w:rFonts w:ascii="Segoe UI"/>
          <w:color w:val="67973F"/>
          <w:spacing w:val="-17"/>
          <w:sz w:val="44"/>
        </w:rPr>
        <w:t> </w:t>
      </w:r>
      <w:r>
        <w:rPr>
          <w:rFonts w:ascii="Segoe UI"/>
          <w:color w:val="67973F"/>
          <w:spacing w:val="-1"/>
          <w:sz w:val="44"/>
        </w:rPr>
        <w:t>change</w:t>
      </w:r>
      <w:r>
        <w:rPr>
          <w:rFonts w:ascii="Segoe UI"/>
          <w:sz w:val="44"/>
        </w:rPr>
      </w:r>
    </w:p>
    <w:p>
      <w:pPr>
        <w:spacing w:line="240" w:lineRule="auto" w:before="0"/>
        <w:rPr>
          <w:rFonts w:ascii="Segoe UI" w:hAnsi="Segoe UI" w:cs="Segoe UI" w:eastAsia="Segoe UI"/>
          <w:sz w:val="22"/>
          <w:szCs w:val="22"/>
        </w:rPr>
      </w:pPr>
    </w:p>
    <w:p>
      <w:pPr>
        <w:spacing w:after="0" w:line="240" w:lineRule="auto"/>
        <w:rPr>
          <w:rFonts w:ascii="Segoe UI" w:hAnsi="Segoe UI" w:cs="Segoe UI" w:eastAsia="Segoe UI"/>
          <w:sz w:val="22"/>
          <w:szCs w:val="22"/>
        </w:rPr>
        <w:sectPr>
          <w:pgSz w:w="11910" w:h="16840"/>
          <w:pgMar w:header="0" w:footer="691" w:top="1580" w:bottom="880" w:left="1600" w:right="1300"/>
        </w:sectPr>
      </w:pPr>
    </w:p>
    <w:p>
      <w:pPr>
        <w:spacing w:line="360" w:lineRule="exact" w:before="71"/>
        <w:ind w:left="100" w:right="6" w:firstLine="0"/>
        <w:jc w:val="left"/>
        <w:rPr>
          <w:rFonts w:ascii="Segoe UI" w:hAnsi="Segoe UI" w:cs="Segoe UI" w:eastAsia="Segoe UI"/>
          <w:sz w:val="32"/>
          <w:szCs w:val="32"/>
        </w:rPr>
      </w:pPr>
      <w:r>
        <w:rPr>
          <w:rFonts w:ascii="Segoe UI"/>
          <w:b/>
          <w:color w:val="452A70"/>
          <w:sz w:val="32"/>
        </w:rPr>
        <w:t>The</w:t>
      </w:r>
      <w:r>
        <w:rPr>
          <w:rFonts w:ascii="Segoe UI"/>
          <w:b/>
          <w:color w:val="452A70"/>
          <w:spacing w:val="-1"/>
          <w:sz w:val="32"/>
        </w:rPr>
        <w:t> purpose</w:t>
      </w:r>
      <w:r>
        <w:rPr>
          <w:rFonts w:ascii="Segoe UI"/>
          <w:b/>
          <w:color w:val="452A70"/>
          <w:sz w:val="32"/>
        </w:rPr>
        <w:t> </w:t>
      </w:r>
      <w:r>
        <w:rPr>
          <w:rFonts w:ascii="Segoe UI"/>
          <w:b/>
          <w:color w:val="452A70"/>
          <w:spacing w:val="-1"/>
          <w:sz w:val="32"/>
        </w:rPr>
        <w:t>and</w:t>
      </w:r>
      <w:r>
        <w:rPr>
          <w:rFonts w:ascii="Segoe UI"/>
          <w:b/>
          <w:color w:val="452A70"/>
          <w:sz w:val="32"/>
        </w:rPr>
        <w:t> </w:t>
      </w:r>
      <w:r>
        <w:rPr>
          <w:rFonts w:ascii="Segoe UI"/>
          <w:b/>
          <w:color w:val="452A70"/>
          <w:spacing w:val="-2"/>
          <w:sz w:val="32"/>
        </w:rPr>
        <w:t>objective</w:t>
      </w:r>
      <w:r>
        <w:rPr>
          <w:rFonts w:ascii="Segoe UI"/>
          <w:b/>
          <w:color w:val="452A70"/>
          <w:spacing w:val="21"/>
          <w:sz w:val="32"/>
        </w:rPr>
        <w:t> </w:t>
      </w:r>
      <w:r>
        <w:rPr>
          <w:rFonts w:ascii="Segoe UI"/>
          <w:b/>
          <w:color w:val="452A70"/>
          <w:spacing w:val="-3"/>
          <w:sz w:val="32"/>
        </w:rPr>
        <w:t>of</w:t>
      </w:r>
      <w:r>
        <w:rPr>
          <w:rFonts w:ascii="Segoe UI"/>
          <w:b/>
          <w:color w:val="452A70"/>
          <w:spacing w:val="-1"/>
          <w:sz w:val="32"/>
        </w:rPr>
        <w:t> </w:t>
      </w:r>
      <w:r>
        <w:rPr>
          <w:rFonts w:ascii="Segoe UI"/>
          <w:b/>
          <w:color w:val="452A70"/>
          <w:spacing w:val="-2"/>
          <w:sz w:val="32"/>
        </w:rPr>
        <w:t>boarding</w:t>
      </w:r>
      <w:r>
        <w:rPr>
          <w:rFonts w:ascii="Segoe UI"/>
          <w:b/>
          <w:color w:val="452A70"/>
          <w:sz w:val="32"/>
        </w:rPr>
        <w:t> </w:t>
      </w:r>
      <w:r>
        <w:rPr>
          <w:rFonts w:ascii="Segoe UI"/>
          <w:b/>
          <w:color w:val="452A70"/>
          <w:spacing w:val="-1"/>
          <w:sz w:val="32"/>
        </w:rPr>
        <w:t>investment</w:t>
      </w:r>
      <w:r>
        <w:rPr>
          <w:rFonts w:ascii="Segoe UI"/>
          <w:sz w:val="32"/>
        </w:rPr>
      </w:r>
    </w:p>
    <w:p>
      <w:pPr>
        <w:pStyle w:val="BodyText"/>
        <w:spacing w:line="250" w:lineRule="exact" w:before="119"/>
        <w:ind w:left="100" w:right="0"/>
        <w:jc w:val="left"/>
        <w:rPr>
          <w:rFonts w:ascii="Segoe UI" w:hAnsi="Segoe UI" w:cs="Segoe UI" w:eastAsia="Segoe UI"/>
        </w:rPr>
      </w:pPr>
      <w:r>
        <w:rPr>
          <w:color w:val="231F20"/>
        </w:rPr>
        <w:t>Grant</w:t>
      </w:r>
      <w:r>
        <w:rPr>
          <w:color w:val="231F20"/>
          <w:spacing w:val="-7"/>
        </w:rPr>
        <w:t> </w:t>
      </w:r>
      <w:r>
        <w:rPr>
          <w:color w:val="231F20"/>
        </w:rPr>
        <w:t>Thornton</w:t>
      </w:r>
      <w:r>
        <w:rPr>
          <w:color w:val="231F20"/>
          <w:spacing w:val="-7"/>
        </w:rPr>
        <w:t> </w:t>
      </w:r>
      <w:r>
        <w:rPr>
          <w:color w:val="231F20"/>
        </w:rPr>
        <w:t>has</w:t>
      </w:r>
      <w:r>
        <w:rPr>
          <w:color w:val="231F20"/>
          <w:spacing w:val="-8"/>
        </w:rPr>
        <w:t> </w:t>
      </w:r>
      <w:r>
        <w:rPr>
          <w:color w:val="231F20"/>
        </w:rPr>
        <w:t>reviewed</w:t>
      </w:r>
      <w:r>
        <w:rPr>
          <w:color w:val="231F20"/>
          <w:spacing w:val="-7"/>
        </w:rPr>
        <w:t> </w:t>
      </w:r>
      <w:r>
        <w:rPr>
          <w:color w:val="231F20"/>
        </w:rPr>
        <w:t>the</w:t>
      </w:r>
      <w:r>
        <w:rPr>
          <w:color w:val="231F20"/>
          <w:spacing w:val="-7"/>
        </w:rPr>
        <w:t> </w:t>
      </w:r>
      <w:r>
        <w:rPr>
          <w:color w:val="231F20"/>
          <w:spacing w:val="-1"/>
        </w:rPr>
        <w:t>intended</w:t>
      </w:r>
      <w:r>
        <w:rPr>
          <w:color w:val="231F20"/>
          <w:spacing w:val="20"/>
          <w:w w:val="99"/>
        </w:rPr>
        <w:t> </w:t>
      </w:r>
      <w:r>
        <w:rPr>
          <w:color w:val="231F20"/>
        </w:rPr>
        <w:t>purpose</w:t>
      </w:r>
      <w:r>
        <w:rPr>
          <w:color w:val="231F20"/>
          <w:spacing w:val="-6"/>
        </w:rPr>
        <w:t> </w:t>
      </w:r>
      <w:r>
        <w:rPr>
          <w:color w:val="231F20"/>
        </w:rPr>
        <w:t>and</w:t>
      </w:r>
      <w:r>
        <w:rPr>
          <w:color w:val="231F20"/>
          <w:spacing w:val="-5"/>
        </w:rPr>
        <w:t> </w:t>
      </w:r>
      <w:r>
        <w:rPr>
          <w:color w:val="231F20"/>
        </w:rPr>
        <w:t>objectives,</w:t>
      </w:r>
      <w:r>
        <w:rPr>
          <w:color w:val="231F20"/>
          <w:spacing w:val="-6"/>
        </w:rPr>
        <w:t> </w:t>
      </w:r>
      <w:r>
        <w:rPr>
          <w:color w:val="231F20"/>
        </w:rPr>
        <w:t>or</w:t>
      </w:r>
      <w:r>
        <w:rPr>
          <w:color w:val="231F20"/>
          <w:spacing w:val="-4"/>
        </w:rPr>
        <w:t> </w:t>
      </w:r>
      <w:r>
        <w:rPr>
          <w:color w:val="231F20"/>
        </w:rPr>
        <w:t>outcomes,</w:t>
      </w:r>
      <w:r>
        <w:rPr>
          <w:color w:val="231F20"/>
          <w:spacing w:val="-5"/>
        </w:rPr>
        <w:t> </w:t>
      </w:r>
      <w:r>
        <w:rPr>
          <w:color w:val="231F20"/>
        </w:rPr>
        <w:t>of</w:t>
      </w:r>
      <w:r>
        <w:rPr>
          <w:color w:val="231F20"/>
          <w:spacing w:val="-5"/>
        </w:rPr>
        <w:t> </w:t>
      </w:r>
      <w:r>
        <w:rPr>
          <w:color w:val="231F20"/>
        </w:rPr>
        <w:t>the</w:t>
      </w:r>
      <w:r>
        <w:rPr>
          <w:color w:val="231F20"/>
          <w:w w:val="99"/>
        </w:rPr>
        <w:t> </w:t>
      </w:r>
      <w:r>
        <w:rPr>
          <w:rFonts w:ascii="Segoe UI"/>
          <w:color w:val="231F20"/>
        </w:rPr>
        <w:t>social and financial investment in boarding for</w:t>
      </w:r>
      <w:r>
        <w:rPr>
          <w:rFonts w:ascii="Segoe UI"/>
          <w:color w:val="231F20"/>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8"/>
        </w:rPr>
        <w:t> </w:t>
      </w:r>
      <w:r>
        <w:rPr>
          <w:color w:val="231F20"/>
          <w:spacing w:val="-1"/>
        </w:rPr>
        <w:t>Islander</w:t>
      </w:r>
      <w:r>
        <w:rPr>
          <w:color w:val="231F20"/>
          <w:spacing w:val="-6"/>
        </w:rPr>
        <w:t> </w:t>
      </w:r>
      <w:r>
        <w:rPr>
          <w:color w:val="231F20"/>
          <w:spacing w:val="-1"/>
        </w:rPr>
        <w:t>secondary</w:t>
      </w:r>
      <w:r>
        <w:rPr>
          <w:color w:val="231F20"/>
          <w:spacing w:val="20"/>
          <w:w w:val="99"/>
        </w:rPr>
        <w:t> </w:t>
      </w:r>
      <w:r>
        <w:rPr>
          <w:color w:val="231F20"/>
          <w:spacing w:val="-1"/>
        </w:rPr>
        <w:t>students.</w:t>
      </w:r>
      <w:r>
        <w:rPr>
          <w:color w:val="231F20"/>
          <w:spacing w:val="-4"/>
        </w:rPr>
        <w:t> </w:t>
      </w:r>
      <w:r>
        <w:rPr>
          <w:color w:val="231F20"/>
        </w:rPr>
        <w:t>A</w:t>
      </w:r>
      <w:r>
        <w:rPr>
          <w:color w:val="231F20"/>
          <w:spacing w:val="-4"/>
        </w:rPr>
        <w:t> </w:t>
      </w:r>
      <w:r>
        <w:rPr>
          <w:color w:val="231F20"/>
        </w:rPr>
        <w:t>theory</w:t>
      </w:r>
      <w:r>
        <w:rPr>
          <w:color w:val="231F20"/>
          <w:spacing w:val="-6"/>
        </w:rPr>
        <w:t> </w:t>
      </w:r>
      <w:r>
        <w:rPr>
          <w:color w:val="231F20"/>
        </w:rPr>
        <w:t>of</w:t>
      </w:r>
      <w:r>
        <w:rPr>
          <w:color w:val="231F20"/>
          <w:spacing w:val="-4"/>
        </w:rPr>
        <w:t> </w:t>
      </w:r>
      <w:r>
        <w:rPr>
          <w:color w:val="231F20"/>
        </w:rPr>
        <w:t>change</w:t>
      </w:r>
      <w:r>
        <w:rPr>
          <w:color w:val="231F20"/>
          <w:spacing w:val="-5"/>
        </w:rPr>
        <w:t> </w:t>
      </w:r>
      <w:r>
        <w:rPr>
          <w:color w:val="231F20"/>
        </w:rPr>
        <w:t>has</w:t>
      </w:r>
      <w:r>
        <w:rPr>
          <w:color w:val="231F20"/>
          <w:spacing w:val="-6"/>
        </w:rPr>
        <w:t> </w:t>
      </w:r>
      <w:r>
        <w:rPr>
          <w:color w:val="231F20"/>
        </w:rPr>
        <w:t>been</w:t>
      </w:r>
      <w:r>
        <w:rPr>
          <w:color w:val="231F20"/>
          <w:spacing w:val="22"/>
          <w:w w:val="99"/>
        </w:rPr>
        <w:t> </w:t>
      </w:r>
      <w:r>
        <w:rPr>
          <w:color w:val="231F20"/>
        </w:rPr>
        <w:t>developed</w:t>
      </w:r>
      <w:r>
        <w:rPr>
          <w:color w:val="231F20"/>
          <w:spacing w:val="-9"/>
        </w:rPr>
        <w:t> </w:t>
      </w:r>
      <w:r>
        <w:rPr>
          <w:color w:val="231F20"/>
        </w:rPr>
        <w:t>examining</w:t>
      </w:r>
      <w:r>
        <w:rPr>
          <w:color w:val="231F20"/>
          <w:spacing w:val="-9"/>
        </w:rPr>
        <w:t> </w:t>
      </w:r>
      <w:r>
        <w:rPr>
          <w:color w:val="231F20"/>
        </w:rPr>
        <w:t>the</w:t>
      </w:r>
      <w:r>
        <w:rPr>
          <w:color w:val="231F20"/>
          <w:spacing w:val="-8"/>
        </w:rPr>
        <w:t> </w:t>
      </w:r>
      <w:r>
        <w:rPr>
          <w:color w:val="231F20"/>
          <w:spacing w:val="-1"/>
        </w:rPr>
        <w:t>interventions</w:t>
      </w:r>
      <w:r>
        <w:rPr>
          <w:color w:val="231F20"/>
          <w:spacing w:val="-8"/>
        </w:rPr>
        <w:t> </w:t>
      </w:r>
      <w:r>
        <w:rPr>
          <w:color w:val="231F20"/>
        </w:rPr>
        <w:t>through</w:t>
      </w:r>
      <w:r>
        <w:rPr>
          <w:color w:val="231F20"/>
          <w:spacing w:val="22"/>
          <w:w w:val="99"/>
        </w:rPr>
        <w:t> </w:t>
      </w:r>
      <w:r>
        <w:rPr>
          <w:color w:val="231F20"/>
        </w:rPr>
        <w:t>boarding</w:t>
      </w:r>
      <w:r>
        <w:rPr>
          <w:color w:val="231F20"/>
          <w:spacing w:val="-11"/>
        </w:rPr>
        <w:t> </w:t>
      </w:r>
      <w:r>
        <w:rPr>
          <w:color w:val="231F20"/>
        </w:rPr>
        <w:t>by</w:t>
      </w:r>
      <w:r>
        <w:rPr>
          <w:color w:val="231F20"/>
          <w:spacing w:val="-10"/>
        </w:rPr>
        <w:t> </w:t>
      </w:r>
      <w:r>
        <w:rPr>
          <w:color w:val="231F20"/>
        </w:rPr>
        <w:t>government,</w:t>
      </w:r>
      <w:r>
        <w:rPr>
          <w:color w:val="231F20"/>
          <w:spacing w:val="-10"/>
        </w:rPr>
        <w:t> </w:t>
      </w:r>
      <w:r>
        <w:rPr>
          <w:color w:val="231F20"/>
        </w:rPr>
        <w:t>boarding</w:t>
      </w:r>
      <w:r>
        <w:rPr>
          <w:color w:val="231F20"/>
          <w:spacing w:val="-11"/>
        </w:rPr>
        <w:t> </w:t>
      </w:r>
      <w:r>
        <w:rPr>
          <w:color w:val="231F20"/>
        </w:rPr>
        <w:t>providers,</w:t>
      </w:r>
      <w:r>
        <w:rPr>
          <w:color w:val="231F20"/>
          <w:w w:val="99"/>
        </w:rPr>
        <w:t> </w:t>
      </w:r>
      <w:r>
        <w:rPr>
          <w:color w:val="231F20"/>
        </w:rPr>
        <w:t>families</w:t>
      </w:r>
      <w:r>
        <w:rPr>
          <w:color w:val="231F20"/>
          <w:spacing w:val="-5"/>
        </w:rPr>
        <w:t> </w:t>
      </w:r>
      <w:r>
        <w:rPr>
          <w:color w:val="231F20"/>
        </w:rPr>
        <w:t>and</w:t>
      </w:r>
      <w:r>
        <w:rPr>
          <w:color w:val="231F20"/>
          <w:spacing w:val="-4"/>
        </w:rPr>
        <w:t> </w:t>
      </w:r>
      <w:r>
        <w:rPr>
          <w:color w:val="231F20"/>
        </w:rPr>
        <w:t>communities</w:t>
      </w:r>
      <w:r>
        <w:rPr>
          <w:color w:val="231F20"/>
          <w:spacing w:val="-5"/>
        </w:rPr>
        <w:t> </w:t>
      </w:r>
      <w:r>
        <w:rPr>
          <w:color w:val="231F20"/>
        </w:rPr>
        <w:t>to</w:t>
      </w:r>
      <w:r>
        <w:rPr>
          <w:color w:val="231F20"/>
          <w:spacing w:val="-3"/>
        </w:rPr>
        <w:t> </w:t>
      </w:r>
      <w:r>
        <w:rPr>
          <w:color w:val="231F20"/>
        </w:rPr>
        <w:t>determine</w:t>
      </w:r>
      <w:r>
        <w:rPr>
          <w:color w:val="231F20"/>
          <w:spacing w:val="-5"/>
        </w:rPr>
        <w:t> </w:t>
      </w:r>
      <w:r>
        <w:rPr>
          <w:color w:val="231F20"/>
        </w:rPr>
        <w:t>the</w:t>
      </w:r>
      <w:r>
        <w:rPr>
          <w:color w:val="231F20"/>
          <w:w w:val="99"/>
        </w:rPr>
        <w:t> </w:t>
      </w:r>
      <w:r>
        <w:rPr>
          <w:color w:val="231F20"/>
        </w:rPr>
        <w:t>actual</w:t>
      </w:r>
      <w:r>
        <w:rPr>
          <w:color w:val="231F20"/>
          <w:spacing w:val="-7"/>
        </w:rPr>
        <w:t> </w:t>
      </w:r>
      <w:r>
        <w:rPr>
          <w:color w:val="231F20"/>
        </w:rPr>
        <w:t>outcomes</w:t>
      </w:r>
      <w:r>
        <w:rPr>
          <w:color w:val="231F20"/>
          <w:spacing w:val="-7"/>
        </w:rPr>
        <w:t> </w:t>
      </w:r>
      <w:r>
        <w:rPr>
          <w:color w:val="231F20"/>
        </w:rPr>
        <w:t>from</w:t>
      </w:r>
      <w:r>
        <w:rPr>
          <w:color w:val="231F20"/>
          <w:spacing w:val="-6"/>
        </w:rPr>
        <w:t> </w:t>
      </w:r>
      <w:r>
        <w:rPr>
          <w:color w:val="231F20"/>
        </w:rPr>
        <w:t>those</w:t>
      </w:r>
      <w:r>
        <w:rPr>
          <w:color w:val="231F20"/>
          <w:spacing w:val="-7"/>
        </w:rPr>
        <w:t> </w:t>
      </w:r>
      <w:r>
        <w:rPr>
          <w:color w:val="231F20"/>
          <w:spacing w:val="-1"/>
        </w:rPr>
        <w:t>interventions.</w:t>
      </w:r>
      <w:r>
        <w:rPr>
          <w:color w:val="231F20"/>
          <w:spacing w:val="-5"/>
        </w:rPr>
        <w:t> </w:t>
      </w:r>
      <w:r>
        <w:rPr>
          <w:color w:val="231F20"/>
        </w:rPr>
        <w:t>The</w:t>
      </w:r>
      <w:r>
        <w:rPr>
          <w:color w:val="231F20"/>
          <w:spacing w:val="22"/>
          <w:w w:val="99"/>
        </w:rPr>
        <w:t> </w:t>
      </w:r>
      <w:r>
        <w:rPr>
          <w:color w:val="231F20"/>
        </w:rPr>
        <w:t>theory</w:t>
      </w:r>
      <w:r>
        <w:rPr>
          <w:color w:val="231F20"/>
          <w:spacing w:val="-7"/>
        </w:rPr>
        <w:t> </w:t>
      </w:r>
      <w:r>
        <w:rPr>
          <w:color w:val="231F20"/>
        </w:rPr>
        <w:t>of</w:t>
      </w:r>
      <w:r>
        <w:rPr>
          <w:color w:val="231F20"/>
          <w:spacing w:val="-6"/>
        </w:rPr>
        <w:t> </w:t>
      </w:r>
      <w:r>
        <w:rPr>
          <w:color w:val="231F20"/>
        </w:rPr>
        <w:t>change</w:t>
      </w:r>
      <w:r>
        <w:rPr>
          <w:color w:val="231F20"/>
          <w:spacing w:val="-6"/>
        </w:rPr>
        <w:t> </w:t>
      </w:r>
      <w:r>
        <w:rPr>
          <w:color w:val="231F20"/>
        </w:rPr>
        <w:t>provides</w:t>
      </w:r>
      <w:r>
        <w:rPr>
          <w:color w:val="231F20"/>
          <w:spacing w:val="-6"/>
        </w:rPr>
        <w:t> </w:t>
      </w:r>
      <w:r>
        <w:rPr>
          <w:color w:val="231F20"/>
        </w:rPr>
        <w:t>a</w:t>
      </w:r>
      <w:r>
        <w:rPr>
          <w:color w:val="231F20"/>
          <w:spacing w:val="-6"/>
        </w:rPr>
        <w:t> </w:t>
      </w:r>
      <w:r>
        <w:rPr>
          <w:color w:val="231F20"/>
        </w:rPr>
        <w:t>framework</w:t>
      </w:r>
      <w:r>
        <w:rPr>
          <w:color w:val="231F20"/>
          <w:spacing w:val="-6"/>
        </w:rPr>
        <w:t> </w:t>
      </w:r>
      <w:r>
        <w:rPr>
          <w:color w:val="231F20"/>
        </w:rPr>
        <w:t>for</w:t>
      </w:r>
      <w:r>
        <w:rPr>
          <w:color w:val="231F20"/>
          <w:spacing w:val="-5"/>
        </w:rPr>
        <w:t> </w:t>
      </w:r>
      <w:r>
        <w:rPr>
          <w:color w:val="231F20"/>
        </w:rPr>
        <w:t>what</w:t>
      </w:r>
      <w:r>
        <w:rPr>
          <w:color w:val="231F20"/>
          <w:w w:val="99"/>
        </w:rPr>
        <w:t> </w:t>
      </w:r>
      <w:r>
        <w:rPr>
          <w:rFonts w:ascii="Segoe UI"/>
          <w:color w:val="231F20"/>
        </w:rPr>
        <w:t>works</w:t>
      </w:r>
      <w:r>
        <w:rPr>
          <w:rFonts w:ascii="Segoe UI"/>
          <w:color w:val="231F20"/>
          <w:spacing w:val="-2"/>
        </w:rPr>
        <w:t> </w:t>
      </w:r>
      <w:r>
        <w:rPr>
          <w:rFonts w:ascii="Segoe UI"/>
          <w:color w:val="231F20"/>
        </w:rPr>
        <w:t>and</w:t>
      </w:r>
      <w:r>
        <w:rPr>
          <w:rFonts w:ascii="Segoe UI"/>
          <w:color w:val="231F20"/>
          <w:spacing w:val="-1"/>
        </w:rPr>
        <w:t> </w:t>
      </w:r>
      <w:r>
        <w:rPr>
          <w:rFonts w:ascii="Segoe UI"/>
          <w:color w:val="231F20"/>
        </w:rPr>
        <w:t>does</w:t>
      </w:r>
      <w:r>
        <w:rPr>
          <w:rFonts w:ascii="Segoe UI"/>
          <w:color w:val="231F20"/>
          <w:spacing w:val="-1"/>
        </w:rPr>
        <w:t> </w:t>
      </w:r>
      <w:r>
        <w:rPr>
          <w:rFonts w:ascii="Segoe UI"/>
          <w:color w:val="231F20"/>
        </w:rPr>
        <w:t>not</w:t>
      </w:r>
      <w:r>
        <w:rPr>
          <w:rFonts w:ascii="Segoe UI"/>
          <w:color w:val="231F20"/>
          <w:spacing w:val="-1"/>
        </w:rPr>
        <w:t> </w:t>
      </w:r>
      <w:r>
        <w:rPr>
          <w:rFonts w:ascii="Segoe UI"/>
          <w:color w:val="231F20"/>
        </w:rPr>
        <w:t>work</w:t>
      </w:r>
      <w:r>
        <w:rPr>
          <w:rFonts w:ascii="Segoe UI"/>
          <w:color w:val="231F20"/>
          <w:spacing w:val="-1"/>
        </w:rPr>
        <w:t> </w:t>
      </w:r>
      <w:r>
        <w:rPr>
          <w:rFonts w:ascii="Segoe UI"/>
          <w:color w:val="231F20"/>
        </w:rPr>
        <w:t>in</w:t>
      </w:r>
      <w:r>
        <w:rPr>
          <w:rFonts w:ascii="Segoe UI"/>
          <w:color w:val="231F20"/>
          <w:spacing w:val="-1"/>
        </w:rPr>
        <w:t> </w:t>
      </w:r>
      <w:r>
        <w:rPr>
          <w:rFonts w:ascii="Segoe UI"/>
          <w:color w:val="231F20"/>
        </w:rPr>
        <w:t>different</w:t>
      </w:r>
      <w:r>
        <w:rPr>
          <w:rFonts w:ascii="Segoe UI"/>
          <w:color w:val="231F20"/>
          <w:spacing w:val="-1"/>
        </w:rPr>
        <w:t> </w:t>
      </w:r>
      <w:r>
        <w:rPr>
          <w:rFonts w:ascii="Segoe UI"/>
          <w:color w:val="231F20"/>
        </w:rPr>
        <w:t>contexts</w:t>
      </w:r>
      <w:r>
        <w:rPr>
          <w:rFonts w:ascii="Segoe UI"/>
          <w:color w:val="231F20"/>
        </w:rPr>
        <w:t> and</w:t>
      </w:r>
      <w:r>
        <w:rPr>
          <w:rFonts w:ascii="Segoe UI"/>
          <w:color w:val="231F20"/>
          <w:spacing w:val="-2"/>
        </w:rPr>
        <w:t> </w:t>
      </w:r>
      <w:r>
        <w:rPr>
          <w:rFonts w:ascii="Segoe UI"/>
          <w:color w:val="231F20"/>
        </w:rPr>
        <w:t>through</w:t>
      </w:r>
      <w:r>
        <w:rPr>
          <w:rFonts w:ascii="Segoe UI"/>
          <w:color w:val="231F20"/>
          <w:spacing w:val="-1"/>
        </w:rPr>
        <w:t> </w:t>
      </w:r>
      <w:r>
        <w:rPr>
          <w:rFonts w:ascii="Segoe UI"/>
          <w:color w:val="231F20"/>
        </w:rPr>
        <w:t>different</w:t>
      </w:r>
      <w:r>
        <w:rPr>
          <w:rFonts w:ascii="Segoe UI"/>
          <w:color w:val="231F20"/>
          <w:spacing w:val="-2"/>
        </w:rPr>
        <w:t> </w:t>
      </w:r>
      <w:r>
        <w:rPr>
          <w:rFonts w:ascii="Segoe UI"/>
          <w:color w:val="231F20"/>
        </w:rPr>
        <w:t>outputs</w:t>
      </w:r>
      <w:r>
        <w:rPr>
          <w:rFonts w:ascii="Segoe UI"/>
          <w:color w:val="231F20"/>
          <w:spacing w:val="-1"/>
        </w:rPr>
        <w:t> </w:t>
      </w:r>
      <w:r>
        <w:rPr>
          <w:rFonts w:ascii="Segoe UI"/>
          <w:color w:val="231F20"/>
        </w:rPr>
        <w:t>and</w:t>
      </w:r>
      <w:r>
        <w:rPr>
          <w:rFonts w:ascii="Segoe UI"/>
          <w:color w:val="231F20"/>
          <w:spacing w:val="-2"/>
        </w:rPr>
        <w:t> </w:t>
      </w:r>
      <w:r>
        <w:rPr>
          <w:rFonts w:ascii="Segoe UI"/>
          <w:color w:val="231F20"/>
        </w:rPr>
        <w:t>activities.</w:t>
      </w:r>
      <w:r>
        <w:rPr>
          <w:rFonts w:ascii="Segoe UI"/>
        </w:rPr>
      </w:r>
    </w:p>
    <w:p>
      <w:pPr>
        <w:pStyle w:val="BodyText"/>
        <w:spacing w:line="250" w:lineRule="exact" w:before="113"/>
        <w:ind w:left="100" w:right="312"/>
        <w:jc w:val="left"/>
      </w:pPr>
      <w:r>
        <w:rPr>
          <w:color w:val="231F20"/>
        </w:rPr>
        <w:t>The</w:t>
      </w:r>
      <w:r>
        <w:rPr>
          <w:color w:val="231F20"/>
          <w:spacing w:val="-5"/>
        </w:rPr>
        <w:t> </w:t>
      </w:r>
      <w:r>
        <w:rPr>
          <w:color w:val="231F20"/>
          <w:spacing w:val="-1"/>
        </w:rPr>
        <w:t>investment</w:t>
      </w:r>
      <w:r>
        <w:rPr>
          <w:color w:val="231F20"/>
          <w:spacing w:val="-5"/>
        </w:rPr>
        <w:t> </w:t>
      </w:r>
      <w:r>
        <w:rPr>
          <w:color w:val="231F20"/>
          <w:spacing w:val="-1"/>
        </w:rPr>
        <w:t>in</w:t>
      </w:r>
      <w:r>
        <w:rPr>
          <w:color w:val="231F20"/>
          <w:spacing w:val="-4"/>
        </w:rPr>
        <w:t> </w:t>
      </w:r>
      <w:r>
        <w:rPr>
          <w:color w:val="231F20"/>
        </w:rPr>
        <w:t>boarding</w:t>
      </w:r>
      <w:r>
        <w:rPr>
          <w:color w:val="231F20"/>
          <w:spacing w:val="-6"/>
        </w:rPr>
        <w:t> </w:t>
      </w:r>
      <w:r>
        <w:rPr>
          <w:color w:val="231F20"/>
        </w:rPr>
        <w:t>for</w:t>
      </w:r>
      <w:r>
        <w:rPr>
          <w:color w:val="231F20"/>
          <w:spacing w:val="-4"/>
        </w:rPr>
        <w:t> </w:t>
      </w:r>
      <w:r>
        <w:rPr>
          <w:color w:val="231F20"/>
        </w:rPr>
        <w:t>Aboriginal</w:t>
      </w:r>
      <w:r>
        <w:rPr>
          <w:color w:val="231F20"/>
          <w:spacing w:val="23"/>
          <w:w w:val="99"/>
        </w:rPr>
        <w:t> </w:t>
      </w:r>
      <w:r>
        <w:rPr>
          <w:color w:val="231F20"/>
        </w:rPr>
        <w:t>and</w:t>
      </w:r>
      <w:r>
        <w:rPr>
          <w:color w:val="231F20"/>
          <w:spacing w:val="-6"/>
        </w:rPr>
        <w:t> </w:t>
      </w:r>
      <w:r>
        <w:rPr>
          <w:color w:val="231F20"/>
          <w:spacing w:val="-5"/>
        </w:rPr>
        <w:t>Torres</w:t>
      </w:r>
      <w:r>
        <w:rPr>
          <w:color w:val="231F20"/>
          <w:spacing w:val="-4"/>
        </w:rPr>
        <w:t> </w:t>
      </w:r>
      <w:r>
        <w:rPr>
          <w:color w:val="231F20"/>
          <w:spacing w:val="-2"/>
        </w:rPr>
        <w:t>Strait</w:t>
      </w:r>
      <w:r>
        <w:rPr>
          <w:color w:val="231F20"/>
          <w:spacing w:val="-6"/>
        </w:rPr>
        <w:t> </w:t>
      </w:r>
      <w:r>
        <w:rPr>
          <w:color w:val="231F20"/>
          <w:spacing w:val="-1"/>
        </w:rPr>
        <w:t>Islander</w:t>
      </w:r>
      <w:r>
        <w:rPr>
          <w:color w:val="231F20"/>
          <w:spacing w:val="-4"/>
        </w:rPr>
        <w:t> </w:t>
      </w:r>
      <w:r>
        <w:rPr>
          <w:color w:val="231F20"/>
          <w:spacing w:val="-1"/>
        </w:rPr>
        <w:t>secondary</w:t>
      </w:r>
      <w:r>
        <w:rPr>
          <w:color w:val="231F20"/>
          <w:spacing w:val="-4"/>
        </w:rPr>
        <w:t> </w:t>
      </w:r>
      <w:r>
        <w:rPr>
          <w:color w:val="231F20"/>
          <w:spacing w:val="-1"/>
        </w:rPr>
        <w:t>students</w:t>
      </w:r>
      <w:r>
        <w:rPr>
          <w:color w:val="231F20"/>
          <w:spacing w:val="22"/>
        </w:rPr>
        <w:t> </w:t>
      </w:r>
      <w:r>
        <w:rPr>
          <w:color w:val="231F20"/>
          <w:spacing w:val="-1"/>
        </w:rPr>
        <w:t>is</w:t>
      </w:r>
      <w:r>
        <w:rPr>
          <w:color w:val="231F20"/>
          <w:spacing w:val="-6"/>
        </w:rPr>
        <w:t> </w:t>
      </w:r>
      <w:r>
        <w:rPr>
          <w:color w:val="231F20"/>
        </w:rPr>
        <w:t>complex</w:t>
      </w:r>
      <w:r>
        <w:rPr>
          <w:color w:val="231F20"/>
          <w:spacing w:val="-5"/>
        </w:rPr>
        <w:t> </w:t>
      </w:r>
      <w:r>
        <w:rPr>
          <w:color w:val="231F20"/>
        </w:rPr>
        <w:t>and</w:t>
      </w:r>
      <w:r>
        <w:rPr>
          <w:color w:val="231F20"/>
          <w:spacing w:val="-6"/>
        </w:rPr>
        <w:t> </w:t>
      </w:r>
      <w:r>
        <w:rPr>
          <w:color w:val="231F20"/>
        </w:rPr>
        <w:t>achieving</w:t>
      </w:r>
      <w:r>
        <w:rPr>
          <w:color w:val="231F20"/>
          <w:spacing w:val="-5"/>
        </w:rPr>
        <w:t> </w:t>
      </w:r>
      <w:r>
        <w:rPr>
          <w:color w:val="231F20"/>
        </w:rPr>
        <w:t>the</w:t>
      </w:r>
      <w:r>
        <w:rPr>
          <w:color w:val="231F20"/>
          <w:spacing w:val="-6"/>
        </w:rPr>
        <w:t> </w:t>
      </w:r>
      <w:r>
        <w:rPr>
          <w:color w:val="231F20"/>
          <w:spacing w:val="-1"/>
        </w:rPr>
        <w:t>intended</w:t>
      </w:r>
      <w:r>
        <w:rPr/>
      </w:r>
    </w:p>
    <w:p>
      <w:pPr>
        <w:pStyle w:val="BodyText"/>
        <w:spacing w:line="250" w:lineRule="exact" w:before="72"/>
        <w:ind w:left="100" w:right="451"/>
        <w:jc w:val="left"/>
        <w:rPr>
          <w:rFonts w:ascii="Segoe UI" w:hAnsi="Segoe UI" w:cs="Segoe UI" w:eastAsia="Segoe UI"/>
        </w:rPr>
      </w:pPr>
      <w:r>
        <w:rPr/>
        <w:br w:type="column"/>
      </w:r>
      <w:r>
        <w:rPr>
          <w:color w:val="231F20"/>
        </w:rPr>
        <w:t>outcomes</w:t>
      </w:r>
      <w:r>
        <w:rPr>
          <w:color w:val="231F20"/>
          <w:spacing w:val="-4"/>
        </w:rPr>
        <w:t> </w:t>
      </w:r>
      <w:r>
        <w:rPr>
          <w:color w:val="231F20"/>
        </w:rPr>
        <w:t>relies</w:t>
      </w:r>
      <w:r>
        <w:rPr>
          <w:color w:val="231F20"/>
          <w:spacing w:val="-4"/>
        </w:rPr>
        <w:t> </w:t>
      </w:r>
      <w:r>
        <w:rPr>
          <w:color w:val="231F20"/>
        </w:rPr>
        <w:t>on</w:t>
      </w:r>
      <w:r>
        <w:rPr>
          <w:color w:val="231F20"/>
          <w:spacing w:val="-3"/>
        </w:rPr>
        <w:t> </w:t>
      </w:r>
      <w:r>
        <w:rPr>
          <w:color w:val="231F20"/>
        </w:rPr>
        <w:t>a</w:t>
      </w:r>
      <w:r>
        <w:rPr>
          <w:color w:val="231F20"/>
          <w:spacing w:val="-3"/>
        </w:rPr>
        <w:t> </w:t>
      </w:r>
      <w:r>
        <w:rPr>
          <w:color w:val="231F20"/>
        </w:rPr>
        <w:t>range</w:t>
      </w:r>
      <w:r>
        <w:rPr>
          <w:color w:val="231F20"/>
          <w:spacing w:val="-3"/>
        </w:rPr>
        <w:t> </w:t>
      </w:r>
      <w:r>
        <w:rPr>
          <w:color w:val="231F20"/>
        </w:rPr>
        <w:t>of</w:t>
      </w:r>
      <w:r>
        <w:rPr>
          <w:color w:val="231F20"/>
          <w:spacing w:val="-3"/>
        </w:rPr>
        <w:t> </w:t>
      </w:r>
      <w:r>
        <w:rPr>
          <w:color w:val="231F20"/>
        </w:rPr>
        <w:t>factors,</w:t>
      </w:r>
      <w:r>
        <w:rPr>
          <w:color w:val="231F20"/>
          <w:w w:val="99"/>
        </w:rPr>
        <w:t> </w:t>
      </w:r>
      <w:r>
        <w:rPr>
          <w:color w:val="231F20"/>
          <w:spacing w:val="-1"/>
        </w:rPr>
        <w:t>including</w:t>
      </w:r>
      <w:r>
        <w:rPr>
          <w:color w:val="231F20"/>
          <w:spacing w:val="-7"/>
        </w:rPr>
        <w:t> </w:t>
      </w:r>
      <w:r>
        <w:rPr>
          <w:color w:val="231F20"/>
        </w:rPr>
        <w:t>the</w:t>
      </w:r>
      <w:r>
        <w:rPr>
          <w:color w:val="231F20"/>
          <w:spacing w:val="-8"/>
        </w:rPr>
        <w:t> </w:t>
      </w:r>
      <w:r>
        <w:rPr>
          <w:color w:val="231F20"/>
        </w:rPr>
        <w:t>circumstances</w:t>
      </w:r>
      <w:r>
        <w:rPr>
          <w:color w:val="231F20"/>
          <w:spacing w:val="-8"/>
        </w:rPr>
        <w:t> </w:t>
      </w:r>
      <w:r>
        <w:rPr>
          <w:color w:val="231F20"/>
        </w:rPr>
        <w:t>of</w:t>
      </w:r>
      <w:r>
        <w:rPr>
          <w:color w:val="231F20"/>
          <w:spacing w:val="-7"/>
        </w:rPr>
        <w:t> </w:t>
      </w:r>
      <w:r>
        <w:rPr>
          <w:color w:val="231F20"/>
        </w:rPr>
        <w:t>the</w:t>
      </w:r>
      <w:r>
        <w:rPr>
          <w:color w:val="231F20"/>
          <w:spacing w:val="-8"/>
        </w:rPr>
        <w:t> </w:t>
      </w:r>
      <w:r>
        <w:rPr>
          <w:color w:val="231F20"/>
          <w:spacing w:val="-1"/>
        </w:rPr>
        <w:t>student</w:t>
      </w:r>
      <w:r>
        <w:rPr>
          <w:color w:val="231F20"/>
          <w:spacing w:val="21"/>
          <w:w w:val="99"/>
        </w:rPr>
        <w:t> </w:t>
      </w:r>
      <w:r>
        <w:rPr>
          <w:color w:val="231F20"/>
        </w:rPr>
        <w:t>and</w:t>
      </w:r>
      <w:r>
        <w:rPr>
          <w:color w:val="231F20"/>
          <w:spacing w:val="-5"/>
        </w:rPr>
        <w:t> </w:t>
      </w:r>
      <w:r>
        <w:rPr>
          <w:color w:val="231F20"/>
        </w:rPr>
        <w:t>their</w:t>
      </w:r>
      <w:r>
        <w:rPr>
          <w:color w:val="231F20"/>
          <w:spacing w:val="-5"/>
        </w:rPr>
        <w:t> </w:t>
      </w:r>
      <w:r>
        <w:rPr>
          <w:color w:val="231F20"/>
        </w:rPr>
        <w:t>family</w:t>
      </w:r>
      <w:r>
        <w:rPr>
          <w:color w:val="231F20"/>
          <w:spacing w:val="-4"/>
        </w:rPr>
        <w:t> </w:t>
      </w:r>
      <w:r>
        <w:rPr>
          <w:color w:val="231F20"/>
        </w:rPr>
        <w:t>and</w:t>
      </w:r>
      <w:r>
        <w:rPr>
          <w:color w:val="231F20"/>
          <w:spacing w:val="-5"/>
        </w:rPr>
        <w:t> </w:t>
      </w:r>
      <w:r>
        <w:rPr>
          <w:color w:val="231F20"/>
        </w:rPr>
        <w:t>community,</w:t>
      </w:r>
      <w:r>
        <w:rPr>
          <w:color w:val="231F20"/>
          <w:spacing w:val="-4"/>
        </w:rPr>
        <w:t> </w:t>
      </w:r>
      <w:r>
        <w:rPr>
          <w:color w:val="231F20"/>
        </w:rPr>
        <w:t>revenue</w:t>
      </w:r>
      <w:r>
        <w:rPr>
          <w:color w:val="231F20"/>
          <w:w w:val="99"/>
        </w:rPr>
        <w:t> </w:t>
      </w:r>
      <w:r>
        <w:rPr>
          <w:color w:val="231F20"/>
        </w:rPr>
        <w:t>(including</w:t>
      </w:r>
      <w:r>
        <w:rPr>
          <w:color w:val="231F20"/>
          <w:spacing w:val="-10"/>
        </w:rPr>
        <w:t> </w:t>
      </w:r>
      <w:r>
        <w:rPr>
          <w:color w:val="231F20"/>
        </w:rPr>
        <w:t>funding)</w:t>
      </w:r>
      <w:r>
        <w:rPr>
          <w:color w:val="231F20"/>
          <w:spacing w:val="-8"/>
        </w:rPr>
        <w:t> </w:t>
      </w:r>
      <w:r>
        <w:rPr>
          <w:color w:val="231F20"/>
        </w:rPr>
        <w:t>and</w:t>
      </w:r>
      <w:r>
        <w:rPr>
          <w:color w:val="231F20"/>
          <w:spacing w:val="-9"/>
        </w:rPr>
        <w:t> </w:t>
      </w:r>
      <w:r>
        <w:rPr>
          <w:color w:val="231F20"/>
        </w:rPr>
        <w:t>expenditure,</w:t>
      </w:r>
      <w:r>
        <w:rPr>
          <w:color w:val="231F20"/>
          <w:spacing w:val="-9"/>
        </w:rPr>
        <w:t> </w:t>
      </w:r>
      <w:r>
        <w:rPr>
          <w:color w:val="231F20"/>
        </w:rPr>
        <w:t>the</w:t>
      </w:r>
      <w:r>
        <w:rPr>
          <w:color w:val="231F20"/>
          <w:w w:val="99"/>
        </w:rPr>
        <w:t> </w:t>
      </w:r>
      <w:r>
        <w:rPr>
          <w:color w:val="231F20"/>
          <w:spacing w:val="-1"/>
        </w:rPr>
        <w:t>model</w:t>
      </w:r>
      <w:r>
        <w:rPr>
          <w:color w:val="231F20"/>
          <w:spacing w:val="-6"/>
        </w:rPr>
        <w:t> </w:t>
      </w:r>
      <w:r>
        <w:rPr>
          <w:color w:val="231F20"/>
        </w:rPr>
        <w:t>of</w:t>
      </w:r>
      <w:r>
        <w:rPr>
          <w:color w:val="231F20"/>
          <w:spacing w:val="-5"/>
        </w:rPr>
        <w:t> </w:t>
      </w:r>
      <w:r>
        <w:rPr>
          <w:color w:val="231F20"/>
        </w:rPr>
        <w:t>boarding</w:t>
      </w:r>
      <w:r>
        <w:rPr>
          <w:color w:val="231F20"/>
          <w:spacing w:val="-6"/>
        </w:rPr>
        <w:t> </w:t>
      </w:r>
      <w:r>
        <w:rPr>
          <w:color w:val="231F20"/>
        </w:rPr>
        <w:t>delivery</w:t>
      </w:r>
      <w:r>
        <w:rPr>
          <w:color w:val="231F20"/>
          <w:spacing w:val="-6"/>
        </w:rPr>
        <w:t> </w:t>
      </w:r>
      <w:r>
        <w:rPr>
          <w:color w:val="231F20"/>
        </w:rPr>
        <w:t>(including</w:t>
      </w:r>
      <w:r>
        <w:rPr>
          <w:color w:val="231F20"/>
          <w:spacing w:val="-6"/>
        </w:rPr>
        <w:t> </w:t>
      </w:r>
      <w:r>
        <w:rPr>
          <w:color w:val="231F20"/>
          <w:spacing w:val="-1"/>
        </w:rPr>
        <w:t>size,</w:t>
      </w:r>
      <w:r>
        <w:rPr>
          <w:color w:val="231F20"/>
          <w:spacing w:val="21"/>
        </w:rPr>
        <w:t> </w:t>
      </w:r>
      <w:r>
        <w:rPr>
          <w:color w:val="231F20"/>
          <w:spacing w:val="-1"/>
        </w:rPr>
        <w:t>location,</w:t>
      </w:r>
      <w:r>
        <w:rPr>
          <w:color w:val="231F20"/>
          <w:spacing w:val="-8"/>
        </w:rPr>
        <w:t> </w:t>
      </w:r>
      <w:r>
        <w:rPr>
          <w:color w:val="231F20"/>
        </w:rPr>
        <w:t>accommodation</w:t>
      </w:r>
      <w:r>
        <w:rPr>
          <w:color w:val="231F20"/>
          <w:spacing w:val="-8"/>
        </w:rPr>
        <w:t> </w:t>
      </w:r>
      <w:r>
        <w:rPr>
          <w:color w:val="231F20"/>
        </w:rPr>
        <w:t>type</w:t>
      </w:r>
      <w:r>
        <w:rPr>
          <w:color w:val="231F20"/>
          <w:spacing w:val="-8"/>
        </w:rPr>
        <w:t> </w:t>
      </w:r>
      <w:r>
        <w:rPr>
          <w:color w:val="231F20"/>
        </w:rPr>
        <w:t>and</w:t>
      </w:r>
      <w:r>
        <w:rPr>
          <w:color w:val="231F20"/>
          <w:spacing w:val="-8"/>
        </w:rPr>
        <w:t> </w:t>
      </w:r>
      <w:r>
        <w:rPr>
          <w:color w:val="231F20"/>
          <w:spacing w:val="-1"/>
        </w:rPr>
        <w:t>make</w:t>
      </w:r>
      <w:r>
        <w:rPr>
          <w:color w:val="231F20"/>
          <w:spacing w:val="-1"/>
        </w:rPr>
        <w:t> </w:t>
      </w:r>
      <w:r>
        <w:rPr>
          <w:color w:val="231F20"/>
          <w:spacing w:val="21"/>
        </w:rPr>
        <w:t> </w:t>
      </w:r>
      <w:r>
        <w:rPr>
          <w:color w:val="231F20"/>
        </w:rPr>
        <w:t>up</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spacing w:val="-1"/>
        </w:rPr>
        <w:t>student</w:t>
      </w:r>
      <w:r>
        <w:rPr>
          <w:color w:val="231F20"/>
          <w:spacing w:val="-5"/>
        </w:rPr>
        <w:t> </w:t>
      </w:r>
      <w:r>
        <w:rPr>
          <w:color w:val="231F20"/>
        </w:rPr>
        <w:t>population),</w:t>
      </w:r>
      <w:r>
        <w:rPr>
          <w:color w:val="231F20"/>
          <w:spacing w:val="-6"/>
        </w:rPr>
        <w:t> </w:t>
      </w:r>
      <w:r>
        <w:rPr>
          <w:color w:val="231F20"/>
        </w:rPr>
        <w:t>family</w:t>
      </w:r>
      <w:r>
        <w:rPr>
          <w:color w:val="231F20"/>
          <w:spacing w:val="-5"/>
        </w:rPr>
        <w:t> </w:t>
      </w:r>
      <w:r>
        <w:rPr>
          <w:color w:val="231F20"/>
        </w:rPr>
        <w:t>and</w:t>
      </w:r>
      <w:r>
        <w:rPr>
          <w:color w:val="231F20"/>
          <w:spacing w:val="22"/>
          <w:w w:val="99"/>
        </w:rPr>
        <w:t> </w:t>
      </w:r>
      <w:r>
        <w:rPr>
          <w:rFonts w:ascii="Segoe UI"/>
          <w:color w:val="231F20"/>
        </w:rPr>
        <w:t>community engagement and staffing ratios.</w:t>
      </w:r>
      <w:r>
        <w:rPr>
          <w:rFonts w:ascii="Segoe UI"/>
        </w:rPr>
      </w:r>
    </w:p>
    <w:p>
      <w:pPr>
        <w:pStyle w:val="BodyText"/>
        <w:spacing w:line="250" w:lineRule="exact"/>
        <w:ind w:left="100" w:right="154"/>
        <w:jc w:val="left"/>
      </w:pPr>
      <w:r>
        <w:rPr>
          <w:color w:val="231F20"/>
        </w:rPr>
        <w:t>The</w:t>
      </w:r>
      <w:r>
        <w:rPr>
          <w:color w:val="231F20"/>
          <w:spacing w:val="-7"/>
        </w:rPr>
        <w:t> </w:t>
      </w:r>
      <w:r>
        <w:rPr>
          <w:color w:val="231F20"/>
        </w:rPr>
        <w:t>complexity</w:t>
      </w:r>
      <w:r>
        <w:rPr>
          <w:color w:val="231F20"/>
          <w:spacing w:val="-6"/>
        </w:rPr>
        <w:t> </w:t>
      </w:r>
      <w:r>
        <w:rPr>
          <w:color w:val="231F20"/>
        </w:rPr>
        <w:t>of</w:t>
      </w:r>
      <w:r>
        <w:rPr>
          <w:color w:val="231F20"/>
          <w:spacing w:val="-6"/>
        </w:rPr>
        <w:t> </w:t>
      </w:r>
      <w:r>
        <w:rPr>
          <w:color w:val="231F20"/>
        </w:rPr>
        <w:t>the</w:t>
      </w:r>
      <w:r>
        <w:rPr>
          <w:color w:val="231F20"/>
          <w:spacing w:val="-7"/>
        </w:rPr>
        <w:t> </w:t>
      </w:r>
      <w:r>
        <w:rPr>
          <w:color w:val="231F20"/>
          <w:spacing w:val="-1"/>
        </w:rPr>
        <w:t>inter-relationships</w:t>
      </w:r>
      <w:r>
        <w:rPr>
          <w:color w:val="231F20"/>
          <w:spacing w:val="20"/>
          <w:w w:val="99"/>
        </w:rPr>
        <w:t> </w:t>
      </w:r>
      <w:r>
        <w:rPr>
          <w:color w:val="231F20"/>
        </w:rPr>
        <w:t>between</w:t>
      </w:r>
      <w:r>
        <w:rPr>
          <w:color w:val="231F20"/>
          <w:spacing w:val="-7"/>
        </w:rPr>
        <w:t> </w:t>
      </w:r>
      <w:r>
        <w:rPr>
          <w:color w:val="231F20"/>
        </w:rPr>
        <w:t>the</w:t>
      </w:r>
      <w:r>
        <w:rPr>
          <w:color w:val="231F20"/>
          <w:spacing w:val="-7"/>
        </w:rPr>
        <w:t> </w:t>
      </w:r>
      <w:r>
        <w:rPr>
          <w:color w:val="231F20"/>
        </w:rPr>
        <w:t>full</w:t>
      </w:r>
      <w:r>
        <w:rPr>
          <w:color w:val="231F20"/>
          <w:spacing w:val="-6"/>
        </w:rPr>
        <w:t> </w:t>
      </w:r>
      <w:r>
        <w:rPr>
          <w:color w:val="231F20"/>
        </w:rPr>
        <w:t>range</w:t>
      </w:r>
      <w:r>
        <w:rPr>
          <w:color w:val="231F20"/>
          <w:spacing w:val="-7"/>
        </w:rPr>
        <w:t> </w:t>
      </w:r>
      <w:r>
        <w:rPr>
          <w:color w:val="231F20"/>
        </w:rPr>
        <w:t>of</w:t>
      </w:r>
      <w:r>
        <w:rPr>
          <w:color w:val="231F20"/>
          <w:spacing w:val="-6"/>
        </w:rPr>
        <w:t> </w:t>
      </w:r>
      <w:r>
        <w:rPr>
          <w:color w:val="231F20"/>
        </w:rPr>
        <w:t>factors</w:t>
      </w:r>
      <w:r>
        <w:rPr>
          <w:color w:val="231F20"/>
          <w:spacing w:val="-6"/>
        </w:rPr>
        <w:t> </w:t>
      </w:r>
      <w:r>
        <w:rPr>
          <w:color w:val="231F20"/>
        </w:rPr>
        <w:t>contributing</w:t>
      </w:r>
      <w:r>
        <w:rPr>
          <w:color w:val="231F20"/>
          <w:w w:val="99"/>
        </w:rPr>
        <w:t> </w:t>
      </w:r>
      <w:r>
        <w:rPr>
          <w:color w:val="231F20"/>
        </w:rPr>
        <w:t>to</w:t>
      </w:r>
      <w:r>
        <w:rPr>
          <w:color w:val="231F20"/>
          <w:spacing w:val="-6"/>
        </w:rPr>
        <w:t> </w:t>
      </w:r>
      <w:r>
        <w:rPr>
          <w:color w:val="231F20"/>
        </w:rPr>
        <w:t>boarding</w:t>
      </w:r>
      <w:r>
        <w:rPr>
          <w:color w:val="231F20"/>
          <w:spacing w:val="-7"/>
        </w:rPr>
        <w:t> </w:t>
      </w:r>
      <w:r>
        <w:rPr>
          <w:color w:val="231F20"/>
        </w:rPr>
        <w:t>outcomes</w:t>
      </w:r>
      <w:r>
        <w:rPr>
          <w:color w:val="231F20"/>
          <w:spacing w:val="-7"/>
        </w:rPr>
        <w:t> </w:t>
      </w:r>
      <w:r>
        <w:rPr>
          <w:color w:val="231F20"/>
        </w:rPr>
        <w:t>was</w:t>
      </w:r>
      <w:r>
        <w:rPr>
          <w:color w:val="231F20"/>
          <w:spacing w:val="-6"/>
        </w:rPr>
        <w:t> </w:t>
      </w:r>
      <w:r>
        <w:rPr>
          <w:color w:val="231F20"/>
        </w:rPr>
        <w:t>recently</w:t>
      </w:r>
      <w:r>
        <w:rPr>
          <w:color w:val="231F20"/>
          <w:spacing w:val="-7"/>
        </w:rPr>
        <w:t> </w:t>
      </w:r>
      <w:r>
        <w:rPr>
          <w:color w:val="231F20"/>
        </w:rPr>
        <w:t>examined</w:t>
      </w:r>
      <w:r>
        <w:rPr>
          <w:color w:val="231F20"/>
          <w:w w:val="99"/>
        </w:rPr>
        <w:t> </w:t>
      </w:r>
      <w:r>
        <w:rPr>
          <w:rFonts w:ascii="Segoe UI" w:hAnsi="Segoe UI" w:cs="Segoe UI" w:eastAsia="Segoe UI"/>
          <w:color w:val="231F20"/>
        </w:rPr>
        <w:t>in detail for the first time. Guenther, 2017</w:t>
      </w:r>
      <w:r>
        <w:rPr>
          <w:rFonts w:ascii="Segoe UI" w:hAnsi="Segoe UI" w:cs="Segoe UI" w:eastAsia="Segoe UI"/>
          <w:color w:val="231F20"/>
        </w:rPr>
        <w:t> identified six ‘mechanisms’ and 45 ‘elements’ </w:t>
      </w:r>
      <w:r>
        <w:rPr>
          <w:color w:val="231F20"/>
        </w:rPr>
        <w:t>contributing</w:t>
      </w:r>
      <w:r>
        <w:rPr>
          <w:color w:val="231F20"/>
          <w:spacing w:val="-8"/>
        </w:rPr>
        <w:t> </w:t>
      </w:r>
      <w:r>
        <w:rPr>
          <w:color w:val="231F20"/>
        </w:rPr>
        <w:t>to</w:t>
      </w:r>
      <w:r>
        <w:rPr>
          <w:color w:val="231F20"/>
          <w:spacing w:val="-7"/>
        </w:rPr>
        <w:t> </w:t>
      </w:r>
      <w:r>
        <w:rPr>
          <w:color w:val="231F20"/>
        </w:rPr>
        <w:t>boarding</w:t>
      </w:r>
      <w:r>
        <w:rPr>
          <w:color w:val="231F20"/>
          <w:spacing w:val="-7"/>
        </w:rPr>
        <w:t> </w:t>
      </w:r>
      <w:r>
        <w:rPr>
          <w:color w:val="231F20"/>
        </w:rPr>
        <w:t>and</w:t>
      </w:r>
      <w:r>
        <w:rPr>
          <w:color w:val="231F20"/>
          <w:spacing w:val="-8"/>
        </w:rPr>
        <w:t> </w:t>
      </w:r>
      <w:r>
        <w:rPr>
          <w:color w:val="231F20"/>
        </w:rPr>
        <w:t>noted</w:t>
      </w:r>
      <w:r>
        <w:rPr>
          <w:color w:val="231F20"/>
          <w:spacing w:val="-7"/>
        </w:rPr>
        <w:t> </w:t>
      </w:r>
      <w:r>
        <w:rPr>
          <w:color w:val="231F20"/>
        </w:rPr>
        <w:t>that</w:t>
      </w:r>
      <w:r>
        <w:rPr>
          <w:color w:val="231F20"/>
          <w:w w:val="99"/>
        </w:rPr>
        <w:t> </w:t>
      </w:r>
      <w:r>
        <w:rPr>
          <w:rFonts w:ascii="Segoe UI" w:hAnsi="Segoe UI" w:cs="Segoe UI" w:eastAsia="Segoe UI"/>
          <w:color w:val="231F20"/>
        </w:rPr>
        <w:t>‘adjusting</w:t>
      </w:r>
      <w:r>
        <w:rPr>
          <w:rFonts w:ascii="Segoe UI" w:hAnsi="Segoe UI" w:cs="Segoe UI" w:eastAsia="Segoe UI"/>
          <w:color w:val="231F20"/>
          <w:spacing w:val="-2"/>
        </w:rPr>
        <w:t> </w:t>
      </w:r>
      <w:r>
        <w:rPr>
          <w:rFonts w:ascii="Segoe UI" w:hAnsi="Segoe UI" w:cs="Segoe UI" w:eastAsia="Segoe UI"/>
          <w:color w:val="231F20"/>
        </w:rPr>
        <w:t>one</w:t>
      </w:r>
      <w:r>
        <w:rPr>
          <w:rFonts w:ascii="Segoe UI" w:hAnsi="Segoe UI" w:cs="Segoe UI" w:eastAsia="Segoe UI"/>
          <w:color w:val="231F20"/>
          <w:spacing w:val="-1"/>
        </w:rPr>
        <w:t> </w:t>
      </w:r>
      <w:r>
        <w:rPr>
          <w:rFonts w:ascii="Segoe UI" w:hAnsi="Segoe UI" w:cs="Segoe UI" w:eastAsia="Segoe UI"/>
          <w:color w:val="231F20"/>
        </w:rPr>
        <w:t>mechanism</w:t>
      </w:r>
      <w:r>
        <w:rPr>
          <w:rFonts w:ascii="Segoe UI" w:hAnsi="Segoe UI" w:cs="Segoe UI" w:eastAsia="Segoe UI"/>
          <w:color w:val="231F20"/>
          <w:spacing w:val="-2"/>
        </w:rPr>
        <w:t> </w:t>
      </w:r>
      <w:r>
        <w:rPr>
          <w:rFonts w:ascii="Segoe UI" w:hAnsi="Segoe UI" w:cs="Segoe UI" w:eastAsia="Segoe UI"/>
          <w:color w:val="231F20"/>
        </w:rPr>
        <w:t>inevitably</w:t>
      </w:r>
      <w:r>
        <w:rPr>
          <w:rFonts w:ascii="Segoe UI" w:hAnsi="Segoe UI" w:cs="Segoe UI" w:eastAsia="Segoe UI"/>
          <w:color w:val="231F20"/>
          <w:spacing w:val="-1"/>
        </w:rPr>
        <w:t> </w:t>
      </w:r>
      <w:r>
        <w:rPr>
          <w:rFonts w:ascii="Segoe UI" w:hAnsi="Segoe UI" w:cs="Segoe UI" w:eastAsia="Segoe UI"/>
          <w:color w:val="231F20"/>
        </w:rPr>
        <w:t>affects</w:t>
      </w:r>
      <w:r>
        <w:rPr>
          <w:rFonts w:ascii="Segoe UI" w:hAnsi="Segoe UI" w:cs="Segoe UI" w:eastAsia="Segoe UI"/>
          <w:color w:val="231F20"/>
          <w:w w:val="99"/>
        </w:rPr>
        <w:t> </w:t>
      </w:r>
      <w:r>
        <w:rPr>
          <w:color w:val="231F20"/>
        </w:rPr>
        <w:t>another</w:t>
      </w:r>
      <w:r>
        <w:rPr>
          <w:color w:val="231F20"/>
          <w:spacing w:val="-5"/>
        </w:rPr>
        <w:t> </w:t>
      </w:r>
      <w:r>
        <w:rPr>
          <w:color w:val="231F20"/>
        </w:rPr>
        <w:t>(positively</w:t>
      </w:r>
      <w:r>
        <w:rPr>
          <w:color w:val="231F20"/>
          <w:spacing w:val="-5"/>
        </w:rPr>
        <w:t> </w:t>
      </w:r>
      <w:r>
        <w:rPr>
          <w:color w:val="231F20"/>
        </w:rPr>
        <w:t>or</w:t>
      </w:r>
      <w:r>
        <w:rPr>
          <w:color w:val="231F20"/>
          <w:spacing w:val="-4"/>
        </w:rPr>
        <w:t> </w:t>
      </w:r>
      <w:r>
        <w:rPr>
          <w:color w:val="231F20"/>
          <w:spacing w:val="-1"/>
        </w:rPr>
        <w:t>negatively)’.</w:t>
      </w:r>
      <w:r>
        <w:rPr>
          <w:rFonts w:ascii="Segoe UI Semibold" w:hAnsi="Segoe UI Semibold" w:cs="Segoe UI Semibold" w:eastAsia="Segoe UI Semibold"/>
          <w:b/>
          <w:bCs/>
          <w:color w:val="231F20"/>
          <w:spacing w:val="-1"/>
          <w:position w:val="7"/>
          <w:sz w:val="11"/>
          <w:szCs w:val="11"/>
        </w:rPr>
        <w:t>46</w:t>
      </w:r>
      <w:r>
        <w:rPr>
          <w:rFonts w:ascii="Segoe UI Semibold" w:hAnsi="Segoe UI Semibold" w:cs="Segoe UI Semibold" w:eastAsia="Segoe UI Semibold"/>
          <w:b/>
          <w:bCs/>
          <w:color w:val="231F20"/>
          <w:spacing w:val="21"/>
          <w:position w:val="7"/>
          <w:sz w:val="11"/>
          <w:szCs w:val="11"/>
        </w:rPr>
        <w:t> </w:t>
      </w:r>
      <w:r>
        <w:rPr>
          <w:color w:val="231F20"/>
        </w:rPr>
        <w:t>The</w:t>
      </w:r>
      <w:r>
        <w:rPr>
          <w:color w:val="231F20"/>
          <w:spacing w:val="26"/>
          <w:w w:val="99"/>
        </w:rPr>
        <w:t> </w:t>
      </w:r>
      <w:r>
        <w:rPr>
          <w:color w:val="231F20"/>
          <w:spacing w:val="-1"/>
        </w:rPr>
        <w:t>mapping</w:t>
      </w:r>
      <w:r>
        <w:rPr>
          <w:color w:val="231F20"/>
          <w:spacing w:val="-4"/>
        </w:rPr>
        <w:t> </w:t>
      </w:r>
      <w:r>
        <w:rPr>
          <w:color w:val="231F20"/>
        </w:rPr>
        <w:t>by</w:t>
      </w:r>
      <w:r>
        <w:rPr>
          <w:color w:val="231F20"/>
          <w:spacing w:val="-4"/>
        </w:rPr>
        <w:t> </w:t>
      </w:r>
      <w:r>
        <w:rPr>
          <w:color w:val="231F20"/>
        </w:rPr>
        <w:t>Guenther,</w:t>
      </w:r>
      <w:r>
        <w:rPr>
          <w:color w:val="231F20"/>
          <w:spacing w:val="-4"/>
        </w:rPr>
        <w:t> </w:t>
      </w:r>
      <w:r>
        <w:rPr>
          <w:color w:val="231F20"/>
          <w:spacing w:val="-1"/>
        </w:rPr>
        <w:t>2017</w:t>
      </w:r>
      <w:r>
        <w:rPr>
          <w:color w:val="231F20"/>
          <w:spacing w:val="-4"/>
        </w:rPr>
        <w:t> </w:t>
      </w:r>
      <w:r>
        <w:rPr>
          <w:color w:val="231F20"/>
        </w:rPr>
        <w:t>of</w:t>
      </w:r>
      <w:r>
        <w:rPr>
          <w:color w:val="231F20"/>
          <w:spacing w:val="-4"/>
        </w:rPr>
        <w:t> </w:t>
      </w:r>
      <w:r>
        <w:rPr>
          <w:color w:val="231F20"/>
        </w:rPr>
        <w:t>the</w:t>
      </w:r>
      <w:r>
        <w:rPr>
          <w:color w:val="231F20"/>
          <w:spacing w:val="-5"/>
        </w:rPr>
        <w:t> </w:t>
      </w:r>
      <w:r>
        <w:rPr>
          <w:color w:val="231F20"/>
          <w:spacing w:val="-1"/>
        </w:rPr>
        <w:t>mechanisms</w:t>
      </w:r>
      <w:r>
        <w:rPr>
          <w:color w:val="231F20"/>
          <w:spacing w:val="22"/>
        </w:rPr>
        <w:t> </w:t>
      </w:r>
      <w:r>
        <w:rPr>
          <w:color w:val="231F20"/>
        </w:rPr>
        <w:t>and</w:t>
      </w:r>
      <w:r>
        <w:rPr>
          <w:color w:val="231F20"/>
          <w:spacing w:val="-6"/>
        </w:rPr>
        <w:t> </w:t>
      </w:r>
      <w:r>
        <w:rPr>
          <w:color w:val="231F20"/>
        </w:rPr>
        <w:t>elements</w:t>
      </w:r>
      <w:r>
        <w:rPr>
          <w:color w:val="231F20"/>
          <w:spacing w:val="-6"/>
        </w:rPr>
        <w:t> </w:t>
      </w:r>
      <w:r>
        <w:rPr>
          <w:color w:val="231F20"/>
        </w:rPr>
        <w:t>of</w:t>
      </w:r>
      <w:r>
        <w:rPr>
          <w:color w:val="231F20"/>
          <w:spacing w:val="-5"/>
        </w:rPr>
        <w:t> </w:t>
      </w:r>
      <w:r>
        <w:rPr>
          <w:color w:val="231F20"/>
        </w:rPr>
        <w:t>boarding</w:t>
      </w:r>
      <w:r>
        <w:rPr>
          <w:color w:val="231F20"/>
          <w:spacing w:val="-5"/>
        </w:rPr>
        <w:t> </w:t>
      </w:r>
      <w:r>
        <w:rPr>
          <w:color w:val="231F20"/>
          <w:spacing w:val="-1"/>
        </w:rPr>
        <w:t>intervention</w:t>
      </w:r>
      <w:r>
        <w:rPr>
          <w:color w:val="231F20"/>
          <w:spacing w:val="-5"/>
        </w:rPr>
        <w:t> </w:t>
      </w:r>
      <w:r>
        <w:rPr>
          <w:color w:val="231F20"/>
          <w:spacing w:val="-1"/>
        </w:rPr>
        <w:t>is</w:t>
      </w:r>
      <w:r>
        <w:rPr>
          <w:color w:val="231F20"/>
          <w:spacing w:val="21"/>
        </w:rPr>
        <w:t> </w:t>
      </w:r>
      <w:r>
        <w:rPr>
          <w:color w:val="231F20"/>
        </w:rPr>
        <w:t>reproduced</w:t>
      </w:r>
      <w:r>
        <w:rPr>
          <w:color w:val="231F20"/>
          <w:spacing w:val="-17"/>
        </w:rPr>
        <w:t> </w:t>
      </w:r>
      <w:r>
        <w:rPr>
          <w:color w:val="231F20"/>
        </w:rPr>
        <w:t>below:</w:t>
      </w:r>
      <w:r>
        <w:rPr/>
      </w:r>
    </w:p>
    <w:p>
      <w:pPr>
        <w:spacing w:after="0" w:line="250" w:lineRule="exact"/>
        <w:jc w:val="left"/>
        <w:sectPr>
          <w:type w:val="continuous"/>
          <w:pgSz w:w="11910" w:h="16840"/>
          <w:pgMar w:top="1580" w:bottom="280" w:left="1600" w:right="1300"/>
          <w:cols w:num="2" w:equalWidth="0">
            <w:col w:w="4353" w:space="239"/>
            <w:col w:w="4418"/>
          </w:cols>
        </w:sectPr>
      </w:pPr>
    </w:p>
    <w:p>
      <w:pPr>
        <w:spacing w:line="240" w:lineRule="auto" w:before="0"/>
        <w:rPr>
          <w:rFonts w:ascii="Segoe UI" w:hAnsi="Segoe UI" w:cs="Segoe UI" w:eastAsia="Segoe UI"/>
          <w:sz w:val="20"/>
          <w:szCs w:val="20"/>
        </w:rPr>
      </w:pPr>
    </w:p>
    <w:p>
      <w:pPr>
        <w:spacing w:line="240" w:lineRule="auto" w:before="9"/>
        <w:rPr>
          <w:rFonts w:ascii="Segoe UI" w:hAnsi="Segoe UI" w:cs="Segoe UI" w:eastAsia="Segoe UI"/>
          <w:sz w:val="12"/>
          <w:szCs w:val="12"/>
        </w:rPr>
      </w:pPr>
    </w:p>
    <w:p>
      <w:pPr>
        <w:spacing w:line="200" w:lineRule="atLeast"/>
        <w:ind w:left="100" w:right="0" w:firstLine="0"/>
        <w:rPr>
          <w:rFonts w:ascii="Segoe UI" w:hAnsi="Segoe UI" w:cs="Segoe UI" w:eastAsia="Segoe UI"/>
          <w:sz w:val="20"/>
          <w:szCs w:val="20"/>
        </w:rPr>
      </w:pPr>
      <w:r>
        <w:rPr>
          <w:rFonts w:ascii="Segoe UI" w:hAnsi="Segoe UI" w:cs="Segoe UI" w:eastAsia="Segoe UI"/>
          <w:sz w:val="20"/>
          <w:szCs w:val="20"/>
        </w:rPr>
        <w:pict>
          <v:group style="width:439.4pt;height:358.6pt;mso-position-horizontal-relative:char;mso-position-vertical-relative:line" coordorigin="0,0" coordsize="8788,7172">
            <v:group style="position:absolute;left:100;top:100;width:8588;height:6972" coordorigin="100,100" coordsize="8588,6972">
              <v:shape style="position:absolute;left:100;top:100;width:8588;height:6972" coordorigin="100,100" coordsize="8588,6972" path="m100,7072l8687,7072,8687,100,100,100,100,7072xe" filled="false" stroked="true" strokeweight="10.0pt" strokecolor="#c1b5a9">
                <v:path arrowok="t"/>
              </v:shape>
              <v:shape style="position:absolute;left:283;top:979;width:8199;height:5450" type="#_x0000_t75" stroked="false">
                <v:imagedata r:id="rId28" o:title=""/>
              </v:shape>
              <v:shape style="position:absolute;left:286;top:285;width:7013;height:192" type="#_x0000_t202" filled="false" stroked="false">
                <v:textbox inset="0,0,0,0">
                  <w:txbxContent>
                    <w:p>
                      <w:pPr>
                        <w:spacing w:line="191" w:lineRule="exact" w:before="0"/>
                        <w:ind w:left="0" w:right="0" w:firstLine="0"/>
                        <w:jc w:val="left"/>
                        <w:rPr>
                          <w:rFonts w:ascii="Segoe UI Semibold" w:hAnsi="Segoe UI Semibold" w:cs="Segoe UI Semibold" w:eastAsia="Segoe UI Semibold"/>
                          <w:sz w:val="11"/>
                          <w:szCs w:val="11"/>
                        </w:rPr>
                      </w:pPr>
                      <w:r>
                        <w:rPr>
                          <w:rFonts w:ascii="Segoe UI Semibold"/>
                          <w:b/>
                          <w:color w:val="666155"/>
                          <w:spacing w:val="4"/>
                          <w:sz w:val="16"/>
                        </w:rPr>
                        <w:t>FIGURE</w:t>
                      </w:r>
                      <w:r>
                        <w:rPr>
                          <w:rFonts w:ascii="Segoe UI Semibold"/>
                          <w:b/>
                          <w:color w:val="666155"/>
                          <w:spacing w:val="-3"/>
                          <w:sz w:val="16"/>
                        </w:rPr>
                        <w:t> </w:t>
                      </w:r>
                      <w:r>
                        <w:rPr>
                          <w:rFonts w:ascii="Segoe UI Semibold"/>
                          <w:b/>
                          <w:color w:val="666155"/>
                          <w:sz w:val="16"/>
                        </w:rPr>
                        <w:t>1:</w:t>
                      </w:r>
                      <w:r>
                        <w:rPr>
                          <w:rFonts w:ascii="Segoe UI Semibold"/>
                          <w:b/>
                          <w:color w:val="666155"/>
                          <w:spacing w:val="-2"/>
                          <w:sz w:val="16"/>
                        </w:rPr>
                        <w:t> </w:t>
                      </w:r>
                      <w:r>
                        <w:rPr>
                          <w:rFonts w:ascii="Segoe UI Semibold"/>
                          <w:b/>
                          <w:color w:val="666155"/>
                          <w:spacing w:val="4"/>
                          <w:sz w:val="16"/>
                        </w:rPr>
                        <w:t>MECHANISMS</w:t>
                      </w:r>
                      <w:r>
                        <w:rPr>
                          <w:rFonts w:ascii="Segoe UI Semibold"/>
                          <w:b/>
                          <w:color w:val="666155"/>
                          <w:sz w:val="16"/>
                        </w:rPr>
                        <w:t> </w:t>
                      </w:r>
                      <w:r>
                        <w:rPr>
                          <w:rFonts w:ascii="Segoe UI Semibold"/>
                          <w:b/>
                          <w:color w:val="666155"/>
                          <w:spacing w:val="4"/>
                          <w:sz w:val="16"/>
                        </w:rPr>
                        <w:t>CONTRIBUTING</w:t>
                      </w:r>
                      <w:r>
                        <w:rPr>
                          <w:rFonts w:ascii="Segoe UI Semibold"/>
                          <w:b/>
                          <w:color w:val="666155"/>
                          <w:sz w:val="16"/>
                        </w:rPr>
                        <w:t> </w:t>
                      </w:r>
                      <w:r>
                        <w:rPr>
                          <w:rFonts w:ascii="Segoe UI Semibold"/>
                          <w:b/>
                          <w:color w:val="666155"/>
                          <w:spacing w:val="-1"/>
                          <w:sz w:val="16"/>
                        </w:rPr>
                        <w:t>TO</w:t>
                      </w:r>
                      <w:r>
                        <w:rPr>
                          <w:rFonts w:ascii="Segoe UI Semibold"/>
                          <w:b/>
                          <w:color w:val="666155"/>
                          <w:sz w:val="16"/>
                        </w:rPr>
                        <w:t> </w:t>
                      </w:r>
                      <w:r>
                        <w:rPr>
                          <w:rFonts w:ascii="Segoe UI Semibold"/>
                          <w:b/>
                          <w:color w:val="666155"/>
                          <w:spacing w:val="4"/>
                          <w:sz w:val="16"/>
                        </w:rPr>
                        <w:t>BOARDING</w:t>
                      </w:r>
                      <w:r>
                        <w:rPr>
                          <w:rFonts w:ascii="Segoe UI Semibold"/>
                          <w:b/>
                          <w:color w:val="666155"/>
                          <w:spacing w:val="1"/>
                          <w:sz w:val="16"/>
                        </w:rPr>
                        <w:t> </w:t>
                      </w:r>
                      <w:r>
                        <w:rPr>
                          <w:rFonts w:ascii="Segoe UI Semibold"/>
                          <w:b/>
                          <w:color w:val="666155"/>
                          <w:spacing w:val="4"/>
                          <w:sz w:val="16"/>
                        </w:rPr>
                        <w:t>INTERVENTION,</w:t>
                      </w:r>
                      <w:r>
                        <w:rPr>
                          <w:rFonts w:ascii="Segoe UI Semibold"/>
                          <w:b/>
                          <w:color w:val="666155"/>
                          <w:spacing w:val="-3"/>
                          <w:sz w:val="16"/>
                        </w:rPr>
                        <w:t> </w:t>
                      </w:r>
                      <w:r>
                        <w:rPr>
                          <w:rFonts w:ascii="Segoe UI Semibold"/>
                          <w:b/>
                          <w:color w:val="666155"/>
                          <w:spacing w:val="4"/>
                          <w:sz w:val="16"/>
                        </w:rPr>
                        <w:t>GUENTHER,</w:t>
                      </w:r>
                      <w:r>
                        <w:rPr>
                          <w:rFonts w:ascii="Segoe UI Semibold"/>
                          <w:b/>
                          <w:color w:val="666155"/>
                          <w:spacing w:val="-4"/>
                          <w:sz w:val="16"/>
                        </w:rPr>
                        <w:t> </w:t>
                      </w:r>
                      <w:r>
                        <w:rPr>
                          <w:rFonts w:ascii="Segoe UI Semibold"/>
                          <w:b/>
                          <w:color w:val="666155"/>
                          <w:spacing w:val="-1"/>
                          <w:sz w:val="16"/>
                        </w:rPr>
                        <w:t>2017</w:t>
                      </w:r>
                      <w:r>
                        <w:rPr>
                          <w:rFonts w:ascii="Segoe UI Semibold"/>
                          <w:b/>
                          <w:color w:val="231F20"/>
                          <w:spacing w:val="-1"/>
                          <w:position w:val="7"/>
                          <w:sz w:val="11"/>
                        </w:rPr>
                        <w:t>47</w:t>
                      </w:r>
                      <w:r>
                        <w:rPr>
                          <w:rFonts w:ascii="Segoe UI Semibold"/>
                          <w:sz w:val="11"/>
                        </w:rPr>
                      </w:r>
                    </w:p>
                  </w:txbxContent>
                </v:textbox>
                <w10:wrap type="none"/>
              </v:shape>
            </v:group>
          </v:group>
        </w:pict>
      </w:r>
      <w:r>
        <w:rPr>
          <w:rFonts w:ascii="Segoe UI" w:hAnsi="Segoe UI" w:cs="Segoe UI" w:eastAsia="Segoe UI"/>
          <w:sz w:val="20"/>
          <w:szCs w:val="20"/>
        </w:rPr>
      </w:r>
    </w:p>
    <w:p>
      <w:pPr>
        <w:spacing w:after="0" w:line="200" w:lineRule="atLeast"/>
        <w:rPr>
          <w:rFonts w:ascii="Segoe UI" w:hAnsi="Segoe UI" w:cs="Segoe UI" w:eastAsia="Segoe UI"/>
          <w:sz w:val="20"/>
          <w:szCs w:val="20"/>
        </w:rPr>
        <w:sectPr>
          <w:type w:val="continuous"/>
          <w:pgSz w:w="11910" w:h="16840"/>
          <w:pgMar w:top="1580" w:bottom="280" w:left="1600" w:right="1300"/>
        </w:sectPr>
      </w:pPr>
    </w:p>
    <w:p>
      <w:pPr>
        <w:spacing w:line="240" w:lineRule="auto" w:before="0"/>
        <w:rPr>
          <w:rFonts w:ascii="Segoe UI" w:hAnsi="Segoe UI" w:cs="Segoe UI" w:eastAsia="Segoe UI"/>
          <w:sz w:val="20"/>
          <w:szCs w:val="20"/>
        </w:rPr>
      </w:pPr>
    </w:p>
    <w:p>
      <w:pPr>
        <w:spacing w:line="240" w:lineRule="auto" w:before="8"/>
        <w:rPr>
          <w:rFonts w:ascii="Segoe UI" w:hAnsi="Segoe UI" w:cs="Segoe UI" w:eastAsia="Segoe UI"/>
          <w:sz w:val="21"/>
          <w:szCs w:val="21"/>
        </w:rPr>
      </w:pPr>
    </w:p>
    <w:p>
      <w:pPr>
        <w:spacing w:after="0" w:line="240" w:lineRule="auto"/>
        <w:rPr>
          <w:rFonts w:ascii="Segoe UI" w:hAnsi="Segoe UI" w:cs="Segoe UI" w:eastAsia="Segoe UI"/>
          <w:sz w:val="21"/>
          <w:szCs w:val="21"/>
        </w:rPr>
        <w:sectPr>
          <w:footerReference w:type="even" r:id="rId29"/>
          <w:footerReference w:type="default" r:id="rId30"/>
          <w:pgSz w:w="11910" w:h="16840"/>
          <w:pgMar w:footer="691" w:header="0" w:top="1580" w:bottom="880" w:left="1300" w:right="1640"/>
          <w:pgNumType w:start="32"/>
        </w:sectPr>
      </w:pPr>
    </w:p>
    <w:p>
      <w:pPr>
        <w:pStyle w:val="BodyText"/>
        <w:spacing w:line="250" w:lineRule="exact" w:before="62"/>
        <w:ind w:right="157"/>
        <w:jc w:val="left"/>
      </w:pPr>
      <w:r>
        <w:rPr>
          <w:color w:val="231F20"/>
        </w:rPr>
        <w:t>Guenther,</w:t>
      </w:r>
      <w:r>
        <w:rPr>
          <w:color w:val="231F20"/>
          <w:spacing w:val="-4"/>
        </w:rPr>
        <w:t> </w:t>
      </w:r>
      <w:r>
        <w:rPr>
          <w:color w:val="231F20"/>
          <w:spacing w:val="-1"/>
        </w:rPr>
        <w:t>2017</w:t>
      </w:r>
      <w:r>
        <w:rPr>
          <w:color w:val="231F20"/>
          <w:spacing w:val="-3"/>
        </w:rPr>
        <w:t> </w:t>
      </w:r>
      <w:r>
        <w:rPr>
          <w:color w:val="231F20"/>
          <w:spacing w:val="-1"/>
        </w:rPr>
        <w:t>states</w:t>
      </w:r>
      <w:r>
        <w:rPr>
          <w:color w:val="231F20"/>
          <w:spacing w:val="-3"/>
        </w:rPr>
        <w:t> </w:t>
      </w:r>
      <w:r>
        <w:rPr>
          <w:color w:val="231F20"/>
        </w:rPr>
        <w:t>that</w:t>
      </w:r>
      <w:r>
        <w:rPr>
          <w:color w:val="231F20"/>
          <w:spacing w:val="-4"/>
        </w:rPr>
        <w:t> </w:t>
      </w:r>
      <w:r>
        <w:rPr>
          <w:color w:val="231F20"/>
        </w:rPr>
        <w:t>‘the</w:t>
      </w:r>
      <w:r>
        <w:rPr>
          <w:color w:val="231F20"/>
          <w:spacing w:val="-3"/>
        </w:rPr>
        <w:t> </w:t>
      </w:r>
      <w:r>
        <w:rPr>
          <w:color w:val="231F20"/>
        </w:rPr>
        <w:t>complexity</w:t>
      </w:r>
      <w:r>
        <w:rPr>
          <w:color w:val="231F20"/>
          <w:spacing w:val="23"/>
        </w:rPr>
        <w:t> </w:t>
      </w:r>
      <w:r>
        <w:rPr>
          <w:color w:val="231F20"/>
        </w:rPr>
        <w:t>[of</w:t>
      </w:r>
      <w:r>
        <w:rPr>
          <w:color w:val="231F20"/>
          <w:spacing w:val="-6"/>
        </w:rPr>
        <w:t> </w:t>
      </w:r>
      <w:r>
        <w:rPr>
          <w:color w:val="231F20"/>
        </w:rPr>
        <w:t>the</w:t>
      </w:r>
      <w:r>
        <w:rPr>
          <w:color w:val="231F20"/>
          <w:spacing w:val="-5"/>
        </w:rPr>
        <w:t> </w:t>
      </w:r>
      <w:r>
        <w:rPr>
          <w:color w:val="231F20"/>
        </w:rPr>
        <w:t>permutations</w:t>
      </w:r>
      <w:r>
        <w:rPr>
          <w:color w:val="231F20"/>
          <w:spacing w:val="-6"/>
        </w:rPr>
        <w:t> </w:t>
      </w:r>
      <w:r>
        <w:rPr>
          <w:color w:val="231F20"/>
        </w:rPr>
        <w:t>and</w:t>
      </w:r>
      <w:r>
        <w:rPr>
          <w:color w:val="231F20"/>
          <w:spacing w:val="-5"/>
        </w:rPr>
        <w:t> </w:t>
      </w:r>
      <w:r>
        <w:rPr>
          <w:color w:val="231F20"/>
        </w:rPr>
        <w:t>combinations</w:t>
      </w:r>
      <w:r>
        <w:rPr>
          <w:color w:val="231F20"/>
          <w:spacing w:val="-6"/>
        </w:rPr>
        <w:t> </w:t>
      </w:r>
      <w:r>
        <w:rPr>
          <w:color w:val="231F20"/>
        </w:rPr>
        <w:t>of</w:t>
      </w:r>
      <w:r>
        <w:rPr>
          <w:color w:val="231F20"/>
          <w:w w:val="99"/>
        </w:rPr>
        <w:t> </w:t>
      </w:r>
      <w:r>
        <w:rPr>
          <w:color w:val="231F20"/>
        </w:rPr>
        <w:t>the</w:t>
      </w:r>
      <w:r>
        <w:rPr>
          <w:color w:val="231F20"/>
          <w:spacing w:val="-3"/>
        </w:rPr>
        <w:t> </w:t>
      </w:r>
      <w:r>
        <w:rPr>
          <w:color w:val="231F20"/>
          <w:spacing w:val="-1"/>
        </w:rPr>
        <w:t>mechanisms </w:t>
      </w:r>
      <w:r>
        <w:rPr>
          <w:color w:val="231F20"/>
        </w:rPr>
        <w:t>and</w:t>
      </w:r>
      <w:r>
        <w:rPr>
          <w:color w:val="231F20"/>
          <w:spacing w:val="-3"/>
        </w:rPr>
        <w:t> </w:t>
      </w:r>
      <w:r>
        <w:rPr>
          <w:color w:val="231F20"/>
        </w:rPr>
        <w:t>elements]</w:t>
      </w:r>
      <w:r>
        <w:rPr>
          <w:color w:val="231F20"/>
          <w:spacing w:val="-3"/>
        </w:rPr>
        <w:t> </w:t>
      </w:r>
      <w:r>
        <w:rPr>
          <w:color w:val="231F20"/>
          <w:spacing w:val="-1"/>
        </w:rPr>
        <w:t>suggests</w:t>
      </w:r>
      <w:r>
        <w:rPr>
          <w:color w:val="231F20"/>
          <w:spacing w:val="-2"/>
        </w:rPr>
        <w:t> </w:t>
      </w:r>
      <w:r>
        <w:rPr>
          <w:color w:val="231F20"/>
        </w:rPr>
        <w:t>that</w:t>
      </w:r>
      <w:r>
        <w:rPr>
          <w:color w:val="231F20"/>
          <w:spacing w:val="23"/>
          <w:w w:val="99"/>
        </w:rPr>
        <w:t> </w:t>
      </w:r>
      <w:r>
        <w:rPr>
          <w:color w:val="231F20"/>
        </w:rPr>
        <w:t>a</w:t>
      </w:r>
      <w:r>
        <w:rPr>
          <w:color w:val="231F20"/>
          <w:spacing w:val="-4"/>
        </w:rPr>
        <w:t> </w:t>
      </w:r>
      <w:r>
        <w:rPr>
          <w:color w:val="231F20"/>
          <w:spacing w:val="-1"/>
        </w:rPr>
        <w:t>singular</w:t>
      </w:r>
      <w:r>
        <w:rPr>
          <w:color w:val="231F20"/>
          <w:spacing w:val="-3"/>
        </w:rPr>
        <w:t> </w:t>
      </w:r>
      <w:r>
        <w:rPr>
          <w:color w:val="231F20"/>
        </w:rPr>
        <w:t>focus</w:t>
      </w:r>
      <w:r>
        <w:rPr>
          <w:color w:val="231F20"/>
          <w:spacing w:val="-4"/>
        </w:rPr>
        <w:t> </w:t>
      </w:r>
      <w:r>
        <w:rPr>
          <w:color w:val="231F20"/>
        </w:rPr>
        <w:t>on</w:t>
      </w:r>
      <w:r>
        <w:rPr>
          <w:color w:val="231F20"/>
          <w:spacing w:val="-3"/>
        </w:rPr>
        <w:t> </w:t>
      </w:r>
      <w:r>
        <w:rPr>
          <w:color w:val="231F20"/>
          <w:spacing w:val="-1"/>
        </w:rPr>
        <w:t>models</w:t>
      </w:r>
      <w:r>
        <w:rPr>
          <w:color w:val="231F20"/>
          <w:spacing w:val="-3"/>
        </w:rPr>
        <w:t> </w:t>
      </w:r>
      <w:r>
        <w:rPr>
          <w:color w:val="231F20"/>
        </w:rPr>
        <w:t>or</w:t>
      </w:r>
      <w:r>
        <w:rPr>
          <w:color w:val="231F20"/>
          <w:spacing w:val="-3"/>
        </w:rPr>
        <w:t> </w:t>
      </w:r>
      <w:r>
        <w:rPr>
          <w:color w:val="231F20"/>
        </w:rPr>
        <w:t>on</w:t>
      </w:r>
      <w:r>
        <w:rPr>
          <w:color w:val="231F20"/>
          <w:spacing w:val="-3"/>
        </w:rPr>
        <w:t> </w:t>
      </w:r>
      <w:r>
        <w:rPr>
          <w:color w:val="231F20"/>
        </w:rPr>
        <w:t>funding</w:t>
      </w:r>
      <w:r>
        <w:rPr/>
      </w:r>
    </w:p>
    <w:p>
      <w:pPr>
        <w:pStyle w:val="BodyText"/>
        <w:spacing w:line="250" w:lineRule="exact"/>
        <w:ind w:right="293"/>
        <w:jc w:val="left"/>
      </w:pPr>
      <w:r>
        <w:rPr>
          <w:color w:val="231F20"/>
        </w:rPr>
        <w:t>or</w:t>
      </w:r>
      <w:r>
        <w:rPr>
          <w:color w:val="231F20"/>
          <w:spacing w:val="-6"/>
        </w:rPr>
        <w:t> </w:t>
      </w:r>
      <w:r>
        <w:rPr>
          <w:color w:val="231F20"/>
        </w:rPr>
        <w:t>on</w:t>
      </w:r>
      <w:r>
        <w:rPr>
          <w:color w:val="231F20"/>
          <w:spacing w:val="-5"/>
        </w:rPr>
        <w:t> </w:t>
      </w:r>
      <w:r>
        <w:rPr>
          <w:color w:val="231F20"/>
        </w:rPr>
        <w:t>promoting</w:t>
      </w:r>
      <w:r>
        <w:rPr>
          <w:color w:val="231F20"/>
          <w:spacing w:val="-6"/>
        </w:rPr>
        <w:t> </w:t>
      </w:r>
      <w:r>
        <w:rPr>
          <w:color w:val="231F20"/>
        </w:rPr>
        <w:t>aspiration</w:t>
      </w:r>
      <w:r>
        <w:rPr>
          <w:color w:val="231F20"/>
          <w:spacing w:val="-6"/>
        </w:rPr>
        <w:t> </w:t>
      </w:r>
      <w:r>
        <w:rPr>
          <w:color w:val="231F20"/>
        </w:rPr>
        <w:t>will</w:t>
      </w:r>
      <w:r>
        <w:rPr>
          <w:color w:val="231F20"/>
          <w:spacing w:val="-6"/>
        </w:rPr>
        <w:t> </w:t>
      </w:r>
      <w:r>
        <w:rPr>
          <w:color w:val="231F20"/>
        </w:rPr>
        <w:t>not</w:t>
      </w:r>
      <w:r>
        <w:rPr>
          <w:color w:val="231F20"/>
          <w:spacing w:val="-5"/>
        </w:rPr>
        <w:t> </w:t>
      </w:r>
      <w:r>
        <w:rPr>
          <w:color w:val="231F20"/>
        </w:rPr>
        <w:t>result</w:t>
      </w:r>
      <w:r>
        <w:rPr>
          <w:color w:val="231F20"/>
          <w:w w:val="99"/>
        </w:rPr>
        <w:t> </w:t>
      </w:r>
      <w:r>
        <w:rPr>
          <w:color w:val="231F20"/>
          <w:w w:val="99"/>
        </w:rPr>
        <w:t> </w:t>
      </w:r>
      <w:r>
        <w:rPr>
          <w:color w:val="231F20"/>
          <w:spacing w:val="-1"/>
        </w:rPr>
        <w:t>in </w:t>
      </w:r>
      <w:r>
        <w:rPr>
          <w:color w:val="231F20"/>
        </w:rPr>
        <w:t>a</w:t>
      </w:r>
      <w:r>
        <w:rPr>
          <w:color w:val="231F20"/>
          <w:spacing w:val="-1"/>
        </w:rPr>
        <w:t> </w:t>
      </w:r>
      <w:r>
        <w:rPr>
          <w:color w:val="231F20"/>
        </w:rPr>
        <w:t>consistent</w:t>
      </w:r>
      <w:r>
        <w:rPr>
          <w:color w:val="231F20"/>
          <w:spacing w:val="-1"/>
        </w:rPr>
        <w:t> set </w:t>
      </w:r>
      <w:r>
        <w:rPr>
          <w:color w:val="231F20"/>
        </w:rPr>
        <w:t>of</w:t>
      </w:r>
      <w:r>
        <w:rPr>
          <w:color w:val="231F20"/>
          <w:spacing w:val="-1"/>
        </w:rPr>
        <w:t> </w:t>
      </w:r>
      <w:r>
        <w:rPr>
          <w:color w:val="231F20"/>
        </w:rPr>
        <w:t>outcomes</w:t>
      </w:r>
      <w:r>
        <w:rPr>
          <w:color w:val="231F20"/>
          <w:spacing w:val="-1"/>
        </w:rPr>
        <w:t> </w:t>
      </w:r>
      <w:r>
        <w:rPr>
          <w:color w:val="231F20"/>
        </w:rPr>
        <w:t>as</w:t>
      </w:r>
      <w:r>
        <w:rPr>
          <w:color w:val="231F20"/>
          <w:spacing w:val="-2"/>
        </w:rPr>
        <w:t> </w:t>
      </w:r>
      <w:r>
        <w:rPr>
          <w:color w:val="231F20"/>
          <w:spacing w:val="-1"/>
        </w:rPr>
        <w:t>might </w:t>
      </w:r>
      <w:r>
        <w:rPr>
          <w:color w:val="231F20"/>
        </w:rPr>
        <w:t>be</w:t>
      </w:r>
      <w:r>
        <w:rPr>
          <w:color w:val="231F20"/>
          <w:spacing w:val="24"/>
          <w:w w:val="99"/>
        </w:rPr>
        <w:t> </w:t>
      </w:r>
      <w:r>
        <w:rPr>
          <w:color w:val="231F20"/>
        </w:rPr>
        <w:t>hoped</w:t>
      </w:r>
      <w:r>
        <w:rPr>
          <w:color w:val="231F20"/>
          <w:spacing w:val="-6"/>
        </w:rPr>
        <w:t> </w:t>
      </w:r>
      <w:r>
        <w:rPr>
          <w:color w:val="231F20"/>
        </w:rPr>
        <w:t>for.</w:t>
      </w:r>
      <w:r>
        <w:rPr>
          <w:color w:val="231F20"/>
          <w:spacing w:val="-4"/>
        </w:rPr>
        <w:t> </w:t>
      </w:r>
      <w:r>
        <w:rPr>
          <w:color w:val="231F20"/>
        </w:rPr>
        <w:t>The</w:t>
      </w:r>
      <w:r>
        <w:rPr>
          <w:color w:val="231F20"/>
          <w:spacing w:val="-4"/>
        </w:rPr>
        <w:t> </w:t>
      </w:r>
      <w:r>
        <w:rPr>
          <w:color w:val="231F20"/>
        </w:rPr>
        <w:t>exception</w:t>
      </w:r>
      <w:r>
        <w:rPr>
          <w:color w:val="231F20"/>
          <w:spacing w:val="-6"/>
        </w:rPr>
        <w:t> </w:t>
      </w:r>
      <w:r>
        <w:rPr>
          <w:color w:val="231F20"/>
          <w:spacing w:val="-1"/>
        </w:rPr>
        <w:t>may</w:t>
      </w:r>
      <w:r>
        <w:rPr>
          <w:color w:val="231F20"/>
          <w:spacing w:val="-4"/>
        </w:rPr>
        <w:t> </w:t>
      </w:r>
      <w:r>
        <w:rPr>
          <w:color w:val="231F20"/>
        </w:rPr>
        <w:t>of</w:t>
      </w:r>
      <w:r>
        <w:rPr>
          <w:color w:val="231F20"/>
          <w:spacing w:val="-4"/>
        </w:rPr>
        <w:t> </w:t>
      </w:r>
      <w:r>
        <w:rPr>
          <w:color w:val="231F20"/>
        </w:rPr>
        <w:t>course</w:t>
      </w:r>
      <w:r>
        <w:rPr>
          <w:color w:val="231F20"/>
          <w:spacing w:val="-6"/>
        </w:rPr>
        <w:t> </w:t>
      </w:r>
      <w:r>
        <w:rPr>
          <w:color w:val="231F20"/>
        </w:rPr>
        <w:t>be</w:t>
      </w:r>
      <w:r>
        <w:rPr>
          <w:color w:val="231F20"/>
          <w:spacing w:val="21"/>
          <w:w w:val="99"/>
        </w:rPr>
        <w:t> </w:t>
      </w:r>
      <w:r>
        <w:rPr>
          <w:color w:val="231F20"/>
        </w:rPr>
        <w:t>to</w:t>
      </w:r>
      <w:r>
        <w:rPr>
          <w:color w:val="231F20"/>
          <w:spacing w:val="-3"/>
        </w:rPr>
        <w:t> </w:t>
      </w:r>
      <w:r>
        <w:rPr>
          <w:color w:val="231F20"/>
          <w:spacing w:val="-1"/>
        </w:rPr>
        <w:t>limit</w:t>
      </w:r>
      <w:r>
        <w:rPr>
          <w:color w:val="231F20"/>
          <w:spacing w:val="-3"/>
        </w:rPr>
        <w:t> </w:t>
      </w:r>
      <w:r>
        <w:rPr>
          <w:color w:val="231F20"/>
        </w:rPr>
        <w:t>the</w:t>
      </w:r>
      <w:r>
        <w:rPr>
          <w:color w:val="231F20"/>
          <w:spacing w:val="-3"/>
        </w:rPr>
        <w:t> </w:t>
      </w:r>
      <w:r>
        <w:rPr>
          <w:color w:val="231F20"/>
        </w:rPr>
        <w:t>criteria</w:t>
      </w:r>
      <w:r>
        <w:rPr>
          <w:color w:val="231F20"/>
          <w:spacing w:val="-4"/>
        </w:rPr>
        <w:t> </w:t>
      </w:r>
      <w:r>
        <w:rPr>
          <w:color w:val="231F20"/>
          <w:spacing w:val="-1"/>
        </w:rPr>
        <w:t>so</w:t>
      </w:r>
      <w:r>
        <w:rPr>
          <w:color w:val="231F20"/>
          <w:spacing w:val="-2"/>
        </w:rPr>
        <w:t> </w:t>
      </w:r>
      <w:r>
        <w:rPr>
          <w:color w:val="231F20"/>
        </w:rPr>
        <w:t>that</w:t>
      </w:r>
      <w:r>
        <w:rPr>
          <w:color w:val="231F20"/>
          <w:spacing w:val="-4"/>
        </w:rPr>
        <w:t> </w:t>
      </w:r>
      <w:r>
        <w:rPr>
          <w:color w:val="231F20"/>
        </w:rPr>
        <w:t>a</w:t>
      </w:r>
      <w:r>
        <w:rPr>
          <w:color w:val="231F20"/>
          <w:spacing w:val="-3"/>
        </w:rPr>
        <w:t> </w:t>
      </w:r>
      <w:r>
        <w:rPr>
          <w:color w:val="231F20"/>
        </w:rPr>
        <w:t>narrow</w:t>
      </w:r>
      <w:r>
        <w:rPr>
          <w:color w:val="231F20"/>
          <w:spacing w:val="-2"/>
        </w:rPr>
        <w:t> </w:t>
      </w:r>
      <w:r>
        <w:rPr>
          <w:color w:val="231F20"/>
          <w:spacing w:val="-1"/>
        </w:rPr>
        <w:t>set</w:t>
      </w:r>
      <w:r>
        <w:rPr>
          <w:color w:val="231F20"/>
          <w:spacing w:val="-3"/>
        </w:rPr>
        <w:t> </w:t>
      </w:r>
      <w:r>
        <w:rPr>
          <w:color w:val="231F20"/>
        </w:rPr>
        <w:t>of</w:t>
      </w:r>
      <w:r>
        <w:rPr/>
      </w:r>
    </w:p>
    <w:p>
      <w:pPr>
        <w:pStyle w:val="BodyText"/>
        <w:spacing w:line="250" w:lineRule="exact"/>
        <w:ind w:right="0"/>
        <w:jc w:val="left"/>
      </w:pPr>
      <w:r>
        <w:rPr>
          <w:rFonts w:ascii="Segoe UI" w:hAnsi="Segoe UI" w:cs="Segoe UI" w:eastAsia="Segoe UI"/>
          <w:color w:val="231F20"/>
        </w:rPr>
        <w:t>students with the perceived qualities fit for a </w:t>
      </w:r>
      <w:r>
        <w:rPr>
          <w:color w:val="231F20"/>
        </w:rPr>
        <w:t>particular</w:t>
      </w:r>
      <w:r>
        <w:rPr>
          <w:color w:val="231F20"/>
          <w:spacing w:val="-11"/>
        </w:rPr>
        <w:t> </w:t>
      </w:r>
      <w:r>
        <w:rPr>
          <w:color w:val="231F20"/>
        </w:rPr>
        <w:t>program</w:t>
      </w:r>
      <w:r>
        <w:rPr>
          <w:color w:val="231F20"/>
          <w:spacing w:val="-11"/>
        </w:rPr>
        <w:t> </w:t>
      </w:r>
      <w:r>
        <w:rPr>
          <w:color w:val="231F20"/>
        </w:rPr>
        <w:t>are</w:t>
      </w:r>
      <w:r>
        <w:rPr>
          <w:color w:val="231F20"/>
          <w:spacing w:val="-11"/>
        </w:rPr>
        <w:t> </w:t>
      </w:r>
      <w:r>
        <w:rPr>
          <w:color w:val="231F20"/>
        </w:rPr>
        <w:t>‘cherry-picked’</w:t>
      </w:r>
      <w:r>
        <w:rPr>
          <w:color w:val="231F20"/>
          <w:spacing w:val="-9"/>
        </w:rPr>
        <w:t> </w:t>
      </w:r>
      <w:r>
        <w:rPr>
          <w:color w:val="231F20"/>
        </w:rPr>
        <w:t>(Thorpe,</w:t>
      </w:r>
      <w:r>
        <w:rPr>
          <w:color w:val="231F20"/>
          <w:w w:val="99"/>
        </w:rPr>
        <w:t> </w:t>
      </w:r>
      <w:r>
        <w:rPr>
          <w:color w:val="231F20"/>
          <w:spacing w:val="-1"/>
        </w:rPr>
        <w:t>2017)</w:t>
      </w:r>
      <w:r>
        <w:rPr>
          <w:color w:val="231F20"/>
          <w:spacing w:val="-3"/>
        </w:rPr>
        <w:t> </w:t>
      </w:r>
      <w:r>
        <w:rPr>
          <w:color w:val="231F20"/>
        </w:rPr>
        <w:t>and</w:t>
      </w:r>
      <w:r>
        <w:rPr>
          <w:color w:val="231F20"/>
          <w:spacing w:val="-3"/>
        </w:rPr>
        <w:t> </w:t>
      </w:r>
      <w:r>
        <w:rPr>
          <w:color w:val="231F20"/>
        </w:rPr>
        <w:t>will</w:t>
      </w:r>
      <w:r>
        <w:rPr>
          <w:color w:val="231F20"/>
          <w:spacing w:val="-4"/>
        </w:rPr>
        <w:t> </w:t>
      </w:r>
      <w:r>
        <w:rPr>
          <w:color w:val="231F20"/>
          <w:spacing w:val="-1"/>
        </w:rPr>
        <w:t>meet</w:t>
      </w:r>
      <w:r>
        <w:rPr>
          <w:color w:val="231F20"/>
          <w:spacing w:val="-2"/>
        </w:rPr>
        <w:t> </w:t>
      </w:r>
      <w:r>
        <w:rPr>
          <w:color w:val="231F20"/>
        </w:rPr>
        <w:t>an</w:t>
      </w:r>
      <w:r>
        <w:rPr>
          <w:color w:val="231F20"/>
          <w:spacing w:val="-4"/>
        </w:rPr>
        <w:t> </w:t>
      </w:r>
      <w:r>
        <w:rPr>
          <w:color w:val="231F20"/>
        </w:rPr>
        <w:t>equally</w:t>
      </w:r>
      <w:r>
        <w:rPr>
          <w:color w:val="231F20"/>
          <w:spacing w:val="-3"/>
        </w:rPr>
        <w:t> </w:t>
      </w:r>
      <w:r>
        <w:rPr>
          <w:color w:val="231F20"/>
        </w:rPr>
        <w:t>narrow</w:t>
      </w:r>
      <w:r>
        <w:rPr>
          <w:color w:val="231F20"/>
          <w:spacing w:val="-3"/>
        </w:rPr>
        <w:t> </w:t>
      </w:r>
      <w:r>
        <w:rPr>
          <w:color w:val="231F20"/>
          <w:spacing w:val="-1"/>
        </w:rPr>
        <w:t>set</w:t>
      </w:r>
      <w:r>
        <w:rPr>
          <w:color w:val="231F20"/>
          <w:spacing w:val="-2"/>
        </w:rPr>
        <w:t> </w:t>
      </w:r>
      <w:r>
        <w:rPr>
          <w:color w:val="231F20"/>
        </w:rPr>
        <w:t>of</w:t>
      </w:r>
      <w:r>
        <w:rPr>
          <w:color w:val="231F20"/>
          <w:spacing w:val="24"/>
          <w:w w:val="99"/>
        </w:rPr>
        <w:t> </w:t>
      </w:r>
      <w:r>
        <w:rPr>
          <w:color w:val="231F20"/>
          <w:spacing w:val="-1"/>
        </w:rPr>
        <w:t>outcomes’</w:t>
      </w:r>
      <w:r>
        <w:rPr>
          <w:rFonts w:ascii="Segoe UI Semibold" w:hAnsi="Segoe UI Semibold" w:cs="Segoe UI Semibold" w:eastAsia="Segoe UI Semibold"/>
          <w:b/>
          <w:bCs/>
          <w:color w:val="231F20"/>
          <w:spacing w:val="-1"/>
          <w:position w:val="7"/>
          <w:sz w:val="11"/>
          <w:szCs w:val="11"/>
        </w:rPr>
        <w:t>48</w:t>
      </w:r>
      <w:r>
        <w:rPr>
          <w:color w:val="231F20"/>
          <w:spacing w:val="-1"/>
        </w:rPr>
        <w:t>.</w:t>
      </w:r>
      <w:r>
        <w:rPr>
          <w:color w:val="231F20"/>
          <w:spacing w:val="-4"/>
        </w:rPr>
        <w:t> </w:t>
      </w:r>
      <w:r>
        <w:rPr>
          <w:color w:val="231F20"/>
        </w:rPr>
        <w:t>The</w:t>
      </w:r>
      <w:r>
        <w:rPr>
          <w:color w:val="231F20"/>
          <w:spacing w:val="-4"/>
        </w:rPr>
        <w:t> </w:t>
      </w:r>
      <w:r>
        <w:rPr>
          <w:color w:val="231F20"/>
        </w:rPr>
        <w:t>resultant</w:t>
      </w:r>
      <w:r>
        <w:rPr>
          <w:color w:val="231F20"/>
          <w:spacing w:val="-5"/>
        </w:rPr>
        <w:t> </w:t>
      </w:r>
      <w:r>
        <w:rPr>
          <w:color w:val="231F20"/>
        </w:rPr>
        <w:t>pictorial</w:t>
      </w:r>
      <w:r>
        <w:rPr>
          <w:color w:val="231F20"/>
          <w:spacing w:val="-4"/>
        </w:rPr>
        <w:t> </w:t>
      </w:r>
      <w:r>
        <w:rPr>
          <w:color w:val="231F20"/>
        </w:rPr>
        <w:t>theory</w:t>
      </w:r>
      <w:r>
        <w:rPr>
          <w:color w:val="231F20"/>
          <w:spacing w:val="-5"/>
        </w:rPr>
        <w:t> </w:t>
      </w:r>
      <w:r>
        <w:rPr>
          <w:color w:val="231F20"/>
        </w:rPr>
        <w:t>of</w:t>
      </w:r>
      <w:r>
        <w:rPr>
          <w:color w:val="231F20"/>
          <w:spacing w:val="20"/>
          <w:w w:val="99"/>
        </w:rPr>
        <w:t> </w:t>
      </w:r>
      <w:r>
        <w:rPr>
          <w:color w:val="231F20"/>
        </w:rPr>
        <w:t>change</w:t>
      </w:r>
      <w:r>
        <w:rPr>
          <w:color w:val="231F20"/>
          <w:spacing w:val="-6"/>
        </w:rPr>
        <w:t> </w:t>
      </w:r>
      <w:r>
        <w:rPr>
          <w:color w:val="231F20"/>
        </w:rPr>
        <w:t>developed</w:t>
      </w:r>
      <w:r>
        <w:rPr>
          <w:color w:val="231F20"/>
          <w:spacing w:val="-6"/>
        </w:rPr>
        <w:t> </w:t>
      </w:r>
      <w:r>
        <w:rPr>
          <w:color w:val="231F20"/>
        </w:rPr>
        <w:t>by</w:t>
      </w:r>
      <w:r>
        <w:rPr>
          <w:color w:val="231F20"/>
          <w:spacing w:val="-5"/>
        </w:rPr>
        <w:t> </w:t>
      </w:r>
      <w:r>
        <w:rPr>
          <w:color w:val="231F20"/>
        </w:rPr>
        <w:t>Guenther,</w:t>
      </w:r>
      <w:r>
        <w:rPr>
          <w:color w:val="231F20"/>
          <w:spacing w:val="-5"/>
        </w:rPr>
        <w:t> </w:t>
      </w:r>
      <w:r>
        <w:rPr>
          <w:color w:val="231F20"/>
          <w:spacing w:val="-1"/>
        </w:rPr>
        <w:t>2017</w:t>
      </w:r>
      <w:r>
        <w:rPr>
          <w:color w:val="231F20"/>
          <w:spacing w:val="-5"/>
        </w:rPr>
        <w:t> </w:t>
      </w:r>
      <w:r>
        <w:rPr>
          <w:color w:val="231F20"/>
        </w:rPr>
        <w:t>was</w:t>
      </w:r>
      <w:r>
        <w:rPr>
          <w:color w:val="231F20"/>
          <w:spacing w:val="-6"/>
        </w:rPr>
        <w:t> </w:t>
      </w:r>
      <w:r>
        <w:rPr>
          <w:color w:val="231F20"/>
          <w:spacing w:val="-1"/>
        </w:rPr>
        <w:t>self-</w:t>
      </w:r>
      <w:r>
        <w:rPr>
          <w:color w:val="231F20"/>
          <w:spacing w:val="21"/>
        </w:rPr>
        <w:t> </w:t>
      </w:r>
      <w:r>
        <w:rPr>
          <w:color w:val="231F20"/>
        </w:rPr>
        <w:t>described</w:t>
      </w:r>
      <w:r>
        <w:rPr>
          <w:color w:val="231F20"/>
          <w:spacing w:val="-5"/>
        </w:rPr>
        <w:t> </w:t>
      </w:r>
      <w:r>
        <w:rPr>
          <w:color w:val="231F20"/>
        </w:rPr>
        <w:t>as</w:t>
      </w:r>
      <w:r>
        <w:rPr>
          <w:color w:val="231F20"/>
          <w:spacing w:val="-4"/>
        </w:rPr>
        <w:t> </w:t>
      </w:r>
      <w:r>
        <w:rPr>
          <w:color w:val="231F20"/>
        </w:rPr>
        <w:t>‘something</w:t>
      </w:r>
      <w:r>
        <w:rPr>
          <w:color w:val="231F20"/>
          <w:spacing w:val="-4"/>
        </w:rPr>
        <w:t> </w:t>
      </w:r>
      <w:r>
        <w:rPr>
          <w:color w:val="231F20"/>
        </w:rPr>
        <w:t>of</w:t>
      </w:r>
      <w:r>
        <w:rPr>
          <w:color w:val="231F20"/>
          <w:spacing w:val="-3"/>
        </w:rPr>
        <w:t> </w:t>
      </w:r>
      <w:r>
        <w:rPr>
          <w:color w:val="231F20"/>
        </w:rPr>
        <w:t>a</w:t>
      </w:r>
      <w:r>
        <w:rPr>
          <w:color w:val="231F20"/>
          <w:spacing w:val="-4"/>
        </w:rPr>
        <w:t> </w:t>
      </w:r>
      <w:r>
        <w:rPr>
          <w:color w:val="231F20"/>
        </w:rPr>
        <w:t>confused</w:t>
      </w:r>
      <w:r>
        <w:rPr>
          <w:color w:val="231F20"/>
          <w:spacing w:val="-4"/>
        </w:rPr>
        <w:t> </w:t>
      </w:r>
      <w:r>
        <w:rPr>
          <w:color w:val="231F20"/>
          <w:spacing w:val="-1"/>
        </w:rPr>
        <w:t>mess’</w:t>
      </w:r>
      <w:r>
        <w:rPr>
          <w:color w:val="231F20"/>
          <w:spacing w:val="20"/>
        </w:rPr>
        <w:t> </w:t>
      </w:r>
      <w:r>
        <w:rPr>
          <w:color w:val="231F20"/>
        </w:rPr>
        <w:t>recognising</w:t>
      </w:r>
      <w:r>
        <w:rPr>
          <w:color w:val="231F20"/>
          <w:spacing w:val="-7"/>
        </w:rPr>
        <w:t> </w:t>
      </w:r>
      <w:r>
        <w:rPr>
          <w:color w:val="231F20"/>
        </w:rPr>
        <w:t>the</w:t>
      </w:r>
      <w:r>
        <w:rPr>
          <w:color w:val="231F20"/>
          <w:spacing w:val="-6"/>
        </w:rPr>
        <w:t> </w:t>
      </w:r>
      <w:r>
        <w:rPr>
          <w:color w:val="231F20"/>
        </w:rPr>
        <w:t>complexity</w:t>
      </w:r>
      <w:r>
        <w:rPr>
          <w:color w:val="231F20"/>
          <w:spacing w:val="-7"/>
        </w:rPr>
        <w:t> </w:t>
      </w:r>
      <w:r>
        <w:rPr>
          <w:color w:val="231F20"/>
        </w:rPr>
        <w:t>and</w:t>
      </w:r>
      <w:r>
        <w:rPr>
          <w:color w:val="231F20"/>
          <w:spacing w:val="-6"/>
        </w:rPr>
        <w:t> </w:t>
      </w:r>
      <w:r>
        <w:rPr>
          <w:color w:val="231F20"/>
        </w:rPr>
        <w:t>number</w:t>
      </w:r>
      <w:r>
        <w:rPr>
          <w:color w:val="231F20"/>
          <w:spacing w:val="-6"/>
        </w:rPr>
        <w:t> </w:t>
      </w:r>
      <w:r>
        <w:rPr>
          <w:color w:val="231F20"/>
        </w:rPr>
        <w:t>of</w:t>
      </w:r>
      <w:r>
        <w:rPr>
          <w:color w:val="231F20"/>
          <w:w w:val="99"/>
        </w:rPr>
        <w:t> </w:t>
      </w:r>
      <w:r>
        <w:rPr>
          <w:color w:val="231F20"/>
        </w:rPr>
        <w:t>elements</w:t>
      </w:r>
      <w:r>
        <w:rPr>
          <w:color w:val="231F20"/>
          <w:spacing w:val="-6"/>
        </w:rPr>
        <w:t> </w:t>
      </w:r>
      <w:r>
        <w:rPr>
          <w:color w:val="231F20"/>
        </w:rPr>
        <w:t>required</w:t>
      </w:r>
      <w:r>
        <w:rPr>
          <w:color w:val="231F20"/>
          <w:spacing w:val="-6"/>
        </w:rPr>
        <w:t> </w:t>
      </w:r>
      <w:r>
        <w:rPr>
          <w:color w:val="231F20"/>
        </w:rPr>
        <w:t>to</w:t>
      </w:r>
      <w:r>
        <w:rPr>
          <w:color w:val="231F20"/>
          <w:spacing w:val="-5"/>
        </w:rPr>
        <w:t> </w:t>
      </w:r>
      <w:r>
        <w:rPr>
          <w:color w:val="231F20"/>
        </w:rPr>
        <w:t>achieve</w:t>
      </w:r>
      <w:r>
        <w:rPr>
          <w:color w:val="231F20"/>
          <w:spacing w:val="-6"/>
        </w:rPr>
        <w:t> </w:t>
      </w:r>
      <w:r>
        <w:rPr>
          <w:color w:val="231F20"/>
        </w:rPr>
        <w:t>the</w:t>
      </w:r>
      <w:r>
        <w:rPr>
          <w:color w:val="231F20"/>
          <w:spacing w:val="-6"/>
        </w:rPr>
        <w:t> </w:t>
      </w:r>
      <w:r>
        <w:rPr>
          <w:color w:val="231F20"/>
          <w:spacing w:val="-1"/>
        </w:rPr>
        <w:t>intended</w:t>
      </w:r>
      <w:r>
        <w:rPr>
          <w:color w:val="231F20"/>
          <w:spacing w:val="-5"/>
        </w:rPr>
        <w:t> </w:t>
      </w:r>
      <w:r>
        <w:rPr>
          <w:color w:val="231F20"/>
        </w:rPr>
        <w:t>and</w:t>
      </w:r>
      <w:r>
        <w:rPr>
          <w:color w:val="231F20"/>
          <w:spacing w:val="22"/>
          <w:w w:val="99"/>
        </w:rPr>
        <w:t> </w:t>
      </w:r>
      <w:r>
        <w:rPr>
          <w:color w:val="231F20"/>
        </w:rPr>
        <w:t>desirable</w:t>
      </w:r>
      <w:r>
        <w:rPr>
          <w:color w:val="231F20"/>
          <w:spacing w:val="-5"/>
        </w:rPr>
        <w:t> </w:t>
      </w:r>
      <w:r>
        <w:rPr>
          <w:color w:val="231F20"/>
        </w:rPr>
        <w:t>outcomes</w:t>
      </w:r>
      <w:r>
        <w:rPr>
          <w:color w:val="231F20"/>
          <w:spacing w:val="-5"/>
        </w:rPr>
        <w:t> </w:t>
      </w:r>
      <w:r>
        <w:rPr>
          <w:color w:val="231F20"/>
        </w:rPr>
        <w:t>of</w:t>
      </w:r>
      <w:r>
        <w:rPr>
          <w:color w:val="231F20"/>
          <w:spacing w:val="-3"/>
        </w:rPr>
        <w:t> </w:t>
      </w:r>
      <w:r>
        <w:rPr>
          <w:color w:val="231F20"/>
          <w:spacing w:val="-1"/>
        </w:rPr>
        <w:t>investment</w:t>
      </w:r>
      <w:r>
        <w:rPr>
          <w:color w:val="231F20"/>
          <w:spacing w:val="-4"/>
        </w:rPr>
        <w:t> </w:t>
      </w:r>
      <w:r>
        <w:rPr>
          <w:color w:val="231F20"/>
          <w:spacing w:val="-1"/>
        </w:rPr>
        <w:t>in</w:t>
      </w:r>
      <w:r>
        <w:rPr>
          <w:color w:val="231F20"/>
          <w:spacing w:val="-4"/>
        </w:rPr>
        <w:t> </w:t>
      </w:r>
      <w:r>
        <w:rPr>
          <w:color w:val="231F20"/>
        </w:rPr>
        <w:t>boarding.</w:t>
      </w:r>
      <w:r>
        <w:rPr/>
      </w:r>
    </w:p>
    <w:p>
      <w:pPr>
        <w:pStyle w:val="BodyText"/>
        <w:spacing w:line="250" w:lineRule="exact" w:before="113"/>
        <w:ind w:right="40"/>
        <w:jc w:val="left"/>
      </w:pPr>
      <w:r>
        <w:rPr>
          <w:color w:val="231F20"/>
          <w:spacing w:val="-1"/>
        </w:rPr>
        <w:t>In</w:t>
      </w:r>
      <w:r>
        <w:rPr>
          <w:color w:val="231F20"/>
          <w:spacing w:val="-7"/>
        </w:rPr>
        <w:t> </w:t>
      </w:r>
      <w:r>
        <w:rPr>
          <w:color w:val="231F20"/>
          <w:spacing w:val="-1"/>
        </w:rPr>
        <w:t>2014,</w:t>
      </w:r>
      <w:r>
        <w:rPr>
          <w:color w:val="231F20"/>
          <w:spacing w:val="-6"/>
        </w:rPr>
        <w:t> </w:t>
      </w:r>
      <w:r>
        <w:rPr>
          <w:color w:val="231F20"/>
          <w:spacing w:val="-1"/>
        </w:rPr>
        <w:t>Indigenous</w:t>
      </w:r>
      <w:r>
        <w:rPr>
          <w:color w:val="231F20"/>
          <w:spacing w:val="-6"/>
        </w:rPr>
        <w:t> </w:t>
      </w:r>
      <w:r>
        <w:rPr>
          <w:color w:val="231F20"/>
        </w:rPr>
        <w:t>Education</w:t>
      </w:r>
      <w:r>
        <w:rPr>
          <w:color w:val="231F20"/>
          <w:spacing w:val="-6"/>
        </w:rPr>
        <w:t> </w:t>
      </w:r>
      <w:r>
        <w:rPr>
          <w:color w:val="231F20"/>
        </w:rPr>
        <w:t>and</w:t>
      </w:r>
      <w:r>
        <w:rPr>
          <w:color w:val="231F20"/>
          <w:spacing w:val="-7"/>
        </w:rPr>
        <w:t> </w:t>
      </w:r>
      <w:r>
        <w:rPr>
          <w:color w:val="231F20"/>
          <w:spacing w:val="-1"/>
        </w:rPr>
        <w:t>Boarding</w:t>
      </w:r>
      <w:r>
        <w:rPr>
          <w:color w:val="231F20"/>
          <w:spacing w:val="23"/>
          <w:w w:val="99"/>
        </w:rPr>
        <w:t> </w:t>
      </w:r>
      <w:r>
        <w:rPr>
          <w:color w:val="231F20"/>
        </w:rPr>
        <w:t>Australia</w:t>
      </w:r>
      <w:r>
        <w:rPr>
          <w:color w:val="231F20"/>
          <w:spacing w:val="-5"/>
        </w:rPr>
        <w:t> </w:t>
      </w:r>
      <w:r>
        <w:rPr>
          <w:color w:val="231F20"/>
          <w:spacing w:val="-1"/>
        </w:rPr>
        <w:t>mapped</w:t>
      </w:r>
      <w:r>
        <w:rPr>
          <w:color w:val="231F20"/>
          <w:spacing w:val="-5"/>
        </w:rPr>
        <w:t> </w:t>
      </w:r>
      <w:r>
        <w:rPr>
          <w:color w:val="231F20"/>
        </w:rPr>
        <w:t>a</w:t>
      </w:r>
      <w:r>
        <w:rPr>
          <w:color w:val="231F20"/>
          <w:spacing w:val="-4"/>
        </w:rPr>
        <w:t> </w:t>
      </w:r>
      <w:r>
        <w:rPr>
          <w:color w:val="231F20"/>
        </w:rPr>
        <w:t>theory</w:t>
      </w:r>
      <w:r>
        <w:rPr>
          <w:color w:val="231F20"/>
          <w:spacing w:val="-6"/>
        </w:rPr>
        <w:t> </w:t>
      </w:r>
      <w:r>
        <w:rPr>
          <w:color w:val="231F20"/>
        </w:rPr>
        <w:t>of</w:t>
      </w:r>
      <w:r>
        <w:rPr>
          <w:color w:val="231F20"/>
          <w:spacing w:val="-5"/>
        </w:rPr>
        <w:t> </w:t>
      </w:r>
      <w:r>
        <w:rPr>
          <w:color w:val="231F20"/>
        </w:rPr>
        <w:t>change</w:t>
      </w:r>
      <w:r>
        <w:rPr>
          <w:color w:val="231F20"/>
          <w:spacing w:val="-5"/>
        </w:rPr>
        <w:t> </w:t>
      </w:r>
      <w:r>
        <w:rPr>
          <w:color w:val="231F20"/>
        </w:rPr>
        <w:t>for</w:t>
      </w:r>
      <w:r>
        <w:rPr>
          <w:color w:val="231F20"/>
          <w:spacing w:val="-5"/>
        </w:rPr>
        <w:t> </w:t>
      </w:r>
      <w:r>
        <w:rPr>
          <w:color w:val="231F20"/>
          <w:spacing w:val="-1"/>
        </w:rPr>
        <w:t>its</w:t>
      </w:r>
      <w:r>
        <w:rPr>
          <w:color w:val="231F20"/>
          <w:spacing w:val="21"/>
        </w:rPr>
        <w:t> </w:t>
      </w:r>
      <w:r>
        <w:rPr>
          <w:rFonts w:ascii="Segoe UI" w:hAnsi="Segoe UI" w:cs="Segoe UI" w:eastAsia="Segoe UI"/>
          <w:color w:val="231F20"/>
        </w:rPr>
        <w:t>programs. Its identified long term objective of</w:t>
      </w:r>
      <w:r>
        <w:rPr>
          <w:rFonts w:ascii="Segoe UI" w:hAnsi="Segoe UI" w:cs="Segoe UI" w:eastAsia="Segoe UI"/>
          <w:color w:val="231F20"/>
        </w:rPr>
        <w:t> </w:t>
      </w:r>
      <w:r>
        <w:rPr>
          <w:color w:val="231F20"/>
          <w:spacing w:val="-1"/>
        </w:rPr>
        <w:t>investment</w:t>
      </w:r>
      <w:r>
        <w:rPr>
          <w:color w:val="231F20"/>
          <w:spacing w:val="-3"/>
        </w:rPr>
        <w:t> </w:t>
      </w:r>
      <w:r>
        <w:rPr>
          <w:color w:val="231F20"/>
        </w:rPr>
        <w:t>was</w:t>
      </w:r>
      <w:r>
        <w:rPr>
          <w:color w:val="231F20"/>
          <w:spacing w:val="-4"/>
        </w:rPr>
        <w:t> </w:t>
      </w:r>
      <w:r>
        <w:rPr>
          <w:color w:val="231F20"/>
        </w:rPr>
        <w:t>positive</w:t>
      </w:r>
      <w:r>
        <w:rPr>
          <w:color w:val="231F20"/>
          <w:spacing w:val="-4"/>
        </w:rPr>
        <w:t> </w:t>
      </w:r>
      <w:r>
        <w:rPr>
          <w:color w:val="231F20"/>
        </w:rPr>
        <w:t>boarding</w:t>
      </w:r>
      <w:r>
        <w:rPr>
          <w:color w:val="231F20"/>
          <w:spacing w:val="-4"/>
        </w:rPr>
        <w:t> </w:t>
      </w:r>
      <w:r>
        <w:rPr>
          <w:color w:val="231F20"/>
        </w:rPr>
        <w:t>outcomes</w:t>
      </w:r>
      <w:r>
        <w:rPr>
          <w:color w:val="231F20"/>
          <w:spacing w:val="22"/>
        </w:rPr>
        <w:t> </w:t>
      </w:r>
      <w:r>
        <w:rPr>
          <w:color w:val="231F20"/>
        </w:rPr>
        <w:t>for</w:t>
      </w:r>
      <w:r>
        <w:rPr>
          <w:color w:val="231F20"/>
          <w:spacing w:val="-8"/>
        </w:rPr>
        <w:t> </w:t>
      </w:r>
      <w:r>
        <w:rPr>
          <w:color w:val="231F20"/>
        </w:rPr>
        <w:t>boarders:</w:t>
      </w:r>
      <w:r>
        <w:rPr>
          <w:color w:val="231F20"/>
          <w:spacing w:val="-8"/>
        </w:rPr>
        <w:t> </w:t>
      </w:r>
      <w:r>
        <w:rPr>
          <w:color w:val="231F20"/>
        </w:rPr>
        <w:t>‘boarders</w:t>
      </w:r>
      <w:r>
        <w:rPr>
          <w:color w:val="231F20"/>
          <w:spacing w:val="-7"/>
        </w:rPr>
        <w:t> </w:t>
      </w:r>
      <w:r>
        <w:rPr>
          <w:color w:val="231F20"/>
          <w:spacing w:val="-1"/>
        </w:rPr>
        <w:t>supported</w:t>
      </w:r>
      <w:r>
        <w:rPr>
          <w:color w:val="231F20"/>
          <w:spacing w:val="-6"/>
        </w:rPr>
        <w:t> </w:t>
      </w:r>
      <w:r>
        <w:rPr>
          <w:color w:val="231F20"/>
        </w:rPr>
        <w:t>to</w:t>
      </w:r>
      <w:r>
        <w:rPr>
          <w:color w:val="231F20"/>
          <w:spacing w:val="-7"/>
        </w:rPr>
        <w:t> </w:t>
      </w:r>
      <w:r>
        <w:rPr>
          <w:color w:val="231F20"/>
        </w:rPr>
        <w:t>attend</w:t>
      </w:r>
      <w:r>
        <w:rPr>
          <w:color w:val="231F20"/>
          <w:spacing w:val="22"/>
          <w:w w:val="99"/>
        </w:rPr>
        <w:t> </w:t>
      </w:r>
      <w:r>
        <w:rPr>
          <w:color w:val="231F20"/>
          <w:spacing w:val="-1"/>
        </w:rPr>
        <w:t>school,</w:t>
      </w:r>
      <w:r>
        <w:rPr>
          <w:color w:val="231F20"/>
          <w:spacing w:val="-6"/>
        </w:rPr>
        <w:t> </w:t>
      </w:r>
      <w:r>
        <w:rPr>
          <w:color w:val="231F20"/>
        </w:rPr>
        <w:t>boarders</w:t>
      </w:r>
      <w:r>
        <w:rPr>
          <w:color w:val="231F20"/>
          <w:spacing w:val="-6"/>
        </w:rPr>
        <w:t> </w:t>
      </w:r>
      <w:r>
        <w:rPr>
          <w:color w:val="231F20"/>
        </w:rPr>
        <w:t>enjoying</w:t>
      </w:r>
      <w:r>
        <w:rPr>
          <w:color w:val="231F20"/>
          <w:spacing w:val="-6"/>
        </w:rPr>
        <w:t> </w:t>
      </w:r>
      <w:r>
        <w:rPr>
          <w:color w:val="231F20"/>
        </w:rPr>
        <w:t>a</w:t>
      </w:r>
      <w:r>
        <w:rPr>
          <w:color w:val="231F20"/>
          <w:spacing w:val="-5"/>
        </w:rPr>
        <w:t> </w:t>
      </w:r>
      <w:r>
        <w:rPr>
          <w:color w:val="231F20"/>
          <w:spacing w:val="-1"/>
        </w:rPr>
        <w:t>life</w:t>
      </w:r>
      <w:r>
        <w:rPr>
          <w:color w:val="231F20"/>
          <w:spacing w:val="-5"/>
        </w:rPr>
        <w:t> </w:t>
      </w:r>
      <w:r>
        <w:rPr>
          <w:color w:val="231F20"/>
        </w:rPr>
        <w:t>enhancing</w:t>
      </w:r>
      <w:r>
        <w:rPr>
          <w:color w:val="231F20"/>
          <w:spacing w:val="23"/>
          <w:w w:val="99"/>
        </w:rPr>
        <w:t> </w:t>
      </w:r>
      <w:r>
        <w:rPr>
          <w:color w:val="231F20"/>
        </w:rPr>
        <w:t>boarding</w:t>
      </w:r>
      <w:r>
        <w:rPr>
          <w:color w:val="231F20"/>
          <w:spacing w:val="-13"/>
        </w:rPr>
        <w:t> </w:t>
      </w:r>
      <w:r>
        <w:rPr>
          <w:color w:val="231F20"/>
        </w:rPr>
        <w:t>experience,</w:t>
      </w:r>
      <w:r>
        <w:rPr>
          <w:color w:val="231F20"/>
          <w:spacing w:val="-12"/>
        </w:rPr>
        <w:t> </w:t>
      </w:r>
      <w:r>
        <w:rPr>
          <w:color w:val="231F20"/>
        </w:rPr>
        <w:t>boarders</w:t>
      </w:r>
      <w:r>
        <w:rPr>
          <w:color w:val="231F20"/>
          <w:spacing w:val="-13"/>
        </w:rPr>
        <w:t> </w:t>
      </w:r>
      <w:r>
        <w:rPr>
          <w:color w:val="231F20"/>
        </w:rPr>
        <w:t>achieving</w:t>
      </w:r>
      <w:r>
        <w:rPr>
          <w:color w:val="231F20"/>
          <w:w w:val="99"/>
        </w:rPr>
        <w:t> </w:t>
      </w:r>
      <w:r>
        <w:rPr>
          <w:color w:val="231F20"/>
        </w:rPr>
        <w:t>academic</w:t>
      </w:r>
      <w:r>
        <w:rPr>
          <w:color w:val="231F20"/>
          <w:spacing w:val="-5"/>
        </w:rPr>
        <w:t> </w:t>
      </w:r>
      <w:r>
        <w:rPr>
          <w:color w:val="231F20"/>
        </w:rPr>
        <w:t>and</w:t>
      </w:r>
      <w:r>
        <w:rPr>
          <w:color w:val="231F20"/>
          <w:spacing w:val="-5"/>
        </w:rPr>
        <w:t> </w:t>
      </w:r>
      <w:r>
        <w:rPr>
          <w:color w:val="231F20"/>
          <w:spacing w:val="-1"/>
        </w:rPr>
        <w:t>life</w:t>
      </w:r>
      <w:r>
        <w:rPr>
          <w:color w:val="231F20"/>
          <w:spacing w:val="-3"/>
        </w:rPr>
        <w:t> </w:t>
      </w:r>
      <w:r>
        <w:rPr>
          <w:color w:val="231F20"/>
          <w:spacing w:val="-1"/>
        </w:rPr>
        <w:t>skills</w:t>
      </w:r>
      <w:r>
        <w:rPr>
          <w:color w:val="231F20"/>
          <w:spacing w:val="-4"/>
        </w:rPr>
        <w:t> </w:t>
      </w:r>
      <w:r>
        <w:rPr>
          <w:color w:val="231F20"/>
        </w:rPr>
        <w:t>and</w:t>
      </w:r>
      <w:r>
        <w:rPr>
          <w:color w:val="231F20"/>
          <w:spacing w:val="-5"/>
        </w:rPr>
        <w:t> </w:t>
      </w:r>
      <w:r>
        <w:rPr>
          <w:color w:val="231F20"/>
        </w:rPr>
        <w:t>boarders</w:t>
      </w:r>
      <w:r>
        <w:rPr>
          <w:color w:val="231F20"/>
          <w:spacing w:val="-4"/>
        </w:rPr>
        <w:t> </w:t>
      </w:r>
      <w:r>
        <w:rPr>
          <w:color w:val="231F20"/>
        </w:rPr>
        <w:t>go</w:t>
      </w:r>
      <w:r>
        <w:rPr>
          <w:color w:val="231F20"/>
          <w:spacing w:val="-4"/>
        </w:rPr>
        <w:t> </w:t>
      </w:r>
      <w:r>
        <w:rPr>
          <w:color w:val="231F20"/>
        </w:rPr>
        <w:t>on</w:t>
      </w:r>
      <w:r>
        <w:rPr>
          <w:color w:val="231F20"/>
          <w:spacing w:val="-4"/>
        </w:rPr>
        <w:t> </w:t>
      </w:r>
      <w:r>
        <w:rPr>
          <w:color w:val="231F20"/>
        </w:rPr>
        <w:t>to</w:t>
      </w:r>
      <w:r>
        <w:rPr>
          <w:color w:val="231F20"/>
          <w:spacing w:val="23"/>
          <w:w w:val="99"/>
        </w:rPr>
        <w:t> </w:t>
      </w:r>
      <w:r>
        <w:rPr>
          <w:color w:val="231F20"/>
        </w:rPr>
        <w:t>be</w:t>
      </w:r>
      <w:r>
        <w:rPr>
          <w:color w:val="231F20"/>
          <w:spacing w:val="-2"/>
        </w:rPr>
        <w:t> </w:t>
      </w:r>
      <w:r>
        <w:rPr>
          <w:color w:val="231F20"/>
          <w:spacing w:val="-1"/>
        </w:rPr>
        <w:t>successful </w:t>
      </w:r>
      <w:r>
        <w:rPr>
          <w:color w:val="231F20"/>
        </w:rPr>
        <w:t>and</w:t>
      </w:r>
      <w:r>
        <w:rPr>
          <w:color w:val="231F20"/>
          <w:spacing w:val="-2"/>
        </w:rPr>
        <w:t> </w:t>
      </w:r>
      <w:r>
        <w:rPr>
          <w:color w:val="231F20"/>
        </w:rPr>
        <w:t>happy</w:t>
      </w:r>
      <w:r>
        <w:rPr>
          <w:color w:val="231F20"/>
          <w:spacing w:val="-2"/>
        </w:rPr>
        <w:t> </w:t>
      </w:r>
      <w:r>
        <w:rPr>
          <w:color w:val="231F20"/>
          <w:spacing w:val="-1"/>
        </w:rPr>
        <w:t>adults’.</w:t>
      </w:r>
      <w:r>
        <w:rPr>
          <w:rFonts w:ascii="Segoe UI Semibold" w:hAnsi="Segoe UI Semibold" w:cs="Segoe UI Semibold" w:eastAsia="Segoe UI Semibold"/>
          <w:b/>
          <w:bCs/>
          <w:color w:val="231F20"/>
          <w:spacing w:val="-1"/>
          <w:position w:val="7"/>
          <w:sz w:val="11"/>
          <w:szCs w:val="11"/>
        </w:rPr>
        <w:t>49</w:t>
      </w:r>
      <w:r>
        <w:rPr>
          <w:rFonts w:ascii="Segoe UI Semibold" w:hAnsi="Segoe UI Semibold" w:cs="Segoe UI Semibold" w:eastAsia="Segoe UI Semibold"/>
          <w:b/>
          <w:bCs/>
          <w:color w:val="231F20"/>
          <w:spacing w:val="23"/>
          <w:position w:val="7"/>
          <w:sz w:val="11"/>
          <w:szCs w:val="11"/>
        </w:rPr>
        <w:t> </w:t>
      </w:r>
      <w:r>
        <w:rPr>
          <w:rFonts w:ascii="Segoe UI" w:hAnsi="Segoe UI" w:cs="Segoe UI" w:eastAsia="Segoe UI"/>
          <w:color w:val="231F20"/>
        </w:rPr>
        <w:t>It</w:t>
      </w:r>
      <w:r>
        <w:rPr>
          <w:rFonts w:ascii="Segoe UI" w:hAnsi="Segoe UI" w:cs="Segoe UI" w:eastAsia="Segoe UI"/>
          <w:color w:val="231F20"/>
          <w:spacing w:val="-2"/>
        </w:rPr>
        <w:t> </w:t>
      </w:r>
      <w:r>
        <w:rPr>
          <w:rFonts w:ascii="Segoe UI" w:hAnsi="Segoe UI" w:cs="Segoe UI" w:eastAsia="Segoe UI"/>
          <w:color w:val="231F20"/>
        </w:rPr>
        <w:t>identified</w:t>
      </w:r>
      <w:r>
        <w:rPr>
          <w:rFonts w:ascii="Segoe UI" w:hAnsi="Segoe UI" w:cs="Segoe UI" w:eastAsia="Segoe UI"/>
          <w:color w:val="231F20"/>
          <w:spacing w:val="30"/>
        </w:rPr>
        <w:t> </w:t>
      </w:r>
      <w:r>
        <w:rPr>
          <w:color w:val="231F20"/>
          <w:spacing w:val="-1"/>
        </w:rPr>
        <w:t>seven</w:t>
      </w:r>
      <w:r>
        <w:rPr>
          <w:color w:val="231F20"/>
          <w:spacing w:val="-4"/>
        </w:rPr>
        <w:t> </w:t>
      </w:r>
      <w:r>
        <w:rPr>
          <w:color w:val="231F20"/>
          <w:spacing w:val="-1"/>
        </w:rPr>
        <w:t>mechanisms</w:t>
      </w:r>
      <w:r>
        <w:rPr>
          <w:color w:val="231F20"/>
          <w:spacing w:val="-3"/>
        </w:rPr>
        <w:t> </w:t>
      </w:r>
      <w:r>
        <w:rPr>
          <w:color w:val="231F20"/>
        </w:rPr>
        <w:t>to</w:t>
      </w:r>
      <w:r>
        <w:rPr>
          <w:color w:val="231F20"/>
          <w:spacing w:val="-3"/>
        </w:rPr>
        <w:t> </w:t>
      </w:r>
      <w:r>
        <w:rPr>
          <w:color w:val="231F20"/>
        </w:rPr>
        <w:t>achieve</w:t>
      </w:r>
      <w:r>
        <w:rPr>
          <w:color w:val="231F20"/>
          <w:spacing w:val="-5"/>
        </w:rPr>
        <w:t> </w:t>
      </w:r>
      <w:r>
        <w:rPr>
          <w:color w:val="231F20"/>
        </w:rPr>
        <w:t>the</w:t>
      </w:r>
      <w:r>
        <w:rPr>
          <w:color w:val="231F20"/>
          <w:spacing w:val="-4"/>
        </w:rPr>
        <w:t> </w:t>
      </w:r>
      <w:r>
        <w:rPr>
          <w:color w:val="231F20"/>
        </w:rPr>
        <w:t>desired</w:t>
      </w:r>
      <w:r>
        <w:rPr>
          <w:color w:val="231F20"/>
          <w:spacing w:val="23"/>
          <w:w w:val="99"/>
        </w:rPr>
        <w:t> </w:t>
      </w:r>
      <w:r>
        <w:rPr>
          <w:color w:val="231F20"/>
        </w:rPr>
        <w:t>outcomes,</w:t>
      </w:r>
      <w:r>
        <w:rPr>
          <w:color w:val="231F20"/>
          <w:spacing w:val="-9"/>
        </w:rPr>
        <w:t> </w:t>
      </w:r>
      <w:r>
        <w:rPr>
          <w:color w:val="231F20"/>
        </w:rPr>
        <w:t>namely,</w:t>
      </w:r>
      <w:r>
        <w:rPr>
          <w:color w:val="231F20"/>
          <w:spacing w:val="-9"/>
        </w:rPr>
        <w:t> </w:t>
      </w:r>
      <w:r>
        <w:rPr>
          <w:color w:val="231F20"/>
        </w:rPr>
        <w:t>parents,</w:t>
      </w:r>
      <w:r>
        <w:rPr>
          <w:color w:val="231F20"/>
          <w:spacing w:val="-8"/>
        </w:rPr>
        <w:t> </w:t>
      </w:r>
      <w:r>
        <w:rPr>
          <w:color w:val="231F20"/>
        </w:rPr>
        <w:t>communities,</w:t>
      </w:r>
      <w:r>
        <w:rPr>
          <w:color w:val="231F20"/>
        </w:rPr>
        <w:t> </w:t>
      </w:r>
      <w:r>
        <w:rPr>
          <w:rFonts w:ascii="Segoe UI" w:hAnsi="Segoe UI" w:cs="Segoe UI" w:eastAsia="Segoe UI"/>
          <w:color w:val="231F20"/>
        </w:rPr>
        <w:t>boarding</w:t>
      </w:r>
      <w:r>
        <w:rPr>
          <w:rFonts w:ascii="Segoe UI" w:hAnsi="Segoe UI" w:cs="Segoe UI" w:eastAsia="Segoe UI"/>
          <w:color w:val="231F20"/>
          <w:spacing w:val="-2"/>
        </w:rPr>
        <w:t> </w:t>
      </w:r>
      <w:r>
        <w:rPr>
          <w:rFonts w:ascii="Segoe UI" w:hAnsi="Segoe UI" w:cs="Segoe UI" w:eastAsia="Segoe UI"/>
          <w:color w:val="231F20"/>
        </w:rPr>
        <w:t>staff,</w:t>
      </w:r>
      <w:r>
        <w:rPr>
          <w:rFonts w:ascii="Segoe UI" w:hAnsi="Segoe UI" w:cs="Segoe UI" w:eastAsia="Segoe UI"/>
          <w:color w:val="231F20"/>
          <w:spacing w:val="-2"/>
        </w:rPr>
        <w:t> </w:t>
      </w:r>
      <w:r>
        <w:rPr>
          <w:rFonts w:ascii="Segoe UI" w:hAnsi="Segoe UI" w:cs="Segoe UI" w:eastAsia="Segoe UI"/>
          <w:color w:val="231F20"/>
        </w:rPr>
        <w:t>academic</w:t>
      </w:r>
      <w:r>
        <w:rPr>
          <w:rFonts w:ascii="Segoe UI" w:hAnsi="Segoe UI" w:cs="Segoe UI" w:eastAsia="Segoe UI"/>
          <w:color w:val="231F20"/>
          <w:spacing w:val="-2"/>
        </w:rPr>
        <w:t> </w:t>
      </w:r>
      <w:r>
        <w:rPr>
          <w:rFonts w:ascii="Segoe UI" w:hAnsi="Segoe UI" w:cs="Segoe UI" w:eastAsia="Segoe UI"/>
          <w:color w:val="231F20"/>
        </w:rPr>
        <w:t>staff,</w:t>
      </w:r>
      <w:r>
        <w:rPr>
          <w:rFonts w:ascii="Segoe UI" w:hAnsi="Segoe UI" w:cs="Segoe UI" w:eastAsia="Segoe UI"/>
          <w:color w:val="231F20"/>
          <w:spacing w:val="-1"/>
        </w:rPr>
        <w:t> </w:t>
      </w:r>
      <w:r>
        <w:rPr>
          <w:rFonts w:ascii="Segoe UI" w:hAnsi="Segoe UI" w:cs="Segoe UI" w:eastAsia="Segoe UI"/>
          <w:color w:val="231F20"/>
        </w:rPr>
        <w:t>boarding</w:t>
      </w:r>
      <w:r>
        <w:rPr>
          <w:rFonts w:ascii="Segoe UI" w:hAnsi="Segoe UI" w:cs="Segoe UI" w:eastAsia="Segoe UI"/>
          <w:color w:val="231F20"/>
          <w:spacing w:val="-2"/>
        </w:rPr>
        <w:t> </w:t>
      </w:r>
      <w:r>
        <w:rPr>
          <w:rFonts w:ascii="Segoe UI" w:hAnsi="Segoe UI" w:cs="Segoe UI" w:eastAsia="Segoe UI"/>
          <w:color w:val="231F20"/>
        </w:rPr>
        <w:t>and</w:t>
      </w:r>
      <w:r>
        <w:rPr>
          <w:rFonts w:ascii="Segoe UI" w:hAnsi="Segoe UI" w:cs="Segoe UI" w:eastAsia="Segoe UI"/>
          <w:color w:val="231F20"/>
        </w:rPr>
        <w:t> </w:t>
      </w:r>
      <w:r>
        <w:rPr>
          <w:color w:val="231F20"/>
          <w:spacing w:val="-1"/>
        </w:rPr>
        <w:t>school</w:t>
      </w:r>
      <w:r>
        <w:rPr>
          <w:color w:val="231F20"/>
          <w:spacing w:val="-6"/>
        </w:rPr>
        <w:t> </w:t>
      </w:r>
      <w:r>
        <w:rPr>
          <w:color w:val="231F20"/>
          <w:spacing w:val="-1"/>
        </w:rPr>
        <w:t>leadership,</w:t>
      </w:r>
      <w:r>
        <w:rPr>
          <w:color w:val="231F20"/>
          <w:spacing w:val="-5"/>
        </w:rPr>
        <w:t> </w:t>
      </w:r>
      <w:r>
        <w:rPr>
          <w:color w:val="231F20"/>
        </w:rPr>
        <w:t>education</w:t>
      </w:r>
      <w:r>
        <w:rPr>
          <w:color w:val="231F20"/>
          <w:spacing w:val="-7"/>
        </w:rPr>
        <w:t> </w:t>
      </w:r>
      <w:r>
        <w:rPr>
          <w:color w:val="231F20"/>
        </w:rPr>
        <w:t>and</w:t>
      </w:r>
      <w:r>
        <w:rPr>
          <w:color w:val="231F20"/>
          <w:spacing w:val="-6"/>
        </w:rPr>
        <w:t> </w:t>
      </w:r>
      <w:r>
        <w:rPr>
          <w:color w:val="231F20"/>
        </w:rPr>
        <w:t>employment</w:t>
      </w:r>
      <w:r>
        <w:rPr>
          <w:color w:val="231F20"/>
          <w:spacing w:val="23"/>
        </w:rPr>
        <w:t> </w:t>
      </w:r>
      <w:r>
        <w:rPr>
          <w:color w:val="231F20"/>
        </w:rPr>
        <w:t>partners,</w:t>
      </w:r>
      <w:r>
        <w:rPr>
          <w:color w:val="231F20"/>
          <w:spacing w:val="-8"/>
        </w:rPr>
        <w:t> </w:t>
      </w:r>
      <w:r>
        <w:rPr>
          <w:color w:val="231F20"/>
        </w:rPr>
        <w:t>and</w:t>
      </w:r>
      <w:r>
        <w:rPr>
          <w:color w:val="231F20"/>
          <w:spacing w:val="-7"/>
        </w:rPr>
        <w:t> </w:t>
      </w:r>
      <w:r>
        <w:rPr>
          <w:color w:val="231F20"/>
        </w:rPr>
        <w:t>government.</w:t>
      </w:r>
      <w:r>
        <w:rPr>
          <w:color w:val="231F20"/>
          <w:spacing w:val="-8"/>
        </w:rPr>
        <w:t> </w:t>
      </w:r>
      <w:r>
        <w:rPr>
          <w:color w:val="231F20"/>
          <w:spacing w:val="-1"/>
        </w:rPr>
        <w:t>Consistent</w:t>
      </w:r>
      <w:r>
        <w:rPr>
          <w:color w:val="231F20"/>
          <w:spacing w:val="-6"/>
        </w:rPr>
        <w:t> </w:t>
      </w:r>
      <w:r>
        <w:rPr>
          <w:color w:val="231F20"/>
        </w:rPr>
        <w:t>with</w:t>
      </w:r>
      <w:r>
        <w:rPr>
          <w:color w:val="231F20"/>
          <w:spacing w:val="22"/>
          <w:w w:val="99"/>
        </w:rPr>
        <w:t> </w:t>
      </w:r>
      <w:r>
        <w:rPr>
          <w:color w:val="231F20"/>
        </w:rPr>
        <w:t>Guenther,</w:t>
      </w:r>
      <w:r>
        <w:rPr>
          <w:color w:val="231F20"/>
          <w:spacing w:val="-10"/>
        </w:rPr>
        <w:t> </w:t>
      </w:r>
      <w:r>
        <w:rPr>
          <w:color w:val="231F20"/>
          <w:spacing w:val="-1"/>
        </w:rPr>
        <w:t>Indigenous</w:t>
      </w:r>
      <w:r>
        <w:rPr>
          <w:color w:val="231F20"/>
          <w:spacing w:val="-10"/>
        </w:rPr>
        <w:t> </w:t>
      </w:r>
      <w:r>
        <w:rPr>
          <w:color w:val="231F20"/>
        </w:rPr>
        <w:t>Education</w:t>
      </w:r>
      <w:r>
        <w:rPr>
          <w:color w:val="231F20"/>
          <w:spacing w:val="-10"/>
        </w:rPr>
        <w:t> </w:t>
      </w:r>
      <w:r>
        <w:rPr>
          <w:color w:val="231F20"/>
        </w:rPr>
        <w:t>and</w:t>
      </w:r>
      <w:r>
        <w:rPr>
          <w:color w:val="231F20"/>
          <w:spacing w:val="-11"/>
        </w:rPr>
        <w:t> </w:t>
      </w:r>
      <w:r>
        <w:rPr>
          <w:color w:val="231F20"/>
          <w:spacing w:val="-1"/>
        </w:rPr>
        <w:t>Boarding</w:t>
      </w:r>
      <w:r>
        <w:rPr>
          <w:color w:val="231F20"/>
          <w:spacing w:val="21"/>
          <w:w w:val="99"/>
        </w:rPr>
        <w:t> </w:t>
      </w:r>
      <w:r>
        <w:rPr>
          <w:color w:val="231F20"/>
        </w:rPr>
        <w:t>Australia</w:t>
      </w:r>
      <w:r>
        <w:rPr>
          <w:color w:val="231F20"/>
          <w:spacing w:val="-5"/>
        </w:rPr>
        <w:t> </w:t>
      </w:r>
      <w:r>
        <w:rPr>
          <w:color w:val="231F20"/>
        </w:rPr>
        <w:t>also</w:t>
      </w:r>
      <w:r>
        <w:rPr>
          <w:color w:val="231F20"/>
          <w:spacing w:val="-6"/>
        </w:rPr>
        <w:t> </w:t>
      </w:r>
      <w:r>
        <w:rPr>
          <w:color w:val="231F20"/>
        </w:rPr>
        <w:t>noted</w:t>
      </w:r>
      <w:r>
        <w:rPr>
          <w:color w:val="231F20"/>
          <w:spacing w:val="-5"/>
        </w:rPr>
        <w:t> </w:t>
      </w:r>
      <w:r>
        <w:rPr>
          <w:color w:val="231F20"/>
        </w:rPr>
        <w:t>the</w:t>
      </w:r>
      <w:r>
        <w:rPr>
          <w:color w:val="231F20"/>
          <w:spacing w:val="-6"/>
        </w:rPr>
        <w:t> </w:t>
      </w:r>
      <w:r>
        <w:rPr>
          <w:color w:val="231F20"/>
        </w:rPr>
        <w:t>need</w:t>
      </w:r>
      <w:r>
        <w:rPr>
          <w:color w:val="231F20"/>
          <w:spacing w:val="-5"/>
        </w:rPr>
        <w:t> </w:t>
      </w:r>
      <w:r>
        <w:rPr>
          <w:color w:val="231F20"/>
        </w:rPr>
        <w:t>to</w:t>
      </w:r>
      <w:r>
        <w:rPr>
          <w:color w:val="231F20"/>
          <w:spacing w:val="-5"/>
        </w:rPr>
        <w:t> </w:t>
      </w:r>
      <w:r>
        <w:rPr>
          <w:color w:val="231F20"/>
          <w:spacing w:val="-1"/>
        </w:rPr>
        <w:t>identify</w:t>
      </w:r>
      <w:r>
        <w:rPr>
          <w:color w:val="231F20"/>
          <w:spacing w:val="-4"/>
        </w:rPr>
        <w:t> </w:t>
      </w:r>
      <w:r>
        <w:rPr>
          <w:color w:val="231F20"/>
        </w:rPr>
        <w:t>and</w:t>
      </w:r>
      <w:r>
        <w:rPr>
          <w:color w:val="231F20"/>
          <w:spacing w:val="22"/>
          <w:w w:val="99"/>
        </w:rPr>
        <w:t> </w:t>
      </w:r>
      <w:r>
        <w:rPr>
          <w:color w:val="231F20"/>
          <w:spacing w:val="-1"/>
        </w:rPr>
        <w:t>source</w:t>
      </w:r>
      <w:r>
        <w:rPr>
          <w:color w:val="231F20"/>
          <w:spacing w:val="-6"/>
        </w:rPr>
        <w:t> </w:t>
      </w:r>
      <w:r>
        <w:rPr>
          <w:color w:val="231F20"/>
          <w:spacing w:val="-1"/>
        </w:rPr>
        <w:t>information</w:t>
      </w:r>
      <w:r>
        <w:rPr>
          <w:color w:val="231F20"/>
          <w:spacing w:val="-6"/>
        </w:rPr>
        <w:t> </w:t>
      </w:r>
      <w:r>
        <w:rPr>
          <w:color w:val="231F20"/>
        </w:rPr>
        <w:t>and</w:t>
      </w:r>
      <w:r>
        <w:rPr>
          <w:color w:val="231F20"/>
          <w:spacing w:val="-7"/>
        </w:rPr>
        <w:t> </w:t>
      </w:r>
      <w:r>
        <w:rPr>
          <w:color w:val="231F20"/>
        </w:rPr>
        <w:t>data</w:t>
      </w:r>
      <w:r>
        <w:rPr>
          <w:color w:val="231F20"/>
          <w:spacing w:val="-7"/>
        </w:rPr>
        <w:t> </w:t>
      </w:r>
      <w:r>
        <w:rPr>
          <w:color w:val="231F20"/>
        </w:rPr>
        <w:t>to</w:t>
      </w:r>
      <w:r>
        <w:rPr>
          <w:color w:val="231F20"/>
          <w:spacing w:val="-6"/>
        </w:rPr>
        <w:t> </w:t>
      </w:r>
      <w:r>
        <w:rPr>
          <w:color w:val="231F20"/>
          <w:spacing w:val="-1"/>
        </w:rPr>
        <w:t>measure</w:t>
      </w:r>
      <w:r>
        <w:rPr>
          <w:color w:val="231F20"/>
          <w:spacing w:val="-6"/>
        </w:rPr>
        <w:t> </w:t>
      </w:r>
      <w:r>
        <w:rPr>
          <w:color w:val="231F20"/>
        </w:rPr>
        <w:t>the</w:t>
      </w:r>
      <w:r>
        <w:rPr>
          <w:color w:val="231F20"/>
          <w:spacing w:val="24"/>
          <w:w w:val="99"/>
        </w:rPr>
        <w:t> </w:t>
      </w:r>
      <w:r>
        <w:rPr>
          <w:color w:val="231F20"/>
          <w:spacing w:val="-1"/>
        </w:rPr>
        <w:t>impact</w:t>
      </w:r>
      <w:r>
        <w:rPr>
          <w:color w:val="231F20"/>
          <w:spacing w:val="-5"/>
        </w:rPr>
        <w:t> </w:t>
      </w:r>
      <w:r>
        <w:rPr>
          <w:color w:val="231F20"/>
        </w:rPr>
        <w:t>of</w:t>
      </w:r>
      <w:r>
        <w:rPr>
          <w:color w:val="231F20"/>
          <w:spacing w:val="-4"/>
        </w:rPr>
        <w:t> </w:t>
      </w:r>
      <w:r>
        <w:rPr>
          <w:color w:val="231F20"/>
        </w:rPr>
        <w:t>boarding</w:t>
      </w:r>
      <w:r>
        <w:rPr>
          <w:color w:val="231F20"/>
          <w:spacing w:val="-5"/>
        </w:rPr>
        <w:t> </w:t>
      </w:r>
      <w:r>
        <w:rPr>
          <w:color w:val="231F20"/>
          <w:spacing w:val="-1"/>
        </w:rPr>
        <w:t>investment</w:t>
      </w:r>
      <w:r>
        <w:rPr>
          <w:color w:val="231F20"/>
          <w:spacing w:val="-4"/>
        </w:rPr>
        <w:t> </w:t>
      </w:r>
      <w:r>
        <w:rPr>
          <w:color w:val="231F20"/>
        </w:rPr>
        <w:t>on</w:t>
      </w:r>
      <w:r>
        <w:rPr>
          <w:color w:val="231F20"/>
          <w:spacing w:val="-4"/>
        </w:rPr>
        <w:t> </w:t>
      </w:r>
      <w:r>
        <w:rPr>
          <w:color w:val="231F20"/>
        </w:rPr>
        <w:t>the</w:t>
      </w:r>
      <w:r>
        <w:rPr>
          <w:color w:val="231F20"/>
          <w:spacing w:val="-5"/>
        </w:rPr>
        <w:t> </w:t>
      </w:r>
      <w:r>
        <w:rPr>
          <w:color w:val="231F20"/>
          <w:spacing w:val="-1"/>
        </w:rPr>
        <w:t>long</w:t>
      </w:r>
      <w:r>
        <w:rPr>
          <w:color w:val="231F20"/>
          <w:spacing w:val="22"/>
          <w:w w:val="99"/>
        </w:rPr>
        <w:t> </w:t>
      </w:r>
      <w:r>
        <w:rPr>
          <w:color w:val="231F20"/>
        </w:rPr>
        <w:t>term</w:t>
      </w:r>
      <w:r>
        <w:rPr>
          <w:color w:val="231F20"/>
          <w:spacing w:val="-14"/>
        </w:rPr>
        <w:t> </w:t>
      </w:r>
      <w:r>
        <w:rPr>
          <w:color w:val="231F20"/>
        </w:rPr>
        <w:t>objective.</w:t>
      </w:r>
      <w:r>
        <w:rPr/>
      </w:r>
    </w:p>
    <w:p>
      <w:pPr>
        <w:pStyle w:val="BodyText"/>
        <w:spacing w:line="250" w:lineRule="exact" w:before="62"/>
        <w:ind w:right="25"/>
        <w:jc w:val="left"/>
      </w:pPr>
      <w:r>
        <w:rPr/>
        <w:br w:type="column"/>
      </w:r>
      <w:r>
        <w:rPr>
          <w:color w:val="231F20"/>
        </w:rPr>
        <w:t>Examining</w:t>
      </w:r>
      <w:r>
        <w:rPr>
          <w:color w:val="231F20"/>
          <w:spacing w:val="-3"/>
        </w:rPr>
        <w:t> </w:t>
      </w:r>
      <w:r>
        <w:rPr>
          <w:color w:val="231F20"/>
        </w:rPr>
        <w:t>all</w:t>
      </w:r>
      <w:r>
        <w:rPr>
          <w:color w:val="231F20"/>
          <w:spacing w:val="-2"/>
        </w:rPr>
        <w:t> </w:t>
      </w:r>
      <w:r>
        <w:rPr>
          <w:color w:val="231F20"/>
        </w:rPr>
        <w:t>of</w:t>
      </w:r>
      <w:r>
        <w:rPr>
          <w:color w:val="231F20"/>
          <w:spacing w:val="-1"/>
        </w:rPr>
        <w:t> </w:t>
      </w:r>
      <w:r>
        <w:rPr>
          <w:color w:val="231F20"/>
        </w:rPr>
        <w:t>the</w:t>
      </w:r>
      <w:r>
        <w:rPr>
          <w:color w:val="231F20"/>
          <w:spacing w:val="-3"/>
        </w:rPr>
        <w:t> </w:t>
      </w:r>
      <w:r>
        <w:rPr>
          <w:color w:val="231F20"/>
        </w:rPr>
        <w:t>possible</w:t>
      </w:r>
      <w:r>
        <w:rPr>
          <w:color w:val="231F20"/>
          <w:spacing w:val="-2"/>
        </w:rPr>
        <w:t> </w:t>
      </w:r>
      <w:r>
        <w:rPr>
          <w:color w:val="231F20"/>
          <w:spacing w:val="-1"/>
        </w:rPr>
        <w:t>mechanisms</w:t>
      </w:r>
      <w:r>
        <w:rPr>
          <w:color w:val="231F20"/>
        </w:rPr>
        <w:t> and</w:t>
      </w:r>
      <w:r>
        <w:rPr>
          <w:color w:val="231F20"/>
          <w:spacing w:val="22"/>
          <w:w w:val="99"/>
        </w:rPr>
        <w:t> </w:t>
      </w:r>
      <w:r>
        <w:rPr>
          <w:color w:val="231F20"/>
        </w:rPr>
        <w:t>elements,</w:t>
      </w:r>
      <w:r>
        <w:rPr>
          <w:color w:val="231F20"/>
          <w:spacing w:val="-6"/>
        </w:rPr>
        <w:t> </w:t>
      </w:r>
      <w:r>
        <w:rPr>
          <w:color w:val="231F20"/>
        </w:rPr>
        <w:t>and</w:t>
      </w:r>
      <w:r>
        <w:rPr>
          <w:color w:val="231F20"/>
          <w:spacing w:val="-5"/>
        </w:rPr>
        <w:t> </w:t>
      </w:r>
      <w:r>
        <w:rPr>
          <w:color w:val="231F20"/>
        </w:rPr>
        <w:t>their</w:t>
      </w:r>
      <w:r>
        <w:rPr>
          <w:color w:val="231F20"/>
          <w:spacing w:val="-5"/>
        </w:rPr>
        <w:t> </w:t>
      </w:r>
      <w:r>
        <w:rPr>
          <w:color w:val="231F20"/>
        </w:rPr>
        <w:t>outcomes,</w:t>
      </w:r>
      <w:r>
        <w:rPr>
          <w:color w:val="231F20"/>
          <w:spacing w:val="-5"/>
        </w:rPr>
        <w:t> </w:t>
      </w:r>
      <w:r>
        <w:rPr>
          <w:color w:val="231F20"/>
          <w:spacing w:val="-1"/>
        </w:rPr>
        <w:t>in</w:t>
      </w:r>
      <w:r>
        <w:rPr>
          <w:color w:val="231F20"/>
          <w:spacing w:val="-4"/>
        </w:rPr>
        <w:t> </w:t>
      </w:r>
      <w:r>
        <w:rPr>
          <w:color w:val="231F20"/>
        </w:rPr>
        <w:t>relation</w:t>
      </w:r>
      <w:r>
        <w:rPr>
          <w:color w:val="231F20"/>
          <w:spacing w:val="-6"/>
        </w:rPr>
        <w:t> </w:t>
      </w:r>
      <w:r>
        <w:rPr>
          <w:color w:val="231F20"/>
        </w:rPr>
        <w:t>to</w:t>
      </w:r>
      <w:r>
        <w:rPr>
          <w:color w:val="231F20"/>
          <w:spacing w:val="21"/>
          <w:w w:val="99"/>
        </w:rPr>
        <w:t> </w:t>
      </w:r>
      <w:r>
        <w:rPr>
          <w:rFonts w:ascii="Segoe UI"/>
          <w:color w:val="231F20"/>
        </w:rPr>
        <w:t>boarding would be a significant exercise and is</w:t>
      </w:r>
      <w:r>
        <w:rPr>
          <w:rFonts w:ascii="Segoe UI"/>
          <w:color w:val="231F20"/>
        </w:rPr>
        <w:t> </w:t>
      </w:r>
      <w:r>
        <w:rPr>
          <w:color w:val="231F20"/>
        </w:rPr>
        <w:t>outside</w:t>
      </w:r>
      <w:r>
        <w:rPr>
          <w:color w:val="231F20"/>
          <w:spacing w:val="-5"/>
        </w:rPr>
        <w:t> </w:t>
      </w:r>
      <w:r>
        <w:rPr>
          <w:color w:val="231F20"/>
        </w:rPr>
        <w:t>the</w:t>
      </w:r>
      <w:r>
        <w:rPr>
          <w:color w:val="231F20"/>
          <w:spacing w:val="-4"/>
        </w:rPr>
        <w:t> </w:t>
      </w:r>
      <w:r>
        <w:rPr>
          <w:color w:val="231F20"/>
          <w:spacing w:val="-1"/>
        </w:rPr>
        <w:t>scope</w:t>
      </w:r>
      <w:r>
        <w:rPr>
          <w:color w:val="231F20"/>
          <w:spacing w:val="-3"/>
        </w:rPr>
        <w:t> </w:t>
      </w:r>
      <w:r>
        <w:rPr>
          <w:color w:val="231F20"/>
        </w:rPr>
        <w:t>of</w:t>
      </w:r>
      <w:r>
        <w:rPr>
          <w:color w:val="231F20"/>
          <w:spacing w:val="-4"/>
        </w:rPr>
        <w:t> </w:t>
      </w:r>
      <w:r>
        <w:rPr>
          <w:color w:val="231F20"/>
        </w:rPr>
        <w:t>this</w:t>
      </w:r>
      <w:r>
        <w:rPr>
          <w:color w:val="231F20"/>
          <w:spacing w:val="-4"/>
        </w:rPr>
        <w:t> </w:t>
      </w:r>
      <w:r>
        <w:rPr>
          <w:color w:val="231F20"/>
        </w:rPr>
        <w:t>report.</w:t>
      </w:r>
      <w:r>
        <w:rPr>
          <w:color w:val="231F20"/>
          <w:spacing w:val="-4"/>
        </w:rPr>
        <w:t> </w:t>
      </w:r>
      <w:r>
        <w:rPr>
          <w:color w:val="231F20"/>
        </w:rPr>
        <w:t>The</w:t>
      </w:r>
      <w:r>
        <w:rPr>
          <w:color w:val="231F20"/>
          <w:spacing w:val="-4"/>
        </w:rPr>
        <w:t> </w:t>
      </w:r>
      <w:r>
        <w:rPr>
          <w:color w:val="231F20"/>
        </w:rPr>
        <w:t>availability</w:t>
      </w:r>
      <w:r>
        <w:rPr>
          <w:color w:val="231F20"/>
          <w:spacing w:val="21"/>
          <w:w w:val="99"/>
        </w:rPr>
        <w:t> </w:t>
      </w:r>
      <w:r>
        <w:rPr>
          <w:color w:val="231F20"/>
        </w:rPr>
        <w:t>of</w:t>
      </w:r>
      <w:r>
        <w:rPr>
          <w:color w:val="231F20"/>
          <w:spacing w:val="-4"/>
        </w:rPr>
        <w:t> </w:t>
      </w:r>
      <w:r>
        <w:rPr>
          <w:color w:val="231F20"/>
        </w:rPr>
        <w:t>evidence</w:t>
      </w:r>
      <w:r>
        <w:rPr>
          <w:color w:val="231F20"/>
          <w:spacing w:val="-5"/>
        </w:rPr>
        <w:t> </w:t>
      </w:r>
      <w:r>
        <w:rPr>
          <w:color w:val="231F20"/>
        </w:rPr>
        <w:t>to</w:t>
      </w:r>
      <w:r>
        <w:rPr>
          <w:color w:val="231F20"/>
          <w:spacing w:val="-4"/>
        </w:rPr>
        <w:t> </w:t>
      </w:r>
      <w:r>
        <w:rPr>
          <w:color w:val="231F20"/>
        </w:rPr>
        <w:t>conduct</w:t>
      </w:r>
      <w:r>
        <w:rPr>
          <w:color w:val="231F20"/>
          <w:spacing w:val="-5"/>
        </w:rPr>
        <w:t> </w:t>
      </w:r>
      <w:r>
        <w:rPr>
          <w:color w:val="231F20"/>
          <w:spacing w:val="-1"/>
        </w:rPr>
        <w:t>such</w:t>
      </w:r>
      <w:r>
        <w:rPr>
          <w:color w:val="231F20"/>
          <w:spacing w:val="-4"/>
        </w:rPr>
        <w:t> </w:t>
      </w:r>
      <w:r>
        <w:rPr>
          <w:color w:val="231F20"/>
        </w:rPr>
        <w:t>an</w:t>
      </w:r>
      <w:r>
        <w:rPr>
          <w:color w:val="231F20"/>
          <w:spacing w:val="-5"/>
        </w:rPr>
        <w:t> </w:t>
      </w:r>
      <w:r>
        <w:rPr>
          <w:color w:val="231F20"/>
        </w:rPr>
        <w:t>exercise</w:t>
      </w:r>
      <w:r>
        <w:rPr>
          <w:color w:val="231F20"/>
          <w:spacing w:val="-5"/>
        </w:rPr>
        <w:t> </w:t>
      </w:r>
      <w:r>
        <w:rPr>
          <w:color w:val="231F20"/>
          <w:spacing w:val="-1"/>
        </w:rPr>
        <w:t>is</w:t>
      </w:r>
      <w:r>
        <w:rPr/>
      </w:r>
    </w:p>
    <w:p>
      <w:pPr>
        <w:pStyle w:val="BodyText"/>
        <w:spacing w:line="250" w:lineRule="exact"/>
        <w:ind w:right="25"/>
        <w:jc w:val="left"/>
        <w:rPr>
          <w:rFonts w:ascii="Segoe UI" w:hAnsi="Segoe UI" w:cs="Segoe UI" w:eastAsia="Segoe UI"/>
        </w:rPr>
      </w:pPr>
      <w:r>
        <w:rPr>
          <w:color w:val="231F20"/>
        </w:rPr>
        <w:t>also</w:t>
      </w:r>
      <w:r>
        <w:rPr>
          <w:color w:val="231F20"/>
          <w:spacing w:val="-5"/>
        </w:rPr>
        <w:t> </w:t>
      </w:r>
      <w:r>
        <w:rPr>
          <w:color w:val="231F20"/>
          <w:spacing w:val="-1"/>
        </w:rPr>
        <w:t>limited.</w:t>
      </w:r>
      <w:r>
        <w:rPr>
          <w:color w:val="231F20"/>
          <w:spacing w:val="-3"/>
        </w:rPr>
        <w:t> </w:t>
      </w:r>
      <w:r>
        <w:rPr>
          <w:color w:val="231F20"/>
        </w:rPr>
        <w:t>The</w:t>
      </w:r>
      <w:r>
        <w:rPr>
          <w:color w:val="231F20"/>
          <w:spacing w:val="-4"/>
        </w:rPr>
        <w:t> </w:t>
      </w:r>
      <w:r>
        <w:rPr>
          <w:color w:val="231F20"/>
        </w:rPr>
        <w:t>theory</w:t>
      </w:r>
      <w:r>
        <w:rPr>
          <w:color w:val="231F20"/>
          <w:spacing w:val="-4"/>
        </w:rPr>
        <w:t> </w:t>
      </w:r>
      <w:r>
        <w:rPr>
          <w:color w:val="231F20"/>
        </w:rPr>
        <w:t>of</w:t>
      </w:r>
      <w:r>
        <w:rPr>
          <w:color w:val="231F20"/>
          <w:spacing w:val="-4"/>
        </w:rPr>
        <w:t> </w:t>
      </w:r>
      <w:r>
        <w:rPr>
          <w:color w:val="231F20"/>
        </w:rPr>
        <w:t>change</w:t>
      </w:r>
      <w:r>
        <w:rPr>
          <w:color w:val="231F20"/>
          <w:spacing w:val="-4"/>
        </w:rPr>
        <w:t> </w:t>
      </w:r>
      <w:r>
        <w:rPr>
          <w:color w:val="231F20"/>
        </w:rPr>
        <w:t>we</w:t>
      </w:r>
      <w:r>
        <w:rPr>
          <w:color w:val="231F20"/>
          <w:spacing w:val="-4"/>
        </w:rPr>
        <w:t> </w:t>
      </w:r>
      <w:r>
        <w:rPr>
          <w:color w:val="231F20"/>
        </w:rPr>
        <w:t>have</w:t>
      </w:r>
      <w:r>
        <w:rPr>
          <w:color w:val="231F20"/>
          <w:spacing w:val="22"/>
          <w:w w:val="99"/>
        </w:rPr>
        <w:t> </w:t>
      </w:r>
      <w:r>
        <w:rPr>
          <w:color w:val="231F20"/>
        </w:rPr>
        <w:t>developed</w:t>
      </w:r>
      <w:r>
        <w:rPr>
          <w:color w:val="231F20"/>
          <w:spacing w:val="-6"/>
        </w:rPr>
        <w:t> </w:t>
      </w:r>
      <w:r>
        <w:rPr>
          <w:color w:val="231F20"/>
        </w:rPr>
        <w:t>for</w:t>
      </w:r>
      <w:r>
        <w:rPr>
          <w:color w:val="231F20"/>
          <w:spacing w:val="-4"/>
        </w:rPr>
        <w:t> </w:t>
      </w:r>
      <w:r>
        <w:rPr>
          <w:color w:val="231F20"/>
        </w:rPr>
        <w:t>the</w:t>
      </w:r>
      <w:r>
        <w:rPr>
          <w:color w:val="231F20"/>
          <w:spacing w:val="-5"/>
        </w:rPr>
        <w:t> </w:t>
      </w:r>
      <w:r>
        <w:rPr>
          <w:color w:val="231F20"/>
          <w:spacing w:val="-1"/>
        </w:rPr>
        <w:t>investment</w:t>
      </w:r>
      <w:r>
        <w:rPr>
          <w:color w:val="231F20"/>
          <w:spacing w:val="-4"/>
        </w:rPr>
        <w:t> </w:t>
      </w:r>
      <w:r>
        <w:rPr>
          <w:color w:val="231F20"/>
          <w:spacing w:val="-1"/>
        </w:rPr>
        <w:t>in</w:t>
      </w:r>
      <w:r>
        <w:rPr>
          <w:color w:val="231F20"/>
          <w:spacing w:val="-4"/>
        </w:rPr>
        <w:t> </w:t>
      </w:r>
      <w:r>
        <w:rPr>
          <w:color w:val="231F20"/>
        </w:rPr>
        <w:t>boarding</w:t>
      </w:r>
      <w:r>
        <w:rPr>
          <w:color w:val="231F20"/>
          <w:spacing w:val="-6"/>
        </w:rPr>
        <w:t> </w:t>
      </w:r>
      <w:r>
        <w:rPr>
          <w:color w:val="231F20"/>
        </w:rPr>
        <w:t>for</w:t>
      </w:r>
      <w:r>
        <w:rPr>
          <w:color w:val="231F20"/>
          <w:spacing w:val="23"/>
          <w:w w:val="99"/>
        </w:rPr>
        <w:t> </w:t>
      </w:r>
      <w:r>
        <w:rPr>
          <w:color w:val="231F20"/>
        </w:rPr>
        <w:t>Aboriginal</w:t>
      </w:r>
      <w:r>
        <w:rPr>
          <w:color w:val="231F20"/>
          <w:spacing w:val="-4"/>
        </w:rPr>
        <w:t> </w:t>
      </w:r>
      <w:r>
        <w:rPr>
          <w:color w:val="231F20"/>
        </w:rPr>
        <w:t>and</w:t>
      </w:r>
      <w:r>
        <w:rPr>
          <w:color w:val="231F20"/>
          <w:spacing w:val="-5"/>
        </w:rPr>
        <w:t> Torres</w:t>
      </w:r>
      <w:r>
        <w:rPr>
          <w:color w:val="231F20"/>
          <w:spacing w:val="-4"/>
        </w:rPr>
        <w:t> </w:t>
      </w:r>
      <w:r>
        <w:rPr>
          <w:color w:val="231F20"/>
          <w:spacing w:val="-2"/>
        </w:rPr>
        <w:t>Strait</w:t>
      </w:r>
      <w:r>
        <w:rPr>
          <w:color w:val="231F20"/>
          <w:spacing w:val="-4"/>
        </w:rPr>
        <w:t> </w:t>
      </w:r>
      <w:r>
        <w:rPr>
          <w:color w:val="231F20"/>
          <w:spacing w:val="-1"/>
        </w:rPr>
        <w:t>Islander</w:t>
      </w:r>
      <w:r>
        <w:rPr>
          <w:color w:val="231F20"/>
          <w:spacing w:val="-4"/>
        </w:rPr>
        <w:t> </w:t>
      </w:r>
      <w:r>
        <w:rPr>
          <w:color w:val="231F20"/>
          <w:spacing w:val="-1"/>
        </w:rPr>
        <w:t>students</w:t>
      </w:r>
      <w:r>
        <w:rPr>
          <w:color w:val="231F20"/>
          <w:spacing w:val="-4"/>
        </w:rPr>
        <w:t> </w:t>
      </w:r>
      <w:r>
        <w:rPr>
          <w:color w:val="231F20"/>
          <w:spacing w:val="-1"/>
        </w:rPr>
        <w:t>is</w:t>
      </w:r>
      <w:r>
        <w:rPr>
          <w:color w:val="231F20"/>
          <w:spacing w:val="22"/>
        </w:rPr>
        <w:t> </w:t>
      </w:r>
      <w:r>
        <w:rPr>
          <w:color w:val="231F20"/>
        </w:rPr>
        <w:t>therefore</w:t>
      </w:r>
      <w:r>
        <w:rPr>
          <w:color w:val="231F20"/>
          <w:spacing w:val="-6"/>
        </w:rPr>
        <w:t> </w:t>
      </w:r>
      <w:r>
        <w:rPr>
          <w:color w:val="231F20"/>
          <w:spacing w:val="-1"/>
        </w:rPr>
        <w:t>limited</w:t>
      </w:r>
      <w:r>
        <w:rPr>
          <w:color w:val="231F20"/>
          <w:spacing w:val="-4"/>
        </w:rPr>
        <w:t> </w:t>
      </w:r>
      <w:r>
        <w:rPr>
          <w:color w:val="231F20"/>
        </w:rPr>
        <w:t>to</w:t>
      </w:r>
      <w:r>
        <w:rPr>
          <w:color w:val="231F20"/>
          <w:spacing w:val="-4"/>
        </w:rPr>
        <w:t> </w:t>
      </w:r>
      <w:r>
        <w:rPr>
          <w:color w:val="231F20"/>
        </w:rPr>
        <w:t>government</w:t>
      </w:r>
      <w:r>
        <w:rPr>
          <w:color w:val="231F20"/>
          <w:spacing w:val="-5"/>
        </w:rPr>
        <w:t> </w:t>
      </w:r>
      <w:r>
        <w:rPr>
          <w:color w:val="231F20"/>
          <w:spacing w:val="-1"/>
        </w:rPr>
        <w:t>investment</w:t>
      </w:r>
      <w:r>
        <w:rPr>
          <w:color w:val="231F20"/>
          <w:spacing w:val="-4"/>
        </w:rPr>
        <w:t> </w:t>
      </w:r>
      <w:r>
        <w:rPr>
          <w:color w:val="231F20"/>
          <w:spacing w:val="-1"/>
        </w:rPr>
        <w:t>in</w:t>
      </w:r>
      <w:r>
        <w:rPr>
          <w:color w:val="231F20"/>
          <w:spacing w:val="22"/>
        </w:rPr>
        <w:t> </w:t>
      </w:r>
      <w:r>
        <w:rPr>
          <w:rFonts w:ascii="Segoe UI"/>
          <w:color w:val="231F20"/>
        </w:rPr>
        <w:t>the four main pillars of support identified in the</w:t>
      </w:r>
      <w:r>
        <w:rPr>
          <w:rFonts w:ascii="Segoe UI"/>
          <w:color w:val="231F20"/>
        </w:rPr>
        <w:t> </w:t>
      </w:r>
      <w:r>
        <w:rPr>
          <w:color w:val="231F20"/>
          <w:spacing w:val="-2"/>
        </w:rPr>
        <w:t>Study</w:t>
      </w:r>
      <w:r>
        <w:rPr>
          <w:color w:val="231F20"/>
          <w:spacing w:val="-7"/>
        </w:rPr>
        <w:t> </w:t>
      </w:r>
      <w:r>
        <w:rPr>
          <w:color w:val="231F20"/>
          <w:spacing w:val="-1"/>
        </w:rPr>
        <w:t>Away</w:t>
      </w:r>
      <w:r>
        <w:rPr>
          <w:color w:val="231F20"/>
          <w:spacing w:val="-7"/>
        </w:rPr>
        <w:t> </w:t>
      </w:r>
      <w:r>
        <w:rPr>
          <w:color w:val="231F20"/>
          <w:spacing w:val="-1"/>
        </w:rPr>
        <w:t>Review,</w:t>
      </w:r>
      <w:r>
        <w:rPr>
          <w:color w:val="231F20"/>
          <w:spacing w:val="-6"/>
        </w:rPr>
        <w:t> </w:t>
      </w:r>
      <w:r>
        <w:rPr>
          <w:color w:val="231F20"/>
        </w:rPr>
        <w:t>and</w:t>
      </w:r>
      <w:r>
        <w:rPr>
          <w:color w:val="231F20"/>
          <w:spacing w:val="-7"/>
        </w:rPr>
        <w:t> </w:t>
      </w:r>
      <w:r>
        <w:rPr>
          <w:color w:val="231F20"/>
        </w:rPr>
        <w:t>the</w:t>
      </w:r>
      <w:r>
        <w:rPr>
          <w:color w:val="231F20"/>
          <w:spacing w:val="-7"/>
        </w:rPr>
        <w:t> </w:t>
      </w:r>
      <w:r>
        <w:rPr>
          <w:color w:val="231F20"/>
          <w:spacing w:val="-1"/>
        </w:rPr>
        <w:t>measurable</w:t>
      </w:r>
      <w:r>
        <w:rPr>
          <w:color w:val="231F20"/>
          <w:spacing w:val="-5"/>
        </w:rPr>
        <w:t> </w:t>
      </w:r>
      <w:r>
        <w:rPr>
          <w:color w:val="231F20"/>
        </w:rPr>
        <w:t>factors</w:t>
      </w:r>
      <w:r>
        <w:rPr>
          <w:color w:val="231F20"/>
          <w:spacing w:val="26"/>
          <w:w w:val="99"/>
        </w:rPr>
        <w:t> </w:t>
      </w:r>
      <w:r>
        <w:rPr>
          <w:rFonts w:ascii="Segoe UI"/>
          <w:color w:val="231F20"/>
        </w:rPr>
        <w:t>of influence.</w:t>
      </w:r>
      <w:r>
        <w:rPr>
          <w:rFonts w:ascii="Segoe UI"/>
        </w:rPr>
      </w:r>
    </w:p>
    <w:p>
      <w:pPr>
        <w:spacing w:line="240" w:lineRule="auto" w:before="1"/>
        <w:rPr>
          <w:rFonts w:ascii="Segoe UI" w:hAnsi="Segoe UI" w:cs="Segoe UI" w:eastAsia="Segoe UI"/>
          <w:sz w:val="25"/>
          <w:szCs w:val="25"/>
        </w:rPr>
      </w:pPr>
    </w:p>
    <w:p>
      <w:pPr>
        <w:spacing w:line="360" w:lineRule="exact" w:before="0"/>
        <w:ind w:left="117" w:right="65" w:firstLine="0"/>
        <w:jc w:val="left"/>
        <w:rPr>
          <w:rFonts w:ascii="Segoe UI" w:hAnsi="Segoe UI" w:cs="Segoe UI" w:eastAsia="Segoe UI"/>
          <w:sz w:val="32"/>
          <w:szCs w:val="32"/>
        </w:rPr>
      </w:pPr>
      <w:r>
        <w:rPr>
          <w:rFonts w:ascii="Segoe UI"/>
          <w:b/>
          <w:color w:val="452A70"/>
          <w:spacing w:val="-1"/>
          <w:sz w:val="32"/>
        </w:rPr>
        <w:t>Ultimate</w:t>
      </w:r>
      <w:r>
        <w:rPr>
          <w:rFonts w:ascii="Segoe UI"/>
          <w:b/>
          <w:color w:val="452A70"/>
          <w:sz w:val="32"/>
        </w:rPr>
        <w:t> </w:t>
      </w:r>
      <w:r>
        <w:rPr>
          <w:rFonts w:ascii="Segoe UI"/>
          <w:b/>
          <w:color w:val="452A70"/>
          <w:spacing w:val="-1"/>
          <w:sz w:val="32"/>
        </w:rPr>
        <w:t>outcome (long</w:t>
      </w:r>
      <w:r>
        <w:rPr>
          <w:rFonts w:ascii="Segoe UI"/>
          <w:b/>
          <w:color w:val="452A70"/>
          <w:spacing w:val="24"/>
          <w:sz w:val="32"/>
        </w:rPr>
        <w:t> </w:t>
      </w:r>
      <w:r>
        <w:rPr>
          <w:rFonts w:ascii="Segoe UI"/>
          <w:b/>
          <w:color w:val="452A70"/>
          <w:spacing w:val="-1"/>
          <w:sz w:val="32"/>
        </w:rPr>
        <w:t>term)</w:t>
      </w:r>
      <w:r>
        <w:rPr>
          <w:rFonts w:ascii="Segoe UI"/>
          <w:sz w:val="32"/>
        </w:rPr>
      </w:r>
    </w:p>
    <w:p>
      <w:pPr>
        <w:pStyle w:val="BodyText"/>
        <w:spacing w:line="250" w:lineRule="exact" w:before="119"/>
        <w:ind w:right="135"/>
        <w:jc w:val="left"/>
        <w:rPr>
          <w:rFonts w:ascii="Segoe UI" w:hAnsi="Segoe UI" w:cs="Segoe UI" w:eastAsia="Segoe UI"/>
        </w:rPr>
      </w:pPr>
      <w:r>
        <w:rPr>
          <w:color w:val="231F20"/>
        </w:rPr>
        <w:t>The</w:t>
      </w:r>
      <w:r>
        <w:rPr>
          <w:color w:val="231F20"/>
          <w:spacing w:val="-4"/>
        </w:rPr>
        <w:t> </w:t>
      </w:r>
      <w:r>
        <w:rPr>
          <w:color w:val="231F20"/>
        </w:rPr>
        <w:t>ultimate</w:t>
      </w:r>
      <w:r>
        <w:rPr>
          <w:color w:val="231F20"/>
          <w:spacing w:val="-4"/>
        </w:rPr>
        <w:t> </w:t>
      </w:r>
      <w:r>
        <w:rPr>
          <w:color w:val="231F20"/>
        </w:rPr>
        <w:t>goal</w:t>
      </w:r>
      <w:r>
        <w:rPr>
          <w:color w:val="231F20"/>
          <w:spacing w:val="-3"/>
        </w:rPr>
        <w:t> </w:t>
      </w:r>
      <w:r>
        <w:rPr>
          <w:color w:val="231F20"/>
          <w:spacing w:val="-1"/>
        </w:rPr>
        <w:t>is</w:t>
      </w:r>
      <w:r>
        <w:rPr>
          <w:color w:val="231F20"/>
          <w:spacing w:val="-4"/>
        </w:rPr>
        <w:t> </w:t>
      </w:r>
      <w:r>
        <w:rPr>
          <w:color w:val="231F20"/>
        </w:rPr>
        <w:t>to</w:t>
      </w:r>
      <w:r>
        <w:rPr>
          <w:color w:val="231F20"/>
          <w:spacing w:val="-4"/>
        </w:rPr>
        <w:t> </w:t>
      </w:r>
      <w:r>
        <w:rPr>
          <w:color w:val="231F20"/>
        </w:rPr>
        <w:t>achieve</w:t>
      </w:r>
      <w:r>
        <w:rPr>
          <w:color w:val="231F20"/>
          <w:spacing w:val="-4"/>
        </w:rPr>
        <w:t> </w:t>
      </w:r>
      <w:r>
        <w:rPr>
          <w:color w:val="231F20"/>
        </w:rPr>
        <w:t>equity</w:t>
      </w:r>
      <w:r>
        <w:rPr>
          <w:color w:val="231F20"/>
          <w:spacing w:val="-4"/>
        </w:rPr>
        <w:t> </w:t>
      </w:r>
      <w:r>
        <w:rPr>
          <w:color w:val="231F20"/>
          <w:spacing w:val="-1"/>
        </w:rPr>
        <w:t>in</w:t>
      </w:r>
      <w:r>
        <w:rPr>
          <w:color w:val="231F20"/>
          <w:spacing w:val="20"/>
        </w:rPr>
        <w:t> </w:t>
      </w:r>
      <w:r>
        <w:rPr>
          <w:color w:val="231F20"/>
        </w:rPr>
        <w:t>educational</w:t>
      </w:r>
      <w:r>
        <w:rPr>
          <w:color w:val="231F20"/>
          <w:spacing w:val="-6"/>
        </w:rPr>
        <w:t> </w:t>
      </w:r>
      <w:r>
        <w:rPr>
          <w:color w:val="231F20"/>
        </w:rPr>
        <w:t>outcomes</w:t>
      </w:r>
      <w:r>
        <w:rPr>
          <w:color w:val="231F20"/>
          <w:spacing w:val="-6"/>
        </w:rPr>
        <w:t> </w:t>
      </w:r>
      <w:r>
        <w:rPr>
          <w:color w:val="231F20"/>
        </w:rPr>
        <w:t>for</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w:t>
      </w:r>
      <w:r>
        <w:rPr>
          <w:color w:val="231F20"/>
          <w:spacing w:val="24"/>
          <w:w w:val="99"/>
        </w:rPr>
        <w:t> </w:t>
      </w:r>
      <w:r>
        <w:rPr>
          <w:color w:val="231F20"/>
          <w:spacing w:val="-2"/>
        </w:rPr>
        <w:t>Strait</w:t>
      </w:r>
      <w:r>
        <w:rPr>
          <w:color w:val="231F20"/>
          <w:spacing w:val="-10"/>
        </w:rPr>
        <w:t> </w:t>
      </w:r>
      <w:r>
        <w:rPr>
          <w:color w:val="231F20"/>
          <w:spacing w:val="-1"/>
        </w:rPr>
        <w:t>Islander</w:t>
      </w:r>
      <w:r>
        <w:rPr>
          <w:color w:val="231F20"/>
          <w:spacing w:val="-9"/>
        </w:rPr>
        <w:t> </w:t>
      </w:r>
      <w:r>
        <w:rPr>
          <w:color w:val="231F20"/>
          <w:spacing w:val="-1"/>
        </w:rPr>
        <w:t>secondary</w:t>
      </w:r>
      <w:r>
        <w:rPr>
          <w:color w:val="231F20"/>
          <w:spacing w:val="-8"/>
        </w:rPr>
        <w:t> </w:t>
      </w:r>
      <w:r>
        <w:rPr>
          <w:color w:val="231F20"/>
          <w:spacing w:val="-1"/>
        </w:rPr>
        <w:t>students,</w:t>
      </w:r>
      <w:r>
        <w:rPr>
          <w:color w:val="231F20"/>
          <w:spacing w:val="-8"/>
        </w:rPr>
        <w:t> </w:t>
      </w:r>
      <w:r>
        <w:rPr>
          <w:color w:val="231F20"/>
        </w:rPr>
        <w:t>‘increase</w:t>
      </w:r>
      <w:r>
        <w:rPr>
          <w:color w:val="231F20"/>
          <w:spacing w:val="29"/>
          <w:w w:val="99"/>
        </w:rPr>
        <w:t> </w:t>
      </w:r>
      <w:r>
        <w:rPr>
          <w:color w:val="231F20"/>
        </w:rPr>
        <w:t>participation</w:t>
      </w:r>
      <w:r>
        <w:rPr>
          <w:color w:val="231F20"/>
          <w:spacing w:val="-8"/>
        </w:rPr>
        <w:t> </w:t>
      </w:r>
      <w:r>
        <w:rPr>
          <w:color w:val="231F20"/>
          <w:spacing w:val="-1"/>
        </w:rPr>
        <w:t>in</w:t>
      </w:r>
      <w:r>
        <w:rPr>
          <w:color w:val="231F20"/>
          <w:spacing w:val="-7"/>
        </w:rPr>
        <w:t> </w:t>
      </w:r>
      <w:r>
        <w:rPr>
          <w:color w:val="231F20"/>
        </w:rPr>
        <w:t>further</w:t>
      </w:r>
      <w:r>
        <w:rPr>
          <w:color w:val="231F20"/>
          <w:spacing w:val="-8"/>
        </w:rPr>
        <w:t> </w:t>
      </w:r>
      <w:r>
        <w:rPr>
          <w:color w:val="231F20"/>
        </w:rPr>
        <w:t>and</w:t>
      </w:r>
      <w:r>
        <w:rPr>
          <w:color w:val="231F20"/>
          <w:spacing w:val="-7"/>
        </w:rPr>
        <w:t> </w:t>
      </w:r>
      <w:r>
        <w:rPr>
          <w:color w:val="231F20"/>
        </w:rPr>
        <w:t>higher</w:t>
      </w:r>
      <w:r>
        <w:rPr>
          <w:color w:val="231F20"/>
          <w:spacing w:val="-8"/>
        </w:rPr>
        <w:t> </w:t>
      </w:r>
      <w:r>
        <w:rPr>
          <w:color w:val="231F20"/>
        </w:rPr>
        <w:t>education</w:t>
      </w:r>
      <w:r>
        <w:rPr>
          <w:color w:val="231F20"/>
          <w:spacing w:val="21"/>
          <w:w w:val="99"/>
        </w:rPr>
        <w:t> </w:t>
      </w:r>
      <w:r>
        <w:rPr>
          <w:color w:val="231F20"/>
        </w:rPr>
        <w:t>and</w:t>
      </w:r>
      <w:r>
        <w:rPr>
          <w:color w:val="231F20"/>
          <w:spacing w:val="-4"/>
        </w:rPr>
        <w:t> </w:t>
      </w:r>
      <w:r>
        <w:rPr>
          <w:color w:val="231F20"/>
          <w:spacing w:val="-1"/>
        </w:rPr>
        <w:t>improve</w:t>
      </w:r>
      <w:r>
        <w:rPr>
          <w:color w:val="231F20"/>
          <w:spacing w:val="-3"/>
        </w:rPr>
        <w:t> </w:t>
      </w:r>
      <w:r>
        <w:rPr>
          <w:color w:val="231F20"/>
        </w:rPr>
        <w:t>employment</w:t>
      </w:r>
      <w:r>
        <w:rPr>
          <w:color w:val="231F20"/>
          <w:spacing w:val="-4"/>
        </w:rPr>
        <w:t> </w:t>
      </w:r>
      <w:r>
        <w:rPr>
          <w:color w:val="231F20"/>
          <w:spacing w:val="-1"/>
        </w:rPr>
        <w:t>prospects’</w:t>
      </w:r>
      <w:r>
        <w:rPr>
          <w:rFonts w:ascii="Segoe UI Semibold" w:hAnsi="Segoe UI Semibold" w:cs="Segoe UI Semibold" w:eastAsia="Segoe UI Semibold"/>
          <w:b/>
          <w:bCs/>
          <w:color w:val="231F20"/>
          <w:spacing w:val="-1"/>
          <w:position w:val="7"/>
          <w:sz w:val="11"/>
          <w:szCs w:val="11"/>
        </w:rPr>
        <w:t>50</w:t>
      </w:r>
      <w:r>
        <w:rPr>
          <w:color w:val="231F20"/>
          <w:spacing w:val="-1"/>
        </w:rPr>
        <w:t>.</w:t>
      </w:r>
      <w:r>
        <w:rPr>
          <w:color w:val="231F20"/>
          <w:spacing w:val="-3"/>
        </w:rPr>
        <w:t> </w:t>
      </w:r>
      <w:r>
        <w:rPr>
          <w:color w:val="231F20"/>
          <w:spacing w:val="-1"/>
        </w:rPr>
        <w:t>It</w:t>
      </w:r>
      <w:r>
        <w:rPr>
          <w:color w:val="231F20"/>
          <w:spacing w:val="-2"/>
        </w:rPr>
        <w:t> </w:t>
      </w:r>
      <w:r>
        <w:rPr>
          <w:color w:val="231F20"/>
        </w:rPr>
        <w:t>has</w:t>
      </w:r>
      <w:r>
        <w:rPr>
          <w:color w:val="231F20"/>
          <w:spacing w:val="27"/>
        </w:rPr>
        <w:t> </w:t>
      </w:r>
      <w:r>
        <w:rPr>
          <w:color w:val="231F20"/>
        </w:rPr>
        <w:t>been</w:t>
      </w:r>
      <w:r>
        <w:rPr>
          <w:color w:val="231F20"/>
          <w:spacing w:val="-4"/>
        </w:rPr>
        <w:t> </w:t>
      </w:r>
      <w:r>
        <w:rPr>
          <w:color w:val="231F20"/>
        </w:rPr>
        <w:t>well</w:t>
      </w:r>
      <w:r>
        <w:rPr>
          <w:color w:val="231F20"/>
          <w:spacing w:val="-5"/>
        </w:rPr>
        <w:t> </w:t>
      </w:r>
      <w:r>
        <w:rPr>
          <w:color w:val="231F20"/>
        </w:rPr>
        <w:t>established</w:t>
      </w:r>
      <w:r>
        <w:rPr>
          <w:color w:val="231F20"/>
          <w:spacing w:val="-4"/>
        </w:rPr>
        <w:t> </w:t>
      </w:r>
      <w:r>
        <w:rPr>
          <w:color w:val="231F20"/>
        </w:rPr>
        <w:t>that</w:t>
      </w:r>
      <w:r>
        <w:rPr>
          <w:color w:val="231F20"/>
          <w:spacing w:val="-4"/>
        </w:rPr>
        <w:t> </w:t>
      </w:r>
      <w:r>
        <w:rPr>
          <w:color w:val="231F20"/>
          <w:spacing w:val="-1"/>
        </w:rPr>
        <w:t>individuals</w:t>
      </w:r>
      <w:r>
        <w:rPr>
          <w:color w:val="231F20"/>
          <w:spacing w:val="-3"/>
        </w:rPr>
        <w:t> </w:t>
      </w:r>
      <w:r>
        <w:rPr>
          <w:color w:val="231F20"/>
        </w:rPr>
        <w:t>who</w:t>
      </w:r>
      <w:r>
        <w:rPr>
          <w:color w:val="231F20"/>
          <w:spacing w:val="22"/>
          <w:w w:val="99"/>
        </w:rPr>
        <w:t> </w:t>
      </w:r>
      <w:r>
        <w:rPr>
          <w:color w:val="231F20"/>
          <w:spacing w:val="-1"/>
        </w:rPr>
        <w:t>successfully </w:t>
      </w:r>
      <w:r>
        <w:rPr>
          <w:color w:val="231F20"/>
        </w:rPr>
        <w:t>complete</w:t>
      </w:r>
      <w:r>
        <w:rPr>
          <w:color w:val="231F20"/>
          <w:spacing w:val="-2"/>
        </w:rPr>
        <w:t> </w:t>
      </w:r>
      <w:r>
        <w:rPr>
          <w:color w:val="231F20"/>
          <w:spacing w:val="-1"/>
        </w:rPr>
        <w:t>study in </w:t>
      </w:r>
      <w:r>
        <w:rPr>
          <w:color w:val="231F20"/>
          <w:spacing w:val="-6"/>
        </w:rPr>
        <w:t>Year</w:t>
      </w:r>
      <w:r>
        <w:rPr>
          <w:color w:val="231F20"/>
          <w:spacing w:val="-2"/>
        </w:rPr>
        <w:t> </w:t>
      </w:r>
      <w:r>
        <w:rPr>
          <w:color w:val="231F20"/>
          <w:spacing w:val="-1"/>
        </w:rPr>
        <w:t>12 </w:t>
      </w:r>
      <w:r>
        <w:rPr>
          <w:color w:val="231F20"/>
        </w:rPr>
        <w:t>are</w:t>
      </w:r>
      <w:r>
        <w:rPr>
          <w:color w:val="231F20"/>
          <w:w w:val="99"/>
        </w:rPr>
        <w:t> </w:t>
      </w:r>
      <w:r>
        <w:rPr>
          <w:color w:val="231F20"/>
          <w:spacing w:val="27"/>
          <w:w w:val="99"/>
        </w:rPr>
        <w:t> </w:t>
      </w:r>
      <w:r>
        <w:rPr>
          <w:rFonts w:ascii="Segoe UI" w:hAnsi="Segoe UI" w:cs="Segoe UI" w:eastAsia="Segoe UI"/>
          <w:color w:val="231F20"/>
        </w:rPr>
        <w:t>more likely to find employment when they</w:t>
      </w:r>
      <w:r>
        <w:rPr>
          <w:rFonts w:ascii="Segoe UI" w:hAnsi="Segoe UI" w:cs="Segoe UI" w:eastAsia="Segoe UI"/>
        </w:rPr>
      </w:r>
    </w:p>
    <w:p>
      <w:pPr>
        <w:pStyle w:val="BodyText"/>
        <w:spacing w:line="250" w:lineRule="exact"/>
        <w:ind w:right="438" w:hanging="1"/>
        <w:jc w:val="left"/>
        <w:rPr>
          <w:rFonts w:ascii="Segoe UI" w:hAnsi="Segoe UI" w:cs="Segoe UI" w:eastAsia="Segoe UI"/>
        </w:rPr>
      </w:pPr>
      <w:r>
        <w:rPr>
          <w:color w:val="231F20"/>
          <w:spacing w:val="-1"/>
        </w:rPr>
        <w:t>leave</w:t>
      </w:r>
      <w:r>
        <w:rPr>
          <w:color w:val="231F20"/>
          <w:spacing w:val="-4"/>
        </w:rPr>
        <w:t> </w:t>
      </w:r>
      <w:r>
        <w:rPr>
          <w:color w:val="231F20"/>
          <w:spacing w:val="-1"/>
        </w:rPr>
        <w:t>school.</w:t>
      </w:r>
      <w:r>
        <w:rPr>
          <w:rFonts w:ascii="Segoe UI Semibold"/>
          <w:b/>
          <w:color w:val="231F20"/>
          <w:spacing w:val="-1"/>
          <w:position w:val="7"/>
          <w:sz w:val="11"/>
        </w:rPr>
        <w:t>51</w:t>
      </w:r>
      <w:r>
        <w:rPr>
          <w:rFonts w:ascii="Segoe UI Semibold"/>
          <w:b/>
          <w:color w:val="231F20"/>
          <w:spacing w:val="21"/>
          <w:position w:val="7"/>
          <w:sz w:val="11"/>
        </w:rPr>
        <w:t> </w:t>
      </w:r>
      <w:r>
        <w:rPr>
          <w:color w:val="231F20"/>
        </w:rPr>
        <w:t>The</w:t>
      </w:r>
      <w:r>
        <w:rPr>
          <w:color w:val="231F20"/>
          <w:spacing w:val="-4"/>
        </w:rPr>
        <w:t> </w:t>
      </w:r>
      <w:r>
        <w:rPr>
          <w:color w:val="231F20"/>
        </w:rPr>
        <w:t>opportunity</w:t>
      </w:r>
      <w:r>
        <w:rPr>
          <w:color w:val="231F20"/>
          <w:spacing w:val="-4"/>
        </w:rPr>
        <w:t> </w:t>
      </w:r>
      <w:r>
        <w:rPr>
          <w:color w:val="231F20"/>
        </w:rPr>
        <w:t>to</w:t>
      </w:r>
      <w:r>
        <w:rPr>
          <w:color w:val="231F20"/>
          <w:spacing w:val="-3"/>
        </w:rPr>
        <w:t> </w:t>
      </w:r>
      <w:r>
        <w:rPr>
          <w:color w:val="231F20"/>
          <w:spacing w:val="-1"/>
        </w:rPr>
        <w:t>learn</w:t>
      </w:r>
      <w:r>
        <w:rPr>
          <w:color w:val="231F20"/>
          <w:spacing w:val="-4"/>
        </w:rPr>
        <w:t> </w:t>
      </w:r>
      <w:r>
        <w:rPr>
          <w:color w:val="231F20"/>
        </w:rPr>
        <w:t>for</w:t>
      </w:r>
      <w:r>
        <w:rPr>
          <w:color w:val="231F20"/>
          <w:spacing w:val="25"/>
          <w:w w:val="99"/>
        </w:rPr>
        <w:t> </w:t>
      </w:r>
      <w:r>
        <w:rPr>
          <w:color w:val="231F20"/>
          <w:spacing w:val="-1"/>
        </w:rPr>
        <w:t>many</w:t>
      </w:r>
      <w:r>
        <w:rPr>
          <w:color w:val="231F20"/>
          <w:spacing w:val="-6"/>
        </w:rPr>
        <w:t> </w:t>
      </w:r>
      <w:r>
        <w:rPr>
          <w:color w:val="231F20"/>
        </w:rPr>
        <w:t>Aboriginal</w:t>
      </w:r>
      <w:r>
        <w:rPr>
          <w:color w:val="231F20"/>
          <w:spacing w:val="-5"/>
        </w:rPr>
        <w:t> </w:t>
      </w:r>
      <w:r>
        <w:rPr>
          <w:color w:val="231F20"/>
        </w:rPr>
        <w:t>and</w:t>
      </w:r>
      <w:r>
        <w:rPr>
          <w:color w:val="231F20"/>
          <w:spacing w:val="-7"/>
        </w:rPr>
        <w:t> </w:t>
      </w:r>
      <w:r>
        <w:rPr>
          <w:color w:val="231F20"/>
          <w:spacing w:val="-5"/>
        </w:rPr>
        <w:t>Torres </w:t>
      </w:r>
      <w:r>
        <w:rPr>
          <w:color w:val="231F20"/>
          <w:spacing w:val="-2"/>
        </w:rPr>
        <w:t>Strait</w:t>
      </w:r>
      <w:r>
        <w:rPr>
          <w:color w:val="231F20"/>
          <w:spacing w:val="-7"/>
        </w:rPr>
        <w:t> </w:t>
      </w:r>
      <w:r>
        <w:rPr>
          <w:color w:val="231F20"/>
          <w:spacing w:val="-1"/>
        </w:rPr>
        <w:t>Islander</w:t>
      </w:r>
      <w:r>
        <w:rPr>
          <w:color w:val="231F20"/>
          <w:spacing w:val="20"/>
          <w:w w:val="99"/>
        </w:rPr>
        <w:t> </w:t>
      </w:r>
      <w:r>
        <w:rPr>
          <w:color w:val="231F20"/>
          <w:spacing w:val="-1"/>
        </w:rPr>
        <w:t>students</w:t>
      </w:r>
      <w:r>
        <w:rPr>
          <w:color w:val="231F20"/>
          <w:spacing w:val="-4"/>
        </w:rPr>
        <w:t> </w:t>
      </w:r>
      <w:r>
        <w:rPr>
          <w:color w:val="231F20"/>
        </w:rPr>
        <w:t>however</w:t>
      </w:r>
      <w:r>
        <w:rPr>
          <w:color w:val="231F20"/>
          <w:spacing w:val="-3"/>
        </w:rPr>
        <w:t> </w:t>
      </w:r>
      <w:r>
        <w:rPr>
          <w:color w:val="231F20"/>
          <w:spacing w:val="-1"/>
        </w:rPr>
        <w:t>is</w:t>
      </w:r>
      <w:r>
        <w:rPr>
          <w:color w:val="231F20"/>
          <w:spacing w:val="-4"/>
        </w:rPr>
        <w:t> </w:t>
      </w:r>
      <w:r>
        <w:rPr>
          <w:color w:val="231F20"/>
        </w:rPr>
        <w:t>often</w:t>
      </w:r>
      <w:r>
        <w:rPr>
          <w:color w:val="231F20"/>
          <w:spacing w:val="-5"/>
        </w:rPr>
        <w:t> </w:t>
      </w:r>
      <w:r>
        <w:rPr>
          <w:color w:val="231F20"/>
          <w:spacing w:val="-1"/>
        </w:rPr>
        <w:t>less</w:t>
      </w:r>
      <w:r>
        <w:rPr>
          <w:color w:val="231F20"/>
          <w:spacing w:val="-3"/>
        </w:rPr>
        <w:t> </w:t>
      </w:r>
      <w:r>
        <w:rPr>
          <w:color w:val="231F20"/>
        </w:rPr>
        <w:t>than</w:t>
      </w:r>
      <w:r>
        <w:rPr>
          <w:color w:val="231F20"/>
          <w:spacing w:val="-4"/>
        </w:rPr>
        <w:t> </w:t>
      </w:r>
      <w:r>
        <w:rPr>
          <w:color w:val="231F20"/>
        </w:rPr>
        <w:t>those</w:t>
      </w:r>
      <w:r>
        <w:rPr>
          <w:color w:val="231F20"/>
          <w:spacing w:val="-4"/>
        </w:rPr>
        <w:t> </w:t>
      </w:r>
      <w:r>
        <w:rPr>
          <w:color w:val="231F20"/>
        </w:rPr>
        <w:t>of</w:t>
      </w:r>
      <w:r>
        <w:rPr>
          <w:color w:val="231F20"/>
          <w:spacing w:val="24"/>
          <w:w w:val="99"/>
        </w:rPr>
        <w:t> </w:t>
      </w:r>
      <w:r>
        <w:rPr>
          <w:color w:val="231F20"/>
        </w:rPr>
        <w:t>their</w:t>
      </w:r>
      <w:r>
        <w:rPr>
          <w:color w:val="231F20"/>
          <w:spacing w:val="-14"/>
        </w:rPr>
        <w:t> </w:t>
      </w:r>
      <w:r>
        <w:rPr>
          <w:color w:val="231F20"/>
        </w:rPr>
        <w:t>non-Indigenous</w:t>
      </w:r>
      <w:r>
        <w:rPr>
          <w:color w:val="231F20"/>
          <w:spacing w:val="-13"/>
        </w:rPr>
        <w:t> </w:t>
      </w:r>
      <w:r>
        <w:rPr>
          <w:color w:val="231F20"/>
        </w:rPr>
        <w:t>counterparts,</w:t>
      </w:r>
      <w:r>
        <w:rPr>
          <w:color w:val="231F20"/>
          <w:spacing w:val="-13"/>
        </w:rPr>
        <w:t> </w:t>
      </w:r>
      <w:r>
        <w:rPr>
          <w:color w:val="231F20"/>
          <w:spacing w:val="-1"/>
        </w:rPr>
        <w:t>leading</w:t>
      </w:r>
      <w:r>
        <w:rPr>
          <w:color w:val="231F20"/>
          <w:spacing w:val="20"/>
          <w:w w:val="99"/>
        </w:rPr>
        <w:t> </w:t>
      </w:r>
      <w:r>
        <w:rPr>
          <w:rFonts w:ascii="Segoe UI"/>
          <w:color w:val="231F20"/>
        </w:rPr>
        <w:t>to a significant achievement gap in </w:t>
      </w:r>
      <w:r>
        <w:rPr>
          <w:rFonts w:ascii="Segoe UI"/>
          <w:color w:val="231F20"/>
          <w:spacing w:val="-5"/>
        </w:rPr>
        <w:t>Year</w:t>
      </w:r>
      <w:r>
        <w:rPr>
          <w:rFonts w:ascii="Segoe UI"/>
          <w:color w:val="231F20"/>
        </w:rPr>
        <w:t> 12</w:t>
      </w:r>
      <w:r>
        <w:rPr>
          <w:rFonts w:ascii="Segoe UI"/>
        </w:rPr>
      </w:r>
    </w:p>
    <w:p>
      <w:pPr>
        <w:pStyle w:val="BodyText"/>
        <w:spacing w:line="250" w:lineRule="exact"/>
        <w:ind w:right="142"/>
        <w:jc w:val="left"/>
      </w:pPr>
      <w:r>
        <w:rPr>
          <w:color w:val="231F20"/>
        </w:rPr>
        <w:t>completion</w:t>
      </w:r>
      <w:r>
        <w:rPr>
          <w:color w:val="231F20"/>
          <w:spacing w:val="-2"/>
        </w:rPr>
        <w:t> </w:t>
      </w:r>
      <w:r>
        <w:rPr>
          <w:color w:val="231F20"/>
        </w:rPr>
        <w:t>(23.8</w:t>
      </w:r>
      <w:r>
        <w:rPr>
          <w:color w:val="231F20"/>
          <w:spacing w:val="-2"/>
        </w:rPr>
        <w:t> </w:t>
      </w:r>
      <w:r>
        <w:rPr>
          <w:color w:val="231F20"/>
        </w:rPr>
        <w:t>per</w:t>
      </w:r>
      <w:r>
        <w:rPr>
          <w:color w:val="231F20"/>
          <w:spacing w:val="-1"/>
        </w:rPr>
        <w:t> </w:t>
      </w:r>
      <w:r>
        <w:rPr>
          <w:color w:val="231F20"/>
        </w:rPr>
        <w:t>cent</w:t>
      </w:r>
      <w:r>
        <w:rPr>
          <w:color w:val="231F20"/>
          <w:spacing w:val="-1"/>
        </w:rPr>
        <w:t> in 2016)</w:t>
      </w:r>
      <w:r>
        <w:rPr>
          <w:rFonts w:ascii="Segoe UI Semibold"/>
          <w:b/>
          <w:color w:val="231F20"/>
          <w:spacing w:val="-1"/>
          <w:position w:val="7"/>
          <w:sz w:val="11"/>
        </w:rPr>
        <w:t>52</w:t>
      </w:r>
      <w:r>
        <w:rPr>
          <w:color w:val="231F20"/>
          <w:spacing w:val="-1"/>
        </w:rPr>
        <w:t>. </w:t>
      </w:r>
      <w:r>
        <w:rPr>
          <w:color w:val="231F20"/>
        </w:rPr>
        <w:t>Amongst</w:t>
      </w:r>
      <w:r>
        <w:rPr>
          <w:color w:val="231F20"/>
          <w:spacing w:val="27"/>
        </w:rPr>
        <w:t> </w:t>
      </w:r>
      <w:r>
        <w:rPr>
          <w:color w:val="231F20"/>
        </w:rPr>
        <w:t>other</w:t>
      </w:r>
      <w:r>
        <w:rPr>
          <w:color w:val="231F20"/>
          <w:spacing w:val="-7"/>
        </w:rPr>
        <w:t> </w:t>
      </w:r>
      <w:r>
        <w:rPr>
          <w:color w:val="231F20"/>
          <w:spacing w:val="-1"/>
        </w:rPr>
        <w:t>measures,</w:t>
      </w:r>
      <w:r>
        <w:rPr>
          <w:color w:val="231F20"/>
          <w:spacing w:val="-6"/>
        </w:rPr>
        <w:t> </w:t>
      </w:r>
      <w:r>
        <w:rPr>
          <w:color w:val="231F20"/>
          <w:spacing w:val="-1"/>
        </w:rPr>
        <w:t>Commonwealth,</w:t>
      </w:r>
      <w:r>
        <w:rPr>
          <w:color w:val="231F20"/>
          <w:spacing w:val="-7"/>
        </w:rPr>
        <w:t> </w:t>
      </w:r>
      <w:r>
        <w:rPr>
          <w:color w:val="231F20"/>
          <w:spacing w:val="-1"/>
        </w:rPr>
        <w:t>state</w:t>
      </w:r>
      <w:r>
        <w:rPr>
          <w:color w:val="231F20"/>
          <w:spacing w:val="-6"/>
        </w:rPr>
        <w:t> </w:t>
      </w:r>
      <w:r>
        <w:rPr>
          <w:color w:val="231F20"/>
        </w:rPr>
        <w:t>and</w:t>
      </w:r>
      <w:r>
        <w:rPr>
          <w:color w:val="231F20"/>
          <w:spacing w:val="24"/>
          <w:w w:val="99"/>
        </w:rPr>
        <w:t> </w:t>
      </w:r>
      <w:r>
        <w:rPr>
          <w:color w:val="231F20"/>
        </w:rPr>
        <w:t>territory</w:t>
      </w:r>
      <w:r>
        <w:rPr>
          <w:color w:val="231F20"/>
          <w:spacing w:val="-7"/>
        </w:rPr>
        <w:t> </w:t>
      </w:r>
      <w:r>
        <w:rPr>
          <w:color w:val="231F20"/>
        </w:rPr>
        <w:t>governments</w:t>
      </w:r>
      <w:r>
        <w:rPr>
          <w:color w:val="231F20"/>
          <w:spacing w:val="-7"/>
        </w:rPr>
        <w:t> </w:t>
      </w:r>
      <w:r>
        <w:rPr>
          <w:color w:val="231F20"/>
        </w:rPr>
        <w:t>are</w:t>
      </w:r>
      <w:r>
        <w:rPr>
          <w:color w:val="231F20"/>
          <w:spacing w:val="-7"/>
        </w:rPr>
        <w:t> </w:t>
      </w:r>
      <w:r>
        <w:rPr>
          <w:color w:val="231F20"/>
        </w:rPr>
        <w:t>aiming</w:t>
      </w:r>
      <w:r>
        <w:rPr>
          <w:color w:val="231F20"/>
          <w:spacing w:val="-8"/>
        </w:rPr>
        <w:t> </w:t>
      </w:r>
      <w:r>
        <w:rPr>
          <w:color w:val="231F20"/>
        </w:rPr>
        <w:t>to</w:t>
      </w:r>
      <w:r>
        <w:rPr>
          <w:color w:val="231F20"/>
          <w:spacing w:val="-6"/>
        </w:rPr>
        <w:t> </w:t>
      </w:r>
      <w:r>
        <w:rPr>
          <w:color w:val="231F20"/>
        </w:rPr>
        <w:t>address</w:t>
      </w:r>
      <w:r>
        <w:rPr>
          <w:color w:val="231F20"/>
          <w:w w:val="99"/>
        </w:rPr>
        <w:t> </w:t>
      </w:r>
      <w:r>
        <w:rPr>
          <w:color w:val="231F20"/>
        </w:rPr>
        <w:t>this</w:t>
      </w:r>
      <w:r>
        <w:rPr>
          <w:color w:val="231F20"/>
          <w:spacing w:val="-4"/>
        </w:rPr>
        <w:t> </w:t>
      </w:r>
      <w:r>
        <w:rPr>
          <w:color w:val="231F20"/>
          <w:spacing w:val="-1"/>
        </w:rPr>
        <w:t>issue</w:t>
      </w:r>
      <w:r>
        <w:rPr>
          <w:color w:val="231F20"/>
          <w:spacing w:val="-3"/>
        </w:rPr>
        <w:t> </w:t>
      </w:r>
      <w:r>
        <w:rPr>
          <w:color w:val="231F20"/>
        </w:rPr>
        <w:t>by</w:t>
      </w:r>
      <w:r>
        <w:rPr>
          <w:color w:val="231F20"/>
          <w:spacing w:val="-3"/>
        </w:rPr>
        <w:t> </w:t>
      </w:r>
      <w:r>
        <w:rPr>
          <w:color w:val="231F20"/>
          <w:spacing w:val="-1"/>
        </w:rPr>
        <w:t>investing</w:t>
      </w:r>
      <w:r>
        <w:rPr>
          <w:color w:val="231F20"/>
          <w:spacing w:val="-3"/>
        </w:rPr>
        <w:t> </w:t>
      </w:r>
      <w:r>
        <w:rPr>
          <w:color w:val="231F20"/>
          <w:spacing w:val="-1"/>
        </w:rPr>
        <w:t>in</w:t>
      </w:r>
      <w:r>
        <w:rPr>
          <w:color w:val="231F20"/>
          <w:spacing w:val="-3"/>
        </w:rPr>
        <w:t> </w:t>
      </w:r>
      <w:r>
        <w:rPr>
          <w:color w:val="231F20"/>
          <w:spacing w:val="-1"/>
        </w:rPr>
        <w:t>support</w:t>
      </w:r>
      <w:r>
        <w:rPr>
          <w:color w:val="231F20"/>
          <w:spacing w:val="-3"/>
        </w:rPr>
        <w:t> </w:t>
      </w:r>
      <w:r>
        <w:rPr>
          <w:color w:val="231F20"/>
        </w:rPr>
        <w:t>for</w:t>
      </w:r>
      <w:r>
        <w:rPr>
          <w:color w:val="231F20"/>
          <w:spacing w:val="-3"/>
        </w:rPr>
        <w:t> </w:t>
      </w:r>
      <w:r>
        <w:rPr>
          <w:color w:val="231F20"/>
        </w:rPr>
        <w:t>Aboriginal</w:t>
      </w:r>
      <w:r>
        <w:rPr>
          <w:color w:val="231F20"/>
          <w:spacing w:val="25"/>
          <w:w w:val="99"/>
        </w:rPr>
        <w:t> </w:t>
      </w:r>
      <w:r>
        <w:rPr>
          <w:color w:val="231F20"/>
        </w:rPr>
        <w:t>and</w:t>
      </w:r>
      <w:r>
        <w:rPr>
          <w:color w:val="231F20"/>
          <w:spacing w:val="-5"/>
        </w:rPr>
        <w:t> 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4"/>
        </w:rPr>
        <w:t> </w:t>
      </w:r>
      <w:r>
        <w:rPr>
          <w:color w:val="231F20"/>
          <w:spacing w:val="-1"/>
        </w:rPr>
        <w:t>secondary</w:t>
      </w:r>
      <w:r>
        <w:rPr>
          <w:color w:val="231F20"/>
          <w:spacing w:val="-4"/>
        </w:rPr>
        <w:t> </w:t>
      </w:r>
      <w:r>
        <w:rPr>
          <w:color w:val="231F20"/>
          <w:spacing w:val="-1"/>
        </w:rPr>
        <w:t>students</w:t>
      </w:r>
      <w:r>
        <w:rPr>
          <w:color w:val="231F20"/>
          <w:spacing w:val="-4"/>
        </w:rPr>
        <w:t> </w:t>
      </w:r>
      <w:r>
        <w:rPr>
          <w:color w:val="231F20"/>
        </w:rPr>
        <w:t>to</w:t>
      </w:r>
      <w:r>
        <w:rPr>
          <w:color w:val="231F20"/>
          <w:spacing w:val="25"/>
          <w:w w:val="99"/>
        </w:rPr>
        <w:t> </w:t>
      </w:r>
      <w:r>
        <w:rPr>
          <w:color w:val="231F20"/>
        </w:rPr>
        <w:t>attend</w:t>
      </w:r>
      <w:r>
        <w:rPr>
          <w:color w:val="231F20"/>
          <w:spacing w:val="-10"/>
        </w:rPr>
        <w:t> </w:t>
      </w:r>
      <w:r>
        <w:rPr>
          <w:color w:val="231F20"/>
        </w:rPr>
        <w:t>boarding.</w:t>
      </w:r>
      <w:r>
        <w:rPr>
          <w:color w:val="231F20"/>
          <w:spacing w:val="-9"/>
        </w:rPr>
        <w:t> </w:t>
      </w:r>
      <w:r>
        <w:rPr>
          <w:color w:val="231F20"/>
          <w:spacing w:val="-1"/>
        </w:rPr>
        <w:t>Increasing</w:t>
      </w:r>
      <w:r>
        <w:rPr>
          <w:color w:val="231F20"/>
          <w:spacing w:val="-8"/>
        </w:rPr>
        <w:t> </w:t>
      </w:r>
      <w:r>
        <w:rPr>
          <w:color w:val="231F20"/>
          <w:spacing w:val="-1"/>
        </w:rPr>
        <w:t>school</w:t>
      </w:r>
      <w:r>
        <w:rPr>
          <w:color w:val="231F20"/>
          <w:spacing w:val="-9"/>
        </w:rPr>
        <w:t> </w:t>
      </w:r>
      <w:r>
        <w:rPr>
          <w:color w:val="231F20"/>
        </w:rPr>
        <w:t>attendance</w:t>
      </w:r>
      <w:r>
        <w:rPr>
          <w:color w:val="231F20"/>
          <w:spacing w:val="23"/>
          <w:w w:val="99"/>
        </w:rPr>
        <w:t> </w:t>
      </w:r>
      <w:r>
        <w:rPr>
          <w:color w:val="231F20"/>
          <w:spacing w:val="-1"/>
        </w:rPr>
        <w:t>improves</w:t>
      </w:r>
      <w:r>
        <w:rPr>
          <w:color w:val="231F20"/>
          <w:spacing w:val="-5"/>
        </w:rPr>
        <w:t> </w:t>
      </w:r>
      <w:r>
        <w:rPr>
          <w:color w:val="231F20"/>
        </w:rPr>
        <w:t>educational</w:t>
      </w:r>
      <w:r>
        <w:rPr>
          <w:color w:val="231F20"/>
          <w:spacing w:val="-6"/>
        </w:rPr>
        <w:t> </w:t>
      </w:r>
      <w:r>
        <w:rPr>
          <w:color w:val="231F20"/>
        </w:rPr>
        <w:t>and</w:t>
      </w:r>
      <w:r>
        <w:rPr>
          <w:color w:val="231F20"/>
          <w:spacing w:val="-5"/>
        </w:rPr>
        <w:t> </w:t>
      </w:r>
      <w:r>
        <w:rPr>
          <w:color w:val="231F20"/>
        </w:rPr>
        <w:t>employment</w:t>
      </w:r>
      <w:r>
        <w:rPr>
          <w:color w:val="231F20"/>
          <w:spacing w:val="22"/>
        </w:rPr>
        <w:t> </w:t>
      </w:r>
      <w:r>
        <w:rPr>
          <w:color w:val="231F20"/>
        </w:rPr>
        <w:t>outcomes.</w:t>
      </w:r>
      <w:r>
        <w:rPr/>
      </w:r>
    </w:p>
    <w:p>
      <w:pPr>
        <w:spacing w:after="0" w:line="250" w:lineRule="exact"/>
        <w:jc w:val="left"/>
        <w:sectPr>
          <w:type w:val="continuous"/>
          <w:pgSz w:w="11910" w:h="16840"/>
          <w:pgMar w:top="1580" w:bottom="280" w:left="1300" w:right="1640"/>
          <w:cols w:num="2" w:equalWidth="0">
            <w:col w:w="4244" w:space="291"/>
            <w:col w:w="4435"/>
          </w:cols>
        </w:sectPr>
      </w:pPr>
    </w:p>
    <w:p>
      <w:pPr>
        <w:spacing w:line="240" w:lineRule="auto" w:before="0"/>
        <w:rPr>
          <w:rFonts w:ascii="Segoe UI" w:hAnsi="Segoe UI" w:cs="Segoe UI" w:eastAsia="Segoe UI"/>
          <w:sz w:val="20"/>
          <w:szCs w:val="20"/>
        </w:rPr>
      </w:pPr>
    </w:p>
    <w:p>
      <w:pPr>
        <w:spacing w:line="240" w:lineRule="auto" w:before="11"/>
        <w:rPr>
          <w:rFonts w:ascii="Segoe UI" w:hAnsi="Segoe UI" w:cs="Segoe UI" w:eastAsia="Segoe UI"/>
          <w:sz w:val="20"/>
          <w:szCs w:val="20"/>
        </w:rPr>
      </w:pPr>
    </w:p>
    <w:p>
      <w:pPr>
        <w:spacing w:after="0" w:line="240" w:lineRule="auto"/>
        <w:rPr>
          <w:rFonts w:ascii="Segoe UI" w:hAnsi="Segoe UI" w:cs="Segoe UI" w:eastAsia="Segoe UI"/>
          <w:sz w:val="20"/>
          <w:szCs w:val="20"/>
        </w:rPr>
        <w:sectPr>
          <w:pgSz w:w="11910" w:h="16840"/>
          <w:pgMar w:header="0" w:footer="691" w:top="1580" w:bottom="880" w:left="1600" w:right="1300"/>
        </w:sectPr>
      </w:pPr>
    </w:p>
    <w:p>
      <w:pPr>
        <w:spacing w:line="360" w:lineRule="exact" w:before="71"/>
        <w:ind w:left="100" w:right="0" w:firstLine="0"/>
        <w:jc w:val="left"/>
        <w:rPr>
          <w:rFonts w:ascii="Segoe UI" w:hAnsi="Segoe UI" w:cs="Segoe UI" w:eastAsia="Segoe UI"/>
          <w:sz w:val="32"/>
          <w:szCs w:val="32"/>
        </w:rPr>
      </w:pPr>
      <w:r>
        <w:rPr>
          <w:rFonts w:ascii="Segoe UI"/>
          <w:b/>
          <w:color w:val="452A70"/>
          <w:spacing w:val="-1"/>
          <w:sz w:val="32"/>
        </w:rPr>
        <w:t>Intermediate</w:t>
      </w:r>
      <w:r>
        <w:rPr>
          <w:rFonts w:ascii="Segoe UI"/>
          <w:b/>
          <w:color w:val="452A70"/>
          <w:spacing w:val="-3"/>
          <w:sz w:val="32"/>
        </w:rPr>
        <w:t> </w:t>
      </w:r>
      <w:r>
        <w:rPr>
          <w:rFonts w:ascii="Segoe UI"/>
          <w:b/>
          <w:color w:val="452A70"/>
          <w:spacing w:val="-1"/>
          <w:sz w:val="32"/>
        </w:rPr>
        <w:t>outcomes</w:t>
      </w:r>
      <w:r>
        <w:rPr>
          <w:rFonts w:ascii="Segoe UI"/>
          <w:b/>
          <w:color w:val="452A70"/>
          <w:spacing w:val="25"/>
          <w:sz w:val="32"/>
        </w:rPr>
        <w:t> </w:t>
      </w:r>
      <w:r>
        <w:rPr>
          <w:rFonts w:ascii="Segoe UI"/>
          <w:b/>
          <w:color w:val="452A70"/>
          <w:spacing w:val="-1"/>
          <w:sz w:val="32"/>
        </w:rPr>
        <w:t>(short/medium</w:t>
      </w:r>
      <w:r>
        <w:rPr>
          <w:rFonts w:ascii="Segoe UI"/>
          <w:b/>
          <w:color w:val="452A70"/>
          <w:spacing w:val="-3"/>
          <w:sz w:val="32"/>
        </w:rPr>
        <w:t> </w:t>
      </w:r>
      <w:r>
        <w:rPr>
          <w:rFonts w:ascii="Segoe UI"/>
          <w:b/>
          <w:color w:val="452A70"/>
          <w:spacing w:val="-1"/>
          <w:sz w:val="32"/>
        </w:rPr>
        <w:t>term)</w:t>
      </w:r>
      <w:r>
        <w:rPr>
          <w:rFonts w:ascii="Segoe UI"/>
          <w:sz w:val="32"/>
        </w:rPr>
      </w:r>
    </w:p>
    <w:p>
      <w:pPr>
        <w:pStyle w:val="BodyText"/>
        <w:spacing w:line="250" w:lineRule="exact" w:before="119"/>
        <w:ind w:left="100" w:right="6"/>
        <w:jc w:val="left"/>
        <w:rPr>
          <w:rFonts w:ascii="Segoe UI" w:hAnsi="Segoe UI" w:cs="Segoe UI" w:eastAsia="Segoe UI"/>
        </w:rPr>
      </w:pPr>
      <w:r>
        <w:rPr>
          <w:color w:val="231F20"/>
        </w:rPr>
        <w:t>Although</w:t>
      </w:r>
      <w:r>
        <w:rPr>
          <w:color w:val="231F20"/>
          <w:spacing w:val="-6"/>
        </w:rPr>
        <w:t> </w:t>
      </w:r>
      <w:r>
        <w:rPr>
          <w:color w:val="231F20"/>
        </w:rPr>
        <w:t>a</w:t>
      </w:r>
      <w:r>
        <w:rPr>
          <w:color w:val="231F20"/>
          <w:spacing w:val="-5"/>
        </w:rPr>
        <w:t> </w:t>
      </w:r>
      <w:r>
        <w:rPr>
          <w:color w:val="231F20"/>
        </w:rPr>
        <w:t>number</w:t>
      </w:r>
      <w:r>
        <w:rPr>
          <w:color w:val="231F20"/>
          <w:spacing w:val="-7"/>
        </w:rPr>
        <w:t> </w:t>
      </w:r>
      <w:r>
        <w:rPr>
          <w:color w:val="231F20"/>
        </w:rPr>
        <w:t>of</w:t>
      </w:r>
      <w:r>
        <w:rPr>
          <w:color w:val="231F20"/>
          <w:spacing w:val="-5"/>
        </w:rPr>
        <w:t> </w:t>
      </w:r>
      <w:r>
        <w:rPr>
          <w:color w:val="231F20"/>
        </w:rPr>
        <w:t>factors</w:t>
      </w:r>
      <w:r>
        <w:rPr>
          <w:color w:val="231F20"/>
          <w:spacing w:val="-6"/>
        </w:rPr>
        <w:t> </w:t>
      </w:r>
      <w:r>
        <w:rPr>
          <w:color w:val="231F20"/>
        </w:rPr>
        <w:t>can</w:t>
      </w:r>
      <w:r>
        <w:rPr>
          <w:color w:val="231F20"/>
          <w:spacing w:val="-5"/>
        </w:rPr>
        <w:t> </w:t>
      </w:r>
      <w:r>
        <w:rPr>
          <w:color w:val="231F20"/>
        </w:rPr>
        <w:t>contribute</w:t>
      </w:r>
      <w:r>
        <w:rPr>
          <w:color w:val="231F20"/>
          <w:spacing w:val="-6"/>
        </w:rPr>
        <w:t> </w:t>
      </w:r>
      <w:r>
        <w:rPr>
          <w:color w:val="231F20"/>
        </w:rPr>
        <w:t>to</w:t>
      </w:r>
      <w:r>
        <w:rPr>
          <w:color w:val="231F20"/>
          <w:w w:val="99"/>
        </w:rPr>
        <w:t> </w:t>
      </w:r>
      <w:r>
        <w:rPr>
          <w:color w:val="231F20"/>
          <w:spacing w:val="-1"/>
        </w:rPr>
        <w:t>improved</w:t>
      </w:r>
      <w:r>
        <w:rPr>
          <w:color w:val="231F20"/>
          <w:spacing w:val="-10"/>
        </w:rPr>
        <w:t> </w:t>
      </w:r>
      <w:r>
        <w:rPr>
          <w:color w:val="231F20"/>
        </w:rPr>
        <w:t>educational</w:t>
      </w:r>
      <w:r>
        <w:rPr>
          <w:color w:val="231F20"/>
          <w:spacing w:val="-11"/>
        </w:rPr>
        <w:t> </w:t>
      </w:r>
      <w:r>
        <w:rPr>
          <w:color w:val="231F20"/>
        </w:rPr>
        <w:t>outcomes,</w:t>
      </w:r>
      <w:r>
        <w:rPr>
          <w:color w:val="231F20"/>
          <w:spacing w:val="-10"/>
        </w:rPr>
        <w:t> </w:t>
      </w:r>
      <w:r>
        <w:rPr>
          <w:color w:val="231F20"/>
        </w:rPr>
        <w:t>the</w:t>
      </w:r>
      <w:r>
        <w:rPr>
          <w:color w:val="231F20"/>
          <w:spacing w:val="-10"/>
        </w:rPr>
        <w:t> </w:t>
      </w:r>
      <w:r>
        <w:rPr>
          <w:color w:val="231F20"/>
          <w:spacing w:val="-1"/>
        </w:rPr>
        <w:t>investment</w:t>
      </w:r>
      <w:r>
        <w:rPr>
          <w:color w:val="231F20"/>
          <w:spacing w:val="21"/>
        </w:rPr>
        <w:t> </w:t>
      </w:r>
      <w:r>
        <w:rPr>
          <w:color w:val="231F20"/>
          <w:spacing w:val="-1"/>
        </w:rPr>
        <w:t>in</w:t>
      </w:r>
      <w:r>
        <w:rPr>
          <w:color w:val="231F20"/>
          <w:spacing w:val="-4"/>
        </w:rPr>
        <w:t> </w:t>
      </w:r>
      <w:r>
        <w:rPr>
          <w:color w:val="231F20"/>
        </w:rPr>
        <w:t>boarding</w:t>
      </w:r>
      <w:r>
        <w:rPr>
          <w:color w:val="231F20"/>
          <w:spacing w:val="-5"/>
        </w:rPr>
        <w:t> </w:t>
      </w:r>
      <w:r>
        <w:rPr>
          <w:color w:val="231F20"/>
        </w:rPr>
        <w:t>provision</w:t>
      </w:r>
      <w:r>
        <w:rPr>
          <w:color w:val="231F20"/>
          <w:spacing w:val="-5"/>
        </w:rPr>
        <w:t> </w:t>
      </w:r>
      <w:r>
        <w:rPr>
          <w:color w:val="231F20"/>
        </w:rPr>
        <w:t>for</w:t>
      </w:r>
      <w:r>
        <w:rPr>
          <w:color w:val="231F20"/>
          <w:spacing w:val="-3"/>
        </w:rPr>
        <w:t> </w:t>
      </w:r>
      <w:r>
        <w:rPr>
          <w:color w:val="231F20"/>
        </w:rPr>
        <w:t>Aboriginal</w:t>
      </w:r>
      <w:r>
        <w:rPr>
          <w:color w:val="231F20"/>
          <w:spacing w:val="-4"/>
        </w:rPr>
        <w:t> </w:t>
      </w:r>
      <w:r>
        <w:rPr>
          <w:color w:val="231F20"/>
        </w:rPr>
        <w:t>and</w:t>
      </w:r>
      <w:r>
        <w:rPr>
          <w:color w:val="231F20"/>
          <w:spacing w:val="-5"/>
        </w:rPr>
        <w:t> Torres</w:t>
      </w:r>
      <w:r>
        <w:rPr>
          <w:color w:val="231F20"/>
          <w:spacing w:val="25"/>
          <w:w w:val="99"/>
        </w:rPr>
        <w:t> </w:t>
      </w:r>
      <w:r>
        <w:rPr>
          <w:color w:val="231F20"/>
          <w:spacing w:val="-2"/>
        </w:rPr>
        <w:t>Strait</w:t>
      </w:r>
      <w:r>
        <w:rPr>
          <w:color w:val="231F20"/>
          <w:spacing w:val="-7"/>
        </w:rPr>
        <w:t> </w:t>
      </w:r>
      <w:r>
        <w:rPr>
          <w:color w:val="231F20"/>
          <w:spacing w:val="-1"/>
        </w:rPr>
        <w:t>Islander</w:t>
      </w:r>
      <w:r>
        <w:rPr>
          <w:color w:val="231F20"/>
          <w:spacing w:val="-6"/>
        </w:rPr>
        <w:t> </w:t>
      </w:r>
      <w:r>
        <w:rPr>
          <w:color w:val="231F20"/>
          <w:spacing w:val="-1"/>
        </w:rPr>
        <w:t>secondary</w:t>
      </w:r>
      <w:r>
        <w:rPr>
          <w:color w:val="231F20"/>
          <w:spacing w:val="-5"/>
        </w:rPr>
        <w:t> </w:t>
      </w:r>
      <w:r>
        <w:rPr>
          <w:color w:val="231F20"/>
          <w:spacing w:val="-1"/>
        </w:rPr>
        <w:t>students</w:t>
      </w:r>
      <w:r>
        <w:rPr>
          <w:color w:val="231F20"/>
          <w:spacing w:val="-5"/>
        </w:rPr>
        <w:t> </w:t>
      </w:r>
      <w:r>
        <w:rPr>
          <w:color w:val="231F20"/>
        </w:rPr>
        <w:t>targets</w:t>
      </w:r>
      <w:r>
        <w:rPr>
          <w:color w:val="231F20"/>
          <w:spacing w:val="-7"/>
        </w:rPr>
        <w:t> </w:t>
      </w:r>
      <w:r>
        <w:rPr>
          <w:color w:val="231F20"/>
        </w:rPr>
        <w:t>the</w:t>
      </w:r>
      <w:r>
        <w:rPr>
          <w:color w:val="231F20"/>
          <w:spacing w:val="29"/>
          <w:w w:val="99"/>
        </w:rPr>
        <w:t> </w:t>
      </w:r>
      <w:r>
        <w:rPr>
          <w:rFonts w:ascii="Segoe UI"/>
          <w:color w:val="231F20"/>
        </w:rPr>
        <w:t>following specifically:</w:t>
      </w:r>
      <w:r>
        <w:rPr>
          <w:rFonts w:ascii="Segoe UI"/>
        </w:rPr>
      </w:r>
    </w:p>
    <w:p>
      <w:pPr>
        <w:pStyle w:val="BodyText"/>
        <w:spacing w:line="250" w:lineRule="exact" w:before="113"/>
        <w:ind w:left="327" w:right="0" w:hanging="227"/>
        <w:jc w:val="left"/>
      </w:pPr>
      <w:r>
        <w:rPr>
          <w:rFonts w:ascii="Century Gothic" w:hAnsi="Century Gothic"/>
          <w:color w:val="231F20"/>
        </w:rPr>
        <w:t>» </w:t>
      </w:r>
      <w:r>
        <w:rPr>
          <w:rFonts w:ascii="Century Gothic" w:hAnsi="Century Gothic"/>
          <w:color w:val="231F20"/>
          <w:spacing w:val="17"/>
        </w:rPr>
        <w:t> </w:t>
      </w:r>
      <w:r>
        <w:rPr>
          <w:color w:val="231F20"/>
          <w:spacing w:val="-1"/>
        </w:rPr>
        <w:t>increased</w:t>
      </w:r>
      <w:r>
        <w:rPr>
          <w:color w:val="231F20"/>
          <w:spacing w:val="-5"/>
        </w:rPr>
        <w:t> </w:t>
      </w:r>
      <w:r>
        <w:rPr>
          <w:color w:val="231F20"/>
        </w:rPr>
        <w:t>access</w:t>
      </w:r>
      <w:r>
        <w:rPr>
          <w:color w:val="231F20"/>
          <w:spacing w:val="-6"/>
        </w:rPr>
        <w:t> </w:t>
      </w:r>
      <w:r>
        <w:rPr>
          <w:color w:val="231F20"/>
        </w:rPr>
        <w:t>to</w:t>
      </w:r>
      <w:r>
        <w:rPr>
          <w:color w:val="231F20"/>
          <w:spacing w:val="-5"/>
        </w:rPr>
        <w:t> </w:t>
      </w:r>
      <w:r>
        <w:rPr>
          <w:color w:val="231F20"/>
        </w:rPr>
        <w:t>educational</w:t>
      </w:r>
      <w:r>
        <w:rPr>
          <w:color w:val="231F20"/>
          <w:spacing w:val="-6"/>
        </w:rPr>
        <w:t> </w:t>
      </w:r>
      <w:r>
        <w:rPr>
          <w:color w:val="231F20"/>
        </w:rPr>
        <w:t>opportunities</w:t>
      </w:r>
      <w:r>
        <w:rPr>
          <w:color w:val="231F20"/>
          <w:spacing w:val="22"/>
          <w:w w:val="99"/>
        </w:rPr>
        <w:t> </w:t>
      </w:r>
      <w:r>
        <w:rPr>
          <w:color w:val="231F20"/>
        </w:rPr>
        <w:t>or</w:t>
      </w:r>
      <w:r>
        <w:rPr>
          <w:color w:val="231F20"/>
          <w:spacing w:val="-9"/>
        </w:rPr>
        <w:t> </w:t>
      </w:r>
      <w:r>
        <w:rPr>
          <w:color w:val="231F20"/>
        </w:rPr>
        <w:t>educational</w:t>
      </w:r>
      <w:r>
        <w:rPr>
          <w:color w:val="231F20"/>
          <w:spacing w:val="-10"/>
        </w:rPr>
        <w:t> </w:t>
      </w:r>
      <w:r>
        <w:rPr>
          <w:color w:val="231F20"/>
        </w:rPr>
        <w:t>choice</w:t>
      </w:r>
      <w:r>
        <w:rPr/>
      </w:r>
    </w:p>
    <w:p>
      <w:pPr>
        <w:pStyle w:val="BodyText"/>
        <w:spacing w:line="250" w:lineRule="exact" w:before="113"/>
        <w:ind w:left="327" w:right="0" w:hanging="227"/>
        <w:jc w:val="left"/>
      </w:pPr>
      <w:r>
        <w:rPr>
          <w:rFonts w:ascii="Century Gothic" w:hAnsi="Century Gothic"/>
          <w:color w:val="231F20"/>
        </w:rPr>
        <w:t>» </w:t>
      </w:r>
      <w:r>
        <w:rPr>
          <w:rFonts w:ascii="Century Gothic" w:hAnsi="Century Gothic"/>
          <w:color w:val="231F20"/>
          <w:spacing w:val="19"/>
        </w:rPr>
        <w:t> </w:t>
      </w:r>
      <w:r>
        <w:rPr>
          <w:color w:val="231F20"/>
          <w:spacing w:val="-1"/>
        </w:rPr>
        <w:t>increased</w:t>
      </w:r>
      <w:r>
        <w:rPr>
          <w:color w:val="231F20"/>
          <w:spacing w:val="-5"/>
        </w:rPr>
        <w:t> </w:t>
      </w:r>
      <w:r>
        <w:rPr>
          <w:color w:val="231F20"/>
          <w:spacing w:val="-1"/>
        </w:rPr>
        <w:t>school</w:t>
      </w:r>
      <w:r>
        <w:rPr>
          <w:color w:val="231F20"/>
          <w:spacing w:val="-5"/>
        </w:rPr>
        <w:t> </w:t>
      </w:r>
      <w:r>
        <w:rPr>
          <w:color w:val="231F20"/>
        </w:rPr>
        <w:t>attendance</w:t>
      </w:r>
      <w:r>
        <w:rPr>
          <w:color w:val="231F20"/>
          <w:spacing w:val="-6"/>
        </w:rPr>
        <w:t> </w:t>
      </w:r>
      <w:r>
        <w:rPr>
          <w:color w:val="231F20"/>
        </w:rPr>
        <w:t>and</w:t>
      </w:r>
      <w:r>
        <w:rPr>
          <w:color w:val="231F20"/>
          <w:spacing w:val="-5"/>
        </w:rPr>
        <w:t> </w:t>
      </w:r>
      <w:r>
        <w:rPr>
          <w:color w:val="231F20"/>
        </w:rPr>
        <w:t>retention</w:t>
      </w:r>
      <w:r>
        <w:rPr>
          <w:color w:val="231F20"/>
          <w:spacing w:val="23"/>
          <w:w w:val="99"/>
        </w:rPr>
        <w:t> </w:t>
      </w:r>
      <w:r>
        <w:rPr>
          <w:color w:val="231F20"/>
        </w:rPr>
        <w:t>(reduced</w:t>
      </w:r>
      <w:r>
        <w:rPr>
          <w:color w:val="231F20"/>
          <w:spacing w:val="-11"/>
        </w:rPr>
        <w:t> </w:t>
      </w:r>
      <w:r>
        <w:rPr>
          <w:color w:val="231F20"/>
        </w:rPr>
        <w:t>dropout</w:t>
      </w:r>
      <w:r>
        <w:rPr>
          <w:color w:val="231F20"/>
          <w:spacing w:val="-11"/>
        </w:rPr>
        <w:t> </w:t>
      </w:r>
      <w:r>
        <w:rPr>
          <w:color w:val="231F20"/>
        </w:rPr>
        <w:t>rates)</w:t>
      </w:r>
      <w:r>
        <w:rPr/>
      </w:r>
    </w:p>
    <w:p>
      <w:pPr>
        <w:pStyle w:val="BodyText"/>
        <w:spacing w:line="240" w:lineRule="auto" w:before="97"/>
        <w:ind w:left="100" w:right="6"/>
        <w:jc w:val="left"/>
      </w:pPr>
      <w:r>
        <w:rPr>
          <w:rFonts w:ascii="Century Gothic" w:hAnsi="Century Gothic"/>
          <w:color w:val="231F20"/>
        </w:rPr>
        <w:t>» </w:t>
      </w:r>
      <w:r>
        <w:rPr>
          <w:rFonts w:ascii="Century Gothic" w:hAnsi="Century Gothic"/>
          <w:color w:val="231F20"/>
          <w:spacing w:val="20"/>
        </w:rPr>
        <w:t> </w:t>
      </w:r>
      <w:r>
        <w:rPr>
          <w:color w:val="231F20"/>
          <w:spacing w:val="-1"/>
        </w:rPr>
        <w:t>increased</w:t>
      </w:r>
      <w:r>
        <w:rPr>
          <w:color w:val="231F20"/>
          <w:spacing w:val="-5"/>
        </w:rPr>
        <w:t> </w:t>
      </w:r>
      <w:r>
        <w:rPr>
          <w:color w:val="231F20"/>
          <w:spacing w:val="-1"/>
        </w:rPr>
        <w:t>literacy</w:t>
      </w:r>
      <w:r>
        <w:rPr>
          <w:color w:val="231F20"/>
          <w:spacing w:val="-4"/>
        </w:rPr>
        <w:t> </w:t>
      </w:r>
      <w:r>
        <w:rPr>
          <w:color w:val="231F20"/>
        </w:rPr>
        <w:t>and</w:t>
      </w:r>
      <w:r>
        <w:rPr>
          <w:color w:val="231F20"/>
          <w:spacing w:val="-5"/>
        </w:rPr>
        <w:t> </w:t>
      </w:r>
      <w:r>
        <w:rPr>
          <w:color w:val="231F20"/>
        </w:rPr>
        <w:t>numeracy</w:t>
      </w:r>
      <w:r>
        <w:rPr>
          <w:color w:val="231F20"/>
          <w:spacing w:val="-5"/>
        </w:rPr>
        <w:t> </w:t>
      </w:r>
      <w:r>
        <w:rPr>
          <w:color w:val="231F20"/>
          <w:spacing w:val="-1"/>
        </w:rPr>
        <w:t>skills</w:t>
      </w:r>
      <w:r>
        <w:rPr/>
      </w:r>
    </w:p>
    <w:p>
      <w:pPr>
        <w:pStyle w:val="BodyText"/>
        <w:spacing w:line="240" w:lineRule="auto" w:before="97"/>
        <w:ind w:left="100" w:right="6"/>
        <w:jc w:val="left"/>
      </w:pPr>
      <w:r>
        <w:rPr>
          <w:rFonts w:ascii="Century Gothic" w:hAnsi="Century Gothic"/>
          <w:color w:val="231F20"/>
        </w:rPr>
        <w:t>» </w:t>
      </w:r>
      <w:r>
        <w:rPr>
          <w:rFonts w:ascii="Century Gothic" w:hAnsi="Century Gothic"/>
          <w:color w:val="231F20"/>
          <w:spacing w:val="19"/>
        </w:rPr>
        <w:t> </w:t>
      </w:r>
      <w:r>
        <w:rPr>
          <w:color w:val="231F20"/>
          <w:spacing w:val="-1"/>
        </w:rPr>
        <w:t>increased</w:t>
      </w:r>
      <w:r>
        <w:rPr>
          <w:color w:val="231F20"/>
          <w:spacing w:val="-4"/>
        </w:rPr>
        <w:t> </w:t>
      </w:r>
      <w:r>
        <w:rPr>
          <w:color w:val="231F20"/>
        </w:rPr>
        <w:t>year</w:t>
      </w:r>
      <w:r>
        <w:rPr>
          <w:color w:val="231F20"/>
          <w:spacing w:val="-5"/>
        </w:rPr>
        <w:t> </w:t>
      </w:r>
      <w:r>
        <w:rPr>
          <w:color w:val="231F20"/>
          <w:spacing w:val="-1"/>
        </w:rPr>
        <w:t>12</w:t>
      </w:r>
      <w:r>
        <w:rPr>
          <w:color w:val="231F20"/>
          <w:spacing w:val="-4"/>
        </w:rPr>
        <w:t> </w:t>
      </w:r>
      <w:r>
        <w:rPr>
          <w:color w:val="231F20"/>
        </w:rPr>
        <w:t>or</w:t>
      </w:r>
      <w:r>
        <w:rPr>
          <w:color w:val="231F20"/>
          <w:spacing w:val="-5"/>
        </w:rPr>
        <w:t> </w:t>
      </w:r>
      <w:r>
        <w:rPr>
          <w:color w:val="231F20"/>
        </w:rPr>
        <w:t>equivalent</w:t>
      </w:r>
      <w:r>
        <w:rPr>
          <w:color w:val="231F20"/>
          <w:spacing w:val="-5"/>
        </w:rPr>
        <w:t> </w:t>
      </w:r>
      <w:r>
        <w:rPr>
          <w:color w:val="231F20"/>
        </w:rPr>
        <w:t>attainment</w:t>
      </w:r>
      <w:r>
        <w:rPr/>
      </w:r>
    </w:p>
    <w:p>
      <w:pPr>
        <w:pStyle w:val="BodyText"/>
        <w:spacing w:line="250" w:lineRule="exact" w:before="113"/>
        <w:ind w:left="327" w:right="436" w:hanging="227"/>
        <w:jc w:val="left"/>
      </w:pPr>
      <w:r>
        <w:rPr>
          <w:rFonts w:ascii="Century Gothic" w:hAnsi="Century Gothic"/>
          <w:color w:val="231F20"/>
        </w:rPr>
        <w:t>» </w:t>
      </w:r>
      <w:r>
        <w:rPr>
          <w:rFonts w:ascii="Century Gothic" w:hAnsi="Century Gothic"/>
          <w:color w:val="231F20"/>
          <w:spacing w:val="19"/>
        </w:rPr>
        <w:t> </w:t>
      </w:r>
      <w:r>
        <w:rPr>
          <w:color w:val="231F20"/>
          <w:spacing w:val="-1"/>
        </w:rPr>
        <w:t>improved</w:t>
      </w:r>
      <w:r>
        <w:rPr>
          <w:color w:val="231F20"/>
          <w:spacing w:val="-4"/>
        </w:rPr>
        <w:t> </w:t>
      </w:r>
      <w:r>
        <w:rPr>
          <w:color w:val="231F20"/>
        </w:rPr>
        <w:t>resilience,</w:t>
      </w:r>
      <w:r>
        <w:rPr>
          <w:color w:val="231F20"/>
          <w:spacing w:val="-6"/>
        </w:rPr>
        <w:t> </w:t>
      </w:r>
      <w:r>
        <w:rPr>
          <w:color w:val="231F20"/>
        </w:rPr>
        <w:t>health,</w:t>
      </w:r>
      <w:r>
        <w:rPr>
          <w:color w:val="231F20"/>
          <w:spacing w:val="-6"/>
        </w:rPr>
        <w:t> </w:t>
      </w:r>
      <w:r>
        <w:rPr>
          <w:color w:val="231F20"/>
        </w:rPr>
        <w:t>wellbeing</w:t>
      </w:r>
      <w:r>
        <w:rPr>
          <w:color w:val="231F20"/>
          <w:spacing w:val="22"/>
          <w:w w:val="99"/>
        </w:rPr>
        <w:t> </w:t>
      </w:r>
      <w:r>
        <w:rPr>
          <w:color w:val="231F20"/>
        </w:rPr>
        <w:t>and</w:t>
      </w:r>
      <w:r>
        <w:rPr>
          <w:color w:val="231F20"/>
          <w:spacing w:val="-9"/>
        </w:rPr>
        <w:t> </w:t>
      </w:r>
      <w:r>
        <w:rPr>
          <w:color w:val="231F20"/>
          <w:spacing w:val="-1"/>
        </w:rPr>
        <w:t>safety</w:t>
      </w:r>
      <w:r>
        <w:rPr/>
      </w:r>
    </w:p>
    <w:p>
      <w:pPr>
        <w:pStyle w:val="BodyText"/>
        <w:spacing w:line="250" w:lineRule="exact" w:before="113"/>
        <w:ind w:left="327" w:right="271" w:hanging="227"/>
        <w:jc w:val="left"/>
      </w:pPr>
      <w:r>
        <w:rPr>
          <w:rFonts w:ascii="Century Gothic" w:hAnsi="Century Gothic"/>
          <w:color w:val="231F20"/>
        </w:rPr>
        <w:t>» </w:t>
      </w:r>
      <w:r>
        <w:rPr>
          <w:rFonts w:ascii="Century Gothic" w:hAnsi="Century Gothic"/>
          <w:color w:val="231F20"/>
          <w:spacing w:val="24"/>
        </w:rPr>
        <w:t> </w:t>
      </w:r>
      <w:r>
        <w:rPr>
          <w:color w:val="231F20"/>
        </w:rPr>
        <w:t>greater</w:t>
      </w:r>
      <w:r>
        <w:rPr>
          <w:color w:val="231F20"/>
          <w:spacing w:val="-4"/>
        </w:rPr>
        <w:t> </w:t>
      </w:r>
      <w:r>
        <w:rPr>
          <w:color w:val="231F20"/>
          <w:spacing w:val="-1"/>
        </w:rPr>
        <w:t>social</w:t>
      </w:r>
      <w:r>
        <w:rPr>
          <w:color w:val="231F20"/>
          <w:spacing w:val="-2"/>
        </w:rPr>
        <w:t> </w:t>
      </w:r>
      <w:r>
        <w:rPr>
          <w:color w:val="231F20"/>
          <w:spacing w:val="-1"/>
        </w:rPr>
        <w:t>skills</w:t>
      </w:r>
      <w:r>
        <w:rPr>
          <w:color w:val="231F20"/>
          <w:spacing w:val="-3"/>
        </w:rPr>
        <w:t> </w:t>
      </w:r>
      <w:r>
        <w:rPr>
          <w:color w:val="231F20"/>
        </w:rPr>
        <w:t>and</w:t>
      </w:r>
      <w:r>
        <w:rPr>
          <w:color w:val="231F20"/>
          <w:spacing w:val="-4"/>
        </w:rPr>
        <w:t> </w:t>
      </w:r>
      <w:r>
        <w:rPr>
          <w:color w:val="231F20"/>
        </w:rPr>
        <w:t>the</w:t>
      </w:r>
      <w:r>
        <w:rPr>
          <w:color w:val="231F20"/>
          <w:spacing w:val="-3"/>
        </w:rPr>
        <w:t> </w:t>
      </w:r>
      <w:r>
        <w:rPr>
          <w:color w:val="231F20"/>
        </w:rPr>
        <w:t>ability</w:t>
      </w:r>
      <w:r>
        <w:rPr>
          <w:color w:val="231F20"/>
          <w:spacing w:val="-4"/>
        </w:rPr>
        <w:t> </w:t>
      </w:r>
      <w:r>
        <w:rPr>
          <w:color w:val="231F20"/>
        </w:rPr>
        <w:t>to</w:t>
      </w:r>
      <w:r>
        <w:rPr>
          <w:color w:val="231F20"/>
          <w:spacing w:val="-2"/>
        </w:rPr>
        <w:t> </w:t>
      </w:r>
      <w:r>
        <w:rPr>
          <w:color w:val="231F20"/>
        </w:rPr>
        <w:t>walk</w:t>
      </w:r>
      <w:r>
        <w:rPr>
          <w:color w:val="231F20"/>
          <w:spacing w:val="23"/>
          <w:w w:val="99"/>
        </w:rPr>
        <w:t> </w:t>
      </w:r>
      <w:r>
        <w:rPr>
          <w:color w:val="231F20"/>
          <w:spacing w:val="-1"/>
        </w:rPr>
        <w:t>in</w:t>
      </w:r>
      <w:r>
        <w:rPr>
          <w:color w:val="231F20"/>
          <w:spacing w:val="-5"/>
        </w:rPr>
        <w:t> </w:t>
      </w:r>
      <w:r>
        <w:rPr>
          <w:color w:val="231F20"/>
        </w:rPr>
        <w:t>two</w:t>
      </w:r>
      <w:r>
        <w:rPr>
          <w:color w:val="231F20"/>
          <w:spacing w:val="-5"/>
        </w:rPr>
        <w:t> </w:t>
      </w:r>
      <w:r>
        <w:rPr>
          <w:color w:val="231F20"/>
        </w:rPr>
        <w:t>worlds</w:t>
      </w:r>
      <w:r>
        <w:rPr/>
      </w:r>
    </w:p>
    <w:p>
      <w:pPr>
        <w:pStyle w:val="BodyText"/>
        <w:spacing w:line="250" w:lineRule="exact" w:before="113"/>
        <w:ind w:left="327" w:right="0" w:hanging="227"/>
        <w:jc w:val="left"/>
      </w:pPr>
      <w:r>
        <w:rPr>
          <w:rFonts w:ascii="Century Gothic" w:hAnsi="Century Gothic"/>
          <w:color w:val="231F20"/>
        </w:rPr>
        <w:t>» </w:t>
      </w:r>
      <w:r>
        <w:rPr>
          <w:rFonts w:ascii="Century Gothic" w:hAnsi="Century Gothic"/>
          <w:color w:val="231F20"/>
          <w:spacing w:val="22"/>
        </w:rPr>
        <w:t> </w:t>
      </w:r>
      <w:r>
        <w:rPr>
          <w:color w:val="231F20"/>
          <w:spacing w:val="-1"/>
        </w:rPr>
        <w:t>increased</w:t>
      </w:r>
      <w:r>
        <w:rPr>
          <w:color w:val="231F20"/>
          <w:spacing w:val="-3"/>
        </w:rPr>
        <w:t> </w:t>
      </w:r>
      <w:r>
        <w:rPr>
          <w:color w:val="231F20"/>
        </w:rPr>
        <w:t>community</w:t>
      </w:r>
      <w:r>
        <w:rPr>
          <w:color w:val="231F20"/>
          <w:spacing w:val="-5"/>
        </w:rPr>
        <w:t> </w:t>
      </w:r>
      <w:r>
        <w:rPr>
          <w:color w:val="231F20"/>
        </w:rPr>
        <w:t>capability,</w:t>
      </w:r>
      <w:r>
        <w:rPr>
          <w:color w:val="231F20"/>
          <w:spacing w:val="-4"/>
        </w:rPr>
        <w:t> </w:t>
      </w:r>
      <w:r>
        <w:rPr>
          <w:color w:val="231F20"/>
          <w:spacing w:val="-1"/>
        </w:rPr>
        <w:t>social</w:t>
      </w:r>
      <w:r>
        <w:rPr>
          <w:color w:val="231F20"/>
          <w:spacing w:val="21"/>
        </w:rPr>
        <w:t> </w:t>
      </w:r>
      <w:r>
        <w:rPr>
          <w:color w:val="231F20"/>
        </w:rPr>
        <w:t>cohesion</w:t>
      </w:r>
      <w:r>
        <w:rPr>
          <w:color w:val="231F20"/>
          <w:spacing w:val="-8"/>
        </w:rPr>
        <w:t> </w:t>
      </w:r>
      <w:r>
        <w:rPr>
          <w:color w:val="231F20"/>
        </w:rPr>
        <w:t>and</w:t>
      </w:r>
      <w:r>
        <w:rPr>
          <w:color w:val="231F20"/>
          <w:spacing w:val="-7"/>
        </w:rPr>
        <w:t> </w:t>
      </w:r>
      <w:r>
        <w:rPr>
          <w:color w:val="231F20"/>
          <w:spacing w:val="-1"/>
        </w:rPr>
        <w:t>self-determination</w:t>
      </w:r>
      <w:r>
        <w:rPr>
          <w:rFonts w:ascii="Segoe UI Semibold" w:hAnsi="Segoe UI Semibold"/>
          <w:b/>
          <w:color w:val="231F20"/>
          <w:spacing w:val="-1"/>
          <w:position w:val="7"/>
          <w:sz w:val="11"/>
        </w:rPr>
        <w:t>53</w:t>
      </w:r>
      <w:r>
        <w:rPr>
          <w:color w:val="231F20"/>
          <w:spacing w:val="-1"/>
        </w:rPr>
        <w:t>.</w:t>
      </w:r>
      <w:r>
        <w:rPr/>
      </w:r>
    </w:p>
    <w:p>
      <w:pPr>
        <w:pStyle w:val="BodyText"/>
        <w:spacing w:line="250" w:lineRule="exact" w:before="113"/>
        <w:ind w:left="100" w:right="0"/>
        <w:jc w:val="left"/>
        <w:rPr>
          <w:rFonts w:ascii="Segoe UI Semibold" w:hAnsi="Segoe UI Semibold" w:cs="Segoe UI Semibold" w:eastAsia="Segoe UI Semibold"/>
          <w:sz w:val="11"/>
          <w:szCs w:val="11"/>
        </w:rPr>
      </w:pPr>
      <w:r>
        <w:rPr>
          <w:color w:val="231F20"/>
        </w:rPr>
        <w:t>These</w:t>
      </w:r>
      <w:r>
        <w:rPr>
          <w:color w:val="231F20"/>
          <w:spacing w:val="-7"/>
        </w:rPr>
        <w:t> </w:t>
      </w:r>
      <w:r>
        <w:rPr>
          <w:color w:val="231F20"/>
        </w:rPr>
        <w:t>therefore</w:t>
      </w:r>
      <w:r>
        <w:rPr>
          <w:color w:val="231F20"/>
          <w:spacing w:val="-7"/>
        </w:rPr>
        <w:t> </w:t>
      </w:r>
      <w:r>
        <w:rPr>
          <w:color w:val="231F20"/>
        </w:rPr>
        <w:t>form</w:t>
      </w:r>
      <w:r>
        <w:rPr>
          <w:color w:val="231F20"/>
          <w:spacing w:val="-6"/>
        </w:rPr>
        <w:t> </w:t>
      </w:r>
      <w:r>
        <w:rPr>
          <w:color w:val="231F20"/>
        </w:rPr>
        <w:t>the</w:t>
      </w:r>
      <w:r>
        <w:rPr>
          <w:color w:val="231F20"/>
          <w:spacing w:val="-7"/>
        </w:rPr>
        <w:t> </w:t>
      </w:r>
      <w:r>
        <w:rPr>
          <w:color w:val="231F20"/>
          <w:spacing w:val="-1"/>
        </w:rPr>
        <w:t>key</w:t>
      </w:r>
      <w:r>
        <w:rPr>
          <w:color w:val="231F20"/>
          <w:spacing w:val="-6"/>
        </w:rPr>
        <w:t> </w:t>
      </w:r>
      <w:r>
        <w:rPr>
          <w:color w:val="231F20"/>
          <w:spacing w:val="-1"/>
        </w:rPr>
        <w:t>intermediate</w:t>
      </w:r>
      <w:r>
        <w:rPr>
          <w:color w:val="231F20"/>
          <w:spacing w:val="21"/>
          <w:w w:val="99"/>
        </w:rPr>
        <w:t> </w:t>
      </w:r>
      <w:r>
        <w:rPr>
          <w:color w:val="231F20"/>
        </w:rPr>
        <w:t>outcomes</w:t>
      </w:r>
      <w:r>
        <w:rPr>
          <w:color w:val="231F20"/>
          <w:spacing w:val="-3"/>
        </w:rPr>
        <w:t> </w:t>
      </w:r>
      <w:r>
        <w:rPr>
          <w:color w:val="231F20"/>
          <w:spacing w:val="-1"/>
        </w:rPr>
        <w:t>in</w:t>
      </w:r>
      <w:r>
        <w:rPr>
          <w:color w:val="231F20"/>
          <w:spacing w:val="-2"/>
        </w:rPr>
        <w:t> </w:t>
      </w:r>
      <w:r>
        <w:rPr>
          <w:color w:val="231F20"/>
        </w:rPr>
        <w:t>our</w:t>
      </w:r>
      <w:r>
        <w:rPr>
          <w:color w:val="231F20"/>
          <w:spacing w:val="-2"/>
        </w:rPr>
        <w:t> </w:t>
      </w:r>
      <w:r>
        <w:rPr>
          <w:color w:val="231F20"/>
        </w:rPr>
        <w:t>theory</w:t>
      </w:r>
      <w:r>
        <w:rPr>
          <w:color w:val="231F20"/>
          <w:spacing w:val="-3"/>
        </w:rPr>
        <w:t> </w:t>
      </w:r>
      <w:r>
        <w:rPr>
          <w:color w:val="231F20"/>
        </w:rPr>
        <w:t>of</w:t>
      </w:r>
      <w:r>
        <w:rPr>
          <w:color w:val="231F20"/>
          <w:spacing w:val="-2"/>
        </w:rPr>
        <w:t> </w:t>
      </w:r>
      <w:r>
        <w:rPr>
          <w:color w:val="231F20"/>
          <w:spacing w:val="-1"/>
        </w:rPr>
        <w:t>change.</w:t>
      </w:r>
      <w:r>
        <w:rPr>
          <w:rFonts w:ascii="Segoe UI Semibold"/>
          <w:b/>
          <w:color w:val="231F20"/>
          <w:spacing w:val="-1"/>
          <w:position w:val="7"/>
          <w:sz w:val="11"/>
        </w:rPr>
        <w:t>54</w:t>
      </w:r>
      <w:r>
        <w:rPr>
          <w:rFonts w:ascii="Segoe UI Semibold"/>
          <w:sz w:val="11"/>
        </w:rPr>
      </w:r>
    </w:p>
    <w:p>
      <w:pPr>
        <w:pStyle w:val="BodyText"/>
        <w:spacing w:line="250" w:lineRule="exact" w:before="113"/>
        <w:ind w:left="100" w:right="436"/>
        <w:jc w:val="left"/>
      </w:pPr>
      <w:r>
        <w:rPr>
          <w:color w:val="231F20"/>
        </w:rPr>
        <w:t>The</w:t>
      </w:r>
      <w:r>
        <w:rPr>
          <w:color w:val="231F20"/>
          <w:spacing w:val="-7"/>
        </w:rPr>
        <w:t> </w:t>
      </w:r>
      <w:r>
        <w:rPr>
          <w:color w:val="231F20"/>
          <w:spacing w:val="-1"/>
        </w:rPr>
        <w:t>literature</w:t>
      </w:r>
      <w:r>
        <w:rPr>
          <w:color w:val="231F20"/>
          <w:spacing w:val="-7"/>
        </w:rPr>
        <w:t> </w:t>
      </w:r>
      <w:r>
        <w:rPr>
          <w:color w:val="231F20"/>
        </w:rPr>
        <w:t>and</w:t>
      </w:r>
      <w:r>
        <w:rPr>
          <w:color w:val="231F20"/>
          <w:spacing w:val="-7"/>
        </w:rPr>
        <w:t> </w:t>
      </w:r>
      <w:r>
        <w:rPr>
          <w:color w:val="231F20"/>
        </w:rPr>
        <w:t>available</w:t>
      </w:r>
      <w:r>
        <w:rPr>
          <w:color w:val="231F20"/>
          <w:spacing w:val="-7"/>
        </w:rPr>
        <w:t> </w:t>
      </w:r>
      <w:r>
        <w:rPr>
          <w:color w:val="231F20"/>
        </w:rPr>
        <w:t>evidence</w:t>
      </w:r>
      <w:r>
        <w:rPr>
          <w:color w:val="231F20"/>
          <w:spacing w:val="-8"/>
        </w:rPr>
        <w:t> </w:t>
      </w:r>
      <w:r>
        <w:rPr>
          <w:color w:val="231F20"/>
        </w:rPr>
        <w:t>on</w:t>
      </w:r>
      <w:r>
        <w:rPr>
          <w:color w:val="231F20"/>
          <w:spacing w:val="22"/>
          <w:w w:val="99"/>
        </w:rPr>
        <w:t> </w:t>
      </w:r>
      <w:r>
        <w:rPr>
          <w:color w:val="231F20"/>
        </w:rPr>
        <w:t>whether</w:t>
      </w:r>
      <w:r>
        <w:rPr>
          <w:color w:val="231F20"/>
          <w:spacing w:val="-8"/>
        </w:rPr>
        <w:t> </w:t>
      </w:r>
      <w:r>
        <w:rPr>
          <w:color w:val="231F20"/>
        </w:rPr>
        <w:t>boarding</w:t>
      </w:r>
      <w:r>
        <w:rPr>
          <w:color w:val="231F20"/>
          <w:spacing w:val="-7"/>
        </w:rPr>
        <w:t> </w:t>
      </w:r>
      <w:r>
        <w:rPr>
          <w:color w:val="231F20"/>
          <w:spacing w:val="-1"/>
        </w:rPr>
        <w:t>is</w:t>
      </w:r>
      <w:r>
        <w:rPr>
          <w:color w:val="231F20"/>
          <w:spacing w:val="-7"/>
        </w:rPr>
        <w:t> </w:t>
      </w:r>
      <w:r>
        <w:rPr>
          <w:color w:val="231F20"/>
        </w:rPr>
        <w:t>achieving</w:t>
      </w:r>
      <w:r>
        <w:rPr>
          <w:color w:val="231F20"/>
          <w:spacing w:val="-8"/>
        </w:rPr>
        <w:t> </w:t>
      </w:r>
      <w:r>
        <w:rPr>
          <w:color w:val="231F20"/>
          <w:spacing w:val="-1"/>
        </w:rPr>
        <w:t>its</w:t>
      </w:r>
      <w:r>
        <w:rPr>
          <w:color w:val="231F20"/>
          <w:spacing w:val="-6"/>
        </w:rPr>
        <w:t> </w:t>
      </w:r>
      <w:r>
        <w:rPr>
          <w:color w:val="231F20"/>
          <w:spacing w:val="-1"/>
        </w:rPr>
        <w:t>intended</w:t>
      </w:r>
      <w:r>
        <w:rPr>
          <w:color w:val="231F20"/>
          <w:spacing w:val="22"/>
          <w:w w:val="99"/>
        </w:rPr>
        <w:t> </w:t>
      </w:r>
      <w:r>
        <w:rPr>
          <w:color w:val="231F20"/>
        </w:rPr>
        <w:t>outcomes</w:t>
      </w:r>
      <w:r>
        <w:rPr>
          <w:color w:val="231F20"/>
          <w:spacing w:val="-2"/>
        </w:rPr>
        <w:t> </w:t>
      </w:r>
      <w:r>
        <w:rPr>
          <w:color w:val="231F20"/>
          <w:spacing w:val="-1"/>
        </w:rPr>
        <w:t>is</w:t>
      </w:r>
      <w:r>
        <w:rPr>
          <w:color w:val="231F20"/>
          <w:spacing w:val="-2"/>
        </w:rPr>
        <w:t> </w:t>
      </w:r>
      <w:r>
        <w:rPr>
          <w:color w:val="231F20"/>
          <w:spacing w:val="-1"/>
        </w:rPr>
        <w:t>limited </w:t>
      </w:r>
      <w:r>
        <w:rPr>
          <w:color w:val="231F20"/>
        </w:rPr>
        <w:t>and</w:t>
      </w:r>
      <w:r>
        <w:rPr>
          <w:color w:val="231F20"/>
          <w:spacing w:val="-2"/>
        </w:rPr>
        <w:t> </w:t>
      </w:r>
      <w:r>
        <w:rPr>
          <w:color w:val="231F20"/>
          <w:spacing w:val="-1"/>
        </w:rPr>
        <w:t>inconclusive.</w:t>
      </w:r>
      <w:r>
        <w:rPr/>
      </w:r>
    </w:p>
    <w:p>
      <w:pPr>
        <w:pStyle w:val="BodyText"/>
        <w:spacing w:line="250" w:lineRule="exact"/>
        <w:ind w:left="100" w:right="67"/>
        <w:jc w:val="left"/>
      </w:pPr>
      <w:r>
        <w:rPr>
          <w:color w:val="231F20"/>
        </w:rPr>
        <w:t>A</w:t>
      </w:r>
      <w:r>
        <w:rPr>
          <w:color w:val="231F20"/>
          <w:spacing w:val="-5"/>
        </w:rPr>
        <w:t> </w:t>
      </w:r>
      <w:r>
        <w:rPr>
          <w:color w:val="231F20"/>
        </w:rPr>
        <w:t>number</w:t>
      </w:r>
      <w:r>
        <w:rPr>
          <w:color w:val="231F20"/>
          <w:spacing w:val="-6"/>
        </w:rPr>
        <w:t> </w:t>
      </w:r>
      <w:r>
        <w:rPr>
          <w:color w:val="231F20"/>
        </w:rPr>
        <w:t>of</w:t>
      </w:r>
      <w:r>
        <w:rPr>
          <w:color w:val="231F20"/>
          <w:spacing w:val="-4"/>
        </w:rPr>
        <w:t> </w:t>
      </w:r>
      <w:r>
        <w:rPr>
          <w:color w:val="231F20"/>
        </w:rPr>
        <w:t>recent</w:t>
      </w:r>
      <w:r>
        <w:rPr>
          <w:color w:val="231F20"/>
          <w:spacing w:val="-6"/>
        </w:rPr>
        <w:t> </w:t>
      </w:r>
      <w:r>
        <w:rPr>
          <w:color w:val="231F20"/>
          <w:spacing w:val="-1"/>
        </w:rPr>
        <w:t>studies</w:t>
      </w:r>
      <w:r>
        <w:rPr>
          <w:color w:val="231F20"/>
          <w:spacing w:val="-4"/>
        </w:rPr>
        <w:t> </w:t>
      </w:r>
      <w:r>
        <w:rPr>
          <w:color w:val="231F20"/>
        </w:rPr>
        <w:t>have</w:t>
      </w:r>
      <w:r>
        <w:rPr>
          <w:color w:val="231F20"/>
          <w:spacing w:val="-6"/>
        </w:rPr>
        <w:t> </w:t>
      </w:r>
      <w:r>
        <w:rPr>
          <w:color w:val="231F20"/>
          <w:spacing w:val="-1"/>
        </w:rPr>
        <w:t>suggested</w:t>
      </w:r>
      <w:r>
        <w:rPr>
          <w:color w:val="231F20"/>
          <w:spacing w:val="21"/>
          <w:w w:val="99"/>
        </w:rPr>
        <w:t> </w:t>
      </w:r>
      <w:r>
        <w:rPr>
          <w:color w:val="231F20"/>
        </w:rPr>
        <w:t>that</w:t>
      </w:r>
      <w:r>
        <w:rPr>
          <w:color w:val="231F20"/>
          <w:spacing w:val="-7"/>
        </w:rPr>
        <w:t> </w:t>
      </w:r>
      <w:r>
        <w:rPr>
          <w:color w:val="231F20"/>
        </w:rPr>
        <w:t>boarding</w:t>
      </w:r>
      <w:r>
        <w:rPr>
          <w:color w:val="231F20"/>
          <w:spacing w:val="-7"/>
        </w:rPr>
        <w:t> </w:t>
      </w:r>
      <w:r>
        <w:rPr>
          <w:color w:val="231F20"/>
          <w:spacing w:val="-1"/>
        </w:rPr>
        <w:t>may</w:t>
      </w:r>
      <w:r>
        <w:rPr>
          <w:color w:val="231F20"/>
          <w:spacing w:val="-5"/>
        </w:rPr>
        <w:t> </w:t>
      </w:r>
      <w:r>
        <w:rPr>
          <w:color w:val="231F20"/>
        </w:rPr>
        <w:t>actually</w:t>
      </w:r>
      <w:r>
        <w:rPr>
          <w:color w:val="231F20"/>
          <w:spacing w:val="-7"/>
        </w:rPr>
        <w:t> </w:t>
      </w:r>
      <w:r>
        <w:rPr>
          <w:color w:val="231F20"/>
        </w:rPr>
        <w:t>have</w:t>
      </w:r>
      <w:r>
        <w:rPr>
          <w:color w:val="231F20"/>
          <w:spacing w:val="-6"/>
        </w:rPr>
        <w:t> </w:t>
      </w:r>
      <w:r>
        <w:rPr>
          <w:color w:val="231F20"/>
        </w:rPr>
        <w:t>negative</w:t>
      </w:r>
      <w:r>
        <w:rPr>
          <w:color w:val="231F20"/>
          <w:spacing w:val="-7"/>
        </w:rPr>
        <w:t> </w:t>
      </w:r>
      <w:r>
        <w:rPr>
          <w:color w:val="231F20"/>
        </w:rPr>
        <w:t>and</w:t>
      </w:r>
      <w:r>
        <w:rPr>
          <w:color w:val="231F20"/>
          <w:spacing w:val="21"/>
          <w:w w:val="99"/>
        </w:rPr>
        <w:t> </w:t>
      </w:r>
      <w:r>
        <w:rPr>
          <w:color w:val="231F20"/>
        </w:rPr>
        <w:t>unintended</w:t>
      </w:r>
      <w:r>
        <w:rPr>
          <w:color w:val="231F20"/>
          <w:spacing w:val="-6"/>
        </w:rPr>
        <w:t> </w:t>
      </w:r>
      <w:r>
        <w:rPr>
          <w:color w:val="231F20"/>
        </w:rPr>
        <w:t>outcomes</w:t>
      </w:r>
      <w:r>
        <w:rPr>
          <w:color w:val="231F20"/>
          <w:spacing w:val="-6"/>
        </w:rPr>
        <w:t> </w:t>
      </w:r>
      <w:r>
        <w:rPr>
          <w:color w:val="231F20"/>
        </w:rPr>
        <w:t>for</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w:t>
      </w:r>
      <w:r>
        <w:rPr>
          <w:color w:val="231F20"/>
          <w:spacing w:val="24"/>
          <w:w w:val="99"/>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boarders,</w:t>
      </w:r>
      <w:r>
        <w:rPr>
          <w:color w:val="231F20"/>
          <w:spacing w:val="-6"/>
        </w:rPr>
        <w:t> </w:t>
      </w:r>
      <w:r>
        <w:rPr>
          <w:color w:val="231F20"/>
        </w:rPr>
        <w:t>families,</w:t>
      </w:r>
      <w:r>
        <w:rPr>
          <w:color w:val="231F20"/>
          <w:spacing w:val="-7"/>
        </w:rPr>
        <w:t> </w:t>
      </w:r>
      <w:r>
        <w:rPr>
          <w:color w:val="231F20"/>
        </w:rPr>
        <w:t>culture</w:t>
      </w:r>
      <w:r>
        <w:rPr>
          <w:color w:val="231F20"/>
          <w:spacing w:val="-7"/>
        </w:rPr>
        <w:t> </w:t>
      </w:r>
      <w:r>
        <w:rPr>
          <w:color w:val="231F20"/>
        </w:rPr>
        <w:t>and</w:t>
      </w:r>
      <w:r>
        <w:rPr>
          <w:color w:val="231F20"/>
          <w:spacing w:val="27"/>
          <w:w w:val="99"/>
        </w:rPr>
        <w:t> </w:t>
      </w:r>
      <w:r>
        <w:rPr>
          <w:color w:val="231F20"/>
        </w:rPr>
        <w:t>communities.</w:t>
      </w:r>
      <w:r>
        <w:rPr>
          <w:color w:val="231F20"/>
          <w:spacing w:val="-8"/>
        </w:rPr>
        <w:t> </w:t>
      </w:r>
      <w:r>
        <w:rPr>
          <w:color w:val="231F20"/>
          <w:spacing w:val="-1"/>
        </w:rPr>
        <w:t>Potential</w:t>
      </w:r>
      <w:r>
        <w:rPr>
          <w:color w:val="231F20"/>
          <w:spacing w:val="-8"/>
        </w:rPr>
        <w:t> </w:t>
      </w:r>
      <w:r>
        <w:rPr>
          <w:color w:val="231F20"/>
        </w:rPr>
        <w:t>negative</w:t>
      </w:r>
      <w:r>
        <w:rPr>
          <w:color w:val="231F20"/>
          <w:spacing w:val="-7"/>
        </w:rPr>
        <w:t> </w:t>
      </w:r>
      <w:r>
        <w:rPr>
          <w:color w:val="231F20"/>
        </w:rPr>
        <w:t>or</w:t>
      </w:r>
      <w:r>
        <w:rPr>
          <w:color w:val="231F20"/>
          <w:spacing w:val="-7"/>
        </w:rPr>
        <w:t> </w:t>
      </w:r>
      <w:r>
        <w:rPr>
          <w:color w:val="231F20"/>
        </w:rPr>
        <w:t>unintended</w:t>
      </w:r>
      <w:r>
        <w:rPr>
          <w:color w:val="231F20"/>
          <w:spacing w:val="21"/>
          <w:w w:val="99"/>
        </w:rPr>
        <w:t> </w:t>
      </w:r>
      <w:r>
        <w:rPr>
          <w:rFonts w:ascii="Segoe UI"/>
          <w:color w:val="231F20"/>
        </w:rPr>
        <w:t>outcomes identified in the literature are</w:t>
      </w:r>
      <w:r>
        <w:rPr>
          <w:rFonts w:ascii="Segoe UI"/>
          <w:color w:val="231F20"/>
        </w:rPr>
        <w:t> </w:t>
      </w:r>
      <w:r>
        <w:rPr>
          <w:color w:val="231F20"/>
          <w:spacing w:val="-1"/>
        </w:rPr>
        <w:t>summarised</w:t>
      </w:r>
      <w:r>
        <w:rPr>
          <w:color w:val="231F20"/>
          <w:spacing w:val="-3"/>
        </w:rPr>
        <w:t> </w:t>
      </w:r>
      <w:r>
        <w:rPr>
          <w:color w:val="231F20"/>
        </w:rPr>
        <w:t>by</w:t>
      </w:r>
      <w:r>
        <w:rPr>
          <w:color w:val="231F20"/>
          <w:spacing w:val="-3"/>
        </w:rPr>
        <w:t> </w:t>
      </w:r>
      <w:r>
        <w:rPr>
          <w:color w:val="231F20"/>
        </w:rPr>
        <w:t>Guenther,</w:t>
      </w:r>
      <w:r>
        <w:rPr>
          <w:color w:val="231F20"/>
          <w:spacing w:val="-3"/>
        </w:rPr>
        <w:t> </w:t>
      </w:r>
      <w:r>
        <w:rPr>
          <w:color w:val="231F20"/>
          <w:spacing w:val="-1"/>
        </w:rPr>
        <w:t>2017</w:t>
      </w:r>
      <w:r>
        <w:rPr>
          <w:color w:val="231F20"/>
          <w:spacing w:val="-3"/>
        </w:rPr>
        <w:t> </w:t>
      </w:r>
      <w:r>
        <w:rPr>
          <w:color w:val="231F20"/>
        </w:rPr>
        <w:t>(p.</w:t>
      </w:r>
      <w:r>
        <w:rPr>
          <w:color w:val="231F20"/>
          <w:spacing w:val="-4"/>
        </w:rPr>
        <w:t> </w:t>
      </w:r>
      <w:r>
        <w:rPr>
          <w:color w:val="231F20"/>
          <w:spacing w:val="-1"/>
        </w:rPr>
        <w:t>11)</w:t>
      </w:r>
      <w:r>
        <w:rPr>
          <w:color w:val="231F20"/>
          <w:spacing w:val="-3"/>
        </w:rPr>
        <w:t> </w:t>
      </w:r>
      <w:r>
        <w:rPr>
          <w:color w:val="231F20"/>
        </w:rPr>
        <w:t>as:</w:t>
      </w:r>
      <w:r>
        <w:rPr/>
      </w:r>
    </w:p>
    <w:p>
      <w:pPr>
        <w:pStyle w:val="BodyText"/>
        <w:spacing w:line="240" w:lineRule="auto" w:before="97"/>
        <w:ind w:left="100" w:right="6"/>
        <w:jc w:val="left"/>
      </w:pPr>
      <w:r>
        <w:rPr>
          <w:rFonts w:ascii="Century Gothic" w:hAnsi="Century Gothic"/>
          <w:color w:val="231F20"/>
        </w:rPr>
        <w:t>» </w:t>
      </w:r>
      <w:r>
        <w:rPr>
          <w:rFonts w:ascii="Century Gothic" w:hAnsi="Century Gothic"/>
          <w:color w:val="231F20"/>
          <w:spacing w:val="21"/>
        </w:rPr>
        <w:t> </w:t>
      </w:r>
      <w:r>
        <w:rPr>
          <w:color w:val="231F20"/>
        </w:rPr>
        <w:t>cultural</w:t>
      </w:r>
      <w:r>
        <w:rPr>
          <w:color w:val="231F20"/>
          <w:spacing w:val="-5"/>
        </w:rPr>
        <w:t> </w:t>
      </w:r>
      <w:r>
        <w:rPr>
          <w:color w:val="231F20"/>
        </w:rPr>
        <w:t>and</w:t>
      </w:r>
      <w:r>
        <w:rPr>
          <w:color w:val="231F20"/>
          <w:spacing w:val="-4"/>
        </w:rPr>
        <w:t> </w:t>
      </w:r>
      <w:r>
        <w:rPr>
          <w:color w:val="231F20"/>
        </w:rPr>
        <w:t>community</w:t>
      </w:r>
      <w:r>
        <w:rPr>
          <w:color w:val="231F20"/>
          <w:spacing w:val="-5"/>
        </w:rPr>
        <w:t> </w:t>
      </w:r>
      <w:r>
        <w:rPr>
          <w:color w:val="231F20"/>
        </w:rPr>
        <w:t>disconnect</w:t>
      </w:r>
      <w:r>
        <w:rPr/>
      </w:r>
    </w:p>
    <w:p>
      <w:pPr>
        <w:pStyle w:val="BodyText"/>
        <w:spacing w:line="240" w:lineRule="auto" w:before="97"/>
        <w:ind w:left="100" w:right="6"/>
        <w:jc w:val="left"/>
      </w:pPr>
      <w:r>
        <w:rPr>
          <w:rFonts w:ascii="Century Gothic" w:hAnsi="Century Gothic"/>
          <w:color w:val="231F20"/>
        </w:rPr>
        <w:t>» </w:t>
      </w:r>
      <w:r>
        <w:rPr>
          <w:rFonts w:ascii="Century Gothic" w:hAnsi="Century Gothic"/>
          <w:color w:val="231F20"/>
          <w:spacing w:val="24"/>
        </w:rPr>
        <w:t> </w:t>
      </w:r>
      <w:r>
        <w:rPr>
          <w:color w:val="231F20"/>
          <w:spacing w:val="-1"/>
        </w:rPr>
        <w:t>language</w:t>
      </w:r>
      <w:r>
        <w:rPr>
          <w:color w:val="231F20"/>
          <w:spacing w:val="-3"/>
        </w:rPr>
        <w:t> </w:t>
      </w:r>
      <w:r>
        <w:rPr>
          <w:color w:val="231F20"/>
          <w:spacing w:val="-1"/>
        </w:rPr>
        <w:t>loss</w:t>
      </w:r>
      <w:r>
        <w:rPr/>
      </w:r>
    </w:p>
    <w:p>
      <w:pPr>
        <w:pStyle w:val="BodyText"/>
        <w:spacing w:line="240" w:lineRule="auto" w:before="97"/>
        <w:ind w:left="100" w:right="6"/>
        <w:jc w:val="left"/>
      </w:pPr>
      <w:r>
        <w:rPr>
          <w:rFonts w:ascii="Century Gothic" w:hAnsi="Century Gothic"/>
          <w:color w:val="231F20"/>
        </w:rPr>
        <w:t>» </w:t>
      </w:r>
      <w:r>
        <w:rPr>
          <w:rFonts w:ascii="Century Gothic" w:hAnsi="Century Gothic"/>
          <w:color w:val="231F20"/>
          <w:spacing w:val="23"/>
        </w:rPr>
        <w:t> </w:t>
      </w:r>
      <w:r>
        <w:rPr>
          <w:color w:val="231F20"/>
        </w:rPr>
        <w:t>alienation</w:t>
      </w:r>
      <w:r>
        <w:rPr>
          <w:color w:val="231F20"/>
          <w:spacing w:val="-4"/>
        </w:rPr>
        <w:t> </w:t>
      </w:r>
      <w:r>
        <w:rPr>
          <w:color w:val="231F20"/>
        </w:rPr>
        <w:t>from</w:t>
      </w:r>
      <w:r>
        <w:rPr>
          <w:color w:val="231F20"/>
          <w:spacing w:val="-4"/>
        </w:rPr>
        <w:t> </w:t>
      </w:r>
      <w:r>
        <w:rPr>
          <w:color w:val="231F20"/>
        </w:rPr>
        <w:t>family</w:t>
      </w:r>
      <w:r>
        <w:rPr/>
      </w:r>
    </w:p>
    <w:p>
      <w:pPr>
        <w:pStyle w:val="BodyText"/>
        <w:spacing w:line="240" w:lineRule="auto" w:before="97"/>
        <w:ind w:left="100" w:right="6"/>
        <w:jc w:val="left"/>
      </w:pPr>
      <w:r>
        <w:rPr>
          <w:rFonts w:ascii="Century Gothic" w:hAnsi="Century Gothic"/>
          <w:color w:val="231F20"/>
        </w:rPr>
        <w:t>» </w:t>
      </w:r>
      <w:r>
        <w:rPr>
          <w:rFonts w:ascii="Century Gothic" w:hAnsi="Century Gothic"/>
          <w:color w:val="231F20"/>
          <w:spacing w:val="30"/>
        </w:rPr>
        <w:t> </w:t>
      </w:r>
      <w:r>
        <w:rPr>
          <w:color w:val="231F20"/>
          <w:spacing w:val="-1"/>
        </w:rPr>
        <w:t>mental ill-health</w:t>
      </w:r>
      <w:r>
        <w:rPr/>
      </w:r>
    </w:p>
    <w:p>
      <w:pPr>
        <w:pStyle w:val="BodyText"/>
        <w:spacing w:line="240" w:lineRule="auto" w:before="97"/>
        <w:ind w:left="100" w:right="6"/>
        <w:jc w:val="left"/>
      </w:pPr>
      <w:r>
        <w:rPr>
          <w:rFonts w:ascii="Century Gothic" w:hAnsi="Century Gothic"/>
          <w:color w:val="231F20"/>
        </w:rPr>
        <w:t>» </w:t>
      </w:r>
      <w:r>
        <w:rPr>
          <w:rFonts w:ascii="Century Gothic" w:hAnsi="Century Gothic"/>
          <w:color w:val="231F20"/>
          <w:spacing w:val="30"/>
        </w:rPr>
        <w:t> </w:t>
      </w:r>
      <w:r>
        <w:rPr>
          <w:color w:val="231F20"/>
          <w:spacing w:val="-1"/>
        </w:rPr>
        <w:t>social </w:t>
      </w:r>
      <w:r>
        <w:rPr>
          <w:color w:val="231F20"/>
        </w:rPr>
        <w:t>distress</w:t>
      </w:r>
      <w:r>
        <w:rPr/>
      </w:r>
    </w:p>
    <w:p>
      <w:pPr>
        <w:pStyle w:val="BodyText"/>
        <w:spacing w:line="240" w:lineRule="auto" w:before="97"/>
        <w:ind w:left="100" w:right="6"/>
        <w:jc w:val="left"/>
      </w:pPr>
      <w:r>
        <w:rPr>
          <w:rFonts w:ascii="Century Gothic" w:hAnsi="Century Gothic"/>
          <w:color w:val="231F20"/>
        </w:rPr>
        <w:t>» </w:t>
      </w:r>
      <w:r>
        <w:rPr>
          <w:rFonts w:ascii="Century Gothic" w:hAnsi="Century Gothic"/>
          <w:color w:val="231F20"/>
          <w:spacing w:val="25"/>
        </w:rPr>
        <w:t> </w:t>
      </w:r>
      <w:r>
        <w:rPr>
          <w:color w:val="231F20"/>
          <w:spacing w:val="-1"/>
        </w:rPr>
        <w:t>identity</w:t>
      </w:r>
      <w:r>
        <w:rPr>
          <w:color w:val="231F20"/>
          <w:spacing w:val="-2"/>
        </w:rPr>
        <w:t> </w:t>
      </w:r>
      <w:r>
        <w:rPr>
          <w:color w:val="231F20"/>
        </w:rPr>
        <w:t>confusion</w:t>
      </w:r>
      <w:r>
        <w:rPr/>
      </w:r>
    </w:p>
    <w:p>
      <w:pPr>
        <w:pStyle w:val="BodyText"/>
        <w:spacing w:line="240" w:lineRule="auto" w:before="97"/>
        <w:ind w:left="100" w:right="6"/>
        <w:jc w:val="left"/>
      </w:pPr>
      <w:r>
        <w:rPr>
          <w:rFonts w:ascii="Century Gothic" w:hAnsi="Century Gothic"/>
          <w:color w:val="231F20"/>
        </w:rPr>
        <w:t>» </w:t>
      </w:r>
      <w:r>
        <w:rPr>
          <w:rFonts w:ascii="Century Gothic" w:hAnsi="Century Gothic"/>
          <w:color w:val="231F20"/>
          <w:spacing w:val="23"/>
        </w:rPr>
        <w:t> </w:t>
      </w:r>
      <w:r>
        <w:rPr>
          <w:color w:val="231F20"/>
        </w:rPr>
        <w:t>criminal</w:t>
      </w:r>
      <w:r>
        <w:rPr>
          <w:color w:val="231F20"/>
          <w:spacing w:val="-4"/>
        </w:rPr>
        <w:t> </w:t>
      </w:r>
      <w:r>
        <w:rPr>
          <w:color w:val="231F20"/>
        </w:rPr>
        <w:t>behaviour.</w:t>
      </w:r>
      <w:r>
        <w:rPr/>
      </w:r>
    </w:p>
    <w:p>
      <w:pPr>
        <w:spacing w:before="14"/>
        <w:ind w:left="100" w:right="0" w:firstLine="0"/>
        <w:jc w:val="left"/>
        <w:rPr>
          <w:rFonts w:ascii="Segoe UI" w:hAnsi="Segoe UI" w:cs="Segoe UI" w:eastAsia="Segoe UI"/>
          <w:sz w:val="32"/>
          <w:szCs w:val="32"/>
        </w:rPr>
      </w:pPr>
      <w:r>
        <w:rPr/>
        <w:br w:type="column"/>
      </w:r>
      <w:r>
        <w:rPr>
          <w:rFonts w:ascii="Segoe UI"/>
          <w:b/>
          <w:color w:val="452A70"/>
          <w:spacing w:val="-1"/>
          <w:sz w:val="32"/>
        </w:rPr>
        <w:t>Outputs/activities</w:t>
      </w:r>
      <w:r>
        <w:rPr>
          <w:rFonts w:ascii="Segoe UI"/>
          <w:sz w:val="32"/>
        </w:rPr>
      </w:r>
    </w:p>
    <w:p>
      <w:pPr>
        <w:pStyle w:val="BodyText"/>
        <w:spacing w:line="250" w:lineRule="exact" w:before="111"/>
        <w:ind w:left="100" w:right="116"/>
        <w:jc w:val="left"/>
      </w:pPr>
      <w:r>
        <w:rPr>
          <w:color w:val="231F20"/>
        </w:rPr>
        <w:t>Activities</w:t>
      </w:r>
      <w:r>
        <w:rPr>
          <w:color w:val="231F20"/>
          <w:spacing w:val="-5"/>
        </w:rPr>
        <w:t> </w:t>
      </w:r>
      <w:r>
        <w:rPr>
          <w:color w:val="231F20"/>
        </w:rPr>
        <w:t>and</w:t>
      </w:r>
      <w:r>
        <w:rPr>
          <w:color w:val="231F20"/>
          <w:spacing w:val="-4"/>
        </w:rPr>
        <w:t> </w:t>
      </w:r>
      <w:r>
        <w:rPr>
          <w:color w:val="231F20"/>
        </w:rPr>
        <w:t>outputs</w:t>
      </w:r>
      <w:r>
        <w:rPr>
          <w:color w:val="231F20"/>
          <w:spacing w:val="-5"/>
        </w:rPr>
        <w:t> </w:t>
      </w:r>
      <w:r>
        <w:rPr>
          <w:color w:val="231F20"/>
          <w:spacing w:val="-1"/>
        </w:rPr>
        <w:t>in</w:t>
      </w:r>
      <w:r>
        <w:rPr>
          <w:color w:val="231F20"/>
          <w:spacing w:val="-3"/>
        </w:rPr>
        <w:t> </w:t>
      </w:r>
      <w:r>
        <w:rPr>
          <w:color w:val="231F20"/>
        </w:rPr>
        <w:t>boarding</w:t>
      </w:r>
      <w:r>
        <w:rPr>
          <w:color w:val="231F20"/>
          <w:spacing w:val="-5"/>
        </w:rPr>
        <w:t> </w:t>
      </w:r>
      <w:r>
        <w:rPr>
          <w:color w:val="231F20"/>
        </w:rPr>
        <w:t>provision</w:t>
      </w:r>
      <w:r>
        <w:rPr>
          <w:color w:val="231F20"/>
          <w:spacing w:val="-4"/>
        </w:rPr>
        <w:t> </w:t>
      </w:r>
      <w:r>
        <w:rPr>
          <w:color w:val="231F20"/>
        </w:rPr>
        <w:t>for</w:t>
      </w:r>
      <w:r>
        <w:rPr>
          <w:color w:val="231F20"/>
          <w:spacing w:val="21"/>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8"/>
        </w:rPr>
        <w:t> </w:t>
      </w:r>
      <w:r>
        <w:rPr>
          <w:color w:val="231F20"/>
          <w:spacing w:val="-1"/>
        </w:rPr>
        <w:t>Islander</w:t>
      </w:r>
      <w:r>
        <w:rPr>
          <w:color w:val="231F20"/>
          <w:spacing w:val="-6"/>
        </w:rPr>
        <w:t> </w:t>
      </w:r>
      <w:r>
        <w:rPr>
          <w:color w:val="231F20"/>
          <w:spacing w:val="-1"/>
        </w:rPr>
        <w:t>secondary</w:t>
      </w:r>
      <w:r>
        <w:rPr>
          <w:color w:val="231F20"/>
          <w:spacing w:val="20"/>
          <w:w w:val="99"/>
        </w:rPr>
        <w:t> </w:t>
      </w:r>
      <w:r>
        <w:rPr>
          <w:color w:val="231F20"/>
          <w:spacing w:val="-1"/>
        </w:rPr>
        <w:t>students</w:t>
      </w:r>
      <w:r>
        <w:rPr>
          <w:color w:val="231F20"/>
          <w:spacing w:val="-4"/>
        </w:rPr>
        <w:t> </w:t>
      </w:r>
      <w:r>
        <w:rPr>
          <w:color w:val="231F20"/>
        </w:rPr>
        <w:t>can</w:t>
      </w:r>
      <w:r>
        <w:rPr>
          <w:color w:val="231F20"/>
          <w:spacing w:val="-3"/>
        </w:rPr>
        <w:t> </w:t>
      </w:r>
      <w:r>
        <w:rPr>
          <w:color w:val="231F20"/>
        </w:rPr>
        <w:t>be</w:t>
      </w:r>
      <w:r>
        <w:rPr>
          <w:color w:val="231F20"/>
          <w:spacing w:val="-3"/>
        </w:rPr>
        <w:t> </w:t>
      </w:r>
      <w:r>
        <w:rPr>
          <w:color w:val="231F20"/>
        </w:rPr>
        <w:t>viewed</w:t>
      </w:r>
      <w:r>
        <w:rPr>
          <w:color w:val="231F20"/>
          <w:spacing w:val="-4"/>
        </w:rPr>
        <w:t> </w:t>
      </w:r>
      <w:r>
        <w:rPr>
          <w:color w:val="231F20"/>
        </w:rPr>
        <w:t>through</w:t>
      </w:r>
      <w:r>
        <w:rPr>
          <w:color w:val="231F20"/>
          <w:spacing w:val="-4"/>
        </w:rPr>
        <w:t> </w:t>
      </w:r>
      <w:r>
        <w:rPr>
          <w:color w:val="231F20"/>
        </w:rPr>
        <w:t>the</w:t>
      </w:r>
      <w:r>
        <w:rPr>
          <w:color w:val="231F20"/>
          <w:spacing w:val="-4"/>
        </w:rPr>
        <w:t> </w:t>
      </w:r>
      <w:r>
        <w:rPr>
          <w:color w:val="231F20"/>
          <w:spacing w:val="-1"/>
        </w:rPr>
        <w:t>lens</w:t>
      </w:r>
      <w:r>
        <w:rPr>
          <w:color w:val="231F20"/>
          <w:spacing w:val="-3"/>
        </w:rPr>
        <w:t> </w:t>
      </w:r>
      <w:r>
        <w:rPr>
          <w:color w:val="231F20"/>
        </w:rPr>
        <w:t>of</w:t>
      </w:r>
      <w:r>
        <w:rPr>
          <w:color w:val="231F20"/>
          <w:spacing w:val="-4"/>
        </w:rPr>
        <w:t> </w:t>
      </w:r>
      <w:r>
        <w:rPr>
          <w:color w:val="231F20"/>
        </w:rPr>
        <w:t>the</w:t>
      </w:r>
      <w:r>
        <w:rPr>
          <w:color w:val="231F20"/>
          <w:spacing w:val="23"/>
          <w:w w:val="99"/>
        </w:rPr>
        <w:t> </w:t>
      </w:r>
      <w:r>
        <w:rPr>
          <w:rFonts w:ascii="Segoe UI"/>
          <w:color w:val="231F20"/>
        </w:rPr>
        <w:t>four main pillars of support identified in the</w:t>
      </w:r>
      <w:r>
        <w:rPr>
          <w:rFonts w:ascii="Segoe UI"/>
          <w:color w:val="231F20"/>
        </w:rPr>
        <w:t> </w:t>
      </w:r>
      <w:r>
        <w:rPr>
          <w:color w:val="231F20"/>
          <w:spacing w:val="-2"/>
        </w:rPr>
        <w:t>Study</w:t>
      </w:r>
      <w:r>
        <w:rPr>
          <w:color w:val="231F20"/>
          <w:spacing w:val="-8"/>
        </w:rPr>
        <w:t> </w:t>
      </w:r>
      <w:r>
        <w:rPr>
          <w:color w:val="231F20"/>
          <w:spacing w:val="-1"/>
        </w:rPr>
        <w:t>Away</w:t>
      </w:r>
      <w:r>
        <w:rPr>
          <w:color w:val="231F20"/>
          <w:spacing w:val="-7"/>
        </w:rPr>
        <w:t> </w:t>
      </w:r>
      <w:r>
        <w:rPr>
          <w:color w:val="231F20"/>
          <w:spacing w:val="-1"/>
        </w:rPr>
        <w:t>Review:</w:t>
      </w:r>
      <w:r>
        <w:rPr/>
      </w:r>
    </w:p>
    <w:p>
      <w:pPr>
        <w:pStyle w:val="BodyText"/>
        <w:spacing w:line="250" w:lineRule="exact" w:before="113"/>
        <w:ind w:left="327" w:right="393" w:hanging="227"/>
        <w:jc w:val="left"/>
      </w:pPr>
      <w:r>
        <w:rPr>
          <w:rFonts w:ascii="Century Gothic" w:hAnsi="Century Gothic" w:cs="Century Gothic" w:eastAsia="Century Gothic"/>
          <w:color w:val="231F20"/>
        </w:rPr>
        <w:t>» </w:t>
      </w:r>
      <w:r>
        <w:rPr>
          <w:rFonts w:ascii="Century Gothic" w:hAnsi="Century Gothic" w:cs="Century Gothic" w:eastAsia="Century Gothic"/>
          <w:color w:val="231F20"/>
          <w:spacing w:val="22"/>
        </w:rPr>
        <w:t> </w:t>
      </w:r>
      <w:r>
        <w:rPr>
          <w:rFonts w:ascii="Segoe UI" w:hAnsi="Segoe UI" w:cs="Segoe UI" w:eastAsia="Segoe UI"/>
          <w:b/>
          <w:bCs/>
          <w:color w:val="231F20"/>
          <w:spacing w:val="-1"/>
        </w:rPr>
        <w:t>boarding</w:t>
      </w:r>
      <w:r>
        <w:rPr>
          <w:rFonts w:ascii="Segoe UI" w:hAnsi="Segoe UI" w:cs="Segoe UI" w:eastAsia="Segoe UI"/>
          <w:b/>
          <w:bCs/>
          <w:color w:val="231F20"/>
          <w:spacing w:val="-3"/>
        </w:rPr>
        <w:t> </w:t>
      </w:r>
      <w:r>
        <w:rPr>
          <w:rFonts w:ascii="Segoe UI" w:hAnsi="Segoe UI" w:cs="Segoe UI" w:eastAsia="Segoe UI"/>
          <w:b/>
          <w:bCs/>
          <w:color w:val="231F20"/>
          <w:spacing w:val="-1"/>
        </w:rPr>
        <w:t>preparation</w:t>
      </w:r>
      <w:r>
        <w:rPr>
          <w:color w:val="231F20"/>
          <w:spacing w:val="-1"/>
        </w:rPr>
        <w:t>—including</w:t>
      </w:r>
      <w:r>
        <w:rPr>
          <w:color w:val="231F20"/>
          <w:spacing w:val="-3"/>
        </w:rPr>
        <w:t> </w:t>
      </w:r>
      <w:r>
        <w:rPr>
          <w:color w:val="231F20"/>
        </w:rPr>
        <w:t>fare</w:t>
      </w:r>
      <w:r>
        <w:rPr>
          <w:color w:val="231F20"/>
          <w:spacing w:val="37"/>
          <w:w w:val="99"/>
        </w:rPr>
        <w:t> </w:t>
      </w:r>
      <w:r>
        <w:rPr>
          <w:color w:val="231F20"/>
        </w:rPr>
        <w:t>allowances,</w:t>
      </w:r>
      <w:r>
        <w:rPr>
          <w:color w:val="231F20"/>
          <w:spacing w:val="-16"/>
        </w:rPr>
        <w:t> </w:t>
      </w:r>
      <w:r>
        <w:rPr>
          <w:color w:val="231F20"/>
        </w:rPr>
        <w:t>administrative</w:t>
      </w:r>
      <w:r>
        <w:rPr>
          <w:color w:val="231F20"/>
          <w:spacing w:val="-17"/>
        </w:rPr>
        <w:t> </w:t>
      </w:r>
      <w:r>
        <w:rPr>
          <w:color w:val="231F20"/>
          <w:spacing w:val="-1"/>
        </w:rPr>
        <w:t>support,</w:t>
      </w:r>
      <w:r>
        <w:rPr>
          <w:color w:val="231F20"/>
          <w:spacing w:val="20"/>
          <w:w w:val="99"/>
        </w:rPr>
        <w:t> </w:t>
      </w:r>
      <w:r>
        <w:rPr>
          <w:color w:val="231F20"/>
        </w:rPr>
        <w:t>awareness</w:t>
      </w:r>
      <w:r>
        <w:rPr>
          <w:color w:val="231F20"/>
          <w:spacing w:val="-10"/>
        </w:rPr>
        <w:t> </w:t>
      </w:r>
      <w:r>
        <w:rPr>
          <w:color w:val="231F20"/>
        </w:rPr>
        <w:t>campaigns</w:t>
      </w:r>
      <w:r>
        <w:rPr>
          <w:color w:val="231F20"/>
          <w:spacing w:val="-9"/>
        </w:rPr>
        <w:t> </w:t>
      </w:r>
      <w:r>
        <w:rPr>
          <w:color w:val="231F20"/>
        </w:rPr>
        <w:t>and</w:t>
      </w:r>
      <w:r>
        <w:rPr>
          <w:color w:val="231F20"/>
          <w:spacing w:val="-9"/>
        </w:rPr>
        <w:t> </w:t>
      </w:r>
      <w:r>
        <w:rPr>
          <w:color w:val="231F20"/>
          <w:spacing w:val="-1"/>
        </w:rPr>
        <w:t>infrastructure</w:t>
      </w:r>
      <w:r>
        <w:rPr>
          <w:color w:val="231F20"/>
          <w:spacing w:val="20"/>
          <w:w w:val="99"/>
        </w:rPr>
        <w:t> </w:t>
      </w:r>
      <w:r>
        <w:rPr>
          <w:color w:val="231F20"/>
        </w:rPr>
        <w:t>relating</w:t>
      </w:r>
      <w:r>
        <w:rPr>
          <w:color w:val="231F20"/>
          <w:spacing w:val="-8"/>
        </w:rPr>
        <w:t> </w:t>
      </w:r>
      <w:r>
        <w:rPr>
          <w:color w:val="231F20"/>
        </w:rPr>
        <w:t>to</w:t>
      </w:r>
      <w:r>
        <w:rPr>
          <w:color w:val="231F20"/>
          <w:spacing w:val="-7"/>
        </w:rPr>
        <w:t> </w:t>
      </w:r>
      <w:r>
        <w:rPr>
          <w:color w:val="231F20"/>
        </w:rPr>
        <w:t>the</w:t>
      </w:r>
      <w:r>
        <w:rPr>
          <w:color w:val="231F20"/>
          <w:spacing w:val="-8"/>
        </w:rPr>
        <w:t> </w:t>
      </w:r>
      <w:r>
        <w:rPr>
          <w:color w:val="231F20"/>
        </w:rPr>
        <w:t>psychological</w:t>
      </w:r>
      <w:r>
        <w:rPr>
          <w:color w:val="231F20"/>
          <w:spacing w:val="-8"/>
        </w:rPr>
        <w:t> </w:t>
      </w:r>
      <w:r>
        <w:rPr>
          <w:color w:val="231F20"/>
        </w:rPr>
        <w:t>and</w:t>
      </w:r>
      <w:r>
        <w:rPr>
          <w:color w:val="231F20"/>
          <w:spacing w:val="-8"/>
        </w:rPr>
        <w:t> </w:t>
      </w:r>
      <w:r>
        <w:rPr>
          <w:color w:val="231F20"/>
        </w:rPr>
        <w:t>practical</w:t>
      </w:r>
      <w:r>
        <w:rPr>
          <w:color w:val="231F20"/>
          <w:w w:val="99"/>
        </w:rPr>
        <w:t> </w:t>
      </w:r>
      <w:r>
        <w:rPr>
          <w:color w:val="231F20"/>
        </w:rPr>
        <w:t>preparation</w:t>
      </w:r>
      <w:r>
        <w:rPr>
          <w:color w:val="231F20"/>
          <w:spacing w:val="-7"/>
        </w:rPr>
        <w:t> </w:t>
      </w:r>
      <w:r>
        <w:rPr>
          <w:color w:val="231F20"/>
        </w:rPr>
        <w:t>of</w:t>
      </w:r>
      <w:r>
        <w:rPr>
          <w:color w:val="231F20"/>
          <w:spacing w:val="-5"/>
        </w:rPr>
        <w:t> </w:t>
      </w:r>
      <w:r>
        <w:rPr>
          <w:color w:val="231F20"/>
        </w:rPr>
        <w:t>Aboriginal</w:t>
      </w:r>
      <w:r>
        <w:rPr>
          <w:color w:val="231F20"/>
          <w:spacing w:val="-6"/>
        </w:rPr>
        <w:t> </w:t>
      </w:r>
      <w:r>
        <w:rPr>
          <w:color w:val="231F20"/>
        </w:rPr>
        <w:t>and</w:t>
      </w:r>
      <w:r>
        <w:rPr>
          <w:color w:val="231F20"/>
          <w:spacing w:val="-7"/>
        </w:rPr>
        <w:t> </w:t>
      </w:r>
      <w:r>
        <w:rPr>
          <w:color w:val="231F20"/>
          <w:spacing w:val="-5"/>
        </w:rPr>
        <w:t>Torres </w:t>
      </w:r>
      <w:r>
        <w:rPr>
          <w:color w:val="231F20"/>
          <w:spacing w:val="-2"/>
        </w:rPr>
        <w:t>Strait</w:t>
      </w:r>
      <w:r>
        <w:rPr>
          <w:color w:val="231F20"/>
          <w:spacing w:val="28"/>
          <w:w w:val="99"/>
        </w:rPr>
        <w:t> </w:t>
      </w:r>
      <w:r>
        <w:rPr>
          <w:color w:val="231F20"/>
          <w:spacing w:val="-1"/>
        </w:rPr>
        <w:t>Islander</w:t>
      </w:r>
      <w:r>
        <w:rPr>
          <w:color w:val="231F20"/>
          <w:spacing w:val="-4"/>
        </w:rPr>
        <w:t> </w:t>
      </w:r>
      <w:r>
        <w:rPr>
          <w:color w:val="231F20"/>
          <w:spacing w:val="-1"/>
        </w:rPr>
        <w:t>students</w:t>
      </w:r>
      <w:r>
        <w:rPr>
          <w:color w:val="231F20"/>
          <w:spacing w:val="-4"/>
        </w:rPr>
        <w:t> </w:t>
      </w:r>
      <w:r>
        <w:rPr>
          <w:color w:val="231F20"/>
        </w:rPr>
        <w:t>for</w:t>
      </w:r>
      <w:r>
        <w:rPr>
          <w:color w:val="231F20"/>
          <w:spacing w:val="-4"/>
        </w:rPr>
        <w:t> </w:t>
      </w:r>
      <w:r>
        <w:rPr>
          <w:color w:val="231F20"/>
        </w:rPr>
        <w:t>boarding</w:t>
      </w:r>
      <w:r>
        <w:rPr>
          <w:color w:val="231F20"/>
          <w:spacing w:val="-5"/>
        </w:rPr>
        <w:t> </w:t>
      </w:r>
      <w:r>
        <w:rPr>
          <w:color w:val="231F20"/>
          <w:spacing w:val="-1"/>
        </w:rPr>
        <w:t>school</w:t>
      </w:r>
      <w:r>
        <w:rPr>
          <w:color w:val="231F20"/>
          <w:spacing w:val="-4"/>
        </w:rPr>
        <w:t> </w:t>
      </w:r>
      <w:r>
        <w:rPr>
          <w:color w:val="231F20"/>
        </w:rPr>
        <w:t>or</w:t>
      </w:r>
      <w:r>
        <w:rPr>
          <w:color w:val="231F20"/>
          <w:spacing w:val="24"/>
          <w:w w:val="99"/>
        </w:rPr>
        <w:t> </w:t>
      </w:r>
      <w:r>
        <w:rPr>
          <w:color w:val="231F20"/>
          <w:spacing w:val="-1"/>
        </w:rPr>
        <w:t>schooling</w:t>
      </w:r>
      <w:r>
        <w:rPr>
          <w:color w:val="231F20"/>
          <w:spacing w:val="-3"/>
        </w:rPr>
        <w:t> </w:t>
      </w:r>
      <w:r>
        <w:rPr>
          <w:color w:val="231F20"/>
        </w:rPr>
        <w:t>away</w:t>
      </w:r>
      <w:r>
        <w:rPr>
          <w:color w:val="231F20"/>
          <w:spacing w:val="-4"/>
        </w:rPr>
        <w:t> </w:t>
      </w:r>
      <w:r>
        <w:rPr>
          <w:color w:val="231F20"/>
        </w:rPr>
        <w:t>from</w:t>
      </w:r>
      <w:r>
        <w:rPr>
          <w:color w:val="231F20"/>
          <w:spacing w:val="-3"/>
        </w:rPr>
        <w:t> </w:t>
      </w:r>
      <w:r>
        <w:rPr>
          <w:color w:val="231F20"/>
        </w:rPr>
        <w:t>home</w:t>
      </w:r>
      <w:r>
        <w:rPr/>
      </w:r>
    </w:p>
    <w:p>
      <w:pPr>
        <w:pStyle w:val="BodyText"/>
        <w:spacing w:line="250" w:lineRule="exact" w:before="113"/>
        <w:ind w:left="327" w:right="140" w:hanging="227"/>
        <w:jc w:val="left"/>
      </w:pPr>
      <w:r>
        <w:rPr>
          <w:rFonts w:ascii="Century Gothic" w:hAnsi="Century Gothic" w:cs="Century Gothic" w:eastAsia="Century Gothic"/>
          <w:color w:val="231F20"/>
        </w:rPr>
        <w:t>» </w:t>
      </w:r>
      <w:r>
        <w:rPr>
          <w:rFonts w:ascii="Century Gothic" w:hAnsi="Century Gothic" w:cs="Century Gothic" w:eastAsia="Century Gothic"/>
          <w:color w:val="231F20"/>
          <w:spacing w:val="19"/>
        </w:rPr>
        <w:t> </w:t>
      </w:r>
      <w:r>
        <w:rPr>
          <w:rFonts w:ascii="Segoe UI" w:hAnsi="Segoe UI" w:cs="Segoe UI" w:eastAsia="Segoe UI"/>
          <w:b/>
          <w:bCs/>
          <w:color w:val="231F20"/>
        </w:rPr>
        <w:t>student</w:t>
      </w:r>
      <w:r>
        <w:rPr>
          <w:rFonts w:ascii="Segoe UI" w:hAnsi="Segoe UI" w:cs="Segoe UI" w:eastAsia="Segoe UI"/>
          <w:b/>
          <w:bCs/>
          <w:color w:val="231F20"/>
          <w:spacing w:val="-5"/>
        </w:rPr>
        <w:t> </w:t>
      </w:r>
      <w:r>
        <w:rPr>
          <w:rFonts w:ascii="Segoe UI" w:hAnsi="Segoe UI" w:cs="Segoe UI" w:eastAsia="Segoe UI"/>
          <w:b/>
          <w:bCs/>
          <w:color w:val="231F20"/>
          <w:spacing w:val="-1"/>
        </w:rPr>
        <w:t>travel</w:t>
      </w:r>
      <w:r>
        <w:rPr>
          <w:color w:val="231F20"/>
          <w:spacing w:val="-1"/>
        </w:rPr>
        <w:t>—including</w:t>
      </w:r>
      <w:r>
        <w:rPr>
          <w:color w:val="231F20"/>
          <w:spacing w:val="-5"/>
        </w:rPr>
        <w:t> </w:t>
      </w:r>
      <w:r>
        <w:rPr>
          <w:color w:val="231F20"/>
        </w:rPr>
        <w:t>fare</w:t>
      </w:r>
      <w:r>
        <w:rPr>
          <w:color w:val="231F20"/>
          <w:spacing w:val="-4"/>
        </w:rPr>
        <w:t> </w:t>
      </w:r>
      <w:r>
        <w:rPr>
          <w:color w:val="231F20"/>
        </w:rPr>
        <w:t>allowances,</w:t>
      </w:r>
      <w:r>
        <w:rPr>
          <w:color w:val="231F20"/>
          <w:spacing w:val="21"/>
          <w:w w:val="99"/>
        </w:rPr>
        <w:t> </w:t>
      </w:r>
      <w:r>
        <w:rPr>
          <w:color w:val="231F20"/>
        </w:rPr>
        <w:t>administrative</w:t>
      </w:r>
      <w:r>
        <w:rPr>
          <w:color w:val="231F20"/>
          <w:spacing w:val="-11"/>
        </w:rPr>
        <w:t> </w:t>
      </w:r>
      <w:r>
        <w:rPr>
          <w:color w:val="231F20"/>
          <w:spacing w:val="-1"/>
        </w:rPr>
        <w:t>support</w:t>
      </w:r>
      <w:r>
        <w:rPr>
          <w:color w:val="231F20"/>
          <w:spacing w:val="-10"/>
        </w:rPr>
        <w:t> </w:t>
      </w:r>
      <w:r>
        <w:rPr>
          <w:color w:val="231F20"/>
        </w:rPr>
        <w:t>and</w:t>
      </w:r>
      <w:r>
        <w:rPr>
          <w:color w:val="231F20"/>
          <w:spacing w:val="-10"/>
        </w:rPr>
        <w:t> </w:t>
      </w:r>
      <w:r>
        <w:rPr>
          <w:color w:val="231F20"/>
          <w:spacing w:val="-1"/>
        </w:rPr>
        <w:t>infrastructure</w:t>
      </w:r>
      <w:r>
        <w:rPr>
          <w:color w:val="231F20"/>
          <w:spacing w:val="-8"/>
        </w:rPr>
        <w:t> </w:t>
      </w:r>
      <w:r>
        <w:rPr>
          <w:color w:val="231F20"/>
        </w:rPr>
        <w:t>for</w:t>
      </w:r>
      <w:r>
        <w:rPr>
          <w:color w:val="231F20"/>
          <w:spacing w:val="23"/>
          <w:w w:val="99"/>
        </w:rPr>
        <w:t> </w:t>
      </w:r>
      <w:r>
        <w:rPr>
          <w:color w:val="231F20"/>
        </w:rPr>
        <w:t>travel</w:t>
      </w:r>
      <w:r>
        <w:rPr>
          <w:color w:val="231F20"/>
          <w:spacing w:val="-4"/>
        </w:rPr>
        <w:t> </w:t>
      </w:r>
      <w:r>
        <w:rPr>
          <w:color w:val="231F20"/>
        </w:rPr>
        <w:t>from</w:t>
      </w:r>
      <w:r>
        <w:rPr>
          <w:color w:val="231F20"/>
          <w:spacing w:val="-3"/>
        </w:rPr>
        <w:t> </w:t>
      </w:r>
      <w:r>
        <w:rPr>
          <w:color w:val="231F20"/>
        </w:rPr>
        <w:t>the</w:t>
      </w:r>
      <w:r>
        <w:rPr>
          <w:color w:val="231F20"/>
          <w:spacing w:val="-4"/>
        </w:rPr>
        <w:t> </w:t>
      </w:r>
      <w:r>
        <w:rPr>
          <w:color w:val="231F20"/>
        </w:rPr>
        <w:t>community</w:t>
      </w:r>
      <w:r>
        <w:rPr>
          <w:color w:val="231F20"/>
          <w:spacing w:val="-4"/>
        </w:rPr>
        <w:t> </w:t>
      </w:r>
      <w:r>
        <w:rPr>
          <w:color w:val="231F20"/>
        </w:rPr>
        <w:t>to</w:t>
      </w:r>
      <w:r>
        <w:rPr>
          <w:color w:val="231F20"/>
          <w:spacing w:val="-3"/>
        </w:rPr>
        <w:t> </w:t>
      </w:r>
      <w:r>
        <w:rPr>
          <w:color w:val="231F20"/>
        </w:rPr>
        <w:t>the</w:t>
      </w:r>
      <w:r>
        <w:rPr>
          <w:color w:val="231F20"/>
          <w:spacing w:val="-4"/>
        </w:rPr>
        <w:t> </w:t>
      </w:r>
      <w:r>
        <w:rPr>
          <w:color w:val="231F20"/>
          <w:spacing w:val="-1"/>
        </w:rPr>
        <w:t>school</w:t>
      </w:r>
      <w:r>
        <w:rPr>
          <w:color w:val="231F20"/>
          <w:spacing w:val="-2"/>
        </w:rPr>
        <w:t> </w:t>
      </w:r>
      <w:r>
        <w:rPr>
          <w:color w:val="231F20"/>
        </w:rPr>
        <w:t>and</w:t>
      </w:r>
      <w:r>
        <w:rPr>
          <w:color w:val="231F20"/>
          <w:spacing w:val="21"/>
          <w:w w:val="99"/>
        </w:rPr>
        <w:t> </w:t>
      </w:r>
      <w:r>
        <w:rPr>
          <w:color w:val="231F20"/>
        </w:rPr>
        <w:t>back</w:t>
      </w:r>
      <w:r>
        <w:rPr>
          <w:color w:val="231F20"/>
          <w:spacing w:val="-4"/>
        </w:rPr>
        <w:t> </w:t>
      </w:r>
      <w:r>
        <w:rPr>
          <w:color w:val="231F20"/>
        </w:rPr>
        <w:t>to</w:t>
      </w:r>
      <w:r>
        <w:rPr>
          <w:color w:val="231F20"/>
          <w:spacing w:val="-3"/>
        </w:rPr>
        <w:t> </w:t>
      </w:r>
      <w:r>
        <w:rPr>
          <w:color w:val="231F20"/>
        </w:rPr>
        <w:t>the</w:t>
      </w:r>
      <w:r>
        <w:rPr>
          <w:color w:val="231F20"/>
          <w:spacing w:val="-4"/>
        </w:rPr>
        <w:t> </w:t>
      </w:r>
      <w:r>
        <w:rPr>
          <w:color w:val="231F20"/>
        </w:rPr>
        <w:t>community</w:t>
      </w:r>
      <w:r>
        <w:rPr/>
      </w:r>
    </w:p>
    <w:p>
      <w:pPr>
        <w:pStyle w:val="BodyText"/>
        <w:spacing w:line="250" w:lineRule="exact" w:before="113"/>
        <w:ind w:left="327" w:right="142" w:hanging="227"/>
        <w:jc w:val="left"/>
      </w:pPr>
      <w:r>
        <w:rPr>
          <w:rFonts w:ascii="Century Gothic" w:hAnsi="Century Gothic" w:cs="Century Gothic" w:eastAsia="Century Gothic"/>
          <w:color w:val="231F20"/>
        </w:rPr>
        <w:t>» </w:t>
      </w:r>
      <w:r>
        <w:rPr>
          <w:rFonts w:ascii="Century Gothic" w:hAnsi="Century Gothic" w:cs="Century Gothic" w:eastAsia="Century Gothic"/>
          <w:color w:val="231F20"/>
          <w:spacing w:val="30"/>
        </w:rPr>
        <w:t> </w:t>
      </w:r>
      <w:r>
        <w:rPr>
          <w:rFonts w:ascii="Segoe UI" w:hAnsi="Segoe UI" w:cs="Segoe UI" w:eastAsia="Segoe UI"/>
          <w:b/>
          <w:bCs/>
          <w:color w:val="231F20"/>
          <w:spacing w:val="-1"/>
        </w:rPr>
        <w:t>in-school</w:t>
      </w:r>
      <w:r>
        <w:rPr>
          <w:rFonts w:ascii="Segoe UI" w:hAnsi="Segoe UI" w:cs="Segoe UI" w:eastAsia="Segoe UI"/>
          <w:b/>
          <w:bCs/>
          <w:color w:val="231F20"/>
        </w:rPr>
        <w:t> </w:t>
      </w:r>
      <w:r>
        <w:rPr>
          <w:rFonts w:ascii="Segoe UI" w:hAnsi="Segoe UI" w:cs="Segoe UI" w:eastAsia="Segoe UI"/>
          <w:b/>
          <w:bCs/>
          <w:color w:val="231F20"/>
          <w:spacing w:val="-1"/>
        </w:rPr>
        <w:t>and</w:t>
      </w:r>
      <w:r>
        <w:rPr>
          <w:rFonts w:ascii="Segoe UI" w:hAnsi="Segoe UI" w:cs="Segoe UI" w:eastAsia="Segoe UI"/>
          <w:b/>
          <w:bCs/>
          <w:color w:val="231F20"/>
        </w:rPr>
        <w:t> </w:t>
      </w:r>
      <w:r>
        <w:rPr>
          <w:rFonts w:ascii="Segoe UI" w:hAnsi="Segoe UI" w:cs="Segoe UI" w:eastAsia="Segoe UI"/>
          <w:b/>
          <w:bCs/>
          <w:color w:val="231F20"/>
          <w:spacing w:val="-1"/>
        </w:rPr>
        <w:t>accommodation </w:t>
      </w:r>
      <w:r>
        <w:rPr>
          <w:rFonts w:ascii="Segoe UI" w:hAnsi="Segoe UI" w:cs="Segoe UI" w:eastAsia="Segoe UI"/>
          <w:b/>
          <w:bCs/>
          <w:color w:val="231F20"/>
        </w:rPr>
        <w:t>support</w:t>
      </w:r>
      <w:r>
        <w:rPr>
          <w:color w:val="231F20"/>
        </w:rPr>
        <w:t>—</w:t>
      </w:r>
      <w:r>
        <w:rPr>
          <w:color w:val="231F20"/>
          <w:spacing w:val="29"/>
        </w:rPr>
        <w:t> </w:t>
      </w:r>
      <w:r>
        <w:rPr>
          <w:color w:val="231F20"/>
          <w:spacing w:val="-1"/>
        </w:rPr>
        <w:t>including</w:t>
      </w:r>
      <w:r>
        <w:rPr>
          <w:color w:val="231F20"/>
          <w:spacing w:val="-8"/>
        </w:rPr>
        <w:t> </w:t>
      </w:r>
      <w:r>
        <w:rPr>
          <w:color w:val="231F20"/>
        </w:rPr>
        <w:t>allowances,</w:t>
      </w:r>
      <w:r>
        <w:rPr>
          <w:color w:val="231F20"/>
          <w:spacing w:val="-8"/>
        </w:rPr>
        <w:t> </w:t>
      </w:r>
      <w:r>
        <w:rPr>
          <w:color w:val="231F20"/>
          <w:spacing w:val="-1"/>
        </w:rPr>
        <w:t>scholarships</w:t>
      </w:r>
      <w:r>
        <w:rPr>
          <w:color w:val="231F20"/>
          <w:spacing w:val="-6"/>
        </w:rPr>
        <w:t> </w:t>
      </w:r>
      <w:r>
        <w:rPr>
          <w:color w:val="231F20"/>
        </w:rPr>
        <w:t>and</w:t>
      </w:r>
      <w:r>
        <w:rPr>
          <w:color w:val="231F20"/>
          <w:spacing w:val="23"/>
          <w:w w:val="99"/>
        </w:rPr>
        <w:t> </w:t>
      </w:r>
      <w:r>
        <w:rPr>
          <w:color w:val="231F20"/>
        </w:rPr>
        <w:t>activities</w:t>
      </w:r>
      <w:r>
        <w:rPr>
          <w:color w:val="231F20"/>
          <w:spacing w:val="-4"/>
        </w:rPr>
        <w:t> </w:t>
      </w:r>
      <w:r>
        <w:rPr>
          <w:color w:val="231F20"/>
        </w:rPr>
        <w:t>relating</w:t>
      </w:r>
      <w:r>
        <w:rPr>
          <w:color w:val="231F20"/>
          <w:spacing w:val="-4"/>
        </w:rPr>
        <w:t> </w:t>
      </w:r>
      <w:r>
        <w:rPr>
          <w:color w:val="231F20"/>
        </w:rPr>
        <w:t>to</w:t>
      </w:r>
      <w:r>
        <w:rPr>
          <w:color w:val="231F20"/>
          <w:spacing w:val="-3"/>
        </w:rPr>
        <w:t> </w:t>
      </w:r>
      <w:r>
        <w:rPr>
          <w:color w:val="231F20"/>
        </w:rPr>
        <w:t>the</w:t>
      </w:r>
      <w:r>
        <w:rPr>
          <w:color w:val="231F20"/>
          <w:spacing w:val="-4"/>
        </w:rPr>
        <w:t> </w:t>
      </w:r>
      <w:r>
        <w:rPr>
          <w:color w:val="231F20"/>
          <w:spacing w:val="-1"/>
        </w:rPr>
        <w:t>in-school</w:t>
      </w:r>
      <w:r>
        <w:rPr>
          <w:color w:val="231F20"/>
          <w:spacing w:val="-3"/>
        </w:rPr>
        <w:t> </w:t>
      </w:r>
      <w:r>
        <w:rPr>
          <w:color w:val="231F20"/>
        </w:rPr>
        <w:t>and</w:t>
      </w:r>
      <w:r>
        <w:rPr>
          <w:color w:val="231F20"/>
          <w:spacing w:val="22"/>
          <w:w w:val="99"/>
        </w:rPr>
        <w:t> </w:t>
      </w:r>
      <w:r>
        <w:rPr>
          <w:color w:val="231F20"/>
        </w:rPr>
        <w:t>accommodation</w:t>
      </w:r>
      <w:r>
        <w:rPr>
          <w:color w:val="231F20"/>
          <w:spacing w:val="-9"/>
        </w:rPr>
        <w:t> </w:t>
      </w:r>
      <w:r>
        <w:rPr>
          <w:color w:val="231F20"/>
        </w:rPr>
        <w:t>activities</w:t>
      </w:r>
      <w:r>
        <w:rPr>
          <w:color w:val="231F20"/>
          <w:spacing w:val="-10"/>
        </w:rPr>
        <w:t> </w:t>
      </w:r>
      <w:r>
        <w:rPr>
          <w:color w:val="231F20"/>
        </w:rPr>
        <w:t>provided</w:t>
      </w:r>
      <w:r>
        <w:rPr>
          <w:color w:val="231F20"/>
          <w:spacing w:val="-9"/>
        </w:rPr>
        <w:t> </w:t>
      </w:r>
      <w:r>
        <w:rPr>
          <w:color w:val="231F20"/>
        </w:rPr>
        <w:t>to</w:t>
      </w:r>
      <w:r>
        <w:rPr>
          <w:color w:val="231F20"/>
          <w:w w:val="99"/>
        </w:rPr>
        <w:t> </w:t>
      </w:r>
      <w:r>
        <w:rPr>
          <w:color w:val="231F20"/>
        </w:rPr>
        <w:t>Aboriginal</w:t>
      </w:r>
      <w:r>
        <w:rPr>
          <w:color w:val="231F20"/>
          <w:spacing w:val="-6"/>
        </w:rPr>
        <w:t> </w:t>
      </w:r>
      <w:r>
        <w:rPr>
          <w:color w:val="231F20"/>
        </w:rPr>
        <w:t>and</w:t>
      </w:r>
      <w:r>
        <w:rPr>
          <w:color w:val="231F20"/>
          <w:spacing w:val="-7"/>
        </w:rPr>
        <w:t> </w:t>
      </w:r>
      <w:r>
        <w:rPr>
          <w:color w:val="231F20"/>
          <w:spacing w:val="-5"/>
        </w:rPr>
        <w:t>Torres </w:t>
      </w:r>
      <w:r>
        <w:rPr>
          <w:color w:val="231F20"/>
          <w:spacing w:val="-2"/>
        </w:rPr>
        <w:t>Strait</w:t>
      </w:r>
      <w:r>
        <w:rPr>
          <w:color w:val="231F20"/>
          <w:spacing w:val="-7"/>
        </w:rPr>
        <w:t> </w:t>
      </w:r>
      <w:r>
        <w:rPr>
          <w:color w:val="231F20"/>
          <w:spacing w:val="-1"/>
        </w:rPr>
        <w:t>Islander</w:t>
      </w:r>
      <w:r>
        <w:rPr>
          <w:color w:val="231F20"/>
          <w:spacing w:val="29"/>
          <w:w w:val="99"/>
        </w:rPr>
        <w:t> </w:t>
      </w:r>
      <w:r>
        <w:rPr>
          <w:color w:val="231F20"/>
          <w:spacing w:val="-1"/>
        </w:rPr>
        <w:t>secondary</w:t>
      </w:r>
      <w:r>
        <w:rPr>
          <w:color w:val="231F20"/>
          <w:spacing w:val="-5"/>
        </w:rPr>
        <w:t> </w:t>
      </w:r>
      <w:r>
        <w:rPr>
          <w:color w:val="231F20"/>
          <w:spacing w:val="-1"/>
        </w:rPr>
        <w:t>students</w:t>
      </w:r>
      <w:r>
        <w:rPr>
          <w:color w:val="231F20"/>
          <w:spacing w:val="-6"/>
        </w:rPr>
        <w:t> </w:t>
      </w:r>
      <w:r>
        <w:rPr>
          <w:color w:val="231F20"/>
        </w:rPr>
        <w:t>who</w:t>
      </w:r>
      <w:r>
        <w:rPr>
          <w:color w:val="231F20"/>
          <w:spacing w:val="-7"/>
        </w:rPr>
        <w:t> </w:t>
      </w:r>
      <w:r>
        <w:rPr>
          <w:color w:val="231F20"/>
        </w:rPr>
        <w:t>are</w:t>
      </w:r>
      <w:r>
        <w:rPr>
          <w:color w:val="231F20"/>
          <w:spacing w:val="-7"/>
        </w:rPr>
        <w:t> </w:t>
      </w:r>
      <w:r>
        <w:rPr>
          <w:color w:val="231F20"/>
        </w:rPr>
        <w:t>boarding</w:t>
      </w:r>
      <w:r>
        <w:rPr/>
      </w:r>
    </w:p>
    <w:p>
      <w:pPr>
        <w:spacing w:line="250" w:lineRule="exact" w:before="113"/>
        <w:ind w:left="327" w:right="140" w:hanging="227"/>
        <w:jc w:val="left"/>
        <w:rPr>
          <w:rFonts w:ascii="Segoe UI" w:hAnsi="Segoe UI" w:cs="Segoe UI" w:eastAsia="Segoe UI"/>
          <w:sz w:val="20"/>
          <w:szCs w:val="20"/>
        </w:rPr>
      </w:pPr>
      <w:r>
        <w:rPr>
          <w:rFonts w:ascii="Century Gothic" w:hAnsi="Century Gothic" w:cs="Century Gothic" w:eastAsia="Century Gothic"/>
          <w:color w:val="231F20"/>
          <w:sz w:val="20"/>
          <w:szCs w:val="20"/>
        </w:rPr>
        <w:t>» </w:t>
      </w:r>
      <w:r>
        <w:rPr>
          <w:rFonts w:ascii="Century Gothic" w:hAnsi="Century Gothic" w:cs="Century Gothic" w:eastAsia="Century Gothic"/>
          <w:color w:val="231F20"/>
          <w:spacing w:val="30"/>
          <w:sz w:val="20"/>
          <w:szCs w:val="20"/>
        </w:rPr>
        <w:t> </w:t>
      </w:r>
      <w:r>
        <w:rPr>
          <w:rFonts w:ascii="Segoe UI" w:hAnsi="Segoe UI" w:cs="Segoe UI" w:eastAsia="Segoe UI"/>
          <w:b/>
          <w:bCs/>
          <w:color w:val="231F20"/>
          <w:spacing w:val="-1"/>
          <w:sz w:val="20"/>
          <w:szCs w:val="20"/>
        </w:rPr>
        <w:t>family</w:t>
      </w:r>
      <w:r>
        <w:rPr>
          <w:rFonts w:ascii="Segoe UI" w:hAnsi="Segoe UI" w:cs="Segoe UI" w:eastAsia="Segoe UI"/>
          <w:b/>
          <w:bCs/>
          <w:color w:val="231F20"/>
          <w:sz w:val="20"/>
          <w:szCs w:val="20"/>
        </w:rPr>
        <w:t> </w:t>
      </w:r>
      <w:r>
        <w:rPr>
          <w:rFonts w:ascii="Segoe UI" w:hAnsi="Segoe UI" w:cs="Segoe UI" w:eastAsia="Segoe UI"/>
          <w:b/>
          <w:bCs/>
          <w:color w:val="231F20"/>
          <w:spacing w:val="-1"/>
          <w:sz w:val="20"/>
          <w:szCs w:val="20"/>
        </w:rPr>
        <w:t>and</w:t>
      </w:r>
      <w:r>
        <w:rPr>
          <w:rFonts w:ascii="Segoe UI" w:hAnsi="Segoe UI" w:cs="Segoe UI" w:eastAsia="Segoe UI"/>
          <w:b/>
          <w:bCs/>
          <w:color w:val="231F20"/>
          <w:sz w:val="20"/>
          <w:szCs w:val="20"/>
        </w:rPr>
        <w:t> community</w:t>
      </w:r>
      <w:r>
        <w:rPr>
          <w:rFonts w:ascii="Segoe UI" w:hAnsi="Segoe UI" w:cs="Segoe UI" w:eastAsia="Segoe UI"/>
          <w:b/>
          <w:bCs/>
          <w:color w:val="231F20"/>
          <w:spacing w:val="-2"/>
          <w:sz w:val="20"/>
          <w:szCs w:val="20"/>
        </w:rPr>
        <w:t> </w:t>
      </w:r>
      <w:r>
        <w:rPr>
          <w:rFonts w:ascii="Segoe UI" w:hAnsi="Segoe UI" w:cs="Segoe UI" w:eastAsia="Segoe UI"/>
          <w:b/>
          <w:bCs/>
          <w:color w:val="231F20"/>
          <w:sz w:val="20"/>
          <w:szCs w:val="20"/>
        </w:rPr>
        <w:t>engagement</w:t>
      </w:r>
      <w:r>
        <w:rPr>
          <w:rFonts w:ascii="Segoe UI" w:hAnsi="Segoe UI" w:cs="Segoe UI" w:eastAsia="Segoe UI"/>
          <w:color w:val="231F20"/>
          <w:sz w:val="20"/>
          <w:szCs w:val="20"/>
        </w:rPr>
        <w:t>—</w:t>
      </w:r>
      <w:r>
        <w:rPr>
          <w:rFonts w:ascii="Segoe UI" w:hAnsi="Segoe UI" w:cs="Segoe UI" w:eastAsia="Segoe UI"/>
          <w:color w:val="231F20"/>
          <w:spacing w:val="23"/>
          <w:sz w:val="20"/>
          <w:szCs w:val="20"/>
        </w:rPr>
        <w:t> </w:t>
      </w:r>
      <w:r>
        <w:rPr>
          <w:rFonts w:ascii="Segoe UI" w:hAnsi="Segoe UI" w:cs="Segoe UI" w:eastAsia="Segoe UI"/>
          <w:color w:val="231F20"/>
          <w:spacing w:val="-1"/>
          <w:sz w:val="20"/>
          <w:szCs w:val="20"/>
        </w:rPr>
        <w:t>including</w:t>
      </w:r>
      <w:r>
        <w:rPr>
          <w:rFonts w:ascii="Segoe UI" w:hAnsi="Segoe UI" w:cs="Segoe UI" w:eastAsia="Segoe UI"/>
          <w:color w:val="231F20"/>
          <w:spacing w:val="-10"/>
          <w:sz w:val="20"/>
          <w:szCs w:val="20"/>
        </w:rPr>
        <w:t> </w:t>
      </w:r>
      <w:r>
        <w:rPr>
          <w:rFonts w:ascii="Segoe UI" w:hAnsi="Segoe UI" w:cs="Segoe UI" w:eastAsia="Segoe UI"/>
          <w:color w:val="231F20"/>
          <w:sz w:val="20"/>
          <w:szCs w:val="20"/>
        </w:rPr>
        <w:t>fare</w:t>
      </w:r>
      <w:r>
        <w:rPr>
          <w:rFonts w:ascii="Segoe UI" w:hAnsi="Segoe UI" w:cs="Segoe UI" w:eastAsia="Segoe UI"/>
          <w:color w:val="231F20"/>
          <w:spacing w:val="-9"/>
          <w:sz w:val="20"/>
          <w:szCs w:val="20"/>
        </w:rPr>
        <w:t> </w:t>
      </w:r>
      <w:r>
        <w:rPr>
          <w:rFonts w:ascii="Segoe UI" w:hAnsi="Segoe UI" w:cs="Segoe UI" w:eastAsia="Segoe UI"/>
          <w:color w:val="231F20"/>
          <w:sz w:val="20"/>
          <w:szCs w:val="20"/>
        </w:rPr>
        <w:t>allowances,</w:t>
      </w:r>
      <w:r>
        <w:rPr>
          <w:rFonts w:ascii="Segoe UI" w:hAnsi="Segoe UI" w:cs="Segoe UI" w:eastAsia="Segoe UI"/>
          <w:color w:val="231F20"/>
          <w:spacing w:val="-10"/>
          <w:sz w:val="20"/>
          <w:szCs w:val="20"/>
        </w:rPr>
        <w:t> </w:t>
      </w:r>
      <w:r>
        <w:rPr>
          <w:rFonts w:ascii="Segoe UI" w:hAnsi="Segoe UI" w:cs="Segoe UI" w:eastAsia="Segoe UI"/>
          <w:color w:val="231F20"/>
          <w:sz w:val="20"/>
          <w:szCs w:val="20"/>
        </w:rPr>
        <w:t>transition</w:t>
      </w:r>
      <w:r>
        <w:rPr>
          <w:rFonts w:ascii="Segoe UI" w:hAnsi="Segoe UI" w:cs="Segoe UI" w:eastAsia="Segoe UI"/>
          <w:color w:val="231F20"/>
          <w:spacing w:val="-10"/>
          <w:sz w:val="20"/>
          <w:szCs w:val="20"/>
        </w:rPr>
        <w:t> </w:t>
      </w:r>
      <w:r>
        <w:rPr>
          <w:rFonts w:ascii="Segoe UI" w:hAnsi="Segoe UI" w:cs="Segoe UI" w:eastAsia="Segoe UI"/>
          <w:color w:val="231F20"/>
          <w:spacing w:val="-1"/>
          <w:sz w:val="20"/>
          <w:szCs w:val="20"/>
        </w:rPr>
        <w:t>support</w:t>
      </w:r>
      <w:r>
        <w:rPr>
          <w:rFonts w:ascii="Segoe UI" w:hAnsi="Segoe UI" w:cs="Segoe UI" w:eastAsia="Segoe UI"/>
          <w:color w:val="231F20"/>
          <w:spacing w:val="21"/>
          <w:w w:val="99"/>
          <w:sz w:val="20"/>
          <w:szCs w:val="20"/>
        </w:rPr>
        <w:t> </w:t>
      </w:r>
      <w:r>
        <w:rPr>
          <w:rFonts w:ascii="Segoe UI" w:hAnsi="Segoe UI" w:cs="Segoe UI" w:eastAsia="Segoe UI"/>
          <w:color w:val="231F20"/>
          <w:spacing w:val="-1"/>
          <w:sz w:val="20"/>
          <w:szCs w:val="20"/>
        </w:rPr>
        <w:t>services</w:t>
      </w:r>
      <w:r>
        <w:rPr>
          <w:rFonts w:ascii="Segoe UI" w:hAnsi="Segoe UI" w:cs="Segoe UI" w:eastAsia="Segoe UI"/>
          <w:color w:val="231F20"/>
          <w:spacing w:val="-5"/>
          <w:sz w:val="20"/>
          <w:szCs w:val="20"/>
        </w:rPr>
        <w:t> </w:t>
      </w:r>
      <w:r>
        <w:rPr>
          <w:rFonts w:ascii="Segoe UI" w:hAnsi="Segoe UI" w:cs="Segoe UI" w:eastAsia="Segoe UI"/>
          <w:color w:val="231F20"/>
          <w:sz w:val="20"/>
          <w:szCs w:val="20"/>
        </w:rPr>
        <w:t>and</w:t>
      </w:r>
      <w:r>
        <w:rPr>
          <w:rFonts w:ascii="Segoe UI" w:hAnsi="Segoe UI" w:cs="Segoe UI" w:eastAsia="Segoe UI"/>
          <w:color w:val="231F20"/>
          <w:spacing w:val="-6"/>
          <w:sz w:val="20"/>
          <w:szCs w:val="20"/>
        </w:rPr>
        <w:t> </w:t>
      </w:r>
      <w:r>
        <w:rPr>
          <w:rFonts w:ascii="Segoe UI" w:hAnsi="Segoe UI" w:cs="Segoe UI" w:eastAsia="Segoe UI"/>
          <w:color w:val="231F20"/>
          <w:spacing w:val="-1"/>
          <w:sz w:val="20"/>
          <w:szCs w:val="20"/>
        </w:rPr>
        <w:t>support</w:t>
      </w:r>
      <w:r>
        <w:rPr>
          <w:rFonts w:ascii="Segoe UI" w:hAnsi="Segoe UI" w:cs="Segoe UI" w:eastAsia="Segoe UI"/>
          <w:color w:val="231F20"/>
          <w:spacing w:val="-5"/>
          <w:sz w:val="20"/>
          <w:szCs w:val="20"/>
        </w:rPr>
        <w:t> </w:t>
      </w:r>
      <w:r>
        <w:rPr>
          <w:rFonts w:ascii="Segoe UI" w:hAnsi="Segoe UI" w:cs="Segoe UI" w:eastAsia="Segoe UI"/>
          <w:color w:val="231F20"/>
          <w:sz w:val="20"/>
          <w:szCs w:val="20"/>
        </w:rPr>
        <w:t>for</w:t>
      </w:r>
      <w:r>
        <w:rPr>
          <w:rFonts w:ascii="Segoe UI" w:hAnsi="Segoe UI" w:cs="Segoe UI" w:eastAsia="Segoe UI"/>
          <w:color w:val="231F20"/>
          <w:spacing w:val="-5"/>
          <w:sz w:val="20"/>
          <w:szCs w:val="20"/>
        </w:rPr>
        <w:t> </w:t>
      </w:r>
      <w:r>
        <w:rPr>
          <w:rFonts w:ascii="Segoe UI" w:hAnsi="Segoe UI" w:cs="Segoe UI" w:eastAsia="Segoe UI"/>
          <w:color w:val="231F20"/>
          <w:sz w:val="20"/>
          <w:szCs w:val="20"/>
        </w:rPr>
        <w:t>the</w:t>
      </w:r>
      <w:r>
        <w:rPr>
          <w:rFonts w:ascii="Segoe UI" w:hAnsi="Segoe UI" w:cs="Segoe UI" w:eastAsia="Segoe UI"/>
          <w:color w:val="231F20"/>
          <w:spacing w:val="-5"/>
          <w:sz w:val="20"/>
          <w:szCs w:val="20"/>
        </w:rPr>
        <w:t> </w:t>
      </w:r>
      <w:r>
        <w:rPr>
          <w:rFonts w:ascii="Segoe UI" w:hAnsi="Segoe UI" w:cs="Segoe UI" w:eastAsia="Segoe UI"/>
          <w:color w:val="231F20"/>
          <w:spacing w:val="-1"/>
          <w:sz w:val="20"/>
          <w:szCs w:val="20"/>
        </w:rPr>
        <w:t>maintenance</w:t>
      </w:r>
      <w:r>
        <w:rPr>
          <w:rFonts w:ascii="Segoe UI" w:hAnsi="Segoe UI" w:cs="Segoe UI" w:eastAsia="Segoe UI"/>
          <w:color w:val="231F20"/>
          <w:spacing w:val="-4"/>
          <w:sz w:val="20"/>
          <w:szCs w:val="20"/>
        </w:rPr>
        <w:t> </w:t>
      </w:r>
      <w:r>
        <w:rPr>
          <w:rFonts w:ascii="Segoe UI" w:hAnsi="Segoe UI" w:cs="Segoe UI" w:eastAsia="Segoe UI"/>
          <w:color w:val="231F20"/>
          <w:sz w:val="20"/>
          <w:szCs w:val="20"/>
        </w:rPr>
        <w:t>of</w:t>
      </w:r>
      <w:r>
        <w:rPr>
          <w:rFonts w:ascii="Segoe UI" w:hAnsi="Segoe UI" w:cs="Segoe UI" w:eastAsia="Segoe UI"/>
          <w:color w:val="231F20"/>
          <w:spacing w:val="24"/>
          <w:w w:val="99"/>
          <w:sz w:val="20"/>
          <w:szCs w:val="20"/>
        </w:rPr>
        <w:t> </w:t>
      </w:r>
      <w:r>
        <w:rPr>
          <w:rFonts w:ascii="Segoe UI" w:hAnsi="Segoe UI" w:cs="Segoe UI" w:eastAsia="Segoe UI"/>
          <w:color w:val="231F20"/>
          <w:sz w:val="20"/>
          <w:szCs w:val="20"/>
        </w:rPr>
        <w:t>culture.</w:t>
      </w:r>
      <w:r>
        <w:rPr>
          <w:rFonts w:ascii="Segoe UI" w:hAnsi="Segoe UI" w:cs="Segoe UI" w:eastAsia="Segoe UI"/>
          <w:sz w:val="20"/>
          <w:szCs w:val="20"/>
        </w:rPr>
      </w:r>
    </w:p>
    <w:p>
      <w:pPr>
        <w:spacing w:after="0" w:line="250" w:lineRule="exact"/>
        <w:jc w:val="left"/>
        <w:rPr>
          <w:rFonts w:ascii="Segoe UI" w:hAnsi="Segoe UI" w:cs="Segoe UI" w:eastAsia="Segoe UI"/>
          <w:sz w:val="20"/>
          <w:szCs w:val="20"/>
        </w:rPr>
        <w:sectPr>
          <w:type w:val="continuous"/>
          <w:pgSz w:w="11910" w:h="16840"/>
          <w:pgMar w:top="1580" w:bottom="280" w:left="1600" w:right="1300"/>
          <w:cols w:num="2" w:equalWidth="0">
            <w:col w:w="4353" w:space="240"/>
            <w:col w:w="4417"/>
          </w:cols>
        </w:sectPr>
      </w:pPr>
    </w:p>
    <w:p>
      <w:pPr>
        <w:spacing w:line="240" w:lineRule="auto" w:before="0"/>
        <w:rPr>
          <w:rFonts w:ascii="Segoe UI" w:hAnsi="Segoe UI" w:cs="Segoe UI" w:eastAsia="Segoe UI"/>
          <w:sz w:val="20"/>
          <w:szCs w:val="20"/>
        </w:rPr>
      </w:pPr>
    </w:p>
    <w:p>
      <w:pPr>
        <w:spacing w:line="240" w:lineRule="auto" w:before="11"/>
        <w:rPr>
          <w:rFonts w:ascii="Segoe UI" w:hAnsi="Segoe UI" w:cs="Segoe UI" w:eastAsia="Segoe UI"/>
          <w:sz w:val="20"/>
          <w:szCs w:val="20"/>
        </w:rPr>
      </w:pPr>
    </w:p>
    <w:p>
      <w:pPr>
        <w:spacing w:after="0" w:line="240" w:lineRule="auto"/>
        <w:rPr>
          <w:rFonts w:ascii="Segoe UI" w:hAnsi="Segoe UI" w:cs="Segoe UI" w:eastAsia="Segoe UI"/>
          <w:sz w:val="20"/>
          <w:szCs w:val="20"/>
        </w:rPr>
        <w:sectPr>
          <w:pgSz w:w="11910" w:h="16840"/>
          <w:pgMar w:header="0" w:footer="691" w:top="1580" w:bottom="880" w:left="1300" w:right="1620"/>
        </w:sectPr>
      </w:pPr>
    </w:p>
    <w:p>
      <w:pPr>
        <w:spacing w:before="14"/>
        <w:ind w:left="145" w:right="0" w:firstLine="0"/>
        <w:jc w:val="left"/>
        <w:rPr>
          <w:rFonts w:ascii="Segoe UI" w:hAnsi="Segoe UI" w:cs="Segoe UI" w:eastAsia="Segoe UI"/>
          <w:sz w:val="32"/>
          <w:szCs w:val="32"/>
        </w:rPr>
      </w:pPr>
      <w:r>
        <w:rPr>
          <w:rFonts w:ascii="Segoe UI"/>
          <w:b/>
          <w:color w:val="452A70"/>
          <w:sz w:val="32"/>
        </w:rPr>
        <w:t>Causality</w:t>
      </w:r>
      <w:r>
        <w:rPr>
          <w:rFonts w:ascii="Segoe UI"/>
          <w:b/>
          <w:color w:val="452A70"/>
          <w:spacing w:val="-1"/>
          <w:sz w:val="32"/>
        </w:rPr>
        <w:t> links</w:t>
      </w:r>
      <w:r>
        <w:rPr>
          <w:rFonts w:ascii="Segoe UI"/>
          <w:sz w:val="32"/>
        </w:rPr>
      </w:r>
    </w:p>
    <w:p>
      <w:pPr>
        <w:pStyle w:val="BodyText"/>
        <w:spacing w:line="250" w:lineRule="exact" w:before="111"/>
        <w:ind w:left="145" w:right="40"/>
        <w:jc w:val="left"/>
      </w:pPr>
      <w:r>
        <w:rPr>
          <w:color w:val="231F20"/>
        </w:rPr>
        <w:t>The</w:t>
      </w:r>
      <w:r>
        <w:rPr>
          <w:color w:val="231F20"/>
          <w:spacing w:val="-5"/>
        </w:rPr>
        <w:t> </w:t>
      </w:r>
      <w:r>
        <w:rPr>
          <w:color w:val="231F20"/>
        </w:rPr>
        <w:t>theory</w:t>
      </w:r>
      <w:r>
        <w:rPr>
          <w:color w:val="231F20"/>
          <w:spacing w:val="-6"/>
        </w:rPr>
        <w:t> </w:t>
      </w:r>
      <w:r>
        <w:rPr>
          <w:color w:val="231F20"/>
        </w:rPr>
        <w:t>of</w:t>
      </w:r>
      <w:r>
        <w:rPr>
          <w:color w:val="231F20"/>
          <w:spacing w:val="-4"/>
        </w:rPr>
        <w:t> </w:t>
      </w:r>
      <w:r>
        <w:rPr>
          <w:color w:val="231F20"/>
        </w:rPr>
        <w:t>change</w:t>
      </w:r>
      <w:r>
        <w:rPr>
          <w:color w:val="231F20"/>
          <w:spacing w:val="-6"/>
        </w:rPr>
        <w:t> </w:t>
      </w:r>
      <w:r>
        <w:rPr>
          <w:color w:val="231F20"/>
        </w:rPr>
        <w:t>reasons</w:t>
      </w:r>
      <w:r>
        <w:rPr>
          <w:color w:val="231F20"/>
          <w:spacing w:val="-5"/>
        </w:rPr>
        <w:t> </w:t>
      </w:r>
      <w:r>
        <w:rPr>
          <w:color w:val="231F20"/>
        </w:rPr>
        <w:t>that</w:t>
      </w:r>
      <w:r>
        <w:rPr>
          <w:color w:val="231F20"/>
          <w:spacing w:val="-6"/>
        </w:rPr>
        <w:t> </w:t>
      </w:r>
      <w:r>
        <w:rPr>
          <w:color w:val="231F20"/>
          <w:spacing w:val="-1"/>
        </w:rPr>
        <w:t>investment</w:t>
      </w:r>
      <w:r>
        <w:rPr>
          <w:color w:val="231F20"/>
          <w:spacing w:val="20"/>
        </w:rPr>
        <w:t> </w:t>
      </w:r>
      <w:r>
        <w:rPr>
          <w:color w:val="231F20"/>
          <w:spacing w:val="-1"/>
        </w:rPr>
        <w:t>in</w:t>
      </w:r>
      <w:r>
        <w:rPr>
          <w:color w:val="231F20"/>
          <w:spacing w:val="-4"/>
        </w:rPr>
        <w:t> </w:t>
      </w:r>
      <w:r>
        <w:rPr>
          <w:color w:val="231F20"/>
        </w:rPr>
        <w:t>boarding</w:t>
      </w:r>
      <w:r>
        <w:rPr>
          <w:color w:val="231F20"/>
          <w:spacing w:val="-5"/>
        </w:rPr>
        <w:t> </w:t>
      </w:r>
      <w:r>
        <w:rPr>
          <w:color w:val="231F20"/>
        </w:rPr>
        <w:t>provision</w:t>
      </w:r>
      <w:r>
        <w:rPr>
          <w:color w:val="231F20"/>
          <w:spacing w:val="-5"/>
        </w:rPr>
        <w:t> </w:t>
      </w:r>
      <w:r>
        <w:rPr>
          <w:color w:val="231F20"/>
        </w:rPr>
        <w:t>for</w:t>
      </w:r>
      <w:r>
        <w:rPr>
          <w:color w:val="231F20"/>
          <w:spacing w:val="-3"/>
        </w:rPr>
        <w:t> </w:t>
      </w:r>
      <w:r>
        <w:rPr>
          <w:color w:val="231F20"/>
        </w:rPr>
        <w:t>Aboriginal</w:t>
      </w:r>
      <w:r>
        <w:rPr>
          <w:color w:val="231F20"/>
          <w:spacing w:val="-4"/>
        </w:rPr>
        <w:t> </w:t>
      </w:r>
      <w:r>
        <w:rPr>
          <w:color w:val="231F20"/>
        </w:rPr>
        <w:t>and</w:t>
      </w:r>
      <w:r>
        <w:rPr>
          <w:color w:val="231F20"/>
          <w:spacing w:val="-5"/>
        </w:rPr>
        <w:t> Torres</w:t>
      </w:r>
      <w:r>
        <w:rPr>
          <w:color w:val="231F20"/>
          <w:spacing w:val="25"/>
          <w:w w:val="99"/>
        </w:rPr>
        <w:t> </w:t>
      </w:r>
      <w:r>
        <w:rPr>
          <w:color w:val="231F20"/>
          <w:spacing w:val="-2"/>
        </w:rPr>
        <w:t>Strait</w:t>
      </w:r>
      <w:r>
        <w:rPr>
          <w:color w:val="231F20"/>
          <w:spacing w:val="-6"/>
        </w:rPr>
        <w:t> </w:t>
      </w:r>
      <w:r>
        <w:rPr>
          <w:color w:val="231F20"/>
          <w:spacing w:val="-1"/>
        </w:rPr>
        <w:t>Islander</w:t>
      </w:r>
      <w:r>
        <w:rPr>
          <w:color w:val="231F20"/>
          <w:spacing w:val="-5"/>
        </w:rPr>
        <w:t> </w:t>
      </w:r>
      <w:r>
        <w:rPr>
          <w:color w:val="231F20"/>
          <w:spacing w:val="-1"/>
        </w:rPr>
        <w:t>secondary</w:t>
      </w:r>
      <w:r>
        <w:rPr>
          <w:color w:val="231F20"/>
          <w:spacing w:val="-4"/>
        </w:rPr>
        <w:t> </w:t>
      </w:r>
      <w:r>
        <w:rPr>
          <w:color w:val="231F20"/>
          <w:spacing w:val="-1"/>
        </w:rPr>
        <w:t>students</w:t>
      </w:r>
      <w:r>
        <w:rPr>
          <w:color w:val="231F20"/>
          <w:spacing w:val="-5"/>
        </w:rPr>
        <w:t> </w:t>
      </w:r>
      <w:r>
        <w:rPr>
          <w:color w:val="231F20"/>
        </w:rPr>
        <w:t>ultimately</w:t>
      </w:r>
      <w:r>
        <w:rPr>
          <w:color w:val="231F20"/>
          <w:spacing w:val="29"/>
        </w:rPr>
        <w:t> </w:t>
      </w:r>
      <w:r>
        <w:rPr>
          <w:color w:val="231F20"/>
        </w:rPr>
        <w:t>contributes</w:t>
      </w:r>
      <w:r>
        <w:rPr>
          <w:color w:val="231F20"/>
          <w:spacing w:val="-9"/>
        </w:rPr>
        <w:t> </w:t>
      </w:r>
      <w:r>
        <w:rPr>
          <w:color w:val="231F20"/>
        </w:rPr>
        <w:t>to</w:t>
      </w:r>
      <w:r>
        <w:rPr>
          <w:color w:val="231F20"/>
          <w:spacing w:val="-7"/>
        </w:rPr>
        <w:t> </w:t>
      </w:r>
      <w:r>
        <w:rPr>
          <w:color w:val="231F20"/>
        </w:rPr>
        <w:t>equity</w:t>
      </w:r>
      <w:r>
        <w:rPr>
          <w:color w:val="231F20"/>
          <w:spacing w:val="-8"/>
        </w:rPr>
        <w:t> </w:t>
      </w:r>
      <w:r>
        <w:rPr>
          <w:color w:val="231F20"/>
          <w:spacing w:val="-1"/>
        </w:rPr>
        <w:t>in</w:t>
      </w:r>
      <w:r>
        <w:rPr>
          <w:color w:val="231F20"/>
          <w:spacing w:val="-8"/>
        </w:rPr>
        <w:t> </w:t>
      </w:r>
      <w:r>
        <w:rPr>
          <w:color w:val="231F20"/>
        </w:rPr>
        <w:t>educational</w:t>
      </w:r>
      <w:r>
        <w:rPr>
          <w:color w:val="231F20"/>
          <w:spacing w:val="-8"/>
        </w:rPr>
        <w:t> </w:t>
      </w:r>
      <w:r>
        <w:rPr>
          <w:color w:val="231F20"/>
        </w:rPr>
        <w:t>outcomes.</w:t>
      </w:r>
      <w:r>
        <w:rPr>
          <w:color w:val="231F20"/>
          <w:spacing w:val="21"/>
          <w:w w:val="99"/>
        </w:rPr>
        <w:t> </w:t>
      </w:r>
      <w:r>
        <w:rPr>
          <w:color w:val="231F20"/>
        </w:rPr>
        <w:t>The</w:t>
      </w:r>
      <w:r>
        <w:rPr>
          <w:color w:val="231F20"/>
          <w:spacing w:val="-4"/>
        </w:rPr>
        <w:t> </w:t>
      </w:r>
      <w:r>
        <w:rPr>
          <w:color w:val="231F20"/>
        </w:rPr>
        <w:t>theory</w:t>
      </w:r>
      <w:r>
        <w:rPr>
          <w:color w:val="231F20"/>
          <w:spacing w:val="-4"/>
        </w:rPr>
        <w:t> </w:t>
      </w:r>
      <w:r>
        <w:rPr>
          <w:color w:val="231F20"/>
        </w:rPr>
        <w:t>of</w:t>
      </w:r>
      <w:r>
        <w:rPr>
          <w:color w:val="231F20"/>
          <w:spacing w:val="-3"/>
        </w:rPr>
        <w:t> </w:t>
      </w:r>
      <w:r>
        <w:rPr>
          <w:color w:val="231F20"/>
        </w:rPr>
        <w:t>change</w:t>
      </w:r>
      <w:r>
        <w:rPr>
          <w:color w:val="231F20"/>
          <w:spacing w:val="-4"/>
        </w:rPr>
        <w:t> </w:t>
      </w:r>
      <w:r>
        <w:rPr>
          <w:color w:val="231F20"/>
          <w:spacing w:val="-1"/>
        </w:rPr>
        <w:t>makes</w:t>
      </w:r>
      <w:r>
        <w:rPr>
          <w:color w:val="231F20"/>
          <w:spacing w:val="-3"/>
        </w:rPr>
        <w:t> </w:t>
      </w:r>
      <w:r>
        <w:rPr>
          <w:color w:val="231F20"/>
          <w:spacing w:val="-1"/>
        </w:rPr>
        <w:t>it</w:t>
      </w:r>
      <w:r>
        <w:rPr>
          <w:color w:val="231F20"/>
          <w:spacing w:val="-3"/>
        </w:rPr>
        <w:t> </w:t>
      </w:r>
      <w:r>
        <w:rPr>
          <w:color w:val="231F20"/>
        </w:rPr>
        <w:t>clear</w:t>
      </w:r>
      <w:r>
        <w:rPr>
          <w:color w:val="231F20"/>
          <w:spacing w:val="-4"/>
        </w:rPr>
        <w:t> </w:t>
      </w:r>
      <w:r>
        <w:rPr>
          <w:color w:val="231F20"/>
        </w:rPr>
        <w:t>that</w:t>
      </w:r>
      <w:r>
        <w:rPr>
          <w:color w:val="231F20"/>
          <w:spacing w:val="-4"/>
        </w:rPr>
        <w:t> </w:t>
      </w:r>
      <w:r>
        <w:rPr>
          <w:color w:val="231F20"/>
        </w:rPr>
        <w:t>this</w:t>
      </w:r>
      <w:r>
        <w:rPr>
          <w:color w:val="231F20"/>
          <w:spacing w:val="22"/>
        </w:rPr>
        <w:t> </w:t>
      </w:r>
      <w:r>
        <w:rPr>
          <w:color w:val="231F20"/>
        </w:rPr>
        <w:t>happens</w:t>
      </w:r>
      <w:r>
        <w:rPr>
          <w:color w:val="231F20"/>
          <w:spacing w:val="-5"/>
        </w:rPr>
        <w:t> </w:t>
      </w:r>
      <w:r>
        <w:rPr>
          <w:color w:val="231F20"/>
        </w:rPr>
        <w:t>through</w:t>
      </w:r>
      <w:r>
        <w:rPr>
          <w:color w:val="231F20"/>
          <w:spacing w:val="-4"/>
        </w:rPr>
        <w:t> </w:t>
      </w:r>
      <w:r>
        <w:rPr>
          <w:color w:val="231F20"/>
          <w:spacing w:val="-1"/>
        </w:rPr>
        <w:t>investment</w:t>
      </w:r>
      <w:r>
        <w:rPr>
          <w:color w:val="231F20"/>
          <w:spacing w:val="-4"/>
        </w:rPr>
        <w:t> </w:t>
      </w:r>
      <w:r>
        <w:rPr>
          <w:color w:val="231F20"/>
          <w:spacing w:val="-1"/>
        </w:rPr>
        <w:t>in</w:t>
      </w:r>
      <w:r>
        <w:rPr>
          <w:color w:val="231F20"/>
          <w:spacing w:val="-4"/>
        </w:rPr>
        <w:t> </w:t>
      </w:r>
      <w:r>
        <w:rPr>
          <w:color w:val="231F20"/>
        </w:rPr>
        <w:t>the</w:t>
      </w:r>
      <w:r>
        <w:rPr>
          <w:color w:val="231F20"/>
          <w:spacing w:val="-4"/>
        </w:rPr>
        <w:t> </w:t>
      </w:r>
      <w:r>
        <w:rPr>
          <w:color w:val="231F20"/>
        </w:rPr>
        <w:t>four</w:t>
      </w:r>
      <w:r>
        <w:rPr>
          <w:color w:val="231F20"/>
          <w:spacing w:val="-4"/>
        </w:rPr>
        <w:t> </w:t>
      </w:r>
      <w:r>
        <w:rPr>
          <w:color w:val="231F20"/>
          <w:spacing w:val="-1"/>
        </w:rPr>
        <w:t>main</w:t>
      </w:r>
      <w:r>
        <w:rPr>
          <w:color w:val="231F20"/>
          <w:spacing w:val="22"/>
        </w:rPr>
        <w:t> </w:t>
      </w:r>
      <w:r>
        <w:rPr>
          <w:color w:val="231F20"/>
        </w:rPr>
        <w:t>pillars</w:t>
      </w:r>
      <w:r>
        <w:rPr>
          <w:color w:val="231F20"/>
          <w:spacing w:val="-6"/>
        </w:rPr>
        <w:t> </w:t>
      </w:r>
      <w:r>
        <w:rPr>
          <w:color w:val="231F20"/>
        </w:rPr>
        <w:t>of</w:t>
      </w:r>
      <w:r>
        <w:rPr>
          <w:color w:val="231F20"/>
          <w:spacing w:val="-6"/>
        </w:rPr>
        <w:t> </w:t>
      </w:r>
      <w:r>
        <w:rPr>
          <w:color w:val="231F20"/>
          <w:spacing w:val="-1"/>
        </w:rPr>
        <w:t>support;</w:t>
      </w:r>
      <w:r>
        <w:rPr>
          <w:color w:val="231F20"/>
          <w:spacing w:val="-4"/>
        </w:rPr>
        <w:t> </w:t>
      </w:r>
      <w:r>
        <w:rPr>
          <w:color w:val="231F20"/>
        </w:rPr>
        <w:t>preparation,</w:t>
      </w:r>
      <w:r>
        <w:rPr>
          <w:color w:val="231F20"/>
          <w:spacing w:val="-6"/>
        </w:rPr>
        <w:t> </w:t>
      </w:r>
      <w:r>
        <w:rPr>
          <w:color w:val="231F20"/>
        </w:rPr>
        <w:t>travel,</w:t>
      </w:r>
      <w:r>
        <w:rPr>
          <w:color w:val="231F20"/>
          <w:spacing w:val="-6"/>
        </w:rPr>
        <w:t> </w:t>
      </w:r>
      <w:r>
        <w:rPr>
          <w:color w:val="231F20"/>
          <w:spacing w:val="-1"/>
        </w:rPr>
        <w:t>in-school</w:t>
      </w:r>
      <w:r>
        <w:rPr>
          <w:color w:val="231F20"/>
          <w:spacing w:val="21"/>
        </w:rPr>
        <w:t> </w:t>
      </w:r>
      <w:r>
        <w:rPr>
          <w:color w:val="231F20"/>
        </w:rPr>
        <w:t>and</w:t>
      </w:r>
      <w:r>
        <w:rPr>
          <w:color w:val="231F20"/>
          <w:spacing w:val="-8"/>
        </w:rPr>
        <w:t> </w:t>
      </w:r>
      <w:r>
        <w:rPr>
          <w:color w:val="231F20"/>
        </w:rPr>
        <w:t>accommodation</w:t>
      </w:r>
      <w:r>
        <w:rPr>
          <w:color w:val="231F20"/>
          <w:spacing w:val="-7"/>
        </w:rPr>
        <w:t> </w:t>
      </w:r>
      <w:r>
        <w:rPr>
          <w:color w:val="231F20"/>
          <w:spacing w:val="-1"/>
        </w:rPr>
        <w:t>support,</w:t>
      </w:r>
      <w:r>
        <w:rPr>
          <w:color w:val="231F20"/>
          <w:spacing w:val="-6"/>
        </w:rPr>
        <w:t> </w:t>
      </w:r>
      <w:r>
        <w:rPr>
          <w:color w:val="231F20"/>
        </w:rPr>
        <w:t>and</w:t>
      </w:r>
      <w:r>
        <w:rPr>
          <w:color w:val="231F20"/>
          <w:spacing w:val="-7"/>
        </w:rPr>
        <w:t> </w:t>
      </w:r>
      <w:r>
        <w:rPr>
          <w:color w:val="231F20"/>
        </w:rPr>
        <w:t>family</w:t>
      </w:r>
      <w:r>
        <w:rPr>
          <w:color w:val="231F20"/>
          <w:spacing w:val="-7"/>
        </w:rPr>
        <w:t> </w:t>
      </w:r>
      <w:r>
        <w:rPr>
          <w:color w:val="231F20"/>
        </w:rPr>
        <w:t>and</w:t>
      </w:r>
      <w:r>
        <w:rPr>
          <w:color w:val="231F20"/>
          <w:spacing w:val="22"/>
          <w:w w:val="99"/>
        </w:rPr>
        <w:t> </w:t>
      </w:r>
      <w:r>
        <w:rPr>
          <w:color w:val="231F20"/>
        </w:rPr>
        <w:t>community</w:t>
      </w:r>
      <w:r>
        <w:rPr>
          <w:color w:val="231F20"/>
          <w:spacing w:val="-13"/>
        </w:rPr>
        <w:t> </w:t>
      </w:r>
      <w:r>
        <w:rPr>
          <w:color w:val="231F20"/>
        </w:rPr>
        <w:t>engagement.</w:t>
      </w:r>
      <w:r>
        <w:rPr/>
      </w:r>
    </w:p>
    <w:p>
      <w:pPr>
        <w:pStyle w:val="Heading3"/>
        <w:spacing w:line="240" w:lineRule="auto"/>
        <w:ind w:left="145" w:right="0"/>
        <w:jc w:val="left"/>
      </w:pPr>
      <w:r>
        <w:rPr>
          <w:b/>
          <w:color w:val="00779B"/>
          <w:spacing w:val="-1"/>
        </w:rPr>
        <w:t>Boarding</w:t>
      </w:r>
      <w:r>
        <w:rPr>
          <w:b/>
          <w:color w:val="00779B"/>
          <w:spacing w:val="-13"/>
        </w:rPr>
        <w:t> </w:t>
      </w:r>
      <w:r>
        <w:rPr>
          <w:b/>
          <w:color w:val="00779B"/>
          <w:spacing w:val="-1"/>
        </w:rPr>
        <w:t>preparation</w:t>
      </w:r>
      <w:r>
        <w:rPr/>
      </w:r>
    </w:p>
    <w:p>
      <w:pPr>
        <w:pStyle w:val="BodyText"/>
        <w:spacing w:line="250" w:lineRule="exact" w:before="64"/>
        <w:ind w:left="145" w:right="0"/>
        <w:jc w:val="left"/>
      </w:pPr>
      <w:r>
        <w:rPr>
          <w:color w:val="231F20"/>
        </w:rPr>
        <w:t>The</w:t>
      </w:r>
      <w:r>
        <w:rPr>
          <w:color w:val="231F20"/>
          <w:spacing w:val="-5"/>
        </w:rPr>
        <w:t> </w:t>
      </w:r>
      <w:r>
        <w:rPr>
          <w:color w:val="231F20"/>
          <w:spacing w:val="-1"/>
        </w:rPr>
        <w:t>investment</w:t>
      </w:r>
      <w:r>
        <w:rPr>
          <w:color w:val="231F20"/>
          <w:spacing w:val="-5"/>
        </w:rPr>
        <w:t> </w:t>
      </w:r>
      <w:r>
        <w:rPr>
          <w:color w:val="231F20"/>
          <w:spacing w:val="-1"/>
        </w:rPr>
        <w:t>in</w:t>
      </w:r>
      <w:r>
        <w:rPr>
          <w:color w:val="231F20"/>
          <w:spacing w:val="-5"/>
        </w:rPr>
        <w:t> </w:t>
      </w:r>
      <w:r>
        <w:rPr>
          <w:color w:val="231F20"/>
        </w:rPr>
        <w:t>preparation</w:t>
      </w:r>
      <w:r>
        <w:rPr>
          <w:color w:val="231F20"/>
          <w:spacing w:val="-6"/>
        </w:rPr>
        <w:t> </w:t>
      </w:r>
      <w:r>
        <w:rPr>
          <w:color w:val="231F20"/>
        </w:rPr>
        <w:t>through</w:t>
      </w:r>
      <w:r>
        <w:rPr>
          <w:color w:val="231F20"/>
          <w:spacing w:val="-6"/>
        </w:rPr>
        <w:t> </w:t>
      </w:r>
      <w:r>
        <w:rPr>
          <w:color w:val="231F20"/>
        </w:rPr>
        <w:t>fare</w:t>
      </w:r>
      <w:r>
        <w:rPr>
          <w:color w:val="231F20"/>
          <w:spacing w:val="23"/>
          <w:w w:val="99"/>
        </w:rPr>
        <w:t> </w:t>
      </w:r>
      <w:r>
        <w:rPr>
          <w:color w:val="231F20"/>
        </w:rPr>
        <w:t>allowances,</w:t>
      </w:r>
      <w:r>
        <w:rPr>
          <w:color w:val="231F20"/>
          <w:spacing w:val="-14"/>
        </w:rPr>
        <w:t> </w:t>
      </w:r>
      <w:r>
        <w:rPr>
          <w:color w:val="231F20"/>
        </w:rPr>
        <w:t>administrative</w:t>
      </w:r>
      <w:r>
        <w:rPr>
          <w:color w:val="231F20"/>
          <w:spacing w:val="-15"/>
        </w:rPr>
        <w:t> </w:t>
      </w:r>
      <w:r>
        <w:rPr>
          <w:color w:val="231F20"/>
          <w:spacing w:val="-1"/>
        </w:rPr>
        <w:t>support,</w:t>
      </w:r>
      <w:r>
        <w:rPr>
          <w:color w:val="231F20"/>
          <w:spacing w:val="-12"/>
        </w:rPr>
        <w:t> </w:t>
      </w:r>
      <w:r>
        <w:rPr>
          <w:color w:val="231F20"/>
        </w:rPr>
        <w:t>awareness</w:t>
      </w:r>
      <w:r>
        <w:rPr>
          <w:color w:val="231F20"/>
          <w:spacing w:val="22"/>
          <w:w w:val="99"/>
        </w:rPr>
        <w:t> </w:t>
      </w:r>
      <w:r>
        <w:rPr>
          <w:color w:val="231F20"/>
        </w:rPr>
        <w:t>programs,</w:t>
      </w:r>
      <w:r>
        <w:rPr>
          <w:color w:val="231F20"/>
          <w:spacing w:val="-13"/>
        </w:rPr>
        <w:t> </w:t>
      </w:r>
      <w:r>
        <w:rPr>
          <w:color w:val="231F20"/>
        </w:rPr>
        <w:t>engagement</w:t>
      </w:r>
      <w:r>
        <w:rPr>
          <w:color w:val="231F20"/>
          <w:spacing w:val="-13"/>
        </w:rPr>
        <w:t> </w:t>
      </w:r>
      <w:r>
        <w:rPr>
          <w:color w:val="231F20"/>
        </w:rPr>
        <w:t>and</w:t>
      </w:r>
      <w:r>
        <w:rPr>
          <w:color w:val="231F20"/>
          <w:spacing w:val="-13"/>
        </w:rPr>
        <w:t> </w:t>
      </w:r>
      <w:r>
        <w:rPr>
          <w:color w:val="231F20"/>
          <w:spacing w:val="-1"/>
        </w:rPr>
        <w:t>infrastructure</w:t>
      </w:r>
      <w:r>
        <w:rPr>
          <w:color w:val="231F20"/>
          <w:spacing w:val="20"/>
          <w:w w:val="99"/>
        </w:rPr>
        <w:t> </w:t>
      </w:r>
      <w:r>
        <w:rPr>
          <w:color w:val="231F20"/>
        </w:rPr>
        <w:t>contributes</w:t>
      </w:r>
      <w:r>
        <w:rPr>
          <w:color w:val="231F20"/>
          <w:spacing w:val="-5"/>
        </w:rPr>
        <w:t> </w:t>
      </w:r>
      <w:r>
        <w:rPr>
          <w:color w:val="231F20"/>
        </w:rPr>
        <w:t>to</w:t>
      </w:r>
      <w:r>
        <w:rPr>
          <w:color w:val="231F20"/>
          <w:spacing w:val="-5"/>
        </w:rPr>
        <w:t> </w:t>
      </w:r>
      <w:r>
        <w:rPr>
          <w:color w:val="231F20"/>
          <w:spacing w:val="-1"/>
        </w:rPr>
        <w:t>students</w:t>
      </w:r>
      <w:r>
        <w:rPr>
          <w:color w:val="231F20"/>
          <w:spacing w:val="-4"/>
        </w:rPr>
        <w:t> </w:t>
      </w:r>
      <w:r>
        <w:rPr>
          <w:color w:val="231F20"/>
        </w:rPr>
        <w:t>and</w:t>
      </w:r>
      <w:r>
        <w:rPr>
          <w:color w:val="231F20"/>
          <w:spacing w:val="-5"/>
        </w:rPr>
        <w:t> </w:t>
      </w:r>
      <w:r>
        <w:rPr>
          <w:color w:val="231F20"/>
        </w:rPr>
        <w:t>their</w:t>
      </w:r>
      <w:r>
        <w:rPr>
          <w:color w:val="231F20"/>
          <w:spacing w:val="-5"/>
        </w:rPr>
        <w:t> </w:t>
      </w:r>
      <w:r>
        <w:rPr>
          <w:color w:val="231F20"/>
        </w:rPr>
        <w:t>families</w:t>
      </w:r>
      <w:r>
        <w:rPr>
          <w:color w:val="231F20"/>
          <w:spacing w:val="-5"/>
        </w:rPr>
        <w:t> </w:t>
      </w:r>
      <w:r>
        <w:rPr>
          <w:color w:val="231F20"/>
        </w:rPr>
        <w:t>being</w:t>
      </w:r>
      <w:r>
        <w:rPr>
          <w:color w:val="231F20"/>
          <w:spacing w:val="22"/>
          <w:w w:val="99"/>
        </w:rPr>
        <w:t> </w:t>
      </w:r>
      <w:r>
        <w:rPr>
          <w:rFonts w:ascii="Segoe UI"/>
          <w:color w:val="231F20"/>
        </w:rPr>
        <w:t>more aware of the benefits and opportunities</w:t>
      </w:r>
      <w:r>
        <w:rPr>
          <w:rFonts w:ascii="Segoe UI"/>
          <w:color w:val="231F20"/>
        </w:rPr>
        <w:t> </w:t>
      </w:r>
      <w:r>
        <w:rPr>
          <w:color w:val="231F20"/>
        </w:rPr>
        <w:t>associated</w:t>
      </w:r>
      <w:r>
        <w:rPr>
          <w:color w:val="231F20"/>
          <w:spacing w:val="-8"/>
        </w:rPr>
        <w:t> </w:t>
      </w:r>
      <w:r>
        <w:rPr>
          <w:color w:val="231F20"/>
        </w:rPr>
        <w:t>with</w:t>
      </w:r>
      <w:r>
        <w:rPr>
          <w:color w:val="231F20"/>
          <w:spacing w:val="-7"/>
        </w:rPr>
        <w:t> </w:t>
      </w:r>
      <w:r>
        <w:rPr>
          <w:color w:val="231F20"/>
        </w:rPr>
        <w:t>boarding,</w:t>
      </w:r>
      <w:r>
        <w:rPr>
          <w:color w:val="231F20"/>
          <w:spacing w:val="-7"/>
        </w:rPr>
        <w:t> </w:t>
      </w:r>
      <w:r>
        <w:rPr>
          <w:color w:val="231F20"/>
        </w:rPr>
        <w:t>and</w:t>
      </w:r>
      <w:r>
        <w:rPr>
          <w:color w:val="231F20"/>
          <w:spacing w:val="-7"/>
        </w:rPr>
        <w:t> </w:t>
      </w:r>
      <w:r>
        <w:rPr>
          <w:color w:val="231F20"/>
        </w:rPr>
        <w:t>able</w:t>
      </w:r>
      <w:r>
        <w:rPr>
          <w:color w:val="231F20"/>
          <w:spacing w:val="-7"/>
        </w:rPr>
        <w:t> </w:t>
      </w:r>
      <w:r>
        <w:rPr>
          <w:color w:val="231F20"/>
        </w:rPr>
        <w:t>to</w:t>
      </w:r>
      <w:r>
        <w:rPr>
          <w:color w:val="231F20"/>
          <w:spacing w:val="-6"/>
        </w:rPr>
        <w:t> </w:t>
      </w:r>
      <w:r>
        <w:rPr>
          <w:color w:val="231F20"/>
        </w:rPr>
        <w:t>choose</w:t>
      </w:r>
      <w:r>
        <w:rPr>
          <w:color w:val="231F20"/>
          <w:w w:val="99"/>
        </w:rPr>
        <w:t> </w:t>
      </w:r>
      <w:r>
        <w:rPr>
          <w:color w:val="231F20"/>
        </w:rPr>
        <w:t>the</w:t>
      </w:r>
      <w:r>
        <w:rPr>
          <w:color w:val="231F20"/>
          <w:spacing w:val="-5"/>
        </w:rPr>
        <w:t> </w:t>
      </w:r>
      <w:r>
        <w:rPr>
          <w:color w:val="231F20"/>
          <w:spacing w:val="-1"/>
        </w:rPr>
        <w:t>school</w:t>
      </w:r>
      <w:r>
        <w:rPr>
          <w:color w:val="231F20"/>
          <w:spacing w:val="-4"/>
        </w:rPr>
        <w:t> </w:t>
      </w:r>
      <w:r>
        <w:rPr>
          <w:color w:val="231F20"/>
        </w:rPr>
        <w:t>that</w:t>
      </w:r>
      <w:r>
        <w:rPr>
          <w:color w:val="231F20"/>
          <w:spacing w:val="-5"/>
        </w:rPr>
        <w:t> </w:t>
      </w:r>
      <w:r>
        <w:rPr>
          <w:color w:val="231F20"/>
          <w:spacing w:val="-1"/>
        </w:rPr>
        <w:t>is</w:t>
      </w:r>
      <w:r>
        <w:rPr>
          <w:color w:val="231F20"/>
          <w:spacing w:val="-4"/>
        </w:rPr>
        <w:t> </w:t>
      </w:r>
      <w:r>
        <w:rPr>
          <w:color w:val="231F20"/>
        </w:rPr>
        <w:t>right</w:t>
      </w:r>
      <w:r>
        <w:rPr>
          <w:color w:val="231F20"/>
          <w:spacing w:val="-5"/>
        </w:rPr>
        <w:t> </w:t>
      </w:r>
      <w:r>
        <w:rPr>
          <w:color w:val="231F20"/>
        </w:rPr>
        <w:t>for</w:t>
      </w:r>
      <w:r>
        <w:rPr>
          <w:color w:val="231F20"/>
          <w:spacing w:val="-4"/>
        </w:rPr>
        <w:t> </w:t>
      </w:r>
      <w:r>
        <w:rPr>
          <w:color w:val="231F20"/>
        </w:rPr>
        <w:t>them.</w:t>
      </w:r>
      <w:r>
        <w:rPr>
          <w:color w:val="231F20"/>
          <w:spacing w:val="-5"/>
        </w:rPr>
        <w:t> </w:t>
      </w:r>
      <w:r>
        <w:rPr>
          <w:color w:val="231F20"/>
          <w:spacing w:val="-1"/>
        </w:rPr>
        <w:t>Preparation</w:t>
      </w:r>
      <w:r>
        <w:rPr>
          <w:color w:val="231F20"/>
          <w:spacing w:val="-4"/>
        </w:rPr>
        <w:t> </w:t>
      </w:r>
      <w:r>
        <w:rPr>
          <w:color w:val="231F20"/>
        </w:rPr>
        <w:t>of</w:t>
      </w:r>
      <w:r>
        <w:rPr>
          <w:color w:val="231F20"/>
          <w:spacing w:val="24"/>
          <w:w w:val="99"/>
        </w:rPr>
        <w:t> </w:t>
      </w:r>
      <w:r>
        <w:rPr>
          <w:color w:val="231F20"/>
        </w:rPr>
        <w:t>a</w:t>
      </w:r>
      <w:r>
        <w:rPr>
          <w:color w:val="231F20"/>
          <w:spacing w:val="-7"/>
        </w:rPr>
        <w:t> </w:t>
      </w:r>
      <w:r>
        <w:rPr>
          <w:color w:val="231F20"/>
          <w:spacing w:val="-1"/>
        </w:rPr>
        <w:t>school</w:t>
      </w:r>
      <w:r>
        <w:rPr>
          <w:color w:val="231F20"/>
          <w:spacing w:val="-6"/>
        </w:rPr>
        <w:t> </w:t>
      </w:r>
      <w:r>
        <w:rPr>
          <w:color w:val="231F20"/>
        </w:rPr>
        <w:t>and</w:t>
      </w:r>
      <w:r>
        <w:rPr>
          <w:color w:val="231F20"/>
          <w:spacing w:val="-8"/>
        </w:rPr>
        <w:t> </w:t>
      </w:r>
      <w:r>
        <w:rPr>
          <w:color w:val="231F20"/>
        </w:rPr>
        <w:t>boarding</w:t>
      </w:r>
      <w:r>
        <w:rPr>
          <w:color w:val="231F20"/>
          <w:spacing w:val="-7"/>
        </w:rPr>
        <w:t> </w:t>
      </w:r>
      <w:r>
        <w:rPr>
          <w:color w:val="231F20"/>
        </w:rPr>
        <w:t>residence</w:t>
      </w:r>
      <w:r>
        <w:rPr>
          <w:color w:val="231F20"/>
          <w:spacing w:val="-8"/>
        </w:rPr>
        <w:t> </w:t>
      </w:r>
      <w:r>
        <w:rPr>
          <w:color w:val="231F20"/>
        </w:rPr>
        <w:t>environment</w:t>
      </w:r>
      <w:r>
        <w:rPr>
          <w:color w:val="231F20"/>
          <w:spacing w:val="21"/>
          <w:w w:val="99"/>
        </w:rPr>
        <w:t> </w:t>
      </w:r>
      <w:r>
        <w:rPr>
          <w:color w:val="231F20"/>
        </w:rPr>
        <w:t>as</w:t>
      </w:r>
      <w:r>
        <w:rPr>
          <w:color w:val="231F20"/>
          <w:spacing w:val="-8"/>
        </w:rPr>
        <w:t> </w:t>
      </w:r>
      <w:r>
        <w:rPr>
          <w:color w:val="231F20"/>
        </w:rPr>
        <w:t>culturally</w:t>
      </w:r>
      <w:r>
        <w:rPr>
          <w:color w:val="231F20"/>
          <w:spacing w:val="-8"/>
        </w:rPr>
        <w:t> </w:t>
      </w:r>
      <w:r>
        <w:rPr>
          <w:color w:val="231F20"/>
        </w:rPr>
        <w:t>appropriate</w:t>
      </w:r>
      <w:r>
        <w:rPr>
          <w:color w:val="231F20"/>
          <w:spacing w:val="-7"/>
        </w:rPr>
        <w:t> </w:t>
      </w:r>
      <w:r>
        <w:rPr>
          <w:color w:val="231F20"/>
        </w:rPr>
        <w:t>and</w:t>
      </w:r>
      <w:r>
        <w:rPr>
          <w:color w:val="231F20"/>
          <w:spacing w:val="-8"/>
        </w:rPr>
        <w:t> </w:t>
      </w:r>
      <w:r>
        <w:rPr>
          <w:color w:val="231F20"/>
        </w:rPr>
        <w:t>welcoming</w:t>
      </w:r>
      <w:r>
        <w:rPr>
          <w:color w:val="231F20"/>
          <w:spacing w:val="-9"/>
        </w:rPr>
        <w:t> </w:t>
      </w:r>
      <w:r>
        <w:rPr>
          <w:color w:val="231F20"/>
        </w:rPr>
        <w:t>to</w:t>
      </w:r>
      <w:r>
        <w:rPr>
          <w:color w:val="231F20"/>
          <w:w w:val="99"/>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5"/>
        </w:rPr>
        <w:t> </w:t>
      </w:r>
      <w:r>
        <w:rPr>
          <w:color w:val="231F20"/>
          <w:spacing w:val="-1"/>
        </w:rPr>
        <w:t>Islander</w:t>
      </w:r>
      <w:r>
        <w:rPr>
          <w:color w:val="231F20"/>
          <w:spacing w:val="-5"/>
        </w:rPr>
        <w:t> </w:t>
      </w:r>
      <w:r>
        <w:rPr>
          <w:color w:val="231F20"/>
          <w:spacing w:val="-1"/>
        </w:rPr>
        <w:t>students</w:t>
      </w:r>
      <w:r>
        <w:rPr/>
      </w:r>
    </w:p>
    <w:p>
      <w:pPr>
        <w:pStyle w:val="BodyText"/>
        <w:spacing w:line="250" w:lineRule="exact"/>
        <w:ind w:left="145" w:right="0"/>
        <w:jc w:val="left"/>
      </w:pPr>
      <w:r>
        <w:rPr>
          <w:color w:val="231F20"/>
          <w:spacing w:val="-1"/>
        </w:rPr>
        <w:t>is</w:t>
      </w:r>
      <w:r>
        <w:rPr>
          <w:color w:val="231F20"/>
          <w:spacing w:val="-7"/>
        </w:rPr>
        <w:t> </w:t>
      </w:r>
      <w:r>
        <w:rPr>
          <w:color w:val="231F20"/>
        </w:rPr>
        <w:t>an</w:t>
      </w:r>
      <w:r>
        <w:rPr>
          <w:color w:val="231F20"/>
          <w:spacing w:val="-7"/>
        </w:rPr>
        <w:t> </w:t>
      </w:r>
      <w:r>
        <w:rPr>
          <w:color w:val="231F20"/>
          <w:spacing w:val="-1"/>
        </w:rPr>
        <w:t>important</w:t>
      </w:r>
      <w:r>
        <w:rPr>
          <w:color w:val="231F20"/>
          <w:spacing w:val="-6"/>
        </w:rPr>
        <w:t> </w:t>
      </w:r>
      <w:r>
        <w:rPr>
          <w:color w:val="231F20"/>
        </w:rPr>
        <w:t>contributing</w:t>
      </w:r>
      <w:r>
        <w:rPr>
          <w:color w:val="231F20"/>
          <w:spacing w:val="-7"/>
        </w:rPr>
        <w:t> </w:t>
      </w:r>
      <w:r>
        <w:rPr>
          <w:color w:val="231F20"/>
        </w:rPr>
        <w:t>element.</w:t>
      </w:r>
      <w:r>
        <w:rPr>
          <w:color w:val="231F20"/>
          <w:spacing w:val="-7"/>
        </w:rPr>
        <w:t> </w:t>
      </w:r>
      <w:r>
        <w:rPr>
          <w:color w:val="231F20"/>
        </w:rPr>
        <w:t>This</w:t>
      </w:r>
      <w:r>
        <w:rPr>
          <w:color w:val="231F20"/>
          <w:spacing w:val="23"/>
        </w:rPr>
        <w:t> </w:t>
      </w:r>
      <w:r>
        <w:rPr>
          <w:color w:val="231F20"/>
          <w:spacing w:val="-1"/>
        </w:rPr>
        <w:t>includes</w:t>
      </w:r>
      <w:r>
        <w:rPr>
          <w:color w:val="231F20"/>
          <w:spacing w:val="-3"/>
        </w:rPr>
        <w:t> </w:t>
      </w:r>
      <w:r>
        <w:rPr>
          <w:color w:val="231F20"/>
        </w:rPr>
        <w:t>the</w:t>
      </w:r>
      <w:r>
        <w:rPr>
          <w:color w:val="231F20"/>
          <w:spacing w:val="-3"/>
        </w:rPr>
        <w:t> </w:t>
      </w:r>
      <w:r>
        <w:rPr>
          <w:color w:val="231F20"/>
        </w:rPr>
        <w:t>design</w:t>
      </w:r>
      <w:r>
        <w:rPr>
          <w:color w:val="231F20"/>
          <w:spacing w:val="-3"/>
        </w:rPr>
        <w:t> </w:t>
      </w:r>
      <w:r>
        <w:rPr>
          <w:color w:val="231F20"/>
        </w:rPr>
        <w:t>of</w:t>
      </w:r>
      <w:r>
        <w:rPr>
          <w:color w:val="231F20"/>
          <w:spacing w:val="-2"/>
        </w:rPr>
        <w:t> </w:t>
      </w:r>
      <w:r>
        <w:rPr>
          <w:color w:val="231F20"/>
        </w:rPr>
        <w:t>facilities,</w:t>
      </w:r>
      <w:r>
        <w:rPr>
          <w:color w:val="231F20"/>
          <w:spacing w:val="-4"/>
        </w:rPr>
        <w:t> </w:t>
      </w:r>
      <w:r>
        <w:rPr>
          <w:color w:val="231F20"/>
        </w:rPr>
        <w:t>cultural</w:t>
      </w:r>
      <w:r>
        <w:rPr>
          <w:color w:val="231F20"/>
          <w:spacing w:val="22"/>
          <w:w w:val="99"/>
        </w:rPr>
        <w:t> </w:t>
      </w:r>
      <w:r>
        <w:rPr>
          <w:rFonts w:ascii="Segoe UI"/>
          <w:color w:val="231F20"/>
        </w:rPr>
        <w:t>awareness</w:t>
      </w:r>
      <w:r>
        <w:rPr>
          <w:rFonts w:ascii="Segoe UI"/>
          <w:color w:val="231F20"/>
          <w:spacing w:val="-1"/>
        </w:rPr>
        <w:t> </w:t>
      </w:r>
      <w:r>
        <w:rPr>
          <w:rFonts w:ascii="Segoe UI"/>
          <w:color w:val="231F20"/>
        </w:rPr>
        <w:t>and</w:t>
      </w:r>
      <w:r>
        <w:rPr>
          <w:rFonts w:ascii="Segoe UI"/>
          <w:color w:val="231F20"/>
          <w:spacing w:val="-1"/>
        </w:rPr>
        <w:t> </w:t>
      </w:r>
      <w:r>
        <w:rPr>
          <w:rFonts w:ascii="Segoe UI"/>
          <w:color w:val="231F20"/>
        </w:rPr>
        <w:t>training for</w:t>
      </w:r>
      <w:r>
        <w:rPr>
          <w:rFonts w:ascii="Segoe UI"/>
          <w:color w:val="231F20"/>
          <w:spacing w:val="-1"/>
        </w:rPr>
        <w:t> </w:t>
      </w:r>
      <w:r>
        <w:rPr>
          <w:rFonts w:ascii="Segoe UI"/>
          <w:color w:val="231F20"/>
        </w:rPr>
        <w:t>staff</w:t>
      </w:r>
      <w:r>
        <w:rPr>
          <w:rFonts w:ascii="Segoe UI"/>
          <w:color w:val="231F20"/>
          <w:spacing w:val="-1"/>
        </w:rPr>
        <w:t> </w:t>
      </w:r>
      <w:r>
        <w:rPr>
          <w:rFonts w:ascii="Segoe UI"/>
          <w:color w:val="231F20"/>
        </w:rPr>
        <w:t>and students,</w:t>
      </w:r>
      <w:r>
        <w:rPr>
          <w:rFonts w:ascii="Segoe UI"/>
          <w:color w:val="231F20"/>
        </w:rPr>
        <w:t> </w:t>
      </w:r>
      <w:r>
        <w:rPr>
          <w:color w:val="231F20"/>
        </w:rPr>
        <w:t>addressing</w:t>
      </w:r>
      <w:r>
        <w:rPr>
          <w:color w:val="231F20"/>
          <w:spacing w:val="-7"/>
        </w:rPr>
        <w:t> </w:t>
      </w:r>
      <w:r>
        <w:rPr>
          <w:color w:val="231F20"/>
          <w:spacing w:val="-1"/>
        </w:rPr>
        <w:t>institutional</w:t>
      </w:r>
      <w:r>
        <w:rPr>
          <w:color w:val="231F20"/>
          <w:spacing w:val="-6"/>
        </w:rPr>
        <w:t> </w:t>
      </w:r>
      <w:r>
        <w:rPr>
          <w:color w:val="231F20"/>
        </w:rPr>
        <w:t>racism</w:t>
      </w:r>
      <w:r>
        <w:rPr>
          <w:color w:val="231F20"/>
          <w:spacing w:val="-6"/>
        </w:rPr>
        <w:t> </w:t>
      </w:r>
      <w:r>
        <w:rPr>
          <w:color w:val="231F20"/>
        </w:rPr>
        <w:t>and</w:t>
      </w:r>
      <w:r>
        <w:rPr>
          <w:color w:val="231F20"/>
          <w:spacing w:val="-7"/>
        </w:rPr>
        <w:t> </w:t>
      </w:r>
      <w:r>
        <w:rPr>
          <w:color w:val="231F20"/>
        </w:rPr>
        <w:t>promoting</w:t>
      </w:r>
      <w:r>
        <w:rPr>
          <w:color w:val="231F20"/>
          <w:spacing w:val="22"/>
          <w:w w:val="99"/>
        </w:rPr>
        <w:t> </w:t>
      </w:r>
      <w:r>
        <w:rPr>
          <w:color w:val="231F20"/>
          <w:spacing w:val="-1"/>
        </w:rPr>
        <w:t>inclusion</w:t>
      </w:r>
      <w:r>
        <w:rPr>
          <w:color w:val="231F20"/>
          <w:spacing w:val="-6"/>
        </w:rPr>
        <w:t> </w:t>
      </w:r>
      <w:r>
        <w:rPr>
          <w:color w:val="231F20"/>
        </w:rPr>
        <w:t>and</w:t>
      </w:r>
      <w:r>
        <w:rPr>
          <w:color w:val="231F20"/>
          <w:spacing w:val="-7"/>
        </w:rPr>
        <w:t> </w:t>
      </w:r>
      <w:r>
        <w:rPr>
          <w:color w:val="231F20"/>
        </w:rPr>
        <w:t>diversity.</w:t>
      </w:r>
      <w:r>
        <w:rPr/>
      </w:r>
    </w:p>
    <w:p>
      <w:pPr>
        <w:pStyle w:val="BodyText"/>
        <w:spacing w:line="250" w:lineRule="exact" w:before="113"/>
        <w:ind w:left="145" w:right="40"/>
        <w:jc w:val="left"/>
      </w:pPr>
      <w:r>
        <w:rPr>
          <w:color w:val="231F20"/>
          <w:spacing w:val="-1"/>
        </w:rPr>
        <w:t>Boarding</w:t>
      </w:r>
      <w:r>
        <w:rPr>
          <w:color w:val="231F20"/>
          <w:spacing w:val="-10"/>
        </w:rPr>
        <w:t> </w:t>
      </w:r>
      <w:r>
        <w:rPr>
          <w:color w:val="231F20"/>
        </w:rPr>
        <w:t>preparation</w:t>
      </w:r>
      <w:r>
        <w:rPr>
          <w:color w:val="231F20"/>
          <w:spacing w:val="-11"/>
        </w:rPr>
        <w:t> </w:t>
      </w:r>
      <w:r>
        <w:rPr>
          <w:color w:val="231F20"/>
        </w:rPr>
        <w:t>contributes</w:t>
      </w:r>
      <w:r>
        <w:rPr>
          <w:color w:val="231F20"/>
          <w:spacing w:val="-10"/>
        </w:rPr>
        <w:t> </w:t>
      </w:r>
      <w:r>
        <w:rPr>
          <w:color w:val="231F20"/>
        </w:rPr>
        <w:t>to</w:t>
      </w:r>
      <w:r>
        <w:rPr>
          <w:color w:val="231F20"/>
          <w:spacing w:val="-10"/>
        </w:rPr>
        <w:t> </w:t>
      </w:r>
      <w:r>
        <w:rPr>
          <w:color w:val="231F20"/>
          <w:spacing w:val="-1"/>
        </w:rPr>
        <w:t>increased</w:t>
      </w:r>
      <w:r>
        <w:rPr>
          <w:color w:val="231F20"/>
          <w:spacing w:val="21"/>
          <w:w w:val="99"/>
        </w:rPr>
        <w:t> </w:t>
      </w:r>
      <w:r>
        <w:rPr>
          <w:color w:val="231F20"/>
        </w:rPr>
        <w:t>access</w:t>
      </w:r>
      <w:r>
        <w:rPr>
          <w:color w:val="231F20"/>
          <w:spacing w:val="-8"/>
        </w:rPr>
        <w:t> </w:t>
      </w:r>
      <w:r>
        <w:rPr>
          <w:color w:val="231F20"/>
        </w:rPr>
        <w:t>to</w:t>
      </w:r>
      <w:r>
        <w:rPr>
          <w:color w:val="231F20"/>
          <w:spacing w:val="-6"/>
        </w:rPr>
        <w:t> </w:t>
      </w:r>
      <w:r>
        <w:rPr>
          <w:color w:val="231F20"/>
        </w:rPr>
        <w:t>educational</w:t>
      </w:r>
      <w:r>
        <w:rPr>
          <w:color w:val="231F20"/>
          <w:spacing w:val="-8"/>
        </w:rPr>
        <w:t> </w:t>
      </w:r>
      <w:r>
        <w:rPr>
          <w:color w:val="231F20"/>
        </w:rPr>
        <w:t>opportunities</w:t>
      </w:r>
      <w:r>
        <w:rPr>
          <w:color w:val="231F20"/>
          <w:spacing w:val="-7"/>
        </w:rPr>
        <w:t> </w:t>
      </w:r>
      <w:r>
        <w:rPr>
          <w:color w:val="231F20"/>
        </w:rPr>
        <w:t>and</w:t>
      </w:r>
      <w:r>
        <w:rPr>
          <w:color w:val="231F20"/>
          <w:spacing w:val="-7"/>
        </w:rPr>
        <w:t> </w:t>
      </w:r>
      <w:r>
        <w:rPr>
          <w:color w:val="231F20"/>
          <w:spacing w:val="-7"/>
        </w:rPr>
      </w:r>
      <w:r>
        <w:rPr>
          <w:color w:val="231F20"/>
        </w:rPr>
        <w:t>being</w:t>
      </w:r>
      <w:r>
        <w:rPr>
          <w:color w:val="231F20"/>
          <w:spacing w:val="-1"/>
        </w:rPr>
        <w:t> more</w:t>
      </w:r>
      <w:r>
        <w:rPr>
          <w:color w:val="231F20"/>
          <w:spacing w:val="-8"/>
        </w:rPr>
        <w:t> </w:t>
      </w:r>
      <w:r>
        <w:rPr>
          <w:color w:val="231F20"/>
        </w:rPr>
        <w:t>prepared,</w:t>
      </w:r>
      <w:r>
        <w:rPr>
          <w:color w:val="231F20"/>
          <w:spacing w:val="-8"/>
        </w:rPr>
        <w:t> </w:t>
      </w:r>
      <w:r>
        <w:rPr>
          <w:color w:val="231F20"/>
        </w:rPr>
        <w:t>both</w:t>
      </w:r>
      <w:r>
        <w:rPr>
          <w:color w:val="231F20"/>
          <w:spacing w:val="-9"/>
        </w:rPr>
        <w:t> </w:t>
      </w:r>
      <w:r>
        <w:rPr>
          <w:color w:val="231F20"/>
        </w:rPr>
        <w:t>practically</w:t>
      </w:r>
      <w:r>
        <w:rPr>
          <w:color w:val="231F20"/>
          <w:spacing w:val="-8"/>
        </w:rPr>
        <w:t> </w:t>
      </w:r>
      <w:r>
        <w:rPr>
          <w:color w:val="231F20"/>
        </w:rPr>
        <w:t>and</w:t>
      </w:r>
      <w:r>
        <w:rPr/>
      </w:r>
    </w:p>
    <w:p>
      <w:pPr>
        <w:pStyle w:val="BodyText"/>
        <w:spacing w:line="250" w:lineRule="exact"/>
        <w:ind w:left="145" w:right="0"/>
        <w:jc w:val="left"/>
      </w:pPr>
      <w:r>
        <w:rPr>
          <w:color w:val="231F20"/>
        </w:rPr>
        <w:t>psychologically</w:t>
      </w:r>
      <w:r>
        <w:rPr>
          <w:color w:val="231F20"/>
          <w:spacing w:val="-8"/>
        </w:rPr>
        <w:t> </w:t>
      </w:r>
      <w:r>
        <w:rPr>
          <w:color w:val="231F20"/>
        </w:rPr>
        <w:t>for</w:t>
      </w:r>
      <w:r>
        <w:rPr>
          <w:color w:val="231F20"/>
          <w:spacing w:val="-7"/>
        </w:rPr>
        <w:t> </w:t>
      </w:r>
      <w:r>
        <w:rPr>
          <w:color w:val="231F20"/>
        </w:rPr>
        <w:t>boarding,</w:t>
      </w:r>
      <w:r>
        <w:rPr>
          <w:color w:val="231F20"/>
          <w:spacing w:val="-7"/>
        </w:rPr>
        <w:t> </w:t>
      </w:r>
      <w:r>
        <w:rPr>
          <w:color w:val="231F20"/>
        </w:rPr>
        <w:t>which</w:t>
      </w:r>
      <w:r>
        <w:rPr>
          <w:color w:val="231F20"/>
          <w:spacing w:val="-8"/>
        </w:rPr>
        <w:t> </w:t>
      </w:r>
      <w:r>
        <w:rPr>
          <w:color w:val="231F20"/>
        </w:rPr>
        <w:t>contributes</w:t>
      </w:r>
      <w:r>
        <w:rPr>
          <w:color w:val="231F20"/>
          <w:w w:val="99"/>
        </w:rPr>
        <w:t> </w:t>
      </w:r>
      <w:r>
        <w:rPr>
          <w:color w:val="231F20"/>
        </w:rPr>
        <w:t>to</w:t>
      </w:r>
      <w:r>
        <w:rPr>
          <w:color w:val="231F20"/>
          <w:spacing w:val="-5"/>
        </w:rPr>
        <w:t> </w:t>
      </w:r>
      <w:r>
        <w:rPr>
          <w:color w:val="231F20"/>
          <w:spacing w:val="-1"/>
        </w:rPr>
        <w:t>increased</w:t>
      </w:r>
      <w:r>
        <w:rPr>
          <w:color w:val="231F20"/>
          <w:spacing w:val="-4"/>
        </w:rPr>
        <w:t> </w:t>
      </w:r>
      <w:r>
        <w:rPr>
          <w:color w:val="231F20"/>
        </w:rPr>
        <w:t>access</w:t>
      </w:r>
      <w:r>
        <w:rPr>
          <w:color w:val="231F20"/>
          <w:spacing w:val="-6"/>
        </w:rPr>
        <w:t> </w:t>
      </w:r>
      <w:r>
        <w:rPr>
          <w:color w:val="231F20"/>
        </w:rPr>
        <w:t>to</w:t>
      </w:r>
      <w:r>
        <w:rPr>
          <w:color w:val="231F20"/>
          <w:spacing w:val="-4"/>
        </w:rPr>
        <w:t> </w:t>
      </w:r>
      <w:r>
        <w:rPr>
          <w:color w:val="231F20"/>
        </w:rPr>
        <w:t>educational</w:t>
      </w:r>
      <w:r>
        <w:rPr>
          <w:color w:val="231F20"/>
          <w:spacing w:val="-6"/>
        </w:rPr>
        <w:t> </w:t>
      </w:r>
      <w:r>
        <w:rPr>
          <w:color w:val="231F20"/>
        </w:rPr>
        <w:t>outcomes</w:t>
      </w:r>
      <w:r>
        <w:rPr>
          <w:color w:val="231F20"/>
          <w:spacing w:val="22"/>
        </w:rPr>
        <w:t> </w:t>
      </w:r>
      <w:r>
        <w:rPr>
          <w:color w:val="231F20"/>
        </w:rPr>
        <w:t>and</w:t>
      </w:r>
      <w:r>
        <w:rPr>
          <w:color w:val="231F20"/>
          <w:spacing w:val="-8"/>
        </w:rPr>
        <w:t> </w:t>
      </w:r>
      <w:r>
        <w:rPr>
          <w:color w:val="231F20"/>
          <w:spacing w:val="-1"/>
        </w:rPr>
        <w:t>school</w:t>
      </w:r>
      <w:r>
        <w:rPr>
          <w:color w:val="231F20"/>
          <w:spacing w:val="-7"/>
        </w:rPr>
        <w:t> </w:t>
      </w:r>
      <w:r>
        <w:rPr>
          <w:color w:val="231F20"/>
        </w:rPr>
        <w:t>attendance.</w:t>
      </w:r>
      <w:r>
        <w:rPr/>
      </w:r>
    </w:p>
    <w:p>
      <w:pPr>
        <w:pStyle w:val="Heading3"/>
        <w:spacing w:line="240" w:lineRule="auto"/>
        <w:ind w:left="145" w:right="0"/>
        <w:jc w:val="left"/>
      </w:pPr>
      <w:r>
        <w:rPr>
          <w:b/>
          <w:color w:val="00779B"/>
          <w:spacing w:val="-2"/>
        </w:rPr>
        <w:t>Student</w:t>
      </w:r>
      <w:r>
        <w:rPr>
          <w:b/>
          <w:color w:val="00779B"/>
        </w:rPr>
        <w:t> </w:t>
      </w:r>
      <w:r>
        <w:rPr>
          <w:b/>
          <w:color w:val="00779B"/>
          <w:spacing w:val="-2"/>
        </w:rPr>
        <w:t>travel</w:t>
      </w:r>
      <w:r>
        <w:rPr/>
      </w:r>
    </w:p>
    <w:p>
      <w:pPr>
        <w:pStyle w:val="BodyText"/>
        <w:spacing w:line="250" w:lineRule="exact" w:before="64"/>
        <w:ind w:left="145" w:right="40"/>
        <w:jc w:val="left"/>
      </w:pPr>
      <w:r>
        <w:rPr>
          <w:color w:val="231F20"/>
          <w:spacing w:val="-1"/>
        </w:rPr>
        <w:t>Investment</w:t>
      </w:r>
      <w:r>
        <w:rPr>
          <w:color w:val="231F20"/>
          <w:spacing w:val="-6"/>
        </w:rPr>
        <w:t> </w:t>
      </w:r>
      <w:r>
        <w:rPr>
          <w:color w:val="231F20"/>
          <w:spacing w:val="-1"/>
        </w:rPr>
        <w:t>in</w:t>
      </w:r>
      <w:r>
        <w:rPr>
          <w:color w:val="231F20"/>
          <w:spacing w:val="-5"/>
        </w:rPr>
        <w:t> </w:t>
      </w:r>
      <w:r>
        <w:rPr>
          <w:color w:val="231F20"/>
        </w:rPr>
        <w:t>travel</w:t>
      </w:r>
      <w:r>
        <w:rPr>
          <w:color w:val="231F20"/>
          <w:spacing w:val="-6"/>
        </w:rPr>
        <w:t> </w:t>
      </w:r>
      <w:r>
        <w:rPr>
          <w:color w:val="231F20"/>
        </w:rPr>
        <w:t>through</w:t>
      </w:r>
      <w:r>
        <w:rPr>
          <w:color w:val="231F20"/>
          <w:spacing w:val="-6"/>
        </w:rPr>
        <w:t> </w:t>
      </w:r>
      <w:r>
        <w:rPr>
          <w:color w:val="231F20"/>
        </w:rPr>
        <w:t>fare</w:t>
      </w:r>
      <w:r>
        <w:rPr>
          <w:color w:val="231F20"/>
          <w:spacing w:val="-5"/>
        </w:rPr>
        <w:t> </w:t>
      </w:r>
      <w:r>
        <w:rPr>
          <w:color w:val="231F20"/>
        </w:rPr>
        <w:t>allowances,</w:t>
      </w:r>
      <w:r>
        <w:rPr>
          <w:color w:val="231F20"/>
          <w:spacing w:val="23"/>
          <w:w w:val="99"/>
        </w:rPr>
        <w:t> </w:t>
      </w:r>
      <w:r>
        <w:rPr>
          <w:color w:val="231F20"/>
        </w:rPr>
        <w:t>administrative</w:t>
      </w:r>
      <w:r>
        <w:rPr>
          <w:color w:val="231F20"/>
          <w:spacing w:val="-14"/>
        </w:rPr>
        <w:t> </w:t>
      </w:r>
      <w:r>
        <w:rPr>
          <w:color w:val="231F20"/>
          <w:spacing w:val="-1"/>
        </w:rPr>
        <w:t>support,</w:t>
      </w:r>
      <w:r>
        <w:rPr>
          <w:color w:val="231F20"/>
          <w:spacing w:val="-11"/>
        </w:rPr>
        <w:t> </w:t>
      </w:r>
      <w:r>
        <w:rPr>
          <w:color w:val="231F20"/>
          <w:spacing w:val="-1"/>
        </w:rPr>
        <w:t>infrastructure</w:t>
      </w:r>
      <w:r>
        <w:rPr>
          <w:color w:val="231F20"/>
          <w:spacing w:val="-10"/>
        </w:rPr>
        <w:t> </w:t>
      </w:r>
      <w:r>
        <w:rPr>
          <w:color w:val="231F20"/>
        </w:rPr>
        <w:t>and</w:t>
      </w:r>
      <w:r>
        <w:rPr>
          <w:color w:val="231F20"/>
          <w:spacing w:val="23"/>
          <w:w w:val="99"/>
        </w:rPr>
        <w:t> </w:t>
      </w:r>
      <w:r>
        <w:rPr>
          <w:color w:val="231F20"/>
          <w:spacing w:val="-1"/>
        </w:rPr>
        <w:t>scholarships</w:t>
      </w:r>
      <w:r>
        <w:rPr>
          <w:color w:val="231F20"/>
          <w:spacing w:val="-7"/>
        </w:rPr>
        <w:t> </w:t>
      </w:r>
      <w:r>
        <w:rPr>
          <w:color w:val="231F20"/>
        </w:rPr>
        <w:t>enables:</w:t>
      </w:r>
      <w:r>
        <w:rPr/>
      </w:r>
    </w:p>
    <w:p>
      <w:pPr>
        <w:pStyle w:val="BodyText"/>
        <w:spacing w:line="250" w:lineRule="exact" w:before="113"/>
        <w:ind w:left="372" w:right="0" w:hanging="227"/>
        <w:jc w:val="left"/>
      </w:pPr>
      <w:r>
        <w:rPr>
          <w:rFonts w:ascii="Century Gothic" w:hAnsi="Century Gothic"/>
          <w:color w:val="231F20"/>
        </w:rPr>
        <w:t>» </w:t>
      </w:r>
      <w:r>
        <w:rPr>
          <w:rFonts w:ascii="Century Gothic" w:hAnsi="Century Gothic"/>
          <w:color w:val="231F20"/>
          <w:spacing w:val="26"/>
        </w:rPr>
        <w:t> </w:t>
      </w:r>
      <w:r>
        <w:rPr>
          <w:color w:val="231F20"/>
          <w:spacing w:val="-1"/>
        </w:rPr>
        <w:t>students</w:t>
      </w:r>
      <w:r>
        <w:rPr>
          <w:color w:val="231F20"/>
          <w:spacing w:val="-2"/>
        </w:rPr>
        <w:t> </w:t>
      </w:r>
      <w:r>
        <w:rPr>
          <w:color w:val="231F20"/>
        </w:rPr>
        <w:t>and</w:t>
      </w:r>
      <w:r>
        <w:rPr>
          <w:color w:val="231F20"/>
          <w:spacing w:val="-3"/>
        </w:rPr>
        <w:t> </w:t>
      </w:r>
      <w:r>
        <w:rPr>
          <w:color w:val="231F20"/>
        </w:rPr>
        <w:t>their</w:t>
      </w:r>
      <w:r>
        <w:rPr>
          <w:color w:val="231F20"/>
          <w:spacing w:val="-3"/>
        </w:rPr>
        <w:t> </w:t>
      </w:r>
      <w:r>
        <w:rPr>
          <w:color w:val="231F20"/>
        </w:rPr>
        <w:t>families</w:t>
      </w:r>
      <w:r>
        <w:rPr>
          <w:color w:val="231F20"/>
          <w:spacing w:val="-3"/>
        </w:rPr>
        <w:t> </w:t>
      </w:r>
      <w:r>
        <w:rPr>
          <w:color w:val="231F20"/>
        </w:rPr>
        <w:t>to</w:t>
      </w:r>
      <w:r>
        <w:rPr>
          <w:color w:val="231F20"/>
          <w:spacing w:val="-2"/>
        </w:rPr>
        <w:t> </w:t>
      </w:r>
      <w:r>
        <w:rPr>
          <w:color w:val="231F20"/>
        </w:rPr>
        <w:t>attend</w:t>
      </w:r>
      <w:r>
        <w:rPr>
          <w:color w:val="231F20"/>
          <w:spacing w:val="-3"/>
        </w:rPr>
        <w:t> </w:t>
      </w:r>
      <w:r>
        <w:rPr>
          <w:color w:val="231F20"/>
          <w:spacing w:val="-1"/>
        </w:rPr>
        <w:t>school</w:t>
      </w:r>
      <w:r>
        <w:rPr>
          <w:color w:val="231F20"/>
          <w:spacing w:val="21"/>
        </w:rPr>
        <w:t> </w:t>
      </w:r>
      <w:r>
        <w:rPr>
          <w:color w:val="231F20"/>
          <w:spacing w:val="-1"/>
        </w:rPr>
        <w:t>interviews,</w:t>
      </w:r>
      <w:r>
        <w:rPr>
          <w:color w:val="231F20"/>
          <w:spacing w:val="-8"/>
        </w:rPr>
        <w:t> </w:t>
      </w:r>
      <w:r>
        <w:rPr>
          <w:color w:val="231F20"/>
        </w:rPr>
        <w:t>orientations</w:t>
      </w:r>
      <w:r>
        <w:rPr>
          <w:color w:val="231F20"/>
          <w:spacing w:val="-9"/>
        </w:rPr>
        <w:t> </w:t>
      </w:r>
      <w:r>
        <w:rPr>
          <w:color w:val="231F20"/>
        </w:rPr>
        <w:t>and</w:t>
      </w:r>
      <w:r>
        <w:rPr>
          <w:color w:val="231F20"/>
          <w:spacing w:val="-9"/>
        </w:rPr>
        <w:t> </w:t>
      </w:r>
      <w:r>
        <w:rPr>
          <w:color w:val="231F20"/>
        </w:rPr>
        <w:t>familiarisations,</w:t>
      </w:r>
      <w:r>
        <w:rPr>
          <w:color w:val="231F20"/>
          <w:spacing w:val="22"/>
        </w:rPr>
        <w:t> </w:t>
      </w:r>
      <w:r>
        <w:rPr>
          <w:color w:val="231F20"/>
        </w:rPr>
        <w:t>to</w:t>
      </w:r>
      <w:r>
        <w:rPr>
          <w:color w:val="231F20"/>
          <w:spacing w:val="-4"/>
        </w:rPr>
        <w:t> </w:t>
      </w:r>
      <w:r>
        <w:rPr>
          <w:color w:val="231F20"/>
        </w:rPr>
        <w:t>reunite</w:t>
      </w:r>
      <w:r>
        <w:rPr>
          <w:color w:val="231F20"/>
          <w:spacing w:val="-5"/>
        </w:rPr>
        <w:t> </w:t>
      </w:r>
      <w:r>
        <w:rPr>
          <w:color w:val="231F20"/>
        </w:rPr>
        <w:t>at</w:t>
      </w:r>
      <w:r>
        <w:rPr>
          <w:color w:val="231F20"/>
          <w:spacing w:val="-4"/>
        </w:rPr>
        <w:t> </w:t>
      </w:r>
      <w:r>
        <w:rPr>
          <w:color w:val="231F20"/>
        </w:rPr>
        <w:t>the</w:t>
      </w:r>
      <w:r>
        <w:rPr>
          <w:color w:val="231F20"/>
          <w:spacing w:val="-5"/>
        </w:rPr>
        <w:t> </w:t>
      </w:r>
      <w:r>
        <w:rPr>
          <w:color w:val="231F20"/>
        </w:rPr>
        <w:t>end</w:t>
      </w:r>
      <w:r>
        <w:rPr>
          <w:color w:val="231F20"/>
          <w:spacing w:val="-4"/>
        </w:rPr>
        <w:t> </w:t>
      </w:r>
      <w:r>
        <w:rPr>
          <w:color w:val="231F20"/>
        </w:rPr>
        <w:t>of</w:t>
      </w:r>
      <w:r>
        <w:rPr>
          <w:color w:val="231F20"/>
          <w:spacing w:val="-3"/>
        </w:rPr>
        <w:t> </w:t>
      </w:r>
      <w:r>
        <w:rPr>
          <w:color w:val="231F20"/>
        </w:rPr>
        <w:t>term</w:t>
      </w:r>
      <w:r>
        <w:rPr>
          <w:color w:val="231F20"/>
          <w:spacing w:val="-5"/>
        </w:rPr>
        <w:t> </w:t>
      </w:r>
      <w:r>
        <w:rPr>
          <w:color w:val="231F20"/>
        </w:rPr>
        <w:t>and</w:t>
      </w:r>
      <w:r>
        <w:rPr>
          <w:color w:val="231F20"/>
          <w:spacing w:val="-5"/>
        </w:rPr>
        <w:t> </w:t>
      </w:r>
      <w:r>
        <w:rPr>
          <w:color w:val="231F20"/>
        </w:rPr>
        <w:t>for</w:t>
      </w:r>
      <w:r>
        <w:rPr>
          <w:color w:val="231F20"/>
          <w:spacing w:val="-4"/>
        </w:rPr>
        <w:t> </w:t>
      </w:r>
      <w:r>
        <w:rPr>
          <w:color w:val="231F20"/>
        </w:rPr>
        <w:t>cultural</w:t>
      </w:r>
      <w:r>
        <w:rPr>
          <w:color w:val="231F20"/>
          <w:w w:val="99"/>
        </w:rPr>
        <w:t> </w:t>
      </w:r>
      <w:r>
        <w:rPr>
          <w:color w:val="231F20"/>
        </w:rPr>
        <w:t>and</w:t>
      </w:r>
      <w:r>
        <w:rPr>
          <w:color w:val="231F20"/>
          <w:spacing w:val="-7"/>
        </w:rPr>
        <w:t> </w:t>
      </w:r>
      <w:r>
        <w:rPr>
          <w:color w:val="231F20"/>
        </w:rPr>
        <w:t>compassionate</w:t>
      </w:r>
      <w:r>
        <w:rPr>
          <w:color w:val="231F20"/>
          <w:spacing w:val="-6"/>
        </w:rPr>
        <w:t> </w:t>
      </w:r>
      <w:r>
        <w:rPr>
          <w:color w:val="231F20"/>
        </w:rPr>
        <w:t>reasons</w:t>
      </w:r>
      <w:r>
        <w:rPr/>
      </w:r>
    </w:p>
    <w:p>
      <w:pPr>
        <w:pStyle w:val="BodyText"/>
        <w:spacing w:line="250" w:lineRule="exact" w:before="113"/>
        <w:ind w:left="372" w:right="40" w:hanging="227"/>
        <w:jc w:val="left"/>
      </w:pPr>
      <w:r>
        <w:rPr>
          <w:rFonts w:ascii="Century Gothic" w:hAnsi="Century Gothic"/>
          <w:color w:val="231F20"/>
        </w:rPr>
        <w:t>» </w:t>
      </w:r>
      <w:r>
        <w:rPr>
          <w:rFonts w:ascii="Century Gothic" w:hAnsi="Century Gothic"/>
          <w:color w:val="231F20"/>
          <w:spacing w:val="21"/>
        </w:rPr>
        <w:t> </w:t>
      </w:r>
      <w:r>
        <w:rPr>
          <w:color w:val="231F20"/>
          <w:spacing w:val="-1"/>
        </w:rPr>
        <w:t>students</w:t>
      </w:r>
      <w:r>
        <w:rPr>
          <w:color w:val="231F20"/>
          <w:spacing w:val="-4"/>
        </w:rPr>
        <w:t> </w:t>
      </w:r>
      <w:r>
        <w:rPr>
          <w:color w:val="231F20"/>
        </w:rPr>
        <w:t>participating</w:t>
      </w:r>
      <w:r>
        <w:rPr>
          <w:color w:val="231F20"/>
          <w:spacing w:val="-5"/>
        </w:rPr>
        <w:t> </w:t>
      </w:r>
      <w:r>
        <w:rPr>
          <w:color w:val="231F20"/>
          <w:spacing w:val="-1"/>
        </w:rPr>
        <w:t>in</w:t>
      </w:r>
      <w:r>
        <w:rPr>
          <w:color w:val="231F20"/>
          <w:spacing w:val="-4"/>
        </w:rPr>
        <w:t> </w:t>
      </w:r>
      <w:r>
        <w:rPr>
          <w:color w:val="231F20"/>
          <w:spacing w:val="-1"/>
        </w:rPr>
        <w:t>secondary</w:t>
      </w:r>
      <w:r>
        <w:rPr>
          <w:color w:val="231F20"/>
          <w:spacing w:val="22"/>
          <w:w w:val="99"/>
        </w:rPr>
        <w:t> </w:t>
      </w:r>
      <w:r>
        <w:rPr>
          <w:color w:val="231F20"/>
        </w:rPr>
        <w:t>education</w:t>
      </w:r>
      <w:r>
        <w:rPr/>
      </w:r>
    </w:p>
    <w:p>
      <w:pPr>
        <w:pStyle w:val="BodyText"/>
        <w:spacing w:line="250" w:lineRule="exact" w:before="113"/>
        <w:ind w:left="372" w:right="0" w:hanging="227"/>
        <w:jc w:val="left"/>
      </w:pPr>
      <w:r>
        <w:rPr>
          <w:rFonts w:ascii="Century Gothic" w:hAnsi="Century Gothic"/>
          <w:color w:val="231F20"/>
        </w:rPr>
        <w:t>» </w:t>
      </w:r>
      <w:r>
        <w:rPr>
          <w:rFonts w:ascii="Century Gothic" w:hAnsi="Century Gothic"/>
          <w:color w:val="231F20"/>
          <w:spacing w:val="22"/>
        </w:rPr>
        <w:t> </w:t>
      </w:r>
      <w:r>
        <w:rPr>
          <w:color w:val="231F20"/>
          <w:spacing w:val="-1"/>
        </w:rPr>
        <w:t>students</w:t>
      </w:r>
      <w:r>
        <w:rPr>
          <w:color w:val="231F20"/>
          <w:spacing w:val="-4"/>
        </w:rPr>
        <w:t> </w:t>
      </w:r>
      <w:r>
        <w:rPr>
          <w:color w:val="231F20"/>
        </w:rPr>
        <w:t>being</w:t>
      </w:r>
      <w:r>
        <w:rPr>
          <w:color w:val="231F20"/>
          <w:spacing w:val="-4"/>
        </w:rPr>
        <w:t> </w:t>
      </w:r>
      <w:r>
        <w:rPr>
          <w:color w:val="231F20"/>
          <w:spacing w:val="-1"/>
        </w:rPr>
        <w:t>supported</w:t>
      </w:r>
      <w:r>
        <w:rPr>
          <w:color w:val="231F20"/>
          <w:spacing w:val="-3"/>
        </w:rPr>
        <w:t> </w:t>
      </w:r>
      <w:r>
        <w:rPr>
          <w:color w:val="231F20"/>
        </w:rPr>
        <w:t>to</w:t>
      </w:r>
      <w:r>
        <w:rPr>
          <w:color w:val="231F20"/>
          <w:spacing w:val="-3"/>
        </w:rPr>
        <w:t> </w:t>
      </w:r>
      <w:r>
        <w:rPr>
          <w:color w:val="231F20"/>
        </w:rPr>
        <w:t>attend</w:t>
      </w:r>
      <w:r>
        <w:rPr>
          <w:color w:val="231F20"/>
          <w:spacing w:val="-5"/>
        </w:rPr>
        <w:t> </w:t>
      </w:r>
      <w:r>
        <w:rPr>
          <w:color w:val="231F20"/>
        </w:rPr>
        <w:t>and</w:t>
      </w:r>
      <w:r>
        <w:rPr>
          <w:color w:val="231F20"/>
          <w:spacing w:val="23"/>
          <w:w w:val="99"/>
        </w:rPr>
        <w:t> </w:t>
      </w:r>
      <w:r>
        <w:rPr>
          <w:color w:val="231F20"/>
        </w:rPr>
        <w:t>remain</w:t>
      </w:r>
      <w:r>
        <w:rPr>
          <w:color w:val="231F20"/>
          <w:spacing w:val="-9"/>
        </w:rPr>
        <w:t> </w:t>
      </w:r>
      <w:r>
        <w:rPr>
          <w:color w:val="231F20"/>
          <w:spacing w:val="-1"/>
        </w:rPr>
        <w:t>in</w:t>
      </w:r>
      <w:r>
        <w:rPr>
          <w:color w:val="231F20"/>
          <w:spacing w:val="-7"/>
        </w:rPr>
        <w:t> </w:t>
      </w:r>
      <w:r>
        <w:rPr>
          <w:color w:val="231F20"/>
        </w:rPr>
        <w:t>boarding,</w:t>
      </w:r>
      <w:r>
        <w:rPr/>
      </w:r>
    </w:p>
    <w:p>
      <w:pPr>
        <w:pStyle w:val="BodyText"/>
        <w:spacing w:line="250" w:lineRule="exact" w:before="113"/>
        <w:ind w:left="145" w:right="0"/>
        <w:jc w:val="left"/>
      </w:pPr>
      <w:r>
        <w:rPr>
          <w:color w:val="231F20"/>
        </w:rPr>
        <w:t>which</w:t>
      </w:r>
      <w:r>
        <w:rPr>
          <w:color w:val="231F20"/>
          <w:spacing w:val="-9"/>
        </w:rPr>
        <w:t> </w:t>
      </w:r>
      <w:r>
        <w:rPr>
          <w:color w:val="231F20"/>
        </w:rPr>
        <w:t>contributes</w:t>
      </w:r>
      <w:r>
        <w:rPr>
          <w:color w:val="231F20"/>
          <w:spacing w:val="-8"/>
        </w:rPr>
        <w:t> </w:t>
      </w:r>
      <w:r>
        <w:rPr>
          <w:color w:val="231F20"/>
        </w:rPr>
        <w:t>to</w:t>
      </w:r>
      <w:r>
        <w:rPr>
          <w:color w:val="231F20"/>
          <w:spacing w:val="-8"/>
        </w:rPr>
        <w:t> </w:t>
      </w:r>
      <w:r>
        <w:rPr>
          <w:color w:val="231F20"/>
          <w:spacing w:val="-1"/>
        </w:rPr>
        <w:t>increased</w:t>
      </w:r>
      <w:r>
        <w:rPr>
          <w:color w:val="231F20"/>
          <w:spacing w:val="-7"/>
        </w:rPr>
        <w:t> </w:t>
      </w:r>
      <w:r>
        <w:rPr>
          <w:color w:val="231F20"/>
        </w:rPr>
        <w:t>attendance</w:t>
      </w:r>
      <w:r>
        <w:rPr>
          <w:color w:val="231F20"/>
          <w:spacing w:val="-8"/>
        </w:rPr>
        <w:t> </w:t>
      </w:r>
      <w:r>
        <w:rPr>
          <w:color w:val="231F20"/>
        </w:rPr>
        <w:t>to</w:t>
      </w:r>
      <w:r>
        <w:rPr>
          <w:color w:val="231F20"/>
          <w:spacing w:val="22"/>
          <w:w w:val="99"/>
        </w:rPr>
        <w:t> </w:t>
      </w:r>
      <w:r>
        <w:rPr>
          <w:color w:val="231F20"/>
        </w:rPr>
        <w:t>access</w:t>
      </w:r>
      <w:r>
        <w:rPr>
          <w:color w:val="231F20"/>
          <w:spacing w:val="-13"/>
        </w:rPr>
        <w:t> </w:t>
      </w:r>
      <w:r>
        <w:rPr>
          <w:color w:val="231F20"/>
        </w:rPr>
        <w:t>educational</w:t>
      </w:r>
      <w:r>
        <w:rPr>
          <w:color w:val="231F20"/>
          <w:spacing w:val="-12"/>
        </w:rPr>
        <w:t> </w:t>
      </w:r>
      <w:r>
        <w:rPr>
          <w:color w:val="231F20"/>
        </w:rPr>
        <w:t>opportunities.</w:t>
      </w:r>
      <w:r>
        <w:rPr/>
      </w:r>
    </w:p>
    <w:p>
      <w:pPr>
        <w:pStyle w:val="Heading3"/>
        <w:spacing w:line="300" w:lineRule="exact" w:before="90"/>
        <w:ind w:left="145" w:right="357"/>
        <w:jc w:val="left"/>
      </w:pPr>
      <w:r>
        <w:rPr/>
        <w:br w:type="column"/>
      </w:r>
      <w:r>
        <w:rPr>
          <w:b/>
          <w:color w:val="00779B"/>
        </w:rPr>
        <w:t>In-school</w:t>
      </w:r>
      <w:r>
        <w:rPr>
          <w:b/>
          <w:color w:val="00779B"/>
          <w:spacing w:val="-3"/>
        </w:rPr>
        <w:t> </w:t>
      </w:r>
      <w:r>
        <w:rPr>
          <w:b/>
          <w:color w:val="00779B"/>
        </w:rPr>
        <w:t>and</w:t>
      </w:r>
      <w:r>
        <w:rPr>
          <w:b/>
          <w:color w:val="00779B"/>
          <w:spacing w:val="-1"/>
        </w:rPr>
        <w:t> </w:t>
      </w:r>
      <w:r>
        <w:rPr>
          <w:b/>
          <w:color w:val="00779B"/>
        </w:rPr>
        <w:t>accommodation</w:t>
      </w:r>
      <w:r>
        <w:rPr>
          <w:b/>
          <w:color w:val="00779B"/>
        </w:rPr>
        <w:t> support</w:t>
      </w:r>
      <w:r>
        <w:rPr/>
      </w:r>
    </w:p>
    <w:p>
      <w:pPr>
        <w:pStyle w:val="BodyText"/>
        <w:spacing w:line="250" w:lineRule="exact" w:before="75"/>
        <w:ind w:left="145" w:right="491"/>
        <w:jc w:val="left"/>
      </w:pPr>
      <w:r>
        <w:rPr>
          <w:color w:val="231F20"/>
        </w:rPr>
        <w:t>The</w:t>
      </w:r>
      <w:r>
        <w:rPr>
          <w:color w:val="231F20"/>
          <w:spacing w:val="-5"/>
        </w:rPr>
        <w:t> </w:t>
      </w:r>
      <w:r>
        <w:rPr>
          <w:color w:val="231F20"/>
          <w:spacing w:val="-1"/>
        </w:rPr>
        <w:t>investment</w:t>
      </w:r>
      <w:r>
        <w:rPr>
          <w:color w:val="231F20"/>
          <w:spacing w:val="-5"/>
        </w:rPr>
        <w:t> </w:t>
      </w:r>
      <w:r>
        <w:rPr>
          <w:color w:val="231F20"/>
          <w:spacing w:val="-1"/>
        </w:rPr>
        <w:t>in</w:t>
      </w:r>
      <w:r>
        <w:rPr>
          <w:color w:val="231F20"/>
          <w:spacing w:val="-5"/>
        </w:rPr>
        <w:t> </w:t>
      </w:r>
      <w:r>
        <w:rPr>
          <w:color w:val="231F20"/>
        </w:rPr>
        <w:t>allowances,</w:t>
      </w:r>
      <w:r>
        <w:rPr>
          <w:color w:val="231F20"/>
          <w:spacing w:val="-5"/>
        </w:rPr>
        <w:t> </w:t>
      </w:r>
      <w:r>
        <w:rPr>
          <w:color w:val="231F20"/>
        </w:rPr>
        <w:t>capital</w:t>
      </w:r>
      <w:r>
        <w:rPr>
          <w:color w:val="231F20"/>
          <w:spacing w:val="23"/>
          <w:w w:val="99"/>
        </w:rPr>
        <w:t> </w:t>
      </w:r>
      <w:r>
        <w:rPr>
          <w:color w:val="231F20"/>
        </w:rPr>
        <w:t>grants,</w:t>
      </w:r>
      <w:r>
        <w:rPr>
          <w:color w:val="231F20"/>
          <w:spacing w:val="-10"/>
        </w:rPr>
        <w:t> </w:t>
      </w:r>
      <w:r>
        <w:rPr>
          <w:color w:val="231F20"/>
        </w:rPr>
        <w:t>administrative</w:t>
      </w:r>
      <w:r>
        <w:rPr>
          <w:color w:val="231F20"/>
          <w:spacing w:val="-10"/>
        </w:rPr>
        <w:t> </w:t>
      </w:r>
      <w:r>
        <w:rPr>
          <w:color w:val="231F20"/>
          <w:spacing w:val="-1"/>
        </w:rPr>
        <w:t>support,</w:t>
      </w:r>
      <w:r>
        <w:rPr>
          <w:color w:val="231F20"/>
          <w:spacing w:val="-8"/>
        </w:rPr>
        <w:t> </w:t>
      </w:r>
      <w:r>
        <w:rPr>
          <w:color w:val="231F20"/>
          <w:spacing w:val="-1"/>
        </w:rPr>
        <w:t>scholarships</w:t>
      </w:r>
      <w:r>
        <w:rPr/>
      </w:r>
    </w:p>
    <w:p>
      <w:pPr>
        <w:pStyle w:val="BodyText"/>
        <w:spacing w:line="250" w:lineRule="exact"/>
        <w:ind w:left="145" w:right="155"/>
        <w:jc w:val="left"/>
      </w:pPr>
      <w:r>
        <w:rPr>
          <w:color w:val="231F20"/>
        </w:rPr>
        <w:t>entitlements</w:t>
      </w:r>
      <w:r>
        <w:rPr>
          <w:color w:val="231F20"/>
          <w:spacing w:val="-6"/>
        </w:rPr>
        <w:t> </w:t>
      </w:r>
      <w:r>
        <w:rPr>
          <w:color w:val="231F20"/>
        </w:rPr>
        <w:t>and</w:t>
      </w:r>
      <w:r>
        <w:rPr>
          <w:color w:val="231F20"/>
          <w:spacing w:val="-5"/>
        </w:rPr>
        <w:t> </w:t>
      </w:r>
      <w:r>
        <w:rPr>
          <w:color w:val="231F20"/>
        </w:rPr>
        <w:t>recurrent</w:t>
      </w:r>
      <w:r>
        <w:rPr>
          <w:color w:val="231F20"/>
          <w:spacing w:val="-5"/>
        </w:rPr>
        <w:t> </w:t>
      </w:r>
      <w:r>
        <w:rPr>
          <w:color w:val="231F20"/>
          <w:spacing w:val="-1"/>
        </w:rPr>
        <w:t>school</w:t>
      </w:r>
      <w:r>
        <w:rPr>
          <w:color w:val="231F20"/>
          <w:spacing w:val="-4"/>
        </w:rPr>
        <w:t> </w:t>
      </w:r>
      <w:r>
        <w:rPr>
          <w:color w:val="231F20"/>
        </w:rPr>
        <w:t>funding</w:t>
      </w:r>
      <w:r>
        <w:rPr>
          <w:color w:val="231F20"/>
          <w:spacing w:val="-4"/>
        </w:rPr>
        <w:t> </w:t>
      </w:r>
      <w:r>
        <w:rPr>
          <w:color w:val="231F20"/>
        </w:rPr>
        <w:t>for</w:t>
      </w:r>
      <w:r>
        <w:rPr>
          <w:color w:val="231F20"/>
          <w:spacing w:val="21"/>
          <w:w w:val="99"/>
        </w:rPr>
        <w:t> </w:t>
      </w:r>
      <w:r>
        <w:rPr>
          <w:color w:val="231F20"/>
          <w:spacing w:val="-1"/>
        </w:rPr>
        <w:t>in</w:t>
      </w:r>
      <w:r>
        <w:rPr>
          <w:color w:val="231F20"/>
          <w:spacing w:val="-6"/>
        </w:rPr>
        <w:t> </w:t>
      </w:r>
      <w:r>
        <w:rPr>
          <w:color w:val="231F20"/>
          <w:spacing w:val="-1"/>
        </w:rPr>
        <w:t>school</w:t>
      </w:r>
      <w:r>
        <w:rPr>
          <w:color w:val="231F20"/>
          <w:spacing w:val="-6"/>
        </w:rPr>
        <w:t> </w:t>
      </w:r>
      <w:r>
        <w:rPr>
          <w:color w:val="231F20"/>
        </w:rPr>
        <w:t>and</w:t>
      </w:r>
      <w:r>
        <w:rPr>
          <w:color w:val="231F20"/>
          <w:spacing w:val="-6"/>
        </w:rPr>
        <w:t> </w:t>
      </w:r>
      <w:r>
        <w:rPr>
          <w:color w:val="231F20"/>
        </w:rPr>
        <w:t>accommodation</w:t>
      </w:r>
      <w:r>
        <w:rPr>
          <w:color w:val="231F20"/>
          <w:spacing w:val="-7"/>
        </w:rPr>
        <w:t> </w:t>
      </w:r>
      <w:r>
        <w:rPr>
          <w:color w:val="231F20"/>
          <w:spacing w:val="-1"/>
        </w:rPr>
        <w:t>support</w:t>
      </w:r>
      <w:r>
        <w:rPr>
          <w:color w:val="231F20"/>
          <w:spacing w:val="-5"/>
        </w:rPr>
        <w:t> </w:t>
      </w:r>
      <w:r>
        <w:rPr>
          <w:color w:val="231F20"/>
        </w:rPr>
        <w:t>and</w:t>
      </w:r>
      <w:r>
        <w:rPr>
          <w:color w:val="231F20"/>
          <w:spacing w:val="24"/>
          <w:w w:val="99"/>
        </w:rPr>
        <w:t> </w:t>
      </w:r>
      <w:r>
        <w:rPr>
          <w:color w:val="231F20"/>
          <w:spacing w:val="-1"/>
        </w:rPr>
        <w:t>services</w:t>
      </w:r>
      <w:r>
        <w:rPr>
          <w:color w:val="231F20"/>
          <w:spacing w:val="-5"/>
        </w:rPr>
        <w:t> </w:t>
      </w:r>
      <w:r>
        <w:rPr>
          <w:color w:val="231F20"/>
        </w:rPr>
        <w:t>for</w:t>
      </w:r>
      <w:r>
        <w:rPr>
          <w:color w:val="231F20"/>
          <w:spacing w:val="-4"/>
        </w:rPr>
        <w:t> </w:t>
      </w:r>
      <w:r>
        <w:rPr>
          <w:color w:val="231F20"/>
        </w:rPr>
        <w:t>Aboriginal</w:t>
      </w:r>
      <w:r>
        <w:rPr>
          <w:color w:val="231F20"/>
          <w:spacing w:val="-4"/>
        </w:rPr>
        <w:t> </w:t>
      </w:r>
      <w:r>
        <w:rPr>
          <w:color w:val="231F20"/>
        </w:rPr>
        <w:t>and</w:t>
      </w:r>
      <w:r>
        <w:rPr>
          <w:color w:val="231F20"/>
          <w:spacing w:val="-5"/>
        </w:rPr>
        <w:t> 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20"/>
          <w:w w:val="99"/>
        </w:rPr>
        <w:t> </w:t>
      </w:r>
      <w:r>
        <w:rPr>
          <w:color w:val="231F20"/>
        </w:rPr>
        <w:t>boarding</w:t>
      </w:r>
      <w:r>
        <w:rPr>
          <w:color w:val="231F20"/>
          <w:spacing w:val="-8"/>
        </w:rPr>
        <w:t> </w:t>
      </w:r>
      <w:r>
        <w:rPr>
          <w:color w:val="231F20"/>
          <w:spacing w:val="-1"/>
        </w:rPr>
        <w:t>students</w:t>
      </w:r>
      <w:r>
        <w:rPr>
          <w:color w:val="231F20"/>
          <w:spacing w:val="-8"/>
        </w:rPr>
        <w:t> </w:t>
      </w:r>
      <w:r>
        <w:rPr>
          <w:color w:val="231F20"/>
        </w:rPr>
        <w:t>contributes</w:t>
      </w:r>
      <w:r>
        <w:rPr>
          <w:color w:val="231F20"/>
          <w:spacing w:val="-8"/>
        </w:rPr>
        <w:t> </w:t>
      </w:r>
      <w:r>
        <w:rPr>
          <w:color w:val="231F20"/>
        </w:rPr>
        <w:t>to</w:t>
      </w:r>
      <w:r>
        <w:rPr>
          <w:color w:val="231F20"/>
          <w:spacing w:val="-7"/>
        </w:rPr>
        <w:t> </w:t>
      </w:r>
      <w:r>
        <w:rPr>
          <w:color w:val="231F20"/>
          <w:spacing w:val="-1"/>
        </w:rPr>
        <w:t>increased</w:t>
      </w:r>
      <w:r>
        <w:rPr>
          <w:color w:val="231F20"/>
          <w:spacing w:val="21"/>
          <w:w w:val="99"/>
        </w:rPr>
        <w:t> </w:t>
      </w:r>
      <w:r>
        <w:rPr>
          <w:color w:val="231F20"/>
          <w:spacing w:val="-1"/>
        </w:rPr>
        <w:t>school</w:t>
      </w:r>
      <w:r>
        <w:rPr>
          <w:color w:val="231F20"/>
          <w:spacing w:val="-5"/>
        </w:rPr>
        <w:t> </w:t>
      </w:r>
      <w:r>
        <w:rPr>
          <w:color w:val="231F20"/>
        </w:rPr>
        <w:t>attendance,</w:t>
      </w:r>
      <w:r>
        <w:rPr>
          <w:color w:val="231F20"/>
          <w:spacing w:val="-5"/>
        </w:rPr>
        <w:t> </w:t>
      </w:r>
      <w:r>
        <w:rPr>
          <w:color w:val="231F20"/>
        </w:rPr>
        <w:t>access</w:t>
      </w:r>
      <w:r>
        <w:rPr>
          <w:color w:val="231F20"/>
          <w:spacing w:val="-5"/>
        </w:rPr>
        <w:t> </w:t>
      </w:r>
      <w:r>
        <w:rPr>
          <w:color w:val="231F20"/>
        </w:rPr>
        <w:t>to</w:t>
      </w:r>
      <w:r>
        <w:rPr>
          <w:color w:val="231F20"/>
          <w:spacing w:val="-4"/>
        </w:rPr>
        <w:t> </w:t>
      </w:r>
      <w:r>
        <w:rPr>
          <w:color w:val="231F20"/>
        </w:rPr>
        <w:t>health</w:t>
      </w:r>
      <w:r>
        <w:rPr>
          <w:color w:val="231F20"/>
          <w:spacing w:val="-5"/>
        </w:rPr>
        <w:t> </w:t>
      </w:r>
      <w:r>
        <w:rPr>
          <w:color w:val="231F20"/>
        </w:rPr>
        <w:t>and</w:t>
      </w:r>
      <w:r>
        <w:rPr>
          <w:color w:val="231F20"/>
          <w:spacing w:val="21"/>
          <w:w w:val="99"/>
        </w:rPr>
        <w:t> </w:t>
      </w:r>
      <w:r>
        <w:rPr>
          <w:color w:val="231F20"/>
        </w:rPr>
        <w:t>wellbeing</w:t>
      </w:r>
      <w:r>
        <w:rPr>
          <w:color w:val="231F20"/>
          <w:spacing w:val="-5"/>
        </w:rPr>
        <w:t> </w:t>
      </w:r>
      <w:r>
        <w:rPr>
          <w:color w:val="231F20"/>
          <w:spacing w:val="-1"/>
        </w:rPr>
        <w:t>services</w:t>
      </w:r>
      <w:r>
        <w:rPr>
          <w:color w:val="231F20"/>
          <w:spacing w:val="-4"/>
        </w:rPr>
        <w:t> </w:t>
      </w:r>
      <w:r>
        <w:rPr>
          <w:color w:val="231F20"/>
        </w:rPr>
        <w:t>and</w:t>
      </w:r>
      <w:r>
        <w:rPr>
          <w:color w:val="231F20"/>
          <w:spacing w:val="-4"/>
        </w:rPr>
        <w:t> </w:t>
      </w:r>
      <w:r>
        <w:rPr>
          <w:color w:val="231F20"/>
        </w:rPr>
        <w:t>family</w:t>
      </w:r>
      <w:r>
        <w:rPr>
          <w:color w:val="231F20"/>
          <w:spacing w:val="-4"/>
        </w:rPr>
        <w:t> </w:t>
      </w:r>
      <w:r>
        <w:rPr>
          <w:color w:val="231F20"/>
        </w:rPr>
        <w:t>and</w:t>
      </w:r>
      <w:r>
        <w:rPr>
          <w:color w:val="231F20"/>
          <w:spacing w:val="-4"/>
        </w:rPr>
        <w:t> </w:t>
      </w:r>
      <w:r>
        <w:rPr>
          <w:color w:val="231F20"/>
        </w:rPr>
        <w:t>community</w:t>
      </w:r>
      <w:r>
        <w:rPr>
          <w:color w:val="231F20"/>
          <w:spacing w:val="22"/>
        </w:rPr>
        <w:t> </w:t>
      </w:r>
      <w:r>
        <w:rPr>
          <w:color w:val="231F20"/>
          <w:spacing w:val="-1"/>
        </w:rPr>
        <w:t>support</w:t>
      </w:r>
      <w:r>
        <w:rPr>
          <w:color w:val="231F20"/>
          <w:spacing w:val="-9"/>
        </w:rPr>
        <w:t> </w:t>
      </w:r>
      <w:r>
        <w:rPr>
          <w:color w:val="231F20"/>
        </w:rPr>
        <w:t>for</w:t>
      </w:r>
      <w:r>
        <w:rPr>
          <w:color w:val="231F20"/>
          <w:spacing w:val="-9"/>
        </w:rPr>
        <w:t> </w:t>
      </w:r>
      <w:r>
        <w:rPr>
          <w:color w:val="231F20"/>
        </w:rPr>
        <w:t>boarding.</w:t>
      </w:r>
      <w:r>
        <w:rPr/>
      </w:r>
    </w:p>
    <w:p>
      <w:pPr>
        <w:spacing w:line="240" w:lineRule="auto" w:before="9"/>
        <w:rPr>
          <w:rFonts w:ascii="Segoe UI" w:hAnsi="Segoe UI" w:cs="Segoe UI" w:eastAsia="Segoe UI"/>
          <w:sz w:val="15"/>
          <w:szCs w:val="15"/>
        </w:rPr>
      </w:pPr>
    </w:p>
    <w:p>
      <w:pPr>
        <w:pStyle w:val="Heading3"/>
        <w:spacing w:line="300" w:lineRule="exact" w:before="0"/>
        <w:ind w:left="145" w:right="357"/>
        <w:jc w:val="left"/>
      </w:pPr>
      <w:r>
        <w:rPr>
          <w:b/>
          <w:color w:val="00779B"/>
          <w:spacing w:val="-2"/>
        </w:rPr>
        <w:t>Family</w:t>
      </w:r>
      <w:r>
        <w:rPr>
          <w:b/>
          <w:color w:val="00779B"/>
          <w:spacing w:val="-1"/>
        </w:rPr>
        <w:t> </w:t>
      </w:r>
      <w:r>
        <w:rPr>
          <w:b/>
          <w:color w:val="00779B"/>
        </w:rPr>
        <w:t>and</w:t>
      </w:r>
      <w:r>
        <w:rPr>
          <w:b/>
          <w:color w:val="00779B"/>
          <w:spacing w:val="-1"/>
        </w:rPr>
        <w:t> community</w:t>
      </w:r>
      <w:r>
        <w:rPr>
          <w:b/>
          <w:color w:val="00779B"/>
          <w:spacing w:val="22"/>
        </w:rPr>
        <w:t> </w:t>
      </w:r>
      <w:r>
        <w:rPr>
          <w:b/>
          <w:color w:val="00779B"/>
          <w:spacing w:val="-1"/>
        </w:rPr>
        <w:t>engagement</w:t>
      </w:r>
      <w:r>
        <w:rPr/>
      </w:r>
    </w:p>
    <w:p>
      <w:pPr>
        <w:pStyle w:val="BodyText"/>
        <w:spacing w:line="250" w:lineRule="exact" w:before="75"/>
        <w:ind w:left="145" w:right="399"/>
        <w:jc w:val="both"/>
      </w:pPr>
      <w:r>
        <w:rPr>
          <w:color w:val="231F20"/>
        </w:rPr>
        <w:t>The</w:t>
      </w:r>
      <w:r>
        <w:rPr>
          <w:color w:val="231F20"/>
          <w:spacing w:val="-5"/>
        </w:rPr>
        <w:t> </w:t>
      </w:r>
      <w:r>
        <w:rPr>
          <w:color w:val="231F20"/>
          <w:spacing w:val="-1"/>
        </w:rPr>
        <w:t>investment</w:t>
      </w:r>
      <w:r>
        <w:rPr>
          <w:color w:val="231F20"/>
          <w:spacing w:val="-4"/>
        </w:rPr>
        <w:t> </w:t>
      </w:r>
      <w:r>
        <w:rPr>
          <w:color w:val="231F20"/>
          <w:spacing w:val="-1"/>
        </w:rPr>
        <w:t>in</w:t>
      </w:r>
      <w:r>
        <w:rPr>
          <w:color w:val="231F20"/>
          <w:spacing w:val="-5"/>
        </w:rPr>
        <w:t> </w:t>
      </w:r>
      <w:r>
        <w:rPr>
          <w:color w:val="231F20"/>
        </w:rPr>
        <w:t>fare</w:t>
      </w:r>
      <w:r>
        <w:rPr>
          <w:color w:val="231F20"/>
          <w:spacing w:val="-4"/>
        </w:rPr>
        <w:t> </w:t>
      </w:r>
      <w:r>
        <w:rPr>
          <w:color w:val="231F20"/>
        </w:rPr>
        <w:t>allowances,</w:t>
      </w:r>
      <w:r>
        <w:rPr>
          <w:color w:val="231F20"/>
          <w:spacing w:val="-5"/>
        </w:rPr>
        <w:t> </w:t>
      </w:r>
      <w:r>
        <w:rPr>
          <w:color w:val="231F20"/>
        </w:rPr>
        <w:t>transition</w:t>
      </w:r>
      <w:r>
        <w:rPr>
          <w:color w:val="231F20"/>
          <w:spacing w:val="23"/>
          <w:w w:val="99"/>
        </w:rPr>
        <w:t> </w:t>
      </w:r>
      <w:r>
        <w:rPr>
          <w:color w:val="231F20"/>
          <w:spacing w:val="-1"/>
        </w:rPr>
        <w:t>support</w:t>
      </w:r>
      <w:r>
        <w:rPr>
          <w:color w:val="231F20"/>
          <w:spacing w:val="-2"/>
        </w:rPr>
        <w:t> </w:t>
      </w:r>
      <w:r>
        <w:rPr>
          <w:color w:val="231F20"/>
          <w:spacing w:val="-1"/>
        </w:rPr>
        <w:t>services</w:t>
      </w:r>
      <w:r>
        <w:rPr>
          <w:color w:val="231F20"/>
          <w:spacing w:val="-2"/>
        </w:rPr>
        <w:t> </w:t>
      </w:r>
      <w:r>
        <w:rPr>
          <w:color w:val="231F20"/>
        </w:rPr>
        <w:t>and</w:t>
      </w:r>
      <w:r>
        <w:rPr>
          <w:color w:val="231F20"/>
          <w:spacing w:val="-3"/>
        </w:rPr>
        <w:t> </w:t>
      </w:r>
      <w:r>
        <w:rPr>
          <w:color w:val="231F20"/>
        </w:rPr>
        <w:t>family</w:t>
      </w:r>
      <w:r>
        <w:rPr>
          <w:color w:val="231F20"/>
          <w:spacing w:val="-3"/>
        </w:rPr>
        <w:t> </w:t>
      </w:r>
      <w:r>
        <w:rPr>
          <w:color w:val="231F20"/>
        </w:rPr>
        <w:t>and</w:t>
      </w:r>
      <w:r>
        <w:rPr>
          <w:color w:val="231F20"/>
          <w:spacing w:val="-3"/>
        </w:rPr>
        <w:t> </w:t>
      </w:r>
      <w:r>
        <w:rPr>
          <w:color w:val="231F20"/>
        </w:rPr>
        <w:t>community</w:t>
      </w:r>
      <w:r>
        <w:rPr>
          <w:color w:val="231F20"/>
          <w:spacing w:val="23"/>
        </w:rPr>
        <w:t> </w:t>
      </w:r>
      <w:r>
        <w:rPr>
          <w:color w:val="231F20"/>
        </w:rPr>
        <w:t>engagement</w:t>
      </w:r>
      <w:r>
        <w:rPr>
          <w:color w:val="231F20"/>
          <w:spacing w:val="-9"/>
        </w:rPr>
        <w:t> </w:t>
      </w:r>
      <w:r>
        <w:rPr>
          <w:color w:val="231F20"/>
          <w:spacing w:val="-1"/>
        </w:rPr>
        <w:t>services</w:t>
      </w:r>
      <w:r>
        <w:rPr>
          <w:color w:val="231F20"/>
          <w:spacing w:val="-8"/>
        </w:rPr>
        <w:t> </w:t>
      </w:r>
      <w:r>
        <w:rPr>
          <w:color w:val="231F20"/>
        </w:rPr>
        <w:t>contributes</w:t>
      </w:r>
      <w:r>
        <w:rPr>
          <w:color w:val="231F20"/>
          <w:spacing w:val="-9"/>
        </w:rPr>
        <w:t> </w:t>
      </w:r>
      <w:r>
        <w:rPr>
          <w:color w:val="231F20"/>
        </w:rPr>
        <w:t>to:</w:t>
      </w:r>
      <w:r>
        <w:rPr/>
      </w:r>
    </w:p>
    <w:p>
      <w:pPr>
        <w:pStyle w:val="BodyText"/>
        <w:spacing w:line="250" w:lineRule="exact" w:before="113"/>
        <w:ind w:left="372" w:right="149" w:hanging="227"/>
        <w:jc w:val="left"/>
      </w:pPr>
      <w:r>
        <w:rPr>
          <w:rFonts w:ascii="Century Gothic" w:hAnsi="Century Gothic"/>
          <w:color w:val="231F20"/>
        </w:rPr>
        <w:t>» </w:t>
      </w:r>
      <w:r>
        <w:rPr>
          <w:rFonts w:ascii="Century Gothic" w:hAnsi="Century Gothic"/>
          <w:color w:val="231F20"/>
          <w:spacing w:val="22"/>
        </w:rPr>
        <w:t> </w:t>
      </w:r>
      <w:r>
        <w:rPr>
          <w:color w:val="231F20"/>
          <w:spacing w:val="-1"/>
        </w:rPr>
        <w:t>stronger</w:t>
      </w:r>
      <w:r>
        <w:rPr>
          <w:color w:val="231F20"/>
          <w:spacing w:val="-2"/>
        </w:rPr>
        <w:t> </w:t>
      </w:r>
      <w:r>
        <w:rPr>
          <w:color w:val="231F20"/>
        </w:rPr>
        <w:t>family</w:t>
      </w:r>
      <w:r>
        <w:rPr>
          <w:color w:val="231F20"/>
          <w:spacing w:val="-4"/>
        </w:rPr>
        <w:t> </w:t>
      </w:r>
      <w:r>
        <w:rPr>
          <w:color w:val="231F20"/>
        </w:rPr>
        <w:t>and</w:t>
      </w:r>
      <w:r>
        <w:rPr>
          <w:color w:val="231F20"/>
          <w:spacing w:val="-4"/>
        </w:rPr>
        <w:t> </w:t>
      </w:r>
      <w:r>
        <w:rPr>
          <w:color w:val="231F20"/>
        </w:rPr>
        <w:t>community</w:t>
      </w:r>
      <w:r>
        <w:rPr>
          <w:color w:val="231F20"/>
          <w:spacing w:val="-5"/>
        </w:rPr>
        <w:t> </w:t>
      </w:r>
      <w:r>
        <w:rPr>
          <w:color w:val="231F20"/>
        </w:rPr>
        <w:t>awareness</w:t>
      </w:r>
      <w:r>
        <w:rPr>
          <w:color w:val="231F20"/>
          <w:spacing w:val="22"/>
          <w:w w:val="99"/>
        </w:rPr>
        <w:t> </w:t>
      </w:r>
      <w:r>
        <w:rPr>
          <w:color w:val="231F20"/>
        </w:rPr>
        <w:t>and</w:t>
      </w:r>
      <w:r>
        <w:rPr>
          <w:color w:val="231F20"/>
          <w:spacing w:val="-7"/>
        </w:rPr>
        <w:t> </w:t>
      </w:r>
      <w:r>
        <w:rPr>
          <w:color w:val="231F20"/>
          <w:spacing w:val="-1"/>
        </w:rPr>
        <w:t>support</w:t>
      </w:r>
      <w:r>
        <w:rPr>
          <w:color w:val="231F20"/>
          <w:spacing w:val="-6"/>
        </w:rPr>
        <w:t> </w:t>
      </w:r>
      <w:r>
        <w:rPr>
          <w:color w:val="231F20"/>
        </w:rPr>
        <w:t>for</w:t>
      </w:r>
      <w:r>
        <w:rPr>
          <w:color w:val="231F20"/>
          <w:spacing w:val="-5"/>
        </w:rPr>
        <w:t> </w:t>
      </w:r>
      <w:r>
        <w:rPr>
          <w:color w:val="231F20"/>
        </w:rPr>
        <w:t>boarding</w:t>
      </w:r>
      <w:r>
        <w:rPr>
          <w:color w:val="231F20"/>
          <w:spacing w:val="-7"/>
        </w:rPr>
        <w:t> </w:t>
      </w:r>
      <w:r>
        <w:rPr>
          <w:color w:val="231F20"/>
        </w:rPr>
        <w:t>as</w:t>
      </w:r>
      <w:r>
        <w:rPr>
          <w:color w:val="231F20"/>
          <w:spacing w:val="-6"/>
        </w:rPr>
        <w:t> </w:t>
      </w:r>
      <w:r>
        <w:rPr>
          <w:color w:val="231F20"/>
        </w:rPr>
        <w:t>an</w:t>
      </w:r>
      <w:r>
        <w:rPr>
          <w:color w:val="231F20"/>
          <w:spacing w:val="-7"/>
        </w:rPr>
        <w:t> </w:t>
      </w:r>
      <w:r>
        <w:rPr>
          <w:color w:val="231F20"/>
        </w:rPr>
        <w:t>educational</w:t>
      </w:r>
      <w:r>
        <w:rPr>
          <w:color w:val="231F20"/>
          <w:spacing w:val="22"/>
          <w:w w:val="99"/>
        </w:rPr>
        <w:t> </w:t>
      </w:r>
      <w:r>
        <w:rPr>
          <w:color w:val="231F20"/>
        </w:rPr>
        <w:t>option</w:t>
      </w:r>
      <w:r>
        <w:rPr>
          <w:color w:val="231F20"/>
          <w:spacing w:val="-6"/>
        </w:rPr>
        <w:t> </w:t>
      </w:r>
      <w:r>
        <w:rPr>
          <w:color w:val="231F20"/>
        </w:rPr>
        <w:t>and</w:t>
      </w:r>
      <w:r>
        <w:rPr>
          <w:color w:val="231F20"/>
          <w:spacing w:val="-5"/>
        </w:rPr>
        <w:t> </w:t>
      </w:r>
      <w:r>
        <w:rPr>
          <w:color w:val="231F20"/>
          <w:spacing w:val="-1"/>
        </w:rPr>
        <w:t>individual</w:t>
      </w:r>
      <w:r>
        <w:rPr>
          <w:color w:val="231F20"/>
          <w:spacing w:val="-5"/>
        </w:rPr>
        <w:t> </w:t>
      </w:r>
      <w:r>
        <w:rPr>
          <w:color w:val="231F20"/>
          <w:spacing w:val="-1"/>
        </w:rPr>
        <w:t>students</w:t>
      </w:r>
      <w:r>
        <w:rPr>
          <w:color w:val="231F20"/>
          <w:spacing w:val="-4"/>
        </w:rPr>
        <w:t> </w:t>
      </w:r>
      <w:r>
        <w:rPr>
          <w:color w:val="231F20"/>
        </w:rPr>
        <w:t>attending</w:t>
      </w:r>
      <w:r>
        <w:rPr>
          <w:color w:val="231F20"/>
          <w:spacing w:val="23"/>
          <w:w w:val="99"/>
        </w:rPr>
        <w:t> </w:t>
      </w:r>
      <w:r>
        <w:rPr>
          <w:color w:val="231F20"/>
        </w:rPr>
        <w:t>boarding</w:t>
      </w:r>
      <w:r>
        <w:rPr/>
      </w:r>
    </w:p>
    <w:p>
      <w:pPr>
        <w:pStyle w:val="BodyText"/>
        <w:spacing w:line="250" w:lineRule="exact" w:before="113"/>
        <w:ind w:left="372" w:right="777" w:hanging="227"/>
        <w:jc w:val="both"/>
      </w:pPr>
      <w:r>
        <w:rPr>
          <w:rFonts w:ascii="Century Gothic" w:hAnsi="Century Gothic"/>
          <w:color w:val="231F20"/>
        </w:rPr>
        <w:t>»</w:t>
      </w:r>
      <w:r>
        <w:rPr>
          <w:rFonts w:ascii="Century Gothic" w:hAnsi="Century Gothic"/>
          <w:color w:val="231F20"/>
          <w:spacing w:val="23"/>
        </w:rPr>
        <w:t> </w:t>
      </w:r>
      <w:r>
        <w:rPr>
          <w:color w:val="231F20"/>
        </w:rPr>
        <w:t>preparation,</w:t>
      </w:r>
      <w:r>
        <w:rPr>
          <w:color w:val="231F20"/>
          <w:spacing w:val="-4"/>
        </w:rPr>
        <w:t> </w:t>
      </w:r>
      <w:r>
        <w:rPr>
          <w:color w:val="231F20"/>
        </w:rPr>
        <w:t>travel</w:t>
      </w:r>
      <w:r>
        <w:rPr>
          <w:color w:val="231F20"/>
          <w:spacing w:val="-4"/>
        </w:rPr>
        <w:t> </w:t>
      </w:r>
      <w:r>
        <w:rPr>
          <w:color w:val="231F20"/>
        </w:rPr>
        <w:t>and</w:t>
      </w:r>
      <w:r>
        <w:rPr>
          <w:color w:val="231F20"/>
          <w:spacing w:val="-4"/>
        </w:rPr>
        <w:t> </w:t>
      </w:r>
      <w:r>
        <w:rPr>
          <w:color w:val="231F20"/>
          <w:spacing w:val="-1"/>
        </w:rPr>
        <w:t>in-school</w:t>
      </w:r>
      <w:r>
        <w:rPr>
          <w:color w:val="231F20"/>
          <w:spacing w:val="-3"/>
        </w:rPr>
        <w:t> </w:t>
      </w:r>
      <w:r>
        <w:rPr>
          <w:color w:val="231F20"/>
        </w:rPr>
        <w:t>and</w:t>
      </w:r>
      <w:r>
        <w:rPr>
          <w:color w:val="231F20"/>
          <w:spacing w:val="22"/>
          <w:w w:val="99"/>
        </w:rPr>
        <w:t> </w:t>
      </w:r>
      <w:r>
        <w:rPr>
          <w:color w:val="231F20"/>
        </w:rPr>
        <w:t>accommodation</w:t>
      </w:r>
      <w:r>
        <w:rPr>
          <w:color w:val="231F20"/>
          <w:spacing w:val="-10"/>
        </w:rPr>
        <w:t> </w:t>
      </w:r>
      <w:r>
        <w:rPr>
          <w:color w:val="231F20"/>
          <w:spacing w:val="-1"/>
        </w:rPr>
        <w:t>support</w:t>
      </w:r>
      <w:r>
        <w:rPr>
          <w:color w:val="231F20"/>
          <w:spacing w:val="-8"/>
        </w:rPr>
        <w:t> </w:t>
      </w:r>
      <w:r>
        <w:rPr>
          <w:color w:val="231F20"/>
        </w:rPr>
        <w:t>outputs</w:t>
      </w:r>
      <w:r>
        <w:rPr>
          <w:color w:val="231F20"/>
          <w:spacing w:val="-9"/>
        </w:rPr>
        <w:t> </w:t>
      </w:r>
      <w:r>
        <w:rPr>
          <w:color w:val="231F20"/>
        </w:rPr>
        <w:t>and</w:t>
      </w:r>
      <w:r>
        <w:rPr>
          <w:color w:val="231F20"/>
          <w:spacing w:val="22"/>
          <w:w w:val="99"/>
        </w:rPr>
        <w:t> </w:t>
      </w:r>
      <w:r>
        <w:rPr>
          <w:color w:val="231F20"/>
        </w:rPr>
        <w:t>activities</w:t>
      </w:r>
      <w:r>
        <w:rPr/>
      </w:r>
    </w:p>
    <w:p>
      <w:pPr>
        <w:pStyle w:val="BodyText"/>
        <w:spacing w:line="250" w:lineRule="exact" w:before="113"/>
        <w:ind w:left="372" w:right="0" w:hanging="227"/>
        <w:jc w:val="left"/>
      </w:pPr>
      <w:r>
        <w:rPr>
          <w:rFonts w:ascii="Century Gothic" w:hAnsi="Century Gothic"/>
          <w:color w:val="231F20"/>
        </w:rPr>
        <w:t>» </w:t>
      </w:r>
      <w:r>
        <w:rPr>
          <w:rFonts w:ascii="Century Gothic" w:hAnsi="Century Gothic"/>
          <w:color w:val="231F20"/>
          <w:spacing w:val="19"/>
        </w:rPr>
        <w:t> </w:t>
      </w:r>
      <w:r>
        <w:rPr>
          <w:color w:val="231F20"/>
        </w:rPr>
        <w:t>enhanced</w:t>
      </w:r>
      <w:r>
        <w:rPr>
          <w:color w:val="231F20"/>
          <w:spacing w:val="-4"/>
        </w:rPr>
        <w:t> </w:t>
      </w:r>
      <w:r>
        <w:rPr>
          <w:color w:val="231F20"/>
        </w:rPr>
        <w:t>collaboration</w:t>
      </w:r>
      <w:r>
        <w:rPr>
          <w:color w:val="231F20"/>
          <w:spacing w:val="-6"/>
        </w:rPr>
        <w:t> </w:t>
      </w:r>
      <w:r>
        <w:rPr>
          <w:color w:val="231F20"/>
        </w:rPr>
        <w:t>and</w:t>
      </w:r>
      <w:r>
        <w:rPr>
          <w:color w:val="231F20"/>
          <w:spacing w:val="-5"/>
        </w:rPr>
        <w:t> </w:t>
      </w:r>
      <w:r>
        <w:rPr>
          <w:color w:val="231F20"/>
        </w:rPr>
        <w:t>communication</w:t>
      </w:r>
      <w:r>
        <w:rPr>
          <w:color w:val="231F20"/>
        </w:rPr>
        <w:t> between</w:t>
      </w:r>
      <w:r>
        <w:rPr>
          <w:color w:val="231F20"/>
          <w:spacing w:val="-7"/>
        </w:rPr>
        <w:t> </w:t>
      </w:r>
      <w:r>
        <w:rPr>
          <w:color w:val="231F20"/>
        </w:rPr>
        <w:t>community</w:t>
      </w:r>
      <w:r>
        <w:rPr>
          <w:color w:val="231F20"/>
          <w:spacing w:val="-6"/>
        </w:rPr>
        <w:t> </w:t>
      </w:r>
      <w:r>
        <w:rPr>
          <w:color w:val="231F20"/>
        </w:rPr>
        <w:t>and</w:t>
      </w:r>
      <w:r>
        <w:rPr>
          <w:color w:val="231F20"/>
          <w:spacing w:val="-7"/>
        </w:rPr>
        <w:t> </w:t>
      </w:r>
      <w:r>
        <w:rPr>
          <w:color w:val="231F20"/>
        </w:rPr>
        <w:t>the</w:t>
      </w:r>
      <w:r>
        <w:rPr>
          <w:color w:val="231F20"/>
          <w:spacing w:val="-6"/>
        </w:rPr>
        <w:t> </w:t>
      </w:r>
      <w:r>
        <w:rPr>
          <w:color w:val="231F20"/>
        </w:rPr>
        <w:t>boarding</w:t>
      </w:r>
      <w:r>
        <w:rPr>
          <w:color w:val="231F20"/>
          <w:w w:val="99"/>
        </w:rPr>
        <w:t> </w:t>
      </w:r>
      <w:r>
        <w:rPr>
          <w:color w:val="231F20"/>
          <w:spacing w:val="-1"/>
        </w:rPr>
        <w:t>school/residence</w:t>
      </w:r>
      <w:r>
        <w:rPr/>
      </w:r>
    </w:p>
    <w:p>
      <w:pPr>
        <w:pStyle w:val="BodyText"/>
        <w:spacing w:line="250" w:lineRule="exact" w:before="113"/>
        <w:ind w:left="372" w:right="0" w:hanging="227"/>
        <w:jc w:val="left"/>
      </w:pPr>
      <w:r>
        <w:rPr>
          <w:rFonts w:ascii="Century Gothic" w:hAnsi="Century Gothic"/>
          <w:color w:val="231F20"/>
        </w:rPr>
        <w:t>» </w:t>
      </w:r>
      <w:r>
        <w:rPr>
          <w:rFonts w:ascii="Century Gothic" w:hAnsi="Century Gothic"/>
          <w:color w:val="231F20"/>
          <w:spacing w:val="22"/>
        </w:rPr>
        <w:t> </w:t>
      </w:r>
      <w:r>
        <w:rPr>
          <w:color w:val="231F20"/>
        </w:rPr>
        <w:t>reducing</w:t>
      </w:r>
      <w:r>
        <w:rPr>
          <w:color w:val="231F20"/>
          <w:spacing w:val="-5"/>
        </w:rPr>
        <w:t> </w:t>
      </w:r>
      <w:r>
        <w:rPr>
          <w:color w:val="231F20"/>
        </w:rPr>
        <w:t>the</w:t>
      </w:r>
      <w:r>
        <w:rPr>
          <w:color w:val="231F20"/>
          <w:spacing w:val="-4"/>
        </w:rPr>
        <w:t> </w:t>
      </w:r>
      <w:r>
        <w:rPr>
          <w:color w:val="231F20"/>
        </w:rPr>
        <w:t>cost</w:t>
      </w:r>
      <w:r>
        <w:rPr>
          <w:color w:val="231F20"/>
          <w:spacing w:val="-5"/>
        </w:rPr>
        <w:t> </w:t>
      </w:r>
      <w:r>
        <w:rPr>
          <w:color w:val="231F20"/>
        </w:rPr>
        <w:t>to</w:t>
      </w:r>
      <w:r>
        <w:rPr>
          <w:color w:val="231F20"/>
          <w:spacing w:val="-4"/>
        </w:rPr>
        <w:t> </w:t>
      </w:r>
      <w:r>
        <w:rPr>
          <w:color w:val="231F20"/>
          <w:spacing w:val="-1"/>
        </w:rPr>
        <w:t>identity,</w:t>
      </w:r>
      <w:r>
        <w:rPr>
          <w:color w:val="231F20"/>
          <w:spacing w:val="-3"/>
        </w:rPr>
        <w:t> </w:t>
      </w:r>
      <w:r>
        <w:rPr>
          <w:color w:val="231F20"/>
        </w:rPr>
        <w:t>culture</w:t>
      </w:r>
      <w:r>
        <w:rPr>
          <w:color w:val="231F20"/>
          <w:spacing w:val="-5"/>
        </w:rPr>
        <w:t> </w:t>
      </w:r>
      <w:r>
        <w:rPr>
          <w:color w:val="231F20"/>
        </w:rPr>
        <w:t>and</w:t>
      </w:r>
      <w:r>
        <w:rPr>
          <w:color w:val="231F20"/>
          <w:spacing w:val="22"/>
          <w:w w:val="99"/>
        </w:rPr>
        <w:t> </w:t>
      </w:r>
      <w:r>
        <w:rPr>
          <w:color w:val="231F20"/>
        </w:rPr>
        <w:t>connection</w:t>
      </w:r>
      <w:r>
        <w:rPr>
          <w:color w:val="231F20"/>
          <w:spacing w:val="-7"/>
        </w:rPr>
        <w:t> </w:t>
      </w:r>
      <w:r>
        <w:rPr>
          <w:color w:val="231F20"/>
        </w:rPr>
        <w:t>to</w:t>
      </w:r>
      <w:r>
        <w:rPr>
          <w:color w:val="231F20"/>
          <w:spacing w:val="-6"/>
        </w:rPr>
        <w:t> </w:t>
      </w:r>
      <w:r>
        <w:rPr>
          <w:color w:val="231F20"/>
        </w:rPr>
        <w:t>community</w:t>
      </w:r>
      <w:r>
        <w:rPr>
          <w:color w:val="231F20"/>
          <w:spacing w:val="-7"/>
        </w:rPr>
        <w:t> </w:t>
      </w:r>
      <w:r>
        <w:rPr>
          <w:color w:val="231F20"/>
        </w:rPr>
        <w:t>resulting</w:t>
      </w:r>
      <w:r>
        <w:rPr>
          <w:color w:val="231F20"/>
          <w:spacing w:val="-8"/>
        </w:rPr>
        <w:t> </w:t>
      </w:r>
      <w:r>
        <w:rPr>
          <w:color w:val="231F20"/>
        </w:rPr>
        <w:t>from</w:t>
      </w:r>
      <w:r>
        <w:rPr>
          <w:color w:val="231F20"/>
          <w:w w:val="99"/>
        </w:rPr>
        <w:t> </w:t>
      </w:r>
      <w:r>
        <w:rPr>
          <w:color w:val="231F20"/>
          <w:spacing w:val="-1"/>
        </w:rPr>
        <w:t>students</w:t>
      </w:r>
      <w:r>
        <w:rPr>
          <w:color w:val="231F20"/>
          <w:spacing w:val="-8"/>
        </w:rPr>
        <w:t> </w:t>
      </w:r>
      <w:r>
        <w:rPr>
          <w:color w:val="231F20"/>
        </w:rPr>
        <w:t>attending</w:t>
      </w:r>
      <w:r>
        <w:rPr>
          <w:color w:val="231F20"/>
          <w:spacing w:val="-8"/>
        </w:rPr>
        <w:t> </w:t>
      </w:r>
      <w:r>
        <w:rPr>
          <w:color w:val="231F20"/>
        </w:rPr>
        <w:t>boarding</w:t>
      </w:r>
      <w:r>
        <w:rPr>
          <w:color w:val="231F20"/>
          <w:spacing w:val="-8"/>
        </w:rPr>
        <w:t> </w:t>
      </w:r>
      <w:r>
        <w:rPr>
          <w:color w:val="231F20"/>
          <w:spacing w:val="-1"/>
        </w:rPr>
        <w:t>(Rogers,</w:t>
      </w:r>
      <w:r>
        <w:rPr>
          <w:color w:val="231F20"/>
          <w:spacing w:val="-9"/>
        </w:rPr>
        <w:t> </w:t>
      </w:r>
      <w:r>
        <w:rPr>
          <w:color w:val="231F20"/>
          <w:spacing w:val="-1"/>
        </w:rPr>
        <w:t>2017),</w:t>
      </w:r>
      <w:r>
        <w:rPr/>
      </w:r>
    </w:p>
    <w:p>
      <w:pPr>
        <w:pStyle w:val="BodyText"/>
        <w:spacing w:line="250" w:lineRule="exact" w:before="113"/>
        <w:ind w:left="145" w:right="0"/>
        <w:jc w:val="left"/>
      </w:pPr>
      <w:r>
        <w:rPr>
          <w:color w:val="231F20"/>
        </w:rPr>
        <w:t>which</w:t>
      </w:r>
      <w:r>
        <w:rPr>
          <w:color w:val="231F20"/>
          <w:spacing w:val="-9"/>
        </w:rPr>
        <w:t> </w:t>
      </w:r>
      <w:r>
        <w:rPr>
          <w:color w:val="231F20"/>
        </w:rPr>
        <w:t>contributes</w:t>
      </w:r>
      <w:r>
        <w:rPr>
          <w:color w:val="231F20"/>
          <w:spacing w:val="-8"/>
        </w:rPr>
        <w:t> </w:t>
      </w:r>
      <w:r>
        <w:rPr>
          <w:color w:val="231F20"/>
        </w:rPr>
        <w:t>to</w:t>
      </w:r>
      <w:r>
        <w:rPr>
          <w:color w:val="231F20"/>
          <w:spacing w:val="-8"/>
        </w:rPr>
        <w:t> </w:t>
      </w:r>
      <w:r>
        <w:rPr>
          <w:color w:val="231F20"/>
          <w:spacing w:val="-1"/>
        </w:rPr>
        <w:t>increased</w:t>
      </w:r>
      <w:r>
        <w:rPr>
          <w:color w:val="231F20"/>
          <w:spacing w:val="-7"/>
        </w:rPr>
        <w:t> </w:t>
      </w:r>
      <w:r>
        <w:rPr>
          <w:color w:val="231F20"/>
        </w:rPr>
        <w:t>attendance</w:t>
      </w:r>
      <w:r>
        <w:rPr>
          <w:color w:val="231F20"/>
          <w:spacing w:val="-8"/>
        </w:rPr>
        <w:t> </w:t>
      </w:r>
      <w:r>
        <w:rPr>
          <w:color w:val="231F20"/>
        </w:rPr>
        <w:t>to</w:t>
      </w:r>
      <w:r>
        <w:rPr>
          <w:color w:val="231F20"/>
          <w:spacing w:val="22"/>
          <w:w w:val="99"/>
        </w:rPr>
        <w:t> </w:t>
      </w:r>
      <w:r>
        <w:rPr>
          <w:color w:val="231F20"/>
        </w:rPr>
        <w:t>access</w:t>
      </w:r>
      <w:r>
        <w:rPr>
          <w:color w:val="231F20"/>
          <w:spacing w:val="-13"/>
        </w:rPr>
        <w:t> </w:t>
      </w:r>
      <w:r>
        <w:rPr>
          <w:color w:val="231F20"/>
        </w:rPr>
        <w:t>educational</w:t>
      </w:r>
      <w:r>
        <w:rPr>
          <w:color w:val="231F20"/>
          <w:spacing w:val="-12"/>
        </w:rPr>
        <w:t> </w:t>
      </w:r>
      <w:r>
        <w:rPr>
          <w:color w:val="231F20"/>
        </w:rPr>
        <w:t>opportunities.</w:t>
      </w:r>
      <w:r>
        <w:rPr/>
      </w:r>
    </w:p>
    <w:p>
      <w:pPr>
        <w:spacing w:after="0" w:line="250" w:lineRule="exact"/>
        <w:jc w:val="left"/>
        <w:sectPr>
          <w:type w:val="continuous"/>
          <w:pgSz w:w="11910" w:h="16840"/>
          <w:pgMar w:top="1580" w:bottom="280" w:left="1300" w:right="1620"/>
          <w:cols w:num="2" w:equalWidth="0">
            <w:col w:w="4320" w:space="215"/>
            <w:col w:w="4455"/>
          </w:cols>
        </w:sect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5"/>
        <w:rPr>
          <w:rFonts w:ascii="Segoe UI" w:hAnsi="Segoe UI" w:cs="Segoe UI" w:eastAsia="Segoe UI"/>
          <w:sz w:val="10"/>
          <w:szCs w:val="10"/>
        </w:rPr>
      </w:pPr>
    </w:p>
    <w:p>
      <w:pPr>
        <w:spacing w:line="200" w:lineRule="atLeast"/>
        <w:ind w:left="100" w:right="0" w:firstLine="0"/>
        <w:rPr>
          <w:rFonts w:ascii="Segoe UI" w:hAnsi="Segoe UI" w:cs="Segoe UI" w:eastAsia="Segoe UI"/>
          <w:sz w:val="20"/>
          <w:szCs w:val="20"/>
        </w:rPr>
      </w:pPr>
      <w:r>
        <w:rPr>
          <w:rFonts w:ascii="Segoe UI" w:hAnsi="Segoe UI" w:cs="Segoe UI" w:eastAsia="Segoe UI"/>
          <w:sz w:val="20"/>
          <w:szCs w:val="20"/>
        </w:rPr>
        <w:drawing>
          <wp:inline distT="0" distB="0" distL="0" distR="0">
            <wp:extent cx="5585666" cy="3054096"/>
            <wp:effectExtent l="0" t="0" r="0" b="0"/>
            <wp:docPr id="11" name="image12.jpeg" descr=""/>
            <wp:cNvGraphicFramePr>
              <a:graphicFrameLocks noChangeAspect="1"/>
            </wp:cNvGraphicFramePr>
            <a:graphic>
              <a:graphicData uri="http://schemas.openxmlformats.org/drawingml/2006/picture">
                <pic:pic>
                  <pic:nvPicPr>
                    <pic:cNvPr id="12" name="image12.jpeg"/>
                    <pic:cNvPicPr/>
                  </pic:nvPicPr>
                  <pic:blipFill>
                    <a:blip r:embed="rId31" cstate="print"/>
                    <a:stretch>
                      <a:fillRect/>
                    </a:stretch>
                  </pic:blipFill>
                  <pic:spPr>
                    <a:xfrm>
                      <a:off x="0" y="0"/>
                      <a:ext cx="5585666" cy="3054096"/>
                    </a:xfrm>
                    <a:prstGeom prst="rect">
                      <a:avLst/>
                    </a:prstGeom>
                  </pic:spPr>
                </pic:pic>
              </a:graphicData>
            </a:graphic>
          </wp:inline>
        </w:drawing>
      </w:r>
      <w:r>
        <w:rPr>
          <w:rFonts w:ascii="Segoe UI" w:hAnsi="Segoe UI" w:cs="Segoe UI" w:eastAsia="Segoe UI"/>
          <w:sz w:val="20"/>
          <w:szCs w:val="20"/>
        </w:rPr>
      </w:r>
    </w:p>
    <w:p>
      <w:pPr>
        <w:spacing w:line="240" w:lineRule="auto" w:before="6"/>
        <w:rPr>
          <w:rFonts w:ascii="Segoe UI" w:hAnsi="Segoe UI" w:cs="Segoe UI" w:eastAsia="Segoe UI"/>
          <w:sz w:val="22"/>
          <w:szCs w:val="22"/>
        </w:rPr>
      </w:pPr>
    </w:p>
    <w:p>
      <w:pPr>
        <w:spacing w:after="0" w:line="240" w:lineRule="auto"/>
        <w:rPr>
          <w:rFonts w:ascii="Segoe UI" w:hAnsi="Segoe UI" w:cs="Segoe UI" w:eastAsia="Segoe UI"/>
          <w:sz w:val="22"/>
          <w:szCs w:val="22"/>
        </w:rPr>
        <w:sectPr>
          <w:pgSz w:w="11910" w:h="16840"/>
          <w:pgMar w:header="0" w:footer="691" w:top="1580" w:bottom="880" w:left="1600" w:right="1300"/>
        </w:sectPr>
      </w:pPr>
    </w:p>
    <w:p>
      <w:pPr>
        <w:spacing w:before="14"/>
        <w:ind w:left="100" w:right="0" w:firstLine="0"/>
        <w:jc w:val="left"/>
        <w:rPr>
          <w:rFonts w:ascii="Segoe UI" w:hAnsi="Segoe UI" w:cs="Segoe UI" w:eastAsia="Segoe UI"/>
          <w:sz w:val="32"/>
          <w:szCs w:val="32"/>
        </w:rPr>
      </w:pPr>
      <w:r>
        <w:rPr>
          <w:rFonts w:ascii="Segoe UI"/>
          <w:b/>
          <w:color w:val="452A70"/>
          <w:spacing w:val="-2"/>
          <w:sz w:val="32"/>
        </w:rPr>
        <w:t>Strength </w:t>
      </w:r>
      <w:r>
        <w:rPr>
          <w:rFonts w:ascii="Segoe UI"/>
          <w:b/>
          <w:color w:val="452A70"/>
          <w:spacing w:val="-3"/>
          <w:sz w:val="32"/>
        </w:rPr>
        <w:t>of</w:t>
      </w:r>
      <w:r>
        <w:rPr>
          <w:rFonts w:ascii="Segoe UI"/>
          <w:b/>
          <w:color w:val="452A70"/>
          <w:spacing w:val="-2"/>
          <w:sz w:val="32"/>
        </w:rPr>
        <w:t> </w:t>
      </w:r>
      <w:r>
        <w:rPr>
          <w:rFonts w:ascii="Segoe UI"/>
          <w:b/>
          <w:color w:val="452A70"/>
          <w:sz w:val="32"/>
        </w:rPr>
        <w:t>evidence</w:t>
      </w:r>
      <w:r>
        <w:rPr>
          <w:rFonts w:ascii="Segoe UI"/>
          <w:sz w:val="32"/>
        </w:rPr>
      </w:r>
    </w:p>
    <w:p>
      <w:pPr>
        <w:pStyle w:val="BodyText"/>
        <w:spacing w:line="250" w:lineRule="exact" w:before="111"/>
        <w:ind w:left="100" w:right="134"/>
        <w:jc w:val="left"/>
        <w:rPr>
          <w:rFonts w:ascii="Segoe UI" w:hAnsi="Segoe UI" w:cs="Segoe UI" w:eastAsia="Segoe UI"/>
        </w:rPr>
      </w:pPr>
      <w:r>
        <w:rPr>
          <w:color w:val="231F20"/>
          <w:spacing w:val="-1"/>
        </w:rPr>
        <w:t>It</w:t>
      </w:r>
      <w:r>
        <w:rPr>
          <w:color w:val="231F20"/>
          <w:spacing w:val="-2"/>
        </w:rPr>
        <w:t> </w:t>
      </w:r>
      <w:r>
        <w:rPr>
          <w:color w:val="231F20"/>
        </w:rPr>
        <w:t>has</w:t>
      </w:r>
      <w:r>
        <w:rPr>
          <w:color w:val="231F20"/>
          <w:spacing w:val="-3"/>
        </w:rPr>
        <w:t> </w:t>
      </w:r>
      <w:r>
        <w:rPr>
          <w:color w:val="231F20"/>
        </w:rPr>
        <w:t>been</w:t>
      </w:r>
      <w:r>
        <w:rPr>
          <w:color w:val="231F20"/>
          <w:spacing w:val="-3"/>
        </w:rPr>
        <w:t> </w:t>
      </w:r>
      <w:r>
        <w:rPr>
          <w:color w:val="231F20"/>
        </w:rPr>
        <w:t>established</w:t>
      </w:r>
      <w:r>
        <w:rPr>
          <w:color w:val="231F20"/>
          <w:spacing w:val="-3"/>
        </w:rPr>
        <w:t> </w:t>
      </w:r>
      <w:r>
        <w:rPr>
          <w:color w:val="231F20"/>
        </w:rPr>
        <w:t>that</w:t>
      </w:r>
      <w:r>
        <w:rPr>
          <w:color w:val="231F20"/>
          <w:spacing w:val="-3"/>
        </w:rPr>
        <w:t> </w:t>
      </w:r>
      <w:r>
        <w:rPr>
          <w:color w:val="231F20"/>
        </w:rPr>
        <w:t>there</w:t>
      </w:r>
      <w:r>
        <w:rPr>
          <w:color w:val="231F20"/>
          <w:spacing w:val="-3"/>
        </w:rPr>
        <w:t> </w:t>
      </w:r>
      <w:r>
        <w:rPr>
          <w:color w:val="231F20"/>
          <w:spacing w:val="-1"/>
        </w:rPr>
        <w:t>is</w:t>
      </w:r>
      <w:r>
        <w:rPr>
          <w:color w:val="231F20"/>
          <w:spacing w:val="-3"/>
        </w:rPr>
        <w:t> </w:t>
      </w:r>
      <w:r>
        <w:rPr>
          <w:color w:val="231F20"/>
          <w:spacing w:val="-1"/>
        </w:rPr>
        <w:t>limited</w:t>
      </w:r>
      <w:r>
        <w:rPr>
          <w:color w:val="231F20"/>
          <w:spacing w:val="22"/>
        </w:rPr>
        <w:t> </w:t>
      </w:r>
      <w:r>
        <w:rPr>
          <w:rFonts w:ascii="Segoe UI"/>
          <w:color w:val="231F20"/>
        </w:rPr>
        <w:t>data currently available to definitively answer</w:t>
      </w:r>
      <w:r>
        <w:rPr>
          <w:rFonts w:ascii="Segoe UI"/>
          <w:color w:val="231F20"/>
        </w:rPr>
        <w:t> </w:t>
      </w:r>
      <w:r>
        <w:rPr>
          <w:color w:val="231F20"/>
        </w:rPr>
        <w:t>whether</w:t>
      </w:r>
      <w:r>
        <w:rPr>
          <w:color w:val="231F20"/>
          <w:spacing w:val="-6"/>
        </w:rPr>
        <w:t> </w:t>
      </w:r>
      <w:r>
        <w:rPr>
          <w:color w:val="231F20"/>
        </w:rPr>
        <w:t>boarding</w:t>
      </w:r>
      <w:r>
        <w:rPr>
          <w:color w:val="231F20"/>
          <w:spacing w:val="-6"/>
        </w:rPr>
        <w:t> </w:t>
      </w:r>
      <w:r>
        <w:rPr>
          <w:color w:val="231F20"/>
        </w:rPr>
        <w:t>delivers</w:t>
      </w:r>
      <w:r>
        <w:rPr>
          <w:color w:val="231F20"/>
          <w:spacing w:val="-6"/>
        </w:rPr>
        <w:t> </w:t>
      </w:r>
      <w:r>
        <w:rPr>
          <w:color w:val="231F20"/>
        </w:rPr>
        <w:t>positive</w:t>
      </w:r>
      <w:r>
        <w:rPr>
          <w:color w:val="231F20"/>
          <w:spacing w:val="-6"/>
        </w:rPr>
        <w:t> </w:t>
      </w:r>
      <w:r>
        <w:rPr>
          <w:color w:val="231F20"/>
        </w:rPr>
        <w:t>or</w:t>
      </w:r>
      <w:r>
        <w:rPr>
          <w:color w:val="231F20"/>
          <w:spacing w:val="-5"/>
        </w:rPr>
        <w:t> </w:t>
      </w:r>
      <w:r>
        <w:rPr>
          <w:color w:val="231F20"/>
        </w:rPr>
        <w:t>negative</w:t>
      </w:r>
      <w:r>
        <w:rPr>
          <w:color w:val="231F20"/>
          <w:w w:val="99"/>
        </w:rPr>
        <w:t> </w:t>
      </w:r>
      <w:r>
        <w:rPr>
          <w:color w:val="231F20"/>
        </w:rPr>
        <w:t>outcomes</w:t>
      </w:r>
      <w:r>
        <w:rPr>
          <w:color w:val="231F20"/>
          <w:spacing w:val="-5"/>
        </w:rPr>
        <w:t> </w:t>
      </w:r>
      <w:r>
        <w:rPr>
          <w:color w:val="231F20"/>
        </w:rPr>
        <w:t>for</w:t>
      </w:r>
      <w:r>
        <w:rPr>
          <w:color w:val="231F20"/>
          <w:spacing w:val="-4"/>
        </w:rPr>
        <w:t> </w:t>
      </w:r>
      <w:r>
        <w:rPr>
          <w:color w:val="231F20"/>
        </w:rPr>
        <w:t>Aboriginal</w:t>
      </w:r>
      <w:r>
        <w:rPr>
          <w:color w:val="231F20"/>
          <w:spacing w:val="-3"/>
        </w:rPr>
        <w:t> </w:t>
      </w:r>
      <w:r>
        <w:rPr>
          <w:color w:val="231F20"/>
        </w:rPr>
        <w:t>and</w:t>
      </w:r>
      <w:r>
        <w:rPr>
          <w:color w:val="231F20"/>
          <w:spacing w:val="-5"/>
        </w:rPr>
        <w:t> Torres</w:t>
      </w:r>
      <w:r>
        <w:rPr>
          <w:color w:val="231F20"/>
          <w:spacing w:val="-3"/>
        </w:rPr>
        <w:t> </w:t>
      </w:r>
      <w:r>
        <w:rPr>
          <w:color w:val="231F20"/>
          <w:spacing w:val="-2"/>
        </w:rPr>
        <w:t>Strait</w:t>
      </w:r>
      <w:r>
        <w:rPr>
          <w:color w:val="231F20"/>
          <w:spacing w:val="29"/>
          <w:w w:val="99"/>
        </w:rPr>
        <w:t> </w:t>
      </w:r>
      <w:r>
        <w:rPr>
          <w:color w:val="231F20"/>
          <w:spacing w:val="-1"/>
        </w:rPr>
        <w:t>Islander</w:t>
      </w:r>
      <w:r>
        <w:rPr>
          <w:color w:val="231F20"/>
          <w:spacing w:val="-5"/>
        </w:rPr>
        <w:t> </w:t>
      </w:r>
      <w:r>
        <w:rPr>
          <w:color w:val="231F20"/>
          <w:spacing w:val="-1"/>
        </w:rPr>
        <w:t>secondary</w:t>
      </w:r>
      <w:r>
        <w:rPr>
          <w:color w:val="231F20"/>
          <w:spacing w:val="-3"/>
        </w:rPr>
        <w:t> </w:t>
      </w:r>
      <w:r>
        <w:rPr>
          <w:color w:val="231F20"/>
          <w:spacing w:val="-1"/>
        </w:rPr>
        <w:t>students</w:t>
      </w:r>
      <w:r>
        <w:rPr>
          <w:rFonts w:ascii="Segoe UI Semibold"/>
          <w:b/>
          <w:color w:val="231F20"/>
          <w:spacing w:val="-1"/>
          <w:position w:val="7"/>
          <w:sz w:val="11"/>
        </w:rPr>
        <w:t>55</w:t>
      </w:r>
      <w:r>
        <w:rPr>
          <w:color w:val="231F20"/>
          <w:spacing w:val="-1"/>
        </w:rPr>
        <w:t>,</w:t>
      </w:r>
      <w:r>
        <w:rPr>
          <w:color w:val="231F20"/>
          <w:spacing w:val="-4"/>
        </w:rPr>
        <w:t> </w:t>
      </w:r>
      <w:r>
        <w:rPr>
          <w:color w:val="231F20"/>
        </w:rPr>
        <w:t>and</w:t>
      </w:r>
      <w:r>
        <w:rPr>
          <w:color w:val="231F20"/>
          <w:spacing w:val="-5"/>
        </w:rPr>
        <w:t> </w:t>
      </w:r>
      <w:r>
        <w:rPr>
          <w:color w:val="231F20"/>
        </w:rPr>
        <w:t>their</w:t>
      </w:r>
      <w:r>
        <w:rPr>
          <w:color w:val="231F20"/>
          <w:spacing w:val="26"/>
          <w:w w:val="99"/>
        </w:rPr>
        <w:t> </w:t>
      </w:r>
      <w:r>
        <w:rPr>
          <w:rFonts w:ascii="Segoe UI"/>
          <w:color w:val="231F20"/>
        </w:rPr>
        <w:t>families and communities. Specifically, there</w:t>
      </w:r>
      <w:r>
        <w:rPr>
          <w:rFonts w:ascii="Segoe UI"/>
        </w:rPr>
      </w:r>
    </w:p>
    <w:p>
      <w:pPr>
        <w:pStyle w:val="BodyText"/>
        <w:spacing w:line="250" w:lineRule="exact"/>
        <w:ind w:left="100" w:right="171"/>
        <w:jc w:val="left"/>
      </w:pPr>
      <w:r>
        <w:rPr>
          <w:rFonts w:ascii="Segoe UI"/>
          <w:color w:val="231F20"/>
        </w:rPr>
        <w:t>is a significant gap in knowledge regarding </w:t>
      </w:r>
      <w:r>
        <w:rPr>
          <w:color w:val="231F20"/>
        </w:rPr>
        <w:t>the</w:t>
      </w:r>
      <w:r>
        <w:rPr>
          <w:color w:val="231F20"/>
          <w:spacing w:val="-6"/>
        </w:rPr>
        <w:t> </w:t>
      </w:r>
      <w:r>
        <w:rPr>
          <w:color w:val="231F20"/>
          <w:spacing w:val="-1"/>
        </w:rPr>
        <w:t>impact</w:t>
      </w:r>
      <w:r>
        <w:rPr>
          <w:color w:val="231F20"/>
          <w:spacing w:val="-5"/>
        </w:rPr>
        <w:t> </w:t>
      </w:r>
      <w:r>
        <w:rPr>
          <w:color w:val="231F20"/>
        </w:rPr>
        <w:t>and</w:t>
      </w:r>
      <w:r>
        <w:rPr>
          <w:color w:val="231F20"/>
          <w:spacing w:val="-6"/>
        </w:rPr>
        <w:t> </w:t>
      </w:r>
      <w:r>
        <w:rPr>
          <w:color w:val="231F20"/>
        </w:rPr>
        <w:t>outcomes</w:t>
      </w:r>
      <w:r>
        <w:rPr>
          <w:color w:val="231F20"/>
          <w:spacing w:val="-6"/>
        </w:rPr>
        <w:t> </w:t>
      </w:r>
      <w:r>
        <w:rPr>
          <w:color w:val="231F20"/>
        </w:rPr>
        <w:t>of</w:t>
      </w:r>
      <w:r>
        <w:rPr>
          <w:color w:val="231F20"/>
          <w:spacing w:val="-5"/>
        </w:rPr>
        <w:t> </w:t>
      </w:r>
      <w:r>
        <w:rPr>
          <w:color w:val="231F20"/>
        </w:rPr>
        <w:t>government</w:t>
      </w:r>
      <w:r>
        <w:rPr>
          <w:color w:val="231F20"/>
          <w:spacing w:val="21"/>
          <w:w w:val="99"/>
        </w:rPr>
        <w:t> </w:t>
      </w:r>
      <w:r>
        <w:rPr>
          <w:color w:val="231F20"/>
          <w:spacing w:val="-1"/>
        </w:rPr>
        <w:t>investment</w:t>
      </w:r>
      <w:r>
        <w:rPr>
          <w:color w:val="231F20"/>
          <w:spacing w:val="-4"/>
        </w:rPr>
        <w:t> </w:t>
      </w:r>
      <w:r>
        <w:rPr>
          <w:color w:val="231F20"/>
          <w:spacing w:val="-1"/>
        </w:rPr>
        <w:t>in</w:t>
      </w:r>
      <w:r>
        <w:rPr>
          <w:color w:val="231F20"/>
          <w:spacing w:val="-4"/>
        </w:rPr>
        <w:t> </w:t>
      </w:r>
      <w:r>
        <w:rPr>
          <w:color w:val="231F20"/>
        </w:rPr>
        <w:t>boarding</w:t>
      </w:r>
      <w:r>
        <w:rPr>
          <w:color w:val="231F20"/>
          <w:spacing w:val="-5"/>
        </w:rPr>
        <w:t> </w:t>
      </w:r>
      <w:r>
        <w:rPr>
          <w:color w:val="231F20"/>
          <w:spacing w:val="-1"/>
        </w:rPr>
        <w:t>support</w:t>
      </w:r>
      <w:r>
        <w:rPr>
          <w:color w:val="231F20"/>
          <w:spacing w:val="-3"/>
        </w:rPr>
        <w:t> </w:t>
      </w:r>
      <w:r>
        <w:rPr>
          <w:color w:val="231F20"/>
        </w:rPr>
        <w:t>provisions,</w:t>
      </w:r>
      <w:r>
        <w:rPr/>
      </w:r>
    </w:p>
    <w:p>
      <w:pPr>
        <w:pStyle w:val="BodyText"/>
        <w:spacing w:line="250" w:lineRule="exact"/>
        <w:ind w:left="100" w:right="0"/>
        <w:jc w:val="left"/>
        <w:rPr>
          <w:rFonts w:ascii="Segoe UI" w:hAnsi="Segoe UI" w:cs="Segoe UI" w:eastAsia="Segoe UI"/>
        </w:rPr>
      </w:pPr>
      <w:r>
        <w:rPr>
          <w:color w:val="231F20"/>
          <w:spacing w:val="-1"/>
        </w:rPr>
        <w:t>such</w:t>
      </w:r>
      <w:r>
        <w:rPr>
          <w:color w:val="231F20"/>
        </w:rPr>
        <w:t> as</w:t>
      </w:r>
      <w:r>
        <w:rPr>
          <w:color w:val="231F20"/>
          <w:spacing w:val="-1"/>
        </w:rPr>
        <w:t> </w:t>
      </w:r>
      <w:r>
        <w:rPr>
          <w:color w:val="231F20"/>
        </w:rPr>
        <w:t>ABSTUDY</w:t>
      </w:r>
      <w:r>
        <w:rPr>
          <w:color w:val="231F20"/>
          <w:spacing w:val="-1"/>
        </w:rPr>
        <w:t> </w:t>
      </w:r>
      <w:r>
        <w:rPr>
          <w:color w:val="231F20"/>
        </w:rPr>
        <w:t>and</w:t>
      </w:r>
      <w:r>
        <w:rPr>
          <w:color w:val="231F20"/>
          <w:spacing w:val="-1"/>
        </w:rPr>
        <w:t> scholarships</w:t>
      </w:r>
      <w:r>
        <w:rPr>
          <w:rFonts w:ascii="Segoe UI Semibold"/>
          <w:b/>
          <w:color w:val="231F20"/>
          <w:spacing w:val="-1"/>
          <w:position w:val="7"/>
          <w:sz w:val="11"/>
        </w:rPr>
        <w:t>56</w:t>
      </w:r>
      <w:r>
        <w:rPr>
          <w:color w:val="231F20"/>
          <w:spacing w:val="-1"/>
        </w:rPr>
        <w:t>.</w:t>
      </w:r>
      <w:r>
        <w:rPr>
          <w:color w:val="231F20"/>
        </w:rPr>
        <w:t> The House</w:t>
      </w:r>
      <w:r>
        <w:rPr>
          <w:color w:val="231F20"/>
          <w:spacing w:val="25"/>
        </w:rPr>
        <w:t> </w:t>
      </w:r>
      <w:r>
        <w:rPr>
          <w:color w:val="231F20"/>
        </w:rPr>
        <w:t>of</w:t>
      </w:r>
      <w:r>
        <w:rPr>
          <w:color w:val="231F20"/>
          <w:spacing w:val="-6"/>
        </w:rPr>
        <w:t> </w:t>
      </w:r>
      <w:r>
        <w:rPr>
          <w:color w:val="231F20"/>
          <w:spacing w:val="-1"/>
        </w:rPr>
        <w:t>Representatives</w:t>
      </w:r>
      <w:r>
        <w:rPr>
          <w:color w:val="231F20"/>
          <w:spacing w:val="-7"/>
        </w:rPr>
        <w:t> </w:t>
      </w:r>
      <w:r>
        <w:rPr>
          <w:color w:val="231F20"/>
          <w:spacing w:val="-1"/>
        </w:rPr>
        <w:t>Standing</w:t>
      </w:r>
      <w:r>
        <w:rPr>
          <w:color w:val="231F20"/>
          <w:spacing w:val="-7"/>
        </w:rPr>
        <w:t> </w:t>
      </w:r>
      <w:r>
        <w:rPr>
          <w:color w:val="231F20"/>
          <w:spacing w:val="-1"/>
        </w:rPr>
        <w:t>Committee</w:t>
      </w:r>
      <w:r>
        <w:rPr>
          <w:color w:val="231F20"/>
          <w:spacing w:val="-6"/>
        </w:rPr>
        <w:t> </w:t>
      </w:r>
      <w:r>
        <w:rPr>
          <w:color w:val="231F20"/>
        </w:rPr>
        <w:t>on</w:t>
      </w:r>
      <w:r>
        <w:rPr>
          <w:color w:val="231F20"/>
          <w:spacing w:val="23"/>
          <w:w w:val="99"/>
        </w:rPr>
        <w:t> </w:t>
      </w:r>
      <w:r>
        <w:rPr>
          <w:rFonts w:ascii="Segoe UI"/>
          <w:color w:val="231F20"/>
        </w:rPr>
        <w:t>Indigenous</w:t>
      </w:r>
      <w:r>
        <w:rPr>
          <w:rFonts w:ascii="Segoe UI"/>
          <w:color w:val="231F20"/>
          <w:spacing w:val="-2"/>
        </w:rPr>
        <w:t> </w:t>
      </w:r>
      <w:r>
        <w:rPr>
          <w:rFonts w:ascii="Segoe UI"/>
          <w:color w:val="231F20"/>
        </w:rPr>
        <w:t>Affairs</w:t>
      </w:r>
      <w:r>
        <w:rPr>
          <w:rFonts w:ascii="Segoe UI"/>
          <w:color w:val="231F20"/>
          <w:spacing w:val="-1"/>
        </w:rPr>
        <w:t> </w:t>
      </w:r>
      <w:r>
        <w:rPr>
          <w:rFonts w:ascii="Segoe UI"/>
          <w:color w:val="231F20"/>
        </w:rPr>
        <w:t>in</w:t>
      </w:r>
      <w:r>
        <w:rPr>
          <w:rFonts w:ascii="Segoe UI"/>
          <w:color w:val="231F20"/>
          <w:spacing w:val="-1"/>
        </w:rPr>
        <w:t> </w:t>
      </w:r>
      <w:r>
        <w:rPr>
          <w:rFonts w:ascii="Segoe UI"/>
          <w:color w:val="231F20"/>
        </w:rPr>
        <w:t>2017</w:t>
      </w:r>
      <w:r>
        <w:rPr>
          <w:rFonts w:ascii="Segoe UI"/>
          <w:color w:val="231F20"/>
          <w:spacing w:val="-1"/>
        </w:rPr>
        <w:t> </w:t>
      </w:r>
      <w:r>
        <w:rPr>
          <w:rFonts w:ascii="Segoe UI"/>
          <w:color w:val="231F20"/>
        </w:rPr>
        <w:t>also</w:t>
      </w:r>
      <w:r>
        <w:rPr>
          <w:rFonts w:ascii="Segoe UI"/>
          <w:color w:val="231F20"/>
          <w:spacing w:val="-1"/>
        </w:rPr>
        <w:t> </w:t>
      </w:r>
      <w:r>
        <w:rPr>
          <w:rFonts w:ascii="Segoe UI"/>
          <w:color w:val="231F20"/>
        </w:rPr>
        <w:t>commented</w:t>
      </w:r>
      <w:r>
        <w:rPr>
          <w:rFonts w:ascii="Segoe UI"/>
        </w:rPr>
      </w:r>
    </w:p>
    <w:p>
      <w:pPr>
        <w:pStyle w:val="BodyText"/>
        <w:spacing w:line="250" w:lineRule="exact"/>
        <w:ind w:left="100" w:right="102"/>
        <w:jc w:val="left"/>
      </w:pPr>
      <w:r>
        <w:rPr>
          <w:color w:val="231F20"/>
        </w:rPr>
        <w:t>on</w:t>
      </w:r>
      <w:r>
        <w:rPr>
          <w:color w:val="231F20"/>
          <w:spacing w:val="-6"/>
        </w:rPr>
        <w:t> </w:t>
      </w:r>
      <w:r>
        <w:rPr>
          <w:color w:val="231F20"/>
        </w:rPr>
        <w:t>the</w:t>
      </w:r>
      <w:r>
        <w:rPr>
          <w:color w:val="231F20"/>
          <w:spacing w:val="-6"/>
        </w:rPr>
        <w:t> </w:t>
      </w:r>
      <w:r>
        <w:rPr>
          <w:color w:val="231F20"/>
        </w:rPr>
        <w:t>‘lack</w:t>
      </w:r>
      <w:r>
        <w:rPr>
          <w:color w:val="231F20"/>
          <w:spacing w:val="-5"/>
        </w:rPr>
        <w:t> </w:t>
      </w:r>
      <w:r>
        <w:rPr>
          <w:color w:val="231F20"/>
        </w:rPr>
        <w:t>of</w:t>
      </w:r>
      <w:r>
        <w:rPr>
          <w:color w:val="231F20"/>
          <w:spacing w:val="-5"/>
        </w:rPr>
        <w:t> </w:t>
      </w:r>
      <w:r>
        <w:rPr>
          <w:color w:val="231F20"/>
        </w:rPr>
        <w:t>data</w:t>
      </w:r>
      <w:r>
        <w:rPr>
          <w:color w:val="231F20"/>
          <w:spacing w:val="-6"/>
        </w:rPr>
        <w:t> </w:t>
      </w:r>
      <w:r>
        <w:rPr>
          <w:color w:val="231F20"/>
        </w:rPr>
        <w:t>available</w:t>
      </w:r>
      <w:r>
        <w:rPr>
          <w:color w:val="231F20"/>
          <w:spacing w:val="-6"/>
        </w:rPr>
        <w:t> </w:t>
      </w:r>
      <w:r>
        <w:rPr>
          <w:color w:val="231F20"/>
        </w:rPr>
        <w:t>regarding</w:t>
      </w:r>
      <w:r>
        <w:rPr>
          <w:color w:val="231F20"/>
          <w:w w:val="99"/>
        </w:rPr>
        <w:t> </w:t>
      </w:r>
      <w:r>
        <w:rPr>
          <w:color w:val="231F20"/>
        </w:rPr>
        <w:t>attendance</w:t>
      </w:r>
      <w:r>
        <w:rPr>
          <w:color w:val="231F20"/>
          <w:spacing w:val="-8"/>
        </w:rPr>
        <w:t> </w:t>
      </w:r>
      <w:r>
        <w:rPr>
          <w:color w:val="231F20"/>
        </w:rPr>
        <w:t>and</w:t>
      </w:r>
      <w:r>
        <w:rPr>
          <w:color w:val="231F20"/>
          <w:spacing w:val="-7"/>
        </w:rPr>
        <w:t> </w:t>
      </w:r>
      <w:r>
        <w:rPr>
          <w:color w:val="231F20"/>
        </w:rPr>
        <w:t>education</w:t>
      </w:r>
      <w:r>
        <w:rPr>
          <w:color w:val="231F20"/>
          <w:spacing w:val="-7"/>
        </w:rPr>
        <w:t> </w:t>
      </w:r>
      <w:r>
        <w:rPr>
          <w:color w:val="231F20"/>
        </w:rPr>
        <w:t>outcomes</w:t>
      </w:r>
      <w:r>
        <w:rPr>
          <w:color w:val="231F20"/>
          <w:spacing w:val="-7"/>
        </w:rPr>
        <w:t> </w:t>
      </w:r>
      <w:r>
        <w:rPr>
          <w:color w:val="231F20"/>
        </w:rPr>
        <w:t>for</w:t>
      </w:r>
      <w:r>
        <w:rPr>
          <w:color w:val="231F20"/>
          <w:w w:val="99"/>
        </w:rPr>
        <w:t> </w:t>
      </w:r>
      <w:r>
        <w:rPr>
          <w:color w:val="231F20"/>
        </w:rPr>
        <w:t>Aboriginal</w:t>
      </w:r>
      <w:r>
        <w:rPr>
          <w:color w:val="231F20"/>
          <w:spacing w:val="-4"/>
        </w:rPr>
        <w:t> </w:t>
      </w:r>
      <w:r>
        <w:rPr>
          <w:color w:val="231F20"/>
        </w:rPr>
        <w:t>and</w:t>
      </w:r>
      <w:r>
        <w:rPr>
          <w:color w:val="231F20"/>
          <w:spacing w:val="-4"/>
        </w:rPr>
        <w:t> </w:t>
      </w:r>
      <w:r>
        <w:rPr>
          <w:color w:val="231F20"/>
          <w:spacing w:val="-5"/>
        </w:rPr>
        <w:t>Torres</w:t>
      </w:r>
      <w:r>
        <w:rPr>
          <w:color w:val="231F20"/>
          <w:spacing w:val="-3"/>
        </w:rPr>
        <w:t> </w:t>
      </w:r>
      <w:r>
        <w:rPr>
          <w:color w:val="231F20"/>
          <w:spacing w:val="-2"/>
        </w:rPr>
        <w:t>Strait</w:t>
      </w:r>
      <w:r>
        <w:rPr>
          <w:color w:val="231F20"/>
          <w:spacing w:val="-4"/>
        </w:rPr>
        <w:t> </w:t>
      </w:r>
      <w:r>
        <w:rPr>
          <w:color w:val="231F20"/>
          <w:spacing w:val="-1"/>
        </w:rPr>
        <w:t>Islander</w:t>
      </w:r>
      <w:r>
        <w:rPr>
          <w:color w:val="231F20"/>
          <w:spacing w:val="-3"/>
        </w:rPr>
        <w:t> </w:t>
      </w:r>
      <w:r>
        <w:rPr>
          <w:color w:val="231F20"/>
          <w:spacing w:val="-1"/>
        </w:rPr>
        <w:t>students’</w:t>
      </w:r>
      <w:r>
        <w:rPr>
          <w:rFonts w:ascii="Segoe UI Semibold" w:hAnsi="Segoe UI Semibold" w:cs="Segoe UI Semibold" w:eastAsia="Segoe UI Semibold"/>
          <w:b/>
          <w:bCs/>
          <w:color w:val="231F20"/>
          <w:spacing w:val="-1"/>
          <w:position w:val="7"/>
          <w:sz w:val="11"/>
          <w:szCs w:val="11"/>
        </w:rPr>
        <w:t>57</w:t>
      </w:r>
      <w:r>
        <w:rPr>
          <w:rFonts w:ascii="Segoe UI Semibold" w:hAnsi="Segoe UI Semibold" w:cs="Segoe UI Semibold" w:eastAsia="Segoe UI Semibold"/>
          <w:b/>
          <w:bCs/>
          <w:color w:val="231F20"/>
          <w:spacing w:val="22"/>
          <w:w w:val="106"/>
          <w:position w:val="7"/>
          <w:sz w:val="11"/>
          <w:szCs w:val="11"/>
        </w:rPr>
        <w:t> </w:t>
      </w:r>
      <w:r>
        <w:rPr>
          <w:color w:val="231F20"/>
        </w:rPr>
        <w:t>and</w:t>
      </w:r>
      <w:r>
        <w:rPr>
          <w:color w:val="231F20"/>
          <w:spacing w:val="-6"/>
        </w:rPr>
        <w:t> </w:t>
      </w:r>
      <w:r>
        <w:rPr>
          <w:color w:val="231F20"/>
        </w:rPr>
        <w:t>recommended</w:t>
      </w:r>
      <w:r>
        <w:rPr>
          <w:color w:val="231F20"/>
          <w:spacing w:val="-7"/>
        </w:rPr>
        <w:t> </w:t>
      </w:r>
      <w:r>
        <w:rPr>
          <w:color w:val="231F20"/>
        </w:rPr>
        <w:t>a</w:t>
      </w:r>
      <w:r>
        <w:rPr>
          <w:color w:val="231F20"/>
          <w:spacing w:val="-5"/>
        </w:rPr>
        <w:t> </w:t>
      </w:r>
      <w:r>
        <w:rPr>
          <w:color w:val="231F20"/>
        </w:rPr>
        <w:t>greater</w:t>
      </w:r>
      <w:r>
        <w:rPr>
          <w:color w:val="231F20"/>
          <w:spacing w:val="-5"/>
        </w:rPr>
        <w:t> </w:t>
      </w:r>
      <w:r>
        <w:rPr>
          <w:color w:val="231F20"/>
          <w:spacing w:val="-1"/>
        </w:rPr>
        <w:t>investment</w:t>
      </w:r>
      <w:r>
        <w:rPr>
          <w:color w:val="231F20"/>
          <w:spacing w:val="-5"/>
        </w:rPr>
        <w:t> </w:t>
      </w:r>
      <w:r>
        <w:rPr>
          <w:color w:val="231F20"/>
          <w:spacing w:val="-1"/>
        </w:rPr>
        <w:t>in</w:t>
      </w:r>
      <w:r>
        <w:rPr/>
      </w:r>
    </w:p>
    <w:p>
      <w:pPr>
        <w:pStyle w:val="BodyText"/>
        <w:spacing w:line="250" w:lineRule="exact"/>
        <w:ind w:left="100" w:right="84"/>
        <w:jc w:val="left"/>
      </w:pPr>
      <w:r>
        <w:rPr>
          <w:color w:val="231F20"/>
        </w:rPr>
        <w:t>the</w:t>
      </w:r>
      <w:r>
        <w:rPr>
          <w:color w:val="231F20"/>
          <w:spacing w:val="-5"/>
        </w:rPr>
        <w:t> </w:t>
      </w:r>
      <w:r>
        <w:rPr>
          <w:color w:val="231F20"/>
        </w:rPr>
        <w:t>collection</w:t>
      </w:r>
      <w:r>
        <w:rPr>
          <w:color w:val="231F20"/>
          <w:spacing w:val="-4"/>
        </w:rPr>
        <w:t> </w:t>
      </w:r>
      <w:r>
        <w:rPr>
          <w:color w:val="231F20"/>
        </w:rPr>
        <w:t>and</w:t>
      </w:r>
      <w:r>
        <w:rPr>
          <w:color w:val="231F20"/>
          <w:spacing w:val="-5"/>
        </w:rPr>
        <w:t> </w:t>
      </w:r>
      <w:r>
        <w:rPr>
          <w:color w:val="231F20"/>
        </w:rPr>
        <w:t>analysis</w:t>
      </w:r>
      <w:r>
        <w:rPr>
          <w:color w:val="231F20"/>
          <w:spacing w:val="-4"/>
        </w:rPr>
        <w:t> </w:t>
      </w:r>
      <w:r>
        <w:rPr>
          <w:color w:val="231F20"/>
        </w:rPr>
        <w:t>of</w:t>
      </w:r>
      <w:r>
        <w:rPr>
          <w:color w:val="231F20"/>
          <w:spacing w:val="-4"/>
        </w:rPr>
        <w:t> </w:t>
      </w:r>
      <w:r>
        <w:rPr>
          <w:color w:val="231F20"/>
        </w:rPr>
        <w:t>data</w:t>
      </w:r>
      <w:r>
        <w:rPr>
          <w:color w:val="231F20"/>
          <w:spacing w:val="-4"/>
        </w:rPr>
        <w:t> </w:t>
      </w:r>
      <w:r>
        <w:rPr>
          <w:color w:val="231F20"/>
        </w:rPr>
        <w:t>regarding</w:t>
      </w:r>
      <w:r>
        <w:rPr>
          <w:color w:val="231F20"/>
          <w:w w:val="99"/>
        </w:rPr>
        <w:t> </w:t>
      </w:r>
      <w:r>
        <w:rPr>
          <w:color w:val="231F20"/>
        </w:rPr>
        <w:t>attendance</w:t>
      </w:r>
      <w:r>
        <w:rPr>
          <w:color w:val="231F20"/>
          <w:spacing w:val="-9"/>
        </w:rPr>
        <w:t> </w:t>
      </w:r>
      <w:r>
        <w:rPr>
          <w:color w:val="231F20"/>
        </w:rPr>
        <w:t>and</w:t>
      </w:r>
      <w:r>
        <w:rPr>
          <w:color w:val="231F20"/>
          <w:spacing w:val="-8"/>
        </w:rPr>
        <w:t> </w:t>
      </w:r>
      <w:r>
        <w:rPr>
          <w:color w:val="231F20"/>
        </w:rPr>
        <w:t>outcomes.</w:t>
      </w:r>
      <w:r>
        <w:rPr>
          <w:color w:val="231F20"/>
          <w:spacing w:val="-8"/>
        </w:rPr>
        <w:t> </w:t>
      </w:r>
      <w:r>
        <w:rPr>
          <w:color w:val="231F20"/>
        </w:rPr>
        <w:t>Grant</w:t>
      </w:r>
      <w:r>
        <w:rPr>
          <w:color w:val="231F20"/>
          <w:spacing w:val="-7"/>
        </w:rPr>
        <w:t> </w:t>
      </w:r>
      <w:r>
        <w:rPr>
          <w:color w:val="231F20"/>
        </w:rPr>
        <w:t>Thornton</w:t>
      </w:r>
      <w:r>
        <w:rPr>
          <w:color w:val="231F20"/>
          <w:spacing w:val="-8"/>
        </w:rPr>
        <w:t> </w:t>
      </w:r>
      <w:r>
        <w:rPr>
          <w:color w:val="231F20"/>
        </w:rPr>
        <w:t>also</w:t>
      </w:r>
      <w:r>
        <w:rPr>
          <w:color w:val="231F20"/>
        </w:rPr>
        <w:t> found</w:t>
      </w:r>
      <w:r>
        <w:rPr>
          <w:color w:val="231F20"/>
          <w:spacing w:val="-4"/>
        </w:rPr>
        <w:t> </w:t>
      </w:r>
      <w:r>
        <w:rPr>
          <w:color w:val="231F20"/>
        </w:rPr>
        <w:t>a</w:t>
      </w:r>
      <w:r>
        <w:rPr>
          <w:color w:val="231F20"/>
          <w:spacing w:val="-3"/>
        </w:rPr>
        <w:t> </w:t>
      </w:r>
      <w:r>
        <w:rPr>
          <w:color w:val="231F20"/>
        </w:rPr>
        <w:t>number</w:t>
      </w:r>
      <w:r>
        <w:rPr>
          <w:color w:val="231F20"/>
          <w:spacing w:val="-4"/>
        </w:rPr>
        <w:t> </w:t>
      </w:r>
      <w:r>
        <w:rPr>
          <w:color w:val="231F20"/>
        </w:rPr>
        <w:t>of</w:t>
      </w:r>
      <w:r>
        <w:rPr>
          <w:color w:val="231F20"/>
          <w:spacing w:val="-3"/>
        </w:rPr>
        <w:t> </w:t>
      </w:r>
      <w:r>
        <w:rPr>
          <w:color w:val="231F20"/>
          <w:spacing w:val="-1"/>
        </w:rPr>
        <w:t>inconsistencies</w:t>
      </w:r>
      <w:r>
        <w:rPr>
          <w:color w:val="231F20"/>
          <w:spacing w:val="-3"/>
        </w:rPr>
        <w:t> </w:t>
      </w:r>
      <w:r>
        <w:rPr>
          <w:color w:val="231F20"/>
          <w:spacing w:val="-1"/>
        </w:rPr>
        <w:t>in</w:t>
      </w:r>
      <w:r>
        <w:rPr>
          <w:color w:val="231F20"/>
          <w:spacing w:val="-3"/>
        </w:rPr>
        <w:t> </w:t>
      </w:r>
      <w:r>
        <w:rPr>
          <w:color w:val="231F20"/>
        </w:rPr>
        <w:t>the</w:t>
      </w:r>
      <w:r>
        <w:rPr>
          <w:color w:val="231F20"/>
          <w:spacing w:val="-4"/>
        </w:rPr>
        <w:t> </w:t>
      </w:r>
      <w:r>
        <w:rPr>
          <w:color w:val="231F20"/>
        </w:rPr>
        <w:t>way</w:t>
      </w:r>
      <w:r>
        <w:rPr>
          <w:color w:val="231F20"/>
          <w:spacing w:val="23"/>
          <w:w w:val="99"/>
        </w:rPr>
        <w:t> </w:t>
      </w:r>
      <w:r>
        <w:rPr>
          <w:color w:val="231F20"/>
          <w:spacing w:val="-1"/>
        </w:rPr>
        <w:t>in</w:t>
      </w:r>
      <w:r>
        <w:rPr>
          <w:color w:val="231F20"/>
          <w:spacing w:val="-6"/>
        </w:rPr>
        <w:t> </w:t>
      </w:r>
      <w:r>
        <w:rPr>
          <w:color w:val="231F20"/>
        </w:rPr>
        <w:t>which</w:t>
      </w:r>
      <w:r>
        <w:rPr>
          <w:color w:val="231F20"/>
          <w:spacing w:val="-6"/>
        </w:rPr>
        <w:t> </w:t>
      </w:r>
      <w:r>
        <w:rPr>
          <w:color w:val="231F20"/>
        </w:rPr>
        <w:t>boarding</w:t>
      </w:r>
      <w:r>
        <w:rPr>
          <w:color w:val="231F20"/>
          <w:spacing w:val="-6"/>
        </w:rPr>
        <w:t> </w:t>
      </w:r>
      <w:r>
        <w:rPr>
          <w:color w:val="231F20"/>
        </w:rPr>
        <w:t>providers</w:t>
      </w:r>
      <w:r>
        <w:rPr>
          <w:color w:val="231F20"/>
          <w:spacing w:val="-6"/>
        </w:rPr>
        <w:t> </w:t>
      </w:r>
      <w:r>
        <w:rPr>
          <w:color w:val="231F20"/>
        </w:rPr>
        <w:t>classify</w:t>
      </w:r>
      <w:r>
        <w:rPr>
          <w:color w:val="231F20"/>
          <w:spacing w:val="-6"/>
        </w:rPr>
        <w:t> </w:t>
      </w:r>
      <w:r>
        <w:rPr>
          <w:color w:val="231F20"/>
        </w:rPr>
        <w:t>and</w:t>
      </w:r>
      <w:r>
        <w:rPr>
          <w:color w:val="231F20"/>
          <w:spacing w:val="-6"/>
        </w:rPr>
        <w:t> </w:t>
      </w:r>
      <w:r>
        <w:rPr>
          <w:color w:val="231F20"/>
        </w:rPr>
        <w:t>report</w:t>
      </w:r>
      <w:r>
        <w:rPr>
          <w:color w:val="231F20"/>
          <w:spacing w:val="21"/>
          <w:w w:val="99"/>
        </w:rPr>
        <w:t> </w:t>
      </w:r>
      <w:r>
        <w:rPr>
          <w:color w:val="231F20"/>
        </w:rPr>
        <w:t>various</w:t>
      </w:r>
      <w:r>
        <w:rPr>
          <w:color w:val="231F20"/>
          <w:spacing w:val="-6"/>
        </w:rPr>
        <w:t> </w:t>
      </w:r>
      <w:r>
        <w:rPr>
          <w:color w:val="231F20"/>
          <w:spacing w:val="-1"/>
        </w:rPr>
        <w:t>income</w:t>
      </w:r>
      <w:r>
        <w:rPr>
          <w:color w:val="231F20"/>
          <w:spacing w:val="-6"/>
        </w:rPr>
        <w:t> </w:t>
      </w:r>
      <w:r>
        <w:rPr>
          <w:color w:val="231F20"/>
        </w:rPr>
        <w:t>and</w:t>
      </w:r>
      <w:r>
        <w:rPr>
          <w:color w:val="231F20"/>
          <w:spacing w:val="-7"/>
        </w:rPr>
        <w:t> </w:t>
      </w:r>
      <w:r>
        <w:rPr>
          <w:color w:val="231F20"/>
        </w:rPr>
        <w:t>expenditure</w:t>
      </w:r>
      <w:r>
        <w:rPr>
          <w:color w:val="231F20"/>
          <w:spacing w:val="-7"/>
        </w:rPr>
        <w:t> </w:t>
      </w:r>
      <w:r>
        <w:rPr>
          <w:color w:val="231F20"/>
        </w:rPr>
        <w:t>relevant</w:t>
      </w:r>
      <w:r>
        <w:rPr>
          <w:color w:val="231F20"/>
          <w:spacing w:val="-7"/>
        </w:rPr>
        <w:t> </w:t>
      </w:r>
      <w:r>
        <w:rPr>
          <w:color w:val="231F20"/>
        </w:rPr>
        <w:t>to</w:t>
      </w:r>
      <w:r>
        <w:rPr>
          <w:color w:val="231F20"/>
          <w:spacing w:val="21"/>
          <w:w w:val="99"/>
        </w:rPr>
        <w:t> </w:t>
      </w:r>
      <w:r>
        <w:rPr>
          <w:color w:val="231F20"/>
        </w:rPr>
        <w:t>boarding</w:t>
      </w:r>
      <w:r>
        <w:rPr>
          <w:color w:val="231F20"/>
          <w:spacing w:val="-19"/>
        </w:rPr>
        <w:t> </w:t>
      </w:r>
      <w:r>
        <w:rPr>
          <w:color w:val="231F20"/>
        </w:rPr>
        <w:t>operations.</w:t>
      </w:r>
      <w:r>
        <w:rPr/>
      </w:r>
    </w:p>
    <w:p>
      <w:pPr>
        <w:pStyle w:val="BodyText"/>
        <w:spacing w:line="250" w:lineRule="exact" w:before="72"/>
        <w:ind w:left="100" w:right="393"/>
        <w:jc w:val="left"/>
      </w:pPr>
      <w:r>
        <w:rPr/>
        <w:br w:type="column"/>
      </w:r>
      <w:r>
        <w:rPr>
          <w:color w:val="231F20"/>
        </w:rPr>
        <w:t>The</w:t>
      </w:r>
      <w:r>
        <w:rPr>
          <w:color w:val="231F20"/>
          <w:spacing w:val="-6"/>
        </w:rPr>
        <w:t> </w:t>
      </w:r>
      <w:r>
        <w:rPr>
          <w:color w:val="231F20"/>
        </w:rPr>
        <w:t>accurate</w:t>
      </w:r>
      <w:r>
        <w:rPr>
          <w:color w:val="231F20"/>
          <w:spacing w:val="-6"/>
        </w:rPr>
        <w:t> </w:t>
      </w:r>
      <w:r>
        <w:rPr>
          <w:color w:val="231F20"/>
        </w:rPr>
        <w:t>allocation</w:t>
      </w:r>
      <w:r>
        <w:rPr>
          <w:color w:val="231F20"/>
          <w:spacing w:val="-6"/>
        </w:rPr>
        <w:t> </w:t>
      </w:r>
      <w:r>
        <w:rPr>
          <w:color w:val="231F20"/>
        </w:rPr>
        <w:t>of</w:t>
      </w:r>
      <w:r>
        <w:rPr>
          <w:color w:val="231F20"/>
          <w:spacing w:val="-5"/>
        </w:rPr>
        <w:t> </w:t>
      </w:r>
      <w:r>
        <w:rPr>
          <w:color w:val="231F20"/>
        </w:rPr>
        <w:t>revenue</w:t>
      </w:r>
      <w:r>
        <w:rPr>
          <w:color w:val="231F20"/>
          <w:spacing w:val="-7"/>
        </w:rPr>
        <w:t> </w:t>
      </w:r>
      <w:r>
        <w:rPr>
          <w:color w:val="231F20"/>
        </w:rPr>
        <w:t>and</w:t>
      </w:r>
      <w:r>
        <w:rPr>
          <w:color w:val="231F20"/>
          <w:spacing w:val="-6"/>
        </w:rPr>
        <w:t> </w:t>
      </w:r>
      <w:r>
        <w:rPr>
          <w:color w:val="231F20"/>
        </w:rPr>
        <w:t>costs</w:t>
      </w:r>
      <w:r>
        <w:rPr>
          <w:color w:val="231F20"/>
        </w:rPr>
        <w:t> between</w:t>
      </w:r>
      <w:r>
        <w:rPr>
          <w:color w:val="231F20"/>
          <w:spacing w:val="-9"/>
        </w:rPr>
        <w:t> </w:t>
      </w:r>
      <w:r>
        <w:rPr>
          <w:color w:val="231F20"/>
          <w:spacing w:val="-1"/>
        </w:rPr>
        <w:t>school</w:t>
      </w:r>
      <w:r>
        <w:rPr>
          <w:color w:val="231F20"/>
          <w:spacing w:val="-7"/>
        </w:rPr>
        <w:t> </w:t>
      </w:r>
      <w:r>
        <w:rPr>
          <w:color w:val="231F20"/>
        </w:rPr>
        <w:t>and</w:t>
      </w:r>
      <w:r>
        <w:rPr>
          <w:color w:val="231F20"/>
          <w:spacing w:val="-8"/>
        </w:rPr>
        <w:t> </w:t>
      </w:r>
      <w:r>
        <w:rPr>
          <w:color w:val="231F20"/>
        </w:rPr>
        <w:t>boarding</w:t>
      </w:r>
      <w:r>
        <w:rPr>
          <w:color w:val="231F20"/>
          <w:spacing w:val="-8"/>
        </w:rPr>
        <w:t> </w:t>
      </w:r>
      <w:r>
        <w:rPr>
          <w:color w:val="231F20"/>
        </w:rPr>
        <w:t>operations</w:t>
      </w:r>
      <w:r>
        <w:rPr>
          <w:color w:val="231F20"/>
          <w:spacing w:val="21"/>
          <w:w w:val="99"/>
        </w:rPr>
        <w:t> </w:t>
      </w:r>
      <w:r>
        <w:rPr>
          <w:color w:val="231F20"/>
        </w:rPr>
        <w:t>was</w:t>
      </w:r>
      <w:r>
        <w:rPr>
          <w:color w:val="231F20"/>
          <w:spacing w:val="-7"/>
        </w:rPr>
        <w:t> </w:t>
      </w:r>
      <w:r>
        <w:rPr>
          <w:color w:val="231F20"/>
        </w:rPr>
        <w:t>also</w:t>
      </w:r>
      <w:r>
        <w:rPr>
          <w:color w:val="231F20"/>
          <w:spacing w:val="-6"/>
        </w:rPr>
        <w:t> </w:t>
      </w:r>
      <w:r>
        <w:rPr>
          <w:color w:val="231F20"/>
        </w:rPr>
        <w:t>a</w:t>
      </w:r>
      <w:r>
        <w:rPr>
          <w:color w:val="231F20"/>
          <w:spacing w:val="-5"/>
        </w:rPr>
        <w:t> </w:t>
      </w:r>
      <w:r>
        <w:rPr>
          <w:color w:val="231F20"/>
        </w:rPr>
        <w:t>challenge</w:t>
      </w:r>
      <w:r>
        <w:rPr>
          <w:color w:val="231F20"/>
          <w:spacing w:val="-7"/>
        </w:rPr>
        <w:t> </w:t>
      </w:r>
      <w:r>
        <w:rPr>
          <w:color w:val="231F20"/>
        </w:rPr>
        <w:t>for</w:t>
      </w:r>
      <w:r>
        <w:rPr>
          <w:color w:val="231F20"/>
          <w:spacing w:val="-5"/>
        </w:rPr>
        <w:t> </w:t>
      </w:r>
      <w:r>
        <w:rPr>
          <w:color w:val="231F20"/>
        </w:rPr>
        <w:t>boarding</w:t>
      </w:r>
      <w:r>
        <w:rPr>
          <w:color w:val="231F20"/>
          <w:spacing w:val="-6"/>
        </w:rPr>
        <w:t> </w:t>
      </w:r>
      <w:r>
        <w:rPr>
          <w:color w:val="231F20"/>
        </w:rPr>
        <w:t>providers,</w:t>
      </w:r>
      <w:r>
        <w:rPr>
          <w:color w:val="231F20"/>
          <w:w w:val="99"/>
        </w:rPr>
        <w:t> </w:t>
      </w:r>
      <w:r>
        <w:rPr>
          <w:color w:val="231F20"/>
        </w:rPr>
        <w:t>especially</w:t>
      </w:r>
      <w:r>
        <w:rPr>
          <w:color w:val="231F20"/>
          <w:spacing w:val="-4"/>
        </w:rPr>
        <w:t> </w:t>
      </w:r>
      <w:r>
        <w:rPr>
          <w:color w:val="231F20"/>
        </w:rPr>
        <w:t>where</w:t>
      </w:r>
      <w:r>
        <w:rPr>
          <w:color w:val="231F20"/>
          <w:spacing w:val="-4"/>
        </w:rPr>
        <w:t> </w:t>
      </w:r>
      <w:r>
        <w:rPr>
          <w:color w:val="231F20"/>
          <w:spacing w:val="-1"/>
        </w:rPr>
        <w:t>items</w:t>
      </w:r>
      <w:r>
        <w:rPr>
          <w:color w:val="231F20"/>
          <w:spacing w:val="-3"/>
        </w:rPr>
        <w:t> </w:t>
      </w:r>
      <w:r>
        <w:rPr>
          <w:color w:val="231F20"/>
          <w:spacing w:val="-1"/>
        </w:rPr>
        <w:t>may</w:t>
      </w:r>
      <w:r>
        <w:rPr>
          <w:color w:val="231F20"/>
          <w:spacing w:val="-2"/>
        </w:rPr>
        <w:t> </w:t>
      </w:r>
      <w:r>
        <w:rPr>
          <w:color w:val="231F20"/>
        </w:rPr>
        <w:t>relate</w:t>
      </w:r>
      <w:r>
        <w:rPr>
          <w:color w:val="231F20"/>
          <w:spacing w:val="-4"/>
        </w:rPr>
        <w:t> </w:t>
      </w:r>
      <w:r>
        <w:rPr>
          <w:color w:val="231F20"/>
        </w:rPr>
        <w:t>to</w:t>
      </w:r>
      <w:r>
        <w:rPr>
          <w:color w:val="231F20"/>
          <w:spacing w:val="-3"/>
        </w:rPr>
        <w:t> </w:t>
      </w:r>
      <w:r>
        <w:rPr>
          <w:color w:val="231F20"/>
        </w:rPr>
        <w:t>both</w:t>
      </w:r>
      <w:r>
        <w:rPr>
          <w:color w:val="231F20"/>
          <w:spacing w:val="23"/>
          <w:w w:val="99"/>
        </w:rPr>
        <w:t> </w:t>
      </w:r>
      <w:r>
        <w:rPr>
          <w:color w:val="231F20"/>
          <w:spacing w:val="-1"/>
        </w:rPr>
        <w:t>school</w:t>
      </w:r>
      <w:r>
        <w:rPr>
          <w:color w:val="231F20"/>
          <w:spacing w:val="-4"/>
        </w:rPr>
        <w:t> </w:t>
      </w:r>
      <w:r>
        <w:rPr>
          <w:color w:val="231F20"/>
        </w:rPr>
        <w:t>and</w:t>
      </w:r>
      <w:r>
        <w:rPr>
          <w:color w:val="231F20"/>
          <w:spacing w:val="-5"/>
        </w:rPr>
        <w:t> </w:t>
      </w:r>
      <w:r>
        <w:rPr>
          <w:color w:val="231F20"/>
        </w:rPr>
        <w:t>boarding</w:t>
      </w:r>
      <w:r>
        <w:rPr>
          <w:color w:val="231F20"/>
          <w:spacing w:val="-5"/>
        </w:rPr>
        <w:t> </w:t>
      </w:r>
      <w:r>
        <w:rPr>
          <w:color w:val="231F20"/>
        </w:rPr>
        <w:t>operations,</w:t>
      </w:r>
      <w:r>
        <w:rPr>
          <w:color w:val="231F20"/>
          <w:spacing w:val="-4"/>
        </w:rPr>
        <w:t> </w:t>
      </w:r>
      <w:r>
        <w:rPr>
          <w:color w:val="231F20"/>
          <w:spacing w:val="-1"/>
        </w:rPr>
        <w:t>such</w:t>
      </w:r>
      <w:r>
        <w:rPr>
          <w:color w:val="231F20"/>
          <w:spacing w:val="-4"/>
        </w:rPr>
        <w:t> </w:t>
      </w:r>
      <w:r>
        <w:rPr>
          <w:color w:val="231F20"/>
        </w:rPr>
        <w:t>as</w:t>
      </w:r>
      <w:r>
        <w:rPr>
          <w:color w:val="231F20"/>
          <w:spacing w:val="-5"/>
        </w:rPr>
        <w:t> </w:t>
      </w:r>
      <w:r>
        <w:rPr>
          <w:color w:val="231F20"/>
        </w:rPr>
        <w:t>a</w:t>
      </w:r>
      <w:r>
        <w:rPr>
          <w:color w:val="231F20"/>
          <w:spacing w:val="23"/>
          <w:w w:val="99"/>
        </w:rPr>
        <w:t> </w:t>
      </w:r>
      <w:r>
        <w:rPr>
          <w:color w:val="231F20"/>
        </w:rPr>
        <w:t>nurse</w:t>
      </w:r>
      <w:r>
        <w:rPr>
          <w:color w:val="231F20"/>
          <w:spacing w:val="-6"/>
        </w:rPr>
        <w:t> </w:t>
      </w:r>
      <w:r>
        <w:rPr>
          <w:color w:val="231F20"/>
        </w:rPr>
        <w:t>or</w:t>
      </w:r>
      <w:r>
        <w:rPr>
          <w:color w:val="231F20"/>
          <w:spacing w:val="-4"/>
        </w:rPr>
        <w:t> </w:t>
      </w:r>
      <w:r>
        <w:rPr>
          <w:color w:val="231F20"/>
          <w:spacing w:val="-1"/>
        </w:rPr>
        <w:t>school</w:t>
      </w:r>
      <w:r>
        <w:rPr>
          <w:color w:val="231F20"/>
          <w:spacing w:val="-5"/>
        </w:rPr>
        <w:t> </w:t>
      </w:r>
      <w:r>
        <w:rPr>
          <w:color w:val="231F20"/>
        </w:rPr>
        <w:t>bus.</w:t>
      </w:r>
      <w:r>
        <w:rPr>
          <w:color w:val="231F20"/>
          <w:spacing w:val="-5"/>
        </w:rPr>
        <w:t> </w:t>
      </w:r>
      <w:r>
        <w:rPr>
          <w:color w:val="231F20"/>
        </w:rPr>
        <w:t>The</w:t>
      </w:r>
      <w:r>
        <w:rPr>
          <w:color w:val="231F20"/>
          <w:spacing w:val="-5"/>
        </w:rPr>
        <w:t> </w:t>
      </w:r>
      <w:r>
        <w:rPr>
          <w:color w:val="231F20"/>
        </w:rPr>
        <w:t>development</w:t>
      </w:r>
      <w:r>
        <w:rPr>
          <w:color w:val="231F20"/>
          <w:spacing w:val="-5"/>
        </w:rPr>
        <w:t> </w:t>
      </w:r>
      <w:r>
        <w:rPr>
          <w:color w:val="231F20"/>
        </w:rPr>
        <w:t>of</w:t>
      </w:r>
      <w:r>
        <w:rPr/>
      </w:r>
    </w:p>
    <w:p>
      <w:pPr>
        <w:pStyle w:val="BodyText"/>
        <w:spacing w:line="250" w:lineRule="exact"/>
        <w:ind w:left="100" w:right="116"/>
        <w:jc w:val="left"/>
      </w:pPr>
      <w:r>
        <w:rPr>
          <w:rFonts w:ascii="Segoe UI"/>
          <w:color w:val="231F20"/>
        </w:rPr>
        <w:t>guidance for the classification and allocation of </w:t>
      </w:r>
      <w:r>
        <w:rPr>
          <w:color w:val="231F20"/>
          <w:spacing w:val="-1"/>
        </w:rPr>
        <w:t>school</w:t>
      </w:r>
      <w:r>
        <w:rPr>
          <w:color w:val="231F20"/>
          <w:spacing w:val="-5"/>
        </w:rPr>
        <w:t> </w:t>
      </w:r>
      <w:r>
        <w:rPr>
          <w:color w:val="231F20"/>
        </w:rPr>
        <w:t>and</w:t>
      </w:r>
      <w:r>
        <w:rPr>
          <w:color w:val="231F20"/>
          <w:spacing w:val="-6"/>
        </w:rPr>
        <w:t> </w:t>
      </w:r>
      <w:r>
        <w:rPr>
          <w:color w:val="231F20"/>
        </w:rPr>
        <w:t>boarding</w:t>
      </w:r>
      <w:r>
        <w:rPr>
          <w:color w:val="231F20"/>
          <w:spacing w:val="-5"/>
        </w:rPr>
        <w:t> </w:t>
      </w:r>
      <w:r>
        <w:rPr>
          <w:color w:val="231F20"/>
        </w:rPr>
        <w:t>revenue</w:t>
      </w:r>
      <w:r>
        <w:rPr>
          <w:color w:val="231F20"/>
          <w:spacing w:val="-6"/>
        </w:rPr>
        <w:t> </w:t>
      </w:r>
      <w:r>
        <w:rPr>
          <w:color w:val="231F20"/>
        </w:rPr>
        <w:t>and</w:t>
      </w:r>
      <w:r>
        <w:rPr>
          <w:color w:val="231F20"/>
          <w:spacing w:val="-5"/>
        </w:rPr>
        <w:t> </w:t>
      </w:r>
      <w:r>
        <w:rPr>
          <w:color w:val="231F20"/>
        </w:rPr>
        <w:t>costs</w:t>
      </w:r>
      <w:r>
        <w:rPr>
          <w:color w:val="231F20"/>
          <w:spacing w:val="-6"/>
        </w:rPr>
        <w:t> </w:t>
      </w:r>
      <w:r>
        <w:rPr>
          <w:color w:val="231F20"/>
        </w:rPr>
        <w:t>would</w:t>
      </w:r>
      <w:r>
        <w:rPr>
          <w:color w:val="231F20"/>
          <w:spacing w:val="21"/>
          <w:w w:val="99"/>
        </w:rPr>
        <w:t> </w:t>
      </w:r>
      <w:r>
        <w:rPr>
          <w:color w:val="231F20"/>
        </w:rPr>
        <w:t>assist</w:t>
      </w:r>
      <w:r>
        <w:rPr>
          <w:color w:val="231F20"/>
          <w:spacing w:val="-5"/>
        </w:rPr>
        <w:t> </w:t>
      </w:r>
      <w:r>
        <w:rPr>
          <w:color w:val="231F20"/>
        </w:rPr>
        <w:t>boarding</w:t>
      </w:r>
      <w:r>
        <w:rPr>
          <w:color w:val="231F20"/>
          <w:spacing w:val="-4"/>
        </w:rPr>
        <w:t> </w:t>
      </w:r>
      <w:r>
        <w:rPr>
          <w:color w:val="231F20"/>
        </w:rPr>
        <w:t>providers</w:t>
      </w:r>
      <w:r>
        <w:rPr>
          <w:color w:val="231F20"/>
          <w:spacing w:val="-5"/>
        </w:rPr>
        <w:t> </w:t>
      </w:r>
      <w:r>
        <w:rPr>
          <w:color w:val="231F20"/>
          <w:spacing w:val="-1"/>
        </w:rPr>
        <w:t>in</w:t>
      </w:r>
      <w:r>
        <w:rPr>
          <w:color w:val="231F20"/>
          <w:spacing w:val="-3"/>
        </w:rPr>
        <w:t> </w:t>
      </w:r>
      <w:r>
        <w:rPr>
          <w:color w:val="231F20"/>
        </w:rPr>
        <w:t>the</w:t>
      </w:r>
      <w:r>
        <w:rPr>
          <w:color w:val="231F20"/>
          <w:spacing w:val="-5"/>
        </w:rPr>
        <w:t> </w:t>
      </w:r>
      <w:r>
        <w:rPr>
          <w:color w:val="231F20"/>
        </w:rPr>
        <w:t>provision</w:t>
      </w:r>
      <w:r>
        <w:rPr>
          <w:color w:val="231F20"/>
          <w:spacing w:val="-4"/>
        </w:rPr>
        <w:t> </w:t>
      </w:r>
      <w:r>
        <w:rPr>
          <w:color w:val="231F20"/>
        </w:rPr>
        <w:t>of</w:t>
      </w:r>
      <w:r>
        <w:rPr>
          <w:color w:val="231F20"/>
          <w:spacing w:val="21"/>
          <w:w w:val="99"/>
        </w:rPr>
        <w:t> </w:t>
      </w:r>
      <w:r>
        <w:rPr>
          <w:rFonts w:ascii="Segoe UI"/>
          <w:color w:val="231F20"/>
        </w:rPr>
        <w:t>standardised financial reports to government</w:t>
      </w:r>
      <w:r>
        <w:rPr>
          <w:rFonts w:ascii="Segoe UI"/>
          <w:color w:val="231F20"/>
        </w:rPr>
        <w:t> </w:t>
      </w:r>
      <w:r>
        <w:rPr>
          <w:color w:val="231F20"/>
        </w:rPr>
        <w:t>and</w:t>
      </w:r>
      <w:r>
        <w:rPr>
          <w:color w:val="231F20"/>
          <w:spacing w:val="-17"/>
        </w:rPr>
        <w:t> </w:t>
      </w:r>
      <w:r>
        <w:rPr>
          <w:color w:val="231F20"/>
          <w:spacing w:val="-1"/>
        </w:rPr>
        <w:t>management.</w:t>
      </w:r>
      <w:r>
        <w:rPr/>
      </w:r>
    </w:p>
    <w:p>
      <w:pPr>
        <w:pStyle w:val="BodyText"/>
        <w:spacing w:line="250" w:lineRule="exact" w:before="113"/>
        <w:ind w:left="100" w:right="140"/>
        <w:jc w:val="left"/>
      </w:pPr>
      <w:r>
        <w:rPr>
          <w:color w:val="231F20"/>
        </w:rPr>
        <w:t>An</w:t>
      </w:r>
      <w:r>
        <w:rPr>
          <w:color w:val="231F20"/>
          <w:spacing w:val="-4"/>
        </w:rPr>
        <w:t> </w:t>
      </w:r>
      <w:r>
        <w:rPr>
          <w:color w:val="231F20"/>
        </w:rPr>
        <w:t>assessment</w:t>
      </w:r>
      <w:r>
        <w:rPr>
          <w:color w:val="231F20"/>
          <w:spacing w:val="-5"/>
        </w:rPr>
        <w:t> </w:t>
      </w:r>
      <w:r>
        <w:rPr>
          <w:color w:val="231F20"/>
        </w:rPr>
        <w:t>of</w:t>
      </w:r>
      <w:r>
        <w:rPr>
          <w:color w:val="231F20"/>
          <w:spacing w:val="-4"/>
        </w:rPr>
        <w:t> </w:t>
      </w:r>
      <w:r>
        <w:rPr>
          <w:color w:val="231F20"/>
        </w:rPr>
        <w:t>the</w:t>
      </w:r>
      <w:r>
        <w:rPr>
          <w:color w:val="231F20"/>
          <w:spacing w:val="-4"/>
        </w:rPr>
        <w:t> </w:t>
      </w:r>
      <w:r>
        <w:rPr>
          <w:color w:val="231F20"/>
          <w:spacing w:val="-1"/>
        </w:rPr>
        <w:t>strength</w:t>
      </w:r>
      <w:r>
        <w:rPr>
          <w:color w:val="231F20"/>
          <w:spacing w:val="-3"/>
        </w:rPr>
        <w:t> </w:t>
      </w:r>
      <w:r>
        <w:rPr>
          <w:color w:val="231F20"/>
        </w:rPr>
        <w:t>of</w:t>
      </w:r>
      <w:r>
        <w:rPr>
          <w:color w:val="231F20"/>
          <w:spacing w:val="-4"/>
        </w:rPr>
        <w:t> </w:t>
      </w:r>
      <w:r>
        <w:rPr>
          <w:color w:val="231F20"/>
        </w:rPr>
        <w:t>evidence</w:t>
      </w:r>
      <w:r>
        <w:rPr>
          <w:color w:val="231F20"/>
          <w:spacing w:val="-4"/>
        </w:rPr>
        <w:t> </w:t>
      </w:r>
      <w:r>
        <w:rPr>
          <w:color w:val="231F20"/>
        </w:rPr>
        <w:t>to</w:t>
      </w:r>
      <w:r>
        <w:rPr>
          <w:color w:val="231F20"/>
          <w:spacing w:val="22"/>
          <w:w w:val="99"/>
        </w:rPr>
        <w:t> </w:t>
      </w:r>
      <w:r>
        <w:rPr>
          <w:color w:val="231F20"/>
          <w:spacing w:val="-1"/>
        </w:rPr>
        <w:t>support</w:t>
      </w:r>
      <w:r>
        <w:rPr>
          <w:color w:val="231F20"/>
          <w:spacing w:val="-5"/>
        </w:rPr>
        <w:t> </w:t>
      </w:r>
      <w:r>
        <w:rPr>
          <w:color w:val="231F20"/>
        </w:rPr>
        <w:t>the</w:t>
      </w:r>
      <w:r>
        <w:rPr>
          <w:color w:val="231F20"/>
          <w:spacing w:val="-6"/>
        </w:rPr>
        <w:t> </w:t>
      </w:r>
      <w:r>
        <w:rPr>
          <w:color w:val="231F20"/>
        </w:rPr>
        <w:t>theory</w:t>
      </w:r>
      <w:r>
        <w:rPr>
          <w:color w:val="231F20"/>
          <w:spacing w:val="-5"/>
        </w:rPr>
        <w:t> </w:t>
      </w:r>
      <w:r>
        <w:rPr>
          <w:color w:val="231F20"/>
        </w:rPr>
        <w:t>of</w:t>
      </w:r>
      <w:r>
        <w:rPr>
          <w:color w:val="231F20"/>
          <w:spacing w:val="-5"/>
        </w:rPr>
        <w:t> </w:t>
      </w:r>
      <w:r>
        <w:rPr>
          <w:color w:val="231F20"/>
        </w:rPr>
        <w:t>change</w:t>
      </w:r>
      <w:r>
        <w:rPr>
          <w:color w:val="231F20"/>
          <w:spacing w:val="-5"/>
        </w:rPr>
        <w:t> </w:t>
      </w:r>
      <w:r>
        <w:rPr>
          <w:color w:val="231F20"/>
          <w:spacing w:val="-1"/>
        </w:rPr>
        <w:t>is</w:t>
      </w:r>
      <w:r>
        <w:rPr>
          <w:color w:val="231F20"/>
          <w:spacing w:val="-6"/>
        </w:rPr>
        <w:t> </w:t>
      </w:r>
      <w:r>
        <w:rPr>
          <w:color w:val="231F20"/>
        </w:rPr>
        <w:t>provided</w:t>
      </w:r>
      <w:r>
        <w:rPr>
          <w:color w:val="231F20"/>
          <w:spacing w:val="-5"/>
        </w:rPr>
        <w:t> </w:t>
      </w:r>
      <w:r>
        <w:rPr>
          <w:color w:val="231F20"/>
          <w:spacing w:val="-1"/>
        </w:rPr>
        <w:t>in</w:t>
      </w:r>
      <w:r>
        <w:rPr>
          <w:color w:val="231F20"/>
          <w:spacing w:val="22"/>
        </w:rPr>
        <w:t> </w:t>
      </w:r>
      <w:r>
        <w:rPr>
          <w:color w:val="231F20"/>
        </w:rPr>
        <w:t>table</w:t>
      </w:r>
      <w:r>
        <w:rPr>
          <w:color w:val="231F20"/>
          <w:spacing w:val="-7"/>
        </w:rPr>
        <w:t> </w:t>
      </w:r>
      <w:r>
        <w:rPr>
          <w:color w:val="231F20"/>
          <w:spacing w:val="-1"/>
        </w:rPr>
        <w:t>5.</w:t>
      </w:r>
      <w:r>
        <w:rPr/>
      </w:r>
    </w:p>
    <w:p>
      <w:pPr>
        <w:spacing w:after="0" w:line="250" w:lineRule="exact"/>
        <w:jc w:val="left"/>
        <w:sectPr>
          <w:type w:val="continuous"/>
          <w:pgSz w:w="11910" w:h="16840"/>
          <w:pgMar w:top="1580" w:bottom="280" w:left="1600" w:right="1300"/>
          <w:cols w:num="2" w:equalWidth="0">
            <w:col w:w="4330" w:space="262"/>
            <w:col w:w="4418"/>
          </w:cols>
        </w:sectPr>
      </w:pPr>
    </w:p>
    <w:p>
      <w:pPr>
        <w:spacing w:line="240" w:lineRule="auto" w:before="0"/>
        <w:rPr>
          <w:rFonts w:ascii="Segoe UI" w:hAnsi="Segoe UI" w:cs="Segoe UI" w:eastAsia="Segoe UI"/>
          <w:sz w:val="20"/>
          <w:szCs w:val="20"/>
        </w:rPr>
      </w:pPr>
    </w:p>
    <w:p>
      <w:pPr>
        <w:spacing w:line="240" w:lineRule="auto" w:before="11"/>
        <w:rPr>
          <w:rFonts w:ascii="Segoe UI" w:hAnsi="Segoe UI" w:cs="Segoe UI" w:eastAsia="Segoe UI"/>
          <w:sz w:val="21"/>
          <w:szCs w:val="21"/>
        </w:rPr>
      </w:pPr>
    </w:p>
    <w:p>
      <w:pPr>
        <w:spacing w:before="57"/>
        <w:ind w:left="120" w:right="0" w:firstLine="0"/>
        <w:jc w:val="left"/>
        <w:rPr>
          <w:rFonts w:ascii="Segoe UI Semibold" w:hAnsi="Segoe UI Semibold" w:cs="Segoe UI Semibold" w:eastAsia="Segoe UI Semibold"/>
          <w:sz w:val="16"/>
          <w:szCs w:val="16"/>
        </w:rPr>
      </w:pPr>
      <w:r>
        <w:rPr>
          <w:rFonts w:ascii="Segoe UI Semibold"/>
          <w:b/>
          <w:color w:val="666155"/>
          <w:spacing w:val="1"/>
          <w:sz w:val="16"/>
        </w:rPr>
        <w:t>TABLE</w:t>
      </w:r>
      <w:r>
        <w:rPr>
          <w:rFonts w:ascii="Segoe UI Semibold"/>
          <w:b/>
          <w:color w:val="666155"/>
          <w:spacing w:val="-2"/>
          <w:sz w:val="16"/>
        </w:rPr>
        <w:t> </w:t>
      </w:r>
      <w:r>
        <w:rPr>
          <w:rFonts w:ascii="Segoe UI Semibold"/>
          <w:b/>
          <w:color w:val="666155"/>
          <w:sz w:val="16"/>
        </w:rPr>
        <w:t>5:</w:t>
      </w:r>
      <w:r>
        <w:rPr>
          <w:rFonts w:ascii="Segoe UI Semibold"/>
          <w:b/>
          <w:color w:val="666155"/>
          <w:spacing w:val="-1"/>
          <w:sz w:val="16"/>
        </w:rPr>
        <w:t> </w:t>
      </w:r>
      <w:r>
        <w:rPr>
          <w:rFonts w:ascii="Segoe UI Semibold"/>
          <w:b/>
          <w:color w:val="666155"/>
          <w:spacing w:val="3"/>
          <w:sz w:val="16"/>
        </w:rPr>
        <w:t>THEORY</w:t>
      </w:r>
      <w:r>
        <w:rPr>
          <w:rFonts w:ascii="Segoe UI Semibold"/>
          <w:b/>
          <w:color w:val="666155"/>
          <w:spacing w:val="2"/>
          <w:sz w:val="16"/>
        </w:rPr>
        <w:t> OF</w:t>
      </w:r>
      <w:r>
        <w:rPr>
          <w:rFonts w:ascii="Segoe UI Semibold"/>
          <w:b/>
          <w:color w:val="666155"/>
          <w:spacing w:val="1"/>
          <w:sz w:val="16"/>
        </w:rPr>
        <w:t> </w:t>
      </w:r>
      <w:r>
        <w:rPr>
          <w:rFonts w:ascii="Segoe UI Semibold"/>
          <w:b/>
          <w:color w:val="666155"/>
          <w:spacing w:val="3"/>
          <w:sz w:val="16"/>
        </w:rPr>
        <w:t>CHANGE:</w:t>
      </w:r>
      <w:r>
        <w:rPr>
          <w:rFonts w:ascii="Segoe UI Semibold"/>
          <w:b/>
          <w:color w:val="666155"/>
          <w:spacing w:val="-1"/>
          <w:sz w:val="16"/>
        </w:rPr>
        <w:t> </w:t>
      </w:r>
      <w:r>
        <w:rPr>
          <w:rFonts w:ascii="Segoe UI Semibold"/>
          <w:b/>
          <w:color w:val="666155"/>
          <w:spacing w:val="4"/>
          <w:sz w:val="16"/>
        </w:rPr>
        <w:t>STRENGTH</w:t>
      </w:r>
      <w:r>
        <w:rPr>
          <w:rFonts w:ascii="Segoe UI Semibold"/>
          <w:b/>
          <w:color w:val="666155"/>
          <w:spacing w:val="2"/>
          <w:sz w:val="16"/>
        </w:rPr>
        <w:t> OF</w:t>
      </w:r>
      <w:r>
        <w:rPr>
          <w:rFonts w:ascii="Segoe UI Semibold"/>
          <w:b/>
          <w:color w:val="666155"/>
          <w:spacing w:val="1"/>
          <w:sz w:val="16"/>
        </w:rPr>
        <w:t> </w:t>
      </w:r>
      <w:r>
        <w:rPr>
          <w:rFonts w:ascii="Segoe UI Semibold"/>
          <w:b/>
          <w:color w:val="666155"/>
          <w:spacing w:val="4"/>
          <w:sz w:val="16"/>
        </w:rPr>
        <w:t>EVIDENCE</w:t>
      </w:r>
      <w:r>
        <w:rPr>
          <w:rFonts w:ascii="Segoe UI Semibold"/>
          <w:b/>
          <w:color w:val="666155"/>
          <w:spacing w:val="2"/>
          <w:sz w:val="16"/>
        </w:rPr>
        <w:t> TABLE</w:t>
      </w:r>
      <w:r>
        <w:rPr>
          <w:rFonts w:ascii="Segoe UI Semibold"/>
          <w:sz w:val="16"/>
        </w:rPr>
      </w:r>
    </w:p>
    <w:p>
      <w:pPr>
        <w:spacing w:line="240" w:lineRule="auto" w:before="12"/>
        <w:rPr>
          <w:rFonts w:ascii="Segoe UI Semibold" w:hAnsi="Segoe UI Semibold" w:cs="Segoe UI Semibold" w:eastAsia="Segoe UI Semibold"/>
          <w:b/>
          <w:bCs/>
          <w:sz w:val="11"/>
          <w:szCs w:val="11"/>
        </w:rPr>
      </w:pPr>
    </w:p>
    <w:tbl>
      <w:tblPr>
        <w:tblW w:w="0" w:type="auto"/>
        <w:jc w:val="left"/>
        <w:tblInd w:w="117" w:type="dxa"/>
        <w:tblLayout w:type="fixed"/>
        <w:tblCellMar>
          <w:top w:w="0" w:type="dxa"/>
          <w:left w:w="0" w:type="dxa"/>
          <w:bottom w:w="0" w:type="dxa"/>
          <w:right w:w="0" w:type="dxa"/>
        </w:tblCellMar>
        <w:tblLook w:val="01E0"/>
      </w:tblPr>
      <w:tblGrid>
        <w:gridCol w:w="3056"/>
        <w:gridCol w:w="4564"/>
        <w:gridCol w:w="1157"/>
      </w:tblGrid>
      <w:tr>
        <w:trPr>
          <w:trHeight w:val="608" w:hRule="exact"/>
        </w:trPr>
        <w:tc>
          <w:tcPr>
            <w:tcW w:w="3056"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45"/>
              <w:ind w:left="108" w:right="0"/>
              <w:jc w:val="left"/>
              <w:rPr>
                <w:rFonts w:ascii="Segoe UI" w:hAnsi="Segoe UI" w:cs="Segoe UI" w:eastAsia="Segoe UI"/>
                <w:sz w:val="18"/>
                <w:szCs w:val="18"/>
              </w:rPr>
            </w:pPr>
            <w:r>
              <w:rPr>
                <w:rFonts w:ascii="Segoe UI"/>
                <w:color w:val="231F20"/>
                <w:sz w:val="18"/>
              </w:rPr>
              <w:t>Assumption</w:t>
            </w:r>
            <w:r>
              <w:rPr>
                <w:rFonts w:ascii="Segoe UI"/>
                <w:sz w:val="18"/>
              </w:rPr>
            </w:r>
          </w:p>
        </w:tc>
        <w:tc>
          <w:tcPr>
            <w:tcW w:w="4564"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45"/>
              <w:ind w:left="108" w:right="0"/>
              <w:jc w:val="left"/>
              <w:rPr>
                <w:rFonts w:ascii="Segoe UI" w:hAnsi="Segoe UI" w:cs="Segoe UI" w:eastAsia="Segoe UI"/>
                <w:sz w:val="18"/>
                <w:szCs w:val="18"/>
              </w:rPr>
            </w:pPr>
            <w:r>
              <w:rPr>
                <w:rFonts w:ascii="Segoe UI"/>
                <w:color w:val="231F20"/>
                <w:sz w:val="18"/>
              </w:rPr>
              <w:t>Evidence</w:t>
            </w:r>
            <w:r>
              <w:rPr>
                <w:rFonts w:ascii="Segoe UI"/>
                <w:sz w:val="18"/>
              </w:rPr>
            </w:r>
          </w:p>
        </w:tc>
        <w:tc>
          <w:tcPr>
            <w:tcW w:w="1157"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50" w:lineRule="auto" w:before="45"/>
              <w:ind w:left="108" w:right="147"/>
              <w:jc w:val="left"/>
              <w:rPr>
                <w:rFonts w:ascii="Segoe UI" w:hAnsi="Segoe UI" w:cs="Segoe UI" w:eastAsia="Segoe UI"/>
                <w:sz w:val="18"/>
                <w:szCs w:val="18"/>
              </w:rPr>
            </w:pPr>
            <w:r>
              <w:rPr>
                <w:rFonts w:ascii="Segoe UI"/>
                <w:color w:val="231F20"/>
                <w:spacing w:val="-1"/>
                <w:sz w:val="18"/>
              </w:rPr>
              <w:t>Strength</w:t>
            </w:r>
            <w:r>
              <w:rPr>
                <w:rFonts w:ascii="Segoe UI"/>
                <w:color w:val="231F20"/>
                <w:spacing w:val="-9"/>
                <w:sz w:val="18"/>
              </w:rPr>
              <w:t> </w:t>
            </w:r>
            <w:r>
              <w:rPr>
                <w:rFonts w:ascii="Segoe UI"/>
                <w:color w:val="231F20"/>
                <w:sz w:val="18"/>
              </w:rPr>
              <w:t>of</w:t>
            </w:r>
            <w:r>
              <w:rPr>
                <w:rFonts w:ascii="Segoe UI"/>
                <w:color w:val="231F20"/>
                <w:spacing w:val="22"/>
                <w:w w:val="99"/>
                <w:sz w:val="18"/>
              </w:rPr>
              <w:t> </w:t>
            </w:r>
            <w:r>
              <w:rPr>
                <w:rFonts w:ascii="Segoe UI"/>
                <w:color w:val="231F20"/>
                <w:sz w:val="18"/>
              </w:rPr>
              <w:t>evidence</w:t>
            </w:r>
            <w:r>
              <w:rPr>
                <w:rFonts w:ascii="Segoe UI"/>
                <w:sz w:val="18"/>
              </w:rPr>
            </w:r>
          </w:p>
        </w:tc>
      </w:tr>
      <w:tr>
        <w:trPr>
          <w:trHeight w:val="2113" w:hRule="exact"/>
        </w:trPr>
        <w:tc>
          <w:tcPr>
            <w:tcW w:w="3056" w:type="dxa"/>
            <w:tcBorders>
              <w:top w:val="single" w:sz="4" w:space="0" w:color="C1B5A9"/>
              <w:left w:val="single" w:sz="4" w:space="0" w:color="C1B5A9"/>
              <w:bottom w:val="single" w:sz="4" w:space="0" w:color="C1B5A9"/>
              <w:right w:val="single" w:sz="4" w:space="0" w:color="C1B5A9"/>
            </w:tcBorders>
          </w:tcPr>
          <w:p>
            <w:pPr>
              <w:pStyle w:val="TableParagraph"/>
              <w:spacing w:line="250" w:lineRule="auto" w:before="45"/>
              <w:ind w:left="108" w:right="777"/>
              <w:jc w:val="left"/>
              <w:rPr>
                <w:rFonts w:ascii="Segoe UI" w:hAnsi="Segoe UI" w:cs="Segoe UI" w:eastAsia="Segoe UI"/>
                <w:sz w:val="18"/>
                <w:szCs w:val="18"/>
              </w:rPr>
            </w:pPr>
            <w:r>
              <w:rPr>
                <w:rFonts w:ascii="Segoe UI"/>
                <w:color w:val="231F20"/>
                <w:spacing w:val="-1"/>
                <w:sz w:val="18"/>
              </w:rPr>
              <w:t>Investment</w:t>
            </w:r>
            <w:r>
              <w:rPr>
                <w:rFonts w:ascii="Segoe UI"/>
                <w:color w:val="231F20"/>
                <w:spacing w:val="-5"/>
                <w:sz w:val="18"/>
              </w:rPr>
              <w:t> </w:t>
            </w:r>
            <w:r>
              <w:rPr>
                <w:rFonts w:ascii="Segoe UI"/>
                <w:color w:val="231F20"/>
                <w:spacing w:val="-1"/>
                <w:sz w:val="18"/>
              </w:rPr>
              <w:t>in</w:t>
            </w:r>
            <w:r>
              <w:rPr>
                <w:rFonts w:ascii="Segoe UI"/>
                <w:color w:val="231F20"/>
                <w:spacing w:val="-5"/>
                <w:sz w:val="18"/>
              </w:rPr>
              <w:t> </w:t>
            </w:r>
            <w:r>
              <w:rPr>
                <w:rFonts w:ascii="Segoe UI"/>
                <w:color w:val="231F20"/>
                <w:sz w:val="18"/>
              </w:rPr>
              <w:t>preparation</w:t>
            </w:r>
            <w:r>
              <w:rPr>
                <w:rFonts w:ascii="Segoe UI"/>
                <w:color w:val="231F20"/>
                <w:spacing w:val="23"/>
                <w:w w:val="99"/>
                <w:sz w:val="18"/>
              </w:rPr>
              <w:t> </w:t>
            </w:r>
            <w:r>
              <w:rPr>
                <w:rFonts w:ascii="Segoe UI"/>
                <w:color w:val="231F20"/>
                <w:sz w:val="18"/>
              </w:rPr>
              <w:t>for</w:t>
            </w:r>
            <w:r>
              <w:rPr>
                <w:rFonts w:ascii="Segoe UI"/>
                <w:color w:val="231F20"/>
                <w:spacing w:val="-7"/>
                <w:sz w:val="18"/>
              </w:rPr>
              <w:t> </w:t>
            </w:r>
            <w:r>
              <w:rPr>
                <w:rFonts w:ascii="Segoe UI"/>
                <w:color w:val="231F20"/>
                <w:sz w:val="18"/>
              </w:rPr>
              <w:t>boarding</w:t>
            </w:r>
            <w:r>
              <w:rPr>
                <w:rFonts w:ascii="Segoe UI"/>
                <w:color w:val="231F20"/>
                <w:spacing w:val="-8"/>
                <w:sz w:val="18"/>
              </w:rPr>
              <w:t> </w:t>
            </w:r>
            <w:r>
              <w:rPr>
                <w:rFonts w:ascii="Segoe UI"/>
                <w:color w:val="231F20"/>
                <w:sz w:val="18"/>
              </w:rPr>
              <w:t>contributes</w:t>
            </w:r>
            <w:r>
              <w:rPr>
                <w:rFonts w:ascii="Segoe UI"/>
                <w:color w:val="231F20"/>
                <w:spacing w:val="-8"/>
                <w:sz w:val="18"/>
              </w:rPr>
              <w:t> </w:t>
            </w:r>
            <w:r>
              <w:rPr>
                <w:rFonts w:ascii="Segoe UI"/>
                <w:color w:val="231F20"/>
                <w:sz w:val="18"/>
              </w:rPr>
              <w:t>to</w:t>
            </w:r>
            <w:r>
              <w:rPr>
                <w:rFonts w:ascii="Segoe UI"/>
                <w:sz w:val="18"/>
              </w:rPr>
            </w:r>
          </w:p>
          <w:p>
            <w:pPr>
              <w:pStyle w:val="TableParagraph"/>
              <w:spacing w:line="250" w:lineRule="auto"/>
              <w:ind w:left="108" w:right="431"/>
              <w:jc w:val="left"/>
              <w:rPr>
                <w:rFonts w:ascii="Segoe UI" w:hAnsi="Segoe UI" w:cs="Segoe UI" w:eastAsia="Segoe UI"/>
                <w:sz w:val="18"/>
                <w:szCs w:val="18"/>
              </w:rPr>
            </w:pPr>
            <w:r>
              <w:rPr>
                <w:rFonts w:ascii="Segoe UI"/>
                <w:color w:val="231F20"/>
                <w:spacing w:val="-1"/>
                <w:sz w:val="18"/>
              </w:rPr>
              <w:t>increased</w:t>
            </w:r>
            <w:r>
              <w:rPr>
                <w:rFonts w:ascii="Segoe UI"/>
                <w:color w:val="231F20"/>
                <w:spacing w:val="-7"/>
                <w:sz w:val="18"/>
              </w:rPr>
              <w:t> </w:t>
            </w:r>
            <w:r>
              <w:rPr>
                <w:rFonts w:ascii="Segoe UI"/>
                <w:color w:val="231F20"/>
                <w:sz w:val="18"/>
              </w:rPr>
              <w:t>access</w:t>
            </w:r>
            <w:r>
              <w:rPr>
                <w:rFonts w:ascii="Segoe UI"/>
                <w:color w:val="231F20"/>
                <w:spacing w:val="-7"/>
                <w:sz w:val="18"/>
              </w:rPr>
              <w:t> </w:t>
            </w:r>
            <w:r>
              <w:rPr>
                <w:rFonts w:ascii="Segoe UI"/>
                <w:color w:val="231F20"/>
                <w:sz w:val="18"/>
              </w:rPr>
              <w:t>to</w:t>
            </w:r>
            <w:r>
              <w:rPr>
                <w:rFonts w:ascii="Segoe UI"/>
                <w:color w:val="231F20"/>
                <w:spacing w:val="-6"/>
                <w:sz w:val="18"/>
              </w:rPr>
              <w:t> </w:t>
            </w:r>
            <w:r>
              <w:rPr>
                <w:rFonts w:ascii="Segoe UI"/>
                <w:color w:val="231F20"/>
                <w:sz w:val="18"/>
              </w:rPr>
              <w:t>educational</w:t>
            </w:r>
            <w:r>
              <w:rPr>
                <w:rFonts w:ascii="Segoe UI"/>
                <w:color w:val="231F20"/>
                <w:spacing w:val="22"/>
                <w:w w:val="99"/>
                <w:sz w:val="18"/>
              </w:rPr>
              <w:t> </w:t>
            </w:r>
            <w:r>
              <w:rPr>
                <w:rFonts w:ascii="Segoe UI"/>
                <w:color w:val="231F20"/>
                <w:sz w:val="18"/>
              </w:rPr>
              <w:t>opportunities,</w:t>
            </w:r>
            <w:r>
              <w:rPr>
                <w:rFonts w:ascii="Segoe UI"/>
                <w:color w:val="231F20"/>
                <w:spacing w:val="-20"/>
                <w:sz w:val="18"/>
              </w:rPr>
              <w:t> </w:t>
            </w:r>
            <w:r>
              <w:rPr>
                <w:rFonts w:ascii="Segoe UI"/>
                <w:color w:val="231F20"/>
                <w:spacing w:val="-1"/>
                <w:sz w:val="18"/>
              </w:rPr>
              <w:t>increased</w:t>
            </w:r>
            <w:r>
              <w:rPr>
                <w:rFonts w:ascii="Segoe UI"/>
                <w:color w:val="231F20"/>
                <w:spacing w:val="20"/>
                <w:w w:val="99"/>
                <w:sz w:val="18"/>
              </w:rPr>
              <w:t> </w:t>
            </w:r>
            <w:r>
              <w:rPr>
                <w:rFonts w:ascii="Segoe UI"/>
                <w:color w:val="231F20"/>
                <w:sz w:val="18"/>
              </w:rPr>
              <w:t>participation</w:t>
            </w:r>
            <w:r>
              <w:rPr>
                <w:rFonts w:ascii="Segoe UI"/>
                <w:color w:val="231F20"/>
                <w:spacing w:val="-8"/>
                <w:sz w:val="18"/>
              </w:rPr>
              <w:t> </w:t>
            </w:r>
            <w:r>
              <w:rPr>
                <w:rFonts w:ascii="Segoe UI"/>
                <w:color w:val="231F20"/>
                <w:spacing w:val="-1"/>
                <w:sz w:val="18"/>
              </w:rPr>
              <w:t>in</w:t>
            </w:r>
            <w:r>
              <w:rPr>
                <w:rFonts w:ascii="Segoe UI"/>
                <w:color w:val="231F20"/>
                <w:spacing w:val="-6"/>
                <w:sz w:val="18"/>
              </w:rPr>
              <w:t> </w:t>
            </w:r>
            <w:r>
              <w:rPr>
                <w:rFonts w:ascii="Segoe UI"/>
                <w:color w:val="231F20"/>
                <w:sz w:val="18"/>
              </w:rPr>
              <w:t>further</w:t>
            </w:r>
            <w:r>
              <w:rPr>
                <w:rFonts w:ascii="Segoe UI"/>
                <w:color w:val="231F20"/>
                <w:spacing w:val="-6"/>
                <w:sz w:val="18"/>
              </w:rPr>
              <w:t> </w:t>
            </w:r>
            <w:r>
              <w:rPr>
                <w:rFonts w:ascii="Segoe UI"/>
                <w:color w:val="231F20"/>
                <w:sz w:val="18"/>
              </w:rPr>
              <w:t>and</w:t>
            </w:r>
            <w:r>
              <w:rPr>
                <w:rFonts w:ascii="Segoe UI"/>
                <w:color w:val="231F20"/>
                <w:spacing w:val="21"/>
                <w:w w:val="99"/>
                <w:sz w:val="18"/>
              </w:rPr>
              <w:t> </w:t>
            </w:r>
            <w:r>
              <w:rPr>
                <w:rFonts w:ascii="Segoe UI"/>
                <w:color w:val="231F20"/>
                <w:sz w:val="18"/>
              </w:rPr>
              <w:t>higher</w:t>
            </w:r>
            <w:r>
              <w:rPr>
                <w:rFonts w:ascii="Segoe UI"/>
                <w:color w:val="231F20"/>
                <w:spacing w:val="-9"/>
                <w:sz w:val="18"/>
              </w:rPr>
              <w:t> </w:t>
            </w:r>
            <w:r>
              <w:rPr>
                <w:rFonts w:ascii="Segoe UI"/>
                <w:color w:val="231F20"/>
                <w:sz w:val="18"/>
              </w:rPr>
              <w:t>education</w:t>
            </w:r>
            <w:r>
              <w:rPr>
                <w:rFonts w:ascii="Segoe UI"/>
                <w:color w:val="231F20"/>
                <w:spacing w:val="-9"/>
                <w:sz w:val="18"/>
              </w:rPr>
              <w:t> </w:t>
            </w:r>
            <w:r>
              <w:rPr>
                <w:rFonts w:ascii="Segoe UI"/>
                <w:color w:val="231F20"/>
                <w:sz w:val="18"/>
              </w:rPr>
              <w:t>and</w:t>
            </w:r>
            <w:r>
              <w:rPr>
                <w:rFonts w:ascii="Segoe UI"/>
                <w:color w:val="231F20"/>
                <w:spacing w:val="-9"/>
                <w:sz w:val="18"/>
              </w:rPr>
              <w:t> </w:t>
            </w:r>
            <w:r>
              <w:rPr>
                <w:rFonts w:ascii="Segoe UI"/>
                <w:color w:val="231F20"/>
                <w:spacing w:val="-1"/>
                <w:sz w:val="18"/>
              </w:rPr>
              <w:t>improved</w:t>
            </w:r>
            <w:r>
              <w:rPr>
                <w:rFonts w:ascii="Segoe UI"/>
                <w:color w:val="231F20"/>
                <w:spacing w:val="20"/>
                <w:w w:val="99"/>
                <w:sz w:val="18"/>
              </w:rPr>
              <w:t> </w:t>
            </w:r>
            <w:r>
              <w:rPr>
                <w:rFonts w:ascii="Segoe UI"/>
                <w:color w:val="231F20"/>
                <w:sz w:val="18"/>
              </w:rPr>
              <w:t>employment</w:t>
            </w:r>
            <w:r>
              <w:rPr>
                <w:rFonts w:ascii="Segoe UI"/>
                <w:sz w:val="18"/>
              </w:rPr>
            </w:r>
          </w:p>
        </w:tc>
        <w:tc>
          <w:tcPr>
            <w:tcW w:w="4564"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45"/>
              <w:ind w:left="108" w:right="0"/>
              <w:jc w:val="left"/>
              <w:rPr>
                <w:rFonts w:ascii="Segoe UI" w:hAnsi="Segoe UI" w:cs="Segoe UI" w:eastAsia="Segoe UI"/>
                <w:sz w:val="18"/>
                <w:szCs w:val="18"/>
              </w:rPr>
            </w:pPr>
            <w:r>
              <w:rPr>
                <w:rFonts w:ascii="Segoe UI" w:hAnsi="Segoe UI" w:cs="Segoe UI" w:eastAsia="Segoe UI"/>
                <w:color w:val="231F20"/>
                <w:sz w:val="18"/>
                <w:szCs w:val="18"/>
              </w:rPr>
              <w:t>‘The outcomes of boarding are largely unidentified</w:t>
            </w:r>
            <w:r>
              <w:rPr>
                <w:rFonts w:ascii="Segoe UI" w:hAnsi="Segoe UI" w:cs="Segoe UI" w:eastAsia="Segoe UI"/>
                <w:sz w:val="18"/>
                <w:szCs w:val="18"/>
              </w:rPr>
            </w:r>
          </w:p>
          <w:p>
            <w:pPr>
              <w:pStyle w:val="TableParagraph"/>
              <w:spacing w:line="250" w:lineRule="auto" w:before="10"/>
              <w:ind w:left="108" w:right="182" w:hanging="1"/>
              <w:jc w:val="left"/>
              <w:rPr>
                <w:rFonts w:ascii="Segoe UI" w:hAnsi="Segoe UI" w:cs="Segoe UI" w:eastAsia="Segoe UI"/>
                <w:sz w:val="18"/>
                <w:szCs w:val="18"/>
              </w:rPr>
            </w:pPr>
            <w:r>
              <w:rPr>
                <w:rFonts w:ascii="Segoe UI" w:hAnsi="Segoe UI" w:cs="Segoe UI" w:eastAsia="Segoe UI"/>
                <w:color w:val="231F20"/>
                <w:sz w:val="18"/>
                <w:szCs w:val="18"/>
              </w:rPr>
              <w:t>or</w:t>
            </w:r>
            <w:r>
              <w:rPr>
                <w:rFonts w:ascii="Segoe UI" w:hAnsi="Segoe UI" w:cs="Segoe UI" w:eastAsia="Segoe UI"/>
                <w:color w:val="231F20"/>
                <w:spacing w:val="-2"/>
                <w:sz w:val="18"/>
                <w:szCs w:val="18"/>
              </w:rPr>
              <w:t> </w:t>
            </w:r>
            <w:r>
              <w:rPr>
                <w:rFonts w:ascii="Segoe UI" w:hAnsi="Segoe UI" w:cs="Segoe UI" w:eastAsia="Segoe UI"/>
                <w:color w:val="231F20"/>
                <w:spacing w:val="-1"/>
                <w:sz w:val="18"/>
                <w:szCs w:val="18"/>
              </w:rPr>
              <w:t>unreported’</w:t>
            </w:r>
            <w:r>
              <w:rPr>
                <w:rFonts w:ascii="Segoe UI" w:hAnsi="Segoe UI" w:cs="Segoe UI" w:eastAsia="Segoe UI"/>
                <w:color w:val="231F20"/>
                <w:spacing w:val="-1"/>
                <w:position w:val="6"/>
                <w:sz w:val="10"/>
                <w:szCs w:val="10"/>
              </w:rPr>
              <w:t>58</w:t>
            </w:r>
            <w:r>
              <w:rPr>
                <w:rFonts w:ascii="Segoe UI" w:hAnsi="Segoe UI" w:cs="Segoe UI" w:eastAsia="Segoe UI"/>
                <w:color w:val="231F20"/>
                <w:spacing w:val="1"/>
                <w:position w:val="6"/>
                <w:sz w:val="10"/>
                <w:szCs w:val="10"/>
              </w:rPr>
              <w:t> </w:t>
            </w:r>
            <w:r>
              <w:rPr>
                <w:rFonts w:ascii="Segoe UI" w:hAnsi="Segoe UI" w:cs="Segoe UI" w:eastAsia="Segoe UI"/>
                <w:color w:val="231F20"/>
                <w:sz w:val="18"/>
                <w:szCs w:val="18"/>
              </w:rPr>
              <w:t>and‘only</w:t>
            </w:r>
            <w:r>
              <w:rPr>
                <w:rFonts w:ascii="Segoe UI" w:hAnsi="Segoe UI" w:cs="Segoe UI" w:eastAsia="Segoe UI"/>
                <w:color w:val="231F20"/>
                <w:spacing w:val="-1"/>
                <w:sz w:val="18"/>
                <w:szCs w:val="18"/>
              </w:rPr>
              <w:t> </w:t>
            </w:r>
            <w:r>
              <w:rPr>
                <w:rFonts w:ascii="Segoe UI" w:hAnsi="Segoe UI" w:cs="Segoe UI" w:eastAsia="Segoe UI"/>
                <w:color w:val="231F20"/>
                <w:sz w:val="18"/>
                <w:szCs w:val="18"/>
              </w:rPr>
              <w:t>five</w:t>
            </w:r>
            <w:r>
              <w:rPr>
                <w:rFonts w:ascii="Segoe UI" w:hAnsi="Segoe UI" w:cs="Segoe UI" w:eastAsia="Segoe UI"/>
                <w:color w:val="231F20"/>
                <w:spacing w:val="-1"/>
                <w:sz w:val="18"/>
                <w:szCs w:val="18"/>
              </w:rPr>
              <w:t> </w:t>
            </w:r>
            <w:r>
              <w:rPr>
                <w:rFonts w:ascii="Segoe UI" w:hAnsi="Segoe UI" w:cs="Segoe UI" w:eastAsia="Segoe UI"/>
                <w:color w:val="231F20"/>
                <w:sz w:val="18"/>
                <w:szCs w:val="18"/>
              </w:rPr>
              <w:t>years</w:t>
            </w:r>
            <w:r>
              <w:rPr>
                <w:rFonts w:ascii="Segoe UI" w:hAnsi="Segoe UI" w:cs="Segoe UI" w:eastAsia="Segoe UI"/>
                <w:color w:val="231F20"/>
                <w:spacing w:val="-1"/>
                <w:sz w:val="18"/>
                <w:szCs w:val="18"/>
              </w:rPr>
              <w:t> </w:t>
            </w:r>
            <w:r>
              <w:rPr>
                <w:rFonts w:ascii="Segoe UI" w:hAnsi="Segoe UI" w:cs="Segoe UI" w:eastAsia="Segoe UI"/>
                <w:color w:val="231F20"/>
                <w:sz w:val="18"/>
                <w:szCs w:val="18"/>
              </w:rPr>
              <w:t>ago</w:t>
            </w:r>
            <w:r>
              <w:rPr>
                <w:rFonts w:ascii="Segoe UI" w:hAnsi="Segoe UI" w:cs="Segoe UI" w:eastAsia="Segoe UI"/>
                <w:color w:val="231F20"/>
                <w:spacing w:val="-1"/>
                <w:sz w:val="18"/>
                <w:szCs w:val="18"/>
              </w:rPr>
              <w:t> </w:t>
            </w:r>
            <w:r>
              <w:rPr>
                <w:rFonts w:ascii="Segoe UI" w:hAnsi="Segoe UI" w:cs="Segoe UI" w:eastAsia="Segoe UI"/>
                <w:color w:val="231F20"/>
                <w:sz w:val="18"/>
                <w:szCs w:val="18"/>
              </w:rPr>
              <w:t>almost</w:t>
            </w:r>
            <w:r>
              <w:rPr>
                <w:rFonts w:ascii="Segoe UI" w:hAnsi="Segoe UI" w:cs="Segoe UI" w:eastAsia="Segoe UI"/>
                <w:color w:val="231F20"/>
                <w:spacing w:val="-1"/>
                <w:sz w:val="18"/>
                <w:szCs w:val="18"/>
              </w:rPr>
              <w:t> </w:t>
            </w:r>
            <w:r>
              <w:rPr>
                <w:rFonts w:ascii="Segoe UI" w:hAnsi="Segoe UI" w:cs="Segoe UI" w:eastAsia="Segoe UI"/>
                <w:color w:val="231F20"/>
                <w:sz w:val="18"/>
                <w:szCs w:val="18"/>
              </w:rPr>
              <w:t>no</w:t>
            </w:r>
            <w:r>
              <w:rPr>
                <w:rFonts w:ascii="Segoe UI" w:hAnsi="Segoe UI" w:cs="Segoe UI" w:eastAsia="Segoe UI"/>
                <w:color w:val="231F20"/>
                <w:spacing w:val="24"/>
                <w:sz w:val="18"/>
                <w:szCs w:val="18"/>
              </w:rPr>
              <w:t> </w:t>
            </w:r>
            <w:r>
              <w:rPr>
                <w:rFonts w:ascii="Segoe UI" w:hAnsi="Segoe UI" w:cs="Segoe UI" w:eastAsia="Segoe UI"/>
                <w:color w:val="231F20"/>
                <w:sz w:val="18"/>
                <w:szCs w:val="18"/>
              </w:rPr>
              <w:t>research</w:t>
            </w:r>
            <w:r>
              <w:rPr>
                <w:rFonts w:ascii="Segoe UI" w:hAnsi="Segoe UI" w:cs="Segoe UI" w:eastAsia="Segoe UI"/>
                <w:color w:val="231F20"/>
                <w:spacing w:val="-8"/>
                <w:sz w:val="18"/>
                <w:szCs w:val="18"/>
              </w:rPr>
              <w:t> </w:t>
            </w:r>
            <w:r>
              <w:rPr>
                <w:rFonts w:ascii="Segoe UI" w:hAnsi="Segoe UI" w:cs="Segoe UI" w:eastAsia="Segoe UI"/>
                <w:color w:val="231F20"/>
                <w:sz w:val="18"/>
                <w:szCs w:val="18"/>
              </w:rPr>
              <w:t>evidence</w:t>
            </w:r>
            <w:r>
              <w:rPr>
                <w:rFonts w:ascii="Segoe UI" w:hAnsi="Segoe UI" w:cs="Segoe UI" w:eastAsia="Segoe UI"/>
                <w:color w:val="231F20"/>
                <w:spacing w:val="-8"/>
                <w:sz w:val="18"/>
                <w:szCs w:val="18"/>
              </w:rPr>
              <w:t> </w:t>
            </w:r>
            <w:r>
              <w:rPr>
                <w:rFonts w:ascii="Segoe UI" w:hAnsi="Segoe UI" w:cs="Segoe UI" w:eastAsia="Segoe UI"/>
                <w:color w:val="231F20"/>
                <w:sz w:val="18"/>
                <w:szCs w:val="18"/>
              </w:rPr>
              <w:t>was</w:t>
            </w:r>
            <w:r>
              <w:rPr>
                <w:rFonts w:ascii="Segoe UI" w:hAnsi="Segoe UI" w:cs="Segoe UI" w:eastAsia="Segoe UI"/>
                <w:color w:val="231F20"/>
                <w:spacing w:val="-7"/>
                <w:sz w:val="18"/>
                <w:szCs w:val="18"/>
              </w:rPr>
              <w:t> </w:t>
            </w:r>
            <w:r>
              <w:rPr>
                <w:rFonts w:ascii="Segoe UI" w:hAnsi="Segoe UI" w:cs="Segoe UI" w:eastAsia="Segoe UI"/>
                <w:color w:val="231F20"/>
                <w:sz w:val="18"/>
                <w:szCs w:val="18"/>
              </w:rPr>
              <w:t>available</w:t>
            </w:r>
            <w:r>
              <w:rPr>
                <w:rFonts w:ascii="Segoe UI" w:hAnsi="Segoe UI" w:cs="Segoe UI" w:eastAsia="Segoe UI"/>
                <w:color w:val="231F20"/>
                <w:spacing w:val="-8"/>
                <w:sz w:val="18"/>
                <w:szCs w:val="18"/>
              </w:rPr>
              <w:t> </w:t>
            </w:r>
            <w:r>
              <w:rPr>
                <w:rFonts w:ascii="Segoe UI" w:hAnsi="Segoe UI" w:cs="Segoe UI" w:eastAsia="Segoe UI"/>
                <w:color w:val="231F20"/>
                <w:sz w:val="18"/>
                <w:szCs w:val="18"/>
              </w:rPr>
              <w:t>regarding</w:t>
            </w:r>
            <w:r>
              <w:rPr>
                <w:rFonts w:ascii="Segoe UI" w:hAnsi="Segoe UI" w:cs="Segoe UI" w:eastAsia="Segoe UI"/>
                <w:color w:val="231F20"/>
                <w:spacing w:val="-7"/>
                <w:sz w:val="18"/>
                <w:szCs w:val="18"/>
              </w:rPr>
              <w:t> </w:t>
            </w:r>
            <w:r>
              <w:rPr>
                <w:rFonts w:ascii="Segoe UI" w:hAnsi="Segoe UI" w:cs="Segoe UI" w:eastAsia="Segoe UI"/>
                <w:color w:val="231F20"/>
                <w:sz w:val="18"/>
                <w:szCs w:val="18"/>
              </w:rPr>
              <w:t>the</w:t>
            </w:r>
            <w:r>
              <w:rPr>
                <w:rFonts w:ascii="Segoe UI" w:hAnsi="Segoe UI" w:cs="Segoe UI" w:eastAsia="Segoe UI"/>
                <w:color w:val="231F20"/>
                <w:spacing w:val="-8"/>
                <w:sz w:val="18"/>
                <w:szCs w:val="18"/>
              </w:rPr>
              <w:t> </w:t>
            </w:r>
            <w:r>
              <w:rPr>
                <w:rFonts w:ascii="Segoe UI" w:hAnsi="Segoe UI" w:cs="Segoe UI" w:eastAsia="Segoe UI"/>
                <w:color w:val="231F20"/>
                <w:spacing w:val="-1"/>
                <w:sz w:val="18"/>
                <w:szCs w:val="18"/>
              </w:rPr>
              <w:t>impact</w:t>
            </w:r>
            <w:r>
              <w:rPr>
                <w:rFonts w:ascii="Segoe UI" w:hAnsi="Segoe UI" w:cs="Segoe UI" w:eastAsia="Segoe UI"/>
                <w:color w:val="231F20"/>
                <w:spacing w:val="20"/>
                <w:w w:val="99"/>
                <w:sz w:val="18"/>
                <w:szCs w:val="18"/>
              </w:rPr>
              <w:t> </w:t>
            </w:r>
            <w:r>
              <w:rPr>
                <w:rFonts w:ascii="Segoe UI" w:hAnsi="Segoe UI" w:cs="Segoe UI" w:eastAsia="Segoe UI"/>
                <w:color w:val="231F20"/>
                <w:sz w:val="18"/>
                <w:szCs w:val="18"/>
              </w:rPr>
              <w:t>of</w:t>
            </w:r>
            <w:r>
              <w:rPr>
                <w:rFonts w:ascii="Segoe UI" w:hAnsi="Segoe UI" w:cs="Segoe UI" w:eastAsia="Segoe UI"/>
                <w:color w:val="231F20"/>
                <w:spacing w:val="-5"/>
                <w:sz w:val="18"/>
                <w:szCs w:val="18"/>
              </w:rPr>
              <w:t> </w:t>
            </w:r>
            <w:r>
              <w:rPr>
                <w:rFonts w:ascii="Segoe UI" w:hAnsi="Segoe UI" w:cs="Segoe UI" w:eastAsia="Segoe UI"/>
                <w:color w:val="231F20"/>
                <w:spacing w:val="-1"/>
                <w:sz w:val="18"/>
                <w:szCs w:val="18"/>
              </w:rPr>
              <w:t>boarding’.</w:t>
            </w:r>
            <w:r>
              <w:rPr>
                <w:rFonts w:ascii="Segoe UI" w:hAnsi="Segoe UI" w:cs="Segoe UI" w:eastAsia="Segoe UI"/>
                <w:color w:val="231F20"/>
                <w:spacing w:val="-1"/>
                <w:position w:val="6"/>
                <w:sz w:val="10"/>
                <w:szCs w:val="10"/>
              </w:rPr>
              <w:t>59</w:t>
            </w:r>
            <w:r>
              <w:rPr>
                <w:rFonts w:ascii="Segoe UI" w:hAnsi="Segoe UI" w:cs="Segoe UI" w:eastAsia="Segoe UI"/>
                <w:color w:val="231F20"/>
                <w:spacing w:val="17"/>
                <w:position w:val="6"/>
                <w:sz w:val="10"/>
                <w:szCs w:val="10"/>
              </w:rPr>
              <w:t> </w:t>
            </w:r>
            <w:r>
              <w:rPr>
                <w:rFonts w:ascii="Segoe UI" w:hAnsi="Segoe UI" w:cs="Segoe UI" w:eastAsia="Segoe UI"/>
                <w:color w:val="231F20"/>
                <w:sz w:val="18"/>
                <w:szCs w:val="18"/>
              </w:rPr>
              <w:t>There</w:t>
            </w:r>
            <w:r>
              <w:rPr>
                <w:rFonts w:ascii="Segoe UI" w:hAnsi="Segoe UI" w:cs="Segoe UI" w:eastAsia="Segoe UI"/>
                <w:color w:val="231F20"/>
                <w:spacing w:val="-5"/>
                <w:sz w:val="18"/>
                <w:szCs w:val="18"/>
              </w:rPr>
              <w:t> </w:t>
            </w:r>
            <w:r>
              <w:rPr>
                <w:rFonts w:ascii="Segoe UI" w:hAnsi="Segoe UI" w:cs="Segoe UI" w:eastAsia="Segoe UI"/>
                <w:color w:val="231F20"/>
                <w:spacing w:val="-1"/>
                <w:sz w:val="18"/>
                <w:szCs w:val="18"/>
              </w:rPr>
              <w:t>is</w:t>
            </w:r>
            <w:r>
              <w:rPr>
                <w:rFonts w:ascii="Segoe UI" w:hAnsi="Segoe UI" w:cs="Segoe UI" w:eastAsia="Segoe UI"/>
                <w:color w:val="231F20"/>
                <w:spacing w:val="-6"/>
                <w:sz w:val="18"/>
                <w:szCs w:val="18"/>
              </w:rPr>
              <w:t> </w:t>
            </w:r>
            <w:r>
              <w:rPr>
                <w:rFonts w:ascii="Segoe UI" w:hAnsi="Segoe UI" w:cs="Segoe UI" w:eastAsia="Segoe UI"/>
                <w:color w:val="231F20"/>
                <w:sz w:val="18"/>
                <w:szCs w:val="18"/>
              </w:rPr>
              <w:t>anecdotal</w:t>
            </w:r>
            <w:r>
              <w:rPr>
                <w:rFonts w:ascii="Segoe UI" w:hAnsi="Segoe UI" w:cs="Segoe UI" w:eastAsia="Segoe UI"/>
                <w:color w:val="231F20"/>
                <w:spacing w:val="-5"/>
                <w:sz w:val="18"/>
                <w:szCs w:val="18"/>
              </w:rPr>
              <w:t> </w:t>
            </w:r>
            <w:r>
              <w:rPr>
                <w:rFonts w:ascii="Segoe UI" w:hAnsi="Segoe UI" w:cs="Segoe UI" w:eastAsia="Segoe UI"/>
                <w:color w:val="231F20"/>
                <w:sz w:val="18"/>
                <w:szCs w:val="18"/>
              </w:rPr>
              <w:t>evidence</w:t>
            </w:r>
            <w:r>
              <w:rPr>
                <w:rFonts w:ascii="Segoe UI" w:hAnsi="Segoe UI" w:cs="Segoe UI" w:eastAsia="Segoe UI"/>
                <w:color w:val="231F20"/>
                <w:spacing w:val="-6"/>
                <w:sz w:val="18"/>
                <w:szCs w:val="18"/>
              </w:rPr>
              <w:t> </w:t>
            </w:r>
            <w:r>
              <w:rPr>
                <w:rFonts w:ascii="Segoe UI" w:hAnsi="Segoe UI" w:cs="Segoe UI" w:eastAsia="Segoe UI"/>
                <w:color w:val="231F20"/>
                <w:sz w:val="18"/>
                <w:szCs w:val="18"/>
              </w:rPr>
              <w:t>that</w:t>
            </w:r>
            <w:r>
              <w:rPr>
                <w:rFonts w:ascii="Segoe UI" w:hAnsi="Segoe UI" w:cs="Segoe UI" w:eastAsia="Segoe UI"/>
                <w:color w:val="231F20"/>
                <w:spacing w:val="24"/>
                <w:w w:val="99"/>
                <w:sz w:val="18"/>
                <w:szCs w:val="18"/>
              </w:rPr>
              <w:t> </w:t>
            </w:r>
            <w:r>
              <w:rPr>
                <w:rFonts w:ascii="Segoe UI" w:hAnsi="Segoe UI" w:cs="Segoe UI" w:eastAsia="Segoe UI"/>
                <w:color w:val="231F20"/>
                <w:sz w:val="18"/>
                <w:szCs w:val="18"/>
              </w:rPr>
              <w:t>targeted</w:t>
            </w:r>
            <w:r>
              <w:rPr>
                <w:rFonts w:ascii="Segoe UI" w:hAnsi="Segoe UI" w:cs="Segoe UI" w:eastAsia="Segoe UI"/>
                <w:color w:val="231F20"/>
                <w:spacing w:val="-4"/>
                <w:sz w:val="18"/>
                <w:szCs w:val="18"/>
              </w:rPr>
              <w:t> </w:t>
            </w:r>
            <w:r>
              <w:rPr>
                <w:rFonts w:ascii="Segoe UI" w:hAnsi="Segoe UI" w:cs="Segoe UI" w:eastAsia="Segoe UI"/>
                <w:color w:val="231F20"/>
                <w:sz w:val="18"/>
                <w:szCs w:val="18"/>
              </w:rPr>
              <w:t>communication</w:t>
            </w:r>
            <w:r>
              <w:rPr>
                <w:rFonts w:ascii="Segoe UI" w:hAnsi="Segoe UI" w:cs="Segoe UI" w:eastAsia="Segoe UI"/>
                <w:color w:val="231F20"/>
                <w:spacing w:val="-4"/>
                <w:sz w:val="18"/>
                <w:szCs w:val="18"/>
              </w:rPr>
              <w:t> </w:t>
            </w:r>
            <w:r>
              <w:rPr>
                <w:rFonts w:ascii="Segoe UI" w:hAnsi="Segoe UI" w:cs="Segoe UI" w:eastAsia="Segoe UI"/>
                <w:color w:val="231F20"/>
                <w:sz w:val="18"/>
                <w:szCs w:val="18"/>
              </w:rPr>
              <w:t>campaigns</w:t>
            </w:r>
            <w:r>
              <w:rPr>
                <w:rFonts w:ascii="Segoe UI" w:hAnsi="Segoe UI" w:cs="Segoe UI" w:eastAsia="Segoe UI"/>
                <w:color w:val="231F20"/>
                <w:spacing w:val="-4"/>
                <w:sz w:val="18"/>
                <w:szCs w:val="18"/>
              </w:rPr>
              <w:t> </w:t>
            </w:r>
            <w:r>
              <w:rPr>
                <w:rFonts w:ascii="Segoe UI" w:hAnsi="Segoe UI" w:cs="Segoe UI" w:eastAsia="Segoe UI"/>
                <w:color w:val="231F20"/>
                <w:sz w:val="18"/>
                <w:szCs w:val="18"/>
              </w:rPr>
              <w:t>have</w:t>
            </w:r>
            <w:r>
              <w:rPr>
                <w:rFonts w:ascii="Segoe UI" w:hAnsi="Segoe UI" w:cs="Segoe UI" w:eastAsia="Segoe UI"/>
                <w:color w:val="231F20"/>
                <w:spacing w:val="-3"/>
                <w:sz w:val="18"/>
                <w:szCs w:val="18"/>
              </w:rPr>
              <w:t> </w:t>
            </w:r>
            <w:r>
              <w:rPr>
                <w:rFonts w:ascii="Segoe UI" w:hAnsi="Segoe UI" w:cs="Segoe UI" w:eastAsia="Segoe UI"/>
                <w:color w:val="231F20"/>
                <w:spacing w:val="-1"/>
                <w:sz w:val="18"/>
                <w:szCs w:val="18"/>
              </w:rPr>
              <w:t>led</w:t>
            </w:r>
            <w:r>
              <w:rPr>
                <w:rFonts w:ascii="Segoe UI" w:hAnsi="Segoe UI" w:cs="Segoe UI" w:eastAsia="Segoe UI"/>
                <w:color w:val="231F20"/>
                <w:spacing w:val="-3"/>
                <w:sz w:val="18"/>
                <w:szCs w:val="18"/>
              </w:rPr>
              <w:t> </w:t>
            </w:r>
            <w:r>
              <w:rPr>
                <w:rFonts w:ascii="Segoe UI" w:hAnsi="Segoe UI" w:cs="Segoe UI" w:eastAsia="Segoe UI"/>
                <w:color w:val="231F20"/>
                <w:sz w:val="18"/>
                <w:szCs w:val="18"/>
              </w:rPr>
              <w:t>to</w:t>
            </w:r>
            <w:r>
              <w:rPr>
                <w:rFonts w:ascii="Segoe UI" w:hAnsi="Segoe UI" w:cs="Segoe UI" w:eastAsia="Segoe UI"/>
                <w:color w:val="231F20"/>
                <w:spacing w:val="-3"/>
                <w:sz w:val="18"/>
                <w:szCs w:val="18"/>
              </w:rPr>
              <w:t> </w:t>
            </w:r>
            <w:r>
              <w:rPr>
                <w:rFonts w:ascii="Segoe UI" w:hAnsi="Segoe UI" w:cs="Segoe UI" w:eastAsia="Segoe UI"/>
                <w:color w:val="231F20"/>
                <w:spacing w:val="-1"/>
                <w:sz w:val="18"/>
                <w:szCs w:val="18"/>
              </w:rPr>
              <w:t>more</w:t>
            </w:r>
            <w:r>
              <w:rPr>
                <w:rFonts w:ascii="Segoe UI" w:hAnsi="Segoe UI" w:cs="Segoe UI" w:eastAsia="Segoe UI"/>
                <w:color w:val="231F20"/>
                <w:spacing w:val="21"/>
                <w:w w:val="99"/>
                <w:sz w:val="18"/>
                <w:szCs w:val="18"/>
              </w:rPr>
              <w:t> </w:t>
            </w:r>
            <w:r>
              <w:rPr>
                <w:rFonts w:ascii="Segoe UI" w:hAnsi="Segoe UI" w:cs="Segoe UI" w:eastAsia="Segoe UI"/>
                <w:color w:val="231F20"/>
                <w:sz w:val="18"/>
                <w:szCs w:val="18"/>
              </w:rPr>
              <w:t>claims</w:t>
            </w:r>
            <w:r>
              <w:rPr>
                <w:rFonts w:ascii="Segoe UI" w:hAnsi="Segoe UI" w:cs="Segoe UI" w:eastAsia="Segoe UI"/>
                <w:color w:val="231F20"/>
                <w:spacing w:val="-4"/>
                <w:sz w:val="18"/>
                <w:szCs w:val="18"/>
              </w:rPr>
              <w:t> </w:t>
            </w:r>
            <w:r>
              <w:rPr>
                <w:rFonts w:ascii="Segoe UI" w:hAnsi="Segoe UI" w:cs="Segoe UI" w:eastAsia="Segoe UI"/>
                <w:color w:val="231F20"/>
                <w:sz w:val="18"/>
                <w:szCs w:val="18"/>
              </w:rPr>
              <w:t>being</w:t>
            </w:r>
            <w:r>
              <w:rPr>
                <w:rFonts w:ascii="Segoe UI" w:hAnsi="Segoe UI" w:cs="Segoe UI" w:eastAsia="Segoe UI"/>
                <w:color w:val="231F20"/>
                <w:spacing w:val="-3"/>
                <w:sz w:val="18"/>
                <w:szCs w:val="18"/>
              </w:rPr>
              <w:t> </w:t>
            </w:r>
            <w:r>
              <w:rPr>
                <w:rFonts w:ascii="Segoe UI" w:hAnsi="Segoe UI" w:cs="Segoe UI" w:eastAsia="Segoe UI"/>
                <w:color w:val="231F20"/>
                <w:spacing w:val="-1"/>
                <w:sz w:val="18"/>
                <w:szCs w:val="18"/>
              </w:rPr>
              <w:t>made</w:t>
            </w:r>
            <w:r>
              <w:rPr>
                <w:rFonts w:ascii="Segoe UI" w:hAnsi="Segoe UI" w:cs="Segoe UI" w:eastAsia="Segoe UI"/>
                <w:color w:val="231F20"/>
                <w:spacing w:val="-2"/>
                <w:sz w:val="18"/>
                <w:szCs w:val="18"/>
              </w:rPr>
              <w:t> </w:t>
            </w:r>
            <w:r>
              <w:rPr>
                <w:rFonts w:ascii="Segoe UI" w:hAnsi="Segoe UI" w:cs="Segoe UI" w:eastAsia="Segoe UI"/>
                <w:color w:val="231F20"/>
                <w:sz w:val="18"/>
                <w:szCs w:val="18"/>
              </w:rPr>
              <w:t>for</w:t>
            </w:r>
            <w:r>
              <w:rPr>
                <w:rFonts w:ascii="Segoe UI" w:hAnsi="Segoe UI" w:cs="Segoe UI" w:eastAsia="Segoe UI"/>
                <w:color w:val="231F20"/>
                <w:spacing w:val="-3"/>
                <w:sz w:val="18"/>
                <w:szCs w:val="18"/>
              </w:rPr>
              <w:t> </w:t>
            </w:r>
            <w:r>
              <w:rPr>
                <w:rFonts w:ascii="Segoe UI" w:hAnsi="Segoe UI" w:cs="Segoe UI" w:eastAsia="Segoe UI"/>
                <w:color w:val="231F20"/>
                <w:sz w:val="18"/>
                <w:szCs w:val="18"/>
              </w:rPr>
              <w:t>ABSTUDY</w:t>
            </w:r>
            <w:r>
              <w:rPr>
                <w:rFonts w:ascii="Segoe UI" w:hAnsi="Segoe UI" w:cs="Segoe UI" w:eastAsia="Segoe UI"/>
                <w:color w:val="231F20"/>
                <w:spacing w:val="-3"/>
                <w:sz w:val="18"/>
                <w:szCs w:val="18"/>
              </w:rPr>
              <w:t> </w:t>
            </w:r>
            <w:r>
              <w:rPr>
                <w:rFonts w:ascii="Segoe UI" w:hAnsi="Segoe UI" w:cs="Segoe UI" w:eastAsia="Segoe UI"/>
                <w:color w:val="231F20"/>
                <w:sz w:val="18"/>
                <w:szCs w:val="18"/>
              </w:rPr>
              <w:t>as</w:t>
            </w:r>
            <w:r>
              <w:rPr>
                <w:rFonts w:ascii="Segoe UI" w:hAnsi="Segoe UI" w:cs="Segoe UI" w:eastAsia="Segoe UI"/>
                <w:color w:val="231F20"/>
                <w:spacing w:val="-3"/>
                <w:sz w:val="18"/>
                <w:szCs w:val="18"/>
              </w:rPr>
              <w:t> </w:t>
            </w:r>
            <w:r>
              <w:rPr>
                <w:rFonts w:ascii="Segoe UI" w:hAnsi="Segoe UI" w:cs="Segoe UI" w:eastAsia="Segoe UI"/>
                <w:color w:val="231F20"/>
                <w:sz w:val="18"/>
                <w:szCs w:val="18"/>
              </w:rPr>
              <w:t>well</w:t>
            </w:r>
            <w:r>
              <w:rPr>
                <w:rFonts w:ascii="Segoe UI" w:hAnsi="Segoe UI" w:cs="Segoe UI" w:eastAsia="Segoe UI"/>
                <w:color w:val="231F20"/>
                <w:spacing w:val="-3"/>
                <w:sz w:val="18"/>
                <w:szCs w:val="18"/>
              </w:rPr>
              <w:t> </w:t>
            </w:r>
            <w:r>
              <w:rPr>
                <w:rFonts w:ascii="Segoe UI" w:hAnsi="Segoe UI" w:cs="Segoe UI" w:eastAsia="Segoe UI"/>
                <w:color w:val="231F20"/>
                <w:sz w:val="18"/>
                <w:szCs w:val="18"/>
              </w:rPr>
              <w:t>as</w:t>
            </w:r>
            <w:r>
              <w:rPr>
                <w:rFonts w:ascii="Segoe UI" w:hAnsi="Segoe UI" w:cs="Segoe UI" w:eastAsia="Segoe UI"/>
                <w:color w:val="231F20"/>
                <w:spacing w:val="-4"/>
                <w:sz w:val="18"/>
                <w:szCs w:val="18"/>
              </w:rPr>
              <w:t> </w:t>
            </w:r>
            <w:r>
              <w:rPr>
                <w:rFonts w:ascii="Segoe UI" w:hAnsi="Segoe UI" w:cs="Segoe UI" w:eastAsia="Segoe UI"/>
                <w:color w:val="231F20"/>
                <w:sz w:val="18"/>
                <w:szCs w:val="18"/>
              </w:rPr>
              <w:t>a</w:t>
            </w:r>
            <w:r>
              <w:rPr>
                <w:rFonts w:ascii="Segoe UI" w:hAnsi="Segoe UI" w:cs="Segoe UI" w:eastAsia="Segoe UI"/>
                <w:color w:val="231F20"/>
                <w:spacing w:val="-2"/>
                <w:sz w:val="18"/>
                <w:szCs w:val="18"/>
              </w:rPr>
              <w:t> </w:t>
            </w:r>
            <w:r>
              <w:rPr>
                <w:rFonts w:ascii="Segoe UI" w:hAnsi="Segoe UI" w:cs="Segoe UI" w:eastAsia="Segoe UI"/>
                <w:color w:val="231F20"/>
                <w:sz w:val="18"/>
                <w:szCs w:val="18"/>
              </w:rPr>
              <w:t>higher</w:t>
            </w:r>
            <w:r>
              <w:rPr>
                <w:rFonts w:ascii="Segoe UI" w:hAnsi="Segoe UI" w:cs="Segoe UI" w:eastAsia="Segoe UI"/>
                <w:color w:val="231F20"/>
                <w:spacing w:val="21"/>
                <w:w w:val="99"/>
                <w:sz w:val="18"/>
                <w:szCs w:val="18"/>
              </w:rPr>
              <w:t> </w:t>
            </w:r>
            <w:r>
              <w:rPr>
                <w:rFonts w:ascii="Segoe UI" w:hAnsi="Segoe UI" w:cs="Segoe UI" w:eastAsia="Segoe UI"/>
                <w:color w:val="231F20"/>
                <w:sz w:val="18"/>
                <w:szCs w:val="18"/>
              </w:rPr>
              <w:t>rate</w:t>
            </w:r>
            <w:r>
              <w:rPr>
                <w:rFonts w:ascii="Segoe UI" w:hAnsi="Segoe UI" w:cs="Segoe UI" w:eastAsia="Segoe UI"/>
                <w:color w:val="231F20"/>
                <w:spacing w:val="-3"/>
                <w:sz w:val="18"/>
                <w:szCs w:val="18"/>
              </w:rPr>
              <w:t> </w:t>
            </w:r>
            <w:r>
              <w:rPr>
                <w:rFonts w:ascii="Segoe UI" w:hAnsi="Segoe UI" w:cs="Segoe UI" w:eastAsia="Segoe UI"/>
                <w:color w:val="231F20"/>
                <w:sz w:val="18"/>
                <w:szCs w:val="18"/>
              </w:rPr>
              <w:t>of</w:t>
            </w:r>
            <w:r>
              <w:rPr>
                <w:rFonts w:ascii="Segoe UI" w:hAnsi="Segoe UI" w:cs="Segoe UI" w:eastAsia="Segoe UI"/>
                <w:color w:val="231F20"/>
                <w:spacing w:val="-1"/>
                <w:sz w:val="18"/>
                <w:szCs w:val="18"/>
              </w:rPr>
              <w:t> </w:t>
            </w:r>
            <w:r>
              <w:rPr>
                <w:rFonts w:ascii="Segoe UI" w:hAnsi="Segoe UI" w:cs="Segoe UI" w:eastAsia="Segoe UI"/>
                <w:color w:val="231F20"/>
                <w:sz w:val="18"/>
                <w:szCs w:val="18"/>
              </w:rPr>
              <w:t>valid</w:t>
            </w:r>
            <w:r>
              <w:rPr>
                <w:rFonts w:ascii="Segoe UI" w:hAnsi="Segoe UI" w:cs="Segoe UI" w:eastAsia="Segoe UI"/>
                <w:color w:val="231F20"/>
                <w:spacing w:val="-2"/>
                <w:sz w:val="18"/>
                <w:szCs w:val="18"/>
              </w:rPr>
              <w:t> </w:t>
            </w:r>
            <w:r>
              <w:rPr>
                <w:rFonts w:ascii="Segoe UI" w:hAnsi="Segoe UI" w:cs="Segoe UI" w:eastAsia="Segoe UI"/>
                <w:color w:val="231F20"/>
                <w:spacing w:val="-1"/>
                <w:sz w:val="18"/>
                <w:szCs w:val="18"/>
              </w:rPr>
              <w:t>submissions </w:t>
            </w:r>
            <w:r>
              <w:rPr>
                <w:rFonts w:ascii="Segoe UI" w:hAnsi="Segoe UI" w:cs="Segoe UI" w:eastAsia="Segoe UI"/>
                <w:color w:val="231F20"/>
                <w:sz w:val="18"/>
                <w:szCs w:val="18"/>
              </w:rPr>
              <w:t>and</w:t>
            </w:r>
            <w:r>
              <w:rPr>
                <w:rFonts w:ascii="Segoe UI" w:hAnsi="Segoe UI" w:cs="Segoe UI" w:eastAsia="Segoe UI"/>
                <w:color w:val="231F20"/>
                <w:spacing w:val="-2"/>
                <w:sz w:val="18"/>
                <w:szCs w:val="18"/>
              </w:rPr>
              <w:t> </w:t>
            </w:r>
            <w:r>
              <w:rPr>
                <w:rFonts w:ascii="Segoe UI" w:hAnsi="Segoe UI" w:cs="Segoe UI" w:eastAsia="Segoe UI"/>
                <w:color w:val="231F20"/>
                <w:spacing w:val="-1"/>
                <w:sz w:val="18"/>
                <w:szCs w:val="18"/>
              </w:rPr>
              <w:t>submissions</w:t>
            </w:r>
            <w:r>
              <w:rPr>
                <w:rFonts w:ascii="Segoe UI" w:hAnsi="Segoe UI" w:cs="Segoe UI" w:eastAsia="Segoe UI"/>
                <w:color w:val="231F20"/>
                <w:spacing w:val="-2"/>
                <w:sz w:val="18"/>
                <w:szCs w:val="18"/>
              </w:rPr>
              <w:t> </w:t>
            </w:r>
            <w:r>
              <w:rPr>
                <w:rFonts w:ascii="Segoe UI" w:hAnsi="Segoe UI" w:cs="Segoe UI" w:eastAsia="Segoe UI"/>
                <w:color w:val="231F20"/>
                <w:sz w:val="18"/>
                <w:szCs w:val="18"/>
              </w:rPr>
              <w:t>on</w:t>
            </w:r>
            <w:r>
              <w:rPr>
                <w:rFonts w:ascii="Segoe UI" w:hAnsi="Segoe UI" w:cs="Segoe UI" w:eastAsia="Segoe UI"/>
                <w:color w:val="231F20"/>
                <w:spacing w:val="-1"/>
                <w:sz w:val="18"/>
                <w:szCs w:val="18"/>
              </w:rPr>
              <w:t> </w:t>
            </w:r>
            <w:r>
              <w:rPr>
                <w:rFonts w:ascii="Segoe UI" w:hAnsi="Segoe UI" w:cs="Segoe UI" w:eastAsia="Segoe UI"/>
                <w:color w:val="231F20"/>
                <w:sz w:val="18"/>
                <w:szCs w:val="18"/>
              </w:rPr>
              <w:t>time</w:t>
            </w:r>
            <w:r>
              <w:rPr>
                <w:rFonts w:ascii="Segoe UI" w:hAnsi="Segoe UI" w:cs="Segoe UI" w:eastAsia="Segoe UI"/>
                <w:color w:val="231F20"/>
                <w:spacing w:val="23"/>
                <w:sz w:val="18"/>
                <w:szCs w:val="18"/>
              </w:rPr>
              <w:t> </w:t>
            </w:r>
            <w:r>
              <w:rPr>
                <w:rFonts w:ascii="Segoe UI" w:hAnsi="Segoe UI" w:cs="Segoe UI" w:eastAsia="Segoe UI"/>
                <w:color w:val="231F20"/>
                <w:spacing w:val="-1"/>
                <w:sz w:val="18"/>
                <w:szCs w:val="18"/>
              </w:rPr>
              <w:t>(Study</w:t>
            </w:r>
            <w:r>
              <w:rPr>
                <w:rFonts w:ascii="Segoe UI" w:hAnsi="Segoe UI" w:cs="Segoe UI" w:eastAsia="Segoe UI"/>
                <w:color w:val="231F20"/>
                <w:spacing w:val="-7"/>
                <w:sz w:val="18"/>
                <w:szCs w:val="18"/>
              </w:rPr>
              <w:t> </w:t>
            </w:r>
            <w:r>
              <w:rPr>
                <w:rFonts w:ascii="Segoe UI" w:hAnsi="Segoe UI" w:cs="Segoe UI" w:eastAsia="Segoe UI"/>
                <w:color w:val="231F20"/>
                <w:spacing w:val="-1"/>
                <w:sz w:val="18"/>
                <w:szCs w:val="18"/>
              </w:rPr>
              <w:t>Away</w:t>
            </w:r>
            <w:r>
              <w:rPr>
                <w:rFonts w:ascii="Segoe UI" w:hAnsi="Segoe UI" w:cs="Segoe UI" w:eastAsia="Segoe UI"/>
                <w:color w:val="231F20"/>
                <w:spacing w:val="-7"/>
                <w:sz w:val="18"/>
                <w:szCs w:val="18"/>
              </w:rPr>
              <w:t> </w:t>
            </w:r>
            <w:r>
              <w:rPr>
                <w:rFonts w:ascii="Segoe UI" w:hAnsi="Segoe UI" w:cs="Segoe UI" w:eastAsia="Segoe UI"/>
                <w:color w:val="231F20"/>
                <w:spacing w:val="-1"/>
                <w:sz w:val="18"/>
                <w:szCs w:val="18"/>
              </w:rPr>
              <w:t>Review)</w:t>
            </w:r>
            <w:r>
              <w:rPr>
                <w:rFonts w:ascii="Segoe UI" w:hAnsi="Segoe UI" w:cs="Segoe UI" w:eastAsia="Segoe UI"/>
                <w:sz w:val="18"/>
                <w:szCs w:val="18"/>
              </w:rPr>
            </w:r>
          </w:p>
        </w:tc>
        <w:tc>
          <w:tcPr>
            <w:tcW w:w="115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45"/>
              <w:ind w:left="108" w:right="0"/>
              <w:jc w:val="left"/>
              <w:rPr>
                <w:rFonts w:ascii="Segoe UI" w:hAnsi="Segoe UI" w:cs="Segoe UI" w:eastAsia="Segoe UI"/>
                <w:sz w:val="18"/>
                <w:szCs w:val="18"/>
              </w:rPr>
            </w:pPr>
            <w:r>
              <w:rPr>
                <w:rFonts w:ascii="Segoe UI"/>
                <w:color w:val="231F20"/>
                <w:sz w:val="18"/>
              </w:rPr>
              <w:t>Low</w:t>
            </w:r>
            <w:r>
              <w:rPr>
                <w:rFonts w:ascii="Segoe UI"/>
                <w:sz w:val="18"/>
              </w:rPr>
            </w:r>
          </w:p>
        </w:tc>
      </w:tr>
      <w:tr>
        <w:trPr>
          <w:trHeight w:val="1358" w:hRule="exact"/>
        </w:trPr>
        <w:tc>
          <w:tcPr>
            <w:tcW w:w="3056" w:type="dxa"/>
            <w:tcBorders>
              <w:top w:val="single" w:sz="4" w:space="0" w:color="C1B5A9"/>
              <w:left w:val="single" w:sz="4" w:space="0" w:color="C1B5A9"/>
              <w:bottom w:val="single" w:sz="4" w:space="0" w:color="C1B5A9"/>
              <w:right w:val="single" w:sz="4" w:space="0" w:color="C1B5A9"/>
            </w:tcBorders>
            <w:shd w:val="clear" w:color="auto" w:fill="EFECE8"/>
          </w:tcPr>
          <w:p>
            <w:pPr>
              <w:pStyle w:val="TableParagraph"/>
              <w:spacing w:line="250" w:lineRule="auto" w:before="45"/>
              <w:ind w:left="108" w:right="248"/>
              <w:jc w:val="left"/>
              <w:rPr>
                <w:rFonts w:ascii="Segoe UI" w:hAnsi="Segoe UI" w:cs="Segoe UI" w:eastAsia="Segoe UI"/>
                <w:sz w:val="18"/>
                <w:szCs w:val="18"/>
              </w:rPr>
            </w:pPr>
            <w:r>
              <w:rPr>
                <w:rFonts w:ascii="Segoe UI"/>
                <w:color w:val="231F20"/>
                <w:spacing w:val="-1"/>
                <w:sz w:val="18"/>
              </w:rPr>
              <w:t>Investment</w:t>
            </w:r>
            <w:r>
              <w:rPr>
                <w:rFonts w:ascii="Segoe UI"/>
                <w:color w:val="231F20"/>
                <w:spacing w:val="-4"/>
                <w:sz w:val="18"/>
              </w:rPr>
              <w:t> </w:t>
            </w:r>
            <w:r>
              <w:rPr>
                <w:rFonts w:ascii="Segoe UI"/>
                <w:color w:val="231F20"/>
                <w:spacing w:val="-1"/>
                <w:sz w:val="18"/>
              </w:rPr>
              <w:t>in</w:t>
            </w:r>
            <w:r>
              <w:rPr>
                <w:rFonts w:ascii="Segoe UI"/>
                <w:color w:val="231F20"/>
                <w:spacing w:val="-4"/>
                <w:sz w:val="18"/>
              </w:rPr>
              <w:t> </w:t>
            </w:r>
            <w:r>
              <w:rPr>
                <w:rFonts w:ascii="Segoe UI"/>
                <w:color w:val="231F20"/>
                <w:sz w:val="18"/>
              </w:rPr>
              <w:t>preparation</w:t>
            </w:r>
            <w:r>
              <w:rPr>
                <w:rFonts w:ascii="Segoe UI"/>
                <w:color w:val="231F20"/>
                <w:spacing w:val="-5"/>
                <w:sz w:val="18"/>
              </w:rPr>
              <w:t> </w:t>
            </w:r>
            <w:r>
              <w:rPr>
                <w:rFonts w:ascii="Segoe UI"/>
                <w:color w:val="231F20"/>
                <w:sz w:val="18"/>
              </w:rPr>
              <w:t>for</w:t>
            </w:r>
            <w:r>
              <w:rPr>
                <w:rFonts w:ascii="Segoe UI"/>
                <w:color w:val="231F20"/>
                <w:spacing w:val="23"/>
                <w:w w:val="99"/>
                <w:sz w:val="18"/>
              </w:rPr>
              <w:t> </w:t>
            </w:r>
            <w:r>
              <w:rPr>
                <w:rFonts w:ascii="Segoe UI"/>
                <w:color w:val="231F20"/>
                <w:sz w:val="18"/>
              </w:rPr>
              <w:t>boarding</w:t>
            </w:r>
            <w:r>
              <w:rPr>
                <w:rFonts w:ascii="Segoe UI"/>
                <w:color w:val="231F20"/>
                <w:spacing w:val="-10"/>
                <w:sz w:val="18"/>
              </w:rPr>
              <w:t> </w:t>
            </w:r>
            <w:r>
              <w:rPr>
                <w:rFonts w:ascii="Segoe UI"/>
                <w:color w:val="231F20"/>
                <w:sz w:val="18"/>
              </w:rPr>
              <w:t>contributes</w:t>
            </w:r>
            <w:r>
              <w:rPr>
                <w:rFonts w:ascii="Segoe UI"/>
                <w:color w:val="231F20"/>
                <w:spacing w:val="-9"/>
                <w:sz w:val="18"/>
              </w:rPr>
              <w:t> </w:t>
            </w:r>
            <w:r>
              <w:rPr>
                <w:rFonts w:ascii="Segoe UI"/>
                <w:color w:val="231F20"/>
                <w:sz w:val="18"/>
              </w:rPr>
              <w:t>to</w:t>
            </w:r>
            <w:r>
              <w:rPr>
                <w:rFonts w:ascii="Segoe UI"/>
                <w:color w:val="231F20"/>
                <w:spacing w:val="-9"/>
                <w:sz w:val="18"/>
              </w:rPr>
              <w:t> </w:t>
            </w:r>
            <w:r>
              <w:rPr>
                <w:rFonts w:ascii="Segoe UI"/>
                <w:color w:val="231F20"/>
                <w:spacing w:val="-1"/>
                <w:sz w:val="18"/>
              </w:rPr>
              <w:t>increased</w:t>
            </w:r>
            <w:r>
              <w:rPr>
                <w:rFonts w:ascii="Segoe UI"/>
                <w:color w:val="231F20"/>
                <w:spacing w:val="20"/>
                <w:w w:val="99"/>
                <w:sz w:val="18"/>
              </w:rPr>
              <w:t> </w:t>
            </w:r>
            <w:r>
              <w:rPr>
                <w:rFonts w:ascii="Segoe UI"/>
                <w:color w:val="231F20"/>
                <w:spacing w:val="-1"/>
                <w:sz w:val="18"/>
              </w:rPr>
              <w:t>school</w:t>
            </w:r>
            <w:r>
              <w:rPr>
                <w:rFonts w:ascii="Segoe UI"/>
                <w:color w:val="231F20"/>
                <w:spacing w:val="-9"/>
                <w:sz w:val="18"/>
              </w:rPr>
              <w:t> </w:t>
            </w:r>
            <w:r>
              <w:rPr>
                <w:rFonts w:ascii="Segoe UI"/>
                <w:color w:val="231F20"/>
                <w:sz w:val="18"/>
              </w:rPr>
              <w:t>attendance</w:t>
            </w:r>
            <w:r>
              <w:rPr>
                <w:rFonts w:ascii="Segoe UI"/>
                <w:sz w:val="18"/>
              </w:rPr>
            </w:r>
          </w:p>
        </w:tc>
        <w:tc>
          <w:tcPr>
            <w:tcW w:w="4564" w:type="dxa"/>
            <w:tcBorders>
              <w:top w:val="single" w:sz="4" w:space="0" w:color="C1B5A9"/>
              <w:left w:val="single" w:sz="4" w:space="0" w:color="C1B5A9"/>
              <w:bottom w:val="single" w:sz="4" w:space="0" w:color="C1B5A9"/>
              <w:right w:val="single" w:sz="4" w:space="0" w:color="C1B5A9"/>
            </w:tcBorders>
            <w:shd w:val="clear" w:color="auto" w:fill="EFECE8"/>
          </w:tcPr>
          <w:p>
            <w:pPr>
              <w:pStyle w:val="TableParagraph"/>
              <w:spacing w:line="250" w:lineRule="auto" w:before="45"/>
              <w:ind w:left="108" w:right="348"/>
              <w:jc w:val="left"/>
              <w:rPr>
                <w:rFonts w:ascii="Segoe UI" w:hAnsi="Segoe UI" w:cs="Segoe UI" w:eastAsia="Segoe UI"/>
                <w:sz w:val="18"/>
                <w:szCs w:val="18"/>
              </w:rPr>
            </w:pPr>
            <w:r>
              <w:rPr>
                <w:rFonts w:ascii="Segoe UI"/>
                <w:color w:val="231F20"/>
                <w:sz w:val="18"/>
              </w:rPr>
              <w:t>There</w:t>
            </w:r>
            <w:r>
              <w:rPr>
                <w:rFonts w:ascii="Segoe UI"/>
                <w:color w:val="231F20"/>
                <w:spacing w:val="-6"/>
                <w:sz w:val="18"/>
              </w:rPr>
              <w:t> </w:t>
            </w:r>
            <w:r>
              <w:rPr>
                <w:rFonts w:ascii="Segoe UI"/>
                <w:color w:val="231F20"/>
                <w:spacing w:val="-1"/>
                <w:sz w:val="18"/>
              </w:rPr>
              <w:t>is</w:t>
            </w:r>
            <w:r>
              <w:rPr>
                <w:rFonts w:ascii="Segoe UI"/>
                <w:color w:val="231F20"/>
                <w:spacing w:val="-7"/>
                <w:sz w:val="18"/>
              </w:rPr>
              <w:t> </w:t>
            </w:r>
            <w:r>
              <w:rPr>
                <w:rFonts w:ascii="Segoe UI"/>
                <w:color w:val="231F20"/>
                <w:sz w:val="18"/>
              </w:rPr>
              <w:t>anecdotal</w:t>
            </w:r>
            <w:r>
              <w:rPr>
                <w:rFonts w:ascii="Segoe UI"/>
                <w:color w:val="231F20"/>
                <w:spacing w:val="-7"/>
                <w:sz w:val="18"/>
              </w:rPr>
              <w:t> </w:t>
            </w:r>
            <w:r>
              <w:rPr>
                <w:rFonts w:ascii="Segoe UI"/>
                <w:color w:val="231F20"/>
                <w:sz w:val="18"/>
              </w:rPr>
              <w:t>evidence</w:t>
            </w:r>
            <w:r>
              <w:rPr>
                <w:rFonts w:ascii="Segoe UI"/>
                <w:color w:val="231F20"/>
                <w:spacing w:val="-7"/>
                <w:sz w:val="18"/>
              </w:rPr>
              <w:t> </w:t>
            </w:r>
            <w:r>
              <w:rPr>
                <w:rFonts w:ascii="Segoe UI"/>
                <w:color w:val="231F20"/>
                <w:sz w:val="18"/>
              </w:rPr>
              <w:t>that</w:t>
            </w:r>
            <w:r>
              <w:rPr>
                <w:rFonts w:ascii="Segoe UI"/>
                <w:color w:val="231F20"/>
                <w:spacing w:val="-7"/>
                <w:sz w:val="18"/>
              </w:rPr>
              <w:t> </w:t>
            </w:r>
            <w:r>
              <w:rPr>
                <w:rFonts w:ascii="Segoe UI"/>
                <w:color w:val="231F20"/>
                <w:sz w:val="18"/>
              </w:rPr>
              <w:t>targeted</w:t>
            </w:r>
            <w:r>
              <w:rPr>
                <w:rFonts w:ascii="Segoe UI"/>
                <w:color w:val="231F20"/>
                <w:spacing w:val="21"/>
                <w:w w:val="99"/>
                <w:sz w:val="18"/>
              </w:rPr>
              <w:t> </w:t>
            </w:r>
            <w:r>
              <w:rPr>
                <w:rFonts w:ascii="Segoe UI"/>
                <w:color w:val="231F20"/>
                <w:sz w:val="18"/>
              </w:rPr>
              <w:t>communication</w:t>
            </w:r>
            <w:r>
              <w:rPr>
                <w:rFonts w:ascii="Segoe UI"/>
                <w:color w:val="231F20"/>
                <w:spacing w:val="-3"/>
                <w:sz w:val="18"/>
              </w:rPr>
              <w:t> </w:t>
            </w:r>
            <w:r>
              <w:rPr>
                <w:rFonts w:ascii="Segoe UI"/>
                <w:color w:val="231F20"/>
                <w:sz w:val="18"/>
              </w:rPr>
              <w:t>campaigns</w:t>
            </w:r>
            <w:r>
              <w:rPr>
                <w:rFonts w:ascii="Segoe UI"/>
                <w:color w:val="231F20"/>
                <w:spacing w:val="-3"/>
                <w:sz w:val="18"/>
              </w:rPr>
              <w:t> </w:t>
            </w:r>
            <w:r>
              <w:rPr>
                <w:rFonts w:ascii="Segoe UI"/>
                <w:color w:val="231F20"/>
                <w:sz w:val="18"/>
              </w:rPr>
              <w:t>have</w:t>
            </w:r>
            <w:r>
              <w:rPr>
                <w:rFonts w:ascii="Segoe UI"/>
                <w:color w:val="231F20"/>
                <w:spacing w:val="-2"/>
                <w:sz w:val="18"/>
              </w:rPr>
              <w:t> </w:t>
            </w:r>
            <w:r>
              <w:rPr>
                <w:rFonts w:ascii="Segoe UI"/>
                <w:color w:val="231F20"/>
                <w:spacing w:val="-1"/>
                <w:sz w:val="18"/>
              </w:rPr>
              <w:t>led</w:t>
            </w:r>
            <w:r>
              <w:rPr>
                <w:rFonts w:ascii="Segoe UI"/>
                <w:color w:val="231F20"/>
                <w:spacing w:val="-2"/>
                <w:sz w:val="18"/>
              </w:rPr>
              <w:t> </w:t>
            </w:r>
            <w:r>
              <w:rPr>
                <w:rFonts w:ascii="Segoe UI"/>
                <w:color w:val="231F20"/>
                <w:sz w:val="18"/>
              </w:rPr>
              <w:t>to</w:t>
            </w:r>
            <w:r>
              <w:rPr>
                <w:rFonts w:ascii="Segoe UI"/>
                <w:color w:val="231F20"/>
                <w:spacing w:val="-1"/>
                <w:sz w:val="18"/>
              </w:rPr>
              <w:t> more</w:t>
            </w:r>
            <w:r>
              <w:rPr>
                <w:rFonts w:ascii="Segoe UI"/>
                <w:color w:val="231F20"/>
                <w:spacing w:val="-2"/>
                <w:sz w:val="18"/>
              </w:rPr>
              <w:t> </w:t>
            </w:r>
            <w:r>
              <w:rPr>
                <w:rFonts w:ascii="Segoe UI"/>
                <w:color w:val="231F20"/>
                <w:sz w:val="18"/>
              </w:rPr>
              <w:t>claims</w:t>
            </w:r>
            <w:r>
              <w:rPr>
                <w:rFonts w:ascii="Segoe UI"/>
                <w:color w:val="231F20"/>
                <w:spacing w:val="22"/>
                <w:sz w:val="18"/>
              </w:rPr>
              <w:t> </w:t>
            </w:r>
            <w:r>
              <w:rPr>
                <w:rFonts w:ascii="Segoe UI"/>
                <w:color w:val="231F20"/>
                <w:sz w:val="18"/>
              </w:rPr>
              <w:t>being</w:t>
            </w:r>
            <w:r>
              <w:rPr>
                <w:rFonts w:ascii="Segoe UI"/>
                <w:color w:val="231F20"/>
                <w:spacing w:val="-4"/>
                <w:sz w:val="18"/>
              </w:rPr>
              <w:t> </w:t>
            </w:r>
            <w:r>
              <w:rPr>
                <w:rFonts w:ascii="Segoe UI"/>
                <w:color w:val="231F20"/>
                <w:spacing w:val="-1"/>
                <w:sz w:val="18"/>
              </w:rPr>
              <w:t>made</w:t>
            </w:r>
            <w:r>
              <w:rPr>
                <w:rFonts w:ascii="Segoe UI"/>
                <w:color w:val="231F20"/>
                <w:spacing w:val="-3"/>
                <w:sz w:val="18"/>
              </w:rPr>
              <w:t> </w:t>
            </w:r>
            <w:r>
              <w:rPr>
                <w:rFonts w:ascii="Segoe UI"/>
                <w:color w:val="231F20"/>
                <w:sz w:val="18"/>
              </w:rPr>
              <w:t>for</w:t>
            </w:r>
            <w:r>
              <w:rPr>
                <w:rFonts w:ascii="Segoe UI"/>
                <w:color w:val="231F20"/>
                <w:spacing w:val="-2"/>
                <w:sz w:val="18"/>
              </w:rPr>
              <w:t> </w:t>
            </w:r>
            <w:r>
              <w:rPr>
                <w:rFonts w:ascii="Segoe UI"/>
                <w:color w:val="231F20"/>
                <w:sz w:val="18"/>
              </w:rPr>
              <w:t>ABSTUDY</w:t>
            </w:r>
            <w:r>
              <w:rPr>
                <w:rFonts w:ascii="Segoe UI"/>
                <w:color w:val="231F20"/>
                <w:spacing w:val="-4"/>
                <w:sz w:val="18"/>
              </w:rPr>
              <w:t> </w:t>
            </w:r>
            <w:r>
              <w:rPr>
                <w:rFonts w:ascii="Segoe UI"/>
                <w:color w:val="231F20"/>
                <w:sz w:val="18"/>
              </w:rPr>
              <w:t>as</w:t>
            </w:r>
            <w:r>
              <w:rPr>
                <w:rFonts w:ascii="Segoe UI"/>
                <w:color w:val="231F20"/>
                <w:spacing w:val="-3"/>
                <w:sz w:val="18"/>
              </w:rPr>
              <w:t> </w:t>
            </w:r>
            <w:r>
              <w:rPr>
                <w:rFonts w:ascii="Segoe UI"/>
                <w:color w:val="231F20"/>
                <w:sz w:val="18"/>
              </w:rPr>
              <w:t>well</w:t>
            </w:r>
            <w:r>
              <w:rPr>
                <w:rFonts w:ascii="Segoe UI"/>
                <w:color w:val="231F20"/>
                <w:spacing w:val="-4"/>
                <w:sz w:val="18"/>
              </w:rPr>
              <w:t> </w:t>
            </w:r>
            <w:r>
              <w:rPr>
                <w:rFonts w:ascii="Segoe UI"/>
                <w:color w:val="231F20"/>
                <w:sz w:val="18"/>
              </w:rPr>
              <w:t>as</w:t>
            </w:r>
            <w:r>
              <w:rPr>
                <w:rFonts w:ascii="Segoe UI"/>
                <w:color w:val="231F20"/>
                <w:spacing w:val="-3"/>
                <w:sz w:val="18"/>
              </w:rPr>
              <w:t> </w:t>
            </w:r>
            <w:r>
              <w:rPr>
                <w:rFonts w:ascii="Segoe UI"/>
                <w:color w:val="231F20"/>
                <w:sz w:val="18"/>
              </w:rPr>
              <w:t>a</w:t>
            </w:r>
            <w:r>
              <w:rPr>
                <w:rFonts w:ascii="Segoe UI"/>
                <w:color w:val="231F20"/>
                <w:spacing w:val="-3"/>
                <w:sz w:val="18"/>
              </w:rPr>
              <w:t> </w:t>
            </w:r>
            <w:r>
              <w:rPr>
                <w:rFonts w:ascii="Segoe UI"/>
                <w:color w:val="231F20"/>
                <w:sz w:val="18"/>
              </w:rPr>
              <w:t>higher</w:t>
            </w:r>
            <w:r>
              <w:rPr>
                <w:rFonts w:ascii="Segoe UI"/>
                <w:color w:val="231F20"/>
                <w:spacing w:val="-3"/>
                <w:sz w:val="18"/>
              </w:rPr>
              <w:t> </w:t>
            </w:r>
            <w:r>
              <w:rPr>
                <w:rFonts w:ascii="Segoe UI"/>
                <w:color w:val="231F20"/>
                <w:sz w:val="18"/>
              </w:rPr>
              <w:t>rate</w:t>
            </w:r>
            <w:r>
              <w:rPr>
                <w:rFonts w:ascii="Segoe UI"/>
                <w:color w:val="231F20"/>
                <w:spacing w:val="-4"/>
                <w:sz w:val="18"/>
              </w:rPr>
              <w:t> </w:t>
            </w:r>
            <w:r>
              <w:rPr>
                <w:rFonts w:ascii="Segoe UI"/>
                <w:color w:val="231F20"/>
                <w:sz w:val="18"/>
              </w:rPr>
              <w:t>of</w:t>
            </w:r>
            <w:r>
              <w:rPr>
                <w:rFonts w:ascii="Segoe UI"/>
                <w:color w:val="231F20"/>
                <w:spacing w:val="21"/>
                <w:w w:val="99"/>
                <w:sz w:val="18"/>
              </w:rPr>
              <w:t> </w:t>
            </w:r>
            <w:r>
              <w:rPr>
                <w:rFonts w:ascii="Segoe UI"/>
                <w:color w:val="231F20"/>
                <w:sz w:val="18"/>
              </w:rPr>
              <w:t>valid</w:t>
            </w:r>
            <w:r>
              <w:rPr>
                <w:rFonts w:ascii="Segoe UI"/>
                <w:color w:val="231F20"/>
                <w:spacing w:val="-2"/>
                <w:sz w:val="18"/>
              </w:rPr>
              <w:t> </w:t>
            </w:r>
            <w:r>
              <w:rPr>
                <w:rFonts w:ascii="Segoe UI"/>
                <w:color w:val="231F20"/>
                <w:spacing w:val="-1"/>
                <w:sz w:val="18"/>
              </w:rPr>
              <w:t>submissions </w:t>
            </w:r>
            <w:r>
              <w:rPr>
                <w:rFonts w:ascii="Segoe UI"/>
                <w:color w:val="231F20"/>
                <w:sz w:val="18"/>
              </w:rPr>
              <w:t>and</w:t>
            </w:r>
            <w:r>
              <w:rPr>
                <w:rFonts w:ascii="Segoe UI"/>
                <w:color w:val="231F20"/>
                <w:spacing w:val="-3"/>
                <w:sz w:val="18"/>
              </w:rPr>
              <w:t> </w:t>
            </w:r>
            <w:r>
              <w:rPr>
                <w:rFonts w:ascii="Segoe UI"/>
                <w:color w:val="231F20"/>
                <w:spacing w:val="-1"/>
                <w:sz w:val="18"/>
              </w:rPr>
              <w:t>submissions </w:t>
            </w:r>
            <w:r>
              <w:rPr>
                <w:rFonts w:ascii="Segoe UI"/>
                <w:color w:val="231F20"/>
                <w:sz w:val="18"/>
              </w:rPr>
              <w:t>on</w:t>
            </w:r>
            <w:r>
              <w:rPr>
                <w:rFonts w:ascii="Segoe UI"/>
                <w:color w:val="231F20"/>
                <w:spacing w:val="-2"/>
                <w:sz w:val="18"/>
              </w:rPr>
              <w:t> </w:t>
            </w:r>
            <w:r>
              <w:rPr>
                <w:rFonts w:ascii="Segoe UI"/>
                <w:color w:val="231F20"/>
                <w:sz w:val="18"/>
              </w:rPr>
              <w:t>time</w:t>
            </w:r>
            <w:r>
              <w:rPr>
                <w:rFonts w:ascii="Segoe UI"/>
                <w:color w:val="231F20"/>
                <w:spacing w:val="-2"/>
                <w:sz w:val="18"/>
              </w:rPr>
              <w:t> </w:t>
            </w:r>
            <w:r>
              <w:rPr>
                <w:rFonts w:ascii="Segoe UI"/>
                <w:color w:val="231F20"/>
                <w:spacing w:val="-1"/>
                <w:sz w:val="18"/>
              </w:rPr>
              <w:t>(Study</w:t>
            </w:r>
            <w:r>
              <w:rPr>
                <w:rFonts w:ascii="Segoe UI"/>
                <w:color w:val="231F20"/>
                <w:spacing w:val="23"/>
                <w:w w:val="99"/>
                <w:sz w:val="18"/>
              </w:rPr>
              <w:t> </w:t>
            </w:r>
            <w:r>
              <w:rPr>
                <w:rFonts w:ascii="Segoe UI"/>
                <w:color w:val="231F20"/>
                <w:spacing w:val="-1"/>
                <w:sz w:val="18"/>
              </w:rPr>
              <w:t>Away</w:t>
            </w:r>
            <w:r>
              <w:rPr>
                <w:rFonts w:ascii="Segoe UI"/>
                <w:color w:val="231F20"/>
                <w:spacing w:val="-10"/>
                <w:sz w:val="18"/>
              </w:rPr>
              <w:t> </w:t>
            </w:r>
            <w:r>
              <w:rPr>
                <w:rFonts w:ascii="Segoe UI"/>
                <w:color w:val="231F20"/>
                <w:spacing w:val="-1"/>
                <w:sz w:val="18"/>
              </w:rPr>
              <w:t>Review)</w:t>
            </w:r>
            <w:r>
              <w:rPr>
                <w:rFonts w:ascii="Segoe UI"/>
                <w:sz w:val="18"/>
              </w:rPr>
            </w:r>
          </w:p>
        </w:tc>
        <w:tc>
          <w:tcPr>
            <w:tcW w:w="1157" w:type="dxa"/>
            <w:tcBorders>
              <w:top w:val="single" w:sz="4" w:space="0" w:color="C1B5A9"/>
              <w:left w:val="single" w:sz="4" w:space="0" w:color="C1B5A9"/>
              <w:bottom w:val="single" w:sz="4" w:space="0" w:color="C1B5A9"/>
              <w:right w:val="single" w:sz="4" w:space="0" w:color="C1B5A9"/>
            </w:tcBorders>
            <w:shd w:val="clear" w:color="auto" w:fill="EFECE8"/>
          </w:tcPr>
          <w:p>
            <w:pPr>
              <w:pStyle w:val="TableParagraph"/>
              <w:spacing w:line="240" w:lineRule="auto" w:before="45"/>
              <w:ind w:left="108" w:right="0"/>
              <w:jc w:val="left"/>
              <w:rPr>
                <w:rFonts w:ascii="Segoe UI" w:hAnsi="Segoe UI" w:cs="Segoe UI" w:eastAsia="Segoe UI"/>
                <w:sz w:val="18"/>
                <w:szCs w:val="18"/>
              </w:rPr>
            </w:pPr>
            <w:r>
              <w:rPr>
                <w:rFonts w:ascii="Segoe UI"/>
                <w:color w:val="231F20"/>
                <w:sz w:val="18"/>
              </w:rPr>
              <w:t>Low</w:t>
            </w:r>
            <w:r>
              <w:rPr>
                <w:rFonts w:ascii="Segoe UI"/>
                <w:sz w:val="18"/>
              </w:rPr>
            </w:r>
          </w:p>
        </w:tc>
      </w:tr>
      <w:tr>
        <w:trPr>
          <w:trHeight w:val="1721" w:hRule="exact"/>
        </w:trPr>
        <w:tc>
          <w:tcPr>
            <w:tcW w:w="3056" w:type="dxa"/>
            <w:tcBorders>
              <w:top w:val="single" w:sz="4" w:space="0" w:color="C1B5A9"/>
              <w:left w:val="single" w:sz="4" w:space="0" w:color="C1B5A9"/>
              <w:bottom w:val="single" w:sz="4" w:space="0" w:color="C1B5A9"/>
              <w:right w:val="single" w:sz="4" w:space="0" w:color="C1B5A9"/>
            </w:tcBorders>
          </w:tcPr>
          <w:p>
            <w:pPr>
              <w:pStyle w:val="TableParagraph"/>
              <w:spacing w:line="250" w:lineRule="auto" w:before="45"/>
              <w:ind w:left="108" w:right="250"/>
              <w:jc w:val="left"/>
              <w:rPr>
                <w:rFonts w:ascii="Segoe UI" w:hAnsi="Segoe UI" w:cs="Segoe UI" w:eastAsia="Segoe UI"/>
                <w:sz w:val="18"/>
                <w:szCs w:val="18"/>
              </w:rPr>
            </w:pPr>
            <w:r>
              <w:rPr>
                <w:rFonts w:ascii="Segoe UI"/>
                <w:color w:val="231F20"/>
                <w:spacing w:val="-1"/>
                <w:sz w:val="18"/>
              </w:rPr>
              <w:t>Investment</w:t>
            </w:r>
            <w:r>
              <w:rPr>
                <w:rFonts w:ascii="Segoe UI"/>
                <w:color w:val="231F20"/>
                <w:spacing w:val="-4"/>
                <w:sz w:val="18"/>
              </w:rPr>
              <w:t> </w:t>
            </w:r>
            <w:r>
              <w:rPr>
                <w:rFonts w:ascii="Segoe UI"/>
                <w:color w:val="231F20"/>
                <w:spacing w:val="-1"/>
                <w:sz w:val="18"/>
              </w:rPr>
              <w:t>in</w:t>
            </w:r>
            <w:r>
              <w:rPr>
                <w:rFonts w:ascii="Segoe UI"/>
                <w:color w:val="231F20"/>
                <w:spacing w:val="-3"/>
                <w:sz w:val="18"/>
              </w:rPr>
              <w:t> </w:t>
            </w:r>
            <w:r>
              <w:rPr>
                <w:rFonts w:ascii="Segoe UI"/>
                <w:color w:val="231F20"/>
                <w:sz w:val="18"/>
              </w:rPr>
              <w:t>travel</w:t>
            </w:r>
            <w:r>
              <w:rPr>
                <w:rFonts w:ascii="Segoe UI"/>
                <w:color w:val="231F20"/>
                <w:spacing w:val="-5"/>
                <w:sz w:val="18"/>
              </w:rPr>
              <w:t> </w:t>
            </w:r>
            <w:r>
              <w:rPr>
                <w:rFonts w:ascii="Segoe UI"/>
                <w:color w:val="231F20"/>
                <w:sz w:val="18"/>
              </w:rPr>
              <w:t>for</w:t>
            </w:r>
            <w:r>
              <w:rPr>
                <w:rFonts w:ascii="Segoe UI"/>
                <w:color w:val="231F20"/>
                <w:spacing w:val="-3"/>
                <w:sz w:val="18"/>
              </w:rPr>
              <w:t> </w:t>
            </w:r>
            <w:r>
              <w:rPr>
                <w:rFonts w:ascii="Segoe UI"/>
                <w:color w:val="231F20"/>
                <w:sz w:val="18"/>
              </w:rPr>
              <w:t>boarding</w:t>
            </w:r>
            <w:r>
              <w:rPr>
                <w:rFonts w:ascii="Segoe UI"/>
                <w:color w:val="231F20"/>
                <w:spacing w:val="23"/>
                <w:w w:val="99"/>
                <w:sz w:val="18"/>
              </w:rPr>
              <w:t> </w:t>
            </w:r>
            <w:r>
              <w:rPr>
                <w:rFonts w:ascii="Segoe UI"/>
                <w:color w:val="231F20"/>
                <w:sz w:val="18"/>
              </w:rPr>
              <w:t>contributes</w:t>
            </w:r>
            <w:r>
              <w:rPr>
                <w:rFonts w:ascii="Segoe UI"/>
                <w:color w:val="231F20"/>
                <w:spacing w:val="-6"/>
                <w:sz w:val="18"/>
              </w:rPr>
              <w:t> </w:t>
            </w:r>
            <w:r>
              <w:rPr>
                <w:rFonts w:ascii="Segoe UI"/>
                <w:color w:val="231F20"/>
                <w:sz w:val="18"/>
              </w:rPr>
              <w:t>to</w:t>
            </w:r>
            <w:r>
              <w:rPr>
                <w:rFonts w:ascii="Segoe UI"/>
                <w:color w:val="231F20"/>
                <w:spacing w:val="-5"/>
                <w:sz w:val="18"/>
              </w:rPr>
              <w:t> </w:t>
            </w:r>
            <w:r>
              <w:rPr>
                <w:rFonts w:ascii="Segoe UI"/>
                <w:color w:val="231F20"/>
                <w:spacing w:val="-1"/>
                <w:sz w:val="18"/>
              </w:rPr>
              <w:t>increased</w:t>
            </w:r>
            <w:r>
              <w:rPr>
                <w:rFonts w:ascii="Segoe UI"/>
                <w:color w:val="231F20"/>
                <w:spacing w:val="-5"/>
                <w:sz w:val="18"/>
              </w:rPr>
              <w:t> </w:t>
            </w:r>
            <w:r>
              <w:rPr>
                <w:rFonts w:ascii="Segoe UI"/>
                <w:color w:val="231F20"/>
                <w:sz w:val="18"/>
              </w:rPr>
              <w:t>access</w:t>
            </w:r>
            <w:r>
              <w:rPr>
                <w:rFonts w:ascii="Segoe UI"/>
                <w:color w:val="231F20"/>
                <w:spacing w:val="-6"/>
                <w:sz w:val="18"/>
              </w:rPr>
              <w:t> </w:t>
            </w:r>
            <w:r>
              <w:rPr>
                <w:rFonts w:ascii="Segoe UI"/>
                <w:color w:val="231F20"/>
                <w:sz w:val="18"/>
              </w:rPr>
              <w:t>to</w:t>
            </w:r>
            <w:r>
              <w:rPr>
                <w:rFonts w:ascii="Segoe UI"/>
                <w:color w:val="231F20"/>
                <w:spacing w:val="22"/>
                <w:w w:val="99"/>
                <w:sz w:val="18"/>
              </w:rPr>
              <w:t> </w:t>
            </w:r>
            <w:r>
              <w:rPr>
                <w:rFonts w:ascii="Segoe UI"/>
                <w:color w:val="231F20"/>
                <w:sz w:val="18"/>
              </w:rPr>
              <w:t>educational</w:t>
            </w:r>
            <w:r>
              <w:rPr>
                <w:rFonts w:ascii="Segoe UI"/>
                <w:color w:val="231F20"/>
                <w:spacing w:val="-21"/>
                <w:sz w:val="18"/>
              </w:rPr>
              <w:t> </w:t>
            </w:r>
            <w:r>
              <w:rPr>
                <w:rFonts w:ascii="Segoe UI"/>
                <w:color w:val="231F20"/>
                <w:sz w:val="18"/>
              </w:rPr>
              <w:t>opportunities</w:t>
            </w:r>
            <w:r>
              <w:rPr>
                <w:rFonts w:ascii="Segoe UI"/>
                <w:sz w:val="18"/>
              </w:rPr>
            </w:r>
          </w:p>
        </w:tc>
        <w:tc>
          <w:tcPr>
            <w:tcW w:w="4564" w:type="dxa"/>
            <w:tcBorders>
              <w:top w:val="single" w:sz="4" w:space="0" w:color="C1B5A9"/>
              <w:left w:val="single" w:sz="4" w:space="0" w:color="C1B5A9"/>
              <w:bottom w:val="single" w:sz="4" w:space="0" w:color="C1B5A9"/>
              <w:right w:val="single" w:sz="4" w:space="0" w:color="C1B5A9"/>
            </w:tcBorders>
          </w:tcPr>
          <w:p>
            <w:pPr>
              <w:pStyle w:val="TableParagraph"/>
              <w:spacing w:line="250" w:lineRule="auto" w:before="45"/>
              <w:ind w:left="108" w:right="286"/>
              <w:jc w:val="left"/>
              <w:rPr>
                <w:rFonts w:ascii="Segoe UI" w:hAnsi="Segoe UI" w:cs="Segoe UI" w:eastAsia="Segoe UI"/>
                <w:sz w:val="18"/>
                <w:szCs w:val="18"/>
              </w:rPr>
            </w:pPr>
            <w:r>
              <w:rPr>
                <w:rFonts w:ascii="Segoe UI"/>
                <w:color w:val="231F20"/>
                <w:sz w:val="18"/>
              </w:rPr>
              <w:t>No</w:t>
            </w:r>
            <w:r>
              <w:rPr>
                <w:rFonts w:ascii="Segoe UI"/>
                <w:color w:val="231F20"/>
                <w:spacing w:val="-5"/>
                <w:sz w:val="18"/>
              </w:rPr>
              <w:t> </w:t>
            </w:r>
            <w:r>
              <w:rPr>
                <w:rFonts w:ascii="Segoe UI"/>
                <w:color w:val="231F20"/>
                <w:spacing w:val="-1"/>
                <w:sz w:val="18"/>
              </w:rPr>
              <w:t>known</w:t>
            </w:r>
            <w:r>
              <w:rPr>
                <w:rFonts w:ascii="Segoe UI"/>
                <w:color w:val="231F20"/>
                <w:spacing w:val="-4"/>
                <w:sz w:val="18"/>
              </w:rPr>
              <w:t> </w:t>
            </w:r>
            <w:r>
              <w:rPr>
                <w:rFonts w:ascii="Segoe UI"/>
                <w:color w:val="231F20"/>
                <w:sz w:val="18"/>
              </w:rPr>
              <w:t>research</w:t>
            </w:r>
            <w:r>
              <w:rPr>
                <w:rFonts w:ascii="Segoe UI"/>
                <w:color w:val="231F20"/>
                <w:spacing w:val="-5"/>
                <w:sz w:val="18"/>
              </w:rPr>
              <w:t> </w:t>
            </w:r>
            <w:r>
              <w:rPr>
                <w:rFonts w:ascii="Segoe UI"/>
                <w:color w:val="231F20"/>
                <w:sz w:val="18"/>
              </w:rPr>
              <w:t>or</w:t>
            </w:r>
            <w:r>
              <w:rPr>
                <w:rFonts w:ascii="Segoe UI"/>
                <w:color w:val="231F20"/>
                <w:spacing w:val="-4"/>
                <w:sz w:val="18"/>
              </w:rPr>
              <w:t> </w:t>
            </w:r>
            <w:r>
              <w:rPr>
                <w:rFonts w:ascii="Segoe UI"/>
                <w:color w:val="231F20"/>
                <w:sz w:val="18"/>
              </w:rPr>
              <w:t>evaluation</w:t>
            </w:r>
            <w:r>
              <w:rPr>
                <w:rFonts w:ascii="Segoe UI"/>
                <w:color w:val="231F20"/>
                <w:spacing w:val="-5"/>
                <w:sz w:val="18"/>
              </w:rPr>
              <w:t> </w:t>
            </w:r>
            <w:r>
              <w:rPr>
                <w:rFonts w:ascii="Segoe UI"/>
                <w:color w:val="231F20"/>
                <w:sz w:val="18"/>
              </w:rPr>
              <w:t>exists</w:t>
            </w:r>
            <w:r>
              <w:rPr>
                <w:rFonts w:ascii="Segoe UI"/>
                <w:color w:val="231F20"/>
                <w:spacing w:val="-5"/>
                <w:sz w:val="18"/>
              </w:rPr>
              <w:t> </w:t>
            </w:r>
            <w:r>
              <w:rPr>
                <w:rFonts w:ascii="Segoe UI"/>
                <w:color w:val="231F20"/>
                <w:sz w:val="18"/>
              </w:rPr>
              <w:t>on</w:t>
            </w:r>
            <w:r>
              <w:rPr>
                <w:rFonts w:ascii="Segoe UI"/>
                <w:color w:val="231F20"/>
                <w:spacing w:val="-5"/>
                <w:sz w:val="18"/>
              </w:rPr>
              <w:t> </w:t>
            </w:r>
            <w:r>
              <w:rPr>
                <w:rFonts w:ascii="Segoe UI"/>
                <w:color w:val="231F20"/>
                <w:sz w:val="18"/>
              </w:rPr>
              <w:t>the</w:t>
            </w:r>
            <w:r>
              <w:rPr>
                <w:rFonts w:ascii="Segoe UI"/>
                <w:color w:val="231F20"/>
                <w:spacing w:val="-5"/>
                <w:sz w:val="18"/>
              </w:rPr>
              <w:t> </w:t>
            </w:r>
            <w:r>
              <w:rPr>
                <w:rFonts w:ascii="Segoe UI"/>
                <w:color w:val="231F20"/>
                <w:sz w:val="18"/>
              </w:rPr>
              <w:t>travel</w:t>
            </w:r>
            <w:r>
              <w:rPr>
                <w:rFonts w:ascii="Segoe UI"/>
                <w:color w:val="231F20"/>
                <w:spacing w:val="21"/>
                <w:w w:val="99"/>
                <w:sz w:val="18"/>
              </w:rPr>
              <w:t> </w:t>
            </w:r>
            <w:r>
              <w:rPr>
                <w:rFonts w:ascii="Segoe UI"/>
                <w:color w:val="231F20"/>
                <w:sz w:val="18"/>
              </w:rPr>
              <w:t>experience</w:t>
            </w:r>
            <w:r>
              <w:rPr>
                <w:rFonts w:ascii="Segoe UI"/>
                <w:color w:val="231F20"/>
                <w:spacing w:val="-8"/>
                <w:sz w:val="18"/>
              </w:rPr>
              <w:t> </w:t>
            </w:r>
            <w:r>
              <w:rPr>
                <w:rFonts w:ascii="Segoe UI"/>
                <w:color w:val="231F20"/>
                <w:sz w:val="18"/>
              </w:rPr>
              <w:t>of</w:t>
            </w:r>
            <w:r>
              <w:rPr>
                <w:rFonts w:ascii="Segoe UI"/>
                <w:color w:val="231F20"/>
                <w:spacing w:val="-6"/>
                <w:sz w:val="18"/>
              </w:rPr>
              <w:t> </w:t>
            </w:r>
            <w:r>
              <w:rPr>
                <w:rFonts w:ascii="Segoe UI"/>
                <w:color w:val="231F20"/>
                <w:sz w:val="18"/>
              </w:rPr>
              <w:t>Aboriginal</w:t>
            </w:r>
            <w:r>
              <w:rPr>
                <w:rFonts w:ascii="Segoe UI"/>
                <w:color w:val="231F20"/>
                <w:spacing w:val="-6"/>
                <w:sz w:val="18"/>
              </w:rPr>
              <w:t> </w:t>
            </w:r>
            <w:r>
              <w:rPr>
                <w:rFonts w:ascii="Segoe UI"/>
                <w:color w:val="231F20"/>
                <w:sz w:val="18"/>
              </w:rPr>
              <w:t>and</w:t>
            </w:r>
            <w:r>
              <w:rPr>
                <w:rFonts w:ascii="Segoe UI"/>
                <w:color w:val="231F20"/>
                <w:spacing w:val="-8"/>
                <w:sz w:val="18"/>
              </w:rPr>
              <w:t> </w:t>
            </w:r>
            <w:r>
              <w:rPr>
                <w:rFonts w:ascii="Segoe UI"/>
                <w:color w:val="231F20"/>
                <w:spacing w:val="-3"/>
                <w:sz w:val="18"/>
              </w:rPr>
              <w:t>Torres</w:t>
            </w:r>
            <w:r>
              <w:rPr>
                <w:rFonts w:ascii="Segoe UI"/>
                <w:color w:val="231F20"/>
                <w:spacing w:val="-6"/>
                <w:sz w:val="18"/>
              </w:rPr>
              <w:t> </w:t>
            </w:r>
            <w:r>
              <w:rPr>
                <w:rFonts w:ascii="Segoe UI"/>
                <w:color w:val="231F20"/>
                <w:spacing w:val="-1"/>
                <w:sz w:val="18"/>
              </w:rPr>
              <w:t>Strait</w:t>
            </w:r>
            <w:r>
              <w:rPr>
                <w:rFonts w:ascii="Segoe UI"/>
                <w:color w:val="231F20"/>
                <w:spacing w:val="-7"/>
                <w:sz w:val="18"/>
              </w:rPr>
              <w:t> </w:t>
            </w:r>
            <w:r>
              <w:rPr>
                <w:rFonts w:ascii="Segoe UI"/>
                <w:color w:val="231F20"/>
                <w:spacing w:val="-1"/>
                <w:sz w:val="18"/>
              </w:rPr>
              <w:t>secondary</w:t>
            </w:r>
            <w:r>
              <w:rPr>
                <w:rFonts w:ascii="Segoe UI"/>
                <w:color w:val="231F20"/>
                <w:spacing w:val="20"/>
                <w:w w:val="99"/>
                <w:sz w:val="18"/>
              </w:rPr>
              <w:t> </w:t>
            </w:r>
            <w:r>
              <w:rPr>
                <w:rFonts w:ascii="Segoe UI"/>
                <w:color w:val="231F20"/>
                <w:spacing w:val="-1"/>
                <w:sz w:val="18"/>
              </w:rPr>
              <w:t>students</w:t>
            </w:r>
            <w:r>
              <w:rPr>
                <w:rFonts w:ascii="Segoe UI"/>
                <w:color w:val="231F20"/>
                <w:spacing w:val="-4"/>
                <w:sz w:val="18"/>
              </w:rPr>
              <w:t> </w:t>
            </w:r>
            <w:r>
              <w:rPr>
                <w:rFonts w:ascii="Segoe UI"/>
                <w:color w:val="231F20"/>
                <w:spacing w:val="-1"/>
                <w:sz w:val="18"/>
              </w:rPr>
              <w:t>studying</w:t>
            </w:r>
            <w:r>
              <w:rPr>
                <w:rFonts w:ascii="Segoe UI"/>
                <w:color w:val="231F20"/>
                <w:spacing w:val="-4"/>
                <w:sz w:val="18"/>
              </w:rPr>
              <w:t> </w:t>
            </w:r>
            <w:r>
              <w:rPr>
                <w:rFonts w:ascii="Segoe UI"/>
                <w:color w:val="231F20"/>
                <w:sz w:val="18"/>
              </w:rPr>
              <w:t>away</w:t>
            </w:r>
            <w:r>
              <w:rPr>
                <w:rFonts w:ascii="Segoe UI"/>
                <w:color w:val="231F20"/>
                <w:spacing w:val="-4"/>
                <w:sz w:val="18"/>
              </w:rPr>
              <w:t> </w:t>
            </w:r>
            <w:r>
              <w:rPr>
                <w:rFonts w:ascii="Segoe UI"/>
                <w:color w:val="231F20"/>
                <w:sz w:val="18"/>
              </w:rPr>
              <w:t>from</w:t>
            </w:r>
            <w:r>
              <w:rPr>
                <w:rFonts w:ascii="Segoe UI"/>
                <w:color w:val="231F20"/>
                <w:spacing w:val="-4"/>
                <w:sz w:val="18"/>
              </w:rPr>
              <w:t> </w:t>
            </w:r>
            <w:r>
              <w:rPr>
                <w:rFonts w:ascii="Segoe UI"/>
                <w:color w:val="231F20"/>
                <w:sz w:val="18"/>
              </w:rPr>
              <w:t>home</w:t>
            </w:r>
            <w:r>
              <w:rPr>
                <w:rFonts w:ascii="Segoe UI"/>
                <w:color w:val="231F20"/>
                <w:spacing w:val="-4"/>
                <w:sz w:val="18"/>
              </w:rPr>
              <w:t> </w:t>
            </w:r>
            <w:r>
              <w:rPr>
                <w:rFonts w:ascii="Segoe UI"/>
                <w:color w:val="231F20"/>
                <w:spacing w:val="-2"/>
                <w:sz w:val="18"/>
              </w:rPr>
              <w:t>(Study</w:t>
            </w:r>
            <w:r>
              <w:rPr>
                <w:rFonts w:ascii="Segoe UI"/>
                <w:color w:val="231F20"/>
                <w:spacing w:val="-5"/>
                <w:sz w:val="18"/>
              </w:rPr>
              <w:t> </w:t>
            </w:r>
            <w:r>
              <w:rPr>
                <w:rFonts w:ascii="Segoe UI"/>
                <w:color w:val="231F20"/>
                <w:spacing w:val="-1"/>
                <w:sz w:val="18"/>
              </w:rPr>
              <w:t>Away</w:t>
            </w:r>
            <w:r>
              <w:rPr>
                <w:rFonts w:ascii="Segoe UI"/>
                <w:color w:val="231F20"/>
                <w:spacing w:val="28"/>
                <w:w w:val="99"/>
                <w:sz w:val="18"/>
              </w:rPr>
              <w:t> </w:t>
            </w:r>
            <w:r>
              <w:rPr>
                <w:rFonts w:ascii="Segoe UI"/>
                <w:color w:val="231F20"/>
                <w:spacing w:val="-1"/>
                <w:sz w:val="18"/>
              </w:rPr>
              <w:t>Review)</w:t>
            </w:r>
            <w:r>
              <w:rPr>
                <w:rFonts w:ascii="Segoe UI"/>
                <w:sz w:val="18"/>
              </w:rPr>
            </w:r>
          </w:p>
          <w:p>
            <w:pPr>
              <w:pStyle w:val="TableParagraph"/>
              <w:spacing w:line="250" w:lineRule="auto" w:before="113"/>
              <w:ind w:left="108" w:right="629"/>
              <w:jc w:val="left"/>
              <w:rPr>
                <w:rFonts w:ascii="Segoe UI" w:hAnsi="Segoe UI" w:cs="Segoe UI" w:eastAsia="Segoe UI"/>
                <w:sz w:val="18"/>
                <w:szCs w:val="18"/>
              </w:rPr>
            </w:pPr>
            <w:r>
              <w:rPr>
                <w:rFonts w:ascii="Segoe UI"/>
                <w:color w:val="231F20"/>
                <w:sz w:val="18"/>
              </w:rPr>
              <w:t>Anecdotal</w:t>
            </w:r>
            <w:r>
              <w:rPr>
                <w:rFonts w:ascii="Segoe UI"/>
                <w:color w:val="231F20"/>
                <w:spacing w:val="-7"/>
                <w:sz w:val="18"/>
              </w:rPr>
              <w:t> </w:t>
            </w:r>
            <w:r>
              <w:rPr>
                <w:rFonts w:ascii="Segoe UI"/>
                <w:color w:val="231F20"/>
                <w:sz w:val="18"/>
              </w:rPr>
              <w:t>evidence</w:t>
            </w:r>
            <w:r>
              <w:rPr>
                <w:rFonts w:ascii="Segoe UI"/>
                <w:color w:val="231F20"/>
                <w:spacing w:val="-6"/>
                <w:sz w:val="18"/>
              </w:rPr>
              <w:t> </w:t>
            </w:r>
            <w:r>
              <w:rPr>
                <w:rFonts w:ascii="Segoe UI"/>
                <w:color w:val="231F20"/>
                <w:sz w:val="18"/>
              </w:rPr>
              <w:t>exists</w:t>
            </w:r>
            <w:r>
              <w:rPr>
                <w:rFonts w:ascii="Segoe UI"/>
                <w:color w:val="231F20"/>
                <w:spacing w:val="-7"/>
                <w:sz w:val="18"/>
              </w:rPr>
              <w:t> </w:t>
            </w:r>
            <w:r>
              <w:rPr>
                <w:rFonts w:ascii="Segoe UI"/>
                <w:color w:val="231F20"/>
                <w:sz w:val="18"/>
              </w:rPr>
              <w:t>concerning</w:t>
            </w:r>
            <w:r>
              <w:rPr>
                <w:rFonts w:ascii="Segoe UI"/>
                <w:color w:val="231F20"/>
                <w:spacing w:val="-7"/>
                <w:sz w:val="18"/>
              </w:rPr>
              <w:t> </w:t>
            </w:r>
            <w:r>
              <w:rPr>
                <w:rFonts w:ascii="Segoe UI"/>
                <w:color w:val="231F20"/>
                <w:spacing w:val="-1"/>
                <w:sz w:val="18"/>
              </w:rPr>
              <w:t>successful</w:t>
            </w:r>
            <w:r>
              <w:rPr>
                <w:rFonts w:ascii="Segoe UI"/>
                <w:color w:val="231F20"/>
                <w:spacing w:val="20"/>
                <w:sz w:val="18"/>
              </w:rPr>
              <w:t> </w:t>
            </w:r>
            <w:r>
              <w:rPr>
                <w:rFonts w:ascii="Segoe UI"/>
                <w:color w:val="231F20"/>
                <w:spacing w:val="-1"/>
                <w:sz w:val="18"/>
              </w:rPr>
              <w:t>initiatives</w:t>
            </w:r>
            <w:r>
              <w:rPr>
                <w:rFonts w:ascii="Segoe UI"/>
                <w:sz w:val="18"/>
              </w:rPr>
            </w:r>
          </w:p>
        </w:tc>
        <w:tc>
          <w:tcPr>
            <w:tcW w:w="115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45"/>
              <w:ind w:left="108" w:right="0"/>
              <w:jc w:val="left"/>
              <w:rPr>
                <w:rFonts w:ascii="Segoe UI" w:hAnsi="Segoe UI" w:cs="Segoe UI" w:eastAsia="Segoe UI"/>
                <w:sz w:val="18"/>
                <w:szCs w:val="18"/>
              </w:rPr>
            </w:pPr>
            <w:r>
              <w:rPr>
                <w:rFonts w:ascii="Segoe UI"/>
                <w:color w:val="231F20"/>
                <w:sz w:val="18"/>
              </w:rPr>
              <w:t>Unknown</w:t>
            </w:r>
            <w:r>
              <w:rPr>
                <w:rFonts w:ascii="Segoe UI"/>
                <w:sz w:val="18"/>
              </w:rPr>
            </w:r>
          </w:p>
        </w:tc>
      </w:tr>
      <w:tr>
        <w:trPr>
          <w:trHeight w:val="1721" w:hRule="exact"/>
        </w:trPr>
        <w:tc>
          <w:tcPr>
            <w:tcW w:w="3056" w:type="dxa"/>
            <w:tcBorders>
              <w:top w:val="single" w:sz="4" w:space="0" w:color="C1B5A9"/>
              <w:left w:val="single" w:sz="4" w:space="0" w:color="C1B5A9"/>
              <w:bottom w:val="single" w:sz="4" w:space="0" w:color="C1B5A9"/>
              <w:right w:val="single" w:sz="4" w:space="0" w:color="C1B5A9"/>
            </w:tcBorders>
            <w:shd w:val="clear" w:color="auto" w:fill="EFECE8"/>
          </w:tcPr>
          <w:p>
            <w:pPr>
              <w:pStyle w:val="TableParagraph"/>
              <w:spacing w:line="250" w:lineRule="auto" w:before="45"/>
              <w:ind w:left="108" w:right="578"/>
              <w:jc w:val="left"/>
              <w:rPr>
                <w:rFonts w:ascii="Segoe UI" w:hAnsi="Segoe UI" w:cs="Segoe UI" w:eastAsia="Segoe UI"/>
                <w:sz w:val="18"/>
                <w:szCs w:val="18"/>
              </w:rPr>
            </w:pPr>
            <w:r>
              <w:rPr>
                <w:rFonts w:ascii="Segoe UI"/>
                <w:color w:val="231F20"/>
                <w:spacing w:val="-1"/>
                <w:sz w:val="18"/>
              </w:rPr>
              <w:t>Investment</w:t>
            </w:r>
            <w:r>
              <w:rPr>
                <w:rFonts w:ascii="Segoe UI"/>
                <w:color w:val="231F20"/>
                <w:spacing w:val="-2"/>
                <w:sz w:val="18"/>
              </w:rPr>
              <w:t> </w:t>
            </w:r>
            <w:r>
              <w:rPr>
                <w:rFonts w:ascii="Segoe UI"/>
                <w:color w:val="231F20"/>
                <w:spacing w:val="-1"/>
                <w:sz w:val="18"/>
              </w:rPr>
              <w:t>in </w:t>
            </w:r>
            <w:r>
              <w:rPr>
                <w:rFonts w:ascii="Segoe UI"/>
                <w:color w:val="231F20"/>
                <w:sz w:val="18"/>
              </w:rPr>
              <w:t>travel</w:t>
            </w:r>
            <w:r>
              <w:rPr>
                <w:rFonts w:ascii="Segoe UI"/>
                <w:color w:val="231F20"/>
                <w:spacing w:val="-3"/>
                <w:sz w:val="18"/>
              </w:rPr>
              <w:t> </w:t>
            </w:r>
            <w:r>
              <w:rPr>
                <w:rFonts w:ascii="Segoe UI"/>
                <w:color w:val="231F20"/>
                <w:spacing w:val="-1"/>
                <w:sz w:val="18"/>
              </w:rPr>
              <w:t>initiatives</w:t>
            </w:r>
            <w:r>
              <w:rPr>
                <w:rFonts w:ascii="Segoe UI"/>
                <w:color w:val="231F20"/>
                <w:spacing w:val="22"/>
                <w:sz w:val="18"/>
              </w:rPr>
              <w:t> </w:t>
            </w:r>
            <w:r>
              <w:rPr>
                <w:rFonts w:ascii="Segoe UI"/>
                <w:color w:val="231F20"/>
                <w:sz w:val="18"/>
              </w:rPr>
              <w:t>for</w:t>
            </w:r>
            <w:r>
              <w:rPr>
                <w:rFonts w:ascii="Segoe UI"/>
                <w:color w:val="231F20"/>
                <w:spacing w:val="-7"/>
                <w:sz w:val="18"/>
              </w:rPr>
              <w:t> </w:t>
            </w:r>
            <w:r>
              <w:rPr>
                <w:rFonts w:ascii="Segoe UI"/>
                <w:color w:val="231F20"/>
                <w:sz w:val="18"/>
              </w:rPr>
              <w:t>boarding</w:t>
            </w:r>
            <w:r>
              <w:rPr>
                <w:rFonts w:ascii="Segoe UI"/>
                <w:color w:val="231F20"/>
                <w:spacing w:val="-8"/>
                <w:sz w:val="18"/>
              </w:rPr>
              <w:t> </w:t>
            </w:r>
            <w:r>
              <w:rPr>
                <w:rFonts w:ascii="Segoe UI"/>
                <w:color w:val="231F20"/>
                <w:sz w:val="18"/>
              </w:rPr>
              <w:t>contributes</w:t>
            </w:r>
            <w:r>
              <w:rPr>
                <w:rFonts w:ascii="Segoe UI"/>
                <w:color w:val="231F20"/>
                <w:spacing w:val="-8"/>
                <w:sz w:val="18"/>
              </w:rPr>
              <w:t> </w:t>
            </w:r>
            <w:r>
              <w:rPr>
                <w:rFonts w:ascii="Segoe UI"/>
                <w:color w:val="231F20"/>
                <w:sz w:val="18"/>
              </w:rPr>
              <w:t>to</w:t>
            </w:r>
            <w:r>
              <w:rPr>
                <w:rFonts w:ascii="Segoe UI"/>
                <w:color w:val="231F20"/>
                <w:w w:val="99"/>
                <w:sz w:val="18"/>
              </w:rPr>
              <w:t> </w:t>
            </w:r>
            <w:r>
              <w:rPr>
                <w:rFonts w:ascii="Segoe UI"/>
                <w:color w:val="231F20"/>
                <w:spacing w:val="-1"/>
                <w:sz w:val="18"/>
              </w:rPr>
              <w:t>increased</w:t>
            </w:r>
            <w:r>
              <w:rPr>
                <w:rFonts w:ascii="Segoe UI"/>
                <w:color w:val="231F20"/>
                <w:spacing w:val="-9"/>
                <w:sz w:val="18"/>
              </w:rPr>
              <w:t> </w:t>
            </w:r>
            <w:r>
              <w:rPr>
                <w:rFonts w:ascii="Segoe UI"/>
                <w:color w:val="231F20"/>
                <w:spacing w:val="-1"/>
                <w:sz w:val="18"/>
              </w:rPr>
              <w:t>school</w:t>
            </w:r>
            <w:r>
              <w:rPr>
                <w:rFonts w:ascii="Segoe UI"/>
                <w:color w:val="231F20"/>
                <w:spacing w:val="-8"/>
                <w:sz w:val="18"/>
              </w:rPr>
              <w:t> </w:t>
            </w:r>
            <w:r>
              <w:rPr>
                <w:rFonts w:ascii="Segoe UI"/>
                <w:color w:val="231F20"/>
                <w:sz w:val="18"/>
              </w:rPr>
              <w:t>attendance</w:t>
            </w:r>
            <w:r>
              <w:rPr>
                <w:rFonts w:ascii="Segoe UI"/>
                <w:sz w:val="18"/>
              </w:rPr>
            </w:r>
          </w:p>
        </w:tc>
        <w:tc>
          <w:tcPr>
            <w:tcW w:w="4564" w:type="dxa"/>
            <w:tcBorders>
              <w:top w:val="single" w:sz="4" w:space="0" w:color="C1B5A9"/>
              <w:left w:val="single" w:sz="4" w:space="0" w:color="C1B5A9"/>
              <w:bottom w:val="single" w:sz="4" w:space="0" w:color="C1B5A9"/>
              <w:right w:val="single" w:sz="4" w:space="0" w:color="C1B5A9"/>
            </w:tcBorders>
            <w:shd w:val="clear" w:color="auto" w:fill="EFECE8"/>
          </w:tcPr>
          <w:p>
            <w:pPr>
              <w:pStyle w:val="TableParagraph"/>
              <w:spacing w:line="250" w:lineRule="auto" w:before="45"/>
              <w:ind w:left="108" w:right="286"/>
              <w:jc w:val="left"/>
              <w:rPr>
                <w:rFonts w:ascii="Segoe UI" w:hAnsi="Segoe UI" w:cs="Segoe UI" w:eastAsia="Segoe UI"/>
                <w:sz w:val="18"/>
                <w:szCs w:val="18"/>
              </w:rPr>
            </w:pPr>
            <w:r>
              <w:rPr>
                <w:rFonts w:ascii="Segoe UI"/>
                <w:color w:val="231F20"/>
                <w:sz w:val="18"/>
              </w:rPr>
              <w:t>No</w:t>
            </w:r>
            <w:r>
              <w:rPr>
                <w:rFonts w:ascii="Segoe UI"/>
                <w:color w:val="231F20"/>
                <w:spacing w:val="-5"/>
                <w:sz w:val="18"/>
              </w:rPr>
              <w:t> </w:t>
            </w:r>
            <w:r>
              <w:rPr>
                <w:rFonts w:ascii="Segoe UI"/>
                <w:color w:val="231F20"/>
                <w:spacing w:val="-1"/>
                <w:sz w:val="18"/>
              </w:rPr>
              <w:t>known</w:t>
            </w:r>
            <w:r>
              <w:rPr>
                <w:rFonts w:ascii="Segoe UI"/>
                <w:color w:val="231F20"/>
                <w:spacing w:val="-4"/>
                <w:sz w:val="18"/>
              </w:rPr>
              <w:t> </w:t>
            </w:r>
            <w:r>
              <w:rPr>
                <w:rFonts w:ascii="Segoe UI"/>
                <w:color w:val="231F20"/>
                <w:sz w:val="18"/>
              </w:rPr>
              <w:t>research</w:t>
            </w:r>
            <w:r>
              <w:rPr>
                <w:rFonts w:ascii="Segoe UI"/>
                <w:color w:val="231F20"/>
                <w:spacing w:val="-5"/>
                <w:sz w:val="18"/>
              </w:rPr>
              <w:t> </w:t>
            </w:r>
            <w:r>
              <w:rPr>
                <w:rFonts w:ascii="Segoe UI"/>
                <w:color w:val="231F20"/>
                <w:sz w:val="18"/>
              </w:rPr>
              <w:t>or</w:t>
            </w:r>
            <w:r>
              <w:rPr>
                <w:rFonts w:ascii="Segoe UI"/>
                <w:color w:val="231F20"/>
                <w:spacing w:val="-4"/>
                <w:sz w:val="18"/>
              </w:rPr>
              <w:t> </w:t>
            </w:r>
            <w:r>
              <w:rPr>
                <w:rFonts w:ascii="Segoe UI"/>
                <w:color w:val="231F20"/>
                <w:sz w:val="18"/>
              </w:rPr>
              <w:t>evaluation</w:t>
            </w:r>
            <w:r>
              <w:rPr>
                <w:rFonts w:ascii="Segoe UI"/>
                <w:color w:val="231F20"/>
                <w:spacing w:val="-5"/>
                <w:sz w:val="18"/>
              </w:rPr>
              <w:t> </w:t>
            </w:r>
            <w:r>
              <w:rPr>
                <w:rFonts w:ascii="Segoe UI"/>
                <w:color w:val="231F20"/>
                <w:sz w:val="18"/>
              </w:rPr>
              <w:t>exists</w:t>
            </w:r>
            <w:r>
              <w:rPr>
                <w:rFonts w:ascii="Segoe UI"/>
                <w:color w:val="231F20"/>
                <w:spacing w:val="-5"/>
                <w:sz w:val="18"/>
              </w:rPr>
              <w:t> </w:t>
            </w:r>
            <w:r>
              <w:rPr>
                <w:rFonts w:ascii="Segoe UI"/>
                <w:color w:val="231F20"/>
                <w:sz w:val="18"/>
              </w:rPr>
              <w:t>on</w:t>
            </w:r>
            <w:r>
              <w:rPr>
                <w:rFonts w:ascii="Segoe UI"/>
                <w:color w:val="231F20"/>
                <w:spacing w:val="-5"/>
                <w:sz w:val="18"/>
              </w:rPr>
              <w:t> </w:t>
            </w:r>
            <w:r>
              <w:rPr>
                <w:rFonts w:ascii="Segoe UI"/>
                <w:color w:val="231F20"/>
                <w:sz w:val="18"/>
              </w:rPr>
              <w:t>the</w:t>
            </w:r>
            <w:r>
              <w:rPr>
                <w:rFonts w:ascii="Segoe UI"/>
                <w:color w:val="231F20"/>
                <w:spacing w:val="-5"/>
                <w:sz w:val="18"/>
              </w:rPr>
              <w:t> </w:t>
            </w:r>
            <w:r>
              <w:rPr>
                <w:rFonts w:ascii="Segoe UI"/>
                <w:color w:val="231F20"/>
                <w:sz w:val="18"/>
              </w:rPr>
              <w:t>travel</w:t>
            </w:r>
            <w:r>
              <w:rPr>
                <w:rFonts w:ascii="Segoe UI"/>
                <w:color w:val="231F20"/>
                <w:spacing w:val="21"/>
                <w:w w:val="99"/>
                <w:sz w:val="18"/>
              </w:rPr>
              <w:t> </w:t>
            </w:r>
            <w:r>
              <w:rPr>
                <w:rFonts w:ascii="Segoe UI"/>
                <w:color w:val="231F20"/>
                <w:sz w:val="18"/>
              </w:rPr>
              <w:t>experience</w:t>
            </w:r>
            <w:r>
              <w:rPr>
                <w:rFonts w:ascii="Segoe UI"/>
                <w:color w:val="231F20"/>
                <w:spacing w:val="-8"/>
                <w:sz w:val="18"/>
              </w:rPr>
              <w:t> </w:t>
            </w:r>
            <w:r>
              <w:rPr>
                <w:rFonts w:ascii="Segoe UI"/>
                <w:color w:val="231F20"/>
                <w:sz w:val="18"/>
              </w:rPr>
              <w:t>of</w:t>
            </w:r>
            <w:r>
              <w:rPr>
                <w:rFonts w:ascii="Segoe UI"/>
                <w:color w:val="231F20"/>
                <w:spacing w:val="-6"/>
                <w:sz w:val="18"/>
              </w:rPr>
              <w:t> </w:t>
            </w:r>
            <w:r>
              <w:rPr>
                <w:rFonts w:ascii="Segoe UI"/>
                <w:color w:val="231F20"/>
                <w:sz w:val="18"/>
              </w:rPr>
              <w:t>Aboriginal</w:t>
            </w:r>
            <w:r>
              <w:rPr>
                <w:rFonts w:ascii="Segoe UI"/>
                <w:color w:val="231F20"/>
                <w:spacing w:val="-6"/>
                <w:sz w:val="18"/>
              </w:rPr>
              <w:t> </w:t>
            </w:r>
            <w:r>
              <w:rPr>
                <w:rFonts w:ascii="Segoe UI"/>
                <w:color w:val="231F20"/>
                <w:sz w:val="18"/>
              </w:rPr>
              <w:t>and</w:t>
            </w:r>
            <w:r>
              <w:rPr>
                <w:rFonts w:ascii="Segoe UI"/>
                <w:color w:val="231F20"/>
                <w:spacing w:val="-8"/>
                <w:sz w:val="18"/>
              </w:rPr>
              <w:t> </w:t>
            </w:r>
            <w:r>
              <w:rPr>
                <w:rFonts w:ascii="Segoe UI"/>
                <w:color w:val="231F20"/>
                <w:spacing w:val="-3"/>
                <w:sz w:val="18"/>
              </w:rPr>
              <w:t>Torres</w:t>
            </w:r>
            <w:r>
              <w:rPr>
                <w:rFonts w:ascii="Segoe UI"/>
                <w:color w:val="231F20"/>
                <w:spacing w:val="-6"/>
                <w:sz w:val="18"/>
              </w:rPr>
              <w:t> </w:t>
            </w:r>
            <w:r>
              <w:rPr>
                <w:rFonts w:ascii="Segoe UI"/>
                <w:color w:val="231F20"/>
                <w:spacing w:val="-1"/>
                <w:sz w:val="18"/>
              </w:rPr>
              <w:t>Strait</w:t>
            </w:r>
            <w:r>
              <w:rPr>
                <w:rFonts w:ascii="Segoe UI"/>
                <w:color w:val="231F20"/>
                <w:spacing w:val="-7"/>
                <w:sz w:val="18"/>
              </w:rPr>
              <w:t> </w:t>
            </w:r>
            <w:r>
              <w:rPr>
                <w:rFonts w:ascii="Segoe UI"/>
                <w:color w:val="231F20"/>
                <w:spacing w:val="-1"/>
                <w:sz w:val="18"/>
              </w:rPr>
              <w:t>secondary</w:t>
            </w:r>
            <w:r>
              <w:rPr>
                <w:rFonts w:ascii="Segoe UI"/>
                <w:color w:val="231F20"/>
                <w:spacing w:val="20"/>
                <w:w w:val="99"/>
                <w:sz w:val="18"/>
              </w:rPr>
              <w:t> </w:t>
            </w:r>
            <w:r>
              <w:rPr>
                <w:rFonts w:ascii="Segoe UI"/>
                <w:color w:val="231F20"/>
                <w:spacing w:val="-1"/>
                <w:sz w:val="18"/>
              </w:rPr>
              <w:t>students</w:t>
            </w:r>
            <w:r>
              <w:rPr>
                <w:rFonts w:ascii="Segoe UI"/>
                <w:color w:val="231F20"/>
                <w:spacing w:val="-4"/>
                <w:sz w:val="18"/>
              </w:rPr>
              <w:t> </w:t>
            </w:r>
            <w:r>
              <w:rPr>
                <w:rFonts w:ascii="Segoe UI"/>
                <w:color w:val="231F20"/>
                <w:spacing w:val="-1"/>
                <w:sz w:val="18"/>
              </w:rPr>
              <w:t>studying</w:t>
            </w:r>
            <w:r>
              <w:rPr>
                <w:rFonts w:ascii="Segoe UI"/>
                <w:color w:val="231F20"/>
                <w:spacing w:val="-4"/>
                <w:sz w:val="18"/>
              </w:rPr>
              <w:t> </w:t>
            </w:r>
            <w:r>
              <w:rPr>
                <w:rFonts w:ascii="Segoe UI"/>
                <w:color w:val="231F20"/>
                <w:sz w:val="18"/>
              </w:rPr>
              <w:t>away</w:t>
            </w:r>
            <w:r>
              <w:rPr>
                <w:rFonts w:ascii="Segoe UI"/>
                <w:color w:val="231F20"/>
                <w:spacing w:val="-4"/>
                <w:sz w:val="18"/>
              </w:rPr>
              <w:t> </w:t>
            </w:r>
            <w:r>
              <w:rPr>
                <w:rFonts w:ascii="Segoe UI"/>
                <w:color w:val="231F20"/>
                <w:sz w:val="18"/>
              </w:rPr>
              <w:t>from</w:t>
            </w:r>
            <w:r>
              <w:rPr>
                <w:rFonts w:ascii="Segoe UI"/>
                <w:color w:val="231F20"/>
                <w:spacing w:val="-4"/>
                <w:sz w:val="18"/>
              </w:rPr>
              <w:t> </w:t>
            </w:r>
            <w:r>
              <w:rPr>
                <w:rFonts w:ascii="Segoe UI"/>
                <w:color w:val="231F20"/>
                <w:sz w:val="18"/>
              </w:rPr>
              <w:t>home</w:t>
            </w:r>
            <w:r>
              <w:rPr>
                <w:rFonts w:ascii="Segoe UI"/>
                <w:color w:val="231F20"/>
                <w:spacing w:val="-4"/>
                <w:sz w:val="18"/>
              </w:rPr>
              <w:t> </w:t>
            </w:r>
            <w:r>
              <w:rPr>
                <w:rFonts w:ascii="Segoe UI"/>
                <w:color w:val="231F20"/>
                <w:spacing w:val="-2"/>
                <w:sz w:val="18"/>
              </w:rPr>
              <w:t>(Study</w:t>
            </w:r>
            <w:r>
              <w:rPr>
                <w:rFonts w:ascii="Segoe UI"/>
                <w:color w:val="231F20"/>
                <w:spacing w:val="-5"/>
                <w:sz w:val="18"/>
              </w:rPr>
              <w:t> </w:t>
            </w:r>
            <w:r>
              <w:rPr>
                <w:rFonts w:ascii="Segoe UI"/>
                <w:color w:val="231F20"/>
                <w:spacing w:val="-1"/>
                <w:sz w:val="18"/>
              </w:rPr>
              <w:t>Away</w:t>
            </w:r>
            <w:r>
              <w:rPr>
                <w:rFonts w:ascii="Segoe UI"/>
                <w:color w:val="231F20"/>
                <w:spacing w:val="28"/>
                <w:w w:val="99"/>
                <w:sz w:val="18"/>
              </w:rPr>
              <w:t> </w:t>
            </w:r>
            <w:r>
              <w:rPr>
                <w:rFonts w:ascii="Segoe UI"/>
                <w:color w:val="231F20"/>
                <w:spacing w:val="-1"/>
                <w:sz w:val="18"/>
              </w:rPr>
              <w:t>Review)</w:t>
            </w:r>
            <w:r>
              <w:rPr>
                <w:rFonts w:ascii="Segoe UI"/>
                <w:sz w:val="18"/>
              </w:rPr>
            </w:r>
          </w:p>
          <w:p>
            <w:pPr>
              <w:pStyle w:val="TableParagraph"/>
              <w:spacing w:line="250" w:lineRule="auto" w:before="113"/>
              <w:ind w:left="108" w:right="629"/>
              <w:jc w:val="left"/>
              <w:rPr>
                <w:rFonts w:ascii="Segoe UI" w:hAnsi="Segoe UI" w:cs="Segoe UI" w:eastAsia="Segoe UI"/>
                <w:sz w:val="18"/>
                <w:szCs w:val="18"/>
              </w:rPr>
            </w:pPr>
            <w:r>
              <w:rPr>
                <w:rFonts w:ascii="Segoe UI"/>
                <w:color w:val="231F20"/>
                <w:sz w:val="18"/>
              </w:rPr>
              <w:t>Anecdotal</w:t>
            </w:r>
            <w:r>
              <w:rPr>
                <w:rFonts w:ascii="Segoe UI"/>
                <w:color w:val="231F20"/>
                <w:spacing w:val="-7"/>
                <w:sz w:val="18"/>
              </w:rPr>
              <w:t> </w:t>
            </w:r>
            <w:r>
              <w:rPr>
                <w:rFonts w:ascii="Segoe UI"/>
                <w:color w:val="231F20"/>
                <w:sz w:val="18"/>
              </w:rPr>
              <w:t>evidence</w:t>
            </w:r>
            <w:r>
              <w:rPr>
                <w:rFonts w:ascii="Segoe UI"/>
                <w:color w:val="231F20"/>
                <w:spacing w:val="-6"/>
                <w:sz w:val="18"/>
              </w:rPr>
              <w:t> </w:t>
            </w:r>
            <w:r>
              <w:rPr>
                <w:rFonts w:ascii="Segoe UI"/>
                <w:color w:val="231F20"/>
                <w:sz w:val="18"/>
              </w:rPr>
              <w:t>exists</w:t>
            </w:r>
            <w:r>
              <w:rPr>
                <w:rFonts w:ascii="Segoe UI"/>
                <w:color w:val="231F20"/>
                <w:spacing w:val="-7"/>
                <w:sz w:val="18"/>
              </w:rPr>
              <w:t> </w:t>
            </w:r>
            <w:r>
              <w:rPr>
                <w:rFonts w:ascii="Segoe UI"/>
                <w:color w:val="231F20"/>
                <w:sz w:val="18"/>
              </w:rPr>
              <w:t>concerning</w:t>
            </w:r>
            <w:r>
              <w:rPr>
                <w:rFonts w:ascii="Segoe UI"/>
                <w:color w:val="231F20"/>
                <w:spacing w:val="-7"/>
                <w:sz w:val="18"/>
              </w:rPr>
              <w:t> </w:t>
            </w:r>
            <w:r>
              <w:rPr>
                <w:rFonts w:ascii="Segoe UI"/>
                <w:color w:val="231F20"/>
                <w:spacing w:val="-1"/>
                <w:sz w:val="18"/>
              </w:rPr>
              <w:t>successful</w:t>
            </w:r>
            <w:r>
              <w:rPr>
                <w:rFonts w:ascii="Segoe UI"/>
                <w:color w:val="231F20"/>
                <w:spacing w:val="20"/>
                <w:sz w:val="18"/>
              </w:rPr>
              <w:t> </w:t>
            </w:r>
            <w:r>
              <w:rPr>
                <w:rFonts w:ascii="Segoe UI"/>
                <w:color w:val="231F20"/>
                <w:spacing w:val="-1"/>
                <w:sz w:val="18"/>
              </w:rPr>
              <w:t>initiatives</w:t>
            </w:r>
            <w:r>
              <w:rPr>
                <w:rFonts w:ascii="Segoe UI"/>
                <w:sz w:val="18"/>
              </w:rPr>
            </w:r>
          </w:p>
        </w:tc>
        <w:tc>
          <w:tcPr>
            <w:tcW w:w="1157" w:type="dxa"/>
            <w:tcBorders>
              <w:top w:val="single" w:sz="4" w:space="0" w:color="C1B5A9"/>
              <w:left w:val="single" w:sz="4" w:space="0" w:color="C1B5A9"/>
              <w:bottom w:val="single" w:sz="4" w:space="0" w:color="C1B5A9"/>
              <w:right w:val="single" w:sz="4" w:space="0" w:color="C1B5A9"/>
            </w:tcBorders>
            <w:shd w:val="clear" w:color="auto" w:fill="EFECE8"/>
          </w:tcPr>
          <w:p>
            <w:pPr>
              <w:pStyle w:val="TableParagraph"/>
              <w:spacing w:line="240" w:lineRule="auto" w:before="45"/>
              <w:ind w:left="108" w:right="0"/>
              <w:jc w:val="left"/>
              <w:rPr>
                <w:rFonts w:ascii="Segoe UI" w:hAnsi="Segoe UI" w:cs="Segoe UI" w:eastAsia="Segoe UI"/>
                <w:sz w:val="18"/>
                <w:szCs w:val="18"/>
              </w:rPr>
            </w:pPr>
            <w:r>
              <w:rPr>
                <w:rFonts w:ascii="Segoe UI"/>
                <w:color w:val="231F20"/>
                <w:sz w:val="18"/>
              </w:rPr>
              <w:t>Unknown</w:t>
            </w:r>
            <w:r>
              <w:rPr>
                <w:rFonts w:ascii="Segoe UI"/>
                <w:sz w:val="18"/>
              </w:rPr>
            </w:r>
          </w:p>
        </w:tc>
      </w:tr>
      <w:tr>
        <w:trPr>
          <w:trHeight w:val="1721" w:hRule="exact"/>
        </w:trPr>
        <w:tc>
          <w:tcPr>
            <w:tcW w:w="3056" w:type="dxa"/>
            <w:tcBorders>
              <w:top w:val="single" w:sz="4" w:space="0" w:color="C1B5A9"/>
              <w:left w:val="single" w:sz="4" w:space="0" w:color="C1B5A9"/>
              <w:bottom w:val="single" w:sz="4" w:space="0" w:color="C1B5A9"/>
              <w:right w:val="single" w:sz="4" w:space="0" w:color="C1B5A9"/>
            </w:tcBorders>
          </w:tcPr>
          <w:p>
            <w:pPr>
              <w:pStyle w:val="TableParagraph"/>
              <w:spacing w:line="250" w:lineRule="auto" w:before="45"/>
              <w:ind w:left="108" w:right="248"/>
              <w:jc w:val="left"/>
              <w:rPr>
                <w:rFonts w:ascii="Segoe UI" w:hAnsi="Segoe UI" w:cs="Segoe UI" w:eastAsia="Segoe UI"/>
                <w:sz w:val="18"/>
                <w:szCs w:val="18"/>
              </w:rPr>
            </w:pPr>
            <w:r>
              <w:rPr>
                <w:rFonts w:ascii="Segoe UI"/>
                <w:color w:val="231F20"/>
                <w:spacing w:val="-1"/>
                <w:sz w:val="18"/>
              </w:rPr>
              <w:t>Investment in in-school </w:t>
            </w:r>
            <w:r>
              <w:rPr>
                <w:rFonts w:ascii="Segoe UI"/>
                <w:color w:val="231F20"/>
                <w:sz w:val="18"/>
              </w:rPr>
              <w:t>and</w:t>
            </w:r>
            <w:r>
              <w:rPr>
                <w:rFonts w:ascii="Segoe UI"/>
                <w:color w:val="231F20"/>
                <w:spacing w:val="24"/>
                <w:w w:val="99"/>
                <w:sz w:val="18"/>
              </w:rPr>
              <w:t> </w:t>
            </w:r>
            <w:r>
              <w:rPr>
                <w:rFonts w:ascii="Segoe UI"/>
                <w:color w:val="231F20"/>
                <w:sz w:val="18"/>
              </w:rPr>
              <w:t>accommodation</w:t>
            </w:r>
            <w:r>
              <w:rPr>
                <w:rFonts w:ascii="Segoe UI"/>
                <w:color w:val="231F20"/>
                <w:spacing w:val="-12"/>
                <w:sz w:val="18"/>
              </w:rPr>
              <w:t> </w:t>
            </w:r>
            <w:r>
              <w:rPr>
                <w:rFonts w:ascii="Segoe UI"/>
                <w:color w:val="231F20"/>
                <w:spacing w:val="-1"/>
                <w:sz w:val="18"/>
              </w:rPr>
              <w:t>support</w:t>
            </w:r>
            <w:r>
              <w:rPr>
                <w:rFonts w:ascii="Segoe UI"/>
                <w:color w:val="231F20"/>
                <w:spacing w:val="-11"/>
                <w:sz w:val="18"/>
              </w:rPr>
              <w:t> </w:t>
            </w:r>
            <w:r>
              <w:rPr>
                <w:rFonts w:ascii="Segoe UI"/>
                <w:color w:val="231F20"/>
                <w:sz w:val="18"/>
              </w:rPr>
              <w:t>for</w:t>
            </w:r>
            <w:r>
              <w:rPr>
                <w:rFonts w:ascii="Segoe UI"/>
                <w:color w:val="231F20"/>
                <w:spacing w:val="22"/>
                <w:w w:val="99"/>
                <w:sz w:val="18"/>
              </w:rPr>
              <w:t> </w:t>
            </w:r>
            <w:r>
              <w:rPr>
                <w:rFonts w:ascii="Segoe UI"/>
                <w:color w:val="231F20"/>
                <w:sz w:val="18"/>
              </w:rPr>
              <w:t>boarding</w:t>
            </w:r>
            <w:r>
              <w:rPr>
                <w:rFonts w:ascii="Segoe UI"/>
                <w:color w:val="231F20"/>
                <w:spacing w:val="-10"/>
                <w:sz w:val="18"/>
              </w:rPr>
              <w:t> </w:t>
            </w:r>
            <w:r>
              <w:rPr>
                <w:rFonts w:ascii="Segoe UI"/>
                <w:color w:val="231F20"/>
                <w:sz w:val="18"/>
              </w:rPr>
              <w:t>contributes</w:t>
            </w:r>
            <w:r>
              <w:rPr>
                <w:rFonts w:ascii="Segoe UI"/>
                <w:color w:val="231F20"/>
                <w:spacing w:val="-9"/>
                <w:sz w:val="18"/>
              </w:rPr>
              <w:t> </w:t>
            </w:r>
            <w:r>
              <w:rPr>
                <w:rFonts w:ascii="Segoe UI"/>
                <w:color w:val="231F20"/>
                <w:sz w:val="18"/>
              </w:rPr>
              <w:t>to</w:t>
            </w:r>
            <w:r>
              <w:rPr>
                <w:rFonts w:ascii="Segoe UI"/>
                <w:color w:val="231F20"/>
                <w:spacing w:val="-9"/>
                <w:sz w:val="18"/>
              </w:rPr>
              <w:t> </w:t>
            </w:r>
            <w:r>
              <w:rPr>
                <w:rFonts w:ascii="Segoe UI"/>
                <w:color w:val="231F20"/>
                <w:spacing w:val="-1"/>
                <w:sz w:val="18"/>
              </w:rPr>
              <w:t>increased</w:t>
            </w:r>
            <w:r>
              <w:rPr>
                <w:rFonts w:ascii="Segoe UI"/>
                <w:color w:val="231F20"/>
                <w:spacing w:val="20"/>
                <w:w w:val="99"/>
                <w:sz w:val="18"/>
              </w:rPr>
              <w:t> </w:t>
            </w:r>
            <w:r>
              <w:rPr>
                <w:rFonts w:ascii="Segoe UI"/>
                <w:color w:val="231F20"/>
                <w:spacing w:val="-1"/>
                <w:sz w:val="18"/>
              </w:rPr>
              <w:t>school</w:t>
            </w:r>
            <w:r>
              <w:rPr>
                <w:rFonts w:ascii="Segoe UI"/>
                <w:color w:val="231F20"/>
                <w:spacing w:val="-9"/>
                <w:sz w:val="18"/>
              </w:rPr>
              <w:t> </w:t>
            </w:r>
            <w:r>
              <w:rPr>
                <w:rFonts w:ascii="Segoe UI"/>
                <w:color w:val="231F20"/>
                <w:sz w:val="18"/>
              </w:rPr>
              <w:t>attendance</w:t>
            </w:r>
            <w:r>
              <w:rPr>
                <w:rFonts w:ascii="Segoe UI"/>
                <w:sz w:val="18"/>
              </w:rPr>
            </w:r>
          </w:p>
        </w:tc>
        <w:tc>
          <w:tcPr>
            <w:tcW w:w="4564" w:type="dxa"/>
            <w:tcBorders>
              <w:top w:val="single" w:sz="4" w:space="0" w:color="C1B5A9"/>
              <w:left w:val="single" w:sz="4" w:space="0" w:color="C1B5A9"/>
              <w:bottom w:val="single" w:sz="4" w:space="0" w:color="C1B5A9"/>
              <w:right w:val="single" w:sz="4" w:space="0" w:color="C1B5A9"/>
            </w:tcBorders>
          </w:tcPr>
          <w:p>
            <w:pPr>
              <w:pStyle w:val="TableParagraph"/>
              <w:spacing w:line="250" w:lineRule="auto" w:before="45"/>
              <w:ind w:left="108" w:right="184"/>
              <w:jc w:val="both"/>
              <w:rPr>
                <w:rFonts w:ascii="Segoe UI" w:hAnsi="Segoe UI" w:cs="Segoe UI" w:eastAsia="Segoe UI"/>
                <w:sz w:val="18"/>
                <w:szCs w:val="18"/>
              </w:rPr>
            </w:pPr>
            <w:r>
              <w:rPr>
                <w:rFonts w:ascii="Segoe UI"/>
                <w:color w:val="231F20"/>
                <w:sz w:val="18"/>
              </w:rPr>
              <w:t>No</w:t>
            </w:r>
            <w:r>
              <w:rPr>
                <w:rFonts w:ascii="Segoe UI"/>
                <w:color w:val="231F20"/>
                <w:spacing w:val="-4"/>
                <w:sz w:val="18"/>
              </w:rPr>
              <w:t> </w:t>
            </w:r>
            <w:r>
              <w:rPr>
                <w:rFonts w:ascii="Segoe UI"/>
                <w:color w:val="231F20"/>
                <w:spacing w:val="-1"/>
                <w:sz w:val="18"/>
              </w:rPr>
              <w:t>known</w:t>
            </w:r>
            <w:r>
              <w:rPr>
                <w:rFonts w:ascii="Segoe UI"/>
                <w:color w:val="231F20"/>
                <w:spacing w:val="-4"/>
                <w:sz w:val="18"/>
              </w:rPr>
              <w:t> </w:t>
            </w:r>
            <w:r>
              <w:rPr>
                <w:rFonts w:ascii="Segoe UI"/>
                <w:color w:val="231F20"/>
                <w:sz w:val="18"/>
              </w:rPr>
              <w:t>research</w:t>
            </w:r>
            <w:r>
              <w:rPr>
                <w:rFonts w:ascii="Segoe UI"/>
                <w:color w:val="231F20"/>
                <w:spacing w:val="-5"/>
                <w:sz w:val="18"/>
              </w:rPr>
              <w:t> </w:t>
            </w:r>
            <w:r>
              <w:rPr>
                <w:rFonts w:ascii="Segoe UI"/>
                <w:color w:val="231F20"/>
                <w:sz w:val="18"/>
              </w:rPr>
              <w:t>or</w:t>
            </w:r>
            <w:r>
              <w:rPr>
                <w:rFonts w:ascii="Segoe UI"/>
                <w:color w:val="231F20"/>
                <w:spacing w:val="-4"/>
                <w:sz w:val="18"/>
              </w:rPr>
              <w:t> </w:t>
            </w:r>
            <w:r>
              <w:rPr>
                <w:rFonts w:ascii="Segoe UI"/>
                <w:color w:val="231F20"/>
                <w:sz w:val="18"/>
              </w:rPr>
              <w:t>evaluation</w:t>
            </w:r>
            <w:r>
              <w:rPr>
                <w:rFonts w:ascii="Segoe UI"/>
                <w:color w:val="231F20"/>
                <w:spacing w:val="-4"/>
                <w:sz w:val="18"/>
              </w:rPr>
              <w:t> </w:t>
            </w:r>
            <w:r>
              <w:rPr>
                <w:rFonts w:ascii="Segoe UI"/>
                <w:color w:val="231F20"/>
                <w:sz w:val="18"/>
              </w:rPr>
              <w:t>exists</w:t>
            </w:r>
            <w:r>
              <w:rPr>
                <w:rFonts w:ascii="Segoe UI"/>
                <w:color w:val="231F20"/>
                <w:spacing w:val="-5"/>
                <w:sz w:val="18"/>
              </w:rPr>
              <w:t> </w:t>
            </w:r>
            <w:r>
              <w:rPr>
                <w:rFonts w:ascii="Segoe UI"/>
                <w:color w:val="231F20"/>
                <w:sz w:val="18"/>
              </w:rPr>
              <w:t>on</w:t>
            </w:r>
            <w:r>
              <w:rPr>
                <w:rFonts w:ascii="Segoe UI"/>
                <w:color w:val="231F20"/>
                <w:spacing w:val="-4"/>
                <w:sz w:val="18"/>
              </w:rPr>
              <w:t> </w:t>
            </w:r>
            <w:r>
              <w:rPr>
                <w:rFonts w:ascii="Segoe UI"/>
                <w:color w:val="231F20"/>
                <w:sz w:val="18"/>
              </w:rPr>
              <w:t>the</w:t>
            </w:r>
            <w:r>
              <w:rPr>
                <w:rFonts w:ascii="Segoe UI"/>
                <w:color w:val="231F20"/>
                <w:spacing w:val="-5"/>
                <w:sz w:val="18"/>
              </w:rPr>
              <w:t> </w:t>
            </w:r>
            <w:r>
              <w:rPr>
                <w:rFonts w:ascii="Segoe UI"/>
                <w:color w:val="231F20"/>
                <w:spacing w:val="-1"/>
                <w:sz w:val="18"/>
              </w:rPr>
              <w:t>impact</w:t>
            </w:r>
            <w:r>
              <w:rPr>
                <w:rFonts w:ascii="Segoe UI"/>
                <w:color w:val="231F20"/>
                <w:spacing w:val="21"/>
                <w:w w:val="99"/>
                <w:sz w:val="18"/>
              </w:rPr>
              <w:t> </w:t>
            </w:r>
            <w:r>
              <w:rPr>
                <w:rFonts w:ascii="Segoe UI"/>
                <w:color w:val="231F20"/>
                <w:sz w:val="18"/>
              </w:rPr>
              <w:t>and</w:t>
            </w:r>
            <w:r>
              <w:rPr>
                <w:rFonts w:ascii="Segoe UI"/>
                <w:color w:val="231F20"/>
                <w:spacing w:val="-3"/>
                <w:sz w:val="18"/>
              </w:rPr>
              <w:t> </w:t>
            </w:r>
            <w:r>
              <w:rPr>
                <w:rFonts w:ascii="Segoe UI"/>
                <w:color w:val="231F20"/>
                <w:sz w:val="18"/>
              </w:rPr>
              <w:t>outcome</w:t>
            </w:r>
            <w:r>
              <w:rPr>
                <w:rFonts w:ascii="Segoe UI"/>
                <w:color w:val="231F20"/>
                <w:spacing w:val="-3"/>
                <w:sz w:val="18"/>
              </w:rPr>
              <w:t> </w:t>
            </w:r>
            <w:r>
              <w:rPr>
                <w:rFonts w:ascii="Segoe UI"/>
                <w:color w:val="231F20"/>
                <w:sz w:val="18"/>
              </w:rPr>
              <w:t>of</w:t>
            </w:r>
            <w:r>
              <w:rPr>
                <w:rFonts w:ascii="Segoe UI"/>
                <w:color w:val="231F20"/>
                <w:spacing w:val="-2"/>
                <w:sz w:val="18"/>
              </w:rPr>
              <w:t> </w:t>
            </w:r>
            <w:r>
              <w:rPr>
                <w:rFonts w:ascii="Segoe UI"/>
                <w:color w:val="231F20"/>
                <w:sz w:val="18"/>
              </w:rPr>
              <w:t>ABSTUDY</w:t>
            </w:r>
            <w:r>
              <w:rPr>
                <w:rFonts w:ascii="Segoe UI"/>
                <w:color w:val="231F20"/>
                <w:spacing w:val="-3"/>
                <w:sz w:val="18"/>
              </w:rPr>
              <w:t> </w:t>
            </w:r>
            <w:r>
              <w:rPr>
                <w:rFonts w:ascii="Segoe UI"/>
                <w:color w:val="231F20"/>
                <w:sz w:val="18"/>
              </w:rPr>
              <w:t>or</w:t>
            </w:r>
            <w:r>
              <w:rPr>
                <w:rFonts w:ascii="Segoe UI"/>
                <w:color w:val="231F20"/>
                <w:spacing w:val="-2"/>
                <w:sz w:val="18"/>
              </w:rPr>
              <w:t> </w:t>
            </w:r>
            <w:r>
              <w:rPr>
                <w:rFonts w:ascii="Segoe UI"/>
                <w:color w:val="231F20"/>
                <w:spacing w:val="-1"/>
                <w:sz w:val="18"/>
              </w:rPr>
              <w:t>scholarships </w:t>
            </w:r>
            <w:r>
              <w:rPr>
                <w:rFonts w:ascii="Segoe UI"/>
                <w:color w:val="231F20"/>
                <w:sz w:val="18"/>
              </w:rPr>
              <w:t>(Smith</w:t>
            </w:r>
            <w:r>
              <w:rPr>
                <w:rFonts w:ascii="Segoe UI"/>
                <w:color w:val="231F20"/>
                <w:spacing w:val="-3"/>
                <w:sz w:val="18"/>
              </w:rPr>
              <w:t> </w:t>
            </w:r>
            <w:r>
              <w:rPr>
                <w:rFonts w:ascii="Segoe UI"/>
                <w:color w:val="231F20"/>
                <w:sz w:val="18"/>
              </w:rPr>
              <w:t>et</w:t>
            </w:r>
            <w:r>
              <w:rPr>
                <w:rFonts w:ascii="Segoe UI"/>
                <w:color w:val="231F20"/>
                <w:spacing w:val="-2"/>
                <w:sz w:val="18"/>
              </w:rPr>
              <w:t> </w:t>
            </w:r>
            <w:r>
              <w:rPr>
                <w:rFonts w:ascii="Segoe UI"/>
                <w:color w:val="231F20"/>
                <w:sz w:val="18"/>
              </w:rPr>
              <w:t>al</w:t>
            </w:r>
            <w:r>
              <w:rPr>
                <w:rFonts w:ascii="Segoe UI"/>
                <w:color w:val="231F20"/>
                <w:spacing w:val="22"/>
                <w:w w:val="99"/>
                <w:sz w:val="18"/>
              </w:rPr>
              <w:t> </w:t>
            </w:r>
            <w:r>
              <w:rPr>
                <w:rFonts w:ascii="Segoe UI"/>
                <w:color w:val="231F20"/>
                <w:spacing w:val="-1"/>
                <w:sz w:val="18"/>
              </w:rPr>
              <w:t>2017,</w:t>
            </w:r>
            <w:r>
              <w:rPr>
                <w:rFonts w:ascii="Segoe UI"/>
                <w:color w:val="231F20"/>
                <w:spacing w:val="-3"/>
                <w:sz w:val="18"/>
              </w:rPr>
              <w:t> </w:t>
            </w:r>
            <w:r>
              <w:rPr>
                <w:rFonts w:ascii="Segoe UI"/>
                <w:color w:val="231F20"/>
                <w:spacing w:val="-1"/>
                <w:sz w:val="18"/>
              </w:rPr>
              <w:t>Rogers,</w:t>
            </w:r>
            <w:r>
              <w:rPr>
                <w:rFonts w:ascii="Segoe UI"/>
                <w:color w:val="231F20"/>
                <w:spacing w:val="-3"/>
                <w:sz w:val="18"/>
              </w:rPr>
              <w:t> </w:t>
            </w:r>
            <w:r>
              <w:rPr>
                <w:rFonts w:ascii="Segoe UI"/>
                <w:color w:val="231F20"/>
                <w:sz w:val="18"/>
              </w:rPr>
              <w:t>2017)</w:t>
            </w:r>
            <w:r>
              <w:rPr>
                <w:rFonts w:ascii="Segoe UI"/>
                <w:sz w:val="18"/>
              </w:rPr>
            </w:r>
          </w:p>
          <w:p>
            <w:pPr>
              <w:pStyle w:val="TableParagraph"/>
              <w:spacing w:line="250" w:lineRule="auto" w:before="113"/>
              <w:ind w:left="108" w:right="133"/>
              <w:jc w:val="left"/>
              <w:rPr>
                <w:rFonts w:ascii="Segoe UI" w:hAnsi="Segoe UI" w:cs="Segoe UI" w:eastAsia="Segoe UI"/>
                <w:sz w:val="18"/>
                <w:szCs w:val="18"/>
              </w:rPr>
            </w:pPr>
            <w:r>
              <w:rPr>
                <w:rFonts w:ascii="Segoe UI"/>
                <w:color w:val="231F20"/>
                <w:sz w:val="18"/>
              </w:rPr>
              <w:t>There</w:t>
            </w:r>
            <w:r>
              <w:rPr>
                <w:rFonts w:ascii="Segoe UI"/>
                <w:color w:val="231F20"/>
                <w:spacing w:val="-4"/>
                <w:sz w:val="18"/>
              </w:rPr>
              <w:t> </w:t>
            </w:r>
            <w:r>
              <w:rPr>
                <w:rFonts w:ascii="Segoe UI"/>
                <w:color w:val="231F20"/>
                <w:spacing w:val="-1"/>
                <w:sz w:val="18"/>
              </w:rPr>
              <w:t>is</w:t>
            </w:r>
            <w:r>
              <w:rPr>
                <w:rFonts w:ascii="Segoe UI"/>
                <w:color w:val="231F20"/>
                <w:spacing w:val="-4"/>
                <w:sz w:val="18"/>
              </w:rPr>
              <w:t> </w:t>
            </w:r>
            <w:r>
              <w:rPr>
                <w:rFonts w:ascii="Segoe UI"/>
                <w:color w:val="231F20"/>
                <w:sz w:val="18"/>
              </w:rPr>
              <w:t>a</w:t>
            </w:r>
            <w:r>
              <w:rPr>
                <w:rFonts w:ascii="Segoe UI"/>
                <w:color w:val="231F20"/>
                <w:spacing w:val="-4"/>
                <w:sz w:val="18"/>
              </w:rPr>
              <w:t> </w:t>
            </w:r>
            <w:r>
              <w:rPr>
                <w:rFonts w:ascii="Segoe UI"/>
                <w:color w:val="231F20"/>
                <w:sz w:val="18"/>
              </w:rPr>
              <w:t>growing</w:t>
            </w:r>
            <w:r>
              <w:rPr>
                <w:rFonts w:ascii="Segoe UI"/>
                <w:color w:val="231F20"/>
                <w:spacing w:val="-4"/>
                <w:sz w:val="18"/>
              </w:rPr>
              <w:t> </w:t>
            </w:r>
            <w:r>
              <w:rPr>
                <w:rFonts w:ascii="Segoe UI"/>
                <w:color w:val="231F20"/>
                <w:sz w:val="18"/>
              </w:rPr>
              <w:t>body</w:t>
            </w:r>
            <w:r>
              <w:rPr>
                <w:rFonts w:ascii="Segoe UI"/>
                <w:color w:val="231F20"/>
                <w:spacing w:val="-5"/>
                <w:sz w:val="18"/>
              </w:rPr>
              <w:t> </w:t>
            </w:r>
            <w:r>
              <w:rPr>
                <w:rFonts w:ascii="Segoe UI"/>
                <w:color w:val="231F20"/>
                <w:sz w:val="18"/>
              </w:rPr>
              <w:t>of</w:t>
            </w:r>
            <w:r>
              <w:rPr>
                <w:rFonts w:ascii="Segoe UI"/>
                <w:color w:val="231F20"/>
                <w:spacing w:val="-3"/>
                <w:sz w:val="18"/>
              </w:rPr>
              <w:t> </w:t>
            </w:r>
            <w:r>
              <w:rPr>
                <w:rFonts w:ascii="Segoe UI"/>
                <w:color w:val="231F20"/>
                <w:sz w:val="18"/>
              </w:rPr>
              <w:t>evidence</w:t>
            </w:r>
            <w:r>
              <w:rPr>
                <w:rFonts w:ascii="Segoe UI"/>
                <w:color w:val="231F20"/>
                <w:spacing w:val="-5"/>
                <w:sz w:val="18"/>
              </w:rPr>
              <w:t> </w:t>
            </w:r>
            <w:r>
              <w:rPr>
                <w:rFonts w:ascii="Segoe UI"/>
                <w:color w:val="231F20"/>
                <w:sz w:val="18"/>
              </w:rPr>
              <w:t>to</w:t>
            </w:r>
            <w:r>
              <w:rPr>
                <w:rFonts w:ascii="Segoe UI"/>
                <w:color w:val="231F20"/>
                <w:spacing w:val="-3"/>
                <w:sz w:val="18"/>
              </w:rPr>
              <w:t> </w:t>
            </w:r>
            <w:r>
              <w:rPr>
                <w:rFonts w:ascii="Segoe UI"/>
                <w:color w:val="231F20"/>
                <w:spacing w:val="-1"/>
                <w:sz w:val="18"/>
              </w:rPr>
              <w:t>suggest</w:t>
            </w:r>
            <w:r>
              <w:rPr>
                <w:rFonts w:ascii="Segoe UI"/>
                <w:color w:val="231F20"/>
                <w:spacing w:val="-4"/>
                <w:sz w:val="18"/>
              </w:rPr>
              <w:t> </w:t>
            </w:r>
            <w:r>
              <w:rPr>
                <w:rFonts w:ascii="Segoe UI"/>
                <w:color w:val="231F20"/>
                <w:sz w:val="18"/>
              </w:rPr>
              <w:t>health</w:t>
            </w:r>
            <w:r>
              <w:rPr>
                <w:rFonts w:ascii="Segoe UI"/>
                <w:color w:val="231F20"/>
                <w:spacing w:val="23"/>
                <w:w w:val="99"/>
                <w:sz w:val="18"/>
              </w:rPr>
              <w:t> </w:t>
            </w:r>
            <w:r>
              <w:rPr>
                <w:rFonts w:ascii="Segoe UI"/>
                <w:color w:val="231F20"/>
                <w:sz w:val="18"/>
              </w:rPr>
              <w:t>and</w:t>
            </w:r>
            <w:r>
              <w:rPr>
                <w:rFonts w:ascii="Segoe UI"/>
                <w:color w:val="231F20"/>
                <w:spacing w:val="-7"/>
                <w:sz w:val="18"/>
              </w:rPr>
              <w:t> </w:t>
            </w:r>
            <w:r>
              <w:rPr>
                <w:rFonts w:ascii="Segoe UI"/>
                <w:color w:val="231F20"/>
                <w:sz w:val="18"/>
              </w:rPr>
              <w:t>wellbeing</w:t>
            </w:r>
            <w:r>
              <w:rPr>
                <w:rFonts w:ascii="Segoe UI"/>
                <w:color w:val="231F20"/>
                <w:spacing w:val="-7"/>
                <w:sz w:val="18"/>
              </w:rPr>
              <w:t> </w:t>
            </w:r>
            <w:r>
              <w:rPr>
                <w:rFonts w:ascii="Segoe UI"/>
                <w:color w:val="231F20"/>
                <w:spacing w:val="-1"/>
                <w:sz w:val="18"/>
              </w:rPr>
              <w:t>initiatives</w:t>
            </w:r>
            <w:r>
              <w:rPr>
                <w:rFonts w:ascii="Segoe UI"/>
                <w:color w:val="231F20"/>
                <w:spacing w:val="-5"/>
                <w:sz w:val="18"/>
              </w:rPr>
              <w:t> </w:t>
            </w:r>
            <w:r>
              <w:rPr>
                <w:rFonts w:ascii="Segoe UI"/>
                <w:color w:val="231F20"/>
                <w:sz w:val="18"/>
              </w:rPr>
              <w:t>have</w:t>
            </w:r>
            <w:r>
              <w:rPr>
                <w:rFonts w:ascii="Segoe UI"/>
                <w:color w:val="231F20"/>
                <w:spacing w:val="-7"/>
                <w:sz w:val="18"/>
              </w:rPr>
              <w:t> </w:t>
            </w:r>
            <w:r>
              <w:rPr>
                <w:rFonts w:ascii="Segoe UI"/>
                <w:color w:val="231F20"/>
                <w:spacing w:val="-1"/>
                <w:sz w:val="18"/>
              </w:rPr>
              <w:t>improved</w:t>
            </w:r>
            <w:r>
              <w:rPr>
                <w:rFonts w:ascii="Segoe UI"/>
                <w:color w:val="231F20"/>
                <w:spacing w:val="-5"/>
                <w:sz w:val="18"/>
              </w:rPr>
              <w:t> </w:t>
            </w:r>
            <w:r>
              <w:rPr>
                <w:rFonts w:ascii="Segoe UI"/>
                <w:color w:val="231F20"/>
                <w:spacing w:val="-1"/>
                <w:sz w:val="18"/>
              </w:rPr>
              <w:t>student</w:t>
            </w:r>
            <w:r>
              <w:rPr>
                <w:rFonts w:ascii="Segoe UI"/>
                <w:color w:val="231F20"/>
                <w:spacing w:val="22"/>
                <w:w w:val="99"/>
                <w:sz w:val="18"/>
              </w:rPr>
              <w:t> </w:t>
            </w:r>
            <w:r>
              <w:rPr>
                <w:rFonts w:ascii="Segoe UI"/>
                <w:color w:val="231F20"/>
                <w:sz w:val="18"/>
              </w:rPr>
              <w:t>engagement</w:t>
            </w:r>
            <w:r>
              <w:rPr>
                <w:rFonts w:ascii="Segoe UI"/>
                <w:color w:val="231F20"/>
                <w:spacing w:val="-9"/>
                <w:sz w:val="18"/>
              </w:rPr>
              <w:t> </w:t>
            </w:r>
            <w:r>
              <w:rPr>
                <w:rFonts w:ascii="Segoe UI"/>
                <w:color w:val="231F20"/>
                <w:spacing w:val="-1"/>
                <w:sz w:val="18"/>
              </w:rPr>
              <w:t>(Study</w:t>
            </w:r>
            <w:r>
              <w:rPr>
                <w:rFonts w:ascii="Segoe UI"/>
                <w:color w:val="231F20"/>
                <w:spacing w:val="-8"/>
                <w:sz w:val="18"/>
              </w:rPr>
              <w:t> </w:t>
            </w:r>
            <w:r>
              <w:rPr>
                <w:rFonts w:ascii="Segoe UI"/>
                <w:color w:val="231F20"/>
                <w:spacing w:val="-1"/>
                <w:sz w:val="18"/>
              </w:rPr>
              <w:t>Away</w:t>
            </w:r>
            <w:r>
              <w:rPr>
                <w:rFonts w:ascii="Segoe UI"/>
                <w:color w:val="231F20"/>
                <w:spacing w:val="-8"/>
                <w:sz w:val="18"/>
              </w:rPr>
              <w:t> </w:t>
            </w:r>
            <w:r>
              <w:rPr>
                <w:rFonts w:ascii="Segoe UI"/>
                <w:color w:val="231F20"/>
                <w:spacing w:val="-1"/>
                <w:sz w:val="18"/>
              </w:rPr>
              <w:t>Review)</w:t>
            </w:r>
            <w:r>
              <w:rPr>
                <w:rFonts w:ascii="Segoe UI"/>
                <w:sz w:val="18"/>
              </w:rPr>
            </w:r>
          </w:p>
        </w:tc>
        <w:tc>
          <w:tcPr>
            <w:tcW w:w="115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45"/>
              <w:ind w:left="108" w:right="0"/>
              <w:jc w:val="left"/>
              <w:rPr>
                <w:rFonts w:ascii="Segoe UI" w:hAnsi="Segoe UI" w:cs="Segoe UI" w:eastAsia="Segoe UI"/>
                <w:sz w:val="18"/>
                <w:szCs w:val="18"/>
              </w:rPr>
            </w:pPr>
            <w:r>
              <w:rPr>
                <w:rFonts w:ascii="Segoe UI"/>
                <w:color w:val="231F20"/>
                <w:sz w:val="18"/>
              </w:rPr>
              <w:t>Low</w:t>
            </w:r>
            <w:r>
              <w:rPr>
                <w:rFonts w:ascii="Segoe UI"/>
                <w:sz w:val="18"/>
              </w:rPr>
            </w:r>
          </w:p>
        </w:tc>
      </w:tr>
    </w:tbl>
    <w:p>
      <w:pPr>
        <w:spacing w:line="240" w:lineRule="auto" w:before="5"/>
        <w:rPr>
          <w:rFonts w:ascii="Segoe UI Semibold" w:hAnsi="Segoe UI Semibold" w:cs="Segoe UI Semibold" w:eastAsia="Segoe UI Semibold"/>
          <w:b/>
          <w:bCs/>
          <w:sz w:val="16"/>
          <w:szCs w:val="16"/>
        </w:rPr>
      </w:pPr>
    </w:p>
    <w:p>
      <w:pPr>
        <w:spacing w:line="200" w:lineRule="atLeast"/>
        <w:ind w:left="115" w:right="0" w:firstLine="0"/>
        <w:rPr>
          <w:rFonts w:ascii="Segoe UI Semibold" w:hAnsi="Segoe UI Semibold" w:cs="Segoe UI Semibold" w:eastAsia="Segoe UI Semibold"/>
          <w:sz w:val="20"/>
          <w:szCs w:val="20"/>
        </w:rPr>
      </w:pPr>
      <w:r>
        <w:rPr>
          <w:rFonts w:ascii="Segoe UI Semibold" w:hAnsi="Segoe UI Semibold" w:cs="Segoe UI Semibold" w:eastAsia="Segoe UI Semibold"/>
          <w:sz w:val="20"/>
          <w:szCs w:val="20"/>
        </w:rPr>
        <w:drawing>
          <wp:inline distT="0" distB="0" distL="0" distR="0">
            <wp:extent cx="5511472" cy="942117"/>
            <wp:effectExtent l="0" t="0" r="0" b="0"/>
            <wp:docPr id="13" name="image13.jpeg" descr=""/>
            <wp:cNvGraphicFramePr>
              <a:graphicFrameLocks noChangeAspect="1"/>
            </wp:cNvGraphicFramePr>
            <a:graphic>
              <a:graphicData uri="http://schemas.openxmlformats.org/drawingml/2006/picture">
                <pic:pic>
                  <pic:nvPicPr>
                    <pic:cNvPr id="14" name="image13.jpeg"/>
                    <pic:cNvPicPr/>
                  </pic:nvPicPr>
                  <pic:blipFill>
                    <a:blip r:embed="rId32" cstate="print"/>
                    <a:stretch>
                      <a:fillRect/>
                    </a:stretch>
                  </pic:blipFill>
                  <pic:spPr>
                    <a:xfrm>
                      <a:off x="0" y="0"/>
                      <a:ext cx="5511472" cy="942117"/>
                    </a:xfrm>
                    <a:prstGeom prst="rect">
                      <a:avLst/>
                    </a:prstGeom>
                  </pic:spPr>
                </pic:pic>
              </a:graphicData>
            </a:graphic>
          </wp:inline>
        </w:drawing>
      </w:r>
      <w:r>
        <w:rPr>
          <w:rFonts w:ascii="Segoe UI Semibold" w:hAnsi="Segoe UI Semibold" w:cs="Segoe UI Semibold" w:eastAsia="Segoe UI Semibold"/>
          <w:sz w:val="20"/>
          <w:szCs w:val="20"/>
        </w:rPr>
      </w:r>
    </w:p>
    <w:p>
      <w:pPr>
        <w:spacing w:after="0" w:line="200" w:lineRule="atLeast"/>
        <w:rPr>
          <w:rFonts w:ascii="Segoe UI Semibold" w:hAnsi="Segoe UI Semibold" w:cs="Segoe UI Semibold" w:eastAsia="Segoe UI Semibold"/>
          <w:sz w:val="20"/>
          <w:szCs w:val="20"/>
        </w:rPr>
        <w:sectPr>
          <w:pgSz w:w="11910" w:h="16840"/>
          <w:pgMar w:header="0" w:footer="691" w:top="1580" w:bottom="880" w:left="1300" w:right="1600"/>
        </w:sectPr>
      </w:pPr>
    </w:p>
    <w:p>
      <w:pPr>
        <w:spacing w:line="240" w:lineRule="auto" w:before="0"/>
        <w:rPr>
          <w:rFonts w:ascii="Segoe UI Semibold" w:hAnsi="Segoe UI Semibold" w:cs="Segoe UI Semibold" w:eastAsia="Segoe UI Semibold"/>
          <w:b/>
          <w:bCs/>
          <w:sz w:val="20"/>
          <w:szCs w:val="20"/>
        </w:rPr>
      </w:pPr>
      <w:r>
        <w:rPr/>
        <w:pict>
          <v:group style="position:absolute;margin-left:86.039398pt;margin-top:733.850891pt;width:.1pt;height:.1pt;mso-position-horizontal-relative:page;mso-position-vertical-relative:page;z-index:-227896" coordorigin="1721,14677" coordsize="2,2">
            <v:shape style="position:absolute;left:1721;top:14677;width:2;height:2" coordorigin="1721,14677" coordsize="0,0" path="m1721,14677l1721,14677e" filled="false" stroked="true" strokeweight="2pt" strokecolor="#355f92">
              <v:path arrowok="t"/>
            </v:shape>
            <w10:wrap type="none"/>
          </v:group>
        </w:pict>
      </w:r>
      <w:r>
        <w:rPr/>
        <w:pict>
          <v:group style="position:absolute;margin-left:525.409424pt;margin-top:733.850891pt;width:.1pt;height:.1pt;mso-position-horizontal-relative:page;mso-position-vertical-relative:page;z-index:-227872" coordorigin="10508,14677" coordsize="2,2">
            <v:shape style="position:absolute;left:10508;top:14677;width:2;height:2" coordorigin="10508,14677" coordsize="0,0" path="m10508,14677l10508,14677e" filled="false" stroked="true" strokeweight="2pt" strokecolor="#355f92">
              <v:path arrowok="t"/>
            </v:shape>
            <w10:wrap type="none"/>
          </v:group>
        </w:pict>
      </w: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1"/>
        <w:rPr>
          <w:rFonts w:ascii="Segoe UI Semibold" w:hAnsi="Segoe UI Semibold" w:cs="Segoe UI Semibold" w:eastAsia="Segoe UI Semibold"/>
          <w:b/>
          <w:bCs/>
          <w:sz w:val="12"/>
          <w:szCs w:val="12"/>
        </w:rPr>
      </w:pPr>
    </w:p>
    <w:tbl>
      <w:tblPr>
        <w:tblW w:w="0" w:type="auto"/>
        <w:jc w:val="left"/>
        <w:tblInd w:w="100" w:type="dxa"/>
        <w:tblLayout w:type="fixed"/>
        <w:tblCellMar>
          <w:top w:w="0" w:type="dxa"/>
          <w:left w:w="0" w:type="dxa"/>
          <w:bottom w:w="0" w:type="dxa"/>
          <w:right w:w="0" w:type="dxa"/>
        </w:tblCellMar>
        <w:tblLook w:val="01E0"/>
      </w:tblPr>
      <w:tblGrid>
        <w:gridCol w:w="3056"/>
        <w:gridCol w:w="4564"/>
        <w:gridCol w:w="1157"/>
      </w:tblGrid>
      <w:tr>
        <w:trPr>
          <w:trHeight w:val="608" w:hRule="exact"/>
        </w:trPr>
        <w:tc>
          <w:tcPr>
            <w:tcW w:w="3056"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45"/>
              <w:ind w:left="108" w:right="0"/>
              <w:jc w:val="left"/>
              <w:rPr>
                <w:rFonts w:ascii="Segoe UI" w:hAnsi="Segoe UI" w:cs="Segoe UI" w:eastAsia="Segoe UI"/>
                <w:sz w:val="18"/>
                <w:szCs w:val="18"/>
              </w:rPr>
            </w:pPr>
            <w:r>
              <w:rPr>
                <w:rFonts w:ascii="Segoe UI"/>
                <w:color w:val="231F20"/>
                <w:sz w:val="18"/>
              </w:rPr>
              <w:t>Assumption</w:t>
            </w:r>
            <w:r>
              <w:rPr>
                <w:rFonts w:ascii="Segoe UI"/>
                <w:sz w:val="18"/>
              </w:rPr>
            </w:r>
          </w:p>
        </w:tc>
        <w:tc>
          <w:tcPr>
            <w:tcW w:w="4564"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45"/>
              <w:ind w:left="108" w:right="0"/>
              <w:jc w:val="left"/>
              <w:rPr>
                <w:rFonts w:ascii="Segoe UI" w:hAnsi="Segoe UI" w:cs="Segoe UI" w:eastAsia="Segoe UI"/>
                <w:sz w:val="18"/>
                <w:szCs w:val="18"/>
              </w:rPr>
            </w:pPr>
            <w:r>
              <w:rPr>
                <w:rFonts w:ascii="Segoe UI"/>
                <w:color w:val="231F20"/>
                <w:sz w:val="18"/>
              </w:rPr>
              <w:t>Evidence</w:t>
            </w:r>
            <w:r>
              <w:rPr>
                <w:rFonts w:ascii="Segoe UI"/>
                <w:sz w:val="18"/>
              </w:rPr>
            </w:r>
          </w:p>
        </w:tc>
        <w:tc>
          <w:tcPr>
            <w:tcW w:w="1157"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50" w:lineRule="auto" w:before="45"/>
              <w:ind w:left="108" w:right="147"/>
              <w:jc w:val="left"/>
              <w:rPr>
                <w:rFonts w:ascii="Segoe UI" w:hAnsi="Segoe UI" w:cs="Segoe UI" w:eastAsia="Segoe UI"/>
                <w:sz w:val="18"/>
                <w:szCs w:val="18"/>
              </w:rPr>
            </w:pPr>
            <w:r>
              <w:rPr>
                <w:rFonts w:ascii="Segoe UI"/>
                <w:color w:val="231F20"/>
                <w:spacing w:val="-1"/>
                <w:sz w:val="18"/>
              </w:rPr>
              <w:t>Strength</w:t>
            </w:r>
            <w:r>
              <w:rPr>
                <w:rFonts w:ascii="Segoe UI"/>
                <w:color w:val="231F20"/>
                <w:spacing w:val="-9"/>
                <w:sz w:val="18"/>
              </w:rPr>
              <w:t> </w:t>
            </w:r>
            <w:r>
              <w:rPr>
                <w:rFonts w:ascii="Segoe UI"/>
                <w:color w:val="231F20"/>
                <w:sz w:val="18"/>
              </w:rPr>
              <w:t>of</w:t>
            </w:r>
            <w:r>
              <w:rPr>
                <w:rFonts w:ascii="Segoe UI"/>
                <w:color w:val="231F20"/>
                <w:spacing w:val="22"/>
                <w:w w:val="99"/>
                <w:sz w:val="18"/>
              </w:rPr>
              <w:t> </w:t>
            </w:r>
            <w:r>
              <w:rPr>
                <w:rFonts w:ascii="Segoe UI"/>
                <w:color w:val="231F20"/>
                <w:sz w:val="18"/>
              </w:rPr>
              <w:t>evidence</w:t>
            </w:r>
            <w:r>
              <w:rPr>
                <w:rFonts w:ascii="Segoe UI"/>
                <w:sz w:val="18"/>
              </w:rPr>
            </w:r>
          </w:p>
        </w:tc>
      </w:tr>
      <w:tr>
        <w:trPr>
          <w:trHeight w:val="2590" w:hRule="exact"/>
        </w:trPr>
        <w:tc>
          <w:tcPr>
            <w:tcW w:w="3056" w:type="dxa"/>
            <w:tcBorders>
              <w:top w:val="single" w:sz="4" w:space="0" w:color="C1B5A9"/>
              <w:left w:val="single" w:sz="4" w:space="0" w:color="C1B5A9"/>
              <w:bottom w:val="single" w:sz="4" w:space="0" w:color="C1B5A9"/>
              <w:right w:val="single" w:sz="4" w:space="0" w:color="C1B5A9"/>
            </w:tcBorders>
            <w:shd w:val="clear" w:color="auto" w:fill="EFECE8"/>
          </w:tcPr>
          <w:p>
            <w:pPr>
              <w:pStyle w:val="TableParagraph"/>
              <w:spacing w:line="250" w:lineRule="auto" w:before="45"/>
              <w:ind w:left="108" w:right="248"/>
              <w:jc w:val="left"/>
              <w:rPr>
                <w:rFonts w:ascii="Segoe UI" w:hAnsi="Segoe UI" w:cs="Segoe UI" w:eastAsia="Segoe UI"/>
                <w:sz w:val="18"/>
                <w:szCs w:val="18"/>
              </w:rPr>
            </w:pPr>
            <w:r>
              <w:rPr>
                <w:rFonts w:ascii="Segoe UI"/>
                <w:color w:val="231F20"/>
                <w:spacing w:val="-1"/>
                <w:sz w:val="18"/>
              </w:rPr>
              <w:t>Investment in in-school </w:t>
            </w:r>
            <w:r>
              <w:rPr>
                <w:rFonts w:ascii="Segoe UI"/>
                <w:color w:val="231F20"/>
                <w:sz w:val="18"/>
              </w:rPr>
              <w:t>and</w:t>
            </w:r>
            <w:r>
              <w:rPr>
                <w:rFonts w:ascii="Segoe UI"/>
                <w:color w:val="231F20"/>
                <w:spacing w:val="24"/>
                <w:w w:val="99"/>
                <w:sz w:val="18"/>
              </w:rPr>
              <w:t> </w:t>
            </w:r>
            <w:r>
              <w:rPr>
                <w:rFonts w:ascii="Segoe UI"/>
                <w:color w:val="231F20"/>
                <w:sz w:val="18"/>
              </w:rPr>
              <w:t>accommodation</w:t>
            </w:r>
            <w:r>
              <w:rPr>
                <w:rFonts w:ascii="Segoe UI"/>
                <w:color w:val="231F20"/>
                <w:spacing w:val="-12"/>
                <w:sz w:val="18"/>
              </w:rPr>
              <w:t> </w:t>
            </w:r>
            <w:r>
              <w:rPr>
                <w:rFonts w:ascii="Segoe UI"/>
                <w:color w:val="231F20"/>
                <w:spacing w:val="-1"/>
                <w:sz w:val="18"/>
              </w:rPr>
              <w:t>support</w:t>
            </w:r>
            <w:r>
              <w:rPr>
                <w:rFonts w:ascii="Segoe UI"/>
                <w:color w:val="231F20"/>
                <w:spacing w:val="-11"/>
                <w:sz w:val="18"/>
              </w:rPr>
              <w:t> </w:t>
            </w:r>
            <w:r>
              <w:rPr>
                <w:rFonts w:ascii="Segoe UI"/>
                <w:color w:val="231F20"/>
                <w:sz w:val="18"/>
              </w:rPr>
              <w:t>for</w:t>
            </w:r>
            <w:r>
              <w:rPr>
                <w:rFonts w:ascii="Segoe UI"/>
                <w:color w:val="231F20"/>
                <w:spacing w:val="22"/>
                <w:w w:val="99"/>
                <w:sz w:val="18"/>
              </w:rPr>
              <w:t> </w:t>
            </w:r>
            <w:r>
              <w:rPr>
                <w:rFonts w:ascii="Segoe UI"/>
                <w:color w:val="231F20"/>
                <w:sz w:val="18"/>
              </w:rPr>
              <w:t>boarding</w:t>
            </w:r>
            <w:r>
              <w:rPr>
                <w:rFonts w:ascii="Segoe UI"/>
                <w:color w:val="231F20"/>
                <w:spacing w:val="-10"/>
                <w:sz w:val="18"/>
              </w:rPr>
              <w:t> </w:t>
            </w:r>
            <w:r>
              <w:rPr>
                <w:rFonts w:ascii="Segoe UI"/>
                <w:color w:val="231F20"/>
                <w:sz w:val="18"/>
              </w:rPr>
              <w:t>contributes</w:t>
            </w:r>
            <w:r>
              <w:rPr>
                <w:rFonts w:ascii="Segoe UI"/>
                <w:color w:val="231F20"/>
                <w:spacing w:val="-9"/>
                <w:sz w:val="18"/>
              </w:rPr>
              <w:t> </w:t>
            </w:r>
            <w:r>
              <w:rPr>
                <w:rFonts w:ascii="Segoe UI"/>
                <w:color w:val="231F20"/>
                <w:sz w:val="18"/>
              </w:rPr>
              <w:t>to</w:t>
            </w:r>
            <w:r>
              <w:rPr>
                <w:rFonts w:ascii="Segoe UI"/>
                <w:color w:val="231F20"/>
                <w:spacing w:val="-9"/>
                <w:sz w:val="18"/>
              </w:rPr>
              <w:t> </w:t>
            </w:r>
            <w:r>
              <w:rPr>
                <w:rFonts w:ascii="Segoe UI"/>
                <w:color w:val="231F20"/>
                <w:spacing w:val="-1"/>
                <w:sz w:val="18"/>
              </w:rPr>
              <w:t>increased</w:t>
            </w:r>
            <w:r>
              <w:rPr>
                <w:rFonts w:ascii="Segoe UI"/>
                <w:color w:val="231F20"/>
                <w:spacing w:val="20"/>
                <w:w w:val="99"/>
                <w:sz w:val="18"/>
              </w:rPr>
              <w:t> </w:t>
            </w:r>
            <w:r>
              <w:rPr>
                <w:rFonts w:ascii="Segoe UI"/>
                <w:color w:val="231F20"/>
                <w:spacing w:val="-1"/>
                <w:sz w:val="18"/>
              </w:rPr>
              <w:t>literacy</w:t>
            </w:r>
            <w:r>
              <w:rPr>
                <w:rFonts w:ascii="Segoe UI"/>
                <w:color w:val="231F20"/>
                <w:spacing w:val="-6"/>
                <w:sz w:val="18"/>
              </w:rPr>
              <w:t> </w:t>
            </w:r>
            <w:r>
              <w:rPr>
                <w:rFonts w:ascii="Segoe UI"/>
                <w:color w:val="231F20"/>
                <w:sz w:val="18"/>
              </w:rPr>
              <w:t>and</w:t>
            </w:r>
            <w:r>
              <w:rPr>
                <w:rFonts w:ascii="Segoe UI"/>
                <w:color w:val="231F20"/>
                <w:spacing w:val="-6"/>
                <w:sz w:val="18"/>
              </w:rPr>
              <w:t> </w:t>
            </w:r>
            <w:r>
              <w:rPr>
                <w:rFonts w:ascii="Segoe UI"/>
                <w:color w:val="231F20"/>
                <w:sz w:val="18"/>
              </w:rPr>
              <w:t>numeracy</w:t>
            </w:r>
            <w:r>
              <w:rPr>
                <w:rFonts w:ascii="Segoe UI"/>
                <w:color w:val="231F20"/>
                <w:spacing w:val="-7"/>
                <w:sz w:val="18"/>
              </w:rPr>
              <w:t> </w:t>
            </w:r>
            <w:r>
              <w:rPr>
                <w:rFonts w:ascii="Segoe UI"/>
                <w:color w:val="231F20"/>
                <w:spacing w:val="-1"/>
                <w:sz w:val="18"/>
              </w:rPr>
              <w:t>skills</w:t>
            </w:r>
            <w:r>
              <w:rPr>
                <w:rFonts w:ascii="Segoe UI"/>
                <w:sz w:val="18"/>
              </w:rPr>
            </w:r>
          </w:p>
        </w:tc>
        <w:tc>
          <w:tcPr>
            <w:tcW w:w="4564" w:type="dxa"/>
            <w:tcBorders>
              <w:top w:val="single" w:sz="4" w:space="0" w:color="C1B5A9"/>
              <w:left w:val="single" w:sz="4" w:space="0" w:color="C1B5A9"/>
              <w:bottom w:val="single" w:sz="4" w:space="0" w:color="C1B5A9"/>
              <w:right w:val="single" w:sz="4" w:space="0" w:color="C1B5A9"/>
            </w:tcBorders>
            <w:shd w:val="clear" w:color="auto" w:fill="EFECE8"/>
          </w:tcPr>
          <w:p>
            <w:pPr>
              <w:pStyle w:val="TableParagraph"/>
              <w:spacing w:line="250" w:lineRule="auto" w:before="45"/>
              <w:ind w:left="108" w:right="184"/>
              <w:jc w:val="both"/>
              <w:rPr>
                <w:rFonts w:ascii="Segoe UI" w:hAnsi="Segoe UI" w:cs="Segoe UI" w:eastAsia="Segoe UI"/>
                <w:sz w:val="18"/>
                <w:szCs w:val="18"/>
              </w:rPr>
            </w:pPr>
            <w:r>
              <w:rPr>
                <w:rFonts w:ascii="Segoe UI"/>
                <w:color w:val="231F20"/>
                <w:sz w:val="18"/>
              </w:rPr>
              <w:t>No</w:t>
            </w:r>
            <w:r>
              <w:rPr>
                <w:rFonts w:ascii="Segoe UI"/>
                <w:color w:val="231F20"/>
                <w:spacing w:val="-4"/>
                <w:sz w:val="18"/>
              </w:rPr>
              <w:t> </w:t>
            </w:r>
            <w:r>
              <w:rPr>
                <w:rFonts w:ascii="Segoe UI"/>
                <w:color w:val="231F20"/>
                <w:spacing w:val="-1"/>
                <w:sz w:val="18"/>
              </w:rPr>
              <w:t>known</w:t>
            </w:r>
            <w:r>
              <w:rPr>
                <w:rFonts w:ascii="Segoe UI"/>
                <w:color w:val="231F20"/>
                <w:spacing w:val="-4"/>
                <w:sz w:val="18"/>
              </w:rPr>
              <w:t> </w:t>
            </w:r>
            <w:r>
              <w:rPr>
                <w:rFonts w:ascii="Segoe UI"/>
                <w:color w:val="231F20"/>
                <w:sz w:val="18"/>
              </w:rPr>
              <w:t>research</w:t>
            </w:r>
            <w:r>
              <w:rPr>
                <w:rFonts w:ascii="Segoe UI"/>
                <w:color w:val="231F20"/>
                <w:spacing w:val="-5"/>
                <w:sz w:val="18"/>
              </w:rPr>
              <w:t> </w:t>
            </w:r>
            <w:r>
              <w:rPr>
                <w:rFonts w:ascii="Segoe UI"/>
                <w:color w:val="231F20"/>
                <w:sz w:val="18"/>
              </w:rPr>
              <w:t>or</w:t>
            </w:r>
            <w:r>
              <w:rPr>
                <w:rFonts w:ascii="Segoe UI"/>
                <w:color w:val="231F20"/>
                <w:spacing w:val="-4"/>
                <w:sz w:val="18"/>
              </w:rPr>
              <w:t> </w:t>
            </w:r>
            <w:r>
              <w:rPr>
                <w:rFonts w:ascii="Segoe UI"/>
                <w:color w:val="231F20"/>
                <w:sz w:val="18"/>
              </w:rPr>
              <w:t>evaluation</w:t>
            </w:r>
            <w:r>
              <w:rPr>
                <w:rFonts w:ascii="Segoe UI"/>
                <w:color w:val="231F20"/>
                <w:spacing w:val="-4"/>
                <w:sz w:val="18"/>
              </w:rPr>
              <w:t> </w:t>
            </w:r>
            <w:r>
              <w:rPr>
                <w:rFonts w:ascii="Segoe UI"/>
                <w:color w:val="231F20"/>
                <w:sz w:val="18"/>
              </w:rPr>
              <w:t>exists</w:t>
            </w:r>
            <w:r>
              <w:rPr>
                <w:rFonts w:ascii="Segoe UI"/>
                <w:color w:val="231F20"/>
                <w:spacing w:val="-5"/>
                <w:sz w:val="18"/>
              </w:rPr>
              <w:t> </w:t>
            </w:r>
            <w:r>
              <w:rPr>
                <w:rFonts w:ascii="Segoe UI"/>
                <w:color w:val="231F20"/>
                <w:sz w:val="18"/>
              </w:rPr>
              <w:t>on</w:t>
            </w:r>
            <w:r>
              <w:rPr>
                <w:rFonts w:ascii="Segoe UI"/>
                <w:color w:val="231F20"/>
                <w:spacing w:val="-4"/>
                <w:sz w:val="18"/>
              </w:rPr>
              <w:t> </w:t>
            </w:r>
            <w:r>
              <w:rPr>
                <w:rFonts w:ascii="Segoe UI"/>
                <w:color w:val="231F20"/>
                <w:sz w:val="18"/>
              </w:rPr>
              <w:t>the</w:t>
            </w:r>
            <w:r>
              <w:rPr>
                <w:rFonts w:ascii="Segoe UI"/>
                <w:color w:val="231F20"/>
                <w:spacing w:val="-5"/>
                <w:sz w:val="18"/>
              </w:rPr>
              <w:t> </w:t>
            </w:r>
            <w:r>
              <w:rPr>
                <w:rFonts w:ascii="Segoe UI"/>
                <w:color w:val="231F20"/>
                <w:spacing w:val="-1"/>
                <w:sz w:val="18"/>
              </w:rPr>
              <w:t>impact</w:t>
            </w:r>
            <w:r>
              <w:rPr>
                <w:rFonts w:ascii="Segoe UI"/>
                <w:color w:val="231F20"/>
                <w:spacing w:val="21"/>
                <w:w w:val="99"/>
                <w:sz w:val="18"/>
              </w:rPr>
              <w:t> </w:t>
            </w:r>
            <w:r>
              <w:rPr>
                <w:rFonts w:ascii="Segoe UI"/>
                <w:color w:val="231F20"/>
                <w:sz w:val="18"/>
              </w:rPr>
              <w:t>and</w:t>
            </w:r>
            <w:r>
              <w:rPr>
                <w:rFonts w:ascii="Segoe UI"/>
                <w:color w:val="231F20"/>
                <w:spacing w:val="-3"/>
                <w:sz w:val="18"/>
              </w:rPr>
              <w:t> </w:t>
            </w:r>
            <w:r>
              <w:rPr>
                <w:rFonts w:ascii="Segoe UI"/>
                <w:color w:val="231F20"/>
                <w:sz w:val="18"/>
              </w:rPr>
              <w:t>outcome</w:t>
            </w:r>
            <w:r>
              <w:rPr>
                <w:rFonts w:ascii="Segoe UI"/>
                <w:color w:val="231F20"/>
                <w:spacing w:val="-3"/>
                <w:sz w:val="18"/>
              </w:rPr>
              <w:t> </w:t>
            </w:r>
            <w:r>
              <w:rPr>
                <w:rFonts w:ascii="Segoe UI"/>
                <w:color w:val="231F20"/>
                <w:sz w:val="18"/>
              </w:rPr>
              <w:t>of</w:t>
            </w:r>
            <w:r>
              <w:rPr>
                <w:rFonts w:ascii="Segoe UI"/>
                <w:color w:val="231F20"/>
                <w:spacing w:val="-2"/>
                <w:sz w:val="18"/>
              </w:rPr>
              <w:t> </w:t>
            </w:r>
            <w:r>
              <w:rPr>
                <w:rFonts w:ascii="Segoe UI"/>
                <w:color w:val="231F20"/>
                <w:sz w:val="18"/>
              </w:rPr>
              <w:t>ABSTUDY</w:t>
            </w:r>
            <w:r>
              <w:rPr>
                <w:rFonts w:ascii="Segoe UI"/>
                <w:color w:val="231F20"/>
                <w:spacing w:val="-3"/>
                <w:sz w:val="18"/>
              </w:rPr>
              <w:t> </w:t>
            </w:r>
            <w:r>
              <w:rPr>
                <w:rFonts w:ascii="Segoe UI"/>
                <w:color w:val="231F20"/>
                <w:sz w:val="18"/>
              </w:rPr>
              <w:t>or</w:t>
            </w:r>
            <w:r>
              <w:rPr>
                <w:rFonts w:ascii="Segoe UI"/>
                <w:color w:val="231F20"/>
                <w:spacing w:val="-2"/>
                <w:sz w:val="18"/>
              </w:rPr>
              <w:t> </w:t>
            </w:r>
            <w:r>
              <w:rPr>
                <w:rFonts w:ascii="Segoe UI"/>
                <w:color w:val="231F20"/>
                <w:spacing w:val="-1"/>
                <w:sz w:val="18"/>
              </w:rPr>
              <w:t>scholarships </w:t>
            </w:r>
            <w:r>
              <w:rPr>
                <w:rFonts w:ascii="Segoe UI"/>
                <w:color w:val="231F20"/>
                <w:sz w:val="18"/>
              </w:rPr>
              <w:t>(Smith</w:t>
            </w:r>
            <w:r>
              <w:rPr>
                <w:rFonts w:ascii="Segoe UI"/>
                <w:color w:val="231F20"/>
                <w:spacing w:val="-3"/>
                <w:sz w:val="18"/>
              </w:rPr>
              <w:t> </w:t>
            </w:r>
            <w:r>
              <w:rPr>
                <w:rFonts w:ascii="Segoe UI"/>
                <w:color w:val="231F20"/>
                <w:sz w:val="18"/>
              </w:rPr>
              <w:t>et</w:t>
            </w:r>
            <w:r>
              <w:rPr>
                <w:rFonts w:ascii="Segoe UI"/>
                <w:color w:val="231F20"/>
                <w:spacing w:val="-2"/>
                <w:sz w:val="18"/>
              </w:rPr>
              <w:t> </w:t>
            </w:r>
            <w:r>
              <w:rPr>
                <w:rFonts w:ascii="Segoe UI"/>
                <w:color w:val="231F20"/>
                <w:sz w:val="18"/>
              </w:rPr>
              <w:t>al</w:t>
            </w:r>
            <w:r>
              <w:rPr>
                <w:rFonts w:ascii="Segoe UI"/>
                <w:color w:val="231F20"/>
                <w:spacing w:val="22"/>
                <w:w w:val="99"/>
                <w:sz w:val="18"/>
              </w:rPr>
              <w:t> </w:t>
            </w:r>
            <w:r>
              <w:rPr>
                <w:rFonts w:ascii="Segoe UI"/>
                <w:color w:val="231F20"/>
                <w:spacing w:val="-1"/>
                <w:sz w:val="18"/>
              </w:rPr>
              <w:t>2017,</w:t>
            </w:r>
            <w:r>
              <w:rPr>
                <w:rFonts w:ascii="Segoe UI"/>
                <w:color w:val="231F20"/>
                <w:spacing w:val="-3"/>
                <w:sz w:val="18"/>
              </w:rPr>
              <w:t> </w:t>
            </w:r>
            <w:r>
              <w:rPr>
                <w:rFonts w:ascii="Segoe UI"/>
                <w:color w:val="231F20"/>
                <w:spacing w:val="-1"/>
                <w:sz w:val="18"/>
              </w:rPr>
              <w:t>Rogers,</w:t>
            </w:r>
            <w:r>
              <w:rPr>
                <w:rFonts w:ascii="Segoe UI"/>
                <w:color w:val="231F20"/>
                <w:spacing w:val="-3"/>
                <w:sz w:val="18"/>
              </w:rPr>
              <w:t> </w:t>
            </w:r>
            <w:r>
              <w:rPr>
                <w:rFonts w:ascii="Segoe UI"/>
                <w:color w:val="231F20"/>
                <w:sz w:val="18"/>
              </w:rPr>
              <w:t>2017)</w:t>
            </w:r>
            <w:r>
              <w:rPr>
                <w:rFonts w:ascii="Segoe UI"/>
                <w:sz w:val="18"/>
              </w:rPr>
            </w:r>
          </w:p>
          <w:p>
            <w:pPr>
              <w:pStyle w:val="TableParagraph"/>
              <w:spacing w:line="250" w:lineRule="auto" w:before="113"/>
              <w:ind w:left="108" w:right="133"/>
              <w:jc w:val="left"/>
              <w:rPr>
                <w:rFonts w:ascii="Segoe UI" w:hAnsi="Segoe UI" w:cs="Segoe UI" w:eastAsia="Segoe UI"/>
                <w:sz w:val="18"/>
                <w:szCs w:val="18"/>
              </w:rPr>
            </w:pPr>
            <w:r>
              <w:rPr>
                <w:rFonts w:ascii="Segoe UI"/>
                <w:color w:val="231F20"/>
                <w:sz w:val="18"/>
              </w:rPr>
              <w:t>There</w:t>
            </w:r>
            <w:r>
              <w:rPr>
                <w:rFonts w:ascii="Segoe UI"/>
                <w:color w:val="231F20"/>
                <w:spacing w:val="-4"/>
                <w:sz w:val="18"/>
              </w:rPr>
              <w:t> </w:t>
            </w:r>
            <w:r>
              <w:rPr>
                <w:rFonts w:ascii="Segoe UI"/>
                <w:color w:val="231F20"/>
                <w:spacing w:val="-1"/>
                <w:sz w:val="18"/>
              </w:rPr>
              <w:t>is</w:t>
            </w:r>
            <w:r>
              <w:rPr>
                <w:rFonts w:ascii="Segoe UI"/>
                <w:color w:val="231F20"/>
                <w:spacing w:val="-4"/>
                <w:sz w:val="18"/>
              </w:rPr>
              <w:t> </w:t>
            </w:r>
            <w:r>
              <w:rPr>
                <w:rFonts w:ascii="Segoe UI"/>
                <w:color w:val="231F20"/>
                <w:sz w:val="18"/>
              </w:rPr>
              <w:t>a</w:t>
            </w:r>
            <w:r>
              <w:rPr>
                <w:rFonts w:ascii="Segoe UI"/>
                <w:color w:val="231F20"/>
                <w:spacing w:val="-4"/>
                <w:sz w:val="18"/>
              </w:rPr>
              <w:t> </w:t>
            </w:r>
            <w:r>
              <w:rPr>
                <w:rFonts w:ascii="Segoe UI"/>
                <w:color w:val="231F20"/>
                <w:sz w:val="18"/>
              </w:rPr>
              <w:t>growing</w:t>
            </w:r>
            <w:r>
              <w:rPr>
                <w:rFonts w:ascii="Segoe UI"/>
                <w:color w:val="231F20"/>
                <w:spacing w:val="-4"/>
                <w:sz w:val="18"/>
              </w:rPr>
              <w:t> </w:t>
            </w:r>
            <w:r>
              <w:rPr>
                <w:rFonts w:ascii="Segoe UI"/>
                <w:color w:val="231F20"/>
                <w:sz w:val="18"/>
              </w:rPr>
              <w:t>body</w:t>
            </w:r>
            <w:r>
              <w:rPr>
                <w:rFonts w:ascii="Segoe UI"/>
                <w:color w:val="231F20"/>
                <w:spacing w:val="-5"/>
                <w:sz w:val="18"/>
              </w:rPr>
              <w:t> </w:t>
            </w:r>
            <w:r>
              <w:rPr>
                <w:rFonts w:ascii="Segoe UI"/>
                <w:color w:val="231F20"/>
                <w:sz w:val="18"/>
              </w:rPr>
              <w:t>of</w:t>
            </w:r>
            <w:r>
              <w:rPr>
                <w:rFonts w:ascii="Segoe UI"/>
                <w:color w:val="231F20"/>
                <w:spacing w:val="-3"/>
                <w:sz w:val="18"/>
              </w:rPr>
              <w:t> </w:t>
            </w:r>
            <w:r>
              <w:rPr>
                <w:rFonts w:ascii="Segoe UI"/>
                <w:color w:val="231F20"/>
                <w:sz w:val="18"/>
              </w:rPr>
              <w:t>evidence</w:t>
            </w:r>
            <w:r>
              <w:rPr>
                <w:rFonts w:ascii="Segoe UI"/>
                <w:color w:val="231F20"/>
                <w:spacing w:val="-5"/>
                <w:sz w:val="18"/>
              </w:rPr>
              <w:t> </w:t>
            </w:r>
            <w:r>
              <w:rPr>
                <w:rFonts w:ascii="Segoe UI"/>
                <w:color w:val="231F20"/>
                <w:sz w:val="18"/>
              </w:rPr>
              <w:t>to</w:t>
            </w:r>
            <w:r>
              <w:rPr>
                <w:rFonts w:ascii="Segoe UI"/>
                <w:color w:val="231F20"/>
                <w:spacing w:val="-3"/>
                <w:sz w:val="18"/>
              </w:rPr>
              <w:t> </w:t>
            </w:r>
            <w:r>
              <w:rPr>
                <w:rFonts w:ascii="Segoe UI"/>
                <w:color w:val="231F20"/>
                <w:spacing w:val="-1"/>
                <w:sz w:val="18"/>
              </w:rPr>
              <w:t>suggest</w:t>
            </w:r>
            <w:r>
              <w:rPr>
                <w:rFonts w:ascii="Segoe UI"/>
                <w:color w:val="231F20"/>
                <w:spacing w:val="-4"/>
                <w:sz w:val="18"/>
              </w:rPr>
              <w:t> </w:t>
            </w:r>
            <w:r>
              <w:rPr>
                <w:rFonts w:ascii="Segoe UI"/>
                <w:color w:val="231F20"/>
                <w:sz w:val="18"/>
              </w:rPr>
              <w:t>health</w:t>
            </w:r>
            <w:r>
              <w:rPr>
                <w:rFonts w:ascii="Segoe UI"/>
                <w:color w:val="231F20"/>
                <w:spacing w:val="23"/>
                <w:w w:val="99"/>
                <w:sz w:val="18"/>
              </w:rPr>
              <w:t> </w:t>
            </w:r>
            <w:r>
              <w:rPr>
                <w:rFonts w:ascii="Segoe UI"/>
                <w:color w:val="231F20"/>
                <w:sz w:val="18"/>
              </w:rPr>
              <w:t>and</w:t>
            </w:r>
            <w:r>
              <w:rPr>
                <w:rFonts w:ascii="Segoe UI"/>
                <w:color w:val="231F20"/>
                <w:spacing w:val="-7"/>
                <w:sz w:val="18"/>
              </w:rPr>
              <w:t> </w:t>
            </w:r>
            <w:r>
              <w:rPr>
                <w:rFonts w:ascii="Segoe UI"/>
                <w:color w:val="231F20"/>
                <w:sz w:val="18"/>
              </w:rPr>
              <w:t>wellbeing</w:t>
            </w:r>
            <w:r>
              <w:rPr>
                <w:rFonts w:ascii="Segoe UI"/>
                <w:color w:val="231F20"/>
                <w:spacing w:val="-7"/>
                <w:sz w:val="18"/>
              </w:rPr>
              <w:t> </w:t>
            </w:r>
            <w:r>
              <w:rPr>
                <w:rFonts w:ascii="Segoe UI"/>
                <w:color w:val="231F20"/>
                <w:spacing w:val="-1"/>
                <w:sz w:val="18"/>
              </w:rPr>
              <w:t>initiatives</w:t>
            </w:r>
            <w:r>
              <w:rPr>
                <w:rFonts w:ascii="Segoe UI"/>
                <w:color w:val="231F20"/>
                <w:spacing w:val="-6"/>
                <w:sz w:val="18"/>
              </w:rPr>
              <w:t> </w:t>
            </w:r>
            <w:r>
              <w:rPr>
                <w:rFonts w:ascii="Segoe UI"/>
                <w:color w:val="231F20"/>
                <w:sz w:val="18"/>
              </w:rPr>
              <w:t>have</w:t>
            </w:r>
            <w:r>
              <w:rPr>
                <w:rFonts w:ascii="Segoe UI"/>
                <w:color w:val="231F20"/>
                <w:spacing w:val="-7"/>
                <w:sz w:val="18"/>
              </w:rPr>
              <w:t> </w:t>
            </w:r>
            <w:r>
              <w:rPr>
                <w:rFonts w:ascii="Segoe UI"/>
                <w:color w:val="231F20"/>
                <w:spacing w:val="-1"/>
                <w:sz w:val="18"/>
              </w:rPr>
              <w:t>improved</w:t>
            </w:r>
            <w:r>
              <w:rPr>
                <w:rFonts w:ascii="Segoe UI"/>
                <w:color w:val="231F20"/>
                <w:spacing w:val="-6"/>
                <w:sz w:val="18"/>
              </w:rPr>
              <w:t> </w:t>
            </w:r>
            <w:r>
              <w:rPr>
                <w:rFonts w:ascii="Segoe UI"/>
                <w:color w:val="231F20"/>
                <w:sz w:val="18"/>
              </w:rPr>
              <w:t>academic</w:t>
            </w:r>
            <w:r>
              <w:rPr>
                <w:rFonts w:ascii="Segoe UI"/>
                <w:color w:val="231F20"/>
                <w:spacing w:val="23"/>
                <w:w w:val="99"/>
                <w:sz w:val="18"/>
              </w:rPr>
              <w:t> </w:t>
            </w:r>
            <w:r>
              <w:rPr>
                <w:rFonts w:ascii="Segoe UI"/>
                <w:color w:val="231F20"/>
                <w:sz w:val="18"/>
              </w:rPr>
              <w:t>outcomes</w:t>
            </w:r>
            <w:r>
              <w:rPr>
                <w:rFonts w:ascii="Segoe UI"/>
                <w:color w:val="231F20"/>
                <w:spacing w:val="-5"/>
                <w:sz w:val="18"/>
              </w:rPr>
              <w:t> </w:t>
            </w:r>
            <w:r>
              <w:rPr>
                <w:rFonts w:ascii="Segoe UI"/>
                <w:color w:val="231F20"/>
                <w:spacing w:val="-1"/>
                <w:sz w:val="18"/>
              </w:rPr>
              <w:t>(Study</w:t>
            </w:r>
            <w:r>
              <w:rPr>
                <w:rFonts w:ascii="Segoe UI"/>
                <w:color w:val="231F20"/>
                <w:spacing w:val="-5"/>
                <w:sz w:val="18"/>
              </w:rPr>
              <w:t> </w:t>
            </w:r>
            <w:r>
              <w:rPr>
                <w:rFonts w:ascii="Segoe UI"/>
                <w:color w:val="231F20"/>
                <w:spacing w:val="-1"/>
                <w:sz w:val="18"/>
              </w:rPr>
              <w:t>Away</w:t>
            </w:r>
            <w:r>
              <w:rPr>
                <w:rFonts w:ascii="Segoe UI"/>
                <w:color w:val="231F20"/>
                <w:spacing w:val="-5"/>
                <w:sz w:val="18"/>
              </w:rPr>
              <w:t> </w:t>
            </w:r>
            <w:r>
              <w:rPr>
                <w:rFonts w:ascii="Segoe UI"/>
                <w:color w:val="231F20"/>
                <w:spacing w:val="-1"/>
                <w:sz w:val="18"/>
              </w:rPr>
              <w:t>Review)</w:t>
            </w:r>
            <w:r>
              <w:rPr>
                <w:rFonts w:ascii="Segoe UI"/>
                <w:sz w:val="18"/>
              </w:rPr>
            </w:r>
          </w:p>
          <w:p>
            <w:pPr>
              <w:pStyle w:val="TableParagraph"/>
              <w:spacing w:line="250" w:lineRule="auto" w:before="113"/>
              <w:ind w:left="108" w:right="338"/>
              <w:jc w:val="left"/>
              <w:rPr>
                <w:rFonts w:ascii="Segoe UI" w:hAnsi="Segoe UI" w:cs="Segoe UI" w:eastAsia="Segoe UI"/>
                <w:sz w:val="18"/>
                <w:szCs w:val="18"/>
              </w:rPr>
            </w:pPr>
            <w:r>
              <w:rPr>
                <w:rFonts w:ascii="Segoe UI"/>
                <w:color w:val="231F20"/>
                <w:sz w:val="18"/>
              </w:rPr>
              <w:t>Literature</w:t>
            </w:r>
            <w:r>
              <w:rPr>
                <w:rFonts w:ascii="Segoe UI"/>
                <w:color w:val="231F20"/>
                <w:spacing w:val="-7"/>
                <w:sz w:val="18"/>
              </w:rPr>
              <w:t> </w:t>
            </w:r>
            <w:r>
              <w:rPr>
                <w:rFonts w:ascii="Segoe UI"/>
                <w:color w:val="231F20"/>
                <w:spacing w:val="-1"/>
                <w:sz w:val="18"/>
              </w:rPr>
              <w:t>supports</w:t>
            </w:r>
            <w:r>
              <w:rPr>
                <w:rFonts w:ascii="Segoe UI"/>
                <w:color w:val="231F20"/>
                <w:spacing w:val="-6"/>
                <w:sz w:val="18"/>
              </w:rPr>
              <w:t> </w:t>
            </w:r>
            <w:r>
              <w:rPr>
                <w:rFonts w:ascii="Segoe UI"/>
                <w:color w:val="231F20"/>
                <w:sz w:val="18"/>
              </w:rPr>
              <w:t>the</w:t>
            </w:r>
            <w:r>
              <w:rPr>
                <w:rFonts w:ascii="Segoe UI"/>
                <w:color w:val="231F20"/>
                <w:spacing w:val="-7"/>
                <w:sz w:val="18"/>
              </w:rPr>
              <w:t> </w:t>
            </w:r>
            <w:r>
              <w:rPr>
                <w:rFonts w:ascii="Segoe UI"/>
                <w:color w:val="231F20"/>
                <w:sz w:val="18"/>
              </w:rPr>
              <w:t>claim</w:t>
            </w:r>
            <w:r>
              <w:rPr>
                <w:rFonts w:ascii="Segoe UI"/>
                <w:color w:val="231F20"/>
                <w:spacing w:val="-6"/>
                <w:sz w:val="18"/>
              </w:rPr>
              <w:t> </w:t>
            </w:r>
            <w:r>
              <w:rPr>
                <w:rFonts w:ascii="Segoe UI"/>
                <w:color w:val="231F20"/>
                <w:sz w:val="18"/>
              </w:rPr>
              <w:t>that</w:t>
            </w:r>
            <w:r>
              <w:rPr>
                <w:rFonts w:ascii="Segoe UI"/>
                <w:color w:val="231F20"/>
                <w:spacing w:val="-7"/>
                <w:sz w:val="18"/>
              </w:rPr>
              <w:t> </w:t>
            </w:r>
            <w:r>
              <w:rPr>
                <w:rFonts w:ascii="Segoe UI"/>
                <w:color w:val="231F20"/>
                <w:sz w:val="18"/>
              </w:rPr>
              <w:t>academic</w:t>
            </w:r>
            <w:r>
              <w:rPr>
                <w:rFonts w:ascii="Segoe UI"/>
                <w:color w:val="231F20"/>
                <w:spacing w:val="-6"/>
                <w:sz w:val="18"/>
              </w:rPr>
              <w:t> </w:t>
            </w:r>
            <w:r>
              <w:rPr>
                <w:rFonts w:ascii="Segoe UI"/>
                <w:color w:val="231F20"/>
                <w:spacing w:val="-1"/>
                <w:sz w:val="18"/>
              </w:rPr>
              <w:t>support</w:t>
            </w:r>
            <w:r>
              <w:rPr>
                <w:rFonts w:ascii="Segoe UI"/>
                <w:color w:val="231F20"/>
                <w:spacing w:val="21"/>
                <w:w w:val="99"/>
                <w:sz w:val="18"/>
              </w:rPr>
              <w:t> </w:t>
            </w:r>
            <w:r>
              <w:rPr>
                <w:rFonts w:ascii="Segoe UI"/>
                <w:color w:val="231F20"/>
                <w:sz w:val="18"/>
              </w:rPr>
              <w:t>(in</w:t>
            </w:r>
            <w:r>
              <w:rPr>
                <w:rFonts w:ascii="Segoe UI"/>
                <w:color w:val="231F20"/>
                <w:spacing w:val="-9"/>
                <w:sz w:val="18"/>
              </w:rPr>
              <w:t> </w:t>
            </w:r>
            <w:r>
              <w:rPr>
                <w:rFonts w:ascii="Segoe UI"/>
                <w:color w:val="231F20"/>
                <w:sz w:val="18"/>
              </w:rPr>
              <w:t>boarding)</w:t>
            </w:r>
            <w:r>
              <w:rPr>
                <w:rFonts w:ascii="Segoe UI"/>
                <w:color w:val="231F20"/>
                <w:spacing w:val="-8"/>
                <w:sz w:val="18"/>
              </w:rPr>
              <w:t> </w:t>
            </w:r>
            <w:r>
              <w:rPr>
                <w:rFonts w:ascii="Segoe UI"/>
                <w:color w:val="231F20"/>
                <w:sz w:val="18"/>
              </w:rPr>
              <w:t>contributes</w:t>
            </w:r>
            <w:r>
              <w:rPr>
                <w:rFonts w:ascii="Segoe UI"/>
                <w:color w:val="231F20"/>
                <w:spacing w:val="-8"/>
                <w:sz w:val="18"/>
              </w:rPr>
              <w:t> </w:t>
            </w:r>
            <w:r>
              <w:rPr>
                <w:rFonts w:ascii="Segoe UI"/>
                <w:color w:val="231F20"/>
                <w:sz w:val="18"/>
              </w:rPr>
              <w:t>to</w:t>
            </w:r>
            <w:r>
              <w:rPr>
                <w:rFonts w:ascii="Segoe UI"/>
                <w:color w:val="231F20"/>
                <w:spacing w:val="-7"/>
                <w:sz w:val="18"/>
              </w:rPr>
              <w:t> </w:t>
            </w:r>
            <w:r>
              <w:rPr>
                <w:rFonts w:ascii="Segoe UI"/>
                <w:color w:val="231F20"/>
                <w:spacing w:val="-1"/>
                <w:sz w:val="18"/>
              </w:rPr>
              <w:t>improved</w:t>
            </w:r>
            <w:r>
              <w:rPr>
                <w:rFonts w:ascii="Segoe UI"/>
                <w:color w:val="231F20"/>
                <w:spacing w:val="-7"/>
                <w:sz w:val="18"/>
              </w:rPr>
              <w:t> </w:t>
            </w:r>
            <w:r>
              <w:rPr>
                <w:rFonts w:ascii="Segoe UI"/>
                <w:color w:val="231F20"/>
                <w:sz w:val="18"/>
              </w:rPr>
              <w:t>academic</w:t>
            </w:r>
            <w:r>
              <w:rPr>
                <w:rFonts w:ascii="Segoe UI"/>
                <w:color w:val="231F20"/>
                <w:spacing w:val="22"/>
                <w:w w:val="99"/>
                <w:sz w:val="18"/>
              </w:rPr>
              <w:t> </w:t>
            </w:r>
            <w:r>
              <w:rPr>
                <w:rFonts w:ascii="Segoe UI"/>
                <w:color w:val="231F20"/>
                <w:sz w:val="18"/>
              </w:rPr>
              <w:t>outcomes</w:t>
            </w:r>
            <w:r>
              <w:rPr>
                <w:rFonts w:ascii="Segoe UI"/>
                <w:color w:val="231F20"/>
                <w:spacing w:val="-5"/>
                <w:sz w:val="18"/>
              </w:rPr>
              <w:t> </w:t>
            </w:r>
            <w:r>
              <w:rPr>
                <w:rFonts w:ascii="Segoe UI"/>
                <w:color w:val="231F20"/>
                <w:spacing w:val="-1"/>
                <w:sz w:val="18"/>
              </w:rPr>
              <w:t>(Study</w:t>
            </w:r>
            <w:r>
              <w:rPr>
                <w:rFonts w:ascii="Segoe UI"/>
                <w:color w:val="231F20"/>
                <w:spacing w:val="-5"/>
                <w:sz w:val="18"/>
              </w:rPr>
              <w:t> </w:t>
            </w:r>
            <w:r>
              <w:rPr>
                <w:rFonts w:ascii="Segoe UI"/>
                <w:color w:val="231F20"/>
                <w:spacing w:val="-1"/>
                <w:sz w:val="18"/>
              </w:rPr>
              <w:t>Away</w:t>
            </w:r>
            <w:r>
              <w:rPr>
                <w:rFonts w:ascii="Segoe UI"/>
                <w:color w:val="231F20"/>
                <w:spacing w:val="-5"/>
                <w:sz w:val="18"/>
              </w:rPr>
              <w:t> </w:t>
            </w:r>
            <w:r>
              <w:rPr>
                <w:rFonts w:ascii="Segoe UI"/>
                <w:color w:val="231F20"/>
                <w:spacing w:val="-1"/>
                <w:sz w:val="18"/>
              </w:rPr>
              <w:t>Review)</w:t>
            </w:r>
            <w:r>
              <w:rPr>
                <w:rFonts w:ascii="Segoe UI"/>
                <w:sz w:val="18"/>
              </w:rPr>
            </w:r>
          </w:p>
        </w:tc>
        <w:tc>
          <w:tcPr>
            <w:tcW w:w="1157" w:type="dxa"/>
            <w:tcBorders>
              <w:top w:val="single" w:sz="4" w:space="0" w:color="C1B5A9"/>
              <w:left w:val="single" w:sz="4" w:space="0" w:color="C1B5A9"/>
              <w:bottom w:val="single" w:sz="4" w:space="0" w:color="C1B5A9"/>
              <w:right w:val="single" w:sz="4" w:space="0" w:color="C1B5A9"/>
            </w:tcBorders>
            <w:shd w:val="clear" w:color="auto" w:fill="EFECE8"/>
          </w:tcPr>
          <w:p>
            <w:pPr>
              <w:pStyle w:val="TableParagraph"/>
              <w:spacing w:line="240" w:lineRule="auto" w:before="45"/>
              <w:ind w:left="108" w:right="0"/>
              <w:jc w:val="left"/>
              <w:rPr>
                <w:rFonts w:ascii="Segoe UI" w:hAnsi="Segoe UI" w:cs="Segoe UI" w:eastAsia="Segoe UI"/>
                <w:sz w:val="18"/>
                <w:szCs w:val="18"/>
              </w:rPr>
            </w:pPr>
            <w:r>
              <w:rPr>
                <w:rFonts w:ascii="Segoe UI"/>
                <w:color w:val="231F20"/>
                <w:sz w:val="18"/>
              </w:rPr>
              <w:t>Low</w:t>
            </w:r>
            <w:r>
              <w:rPr>
                <w:rFonts w:ascii="Segoe UI"/>
                <w:sz w:val="18"/>
              </w:rPr>
            </w:r>
          </w:p>
        </w:tc>
      </w:tr>
      <w:tr>
        <w:trPr>
          <w:trHeight w:val="1721" w:hRule="exact"/>
        </w:trPr>
        <w:tc>
          <w:tcPr>
            <w:tcW w:w="3056" w:type="dxa"/>
            <w:tcBorders>
              <w:top w:val="single" w:sz="4" w:space="0" w:color="C1B5A9"/>
              <w:left w:val="single" w:sz="4" w:space="0" w:color="C1B5A9"/>
              <w:bottom w:val="single" w:sz="4" w:space="0" w:color="C1B5A9"/>
              <w:right w:val="single" w:sz="4" w:space="0" w:color="C1B5A9"/>
            </w:tcBorders>
          </w:tcPr>
          <w:p>
            <w:pPr>
              <w:pStyle w:val="TableParagraph"/>
              <w:spacing w:line="250" w:lineRule="auto" w:before="45"/>
              <w:ind w:left="108" w:right="248"/>
              <w:jc w:val="left"/>
              <w:rPr>
                <w:rFonts w:ascii="Segoe UI" w:hAnsi="Segoe UI" w:cs="Segoe UI" w:eastAsia="Segoe UI"/>
                <w:sz w:val="18"/>
                <w:szCs w:val="18"/>
              </w:rPr>
            </w:pPr>
            <w:r>
              <w:rPr>
                <w:rFonts w:ascii="Segoe UI"/>
                <w:color w:val="231F20"/>
                <w:spacing w:val="-1"/>
                <w:sz w:val="18"/>
              </w:rPr>
              <w:t>Investment in in-school </w:t>
            </w:r>
            <w:r>
              <w:rPr>
                <w:rFonts w:ascii="Segoe UI"/>
                <w:color w:val="231F20"/>
                <w:sz w:val="18"/>
              </w:rPr>
              <w:t>and</w:t>
            </w:r>
            <w:r>
              <w:rPr>
                <w:rFonts w:ascii="Segoe UI"/>
                <w:color w:val="231F20"/>
                <w:spacing w:val="24"/>
                <w:w w:val="99"/>
                <w:sz w:val="18"/>
              </w:rPr>
              <w:t> </w:t>
            </w:r>
            <w:r>
              <w:rPr>
                <w:rFonts w:ascii="Segoe UI"/>
                <w:color w:val="231F20"/>
                <w:sz w:val="18"/>
              </w:rPr>
              <w:t>accommodation</w:t>
            </w:r>
            <w:r>
              <w:rPr>
                <w:rFonts w:ascii="Segoe UI"/>
                <w:color w:val="231F20"/>
                <w:spacing w:val="-12"/>
                <w:sz w:val="18"/>
              </w:rPr>
              <w:t> </w:t>
            </w:r>
            <w:r>
              <w:rPr>
                <w:rFonts w:ascii="Segoe UI"/>
                <w:color w:val="231F20"/>
                <w:spacing w:val="-1"/>
                <w:sz w:val="18"/>
              </w:rPr>
              <w:t>support</w:t>
            </w:r>
            <w:r>
              <w:rPr>
                <w:rFonts w:ascii="Segoe UI"/>
                <w:color w:val="231F20"/>
                <w:spacing w:val="-11"/>
                <w:sz w:val="18"/>
              </w:rPr>
              <w:t> </w:t>
            </w:r>
            <w:r>
              <w:rPr>
                <w:rFonts w:ascii="Segoe UI"/>
                <w:color w:val="231F20"/>
                <w:sz w:val="18"/>
              </w:rPr>
              <w:t>for</w:t>
            </w:r>
            <w:r>
              <w:rPr>
                <w:rFonts w:ascii="Segoe UI"/>
                <w:color w:val="231F20"/>
                <w:spacing w:val="22"/>
                <w:w w:val="99"/>
                <w:sz w:val="18"/>
              </w:rPr>
              <w:t> </w:t>
            </w:r>
            <w:r>
              <w:rPr>
                <w:rFonts w:ascii="Segoe UI"/>
                <w:color w:val="231F20"/>
                <w:sz w:val="18"/>
              </w:rPr>
              <w:t>boarding</w:t>
            </w:r>
            <w:r>
              <w:rPr>
                <w:rFonts w:ascii="Segoe UI"/>
                <w:color w:val="231F20"/>
                <w:spacing w:val="-10"/>
                <w:sz w:val="18"/>
              </w:rPr>
              <w:t> </w:t>
            </w:r>
            <w:r>
              <w:rPr>
                <w:rFonts w:ascii="Segoe UI"/>
                <w:color w:val="231F20"/>
                <w:sz w:val="18"/>
              </w:rPr>
              <w:t>contributes</w:t>
            </w:r>
            <w:r>
              <w:rPr>
                <w:rFonts w:ascii="Segoe UI"/>
                <w:color w:val="231F20"/>
                <w:spacing w:val="-9"/>
                <w:sz w:val="18"/>
              </w:rPr>
              <w:t> </w:t>
            </w:r>
            <w:r>
              <w:rPr>
                <w:rFonts w:ascii="Segoe UI"/>
                <w:color w:val="231F20"/>
                <w:sz w:val="18"/>
              </w:rPr>
              <w:t>to</w:t>
            </w:r>
            <w:r>
              <w:rPr>
                <w:rFonts w:ascii="Segoe UI"/>
                <w:color w:val="231F20"/>
                <w:spacing w:val="-9"/>
                <w:sz w:val="18"/>
              </w:rPr>
              <w:t> </w:t>
            </w:r>
            <w:r>
              <w:rPr>
                <w:rFonts w:ascii="Segoe UI"/>
                <w:color w:val="231F20"/>
                <w:spacing w:val="-1"/>
                <w:sz w:val="18"/>
              </w:rPr>
              <w:t>increased</w:t>
            </w:r>
            <w:r>
              <w:rPr>
                <w:rFonts w:ascii="Segoe UI"/>
                <w:color w:val="231F20"/>
                <w:spacing w:val="20"/>
                <w:w w:val="99"/>
                <w:sz w:val="18"/>
              </w:rPr>
              <w:t> </w:t>
            </w:r>
            <w:r>
              <w:rPr>
                <w:rFonts w:ascii="Segoe UI"/>
                <w:color w:val="231F20"/>
                <w:spacing w:val="-5"/>
                <w:sz w:val="18"/>
              </w:rPr>
              <w:t>Year </w:t>
            </w:r>
            <w:r>
              <w:rPr>
                <w:rFonts w:ascii="Segoe UI"/>
                <w:color w:val="231F20"/>
                <w:spacing w:val="-1"/>
                <w:sz w:val="18"/>
              </w:rPr>
              <w:t>12</w:t>
            </w:r>
            <w:r>
              <w:rPr>
                <w:rFonts w:ascii="Segoe UI"/>
                <w:color w:val="231F20"/>
                <w:spacing w:val="-5"/>
                <w:sz w:val="18"/>
              </w:rPr>
              <w:t> </w:t>
            </w:r>
            <w:r>
              <w:rPr>
                <w:rFonts w:ascii="Segoe UI"/>
                <w:color w:val="231F20"/>
                <w:sz w:val="18"/>
              </w:rPr>
              <w:t>or</w:t>
            </w:r>
            <w:r>
              <w:rPr>
                <w:rFonts w:ascii="Segoe UI"/>
                <w:color w:val="231F20"/>
                <w:spacing w:val="-4"/>
                <w:sz w:val="18"/>
              </w:rPr>
              <w:t> </w:t>
            </w:r>
            <w:r>
              <w:rPr>
                <w:rFonts w:ascii="Segoe UI"/>
                <w:color w:val="231F20"/>
                <w:sz w:val="18"/>
              </w:rPr>
              <w:t>equivalent</w:t>
            </w:r>
            <w:r>
              <w:rPr>
                <w:rFonts w:ascii="Segoe UI"/>
                <w:color w:val="231F20"/>
                <w:spacing w:val="-6"/>
                <w:sz w:val="18"/>
              </w:rPr>
              <w:t> </w:t>
            </w:r>
            <w:r>
              <w:rPr>
                <w:rFonts w:ascii="Segoe UI"/>
                <w:color w:val="231F20"/>
                <w:sz w:val="18"/>
              </w:rPr>
              <w:t>attainment</w:t>
            </w:r>
            <w:r>
              <w:rPr>
                <w:rFonts w:ascii="Segoe UI"/>
                <w:sz w:val="18"/>
              </w:rPr>
            </w:r>
          </w:p>
        </w:tc>
        <w:tc>
          <w:tcPr>
            <w:tcW w:w="4564" w:type="dxa"/>
            <w:tcBorders>
              <w:top w:val="single" w:sz="4" w:space="0" w:color="C1B5A9"/>
              <w:left w:val="single" w:sz="4" w:space="0" w:color="C1B5A9"/>
              <w:bottom w:val="single" w:sz="4" w:space="0" w:color="C1B5A9"/>
              <w:right w:val="single" w:sz="4" w:space="0" w:color="C1B5A9"/>
            </w:tcBorders>
          </w:tcPr>
          <w:p>
            <w:pPr>
              <w:pStyle w:val="TableParagraph"/>
              <w:spacing w:line="250" w:lineRule="auto" w:before="45"/>
              <w:ind w:left="108" w:right="184"/>
              <w:jc w:val="both"/>
              <w:rPr>
                <w:rFonts w:ascii="Segoe UI" w:hAnsi="Segoe UI" w:cs="Segoe UI" w:eastAsia="Segoe UI"/>
                <w:sz w:val="18"/>
                <w:szCs w:val="18"/>
              </w:rPr>
            </w:pPr>
            <w:r>
              <w:rPr>
                <w:rFonts w:ascii="Segoe UI"/>
                <w:color w:val="231F20"/>
                <w:sz w:val="18"/>
              </w:rPr>
              <w:t>No</w:t>
            </w:r>
            <w:r>
              <w:rPr>
                <w:rFonts w:ascii="Segoe UI"/>
                <w:color w:val="231F20"/>
                <w:spacing w:val="-4"/>
                <w:sz w:val="18"/>
              </w:rPr>
              <w:t> </w:t>
            </w:r>
            <w:r>
              <w:rPr>
                <w:rFonts w:ascii="Segoe UI"/>
                <w:color w:val="231F20"/>
                <w:spacing w:val="-1"/>
                <w:sz w:val="18"/>
              </w:rPr>
              <w:t>known</w:t>
            </w:r>
            <w:r>
              <w:rPr>
                <w:rFonts w:ascii="Segoe UI"/>
                <w:color w:val="231F20"/>
                <w:spacing w:val="-4"/>
                <w:sz w:val="18"/>
              </w:rPr>
              <w:t> </w:t>
            </w:r>
            <w:r>
              <w:rPr>
                <w:rFonts w:ascii="Segoe UI"/>
                <w:color w:val="231F20"/>
                <w:sz w:val="18"/>
              </w:rPr>
              <w:t>research</w:t>
            </w:r>
            <w:r>
              <w:rPr>
                <w:rFonts w:ascii="Segoe UI"/>
                <w:color w:val="231F20"/>
                <w:spacing w:val="-5"/>
                <w:sz w:val="18"/>
              </w:rPr>
              <w:t> </w:t>
            </w:r>
            <w:r>
              <w:rPr>
                <w:rFonts w:ascii="Segoe UI"/>
                <w:color w:val="231F20"/>
                <w:sz w:val="18"/>
              </w:rPr>
              <w:t>or</w:t>
            </w:r>
            <w:r>
              <w:rPr>
                <w:rFonts w:ascii="Segoe UI"/>
                <w:color w:val="231F20"/>
                <w:spacing w:val="-4"/>
                <w:sz w:val="18"/>
              </w:rPr>
              <w:t> </w:t>
            </w:r>
            <w:r>
              <w:rPr>
                <w:rFonts w:ascii="Segoe UI"/>
                <w:color w:val="231F20"/>
                <w:sz w:val="18"/>
              </w:rPr>
              <w:t>evaluation</w:t>
            </w:r>
            <w:r>
              <w:rPr>
                <w:rFonts w:ascii="Segoe UI"/>
                <w:color w:val="231F20"/>
                <w:spacing w:val="-4"/>
                <w:sz w:val="18"/>
              </w:rPr>
              <w:t> </w:t>
            </w:r>
            <w:r>
              <w:rPr>
                <w:rFonts w:ascii="Segoe UI"/>
                <w:color w:val="231F20"/>
                <w:sz w:val="18"/>
              </w:rPr>
              <w:t>exists</w:t>
            </w:r>
            <w:r>
              <w:rPr>
                <w:rFonts w:ascii="Segoe UI"/>
                <w:color w:val="231F20"/>
                <w:spacing w:val="-5"/>
                <w:sz w:val="18"/>
              </w:rPr>
              <w:t> </w:t>
            </w:r>
            <w:r>
              <w:rPr>
                <w:rFonts w:ascii="Segoe UI"/>
                <w:color w:val="231F20"/>
                <w:sz w:val="18"/>
              </w:rPr>
              <w:t>on</w:t>
            </w:r>
            <w:r>
              <w:rPr>
                <w:rFonts w:ascii="Segoe UI"/>
                <w:color w:val="231F20"/>
                <w:spacing w:val="-4"/>
                <w:sz w:val="18"/>
              </w:rPr>
              <w:t> </w:t>
            </w:r>
            <w:r>
              <w:rPr>
                <w:rFonts w:ascii="Segoe UI"/>
                <w:color w:val="231F20"/>
                <w:sz w:val="18"/>
              </w:rPr>
              <w:t>the</w:t>
            </w:r>
            <w:r>
              <w:rPr>
                <w:rFonts w:ascii="Segoe UI"/>
                <w:color w:val="231F20"/>
                <w:spacing w:val="-5"/>
                <w:sz w:val="18"/>
              </w:rPr>
              <w:t> </w:t>
            </w:r>
            <w:r>
              <w:rPr>
                <w:rFonts w:ascii="Segoe UI"/>
                <w:color w:val="231F20"/>
                <w:spacing w:val="-1"/>
                <w:sz w:val="18"/>
              </w:rPr>
              <w:t>impact</w:t>
            </w:r>
            <w:r>
              <w:rPr>
                <w:rFonts w:ascii="Segoe UI"/>
                <w:color w:val="231F20"/>
                <w:spacing w:val="21"/>
                <w:w w:val="99"/>
                <w:sz w:val="18"/>
              </w:rPr>
              <w:t> </w:t>
            </w:r>
            <w:r>
              <w:rPr>
                <w:rFonts w:ascii="Segoe UI"/>
                <w:color w:val="231F20"/>
                <w:sz w:val="18"/>
              </w:rPr>
              <w:t>and</w:t>
            </w:r>
            <w:r>
              <w:rPr>
                <w:rFonts w:ascii="Segoe UI"/>
                <w:color w:val="231F20"/>
                <w:spacing w:val="-3"/>
                <w:sz w:val="18"/>
              </w:rPr>
              <w:t> </w:t>
            </w:r>
            <w:r>
              <w:rPr>
                <w:rFonts w:ascii="Segoe UI"/>
                <w:color w:val="231F20"/>
                <w:sz w:val="18"/>
              </w:rPr>
              <w:t>outcome</w:t>
            </w:r>
            <w:r>
              <w:rPr>
                <w:rFonts w:ascii="Segoe UI"/>
                <w:color w:val="231F20"/>
                <w:spacing w:val="-3"/>
                <w:sz w:val="18"/>
              </w:rPr>
              <w:t> </w:t>
            </w:r>
            <w:r>
              <w:rPr>
                <w:rFonts w:ascii="Segoe UI"/>
                <w:color w:val="231F20"/>
                <w:sz w:val="18"/>
              </w:rPr>
              <w:t>of</w:t>
            </w:r>
            <w:r>
              <w:rPr>
                <w:rFonts w:ascii="Segoe UI"/>
                <w:color w:val="231F20"/>
                <w:spacing w:val="-2"/>
                <w:sz w:val="18"/>
              </w:rPr>
              <w:t> </w:t>
            </w:r>
            <w:r>
              <w:rPr>
                <w:rFonts w:ascii="Segoe UI"/>
                <w:color w:val="231F20"/>
                <w:sz w:val="18"/>
              </w:rPr>
              <w:t>ABSTUDY</w:t>
            </w:r>
            <w:r>
              <w:rPr>
                <w:rFonts w:ascii="Segoe UI"/>
                <w:color w:val="231F20"/>
                <w:spacing w:val="-3"/>
                <w:sz w:val="18"/>
              </w:rPr>
              <w:t> </w:t>
            </w:r>
            <w:r>
              <w:rPr>
                <w:rFonts w:ascii="Segoe UI"/>
                <w:color w:val="231F20"/>
                <w:sz w:val="18"/>
              </w:rPr>
              <w:t>or</w:t>
            </w:r>
            <w:r>
              <w:rPr>
                <w:rFonts w:ascii="Segoe UI"/>
                <w:color w:val="231F20"/>
                <w:spacing w:val="-2"/>
                <w:sz w:val="18"/>
              </w:rPr>
              <w:t> </w:t>
            </w:r>
            <w:r>
              <w:rPr>
                <w:rFonts w:ascii="Segoe UI"/>
                <w:color w:val="231F20"/>
                <w:spacing w:val="-1"/>
                <w:sz w:val="18"/>
              </w:rPr>
              <w:t>scholarships </w:t>
            </w:r>
            <w:r>
              <w:rPr>
                <w:rFonts w:ascii="Segoe UI"/>
                <w:color w:val="231F20"/>
                <w:sz w:val="18"/>
              </w:rPr>
              <w:t>(Smith</w:t>
            </w:r>
            <w:r>
              <w:rPr>
                <w:rFonts w:ascii="Segoe UI"/>
                <w:color w:val="231F20"/>
                <w:spacing w:val="-3"/>
                <w:sz w:val="18"/>
              </w:rPr>
              <w:t> </w:t>
            </w:r>
            <w:r>
              <w:rPr>
                <w:rFonts w:ascii="Segoe UI"/>
                <w:color w:val="231F20"/>
                <w:sz w:val="18"/>
              </w:rPr>
              <w:t>et</w:t>
            </w:r>
            <w:r>
              <w:rPr>
                <w:rFonts w:ascii="Segoe UI"/>
                <w:color w:val="231F20"/>
                <w:spacing w:val="-2"/>
                <w:sz w:val="18"/>
              </w:rPr>
              <w:t> </w:t>
            </w:r>
            <w:r>
              <w:rPr>
                <w:rFonts w:ascii="Segoe UI"/>
                <w:color w:val="231F20"/>
                <w:sz w:val="18"/>
              </w:rPr>
              <w:t>al</w:t>
            </w:r>
            <w:r>
              <w:rPr>
                <w:rFonts w:ascii="Segoe UI"/>
                <w:color w:val="231F20"/>
                <w:spacing w:val="22"/>
                <w:w w:val="99"/>
                <w:sz w:val="18"/>
              </w:rPr>
              <w:t> </w:t>
            </w:r>
            <w:r>
              <w:rPr>
                <w:rFonts w:ascii="Segoe UI"/>
                <w:color w:val="231F20"/>
                <w:spacing w:val="-1"/>
                <w:sz w:val="18"/>
              </w:rPr>
              <w:t>2017,</w:t>
            </w:r>
            <w:r>
              <w:rPr>
                <w:rFonts w:ascii="Segoe UI"/>
                <w:color w:val="231F20"/>
                <w:spacing w:val="-3"/>
                <w:sz w:val="18"/>
              </w:rPr>
              <w:t> </w:t>
            </w:r>
            <w:r>
              <w:rPr>
                <w:rFonts w:ascii="Segoe UI"/>
                <w:color w:val="231F20"/>
                <w:spacing w:val="-1"/>
                <w:sz w:val="18"/>
              </w:rPr>
              <w:t>Rogers,</w:t>
            </w:r>
            <w:r>
              <w:rPr>
                <w:rFonts w:ascii="Segoe UI"/>
                <w:color w:val="231F20"/>
                <w:spacing w:val="-3"/>
                <w:sz w:val="18"/>
              </w:rPr>
              <w:t> </w:t>
            </w:r>
            <w:r>
              <w:rPr>
                <w:rFonts w:ascii="Segoe UI"/>
                <w:color w:val="231F20"/>
                <w:sz w:val="18"/>
              </w:rPr>
              <w:t>2017)</w:t>
            </w:r>
            <w:r>
              <w:rPr>
                <w:rFonts w:ascii="Segoe UI"/>
                <w:sz w:val="18"/>
              </w:rPr>
            </w:r>
          </w:p>
          <w:p>
            <w:pPr>
              <w:pStyle w:val="TableParagraph"/>
              <w:spacing w:line="250" w:lineRule="auto" w:before="113"/>
              <w:ind w:left="108" w:right="133"/>
              <w:jc w:val="left"/>
              <w:rPr>
                <w:rFonts w:ascii="Segoe UI" w:hAnsi="Segoe UI" w:cs="Segoe UI" w:eastAsia="Segoe UI"/>
                <w:sz w:val="18"/>
                <w:szCs w:val="18"/>
              </w:rPr>
            </w:pPr>
            <w:r>
              <w:rPr>
                <w:rFonts w:ascii="Segoe UI"/>
                <w:color w:val="231F20"/>
                <w:sz w:val="18"/>
              </w:rPr>
              <w:t>There</w:t>
            </w:r>
            <w:r>
              <w:rPr>
                <w:rFonts w:ascii="Segoe UI"/>
                <w:color w:val="231F20"/>
                <w:spacing w:val="-4"/>
                <w:sz w:val="18"/>
              </w:rPr>
              <w:t> </w:t>
            </w:r>
            <w:r>
              <w:rPr>
                <w:rFonts w:ascii="Segoe UI"/>
                <w:color w:val="231F20"/>
                <w:spacing w:val="-1"/>
                <w:sz w:val="18"/>
              </w:rPr>
              <w:t>is</w:t>
            </w:r>
            <w:r>
              <w:rPr>
                <w:rFonts w:ascii="Segoe UI"/>
                <w:color w:val="231F20"/>
                <w:spacing w:val="-4"/>
                <w:sz w:val="18"/>
              </w:rPr>
              <w:t> </w:t>
            </w:r>
            <w:r>
              <w:rPr>
                <w:rFonts w:ascii="Segoe UI"/>
                <w:color w:val="231F20"/>
                <w:sz w:val="18"/>
              </w:rPr>
              <w:t>a</w:t>
            </w:r>
            <w:r>
              <w:rPr>
                <w:rFonts w:ascii="Segoe UI"/>
                <w:color w:val="231F20"/>
                <w:spacing w:val="-4"/>
                <w:sz w:val="18"/>
              </w:rPr>
              <w:t> </w:t>
            </w:r>
            <w:r>
              <w:rPr>
                <w:rFonts w:ascii="Segoe UI"/>
                <w:color w:val="231F20"/>
                <w:sz w:val="18"/>
              </w:rPr>
              <w:t>growing</w:t>
            </w:r>
            <w:r>
              <w:rPr>
                <w:rFonts w:ascii="Segoe UI"/>
                <w:color w:val="231F20"/>
                <w:spacing w:val="-4"/>
                <w:sz w:val="18"/>
              </w:rPr>
              <w:t> </w:t>
            </w:r>
            <w:r>
              <w:rPr>
                <w:rFonts w:ascii="Segoe UI"/>
                <w:color w:val="231F20"/>
                <w:sz w:val="18"/>
              </w:rPr>
              <w:t>body</w:t>
            </w:r>
            <w:r>
              <w:rPr>
                <w:rFonts w:ascii="Segoe UI"/>
                <w:color w:val="231F20"/>
                <w:spacing w:val="-5"/>
                <w:sz w:val="18"/>
              </w:rPr>
              <w:t> </w:t>
            </w:r>
            <w:r>
              <w:rPr>
                <w:rFonts w:ascii="Segoe UI"/>
                <w:color w:val="231F20"/>
                <w:sz w:val="18"/>
              </w:rPr>
              <w:t>of</w:t>
            </w:r>
            <w:r>
              <w:rPr>
                <w:rFonts w:ascii="Segoe UI"/>
                <w:color w:val="231F20"/>
                <w:spacing w:val="-3"/>
                <w:sz w:val="18"/>
              </w:rPr>
              <w:t> </w:t>
            </w:r>
            <w:r>
              <w:rPr>
                <w:rFonts w:ascii="Segoe UI"/>
                <w:color w:val="231F20"/>
                <w:sz w:val="18"/>
              </w:rPr>
              <w:t>evidence</w:t>
            </w:r>
            <w:r>
              <w:rPr>
                <w:rFonts w:ascii="Segoe UI"/>
                <w:color w:val="231F20"/>
                <w:spacing w:val="-5"/>
                <w:sz w:val="18"/>
              </w:rPr>
              <w:t> </w:t>
            </w:r>
            <w:r>
              <w:rPr>
                <w:rFonts w:ascii="Segoe UI"/>
                <w:color w:val="231F20"/>
                <w:sz w:val="18"/>
              </w:rPr>
              <w:t>to</w:t>
            </w:r>
            <w:r>
              <w:rPr>
                <w:rFonts w:ascii="Segoe UI"/>
                <w:color w:val="231F20"/>
                <w:spacing w:val="-3"/>
                <w:sz w:val="18"/>
              </w:rPr>
              <w:t> </w:t>
            </w:r>
            <w:r>
              <w:rPr>
                <w:rFonts w:ascii="Segoe UI"/>
                <w:color w:val="231F20"/>
                <w:spacing w:val="-1"/>
                <w:sz w:val="18"/>
              </w:rPr>
              <w:t>suggest</w:t>
            </w:r>
            <w:r>
              <w:rPr>
                <w:rFonts w:ascii="Segoe UI"/>
                <w:color w:val="231F20"/>
                <w:spacing w:val="-4"/>
                <w:sz w:val="18"/>
              </w:rPr>
              <w:t> </w:t>
            </w:r>
            <w:r>
              <w:rPr>
                <w:rFonts w:ascii="Segoe UI"/>
                <w:color w:val="231F20"/>
                <w:sz w:val="18"/>
              </w:rPr>
              <w:t>health</w:t>
            </w:r>
            <w:r>
              <w:rPr>
                <w:rFonts w:ascii="Segoe UI"/>
                <w:color w:val="231F20"/>
                <w:spacing w:val="23"/>
                <w:w w:val="99"/>
                <w:sz w:val="18"/>
              </w:rPr>
              <w:t> </w:t>
            </w:r>
            <w:r>
              <w:rPr>
                <w:rFonts w:ascii="Segoe UI"/>
                <w:color w:val="231F20"/>
                <w:sz w:val="18"/>
              </w:rPr>
              <w:t>and</w:t>
            </w:r>
            <w:r>
              <w:rPr>
                <w:rFonts w:ascii="Segoe UI"/>
                <w:color w:val="231F20"/>
                <w:spacing w:val="-7"/>
                <w:sz w:val="18"/>
              </w:rPr>
              <w:t> </w:t>
            </w:r>
            <w:r>
              <w:rPr>
                <w:rFonts w:ascii="Segoe UI"/>
                <w:color w:val="231F20"/>
                <w:sz w:val="18"/>
              </w:rPr>
              <w:t>wellbeing</w:t>
            </w:r>
            <w:r>
              <w:rPr>
                <w:rFonts w:ascii="Segoe UI"/>
                <w:color w:val="231F20"/>
                <w:spacing w:val="-7"/>
                <w:sz w:val="18"/>
              </w:rPr>
              <w:t> </w:t>
            </w:r>
            <w:r>
              <w:rPr>
                <w:rFonts w:ascii="Segoe UI"/>
                <w:color w:val="231F20"/>
                <w:spacing w:val="-1"/>
                <w:sz w:val="18"/>
              </w:rPr>
              <w:t>initiatives</w:t>
            </w:r>
            <w:r>
              <w:rPr>
                <w:rFonts w:ascii="Segoe UI"/>
                <w:color w:val="231F20"/>
                <w:spacing w:val="-5"/>
                <w:sz w:val="18"/>
              </w:rPr>
              <w:t> </w:t>
            </w:r>
            <w:r>
              <w:rPr>
                <w:rFonts w:ascii="Segoe UI"/>
                <w:color w:val="231F20"/>
                <w:sz w:val="18"/>
              </w:rPr>
              <w:t>have</w:t>
            </w:r>
            <w:r>
              <w:rPr>
                <w:rFonts w:ascii="Segoe UI"/>
                <w:color w:val="231F20"/>
                <w:spacing w:val="-7"/>
                <w:sz w:val="18"/>
              </w:rPr>
              <w:t> </w:t>
            </w:r>
            <w:r>
              <w:rPr>
                <w:rFonts w:ascii="Segoe UI"/>
                <w:color w:val="231F20"/>
                <w:spacing w:val="-1"/>
                <w:sz w:val="18"/>
              </w:rPr>
              <w:t>improved</w:t>
            </w:r>
            <w:r>
              <w:rPr>
                <w:rFonts w:ascii="Segoe UI"/>
                <w:color w:val="231F20"/>
                <w:spacing w:val="-5"/>
                <w:sz w:val="18"/>
              </w:rPr>
              <w:t> </w:t>
            </w:r>
            <w:r>
              <w:rPr>
                <w:rFonts w:ascii="Segoe UI"/>
                <w:color w:val="231F20"/>
                <w:spacing w:val="-1"/>
                <w:sz w:val="18"/>
              </w:rPr>
              <w:t>student</w:t>
            </w:r>
            <w:r>
              <w:rPr>
                <w:rFonts w:ascii="Segoe UI"/>
                <w:color w:val="231F20"/>
                <w:spacing w:val="22"/>
                <w:w w:val="99"/>
                <w:sz w:val="18"/>
              </w:rPr>
              <w:t> </w:t>
            </w:r>
            <w:r>
              <w:rPr>
                <w:rFonts w:ascii="Segoe UI"/>
                <w:color w:val="231F20"/>
                <w:sz w:val="18"/>
              </w:rPr>
              <w:t>outcomes</w:t>
            </w:r>
            <w:r>
              <w:rPr>
                <w:rFonts w:ascii="Segoe UI"/>
                <w:color w:val="231F20"/>
                <w:spacing w:val="-5"/>
                <w:sz w:val="18"/>
              </w:rPr>
              <w:t> </w:t>
            </w:r>
            <w:r>
              <w:rPr>
                <w:rFonts w:ascii="Segoe UI"/>
                <w:color w:val="231F20"/>
                <w:spacing w:val="-1"/>
                <w:sz w:val="18"/>
              </w:rPr>
              <w:t>(Study</w:t>
            </w:r>
            <w:r>
              <w:rPr>
                <w:rFonts w:ascii="Segoe UI"/>
                <w:color w:val="231F20"/>
                <w:spacing w:val="-5"/>
                <w:sz w:val="18"/>
              </w:rPr>
              <w:t> </w:t>
            </w:r>
            <w:r>
              <w:rPr>
                <w:rFonts w:ascii="Segoe UI"/>
                <w:color w:val="231F20"/>
                <w:spacing w:val="-1"/>
                <w:sz w:val="18"/>
              </w:rPr>
              <w:t>Away</w:t>
            </w:r>
            <w:r>
              <w:rPr>
                <w:rFonts w:ascii="Segoe UI"/>
                <w:color w:val="231F20"/>
                <w:spacing w:val="-5"/>
                <w:sz w:val="18"/>
              </w:rPr>
              <w:t> </w:t>
            </w:r>
            <w:r>
              <w:rPr>
                <w:rFonts w:ascii="Segoe UI"/>
                <w:color w:val="231F20"/>
                <w:spacing w:val="-1"/>
                <w:sz w:val="18"/>
              </w:rPr>
              <w:t>Review)</w:t>
            </w:r>
            <w:r>
              <w:rPr>
                <w:rFonts w:ascii="Segoe UI"/>
                <w:sz w:val="18"/>
              </w:rPr>
            </w:r>
          </w:p>
        </w:tc>
        <w:tc>
          <w:tcPr>
            <w:tcW w:w="115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45"/>
              <w:ind w:left="108" w:right="0"/>
              <w:jc w:val="left"/>
              <w:rPr>
                <w:rFonts w:ascii="Segoe UI" w:hAnsi="Segoe UI" w:cs="Segoe UI" w:eastAsia="Segoe UI"/>
                <w:sz w:val="18"/>
                <w:szCs w:val="18"/>
              </w:rPr>
            </w:pPr>
            <w:r>
              <w:rPr>
                <w:rFonts w:ascii="Segoe UI"/>
                <w:color w:val="231F20"/>
                <w:sz w:val="18"/>
              </w:rPr>
              <w:t>Low</w:t>
            </w:r>
            <w:r>
              <w:rPr>
                <w:rFonts w:ascii="Segoe UI"/>
                <w:sz w:val="18"/>
              </w:rPr>
            </w:r>
          </w:p>
        </w:tc>
      </w:tr>
      <w:tr>
        <w:trPr>
          <w:trHeight w:val="1358" w:hRule="exact"/>
        </w:trPr>
        <w:tc>
          <w:tcPr>
            <w:tcW w:w="3056" w:type="dxa"/>
            <w:tcBorders>
              <w:top w:val="single" w:sz="4" w:space="0" w:color="C1B5A9"/>
              <w:left w:val="single" w:sz="4" w:space="0" w:color="C1B5A9"/>
              <w:bottom w:val="single" w:sz="4" w:space="0" w:color="C1B5A9"/>
              <w:right w:val="single" w:sz="4" w:space="0" w:color="C1B5A9"/>
            </w:tcBorders>
            <w:shd w:val="clear" w:color="auto" w:fill="EFECE8"/>
          </w:tcPr>
          <w:p>
            <w:pPr>
              <w:pStyle w:val="TableParagraph"/>
              <w:spacing w:line="250" w:lineRule="auto" w:before="45"/>
              <w:ind w:left="108" w:right="465"/>
              <w:jc w:val="left"/>
              <w:rPr>
                <w:rFonts w:ascii="Segoe UI" w:hAnsi="Segoe UI" w:cs="Segoe UI" w:eastAsia="Segoe UI"/>
                <w:sz w:val="18"/>
                <w:szCs w:val="18"/>
              </w:rPr>
            </w:pPr>
            <w:r>
              <w:rPr>
                <w:rFonts w:ascii="Segoe UI"/>
                <w:color w:val="231F20"/>
                <w:spacing w:val="-1"/>
                <w:sz w:val="18"/>
              </w:rPr>
              <w:t>Investment in </w:t>
            </w:r>
            <w:r>
              <w:rPr>
                <w:rFonts w:ascii="Segoe UI"/>
                <w:color w:val="231F20"/>
                <w:sz w:val="18"/>
              </w:rPr>
              <w:t>family</w:t>
            </w:r>
            <w:r>
              <w:rPr>
                <w:rFonts w:ascii="Segoe UI"/>
                <w:color w:val="231F20"/>
                <w:spacing w:val="-2"/>
                <w:sz w:val="18"/>
              </w:rPr>
              <w:t> </w:t>
            </w:r>
            <w:r>
              <w:rPr>
                <w:rFonts w:ascii="Segoe UI"/>
                <w:color w:val="231F20"/>
                <w:sz w:val="18"/>
              </w:rPr>
              <w:t>and</w:t>
            </w:r>
            <w:r>
              <w:rPr>
                <w:rFonts w:ascii="Segoe UI"/>
                <w:color w:val="231F20"/>
                <w:spacing w:val="23"/>
                <w:w w:val="99"/>
                <w:sz w:val="18"/>
              </w:rPr>
              <w:t> </w:t>
            </w:r>
            <w:r>
              <w:rPr>
                <w:rFonts w:ascii="Segoe UI"/>
                <w:color w:val="231F20"/>
                <w:sz w:val="18"/>
              </w:rPr>
              <w:t>community</w:t>
            </w:r>
            <w:r>
              <w:rPr>
                <w:rFonts w:ascii="Segoe UI"/>
                <w:color w:val="231F20"/>
                <w:spacing w:val="-12"/>
                <w:sz w:val="18"/>
              </w:rPr>
              <w:t> </w:t>
            </w:r>
            <w:r>
              <w:rPr>
                <w:rFonts w:ascii="Segoe UI"/>
                <w:color w:val="231F20"/>
                <w:sz w:val="18"/>
              </w:rPr>
              <w:t>engagement</w:t>
            </w:r>
            <w:r>
              <w:rPr>
                <w:rFonts w:ascii="Segoe UI"/>
                <w:color w:val="231F20"/>
                <w:w w:val="99"/>
                <w:sz w:val="18"/>
              </w:rPr>
              <w:t> </w:t>
            </w:r>
            <w:r>
              <w:rPr>
                <w:rFonts w:ascii="Segoe UI"/>
                <w:color w:val="231F20"/>
                <w:spacing w:val="-1"/>
                <w:sz w:val="18"/>
              </w:rPr>
              <w:t>initiatives</w:t>
            </w:r>
            <w:r>
              <w:rPr>
                <w:rFonts w:ascii="Segoe UI"/>
                <w:color w:val="231F20"/>
                <w:spacing w:val="-5"/>
                <w:sz w:val="18"/>
              </w:rPr>
              <w:t> </w:t>
            </w:r>
            <w:r>
              <w:rPr>
                <w:rFonts w:ascii="Segoe UI"/>
                <w:color w:val="231F20"/>
                <w:sz w:val="18"/>
              </w:rPr>
              <w:t>for</w:t>
            </w:r>
            <w:r>
              <w:rPr>
                <w:rFonts w:ascii="Segoe UI"/>
                <w:color w:val="231F20"/>
                <w:spacing w:val="-5"/>
                <w:sz w:val="18"/>
              </w:rPr>
              <w:t> </w:t>
            </w:r>
            <w:r>
              <w:rPr>
                <w:rFonts w:ascii="Segoe UI"/>
                <w:color w:val="231F20"/>
                <w:sz w:val="18"/>
              </w:rPr>
              <w:t>boarding</w:t>
            </w:r>
            <w:r>
              <w:rPr>
                <w:rFonts w:ascii="Segoe UI"/>
                <w:color w:val="231F20"/>
                <w:spacing w:val="22"/>
                <w:w w:val="99"/>
                <w:sz w:val="18"/>
              </w:rPr>
              <w:t> </w:t>
            </w:r>
            <w:r>
              <w:rPr>
                <w:rFonts w:ascii="Segoe UI"/>
                <w:color w:val="231F20"/>
                <w:sz w:val="18"/>
              </w:rPr>
              <w:t>contributes</w:t>
            </w:r>
            <w:r>
              <w:rPr>
                <w:rFonts w:ascii="Segoe UI"/>
                <w:color w:val="231F20"/>
                <w:spacing w:val="-7"/>
                <w:sz w:val="18"/>
              </w:rPr>
              <w:t> </w:t>
            </w:r>
            <w:r>
              <w:rPr>
                <w:rFonts w:ascii="Segoe UI"/>
                <w:color w:val="231F20"/>
                <w:sz w:val="18"/>
              </w:rPr>
              <w:t>to</w:t>
            </w:r>
            <w:r>
              <w:rPr>
                <w:rFonts w:ascii="Segoe UI"/>
                <w:color w:val="231F20"/>
                <w:spacing w:val="-7"/>
                <w:sz w:val="18"/>
              </w:rPr>
              <w:t> </w:t>
            </w:r>
            <w:r>
              <w:rPr>
                <w:rFonts w:ascii="Segoe UI"/>
                <w:color w:val="231F20"/>
                <w:spacing w:val="-1"/>
                <w:sz w:val="18"/>
              </w:rPr>
              <w:t>increased</w:t>
            </w:r>
            <w:r>
              <w:rPr>
                <w:rFonts w:ascii="Segoe UI"/>
                <w:color w:val="231F20"/>
                <w:spacing w:val="-6"/>
                <w:sz w:val="18"/>
              </w:rPr>
              <w:t> </w:t>
            </w:r>
            <w:r>
              <w:rPr>
                <w:rFonts w:ascii="Segoe UI"/>
                <w:color w:val="231F20"/>
                <w:sz w:val="18"/>
              </w:rPr>
              <w:t>access</w:t>
            </w:r>
            <w:r>
              <w:rPr>
                <w:rFonts w:ascii="Segoe UI"/>
                <w:color w:val="231F20"/>
                <w:spacing w:val="22"/>
                <w:sz w:val="18"/>
              </w:rPr>
              <w:t> </w:t>
            </w:r>
            <w:r>
              <w:rPr>
                <w:rFonts w:ascii="Segoe UI"/>
                <w:color w:val="231F20"/>
                <w:sz w:val="18"/>
              </w:rPr>
              <w:t>to</w:t>
            </w:r>
            <w:r>
              <w:rPr>
                <w:rFonts w:ascii="Segoe UI"/>
                <w:color w:val="231F20"/>
                <w:spacing w:val="-11"/>
                <w:sz w:val="18"/>
              </w:rPr>
              <w:t> </w:t>
            </w:r>
            <w:r>
              <w:rPr>
                <w:rFonts w:ascii="Segoe UI"/>
                <w:color w:val="231F20"/>
                <w:sz w:val="18"/>
              </w:rPr>
              <w:t>educational</w:t>
            </w:r>
            <w:r>
              <w:rPr>
                <w:rFonts w:ascii="Segoe UI"/>
                <w:color w:val="231F20"/>
                <w:spacing w:val="-12"/>
                <w:sz w:val="18"/>
              </w:rPr>
              <w:t> </w:t>
            </w:r>
            <w:r>
              <w:rPr>
                <w:rFonts w:ascii="Segoe UI"/>
                <w:color w:val="231F20"/>
                <w:sz w:val="18"/>
              </w:rPr>
              <w:t>opportunities</w:t>
            </w:r>
            <w:r>
              <w:rPr>
                <w:rFonts w:ascii="Segoe UI"/>
                <w:sz w:val="18"/>
              </w:rPr>
            </w:r>
          </w:p>
        </w:tc>
        <w:tc>
          <w:tcPr>
            <w:tcW w:w="4564" w:type="dxa"/>
            <w:tcBorders>
              <w:top w:val="single" w:sz="4" w:space="0" w:color="C1B5A9"/>
              <w:left w:val="single" w:sz="4" w:space="0" w:color="C1B5A9"/>
              <w:bottom w:val="single" w:sz="4" w:space="0" w:color="C1B5A9"/>
              <w:right w:val="single" w:sz="4" w:space="0" w:color="C1B5A9"/>
            </w:tcBorders>
            <w:shd w:val="clear" w:color="auto" w:fill="EFECE8"/>
          </w:tcPr>
          <w:p>
            <w:pPr>
              <w:pStyle w:val="TableParagraph"/>
              <w:spacing w:line="250" w:lineRule="auto" w:before="45"/>
              <w:ind w:left="108" w:right="594"/>
              <w:jc w:val="left"/>
              <w:rPr>
                <w:rFonts w:ascii="Segoe UI" w:hAnsi="Segoe UI" w:cs="Segoe UI" w:eastAsia="Segoe UI"/>
                <w:sz w:val="18"/>
                <w:szCs w:val="18"/>
              </w:rPr>
            </w:pPr>
            <w:r>
              <w:rPr>
                <w:rFonts w:ascii="Segoe UI"/>
                <w:color w:val="231F20"/>
                <w:spacing w:val="-1"/>
                <w:sz w:val="18"/>
              </w:rPr>
              <w:t>Research</w:t>
            </w:r>
            <w:r>
              <w:rPr>
                <w:rFonts w:ascii="Segoe UI"/>
                <w:color w:val="231F20"/>
                <w:spacing w:val="-5"/>
                <w:sz w:val="18"/>
              </w:rPr>
              <w:t> </w:t>
            </w:r>
            <w:r>
              <w:rPr>
                <w:rFonts w:ascii="Segoe UI"/>
                <w:color w:val="231F20"/>
                <w:sz w:val="18"/>
              </w:rPr>
              <w:t>has</w:t>
            </w:r>
            <w:r>
              <w:rPr>
                <w:rFonts w:ascii="Segoe UI"/>
                <w:color w:val="231F20"/>
                <w:spacing w:val="-4"/>
                <w:sz w:val="18"/>
              </w:rPr>
              <w:t> </w:t>
            </w:r>
            <w:r>
              <w:rPr>
                <w:rFonts w:ascii="Segoe UI"/>
                <w:color w:val="231F20"/>
                <w:sz w:val="18"/>
              </w:rPr>
              <w:t>highlighted</w:t>
            </w:r>
            <w:r>
              <w:rPr>
                <w:rFonts w:ascii="Segoe UI"/>
                <w:color w:val="231F20"/>
                <w:spacing w:val="-5"/>
                <w:sz w:val="18"/>
              </w:rPr>
              <w:t> </w:t>
            </w:r>
            <w:r>
              <w:rPr>
                <w:rFonts w:ascii="Segoe UI"/>
                <w:color w:val="231F20"/>
                <w:sz w:val="18"/>
              </w:rPr>
              <w:t>a</w:t>
            </w:r>
            <w:r>
              <w:rPr>
                <w:rFonts w:ascii="Segoe UI"/>
                <w:color w:val="231F20"/>
                <w:spacing w:val="-4"/>
                <w:sz w:val="18"/>
              </w:rPr>
              <w:t> </w:t>
            </w:r>
            <w:r>
              <w:rPr>
                <w:rFonts w:ascii="Segoe UI"/>
                <w:color w:val="231F20"/>
                <w:sz w:val="18"/>
              </w:rPr>
              <w:t>number</w:t>
            </w:r>
            <w:r>
              <w:rPr>
                <w:rFonts w:ascii="Segoe UI"/>
                <w:color w:val="231F20"/>
                <w:spacing w:val="-5"/>
                <w:sz w:val="18"/>
              </w:rPr>
              <w:t> </w:t>
            </w:r>
            <w:r>
              <w:rPr>
                <w:rFonts w:ascii="Segoe UI"/>
                <w:color w:val="231F20"/>
                <w:sz w:val="18"/>
              </w:rPr>
              <w:t>of</w:t>
            </w:r>
            <w:r>
              <w:rPr>
                <w:rFonts w:ascii="Segoe UI"/>
                <w:color w:val="231F20"/>
                <w:spacing w:val="-4"/>
                <w:sz w:val="18"/>
              </w:rPr>
              <w:t> </w:t>
            </w:r>
            <w:r>
              <w:rPr>
                <w:rFonts w:ascii="Segoe UI"/>
                <w:color w:val="231F20"/>
                <w:spacing w:val="-1"/>
                <w:sz w:val="18"/>
              </w:rPr>
              <w:t>successful</w:t>
            </w:r>
            <w:r>
              <w:rPr>
                <w:rFonts w:ascii="Segoe UI"/>
                <w:color w:val="231F20"/>
                <w:spacing w:val="22"/>
                <w:sz w:val="18"/>
              </w:rPr>
              <w:t> </w:t>
            </w:r>
            <w:r>
              <w:rPr>
                <w:rFonts w:ascii="Segoe UI"/>
                <w:color w:val="231F20"/>
                <w:sz w:val="18"/>
              </w:rPr>
              <w:t>approaches</w:t>
            </w:r>
            <w:r>
              <w:rPr>
                <w:rFonts w:ascii="Segoe UI"/>
                <w:color w:val="231F20"/>
                <w:spacing w:val="-5"/>
                <w:sz w:val="18"/>
              </w:rPr>
              <w:t> </w:t>
            </w:r>
            <w:r>
              <w:rPr>
                <w:rFonts w:ascii="Segoe UI"/>
                <w:color w:val="231F20"/>
                <w:sz w:val="18"/>
              </w:rPr>
              <w:t>that</w:t>
            </w:r>
            <w:r>
              <w:rPr>
                <w:rFonts w:ascii="Segoe UI"/>
                <w:color w:val="231F20"/>
                <w:spacing w:val="-5"/>
                <w:sz w:val="18"/>
              </w:rPr>
              <w:t> </w:t>
            </w:r>
            <w:r>
              <w:rPr>
                <w:rFonts w:ascii="Segoe UI"/>
                <w:color w:val="231F20"/>
                <w:spacing w:val="-1"/>
                <w:sz w:val="18"/>
              </w:rPr>
              <w:t>schools</w:t>
            </w:r>
            <w:r>
              <w:rPr>
                <w:rFonts w:ascii="Segoe UI"/>
                <w:color w:val="231F20"/>
                <w:spacing w:val="-3"/>
                <w:sz w:val="18"/>
              </w:rPr>
              <w:t> </w:t>
            </w:r>
            <w:r>
              <w:rPr>
                <w:rFonts w:ascii="Segoe UI"/>
                <w:color w:val="231F20"/>
                <w:sz w:val="18"/>
              </w:rPr>
              <w:t>have</w:t>
            </w:r>
            <w:r>
              <w:rPr>
                <w:rFonts w:ascii="Segoe UI"/>
                <w:color w:val="231F20"/>
                <w:spacing w:val="-5"/>
                <w:sz w:val="18"/>
              </w:rPr>
              <w:t> </w:t>
            </w:r>
            <w:r>
              <w:rPr>
                <w:rFonts w:ascii="Segoe UI"/>
                <w:color w:val="231F20"/>
                <w:spacing w:val="-1"/>
                <w:sz w:val="18"/>
              </w:rPr>
              <w:t>implemented</w:t>
            </w:r>
            <w:r>
              <w:rPr>
                <w:rFonts w:ascii="Segoe UI"/>
                <w:color w:val="231F20"/>
                <w:spacing w:val="-4"/>
                <w:sz w:val="18"/>
              </w:rPr>
              <w:t> </w:t>
            </w:r>
            <w:r>
              <w:rPr>
                <w:rFonts w:ascii="Segoe UI"/>
                <w:color w:val="231F20"/>
                <w:sz w:val="18"/>
              </w:rPr>
              <w:t>for</w:t>
            </w:r>
            <w:r>
              <w:rPr>
                <w:rFonts w:ascii="Segoe UI"/>
                <w:color w:val="231F20"/>
                <w:spacing w:val="23"/>
                <w:w w:val="99"/>
                <w:sz w:val="18"/>
              </w:rPr>
              <w:t> </w:t>
            </w:r>
            <w:r>
              <w:rPr>
                <w:rFonts w:ascii="Segoe UI"/>
                <w:color w:val="231F20"/>
                <w:sz w:val="18"/>
              </w:rPr>
              <w:t>engaging</w:t>
            </w:r>
            <w:r>
              <w:rPr>
                <w:rFonts w:ascii="Segoe UI"/>
                <w:color w:val="231F20"/>
                <w:spacing w:val="-4"/>
                <w:sz w:val="18"/>
              </w:rPr>
              <w:t> </w:t>
            </w:r>
            <w:r>
              <w:rPr>
                <w:rFonts w:ascii="Segoe UI"/>
                <w:color w:val="231F20"/>
                <w:sz w:val="18"/>
              </w:rPr>
              <w:t>with</w:t>
            </w:r>
            <w:r>
              <w:rPr>
                <w:rFonts w:ascii="Segoe UI"/>
                <w:color w:val="231F20"/>
                <w:spacing w:val="-5"/>
                <w:sz w:val="18"/>
              </w:rPr>
              <w:t> </w:t>
            </w:r>
            <w:r>
              <w:rPr>
                <w:rFonts w:ascii="Segoe UI"/>
                <w:color w:val="231F20"/>
                <w:sz w:val="18"/>
              </w:rPr>
              <w:t>families</w:t>
            </w:r>
            <w:r>
              <w:rPr>
                <w:rFonts w:ascii="Segoe UI"/>
                <w:color w:val="231F20"/>
                <w:spacing w:val="-4"/>
                <w:sz w:val="18"/>
              </w:rPr>
              <w:t> </w:t>
            </w:r>
            <w:r>
              <w:rPr>
                <w:rFonts w:ascii="Segoe UI"/>
                <w:color w:val="231F20"/>
                <w:sz w:val="18"/>
              </w:rPr>
              <w:t>and</w:t>
            </w:r>
            <w:r>
              <w:rPr>
                <w:rFonts w:ascii="Segoe UI"/>
                <w:color w:val="231F20"/>
                <w:spacing w:val="-5"/>
                <w:sz w:val="18"/>
              </w:rPr>
              <w:t> </w:t>
            </w:r>
            <w:r>
              <w:rPr>
                <w:rFonts w:ascii="Segoe UI"/>
                <w:color w:val="231F20"/>
                <w:sz w:val="18"/>
              </w:rPr>
              <w:t>communities</w:t>
            </w:r>
            <w:r>
              <w:rPr>
                <w:rFonts w:ascii="Segoe UI"/>
                <w:color w:val="231F20"/>
                <w:spacing w:val="-5"/>
                <w:sz w:val="18"/>
              </w:rPr>
              <w:t> </w:t>
            </w:r>
            <w:r>
              <w:rPr>
                <w:rFonts w:ascii="Segoe UI"/>
                <w:color w:val="231F20"/>
                <w:spacing w:val="-1"/>
                <w:sz w:val="18"/>
              </w:rPr>
              <w:t>more</w:t>
            </w:r>
            <w:r>
              <w:rPr>
                <w:rFonts w:ascii="Segoe UI"/>
                <w:color w:val="231F20"/>
                <w:spacing w:val="19"/>
                <w:w w:val="99"/>
                <w:sz w:val="18"/>
              </w:rPr>
              <w:t> </w:t>
            </w:r>
            <w:r>
              <w:rPr>
                <w:rFonts w:ascii="Segoe UI"/>
                <w:color w:val="231F20"/>
                <w:sz w:val="18"/>
              </w:rPr>
              <w:t>generally</w:t>
            </w:r>
            <w:r>
              <w:rPr>
                <w:rFonts w:ascii="Segoe UI"/>
                <w:color w:val="231F20"/>
                <w:spacing w:val="-8"/>
                <w:sz w:val="18"/>
              </w:rPr>
              <w:t> </w:t>
            </w:r>
            <w:r>
              <w:rPr>
                <w:rFonts w:ascii="Segoe UI"/>
                <w:color w:val="231F20"/>
                <w:spacing w:val="-1"/>
                <w:sz w:val="18"/>
              </w:rPr>
              <w:t>(Study</w:t>
            </w:r>
            <w:r>
              <w:rPr>
                <w:rFonts w:ascii="Segoe UI"/>
                <w:color w:val="231F20"/>
                <w:spacing w:val="-7"/>
                <w:sz w:val="18"/>
              </w:rPr>
              <w:t> </w:t>
            </w:r>
            <w:r>
              <w:rPr>
                <w:rFonts w:ascii="Segoe UI"/>
                <w:color w:val="231F20"/>
                <w:spacing w:val="-1"/>
                <w:sz w:val="18"/>
              </w:rPr>
              <w:t>Away</w:t>
            </w:r>
            <w:r>
              <w:rPr>
                <w:rFonts w:ascii="Segoe UI"/>
                <w:color w:val="231F20"/>
                <w:spacing w:val="-7"/>
                <w:sz w:val="18"/>
              </w:rPr>
              <w:t> </w:t>
            </w:r>
            <w:r>
              <w:rPr>
                <w:rFonts w:ascii="Segoe UI"/>
                <w:color w:val="231F20"/>
                <w:spacing w:val="-1"/>
                <w:sz w:val="18"/>
              </w:rPr>
              <w:t>Review)</w:t>
            </w:r>
            <w:r>
              <w:rPr>
                <w:rFonts w:ascii="Segoe UI"/>
                <w:sz w:val="18"/>
              </w:rPr>
            </w:r>
          </w:p>
        </w:tc>
        <w:tc>
          <w:tcPr>
            <w:tcW w:w="1157" w:type="dxa"/>
            <w:tcBorders>
              <w:top w:val="single" w:sz="4" w:space="0" w:color="C1B5A9"/>
              <w:left w:val="single" w:sz="4" w:space="0" w:color="C1B5A9"/>
              <w:bottom w:val="single" w:sz="4" w:space="0" w:color="C1B5A9"/>
              <w:right w:val="single" w:sz="4" w:space="0" w:color="C1B5A9"/>
            </w:tcBorders>
            <w:shd w:val="clear" w:color="auto" w:fill="EFECE8"/>
          </w:tcPr>
          <w:p>
            <w:pPr>
              <w:pStyle w:val="TableParagraph"/>
              <w:spacing w:line="240" w:lineRule="auto" w:before="45"/>
              <w:ind w:left="108" w:right="0"/>
              <w:jc w:val="left"/>
              <w:rPr>
                <w:rFonts w:ascii="Segoe UI" w:hAnsi="Segoe UI" w:cs="Segoe UI" w:eastAsia="Segoe UI"/>
                <w:sz w:val="18"/>
                <w:szCs w:val="18"/>
              </w:rPr>
            </w:pPr>
            <w:r>
              <w:rPr>
                <w:rFonts w:ascii="Segoe UI"/>
                <w:color w:val="231F20"/>
                <w:sz w:val="18"/>
              </w:rPr>
              <w:t>Low</w:t>
            </w:r>
            <w:r>
              <w:rPr>
                <w:rFonts w:ascii="Segoe UI"/>
                <w:sz w:val="18"/>
              </w:rPr>
            </w:r>
          </w:p>
        </w:tc>
      </w:tr>
      <w:tr>
        <w:trPr>
          <w:trHeight w:val="1358" w:hRule="exact"/>
        </w:trPr>
        <w:tc>
          <w:tcPr>
            <w:tcW w:w="3056" w:type="dxa"/>
            <w:tcBorders>
              <w:top w:val="single" w:sz="4" w:space="0" w:color="C1B5A9"/>
              <w:left w:val="single" w:sz="4" w:space="0" w:color="C1B5A9"/>
              <w:bottom w:val="single" w:sz="4" w:space="0" w:color="C1B5A9"/>
              <w:right w:val="single" w:sz="4" w:space="0" w:color="C1B5A9"/>
            </w:tcBorders>
          </w:tcPr>
          <w:p>
            <w:pPr>
              <w:pStyle w:val="TableParagraph"/>
              <w:spacing w:line="250" w:lineRule="auto" w:before="45"/>
              <w:ind w:left="108" w:right="986"/>
              <w:jc w:val="left"/>
              <w:rPr>
                <w:rFonts w:ascii="Segoe UI" w:hAnsi="Segoe UI" w:cs="Segoe UI" w:eastAsia="Segoe UI"/>
                <w:sz w:val="18"/>
                <w:szCs w:val="18"/>
              </w:rPr>
            </w:pPr>
            <w:r>
              <w:rPr>
                <w:rFonts w:ascii="Segoe UI"/>
                <w:color w:val="231F20"/>
                <w:spacing w:val="-1"/>
                <w:sz w:val="18"/>
              </w:rPr>
              <w:t>Investment in </w:t>
            </w:r>
            <w:r>
              <w:rPr>
                <w:rFonts w:ascii="Segoe UI"/>
                <w:color w:val="231F20"/>
                <w:sz w:val="18"/>
              </w:rPr>
              <w:t>family</w:t>
            </w:r>
            <w:r>
              <w:rPr>
                <w:rFonts w:ascii="Segoe UI"/>
                <w:color w:val="231F20"/>
                <w:spacing w:val="-2"/>
                <w:sz w:val="18"/>
              </w:rPr>
              <w:t> </w:t>
            </w:r>
            <w:r>
              <w:rPr>
                <w:rFonts w:ascii="Segoe UI"/>
                <w:color w:val="231F20"/>
                <w:sz w:val="18"/>
              </w:rPr>
              <w:t>and</w:t>
            </w:r>
            <w:r>
              <w:rPr>
                <w:rFonts w:ascii="Segoe UI"/>
                <w:color w:val="231F20"/>
                <w:spacing w:val="23"/>
                <w:w w:val="99"/>
                <w:sz w:val="18"/>
              </w:rPr>
              <w:t> </w:t>
            </w:r>
            <w:r>
              <w:rPr>
                <w:rFonts w:ascii="Segoe UI"/>
                <w:color w:val="231F20"/>
                <w:sz w:val="18"/>
              </w:rPr>
              <w:t>community</w:t>
            </w:r>
            <w:r>
              <w:rPr>
                <w:rFonts w:ascii="Segoe UI"/>
                <w:color w:val="231F20"/>
                <w:spacing w:val="-12"/>
                <w:sz w:val="18"/>
              </w:rPr>
              <w:t> </w:t>
            </w:r>
            <w:r>
              <w:rPr>
                <w:rFonts w:ascii="Segoe UI"/>
                <w:color w:val="231F20"/>
                <w:sz w:val="18"/>
              </w:rPr>
              <w:t>engagement</w:t>
            </w:r>
            <w:r>
              <w:rPr>
                <w:rFonts w:ascii="Segoe UI"/>
                <w:color w:val="231F20"/>
                <w:w w:val="99"/>
                <w:sz w:val="18"/>
              </w:rPr>
              <w:t> </w:t>
            </w:r>
            <w:r>
              <w:rPr>
                <w:rFonts w:ascii="Segoe UI"/>
                <w:color w:val="231F20"/>
                <w:spacing w:val="-1"/>
                <w:sz w:val="18"/>
              </w:rPr>
              <w:t>initiatives</w:t>
            </w:r>
            <w:r>
              <w:rPr>
                <w:rFonts w:ascii="Segoe UI"/>
                <w:color w:val="231F20"/>
                <w:spacing w:val="-5"/>
                <w:sz w:val="18"/>
              </w:rPr>
              <w:t> </w:t>
            </w:r>
            <w:r>
              <w:rPr>
                <w:rFonts w:ascii="Segoe UI"/>
                <w:color w:val="231F20"/>
                <w:sz w:val="18"/>
              </w:rPr>
              <w:t>for</w:t>
            </w:r>
            <w:r>
              <w:rPr>
                <w:rFonts w:ascii="Segoe UI"/>
                <w:color w:val="231F20"/>
                <w:spacing w:val="-5"/>
                <w:sz w:val="18"/>
              </w:rPr>
              <w:t> </w:t>
            </w:r>
            <w:r>
              <w:rPr>
                <w:rFonts w:ascii="Segoe UI"/>
                <w:color w:val="231F20"/>
                <w:sz w:val="18"/>
              </w:rPr>
              <w:t>boarding</w:t>
            </w:r>
            <w:r>
              <w:rPr>
                <w:rFonts w:ascii="Segoe UI"/>
                <w:color w:val="231F20"/>
                <w:spacing w:val="22"/>
                <w:w w:val="99"/>
                <w:sz w:val="18"/>
              </w:rPr>
              <w:t> </w:t>
            </w:r>
            <w:r>
              <w:rPr>
                <w:rFonts w:ascii="Segoe UI"/>
                <w:color w:val="231F20"/>
                <w:sz w:val="18"/>
              </w:rPr>
              <w:t>contributes</w:t>
            </w:r>
            <w:r>
              <w:rPr>
                <w:rFonts w:ascii="Segoe UI"/>
                <w:color w:val="231F20"/>
                <w:spacing w:val="-10"/>
                <w:sz w:val="18"/>
              </w:rPr>
              <w:t> </w:t>
            </w:r>
            <w:r>
              <w:rPr>
                <w:rFonts w:ascii="Segoe UI"/>
                <w:color w:val="231F20"/>
                <w:sz w:val="18"/>
              </w:rPr>
              <w:t>to</w:t>
            </w:r>
            <w:r>
              <w:rPr>
                <w:rFonts w:ascii="Segoe UI"/>
                <w:color w:val="231F20"/>
                <w:spacing w:val="-10"/>
                <w:sz w:val="18"/>
              </w:rPr>
              <w:t> </w:t>
            </w:r>
            <w:r>
              <w:rPr>
                <w:rFonts w:ascii="Segoe UI"/>
                <w:color w:val="231F20"/>
                <w:spacing w:val="-1"/>
                <w:sz w:val="18"/>
              </w:rPr>
              <w:t>increased</w:t>
            </w:r>
            <w:r>
              <w:rPr>
                <w:rFonts w:ascii="Segoe UI"/>
                <w:color w:val="231F20"/>
                <w:spacing w:val="20"/>
                <w:w w:val="99"/>
                <w:sz w:val="18"/>
              </w:rPr>
              <w:t> </w:t>
            </w:r>
            <w:r>
              <w:rPr>
                <w:rFonts w:ascii="Segoe UI"/>
                <w:color w:val="231F20"/>
                <w:spacing w:val="-1"/>
                <w:sz w:val="18"/>
              </w:rPr>
              <w:t>school</w:t>
            </w:r>
            <w:r>
              <w:rPr>
                <w:rFonts w:ascii="Segoe UI"/>
                <w:color w:val="231F20"/>
                <w:spacing w:val="-9"/>
                <w:sz w:val="18"/>
              </w:rPr>
              <w:t> </w:t>
            </w:r>
            <w:r>
              <w:rPr>
                <w:rFonts w:ascii="Segoe UI"/>
                <w:color w:val="231F20"/>
                <w:sz w:val="18"/>
              </w:rPr>
              <w:t>attendance</w:t>
            </w:r>
            <w:r>
              <w:rPr>
                <w:rFonts w:ascii="Segoe UI"/>
                <w:sz w:val="18"/>
              </w:rPr>
            </w:r>
          </w:p>
        </w:tc>
        <w:tc>
          <w:tcPr>
            <w:tcW w:w="4564" w:type="dxa"/>
            <w:tcBorders>
              <w:top w:val="single" w:sz="4" w:space="0" w:color="C1B5A9"/>
              <w:left w:val="single" w:sz="4" w:space="0" w:color="C1B5A9"/>
              <w:bottom w:val="single" w:sz="4" w:space="0" w:color="C1B5A9"/>
              <w:right w:val="single" w:sz="4" w:space="0" w:color="C1B5A9"/>
            </w:tcBorders>
          </w:tcPr>
          <w:p>
            <w:pPr>
              <w:pStyle w:val="TableParagraph"/>
              <w:spacing w:line="250" w:lineRule="auto" w:before="45"/>
              <w:ind w:left="108" w:right="283"/>
              <w:jc w:val="left"/>
              <w:rPr>
                <w:rFonts w:ascii="Segoe UI" w:hAnsi="Segoe UI" w:cs="Segoe UI" w:eastAsia="Segoe UI"/>
                <w:sz w:val="18"/>
                <w:szCs w:val="18"/>
              </w:rPr>
            </w:pPr>
            <w:r>
              <w:rPr>
                <w:rFonts w:ascii="Segoe UI"/>
                <w:color w:val="231F20"/>
                <w:spacing w:val="-1"/>
                <w:sz w:val="18"/>
              </w:rPr>
              <w:t>Research</w:t>
            </w:r>
            <w:r>
              <w:rPr>
                <w:rFonts w:ascii="Segoe UI"/>
                <w:color w:val="231F20"/>
                <w:spacing w:val="-5"/>
                <w:sz w:val="18"/>
              </w:rPr>
              <w:t> </w:t>
            </w:r>
            <w:r>
              <w:rPr>
                <w:rFonts w:ascii="Segoe UI"/>
                <w:color w:val="231F20"/>
                <w:sz w:val="18"/>
              </w:rPr>
              <w:t>has</w:t>
            </w:r>
            <w:r>
              <w:rPr>
                <w:rFonts w:ascii="Segoe UI"/>
                <w:color w:val="231F20"/>
                <w:spacing w:val="-4"/>
                <w:sz w:val="18"/>
              </w:rPr>
              <w:t> </w:t>
            </w:r>
            <w:r>
              <w:rPr>
                <w:rFonts w:ascii="Segoe UI"/>
                <w:color w:val="231F20"/>
                <w:sz w:val="18"/>
              </w:rPr>
              <w:t>highlighted</w:t>
            </w:r>
            <w:r>
              <w:rPr>
                <w:rFonts w:ascii="Segoe UI"/>
                <w:color w:val="231F20"/>
                <w:spacing w:val="-5"/>
                <w:sz w:val="18"/>
              </w:rPr>
              <w:t> </w:t>
            </w:r>
            <w:r>
              <w:rPr>
                <w:rFonts w:ascii="Segoe UI"/>
                <w:color w:val="231F20"/>
                <w:sz w:val="18"/>
              </w:rPr>
              <w:t>a</w:t>
            </w:r>
            <w:r>
              <w:rPr>
                <w:rFonts w:ascii="Segoe UI"/>
                <w:color w:val="231F20"/>
                <w:spacing w:val="-4"/>
                <w:sz w:val="18"/>
              </w:rPr>
              <w:t> </w:t>
            </w:r>
            <w:r>
              <w:rPr>
                <w:rFonts w:ascii="Segoe UI"/>
                <w:color w:val="231F20"/>
                <w:sz w:val="18"/>
              </w:rPr>
              <w:t>number</w:t>
            </w:r>
            <w:r>
              <w:rPr>
                <w:rFonts w:ascii="Segoe UI"/>
                <w:color w:val="231F20"/>
                <w:spacing w:val="-5"/>
                <w:sz w:val="18"/>
              </w:rPr>
              <w:t> </w:t>
            </w:r>
            <w:r>
              <w:rPr>
                <w:rFonts w:ascii="Segoe UI"/>
                <w:color w:val="231F20"/>
                <w:sz w:val="18"/>
              </w:rPr>
              <w:t>of</w:t>
            </w:r>
            <w:r>
              <w:rPr>
                <w:rFonts w:ascii="Segoe UI"/>
                <w:color w:val="231F20"/>
                <w:spacing w:val="-4"/>
                <w:sz w:val="18"/>
              </w:rPr>
              <w:t> </w:t>
            </w:r>
            <w:r>
              <w:rPr>
                <w:rFonts w:ascii="Segoe UI"/>
                <w:color w:val="231F20"/>
                <w:spacing w:val="-1"/>
                <w:sz w:val="18"/>
              </w:rPr>
              <w:t>successful</w:t>
            </w:r>
            <w:r>
              <w:rPr>
                <w:rFonts w:ascii="Segoe UI"/>
                <w:color w:val="231F20"/>
                <w:spacing w:val="22"/>
                <w:sz w:val="18"/>
              </w:rPr>
              <w:t> </w:t>
            </w:r>
            <w:r>
              <w:rPr>
                <w:rFonts w:ascii="Segoe UI"/>
                <w:color w:val="231F20"/>
                <w:sz w:val="18"/>
              </w:rPr>
              <w:t>approaches</w:t>
            </w:r>
            <w:r>
              <w:rPr>
                <w:rFonts w:ascii="Segoe UI"/>
                <w:color w:val="231F20"/>
                <w:spacing w:val="-5"/>
                <w:sz w:val="18"/>
              </w:rPr>
              <w:t> </w:t>
            </w:r>
            <w:r>
              <w:rPr>
                <w:rFonts w:ascii="Segoe UI"/>
                <w:color w:val="231F20"/>
                <w:sz w:val="18"/>
              </w:rPr>
              <w:t>that</w:t>
            </w:r>
            <w:r>
              <w:rPr>
                <w:rFonts w:ascii="Segoe UI"/>
                <w:color w:val="231F20"/>
                <w:spacing w:val="-5"/>
                <w:sz w:val="18"/>
              </w:rPr>
              <w:t> </w:t>
            </w:r>
            <w:r>
              <w:rPr>
                <w:rFonts w:ascii="Segoe UI"/>
                <w:color w:val="231F20"/>
                <w:spacing w:val="-1"/>
                <w:sz w:val="18"/>
              </w:rPr>
              <w:t>schools</w:t>
            </w:r>
            <w:r>
              <w:rPr>
                <w:rFonts w:ascii="Segoe UI"/>
                <w:color w:val="231F20"/>
                <w:spacing w:val="-3"/>
                <w:sz w:val="18"/>
              </w:rPr>
              <w:t> </w:t>
            </w:r>
            <w:r>
              <w:rPr>
                <w:rFonts w:ascii="Segoe UI"/>
                <w:color w:val="231F20"/>
                <w:sz w:val="18"/>
              </w:rPr>
              <w:t>have</w:t>
            </w:r>
            <w:r>
              <w:rPr>
                <w:rFonts w:ascii="Segoe UI"/>
                <w:color w:val="231F20"/>
                <w:spacing w:val="-5"/>
                <w:sz w:val="18"/>
              </w:rPr>
              <w:t> </w:t>
            </w:r>
            <w:r>
              <w:rPr>
                <w:rFonts w:ascii="Segoe UI"/>
                <w:color w:val="231F20"/>
                <w:spacing w:val="-1"/>
                <w:sz w:val="18"/>
              </w:rPr>
              <w:t>implemented</w:t>
            </w:r>
            <w:r>
              <w:rPr>
                <w:rFonts w:ascii="Segoe UI"/>
                <w:color w:val="231F20"/>
                <w:spacing w:val="-4"/>
                <w:sz w:val="18"/>
              </w:rPr>
              <w:t> </w:t>
            </w:r>
            <w:r>
              <w:rPr>
                <w:rFonts w:ascii="Segoe UI"/>
                <w:color w:val="231F20"/>
                <w:sz w:val="18"/>
              </w:rPr>
              <w:t>for</w:t>
            </w:r>
            <w:r>
              <w:rPr>
                <w:rFonts w:ascii="Segoe UI"/>
                <w:color w:val="231F20"/>
                <w:spacing w:val="23"/>
                <w:w w:val="99"/>
                <w:sz w:val="18"/>
              </w:rPr>
              <w:t> </w:t>
            </w:r>
            <w:r>
              <w:rPr>
                <w:rFonts w:ascii="Segoe UI"/>
                <w:color w:val="231F20"/>
                <w:sz w:val="18"/>
              </w:rPr>
              <w:t>engaging</w:t>
            </w:r>
            <w:r>
              <w:rPr>
                <w:rFonts w:ascii="Segoe UI"/>
                <w:color w:val="231F20"/>
                <w:spacing w:val="-4"/>
                <w:sz w:val="18"/>
              </w:rPr>
              <w:t> </w:t>
            </w:r>
            <w:r>
              <w:rPr>
                <w:rFonts w:ascii="Segoe UI"/>
                <w:color w:val="231F20"/>
                <w:sz w:val="18"/>
              </w:rPr>
              <w:t>with</w:t>
            </w:r>
            <w:r>
              <w:rPr>
                <w:rFonts w:ascii="Segoe UI"/>
                <w:color w:val="231F20"/>
                <w:spacing w:val="-5"/>
                <w:sz w:val="18"/>
              </w:rPr>
              <w:t> </w:t>
            </w:r>
            <w:r>
              <w:rPr>
                <w:rFonts w:ascii="Segoe UI"/>
                <w:color w:val="231F20"/>
                <w:sz w:val="18"/>
              </w:rPr>
              <w:t>families</w:t>
            </w:r>
            <w:r>
              <w:rPr>
                <w:rFonts w:ascii="Segoe UI"/>
                <w:color w:val="231F20"/>
                <w:spacing w:val="-4"/>
                <w:sz w:val="18"/>
              </w:rPr>
              <w:t> </w:t>
            </w:r>
            <w:r>
              <w:rPr>
                <w:rFonts w:ascii="Segoe UI"/>
                <w:color w:val="231F20"/>
                <w:sz w:val="18"/>
              </w:rPr>
              <w:t>and</w:t>
            </w:r>
            <w:r>
              <w:rPr>
                <w:rFonts w:ascii="Segoe UI"/>
                <w:color w:val="231F20"/>
                <w:spacing w:val="-5"/>
                <w:sz w:val="18"/>
              </w:rPr>
              <w:t> </w:t>
            </w:r>
            <w:r>
              <w:rPr>
                <w:rFonts w:ascii="Segoe UI"/>
                <w:color w:val="231F20"/>
                <w:sz w:val="18"/>
              </w:rPr>
              <w:t>communities</w:t>
            </w:r>
            <w:r>
              <w:rPr>
                <w:rFonts w:ascii="Segoe UI"/>
                <w:color w:val="231F20"/>
                <w:spacing w:val="-5"/>
                <w:sz w:val="18"/>
              </w:rPr>
              <w:t> </w:t>
            </w:r>
            <w:r>
              <w:rPr>
                <w:rFonts w:ascii="Segoe UI"/>
                <w:color w:val="231F20"/>
                <w:spacing w:val="-1"/>
                <w:sz w:val="18"/>
              </w:rPr>
              <w:t>more</w:t>
            </w:r>
            <w:r>
              <w:rPr>
                <w:rFonts w:ascii="Segoe UI"/>
                <w:color w:val="231F20"/>
                <w:spacing w:val="19"/>
                <w:w w:val="99"/>
                <w:sz w:val="18"/>
              </w:rPr>
              <w:t> </w:t>
            </w:r>
            <w:r>
              <w:rPr>
                <w:rFonts w:ascii="Segoe UI"/>
                <w:color w:val="231F20"/>
                <w:sz w:val="18"/>
              </w:rPr>
              <w:t>generally</w:t>
            </w:r>
            <w:r>
              <w:rPr>
                <w:rFonts w:ascii="Segoe UI"/>
                <w:color w:val="231F20"/>
                <w:spacing w:val="-5"/>
                <w:sz w:val="18"/>
              </w:rPr>
              <w:t> </w:t>
            </w:r>
            <w:r>
              <w:rPr>
                <w:rFonts w:ascii="Segoe UI"/>
                <w:color w:val="231F20"/>
                <w:sz w:val="18"/>
              </w:rPr>
              <w:t>to</w:t>
            </w:r>
            <w:r>
              <w:rPr>
                <w:rFonts w:ascii="Segoe UI"/>
                <w:color w:val="231F20"/>
                <w:spacing w:val="-4"/>
                <w:sz w:val="18"/>
              </w:rPr>
              <w:t> </w:t>
            </w:r>
            <w:r>
              <w:rPr>
                <w:rFonts w:ascii="Segoe UI"/>
                <w:color w:val="231F20"/>
                <w:sz w:val="18"/>
              </w:rPr>
              <w:t>retain</w:t>
            </w:r>
            <w:r>
              <w:rPr>
                <w:rFonts w:ascii="Segoe UI"/>
                <w:color w:val="231F20"/>
                <w:spacing w:val="-5"/>
                <w:sz w:val="18"/>
              </w:rPr>
              <w:t> </w:t>
            </w:r>
            <w:r>
              <w:rPr>
                <w:rFonts w:ascii="Segoe UI"/>
                <w:color w:val="231F20"/>
                <w:spacing w:val="-1"/>
                <w:sz w:val="18"/>
              </w:rPr>
              <w:t>students</w:t>
            </w:r>
            <w:r>
              <w:rPr>
                <w:rFonts w:ascii="Segoe UI"/>
                <w:color w:val="231F20"/>
                <w:spacing w:val="-4"/>
                <w:sz w:val="18"/>
              </w:rPr>
              <w:t> </w:t>
            </w:r>
            <w:r>
              <w:rPr>
                <w:rFonts w:ascii="Segoe UI"/>
                <w:color w:val="231F20"/>
                <w:spacing w:val="-1"/>
                <w:sz w:val="18"/>
              </w:rPr>
              <w:t>in</w:t>
            </w:r>
            <w:r>
              <w:rPr>
                <w:rFonts w:ascii="Segoe UI"/>
                <w:color w:val="231F20"/>
                <w:spacing w:val="-4"/>
                <w:sz w:val="18"/>
              </w:rPr>
              <w:t> </w:t>
            </w:r>
            <w:r>
              <w:rPr>
                <w:rFonts w:ascii="Segoe UI"/>
                <w:color w:val="231F20"/>
                <w:sz w:val="18"/>
              </w:rPr>
              <w:t>boarding</w:t>
            </w:r>
            <w:r>
              <w:rPr>
                <w:rFonts w:ascii="Segoe UI"/>
                <w:color w:val="231F20"/>
                <w:spacing w:val="-5"/>
                <w:sz w:val="18"/>
              </w:rPr>
              <w:t> </w:t>
            </w:r>
            <w:r>
              <w:rPr>
                <w:rFonts w:ascii="Segoe UI"/>
                <w:color w:val="231F20"/>
                <w:spacing w:val="-2"/>
                <w:sz w:val="18"/>
              </w:rPr>
              <w:t>(Study</w:t>
            </w:r>
            <w:r>
              <w:rPr>
                <w:rFonts w:ascii="Segoe UI"/>
                <w:color w:val="231F20"/>
                <w:spacing w:val="-5"/>
                <w:sz w:val="18"/>
              </w:rPr>
              <w:t> </w:t>
            </w:r>
            <w:r>
              <w:rPr>
                <w:rFonts w:ascii="Segoe UI"/>
                <w:color w:val="231F20"/>
                <w:spacing w:val="-1"/>
                <w:sz w:val="18"/>
              </w:rPr>
              <w:t>Away</w:t>
            </w:r>
            <w:r>
              <w:rPr>
                <w:rFonts w:ascii="Segoe UI"/>
                <w:color w:val="231F20"/>
                <w:spacing w:val="28"/>
                <w:w w:val="99"/>
                <w:sz w:val="18"/>
              </w:rPr>
              <w:t> </w:t>
            </w:r>
            <w:r>
              <w:rPr>
                <w:rFonts w:ascii="Segoe UI"/>
                <w:color w:val="231F20"/>
                <w:spacing w:val="-1"/>
                <w:sz w:val="18"/>
              </w:rPr>
              <w:t>Review)</w:t>
            </w:r>
            <w:r>
              <w:rPr>
                <w:rFonts w:ascii="Segoe UI"/>
                <w:sz w:val="18"/>
              </w:rPr>
            </w:r>
          </w:p>
        </w:tc>
        <w:tc>
          <w:tcPr>
            <w:tcW w:w="1157"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45"/>
              <w:ind w:left="108" w:right="0"/>
              <w:jc w:val="left"/>
              <w:rPr>
                <w:rFonts w:ascii="Segoe UI" w:hAnsi="Segoe UI" w:cs="Segoe UI" w:eastAsia="Segoe UI"/>
                <w:sz w:val="18"/>
                <w:szCs w:val="18"/>
              </w:rPr>
            </w:pPr>
            <w:r>
              <w:rPr>
                <w:rFonts w:ascii="Segoe UI"/>
                <w:color w:val="231F20"/>
                <w:sz w:val="18"/>
              </w:rPr>
              <w:t>Low</w:t>
            </w:r>
            <w:r>
              <w:rPr>
                <w:rFonts w:ascii="Segoe UI"/>
                <w:sz w:val="18"/>
              </w:rPr>
            </w:r>
          </w:p>
        </w:tc>
      </w:tr>
    </w:tbl>
    <w:p>
      <w:pPr>
        <w:spacing w:line="240" w:lineRule="auto" w:before="3"/>
        <w:rPr>
          <w:rFonts w:ascii="Segoe UI Semibold" w:hAnsi="Segoe UI Semibold" w:cs="Segoe UI Semibold" w:eastAsia="Segoe UI Semibold"/>
          <w:b/>
          <w:bCs/>
          <w:sz w:val="18"/>
          <w:szCs w:val="18"/>
        </w:rPr>
      </w:pPr>
    </w:p>
    <w:p>
      <w:pPr>
        <w:pStyle w:val="BodyText"/>
        <w:spacing w:line="250" w:lineRule="exact" w:before="62"/>
        <w:ind w:left="100" w:right="269"/>
        <w:jc w:val="both"/>
      </w:pPr>
      <w:r>
        <w:rPr/>
        <w:pict>
          <v:group style="position:absolute;margin-left:525.409424pt;margin-top:78.307816pt;width:.1pt;height:.1pt;mso-position-horizontal-relative:page;mso-position-vertical-relative:paragraph;z-index:-227848" coordorigin="10508,1566" coordsize="2,2">
            <v:shape style="position:absolute;left:10508;top:1566;width:2;height:2" coordorigin="10508,1566" coordsize="0,0" path="m10508,1566l10508,1566e" filled="false" stroked="true" strokeweight="2pt" strokecolor="#355f92">
              <v:path arrowok="t"/>
            </v:shape>
            <w10:wrap type="none"/>
          </v:group>
        </w:pict>
      </w:r>
      <w:r>
        <w:rPr/>
        <w:pict>
          <v:group style="position:absolute;margin-left:86.039398pt;margin-top:78.307816pt;width:.1pt;height:.1pt;mso-position-horizontal-relative:page;mso-position-vertical-relative:paragraph;z-index:-227824" coordorigin="1721,1566" coordsize="2,2">
            <v:shape style="position:absolute;left:1721;top:1566;width:2;height:2" coordorigin="1721,1566" coordsize="0,0" path="m1721,1566l1721,1566e" filled="false" stroked="true" strokeweight="2pt" strokecolor="#355f92">
              <v:path arrowok="t"/>
            </v:shape>
            <w10:wrap type="none"/>
          </v:group>
        </w:pict>
      </w:r>
      <w:r>
        <w:rPr>
          <w:color w:val="231F20"/>
        </w:rPr>
        <w:t>The</w:t>
      </w:r>
      <w:r>
        <w:rPr>
          <w:color w:val="231F20"/>
          <w:spacing w:val="-5"/>
        </w:rPr>
        <w:t> </w:t>
      </w:r>
      <w:r>
        <w:rPr>
          <w:color w:val="231F20"/>
          <w:spacing w:val="-1"/>
        </w:rPr>
        <w:t>literature</w:t>
      </w:r>
      <w:r>
        <w:rPr>
          <w:color w:val="231F20"/>
          <w:spacing w:val="-5"/>
        </w:rPr>
        <w:t> </w:t>
      </w:r>
      <w:r>
        <w:rPr>
          <w:color w:val="231F20"/>
        </w:rPr>
        <w:t>and</w:t>
      </w:r>
      <w:r>
        <w:rPr>
          <w:color w:val="231F20"/>
          <w:spacing w:val="-5"/>
        </w:rPr>
        <w:t> </w:t>
      </w:r>
      <w:r>
        <w:rPr>
          <w:color w:val="231F20"/>
        </w:rPr>
        <w:t>the</w:t>
      </w:r>
      <w:r>
        <w:rPr>
          <w:color w:val="231F20"/>
          <w:spacing w:val="-6"/>
        </w:rPr>
        <w:t> </w:t>
      </w:r>
      <w:r>
        <w:rPr>
          <w:color w:val="231F20"/>
          <w:spacing w:val="-1"/>
        </w:rPr>
        <w:t>strength</w:t>
      </w:r>
      <w:r>
        <w:rPr>
          <w:color w:val="231F20"/>
          <w:spacing w:val="-4"/>
        </w:rPr>
        <w:t> </w:t>
      </w:r>
      <w:r>
        <w:rPr>
          <w:color w:val="231F20"/>
        </w:rPr>
        <w:t>of</w:t>
      </w:r>
      <w:r>
        <w:rPr>
          <w:color w:val="231F20"/>
          <w:spacing w:val="-4"/>
        </w:rPr>
        <w:t> </w:t>
      </w:r>
      <w:r>
        <w:rPr>
          <w:color w:val="231F20"/>
        </w:rPr>
        <w:t>evidence</w:t>
      </w:r>
      <w:r>
        <w:rPr>
          <w:color w:val="231F20"/>
          <w:spacing w:val="-6"/>
        </w:rPr>
        <w:t> </w:t>
      </w:r>
      <w:r>
        <w:rPr>
          <w:color w:val="231F20"/>
        </w:rPr>
        <w:t>table</w:t>
      </w:r>
      <w:r>
        <w:rPr>
          <w:color w:val="231F20"/>
          <w:spacing w:val="-6"/>
        </w:rPr>
        <w:t> </w:t>
      </w:r>
      <w:r>
        <w:rPr>
          <w:color w:val="231F20"/>
        </w:rPr>
        <w:t>above</w:t>
      </w:r>
      <w:r>
        <w:rPr>
          <w:color w:val="231F20"/>
          <w:spacing w:val="-5"/>
        </w:rPr>
        <w:t> </w:t>
      </w:r>
      <w:r>
        <w:rPr>
          <w:color w:val="231F20"/>
        </w:rPr>
        <w:t>highlight</w:t>
      </w:r>
      <w:r>
        <w:rPr>
          <w:color w:val="231F20"/>
          <w:spacing w:val="-6"/>
        </w:rPr>
        <w:t> </w:t>
      </w:r>
      <w:r>
        <w:rPr>
          <w:color w:val="231F20"/>
        </w:rPr>
        <w:t>the</w:t>
      </w:r>
      <w:r>
        <w:rPr>
          <w:color w:val="231F20"/>
          <w:spacing w:val="-5"/>
        </w:rPr>
        <w:t> </w:t>
      </w:r>
      <w:r>
        <w:rPr>
          <w:color w:val="231F20"/>
        </w:rPr>
        <w:t>need</w:t>
      </w:r>
      <w:r>
        <w:rPr>
          <w:color w:val="231F20"/>
          <w:spacing w:val="-6"/>
        </w:rPr>
        <w:t> </w:t>
      </w:r>
      <w:r>
        <w:rPr>
          <w:color w:val="231F20"/>
        </w:rPr>
        <w:t>for</w:t>
      </w:r>
      <w:r>
        <w:rPr>
          <w:color w:val="231F20"/>
          <w:spacing w:val="-5"/>
        </w:rPr>
        <w:t> </w:t>
      </w:r>
      <w:r>
        <w:rPr>
          <w:color w:val="231F20"/>
        </w:rPr>
        <w:t>further</w:t>
      </w:r>
      <w:r>
        <w:rPr>
          <w:color w:val="231F20"/>
          <w:spacing w:val="-4"/>
        </w:rPr>
        <w:t> </w:t>
      </w:r>
      <w:r>
        <w:rPr>
          <w:color w:val="231F20"/>
        </w:rPr>
        <w:t>research</w:t>
      </w:r>
      <w:r>
        <w:rPr>
          <w:color w:val="231F20"/>
          <w:spacing w:val="-6"/>
        </w:rPr>
        <w:t> </w:t>
      </w:r>
      <w:r>
        <w:rPr>
          <w:color w:val="231F20"/>
        </w:rPr>
        <w:t>and</w:t>
      </w:r>
      <w:r>
        <w:rPr>
          <w:color w:val="231F20"/>
          <w:spacing w:val="23"/>
          <w:w w:val="99"/>
        </w:rPr>
        <w:t> </w:t>
      </w:r>
      <w:r>
        <w:rPr>
          <w:color w:val="231F20"/>
        </w:rPr>
        <w:t>data</w:t>
      </w:r>
      <w:r>
        <w:rPr>
          <w:color w:val="231F20"/>
          <w:spacing w:val="-5"/>
        </w:rPr>
        <w:t> </w:t>
      </w:r>
      <w:r>
        <w:rPr>
          <w:color w:val="231F20"/>
        </w:rPr>
        <w:t>collection</w:t>
      </w:r>
      <w:r>
        <w:rPr>
          <w:color w:val="231F20"/>
          <w:spacing w:val="-4"/>
        </w:rPr>
        <w:t> </w:t>
      </w:r>
      <w:r>
        <w:rPr>
          <w:color w:val="231F20"/>
        </w:rPr>
        <w:t>to</w:t>
      </w:r>
      <w:r>
        <w:rPr>
          <w:color w:val="231F20"/>
          <w:spacing w:val="-3"/>
        </w:rPr>
        <w:t> </w:t>
      </w:r>
      <w:r>
        <w:rPr>
          <w:color w:val="231F20"/>
        </w:rPr>
        <w:t>assess</w:t>
      </w:r>
      <w:r>
        <w:rPr>
          <w:color w:val="231F20"/>
          <w:spacing w:val="-4"/>
        </w:rPr>
        <w:t> </w:t>
      </w:r>
      <w:r>
        <w:rPr>
          <w:color w:val="231F20"/>
        </w:rPr>
        <w:t>whether</w:t>
      </w:r>
      <w:r>
        <w:rPr>
          <w:color w:val="231F20"/>
          <w:spacing w:val="-4"/>
        </w:rPr>
        <w:t> </w:t>
      </w:r>
      <w:r>
        <w:rPr>
          <w:color w:val="231F20"/>
        </w:rPr>
        <w:t>the</w:t>
      </w:r>
      <w:r>
        <w:rPr>
          <w:color w:val="231F20"/>
          <w:spacing w:val="-4"/>
        </w:rPr>
        <w:t> </w:t>
      </w:r>
      <w:r>
        <w:rPr>
          <w:color w:val="231F20"/>
          <w:spacing w:val="-1"/>
        </w:rPr>
        <w:t>investment</w:t>
      </w:r>
      <w:r>
        <w:rPr>
          <w:color w:val="231F20"/>
          <w:spacing w:val="-3"/>
        </w:rPr>
        <w:t> </w:t>
      </w:r>
      <w:r>
        <w:rPr>
          <w:color w:val="231F20"/>
          <w:spacing w:val="-1"/>
        </w:rPr>
        <w:t>in</w:t>
      </w:r>
      <w:r>
        <w:rPr>
          <w:color w:val="231F20"/>
          <w:spacing w:val="-3"/>
        </w:rPr>
        <w:t> </w:t>
      </w:r>
      <w:r>
        <w:rPr>
          <w:color w:val="231F20"/>
        </w:rPr>
        <w:t>boarding</w:t>
      </w:r>
      <w:r>
        <w:rPr>
          <w:color w:val="231F20"/>
          <w:spacing w:val="-5"/>
        </w:rPr>
        <w:t> </w:t>
      </w:r>
      <w:r>
        <w:rPr>
          <w:color w:val="231F20"/>
          <w:spacing w:val="-1"/>
        </w:rPr>
        <w:t>is</w:t>
      </w:r>
      <w:r>
        <w:rPr>
          <w:color w:val="231F20"/>
          <w:spacing w:val="-4"/>
        </w:rPr>
        <w:t> </w:t>
      </w:r>
      <w:r>
        <w:rPr>
          <w:color w:val="231F20"/>
        </w:rPr>
        <w:t>delivering</w:t>
      </w:r>
      <w:r>
        <w:rPr>
          <w:color w:val="231F20"/>
          <w:spacing w:val="-4"/>
        </w:rPr>
        <w:t> </w:t>
      </w:r>
      <w:r>
        <w:rPr>
          <w:color w:val="231F20"/>
          <w:spacing w:val="-1"/>
        </w:rPr>
        <w:t>its</w:t>
      </w:r>
      <w:r>
        <w:rPr>
          <w:color w:val="231F20"/>
          <w:spacing w:val="-3"/>
        </w:rPr>
        <w:t> </w:t>
      </w:r>
      <w:r>
        <w:rPr>
          <w:color w:val="231F20"/>
          <w:spacing w:val="-1"/>
        </w:rPr>
        <w:t>intended</w:t>
      </w:r>
      <w:r>
        <w:rPr>
          <w:color w:val="231F20"/>
          <w:spacing w:val="-3"/>
        </w:rPr>
        <w:t> </w:t>
      </w:r>
      <w:r>
        <w:rPr>
          <w:color w:val="231F20"/>
        </w:rPr>
        <w:t>and</w:t>
      </w:r>
      <w:r>
        <w:rPr>
          <w:color w:val="231F20"/>
          <w:spacing w:val="-4"/>
        </w:rPr>
        <w:t> </w:t>
      </w:r>
      <w:r>
        <w:rPr>
          <w:color w:val="231F20"/>
        </w:rPr>
        <w:t>desired</w:t>
      </w:r>
      <w:r>
        <w:rPr>
          <w:color w:val="231F20"/>
          <w:spacing w:val="26"/>
          <w:w w:val="99"/>
        </w:rPr>
        <w:t> </w:t>
      </w:r>
      <w:r>
        <w:rPr>
          <w:color w:val="231F20"/>
        </w:rPr>
        <w:t>outcomes.</w:t>
      </w:r>
      <w:r>
        <w:rPr/>
      </w: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9"/>
        <w:rPr>
          <w:rFonts w:ascii="Segoe UI" w:hAnsi="Segoe UI" w:cs="Segoe UI" w:eastAsia="Segoe UI"/>
          <w:sz w:val="16"/>
          <w:szCs w:val="16"/>
        </w:rPr>
      </w:pPr>
    </w:p>
    <w:p>
      <w:pPr>
        <w:spacing w:line="200" w:lineRule="atLeast"/>
        <w:ind w:left="120" w:right="0" w:firstLine="0"/>
        <w:rPr>
          <w:rFonts w:ascii="Segoe UI" w:hAnsi="Segoe UI" w:cs="Segoe UI" w:eastAsia="Segoe UI"/>
          <w:sz w:val="20"/>
          <w:szCs w:val="20"/>
        </w:rPr>
      </w:pPr>
      <w:r>
        <w:rPr>
          <w:rFonts w:ascii="Segoe UI" w:hAnsi="Segoe UI" w:cs="Segoe UI" w:eastAsia="Segoe UI"/>
          <w:sz w:val="20"/>
          <w:szCs w:val="20"/>
        </w:rPr>
        <w:pict>
          <v:shape style="width:439.4pt;height:133.65pt;mso-position-horizontal-relative:char;mso-position-vertical-relative:line" type="#_x0000_t202" filled="true" fillcolor="#ecf1f5" stroked="true" strokeweight="2pt" strokecolor="#355f92">
            <v:textbox inset="0,0,0,0">
              <w:txbxContent>
                <w:p>
                  <w:pPr>
                    <w:spacing w:before="169"/>
                    <w:ind w:left="277" w:right="0" w:firstLine="0"/>
                    <w:jc w:val="left"/>
                    <w:rPr>
                      <w:rFonts w:ascii="Segoe UI Semibold" w:hAnsi="Segoe UI Semibold" w:cs="Segoe UI Semibold" w:eastAsia="Segoe UI Semibold"/>
                      <w:sz w:val="24"/>
                      <w:szCs w:val="24"/>
                    </w:rPr>
                  </w:pPr>
                  <w:r>
                    <w:rPr>
                      <w:rFonts w:ascii="Segoe UI Semibold"/>
                      <w:b/>
                      <w:color w:val="452A70"/>
                      <w:spacing w:val="-2"/>
                      <w:sz w:val="24"/>
                    </w:rPr>
                    <w:t>RECOMMENDATION</w:t>
                  </w:r>
                  <w:r>
                    <w:rPr>
                      <w:rFonts w:ascii="Segoe UI Semibold"/>
                      <w:b/>
                      <w:color w:val="452A70"/>
                      <w:spacing w:val="-9"/>
                      <w:sz w:val="24"/>
                    </w:rPr>
                    <w:t> </w:t>
                  </w:r>
                  <w:r>
                    <w:rPr>
                      <w:rFonts w:ascii="Segoe UI Semibold"/>
                      <w:b/>
                      <w:color w:val="452A70"/>
                      <w:spacing w:val="-1"/>
                      <w:sz w:val="24"/>
                    </w:rPr>
                    <w:t>1:</w:t>
                  </w:r>
                  <w:r>
                    <w:rPr>
                      <w:rFonts w:ascii="Segoe UI Semibold"/>
                      <w:b/>
                      <w:color w:val="452A70"/>
                      <w:spacing w:val="-8"/>
                      <w:sz w:val="24"/>
                    </w:rPr>
                    <w:t> </w:t>
                  </w:r>
                  <w:r>
                    <w:rPr>
                      <w:rFonts w:ascii="Segoe UI Semibold"/>
                      <w:b/>
                      <w:color w:val="452A70"/>
                      <w:spacing w:val="-10"/>
                      <w:sz w:val="24"/>
                    </w:rPr>
                    <w:t>DA</w:t>
                  </w:r>
                  <w:r>
                    <w:rPr>
                      <w:rFonts w:ascii="Segoe UI Semibold"/>
                      <w:b/>
                      <w:color w:val="452A70"/>
                      <w:spacing w:val="-11"/>
                      <w:sz w:val="24"/>
                    </w:rPr>
                    <w:t>T</w:t>
                  </w:r>
                  <w:r>
                    <w:rPr>
                      <w:rFonts w:ascii="Segoe UI Semibold"/>
                      <w:b/>
                      <w:color w:val="452A70"/>
                      <w:spacing w:val="-10"/>
                      <w:sz w:val="24"/>
                    </w:rPr>
                    <w:t>A</w:t>
                  </w:r>
                  <w:r>
                    <w:rPr>
                      <w:rFonts w:ascii="Segoe UI Semibold"/>
                      <w:b/>
                      <w:color w:val="452A70"/>
                      <w:spacing w:val="-9"/>
                      <w:sz w:val="24"/>
                    </w:rPr>
                    <w:t> </w:t>
                  </w:r>
                  <w:r>
                    <w:rPr>
                      <w:rFonts w:ascii="Segoe UI Semibold"/>
                      <w:b/>
                      <w:color w:val="452A70"/>
                      <w:spacing w:val="-1"/>
                      <w:sz w:val="24"/>
                    </w:rPr>
                    <w:t>RECORDING</w:t>
                  </w:r>
                  <w:r>
                    <w:rPr>
                      <w:rFonts w:ascii="Segoe UI Semibold"/>
                      <w:sz w:val="24"/>
                    </w:rPr>
                  </w:r>
                </w:p>
                <w:p>
                  <w:pPr>
                    <w:spacing w:line="250" w:lineRule="exact" w:before="131"/>
                    <w:ind w:left="277" w:right="392" w:firstLine="0"/>
                    <w:jc w:val="left"/>
                    <w:rPr>
                      <w:rFonts w:ascii="Segoe UI" w:hAnsi="Segoe UI" w:cs="Segoe UI" w:eastAsia="Segoe UI"/>
                      <w:sz w:val="20"/>
                      <w:szCs w:val="20"/>
                    </w:rPr>
                  </w:pPr>
                  <w:r>
                    <w:rPr>
                      <w:rFonts w:ascii="Segoe UI"/>
                      <w:color w:val="452A70"/>
                      <w:sz w:val="20"/>
                    </w:rPr>
                    <w:t>Improve and refine data collection by boarding providers for Aboriginal and </w:t>
                  </w:r>
                  <w:r>
                    <w:rPr>
                      <w:rFonts w:ascii="Segoe UI"/>
                      <w:color w:val="452A70"/>
                      <w:spacing w:val="-4"/>
                      <w:sz w:val="20"/>
                    </w:rPr>
                    <w:t>Torres</w:t>
                  </w:r>
                  <w:r>
                    <w:rPr>
                      <w:rFonts w:ascii="Segoe UI"/>
                      <w:color w:val="452A70"/>
                      <w:sz w:val="20"/>
                    </w:rPr>
                    <w:t> </w:t>
                  </w:r>
                  <w:r>
                    <w:rPr>
                      <w:rFonts w:ascii="Segoe UI"/>
                      <w:color w:val="452A70"/>
                      <w:spacing w:val="-2"/>
                      <w:sz w:val="20"/>
                    </w:rPr>
                    <w:t>Strait</w:t>
                  </w:r>
                  <w:r>
                    <w:rPr>
                      <w:rFonts w:ascii="Segoe UI"/>
                      <w:color w:val="452A70"/>
                      <w:spacing w:val="28"/>
                      <w:sz w:val="20"/>
                    </w:rPr>
                    <w:t> </w:t>
                  </w:r>
                  <w:r>
                    <w:rPr>
                      <w:rFonts w:ascii="Segoe UI"/>
                      <w:color w:val="452A70"/>
                      <w:spacing w:val="-1"/>
                      <w:sz w:val="20"/>
                    </w:rPr>
                    <w:t>Islander</w:t>
                  </w:r>
                  <w:r>
                    <w:rPr>
                      <w:rFonts w:ascii="Segoe UI"/>
                      <w:color w:val="452A70"/>
                      <w:spacing w:val="-5"/>
                      <w:sz w:val="20"/>
                    </w:rPr>
                    <w:t> </w:t>
                  </w:r>
                  <w:r>
                    <w:rPr>
                      <w:rFonts w:ascii="Segoe UI"/>
                      <w:color w:val="452A70"/>
                      <w:spacing w:val="-1"/>
                      <w:sz w:val="20"/>
                    </w:rPr>
                    <w:t>students</w:t>
                  </w:r>
                  <w:r>
                    <w:rPr>
                      <w:rFonts w:ascii="Segoe UI"/>
                      <w:color w:val="452A70"/>
                      <w:spacing w:val="-4"/>
                      <w:sz w:val="20"/>
                    </w:rPr>
                    <w:t> </w:t>
                  </w:r>
                  <w:r>
                    <w:rPr>
                      <w:rFonts w:ascii="Segoe UI"/>
                      <w:color w:val="452A70"/>
                      <w:sz w:val="20"/>
                    </w:rPr>
                    <w:t>to</w:t>
                  </w:r>
                  <w:r>
                    <w:rPr>
                      <w:rFonts w:ascii="Segoe UI"/>
                      <w:color w:val="452A70"/>
                      <w:spacing w:val="-5"/>
                      <w:sz w:val="20"/>
                    </w:rPr>
                    <w:t> </w:t>
                  </w:r>
                  <w:r>
                    <w:rPr>
                      <w:rFonts w:ascii="Segoe UI"/>
                      <w:color w:val="452A70"/>
                      <w:sz w:val="20"/>
                    </w:rPr>
                    <w:t>assist</w:t>
                  </w:r>
                  <w:r>
                    <w:rPr>
                      <w:rFonts w:ascii="Segoe UI"/>
                      <w:color w:val="452A70"/>
                      <w:spacing w:val="-5"/>
                      <w:sz w:val="20"/>
                    </w:rPr>
                    <w:t> </w:t>
                  </w:r>
                  <w:r>
                    <w:rPr>
                      <w:rFonts w:ascii="Segoe UI"/>
                      <w:color w:val="452A70"/>
                      <w:sz w:val="20"/>
                    </w:rPr>
                    <w:t>government</w:t>
                  </w:r>
                  <w:r>
                    <w:rPr>
                      <w:rFonts w:ascii="Segoe UI"/>
                      <w:color w:val="452A70"/>
                      <w:spacing w:val="-6"/>
                      <w:sz w:val="20"/>
                    </w:rPr>
                    <w:t> </w:t>
                  </w:r>
                  <w:r>
                    <w:rPr>
                      <w:rFonts w:ascii="Segoe UI"/>
                      <w:color w:val="452A70"/>
                      <w:sz w:val="20"/>
                    </w:rPr>
                    <w:t>and</w:t>
                  </w:r>
                  <w:r>
                    <w:rPr>
                      <w:rFonts w:ascii="Segoe UI"/>
                      <w:color w:val="452A70"/>
                      <w:spacing w:val="-5"/>
                      <w:sz w:val="20"/>
                    </w:rPr>
                    <w:t> </w:t>
                  </w:r>
                  <w:r>
                    <w:rPr>
                      <w:rFonts w:ascii="Segoe UI"/>
                      <w:color w:val="452A70"/>
                      <w:sz w:val="20"/>
                    </w:rPr>
                    <w:t>boarding</w:t>
                  </w:r>
                  <w:r>
                    <w:rPr>
                      <w:rFonts w:ascii="Segoe UI"/>
                      <w:color w:val="452A70"/>
                      <w:spacing w:val="-6"/>
                      <w:sz w:val="20"/>
                    </w:rPr>
                    <w:t> </w:t>
                  </w:r>
                  <w:r>
                    <w:rPr>
                      <w:rFonts w:ascii="Segoe UI"/>
                      <w:color w:val="452A70"/>
                      <w:sz w:val="20"/>
                    </w:rPr>
                    <w:t>providers</w:t>
                  </w:r>
                  <w:r>
                    <w:rPr>
                      <w:rFonts w:ascii="Segoe UI"/>
                      <w:color w:val="452A70"/>
                      <w:spacing w:val="-5"/>
                      <w:sz w:val="20"/>
                    </w:rPr>
                    <w:t> </w:t>
                  </w:r>
                  <w:r>
                    <w:rPr>
                      <w:rFonts w:ascii="Segoe UI"/>
                      <w:color w:val="452A70"/>
                      <w:sz w:val="20"/>
                    </w:rPr>
                    <w:t>to</w:t>
                  </w:r>
                  <w:r>
                    <w:rPr>
                      <w:rFonts w:ascii="Segoe UI"/>
                      <w:color w:val="452A70"/>
                      <w:spacing w:val="-5"/>
                      <w:sz w:val="20"/>
                    </w:rPr>
                    <w:t> </w:t>
                  </w:r>
                  <w:r>
                    <w:rPr>
                      <w:rFonts w:ascii="Segoe UI"/>
                      <w:color w:val="452A70"/>
                      <w:spacing w:val="-1"/>
                      <w:sz w:val="20"/>
                    </w:rPr>
                    <w:t>make</w:t>
                  </w:r>
                  <w:r>
                    <w:rPr>
                      <w:rFonts w:ascii="Segoe UI"/>
                      <w:color w:val="452A70"/>
                      <w:spacing w:val="-4"/>
                      <w:sz w:val="20"/>
                    </w:rPr>
                    <w:t> </w:t>
                  </w:r>
                  <w:r>
                    <w:rPr>
                      <w:rFonts w:ascii="Segoe UI"/>
                      <w:color w:val="452A70"/>
                      <w:spacing w:val="-1"/>
                      <w:sz w:val="20"/>
                    </w:rPr>
                    <w:t>informed</w:t>
                  </w:r>
                  <w:r>
                    <w:rPr>
                      <w:rFonts w:ascii="Segoe UI"/>
                      <w:color w:val="452A70"/>
                      <w:spacing w:val="-5"/>
                      <w:sz w:val="20"/>
                    </w:rPr>
                    <w:t> </w:t>
                  </w:r>
                  <w:r>
                    <w:rPr>
                      <w:rFonts w:ascii="Segoe UI"/>
                      <w:color w:val="452A70"/>
                      <w:sz w:val="20"/>
                    </w:rPr>
                    <w:t>decisions</w:t>
                  </w:r>
                  <w:r>
                    <w:rPr>
                      <w:rFonts w:ascii="Segoe UI"/>
                      <w:color w:val="452A70"/>
                      <w:spacing w:val="25"/>
                      <w:sz w:val="20"/>
                    </w:rPr>
                    <w:t> </w:t>
                  </w:r>
                  <w:r>
                    <w:rPr>
                      <w:rFonts w:ascii="Segoe UI"/>
                      <w:color w:val="452A70"/>
                      <w:sz w:val="20"/>
                    </w:rPr>
                    <w:t>about</w:t>
                  </w:r>
                  <w:r>
                    <w:rPr>
                      <w:rFonts w:ascii="Segoe UI"/>
                      <w:color w:val="452A70"/>
                      <w:spacing w:val="-6"/>
                      <w:sz w:val="20"/>
                    </w:rPr>
                    <w:t> </w:t>
                  </w:r>
                  <w:r>
                    <w:rPr>
                      <w:rFonts w:ascii="Segoe UI"/>
                      <w:color w:val="452A70"/>
                      <w:sz w:val="20"/>
                    </w:rPr>
                    <w:t>boarding,</w:t>
                  </w:r>
                  <w:r>
                    <w:rPr>
                      <w:rFonts w:ascii="Segoe UI"/>
                      <w:color w:val="452A70"/>
                      <w:spacing w:val="-5"/>
                      <w:sz w:val="20"/>
                    </w:rPr>
                    <w:t> </w:t>
                  </w:r>
                  <w:r>
                    <w:rPr>
                      <w:rFonts w:ascii="Segoe UI"/>
                      <w:color w:val="452A70"/>
                      <w:sz w:val="20"/>
                    </w:rPr>
                    <w:t>funding</w:t>
                  </w:r>
                  <w:r>
                    <w:rPr>
                      <w:rFonts w:ascii="Segoe UI"/>
                      <w:color w:val="452A70"/>
                      <w:spacing w:val="-4"/>
                      <w:sz w:val="20"/>
                    </w:rPr>
                    <w:t> </w:t>
                  </w:r>
                  <w:r>
                    <w:rPr>
                      <w:rFonts w:ascii="Segoe UI"/>
                      <w:color w:val="452A70"/>
                      <w:sz w:val="20"/>
                    </w:rPr>
                    <w:t>and</w:t>
                  </w:r>
                  <w:r>
                    <w:rPr>
                      <w:rFonts w:ascii="Segoe UI"/>
                      <w:color w:val="452A70"/>
                      <w:spacing w:val="-5"/>
                      <w:sz w:val="20"/>
                    </w:rPr>
                    <w:t> </w:t>
                  </w:r>
                  <w:r>
                    <w:rPr>
                      <w:rFonts w:ascii="Segoe UI"/>
                      <w:color w:val="452A70"/>
                      <w:sz w:val="20"/>
                    </w:rPr>
                    <w:t>policy,</w:t>
                  </w:r>
                  <w:r>
                    <w:rPr>
                      <w:rFonts w:ascii="Segoe UI"/>
                      <w:color w:val="452A70"/>
                      <w:spacing w:val="-5"/>
                      <w:sz w:val="20"/>
                    </w:rPr>
                    <w:t> </w:t>
                  </w:r>
                  <w:r>
                    <w:rPr>
                      <w:rFonts w:ascii="Segoe UI"/>
                      <w:color w:val="452A70"/>
                      <w:spacing w:val="-1"/>
                      <w:sz w:val="20"/>
                    </w:rPr>
                    <w:t>including</w:t>
                  </w:r>
                  <w:r>
                    <w:rPr>
                      <w:rFonts w:ascii="Segoe UI"/>
                      <w:color w:val="452A70"/>
                      <w:spacing w:val="-4"/>
                      <w:sz w:val="20"/>
                    </w:rPr>
                    <w:t> </w:t>
                  </w:r>
                  <w:r>
                    <w:rPr>
                      <w:rFonts w:ascii="Segoe UI"/>
                      <w:color w:val="452A70"/>
                      <w:sz w:val="20"/>
                    </w:rPr>
                    <w:t>but</w:t>
                  </w:r>
                  <w:r>
                    <w:rPr>
                      <w:rFonts w:ascii="Segoe UI"/>
                      <w:color w:val="452A70"/>
                      <w:spacing w:val="-5"/>
                      <w:sz w:val="20"/>
                    </w:rPr>
                    <w:t> </w:t>
                  </w:r>
                  <w:r>
                    <w:rPr>
                      <w:rFonts w:ascii="Segoe UI"/>
                      <w:color w:val="452A70"/>
                      <w:sz w:val="20"/>
                    </w:rPr>
                    <w:t>not</w:t>
                  </w:r>
                  <w:r>
                    <w:rPr>
                      <w:rFonts w:ascii="Segoe UI"/>
                      <w:color w:val="452A70"/>
                      <w:spacing w:val="-4"/>
                      <w:sz w:val="20"/>
                    </w:rPr>
                    <w:t> </w:t>
                  </w:r>
                  <w:r>
                    <w:rPr>
                      <w:rFonts w:ascii="Segoe UI"/>
                      <w:color w:val="452A70"/>
                      <w:spacing w:val="-1"/>
                      <w:sz w:val="20"/>
                    </w:rPr>
                    <w:t>limited</w:t>
                  </w:r>
                  <w:r>
                    <w:rPr>
                      <w:rFonts w:ascii="Segoe UI"/>
                      <w:color w:val="452A70"/>
                      <w:spacing w:val="-4"/>
                      <w:sz w:val="20"/>
                    </w:rPr>
                    <w:t> </w:t>
                  </w:r>
                  <w:r>
                    <w:rPr>
                      <w:rFonts w:ascii="Segoe UI"/>
                      <w:color w:val="452A70"/>
                      <w:sz w:val="20"/>
                    </w:rPr>
                    <w:t>to</w:t>
                  </w:r>
                  <w:r>
                    <w:rPr>
                      <w:rFonts w:ascii="Segoe UI"/>
                      <w:color w:val="452A70"/>
                      <w:spacing w:val="-4"/>
                      <w:sz w:val="20"/>
                    </w:rPr>
                    <w:t> </w:t>
                  </w:r>
                  <w:r>
                    <w:rPr>
                      <w:rFonts w:ascii="Segoe UI"/>
                      <w:color w:val="452A70"/>
                      <w:sz w:val="20"/>
                    </w:rPr>
                    <w:t>expulsion,</w:t>
                  </w:r>
                  <w:r>
                    <w:rPr>
                      <w:rFonts w:ascii="Segoe UI"/>
                      <w:color w:val="452A70"/>
                      <w:spacing w:val="-5"/>
                      <w:sz w:val="20"/>
                    </w:rPr>
                    <w:t> </w:t>
                  </w:r>
                  <w:r>
                    <w:rPr>
                      <w:rFonts w:ascii="Segoe UI"/>
                      <w:color w:val="452A70"/>
                      <w:sz w:val="20"/>
                    </w:rPr>
                    <w:t>exclusion</w:t>
                  </w:r>
                  <w:r>
                    <w:rPr>
                      <w:rFonts w:ascii="Segoe UI"/>
                      <w:color w:val="452A70"/>
                      <w:spacing w:val="-5"/>
                      <w:sz w:val="20"/>
                    </w:rPr>
                    <w:t> </w:t>
                  </w:r>
                  <w:r>
                    <w:rPr>
                      <w:rFonts w:ascii="Segoe UI"/>
                      <w:color w:val="452A70"/>
                      <w:sz w:val="20"/>
                    </w:rPr>
                    <w:t>and</w:t>
                  </w:r>
                  <w:r>
                    <w:rPr>
                      <w:rFonts w:ascii="Segoe UI"/>
                      <w:color w:val="452A70"/>
                      <w:spacing w:val="23"/>
                      <w:w w:val="99"/>
                      <w:sz w:val="20"/>
                    </w:rPr>
                    <w:t> </w:t>
                  </w:r>
                  <w:r>
                    <w:rPr>
                      <w:rFonts w:ascii="Segoe UI"/>
                      <w:color w:val="452A70"/>
                      <w:spacing w:val="-1"/>
                      <w:sz w:val="20"/>
                    </w:rPr>
                    <w:t>suspension</w:t>
                  </w:r>
                  <w:r>
                    <w:rPr>
                      <w:rFonts w:ascii="Segoe UI"/>
                      <w:color w:val="452A70"/>
                      <w:spacing w:val="-4"/>
                      <w:sz w:val="20"/>
                    </w:rPr>
                    <w:t> </w:t>
                  </w:r>
                  <w:r>
                    <w:rPr>
                      <w:rFonts w:ascii="Segoe UI"/>
                      <w:color w:val="452A70"/>
                      <w:sz w:val="20"/>
                    </w:rPr>
                    <w:t>data</w:t>
                  </w:r>
                  <w:r>
                    <w:rPr>
                      <w:rFonts w:ascii="Segoe UI"/>
                      <w:color w:val="452A70"/>
                      <w:spacing w:val="-6"/>
                      <w:sz w:val="20"/>
                    </w:rPr>
                    <w:t> </w:t>
                  </w:r>
                  <w:r>
                    <w:rPr>
                      <w:rFonts w:ascii="Segoe UI"/>
                      <w:color w:val="452A70"/>
                      <w:sz w:val="20"/>
                    </w:rPr>
                    <w:t>and</w:t>
                  </w:r>
                  <w:r>
                    <w:rPr>
                      <w:rFonts w:ascii="Segoe UI"/>
                      <w:color w:val="452A70"/>
                      <w:spacing w:val="-5"/>
                      <w:sz w:val="20"/>
                    </w:rPr>
                    <w:t> </w:t>
                  </w:r>
                  <w:r>
                    <w:rPr>
                      <w:rFonts w:ascii="Segoe UI"/>
                      <w:color w:val="452A70"/>
                      <w:sz w:val="20"/>
                    </w:rPr>
                    <w:t>the</w:t>
                  </w:r>
                  <w:r>
                    <w:rPr>
                      <w:rFonts w:ascii="Segoe UI"/>
                      <w:color w:val="452A70"/>
                      <w:spacing w:val="-6"/>
                      <w:sz w:val="20"/>
                    </w:rPr>
                    <w:t> </w:t>
                  </w:r>
                  <w:r>
                    <w:rPr>
                      <w:rFonts w:ascii="Segoe UI"/>
                      <w:color w:val="452A70"/>
                      <w:spacing w:val="-1"/>
                      <w:sz w:val="20"/>
                    </w:rPr>
                    <w:t>separate</w:t>
                  </w:r>
                  <w:r>
                    <w:rPr>
                      <w:rFonts w:ascii="Segoe UI"/>
                      <w:color w:val="452A70"/>
                      <w:spacing w:val="-3"/>
                      <w:sz w:val="20"/>
                    </w:rPr>
                    <w:t> </w:t>
                  </w:r>
                  <w:r>
                    <w:rPr>
                      <w:rFonts w:ascii="Segoe UI"/>
                      <w:color w:val="452A70"/>
                      <w:sz w:val="20"/>
                    </w:rPr>
                    <w:t>reporting</w:t>
                  </w:r>
                  <w:r>
                    <w:rPr>
                      <w:rFonts w:ascii="Segoe UI"/>
                      <w:color w:val="452A70"/>
                      <w:spacing w:val="-6"/>
                      <w:sz w:val="20"/>
                    </w:rPr>
                    <w:t> </w:t>
                  </w:r>
                  <w:r>
                    <w:rPr>
                      <w:rFonts w:ascii="Segoe UI"/>
                      <w:color w:val="452A70"/>
                      <w:sz w:val="20"/>
                    </w:rPr>
                    <w:t>of</w:t>
                  </w:r>
                  <w:r>
                    <w:rPr>
                      <w:rFonts w:ascii="Segoe UI"/>
                      <w:color w:val="452A70"/>
                      <w:spacing w:val="-5"/>
                      <w:sz w:val="20"/>
                    </w:rPr>
                    <w:t> </w:t>
                  </w:r>
                  <w:r>
                    <w:rPr>
                      <w:rFonts w:ascii="Segoe UI"/>
                      <w:color w:val="452A70"/>
                      <w:sz w:val="20"/>
                    </w:rPr>
                    <w:t>direct</w:t>
                  </w:r>
                  <w:r>
                    <w:rPr>
                      <w:rFonts w:ascii="Segoe UI"/>
                      <w:color w:val="452A70"/>
                      <w:spacing w:val="-5"/>
                      <w:sz w:val="20"/>
                    </w:rPr>
                    <w:t> </w:t>
                  </w:r>
                  <w:r>
                    <w:rPr>
                      <w:rFonts w:ascii="Segoe UI"/>
                      <w:color w:val="452A70"/>
                      <w:sz w:val="20"/>
                    </w:rPr>
                    <w:t>and</w:t>
                  </w:r>
                  <w:r>
                    <w:rPr>
                      <w:rFonts w:ascii="Segoe UI"/>
                      <w:color w:val="452A70"/>
                      <w:spacing w:val="-6"/>
                      <w:sz w:val="20"/>
                    </w:rPr>
                    <w:t> </w:t>
                  </w:r>
                  <w:r>
                    <w:rPr>
                      <w:rFonts w:ascii="Segoe UI"/>
                      <w:color w:val="452A70"/>
                      <w:sz w:val="20"/>
                    </w:rPr>
                    <w:t>attributable</w:t>
                  </w:r>
                  <w:r>
                    <w:rPr>
                      <w:rFonts w:ascii="Segoe UI"/>
                      <w:color w:val="452A70"/>
                      <w:spacing w:val="-5"/>
                      <w:sz w:val="20"/>
                    </w:rPr>
                    <w:t> </w:t>
                  </w:r>
                  <w:r>
                    <w:rPr>
                      <w:rFonts w:ascii="Segoe UI"/>
                      <w:color w:val="452A70"/>
                      <w:sz w:val="20"/>
                    </w:rPr>
                    <w:t>costs</w:t>
                  </w:r>
                  <w:r>
                    <w:rPr>
                      <w:rFonts w:ascii="Segoe UI"/>
                      <w:color w:val="452A70"/>
                      <w:spacing w:val="-6"/>
                      <w:sz w:val="20"/>
                    </w:rPr>
                    <w:t> </w:t>
                  </w:r>
                  <w:r>
                    <w:rPr>
                      <w:rFonts w:ascii="Segoe UI"/>
                      <w:color w:val="452A70"/>
                      <w:sz w:val="20"/>
                    </w:rPr>
                    <w:t>of</w:t>
                  </w:r>
                  <w:r>
                    <w:rPr>
                      <w:rFonts w:ascii="Segoe UI"/>
                      <w:color w:val="452A70"/>
                      <w:spacing w:val="-4"/>
                      <w:sz w:val="20"/>
                    </w:rPr>
                    <w:t> </w:t>
                  </w:r>
                  <w:r>
                    <w:rPr>
                      <w:rFonts w:ascii="Segoe UI"/>
                      <w:color w:val="452A70"/>
                      <w:sz w:val="20"/>
                    </w:rPr>
                    <w:t>boarding</w:t>
                  </w:r>
                  <w:r>
                    <w:rPr>
                      <w:rFonts w:ascii="Segoe UI"/>
                      <w:color w:val="452A70"/>
                      <w:spacing w:val="-5"/>
                      <w:sz w:val="20"/>
                    </w:rPr>
                    <w:t> </w:t>
                  </w:r>
                  <w:r>
                    <w:rPr>
                      <w:rFonts w:ascii="Segoe UI"/>
                      <w:color w:val="452A70"/>
                      <w:spacing w:val="-5"/>
                      <w:sz w:val="20"/>
                    </w:rPr>
                  </w:r>
                  <w:r>
                    <w:rPr>
                      <w:rFonts w:ascii="Segoe UI"/>
                      <w:color w:val="452A70"/>
                      <w:sz w:val="20"/>
                    </w:rPr>
                    <w:t>and</w:t>
                  </w:r>
                  <w:r>
                    <w:rPr>
                      <w:rFonts w:ascii="Segoe UI"/>
                      <w:color w:val="452A70"/>
                      <w:spacing w:val="22"/>
                      <w:sz w:val="20"/>
                    </w:rPr>
                    <w:t> </w:t>
                  </w:r>
                  <w:r>
                    <w:rPr>
                      <w:rFonts w:ascii="Segoe UI"/>
                      <w:color w:val="452A70"/>
                      <w:spacing w:val="-1"/>
                      <w:sz w:val="20"/>
                    </w:rPr>
                    <w:t>support</w:t>
                  </w:r>
                  <w:r>
                    <w:rPr>
                      <w:rFonts w:ascii="Segoe UI"/>
                      <w:color w:val="452A70"/>
                      <w:spacing w:val="-6"/>
                      <w:sz w:val="20"/>
                    </w:rPr>
                    <w:t> </w:t>
                  </w:r>
                  <w:r>
                    <w:rPr>
                      <w:rFonts w:ascii="Segoe UI"/>
                      <w:color w:val="452A70"/>
                      <w:spacing w:val="-1"/>
                      <w:sz w:val="20"/>
                    </w:rPr>
                    <w:t>services.</w:t>
                  </w:r>
                  <w:r>
                    <w:rPr>
                      <w:rFonts w:ascii="Segoe UI"/>
                      <w:color w:val="452A70"/>
                      <w:spacing w:val="-4"/>
                      <w:sz w:val="20"/>
                    </w:rPr>
                    <w:t> </w:t>
                  </w:r>
                  <w:r>
                    <w:rPr>
                      <w:rFonts w:ascii="Segoe UI"/>
                      <w:color w:val="452A70"/>
                      <w:spacing w:val="-1"/>
                      <w:sz w:val="20"/>
                    </w:rPr>
                    <w:t>For</w:t>
                  </w:r>
                  <w:r>
                    <w:rPr>
                      <w:rFonts w:ascii="Segoe UI"/>
                      <w:color w:val="452A70"/>
                      <w:spacing w:val="-6"/>
                      <w:sz w:val="20"/>
                    </w:rPr>
                    <w:t> </w:t>
                  </w:r>
                  <w:r>
                    <w:rPr>
                      <w:rFonts w:ascii="Segoe UI"/>
                      <w:color w:val="452A70"/>
                      <w:sz w:val="20"/>
                    </w:rPr>
                    <w:t>consistency</w:t>
                  </w:r>
                  <w:r>
                    <w:rPr>
                      <w:rFonts w:ascii="Segoe UI"/>
                      <w:color w:val="452A70"/>
                      <w:spacing w:val="-6"/>
                      <w:sz w:val="20"/>
                    </w:rPr>
                    <w:t> </w:t>
                  </w:r>
                  <w:r>
                    <w:rPr>
                      <w:rFonts w:ascii="Segoe UI"/>
                      <w:color w:val="452A70"/>
                      <w:sz w:val="20"/>
                    </w:rPr>
                    <w:t>the</w:t>
                  </w:r>
                  <w:r>
                    <w:rPr>
                      <w:rFonts w:ascii="Segoe UI"/>
                      <w:color w:val="452A70"/>
                      <w:spacing w:val="-6"/>
                      <w:sz w:val="20"/>
                    </w:rPr>
                    <w:t> </w:t>
                  </w:r>
                  <w:r>
                    <w:rPr>
                      <w:rFonts w:ascii="Segoe UI"/>
                      <w:color w:val="452A70"/>
                      <w:sz w:val="20"/>
                    </w:rPr>
                    <w:t>data,</w:t>
                  </w:r>
                  <w:r>
                    <w:rPr>
                      <w:rFonts w:ascii="Segoe UI"/>
                      <w:color w:val="452A70"/>
                      <w:spacing w:val="-7"/>
                      <w:sz w:val="20"/>
                    </w:rPr>
                    <w:t> </w:t>
                  </w:r>
                  <w:r>
                    <w:rPr>
                      <w:rFonts w:ascii="Segoe UI"/>
                      <w:color w:val="452A70"/>
                      <w:spacing w:val="-1"/>
                      <w:sz w:val="20"/>
                    </w:rPr>
                    <w:t>including</w:t>
                  </w:r>
                  <w:r>
                    <w:rPr>
                      <w:rFonts w:ascii="Segoe UI"/>
                      <w:color w:val="452A70"/>
                      <w:spacing w:val="-5"/>
                      <w:sz w:val="20"/>
                    </w:rPr>
                    <w:t> </w:t>
                  </w:r>
                  <w:r>
                    <w:rPr>
                      <w:rFonts w:ascii="Segoe UI"/>
                      <w:color w:val="452A70"/>
                      <w:sz w:val="20"/>
                    </w:rPr>
                    <w:t>for</w:t>
                  </w:r>
                  <w:r>
                    <w:rPr>
                      <w:rFonts w:ascii="Segoe UI"/>
                      <w:color w:val="452A70"/>
                      <w:spacing w:val="-6"/>
                      <w:sz w:val="20"/>
                    </w:rPr>
                    <w:t> </w:t>
                  </w:r>
                  <w:r>
                    <w:rPr>
                      <w:rFonts w:ascii="Segoe UI"/>
                      <w:color w:val="452A70"/>
                      <w:spacing w:val="-1"/>
                      <w:sz w:val="20"/>
                    </w:rPr>
                    <w:t>standalone</w:t>
                  </w:r>
                  <w:r>
                    <w:rPr>
                      <w:rFonts w:ascii="Segoe UI"/>
                      <w:color w:val="452A70"/>
                      <w:spacing w:val="-4"/>
                      <w:sz w:val="20"/>
                    </w:rPr>
                    <w:t> </w:t>
                  </w:r>
                  <w:r>
                    <w:rPr>
                      <w:rFonts w:ascii="Segoe UI"/>
                      <w:color w:val="452A70"/>
                      <w:sz w:val="20"/>
                    </w:rPr>
                    <w:t>boarding</w:t>
                  </w:r>
                  <w:r>
                    <w:rPr>
                      <w:rFonts w:ascii="Segoe UI"/>
                      <w:color w:val="452A70"/>
                      <w:spacing w:val="-6"/>
                      <w:sz w:val="20"/>
                    </w:rPr>
                    <w:t> </w:t>
                  </w:r>
                  <w:r>
                    <w:rPr>
                      <w:rFonts w:ascii="Segoe UI"/>
                      <w:color w:val="452A70"/>
                      <w:sz w:val="20"/>
                    </w:rPr>
                    <w:t>providers,</w:t>
                  </w:r>
                  <w:r>
                    <w:rPr>
                      <w:rFonts w:ascii="Segoe UI"/>
                      <w:color w:val="452A70"/>
                      <w:spacing w:val="26"/>
                      <w:w w:val="99"/>
                      <w:sz w:val="20"/>
                    </w:rPr>
                    <w:t> </w:t>
                  </w:r>
                  <w:r>
                    <w:rPr>
                      <w:rFonts w:ascii="Segoe UI"/>
                      <w:color w:val="452A70"/>
                      <w:spacing w:val="-1"/>
                      <w:sz w:val="20"/>
                    </w:rPr>
                    <w:t>should</w:t>
                  </w:r>
                  <w:r>
                    <w:rPr>
                      <w:rFonts w:ascii="Segoe UI"/>
                      <w:color w:val="452A70"/>
                      <w:spacing w:val="-5"/>
                      <w:sz w:val="20"/>
                    </w:rPr>
                    <w:t> </w:t>
                  </w:r>
                  <w:r>
                    <w:rPr>
                      <w:rFonts w:ascii="Segoe UI"/>
                      <w:color w:val="452A70"/>
                      <w:sz w:val="20"/>
                    </w:rPr>
                    <w:t>be</w:t>
                  </w:r>
                  <w:r>
                    <w:rPr>
                      <w:rFonts w:ascii="Segoe UI"/>
                      <w:color w:val="452A70"/>
                      <w:spacing w:val="-5"/>
                      <w:sz w:val="20"/>
                    </w:rPr>
                    <w:t> </w:t>
                  </w:r>
                  <w:r>
                    <w:rPr>
                      <w:rFonts w:ascii="Segoe UI"/>
                      <w:color w:val="452A70"/>
                      <w:sz w:val="20"/>
                    </w:rPr>
                    <w:t>provided</w:t>
                  </w:r>
                  <w:r>
                    <w:rPr>
                      <w:rFonts w:ascii="Segoe UI"/>
                      <w:color w:val="452A70"/>
                      <w:spacing w:val="-6"/>
                      <w:sz w:val="20"/>
                    </w:rPr>
                    <w:t> </w:t>
                  </w:r>
                  <w:r>
                    <w:rPr>
                      <w:rFonts w:ascii="Segoe UI"/>
                      <w:color w:val="452A70"/>
                      <w:sz w:val="20"/>
                    </w:rPr>
                    <w:t>to</w:t>
                  </w:r>
                  <w:r>
                    <w:rPr>
                      <w:rFonts w:ascii="Segoe UI"/>
                      <w:color w:val="452A70"/>
                      <w:spacing w:val="-5"/>
                      <w:sz w:val="20"/>
                    </w:rPr>
                    <w:t> </w:t>
                  </w:r>
                  <w:r>
                    <w:rPr>
                      <w:rFonts w:ascii="Segoe UI"/>
                      <w:color w:val="452A70"/>
                      <w:sz w:val="20"/>
                    </w:rPr>
                    <w:t>the</w:t>
                  </w:r>
                  <w:r>
                    <w:rPr>
                      <w:rFonts w:ascii="Segoe UI"/>
                      <w:color w:val="452A70"/>
                      <w:spacing w:val="-5"/>
                      <w:sz w:val="20"/>
                    </w:rPr>
                    <w:t> </w:t>
                  </w:r>
                  <w:r>
                    <w:rPr>
                      <w:rFonts w:ascii="Segoe UI"/>
                      <w:color w:val="452A70"/>
                      <w:spacing w:val="-1"/>
                      <w:sz w:val="20"/>
                    </w:rPr>
                    <w:t>Department</w:t>
                  </w:r>
                  <w:r>
                    <w:rPr>
                      <w:rFonts w:ascii="Segoe UI"/>
                      <w:color w:val="452A70"/>
                      <w:spacing w:val="-5"/>
                      <w:sz w:val="20"/>
                    </w:rPr>
                    <w:t> </w:t>
                  </w:r>
                  <w:r>
                    <w:rPr>
                      <w:rFonts w:ascii="Segoe UI"/>
                      <w:color w:val="452A70"/>
                      <w:sz w:val="20"/>
                    </w:rPr>
                    <w:t>of</w:t>
                  </w:r>
                  <w:r>
                    <w:rPr>
                      <w:rFonts w:ascii="Segoe UI"/>
                      <w:color w:val="452A70"/>
                      <w:spacing w:val="-5"/>
                      <w:sz w:val="20"/>
                    </w:rPr>
                    <w:t> </w:t>
                  </w:r>
                  <w:r>
                    <w:rPr>
                      <w:rFonts w:ascii="Segoe UI"/>
                      <w:color w:val="452A70"/>
                      <w:sz w:val="20"/>
                    </w:rPr>
                    <w:t>Education</w:t>
                  </w:r>
                  <w:r>
                    <w:rPr>
                      <w:rFonts w:ascii="Segoe UI"/>
                      <w:color w:val="452A70"/>
                      <w:spacing w:val="-6"/>
                      <w:sz w:val="20"/>
                    </w:rPr>
                    <w:t> </w:t>
                  </w:r>
                  <w:r>
                    <w:rPr>
                      <w:rFonts w:ascii="Segoe UI"/>
                      <w:color w:val="452A70"/>
                      <w:sz w:val="20"/>
                    </w:rPr>
                    <w:t>and</w:t>
                  </w:r>
                  <w:r>
                    <w:rPr>
                      <w:rFonts w:ascii="Segoe UI"/>
                      <w:color w:val="452A70"/>
                      <w:spacing w:val="-6"/>
                      <w:sz w:val="20"/>
                    </w:rPr>
                    <w:t> </w:t>
                  </w:r>
                  <w:r>
                    <w:rPr>
                      <w:rFonts w:ascii="Segoe UI"/>
                      <w:color w:val="452A70"/>
                      <w:spacing w:val="-3"/>
                      <w:sz w:val="20"/>
                    </w:rPr>
                    <w:t>Training</w:t>
                  </w:r>
                  <w:r>
                    <w:rPr>
                      <w:rFonts w:ascii="Segoe UI"/>
                      <w:color w:val="452A70"/>
                      <w:spacing w:val="-5"/>
                      <w:sz w:val="20"/>
                    </w:rPr>
                    <w:t> </w:t>
                  </w:r>
                  <w:r>
                    <w:rPr>
                      <w:rFonts w:ascii="Segoe UI"/>
                      <w:color w:val="452A70"/>
                      <w:sz w:val="20"/>
                    </w:rPr>
                    <w:t>to</w:t>
                  </w:r>
                  <w:r>
                    <w:rPr>
                      <w:rFonts w:ascii="Segoe UI"/>
                      <w:color w:val="452A70"/>
                      <w:spacing w:val="-5"/>
                      <w:sz w:val="20"/>
                    </w:rPr>
                    <w:t> </w:t>
                  </w:r>
                  <w:r>
                    <w:rPr>
                      <w:rFonts w:ascii="Segoe UI"/>
                      <w:color w:val="452A70"/>
                      <w:sz w:val="20"/>
                    </w:rPr>
                    <w:t>develop</w:t>
                  </w:r>
                  <w:r>
                    <w:rPr>
                      <w:rFonts w:ascii="Segoe UI"/>
                      <w:color w:val="452A70"/>
                      <w:spacing w:val="-6"/>
                      <w:sz w:val="20"/>
                    </w:rPr>
                    <w:t> </w:t>
                  </w:r>
                  <w:r>
                    <w:rPr>
                      <w:rFonts w:ascii="Segoe UI"/>
                      <w:color w:val="452A70"/>
                      <w:sz w:val="20"/>
                    </w:rPr>
                    <w:t>a</w:t>
                  </w:r>
                  <w:r>
                    <w:rPr>
                      <w:rFonts w:ascii="Segoe UI"/>
                      <w:color w:val="452A70"/>
                      <w:spacing w:val="-5"/>
                      <w:sz w:val="20"/>
                    </w:rPr>
                    <w:t> </w:t>
                  </w:r>
                  <w:r>
                    <w:rPr>
                      <w:rFonts w:ascii="Segoe UI"/>
                      <w:color w:val="452A70"/>
                      <w:sz w:val="20"/>
                    </w:rPr>
                    <w:t>central</w:t>
                  </w:r>
                  <w:r>
                    <w:rPr>
                      <w:rFonts w:ascii="Segoe UI"/>
                      <w:color w:val="452A70"/>
                      <w:spacing w:val="28"/>
                      <w:w w:val="99"/>
                      <w:sz w:val="20"/>
                    </w:rPr>
                    <w:t> </w:t>
                  </w:r>
                  <w:r>
                    <w:rPr>
                      <w:rFonts w:ascii="Segoe UI"/>
                      <w:color w:val="452A70"/>
                      <w:sz w:val="20"/>
                    </w:rPr>
                    <w:t>repository</w:t>
                  </w:r>
                  <w:r>
                    <w:rPr>
                      <w:rFonts w:ascii="Segoe UI"/>
                      <w:color w:val="452A70"/>
                      <w:spacing w:val="-9"/>
                      <w:sz w:val="20"/>
                    </w:rPr>
                    <w:t> </w:t>
                  </w:r>
                  <w:r>
                    <w:rPr>
                      <w:rFonts w:ascii="Segoe UI"/>
                      <w:color w:val="452A70"/>
                      <w:sz w:val="20"/>
                    </w:rPr>
                    <w:t>of</w:t>
                  </w:r>
                  <w:r>
                    <w:rPr>
                      <w:rFonts w:ascii="Segoe UI"/>
                      <w:color w:val="452A70"/>
                      <w:spacing w:val="-8"/>
                      <w:sz w:val="20"/>
                    </w:rPr>
                    <w:t> </w:t>
                  </w:r>
                  <w:r>
                    <w:rPr>
                      <w:rFonts w:ascii="Segoe UI"/>
                      <w:color w:val="452A70"/>
                      <w:sz w:val="20"/>
                    </w:rPr>
                    <w:t>data</w:t>
                  </w:r>
                  <w:r>
                    <w:rPr>
                      <w:rFonts w:ascii="Segoe UI"/>
                      <w:color w:val="452A70"/>
                      <w:spacing w:val="-8"/>
                      <w:sz w:val="20"/>
                    </w:rPr>
                    <w:t> </w:t>
                  </w:r>
                  <w:r>
                    <w:rPr>
                      <w:rFonts w:ascii="Segoe UI"/>
                      <w:color w:val="452A70"/>
                      <w:sz w:val="20"/>
                    </w:rPr>
                    <w:t>regarding</w:t>
                  </w:r>
                  <w:r>
                    <w:rPr>
                      <w:rFonts w:ascii="Segoe UI"/>
                      <w:color w:val="452A70"/>
                      <w:spacing w:val="-8"/>
                      <w:sz w:val="20"/>
                    </w:rPr>
                    <w:t> </w:t>
                  </w:r>
                  <w:r>
                    <w:rPr>
                      <w:rFonts w:ascii="Segoe UI"/>
                      <w:color w:val="452A70"/>
                      <w:sz w:val="20"/>
                    </w:rPr>
                    <w:t>boarders</w:t>
                  </w:r>
                  <w:r>
                    <w:rPr>
                      <w:rFonts w:ascii="Segoe UI"/>
                      <w:color w:val="452A70"/>
                      <w:spacing w:val="-8"/>
                      <w:sz w:val="20"/>
                    </w:rPr>
                    <w:t> </w:t>
                  </w:r>
                  <w:r>
                    <w:rPr>
                      <w:rFonts w:ascii="Segoe UI"/>
                      <w:color w:val="452A70"/>
                      <w:sz w:val="20"/>
                    </w:rPr>
                    <w:t>and</w:t>
                  </w:r>
                  <w:r>
                    <w:rPr>
                      <w:rFonts w:ascii="Segoe UI"/>
                      <w:color w:val="452A70"/>
                      <w:spacing w:val="-8"/>
                      <w:sz w:val="20"/>
                    </w:rPr>
                    <w:t> </w:t>
                  </w:r>
                  <w:r>
                    <w:rPr>
                      <w:rFonts w:ascii="Segoe UI"/>
                      <w:color w:val="452A70"/>
                      <w:sz w:val="20"/>
                    </w:rPr>
                    <w:t>boarding.</w:t>
                  </w:r>
                  <w:r>
                    <w:rPr>
                      <w:rFonts w:ascii="Segoe UI"/>
                      <w:sz w:val="20"/>
                    </w:rPr>
                  </w:r>
                </w:p>
              </w:txbxContent>
            </v:textbox>
            <v:fill type="solid"/>
            <v:stroke dashstyle="dash"/>
            <w10:wrap type="none"/>
          </v:shape>
        </w:pict>
      </w:r>
      <w:r>
        <w:rPr>
          <w:rFonts w:ascii="Segoe UI" w:hAnsi="Segoe UI" w:cs="Segoe UI" w:eastAsia="Segoe UI"/>
          <w:sz w:val="20"/>
          <w:szCs w:val="20"/>
        </w:rPr>
      </w:r>
    </w:p>
    <w:p>
      <w:pPr>
        <w:spacing w:after="0" w:line="200" w:lineRule="atLeast"/>
        <w:rPr>
          <w:rFonts w:ascii="Segoe UI" w:hAnsi="Segoe UI" w:cs="Segoe UI" w:eastAsia="Segoe UI"/>
          <w:sz w:val="20"/>
          <w:szCs w:val="20"/>
        </w:rPr>
        <w:sectPr>
          <w:pgSz w:w="11910" w:h="16840"/>
          <w:pgMar w:header="0" w:footer="691" w:top="1580" w:bottom="880" w:left="1600" w:right="1260"/>
        </w:sectPr>
      </w:pPr>
    </w:p>
    <w:p>
      <w:pPr>
        <w:spacing w:line="240" w:lineRule="auto" w:before="0"/>
        <w:rPr>
          <w:rFonts w:ascii="Segoe UI" w:hAnsi="Segoe UI" w:cs="Segoe UI" w:eastAsia="Segoe UI"/>
          <w:sz w:val="20"/>
          <w:szCs w:val="20"/>
        </w:rPr>
      </w:pPr>
    </w:p>
    <w:p>
      <w:pPr>
        <w:spacing w:line="240" w:lineRule="auto" w:before="1"/>
        <w:rPr>
          <w:rFonts w:ascii="Segoe UI" w:hAnsi="Segoe UI" w:cs="Segoe UI" w:eastAsia="Segoe UI"/>
          <w:sz w:val="21"/>
          <w:szCs w:val="21"/>
        </w:rPr>
      </w:pPr>
    </w:p>
    <w:p>
      <w:pPr>
        <w:spacing w:after="0" w:line="240" w:lineRule="auto"/>
        <w:rPr>
          <w:rFonts w:ascii="Segoe UI" w:hAnsi="Segoe UI" w:cs="Segoe UI" w:eastAsia="Segoe UI"/>
          <w:sz w:val="21"/>
          <w:szCs w:val="21"/>
        </w:rPr>
        <w:sectPr>
          <w:pgSz w:w="11910" w:h="16840"/>
          <w:pgMar w:header="0" w:footer="691" w:top="1580" w:bottom="880" w:left="1300" w:right="1680"/>
        </w:sectPr>
      </w:pPr>
    </w:p>
    <w:p>
      <w:pPr>
        <w:pStyle w:val="Heading3"/>
        <w:spacing w:line="240" w:lineRule="auto" w:before="25"/>
        <w:ind w:left="131" w:right="0"/>
        <w:jc w:val="left"/>
      </w:pPr>
      <w:r>
        <w:rPr>
          <w:b/>
          <w:color w:val="00779B"/>
          <w:spacing w:val="-1"/>
        </w:rPr>
        <w:t>Assumptions</w:t>
      </w:r>
      <w:r>
        <w:rPr/>
      </w:r>
    </w:p>
    <w:p>
      <w:pPr>
        <w:pStyle w:val="BodyText"/>
        <w:spacing w:line="250" w:lineRule="exact" w:before="64"/>
        <w:ind w:left="131" w:right="137"/>
        <w:jc w:val="left"/>
      </w:pPr>
      <w:r>
        <w:rPr>
          <w:color w:val="231F20"/>
        </w:rPr>
        <w:t>The</w:t>
      </w:r>
      <w:r>
        <w:rPr>
          <w:color w:val="231F20"/>
          <w:spacing w:val="-5"/>
        </w:rPr>
        <w:t> </w:t>
      </w:r>
      <w:r>
        <w:rPr>
          <w:color w:val="231F20"/>
        </w:rPr>
        <w:t>theory</w:t>
      </w:r>
      <w:r>
        <w:rPr>
          <w:color w:val="231F20"/>
          <w:spacing w:val="-6"/>
        </w:rPr>
        <w:t> </w:t>
      </w:r>
      <w:r>
        <w:rPr>
          <w:color w:val="231F20"/>
        </w:rPr>
        <w:t>of</w:t>
      </w:r>
      <w:r>
        <w:rPr>
          <w:color w:val="231F20"/>
          <w:spacing w:val="-4"/>
        </w:rPr>
        <w:t> </w:t>
      </w:r>
      <w:r>
        <w:rPr>
          <w:color w:val="231F20"/>
        </w:rPr>
        <w:t>change</w:t>
      </w:r>
      <w:r>
        <w:rPr>
          <w:color w:val="231F20"/>
          <w:spacing w:val="-6"/>
        </w:rPr>
        <w:t> </w:t>
      </w:r>
      <w:r>
        <w:rPr>
          <w:color w:val="231F20"/>
        </w:rPr>
        <w:t>reasons</w:t>
      </w:r>
      <w:r>
        <w:rPr>
          <w:color w:val="231F20"/>
          <w:spacing w:val="-5"/>
        </w:rPr>
        <w:t> </w:t>
      </w:r>
      <w:r>
        <w:rPr>
          <w:color w:val="231F20"/>
        </w:rPr>
        <w:t>that</w:t>
      </w:r>
      <w:r>
        <w:rPr>
          <w:color w:val="231F20"/>
          <w:spacing w:val="-6"/>
        </w:rPr>
        <w:t> </w:t>
      </w:r>
      <w:r>
        <w:rPr>
          <w:color w:val="231F20"/>
          <w:spacing w:val="-1"/>
        </w:rPr>
        <w:t>investment</w:t>
      </w:r>
      <w:r>
        <w:rPr>
          <w:color w:val="231F20"/>
          <w:spacing w:val="20"/>
        </w:rPr>
        <w:t> </w:t>
      </w:r>
      <w:r>
        <w:rPr>
          <w:color w:val="231F20"/>
          <w:spacing w:val="-1"/>
        </w:rPr>
        <w:t>in</w:t>
      </w:r>
      <w:r>
        <w:rPr>
          <w:color w:val="231F20"/>
          <w:spacing w:val="-5"/>
        </w:rPr>
        <w:t> </w:t>
      </w:r>
      <w:r>
        <w:rPr>
          <w:color w:val="231F20"/>
        </w:rPr>
        <w:t>boarding</w:t>
      </w:r>
      <w:r>
        <w:rPr>
          <w:color w:val="231F20"/>
          <w:spacing w:val="-6"/>
        </w:rPr>
        <w:t> </w:t>
      </w:r>
      <w:r>
        <w:rPr>
          <w:color w:val="231F20"/>
        </w:rPr>
        <w:t>provision</w:t>
      </w:r>
      <w:r>
        <w:rPr>
          <w:color w:val="231F20"/>
          <w:spacing w:val="-5"/>
        </w:rPr>
        <w:t> </w:t>
      </w:r>
      <w:r>
        <w:rPr>
          <w:color w:val="231F20"/>
        </w:rPr>
        <w:t>for</w:t>
      </w:r>
      <w:r>
        <w:rPr>
          <w:color w:val="231F20"/>
          <w:spacing w:val="-5"/>
        </w:rPr>
        <w:t> </w:t>
      </w:r>
      <w:r>
        <w:rPr>
          <w:color w:val="231F20"/>
        </w:rPr>
        <w:t>Aboriginal</w:t>
      </w:r>
      <w:r>
        <w:rPr>
          <w:color w:val="231F20"/>
          <w:spacing w:val="-4"/>
        </w:rPr>
        <w:t> </w:t>
      </w:r>
      <w:r>
        <w:rPr>
          <w:color w:val="231F20"/>
        </w:rPr>
        <w:t>and</w:t>
      </w:r>
      <w:r>
        <w:rPr>
          <w:color w:val="231F20"/>
          <w:spacing w:val="21"/>
          <w:w w:val="99"/>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5"/>
        </w:rPr>
        <w:t> </w:t>
      </w:r>
      <w:r>
        <w:rPr>
          <w:color w:val="231F20"/>
          <w:spacing w:val="-1"/>
        </w:rPr>
        <w:t>secondary</w:t>
      </w:r>
      <w:r>
        <w:rPr>
          <w:color w:val="231F20"/>
          <w:spacing w:val="-3"/>
        </w:rPr>
        <w:t> </w:t>
      </w:r>
      <w:r>
        <w:rPr>
          <w:color w:val="231F20"/>
          <w:spacing w:val="-1"/>
        </w:rPr>
        <w:t>students</w:t>
      </w:r>
      <w:r>
        <w:rPr>
          <w:color w:val="231F20"/>
          <w:spacing w:val="22"/>
        </w:rPr>
        <w:t> </w:t>
      </w:r>
      <w:r>
        <w:rPr>
          <w:color w:val="231F20"/>
        </w:rPr>
        <w:t>ultimately</w:t>
      </w:r>
      <w:r>
        <w:rPr>
          <w:color w:val="231F20"/>
          <w:spacing w:val="-7"/>
        </w:rPr>
        <w:t> </w:t>
      </w:r>
      <w:r>
        <w:rPr>
          <w:color w:val="231F20"/>
        </w:rPr>
        <w:t>contributes</w:t>
      </w:r>
      <w:r>
        <w:rPr>
          <w:color w:val="231F20"/>
          <w:spacing w:val="-6"/>
        </w:rPr>
        <w:t> </w:t>
      </w:r>
      <w:r>
        <w:rPr>
          <w:color w:val="231F20"/>
        </w:rPr>
        <w:t>to</w:t>
      </w:r>
      <w:r>
        <w:rPr>
          <w:color w:val="231F20"/>
          <w:spacing w:val="-6"/>
        </w:rPr>
        <w:t> </w:t>
      </w:r>
      <w:r>
        <w:rPr>
          <w:color w:val="231F20"/>
        </w:rPr>
        <w:t>equity</w:t>
      </w:r>
      <w:r>
        <w:rPr>
          <w:color w:val="231F20"/>
          <w:spacing w:val="-6"/>
        </w:rPr>
        <w:t> </w:t>
      </w:r>
      <w:r>
        <w:rPr>
          <w:color w:val="231F20"/>
          <w:spacing w:val="-1"/>
        </w:rPr>
        <w:t>in</w:t>
      </w:r>
      <w:r>
        <w:rPr>
          <w:color w:val="231F20"/>
          <w:spacing w:val="-6"/>
        </w:rPr>
        <w:t> </w:t>
      </w:r>
      <w:r>
        <w:rPr>
          <w:color w:val="231F20"/>
        </w:rPr>
        <w:t>educational</w:t>
      </w:r>
      <w:r>
        <w:rPr>
          <w:color w:val="231F20"/>
          <w:spacing w:val="21"/>
          <w:w w:val="99"/>
        </w:rPr>
        <w:t> </w:t>
      </w:r>
      <w:r>
        <w:rPr>
          <w:color w:val="231F20"/>
        </w:rPr>
        <w:t>outcomes.</w:t>
      </w:r>
      <w:r>
        <w:rPr>
          <w:color w:val="231F20"/>
          <w:spacing w:val="-8"/>
        </w:rPr>
        <w:t> </w:t>
      </w:r>
      <w:r>
        <w:rPr>
          <w:color w:val="231F20"/>
        </w:rPr>
        <w:t>However</w:t>
      </w:r>
      <w:r>
        <w:rPr>
          <w:color w:val="231F20"/>
          <w:spacing w:val="-7"/>
        </w:rPr>
        <w:t> </w:t>
      </w:r>
      <w:r>
        <w:rPr>
          <w:color w:val="231F20"/>
        </w:rPr>
        <w:t>there</w:t>
      </w:r>
      <w:r>
        <w:rPr>
          <w:color w:val="231F20"/>
          <w:spacing w:val="-7"/>
        </w:rPr>
        <w:t> </w:t>
      </w:r>
      <w:r>
        <w:rPr>
          <w:color w:val="231F20"/>
        </w:rPr>
        <w:t>are</w:t>
      </w:r>
      <w:r>
        <w:rPr>
          <w:color w:val="231F20"/>
          <w:spacing w:val="-8"/>
        </w:rPr>
        <w:t> </w:t>
      </w:r>
      <w:r>
        <w:rPr>
          <w:color w:val="231F20"/>
          <w:spacing w:val="-1"/>
        </w:rPr>
        <w:t>some</w:t>
      </w:r>
      <w:r>
        <w:rPr>
          <w:color w:val="231F20"/>
          <w:spacing w:val="-7"/>
        </w:rPr>
        <w:t> </w:t>
      </w:r>
      <w:r>
        <w:rPr>
          <w:color w:val="231F20"/>
          <w:spacing w:val="-1"/>
        </w:rPr>
        <w:t>important</w:t>
      </w:r>
      <w:r>
        <w:rPr>
          <w:color w:val="231F20"/>
          <w:spacing w:val="21"/>
          <w:w w:val="99"/>
        </w:rPr>
        <w:t> </w:t>
      </w:r>
      <w:r>
        <w:rPr>
          <w:color w:val="231F20"/>
        </w:rPr>
        <w:t>assumptions</w:t>
      </w:r>
      <w:r>
        <w:rPr>
          <w:color w:val="231F20"/>
          <w:spacing w:val="-4"/>
        </w:rPr>
        <w:t> </w:t>
      </w:r>
      <w:r>
        <w:rPr>
          <w:color w:val="231F20"/>
        </w:rPr>
        <w:t>that</w:t>
      </w:r>
      <w:r>
        <w:rPr>
          <w:color w:val="231F20"/>
          <w:spacing w:val="-4"/>
        </w:rPr>
        <w:t> </w:t>
      </w:r>
      <w:r>
        <w:rPr>
          <w:color w:val="231F20"/>
        </w:rPr>
        <w:t>underpin</w:t>
      </w:r>
      <w:r>
        <w:rPr>
          <w:color w:val="231F20"/>
          <w:spacing w:val="-4"/>
        </w:rPr>
        <w:t> </w:t>
      </w:r>
      <w:r>
        <w:rPr>
          <w:color w:val="231F20"/>
        </w:rPr>
        <w:t>this</w:t>
      </w:r>
      <w:r>
        <w:rPr>
          <w:color w:val="231F20"/>
          <w:spacing w:val="-4"/>
        </w:rPr>
        <w:t> </w:t>
      </w:r>
      <w:r>
        <w:rPr>
          <w:color w:val="231F20"/>
        </w:rPr>
        <w:t>claim.</w:t>
      </w:r>
      <w:r>
        <w:rPr>
          <w:color w:val="231F20"/>
          <w:spacing w:val="-4"/>
        </w:rPr>
        <w:t> </w:t>
      </w:r>
      <w:r>
        <w:rPr>
          <w:color w:val="231F20"/>
        </w:rPr>
        <w:t>The</w:t>
      </w:r>
      <w:r>
        <w:rPr>
          <w:color w:val="231F20"/>
          <w:w w:val="99"/>
        </w:rPr>
        <w:t> </w:t>
      </w:r>
      <w:r>
        <w:rPr>
          <w:color w:val="231F20"/>
        </w:rPr>
        <w:t>theory</w:t>
      </w:r>
      <w:r>
        <w:rPr>
          <w:color w:val="231F20"/>
          <w:spacing w:val="-5"/>
        </w:rPr>
        <w:t> </w:t>
      </w:r>
      <w:r>
        <w:rPr>
          <w:color w:val="231F20"/>
        </w:rPr>
        <w:t>of</w:t>
      </w:r>
      <w:r>
        <w:rPr>
          <w:color w:val="231F20"/>
          <w:spacing w:val="-3"/>
        </w:rPr>
        <w:t> </w:t>
      </w:r>
      <w:r>
        <w:rPr>
          <w:color w:val="231F20"/>
        </w:rPr>
        <w:t>change</w:t>
      </w:r>
      <w:r>
        <w:rPr>
          <w:color w:val="231F20"/>
          <w:spacing w:val="-5"/>
        </w:rPr>
        <w:t> </w:t>
      </w:r>
      <w:r>
        <w:rPr>
          <w:color w:val="231F20"/>
        </w:rPr>
        <w:t>assumes</w:t>
      </w:r>
      <w:r>
        <w:rPr>
          <w:color w:val="231F20"/>
          <w:spacing w:val="-4"/>
        </w:rPr>
        <w:t> </w:t>
      </w:r>
      <w:r>
        <w:rPr>
          <w:color w:val="231F20"/>
        </w:rPr>
        <w:t>the</w:t>
      </w:r>
      <w:r>
        <w:rPr>
          <w:color w:val="231F20"/>
          <w:spacing w:val="-4"/>
        </w:rPr>
        <w:t> </w:t>
      </w:r>
      <w:r>
        <w:rPr>
          <w:color w:val="231F20"/>
        </w:rPr>
        <w:t>provision</w:t>
      </w:r>
      <w:r>
        <w:rPr/>
      </w:r>
    </w:p>
    <w:p>
      <w:pPr>
        <w:pStyle w:val="BodyText"/>
        <w:spacing w:line="250" w:lineRule="exact"/>
        <w:ind w:left="131" w:right="236"/>
        <w:jc w:val="left"/>
      </w:pPr>
      <w:r>
        <w:rPr>
          <w:color w:val="231F20"/>
        </w:rPr>
        <w:t>of</w:t>
      </w:r>
      <w:r>
        <w:rPr>
          <w:color w:val="231F20"/>
          <w:spacing w:val="-7"/>
        </w:rPr>
        <w:t> </w:t>
      </w:r>
      <w:r>
        <w:rPr>
          <w:color w:val="231F20"/>
        </w:rPr>
        <w:t>boarding</w:t>
      </w:r>
      <w:r>
        <w:rPr>
          <w:color w:val="231F20"/>
          <w:spacing w:val="-8"/>
        </w:rPr>
        <w:t> </w:t>
      </w:r>
      <w:r>
        <w:rPr>
          <w:color w:val="231F20"/>
          <w:spacing w:val="-1"/>
        </w:rPr>
        <w:t>support</w:t>
      </w:r>
      <w:r>
        <w:rPr>
          <w:color w:val="231F20"/>
          <w:spacing w:val="-6"/>
        </w:rPr>
        <w:t> </w:t>
      </w:r>
      <w:r>
        <w:rPr>
          <w:color w:val="231F20"/>
          <w:spacing w:val="-1"/>
        </w:rPr>
        <w:t>is</w:t>
      </w:r>
      <w:r>
        <w:rPr>
          <w:color w:val="231F20"/>
          <w:spacing w:val="-8"/>
        </w:rPr>
        <w:t> </w:t>
      </w:r>
      <w:r>
        <w:rPr>
          <w:color w:val="231F20"/>
        </w:rPr>
        <w:t>adequately</w:t>
      </w:r>
      <w:r>
        <w:rPr>
          <w:color w:val="231F20"/>
          <w:spacing w:val="-7"/>
        </w:rPr>
        <w:t> </w:t>
      </w:r>
      <w:r>
        <w:rPr>
          <w:color w:val="231F20"/>
        </w:rPr>
        <w:t>funded</w:t>
      </w:r>
      <w:r>
        <w:rPr>
          <w:color w:val="231F20"/>
          <w:spacing w:val="23"/>
          <w:w w:val="99"/>
        </w:rPr>
        <w:t> </w:t>
      </w:r>
      <w:r>
        <w:rPr>
          <w:rFonts w:ascii="Segoe UI"/>
          <w:color w:val="231F20"/>
        </w:rPr>
        <w:t>and</w:t>
      </w:r>
      <w:r>
        <w:rPr>
          <w:rFonts w:ascii="Segoe UI"/>
          <w:color w:val="231F20"/>
          <w:spacing w:val="-2"/>
        </w:rPr>
        <w:t> </w:t>
      </w:r>
      <w:r>
        <w:rPr>
          <w:rFonts w:ascii="Segoe UI"/>
          <w:color w:val="231F20"/>
        </w:rPr>
        <w:t>staffed.</w:t>
      </w:r>
      <w:r>
        <w:rPr>
          <w:rFonts w:ascii="Segoe UI"/>
          <w:color w:val="231F20"/>
          <w:spacing w:val="-2"/>
        </w:rPr>
        <w:t> </w:t>
      </w:r>
      <w:r>
        <w:rPr>
          <w:rFonts w:ascii="Segoe UI"/>
          <w:color w:val="231F20"/>
        </w:rPr>
        <w:t>Specifically,</w:t>
      </w:r>
      <w:r>
        <w:rPr>
          <w:rFonts w:ascii="Segoe UI"/>
          <w:color w:val="231F20"/>
          <w:spacing w:val="-1"/>
        </w:rPr>
        <w:t> </w:t>
      </w:r>
      <w:r>
        <w:rPr>
          <w:rFonts w:ascii="Segoe UI"/>
          <w:color w:val="231F20"/>
        </w:rPr>
        <w:t>fare</w:t>
      </w:r>
      <w:r>
        <w:rPr>
          <w:rFonts w:ascii="Segoe UI"/>
          <w:color w:val="231F20"/>
          <w:spacing w:val="-2"/>
        </w:rPr>
        <w:t> </w:t>
      </w:r>
      <w:r>
        <w:rPr>
          <w:rFonts w:ascii="Segoe UI"/>
          <w:color w:val="231F20"/>
        </w:rPr>
        <w:t>allowances,</w:t>
      </w:r>
      <w:r>
        <w:rPr>
          <w:rFonts w:ascii="Segoe UI"/>
          <w:color w:val="231F20"/>
        </w:rPr>
        <w:t> </w:t>
      </w:r>
      <w:r>
        <w:rPr>
          <w:color w:val="231F20"/>
        </w:rPr>
        <w:t>administrative</w:t>
      </w:r>
      <w:r>
        <w:rPr>
          <w:color w:val="231F20"/>
          <w:spacing w:val="-17"/>
        </w:rPr>
        <w:t> </w:t>
      </w:r>
      <w:r>
        <w:rPr>
          <w:color w:val="231F20"/>
          <w:spacing w:val="-1"/>
        </w:rPr>
        <w:t>support,</w:t>
      </w:r>
      <w:r>
        <w:rPr>
          <w:color w:val="231F20"/>
          <w:spacing w:val="-14"/>
        </w:rPr>
        <w:t> </w:t>
      </w:r>
      <w:r>
        <w:rPr>
          <w:color w:val="231F20"/>
        </w:rPr>
        <w:t>awareness,</w:t>
      </w:r>
      <w:r>
        <w:rPr/>
      </w:r>
    </w:p>
    <w:p>
      <w:pPr>
        <w:pStyle w:val="BodyText"/>
        <w:spacing w:line="250" w:lineRule="exact"/>
        <w:ind w:left="131" w:right="37"/>
        <w:jc w:val="left"/>
        <w:rPr>
          <w:rFonts w:ascii="Segoe UI" w:hAnsi="Segoe UI" w:cs="Segoe UI" w:eastAsia="Segoe UI"/>
        </w:rPr>
      </w:pPr>
      <w:r>
        <w:rPr>
          <w:color w:val="231F20"/>
          <w:spacing w:val="-1"/>
        </w:rPr>
        <w:t>infrastructure,</w:t>
      </w:r>
      <w:r>
        <w:rPr>
          <w:color w:val="231F20"/>
          <w:spacing w:val="-7"/>
        </w:rPr>
        <w:t> </w:t>
      </w:r>
      <w:r>
        <w:rPr>
          <w:color w:val="231F20"/>
        </w:rPr>
        <w:t>travel,</w:t>
      </w:r>
      <w:r>
        <w:rPr>
          <w:color w:val="231F20"/>
          <w:spacing w:val="-8"/>
        </w:rPr>
        <w:t> </w:t>
      </w:r>
      <w:r>
        <w:rPr>
          <w:color w:val="231F20"/>
          <w:spacing w:val="-1"/>
        </w:rPr>
        <w:t>scholarships</w:t>
      </w:r>
      <w:r>
        <w:rPr>
          <w:color w:val="231F20"/>
          <w:spacing w:val="-6"/>
        </w:rPr>
        <w:t> </w:t>
      </w:r>
      <w:r>
        <w:rPr>
          <w:color w:val="231F20"/>
        </w:rPr>
        <w:t>and</w:t>
      </w:r>
      <w:r>
        <w:rPr>
          <w:color w:val="231F20"/>
          <w:spacing w:val="-8"/>
        </w:rPr>
        <w:t> </w:t>
      </w:r>
      <w:r>
        <w:rPr>
          <w:color w:val="231F20"/>
        </w:rPr>
        <w:t>recurrent</w:t>
      </w:r>
      <w:r>
        <w:rPr>
          <w:color w:val="231F20"/>
          <w:spacing w:val="23"/>
          <w:w w:val="99"/>
        </w:rPr>
        <w:t> </w:t>
      </w:r>
      <w:r>
        <w:rPr>
          <w:color w:val="231F20"/>
        </w:rPr>
        <w:t>funding</w:t>
      </w:r>
      <w:r>
        <w:rPr>
          <w:color w:val="231F20"/>
          <w:spacing w:val="-5"/>
        </w:rPr>
        <w:t> </w:t>
      </w:r>
      <w:r>
        <w:rPr>
          <w:color w:val="231F20"/>
        </w:rPr>
        <w:t>are</w:t>
      </w:r>
      <w:r>
        <w:rPr>
          <w:color w:val="231F20"/>
          <w:spacing w:val="-5"/>
        </w:rPr>
        <w:t> </w:t>
      </w:r>
      <w:r>
        <w:rPr>
          <w:color w:val="231F20"/>
        </w:rPr>
        <w:t>above</w:t>
      </w:r>
      <w:r>
        <w:rPr>
          <w:color w:val="231F20"/>
          <w:spacing w:val="-6"/>
        </w:rPr>
        <w:t> </w:t>
      </w:r>
      <w:r>
        <w:rPr>
          <w:color w:val="231F20"/>
        </w:rPr>
        <w:t>a</w:t>
      </w:r>
      <w:r>
        <w:rPr>
          <w:color w:val="231F20"/>
          <w:spacing w:val="-4"/>
        </w:rPr>
        <w:t> </w:t>
      </w:r>
      <w:r>
        <w:rPr>
          <w:color w:val="231F20"/>
        </w:rPr>
        <w:t>threshold</w:t>
      </w:r>
      <w:r>
        <w:rPr>
          <w:color w:val="231F20"/>
          <w:spacing w:val="-5"/>
        </w:rPr>
        <w:t> </w:t>
      </w:r>
      <w:r>
        <w:rPr>
          <w:color w:val="231F20"/>
        </w:rPr>
        <w:t>of</w:t>
      </w:r>
      <w:r>
        <w:rPr>
          <w:color w:val="231F20"/>
          <w:spacing w:val="-5"/>
        </w:rPr>
        <w:t> </w:t>
      </w:r>
      <w:r>
        <w:rPr>
          <w:color w:val="231F20"/>
          <w:spacing w:val="-1"/>
        </w:rPr>
        <w:t>investment</w:t>
      </w:r>
      <w:r>
        <w:rPr>
          <w:color w:val="231F20"/>
          <w:spacing w:val="-1"/>
        </w:rPr>
        <w:t> </w:t>
      </w:r>
      <w:r>
        <w:rPr>
          <w:color w:val="231F20"/>
          <w:spacing w:val="20"/>
        </w:rPr>
        <w:t> </w:t>
      </w:r>
      <w:r>
        <w:rPr>
          <w:rFonts w:ascii="Segoe UI"/>
          <w:color w:val="231F20"/>
        </w:rPr>
        <w:t>for</w:t>
      </w:r>
      <w:r>
        <w:rPr>
          <w:rFonts w:ascii="Segoe UI"/>
          <w:color w:val="231F20"/>
          <w:spacing w:val="-2"/>
        </w:rPr>
        <w:t> </w:t>
      </w:r>
      <w:r>
        <w:rPr>
          <w:rFonts w:ascii="Segoe UI"/>
          <w:color w:val="231F20"/>
        </w:rPr>
        <w:t>activities</w:t>
      </w:r>
      <w:r>
        <w:rPr>
          <w:rFonts w:ascii="Segoe UI"/>
          <w:color w:val="231F20"/>
          <w:spacing w:val="-2"/>
        </w:rPr>
        <w:t> </w:t>
      </w:r>
      <w:r>
        <w:rPr>
          <w:rFonts w:ascii="Segoe UI"/>
          <w:color w:val="231F20"/>
        </w:rPr>
        <w:t>to</w:t>
      </w:r>
      <w:r>
        <w:rPr>
          <w:rFonts w:ascii="Segoe UI"/>
          <w:color w:val="231F20"/>
          <w:spacing w:val="-2"/>
        </w:rPr>
        <w:t> </w:t>
      </w:r>
      <w:r>
        <w:rPr>
          <w:rFonts w:ascii="Segoe UI"/>
          <w:color w:val="231F20"/>
        </w:rPr>
        <w:t>function</w:t>
      </w:r>
      <w:r>
        <w:rPr>
          <w:rFonts w:ascii="Segoe UI"/>
          <w:color w:val="231F20"/>
          <w:spacing w:val="-2"/>
        </w:rPr>
        <w:t> </w:t>
      </w:r>
      <w:r>
        <w:rPr>
          <w:rFonts w:ascii="Segoe UI"/>
          <w:color w:val="231F20"/>
        </w:rPr>
        <w:t>effectively.</w:t>
      </w:r>
      <w:r>
        <w:rPr>
          <w:rFonts w:ascii="Segoe UI"/>
          <w:color w:val="231F20"/>
          <w:spacing w:val="-2"/>
        </w:rPr>
        <w:t> </w:t>
      </w:r>
      <w:r>
        <w:rPr>
          <w:rFonts w:ascii="Segoe UI"/>
          <w:color w:val="231F20"/>
        </w:rPr>
        <w:t>Identifying</w:t>
      </w:r>
      <w:r>
        <w:rPr>
          <w:rFonts w:ascii="Segoe UI"/>
          <w:color w:val="231F20"/>
        </w:rPr>
        <w:t> specific cases where outputs and activities</w:t>
      </w:r>
      <w:r>
        <w:rPr>
          <w:rFonts w:ascii="Segoe UI"/>
        </w:rPr>
      </w:r>
    </w:p>
    <w:p>
      <w:pPr>
        <w:pStyle w:val="BodyText"/>
        <w:spacing w:line="250" w:lineRule="exact"/>
        <w:ind w:left="131" w:right="0"/>
        <w:jc w:val="left"/>
      </w:pPr>
      <w:r>
        <w:rPr>
          <w:color w:val="231F20"/>
          <w:spacing w:val="-1"/>
        </w:rPr>
        <w:t>in</w:t>
      </w:r>
      <w:r>
        <w:rPr>
          <w:color w:val="231F20"/>
          <w:spacing w:val="-5"/>
        </w:rPr>
        <w:t> </w:t>
      </w:r>
      <w:r>
        <w:rPr>
          <w:color w:val="231F20"/>
        </w:rPr>
        <w:t>boarding</w:t>
      </w:r>
      <w:r>
        <w:rPr>
          <w:color w:val="231F20"/>
          <w:spacing w:val="-5"/>
        </w:rPr>
        <w:t> </w:t>
      </w:r>
      <w:r>
        <w:rPr>
          <w:color w:val="231F20"/>
          <w:spacing w:val="-1"/>
        </w:rPr>
        <w:t>support</w:t>
      </w:r>
      <w:r>
        <w:rPr>
          <w:color w:val="231F20"/>
          <w:spacing w:val="-4"/>
        </w:rPr>
        <w:t> </w:t>
      </w:r>
      <w:r>
        <w:rPr>
          <w:color w:val="231F20"/>
        </w:rPr>
        <w:t>and</w:t>
      </w:r>
      <w:r>
        <w:rPr>
          <w:color w:val="231F20"/>
          <w:spacing w:val="-6"/>
        </w:rPr>
        <w:t> </w:t>
      </w:r>
      <w:r>
        <w:rPr>
          <w:color w:val="231F20"/>
        </w:rPr>
        <w:t>provision</w:t>
      </w:r>
      <w:r>
        <w:rPr>
          <w:color w:val="231F20"/>
          <w:spacing w:val="-5"/>
        </w:rPr>
        <w:t> </w:t>
      </w:r>
      <w:r>
        <w:rPr>
          <w:color w:val="231F20"/>
        </w:rPr>
        <w:t>are</w:t>
      </w:r>
      <w:r>
        <w:rPr>
          <w:color w:val="231F20"/>
          <w:spacing w:val="-5"/>
        </w:rPr>
        <w:t> </w:t>
      </w:r>
      <w:r>
        <w:rPr>
          <w:color w:val="231F20"/>
          <w:spacing w:val="-1"/>
        </w:rPr>
        <w:t>more</w:t>
      </w:r>
      <w:r>
        <w:rPr>
          <w:color w:val="231F20"/>
          <w:spacing w:val="22"/>
          <w:w w:val="99"/>
        </w:rPr>
        <w:t> </w:t>
      </w:r>
      <w:r>
        <w:rPr>
          <w:color w:val="231F20"/>
          <w:spacing w:val="-1"/>
        </w:rPr>
        <w:t>successful</w:t>
      </w:r>
      <w:r>
        <w:rPr>
          <w:color w:val="231F20"/>
          <w:spacing w:val="-4"/>
        </w:rPr>
        <w:t> </w:t>
      </w:r>
      <w:r>
        <w:rPr>
          <w:color w:val="231F20"/>
          <w:spacing w:val="-1"/>
        </w:rPr>
        <w:t>may</w:t>
      </w:r>
      <w:r>
        <w:rPr>
          <w:color w:val="231F20"/>
          <w:spacing w:val="-4"/>
        </w:rPr>
        <w:t> </w:t>
      </w:r>
      <w:r>
        <w:rPr>
          <w:color w:val="231F20"/>
          <w:spacing w:val="-1"/>
        </w:rPr>
        <w:t>lead</w:t>
      </w:r>
      <w:r>
        <w:rPr>
          <w:color w:val="231F20"/>
          <w:spacing w:val="-5"/>
        </w:rPr>
        <w:t> </w:t>
      </w:r>
      <w:r>
        <w:rPr>
          <w:color w:val="231F20"/>
        </w:rPr>
        <w:t>to</w:t>
      </w:r>
      <w:r>
        <w:rPr>
          <w:color w:val="231F20"/>
          <w:spacing w:val="-4"/>
        </w:rPr>
        <w:t> </w:t>
      </w:r>
      <w:r>
        <w:rPr>
          <w:color w:val="231F20"/>
        </w:rPr>
        <w:t>government</w:t>
      </w:r>
      <w:r>
        <w:rPr>
          <w:color w:val="231F20"/>
          <w:spacing w:val="-5"/>
        </w:rPr>
        <w:t> </w:t>
      </w:r>
      <w:r>
        <w:rPr>
          <w:color w:val="231F20"/>
        </w:rPr>
        <w:t>altering</w:t>
      </w:r>
      <w:r>
        <w:rPr>
          <w:color w:val="231F20"/>
          <w:spacing w:val="-5"/>
        </w:rPr>
        <w:t> </w:t>
      </w:r>
      <w:r>
        <w:rPr>
          <w:color w:val="231F20"/>
        </w:rPr>
        <w:t>the</w:t>
      </w:r>
      <w:r>
        <w:rPr>
          <w:color w:val="231F20"/>
          <w:spacing w:val="24"/>
          <w:w w:val="99"/>
        </w:rPr>
        <w:t> </w:t>
      </w:r>
      <w:r>
        <w:rPr>
          <w:color w:val="231F20"/>
          <w:spacing w:val="-1"/>
        </w:rPr>
        <w:t>levels</w:t>
      </w:r>
      <w:r>
        <w:rPr>
          <w:color w:val="231F20"/>
          <w:spacing w:val="-3"/>
        </w:rPr>
        <w:t> </w:t>
      </w:r>
      <w:r>
        <w:rPr>
          <w:color w:val="231F20"/>
        </w:rPr>
        <w:t>of</w:t>
      </w:r>
      <w:r>
        <w:rPr>
          <w:color w:val="231F20"/>
          <w:spacing w:val="-3"/>
        </w:rPr>
        <w:t> </w:t>
      </w:r>
      <w:r>
        <w:rPr>
          <w:color w:val="231F20"/>
          <w:spacing w:val="-1"/>
        </w:rPr>
        <w:t>investment</w:t>
      </w:r>
      <w:r>
        <w:rPr>
          <w:color w:val="231F20"/>
          <w:spacing w:val="-3"/>
        </w:rPr>
        <w:t> </w:t>
      </w:r>
      <w:r>
        <w:rPr>
          <w:color w:val="231F20"/>
        </w:rPr>
        <w:t>and/or</w:t>
      </w:r>
      <w:r>
        <w:rPr>
          <w:color w:val="231F20"/>
          <w:spacing w:val="-4"/>
        </w:rPr>
        <w:t> </w:t>
      </w:r>
      <w:r>
        <w:rPr>
          <w:color w:val="231F20"/>
        </w:rPr>
        <w:t>how</w:t>
      </w:r>
      <w:r>
        <w:rPr>
          <w:color w:val="231F20"/>
          <w:spacing w:val="-3"/>
        </w:rPr>
        <w:t> </w:t>
      </w:r>
      <w:r>
        <w:rPr>
          <w:color w:val="231F20"/>
          <w:spacing w:val="-1"/>
        </w:rPr>
        <w:t>it</w:t>
      </w:r>
      <w:r>
        <w:rPr>
          <w:color w:val="231F20"/>
          <w:spacing w:val="-3"/>
        </w:rPr>
        <w:t> </w:t>
      </w:r>
      <w:r>
        <w:rPr>
          <w:color w:val="231F20"/>
          <w:spacing w:val="-1"/>
        </w:rPr>
        <w:t>is</w:t>
      </w:r>
      <w:r>
        <w:rPr>
          <w:color w:val="231F20"/>
          <w:spacing w:val="-3"/>
        </w:rPr>
        <w:t> </w:t>
      </w:r>
      <w:r>
        <w:rPr>
          <w:color w:val="231F20"/>
        </w:rPr>
        <w:t>allocated.</w:t>
      </w:r>
      <w:r>
        <w:rPr/>
      </w:r>
    </w:p>
    <w:p>
      <w:pPr>
        <w:pStyle w:val="BodyText"/>
        <w:spacing w:line="250" w:lineRule="exact" w:before="113"/>
        <w:ind w:left="131" w:right="40"/>
        <w:jc w:val="left"/>
      </w:pPr>
      <w:r>
        <w:rPr>
          <w:color w:val="231F20"/>
        </w:rPr>
        <w:t>The</w:t>
      </w:r>
      <w:r>
        <w:rPr>
          <w:color w:val="231F20"/>
          <w:spacing w:val="-5"/>
        </w:rPr>
        <w:t> </w:t>
      </w:r>
      <w:r>
        <w:rPr>
          <w:color w:val="231F20"/>
        </w:rPr>
        <w:t>theory</w:t>
      </w:r>
      <w:r>
        <w:rPr>
          <w:color w:val="231F20"/>
          <w:spacing w:val="-6"/>
        </w:rPr>
        <w:t> </w:t>
      </w:r>
      <w:r>
        <w:rPr>
          <w:color w:val="231F20"/>
        </w:rPr>
        <w:t>of</w:t>
      </w:r>
      <w:r>
        <w:rPr>
          <w:color w:val="231F20"/>
          <w:spacing w:val="-5"/>
        </w:rPr>
        <w:t> </w:t>
      </w:r>
      <w:r>
        <w:rPr>
          <w:color w:val="231F20"/>
        </w:rPr>
        <w:t>change</w:t>
      </w:r>
      <w:r>
        <w:rPr>
          <w:color w:val="231F20"/>
          <w:spacing w:val="-5"/>
        </w:rPr>
        <w:t> </w:t>
      </w:r>
      <w:r>
        <w:rPr>
          <w:color w:val="231F20"/>
        </w:rPr>
        <w:t>we</w:t>
      </w:r>
      <w:r>
        <w:rPr>
          <w:color w:val="231F20"/>
          <w:spacing w:val="-6"/>
        </w:rPr>
        <w:t> </w:t>
      </w:r>
      <w:r>
        <w:rPr>
          <w:color w:val="231F20"/>
        </w:rPr>
        <w:t>have</w:t>
      </w:r>
      <w:r>
        <w:rPr>
          <w:color w:val="231F20"/>
          <w:spacing w:val="-6"/>
        </w:rPr>
        <w:t> </w:t>
      </w:r>
      <w:r>
        <w:rPr>
          <w:color w:val="231F20"/>
        </w:rPr>
        <w:t>developed</w:t>
      </w:r>
      <w:r>
        <w:rPr>
          <w:color w:val="231F20"/>
          <w:spacing w:val="-6"/>
        </w:rPr>
        <w:t> </w:t>
      </w:r>
      <w:r>
        <w:rPr>
          <w:color w:val="231F20"/>
          <w:spacing w:val="-1"/>
        </w:rPr>
        <w:t>must</w:t>
      </w:r>
      <w:r>
        <w:rPr>
          <w:color w:val="231F20"/>
          <w:spacing w:val="19"/>
        </w:rPr>
        <w:t> </w:t>
      </w:r>
      <w:r>
        <w:rPr>
          <w:color w:val="231F20"/>
        </w:rPr>
        <w:t>also</w:t>
      </w:r>
      <w:r>
        <w:rPr>
          <w:color w:val="231F20"/>
          <w:spacing w:val="-4"/>
        </w:rPr>
        <w:t> </w:t>
      </w:r>
      <w:r>
        <w:rPr>
          <w:color w:val="231F20"/>
        </w:rPr>
        <w:t>be</w:t>
      </w:r>
      <w:r>
        <w:rPr>
          <w:color w:val="231F20"/>
          <w:spacing w:val="-2"/>
        </w:rPr>
        <w:t> </w:t>
      </w:r>
      <w:r>
        <w:rPr>
          <w:color w:val="231F20"/>
        </w:rPr>
        <w:t>considered</w:t>
      </w:r>
      <w:r>
        <w:rPr>
          <w:color w:val="231F20"/>
          <w:spacing w:val="-4"/>
        </w:rPr>
        <w:t> </w:t>
      </w:r>
      <w:r>
        <w:rPr>
          <w:color w:val="231F20"/>
          <w:spacing w:val="-1"/>
        </w:rPr>
        <w:t>in</w:t>
      </w:r>
      <w:r>
        <w:rPr>
          <w:color w:val="231F20"/>
          <w:spacing w:val="-2"/>
        </w:rPr>
        <w:t> </w:t>
      </w:r>
      <w:r>
        <w:rPr>
          <w:color w:val="231F20"/>
          <w:spacing w:val="-1"/>
        </w:rPr>
        <w:t>light</w:t>
      </w:r>
      <w:r>
        <w:rPr>
          <w:color w:val="231F20"/>
          <w:spacing w:val="-2"/>
        </w:rPr>
        <w:t> </w:t>
      </w:r>
      <w:r>
        <w:rPr>
          <w:color w:val="231F20"/>
        </w:rPr>
        <w:t>of</w:t>
      </w:r>
      <w:r>
        <w:rPr>
          <w:color w:val="231F20"/>
          <w:spacing w:val="-3"/>
        </w:rPr>
        <w:t> </w:t>
      </w:r>
      <w:r>
        <w:rPr>
          <w:color w:val="231F20"/>
        </w:rPr>
        <w:t>the</w:t>
      </w:r>
      <w:r>
        <w:rPr>
          <w:color w:val="231F20"/>
          <w:spacing w:val="-3"/>
        </w:rPr>
        <w:t> </w:t>
      </w:r>
      <w:r>
        <w:rPr>
          <w:color w:val="231F20"/>
        </w:rPr>
        <w:t>complexity</w:t>
      </w:r>
      <w:r>
        <w:rPr>
          <w:color w:val="231F20"/>
          <w:spacing w:val="22"/>
        </w:rPr>
        <w:t> </w:t>
      </w:r>
      <w:r>
        <w:rPr>
          <w:rFonts w:ascii="Segoe UI"/>
          <w:color w:val="231F20"/>
        </w:rPr>
        <w:t>and inter relationships identified by Guenther,</w:t>
      </w:r>
      <w:r>
        <w:rPr>
          <w:rFonts w:ascii="Segoe UI"/>
          <w:color w:val="231F20"/>
        </w:rPr>
        <w:t> </w:t>
      </w:r>
      <w:r>
        <w:rPr>
          <w:color w:val="231F20"/>
          <w:spacing w:val="-1"/>
        </w:rPr>
        <w:t>2017.</w:t>
      </w:r>
      <w:r>
        <w:rPr>
          <w:color w:val="231F20"/>
          <w:spacing w:val="-3"/>
        </w:rPr>
        <w:t> </w:t>
      </w:r>
      <w:r>
        <w:rPr>
          <w:color w:val="231F20"/>
        </w:rPr>
        <w:t>There</w:t>
      </w:r>
      <w:r>
        <w:rPr>
          <w:color w:val="231F20"/>
          <w:spacing w:val="-2"/>
        </w:rPr>
        <w:t> </w:t>
      </w:r>
      <w:r>
        <w:rPr>
          <w:color w:val="231F20"/>
          <w:spacing w:val="-1"/>
        </w:rPr>
        <w:t>is</w:t>
      </w:r>
      <w:r>
        <w:rPr>
          <w:color w:val="231F20"/>
          <w:spacing w:val="-3"/>
        </w:rPr>
        <w:t> </w:t>
      </w:r>
      <w:r>
        <w:rPr>
          <w:color w:val="231F20"/>
        </w:rPr>
        <w:t>an</w:t>
      </w:r>
      <w:r>
        <w:rPr>
          <w:color w:val="231F20"/>
          <w:spacing w:val="-4"/>
        </w:rPr>
        <w:t> </w:t>
      </w:r>
      <w:r>
        <w:rPr>
          <w:color w:val="231F20"/>
        </w:rPr>
        <w:t>assumption</w:t>
      </w:r>
      <w:r>
        <w:rPr>
          <w:color w:val="231F20"/>
          <w:spacing w:val="-3"/>
        </w:rPr>
        <w:t> </w:t>
      </w:r>
      <w:r>
        <w:rPr>
          <w:color w:val="231F20"/>
          <w:spacing w:val="-1"/>
        </w:rPr>
        <w:t>in</w:t>
      </w:r>
      <w:r>
        <w:rPr>
          <w:color w:val="231F20"/>
          <w:spacing w:val="-2"/>
        </w:rPr>
        <w:t> </w:t>
      </w:r>
      <w:r>
        <w:rPr>
          <w:color w:val="231F20"/>
        </w:rPr>
        <w:t>our</w:t>
      </w:r>
      <w:r>
        <w:rPr>
          <w:color w:val="231F20"/>
          <w:spacing w:val="-2"/>
        </w:rPr>
        <w:t> </w:t>
      </w:r>
      <w:r>
        <w:rPr>
          <w:color w:val="231F20"/>
        </w:rPr>
        <w:t>theory</w:t>
      </w:r>
      <w:r>
        <w:rPr/>
      </w:r>
    </w:p>
    <w:p>
      <w:pPr>
        <w:pStyle w:val="BodyText"/>
        <w:spacing w:line="250" w:lineRule="exact"/>
        <w:ind w:left="131" w:right="23"/>
        <w:jc w:val="left"/>
      </w:pPr>
      <w:r>
        <w:rPr>
          <w:color w:val="231F20"/>
        </w:rPr>
        <w:t>of</w:t>
      </w:r>
      <w:r>
        <w:rPr>
          <w:color w:val="231F20"/>
          <w:spacing w:val="-5"/>
        </w:rPr>
        <w:t> </w:t>
      </w:r>
      <w:r>
        <w:rPr>
          <w:color w:val="231F20"/>
        </w:rPr>
        <w:t>change</w:t>
      </w:r>
      <w:r>
        <w:rPr>
          <w:color w:val="231F20"/>
          <w:spacing w:val="-6"/>
        </w:rPr>
        <w:t> </w:t>
      </w:r>
      <w:r>
        <w:rPr>
          <w:color w:val="231F20"/>
        </w:rPr>
        <w:t>that</w:t>
      </w:r>
      <w:r>
        <w:rPr>
          <w:color w:val="231F20"/>
          <w:spacing w:val="-6"/>
        </w:rPr>
        <w:t> </w:t>
      </w:r>
      <w:r>
        <w:rPr>
          <w:color w:val="231F20"/>
        </w:rPr>
        <w:t>the</w:t>
      </w:r>
      <w:r>
        <w:rPr>
          <w:color w:val="231F20"/>
          <w:spacing w:val="-5"/>
        </w:rPr>
        <w:t> </w:t>
      </w:r>
      <w:r>
        <w:rPr>
          <w:color w:val="231F20"/>
        </w:rPr>
        <w:t>various</w:t>
      </w:r>
      <w:r>
        <w:rPr>
          <w:color w:val="231F20"/>
          <w:spacing w:val="-5"/>
        </w:rPr>
        <w:t> </w:t>
      </w:r>
      <w:r>
        <w:rPr>
          <w:color w:val="231F20"/>
        </w:rPr>
        <w:t>parties</w:t>
      </w:r>
      <w:r>
        <w:rPr>
          <w:color w:val="231F20"/>
          <w:spacing w:val="-6"/>
        </w:rPr>
        <w:t> </w:t>
      </w:r>
      <w:r>
        <w:rPr>
          <w:color w:val="231F20"/>
        </w:rPr>
        <w:t>with</w:t>
      </w:r>
      <w:r>
        <w:rPr>
          <w:color w:val="231F20"/>
          <w:spacing w:val="-5"/>
        </w:rPr>
        <w:t> </w:t>
      </w:r>
      <w:r>
        <w:rPr>
          <w:color w:val="231F20"/>
        </w:rPr>
        <w:t>an</w:t>
      </w:r>
      <w:r>
        <w:rPr>
          <w:color w:val="231F20"/>
          <w:w w:val="99"/>
        </w:rPr>
        <w:t> </w:t>
      </w:r>
      <w:r>
        <w:rPr>
          <w:rFonts w:ascii="Segoe UI"/>
          <w:color w:val="231F20"/>
        </w:rPr>
        <w:t>influence on boarding outcomes are able to</w:t>
      </w:r>
      <w:r>
        <w:rPr>
          <w:rFonts w:ascii="Segoe UI"/>
          <w:color w:val="231F20"/>
        </w:rPr>
        <w:t> </w:t>
      </w:r>
      <w:r>
        <w:rPr>
          <w:color w:val="231F20"/>
        </w:rPr>
        <w:t>work</w:t>
      </w:r>
      <w:r>
        <w:rPr>
          <w:color w:val="231F20"/>
          <w:spacing w:val="-6"/>
        </w:rPr>
        <w:t> </w:t>
      </w:r>
      <w:r>
        <w:rPr>
          <w:color w:val="231F20"/>
        </w:rPr>
        <w:t>together</w:t>
      </w:r>
      <w:r>
        <w:rPr>
          <w:color w:val="231F20"/>
          <w:spacing w:val="-5"/>
        </w:rPr>
        <w:t> </w:t>
      </w:r>
      <w:r>
        <w:rPr>
          <w:color w:val="231F20"/>
          <w:spacing w:val="-1"/>
        </w:rPr>
        <w:t>in</w:t>
      </w:r>
      <w:r>
        <w:rPr>
          <w:color w:val="231F20"/>
          <w:spacing w:val="-5"/>
        </w:rPr>
        <w:t> </w:t>
      </w:r>
      <w:r>
        <w:rPr>
          <w:color w:val="231F20"/>
        </w:rPr>
        <w:t>a</w:t>
      </w:r>
      <w:r>
        <w:rPr>
          <w:color w:val="231F20"/>
          <w:spacing w:val="-5"/>
        </w:rPr>
        <w:t> </w:t>
      </w:r>
      <w:r>
        <w:rPr>
          <w:color w:val="231F20"/>
        </w:rPr>
        <w:t>coordinated</w:t>
      </w:r>
      <w:r>
        <w:rPr>
          <w:color w:val="231F20"/>
          <w:spacing w:val="-5"/>
        </w:rPr>
        <w:t> </w:t>
      </w:r>
      <w:r>
        <w:rPr>
          <w:color w:val="231F20"/>
        </w:rPr>
        <w:t>and</w:t>
      </w:r>
      <w:r>
        <w:rPr>
          <w:color w:val="231F20"/>
          <w:spacing w:val="-5"/>
        </w:rPr>
        <w:t> </w:t>
      </w:r>
      <w:r>
        <w:rPr>
          <w:color w:val="231F20"/>
        </w:rPr>
        <w:t>consistent</w:t>
      </w:r>
      <w:r>
        <w:rPr>
          <w:color w:val="231F20"/>
          <w:spacing w:val="21"/>
        </w:rPr>
        <w:t> </w:t>
      </w:r>
      <w:r>
        <w:rPr>
          <w:color w:val="231F20"/>
          <w:spacing w:val="-1"/>
        </w:rPr>
        <w:t>manner</w:t>
      </w:r>
      <w:r>
        <w:rPr>
          <w:color w:val="231F20"/>
          <w:spacing w:val="-7"/>
        </w:rPr>
        <w:t> </w:t>
      </w:r>
      <w:r>
        <w:rPr>
          <w:color w:val="231F20"/>
        </w:rPr>
        <w:t>to</w:t>
      </w:r>
      <w:r>
        <w:rPr>
          <w:color w:val="231F20"/>
          <w:spacing w:val="-7"/>
        </w:rPr>
        <w:t> </w:t>
      </w:r>
      <w:r>
        <w:rPr>
          <w:color w:val="231F20"/>
        </w:rPr>
        <w:t>achieve</w:t>
      </w:r>
      <w:r>
        <w:rPr>
          <w:color w:val="231F20"/>
          <w:spacing w:val="-8"/>
        </w:rPr>
        <w:t> </w:t>
      </w:r>
      <w:r>
        <w:rPr>
          <w:color w:val="231F20"/>
          <w:spacing w:val="-1"/>
        </w:rPr>
        <w:t>intended</w:t>
      </w:r>
      <w:r>
        <w:rPr>
          <w:color w:val="231F20"/>
          <w:spacing w:val="-7"/>
        </w:rPr>
        <w:t> </w:t>
      </w:r>
      <w:r>
        <w:rPr>
          <w:color w:val="231F20"/>
        </w:rPr>
        <w:t>and</w:t>
      </w:r>
      <w:r>
        <w:rPr>
          <w:color w:val="231F20"/>
          <w:spacing w:val="-8"/>
        </w:rPr>
        <w:t> </w:t>
      </w:r>
      <w:r>
        <w:rPr>
          <w:color w:val="231F20"/>
        </w:rPr>
        <w:t>desirable</w:t>
      </w:r>
      <w:r>
        <w:rPr>
          <w:color w:val="231F20"/>
          <w:spacing w:val="23"/>
          <w:w w:val="99"/>
        </w:rPr>
        <w:t> </w:t>
      </w:r>
      <w:r>
        <w:rPr>
          <w:color w:val="231F20"/>
        </w:rPr>
        <w:t>outcomes.</w:t>
      </w:r>
      <w:r>
        <w:rPr>
          <w:color w:val="231F20"/>
          <w:spacing w:val="-5"/>
        </w:rPr>
        <w:t> </w:t>
      </w:r>
      <w:r>
        <w:rPr>
          <w:color w:val="231F20"/>
        </w:rPr>
        <w:t>This</w:t>
      </w:r>
      <w:r>
        <w:rPr>
          <w:color w:val="231F20"/>
          <w:spacing w:val="-4"/>
        </w:rPr>
        <w:t> </w:t>
      </w:r>
      <w:r>
        <w:rPr>
          <w:color w:val="231F20"/>
        </w:rPr>
        <w:t>report</w:t>
      </w:r>
      <w:r>
        <w:rPr>
          <w:color w:val="231F20"/>
          <w:spacing w:val="-4"/>
        </w:rPr>
        <w:t> </w:t>
      </w:r>
      <w:r>
        <w:rPr>
          <w:color w:val="231F20"/>
        </w:rPr>
        <w:t>highlights</w:t>
      </w:r>
      <w:r>
        <w:rPr>
          <w:color w:val="231F20"/>
          <w:spacing w:val="-5"/>
        </w:rPr>
        <w:t> </w:t>
      </w:r>
      <w:r>
        <w:rPr>
          <w:color w:val="231F20"/>
        </w:rPr>
        <w:t>examples</w:t>
      </w:r>
      <w:r>
        <w:rPr>
          <w:color w:val="231F20"/>
          <w:spacing w:val="-4"/>
        </w:rPr>
        <w:t> </w:t>
      </w:r>
      <w:r>
        <w:rPr>
          <w:color w:val="231F20"/>
        </w:rPr>
        <w:t>of</w:t>
      </w:r>
      <w:r>
        <w:rPr>
          <w:color w:val="231F20"/>
          <w:w w:val="99"/>
        </w:rPr>
        <w:t> </w:t>
      </w:r>
      <w:r>
        <w:rPr>
          <w:color w:val="231F20"/>
        </w:rPr>
        <w:t>what</w:t>
      </w:r>
      <w:r>
        <w:rPr>
          <w:color w:val="231F20"/>
          <w:spacing w:val="-5"/>
        </w:rPr>
        <w:t> </w:t>
      </w:r>
      <w:r>
        <w:rPr>
          <w:color w:val="231F20"/>
          <w:spacing w:val="-1"/>
        </w:rPr>
        <w:t>is</w:t>
      </w:r>
      <w:r>
        <w:rPr>
          <w:color w:val="231F20"/>
          <w:spacing w:val="-5"/>
        </w:rPr>
        <w:t> </w:t>
      </w:r>
      <w:r>
        <w:rPr>
          <w:color w:val="231F20"/>
        </w:rPr>
        <w:t>working</w:t>
      </w:r>
      <w:r>
        <w:rPr>
          <w:color w:val="231F20"/>
          <w:spacing w:val="-5"/>
        </w:rPr>
        <w:t> </w:t>
      </w:r>
      <w:r>
        <w:rPr>
          <w:color w:val="231F20"/>
        </w:rPr>
        <w:t>but</w:t>
      </w:r>
      <w:r>
        <w:rPr>
          <w:color w:val="231F20"/>
          <w:spacing w:val="-5"/>
        </w:rPr>
        <w:t> </w:t>
      </w:r>
      <w:r>
        <w:rPr>
          <w:color w:val="231F20"/>
        </w:rPr>
        <w:t>these</w:t>
      </w:r>
      <w:r>
        <w:rPr>
          <w:color w:val="231F20"/>
          <w:spacing w:val="-5"/>
        </w:rPr>
        <w:t> </w:t>
      </w:r>
      <w:r>
        <w:rPr>
          <w:color w:val="231F20"/>
        </w:rPr>
        <w:t>are</w:t>
      </w:r>
      <w:r>
        <w:rPr>
          <w:color w:val="231F20"/>
          <w:spacing w:val="-5"/>
        </w:rPr>
        <w:t> </w:t>
      </w:r>
      <w:r>
        <w:rPr>
          <w:color w:val="231F20"/>
          <w:spacing w:val="-1"/>
        </w:rPr>
        <w:t>largely</w:t>
      </w:r>
      <w:r>
        <w:rPr>
          <w:color w:val="231F20"/>
          <w:spacing w:val="-4"/>
        </w:rPr>
        <w:t> </w:t>
      </w:r>
      <w:r>
        <w:rPr>
          <w:color w:val="231F20"/>
        </w:rPr>
        <w:t>a</w:t>
      </w:r>
      <w:r>
        <w:rPr>
          <w:color w:val="231F20"/>
          <w:spacing w:val="-3"/>
        </w:rPr>
        <w:t> </w:t>
      </w:r>
      <w:r>
        <w:rPr>
          <w:color w:val="231F20"/>
        </w:rPr>
        <w:t>product</w:t>
      </w:r>
      <w:r>
        <w:rPr>
          <w:color w:val="231F20"/>
          <w:spacing w:val="23"/>
          <w:w w:val="99"/>
        </w:rPr>
        <w:t> </w:t>
      </w:r>
      <w:r>
        <w:rPr>
          <w:color w:val="231F20"/>
        </w:rPr>
        <w:t>of</w:t>
      </w:r>
      <w:r>
        <w:rPr>
          <w:color w:val="231F20"/>
          <w:spacing w:val="-5"/>
        </w:rPr>
        <w:t> </w:t>
      </w:r>
      <w:r>
        <w:rPr>
          <w:color w:val="231F20"/>
        </w:rPr>
        <w:t>programs</w:t>
      </w:r>
      <w:r>
        <w:rPr>
          <w:color w:val="231F20"/>
          <w:spacing w:val="-6"/>
        </w:rPr>
        <w:t> </w:t>
      </w:r>
      <w:r>
        <w:rPr>
          <w:color w:val="231F20"/>
        </w:rPr>
        <w:t>developed</w:t>
      </w:r>
      <w:r>
        <w:rPr>
          <w:color w:val="231F20"/>
          <w:spacing w:val="-5"/>
        </w:rPr>
        <w:t> </w:t>
      </w:r>
      <w:r>
        <w:rPr>
          <w:color w:val="231F20"/>
          <w:spacing w:val="-1"/>
        </w:rPr>
        <w:t>in</w:t>
      </w:r>
      <w:r>
        <w:rPr>
          <w:color w:val="231F20"/>
          <w:spacing w:val="-5"/>
        </w:rPr>
        <w:t> </w:t>
      </w:r>
      <w:r>
        <w:rPr>
          <w:color w:val="231F20"/>
          <w:spacing w:val="-1"/>
        </w:rPr>
        <w:t>isolation</w:t>
      </w:r>
      <w:r>
        <w:rPr>
          <w:color w:val="231F20"/>
          <w:spacing w:val="-4"/>
        </w:rPr>
        <w:t> </w:t>
      </w:r>
      <w:r>
        <w:rPr>
          <w:color w:val="231F20"/>
        </w:rPr>
        <w:t>and</w:t>
      </w:r>
      <w:r>
        <w:rPr>
          <w:color w:val="231F20"/>
          <w:spacing w:val="23"/>
          <w:w w:val="99"/>
        </w:rPr>
        <w:t> </w:t>
      </w:r>
      <w:r>
        <w:rPr>
          <w:color w:val="231F20"/>
        </w:rPr>
        <w:t>through</w:t>
      </w:r>
      <w:r>
        <w:rPr>
          <w:color w:val="231F20"/>
          <w:spacing w:val="-5"/>
        </w:rPr>
        <w:t> </w:t>
      </w:r>
      <w:r>
        <w:rPr>
          <w:color w:val="231F20"/>
        </w:rPr>
        <w:t>personal</w:t>
      </w:r>
      <w:r>
        <w:rPr>
          <w:color w:val="231F20"/>
          <w:spacing w:val="-5"/>
        </w:rPr>
        <w:t> </w:t>
      </w:r>
      <w:r>
        <w:rPr>
          <w:color w:val="231F20"/>
        </w:rPr>
        <w:t>commitment</w:t>
      </w:r>
      <w:r>
        <w:rPr>
          <w:color w:val="231F20"/>
          <w:spacing w:val="-4"/>
        </w:rPr>
        <w:t> </w:t>
      </w:r>
      <w:r>
        <w:rPr>
          <w:color w:val="231F20"/>
        </w:rPr>
        <w:t>of</w:t>
      </w:r>
      <w:r>
        <w:rPr>
          <w:color w:val="231F20"/>
          <w:spacing w:val="-4"/>
        </w:rPr>
        <w:t> </w:t>
      </w:r>
      <w:r>
        <w:rPr>
          <w:color w:val="231F20"/>
          <w:spacing w:val="-1"/>
        </w:rPr>
        <w:t>individuals</w:t>
      </w:r>
      <w:r>
        <w:rPr>
          <w:color w:val="231F20"/>
          <w:spacing w:val="-4"/>
        </w:rPr>
        <w:t> </w:t>
      </w:r>
      <w:r>
        <w:rPr>
          <w:color w:val="231F20"/>
        </w:rPr>
        <w:t>or</w:t>
      </w:r>
      <w:r>
        <w:rPr>
          <w:color w:val="231F20"/>
          <w:spacing w:val="22"/>
          <w:w w:val="99"/>
        </w:rPr>
        <w:t> </w:t>
      </w:r>
      <w:r>
        <w:rPr>
          <w:color w:val="231F20"/>
        </w:rPr>
        <w:t>groups,</w:t>
      </w:r>
      <w:r>
        <w:rPr>
          <w:color w:val="231F20"/>
          <w:spacing w:val="-7"/>
        </w:rPr>
        <w:t> </w:t>
      </w:r>
      <w:r>
        <w:rPr>
          <w:color w:val="231F20"/>
        </w:rPr>
        <w:t>rather</w:t>
      </w:r>
      <w:r>
        <w:rPr>
          <w:color w:val="231F20"/>
          <w:spacing w:val="-7"/>
        </w:rPr>
        <w:t> </w:t>
      </w:r>
      <w:r>
        <w:rPr>
          <w:color w:val="231F20"/>
        </w:rPr>
        <w:t>than</w:t>
      </w:r>
      <w:r>
        <w:rPr>
          <w:color w:val="231F20"/>
          <w:spacing w:val="-7"/>
        </w:rPr>
        <w:t> </w:t>
      </w:r>
      <w:r>
        <w:rPr>
          <w:color w:val="231F20"/>
        </w:rPr>
        <w:t>developed</w:t>
      </w:r>
      <w:r>
        <w:rPr>
          <w:color w:val="231F20"/>
          <w:spacing w:val="-6"/>
        </w:rPr>
        <w:t> </w:t>
      </w:r>
      <w:r>
        <w:rPr>
          <w:color w:val="231F20"/>
          <w:spacing w:val="-1"/>
        </w:rPr>
        <w:t>in</w:t>
      </w:r>
      <w:r>
        <w:rPr>
          <w:color w:val="231F20"/>
          <w:spacing w:val="-6"/>
        </w:rPr>
        <w:t> </w:t>
      </w:r>
      <w:r>
        <w:rPr>
          <w:color w:val="231F20"/>
        </w:rPr>
        <w:t>a</w:t>
      </w:r>
      <w:r>
        <w:rPr>
          <w:color w:val="231F20"/>
          <w:spacing w:val="-6"/>
        </w:rPr>
        <w:t> </w:t>
      </w:r>
      <w:r>
        <w:rPr>
          <w:color w:val="231F20"/>
        </w:rPr>
        <w:t>nationally</w:t>
      </w:r>
      <w:r>
        <w:rPr>
          <w:color w:val="231F20"/>
          <w:spacing w:val="21"/>
          <w:w w:val="99"/>
        </w:rPr>
        <w:t> </w:t>
      </w:r>
      <w:r>
        <w:rPr>
          <w:color w:val="231F20"/>
        </w:rPr>
        <w:t>coordinated</w:t>
      </w:r>
      <w:r>
        <w:rPr>
          <w:color w:val="231F20"/>
          <w:spacing w:val="-16"/>
        </w:rPr>
        <w:t> </w:t>
      </w:r>
      <w:r>
        <w:rPr>
          <w:color w:val="231F20"/>
        </w:rPr>
        <w:t>way.</w:t>
      </w:r>
      <w:r>
        <w:rPr/>
      </w:r>
    </w:p>
    <w:p>
      <w:pPr>
        <w:pStyle w:val="BodyText"/>
        <w:spacing w:line="240" w:lineRule="auto" w:before="53"/>
        <w:ind w:left="131" w:right="182"/>
        <w:jc w:val="left"/>
      </w:pPr>
      <w:r>
        <w:rPr/>
        <w:br w:type="column"/>
      </w:r>
      <w:r>
        <w:rPr>
          <w:color w:val="231F20"/>
        </w:rPr>
        <w:t>As</w:t>
      </w:r>
      <w:r>
        <w:rPr>
          <w:color w:val="231F20"/>
          <w:spacing w:val="-5"/>
        </w:rPr>
        <w:t> </w:t>
      </w:r>
      <w:r>
        <w:rPr>
          <w:color w:val="231F20"/>
        </w:rPr>
        <w:t>Guenther,</w:t>
      </w:r>
      <w:r>
        <w:rPr>
          <w:color w:val="231F20"/>
          <w:spacing w:val="-4"/>
        </w:rPr>
        <w:t> </w:t>
      </w:r>
      <w:r>
        <w:rPr>
          <w:color w:val="231F20"/>
          <w:spacing w:val="-1"/>
        </w:rPr>
        <w:t>2017</w:t>
      </w:r>
      <w:r>
        <w:rPr>
          <w:rFonts w:ascii="Segoe UI Semibold"/>
          <w:b/>
          <w:color w:val="231F20"/>
          <w:spacing w:val="-1"/>
          <w:position w:val="7"/>
          <w:sz w:val="11"/>
        </w:rPr>
        <w:t>60</w:t>
      </w:r>
      <w:r>
        <w:rPr>
          <w:rFonts w:ascii="Segoe UI Semibold"/>
          <w:b/>
          <w:color w:val="231F20"/>
          <w:spacing w:val="21"/>
          <w:position w:val="7"/>
          <w:sz w:val="11"/>
        </w:rPr>
        <w:t> </w:t>
      </w:r>
      <w:r>
        <w:rPr>
          <w:color w:val="231F20"/>
        </w:rPr>
        <w:t>concluded:</w:t>
      </w:r>
      <w:r>
        <w:rPr/>
      </w:r>
    </w:p>
    <w:p>
      <w:pPr>
        <w:pStyle w:val="BodyText"/>
        <w:spacing w:line="250" w:lineRule="exact" w:before="113"/>
        <w:ind w:left="585" w:right="291"/>
        <w:jc w:val="left"/>
        <w:rPr>
          <w:rFonts w:ascii="Segoe UI Semibold" w:hAnsi="Segoe UI Semibold" w:cs="Segoe UI Semibold" w:eastAsia="Segoe UI Semibold"/>
        </w:rPr>
      </w:pPr>
      <w:r>
        <w:rPr>
          <w:rFonts w:ascii="Segoe UI Semibold"/>
          <w:b/>
          <w:color w:val="00779B"/>
        </w:rPr>
        <w:t>In</w:t>
      </w:r>
      <w:r>
        <w:rPr>
          <w:rFonts w:ascii="Segoe UI Semibold"/>
          <w:b/>
          <w:color w:val="00779B"/>
          <w:spacing w:val="-2"/>
        </w:rPr>
        <w:t> </w:t>
      </w:r>
      <w:r>
        <w:rPr>
          <w:rFonts w:ascii="Segoe UI Semibold"/>
          <w:b/>
          <w:color w:val="00779B"/>
          <w:spacing w:val="-1"/>
        </w:rPr>
        <w:t>examining</w:t>
      </w:r>
      <w:r>
        <w:rPr>
          <w:rFonts w:ascii="Segoe UI Semibold"/>
          <w:b/>
          <w:color w:val="00779B"/>
        </w:rPr>
        <w:t> </w:t>
      </w:r>
      <w:r>
        <w:rPr>
          <w:rFonts w:ascii="Segoe UI Semibold"/>
          <w:b/>
          <w:color w:val="00779B"/>
          <w:spacing w:val="-1"/>
        </w:rPr>
        <w:t>the</w:t>
      </w:r>
      <w:r>
        <w:rPr>
          <w:rFonts w:ascii="Segoe UI Semibold"/>
          <w:b/>
          <w:color w:val="00779B"/>
        </w:rPr>
        <w:t> </w:t>
      </w:r>
      <w:r>
        <w:rPr>
          <w:rFonts w:ascii="Segoe UI Semibold"/>
          <w:b/>
          <w:color w:val="00779B"/>
          <w:spacing w:val="-1"/>
        </w:rPr>
        <w:t>causal pathways</w:t>
      </w:r>
      <w:r>
        <w:rPr>
          <w:rFonts w:ascii="Segoe UI Semibold"/>
          <w:b/>
          <w:color w:val="00779B"/>
          <w:spacing w:val="30"/>
        </w:rPr>
        <w:t> </w:t>
      </w:r>
      <w:r>
        <w:rPr>
          <w:rFonts w:ascii="Segoe UI Semibold"/>
          <w:b/>
          <w:color w:val="00779B"/>
          <w:spacing w:val="-1"/>
        </w:rPr>
        <w:t>through</w:t>
      </w:r>
      <w:r>
        <w:rPr>
          <w:rFonts w:ascii="Segoe UI Semibold"/>
          <w:b/>
          <w:color w:val="00779B"/>
          <w:spacing w:val="-2"/>
        </w:rPr>
        <w:t> </w:t>
      </w:r>
      <w:r>
        <w:rPr>
          <w:rFonts w:ascii="Segoe UI Semibold"/>
          <w:b/>
          <w:color w:val="00779B"/>
          <w:spacing w:val="-1"/>
        </w:rPr>
        <w:t>boarding</w:t>
      </w:r>
      <w:r>
        <w:rPr>
          <w:rFonts w:ascii="Segoe UI Semibold"/>
          <w:b/>
          <w:color w:val="00779B"/>
          <w:spacing w:val="-2"/>
        </w:rPr>
        <w:t> </w:t>
      </w:r>
      <w:r>
        <w:rPr>
          <w:rFonts w:ascii="Segoe UI Semibold"/>
          <w:b/>
          <w:color w:val="00779B"/>
          <w:spacing w:val="-1"/>
        </w:rPr>
        <w:t>to</w:t>
      </w:r>
      <w:r>
        <w:rPr>
          <w:rFonts w:ascii="Segoe UI Semibold"/>
          <w:b/>
          <w:color w:val="00779B"/>
          <w:spacing w:val="-2"/>
        </w:rPr>
        <w:t> </w:t>
      </w:r>
      <w:r>
        <w:rPr>
          <w:rFonts w:ascii="Segoe UI Semibold"/>
          <w:b/>
          <w:color w:val="00779B"/>
          <w:spacing w:val="-1"/>
        </w:rPr>
        <w:t>outcomes</w:t>
      </w:r>
      <w:r>
        <w:rPr>
          <w:rFonts w:ascii="Segoe UI Semibold"/>
          <w:b/>
          <w:color w:val="00779B"/>
          <w:spacing w:val="-2"/>
        </w:rPr>
        <w:t> </w:t>
      </w:r>
      <w:r>
        <w:rPr>
          <w:rFonts w:ascii="Segoe UI Semibold"/>
          <w:b/>
          <w:color w:val="00779B"/>
          <w:spacing w:val="-1"/>
        </w:rPr>
        <w:t>we</w:t>
      </w:r>
      <w:r>
        <w:rPr>
          <w:rFonts w:ascii="Segoe UI Semibold"/>
          <w:b/>
          <w:color w:val="00779B"/>
          <w:spacing w:val="-2"/>
        </w:rPr>
        <w:t> </w:t>
      </w:r>
      <w:r>
        <w:rPr>
          <w:rFonts w:ascii="Segoe UI Semibold"/>
          <w:b/>
          <w:color w:val="00779B"/>
          <w:spacing w:val="-1"/>
        </w:rPr>
        <w:t>can</w:t>
      </w:r>
      <w:r>
        <w:rPr>
          <w:rFonts w:ascii="Segoe UI Semibold"/>
          <w:b/>
          <w:color w:val="00779B"/>
          <w:spacing w:val="24"/>
        </w:rPr>
        <w:t> </w:t>
      </w:r>
      <w:r>
        <w:rPr>
          <w:rFonts w:ascii="Segoe UI Semibold"/>
          <w:b/>
          <w:color w:val="00779B"/>
        </w:rPr>
        <w:t>confidently</w:t>
      </w:r>
      <w:r>
        <w:rPr>
          <w:rFonts w:ascii="Segoe UI Semibold"/>
          <w:b/>
          <w:color w:val="00779B"/>
          <w:spacing w:val="-3"/>
        </w:rPr>
        <w:t> </w:t>
      </w:r>
      <w:r>
        <w:rPr>
          <w:rFonts w:ascii="Segoe UI Semibold"/>
          <w:b/>
          <w:color w:val="00779B"/>
        </w:rPr>
        <w:t>conclude</w:t>
      </w:r>
      <w:r>
        <w:rPr>
          <w:rFonts w:ascii="Segoe UI Semibold"/>
          <w:b/>
          <w:color w:val="00779B"/>
          <w:spacing w:val="-3"/>
        </w:rPr>
        <w:t> </w:t>
      </w:r>
      <w:r>
        <w:rPr>
          <w:rFonts w:ascii="Segoe UI Semibold"/>
          <w:b/>
          <w:color w:val="00779B"/>
        </w:rPr>
        <w:t>that</w:t>
      </w:r>
      <w:r>
        <w:rPr>
          <w:rFonts w:ascii="Segoe UI Semibold"/>
          <w:b/>
          <w:color w:val="00779B"/>
          <w:spacing w:val="-2"/>
        </w:rPr>
        <w:t> </w:t>
      </w:r>
      <w:r>
        <w:rPr>
          <w:rFonts w:ascii="Segoe UI Semibold"/>
          <w:b/>
          <w:color w:val="00779B"/>
        </w:rPr>
        <w:t>without</w:t>
      </w:r>
      <w:r>
        <w:rPr>
          <w:rFonts w:ascii="Segoe UI Semibold"/>
          <w:b/>
          <w:color w:val="00779B"/>
          <w:spacing w:val="-3"/>
        </w:rPr>
        <w:t> </w:t>
      </w:r>
      <w:r>
        <w:rPr>
          <w:rFonts w:ascii="Segoe UI Semibold"/>
          <w:b/>
          <w:color w:val="00779B"/>
        </w:rPr>
        <w:t>a</w:t>
      </w:r>
      <w:r>
        <w:rPr>
          <w:rFonts w:ascii="Segoe UI Semibold"/>
          <w:b/>
          <w:color w:val="00779B"/>
        </w:rPr>
        <w:t> </w:t>
      </w:r>
      <w:r>
        <w:rPr>
          <w:rFonts w:ascii="Segoe UI Semibold"/>
          <w:b/>
          <w:color w:val="00779B"/>
          <w:spacing w:val="-1"/>
        </w:rPr>
        <w:t>carefully</w:t>
      </w:r>
      <w:r>
        <w:rPr>
          <w:rFonts w:ascii="Segoe UI Semibold"/>
          <w:b/>
          <w:color w:val="00779B"/>
          <w:spacing w:val="-2"/>
        </w:rPr>
        <w:t> </w:t>
      </w:r>
      <w:r>
        <w:rPr>
          <w:rFonts w:ascii="Segoe UI Semibold"/>
          <w:b/>
          <w:color w:val="00779B"/>
          <w:spacing w:val="-1"/>
        </w:rPr>
        <w:t>coordinated</w:t>
      </w:r>
      <w:r>
        <w:rPr>
          <w:rFonts w:ascii="Segoe UI Semibold"/>
          <w:b/>
          <w:color w:val="00779B"/>
          <w:spacing w:val="-2"/>
        </w:rPr>
        <w:t> </w:t>
      </w:r>
      <w:r>
        <w:rPr>
          <w:rFonts w:ascii="Segoe UI Semibold"/>
          <w:b/>
          <w:color w:val="00779B"/>
        </w:rPr>
        <w:t>and</w:t>
      </w:r>
      <w:r>
        <w:rPr>
          <w:rFonts w:ascii="Segoe UI Semibold"/>
          <w:b/>
          <w:color w:val="00779B"/>
          <w:spacing w:val="-2"/>
        </w:rPr>
        <w:t> considered</w:t>
      </w:r>
      <w:r>
        <w:rPr>
          <w:rFonts w:ascii="Segoe UI Semibold"/>
          <w:b/>
          <w:color w:val="00779B"/>
          <w:spacing w:val="24"/>
          <w:w w:val="99"/>
        </w:rPr>
        <w:t> </w:t>
      </w:r>
      <w:r>
        <w:rPr>
          <w:rFonts w:ascii="Segoe UI Semibold"/>
          <w:b/>
          <w:color w:val="00779B"/>
          <w:spacing w:val="-1"/>
        </w:rPr>
        <w:t>approach,</w:t>
      </w:r>
      <w:r>
        <w:rPr>
          <w:rFonts w:ascii="Segoe UI Semibold"/>
          <w:b/>
          <w:color w:val="00779B"/>
          <w:spacing w:val="-4"/>
        </w:rPr>
        <w:t> </w:t>
      </w:r>
      <w:r>
        <w:rPr>
          <w:rFonts w:ascii="Segoe UI Semibold"/>
          <w:b/>
          <w:color w:val="00779B"/>
        </w:rPr>
        <w:t>a</w:t>
      </w:r>
      <w:r>
        <w:rPr>
          <w:rFonts w:ascii="Segoe UI Semibold"/>
          <w:b/>
          <w:color w:val="00779B"/>
          <w:spacing w:val="-3"/>
        </w:rPr>
        <w:t> </w:t>
      </w:r>
      <w:r>
        <w:rPr>
          <w:rFonts w:ascii="Segoe UI Semibold"/>
          <w:b/>
          <w:color w:val="00779B"/>
          <w:spacing w:val="-1"/>
        </w:rPr>
        <w:t>mixed</w:t>
      </w:r>
      <w:r>
        <w:rPr>
          <w:rFonts w:ascii="Segoe UI Semibold"/>
          <w:b/>
          <w:color w:val="00779B"/>
          <w:spacing w:val="-3"/>
        </w:rPr>
        <w:t> </w:t>
      </w:r>
      <w:r>
        <w:rPr>
          <w:rFonts w:ascii="Segoe UI Semibold"/>
          <w:b/>
          <w:color w:val="00779B"/>
          <w:spacing w:val="-1"/>
        </w:rPr>
        <w:t>bag</w:t>
      </w:r>
      <w:r>
        <w:rPr>
          <w:rFonts w:ascii="Segoe UI Semibold"/>
          <w:b/>
          <w:color w:val="00779B"/>
          <w:spacing w:val="-3"/>
        </w:rPr>
        <w:t> </w:t>
      </w:r>
      <w:r>
        <w:rPr>
          <w:rFonts w:ascii="Segoe UI Semibold"/>
          <w:b/>
          <w:color w:val="00779B"/>
          <w:spacing w:val="-2"/>
        </w:rPr>
        <w:t>of</w:t>
      </w:r>
      <w:r>
        <w:rPr>
          <w:rFonts w:ascii="Segoe UI Semibold"/>
          <w:b/>
          <w:color w:val="00779B"/>
          <w:spacing w:val="-3"/>
        </w:rPr>
        <w:t> </w:t>
      </w:r>
      <w:r>
        <w:rPr>
          <w:rFonts w:ascii="Segoe UI Semibold"/>
          <w:b/>
          <w:color w:val="00779B"/>
          <w:spacing w:val="-2"/>
        </w:rPr>
        <w:t>outcomes</w:t>
      </w:r>
      <w:r>
        <w:rPr>
          <w:rFonts w:ascii="Segoe UI Semibold"/>
        </w:rPr>
      </w:r>
    </w:p>
    <w:p>
      <w:pPr>
        <w:pStyle w:val="BodyText"/>
        <w:spacing w:line="250" w:lineRule="exact"/>
        <w:ind w:left="585" w:right="291"/>
        <w:jc w:val="left"/>
        <w:rPr>
          <w:rFonts w:ascii="Segoe UI Semibold" w:hAnsi="Segoe UI Semibold" w:cs="Segoe UI Semibold" w:eastAsia="Segoe UI Semibold"/>
        </w:rPr>
      </w:pPr>
      <w:r>
        <w:rPr>
          <w:rFonts w:ascii="Segoe UI Semibold"/>
          <w:b/>
          <w:color w:val="00779B"/>
          <w:spacing w:val="-1"/>
        </w:rPr>
        <w:t>is</w:t>
      </w:r>
      <w:r>
        <w:rPr>
          <w:rFonts w:ascii="Segoe UI Semibold"/>
          <w:b/>
          <w:color w:val="00779B"/>
        </w:rPr>
        <w:t> </w:t>
      </w:r>
      <w:r>
        <w:rPr>
          <w:rFonts w:ascii="Segoe UI Semibold"/>
          <w:b/>
          <w:color w:val="00779B"/>
          <w:spacing w:val="-2"/>
        </w:rPr>
        <w:t>likely</w:t>
      </w:r>
      <w:r>
        <w:rPr>
          <w:rFonts w:ascii="Segoe UI Semibold"/>
          <w:b/>
          <w:color w:val="00779B"/>
        </w:rPr>
        <w:t> for</w:t>
      </w:r>
      <w:r>
        <w:rPr>
          <w:rFonts w:ascii="Segoe UI Semibold"/>
          <w:b/>
          <w:color w:val="00779B"/>
          <w:spacing w:val="-1"/>
        </w:rPr>
        <w:t> individuals,</w:t>
      </w:r>
      <w:r>
        <w:rPr>
          <w:rFonts w:ascii="Segoe UI Semibold"/>
          <w:b/>
          <w:color w:val="00779B"/>
        </w:rPr>
        <w:t> </w:t>
      </w:r>
      <w:r>
        <w:rPr>
          <w:rFonts w:ascii="Segoe UI Semibold"/>
          <w:b/>
          <w:color w:val="00779B"/>
          <w:spacing w:val="-1"/>
        </w:rPr>
        <w:t>communities</w:t>
      </w:r>
      <w:r>
        <w:rPr>
          <w:rFonts w:ascii="Segoe UI Semibold"/>
          <w:b/>
          <w:color w:val="00779B"/>
          <w:spacing w:val="26"/>
        </w:rPr>
        <w:t> </w:t>
      </w:r>
      <w:r>
        <w:rPr>
          <w:rFonts w:ascii="Segoe UI Semibold"/>
          <w:b/>
          <w:color w:val="00779B"/>
        </w:rPr>
        <w:t>and</w:t>
      </w:r>
      <w:r>
        <w:rPr>
          <w:rFonts w:ascii="Segoe UI Semibold"/>
          <w:b/>
          <w:color w:val="00779B"/>
          <w:spacing w:val="-1"/>
        </w:rPr>
        <w:t> </w:t>
      </w:r>
      <w:r>
        <w:rPr>
          <w:rFonts w:ascii="Segoe UI Semibold"/>
          <w:b/>
          <w:color w:val="00779B"/>
        </w:rPr>
        <w:t>families.</w:t>
      </w:r>
      <w:r>
        <w:rPr>
          <w:rFonts w:ascii="Segoe UI Semibold"/>
          <w:b/>
          <w:color w:val="00779B"/>
          <w:spacing w:val="-2"/>
        </w:rPr>
        <w:t> </w:t>
      </w:r>
      <w:r>
        <w:rPr>
          <w:rFonts w:ascii="Segoe UI Semibold"/>
          <w:b/>
          <w:color w:val="00779B"/>
        </w:rPr>
        <w:t>The</w:t>
      </w:r>
      <w:r>
        <w:rPr>
          <w:rFonts w:ascii="Segoe UI Semibold"/>
          <w:b/>
          <w:color w:val="00779B"/>
          <w:spacing w:val="-1"/>
        </w:rPr>
        <w:t> </w:t>
      </w:r>
      <w:r>
        <w:rPr>
          <w:rFonts w:ascii="Segoe UI Semibold"/>
          <w:b/>
          <w:color w:val="00779B"/>
          <w:spacing w:val="-2"/>
        </w:rPr>
        <w:t>research</w:t>
      </w:r>
      <w:r>
        <w:rPr>
          <w:rFonts w:ascii="Segoe UI Semibold"/>
          <w:b/>
          <w:color w:val="00779B"/>
        </w:rPr>
        <w:t> </w:t>
      </w:r>
      <w:r>
        <w:rPr>
          <w:rFonts w:ascii="Segoe UI Semibold"/>
          <w:b/>
          <w:color w:val="00779B"/>
          <w:spacing w:val="-1"/>
        </w:rPr>
        <w:t>evidence</w:t>
      </w:r>
      <w:r>
        <w:rPr>
          <w:rFonts w:ascii="Segoe UI Semibold"/>
          <w:b/>
          <w:color w:val="00779B"/>
          <w:spacing w:val="-1"/>
        </w:rPr>
        <w:t> </w:t>
      </w:r>
      <w:r>
        <w:rPr>
          <w:rFonts w:ascii="Segoe UI Semibold"/>
          <w:b/>
          <w:color w:val="00779B"/>
          <w:spacing w:val="27"/>
        </w:rPr>
        <w:t> </w:t>
      </w:r>
      <w:r>
        <w:rPr>
          <w:rFonts w:ascii="Segoe UI Semibold"/>
          <w:b/>
          <w:color w:val="00779B"/>
          <w:spacing w:val="-1"/>
        </w:rPr>
        <w:t>we have shows</w:t>
      </w:r>
      <w:r>
        <w:rPr>
          <w:rFonts w:ascii="Segoe UI Semibold"/>
          <w:b/>
          <w:color w:val="00779B"/>
        </w:rPr>
        <w:t> </w:t>
      </w:r>
      <w:r>
        <w:rPr>
          <w:rFonts w:ascii="Segoe UI Semibold"/>
          <w:b/>
          <w:color w:val="00779B"/>
          <w:spacing w:val="-1"/>
        </w:rPr>
        <w:t>that</w:t>
      </w:r>
      <w:r>
        <w:rPr>
          <w:rFonts w:ascii="Segoe UI Semibold"/>
          <w:b/>
          <w:color w:val="00779B"/>
        </w:rPr>
        <w:t> </w:t>
      </w:r>
      <w:r>
        <w:rPr>
          <w:rFonts w:ascii="Segoe UI Semibold"/>
          <w:b/>
          <w:color w:val="00779B"/>
          <w:spacing w:val="-1"/>
        </w:rPr>
        <w:t>this</w:t>
      </w:r>
      <w:r>
        <w:rPr>
          <w:rFonts w:ascii="Segoe UI Semibold"/>
          <w:b/>
          <w:color w:val="00779B"/>
        </w:rPr>
        <w:t> </w:t>
      </w:r>
      <w:r>
        <w:rPr>
          <w:rFonts w:ascii="Segoe UI Semibold"/>
          <w:b/>
          <w:color w:val="00779B"/>
          <w:spacing w:val="-2"/>
        </w:rPr>
        <w:t>carefully</w:t>
      </w:r>
      <w:r>
        <w:rPr>
          <w:rFonts w:ascii="Segoe UI Semibold"/>
          <w:b/>
          <w:color w:val="00779B"/>
          <w:spacing w:val="28"/>
        </w:rPr>
        <w:t> </w:t>
      </w:r>
      <w:r>
        <w:rPr>
          <w:rFonts w:ascii="Segoe UI Semibold"/>
          <w:b/>
          <w:color w:val="00779B"/>
          <w:spacing w:val="-1"/>
        </w:rPr>
        <w:t>considered</w:t>
      </w:r>
      <w:r>
        <w:rPr>
          <w:rFonts w:ascii="Segoe UI Semibold"/>
          <w:b/>
          <w:color w:val="00779B"/>
          <w:spacing w:val="-3"/>
        </w:rPr>
        <w:t> </w:t>
      </w:r>
      <w:r>
        <w:rPr>
          <w:rFonts w:ascii="Segoe UI Semibold"/>
          <w:b/>
          <w:color w:val="00779B"/>
          <w:spacing w:val="-1"/>
        </w:rPr>
        <w:t>approach</w:t>
      </w:r>
      <w:r>
        <w:rPr>
          <w:rFonts w:ascii="Segoe UI Semibold"/>
          <w:b/>
          <w:color w:val="00779B"/>
          <w:spacing w:val="-3"/>
        </w:rPr>
        <w:t> </w:t>
      </w:r>
      <w:r>
        <w:rPr>
          <w:rFonts w:ascii="Segoe UI Semibold"/>
          <w:b/>
          <w:color w:val="00779B"/>
        </w:rPr>
        <w:t>must</w:t>
      </w:r>
      <w:r>
        <w:rPr>
          <w:rFonts w:ascii="Segoe UI Semibold"/>
          <w:b/>
          <w:color w:val="00779B"/>
          <w:spacing w:val="-3"/>
        </w:rPr>
        <w:t> </w:t>
      </w:r>
      <w:r>
        <w:rPr>
          <w:rFonts w:ascii="Segoe UI Semibold"/>
          <w:b/>
          <w:color w:val="00779B"/>
          <w:spacing w:val="-2"/>
        </w:rPr>
        <w:t>take</w:t>
      </w:r>
      <w:r>
        <w:rPr>
          <w:rFonts w:ascii="Segoe UI Semibold"/>
          <w:b/>
          <w:color w:val="00779B"/>
          <w:spacing w:val="26"/>
        </w:rPr>
        <w:t> </w:t>
      </w:r>
      <w:r>
        <w:rPr>
          <w:rFonts w:ascii="Segoe UI Semibold"/>
          <w:b/>
          <w:color w:val="00779B"/>
        </w:rPr>
        <w:t>account</w:t>
      </w:r>
      <w:r>
        <w:rPr>
          <w:rFonts w:ascii="Segoe UI Semibold"/>
          <w:b/>
          <w:color w:val="00779B"/>
          <w:spacing w:val="-2"/>
        </w:rPr>
        <w:t> of</w:t>
      </w:r>
      <w:r>
        <w:rPr>
          <w:rFonts w:ascii="Segoe UI Semibold"/>
          <w:b/>
          <w:color w:val="00779B"/>
        </w:rPr>
        <w:t> </w:t>
      </w:r>
      <w:r>
        <w:rPr>
          <w:rFonts w:ascii="Segoe UI Semibold"/>
          <w:b/>
          <w:color w:val="00779B"/>
          <w:spacing w:val="-1"/>
        </w:rPr>
        <w:t>the</w:t>
      </w:r>
      <w:r>
        <w:rPr>
          <w:rFonts w:ascii="Segoe UI Semibold"/>
          <w:b/>
          <w:color w:val="00779B"/>
        </w:rPr>
        <w:t> </w:t>
      </w:r>
      <w:r>
        <w:rPr>
          <w:rFonts w:ascii="Segoe UI Semibold"/>
          <w:b/>
          <w:color w:val="00779B"/>
          <w:spacing w:val="-1"/>
        </w:rPr>
        <w:t>contexts</w:t>
      </w:r>
      <w:r>
        <w:rPr>
          <w:rFonts w:ascii="Segoe UI Semibold"/>
          <w:b/>
          <w:color w:val="00779B"/>
        </w:rPr>
        <w:t> </w:t>
      </w:r>
      <w:r>
        <w:rPr>
          <w:rFonts w:ascii="Segoe UI Semibold"/>
          <w:b/>
          <w:color w:val="00779B"/>
          <w:spacing w:val="-1"/>
        </w:rPr>
        <w:t>students</w:t>
      </w:r>
      <w:r>
        <w:rPr>
          <w:rFonts w:ascii="Segoe UI Semibold"/>
          <w:b/>
          <w:color w:val="00779B"/>
        </w:rPr>
        <w:t> </w:t>
      </w:r>
      <w:r>
        <w:rPr>
          <w:rFonts w:ascii="Segoe UI Semibold"/>
          <w:b/>
          <w:color w:val="00779B"/>
          <w:spacing w:val="-1"/>
        </w:rPr>
        <w:t>come</w:t>
      </w:r>
      <w:r>
        <w:rPr>
          <w:rFonts w:ascii="Segoe UI Semibold"/>
          <w:b/>
          <w:color w:val="00779B"/>
          <w:spacing w:val="23"/>
        </w:rPr>
        <w:t> </w:t>
      </w:r>
      <w:r>
        <w:rPr>
          <w:rFonts w:ascii="Segoe UI Semibold"/>
          <w:b/>
          <w:color w:val="00779B"/>
          <w:spacing w:val="-1"/>
        </w:rPr>
        <w:t>from</w:t>
      </w:r>
      <w:r>
        <w:rPr>
          <w:rFonts w:ascii="Segoe UI Semibold"/>
          <w:b/>
          <w:color w:val="00779B"/>
          <w:spacing w:val="-2"/>
        </w:rPr>
        <w:t> </w:t>
      </w:r>
      <w:r>
        <w:rPr>
          <w:rFonts w:ascii="Segoe UI Semibold"/>
          <w:b/>
          <w:color w:val="00779B"/>
        </w:rPr>
        <w:t>and</w:t>
      </w:r>
      <w:r>
        <w:rPr>
          <w:rFonts w:ascii="Segoe UI Semibold"/>
          <w:b/>
          <w:color w:val="00779B"/>
          <w:spacing w:val="-2"/>
        </w:rPr>
        <w:t> </w:t>
      </w:r>
      <w:r>
        <w:rPr>
          <w:rFonts w:ascii="Segoe UI Semibold"/>
          <w:b/>
          <w:color w:val="00779B"/>
          <w:spacing w:val="-1"/>
        </w:rPr>
        <w:t>engage with </w:t>
      </w:r>
      <w:r>
        <w:rPr>
          <w:rFonts w:ascii="Segoe UI Semibold"/>
          <w:b/>
          <w:color w:val="00779B"/>
        </w:rPr>
        <w:t>aspirations</w:t>
      </w:r>
      <w:r>
        <w:rPr>
          <w:rFonts w:ascii="Segoe UI Semibold"/>
          <w:b/>
          <w:color w:val="00779B"/>
          <w:spacing w:val="-2"/>
        </w:rPr>
        <w:t> of</w:t>
      </w:r>
      <w:r>
        <w:rPr>
          <w:rFonts w:ascii="Segoe UI Semibold"/>
        </w:rPr>
      </w:r>
    </w:p>
    <w:p>
      <w:pPr>
        <w:pStyle w:val="BodyText"/>
        <w:spacing w:line="250" w:lineRule="exact"/>
        <w:ind w:left="585" w:right="229"/>
        <w:jc w:val="left"/>
        <w:rPr>
          <w:rFonts w:ascii="Segoe UI Semibold" w:hAnsi="Segoe UI Semibold" w:cs="Segoe UI Semibold" w:eastAsia="Segoe UI Semibold"/>
        </w:rPr>
      </w:pPr>
      <w:r>
        <w:rPr>
          <w:rFonts w:ascii="Segoe UI Semibold"/>
          <w:b/>
          <w:color w:val="00779B"/>
          <w:spacing w:val="-1"/>
        </w:rPr>
        <w:t>communities </w:t>
      </w:r>
      <w:r>
        <w:rPr>
          <w:rFonts w:ascii="Segoe UI Semibold"/>
          <w:b/>
          <w:color w:val="00779B"/>
        </w:rPr>
        <w:t>and</w:t>
      </w:r>
      <w:r>
        <w:rPr>
          <w:rFonts w:ascii="Segoe UI Semibold"/>
          <w:b/>
          <w:color w:val="00779B"/>
          <w:spacing w:val="-1"/>
        </w:rPr>
        <w:t> parents. </w:t>
      </w:r>
      <w:r>
        <w:rPr>
          <w:rFonts w:ascii="Segoe UI Semibold"/>
          <w:b/>
          <w:color w:val="00779B"/>
        </w:rPr>
        <w:t>It</w:t>
      </w:r>
      <w:r>
        <w:rPr>
          <w:rFonts w:ascii="Segoe UI Semibold"/>
          <w:b/>
          <w:color w:val="00779B"/>
          <w:spacing w:val="-1"/>
        </w:rPr>
        <w:t> </w:t>
      </w:r>
      <w:r>
        <w:rPr>
          <w:rFonts w:ascii="Segoe UI Semibold"/>
          <w:b/>
          <w:color w:val="00779B"/>
        </w:rPr>
        <w:t>must</w:t>
      </w:r>
      <w:r>
        <w:rPr>
          <w:rFonts w:ascii="Segoe UI Semibold"/>
          <w:b/>
          <w:color w:val="00779B"/>
          <w:spacing w:val="-2"/>
        </w:rPr>
        <w:t> </w:t>
      </w:r>
      <w:r>
        <w:rPr>
          <w:rFonts w:ascii="Segoe UI Semibold"/>
          <w:b/>
          <w:color w:val="00779B"/>
          <w:spacing w:val="-1"/>
        </w:rPr>
        <w:t>work</w:t>
      </w:r>
      <w:r>
        <w:rPr>
          <w:rFonts w:ascii="Segoe UI Semibold"/>
          <w:b/>
          <w:color w:val="00779B"/>
          <w:spacing w:val="21"/>
        </w:rPr>
        <w:t> </w:t>
      </w:r>
      <w:r>
        <w:rPr>
          <w:rFonts w:ascii="Segoe UI Semibold"/>
          <w:b/>
          <w:color w:val="00779B"/>
        </w:rPr>
        <w:t>holistically</w:t>
      </w:r>
      <w:r>
        <w:rPr>
          <w:rFonts w:ascii="Segoe UI Semibold"/>
          <w:b/>
          <w:color w:val="00779B"/>
          <w:spacing w:val="-1"/>
        </w:rPr>
        <w:t> with</w:t>
      </w:r>
      <w:r>
        <w:rPr>
          <w:rFonts w:ascii="Segoe UI Semibold"/>
          <w:b/>
          <w:color w:val="00779B"/>
        </w:rPr>
        <w:t> </w:t>
      </w:r>
      <w:r>
        <w:rPr>
          <w:rFonts w:ascii="Segoe UI Semibold"/>
          <w:b/>
          <w:color w:val="00779B"/>
          <w:spacing w:val="-1"/>
        </w:rPr>
        <w:t>students</w:t>
      </w:r>
      <w:r>
        <w:rPr>
          <w:rFonts w:ascii="Segoe UI Semibold"/>
          <w:b/>
          <w:color w:val="00779B"/>
        </w:rPr>
        <w:t> </w:t>
      </w:r>
      <w:r>
        <w:rPr>
          <w:rFonts w:ascii="Segoe UI Semibold"/>
          <w:b/>
          <w:color w:val="00779B"/>
          <w:spacing w:val="-1"/>
        </w:rPr>
        <w:t>to ensure</w:t>
      </w:r>
      <w:r>
        <w:rPr>
          <w:rFonts w:ascii="Segoe UI Semibold"/>
          <w:b/>
          <w:color w:val="00779B"/>
          <w:spacing w:val="24"/>
        </w:rPr>
        <w:t> </w:t>
      </w:r>
      <w:r>
        <w:rPr>
          <w:rFonts w:ascii="Segoe UI Semibold"/>
          <w:b/>
          <w:color w:val="00779B"/>
          <w:spacing w:val="-1"/>
        </w:rPr>
        <w:t>their</w:t>
      </w:r>
      <w:r>
        <w:rPr>
          <w:rFonts w:ascii="Segoe UI Semibold"/>
          <w:b/>
          <w:color w:val="00779B"/>
        </w:rPr>
        <w:t> </w:t>
      </w:r>
      <w:r>
        <w:rPr>
          <w:rFonts w:ascii="Segoe UI Semibold"/>
          <w:b/>
          <w:color w:val="00779B"/>
          <w:spacing w:val="-1"/>
        </w:rPr>
        <w:t>safety</w:t>
      </w:r>
      <w:r>
        <w:rPr>
          <w:rFonts w:ascii="Segoe UI Semibold"/>
          <w:b/>
          <w:color w:val="00779B"/>
        </w:rPr>
        <w:t> and</w:t>
      </w:r>
      <w:r>
        <w:rPr>
          <w:rFonts w:ascii="Segoe UI Semibold"/>
          <w:b/>
          <w:color w:val="00779B"/>
          <w:spacing w:val="-1"/>
        </w:rPr>
        <w:t> wellbeing</w:t>
      </w:r>
      <w:r>
        <w:rPr>
          <w:rFonts w:ascii="Segoe UI Semibold"/>
          <w:b/>
          <w:color w:val="00779B"/>
        </w:rPr>
        <w:t> </w:t>
      </w:r>
      <w:r>
        <w:rPr>
          <w:rFonts w:ascii="Segoe UI Semibold"/>
          <w:b/>
          <w:color w:val="00779B"/>
          <w:spacing w:val="-1"/>
        </w:rPr>
        <w:t>is</w:t>
      </w:r>
      <w:r>
        <w:rPr>
          <w:rFonts w:ascii="Segoe UI Semibold"/>
          <w:b/>
          <w:color w:val="00779B"/>
        </w:rPr>
        <w:t> prioritised.</w:t>
      </w:r>
      <w:r>
        <w:rPr>
          <w:rFonts w:ascii="Segoe UI Semibold"/>
          <w:b/>
          <w:color w:val="00779B"/>
          <w:spacing w:val="25"/>
        </w:rPr>
        <w:t> </w:t>
      </w:r>
      <w:r>
        <w:rPr>
          <w:rFonts w:ascii="Segoe UI Semibold"/>
          <w:b/>
          <w:color w:val="00779B"/>
        </w:rPr>
        <w:t>Institutions</w:t>
      </w:r>
      <w:r>
        <w:rPr>
          <w:rFonts w:ascii="Segoe UI Semibold"/>
          <w:b/>
          <w:color w:val="00779B"/>
          <w:spacing w:val="-3"/>
        </w:rPr>
        <w:t> </w:t>
      </w:r>
      <w:r>
        <w:rPr>
          <w:rFonts w:ascii="Segoe UI Semibold"/>
          <w:b/>
          <w:color w:val="00779B"/>
        </w:rPr>
        <w:t>and</w:t>
      </w:r>
      <w:r>
        <w:rPr>
          <w:rFonts w:ascii="Segoe UI Semibold"/>
          <w:b/>
          <w:color w:val="00779B"/>
          <w:spacing w:val="-1"/>
        </w:rPr>
        <w:t> strategic</w:t>
      </w:r>
      <w:r>
        <w:rPr>
          <w:rFonts w:ascii="Segoe UI Semibold"/>
          <w:b/>
          <w:color w:val="00779B"/>
        </w:rPr>
        <w:t> </w:t>
      </w:r>
      <w:r>
        <w:rPr>
          <w:rFonts w:ascii="Segoe UI Semibold"/>
          <w:b/>
          <w:color w:val="00779B"/>
          <w:spacing w:val="-2"/>
        </w:rPr>
        <w:t>initiatives</w:t>
      </w:r>
      <w:r>
        <w:rPr>
          <w:rFonts w:ascii="Segoe UI Semibold"/>
          <w:b/>
          <w:color w:val="00779B"/>
          <w:spacing w:val="22"/>
        </w:rPr>
        <w:t> </w:t>
      </w:r>
      <w:r>
        <w:rPr>
          <w:rFonts w:ascii="Segoe UI Semibold"/>
          <w:b/>
          <w:color w:val="00779B"/>
        </w:rPr>
        <w:t>must</w:t>
      </w:r>
      <w:r>
        <w:rPr>
          <w:rFonts w:ascii="Segoe UI Semibold"/>
          <w:b/>
          <w:color w:val="00779B"/>
          <w:spacing w:val="-4"/>
        </w:rPr>
        <w:t> </w:t>
      </w:r>
      <w:r>
        <w:rPr>
          <w:rFonts w:ascii="Segoe UI Semibold"/>
          <w:b/>
          <w:color w:val="00779B"/>
        </w:rPr>
        <w:t>be</w:t>
      </w:r>
      <w:r>
        <w:rPr>
          <w:rFonts w:ascii="Segoe UI Semibold"/>
          <w:b/>
          <w:color w:val="00779B"/>
          <w:spacing w:val="-4"/>
        </w:rPr>
        <w:t> </w:t>
      </w:r>
      <w:r>
        <w:rPr>
          <w:rFonts w:ascii="Segoe UI Semibold"/>
          <w:b/>
          <w:color w:val="00779B"/>
        </w:rPr>
        <w:t>designed</w:t>
      </w:r>
      <w:r>
        <w:rPr>
          <w:rFonts w:ascii="Segoe UI Semibold"/>
          <w:b/>
          <w:color w:val="00779B"/>
          <w:spacing w:val="-4"/>
        </w:rPr>
        <w:t> </w:t>
      </w:r>
      <w:r>
        <w:rPr>
          <w:rFonts w:ascii="Segoe UI Semibold"/>
          <w:b/>
          <w:color w:val="00779B"/>
          <w:spacing w:val="-1"/>
        </w:rPr>
        <w:t>to</w:t>
      </w:r>
      <w:r>
        <w:rPr>
          <w:rFonts w:ascii="Segoe UI Semibold"/>
          <w:b/>
          <w:color w:val="00779B"/>
          <w:spacing w:val="-4"/>
        </w:rPr>
        <w:t> </w:t>
      </w:r>
      <w:r>
        <w:rPr>
          <w:rFonts w:ascii="Segoe UI Semibold"/>
          <w:b/>
          <w:color w:val="00779B"/>
        </w:rPr>
        <w:t>be</w:t>
      </w:r>
      <w:r>
        <w:rPr>
          <w:rFonts w:ascii="Segoe UI Semibold"/>
          <w:b/>
          <w:color w:val="00779B"/>
          <w:spacing w:val="-3"/>
        </w:rPr>
        <w:t> </w:t>
      </w:r>
      <w:r>
        <w:rPr>
          <w:rFonts w:ascii="Segoe UI Semibold"/>
          <w:b/>
          <w:color w:val="00779B"/>
          <w:spacing w:val="-1"/>
        </w:rPr>
        <w:t>ethical,</w:t>
      </w:r>
      <w:r>
        <w:rPr>
          <w:rFonts w:ascii="Segoe UI Semibold"/>
          <w:b/>
          <w:color w:val="00779B"/>
          <w:spacing w:val="20"/>
        </w:rPr>
        <w:t> </w:t>
      </w:r>
      <w:r>
        <w:rPr>
          <w:rFonts w:ascii="Segoe UI Semibold"/>
          <w:b/>
          <w:color w:val="00779B"/>
          <w:spacing w:val="-1"/>
        </w:rPr>
        <w:t>equitable</w:t>
      </w:r>
      <w:r>
        <w:rPr>
          <w:rFonts w:ascii="Segoe UI Semibold"/>
          <w:b/>
          <w:color w:val="00779B"/>
        </w:rPr>
        <w:t> and</w:t>
      </w:r>
      <w:r>
        <w:rPr>
          <w:rFonts w:ascii="Segoe UI Semibold"/>
          <w:b/>
          <w:color w:val="00779B"/>
          <w:spacing w:val="-1"/>
        </w:rPr>
        <w:t> </w:t>
      </w:r>
      <w:r>
        <w:rPr>
          <w:rFonts w:ascii="Segoe UI Semibold"/>
          <w:b/>
          <w:color w:val="00779B"/>
          <w:spacing w:val="-2"/>
        </w:rPr>
        <w:t>inclusive.</w:t>
      </w:r>
      <w:r>
        <w:rPr>
          <w:rFonts w:ascii="Segoe UI Semibold"/>
        </w:rPr>
      </w:r>
    </w:p>
    <w:p>
      <w:pPr>
        <w:pStyle w:val="BodyText"/>
        <w:spacing w:line="250" w:lineRule="exact" w:before="113"/>
        <w:ind w:left="131" w:right="136"/>
        <w:jc w:val="left"/>
      </w:pPr>
      <w:r>
        <w:rPr>
          <w:color w:val="231F20"/>
        </w:rPr>
        <w:t>As</w:t>
      </w:r>
      <w:r>
        <w:rPr>
          <w:color w:val="231F20"/>
          <w:spacing w:val="-4"/>
        </w:rPr>
        <w:t> </w:t>
      </w:r>
      <w:r>
        <w:rPr>
          <w:color w:val="231F20"/>
        </w:rPr>
        <w:t>part</w:t>
      </w:r>
      <w:r>
        <w:rPr>
          <w:color w:val="231F20"/>
          <w:spacing w:val="-3"/>
        </w:rPr>
        <w:t> </w:t>
      </w:r>
      <w:r>
        <w:rPr>
          <w:color w:val="231F20"/>
        </w:rPr>
        <w:t>of</w:t>
      </w:r>
      <w:r>
        <w:rPr>
          <w:color w:val="231F20"/>
          <w:spacing w:val="-2"/>
        </w:rPr>
        <w:t> </w:t>
      </w:r>
      <w:r>
        <w:rPr>
          <w:color w:val="231F20"/>
        </w:rPr>
        <w:t>the</w:t>
      </w:r>
      <w:r>
        <w:rPr>
          <w:color w:val="231F20"/>
          <w:spacing w:val="-4"/>
        </w:rPr>
        <w:t> </w:t>
      </w:r>
      <w:r>
        <w:rPr>
          <w:color w:val="231F20"/>
        </w:rPr>
        <w:t>analysis</w:t>
      </w:r>
      <w:r>
        <w:rPr>
          <w:color w:val="231F20"/>
          <w:spacing w:val="-3"/>
        </w:rPr>
        <w:t> </w:t>
      </w:r>
      <w:r>
        <w:rPr>
          <w:color w:val="231F20"/>
        </w:rPr>
        <w:t>for</w:t>
      </w:r>
      <w:r>
        <w:rPr>
          <w:color w:val="231F20"/>
          <w:spacing w:val="-3"/>
        </w:rPr>
        <w:t> </w:t>
      </w:r>
      <w:r>
        <w:rPr>
          <w:color w:val="231F20"/>
        </w:rPr>
        <w:t>this</w:t>
      </w:r>
      <w:r>
        <w:rPr>
          <w:color w:val="231F20"/>
          <w:spacing w:val="-3"/>
        </w:rPr>
        <w:t> </w:t>
      </w:r>
      <w:r>
        <w:rPr>
          <w:color w:val="231F20"/>
        </w:rPr>
        <w:t>report</w:t>
      </w:r>
      <w:r>
        <w:rPr>
          <w:color w:val="231F20"/>
          <w:spacing w:val="-4"/>
        </w:rPr>
        <w:t> </w:t>
      </w:r>
      <w:r>
        <w:rPr>
          <w:color w:val="231F20"/>
        </w:rPr>
        <w:t>a</w:t>
      </w:r>
      <w:r>
        <w:rPr>
          <w:color w:val="231F20"/>
          <w:spacing w:val="-2"/>
        </w:rPr>
        <w:t> </w:t>
      </w:r>
      <w:r>
        <w:rPr>
          <w:color w:val="231F20"/>
        </w:rPr>
        <w:t>theory</w:t>
      </w:r>
      <w:r>
        <w:rPr>
          <w:color w:val="231F20"/>
          <w:w w:val="99"/>
        </w:rPr>
        <w:t> </w:t>
      </w:r>
      <w:r>
        <w:rPr>
          <w:color w:val="231F20"/>
        </w:rPr>
        <w:t>of</w:t>
      </w:r>
      <w:r>
        <w:rPr>
          <w:color w:val="231F20"/>
          <w:spacing w:val="-6"/>
        </w:rPr>
        <w:t> </w:t>
      </w:r>
      <w:r>
        <w:rPr>
          <w:color w:val="231F20"/>
        </w:rPr>
        <w:t>change</w:t>
      </w:r>
      <w:r>
        <w:rPr>
          <w:color w:val="231F20"/>
          <w:spacing w:val="-6"/>
        </w:rPr>
        <w:t> </w:t>
      </w:r>
      <w:r>
        <w:rPr>
          <w:color w:val="231F20"/>
        </w:rPr>
        <w:t>was</w:t>
      </w:r>
      <w:r>
        <w:rPr>
          <w:color w:val="231F20"/>
          <w:spacing w:val="-6"/>
        </w:rPr>
        <w:t> </w:t>
      </w:r>
      <w:r>
        <w:rPr>
          <w:color w:val="231F20"/>
        </w:rPr>
        <w:t>developed</w:t>
      </w:r>
      <w:r>
        <w:rPr>
          <w:color w:val="231F20"/>
          <w:spacing w:val="-6"/>
        </w:rPr>
        <w:t> </w:t>
      </w:r>
      <w:r>
        <w:rPr>
          <w:color w:val="231F20"/>
        </w:rPr>
        <w:t>as</w:t>
      </w:r>
      <w:r>
        <w:rPr>
          <w:color w:val="231F20"/>
          <w:spacing w:val="-6"/>
        </w:rPr>
        <w:t> </w:t>
      </w:r>
      <w:r>
        <w:rPr>
          <w:color w:val="231F20"/>
        </w:rPr>
        <w:t>a</w:t>
      </w:r>
      <w:r>
        <w:rPr>
          <w:color w:val="231F20"/>
          <w:spacing w:val="-6"/>
        </w:rPr>
        <w:t> </w:t>
      </w:r>
      <w:r>
        <w:rPr>
          <w:color w:val="231F20"/>
        </w:rPr>
        <w:t>framework</w:t>
      </w:r>
      <w:r>
        <w:rPr/>
      </w:r>
    </w:p>
    <w:p>
      <w:pPr>
        <w:pStyle w:val="BodyText"/>
        <w:spacing w:line="250" w:lineRule="exact"/>
        <w:ind w:left="131" w:right="0"/>
        <w:jc w:val="left"/>
      </w:pPr>
      <w:r>
        <w:rPr>
          <w:color w:val="231F20"/>
        </w:rPr>
        <w:t>for</w:t>
      </w:r>
      <w:r>
        <w:rPr>
          <w:color w:val="231F20"/>
          <w:spacing w:val="-3"/>
        </w:rPr>
        <w:t> </w:t>
      </w:r>
      <w:r>
        <w:rPr>
          <w:color w:val="231F20"/>
        </w:rPr>
        <w:t>analysing</w:t>
      </w:r>
      <w:r>
        <w:rPr>
          <w:color w:val="231F20"/>
          <w:spacing w:val="-4"/>
        </w:rPr>
        <w:t> </w:t>
      </w:r>
      <w:r>
        <w:rPr>
          <w:color w:val="231F20"/>
        </w:rPr>
        <w:t>the</w:t>
      </w:r>
      <w:r>
        <w:rPr>
          <w:color w:val="231F20"/>
          <w:spacing w:val="-4"/>
        </w:rPr>
        <w:t> </w:t>
      </w:r>
      <w:r>
        <w:rPr>
          <w:color w:val="231F20"/>
        </w:rPr>
        <w:t>activities</w:t>
      </w:r>
      <w:r>
        <w:rPr>
          <w:color w:val="231F20"/>
          <w:spacing w:val="-4"/>
        </w:rPr>
        <w:t> </w:t>
      </w:r>
      <w:r>
        <w:rPr>
          <w:color w:val="231F20"/>
        </w:rPr>
        <w:t>and</w:t>
      </w:r>
      <w:r>
        <w:rPr>
          <w:color w:val="231F20"/>
          <w:spacing w:val="-4"/>
        </w:rPr>
        <w:t> </w:t>
      </w:r>
      <w:r>
        <w:rPr>
          <w:color w:val="231F20"/>
          <w:spacing w:val="-1"/>
        </w:rPr>
        <w:t>investment</w:t>
      </w:r>
      <w:r>
        <w:rPr>
          <w:color w:val="231F20"/>
          <w:spacing w:val="-2"/>
        </w:rPr>
        <w:t> </w:t>
      </w:r>
      <w:r>
        <w:rPr>
          <w:color w:val="231F20"/>
          <w:spacing w:val="-1"/>
        </w:rPr>
        <w:t>in</w:t>
      </w:r>
      <w:r>
        <w:rPr>
          <w:color w:val="231F20"/>
          <w:spacing w:val="21"/>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from</w:t>
      </w:r>
      <w:r>
        <w:rPr>
          <w:color w:val="231F20"/>
          <w:spacing w:val="-12"/>
        </w:rPr>
        <w:t> </w:t>
      </w:r>
      <w:r>
        <w:rPr>
          <w:color w:val="231F20"/>
          <w:spacing w:val="-1"/>
        </w:rPr>
        <w:t>Commonwealth</w:t>
      </w:r>
      <w:r>
        <w:rPr>
          <w:color w:val="231F20"/>
          <w:spacing w:val="-11"/>
        </w:rPr>
        <w:t> </w:t>
      </w:r>
      <w:r>
        <w:rPr>
          <w:color w:val="231F20"/>
        </w:rPr>
        <w:t>and</w:t>
      </w:r>
      <w:r>
        <w:rPr>
          <w:color w:val="231F20"/>
          <w:spacing w:val="-12"/>
        </w:rPr>
        <w:t> </w:t>
      </w:r>
      <w:r>
        <w:rPr>
          <w:color w:val="231F20"/>
          <w:spacing w:val="-2"/>
        </w:rPr>
        <w:t>State/Territory</w:t>
      </w:r>
      <w:r>
        <w:rPr>
          <w:color w:val="231F20"/>
          <w:spacing w:val="25"/>
          <w:w w:val="99"/>
        </w:rPr>
        <w:t> </w:t>
      </w:r>
      <w:r>
        <w:rPr>
          <w:color w:val="231F20"/>
        </w:rPr>
        <w:t>Governments</w:t>
      </w:r>
      <w:r>
        <w:rPr>
          <w:color w:val="231F20"/>
          <w:spacing w:val="-7"/>
        </w:rPr>
        <w:t> </w:t>
      </w:r>
      <w:r>
        <w:rPr>
          <w:color w:val="231F20"/>
        </w:rPr>
        <w:t>and</w:t>
      </w:r>
      <w:r>
        <w:rPr>
          <w:color w:val="231F20"/>
          <w:spacing w:val="-7"/>
        </w:rPr>
        <w:t> </w:t>
      </w:r>
      <w:r>
        <w:rPr>
          <w:color w:val="231F20"/>
        </w:rPr>
        <w:t>how</w:t>
      </w:r>
      <w:r>
        <w:rPr>
          <w:color w:val="231F20"/>
          <w:spacing w:val="-6"/>
        </w:rPr>
        <w:t> </w:t>
      </w:r>
      <w:r>
        <w:rPr>
          <w:color w:val="231F20"/>
        </w:rPr>
        <w:t>they</w:t>
      </w:r>
      <w:r>
        <w:rPr>
          <w:color w:val="231F20"/>
          <w:spacing w:val="-8"/>
        </w:rPr>
        <w:t> </w:t>
      </w:r>
      <w:r>
        <w:rPr>
          <w:color w:val="231F20"/>
        </w:rPr>
        <w:t>contribute</w:t>
      </w:r>
      <w:r>
        <w:rPr>
          <w:color w:val="231F20"/>
          <w:spacing w:val="-7"/>
        </w:rPr>
        <w:t> </w:t>
      </w:r>
      <w:r>
        <w:rPr>
          <w:color w:val="231F20"/>
        </w:rPr>
        <w:t>to</w:t>
      </w:r>
      <w:r>
        <w:rPr>
          <w:color w:val="231F20"/>
          <w:spacing w:val="-6"/>
        </w:rPr>
        <w:t> </w:t>
      </w:r>
      <w:r>
        <w:rPr>
          <w:color w:val="231F20"/>
        </w:rPr>
        <w:t>their</w:t>
      </w:r>
      <w:r>
        <w:rPr>
          <w:color w:val="231F20"/>
          <w:w w:val="99"/>
        </w:rPr>
        <w:t> </w:t>
      </w:r>
      <w:r>
        <w:rPr>
          <w:color w:val="231F20"/>
          <w:spacing w:val="-1"/>
        </w:rPr>
        <w:t>intended</w:t>
      </w:r>
      <w:r>
        <w:rPr>
          <w:color w:val="231F20"/>
          <w:spacing w:val="-13"/>
        </w:rPr>
        <w:t> </w:t>
      </w:r>
      <w:r>
        <w:rPr>
          <w:color w:val="231F20"/>
        </w:rPr>
        <w:t>goals.</w:t>
      </w:r>
      <w:r>
        <w:rPr/>
      </w:r>
    </w:p>
    <w:p>
      <w:pPr>
        <w:spacing w:after="0" w:line="250" w:lineRule="exact"/>
        <w:jc w:val="left"/>
        <w:sectPr>
          <w:type w:val="continuous"/>
          <w:pgSz w:w="11910" w:h="16840"/>
          <w:pgMar w:top="1580" w:bottom="280" w:left="1300" w:right="1680"/>
          <w:cols w:num="2" w:equalWidth="0">
            <w:col w:w="4319" w:space="216"/>
            <w:col w:w="4395"/>
          </w:cols>
        </w:sect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3"/>
        <w:rPr>
          <w:rFonts w:ascii="Times New Roman" w:hAnsi="Times New Roman" w:cs="Times New Roman" w:eastAsia="Times New Roman"/>
          <w:sz w:val="18"/>
          <w:szCs w:val="18"/>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group style="width:439.4pt;height:657.65pt;mso-position-horizontal-relative:char;mso-position-vertical-relative:line" coordorigin="0,0" coordsize="8788,13153">
            <v:shape style="position:absolute;left:997;top:440;width:6397;height:12553" type="#_x0000_t75" stroked="false">
              <v:imagedata r:id="rId33" o:title=""/>
            </v:shape>
            <v:group style="position:absolute;left:100;top:100;width:8588;height:12953" coordorigin="100,100" coordsize="8588,12953">
              <v:shape style="position:absolute;left:100;top:100;width:8588;height:12953" coordorigin="100,100" coordsize="8588,12953" path="m100,13053l8687,13053,8687,100,100,100,100,13053xe" filled="false" stroked="true" strokeweight="10pt" strokecolor="#c1b5a9">
                <v:path arrowok="t"/>
              </v:shape>
              <v:shape style="position:absolute;left:286;top:270;width:4634;height:160" type="#_x0000_t202" filled="false" stroked="false">
                <v:textbox inset="0,0,0,0">
                  <w:txbxContent>
                    <w:p>
                      <w:pPr>
                        <w:spacing w:line="160" w:lineRule="exact" w:before="0"/>
                        <w:ind w:left="0" w:right="0" w:firstLine="0"/>
                        <w:jc w:val="left"/>
                        <w:rPr>
                          <w:rFonts w:ascii="Segoe UI Semibold" w:hAnsi="Segoe UI Semibold" w:cs="Segoe UI Semibold" w:eastAsia="Segoe UI Semibold"/>
                          <w:sz w:val="16"/>
                          <w:szCs w:val="16"/>
                        </w:rPr>
                      </w:pPr>
                      <w:r>
                        <w:rPr>
                          <w:rFonts w:ascii="Segoe UI Semibold"/>
                          <w:b/>
                          <w:color w:val="666155"/>
                          <w:spacing w:val="4"/>
                          <w:sz w:val="16"/>
                        </w:rPr>
                        <w:t>FIGURE</w:t>
                      </w:r>
                      <w:r>
                        <w:rPr>
                          <w:rFonts w:ascii="Segoe UI Semibold"/>
                          <w:b/>
                          <w:color w:val="666155"/>
                          <w:spacing w:val="-2"/>
                          <w:sz w:val="16"/>
                        </w:rPr>
                        <w:t> </w:t>
                      </w:r>
                      <w:r>
                        <w:rPr>
                          <w:rFonts w:ascii="Segoe UI Semibold"/>
                          <w:b/>
                          <w:color w:val="666155"/>
                          <w:sz w:val="16"/>
                        </w:rPr>
                        <w:t>2:</w:t>
                      </w:r>
                      <w:r>
                        <w:rPr>
                          <w:rFonts w:ascii="Segoe UI Semibold"/>
                          <w:b/>
                          <w:color w:val="666155"/>
                          <w:spacing w:val="-2"/>
                          <w:sz w:val="16"/>
                        </w:rPr>
                        <w:t> </w:t>
                      </w:r>
                      <w:r>
                        <w:rPr>
                          <w:rFonts w:ascii="Segoe UI Semibold"/>
                          <w:b/>
                          <w:color w:val="666155"/>
                          <w:spacing w:val="3"/>
                          <w:sz w:val="16"/>
                        </w:rPr>
                        <w:t>THEORY</w:t>
                      </w:r>
                      <w:r>
                        <w:rPr>
                          <w:rFonts w:ascii="Segoe UI Semibold"/>
                          <w:b/>
                          <w:color w:val="666155"/>
                          <w:spacing w:val="1"/>
                          <w:sz w:val="16"/>
                        </w:rPr>
                        <w:t> </w:t>
                      </w:r>
                      <w:r>
                        <w:rPr>
                          <w:rFonts w:ascii="Segoe UI Semibold"/>
                          <w:b/>
                          <w:color w:val="666155"/>
                          <w:spacing w:val="2"/>
                          <w:sz w:val="16"/>
                        </w:rPr>
                        <w:t>OF </w:t>
                      </w:r>
                      <w:r>
                        <w:rPr>
                          <w:rFonts w:ascii="Segoe UI Semibold"/>
                          <w:b/>
                          <w:color w:val="666155"/>
                          <w:spacing w:val="3"/>
                          <w:sz w:val="16"/>
                        </w:rPr>
                        <w:t>CHANGE:</w:t>
                      </w:r>
                      <w:r>
                        <w:rPr>
                          <w:rFonts w:ascii="Segoe UI Semibold"/>
                          <w:b/>
                          <w:color w:val="666155"/>
                          <w:spacing w:val="-2"/>
                          <w:sz w:val="16"/>
                        </w:rPr>
                        <w:t> </w:t>
                      </w:r>
                      <w:r>
                        <w:rPr>
                          <w:rFonts w:ascii="Segoe UI Semibold"/>
                          <w:b/>
                          <w:color w:val="666155"/>
                          <w:spacing w:val="4"/>
                          <w:sz w:val="16"/>
                        </w:rPr>
                        <w:t>INVESTMENT</w:t>
                      </w:r>
                      <w:r>
                        <w:rPr>
                          <w:rFonts w:ascii="Segoe UI Semibold"/>
                          <w:b/>
                          <w:color w:val="666155"/>
                          <w:spacing w:val="1"/>
                          <w:sz w:val="16"/>
                        </w:rPr>
                        <w:t> </w:t>
                      </w:r>
                      <w:r>
                        <w:rPr>
                          <w:rFonts w:ascii="Segoe UI Semibold"/>
                          <w:b/>
                          <w:color w:val="666155"/>
                          <w:spacing w:val="2"/>
                          <w:sz w:val="16"/>
                        </w:rPr>
                        <w:t>IN</w:t>
                      </w:r>
                      <w:r>
                        <w:rPr>
                          <w:rFonts w:ascii="Segoe UI Semibold"/>
                          <w:b/>
                          <w:color w:val="666155"/>
                          <w:spacing w:val="1"/>
                          <w:sz w:val="16"/>
                        </w:rPr>
                        <w:t> </w:t>
                      </w:r>
                      <w:r>
                        <w:rPr>
                          <w:rFonts w:ascii="Segoe UI Semibold"/>
                          <w:b/>
                          <w:color w:val="666155"/>
                          <w:spacing w:val="4"/>
                          <w:sz w:val="16"/>
                        </w:rPr>
                        <w:t>BOARDING</w:t>
                      </w:r>
                      <w:r>
                        <w:rPr>
                          <w:rFonts w:ascii="Segoe UI Semibold"/>
                          <w:sz w:val="16"/>
                        </w:rPr>
                      </w:r>
                    </w:p>
                  </w:txbxContent>
                </v:textbox>
                <w10:wrap type="none"/>
              </v:shape>
            </v:group>
          </v:group>
        </w:pict>
      </w:r>
      <w:r>
        <w:rPr>
          <w:rFonts w:ascii="Times New Roman" w:hAnsi="Times New Roman" w:cs="Times New Roman" w:eastAsia="Times New Roman"/>
          <w:sz w:val="20"/>
          <w:szCs w:val="20"/>
        </w:rPr>
      </w:r>
    </w:p>
    <w:p>
      <w:pPr>
        <w:spacing w:after="0" w:line="200" w:lineRule="atLeast"/>
        <w:rPr>
          <w:rFonts w:ascii="Times New Roman" w:hAnsi="Times New Roman" w:cs="Times New Roman" w:eastAsia="Times New Roman"/>
          <w:sz w:val="20"/>
          <w:szCs w:val="20"/>
        </w:rPr>
        <w:sectPr>
          <w:pgSz w:w="11910" w:h="16840"/>
          <w:pgMar w:header="0" w:footer="691" w:top="1580" w:bottom="880" w:left="1600" w:right="1300"/>
        </w:sectPr>
      </w:pP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26"/>
          <w:szCs w:val="26"/>
        </w:rPr>
      </w:pPr>
    </w:p>
    <w:p>
      <w:pPr>
        <w:numPr>
          <w:ilvl w:val="0"/>
          <w:numId w:val="4"/>
        </w:numPr>
        <w:tabs>
          <w:tab w:pos="699" w:val="left" w:leader="none"/>
        </w:tabs>
        <w:spacing w:line="567" w:lineRule="exact" w:before="0"/>
        <w:ind w:left="698" w:right="0" w:hanging="567"/>
        <w:jc w:val="left"/>
        <w:rPr>
          <w:rFonts w:ascii="Segoe UI" w:hAnsi="Segoe UI" w:cs="Segoe UI" w:eastAsia="Segoe UI"/>
          <w:sz w:val="44"/>
          <w:szCs w:val="44"/>
        </w:rPr>
      </w:pPr>
      <w:r>
        <w:rPr>
          <w:rFonts w:ascii="Segoe UI"/>
          <w:color w:val="67973F"/>
          <w:spacing w:val="-3"/>
          <w:sz w:val="44"/>
        </w:rPr>
        <w:t>Student</w:t>
      </w:r>
      <w:r>
        <w:rPr>
          <w:rFonts w:ascii="Segoe UI"/>
          <w:color w:val="67973F"/>
          <w:spacing w:val="-25"/>
          <w:sz w:val="44"/>
        </w:rPr>
        <w:t> </w:t>
      </w:r>
      <w:r>
        <w:rPr>
          <w:rFonts w:ascii="Segoe UI"/>
          <w:color w:val="67973F"/>
          <w:spacing w:val="-1"/>
          <w:sz w:val="44"/>
        </w:rPr>
        <w:t>background</w:t>
      </w:r>
      <w:r>
        <w:rPr>
          <w:rFonts w:ascii="Segoe UI"/>
          <w:color w:val="67973F"/>
          <w:spacing w:val="-25"/>
          <w:sz w:val="44"/>
        </w:rPr>
        <w:t> </w:t>
      </w:r>
      <w:r>
        <w:rPr>
          <w:rFonts w:ascii="Segoe UI"/>
          <w:color w:val="67973F"/>
          <w:sz w:val="44"/>
        </w:rPr>
        <w:t>and</w:t>
      </w:r>
      <w:r>
        <w:rPr>
          <w:rFonts w:ascii="Segoe UI"/>
          <w:color w:val="67973F"/>
          <w:spacing w:val="-24"/>
          <w:sz w:val="44"/>
        </w:rPr>
        <w:t> </w:t>
      </w:r>
      <w:r>
        <w:rPr>
          <w:rFonts w:ascii="Segoe UI"/>
          <w:color w:val="67973F"/>
          <w:sz w:val="44"/>
        </w:rPr>
        <w:t>circumstances</w:t>
      </w:r>
      <w:r>
        <w:rPr>
          <w:rFonts w:ascii="Segoe UI"/>
          <w:sz w:val="44"/>
        </w:rPr>
      </w:r>
    </w:p>
    <w:p>
      <w:pPr>
        <w:spacing w:line="240" w:lineRule="auto" w:before="3"/>
        <w:rPr>
          <w:rFonts w:ascii="Segoe UI" w:hAnsi="Segoe UI" w:cs="Segoe UI" w:eastAsia="Segoe UI"/>
          <w:sz w:val="10"/>
          <w:szCs w:val="10"/>
        </w:rPr>
      </w:pPr>
    </w:p>
    <w:p>
      <w:pPr>
        <w:spacing w:line="200" w:lineRule="atLeast"/>
        <w:ind w:left="131" w:right="0" w:firstLine="0"/>
        <w:rPr>
          <w:rFonts w:ascii="Segoe UI" w:hAnsi="Segoe UI" w:cs="Segoe UI" w:eastAsia="Segoe UI"/>
          <w:sz w:val="20"/>
          <w:szCs w:val="20"/>
        </w:rPr>
      </w:pPr>
      <w:r>
        <w:rPr>
          <w:rFonts w:ascii="Segoe UI" w:hAnsi="Segoe UI" w:cs="Segoe UI" w:eastAsia="Segoe UI"/>
          <w:sz w:val="20"/>
          <w:szCs w:val="20"/>
        </w:rPr>
        <w:pict>
          <v:group style="width:439.4pt;height:180.95pt;mso-position-horizontal-relative:char;mso-position-vertical-relative:line" coordorigin="0,0" coordsize="8788,3619">
            <v:group style="position:absolute;left:0;top:0;width:8788;height:3619" coordorigin="0,0" coordsize="8788,3619">
              <v:shape style="position:absolute;left:0;top:0;width:8788;height:3619" coordorigin="0,0" coordsize="8788,3619" path="m0,3619l8787,3619,8787,0,0,0,0,3619xe" filled="true" fillcolor="#231f20" stroked="false">
                <v:path arrowok="t"/>
                <v:fill type="solid"/>
              </v:shape>
              <v:shape style="position:absolute;left:0;top:0;width:8787;height:3619" type="#_x0000_t75" stroked="false">
                <v:imagedata r:id="rId36" o:title=""/>
              </v:shape>
            </v:group>
          </v:group>
        </w:pict>
      </w:r>
      <w:r>
        <w:rPr>
          <w:rFonts w:ascii="Segoe UI" w:hAnsi="Segoe UI" w:cs="Segoe UI" w:eastAsia="Segoe UI"/>
          <w:sz w:val="20"/>
          <w:szCs w:val="20"/>
        </w:rPr>
      </w:r>
    </w:p>
    <w:p>
      <w:pPr>
        <w:spacing w:line="240" w:lineRule="auto" w:before="8"/>
        <w:rPr>
          <w:rFonts w:ascii="Segoe UI" w:hAnsi="Segoe UI" w:cs="Segoe UI" w:eastAsia="Segoe UI"/>
          <w:sz w:val="19"/>
          <w:szCs w:val="19"/>
        </w:rPr>
      </w:pPr>
    </w:p>
    <w:p>
      <w:pPr>
        <w:spacing w:after="0" w:line="240" w:lineRule="auto"/>
        <w:rPr>
          <w:rFonts w:ascii="Segoe UI" w:hAnsi="Segoe UI" w:cs="Segoe UI" w:eastAsia="Segoe UI"/>
          <w:sz w:val="19"/>
          <w:szCs w:val="19"/>
        </w:rPr>
        <w:sectPr>
          <w:footerReference w:type="even" r:id="rId34"/>
          <w:footerReference w:type="default" r:id="rId35"/>
          <w:pgSz w:w="11910" w:h="16840"/>
          <w:pgMar w:footer="691" w:header="0" w:top="1580" w:bottom="880" w:left="1300" w:right="1580"/>
        </w:sectPr>
      </w:pPr>
    </w:p>
    <w:p>
      <w:pPr>
        <w:spacing w:before="14"/>
        <w:ind w:left="131" w:right="12" w:firstLine="0"/>
        <w:jc w:val="left"/>
        <w:rPr>
          <w:rFonts w:ascii="Segoe UI" w:hAnsi="Segoe UI" w:cs="Segoe UI" w:eastAsia="Segoe UI"/>
          <w:sz w:val="32"/>
          <w:szCs w:val="32"/>
        </w:rPr>
      </w:pPr>
      <w:r>
        <w:rPr>
          <w:rFonts w:ascii="Segoe UI"/>
          <w:b/>
          <w:color w:val="452A70"/>
          <w:spacing w:val="-2"/>
          <w:sz w:val="32"/>
        </w:rPr>
        <w:t>Background</w:t>
      </w:r>
      <w:r>
        <w:rPr>
          <w:rFonts w:ascii="Segoe UI"/>
          <w:b/>
          <w:color w:val="452A70"/>
          <w:spacing w:val="-1"/>
          <w:sz w:val="32"/>
        </w:rPr>
        <w:t> </w:t>
      </w:r>
      <w:r>
        <w:rPr>
          <w:rFonts w:ascii="Segoe UI"/>
          <w:b/>
          <w:color w:val="452A70"/>
          <w:spacing w:val="-3"/>
          <w:sz w:val="32"/>
        </w:rPr>
        <w:t>of</w:t>
      </w:r>
      <w:r>
        <w:rPr>
          <w:rFonts w:ascii="Segoe UI"/>
          <w:b/>
          <w:color w:val="452A70"/>
          <w:spacing w:val="-2"/>
          <w:sz w:val="32"/>
        </w:rPr>
        <w:t> boarders</w:t>
      </w:r>
      <w:r>
        <w:rPr>
          <w:rFonts w:ascii="Segoe UI"/>
          <w:sz w:val="32"/>
        </w:rPr>
      </w:r>
    </w:p>
    <w:p>
      <w:pPr>
        <w:pStyle w:val="BodyText"/>
        <w:spacing w:line="250" w:lineRule="exact" w:before="111"/>
        <w:ind w:left="131" w:right="229"/>
        <w:jc w:val="left"/>
      </w:pPr>
      <w:r>
        <w:rPr>
          <w:color w:val="231F20"/>
          <w:spacing w:val="-1"/>
        </w:rPr>
        <w:t>Boarding</w:t>
      </w:r>
      <w:r>
        <w:rPr>
          <w:color w:val="231F20"/>
          <w:spacing w:val="-7"/>
        </w:rPr>
        <w:t> </w:t>
      </w:r>
      <w:r>
        <w:rPr>
          <w:color w:val="231F20"/>
        </w:rPr>
        <w:t>providers</w:t>
      </w:r>
      <w:r>
        <w:rPr>
          <w:color w:val="231F20"/>
          <w:spacing w:val="-8"/>
        </w:rPr>
        <w:t> </w:t>
      </w:r>
      <w:r>
        <w:rPr>
          <w:color w:val="231F20"/>
        </w:rPr>
        <w:t>reported</w:t>
      </w:r>
      <w:r>
        <w:rPr>
          <w:color w:val="231F20"/>
          <w:spacing w:val="-7"/>
        </w:rPr>
        <w:t> </w:t>
      </w:r>
      <w:r>
        <w:rPr>
          <w:color w:val="231F20"/>
        </w:rPr>
        <w:t>the</w:t>
      </w:r>
      <w:r>
        <w:rPr>
          <w:color w:val="231F20"/>
          <w:spacing w:val="-8"/>
        </w:rPr>
        <w:t> </w:t>
      </w:r>
      <w:r>
        <w:rPr>
          <w:color w:val="231F20"/>
        </w:rPr>
        <w:t>need</w:t>
      </w:r>
      <w:r>
        <w:rPr>
          <w:color w:val="231F20"/>
          <w:spacing w:val="-8"/>
        </w:rPr>
        <w:t> </w:t>
      </w:r>
      <w:r>
        <w:rPr>
          <w:color w:val="231F20"/>
        </w:rPr>
        <w:t>to</w:t>
      </w:r>
      <w:r>
        <w:rPr>
          <w:color w:val="231F20"/>
          <w:spacing w:val="22"/>
          <w:w w:val="99"/>
        </w:rPr>
        <w:t> </w:t>
      </w:r>
      <w:r>
        <w:rPr>
          <w:color w:val="231F20"/>
        </w:rPr>
        <w:t>address</w:t>
      </w:r>
      <w:r>
        <w:rPr>
          <w:color w:val="231F20"/>
          <w:spacing w:val="-6"/>
        </w:rPr>
        <w:t> </w:t>
      </w:r>
      <w:r>
        <w:rPr>
          <w:color w:val="231F20"/>
        </w:rPr>
        <w:t>health</w:t>
      </w:r>
      <w:r>
        <w:rPr>
          <w:color w:val="231F20"/>
          <w:spacing w:val="-5"/>
        </w:rPr>
        <w:t> </w:t>
      </w:r>
      <w:r>
        <w:rPr>
          <w:color w:val="231F20"/>
        </w:rPr>
        <w:t>and</w:t>
      </w:r>
      <w:r>
        <w:rPr>
          <w:color w:val="231F20"/>
          <w:spacing w:val="-5"/>
        </w:rPr>
        <w:t> </w:t>
      </w:r>
      <w:r>
        <w:rPr>
          <w:color w:val="231F20"/>
        </w:rPr>
        <w:t>hygiene</w:t>
      </w:r>
      <w:r>
        <w:rPr>
          <w:color w:val="231F20"/>
          <w:spacing w:val="-6"/>
        </w:rPr>
        <w:t> </w:t>
      </w:r>
      <w:r>
        <w:rPr>
          <w:color w:val="231F20"/>
          <w:spacing w:val="-1"/>
        </w:rPr>
        <w:t>issues,</w:t>
      </w:r>
      <w:r>
        <w:rPr>
          <w:color w:val="231F20"/>
          <w:spacing w:val="-4"/>
        </w:rPr>
        <w:t> </w:t>
      </w:r>
      <w:r>
        <w:rPr>
          <w:color w:val="231F20"/>
          <w:spacing w:val="-1"/>
        </w:rPr>
        <w:t>low</w:t>
      </w:r>
      <w:r>
        <w:rPr>
          <w:color w:val="231F20"/>
          <w:spacing w:val="-4"/>
        </w:rPr>
        <w:t> </w:t>
      </w:r>
      <w:r>
        <w:rPr>
          <w:color w:val="231F20"/>
          <w:spacing w:val="-1"/>
        </w:rPr>
        <w:t>levels</w:t>
      </w:r>
      <w:r>
        <w:rPr>
          <w:color w:val="231F20"/>
          <w:spacing w:val="22"/>
        </w:rPr>
        <w:t> </w:t>
      </w:r>
      <w:r>
        <w:rPr>
          <w:color w:val="231F20"/>
        </w:rPr>
        <w:t>of</w:t>
      </w:r>
      <w:r>
        <w:rPr>
          <w:color w:val="231F20"/>
          <w:spacing w:val="-8"/>
        </w:rPr>
        <w:t> </w:t>
      </w:r>
      <w:r>
        <w:rPr>
          <w:color w:val="231F20"/>
          <w:spacing w:val="-1"/>
        </w:rPr>
        <w:t>literacy</w:t>
      </w:r>
      <w:r>
        <w:rPr>
          <w:color w:val="231F20"/>
          <w:spacing w:val="-7"/>
        </w:rPr>
        <w:t> </w:t>
      </w:r>
      <w:r>
        <w:rPr>
          <w:color w:val="231F20"/>
        </w:rPr>
        <w:t>and</w:t>
      </w:r>
      <w:r>
        <w:rPr>
          <w:color w:val="231F20"/>
          <w:spacing w:val="-8"/>
        </w:rPr>
        <w:t> </w:t>
      </w:r>
      <w:r>
        <w:rPr>
          <w:color w:val="231F20"/>
        </w:rPr>
        <w:t>numeracy,</w:t>
      </w:r>
      <w:r>
        <w:rPr>
          <w:color w:val="231F20"/>
          <w:spacing w:val="-8"/>
        </w:rPr>
        <w:t> </w:t>
      </w:r>
      <w:r>
        <w:rPr>
          <w:color w:val="231F20"/>
        </w:rPr>
        <w:t>undiagnosed</w:t>
      </w:r>
      <w:r>
        <w:rPr>
          <w:color w:val="231F20"/>
          <w:spacing w:val="-8"/>
        </w:rPr>
        <w:t> </w:t>
      </w:r>
      <w:r>
        <w:rPr>
          <w:color w:val="231F20"/>
        </w:rPr>
        <w:t>and</w:t>
      </w:r>
      <w:r>
        <w:rPr>
          <w:color w:val="231F20"/>
          <w:spacing w:val="22"/>
          <w:w w:val="99"/>
        </w:rPr>
        <w:t> </w:t>
      </w:r>
      <w:r>
        <w:rPr>
          <w:color w:val="231F20"/>
        </w:rPr>
        <w:t>diagnosed</w:t>
      </w:r>
      <w:r>
        <w:rPr>
          <w:color w:val="231F20"/>
          <w:spacing w:val="-10"/>
        </w:rPr>
        <w:t> </w:t>
      </w:r>
      <w:r>
        <w:rPr>
          <w:color w:val="231F20"/>
        </w:rPr>
        <w:t>disabilities,</w:t>
      </w:r>
      <w:r>
        <w:rPr>
          <w:color w:val="231F20"/>
          <w:spacing w:val="-10"/>
        </w:rPr>
        <w:t> </w:t>
      </w:r>
      <w:r>
        <w:rPr>
          <w:color w:val="231F20"/>
          <w:spacing w:val="-1"/>
        </w:rPr>
        <w:t>substance</w:t>
      </w:r>
      <w:r>
        <w:rPr>
          <w:color w:val="231F20"/>
          <w:spacing w:val="-9"/>
        </w:rPr>
        <w:t> </w:t>
      </w:r>
      <w:r>
        <w:rPr>
          <w:color w:val="231F20"/>
        </w:rPr>
        <w:t>addictions</w:t>
      </w:r>
      <w:r>
        <w:rPr>
          <w:color w:val="231F20"/>
          <w:spacing w:val="22"/>
          <w:w w:val="99"/>
        </w:rPr>
        <w:t> </w:t>
      </w:r>
      <w:r>
        <w:rPr>
          <w:color w:val="231F20"/>
        </w:rPr>
        <w:t>and</w:t>
      </w:r>
      <w:r>
        <w:rPr>
          <w:color w:val="231F20"/>
          <w:spacing w:val="-9"/>
        </w:rPr>
        <w:t> </w:t>
      </w:r>
      <w:r>
        <w:rPr>
          <w:color w:val="231F20"/>
        </w:rPr>
        <w:t>abuse,</w:t>
      </w:r>
      <w:r>
        <w:rPr>
          <w:color w:val="231F20"/>
          <w:spacing w:val="-9"/>
        </w:rPr>
        <w:t> </w:t>
      </w:r>
      <w:r>
        <w:rPr>
          <w:color w:val="231F20"/>
          <w:spacing w:val="-1"/>
        </w:rPr>
        <w:t>maintenance</w:t>
      </w:r>
      <w:r>
        <w:rPr>
          <w:color w:val="231F20"/>
          <w:spacing w:val="-7"/>
        </w:rPr>
        <w:t> </w:t>
      </w:r>
      <w:r>
        <w:rPr>
          <w:color w:val="231F20"/>
        </w:rPr>
        <w:t>of</w:t>
      </w:r>
      <w:r>
        <w:rPr>
          <w:color w:val="231F20"/>
          <w:spacing w:val="-8"/>
        </w:rPr>
        <w:t> </w:t>
      </w:r>
      <w:r>
        <w:rPr>
          <w:color w:val="231F20"/>
        </w:rPr>
        <w:t>connection</w:t>
      </w:r>
      <w:r>
        <w:rPr/>
      </w:r>
    </w:p>
    <w:p>
      <w:pPr>
        <w:pStyle w:val="BodyText"/>
        <w:spacing w:line="250" w:lineRule="exact"/>
        <w:ind w:left="131" w:right="123"/>
        <w:jc w:val="left"/>
      </w:pPr>
      <w:r>
        <w:rPr>
          <w:color w:val="231F20"/>
        </w:rPr>
        <w:t>with</w:t>
      </w:r>
      <w:r>
        <w:rPr>
          <w:color w:val="231F20"/>
          <w:spacing w:val="-6"/>
        </w:rPr>
        <w:t> </w:t>
      </w:r>
      <w:r>
        <w:rPr>
          <w:color w:val="231F20"/>
        </w:rPr>
        <w:t>culture</w:t>
      </w:r>
      <w:r>
        <w:rPr>
          <w:color w:val="231F20"/>
          <w:spacing w:val="-6"/>
        </w:rPr>
        <w:t> </w:t>
      </w:r>
      <w:r>
        <w:rPr>
          <w:color w:val="231F20"/>
        </w:rPr>
        <w:t>and</w:t>
      </w:r>
      <w:r>
        <w:rPr>
          <w:color w:val="231F20"/>
          <w:spacing w:val="-6"/>
        </w:rPr>
        <w:t> </w:t>
      </w:r>
      <w:r>
        <w:rPr>
          <w:color w:val="231F20"/>
        </w:rPr>
        <w:t>community,</w:t>
      </w:r>
      <w:r>
        <w:rPr>
          <w:color w:val="231F20"/>
          <w:spacing w:val="-6"/>
        </w:rPr>
        <w:t> </w:t>
      </w:r>
      <w:r>
        <w:rPr>
          <w:color w:val="231F20"/>
        </w:rPr>
        <w:t>trauma</w:t>
      </w:r>
      <w:r>
        <w:rPr>
          <w:color w:val="231F20"/>
          <w:w w:val="99"/>
        </w:rPr>
        <w:t> </w:t>
      </w:r>
      <w:r>
        <w:rPr>
          <w:color w:val="231F20"/>
        </w:rPr>
        <w:t>backgrounds</w:t>
      </w:r>
      <w:r>
        <w:rPr>
          <w:color w:val="231F20"/>
          <w:spacing w:val="-6"/>
        </w:rPr>
        <w:t> </w:t>
      </w:r>
      <w:r>
        <w:rPr>
          <w:color w:val="231F20"/>
        </w:rPr>
        <w:t>and</w:t>
      </w:r>
      <w:r>
        <w:rPr>
          <w:color w:val="231F20"/>
          <w:spacing w:val="-5"/>
        </w:rPr>
        <w:t> </w:t>
      </w:r>
      <w:r>
        <w:rPr>
          <w:color w:val="231F20"/>
        </w:rPr>
        <w:t>homesickness.</w:t>
      </w:r>
      <w:r>
        <w:rPr>
          <w:color w:val="231F20"/>
          <w:spacing w:val="-6"/>
        </w:rPr>
        <w:t> </w:t>
      </w:r>
      <w:r>
        <w:rPr>
          <w:color w:val="231F20"/>
        </w:rPr>
        <w:t>The</w:t>
      </w:r>
      <w:r>
        <w:rPr>
          <w:color w:val="231F20"/>
          <w:spacing w:val="-4"/>
        </w:rPr>
        <w:t> </w:t>
      </w:r>
      <w:r>
        <w:rPr>
          <w:color w:val="231F20"/>
        </w:rPr>
        <w:t>House</w:t>
      </w:r>
      <w:r>
        <w:rPr>
          <w:color w:val="231F20"/>
        </w:rPr>
        <w:t> of</w:t>
      </w:r>
      <w:r>
        <w:rPr>
          <w:color w:val="231F20"/>
          <w:spacing w:val="-6"/>
        </w:rPr>
        <w:t> </w:t>
      </w:r>
      <w:r>
        <w:rPr>
          <w:color w:val="231F20"/>
          <w:spacing w:val="-1"/>
        </w:rPr>
        <w:t>Representatives</w:t>
      </w:r>
      <w:r>
        <w:rPr>
          <w:color w:val="231F20"/>
          <w:spacing w:val="-7"/>
        </w:rPr>
        <w:t> </w:t>
      </w:r>
      <w:r>
        <w:rPr>
          <w:color w:val="231F20"/>
          <w:spacing w:val="-1"/>
        </w:rPr>
        <w:t>Standing</w:t>
      </w:r>
      <w:r>
        <w:rPr>
          <w:color w:val="231F20"/>
          <w:spacing w:val="-7"/>
        </w:rPr>
        <w:t> </w:t>
      </w:r>
      <w:r>
        <w:rPr>
          <w:color w:val="231F20"/>
          <w:spacing w:val="-1"/>
        </w:rPr>
        <w:t>Committee</w:t>
      </w:r>
      <w:r>
        <w:rPr>
          <w:color w:val="231F20"/>
          <w:spacing w:val="-6"/>
        </w:rPr>
        <w:t> </w:t>
      </w:r>
      <w:r>
        <w:rPr>
          <w:color w:val="231F20"/>
        </w:rPr>
        <w:t>on</w:t>
      </w:r>
      <w:r>
        <w:rPr>
          <w:color w:val="231F20"/>
          <w:spacing w:val="23"/>
          <w:w w:val="99"/>
        </w:rPr>
        <w:t> </w:t>
      </w:r>
      <w:r>
        <w:rPr>
          <w:rFonts w:ascii="Segoe UI" w:hAnsi="Segoe UI" w:cs="Segoe UI" w:eastAsia="Segoe UI"/>
          <w:color w:val="231F20"/>
        </w:rPr>
        <w:t>Indigenous</w:t>
      </w:r>
      <w:r>
        <w:rPr>
          <w:rFonts w:ascii="Segoe UI" w:hAnsi="Segoe UI" w:cs="Segoe UI" w:eastAsia="Segoe UI"/>
          <w:color w:val="231F20"/>
          <w:spacing w:val="-2"/>
        </w:rPr>
        <w:t> </w:t>
      </w:r>
      <w:r>
        <w:rPr>
          <w:rFonts w:ascii="Segoe UI" w:hAnsi="Segoe UI" w:cs="Segoe UI" w:eastAsia="Segoe UI"/>
          <w:color w:val="231F20"/>
        </w:rPr>
        <w:t>Affairs</w:t>
      </w:r>
      <w:r>
        <w:rPr>
          <w:rFonts w:ascii="Segoe UI Semibold" w:hAnsi="Segoe UI Semibold" w:cs="Segoe UI Semibold" w:eastAsia="Segoe UI Semibold"/>
          <w:b/>
          <w:bCs/>
          <w:color w:val="231F20"/>
          <w:position w:val="7"/>
          <w:sz w:val="11"/>
          <w:szCs w:val="11"/>
        </w:rPr>
        <w:t>61</w:t>
      </w:r>
      <w:r>
        <w:rPr>
          <w:rFonts w:ascii="Segoe UI Semibold" w:hAnsi="Segoe UI Semibold" w:cs="Segoe UI Semibold" w:eastAsia="Segoe UI Semibold"/>
          <w:b/>
          <w:bCs/>
          <w:color w:val="231F20"/>
          <w:spacing w:val="23"/>
          <w:position w:val="7"/>
          <w:sz w:val="11"/>
          <w:szCs w:val="11"/>
        </w:rPr>
        <w:t> </w:t>
      </w:r>
      <w:r>
        <w:rPr>
          <w:color w:val="231F20"/>
        </w:rPr>
        <w:t>referred</w:t>
      </w:r>
      <w:r>
        <w:rPr>
          <w:color w:val="231F20"/>
          <w:spacing w:val="-2"/>
        </w:rPr>
        <w:t> </w:t>
      </w:r>
      <w:r>
        <w:rPr>
          <w:color w:val="231F20"/>
        </w:rPr>
        <w:t>to</w:t>
      </w:r>
      <w:r>
        <w:rPr>
          <w:color w:val="231F20"/>
          <w:spacing w:val="-2"/>
        </w:rPr>
        <w:t> </w:t>
      </w:r>
      <w:r>
        <w:rPr>
          <w:color w:val="231F20"/>
        </w:rPr>
        <w:t>these</w:t>
      </w:r>
      <w:r>
        <w:rPr>
          <w:color w:val="231F20"/>
          <w:spacing w:val="-2"/>
        </w:rPr>
        <w:t> </w:t>
      </w:r>
      <w:r>
        <w:rPr>
          <w:color w:val="231F20"/>
          <w:spacing w:val="-1"/>
        </w:rPr>
        <w:t>issues </w:t>
      </w:r>
      <w:r>
        <w:rPr>
          <w:color w:val="231F20"/>
        </w:rPr>
        <w:t>as</w:t>
      </w:r>
      <w:r>
        <w:rPr>
          <w:color w:val="231F20"/>
          <w:spacing w:val="21"/>
        </w:rPr>
        <w:t> </w:t>
      </w:r>
      <w:r>
        <w:rPr>
          <w:color w:val="231F20"/>
        </w:rPr>
        <w:t>‘barriers</w:t>
      </w:r>
      <w:r>
        <w:rPr>
          <w:color w:val="231F20"/>
          <w:spacing w:val="-11"/>
        </w:rPr>
        <w:t> </w:t>
      </w:r>
      <w:r>
        <w:rPr>
          <w:color w:val="231F20"/>
        </w:rPr>
        <w:t>to</w:t>
      </w:r>
      <w:r>
        <w:rPr>
          <w:color w:val="231F20"/>
          <w:spacing w:val="-11"/>
        </w:rPr>
        <w:t> </w:t>
      </w:r>
      <w:r>
        <w:rPr>
          <w:color w:val="231F20"/>
        </w:rPr>
        <w:t>achievement’.</w:t>
      </w:r>
      <w:r>
        <w:rPr/>
      </w:r>
    </w:p>
    <w:p>
      <w:pPr>
        <w:pStyle w:val="BodyText"/>
        <w:spacing w:line="250" w:lineRule="exact" w:before="113"/>
        <w:ind w:left="131" w:right="66"/>
        <w:jc w:val="left"/>
        <w:rPr>
          <w:rFonts w:ascii="Segoe UI Semibold" w:hAnsi="Segoe UI Semibold" w:cs="Segoe UI Semibold" w:eastAsia="Segoe UI Semibold"/>
          <w:sz w:val="11"/>
          <w:szCs w:val="11"/>
        </w:rPr>
      </w:pPr>
      <w:r>
        <w:rPr>
          <w:color w:val="231F20"/>
        </w:rPr>
        <w:t>Many</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previous</w:t>
      </w:r>
      <w:r>
        <w:rPr>
          <w:color w:val="231F20"/>
          <w:spacing w:val="-7"/>
        </w:rPr>
        <w:t> </w:t>
      </w:r>
      <w:r>
        <w:rPr>
          <w:color w:val="231F20"/>
        </w:rPr>
        <w:t>reviews</w:t>
      </w:r>
      <w:r>
        <w:rPr>
          <w:color w:val="231F20"/>
          <w:spacing w:val="-7"/>
        </w:rPr>
        <w:t> </w:t>
      </w:r>
      <w:r>
        <w:rPr>
          <w:color w:val="231F20"/>
        </w:rPr>
        <w:t>and</w:t>
      </w:r>
      <w:r>
        <w:rPr>
          <w:color w:val="231F20"/>
          <w:spacing w:val="-6"/>
        </w:rPr>
        <w:t> </w:t>
      </w:r>
      <w:r>
        <w:rPr>
          <w:color w:val="231F20"/>
        </w:rPr>
        <w:t>reports,</w:t>
      </w:r>
      <w:r>
        <w:rPr>
          <w:color w:val="231F20"/>
          <w:w w:val="99"/>
        </w:rPr>
        <w:t> </w:t>
      </w:r>
      <w:r>
        <w:rPr>
          <w:color w:val="231F20"/>
          <w:spacing w:val="-1"/>
        </w:rPr>
        <w:t>such</w:t>
      </w:r>
      <w:r>
        <w:rPr>
          <w:color w:val="231F20"/>
          <w:spacing w:val="-5"/>
        </w:rPr>
        <w:t> </w:t>
      </w:r>
      <w:r>
        <w:rPr>
          <w:color w:val="231F20"/>
        </w:rPr>
        <w:t>as</w:t>
      </w:r>
      <w:r>
        <w:rPr>
          <w:color w:val="231F20"/>
          <w:spacing w:val="-5"/>
        </w:rPr>
        <w:t> </w:t>
      </w:r>
      <w:r>
        <w:rPr>
          <w:color w:val="231F20"/>
        </w:rPr>
        <w:t>the</w:t>
      </w:r>
      <w:r>
        <w:rPr>
          <w:color w:val="231F20"/>
          <w:spacing w:val="-5"/>
        </w:rPr>
        <w:t> </w:t>
      </w:r>
      <w:r>
        <w:rPr>
          <w:color w:val="231F20"/>
        </w:rPr>
        <w:t>House</w:t>
      </w:r>
      <w:r>
        <w:rPr>
          <w:color w:val="231F20"/>
          <w:spacing w:val="-5"/>
        </w:rPr>
        <w:t> </w:t>
      </w:r>
      <w:r>
        <w:rPr>
          <w:color w:val="231F20"/>
        </w:rPr>
        <w:t>of</w:t>
      </w:r>
      <w:r>
        <w:rPr>
          <w:color w:val="231F20"/>
          <w:spacing w:val="-4"/>
        </w:rPr>
        <w:t> </w:t>
      </w:r>
      <w:r>
        <w:rPr>
          <w:color w:val="231F20"/>
          <w:spacing w:val="-1"/>
        </w:rPr>
        <w:t>Representatives</w:t>
      </w:r>
      <w:r>
        <w:rPr>
          <w:color w:val="231F20"/>
          <w:spacing w:val="-5"/>
        </w:rPr>
        <w:t> </w:t>
      </w:r>
      <w:r>
        <w:rPr>
          <w:color w:val="231F20"/>
          <w:spacing w:val="-1"/>
        </w:rPr>
        <w:t>Standing</w:t>
      </w:r>
      <w:r>
        <w:rPr>
          <w:color w:val="231F20"/>
          <w:spacing w:val="23"/>
          <w:w w:val="99"/>
        </w:rPr>
        <w:t> </w:t>
      </w:r>
      <w:r>
        <w:rPr>
          <w:rFonts w:ascii="Segoe UI"/>
          <w:color w:val="231F20"/>
        </w:rPr>
        <w:t>Committee on Indigenous</w:t>
      </w:r>
      <w:r>
        <w:rPr>
          <w:rFonts w:ascii="Segoe UI"/>
          <w:color w:val="231F20"/>
          <w:spacing w:val="1"/>
        </w:rPr>
        <w:t> </w:t>
      </w:r>
      <w:r>
        <w:rPr>
          <w:rFonts w:ascii="Segoe UI"/>
          <w:color w:val="231F20"/>
        </w:rPr>
        <w:t>Affairs </w:t>
      </w:r>
      <w:r>
        <w:rPr>
          <w:rFonts w:ascii="Segoe UI"/>
          <w:color w:val="231F20"/>
          <w:spacing w:val="-1"/>
        </w:rPr>
        <w:t>report</w:t>
      </w:r>
      <w:r>
        <w:rPr>
          <w:rFonts w:ascii="Segoe UI Semibold"/>
          <w:b/>
          <w:color w:val="231F20"/>
          <w:spacing w:val="-1"/>
          <w:position w:val="7"/>
          <w:sz w:val="11"/>
        </w:rPr>
        <w:t>62</w:t>
      </w:r>
      <w:r>
        <w:rPr>
          <w:rFonts w:ascii="Segoe UI Semibold"/>
          <w:sz w:val="11"/>
        </w:rPr>
      </w:r>
    </w:p>
    <w:p>
      <w:pPr>
        <w:pStyle w:val="BodyText"/>
        <w:spacing w:line="250" w:lineRule="exact"/>
        <w:ind w:left="131" w:right="12"/>
        <w:jc w:val="left"/>
      </w:pPr>
      <w:r>
        <w:rPr>
          <w:color w:val="231F20"/>
        </w:rPr>
        <w:t>have</w:t>
      </w:r>
      <w:r>
        <w:rPr>
          <w:color w:val="231F20"/>
          <w:spacing w:val="-8"/>
        </w:rPr>
        <w:t> </w:t>
      </w:r>
      <w:r>
        <w:rPr>
          <w:color w:val="231F20"/>
        </w:rPr>
        <w:t>detailed</w:t>
      </w:r>
      <w:r>
        <w:rPr>
          <w:color w:val="231F20"/>
          <w:spacing w:val="-7"/>
        </w:rPr>
        <w:t> </w:t>
      </w:r>
      <w:r>
        <w:rPr>
          <w:color w:val="231F20"/>
        </w:rPr>
        <w:t>the</w:t>
      </w:r>
      <w:r>
        <w:rPr>
          <w:color w:val="231F20"/>
          <w:spacing w:val="-7"/>
        </w:rPr>
        <w:t> </w:t>
      </w:r>
      <w:r>
        <w:rPr>
          <w:color w:val="231F20"/>
        </w:rPr>
        <w:t>widely</w:t>
      </w:r>
      <w:r>
        <w:rPr>
          <w:color w:val="231F20"/>
          <w:spacing w:val="-7"/>
        </w:rPr>
        <w:t> </w:t>
      </w:r>
      <w:r>
        <w:rPr>
          <w:color w:val="231F20"/>
        </w:rPr>
        <w:t>accepted</w:t>
      </w:r>
      <w:r>
        <w:rPr>
          <w:color w:val="231F20"/>
          <w:spacing w:val="-7"/>
        </w:rPr>
        <w:t> </w:t>
      </w:r>
      <w:r>
        <w:rPr>
          <w:color w:val="231F20"/>
        </w:rPr>
        <w:t>barriers</w:t>
      </w:r>
      <w:r>
        <w:rPr>
          <w:color w:val="231F20"/>
          <w:spacing w:val="-7"/>
        </w:rPr>
        <w:t> </w:t>
      </w:r>
      <w:r>
        <w:rPr>
          <w:color w:val="231F20"/>
        </w:rPr>
        <w:t>to</w:t>
      </w:r>
      <w:r>
        <w:rPr>
          <w:color w:val="231F20"/>
          <w:w w:val="99"/>
        </w:rPr>
        <w:t> </w:t>
      </w:r>
      <w:r>
        <w:rPr>
          <w:color w:val="231F20"/>
        </w:rPr>
        <w:t>achievement</w:t>
      </w:r>
      <w:r>
        <w:rPr>
          <w:color w:val="231F20"/>
          <w:spacing w:val="-9"/>
        </w:rPr>
        <w:t> </w:t>
      </w:r>
      <w:r>
        <w:rPr>
          <w:color w:val="231F20"/>
        </w:rPr>
        <w:t>and</w:t>
      </w:r>
      <w:r>
        <w:rPr>
          <w:color w:val="231F20"/>
          <w:spacing w:val="-8"/>
        </w:rPr>
        <w:t> </w:t>
      </w:r>
      <w:r>
        <w:rPr>
          <w:color w:val="231F20"/>
        </w:rPr>
        <w:t>challenges</w:t>
      </w:r>
      <w:r>
        <w:rPr>
          <w:color w:val="231F20"/>
          <w:spacing w:val="-9"/>
        </w:rPr>
        <w:t> </w:t>
      </w:r>
      <w:r>
        <w:rPr>
          <w:color w:val="231F20"/>
        </w:rPr>
        <w:t>faced</w:t>
      </w:r>
      <w:r>
        <w:rPr>
          <w:color w:val="231F20"/>
          <w:spacing w:val="-7"/>
        </w:rPr>
        <w:t> </w:t>
      </w:r>
      <w:r>
        <w:rPr>
          <w:color w:val="231F20"/>
        </w:rPr>
        <w:t>by</w:t>
      </w:r>
      <w:r>
        <w:rPr>
          <w:color w:val="231F20"/>
          <w:spacing w:val="-8"/>
        </w:rPr>
        <w:t> </w:t>
      </w:r>
      <w:r>
        <w:rPr>
          <w:color w:val="231F20"/>
        </w:rPr>
        <w:t>remote</w:t>
      </w:r>
      <w:r>
        <w:rPr>
          <w:color w:val="231F20"/>
          <w:w w:val="99"/>
        </w:rPr>
        <w:t> </w:t>
      </w:r>
      <w:r>
        <w:rPr>
          <w:color w:val="231F20"/>
        </w:rPr>
        <w:t>and</w:t>
      </w:r>
      <w:r>
        <w:rPr>
          <w:color w:val="231F20"/>
          <w:spacing w:val="-6"/>
        </w:rPr>
        <w:t> </w:t>
      </w:r>
      <w:r>
        <w:rPr>
          <w:color w:val="231F20"/>
        </w:rPr>
        <w:t>very</w:t>
      </w:r>
      <w:r>
        <w:rPr>
          <w:color w:val="231F20"/>
          <w:spacing w:val="-5"/>
        </w:rPr>
        <w:t> </w:t>
      </w:r>
      <w:r>
        <w:rPr>
          <w:color w:val="231F20"/>
        </w:rPr>
        <w:t>remote</w:t>
      </w:r>
      <w:r>
        <w:rPr>
          <w:color w:val="231F20"/>
          <w:spacing w:val="-6"/>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29"/>
          <w:w w:val="99"/>
        </w:rPr>
        <w:t> </w:t>
      </w:r>
      <w:r>
        <w:rPr>
          <w:rFonts w:ascii="Segoe UI"/>
          <w:color w:val="231F20"/>
        </w:rPr>
        <w:t>Islander students. A priority identified by</w:t>
      </w:r>
      <w:r>
        <w:rPr>
          <w:rFonts w:ascii="Segoe UI"/>
          <w:color w:val="231F20"/>
        </w:rPr>
        <w:t> </w:t>
      </w:r>
      <w:r>
        <w:rPr>
          <w:color w:val="231F20"/>
        </w:rPr>
        <w:t>boarding</w:t>
      </w:r>
      <w:r>
        <w:rPr>
          <w:color w:val="231F20"/>
          <w:spacing w:val="-8"/>
        </w:rPr>
        <w:t> </w:t>
      </w:r>
      <w:r>
        <w:rPr>
          <w:color w:val="231F20"/>
        </w:rPr>
        <w:t>providers</w:t>
      </w:r>
      <w:r>
        <w:rPr>
          <w:color w:val="231F20"/>
          <w:spacing w:val="-8"/>
        </w:rPr>
        <w:t> </w:t>
      </w:r>
      <w:r>
        <w:rPr>
          <w:color w:val="231F20"/>
        </w:rPr>
        <w:t>consulted</w:t>
      </w:r>
      <w:r>
        <w:rPr>
          <w:color w:val="231F20"/>
          <w:spacing w:val="-7"/>
        </w:rPr>
        <w:t> </w:t>
      </w:r>
      <w:r>
        <w:rPr>
          <w:color w:val="231F20"/>
        </w:rPr>
        <w:t>for</w:t>
      </w:r>
      <w:r>
        <w:rPr>
          <w:color w:val="231F20"/>
          <w:spacing w:val="-7"/>
        </w:rPr>
        <w:t> </w:t>
      </w:r>
      <w:r>
        <w:rPr>
          <w:color w:val="231F20"/>
        </w:rPr>
        <w:t>this</w:t>
      </w:r>
      <w:r>
        <w:rPr>
          <w:color w:val="231F20"/>
          <w:spacing w:val="-7"/>
        </w:rPr>
        <w:t> </w:t>
      </w:r>
      <w:r>
        <w:rPr>
          <w:color w:val="231F20"/>
        </w:rPr>
        <w:t>report</w:t>
      </w:r>
      <w:r>
        <w:rPr>
          <w:color w:val="231F20"/>
          <w:w w:val="99"/>
        </w:rPr>
        <w:t> </w:t>
      </w:r>
      <w:r>
        <w:rPr>
          <w:color w:val="231F20"/>
        </w:rPr>
        <w:t>was</w:t>
      </w:r>
      <w:r>
        <w:rPr>
          <w:color w:val="231F20"/>
          <w:spacing w:val="-5"/>
        </w:rPr>
        <w:t> </w:t>
      </w:r>
      <w:r>
        <w:rPr>
          <w:color w:val="231F20"/>
        </w:rPr>
        <w:t>the</w:t>
      </w:r>
      <w:r>
        <w:rPr>
          <w:color w:val="231F20"/>
          <w:spacing w:val="-5"/>
        </w:rPr>
        <w:t> </w:t>
      </w:r>
      <w:r>
        <w:rPr>
          <w:color w:val="231F20"/>
        </w:rPr>
        <w:t>need</w:t>
      </w:r>
      <w:r>
        <w:rPr>
          <w:color w:val="231F20"/>
          <w:spacing w:val="-4"/>
        </w:rPr>
        <w:t> </w:t>
      </w:r>
      <w:r>
        <w:rPr>
          <w:color w:val="231F20"/>
        </w:rPr>
        <w:t>to</w:t>
      </w:r>
      <w:r>
        <w:rPr>
          <w:color w:val="231F20"/>
          <w:spacing w:val="-4"/>
        </w:rPr>
        <w:t> </w:t>
      </w:r>
      <w:r>
        <w:rPr>
          <w:color w:val="231F20"/>
          <w:spacing w:val="-1"/>
        </w:rPr>
        <w:t>meet</w:t>
      </w:r>
      <w:r>
        <w:rPr>
          <w:color w:val="231F20"/>
          <w:spacing w:val="-4"/>
        </w:rPr>
        <w:t> </w:t>
      </w:r>
      <w:r>
        <w:rPr>
          <w:color w:val="231F20"/>
        </w:rPr>
        <w:t>and</w:t>
      </w:r>
      <w:r>
        <w:rPr>
          <w:color w:val="231F20"/>
          <w:spacing w:val="-5"/>
        </w:rPr>
        <w:t> </w:t>
      </w:r>
      <w:r>
        <w:rPr>
          <w:color w:val="231F20"/>
        </w:rPr>
        <w:t>address</w:t>
      </w:r>
      <w:r>
        <w:rPr>
          <w:color w:val="231F20"/>
          <w:spacing w:val="-4"/>
        </w:rPr>
        <w:t> </w:t>
      </w:r>
      <w:r>
        <w:rPr>
          <w:color w:val="231F20"/>
        </w:rPr>
        <w:t>the</w:t>
      </w:r>
      <w:r>
        <w:rPr>
          <w:color w:val="231F20"/>
          <w:spacing w:val="-5"/>
        </w:rPr>
        <w:t> </w:t>
      </w:r>
      <w:r>
        <w:rPr>
          <w:color w:val="231F20"/>
        </w:rPr>
        <w:t>high</w:t>
      </w:r>
      <w:r>
        <w:rPr>
          <w:color w:val="231F20"/>
          <w:spacing w:val="21"/>
          <w:w w:val="99"/>
        </w:rPr>
        <w:t> </w:t>
      </w:r>
      <w:r>
        <w:rPr>
          <w:color w:val="231F20"/>
        </w:rPr>
        <w:t>needs</w:t>
      </w:r>
      <w:r>
        <w:rPr>
          <w:color w:val="231F20"/>
          <w:spacing w:val="-5"/>
        </w:rPr>
        <w:t> </w:t>
      </w:r>
      <w:r>
        <w:rPr>
          <w:color w:val="231F20"/>
        </w:rPr>
        <w:t>of</w:t>
      </w:r>
      <w:r>
        <w:rPr>
          <w:color w:val="231F20"/>
          <w:spacing w:val="-5"/>
        </w:rPr>
        <w:t> </w:t>
      </w:r>
      <w:r>
        <w:rPr>
          <w:color w:val="231F20"/>
        </w:rPr>
        <w:t>Aboriginal</w:t>
      </w:r>
      <w:r>
        <w:rPr>
          <w:color w:val="231F20"/>
          <w:spacing w:val="-4"/>
        </w:rPr>
        <w:t> </w:t>
      </w:r>
      <w:r>
        <w:rPr>
          <w:color w:val="231F20"/>
        </w:rPr>
        <w:t>and</w:t>
      </w:r>
      <w:r>
        <w:rPr>
          <w:color w:val="231F20"/>
          <w:spacing w:val="-5"/>
        </w:rPr>
        <w:t> 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29"/>
          <w:w w:val="99"/>
        </w:rPr>
        <w:t> </w:t>
      </w:r>
      <w:r>
        <w:rPr>
          <w:color w:val="231F20"/>
        </w:rPr>
        <w:t>boarding</w:t>
      </w:r>
      <w:r>
        <w:rPr>
          <w:color w:val="231F20"/>
          <w:spacing w:val="-8"/>
        </w:rPr>
        <w:t> </w:t>
      </w:r>
      <w:r>
        <w:rPr>
          <w:color w:val="231F20"/>
          <w:spacing w:val="-1"/>
        </w:rPr>
        <w:t>students</w:t>
      </w:r>
      <w:r>
        <w:rPr>
          <w:color w:val="231F20"/>
          <w:spacing w:val="-6"/>
        </w:rPr>
        <w:t> </w:t>
      </w:r>
      <w:r>
        <w:rPr>
          <w:color w:val="231F20"/>
        </w:rPr>
        <w:t>compared</w:t>
      </w:r>
      <w:r>
        <w:rPr>
          <w:color w:val="231F20"/>
          <w:spacing w:val="-7"/>
        </w:rPr>
        <w:t> </w:t>
      </w:r>
      <w:r>
        <w:rPr>
          <w:color w:val="231F20"/>
        </w:rPr>
        <w:t>to</w:t>
      </w:r>
      <w:r>
        <w:rPr>
          <w:color w:val="231F20"/>
          <w:spacing w:val="-7"/>
        </w:rPr>
        <w:t> </w:t>
      </w:r>
      <w:r>
        <w:rPr>
          <w:color w:val="231F20"/>
        </w:rPr>
        <w:t>other</w:t>
      </w:r>
      <w:r>
        <w:rPr>
          <w:color w:val="231F20"/>
          <w:spacing w:val="-6"/>
        </w:rPr>
        <w:t> </w:t>
      </w:r>
      <w:r>
        <w:rPr>
          <w:color w:val="231F20"/>
          <w:spacing w:val="-1"/>
        </w:rPr>
        <w:t>students.</w:t>
      </w:r>
      <w:r>
        <w:rPr/>
      </w:r>
    </w:p>
    <w:p>
      <w:pPr>
        <w:pStyle w:val="BodyText"/>
        <w:spacing w:line="250" w:lineRule="exact" w:before="72"/>
        <w:ind w:left="131" w:right="237"/>
        <w:jc w:val="left"/>
      </w:pPr>
      <w:r>
        <w:rPr/>
        <w:br w:type="column"/>
      </w:r>
      <w:r>
        <w:rPr>
          <w:color w:val="231F20"/>
        </w:rPr>
        <w:t>One</w:t>
      </w:r>
      <w:r>
        <w:rPr>
          <w:color w:val="231F20"/>
          <w:spacing w:val="-6"/>
        </w:rPr>
        <w:t> </w:t>
      </w:r>
      <w:r>
        <w:rPr>
          <w:color w:val="231F20"/>
        </w:rPr>
        <w:t>boarding</w:t>
      </w:r>
      <w:r>
        <w:rPr>
          <w:color w:val="231F20"/>
          <w:spacing w:val="-5"/>
        </w:rPr>
        <w:t> </w:t>
      </w:r>
      <w:r>
        <w:rPr>
          <w:color w:val="231F20"/>
          <w:spacing w:val="-1"/>
        </w:rPr>
        <w:t>school</w:t>
      </w:r>
      <w:r>
        <w:rPr>
          <w:rFonts w:ascii="Segoe UI Semibold"/>
          <w:b/>
          <w:color w:val="231F20"/>
          <w:spacing w:val="-1"/>
          <w:position w:val="7"/>
          <w:sz w:val="11"/>
        </w:rPr>
        <w:t>63</w:t>
      </w:r>
      <w:r>
        <w:rPr>
          <w:rFonts w:ascii="Segoe UI Semibold"/>
          <w:b/>
          <w:color w:val="231F20"/>
          <w:spacing w:val="19"/>
          <w:position w:val="7"/>
          <w:sz w:val="11"/>
        </w:rPr>
        <w:t> </w:t>
      </w:r>
      <w:r>
        <w:rPr>
          <w:color w:val="231F20"/>
        </w:rPr>
        <w:t>described</w:t>
      </w:r>
      <w:r>
        <w:rPr>
          <w:color w:val="231F20"/>
          <w:spacing w:val="-5"/>
        </w:rPr>
        <w:t> </w:t>
      </w:r>
      <w:r>
        <w:rPr>
          <w:color w:val="231F20"/>
        </w:rPr>
        <w:t>the</w:t>
      </w:r>
      <w:r>
        <w:rPr>
          <w:color w:val="231F20"/>
          <w:spacing w:val="-6"/>
        </w:rPr>
        <w:t> </w:t>
      </w:r>
      <w:r>
        <w:rPr>
          <w:color w:val="231F20"/>
        </w:rPr>
        <w:t>barriers</w:t>
      </w:r>
      <w:r>
        <w:rPr>
          <w:color w:val="231F20"/>
          <w:spacing w:val="23"/>
          <w:w w:val="99"/>
        </w:rPr>
        <w:t> </w:t>
      </w:r>
      <w:r>
        <w:rPr>
          <w:color w:val="231F20"/>
        </w:rPr>
        <w:t>to</w:t>
      </w:r>
      <w:r>
        <w:rPr>
          <w:color w:val="231F20"/>
          <w:spacing w:val="-7"/>
        </w:rPr>
        <w:t> </w:t>
      </w:r>
      <w:r>
        <w:rPr>
          <w:color w:val="231F20"/>
        </w:rPr>
        <w:t>achievement</w:t>
      </w:r>
      <w:r>
        <w:rPr>
          <w:color w:val="231F20"/>
          <w:spacing w:val="-7"/>
        </w:rPr>
        <w:t> </w:t>
      </w:r>
      <w:r>
        <w:rPr>
          <w:color w:val="231F20"/>
        </w:rPr>
        <w:t>and</w:t>
      </w:r>
      <w:r>
        <w:rPr>
          <w:color w:val="231F20"/>
          <w:spacing w:val="-6"/>
        </w:rPr>
        <w:t> </w:t>
      </w:r>
      <w:r>
        <w:rPr>
          <w:color w:val="231F20"/>
          <w:spacing w:val="-1"/>
        </w:rPr>
        <w:t>its</w:t>
      </w:r>
      <w:r>
        <w:rPr>
          <w:color w:val="231F20"/>
          <w:spacing w:val="-7"/>
        </w:rPr>
        <w:t> </w:t>
      </w:r>
      <w:r>
        <w:rPr>
          <w:color w:val="231F20"/>
        </w:rPr>
        <w:t>approach</w:t>
      </w:r>
      <w:r>
        <w:rPr>
          <w:color w:val="231F20"/>
          <w:spacing w:val="-7"/>
        </w:rPr>
        <w:t> </w:t>
      </w:r>
      <w:r>
        <w:rPr>
          <w:color w:val="231F20"/>
        </w:rPr>
        <w:t>to</w:t>
      </w:r>
      <w:r>
        <w:rPr>
          <w:color w:val="231F20"/>
          <w:spacing w:val="-6"/>
        </w:rPr>
        <w:t> </w:t>
      </w:r>
      <w:r>
        <w:rPr>
          <w:color w:val="231F20"/>
        </w:rPr>
        <w:t>addressing</w:t>
      </w:r>
      <w:r>
        <w:rPr>
          <w:color w:val="231F20"/>
          <w:spacing w:val="21"/>
          <w:w w:val="99"/>
        </w:rPr>
        <w:t> </w:t>
      </w:r>
      <w:r>
        <w:rPr>
          <w:color w:val="231F20"/>
        </w:rPr>
        <w:t>them:</w:t>
      </w:r>
      <w:r>
        <w:rPr/>
      </w:r>
    </w:p>
    <w:p>
      <w:pPr>
        <w:pStyle w:val="BodyText"/>
        <w:spacing w:line="250" w:lineRule="exact" w:before="113"/>
        <w:ind w:left="585" w:right="564"/>
        <w:jc w:val="left"/>
        <w:rPr>
          <w:rFonts w:ascii="Segoe UI Semibold" w:hAnsi="Segoe UI Semibold" w:cs="Segoe UI Semibold" w:eastAsia="Segoe UI Semibold"/>
        </w:rPr>
      </w:pPr>
      <w:r>
        <w:rPr>
          <w:rFonts w:ascii="Segoe UI Semibold" w:hAnsi="Segoe UI Semibold" w:cs="Segoe UI Semibold" w:eastAsia="Segoe UI Semibold"/>
          <w:b/>
          <w:bCs/>
          <w:color w:val="00779B"/>
        </w:rPr>
        <w:t>The</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families,</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communities,</w:t>
      </w:r>
      <w:r>
        <w:rPr>
          <w:rFonts w:ascii="Segoe UI Semibold" w:hAnsi="Segoe UI Semibold" w:cs="Segoe UI Semibold" w:eastAsia="Segoe UI Semibold"/>
          <w:b/>
          <w:bCs/>
          <w:color w:val="00779B"/>
        </w:rPr>
        <w:t> and</w:t>
      </w:r>
      <w:r>
        <w:rPr>
          <w:rFonts w:ascii="Segoe UI Semibold" w:hAnsi="Segoe UI Semibold" w:cs="Segoe UI Semibold" w:eastAsia="Segoe UI Semibold"/>
          <w:b/>
          <w:bCs/>
          <w:color w:val="00779B"/>
          <w:spacing w:val="22"/>
        </w:rPr>
        <w:t> </w:t>
      </w:r>
      <w:r>
        <w:rPr>
          <w:rFonts w:ascii="Segoe UI Semibold" w:hAnsi="Segoe UI Semibold" w:cs="Segoe UI Semibold" w:eastAsia="Segoe UI Semibold"/>
          <w:b/>
          <w:bCs/>
          <w:color w:val="00779B"/>
          <w:spacing w:val="-1"/>
        </w:rPr>
        <w:t>students often have</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as</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a </w:t>
      </w:r>
      <w:r>
        <w:rPr>
          <w:rFonts w:ascii="Segoe UI Semibold" w:hAnsi="Segoe UI Semibold" w:cs="Segoe UI Semibold" w:eastAsia="Segoe UI Semibold"/>
          <w:b/>
          <w:bCs/>
          <w:color w:val="00779B"/>
          <w:spacing w:val="-1"/>
        </w:rPr>
        <w:t>central</w:t>
      </w:r>
      <w:r>
        <w:rPr>
          <w:rFonts w:ascii="Segoe UI Semibold" w:hAnsi="Segoe UI Semibold" w:cs="Segoe UI Semibold" w:eastAsia="Segoe UI Semibold"/>
          <w:b/>
          <w:bCs/>
          <w:color w:val="00779B"/>
          <w:spacing w:val="25"/>
        </w:rPr>
        <w:t> </w:t>
      </w:r>
      <w:r>
        <w:rPr>
          <w:rFonts w:ascii="Segoe UI Semibold" w:hAnsi="Segoe UI Semibold" w:cs="Segoe UI Semibold" w:eastAsia="Segoe UI Semibold"/>
          <w:b/>
          <w:bCs/>
          <w:color w:val="00779B"/>
          <w:spacing w:val="-1"/>
        </w:rPr>
        <w:t>concern—the </w:t>
      </w:r>
      <w:r>
        <w:rPr>
          <w:rFonts w:ascii="Segoe UI Semibold" w:hAnsi="Segoe UI Semibold" w:cs="Segoe UI Semibold" w:eastAsia="Segoe UI Semibold"/>
          <w:b/>
          <w:bCs/>
          <w:color w:val="00779B"/>
        </w:rPr>
        <w:t>business</w:t>
      </w:r>
      <w:r>
        <w:rPr>
          <w:rFonts w:ascii="Segoe UI Semibold" w:hAnsi="Segoe UI Semibold" w:cs="Segoe UI Semibold" w:eastAsia="Segoe UI Semibold"/>
          <w:b/>
          <w:bCs/>
          <w:color w:val="00779B"/>
          <w:spacing w:val="-2"/>
        </w:rPr>
        <w:t> of</w:t>
      </w:r>
      <w:r>
        <w:rPr>
          <w:rFonts w:ascii="Segoe UI Semibold" w:hAnsi="Segoe UI Semibold" w:cs="Segoe UI Semibold" w:eastAsia="Segoe UI Semibold"/>
          <w:b/>
          <w:bCs/>
          <w:color w:val="00779B"/>
        </w:rPr>
        <w:t> survival,</w:t>
      </w:r>
      <w:r>
        <w:rPr>
          <w:rFonts w:ascii="Segoe UI Semibold" w:hAnsi="Segoe UI Semibold" w:cs="Segoe UI Semibold" w:eastAsia="Segoe UI Semibold"/>
          <w:b/>
          <w:bCs/>
          <w:color w:val="00779B"/>
          <w:spacing w:val="23"/>
        </w:rPr>
        <w:t> </w:t>
      </w:r>
      <w:r>
        <w:rPr>
          <w:rFonts w:ascii="Segoe UI Semibold" w:hAnsi="Segoe UI Semibold" w:cs="Segoe UI Semibold" w:eastAsia="Segoe UI Semibold"/>
          <w:b/>
          <w:bCs/>
          <w:color w:val="00779B"/>
          <w:spacing w:val="-1"/>
        </w:rPr>
        <w:t>coping</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with</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trauma,</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2"/>
        </w:rPr>
        <w:t>poverty,</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and</w:t>
      </w:r>
      <w:r>
        <w:rPr>
          <w:rFonts w:ascii="Segoe UI Semibold" w:hAnsi="Segoe UI Semibold" w:cs="Segoe UI Semibold" w:eastAsia="Segoe UI Semibold"/>
          <w:b/>
          <w:bCs/>
          <w:color w:val="00779B"/>
          <w:spacing w:val="30"/>
        </w:rPr>
        <w:t> </w:t>
      </w:r>
      <w:r>
        <w:rPr>
          <w:rFonts w:ascii="Segoe UI Semibold" w:hAnsi="Segoe UI Semibold" w:cs="Segoe UI Semibold" w:eastAsia="Segoe UI Semibold"/>
          <w:b/>
          <w:bCs/>
          <w:color w:val="00779B"/>
          <w:spacing w:val="-1"/>
        </w:rPr>
        <w:t>chronic</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disease.</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For</w:t>
      </w:r>
      <w:r>
        <w:rPr>
          <w:rFonts w:ascii="Segoe UI Semibold" w:hAnsi="Segoe UI Semibold" w:cs="Segoe UI Semibold" w:eastAsia="Segoe UI Semibold"/>
          <w:b/>
          <w:bCs/>
          <w:color w:val="00779B"/>
        </w:rPr>
        <w:t> many</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spacing w:val="-2"/>
        </w:rPr>
        <w:t>of</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our</w:t>
      </w:r>
      <w:r>
        <w:rPr>
          <w:rFonts w:ascii="Segoe UI Semibold" w:hAnsi="Segoe UI Semibold" w:cs="Segoe UI Semibold" w:eastAsia="Segoe UI Semibold"/>
          <w:b/>
          <w:bCs/>
          <w:color w:val="00779B"/>
          <w:spacing w:val="22"/>
        </w:rPr>
        <w:t> </w:t>
      </w:r>
      <w:r>
        <w:rPr>
          <w:rFonts w:ascii="Segoe UI Semibold" w:hAnsi="Segoe UI Semibold" w:cs="Segoe UI Semibold" w:eastAsia="Segoe UI Semibold"/>
          <w:b/>
          <w:bCs/>
          <w:color w:val="00779B"/>
          <w:spacing w:val="-1"/>
        </w:rPr>
        <w:t>students, the</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notion</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2"/>
        </w:rPr>
        <w:t>of</w:t>
      </w:r>
      <w:r>
        <w:rPr>
          <w:rFonts w:ascii="Segoe UI Semibold" w:hAnsi="Segoe UI Semibold" w:cs="Segoe UI Semibold" w:eastAsia="Segoe UI Semibold"/>
          <w:b/>
          <w:bCs/>
          <w:color w:val="00779B"/>
        </w:rPr>
        <w:t> graduating</w:t>
      </w:r>
      <w:r>
        <w:rPr>
          <w:rFonts w:ascii="Segoe UI Semibold" w:hAnsi="Segoe UI Semibold" w:cs="Segoe UI Semibold" w:eastAsia="Segoe UI Semibold"/>
          <w:b/>
          <w:bCs/>
          <w:color w:val="00779B"/>
          <w:spacing w:val="25"/>
        </w:rPr>
        <w:t> </w:t>
      </w:r>
      <w:r>
        <w:rPr>
          <w:rFonts w:ascii="Segoe UI Semibold" w:hAnsi="Segoe UI Semibold" w:cs="Segoe UI Semibold" w:eastAsia="Segoe UI Semibold"/>
          <w:b/>
          <w:bCs/>
          <w:color w:val="00779B"/>
          <w:spacing w:val="-1"/>
        </w:rPr>
        <w:t>from school is not </w:t>
      </w:r>
      <w:r>
        <w:rPr>
          <w:rFonts w:ascii="Segoe UI Semibold" w:hAnsi="Segoe UI Semibold" w:cs="Segoe UI Semibold" w:eastAsia="Segoe UI Semibold"/>
          <w:b/>
          <w:bCs/>
          <w:color w:val="00779B"/>
        </w:rPr>
        <w:t>a </w:t>
      </w:r>
      <w:r>
        <w:rPr>
          <w:rFonts w:ascii="Segoe UI Semibold" w:hAnsi="Segoe UI Semibold" w:cs="Segoe UI Semibold" w:eastAsia="Segoe UI Semibold"/>
          <w:b/>
          <w:bCs/>
          <w:color w:val="00779B"/>
          <w:spacing w:val="-1"/>
        </w:rPr>
        <w:t>given, </w:t>
      </w:r>
      <w:r>
        <w:rPr>
          <w:rFonts w:ascii="Segoe UI Semibold" w:hAnsi="Segoe UI Semibold" w:cs="Segoe UI Semibold" w:eastAsia="Segoe UI Semibold"/>
          <w:b/>
          <w:bCs/>
          <w:color w:val="00779B"/>
        </w:rPr>
        <w:t>and</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entry</w:t>
      </w:r>
      <w:r>
        <w:rPr>
          <w:rFonts w:ascii="Segoe UI Semibold" w:hAnsi="Segoe UI Semibold" w:cs="Segoe UI Semibold" w:eastAsia="Segoe UI Semibold"/>
          <w:b/>
          <w:bCs/>
          <w:color w:val="00779B"/>
          <w:spacing w:val="27"/>
        </w:rPr>
        <w:t> </w:t>
      </w:r>
      <w:r>
        <w:rPr>
          <w:rFonts w:ascii="Segoe UI Semibold" w:hAnsi="Segoe UI Semibold" w:cs="Segoe UI Semibold" w:eastAsia="Segoe UI Semibold"/>
          <w:b/>
          <w:bCs/>
          <w:color w:val="00779B"/>
          <w:spacing w:val="-1"/>
        </w:rPr>
        <w:t>into </w:t>
      </w:r>
      <w:r>
        <w:rPr>
          <w:rFonts w:ascii="Segoe UI Semibold" w:hAnsi="Segoe UI Semibold" w:cs="Segoe UI Semibold" w:eastAsia="Segoe UI Semibold"/>
          <w:b/>
          <w:bCs/>
          <w:color w:val="00779B"/>
        </w:rPr>
        <w:t>tertiary</w:t>
      </w:r>
      <w:r>
        <w:rPr>
          <w:rFonts w:ascii="Segoe UI Semibold" w:hAnsi="Segoe UI Semibold" w:cs="Segoe UI Semibold" w:eastAsia="Segoe UI Semibold"/>
          <w:b/>
          <w:bCs/>
          <w:color w:val="00779B"/>
          <w:spacing w:val="-1"/>
        </w:rPr>
        <w:t> level</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3"/>
        </w:rPr>
        <w:t>study,</w:t>
      </w:r>
      <w:r>
        <w:rPr>
          <w:rFonts w:ascii="Segoe UI Semibold" w:hAnsi="Segoe UI Semibold" w:cs="Segoe UI Semibold" w:eastAsia="Segoe UI Semibold"/>
          <w:b/>
          <w:bCs/>
          <w:color w:val="00779B"/>
          <w:spacing w:val="-1"/>
        </w:rPr>
        <w:t> or</w:t>
      </w:r>
      <w:r>
        <w:rPr>
          <w:rFonts w:ascii="Segoe UI Semibold" w:hAnsi="Segoe UI Semibold" w:cs="Segoe UI Semibold" w:eastAsia="Segoe UI Semibold"/>
          <w:b/>
          <w:bCs/>
          <w:color w:val="00779B"/>
        </w:rPr>
        <w:t> gaining</w:t>
      </w:r>
      <w:r>
        <w:rPr>
          <w:rFonts w:ascii="Segoe UI Semibold" w:hAnsi="Segoe UI Semibold" w:cs="Segoe UI Semibold" w:eastAsia="Segoe UI Semibold"/>
          <w:b/>
          <w:bCs/>
          <w:color w:val="00779B"/>
          <w:spacing w:val="23"/>
        </w:rPr>
        <w:t> </w:t>
      </w:r>
      <w:r>
        <w:rPr>
          <w:rFonts w:ascii="Segoe UI Semibold" w:hAnsi="Segoe UI Semibold" w:cs="Segoe UI Semibold" w:eastAsia="Segoe UI Semibold"/>
          <w:b/>
          <w:bCs/>
          <w:color w:val="00779B"/>
          <w:spacing w:val="-1"/>
        </w:rPr>
        <w:t>long-term employment</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is</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not </w:t>
      </w:r>
      <w:r>
        <w:rPr>
          <w:rFonts w:ascii="Segoe UI Semibold" w:hAnsi="Segoe UI Semibold" w:cs="Segoe UI Semibold" w:eastAsia="Segoe UI Semibold"/>
          <w:b/>
          <w:bCs/>
          <w:color w:val="00779B"/>
        </w:rPr>
        <w:t>a</w:t>
      </w:r>
      <w:r>
        <w:rPr>
          <w:rFonts w:ascii="Segoe UI Semibold" w:hAnsi="Segoe UI Semibold" w:cs="Segoe UI Semibold" w:eastAsia="Segoe UI Semibold"/>
          <w:b/>
          <w:bCs/>
          <w:color w:val="00779B"/>
          <w:spacing w:val="25"/>
          <w:w w:val="99"/>
        </w:rPr>
        <w:t> </w:t>
      </w:r>
      <w:r>
        <w:rPr>
          <w:rFonts w:ascii="Segoe UI Semibold" w:hAnsi="Segoe UI Semibold" w:cs="Segoe UI Semibold" w:eastAsia="Segoe UI Semibold"/>
          <w:b/>
          <w:bCs/>
          <w:color w:val="00779B"/>
        </w:rPr>
        <w:t>familiar</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expectation.</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The</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importance</w:t>
      </w:r>
      <w:r>
        <w:rPr>
          <w:rFonts w:ascii="Segoe UI Semibold" w:hAnsi="Segoe UI Semibold" w:cs="Segoe UI Semibold" w:eastAsia="Segoe UI Semibold"/>
          <w:b/>
          <w:bCs/>
          <w:color w:val="00779B"/>
          <w:spacing w:val="28"/>
        </w:rPr>
        <w:t> </w:t>
      </w:r>
      <w:r>
        <w:rPr>
          <w:rFonts w:ascii="Segoe UI Semibold" w:hAnsi="Segoe UI Semibold" w:cs="Segoe UI Semibold" w:eastAsia="Segoe UI Semibold"/>
          <w:b/>
          <w:bCs/>
          <w:color w:val="00779B"/>
          <w:spacing w:val="-2"/>
        </w:rPr>
        <w:t>of</w:t>
      </w:r>
      <w:r>
        <w:rPr>
          <w:rFonts w:ascii="Segoe UI Semibold" w:hAnsi="Segoe UI Semibold" w:cs="Segoe UI Semibold" w:eastAsia="Segoe UI Semibold"/>
          <w:b/>
          <w:bCs/>
          <w:color w:val="00779B"/>
          <w:spacing w:val="-4"/>
        </w:rPr>
        <w:t> </w:t>
      </w:r>
      <w:r>
        <w:rPr>
          <w:rFonts w:ascii="Segoe UI Semibold" w:hAnsi="Segoe UI Semibold" w:cs="Segoe UI Semibold" w:eastAsia="Segoe UI Semibold"/>
          <w:b/>
          <w:bCs/>
          <w:color w:val="00779B"/>
          <w:spacing w:val="-1"/>
        </w:rPr>
        <w:t>the</w:t>
      </w:r>
      <w:r>
        <w:rPr>
          <w:rFonts w:ascii="Segoe UI Semibold" w:hAnsi="Segoe UI Semibold" w:cs="Segoe UI Semibold" w:eastAsia="Segoe UI Semibold"/>
          <w:b/>
          <w:bCs/>
          <w:color w:val="00779B"/>
          <w:spacing w:val="-4"/>
        </w:rPr>
        <w:t> </w:t>
      </w:r>
      <w:r>
        <w:rPr>
          <w:rFonts w:ascii="Segoe UI Semibold" w:hAnsi="Segoe UI Semibold" w:cs="Segoe UI Semibold" w:eastAsia="Segoe UI Semibold"/>
          <w:b/>
          <w:bCs/>
          <w:color w:val="00779B"/>
          <w:spacing w:val="-1"/>
        </w:rPr>
        <w:t>programs</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we</w:t>
      </w:r>
      <w:r>
        <w:rPr>
          <w:rFonts w:ascii="Segoe UI Semibold" w:hAnsi="Segoe UI Semibold" w:cs="Segoe UI Semibold" w:eastAsia="Segoe UI Semibold"/>
          <w:b/>
          <w:bCs/>
          <w:color w:val="00779B"/>
          <w:spacing w:val="-5"/>
        </w:rPr>
        <w:t> </w:t>
      </w:r>
      <w:r>
        <w:rPr>
          <w:rFonts w:ascii="Segoe UI Semibold" w:hAnsi="Segoe UI Semibold" w:cs="Segoe UI Semibold" w:eastAsia="Segoe UI Semibold"/>
          <w:b/>
          <w:bCs/>
          <w:color w:val="00779B"/>
          <w:spacing w:val="-1"/>
        </w:rPr>
        <w:t>have</w:t>
      </w:r>
      <w:r>
        <w:rPr>
          <w:rFonts w:ascii="Segoe UI Semibold" w:hAnsi="Segoe UI Semibold" w:cs="Segoe UI Semibold" w:eastAsia="Segoe UI Semibold"/>
          <w:b/>
          <w:bCs/>
          <w:color w:val="00779B"/>
          <w:spacing w:val="-4"/>
        </w:rPr>
        <w:t> </w:t>
      </w:r>
      <w:r>
        <w:rPr>
          <w:rFonts w:ascii="Segoe UI Semibold" w:hAnsi="Segoe UI Semibold" w:cs="Segoe UI Semibold" w:eastAsia="Segoe UI Semibold"/>
          <w:b/>
          <w:bCs/>
          <w:color w:val="00779B"/>
        </w:rPr>
        <w:t>designed</w:t>
      </w:r>
      <w:r>
        <w:rPr>
          <w:rFonts w:ascii="Segoe UI Semibold" w:hAnsi="Segoe UI Semibold" w:cs="Segoe UI Semibold" w:eastAsia="Segoe UI Semibold"/>
        </w:rPr>
      </w:r>
    </w:p>
    <w:p>
      <w:pPr>
        <w:pStyle w:val="BodyText"/>
        <w:spacing w:line="250" w:lineRule="exact"/>
        <w:ind w:left="585" w:right="541"/>
        <w:jc w:val="left"/>
        <w:rPr>
          <w:rFonts w:ascii="Segoe UI Semibold" w:hAnsi="Segoe UI Semibold" w:cs="Segoe UI Semibold" w:eastAsia="Segoe UI Semibold"/>
        </w:rPr>
      </w:pPr>
      <w:r>
        <w:rPr>
          <w:rFonts w:ascii="Segoe UI Semibold" w:hAnsi="Segoe UI Semibold" w:cs="Segoe UI Semibold" w:eastAsia="Segoe UI Semibold"/>
          <w:b/>
          <w:bCs/>
          <w:color w:val="00779B"/>
          <w:spacing w:val="-1"/>
        </w:rPr>
        <w:t>is in the programs’</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emphasis</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on</w:t>
      </w:r>
      <w:r>
        <w:rPr>
          <w:rFonts w:ascii="Segoe UI Semibold" w:hAnsi="Segoe UI Semibold" w:cs="Segoe UI Semibold" w:eastAsia="Segoe UI Semibold"/>
          <w:b/>
          <w:bCs/>
          <w:color w:val="00779B"/>
          <w:spacing w:val="25"/>
        </w:rPr>
        <w:t> </w:t>
      </w:r>
      <w:r>
        <w:rPr>
          <w:rFonts w:ascii="Segoe UI Semibold" w:hAnsi="Segoe UI Semibold" w:cs="Segoe UI Semibold" w:eastAsia="Segoe UI Semibold"/>
          <w:b/>
          <w:bCs/>
          <w:color w:val="00779B"/>
          <w:spacing w:val="-1"/>
        </w:rPr>
        <w:t>positive</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outcomes,</w:t>
      </w:r>
      <w:r>
        <w:rPr>
          <w:rFonts w:ascii="Segoe UI Semibold" w:hAnsi="Segoe UI Semibold" w:cs="Segoe UI Semibold" w:eastAsia="Segoe UI Semibold"/>
          <w:b/>
          <w:bCs/>
          <w:color w:val="00779B"/>
        </w:rPr>
        <w:t> and</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a</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spacing w:val="-2"/>
        </w:rPr>
        <w:t>reluctance</w:t>
      </w:r>
      <w:r>
        <w:rPr>
          <w:rFonts w:ascii="Segoe UI Semibold" w:hAnsi="Segoe UI Semibold" w:cs="Segoe UI Semibold" w:eastAsia="Segoe UI Semibold"/>
          <w:b/>
          <w:bCs/>
          <w:color w:val="00779B"/>
          <w:spacing w:val="28"/>
        </w:rPr>
        <w:t> </w:t>
      </w:r>
      <w:r>
        <w:rPr>
          <w:rFonts w:ascii="Segoe UI Semibold" w:hAnsi="Segoe UI Semibold" w:cs="Segoe UI Semibold" w:eastAsia="Segoe UI Semibold"/>
          <w:b/>
          <w:bCs/>
          <w:color w:val="00779B"/>
          <w:spacing w:val="-1"/>
        </w:rPr>
        <w:t>to </w:t>
      </w:r>
      <w:r>
        <w:rPr>
          <w:rFonts w:ascii="Segoe UI Semibold" w:hAnsi="Segoe UI Semibold" w:cs="Segoe UI Semibold" w:eastAsia="Segoe UI Semibold"/>
          <w:b/>
          <w:bCs/>
          <w:color w:val="00779B"/>
        </w:rPr>
        <w:t>accept</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a</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deficit</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model</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for</w:t>
      </w:r>
      <w:r>
        <w:rPr>
          <w:rFonts w:ascii="Segoe UI Semibold" w:hAnsi="Segoe UI Semibold" w:cs="Segoe UI Semibold" w:eastAsia="Segoe UI Semibold"/>
          <w:b/>
          <w:bCs/>
          <w:color w:val="00779B"/>
          <w:spacing w:val="-1"/>
        </w:rPr>
        <w:t> young</w:t>
      </w:r>
      <w:r>
        <w:rPr>
          <w:rFonts w:ascii="Segoe UI Semibold" w:hAnsi="Segoe UI Semibold" w:cs="Segoe UI Semibold" w:eastAsia="Segoe UI Semibold"/>
          <w:b/>
          <w:bCs/>
          <w:color w:val="00779B"/>
          <w:spacing w:val="23"/>
        </w:rPr>
        <w:t> </w:t>
      </w:r>
      <w:r>
        <w:rPr>
          <w:rFonts w:ascii="Segoe UI Semibold" w:hAnsi="Segoe UI Semibold" w:cs="Segoe UI Semibold" w:eastAsia="Segoe UI Semibold"/>
          <w:b/>
          <w:bCs/>
          <w:color w:val="00779B"/>
        </w:rPr>
        <w:t>Indigenous</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Australians</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and</w:t>
      </w:r>
      <w:r>
        <w:rPr>
          <w:rFonts w:ascii="Segoe UI Semibold" w:hAnsi="Segoe UI Semibold" w:cs="Segoe UI Semibold" w:eastAsia="Segoe UI Semibold"/>
          <w:b/>
          <w:bCs/>
          <w:color w:val="00779B"/>
          <w:spacing w:val="-1"/>
        </w:rPr>
        <w:t> their</w:t>
      </w:r>
      <w:r>
        <w:rPr>
          <w:rFonts w:ascii="Segoe UI Semibold" w:hAnsi="Segoe UI Semibold" w:cs="Segoe UI Semibold" w:eastAsia="Segoe UI Semibold"/>
          <w:b/>
          <w:bCs/>
          <w:color w:val="00779B"/>
          <w:spacing w:val="21"/>
        </w:rPr>
        <w:t> </w:t>
      </w:r>
      <w:r>
        <w:rPr>
          <w:rFonts w:ascii="Segoe UI Semibold" w:hAnsi="Segoe UI Semibold" w:cs="Segoe UI Semibold" w:eastAsia="Segoe UI Semibold"/>
          <w:b/>
          <w:bCs/>
          <w:color w:val="00779B"/>
        </w:rPr>
        <w:t>families.</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rPr>
        <w:t>Our</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students</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often</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do</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come</w:t>
      </w:r>
      <w:r>
        <w:rPr>
          <w:rFonts w:ascii="Segoe UI Semibold" w:hAnsi="Segoe UI Semibold" w:cs="Segoe UI Semibold" w:eastAsia="Segoe UI Semibold"/>
          <w:b/>
          <w:bCs/>
          <w:color w:val="00779B"/>
          <w:spacing w:val="23"/>
        </w:rPr>
        <w:t> </w:t>
      </w:r>
      <w:r>
        <w:rPr>
          <w:rFonts w:ascii="Segoe UI Semibold" w:hAnsi="Segoe UI Semibold" w:cs="Segoe UI Semibold" w:eastAsia="Segoe UI Semibold"/>
          <w:b/>
          <w:bCs/>
          <w:color w:val="00779B"/>
          <w:spacing w:val="-1"/>
        </w:rPr>
        <w:t>from</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families,</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who have</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experienced</w:t>
      </w:r>
      <w:r>
        <w:rPr>
          <w:rFonts w:ascii="Segoe UI Semibold" w:hAnsi="Segoe UI Semibold" w:cs="Segoe UI Semibold" w:eastAsia="Segoe UI Semibold"/>
          <w:b/>
          <w:bCs/>
          <w:color w:val="00779B"/>
          <w:spacing w:val="24"/>
        </w:rPr>
        <w:t> </w:t>
      </w:r>
      <w:r>
        <w:rPr>
          <w:rFonts w:ascii="Segoe UI Semibold" w:hAnsi="Segoe UI Semibold" w:cs="Segoe UI Semibold" w:eastAsia="Segoe UI Semibold"/>
          <w:b/>
          <w:bCs/>
          <w:color w:val="00779B"/>
          <w:spacing w:val="-1"/>
        </w:rPr>
        <w:t>inter-generational</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trauma,</w:t>
      </w:r>
      <w:r>
        <w:rPr>
          <w:rFonts w:ascii="Segoe UI Semibold" w:hAnsi="Segoe UI Semibold" w:cs="Segoe UI Semibold" w:eastAsia="Segoe UI Semibold"/>
          <w:b/>
          <w:bCs/>
          <w:color w:val="00779B"/>
        </w:rPr>
        <w:t> and</w:t>
      </w:r>
      <w:r>
        <w:rPr>
          <w:rFonts w:ascii="Segoe UI Semibold" w:hAnsi="Segoe UI Semibold" w:cs="Segoe UI Semibold" w:eastAsia="Segoe UI Semibold"/>
          <w:b/>
          <w:bCs/>
          <w:color w:val="00779B"/>
          <w:spacing w:val="-1"/>
        </w:rPr>
        <w:t> they</w:t>
      </w:r>
      <w:r>
        <w:rPr>
          <w:rFonts w:ascii="Segoe UI Semibold" w:hAnsi="Segoe UI Semibold" w:cs="Segoe UI Semibold" w:eastAsia="Segoe UI Semibold"/>
          <w:b/>
          <w:bCs/>
          <w:color w:val="00779B"/>
          <w:spacing w:val="22"/>
        </w:rPr>
        <w:t> </w:t>
      </w:r>
      <w:r>
        <w:rPr>
          <w:rFonts w:ascii="Segoe UI Semibold" w:hAnsi="Segoe UI Semibold" w:cs="Segoe UI Semibold" w:eastAsia="Segoe UI Semibold"/>
          <w:b/>
          <w:bCs/>
          <w:color w:val="00779B"/>
          <w:spacing w:val="-1"/>
        </w:rPr>
        <w:t>are</w:t>
      </w:r>
      <w:r>
        <w:rPr>
          <w:rFonts w:ascii="Segoe UI Semibold" w:hAnsi="Segoe UI Semibold" w:cs="Segoe UI Semibold" w:eastAsia="Segoe UI Semibold"/>
          <w:b/>
          <w:bCs/>
          <w:color w:val="00779B"/>
          <w:spacing w:val="-4"/>
        </w:rPr>
        <w:t> </w:t>
      </w:r>
      <w:r>
        <w:rPr>
          <w:rFonts w:ascii="Segoe UI Semibold" w:hAnsi="Segoe UI Semibold" w:cs="Segoe UI Semibold" w:eastAsia="Segoe UI Semibold"/>
          <w:b/>
          <w:bCs/>
          <w:color w:val="00779B"/>
          <w:spacing w:val="-1"/>
        </w:rPr>
        <w:t>often</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rPr>
        <w:t>moving</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into</w:t>
      </w:r>
      <w:r>
        <w:rPr>
          <w:rFonts w:ascii="Segoe UI Semibold" w:hAnsi="Segoe UI Semibold" w:cs="Segoe UI Semibold" w:eastAsia="Segoe UI Semibold"/>
          <w:b/>
          <w:bCs/>
          <w:color w:val="00779B"/>
          <w:spacing w:val="-4"/>
        </w:rPr>
        <w:t> </w:t>
      </w:r>
      <w:r>
        <w:rPr>
          <w:rFonts w:ascii="Segoe UI Semibold" w:hAnsi="Segoe UI Semibold" w:cs="Segoe UI Semibold" w:eastAsia="Segoe UI Semibold"/>
          <w:b/>
          <w:bCs/>
          <w:color w:val="00779B"/>
          <w:spacing w:val="-1"/>
        </w:rPr>
        <w:t>boarding</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from</w:t>
      </w:r>
      <w:r>
        <w:rPr>
          <w:rFonts w:ascii="Segoe UI Semibold" w:hAnsi="Segoe UI Semibold" w:cs="Segoe UI Semibold" w:eastAsia="Segoe UI Semibold"/>
          <w:b/>
          <w:bCs/>
          <w:color w:val="00779B"/>
          <w:spacing w:val="26"/>
          <w:w w:val="99"/>
        </w:rPr>
        <w:t> </w:t>
      </w:r>
      <w:r>
        <w:rPr>
          <w:rFonts w:ascii="Segoe UI Semibold" w:hAnsi="Segoe UI Semibold" w:cs="Segoe UI Semibold" w:eastAsia="Segoe UI Semibold"/>
          <w:b/>
          <w:bCs/>
          <w:color w:val="00779B"/>
          <w:spacing w:val="-1"/>
        </w:rPr>
        <w:t>remote locations</w:t>
      </w:r>
      <w:r>
        <w:rPr>
          <w:rFonts w:ascii="Segoe UI Semibold" w:hAnsi="Segoe UI Semibold" w:cs="Segoe UI Semibold" w:eastAsia="Segoe UI Semibold"/>
          <w:b/>
          <w:bCs/>
          <w:color w:val="00779B"/>
        </w:rPr>
        <w:t> and</w:t>
      </w:r>
      <w:r>
        <w:rPr>
          <w:rFonts w:ascii="Segoe UI Semibold" w:hAnsi="Segoe UI Semibold" w:cs="Segoe UI Semibold" w:eastAsia="Segoe UI Semibold"/>
          <w:b/>
          <w:bCs/>
          <w:color w:val="00779B"/>
          <w:spacing w:val="-1"/>
        </w:rPr>
        <w:t> onto </w:t>
      </w:r>
      <w:r>
        <w:rPr>
          <w:rFonts w:ascii="Segoe UI Semibold" w:hAnsi="Segoe UI Semibold" w:cs="Segoe UI Semibold" w:eastAsia="Segoe UI Semibold"/>
          <w:b/>
          <w:bCs/>
          <w:color w:val="00779B"/>
        </w:rPr>
        <w:t>country</w:t>
      </w:r>
      <w:r>
        <w:rPr>
          <w:rFonts w:ascii="Segoe UI Semibold" w:hAnsi="Segoe UI Semibold" w:cs="Segoe UI Semibold" w:eastAsia="Segoe UI Semibold"/>
          <w:b/>
          <w:bCs/>
          <w:color w:val="00779B"/>
          <w:spacing w:val="26"/>
        </w:rPr>
        <w:t> </w:t>
      </w:r>
      <w:r>
        <w:rPr>
          <w:rFonts w:ascii="Segoe UI Semibold" w:hAnsi="Segoe UI Semibold" w:cs="Segoe UI Semibold" w:eastAsia="Segoe UI Semibold"/>
          <w:b/>
          <w:bCs/>
          <w:color w:val="00779B"/>
          <w:spacing w:val="-1"/>
        </w:rPr>
        <w:t>that</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is</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not</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theirs.</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3"/>
        </w:rPr>
        <w:t>However,</w:t>
      </w:r>
      <w:r>
        <w:rPr>
          <w:rFonts w:ascii="Segoe UI Semibold" w:hAnsi="Segoe UI Semibold" w:cs="Segoe UI Semibold" w:eastAsia="Segoe UI Semibold"/>
          <w:b/>
          <w:bCs/>
          <w:color w:val="00779B"/>
          <w:spacing w:val="-1"/>
        </w:rPr>
        <w:t> our </w:t>
      </w:r>
      <w:r>
        <w:rPr>
          <w:rFonts w:ascii="Segoe UI Semibold" w:hAnsi="Segoe UI Semibold" w:cs="Segoe UI Semibold" w:eastAsia="Segoe UI Semibold"/>
          <w:b/>
          <w:bCs/>
          <w:color w:val="00779B"/>
        </w:rPr>
        <w:t>focus</w:t>
      </w:r>
      <w:r>
        <w:rPr>
          <w:rFonts w:ascii="Segoe UI Semibold" w:hAnsi="Segoe UI Semibold" w:cs="Segoe UI Semibold" w:eastAsia="Segoe UI Semibold"/>
          <w:b/>
          <w:bCs/>
          <w:color w:val="00779B"/>
          <w:spacing w:val="29"/>
        </w:rPr>
        <w:t> </w:t>
      </w:r>
      <w:r>
        <w:rPr>
          <w:rFonts w:ascii="Segoe UI Semibold" w:hAnsi="Segoe UI Semibold" w:cs="Segoe UI Semibold" w:eastAsia="Segoe UI Semibold"/>
          <w:b/>
          <w:bCs/>
          <w:color w:val="00779B"/>
        </w:rPr>
        <w:t>must</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be</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on developing strategies</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2"/>
        </w:rPr>
        <w:t>of</w:t>
      </w:r>
      <w:r>
        <w:rPr>
          <w:rFonts w:ascii="Segoe UI Semibold" w:hAnsi="Segoe UI Semibold" w:cs="Segoe UI Semibold" w:eastAsia="Segoe UI Semibold"/>
          <w:b/>
          <w:bCs/>
          <w:color w:val="00779B"/>
          <w:spacing w:val="25"/>
          <w:w w:val="99"/>
        </w:rPr>
        <w:t> </w:t>
      </w:r>
      <w:r>
        <w:rPr>
          <w:rFonts w:ascii="Segoe UI Semibold" w:hAnsi="Segoe UI Semibold" w:cs="Segoe UI Semibold" w:eastAsia="Segoe UI Semibold"/>
          <w:b/>
          <w:bCs/>
          <w:color w:val="00779B"/>
        </w:rPr>
        <w:t>support</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while they are</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away</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from</w:t>
      </w:r>
      <w:r>
        <w:rPr>
          <w:rFonts w:ascii="Segoe UI Semibold" w:hAnsi="Segoe UI Semibold" w:cs="Segoe UI Semibold" w:eastAsia="Segoe UI Semibold"/>
        </w:rPr>
      </w:r>
    </w:p>
    <w:p>
      <w:pPr>
        <w:pStyle w:val="BodyText"/>
        <w:spacing w:line="250" w:lineRule="exact"/>
        <w:ind w:left="585" w:right="305"/>
        <w:jc w:val="left"/>
        <w:rPr>
          <w:rFonts w:ascii="Segoe UI Semibold" w:hAnsi="Segoe UI Semibold" w:cs="Segoe UI Semibold" w:eastAsia="Segoe UI Semibold"/>
        </w:rPr>
      </w:pPr>
      <w:r>
        <w:rPr>
          <w:rFonts w:ascii="Segoe UI Semibold"/>
          <w:b/>
          <w:color w:val="00779B"/>
          <w:spacing w:val="-2"/>
        </w:rPr>
        <w:t>family,</w:t>
      </w:r>
      <w:r>
        <w:rPr>
          <w:rFonts w:ascii="Segoe UI Semibold"/>
          <w:b/>
          <w:color w:val="00779B"/>
          <w:spacing w:val="-1"/>
        </w:rPr>
        <w:t> </w:t>
      </w:r>
      <w:r>
        <w:rPr>
          <w:rFonts w:ascii="Segoe UI Semibold"/>
          <w:b/>
          <w:color w:val="00779B"/>
        </w:rPr>
        <w:t>and</w:t>
      </w:r>
      <w:r>
        <w:rPr>
          <w:rFonts w:ascii="Segoe UI Semibold"/>
          <w:b/>
          <w:color w:val="00779B"/>
          <w:spacing w:val="-1"/>
        </w:rPr>
        <w:t> that</w:t>
      </w:r>
      <w:r>
        <w:rPr>
          <w:rFonts w:ascii="Segoe UI Semibold"/>
          <w:b/>
          <w:color w:val="00779B"/>
        </w:rPr>
        <w:t> allow</w:t>
      </w:r>
      <w:r>
        <w:rPr>
          <w:rFonts w:ascii="Segoe UI Semibold"/>
          <w:b/>
          <w:color w:val="00779B"/>
          <w:spacing w:val="-1"/>
        </w:rPr>
        <w:t> them</w:t>
      </w:r>
      <w:r>
        <w:rPr>
          <w:rFonts w:ascii="Segoe UI Semibold"/>
          <w:b/>
          <w:color w:val="00779B"/>
        </w:rPr>
        <w:t> </w:t>
      </w:r>
      <w:r>
        <w:rPr>
          <w:rFonts w:ascii="Segoe UI Semibold"/>
          <w:b/>
          <w:color w:val="00779B"/>
          <w:spacing w:val="-1"/>
        </w:rPr>
        <w:t>to develop,</w:t>
      </w:r>
      <w:r>
        <w:rPr>
          <w:rFonts w:ascii="Segoe UI Semibold"/>
          <w:b/>
          <w:color w:val="00779B"/>
          <w:spacing w:val="27"/>
        </w:rPr>
        <w:t> </w:t>
      </w:r>
      <w:r>
        <w:rPr>
          <w:rFonts w:ascii="Segoe UI Semibold"/>
          <w:b/>
          <w:color w:val="00779B"/>
          <w:spacing w:val="-1"/>
        </w:rPr>
        <w:t>in their</w:t>
      </w:r>
      <w:r>
        <w:rPr>
          <w:rFonts w:ascii="Segoe UI Semibold"/>
          <w:b/>
          <w:color w:val="00779B"/>
        </w:rPr>
        <w:t> </w:t>
      </w:r>
      <w:r>
        <w:rPr>
          <w:rFonts w:ascii="Segoe UI Semibold"/>
          <w:b/>
          <w:color w:val="00779B"/>
          <w:spacing w:val="-1"/>
        </w:rPr>
        <w:t>own time,</w:t>
      </w:r>
      <w:r>
        <w:rPr>
          <w:rFonts w:ascii="Segoe UI Semibold"/>
          <w:b/>
          <w:color w:val="00779B"/>
        </w:rPr>
        <w:t> </w:t>
      </w:r>
      <w:r>
        <w:rPr>
          <w:rFonts w:ascii="Segoe UI Semibold"/>
          <w:b/>
          <w:color w:val="00779B"/>
          <w:spacing w:val="-1"/>
        </w:rPr>
        <w:t>in their</w:t>
      </w:r>
      <w:r>
        <w:rPr>
          <w:rFonts w:ascii="Segoe UI Semibold"/>
          <w:b/>
          <w:color w:val="00779B"/>
        </w:rPr>
        <w:t> </w:t>
      </w:r>
      <w:r>
        <w:rPr>
          <w:rFonts w:ascii="Segoe UI Semibold"/>
          <w:b/>
          <w:color w:val="00779B"/>
          <w:spacing w:val="-1"/>
        </w:rPr>
        <w:t>own </w:t>
      </w:r>
      <w:r>
        <w:rPr>
          <w:rFonts w:ascii="Segoe UI Semibold"/>
          <w:b/>
          <w:color w:val="00779B"/>
          <w:spacing w:val="-3"/>
        </w:rPr>
        <w:t>way,</w:t>
      </w:r>
      <w:r>
        <w:rPr>
          <w:rFonts w:ascii="Segoe UI Semibold"/>
        </w:rPr>
      </w:r>
    </w:p>
    <w:p>
      <w:pPr>
        <w:pStyle w:val="BodyText"/>
        <w:spacing w:line="250" w:lineRule="exact"/>
        <w:ind w:left="585" w:right="278"/>
        <w:jc w:val="left"/>
        <w:rPr>
          <w:rFonts w:ascii="Segoe UI Semibold" w:hAnsi="Segoe UI Semibold" w:cs="Segoe UI Semibold" w:eastAsia="Segoe UI Semibold"/>
        </w:rPr>
      </w:pPr>
      <w:r>
        <w:rPr>
          <w:rFonts w:ascii="Segoe UI Semibold"/>
          <w:b/>
          <w:color w:val="00779B"/>
        </w:rPr>
        <w:t>the</w:t>
      </w:r>
      <w:r>
        <w:rPr>
          <w:rFonts w:ascii="Segoe UI Semibold"/>
          <w:b/>
          <w:color w:val="00779B"/>
          <w:spacing w:val="-2"/>
        </w:rPr>
        <w:t> </w:t>
      </w:r>
      <w:r>
        <w:rPr>
          <w:rFonts w:ascii="Segoe UI Semibold"/>
          <w:b/>
          <w:color w:val="00779B"/>
        </w:rPr>
        <w:t>confidence</w:t>
      </w:r>
      <w:r>
        <w:rPr>
          <w:rFonts w:ascii="Segoe UI Semibold"/>
          <w:b/>
          <w:color w:val="00779B"/>
          <w:spacing w:val="-2"/>
        </w:rPr>
        <w:t> </w:t>
      </w:r>
      <w:r>
        <w:rPr>
          <w:rFonts w:ascii="Segoe UI Semibold"/>
          <w:b/>
          <w:color w:val="00779B"/>
        </w:rPr>
        <w:t>needed</w:t>
      </w:r>
      <w:r>
        <w:rPr>
          <w:rFonts w:ascii="Segoe UI Semibold"/>
          <w:b/>
          <w:color w:val="00779B"/>
          <w:spacing w:val="-2"/>
        </w:rPr>
        <w:t> </w:t>
      </w:r>
      <w:r>
        <w:rPr>
          <w:rFonts w:ascii="Segoe UI Semibold"/>
          <w:b/>
          <w:color w:val="00779B"/>
          <w:spacing w:val="-1"/>
        </w:rPr>
        <w:t>to</w:t>
      </w:r>
      <w:r>
        <w:rPr>
          <w:rFonts w:ascii="Segoe UI Semibold"/>
          <w:b/>
          <w:color w:val="00779B"/>
          <w:spacing w:val="-2"/>
        </w:rPr>
        <w:t> </w:t>
      </w:r>
      <w:r>
        <w:rPr>
          <w:rFonts w:ascii="Segoe UI Semibold"/>
          <w:b/>
          <w:color w:val="00779B"/>
          <w:spacing w:val="-1"/>
        </w:rPr>
        <w:t>interact</w:t>
      </w:r>
      <w:r>
        <w:rPr>
          <w:rFonts w:ascii="Segoe UI Semibold"/>
          <w:b/>
          <w:color w:val="00779B"/>
          <w:spacing w:val="-2"/>
        </w:rPr>
        <w:t> </w:t>
      </w:r>
      <w:r>
        <w:rPr>
          <w:rFonts w:ascii="Segoe UI Semibold"/>
          <w:b/>
          <w:color w:val="00779B"/>
        </w:rPr>
        <w:t>with</w:t>
      </w:r>
      <w:r>
        <w:rPr>
          <w:rFonts w:ascii="Segoe UI Semibold"/>
          <w:b/>
          <w:color w:val="00779B"/>
          <w:spacing w:val="28"/>
        </w:rPr>
        <w:t> </w:t>
      </w:r>
      <w:r>
        <w:rPr>
          <w:rFonts w:ascii="Segoe UI Semibold"/>
          <w:b/>
          <w:color w:val="00779B"/>
        </w:rPr>
        <w:t>school</w:t>
      </w:r>
      <w:r>
        <w:rPr>
          <w:rFonts w:ascii="Segoe UI Semibold"/>
          <w:b/>
          <w:color w:val="00779B"/>
          <w:spacing w:val="-1"/>
        </w:rPr>
        <w:t> </w:t>
      </w:r>
      <w:r>
        <w:rPr>
          <w:rFonts w:ascii="Segoe UI Semibold"/>
          <w:b/>
          <w:color w:val="00779B"/>
        </w:rPr>
        <w:t>staff,</w:t>
      </w:r>
      <w:r>
        <w:rPr>
          <w:rFonts w:ascii="Segoe UI Semibold"/>
          <w:b/>
          <w:color w:val="00779B"/>
          <w:spacing w:val="-1"/>
        </w:rPr>
        <w:t> </w:t>
      </w:r>
      <w:r>
        <w:rPr>
          <w:rFonts w:ascii="Segoe UI Semibold"/>
          <w:b/>
          <w:color w:val="00779B"/>
        </w:rPr>
        <w:t>other</w:t>
      </w:r>
      <w:r>
        <w:rPr>
          <w:rFonts w:ascii="Segoe UI Semibold"/>
          <w:b/>
          <w:color w:val="00779B"/>
          <w:spacing w:val="-1"/>
        </w:rPr>
        <w:t> </w:t>
      </w:r>
      <w:r>
        <w:rPr>
          <w:rFonts w:ascii="Segoe UI Semibold"/>
          <w:b/>
          <w:color w:val="00779B"/>
        </w:rPr>
        <w:t>students,</w:t>
      </w:r>
      <w:r>
        <w:rPr>
          <w:rFonts w:ascii="Segoe UI Semibold"/>
          <w:b/>
          <w:color w:val="00779B"/>
          <w:spacing w:val="-1"/>
        </w:rPr>
        <w:t> </w:t>
      </w:r>
      <w:r>
        <w:rPr>
          <w:rFonts w:ascii="Segoe UI Semibold"/>
          <w:b/>
          <w:color w:val="00779B"/>
        </w:rPr>
        <w:t>and</w:t>
      </w:r>
      <w:r>
        <w:rPr>
          <w:rFonts w:ascii="Segoe UI Semibold"/>
          <w:b/>
          <w:color w:val="00779B"/>
          <w:spacing w:val="-1"/>
        </w:rPr>
        <w:t> </w:t>
      </w:r>
      <w:r>
        <w:rPr>
          <w:rFonts w:ascii="Segoe UI Semibold"/>
          <w:b/>
          <w:color w:val="00779B"/>
        </w:rPr>
        <w:t>the</w:t>
      </w:r>
      <w:r>
        <w:rPr>
          <w:rFonts w:ascii="Segoe UI Semibold"/>
          <w:b/>
          <w:color w:val="00779B"/>
        </w:rPr>
        <w:t> </w:t>
      </w:r>
      <w:r>
        <w:rPr>
          <w:rFonts w:ascii="Segoe UI Semibold"/>
          <w:b/>
          <w:color w:val="00779B"/>
          <w:spacing w:val="-1"/>
        </w:rPr>
        <w:t>core curricula.</w:t>
      </w:r>
      <w:r>
        <w:rPr>
          <w:rFonts w:ascii="Segoe UI Semibold"/>
        </w:rPr>
      </w:r>
    </w:p>
    <w:p>
      <w:pPr>
        <w:spacing w:after="0" w:line="250" w:lineRule="exact"/>
        <w:jc w:val="left"/>
        <w:rPr>
          <w:rFonts w:ascii="Segoe UI Semibold" w:hAnsi="Segoe UI Semibold" w:cs="Segoe UI Semibold" w:eastAsia="Segoe UI Semibold"/>
        </w:rPr>
        <w:sectPr>
          <w:type w:val="continuous"/>
          <w:pgSz w:w="11910" w:h="16840"/>
          <w:pgMar w:top="1580" w:bottom="280" w:left="1300" w:right="1580"/>
          <w:cols w:num="2" w:equalWidth="0">
            <w:col w:w="4310" w:space="225"/>
            <w:col w:w="4495"/>
          </w:cols>
        </w:sectPr>
      </w:pPr>
    </w:p>
    <w:p>
      <w:pPr>
        <w:spacing w:line="240" w:lineRule="auto" w:before="0"/>
        <w:rPr>
          <w:rFonts w:ascii="Segoe UI Semibold" w:hAnsi="Segoe UI Semibold" w:cs="Segoe UI Semibold" w:eastAsia="Segoe UI Semibold"/>
          <w:b/>
          <w:bCs/>
          <w:sz w:val="20"/>
          <w:szCs w:val="20"/>
        </w:rPr>
      </w:pPr>
    </w:p>
    <w:p>
      <w:pPr>
        <w:spacing w:line="240" w:lineRule="auto" w:before="1"/>
        <w:rPr>
          <w:rFonts w:ascii="Segoe UI Semibold" w:hAnsi="Segoe UI Semibold" w:cs="Segoe UI Semibold" w:eastAsia="Segoe UI Semibold"/>
          <w:b/>
          <w:bCs/>
          <w:sz w:val="21"/>
          <w:szCs w:val="21"/>
        </w:rPr>
      </w:pPr>
    </w:p>
    <w:p>
      <w:pPr>
        <w:spacing w:after="0" w:line="240" w:lineRule="auto"/>
        <w:rPr>
          <w:rFonts w:ascii="Segoe UI Semibold" w:hAnsi="Segoe UI Semibold" w:cs="Segoe UI Semibold" w:eastAsia="Segoe UI Semibold"/>
          <w:sz w:val="21"/>
          <w:szCs w:val="21"/>
        </w:rPr>
        <w:sectPr>
          <w:pgSz w:w="11910" w:h="16840"/>
          <w:pgMar w:header="0" w:footer="691" w:top="1580" w:bottom="880" w:left="1580" w:right="1300"/>
        </w:sectPr>
      </w:pPr>
    </w:p>
    <w:p>
      <w:pPr>
        <w:pStyle w:val="Heading3"/>
        <w:spacing w:line="240" w:lineRule="auto" w:before="25"/>
        <w:ind w:left="106" w:right="14"/>
        <w:jc w:val="left"/>
      </w:pPr>
      <w:r>
        <w:rPr>
          <w:b/>
          <w:color w:val="00779B"/>
          <w:spacing w:val="-2"/>
        </w:rPr>
        <w:t>Remoteness</w:t>
      </w:r>
      <w:r>
        <w:rPr/>
      </w:r>
    </w:p>
    <w:p>
      <w:pPr>
        <w:pStyle w:val="BodyText"/>
        <w:spacing w:line="250" w:lineRule="exact" w:before="64"/>
        <w:ind w:left="106" w:right="0"/>
        <w:jc w:val="left"/>
      </w:pPr>
      <w:r>
        <w:rPr>
          <w:color w:val="231F20"/>
        </w:rPr>
        <w:t>The</w:t>
      </w:r>
      <w:r>
        <w:rPr>
          <w:color w:val="231F20"/>
          <w:spacing w:val="-2"/>
        </w:rPr>
        <w:t> Study </w:t>
      </w:r>
      <w:r>
        <w:rPr>
          <w:color w:val="231F20"/>
          <w:spacing w:val="-1"/>
        </w:rPr>
        <w:t>Away</w:t>
      </w:r>
      <w:r>
        <w:rPr>
          <w:color w:val="231F20"/>
          <w:spacing w:val="-3"/>
        </w:rPr>
        <w:t> </w:t>
      </w:r>
      <w:r>
        <w:rPr>
          <w:color w:val="231F20"/>
          <w:spacing w:val="-1"/>
        </w:rPr>
        <w:t>Review</w:t>
      </w:r>
      <w:r>
        <w:rPr>
          <w:rFonts w:ascii="Segoe UI Semibold"/>
          <w:b/>
          <w:color w:val="231F20"/>
          <w:spacing w:val="-1"/>
          <w:position w:val="7"/>
          <w:sz w:val="11"/>
        </w:rPr>
        <w:t>64</w:t>
      </w:r>
      <w:r>
        <w:rPr>
          <w:rFonts w:ascii="Segoe UI Semibold"/>
          <w:b/>
          <w:color w:val="231F20"/>
          <w:spacing w:val="23"/>
          <w:position w:val="7"/>
          <w:sz w:val="11"/>
        </w:rPr>
        <w:t> </w:t>
      </w:r>
      <w:r>
        <w:rPr>
          <w:rFonts w:ascii="Segoe UI"/>
          <w:color w:val="231F20"/>
        </w:rPr>
        <w:t>identified</w:t>
      </w:r>
      <w:r>
        <w:rPr>
          <w:rFonts w:ascii="Segoe UI"/>
          <w:color w:val="231F20"/>
          <w:spacing w:val="-1"/>
        </w:rPr>
        <w:t> </w:t>
      </w:r>
      <w:r>
        <w:rPr>
          <w:rFonts w:ascii="Segoe UI"/>
          <w:color w:val="231F20"/>
        </w:rPr>
        <w:t>that</w:t>
      </w:r>
      <w:r>
        <w:rPr>
          <w:rFonts w:ascii="Segoe UI"/>
          <w:color w:val="231F20"/>
          <w:spacing w:val="-1"/>
        </w:rPr>
        <w:t> </w:t>
      </w:r>
      <w:r>
        <w:rPr>
          <w:rFonts w:ascii="Segoe UI"/>
          <w:color w:val="231F20"/>
        </w:rPr>
        <w:t>more</w:t>
      </w:r>
      <w:r>
        <w:rPr>
          <w:rFonts w:ascii="Segoe UI"/>
          <w:color w:val="231F20"/>
          <w:spacing w:val="25"/>
        </w:rPr>
        <w:t> </w:t>
      </w:r>
      <w:r>
        <w:rPr>
          <w:color w:val="231F20"/>
        </w:rPr>
        <w:t>than</w:t>
      </w:r>
      <w:r>
        <w:rPr>
          <w:color w:val="231F20"/>
          <w:spacing w:val="-7"/>
        </w:rPr>
        <w:t> </w:t>
      </w:r>
      <w:r>
        <w:rPr>
          <w:color w:val="231F20"/>
        </w:rPr>
        <w:t>three</w:t>
      </w:r>
      <w:r>
        <w:rPr>
          <w:color w:val="231F20"/>
          <w:spacing w:val="-6"/>
        </w:rPr>
        <w:t> </w:t>
      </w:r>
      <w:r>
        <w:rPr>
          <w:color w:val="231F20"/>
        </w:rPr>
        <w:t>quarters</w:t>
      </w:r>
      <w:r>
        <w:rPr>
          <w:color w:val="231F20"/>
          <w:spacing w:val="-6"/>
        </w:rPr>
        <w:t> </w:t>
      </w:r>
      <w:r>
        <w:rPr>
          <w:color w:val="231F20"/>
        </w:rPr>
        <w:t>of</w:t>
      </w:r>
      <w:r>
        <w:rPr>
          <w:color w:val="231F20"/>
          <w:spacing w:val="-6"/>
        </w:rPr>
        <w:t> </w:t>
      </w:r>
      <w:r>
        <w:rPr>
          <w:color w:val="231F20"/>
          <w:spacing w:val="-1"/>
        </w:rPr>
        <w:t>secondary</w:t>
      </w:r>
      <w:r>
        <w:rPr>
          <w:color w:val="231F20"/>
          <w:spacing w:val="-4"/>
        </w:rPr>
        <w:t> </w:t>
      </w:r>
      <w:r>
        <w:rPr>
          <w:color w:val="231F20"/>
          <w:spacing w:val="-1"/>
        </w:rPr>
        <w:t>students</w:t>
      </w:r>
      <w:r>
        <w:rPr>
          <w:color w:val="231F20"/>
          <w:spacing w:val="21"/>
        </w:rPr>
        <w:t> </w:t>
      </w:r>
      <w:r>
        <w:rPr>
          <w:color w:val="231F20"/>
        </w:rPr>
        <w:t>receiving</w:t>
      </w:r>
      <w:r>
        <w:rPr>
          <w:color w:val="231F20"/>
          <w:spacing w:val="-6"/>
        </w:rPr>
        <w:t> </w:t>
      </w:r>
      <w:r>
        <w:rPr>
          <w:color w:val="231F20"/>
        </w:rPr>
        <w:t>ABSTUDY</w:t>
      </w:r>
      <w:r>
        <w:rPr>
          <w:color w:val="231F20"/>
          <w:spacing w:val="-6"/>
        </w:rPr>
        <w:t> </w:t>
      </w:r>
      <w:r>
        <w:rPr>
          <w:color w:val="231F20"/>
        </w:rPr>
        <w:t>to</w:t>
      </w:r>
      <w:r>
        <w:rPr>
          <w:color w:val="231F20"/>
          <w:spacing w:val="-4"/>
        </w:rPr>
        <w:t> </w:t>
      </w:r>
      <w:r>
        <w:rPr>
          <w:color w:val="231F20"/>
        </w:rPr>
        <w:t>attend</w:t>
      </w:r>
      <w:r>
        <w:rPr>
          <w:color w:val="231F20"/>
          <w:spacing w:val="-5"/>
        </w:rPr>
        <w:t> </w:t>
      </w:r>
      <w:r>
        <w:rPr>
          <w:color w:val="231F20"/>
        </w:rPr>
        <w:t>a</w:t>
      </w:r>
      <w:r>
        <w:rPr>
          <w:color w:val="231F20"/>
          <w:spacing w:val="-4"/>
        </w:rPr>
        <w:t> </w:t>
      </w:r>
      <w:r>
        <w:rPr>
          <w:color w:val="231F20"/>
        </w:rPr>
        <w:t>boarding</w:t>
      </w:r>
      <w:r>
        <w:rPr>
          <w:color w:val="231F20"/>
          <w:spacing w:val="-5"/>
        </w:rPr>
        <w:t> </w:t>
      </w:r>
      <w:r>
        <w:rPr>
          <w:color w:val="231F20"/>
        </w:rPr>
        <w:t>facility</w:t>
      </w:r>
      <w:r>
        <w:rPr>
          <w:color w:val="231F20"/>
        </w:rPr>
        <w:t> </w:t>
      </w:r>
      <w:r>
        <w:rPr>
          <w:rFonts w:ascii="Segoe UI"/>
          <w:color w:val="231F20"/>
        </w:rPr>
        <w:t>have a home address that is classified as remote</w:t>
      </w:r>
      <w:r>
        <w:rPr>
          <w:rFonts w:ascii="Segoe UI"/>
          <w:color w:val="231F20"/>
        </w:rPr>
        <w:t> </w:t>
      </w:r>
      <w:r>
        <w:rPr>
          <w:color w:val="231F20"/>
        </w:rPr>
        <w:t>or</w:t>
      </w:r>
      <w:r>
        <w:rPr>
          <w:color w:val="231F20"/>
          <w:spacing w:val="-4"/>
        </w:rPr>
        <w:t> </w:t>
      </w:r>
      <w:r>
        <w:rPr>
          <w:color w:val="231F20"/>
        </w:rPr>
        <w:t>very</w:t>
      </w:r>
      <w:r>
        <w:rPr>
          <w:color w:val="231F20"/>
          <w:spacing w:val="-4"/>
        </w:rPr>
        <w:t> </w:t>
      </w:r>
      <w:r>
        <w:rPr>
          <w:color w:val="231F20"/>
        </w:rPr>
        <w:t>remote.</w:t>
      </w:r>
      <w:r>
        <w:rPr>
          <w:color w:val="231F20"/>
          <w:spacing w:val="-5"/>
        </w:rPr>
        <w:t> </w:t>
      </w:r>
      <w:r>
        <w:rPr>
          <w:color w:val="231F20"/>
          <w:spacing w:val="-1"/>
        </w:rPr>
        <w:t>While</w:t>
      </w:r>
      <w:r>
        <w:rPr>
          <w:color w:val="231F20"/>
          <w:spacing w:val="-4"/>
        </w:rPr>
        <w:t> </w:t>
      </w:r>
      <w:r>
        <w:rPr>
          <w:color w:val="231F20"/>
        </w:rPr>
        <w:t>boarding</w:t>
      </w:r>
      <w:r>
        <w:rPr>
          <w:color w:val="231F20"/>
          <w:spacing w:val="-5"/>
        </w:rPr>
        <w:t> </w:t>
      </w:r>
      <w:r>
        <w:rPr>
          <w:color w:val="231F20"/>
          <w:spacing w:val="-1"/>
        </w:rPr>
        <w:t>students</w:t>
      </w:r>
      <w:r>
        <w:rPr>
          <w:color w:val="231F20"/>
          <w:spacing w:val="-4"/>
        </w:rPr>
        <w:t> </w:t>
      </w:r>
      <w:r>
        <w:rPr>
          <w:color w:val="231F20"/>
        </w:rPr>
        <w:t>are</w:t>
      </w:r>
      <w:r>
        <w:rPr>
          <w:color w:val="231F20"/>
          <w:spacing w:val="23"/>
          <w:w w:val="99"/>
        </w:rPr>
        <w:t> </w:t>
      </w:r>
      <w:r>
        <w:rPr>
          <w:color w:val="231F20"/>
        </w:rPr>
        <w:t>predominately</w:t>
      </w:r>
      <w:r>
        <w:rPr>
          <w:color w:val="231F20"/>
          <w:spacing w:val="-7"/>
        </w:rPr>
        <w:t> </w:t>
      </w:r>
      <w:r>
        <w:rPr>
          <w:color w:val="231F20"/>
        </w:rPr>
        <w:t>from</w:t>
      </w:r>
      <w:r>
        <w:rPr>
          <w:color w:val="231F20"/>
          <w:spacing w:val="-6"/>
        </w:rPr>
        <w:t> </w:t>
      </w:r>
      <w:r>
        <w:rPr>
          <w:color w:val="231F20"/>
        </w:rPr>
        <w:t>remote</w:t>
      </w:r>
      <w:r>
        <w:rPr>
          <w:color w:val="231F20"/>
          <w:spacing w:val="-7"/>
        </w:rPr>
        <w:t> </w:t>
      </w:r>
      <w:r>
        <w:rPr>
          <w:color w:val="231F20"/>
        </w:rPr>
        <w:t>communities,</w:t>
      </w:r>
      <w:r>
        <w:rPr>
          <w:color w:val="231F20"/>
          <w:spacing w:val="-7"/>
        </w:rPr>
        <w:t> </w:t>
      </w:r>
      <w:r>
        <w:rPr>
          <w:color w:val="231F20"/>
          <w:spacing w:val="-1"/>
        </w:rPr>
        <w:t>most</w:t>
      </w:r>
      <w:r>
        <w:rPr>
          <w:color w:val="231F20"/>
          <w:spacing w:val="19"/>
        </w:rPr>
        <w:t> </w:t>
      </w:r>
      <w:r>
        <w:rPr>
          <w:color w:val="231F20"/>
        </w:rPr>
        <w:t>boarding</w:t>
      </w:r>
      <w:r>
        <w:rPr>
          <w:color w:val="231F20"/>
          <w:spacing w:val="-7"/>
        </w:rPr>
        <w:t> </w:t>
      </w:r>
      <w:r>
        <w:rPr>
          <w:color w:val="231F20"/>
        </w:rPr>
        <w:t>providers</w:t>
      </w:r>
      <w:r>
        <w:rPr>
          <w:color w:val="231F20"/>
          <w:spacing w:val="-7"/>
        </w:rPr>
        <w:t> </w:t>
      </w:r>
      <w:r>
        <w:rPr>
          <w:color w:val="231F20"/>
        </w:rPr>
        <w:t>are</w:t>
      </w:r>
      <w:r>
        <w:rPr>
          <w:color w:val="231F20"/>
          <w:spacing w:val="-7"/>
        </w:rPr>
        <w:t> </w:t>
      </w:r>
      <w:r>
        <w:rPr>
          <w:color w:val="231F20"/>
        </w:rPr>
        <w:t>not</w:t>
      </w:r>
      <w:r>
        <w:rPr>
          <w:color w:val="231F20"/>
          <w:spacing w:val="-6"/>
        </w:rPr>
        <w:t> </w:t>
      </w:r>
      <w:r>
        <w:rPr>
          <w:color w:val="231F20"/>
          <w:spacing w:val="-1"/>
        </w:rPr>
        <w:t>located</w:t>
      </w:r>
      <w:r>
        <w:rPr>
          <w:color w:val="231F20"/>
          <w:spacing w:val="-6"/>
        </w:rPr>
        <w:t> </w:t>
      </w:r>
      <w:r>
        <w:rPr>
          <w:color w:val="231F20"/>
          <w:spacing w:val="-1"/>
        </w:rPr>
        <w:t>in</w:t>
      </w:r>
      <w:r>
        <w:rPr>
          <w:color w:val="231F20"/>
          <w:spacing w:val="-5"/>
        </w:rPr>
        <w:t> </w:t>
      </w:r>
      <w:r>
        <w:rPr>
          <w:color w:val="231F20"/>
        </w:rPr>
        <w:t>remote</w:t>
      </w:r>
      <w:r>
        <w:rPr>
          <w:color w:val="231F20"/>
          <w:spacing w:val="23"/>
          <w:w w:val="99"/>
        </w:rPr>
        <w:t> </w:t>
      </w:r>
      <w:r>
        <w:rPr>
          <w:color w:val="231F20"/>
          <w:spacing w:val="-1"/>
        </w:rPr>
        <w:t>locations.</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approximate</w:t>
      </w:r>
      <w:r>
        <w:rPr>
          <w:color w:val="231F20"/>
          <w:spacing w:val="-6"/>
        </w:rPr>
        <w:t> </w:t>
      </w:r>
      <w:r>
        <w:rPr>
          <w:color w:val="231F20"/>
          <w:spacing w:val="-1"/>
        </w:rPr>
        <w:t>194</w:t>
      </w:r>
      <w:r>
        <w:rPr>
          <w:color w:val="231F20"/>
          <w:spacing w:val="-5"/>
        </w:rPr>
        <w:t> </w:t>
      </w:r>
      <w:r>
        <w:rPr>
          <w:color w:val="231F20"/>
          <w:spacing w:val="-1"/>
        </w:rPr>
        <w:t>schools</w:t>
      </w:r>
      <w:r>
        <w:rPr>
          <w:color w:val="231F20"/>
          <w:spacing w:val="-4"/>
        </w:rPr>
        <w:t> </w:t>
      </w:r>
      <w:r>
        <w:rPr>
          <w:color w:val="231F20"/>
        </w:rPr>
        <w:t>and</w:t>
      </w:r>
      <w:r>
        <w:rPr>
          <w:color w:val="231F20"/>
          <w:spacing w:val="24"/>
          <w:w w:val="99"/>
        </w:rPr>
        <w:t> </w:t>
      </w:r>
      <w:r>
        <w:rPr>
          <w:color w:val="231F20"/>
        </w:rPr>
        <w:t>facilities</w:t>
      </w:r>
      <w:r>
        <w:rPr>
          <w:color w:val="231F20"/>
          <w:spacing w:val="-5"/>
        </w:rPr>
        <w:t> </w:t>
      </w:r>
      <w:r>
        <w:rPr>
          <w:color w:val="231F20"/>
        </w:rPr>
        <w:t>providing</w:t>
      </w:r>
      <w:r>
        <w:rPr>
          <w:color w:val="231F20"/>
          <w:spacing w:val="-5"/>
        </w:rPr>
        <w:t> </w:t>
      </w:r>
      <w:r>
        <w:rPr>
          <w:color w:val="231F20"/>
          <w:spacing w:val="-1"/>
        </w:rPr>
        <w:t>schooling</w:t>
      </w:r>
      <w:r>
        <w:rPr>
          <w:color w:val="231F20"/>
          <w:spacing w:val="-4"/>
        </w:rPr>
        <w:t> </w:t>
      </w:r>
      <w:r>
        <w:rPr>
          <w:color w:val="231F20"/>
          <w:spacing w:val="-1"/>
        </w:rPr>
        <w:t>opportunities</w:t>
      </w:r>
      <w:r>
        <w:rPr>
          <w:rFonts w:ascii="Segoe UI Semibold"/>
          <w:b/>
          <w:color w:val="231F20"/>
          <w:spacing w:val="-1"/>
          <w:position w:val="7"/>
          <w:sz w:val="11"/>
        </w:rPr>
        <w:t>65</w:t>
      </w:r>
      <w:r>
        <w:rPr>
          <w:rFonts w:ascii="Segoe UI Semibold"/>
          <w:b/>
          <w:color w:val="231F20"/>
          <w:spacing w:val="20"/>
          <w:position w:val="7"/>
          <w:sz w:val="11"/>
        </w:rPr>
        <w:t> </w:t>
      </w:r>
      <w:r>
        <w:rPr>
          <w:color w:val="231F20"/>
        </w:rPr>
        <w:t>for</w:t>
      </w:r>
      <w:r>
        <w:rPr>
          <w:color w:val="231F20"/>
          <w:spacing w:val="31"/>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spacing w:val="-1"/>
        </w:rPr>
        <w:t>students</w:t>
      </w:r>
      <w:r>
        <w:rPr>
          <w:color w:val="231F20"/>
          <w:spacing w:val="-3"/>
        </w:rPr>
        <w:t> </w:t>
      </w:r>
      <w:r>
        <w:rPr>
          <w:color w:val="231F20"/>
          <w:spacing w:val="-1"/>
        </w:rPr>
        <w:t>in</w:t>
      </w:r>
      <w:r>
        <w:rPr>
          <w:color w:val="231F20"/>
          <w:spacing w:val="-2"/>
        </w:rPr>
        <w:t> </w:t>
      </w:r>
      <w:r>
        <w:rPr>
          <w:color w:val="231F20"/>
          <w:spacing w:val="-1"/>
        </w:rPr>
        <w:t>2018,</w:t>
      </w:r>
      <w:r>
        <w:rPr>
          <w:color w:val="231F20"/>
          <w:spacing w:val="-3"/>
        </w:rPr>
        <w:t> </w:t>
      </w:r>
      <w:r>
        <w:rPr>
          <w:color w:val="231F20"/>
        </w:rPr>
        <w:t>only</w:t>
      </w:r>
      <w:r>
        <w:rPr>
          <w:color w:val="231F20"/>
          <w:spacing w:val="-3"/>
        </w:rPr>
        <w:t> </w:t>
      </w:r>
      <w:r>
        <w:rPr>
          <w:color w:val="231F20"/>
        </w:rPr>
        <w:t>a</w:t>
      </w:r>
      <w:r>
        <w:rPr>
          <w:color w:val="231F20"/>
          <w:spacing w:val="-3"/>
        </w:rPr>
        <w:t> </w:t>
      </w:r>
      <w:r>
        <w:rPr>
          <w:color w:val="231F20"/>
          <w:spacing w:val="-1"/>
        </w:rPr>
        <w:t>small</w:t>
      </w:r>
      <w:r>
        <w:rPr>
          <w:color w:val="231F20"/>
          <w:spacing w:val="-2"/>
        </w:rPr>
        <w:t> </w:t>
      </w:r>
      <w:r>
        <w:rPr>
          <w:color w:val="231F20"/>
        </w:rPr>
        <w:t>percentage</w:t>
      </w:r>
      <w:r>
        <w:rPr>
          <w:color w:val="231F20"/>
          <w:spacing w:val="-4"/>
        </w:rPr>
        <w:t> </w:t>
      </w:r>
      <w:r>
        <w:rPr>
          <w:color w:val="231F20"/>
        </w:rPr>
        <w:t>are</w:t>
      </w:r>
      <w:r>
        <w:rPr>
          <w:color w:val="231F20"/>
          <w:spacing w:val="25"/>
          <w:w w:val="99"/>
        </w:rPr>
        <w:t> </w:t>
      </w:r>
      <w:r>
        <w:rPr>
          <w:color w:val="231F20"/>
          <w:spacing w:val="-1"/>
        </w:rPr>
        <w:t>located</w:t>
      </w:r>
      <w:r>
        <w:rPr>
          <w:color w:val="231F20"/>
          <w:spacing w:val="-5"/>
        </w:rPr>
        <w:t> </w:t>
      </w:r>
      <w:r>
        <w:rPr>
          <w:color w:val="231F20"/>
          <w:spacing w:val="-1"/>
        </w:rPr>
        <w:t>in</w:t>
      </w:r>
      <w:r>
        <w:rPr>
          <w:color w:val="231F20"/>
          <w:spacing w:val="-4"/>
        </w:rPr>
        <w:t> </w:t>
      </w:r>
      <w:r>
        <w:rPr>
          <w:color w:val="231F20"/>
        </w:rPr>
        <w:t>remote</w:t>
      </w:r>
      <w:r>
        <w:rPr>
          <w:color w:val="231F20"/>
          <w:spacing w:val="-5"/>
        </w:rPr>
        <w:t> </w:t>
      </w:r>
      <w:r>
        <w:rPr>
          <w:color w:val="231F20"/>
        </w:rPr>
        <w:t>or</w:t>
      </w:r>
      <w:r>
        <w:rPr>
          <w:color w:val="231F20"/>
          <w:spacing w:val="-5"/>
        </w:rPr>
        <w:t> </w:t>
      </w:r>
      <w:r>
        <w:rPr>
          <w:color w:val="231F20"/>
        </w:rPr>
        <w:t>very</w:t>
      </w:r>
      <w:r>
        <w:rPr>
          <w:color w:val="231F20"/>
          <w:spacing w:val="-4"/>
        </w:rPr>
        <w:t> </w:t>
      </w:r>
      <w:r>
        <w:rPr>
          <w:color w:val="231F20"/>
        </w:rPr>
        <w:t>remote</w:t>
      </w:r>
      <w:r>
        <w:rPr>
          <w:color w:val="231F20"/>
          <w:spacing w:val="-5"/>
        </w:rPr>
        <w:t> </w:t>
      </w:r>
      <w:r>
        <w:rPr>
          <w:color w:val="231F20"/>
        </w:rPr>
        <w:t>areas.</w:t>
      </w:r>
      <w:r>
        <w:rPr>
          <w:color w:val="231F20"/>
          <w:spacing w:val="-5"/>
        </w:rPr>
        <w:t> </w:t>
      </w:r>
      <w:r>
        <w:rPr>
          <w:color w:val="231F20"/>
        </w:rPr>
        <w:t>As</w:t>
      </w:r>
      <w:r>
        <w:rPr/>
      </w:r>
    </w:p>
    <w:p>
      <w:pPr>
        <w:pStyle w:val="BodyText"/>
        <w:spacing w:line="250" w:lineRule="exact"/>
        <w:ind w:left="106" w:right="0"/>
        <w:jc w:val="left"/>
      </w:pPr>
      <w:r>
        <w:rPr>
          <w:color w:val="231F20"/>
        </w:rPr>
        <w:t>a</w:t>
      </w:r>
      <w:r>
        <w:rPr>
          <w:color w:val="231F20"/>
          <w:spacing w:val="-5"/>
        </w:rPr>
        <w:t> </w:t>
      </w:r>
      <w:r>
        <w:rPr>
          <w:color w:val="231F20"/>
        </w:rPr>
        <w:t>result,</w:t>
      </w:r>
      <w:r>
        <w:rPr>
          <w:color w:val="231F20"/>
          <w:spacing w:val="-5"/>
        </w:rPr>
        <w:t> </w:t>
      </w:r>
      <w:r>
        <w:rPr>
          <w:color w:val="231F20"/>
        </w:rPr>
        <w:t>the</w:t>
      </w:r>
      <w:r>
        <w:rPr>
          <w:color w:val="231F20"/>
          <w:spacing w:val="-6"/>
        </w:rPr>
        <w:t> </w:t>
      </w:r>
      <w:r>
        <w:rPr>
          <w:color w:val="231F20"/>
          <w:spacing w:val="-1"/>
        </w:rPr>
        <w:t>majority</w:t>
      </w:r>
      <w:r>
        <w:rPr>
          <w:color w:val="231F20"/>
          <w:spacing w:val="-4"/>
        </w:rPr>
        <w:t> </w:t>
      </w:r>
      <w:r>
        <w:rPr>
          <w:color w:val="231F20"/>
        </w:rPr>
        <w:t>of</w:t>
      </w:r>
      <w:r>
        <w:rPr>
          <w:color w:val="231F20"/>
          <w:spacing w:val="-5"/>
        </w:rPr>
        <w:t> </w:t>
      </w:r>
      <w:r>
        <w:rPr>
          <w:color w:val="231F20"/>
          <w:spacing w:val="-1"/>
        </w:rPr>
        <w:t>students</w:t>
      </w:r>
      <w:r>
        <w:rPr>
          <w:color w:val="231F20"/>
          <w:spacing w:val="-4"/>
        </w:rPr>
        <w:t> </w:t>
      </w:r>
      <w:r>
        <w:rPr>
          <w:color w:val="231F20"/>
        </w:rPr>
        <w:t>attending</w:t>
      </w:r>
      <w:r>
        <w:rPr>
          <w:color w:val="231F20"/>
          <w:spacing w:val="23"/>
          <w:w w:val="99"/>
        </w:rPr>
        <w:t> </w:t>
      </w:r>
      <w:r>
        <w:rPr>
          <w:color w:val="231F20"/>
        </w:rPr>
        <w:t>boarding</w:t>
      </w:r>
      <w:r>
        <w:rPr>
          <w:color w:val="231F20"/>
          <w:spacing w:val="-5"/>
        </w:rPr>
        <w:t> </w:t>
      </w:r>
      <w:r>
        <w:rPr>
          <w:color w:val="231F20"/>
        </w:rPr>
        <w:t>are</w:t>
      </w:r>
      <w:r>
        <w:rPr>
          <w:color w:val="231F20"/>
          <w:spacing w:val="-5"/>
        </w:rPr>
        <w:t> </w:t>
      </w:r>
      <w:r>
        <w:rPr>
          <w:color w:val="231F20"/>
        </w:rPr>
        <w:t>doing</w:t>
      </w:r>
      <w:r>
        <w:rPr>
          <w:color w:val="231F20"/>
          <w:spacing w:val="-5"/>
        </w:rPr>
        <w:t> </w:t>
      </w:r>
      <w:r>
        <w:rPr>
          <w:color w:val="231F20"/>
          <w:spacing w:val="-1"/>
        </w:rPr>
        <w:t>so</w:t>
      </w:r>
      <w:r>
        <w:rPr>
          <w:color w:val="231F20"/>
          <w:spacing w:val="-4"/>
        </w:rPr>
        <w:t> </w:t>
      </w:r>
      <w:r>
        <w:rPr>
          <w:color w:val="231F20"/>
          <w:spacing w:val="-1"/>
        </w:rPr>
        <w:t>in</w:t>
      </w:r>
      <w:r>
        <w:rPr>
          <w:color w:val="231F20"/>
          <w:spacing w:val="-4"/>
        </w:rPr>
        <w:t> </w:t>
      </w:r>
      <w:r>
        <w:rPr>
          <w:color w:val="231F20"/>
        </w:rPr>
        <w:t>a</w:t>
      </w:r>
      <w:r>
        <w:rPr>
          <w:color w:val="231F20"/>
          <w:spacing w:val="-4"/>
        </w:rPr>
        <w:t> </w:t>
      </w:r>
      <w:r>
        <w:rPr>
          <w:color w:val="231F20"/>
        </w:rPr>
        <w:t>regional</w:t>
      </w:r>
      <w:r>
        <w:rPr>
          <w:color w:val="231F20"/>
          <w:spacing w:val="-5"/>
        </w:rPr>
        <w:t> </w:t>
      </w:r>
      <w:r>
        <w:rPr>
          <w:color w:val="231F20"/>
        </w:rPr>
        <w:t>or</w:t>
      </w:r>
      <w:r>
        <w:rPr>
          <w:color w:val="231F20"/>
          <w:spacing w:val="-4"/>
        </w:rPr>
        <w:t> </w:t>
      </w:r>
      <w:r>
        <w:rPr>
          <w:color w:val="231F20"/>
        </w:rPr>
        <w:t>urban</w:t>
      </w:r>
      <w:r>
        <w:rPr>
          <w:color w:val="231F20"/>
          <w:spacing w:val="22"/>
          <w:w w:val="99"/>
        </w:rPr>
        <w:t> </w:t>
      </w:r>
      <w:r>
        <w:rPr>
          <w:color w:val="231F20"/>
          <w:spacing w:val="-1"/>
        </w:rPr>
        <w:t>setting.</w:t>
      </w:r>
      <w:r>
        <w:rPr>
          <w:color w:val="231F20"/>
          <w:spacing w:val="-5"/>
        </w:rPr>
        <w:t> </w:t>
      </w:r>
      <w:r>
        <w:rPr>
          <w:color w:val="231F20"/>
        </w:rPr>
        <w:t>However,</w:t>
      </w:r>
      <w:r>
        <w:rPr>
          <w:color w:val="231F20"/>
          <w:spacing w:val="-5"/>
        </w:rPr>
        <w:t> </w:t>
      </w:r>
      <w:r>
        <w:rPr>
          <w:color w:val="231F20"/>
        </w:rPr>
        <w:t>there</w:t>
      </w:r>
      <w:r>
        <w:rPr>
          <w:color w:val="231F20"/>
          <w:spacing w:val="-5"/>
        </w:rPr>
        <w:t> </w:t>
      </w:r>
      <w:r>
        <w:rPr>
          <w:color w:val="231F20"/>
          <w:spacing w:val="-1"/>
        </w:rPr>
        <w:t>is</w:t>
      </w:r>
      <w:r>
        <w:rPr>
          <w:color w:val="231F20"/>
          <w:spacing w:val="-6"/>
        </w:rPr>
        <w:t> </w:t>
      </w:r>
      <w:r>
        <w:rPr>
          <w:color w:val="231F20"/>
        </w:rPr>
        <w:t>a</w:t>
      </w:r>
      <w:r>
        <w:rPr>
          <w:color w:val="231F20"/>
          <w:spacing w:val="-5"/>
        </w:rPr>
        <w:t> </w:t>
      </w:r>
      <w:r>
        <w:rPr>
          <w:color w:val="231F20"/>
        </w:rPr>
        <w:t>growing</w:t>
      </w:r>
      <w:r>
        <w:rPr>
          <w:color w:val="231F20"/>
          <w:spacing w:val="-5"/>
        </w:rPr>
        <w:t> </w:t>
      </w:r>
      <w:r>
        <w:rPr>
          <w:color w:val="231F20"/>
        </w:rPr>
        <w:t>trend</w:t>
      </w:r>
      <w:r>
        <w:rPr>
          <w:color w:val="231F20"/>
          <w:spacing w:val="-6"/>
        </w:rPr>
        <w:t> </w:t>
      </w:r>
      <w:r>
        <w:rPr>
          <w:color w:val="231F20"/>
          <w:spacing w:val="-1"/>
        </w:rPr>
        <w:t>in</w:t>
      </w:r>
      <w:r>
        <w:rPr>
          <w:color w:val="231F20"/>
          <w:spacing w:val="22"/>
        </w:rPr>
        <w:t> </w:t>
      </w:r>
      <w:r>
        <w:rPr>
          <w:color w:val="231F20"/>
        </w:rPr>
        <w:t>recent</w:t>
      </w:r>
      <w:r>
        <w:rPr>
          <w:color w:val="231F20"/>
          <w:spacing w:val="-5"/>
        </w:rPr>
        <w:t> </w:t>
      </w:r>
      <w:r>
        <w:rPr>
          <w:color w:val="231F20"/>
        </w:rPr>
        <w:t>years</w:t>
      </w:r>
      <w:r>
        <w:rPr>
          <w:color w:val="231F20"/>
          <w:spacing w:val="-4"/>
        </w:rPr>
        <w:t> </w:t>
      </w:r>
      <w:r>
        <w:rPr>
          <w:color w:val="231F20"/>
        </w:rPr>
        <w:t>to</w:t>
      </w:r>
      <w:r>
        <w:rPr>
          <w:color w:val="231F20"/>
          <w:spacing w:val="-4"/>
        </w:rPr>
        <w:t> </w:t>
      </w:r>
      <w:r>
        <w:rPr>
          <w:color w:val="231F20"/>
        </w:rPr>
        <w:t>establish</w:t>
      </w:r>
      <w:r>
        <w:rPr>
          <w:color w:val="231F20"/>
          <w:spacing w:val="-4"/>
        </w:rPr>
        <w:t> </w:t>
      </w:r>
      <w:r>
        <w:rPr>
          <w:color w:val="231F20"/>
        </w:rPr>
        <w:t>boarding</w:t>
      </w:r>
      <w:r>
        <w:rPr>
          <w:color w:val="231F20"/>
          <w:spacing w:val="-4"/>
        </w:rPr>
        <w:t> </w:t>
      </w:r>
      <w:r>
        <w:rPr>
          <w:color w:val="231F20"/>
        </w:rPr>
        <w:t>facilities</w:t>
      </w:r>
      <w:r>
        <w:rPr>
          <w:color w:val="231F20"/>
          <w:spacing w:val="-4"/>
        </w:rPr>
        <w:t> </w:t>
      </w:r>
      <w:r>
        <w:rPr>
          <w:color w:val="231F20"/>
          <w:spacing w:val="-1"/>
        </w:rPr>
        <w:t>in</w:t>
      </w:r>
      <w:r>
        <w:rPr>
          <w:color w:val="231F20"/>
          <w:spacing w:val="19"/>
        </w:rPr>
        <w:t> </w:t>
      </w:r>
      <w:r>
        <w:rPr>
          <w:color w:val="231F20"/>
        </w:rPr>
        <w:t>remote</w:t>
      </w:r>
      <w:r>
        <w:rPr>
          <w:color w:val="231F20"/>
          <w:spacing w:val="-7"/>
        </w:rPr>
        <w:t> </w:t>
      </w:r>
      <w:r>
        <w:rPr>
          <w:color w:val="231F20"/>
        </w:rPr>
        <w:t>or</w:t>
      </w:r>
      <w:r>
        <w:rPr>
          <w:color w:val="231F20"/>
          <w:spacing w:val="-6"/>
        </w:rPr>
        <w:t> </w:t>
      </w:r>
      <w:r>
        <w:rPr>
          <w:color w:val="231F20"/>
        </w:rPr>
        <w:t>very</w:t>
      </w:r>
      <w:r>
        <w:rPr>
          <w:color w:val="231F20"/>
          <w:spacing w:val="-6"/>
        </w:rPr>
        <w:t> </w:t>
      </w:r>
      <w:r>
        <w:rPr>
          <w:color w:val="231F20"/>
        </w:rPr>
        <w:t>remote</w:t>
      </w:r>
      <w:r>
        <w:rPr>
          <w:color w:val="231F20"/>
          <w:spacing w:val="-7"/>
        </w:rPr>
        <w:t> </w:t>
      </w:r>
      <w:r>
        <w:rPr>
          <w:color w:val="231F20"/>
        </w:rPr>
        <w:t>areas.</w:t>
      </w:r>
      <w:r>
        <w:rPr/>
      </w:r>
    </w:p>
    <w:p>
      <w:pPr>
        <w:pStyle w:val="BodyText"/>
        <w:spacing w:line="250" w:lineRule="exact" w:before="113"/>
        <w:ind w:left="106" w:right="15"/>
        <w:jc w:val="left"/>
      </w:pPr>
      <w:r>
        <w:rPr>
          <w:color w:val="231F20"/>
        </w:rPr>
        <w:t>This</w:t>
      </w:r>
      <w:r>
        <w:rPr>
          <w:color w:val="231F20"/>
          <w:spacing w:val="-4"/>
        </w:rPr>
        <w:t> </w:t>
      </w:r>
      <w:r>
        <w:rPr>
          <w:color w:val="231F20"/>
        </w:rPr>
        <w:t>report</w:t>
      </w:r>
      <w:r>
        <w:rPr>
          <w:color w:val="231F20"/>
          <w:spacing w:val="-4"/>
        </w:rPr>
        <w:t> </w:t>
      </w:r>
      <w:r>
        <w:rPr>
          <w:color w:val="231F20"/>
        </w:rPr>
        <w:t>found</w:t>
      </w:r>
      <w:r>
        <w:rPr>
          <w:color w:val="231F20"/>
          <w:spacing w:val="-3"/>
        </w:rPr>
        <w:t> </w:t>
      </w:r>
      <w:r>
        <w:rPr>
          <w:color w:val="231F20"/>
        </w:rPr>
        <w:t>that</w:t>
      </w:r>
      <w:r>
        <w:rPr>
          <w:color w:val="231F20"/>
          <w:spacing w:val="-3"/>
        </w:rPr>
        <w:t> </w:t>
      </w:r>
      <w:r>
        <w:rPr>
          <w:color w:val="231F20"/>
        </w:rPr>
        <w:t>the</w:t>
      </w:r>
      <w:r>
        <w:rPr>
          <w:color w:val="231F20"/>
          <w:spacing w:val="-4"/>
        </w:rPr>
        <w:t> </w:t>
      </w:r>
      <w:r>
        <w:rPr>
          <w:color w:val="231F20"/>
        </w:rPr>
        <w:t>remoteness</w:t>
      </w:r>
      <w:r>
        <w:rPr>
          <w:color w:val="231F20"/>
          <w:spacing w:val="-5"/>
        </w:rPr>
        <w:t> </w:t>
      </w:r>
      <w:r>
        <w:rPr>
          <w:color w:val="231F20"/>
        </w:rPr>
        <w:t>of</w:t>
      </w:r>
      <w:r>
        <w:rPr>
          <w:color w:val="231F20"/>
          <w:spacing w:val="-2"/>
        </w:rPr>
        <w:t> </w:t>
      </w:r>
      <w:r>
        <w:rPr>
          <w:color w:val="231F20"/>
        </w:rPr>
        <w:t>home</w:t>
      </w:r>
      <w:r>
        <w:rPr>
          <w:color w:val="231F20"/>
        </w:rPr>
        <w:t> communities</w:t>
      </w:r>
      <w:r>
        <w:rPr>
          <w:color w:val="231F20"/>
          <w:spacing w:val="-7"/>
        </w:rPr>
        <w:t> </w:t>
      </w:r>
      <w:r>
        <w:rPr>
          <w:color w:val="231F20"/>
        </w:rPr>
        <w:t>presented</w:t>
      </w:r>
      <w:r>
        <w:rPr>
          <w:color w:val="231F20"/>
          <w:spacing w:val="-7"/>
        </w:rPr>
        <w:t> </w:t>
      </w:r>
      <w:r>
        <w:rPr>
          <w:color w:val="231F20"/>
        </w:rPr>
        <w:t>a</w:t>
      </w:r>
      <w:r>
        <w:rPr>
          <w:color w:val="231F20"/>
          <w:spacing w:val="-5"/>
        </w:rPr>
        <w:t> </w:t>
      </w:r>
      <w:r>
        <w:rPr>
          <w:color w:val="231F20"/>
        </w:rPr>
        <w:t>number</w:t>
      </w:r>
      <w:r>
        <w:rPr>
          <w:color w:val="231F20"/>
          <w:spacing w:val="-7"/>
        </w:rPr>
        <w:t> </w:t>
      </w:r>
      <w:r>
        <w:rPr>
          <w:color w:val="231F20"/>
        </w:rPr>
        <w:t>of</w:t>
      </w:r>
      <w:r>
        <w:rPr>
          <w:color w:val="231F20"/>
          <w:spacing w:val="-5"/>
        </w:rPr>
        <w:t> </w:t>
      </w:r>
      <w:r>
        <w:rPr>
          <w:color w:val="231F20"/>
        </w:rPr>
        <w:t>challenges</w:t>
      </w:r>
      <w:r>
        <w:rPr>
          <w:color w:val="231F20"/>
          <w:w w:val="99"/>
        </w:rPr>
        <w:t> </w:t>
      </w:r>
      <w:r>
        <w:rPr>
          <w:color w:val="231F20"/>
        </w:rPr>
        <w:t>for</w:t>
      </w:r>
      <w:r>
        <w:rPr>
          <w:color w:val="231F20"/>
          <w:spacing w:val="-4"/>
        </w:rPr>
        <w:t> </w:t>
      </w:r>
      <w:r>
        <w:rPr>
          <w:color w:val="231F20"/>
          <w:spacing w:val="-1"/>
        </w:rPr>
        <w:t>students,</w:t>
      </w:r>
      <w:r>
        <w:rPr>
          <w:color w:val="231F20"/>
          <w:spacing w:val="-3"/>
        </w:rPr>
        <w:t> </w:t>
      </w:r>
      <w:r>
        <w:rPr>
          <w:color w:val="231F20"/>
        </w:rPr>
        <w:t>their</w:t>
      </w:r>
      <w:r>
        <w:rPr>
          <w:color w:val="231F20"/>
          <w:spacing w:val="-4"/>
        </w:rPr>
        <w:t> </w:t>
      </w:r>
      <w:r>
        <w:rPr>
          <w:color w:val="231F20"/>
        </w:rPr>
        <w:t>families</w:t>
      </w:r>
      <w:r>
        <w:rPr>
          <w:color w:val="231F20"/>
          <w:spacing w:val="-5"/>
        </w:rPr>
        <w:t> </w:t>
      </w:r>
      <w:r>
        <w:rPr>
          <w:color w:val="231F20"/>
        </w:rPr>
        <w:t>and</w:t>
      </w:r>
      <w:r>
        <w:rPr>
          <w:color w:val="231F20"/>
          <w:spacing w:val="-4"/>
        </w:rPr>
        <w:t> </w:t>
      </w:r>
      <w:r>
        <w:rPr>
          <w:color w:val="231F20"/>
        </w:rPr>
        <w:t>communities</w:t>
      </w:r>
      <w:r>
        <w:rPr>
          <w:color w:val="231F20"/>
          <w:spacing w:val="-5"/>
        </w:rPr>
        <w:t> </w:t>
      </w:r>
      <w:r>
        <w:rPr>
          <w:color w:val="231F20"/>
        </w:rPr>
        <w:t>and</w:t>
      </w:r>
      <w:r>
        <w:rPr>
          <w:color w:val="231F20"/>
          <w:spacing w:val="22"/>
          <w:w w:val="99"/>
        </w:rPr>
        <w:t> </w:t>
      </w:r>
      <w:r>
        <w:rPr>
          <w:color w:val="231F20"/>
        </w:rPr>
        <w:t>boarding</w:t>
      </w:r>
      <w:r>
        <w:rPr>
          <w:color w:val="231F20"/>
          <w:spacing w:val="-11"/>
        </w:rPr>
        <w:t> </w:t>
      </w:r>
      <w:r>
        <w:rPr>
          <w:color w:val="231F20"/>
        </w:rPr>
        <w:t>providers,</w:t>
      </w:r>
      <w:r>
        <w:rPr>
          <w:color w:val="231F20"/>
          <w:spacing w:val="-11"/>
        </w:rPr>
        <w:t> </w:t>
      </w:r>
      <w:r>
        <w:rPr>
          <w:color w:val="231F20"/>
        </w:rPr>
        <w:t>particularly</w:t>
      </w:r>
      <w:r>
        <w:rPr>
          <w:color w:val="231F20"/>
          <w:spacing w:val="-11"/>
        </w:rPr>
        <w:t> </w:t>
      </w:r>
      <w:r>
        <w:rPr>
          <w:color w:val="231F20"/>
        </w:rPr>
        <w:t>those</w:t>
      </w:r>
      <w:r>
        <w:rPr>
          <w:color w:val="231F20"/>
          <w:spacing w:val="-11"/>
        </w:rPr>
        <w:t> </w:t>
      </w:r>
      <w:r>
        <w:rPr>
          <w:color w:val="231F20"/>
        </w:rPr>
        <w:t>attending</w:t>
      </w:r>
      <w:r>
        <w:rPr>
          <w:color w:val="231F20"/>
          <w:w w:val="99"/>
        </w:rPr>
        <w:t> </w:t>
      </w:r>
      <w:r>
        <w:rPr>
          <w:color w:val="231F20"/>
        </w:rPr>
        <w:t>a</w:t>
      </w:r>
      <w:r>
        <w:rPr>
          <w:color w:val="231F20"/>
          <w:spacing w:val="-5"/>
        </w:rPr>
        <w:t> </w:t>
      </w:r>
      <w:r>
        <w:rPr>
          <w:color w:val="231F20"/>
        </w:rPr>
        <w:t>boarding</w:t>
      </w:r>
      <w:r>
        <w:rPr>
          <w:color w:val="231F20"/>
          <w:spacing w:val="-5"/>
        </w:rPr>
        <w:t> </w:t>
      </w:r>
      <w:r>
        <w:rPr>
          <w:color w:val="231F20"/>
        </w:rPr>
        <w:t>facility</w:t>
      </w:r>
      <w:r>
        <w:rPr>
          <w:color w:val="231F20"/>
          <w:spacing w:val="-5"/>
        </w:rPr>
        <w:t> </w:t>
      </w:r>
      <w:r>
        <w:rPr>
          <w:color w:val="231F20"/>
          <w:spacing w:val="-1"/>
        </w:rPr>
        <w:t>in</w:t>
      </w:r>
      <w:r>
        <w:rPr>
          <w:color w:val="231F20"/>
          <w:spacing w:val="-5"/>
        </w:rPr>
        <w:t> </w:t>
      </w:r>
      <w:r>
        <w:rPr>
          <w:color w:val="231F20"/>
        </w:rPr>
        <w:t>regional</w:t>
      </w:r>
      <w:r>
        <w:rPr>
          <w:color w:val="231F20"/>
          <w:spacing w:val="-5"/>
        </w:rPr>
        <w:t> </w:t>
      </w:r>
      <w:r>
        <w:rPr>
          <w:color w:val="231F20"/>
        </w:rPr>
        <w:t>and</w:t>
      </w:r>
      <w:r>
        <w:rPr>
          <w:color w:val="231F20"/>
          <w:spacing w:val="-5"/>
        </w:rPr>
        <w:t> </w:t>
      </w:r>
      <w:r>
        <w:rPr>
          <w:color w:val="231F20"/>
        </w:rPr>
        <w:t>urban</w:t>
      </w:r>
      <w:r>
        <w:rPr>
          <w:color w:val="231F20"/>
          <w:spacing w:val="-4"/>
        </w:rPr>
        <w:t> </w:t>
      </w:r>
      <w:r>
        <w:rPr>
          <w:color w:val="231F20"/>
        </w:rPr>
        <w:t>areas.</w:t>
      </w:r>
      <w:r>
        <w:rPr>
          <w:color w:val="231F20"/>
          <w:spacing w:val="21"/>
          <w:w w:val="99"/>
        </w:rPr>
        <w:t> </w:t>
      </w:r>
      <w:r>
        <w:rPr>
          <w:color w:val="231F20"/>
        </w:rPr>
        <w:t>Most</w:t>
      </w:r>
      <w:r>
        <w:rPr>
          <w:color w:val="231F20"/>
          <w:spacing w:val="-6"/>
        </w:rPr>
        <w:t> </w:t>
      </w:r>
      <w:r>
        <w:rPr>
          <w:color w:val="231F20"/>
        </w:rPr>
        <w:t>boarding</w:t>
      </w:r>
      <w:r>
        <w:rPr>
          <w:color w:val="231F20"/>
          <w:spacing w:val="-6"/>
        </w:rPr>
        <w:t> </w:t>
      </w:r>
      <w:r>
        <w:rPr>
          <w:color w:val="231F20"/>
        </w:rPr>
        <w:t>providers</w:t>
      </w:r>
      <w:r>
        <w:rPr>
          <w:color w:val="231F20"/>
          <w:spacing w:val="-6"/>
        </w:rPr>
        <w:t> </w:t>
      </w:r>
      <w:r>
        <w:rPr>
          <w:color w:val="231F20"/>
        </w:rPr>
        <w:t>commented</w:t>
      </w:r>
      <w:r>
        <w:rPr>
          <w:color w:val="231F20"/>
          <w:spacing w:val="-6"/>
        </w:rPr>
        <w:t> </w:t>
      </w:r>
      <w:r>
        <w:rPr>
          <w:color w:val="231F20"/>
        </w:rPr>
        <w:t>that</w:t>
      </w:r>
      <w:r>
        <w:rPr>
          <w:color w:val="231F20"/>
          <w:w w:val="99"/>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5"/>
        </w:rPr>
        <w:t> </w:t>
      </w:r>
      <w:r>
        <w:rPr>
          <w:color w:val="231F20"/>
          <w:spacing w:val="-1"/>
        </w:rPr>
        <w:t>Islander</w:t>
      </w:r>
      <w:r>
        <w:rPr>
          <w:color w:val="231F20"/>
          <w:spacing w:val="-5"/>
        </w:rPr>
        <w:t> </w:t>
      </w:r>
      <w:r>
        <w:rPr>
          <w:color w:val="231F20"/>
          <w:spacing w:val="-1"/>
        </w:rPr>
        <w:t>students</w:t>
      </w:r>
      <w:r>
        <w:rPr>
          <w:color w:val="231F20"/>
          <w:spacing w:val="20"/>
        </w:rPr>
        <w:t> </w:t>
      </w:r>
      <w:r>
        <w:rPr>
          <w:color w:val="231F20"/>
        </w:rPr>
        <w:t>from</w:t>
      </w:r>
      <w:r>
        <w:rPr>
          <w:color w:val="231F20"/>
          <w:spacing w:val="-4"/>
        </w:rPr>
        <w:t> </w:t>
      </w:r>
      <w:r>
        <w:rPr>
          <w:color w:val="231F20"/>
        </w:rPr>
        <w:t>remote</w:t>
      </w:r>
      <w:r>
        <w:rPr>
          <w:color w:val="231F20"/>
          <w:spacing w:val="-5"/>
        </w:rPr>
        <w:t> </w:t>
      </w:r>
      <w:r>
        <w:rPr>
          <w:color w:val="231F20"/>
        </w:rPr>
        <w:t>communities</w:t>
      </w:r>
      <w:r>
        <w:rPr>
          <w:color w:val="231F20"/>
          <w:spacing w:val="-4"/>
        </w:rPr>
        <w:t> </w:t>
      </w:r>
      <w:r>
        <w:rPr>
          <w:color w:val="231F20"/>
        </w:rPr>
        <w:t>require</w:t>
      </w:r>
      <w:r>
        <w:rPr>
          <w:color w:val="231F20"/>
          <w:spacing w:val="-5"/>
        </w:rPr>
        <w:t> </w:t>
      </w:r>
      <w:r>
        <w:rPr>
          <w:color w:val="231F20"/>
        </w:rPr>
        <w:t>a</w:t>
      </w:r>
      <w:r>
        <w:rPr>
          <w:color w:val="231F20"/>
          <w:spacing w:val="-4"/>
        </w:rPr>
        <w:t> </w:t>
      </w:r>
      <w:r>
        <w:rPr>
          <w:color w:val="231F20"/>
        </w:rPr>
        <w:t>high</w:t>
      </w:r>
      <w:r>
        <w:rPr>
          <w:color w:val="231F20"/>
          <w:spacing w:val="-4"/>
        </w:rPr>
        <w:t> </w:t>
      </w:r>
      <w:r>
        <w:rPr>
          <w:color w:val="231F20"/>
          <w:spacing w:val="-1"/>
        </w:rPr>
        <w:t>level</w:t>
      </w:r>
      <w:r>
        <w:rPr>
          <w:color w:val="231F20"/>
          <w:spacing w:val="-1"/>
        </w:rPr>
        <w:t> </w:t>
      </w:r>
      <w:r>
        <w:rPr>
          <w:color w:val="231F20"/>
          <w:spacing w:val="20"/>
        </w:rPr>
        <w:t> </w:t>
      </w:r>
      <w:r>
        <w:rPr>
          <w:color w:val="231F20"/>
        </w:rPr>
        <w:t>of</w:t>
      </w:r>
      <w:r>
        <w:rPr>
          <w:color w:val="231F20"/>
          <w:spacing w:val="-7"/>
        </w:rPr>
        <w:t> </w:t>
      </w:r>
      <w:r>
        <w:rPr>
          <w:color w:val="231F20"/>
        </w:rPr>
        <w:t>transition,</w:t>
      </w:r>
      <w:r>
        <w:rPr>
          <w:color w:val="231F20"/>
          <w:spacing w:val="-7"/>
        </w:rPr>
        <w:t> </w:t>
      </w:r>
      <w:r>
        <w:rPr>
          <w:color w:val="231F20"/>
        </w:rPr>
        <w:t>orientation</w:t>
      </w:r>
      <w:r>
        <w:rPr>
          <w:color w:val="231F20"/>
          <w:spacing w:val="-7"/>
        </w:rPr>
        <w:t> </w:t>
      </w:r>
      <w:r>
        <w:rPr>
          <w:color w:val="231F20"/>
        </w:rPr>
        <w:t>and</w:t>
      </w:r>
      <w:r>
        <w:rPr>
          <w:color w:val="231F20"/>
          <w:spacing w:val="-7"/>
        </w:rPr>
        <w:t> </w:t>
      </w:r>
      <w:r>
        <w:rPr>
          <w:color w:val="231F20"/>
          <w:spacing w:val="-1"/>
        </w:rPr>
        <w:t>support</w:t>
      </w:r>
      <w:r>
        <w:rPr>
          <w:color w:val="231F20"/>
          <w:spacing w:val="-6"/>
        </w:rPr>
        <w:t> </w:t>
      </w:r>
      <w:r>
        <w:rPr>
          <w:color w:val="231F20"/>
          <w:spacing w:val="-1"/>
        </w:rPr>
        <w:t>services</w:t>
      </w:r>
      <w:r>
        <w:rPr>
          <w:color w:val="231F20"/>
          <w:spacing w:val="21"/>
        </w:rPr>
        <w:t> </w:t>
      </w:r>
      <w:r>
        <w:rPr>
          <w:color w:val="231F20"/>
        </w:rPr>
        <w:t>for</w:t>
      </w:r>
      <w:r>
        <w:rPr>
          <w:color w:val="231F20"/>
          <w:spacing w:val="-3"/>
        </w:rPr>
        <w:t> </w:t>
      </w:r>
      <w:r>
        <w:rPr>
          <w:color w:val="231F20"/>
          <w:spacing w:val="-1"/>
        </w:rPr>
        <w:t>students</w:t>
      </w:r>
      <w:r>
        <w:rPr>
          <w:color w:val="231F20"/>
          <w:spacing w:val="-3"/>
        </w:rPr>
        <w:t> </w:t>
      </w:r>
      <w:r>
        <w:rPr>
          <w:color w:val="231F20"/>
        </w:rPr>
        <w:t>to</w:t>
      </w:r>
      <w:r>
        <w:rPr>
          <w:color w:val="231F20"/>
          <w:spacing w:val="-3"/>
        </w:rPr>
        <w:t> </w:t>
      </w:r>
      <w:r>
        <w:rPr>
          <w:color w:val="231F20"/>
        </w:rPr>
        <w:t>address</w:t>
      </w:r>
      <w:r>
        <w:rPr>
          <w:color w:val="231F20"/>
          <w:spacing w:val="-4"/>
        </w:rPr>
        <w:t> </w:t>
      </w:r>
      <w:r>
        <w:rPr>
          <w:color w:val="231F20"/>
        </w:rPr>
        <w:t>homesickness</w:t>
      </w:r>
      <w:r>
        <w:rPr>
          <w:color w:val="231F20"/>
          <w:spacing w:val="-4"/>
        </w:rPr>
        <w:t> </w:t>
      </w:r>
      <w:r>
        <w:rPr>
          <w:color w:val="231F20"/>
        </w:rPr>
        <w:t>and</w:t>
      </w:r>
      <w:r>
        <w:rPr>
          <w:color w:val="231F20"/>
          <w:spacing w:val="22"/>
          <w:w w:val="99"/>
        </w:rPr>
        <w:t> </w:t>
      </w:r>
      <w:r>
        <w:rPr>
          <w:color w:val="231F20"/>
        </w:rPr>
        <w:t>feelings</w:t>
      </w:r>
      <w:r>
        <w:rPr>
          <w:color w:val="231F20"/>
          <w:spacing w:val="-6"/>
        </w:rPr>
        <w:t> </w:t>
      </w:r>
      <w:r>
        <w:rPr>
          <w:color w:val="231F20"/>
        </w:rPr>
        <w:t>of</w:t>
      </w:r>
      <w:r>
        <w:rPr>
          <w:color w:val="231F20"/>
          <w:spacing w:val="-4"/>
        </w:rPr>
        <w:t> </w:t>
      </w:r>
      <w:r>
        <w:rPr>
          <w:color w:val="231F20"/>
        </w:rPr>
        <w:t>disconnect</w:t>
      </w:r>
      <w:r>
        <w:rPr>
          <w:color w:val="231F20"/>
          <w:spacing w:val="-5"/>
        </w:rPr>
        <w:t> </w:t>
      </w:r>
      <w:r>
        <w:rPr>
          <w:color w:val="231F20"/>
        </w:rPr>
        <w:t>from</w:t>
      </w:r>
      <w:r>
        <w:rPr>
          <w:color w:val="231F20"/>
          <w:spacing w:val="-5"/>
        </w:rPr>
        <w:t> </w:t>
      </w:r>
      <w:r>
        <w:rPr>
          <w:color w:val="231F20"/>
        </w:rPr>
        <w:t>community,</w:t>
      </w:r>
      <w:r>
        <w:rPr>
          <w:color w:val="231F20"/>
          <w:spacing w:val="-5"/>
        </w:rPr>
        <w:t> </w:t>
      </w:r>
      <w:r>
        <w:rPr>
          <w:color w:val="231F20"/>
        </w:rPr>
        <w:t>culture</w:t>
      </w:r>
      <w:r>
        <w:rPr>
          <w:color w:val="231F20"/>
          <w:w w:val="99"/>
        </w:rPr>
        <w:t> </w:t>
      </w:r>
      <w:r>
        <w:rPr>
          <w:rFonts w:ascii="Segoe UI"/>
          <w:color w:val="231F20"/>
        </w:rPr>
        <w:t>and family. These difficulties transitioning into</w:t>
      </w:r>
      <w:r>
        <w:rPr>
          <w:rFonts w:ascii="Segoe UI"/>
          <w:color w:val="231F20"/>
        </w:rPr>
        <w:t> </w:t>
      </w:r>
      <w:r>
        <w:rPr>
          <w:color w:val="231F20"/>
        </w:rPr>
        <w:t>boarding</w:t>
      </w:r>
      <w:r>
        <w:rPr>
          <w:color w:val="231F20"/>
          <w:spacing w:val="-8"/>
        </w:rPr>
        <w:t> </w:t>
      </w:r>
      <w:r>
        <w:rPr>
          <w:color w:val="231F20"/>
        </w:rPr>
        <w:t>can</w:t>
      </w:r>
      <w:r>
        <w:rPr>
          <w:color w:val="231F20"/>
          <w:spacing w:val="-6"/>
        </w:rPr>
        <w:t> </w:t>
      </w:r>
      <w:r>
        <w:rPr>
          <w:color w:val="231F20"/>
          <w:spacing w:val="-1"/>
        </w:rPr>
        <w:t>lead</w:t>
      </w:r>
      <w:r>
        <w:rPr>
          <w:color w:val="231F20"/>
          <w:spacing w:val="-7"/>
        </w:rPr>
        <w:t> </w:t>
      </w:r>
      <w:r>
        <w:rPr>
          <w:color w:val="231F20"/>
        </w:rPr>
        <w:t>to</w:t>
      </w:r>
      <w:r>
        <w:rPr>
          <w:color w:val="231F20"/>
          <w:spacing w:val="-6"/>
        </w:rPr>
        <w:t> </w:t>
      </w:r>
      <w:r>
        <w:rPr>
          <w:color w:val="231F20"/>
        </w:rPr>
        <w:t>attendance</w:t>
      </w:r>
      <w:r>
        <w:rPr>
          <w:color w:val="231F20"/>
          <w:spacing w:val="-7"/>
        </w:rPr>
        <w:t> </w:t>
      </w:r>
      <w:r>
        <w:rPr>
          <w:color w:val="231F20"/>
        </w:rPr>
        <w:t>and</w:t>
      </w:r>
      <w:r>
        <w:rPr>
          <w:color w:val="231F20"/>
          <w:spacing w:val="-7"/>
        </w:rPr>
        <w:t> </w:t>
      </w:r>
      <w:r>
        <w:rPr>
          <w:color w:val="231F20"/>
        </w:rPr>
        <w:t>retention</w:t>
      </w:r>
      <w:r>
        <w:rPr>
          <w:color w:val="231F20"/>
          <w:spacing w:val="21"/>
          <w:w w:val="99"/>
        </w:rPr>
        <w:t> </w:t>
      </w:r>
      <w:r>
        <w:rPr>
          <w:color w:val="231F20"/>
          <w:spacing w:val="-1"/>
        </w:rPr>
        <w:t>issues.</w:t>
      </w:r>
      <w:r>
        <w:rPr/>
      </w:r>
    </w:p>
    <w:p>
      <w:pPr>
        <w:pStyle w:val="Heading3"/>
        <w:spacing w:line="240" w:lineRule="auto"/>
        <w:ind w:left="106" w:right="14"/>
        <w:jc w:val="left"/>
      </w:pPr>
      <w:r>
        <w:rPr>
          <w:b/>
          <w:color w:val="00779B"/>
          <w:spacing w:val="-1"/>
        </w:rPr>
        <w:t>Homesickness</w:t>
      </w:r>
      <w:r>
        <w:rPr/>
      </w:r>
    </w:p>
    <w:p>
      <w:pPr>
        <w:pStyle w:val="BodyText"/>
        <w:spacing w:line="250" w:lineRule="exact" w:before="64"/>
        <w:ind w:left="106" w:right="65"/>
        <w:jc w:val="left"/>
      </w:pPr>
      <w:r>
        <w:rPr>
          <w:color w:val="231F20"/>
        </w:rPr>
        <w:t>Homesickness</w:t>
      </w:r>
      <w:r>
        <w:rPr>
          <w:color w:val="231F20"/>
          <w:spacing w:val="-5"/>
        </w:rPr>
        <w:t> </w:t>
      </w:r>
      <w:r>
        <w:rPr>
          <w:color w:val="231F20"/>
          <w:spacing w:val="-1"/>
        </w:rPr>
        <w:t>is</w:t>
      </w:r>
      <w:r>
        <w:rPr>
          <w:color w:val="231F20"/>
          <w:spacing w:val="-4"/>
        </w:rPr>
        <w:t> </w:t>
      </w:r>
      <w:r>
        <w:rPr>
          <w:color w:val="231F20"/>
        </w:rPr>
        <w:t>a</w:t>
      </w:r>
      <w:r>
        <w:rPr>
          <w:color w:val="231F20"/>
          <w:spacing w:val="-3"/>
        </w:rPr>
        <w:t> </w:t>
      </w:r>
      <w:r>
        <w:rPr>
          <w:color w:val="231F20"/>
          <w:spacing w:val="-1"/>
        </w:rPr>
        <w:t>major</w:t>
      </w:r>
      <w:r>
        <w:rPr>
          <w:color w:val="231F20"/>
          <w:spacing w:val="-4"/>
        </w:rPr>
        <w:t> </w:t>
      </w:r>
      <w:r>
        <w:rPr>
          <w:color w:val="231F20"/>
        </w:rPr>
        <w:t>disruptor</w:t>
      </w:r>
      <w:r>
        <w:rPr>
          <w:color w:val="231F20"/>
          <w:spacing w:val="-4"/>
        </w:rPr>
        <w:t> </w:t>
      </w:r>
      <w:r>
        <w:rPr>
          <w:color w:val="231F20"/>
        </w:rPr>
        <w:t>for</w:t>
      </w:r>
      <w:r>
        <w:rPr>
          <w:color w:val="231F20"/>
          <w:spacing w:val="22"/>
          <w:w w:val="99"/>
        </w:rPr>
        <w:t> </w:t>
      </w:r>
      <w:r>
        <w:rPr>
          <w:color w:val="231F20"/>
        </w:rPr>
        <w:t>Aboriginal</w:t>
      </w:r>
      <w:r>
        <w:rPr>
          <w:color w:val="231F20"/>
          <w:spacing w:val="-5"/>
        </w:rPr>
        <w:t> </w:t>
      </w:r>
      <w:r>
        <w:rPr>
          <w:color w:val="231F20"/>
        </w:rPr>
        <w:t>and</w:t>
      </w:r>
      <w:r>
        <w:rPr>
          <w:color w:val="231F20"/>
          <w:spacing w:val="-5"/>
        </w:rPr>
        <w:t> Torre </w:t>
      </w:r>
      <w:r>
        <w:rPr>
          <w:color w:val="231F20"/>
          <w:spacing w:val="-2"/>
        </w:rPr>
        <w:t>Strait</w:t>
      </w:r>
      <w:r>
        <w:rPr>
          <w:color w:val="231F20"/>
          <w:spacing w:val="-6"/>
        </w:rPr>
        <w:t> </w:t>
      </w:r>
      <w:r>
        <w:rPr>
          <w:color w:val="231F20"/>
          <w:spacing w:val="-1"/>
        </w:rPr>
        <w:t>Islander</w:t>
      </w:r>
      <w:r>
        <w:rPr>
          <w:color w:val="231F20"/>
          <w:spacing w:val="-4"/>
        </w:rPr>
        <w:t> </w:t>
      </w:r>
      <w:r>
        <w:rPr>
          <w:color w:val="231F20"/>
          <w:spacing w:val="-1"/>
        </w:rPr>
        <w:t>students</w:t>
      </w:r>
      <w:r>
        <w:rPr>
          <w:color w:val="231F20"/>
          <w:spacing w:val="26"/>
        </w:rPr>
        <w:t> </w:t>
      </w:r>
      <w:r>
        <w:rPr>
          <w:color w:val="231F20"/>
        </w:rPr>
        <w:t>attending</w:t>
      </w:r>
      <w:r>
        <w:rPr>
          <w:color w:val="231F20"/>
          <w:spacing w:val="-12"/>
        </w:rPr>
        <w:t> </w:t>
      </w:r>
      <w:r>
        <w:rPr>
          <w:color w:val="231F20"/>
        </w:rPr>
        <w:t>boarding.</w:t>
      </w:r>
      <w:r>
        <w:rPr>
          <w:color w:val="231F20"/>
          <w:spacing w:val="-13"/>
        </w:rPr>
        <w:t> </w:t>
      </w:r>
      <w:r>
        <w:rPr>
          <w:color w:val="231F20"/>
          <w:spacing w:val="-1"/>
        </w:rPr>
        <w:t>Boarding</w:t>
      </w:r>
      <w:r>
        <w:rPr>
          <w:color w:val="231F20"/>
          <w:spacing w:val="-11"/>
        </w:rPr>
        <w:t> </w:t>
      </w:r>
      <w:r>
        <w:rPr>
          <w:color w:val="231F20"/>
        </w:rPr>
        <w:t>providers</w:t>
      </w:r>
      <w:r>
        <w:rPr>
          <w:color w:val="231F20"/>
          <w:spacing w:val="22"/>
          <w:w w:val="99"/>
        </w:rPr>
        <w:t> </w:t>
      </w:r>
      <w:r>
        <w:rPr>
          <w:rFonts w:ascii="Segoe UI" w:hAnsi="Segoe UI" w:cs="Segoe UI" w:eastAsia="Segoe UI"/>
          <w:color w:val="231F20"/>
        </w:rPr>
        <w:t>consulted for this report identified addressing</w:t>
      </w:r>
      <w:r>
        <w:rPr>
          <w:rFonts w:ascii="Segoe UI" w:hAnsi="Segoe UI" w:cs="Segoe UI" w:eastAsia="Segoe UI"/>
          <w:color w:val="231F20"/>
        </w:rPr>
        <w:t> </w:t>
      </w:r>
      <w:r>
        <w:rPr>
          <w:color w:val="231F20"/>
        </w:rPr>
        <w:t>homesickness</w:t>
      </w:r>
      <w:r>
        <w:rPr>
          <w:color w:val="231F20"/>
          <w:spacing w:val="-5"/>
        </w:rPr>
        <w:t> </w:t>
      </w:r>
      <w:r>
        <w:rPr>
          <w:color w:val="231F20"/>
        </w:rPr>
        <w:t>as</w:t>
      </w:r>
      <w:r>
        <w:rPr>
          <w:color w:val="231F20"/>
          <w:spacing w:val="-4"/>
        </w:rPr>
        <w:t> </w:t>
      </w:r>
      <w:r>
        <w:rPr>
          <w:color w:val="231F20"/>
        </w:rPr>
        <w:t>a</w:t>
      </w:r>
      <w:r>
        <w:rPr>
          <w:color w:val="231F20"/>
          <w:spacing w:val="-4"/>
        </w:rPr>
        <w:t> </w:t>
      </w:r>
      <w:r>
        <w:rPr>
          <w:color w:val="231F20"/>
        </w:rPr>
        <w:t>critical</w:t>
      </w:r>
      <w:r>
        <w:rPr>
          <w:color w:val="231F20"/>
          <w:spacing w:val="-4"/>
        </w:rPr>
        <w:t> </w:t>
      </w:r>
      <w:r>
        <w:rPr>
          <w:color w:val="231F20"/>
        </w:rPr>
        <w:t>factor</w:t>
      </w:r>
      <w:r>
        <w:rPr>
          <w:color w:val="231F20"/>
          <w:spacing w:val="-4"/>
        </w:rPr>
        <w:t> </w:t>
      </w:r>
      <w:r>
        <w:rPr>
          <w:color w:val="231F20"/>
          <w:spacing w:val="-1"/>
        </w:rPr>
        <w:t>in</w:t>
      </w:r>
      <w:r>
        <w:rPr>
          <w:color w:val="231F20"/>
          <w:spacing w:val="-3"/>
        </w:rPr>
        <w:t> </w:t>
      </w:r>
      <w:r>
        <w:rPr>
          <w:color w:val="231F20"/>
        </w:rPr>
        <w:t>Aboriginal</w:t>
      </w:r>
      <w:r>
        <w:rPr>
          <w:color w:val="231F20"/>
          <w:spacing w:val="21"/>
          <w:w w:val="99"/>
        </w:rPr>
        <w:t> </w:t>
      </w:r>
      <w:r>
        <w:rPr>
          <w:color w:val="231F20"/>
        </w:rPr>
        <w:t>and</w:t>
      </w:r>
      <w:r>
        <w:rPr>
          <w:color w:val="231F20"/>
          <w:spacing w:val="-6"/>
        </w:rPr>
        <w:t> </w:t>
      </w:r>
      <w:r>
        <w:rPr>
          <w:color w:val="231F20"/>
          <w:spacing w:val="-5"/>
        </w:rPr>
        <w:t>Torres </w:t>
      </w:r>
      <w:r>
        <w:rPr>
          <w:color w:val="231F20"/>
          <w:spacing w:val="-2"/>
        </w:rPr>
        <w:t>Strait</w:t>
      </w:r>
      <w:r>
        <w:rPr>
          <w:color w:val="231F20"/>
          <w:spacing w:val="-5"/>
        </w:rPr>
        <w:t> </w:t>
      </w:r>
      <w:r>
        <w:rPr>
          <w:color w:val="231F20"/>
          <w:spacing w:val="-1"/>
        </w:rPr>
        <w:t>Islander</w:t>
      </w:r>
      <w:r>
        <w:rPr>
          <w:color w:val="231F20"/>
          <w:spacing w:val="-5"/>
        </w:rPr>
        <w:t> </w:t>
      </w:r>
      <w:r>
        <w:rPr>
          <w:color w:val="231F20"/>
          <w:spacing w:val="-1"/>
        </w:rPr>
        <w:t>students</w:t>
      </w:r>
      <w:r>
        <w:rPr>
          <w:color w:val="231F20"/>
          <w:spacing w:val="-5"/>
        </w:rPr>
        <w:t> </w:t>
      </w:r>
      <w:r>
        <w:rPr>
          <w:color w:val="231F20"/>
          <w:spacing w:val="-1"/>
        </w:rPr>
        <w:t>succeeding</w:t>
      </w:r>
      <w:r>
        <w:rPr>
          <w:color w:val="231F20"/>
          <w:spacing w:val="22"/>
          <w:w w:val="99"/>
        </w:rPr>
        <w:t> </w:t>
      </w:r>
      <w:r>
        <w:rPr>
          <w:color w:val="231F20"/>
          <w:spacing w:val="-1"/>
        </w:rPr>
        <w:t>in</w:t>
      </w:r>
      <w:r>
        <w:rPr>
          <w:color w:val="231F20"/>
          <w:spacing w:val="-5"/>
        </w:rPr>
        <w:t> </w:t>
      </w:r>
      <w:r>
        <w:rPr>
          <w:color w:val="231F20"/>
        </w:rPr>
        <w:t>boarding.</w:t>
      </w:r>
      <w:r>
        <w:rPr>
          <w:color w:val="231F20"/>
          <w:spacing w:val="-6"/>
        </w:rPr>
        <w:t> </w:t>
      </w:r>
      <w:r>
        <w:rPr>
          <w:color w:val="231F20"/>
          <w:spacing w:val="-1"/>
        </w:rPr>
        <w:t>Rogers,</w:t>
      </w:r>
      <w:r>
        <w:rPr>
          <w:color w:val="231F20"/>
          <w:spacing w:val="-5"/>
        </w:rPr>
        <w:t> </w:t>
      </w:r>
      <w:r>
        <w:rPr>
          <w:color w:val="231F20"/>
          <w:spacing w:val="-1"/>
        </w:rPr>
        <w:t>2017</w:t>
      </w:r>
      <w:r>
        <w:rPr>
          <w:rFonts w:ascii="Segoe UI Semibold" w:hAnsi="Segoe UI Semibold" w:cs="Segoe UI Semibold" w:eastAsia="Segoe UI Semibold"/>
          <w:b/>
          <w:bCs/>
          <w:color w:val="231F20"/>
          <w:spacing w:val="-1"/>
          <w:position w:val="7"/>
          <w:sz w:val="11"/>
          <w:szCs w:val="11"/>
        </w:rPr>
        <w:t>66</w:t>
      </w:r>
      <w:r>
        <w:rPr>
          <w:rFonts w:ascii="Segoe UI Semibold" w:hAnsi="Segoe UI Semibold" w:cs="Segoe UI Semibold" w:eastAsia="Segoe UI Semibold"/>
          <w:b/>
          <w:bCs/>
          <w:color w:val="231F20"/>
          <w:spacing w:val="20"/>
          <w:position w:val="7"/>
          <w:sz w:val="11"/>
          <w:szCs w:val="11"/>
        </w:rPr>
        <w:t> </w:t>
      </w:r>
      <w:r>
        <w:rPr>
          <w:color w:val="231F20"/>
        </w:rPr>
        <w:t>reported</w:t>
      </w:r>
      <w:r>
        <w:rPr>
          <w:color w:val="231F20"/>
          <w:spacing w:val="-6"/>
        </w:rPr>
        <w:t> </w:t>
      </w:r>
      <w:r>
        <w:rPr>
          <w:color w:val="231F20"/>
        </w:rPr>
        <w:t>‘boarding</w:t>
      </w:r>
      <w:r>
        <w:rPr>
          <w:color w:val="231F20"/>
          <w:spacing w:val="26"/>
          <w:w w:val="99"/>
        </w:rPr>
        <w:t> </w:t>
      </w:r>
      <w:r>
        <w:rPr>
          <w:color w:val="231F20"/>
          <w:spacing w:val="-1"/>
        </w:rPr>
        <w:t>students</w:t>
      </w:r>
      <w:r>
        <w:rPr>
          <w:color w:val="231F20"/>
          <w:spacing w:val="-4"/>
        </w:rPr>
        <w:t> </w:t>
      </w:r>
      <w:r>
        <w:rPr>
          <w:color w:val="231F20"/>
          <w:spacing w:val="-1"/>
        </w:rPr>
        <w:t>speak</w:t>
      </w:r>
      <w:r>
        <w:rPr>
          <w:color w:val="231F20"/>
          <w:spacing w:val="-3"/>
        </w:rPr>
        <w:t> </w:t>
      </w:r>
      <w:r>
        <w:rPr>
          <w:color w:val="231F20"/>
        </w:rPr>
        <w:t>of</w:t>
      </w:r>
      <w:r>
        <w:rPr>
          <w:color w:val="231F20"/>
          <w:spacing w:val="-4"/>
        </w:rPr>
        <w:t> </w:t>
      </w:r>
      <w:r>
        <w:rPr>
          <w:color w:val="231F20"/>
        </w:rPr>
        <w:t>feeling</w:t>
      </w:r>
      <w:r>
        <w:rPr>
          <w:color w:val="231F20"/>
          <w:spacing w:val="-4"/>
        </w:rPr>
        <w:t> </w:t>
      </w:r>
      <w:r>
        <w:rPr>
          <w:color w:val="231F20"/>
        </w:rPr>
        <w:t>disconnected</w:t>
      </w:r>
      <w:r>
        <w:rPr>
          <w:color w:val="231F20"/>
          <w:spacing w:val="-5"/>
        </w:rPr>
        <w:t> </w:t>
      </w:r>
      <w:r>
        <w:rPr>
          <w:color w:val="231F20"/>
        </w:rPr>
        <w:t>with</w:t>
      </w:r>
      <w:r>
        <w:rPr>
          <w:color w:val="231F20"/>
          <w:spacing w:val="23"/>
          <w:w w:val="99"/>
        </w:rPr>
        <w:t> </w:t>
      </w:r>
      <w:r>
        <w:rPr>
          <w:color w:val="231F20"/>
        </w:rPr>
        <w:t>family,</w:t>
      </w:r>
      <w:r>
        <w:rPr>
          <w:color w:val="231F20"/>
          <w:spacing w:val="-7"/>
        </w:rPr>
        <w:t> </w:t>
      </w:r>
      <w:r>
        <w:rPr>
          <w:color w:val="231F20"/>
        </w:rPr>
        <w:t>culture</w:t>
      </w:r>
      <w:r>
        <w:rPr>
          <w:color w:val="231F20"/>
          <w:spacing w:val="-6"/>
        </w:rPr>
        <w:t> </w:t>
      </w:r>
      <w:r>
        <w:rPr>
          <w:color w:val="231F20"/>
        </w:rPr>
        <w:t>and</w:t>
      </w:r>
      <w:r>
        <w:rPr>
          <w:color w:val="231F20"/>
          <w:spacing w:val="-7"/>
        </w:rPr>
        <w:t> </w:t>
      </w:r>
      <w:r>
        <w:rPr>
          <w:color w:val="231F20"/>
          <w:spacing w:val="-1"/>
        </w:rPr>
        <w:t>identity</w:t>
      </w:r>
      <w:r>
        <w:rPr>
          <w:color w:val="231F20"/>
          <w:spacing w:val="-5"/>
        </w:rPr>
        <w:t> </w:t>
      </w:r>
      <w:r>
        <w:rPr>
          <w:color w:val="231F20"/>
        </w:rPr>
        <w:t>when</w:t>
      </w:r>
      <w:r>
        <w:rPr>
          <w:color w:val="231F20"/>
          <w:spacing w:val="-6"/>
        </w:rPr>
        <w:t> </w:t>
      </w:r>
      <w:r>
        <w:rPr>
          <w:color w:val="231F20"/>
        </w:rPr>
        <w:t>they</w:t>
      </w:r>
      <w:r>
        <w:rPr>
          <w:color w:val="231F20"/>
          <w:spacing w:val="-7"/>
        </w:rPr>
        <w:t> </w:t>
      </w:r>
      <w:r>
        <w:rPr>
          <w:color w:val="231F20"/>
        </w:rPr>
        <w:t>returned</w:t>
      </w:r>
      <w:r>
        <w:rPr>
          <w:color w:val="231F20"/>
          <w:spacing w:val="22"/>
          <w:w w:val="99"/>
        </w:rPr>
        <w:t> </w:t>
      </w:r>
      <w:r>
        <w:rPr>
          <w:color w:val="231F20"/>
        </w:rPr>
        <w:t>home</w:t>
      </w:r>
      <w:r>
        <w:rPr>
          <w:color w:val="231F20"/>
          <w:spacing w:val="-6"/>
        </w:rPr>
        <w:t> </w:t>
      </w:r>
      <w:r>
        <w:rPr>
          <w:color w:val="231F20"/>
        </w:rPr>
        <w:t>after</w:t>
      </w:r>
      <w:r>
        <w:rPr>
          <w:color w:val="231F20"/>
          <w:spacing w:val="-6"/>
        </w:rPr>
        <w:t> </w:t>
      </w:r>
      <w:r>
        <w:rPr>
          <w:color w:val="231F20"/>
        </w:rPr>
        <w:t>boarding.</w:t>
      </w:r>
      <w:r>
        <w:rPr>
          <w:color w:val="231F20"/>
          <w:spacing w:val="-5"/>
        </w:rPr>
        <w:t> </w:t>
      </w:r>
      <w:r>
        <w:rPr>
          <w:color w:val="231F20"/>
        </w:rPr>
        <w:t>They</w:t>
      </w:r>
      <w:r>
        <w:rPr>
          <w:color w:val="231F20"/>
          <w:spacing w:val="-6"/>
        </w:rPr>
        <w:t> </w:t>
      </w:r>
      <w:r>
        <w:rPr>
          <w:color w:val="231F20"/>
        </w:rPr>
        <w:t>also</w:t>
      </w:r>
      <w:r>
        <w:rPr>
          <w:color w:val="231F20"/>
          <w:spacing w:val="-6"/>
        </w:rPr>
        <w:t> </w:t>
      </w:r>
      <w:r>
        <w:rPr>
          <w:color w:val="231F20"/>
        </w:rPr>
        <w:t>retold</w:t>
      </w:r>
      <w:r>
        <w:rPr>
          <w:color w:val="231F20"/>
          <w:spacing w:val="-6"/>
        </w:rPr>
        <w:t> </w:t>
      </w:r>
      <w:r>
        <w:rPr>
          <w:color w:val="231F20"/>
        </w:rPr>
        <w:t>painful</w:t>
      </w:r>
      <w:r>
        <w:rPr>
          <w:color w:val="231F20"/>
          <w:w w:val="99"/>
        </w:rPr>
        <w:t> </w:t>
      </w:r>
      <w:r>
        <w:rPr>
          <w:color w:val="231F20"/>
          <w:spacing w:val="-1"/>
        </w:rPr>
        <w:t>stories</w:t>
      </w:r>
      <w:r>
        <w:rPr>
          <w:color w:val="231F20"/>
          <w:spacing w:val="-4"/>
        </w:rPr>
        <w:t> </w:t>
      </w:r>
      <w:r>
        <w:rPr>
          <w:color w:val="231F20"/>
        </w:rPr>
        <w:t>of</w:t>
      </w:r>
      <w:r>
        <w:rPr>
          <w:color w:val="231F20"/>
          <w:spacing w:val="-3"/>
        </w:rPr>
        <w:t> </w:t>
      </w:r>
      <w:r>
        <w:rPr>
          <w:color w:val="231F20"/>
        </w:rPr>
        <w:t>feeling</w:t>
      </w:r>
      <w:r>
        <w:rPr>
          <w:color w:val="231F20"/>
          <w:spacing w:val="-4"/>
        </w:rPr>
        <w:t> </w:t>
      </w:r>
      <w:r>
        <w:rPr>
          <w:color w:val="231F20"/>
          <w:spacing w:val="-1"/>
        </w:rPr>
        <w:t>lost</w:t>
      </w:r>
      <w:r>
        <w:rPr>
          <w:color w:val="231F20"/>
          <w:spacing w:val="-4"/>
        </w:rPr>
        <w:t> </w:t>
      </w:r>
      <w:r>
        <w:rPr>
          <w:color w:val="231F20"/>
        </w:rPr>
        <w:t>and</w:t>
      </w:r>
      <w:r>
        <w:rPr>
          <w:color w:val="231F20"/>
          <w:spacing w:val="-4"/>
        </w:rPr>
        <w:t> </w:t>
      </w:r>
      <w:r>
        <w:rPr>
          <w:color w:val="231F20"/>
        </w:rPr>
        <w:t>trapped,</w:t>
      </w:r>
      <w:r>
        <w:rPr>
          <w:color w:val="231F20"/>
          <w:spacing w:val="-4"/>
        </w:rPr>
        <w:t> </w:t>
      </w:r>
      <w:r>
        <w:rPr>
          <w:color w:val="231F20"/>
        </w:rPr>
        <w:t>not</w:t>
      </w:r>
      <w:r>
        <w:rPr>
          <w:color w:val="231F20"/>
          <w:spacing w:val="-4"/>
        </w:rPr>
        <w:t> </w:t>
      </w:r>
      <w:r>
        <w:rPr>
          <w:color w:val="231F20"/>
          <w:spacing w:val="-1"/>
        </w:rPr>
        <w:t>knowing</w:t>
      </w:r>
      <w:r>
        <w:rPr>
          <w:color w:val="231F20"/>
          <w:spacing w:val="22"/>
          <w:w w:val="99"/>
        </w:rPr>
        <w:t> </w:t>
      </w:r>
      <w:r>
        <w:rPr>
          <w:color w:val="231F20"/>
        </w:rPr>
        <w:t>who</w:t>
      </w:r>
      <w:r>
        <w:rPr>
          <w:color w:val="231F20"/>
          <w:spacing w:val="-6"/>
        </w:rPr>
        <w:t> </w:t>
      </w:r>
      <w:r>
        <w:rPr>
          <w:color w:val="231F20"/>
        </w:rPr>
        <w:t>they</w:t>
      </w:r>
      <w:r>
        <w:rPr>
          <w:color w:val="231F20"/>
          <w:spacing w:val="-6"/>
        </w:rPr>
        <w:t> </w:t>
      </w:r>
      <w:r>
        <w:rPr>
          <w:color w:val="231F20"/>
        </w:rPr>
        <w:t>were</w:t>
      </w:r>
      <w:r>
        <w:rPr>
          <w:color w:val="231F20"/>
          <w:spacing w:val="-5"/>
        </w:rPr>
        <w:t> </w:t>
      </w:r>
      <w:r>
        <w:rPr>
          <w:color w:val="231F20"/>
        </w:rPr>
        <w:t>when</w:t>
      </w:r>
      <w:r>
        <w:rPr>
          <w:color w:val="231F20"/>
          <w:spacing w:val="-6"/>
        </w:rPr>
        <w:t> </w:t>
      </w:r>
      <w:r>
        <w:rPr>
          <w:color w:val="231F20"/>
        </w:rPr>
        <w:t>they</w:t>
      </w:r>
      <w:r>
        <w:rPr>
          <w:color w:val="231F20"/>
          <w:spacing w:val="-6"/>
        </w:rPr>
        <w:t> </w:t>
      </w:r>
      <w:r>
        <w:rPr>
          <w:color w:val="231F20"/>
        </w:rPr>
        <w:t>returned</w:t>
      </w:r>
      <w:r>
        <w:rPr>
          <w:color w:val="231F20"/>
          <w:spacing w:val="-5"/>
        </w:rPr>
        <w:t> </w:t>
      </w:r>
      <w:r>
        <w:rPr>
          <w:color w:val="231F20"/>
        </w:rPr>
        <w:t>home</w:t>
      </w:r>
      <w:r>
        <w:rPr/>
      </w:r>
    </w:p>
    <w:p>
      <w:pPr>
        <w:pStyle w:val="BodyText"/>
        <w:spacing w:line="250" w:lineRule="exact"/>
        <w:ind w:left="106" w:right="65"/>
        <w:jc w:val="left"/>
      </w:pPr>
      <w:r>
        <w:rPr>
          <w:rFonts w:ascii="Segoe UI" w:hAnsi="Segoe UI" w:cs="Segoe UI" w:eastAsia="Segoe UI"/>
          <w:color w:val="231F20"/>
        </w:rPr>
        <w:t>after changing to fit in at boarding school’. </w:t>
      </w:r>
      <w:r>
        <w:rPr>
          <w:color w:val="231F20"/>
        </w:rPr>
        <w:t>Three</w:t>
      </w:r>
      <w:r>
        <w:rPr>
          <w:color w:val="231F20"/>
          <w:spacing w:val="-4"/>
        </w:rPr>
        <w:t> </w:t>
      </w:r>
      <w:r>
        <w:rPr>
          <w:color w:val="231F20"/>
          <w:spacing w:val="-1"/>
        </w:rPr>
        <w:t>in</w:t>
      </w:r>
      <w:r>
        <w:rPr>
          <w:color w:val="231F20"/>
          <w:spacing w:val="-3"/>
        </w:rPr>
        <w:t> </w:t>
      </w:r>
      <w:r>
        <w:rPr>
          <w:color w:val="231F20"/>
        </w:rPr>
        <w:t>four</w:t>
      </w:r>
      <w:r>
        <w:rPr>
          <w:color w:val="231F20"/>
          <w:spacing w:val="-4"/>
        </w:rPr>
        <w:t> </w:t>
      </w:r>
      <w:r>
        <w:rPr>
          <w:color w:val="231F20"/>
          <w:spacing w:val="-1"/>
        </w:rPr>
        <w:t>students</w:t>
      </w:r>
      <w:r>
        <w:rPr>
          <w:color w:val="231F20"/>
          <w:spacing w:val="-3"/>
        </w:rPr>
        <w:t> </w:t>
      </w:r>
      <w:r>
        <w:rPr>
          <w:color w:val="231F20"/>
          <w:spacing w:val="-1"/>
        </w:rPr>
        <w:t>in</w:t>
      </w:r>
      <w:r>
        <w:rPr>
          <w:color w:val="231F20"/>
          <w:spacing w:val="-4"/>
        </w:rPr>
        <w:t> </w:t>
      </w:r>
      <w:r>
        <w:rPr>
          <w:color w:val="231F20"/>
        </w:rPr>
        <w:t>the</w:t>
      </w:r>
      <w:r>
        <w:rPr>
          <w:color w:val="231F20"/>
          <w:spacing w:val="-4"/>
        </w:rPr>
        <w:t> </w:t>
      </w:r>
      <w:r>
        <w:rPr>
          <w:color w:val="231F20"/>
          <w:spacing w:val="-2"/>
        </w:rPr>
        <w:t>Rogers</w:t>
      </w:r>
      <w:r>
        <w:rPr>
          <w:color w:val="231F20"/>
          <w:spacing w:val="-4"/>
        </w:rPr>
        <w:t> </w:t>
      </w:r>
      <w:r>
        <w:rPr>
          <w:color w:val="231F20"/>
        </w:rPr>
        <w:t>research</w:t>
      </w:r>
      <w:r>
        <w:rPr>
          <w:color w:val="231F20"/>
          <w:spacing w:val="29"/>
          <w:w w:val="99"/>
        </w:rPr>
        <w:t> </w:t>
      </w:r>
      <w:r>
        <w:rPr>
          <w:color w:val="231F20"/>
          <w:spacing w:val="-1"/>
        </w:rPr>
        <w:t>said</w:t>
      </w:r>
      <w:r>
        <w:rPr>
          <w:color w:val="231F20"/>
          <w:spacing w:val="-4"/>
        </w:rPr>
        <w:t> </w:t>
      </w:r>
      <w:r>
        <w:rPr>
          <w:color w:val="231F20"/>
        </w:rPr>
        <w:t>they</w:t>
      </w:r>
      <w:r>
        <w:rPr>
          <w:color w:val="231F20"/>
          <w:spacing w:val="-5"/>
        </w:rPr>
        <w:t> </w:t>
      </w:r>
      <w:r>
        <w:rPr>
          <w:color w:val="231F20"/>
        </w:rPr>
        <w:t>had</w:t>
      </w:r>
      <w:r>
        <w:rPr>
          <w:color w:val="231F20"/>
          <w:spacing w:val="-3"/>
        </w:rPr>
        <w:t> </w:t>
      </w:r>
      <w:r>
        <w:rPr>
          <w:color w:val="231F20"/>
        </w:rPr>
        <w:t>been</w:t>
      </w:r>
      <w:r>
        <w:rPr>
          <w:color w:val="231F20"/>
          <w:spacing w:val="-5"/>
        </w:rPr>
        <w:t> </w:t>
      </w:r>
      <w:r>
        <w:rPr>
          <w:color w:val="231F20"/>
          <w:spacing w:val="-1"/>
        </w:rPr>
        <w:t>subjected</w:t>
      </w:r>
      <w:r>
        <w:rPr>
          <w:color w:val="231F20"/>
          <w:spacing w:val="-3"/>
        </w:rPr>
        <w:t> </w:t>
      </w:r>
      <w:r>
        <w:rPr>
          <w:color w:val="231F20"/>
        </w:rPr>
        <w:t>to</w:t>
      </w:r>
      <w:r>
        <w:rPr>
          <w:color w:val="231F20"/>
          <w:spacing w:val="-3"/>
        </w:rPr>
        <w:t> </w:t>
      </w:r>
      <w:r>
        <w:rPr>
          <w:color w:val="231F20"/>
        </w:rPr>
        <w:t>racism</w:t>
      </w:r>
      <w:r>
        <w:rPr>
          <w:color w:val="231F20"/>
          <w:spacing w:val="-5"/>
        </w:rPr>
        <w:t> </w:t>
      </w:r>
      <w:r>
        <w:rPr>
          <w:color w:val="231F20"/>
        </w:rPr>
        <w:t>and</w:t>
      </w:r>
      <w:r>
        <w:rPr>
          <w:color w:val="231F20"/>
          <w:spacing w:val="23"/>
          <w:w w:val="99"/>
        </w:rPr>
        <w:t> </w:t>
      </w:r>
      <w:r>
        <w:rPr>
          <w:color w:val="231F20"/>
        </w:rPr>
        <w:t>discrimination</w:t>
      </w:r>
      <w:r>
        <w:rPr>
          <w:color w:val="231F20"/>
          <w:spacing w:val="-5"/>
        </w:rPr>
        <w:t> </w:t>
      </w:r>
      <w:r>
        <w:rPr>
          <w:color w:val="231F20"/>
        </w:rPr>
        <w:t>while</w:t>
      </w:r>
      <w:r>
        <w:rPr>
          <w:color w:val="231F20"/>
          <w:spacing w:val="-5"/>
        </w:rPr>
        <w:t> </w:t>
      </w:r>
      <w:r>
        <w:rPr>
          <w:color w:val="231F20"/>
        </w:rPr>
        <w:t>at</w:t>
      </w:r>
      <w:r>
        <w:rPr>
          <w:color w:val="231F20"/>
          <w:spacing w:val="-3"/>
        </w:rPr>
        <w:t> </w:t>
      </w:r>
      <w:r>
        <w:rPr>
          <w:color w:val="231F20"/>
        </w:rPr>
        <w:t>boarding</w:t>
      </w:r>
      <w:r>
        <w:rPr>
          <w:color w:val="231F20"/>
          <w:spacing w:val="-5"/>
        </w:rPr>
        <w:t> </w:t>
      </w:r>
      <w:r>
        <w:rPr>
          <w:color w:val="231F20"/>
          <w:spacing w:val="-1"/>
        </w:rPr>
        <w:t>school,</w:t>
      </w:r>
      <w:r>
        <w:rPr>
          <w:color w:val="231F20"/>
          <w:spacing w:val="20"/>
        </w:rPr>
        <w:t> </w:t>
      </w:r>
      <w:r>
        <w:rPr>
          <w:color w:val="231F20"/>
          <w:spacing w:val="-1"/>
        </w:rPr>
        <w:t>increasing</w:t>
      </w:r>
      <w:r>
        <w:rPr>
          <w:color w:val="231F20"/>
          <w:spacing w:val="-4"/>
        </w:rPr>
        <w:t> </w:t>
      </w:r>
      <w:r>
        <w:rPr>
          <w:color w:val="231F20"/>
        </w:rPr>
        <w:t>a</w:t>
      </w:r>
      <w:r>
        <w:rPr>
          <w:color w:val="231F20"/>
          <w:spacing w:val="-4"/>
        </w:rPr>
        <w:t> </w:t>
      </w:r>
      <w:r>
        <w:rPr>
          <w:color w:val="231F20"/>
          <w:spacing w:val="-1"/>
        </w:rPr>
        <w:t>sense</w:t>
      </w:r>
      <w:r>
        <w:rPr>
          <w:color w:val="231F20"/>
          <w:spacing w:val="-4"/>
        </w:rPr>
        <w:t> </w:t>
      </w:r>
      <w:r>
        <w:rPr>
          <w:color w:val="231F20"/>
        </w:rPr>
        <w:t>of</w:t>
      </w:r>
      <w:r>
        <w:rPr>
          <w:color w:val="231F20"/>
          <w:spacing w:val="-4"/>
        </w:rPr>
        <w:t> </w:t>
      </w:r>
      <w:r>
        <w:rPr>
          <w:color w:val="231F20"/>
          <w:spacing w:val="-1"/>
        </w:rPr>
        <w:t>lack</w:t>
      </w:r>
      <w:r>
        <w:rPr>
          <w:color w:val="231F20"/>
          <w:spacing w:val="-4"/>
        </w:rPr>
        <w:t> </w:t>
      </w:r>
      <w:r>
        <w:rPr>
          <w:color w:val="231F20"/>
        </w:rPr>
        <w:t>of</w:t>
      </w:r>
      <w:r>
        <w:rPr>
          <w:color w:val="231F20"/>
          <w:spacing w:val="-4"/>
        </w:rPr>
        <w:t> </w:t>
      </w:r>
      <w:r>
        <w:rPr>
          <w:color w:val="231F20"/>
        </w:rPr>
        <w:t>belonging</w:t>
      </w:r>
      <w:r>
        <w:rPr>
          <w:color w:val="231F20"/>
          <w:spacing w:val="-5"/>
        </w:rPr>
        <w:t> </w:t>
      </w:r>
      <w:r>
        <w:rPr>
          <w:color w:val="231F20"/>
        </w:rPr>
        <w:t>at</w:t>
      </w:r>
      <w:r>
        <w:rPr>
          <w:color w:val="231F20"/>
          <w:spacing w:val="24"/>
          <w:w w:val="99"/>
        </w:rPr>
        <w:t> </w:t>
      </w:r>
      <w:r>
        <w:rPr>
          <w:color w:val="231F20"/>
        </w:rPr>
        <w:t>boarding,</w:t>
      </w:r>
      <w:r>
        <w:rPr>
          <w:color w:val="231F20"/>
          <w:spacing w:val="-6"/>
        </w:rPr>
        <w:t> </w:t>
      </w:r>
      <w:r>
        <w:rPr>
          <w:color w:val="231F20"/>
        </w:rPr>
        <w:t>and</w:t>
      </w:r>
      <w:r>
        <w:rPr>
          <w:color w:val="231F20"/>
          <w:spacing w:val="-6"/>
        </w:rPr>
        <w:t> </w:t>
      </w:r>
      <w:r>
        <w:rPr>
          <w:color w:val="231F20"/>
        </w:rPr>
        <w:t>a</w:t>
      </w:r>
      <w:r>
        <w:rPr>
          <w:color w:val="231F20"/>
          <w:spacing w:val="-4"/>
        </w:rPr>
        <w:t> </w:t>
      </w:r>
      <w:r>
        <w:rPr>
          <w:color w:val="231F20"/>
        </w:rPr>
        <w:t>desire</w:t>
      </w:r>
      <w:r>
        <w:rPr>
          <w:color w:val="231F20"/>
          <w:spacing w:val="-6"/>
        </w:rPr>
        <w:t> </w:t>
      </w:r>
      <w:r>
        <w:rPr>
          <w:color w:val="231F20"/>
        </w:rPr>
        <w:t>to</w:t>
      </w:r>
      <w:r>
        <w:rPr>
          <w:color w:val="231F20"/>
          <w:spacing w:val="-5"/>
        </w:rPr>
        <w:t> </w:t>
      </w:r>
      <w:r>
        <w:rPr>
          <w:color w:val="231F20"/>
        </w:rPr>
        <w:t>go</w:t>
      </w:r>
      <w:r>
        <w:rPr>
          <w:color w:val="231F20"/>
          <w:spacing w:val="-4"/>
        </w:rPr>
        <w:t> </w:t>
      </w:r>
      <w:r>
        <w:rPr>
          <w:color w:val="231F20"/>
        </w:rPr>
        <w:t>home.</w:t>
      </w:r>
      <w:r>
        <w:rPr/>
      </w:r>
    </w:p>
    <w:p>
      <w:pPr>
        <w:pStyle w:val="BodyText"/>
        <w:spacing w:line="250" w:lineRule="exact" w:before="69"/>
        <w:ind w:left="106" w:right="180"/>
        <w:jc w:val="left"/>
      </w:pPr>
      <w:r>
        <w:rPr/>
        <w:br w:type="column"/>
      </w:r>
      <w:r>
        <w:rPr>
          <w:color w:val="231F20"/>
        </w:rPr>
        <w:t>A</w:t>
      </w:r>
      <w:r>
        <w:rPr>
          <w:color w:val="231F20"/>
          <w:spacing w:val="-5"/>
        </w:rPr>
        <w:t> </w:t>
      </w:r>
      <w:r>
        <w:rPr>
          <w:color w:val="231F20"/>
        </w:rPr>
        <w:t>number</w:t>
      </w:r>
      <w:r>
        <w:rPr>
          <w:color w:val="231F20"/>
          <w:spacing w:val="-5"/>
        </w:rPr>
        <w:t> </w:t>
      </w:r>
      <w:r>
        <w:rPr>
          <w:color w:val="231F20"/>
        </w:rPr>
        <w:t>of</w:t>
      </w:r>
      <w:r>
        <w:rPr>
          <w:color w:val="231F20"/>
          <w:spacing w:val="-4"/>
        </w:rPr>
        <w:t> </w:t>
      </w:r>
      <w:r>
        <w:rPr>
          <w:color w:val="231F20"/>
        </w:rPr>
        <w:t>boarding</w:t>
      </w:r>
      <w:r>
        <w:rPr>
          <w:color w:val="231F20"/>
          <w:spacing w:val="-5"/>
        </w:rPr>
        <w:t> </w:t>
      </w:r>
      <w:r>
        <w:rPr>
          <w:color w:val="231F20"/>
        </w:rPr>
        <w:t>providers</w:t>
      </w:r>
      <w:r>
        <w:rPr>
          <w:color w:val="231F20"/>
          <w:spacing w:val="-6"/>
        </w:rPr>
        <w:t> </w:t>
      </w:r>
      <w:r>
        <w:rPr>
          <w:color w:val="231F20"/>
          <w:spacing w:val="-1"/>
        </w:rPr>
        <w:t>spoke</w:t>
      </w:r>
      <w:r>
        <w:rPr>
          <w:color w:val="231F20"/>
          <w:spacing w:val="-4"/>
        </w:rPr>
        <w:t> </w:t>
      </w:r>
      <w:r>
        <w:rPr>
          <w:color w:val="231F20"/>
        </w:rPr>
        <w:t>of</w:t>
      </w:r>
      <w:r>
        <w:rPr>
          <w:color w:val="231F20"/>
          <w:spacing w:val="-4"/>
        </w:rPr>
        <w:t> </w:t>
      </w:r>
      <w:r>
        <w:rPr>
          <w:color w:val="231F20"/>
        </w:rPr>
        <w:t>the</w:t>
      </w:r>
      <w:r>
        <w:rPr>
          <w:color w:val="231F20"/>
          <w:spacing w:val="21"/>
          <w:w w:val="99"/>
        </w:rPr>
        <w:t> </w:t>
      </w:r>
      <w:r>
        <w:rPr>
          <w:color w:val="231F20"/>
        </w:rPr>
        <w:t>degrees</w:t>
      </w:r>
      <w:r>
        <w:rPr>
          <w:color w:val="231F20"/>
          <w:spacing w:val="-6"/>
        </w:rPr>
        <w:t> </w:t>
      </w:r>
      <w:r>
        <w:rPr>
          <w:color w:val="231F20"/>
        </w:rPr>
        <w:t>of</w:t>
      </w:r>
      <w:r>
        <w:rPr>
          <w:color w:val="231F20"/>
          <w:spacing w:val="-5"/>
        </w:rPr>
        <w:t> </w:t>
      </w:r>
      <w:r>
        <w:rPr>
          <w:color w:val="231F20"/>
        </w:rPr>
        <w:t>action</w:t>
      </w:r>
      <w:r>
        <w:rPr>
          <w:color w:val="231F20"/>
          <w:spacing w:val="-6"/>
        </w:rPr>
        <w:t> </w:t>
      </w:r>
      <w:r>
        <w:rPr>
          <w:color w:val="231F20"/>
        </w:rPr>
        <w:t>taken</w:t>
      </w:r>
      <w:r>
        <w:rPr>
          <w:color w:val="231F20"/>
          <w:spacing w:val="-6"/>
        </w:rPr>
        <w:t> </w:t>
      </w:r>
      <w:r>
        <w:rPr>
          <w:color w:val="231F20"/>
        </w:rPr>
        <w:t>by</w:t>
      </w:r>
      <w:r>
        <w:rPr>
          <w:color w:val="231F20"/>
          <w:spacing w:val="-5"/>
        </w:rPr>
        <w:t> </w:t>
      </w:r>
      <w:r>
        <w:rPr>
          <w:color w:val="231F20"/>
          <w:spacing w:val="-1"/>
        </w:rPr>
        <w:t>some</w:t>
      </w:r>
      <w:r>
        <w:rPr>
          <w:color w:val="231F20"/>
          <w:spacing w:val="-5"/>
        </w:rPr>
        <w:t> </w:t>
      </w:r>
      <w:r>
        <w:rPr>
          <w:color w:val="231F20"/>
        </w:rPr>
        <w:t>boarding</w:t>
      </w:r>
      <w:r>
        <w:rPr>
          <w:color w:val="231F20"/>
          <w:spacing w:val="21"/>
          <w:w w:val="99"/>
        </w:rPr>
        <w:t> </w:t>
      </w:r>
      <w:r>
        <w:rPr>
          <w:color w:val="231F20"/>
          <w:spacing w:val="-1"/>
        </w:rPr>
        <w:t>students</w:t>
      </w:r>
      <w:r>
        <w:rPr>
          <w:color w:val="231F20"/>
          <w:spacing w:val="-5"/>
        </w:rPr>
        <w:t> </w:t>
      </w:r>
      <w:r>
        <w:rPr>
          <w:color w:val="231F20"/>
        </w:rPr>
        <w:t>to</w:t>
      </w:r>
      <w:r>
        <w:rPr>
          <w:color w:val="231F20"/>
          <w:spacing w:val="-4"/>
        </w:rPr>
        <w:t> </w:t>
      </w:r>
      <w:r>
        <w:rPr>
          <w:color w:val="231F20"/>
        </w:rPr>
        <w:t>return</w:t>
      </w:r>
      <w:r>
        <w:rPr>
          <w:color w:val="231F20"/>
          <w:spacing w:val="-5"/>
        </w:rPr>
        <w:t> </w:t>
      </w:r>
      <w:r>
        <w:rPr>
          <w:color w:val="231F20"/>
        </w:rPr>
        <w:t>home</w:t>
      </w:r>
      <w:r>
        <w:rPr>
          <w:color w:val="231F20"/>
          <w:spacing w:val="-5"/>
        </w:rPr>
        <w:t> </w:t>
      </w:r>
      <w:r>
        <w:rPr>
          <w:color w:val="231F20"/>
        </w:rPr>
        <w:t>either</w:t>
      </w:r>
      <w:r>
        <w:rPr>
          <w:color w:val="231F20"/>
          <w:spacing w:val="-4"/>
        </w:rPr>
        <w:t> </w:t>
      </w:r>
      <w:r>
        <w:rPr>
          <w:color w:val="231F20"/>
        </w:rPr>
        <w:t>temporarily</w:t>
      </w:r>
      <w:r>
        <w:rPr>
          <w:color w:val="231F20"/>
          <w:spacing w:val="-4"/>
        </w:rPr>
        <w:t> </w:t>
      </w:r>
      <w:r>
        <w:rPr>
          <w:color w:val="231F20"/>
          <w:spacing w:val="-4"/>
        </w:rPr>
      </w:r>
      <w:r>
        <w:rPr>
          <w:color w:val="231F20"/>
        </w:rPr>
        <w:t>or</w:t>
      </w:r>
      <w:r>
        <w:rPr>
          <w:color w:val="231F20"/>
          <w:spacing w:val="22"/>
        </w:rPr>
        <w:t> </w:t>
      </w:r>
      <w:r>
        <w:rPr>
          <w:color w:val="231F20"/>
        </w:rPr>
        <w:t>permanently,</w:t>
      </w:r>
      <w:r>
        <w:rPr>
          <w:color w:val="231F20"/>
          <w:spacing w:val="-8"/>
        </w:rPr>
        <w:t> </w:t>
      </w:r>
      <w:r>
        <w:rPr>
          <w:color w:val="231F20"/>
          <w:spacing w:val="-1"/>
        </w:rPr>
        <w:t>including</w:t>
      </w:r>
      <w:r>
        <w:rPr>
          <w:color w:val="231F20"/>
          <w:spacing w:val="-6"/>
        </w:rPr>
        <w:t> </w:t>
      </w:r>
      <w:r>
        <w:rPr>
          <w:color w:val="231F20"/>
        </w:rPr>
        <w:t>action</w:t>
      </w:r>
      <w:r>
        <w:rPr>
          <w:color w:val="231F20"/>
          <w:spacing w:val="-7"/>
        </w:rPr>
        <w:t> </w:t>
      </w:r>
      <w:r>
        <w:rPr>
          <w:color w:val="231F20"/>
        </w:rPr>
        <w:t>that</w:t>
      </w:r>
      <w:r>
        <w:rPr>
          <w:color w:val="231F20"/>
          <w:spacing w:val="-7"/>
        </w:rPr>
        <w:t> </w:t>
      </w:r>
      <w:r>
        <w:rPr>
          <w:color w:val="231F20"/>
          <w:spacing w:val="-1"/>
        </w:rPr>
        <w:t>leads</w:t>
      </w:r>
      <w:r>
        <w:rPr>
          <w:color w:val="231F20"/>
          <w:spacing w:val="-6"/>
        </w:rPr>
        <w:t> </w:t>
      </w:r>
      <w:r>
        <w:rPr>
          <w:color w:val="231F20"/>
        </w:rPr>
        <w:t>to</w:t>
      </w:r>
      <w:r>
        <w:rPr>
          <w:color w:val="231F20"/>
          <w:spacing w:val="23"/>
          <w:w w:val="99"/>
        </w:rPr>
        <w:t> </w:t>
      </w:r>
      <w:r>
        <w:rPr>
          <w:color w:val="231F20"/>
        </w:rPr>
        <w:t>expulsion</w:t>
      </w:r>
      <w:r>
        <w:rPr>
          <w:color w:val="231F20"/>
          <w:spacing w:val="-2"/>
        </w:rPr>
        <w:t> </w:t>
      </w:r>
      <w:r>
        <w:rPr>
          <w:color w:val="231F20"/>
        </w:rPr>
        <w:t>or</w:t>
      </w:r>
      <w:r>
        <w:rPr>
          <w:color w:val="231F20"/>
          <w:spacing w:val="-1"/>
        </w:rPr>
        <w:t> suspension.</w:t>
      </w:r>
      <w:r>
        <w:rPr/>
      </w:r>
    </w:p>
    <w:p>
      <w:pPr>
        <w:pStyle w:val="BodyText"/>
        <w:spacing w:line="250" w:lineRule="exact" w:before="113"/>
        <w:ind w:left="106" w:right="174"/>
        <w:jc w:val="left"/>
      </w:pPr>
      <w:r>
        <w:rPr>
          <w:color w:val="231F20"/>
          <w:spacing w:val="-1"/>
        </w:rPr>
        <w:t>Boarding</w:t>
      </w:r>
      <w:r>
        <w:rPr>
          <w:color w:val="231F20"/>
          <w:spacing w:val="-10"/>
        </w:rPr>
        <w:t> </w:t>
      </w:r>
      <w:r>
        <w:rPr>
          <w:color w:val="231F20"/>
        </w:rPr>
        <w:t>providers</w:t>
      </w:r>
      <w:r>
        <w:rPr>
          <w:color w:val="231F20"/>
          <w:spacing w:val="-10"/>
        </w:rPr>
        <w:t> </w:t>
      </w:r>
      <w:r>
        <w:rPr>
          <w:color w:val="231F20"/>
          <w:spacing w:val="-1"/>
        </w:rPr>
        <w:t>indicated</w:t>
      </w:r>
      <w:r>
        <w:rPr>
          <w:color w:val="231F20"/>
          <w:spacing w:val="-10"/>
        </w:rPr>
        <w:t> </w:t>
      </w:r>
      <w:r>
        <w:rPr>
          <w:color w:val="231F20"/>
        </w:rPr>
        <w:t>that</w:t>
      </w:r>
      <w:r>
        <w:rPr>
          <w:color w:val="231F20"/>
          <w:spacing w:val="-10"/>
        </w:rPr>
        <w:t> </w:t>
      </w:r>
      <w:r>
        <w:rPr>
          <w:color w:val="231F20"/>
        </w:rPr>
        <w:t>addressing</w:t>
      </w:r>
      <w:r>
        <w:rPr>
          <w:color w:val="231F20"/>
          <w:spacing w:val="23"/>
          <w:w w:val="99"/>
        </w:rPr>
        <w:t> </w:t>
      </w:r>
      <w:r>
        <w:rPr>
          <w:color w:val="231F20"/>
        </w:rPr>
        <w:t>homesickness</w:t>
      </w:r>
      <w:r>
        <w:rPr>
          <w:color w:val="231F20"/>
          <w:spacing w:val="-6"/>
        </w:rPr>
        <w:t> </w:t>
      </w:r>
      <w:r>
        <w:rPr>
          <w:color w:val="231F20"/>
        </w:rPr>
        <w:t>and</w:t>
      </w:r>
      <w:r>
        <w:rPr>
          <w:color w:val="231F20"/>
          <w:spacing w:val="-6"/>
        </w:rPr>
        <w:t> </w:t>
      </w:r>
      <w:r>
        <w:rPr>
          <w:color w:val="231F20"/>
        </w:rPr>
        <w:t>disengagement</w:t>
      </w:r>
      <w:r>
        <w:rPr>
          <w:color w:val="231F20"/>
          <w:spacing w:val="-6"/>
        </w:rPr>
        <w:t> </w:t>
      </w:r>
      <w:r>
        <w:rPr>
          <w:color w:val="231F20"/>
          <w:spacing w:val="-1"/>
        </w:rPr>
        <w:t>is</w:t>
      </w:r>
      <w:r>
        <w:rPr>
          <w:color w:val="231F20"/>
          <w:spacing w:val="-6"/>
        </w:rPr>
        <w:t> </w:t>
      </w:r>
      <w:r>
        <w:rPr>
          <w:color w:val="231F20"/>
        </w:rPr>
        <w:t>an</w:t>
      </w:r>
      <w:r>
        <w:rPr>
          <w:color w:val="231F20"/>
          <w:spacing w:val="21"/>
          <w:w w:val="99"/>
        </w:rPr>
        <w:t> </w:t>
      </w:r>
      <w:r>
        <w:rPr>
          <w:color w:val="231F20"/>
          <w:spacing w:val="-1"/>
        </w:rPr>
        <w:t>important</w:t>
      </w:r>
      <w:r>
        <w:rPr>
          <w:color w:val="231F20"/>
          <w:spacing w:val="-7"/>
        </w:rPr>
        <w:t> </w:t>
      </w:r>
      <w:r>
        <w:rPr>
          <w:color w:val="231F20"/>
        </w:rPr>
        <w:t>factor</w:t>
      </w:r>
      <w:r>
        <w:rPr>
          <w:color w:val="231F20"/>
          <w:spacing w:val="-7"/>
        </w:rPr>
        <w:t> </w:t>
      </w:r>
      <w:r>
        <w:rPr>
          <w:color w:val="231F20"/>
          <w:spacing w:val="-1"/>
        </w:rPr>
        <w:t>in</w:t>
      </w:r>
      <w:r>
        <w:rPr>
          <w:color w:val="231F20"/>
          <w:spacing w:val="-7"/>
        </w:rPr>
        <w:t> </w:t>
      </w:r>
      <w:r>
        <w:rPr>
          <w:color w:val="231F20"/>
        </w:rPr>
        <w:t>ensuring</w:t>
      </w:r>
      <w:r>
        <w:rPr>
          <w:color w:val="231F20"/>
          <w:spacing w:val="-8"/>
        </w:rPr>
        <w:t> </w:t>
      </w:r>
      <w:r>
        <w:rPr>
          <w:color w:val="231F20"/>
        </w:rPr>
        <w:t>Aboriginal</w:t>
      </w:r>
      <w:r>
        <w:rPr>
          <w:color w:val="231F20"/>
          <w:spacing w:val="-6"/>
        </w:rPr>
        <w:t> </w:t>
      </w:r>
      <w:r>
        <w:rPr>
          <w:color w:val="231F20"/>
        </w:rPr>
        <w:t>and</w:t>
      </w:r>
      <w:r>
        <w:rPr>
          <w:color w:val="231F20"/>
          <w:spacing w:val="23"/>
          <w:w w:val="99"/>
        </w:rPr>
        <w:t> </w:t>
      </w:r>
      <w:r>
        <w:rPr>
          <w:color w:val="231F20"/>
          <w:spacing w:val="-5"/>
        </w:rPr>
        <w:t>Torres</w:t>
      </w:r>
      <w:r>
        <w:rPr>
          <w:color w:val="231F20"/>
          <w:spacing w:val="-3"/>
        </w:rPr>
        <w:t> </w:t>
      </w:r>
      <w:r>
        <w:rPr>
          <w:color w:val="231F20"/>
          <w:spacing w:val="-2"/>
        </w:rPr>
        <w:t>Strait</w:t>
      </w:r>
      <w:r>
        <w:rPr>
          <w:color w:val="231F20"/>
          <w:spacing w:val="-3"/>
        </w:rPr>
        <w:t> </w:t>
      </w:r>
      <w:r>
        <w:rPr>
          <w:color w:val="231F20"/>
          <w:spacing w:val="-1"/>
        </w:rPr>
        <w:t>Islander</w:t>
      </w:r>
      <w:r>
        <w:rPr>
          <w:color w:val="231F20"/>
          <w:spacing w:val="-2"/>
        </w:rPr>
        <w:t> </w:t>
      </w:r>
      <w:r>
        <w:rPr>
          <w:color w:val="231F20"/>
          <w:spacing w:val="-1"/>
        </w:rPr>
        <w:t>students</w:t>
      </w:r>
      <w:r>
        <w:rPr>
          <w:color w:val="231F20"/>
          <w:spacing w:val="-2"/>
        </w:rPr>
        <w:t> </w:t>
      </w:r>
      <w:r>
        <w:rPr>
          <w:color w:val="231F20"/>
        </w:rPr>
        <w:t>are</w:t>
      </w:r>
      <w:r>
        <w:rPr>
          <w:color w:val="231F20"/>
          <w:spacing w:val="-3"/>
        </w:rPr>
        <w:t> </w:t>
      </w:r>
      <w:r>
        <w:rPr>
          <w:color w:val="231F20"/>
          <w:spacing w:val="-1"/>
        </w:rPr>
        <w:t>successful in</w:t>
      </w:r>
      <w:r>
        <w:rPr>
          <w:color w:val="231F20"/>
          <w:spacing w:val="24"/>
        </w:rPr>
        <w:t> </w:t>
      </w:r>
      <w:r>
        <w:rPr>
          <w:color w:val="231F20"/>
        </w:rPr>
        <w:t>boarding.</w:t>
      </w:r>
      <w:r>
        <w:rPr/>
      </w:r>
    </w:p>
    <w:p>
      <w:pPr>
        <w:spacing w:line="240" w:lineRule="auto" w:before="10"/>
        <w:rPr>
          <w:rFonts w:ascii="Segoe UI" w:hAnsi="Segoe UI" w:cs="Segoe UI" w:eastAsia="Segoe UI"/>
          <w:sz w:val="20"/>
          <w:szCs w:val="20"/>
        </w:rPr>
      </w:pPr>
    </w:p>
    <w:p>
      <w:pPr>
        <w:spacing w:line="200" w:lineRule="atLeast"/>
        <w:ind w:left="106" w:right="0" w:firstLine="0"/>
        <w:rPr>
          <w:rFonts w:ascii="Segoe UI" w:hAnsi="Segoe UI" w:cs="Segoe UI" w:eastAsia="Segoe UI"/>
          <w:sz w:val="20"/>
          <w:szCs w:val="20"/>
        </w:rPr>
      </w:pPr>
      <w:r>
        <w:rPr>
          <w:rFonts w:ascii="Segoe UI" w:hAnsi="Segoe UI" w:cs="Segoe UI" w:eastAsia="Segoe UI"/>
          <w:sz w:val="20"/>
          <w:szCs w:val="20"/>
        </w:rPr>
        <w:pict>
          <v:group style="width:209.8pt;height:14.2pt;mso-position-horizontal-relative:char;mso-position-vertical-relative:line" coordorigin="0,0" coordsize="4196,284">
            <v:group style="position:absolute;left:283;top:0;width:3912;height:284" coordorigin="283,0" coordsize="3912,284">
              <v:shape style="position:absolute;left:283;top:0;width:3912;height:284" coordorigin="283,0" coordsize="3912,284" path="m283,283l4195,283,4195,0,283,0,283,283xe" filled="true" fillcolor="#97bf3d" stroked="false">
                <v:path arrowok="t"/>
                <v:fill type="solid"/>
              </v:shape>
            </v:group>
            <v:group style="position:absolute;left:0;top:0;width:284;height:284" coordorigin="0,0" coordsize="284,284">
              <v:shape style="position:absolute;left:0;top:0;width:284;height:284" coordorigin="0,0" coordsize="284,284" path="m0,283l283,283,283,0,0,0,0,283xe" filled="true" fillcolor="#67973f" stroked="false">
                <v:path arrowok="t"/>
                <v:fill type="solid"/>
              </v:shape>
              <v:shape style="position:absolute;left:0;top:0;width:4196;height:284" type="#_x0000_t202" filled="false" stroked="false">
                <v:textbox inset="0,0,0,0">
                  <w:txbxContent>
                    <w:p>
                      <w:pPr>
                        <w:spacing w:before="5"/>
                        <w:ind w:left="368" w:right="0" w:firstLine="0"/>
                        <w:jc w:val="left"/>
                        <w:rPr>
                          <w:rFonts w:ascii="Segoe UI" w:hAnsi="Segoe UI" w:cs="Segoe UI" w:eastAsia="Segoe UI"/>
                          <w:sz w:val="18"/>
                          <w:szCs w:val="18"/>
                        </w:rPr>
                      </w:pPr>
                      <w:r>
                        <w:rPr>
                          <w:rFonts w:ascii="Segoe UI"/>
                          <w:b/>
                          <w:i/>
                          <w:color w:val="FFFFFF"/>
                          <w:spacing w:val="-1"/>
                          <w:sz w:val="18"/>
                        </w:rPr>
                        <w:t>Case</w:t>
                      </w:r>
                      <w:r>
                        <w:rPr>
                          <w:rFonts w:ascii="Segoe UI"/>
                          <w:b/>
                          <w:i/>
                          <w:color w:val="FFFFFF"/>
                          <w:spacing w:val="-4"/>
                          <w:sz w:val="18"/>
                        </w:rPr>
                        <w:t> </w:t>
                      </w:r>
                      <w:r>
                        <w:rPr>
                          <w:rFonts w:ascii="Segoe UI"/>
                          <w:b/>
                          <w:i/>
                          <w:color w:val="FFFFFF"/>
                          <w:sz w:val="18"/>
                        </w:rPr>
                        <w:t>study</w:t>
                      </w:r>
                      <w:r>
                        <w:rPr>
                          <w:rFonts w:ascii="Segoe UI"/>
                          <w:b/>
                          <w:i/>
                          <w:color w:val="FFFFFF"/>
                          <w:spacing w:val="-5"/>
                          <w:sz w:val="18"/>
                        </w:rPr>
                        <w:t> </w:t>
                      </w:r>
                      <w:r>
                        <w:rPr>
                          <w:rFonts w:ascii="Segoe UI"/>
                          <w:b/>
                          <w:i/>
                          <w:color w:val="FFFFFF"/>
                          <w:sz w:val="18"/>
                        </w:rPr>
                        <w:t>1</w:t>
                      </w:r>
                      <w:r>
                        <w:rPr>
                          <w:rFonts w:ascii="Segoe UI"/>
                          <w:sz w:val="18"/>
                        </w:rPr>
                      </w:r>
                    </w:p>
                  </w:txbxContent>
                </v:textbox>
                <w10:wrap type="none"/>
              </v:shape>
            </v:group>
          </v:group>
        </w:pict>
      </w:r>
      <w:r>
        <w:rPr>
          <w:rFonts w:ascii="Segoe UI" w:hAnsi="Segoe UI" w:cs="Segoe UI" w:eastAsia="Segoe UI"/>
          <w:sz w:val="20"/>
          <w:szCs w:val="20"/>
        </w:rPr>
      </w:r>
    </w:p>
    <w:p>
      <w:pPr>
        <w:pStyle w:val="Heading6"/>
        <w:spacing w:line="240" w:lineRule="auto" w:before="124"/>
        <w:ind w:left="106" w:right="0"/>
        <w:jc w:val="left"/>
        <w:rPr>
          <w:b w:val="0"/>
          <w:bCs w:val="0"/>
        </w:rPr>
      </w:pPr>
      <w:r>
        <w:rPr>
          <w:color w:val="67973F"/>
          <w:spacing w:val="-2"/>
        </w:rPr>
        <w:t>Restorative </w:t>
      </w:r>
      <w:r>
        <w:rPr>
          <w:color w:val="67973F"/>
          <w:spacing w:val="-1"/>
        </w:rPr>
        <w:t>practices</w:t>
      </w:r>
      <w:r>
        <w:rPr>
          <w:b w:val="0"/>
        </w:rPr>
      </w:r>
    </w:p>
    <w:p>
      <w:pPr>
        <w:pStyle w:val="BodyText"/>
        <w:spacing w:line="252" w:lineRule="auto" w:before="127"/>
        <w:ind w:left="106" w:right="180"/>
        <w:jc w:val="left"/>
      </w:pPr>
      <w:r>
        <w:rPr>
          <w:color w:val="67973F"/>
          <w:spacing w:val="-1"/>
        </w:rPr>
        <w:t>In</w:t>
      </w:r>
      <w:r>
        <w:rPr>
          <w:color w:val="67973F"/>
          <w:spacing w:val="-4"/>
        </w:rPr>
        <w:t> </w:t>
      </w:r>
      <w:r>
        <w:rPr>
          <w:color w:val="67973F"/>
          <w:spacing w:val="-1"/>
        </w:rPr>
        <w:t>2012</w:t>
      </w:r>
      <w:r>
        <w:rPr>
          <w:color w:val="67973F"/>
          <w:spacing w:val="-3"/>
        </w:rPr>
        <w:t> </w:t>
      </w:r>
      <w:r>
        <w:rPr>
          <w:color w:val="67973F"/>
        </w:rPr>
        <w:t>Tiwi</w:t>
      </w:r>
      <w:r>
        <w:rPr>
          <w:color w:val="67973F"/>
          <w:spacing w:val="-4"/>
        </w:rPr>
        <w:t> </w:t>
      </w:r>
      <w:r>
        <w:rPr>
          <w:color w:val="67973F"/>
          <w:spacing w:val="-1"/>
        </w:rPr>
        <w:t>College</w:t>
      </w:r>
      <w:r>
        <w:rPr>
          <w:color w:val="67973F"/>
          <w:spacing w:val="-3"/>
        </w:rPr>
        <w:t> </w:t>
      </w:r>
      <w:r>
        <w:rPr>
          <w:color w:val="67973F"/>
          <w:spacing w:val="-1"/>
        </w:rPr>
        <w:t>in</w:t>
      </w:r>
      <w:r>
        <w:rPr>
          <w:color w:val="67973F"/>
          <w:spacing w:val="-3"/>
        </w:rPr>
        <w:t> </w:t>
      </w:r>
      <w:r>
        <w:rPr>
          <w:color w:val="67973F"/>
        </w:rPr>
        <w:t>the</w:t>
      </w:r>
      <w:r>
        <w:rPr>
          <w:color w:val="67973F"/>
          <w:spacing w:val="-4"/>
        </w:rPr>
        <w:t> </w:t>
      </w:r>
      <w:r>
        <w:rPr>
          <w:color w:val="67973F"/>
        </w:rPr>
        <w:t>Northern</w:t>
      </w:r>
      <w:r>
        <w:rPr>
          <w:color w:val="67973F"/>
          <w:spacing w:val="-3"/>
        </w:rPr>
        <w:t> Territory</w:t>
      </w:r>
      <w:r>
        <w:rPr>
          <w:color w:val="67973F"/>
          <w:spacing w:val="23"/>
          <w:w w:val="99"/>
        </w:rPr>
        <w:t> </w:t>
      </w:r>
      <w:r>
        <w:rPr>
          <w:color w:val="67973F"/>
          <w:spacing w:val="-1"/>
        </w:rPr>
        <w:t>introduced</w:t>
      </w:r>
      <w:r>
        <w:rPr>
          <w:color w:val="67973F"/>
          <w:spacing w:val="-8"/>
        </w:rPr>
        <w:t> </w:t>
      </w:r>
      <w:r>
        <w:rPr>
          <w:color w:val="67973F"/>
          <w:spacing w:val="-1"/>
        </w:rPr>
        <w:t>its</w:t>
      </w:r>
      <w:r>
        <w:rPr>
          <w:color w:val="67973F"/>
          <w:spacing w:val="-7"/>
        </w:rPr>
        <w:t> </w:t>
      </w:r>
      <w:r>
        <w:rPr>
          <w:color w:val="67973F"/>
        </w:rPr>
        <w:t>Tiwi</w:t>
      </w:r>
      <w:r>
        <w:rPr>
          <w:color w:val="67973F"/>
          <w:spacing w:val="-9"/>
        </w:rPr>
        <w:t> </w:t>
      </w:r>
      <w:r>
        <w:rPr>
          <w:color w:val="67973F"/>
          <w:spacing w:val="-1"/>
        </w:rPr>
        <w:t>Restorative</w:t>
      </w:r>
      <w:r>
        <w:rPr>
          <w:color w:val="67973F"/>
          <w:spacing w:val="-8"/>
        </w:rPr>
        <w:t> </w:t>
      </w:r>
      <w:r>
        <w:rPr>
          <w:color w:val="67973F"/>
          <w:spacing w:val="-1"/>
        </w:rPr>
        <w:t>Practices</w:t>
      </w:r>
      <w:r>
        <w:rPr>
          <w:color w:val="67973F"/>
          <w:spacing w:val="26"/>
          <w:w w:val="99"/>
        </w:rPr>
        <w:t> </w:t>
      </w:r>
      <w:r>
        <w:rPr>
          <w:color w:val="67973F"/>
        </w:rPr>
        <w:t>framework</w:t>
      </w:r>
      <w:r>
        <w:rPr>
          <w:color w:val="67973F"/>
          <w:spacing w:val="-3"/>
        </w:rPr>
        <w:t> </w:t>
      </w:r>
      <w:r>
        <w:rPr>
          <w:color w:val="67973F"/>
        </w:rPr>
        <w:t>to</w:t>
      </w:r>
      <w:r>
        <w:rPr>
          <w:color w:val="67973F"/>
          <w:spacing w:val="-3"/>
        </w:rPr>
        <w:t> </w:t>
      </w:r>
      <w:r>
        <w:rPr>
          <w:color w:val="67973F"/>
        </w:rPr>
        <w:t>build</w:t>
      </w:r>
      <w:r>
        <w:rPr>
          <w:color w:val="67973F"/>
          <w:spacing w:val="-4"/>
        </w:rPr>
        <w:t> </w:t>
      </w:r>
      <w:r>
        <w:rPr>
          <w:color w:val="67973F"/>
        </w:rPr>
        <w:t>positive</w:t>
      </w:r>
      <w:r>
        <w:rPr>
          <w:color w:val="67973F"/>
          <w:spacing w:val="-4"/>
        </w:rPr>
        <w:t> </w:t>
      </w:r>
      <w:r>
        <w:rPr>
          <w:color w:val="67973F"/>
        </w:rPr>
        <w:t>relationships</w:t>
      </w:r>
      <w:r>
        <w:rPr>
          <w:color w:val="67973F"/>
          <w:spacing w:val="-5"/>
        </w:rPr>
        <w:t> </w:t>
      </w:r>
      <w:r>
        <w:rPr>
          <w:color w:val="67973F"/>
        </w:rPr>
        <w:t>and</w:t>
      </w:r>
      <w:r>
        <w:rPr>
          <w:color w:val="67973F"/>
          <w:w w:val="99"/>
        </w:rPr>
        <w:t> </w:t>
      </w:r>
      <w:r>
        <w:rPr>
          <w:color w:val="67973F"/>
        </w:rPr>
        <w:t>trust</w:t>
      </w:r>
      <w:r>
        <w:rPr>
          <w:color w:val="67973F"/>
          <w:spacing w:val="-5"/>
        </w:rPr>
        <w:t> </w:t>
      </w:r>
      <w:r>
        <w:rPr>
          <w:color w:val="67973F"/>
        </w:rPr>
        <w:t>with</w:t>
      </w:r>
      <w:r>
        <w:rPr>
          <w:color w:val="67973F"/>
          <w:spacing w:val="-4"/>
        </w:rPr>
        <w:t> </w:t>
      </w:r>
      <w:r>
        <w:rPr>
          <w:color w:val="67973F"/>
          <w:spacing w:val="-1"/>
        </w:rPr>
        <w:t>students</w:t>
      </w:r>
      <w:r>
        <w:rPr>
          <w:color w:val="67973F"/>
          <w:spacing w:val="-3"/>
        </w:rPr>
        <w:t> </w:t>
      </w:r>
      <w:r>
        <w:rPr>
          <w:color w:val="67973F"/>
        </w:rPr>
        <w:t>and</w:t>
      </w:r>
      <w:r>
        <w:rPr>
          <w:color w:val="67973F"/>
          <w:spacing w:val="-4"/>
        </w:rPr>
        <w:t> </w:t>
      </w:r>
      <w:r>
        <w:rPr>
          <w:color w:val="67973F"/>
        </w:rPr>
        <w:t>their</w:t>
      </w:r>
      <w:r>
        <w:rPr>
          <w:color w:val="67973F"/>
          <w:spacing w:val="-4"/>
        </w:rPr>
        <w:t> </w:t>
      </w:r>
      <w:r>
        <w:rPr>
          <w:color w:val="67973F"/>
        </w:rPr>
        <w:t>families</w:t>
      </w:r>
      <w:r>
        <w:rPr>
          <w:color w:val="67973F"/>
          <w:spacing w:val="-4"/>
        </w:rPr>
        <w:t> </w:t>
      </w:r>
      <w:r>
        <w:rPr>
          <w:color w:val="67973F"/>
        </w:rPr>
        <w:t>and</w:t>
      </w:r>
      <w:r>
        <w:rPr>
          <w:color w:val="67973F"/>
          <w:spacing w:val="22"/>
          <w:w w:val="99"/>
        </w:rPr>
        <w:t> </w:t>
      </w:r>
      <w:r>
        <w:rPr>
          <w:color w:val="67973F"/>
        </w:rPr>
        <w:t>communities.</w:t>
      </w:r>
      <w:r>
        <w:rPr>
          <w:color w:val="67973F"/>
          <w:spacing w:val="-8"/>
        </w:rPr>
        <w:t> </w:t>
      </w:r>
      <w:r>
        <w:rPr>
          <w:color w:val="67973F"/>
          <w:spacing w:val="-1"/>
        </w:rPr>
        <w:t>It</w:t>
      </w:r>
      <w:r>
        <w:rPr>
          <w:color w:val="67973F"/>
          <w:spacing w:val="-7"/>
        </w:rPr>
        <w:t> </w:t>
      </w:r>
      <w:r>
        <w:rPr>
          <w:color w:val="67973F"/>
          <w:spacing w:val="-1"/>
        </w:rPr>
        <w:t>incorporates</w:t>
      </w:r>
      <w:r>
        <w:rPr>
          <w:color w:val="67973F"/>
          <w:spacing w:val="-6"/>
        </w:rPr>
        <w:t> </w:t>
      </w:r>
      <w:r>
        <w:rPr>
          <w:color w:val="67973F"/>
        </w:rPr>
        <w:t>an</w:t>
      </w:r>
      <w:r>
        <w:rPr>
          <w:color w:val="67973F"/>
          <w:spacing w:val="-8"/>
        </w:rPr>
        <w:t> </w:t>
      </w:r>
      <w:r>
        <w:rPr>
          <w:color w:val="67973F"/>
        </w:rPr>
        <w:t>understanding</w:t>
      </w:r>
      <w:r>
        <w:rPr>
          <w:color w:val="67973F"/>
          <w:spacing w:val="23"/>
          <w:w w:val="99"/>
        </w:rPr>
        <w:t> </w:t>
      </w:r>
      <w:r>
        <w:rPr>
          <w:color w:val="67973F"/>
        </w:rPr>
        <w:t>of</w:t>
      </w:r>
      <w:r>
        <w:rPr>
          <w:color w:val="67973F"/>
          <w:spacing w:val="-5"/>
        </w:rPr>
        <w:t> </w:t>
      </w:r>
      <w:r>
        <w:rPr>
          <w:color w:val="67973F"/>
        </w:rPr>
        <w:t>the</w:t>
      </w:r>
      <w:r>
        <w:rPr>
          <w:color w:val="67973F"/>
          <w:spacing w:val="-6"/>
        </w:rPr>
        <w:t> </w:t>
      </w:r>
      <w:r>
        <w:rPr>
          <w:color w:val="67973F"/>
        </w:rPr>
        <w:t>cultural</w:t>
      </w:r>
      <w:r>
        <w:rPr>
          <w:color w:val="67973F"/>
          <w:spacing w:val="-6"/>
        </w:rPr>
        <w:t> </w:t>
      </w:r>
      <w:r>
        <w:rPr>
          <w:color w:val="67973F"/>
        </w:rPr>
        <w:t>context</w:t>
      </w:r>
      <w:r>
        <w:rPr>
          <w:color w:val="67973F"/>
          <w:spacing w:val="-5"/>
        </w:rPr>
        <w:t> </w:t>
      </w:r>
      <w:r>
        <w:rPr>
          <w:color w:val="67973F"/>
        </w:rPr>
        <w:t>of</w:t>
      </w:r>
      <w:r>
        <w:rPr>
          <w:color w:val="67973F"/>
          <w:spacing w:val="-5"/>
        </w:rPr>
        <w:t> </w:t>
      </w:r>
      <w:r>
        <w:rPr>
          <w:color w:val="67973F"/>
        </w:rPr>
        <w:t>Tiwi</w:t>
      </w:r>
      <w:r>
        <w:rPr>
          <w:color w:val="67973F"/>
          <w:spacing w:val="-6"/>
        </w:rPr>
        <w:t> </w:t>
      </w:r>
      <w:r>
        <w:rPr>
          <w:color w:val="67973F"/>
        </w:rPr>
        <w:t>people.</w:t>
      </w:r>
      <w:r>
        <w:rPr>
          <w:color w:val="67973F"/>
          <w:spacing w:val="-5"/>
        </w:rPr>
        <w:t> </w:t>
      </w:r>
      <w:r>
        <w:rPr>
          <w:color w:val="67973F"/>
        </w:rPr>
        <w:t>The</w:t>
      </w:r>
      <w:r>
        <w:rPr>
          <w:color w:val="67973F"/>
          <w:w w:val="99"/>
        </w:rPr>
        <w:t> </w:t>
      </w:r>
      <w:r>
        <w:rPr>
          <w:rFonts w:ascii="Segoe UI"/>
          <w:color w:val="67973F"/>
        </w:rPr>
        <w:t>framework</w:t>
      </w:r>
      <w:r>
        <w:rPr>
          <w:rFonts w:ascii="Segoe UI"/>
          <w:color w:val="67973F"/>
          <w:spacing w:val="-1"/>
        </w:rPr>
        <w:t> </w:t>
      </w:r>
      <w:r>
        <w:rPr>
          <w:rFonts w:ascii="Segoe UI"/>
          <w:color w:val="67973F"/>
        </w:rPr>
        <w:t>is</w:t>
      </w:r>
      <w:r>
        <w:rPr>
          <w:rFonts w:ascii="Segoe UI"/>
          <w:color w:val="67973F"/>
          <w:spacing w:val="-1"/>
        </w:rPr>
        <w:t> </w:t>
      </w:r>
      <w:r>
        <w:rPr>
          <w:rFonts w:ascii="Segoe UI"/>
          <w:color w:val="67973F"/>
        </w:rPr>
        <w:t>built into</w:t>
      </w:r>
      <w:r>
        <w:rPr>
          <w:rFonts w:ascii="Segoe UI"/>
          <w:color w:val="67973F"/>
          <w:spacing w:val="-1"/>
        </w:rPr>
        <w:t> </w:t>
      </w:r>
      <w:r>
        <w:rPr>
          <w:rFonts w:ascii="Segoe UI"/>
          <w:color w:val="67973F"/>
        </w:rPr>
        <w:t>the induction</w:t>
      </w:r>
      <w:r>
        <w:rPr>
          <w:rFonts w:ascii="Segoe UI"/>
          <w:color w:val="67973F"/>
          <w:spacing w:val="-1"/>
        </w:rPr>
        <w:t> </w:t>
      </w:r>
      <w:r>
        <w:rPr>
          <w:rFonts w:ascii="Segoe UI"/>
          <w:color w:val="67973F"/>
        </w:rPr>
        <w:t>of staff</w:t>
      </w:r>
      <w:r>
        <w:rPr>
          <w:rFonts w:ascii="Segoe UI"/>
          <w:color w:val="67973F"/>
          <w:w w:val="99"/>
        </w:rPr>
        <w:t> </w:t>
      </w:r>
      <w:r>
        <w:rPr>
          <w:color w:val="67973F"/>
        </w:rPr>
        <w:t>and</w:t>
      </w:r>
      <w:r>
        <w:rPr>
          <w:color w:val="67973F"/>
          <w:spacing w:val="-5"/>
        </w:rPr>
        <w:t> </w:t>
      </w:r>
      <w:r>
        <w:rPr>
          <w:color w:val="67973F"/>
          <w:spacing w:val="-1"/>
        </w:rPr>
        <w:t>students.</w:t>
      </w:r>
      <w:r>
        <w:rPr>
          <w:color w:val="67973F"/>
          <w:spacing w:val="-2"/>
        </w:rPr>
        <w:t> </w:t>
      </w:r>
      <w:r>
        <w:rPr>
          <w:color w:val="67973F"/>
          <w:spacing w:val="-1"/>
        </w:rPr>
        <w:t>Combined</w:t>
      </w:r>
      <w:r>
        <w:rPr>
          <w:color w:val="67973F"/>
          <w:spacing w:val="-3"/>
        </w:rPr>
        <w:t> </w:t>
      </w:r>
      <w:r>
        <w:rPr>
          <w:color w:val="67973F"/>
        </w:rPr>
        <w:t>with</w:t>
      </w:r>
      <w:r>
        <w:rPr>
          <w:color w:val="67973F"/>
          <w:spacing w:val="-4"/>
        </w:rPr>
        <w:t> </w:t>
      </w:r>
      <w:r>
        <w:rPr>
          <w:color w:val="67973F"/>
        </w:rPr>
        <w:t>the</w:t>
      </w:r>
      <w:r>
        <w:rPr>
          <w:color w:val="67973F"/>
          <w:spacing w:val="-4"/>
        </w:rPr>
        <w:t> </w:t>
      </w:r>
      <w:r>
        <w:rPr>
          <w:color w:val="67973F"/>
          <w:spacing w:val="-1"/>
        </w:rPr>
        <w:t>Cert</w:t>
      </w:r>
      <w:r>
        <w:rPr>
          <w:color w:val="67973F"/>
          <w:spacing w:val="-3"/>
        </w:rPr>
        <w:t> </w:t>
      </w:r>
      <w:r>
        <w:rPr>
          <w:color w:val="67973F"/>
          <w:spacing w:val="-1"/>
        </w:rPr>
        <w:t>IV</w:t>
      </w:r>
      <w:r>
        <w:rPr>
          <w:color w:val="67973F"/>
          <w:spacing w:val="-3"/>
        </w:rPr>
        <w:t> </w:t>
      </w:r>
      <w:r>
        <w:rPr>
          <w:color w:val="67973F"/>
          <w:spacing w:val="-1"/>
        </w:rPr>
        <w:t>in</w:t>
      </w:r>
      <w:r>
        <w:rPr>
          <w:color w:val="67973F"/>
          <w:spacing w:val="24"/>
        </w:rPr>
        <w:t> </w:t>
      </w:r>
      <w:r>
        <w:rPr>
          <w:color w:val="67973F"/>
          <w:spacing w:val="-1"/>
        </w:rPr>
        <w:t>Community</w:t>
      </w:r>
      <w:r>
        <w:rPr>
          <w:color w:val="67973F"/>
          <w:spacing w:val="-3"/>
        </w:rPr>
        <w:t> </w:t>
      </w:r>
      <w:r>
        <w:rPr>
          <w:color w:val="67973F"/>
          <w:spacing w:val="-1"/>
        </w:rPr>
        <w:t>Services:</w:t>
      </w:r>
      <w:r>
        <w:rPr>
          <w:color w:val="67973F"/>
          <w:spacing w:val="-2"/>
        </w:rPr>
        <w:t> </w:t>
      </w:r>
      <w:r>
        <w:rPr>
          <w:color w:val="67973F"/>
          <w:spacing w:val="-1"/>
        </w:rPr>
        <w:t>Student</w:t>
      </w:r>
      <w:r>
        <w:rPr>
          <w:color w:val="67973F"/>
          <w:spacing w:val="-4"/>
        </w:rPr>
        <w:t> </w:t>
      </w:r>
      <w:r>
        <w:rPr>
          <w:color w:val="67973F"/>
          <w:spacing w:val="-1"/>
        </w:rPr>
        <w:t>Residential</w:t>
      </w:r>
      <w:r>
        <w:rPr>
          <w:color w:val="67973F"/>
          <w:spacing w:val="-3"/>
        </w:rPr>
        <w:t> </w:t>
      </w:r>
      <w:r>
        <w:rPr>
          <w:color w:val="67973F"/>
          <w:spacing w:val="-1"/>
        </w:rPr>
        <w:t>Care</w:t>
      </w:r>
      <w:r>
        <w:rPr>
          <w:color w:val="67973F"/>
          <w:spacing w:val="27"/>
          <w:w w:val="99"/>
        </w:rPr>
        <w:t> </w:t>
      </w:r>
      <w:r>
        <w:rPr>
          <w:rFonts w:ascii="Segoe UI"/>
          <w:color w:val="67973F"/>
        </w:rPr>
        <w:t>for</w:t>
      </w:r>
      <w:r>
        <w:rPr>
          <w:rFonts w:ascii="Segoe UI"/>
          <w:color w:val="67973F"/>
          <w:spacing w:val="-1"/>
        </w:rPr>
        <w:t> </w:t>
      </w:r>
      <w:r>
        <w:rPr>
          <w:rFonts w:ascii="Segoe UI"/>
          <w:color w:val="67973F"/>
        </w:rPr>
        <w:t>staff</w:t>
      </w:r>
      <w:r>
        <w:rPr>
          <w:rFonts w:ascii="Segoe UI"/>
          <w:color w:val="67973F"/>
          <w:spacing w:val="-1"/>
        </w:rPr>
        <w:t> </w:t>
      </w:r>
      <w:r>
        <w:rPr>
          <w:rFonts w:ascii="Segoe UI"/>
          <w:color w:val="67973F"/>
        </w:rPr>
        <w:t>it has</w:t>
      </w:r>
      <w:r>
        <w:rPr>
          <w:rFonts w:ascii="Segoe UI"/>
          <w:color w:val="67973F"/>
          <w:spacing w:val="-1"/>
        </w:rPr>
        <w:t> </w:t>
      </w:r>
      <w:r>
        <w:rPr>
          <w:rFonts w:ascii="Segoe UI"/>
          <w:color w:val="67973F"/>
        </w:rPr>
        <w:t>reduced</w:t>
      </w:r>
      <w:r>
        <w:rPr>
          <w:rFonts w:ascii="Segoe UI"/>
          <w:color w:val="67973F"/>
          <w:spacing w:val="-1"/>
        </w:rPr>
        <w:t> </w:t>
      </w:r>
      <w:r>
        <w:rPr>
          <w:rFonts w:ascii="Segoe UI"/>
          <w:color w:val="67973F"/>
        </w:rPr>
        <w:t>homesickness and</w:t>
      </w:r>
      <w:r>
        <w:rPr>
          <w:rFonts w:ascii="Segoe UI"/>
          <w:color w:val="67973F"/>
        </w:rPr>
        <w:t> </w:t>
      </w:r>
      <w:r>
        <w:rPr>
          <w:color w:val="67973F"/>
          <w:spacing w:val="-1"/>
        </w:rPr>
        <w:t>suspensions,</w:t>
      </w:r>
      <w:r>
        <w:rPr>
          <w:color w:val="67973F"/>
          <w:spacing w:val="-5"/>
        </w:rPr>
        <w:t> </w:t>
      </w:r>
      <w:r>
        <w:rPr>
          <w:color w:val="67973F"/>
          <w:spacing w:val="-1"/>
        </w:rPr>
        <w:t>increased</w:t>
      </w:r>
      <w:r>
        <w:rPr>
          <w:color w:val="67973F"/>
          <w:spacing w:val="-5"/>
        </w:rPr>
        <w:t> </w:t>
      </w:r>
      <w:r>
        <w:rPr>
          <w:color w:val="67973F"/>
        </w:rPr>
        <w:t>attendance</w:t>
      </w:r>
      <w:r>
        <w:rPr>
          <w:color w:val="67973F"/>
          <w:spacing w:val="-7"/>
        </w:rPr>
        <w:t> </w:t>
      </w:r>
      <w:r>
        <w:rPr>
          <w:color w:val="67973F"/>
        </w:rPr>
        <w:t>and</w:t>
      </w:r>
      <w:r>
        <w:rPr>
          <w:color w:val="67973F"/>
          <w:spacing w:val="-6"/>
        </w:rPr>
        <w:t> </w:t>
      </w:r>
      <w:r>
        <w:rPr>
          <w:color w:val="67973F"/>
          <w:spacing w:val="-1"/>
        </w:rPr>
        <w:t>instilled</w:t>
      </w:r>
      <w:r>
        <w:rPr>
          <w:color w:val="67973F"/>
          <w:spacing w:val="22"/>
        </w:rPr>
        <w:t> </w:t>
      </w:r>
      <w:r>
        <w:rPr>
          <w:color w:val="67973F"/>
        </w:rPr>
        <w:t>trust</w:t>
      </w:r>
      <w:r>
        <w:rPr>
          <w:color w:val="67973F"/>
          <w:spacing w:val="-5"/>
        </w:rPr>
        <w:t> </w:t>
      </w:r>
      <w:r>
        <w:rPr>
          <w:color w:val="67973F"/>
          <w:spacing w:val="-1"/>
        </w:rPr>
        <w:t>in</w:t>
      </w:r>
      <w:r>
        <w:rPr>
          <w:color w:val="67973F"/>
          <w:spacing w:val="-4"/>
        </w:rPr>
        <w:t> </w:t>
      </w:r>
      <w:r>
        <w:rPr>
          <w:color w:val="67973F"/>
        </w:rPr>
        <w:t>the</w:t>
      </w:r>
      <w:r>
        <w:rPr>
          <w:color w:val="67973F"/>
          <w:spacing w:val="-5"/>
        </w:rPr>
        <w:t> </w:t>
      </w:r>
      <w:r>
        <w:rPr>
          <w:color w:val="67973F"/>
        </w:rPr>
        <w:t>Tiwi</w:t>
      </w:r>
      <w:r>
        <w:rPr>
          <w:color w:val="67973F"/>
          <w:spacing w:val="-5"/>
        </w:rPr>
        <w:t> </w:t>
      </w:r>
      <w:r>
        <w:rPr>
          <w:color w:val="67973F"/>
        </w:rPr>
        <w:t>people</w:t>
      </w:r>
      <w:r>
        <w:rPr>
          <w:color w:val="67973F"/>
          <w:spacing w:val="-5"/>
        </w:rPr>
        <w:t> </w:t>
      </w:r>
      <w:r>
        <w:rPr>
          <w:color w:val="67973F"/>
        </w:rPr>
        <w:t>of</w:t>
      </w:r>
      <w:r>
        <w:rPr>
          <w:color w:val="67973F"/>
          <w:spacing w:val="-4"/>
        </w:rPr>
        <w:t> </w:t>
      </w:r>
      <w:r>
        <w:rPr>
          <w:color w:val="67973F"/>
        </w:rPr>
        <w:t>boarding</w:t>
      </w:r>
      <w:r>
        <w:rPr>
          <w:color w:val="67973F"/>
          <w:spacing w:val="-5"/>
        </w:rPr>
        <w:t> </w:t>
      </w:r>
      <w:r>
        <w:rPr>
          <w:color w:val="67973F"/>
        </w:rPr>
        <w:t>at</w:t>
      </w:r>
      <w:r>
        <w:rPr>
          <w:color w:val="67973F"/>
          <w:spacing w:val="-4"/>
        </w:rPr>
        <w:t> </w:t>
      </w:r>
      <w:r>
        <w:rPr>
          <w:color w:val="67973F"/>
        </w:rPr>
        <w:t>Tiwi</w:t>
      </w:r>
      <w:r>
        <w:rPr>
          <w:color w:val="67973F"/>
          <w:spacing w:val="21"/>
          <w:w w:val="99"/>
        </w:rPr>
        <w:t> </w:t>
      </w:r>
      <w:r>
        <w:rPr>
          <w:color w:val="67973F"/>
          <w:spacing w:val="-1"/>
        </w:rPr>
        <w:t>College.</w:t>
      </w:r>
      <w:r>
        <w:rPr>
          <w:color w:val="67973F"/>
          <w:spacing w:val="-5"/>
        </w:rPr>
        <w:t> </w:t>
      </w:r>
      <w:r>
        <w:rPr>
          <w:color w:val="67973F"/>
        </w:rPr>
        <w:t>Attendance</w:t>
      </w:r>
      <w:r>
        <w:rPr>
          <w:color w:val="67973F"/>
          <w:spacing w:val="-5"/>
        </w:rPr>
        <w:t> </w:t>
      </w:r>
      <w:r>
        <w:rPr>
          <w:color w:val="67973F"/>
        </w:rPr>
        <w:t>rates</w:t>
      </w:r>
      <w:r>
        <w:rPr>
          <w:color w:val="67973F"/>
          <w:spacing w:val="-6"/>
        </w:rPr>
        <w:t> </w:t>
      </w:r>
      <w:r>
        <w:rPr>
          <w:color w:val="67973F"/>
        </w:rPr>
        <w:t>at</w:t>
      </w:r>
      <w:r>
        <w:rPr>
          <w:color w:val="67973F"/>
          <w:spacing w:val="-4"/>
        </w:rPr>
        <w:t> </w:t>
      </w:r>
      <w:r>
        <w:rPr>
          <w:color w:val="67973F"/>
        </w:rPr>
        <w:t>the</w:t>
      </w:r>
      <w:r>
        <w:rPr>
          <w:color w:val="67973F"/>
          <w:spacing w:val="-6"/>
        </w:rPr>
        <w:t> </w:t>
      </w:r>
      <w:r>
        <w:rPr>
          <w:color w:val="67973F"/>
        </w:rPr>
        <w:t>college</w:t>
      </w:r>
      <w:r>
        <w:rPr>
          <w:color w:val="67973F"/>
          <w:spacing w:val="-6"/>
        </w:rPr>
        <w:t> </w:t>
      </w:r>
      <w:r>
        <w:rPr>
          <w:color w:val="67973F"/>
        </w:rPr>
        <w:t>are</w:t>
      </w:r>
      <w:r>
        <w:rPr>
          <w:color w:val="67973F"/>
          <w:spacing w:val="22"/>
          <w:w w:val="99"/>
        </w:rPr>
        <w:t> </w:t>
      </w:r>
      <w:r>
        <w:rPr>
          <w:color w:val="67973F"/>
        </w:rPr>
        <w:t>higher</w:t>
      </w:r>
      <w:r>
        <w:rPr>
          <w:color w:val="67973F"/>
          <w:spacing w:val="-5"/>
        </w:rPr>
        <w:t> </w:t>
      </w:r>
      <w:r>
        <w:rPr>
          <w:color w:val="67973F"/>
        </w:rPr>
        <w:t>than</w:t>
      </w:r>
      <w:r>
        <w:rPr>
          <w:color w:val="67973F"/>
          <w:spacing w:val="-5"/>
        </w:rPr>
        <w:t> </w:t>
      </w:r>
      <w:r>
        <w:rPr>
          <w:color w:val="67973F"/>
        </w:rPr>
        <w:t>at</w:t>
      </w:r>
      <w:r>
        <w:rPr>
          <w:color w:val="67973F"/>
          <w:spacing w:val="-4"/>
        </w:rPr>
        <w:t> </w:t>
      </w:r>
      <w:r>
        <w:rPr>
          <w:color w:val="67973F"/>
        </w:rPr>
        <w:t>the</w:t>
      </w:r>
      <w:r>
        <w:rPr>
          <w:color w:val="67973F"/>
          <w:spacing w:val="-5"/>
        </w:rPr>
        <w:t> </w:t>
      </w:r>
      <w:r>
        <w:rPr>
          <w:color w:val="67973F"/>
        </w:rPr>
        <w:t>other</w:t>
      </w:r>
      <w:r>
        <w:rPr>
          <w:color w:val="67973F"/>
          <w:spacing w:val="-4"/>
        </w:rPr>
        <w:t> </w:t>
      </w:r>
      <w:r>
        <w:rPr>
          <w:color w:val="67973F"/>
          <w:spacing w:val="-1"/>
        </w:rPr>
        <w:t>secondary</w:t>
      </w:r>
      <w:r>
        <w:rPr>
          <w:color w:val="67973F"/>
          <w:spacing w:val="-3"/>
        </w:rPr>
        <w:t> </w:t>
      </w:r>
      <w:r>
        <w:rPr>
          <w:color w:val="67973F"/>
          <w:spacing w:val="-1"/>
        </w:rPr>
        <w:t>school</w:t>
      </w:r>
      <w:r>
        <w:rPr>
          <w:color w:val="67973F"/>
          <w:spacing w:val="-4"/>
        </w:rPr>
        <w:t> </w:t>
      </w:r>
      <w:r>
        <w:rPr>
          <w:color w:val="67973F"/>
          <w:spacing w:val="-1"/>
        </w:rPr>
        <w:t>in</w:t>
      </w:r>
      <w:r>
        <w:rPr>
          <w:color w:val="67973F"/>
          <w:spacing w:val="22"/>
        </w:rPr>
        <w:t> </w:t>
      </w:r>
      <w:r>
        <w:rPr>
          <w:color w:val="67973F"/>
        </w:rPr>
        <w:t>the</w:t>
      </w:r>
      <w:r>
        <w:rPr>
          <w:color w:val="67973F"/>
          <w:spacing w:val="-5"/>
        </w:rPr>
        <w:t> </w:t>
      </w:r>
      <w:r>
        <w:rPr>
          <w:color w:val="67973F"/>
        </w:rPr>
        <w:t>Tiwi</w:t>
      </w:r>
      <w:r>
        <w:rPr>
          <w:color w:val="67973F"/>
          <w:spacing w:val="-4"/>
        </w:rPr>
        <w:t> </w:t>
      </w:r>
      <w:r>
        <w:rPr>
          <w:color w:val="67973F"/>
          <w:spacing w:val="-1"/>
        </w:rPr>
        <w:t>Islands.</w:t>
      </w:r>
      <w:r>
        <w:rPr/>
      </w:r>
    </w:p>
    <w:p>
      <w:pPr>
        <w:spacing w:line="240" w:lineRule="auto" w:before="10"/>
        <w:rPr>
          <w:rFonts w:ascii="Segoe UI" w:hAnsi="Segoe UI" w:cs="Segoe UI" w:eastAsia="Segoe UI"/>
          <w:sz w:val="8"/>
          <w:szCs w:val="8"/>
        </w:rPr>
      </w:pPr>
    </w:p>
    <w:p>
      <w:pPr>
        <w:spacing w:line="40" w:lineRule="atLeast"/>
        <w:ind w:left="106" w:right="0" w:firstLine="0"/>
        <w:rPr>
          <w:rFonts w:ascii="Segoe UI" w:hAnsi="Segoe UI" w:cs="Segoe UI" w:eastAsia="Segoe UI"/>
          <w:sz w:val="4"/>
          <w:szCs w:val="4"/>
        </w:rPr>
      </w:pPr>
      <w:r>
        <w:rPr>
          <w:rFonts w:ascii="Segoe UI" w:hAnsi="Segoe UI" w:cs="Segoe UI" w:eastAsia="Segoe UI"/>
          <w:sz w:val="4"/>
          <w:szCs w:val="4"/>
        </w:rPr>
        <w:pict>
          <v:group style="width:211.2pt;height:2pt;mso-position-horizontal-relative:char;mso-position-vertical-relative:line" coordorigin="0,0" coordsize="4224,40">
            <v:group style="position:absolute;left:100;top:20;width:4063;height:2" coordorigin="100,20" coordsize="4063,2">
              <v:shape style="position:absolute;left:100;top:20;width:4063;height:2" coordorigin="100,20" coordsize="4063,0" path="m100,20l4163,20e" filled="false" stroked="true" strokeweight="2pt" strokecolor="#67973f">
                <v:path arrowok="t"/>
                <v:stroke dashstyle="dash"/>
              </v:shape>
            </v:group>
            <v:group style="position:absolute;left:20;top:20;width:2;height:2" coordorigin="20,20" coordsize="2,2">
              <v:shape style="position:absolute;left:20;top:20;width:2;height:2" coordorigin="20,20" coordsize="0,0" path="m20,20l20,20e" filled="false" stroked="true" strokeweight="2pt" strokecolor="#67973f">
                <v:path arrowok="t"/>
              </v:shape>
            </v:group>
            <v:group style="position:absolute;left:4204;top:20;width:2;height:2" coordorigin="4204,20" coordsize="2,2">
              <v:shape style="position:absolute;left:4204;top:20;width:2;height:2" coordorigin="4204,20" coordsize="0,0" path="m4204,20l4204,20e" filled="false" stroked="true" strokeweight="2pt" strokecolor="#67973f">
                <v:path arrowok="t"/>
              </v:shape>
            </v:group>
          </v:group>
        </w:pict>
      </w:r>
      <w:r>
        <w:rPr>
          <w:rFonts w:ascii="Segoe UI" w:hAnsi="Segoe UI" w:cs="Segoe UI" w:eastAsia="Segoe UI"/>
          <w:sz w:val="4"/>
          <w:szCs w:val="4"/>
        </w:rPr>
      </w:r>
    </w:p>
    <w:p>
      <w:pPr>
        <w:spacing w:line="240" w:lineRule="auto" w:before="7"/>
        <w:rPr>
          <w:rFonts w:ascii="Segoe UI" w:hAnsi="Segoe UI" w:cs="Segoe UI" w:eastAsia="Segoe UI"/>
          <w:sz w:val="23"/>
          <w:szCs w:val="23"/>
        </w:rPr>
      </w:pPr>
    </w:p>
    <w:p>
      <w:pPr>
        <w:pStyle w:val="BodyText"/>
        <w:spacing w:line="250" w:lineRule="exact"/>
        <w:ind w:left="106" w:right="460"/>
        <w:jc w:val="left"/>
      </w:pPr>
      <w:r>
        <w:rPr>
          <w:color w:val="231F20"/>
        </w:rPr>
        <w:t>Attendance</w:t>
      </w:r>
      <w:r>
        <w:rPr>
          <w:color w:val="231F20"/>
          <w:spacing w:val="-5"/>
        </w:rPr>
        <w:t> </w:t>
      </w:r>
      <w:r>
        <w:rPr>
          <w:color w:val="231F20"/>
        </w:rPr>
        <w:t>at</w:t>
      </w:r>
      <w:r>
        <w:rPr>
          <w:color w:val="231F20"/>
          <w:spacing w:val="-4"/>
        </w:rPr>
        <w:t> </w:t>
      </w:r>
      <w:r>
        <w:rPr>
          <w:color w:val="231F20"/>
          <w:spacing w:val="-1"/>
        </w:rPr>
        <w:t>school</w:t>
      </w:r>
      <w:r>
        <w:rPr>
          <w:color w:val="231F20"/>
          <w:spacing w:val="-4"/>
        </w:rPr>
        <w:t> </w:t>
      </w:r>
      <w:r>
        <w:rPr>
          <w:color w:val="231F20"/>
        </w:rPr>
        <w:t>can</w:t>
      </w:r>
      <w:r>
        <w:rPr>
          <w:color w:val="231F20"/>
          <w:spacing w:val="-4"/>
        </w:rPr>
        <w:t> </w:t>
      </w:r>
      <w:r>
        <w:rPr>
          <w:color w:val="231F20"/>
        </w:rPr>
        <w:t>also</w:t>
      </w:r>
      <w:r>
        <w:rPr>
          <w:color w:val="231F20"/>
          <w:spacing w:val="-6"/>
        </w:rPr>
        <w:t> </w:t>
      </w:r>
      <w:r>
        <w:rPr>
          <w:color w:val="231F20"/>
        </w:rPr>
        <w:t>be</w:t>
      </w:r>
      <w:r>
        <w:rPr>
          <w:color w:val="231F20"/>
          <w:spacing w:val="-4"/>
        </w:rPr>
        <w:t> </w:t>
      </w:r>
      <w:r>
        <w:rPr>
          <w:color w:val="231F20"/>
          <w:spacing w:val="-1"/>
        </w:rPr>
        <w:t>impacted</w:t>
      </w:r>
      <w:r>
        <w:rPr>
          <w:color w:val="231F20"/>
          <w:spacing w:val="21"/>
          <w:w w:val="99"/>
        </w:rPr>
        <w:t> </w:t>
      </w:r>
      <w:r>
        <w:rPr>
          <w:color w:val="231F20"/>
        </w:rPr>
        <w:t>by</w:t>
      </w:r>
      <w:r>
        <w:rPr>
          <w:color w:val="231F20"/>
          <w:spacing w:val="-4"/>
        </w:rPr>
        <w:t> </w:t>
      </w:r>
      <w:r>
        <w:rPr>
          <w:color w:val="231F20"/>
        </w:rPr>
        <w:t>the</w:t>
      </w:r>
      <w:r>
        <w:rPr>
          <w:color w:val="231F20"/>
          <w:spacing w:val="-4"/>
        </w:rPr>
        <w:t> </w:t>
      </w:r>
      <w:r>
        <w:rPr>
          <w:color w:val="231F20"/>
          <w:spacing w:val="-1"/>
        </w:rPr>
        <w:t>mobility</w:t>
      </w:r>
      <w:r>
        <w:rPr>
          <w:color w:val="231F20"/>
          <w:spacing w:val="-3"/>
        </w:rPr>
        <w:t> </w:t>
      </w:r>
      <w:r>
        <w:rPr>
          <w:color w:val="231F20"/>
        </w:rPr>
        <w:t>of</w:t>
      </w:r>
      <w:r>
        <w:rPr>
          <w:color w:val="231F20"/>
          <w:spacing w:val="-3"/>
        </w:rPr>
        <w:t> </w:t>
      </w:r>
      <w:r>
        <w:rPr>
          <w:color w:val="231F20"/>
        </w:rPr>
        <w:t>families.</w:t>
      </w:r>
      <w:r>
        <w:rPr>
          <w:color w:val="231F20"/>
          <w:spacing w:val="-4"/>
        </w:rPr>
        <w:t> </w:t>
      </w:r>
      <w:r>
        <w:rPr>
          <w:color w:val="231F20"/>
        </w:rPr>
        <w:t>Aboriginal</w:t>
      </w:r>
      <w:r>
        <w:rPr>
          <w:color w:val="231F20"/>
          <w:spacing w:val="-4"/>
        </w:rPr>
        <w:t> </w:t>
      </w:r>
      <w:r>
        <w:rPr>
          <w:color w:val="231F20"/>
        </w:rPr>
        <w:t>and</w:t>
      </w:r>
      <w:r>
        <w:rPr>
          <w:color w:val="231F20"/>
          <w:spacing w:val="22"/>
          <w:w w:val="99"/>
        </w:rPr>
        <w:t> </w:t>
      </w:r>
      <w:r>
        <w:rPr>
          <w:color w:val="231F20"/>
          <w:spacing w:val="-5"/>
        </w:rPr>
        <w:t>Torres </w:t>
      </w:r>
      <w:r>
        <w:rPr>
          <w:color w:val="231F20"/>
          <w:spacing w:val="-2"/>
        </w:rPr>
        <w:t>Strait</w:t>
      </w:r>
      <w:r>
        <w:rPr>
          <w:color w:val="231F20"/>
          <w:spacing w:val="-5"/>
        </w:rPr>
        <w:t> </w:t>
      </w:r>
      <w:r>
        <w:rPr>
          <w:color w:val="231F20"/>
          <w:spacing w:val="-1"/>
        </w:rPr>
        <w:t>Islander</w:t>
      </w:r>
      <w:r>
        <w:rPr>
          <w:color w:val="231F20"/>
          <w:spacing w:val="-4"/>
        </w:rPr>
        <w:t> </w:t>
      </w:r>
      <w:r>
        <w:rPr>
          <w:color w:val="231F20"/>
        </w:rPr>
        <w:t>people</w:t>
      </w:r>
      <w:r>
        <w:rPr>
          <w:color w:val="231F20"/>
          <w:spacing w:val="-6"/>
        </w:rPr>
        <w:t> </w:t>
      </w:r>
      <w:r>
        <w:rPr>
          <w:color w:val="231F20"/>
          <w:spacing w:val="-1"/>
        </w:rPr>
        <w:t>in</w:t>
      </w:r>
      <w:r>
        <w:rPr>
          <w:color w:val="231F20"/>
          <w:spacing w:val="-4"/>
        </w:rPr>
        <w:t> </w:t>
      </w:r>
      <w:r>
        <w:rPr>
          <w:color w:val="231F20"/>
        </w:rPr>
        <w:t>remote</w:t>
      </w:r>
      <w:r>
        <w:rPr>
          <w:color w:val="231F20"/>
          <w:spacing w:val="-5"/>
        </w:rPr>
        <w:t> </w:t>
      </w:r>
      <w:r>
        <w:rPr>
          <w:color w:val="231F20"/>
        </w:rPr>
        <w:t>and</w:t>
      </w:r>
      <w:r>
        <w:rPr/>
      </w:r>
    </w:p>
    <w:p>
      <w:pPr>
        <w:pStyle w:val="BodyText"/>
        <w:spacing w:line="250" w:lineRule="exact"/>
        <w:ind w:left="106" w:right="174"/>
        <w:jc w:val="left"/>
        <w:rPr>
          <w:rFonts w:ascii="Segoe UI" w:hAnsi="Segoe UI" w:cs="Segoe UI" w:eastAsia="Segoe UI"/>
        </w:rPr>
      </w:pPr>
      <w:r>
        <w:rPr>
          <w:color w:val="231F20"/>
        </w:rPr>
        <w:t>very</w:t>
      </w:r>
      <w:r>
        <w:rPr>
          <w:color w:val="231F20"/>
          <w:spacing w:val="-5"/>
        </w:rPr>
        <w:t> </w:t>
      </w:r>
      <w:r>
        <w:rPr>
          <w:color w:val="231F20"/>
        </w:rPr>
        <w:t>remote</w:t>
      </w:r>
      <w:r>
        <w:rPr>
          <w:color w:val="231F20"/>
          <w:spacing w:val="-5"/>
        </w:rPr>
        <w:t> </w:t>
      </w:r>
      <w:r>
        <w:rPr>
          <w:color w:val="231F20"/>
        </w:rPr>
        <w:t>areas</w:t>
      </w:r>
      <w:r>
        <w:rPr>
          <w:color w:val="231F20"/>
          <w:spacing w:val="-6"/>
        </w:rPr>
        <w:t> </w:t>
      </w:r>
      <w:r>
        <w:rPr>
          <w:color w:val="231F20"/>
        </w:rPr>
        <w:t>are</w:t>
      </w:r>
      <w:r>
        <w:rPr>
          <w:color w:val="231F20"/>
          <w:spacing w:val="-5"/>
        </w:rPr>
        <w:t> </w:t>
      </w:r>
      <w:r>
        <w:rPr>
          <w:color w:val="231F20"/>
        </w:rPr>
        <w:t>highly</w:t>
      </w:r>
      <w:r>
        <w:rPr>
          <w:color w:val="231F20"/>
          <w:spacing w:val="-6"/>
        </w:rPr>
        <w:t> </w:t>
      </w:r>
      <w:r>
        <w:rPr>
          <w:color w:val="231F20"/>
          <w:spacing w:val="-1"/>
        </w:rPr>
        <w:t>mobile</w:t>
      </w:r>
      <w:r>
        <w:rPr>
          <w:color w:val="231F20"/>
          <w:spacing w:val="-4"/>
        </w:rPr>
        <w:t> </w:t>
      </w:r>
      <w:r>
        <w:rPr>
          <w:color w:val="231F20"/>
        </w:rPr>
        <w:t>and</w:t>
      </w:r>
      <w:r>
        <w:rPr>
          <w:color w:val="231F20"/>
          <w:spacing w:val="-5"/>
        </w:rPr>
        <w:t> </w:t>
      </w:r>
      <w:r>
        <w:rPr>
          <w:color w:val="231F20"/>
        </w:rPr>
        <w:t>travel</w:t>
      </w:r>
      <w:r>
        <w:rPr>
          <w:color w:val="231F20"/>
          <w:spacing w:val="21"/>
          <w:w w:val="99"/>
        </w:rPr>
        <w:t> </w:t>
      </w:r>
      <w:r>
        <w:rPr>
          <w:color w:val="231F20"/>
        </w:rPr>
        <w:t>regularly</w:t>
      </w:r>
      <w:r>
        <w:rPr>
          <w:color w:val="231F20"/>
          <w:spacing w:val="-6"/>
        </w:rPr>
        <w:t> </w:t>
      </w:r>
      <w:r>
        <w:rPr>
          <w:color w:val="231F20"/>
        </w:rPr>
        <w:t>for</w:t>
      </w:r>
      <w:r>
        <w:rPr>
          <w:color w:val="231F20"/>
          <w:spacing w:val="-4"/>
        </w:rPr>
        <w:t> </w:t>
      </w:r>
      <w:r>
        <w:rPr>
          <w:color w:val="231F20"/>
          <w:spacing w:val="-1"/>
        </w:rPr>
        <w:t>medical,</w:t>
      </w:r>
      <w:r>
        <w:rPr>
          <w:color w:val="231F20"/>
          <w:spacing w:val="-4"/>
        </w:rPr>
        <w:t> </w:t>
      </w:r>
      <w:r>
        <w:rPr>
          <w:color w:val="231F20"/>
        </w:rPr>
        <w:t>cultural,</w:t>
      </w:r>
      <w:r>
        <w:rPr>
          <w:color w:val="231F20"/>
          <w:spacing w:val="-5"/>
        </w:rPr>
        <w:t> </w:t>
      </w:r>
      <w:r>
        <w:rPr>
          <w:color w:val="231F20"/>
        </w:rPr>
        <w:t>work</w:t>
      </w:r>
      <w:r>
        <w:rPr>
          <w:color w:val="231F20"/>
          <w:spacing w:val="-5"/>
        </w:rPr>
        <w:t> </w:t>
      </w:r>
      <w:r>
        <w:rPr>
          <w:color w:val="231F20"/>
        </w:rPr>
        <w:t>and</w:t>
      </w:r>
      <w:r>
        <w:rPr>
          <w:color w:val="231F20"/>
          <w:spacing w:val="-5"/>
        </w:rPr>
        <w:t> </w:t>
      </w:r>
      <w:r>
        <w:rPr>
          <w:color w:val="231F20"/>
        </w:rPr>
        <w:t>family</w:t>
      </w:r>
      <w:r>
        <w:rPr>
          <w:color w:val="231F20"/>
          <w:spacing w:val="22"/>
        </w:rPr>
        <w:t> </w:t>
      </w:r>
      <w:r>
        <w:rPr>
          <w:color w:val="231F20"/>
        </w:rPr>
        <w:t>reasons.</w:t>
      </w:r>
      <w:r>
        <w:rPr>
          <w:color w:val="231F20"/>
          <w:spacing w:val="-6"/>
        </w:rPr>
        <w:t> </w:t>
      </w:r>
      <w:r>
        <w:rPr>
          <w:color w:val="231F20"/>
        </w:rPr>
        <w:t>As</w:t>
      </w:r>
      <w:r>
        <w:rPr>
          <w:color w:val="231F20"/>
          <w:spacing w:val="-5"/>
        </w:rPr>
        <w:t> </w:t>
      </w:r>
      <w:r>
        <w:rPr>
          <w:color w:val="231F20"/>
        </w:rPr>
        <w:t>well</w:t>
      </w:r>
      <w:r>
        <w:rPr>
          <w:color w:val="231F20"/>
          <w:spacing w:val="-6"/>
        </w:rPr>
        <w:t> </w:t>
      </w:r>
      <w:r>
        <w:rPr>
          <w:color w:val="231F20"/>
        </w:rPr>
        <w:t>as</w:t>
      </w:r>
      <w:r>
        <w:rPr>
          <w:color w:val="231F20"/>
          <w:spacing w:val="-5"/>
        </w:rPr>
        <w:t> </w:t>
      </w:r>
      <w:r>
        <w:rPr>
          <w:color w:val="231F20"/>
        </w:rPr>
        <w:t>geographical</w:t>
      </w:r>
      <w:r>
        <w:rPr>
          <w:color w:val="231F20"/>
          <w:spacing w:val="-6"/>
        </w:rPr>
        <w:t> </w:t>
      </w:r>
      <w:r>
        <w:rPr>
          <w:color w:val="231F20"/>
          <w:spacing w:val="-1"/>
        </w:rPr>
        <w:t>mobility</w:t>
      </w:r>
      <w:r>
        <w:rPr>
          <w:color w:val="231F20"/>
          <w:spacing w:val="20"/>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5"/>
        </w:rPr>
        <w:t> </w:t>
      </w:r>
      <w:r>
        <w:rPr>
          <w:color w:val="231F20"/>
          <w:spacing w:val="-1"/>
        </w:rPr>
        <w:t>Islander</w:t>
      </w:r>
      <w:r>
        <w:rPr>
          <w:color w:val="231F20"/>
          <w:spacing w:val="-5"/>
        </w:rPr>
        <w:t> </w:t>
      </w:r>
      <w:r>
        <w:rPr>
          <w:color w:val="231F20"/>
          <w:spacing w:val="-1"/>
        </w:rPr>
        <w:t>students</w:t>
      </w:r>
      <w:r>
        <w:rPr>
          <w:color w:val="231F20"/>
          <w:spacing w:val="20"/>
        </w:rPr>
        <w:t> </w:t>
      </w:r>
      <w:r>
        <w:rPr>
          <w:color w:val="231F20"/>
        </w:rPr>
        <w:t>are</w:t>
      </w:r>
      <w:r>
        <w:rPr>
          <w:color w:val="231F20"/>
          <w:spacing w:val="-5"/>
        </w:rPr>
        <w:t> </w:t>
      </w:r>
      <w:r>
        <w:rPr>
          <w:color w:val="231F20"/>
        </w:rPr>
        <w:t>often</w:t>
      </w:r>
      <w:r>
        <w:rPr>
          <w:color w:val="231F20"/>
          <w:spacing w:val="-4"/>
        </w:rPr>
        <w:t> </w:t>
      </w:r>
      <w:r>
        <w:rPr>
          <w:color w:val="231F20"/>
        </w:rPr>
        <w:t>the</w:t>
      </w:r>
      <w:r>
        <w:rPr>
          <w:color w:val="231F20"/>
          <w:spacing w:val="-4"/>
        </w:rPr>
        <w:t> </w:t>
      </w:r>
      <w:r>
        <w:rPr>
          <w:color w:val="231F20"/>
          <w:spacing w:val="-1"/>
        </w:rPr>
        <w:t>subject</w:t>
      </w:r>
      <w:r>
        <w:rPr>
          <w:color w:val="231F20"/>
          <w:spacing w:val="-3"/>
        </w:rPr>
        <w:t> </w:t>
      </w:r>
      <w:r>
        <w:rPr>
          <w:color w:val="231F20"/>
        </w:rPr>
        <w:t>of</w:t>
      </w:r>
      <w:r>
        <w:rPr>
          <w:color w:val="231F20"/>
          <w:spacing w:val="-3"/>
        </w:rPr>
        <w:t> </w:t>
      </w:r>
      <w:r>
        <w:rPr>
          <w:color w:val="231F20"/>
        </w:rPr>
        <w:t>high</w:t>
      </w:r>
      <w:r>
        <w:rPr>
          <w:color w:val="231F20"/>
          <w:spacing w:val="-4"/>
        </w:rPr>
        <w:t> </w:t>
      </w:r>
      <w:r>
        <w:rPr>
          <w:color w:val="231F20"/>
          <w:spacing w:val="-1"/>
        </w:rPr>
        <w:t>mobility</w:t>
      </w:r>
      <w:r>
        <w:rPr>
          <w:color w:val="231F20"/>
          <w:spacing w:val="-3"/>
        </w:rPr>
        <w:t> </w:t>
      </w:r>
      <w:r>
        <w:rPr>
          <w:color w:val="231F20"/>
        </w:rPr>
        <w:t>across</w:t>
      </w:r>
      <w:r>
        <w:rPr>
          <w:color w:val="231F20"/>
          <w:spacing w:val="23"/>
          <w:w w:val="99"/>
        </w:rPr>
        <w:t> </w:t>
      </w:r>
      <w:r>
        <w:rPr>
          <w:rFonts w:ascii="Segoe UI"/>
          <w:color w:val="231F20"/>
        </w:rPr>
        <w:t>families,</w:t>
      </w:r>
      <w:r>
        <w:rPr>
          <w:rFonts w:ascii="Segoe UI"/>
          <w:color w:val="231F20"/>
          <w:spacing w:val="-2"/>
        </w:rPr>
        <w:t> </w:t>
      </w:r>
      <w:r>
        <w:rPr>
          <w:rFonts w:ascii="Segoe UI"/>
          <w:color w:val="231F20"/>
        </w:rPr>
        <w:t>moving</w:t>
      </w:r>
      <w:r>
        <w:rPr>
          <w:rFonts w:ascii="Segoe UI"/>
          <w:color w:val="231F20"/>
          <w:spacing w:val="-2"/>
        </w:rPr>
        <w:t> </w:t>
      </w:r>
      <w:r>
        <w:rPr>
          <w:rFonts w:ascii="Segoe UI"/>
          <w:color w:val="231F20"/>
        </w:rPr>
        <w:t>amongst</w:t>
      </w:r>
      <w:r>
        <w:rPr>
          <w:rFonts w:ascii="Segoe UI"/>
          <w:color w:val="231F20"/>
          <w:spacing w:val="-2"/>
        </w:rPr>
        <w:t> </w:t>
      </w:r>
      <w:r>
        <w:rPr>
          <w:rFonts w:ascii="Segoe UI"/>
          <w:color w:val="231F20"/>
        </w:rPr>
        <w:t>different</w:t>
      </w:r>
      <w:r>
        <w:rPr>
          <w:rFonts w:ascii="Segoe UI"/>
          <w:color w:val="231F20"/>
          <w:spacing w:val="-2"/>
        </w:rPr>
        <w:t> </w:t>
      </w:r>
      <w:r>
        <w:rPr>
          <w:rFonts w:ascii="Segoe UI"/>
          <w:color w:val="231F20"/>
        </w:rPr>
        <w:t>carers.</w:t>
      </w:r>
      <w:r>
        <w:rPr>
          <w:rFonts w:ascii="Segoe UI"/>
        </w:rPr>
      </w:r>
    </w:p>
    <w:p>
      <w:pPr>
        <w:pStyle w:val="BodyText"/>
        <w:spacing w:line="250" w:lineRule="exact"/>
        <w:ind w:left="106" w:right="383"/>
        <w:jc w:val="left"/>
      </w:pPr>
      <w:r>
        <w:rPr>
          <w:color w:val="231F20"/>
        </w:rPr>
        <w:t>A</w:t>
      </w:r>
      <w:r>
        <w:rPr>
          <w:color w:val="231F20"/>
          <w:spacing w:val="-6"/>
        </w:rPr>
        <w:t> </w:t>
      </w:r>
      <w:r>
        <w:rPr>
          <w:color w:val="231F20"/>
        </w:rPr>
        <w:t>change</w:t>
      </w:r>
      <w:r>
        <w:rPr>
          <w:color w:val="231F20"/>
          <w:spacing w:val="-7"/>
        </w:rPr>
        <w:t> </w:t>
      </w:r>
      <w:r>
        <w:rPr>
          <w:color w:val="231F20"/>
        </w:rPr>
        <w:t>of</w:t>
      </w:r>
      <w:r>
        <w:rPr>
          <w:color w:val="231F20"/>
          <w:spacing w:val="-6"/>
        </w:rPr>
        <w:t> </w:t>
      </w:r>
      <w:r>
        <w:rPr>
          <w:color w:val="231F20"/>
        </w:rPr>
        <w:t>residence</w:t>
      </w:r>
      <w:r>
        <w:rPr>
          <w:color w:val="231F20"/>
          <w:spacing w:val="-7"/>
        </w:rPr>
        <w:t> </w:t>
      </w:r>
      <w:r>
        <w:rPr>
          <w:color w:val="231F20"/>
        </w:rPr>
        <w:t>or</w:t>
      </w:r>
      <w:r>
        <w:rPr>
          <w:color w:val="231F20"/>
          <w:spacing w:val="-6"/>
        </w:rPr>
        <w:t> </w:t>
      </w:r>
      <w:r>
        <w:rPr>
          <w:color w:val="231F20"/>
        </w:rPr>
        <w:t>circumstances</w:t>
      </w:r>
      <w:r>
        <w:rPr>
          <w:color w:val="231F20"/>
          <w:spacing w:val="-6"/>
        </w:rPr>
        <w:t> </w:t>
      </w:r>
      <w:r>
        <w:rPr>
          <w:color w:val="231F20"/>
        </w:rPr>
        <w:t>can</w:t>
      </w:r>
      <w:r>
        <w:rPr>
          <w:color w:val="231F20"/>
          <w:w w:val="99"/>
        </w:rPr>
        <w:t> </w:t>
      </w:r>
      <w:r>
        <w:rPr>
          <w:rFonts w:ascii="Segoe UI" w:hAnsi="Segoe UI" w:cs="Segoe UI" w:eastAsia="Segoe UI"/>
          <w:color w:val="231F20"/>
        </w:rPr>
        <w:t>affect</w:t>
      </w:r>
      <w:r>
        <w:rPr>
          <w:rFonts w:ascii="Segoe UI" w:hAnsi="Segoe UI" w:cs="Segoe UI" w:eastAsia="Segoe UI"/>
          <w:color w:val="231F20"/>
          <w:spacing w:val="-1"/>
        </w:rPr>
        <w:t> </w:t>
      </w:r>
      <w:r>
        <w:rPr>
          <w:rFonts w:ascii="Segoe UI" w:hAnsi="Segoe UI" w:cs="Segoe UI" w:eastAsia="Segoe UI"/>
          <w:color w:val="231F20"/>
        </w:rPr>
        <w:t>a</w:t>
      </w:r>
      <w:r>
        <w:rPr>
          <w:rFonts w:ascii="Segoe UI" w:hAnsi="Segoe UI" w:cs="Segoe UI" w:eastAsia="Segoe UI"/>
          <w:color w:val="231F20"/>
          <w:spacing w:val="-1"/>
        </w:rPr>
        <w:t> </w:t>
      </w:r>
      <w:r>
        <w:rPr>
          <w:rFonts w:ascii="Segoe UI" w:hAnsi="Segoe UI" w:cs="Segoe UI" w:eastAsia="Segoe UI"/>
          <w:color w:val="231F20"/>
        </w:rPr>
        <w:t>student’s</w:t>
      </w:r>
      <w:r>
        <w:rPr>
          <w:rFonts w:ascii="Segoe UI" w:hAnsi="Segoe UI" w:cs="Segoe UI" w:eastAsia="Segoe UI"/>
          <w:color w:val="231F20"/>
          <w:spacing w:val="-1"/>
        </w:rPr>
        <w:t> </w:t>
      </w:r>
      <w:r>
        <w:rPr>
          <w:rFonts w:ascii="Segoe UI" w:hAnsi="Segoe UI" w:cs="Segoe UI" w:eastAsia="Segoe UI"/>
          <w:color w:val="231F20"/>
        </w:rPr>
        <w:t>eligibility</w:t>
      </w:r>
      <w:r>
        <w:rPr>
          <w:rFonts w:ascii="Segoe UI" w:hAnsi="Segoe UI" w:cs="Segoe UI" w:eastAsia="Segoe UI"/>
          <w:color w:val="231F20"/>
          <w:spacing w:val="-1"/>
        </w:rPr>
        <w:t> </w:t>
      </w:r>
      <w:r>
        <w:rPr>
          <w:rFonts w:ascii="Segoe UI" w:hAnsi="Segoe UI" w:cs="Segoe UI" w:eastAsia="Segoe UI"/>
          <w:color w:val="231F20"/>
        </w:rPr>
        <w:t>for</w:t>
      </w:r>
      <w:r>
        <w:rPr>
          <w:rFonts w:ascii="Segoe UI" w:hAnsi="Segoe UI" w:cs="Segoe UI" w:eastAsia="Segoe UI"/>
          <w:color w:val="231F20"/>
          <w:spacing w:val="-1"/>
        </w:rPr>
        <w:t> </w:t>
      </w:r>
      <w:r>
        <w:rPr>
          <w:rFonts w:ascii="Segoe UI" w:hAnsi="Segoe UI" w:cs="Segoe UI" w:eastAsia="Segoe UI"/>
          <w:color w:val="231F20"/>
        </w:rPr>
        <w:t>ABSTUDY and</w:t>
      </w:r>
      <w:r>
        <w:rPr>
          <w:rFonts w:ascii="Segoe UI" w:hAnsi="Segoe UI" w:cs="Segoe UI" w:eastAsia="Segoe UI"/>
          <w:color w:val="231F20"/>
        </w:rPr>
        <w:t> </w:t>
      </w:r>
      <w:r>
        <w:rPr>
          <w:color w:val="231F20"/>
        </w:rPr>
        <w:t>travel</w:t>
      </w:r>
      <w:r>
        <w:rPr>
          <w:color w:val="231F20"/>
          <w:spacing w:val="-7"/>
        </w:rPr>
        <w:t> </w:t>
      </w:r>
      <w:r>
        <w:rPr>
          <w:color w:val="231F20"/>
        </w:rPr>
        <w:t>assistance</w:t>
      </w:r>
      <w:r>
        <w:rPr>
          <w:color w:val="231F20"/>
          <w:spacing w:val="-6"/>
        </w:rPr>
        <w:t> </w:t>
      </w:r>
      <w:r>
        <w:rPr>
          <w:color w:val="231F20"/>
        </w:rPr>
        <w:t>and</w:t>
      </w:r>
      <w:r>
        <w:rPr>
          <w:color w:val="231F20"/>
          <w:spacing w:val="-6"/>
        </w:rPr>
        <w:t> </w:t>
      </w:r>
      <w:r>
        <w:rPr>
          <w:color w:val="231F20"/>
          <w:spacing w:val="-1"/>
        </w:rPr>
        <w:t>impact</w:t>
      </w:r>
      <w:r>
        <w:rPr>
          <w:color w:val="231F20"/>
          <w:spacing w:val="-6"/>
        </w:rPr>
        <w:t> </w:t>
      </w:r>
      <w:r>
        <w:rPr>
          <w:color w:val="231F20"/>
        </w:rPr>
        <w:t>on</w:t>
      </w:r>
      <w:r>
        <w:rPr>
          <w:color w:val="231F20"/>
          <w:spacing w:val="-5"/>
        </w:rPr>
        <w:t> </w:t>
      </w:r>
      <w:r>
        <w:rPr>
          <w:color w:val="231F20"/>
        </w:rPr>
        <w:t>attendance</w:t>
      </w:r>
      <w:r>
        <w:rPr>
          <w:color w:val="231F20"/>
          <w:spacing w:val="21"/>
          <w:w w:val="99"/>
        </w:rPr>
        <w:t> </w:t>
      </w:r>
      <w:r>
        <w:rPr>
          <w:color w:val="231F20"/>
        </w:rPr>
        <w:t>as</w:t>
      </w:r>
      <w:r>
        <w:rPr>
          <w:color w:val="231F20"/>
          <w:spacing w:val="-3"/>
        </w:rPr>
        <w:t> </w:t>
      </w:r>
      <w:r>
        <w:rPr>
          <w:color w:val="231F20"/>
          <w:spacing w:val="-1"/>
        </w:rPr>
        <w:t>students may</w:t>
      </w:r>
      <w:r>
        <w:rPr>
          <w:color w:val="231F20"/>
          <w:spacing w:val="-2"/>
        </w:rPr>
        <w:t> </w:t>
      </w:r>
      <w:r>
        <w:rPr>
          <w:color w:val="231F20"/>
        </w:rPr>
        <w:t>travel</w:t>
      </w:r>
      <w:r>
        <w:rPr>
          <w:color w:val="231F20"/>
          <w:spacing w:val="-2"/>
        </w:rPr>
        <w:t> </w:t>
      </w:r>
      <w:r>
        <w:rPr>
          <w:color w:val="231F20"/>
        </w:rPr>
        <w:t>with</w:t>
      </w:r>
      <w:r>
        <w:rPr>
          <w:color w:val="231F20"/>
          <w:spacing w:val="-3"/>
        </w:rPr>
        <w:t> </w:t>
      </w:r>
      <w:r>
        <w:rPr>
          <w:color w:val="231F20"/>
        </w:rPr>
        <w:t>family</w:t>
      </w:r>
      <w:r>
        <w:rPr>
          <w:color w:val="231F20"/>
          <w:spacing w:val="-2"/>
        </w:rPr>
        <w:t> </w:t>
      </w:r>
      <w:r>
        <w:rPr>
          <w:color w:val="231F20"/>
          <w:spacing w:val="-1"/>
        </w:rPr>
        <w:t>members.</w:t>
      </w:r>
      <w:r>
        <w:rPr>
          <w:color w:val="231F20"/>
          <w:spacing w:val="22"/>
        </w:rPr>
        <w:t> </w:t>
      </w:r>
      <w:r>
        <w:rPr>
          <w:color w:val="231F20"/>
          <w:spacing w:val="-1"/>
        </w:rPr>
        <w:t>Providers</w:t>
      </w:r>
      <w:r>
        <w:rPr>
          <w:color w:val="231F20"/>
          <w:spacing w:val="-6"/>
        </w:rPr>
        <w:t> </w:t>
      </w:r>
      <w:r>
        <w:rPr>
          <w:color w:val="231F20"/>
          <w:spacing w:val="-1"/>
        </w:rPr>
        <w:t>indicated</w:t>
      </w:r>
      <w:r>
        <w:rPr>
          <w:color w:val="231F20"/>
          <w:spacing w:val="-6"/>
        </w:rPr>
        <w:t> </w:t>
      </w:r>
      <w:r>
        <w:rPr>
          <w:color w:val="231F20"/>
        </w:rPr>
        <w:t>that</w:t>
      </w:r>
      <w:r>
        <w:rPr>
          <w:color w:val="231F20"/>
          <w:spacing w:val="-7"/>
        </w:rPr>
        <w:t> </w:t>
      </w:r>
      <w:r>
        <w:rPr>
          <w:color w:val="231F20"/>
        </w:rPr>
        <w:t>they</w:t>
      </w:r>
      <w:r>
        <w:rPr>
          <w:color w:val="231F20"/>
          <w:spacing w:val="-7"/>
        </w:rPr>
        <w:t> </w:t>
      </w:r>
      <w:r>
        <w:rPr>
          <w:color w:val="231F20"/>
          <w:spacing w:val="-1"/>
        </w:rPr>
        <w:t>invest</w:t>
      </w:r>
      <w:r>
        <w:rPr>
          <w:color w:val="231F20"/>
          <w:spacing w:val="-6"/>
        </w:rPr>
        <w:t> </w:t>
      </w:r>
      <w:r>
        <w:rPr>
          <w:color w:val="231F20"/>
        </w:rPr>
        <w:t>heavily</w:t>
      </w:r>
      <w:r>
        <w:rPr>
          <w:color w:val="231F20"/>
          <w:w w:val="99"/>
        </w:rPr>
        <w:t> </w:t>
      </w:r>
      <w:r>
        <w:rPr>
          <w:color w:val="231F20"/>
          <w:spacing w:val="24"/>
          <w:w w:val="99"/>
        </w:rPr>
        <w:t> </w:t>
      </w:r>
      <w:r>
        <w:rPr>
          <w:color w:val="231F20"/>
          <w:spacing w:val="-1"/>
        </w:rPr>
        <w:t>in</w:t>
      </w:r>
      <w:r>
        <w:rPr>
          <w:color w:val="231F20"/>
          <w:spacing w:val="-7"/>
        </w:rPr>
        <w:t> </w:t>
      </w:r>
      <w:r>
        <w:rPr>
          <w:color w:val="231F20"/>
        </w:rPr>
        <w:t>‘keeping</w:t>
      </w:r>
      <w:r>
        <w:rPr>
          <w:color w:val="231F20"/>
          <w:spacing w:val="-7"/>
        </w:rPr>
        <w:t> </w:t>
      </w:r>
      <w:r>
        <w:rPr>
          <w:color w:val="231F20"/>
        </w:rPr>
        <w:t>boarders</w:t>
      </w:r>
      <w:r>
        <w:rPr>
          <w:color w:val="231F20"/>
          <w:spacing w:val="-7"/>
        </w:rPr>
        <w:t> </w:t>
      </w:r>
      <w:r>
        <w:rPr>
          <w:color w:val="231F20"/>
        </w:rPr>
        <w:t>occupied’</w:t>
      </w:r>
      <w:r>
        <w:rPr>
          <w:color w:val="231F20"/>
          <w:spacing w:val="-7"/>
        </w:rPr>
        <w:t> </w:t>
      </w:r>
      <w:r>
        <w:rPr>
          <w:color w:val="231F20"/>
        </w:rPr>
        <w:t>to</w:t>
      </w:r>
      <w:r>
        <w:rPr>
          <w:color w:val="231F20"/>
          <w:spacing w:val="-7"/>
        </w:rPr>
        <w:t> </w:t>
      </w:r>
      <w:r>
        <w:rPr>
          <w:color w:val="231F20"/>
          <w:spacing w:val="-1"/>
        </w:rPr>
        <w:t>support</w:t>
      </w:r>
      <w:r>
        <w:rPr>
          <w:color w:val="231F20"/>
          <w:spacing w:val="21"/>
          <w:w w:val="99"/>
        </w:rPr>
        <w:t> </w:t>
      </w:r>
      <w:r>
        <w:rPr>
          <w:color w:val="231F20"/>
        </w:rPr>
        <w:t>engagement</w:t>
      </w:r>
      <w:r>
        <w:rPr>
          <w:color w:val="231F20"/>
          <w:spacing w:val="-7"/>
        </w:rPr>
        <w:t> </w:t>
      </w:r>
      <w:r>
        <w:rPr>
          <w:color w:val="231F20"/>
        </w:rPr>
        <w:t>and</w:t>
      </w:r>
      <w:r>
        <w:rPr>
          <w:color w:val="231F20"/>
          <w:spacing w:val="-7"/>
        </w:rPr>
        <w:t> </w:t>
      </w:r>
      <w:r>
        <w:rPr>
          <w:color w:val="231F20"/>
        </w:rPr>
        <w:t>attendance</w:t>
      </w:r>
      <w:r>
        <w:rPr>
          <w:color w:val="231F20"/>
          <w:spacing w:val="-7"/>
        </w:rPr>
        <w:t> </w:t>
      </w:r>
      <w:r>
        <w:rPr>
          <w:color w:val="231F20"/>
        </w:rPr>
        <w:t>but</w:t>
      </w:r>
      <w:r>
        <w:rPr>
          <w:color w:val="231F20"/>
          <w:spacing w:val="-6"/>
        </w:rPr>
        <w:t> </w:t>
      </w:r>
      <w:r>
        <w:rPr>
          <w:color w:val="231F20"/>
        </w:rPr>
        <w:t>there</w:t>
      </w:r>
      <w:r>
        <w:rPr>
          <w:color w:val="231F20"/>
          <w:spacing w:val="-7"/>
        </w:rPr>
        <w:t> </w:t>
      </w:r>
      <w:r>
        <w:rPr>
          <w:color w:val="231F20"/>
          <w:spacing w:val="-1"/>
        </w:rPr>
        <w:t>is</w:t>
      </w:r>
      <w:r>
        <w:rPr>
          <w:color w:val="231F20"/>
          <w:spacing w:val="-7"/>
        </w:rPr>
        <w:t> </w:t>
      </w:r>
      <w:r>
        <w:rPr>
          <w:color w:val="231F20"/>
        </w:rPr>
        <w:t>no</w:t>
      </w:r>
      <w:r>
        <w:rPr/>
      </w:r>
    </w:p>
    <w:p>
      <w:pPr>
        <w:pStyle w:val="BodyText"/>
        <w:spacing w:line="250" w:lineRule="exact"/>
        <w:ind w:left="106" w:right="0"/>
        <w:jc w:val="left"/>
      </w:pPr>
      <w:r>
        <w:rPr>
          <w:color w:val="231F20"/>
        </w:rPr>
        <w:t>accurate</w:t>
      </w:r>
      <w:r>
        <w:rPr>
          <w:color w:val="231F20"/>
          <w:spacing w:val="-6"/>
        </w:rPr>
        <w:t> </w:t>
      </w:r>
      <w:r>
        <w:rPr>
          <w:color w:val="231F20"/>
        </w:rPr>
        <w:t>or</w:t>
      </w:r>
      <w:r>
        <w:rPr>
          <w:color w:val="231F20"/>
          <w:spacing w:val="-5"/>
        </w:rPr>
        <w:t> </w:t>
      </w:r>
      <w:r>
        <w:rPr>
          <w:color w:val="231F20"/>
        </w:rPr>
        <w:t>reliable</w:t>
      </w:r>
      <w:r>
        <w:rPr>
          <w:color w:val="231F20"/>
          <w:spacing w:val="-6"/>
        </w:rPr>
        <w:t> </w:t>
      </w:r>
      <w:r>
        <w:rPr>
          <w:color w:val="231F20"/>
        </w:rPr>
        <w:t>data</w:t>
      </w:r>
      <w:r>
        <w:rPr>
          <w:color w:val="231F20"/>
          <w:spacing w:val="-5"/>
        </w:rPr>
        <w:t> </w:t>
      </w:r>
      <w:r>
        <w:rPr>
          <w:color w:val="231F20"/>
        </w:rPr>
        <w:t>on</w:t>
      </w:r>
      <w:r>
        <w:rPr>
          <w:color w:val="231F20"/>
          <w:spacing w:val="-5"/>
        </w:rPr>
        <w:t> </w:t>
      </w:r>
      <w:r>
        <w:rPr>
          <w:color w:val="231F20"/>
        </w:rPr>
        <w:t>the</w:t>
      </w:r>
      <w:r>
        <w:rPr>
          <w:color w:val="231F20"/>
          <w:spacing w:val="-6"/>
        </w:rPr>
        <w:t> </w:t>
      </w:r>
      <w:r>
        <w:rPr>
          <w:color w:val="231F20"/>
        </w:rPr>
        <w:t>quantum</w:t>
      </w:r>
      <w:r>
        <w:rPr>
          <w:color w:val="231F20"/>
          <w:spacing w:val="-5"/>
        </w:rPr>
        <w:t> </w:t>
      </w:r>
      <w:r>
        <w:rPr>
          <w:color w:val="231F20"/>
        </w:rPr>
        <w:t>of</w:t>
      </w:r>
      <w:r>
        <w:rPr>
          <w:color w:val="231F20"/>
          <w:spacing w:val="-5"/>
        </w:rPr>
        <w:t> </w:t>
      </w:r>
      <w:r>
        <w:rPr>
          <w:color w:val="231F20"/>
        </w:rPr>
        <w:t>the</w:t>
      </w:r>
      <w:r>
        <w:rPr>
          <w:color w:val="231F20"/>
          <w:w w:val="99"/>
        </w:rPr>
        <w:t> </w:t>
      </w:r>
      <w:r>
        <w:rPr>
          <w:color w:val="231F20"/>
          <w:spacing w:val="-1"/>
        </w:rPr>
        <w:t>investment</w:t>
      </w:r>
      <w:r>
        <w:rPr>
          <w:color w:val="231F20"/>
          <w:spacing w:val="-6"/>
        </w:rPr>
        <w:t> </w:t>
      </w:r>
      <w:r>
        <w:rPr>
          <w:color w:val="231F20"/>
          <w:spacing w:val="-1"/>
        </w:rPr>
        <w:t>in</w:t>
      </w:r>
      <w:r>
        <w:rPr>
          <w:color w:val="231F20"/>
          <w:spacing w:val="-5"/>
        </w:rPr>
        <w:t> </w:t>
      </w:r>
      <w:r>
        <w:rPr>
          <w:color w:val="231F20"/>
        </w:rPr>
        <w:t>these</w:t>
      </w:r>
      <w:r>
        <w:rPr>
          <w:color w:val="231F20"/>
          <w:spacing w:val="-6"/>
        </w:rPr>
        <w:t> </w:t>
      </w:r>
      <w:r>
        <w:rPr>
          <w:color w:val="231F20"/>
        </w:rPr>
        <w:t>engagement</w:t>
      </w:r>
      <w:r>
        <w:rPr>
          <w:color w:val="231F20"/>
          <w:spacing w:val="-6"/>
        </w:rPr>
        <w:t> </w:t>
      </w:r>
      <w:r>
        <w:rPr>
          <w:color w:val="231F20"/>
        </w:rPr>
        <w:t>programs.</w:t>
      </w:r>
      <w:r>
        <w:rPr/>
      </w:r>
    </w:p>
    <w:p>
      <w:pPr>
        <w:spacing w:after="0" w:line="250" w:lineRule="exact"/>
        <w:jc w:val="left"/>
        <w:sectPr>
          <w:type w:val="continuous"/>
          <w:pgSz w:w="11910" w:h="16840"/>
          <w:pgMar w:top="1580" w:bottom="280" w:left="1580" w:right="1300"/>
          <w:cols w:num="2" w:equalWidth="0">
            <w:col w:w="4358" w:space="235"/>
            <w:col w:w="4437"/>
          </w:cols>
        </w:sectPr>
      </w:pPr>
    </w:p>
    <w:p>
      <w:pPr>
        <w:spacing w:line="240" w:lineRule="auto" w:before="0"/>
        <w:rPr>
          <w:rFonts w:ascii="Segoe UI" w:hAnsi="Segoe UI" w:cs="Segoe UI" w:eastAsia="Segoe UI"/>
          <w:sz w:val="20"/>
          <w:szCs w:val="20"/>
        </w:rPr>
      </w:pPr>
    </w:p>
    <w:p>
      <w:pPr>
        <w:spacing w:line="240" w:lineRule="auto" w:before="9"/>
        <w:rPr>
          <w:rFonts w:ascii="Segoe UI" w:hAnsi="Segoe UI" w:cs="Segoe UI" w:eastAsia="Segoe UI"/>
          <w:sz w:val="21"/>
          <w:szCs w:val="21"/>
        </w:rPr>
      </w:pPr>
    </w:p>
    <w:p>
      <w:pPr>
        <w:spacing w:before="76"/>
        <w:ind w:left="0" w:right="114" w:firstLine="0"/>
        <w:jc w:val="right"/>
        <w:rPr>
          <w:rFonts w:ascii="Segoe UI Semibold" w:hAnsi="Segoe UI Semibold" w:cs="Segoe UI Semibold" w:eastAsia="Segoe UI Semibold"/>
          <w:sz w:val="11"/>
          <w:szCs w:val="11"/>
        </w:rPr>
      </w:pPr>
      <w:r>
        <w:rPr/>
        <w:pict>
          <v:group style="position:absolute;margin-left:70.865997pt;margin-top:5.785769pt;width:439.4pt;height:253.25pt;mso-position-horizontal-relative:page;mso-position-vertical-relative:paragraph;z-index:-227632" coordorigin="1417,116" coordsize="8788,5065">
            <v:group style="position:absolute;left:1517;top:216;width:8588;height:4865" coordorigin="1517,216" coordsize="8588,4865">
              <v:shape style="position:absolute;left:1517;top:216;width:8588;height:4865" coordorigin="1517,216" coordsize="8588,4865" path="m1517,5080l10105,5080,10105,216,1517,216,1517,5080xe" filled="false" stroked="true" strokeweight="10pt" strokecolor="#c1b5a9">
                <v:path arrowok="t"/>
              </v:shape>
            </v:group>
            <v:group style="position:absolute;left:2634;top:1696;width:6663;height:2" coordorigin="2634,1696" coordsize="6663,2">
              <v:shape style="position:absolute;left:2634;top:1696;width:6663;height:2" coordorigin="2634,1696" coordsize="6663,0" path="m2634,1696l9297,1696e" filled="false" stroked="true" strokeweight=".705pt" strokecolor="#dcddde">
                <v:path arrowok="t"/>
              </v:shape>
            </v:group>
            <v:group style="position:absolute;left:2634;top:1290;width:6663;height:2" coordorigin="2634,1290" coordsize="6663,2">
              <v:shape style="position:absolute;left:2634;top:1290;width:6663;height:2" coordorigin="2634,1290" coordsize="6663,0" path="m2634,1290l9297,1290e" filled="false" stroked="true" strokeweight=".705pt" strokecolor="#dcddde">
                <v:path arrowok="t"/>
              </v:shape>
              <v:shape style="position:absolute;left:1417;top:116;width:8788;height:5065" type="#_x0000_t202" filled="false" stroked="false">
                <v:textbox inset="0,0,0,0">
                  <w:txbxContent>
                    <w:p>
                      <w:pPr>
                        <w:spacing w:line="240" w:lineRule="auto" w:before="1"/>
                        <w:rPr>
                          <w:rFonts w:ascii="Segoe UI" w:hAnsi="Segoe UI" w:cs="Segoe UI" w:eastAsia="Segoe UI"/>
                          <w:sz w:val="18"/>
                          <w:szCs w:val="18"/>
                        </w:rPr>
                      </w:pPr>
                    </w:p>
                    <w:p>
                      <w:pPr>
                        <w:spacing w:line="200" w:lineRule="exact" w:before="0"/>
                        <w:ind w:left="286" w:right="746" w:firstLine="0"/>
                        <w:jc w:val="left"/>
                        <w:rPr>
                          <w:rFonts w:ascii="Segoe UI Semibold" w:hAnsi="Segoe UI Semibold" w:cs="Segoe UI Semibold" w:eastAsia="Segoe UI Semibold"/>
                          <w:sz w:val="16"/>
                          <w:szCs w:val="16"/>
                        </w:rPr>
                      </w:pPr>
                      <w:r>
                        <w:rPr>
                          <w:rFonts w:ascii="Segoe UI Semibold"/>
                          <w:b/>
                          <w:color w:val="666155"/>
                          <w:spacing w:val="4"/>
                          <w:sz w:val="16"/>
                        </w:rPr>
                        <w:t>GRAPH</w:t>
                      </w:r>
                      <w:r>
                        <w:rPr>
                          <w:rFonts w:ascii="Segoe UI Semibold"/>
                          <w:b/>
                          <w:color w:val="666155"/>
                          <w:spacing w:val="-2"/>
                          <w:sz w:val="16"/>
                        </w:rPr>
                        <w:t> </w:t>
                      </w:r>
                      <w:r>
                        <w:rPr>
                          <w:rFonts w:ascii="Segoe UI Semibold"/>
                          <w:b/>
                          <w:color w:val="666155"/>
                          <w:sz w:val="16"/>
                        </w:rPr>
                        <w:t>6:</w:t>
                      </w:r>
                      <w:r>
                        <w:rPr>
                          <w:rFonts w:ascii="Segoe UI Semibold"/>
                          <w:b/>
                          <w:color w:val="666155"/>
                          <w:spacing w:val="-2"/>
                          <w:sz w:val="16"/>
                        </w:rPr>
                        <w:t> </w:t>
                      </w:r>
                      <w:r>
                        <w:rPr>
                          <w:rFonts w:ascii="Segoe UI Semibold"/>
                          <w:b/>
                          <w:color w:val="666155"/>
                          <w:spacing w:val="3"/>
                          <w:sz w:val="16"/>
                        </w:rPr>
                        <w:t>COMPARISON</w:t>
                      </w:r>
                      <w:r>
                        <w:rPr>
                          <w:rFonts w:ascii="Segoe UI Semibold"/>
                          <w:b/>
                          <w:color w:val="666155"/>
                          <w:spacing w:val="1"/>
                          <w:sz w:val="16"/>
                        </w:rPr>
                        <w:t> </w:t>
                      </w:r>
                      <w:r>
                        <w:rPr>
                          <w:rFonts w:ascii="Segoe UI Semibold"/>
                          <w:b/>
                          <w:color w:val="666155"/>
                          <w:spacing w:val="2"/>
                          <w:sz w:val="16"/>
                        </w:rPr>
                        <w:t>OF</w:t>
                      </w:r>
                      <w:r>
                        <w:rPr>
                          <w:rFonts w:ascii="Segoe UI Semibold"/>
                          <w:b/>
                          <w:color w:val="666155"/>
                          <w:spacing w:val="1"/>
                          <w:sz w:val="16"/>
                        </w:rPr>
                        <w:t> </w:t>
                      </w:r>
                      <w:r>
                        <w:rPr>
                          <w:rFonts w:ascii="Segoe UI Semibold"/>
                          <w:b/>
                          <w:color w:val="666155"/>
                          <w:spacing w:val="2"/>
                          <w:sz w:val="16"/>
                        </w:rPr>
                        <w:t>AVERAGE</w:t>
                      </w:r>
                      <w:r>
                        <w:rPr>
                          <w:rFonts w:ascii="Segoe UI Semibold"/>
                          <w:b/>
                          <w:color w:val="666155"/>
                          <w:spacing w:val="1"/>
                          <w:sz w:val="16"/>
                        </w:rPr>
                        <w:t> </w:t>
                      </w:r>
                      <w:r>
                        <w:rPr>
                          <w:rFonts w:ascii="Segoe UI Semibold"/>
                          <w:b/>
                          <w:color w:val="666155"/>
                          <w:spacing w:val="3"/>
                          <w:sz w:val="16"/>
                        </w:rPr>
                        <w:t>ATTENDANCE</w:t>
                      </w:r>
                      <w:r>
                        <w:rPr>
                          <w:rFonts w:ascii="Segoe UI Semibold"/>
                          <w:b/>
                          <w:color w:val="666155"/>
                          <w:spacing w:val="1"/>
                          <w:sz w:val="16"/>
                        </w:rPr>
                        <w:t> </w:t>
                      </w:r>
                      <w:r>
                        <w:rPr>
                          <w:rFonts w:ascii="Segoe UI Semibold"/>
                          <w:b/>
                          <w:color w:val="666155"/>
                          <w:spacing w:val="-3"/>
                          <w:sz w:val="16"/>
                        </w:rPr>
                        <w:t>AT</w:t>
                      </w:r>
                      <w:r>
                        <w:rPr>
                          <w:rFonts w:ascii="Segoe UI Semibold"/>
                          <w:b/>
                          <w:color w:val="666155"/>
                          <w:sz w:val="16"/>
                        </w:rPr>
                        <w:t> </w:t>
                      </w:r>
                      <w:r>
                        <w:rPr>
                          <w:rFonts w:ascii="Segoe UI Semibold"/>
                          <w:b/>
                          <w:color w:val="666155"/>
                          <w:spacing w:val="4"/>
                          <w:sz w:val="16"/>
                        </w:rPr>
                        <w:t>ABORIGINAL</w:t>
                      </w:r>
                      <w:r>
                        <w:rPr>
                          <w:rFonts w:ascii="Segoe UI Semibold"/>
                          <w:b/>
                          <w:color w:val="666155"/>
                          <w:spacing w:val="2"/>
                          <w:sz w:val="16"/>
                        </w:rPr>
                        <w:t> </w:t>
                      </w:r>
                      <w:r>
                        <w:rPr>
                          <w:rFonts w:ascii="Segoe UI Semibold"/>
                          <w:b/>
                          <w:color w:val="666155"/>
                          <w:spacing w:val="3"/>
                          <w:sz w:val="16"/>
                        </w:rPr>
                        <w:t>AND</w:t>
                      </w:r>
                      <w:r>
                        <w:rPr>
                          <w:rFonts w:ascii="Segoe UI Semibold"/>
                          <w:b/>
                          <w:color w:val="666155"/>
                          <w:spacing w:val="1"/>
                          <w:sz w:val="16"/>
                        </w:rPr>
                        <w:t> </w:t>
                      </w:r>
                      <w:r>
                        <w:rPr>
                          <w:rFonts w:ascii="Segoe UI Semibold"/>
                          <w:b/>
                          <w:color w:val="666155"/>
                          <w:spacing w:val="3"/>
                          <w:sz w:val="16"/>
                        </w:rPr>
                        <w:t>TORRES</w:t>
                      </w:r>
                      <w:r>
                        <w:rPr>
                          <w:rFonts w:ascii="Segoe UI Semibold"/>
                          <w:b/>
                          <w:color w:val="666155"/>
                          <w:spacing w:val="1"/>
                          <w:sz w:val="16"/>
                        </w:rPr>
                        <w:t> </w:t>
                      </w:r>
                      <w:r>
                        <w:rPr>
                          <w:rFonts w:ascii="Segoe UI Semibold"/>
                          <w:b/>
                          <w:color w:val="666155"/>
                          <w:spacing w:val="4"/>
                          <w:sz w:val="16"/>
                        </w:rPr>
                        <w:t>STRAIT</w:t>
                      </w:r>
                      <w:r>
                        <w:rPr>
                          <w:rFonts w:ascii="Segoe UI Semibold"/>
                          <w:b/>
                          <w:color w:val="666155"/>
                          <w:spacing w:val="1"/>
                          <w:sz w:val="16"/>
                        </w:rPr>
                        <w:t> </w:t>
                      </w:r>
                      <w:r>
                        <w:rPr>
                          <w:rFonts w:ascii="Segoe UI Semibold"/>
                          <w:b/>
                          <w:color w:val="666155"/>
                          <w:spacing w:val="5"/>
                          <w:sz w:val="16"/>
                        </w:rPr>
                        <w:t>ISLANDER</w:t>
                      </w:r>
                      <w:r>
                        <w:rPr>
                          <w:rFonts w:ascii="Segoe UI Semibold"/>
                          <w:b/>
                          <w:color w:val="666155"/>
                          <w:spacing w:val="55"/>
                          <w:w w:val="99"/>
                          <w:sz w:val="16"/>
                        </w:rPr>
                        <w:t> </w:t>
                      </w:r>
                      <w:r>
                        <w:rPr>
                          <w:rFonts w:ascii="Segoe UI Semibold"/>
                          <w:b/>
                          <w:color w:val="666155"/>
                          <w:spacing w:val="4"/>
                          <w:sz w:val="16"/>
                        </w:rPr>
                        <w:t>BOARDING</w:t>
                      </w:r>
                      <w:r>
                        <w:rPr>
                          <w:rFonts w:ascii="Segoe UI Semibold"/>
                          <w:b/>
                          <w:color w:val="666155"/>
                          <w:sz w:val="16"/>
                        </w:rPr>
                        <w:t> </w:t>
                      </w:r>
                      <w:r>
                        <w:rPr>
                          <w:rFonts w:ascii="Segoe UI Semibold"/>
                          <w:b/>
                          <w:color w:val="666155"/>
                          <w:spacing w:val="4"/>
                          <w:sz w:val="16"/>
                        </w:rPr>
                        <w:t>SCHOOLS</w:t>
                      </w:r>
                      <w:r>
                        <w:rPr>
                          <w:rFonts w:ascii="Segoe UI Semibold"/>
                          <w:b/>
                          <w:color w:val="666155"/>
                          <w:spacing w:val="1"/>
                          <w:sz w:val="16"/>
                        </w:rPr>
                        <w:t> </w:t>
                      </w:r>
                      <w:r>
                        <w:rPr>
                          <w:rFonts w:ascii="Segoe UI Semibold"/>
                          <w:b/>
                          <w:color w:val="666155"/>
                          <w:spacing w:val="4"/>
                          <w:sz w:val="16"/>
                        </w:rPr>
                        <w:t>AGAINST</w:t>
                      </w:r>
                      <w:r>
                        <w:rPr>
                          <w:rFonts w:ascii="Segoe UI Semibold"/>
                          <w:b/>
                          <w:color w:val="666155"/>
                          <w:spacing w:val="1"/>
                          <w:sz w:val="16"/>
                        </w:rPr>
                        <w:t> </w:t>
                      </w:r>
                      <w:r>
                        <w:rPr>
                          <w:rFonts w:ascii="Segoe UI Semibold"/>
                          <w:b/>
                          <w:color w:val="666155"/>
                          <w:spacing w:val="3"/>
                          <w:sz w:val="16"/>
                        </w:rPr>
                        <w:t>THE</w:t>
                      </w:r>
                      <w:r>
                        <w:rPr>
                          <w:rFonts w:ascii="Segoe UI Semibold"/>
                          <w:b/>
                          <w:color w:val="666155"/>
                          <w:sz w:val="16"/>
                        </w:rPr>
                        <w:t> </w:t>
                      </w:r>
                      <w:r>
                        <w:rPr>
                          <w:rFonts w:ascii="Segoe UI Semibold"/>
                          <w:b/>
                          <w:color w:val="666155"/>
                          <w:spacing w:val="4"/>
                          <w:sz w:val="16"/>
                        </w:rPr>
                        <w:t>PROPORTION</w:t>
                      </w:r>
                      <w:r>
                        <w:rPr>
                          <w:rFonts w:ascii="Segoe UI Semibold"/>
                          <w:b/>
                          <w:color w:val="666155"/>
                          <w:spacing w:val="1"/>
                          <w:sz w:val="16"/>
                        </w:rPr>
                        <w:t> </w:t>
                      </w:r>
                      <w:r>
                        <w:rPr>
                          <w:rFonts w:ascii="Segoe UI Semibold"/>
                          <w:b/>
                          <w:color w:val="666155"/>
                          <w:spacing w:val="2"/>
                          <w:sz w:val="16"/>
                        </w:rPr>
                        <w:t>OF</w:t>
                      </w:r>
                      <w:r>
                        <w:rPr>
                          <w:rFonts w:ascii="Segoe UI Semibold"/>
                          <w:b/>
                          <w:color w:val="666155"/>
                          <w:spacing w:val="1"/>
                          <w:sz w:val="16"/>
                        </w:rPr>
                        <w:t> </w:t>
                      </w:r>
                      <w:r>
                        <w:rPr>
                          <w:rFonts w:ascii="Segoe UI Semibold"/>
                          <w:b/>
                          <w:color w:val="666155"/>
                          <w:spacing w:val="4"/>
                          <w:sz w:val="16"/>
                        </w:rPr>
                        <w:t>ABORIGINAL</w:t>
                      </w:r>
                      <w:r>
                        <w:rPr>
                          <w:rFonts w:ascii="Segoe UI Semibold"/>
                          <w:b/>
                          <w:color w:val="666155"/>
                          <w:spacing w:val="1"/>
                          <w:sz w:val="16"/>
                        </w:rPr>
                        <w:t> </w:t>
                      </w:r>
                      <w:r>
                        <w:rPr>
                          <w:rFonts w:ascii="Segoe UI Semibold"/>
                          <w:b/>
                          <w:color w:val="666155"/>
                          <w:spacing w:val="3"/>
                          <w:sz w:val="16"/>
                        </w:rPr>
                        <w:t>AND</w:t>
                      </w:r>
                      <w:r>
                        <w:rPr>
                          <w:rFonts w:ascii="Segoe UI Semibold"/>
                          <w:b/>
                          <w:color w:val="666155"/>
                          <w:sz w:val="16"/>
                        </w:rPr>
                        <w:t> </w:t>
                      </w:r>
                      <w:r>
                        <w:rPr>
                          <w:rFonts w:ascii="Segoe UI Semibold"/>
                          <w:b/>
                          <w:color w:val="666155"/>
                          <w:spacing w:val="3"/>
                          <w:sz w:val="16"/>
                        </w:rPr>
                        <w:t>TORRES</w:t>
                      </w:r>
                      <w:r>
                        <w:rPr>
                          <w:rFonts w:ascii="Segoe UI Semibold"/>
                          <w:b/>
                          <w:color w:val="666155"/>
                          <w:spacing w:val="1"/>
                          <w:sz w:val="16"/>
                        </w:rPr>
                        <w:t> </w:t>
                      </w:r>
                      <w:r>
                        <w:rPr>
                          <w:rFonts w:ascii="Segoe UI Semibold"/>
                          <w:b/>
                          <w:color w:val="666155"/>
                          <w:spacing w:val="4"/>
                          <w:sz w:val="16"/>
                        </w:rPr>
                        <w:t>STRAIT</w:t>
                      </w:r>
                      <w:r>
                        <w:rPr>
                          <w:rFonts w:ascii="Segoe UI Semibold"/>
                          <w:b/>
                          <w:color w:val="666155"/>
                          <w:spacing w:val="1"/>
                          <w:sz w:val="16"/>
                        </w:rPr>
                        <w:t> </w:t>
                      </w:r>
                      <w:r>
                        <w:rPr>
                          <w:rFonts w:ascii="Segoe UI Semibold"/>
                          <w:b/>
                          <w:color w:val="666155"/>
                          <w:spacing w:val="5"/>
                          <w:sz w:val="16"/>
                        </w:rPr>
                        <w:t>ISLANDER</w:t>
                      </w:r>
                      <w:r>
                        <w:rPr>
                          <w:rFonts w:ascii="Segoe UI Semibold"/>
                          <w:b/>
                          <w:color w:val="666155"/>
                          <w:spacing w:val="39"/>
                          <w:w w:val="99"/>
                          <w:sz w:val="16"/>
                        </w:rPr>
                        <w:t> </w:t>
                      </w:r>
                      <w:r>
                        <w:rPr>
                          <w:rFonts w:ascii="Segoe UI Semibold"/>
                          <w:b/>
                          <w:color w:val="666155"/>
                          <w:spacing w:val="4"/>
                          <w:sz w:val="16"/>
                        </w:rPr>
                        <w:t>BOARDER</w:t>
                      </w:r>
                      <w:r>
                        <w:rPr>
                          <w:rFonts w:ascii="Segoe UI Semibold"/>
                          <w:b/>
                          <w:color w:val="666155"/>
                          <w:spacing w:val="-12"/>
                          <w:sz w:val="16"/>
                        </w:rPr>
                        <w:t> </w:t>
                      </w:r>
                      <w:r>
                        <w:rPr>
                          <w:rFonts w:ascii="Segoe UI Semibold"/>
                          <w:b/>
                          <w:color w:val="666155"/>
                          <w:spacing w:val="4"/>
                          <w:sz w:val="16"/>
                        </w:rPr>
                        <w:t>ENROLMENTS</w:t>
                      </w:r>
                      <w:r>
                        <w:rPr>
                          <w:rFonts w:ascii="Segoe UI Semibold"/>
                          <w:sz w:val="16"/>
                        </w:rPr>
                      </w:r>
                    </w:p>
                    <w:p>
                      <w:pPr>
                        <w:spacing w:line="240" w:lineRule="auto" w:before="10"/>
                        <w:rPr>
                          <w:rFonts w:ascii="Segoe UI" w:hAnsi="Segoe UI" w:cs="Segoe UI" w:eastAsia="Segoe UI"/>
                          <w:sz w:val="16"/>
                          <w:szCs w:val="16"/>
                        </w:rPr>
                      </w:pPr>
                    </w:p>
                    <w:p>
                      <w:pPr>
                        <w:spacing w:before="0"/>
                        <w:ind w:left="695" w:right="0" w:firstLine="0"/>
                        <w:jc w:val="left"/>
                        <w:rPr>
                          <w:rFonts w:ascii="Segoe UI" w:hAnsi="Segoe UI" w:cs="Segoe UI" w:eastAsia="Segoe UI"/>
                          <w:sz w:val="15"/>
                          <w:szCs w:val="15"/>
                        </w:rPr>
                      </w:pPr>
                      <w:r>
                        <w:rPr>
                          <w:rFonts w:ascii="Segoe UI"/>
                          <w:color w:val="77787B"/>
                          <w:spacing w:val="-1"/>
                          <w:sz w:val="15"/>
                        </w:rPr>
                        <w:t>100%</w:t>
                      </w:r>
                      <w:r>
                        <w:rPr>
                          <w:rFonts w:ascii="Segoe UI"/>
                          <w:sz w:val="15"/>
                        </w:rPr>
                      </w:r>
                    </w:p>
                    <w:p>
                      <w:pPr>
                        <w:spacing w:line="240" w:lineRule="auto" w:before="6"/>
                        <w:rPr>
                          <w:rFonts w:ascii="Segoe UI" w:hAnsi="Segoe UI" w:cs="Segoe UI" w:eastAsia="Segoe UI"/>
                          <w:sz w:val="15"/>
                          <w:szCs w:val="15"/>
                        </w:rPr>
                      </w:pPr>
                    </w:p>
                    <w:p>
                      <w:pPr>
                        <w:spacing w:before="0"/>
                        <w:ind w:left="777" w:right="0" w:firstLine="0"/>
                        <w:jc w:val="left"/>
                        <w:rPr>
                          <w:rFonts w:ascii="Segoe UI" w:hAnsi="Segoe UI" w:cs="Segoe UI" w:eastAsia="Segoe UI"/>
                          <w:sz w:val="15"/>
                          <w:szCs w:val="15"/>
                        </w:rPr>
                      </w:pPr>
                      <w:r>
                        <w:rPr>
                          <w:rFonts w:ascii="Segoe UI"/>
                          <w:color w:val="77787B"/>
                          <w:spacing w:val="-1"/>
                          <w:sz w:val="15"/>
                        </w:rPr>
                        <w:t>95%</w:t>
                      </w:r>
                      <w:r>
                        <w:rPr>
                          <w:rFonts w:ascii="Segoe UI"/>
                          <w:sz w:val="15"/>
                        </w:rPr>
                      </w:r>
                    </w:p>
                    <w:p>
                      <w:pPr>
                        <w:spacing w:line="240" w:lineRule="auto" w:before="6"/>
                        <w:rPr>
                          <w:rFonts w:ascii="Segoe UI" w:hAnsi="Segoe UI" w:cs="Segoe UI" w:eastAsia="Segoe UI"/>
                          <w:sz w:val="15"/>
                          <w:szCs w:val="15"/>
                        </w:rPr>
                      </w:pPr>
                    </w:p>
                    <w:p>
                      <w:pPr>
                        <w:spacing w:before="0"/>
                        <w:ind w:left="777" w:right="0" w:firstLine="0"/>
                        <w:jc w:val="left"/>
                        <w:rPr>
                          <w:rFonts w:ascii="Segoe UI" w:hAnsi="Segoe UI" w:cs="Segoe UI" w:eastAsia="Segoe UI"/>
                          <w:sz w:val="15"/>
                          <w:szCs w:val="15"/>
                        </w:rPr>
                      </w:pPr>
                      <w:r>
                        <w:rPr>
                          <w:rFonts w:ascii="Segoe UI"/>
                          <w:color w:val="77787B"/>
                          <w:spacing w:val="-1"/>
                          <w:sz w:val="15"/>
                        </w:rPr>
                        <w:t>90%</w:t>
                      </w:r>
                      <w:r>
                        <w:rPr>
                          <w:rFonts w:ascii="Segoe UI"/>
                          <w:sz w:val="15"/>
                        </w:rPr>
                      </w:r>
                    </w:p>
                    <w:p>
                      <w:pPr>
                        <w:spacing w:line="240" w:lineRule="auto" w:before="6"/>
                        <w:rPr>
                          <w:rFonts w:ascii="Segoe UI" w:hAnsi="Segoe UI" w:cs="Segoe UI" w:eastAsia="Segoe UI"/>
                          <w:sz w:val="15"/>
                          <w:szCs w:val="15"/>
                        </w:rPr>
                      </w:pPr>
                    </w:p>
                    <w:p>
                      <w:pPr>
                        <w:spacing w:before="0"/>
                        <w:ind w:left="777" w:right="0" w:firstLine="0"/>
                        <w:jc w:val="left"/>
                        <w:rPr>
                          <w:rFonts w:ascii="Segoe UI" w:hAnsi="Segoe UI" w:cs="Segoe UI" w:eastAsia="Segoe UI"/>
                          <w:sz w:val="15"/>
                          <w:szCs w:val="15"/>
                        </w:rPr>
                      </w:pPr>
                      <w:r>
                        <w:rPr>
                          <w:rFonts w:ascii="Segoe UI"/>
                          <w:color w:val="77787B"/>
                          <w:spacing w:val="-1"/>
                          <w:sz w:val="15"/>
                        </w:rPr>
                        <w:t>85%</w:t>
                      </w:r>
                      <w:r>
                        <w:rPr>
                          <w:rFonts w:ascii="Segoe UI"/>
                          <w:sz w:val="15"/>
                        </w:rPr>
                      </w:r>
                    </w:p>
                    <w:p>
                      <w:pPr>
                        <w:spacing w:line="240" w:lineRule="auto" w:before="6"/>
                        <w:rPr>
                          <w:rFonts w:ascii="Segoe UI" w:hAnsi="Segoe UI" w:cs="Segoe UI" w:eastAsia="Segoe UI"/>
                          <w:sz w:val="15"/>
                          <w:szCs w:val="15"/>
                        </w:rPr>
                      </w:pPr>
                    </w:p>
                    <w:p>
                      <w:pPr>
                        <w:spacing w:before="0"/>
                        <w:ind w:left="777" w:right="0" w:firstLine="0"/>
                        <w:jc w:val="left"/>
                        <w:rPr>
                          <w:rFonts w:ascii="Segoe UI" w:hAnsi="Segoe UI" w:cs="Segoe UI" w:eastAsia="Segoe UI"/>
                          <w:sz w:val="15"/>
                          <w:szCs w:val="15"/>
                        </w:rPr>
                      </w:pPr>
                      <w:r>
                        <w:rPr>
                          <w:rFonts w:ascii="Segoe UI"/>
                          <w:color w:val="77787B"/>
                          <w:spacing w:val="-1"/>
                          <w:sz w:val="15"/>
                        </w:rPr>
                        <w:t>80%</w:t>
                      </w:r>
                      <w:r>
                        <w:rPr>
                          <w:rFonts w:ascii="Segoe UI"/>
                          <w:sz w:val="15"/>
                        </w:rPr>
                      </w:r>
                    </w:p>
                    <w:p>
                      <w:pPr>
                        <w:spacing w:line="240" w:lineRule="auto" w:before="6"/>
                        <w:rPr>
                          <w:rFonts w:ascii="Segoe UI" w:hAnsi="Segoe UI" w:cs="Segoe UI" w:eastAsia="Segoe UI"/>
                          <w:sz w:val="15"/>
                          <w:szCs w:val="15"/>
                        </w:rPr>
                      </w:pPr>
                    </w:p>
                    <w:p>
                      <w:pPr>
                        <w:spacing w:before="0"/>
                        <w:ind w:left="777" w:right="0" w:firstLine="0"/>
                        <w:jc w:val="left"/>
                        <w:rPr>
                          <w:rFonts w:ascii="Segoe UI" w:hAnsi="Segoe UI" w:cs="Segoe UI" w:eastAsia="Segoe UI"/>
                          <w:sz w:val="15"/>
                          <w:szCs w:val="15"/>
                        </w:rPr>
                      </w:pPr>
                      <w:r>
                        <w:rPr>
                          <w:rFonts w:ascii="Segoe UI"/>
                          <w:color w:val="77787B"/>
                          <w:spacing w:val="-1"/>
                          <w:sz w:val="15"/>
                        </w:rPr>
                        <w:t>75%</w:t>
                      </w:r>
                      <w:r>
                        <w:rPr>
                          <w:rFonts w:ascii="Segoe UI"/>
                          <w:sz w:val="15"/>
                        </w:rPr>
                      </w:r>
                    </w:p>
                    <w:p>
                      <w:pPr>
                        <w:spacing w:line="240" w:lineRule="auto" w:before="6"/>
                        <w:rPr>
                          <w:rFonts w:ascii="Segoe UI" w:hAnsi="Segoe UI" w:cs="Segoe UI" w:eastAsia="Segoe UI"/>
                          <w:sz w:val="15"/>
                          <w:szCs w:val="15"/>
                        </w:rPr>
                      </w:pPr>
                    </w:p>
                    <w:p>
                      <w:pPr>
                        <w:spacing w:before="0"/>
                        <w:ind w:left="777" w:right="0" w:firstLine="0"/>
                        <w:jc w:val="left"/>
                        <w:rPr>
                          <w:rFonts w:ascii="Segoe UI" w:hAnsi="Segoe UI" w:cs="Segoe UI" w:eastAsia="Segoe UI"/>
                          <w:sz w:val="15"/>
                          <w:szCs w:val="15"/>
                        </w:rPr>
                      </w:pPr>
                      <w:r>
                        <w:rPr>
                          <w:rFonts w:ascii="Segoe UI"/>
                          <w:color w:val="77787B"/>
                          <w:spacing w:val="-1"/>
                          <w:sz w:val="15"/>
                        </w:rPr>
                        <w:t>70%</w:t>
                      </w:r>
                      <w:r>
                        <w:rPr>
                          <w:rFonts w:ascii="Segoe UI"/>
                          <w:sz w:val="15"/>
                        </w:rPr>
                      </w:r>
                    </w:p>
                    <w:p>
                      <w:pPr>
                        <w:spacing w:line="240" w:lineRule="auto" w:before="6"/>
                        <w:rPr>
                          <w:rFonts w:ascii="Segoe UI" w:hAnsi="Segoe UI" w:cs="Segoe UI" w:eastAsia="Segoe UI"/>
                          <w:sz w:val="15"/>
                          <w:szCs w:val="15"/>
                        </w:rPr>
                      </w:pPr>
                    </w:p>
                    <w:p>
                      <w:pPr>
                        <w:spacing w:before="0"/>
                        <w:ind w:left="777" w:right="0" w:firstLine="0"/>
                        <w:jc w:val="left"/>
                        <w:rPr>
                          <w:rFonts w:ascii="Segoe UI" w:hAnsi="Segoe UI" w:cs="Segoe UI" w:eastAsia="Segoe UI"/>
                          <w:sz w:val="15"/>
                          <w:szCs w:val="15"/>
                        </w:rPr>
                      </w:pPr>
                      <w:r>
                        <w:rPr>
                          <w:rFonts w:ascii="Segoe UI"/>
                          <w:color w:val="77787B"/>
                          <w:spacing w:val="-1"/>
                          <w:sz w:val="15"/>
                        </w:rPr>
                        <w:t>65%</w:t>
                      </w:r>
                      <w:r>
                        <w:rPr>
                          <w:rFonts w:ascii="Segoe UI"/>
                          <w:sz w:val="15"/>
                        </w:rPr>
                      </w:r>
                    </w:p>
                    <w:p>
                      <w:pPr>
                        <w:spacing w:line="240" w:lineRule="auto" w:before="6"/>
                        <w:rPr>
                          <w:rFonts w:ascii="Segoe UI" w:hAnsi="Segoe UI" w:cs="Segoe UI" w:eastAsia="Segoe UI"/>
                          <w:sz w:val="15"/>
                          <w:szCs w:val="15"/>
                        </w:rPr>
                      </w:pPr>
                    </w:p>
                    <w:p>
                      <w:pPr>
                        <w:spacing w:before="0"/>
                        <w:ind w:left="777" w:right="0" w:firstLine="0"/>
                        <w:jc w:val="left"/>
                        <w:rPr>
                          <w:rFonts w:ascii="Segoe UI" w:hAnsi="Segoe UI" w:cs="Segoe UI" w:eastAsia="Segoe UI"/>
                          <w:sz w:val="15"/>
                          <w:szCs w:val="15"/>
                        </w:rPr>
                      </w:pPr>
                      <w:r>
                        <w:rPr>
                          <w:rFonts w:ascii="Segoe UI"/>
                          <w:color w:val="77787B"/>
                          <w:spacing w:val="-1"/>
                          <w:sz w:val="15"/>
                        </w:rPr>
                        <w:t>60%</w:t>
                      </w:r>
                      <w:r>
                        <w:rPr>
                          <w:rFonts w:ascii="Segoe UI"/>
                          <w:sz w:val="15"/>
                        </w:rPr>
                      </w:r>
                    </w:p>
                    <w:p>
                      <w:pPr>
                        <w:tabs>
                          <w:tab w:pos="4271" w:val="left" w:leader="none"/>
                          <w:tab w:pos="6610" w:val="left" w:leader="none"/>
                        </w:tabs>
                        <w:spacing w:before="21"/>
                        <w:ind w:left="2193" w:right="0" w:firstLine="0"/>
                        <w:jc w:val="left"/>
                        <w:rPr>
                          <w:rFonts w:ascii="Segoe UI" w:hAnsi="Segoe UI" w:cs="Segoe UI" w:eastAsia="Segoe UI"/>
                          <w:sz w:val="15"/>
                          <w:szCs w:val="15"/>
                        </w:rPr>
                      </w:pPr>
                      <w:r>
                        <w:rPr>
                          <w:rFonts w:ascii="Segoe UI"/>
                          <w:color w:val="77787B"/>
                          <w:spacing w:val="-1"/>
                          <w:sz w:val="15"/>
                        </w:rPr>
                        <w:t>Low</w:t>
                        <w:tab/>
                      </w:r>
                      <w:r>
                        <w:rPr>
                          <w:rFonts w:ascii="Segoe UI"/>
                          <w:color w:val="77787B"/>
                          <w:spacing w:val="-1"/>
                          <w:w w:val="95"/>
                          <w:sz w:val="15"/>
                        </w:rPr>
                        <w:t>Medium</w:t>
                        <w:tab/>
                      </w:r>
                      <w:r>
                        <w:rPr>
                          <w:rFonts w:ascii="Segoe UI"/>
                          <w:color w:val="77787B"/>
                          <w:spacing w:val="-1"/>
                          <w:sz w:val="15"/>
                        </w:rPr>
                        <w:t>High</w:t>
                      </w:r>
                      <w:r>
                        <w:rPr>
                          <w:rFonts w:ascii="Segoe UI"/>
                          <w:sz w:val="15"/>
                        </w:rPr>
                      </w:r>
                    </w:p>
                  </w:txbxContent>
                </v:textbox>
                <w10:wrap type="none"/>
              </v:shape>
            </v:group>
            <w10:wrap type="none"/>
          </v:group>
        </w:pict>
      </w:r>
      <w:r>
        <w:rPr>
          <w:rFonts w:ascii="Segoe UI Semibold"/>
          <w:b/>
          <w:color w:val="231F20"/>
          <w:w w:val="105"/>
          <w:sz w:val="11"/>
        </w:rPr>
        <w:t>67</w:t>
      </w:r>
      <w:r>
        <w:rPr>
          <w:rFonts w:ascii="Segoe UI Semibold"/>
          <w:sz w:val="11"/>
        </w:rPr>
      </w: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10"/>
        <w:rPr>
          <w:rFonts w:ascii="Segoe UI Semibold" w:hAnsi="Segoe UI Semibold" w:cs="Segoe UI Semibold" w:eastAsia="Segoe UI Semibold"/>
          <w:b/>
          <w:bCs/>
          <w:sz w:val="13"/>
          <w:szCs w:val="13"/>
        </w:rPr>
      </w:pPr>
    </w:p>
    <w:tbl>
      <w:tblPr>
        <w:tblW w:w="0" w:type="auto"/>
        <w:jc w:val="left"/>
        <w:tblInd w:w="1326" w:type="dxa"/>
        <w:tblLayout w:type="fixed"/>
        <w:tblCellMar>
          <w:top w:w="0" w:type="dxa"/>
          <w:left w:w="0" w:type="dxa"/>
          <w:bottom w:w="0" w:type="dxa"/>
          <w:right w:w="0" w:type="dxa"/>
        </w:tblCellMar>
        <w:tblLook w:val="01E0"/>
      </w:tblPr>
      <w:tblGrid>
        <w:gridCol w:w="762"/>
        <w:gridCol w:w="696"/>
        <w:gridCol w:w="1525"/>
        <w:gridCol w:w="696"/>
        <w:gridCol w:w="1525"/>
        <w:gridCol w:w="696"/>
        <w:gridCol w:w="762"/>
      </w:tblGrid>
      <w:tr>
        <w:trPr>
          <w:trHeight w:val="92" w:hRule="exact"/>
        </w:trPr>
        <w:tc>
          <w:tcPr>
            <w:tcW w:w="762" w:type="dxa"/>
            <w:tcBorders>
              <w:top w:val="nil" w:sz="6" w:space="0" w:color="auto"/>
              <w:left w:val="nil" w:sz="6" w:space="0" w:color="auto"/>
              <w:bottom w:val="single" w:sz="6" w:space="0" w:color="DCDDDE"/>
              <w:right w:val="nil" w:sz="6" w:space="0" w:color="auto"/>
            </w:tcBorders>
          </w:tcPr>
          <w:p>
            <w:pPr/>
          </w:p>
        </w:tc>
        <w:tc>
          <w:tcPr>
            <w:tcW w:w="696" w:type="dxa"/>
            <w:vMerge w:val="restart"/>
            <w:tcBorders>
              <w:top w:val="nil" w:sz="6" w:space="0" w:color="auto"/>
              <w:left w:val="nil" w:sz="6" w:space="0" w:color="auto"/>
              <w:right w:val="nil" w:sz="6" w:space="0" w:color="auto"/>
            </w:tcBorders>
            <w:shd w:val="clear" w:color="auto" w:fill="8165A3"/>
          </w:tcPr>
          <w:p>
            <w:pPr/>
          </w:p>
        </w:tc>
        <w:tc>
          <w:tcPr>
            <w:tcW w:w="5204" w:type="dxa"/>
            <w:gridSpan w:val="5"/>
            <w:tcBorders>
              <w:top w:val="nil" w:sz="6" w:space="0" w:color="auto"/>
              <w:left w:val="nil" w:sz="6" w:space="0" w:color="auto"/>
              <w:bottom w:val="single" w:sz="6" w:space="0" w:color="DCDDDE"/>
              <w:right w:val="nil" w:sz="6" w:space="0" w:color="auto"/>
            </w:tcBorders>
          </w:tcPr>
          <w:p>
            <w:pPr/>
          </w:p>
        </w:tc>
      </w:tr>
      <w:tr>
        <w:trPr>
          <w:trHeight w:val="406" w:hRule="exact"/>
        </w:trPr>
        <w:tc>
          <w:tcPr>
            <w:tcW w:w="762" w:type="dxa"/>
            <w:tcBorders>
              <w:top w:val="single" w:sz="6" w:space="0" w:color="DCDDDE"/>
              <w:left w:val="nil" w:sz="6" w:space="0" w:color="auto"/>
              <w:bottom w:val="single" w:sz="6" w:space="0" w:color="DCDDDE"/>
              <w:right w:val="nil" w:sz="6" w:space="0" w:color="auto"/>
            </w:tcBorders>
          </w:tcPr>
          <w:p>
            <w:pPr/>
          </w:p>
        </w:tc>
        <w:tc>
          <w:tcPr>
            <w:tcW w:w="696" w:type="dxa"/>
            <w:vMerge/>
            <w:tcBorders>
              <w:left w:val="nil" w:sz="6" w:space="0" w:color="auto"/>
              <w:right w:val="nil" w:sz="6" w:space="0" w:color="auto"/>
            </w:tcBorders>
            <w:shd w:val="clear" w:color="auto" w:fill="8165A3"/>
          </w:tcPr>
          <w:p>
            <w:pPr/>
          </w:p>
        </w:tc>
        <w:tc>
          <w:tcPr>
            <w:tcW w:w="5204" w:type="dxa"/>
            <w:gridSpan w:val="5"/>
            <w:tcBorders>
              <w:top w:val="single" w:sz="6" w:space="0" w:color="DCDDDE"/>
              <w:left w:val="nil" w:sz="6" w:space="0" w:color="auto"/>
              <w:bottom w:val="single" w:sz="6" w:space="0" w:color="DCDDDE"/>
              <w:right w:val="nil" w:sz="6" w:space="0" w:color="auto"/>
            </w:tcBorders>
          </w:tcPr>
          <w:p>
            <w:pPr/>
          </w:p>
        </w:tc>
      </w:tr>
      <w:tr>
        <w:trPr>
          <w:trHeight w:val="314" w:hRule="exact"/>
        </w:trPr>
        <w:tc>
          <w:tcPr>
            <w:tcW w:w="762" w:type="dxa"/>
            <w:vMerge w:val="restart"/>
            <w:tcBorders>
              <w:top w:val="single" w:sz="6" w:space="0" w:color="DCDDDE"/>
              <w:left w:val="nil" w:sz="6" w:space="0" w:color="auto"/>
              <w:right w:val="nil" w:sz="6" w:space="0" w:color="auto"/>
            </w:tcBorders>
          </w:tcPr>
          <w:p>
            <w:pPr/>
          </w:p>
        </w:tc>
        <w:tc>
          <w:tcPr>
            <w:tcW w:w="696" w:type="dxa"/>
            <w:vMerge/>
            <w:tcBorders>
              <w:left w:val="nil" w:sz="6" w:space="0" w:color="auto"/>
              <w:right w:val="nil" w:sz="6" w:space="0" w:color="auto"/>
            </w:tcBorders>
            <w:shd w:val="clear" w:color="auto" w:fill="8165A3"/>
          </w:tcPr>
          <w:p>
            <w:pPr/>
          </w:p>
        </w:tc>
        <w:tc>
          <w:tcPr>
            <w:tcW w:w="5204" w:type="dxa"/>
            <w:gridSpan w:val="5"/>
            <w:tcBorders>
              <w:top w:val="single" w:sz="6" w:space="0" w:color="DCDDDE"/>
              <w:left w:val="nil" w:sz="6" w:space="0" w:color="auto"/>
              <w:bottom w:val="nil" w:sz="6" w:space="0" w:color="auto"/>
              <w:right w:val="nil" w:sz="6" w:space="0" w:color="auto"/>
            </w:tcBorders>
          </w:tcPr>
          <w:p>
            <w:pPr/>
          </w:p>
        </w:tc>
      </w:tr>
      <w:tr>
        <w:trPr>
          <w:trHeight w:val="92" w:hRule="exact"/>
        </w:trPr>
        <w:tc>
          <w:tcPr>
            <w:tcW w:w="762" w:type="dxa"/>
            <w:vMerge/>
            <w:tcBorders>
              <w:left w:val="nil" w:sz="6" w:space="0" w:color="auto"/>
              <w:bottom w:val="single" w:sz="6" w:space="0" w:color="DCDDDE"/>
              <w:right w:val="nil" w:sz="6" w:space="0" w:color="auto"/>
            </w:tcBorders>
          </w:tcPr>
          <w:p>
            <w:pPr/>
          </w:p>
        </w:tc>
        <w:tc>
          <w:tcPr>
            <w:tcW w:w="696" w:type="dxa"/>
            <w:vMerge/>
            <w:tcBorders>
              <w:left w:val="nil" w:sz="6" w:space="0" w:color="auto"/>
              <w:right w:val="nil" w:sz="6" w:space="0" w:color="auto"/>
            </w:tcBorders>
            <w:shd w:val="clear" w:color="auto" w:fill="8165A3"/>
          </w:tcPr>
          <w:p>
            <w:pPr/>
          </w:p>
        </w:tc>
        <w:tc>
          <w:tcPr>
            <w:tcW w:w="1525" w:type="dxa"/>
            <w:tcBorders>
              <w:top w:val="nil" w:sz="6" w:space="0" w:color="auto"/>
              <w:left w:val="nil" w:sz="6" w:space="0" w:color="auto"/>
              <w:bottom w:val="single" w:sz="6" w:space="0" w:color="DCDDDE"/>
              <w:right w:val="nil" w:sz="6" w:space="0" w:color="auto"/>
            </w:tcBorders>
          </w:tcPr>
          <w:p>
            <w:pPr/>
          </w:p>
        </w:tc>
        <w:tc>
          <w:tcPr>
            <w:tcW w:w="696" w:type="dxa"/>
            <w:vMerge w:val="restart"/>
            <w:tcBorders>
              <w:top w:val="nil" w:sz="6" w:space="0" w:color="auto"/>
              <w:left w:val="nil" w:sz="6" w:space="0" w:color="auto"/>
              <w:right w:val="nil" w:sz="6" w:space="0" w:color="auto"/>
            </w:tcBorders>
            <w:shd w:val="clear" w:color="auto" w:fill="8165A3"/>
          </w:tcPr>
          <w:p>
            <w:pPr/>
          </w:p>
        </w:tc>
        <w:tc>
          <w:tcPr>
            <w:tcW w:w="2983" w:type="dxa"/>
            <w:gridSpan w:val="3"/>
            <w:tcBorders>
              <w:top w:val="nil" w:sz="6" w:space="0" w:color="auto"/>
              <w:left w:val="nil" w:sz="6" w:space="0" w:color="auto"/>
              <w:bottom w:val="single" w:sz="6" w:space="0" w:color="DCDDDE"/>
              <w:right w:val="nil" w:sz="6" w:space="0" w:color="auto"/>
            </w:tcBorders>
          </w:tcPr>
          <w:p>
            <w:pPr/>
          </w:p>
        </w:tc>
      </w:tr>
      <w:tr>
        <w:trPr>
          <w:trHeight w:val="202" w:hRule="exact"/>
        </w:trPr>
        <w:tc>
          <w:tcPr>
            <w:tcW w:w="762" w:type="dxa"/>
            <w:vMerge w:val="restart"/>
            <w:tcBorders>
              <w:top w:val="single" w:sz="6" w:space="0" w:color="DCDDDE"/>
              <w:left w:val="nil" w:sz="6" w:space="0" w:color="auto"/>
              <w:right w:val="nil" w:sz="6" w:space="0" w:color="auto"/>
            </w:tcBorders>
          </w:tcPr>
          <w:p>
            <w:pPr/>
          </w:p>
        </w:tc>
        <w:tc>
          <w:tcPr>
            <w:tcW w:w="696" w:type="dxa"/>
            <w:vMerge/>
            <w:tcBorders>
              <w:left w:val="nil" w:sz="6" w:space="0" w:color="auto"/>
              <w:right w:val="nil" w:sz="6" w:space="0" w:color="auto"/>
            </w:tcBorders>
            <w:shd w:val="clear" w:color="auto" w:fill="8165A3"/>
          </w:tcPr>
          <w:p>
            <w:pPr/>
          </w:p>
        </w:tc>
        <w:tc>
          <w:tcPr>
            <w:tcW w:w="1525" w:type="dxa"/>
            <w:vMerge w:val="restart"/>
            <w:tcBorders>
              <w:top w:val="single" w:sz="6" w:space="0" w:color="DCDDDE"/>
              <w:left w:val="nil" w:sz="6" w:space="0" w:color="auto"/>
              <w:right w:val="nil" w:sz="6" w:space="0" w:color="auto"/>
            </w:tcBorders>
          </w:tcPr>
          <w:p>
            <w:pPr/>
          </w:p>
        </w:tc>
        <w:tc>
          <w:tcPr>
            <w:tcW w:w="696" w:type="dxa"/>
            <w:vMerge/>
            <w:tcBorders>
              <w:left w:val="nil" w:sz="6" w:space="0" w:color="auto"/>
              <w:right w:val="nil" w:sz="6" w:space="0" w:color="auto"/>
            </w:tcBorders>
            <w:shd w:val="clear" w:color="auto" w:fill="8165A3"/>
          </w:tcPr>
          <w:p>
            <w:pPr/>
          </w:p>
        </w:tc>
        <w:tc>
          <w:tcPr>
            <w:tcW w:w="2983" w:type="dxa"/>
            <w:gridSpan w:val="3"/>
            <w:tcBorders>
              <w:top w:val="single" w:sz="6" w:space="0" w:color="DCDDDE"/>
              <w:left w:val="nil" w:sz="6" w:space="0" w:color="auto"/>
              <w:bottom w:val="nil" w:sz="6" w:space="0" w:color="auto"/>
              <w:right w:val="nil" w:sz="6" w:space="0" w:color="auto"/>
            </w:tcBorders>
          </w:tcPr>
          <w:p>
            <w:pPr/>
          </w:p>
        </w:tc>
      </w:tr>
      <w:tr>
        <w:trPr>
          <w:trHeight w:val="202" w:hRule="exact"/>
        </w:trPr>
        <w:tc>
          <w:tcPr>
            <w:tcW w:w="762" w:type="dxa"/>
            <w:vMerge/>
            <w:tcBorders>
              <w:left w:val="nil" w:sz="6" w:space="0" w:color="auto"/>
              <w:bottom w:val="single" w:sz="6" w:space="0" w:color="DCDDDE"/>
              <w:right w:val="nil" w:sz="6" w:space="0" w:color="auto"/>
            </w:tcBorders>
          </w:tcPr>
          <w:p>
            <w:pPr/>
          </w:p>
        </w:tc>
        <w:tc>
          <w:tcPr>
            <w:tcW w:w="696" w:type="dxa"/>
            <w:vMerge/>
            <w:tcBorders>
              <w:left w:val="nil" w:sz="6" w:space="0" w:color="auto"/>
              <w:right w:val="nil" w:sz="6" w:space="0" w:color="auto"/>
            </w:tcBorders>
            <w:shd w:val="clear" w:color="auto" w:fill="8165A3"/>
          </w:tcPr>
          <w:p>
            <w:pPr/>
          </w:p>
        </w:tc>
        <w:tc>
          <w:tcPr>
            <w:tcW w:w="1525" w:type="dxa"/>
            <w:vMerge/>
            <w:tcBorders>
              <w:left w:val="nil" w:sz="6" w:space="0" w:color="auto"/>
              <w:bottom w:val="single" w:sz="6" w:space="0" w:color="DCDDDE"/>
              <w:right w:val="nil" w:sz="6" w:space="0" w:color="auto"/>
            </w:tcBorders>
          </w:tcPr>
          <w:p>
            <w:pPr/>
          </w:p>
        </w:tc>
        <w:tc>
          <w:tcPr>
            <w:tcW w:w="696" w:type="dxa"/>
            <w:vMerge/>
            <w:tcBorders>
              <w:left w:val="nil" w:sz="6" w:space="0" w:color="auto"/>
              <w:right w:val="nil" w:sz="6" w:space="0" w:color="auto"/>
            </w:tcBorders>
            <w:shd w:val="clear" w:color="auto" w:fill="8165A3"/>
          </w:tcPr>
          <w:p>
            <w:pPr/>
          </w:p>
        </w:tc>
        <w:tc>
          <w:tcPr>
            <w:tcW w:w="1525" w:type="dxa"/>
            <w:tcBorders>
              <w:top w:val="nil" w:sz="6" w:space="0" w:color="auto"/>
              <w:left w:val="nil" w:sz="6" w:space="0" w:color="auto"/>
              <w:bottom w:val="single" w:sz="6" w:space="0" w:color="DCDDDE"/>
              <w:right w:val="nil" w:sz="6" w:space="0" w:color="auto"/>
            </w:tcBorders>
          </w:tcPr>
          <w:p>
            <w:pPr/>
          </w:p>
        </w:tc>
        <w:tc>
          <w:tcPr>
            <w:tcW w:w="696" w:type="dxa"/>
            <w:vMerge w:val="restart"/>
            <w:tcBorders>
              <w:top w:val="nil" w:sz="6" w:space="0" w:color="auto"/>
              <w:left w:val="nil" w:sz="6" w:space="0" w:color="auto"/>
              <w:right w:val="nil" w:sz="6" w:space="0" w:color="auto"/>
            </w:tcBorders>
            <w:shd w:val="clear" w:color="auto" w:fill="8165A3"/>
          </w:tcPr>
          <w:p>
            <w:pPr/>
          </w:p>
        </w:tc>
        <w:tc>
          <w:tcPr>
            <w:tcW w:w="762" w:type="dxa"/>
            <w:tcBorders>
              <w:top w:val="nil" w:sz="6" w:space="0" w:color="auto"/>
              <w:left w:val="nil" w:sz="6" w:space="0" w:color="auto"/>
              <w:bottom w:val="single" w:sz="6" w:space="0" w:color="DCDDDE"/>
              <w:right w:val="nil" w:sz="6" w:space="0" w:color="auto"/>
            </w:tcBorders>
          </w:tcPr>
          <w:p>
            <w:pPr/>
          </w:p>
        </w:tc>
      </w:tr>
      <w:tr>
        <w:trPr>
          <w:trHeight w:val="406" w:hRule="exact"/>
        </w:trPr>
        <w:tc>
          <w:tcPr>
            <w:tcW w:w="762" w:type="dxa"/>
            <w:tcBorders>
              <w:top w:val="single" w:sz="6" w:space="0" w:color="DCDDDE"/>
              <w:left w:val="nil" w:sz="6" w:space="0" w:color="auto"/>
              <w:bottom w:val="single" w:sz="6" w:space="0" w:color="DCDDDE"/>
              <w:right w:val="nil" w:sz="6" w:space="0" w:color="auto"/>
            </w:tcBorders>
          </w:tcPr>
          <w:p>
            <w:pPr/>
          </w:p>
        </w:tc>
        <w:tc>
          <w:tcPr>
            <w:tcW w:w="696" w:type="dxa"/>
            <w:vMerge/>
            <w:tcBorders>
              <w:left w:val="nil" w:sz="6" w:space="0" w:color="auto"/>
              <w:right w:val="nil" w:sz="6" w:space="0" w:color="auto"/>
            </w:tcBorders>
            <w:shd w:val="clear" w:color="auto" w:fill="8165A3"/>
          </w:tcPr>
          <w:p>
            <w:pPr/>
          </w:p>
        </w:tc>
        <w:tc>
          <w:tcPr>
            <w:tcW w:w="1525" w:type="dxa"/>
            <w:tcBorders>
              <w:top w:val="single" w:sz="6" w:space="0" w:color="DCDDDE"/>
              <w:left w:val="nil" w:sz="6" w:space="0" w:color="auto"/>
              <w:bottom w:val="single" w:sz="6" w:space="0" w:color="DCDDDE"/>
              <w:right w:val="nil" w:sz="6" w:space="0" w:color="auto"/>
            </w:tcBorders>
          </w:tcPr>
          <w:p>
            <w:pPr/>
          </w:p>
        </w:tc>
        <w:tc>
          <w:tcPr>
            <w:tcW w:w="696" w:type="dxa"/>
            <w:vMerge/>
            <w:tcBorders>
              <w:left w:val="nil" w:sz="6" w:space="0" w:color="auto"/>
              <w:right w:val="nil" w:sz="6" w:space="0" w:color="auto"/>
            </w:tcBorders>
            <w:shd w:val="clear" w:color="auto" w:fill="8165A3"/>
          </w:tcPr>
          <w:p>
            <w:pPr/>
          </w:p>
        </w:tc>
        <w:tc>
          <w:tcPr>
            <w:tcW w:w="1525" w:type="dxa"/>
            <w:tcBorders>
              <w:top w:val="single" w:sz="6" w:space="0" w:color="DCDDDE"/>
              <w:left w:val="nil" w:sz="6" w:space="0" w:color="auto"/>
              <w:bottom w:val="single" w:sz="6" w:space="0" w:color="DCDDDE"/>
              <w:right w:val="nil" w:sz="6" w:space="0" w:color="auto"/>
            </w:tcBorders>
          </w:tcPr>
          <w:p>
            <w:pPr/>
          </w:p>
        </w:tc>
        <w:tc>
          <w:tcPr>
            <w:tcW w:w="696" w:type="dxa"/>
            <w:vMerge/>
            <w:tcBorders>
              <w:left w:val="nil" w:sz="6" w:space="0" w:color="auto"/>
              <w:right w:val="nil" w:sz="6" w:space="0" w:color="auto"/>
            </w:tcBorders>
            <w:shd w:val="clear" w:color="auto" w:fill="8165A3"/>
          </w:tcPr>
          <w:p>
            <w:pPr/>
          </w:p>
        </w:tc>
        <w:tc>
          <w:tcPr>
            <w:tcW w:w="762" w:type="dxa"/>
            <w:tcBorders>
              <w:top w:val="single" w:sz="6" w:space="0" w:color="DCDDDE"/>
              <w:left w:val="nil" w:sz="6" w:space="0" w:color="auto"/>
              <w:bottom w:val="single" w:sz="6" w:space="0" w:color="DCDDDE"/>
              <w:right w:val="nil" w:sz="6" w:space="0" w:color="auto"/>
            </w:tcBorders>
          </w:tcPr>
          <w:p>
            <w:pPr/>
          </w:p>
        </w:tc>
      </w:tr>
      <w:tr>
        <w:trPr>
          <w:trHeight w:val="404" w:hRule="exact"/>
        </w:trPr>
        <w:tc>
          <w:tcPr>
            <w:tcW w:w="762" w:type="dxa"/>
            <w:tcBorders>
              <w:top w:val="single" w:sz="6" w:space="0" w:color="DCDDDE"/>
              <w:left w:val="nil" w:sz="6" w:space="0" w:color="auto"/>
              <w:bottom w:val="single" w:sz="6" w:space="0" w:color="DCDDDE"/>
              <w:right w:val="nil" w:sz="6" w:space="0" w:color="auto"/>
            </w:tcBorders>
          </w:tcPr>
          <w:p>
            <w:pPr/>
          </w:p>
        </w:tc>
        <w:tc>
          <w:tcPr>
            <w:tcW w:w="696" w:type="dxa"/>
            <w:vMerge/>
            <w:tcBorders>
              <w:left w:val="nil" w:sz="6" w:space="0" w:color="auto"/>
              <w:right w:val="nil" w:sz="6" w:space="0" w:color="auto"/>
            </w:tcBorders>
            <w:shd w:val="clear" w:color="auto" w:fill="8165A3"/>
          </w:tcPr>
          <w:p>
            <w:pPr/>
          </w:p>
        </w:tc>
        <w:tc>
          <w:tcPr>
            <w:tcW w:w="1525" w:type="dxa"/>
            <w:tcBorders>
              <w:top w:val="single" w:sz="6" w:space="0" w:color="DCDDDE"/>
              <w:left w:val="nil" w:sz="6" w:space="0" w:color="auto"/>
              <w:bottom w:val="single" w:sz="6" w:space="0" w:color="DCDDDE"/>
              <w:right w:val="nil" w:sz="6" w:space="0" w:color="auto"/>
            </w:tcBorders>
          </w:tcPr>
          <w:p>
            <w:pPr/>
          </w:p>
        </w:tc>
        <w:tc>
          <w:tcPr>
            <w:tcW w:w="696" w:type="dxa"/>
            <w:vMerge/>
            <w:tcBorders>
              <w:left w:val="nil" w:sz="6" w:space="0" w:color="auto"/>
              <w:right w:val="nil" w:sz="6" w:space="0" w:color="auto"/>
            </w:tcBorders>
            <w:shd w:val="clear" w:color="auto" w:fill="8165A3"/>
          </w:tcPr>
          <w:p>
            <w:pPr/>
          </w:p>
        </w:tc>
        <w:tc>
          <w:tcPr>
            <w:tcW w:w="1525" w:type="dxa"/>
            <w:tcBorders>
              <w:top w:val="single" w:sz="6" w:space="0" w:color="DCDDDE"/>
              <w:left w:val="nil" w:sz="6" w:space="0" w:color="auto"/>
              <w:bottom w:val="single" w:sz="6" w:space="0" w:color="DCDDDE"/>
              <w:right w:val="nil" w:sz="6" w:space="0" w:color="auto"/>
            </w:tcBorders>
          </w:tcPr>
          <w:p>
            <w:pPr/>
          </w:p>
        </w:tc>
        <w:tc>
          <w:tcPr>
            <w:tcW w:w="696" w:type="dxa"/>
            <w:vMerge/>
            <w:tcBorders>
              <w:left w:val="nil" w:sz="6" w:space="0" w:color="auto"/>
              <w:right w:val="nil" w:sz="6" w:space="0" w:color="auto"/>
            </w:tcBorders>
            <w:shd w:val="clear" w:color="auto" w:fill="8165A3"/>
          </w:tcPr>
          <w:p>
            <w:pPr/>
          </w:p>
        </w:tc>
        <w:tc>
          <w:tcPr>
            <w:tcW w:w="762" w:type="dxa"/>
            <w:tcBorders>
              <w:top w:val="single" w:sz="6" w:space="0" w:color="DCDDDE"/>
              <w:left w:val="nil" w:sz="6" w:space="0" w:color="auto"/>
              <w:bottom w:val="single" w:sz="6" w:space="0" w:color="DCDDDE"/>
              <w:right w:val="nil" w:sz="6" w:space="0" w:color="auto"/>
            </w:tcBorders>
          </w:tcPr>
          <w:p>
            <w:pPr/>
          </w:p>
        </w:tc>
      </w:tr>
      <w:tr>
        <w:trPr>
          <w:trHeight w:val="406" w:hRule="exact"/>
        </w:trPr>
        <w:tc>
          <w:tcPr>
            <w:tcW w:w="762" w:type="dxa"/>
            <w:tcBorders>
              <w:top w:val="single" w:sz="6" w:space="0" w:color="DCDDDE"/>
              <w:left w:val="nil" w:sz="6" w:space="0" w:color="auto"/>
              <w:bottom w:val="single" w:sz="6" w:space="0" w:color="DCDDDE"/>
              <w:right w:val="nil" w:sz="6" w:space="0" w:color="auto"/>
            </w:tcBorders>
          </w:tcPr>
          <w:p>
            <w:pPr/>
          </w:p>
        </w:tc>
        <w:tc>
          <w:tcPr>
            <w:tcW w:w="696" w:type="dxa"/>
            <w:vMerge/>
            <w:tcBorders>
              <w:left w:val="nil" w:sz="6" w:space="0" w:color="auto"/>
              <w:bottom w:val="single" w:sz="6" w:space="0" w:color="DCDDDE"/>
              <w:right w:val="nil" w:sz="6" w:space="0" w:color="auto"/>
            </w:tcBorders>
            <w:shd w:val="clear" w:color="auto" w:fill="8165A3"/>
          </w:tcPr>
          <w:p>
            <w:pPr/>
          </w:p>
        </w:tc>
        <w:tc>
          <w:tcPr>
            <w:tcW w:w="1525" w:type="dxa"/>
            <w:tcBorders>
              <w:top w:val="single" w:sz="6" w:space="0" w:color="DCDDDE"/>
              <w:left w:val="nil" w:sz="6" w:space="0" w:color="auto"/>
              <w:bottom w:val="single" w:sz="6" w:space="0" w:color="DCDDDE"/>
              <w:right w:val="nil" w:sz="6" w:space="0" w:color="auto"/>
            </w:tcBorders>
          </w:tcPr>
          <w:p>
            <w:pPr/>
          </w:p>
        </w:tc>
        <w:tc>
          <w:tcPr>
            <w:tcW w:w="696" w:type="dxa"/>
            <w:vMerge/>
            <w:tcBorders>
              <w:left w:val="nil" w:sz="6" w:space="0" w:color="auto"/>
              <w:bottom w:val="single" w:sz="6" w:space="0" w:color="DCDDDE"/>
              <w:right w:val="nil" w:sz="6" w:space="0" w:color="auto"/>
            </w:tcBorders>
            <w:shd w:val="clear" w:color="auto" w:fill="8165A3"/>
          </w:tcPr>
          <w:p>
            <w:pPr/>
          </w:p>
        </w:tc>
        <w:tc>
          <w:tcPr>
            <w:tcW w:w="1525" w:type="dxa"/>
            <w:tcBorders>
              <w:top w:val="single" w:sz="6" w:space="0" w:color="DCDDDE"/>
              <w:left w:val="nil" w:sz="6" w:space="0" w:color="auto"/>
              <w:bottom w:val="single" w:sz="6" w:space="0" w:color="DCDDDE"/>
              <w:right w:val="nil" w:sz="6" w:space="0" w:color="auto"/>
            </w:tcBorders>
          </w:tcPr>
          <w:p>
            <w:pPr/>
          </w:p>
        </w:tc>
        <w:tc>
          <w:tcPr>
            <w:tcW w:w="696" w:type="dxa"/>
            <w:vMerge/>
            <w:tcBorders>
              <w:left w:val="nil" w:sz="6" w:space="0" w:color="auto"/>
              <w:bottom w:val="single" w:sz="6" w:space="0" w:color="DCDDDE"/>
              <w:right w:val="nil" w:sz="6" w:space="0" w:color="auto"/>
            </w:tcBorders>
            <w:shd w:val="clear" w:color="auto" w:fill="8165A3"/>
          </w:tcPr>
          <w:p>
            <w:pPr/>
          </w:p>
        </w:tc>
        <w:tc>
          <w:tcPr>
            <w:tcW w:w="762" w:type="dxa"/>
            <w:tcBorders>
              <w:top w:val="single" w:sz="6" w:space="0" w:color="DCDDDE"/>
              <w:left w:val="nil" w:sz="6" w:space="0" w:color="auto"/>
              <w:bottom w:val="single" w:sz="6" w:space="0" w:color="DCDDDE"/>
              <w:right w:val="nil" w:sz="6" w:space="0" w:color="auto"/>
            </w:tcBorders>
          </w:tcPr>
          <w:p>
            <w:pPr/>
          </w:p>
        </w:tc>
      </w:tr>
    </w:tbl>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8"/>
        <w:rPr>
          <w:rFonts w:ascii="Segoe UI Semibold" w:hAnsi="Segoe UI Semibold" w:cs="Segoe UI Semibold" w:eastAsia="Segoe UI Semibold"/>
          <w:b/>
          <w:bCs/>
          <w:sz w:val="27"/>
          <w:szCs w:val="27"/>
        </w:rPr>
      </w:pPr>
    </w:p>
    <w:p>
      <w:pPr>
        <w:spacing w:after="0" w:line="240" w:lineRule="auto"/>
        <w:rPr>
          <w:rFonts w:ascii="Segoe UI Semibold" w:hAnsi="Segoe UI Semibold" w:cs="Segoe UI Semibold" w:eastAsia="Segoe UI Semibold"/>
          <w:sz w:val="27"/>
          <w:szCs w:val="27"/>
        </w:rPr>
        <w:sectPr>
          <w:footerReference w:type="even" r:id="rId37"/>
          <w:footerReference w:type="default" r:id="rId38"/>
          <w:pgSz w:w="11910" w:h="16840"/>
          <w:pgMar w:footer="691" w:header="0" w:top="1580" w:bottom="880" w:left="1300" w:right="1400"/>
          <w:pgNumType w:start="42"/>
        </w:sectPr>
      </w:pPr>
    </w:p>
    <w:p>
      <w:pPr>
        <w:pStyle w:val="Heading3"/>
        <w:spacing w:line="300" w:lineRule="exact" w:before="87"/>
        <w:ind w:right="419"/>
        <w:jc w:val="left"/>
      </w:pPr>
      <w:r>
        <w:rPr>
          <w:b/>
          <w:color w:val="00779B"/>
          <w:spacing w:val="-1"/>
        </w:rPr>
        <w:t>Proportion</w:t>
      </w:r>
      <w:r>
        <w:rPr>
          <w:b/>
          <w:color w:val="00779B"/>
          <w:spacing w:val="-3"/>
        </w:rPr>
        <w:t> of</w:t>
      </w:r>
      <w:r>
        <w:rPr>
          <w:b/>
          <w:color w:val="00779B"/>
          <w:spacing w:val="-2"/>
        </w:rPr>
        <w:t> </w:t>
      </w:r>
      <w:r>
        <w:rPr>
          <w:b/>
          <w:color w:val="00779B"/>
          <w:spacing w:val="-1"/>
        </w:rPr>
        <w:t>Aboriginal</w:t>
      </w:r>
      <w:r>
        <w:rPr>
          <w:b/>
          <w:color w:val="00779B"/>
          <w:spacing w:val="-2"/>
        </w:rPr>
        <w:t> </w:t>
      </w:r>
      <w:r>
        <w:rPr>
          <w:b/>
          <w:color w:val="00779B"/>
        </w:rPr>
        <w:t>and</w:t>
      </w:r>
      <w:r>
        <w:rPr>
          <w:b/>
          <w:color w:val="00779B"/>
          <w:spacing w:val="21"/>
        </w:rPr>
        <w:t> </w:t>
      </w:r>
      <w:r>
        <w:rPr>
          <w:b/>
          <w:color w:val="00779B"/>
          <w:spacing w:val="-29"/>
        </w:rPr>
        <w:t>T</w:t>
      </w:r>
      <w:r>
        <w:rPr>
          <w:b/>
          <w:color w:val="00779B"/>
          <w:spacing w:val="-1"/>
        </w:rPr>
        <w:t>or</w:t>
      </w:r>
      <w:r>
        <w:rPr>
          <w:b/>
          <w:color w:val="00779B"/>
          <w:spacing w:val="-3"/>
        </w:rPr>
        <w:t>r</w:t>
      </w:r>
      <w:r>
        <w:rPr>
          <w:b/>
          <w:color w:val="00779B"/>
          <w:spacing w:val="-1"/>
        </w:rPr>
        <w:t>e</w:t>
      </w:r>
      <w:r>
        <w:rPr>
          <w:b/>
          <w:color w:val="00779B"/>
        </w:rPr>
        <w:t>s</w:t>
      </w:r>
      <w:r>
        <w:rPr>
          <w:b/>
          <w:color w:val="00779B"/>
          <w:spacing w:val="-1"/>
        </w:rPr>
        <w:t> </w:t>
      </w:r>
      <w:r>
        <w:rPr>
          <w:b/>
          <w:color w:val="00779B"/>
          <w:spacing w:val="-8"/>
        </w:rPr>
        <w:t>S</w:t>
      </w:r>
      <w:r>
        <w:rPr>
          <w:b/>
          <w:color w:val="00779B"/>
          <w:spacing w:val="-1"/>
        </w:rPr>
        <w:t>trai</w:t>
      </w:r>
      <w:r>
        <w:rPr>
          <w:b/>
          <w:color w:val="00779B"/>
        </w:rPr>
        <w:t>t Islander</w:t>
      </w:r>
      <w:r>
        <w:rPr>
          <w:b/>
          <w:color w:val="00779B"/>
          <w:spacing w:val="-2"/>
        </w:rPr>
        <w:t> </w:t>
      </w:r>
      <w:r>
        <w:rPr>
          <w:b/>
          <w:color w:val="00779B"/>
          <w:spacing w:val="-1"/>
        </w:rPr>
        <w:t>students</w:t>
      </w:r>
      <w:r>
        <w:rPr/>
      </w:r>
    </w:p>
    <w:p>
      <w:pPr>
        <w:pStyle w:val="BodyText"/>
        <w:spacing w:line="250" w:lineRule="exact" w:before="75"/>
        <w:ind w:right="85"/>
        <w:jc w:val="left"/>
      </w:pPr>
      <w:r>
        <w:rPr>
          <w:color w:val="231F20"/>
        </w:rPr>
        <w:t>The</w:t>
      </w:r>
      <w:r>
        <w:rPr>
          <w:color w:val="231F20"/>
          <w:spacing w:val="-4"/>
        </w:rPr>
        <w:t> </w:t>
      </w:r>
      <w:r>
        <w:rPr>
          <w:color w:val="231F20"/>
        </w:rPr>
        <w:t>average</w:t>
      </w:r>
      <w:r>
        <w:rPr>
          <w:color w:val="231F20"/>
          <w:spacing w:val="-5"/>
        </w:rPr>
        <w:t> </w:t>
      </w:r>
      <w:r>
        <w:rPr>
          <w:color w:val="231F20"/>
        </w:rPr>
        <w:t>attendance</w:t>
      </w:r>
      <w:r>
        <w:rPr>
          <w:color w:val="231F20"/>
          <w:spacing w:val="-5"/>
        </w:rPr>
        <w:t> </w:t>
      </w:r>
      <w:r>
        <w:rPr>
          <w:color w:val="231F20"/>
        </w:rPr>
        <w:t>of</w:t>
      </w:r>
      <w:r>
        <w:rPr>
          <w:color w:val="231F20"/>
          <w:spacing w:val="-4"/>
        </w:rPr>
        <w:t> </w:t>
      </w:r>
      <w:r>
        <w:rPr>
          <w:color w:val="231F20"/>
          <w:spacing w:val="-1"/>
        </w:rPr>
        <w:t>students</w:t>
      </w:r>
      <w:r>
        <w:rPr>
          <w:color w:val="231F20"/>
          <w:spacing w:val="-4"/>
        </w:rPr>
        <w:t> </w:t>
      </w:r>
      <w:r>
        <w:rPr>
          <w:color w:val="231F20"/>
        </w:rPr>
        <w:t>at</w:t>
      </w:r>
      <w:r>
        <w:rPr>
          <w:color w:val="231F20"/>
          <w:spacing w:val="-4"/>
        </w:rPr>
        <w:t> </w:t>
      </w:r>
      <w:r>
        <w:rPr>
          <w:color w:val="231F20"/>
          <w:spacing w:val="-1"/>
        </w:rPr>
        <w:t>schools</w:t>
      </w:r>
      <w:r>
        <w:rPr>
          <w:color w:val="231F20"/>
          <w:spacing w:val="21"/>
        </w:rPr>
        <w:t> </w:t>
      </w:r>
      <w:r>
        <w:rPr>
          <w:color w:val="231F20"/>
          <w:spacing w:val="-1"/>
        </w:rPr>
        <w:t>in</w:t>
      </w:r>
      <w:r>
        <w:rPr>
          <w:color w:val="231F20"/>
          <w:spacing w:val="-4"/>
        </w:rPr>
        <w:t> </w:t>
      </w:r>
      <w:r>
        <w:rPr>
          <w:color w:val="231F20"/>
        </w:rPr>
        <w:t>this</w:t>
      </w:r>
      <w:r>
        <w:rPr>
          <w:color w:val="231F20"/>
          <w:spacing w:val="-5"/>
        </w:rPr>
        <w:t> </w:t>
      </w:r>
      <w:r>
        <w:rPr>
          <w:color w:val="231F20"/>
        </w:rPr>
        <w:t>report</w:t>
      </w:r>
      <w:r>
        <w:rPr>
          <w:color w:val="231F20"/>
          <w:spacing w:val="-4"/>
        </w:rPr>
        <w:t> </w:t>
      </w:r>
      <w:r>
        <w:rPr>
          <w:color w:val="231F20"/>
        </w:rPr>
        <w:t>with</w:t>
      </w:r>
      <w:r>
        <w:rPr>
          <w:color w:val="231F20"/>
          <w:spacing w:val="-5"/>
        </w:rPr>
        <w:t> </w:t>
      </w:r>
      <w:r>
        <w:rPr>
          <w:color w:val="231F20"/>
        </w:rPr>
        <w:t>a</w:t>
      </w:r>
      <w:r>
        <w:rPr>
          <w:color w:val="231F20"/>
          <w:spacing w:val="-4"/>
        </w:rPr>
        <w:t> </w:t>
      </w:r>
      <w:r>
        <w:rPr>
          <w:color w:val="231F20"/>
        </w:rPr>
        <w:t>high</w:t>
      </w:r>
      <w:r>
        <w:rPr>
          <w:color w:val="231F20"/>
          <w:spacing w:val="-4"/>
        </w:rPr>
        <w:t> </w:t>
      </w:r>
      <w:r>
        <w:rPr>
          <w:color w:val="231F20"/>
        </w:rPr>
        <w:t>proportion</w:t>
      </w:r>
      <w:r>
        <w:rPr>
          <w:color w:val="231F20"/>
          <w:spacing w:val="-5"/>
        </w:rPr>
        <w:t> </w:t>
      </w:r>
      <w:r>
        <w:rPr>
          <w:color w:val="231F20"/>
        </w:rPr>
        <w:t>of</w:t>
      </w:r>
      <w:r>
        <w:rPr>
          <w:color w:val="231F20"/>
          <w:spacing w:val="21"/>
          <w:w w:val="99"/>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5"/>
        </w:rPr>
        <w:t> </w:t>
      </w:r>
      <w:r>
        <w:rPr>
          <w:color w:val="231F20"/>
          <w:spacing w:val="-1"/>
        </w:rPr>
        <w:t>Islander</w:t>
      </w:r>
      <w:r>
        <w:rPr>
          <w:color w:val="231F20"/>
          <w:spacing w:val="-5"/>
        </w:rPr>
        <w:t> </w:t>
      </w:r>
      <w:r>
        <w:rPr>
          <w:color w:val="231F20"/>
          <w:spacing w:val="-1"/>
        </w:rPr>
        <w:t>students</w:t>
      </w:r>
      <w:r>
        <w:rPr>
          <w:color w:val="231F20"/>
          <w:spacing w:val="20"/>
        </w:rPr>
        <w:t> </w:t>
      </w:r>
      <w:r>
        <w:rPr>
          <w:color w:val="231F20"/>
        </w:rPr>
        <w:t>was</w:t>
      </w:r>
      <w:r>
        <w:rPr>
          <w:color w:val="231F20"/>
          <w:spacing w:val="-5"/>
        </w:rPr>
        <w:t> </w:t>
      </w:r>
      <w:r>
        <w:rPr>
          <w:color w:val="231F20"/>
          <w:spacing w:val="-1"/>
        </w:rPr>
        <w:t>75</w:t>
      </w:r>
      <w:r>
        <w:rPr>
          <w:color w:val="231F20"/>
          <w:spacing w:val="-3"/>
        </w:rPr>
        <w:t> </w:t>
      </w:r>
      <w:r>
        <w:rPr>
          <w:color w:val="231F20"/>
        </w:rPr>
        <w:t>per</w:t>
      </w:r>
      <w:r>
        <w:rPr>
          <w:color w:val="231F20"/>
          <w:spacing w:val="-4"/>
        </w:rPr>
        <w:t> </w:t>
      </w:r>
      <w:r>
        <w:rPr>
          <w:color w:val="231F20"/>
        </w:rPr>
        <w:t>cent,</w:t>
      </w:r>
      <w:r>
        <w:rPr>
          <w:color w:val="231F20"/>
          <w:spacing w:val="-4"/>
        </w:rPr>
        <w:t> </w:t>
      </w:r>
      <w:r>
        <w:rPr>
          <w:color w:val="231F20"/>
        </w:rPr>
        <w:t>compared</w:t>
      </w:r>
      <w:r>
        <w:rPr>
          <w:color w:val="231F20"/>
          <w:spacing w:val="-4"/>
        </w:rPr>
        <w:t> </w:t>
      </w:r>
      <w:r>
        <w:rPr>
          <w:color w:val="231F20"/>
        </w:rPr>
        <w:t>to</w:t>
      </w:r>
      <w:r>
        <w:rPr>
          <w:color w:val="231F20"/>
          <w:spacing w:val="-4"/>
        </w:rPr>
        <w:t> </w:t>
      </w:r>
      <w:r>
        <w:rPr>
          <w:color w:val="231F20"/>
          <w:spacing w:val="-1"/>
        </w:rPr>
        <w:t>91</w:t>
      </w:r>
      <w:r>
        <w:rPr>
          <w:color w:val="231F20"/>
          <w:spacing w:val="-3"/>
        </w:rPr>
        <w:t> </w:t>
      </w:r>
      <w:r>
        <w:rPr>
          <w:color w:val="231F20"/>
        </w:rPr>
        <w:t>per</w:t>
      </w:r>
      <w:r>
        <w:rPr>
          <w:color w:val="231F20"/>
          <w:spacing w:val="-4"/>
        </w:rPr>
        <w:t> </w:t>
      </w:r>
      <w:r>
        <w:rPr>
          <w:color w:val="231F20"/>
        </w:rPr>
        <w:t>cent</w:t>
      </w:r>
      <w:r>
        <w:rPr>
          <w:color w:val="231F20"/>
          <w:spacing w:val="-4"/>
        </w:rPr>
        <w:t> </w:t>
      </w:r>
      <w:r>
        <w:rPr>
          <w:color w:val="231F20"/>
        </w:rPr>
        <w:t>for</w:t>
      </w:r>
      <w:r>
        <w:rPr>
          <w:color w:val="231F20"/>
          <w:spacing w:val="22"/>
          <w:w w:val="99"/>
        </w:rPr>
        <w:t> </w:t>
      </w:r>
      <w:r>
        <w:rPr>
          <w:color w:val="231F20"/>
          <w:spacing w:val="-1"/>
        </w:rPr>
        <w:t>schools</w:t>
      </w:r>
      <w:r>
        <w:rPr>
          <w:color w:val="231F20"/>
          <w:spacing w:val="-6"/>
        </w:rPr>
        <w:t> </w:t>
      </w:r>
      <w:r>
        <w:rPr>
          <w:color w:val="231F20"/>
        </w:rPr>
        <w:t>with</w:t>
      </w:r>
      <w:r>
        <w:rPr>
          <w:color w:val="231F20"/>
          <w:spacing w:val="-5"/>
        </w:rPr>
        <w:t> </w:t>
      </w:r>
      <w:r>
        <w:rPr>
          <w:color w:val="231F20"/>
        </w:rPr>
        <w:t>a</w:t>
      </w:r>
      <w:r>
        <w:rPr>
          <w:color w:val="231F20"/>
          <w:spacing w:val="-6"/>
        </w:rPr>
        <w:t> </w:t>
      </w:r>
      <w:r>
        <w:rPr>
          <w:color w:val="231F20"/>
          <w:spacing w:val="-1"/>
        </w:rPr>
        <w:t>lower</w:t>
      </w:r>
      <w:r>
        <w:rPr>
          <w:color w:val="231F20"/>
          <w:spacing w:val="-5"/>
        </w:rPr>
        <w:t> </w:t>
      </w:r>
      <w:r>
        <w:rPr>
          <w:color w:val="231F20"/>
        </w:rPr>
        <w:t>proportion</w:t>
      </w:r>
      <w:r>
        <w:rPr>
          <w:color w:val="231F20"/>
          <w:spacing w:val="-6"/>
        </w:rPr>
        <w:t> </w:t>
      </w:r>
      <w:r>
        <w:rPr>
          <w:color w:val="231F20"/>
        </w:rPr>
        <w:t>of</w:t>
      </w:r>
      <w:r>
        <w:rPr>
          <w:color w:val="231F20"/>
          <w:spacing w:val="-5"/>
        </w:rPr>
        <w:t> </w:t>
      </w:r>
      <w:r>
        <w:rPr>
          <w:color w:val="231F20"/>
        </w:rPr>
        <w:t>Aboriginal</w:t>
      </w:r>
      <w:r>
        <w:rPr>
          <w:color w:val="231F20"/>
          <w:spacing w:val="23"/>
          <w:w w:val="99"/>
        </w:rPr>
        <w:t> </w:t>
      </w:r>
      <w:r>
        <w:rPr>
          <w:color w:val="231F20"/>
        </w:rPr>
        <w:t>and</w:t>
      </w:r>
      <w:r>
        <w:rPr>
          <w:color w:val="231F20"/>
          <w:spacing w:val="-6"/>
        </w:rPr>
        <w:t> </w:t>
      </w:r>
      <w:r>
        <w:rPr>
          <w:color w:val="231F20"/>
          <w:spacing w:val="-5"/>
        </w:rPr>
        <w:t>Torres</w:t>
      </w:r>
      <w:r>
        <w:rPr>
          <w:color w:val="231F20"/>
          <w:spacing w:val="-4"/>
        </w:rPr>
        <w:t> </w:t>
      </w:r>
      <w:r>
        <w:rPr>
          <w:color w:val="231F20"/>
          <w:spacing w:val="-2"/>
        </w:rPr>
        <w:t>Strait</w:t>
      </w:r>
      <w:r>
        <w:rPr>
          <w:color w:val="231F20"/>
          <w:spacing w:val="-6"/>
        </w:rPr>
        <w:t> </w:t>
      </w:r>
      <w:r>
        <w:rPr>
          <w:color w:val="231F20"/>
          <w:spacing w:val="-1"/>
        </w:rPr>
        <w:t>Islander</w:t>
      </w:r>
      <w:r>
        <w:rPr>
          <w:color w:val="231F20"/>
          <w:spacing w:val="-4"/>
        </w:rPr>
        <w:t> </w:t>
      </w:r>
      <w:r>
        <w:rPr>
          <w:color w:val="231F20"/>
          <w:spacing w:val="-1"/>
        </w:rPr>
        <w:t>students.</w:t>
      </w:r>
      <w:r>
        <w:rPr>
          <w:color w:val="231F20"/>
          <w:spacing w:val="-4"/>
        </w:rPr>
        <w:t> </w:t>
      </w:r>
      <w:r>
        <w:rPr>
          <w:color w:val="231F20"/>
        </w:rPr>
        <w:t>One</w:t>
      </w:r>
      <w:r>
        <w:rPr>
          <w:color w:val="231F20"/>
          <w:spacing w:val="-5"/>
        </w:rPr>
        <w:t> </w:t>
      </w:r>
      <w:r>
        <w:rPr>
          <w:color w:val="231F20"/>
        </w:rPr>
        <w:t>of</w:t>
      </w:r>
      <w:r>
        <w:rPr/>
      </w:r>
    </w:p>
    <w:p>
      <w:pPr>
        <w:pStyle w:val="BodyText"/>
        <w:spacing w:line="250" w:lineRule="exact"/>
        <w:ind w:right="8"/>
        <w:jc w:val="left"/>
      </w:pPr>
      <w:r>
        <w:rPr>
          <w:color w:val="231F20"/>
        </w:rPr>
        <w:t>the</w:t>
      </w:r>
      <w:r>
        <w:rPr>
          <w:color w:val="231F20"/>
          <w:spacing w:val="-6"/>
        </w:rPr>
        <w:t> </w:t>
      </w:r>
      <w:r>
        <w:rPr>
          <w:color w:val="231F20"/>
          <w:spacing w:val="-1"/>
        </w:rPr>
        <w:t>large</w:t>
      </w:r>
      <w:r>
        <w:rPr>
          <w:color w:val="231F20"/>
          <w:spacing w:val="-4"/>
        </w:rPr>
        <w:t> </w:t>
      </w:r>
      <w:r>
        <w:rPr>
          <w:color w:val="231F20"/>
        </w:rPr>
        <w:t>boarding</w:t>
      </w:r>
      <w:r>
        <w:rPr>
          <w:color w:val="231F20"/>
          <w:spacing w:val="-6"/>
        </w:rPr>
        <w:t> </w:t>
      </w:r>
      <w:r>
        <w:rPr>
          <w:color w:val="231F20"/>
          <w:spacing w:val="-1"/>
        </w:rPr>
        <w:t>schools</w:t>
      </w:r>
      <w:r>
        <w:rPr>
          <w:color w:val="231F20"/>
          <w:spacing w:val="-4"/>
        </w:rPr>
        <w:t> </w:t>
      </w:r>
      <w:r>
        <w:rPr>
          <w:color w:val="231F20"/>
        </w:rPr>
        <w:t>with</w:t>
      </w:r>
      <w:r>
        <w:rPr>
          <w:color w:val="231F20"/>
          <w:spacing w:val="-6"/>
        </w:rPr>
        <w:t> </w:t>
      </w:r>
      <w:r>
        <w:rPr>
          <w:color w:val="231F20"/>
        </w:rPr>
        <w:t>a</w:t>
      </w:r>
      <w:r>
        <w:rPr>
          <w:color w:val="231F20"/>
          <w:spacing w:val="-4"/>
        </w:rPr>
        <w:t> </w:t>
      </w:r>
      <w:r>
        <w:rPr>
          <w:color w:val="231F20"/>
          <w:spacing w:val="-1"/>
        </w:rPr>
        <w:t>student</w:t>
      </w:r>
      <w:r>
        <w:rPr>
          <w:color w:val="231F20"/>
          <w:spacing w:val="22"/>
          <w:w w:val="99"/>
        </w:rPr>
        <w:t> </w:t>
      </w:r>
      <w:r>
        <w:rPr>
          <w:color w:val="231F20"/>
        </w:rPr>
        <w:t>population</w:t>
      </w:r>
      <w:r>
        <w:rPr>
          <w:color w:val="231F20"/>
          <w:spacing w:val="-6"/>
        </w:rPr>
        <w:t> </w:t>
      </w:r>
      <w:r>
        <w:rPr>
          <w:color w:val="231F20"/>
        </w:rPr>
        <w:t>of</w:t>
      </w:r>
      <w:r>
        <w:rPr>
          <w:color w:val="231F20"/>
          <w:spacing w:val="-5"/>
        </w:rPr>
        <w:t> </w:t>
      </w:r>
      <w:r>
        <w:rPr>
          <w:color w:val="231F20"/>
          <w:spacing w:val="-1"/>
        </w:rPr>
        <w:t>100</w:t>
      </w:r>
      <w:r>
        <w:rPr>
          <w:color w:val="231F20"/>
          <w:spacing w:val="-4"/>
        </w:rPr>
        <w:t> </w:t>
      </w:r>
      <w:r>
        <w:rPr>
          <w:color w:val="231F20"/>
        </w:rPr>
        <w:t>per</w:t>
      </w:r>
      <w:r>
        <w:rPr>
          <w:color w:val="231F20"/>
          <w:spacing w:val="-5"/>
        </w:rPr>
        <w:t> </w:t>
      </w:r>
      <w:r>
        <w:rPr>
          <w:color w:val="231F20"/>
        </w:rPr>
        <w:t>cent</w:t>
      </w:r>
      <w:r>
        <w:rPr>
          <w:color w:val="231F20"/>
          <w:spacing w:val="-5"/>
        </w:rPr>
        <w:t> </w:t>
      </w:r>
      <w:r>
        <w:rPr>
          <w:color w:val="231F20"/>
        </w:rPr>
        <w:t>Aboriginal</w:t>
      </w:r>
      <w:r>
        <w:rPr>
          <w:color w:val="231F20"/>
          <w:spacing w:val="-5"/>
        </w:rPr>
        <w:t> </w:t>
      </w:r>
      <w:r>
        <w:rPr>
          <w:color w:val="231F20"/>
          <w:spacing w:val="-1"/>
        </w:rPr>
        <w:t>students</w:t>
      </w:r>
      <w:r>
        <w:rPr>
          <w:color w:val="231F20"/>
          <w:spacing w:val="21"/>
        </w:rPr>
        <w:t> </w:t>
      </w:r>
      <w:r>
        <w:rPr>
          <w:color w:val="231F20"/>
        </w:rPr>
        <w:t>had</w:t>
      </w:r>
      <w:r>
        <w:rPr>
          <w:color w:val="231F20"/>
          <w:spacing w:val="-5"/>
        </w:rPr>
        <w:t> </w:t>
      </w:r>
      <w:r>
        <w:rPr>
          <w:color w:val="231F20"/>
        </w:rPr>
        <w:t>an</w:t>
      </w:r>
      <w:r>
        <w:rPr>
          <w:color w:val="231F20"/>
          <w:spacing w:val="-6"/>
        </w:rPr>
        <w:t> </w:t>
      </w:r>
      <w:r>
        <w:rPr>
          <w:color w:val="231F20"/>
        </w:rPr>
        <w:t>average</w:t>
      </w:r>
      <w:r>
        <w:rPr>
          <w:color w:val="231F20"/>
          <w:spacing w:val="-5"/>
        </w:rPr>
        <w:t> </w:t>
      </w:r>
      <w:r>
        <w:rPr>
          <w:color w:val="231F20"/>
        </w:rPr>
        <w:t>attendance</w:t>
      </w:r>
      <w:r>
        <w:rPr>
          <w:color w:val="231F20"/>
          <w:spacing w:val="-6"/>
        </w:rPr>
        <w:t> </w:t>
      </w:r>
      <w:r>
        <w:rPr>
          <w:color w:val="231F20"/>
        </w:rPr>
        <w:t>rate</w:t>
      </w:r>
      <w:r>
        <w:rPr>
          <w:color w:val="231F20"/>
          <w:spacing w:val="-5"/>
        </w:rPr>
        <w:t> </w:t>
      </w:r>
      <w:r>
        <w:rPr>
          <w:color w:val="231F20"/>
        </w:rPr>
        <w:t>of</w:t>
      </w:r>
      <w:r>
        <w:rPr>
          <w:color w:val="231F20"/>
          <w:spacing w:val="-5"/>
        </w:rPr>
        <w:t> </w:t>
      </w:r>
      <w:r>
        <w:rPr>
          <w:color w:val="231F20"/>
          <w:spacing w:val="-1"/>
        </w:rPr>
        <w:t>just</w:t>
      </w:r>
      <w:r>
        <w:rPr/>
      </w:r>
    </w:p>
    <w:p>
      <w:pPr>
        <w:pStyle w:val="BodyText"/>
        <w:spacing w:line="250" w:lineRule="exact"/>
        <w:ind w:right="0"/>
        <w:jc w:val="left"/>
      </w:pPr>
      <w:r>
        <w:rPr>
          <w:color w:val="231F20"/>
        </w:rPr>
        <w:t>37</w:t>
      </w:r>
      <w:r>
        <w:rPr>
          <w:color w:val="231F20"/>
          <w:spacing w:val="-4"/>
        </w:rPr>
        <w:t> </w:t>
      </w:r>
      <w:r>
        <w:rPr>
          <w:color w:val="231F20"/>
        </w:rPr>
        <w:t>per</w:t>
      </w:r>
      <w:r>
        <w:rPr>
          <w:color w:val="231F20"/>
          <w:spacing w:val="-4"/>
        </w:rPr>
        <w:t> </w:t>
      </w:r>
      <w:r>
        <w:rPr>
          <w:color w:val="231F20"/>
        </w:rPr>
        <w:t>cent.</w:t>
      </w:r>
      <w:r>
        <w:rPr/>
      </w:r>
    </w:p>
    <w:p>
      <w:pPr>
        <w:pStyle w:val="BodyText"/>
        <w:spacing w:line="250" w:lineRule="exact" w:before="113"/>
        <w:ind w:right="8"/>
        <w:jc w:val="left"/>
      </w:pPr>
      <w:r>
        <w:rPr>
          <w:color w:val="231F20"/>
        </w:rPr>
        <w:t>The</w:t>
      </w:r>
      <w:r>
        <w:rPr>
          <w:color w:val="231F20"/>
          <w:spacing w:val="-3"/>
        </w:rPr>
        <w:t> </w:t>
      </w:r>
      <w:r>
        <w:rPr>
          <w:color w:val="231F20"/>
          <w:spacing w:val="-1"/>
        </w:rPr>
        <w:t>small</w:t>
      </w:r>
      <w:r>
        <w:rPr>
          <w:color w:val="231F20"/>
          <w:spacing w:val="-3"/>
        </w:rPr>
        <w:t> </w:t>
      </w:r>
      <w:r>
        <w:rPr>
          <w:color w:val="231F20"/>
          <w:spacing w:val="-1"/>
        </w:rPr>
        <w:t>specialist</w:t>
      </w:r>
      <w:r>
        <w:rPr>
          <w:color w:val="231F20"/>
          <w:spacing w:val="-2"/>
        </w:rPr>
        <w:t> </w:t>
      </w:r>
      <w:r>
        <w:rPr>
          <w:color w:val="231F20"/>
        </w:rPr>
        <w:t>boarding</w:t>
      </w:r>
      <w:r>
        <w:rPr>
          <w:color w:val="231F20"/>
          <w:spacing w:val="-4"/>
        </w:rPr>
        <w:t> </w:t>
      </w:r>
      <w:r>
        <w:rPr>
          <w:color w:val="231F20"/>
          <w:spacing w:val="-1"/>
        </w:rPr>
        <w:t>schools</w:t>
      </w:r>
      <w:r>
        <w:rPr>
          <w:color w:val="231F20"/>
          <w:spacing w:val="-2"/>
        </w:rPr>
        <w:t> </w:t>
      </w:r>
      <w:r>
        <w:rPr>
          <w:color w:val="231F20"/>
        </w:rPr>
        <w:t>based</w:t>
      </w:r>
      <w:r>
        <w:rPr>
          <w:color w:val="231F20"/>
          <w:spacing w:val="-4"/>
        </w:rPr>
        <w:t> </w:t>
      </w:r>
      <w:r>
        <w:rPr>
          <w:color w:val="231F20"/>
          <w:spacing w:val="-1"/>
        </w:rPr>
        <w:t>in</w:t>
      </w:r>
      <w:r>
        <w:rPr>
          <w:color w:val="231F20"/>
          <w:spacing w:val="23"/>
        </w:rPr>
        <w:t> </w:t>
      </w:r>
      <w:r>
        <w:rPr>
          <w:color w:val="231F20"/>
        </w:rPr>
        <w:t>very</w:t>
      </w:r>
      <w:r>
        <w:rPr>
          <w:color w:val="231F20"/>
          <w:spacing w:val="-5"/>
        </w:rPr>
        <w:t> </w:t>
      </w:r>
      <w:r>
        <w:rPr>
          <w:color w:val="231F20"/>
        </w:rPr>
        <w:t>remote</w:t>
      </w:r>
      <w:r>
        <w:rPr>
          <w:color w:val="231F20"/>
          <w:spacing w:val="-5"/>
        </w:rPr>
        <w:t> </w:t>
      </w:r>
      <w:r>
        <w:rPr>
          <w:color w:val="231F20"/>
          <w:spacing w:val="-1"/>
        </w:rPr>
        <w:t>settings</w:t>
      </w:r>
      <w:r>
        <w:rPr>
          <w:color w:val="231F20"/>
          <w:spacing w:val="-5"/>
        </w:rPr>
        <w:t> </w:t>
      </w:r>
      <w:r>
        <w:rPr>
          <w:color w:val="231F20"/>
        </w:rPr>
        <w:t>have</w:t>
      </w:r>
      <w:r>
        <w:rPr>
          <w:color w:val="231F20"/>
          <w:spacing w:val="-5"/>
        </w:rPr>
        <w:t> </w:t>
      </w:r>
      <w:r>
        <w:rPr>
          <w:color w:val="231F20"/>
        </w:rPr>
        <w:t>a</w:t>
      </w:r>
      <w:r>
        <w:rPr>
          <w:color w:val="231F20"/>
          <w:spacing w:val="-4"/>
        </w:rPr>
        <w:t> </w:t>
      </w:r>
      <w:r>
        <w:rPr>
          <w:color w:val="231F20"/>
        </w:rPr>
        <w:t>high</w:t>
      </w:r>
      <w:r>
        <w:rPr>
          <w:color w:val="231F20"/>
          <w:spacing w:val="-6"/>
        </w:rPr>
        <w:t> </w:t>
      </w:r>
      <w:r>
        <w:rPr>
          <w:color w:val="231F20"/>
        </w:rPr>
        <w:t>proportion</w:t>
      </w:r>
      <w:r>
        <w:rPr>
          <w:color w:val="231F20"/>
          <w:spacing w:val="-5"/>
        </w:rPr>
        <w:t> </w:t>
      </w:r>
      <w:r>
        <w:rPr>
          <w:color w:val="231F20"/>
        </w:rPr>
        <w:t>of</w:t>
      </w:r>
      <w:r>
        <w:rPr>
          <w:color w:val="231F20"/>
          <w:spacing w:val="22"/>
          <w:w w:val="99"/>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5"/>
        </w:rPr>
        <w:t> </w:t>
      </w:r>
      <w:r>
        <w:rPr>
          <w:color w:val="231F20"/>
          <w:spacing w:val="-1"/>
        </w:rPr>
        <w:t>Islander</w:t>
      </w:r>
      <w:r>
        <w:rPr>
          <w:color w:val="231F20"/>
          <w:spacing w:val="-5"/>
        </w:rPr>
        <w:t> </w:t>
      </w:r>
      <w:r>
        <w:rPr>
          <w:color w:val="231F20"/>
          <w:spacing w:val="-1"/>
        </w:rPr>
        <w:t>students</w:t>
      </w:r>
      <w:r>
        <w:rPr>
          <w:color w:val="231F20"/>
          <w:spacing w:val="20"/>
        </w:rPr>
        <w:t> </w:t>
      </w:r>
      <w:r>
        <w:rPr>
          <w:color w:val="231F20"/>
        </w:rPr>
        <w:t>but</w:t>
      </w:r>
      <w:r>
        <w:rPr>
          <w:color w:val="231F20"/>
          <w:spacing w:val="-5"/>
        </w:rPr>
        <w:t> </w:t>
      </w:r>
      <w:r>
        <w:rPr>
          <w:color w:val="231F20"/>
        </w:rPr>
        <w:t>they</w:t>
      </w:r>
      <w:r>
        <w:rPr>
          <w:color w:val="231F20"/>
          <w:spacing w:val="-5"/>
        </w:rPr>
        <w:t> </w:t>
      </w:r>
      <w:r>
        <w:rPr>
          <w:color w:val="231F20"/>
        </w:rPr>
        <w:t>have</w:t>
      </w:r>
      <w:r>
        <w:rPr>
          <w:color w:val="231F20"/>
          <w:spacing w:val="-5"/>
        </w:rPr>
        <w:t> </w:t>
      </w:r>
      <w:r>
        <w:rPr>
          <w:color w:val="231F20"/>
        </w:rPr>
        <w:t>been</w:t>
      </w:r>
      <w:r>
        <w:rPr>
          <w:color w:val="231F20"/>
          <w:spacing w:val="-5"/>
        </w:rPr>
        <w:t> </w:t>
      </w:r>
      <w:r>
        <w:rPr>
          <w:color w:val="231F20"/>
          <w:spacing w:val="-1"/>
        </w:rPr>
        <w:t>successful</w:t>
      </w:r>
      <w:r>
        <w:rPr>
          <w:color w:val="231F20"/>
          <w:spacing w:val="-3"/>
        </w:rPr>
        <w:t> </w:t>
      </w:r>
      <w:r>
        <w:rPr>
          <w:color w:val="231F20"/>
          <w:spacing w:val="-1"/>
        </w:rPr>
        <w:t>in</w:t>
      </w:r>
      <w:r>
        <w:rPr>
          <w:color w:val="231F20"/>
          <w:spacing w:val="-4"/>
        </w:rPr>
        <w:t> </w:t>
      </w:r>
      <w:r>
        <w:rPr>
          <w:color w:val="231F20"/>
        </w:rPr>
        <w:t>achieving</w:t>
      </w:r>
      <w:r>
        <w:rPr>
          <w:color w:val="231F20"/>
          <w:spacing w:val="23"/>
          <w:w w:val="99"/>
        </w:rPr>
        <w:t> </w:t>
      </w:r>
      <w:r>
        <w:rPr>
          <w:color w:val="231F20"/>
        </w:rPr>
        <w:t>average</w:t>
      </w:r>
      <w:r>
        <w:rPr>
          <w:color w:val="231F20"/>
          <w:spacing w:val="-10"/>
        </w:rPr>
        <w:t> </w:t>
      </w:r>
      <w:r>
        <w:rPr>
          <w:color w:val="231F20"/>
        </w:rPr>
        <w:t>attendance</w:t>
      </w:r>
      <w:r>
        <w:rPr>
          <w:color w:val="231F20"/>
          <w:spacing w:val="-10"/>
        </w:rPr>
        <w:t> </w:t>
      </w:r>
      <w:r>
        <w:rPr>
          <w:color w:val="231F20"/>
        </w:rPr>
        <w:t>rates</w:t>
      </w:r>
      <w:r>
        <w:rPr>
          <w:color w:val="231F20"/>
          <w:spacing w:val="-10"/>
        </w:rPr>
        <w:t> </w:t>
      </w:r>
      <w:r>
        <w:rPr>
          <w:color w:val="231F20"/>
        </w:rPr>
        <w:t>ranging</w:t>
      </w:r>
      <w:r>
        <w:rPr>
          <w:color w:val="231F20"/>
          <w:spacing w:val="-10"/>
        </w:rPr>
        <w:t> </w:t>
      </w:r>
      <w:r>
        <w:rPr>
          <w:color w:val="231F20"/>
        </w:rPr>
        <w:t>between</w:t>
      </w:r>
      <w:r>
        <w:rPr/>
      </w:r>
    </w:p>
    <w:p>
      <w:pPr>
        <w:pStyle w:val="BodyText"/>
        <w:spacing w:line="250" w:lineRule="exact"/>
        <w:ind w:right="26"/>
        <w:jc w:val="left"/>
      </w:pPr>
      <w:r>
        <w:rPr>
          <w:color w:val="231F20"/>
        </w:rPr>
        <w:t>76</w:t>
      </w:r>
      <w:r>
        <w:rPr>
          <w:color w:val="231F20"/>
          <w:spacing w:val="-4"/>
        </w:rPr>
        <w:t> </w:t>
      </w:r>
      <w:r>
        <w:rPr>
          <w:color w:val="231F20"/>
        </w:rPr>
        <w:t>and</w:t>
      </w:r>
      <w:r>
        <w:rPr>
          <w:color w:val="231F20"/>
          <w:spacing w:val="-3"/>
        </w:rPr>
        <w:t> </w:t>
      </w:r>
      <w:r>
        <w:rPr>
          <w:color w:val="231F20"/>
          <w:spacing w:val="-1"/>
        </w:rPr>
        <w:t>92</w:t>
      </w:r>
      <w:r>
        <w:rPr>
          <w:color w:val="231F20"/>
          <w:spacing w:val="-4"/>
        </w:rPr>
        <w:t> </w:t>
      </w:r>
      <w:r>
        <w:rPr>
          <w:color w:val="231F20"/>
        </w:rPr>
        <w:t>per</w:t>
      </w:r>
      <w:r>
        <w:rPr>
          <w:color w:val="231F20"/>
          <w:spacing w:val="-3"/>
        </w:rPr>
        <w:t> </w:t>
      </w:r>
      <w:r>
        <w:rPr>
          <w:color w:val="231F20"/>
        </w:rPr>
        <w:t>cent</w:t>
      </w:r>
      <w:r>
        <w:rPr>
          <w:color w:val="231F20"/>
          <w:spacing w:val="-4"/>
        </w:rPr>
        <w:t> </w:t>
      </w:r>
      <w:r>
        <w:rPr>
          <w:color w:val="231F20"/>
        </w:rPr>
        <w:t>(average</w:t>
      </w:r>
      <w:r>
        <w:rPr>
          <w:color w:val="231F20"/>
          <w:spacing w:val="-4"/>
        </w:rPr>
        <w:t> </w:t>
      </w:r>
      <w:r>
        <w:rPr>
          <w:color w:val="231F20"/>
        </w:rPr>
        <w:t>of</w:t>
      </w:r>
      <w:r>
        <w:rPr>
          <w:color w:val="231F20"/>
          <w:spacing w:val="-3"/>
        </w:rPr>
        <w:t> </w:t>
      </w:r>
      <w:r>
        <w:rPr>
          <w:color w:val="231F20"/>
          <w:spacing w:val="-1"/>
        </w:rPr>
        <w:t>84</w:t>
      </w:r>
      <w:r>
        <w:rPr>
          <w:color w:val="231F20"/>
          <w:spacing w:val="-3"/>
        </w:rPr>
        <w:t> </w:t>
      </w:r>
      <w:r>
        <w:rPr>
          <w:color w:val="231F20"/>
        </w:rPr>
        <w:t>per</w:t>
      </w:r>
      <w:r>
        <w:rPr>
          <w:color w:val="231F20"/>
          <w:spacing w:val="-3"/>
        </w:rPr>
        <w:t> </w:t>
      </w:r>
      <w:r>
        <w:rPr>
          <w:color w:val="231F20"/>
        </w:rPr>
        <w:t>cent).</w:t>
      </w:r>
      <w:r>
        <w:rPr>
          <w:color w:val="231F20"/>
          <w:spacing w:val="22"/>
          <w:w w:val="99"/>
        </w:rPr>
        <w:t> </w:t>
      </w:r>
      <w:r>
        <w:rPr>
          <w:color w:val="231F20"/>
        </w:rPr>
        <w:t>The</w:t>
      </w:r>
      <w:r>
        <w:rPr>
          <w:color w:val="231F20"/>
          <w:spacing w:val="-7"/>
        </w:rPr>
        <w:t> </w:t>
      </w:r>
      <w:r>
        <w:rPr>
          <w:color w:val="231F20"/>
          <w:spacing w:val="-1"/>
        </w:rPr>
        <w:t>low</w:t>
      </w:r>
      <w:r>
        <w:rPr>
          <w:color w:val="231F20"/>
          <w:spacing w:val="-6"/>
        </w:rPr>
        <w:t> </w:t>
      </w:r>
      <w:r>
        <w:rPr>
          <w:color w:val="231F20"/>
        </w:rPr>
        <w:t>average</w:t>
      </w:r>
      <w:r>
        <w:rPr>
          <w:color w:val="231F20"/>
          <w:spacing w:val="-8"/>
        </w:rPr>
        <w:t> </w:t>
      </w:r>
      <w:r>
        <w:rPr>
          <w:color w:val="231F20"/>
        </w:rPr>
        <w:t>attendance</w:t>
      </w:r>
      <w:r>
        <w:rPr>
          <w:color w:val="231F20"/>
          <w:spacing w:val="-7"/>
        </w:rPr>
        <w:t> </w:t>
      </w:r>
      <w:r>
        <w:rPr>
          <w:color w:val="231F20"/>
        </w:rPr>
        <w:t>result</w:t>
      </w:r>
      <w:r>
        <w:rPr>
          <w:color w:val="231F20"/>
          <w:spacing w:val="-8"/>
        </w:rPr>
        <w:t> </w:t>
      </w:r>
      <w:r>
        <w:rPr>
          <w:color w:val="231F20"/>
        </w:rPr>
        <w:t>for</w:t>
      </w:r>
      <w:r>
        <w:rPr>
          <w:color w:val="231F20"/>
          <w:spacing w:val="-6"/>
        </w:rPr>
        <w:t> </w:t>
      </w:r>
      <w:r>
        <w:rPr>
          <w:color w:val="231F20"/>
        </w:rPr>
        <w:t>boarding</w:t>
      </w:r>
      <w:r>
        <w:rPr>
          <w:color w:val="231F20"/>
          <w:spacing w:val="21"/>
          <w:w w:val="99"/>
        </w:rPr>
        <w:t> </w:t>
      </w:r>
      <w:r>
        <w:rPr>
          <w:color w:val="231F20"/>
          <w:spacing w:val="-1"/>
        </w:rPr>
        <w:t>schools</w:t>
      </w:r>
      <w:r>
        <w:rPr>
          <w:color w:val="231F20"/>
          <w:spacing w:val="-5"/>
        </w:rPr>
        <w:t> </w:t>
      </w:r>
      <w:r>
        <w:rPr>
          <w:color w:val="231F20"/>
        </w:rPr>
        <w:t>with</w:t>
      </w:r>
      <w:r>
        <w:rPr>
          <w:color w:val="231F20"/>
          <w:spacing w:val="-6"/>
        </w:rPr>
        <w:t> </w:t>
      </w:r>
      <w:r>
        <w:rPr>
          <w:color w:val="231F20"/>
        </w:rPr>
        <w:t>a</w:t>
      </w:r>
      <w:r>
        <w:rPr>
          <w:color w:val="231F20"/>
          <w:spacing w:val="-5"/>
        </w:rPr>
        <w:t> </w:t>
      </w:r>
      <w:r>
        <w:rPr>
          <w:color w:val="231F20"/>
        </w:rPr>
        <w:t>high</w:t>
      </w:r>
      <w:r>
        <w:rPr>
          <w:color w:val="231F20"/>
          <w:spacing w:val="-6"/>
        </w:rPr>
        <w:t> </w:t>
      </w:r>
      <w:r>
        <w:rPr>
          <w:color w:val="231F20"/>
        </w:rPr>
        <w:t>proportion</w:t>
      </w:r>
      <w:r>
        <w:rPr>
          <w:color w:val="231F20"/>
          <w:spacing w:val="-6"/>
        </w:rPr>
        <w:t> </w:t>
      </w:r>
      <w:r>
        <w:rPr>
          <w:color w:val="231F20"/>
        </w:rPr>
        <w:t>of</w:t>
      </w:r>
      <w:r>
        <w:rPr>
          <w:color w:val="231F20"/>
          <w:spacing w:val="-5"/>
        </w:rPr>
        <w:t> </w:t>
      </w:r>
      <w:r>
        <w:rPr>
          <w:color w:val="231F20"/>
        </w:rPr>
        <w:t>Aboriginal</w:t>
      </w:r>
      <w:r>
        <w:rPr>
          <w:color w:val="231F20"/>
          <w:spacing w:val="22"/>
          <w:w w:val="99"/>
        </w:rPr>
        <w:t> </w:t>
      </w:r>
      <w:r>
        <w:rPr>
          <w:color w:val="231F20"/>
        </w:rPr>
        <w:t>and</w:t>
      </w:r>
      <w:r>
        <w:rPr>
          <w:color w:val="231F20"/>
          <w:spacing w:val="-5"/>
        </w:rPr>
        <w:t> Torres</w:t>
      </w:r>
      <w:r>
        <w:rPr>
          <w:color w:val="231F20"/>
          <w:spacing w:val="-3"/>
        </w:rPr>
        <w:t> </w:t>
      </w:r>
      <w:r>
        <w:rPr>
          <w:color w:val="231F20"/>
          <w:spacing w:val="-2"/>
        </w:rPr>
        <w:t>Strait</w:t>
      </w:r>
      <w:r>
        <w:rPr>
          <w:color w:val="231F20"/>
          <w:spacing w:val="-4"/>
        </w:rPr>
        <w:t> </w:t>
      </w:r>
      <w:r>
        <w:rPr>
          <w:color w:val="231F20"/>
          <w:spacing w:val="-1"/>
        </w:rPr>
        <w:t>Islander</w:t>
      </w:r>
      <w:r>
        <w:rPr>
          <w:color w:val="231F20"/>
          <w:spacing w:val="-4"/>
        </w:rPr>
        <w:t> </w:t>
      </w:r>
      <w:r>
        <w:rPr>
          <w:color w:val="231F20"/>
          <w:spacing w:val="-1"/>
        </w:rPr>
        <w:t>students</w:t>
      </w:r>
      <w:r>
        <w:rPr>
          <w:color w:val="231F20"/>
          <w:spacing w:val="-3"/>
        </w:rPr>
        <w:t> </w:t>
      </w:r>
      <w:r>
        <w:rPr>
          <w:color w:val="231F20"/>
          <w:spacing w:val="-1"/>
        </w:rPr>
        <w:t>is</w:t>
      </w:r>
      <w:r>
        <w:rPr>
          <w:color w:val="231F20"/>
          <w:spacing w:val="-4"/>
        </w:rPr>
        <w:t> </w:t>
      </w:r>
      <w:r>
        <w:rPr>
          <w:color w:val="231F20"/>
          <w:spacing w:val="-1"/>
        </w:rPr>
        <w:t>skewed</w:t>
      </w:r>
      <w:r>
        <w:rPr/>
      </w:r>
    </w:p>
    <w:p>
      <w:pPr>
        <w:pStyle w:val="BodyText"/>
        <w:spacing w:line="250" w:lineRule="exact"/>
        <w:ind w:right="0"/>
        <w:jc w:val="left"/>
      </w:pPr>
      <w:r>
        <w:rPr>
          <w:color w:val="231F20"/>
        </w:rPr>
        <w:t>by</w:t>
      </w:r>
      <w:r>
        <w:rPr>
          <w:color w:val="231F20"/>
          <w:spacing w:val="-3"/>
        </w:rPr>
        <w:t> </w:t>
      </w:r>
      <w:r>
        <w:rPr>
          <w:color w:val="231F20"/>
        </w:rPr>
        <w:t>the</w:t>
      </w:r>
      <w:r>
        <w:rPr>
          <w:color w:val="231F20"/>
          <w:spacing w:val="-4"/>
        </w:rPr>
        <w:t> </w:t>
      </w:r>
      <w:r>
        <w:rPr>
          <w:color w:val="231F20"/>
        </w:rPr>
        <w:t>very</w:t>
      </w:r>
      <w:r>
        <w:rPr>
          <w:color w:val="231F20"/>
          <w:spacing w:val="-3"/>
        </w:rPr>
        <w:t> </w:t>
      </w:r>
      <w:r>
        <w:rPr>
          <w:color w:val="231F20"/>
          <w:spacing w:val="-1"/>
        </w:rPr>
        <w:t>low</w:t>
      </w:r>
      <w:r>
        <w:rPr>
          <w:color w:val="231F20"/>
          <w:spacing w:val="-3"/>
        </w:rPr>
        <w:t> </w:t>
      </w:r>
      <w:r>
        <w:rPr>
          <w:color w:val="231F20"/>
        </w:rPr>
        <w:t>rates</w:t>
      </w:r>
      <w:r>
        <w:rPr>
          <w:color w:val="231F20"/>
          <w:spacing w:val="-4"/>
        </w:rPr>
        <w:t> </w:t>
      </w:r>
      <w:r>
        <w:rPr>
          <w:color w:val="231F20"/>
        </w:rPr>
        <w:t>of</w:t>
      </w:r>
      <w:r>
        <w:rPr>
          <w:color w:val="231F20"/>
          <w:spacing w:val="-3"/>
        </w:rPr>
        <w:t> </w:t>
      </w:r>
      <w:r>
        <w:rPr>
          <w:color w:val="231F20"/>
          <w:spacing w:val="-1"/>
        </w:rPr>
        <w:t>some</w:t>
      </w:r>
      <w:r>
        <w:rPr>
          <w:color w:val="231F20"/>
          <w:spacing w:val="-3"/>
        </w:rPr>
        <w:t> </w:t>
      </w:r>
      <w:r>
        <w:rPr>
          <w:color w:val="231F20"/>
        </w:rPr>
        <w:t>of</w:t>
      </w:r>
      <w:r>
        <w:rPr>
          <w:color w:val="231F20"/>
          <w:spacing w:val="-3"/>
        </w:rPr>
        <w:t> </w:t>
      </w:r>
      <w:r>
        <w:rPr>
          <w:color w:val="231F20"/>
        </w:rPr>
        <w:t>the</w:t>
      </w:r>
      <w:r>
        <w:rPr>
          <w:color w:val="231F20"/>
          <w:spacing w:val="-4"/>
        </w:rPr>
        <w:t> </w:t>
      </w:r>
      <w:r>
        <w:rPr>
          <w:color w:val="231F20"/>
        </w:rPr>
        <w:t>high</w:t>
      </w:r>
      <w:r>
        <w:rPr>
          <w:color w:val="231F20"/>
          <w:spacing w:val="22"/>
          <w:w w:val="99"/>
        </w:rPr>
        <w:t> </w:t>
      </w:r>
      <w:r>
        <w:rPr>
          <w:color w:val="231F20"/>
        </w:rPr>
        <w:t>proportion</w:t>
      </w:r>
      <w:r>
        <w:rPr>
          <w:color w:val="231F20"/>
          <w:spacing w:val="-7"/>
        </w:rPr>
        <w:t> </w:t>
      </w:r>
      <w:r>
        <w:rPr>
          <w:color w:val="231F20"/>
        </w:rPr>
        <w:t>boarding</w:t>
      </w:r>
      <w:r>
        <w:rPr>
          <w:color w:val="231F20"/>
          <w:spacing w:val="-7"/>
        </w:rPr>
        <w:t> </w:t>
      </w:r>
      <w:r>
        <w:rPr>
          <w:color w:val="231F20"/>
          <w:spacing w:val="-1"/>
        </w:rPr>
        <w:t>schools</w:t>
      </w:r>
      <w:r>
        <w:rPr>
          <w:color w:val="231F20"/>
          <w:spacing w:val="-5"/>
        </w:rPr>
        <w:t> </w:t>
      </w:r>
      <w:r>
        <w:rPr>
          <w:color w:val="231F20"/>
          <w:spacing w:val="-1"/>
        </w:rPr>
        <w:t>in</w:t>
      </w:r>
      <w:r>
        <w:rPr>
          <w:color w:val="231F20"/>
          <w:spacing w:val="-6"/>
        </w:rPr>
        <w:t> </w:t>
      </w:r>
      <w:r>
        <w:rPr>
          <w:color w:val="231F20"/>
        </w:rPr>
        <w:t>regions.</w:t>
      </w:r>
      <w:r>
        <w:rPr>
          <w:color w:val="231F20"/>
          <w:spacing w:val="-6"/>
        </w:rPr>
        <w:t> </w:t>
      </w:r>
      <w:r>
        <w:rPr>
          <w:color w:val="231F20"/>
        </w:rPr>
        <w:t>The</w:t>
      </w:r>
      <w:r>
        <w:rPr>
          <w:color w:val="231F20"/>
          <w:spacing w:val="23"/>
          <w:w w:val="99"/>
        </w:rPr>
        <w:t> </w:t>
      </w:r>
      <w:r>
        <w:rPr>
          <w:color w:val="231F20"/>
          <w:spacing w:val="-1"/>
        </w:rPr>
        <w:t>small</w:t>
      </w:r>
      <w:r>
        <w:rPr>
          <w:color w:val="231F20"/>
          <w:spacing w:val="-3"/>
        </w:rPr>
        <w:t> </w:t>
      </w:r>
      <w:r>
        <w:rPr>
          <w:color w:val="231F20"/>
          <w:spacing w:val="-1"/>
        </w:rPr>
        <w:t>schools</w:t>
      </w:r>
      <w:r>
        <w:rPr>
          <w:color w:val="231F20"/>
          <w:spacing w:val="-3"/>
        </w:rPr>
        <w:t> </w:t>
      </w:r>
      <w:r>
        <w:rPr>
          <w:color w:val="231F20"/>
        </w:rPr>
        <w:t>based</w:t>
      </w:r>
      <w:r>
        <w:rPr>
          <w:color w:val="231F20"/>
          <w:spacing w:val="-3"/>
        </w:rPr>
        <w:t> </w:t>
      </w:r>
      <w:r>
        <w:rPr>
          <w:color w:val="231F20"/>
          <w:spacing w:val="-1"/>
        </w:rPr>
        <w:t>in</w:t>
      </w:r>
      <w:r>
        <w:rPr>
          <w:color w:val="231F20"/>
          <w:spacing w:val="-3"/>
        </w:rPr>
        <w:t> </w:t>
      </w:r>
      <w:r>
        <w:rPr>
          <w:color w:val="231F20"/>
        </w:rPr>
        <w:t>very</w:t>
      </w:r>
      <w:r>
        <w:rPr>
          <w:color w:val="231F20"/>
          <w:spacing w:val="-2"/>
        </w:rPr>
        <w:t> </w:t>
      </w:r>
      <w:r>
        <w:rPr>
          <w:color w:val="231F20"/>
        </w:rPr>
        <w:t>remote</w:t>
      </w:r>
      <w:r>
        <w:rPr>
          <w:color w:val="231F20"/>
          <w:spacing w:val="-4"/>
        </w:rPr>
        <w:t> </w:t>
      </w:r>
      <w:r>
        <w:rPr>
          <w:color w:val="231F20"/>
          <w:spacing w:val="-1"/>
        </w:rPr>
        <w:t>settings</w:t>
      </w:r>
      <w:r>
        <w:rPr>
          <w:color w:val="231F20"/>
          <w:spacing w:val="23"/>
        </w:rPr>
        <w:t> </w:t>
      </w:r>
      <w:r>
        <w:rPr>
          <w:color w:val="231F20"/>
          <w:spacing w:val="-1"/>
        </w:rPr>
        <w:t>specialise</w:t>
      </w:r>
      <w:r>
        <w:rPr>
          <w:color w:val="231F20"/>
          <w:spacing w:val="-4"/>
        </w:rPr>
        <w:t> </w:t>
      </w:r>
      <w:r>
        <w:rPr>
          <w:color w:val="231F20"/>
          <w:spacing w:val="-1"/>
        </w:rPr>
        <w:t>in</w:t>
      </w:r>
      <w:r>
        <w:rPr>
          <w:color w:val="231F20"/>
          <w:spacing w:val="-5"/>
        </w:rPr>
        <w:t> </w:t>
      </w:r>
      <w:r>
        <w:rPr>
          <w:color w:val="231F20"/>
        </w:rPr>
        <w:t>engagement</w:t>
      </w:r>
      <w:r>
        <w:rPr>
          <w:color w:val="231F20"/>
          <w:spacing w:val="-6"/>
        </w:rPr>
        <w:t> </w:t>
      </w:r>
      <w:r>
        <w:rPr>
          <w:color w:val="231F20"/>
        </w:rPr>
        <w:t>with,</w:t>
      </w:r>
      <w:r>
        <w:rPr>
          <w:color w:val="231F20"/>
          <w:spacing w:val="-5"/>
        </w:rPr>
        <w:t> </w:t>
      </w:r>
      <w:r>
        <w:rPr>
          <w:color w:val="231F20"/>
        </w:rPr>
        <w:t>and</w:t>
      </w:r>
      <w:r>
        <w:rPr>
          <w:color w:val="231F20"/>
          <w:spacing w:val="-6"/>
        </w:rPr>
        <w:t> </w:t>
      </w:r>
      <w:r>
        <w:rPr>
          <w:color w:val="231F20"/>
          <w:spacing w:val="-1"/>
        </w:rPr>
        <w:t>support</w:t>
      </w:r>
      <w:r>
        <w:rPr>
          <w:color w:val="231F20"/>
          <w:spacing w:val="-5"/>
        </w:rPr>
        <w:t> </w:t>
      </w:r>
      <w:r>
        <w:rPr>
          <w:color w:val="231F20"/>
        </w:rPr>
        <w:t>for</w:t>
      </w:r>
      <w:r>
        <w:rPr>
          <w:color w:val="231F20"/>
          <w:spacing w:val="24"/>
          <w:w w:val="99"/>
        </w:rPr>
        <w:t> </w:t>
      </w:r>
      <w:r>
        <w:rPr>
          <w:color w:val="231F20"/>
          <w:spacing w:val="-1"/>
        </w:rPr>
        <w:t>students</w:t>
      </w:r>
      <w:r>
        <w:rPr>
          <w:color w:val="231F20"/>
          <w:spacing w:val="-4"/>
        </w:rPr>
        <w:t> </w:t>
      </w:r>
      <w:r>
        <w:rPr>
          <w:color w:val="231F20"/>
        </w:rPr>
        <w:t>and</w:t>
      </w:r>
      <w:r>
        <w:rPr>
          <w:color w:val="231F20"/>
          <w:spacing w:val="-4"/>
        </w:rPr>
        <w:t> </w:t>
      </w:r>
      <w:r>
        <w:rPr>
          <w:color w:val="231F20"/>
        </w:rPr>
        <w:t>their</w:t>
      </w:r>
      <w:r>
        <w:rPr>
          <w:color w:val="231F20"/>
          <w:spacing w:val="-5"/>
        </w:rPr>
        <w:t> </w:t>
      </w:r>
      <w:r>
        <w:rPr>
          <w:color w:val="231F20"/>
        </w:rPr>
        <w:t>families,</w:t>
      </w:r>
      <w:r>
        <w:rPr>
          <w:color w:val="231F20"/>
          <w:spacing w:val="-4"/>
        </w:rPr>
        <w:t> </w:t>
      </w:r>
      <w:r>
        <w:rPr>
          <w:color w:val="231F20"/>
          <w:spacing w:val="-1"/>
        </w:rPr>
        <w:t>in</w:t>
      </w:r>
      <w:r>
        <w:rPr>
          <w:color w:val="231F20"/>
          <w:spacing w:val="-4"/>
        </w:rPr>
        <w:t> </w:t>
      </w:r>
      <w:r>
        <w:rPr>
          <w:color w:val="231F20"/>
        </w:rPr>
        <w:t>an</w:t>
      </w:r>
      <w:r>
        <w:rPr>
          <w:color w:val="231F20"/>
          <w:spacing w:val="-4"/>
        </w:rPr>
        <w:t> </w:t>
      </w:r>
      <w:r>
        <w:rPr>
          <w:color w:val="231F20"/>
        </w:rPr>
        <w:t>environment</w:t>
      </w:r>
      <w:r>
        <w:rPr>
          <w:color w:val="231F20"/>
          <w:spacing w:val="23"/>
          <w:w w:val="99"/>
        </w:rPr>
        <w:t> </w:t>
      </w:r>
      <w:r>
        <w:rPr>
          <w:color w:val="231F20"/>
        </w:rPr>
        <w:t>close</w:t>
      </w:r>
      <w:r>
        <w:rPr>
          <w:color w:val="231F20"/>
          <w:spacing w:val="-4"/>
        </w:rPr>
        <w:t> </w:t>
      </w:r>
      <w:r>
        <w:rPr>
          <w:color w:val="231F20"/>
        </w:rPr>
        <w:t>to</w:t>
      </w:r>
      <w:r>
        <w:rPr>
          <w:color w:val="231F20"/>
          <w:spacing w:val="-3"/>
        </w:rPr>
        <w:t> </w:t>
      </w:r>
      <w:r>
        <w:rPr>
          <w:color w:val="231F20"/>
        </w:rPr>
        <w:t>community.</w:t>
      </w:r>
      <w:r>
        <w:rPr>
          <w:color w:val="231F20"/>
          <w:spacing w:val="-3"/>
        </w:rPr>
        <w:t> </w:t>
      </w:r>
      <w:r>
        <w:rPr>
          <w:color w:val="231F20"/>
        </w:rPr>
        <w:t>The</w:t>
      </w:r>
      <w:r>
        <w:rPr>
          <w:color w:val="231F20"/>
          <w:spacing w:val="-3"/>
        </w:rPr>
        <w:t> </w:t>
      </w:r>
      <w:r>
        <w:rPr>
          <w:color w:val="231F20"/>
        </w:rPr>
        <w:t>feedback</w:t>
      </w:r>
      <w:r>
        <w:rPr>
          <w:color w:val="231F20"/>
          <w:spacing w:val="-3"/>
        </w:rPr>
        <w:t> </w:t>
      </w:r>
      <w:r>
        <w:rPr>
          <w:color w:val="231F20"/>
          <w:spacing w:val="-1"/>
        </w:rPr>
        <w:t>suggests</w:t>
      </w:r>
      <w:r>
        <w:rPr>
          <w:color w:val="231F20"/>
          <w:spacing w:val="-2"/>
        </w:rPr>
        <w:t> </w:t>
      </w:r>
      <w:r>
        <w:rPr>
          <w:color w:val="231F20"/>
        </w:rPr>
        <w:t>the</w:t>
      </w:r>
      <w:r>
        <w:rPr/>
      </w:r>
    </w:p>
    <w:p>
      <w:pPr>
        <w:pStyle w:val="BodyText"/>
        <w:spacing w:line="250" w:lineRule="exact" w:before="69"/>
        <w:ind w:right="356"/>
        <w:jc w:val="left"/>
      </w:pPr>
      <w:r>
        <w:rPr/>
        <w:br w:type="column"/>
      </w:r>
      <w:r>
        <w:rPr>
          <w:color w:val="231F20"/>
          <w:spacing w:val="-1"/>
        </w:rPr>
        <w:t>model,</w:t>
      </w:r>
      <w:r>
        <w:rPr>
          <w:color w:val="231F20"/>
          <w:spacing w:val="-4"/>
        </w:rPr>
        <w:t> </w:t>
      </w:r>
      <w:r>
        <w:rPr>
          <w:color w:val="231F20"/>
        </w:rPr>
        <w:t>while</w:t>
      </w:r>
      <w:r>
        <w:rPr>
          <w:color w:val="231F20"/>
          <w:spacing w:val="-4"/>
        </w:rPr>
        <w:t> </w:t>
      </w:r>
      <w:r>
        <w:rPr>
          <w:color w:val="231F20"/>
        </w:rPr>
        <w:t>expensive,</w:t>
      </w:r>
      <w:r>
        <w:rPr>
          <w:color w:val="231F20"/>
          <w:spacing w:val="-3"/>
        </w:rPr>
        <w:t> </w:t>
      </w:r>
      <w:r>
        <w:rPr>
          <w:color w:val="231F20"/>
        </w:rPr>
        <w:t>has</w:t>
      </w:r>
      <w:r>
        <w:rPr>
          <w:color w:val="231F20"/>
          <w:spacing w:val="-4"/>
        </w:rPr>
        <w:t> </w:t>
      </w:r>
      <w:r>
        <w:rPr>
          <w:color w:val="231F20"/>
        </w:rPr>
        <w:t>been</w:t>
      </w:r>
      <w:r>
        <w:rPr>
          <w:color w:val="231F20"/>
          <w:spacing w:val="-4"/>
        </w:rPr>
        <w:t> </w:t>
      </w:r>
      <w:r>
        <w:rPr>
          <w:color w:val="231F20"/>
          <w:spacing w:val="-1"/>
        </w:rPr>
        <w:t>successful</w:t>
      </w:r>
      <w:r>
        <w:rPr>
          <w:color w:val="231F20"/>
          <w:spacing w:val="-3"/>
        </w:rPr>
        <w:t> </w:t>
      </w:r>
      <w:r>
        <w:rPr>
          <w:color w:val="231F20"/>
          <w:spacing w:val="-1"/>
        </w:rPr>
        <w:t>in</w:t>
      </w:r>
      <w:r>
        <w:rPr>
          <w:color w:val="231F20"/>
          <w:spacing w:val="23"/>
        </w:rPr>
        <w:t> </w:t>
      </w:r>
      <w:r>
        <w:rPr>
          <w:color w:val="231F20"/>
        </w:rPr>
        <w:t>addressing</w:t>
      </w:r>
      <w:r>
        <w:rPr>
          <w:color w:val="231F20"/>
          <w:spacing w:val="-10"/>
        </w:rPr>
        <w:t> </w:t>
      </w:r>
      <w:r>
        <w:rPr>
          <w:color w:val="231F20"/>
        </w:rPr>
        <w:t>homesickness</w:t>
      </w:r>
      <w:r>
        <w:rPr>
          <w:color w:val="231F20"/>
          <w:spacing w:val="-11"/>
        </w:rPr>
        <w:t> </w:t>
      </w:r>
      <w:r>
        <w:rPr>
          <w:color w:val="231F20"/>
        </w:rPr>
        <w:t>and</w:t>
      </w:r>
      <w:r>
        <w:rPr>
          <w:color w:val="231F20"/>
          <w:spacing w:val="-10"/>
        </w:rPr>
        <w:t> </w:t>
      </w:r>
      <w:r>
        <w:rPr>
          <w:color w:val="231F20"/>
        </w:rPr>
        <w:t>disengagement,</w:t>
      </w:r>
      <w:r>
        <w:rPr>
          <w:color w:val="231F20"/>
          <w:w w:val="99"/>
        </w:rPr>
        <w:t> </w:t>
      </w:r>
      <w:r>
        <w:rPr>
          <w:color w:val="231F20"/>
        </w:rPr>
        <w:t>which</w:t>
      </w:r>
      <w:r>
        <w:rPr>
          <w:color w:val="231F20"/>
          <w:spacing w:val="-7"/>
        </w:rPr>
        <w:t> </w:t>
      </w:r>
      <w:r>
        <w:rPr>
          <w:color w:val="231F20"/>
        </w:rPr>
        <w:t>are</w:t>
      </w:r>
      <w:r>
        <w:rPr>
          <w:color w:val="231F20"/>
          <w:spacing w:val="-6"/>
        </w:rPr>
        <w:t> </w:t>
      </w:r>
      <w:r>
        <w:rPr>
          <w:color w:val="231F20"/>
          <w:spacing w:val="-1"/>
        </w:rPr>
        <w:t>major</w:t>
      </w:r>
      <w:r>
        <w:rPr>
          <w:color w:val="231F20"/>
          <w:spacing w:val="-6"/>
        </w:rPr>
        <w:t> </w:t>
      </w:r>
      <w:r>
        <w:rPr>
          <w:color w:val="231F20"/>
        </w:rPr>
        <w:t>drivers</w:t>
      </w:r>
      <w:r>
        <w:rPr>
          <w:color w:val="231F20"/>
          <w:spacing w:val="-6"/>
        </w:rPr>
        <w:t> </w:t>
      </w:r>
      <w:r>
        <w:rPr>
          <w:color w:val="231F20"/>
        </w:rPr>
        <w:t>of</w:t>
      </w:r>
      <w:r>
        <w:rPr>
          <w:color w:val="231F20"/>
          <w:spacing w:val="-6"/>
        </w:rPr>
        <w:t> </w:t>
      </w:r>
      <w:r>
        <w:rPr>
          <w:color w:val="231F20"/>
        </w:rPr>
        <w:t>poor</w:t>
      </w:r>
      <w:r>
        <w:rPr>
          <w:color w:val="231F20"/>
          <w:spacing w:val="-5"/>
        </w:rPr>
        <w:t> </w:t>
      </w:r>
      <w:r>
        <w:rPr>
          <w:color w:val="231F20"/>
        </w:rPr>
        <w:t>attendance.</w:t>
      </w:r>
      <w:r>
        <w:rPr>
          <w:color w:val="231F20"/>
          <w:spacing w:val="-7"/>
        </w:rPr>
        <w:t> </w:t>
      </w:r>
      <w:r>
        <w:rPr>
          <w:color w:val="231F20"/>
        </w:rPr>
        <w:t>The</w:t>
      </w:r>
      <w:r>
        <w:rPr>
          <w:color w:val="231F20"/>
          <w:spacing w:val="21"/>
          <w:w w:val="99"/>
        </w:rPr>
        <w:t> </w:t>
      </w:r>
      <w:r>
        <w:rPr>
          <w:color w:val="231F20"/>
        </w:rPr>
        <w:t>average</w:t>
      </w:r>
      <w:r>
        <w:rPr>
          <w:color w:val="231F20"/>
          <w:spacing w:val="-6"/>
        </w:rPr>
        <w:t> </w:t>
      </w:r>
      <w:r>
        <w:rPr>
          <w:color w:val="231F20"/>
        </w:rPr>
        <w:t>NAPLAN</w:t>
      </w:r>
      <w:r>
        <w:rPr>
          <w:color w:val="231F20"/>
          <w:spacing w:val="-5"/>
        </w:rPr>
        <w:t> </w:t>
      </w:r>
      <w:r>
        <w:rPr>
          <w:color w:val="231F20"/>
        </w:rPr>
        <w:t>results</w:t>
      </w:r>
      <w:r>
        <w:rPr>
          <w:color w:val="231F20"/>
          <w:spacing w:val="-5"/>
        </w:rPr>
        <w:t> </w:t>
      </w:r>
      <w:r>
        <w:rPr>
          <w:color w:val="231F20"/>
        </w:rPr>
        <w:t>for</w:t>
      </w:r>
      <w:r>
        <w:rPr>
          <w:color w:val="231F20"/>
          <w:spacing w:val="-5"/>
        </w:rPr>
        <w:t> </w:t>
      </w:r>
      <w:r>
        <w:rPr>
          <w:color w:val="231F20"/>
        </w:rPr>
        <w:t>the</w:t>
      </w:r>
      <w:r>
        <w:rPr>
          <w:color w:val="231F20"/>
          <w:spacing w:val="-5"/>
        </w:rPr>
        <w:t> </w:t>
      </w:r>
      <w:r>
        <w:rPr>
          <w:color w:val="231F20"/>
        </w:rPr>
        <w:t>very</w:t>
      </w:r>
      <w:r>
        <w:rPr>
          <w:color w:val="231F20"/>
          <w:spacing w:val="-5"/>
        </w:rPr>
        <w:t> </w:t>
      </w:r>
      <w:r>
        <w:rPr>
          <w:color w:val="231F20"/>
        </w:rPr>
        <w:t>remote</w:t>
      </w:r>
      <w:r>
        <w:rPr>
          <w:color w:val="231F20"/>
          <w:spacing w:val="25"/>
          <w:w w:val="99"/>
        </w:rPr>
        <w:t> </w:t>
      </w:r>
      <w:r>
        <w:rPr>
          <w:color w:val="231F20"/>
        </w:rPr>
        <w:t>boarding</w:t>
      </w:r>
      <w:r>
        <w:rPr>
          <w:color w:val="231F20"/>
          <w:spacing w:val="-7"/>
        </w:rPr>
        <w:t> </w:t>
      </w:r>
      <w:r>
        <w:rPr>
          <w:color w:val="231F20"/>
        </w:rPr>
        <w:t>providers</w:t>
      </w:r>
      <w:r>
        <w:rPr>
          <w:color w:val="231F20"/>
          <w:spacing w:val="-6"/>
        </w:rPr>
        <w:t> </w:t>
      </w:r>
      <w:r>
        <w:rPr>
          <w:color w:val="231F20"/>
          <w:spacing w:val="-1"/>
        </w:rPr>
        <w:t>included</w:t>
      </w:r>
      <w:r>
        <w:rPr>
          <w:color w:val="231F20"/>
          <w:spacing w:val="-6"/>
        </w:rPr>
        <w:t> </w:t>
      </w:r>
      <w:r>
        <w:rPr>
          <w:color w:val="231F20"/>
          <w:spacing w:val="-1"/>
        </w:rPr>
        <w:t>in</w:t>
      </w:r>
      <w:r>
        <w:rPr>
          <w:color w:val="231F20"/>
          <w:spacing w:val="-5"/>
        </w:rPr>
        <w:t> </w:t>
      </w:r>
      <w:r>
        <w:rPr>
          <w:color w:val="231F20"/>
        </w:rPr>
        <w:t>this</w:t>
      </w:r>
      <w:r>
        <w:rPr>
          <w:color w:val="231F20"/>
          <w:spacing w:val="-6"/>
        </w:rPr>
        <w:t> </w:t>
      </w:r>
      <w:r>
        <w:rPr>
          <w:color w:val="231F20"/>
        </w:rPr>
        <w:t>report</w:t>
      </w:r>
      <w:r>
        <w:rPr>
          <w:color w:val="231F20"/>
          <w:spacing w:val="-7"/>
        </w:rPr>
        <w:t> </w:t>
      </w:r>
      <w:r>
        <w:rPr>
          <w:color w:val="231F20"/>
        </w:rPr>
        <w:t>are</w:t>
      </w:r>
      <w:r>
        <w:rPr>
          <w:color w:val="231F20"/>
          <w:spacing w:val="23"/>
          <w:w w:val="99"/>
        </w:rPr>
        <w:t> </w:t>
      </w:r>
      <w:r>
        <w:rPr>
          <w:color w:val="231F20"/>
        </w:rPr>
        <w:t>on</w:t>
      </w:r>
      <w:r>
        <w:rPr>
          <w:color w:val="231F20"/>
          <w:spacing w:val="-4"/>
        </w:rPr>
        <w:t> </w:t>
      </w:r>
      <w:r>
        <w:rPr>
          <w:color w:val="231F20"/>
        </w:rPr>
        <w:t>a</w:t>
      </w:r>
      <w:r>
        <w:rPr>
          <w:color w:val="231F20"/>
          <w:spacing w:val="-3"/>
        </w:rPr>
        <w:t> </w:t>
      </w:r>
      <w:r>
        <w:rPr>
          <w:color w:val="231F20"/>
        </w:rPr>
        <w:t>par</w:t>
      </w:r>
      <w:r>
        <w:rPr>
          <w:color w:val="231F20"/>
          <w:spacing w:val="-3"/>
        </w:rPr>
        <w:t> </w:t>
      </w:r>
      <w:r>
        <w:rPr>
          <w:color w:val="231F20"/>
        </w:rPr>
        <w:t>with</w:t>
      </w:r>
      <w:r>
        <w:rPr>
          <w:color w:val="231F20"/>
          <w:spacing w:val="-4"/>
        </w:rPr>
        <w:t> </w:t>
      </w:r>
      <w:r>
        <w:rPr>
          <w:color w:val="231F20"/>
        </w:rPr>
        <w:t>the</w:t>
      </w:r>
      <w:r>
        <w:rPr>
          <w:color w:val="231F20"/>
          <w:spacing w:val="-4"/>
        </w:rPr>
        <w:t> </w:t>
      </w:r>
      <w:r>
        <w:rPr>
          <w:color w:val="231F20"/>
          <w:spacing w:val="-1"/>
        </w:rPr>
        <w:t>selected</w:t>
      </w:r>
      <w:r>
        <w:rPr>
          <w:color w:val="231F20"/>
          <w:spacing w:val="-3"/>
        </w:rPr>
        <w:t> </w:t>
      </w:r>
      <w:r>
        <w:rPr>
          <w:color w:val="231F20"/>
        </w:rPr>
        <w:t>Aboriginal</w:t>
      </w:r>
      <w:r>
        <w:rPr>
          <w:color w:val="231F20"/>
          <w:spacing w:val="-3"/>
        </w:rPr>
        <w:t> </w:t>
      </w:r>
      <w:r>
        <w:rPr>
          <w:color w:val="231F20"/>
        </w:rPr>
        <w:t>and</w:t>
      </w:r>
      <w:r>
        <w:rPr>
          <w:color w:val="231F20"/>
          <w:spacing w:val="-4"/>
        </w:rPr>
        <w:t> </w:t>
      </w:r>
      <w:r>
        <w:rPr>
          <w:color w:val="231F20"/>
          <w:spacing w:val="-5"/>
        </w:rPr>
        <w:t>Torres</w:t>
      </w:r>
      <w:r>
        <w:rPr>
          <w:color w:val="231F20"/>
          <w:spacing w:val="25"/>
          <w:w w:val="99"/>
        </w:rPr>
        <w:t> </w:t>
      </w:r>
      <w:r>
        <w:rPr>
          <w:color w:val="231F20"/>
          <w:spacing w:val="-2"/>
        </w:rPr>
        <w:t>Strait</w:t>
      </w:r>
      <w:r>
        <w:rPr>
          <w:color w:val="231F20"/>
          <w:spacing w:val="-8"/>
        </w:rPr>
        <w:t> </w:t>
      </w:r>
      <w:r>
        <w:rPr>
          <w:color w:val="231F20"/>
          <w:spacing w:val="-1"/>
        </w:rPr>
        <w:t>Islander</w:t>
      </w:r>
      <w:r>
        <w:rPr>
          <w:color w:val="231F20"/>
          <w:spacing w:val="-7"/>
        </w:rPr>
        <w:t> </w:t>
      </w:r>
      <w:r>
        <w:rPr>
          <w:color w:val="231F20"/>
        </w:rPr>
        <w:t>boarding</w:t>
      </w:r>
      <w:r>
        <w:rPr>
          <w:color w:val="231F20"/>
          <w:spacing w:val="-7"/>
        </w:rPr>
        <w:t> </w:t>
      </w:r>
      <w:r>
        <w:rPr>
          <w:color w:val="231F20"/>
        </w:rPr>
        <w:t>providers</w:t>
      </w:r>
      <w:r>
        <w:rPr>
          <w:color w:val="231F20"/>
          <w:spacing w:val="-7"/>
        </w:rPr>
        <w:t> </w:t>
      </w:r>
      <w:r>
        <w:rPr>
          <w:color w:val="231F20"/>
          <w:spacing w:val="-1"/>
        </w:rPr>
        <w:t>in</w:t>
      </w:r>
      <w:r>
        <w:rPr>
          <w:color w:val="231F20"/>
          <w:spacing w:val="-7"/>
        </w:rPr>
        <w:t> </w:t>
      </w:r>
      <w:r>
        <w:rPr>
          <w:color w:val="231F20"/>
        </w:rPr>
        <w:t>capital</w:t>
      </w:r>
      <w:r>
        <w:rPr>
          <w:color w:val="231F20"/>
          <w:spacing w:val="28"/>
          <w:w w:val="99"/>
        </w:rPr>
        <w:t> </w:t>
      </w:r>
      <w:r>
        <w:rPr>
          <w:color w:val="231F20"/>
        </w:rPr>
        <w:t>cities</w:t>
      </w:r>
      <w:r>
        <w:rPr>
          <w:color w:val="231F20"/>
          <w:spacing w:val="-7"/>
        </w:rPr>
        <w:t> </w:t>
      </w:r>
      <w:r>
        <w:rPr>
          <w:color w:val="231F20"/>
        </w:rPr>
        <w:t>and</w:t>
      </w:r>
      <w:r>
        <w:rPr>
          <w:color w:val="231F20"/>
          <w:spacing w:val="-6"/>
        </w:rPr>
        <w:t> </w:t>
      </w:r>
      <w:r>
        <w:rPr>
          <w:color w:val="231F20"/>
        </w:rPr>
        <w:t>regional</w:t>
      </w:r>
      <w:r>
        <w:rPr>
          <w:color w:val="231F20"/>
          <w:spacing w:val="-6"/>
        </w:rPr>
        <w:t> </w:t>
      </w:r>
      <w:r>
        <w:rPr>
          <w:color w:val="231F20"/>
        </w:rPr>
        <w:t>areas.</w:t>
      </w:r>
      <w:r>
        <w:rPr/>
      </w:r>
    </w:p>
    <w:p>
      <w:pPr>
        <w:pStyle w:val="BodyText"/>
        <w:spacing w:line="250" w:lineRule="exact" w:before="113"/>
        <w:ind w:right="478"/>
        <w:jc w:val="left"/>
        <w:rPr>
          <w:rFonts w:ascii="Segoe UI" w:hAnsi="Segoe UI" w:cs="Segoe UI" w:eastAsia="Segoe UI"/>
        </w:rPr>
      </w:pPr>
      <w:r>
        <w:rPr>
          <w:color w:val="231F20"/>
        </w:rPr>
        <w:t>Many</w:t>
      </w:r>
      <w:r>
        <w:rPr>
          <w:color w:val="231F20"/>
          <w:spacing w:val="-6"/>
        </w:rPr>
        <w:t> </w:t>
      </w:r>
      <w:r>
        <w:rPr>
          <w:color w:val="231F20"/>
        </w:rPr>
        <w:t>Aboriginal</w:t>
      </w:r>
      <w:r>
        <w:rPr>
          <w:color w:val="231F20"/>
          <w:spacing w:val="-6"/>
        </w:rPr>
        <w:t> </w:t>
      </w:r>
      <w:r>
        <w:rPr>
          <w:color w:val="231F20"/>
        </w:rPr>
        <w:t>and</w:t>
      </w:r>
      <w:r>
        <w:rPr>
          <w:color w:val="231F20"/>
          <w:spacing w:val="-6"/>
        </w:rPr>
        <w:t> </w:t>
      </w:r>
      <w:r>
        <w:rPr>
          <w:color w:val="231F20"/>
          <w:spacing w:val="-5"/>
        </w:rPr>
        <w:t>Torres </w:t>
      </w:r>
      <w:r>
        <w:rPr>
          <w:color w:val="231F20"/>
          <w:spacing w:val="-2"/>
        </w:rPr>
        <w:t>Strait</w:t>
      </w:r>
      <w:r>
        <w:rPr>
          <w:color w:val="231F20"/>
          <w:spacing w:val="-7"/>
        </w:rPr>
        <w:t> </w:t>
      </w:r>
      <w:r>
        <w:rPr>
          <w:color w:val="231F20"/>
          <w:spacing w:val="-1"/>
        </w:rPr>
        <w:t>Islander</w:t>
      </w:r>
      <w:r>
        <w:rPr>
          <w:color w:val="231F20"/>
          <w:spacing w:val="29"/>
          <w:w w:val="99"/>
        </w:rPr>
        <w:t> </w:t>
      </w:r>
      <w:r>
        <w:rPr>
          <w:color w:val="231F20"/>
        </w:rPr>
        <w:t>people</w:t>
      </w:r>
      <w:r>
        <w:rPr>
          <w:color w:val="231F20"/>
          <w:spacing w:val="-6"/>
        </w:rPr>
        <w:t> </w:t>
      </w:r>
      <w:r>
        <w:rPr>
          <w:color w:val="231F20"/>
        </w:rPr>
        <w:t>from</w:t>
      </w:r>
      <w:r>
        <w:rPr>
          <w:color w:val="231F20"/>
          <w:spacing w:val="-4"/>
        </w:rPr>
        <w:t> </w:t>
      </w:r>
      <w:r>
        <w:rPr>
          <w:color w:val="231F20"/>
        </w:rPr>
        <w:t>remote</w:t>
      </w:r>
      <w:r>
        <w:rPr>
          <w:color w:val="231F20"/>
          <w:spacing w:val="-6"/>
        </w:rPr>
        <w:t> </w:t>
      </w:r>
      <w:r>
        <w:rPr>
          <w:color w:val="231F20"/>
        </w:rPr>
        <w:t>communities</w:t>
      </w:r>
      <w:r>
        <w:rPr>
          <w:color w:val="231F20"/>
          <w:spacing w:val="-5"/>
        </w:rPr>
        <w:t> </w:t>
      </w:r>
      <w:r>
        <w:rPr>
          <w:color w:val="231F20"/>
        </w:rPr>
        <w:t>do</w:t>
      </w:r>
      <w:r>
        <w:rPr>
          <w:color w:val="231F20"/>
          <w:spacing w:val="-4"/>
        </w:rPr>
        <w:t> </w:t>
      </w:r>
      <w:r>
        <w:rPr>
          <w:color w:val="231F20"/>
        </w:rPr>
        <w:t>not</w:t>
      </w:r>
      <w:r>
        <w:rPr>
          <w:color w:val="231F20"/>
          <w:w w:val="99"/>
        </w:rPr>
        <w:t> </w:t>
      </w:r>
      <w:r>
        <w:rPr>
          <w:rFonts w:ascii="Segoe UI"/>
          <w:color w:val="231F20"/>
        </w:rPr>
        <w:t>speak English as their first language. Levels</w:t>
      </w:r>
      <w:r>
        <w:rPr>
          <w:rFonts w:ascii="Segoe UI"/>
        </w:rPr>
      </w:r>
    </w:p>
    <w:p>
      <w:pPr>
        <w:pStyle w:val="BodyText"/>
        <w:spacing w:line="250" w:lineRule="exact"/>
        <w:ind w:right="166"/>
        <w:jc w:val="left"/>
      </w:pPr>
      <w:r>
        <w:rPr>
          <w:color w:val="231F20"/>
        </w:rPr>
        <w:t>of</w:t>
      </w:r>
      <w:r>
        <w:rPr>
          <w:color w:val="231F20"/>
          <w:spacing w:val="-6"/>
        </w:rPr>
        <w:t> </w:t>
      </w:r>
      <w:r>
        <w:rPr>
          <w:color w:val="231F20"/>
        </w:rPr>
        <w:t>numeracy</w:t>
      </w:r>
      <w:r>
        <w:rPr>
          <w:color w:val="231F20"/>
          <w:spacing w:val="-6"/>
        </w:rPr>
        <w:t> </w:t>
      </w:r>
      <w:r>
        <w:rPr>
          <w:color w:val="231F20"/>
        </w:rPr>
        <w:t>and</w:t>
      </w:r>
      <w:r>
        <w:rPr>
          <w:color w:val="231F20"/>
          <w:spacing w:val="-6"/>
        </w:rPr>
        <w:t> </w:t>
      </w:r>
      <w:r>
        <w:rPr>
          <w:color w:val="231F20"/>
          <w:spacing w:val="-1"/>
        </w:rPr>
        <w:t>literacy</w:t>
      </w:r>
      <w:r>
        <w:rPr>
          <w:color w:val="231F20"/>
          <w:spacing w:val="-5"/>
        </w:rPr>
        <w:t> </w:t>
      </w:r>
      <w:r>
        <w:rPr>
          <w:color w:val="231F20"/>
        </w:rPr>
        <w:t>for</w:t>
      </w:r>
      <w:r>
        <w:rPr>
          <w:color w:val="231F20"/>
          <w:spacing w:val="-5"/>
        </w:rPr>
        <w:t> </w:t>
      </w:r>
      <w:r>
        <w:rPr>
          <w:color w:val="231F20"/>
        </w:rPr>
        <w:t>remote</w:t>
      </w:r>
      <w:r>
        <w:rPr>
          <w:color w:val="231F20"/>
          <w:spacing w:val="-6"/>
        </w:rPr>
        <w:t> </w:t>
      </w:r>
      <w:r>
        <w:rPr>
          <w:color w:val="231F20"/>
        </w:rPr>
        <w:t>and</w:t>
      </w:r>
      <w:r>
        <w:rPr>
          <w:color w:val="231F20"/>
          <w:spacing w:val="-6"/>
        </w:rPr>
        <w:t> </w:t>
      </w:r>
      <w:r>
        <w:rPr>
          <w:color w:val="231F20"/>
        </w:rPr>
        <w:t>very</w:t>
      </w:r>
      <w:r>
        <w:rPr>
          <w:color w:val="231F20"/>
          <w:spacing w:val="22"/>
          <w:w w:val="99"/>
        </w:rPr>
        <w:t> </w:t>
      </w:r>
      <w:r>
        <w:rPr>
          <w:color w:val="231F20"/>
        </w:rPr>
        <w:t>remote</w:t>
      </w:r>
      <w:r>
        <w:rPr>
          <w:color w:val="231F20"/>
          <w:spacing w:val="-7"/>
        </w:rPr>
        <w:t> </w:t>
      </w:r>
      <w:r>
        <w:rPr>
          <w:color w:val="231F20"/>
        </w:rPr>
        <w:t>Aboriginal</w:t>
      </w:r>
      <w:r>
        <w:rPr>
          <w:color w:val="231F20"/>
          <w:spacing w:val="-6"/>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6"/>
        </w:rPr>
        <w:t> </w:t>
      </w:r>
      <w:r>
        <w:rPr>
          <w:color w:val="231F20"/>
          <w:spacing w:val="-1"/>
        </w:rPr>
        <w:t>Islander</w:t>
      </w:r>
      <w:r>
        <w:rPr>
          <w:color w:val="231F20"/>
          <w:spacing w:val="29"/>
          <w:w w:val="99"/>
        </w:rPr>
        <w:t> </w:t>
      </w:r>
      <w:r>
        <w:rPr>
          <w:rFonts w:ascii="Segoe UI"/>
          <w:color w:val="231F20"/>
        </w:rPr>
        <w:t>students have traditionally been significantly</w:t>
      </w:r>
      <w:r>
        <w:rPr>
          <w:rFonts w:ascii="Segoe UI"/>
          <w:color w:val="231F20"/>
        </w:rPr>
        <w:t> lower than national averages. A first language </w:t>
      </w:r>
      <w:r>
        <w:rPr>
          <w:color w:val="231F20"/>
        </w:rPr>
        <w:t>other</w:t>
      </w:r>
      <w:r>
        <w:rPr>
          <w:color w:val="231F20"/>
          <w:spacing w:val="-4"/>
        </w:rPr>
        <w:t> </w:t>
      </w:r>
      <w:r>
        <w:rPr>
          <w:color w:val="231F20"/>
        </w:rPr>
        <w:t>than</w:t>
      </w:r>
      <w:r>
        <w:rPr>
          <w:color w:val="231F20"/>
          <w:spacing w:val="-4"/>
        </w:rPr>
        <w:t> </w:t>
      </w:r>
      <w:r>
        <w:rPr>
          <w:color w:val="231F20"/>
        </w:rPr>
        <w:t>English</w:t>
      </w:r>
      <w:r>
        <w:rPr>
          <w:color w:val="231F20"/>
          <w:spacing w:val="-4"/>
        </w:rPr>
        <w:t> </w:t>
      </w:r>
      <w:r>
        <w:rPr>
          <w:color w:val="231F20"/>
        </w:rPr>
        <w:t>and</w:t>
      </w:r>
      <w:r>
        <w:rPr>
          <w:color w:val="231F20"/>
          <w:spacing w:val="-5"/>
        </w:rPr>
        <w:t> </w:t>
      </w:r>
      <w:r>
        <w:rPr>
          <w:color w:val="231F20"/>
          <w:spacing w:val="-1"/>
        </w:rPr>
        <w:t>low</w:t>
      </w:r>
      <w:r>
        <w:rPr>
          <w:color w:val="231F20"/>
          <w:spacing w:val="-3"/>
        </w:rPr>
        <w:t> </w:t>
      </w:r>
      <w:r>
        <w:rPr>
          <w:color w:val="231F20"/>
          <w:spacing w:val="-1"/>
        </w:rPr>
        <w:t>levels</w:t>
      </w:r>
      <w:r>
        <w:rPr>
          <w:color w:val="231F20"/>
          <w:spacing w:val="-3"/>
        </w:rPr>
        <w:t> </w:t>
      </w:r>
      <w:r>
        <w:rPr>
          <w:color w:val="231F20"/>
        </w:rPr>
        <w:t>of</w:t>
      </w:r>
      <w:r>
        <w:rPr>
          <w:color w:val="231F20"/>
          <w:spacing w:val="-4"/>
        </w:rPr>
        <w:t> </w:t>
      </w:r>
      <w:r>
        <w:rPr>
          <w:color w:val="231F20"/>
          <w:spacing w:val="-1"/>
        </w:rPr>
        <w:t>literacy</w:t>
      </w:r>
      <w:r>
        <w:rPr>
          <w:color w:val="231F20"/>
          <w:spacing w:val="-3"/>
        </w:rPr>
        <w:t> </w:t>
      </w:r>
      <w:r>
        <w:rPr>
          <w:color w:val="231F20"/>
        </w:rPr>
        <w:t>and</w:t>
      </w:r>
      <w:r>
        <w:rPr>
          <w:color w:val="231F20"/>
          <w:spacing w:val="24"/>
          <w:w w:val="99"/>
        </w:rPr>
        <w:t> </w:t>
      </w:r>
      <w:r>
        <w:rPr>
          <w:rFonts w:ascii="Segoe UI"/>
          <w:color w:val="231F20"/>
        </w:rPr>
        <w:t>numeracy can contribute to a difficult transition</w:t>
      </w:r>
      <w:r>
        <w:rPr>
          <w:rFonts w:ascii="Segoe UI"/>
          <w:color w:val="231F20"/>
        </w:rPr>
        <w:t> </w:t>
      </w:r>
      <w:r>
        <w:rPr>
          <w:color w:val="231F20"/>
        </w:rPr>
        <w:t>for</w:t>
      </w:r>
      <w:r>
        <w:rPr>
          <w:color w:val="231F20"/>
          <w:spacing w:val="-6"/>
        </w:rPr>
        <w:t> </w:t>
      </w:r>
      <w:r>
        <w:rPr>
          <w:color w:val="231F20"/>
        </w:rPr>
        <w:t>a</w:t>
      </w:r>
      <w:r>
        <w:rPr>
          <w:color w:val="231F20"/>
          <w:spacing w:val="-5"/>
        </w:rPr>
        <w:t> </w:t>
      </w:r>
      <w:r>
        <w:rPr>
          <w:color w:val="231F20"/>
          <w:spacing w:val="-1"/>
        </w:rPr>
        <w:t>student</w:t>
      </w:r>
      <w:r>
        <w:rPr>
          <w:color w:val="231F20"/>
          <w:spacing w:val="-5"/>
        </w:rPr>
        <w:t> </w:t>
      </w:r>
      <w:r>
        <w:rPr>
          <w:color w:val="231F20"/>
        </w:rPr>
        <w:t>to</w:t>
      </w:r>
      <w:r>
        <w:rPr>
          <w:color w:val="231F20"/>
          <w:spacing w:val="-5"/>
        </w:rPr>
        <w:t> </w:t>
      </w:r>
      <w:r>
        <w:rPr>
          <w:color w:val="231F20"/>
        </w:rPr>
        <w:t>boarding.</w:t>
      </w:r>
      <w:r>
        <w:rPr/>
      </w:r>
    </w:p>
    <w:p>
      <w:pPr>
        <w:pStyle w:val="BodyText"/>
        <w:spacing w:line="250" w:lineRule="exact" w:before="113"/>
        <w:ind w:right="287"/>
        <w:jc w:val="left"/>
        <w:rPr>
          <w:rFonts w:ascii="Segoe UI" w:hAnsi="Segoe UI" w:cs="Segoe UI" w:eastAsia="Segoe UI"/>
        </w:rPr>
      </w:pPr>
      <w:r>
        <w:rPr>
          <w:color w:val="231F20"/>
        </w:rPr>
        <w:t>Most</w:t>
      </w:r>
      <w:r>
        <w:rPr>
          <w:color w:val="231F20"/>
          <w:spacing w:val="-7"/>
        </w:rPr>
        <w:t> </w:t>
      </w:r>
      <w:r>
        <w:rPr>
          <w:color w:val="231F20"/>
        </w:rPr>
        <w:t>boarding</w:t>
      </w:r>
      <w:r>
        <w:rPr>
          <w:color w:val="231F20"/>
          <w:spacing w:val="-6"/>
        </w:rPr>
        <w:t> </w:t>
      </w:r>
      <w:r>
        <w:rPr>
          <w:color w:val="231F20"/>
        </w:rPr>
        <w:t>providers</w:t>
      </w:r>
      <w:r>
        <w:rPr>
          <w:color w:val="231F20"/>
          <w:spacing w:val="-7"/>
        </w:rPr>
        <w:t> </w:t>
      </w:r>
      <w:r>
        <w:rPr>
          <w:color w:val="231F20"/>
        </w:rPr>
        <w:t>consulted</w:t>
      </w:r>
      <w:r>
        <w:rPr>
          <w:color w:val="231F20"/>
          <w:spacing w:val="-6"/>
        </w:rPr>
        <w:t> </w:t>
      </w:r>
      <w:r>
        <w:rPr>
          <w:color w:val="231F20"/>
        </w:rPr>
        <w:t>for</w:t>
      </w:r>
      <w:r>
        <w:rPr>
          <w:color w:val="231F20"/>
          <w:spacing w:val="-6"/>
        </w:rPr>
        <w:t> </w:t>
      </w:r>
      <w:r>
        <w:rPr>
          <w:color w:val="231F20"/>
        </w:rPr>
        <w:t>this</w:t>
      </w:r>
      <w:r>
        <w:rPr>
          <w:color w:val="231F20"/>
        </w:rPr>
        <w:t> report</w:t>
      </w:r>
      <w:r>
        <w:rPr>
          <w:color w:val="231F20"/>
          <w:spacing w:val="-9"/>
        </w:rPr>
        <w:t> </w:t>
      </w:r>
      <w:r>
        <w:rPr>
          <w:color w:val="231F20"/>
        </w:rPr>
        <w:t>deliver</w:t>
      </w:r>
      <w:r>
        <w:rPr>
          <w:color w:val="231F20"/>
          <w:spacing w:val="-9"/>
        </w:rPr>
        <w:t> </w:t>
      </w:r>
      <w:r>
        <w:rPr>
          <w:color w:val="231F20"/>
          <w:spacing w:val="-1"/>
        </w:rPr>
        <w:t>literacy</w:t>
      </w:r>
      <w:r>
        <w:rPr>
          <w:color w:val="231F20"/>
          <w:spacing w:val="-7"/>
        </w:rPr>
        <w:t> </w:t>
      </w:r>
      <w:r>
        <w:rPr>
          <w:color w:val="231F20"/>
        </w:rPr>
        <w:t>and</w:t>
      </w:r>
      <w:r>
        <w:rPr>
          <w:color w:val="231F20"/>
          <w:spacing w:val="-9"/>
        </w:rPr>
        <w:t> </w:t>
      </w:r>
      <w:r>
        <w:rPr>
          <w:color w:val="231F20"/>
        </w:rPr>
        <w:t>numeracy</w:t>
      </w:r>
      <w:r>
        <w:rPr>
          <w:color w:val="231F20"/>
          <w:spacing w:val="-9"/>
        </w:rPr>
        <w:t> </w:t>
      </w:r>
      <w:r>
        <w:rPr>
          <w:color w:val="231F20"/>
        </w:rPr>
        <w:t>programs</w:t>
      </w:r>
      <w:r>
        <w:rPr>
          <w:color w:val="231F20"/>
          <w:spacing w:val="22"/>
          <w:w w:val="99"/>
        </w:rPr>
        <w:t> </w:t>
      </w:r>
      <w:r>
        <w:rPr>
          <w:color w:val="231F20"/>
        </w:rPr>
        <w:t>for</w:t>
      </w:r>
      <w:r>
        <w:rPr>
          <w:color w:val="231F20"/>
          <w:spacing w:val="-4"/>
        </w:rPr>
        <w:t> </w:t>
      </w:r>
      <w:r>
        <w:rPr>
          <w:color w:val="231F20"/>
          <w:spacing w:val="-1"/>
        </w:rPr>
        <w:t>students</w:t>
      </w:r>
      <w:r>
        <w:rPr>
          <w:color w:val="231F20"/>
          <w:spacing w:val="-3"/>
        </w:rPr>
        <w:t> </w:t>
      </w:r>
      <w:r>
        <w:rPr>
          <w:color w:val="231F20"/>
        </w:rPr>
        <w:t>with</w:t>
      </w:r>
      <w:r>
        <w:rPr>
          <w:color w:val="231F20"/>
          <w:spacing w:val="-4"/>
        </w:rPr>
        <w:t> </w:t>
      </w:r>
      <w:r>
        <w:rPr>
          <w:color w:val="231F20"/>
          <w:spacing w:val="-1"/>
        </w:rPr>
        <w:t>learning</w:t>
      </w:r>
      <w:r>
        <w:rPr>
          <w:color w:val="231F20"/>
          <w:spacing w:val="-4"/>
        </w:rPr>
        <w:t> </w:t>
      </w:r>
      <w:r>
        <w:rPr>
          <w:color w:val="231F20"/>
        </w:rPr>
        <w:t>disabilities</w:t>
      </w:r>
      <w:r>
        <w:rPr>
          <w:color w:val="231F20"/>
          <w:spacing w:val="-4"/>
        </w:rPr>
        <w:t> </w:t>
      </w:r>
      <w:r>
        <w:rPr>
          <w:color w:val="231F20"/>
        </w:rPr>
        <w:t>and</w:t>
      </w:r>
      <w:r>
        <w:rPr>
          <w:color w:val="231F20"/>
          <w:spacing w:val="-4"/>
        </w:rPr>
        <w:t> </w:t>
      </w:r>
      <w:r>
        <w:rPr>
          <w:color w:val="231F20"/>
          <w:spacing w:val="-1"/>
        </w:rPr>
        <w:t>low</w:t>
      </w:r>
      <w:r>
        <w:rPr>
          <w:color w:val="231F20"/>
          <w:spacing w:val="22"/>
          <w:w w:val="99"/>
        </w:rPr>
        <w:t> </w:t>
      </w:r>
      <w:r>
        <w:rPr>
          <w:color w:val="231F20"/>
          <w:spacing w:val="-1"/>
        </w:rPr>
        <w:t>literacy</w:t>
      </w:r>
      <w:r>
        <w:rPr>
          <w:color w:val="231F20"/>
          <w:spacing w:val="-4"/>
        </w:rPr>
        <w:t> </w:t>
      </w:r>
      <w:r>
        <w:rPr>
          <w:color w:val="231F20"/>
        </w:rPr>
        <w:t>and</w:t>
      </w:r>
      <w:r>
        <w:rPr>
          <w:color w:val="231F20"/>
          <w:spacing w:val="-5"/>
        </w:rPr>
        <w:t> </w:t>
      </w:r>
      <w:r>
        <w:rPr>
          <w:color w:val="231F20"/>
        </w:rPr>
        <w:t>numeracy,</w:t>
      </w:r>
      <w:r>
        <w:rPr>
          <w:color w:val="231F20"/>
          <w:spacing w:val="-4"/>
        </w:rPr>
        <w:t> </w:t>
      </w:r>
      <w:r>
        <w:rPr>
          <w:color w:val="231F20"/>
        </w:rPr>
        <w:t>and</w:t>
      </w:r>
      <w:r>
        <w:rPr>
          <w:color w:val="231F20"/>
          <w:spacing w:val="-5"/>
        </w:rPr>
        <w:t> </w:t>
      </w:r>
      <w:r>
        <w:rPr>
          <w:color w:val="231F20"/>
          <w:spacing w:val="-1"/>
        </w:rPr>
        <w:t>in</w:t>
      </w:r>
      <w:r>
        <w:rPr>
          <w:color w:val="231F20"/>
          <w:spacing w:val="-4"/>
        </w:rPr>
        <w:t> </w:t>
      </w:r>
      <w:r>
        <w:rPr>
          <w:color w:val="231F20"/>
          <w:spacing w:val="-1"/>
        </w:rPr>
        <w:t>some</w:t>
      </w:r>
      <w:r>
        <w:rPr>
          <w:color w:val="231F20"/>
          <w:spacing w:val="-4"/>
        </w:rPr>
        <w:t> </w:t>
      </w:r>
      <w:r>
        <w:rPr>
          <w:color w:val="231F20"/>
        </w:rPr>
        <w:t>cases,</w:t>
      </w:r>
      <w:r>
        <w:rPr>
          <w:color w:val="231F20"/>
          <w:spacing w:val="24"/>
        </w:rPr>
        <w:t> </w:t>
      </w:r>
      <w:r>
        <w:rPr>
          <w:color w:val="231F20"/>
        </w:rPr>
        <w:t>provide</w:t>
      </w:r>
      <w:r>
        <w:rPr>
          <w:color w:val="231F20"/>
          <w:spacing w:val="-7"/>
        </w:rPr>
        <w:t> </w:t>
      </w:r>
      <w:r>
        <w:rPr>
          <w:color w:val="231F20"/>
          <w:spacing w:val="-1"/>
        </w:rPr>
        <w:t>separate</w:t>
      </w:r>
      <w:r>
        <w:rPr>
          <w:color w:val="231F20"/>
          <w:spacing w:val="-4"/>
        </w:rPr>
        <w:t> </w:t>
      </w:r>
      <w:r>
        <w:rPr>
          <w:color w:val="231F20"/>
          <w:spacing w:val="-1"/>
        </w:rPr>
        <w:t>streams</w:t>
      </w:r>
      <w:r>
        <w:rPr>
          <w:color w:val="231F20"/>
          <w:spacing w:val="-5"/>
        </w:rPr>
        <w:t> </w:t>
      </w:r>
      <w:r>
        <w:rPr>
          <w:color w:val="231F20"/>
        </w:rPr>
        <w:t>of</w:t>
      </w:r>
      <w:r>
        <w:rPr>
          <w:color w:val="231F20"/>
          <w:spacing w:val="-5"/>
        </w:rPr>
        <w:t> </w:t>
      </w:r>
      <w:r>
        <w:rPr>
          <w:color w:val="231F20"/>
        </w:rPr>
        <w:t>education</w:t>
      </w:r>
      <w:r>
        <w:rPr>
          <w:color w:val="231F20"/>
          <w:spacing w:val="-6"/>
        </w:rPr>
        <w:t> </w:t>
      </w:r>
      <w:r>
        <w:rPr>
          <w:color w:val="231F20"/>
        </w:rPr>
        <w:t>to</w:t>
      </w:r>
      <w:r>
        <w:rPr>
          <w:color w:val="231F20"/>
          <w:spacing w:val="-5"/>
        </w:rPr>
        <w:t> </w:t>
      </w:r>
      <w:r>
        <w:rPr>
          <w:color w:val="231F20"/>
        </w:rPr>
        <w:t>work</w:t>
      </w:r>
      <w:r>
        <w:rPr>
          <w:color w:val="231F20"/>
          <w:spacing w:val="23"/>
          <w:w w:val="99"/>
        </w:rPr>
        <w:t> </w:t>
      </w:r>
      <w:r>
        <w:rPr>
          <w:color w:val="231F20"/>
          <w:spacing w:val="-1"/>
        </w:rPr>
        <w:t>intensely</w:t>
      </w:r>
      <w:r>
        <w:rPr>
          <w:color w:val="231F20"/>
          <w:spacing w:val="-5"/>
        </w:rPr>
        <w:t> </w:t>
      </w:r>
      <w:r>
        <w:rPr>
          <w:color w:val="231F20"/>
        </w:rPr>
        <w:t>with</w:t>
      </w:r>
      <w:r>
        <w:rPr>
          <w:color w:val="231F20"/>
          <w:spacing w:val="-6"/>
        </w:rPr>
        <w:t> </w:t>
      </w:r>
      <w:r>
        <w:rPr>
          <w:color w:val="231F20"/>
          <w:spacing w:val="-1"/>
        </w:rPr>
        <w:t>students.</w:t>
      </w:r>
      <w:r>
        <w:rPr>
          <w:color w:val="231F20"/>
          <w:spacing w:val="-3"/>
        </w:rPr>
        <w:t> </w:t>
      </w:r>
      <w:r>
        <w:rPr>
          <w:color w:val="231F20"/>
        </w:rPr>
        <w:t>These</w:t>
      </w:r>
      <w:r>
        <w:rPr>
          <w:color w:val="231F20"/>
          <w:spacing w:val="-6"/>
        </w:rPr>
        <w:t> </w:t>
      </w:r>
      <w:r>
        <w:rPr>
          <w:color w:val="231F20"/>
        </w:rPr>
        <w:t>programs</w:t>
      </w:r>
      <w:r>
        <w:rPr>
          <w:color w:val="231F20"/>
          <w:spacing w:val="-5"/>
        </w:rPr>
        <w:t> </w:t>
      </w:r>
      <w:r>
        <w:rPr>
          <w:color w:val="231F20"/>
        </w:rPr>
        <w:t>are</w:t>
      </w:r>
      <w:r>
        <w:rPr>
          <w:color w:val="231F20"/>
          <w:spacing w:val="23"/>
          <w:w w:val="99"/>
        </w:rPr>
        <w:t> </w:t>
      </w:r>
      <w:r>
        <w:rPr>
          <w:color w:val="231F20"/>
        </w:rPr>
        <w:t>expensive</w:t>
      </w:r>
      <w:r>
        <w:rPr>
          <w:color w:val="231F20"/>
          <w:spacing w:val="-5"/>
        </w:rPr>
        <w:t> </w:t>
      </w:r>
      <w:r>
        <w:rPr>
          <w:color w:val="231F20"/>
        </w:rPr>
        <w:t>but</w:t>
      </w:r>
      <w:r>
        <w:rPr>
          <w:color w:val="231F20"/>
          <w:spacing w:val="-5"/>
        </w:rPr>
        <w:t> </w:t>
      </w:r>
      <w:r>
        <w:rPr>
          <w:color w:val="231F20"/>
        </w:rPr>
        <w:t>there</w:t>
      </w:r>
      <w:r>
        <w:rPr>
          <w:color w:val="231F20"/>
          <w:spacing w:val="-4"/>
        </w:rPr>
        <w:t> </w:t>
      </w:r>
      <w:r>
        <w:rPr>
          <w:color w:val="231F20"/>
          <w:spacing w:val="-1"/>
        </w:rPr>
        <w:t>is</w:t>
      </w:r>
      <w:r>
        <w:rPr>
          <w:color w:val="231F20"/>
          <w:spacing w:val="-5"/>
        </w:rPr>
        <w:t> </w:t>
      </w:r>
      <w:r>
        <w:rPr>
          <w:color w:val="231F20"/>
        </w:rPr>
        <w:t>no</w:t>
      </w:r>
      <w:r>
        <w:rPr>
          <w:color w:val="231F20"/>
          <w:spacing w:val="-4"/>
        </w:rPr>
        <w:t> </w:t>
      </w:r>
      <w:r>
        <w:rPr>
          <w:color w:val="231F20"/>
        </w:rPr>
        <w:t>accurate</w:t>
      </w:r>
      <w:r>
        <w:rPr>
          <w:color w:val="231F20"/>
          <w:spacing w:val="-4"/>
        </w:rPr>
        <w:t> </w:t>
      </w:r>
      <w:r>
        <w:rPr>
          <w:color w:val="231F20"/>
        </w:rPr>
        <w:t>or</w:t>
      </w:r>
      <w:r>
        <w:rPr>
          <w:color w:val="231F20"/>
          <w:spacing w:val="-4"/>
        </w:rPr>
        <w:t> </w:t>
      </w:r>
      <w:r>
        <w:rPr>
          <w:color w:val="231F20"/>
        </w:rPr>
        <w:t>reliable</w:t>
      </w:r>
      <w:r>
        <w:rPr>
          <w:color w:val="231F20"/>
          <w:spacing w:val="21"/>
          <w:w w:val="99"/>
        </w:rPr>
        <w:t> </w:t>
      </w:r>
      <w:r>
        <w:rPr>
          <w:rFonts w:ascii="Segoe UI"/>
          <w:color w:val="231F20"/>
        </w:rPr>
        <w:t>data on the quantum of the specific costs.</w:t>
      </w:r>
      <w:r>
        <w:rPr>
          <w:rFonts w:ascii="Segoe UI"/>
        </w:rPr>
      </w:r>
    </w:p>
    <w:p>
      <w:pPr>
        <w:spacing w:after="0" w:line="250" w:lineRule="exact"/>
        <w:jc w:val="left"/>
        <w:rPr>
          <w:rFonts w:ascii="Segoe UI" w:hAnsi="Segoe UI" w:cs="Segoe UI" w:eastAsia="Segoe UI"/>
        </w:rPr>
        <w:sectPr>
          <w:type w:val="continuous"/>
          <w:pgSz w:w="11910" w:h="16840"/>
          <w:pgMar w:top="1580" w:bottom="280" w:left="1300" w:right="1400"/>
          <w:cols w:num="2" w:equalWidth="0">
            <w:col w:w="4302" w:space="234"/>
            <w:col w:w="4674"/>
          </w:cols>
        </w:sectPr>
      </w:pPr>
    </w:p>
    <w:p>
      <w:pPr>
        <w:spacing w:line="240" w:lineRule="auto" w:before="0"/>
        <w:rPr>
          <w:rFonts w:ascii="Segoe UI" w:hAnsi="Segoe UI" w:cs="Segoe UI" w:eastAsia="Segoe UI"/>
          <w:sz w:val="20"/>
          <w:szCs w:val="20"/>
        </w:rPr>
      </w:pPr>
    </w:p>
    <w:p>
      <w:pPr>
        <w:spacing w:line="240" w:lineRule="auto" w:before="9"/>
        <w:rPr>
          <w:rFonts w:ascii="Segoe UI" w:hAnsi="Segoe UI" w:cs="Segoe UI" w:eastAsia="Segoe UI"/>
          <w:sz w:val="21"/>
          <w:szCs w:val="21"/>
        </w:rPr>
      </w:pPr>
    </w:p>
    <w:p>
      <w:pPr>
        <w:spacing w:before="76"/>
        <w:ind w:left="0" w:right="108" w:firstLine="0"/>
        <w:jc w:val="right"/>
        <w:rPr>
          <w:rFonts w:ascii="Segoe UI Semibold" w:hAnsi="Segoe UI Semibold" w:cs="Segoe UI Semibold" w:eastAsia="Segoe UI Semibold"/>
          <w:sz w:val="11"/>
          <w:szCs w:val="11"/>
        </w:rPr>
      </w:pPr>
      <w:r>
        <w:rPr/>
        <w:pict>
          <v:group style="position:absolute;margin-left:85.039001pt;margin-top:5.785769pt;width:439.4pt;height:253.25pt;mso-position-horizontal-relative:page;mso-position-vertical-relative:paragraph;z-index:2608" coordorigin="1701,116" coordsize="8788,5065">
            <v:group style="position:absolute;left:1801;top:216;width:8588;height:4865" coordorigin="1801,216" coordsize="8588,4865">
              <v:shape style="position:absolute;left:1801;top:216;width:8588;height:4865" coordorigin="1801,216" coordsize="8588,4865" path="m1801,5080l10388,5080,10388,216,1801,216,1801,5080xe" filled="false" stroked="true" strokeweight="10pt" strokecolor="#c1b5a9">
                <v:path arrowok="t"/>
              </v:shape>
            </v:group>
            <v:group style="position:absolute;left:8875;top:3912;width:782;height:2" coordorigin="8875,3912" coordsize="782,2">
              <v:shape style="position:absolute;left:8875;top:3912;width:782;height:2" coordorigin="8875,3912" coordsize="782,0" path="m8875,3912l9657,3912e" filled="false" stroked="true" strokeweight=".722pt" strokecolor="#dcddde">
                <v:path arrowok="t"/>
              </v:shape>
            </v:group>
            <v:group style="position:absolute;left:6599;top:3912;width:1562;height:2" coordorigin="6599,3912" coordsize="1562,2">
              <v:shape style="position:absolute;left:6599;top:3912;width:1562;height:2" coordorigin="6599,3912" coordsize="1562,0" path="m6599,3912l8161,3912e" filled="false" stroked="true" strokeweight=".722pt" strokecolor="#dcddde">
                <v:path arrowok="t"/>
              </v:shape>
            </v:group>
            <v:group style="position:absolute;left:4321;top:3912;width:1565;height:2" coordorigin="4321,3912" coordsize="1565,2">
              <v:shape style="position:absolute;left:4321;top:3912;width:1565;height:2" coordorigin="4321,3912" coordsize="1565,0" path="m4321,3912l5885,3912e" filled="false" stroked="true" strokeweight=".722pt" strokecolor="#dcddde">
                <v:path arrowok="t"/>
              </v:shape>
            </v:group>
            <v:group style="position:absolute;left:2826;top:3912;width:782;height:2" coordorigin="2826,3912" coordsize="782,2">
              <v:shape style="position:absolute;left:2826;top:3912;width:782;height:2" coordorigin="2826,3912" coordsize="782,0" path="m2826,3912l3608,3912e" filled="false" stroked="true" strokeweight=".722pt" strokecolor="#dcddde">
                <v:path arrowok="t"/>
              </v:shape>
            </v:group>
            <v:group style="position:absolute;left:8875;top:3522;width:782;height:2" coordorigin="8875,3522" coordsize="782,2">
              <v:shape style="position:absolute;left:8875;top:3522;width:782;height:2" coordorigin="8875,3522" coordsize="782,0" path="m8875,3522l9657,3522e" filled="false" stroked="true" strokeweight=".722pt" strokecolor="#dcddde">
                <v:path arrowok="t"/>
              </v:shape>
            </v:group>
            <v:group style="position:absolute;left:6599;top:3522;width:1562;height:2" coordorigin="6599,3522" coordsize="1562,2">
              <v:shape style="position:absolute;left:6599;top:3522;width:1562;height:2" coordorigin="6599,3522" coordsize="1562,0" path="m6599,3522l8161,3522e" filled="false" stroked="true" strokeweight=".722pt" strokecolor="#dcddde">
                <v:path arrowok="t"/>
              </v:shape>
            </v:group>
            <v:group style="position:absolute;left:4321;top:3522;width:1565;height:2" coordorigin="4321,3522" coordsize="1565,2">
              <v:shape style="position:absolute;left:4321;top:3522;width:1565;height:2" coordorigin="4321,3522" coordsize="1565,0" path="m4321,3522l5885,3522e" filled="false" stroked="true" strokeweight=".722pt" strokecolor="#dcddde">
                <v:path arrowok="t"/>
              </v:shape>
            </v:group>
            <v:group style="position:absolute;left:2826;top:3522;width:782;height:2" coordorigin="2826,3522" coordsize="782,2">
              <v:shape style="position:absolute;left:2826;top:3522;width:782;height:2" coordorigin="2826,3522" coordsize="782,0" path="m2826,3522l3608,3522e" filled="false" stroked="true" strokeweight=".722pt" strokecolor="#dcddde">
                <v:path arrowok="t"/>
              </v:shape>
            </v:group>
            <v:group style="position:absolute;left:6599;top:3131;width:3058;height:2" coordorigin="6599,3131" coordsize="3058,2">
              <v:shape style="position:absolute;left:6599;top:3131;width:3058;height:2" coordorigin="6599,3131" coordsize="3058,0" path="m6599,3131l9657,3131e" filled="false" stroked="true" strokeweight=".722pt" strokecolor="#dcddde">
                <v:path arrowok="t"/>
              </v:shape>
            </v:group>
            <v:group style="position:absolute;left:4321;top:3131;width:1565;height:2" coordorigin="4321,3131" coordsize="1565,2">
              <v:shape style="position:absolute;left:4321;top:3131;width:1565;height:2" coordorigin="4321,3131" coordsize="1565,0" path="m4321,3131l5885,3131e" filled="false" stroked="true" strokeweight=".722pt" strokecolor="#dcddde">
                <v:path arrowok="t"/>
              </v:shape>
            </v:group>
            <v:group style="position:absolute;left:2826;top:3131;width:782;height:2" coordorigin="2826,3131" coordsize="782,2">
              <v:shape style="position:absolute;left:2826;top:3131;width:782;height:2" coordorigin="2826,3131" coordsize="782,0" path="m2826,3131l3608,3131e" filled="false" stroked="true" strokeweight=".722pt" strokecolor="#dcddde">
                <v:path arrowok="t"/>
              </v:shape>
            </v:group>
            <v:group style="position:absolute;left:4321;top:2743;width:5336;height:2" coordorigin="4321,2743" coordsize="5336,2">
              <v:shape style="position:absolute;left:4321;top:2743;width:5336;height:2" coordorigin="4321,2743" coordsize="5336,0" path="m4321,2743l9657,2743e" filled="false" stroked="true" strokeweight=".722pt" strokecolor="#dcddde">
                <v:path arrowok="t"/>
              </v:shape>
            </v:group>
            <v:group style="position:absolute;left:2826;top:2743;width:782;height:2" coordorigin="2826,2743" coordsize="782,2">
              <v:shape style="position:absolute;left:2826;top:2743;width:782;height:2" coordorigin="2826,2743" coordsize="782,0" path="m2826,2743l3608,2743e" filled="false" stroked="true" strokeweight=".722pt" strokecolor="#dcddde">
                <v:path arrowok="t"/>
              </v:shape>
            </v:group>
            <v:group style="position:absolute;left:4321;top:2353;width:5336;height:2" coordorigin="4321,2353" coordsize="5336,2">
              <v:shape style="position:absolute;left:4321;top:2353;width:5336;height:2" coordorigin="4321,2353" coordsize="5336,0" path="m4321,2353l9657,2353e" filled="false" stroked="true" strokeweight=".722pt" strokecolor="#dcddde">
                <v:path arrowok="t"/>
              </v:shape>
            </v:group>
            <v:group style="position:absolute;left:2826;top:2353;width:782;height:2" coordorigin="2826,2353" coordsize="782,2">
              <v:shape style="position:absolute;left:2826;top:2353;width:782;height:2" coordorigin="2826,2353" coordsize="782,0" path="m2826,2353l3608,2353e" filled="false" stroked="true" strokeweight=".722pt" strokecolor="#dcddde">
                <v:path arrowok="t"/>
              </v:shape>
            </v:group>
            <v:group style="position:absolute;left:2826;top:1964;width:6831;height:2" coordorigin="2826,1964" coordsize="6831,2">
              <v:shape style="position:absolute;left:2826;top:1964;width:6831;height:2" coordorigin="2826,1964" coordsize="6831,0" path="m2826,1964l9657,1964e" filled="false" stroked="true" strokeweight=".722pt" strokecolor="#dcddde">
                <v:path arrowok="t"/>
              </v:shape>
            </v:group>
            <v:group style="position:absolute;left:3608;top:2325;width:714;height:1976" coordorigin="3608,2325" coordsize="714,1976">
              <v:shape style="position:absolute;left:3608;top:2325;width:714;height:1976" coordorigin="3608,2325" coordsize="714,1976" path="m4321,2325l3608,2325,3608,4300,4321,4300,4321,2325xe" filled="true" fillcolor="#8164a2" stroked="false">
                <v:path arrowok="t"/>
                <v:fill type="solid"/>
              </v:shape>
            </v:group>
            <v:group style="position:absolute;left:5885;top:2944;width:714;height:1357" coordorigin="5885,2944" coordsize="714,1357">
              <v:shape style="position:absolute;left:5885;top:2944;width:714;height:1357" coordorigin="5885,2944" coordsize="714,1357" path="m6599,2944l5885,2944,5885,4300,6599,4300,6599,2944xe" filled="true" fillcolor="#8164a2" stroked="false">
                <v:path arrowok="t"/>
                <v:fill type="solid"/>
              </v:shape>
            </v:group>
            <v:group style="position:absolute;left:8161;top:3300;width:714;height:1001" coordorigin="8161,3300" coordsize="714,1001">
              <v:shape style="position:absolute;left:8161;top:3300;width:714;height:1001" coordorigin="8161,3300" coordsize="714,1001" path="m8875,3300l8161,3300,8161,4300,8875,4300,8875,3300xe" filled="true" fillcolor="#8164a2" stroked="false">
                <v:path arrowok="t"/>
                <v:fill type="solid"/>
              </v:shape>
            </v:group>
            <v:group style="position:absolute;left:2826;top:4300;width:6831;height:2" coordorigin="2826,4300" coordsize="6831,2">
              <v:shape style="position:absolute;left:2826;top:4300;width:6831;height:2" coordorigin="2826,4300" coordsize="6831,0" path="m2826,4300l9657,4300e" filled="false" stroked="true" strokeweight=".722pt" strokecolor="#dcddde">
                <v:path arrowok="t"/>
              </v:shape>
              <v:shape style="position:absolute;left:1701;top:116;width:8788;height:5065" type="#_x0000_t202" filled="false" stroked="false">
                <v:textbox inset="0,0,0,0">
                  <w:txbxContent>
                    <w:p>
                      <w:pPr>
                        <w:spacing w:line="240" w:lineRule="auto" w:before="1"/>
                        <w:rPr>
                          <w:rFonts w:ascii="Segoe UI" w:hAnsi="Segoe UI" w:cs="Segoe UI" w:eastAsia="Segoe UI"/>
                          <w:sz w:val="18"/>
                          <w:szCs w:val="18"/>
                        </w:rPr>
                      </w:pPr>
                    </w:p>
                    <w:p>
                      <w:pPr>
                        <w:spacing w:line="200" w:lineRule="exact" w:before="0"/>
                        <w:ind w:left="286" w:right="489" w:firstLine="0"/>
                        <w:jc w:val="left"/>
                        <w:rPr>
                          <w:rFonts w:ascii="Segoe UI Semibold" w:hAnsi="Segoe UI Semibold" w:cs="Segoe UI Semibold" w:eastAsia="Segoe UI Semibold"/>
                          <w:sz w:val="16"/>
                          <w:szCs w:val="16"/>
                        </w:rPr>
                      </w:pPr>
                      <w:r>
                        <w:rPr>
                          <w:rFonts w:ascii="Segoe UI Semibold"/>
                          <w:b/>
                          <w:color w:val="666155"/>
                          <w:spacing w:val="4"/>
                          <w:sz w:val="16"/>
                        </w:rPr>
                        <w:t>GRAPH</w:t>
                      </w:r>
                      <w:r>
                        <w:rPr>
                          <w:rFonts w:ascii="Segoe UI Semibold"/>
                          <w:b/>
                          <w:color w:val="666155"/>
                          <w:spacing w:val="-2"/>
                          <w:sz w:val="16"/>
                        </w:rPr>
                        <w:t> </w:t>
                      </w:r>
                      <w:r>
                        <w:rPr>
                          <w:rFonts w:ascii="Segoe UI Semibold"/>
                          <w:b/>
                          <w:color w:val="666155"/>
                          <w:sz w:val="16"/>
                        </w:rPr>
                        <w:t>7:</w:t>
                      </w:r>
                      <w:r>
                        <w:rPr>
                          <w:rFonts w:ascii="Segoe UI Semibold"/>
                          <w:b/>
                          <w:color w:val="666155"/>
                          <w:spacing w:val="-1"/>
                          <w:sz w:val="16"/>
                        </w:rPr>
                        <w:t> </w:t>
                      </w:r>
                      <w:r>
                        <w:rPr>
                          <w:rFonts w:ascii="Segoe UI Semibold"/>
                          <w:b/>
                          <w:color w:val="666155"/>
                          <w:spacing w:val="3"/>
                          <w:sz w:val="16"/>
                        </w:rPr>
                        <w:t>COMPARISON</w:t>
                      </w:r>
                      <w:r>
                        <w:rPr>
                          <w:rFonts w:ascii="Segoe UI Semibold"/>
                          <w:b/>
                          <w:color w:val="666155"/>
                          <w:spacing w:val="2"/>
                          <w:sz w:val="16"/>
                        </w:rPr>
                        <w:t> OF</w:t>
                      </w:r>
                      <w:r>
                        <w:rPr>
                          <w:rFonts w:ascii="Segoe UI Semibold"/>
                          <w:b/>
                          <w:color w:val="666155"/>
                          <w:spacing w:val="1"/>
                          <w:sz w:val="16"/>
                        </w:rPr>
                        <w:t> </w:t>
                      </w:r>
                      <w:r>
                        <w:rPr>
                          <w:rFonts w:ascii="Segoe UI Semibold"/>
                          <w:b/>
                          <w:color w:val="666155"/>
                          <w:spacing w:val="2"/>
                          <w:sz w:val="16"/>
                        </w:rPr>
                        <w:t>AVERAGE </w:t>
                      </w:r>
                      <w:r>
                        <w:rPr>
                          <w:rFonts w:ascii="Segoe UI Semibold"/>
                          <w:b/>
                          <w:color w:val="666155"/>
                          <w:spacing w:val="4"/>
                          <w:sz w:val="16"/>
                        </w:rPr>
                        <w:t>NAPLAN</w:t>
                      </w:r>
                      <w:r>
                        <w:rPr>
                          <w:rFonts w:ascii="Segoe UI Semibold"/>
                          <w:b/>
                          <w:color w:val="666155"/>
                          <w:spacing w:val="1"/>
                          <w:sz w:val="16"/>
                        </w:rPr>
                        <w:t> </w:t>
                      </w:r>
                      <w:r>
                        <w:rPr>
                          <w:rFonts w:ascii="Segoe UI Semibold"/>
                          <w:b/>
                          <w:color w:val="666155"/>
                          <w:spacing w:val="3"/>
                          <w:sz w:val="16"/>
                        </w:rPr>
                        <w:t>SCORES</w:t>
                      </w:r>
                      <w:r>
                        <w:rPr>
                          <w:rFonts w:ascii="Segoe UI Semibold"/>
                          <w:b/>
                          <w:color w:val="666155"/>
                          <w:spacing w:val="2"/>
                          <w:sz w:val="16"/>
                        </w:rPr>
                        <w:t> </w:t>
                      </w:r>
                      <w:r>
                        <w:rPr>
                          <w:rFonts w:ascii="Segoe UI Semibold"/>
                          <w:b/>
                          <w:color w:val="666155"/>
                          <w:spacing w:val="-3"/>
                          <w:sz w:val="16"/>
                        </w:rPr>
                        <w:t>AT</w:t>
                      </w:r>
                      <w:r>
                        <w:rPr>
                          <w:rFonts w:ascii="Segoe UI Semibold"/>
                          <w:b/>
                          <w:color w:val="666155"/>
                          <w:spacing w:val="1"/>
                          <w:sz w:val="16"/>
                        </w:rPr>
                        <w:t> </w:t>
                      </w:r>
                      <w:r>
                        <w:rPr>
                          <w:rFonts w:ascii="Segoe UI Semibold"/>
                          <w:b/>
                          <w:color w:val="666155"/>
                          <w:spacing w:val="4"/>
                          <w:sz w:val="16"/>
                        </w:rPr>
                        <w:t>ABORIGINAL</w:t>
                      </w:r>
                      <w:r>
                        <w:rPr>
                          <w:rFonts w:ascii="Segoe UI Semibold"/>
                          <w:b/>
                          <w:color w:val="666155"/>
                          <w:spacing w:val="2"/>
                          <w:sz w:val="16"/>
                        </w:rPr>
                        <w:t> </w:t>
                      </w:r>
                      <w:r>
                        <w:rPr>
                          <w:rFonts w:ascii="Segoe UI Semibold"/>
                          <w:b/>
                          <w:color w:val="666155"/>
                          <w:spacing w:val="3"/>
                          <w:sz w:val="16"/>
                        </w:rPr>
                        <w:t>AND</w:t>
                      </w:r>
                      <w:r>
                        <w:rPr>
                          <w:rFonts w:ascii="Segoe UI Semibold"/>
                          <w:b/>
                          <w:color w:val="666155"/>
                          <w:spacing w:val="1"/>
                          <w:sz w:val="16"/>
                        </w:rPr>
                        <w:t> </w:t>
                      </w:r>
                      <w:r>
                        <w:rPr>
                          <w:rFonts w:ascii="Segoe UI Semibold"/>
                          <w:b/>
                          <w:color w:val="666155"/>
                          <w:spacing w:val="3"/>
                          <w:sz w:val="16"/>
                        </w:rPr>
                        <w:t>TORRES</w:t>
                      </w:r>
                      <w:r>
                        <w:rPr>
                          <w:rFonts w:ascii="Segoe UI Semibold"/>
                          <w:b/>
                          <w:color w:val="666155"/>
                          <w:spacing w:val="2"/>
                          <w:sz w:val="16"/>
                        </w:rPr>
                        <w:t> </w:t>
                      </w:r>
                      <w:r>
                        <w:rPr>
                          <w:rFonts w:ascii="Segoe UI Semibold"/>
                          <w:b/>
                          <w:color w:val="666155"/>
                          <w:spacing w:val="4"/>
                          <w:sz w:val="16"/>
                        </w:rPr>
                        <w:t>STRAIT</w:t>
                      </w:r>
                      <w:r>
                        <w:rPr>
                          <w:rFonts w:ascii="Segoe UI Semibold"/>
                          <w:b/>
                          <w:color w:val="666155"/>
                          <w:spacing w:val="2"/>
                          <w:sz w:val="16"/>
                        </w:rPr>
                        <w:t> </w:t>
                      </w:r>
                      <w:r>
                        <w:rPr>
                          <w:rFonts w:ascii="Segoe UI Semibold"/>
                          <w:b/>
                          <w:color w:val="666155"/>
                          <w:spacing w:val="5"/>
                          <w:sz w:val="16"/>
                        </w:rPr>
                        <w:t>ISLANDER</w:t>
                      </w:r>
                      <w:r>
                        <w:rPr>
                          <w:rFonts w:ascii="Segoe UI Semibold"/>
                          <w:b/>
                          <w:color w:val="666155"/>
                          <w:spacing w:val="65"/>
                          <w:w w:val="99"/>
                          <w:sz w:val="16"/>
                        </w:rPr>
                        <w:t> </w:t>
                      </w:r>
                      <w:r>
                        <w:rPr>
                          <w:rFonts w:ascii="Segoe UI Semibold"/>
                          <w:b/>
                          <w:color w:val="666155"/>
                          <w:spacing w:val="4"/>
                          <w:sz w:val="16"/>
                        </w:rPr>
                        <w:t>BOARDING</w:t>
                      </w:r>
                      <w:r>
                        <w:rPr>
                          <w:rFonts w:ascii="Segoe UI Semibold"/>
                          <w:b/>
                          <w:color w:val="666155"/>
                          <w:sz w:val="16"/>
                        </w:rPr>
                        <w:t> </w:t>
                      </w:r>
                      <w:r>
                        <w:rPr>
                          <w:rFonts w:ascii="Segoe UI Semibold"/>
                          <w:b/>
                          <w:color w:val="666155"/>
                          <w:spacing w:val="4"/>
                          <w:sz w:val="16"/>
                        </w:rPr>
                        <w:t>PROVIDERS</w:t>
                      </w:r>
                      <w:r>
                        <w:rPr>
                          <w:rFonts w:ascii="Segoe UI Semibold"/>
                          <w:b/>
                          <w:color w:val="666155"/>
                          <w:spacing w:val="-1"/>
                          <w:sz w:val="16"/>
                        </w:rPr>
                        <w:t> </w:t>
                      </w:r>
                      <w:r>
                        <w:rPr>
                          <w:rFonts w:ascii="Segoe UI Semibold"/>
                          <w:b/>
                          <w:color w:val="666155"/>
                          <w:spacing w:val="4"/>
                          <w:sz w:val="16"/>
                        </w:rPr>
                        <w:t>AGAINST</w:t>
                      </w:r>
                      <w:r>
                        <w:rPr>
                          <w:rFonts w:ascii="Segoe UI Semibold"/>
                          <w:b/>
                          <w:color w:val="666155"/>
                          <w:sz w:val="16"/>
                        </w:rPr>
                        <w:t> </w:t>
                      </w:r>
                      <w:r>
                        <w:rPr>
                          <w:rFonts w:ascii="Segoe UI Semibold"/>
                          <w:b/>
                          <w:color w:val="666155"/>
                          <w:spacing w:val="3"/>
                          <w:sz w:val="16"/>
                        </w:rPr>
                        <w:t>THE</w:t>
                      </w:r>
                      <w:r>
                        <w:rPr>
                          <w:rFonts w:ascii="Segoe UI Semibold"/>
                          <w:b/>
                          <w:color w:val="666155"/>
                          <w:sz w:val="16"/>
                        </w:rPr>
                        <w:t> </w:t>
                      </w:r>
                      <w:r>
                        <w:rPr>
                          <w:rFonts w:ascii="Segoe UI Semibold"/>
                          <w:b/>
                          <w:color w:val="666155"/>
                          <w:spacing w:val="4"/>
                          <w:sz w:val="16"/>
                        </w:rPr>
                        <w:t>PROPORTION</w:t>
                      </w:r>
                      <w:r>
                        <w:rPr>
                          <w:rFonts w:ascii="Segoe UI Semibold"/>
                          <w:b/>
                          <w:color w:val="666155"/>
                          <w:sz w:val="16"/>
                        </w:rPr>
                        <w:t> </w:t>
                      </w:r>
                      <w:r>
                        <w:rPr>
                          <w:rFonts w:ascii="Segoe UI Semibold"/>
                          <w:b/>
                          <w:color w:val="666155"/>
                          <w:spacing w:val="2"/>
                          <w:sz w:val="16"/>
                        </w:rPr>
                        <w:t>OF</w:t>
                      </w:r>
                      <w:r>
                        <w:rPr>
                          <w:rFonts w:ascii="Segoe UI Semibold"/>
                          <w:b/>
                          <w:color w:val="666155"/>
                          <w:sz w:val="16"/>
                        </w:rPr>
                        <w:t> </w:t>
                      </w:r>
                      <w:r>
                        <w:rPr>
                          <w:rFonts w:ascii="Segoe UI Semibold"/>
                          <w:b/>
                          <w:color w:val="666155"/>
                          <w:spacing w:val="4"/>
                          <w:sz w:val="16"/>
                        </w:rPr>
                        <w:t>ABORIGINAL</w:t>
                      </w:r>
                      <w:r>
                        <w:rPr>
                          <w:rFonts w:ascii="Segoe UI Semibold"/>
                          <w:b/>
                          <w:color w:val="666155"/>
                          <w:spacing w:val="1"/>
                          <w:sz w:val="16"/>
                        </w:rPr>
                        <w:t> </w:t>
                      </w:r>
                      <w:r>
                        <w:rPr>
                          <w:rFonts w:ascii="Segoe UI Semibold"/>
                          <w:b/>
                          <w:color w:val="666155"/>
                          <w:spacing w:val="3"/>
                          <w:sz w:val="16"/>
                        </w:rPr>
                        <w:t>AND</w:t>
                      </w:r>
                      <w:r>
                        <w:rPr>
                          <w:rFonts w:ascii="Segoe UI Semibold"/>
                          <w:b/>
                          <w:color w:val="666155"/>
                          <w:sz w:val="16"/>
                        </w:rPr>
                        <w:t> </w:t>
                      </w:r>
                      <w:r>
                        <w:rPr>
                          <w:rFonts w:ascii="Segoe UI Semibold"/>
                          <w:b/>
                          <w:color w:val="666155"/>
                          <w:spacing w:val="3"/>
                          <w:sz w:val="16"/>
                        </w:rPr>
                        <w:t>TORRES</w:t>
                      </w:r>
                      <w:r>
                        <w:rPr>
                          <w:rFonts w:ascii="Segoe UI Semibold"/>
                          <w:b/>
                          <w:color w:val="666155"/>
                          <w:sz w:val="16"/>
                        </w:rPr>
                        <w:t> </w:t>
                      </w:r>
                      <w:r>
                        <w:rPr>
                          <w:rFonts w:ascii="Segoe UI Semibold"/>
                          <w:b/>
                          <w:color w:val="666155"/>
                          <w:spacing w:val="4"/>
                          <w:sz w:val="16"/>
                        </w:rPr>
                        <w:t>STRAIT</w:t>
                      </w:r>
                      <w:r>
                        <w:rPr>
                          <w:rFonts w:ascii="Segoe UI Semibold"/>
                          <w:b/>
                          <w:color w:val="666155"/>
                          <w:sz w:val="16"/>
                        </w:rPr>
                        <w:t> </w:t>
                      </w:r>
                      <w:r>
                        <w:rPr>
                          <w:rFonts w:ascii="Segoe UI Semibold"/>
                          <w:b/>
                          <w:color w:val="666155"/>
                          <w:spacing w:val="5"/>
                          <w:sz w:val="16"/>
                        </w:rPr>
                        <w:t>ISLANDER</w:t>
                      </w:r>
                      <w:r>
                        <w:rPr>
                          <w:rFonts w:ascii="Segoe UI Semibold"/>
                          <w:sz w:val="16"/>
                        </w:rPr>
                      </w:r>
                    </w:p>
                    <w:p>
                      <w:pPr>
                        <w:spacing w:line="200" w:lineRule="exact" w:before="0"/>
                        <w:ind w:left="286" w:right="0" w:firstLine="0"/>
                        <w:jc w:val="left"/>
                        <w:rPr>
                          <w:rFonts w:ascii="Segoe UI Semibold" w:hAnsi="Segoe UI Semibold" w:cs="Segoe UI Semibold" w:eastAsia="Segoe UI Semibold"/>
                          <w:sz w:val="16"/>
                          <w:szCs w:val="16"/>
                        </w:rPr>
                      </w:pPr>
                      <w:r>
                        <w:rPr>
                          <w:rFonts w:ascii="Segoe UI Semibold"/>
                          <w:b/>
                          <w:color w:val="666155"/>
                          <w:spacing w:val="4"/>
                          <w:sz w:val="16"/>
                        </w:rPr>
                        <w:t>BOARDER</w:t>
                      </w:r>
                      <w:r>
                        <w:rPr>
                          <w:rFonts w:ascii="Segoe UI Semibold"/>
                          <w:b/>
                          <w:color w:val="666155"/>
                          <w:spacing w:val="-12"/>
                          <w:sz w:val="16"/>
                        </w:rPr>
                        <w:t> </w:t>
                      </w:r>
                      <w:r>
                        <w:rPr>
                          <w:rFonts w:ascii="Segoe UI Semibold"/>
                          <w:b/>
                          <w:color w:val="666155"/>
                          <w:spacing w:val="4"/>
                          <w:sz w:val="16"/>
                        </w:rPr>
                        <w:t>ENROLMENTS</w:t>
                      </w:r>
                      <w:r>
                        <w:rPr>
                          <w:rFonts w:ascii="Segoe UI Semibold"/>
                          <w:sz w:val="16"/>
                        </w:rPr>
                      </w:r>
                    </w:p>
                    <w:p>
                      <w:pPr>
                        <w:spacing w:line="240" w:lineRule="auto" w:before="1"/>
                        <w:rPr>
                          <w:rFonts w:ascii="Segoe UI" w:hAnsi="Segoe UI" w:cs="Segoe UI" w:eastAsia="Segoe UI"/>
                          <w:sz w:val="21"/>
                          <w:szCs w:val="21"/>
                        </w:rPr>
                      </w:pPr>
                    </w:p>
                    <w:p>
                      <w:pPr>
                        <w:spacing w:line="247" w:lineRule="auto" w:before="0"/>
                        <w:ind w:left="4009" w:right="1776" w:hanging="2262"/>
                        <w:jc w:val="left"/>
                        <w:rPr>
                          <w:rFonts w:ascii="Segoe UI" w:hAnsi="Segoe UI" w:cs="Segoe UI" w:eastAsia="Segoe UI"/>
                          <w:sz w:val="18"/>
                          <w:szCs w:val="18"/>
                        </w:rPr>
                      </w:pPr>
                      <w:r>
                        <w:rPr>
                          <w:rFonts w:ascii="Segoe UI"/>
                          <w:color w:val="77787B"/>
                          <w:sz w:val="18"/>
                        </w:rPr>
                        <w:t>NAPLAN</w:t>
                      </w:r>
                      <w:r>
                        <w:rPr>
                          <w:rFonts w:ascii="Segoe UI"/>
                          <w:color w:val="77787B"/>
                          <w:spacing w:val="8"/>
                          <w:sz w:val="18"/>
                        </w:rPr>
                        <w:t> </w:t>
                      </w:r>
                      <w:r>
                        <w:rPr>
                          <w:rFonts w:ascii="Segoe UI"/>
                          <w:color w:val="77787B"/>
                          <w:sz w:val="18"/>
                        </w:rPr>
                        <w:t>average</w:t>
                      </w:r>
                      <w:r>
                        <w:rPr>
                          <w:rFonts w:ascii="Segoe UI"/>
                          <w:color w:val="77787B"/>
                          <w:spacing w:val="6"/>
                          <w:sz w:val="18"/>
                        </w:rPr>
                        <w:t> </w:t>
                      </w:r>
                      <w:r>
                        <w:rPr>
                          <w:rFonts w:ascii="Segoe UI"/>
                          <w:color w:val="77787B"/>
                          <w:spacing w:val="-1"/>
                          <w:sz w:val="18"/>
                        </w:rPr>
                        <w:t>by</w:t>
                      </w:r>
                      <w:r>
                        <w:rPr>
                          <w:rFonts w:ascii="Segoe UI"/>
                          <w:color w:val="77787B"/>
                          <w:spacing w:val="11"/>
                          <w:sz w:val="18"/>
                        </w:rPr>
                        <w:t> </w:t>
                      </w:r>
                      <w:r>
                        <w:rPr>
                          <w:rFonts w:ascii="Segoe UI"/>
                          <w:color w:val="77787B"/>
                          <w:spacing w:val="-1"/>
                          <w:sz w:val="18"/>
                        </w:rPr>
                        <w:t>level</w:t>
                      </w:r>
                      <w:r>
                        <w:rPr>
                          <w:rFonts w:ascii="Segoe UI"/>
                          <w:color w:val="77787B"/>
                          <w:spacing w:val="17"/>
                          <w:sz w:val="18"/>
                        </w:rPr>
                        <w:t> </w:t>
                      </w:r>
                      <w:r>
                        <w:rPr>
                          <w:rFonts w:ascii="Segoe UI"/>
                          <w:color w:val="77787B"/>
                          <w:sz w:val="18"/>
                        </w:rPr>
                        <w:t>of</w:t>
                      </w:r>
                      <w:r>
                        <w:rPr>
                          <w:rFonts w:ascii="Segoe UI"/>
                          <w:color w:val="77787B"/>
                          <w:spacing w:val="12"/>
                          <w:sz w:val="18"/>
                        </w:rPr>
                        <w:t> </w:t>
                      </w:r>
                      <w:r>
                        <w:rPr>
                          <w:rFonts w:ascii="Segoe UI"/>
                          <w:color w:val="77787B"/>
                          <w:sz w:val="18"/>
                        </w:rPr>
                        <w:t>Aboriginal</w:t>
                      </w:r>
                      <w:r>
                        <w:rPr>
                          <w:rFonts w:ascii="Segoe UI"/>
                          <w:color w:val="77787B"/>
                          <w:spacing w:val="12"/>
                          <w:sz w:val="18"/>
                        </w:rPr>
                        <w:t> </w:t>
                      </w:r>
                      <w:r>
                        <w:rPr>
                          <w:rFonts w:ascii="Segoe UI"/>
                          <w:color w:val="77787B"/>
                          <w:sz w:val="18"/>
                        </w:rPr>
                        <w:t>and</w:t>
                      </w:r>
                      <w:r>
                        <w:rPr>
                          <w:rFonts w:ascii="Segoe UI"/>
                          <w:color w:val="77787B"/>
                          <w:spacing w:val="11"/>
                          <w:sz w:val="18"/>
                        </w:rPr>
                        <w:t> </w:t>
                      </w:r>
                      <w:r>
                        <w:rPr>
                          <w:rFonts w:ascii="Segoe UI"/>
                          <w:color w:val="77787B"/>
                          <w:sz w:val="18"/>
                        </w:rPr>
                        <w:t>Torres</w:t>
                      </w:r>
                      <w:r>
                        <w:rPr>
                          <w:rFonts w:ascii="Segoe UI"/>
                          <w:color w:val="77787B"/>
                          <w:spacing w:val="5"/>
                          <w:sz w:val="18"/>
                        </w:rPr>
                        <w:t> </w:t>
                      </w:r>
                      <w:r>
                        <w:rPr>
                          <w:rFonts w:ascii="Segoe UI"/>
                          <w:color w:val="77787B"/>
                          <w:spacing w:val="-1"/>
                          <w:sz w:val="18"/>
                        </w:rPr>
                        <w:t>Strait</w:t>
                      </w:r>
                      <w:r>
                        <w:rPr>
                          <w:rFonts w:ascii="Segoe UI"/>
                          <w:color w:val="77787B"/>
                          <w:spacing w:val="10"/>
                          <w:sz w:val="18"/>
                        </w:rPr>
                        <w:t> </w:t>
                      </w:r>
                      <w:r>
                        <w:rPr>
                          <w:rFonts w:ascii="Segoe UI"/>
                          <w:color w:val="77787B"/>
                          <w:spacing w:val="-1"/>
                          <w:sz w:val="18"/>
                        </w:rPr>
                        <w:t>Islander</w:t>
                      </w:r>
                      <w:r>
                        <w:rPr>
                          <w:rFonts w:ascii="Segoe UI"/>
                          <w:color w:val="77787B"/>
                          <w:spacing w:val="23"/>
                          <w:w w:val="102"/>
                          <w:sz w:val="18"/>
                        </w:rPr>
                        <w:t> </w:t>
                      </w:r>
                      <w:r>
                        <w:rPr>
                          <w:rFonts w:ascii="Segoe UI"/>
                          <w:color w:val="77787B"/>
                          <w:sz w:val="18"/>
                        </w:rPr>
                        <w:t>boarding</w:t>
                      </w:r>
                      <w:r>
                        <w:rPr>
                          <w:rFonts w:ascii="Segoe UI"/>
                          <w:sz w:val="18"/>
                        </w:rPr>
                      </w:r>
                    </w:p>
                    <w:p>
                      <w:pPr>
                        <w:spacing w:before="122"/>
                        <w:ind w:left="718" w:right="0" w:firstLine="0"/>
                        <w:jc w:val="left"/>
                        <w:rPr>
                          <w:rFonts w:ascii="Segoe UI" w:hAnsi="Segoe UI" w:cs="Segoe UI" w:eastAsia="Segoe UI"/>
                          <w:sz w:val="15"/>
                          <w:szCs w:val="15"/>
                        </w:rPr>
                      </w:pPr>
                      <w:r>
                        <w:rPr>
                          <w:rFonts w:ascii="Segoe UI"/>
                          <w:color w:val="77787B"/>
                          <w:spacing w:val="-1"/>
                          <w:w w:val="105"/>
                          <w:sz w:val="15"/>
                        </w:rPr>
                        <w:t>600</w:t>
                      </w:r>
                      <w:r>
                        <w:rPr>
                          <w:rFonts w:ascii="Segoe UI"/>
                          <w:sz w:val="15"/>
                        </w:rPr>
                      </w:r>
                    </w:p>
                    <w:p>
                      <w:pPr>
                        <w:spacing w:line="240" w:lineRule="auto" w:before="4"/>
                        <w:rPr>
                          <w:rFonts w:ascii="Segoe UI" w:hAnsi="Segoe UI" w:cs="Segoe UI" w:eastAsia="Segoe UI"/>
                          <w:sz w:val="14"/>
                          <w:szCs w:val="14"/>
                        </w:rPr>
                      </w:pPr>
                    </w:p>
                    <w:p>
                      <w:pPr>
                        <w:spacing w:before="0"/>
                        <w:ind w:left="718" w:right="0" w:firstLine="0"/>
                        <w:jc w:val="left"/>
                        <w:rPr>
                          <w:rFonts w:ascii="Segoe UI" w:hAnsi="Segoe UI" w:cs="Segoe UI" w:eastAsia="Segoe UI"/>
                          <w:sz w:val="15"/>
                          <w:szCs w:val="15"/>
                        </w:rPr>
                      </w:pPr>
                      <w:r>
                        <w:rPr>
                          <w:rFonts w:ascii="Segoe UI"/>
                          <w:color w:val="77787B"/>
                          <w:spacing w:val="-1"/>
                          <w:w w:val="105"/>
                          <w:sz w:val="15"/>
                        </w:rPr>
                        <w:t>550</w:t>
                      </w:r>
                      <w:r>
                        <w:rPr>
                          <w:rFonts w:ascii="Segoe UI"/>
                          <w:sz w:val="15"/>
                        </w:rPr>
                      </w:r>
                    </w:p>
                    <w:p>
                      <w:pPr>
                        <w:spacing w:line="240" w:lineRule="auto" w:before="4"/>
                        <w:rPr>
                          <w:rFonts w:ascii="Segoe UI" w:hAnsi="Segoe UI" w:cs="Segoe UI" w:eastAsia="Segoe UI"/>
                          <w:sz w:val="14"/>
                          <w:szCs w:val="14"/>
                        </w:rPr>
                      </w:pPr>
                    </w:p>
                    <w:p>
                      <w:pPr>
                        <w:spacing w:before="0"/>
                        <w:ind w:left="718" w:right="0" w:firstLine="0"/>
                        <w:jc w:val="left"/>
                        <w:rPr>
                          <w:rFonts w:ascii="Segoe UI" w:hAnsi="Segoe UI" w:cs="Segoe UI" w:eastAsia="Segoe UI"/>
                          <w:sz w:val="15"/>
                          <w:szCs w:val="15"/>
                        </w:rPr>
                      </w:pPr>
                      <w:r>
                        <w:rPr>
                          <w:rFonts w:ascii="Segoe UI"/>
                          <w:color w:val="77787B"/>
                          <w:spacing w:val="-1"/>
                          <w:w w:val="105"/>
                          <w:sz w:val="15"/>
                        </w:rPr>
                        <w:t>500</w:t>
                      </w:r>
                      <w:r>
                        <w:rPr>
                          <w:rFonts w:ascii="Segoe UI"/>
                          <w:sz w:val="15"/>
                        </w:rPr>
                      </w:r>
                    </w:p>
                    <w:p>
                      <w:pPr>
                        <w:spacing w:line="240" w:lineRule="auto" w:before="4"/>
                        <w:rPr>
                          <w:rFonts w:ascii="Segoe UI" w:hAnsi="Segoe UI" w:cs="Segoe UI" w:eastAsia="Segoe UI"/>
                          <w:sz w:val="14"/>
                          <w:szCs w:val="14"/>
                        </w:rPr>
                      </w:pPr>
                    </w:p>
                    <w:p>
                      <w:pPr>
                        <w:spacing w:before="0"/>
                        <w:ind w:left="718" w:right="0" w:firstLine="0"/>
                        <w:jc w:val="left"/>
                        <w:rPr>
                          <w:rFonts w:ascii="Segoe UI" w:hAnsi="Segoe UI" w:cs="Segoe UI" w:eastAsia="Segoe UI"/>
                          <w:sz w:val="15"/>
                          <w:szCs w:val="15"/>
                        </w:rPr>
                      </w:pPr>
                      <w:r>
                        <w:rPr>
                          <w:rFonts w:ascii="Segoe UI"/>
                          <w:color w:val="77787B"/>
                          <w:spacing w:val="-1"/>
                          <w:w w:val="105"/>
                          <w:sz w:val="15"/>
                        </w:rPr>
                        <w:t>450</w:t>
                      </w:r>
                      <w:r>
                        <w:rPr>
                          <w:rFonts w:ascii="Segoe UI"/>
                          <w:sz w:val="15"/>
                        </w:rPr>
                      </w:r>
                    </w:p>
                    <w:p>
                      <w:pPr>
                        <w:spacing w:line="240" w:lineRule="auto" w:before="4"/>
                        <w:rPr>
                          <w:rFonts w:ascii="Segoe UI" w:hAnsi="Segoe UI" w:cs="Segoe UI" w:eastAsia="Segoe UI"/>
                          <w:sz w:val="14"/>
                          <w:szCs w:val="14"/>
                        </w:rPr>
                      </w:pPr>
                    </w:p>
                    <w:p>
                      <w:pPr>
                        <w:spacing w:before="0"/>
                        <w:ind w:left="718" w:right="0" w:firstLine="0"/>
                        <w:jc w:val="left"/>
                        <w:rPr>
                          <w:rFonts w:ascii="Segoe UI" w:hAnsi="Segoe UI" w:cs="Segoe UI" w:eastAsia="Segoe UI"/>
                          <w:sz w:val="15"/>
                          <w:szCs w:val="15"/>
                        </w:rPr>
                      </w:pPr>
                      <w:r>
                        <w:rPr>
                          <w:rFonts w:ascii="Segoe UI"/>
                          <w:color w:val="77787B"/>
                          <w:spacing w:val="-1"/>
                          <w:w w:val="105"/>
                          <w:sz w:val="15"/>
                        </w:rPr>
                        <w:t>400</w:t>
                      </w:r>
                      <w:r>
                        <w:rPr>
                          <w:rFonts w:ascii="Segoe UI"/>
                          <w:sz w:val="15"/>
                        </w:rPr>
                      </w:r>
                    </w:p>
                    <w:p>
                      <w:pPr>
                        <w:spacing w:line="240" w:lineRule="auto" w:before="4"/>
                        <w:rPr>
                          <w:rFonts w:ascii="Segoe UI" w:hAnsi="Segoe UI" w:cs="Segoe UI" w:eastAsia="Segoe UI"/>
                          <w:sz w:val="14"/>
                          <w:szCs w:val="14"/>
                        </w:rPr>
                      </w:pPr>
                    </w:p>
                    <w:p>
                      <w:pPr>
                        <w:spacing w:before="0"/>
                        <w:ind w:left="718" w:right="0" w:firstLine="0"/>
                        <w:jc w:val="left"/>
                        <w:rPr>
                          <w:rFonts w:ascii="Segoe UI" w:hAnsi="Segoe UI" w:cs="Segoe UI" w:eastAsia="Segoe UI"/>
                          <w:sz w:val="15"/>
                          <w:szCs w:val="15"/>
                        </w:rPr>
                      </w:pPr>
                      <w:r>
                        <w:rPr>
                          <w:rFonts w:ascii="Segoe UI"/>
                          <w:color w:val="77787B"/>
                          <w:spacing w:val="-1"/>
                          <w:w w:val="105"/>
                          <w:sz w:val="15"/>
                        </w:rPr>
                        <w:t>350</w:t>
                      </w:r>
                      <w:r>
                        <w:rPr>
                          <w:rFonts w:ascii="Segoe UI"/>
                          <w:sz w:val="15"/>
                        </w:rPr>
                      </w:r>
                    </w:p>
                    <w:p>
                      <w:pPr>
                        <w:spacing w:line="240" w:lineRule="auto" w:before="4"/>
                        <w:rPr>
                          <w:rFonts w:ascii="Segoe UI" w:hAnsi="Segoe UI" w:cs="Segoe UI" w:eastAsia="Segoe UI"/>
                          <w:sz w:val="14"/>
                          <w:szCs w:val="14"/>
                        </w:rPr>
                      </w:pPr>
                    </w:p>
                    <w:p>
                      <w:pPr>
                        <w:spacing w:before="0"/>
                        <w:ind w:left="718" w:right="0" w:firstLine="0"/>
                        <w:jc w:val="left"/>
                        <w:rPr>
                          <w:rFonts w:ascii="Segoe UI" w:hAnsi="Segoe UI" w:cs="Segoe UI" w:eastAsia="Segoe UI"/>
                          <w:sz w:val="15"/>
                          <w:szCs w:val="15"/>
                        </w:rPr>
                      </w:pPr>
                      <w:r>
                        <w:rPr>
                          <w:rFonts w:ascii="Segoe UI"/>
                          <w:color w:val="77787B"/>
                          <w:spacing w:val="-1"/>
                          <w:w w:val="105"/>
                          <w:sz w:val="15"/>
                        </w:rPr>
                        <w:t>300</w:t>
                      </w:r>
                      <w:r>
                        <w:rPr>
                          <w:rFonts w:ascii="Segoe UI"/>
                          <w:sz w:val="15"/>
                        </w:rPr>
                      </w:r>
                    </w:p>
                    <w:p>
                      <w:pPr>
                        <w:tabs>
                          <w:tab w:pos="4257" w:val="left" w:leader="none"/>
                          <w:tab w:pos="6655" w:val="left" w:leader="none"/>
                        </w:tabs>
                        <w:spacing w:before="26"/>
                        <w:ind w:left="2126" w:right="0" w:firstLine="0"/>
                        <w:jc w:val="left"/>
                        <w:rPr>
                          <w:rFonts w:ascii="Segoe UI" w:hAnsi="Segoe UI" w:cs="Segoe UI" w:eastAsia="Segoe UI"/>
                          <w:sz w:val="15"/>
                          <w:szCs w:val="15"/>
                        </w:rPr>
                      </w:pPr>
                      <w:r>
                        <w:rPr>
                          <w:rFonts w:ascii="Segoe UI"/>
                          <w:color w:val="77787B"/>
                          <w:spacing w:val="-1"/>
                          <w:sz w:val="15"/>
                        </w:rPr>
                        <w:t>Low</w:t>
                        <w:tab/>
                        <w:t>Medium</w:t>
                        <w:tab/>
                      </w:r>
                      <w:r>
                        <w:rPr>
                          <w:rFonts w:ascii="Segoe UI"/>
                          <w:color w:val="77787B"/>
                          <w:spacing w:val="-1"/>
                          <w:w w:val="105"/>
                          <w:sz w:val="15"/>
                        </w:rPr>
                        <w:t>High</w:t>
                      </w:r>
                      <w:r>
                        <w:rPr>
                          <w:rFonts w:ascii="Segoe UI"/>
                          <w:sz w:val="15"/>
                        </w:rPr>
                      </w:r>
                    </w:p>
                  </w:txbxContent>
                </v:textbox>
                <w10:wrap type="none"/>
              </v:shape>
            </v:group>
            <w10:wrap type="none"/>
          </v:group>
        </w:pict>
      </w:r>
      <w:r>
        <w:rPr>
          <w:rFonts w:ascii="Segoe UI Semibold"/>
          <w:b/>
          <w:color w:val="231F20"/>
          <w:w w:val="105"/>
          <w:sz w:val="11"/>
        </w:rPr>
        <w:t>68</w:t>
      </w:r>
      <w:r>
        <w:rPr>
          <w:rFonts w:ascii="Segoe UI Semibold"/>
          <w:sz w:val="11"/>
        </w:rPr>
      </w: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after="0" w:line="240" w:lineRule="auto"/>
        <w:rPr>
          <w:rFonts w:ascii="Segoe UI Semibold" w:hAnsi="Segoe UI Semibold" w:cs="Segoe UI Semibold" w:eastAsia="Segoe UI Semibold"/>
          <w:sz w:val="20"/>
          <w:szCs w:val="20"/>
        </w:rPr>
        <w:sectPr>
          <w:pgSz w:w="11910" w:h="16840"/>
          <w:pgMar w:header="0" w:footer="691" w:top="1580" w:bottom="880" w:left="1600" w:right="1120"/>
        </w:sectPr>
      </w:pPr>
    </w:p>
    <w:p>
      <w:pPr>
        <w:pStyle w:val="Heading3"/>
        <w:spacing w:line="240" w:lineRule="auto" w:before="186"/>
        <w:ind w:left="100" w:right="0"/>
        <w:jc w:val="left"/>
      </w:pPr>
      <w:r>
        <w:rPr>
          <w:b/>
          <w:color w:val="00779B"/>
        </w:rPr>
        <w:t>Other</w:t>
      </w:r>
      <w:r>
        <w:rPr>
          <w:b/>
          <w:color w:val="00779B"/>
          <w:spacing w:val="-1"/>
        </w:rPr>
        <w:t> factors</w:t>
      </w:r>
      <w:r>
        <w:rPr/>
      </w:r>
    </w:p>
    <w:p>
      <w:pPr>
        <w:pStyle w:val="BodyText"/>
        <w:spacing w:line="250" w:lineRule="exact" w:before="64"/>
        <w:ind w:left="100" w:right="23"/>
        <w:jc w:val="left"/>
      </w:pPr>
      <w:r>
        <w:rPr>
          <w:color w:val="231F20"/>
        </w:rPr>
        <w:t>There</w:t>
      </w:r>
      <w:r>
        <w:rPr>
          <w:color w:val="231F20"/>
          <w:spacing w:val="-4"/>
        </w:rPr>
        <w:t> </w:t>
      </w:r>
      <w:r>
        <w:rPr>
          <w:color w:val="231F20"/>
        </w:rPr>
        <w:t>are</w:t>
      </w:r>
      <w:r>
        <w:rPr>
          <w:color w:val="231F20"/>
          <w:spacing w:val="-5"/>
        </w:rPr>
        <w:t> </w:t>
      </w:r>
      <w:r>
        <w:rPr>
          <w:color w:val="231F20"/>
        </w:rPr>
        <w:t>a</w:t>
      </w:r>
      <w:r>
        <w:rPr>
          <w:color w:val="231F20"/>
          <w:spacing w:val="-4"/>
        </w:rPr>
        <w:t> </w:t>
      </w:r>
      <w:r>
        <w:rPr>
          <w:color w:val="231F20"/>
        </w:rPr>
        <w:t>range</w:t>
      </w:r>
      <w:r>
        <w:rPr>
          <w:color w:val="231F20"/>
          <w:spacing w:val="-5"/>
        </w:rPr>
        <w:t> </w:t>
      </w:r>
      <w:r>
        <w:rPr>
          <w:color w:val="231F20"/>
        </w:rPr>
        <w:t>of</w:t>
      </w:r>
      <w:r>
        <w:rPr>
          <w:color w:val="231F20"/>
          <w:spacing w:val="-4"/>
        </w:rPr>
        <w:t> </w:t>
      </w:r>
      <w:r>
        <w:rPr>
          <w:color w:val="231F20"/>
        </w:rPr>
        <w:t>other</w:t>
      </w:r>
      <w:r>
        <w:rPr>
          <w:color w:val="231F20"/>
          <w:spacing w:val="-4"/>
        </w:rPr>
        <w:t> </w:t>
      </w:r>
      <w:r>
        <w:rPr>
          <w:color w:val="231F20"/>
        </w:rPr>
        <w:t>community</w:t>
      </w:r>
      <w:r>
        <w:rPr>
          <w:color w:val="231F20"/>
          <w:spacing w:val="-5"/>
        </w:rPr>
        <w:t> </w:t>
      </w:r>
      <w:r>
        <w:rPr>
          <w:color w:val="231F20"/>
          <w:spacing w:val="-1"/>
        </w:rPr>
        <w:t>matters</w:t>
      </w:r>
      <w:r>
        <w:rPr>
          <w:color w:val="231F20"/>
          <w:spacing w:val="20"/>
          <w:w w:val="99"/>
        </w:rPr>
        <w:t> </w:t>
      </w:r>
      <w:r>
        <w:rPr>
          <w:color w:val="231F20"/>
        </w:rPr>
        <w:t>that</w:t>
      </w:r>
      <w:r>
        <w:rPr>
          <w:color w:val="231F20"/>
          <w:spacing w:val="-7"/>
        </w:rPr>
        <w:t> </w:t>
      </w:r>
      <w:r>
        <w:rPr>
          <w:color w:val="231F20"/>
        </w:rPr>
        <w:t>boarding</w:t>
      </w:r>
      <w:r>
        <w:rPr>
          <w:color w:val="231F20"/>
          <w:spacing w:val="-7"/>
        </w:rPr>
        <w:t> </w:t>
      </w:r>
      <w:r>
        <w:rPr>
          <w:color w:val="231F20"/>
        </w:rPr>
        <w:t>providers</w:t>
      </w:r>
      <w:r>
        <w:rPr>
          <w:color w:val="231F20"/>
          <w:spacing w:val="-7"/>
        </w:rPr>
        <w:t> </w:t>
      </w:r>
      <w:r>
        <w:rPr>
          <w:color w:val="231F20"/>
        </w:rPr>
        <w:t>have</w:t>
      </w:r>
      <w:r>
        <w:rPr>
          <w:color w:val="231F20"/>
          <w:spacing w:val="-7"/>
        </w:rPr>
        <w:t> </w:t>
      </w:r>
      <w:r>
        <w:rPr>
          <w:color w:val="231F20"/>
        </w:rPr>
        <w:t>to</w:t>
      </w:r>
      <w:r>
        <w:rPr>
          <w:color w:val="231F20"/>
          <w:spacing w:val="-7"/>
        </w:rPr>
        <w:t> </w:t>
      </w:r>
      <w:r>
        <w:rPr>
          <w:color w:val="231F20"/>
        </w:rPr>
        <w:t>address</w:t>
      </w:r>
      <w:r>
        <w:rPr>
          <w:color w:val="231F20"/>
          <w:spacing w:val="-7"/>
        </w:rPr>
        <w:t> </w:t>
      </w:r>
      <w:r>
        <w:rPr>
          <w:color w:val="231F20"/>
        </w:rPr>
        <w:t>that</w:t>
      </w:r>
      <w:r>
        <w:rPr>
          <w:color w:val="231F20"/>
          <w:w w:val="99"/>
        </w:rPr>
        <w:t> </w:t>
      </w:r>
      <w:r>
        <w:rPr>
          <w:color w:val="231F20"/>
          <w:spacing w:val="-1"/>
        </w:rPr>
        <w:t>may</w:t>
      </w:r>
      <w:r>
        <w:rPr>
          <w:color w:val="231F20"/>
          <w:spacing w:val="-5"/>
        </w:rPr>
        <w:t> </w:t>
      </w:r>
      <w:r>
        <w:rPr>
          <w:color w:val="231F20"/>
          <w:spacing w:val="-1"/>
        </w:rPr>
        <w:t>impact</w:t>
      </w:r>
      <w:r>
        <w:rPr>
          <w:color w:val="231F20"/>
          <w:spacing w:val="-5"/>
        </w:rPr>
        <w:t> </w:t>
      </w:r>
      <w:r>
        <w:rPr>
          <w:color w:val="231F20"/>
        </w:rPr>
        <w:t>on</w:t>
      </w:r>
      <w:r>
        <w:rPr>
          <w:color w:val="231F20"/>
          <w:spacing w:val="-4"/>
        </w:rPr>
        <w:t> </w:t>
      </w:r>
      <w:r>
        <w:rPr>
          <w:color w:val="231F20"/>
        </w:rPr>
        <w:t>a</w:t>
      </w:r>
      <w:r>
        <w:rPr>
          <w:color w:val="231F20"/>
          <w:spacing w:val="-5"/>
        </w:rPr>
        <w:t> </w:t>
      </w:r>
      <w:r>
        <w:rPr>
          <w:color w:val="231F20"/>
        </w:rPr>
        <w:t>boarding</w:t>
      </w:r>
      <w:r>
        <w:rPr>
          <w:color w:val="231F20"/>
          <w:spacing w:val="-5"/>
        </w:rPr>
        <w:t> </w:t>
      </w:r>
      <w:r>
        <w:rPr>
          <w:color w:val="231F20"/>
          <w:spacing w:val="-1"/>
        </w:rPr>
        <w:t>student’s</w:t>
      </w:r>
      <w:r>
        <w:rPr>
          <w:color w:val="231F20"/>
          <w:spacing w:val="-4"/>
        </w:rPr>
        <w:t> </w:t>
      </w:r>
      <w:r>
        <w:rPr>
          <w:color w:val="231F20"/>
        </w:rPr>
        <w:t>attendance</w:t>
      </w:r>
      <w:r>
        <w:rPr>
          <w:color w:val="231F20"/>
          <w:spacing w:val="24"/>
          <w:w w:val="99"/>
        </w:rPr>
        <w:t> </w:t>
      </w:r>
      <w:r>
        <w:rPr>
          <w:color w:val="231F20"/>
        </w:rPr>
        <w:t>and</w:t>
      </w:r>
      <w:r>
        <w:rPr>
          <w:color w:val="231F20"/>
          <w:spacing w:val="-9"/>
        </w:rPr>
        <w:t> </w:t>
      </w:r>
      <w:r>
        <w:rPr>
          <w:color w:val="231F20"/>
        </w:rPr>
        <w:t>engagement.</w:t>
      </w:r>
      <w:r>
        <w:rPr>
          <w:color w:val="231F20"/>
          <w:spacing w:val="-8"/>
        </w:rPr>
        <w:t> </w:t>
      </w:r>
      <w:r>
        <w:rPr>
          <w:color w:val="231F20"/>
        </w:rPr>
        <w:t>These</w:t>
      </w:r>
      <w:r>
        <w:rPr>
          <w:color w:val="231F20"/>
          <w:spacing w:val="-8"/>
        </w:rPr>
        <w:t> </w:t>
      </w:r>
      <w:r>
        <w:rPr>
          <w:color w:val="231F20"/>
          <w:spacing w:val="-1"/>
        </w:rPr>
        <w:t>include:</w:t>
      </w:r>
      <w:r>
        <w:rPr/>
      </w:r>
    </w:p>
    <w:p>
      <w:pPr>
        <w:pStyle w:val="BodyText"/>
        <w:spacing w:line="250" w:lineRule="exact" w:before="113"/>
        <w:ind w:left="327" w:right="151" w:hanging="227"/>
        <w:jc w:val="left"/>
      </w:pPr>
      <w:r>
        <w:rPr>
          <w:rFonts w:ascii="Century Gothic" w:hAnsi="Century Gothic"/>
          <w:color w:val="231F20"/>
        </w:rPr>
        <w:t>» </w:t>
      </w:r>
      <w:r>
        <w:rPr>
          <w:rFonts w:ascii="Century Gothic" w:hAnsi="Century Gothic"/>
          <w:color w:val="231F20"/>
          <w:spacing w:val="22"/>
        </w:rPr>
        <w:t> </w:t>
      </w:r>
      <w:r>
        <w:rPr>
          <w:color w:val="231F20"/>
          <w:spacing w:val="-1"/>
        </w:rPr>
        <w:t>lack</w:t>
      </w:r>
      <w:r>
        <w:rPr>
          <w:color w:val="231F20"/>
          <w:spacing w:val="-4"/>
        </w:rPr>
        <w:t> </w:t>
      </w:r>
      <w:r>
        <w:rPr>
          <w:color w:val="231F20"/>
        </w:rPr>
        <w:t>of</w:t>
      </w:r>
      <w:r>
        <w:rPr>
          <w:color w:val="231F20"/>
          <w:spacing w:val="-3"/>
        </w:rPr>
        <w:t> </w:t>
      </w:r>
      <w:r>
        <w:rPr>
          <w:color w:val="231F20"/>
        </w:rPr>
        <w:t>familial</w:t>
      </w:r>
      <w:r>
        <w:rPr>
          <w:color w:val="231F20"/>
          <w:spacing w:val="-5"/>
        </w:rPr>
        <w:t> </w:t>
      </w:r>
      <w:r>
        <w:rPr>
          <w:color w:val="231F20"/>
        </w:rPr>
        <w:t>experience</w:t>
      </w:r>
      <w:r>
        <w:rPr>
          <w:color w:val="231F20"/>
          <w:spacing w:val="-4"/>
        </w:rPr>
        <w:t> </w:t>
      </w:r>
      <w:r>
        <w:rPr>
          <w:color w:val="231F20"/>
        </w:rPr>
        <w:t>of</w:t>
      </w:r>
      <w:r>
        <w:rPr>
          <w:color w:val="231F20"/>
          <w:spacing w:val="-4"/>
        </w:rPr>
        <w:t> </w:t>
      </w:r>
      <w:r>
        <w:rPr>
          <w:color w:val="231F20"/>
        </w:rPr>
        <w:t>attending</w:t>
      </w:r>
      <w:r>
        <w:rPr>
          <w:color w:val="231F20"/>
          <w:spacing w:val="21"/>
          <w:w w:val="99"/>
        </w:rPr>
        <w:t> </w:t>
      </w:r>
      <w:r>
        <w:rPr>
          <w:color w:val="231F20"/>
          <w:spacing w:val="-1"/>
        </w:rPr>
        <w:t>school</w:t>
      </w:r>
      <w:r>
        <w:rPr/>
      </w:r>
    </w:p>
    <w:p>
      <w:pPr>
        <w:pStyle w:val="BodyText"/>
        <w:spacing w:line="250" w:lineRule="exact" w:before="113"/>
        <w:ind w:left="327" w:right="151" w:hanging="227"/>
        <w:jc w:val="left"/>
      </w:pPr>
      <w:r>
        <w:rPr>
          <w:rFonts w:ascii="Century Gothic" w:hAnsi="Century Gothic"/>
          <w:color w:val="231F20"/>
        </w:rPr>
        <w:t>» </w:t>
      </w:r>
      <w:r>
        <w:rPr>
          <w:rFonts w:ascii="Century Gothic" w:hAnsi="Century Gothic"/>
          <w:color w:val="231F20"/>
          <w:spacing w:val="19"/>
        </w:rPr>
        <w:t> </w:t>
      </w:r>
      <w:r>
        <w:rPr>
          <w:color w:val="231F20"/>
        </w:rPr>
        <w:t>cultural</w:t>
      </w:r>
      <w:r>
        <w:rPr>
          <w:color w:val="231F20"/>
          <w:spacing w:val="-6"/>
        </w:rPr>
        <w:t> </w:t>
      </w:r>
      <w:r>
        <w:rPr>
          <w:color w:val="231F20"/>
        </w:rPr>
        <w:t>obligation</w:t>
      </w:r>
      <w:r>
        <w:rPr>
          <w:color w:val="231F20"/>
          <w:spacing w:val="-5"/>
        </w:rPr>
        <w:t> </w:t>
      </w:r>
      <w:r>
        <w:rPr>
          <w:color w:val="231F20"/>
        </w:rPr>
        <w:t>to</w:t>
      </w:r>
      <w:r>
        <w:rPr>
          <w:color w:val="231F20"/>
          <w:spacing w:val="-5"/>
        </w:rPr>
        <w:t> </w:t>
      </w:r>
      <w:r>
        <w:rPr>
          <w:color w:val="231F20"/>
        </w:rPr>
        <w:t>participate</w:t>
      </w:r>
      <w:r>
        <w:rPr>
          <w:color w:val="231F20"/>
          <w:spacing w:val="-5"/>
        </w:rPr>
        <w:t> </w:t>
      </w:r>
      <w:r>
        <w:rPr>
          <w:color w:val="231F20"/>
          <w:spacing w:val="-1"/>
        </w:rPr>
        <w:t>in</w:t>
      </w:r>
      <w:r>
        <w:rPr>
          <w:color w:val="231F20"/>
          <w:spacing w:val="-5"/>
        </w:rPr>
        <w:t> </w:t>
      </w:r>
      <w:r>
        <w:rPr>
          <w:color w:val="231F20"/>
        </w:rPr>
        <w:t>cultural</w:t>
      </w:r>
      <w:r>
        <w:rPr>
          <w:color w:val="231F20"/>
          <w:spacing w:val="21"/>
          <w:w w:val="99"/>
        </w:rPr>
        <w:t> </w:t>
      </w:r>
      <w:r>
        <w:rPr>
          <w:color w:val="231F20"/>
        </w:rPr>
        <w:t>events</w:t>
      </w:r>
      <w:r>
        <w:rPr>
          <w:color w:val="231F20"/>
          <w:spacing w:val="-4"/>
        </w:rPr>
        <w:t> </w:t>
      </w:r>
      <w:r>
        <w:rPr>
          <w:color w:val="231F20"/>
        </w:rPr>
        <w:t>or</w:t>
      </w:r>
      <w:r>
        <w:rPr>
          <w:color w:val="231F20"/>
          <w:spacing w:val="-2"/>
        </w:rPr>
        <w:t> </w:t>
      </w:r>
      <w:r>
        <w:rPr>
          <w:color w:val="231F20"/>
          <w:spacing w:val="-1"/>
        </w:rPr>
        <w:t>sorry</w:t>
      </w:r>
      <w:r>
        <w:rPr>
          <w:color w:val="231F20"/>
          <w:spacing w:val="-2"/>
        </w:rPr>
        <w:t> </w:t>
      </w:r>
      <w:r>
        <w:rPr>
          <w:color w:val="231F20"/>
        </w:rPr>
        <w:t>business</w:t>
      </w:r>
      <w:r>
        <w:rPr/>
      </w:r>
    </w:p>
    <w:p>
      <w:pPr>
        <w:pStyle w:val="BodyText"/>
        <w:spacing w:line="240" w:lineRule="auto" w:before="97"/>
        <w:ind w:left="100" w:right="0"/>
        <w:jc w:val="left"/>
      </w:pPr>
      <w:r>
        <w:rPr>
          <w:rFonts w:ascii="Century Gothic" w:hAnsi="Century Gothic"/>
          <w:color w:val="231F20"/>
        </w:rPr>
        <w:t>» </w:t>
      </w:r>
      <w:r>
        <w:rPr>
          <w:rFonts w:ascii="Century Gothic" w:hAnsi="Century Gothic"/>
          <w:color w:val="231F20"/>
          <w:spacing w:val="27"/>
        </w:rPr>
        <w:t> </w:t>
      </w:r>
      <w:r>
        <w:rPr>
          <w:color w:val="231F20"/>
        </w:rPr>
        <w:t>home</w:t>
      </w:r>
      <w:r>
        <w:rPr>
          <w:color w:val="231F20"/>
          <w:spacing w:val="-3"/>
        </w:rPr>
        <w:t> </w:t>
      </w:r>
      <w:r>
        <w:rPr>
          <w:color w:val="231F20"/>
        </w:rPr>
        <w:t>community</w:t>
      </w:r>
      <w:r>
        <w:rPr>
          <w:color w:val="231F20"/>
          <w:spacing w:val="-3"/>
        </w:rPr>
        <w:t> </w:t>
      </w:r>
      <w:r>
        <w:rPr>
          <w:color w:val="231F20"/>
        </w:rPr>
        <w:t>unrest.</w:t>
      </w:r>
      <w:r>
        <w:rPr/>
      </w:r>
    </w:p>
    <w:p>
      <w:pPr>
        <w:spacing w:line="240" w:lineRule="auto" w:before="10"/>
        <w:rPr>
          <w:rFonts w:ascii="Segoe UI" w:hAnsi="Segoe UI" w:cs="Segoe UI" w:eastAsia="Segoe UI"/>
          <w:sz w:val="20"/>
          <w:szCs w:val="20"/>
        </w:rPr>
      </w:pPr>
    </w:p>
    <w:p>
      <w:pPr>
        <w:spacing w:before="0"/>
        <w:ind w:left="100" w:right="0" w:firstLine="0"/>
        <w:jc w:val="left"/>
        <w:rPr>
          <w:rFonts w:ascii="Segoe UI" w:hAnsi="Segoe UI" w:cs="Segoe UI" w:eastAsia="Segoe UI"/>
          <w:sz w:val="32"/>
          <w:szCs w:val="32"/>
        </w:rPr>
      </w:pPr>
      <w:r>
        <w:rPr>
          <w:rFonts w:ascii="Segoe UI"/>
          <w:b/>
          <w:color w:val="452A70"/>
          <w:spacing w:val="-1"/>
          <w:sz w:val="32"/>
        </w:rPr>
        <w:t>Health</w:t>
      </w:r>
      <w:r>
        <w:rPr>
          <w:rFonts w:ascii="Segoe UI"/>
          <w:b/>
          <w:color w:val="452A70"/>
          <w:sz w:val="32"/>
        </w:rPr>
        <w:t> </w:t>
      </w:r>
      <w:r>
        <w:rPr>
          <w:rFonts w:ascii="Segoe UI"/>
          <w:b/>
          <w:color w:val="452A70"/>
          <w:spacing w:val="-1"/>
          <w:sz w:val="32"/>
        </w:rPr>
        <w:t>issues</w:t>
      </w:r>
      <w:r>
        <w:rPr>
          <w:rFonts w:ascii="Segoe UI"/>
          <w:sz w:val="32"/>
        </w:rPr>
      </w:r>
    </w:p>
    <w:p>
      <w:pPr>
        <w:pStyle w:val="BodyText"/>
        <w:spacing w:line="250" w:lineRule="exact" w:before="111"/>
        <w:ind w:left="100" w:right="8"/>
        <w:jc w:val="left"/>
      </w:pPr>
      <w:r>
        <w:rPr>
          <w:rFonts w:ascii="Segoe UI" w:hAnsi="Segoe UI" w:cs="Segoe UI" w:eastAsia="Segoe UI"/>
          <w:color w:val="231F20"/>
        </w:rPr>
        <w:t>Boarding providers report devoting </w:t>
      </w:r>
      <w:r>
        <w:rPr>
          <w:rFonts w:ascii="Segoe UI" w:hAnsi="Segoe UI" w:cs="Segoe UI" w:eastAsia="Segoe UI"/>
          <w:color w:val="231F20"/>
          <w:spacing w:val="-1"/>
        </w:rPr>
        <w:t>significant</w:t>
      </w:r>
      <w:r>
        <w:rPr>
          <w:rFonts w:ascii="Segoe UI" w:hAnsi="Segoe UI" w:cs="Segoe UI" w:eastAsia="Segoe UI"/>
          <w:color w:val="231F20"/>
          <w:spacing w:val="20"/>
        </w:rPr>
        <w:t> </w:t>
      </w:r>
      <w:r>
        <w:rPr>
          <w:color w:val="231F20"/>
        </w:rPr>
        <w:t>resources</w:t>
      </w:r>
      <w:r>
        <w:rPr>
          <w:color w:val="231F20"/>
          <w:spacing w:val="-7"/>
        </w:rPr>
        <w:t> </w:t>
      </w:r>
      <w:r>
        <w:rPr>
          <w:color w:val="231F20"/>
        </w:rPr>
        <w:t>to</w:t>
      </w:r>
      <w:r>
        <w:rPr>
          <w:color w:val="231F20"/>
          <w:spacing w:val="-5"/>
        </w:rPr>
        <w:t> </w:t>
      </w:r>
      <w:r>
        <w:rPr>
          <w:color w:val="231F20"/>
        </w:rPr>
        <w:t>addressing</w:t>
      </w:r>
      <w:r>
        <w:rPr>
          <w:color w:val="231F20"/>
          <w:spacing w:val="-6"/>
        </w:rPr>
        <w:t> </w:t>
      </w:r>
      <w:r>
        <w:rPr>
          <w:color w:val="231F20"/>
        </w:rPr>
        <w:t>the</w:t>
      </w:r>
      <w:r>
        <w:rPr>
          <w:color w:val="231F20"/>
          <w:spacing w:val="-6"/>
        </w:rPr>
        <w:t> </w:t>
      </w:r>
      <w:r>
        <w:rPr>
          <w:color w:val="231F20"/>
        </w:rPr>
        <w:t>health</w:t>
      </w:r>
      <w:r>
        <w:rPr>
          <w:color w:val="231F20"/>
          <w:spacing w:val="-6"/>
        </w:rPr>
        <w:t> </w:t>
      </w:r>
      <w:r>
        <w:rPr>
          <w:color w:val="231F20"/>
          <w:spacing w:val="-1"/>
        </w:rPr>
        <w:t>issues</w:t>
      </w:r>
      <w:r>
        <w:rPr>
          <w:color w:val="231F20"/>
          <w:spacing w:val="-5"/>
        </w:rPr>
        <w:t> </w:t>
      </w:r>
      <w:r>
        <w:rPr>
          <w:color w:val="231F20"/>
        </w:rPr>
        <w:t>of</w:t>
      </w:r>
      <w:r>
        <w:rPr>
          <w:color w:val="231F20"/>
          <w:spacing w:val="21"/>
          <w:w w:val="99"/>
        </w:rPr>
        <w:t> </w:t>
      </w:r>
      <w:r>
        <w:rPr>
          <w:color w:val="231F20"/>
          <w:spacing w:val="-1"/>
        </w:rPr>
        <w:t>students</w:t>
      </w:r>
      <w:r>
        <w:rPr>
          <w:color w:val="231F20"/>
          <w:spacing w:val="-4"/>
        </w:rPr>
        <w:t> </w:t>
      </w:r>
      <w:r>
        <w:rPr>
          <w:color w:val="231F20"/>
        </w:rPr>
        <w:t>when</w:t>
      </w:r>
      <w:r>
        <w:rPr>
          <w:color w:val="231F20"/>
          <w:spacing w:val="-4"/>
        </w:rPr>
        <w:t> </w:t>
      </w:r>
      <w:r>
        <w:rPr>
          <w:color w:val="231F20"/>
        </w:rPr>
        <w:t>they</w:t>
      </w:r>
      <w:r>
        <w:rPr>
          <w:color w:val="231F20"/>
          <w:spacing w:val="-4"/>
        </w:rPr>
        <w:t> </w:t>
      </w:r>
      <w:r>
        <w:rPr>
          <w:color w:val="231F20"/>
        </w:rPr>
        <w:t>arrive</w:t>
      </w:r>
      <w:r>
        <w:rPr>
          <w:color w:val="231F20"/>
          <w:spacing w:val="-4"/>
        </w:rPr>
        <w:t> </w:t>
      </w:r>
      <w:r>
        <w:rPr>
          <w:color w:val="231F20"/>
        </w:rPr>
        <w:t>at</w:t>
      </w:r>
      <w:r>
        <w:rPr>
          <w:color w:val="231F20"/>
          <w:spacing w:val="-3"/>
        </w:rPr>
        <w:t> </w:t>
      </w:r>
      <w:r>
        <w:rPr>
          <w:color w:val="231F20"/>
        </w:rPr>
        <w:t>or</w:t>
      </w:r>
      <w:r>
        <w:rPr>
          <w:color w:val="231F20"/>
          <w:spacing w:val="-3"/>
        </w:rPr>
        <w:t> </w:t>
      </w:r>
      <w:r>
        <w:rPr>
          <w:color w:val="231F20"/>
        </w:rPr>
        <w:t>return</w:t>
      </w:r>
      <w:r>
        <w:rPr>
          <w:color w:val="231F20"/>
          <w:spacing w:val="-5"/>
        </w:rPr>
        <w:t> </w:t>
      </w:r>
      <w:r>
        <w:rPr>
          <w:color w:val="231F20"/>
        </w:rPr>
        <w:t>to</w:t>
      </w:r>
      <w:r>
        <w:rPr>
          <w:color w:val="231F20"/>
          <w:spacing w:val="-3"/>
        </w:rPr>
        <w:t> </w:t>
      </w:r>
      <w:r>
        <w:rPr>
          <w:color w:val="231F20"/>
        </w:rPr>
        <w:t>a</w:t>
      </w:r>
      <w:r>
        <w:rPr>
          <w:color w:val="231F20"/>
          <w:spacing w:val="22"/>
          <w:w w:val="99"/>
        </w:rPr>
        <w:t> </w:t>
      </w:r>
      <w:r>
        <w:rPr>
          <w:color w:val="231F20"/>
        </w:rPr>
        <w:t>boarding</w:t>
      </w:r>
      <w:r>
        <w:rPr>
          <w:color w:val="231F20"/>
          <w:spacing w:val="-6"/>
        </w:rPr>
        <w:t> </w:t>
      </w:r>
      <w:r>
        <w:rPr>
          <w:color w:val="231F20"/>
        </w:rPr>
        <w:t>facility</w:t>
      </w:r>
      <w:r>
        <w:rPr>
          <w:color w:val="231F20"/>
          <w:spacing w:val="-6"/>
        </w:rPr>
        <w:t> </w:t>
      </w:r>
      <w:r>
        <w:rPr>
          <w:color w:val="231F20"/>
        </w:rPr>
        <w:t>after</w:t>
      </w:r>
      <w:r>
        <w:rPr>
          <w:color w:val="231F20"/>
          <w:spacing w:val="-5"/>
        </w:rPr>
        <w:t> </w:t>
      </w:r>
      <w:r>
        <w:rPr>
          <w:color w:val="231F20"/>
        </w:rPr>
        <w:t>term</w:t>
      </w:r>
      <w:r>
        <w:rPr>
          <w:color w:val="231F20"/>
          <w:spacing w:val="-6"/>
        </w:rPr>
        <w:t> </w:t>
      </w:r>
      <w:r>
        <w:rPr>
          <w:color w:val="231F20"/>
        </w:rPr>
        <w:t>break.</w:t>
      </w:r>
      <w:r>
        <w:rPr>
          <w:color w:val="231F20"/>
          <w:spacing w:val="-5"/>
        </w:rPr>
        <w:t> </w:t>
      </w:r>
      <w:r>
        <w:rPr>
          <w:color w:val="231F20"/>
        </w:rPr>
        <w:t>These</w:t>
      </w:r>
      <w:r>
        <w:rPr>
          <w:color w:val="231F20"/>
          <w:spacing w:val="-6"/>
        </w:rPr>
        <w:t> </w:t>
      </w:r>
      <w:r>
        <w:rPr>
          <w:color w:val="231F20"/>
        </w:rPr>
        <w:t>health</w:t>
      </w:r>
      <w:r>
        <w:rPr>
          <w:color w:val="231F20"/>
          <w:w w:val="99"/>
        </w:rPr>
        <w:t> </w:t>
      </w:r>
      <w:r>
        <w:rPr>
          <w:color w:val="231F20"/>
          <w:spacing w:val="-1"/>
        </w:rPr>
        <w:t>issues</w:t>
      </w:r>
      <w:r>
        <w:rPr>
          <w:color w:val="231F20"/>
          <w:spacing w:val="-3"/>
        </w:rPr>
        <w:t> </w:t>
      </w:r>
      <w:r>
        <w:rPr>
          <w:color w:val="231F20"/>
        </w:rPr>
        <w:t>are</w:t>
      </w:r>
      <w:r>
        <w:rPr>
          <w:color w:val="231F20"/>
          <w:spacing w:val="-3"/>
        </w:rPr>
        <w:t> </w:t>
      </w:r>
      <w:r>
        <w:rPr>
          <w:color w:val="231F20"/>
        </w:rPr>
        <w:t>extensive</w:t>
      </w:r>
      <w:r>
        <w:rPr>
          <w:color w:val="231F20"/>
          <w:spacing w:val="-3"/>
        </w:rPr>
        <w:t> </w:t>
      </w:r>
      <w:r>
        <w:rPr>
          <w:color w:val="231F20"/>
        </w:rPr>
        <w:t>and</w:t>
      </w:r>
      <w:r>
        <w:rPr>
          <w:color w:val="231F20"/>
          <w:spacing w:val="-4"/>
        </w:rPr>
        <w:t> </w:t>
      </w:r>
      <w:r>
        <w:rPr>
          <w:color w:val="231F20"/>
        </w:rPr>
        <w:t>both</w:t>
      </w:r>
      <w:r>
        <w:rPr>
          <w:color w:val="231F20"/>
          <w:spacing w:val="-3"/>
        </w:rPr>
        <w:t> </w:t>
      </w:r>
      <w:r>
        <w:rPr>
          <w:color w:val="231F20"/>
        </w:rPr>
        <w:t>physical</w:t>
      </w:r>
      <w:r>
        <w:rPr>
          <w:color w:val="231F20"/>
          <w:spacing w:val="-3"/>
        </w:rPr>
        <w:t> </w:t>
      </w:r>
      <w:r>
        <w:rPr>
          <w:color w:val="231F20"/>
        </w:rPr>
        <w:t>and</w:t>
      </w:r>
      <w:r>
        <w:rPr>
          <w:color w:val="231F20"/>
          <w:spacing w:val="21"/>
          <w:w w:val="99"/>
        </w:rPr>
        <w:t> </w:t>
      </w:r>
      <w:r>
        <w:rPr>
          <w:rFonts w:ascii="Segoe UI" w:hAnsi="Segoe UI" w:cs="Segoe UI" w:eastAsia="Segoe UI"/>
          <w:color w:val="231F20"/>
        </w:rPr>
        <w:t>emotional</w:t>
      </w:r>
      <w:r>
        <w:rPr>
          <w:color w:val="231F20"/>
        </w:rPr>
        <w:t>.</w:t>
      </w:r>
      <w:r>
        <w:rPr>
          <w:color w:val="231F20"/>
          <w:spacing w:val="-5"/>
        </w:rPr>
        <w:t> </w:t>
      </w:r>
      <w:r>
        <w:rPr>
          <w:color w:val="231F20"/>
        </w:rPr>
        <w:t>Many</w:t>
      </w:r>
      <w:r>
        <w:rPr>
          <w:color w:val="231F20"/>
          <w:spacing w:val="-4"/>
        </w:rPr>
        <w:t> </w:t>
      </w:r>
      <w:r>
        <w:rPr>
          <w:color w:val="231F20"/>
          <w:spacing w:val="-1"/>
        </w:rPr>
        <w:t>interviewees</w:t>
      </w:r>
      <w:r>
        <w:rPr>
          <w:color w:val="231F20"/>
          <w:spacing w:val="-4"/>
        </w:rPr>
        <w:t> </w:t>
      </w:r>
      <w:r>
        <w:rPr>
          <w:color w:val="231F20"/>
          <w:spacing w:val="-1"/>
        </w:rPr>
        <w:t>in</w:t>
      </w:r>
      <w:r>
        <w:rPr>
          <w:color w:val="231F20"/>
          <w:spacing w:val="-4"/>
        </w:rPr>
        <w:t> </w:t>
      </w:r>
      <w:r>
        <w:rPr>
          <w:color w:val="231F20"/>
        </w:rPr>
        <w:t>consultations</w:t>
      </w:r>
      <w:r>
        <w:rPr>
          <w:color w:val="231F20"/>
          <w:spacing w:val="23"/>
        </w:rPr>
        <w:t> </w:t>
      </w:r>
      <w:r>
        <w:rPr>
          <w:color w:val="231F20"/>
          <w:spacing w:val="-1"/>
        </w:rPr>
        <w:t>indicated</w:t>
      </w:r>
      <w:r>
        <w:rPr>
          <w:color w:val="231F20"/>
          <w:spacing w:val="-7"/>
        </w:rPr>
        <w:t> </w:t>
      </w:r>
      <w:r>
        <w:rPr>
          <w:color w:val="231F20"/>
        </w:rPr>
        <w:t>that</w:t>
      </w:r>
      <w:r>
        <w:rPr>
          <w:color w:val="231F20"/>
          <w:spacing w:val="-6"/>
        </w:rPr>
        <w:t> </w:t>
      </w:r>
      <w:r>
        <w:rPr>
          <w:color w:val="231F20"/>
        </w:rPr>
        <w:t>the</w:t>
      </w:r>
      <w:r>
        <w:rPr>
          <w:color w:val="231F20"/>
          <w:spacing w:val="-7"/>
        </w:rPr>
        <w:t> </w:t>
      </w:r>
      <w:r>
        <w:rPr>
          <w:color w:val="231F20"/>
        </w:rPr>
        <w:t>vast</w:t>
      </w:r>
      <w:r>
        <w:rPr>
          <w:color w:val="231F20"/>
          <w:spacing w:val="-6"/>
        </w:rPr>
        <w:t> </w:t>
      </w:r>
      <w:r>
        <w:rPr>
          <w:color w:val="231F20"/>
          <w:spacing w:val="-1"/>
        </w:rPr>
        <w:t>majority</w:t>
      </w:r>
      <w:r>
        <w:rPr>
          <w:color w:val="231F20"/>
          <w:spacing w:val="-7"/>
        </w:rPr>
        <w:t> </w:t>
      </w:r>
      <w:r>
        <w:rPr>
          <w:color w:val="231F20"/>
        </w:rPr>
        <w:t>of</w:t>
      </w:r>
      <w:r>
        <w:rPr>
          <w:color w:val="231F20"/>
          <w:spacing w:val="-6"/>
        </w:rPr>
        <w:t> </w:t>
      </w:r>
      <w:r>
        <w:rPr>
          <w:color w:val="231F20"/>
        </w:rPr>
        <w:t>Aboriginal</w:t>
      </w:r>
      <w:r>
        <w:rPr>
          <w:color w:val="231F20"/>
          <w:spacing w:val="23"/>
          <w:w w:val="99"/>
        </w:rPr>
        <w:t> </w:t>
      </w:r>
      <w:r>
        <w:rPr>
          <w:color w:val="231F20"/>
        </w:rPr>
        <w:t>and</w:t>
      </w:r>
      <w:r>
        <w:rPr>
          <w:color w:val="231F20"/>
          <w:spacing w:val="-6"/>
        </w:rPr>
        <w:t> </w:t>
      </w:r>
      <w:r>
        <w:rPr>
          <w:color w:val="231F20"/>
          <w:spacing w:val="-5"/>
        </w:rPr>
        <w:t>Torres</w:t>
      </w:r>
      <w:r>
        <w:rPr>
          <w:color w:val="231F20"/>
          <w:spacing w:val="-4"/>
        </w:rPr>
        <w:t> </w:t>
      </w:r>
      <w:r>
        <w:rPr>
          <w:color w:val="231F20"/>
          <w:spacing w:val="-1"/>
        </w:rPr>
        <w:t>Strait</w:t>
      </w:r>
      <w:r>
        <w:rPr>
          <w:color w:val="231F20"/>
          <w:spacing w:val="-4"/>
        </w:rPr>
        <w:t> </w:t>
      </w:r>
      <w:r>
        <w:rPr>
          <w:color w:val="231F20"/>
          <w:spacing w:val="-1"/>
        </w:rPr>
        <w:t>Islander</w:t>
      </w:r>
      <w:r>
        <w:rPr>
          <w:color w:val="231F20"/>
          <w:spacing w:val="-4"/>
        </w:rPr>
        <w:t> </w:t>
      </w:r>
      <w:r>
        <w:rPr>
          <w:color w:val="231F20"/>
          <w:spacing w:val="-1"/>
        </w:rPr>
        <w:t>students</w:t>
      </w:r>
      <w:r>
        <w:rPr>
          <w:color w:val="231F20"/>
          <w:spacing w:val="-4"/>
        </w:rPr>
        <w:t> </w:t>
      </w:r>
      <w:r>
        <w:rPr>
          <w:color w:val="231F20"/>
        </w:rPr>
        <w:t>from</w:t>
      </w:r>
      <w:r>
        <w:rPr>
          <w:color w:val="231F20"/>
          <w:spacing w:val="-4"/>
        </w:rPr>
        <w:t> </w:t>
      </w:r>
      <w:r>
        <w:rPr>
          <w:color w:val="231F20"/>
        </w:rPr>
        <w:t>remote</w:t>
      </w:r>
      <w:r>
        <w:rPr>
          <w:color w:val="231F20"/>
          <w:spacing w:val="28"/>
          <w:w w:val="99"/>
        </w:rPr>
        <w:t> </w:t>
      </w:r>
      <w:r>
        <w:rPr>
          <w:color w:val="231F20"/>
        </w:rPr>
        <w:t>communities</w:t>
      </w:r>
      <w:r>
        <w:rPr>
          <w:color w:val="231F20"/>
          <w:spacing w:val="-7"/>
        </w:rPr>
        <w:t> </w:t>
      </w:r>
      <w:r>
        <w:rPr>
          <w:color w:val="231F20"/>
        </w:rPr>
        <w:t>come</w:t>
      </w:r>
      <w:r>
        <w:rPr>
          <w:color w:val="231F20"/>
          <w:spacing w:val="-7"/>
        </w:rPr>
        <w:t> </w:t>
      </w:r>
      <w:r>
        <w:rPr>
          <w:color w:val="231F20"/>
        </w:rPr>
        <w:t>from</w:t>
      </w:r>
      <w:r>
        <w:rPr>
          <w:color w:val="231F20"/>
          <w:spacing w:val="-6"/>
        </w:rPr>
        <w:t> </w:t>
      </w:r>
      <w:r>
        <w:rPr>
          <w:color w:val="231F20"/>
        </w:rPr>
        <w:t>trauma</w:t>
      </w:r>
      <w:r>
        <w:rPr>
          <w:color w:val="231F20"/>
          <w:spacing w:val="-7"/>
        </w:rPr>
        <w:t> </w:t>
      </w:r>
      <w:r>
        <w:rPr>
          <w:color w:val="231F20"/>
        </w:rPr>
        <w:t>backgrounds—</w:t>
      </w:r>
      <w:r>
        <w:rPr>
          <w:color w:val="231F20"/>
          <w:w w:val="99"/>
        </w:rPr>
        <w:t> </w:t>
      </w:r>
      <w:r>
        <w:rPr>
          <w:color w:val="231F20"/>
        </w:rPr>
        <w:t>they</w:t>
      </w:r>
      <w:r>
        <w:rPr>
          <w:color w:val="231F20"/>
          <w:spacing w:val="-7"/>
        </w:rPr>
        <w:t> </w:t>
      </w:r>
      <w:r>
        <w:rPr>
          <w:color w:val="231F20"/>
        </w:rPr>
        <w:t>have</w:t>
      </w:r>
      <w:r>
        <w:rPr>
          <w:color w:val="231F20"/>
          <w:spacing w:val="-7"/>
        </w:rPr>
        <w:t> </w:t>
      </w:r>
      <w:r>
        <w:rPr>
          <w:color w:val="231F20"/>
        </w:rPr>
        <w:t>experienced</w:t>
      </w:r>
      <w:r>
        <w:rPr>
          <w:color w:val="231F20"/>
          <w:spacing w:val="-7"/>
        </w:rPr>
        <w:t> </w:t>
      </w:r>
      <w:r>
        <w:rPr>
          <w:color w:val="231F20"/>
        </w:rPr>
        <w:t>or</w:t>
      </w:r>
      <w:r>
        <w:rPr>
          <w:color w:val="231F20"/>
          <w:spacing w:val="-6"/>
        </w:rPr>
        <w:t> </w:t>
      </w:r>
      <w:r>
        <w:rPr>
          <w:color w:val="231F20"/>
        </w:rPr>
        <w:t>witnessed</w:t>
      </w:r>
      <w:r>
        <w:rPr>
          <w:color w:val="231F20"/>
          <w:spacing w:val="-7"/>
        </w:rPr>
        <w:t> </w:t>
      </w:r>
      <w:r>
        <w:rPr>
          <w:color w:val="231F20"/>
        </w:rPr>
        <w:t>trauma—</w:t>
      </w:r>
      <w:r>
        <w:rPr>
          <w:color w:val="231F20"/>
          <w:w w:val="99"/>
        </w:rPr>
        <w:t> </w:t>
      </w:r>
      <w:r>
        <w:rPr>
          <w:color w:val="231F20"/>
        </w:rPr>
        <w:t>and</w:t>
      </w:r>
      <w:r>
        <w:rPr>
          <w:color w:val="231F20"/>
          <w:spacing w:val="-6"/>
        </w:rPr>
        <w:t> </w:t>
      </w:r>
      <w:r>
        <w:rPr>
          <w:color w:val="231F20"/>
        </w:rPr>
        <w:t>this</w:t>
      </w:r>
      <w:r>
        <w:rPr>
          <w:color w:val="231F20"/>
          <w:spacing w:val="-5"/>
        </w:rPr>
        <w:t> </w:t>
      </w:r>
      <w:r>
        <w:rPr>
          <w:color w:val="231F20"/>
        </w:rPr>
        <w:t>has</w:t>
      </w:r>
      <w:r>
        <w:rPr>
          <w:color w:val="231F20"/>
          <w:spacing w:val="-5"/>
        </w:rPr>
        <w:t> </w:t>
      </w:r>
      <w:r>
        <w:rPr>
          <w:color w:val="231F20"/>
        </w:rPr>
        <w:t>not</w:t>
      </w:r>
      <w:r>
        <w:rPr>
          <w:color w:val="231F20"/>
          <w:spacing w:val="-4"/>
        </w:rPr>
        <w:t> </w:t>
      </w:r>
      <w:r>
        <w:rPr>
          <w:color w:val="231F20"/>
        </w:rPr>
        <w:t>been</w:t>
      </w:r>
      <w:r>
        <w:rPr>
          <w:color w:val="231F20"/>
          <w:spacing w:val="-5"/>
        </w:rPr>
        <w:t> </w:t>
      </w:r>
      <w:r>
        <w:rPr>
          <w:color w:val="231F20"/>
        </w:rPr>
        <w:t>addressed</w:t>
      </w:r>
      <w:r>
        <w:rPr>
          <w:color w:val="231F20"/>
          <w:spacing w:val="-5"/>
        </w:rPr>
        <w:t> </w:t>
      </w:r>
      <w:r>
        <w:rPr>
          <w:color w:val="231F20"/>
        </w:rPr>
        <w:t>before</w:t>
      </w:r>
      <w:r>
        <w:rPr>
          <w:color w:val="231F20"/>
          <w:spacing w:val="-5"/>
        </w:rPr>
        <w:t> </w:t>
      </w:r>
      <w:r>
        <w:rPr>
          <w:color w:val="231F20"/>
        </w:rPr>
        <w:t>the</w:t>
      </w:r>
      <w:r>
        <w:rPr>
          <w:color w:val="231F20"/>
          <w:w w:val="99"/>
        </w:rPr>
        <w:t> </w:t>
      </w:r>
      <w:r>
        <w:rPr>
          <w:color w:val="231F20"/>
          <w:spacing w:val="-1"/>
        </w:rPr>
        <w:t>student</w:t>
      </w:r>
      <w:r>
        <w:rPr>
          <w:color w:val="231F20"/>
          <w:spacing w:val="-8"/>
        </w:rPr>
        <w:t> </w:t>
      </w:r>
      <w:r>
        <w:rPr>
          <w:color w:val="231F20"/>
        </w:rPr>
        <w:t>attends</w:t>
      </w:r>
      <w:r>
        <w:rPr>
          <w:color w:val="231F20"/>
          <w:spacing w:val="-9"/>
        </w:rPr>
        <w:t> </w:t>
      </w:r>
      <w:r>
        <w:rPr>
          <w:color w:val="231F20"/>
        </w:rPr>
        <w:t>boarding.</w:t>
      </w:r>
      <w:r>
        <w:rPr>
          <w:color w:val="231F20"/>
          <w:spacing w:val="-9"/>
        </w:rPr>
        <w:t> </w:t>
      </w:r>
      <w:r>
        <w:rPr>
          <w:color w:val="231F20"/>
        </w:rPr>
        <w:t>Most</w:t>
      </w:r>
      <w:r>
        <w:rPr>
          <w:color w:val="231F20"/>
          <w:spacing w:val="-8"/>
        </w:rPr>
        <w:t> </w:t>
      </w:r>
      <w:r>
        <w:rPr>
          <w:color w:val="231F20"/>
        </w:rPr>
        <w:t>Aboriginal</w:t>
      </w:r>
      <w:r>
        <w:rPr/>
      </w:r>
    </w:p>
    <w:p>
      <w:pPr>
        <w:pStyle w:val="BodyText"/>
        <w:spacing w:line="250" w:lineRule="exact"/>
        <w:ind w:left="100" w:right="261"/>
        <w:jc w:val="both"/>
      </w:pPr>
      <w:r>
        <w:rPr>
          <w:color w:val="231F20"/>
        </w:rPr>
        <w:t>and</w:t>
      </w:r>
      <w:r>
        <w:rPr>
          <w:color w:val="231F20"/>
          <w:spacing w:val="-6"/>
        </w:rPr>
        <w:t> </w:t>
      </w:r>
      <w:r>
        <w:rPr>
          <w:color w:val="231F20"/>
          <w:spacing w:val="-5"/>
        </w:rPr>
        <w:t>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4"/>
        </w:rPr>
        <w:t> </w:t>
      </w:r>
      <w:r>
        <w:rPr>
          <w:color w:val="231F20"/>
        </w:rPr>
        <w:t>boarding</w:t>
      </w:r>
      <w:r>
        <w:rPr>
          <w:color w:val="231F20"/>
          <w:spacing w:val="-5"/>
        </w:rPr>
        <w:t> </w:t>
      </w:r>
      <w:r>
        <w:rPr>
          <w:color w:val="231F20"/>
        </w:rPr>
        <w:t>providers</w:t>
      </w:r>
      <w:r>
        <w:rPr>
          <w:color w:val="231F20"/>
          <w:spacing w:val="21"/>
          <w:w w:val="99"/>
        </w:rPr>
        <w:t> </w:t>
      </w:r>
      <w:r>
        <w:rPr>
          <w:rFonts w:ascii="Segoe UI"/>
          <w:color w:val="231F20"/>
        </w:rPr>
        <w:t>therefore</w:t>
      </w:r>
      <w:r>
        <w:rPr>
          <w:rFonts w:ascii="Segoe UI"/>
          <w:color w:val="231F20"/>
          <w:spacing w:val="-1"/>
        </w:rPr>
        <w:t> </w:t>
      </w:r>
      <w:r>
        <w:rPr>
          <w:rFonts w:ascii="Segoe UI"/>
          <w:color w:val="231F20"/>
        </w:rPr>
        <w:t>invest in training for </w:t>
      </w:r>
      <w:r>
        <w:rPr>
          <w:rFonts w:ascii="Segoe UI"/>
          <w:color w:val="231F20"/>
          <w:spacing w:val="-1"/>
        </w:rPr>
        <w:t>staff </w:t>
      </w:r>
      <w:r>
        <w:rPr>
          <w:rFonts w:ascii="Segoe UI"/>
          <w:color w:val="231F20"/>
        </w:rPr>
        <w:t>in trauma</w:t>
      </w:r>
      <w:r>
        <w:rPr>
          <w:rFonts w:ascii="Segoe UI"/>
          <w:color w:val="231F20"/>
          <w:spacing w:val="24"/>
        </w:rPr>
        <w:t> </w:t>
      </w:r>
      <w:r>
        <w:rPr>
          <w:color w:val="231F20"/>
          <w:spacing w:val="-1"/>
        </w:rPr>
        <w:t>informed</w:t>
      </w:r>
      <w:r>
        <w:rPr>
          <w:color w:val="231F20"/>
          <w:spacing w:val="-8"/>
        </w:rPr>
        <w:t> </w:t>
      </w:r>
      <w:r>
        <w:rPr>
          <w:color w:val="231F20"/>
        </w:rPr>
        <w:t>care</w:t>
      </w:r>
      <w:r>
        <w:rPr>
          <w:color w:val="231F20"/>
          <w:spacing w:val="-8"/>
        </w:rPr>
        <w:t> </w:t>
      </w:r>
      <w:r>
        <w:rPr>
          <w:color w:val="231F20"/>
        </w:rPr>
        <w:t>and</w:t>
      </w:r>
      <w:r>
        <w:rPr>
          <w:color w:val="231F20"/>
          <w:spacing w:val="-8"/>
        </w:rPr>
        <w:t> </w:t>
      </w:r>
      <w:r>
        <w:rPr>
          <w:color w:val="231F20"/>
        </w:rPr>
        <w:t>practice.</w:t>
      </w:r>
      <w:r>
        <w:rPr/>
      </w:r>
    </w:p>
    <w:p>
      <w:pPr>
        <w:spacing w:line="240" w:lineRule="auto" w:before="4"/>
        <w:rPr>
          <w:rFonts w:ascii="Segoe UI" w:hAnsi="Segoe UI" w:cs="Segoe UI" w:eastAsia="Segoe UI"/>
          <w:sz w:val="17"/>
          <w:szCs w:val="17"/>
        </w:rPr>
      </w:pPr>
      <w:r>
        <w:rPr/>
        <w:br w:type="column"/>
      </w:r>
      <w:r>
        <w:rPr>
          <w:rFonts w:ascii="Segoe UI"/>
          <w:sz w:val="17"/>
        </w:rPr>
      </w:r>
    </w:p>
    <w:p>
      <w:pPr>
        <w:pStyle w:val="BodyText"/>
        <w:spacing w:line="250" w:lineRule="exact"/>
        <w:ind w:left="554" w:right="735"/>
        <w:jc w:val="left"/>
        <w:rPr>
          <w:rFonts w:ascii="Segoe UI Semibold" w:hAnsi="Segoe UI Semibold" w:cs="Segoe UI Semibold" w:eastAsia="Segoe UI Semibold"/>
        </w:rPr>
      </w:pPr>
      <w:r>
        <w:rPr>
          <w:rFonts w:ascii="Segoe UI Semibold"/>
          <w:b/>
          <w:color w:val="00779B"/>
          <w:spacing w:val="-1"/>
        </w:rPr>
        <w:t>Nearly</w:t>
      </w:r>
      <w:r>
        <w:rPr>
          <w:rFonts w:ascii="Segoe UI Semibold"/>
          <w:b/>
          <w:color w:val="00779B"/>
          <w:spacing w:val="-2"/>
        </w:rPr>
        <w:t> </w:t>
      </w:r>
      <w:r>
        <w:rPr>
          <w:rFonts w:ascii="Segoe UI Semibold"/>
          <w:b/>
          <w:color w:val="00779B"/>
        </w:rPr>
        <w:t>all</w:t>
      </w:r>
      <w:r>
        <w:rPr>
          <w:rFonts w:ascii="Segoe UI Semibold"/>
          <w:b/>
          <w:color w:val="00779B"/>
          <w:spacing w:val="-2"/>
        </w:rPr>
        <w:t> </w:t>
      </w:r>
      <w:r>
        <w:rPr>
          <w:rFonts w:ascii="Segoe UI Semibold"/>
          <w:b/>
          <w:color w:val="00779B"/>
          <w:spacing w:val="-1"/>
        </w:rPr>
        <w:t>Aboriginal boarders</w:t>
      </w:r>
      <w:r>
        <w:rPr>
          <w:rFonts w:ascii="Segoe UI Semibold"/>
          <w:b/>
          <w:color w:val="00779B"/>
          <w:spacing w:val="-2"/>
        </w:rPr>
        <w:t> </w:t>
      </w:r>
      <w:r>
        <w:rPr>
          <w:rFonts w:ascii="Segoe UI Semibold"/>
          <w:b/>
          <w:color w:val="00779B"/>
          <w:spacing w:val="-1"/>
        </w:rPr>
        <w:t>have</w:t>
      </w:r>
      <w:r>
        <w:rPr>
          <w:rFonts w:ascii="Segoe UI Semibold"/>
          <w:b/>
          <w:color w:val="00779B"/>
          <w:spacing w:val="29"/>
        </w:rPr>
        <w:t> </w:t>
      </w:r>
      <w:r>
        <w:rPr>
          <w:rFonts w:ascii="Segoe UI Semibold"/>
          <w:b/>
          <w:color w:val="00779B"/>
          <w:spacing w:val="-1"/>
        </w:rPr>
        <w:t>experienced</w:t>
      </w:r>
      <w:r>
        <w:rPr>
          <w:rFonts w:ascii="Segoe UI Semibold"/>
          <w:b/>
          <w:color w:val="00779B"/>
        </w:rPr>
        <w:t> </w:t>
      </w:r>
      <w:r>
        <w:rPr>
          <w:rFonts w:ascii="Segoe UI Semibold"/>
          <w:b/>
          <w:color w:val="00779B"/>
          <w:spacing w:val="-1"/>
        </w:rPr>
        <w:t>or</w:t>
      </w:r>
      <w:r>
        <w:rPr>
          <w:rFonts w:ascii="Segoe UI Semibold"/>
          <w:b/>
          <w:color w:val="00779B"/>
        </w:rPr>
        <w:t> </w:t>
      </w:r>
      <w:r>
        <w:rPr>
          <w:rFonts w:ascii="Segoe UI Semibold"/>
          <w:b/>
          <w:color w:val="00779B"/>
          <w:spacing w:val="-1"/>
        </w:rPr>
        <w:t>witnessed</w:t>
      </w:r>
      <w:r>
        <w:rPr>
          <w:rFonts w:ascii="Segoe UI Semibold"/>
          <w:b/>
          <w:color w:val="00779B"/>
        </w:rPr>
        <w:t> </w:t>
      </w:r>
      <w:r>
        <w:rPr>
          <w:rFonts w:ascii="Segoe UI Semibold"/>
          <w:b/>
          <w:color w:val="00779B"/>
          <w:spacing w:val="-1"/>
        </w:rPr>
        <w:t>trauma</w:t>
      </w:r>
      <w:r>
        <w:rPr>
          <w:rFonts w:ascii="Segoe UI Semibold"/>
          <w:b/>
          <w:color w:val="00779B"/>
          <w:spacing w:val="23"/>
        </w:rPr>
        <w:t> </w:t>
      </w:r>
      <w:r>
        <w:rPr>
          <w:rFonts w:ascii="Segoe UI Semibold"/>
          <w:b/>
          <w:color w:val="00779B"/>
        </w:rPr>
        <w:t>and</w:t>
      </w:r>
      <w:r>
        <w:rPr>
          <w:rFonts w:ascii="Segoe UI Semibold"/>
          <w:b/>
          <w:color w:val="00779B"/>
          <w:spacing w:val="-3"/>
        </w:rPr>
        <w:t> </w:t>
      </w:r>
      <w:r>
        <w:rPr>
          <w:rFonts w:ascii="Segoe UI Semibold"/>
          <w:b/>
          <w:color w:val="00779B"/>
          <w:spacing w:val="-1"/>
        </w:rPr>
        <w:t>have</w:t>
      </w:r>
      <w:r>
        <w:rPr>
          <w:rFonts w:ascii="Segoe UI Semibold"/>
          <w:b/>
          <w:color w:val="00779B"/>
          <w:spacing w:val="-2"/>
        </w:rPr>
        <w:t> </w:t>
      </w:r>
      <w:r>
        <w:rPr>
          <w:rFonts w:ascii="Segoe UI Semibold"/>
          <w:b/>
          <w:color w:val="00779B"/>
        </w:rPr>
        <w:t>health</w:t>
      </w:r>
      <w:r>
        <w:rPr>
          <w:rFonts w:ascii="Segoe UI Semibold"/>
          <w:b/>
          <w:color w:val="00779B"/>
          <w:spacing w:val="-2"/>
        </w:rPr>
        <w:t> </w:t>
      </w:r>
      <w:r>
        <w:rPr>
          <w:rFonts w:ascii="Segoe UI Semibold"/>
          <w:b/>
          <w:color w:val="00779B"/>
          <w:spacing w:val="-1"/>
        </w:rPr>
        <w:t>issues.</w:t>
      </w:r>
      <w:r>
        <w:rPr>
          <w:rFonts w:ascii="Segoe UI Semibold"/>
          <w:b/>
          <w:color w:val="00779B"/>
          <w:spacing w:val="-2"/>
        </w:rPr>
        <w:t> </w:t>
      </w:r>
      <w:r>
        <w:rPr>
          <w:rFonts w:ascii="Segoe UI Semibold"/>
          <w:b/>
          <w:color w:val="00779B"/>
          <w:spacing w:val="-1"/>
        </w:rPr>
        <w:t>All boarding</w:t>
      </w:r>
      <w:r>
        <w:rPr>
          <w:rFonts w:ascii="Segoe UI Semibold"/>
        </w:rPr>
      </w:r>
    </w:p>
    <w:p>
      <w:pPr>
        <w:pStyle w:val="BodyText"/>
        <w:spacing w:line="250" w:lineRule="exact"/>
        <w:ind w:left="554" w:right="549"/>
        <w:jc w:val="left"/>
        <w:rPr>
          <w:rFonts w:ascii="Segoe UI Semibold" w:hAnsi="Segoe UI Semibold" w:cs="Segoe UI Semibold" w:eastAsia="Segoe UI Semibold"/>
        </w:rPr>
      </w:pPr>
      <w:r>
        <w:rPr>
          <w:rFonts w:ascii="Segoe UI Semibold"/>
          <w:b/>
          <w:color w:val="00779B"/>
        </w:rPr>
        <w:t>staff,</w:t>
      </w:r>
      <w:r>
        <w:rPr>
          <w:rFonts w:ascii="Segoe UI Semibold"/>
          <w:b/>
          <w:color w:val="00779B"/>
          <w:spacing w:val="-1"/>
        </w:rPr>
        <w:t> </w:t>
      </w:r>
      <w:r>
        <w:rPr>
          <w:rFonts w:ascii="Segoe UI Semibold"/>
          <w:b/>
          <w:color w:val="00779B"/>
        </w:rPr>
        <w:t>including</w:t>
      </w:r>
      <w:r>
        <w:rPr>
          <w:rFonts w:ascii="Segoe UI Semibold"/>
          <w:b/>
          <w:color w:val="00779B"/>
          <w:spacing w:val="-1"/>
        </w:rPr>
        <w:t> </w:t>
      </w:r>
      <w:r>
        <w:rPr>
          <w:rFonts w:ascii="Segoe UI Semibold"/>
          <w:b/>
          <w:color w:val="00779B"/>
        </w:rPr>
        <w:t>casuals</w:t>
      </w:r>
      <w:r>
        <w:rPr>
          <w:rFonts w:ascii="Segoe UI Semibold"/>
          <w:b/>
          <w:color w:val="00779B"/>
          <w:spacing w:val="-1"/>
        </w:rPr>
        <w:t> are required to</w:t>
      </w:r>
      <w:r>
        <w:rPr>
          <w:rFonts w:ascii="Segoe UI Semibold"/>
          <w:b/>
          <w:color w:val="00779B"/>
          <w:spacing w:val="26"/>
        </w:rPr>
        <w:t> </w:t>
      </w:r>
      <w:r>
        <w:rPr>
          <w:rFonts w:ascii="Segoe UI Semibold"/>
          <w:b/>
          <w:color w:val="00779B"/>
        </w:rPr>
        <w:t>hold</w:t>
      </w:r>
      <w:r>
        <w:rPr>
          <w:rFonts w:ascii="Segoe UI Semibold"/>
          <w:b/>
          <w:color w:val="00779B"/>
          <w:spacing w:val="-2"/>
        </w:rPr>
        <w:t> </w:t>
      </w:r>
      <w:r>
        <w:rPr>
          <w:rFonts w:ascii="Segoe UI Semibold"/>
          <w:b/>
          <w:color w:val="00779B"/>
        </w:rPr>
        <w:t>a</w:t>
      </w:r>
      <w:r>
        <w:rPr>
          <w:rFonts w:ascii="Segoe UI Semibold"/>
          <w:b/>
          <w:color w:val="00779B"/>
          <w:spacing w:val="-1"/>
        </w:rPr>
        <w:t> </w:t>
      </w:r>
      <w:r>
        <w:rPr>
          <w:rFonts w:ascii="Segoe UI Semibold"/>
          <w:b/>
          <w:color w:val="00779B"/>
          <w:spacing w:val="1"/>
        </w:rPr>
        <w:t>Cert</w:t>
      </w:r>
      <w:r>
        <w:rPr>
          <w:rFonts w:ascii="Segoe UI Semibold"/>
          <w:b/>
          <w:color w:val="00779B"/>
          <w:spacing w:val="-2"/>
        </w:rPr>
        <w:t> </w:t>
      </w:r>
      <w:r>
        <w:rPr>
          <w:rFonts w:ascii="Segoe UI Semibold"/>
          <w:b/>
          <w:color w:val="00779B"/>
        </w:rPr>
        <w:t>IV</w:t>
      </w:r>
      <w:r>
        <w:rPr>
          <w:rFonts w:ascii="Segoe UI Semibold"/>
          <w:b/>
          <w:color w:val="00779B"/>
          <w:spacing w:val="-1"/>
        </w:rPr>
        <w:t> in</w:t>
      </w:r>
      <w:r>
        <w:rPr>
          <w:rFonts w:ascii="Segoe UI Semibold"/>
          <w:b/>
          <w:color w:val="00779B"/>
          <w:spacing w:val="-2"/>
        </w:rPr>
        <w:t> </w:t>
      </w:r>
      <w:r>
        <w:rPr>
          <w:rFonts w:ascii="Segoe UI Semibold"/>
          <w:b/>
          <w:color w:val="00779B"/>
          <w:spacing w:val="-1"/>
        </w:rPr>
        <w:t>Community </w:t>
      </w:r>
      <w:r>
        <w:rPr>
          <w:rFonts w:ascii="Segoe UI Semibold"/>
          <w:b/>
          <w:color w:val="00779B"/>
        </w:rPr>
        <w:t>Services:</w:t>
      </w:r>
      <w:r>
        <w:rPr>
          <w:rFonts w:ascii="Segoe UI Semibold"/>
          <w:b/>
          <w:color w:val="00779B"/>
          <w:spacing w:val="23"/>
        </w:rPr>
        <w:t> </w:t>
      </w:r>
      <w:r>
        <w:rPr>
          <w:rFonts w:ascii="Segoe UI Semibold"/>
          <w:b/>
          <w:color w:val="00779B"/>
          <w:spacing w:val="-2"/>
        </w:rPr>
        <w:t>Student</w:t>
      </w:r>
      <w:r>
        <w:rPr>
          <w:rFonts w:ascii="Segoe UI Semibold"/>
          <w:b/>
          <w:color w:val="00779B"/>
          <w:spacing w:val="-1"/>
        </w:rPr>
        <w:t> </w:t>
      </w:r>
      <w:r>
        <w:rPr>
          <w:rFonts w:ascii="Segoe UI Semibold"/>
          <w:b/>
          <w:color w:val="00779B"/>
          <w:spacing w:val="-2"/>
        </w:rPr>
        <w:t>Residential</w:t>
      </w:r>
      <w:r>
        <w:rPr>
          <w:rFonts w:ascii="Segoe UI Semibold"/>
          <w:b/>
          <w:color w:val="00779B"/>
        </w:rPr>
        <w:t> </w:t>
      </w:r>
      <w:r>
        <w:rPr>
          <w:rFonts w:ascii="Segoe UI Semibold"/>
          <w:b/>
          <w:color w:val="00779B"/>
          <w:spacing w:val="-1"/>
        </w:rPr>
        <w:t>Care, including</w:t>
      </w:r>
      <w:r>
        <w:rPr>
          <w:rFonts w:ascii="Segoe UI Semibold"/>
          <w:b/>
          <w:color w:val="00779B"/>
          <w:spacing w:val="26"/>
        </w:rPr>
        <w:t> </w:t>
      </w:r>
      <w:r>
        <w:rPr>
          <w:rFonts w:ascii="Segoe UI Semibold"/>
          <w:b/>
          <w:color w:val="00779B"/>
          <w:spacing w:val="-1"/>
        </w:rPr>
        <w:t>core competencies</w:t>
      </w:r>
      <w:r>
        <w:rPr>
          <w:rFonts w:ascii="Segoe UI Semibold"/>
          <w:b/>
          <w:color w:val="00779B"/>
        </w:rPr>
        <w:t> </w:t>
      </w:r>
      <w:r>
        <w:rPr>
          <w:rFonts w:ascii="Segoe UI Semibold"/>
          <w:b/>
          <w:color w:val="00779B"/>
          <w:spacing w:val="-1"/>
        </w:rPr>
        <w:t>in working</w:t>
      </w:r>
      <w:r>
        <w:rPr>
          <w:rFonts w:ascii="Segoe UI Semibold"/>
          <w:b/>
          <w:color w:val="00779B"/>
          <w:spacing w:val="22"/>
        </w:rPr>
        <w:t> </w:t>
      </w:r>
      <w:r>
        <w:rPr>
          <w:rFonts w:ascii="Segoe UI Semibold"/>
          <w:b/>
          <w:color w:val="00779B"/>
          <w:spacing w:val="-1"/>
        </w:rPr>
        <w:t>effectively</w:t>
      </w:r>
      <w:r>
        <w:rPr>
          <w:rFonts w:ascii="Segoe UI Semibold"/>
          <w:b/>
          <w:color w:val="00779B"/>
          <w:spacing w:val="-3"/>
        </w:rPr>
        <w:t> </w:t>
      </w:r>
      <w:r>
        <w:rPr>
          <w:rFonts w:ascii="Segoe UI Semibold"/>
          <w:b/>
          <w:color w:val="00779B"/>
        </w:rPr>
        <w:t>in</w:t>
      </w:r>
      <w:r>
        <w:rPr>
          <w:rFonts w:ascii="Segoe UI Semibold"/>
          <w:b/>
          <w:color w:val="00779B"/>
          <w:spacing w:val="-2"/>
        </w:rPr>
        <w:t> </w:t>
      </w:r>
      <w:r>
        <w:rPr>
          <w:rFonts w:ascii="Segoe UI Semibold"/>
          <w:b/>
          <w:color w:val="00779B"/>
        </w:rPr>
        <w:t>trauma</w:t>
      </w:r>
      <w:r>
        <w:rPr>
          <w:rFonts w:ascii="Segoe UI Semibold"/>
          <w:b/>
          <w:color w:val="00779B"/>
          <w:spacing w:val="-2"/>
        </w:rPr>
        <w:t> </w:t>
      </w:r>
      <w:r>
        <w:rPr>
          <w:rFonts w:ascii="Segoe UI Semibold"/>
          <w:b/>
          <w:color w:val="00779B"/>
        </w:rPr>
        <w:t>informed</w:t>
      </w:r>
      <w:r>
        <w:rPr>
          <w:rFonts w:ascii="Segoe UI Semibold"/>
        </w:rPr>
      </w:r>
    </w:p>
    <w:p>
      <w:pPr>
        <w:spacing w:line="250" w:lineRule="exact" w:before="0"/>
        <w:ind w:left="554" w:right="0" w:firstLine="0"/>
        <w:jc w:val="left"/>
        <w:rPr>
          <w:rFonts w:ascii="Segoe UI Semibold" w:hAnsi="Segoe UI Semibold" w:cs="Segoe UI Semibold" w:eastAsia="Segoe UI Semibold"/>
          <w:sz w:val="11"/>
          <w:szCs w:val="11"/>
        </w:rPr>
      </w:pPr>
      <w:r>
        <w:rPr>
          <w:rFonts w:ascii="Segoe UI Semibold"/>
          <w:b/>
          <w:color w:val="00779B"/>
          <w:spacing w:val="-1"/>
          <w:sz w:val="20"/>
        </w:rPr>
        <w:t>care.</w:t>
      </w:r>
      <w:r>
        <w:rPr>
          <w:rFonts w:ascii="Segoe UI Semibold"/>
          <w:b/>
          <w:color w:val="231F20"/>
          <w:spacing w:val="-1"/>
          <w:position w:val="7"/>
          <w:sz w:val="11"/>
        </w:rPr>
        <w:t>69</w:t>
      </w:r>
      <w:r>
        <w:rPr>
          <w:rFonts w:ascii="Segoe UI Semibold"/>
          <w:sz w:val="11"/>
        </w:rPr>
      </w:r>
    </w:p>
    <w:p>
      <w:pPr>
        <w:spacing w:line="250" w:lineRule="exact" w:before="113"/>
        <w:ind w:left="100" w:right="295" w:firstLine="0"/>
        <w:jc w:val="left"/>
        <w:rPr>
          <w:rFonts w:ascii="Segoe UI Semibold" w:hAnsi="Segoe UI Semibold" w:cs="Segoe UI Semibold" w:eastAsia="Segoe UI Semibold"/>
          <w:sz w:val="11"/>
          <w:szCs w:val="11"/>
        </w:rPr>
      </w:pPr>
      <w:r>
        <w:rPr>
          <w:rFonts w:ascii="Segoe UI"/>
          <w:color w:val="231F20"/>
          <w:sz w:val="20"/>
        </w:rPr>
        <w:t>In</w:t>
      </w:r>
      <w:r>
        <w:rPr>
          <w:rFonts w:ascii="Segoe UI"/>
          <w:color w:val="231F20"/>
          <w:spacing w:val="-1"/>
          <w:sz w:val="20"/>
        </w:rPr>
        <w:t> </w:t>
      </w:r>
      <w:r>
        <w:rPr>
          <w:rFonts w:ascii="Segoe UI"/>
          <w:color w:val="231F20"/>
          <w:sz w:val="20"/>
        </w:rPr>
        <w:t>addition</w:t>
      </w:r>
      <w:r>
        <w:rPr>
          <w:rFonts w:ascii="Segoe UI"/>
          <w:color w:val="231F20"/>
          <w:spacing w:val="-1"/>
          <w:sz w:val="20"/>
        </w:rPr>
        <w:t> </w:t>
      </w:r>
      <w:r>
        <w:rPr>
          <w:rFonts w:ascii="Segoe UI"/>
          <w:color w:val="231F20"/>
          <w:sz w:val="20"/>
        </w:rPr>
        <w:t>to</w:t>
      </w:r>
      <w:r>
        <w:rPr>
          <w:rFonts w:ascii="Segoe UI"/>
          <w:color w:val="231F20"/>
          <w:spacing w:val="-2"/>
          <w:sz w:val="20"/>
        </w:rPr>
        <w:t> </w:t>
      </w:r>
      <w:r>
        <w:rPr>
          <w:rFonts w:ascii="Segoe UI"/>
          <w:color w:val="231F20"/>
          <w:sz w:val="20"/>
        </w:rPr>
        <w:t>Cert</w:t>
      </w:r>
      <w:r>
        <w:rPr>
          <w:rFonts w:ascii="Segoe UI"/>
          <w:color w:val="231F20"/>
          <w:spacing w:val="-2"/>
          <w:sz w:val="20"/>
        </w:rPr>
        <w:t> </w:t>
      </w:r>
      <w:r>
        <w:rPr>
          <w:rFonts w:ascii="Segoe UI"/>
          <w:color w:val="231F20"/>
          <w:sz w:val="20"/>
        </w:rPr>
        <w:t>IV</w:t>
      </w:r>
      <w:r>
        <w:rPr>
          <w:rFonts w:ascii="Segoe UI"/>
          <w:color w:val="231F20"/>
          <w:spacing w:val="-1"/>
          <w:sz w:val="20"/>
        </w:rPr>
        <w:t> qualifications </w:t>
      </w:r>
      <w:r>
        <w:rPr>
          <w:rFonts w:ascii="Segoe UI"/>
          <w:color w:val="231F20"/>
          <w:sz w:val="20"/>
        </w:rPr>
        <w:t>a</w:t>
      </w:r>
      <w:r>
        <w:rPr>
          <w:rFonts w:ascii="Segoe UI"/>
          <w:color w:val="231F20"/>
          <w:spacing w:val="-2"/>
          <w:sz w:val="20"/>
        </w:rPr>
        <w:t> </w:t>
      </w:r>
      <w:r>
        <w:rPr>
          <w:rFonts w:ascii="Segoe UI"/>
          <w:color w:val="231F20"/>
          <w:sz w:val="20"/>
        </w:rPr>
        <w:t>number</w:t>
      </w:r>
      <w:r>
        <w:rPr>
          <w:rFonts w:ascii="Segoe UI"/>
          <w:color w:val="231F20"/>
          <w:spacing w:val="-2"/>
          <w:sz w:val="20"/>
        </w:rPr>
        <w:t> </w:t>
      </w:r>
      <w:r>
        <w:rPr>
          <w:rFonts w:ascii="Segoe UI"/>
          <w:color w:val="231F20"/>
          <w:sz w:val="20"/>
        </w:rPr>
        <w:t>of</w:t>
      </w:r>
      <w:r>
        <w:rPr>
          <w:rFonts w:ascii="Segoe UI"/>
          <w:color w:val="231F20"/>
          <w:spacing w:val="26"/>
          <w:sz w:val="20"/>
        </w:rPr>
        <w:t> </w:t>
      </w:r>
      <w:r>
        <w:rPr>
          <w:rFonts w:ascii="Segoe UI"/>
          <w:color w:val="231F20"/>
          <w:sz w:val="20"/>
        </w:rPr>
        <w:t>Aboriginal</w:t>
      </w:r>
      <w:r>
        <w:rPr>
          <w:rFonts w:ascii="Segoe UI"/>
          <w:color w:val="231F20"/>
          <w:spacing w:val="-7"/>
          <w:sz w:val="20"/>
        </w:rPr>
        <w:t> </w:t>
      </w:r>
      <w:r>
        <w:rPr>
          <w:rFonts w:ascii="Segoe UI"/>
          <w:color w:val="231F20"/>
          <w:sz w:val="20"/>
        </w:rPr>
        <w:t>and</w:t>
      </w:r>
      <w:r>
        <w:rPr>
          <w:rFonts w:ascii="Segoe UI"/>
          <w:color w:val="231F20"/>
          <w:spacing w:val="-7"/>
          <w:sz w:val="20"/>
        </w:rPr>
        <w:t> </w:t>
      </w:r>
      <w:r>
        <w:rPr>
          <w:rFonts w:ascii="Segoe UI"/>
          <w:color w:val="231F20"/>
          <w:spacing w:val="-5"/>
          <w:sz w:val="20"/>
        </w:rPr>
        <w:t>Torres</w:t>
      </w:r>
      <w:r>
        <w:rPr>
          <w:rFonts w:ascii="Segoe UI"/>
          <w:color w:val="231F20"/>
          <w:spacing w:val="-6"/>
          <w:sz w:val="20"/>
        </w:rPr>
        <w:t> </w:t>
      </w:r>
      <w:r>
        <w:rPr>
          <w:rFonts w:ascii="Segoe UI"/>
          <w:color w:val="231F20"/>
          <w:spacing w:val="-2"/>
          <w:sz w:val="20"/>
        </w:rPr>
        <w:t>Strait</w:t>
      </w:r>
      <w:r>
        <w:rPr>
          <w:rFonts w:ascii="Segoe UI"/>
          <w:color w:val="231F20"/>
          <w:spacing w:val="-7"/>
          <w:sz w:val="20"/>
        </w:rPr>
        <w:t> </w:t>
      </w:r>
      <w:r>
        <w:rPr>
          <w:rFonts w:ascii="Segoe UI"/>
          <w:color w:val="231F20"/>
          <w:spacing w:val="-1"/>
          <w:sz w:val="20"/>
        </w:rPr>
        <w:t>Islander</w:t>
      </w:r>
      <w:r>
        <w:rPr>
          <w:rFonts w:ascii="Segoe UI"/>
          <w:color w:val="231F20"/>
          <w:spacing w:val="-6"/>
          <w:sz w:val="20"/>
        </w:rPr>
        <w:t> </w:t>
      </w:r>
      <w:r>
        <w:rPr>
          <w:rFonts w:ascii="Segoe UI"/>
          <w:color w:val="231F20"/>
          <w:sz w:val="20"/>
        </w:rPr>
        <w:t>boarding</w:t>
      </w:r>
      <w:r>
        <w:rPr>
          <w:rFonts w:ascii="Segoe UI"/>
          <w:color w:val="231F20"/>
          <w:spacing w:val="21"/>
          <w:w w:val="99"/>
          <w:sz w:val="20"/>
        </w:rPr>
        <w:t> </w:t>
      </w:r>
      <w:r>
        <w:rPr>
          <w:rFonts w:ascii="Segoe UI"/>
          <w:color w:val="231F20"/>
          <w:sz w:val="20"/>
        </w:rPr>
        <w:t>providers</w:t>
      </w:r>
      <w:r>
        <w:rPr>
          <w:rFonts w:ascii="Segoe UI"/>
          <w:color w:val="231F20"/>
          <w:spacing w:val="-6"/>
          <w:sz w:val="20"/>
        </w:rPr>
        <w:t> </w:t>
      </w:r>
      <w:r>
        <w:rPr>
          <w:rFonts w:ascii="Segoe UI"/>
          <w:color w:val="231F20"/>
          <w:sz w:val="20"/>
        </w:rPr>
        <w:t>adopt</w:t>
      </w:r>
      <w:r>
        <w:rPr>
          <w:rFonts w:ascii="Segoe UI"/>
          <w:color w:val="231F20"/>
          <w:spacing w:val="-5"/>
          <w:sz w:val="20"/>
        </w:rPr>
        <w:t> </w:t>
      </w:r>
      <w:r>
        <w:rPr>
          <w:rFonts w:ascii="Segoe UI"/>
          <w:color w:val="231F20"/>
          <w:sz w:val="20"/>
        </w:rPr>
        <w:t>the</w:t>
      </w:r>
      <w:r>
        <w:rPr>
          <w:rFonts w:ascii="Segoe UI"/>
          <w:color w:val="231F20"/>
          <w:spacing w:val="-6"/>
          <w:sz w:val="20"/>
        </w:rPr>
        <w:t> </w:t>
      </w:r>
      <w:r>
        <w:rPr>
          <w:rFonts w:ascii="Segoe UI"/>
          <w:color w:val="231F20"/>
          <w:spacing w:val="-1"/>
          <w:sz w:val="20"/>
        </w:rPr>
        <w:t>Berry</w:t>
      </w:r>
      <w:r>
        <w:rPr>
          <w:rFonts w:ascii="Segoe UI"/>
          <w:color w:val="231F20"/>
          <w:spacing w:val="-4"/>
          <w:sz w:val="20"/>
        </w:rPr>
        <w:t> </w:t>
      </w:r>
      <w:r>
        <w:rPr>
          <w:rFonts w:ascii="Segoe UI"/>
          <w:color w:val="231F20"/>
          <w:spacing w:val="-2"/>
          <w:sz w:val="20"/>
        </w:rPr>
        <w:t>Street</w:t>
      </w:r>
      <w:r>
        <w:rPr>
          <w:rFonts w:ascii="Segoe UI"/>
          <w:color w:val="231F20"/>
          <w:spacing w:val="-6"/>
          <w:sz w:val="20"/>
        </w:rPr>
        <w:t> </w:t>
      </w:r>
      <w:r>
        <w:rPr>
          <w:rFonts w:ascii="Segoe UI"/>
          <w:color w:val="231F20"/>
          <w:spacing w:val="-1"/>
          <w:sz w:val="20"/>
        </w:rPr>
        <w:t>model</w:t>
      </w:r>
      <w:r>
        <w:rPr>
          <w:rFonts w:ascii="Segoe UI"/>
          <w:color w:val="231F20"/>
          <w:spacing w:val="-4"/>
          <w:sz w:val="20"/>
        </w:rPr>
        <w:t> </w:t>
      </w:r>
      <w:r>
        <w:rPr>
          <w:rFonts w:ascii="Segoe UI"/>
          <w:color w:val="231F20"/>
          <w:sz w:val="20"/>
        </w:rPr>
        <w:t>to</w:t>
      </w:r>
      <w:r>
        <w:rPr>
          <w:rFonts w:ascii="Segoe UI"/>
          <w:color w:val="231F20"/>
          <w:spacing w:val="28"/>
          <w:w w:val="99"/>
          <w:sz w:val="20"/>
        </w:rPr>
        <w:t> </w:t>
      </w:r>
      <w:r>
        <w:rPr>
          <w:rFonts w:ascii="Segoe UI"/>
          <w:color w:val="231F20"/>
          <w:sz w:val="20"/>
        </w:rPr>
        <w:t>address</w:t>
      </w:r>
      <w:r>
        <w:rPr>
          <w:rFonts w:ascii="Segoe UI"/>
          <w:color w:val="231F20"/>
          <w:spacing w:val="-10"/>
          <w:sz w:val="20"/>
        </w:rPr>
        <w:t> </w:t>
      </w:r>
      <w:r>
        <w:rPr>
          <w:rFonts w:ascii="Segoe UI"/>
          <w:color w:val="231F20"/>
          <w:sz w:val="20"/>
        </w:rPr>
        <w:t>trauma</w:t>
      </w:r>
      <w:r>
        <w:rPr>
          <w:rFonts w:ascii="Segoe UI"/>
          <w:color w:val="231F20"/>
          <w:spacing w:val="-9"/>
          <w:sz w:val="20"/>
        </w:rPr>
        <w:t> </w:t>
      </w:r>
      <w:r>
        <w:rPr>
          <w:rFonts w:ascii="Segoe UI"/>
          <w:color w:val="231F20"/>
          <w:sz w:val="20"/>
        </w:rPr>
        <w:t>related</w:t>
      </w:r>
      <w:r>
        <w:rPr>
          <w:rFonts w:ascii="Segoe UI"/>
          <w:color w:val="231F20"/>
          <w:spacing w:val="-9"/>
          <w:sz w:val="20"/>
        </w:rPr>
        <w:t> </w:t>
      </w:r>
      <w:r>
        <w:rPr>
          <w:rFonts w:ascii="Segoe UI"/>
          <w:color w:val="231F20"/>
          <w:sz w:val="20"/>
        </w:rPr>
        <w:t>health</w:t>
      </w:r>
      <w:r>
        <w:rPr>
          <w:rFonts w:ascii="Segoe UI"/>
          <w:color w:val="231F20"/>
          <w:spacing w:val="-9"/>
          <w:sz w:val="20"/>
        </w:rPr>
        <w:t> </w:t>
      </w:r>
      <w:r>
        <w:rPr>
          <w:rFonts w:ascii="Segoe UI"/>
          <w:color w:val="231F20"/>
          <w:sz w:val="20"/>
        </w:rPr>
        <w:t>concerns;</w:t>
      </w:r>
      <w:r>
        <w:rPr>
          <w:rFonts w:ascii="Segoe UI"/>
          <w:color w:val="231F20"/>
          <w:w w:val="99"/>
          <w:sz w:val="20"/>
        </w:rPr>
        <w:t> </w:t>
      </w:r>
      <w:r>
        <w:rPr>
          <w:rFonts w:ascii="Segoe UI"/>
          <w:i/>
          <w:color w:val="231F20"/>
          <w:spacing w:val="-1"/>
          <w:sz w:val="20"/>
        </w:rPr>
        <w:t>Trauma-Informed</w:t>
      </w:r>
      <w:r>
        <w:rPr>
          <w:rFonts w:ascii="Segoe UI"/>
          <w:i/>
          <w:color w:val="231F20"/>
          <w:spacing w:val="-2"/>
          <w:sz w:val="20"/>
        </w:rPr>
        <w:t> </w:t>
      </w:r>
      <w:r>
        <w:rPr>
          <w:rFonts w:ascii="Segoe UI"/>
          <w:i/>
          <w:color w:val="231F20"/>
          <w:spacing w:val="-1"/>
          <w:sz w:val="20"/>
        </w:rPr>
        <w:t>Practice</w:t>
      </w:r>
      <w:r>
        <w:rPr>
          <w:rFonts w:ascii="Segoe UI"/>
          <w:i/>
          <w:color w:val="231F20"/>
          <w:spacing w:val="-2"/>
          <w:sz w:val="20"/>
        </w:rPr>
        <w:t> </w:t>
      </w:r>
      <w:r>
        <w:rPr>
          <w:rFonts w:ascii="Segoe UI"/>
          <w:i/>
          <w:color w:val="231F20"/>
          <w:sz w:val="20"/>
        </w:rPr>
        <w:t>for</w:t>
      </w:r>
      <w:r>
        <w:rPr>
          <w:rFonts w:ascii="Segoe UI"/>
          <w:i/>
          <w:color w:val="231F20"/>
          <w:spacing w:val="-2"/>
          <w:sz w:val="20"/>
        </w:rPr>
        <w:t> Working </w:t>
      </w:r>
      <w:r>
        <w:rPr>
          <w:rFonts w:ascii="Segoe UI"/>
          <w:i/>
          <w:color w:val="231F20"/>
          <w:spacing w:val="-1"/>
          <w:sz w:val="20"/>
        </w:rPr>
        <w:t>with</w:t>
      </w:r>
      <w:r>
        <w:rPr>
          <w:rFonts w:ascii="Segoe UI"/>
          <w:i/>
          <w:color w:val="231F20"/>
          <w:spacing w:val="20"/>
          <w:sz w:val="20"/>
        </w:rPr>
        <w:t> </w:t>
      </w:r>
      <w:r>
        <w:rPr>
          <w:rFonts w:ascii="Segoe UI"/>
          <w:i/>
          <w:color w:val="231F20"/>
          <w:spacing w:val="-1"/>
          <w:sz w:val="20"/>
        </w:rPr>
        <w:t>Children,</w:t>
      </w:r>
      <w:r>
        <w:rPr>
          <w:rFonts w:ascii="Segoe UI"/>
          <w:i/>
          <w:color w:val="231F20"/>
          <w:spacing w:val="-5"/>
          <w:sz w:val="20"/>
        </w:rPr>
        <w:t> </w:t>
      </w:r>
      <w:r>
        <w:rPr>
          <w:rFonts w:ascii="Segoe UI"/>
          <w:i/>
          <w:color w:val="231F20"/>
          <w:spacing w:val="-1"/>
          <w:sz w:val="20"/>
        </w:rPr>
        <w:t>Adolescents</w:t>
      </w:r>
      <w:r>
        <w:rPr>
          <w:rFonts w:ascii="Segoe UI"/>
          <w:i/>
          <w:color w:val="231F20"/>
          <w:spacing w:val="-5"/>
          <w:sz w:val="20"/>
        </w:rPr>
        <w:t> </w:t>
      </w:r>
      <w:r>
        <w:rPr>
          <w:rFonts w:ascii="Segoe UI"/>
          <w:i/>
          <w:color w:val="231F20"/>
          <w:sz w:val="20"/>
        </w:rPr>
        <w:t>and</w:t>
      </w:r>
      <w:r>
        <w:rPr>
          <w:rFonts w:ascii="Segoe UI"/>
          <w:i/>
          <w:color w:val="231F20"/>
          <w:spacing w:val="-4"/>
          <w:sz w:val="20"/>
        </w:rPr>
        <w:t> Young </w:t>
      </w:r>
      <w:r>
        <w:rPr>
          <w:rFonts w:ascii="Segoe UI"/>
          <w:i/>
          <w:color w:val="231F20"/>
          <w:spacing w:val="-1"/>
          <w:sz w:val="20"/>
        </w:rPr>
        <w:t>Adults.</w:t>
      </w:r>
      <w:r>
        <w:rPr>
          <w:rFonts w:ascii="Segoe UI Semibold"/>
          <w:b/>
          <w:color w:val="231F20"/>
          <w:spacing w:val="-1"/>
          <w:position w:val="7"/>
          <w:sz w:val="11"/>
        </w:rPr>
        <w:t>70</w:t>
      </w:r>
      <w:r>
        <w:rPr>
          <w:rFonts w:ascii="Segoe UI Semibold"/>
          <w:sz w:val="11"/>
        </w:rPr>
      </w:r>
    </w:p>
    <w:p>
      <w:pPr>
        <w:pStyle w:val="BodyText"/>
        <w:spacing w:line="250" w:lineRule="exact" w:before="113"/>
        <w:ind w:left="100" w:right="325"/>
        <w:jc w:val="left"/>
      </w:pPr>
      <w:r>
        <w:rPr>
          <w:color w:val="231F20"/>
        </w:rPr>
        <w:t>The</w:t>
      </w:r>
      <w:r>
        <w:rPr>
          <w:color w:val="231F20"/>
          <w:spacing w:val="-4"/>
        </w:rPr>
        <w:t> </w:t>
      </w:r>
      <w:r>
        <w:rPr>
          <w:color w:val="231F20"/>
        </w:rPr>
        <w:t>extent</w:t>
      </w:r>
      <w:r>
        <w:rPr>
          <w:color w:val="231F20"/>
          <w:spacing w:val="-3"/>
        </w:rPr>
        <w:t> </w:t>
      </w:r>
      <w:r>
        <w:rPr>
          <w:color w:val="231F20"/>
        </w:rPr>
        <w:t>of</w:t>
      </w:r>
      <w:r>
        <w:rPr>
          <w:color w:val="231F20"/>
          <w:spacing w:val="-3"/>
        </w:rPr>
        <w:t> </w:t>
      </w:r>
      <w:r>
        <w:rPr>
          <w:color w:val="231F20"/>
        </w:rPr>
        <w:t>the</w:t>
      </w:r>
      <w:r>
        <w:rPr>
          <w:color w:val="231F20"/>
          <w:spacing w:val="-4"/>
        </w:rPr>
        <w:t> </w:t>
      </w:r>
      <w:r>
        <w:rPr>
          <w:color w:val="231F20"/>
          <w:spacing w:val="-1"/>
        </w:rPr>
        <w:t>mental</w:t>
      </w:r>
      <w:r>
        <w:rPr>
          <w:color w:val="231F20"/>
          <w:spacing w:val="-3"/>
        </w:rPr>
        <w:t> </w:t>
      </w:r>
      <w:r>
        <w:rPr>
          <w:color w:val="231F20"/>
        </w:rPr>
        <w:t>and</w:t>
      </w:r>
      <w:r>
        <w:rPr>
          <w:color w:val="231F20"/>
          <w:spacing w:val="-5"/>
        </w:rPr>
        <w:t> </w:t>
      </w:r>
      <w:r>
        <w:rPr>
          <w:color w:val="231F20"/>
        </w:rPr>
        <w:t>physical</w:t>
      </w:r>
      <w:r>
        <w:rPr>
          <w:color w:val="231F20"/>
          <w:spacing w:val="-4"/>
        </w:rPr>
        <w:t> </w:t>
      </w:r>
      <w:r>
        <w:rPr>
          <w:color w:val="231F20"/>
        </w:rPr>
        <w:t>health</w:t>
      </w:r>
      <w:r>
        <w:rPr>
          <w:color w:val="231F20"/>
          <w:spacing w:val="21"/>
          <w:w w:val="99"/>
        </w:rPr>
        <w:t> </w:t>
      </w:r>
      <w:r>
        <w:rPr>
          <w:color w:val="231F20"/>
          <w:spacing w:val="-1"/>
        </w:rPr>
        <w:t>issues</w:t>
      </w:r>
      <w:r>
        <w:rPr>
          <w:color w:val="231F20"/>
          <w:spacing w:val="-5"/>
        </w:rPr>
        <w:t> </w:t>
      </w:r>
      <w:r>
        <w:rPr>
          <w:color w:val="231F20"/>
        </w:rPr>
        <w:t>experienced</w:t>
      </w:r>
      <w:r>
        <w:rPr>
          <w:color w:val="231F20"/>
          <w:spacing w:val="-6"/>
        </w:rPr>
        <w:t> </w:t>
      </w:r>
      <w:r>
        <w:rPr>
          <w:color w:val="231F20"/>
        </w:rPr>
        <w:t>by</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w:t>
      </w:r>
      <w:r>
        <w:rPr>
          <w:color w:val="231F20"/>
          <w:spacing w:val="25"/>
          <w:w w:val="99"/>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boarders,</w:t>
      </w:r>
      <w:r>
        <w:rPr>
          <w:color w:val="231F20"/>
          <w:spacing w:val="-7"/>
        </w:rPr>
        <w:t> </w:t>
      </w:r>
      <w:r>
        <w:rPr>
          <w:color w:val="231F20"/>
        </w:rPr>
        <w:t>and</w:t>
      </w:r>
      <w:r>
        <w:rPr>
          <w:color w:val="231F20"/>
          <w:spacing w:val="-6"/>
        </w:rPr>
        <w:t> </w:t>
      </w:r>
      <w:r>
        <w:rPr>
          <w:color w:val="231F20"/>
        </w:rPr>
        <w:t>the</w:t>
      </w:r>
      <w:r>
        <w:rPr>
          <w:color w:val="231F20"/>
          <w:spacing w:val="-7"/>
        </w:rPr>
        <w:t> </w:t>
      </w:r>
      <w:r>
        <w:rPr>
          <w:color w:val="231F20"/>
        </w:rPr>
        <w:t>challenges</w:t>
      </w:r>
      <w:r>
        <w:rPr>
          <w:color w:val="231F20"/>
          <w:spacing w:val="-7"/>
        </w:rPr>
        <w:t> </w:t>
      </w:r>
      <w:r>
        <w:rPr>
          <w:color w:val="231F20"/>
        </w:rPr>
        <w:t>this</w:t>
      </w:r>
      <w:r>
        <w:rPr>
          <w:color w:val="231F20"/>
          <w:spacing w:val="27"/>
        </w:rPr>
        <w:t> </w:t>
      </w:r>
      <w:r>
        <w:rPr>
          <w:color w:val="231F20"/>
        </w:rPr>
        <w:t>presents</w:t>
      </w:r>
      <w:r>
        <w:rPr>
          <w:color w:val="231F20"/>
          <w:spacing w:val="-7"/>
        </w:rPr>
        <w:t> </w:t>
      </w:r>
      <w:r>
        <w:rPr>
          <w:color w:val="231F20"/>
        </w:rPr>
        <w:t>to</w:t>
      </w:r>
      <w:r>
        <w:rPr>
          <w:color w:val="231F20"/>
          <w:spacing w:val="-5"/>
        </w:rPr>
        <w:t> </w:t>
      </w:r>
      <w:r>
        <w:rPr>
          <w:color w:val="231F20"/>
        </w:rPr>
        <w:t>boarding</w:t>
      </w:r>
      <w:r>
        <w:rPr>
          <w:color w:val="231F20"/>
          <w:spacing w:val="-7"/>
        </w:rPr>
        <w:t> </w:t>
      </w:r>
      <w:r>
        <w:rPr>
          <w:color w:val="231F20"/>
        </w:rPr>
        <w:t>providers,</w:t>
      </w:r>
      <w:r>
        <w:rPr>
          <w:color w:val="231F20"/>
          <w:spacing w:val="-6"/>
        </w:rPr>
        <w:t> </w:t>
      </w:r>
      <w:r>
        <w:rPr>
          <w:color w:val="231F20"/>
          <w:spacing w:val="-1"/>
        </w:rPr>
        <w:t>is</w:t>
      </w:r>
      <w:r>
        <w:rPr>
          <w:color w:val="231F20"/>
          <w:spacing w:val="-7"/>
        </w:rPr>
        <w:t> </w:t>
      </w:r>
      <w:r>
        <w:rPr>
          <w:color w:val="231F20"/>
        </w:rPr>
        <w:t>fully</w:t>
      </w:r>
      <w:r>
        <w:rPr>
          <w:color w:val="231F20"/>
          <w:spacing w:val="-6"/>
        </w:rPr>
        <w:t> </w:t>
      </w:r>
      <w:r>
        <w:rPr>
          <w:color w:val="231F20"/>
        </w:rPr>
        <w:t>evident</w:t>
      </w:r>
      <w:r>
        <w:rPr>
          <w:color w:val="231F20"/>
          <w:spacing w:val="21"/>
          <w:w w:val="99"/>
        </w:rPr>
        <w:t> </w:t>
      </w:r>
      <w:r>
        <w:rPr>
          <w:color w:val="231F20"/>
          <w:spacing w:val="-1"/>
        </w:rPr>
        <w:t>in</w:t>
      </w:r>
      <w:r>
        <w:rPr>
          <w:color w:val="231F20"/>
          <w:spacing w:val="-5"/>
        </w:rPr>
        <w:t> </w:t>
      </w:r>
      <w:r>
        <w:rPr>
          <w:color w:val="231F20"/>
        </w:rPr>
        <w:t>the</w:t>
      </w:r>
      <w:r>
        <w:rPr>
          <w:color w:val="231F20"/>
          <w:spacing w:val="-6"/>
        </w:rPr>
        <w:t> </w:t>
      </w:r>
      <w:r>
        <w:rPr>
          <w:color w:val="231F20"/>
        </w:rPr>
        <w:t>following</w:t>
      </w:r>
      <w:r>
        <w:rPr>
          <w:color w:val="231F20"/>
          <w:spacing w:val="-5"/>
        </w:rPr>
        <w:t> </w:t>
      </w:r>
      <w:r>
        <w:rPr>
          <w:color w:val="231F20"/>
        </w:rPr>
        <w:t>case</w:t>
      </w:r>
      <w:r>
        <w:rPr>
          <w:color w:val="231F20"/>
          <w:spacing w:val="-5"/>
        </w:rPr>
        <w:t> </w:t>
      </w:r>
      <w:r>
        <w:rPr>
          <w:color w:val="231F20"/>
          <w:spacing w:val="-1"/>
        </w:rPr>
        <w:t>study</w:t>
      </w:r>
      <w:r>
        <w:rPr>
          <w:color w:val="231F20"/>
          <w:spacing w:val="-5"/>
        </w:rPr>
        <w:t> </w:t>
      </w:r>
      <w:r>
        <w:rPr>
          <w:color w:val="231F20"/>
        </w:rPr>
        <w:t>from</w:t>
      </w:r>
      <w:r>
        <w:rPr>
          <w:color w:val="231F20"/>
          <w:spacing w:val="-5"/>
        </w:rPr>
        <w:t> </w:t>
      </w:r>
      <w:r>
        <w:rPr>
          <w:color w:val="231F20"/>
        </w:rPr>
        <w:t>a</w:t>
      </w:r>
      <w:r>
        <w:rPr>
          <w:color w:val="231F20"/>
          <w:spacing w:val="-4"/>
        </w:rPr>
        <w:t> </w:t>
      </w:r>
      <w:r>
        <w:rPr>
          <w:color w:val="231F20"/>
        </w:rPr>
        <w:t>boarding</w:t>
      </w:r>
      <w:r>
        <w:rPr>
          <w:color w:val="231F20"/>
          <w:spacing w:val="22"/>
          <w:w w:val="99"/>
        </w:rPr>
        <w:t> </w:t>
      </w:r>
      <w:r>
        <w:rPr>
          <w:color w:val="231F20"/>
        </w:rPr>
        <w:t>provider.</w:t>
      </w:r>
      <w:r>
        <w:rPr/>
      </w:r>
    </w:p>
    <w:p>
      <w:pPr>
        <w:spacing w:after="0" w:line="250" w:lineRule="exact"/>
        <w:jc w:val="left"/>
        <w:sectPr>
          <w:type w:val="continuous"/>
          <w:pgSz w:w="11910" w:h="16840"/>
          <w:pgMar w:top="1580" w:bottom="280" w:left="1600" w:right="1120"/>
          <w:cols w:num="2" w:equalWidth="0">
            <w:col w:w="4334" w:space="258"/>
            <w:col w:w="4598"/>
          </w:cols>
        </w:sect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1"/>
          <w:szCs w:val="21"/>
        </w:rPr>
      </w:pPr>
    </w:p>
    <w:p>
      <w:pPr>
        <w:spacing w:after="0" w:line="240" w:lineRule="auto"/>
        <w:rPr>
          <w:rFonts w:ascii="Segoe UI" w:hAnsi="Segoe UI" w:cs="Segoe UI" w:eastAsia="Segoe UI"/>
          <w:sz w:val="21"/>
          <w:szCs w:val="21"/>
        </w:rPr>
        <w:sectPr>
          <w:pgSz w:w="11910" w:h="16840"/>
          <w:pgMar w:header="0" w:footer="691" w:top="1580" w:bottom="880" w:left="1300" w:right="0"/>
        </w:sectPr>
      </w:pPr>
    </w:p>
    <w:p>
      <w:pPr>
        <w:pStyle w:val="Heading6"/>
        <w:spacing w:line="252" w:lineRule="auto"/>
        <w:ind w:left="117" w:right="0"/>
        <w:jc w:val="left"/>
        <w:rPr>
          <w:b w:val="0"/>
          <w:bCs w:val="0"/>
        </w:rPr>
      </w:pPr>
      <w:r>
        <w:rPr/>
        <w:pict>
          <v:group style="position:absolute;margin-left:70.865997pt;margin-top:-126.810997pt;width:524.450pt;height:119.8pt;mso-position-horizontal-relative:page;mso-position-vertical-relative:paragraph;z-index:2656" coordorigin="1417,-2536" coordsize="10489,2396">
            <v:group style="position:absolute;left:1417;top:-2536;width:4536;height:2113" coordorigin="1417,-2536" coordsize="4536,2113">
              <v:shape style="position:absolute;left:1417;top:-2536;width:4536;height:2113" coordorigin="1417,-2536" coordsize="4536,2113" path="m1417,-424l5953,-424,5953,-2536,1417,-2536,1417,-424xe" filled="true" fillcolor="#be5227" stroked="false">
                <v:path arrowok="t"/>
                <v:fill type="solid"/>
              </v:shape>
              <v:shape style="position:absolute;left:1417;top:-2536;width:4535;height:2112" type="#_x0000_t75" stroked="false">
                <v:imagedata r:id="rId39" o:title=""/>
              </v:shape>
            </v:group>
            <v:group style="position:absolute;left:5953;top:-2536;width:5953;height:2113" coordorigin="5953,-2536" coordsize="5953,2113">
              <v:shape style="position:absolute;left:5953;top:-2536;width:5953;height:2113" coordorigin="5953,-2536" coordsize="5953,2113" path="m5953,-424l11906,-424,11906,-2536,5953,-2536,5953,-424xe" filled="true" fillcolor="#be5227" stroked="false">
                <v:path arrowok="t"/>
                <v:fill type="solid"/>
              </v:shape>
              <v:shape style="position:absolute;left:5953;top:-2536;width:5953;height:2112" type="#_x0000_t75" stroked="false">
                <v:imagedata r:id="rId40" o:title=""/>
              </v:shape>
            </v:group>
            <v:group style="position:absolute;left:1701;top:-424;width:10205;height:284" coordorigin="1701,-424" coordsize="10205,284">
              <v:shape style="position:absolute;left:1701;top:-424;width:10205;height:284" coordorigin="1701,-424" coordsize="10205,284" path="m1701,-140l11905,-140,11905,-424,1701,-424,1701,-140xe" filled="true" fillcolor="#97bf3d" stroked="false">
                <v:path arrowok="t"/>
                <v:fill type="solid"/>
              </v:shape>
            </v:group>
            <v:group style="position:absolute;left:1417;top:-424;width:284;height:284" coordorigin="1417,-424" coordsize="284,284">
              <v:shape style="position:absolute;left:1417;top:-424;width:284;height:284" coordorigin="1417,-424" coordsize="284,284" path="m1417,-140l1701,-140,1701,-424,1417,-424,1417,-140xe" filled="true" fillcolor="#67973f" stroked="false">
                <v:path arrowok="t"/>
                <v:fill type="solid"/>
              </v:shape>
              <v:shape style="position:absolute;left:1786;top:-370;width:1053;height:180" type="#_x0000_t202" filled="false" stroked="false">
                <v:textbox inset="0,0,0,0">
                  <w:txbxContent>
                    <w:p>
                      <w:pPr>
                        <w:spacing w:line="180" w:lineRule="exact" w:before="0"/>
                        <w:ind w:left="0" w:right="0" w:firstLine="0"/>
                        <w:jc w:val="left"/>
                        <w:rPr>
                          <w:rFonts w:ascii="Segoe UI" w:hAnsi="Segoe UI" w:cs="Segoe UI" w:eastAsia="Segoe UI"/>
                          <w:sz w:val="18"/>
                          <w:szCs w:val="18"/>
                        </w:rPr>
                      </w:pPr>
                      <w:r>
                        <w:rPr>
                          <w:rFonts w:ascii="Segoe UI"/>
                          <w:b/>
                          <w:i/>
                          <w:color w:val="FFFFFF"/>
                          <w:spacing w:val="-1"/>
                          <w:sz w:val="18"/>
                        </w:rPr>
                        <w:t>Case</w:t>
                      </w:r>
                      <w:r>
                        <w:rPr>
                          <w:rFonts w:ascii="Segoe UI"/>
                          <w:b/>
                          <w:i/>
                          <w:color w:val="FFFFFF"/>
                          <w:spacing w:val="-4"/>
                          <w:sz w:val="18"/>
                        </w:rPr>
                        <w:t> </w:t>
                      </w:r>
                      <w:r>
                        <w:rPr>
                          <w:rFonts w:ascii="Segoe UI"/>
                          <w:b/>
                          <w:i/>
                          <w:color w:val="FFFFFF"/>
                          <w:sz w:val="18"/>
                        </w:rPr>
                        <w:t>study</w:t>
                      </w:r>
                      <w:r>
                        <w:rPr>
                          <w:rFonts w:ascii="Segoe UI"/>
                          <w:b/>
                          <w:i/>
                          <w:color w:val="FFFFFF"/>
                          <w:spacing w:val="-5"/>
                          <w:sz w:val="18"/>
                        </w:rPr>
                        <w:t> </w:t>
                      </w:r>
                      <w:r>
                        <w:rPr>
                          <w:rFonts w:ascii="Segoe UI"/>
                          <w:b/>
                          <w:i/>
                          <w:color w:val="FFFFFF"/>
                          <w:sz w:val="18"/>
                        </w:rPr>
                        <w:t>2</w:t>
                      </w:r>
                      <w:r>
                        <w:rPr>
                          <w:rFonts w:ascii="Segoe UI"/>
                          <w:sz w:val="18"/>
                        </w:rPr>
                      </w:r>
                    </w:p>
                  </w:txbxContent>
                </v:textbox>
                <w10:wrap type="none"/>
              </v:shape>
            </v:group>
            <w10:wrap type="none"/>
          </v:group>
        </w:pict>
      </w:r>
      <w:r>
        <w:rPr>
          <w:color w:val="67973F"/>
          <w:spacing w:val="-1"/>
        </w:rPr>
        <w:t>Health issues</w:t>
      </w:r>
      <w:r>
        <w:rPr>
          <w:color w:val="67973F"/>
        </w:rPr>
        <w:t> </w:t>
      </w:r>
      <w:r>
        <w:rPr>
          <w:color w:val="67973F"/>
          <w:spacing w:val="-1"/>
        </w:rPr>
        <w:t>faced</w:t>
      </w:r>
      <w:r>
        <w:rPr>
          <w:color w:val="67973F"/>
        </w:rPr>
        <w:t> </w:t>
      </w:r>
      <w:r>
        <w:rPr>
          <w:color w:val="67973F"/>
          <w:spacing w:val="-1"/>
        </w:rPr>
        <w:t>by</w:t>
      </w:r>
      <w:r>
        <w:rPr>
          <w:color w:val="67973F"/>
        </w:rPr>
        <w:t> </w:t>
      </w:r>
      <w:r>
        <w:rPr>
          <w:color w:val="67973F"/>
          <w:spacing w:val="-1"/>
        </w:rPr>
        <w:t>Aboriginal</w:t>
      </w:r>
      <w:r>
        <w:rPr>
          <w:color w:val="67973F"/>
        </w:rPr>
        <w:t> </w:t>
      </w:r>
      <w:r>
        <w:rPr>
          <w:color w:val="67973F"/>
          <w:spacing w:val="-1"/>
        </w:rPr>
        <w:t>and</w:t>
      </w:r>
      <w:r>
        <w:rPr>
          <w:color w:val="67973F"/>
          <w:spacing w:val="1"/>
        </w:rPr>
        <w:t> </w:t>
      </w:r>
      <w:r>
        <w:rPr>
          <w:color w:val="67973F"/>
          <w:spacing w:val="-5"/>
        </w:rPr>
        <w:t>T</w:t>
      </w:r>
      <w:r>
        <w:rPr>
          <w:color w:val="67973F"/>
          <w:spacing w:val="-4"/>
        </w:rPr>
        <w:t>orr</w:t>
      </w:r>
      <w:r>
        <w:rPr>
          <w:color w:val="67973F"/>
          <w:spacing w:val="-5"/>
        </w:rPr>
        <w:t>es</w:t>
      </w:r>
      <w:r>
        <w:rPr>
          <w:color w:val="67973F"/>
          <w:spacing w:val="23"/>
          <w:w w:val="99"/>
        </w:rPr>
        <w:t> </w:t>
      </w:r>
      <w:r>
        <w:rPr>
          <w:color w:val="67973F"/>
          <w:spacing w:val="-2"/>
        </w:rPr>
        <w:t>Strait</w:t>
      </w:r>
      <w:r>
        <w:rPr>
          <w:color w:val="67973F"/>
          <w:spacing w:val="-1"/>
        </w:rPr>
        <w:t> </w:t>
      </w:r>
      <w:r>
        <w:rPr>
          <w:color w:val="67973F"/>
        </w:rPr>
        <w:t>Islander</w:t>
      </w:r>
      <w:r>
        <w:rPr>
          <w:color w:val="67973F"/>
          <w:spacing w:val="-2"/>
        </w:rPr>
        <w:t> </w:t>
      </w:r>
      <w:r>
        <w:rPr>
          <w:color w:val="67973F"/>
          <w:spacing w:val="-1"/>
        </w:rPr>
        <w:t>boarders</w:t>
      </w:r>
      <w:r>
        <w:rPr>
          <w:b w:val="0"/>
        </w:rPr>
      </w:r>
    </w:p>
    <w:p>
      <w:pPr>
        <w:spacing w:line="265" w:lineRule="auto" w:before="124"/>
        <w:ind w:left="117" w:right="407" w:firstLine="0"/>
        <w:jc w:val="left"/>
        <w:rPr>
          <w:rFonts w:ascii="Segoe UI Semibold" w:hAnsi="Segoe UI Semibold" w:cs="Segoe UI Semibold" w:eastAsia="Segoe UI Semibold"/>
          <w:sz w:val="11"/>
          <w:szCs w:val="11"/>
        </w:rPr>
      </w:pPr>
      <w:r>
        <w:rPr>
          <w:rFonts w:ascii="Segoe UI"/>
          <w:color w:val="67973F"/>
          <w:sz w:val="19"/>
        </w:rPr>
        <w:t>A</w:t>
      </w:r>
      <w:r>
        <w:rPr>
          <w:rFonts w:ascii="Segoe UI"/>
          <w:color w:val="67973F"/>
          <w:spacing w:val="-7"/>
          <w:sz w:val="19"/>
        </w:rPr>
        <w:t> </w:t>
      </w:r>
      <w:r>
        <w:rPr>
          <w:rFonts w:ascii="Segoe UI"/>
          <w:color w:val="67973F"/>
          <w:sz w:val="19"/>
        </w:rPr>
        <w:t>boarding</w:t>
      </w:r>
      <w:r>
        <w:rPr>
          <w:rFonts w:ascii="Segoe UI"/>
          <w:color w:val="67973F"/>
          <w:spacing w:val="-8"/>
          <w:sz w:val="19"/>
        </w:rPr>
        <w:t> </w:t>
      </w:r>
      <w:r>
        <w:rPr>
          <w:rFonts w:ascii="Segoe UI"/>
          <w:color w:val="67973F"/>
          <w:sz w:val="19"/>
        </w:rPr>
        <w:t>provider</w:t>
      </w:r>
      <w:r>
        <w:rPr>
          <w:rFonts w:ascii="Segoe UI"/>
          <w:color w:val="67973F"/>
          <w:spacing w:val="-7"/>
          <w:sz w:val="19"/>
        </w:rPr>
        <w:t> </w:t>
      </w:r>
      <w:r>
        <w:rPr>
          <w:rFonts w:ascii="Segoe UI"/>
          <w:color w:val="67973F"/>
          <w:sz w:val="19"/>
        </w:rPr>
        <w:t>documented</w:t>
      </w:r>
      <w:r>
        <w:rPr>
          <w:rFonts w:ascii="Segoe UI"/>
          <w:color w:val="67973F"/>
          <w:spacing w:val="-8"/>
          <w:sz w:val="19"/>
        </w:rPr>
        <w:t> </w:t>
      </w:r>
      <w:r>
        <w:rPr>
          <w:rFonts w:ascii="Segoe UI"/>
          <w:color w:val="67973F"/>
          <w:sz w:val="19"/>
        </w:rPr>
        <w:t>the</w:t>
      </w:r>
      <w:r>
        <w:rPr>
          <w:rFonts w:ascii="Segoe UI"/>
          <w:color w:val="67973F"/>
          <w:spacing w:val="-8"/>
          <w:sz w:val="19"/>
        </w:rPr>
        <w:t> </w:t>
      </w:r>
      <w:r>
        <w:rPr>
          <w:rFonts w:ascii="Segoe UI"/>
          <w:color w:val="67973F"/>
          <w:sz w:val="19"/>
        </w:rPr>
        <w:t>health</w:t>
      </w:r>
      <w:r>
        <w:rPr>
          <w:rFonts w:ascii="Segoe UI"/>
          <w:color w:val="67973F"/>
          <w:w w:val="99"/>
          <w:sz w:val="19"/>
        </w:rPr>
        <w:t> </w:t>
      </w:r>
      <w:r>
        <w:rPr>
          <w:rFonts w:ascii="Segoe UI"/>
          <w:color w:val="67973F"/>
          <w:spacing w:val="-1"/>
          <w:sz w:val="19"/>
        </w:rPr>
        <w:t>issues</w:t>
      </w:r>
      <w:r>
        <w:rPr>
          <w:rFonts w:ascii="Segoe UI"/>
          <w:color w:val="67973F"/>
          <w:spacing w:val="-2"/>
          <w:sz w:val="19"/>
        </w:rPr>
        <w:t> </w:t>
      </w:r>
      <w:r>
        <w:rPr>
          <w:rFonts w:ascii="Segoe UI"/>
          <w:color w:val="67973F"/>
          <w:sz w:val="19"/>
        </w:rPr>
        <w:t>of</w:t>
      </w:r>
      <w:r>
        <w:rPr>
          <w:rFonts w:ascii="Segoe UI"/>
          <w:color w:val="67973F"/>
          <w:spacing w:val="-1"/>
          <w:sz w:val="19"/>
        </w:rPr>
        <w:t> its</w:t>
      </w:r>
      <w:r>
        <w:rPr>
          <w:rFonts w:ascii="Segoe UI"/>
          <w:color w:val="67973F"/>
          <w:spacing w:val="-2"/>
          <w:sz w:val="19"/>
        </w:rPr>
        <w:t> </w:t>
      </w:r>
      <w:r>
        <w:rPr>
          <w:rFonts w:ascii="Segoe UI"/>
          <w:color w:val="67973F"/>
          <w:sz w:val="19"/>
        </w:rPr>
        <w:t>boarders</w:t>
      </w:r>
      <w:r>
        <w:rPr>
          <w:rFonts w:ascii="Segoe UI"/>
          <w:color w:val="67973F"/>
          <w:spacing w:val="-2"/>
          <w:sz w:val="19"/>
        </w:rPr>
        <w:t> </w:t>
      </w:r>
      <w:r>
        <w:rPr>
          <w:rFonts w:ascii="Segoe UI"/>
          <w:color w:val="67973F"/>
          <w:spacing w:val="-1"/>
          <w:sz w:val="19"/>
        </w:rPr>
        <w:t>in</w:t>
      </w:r>
      <w:r>
        <w:rPr>
          <w:rFonts w:ascii="Segoe UI"/>
          <w:color w:val="67973F"/>
          <w:spacing w:val="-2"/>
          <w:sz w:val="19"/>
        </w:rPr>
        <w:t> </w:t>
      </w:r>
      <w:r>
        <w:rPr>
          <w:rFonts w:ascii="Segoe UI"/>
          <w:color w:val="67973F"/>
          <w:sz w:val="19"/>
        </w:rPr>
        <w:t>201</w:t>
      </w:r>
      <w:r>
        <w:rPr>
          <w:rFonts w:ascii="Segoe UI"/>
          <w:color w:val="69973E"/>
          <w:sz w:val="19"/>
        </w:rPr>
        <w:t>5/16.</w:t>
      </w:r>
      <w:r>
        <w:rPr>
          <w:rFonts w:ascii="Segoe UI Semibold"/>
          <w:b/>
          <w:color w:val="69973E"/>
          <w:position w:val="7"/>
          <w:sz w:val="11"/>
        </w:rPr>
        <w:t>71</w:t>
      </w:r>
      <w:r>
        <w:rPr>
          <w:rFonts w:ascii="Segoe UI Semibold"/>
          <w:sz w:val="11"/>
        </w:rPr>
      </w:r>
    </w:p>
    <w:p>
      <w:pPr>
        <w:spacing w:line="269" w:lineRule="auto" w:before="113"/>
        <w:ind w:left="117" w:right="407" w:firstLine="0"/>
        <w:jc w:val="left"/>
        <w:rPr>
          <w:rFonts w:ascii="Segoe UI" w:hAnsi="Segoe UI" w:cs="Segoe UI" w:eastAsia="Segoe UI"/>
          <w:sz w:val="19"/>
          <w:szCs w:val="19"/>
        </w:rPr>
      </w:pPr>
      <w:r>
        <w:rPr>
          <w:rFonts w:ascii="Segoe UI"/>
          <w:color w:val="67973F"/>
          <w:spacing w:val="-1"/>
          <w:sz w:val="19"/>
        </w:rPr>
        <w:t>From</w:t>
      </w:r>
      <w:r>
        <w:rPr>
          <w:rFonts w:ascii="Segoe UI"/>
          <w:color w:val="67973F"/>
          <w:spacing w:val="-4"/>
          <w:sz w:val="19"/>
        </w:rPr>
        <w:t> </w:t>
      </w:r>
      <w:r>
        <w:rPr>
          <w:rFonts w:ascii="Segoe UI"/>
          <w:color w:val="67973F"/>
          <w:spacing w:val="-1"/>
          <w:sz w:val="19"/>
        </w:rPr>
        <w:t>September</w:t>
      </w:r>
      <w:r>
        <w:rPr>
          <w:rFonts w:ascii="Segoe UI"/>
          <w:color w:val="67973F"/>
          <w:spacing w:val="-4"/>
          <w:sz w:val="19"/>
        </w:rPr>
        <w:t> </w:t>
      </w:r>
      <w:r>
        <w:rPr>
          <w:rFonts w:ascii="Segoe UI"/>
          <w:color w:val="67973F"/>
          <w:spacing w:val="-1"/>
          <w:sz w:val="19"/>
        </w:rPr>
        <w:t>2015</w:t>
      </w:r>
      <w:r>
        <w:rPr>
          <w:rFonts w:ascii="Segoe UI"/>
          <w:color w:val="67973F"/>
          <w:spacing w:val="-4"/>
          <w:sz w:val="19"/>
        </w:rPr>
        <w:t> </w:t>
      </w:r>
      <w:r>
        <w:rPr>
          <w:rFonts w:ascii="Segoe UI"/>
          <w:color w:val="67973F"/>
          <w:sz w:val="19"/>
        </w:rPr>
        <w:t>to</w:t>
      </w:r>
      <w:r>
        <w:rPr>
          <w:rFonts w:ascii="Segoe UI"/>
          <w:color w:val="67973F"/>
          <w:spacing w:val="-4"/>
          <w:sz w:val="19"/>
        </w:rPr>
        <w:t> </w:t>
      </w:r>
      <w:r>
        <w:rPr>
          <w:rFonts w:ascii="Segoe UI"/>
          <w:color w:val="67973F"/>
          <w:sz w:val="19"/>
        </w:rPr>
        <w:t>November</w:t>
      </w:r>
      <w:r>
        <w:rPr>
          <w:rFonts w:ascii="Segoe UI"/>
          <w:color w:val="67973F"/>
          <w:spacing w:val="-4"/>
          <w:sz w:val="19"/>
        </w:rPr>
        <w:t> </w:t>
      </w:r>
      <w:r>
        <w:rPr>
          <w:rFonts w:ascii="Segoe UI"/>
          <w:color w:val="67973F"/>
          <w:spacing w:val="-1"/>
          <w:sz w:val="19"/>
        </w:rPr>
        <w:t>2016,</w:t>
      </w:r>
      <w:r>
        <w:rPr>
          <w:rFonts w:ascii="Segoe UI"/>
          <w:color w:val="67973F"/>
          <w:spacing w:val="23"/>
          <w:sz w:val="19"/>
        </w:rPr>
        <w:t> </w:t>
      </w:r>
      <w:r>
        <w:rPr>
          <w:rFonts w:ascii="Segoe UI"/>
          <w:color w:val="67973F"/>
          <w:sz w:val="19"/>
        </w:rPr>
        <w:t>181</w:t>
      </w:r>
      <w:r>
        <w:rPr>
          <w:rFonts w:ascii="Segoe UI"/>
          <w:color w:val="67973F"/>
          <w:spacing w:val="-3"/>
          <w:sz w:val="19"/>
        </w:rPr>
        <w:t> </w:t>
      </w:r>
      <w:r>
        <w:rPr>
          <w:rFonts w:ascii="Segoe UI"/>
          <w:color w:val="67973F"/>
          <w:sz w:val="19"/>
        </w:rPr>
        <w:t>young</w:t>
      </w:r>
      <w:r>
        <w:rPr>
          <w:rFonts w:ascii="Segoe UI"/>
          <w:color w:val="67973F"/>
          <w:spacing w:val="-6"/>
          <w:sz w:val="19"/>
        </w:rPr>
        <w:t> </w:t>
      </w:r>
      <w:r>
        <w:rPr>
          <w:rFonts w:ascii="Segoe UI"/>
          <w:color w:val="67973F"/>
          <w:sz w:val="19"/>
        </w:rPr>
        <w:t>people</w:t>
      </w:r>
      <w:r>
        <w:rPr>
          <w:rFonts w:ascii="Segoe UI"/>
          <w:color w:val="67973F"/>
          <w:spacing w:val="-6"/>
          <w:sz w:val="19"/>
        </w:rPr>
        <w:t> </w:t>
      </w:r>
      <w:r>
        <w:rPr>
          <w:rFonts w:ascii="Segoe UI"/>
          <w:color w:val="67973F"/>
          <w:sz w:val="19"/>
        </w:rPr>
        <w:t>across</w:t>
      </w:r>
      <w:r>
        <w:rPr>
          <w:rFonts w:ascii="Segoe UI"/>
          <w:color w:val="67973F"/>
          <w:spacing w:val="-6"/>
          <w:sz w:val="19"/>
        </w:rPr>
        <w:t> </w:t>
      </w:r>
      <w:r>
        <w:rPr>
          <w:rFonts w:ascii="Segoe UI"/>
          <w:color w:val="67973F"/>
          <w:sz w:val="19"/>
        </w:rPr>
        <w:t>the</w:t>
      </w:r>
      <w:r>
        <w:rPr>
          <w:rFonts w:ascii="Segoe UI"/>
          <w:color w:val="67973F"/>
          <w:spacing w:val="-5"/>
          <w:sz w:val="19"/>
        </w:rPr>
        <w:t> </w:t>
      </w:r>
      <w:r>
        <w:rPr>
          <w:rFonts w:ascii="Segoe UI"/>
          <w:color w:val="67973F"/>
          <w:sz w:val="19"/>
        </w:rPr>
        <w:t>primary</w:t>
      </w:r>
      <w:r>
        <w:rPr>
          <w:rFonts w:ascii="Segoe UI"/>
          <w:color w:val="67973F"/>
          <w:spacing w:val="-6"/>
          <w:sz w:val="19"/>
        </w:rPr>
        <w:t> </w:t>
      </w:r>
      <w:r>
        <w:rPr>
          <w:rFonts w:ascii="Segoe UI"/>
          <w:color w:val="67973F"/>
          <w:sz w:val="19"/>
        </w:rPr>
        <w:t>and</w:t>
      </w:r>
      <w:r>
        <w:rPr>
          <w:rFonts w:ascii="Segoe UI"/>
          <w:color w:val="67973F"/>
          <w:w w:val="99"/>
          <w:sz w:val="19"/>
        </w:rPr>
        <w:t> </w:t>
      </w:r>
      <w:r>
        <w:rPr>
          <w:rFonts w:ascii="Segoe UI"/>
          <w:color w:val="67973F"/>
          <w:spacing w:val="-1"/>
          <w:sz w:val="19"/>
        </w:rPr>
        <w:t>secondary</w:t>
      </w:r>
      <w:r>
        <w:rPr>
          <w:rFonts w:ascii="Segoe UI"/>
          <w:color w:val="67973F"/>
          <w:spacing w:val="-4"/>
          <w:sz w:val="19"/>
        </w:rPr>
        <w:t> </w:t>
      </w:r>
      <w:r>
        <w:rPr>
          <w:rFonts w:ascii="Segoe UI"/>
          <w:color w:val="67973F"/>
          <w:spacing w:val="-1"/>
          <w:sz w:val="19"/>
        </w:rPr>
        <w:t>school</w:t>
      </w:r>
      <w:r>
        <w:rPr>
          <w:rFonts w:ascii="Segoe UI"/>
          <w:color w:val="67973F"/>
          <w:spacing w:val="-5"/>
          <w:sz w:val="19"/>
        </w:rPr>
        <w:t> </w:t>
      </w:r>
      <w:r>
        <w:rPr>
          <w:rFonts w:ascii="Segoe UI"/>
          <w:color w:val="67973F"/>
          <w:sz w:val="19"/>
        </w:rPr>
        <w:t>have</w:t>
      </w:r>
      <w:r>
        <w:rPr>
          <w:rFonts w:ascii="Segoe UI"/>
          <w:color w:val="67973F"/>
          <w:spacing w:val="-6"/>
          <w:sz w:val="19"/>
        </w:rPr>
        <w:t> </w:t>
      </w:r>
      <w:r>
        <w:rPr>
          <w:rFonts w:ascii="Segoe UI"/>
          <w:color w:val="67973F"/>
          <w:sz w:val="19"/>
        </w:rPr>
        <w:t>had</w:t>
      </w:r>
      <w:r>
        <w:rPr>
          <w:rFonts w:ascii="Segoe UI"/>
          <w:color w:val="67973F"/>
          <w:spacing w:val="-5"/>
          <w:sz w:val="19"/>
        </w:rPr>
        <w:t> </w:t>
      </w:r>
      <w:r>
        <w:rPr>
          <w:rFonts w:ascii="Segoe UI"/>
          <w:color w:val="67973F"/>
          <w:sz w:val="19"/>
        </w:rPr>
        <w:t>a</w:t>
      </w:r>
      <w:r>
        <w:rPr>
          <w:rFonts w:ascii="Segoe UI"/>
          <w:color w:val="67973F"/>
          <w:spacing w:val="-5"/>
          <w:sz w:val="19"/>
        </w:rPr>
        <w:t> </w:t>
      </w:r>
      <w:r>
        <w:rPr>
          <w:rFonts w:ascii="Segoe UI"/>
          <w:color w:val="67973F"/>
          <w:sz w:val="19"/>
        </w:rPr>
        <w:t>cognitive</w:t>
      </w:r>
      <w:r>
        <w:rPr>
          <w:rFonts w:ascii="Segoe UI"/>
          <w:color w:val="67973F"/>
          <w:spacing w:val="23"/>
          <w:w w:val="99"/>
          <w:sz w:val="19"/>
        </w:rPr>
        <w:t> </w:t>
      </w:r>
      <w:r>
        <w:rPr>
          <w:rFonts w:ascii="Segoe UI"/>
          <w:color w:val="67973F"/>
          <w:sz w:val="19"/>
        </w:rPr>
        <w:t>assessments</w:t>
      </w:r>
      <w:r>
        <w:rPr>
          <w:rFonts w:ascii="Segoe UI"/>
          <w:color w:val="67973F"/>
          <w:spacing w:val="-7"/>
          <w:sz w:val="19"/>
        </w:rPr>
        <w:t> </w:t>
      </w:r>
      <w:r>
        <w:rPr>
          <w:rFonts w:ascii="Segoe UI"/>
          <w:color w:val="67973F"/>
          <w:sz w:val="19"/>
        </w:rPr>
        <w:t>due</w:t>
      </w:r>
      <w:r>
        <w:rPr>
          <w:rFonts w:ascii="Segoe UI"/>
          <w:color w:val="67973F"/>
          <w:spacing w:val="-5"/>
          <w:sz w:val="19"/>
        </w:rPr>
        <w:t> </w:t>
      </w:r>
      <w:r>
        <w:rPr>
          <w:rFonts w:ascii="Segoe UI"/>
          <w:color w:val="67973F"/>
          <w:sz w:val="19"/>
        </w:rPr>
        <w:t>to</w:t>
      </w:r>
      <w:r>
        <w:rPr>
          <w:rFonts w:ascii="Segoe UI"/>
          <w:color w:val="67973F"/>
          <w:spacing w:val="-4"/>
          <w:sz w:val="19"/>
        </w:rPr>
        <w:t> </w:t>
      </w:r>
      <w:r>
        <w:rPr>
          <w:rFonts w:ascii="Segoe UI"/>
          <w:color w:val="67973F"/>
          <w:sz w:val="19"/>
        </w:rPr>
        <w:t>concerns</w:t>
      </w:r>
      <w:r>
        <w:rPr>
          <w:rFonts w:ascii="Segoe UI"/>
          <w:color w:val="67973F"/>
          <w:spacing w:val="-5"/>
          <w:sz w:val="19"/>
        </w:rPr>
        <w:t> </w:t>
      </w:r>
      <w:r>
        <w:rPr>
          <w:rFonts w:ascii="Segoe UI"/>
          <w:color w:val="67973F"/>
          <w:sz w:val="19"/>
        </w:rPr>
        <w:t>about</w:t>
      </w:r>
      <w:r>
        <w:rPr>
          <w:rFonts w:ascii="Segoe UI"/>
          <w:color w:val="67973F"/>
          <w:spacing w:val="-6"/>
          <w:sz w:val="19"/>
        </w:rPr>
        <w:t> </w:t>
      </w:r>
      <w:r>
        <w:rPr>
          <w:rFonts w:ascii="Segoe UI"/>
          <w:color w:val="67973F"/>
          <w:sz w:val="19"/>
        </w:rPr>
        <w:t>their</w:t>
      </w:r>
      <w:r>
        <w:rPr>
          <w:rFonts w:ascii="Segoe UI"/>
          <w:sz w:val="19"/>
        </w:rPr>
      </w:r>
    </w:p>
    <w:p>
      <w:pPr>
        <w:spacing w:line="264" w:lineRule="auto" w:before="0"/>
        <w:ind w:left="117" w:right="0" w:firstLine="0"/>
        <w:jc w:val="left"/>
        <w:rPr>
          <w:rFonts w:ascii="Segoe UI" w:hAnsi="Segoe UI" w:cs="Segoe UI" w:eastAsia="Segoe UI"/>
          <w:sz w:val="19"/>
          <w:szCs w:val="19"/>
        </w:rPr>
      </w:pPr>
      <w:r>
        <w:rPr>
          <w:rFonts w:ascii="Segoe UI"/>
          <w:color w:val="67973F"/>
          <w:sz w:val="19"/>
        </w:rPr>
        <w:t>educational</w:t>
      </w:r>
      <w:r>
        <w:rPr>
          <w:rFonts w:ascii="Segoe UI"/>
          <w:color w:val="67973F"/>
          <w:spacing w:val="-7"/>
          <w:sz w:val="19"/>
        </w:rPr>
        <w:t> </w:t>
      </w:r>
      <w:r>
        <w:rPr>
          <w:rFonts w:ascii="Segoe UI"/>
          <w:color w:val="67973F"/>
          <w:sz w:val="19"/>
        </w:rPr>
        <w:t>progress.</w:t>
      </w:r>
      <w:r>
        <w:rPr>
          <w:rFonts w:ascii="Segoe UI"/>
          <w:color w:val="67973F"/>
          <w:spacing w:val="-7"/>
          <w:sz w:val="19"/>
        </w:rPr>
        <w:t> </w:t>
      </w:r>
      <w:r>
        <w:rPr>
          <w:rFonts w:ascii="Segoe UI"/>
          <w:color w:val="67973F"/>
          <w:sz w:val="19"/>
        </w:rPr>
        <w:t>The</w:t>
      </w:r>
      <w:r>
        <w:rPr>
          <w:rFonts w:ascii="Segoe UI"/>
          <w:color w:val="67973F"/>
          <w:spacing w:val="-5"/>
          <w:sz w:val="19"/>
        </w:rPr>
        <w:t> </w:t>
      </w:r>
      <w:r>
        <w:rPr>
          <w:rFonts w:ascii="Segoe UI"/>
          <w:color w:val="67973F"/>
          <w:sz w:val="19"/>
        </w:rPr>
        <w:t>data</w:t>
      </w:r>
      <w:r>
        <w:rPr>
          <w:rFonts w:ascii="Segoe UI"/>
          <w:color w:val="67973F"/>
          <w:spacing w:val="-7"/>
          <w:sz w:val="19"/>
        </w:rPr>
        <w:t> </w:t>
      </w:r>
      <w:r>
        <w:rPr>
          <w:rFonts w:ascii="Segoe UI"/>
          <w:color w:val="67973F"/>
          <w:sz w:val="19"/>
        </w:rPr>
        <w:t>returned</w:t>
      </w:r>
      <w:r>
        <w:rPr>
          <w:rFonts w:ascii="Segoe UI"/>
          <w:color w:val="67973F"/>
          <w:spacing w:val="-7"/>
          <w:sz w:val="19"/>
        </w:rPr>
        <w:t> </w:t>
      </w:r>
      <w:r>
        <w:rPr>
          <w:rFonts w:ascii="Segoe UI"/>
          <w:color w:val="67973F"/>
          <w:sz w:val="19"/>
        </w:rPr>
        <w:t>for</w:t>
      </w:r>
      <w:r>
        <w:rPr>
          <w:rFonts w:ascii="Segoe UI"/>
          <w:color w:val="67973F"/>
          <w:spacing w:val="-5"/>
          <w:sz w:val="19"/>
        </w:rPr>
        <w:t> </w:t>
      </w:r>
      <w:r>
        <w:rPr>
          <w:rFonts w:ascii="Segoe UI"/>
          <w:color w:val="67973F"/>
          <w:sz w:val="19"/>
        </w:rPr>
        <w:t>these</w:t>
      </w:r>
      <w:r>
        <w:rPr>
          <w:rFonts w:ascii="Segoe UI"/>
          <w:color w:val="67973F"/>
          <w:sz w:val="19"/>
        </w:rPr>
        <w:t> </w:t>
      </w:r>
      <w:r>
        <w:rPr>
          <w:rFonts w:ascii="Segoe UI"/>
          <w:color w:val="67973F"/>
          <w:sz w:val="19"/>
        </w:rPr>
        <w:t>assessments identified 68 students (currently</w:t>
      </w:r>
      <w:r>
        <w:rPr>
          <w:rFonts w:ascii="Segoe UI"/>
          <w:color w:val="67973F"/>
          <w:sz w:val="19"/>
        </w:rPr>
        <w:t> </w:t>
      </w:r>
      <w:r>
        <w:rPr>
          <w:rFonts w:ascii="Segoe UI"/>
          <w:color w:val="67973F"/>
          <w:sz w:val="19"/>
        </w:rPr>
        <w:t>enrolled)</w:t>
      </w:r>
      <w:r>
        <w:rPr>
          <w:rFonts w:ascii="Segoe UI"/>
          <w:color w:val="67973F"/>
          <w:spacing w:val="-8"/>
          <w:sz w:val="19"/>
        </w:rPr>
        <w:t> </w:t>
      </w:r>
      <w:r>
        <w:rPr>
          <w:rFonts w:ascii="Segoe UI"/>
          <w:color w:val="67973F"/>
          <w:sz w:val="19"/>
        </w:rPr>
        <w:t>who</w:t>
      </w:r>
      <w:r>
        <w:rPr>
          <w:rFonts w:ascii="Segoe UI"/>
          <w:color w:val="67973F"/>
          <w:spacing w:val="-7"/>
          <w:sz w:val="19"/>
        </w:rPr>
        <w:t> </w:t>
      </w:r>
      <w:r>
        <w:rPr>
          <w:rFonts w:ascii="Segoe UI"/>
          <w:color w:val="67973F"/>
          <w:sz w:val="19"/>
        </w:rPr>
        <w:t>required</w:t>
      </w:r>
      <w:r>
        <w:rPr>
          <w:rFonts w:ascii="Segoe UI"/>
          <w:color w:val="67973F"/>
          <w:spacing w:val="-8"/>
          <w:sz w:val="19"/>
        </w:rPr>
        <w:t> </w:t>
      </w:r>
      <w:r>
        <w:rPr>
          <w:rFonts w:ascii="Segoe UI"/>
          <w:color w:val="67973F"/>
          <w:spacing w:val="-1"/>
          <w:sz w:val="19"/>
        </w:rPr>
        <w:t>support</w:t>
      </w:r>
      <w:r>
        <w:rPr>
          <w:rFonts w:ascii="Segoe UI"/>
          <w:color w:val="67973F"/>
          <w:spacing w:val="-6"/>
          <w:sz w:val="19"/>
        </w:rPr>
        <w:t> </w:t>
      </w:r>
      <w:r>
        <w:rPr>
          <w:rFonts w:ascii="Segoe UI"/>
          <w:color w:val="67973F"/>
          <w:sz w:val="19"/>
        </w:rPr>
        <w:t>due</w:t>
      </w:r>
      <w:r>
        <w:rPr>
          <w:rFonts w:ascii="Segoe UI"/>
          <w:color w:val="67973F"/>
          <w:spacing w:val="-8"/>
          <w:sz w:val="19"/>
        </w:rPr>
        <w:t> </w:t>
      </w:r>
      <w:r>
        <w:rPr>
          <w:rFonts w:ascii="Segoe UI"/>
          <w:color w:val="67973F"/>
          <w:sz w:val="19"/>
        </w:rPr>
        <w:t>to</w:t>
      </w:r>
      <w:r>
        <w:rPr>
          <w:rFonts w:ascii="Segoe UI"/>
          <w:color w:val="67973F"/>
          <w:spacing w:val="-6"/>
          <w:sz w:val="19"/>
        </w:rPr>
        <w:t> </w:t>
      </w:r>
      <w:r>
        <w:rPr>
          <w:rFonts w:ascii="Segoe UI"/>
          <w:color w:val="67973F"/>
          <w:spacing w:val="-1"/>
          <w:sz w:val="19"/>
        </w:rPr>
        <w:t>intellectual</w:t>
      </w:r>
      <w:r>
        <w:rPr>
          <w:rFonts w:ascii="Segoe UI"/>
          <w:color w:val="67973F"/>
          <w:spacing w:val="21"/>
          <w:w w:val="99"/>
          <w:sz w:val="19"/>
        </w:rPr>
        <w:t> </w:t>
      </w:r>
      <w:r>
        <w:rPr>
          <w:rFonts w:ascii="Segoe UI"/>
          <w:color w:val="67973F"/>
          <w:sz w:val="19"/>
        </w:rPr>
        <w:t>disability</w:t>
      </w:r>
      <w:r>
        <w:rPr>
          <w:rFonts w:ascii="Segoe UI"/>
          <w:color w:val="67973F"/>
          <w:spacing w:val="-3"/>
          <w:sz w:val="19"/>
        </w:rPr>
        <w:t> </w:t>
      </w:r>
      <w:r>
        <w:rPr>
          <w:rFonts w:ascii="Segoe UI"/>
          <w:color w:val="67973F"/>
          <w:sz w:val="19"/>
        </w:rPr>
        <w:t>and</w:t>
      </w:r>
      <w:r>
        <w:rPr>
          <w:rFonts w:ascii="Segoe UI"/>
          <w:color w:val="67973F"/>
          <w:spacing w:val="-2"/>
          <w:sz w:val="19"/>
        </w:rPr>
        <w:t> </w:t>
      </w:r>
      <w:r>
        <w:rPr>
          <w:rFonts w:ascii="Segoe UI"/>
          <w:color w:val="67973F"/>
          <w:spacing w:val="-1"/>
          <w:sz w:val="19"/>
        </w:rPr>
        <w:t>112 students </w:t>
      </w:r>
      <w:r>
        <w:rPr>
          <w:rFonts w:ascii="Segoe UI"/>
          <w:color w:val="67973F"/>
          <w:sz w:val="19"/>
        </w:rPr>
        <w:t>with</w:t>
      </w:r>
      <w:r>
        <w:rPr>
          <w:rFonts w:ascii="Segoe UI"/>
          <w:color w:val="67973F"/>
          <w:spacing w:val="-2"/>
          <w:sz w:val="19"/>
        </w:rPr>
        <w:t> </w:t>
      </w:r>
      <w:r>
        <w:rPr>
          <w:rFonts w:ascii="Segoe UI"/>
          <w:color w:val="67973F"/>
          <w:spacing w:val="-1"/>
          <w:sz w:val="19"/>
        </w:rPr>
        <w:t>social </w:t>
      </w:r>
      <w:r>
        <w:rPr>
          <w:rFonts w:ascii="Segoe UI"/>
          <w:color w:val="67973F"/>
          <w:sz w:val="19"/>
        </w:rPr>
        <w:t>emotional</w:t>
      </w:r>
      <w:r>
        <w:rPr>
          <w:rFonts w:ascii="Segoe UI"/>
          <w:color w:val="67973F"/>
          <w:spacing w:val="24"/>
          <w:sz w:val="19"/>
        </w:rPr>
        <w:t> </w:t>
      </w:r>
      <w:r>
        <w:rPr>
          <w:rFonts w:ascii="Segoe UI"/>
          <w:color w:val="67973F"/>
          <w:spacing w:val="-1"/>
          <w:sz w:val="19"/>
        </w:rPr>
        <w:t>disorder</w:t>
      </w:r>
      <w:r>
        <w:rPr>
          <w:rFonts w:ascii="Segoe UI"/>
          <w:color w:val="67973F"/>
          <w:spacing w:val="-1"/>
          <w:sz w:val="19"/>
        </w:rPr>
        <w:t>s</w:t>
      </w:r>
      <w:r>
        <w:rPr>
          <w:rFonts w:ascii="Segoe UI"/>
          <w:color w:val="67973F"/>
          <w:sz w:val="19"/>
        </w:rPr>
        <w:t> </w:t>
      </w:r>
      <w:r>
        <w:rPr>
          <w:rFonts w:ascii="Segoe UI"/>
          <w:color w:val="67973F"/>
          <w:sz w:val="19"/>
        </w:rPr>
        <w:t>who required verification paperwork to</w:t>
      </w:r>
      <w:r>
        <w:rPr>
          <w:rFonts w:ascii="Segoe UI"/>
          <w:color w:val="67973F"/>
          <w:spacing w:val="28"/>
          <w:sz w:val="19"/>
        </w:rPr>
        <w:t> </w:t>
      </w:r>
      <w:r>
        <w:rPr>
          <w:rFonts w:ascii="Segoe UI"/>
          <w:color w:val="67973F"/>
          <w:sz w:val="19"/>
        </w:rPr>
        <w:t>be</w:t>
      </w:r>
      <w:r>
        <w:rPr>
          <w:rFonts w:ascii="Segoe UI"/>
          <w:color w:val="67973F"/>
          <w:spacing w:val="-4"/>
          <w:sz w:val="19"/>
        </w:rPr>
        <w:t> </w:t>
      </w:r>
      <w:r>
        <w:rPr>
          <w:rFonts w:ascii="Segoe UI"/>
          <w:color w:val="67973F"/>
          <w:sz w:val="19"/>
        </w:rPr>
        <w:t>completed</w:t>
      </w:r>
      <w:r>
        <w:rPr>
          <w:rFonts w:ascii="Segoe UI"/>
          <w:color w:val="67973F"/>
          <w:spacing w:val="-4"/>
          <w:sz w:val="19"/>
        </w:rPr>
        <w:t> </w:t>
      </w:r>
      <w:r>
        <w:rPr>
          <w:rFonts w:ascii="Segoe UI"/>
          <w:color w:val="67973F"/>
          <w:sz w:val="19"/>
        </w:rPr>
        <w:t>and</w:t>
      </w:r>
      <w:r>
        <w:rPr>
          <w:rFonts w:ascii="Segoe UI"/>
          <w:color w:val="67973F"/>
          <w:spacing w:val="-5"/>
          <w:sz w:val="19"/>
        </w:rPr>
        <w:t> </w:t>
      </w:r>
      <w:r>
        <w:rPr>
          <w:rFonts w:ascii="Segoe UI"/>
          <w:color w:val="67973F"/>
          <w:spacing w:val="-1"/>
          <w:sz w:val="19"/>
        </w:rPr>
        <w:t>submitted</w:t>
      </w:r>
      <w:r>
        <w:rPr>
          <w:rFonts w:ascii="Segoe UI"/>
          <w:color w:val="67973F"/>
          <w:spacing w:val="-3"/>
          <w:sz w:val="19"/>
        </w:rPr>
        <w:t> </w:t>
      </w:r>
      <w:r>
        <w:rPr>
          <w:rFonts w:ascii="Segoe UI"/>
          <w:color w:val="67973F"/>
          <w:sz w:val="19"/>
        </w:rPr>
        <w:t>to</w:t>
      </w:r>
      <w:r>
        <w:rPr>
          <w:rFonts w:ascii="Segoe UI"/>
          <w:color w:val="67973F"/>
          <w:spacing w:val="-4"/>
          <w:sz w:val="19"/>
        </w:rPr>
        <w:t> </w:t>
      </w:r>
      <w:r>
        <w:rPr>
          <w:rFonts w:ascii="Segoe UI"/>
          <w:color w:val="67973F"/>
          <w:spacing w:val="-1"/>
          <w:sz w:val="19"/>
        </w:rPr>
        <w:t>ISQ</w:t>
      </w:r>
      <w:r>
        <w:rPr>
          <w:rFonts w:ascii="Segoe UI"/>
          <w:color w:val="67973F"/>
          <w:spacing w:val="-3"/>
          <w:sz w:val="19"/>
        </w:rPr>
        <w:t> </w:t>
      </w:r>
      <w:r>
        <w:rPr>
          <w:rFonts w:ascii="Segoe UI"/>
          <w:color w:val="67973F"/>
          <w:sz w:val="19"/>
        </w:rPr>
        <w:t>for</w:t>
      </w:r>
      <w:r>
        <w:rPr>
          <w:rFonts w:ascii="Segoe UI"/>
          <w:color w:val="67973F"/>
          <w:spacing w:val="-4"/>
          <w:sz w:val="19"/>
        </w:rPr>
        <w:t> </w:t>
      </w:r>
      <w:r>
        <w:rPr>
          <w:rFonts w:ascii="Segoe UI"/>
          <w:color w:val="67973F"/>
          <w:sz w:val="19"/>
        </w:rPr>
        <w:t>further</w:t>
      </w:r>
      <w:r>
        <w:rPr>
          <w:rFonts w:ascii="Segoe UI"/>
          <w:color w:val="67973F"/>
          <w:spacing w:val="23"/>
          <w:w w:val="99"/>
          <w:sz w:val="19"/>
        </w:rPr>
        <w:t> </w:t>
      </w:r>
      <w:r>
        <w:rPr>
          <w:rFonts w:ascii="Segoe UI"/>
          <w:color w:val="67973F"/>
          <w:sz w:val="19"/>
        </w:rPr>
        <w:t>funding</w:t>
      </w:r>
      <w:r>
        <w:rPr>
          <w:rFonts w:ascii="Segoe UI"/>
          <w:color w:val="67973F"/>
          <w:spacing w:val="-7"/>
          <w:sz w:val="19"/>
        </w:rPr>
        <w:t> </w:t>
      </w:r>
      <w:r>
        <w:rPr>
          <w:rFonts w:ascii="Segoe UI"/>
          <w:color w:val="67973F"/>
          <w:sz w:val="19"/>
        </w:rPr>
        <w:t>to</w:t>
      </w:r>
      <w:r>
        <w:rPr>
          <w:rFonts w:ascii="Segoe UI"/>
          <w:color w:val="67973F"/>
          <w:spacing w:val="-6"/>
          <w:sz w:val="19"/>
        </w:rPr>
        <w:t> </w:t>
      </w:r>
      <w:r>
        <w:rPr>
          <w:rFonts w:ascii="Segoe UI"/>
          <w:color w:val="67973F"/>
          <w:spacing w:val="-1"/>
          <w:sz w:val="19"/>
        </w:rPr>
        <w:t>support</w:t>
      </w:r>
      <w:r>
        <w:rPr>
          <w:rFonts w:ascii="Segoe UI"/>
          <w:color w:val="67973F"/>
          <w:spacing w:val="-7"/>
          <w:sz w:val="19"/>
        </w:rPr>
        <w:t> </w:t>
      </w:r>
      <w:r>
        <w:rPr>
          <w:rFonts w:ascii="Segoe UI"/>
          <w:color w:val="67973F"/>
          <w:sz w:val="19"/>
        </w:rPr>
        <w:t>their</w:t>
      </w:r>
      <w:r>
        <w:rPr>
          <w:rFonts w:ascii="Segoe UI"/>
          <w:color w:val="67973F"/>
          <w:spacing w:val="-7"/>
          <w:sz w:val="19"/>
        </w:rPr>
        <w:t> </w:t>
      </w:r>
      <w:r>
        <w:rPr>
          <w:rFonts w:ascii="Segoe UI"/>
          <w:color w:val="67973F"/>
          <w:spacing w:val="-1"/>
          <w:sz w:val="19"/>
        </w:rPr>
        <w:t>learning.</w:t>
      </w:r>
      <w:r>
        <w:rPr>
          <w:rFonts w:ascii="Segoe UI"/>
          <w:sz w:val="19"/>
        </w:rPr>
      </w:r>
    </w:p>
    <w:p>
      <w:pPr>
        <w:spacing w:before="115"/>
        <w:ind w:left="117" w:right="0" w:firstLine="0"/>
        <w:jc w:val="left"/>
        <w:rPr>
          <w:rFonts w:ascii="Segoe UI" w:hAnsi="Segoe UI" w:cs="Segoe UI" w:eastAsia="Segoe UI"/>
          <w:sz w:val="19"/>
          <w:szCs w:val="19"/>
        </w:rPr>
      </w:pPr>
      <w:r>
        <w:rPr>
          <w:rFonts w:ascii="Segoe UI" w:hAnsi="Segoe UI" w:cs="Segoe UI" w:eastAsia="Segoe UI"/>
          <w:color w:val="67973F"/>
          <w:spacing w:val="-1"/>
          <w:sz w:val="19"/>
          <w:szCs w:val="19"/>
        </w:rPr>
        <w:t>Speech</w:t>
      </w:r>
      <w:r>
        <w:rPr>
          <w:rFonts w:ascii="Segoe UI" w:hAnsi="Segoe UI" w:cs="Segoe UI" w:eastAsia="Segoe UI"/>
          <w:color w:val="67973F"/>
          <w:spacing w:val="-3"/>
          <w:sz w:val="19"/>
          <w:szCs w:val="19"/>
        </w:rPr>
        <w:t> </w:t>
      </w:r>
      <w:r>
        <w:rPr>
          <w:rFonts w:ascii="Segoe UI" w:hAnsi="Segoe UI" w:cs="Segoe UI" w:eastAsia="Segoe UI"/>
          <w:color w:val="67973F"/>
          <w:sz w:val="19"/>
          <w:szCs w:val="19"/>
        </w:rPr>
        <w:t>assessments</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in</w:t>
      </w:r>
      <w:r>
        <w:rPr>
          <w:rFonts w:ascii="Segoe UI" w:hAnsi="Segoe UI" w:cs="Segoe UI" w:eastAsia="Segoe UI"/>
          <w:color w:val="67973F"/>
          <w:spacing w:val="-2"/>
          <w:sz w:val="19"/>
          <w:szCs w:val="19"/>
        </w:rPr>
        <w:t> </w:t>
      </w:r>
      <w:r>
        <w:rPr>
          <w:rFonts w:ascii="Segoe UI" w:hAnsi="Segoe UI" w:cs="Segoe UI" w:eastAsia="Segoe UI"/>
          <w:color w:val="67973F"/>
          <w:spacing w:val="-1"/>
          <w:sz w:val="19"/>
          <w:szCs w:val="19"/>
        </w:rPr>
        <w:t>2016</w:t>
      </w:r>
      <w:r>
        <w:rPr>
          <w:rFonts w:ascii="Segoe UI" w:hAnsi="Segoe UI" w:cs="Segoe UI" w:eastAsia="Segoe UI"/>
          <w:color w:val="67973F"/>
          <w:spacing w:val="-3"/>
          <w:sz w:val="19"/>
          <w:szCs w:val="19"/>
        </w:rPr>
        <w:t> </w:t>
      </w:r>
      <w:r>
        <w:rPr>
          <w:rFonts w:ascii="Segoe UI" w:hAnsi="Segoe UI" w:cs="Segoe UI" w:eastAsia="Segoe UI"/>
          <w:color w:val="67973F"/>
          <w:sz w:val="19"/>
          <w:szCs w:val="19"/>
        </w:rPr>
        <w:t>–</w:t>
      </w:r>
      <w:r>
        <w:rPr>
          <w:rFonts w:ascii="Segoe UI" w:hAnsi="Segoe UI" w:cs="Segoe UI" w:eastAsia="Segoe UI"/>
          <w:color w:val="67973F"/>
          <w:spacing w:val="-2"/>
          <w:sz w:val="19"/>
          <w:szCs w:val="19"/>
        </w:rPr>
        <w:t> </w:t>
      </w:r>
      <w:r>
        <w:rPr>
          <w:rFonts w:ascii="Segoe UI" w:hAnsi="Segoe UI" w:cs="Segoe UI" w:eastAsia="Segoe UI"/>
          <w:color w:val="67973F"/>
          <w:sz w:val="19"/>
          <w:szCs w:val="19"/>
        </w:rPr>
        <w:t>we</w:t>
      </w:r>
      <w:r>
        <w:rPr>
          <w:rFonts w:ascii="Segoe UI" w:hAnsi="Segoe UI" w:cs="Segoe UI" w:eastAsia="Segoe UI"/>
          <w:color w:val="67973F"/>
          <w:spacing w:val="-4"/>
          <w:sz w:val="19"/>
          <w:szCs w:val="19"/>
        </w:rPr>
        <w:t> </w:t>
      </w:r>
      <w:r>
        <w:rPr>
          <w:rFonts w:ascii="Segoe UI" w:hAnsi="Segoe UI" w:cs="Segoe UI" w:eastAsia="Segoe UI"/>
          <w:color w:val="67973F"/>
          <w:sz w:val="19"/>
          <w:szCs w:val="19"/>
        </w:rPr>
        <w:t>received</w:t>
      </w:r>
      <w:r>
        <w:rPr>
          <w:rFonts w:ascii="Segoe UI" w:hAnsi="Segoe UI" w:cs="Segoe UI" w:eastAsia="Segoe UI"/>
          <w:sz w:val="19"/>
          <w:szCs w:val="19"/>
        </w:rPr>
      </w:r>
    </w:p>
    <w:p>
      <w:pPr>
        <w:spacing w:line="264" w:lineRule="auto" w:before="35"/>
        <w:ind w:left="117" w:right="0" w:firstLine="0"/>
        <w:jc w:val="left"/>
        <w:rPr>
          <w:rFonts w:ascii="Segoe UI" w:hAnsi="Segoe UI" w:cs="Segoe UI" w:eastAsia="Segoe UI"/>
          <w:sz w:val="19"/>
          <w:szCs w:val="19"/>
        </w:rPr>
      </w:pPr>
      <w:r>
        <w:rPr>
          <w:rFonts w:ascii="Segoe UI"/>
          <w:color w:val="67973F"/>
          <w:sz w:val="19"/>
        </w:rPr>
        <w:t>18</w:t>
      </w:r>
      <w:r>
        <w:rPr>
          <w:rFonts w:ascii="Segoe UI"/>
          <w:color w:val="67973F"/>
          <w:spacing w:val="-4"/>
          <w:sz w:val="19"/>
        </w:rPr>
        <w:t> </w:t>
      </w:r>
      <w:r>
        <w:rPr>
          <w:rFonts w:ascii="Segoe UI"/>
          <w:color w:val="67973F"/>
          <w:spacing w:val="-1"/>
          <w:sz w:val="19"/>
        </w:rPr>
        <w:t>speech</w:t>
      </w:r>
      <w:r>
        <w:rPr>
          <w:rFonts w:ascii="Segoe UI"/>
          <w:color w:val="67973F"/>
          <w:spacing w:val="-5"/>
          <w:sz w:val="19"/>
        </w:rPr>
        <w:t> </w:t>
      </w:r>
      <w:r>
        <w:rPr>
          <w:rFonts w:ascii="Segoe UI"/>
          <w:color w:val="67973F"/>
          <w:sz w:val="19"/>
        </w:rPr>
        <w:t>assessment</w:t>
      </w:r>
      <w:r>
        <w:rPr>
          <w:rFonts w:ascii="Segoe UI"/>
          <w:color w:val="67973F"/>
          <w:spacing w:val="-6"/>
          <w:sz w:val="19"/>
        </w:rPr>
        <w:t> </w:t>
      </w:r>
      <w:r>
        <w:rPr>
          <w:rFonts w:ascii="Segoe UI"/>
          <w:color w:val="67973F"/>
          <w:sz w:val="19"/>
        </w:rPr>
        <w:t>reports</w:t>
      </w:r>
      <w:r>
        <w:rPr>
          <w:rFonts w:ascii="Segoe UI"/>
          <w:color w:val="67973F"/>
          <w:spacing w:val="-6"/>
          <w:sz w:val="19"/>
        </w:rPr>
        <w:t> </w:t>
      </w:r>
      <w:r>
        <w:rPr>
          <w:rFonts w:ascii="Segoe UI"/>
          <w:color w:val="67973F"/>
          <w:sz w:val="19"/>
        </w:rPr>
        <w:t>following</w:t>
      </w:r>
      <w:r>
        <w:rPr>
          <w:rFonts w:ascii="Segoe UI"/>
          <w:color w:val="67973F"/>
          <w:spacing w:val="-5"/>
          <w:sz w:val="19"/>
        </w:rPr>
        <w:t> </w:t>
      </w:r>
      <w:r>
        <w:rPr>
          <w:rFonts w:ascii="Segoe UI"/>
          <w:color w:val="67973F"/>
          <w:spacing w:val="-1"/>
          <w:sz w:val="19"/>
        </w:rPr>
        <w:t>speech</w:t>
      </w:r>
      <w:r>
        <w:rPr>
          <w:rFonts w:ascii="Segoe UI"/>
          <w:color w:val="67973F"/>
          <w:spacing w:val="21"/>
          <w:w w:val="99"/>
          <w:sz w:val="19"/>
        </w:rPr>
        <w:t> </w:t>
      </w:r>
      <w:r>
        <w:rPr>
          <w:rFonts w:ascii="Segoe UI"/>
          <w:color w:val="67973F"/>
          <w:sz w:val="19"/>
        </w:rPr>
        <w:t>assessments</w:t>
      </w:r>
      <w:r>
        <w:rPr>
          <w:rFonts w:ascii="Segoe UI"/>
          <w:color w:val="67973F"/>
          <w:spacing w:val="-8"/>
          <w:sz w:val="19"/>
        </w:rPr>
        <w:t> </w:t>
      </w:r>
      <w:r>
        <w:rPr>
          <w:rFonts w:ascii="Segoe UI"/>
          <w:color w:val="67973F"/>
          <w:sz w:val="19"/>
        </w:rPr>
        <w:t>completed</w:t>
      </w:r>
      <w:r>
        <w:rPr>
          <w:rFonts w:ascii="Segoe UI"/>
          <w:color w:val="67973F"/>
          <w:spacing w:val="-6"/>
          <w:sz w:val="19"/>
        </w:rPr>
        <w:t> </w:t>
      </w:r>
      <w:r>
        <w:rPr>
          <w:rFonts w:ascii="Segoe UI"/>
          <w:color w:val="67973F"/>
          <w:sz w:val="19"/>
        </w:rPr>
        <w:t>by</w:t>
      </w:r>
      <w:r>
        <w:rPr>
          <w:rFonts w:ascii="Segoe UI"/>
          <w:color w:val="67973F"/>
          <w:spacing w:val="-5"/>
          <w:sz w:val="19"/>
        </w:rPr>
        <w:t> </w:t>
      </w:r>
      <w:r>
        <w:rPr>
          <w:rFonts w:ascii="Segoe UI"/>
          <w:color w:val="67973F"/>
          <w:sz w:val="19"/>
        </w:rPr>
        <w:t>a</w:t>
      </w:r>
      <w:r>
        <w:rPr>
          <w:rFonts w:ascii="Segoe UI"/>
          <w:color w:val="67973F"/>
          <w:spacing w:val="-6"/>
          <w:sz w:val="19"/>
        </w:rPr>
        <w:t> </w:t>
      </w:r>
      <w:r>
        <w:rPr>
          <w:rFonts w:ascii="Segoe UI"/>
          <w:color w:val="67973F"/>
          <w:spacing w:val="-1"/>
          <w:sz w:val="19"/>
        </w:rPr>
        <w:t>speech</w:t>
      </w:r>
      <w:r>
        <w:rPr>
          <w:rFonts w:ascii="Segoe UI"/>
          <w:color w:val="67973F"/>
          <w:spacing w:val="-5"/>
          <w:sz w:val="19"/>
        </w:rPr>
        <w:t> </w:t>
      </w:r>
      <w:r>
        <w:rPr>
          <w:rFonts w:ascii="Segoe UI"/>
          <w:color w:val="67973F"/>
          <w:sz w:val="19"/>
        </w:rPr>
        <w:t>therapists.</w:t>
      </w:r>
      <w:r>
        <w:rPr>
          <w:rFonts w:ascii="Segoe UI"/>
          <w:color w:val="67973F"/>
          <w:spacing w:val="21"/>
          <w:w w:val="99"/>
          <w:sz w:val="19"/>
        </w:rPr>
        <w:t> </w:t>
      </w:r>
      <w:r>
        <w:rPr>
          <w:rFonts w:ascii="Segoe UI"/>
          <w:color w:val="67973F"/>
          <w:sz w:val="19"/>
        </w:rPr>
        <w:t>There</w:t>
      </w:r>
      <w:r>
        <w:rPr>
          <w:rFonts w:ascii="Segoe UI"/>
          <w:color w:val="67973F"/>
          <w:spacing w:val="-5"/>
          <w:sz w:val="19"/>
        </w:rPr>
        <w:t> </w:t>
      </w:r>
      <w:r>
        <w:rPr>
          <w:rFonts w:ascii="Segoe UI"/>
          <w:color w:val="67973F"/>
          <w:sz w:val="19"/>
        </w:rPr>
        <w:t>are</w:t>
      </w:r>
      <w:r>
        <w:rPr>
          <w:rFonts w:ascii="Segoe UI"/>
          <w:color w:val="67973F"/>
          <w:spacing w:val="-6"/>
          <w:sz w:val="19"/>
        </w:rPr>
        <w:t> </w:t>
      </w:r>
      <w:r>
        <w:rPr>
          <w:rFonts w:ascii="Segoe UI"/>
          <w:color w:val="67973F"/>
          <w:sz w:val="19"/>
        </w:rPr>
        <w:t>a</w:t>
      </w:r>
      <w:r>
        <w:rPr>
          <w:rFonts w:ascii="Segoe UI"/>
          <w:color w:val="67973F"/>
          <w:spacing w:val="-5"/>
          <w:sz w:val="19"/>
        </w:rPr>
        <w:t> </w:t>
      </w:r>
      <w:r>
        <w:rPr>
          <w:rFonts w:ascii="Segoe UI"/>
          <w:color w:val="67973F"/>
          <w:sz w:val="19"/>
        </w:rPr>
        <w:t>number</w:t>
      </w:r>
      <w:r>
        <w:rPr>
          <w:rFonts w:ascii="Segoe UI"/>
          <w:color w:val="67973F"/>
          <w:spacing w:val="-6"/>
          <w:sz w:val="19"/>
        </w:rPr>
        <w:t> </w:t>
      </w:r>
      <w:r>
        <w:rPr>
          <w:rFonts w:ascii="Segoe UI"/>
          <w:color w:val="67973F"/>
          <w:sz w:val="19"/>
        </w:rPr>
        <w:t>of</w:t>
      </w:r>
      <w:r>
        <w:rPr>
          <w:rFonts w:ascii="Segoe UI"/>
          <w:color w:val="67973F"/>
          <w:spacing w:val="-4"/>
          <w:sz w:val="19"/>
        </w:rPr>
        <w:t> </w:t>
      </w:r>
      <w:r>
        <w:rPr>
          <w:rFonts w:ascii="Segoe UI"/>
          <w:color w:val="67973F"/>
          <w:sz w:val="19"/>
        </w:rPr>
        <w:t>children</w:t>
      </w:r>
      <w:r>
        <w:rPr>
          <w:rFonts w:ascii="Segoe UI"/>
          <w:color w:val="67973F"/>
          <w:spacing w:val="-6"/>
          <w:sz w:val="19"/>
        </w:rPr>
        <w:t> </w:t>
      </w:r>
      <w:r>
        <w:rPr>
          <w:rFonts w:ascii="Segoe UI"/>
          <w:color w:val="67973F"/>
          <w:sz w:val="19"/>
        </w:rPr>
        <w:t>with</w:t>
      </w:r>
      <w:r>
        <w:rPr>
          <w:rFonts w:ascii="Segoe UI"/>
          <w:color w:val="67973F"/>
          <w:spacing w:val="-6"/>
          <w:sz w:val="19"/>
        </w:rPr>
        <w:t> </w:t>
      </w:r>
      <w:r>
        <w:rPr>
          <w:rFonts w:ascii="Segoe UI"/>
          <w:color w:val="67973F"/>
          <w:spacing w:val="-1"/>
          <w:sz w:val="19"/>
        </w:rPr>
        <w:t>speech/</w:t>
      </w:r>
      <w:r>
        <w:rPr>
          <w:rFonts w:ascii="Segoe UI"/>
          <w:color w:val="67973F"/>
          <w:spacing w:val="20"/>
          <w:w w:val="99"/>
          <w:sz w:val="19"/>
        </w:rPr>
        <w:t> </w:t>
      </w:r>
      <w:r>
        <w:rPr>
          <w:rFonts w:ascii="Segoe UI"/>
          <w:color w:val="67973F"/>
          <w:spacing w:val="-1"/>
          <w:sz w:val="19"/>
        </w:rPr>
        <w:t>language</w:t>
      </w:r>
      <w:r>
        <w:rPr>
          <w:rFonts w:ascii="Segoe UI"/>
          <w:color w:val="67973F"/>
          <w:spacing w:val="-8"/>
          <w:sz w:val="19"/>
        </w:rPr>
        <w:t> </w:t>
      </w:r>
      <w:r>
        <w:rPr>
          <w:rFonts w:ascii="Segoe UI"/>
          <w:color w:val="67973F"/>
          <w:sz w:val="19"/>
        </w:rPr>
        <w:t>delays</w:t>
      </w:r>
      <w:r>
        <w:rPr>
          <w:rFonts w:ascii="Segoe UI"/>
          <w:color w:val="67973F"/>
          <w:spacing w:val="-8"/>
          <w:sz w:val="19"/>
        </w:rPr>
        <w:t> </w:t>
      </w:r>
      <w:r>
        <w:rPr>
          <w:rFonts w:ascii="Segoe UI"/>
          <w:color w:val="67973F"/>
          <w:sz w:val="19"/>
        </w:rPr>
        <w:t>which</w:t>
      </w:r>
      <w:r>
        <w:rPr>
          <w:rFonts w:ascii="Segoe UI"/>
          <w:color w:val="67973F"/>
          <w:spacing w:val="-9"/>
          <w:sz w:val="19"/>
        </w:rPr>
        <w:t> </w:t>
      </w:r>
      <w:r>
        <w:rPr>
          <w:rFonts w:ascii="Segoe UI"/>
          <w:color w:val="67973F"/>
          <w:sz w:val="19"/>
        </w:rPr>
        <w:t>required</w:t>
      </w:r>
      <w:r>
        <w:rPr>
          <w:rFonts w:ascii="Segoe UI"/>
          <w:color w:val="67973F"/>
          <w:spacing w:val="-8"/>
          <w:sz w:val="19"/>
        </w:rPr>
        <w:t> </w:t>
      </w:r>
      <w:r>
        <w:rPr>
          <w:rFonts w:ascii="Segoe UI"/>
          <w:color w:val="67973F"/>
          <w:sz w:val="19"/>
        </w:rPr>
        <w:t>weekly</w:t>
      </w:r>
      <w:r>
        <w:rPr>
          <w:rFonts w:ascii="Segoe UI"/>
          <w:color w:val="67973F"/>
          <w:spacing w:val="-9"/>
          <w:sz w:val="19"/>
        </w:rPr>
        <w:t> </w:t>
      </w:r>
      <w:r>
        <w:rPr>
          <w:rFonts w:ascii="Segoe UI"/>
          <w:color w:val="67973F"/>
          <w:sz w:val="19"/>
        </w:rPr>
        <w:t>therapy</w:t>
      </w:r>
      <w:r>
        <w:rPr>
          <w:rFonts w:ascii="Segoe UI"/>
          <w:color w:val="67973F"/>
          <w:spacing w:val="22"/>
          <w:w w:val="99"/>
          <w:sz w:val="19"/>
        </w:rPr>
        <w:t> </w:t>
      </w:r>
      <w:r>
        <w:rPr>
          <w:rFonts w:ascii="Segoe UI"/>
          <w:color w:val="67973F"/>
          <w:sz w:val="19"/>
        </w:rPr>
        <w:t>but</w:t>
      </w:r>
      <w:r>
        <w:rPr>
          <w:rFonts w:ascii="Segoe UI"/>
          <w:color w:val="67973F"/>
          <w:spacing w:val="-4"/>
          <w:sz w:val="19"/>
        </w:rPr>
        <w:t> </w:t>
      </w:r>
      <w:r>
        <w:rPr>
          <w:rFonts w:ascii="Segoe UI"/>
          <w:color w:val="67973F"/>
          <w:sz w:val="19"/>
        </w:rPr>
        <w:t>at</w:t>
      </w:r>
      <w:r>
        <w:rPr>
          <w:rFonts w:ascii="Segoe UI"/>
          <w:color w:val="67973F"/>
          <w:spacing w:val="-3"/>
          <w:sz w:val="19"/>
        </w:rPr>
        <w:t> </w:t>
      </w:r>
      <w:r>
        <w:rPr>
          <w:rFonts w:ascii="Segoe UI"/>
          <w:color w:val="67973F"/>
          <w:sz w:val="19"/>
        </w:rPr>
        <w:t>this</w:t>
      </w:r>
      <w:r>
        <w:rPr>
          <w:rFonts w:ascii="Segoe UI"/>
          <w:color w:val="67973F"/>
          <w:spacing w:val="-3"/>
          <w:sz w:val="19"/>
        </w:rPr>
        <w:t> </w:t>
      </w:r>
      <w:r>
        <w:rPr>
          <w:rFonts w:ascii="Segoe UI"/>
          <w:color w:val="67973F"/>
          <w:sz w:val="19"/>
        </w:rPr>
        <w:t>time</w:t>
      </w:r>
      <w:r>
        <w:rPr>
          <w:rFonts w:ascii="Segoe UI"/>
          <w:color w:val="67973F"/>
          <w:spacing w:val="-4"/>
          <w:sz w:val="19"/>
        </w:rPr>
        <w:t> </w:t>
      </w:r>
      <w:r>
        <w:rPr>
          <w:rFonts w:ascii="Segoe UI"/>
          <w:color w:val="67973F"/>
          <w:sz w:val="19"/>
        </w:rPr>
        <w:t>we</w:t>
      </w:r>
      <w:r>
        <w:rPr>
          <w:rFonts w:ascii="Segoe UI"/>
          <w:color w:val="67973F"/>
          <w:spacing w:val="-4"/>
          <w:sz w:val="19"/>
        </w:rPr>
        <w:t> </w:t>
      </w:r>
      <w:r>
        <w:rPr>
          <w:rFonts w:ascii="Segoe UI"/>
          <w:color w:val="67973F"/>
          <w:sz w:val="19"/>
        </w:rPr>
        <w:t>are</w:t>
      </w:r>
      <w:r>
        <w:rPr>
          <w:rFonts w:ascii="Segoe UI"/>
          <w:color w:val="67973F"/>
          <w:spacing w:val="-3"/>
          <w:sz w:val="19"/>
        </w:rPr>
        <w:t> </w:t>
      </w:r>
      <w:r>
        <w:rPr>
          <w:rFonts w:ascii="Segoe UI"/>
          <w:color w:val="67973F"/>
          <w:sz w:val="19"/>
        </w:rPr>
        <w:t>not</w:t>
      </w:r>
      <w:r>
        <w:rPr>
          <w:rFonts w:ascii="Segoe UI"/>
          <w:color w:val="67973F"/>
          <w:spacing w:val="-3"/>
          <w:sz w:val="19"/>
        </w:rPr>
        <w:t> </w:t>
      </w:r>
      <w:r>
        <w:rPr>
          <w:rFonts w:ascii="Segoe UI"/>
          <w:color w:val="67973F"/>
          <w:sz w:val="19"/>
        </w:rPr>
        <w:t>funded</w:t>
      </w:r>
      <w:r>
        <w:rPr>
          <w:rFonts w:ascii="Segoe UI"/>
          <w:color w:val="67973F"/>
          <w:spacing w:val="-3"/>
          <w:sz w:val="19"/>
        </w:rPr>
        <w:t> </w:t>
      </w:r>
      <w:r>
        <w:rPr>
          <w:rFonts w:ascii="Segoe UI"/>
          <w:color w:val="67973F"/>
          <w:sz w:val="19"/>
        </w:rPr>
        <w:t>to</w:t>
      </w:r>
      <w:r>
        <w:rPr>
          <w:rFonts w:ascii="Segoe UI"/>
          <w:color w:val="67973F"/>
          <w:spacing w:val="-2"/>
          <w:sz w:val="19"/>
        </w:rPr>
        <w:t> </w:t>
      </w:r>
      <w:r>
        <w:rPr>
          <w:rFonts w:ascii="Segoe UI"/>
          <w:color w:val="67973F"/>
          <w:spacing w:val="-1"/>
          <w:sz w:val="19"/>
        </w:rPr>
        <w:t>support</w:t>
      </w:r>
      <w:r>
        <w:rPr>
          <w:rFonts w:ascii="Segoe UI"/>
          <w:color w:val="67973F"/>
          <w:spacing w:val="-3"/>
          <w:sz w:val="19"/>
        </w:rPr>
        <w:t> </w:t>
      </w:r>
      <w:r>
        <w:rPr>
          <w:rFonts w:ascii="Segoe UI"/>
          <w:color w:val="67973F"/>
          <w:sz w:val="19"/>
        </w:rPr>
        <w:t>this.</w:t>
      </w:r>
      <w:r>
        <w:rPr>
          <w:rFonts w:ascii="Segoe UI"/>
          <w:sz w:val="19"/>
        </w:rPr>
      </w:r>
    </w:p>
    <w:p>
      <w:pPr>
        <w:spacing w:line="265" w:lineRule="auto" w:before="115"/>
        <w:ind w:left="117" w:right="10" w:firstLine="0"/>
        <w:jc w:val="left"/>
        <w:rPr>
          <w:rFonts w:ascii="Segoe UI" w:hAnsi="Segoe UI" w:cs="Segoe UI" w:eastAsia="Segoe UI"/>
          <w:sz w:val="19"/>
          <w:szCs w:val="19"/>
        </w:rPr>
      </w:pPr>
      <w:r>
        <w:rPr>
          <w:rFonts w:ascii="Segoe UI"/>
          <w:color w:val="67973F"/>
          <w:spacing w:val="-2"/>
          <w:sz w:val="19"/>
        </w:rPr>
        <w:t>Twelve</w:t>
      </w:r>
      <w:r>
        <w:rPr>
          <w:rFonts w:ascii="Segoe UI"/>
          <w:color w:val="67973F"/>
          <w:spacing w:val="-6"/>
          <w:sz w:val="19"/>
        </w:rPr>
        <w:t> </w:t>
      </w:r>
      <w:r>
        <w:rPr>
          <w:rFonts w:ascii="Segoe UI"/>
          <w:color w:val="67973F"/>
          <w:spacing w:val="-1"/>
          <w:sz w:val="19"/>
        </w:rPr>
        <w:t>students</w:t>
      </w:r>
      <w:r>
        <w:rPr>
          <w:rFonts w:ascii="Segoe UI"/>
          <w:color w:val="67973F"/>
          <w:spacing w:val="-4"/>
          <w:sz w:val="19"/>
        </w:rPr>
        <w:t> </w:t>
      </w:r>
      <w:r>
        <w:rPr>
          <w:rFonts w:ascii="Segoe UI"/>
          <w:color w:val="67973F"/>
          <w:sz w:val="19"/>
        </w:rPr>
        <w:t>who</w:t>
      </w:r>
      <w:r>
        <w:rPr>
          <w:rFonts w:ascii="Segoe UI"/>
          <w:color w:val="67973F"/>
          <w:spacing w:val="-6"/>
          <w:sz w:val="19"/>
        </w:rPr>
        <w:t> </w:t>
      </w:r>
      <w:r>
        <w:rPr>
          <w:rFonts w:ascii="Segoe UI"/>
          <w:color w:val="67973F"/>
          <w:sz w:val="19"/>
        </w:rPr>
        <w:t>have</w:t>
      </w:r>
      <w:r>
        <w:rPr>
          <w:rFonts w:ascii="Segoe UI"/>
          <w:color w:val="67973F"/>
          <w:spacing w:val="-5"/>
          <w:sz w:val="19"/>
        </w:rPr>
        <w:t> </w:t>
      </w:r>
      <w:r>
        <w:rPr>
          <w:rFonts w:ascii="Segoe UI"/>
          <w:color w:val="67973F"/>
          <w:sz w:val="19"/>
        </w:rPr>
        <w:t>failed</w:t>
      </w:r>
      <w:r>
        <w:rPr>
          <w:rFonts w:ascii="Segoe UI"/>
          <w:color w:val="67973F"/>
          <w:spacing w:val="-4"/>
          <w:sz w:val="19"/>
        </w:rPr>
        <w:t> </w:t>
      </w:r>
      <w:r>
        <w:rPr>
          <w:rFonts w:ascii="Segoe UI"/>
          <w:color w:val="67973F"/>
          <w:sz w:val="19"/>
        </w:rPr>
        <w:t>their</w:t>
      </w:r>
      <w:r>
        <w:rPr>
          <w:rFonts w:ascii="Segoe UI"/>
          <w:color w:val="67973F"/>
          <w:spacing w:val="-6"/>
          <w:sz w:val="19"/>
        </w:rPr>
        <w:t> </w:t>
      </w:r>
      <w:r>
        <w:rPr>
          <w:rFonts w:ascii="Segoe UI"/>
          <w:color w:val="67973F"/>
          <w:sz w:val="19"/>
        </w:rPr>
        <w:t>hearing</w:t>
      </w:r>
      <w:r>
        <w:rPr>
          <w:rFonts w:ascii="Segoe UI"/>
          <w:color w:val="67973F"/>
          <w:spacing w:val="-5"/>
          <w:sz w:val="19"/>
        </w:rPr>
        <w:t> </w:t>
      </w:r>
      <w:r>
        <w:rPr>
          <w:rFonts w:ascii="Segoe UI"/>
          <w:color w:val="67973F"/>
          <w:sz w:val="19"/>
        </w:rPr>
        <w:t>re-</w:t>
      </w:r>
      <w:r>
        <w:rPr>
          <w:rFonts w:ascii="Segoe UI"/>
          <w:color w:val="67973F"/>
          <w:spacing w:val="23"/>
          <w:w w:val="99"/>
          <w:sz w:val="19"/>
        </w:rPr>
        <w:t> </w:t>
      </w:r>
      <w:r>
        <w:rPr>
          <w:rFonts w:ascii="Segoe UI"/>
          <w:color w:val="67973F"/>
          <w:spacing w:val="-1"/>
          <w:sz w:val="19"/>
        </w:rPr>
        <w:t>screening</w:t>
      </w:r>
      <w:r>
        <w:rPr>
          <w:rFonts w:ascii="Segoe UI"/>
          <w:color w:val="67973F"/>
          <w:spacing w:val="-4"/>
          <w:sz w:val="19"/>
        </w:rPr>
        <w:t> </w:t>
      </w:r>
      <w:r>
        <w:rPr>
          <w:rFonts w:ascii="Segoe UI"/>
          <w:color w:val="67973F"/>
          <w:sz w:val="19"/>
        </w:rPr>
        <w:t>have</w:t>
      </w:r>
      <w:r>
        <w:rPr>
          <w:rFonts w:ascii="Segoe UI"/>
          <w:color w:val="67973F"/>
          <w:spacing w:val="-6"/>
          <w:sz w:val="19"/>
        </w:rPr>
        <w:t> </w:t>
      </w:r>
      <w:r>
        <w:rPr>
          <w:rFonts w:ascii="Segoe UI"/>
          <w:color w:val="67973F"/>
          <w:sz w:val="19"/>
        </w:rPr>
        <w:t>been</w:t>
      </w:r>
      <w:r>
        <w:rPr>
          <w:rFonts w:ascii="Segoe UI"/>
          <w:color w:val="67973F"/>
          <w:spacing w:val="-5"/>
          <w:sz w:val="19"/>
        </w:rPr>
        <w:t> </w:t>
      </w:r>
      <w:r>
        <w:rPr>
          <w:rFonts w:ascii="Segoe UI"/>
          <w:color w:val="67973F"/>
          <w:sz w:val="19"/>
        </w:rPr>
        <w:t>referred</w:t>
      </w:r>
      <w:r>
        <w:rPr>
          <w:rFonts w:ascii="Segoe UI"/>
          <w:color w:val="67973F"/>
          <w:spacing w:val="-6"/>
          <w:sz w:val="19"/>
        </w:rPr>
        <w:t> </w:t>
      </w:r>
      <w:r>
        <w:rPr>
          <w:rFonts w:ascii="Segoe UI"/>
          <w:color w:val="67973F"/>
          <w:sz w:val="19"/>
        </w:rPr>
        <w:t>to</w:t>
      </w:r>
      <w:r>
        <w:rPr>
          <w:rFonts w:ascii="Segoe UI"/>
          <w:color w:val="67973F"/>
          <w:spacing w:val="-5"/>
          <w:sz w:val="19"/>
        </w:rPr>
        <w:t> </w:t>
      </w:r>
      <w:r>
        <w:rPr>
          <w:rFonts w:ascii="Segoe UI"/>
          <w:color w:val="67973F"/>
          <w:sz w:val="19"/>
        </w:rPr>
        <w:t>a</w:t>
      </w:r>
      <w:r>
        <w:rPr>
          <w:rFonts w:ascii="Segoe UI"/>
          <w:color w:val="67973F"/>
          <w:spacing w:val="-4"/>
          <w:sz w:val="19"/>
        </w:rPr>
        <w:t> </w:t>
      </w:r>
      <w:r>
        <w:rPr>
          <w:rFonts w:ascii="Segoe UI"/>
          <w:color w:val="67973F"/>
          <w:sz w:val="19"/>
        </w:rPr>
        <w:t>doctor.</w:t>
      </w:r>
      <w:r>
        <w:rPr>
          <w:rFonts w:ascii="Segoe UI"/>
          <w:color w:val="67973F"/>
          <w:spacing w:val="-6"/>
          <w:sz w:val="19"/>
        </w:rPr>
        <w:t> </w:t>
      </w:r>
      <w:r>
        <w:rPr>
          <w:rFonts w:ascii="Segoe UI"/>
          <w:color w:val="67973F"/>
          <w:spacing w:val="-1"/>
          <w:sz w:val="19"/>
        </w:rPr>
        <w:t>Four</w:t>
      </w:r>
      <w:r>
        <w:rPr>
          <w:rFonts w:ascii="Segoe UI"/>
          <w:color w:val="67973F"/>
          <w:spacing w:val="-4"/>
          <w:sz w:val="19"/>
        </w:rPr>
        <w:t> </w:t>
      </w:r>
      <w:r>
        <w:rPr>
          <w:rFonts w:ascii="Segoe UI"/>
          <w:color w:val="67973F"/>
          <w:sz w:val="19"/>
        </w:rPr>
        <w:t>of</w:t>
      </w:r>
      <w:r>
        <w:rPr>
          <w:rFonts w:ascii="Segoe UI"/>
          <w:color w:val="67973F"/>
          <w:spacing w:val="23"/>
          <w:w w:val="99"/>
          <w:sz w:val="19"/>
        </w:rPr>
        <w:t> </w:t>
      </w:r>
      <w:r>
        <w:rPr>
          <w:rFonts w:ascii="Segoe UI"/>
          <w:color w:val="67973F"/>
          <w:sz w:val="19"/>
        </w:rPr>
        <w:t>these</w:t>
      </w:r>
      <w:r>
        <w:rPr>
          <w:rFonts w:ascii="Segoe UI"/>
          <w:color w:val="67973F"/>
          <w:spacing w:val="-3"/>
          <w:sz w:val="19"/>
        </w:rPr>
        <w:t> </w:t>
      </w:r>
      <w:r>
        <w:rPr>
          <w:rFonts w:ascii="Segoe UI"/>
          <w:color w:val="67973F"/>
          <w:spacing w:val="-1"/>
          <w:sz w:val="19"/>
        </w:rPr>
        <w:t>students</w:t>
      </w:r>
      <w:r>
        <w:rPr>
          <w:rFonts w:ascii="Segoe UI"/>
          <w:color w:val="67973F"/>
          <w:spacing w:val="-2"/>
          <w:sz w:val="19"/>
        </w:rPr>
        <w:t> </w:t>
      </w:r>
      <w:r>
        <w:rPr>
          <w:rFonts w:ascii="Segoe UI"/>
          <w:color w:val="67973F"/>
          <w:sz w:val="19"/>
        </w:rPr>
        <w:t>were</w:t>
      </w:r>
      <w:r>
        <w:rPr>
          <w:rFonts w:ascii="Segoe UI"/>
          <w:color w:val="67973F"/>
          <w:spacing w:val="-3"/>
          <w:sz w:val="19"/>
        </w:rPr>
        <w:t> </w:t>
      </w:r>
      <w:r>
        <w:rPr>
          <w:rFonts w:ascii="Segoe UI"/>
          <w:color w:val="67973F"/>
          <w:sz w:val="19"/>
        </w:rPr>
        <w:t>to</w:t>
      </w:r>
      <w:r>
        <w:rPr>
          <w:rFonts w:ascii="Segoe UI"/>
          <w:color w:val="67973F"/>
          <w:spacing w:val="-2"/>
          <w:sz w:val="19"/>
        </w:rPr>
        <w:t> </w:t>
      </w:r>
      <w:r>
        <w:rPr>
          <w:rFonts w:ascii="Segoe UI"/>
          <w:color w:val="67973F"/>
          <w:sz w:val="19"/>
        </w:rPr>
        <w:t>attend</w:t>
      </w:r>
      <w:r>
        <w:rPr>
          <w:rFonts w:ascii="Segoe UI"/>
          <w:color w:val="67973F"/>
          <w:spacing w:val="-3"/>
          <w:sz w:val="19"/>
        </w:rPr>
        <w:t> </w:t>
      </w:r>
      <w:r>
        <w:rPr>
          <w:rFonts w:ascii="Segoe UI"/>
          <w:color w:val="67973F"/>
          <w:sz w:val="19"/>
        </w:rPr>
        <w:t>a</w:t>
      </w:r>
      <w:r>
        <w:rPr>
          <w:rFonts w:ascii="Segoe UI"/>
          <w:color w:val="67973F"/>
          <w:spacing w:val="-2"/>
          <w:sz w:val="19"/>
        </w:rPr>
        <w:t> </w:t>
      </w:r>
      <w:r>
        <w:rPr>
          <w:rFonts w:ascii="Segoe UI"/>
          <w:color w:val="67973F"/>
          <w:spacing w:val="-1"/>
          <w:sz w:val="19"/>
        </w:rPr>
        <w:t>special</w:t>
      </w:r>
      <w:r>
        <w:rPr>
          <w:rFonts w:ascii="Segoe UI"/>
          <w:color w:val="67973F"/>
          <w:spacing w:val="-2"/>
          <w:sz w:val="19"/>
        </w:rPr>
        <w:t> </w:t>
      </w:r>
      <w:r>
        <w:rPr>
          <w:rFonts w:ascii="Segoe UI"/>
          <w:color w:val="67973F"/>
          <w:sz w:val="19"/>
        </w:rPr>
        <w:t>clinic</w:t>
      </w:r>
      <w:r>
        <w:rPr>
          <w:rFonts w:ascii="Segoe UI"/>
          <w:color w:val="67973F"/>
          <w:spacing w:val="-3"/>
          <w:sz w:val="19"/>
        </w:rPr>
        <w:t> </w:t>
      </w:r>
      <w:r>
        <w:rPr>
          <w:rFonts w:ascii="Segoe UI"/>
          <w:color w:val="67973F"/>
          <w:sz w:val="19"/>
        </w:rPr>
        <w:t>but</w:t>
      </w:r>
      <w:r>
        <w:rPr>
          <w:rFonts w:ascii="Segoe UI"/>
          <w:color w:val="67973F"/>
          <w:spacing w:val="23"/>
          <w:w w:val="99"/>
          <w:sz w:val="19"/>
        </w:rPr>
        <w:t> </w:t>
      </w:r>
      <w:r>
        <w:rPr>
          <w:rFonts w:ascii="Segoe UI"/>
          <w:color w:val="67973F"/>
          <w:sz w:val="19"/>
        </w:rPr>
        <w:t>only</w:t>
      </w:r>
      <w:r>
        <w:rPr>
          <w:rFonts w:ascii="Segoe UI"/>
          <w:color w:val="67973F"/>
          <w:spacing w:val="-5"/>
          <w:sz w:val="19"/>
        </w:rPr>
        <w:t> </w:t>
      </w:r>
      <w:r>
        <w:rPr>
          <w:rFonts w:ascii="Segoe UI"/>
          <w:color w:val="67973F"/>
          <w:sz w:val="19"/>
        </w:rPr>
        <w:t>3</w:t>
      </w:r>
      <w:r>
        <w:rPr>
          <w:rFonts w:ascii="Segoe UI"/>
          <w:color w:val="67973F"/>
          <w:spacing w:val="-3"/>
          <w:sz w:val="19"/>
        </w:rPr>
        <w:t> </w:t>
      </w:r>
      <w:r>
        <w:rPr>
          <w:rFonts w:ascii="Segoe UI"/>
          <w:color w:val="67973F"/>
          <w:sz w:val="19"/>
        </w:rPr>
        <w:t>attended.</w:t>
      </w:r>
      <w:r>
        <w:rPr>
          <w:rFonts w:ascii="Segoe UI"/>
          <w:color w:val="67973F"/>
          <w:spacing w:val="-5"/>
          <w:sz w:val="19"/>
        </w:rPr>
        <w:t> </w:t>
      </w:r>
      <w:r>
        <w:rPr>
          <w:rFonts w:ascii="Segoe UI"/>
          <w:color w:val="67973F"/>
          <w:sz w:val="19"/>
        </w:rPr>
        <w:t>According</w:t>
      </w:r>
      <w:r>
        <w:rPr>
          <w:rFonts w:ascii="Segoe UI"/>
          <w:color w:val="67973F"/>
          <w:spacing w:val="-3"/>
          <w:sz w:val="19"/>
        </w:rPr>
        <w:t> </w:t>
      </w:r>
      <w:r>
        <w:rPr>
          <w:rFonts w:ascii="Segoe UI"/>
          <w:color w:val="67973F"/>
          <w:sz w:val="19"/>
        </w:rPr>
        <w:t>to</w:t>
      </w:r>
      <w:r>
        <w:rPr>
          <w:rFonts w:ascii="Segoe UI"/>
          <w:color w:val="67973F"/>
          <w:spacing w:val="-4"/>
          <w:sz w:val="19"/>
        </w:rPr>
        <w:t> </w:t>
      </w:r>
      <w:r>
        <w:rPr>
          <w:rFonts w:ascii="Segoe UI"/>
          <w:color w:val="67973F"/>
          <w:sz w:val="19"/>
        </w:rPr>
        <w:t>the</w:t>
      </w:r>
      <w:r>
        <w:rPr>
          <w:rFonts w:ascii="Segoe UI"/>
          <w:color w:val="67973F"/>
          <w:spacing w:val="-4"/>
          <w:sz w:val="19"/>
        </w:rPr>
        <w:t> </w:t>
      </w:r>
      <w:r>
        <w:rPr>
          <w:rFonts w:ascii="Segoe UI"/>
          <w:color w:val="67973F"/>
          <w:sz w:val="19"/>
        </w:rPr>
        <w:t>assessments,</w:t>
      </w:r>
      <w:r>
        <w:rPr>
          <w:rFonts w:ascii="Segoe UI"/>
          <w:color w:val="67973F"/>
          <w:spacing w:val="-4"/>
          <w:sz w:val="19"/>
        </w:rPr>
        <w:t> </w:t>
      </w:r>
      <w:r>
        <w:rPr>
          <w:rFonts w:ascii="Segoe UI"/>
          <w:color w:val="67973F"/>
          <w:spacing w:val="-4"/>
          <w:sz w:val="19"/>
        </w:rPr>
      </w:r>
      <w:r>
        <w:rPr>
          <w:rFonts w:ascii="Segoe UI"/>
          <w:color w:val="67973F"/>
          <w:sz w:val="19"/>
        </w:rPr>
        <w:t>all</w:t>
      </w:r>
      <w:r>
        <w:rPr>
          <w:rFonts w:ascii="Segoe UI"/>
          <w:color w:val="67973F"/>
          <w:spacing w:val="-1"/>
          <w:sz w:val="19"/>
        </w:rPr>
        <w:t> </w:t>
      </w:r>
      <w:r>
        <w:rPr>
          <w:rFonts w:ascii="Segoe UI"/>
          <w:color w:val="67973F"/>
          <w:sz w:val="19"/>
        </w:rPr>
        <w:t>of</w:t>
      </w:r>
      <w:r>
        <w:rPr>
          <w:rFonts w:ascii="Segoe UI"/>
          <w:color w:val="67973F"/>
          <w:spacing w:val="-4"/>
          <w:sz w:val="19"/>
        </w:rPr>
        <w:t> </w:t>
      </w:r>
      <w:r>
        <w:rPr>
          <w:rFonts w:ascii="Segoe UI"/>
          <w:color w:val="67973F"/>
          <w:sz w:val="19"/>
        </w:rPr>
        <w:t>these</w:t>
      </w:r>
      <w:r>
        <w:rPr>
          <w:rFonts w:ascii="Segoe UI"/>
          <w:color w:val="67973F"/>
          <w:spacing w:val="-5"/>
          <w:sz w:val="19"/>
        </w:rPr>
        <w:t> </w:t>
      </w:r>
      <w:r>
        <w:rPr>
          <w:rFonts w:ascii="Segoe UI"/>
          <w:color w:val="67973F"/>
          <w:spacing w:val="-1"/>
          <w:sz w:val="19"/>
        </w:rPr>
        <w:t>students</w:t>
      </w:r>
      <w:r>
        <w:rPr>
          <w:rFonts w:ascii="Segoe UI"/>
          <w:color w:val="67973F"/>
          <w:spacing w:val="-3"/>
          <w:sz w:val="19"/>
        </w:rPr>
        <w:t> </w:t>
      </w:r>
      <w:r>
        <w:rPr>
          <w:rFonts w:ascii="Segoe UI"/>
          <w:color w:val="67973F"/>
          <w:sz w:val="19"/>
        </w:rPr>
        <w:t>will</w:t>
      </w:r>
      <w:r>
        <w:rPr>
          <w:rFonts w:ascii="Segoe UI"/>
          <w:color w:val="67973F"/>
          <w:spacing w:val="-5"/>
          <w:sz w:val="19"/>
        </w:rPr>
        <w:t> </w:t>
      </w:r>
      <w:r>
        <w:rPr>
          <w:rFonts w:ascii="Segoe UI"/>
          <w:color w:val="67973F"/>
          <w:sz w:val="19"/>
        </w:rPr>
        <w:t>probably</w:t>
      </w:r>
      <w:r>
        <w:rPr>
          <w:rFonts w:ascii="Segoe UI"/>
          <w:color w:val="67973F"/>
          <w:spacing w:val="-5"/>
          <w:sz w:val="19"/>
        </w:rPr>
        <w:t> </w:t>
      </w:r>
      <w:r>
        <w:rPr>
          <w:rFonts w:ascii="Segoe UI"/>
          <w:color w:val="67973F"/>
          <w:sz w:val="19"/>
        </w:rPr>
        <w:t>require</w:t>
      </w:r>
      <w:r>
        <w:rPr>
          <w:rFonts w:ascii="Segoe UI"/>
          <w:color w:val="67973F"/>
          <w:spacing w:val="-4"/>
          <w:sz w:val="19"/>
        </w:rPr>
        <w:t> </w:t>
      </w:r>
      <w:r>
        <w:rPr>
          <w:rFonts w:ascii="Segoe UI"/>
          <w:color w:val="67973F"/>
          <w:spacing w:val="-1"/>
          <w:sz w:val="19"/>
        </w:rPr>
        <w:t>surgery.</w:t>
      </w:r>
      <w:r>
        <w:rPr>
          <w:rFonts w:ascii="Segoe UI"/>
          <w:color w:val="67973F"/>
          <w:spacing w:val="-1"/>
          <w:w w:val="99"/>
          <w:sz w:val="19"/>
        </w:rPr>
        <w:t> </w:t>
      </w:r>
      <w:r>
        <w:rPr>
          <w:rFonts w:ascii="Segoe UI"/>
          <w:color w:val="67973F"/>
          <w:spacing w:val="21"/>
          <w:w w:val="99"/>
          <w:sz w:val="19"/>
        </w:rPr>
        <w:t> </w:t>
      </w:r>
      <w:r>
        <w:rPr>
          <w:rFonts w:ascii="Segoe UI"/>
          <w:color w:val="67973F"/>
          <w:sz w:val="19"/>
        </w:rPr>
        <w:t>All</w:t>
      </w:r>
      <w:r>
        <w:rPr>
          <w:rFonts w:ascii="Segoe UI"/>
          <w:color w:val="67973F"/>
          <w:spacing w:val="-5"/>
          <w:sz w:val="19"/>
        </w:rPr>
        <w:t> </w:t>
      </w:r>
      <w:r>
        <w:rPr>
          <w:rFonts w:ascii="Segoe UI"/>
          <w:color w:val="67973F"/>
          <w:spacing w:val="-1"/>
          <w:sz w:val="19"/>
        </w:rPr>
        <w:t>surgeries</w:t>
      </w:r>
      <w:r>
        <w:rPr>
          <w:rFonts w:ascii="Segoe UI"/>
          <w:color w:val="67973F"/>
          <w:spacing w:val="-2"/>
          <w:sz w:val="19"/>
        </w:rPr>
        <w:t> </w:t>
      </w:r>
      <w:r>
        <w:rPr>
          <w:rFonts w:ascii="Segoe UI"/>
          <w:color w:val="67973F"/>
          <w:sz w:val="19"/>
        </w:rPr>
        <w:t>will</w:t>
      </w:r>
      <w:r>
        <w:rPr>
          <w:rFonts w:ascii="Segoe UI"/>
          <w:color w:val="67973F"/>
          <w:spacing w:val="-4"/>
          <w:sz w:val="19"/>
        </w:rPr>
        <w:t> </w:t>
      </w:r>
      <w:r>
        <w:rPr>
          <w:rFonts w:ascii="Segoe UI"/>
          <w:color w:val="67973F"/>
          <w:sz w:val="19"/>
        </w:rPr>
        <w:t>occur</w:t>
      </w:r>
      <w:r>
        <w:rPr>
          <w:rFonts w:ascii="Segoe UI"/>
          <w:color w:val="67973F"/>
          <w:spacing w:val="-3"/>
          <w:sz w:val="19"/>
        </w:rPr>
        <w:t> </w:t>
      </w:r>
      <w:r>
        <w:rPr>
          <w:rFonts w:ascii="Segoe UI"/>
          <w:color w:val="67973F"/>
          <w:sz w:val="19"/>
        </w:rPr>
        <w:t>at</w:t>
      </w:r>
      <w:r>
        <w:rPr>
          <w:rFonts w:ascii="Segoe UI"/>
          <w:color w:val="67973F"/>
          <w:spacing w:val="-3"/>
          <w:sz w:val="19"/>
        </w:rPr>
        <w:t> </w:t>
      </w:r>
      <w:r>
        <w:rPr>
          <w:rFonts w:ascii="Segoe UI"/>
          <w:color w:val="67973F"/>
          <w:sz w:val="19"/>
        </w:rPr>
        <w:t>the</w:t>
      </w:r>
      <w:r>
        <w:rPr>
          <w:rFonts w:ascii="Segoe UI"/>
          <w:color w:val="67973F"/>
          <w:spacing w:val="-4"/>
          <w:sz w:val="19"/>
        </w:rPr>
        <w:t> </w:t>
      </w:r>
      <w:r>
        <w:rPr>
          <w:rFonts w:ascii="Segoe UI"/>
          <w:color w:val="67973F"/>
          <w:sz w:val="19"/>
        </w:rPr>
        <w:t>hospital.</w:t>
      </w:r>
      <w:r>
        <w:rPr>
          <w:rFonts w:ascii="Segoe UI"/>
          <w:color w:val="67973F"/>
          <w:spacing w:val="-5"/>
          <w:sz w:val="19"/>
        </w:rPr>
        <w:t> </w:t>
      </w:r>
      <w:r>
        <w:rPr>
          <w:rFonts w:ascii="Segoe UI"/>
          <w:color w:val="67973F"/>
          <w:spacing w:val="-1"/>
          <w:sz w:val="19"/>
        </w:rPr>
        <w:t>Some</w:t>
      </w:r>
      <w:r>
        <w:rPr>
          <w:rFonts w:ascii="Segoe UI"/>
          <w:color w:val="67973F"/>
          <w:spacing w:val="-3"/>
          <w:sz w:val="19"/>
        </w:rPr>
        <w:t> </w:t>
      </w:r>
      <w:r>
        <w:rPr>
          <w:rFonts w:ascii="Segoe UI"/>
          <w:color w:val="67973F"/>
          <w:sz w:val="19"/>
        </w:rPr>
        <w:t>of</w:t>
      </w:r>
      <w:r>
        <w:rPr>
          <w:rFonts w:ascii="Segoe UI"/>
          <w:color w:val="67973F"/>
          <w:spacing w:val="23"/>
          <w:w w:val="99"/>
          <w:sz w:val="19"/>
        </w:rPr>
        <w:t> </w:t>
      </w:r>
      <w:r>
        <w:rPr>
          <w:rFonts w:ascii="Segoe UI"/>
          <w:color w:val="67973F"/>
          <w:sz w:val="19"/>
        </w:rPr>
        <w:t>these</w:t>
      </w:r>
      <w:r>
        <w:rPr>
          <w:rFonts w:ascii="Segoe UI"/>
          <w:color w:val="67973F"/>
          <w:spacing w:val="-4"/>
          <w:sz w:val="19"/>
        </w:rPr>
        <w:t> </w:t>
      </w:r>
      <w:r>
        <w:rPr>
          <w:rFonts w:ascii="Segoe UI"/>
          <w:color w:val="67973F"/>
          <w:spacing w:val="-1"/>
          <w:sz w:val="19"/>
        </w:rPr>
        <w:t>students</w:t>
      </w:r>
      <w:r>
        <w:rPr>
          <w:rFonts w:ascii="Segoe UI"/>
          <w:color w:val="67973F"/>
          <w:spacing w:val="-3"/>
          <w:sz w:val="19"/>
        </w:rPr>
        <w:t> </w:t>
      </w:r>
      <w:r>
        <w:rPr>
          <w:rFonts w:ascii="Segoe UI"/>
          <w:color w:val="67973F"/>
          <w:sz w:val="19"/>
        </w:rPr>
        <w:t>have</w:t>
      </w:r>
      <w:r>
        <w:rPr>
          <w:rFonts w:ascii="Segoe UI"/>
          <w:color w:val="67973F"/>
          <w:spacing w:val="-4"/>
          <w:sz w:val="19"/>
        </w:rPr>
        <w:t> </w:t>
      </w:r>
      <w:r>
        <w:rPr>
          <w:rFonts w:ascii="Segoe UI"/>
          <w:color w:val="67973F"/>
          <w:sz w:val="19"/>
        </w:rPr>
        <w:t>been</w:t>
      </w:r>
      <w:r>
        <w:rPr>
          <w:rFonts w:ascii="Segoe UI"/>
          <w:color w:val="67973F"/>
          <w:spacing w:val="-3"/>
          <w:sz w:val="19"/>
        </w:rPr>
        <w:t> </w:t>
      </w:r>
      <w:r>
        <w:rPr>
          <w:rFonts w:ascii="Segoe UI"/>
          <w:color w:val="67973F"/>
          <w:sz w:val="19"/>
        </w:rPr>
        <w:t>on</w:t>
      </w:r>
      <w:r>
        <w:rPr>
          <w:rFonts w:ascii="Segoe UI"/>
          <w:color w:val="67973F"/>
          <w:spacing w:val="-3"/>
          <w:sz w:val="19"/>
        </w:rPr>
        <w:t> </w:t>
      </w:r>
      <w:r>
        <w:rPr>
          <w:rFonts w:ascii="Segoe UI"/>
          <w:color w:val="67973F"/>
          <w:sz w:val="19"/>
        </w:rPr>
        <w:t>the</w:t>
      </w:r>
      <w:r>
        <w:rPr>
          <w:rFonts w:ascii="Segoe UI"/>
          <w:color w:val="67973F"/>
          <w:spacing w:val="-4"/>
          <w:sz w:val="19"/>
        </w:rPr>
        <w:t> </w:t>
      </w:r>
      <w:r>
        <w:rPr>
          <w:rFonts w:ascii="Segoe UI"/>
          <w:color w:val="67973F"/>
          <w:sz w:val="19"/>
        </w:rPr>
        <w:t>waiting</w:t>
      </w:r>
      <w:r>
        <w:rPr>
          <w:rFonts w:ascii="Segoe UI"/>
          <w:color w:val="67973F"/>
          <w:spacing w:val="-3"/>
          <w:sz w:val="19"/>
        </w:rPr>
        <w:t> </w:t>
      </w:r>
      <w:r>
        <w:rPr>
          <w:rFonts w:ascii="Segoe UI"/>
          <w:color w:val="67973F"/>
          <w:spacing w:val="-1"/>
          <w:sz w:val="19"/>
        </w:rPr>
        <w:t>list</w:t>
      </w:r>
      <w:r>
        <w:rPr>
          <w:rFonts w:ascii="Segoe UI"/>
          <w:color w:val="67973F"/>
          <w:spacing w:val="-3"/>
          <w:sz w:val="19"/>
        </w:rPr>
        <w:t> </w:t>
      </w:r>
      <w:r>
        <w:rPr>
          <w:rFonts w:ascii="Segoe UI"/>
          <w:color w:val="67973F"/>
          <w:sz w:val="19"/>
        </w:rPr>
        <w:t>for</w:t>
      </w:r>
      <w:r>
        <w:rPr>
          <w:rFonts w:ascii="Segoe UI"/>
          <w:color w:val="67973F"/>
          <w:spacing w:val="23"/>
          <w:w w:val="99"/>
          <w:sz w:val="19"/>
        </w:rPr>
        <w:t> </w:t>
      </w:r>
      <w:r>
        <w:rPr>
          <w:rFonts w:ascii="Segoe UI"/>
          <w:color w:val="67973F"/>
          <w:sz w:val="19"/>
        </w:rPr>
        <w:t>up</w:t>
      </w:r>
      <w:r>
        <w:rPr>
          <w:rFonts w:ascii="Segoe UI"/>
          <w:color w:val="67973F"/>
          <w:spacing w:val="-3"/>
          <w:sz w:val="19"/>
        </w:rPr>
        <w:t> </w:t>
      </w:r>
      <w:r>
        <w:rPr>
          <w:rFonts w:ascii="Segoe UI"/>
          <w:color w:val="67973F"/>
          <w:sz w:val="19"/>
        </w:rPr>
        <w:t>to</w:t>
      </w:r>
      <w:r>
        <w:rPr>
          <w:rFonts w:ascii="Segoe UI"/>
          <w:color w:val="67973F"/>
          <w:spacing w:val="-3"/>
          <w:sz w:val="19"/>
        </w:rPr>
        <w:t> </w:t>
      </w:r>
      <w:r>
        <w:rPr>
          <w:rFonts w:ascii="Segoe UI"/>
          <w:color w:val="67973F"/>
          <w:sz w:val="19"/>
        </w:rPr>
        <w:t>4</w:t>
      </w:r>
      <w:r>
        <w:rPr>
          <w:rFonts w:ascii="Segoe UI"/>
          <w:color w:val="67973F"/>
          <w:spacing w:val="-3"/>
          <w:sz w:val="19"/>
        </w:rPr>
        <w:t> </w:t>
      </w:r>
      <w:r>
        <w:rPr>
          <w:rFonts w:ascii="Segoe UI"/>
          <w:color w:val="67973F"/>
          <w:sz w:val="19"/>
        </w:rPr>
        <w:t>years.</w:t>
      </w:r>
      <w:r>
        <w:rPr>
          <w:rFonts w:ascii="Segoe UI"/>
          <w:sz w:val="19"/>
        </w:rPr>
      </w:r>
    </w:p>
    <w:p>
      <w:pPr>
        <w:spacing w:line="265" w:lineRule="auto" w:before="50"/>
        <w:ind w:left="117" w:right="1844" w:firstLine="0"/>
        <w:jc w:val="left"/>
        <w:rPr>
          <w:rFonts w:ascii="Segoe UI" w:hAnsi="Segoe UI" w:cs="Segoe UI" w:eastAsia="Segoe UI"/>
          <w:sz w:val="19"/>
          <w:szCs w:val="19"/>
        </w:rPr>
      </w:pPr>
      <w:r>
        <w:rPr/>
        <w:br w:type="column"/>
      </w:r>
      <w:r>
        <w:rPr>
          <w:rFonts w:ascii="Segoe UI"/>
          <w:color w:val="67973F"/>
          <w:sz w:val="19"/>
        </w:rPr>
        <w:t>Approximately</w:t>
      </w:r>
      <w:r>
        <w:rPr>
          <w:rFonts w:ascii="Segoe UI"/>
          <w:color w:val="67973F"/>
          <w:spacing w:val="-5"/>
          <w:sz w:val="19"/>
        </w:rPr>
        <w:t> </w:t>
      </w:r>
      <w:r>
        <w:rPr>
          <w:rFonts w:ascii="Segoe UI"/>
          <w:color w:val="67973F"/>
          <w:spacing w:val="-1"/>
          <w:sz w:val="19"/>
        </w:rPr>
        <w:t>sixty</w:t>
      </w:r>
      <w:r>
        <w:rPr>
          <w:rFonts w:ascii="Segoe UI"/>
          <w:color w:val="67973F"/>
          <w:spacing w:val="-5"/>
          <w:sz w:val="19"/>
        </w:rPr>
        <w:t> </w:t>
      </w:r>
      <w:r>
        <w:rPr>
          <w:rFonts w:ascii="Segoe UI"/>
          <w:color w:val="67973F"/>
          <w:sz w:val="19"/>
        </w:rPr>
        <w:t>percent</w:t>
      </w:r>
      <w:r>
        <w:rPr>
          <w:rFonts w:ascii="Segoe UI"/>
          <w:color w:val="67973F"/>
          <w:spacing w:val="-6"/>
          <w:sz w:val="19"/>
        </w:rPr>
        <w:t> </w:t>
      </w:r>
      <w:r>
        <w:rPr>
          <w:rFonts w:ascii="Segoe UI"/>
          <w:color w:val="67973F"/>
          <w:sz w:val="19"/>
        </w:rPr>
        <w:t>(60</w:t>
      </w:r>
      <w:r>
        <w:rPr>
          <w:rFonts w:ascii="Segoe UI"/>
          <w:color w:val="67973F"/>
          <w:spacing w:val="-6"/>
          <w:sz w:val="19"/>
        </w:rPr>
        <w:t> </w:t>
      </w:r>
      <w:r>
        <w:rPr>
          <w:rFonts w:ascii="Segoe UI"/>
          <w:color w:val="67973F"/>
          <w:sz w:val="19"/>
        </w:rPr>
        <w:t>per</w:t>
      </w:r>
      <w:r>
        <w:rPr>
          <w:rFonts w:ascii="Segoe UI"/>
          <w:color w:val="67973F"/>
          <w:spacing w:val="-5"/>
          <w:sz w:val="19"/>
        </w:rPr>
        <w:t> </w:t>
      </w:r>
      <w:r>
        <w:rPr>
          <w:rFonts w:ascii="Segoe UI"/>
          <w:color w:val="67973F"/>
          <w:sz w:val="19"/>
        </w:rPr>
        <w:t>cent)</w:t>
      </w:r>
      <w:r>
        <w:rPr>
          <w:rFonts w:ascii="Segoe UI"/>
          <w:color w:val="67973F"/>
          <w:spacing w:val="-5"/>
          <w:sz w:val="19"/>
        </w:rPr>
        <w:t> </w:t>
      </w:r>
      <w:r>
        <w:rPr>
          <w:rFonts w:ascii="Segoe UI"/>
          <w:color w:val="67973F"/>
          <w:sz w:val="19"/>
        </w:rPr>
        <w:t>of</w:t>
      </w:r>
      <w:r>
        <w:rPr>
          <w:rFonts w:ascii="Segoe UI"/>
          <w:color w:val="67973F"/>
          <w:spacing w:val="21"/>
          <w:w w:val="99"/>
          <w:sz w:val="19"/>
        </w:rPr>
        <w:t> </w:t>
      </w:r>
      <w:r>
        <w:rPr>
          <w:rFonts w:ascii="Segoe UI"/>
          <w:color w:val="67973F"/>
          <w:sz w:val="19"/>
        </w:rPr>
        <w:t>current</w:t>
      </w:r>
      <w:r>
        <w:rPr>
          <w:rFonts w:ascii="Segoe UI"/>
          <w:color w:val="67973F"/>
          <w:spacing w:val="-5"/>
          <w:sz w:val="19"/>
        </w:rPr>
        <w:t> </w:t>
      </w:r>
      <w:r>
        <w:rPr>
          <w:rFonts w:ascii="Segoe UI"/>
          <w:color w:val="67973F"/>
          <w:sz w:val="19"/>
        </w:rPr>
        <w:t>enrolments</w:t>
      </w:r>
      <w:r>
        <w:rPr>
          <w:rFonts w:ascii="Segoe UI"/>
          <w:color w:val="67973F"/>
          <w:spacing w:val="-5"/>
          <w:sz w:val="19"/>
        </w:rPr>
        <w:t> </w:t>
      </w:r>
      <w:r>
        <w:rPr>
          <w:rFonts w:ascii="Segoe UI"/>
          <w:color w:val="67973F"/>
          <w:sz w:val="19"/>
        </w:rPr>
        <w:t>present</w:t>
      </w:r>
      <w:r>
        <w:rPr>
          <w:rFonts w:ascii="Segoe UI"/>
          <w:color w:val="67973F"/>
          <w:spacing w:val="-6"/>
          <w:sz w:val="19"/>
        </w:rPr>
        <w:t> </w:t>
      </w:r>
      <w:r>
        <w:rPr>
          <w:rFonts w:ascii="Segoe UI"/>
          <w:color w:val="67973F"/>
          <w:sz w:val="19"/>
        </w:rPr>
        <w:t>with</w:t>
      </w:r>
      <w:r>
        <w:rPr>
          <w:rFonts w:ascii="Segoe UI"/>
          <w:color w:val="67973F"/>
          <w:spacing w:val="-5"/>
          <w:sz w:val="19"/>
        </w:rPr>
        <w:t> </w:t>
      </w:r>
      <w:r>
        <w:rPr>
          <w:rFonts w:ascii="Segoe UI"/>
          <w:color w:val="67973F"/>
          <w:sz w:val="19"/>
        </w:rPr>
        <w:t>chronic</w:t>
      </w:r>
      <w:r>
        <w:rPr>
          <w:rFonts w:ascii="Segoe UI"/>
          <w:color w:val="67973F"/>
          <w:spacing w:val="-5"/>
          <w:sz w:val="19"/>
        </w:rPr>
        <w:t> </w:t>
      </w:r>
      <w:r>
        <w:rPr>
          <w:rFonts w:ascii="Segoe UI"/>
          <w:color w:val="67973F"/>
          <w:sz w:val="19"/>
        </w:rPr>
        <w:t>disease</w:t>
      </w:r>
      <w:r>
        <w:rPr>
          <w:rFonts w:ascii="Segoe UI"/>
          <w:color w:val="67973F"/>
          <w:sz w:val="19"/>
        </w:rPr>
        <w:t> </w:t>
      </w:r>
      <w:r>
        <w:rPr>
          <w:rFonts w:ascii="Segoe UI"/>
          <w:color w:val="67973F"/>
          <w:spacing w:val="-1"/>
          <w:sz w:val="19"/>
        </w:rPr>
        <w:t>issues</w:t>
      </w:r>
      <w:r>
        <w:rPr>
          <w:rFonts w:ascii="Segoe UI"/>
          <w:color w:val="67973F"/>
          <w:spacing w:val="-3"/>
          <w:sz w:val="19"/>
        </w:rPr>
        <w:t> </w:t>
      </w:r>
      <w:r>
        <w:rPr>
          <w:rFonts w:ascii="Segoe UI"/>
          <w:color w:val="67973F"/>
          <w:sz w:val="19"/>
        </w:rPr>
        <w:t>or</w:t>
      </w:r>
      <w:r>
        <w:rPr>
          <w:rFonts w:ascii="Segoe UI"/>
          <w:color w:val="67973F"/>
          <w:spacing w:val="-3"/>
          <w:sz w:val="19"/>
        </w:rPr>
        <w:t> </w:t>
      </w:r>
      <w:r>
        <w:rPr>
          <w:rFonts w:ascii="Segoe UI"/>
          <w:color w:val="67973F"/>
          <w:spacing w:val="-1"/>
          <w:sz w:val="19"/>
        </w:rPr>
        <w:t>medical</w:t>
      </w:r>
      <w:r>
        <w:rPr>
          <w:rFonts w:ascii="Segoe UI"/>
          <w:color w:val="67973F"/>
          <w:spacing w:val="-3"/>
          <w:sz w:val="19"/>
        </w:rPr>
        <w:t> </w:t>
      </w:r>
      <w:r>
        <w:rPr>
          <w:rFonts w:ascii="Segoe UI"/>
          <w:color w:val="67973F"/>
          <w:sz w:val="19"/>
        </w:rPr>
        <w:t>conditions</w:t>
      </w:r>
      <w:r>
        <w:rPr>
          <w:rFonts w:ascii="Segoe UI"/>
          <w:color w:val="67973F"/>
          <w:spacing w:val="-4"/>
          <w:sz w:val="19"/>
        </w:rPr>
        <w:t> </w:t>
      </w:r>
      <w:r>
        <w:rPr>
          <w:rFonts w:ascii="Segoe UI"/>
          <w:color w:val="67973F"/>
          <w:sz w:val="19"/>
        </w:rPr>
        <w:t>requiring</w:t>
      </w:r>
      <w:r>
        <w:rPr>
          <w:rFonts w:ascii="Segoe UI"/>
          <w:color w:val="67973F"/>
          <w:spacing w:val="-4"/>
          <w:sz w:val="19"/>
        </w:rPr>
        <w:t> </w:t>
      </w:r>
      <w:r>
        <w:rPr>
          <w:rFonts w:ascii="Segoe UI"/>
          <w:color w:val="67973F"/>
          <w:sz w:val="19"/>
        </w:rPr>
        <w:t>care</w:t>
      </w:r>
      <w:r>
        <w:rPr>
          <w:rFonts w:ascii="Segoe UI"/>
          <w:color w:val="67973F"/>
          <w:spacing w:val="-3"/>
          <w:sz w:val="19"/>
        </w:rPr>
        <w:t> </w:t>
      </w:r>
      <w:r>
        <w:rPr>
          <w:rFonts w:ascii="Segoe UI"/>
          <w:color w:val="67973F"/>
          <w:sz w:val="19"/>
        </w:rPr>
        <w:t>plans.</w:t>
      </w:r>
      <w:r>
        <w:rPr>
          <w:rFonts w:ascii="Segoe UI"/>
          <w:color w:val="67973F"/>
          <w:spacing w:val="23"/>
          <w:w w:val="99"/>
          <w:sz w:val="19"/>
        </w:rPr>
        <w:t> </w:t>
      </w:r>
      <w:r>
        <w:rPr>
          <w:rFonts w:ascii="Segoe UI"/>
          <w:color w:val="67973F"/>
          <w:sz w:val="19"/>
        </w:rPr>
        <w:t>The</w:t>
      </w:r>
      <w:r>
        <w:rPr>
          <w:rFonts w:ascii="Segoe UI"/>
          <w:color w:val="67973F"/>
          <w:spacing w:val="-4"/>
          <w:sz w:val="19"/>
        </w:rPr>
        <w:t> </w:t>
      </w:r>
      <w:r>
        <w:rPr>
          <w:rFonts w:ascii="Segoe UI"/>
          <w:color w:val="67973F"/>
          <w:spacing w:val="-1"/>
          <w:sz w:val="19"/>
        </w:rPr>
        <w:t>majority</w:t>
      </w:r>
      <w:r>
        <w:rPr>
          <w:rFonts w:ascii="Segoe UI"/>
          <w:color w:val="67973F"/>
          <w:spacing w:val="-4"/>
          <w:sz w:val="19"/>
        </w:rPr>
        <w:t> </w:t>
      </w:r>
      <w:r>
        <w:rPr>
          <w:rFonts w:ascii="Segoe UI"/>
          <w:color w:val="67973F"/>
          <w:sz w:val="19"/>
        </w:rPr>
        <w:t>of</w:t>
      </w:r>
      <w:r>
        <w:rPr>
          <w:rFonts w:ascii="Segoe UI"/>
          <w:color w:val="67973F"/>
          <w:spacing w:val="-3"/>
          <w:sz w:val="19"/>
        </w:rPr>
        <w:t> </w:t>
      </w:r>
      <w:r>
        <w:rPr>
          <w:rFonts w:ascii="Segoe UI"/>
          <w:color w:val="67973F"/>
          <w:spacing w:val="-1"/>
          <w:sz w:val="19"/>
        </w:rPr>
        <w:t>students</w:t>
      </w:r>
      <w:r>
        <w:rPr>
          <w:rFonts w:ascii="Segoe UI"/>
          <w:color w:val="67973F"/>
          <w:spacing w:val="-4"/>
          <w:sz w:val="19"/>
        </w:rPr>
        <w:t> </w:t>
      </w:r>
      <w:r>
        <w:rPr>
          <w:rFonts w:ascii="Segoe UI"/>
          <w:color w:val="67973F"/>
          <w:sz w:val="19"/>
        </w:rPr>
        <w:t>with</w:t>
      </w:r>
      <w:r>
        <w:rPr>
          <w:rFonts w:ascii="Segoe UI"/>
          <w:color w:val="67973F"/>
          <w:spacing w:val="-4"/>
          <w:sz w:val="19"/>
        </w:rPr>
        <w:t> </w:t>
      </w:r>
      <w:r>
        <w:rPr>
          <w:rFonts w:ascii="Segoe UI"/>
          <w:color w:val="67973F"/>
          <w:sz w:val="19"/>
        </w:rPr>
        <w:t>chronic</w:t>
      </w:r>
      <w:r>
        <w:rPr>
          <w:rFonts w:ascii="Segoe UI"/>
          <w:color w:val="67973F"/>
          <w:spacing w:val="-5"/>
          <w:sz w:val="19"/>
        </w:rPr>
        <w:t> </w:t>
      </w:r>
      <w:r>
        <w:rPr>
          <w:rFonts w:ascii="Segoe UI"/>
          <w:color w:val="67973F"/>
          <w:sz w:val="19"/>
        </w:rPr>
        <w:t>disease</w:t>
      </w:r>
      <w:r>
        <w:rPr>
          <w:rFonts w:ascii="Segoe UI"/>
          <w:color w:val="67973F"/>
          <w:spacing w:val="23"/>
          <w:sz w:val="19"/>
        </w:rPr>
        <w:t> </w:t>
      </w:r>
      <w:r>
        <w:rPr>
          <w:rFonts w:ascii="Segoe UI"/>
          <w:color w:val="67973F"/>
          <w:spacing w:val="-1"/>
          <w:sz w:val="19"/>
        </w:rPr>
        <w:t>issues</w:t>
      </w:r>
      <w:r>
        <w:rPr>
          <w:rFonts w:ascii="Segoe UI"/>
          <w:color w:val="67973F"/>
          <w:spacing w:val="-2"/>
          <w:sz w:val="19"/>
        </w:rPr>
        <w:t> </w:t>
      </w:r>
      <w:r>
        <w:rPr>
          <w:rFonts w:ascii="Segoe UI"/>
          <w:color w:val="67973F"/>
          <w:sz w:val="19"/>
        </w:rPr>
        <w:t>and</w:t>
      </w:r>
      <w:r>
        <w:rPr>
          <w:rFonts w:ascii="Segoe UI"/>
          <w:color w:val="67973F"/>
          <w:spacing w:val="-3"/>
          <w:sz w:val="19"/>
        </w:rPr>
        <w:t> </w:t>
      </w:r>
      <w:r>
        <w:rPr>
          <w:rFonts w:ascii="Segoe UI"/>
          <w:color w:val="67973F"/>
          <w:spacing w:val="-1"/>
          <w:sz w:val="19"/>
        </w:rPr>
        <w:t>medical</w:t>
      </w:r>
      <w:r>
        <w:rPr>
          <w:rFonts w:ascii="Segoe UI"/>
          <w:color w:val="67973F"/>
          <w:spacing w:val="-2"/>
          <w:sz w:val="19"/>
        </w:rPr>
        <w:t> </w:t>
      </w:r>
      <w:r>
        <w:rPr>
          <w:rFonts w:ascii="Segoe UI"/>
          <w:color w:val="67973F"/>
          <w:sz w:val="19"/>
        </w:rPr>
        <w:t>conditions</w:t>
      </w:r>
      <w:r>
        <w:rPr>
          <w:rFonts w:ascii="Segoe UI"/>
          <w:color w:val="67973F"/>
          <w:spacing w:val="-3"/>
          <w:sz w:val="19"/>
        </w:rPr>
        <w:t> </w:t>
      </w:r>
      <w:r>
        <w:rPr>
          <w:rFonts w:ascii="Segoe UI"/>
          <w:color w:val="67973F"/>
          <w:sz w:val="19"/>
        </w:rPr>
        <w:t>have:</w:t>
      </w:r>
      <w:r>
        <w:rPr>
          <w:rFonts w:ascii="Segoe UI"/>
          <w:sz w:val="19"/>
        </w:rPr>
      </w:r>
    </w:p>
    <w:p>
      <w:pPr>
        <w:spacing w:line="250" w:lineRule="exact" w:before="88"/>
        <w:ind w:left="344" w:right="1521" w:hanging="227"/>
        <w:jc w:val="left"/>
        <w:rPr>
          <w:rFonts w:ascii="Segoe UI" w:hAnsi="Segoe UI" w:cs="Segoe UI" w:eastAsia="Segoe UI"/>
          <w:sz w:val="19"/>
          <w:szCs w:val="19"/>
        </w:rPr>
      </w:pPr>
      <w:r>
        <w:rPr>
          <w:rFonts w:ascii="Century Gothic" w:hAnsi="Century Gothic"/>
          <w:color w:val="69973E"/>
          <w:sz w:val="19"/>
        </w:rPr>
        <w:t>» </w:t>
      </w:r>
      <w:r>
        <w:rPr>
          <w:rFonts w:ascii="Century Gothic" w:hAnsi="Century Gothic"/>
          <w:color w:val="69973E"/>
          <w:spacing w:val="29"/>
          <w:sz w:val="19"/>
        </w:rPr>
        <w:t> </w:t>
      </w:r>
      <w:r>
        <w:rPr>
          <w:rFonts w:ascii="Segoe UI" w:hAnsi="Segoe UI"/>
          <w:color w:val="69973E"/>
          <w:spacing w:val="-1"/>
          <w:sz w:val="19"/>
        </w:rPr>
        <w:t>Severe</w:t>
      </w:r>
      <w:r>
        <w:rPr>
          <w:rFonts w:ascii="Segoe UI" w:hAnsi="Segoe UI"/>
          <w:color w:val="69973E"/>
          <w:spacing w:val="-4"/>
          <w:sz w:val="19"/>
        </w:rPr>
        <w:t> </w:t>
      </w:r>
      <w:r>
        <w:rPr>
          <w:rFonts w:ascii="Segoe UI" w:hAnsi="Segoe UI"/>
          <w:color w:val="69973E"/>
          <w:sz w:val="19"/>
        </w:rPr>
        <w:t>anaemia</w:t>
      </w:r>
      <w:r>
        <w:rPr>
          <w:rFonts w:ascii="Segoe UI" w:hAnsi="Segoe UI"/>
          <w:color w:val="69973E"/>
          <w:spacing w:val="-6"/>
          <w:sz w:val="19"/>
        </w:rPr>
        <w:t> </w:t>
      </w:r>
      <w:r>
        <w:rPr>
          <w:rFonts w:ascii="Segoe UI" w:hAnsi="Segoe UI"/>
          <w:color w:val="69973E"/>
          <w:sz w:val="19"/>
        </w:rPr>
        <w:t>(3</w:t>
      </w:r>
      <w:r>
        <w:rPr>
          <w:rFonts w:ascii="Segoe UI" w:hAnsi="Segoe UI"/>
          <w:color w:val="69973E"/>
          <w:spacing w:val="-5"/>
          <w:sz w:val="19"/>
        </w:rPr>
        <w:t> </w:t>
      </w:r>
      <w:r>
        <w:rPr>
          <w:rFonts w:ascii="Segoe UI" w:hAnsi="Segoe UI"/>
          <w:color w:val="69973E"/>
          <w:sz w:val="19"/>
        </w:rPr>
        <w:t>who</w:t>
      </w:r>
      <w:r>
        <w:rPr>
          <w:rFonts w:ascii="Segoe UI" w:hAnsi="Segoe UI"/>
          <w:color w:val="69973E"/>
          <w:spacing w:val="-5"/>
          <w:sz w:val="19"/>
        </w:rPr>
        <w:t> </w:t>
      </w:r>
      <w:r>
        <w:rPr>
          <w:rFonts w:ascii="Segoe UI" w:hAnsi="Segoe UI"/>
          <w:color w:val="69973E"/>
          <w:sz w:val="19"/>
        </w:rPr>
        <w:t>have</w:t>
      </w:r>
      <w:r>
        <w:rPr>
          <w:rFonts w:ascii="Segoe UI" w:hAnsi="Segoe UI"/>
          <w:color w:val="69973E"/>
          <w:spacing w:val="-5"/>
          <w:sz w:val="19"/>
        </w:rPr>
        <w:t> </w:t>
      </w:r>
      <w:r>
        <w:rPr>
          <w:rFonts w:ascii="Segoe UI" w:hAnsi="Segoe UI"/>
          <w:color w:val="69973E"/>
          <w:sz w:val="19"/>
        </w:rPr>
        <w:t>required</w:t>
      </w:r>
      <w:r>
        <w:rPr>
          <w:rFonts w:ascii="Segoe UI" w:hAnsi="Segoe UI"/>
          <w:color w:val="69973E"/>
          <w:spacing w:val="-6"/>
          <w:sz w:val="19"/>
        </w:rPr>
        <w:t> </w:t>
      </w:r>
      <w:r>
        <w:rPr>
          <w:rFonts w:ascii="Segoe UI" w:hAnsi="Segoe UI"/>
          <w:color w:val="69973E"/>
          <w:spacing w:val="-1"/>
          <w:sz w:val="19"/>
        </w:rPr>
        <w:t>inpatient</w:t>
      </w:r>
      <w:r>
        <w:rPr>
          <w:rFonts w:ascii="Segoe UI" w:hAnsi="Segoe UI"/>
          <w:color w:val="69973E"/>
          <w:spacing w:val="21"/>
          <w:w w:val="99"/>
          <w:sz w:val="19"/>
        </w:rPr>
        <w:t> </w:t>
      </w:r>
      <w:r>
        <w:rPr>
          <w:rFonts w:ascii="Segoe UI" w:hAnsi="Segoe UI"/>
          <w:color w:val="69973E"/>
          <w:spacing w:val="-1"/>
          <w:sz w:val="19"/>
        </w:rPr>
        <w:t>stays</w:t>
      </w:r>
      <w:r>
        <w:rPr>
          <w:rFonts w:ascii="Segoe UI" w:hAnsi="Segoe UI"/>
          <w:color w:val="69973E"/>
          <w:spacing w:val="-5"/>
          <w:sz w:val="19"/>
        </w:rPr>
        <w:t> </w:t>
      </w:r>
      <w:r>
        <w:rPr>
          <w:rFonts w:ascii="Segoe UI" w:hAnsi="Segoe UI"/>
          <w:color w:val="69973E"/>
          <w:sz w:val="19"/>
        </w:rPr>
        <w:t>at</w:t>
      </w:r>
      <w:r>
        <w:rPr>
          <w:rFonts w:ascii="Segoe UI" w:hAnsi="Segoe UI"/>
          <w:color w:val="69973E"/>
          <w:spacing w:val="-4"/>
          <w:sz w:val="19"/>
        </w:rPr>
        <w:t> </w:t>
      </w:r>
      <w:r>
        <w:rPr>
          <w:rFonts w:ascii="Segoe UI" w:hAnsi="Segoe UI"/>
          <w:color w:val="69973E"/>
          <w:sz w:val="19"/>
        </w:rPr>
        <w:t>hospital)</w:t>
      </w:r>
      <w:r>
        <w:rPr>
          <w:rFonts w:ascii="Segoe UI" w:hAnsi="Segoe UI"/>
          <w:sz w:val="19"/>
        </w:rPr>
      </w:r>
    </w:p>
    <w:p>
      <w:pPr>
        <w:spacing w:before="108"/>
        <w:ind w:left="117" w:right="0" w:firstLine="0"/>
        <w:jc w:val="left"/>
        <w:rPr>
          <w:rFonts w:ascii="Segoe UI" w:hAnsi="Segoe UI" w:cs="Segoe UI" w:eastAsia="Segoe UI"/>
          <w:sz w:val="19"/>
          <w:szCs w:val="19"/>
        </w:rPr>
      </w:pPr>
      <w:r>
        <w:rPr>
          <w:rFonts w:ascii="Century Gothic" w:hAnsi="Century Gothic"/>
          <w:color w:val="69973E"/>
          <w:sz w:val="19"/>
        </w:rPr>
        <w:t>» </w:t>
      </w:r>
      <w:r>
        <w:rPr>
          <w:rFonts w:ascii="Century Gothic" w:hAnsi="Century Gothic"/>
          <w:color w:val="69973E"/>
          <w:spacing w:val="40"/>
          <w:sz w:val="19"/>
        </w:rPr>
        <w:t> </w:t>
      </w:r>
      <w:r>
        <w:rPr>
          <w:rFonts w:ascii="Segoe UI" w:hAnsi="Segoe UI"/>
          <w:color w:val="69973E"/>
          <w:sz w:val="19"/>
        </w:rPr>
        <w:t>Vitamin D deficiency</w:t>
      </w:r>
      <w:r>
        <w:rPr>
          <w:rFonts w:ascii="Segoe UI" w:hAnsi="Segoe UI"/>
          <w:sz w:val="19"/>
        </w:rPr>
      </w:r>
    </w:p>
    <w:p>
      <w:pPr>
        <w:spacing w:line="250" w:lineRule="exact" w:before="115"/>
        <w:ind w:left="344" w:right="1521" w:hanging="227"/>
        <w:jc w:val="left"/>
        <w:rPr>
          <w:rFonts w:ascii="Segoe UI" w:hAnsi="Segoe UI" w:cs="Segoe UI" w:eastAsia="Segoe UI"/>
          <w:sz w:val="19"/>
          <w:szCs w:val="19"/>
        </w:rPr>
      </w:pPr>
      <w:r>
        <w:rPr>
          <w:rFonts w:ascii="Century Gothic" w:hAnsi="Century Gothic"/>
          <w:color w:val="69973E"/>
          <w:sz w:val="19"/>
        </w:rPr>
        <w:t>» </w:t>
      </w:r>
      <w:r>
        <w:rPr>
          <w:rFonts w:ascii="Century Gothic" w:hAnsi="Century Gothic"/>
          <w:color w:val="69973E"/>
          <w:spacing w:val="35"/>
          <w:sz w:val="19"/>
        </w:rPr>
        <w:t> </w:t>
      </w:r>
      <w:r>
        <w:rPr>
          <w:rFonts w:ascii="Segoe UI" w:hAnsi="Segoe UI"/>
          <w:color w:val="69973E"/>
          <w:sz w:val="19"/>
        </w:rPr>
        <w:t>Hearing</w:t>
      </w:r>
      <w:r>
        <w:rPr>
          <w:rFonts w:ascii="Segoe UI" w:hAnsi="Segoe UI"/>
          <w:color w:val="69973E"/>
          <w:spacing w:val="-2"/>
          <w:sz w:val="19"/>
        </w:rPr>
        <w:t> </w:t>
      </w:r>
      <w:r>
        <w:rPr>
          <w:rFonts w:ascii="Segoe UI" w:hAnsi="Segoe UI"/>
          <w:color w:val="69973E"/>
          <w:sz w:val="19"/>
        </w:rPr>
        <w:t>problems</w:t>
      </w:r>
      <w:r>
        <w:rPr>
          <w:rFonts w:ascii="Segoe UI" w:hAnsi="Segoe UI"/>
          <w:color w:val="69973E"/>
          <w:spacing w:val="-3"/>
          <w:sz w:val="19"/>
        </w:rPr>
        <w:t> </w:t>
      </w:r>
      <w:r>
        <w:rPr>
          <w:rFonts w:ascii="Segoe UI" w:hAnsi="Segoe UI"/>
          <w:color w:val="69973E"/>
          <w:sz w:val="19"/>
        </w:rPr>
        <w:t>(otitis</w:t>
      </w:r>
      <w:r>
        <w:rPr>
          <w:rFonts w:ascii="Segoe UI" w:hAnsi="Segoe UI"/>
          <w:color w:val="69973E"/>
          <w:spacing w:val="-3"/>
          <w:sz w:val="19"/>
        </w:rPr>
        <w:t> </w:t>
      </w:r>
      <w:r>
        <w:rPr>
          <w:rFonts w:ascii="Segoe UI" w:hAnsi="Segoe UI"/>
          <w:color w:val="69973E"/>
          <w:spacing w:val="-1"/>
          <w:sz w:val="19"/>
        </w:rPr>
        <w:t>media,</w:t>
      </w:r>
      <w:r>
        <w:rPr>
          <w:rFonts w:ascii="Segoe UI" w:hAnsi="Segoe UI"/>
          <w:color w:val="69973E"/>
          <w:spacing w:val="-2"/>
          <w:sz w:val="19"/>
        </w:rPr>
        <w:t> </w:t>
      </w:r>
      <w:r>
        <w:rPr>
          <w:rFonts w:ascii="Segoe UI" w:hAnsi="Segoe UI"/>
          <w:color w:val="69973E"/>
          <w:spacing w:val="-1"/>
          <w:sz w:val="19"/>
        </w:rPr>
        <w:t>mastoiditis,</w:t>
      </w:r>
      <w:r>
        <w:rPr>
          <w:rFonts w:ascii="Segoe UI" w:hAnsi="Segoe UI"/>
          <w:color w:val="69973E"/>
          <w:spacing w:val="21"/>
          <w:sz w:val="19"/>
        </w:rPr>
        <w:t> </w:t>
      </w:r>
      <w:r>
        <w:rPr>
          <w:rFonts w:ascii="Segoe UI" w:hAnsi="Segoe UI"/>
          <w:color w:val="69973E"/>
          <w:sz w:val="19"/>
        </w:rPr>
        <w:t>chronic</w:t>
      </w:r>
      <w:r>
        <w:rPr>
          <w:rFonts w:ascii="Segoe UI" w:hAnsi="Segoe UI"/>
          <w:color w:val="69973E"/>
          <w:spacing w:val="-8"/>
          <w:sz w:val="19"/>
        </w:rPr>
        <w:t> </w:t>
      </w:r>
      <w:r>
        <w:rPr>
          <w:rFonts w:ascii="Segoe UI" w:hAnsi="Segoe UI"/>
          <w:color w:val="69973E"/>
          <w:sz w:val="19"/>
        </w:rPr>
        <w:t>dry</w:t>
      </w:r>
      <w:r>
        <w:rPr>
          <w:rFonts w:ascii="Segoe UI" w:hAnsi="Segoe UI"/>
          <w:color w:val="69973E"/>
          <w:spacing w:val="-6"/>
          <w:sz w:val="19"/>
        </w:rPr>
        <w:t> </w:t>
      </w:r>
      <w:r>
        <w:rPr>
          <w:rFonts w:ascii="Segoe UI" w:hAnsi="Segoe UI"/>
          <w:color w:val="69973E"/>
          <w:sz w:val="19"/>
        </w:rPr>
        <w:t>ruptured</w:t>
      </w:r>
      <w:r>
        <w:rPr>
          <w:rFonts w:ascii="Segoe UI" w:hAnsi="Segoe UI"/>
          <w:color w:val="69973E"/>
          <w:spacing w:val="-7"/>
          <w:sz w:val="19"/>
        </w:rPr>
        <w:t> </w:t>
      </w:r>
      <w:r>
        <w:rPr>
          <w:rFonts w:ascii="Segoe UI" w:hAnsi="Segoe UI"/>
          <w:color w:val="69973E"/>
          <w:sz w:val="19"/>
        </w:rPr>
        <w:t>ear</w:t>
      </w:r>
      <w:r>
        <w:rPr>
          <w:rFonts w:ascii="Segoe UI" w:hAnsi="Segoe UI"/>
          <w:color w:val="69973E"/>
          <w:spacing w:val="-6"/>
          <w:sz w:val="19"/>
        </w:rPr>
        <w:t> </w:t>
      </w:r>
      <w:r>
        <w:rPr>
          <w:rFonts w:ascii="Segoe UI" w:hAnsi="Segoe UI"/>
          <w:color w:val="69973E"/>
          <w:sz w:val="19"/>
        </w:rPr>
        <w:t>drums)</w:t>
      </w:r>
      <w:r>
        <w:rPr>
          <w:rFonts w:ascii="Segoe UI" w:hAnsi="Segoe UI"/>
          <w:sz w:val="19"/>
        </w:rPr>
      </w:r>
    </w:p>
    <w:p>
      <w:pPr>
        <w:spacing w:before="108"/>
        <w:ind w:left="117" w:right="0" w:firstLine="0"/>
        <w:jc w:val="left"/>
        <w:rPr>
          <w:rFonts w:ascii="Segoe UI" w:hAnsi="Segoe UI" w:cs="Segoe UI" w:eastAsia="Segoe UI"/>
          <w:sz w:val="19"/>
          <w:szCs w:val="19"/>
        </w:rPr>
      </w:pPr>
      <w:r>
        <w:rPr>
          <w:rFonts w:ascii="Century Gothic" w:hAnsi="Century Gothic"/>
          <w:color w:val="69973E"/>
          <w:sz w:val="19"/>
        </w:rPr>
        <w:t>» </w:t>
      </w:r>
      <w:r>
        <w:rPr>
          <w:rFonts w:ascii="Century Gothic" w:hAnsi="Century Gothic"/>
          <w:color w:val="69973E"/>
          <w:spacing w:val="40"/>
          <w:sz w:val="19"/>
        </w:rPr>
        <w:t> </w:t>
      </w:r>
      <w:r>
        <w:rPr>
          <w:rFonts w:ascii="Segoe UI" w:hAnsi="Segoe UI"/>
          <w:color w:val="69973E"/>
          <w:sz w:val="19"/>
        </w:rPr>
        <w:t>Asthma</w:t>
      </w:r>
      <w:r>
        <w:rPr>
          <w:rFonts w:ascii="Segoe UI" w:hAnsi="Segoe UI"/>
          <w:sz w:val="19"/>
        </w:rPr>
      </w:r>
    </w:p>
    <w:p>
      <w:pPr>
        <w:spacing w:before="110"/>
        <w:ind w:left="117" w:right="0" w:firstLine="0"/>
        <w:jc w:val="left"/>
        <w:rPr>
          <w:rFonts w:ascii="Segoe UI" w:hAnsi="Segoe UI" w:cs="Segoe UI" w:eastAsia="Segoe UI"/>
          <w:sz w:val="19"/>
          <w:szCs w:val="19"/>
        </w:rPr>
      </w:pPr>
      <w:r>
        <w:rPr>
          <w:rFonts w:ascii="Century Gothic" w:hAnsi="Century Gothic"/>
          <w:color w:val="69973E"/>
          <w:sz w:val="19"/>
        </w:rPr>
        <w:t>» </w:t>
      </w:r>
      <w:r>
        <w:rPr>
          <w:rFonts w:ascii="Century Gothic" w:hAnsi="Century Gothic"/>
          <w:color w:val="69973E"/>
          <w:spacing w:val="40"/>
          <w:sz w:val="19"/>
        </w:rPr>
        <w:t> </w:t>
      </w:r>
      <w:r>
        <w:rPr>
          <w:rFonts w:ascii="Segoe UI" w:hAnsi="Segoe UI"/>
          <w:color w:val="69973E"/>
          <w:spacing w:val="-1"/>
          <w:sz w:val="19"/>
        </w:rPr>
        <w:t>Vision</w:t>
      </w:r>
      <w:r>
        <w:rPr>
          <w:rFonts w:ascii="Segoe UI" w:hAnsi="Segoe UI"/>
          <w:color w:val="69973E"/>
          <w:sz w:val="19"/>
        </w:rPr>
        <w:t> problems</w:t>
      </w:r>
      <w:r>
        <w:rPr>
          <w:rFonts w:ascii="Segoe UI" w:hAnsi="Segoe UI"/>
          <w:sz w:val="19"/>
        </w:rPr>
      </w:r>
    </w:p>
    <w:p>
      <w:pPr>
        <w:spacing w:before="110"/>
        <w:ind w:left="117" w:right="0" w:firstLine="0"/>
        <w:jc w:val="left"/>
        <w:rPr>
          <w:rFonts w:ascii="Segoe UI" w:hAnsi="Segoe UI" w:cs="Segoe UI" w:eastAsia="Segoe UI"/>
          <w:sz w:val="19"/>
          <w:szCs w:val="19"/>
        </w:rPr>
      </w:pPr>
      <w:r>
        <w:rPr>
          <w:rFonts w:ascii="Century Gothic" w:hAnsi="Century Gothic"/>
          <w:color w:val="69973E"/>
          <w:sz w:val="19"/>
        </w:rPr>
        <w:t>» </w:t>
      </w:r>
      <w:r>
        <w:rPr>
          <w:rFonts w:ascii="Century Gothic" w:hAnsi="Century Gothic"/>
          <w:color w:val="69973E"/>
          <w:spacing w:val="37"/>
          <w:sz w:val="19"/>
        </w:rPr>
        <w:t> </w:t>
      </w:r>
      <w:r>
        <w:rPr>
          <w:rFonts w:ascii="Segoe UI" w:hAnsi="Segoe UI"/>
          <w:color w:val="69973E"/>
          <w:spacing w:val="-1"/>
          <w:sz w:val="19"/>
        </w:rPr>
        <w:t>Rheumatic</w:t>
      </w:r>
      <w:r>
        <w:rPr>
          <w:rFonts w:ascii="Segoe UI" w:hAnsi="Segoe UI"/>
          <w:color w:val="69973E"/>
          <w:spacing w:val="-2"/>
          <w:sz w:val="19"/>
        </w:rPr>
        <w:t> </w:t>
      </w:r>
      <w:r>
        <w:rPr>
          <w:rFonts w:ascii="Segoe UI" w:hAnsi="Segoe UI"/>
          <w:color w:val="69973E"/>
          <w:sz w:val="19"/>
        </w:rPr>
        <w:t>Heart</w:t>
      </w:r>
      <w:r>
        <w:rPr>
          <w:rFonts w:ascii="Segoe UI" w:hAnsi="Segoe UI"/>
          <w:sz w:val="19"/>
        </w:rPr>
      </w:r>
    </w:p>
    <w:p>
      <w:pPr>
        <w:spacing w:before="110"/>
        <w:ind w:left="117" w:right="0" w:firstLine="0"/>
        <w:jc w:val="left"/>
        <w:rPr>
          <w:rFonts w:ascii="Segoe UI" w:hAnsi="Segoe UI" w:cs="Segoe UI" w:eastAsia="Segoe UI"/>
          <w:sz w:val="19"/>
          <w:szCs w:val="19"/>
        </w:rPr>
      </w:pPr>
      <w:r>
        <w:rPr>
          <w:rFonts w:ascii="Century Gothic" w:hAnsi="Century Gothic"/>
          <w:color w:val="69973E"/>
          <w:sz w:val="19"/>
        </w:rPr>
        <w:t>» </w:t>
      </w:r>
      <w:r>
        <w:rPr>
          <w:rFonts w:ascii="Century Gothic" w:hAnsi="Century Gothic"/>
          <w:color w:val="69973E"/>
          <w:spacing w:val="36"/>
          <w:sz w:val="19"/>
        </w:rPr>
        <w:t> </w:t>
      </w:r>
      <w:r>
        <w:rPr>
          <w:rFonts w:ascii="Segoe UI" w:hAnsi="Segoe UI"/>
          <w:color w:val="69973E"/>
          <w:spacing w:val="-1"/>
          <w:sz w:val="19"/>
        </w:rPr>
        <w:t>Kidney</w:t>
      </w:r>
      <w:r>
        <w:rPr>
          <w:rFonts w:ascii="Segoe UI" w:hAnsi="Segoe UI"/>
          <w:color w:val="69973E"/>
          <w:spacing w:val="-2"/>
          <w:sz w:val="19"/>
        </w:rPr>
        <w:t> </w:t>
      </w:r>
      <w:r>
        <w:rPr>
          <w:rFonts w:ascii="Segoe UI" w:hAnsi="Segoe UI"/>
          <w:color w:val="69973E"/>
          <w:sz w:val="19"/>
        </w:rPr>
        <w:t>disease</w:t>
      </w:r>
      <w:r>
        <w:rPr>
          <w:rFonts w:ascii="Segoe UI" w:hAnsi="Segoe UI"/>
          <w:sz w:val="19"/>
        </w:rPr>
      </w:r>
    </w:p>
    <w:p>
      <w:pPr>
        <w:spacing w:before="110"/>
        <w:ind w:left="117" w:right="0" w:firstLine="0"/>
        <w:jc w:val="left"/>
        <w:rPr>
          <w:rFonts w:ascii="Segoe UI" w:hAnsi="Segoe UI" w:cs="Segoe UI" w:eastAsia="Segoe UI"/>
          <w:sz w:val="19"/>
          <w:szCs w:val="19"/>
        </w:rPr>
      </w:pPr>
      <w:r>
        <w:rPr>
          <w:rFonts w:ascii="Century Gothic" w:hAnsi="Century Gothic"/>
          <w:color w:val="69973E"/>
          <w:sz w:val="19"/>
        </w:rPr>
        <w:t>» </w:t>
      </w:r>
      <w:r>
        <w:rPr>
          <w:rFonts w:ascii="Century Gothic" w:hAnsi="Century Gothic"/>
          <w:color w:val="69973E"/>
          <w:spacing w:val="33"/>
          <w:sz w:val="19"/>
        </w:rPr>
        <w:t> </w:t>
      </w:r>
      <w:r>
        <w:rPr>
          <w:rFonts w:ascii="Segoe UI" w:hAnsi="Segoe UI"/>
          <w:color w:val="69973E"/>
          <w:sz w:val="19"/>
        </w:rPr>
        <w:t>Heart</w:t>
      </w:r>
      <w:r>
        <w:rPr>
          <w:rFonts w:ascii="Segoe UI" w:hAnsi="Segoe UI"/>
          <w:color w:val="69973E"/>
          <w:spacing w:val="-3"/>
          <w:sz w:val="19"/>
        </w:rPr>
        <w:t> </w:t>
      </w:r>
      <w:r>
        <w:rPr>
          <w:rFonts w:ascii="Segoe UI" w:hAnsi="Segoe UI"/>
          <w:color w:val="69973E"/>
          <w:spacing w:val="-1"/>
          <w:sz w:val="19"/>
        </w:rPr>
        <w:t>Disease</w:t>
      </w:r>
      <w:r>
        <w:rPr>
          <w:rFonts w:ascii="Segoe UI" w:hAnsi="Segoe UI"/>
          <w:color w:val="69973E"/>
          <w:spacing w:val="-3"/>
          <w:sz w:val="19"/>
        </w:rPr>
        <w:t> </w:t>
      </w:r>
      <w:r>
        <w:rPr>
          <w:rFonts w:ascii="Segoe UI" w:hAnsi="Segoe UI"/>
          <w:color w:val="69973E"/>
          <w:sz w:val="19"/>
        </w:rPr>
        <w:t>(non</w:t>
      </w:r>
      <w:r>
        <w:rPr>
          <w:rFonts w:ascii="Segoe UI" w:hAnsi="Segoe UI"/>
          <w:color w:val="69973E"/>
          <w:spacing w:val="-4"/>
          <w:sz w:val="19"/>
        </w:rPr>
        <w:t> </w:t>
      </w:r>
      <w:r>
        <w:rPr>
          <w:rFonts w:ascii="Segoe UI" w:hAnsi="Segoe UI"/>
          <w:color w:val="69973E"/>
          <w:sz w:val="19"/>
        </w:rPr>
        <w:t>rheumatic</w:t>
      </w:r>
      <w:r>
        <w:rPr>
          <w:rFonts w:ascii="Segoe UI" w:hAnsi="Segoe UI"/>
          <w:color w:val="69973E"/>
          <w:spacing w:val="-4"/>
          <w:sz w:val="19"/>
        </w:rPr>
        <w:t> </w:t>
      </w:r>
      <w:r>
        <w:rPr>
          <w:rFonts w:ascii="Segoe UI" w:hAnsi="Segoe UI"/>
          <w:color w:val="69973E"/>
          <w:sz w:val="19"/>
        </w:rPr>
        <w:t>heart</w:t>
      </w:r>
      <w:r>
        <w:rPr>
          <w:rFonts w:ascii="Segoe UI" w:hAnsi="Segoe UI"/>
          <w:color w:val="69973E"/>
          <w:spacing w:val="-3"/>
          <w:sz w:val="19"/>
        </w:rPr>
        <w:t> </w:t>
      </w:r>
      <w:r>
        <w:rPr>
          <w:rFonts w:ascii="Segoe UI" w:hAnsi="Segoe UI"/>
          <w:color w:val="69973E"/>
          <w:sz w:val="19"/>
        </w:rPr>
        <w:t>disease)</w:t>
      </w:r>
      <w:r>
        <w:rPr>
          <w:rFonts w:ascii="Segoe UI" w:hAnsi="Segoe UI"/>
          <w:sz w:val="19"/>
        </w:rPr>
      </w:r>
    </w:p>
    <w:p>
      <w:pPr>
        <w:spacing w:before="110"/>
        <w:ind w:left="117" w:right="0" w:firstLine="0"/>
        <w:jc w:val="left"/>
        <w:rPr>
          <w:rFonts w:ascii="Segoe UI" w:hAnsi="Segoe UI" w:cs="Segoe UI" w:eastAsia="Segoe UI"/>
          <w:sz w:val="19"/>
          <w:szCs w:val="19"/>
        </w:rPr>
      </w:pPr>
      <w:r>
        <w:rPr>
          <w:rFonts w:ascii="Century Gothic" w:hAnsi="Century Gothic"/>
          <w:color w:val="69973E"/>
          <w:sz w:val="19"/>
        </w:rPr>
        <w:t>» </w:t>
      </w:r>
      <w:r>
        <w:rPr>
          <w:rFonts w:ascii="Century Gothic" w:hAnsi="Century Gothic"/>
          <w:color w:val="69973E"/>
          <w:spacing w:val="35"/>
          <w:sz w:val="19"/>
        </w:rPr>
        <w:t> </w:t>
      </w:r>
      <w:r>
        <w:rPr>
          <w:rFonts w:ascii="Segoe UI" w:hAnsi="Segoe UI"/>
          <w:color w:val="69973E"/>
          <w:spacing w:val="-1"/>
          <w:sz w:val="19"/>
        </w:rPr>
        <w:t>Dental</w:t>
      </w:r>
      <w:r>
        <w:rPr>
          <w:rFonts w:ascii="Segoe UI" w:hAnsi="Segoe UI"/>
          <w:color w:val="69973E"/>
          <w:spacing w:val="-3"/>
          <w:sz w:val="19"/>
        </w:rPr>
        <w:t> </w:t>
      </w:r>
      <w:r>
        <w:rPr>
          <w:rFonts w:ascii="Segoe UI" w:hAnsi="Segoe UI"/>
          <w:color w:val="69973E"/>
          <w:sz w:val="19"/>
        </w:rPr>
        <w:t>health</w:t>
      </w:r>
      <w:r>
        <w:rPr>
          <w:rFonts w:ascii="Segoe UI" w:hAnsi="Segoe UI"/>
          <w:color w:val="69973E"/>
          <w:spacing w:val="-3"/>
          <w:sz w:val="19"/>
        </w:rPr>
        <w:t> </w:t>
      </w:r>
      <w:r>
        <w:rPr>
          <w:rFonts w:ascii="Segoe UI" w:hAnsi="Segoe UI"/>
          <w:color w:val="69973E"/>
          <w:sz w:val="19"/>
        </w:rPr>
        <w:t>and</w:t>
      </w:r>
      <w:r>
        <w:rPr>
          <w:rFonts w:ascii="Segoe UI" w:hAnsi="Segoe UI"/>
          <w:color w:val="69973E"/>
          <w:spacing w:val="-3"/>
          <w:sz w:val="19"/>
        </w:rPr>
        <w:t> </w:t>
      </w:r>
      <w:r>
        <w:rPr>
          <w:rFonts w:ascii="Segoe UI" w:hAnsi="Segoe UI"/>
          <w:color w:val="69973E"/>
          <w:sz w:val="19"/>
        </w:rPr>
        <w:t>gum</w:t>
      </w:r>
      <w:r>
        <w:rPr>
          <w:rFonts w:ascii="Segoe UI" w:hAnsi="Segoe UI"/>
          <w:color w:val="69973E"/>
          <w:spacing w:val="-3"/>
          <w:sz w:val="19"/>
        </w:rPr>
        <w:t> </w:t>
      </w:r>
      <w:r>
        <w:rPr>
          <w:rFonts w:ascii="Segoe UI" w:hAnsi="Segoe UI"/>
          <w:color w:val="69973E"/>
          <w:sz w:val="19"/>
        </w:rPr>
        <w:t>disease</w:t>
      </w:r>
      <w:r>
        <w:rPr>
          <w:rFonts w:ascii="Segoe UI" w:hAnsi="Segoe UI"/>
          <w:sz w:val="19"/>
        </w:rPr>
      </w:r>
    </w:p>
    <w:p>
      <w:pPr>
        <w:spacing w:before="110"/>
        <w:ind w:left="117" w:right="0" w:firstLine="0"/>
        <w:jc w:val="left"/>
        <w:rPr>
          <w:rFonts w:ascii="Segoe UI" w:hAnsi="Segoe UI" w:cs="Segoe UI" w:eastAsia="Segoe UI"/>
          <w:sz w:val="19"/>
          <w:szCs w:val="19"/>
        </w:rPr>
      </w:pPr>
      <w:r>
        <w:rPr>
          <w:rFonts w:ascii="Century Gothic" w:hAnsi="Century Gothic"/>
          <w:color w:val="69973E"/>
          <w:sz w:val="19"/>
        </w:rPr>
        <w:t>» </w:t>
      </w:r>
      <w:r>
        <w:rPr>
          <w:rFonts w:ascii="Century Gothic" w:hAnsi="Century Gothic"/>
          <w:color w:val="69973E"/>
          <w:spacing w:val="38"/>
          <w:sz w:val="19"/>
        </w:rPr>
        <w:t> </w:t>
      </w:r>
      <w:r>
        <w:rPr>
          <w:rFonts w:ascii="Segoe UI" w:hAnsi="Segoe UI"/>
          <w:color w:val="69973E"/>
          <w:spacing w:val="-1"/>
          <w:sz w:val="19"/>
        </w:rPr>
        <w:t>Diabetes</w:t>
      </w:r>
      <w:r>
        <w:rPr>
          <w:rFonts w:ascii="Segoe UI" w:hAnsi="Segoe UI"/>
          <w:color w:val="69973E"/>
          <w:spacing w:val="-2"/>
          <w:sz w:val="19"/>
        </w:rPr>
        <w:t> </w:t>
      </w:r>
      <w:r>
        <w:rPr>
          <w:rFonts w:ascii="Segoe UI" w:hAnsi="Segoe UI"/>
          <w:color w:val="69973E"/>
          <w:sz w:val="19"/>
        </w:rPr>
        <w:t>(types</w:t>
      </w:r>
      <w:r>
        <w:rPr>
          <w:rFonts w:ascii="Segoe UI" w:hAnsi="Segoe UI"/>
          <w:color w:val="69973E"/>
          <w:spacing w:val="-2"/>
          <w:sz w:val="19"/>
        </w:rPr>
        <w:t> </w:t>
      </w:r>
      <w:r>
        <w:rPr>
          <w:rFonts w:ascii="Segoe UI" w:hAnsi="Segoe UI"/>
          <w:color w:val="69973E"/>
          <w:sz w:val="19"/>
        </w:rPr>
        <w:t>1</w:t>
      </w:r>
      <w:r>
        <w:rPr>
          <w:rFonts w:ascii="Segoe UI" w:hAnsi="Segoe UI"/>
          <w:color w:val="69973E"/>
          <w:spacing w:val="-1"/>
          <w:sz w:val="19"/>
        </w:rPr>
        <w:t> </w:t>
      </w:r>
      <w:r>
        <w:rPr>
          <w:rFonts w:ascii="Segoe UI" w:hAnsi="Segoe UI"/>
          <w:color w:val="69973E"/>
          <w:sz w:val="19"/>
        </w:rPr>
        <w:t>&amp;</w:t>
      </w:r>
      <w:r>
        <w:rPr>
          <w:rFonts w:ascii="Segoe UI" w:hAnsi="Segoe UI"/>
          <w:color w:val="69973E"/>
          <w:spacing w:val="-2"/>
          <w:sz w:val="19"/>
        </w:rPr>
        <w:t> </w:t>
      </w:r>
      <w:r>
        <w:rPr>
          <w:rFonts w:ascii="Segoe UI" w:hAnsi="Segoe UI"/>
          <w:color w:val="69973E"/>
          <w:sz w:val="19"/>
        </w:rPr>
        <w:t>2)</w:t>
      </w:r>
      <w:r>
        <w:rPr>
          <w:rFonts w:ascii="Segoe UI" w:hAnsi="Segoe UI"/>
          <w:sz w:val="19"/>
        </w:rPr>
      </w:r>
    </w:p>
    <w:p>
      <w:pPr>
        <w:spacing w:line="250" w:lineRule="exact" w:before="115"/>
        <w:ind w:left="344" w:right="1521" w:hanging="227"/>
        <w:jc w:val="left"/>
        <w:rPr>
          <w:rFonts w:ascii="Segoe UI" w:hAnsi="Segoe UI" w:cs="Segoe UI" w:eastAsia="Segoe UI"/>
          <w:sz w:val="19"/>
          <w:szCs w:val="19"/>
        </w:rPr>
      </w:pPr>
      <w:r>
        <w:rPr>
          <w:rFonts w:ascii="Century Gothic" w:hAnsi="Century Gothic"/>
          <w:color w:val="69973E"/>
          <w:sz w:val="19"/>
        </w:rPr>
        <w:t>» </w:t>
      </w:r>
      <w:r>
        <w:rPr>
          <w:rFonts w:ascii="Century Gothic" w:hAnsi="Century Gothic"/>
          <w:color w:val="69973E"/>
          <w:spacing w:val="30"/>
          <w:sz w:val="19"/>
        </w:rPr>
        <w:t> </w:t>
      </w:r>
      <w:r>
        <w:rPr>
          <w:rFonts w:ascii="Segoe UI" w:hAnsi="Segoe UI"/>
          <w:color w:val="69973E"/>
          <w:sz w:val="19"/>
        </w:rPr>
        <w:t>Anxiety</w:t>
      </w:r>
      <w:r>
        <w:rPr>
          <w:rFonts w:ascii="Segoe UI" w:hAnsi="Segoe UI"/>
          <w:color w:val="69973E"/>
          <w:spacing w:val="-6"/>
          <w:sz w:val="19"/>
        </w:rPr>
        <w:t> </w:t>
      </w:r>
      <w:r>
        <w:rPr>
          <w:rFonts w:ascii="Segoe UI" w:hAnsi="Segoe UI"/>
          <w:color w:val="69973E"/>
          <w:sz w:val="19"/>
        </w:rPr>
        <w:t>and</w:t>
      </w:r>
      <w:r>
        <w:rPr>
          <w:rFonts w:ascii="Segoe UI" w:hAnsi="Segoe UI"/>
          <w:color w:val="69973E"/>
          <w:spacing w:val="-5"/>
          <w:sz w:val="19"/>
        </w:rPr>
        <w:t> </w:t>
      </w:r>
      <w:r>
        <w:rPr>
          <w:rFonts w:ascii="Segoe UI" w:hAnsi="Segoe UI"/>
          <w:color w:val="69973E"/>
          <w:sz w:val="19"/>
        </w:rPr>
        <w:t>depression</w:t>
      </w:r>
      <w:r>
        <w:rPr>
          <w:rFonts w:ascii="Segoe UI" w:hAnsi="Segoe UI"/>
          <w:color w:val="69973E"/>
          <w:spacing w:val="-7"/>
          <w:sz w:val="19"/>
        </w:rPr>
        <w:t> </w:t>
      </w:r>
      <w:r>
        <w:rPr>
          <w:rFonts w:ascii="Segoe UI" w:hAnsi="Segoe UI"/>
          <w:color w:val="69973E"/>
          <w:sz w:val="19"/>
        </w:rPr>
        <w:t>related</w:t>
      </w:r>
      <w:r>
        <w:rPr>
          <w:rFonts w:ascii="Segoe UI" w:hAnsi="Segoe UI"/>
          <w:color w:val="69973E"/>
          <w:spacing w:val="-7"/>
          <w:sz w:val="19"/>
        </w:rPr>
        <w:t> </w:t>
      </w:r>
      <w:r>
        <w:rPr>
          <w:rFonts w:ascii="Segoe UI" w:hAnsi="Segoe UI"/>
          <w:color w:val="69973E"/>
          <w:spacing w:val="-1"/>
          <w:sz w:val="19"/>
        </w:rPr>
        <w:t>social-emotional</w:t>
      </w:r>
      <w:r>
        <w:rPr>
          <w:rFonts w:ascii="Segoe UI" w:hAnsi="Segoe UI"/>
          <w:color w:val="69973E"/>
          <w:spacing w:val="20"/>
          <w:sz w:val="19"/>
        </w:rPr>
        <w:t> </w:t>
      </w:r>
      <w:r>
        <w:rPr>
          <w:rFonts w:ascii="Segoe UI" w:hAnsi="Segoe UI"/>
          <w:color w:val="69973E"/>
          <w:sz w:val="19"/>
        </w:rPr>
        <w:t>disorders.</w:t>
      </w:r>
      <w:r>
        <w:rPr>
          <w:rFonts w:ascii="Segoe UI" w:hAnsi="Segoe UI"/>
          <w:sz w:val="19"/>
        </w:rPr>
      </w:r>
    </w:p>
    <w:p>
      <w:pPr>
        <w:spacing w:line="265" w:lineRule="auto" w:before="138"/>
        <w:ind w:left="117" w:right="1741" w:firstLine="0"/>
        <w:jc w:val="left"/>
        <w:rPr>
          <w:rFonts w:ascii="Segoe UI" w:hAnsi="Segoe UI" w:cs="Segoe UI" w:eastAsia="Segoe UI"/>
          <w:sz w:val="19"/>
          <w:szCs w:val="19"/>
        </w:rPr>
      </w:pPr>
      <w:r>
        <w:rPr>
          <w:rFonts w:ascii="Segoe UI"/>
          <w:color w:val="67973F"/>
          <w:sz w:val="19"/>
        </w:rPr>
        <w:t>Thirty</w:t>
      </w:r>
      <w:r>
        <w:rPr>
          <w:rFonts w:ascii="Segoe UI"/>
          <w:color w:val="67973F"/>
          <w:spacing w:val="-6"/>
          <w:sz w:val="19"/>
        </w:rPr>
        <w:t> </w:t>
      </w:r>
      <w:r>
        <w:rPr>
          <w:rFonts w:ascii="Segoe UI"/>
          <w:color w:val="67973F"/>
          <w:sz w:val="19"/>
        </w:rPr>
        <w:t>nine</w:t>
      </w:r>
      <w:r>
        <w:rPr>
          <w:rFonts w:ascii="Segoe UI"/>
          <w:color w:val="67973F"/>
          <w:spacing w:val="-6"/>
          <w:sz w:val="19"/>
        </w:rPr>
        <w:t> </w:t>
      </w:r>
      <w:r>
        <w:rPr>
          <w:rFonts w:ascii="Segoe UI"/>
          <w:color w:val="67973F"/>
          <w:sz w:val="19"/>
        </w:rPr>
        <w:t>percent</w:t>
      </w:r>
      <w:r>
        <w:rPr>
          <w:rFonts w:ascii="Segoe UI"/>
          <w:color w:val="67973F"/>
          <w:spacing w:val="-5"/>
          <w:sz w:val="19"/>
        </w:rPr>
        <w:t> </w:t>
      </w:r>
      <w:r>
        <w:rPr>
          <w:rFonts w:ascii="Segoe UI"/>
          <w:color w:val="67973F"/>
          <w:sz w:val="19"/>
        </w:rPr>
        <w:t>(39</w:t>
      </w:r>
      <w:r>
        <w:rPr>
          <w:rFonts w:ascii="Segoe UI"/>
          <w:color w:val="67973F"/>
          <w:spacing w:val="-6"/>
          <w:sz w:val="19"/>
        </w:rPr>
        <w:t> </w:t>
      </w:r>
      <w:r>
        <w:rPr>
          <w:rFonts w:ascii="Segoe UI"/>
          <w:color w:val="67973F"/>
          <w:sz w:val="19"/>
        </w:rPr>
        <w:t>per</w:t>
      </w:r>
      <w:r>
        <w:rPr>
          <w:rFonts w:ascii="Segoe UI"/>
          <w:color w:val="67973F"/>
          <w:spacing w:val="-4"/>
          <w:sz w:val="19"/>
        </w:rPr>
        <w:t> </w:t>
      </w:r>
      <w:r>
        <w:rPr>
          <w:rFonts w:ascii="Segoe UI"/>
          <w:color w:val="67973F"/>
          <w:sz w:val="19"/>
        </w:rPr>
        <w:t>cent)</w:t>
      </w:r>
      <w:r>
        <w:rPr>
          <w:rFonts w:ascii="Segoe UI"/>
          <w:color w:val="67973F"/>
          <w:spacing w:val="-5"/>
          <w:sz w:val="19"/>
        </w:rPr>
        <w:t> </w:t>
      </w:r>
      <w:r>
        <w:rPr>
          <w:rFonts w:ascii="Segoe UI"/>
          <w:color w:val="67973F"/>
          <w:sz w:val="19"/>
        </w:rPr>
        <w:t>of</w:t>
      </w:r>
      <w:r>
        <w:rPr>
          <w:rFonts w:ascii="Segoe UI"/>
          <w:color w:val="67973F"/>
          <w:spacing w:val="-4"/>
          <w:sz w:val="19"/>
        </w:rPr>
        <w:t> </w:t>
      </w:r>
      <w:r>
        <w:rPr>
          <w:rFonts w:ascii="Segoe UI"/>
          <w:color w:val="67973F"/>
          <w:sz w:val="19"/>
        </w:rPr>
        <w:t>current</w:t>
      </w:r>
      <w:r>
        <w:rPr>
          <w:rFonts w:ascii="Segoe UI"/>
          <w:color w:val="67973F"/>
          <w:w w:val="99"/>
          <w:sz w:val="19"/>
        </w:rPr>
        <w:t> </w:t>
      </w:r>
      <w:r>
        <w:rPr>
          <w:rFonts w:ascii="Segoe UI"/>
          <w:color w:val="67973F"/>
          <w:spacing w:val="-1"/>
          <w:sz w:val="19"/>
        </w:rPr>
        <w:t>secondary</w:t>
      </w:r>
      <w:r>
        <w:rPr>
          <w:rFonts w:ascii="Segoe UI"/>
          <w:color w:val="67973F"/>
          <w:spacing w:val="-8"/>
          <w:sz w:val="19"/>
        </w:rPr>
        <w:t> </w:t>
      </w:r>
      <w:r>
        <w:rPr>
          <w:rFonts w:ascii="Segoe UI"/>
          <w:color w:val="67973F"/>
          <w:sz w:val="19"/>
        </w:rPr>
        <w:t>enrolment</w:t>
      </w:r>
      <w:r>
        <w:rPr>
          <w:rFonts w:ascii="Segoe UI"/>
          <w:color w:val="67973F"/>
          <w:spacing w:val="-9"/>
          <w:sz w:val="19"/>
        </w:rPr>
        <w:t> </w:t>
      </w:r>
      <w:r>
        <w:rPr>
          <w:rFonts w:ascii="Segoe UI"/>
          <w:color w:val="67973F"/>
          <w:sz w:val="19"/>
        </w:rPr>
        <w:t>have</w:t>
      </w:r>
      <w:r>
        <w:rPr>
          <w:rFonts w:ascii="Segoe UI"/>
          <w:color w:val="67973F"/>
          <w:spacing w:val="-9"/>
          <w:sz w:val="19"/>
        </w:rPr>
        <w:t> </w:t>
      </w:r>
      <w:r>
        <w:rPr>
          <w:rFonts w:ascii="Segoe UI"/>
          <w:color w:val="67973F"/>
          <w:sz w:val="19"/>
        </w:rPr>
        <w:t>presented</w:t>
      </w:r>
      <w:r>
        <w:rPr>
          <w:rFonts w:ascii="Segoe UI"/>
          <w:color w:val="67973F"/>
          <w:spacing w:val="-10"/>
          <w:sz w:val="19"/>
        </w:rPr>
        <w:t> </w:t>
      </w:r>
      <w:r>
        <w:rPr>
          <w:rFonts w:ascii="Segoe UI"/>
          <w:color w:val="67973F"/>
          <w:sz w:val="19"/>
        </w:rPr>
        <w:t>with</w:t>
      </w:r>
      <w:r>
        <w:rPr>
          <w:rFonts w:ascii="Segoe UI"/>
          <w:color w:val="67973F"/>
          <w:spacing w:val="22"/>
          <w:w w:val="99"/>
          <w:sz w:val="19"/>
        </w:rPr>
        <w:t> </w:t>
      </w:r>
      <w:r>
        <w:rPr>
          <w:rFonts w:ascii="Segoe UI"/>
          <w:color w:val="67973F"/>
          <w:spacing w:val="-1"/>
          <w:sz w:val="19"/>
        </w:rPr>
        <w:t>substance</w:t>
      </w:r>
      <w:r>
        <w:rPr>
          <w:rFonts w:ascii="Segoe UI"/>
          <w:color w:val="67973F"/>
          <w:spacing w:val="-4"/>
          <w:sz w:val="19"/>
        </w:rPr>
        <w:t> </w:t>
      </w:r>
      <w:r>
        <w:rPr>
          <w:rFonts w:ascii="Segoe UI"/>
          <w:color w:val="67973F"/>
          <w:sz w:val="19"/>
        </w:rPr>
        <w:t>use</w:t>
      </w:r>
      <w:r>
        <w:rPr>
          <w:rFonts w:ascii="Segoe UI"/>
          <w:color w:val="67973F"/>
          <w:spacing w:val="-5"/>
          <w:sz w:val="19"/>
        </w:rPr>
        <w:t> </w:t>
      </w:r>
      <w:r>
        <w:rPr>
          <w:rFonts w:ascii="Segoe UI"/>
          <w:color w:val="67973F"/>
          <w:spacing w:val="-1"/>
          <w:sz w:val="19"/>
        </w:rPr>
        <w:t>issues</w:t>
      </w:r>
      <w:r>
        <w:rPr>
          <w:rFonts w:ascii="Segoe UI"/>
          <w:color w:val="67973F"/>
          <w:spacing w:val="-5"/>
          <w:sz w:val="19"/>
        </w:rPr>
        <w:t> </w:t>
      </w:r>
      <w:r>
        <w:rPr>
          <w:rFonts w:ascii="Segoe UI"/>
          <w:color w:val="67973F"/>
          <w:sz w:val="19"/>
        </w:rPr>
        <w:t>requiring</w:t>
      </w:r>
      <w:r>
        <w:rPr>
          <w:rFonts w:ascii="Segoe UI"/>
          <w:color w:val="67973F"/>
          <w:spacing w:val="-5"/>
          <w:sz w:val="19"/>
        </w:rPr>
        <w:t> </w:t>
      </w:r>
      <w:r>
        <w:rPr>
          <w:rFonts w:ascii="Segoe UI"/>
          <w:color w:val="67973F"/>
          <w:spacing w:val="-1"/>
          <w:sz w:val="19"/>
        </w:rPr>
        <w:t>intervention.</w:t>
      </w:r>
      <w:r>
        <w:rPr>
          <w:rFonts w:ascii="Segoe UI"/>
          <w:color w:val="67973F"/>
          <w:spacing w:val="-4"/>
          <w:sz w:val="19"/>
        </w:rPr>
        <w:t> </w:t>
      </w:r>
      <w:r>
        <w:rPr>
          <w:rFonts w:ascii="Segoe UI"/>
          <w:color w:val="67973F"/>
          <w:sz w:val="19"/>
        </w:rPr>
        <w:t>This</w:t>
      </w:r>
      <w:r>
        <w:rPr>
          <w:rFonts w:ascii="Segoe UI"/>
          <w:color w:val="67973F"/>
          <w:spacing w:val="-5"/>
          <w:sz w:val="19"/>
        </w:rPr>
        <w:t> </w:t>
      </w:r>
      <w:r>
        <w:rPr>
          <w:rFonts w:ascii="Segoe UI"/>
          <w:color w:val="67973F"/>
          <w:spacing w:val="-1"/>
          <w:sz w:val="19"/>
        </w:rPr>
        <w:t>is</w:t>
      </w:r>
      <w:r>
        <w:rPr>
          <w:rFonts w:ascii="Segoe UI"/>
          <w:color w:val="67973F"/>
          <w:spacing w:val="23"/>
          <w:sz w:val="19"/>
        </w:rPr>
        <w:t> </w:t>
      </w:r>
      <w:r>
        <w:rPr>
          <w:rFonts w:ascii="Segoe UI"/>
          <w:color w:val="67973F"/>
          <w:sz w:val="19"/>
        </w:rPr>
        <w:t>usually</w:t>
      </w:r>
      <w:r>
        <w:rPr>
          <w:rFonts w:ascii="Segoe UI"/>
          <w:color w:val="67973F"/>
          <w:spacing w:val="-6"/>
          <w:sz w:val="19"/>
        </w:rPr>
        <w:t> </w:t>
      </w:r>
      <w:r>
        <w:rPr>
          <w:rFonts w:ascii="Segoe UI"/>
          <w:color w:val="67973F"/>
          <w:spacing w:val="-1"/>
          <w:sz w:val="19"/>
        </w:rPr>
        <w:t>in</w:t>
      </w:r>
      <w:r>
        <w:rPr>
          <w:rFonts w:ascii="Segoe UI"/>
          <w:color w:val="67973F"/>
          <w:spacing w:val="-4"/>
          <w:sz w:val="19"/>
        </w:rPr>
        <w:t> </w:t>
      </w:r>
      <w:r>
        <w:rPr>
          <w:rFonts w:ascii="Segoe UI"/>
          <w:color w:val="67973F"/>
          <w:sz w:val="19"/>
        </w:rPr>
        <w:t>the</w:t>
      </w:r>
      <w:r>
        <w:rPr>
          <w:rFonts w:ascii="Segoe UI"/>
          <w:color w:val="67973F"/>
          <w:spacing w:val="-5"/>
          <w:sz w:val="19"/>
        </w:rPr>
        <w:t> </w:t>
      </w:r>
      <w:r>
        <w:rPr>
          <w:rFonts w:ascii="Segoe UI"/>
          <w:color w:val="67973F"/>
          <w:sz w:val="19"/>
        </w:rPr>
        <w:t>form</w:t>
      </w:r>
      <w:r>
        <w:rPr>
          <w:rFonts w:ascii="Segoe UI"/>
          <w:color w:val="67973F"/>
          <w:spacing w:val="-4"/>
          <w:sz w:val="19"/>
        </w:rPr>
        <w:t> </w:t>
      </w:r>
      <w:r>
        <w:rPr>
          <w:rFonts w:ascii="Segoe UI"/>
          <w:color w:val="67973F"/>
          <w:sz w:val="19"/>
        </w:rPr>
        <w:t>of</w:t>
      </w:r>
      <w:r>
        <w:rPr>
          <w:rFonts w:ascii="Segoe UI"/>
          <w:color w:val="67973F"/>
          <w:spacing w:val="-5"/>
          <w:sz w:val="19"/>
        </w:rPr>
        <w:t> </w:t>
      </w:r>
      <w:r>
        <w:rPr>
          <w:rFonts w:ascii="Segoe UI"/>
          <w:color w:val="67973F"/>
          <w:sz w:val="19"/>
        </w:rPr>
        <w:t>brief</w:t>
      </w:r>
      <w:r>
        <w:rPr>
          <w:rFonts w:ascii="Segoe UI"/>
          <w:color w:val="67973F"/>
          <w:spacing w:val="-5"/>
          <w:sz w:val="19"/>
        </w:rPr>
        <w:t> </w:t>
      </w:r>
      <w:r>
        <w:rPr>
          <w:rFonts w:ascii="Segoe UI"/>
          <w:color w:val="67973F"/>
          <w:spacing w:val="-1"/>
          <w:sz w:val="19"/>
        </w:rPr>
        <w:t>intervention</w:t>
      </w:r>
      <w:r>
        <w:rPr>
          <w:rFonts w:ascii="Segoe UI"/>
          <w:color w:val="67973F"/>
          <w:spacing w:val="-4"/>
          <w:sz w:val="19"/>
        </w:rPr>
        <w:t> </w:t>
      </w:r>
      <w:r>
        <w:rPr>
          <w:rFonts w:ascii="Segoe UI"/>
          <w:color w:val="67973F"/>
          <w:sz w:val="19"/>
        </w:rPr>
        <w:t>followed</w:t>
      </w:r>
      <w:r>
        <w:rPr>
          <w:rFonts w:ascii="Segoe UI"/>
          <w:color w:val="67973F"/>
          <w:spacing w:val="23"/>
          <w:w w:val="99"/>
          <w:sz w:val="19"/>
        </w:rPr>
        <w:t> </w:t>
      </w:r>
      <w:r>
        <w:rPr>
          <w:rFonts w:ascii="Segoe UI"/>
          <w:color w:val="67973F"/>
          <w:sz w:val="19"/>
        </w:rPr>
        <w:t>by</w:t>
      </w:r>
      <w:r>
        <w:rPr>
          <w:rFonts w:ascii="Segoe UI"/>
          <w:color w:val="67973F"/>
          <w:spacing w:val="-4"/>
          <w:sz w:val="19"/>
        </w:rPr>
        <w:t> </w:t>
      </w:r>
      <w:r>
        <w:rPr>
          <w:rFonts w:ascii="Segoe UI"/>
          <w:color w:val="67973F"/>
          <w:sz w:val="19"/>
        </w:rPr>
        <w:t>referral</w:t>
      </w:r>
      <w:r>
        <w:rPr>
          <w:rFonts w:ascii="Segoe UI"/>
          <w:color w:val="67973F"/>
          <w:spacing w:val="-4"/>
          <w:sz w:val="19"/>
        </w:rPr>
        <w:t> </w:t>
      </w:r>
      <w:r>
        <w:rPr>
          <w:rFonts w:ascii="Segoe UI"/>
          <w:color w:val="67973F"/>
          <w:sz w:val="19"/>
        </w:rPr>
        <w:t>to</w:t>
      </w:r>
      <w:r>
        <w:rPr>
          <w:rFonts w:ascii="Segoe UI"/>
          <w:color w:val="67973F"/>
          <w:spacing w:val="-3"/>
          <w:sz w:val="19"/>
        </w:rPr>
        <w:t> </w:t>
      </w:r>
      <w:r>
        <w:rPr>
          <w:rFonts w:ascii="Segoe UI"/>
          <w:color w:val="67973F"/>
          <w:sz w:val="19"/>
        </w:rPr>
        <w:t>Alcohol</w:t>
      </w:r>
      <w:r>
        <w:rPr>
          <w:rFonts w:ascii="Segoe UI"/>
          <w:color w:val="67973F"/>
          <w:spacing w:val="-4"/>
          <w:sz w:val="19"/>
        </w:rPr>
        <w:t> </w:t>
      </w:r>
      <w:r>
        <w:rPr>
          <w:rFonts w:ascii="Segoe UI"/>
          <w:color w:val="67973F"/>
          <w:spacing w:val="-3"/>
          <w:sz w:val="19"/>
        </w:rPr>
        <w:t>Tobacco </w:t>
      </w:r>
      <w:r>
        <w:rPr>
          <w:rFonts w:ascii="Segoe UI"/>
          <w:color w:val="67973F"/>
          <w:sz w:val="19"/>
        </w:rPr>
        <w:t>&amp;</w:t>
      </w:r>
      <w:r>
        <w:rPr>
          <w:rFonts w:ascii="Segoe UI"/>
          <w:color w:val="67973F"/>
          <w:spacing w:val="-4"/>
          <w:sz w:val="19"/>
        </w:rPr>
        <w:t> </w:t>
      </w:r>
      <w:r>
        <w:rPr>
          <w:rFonts w:ascii="Segoe UI"/>
          <w:color w:val="67973F"/>
          <w:sz w:val="19"/>
        </w:rPr>
        <w:t>Other</w:t>
      </w:r>
      <w:r>
        <w:rPr>
          <w:rFonts w:ascii="Segoe UI"/>
          <w:color w:val="67973F"/>
          <w:spacing w:val="-4"/>
          <w:sz w:val="19"/>
        </w:rPr>
        <w:t> </w:t>
      </w:r>
      <w:r>
        <w:rPr>
          <w:rFonts w:ascii="Segoe UI"/>
          <w:color w:val="67973F"/>
          <w:spacing w:val="-1"/>
          <w:sz w:val="19"/>
        </w:rPr>
        <w:t>Drugs</w:t>
      </w:r>
      <w:r>
        <w:rPr>
          <w:rFonts w:ascii="Segoe UI"/>
          <w:color w:val="67973F"/>
          <w:spacing w:val="-3"/>
          <w:sz w:val="19"/>
        </w:rPr>
        <w:t> </w:t>
      </w:r>
      <w:r>
        <w:rPr>
          <w:rFonts w:ascii="Segoe UI"/>
          <w:color w:val="67973F"/>
          <w:sz w:val="19"/>
        </w:rPr>
        <w:t>&amp;</w:t>
      </w:r>
      <w:r>
        <w:rPr>
          <w:rFonts w:ascii="Segoe UI"/>
          <w:color w:val="67973F"/>
          <w:spacing w:val="24"/>
          <w:sz w:val="19"/>
        </w:rPr>
        <w:t> </w:t>
      </w:r>
      <w:r>
        <w:rPr>
          <w:rFonts w:ascii="Segoe UI"/>
          <w:color w:val="67973F"/>
          <w:spacing w:val="-1"/>
          <w:sz w:val="19"/>
        </w:rPr>
        <w:t>Substances</w:t>
      </w:r>
      <w:r>
        <w:rPr>
          <w:rFonts w:ascii="Segoe UI"/>
          <w:color w:val="67973F"/>
          <w:spacing w:val="-6"/>
          <w:sz w:val="19"/>
        </w:rPr>
        <w:t> </w:t>
      </w:r>
      <w:r>
        <w:rPr>
          <w:rFonts w:ascii="Segoe UI"/>
          <w:color w:val="67973F"/>
          <w:spacing w:val="-3"/>
          <w:sz w:val="19"/>
        </w:rPr>
        <w:t>(ATODS),</w:t>
      </w:r>
      <w:r>
        <w:rPr>
          <w:rFonts w:ascii="Segoe UI"/>
          <w:color w:val="67973F"/>
          <w:spacing w:val="-5"/>
          <w:sz w:val="19"/>
        </w:rPr>
        <w:t> </w:t>
      </w:r>
      <w:r>
        <w:rPr>
          <w:rFonts w:ascii="Segoe UI"/>
          <w:color w:val="67973F"/>
          <w:sz w:val="19"/>
        </w:rPr>
        <w:t>Ambulance</w:t>
      </w:r>
      <w:r>
        <w:rPr>
          <w:rFonts w:ascii="Segoe UI"/>
          <w:color w:val="67973F"/>
          <w:spacing w:val="-5"/>
          <w:sz w:val="19"/>
        </w:rPr>
        <w:t> </w:t>
      </w:r>
      <w:r>
        <w:rPr>
          <w:rFonts w:ascii="Segoe UI"/>
          <w:color w:val="67973F"/>
          <w:spacing w:val="-1"/>
          <w:sz w:val="19"/>
        </w:rPr>
        <w:t>Service,</w:t>
      </w:r>
      <w:r>
        <w:rPr>
          <w:rFonts w:ascii="Segoe UI"/>
          <w:color w:val="67973F"/>
          <w:spacing w:val="-6"/>
          <w:sz w:val="19"/>
        </w:rPr>
        <w:t> </w:t>
      </w:r>
      <w:r>
        <w:rPr>
          <w:rFonts w:ascii="Segoe UI"/>
          <w:color w:val="67973F"/>
          <w:sz w:val="19"/>
        </w:rPr>
        <w:t>GP</w:t>
      </w:r>
      <w:r>
        <w:rPr>
          <w:rFonts w:ascii="Segoe UI"/>
          <w:color w:val="67973F"/>
          <w:spacing w:val="-5"/>
          <w:sz w:val="19"/>
        </w:rPr>
        <w:t> </w:t>
      </w:r>
      <w:r>
        <w:rPr>
          <w:rFonts w:ascii="Segoe UI"/>
          <w:color w:val="67973F"/>
          <w:sz w:val="19"/>
        </w:rPr>
        <w:t>or</w:t>
      </w:r>
      <w:r>
        <w:rPr>
          <w:rFonts w:ascii="Segoe UI"/>
          <w:color w:val="67973F"/>
          <w:spacing w:val="24"/>
          <w:w w:val="99"/>
          <w:sz w:val="19"/>
        </w:rPr>
        <w:t> </w:t>
      </w:r>
      <w:r>
        <w:rPr>
          <w:rFonts w:ascii="Segoe UI"/>
          <w:color w:val="67973F"/>
          <w:sz w:val="19"/>
        </w:rPr>
        <w:t>emergency</w:t>
      </w:r>
      <w:r>
        <w:rPr>
          <w:rFonts w:ascii="Segoe UI"/>
          <w:color w:val="67973F"/>
          <w:spacing w:val="-11"/>
          <w:sz w:val="19"/>
        </w:rPr>
        <w:t> </w:t>
      </w:r>
      <w:r>
        <w:rPr>
          <w:rFonts w:ascii="Segoe UI"/>
          <w:color w:val="67973F"/>
          <w:sz w:val="19"/>
        </w:rPr>
        <w:t>department</w:t>
      </w:r>
      <w:r>
        <w:rPr>
          <w:rFonts w:ascii="Segoe UI"/>
          <w:color w:val="67973F"/>
          <w:spacing w:val="-11"/>
          <w:sz w:val="19"/>
        </w:rPr>
        <w:t> </w:t>
      </w:r>
      <w:r>
        <w:rPr>
          <w:rFonts w:ascii="Segoe UI"/>
          <w:color w:val="67973F"/>
          <w:sz w:val="19"/>
        </w:rPr>
        <w:t>depending</w:t>
      </w:r>
      <w:r>
        <w:rPr>
          <w:rFonts w:ascii="Segoe UI"/>
          <w:color w:val="67973F"/>
          <w:spacing w:val="-11"/>
          <w:sz w:val="19"/>
        </w:rPr>
        <w:t> </w:t>
      </w:r>
      <w:r>
        <w:rPr>
          <w:rFonts w:ascii="Segoe UI"/>
          <w:color w:val="67973F"/>
          <w:sz w:val="19"/>
        </w:rPr>
        <w:t>on</w:t>
      </w:r>
      <w:r>
        <w:rPr>
          <w:rFonts w:ascii="Segoe UI"/>
          <w:color w:val="67973F"/>
          <w:spacing w:val="-11"/>
          <w:sz w:val="19"/>
        </w:rPr>
        <w:t> </w:t>
      </w:r>
      <w:r>
        <w:rPr>
          <w:rFonts w:ascii="Segoe UI"/>
          <w:color w:val="67973F"/>
          <w:spacing w:val="-1"/>
          <w:sz w:val="19"/>
        </w:rPr>
        <w:t>intoxication</w:t>
      </w:r>
      <w:r>
        <w:rPr>
          <w:rFonts w:ascii="Segoe UI"/>
          <w:color w:val="67973F"/>
          <w:spacing w:val="20"/>
          <w:w w:val="99"/>
          <w:sz w:val="19"/>
        </w:rPr>
        <w:t> </w:t>
      </w:r>
      <w:r>
        <w:rPr>
          <w:rFonts w:ascii="Segoe UI"/>
          <w:color w:val="67973F"/>
          <w:spacing w:val="-1"/>
          <w:sz w:val="19"/>
        </w:rPr>
        <w:t>level</w:t>
      </w:r>
      <w:r>
        <w:rPr>
          <w:rFonts w:ascii="Segoe UI"/>
          <w:color w:val="67973F"/>
          <w:spacing w:val="-3"/>
          <w:sz w:val="19"/>
        </w:rPr>
        <w:t> </w:t>
      </w:r>
      <w:r>
        <w:rPr>
          <w:rFonts w:ascii="Segoe UI"/>
          <w:color w:val="67973F"/>
          <w:sz w:val="19"/>
        </w:rPr>
        <w:t>and</w:t>
      </w:r>
      <w:r>
        <w:rPr>
          <w:rFonts w:ascii="Segoe UI"/>
          <w:color w:val="67973F"/>
          <w:spacing w:val="-3"/>
          <w:sz w:val="19"/>
        </w:rPr>
        <w:t> </w:t>
      </w:r>
      <w:r>
        <w:rPr>
          <w:rFonts w:ascii="Segoe UI"/>
          <w:color w:val="67973F"/>
          <w:sz w:val="19"/>
        </w:rPr>
        <w:t>threat</w:t>
      </w:r>
      <w:r>
        <w:rPr>
          <w:rFonts w:ascii="Segoe UI"/>
          <w:color w:val="67973F"/>
          <w:spacing w:val="-4"/>
          <w:sz w:val="19"/>
        </w:rPr>
        <w:t> </w:t>
      </w:r>
      <w:r>
        <w:rPr>
          <w:rFonts w:ascii="Segoe UI"/>
          <w:color w:val="67973F"/>
          <w:sz w:val="19"/>
        </w:rPr>
        <w:t>to</w:t>
      </w:r>
      <w:r>
        <w:rPr>
          <w:rFonts w:ascii="Segoe UI"/>
          <w:color w:val="67973F"/>
          <w:spacing w:val="-2"/>
          <w:sz w:val="19"/>
        </w:rPr>
        <w:t> </w:t>
      </w:r>
      <w:r>
        <w:rPr>
          <w:rFonts w:ascii="Segoe UI"/>
          <w:color w:val="67973F"/>
          <w:spacing w:val="-1"/>
          <w:sz w:val="19"/>
        </w:rPr>
        <w:t>life.</w:t>
      </w:r>
      <w:r>
        <w:rPr>
          <w:rFonts w:ascii="Segoe UI"/>
          <w:sz w:val="19"/>
        </w:rPr>
      </w:r>
    </w:p>
    <w:p>
      <w:pPr>
        <w:spacing w:after="0" w:line="265" w:lineRule="auto"/>
        <w:jc w:val="left"/>
        <w:rPr>
          <w:rFonts w:ascii="Segoe UI" w:hAnsi="Segoe UI" w:cs="Segoe UI" w:eastAsia="Segoe UI"/>
          <w:sz w:val="19"/>
          <w:szCs w:val="19"/>
        </w:rPr>
        <w:sectPr>
          <w:type w:val="continuous"/>
          <w:pgSz w:w="11910" w:h="16840"/>
          <w:pgMar w:top="1580" w:bottom="280" w:left="1300" w:right="0"/>
          <w:cols w:num="2" w:equalWidth="0">
            <w:col w:w="4304" w:space="231"/>
            <w:col w:w="6075"/>
          </w:cols>
        </w:sect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5"/>
        <w:rPr>
          <w:rFonts w:ascii="Segoe UI" w:hAnsi="Segoe UI" w:cs="Segoe UI" w:eastAsia="Segoe UI"/>
          <w:sz w:val="10"/>
          <w:szCs w:val="10"/>
        </w:rPr>
      </w:pPr>
    </w:p>
    <w:p>
      <w:pPr>
        <w:spacing w:line="200" w:lineRule="atLeast"/>
        <w:ind w:left="0" w:right="0" w:firstLine="0"/>
        <w:rPr>
          <w:rFonts w:ascii="Segoe UI" w:hAnsi="Segoe UI" w:cs="Segoe UI" w:eastAsia="Segoe UI"/>
          <w:sz w:val="20"/>
          <w:szCs w:val="20"/>
        </w:rPr>
      </w:pPr>
      <w:r>
        <w:rPr>
          <w:rFonts w:ascii="Segoe UI" w:hAnsi="Segoe UI" w:cs="Segoe UI" w:eastAsia="Segoe UI"/>
          <w:sz w:val="20"/>
          <w:szCs w:val="20"/>
        </w:rPr>
        <w:pict>
          <v:group style="width:524.450pt;height:119.8pt;mso-position-horizontal-relative:char;mso-position-vertical-relative:line" coordorigin="0,0" coordsize="10489,2396">
            <v:group style="position:absolute;left:0;top:0;width:1701;height:2113" coordorigin="0,0" coordsize="1701,2113">
              <v:shape style="position:absolute;left:0;top:0;width:1701;height:2113" coordorigin="0,0" coordsize="1701,2113" path="m0,2112l1701,2112,1701,0,0,0,0,2112xe" filled="true" fillcolor="#be5227" stroked="false">
                <v:path arrowok="t"/>
                <v:fill type="solid"/>
              </v:shape>
              <v:shape style="position:absolute;left:0;top:0;width:1701;height:2112" type="#_x0000_t75" stroked="false">
                <v:imagedata r:id="rId41" o:title=""/>
              </v:shape>
            </v:group>
            <v:group style="position:absolute;left:1701;top:0;width:4252;height:2113" coordorigin="1701,0" coordsize="4252,2113">
              <v:shape style="position:absolute;left:1701;top:0;width:4252;height:2113" coordorigin="1701,0" coordsize="4252,2113" path="m1701,2112l5953,2112,5953,0,1701,0,1701,2112xe" filled="true" fillcolor="#be5227" stroked="false">
                <v:path arrowok="t"/>
                <v:fill type="solid"/>
              </v:shape>
              <v:shape style="position:absolute;left:1701;top:0;width:4535;height:2112" type="#_x0000_t75" stroked="false">
                <v:imagedata r:id="rId42" o:title=""/>
              </v:shape>
            </v:group>
            <v:group style="position:absolute;left:5953;top:0;width:4536;height:2113" coordorigin="5953,0" coordsize="4536,2113">
              <v:shape style="position:absolute;left:5953;top:0;width:4536;height:2113" coordorigin="5953,0" coordsize="4536,2113" path="m5953,2112l10488,2112,10488,0,5953,0,5953,2112xe" filled="true" fillcolor="#be5227" stroked="false">
                <v:path arrowok="t"/>
                <v:fill type="solid"/>
              </v:shape>
              <v:shape style="position:absolute;left:5953;top:0;width:4535;height:2112" type="#_x0000_t75" stroked="false">
                <v:imagedata r:id="rId43" o:title=""/>
              </v:shape>
            </v:group>
            <v:group style="position:absolute;left:0;top:2112;width:10489;height:284" coordorigin="0,2112" coordsize="10489,284">
              <v:shape style="position:absolute;left:0;top:2112;width:10489;height:284" coordorigin="0,2112" coordsize="10489,284" path="m0,2396l10488,2396,10488,2112,0,2112,0,2396xe" filled="true" fillcolor="#97bf3d" stroked="false">
                <v:path arrowok="t"/>
                <v:fill type="solid"/>
              </v:shape>
            </v:group>
          </v:group>
        </w:pict>
      </w:r>
      <w:r>
        <w:rPr>
          <w:rFonts w:ascii="Segoe UI" w:hAnsi="Segoe UI" w:cs="Segoe UI" w:eastAsia="Segoe UI"/>
          <w:sz w:val="20"/>
          <w:szCs w:val="20"/>
        </w:rPr>
      </w:r>
    </w:p>
    <w:p>
      <w:pPr>
        <w:spacing w:line="240" w:lineRule="auto" w:before="8"/>
        <w:rPr>
          <w:rFonts w:ascii="Segoe UI" w:hAnsi="Segoe UI" w:cs="Segoe UI" w:eastAsia="Segoe UI"/>
          <w:sz w:val="10"/>
          <w:szCs w:val="10"/>
        </w:rPr>
      </w:pPr>
    </w:p>
    <w:p>
      <w:pPr>
        <w:spacing w:after="0" w:line="240" w:lineRule="auto"/>
        <w:rPr>
          <w:rFonts w:ascii="Segoe UI" w:hAnsi="Segoe UI" w:cs="Segoe UI" w:eastAsia="Segoe UI"/>
          <w:sz w:val="10"/>
          <w:szCs w:val="10"/>
        </w:rPr>
        <w:sectPr>
          <w:pgSz w:w="11910" w:h="16840"/>
          <w:pgMar w:header="0" w:footer="691" w:top="1580" w:bottom="880" w:left="0" w:right="1300"/>
        </w:sectPr>
      </w:pPr>
    </w:p>
    <w:p>
      <w:pPr>
        <w:spacing w:line="265" w:lineRule="auto" w:before="49"/>
        <w:ind w:left="1700" w:right="304" w:firstLine="0"/>
        <w:jc w:val="left"/>
        <w:rPr>
          <w:rFonts w:ascii="Segoe UI" w:hAnsi="Segoe UI" w:cs="Segoe UI" w:eastAsia="Segoe UI"/>
          <w:sz w:val="19"/>
          <w:szCs w:val="19"/>
        </w:rPr>
      </w:pPr>
      <w:r>
        <w:rPr>
          <w:rFonts w:ascii="Segoe UI"/>
          <w:color w:val="67973F"/>
          <w:sz w:val="19"/>
        </w:rPr>
        <w:t>There</w:t>
      </w:r>
      <w:r>
        <w:rPr>
          <w:rFonts w:ascii="Segoe UI"/>
          <w:color w:val="67973F"/>
          <w:spacing w:val="-5"/>
          <w:sz w:val="19"/>
        </w:rPr>
        <w:t> </w:t>
      </w:r>
      <w:r>
        <w:rPr>
          <w:rFonts w:ascii="Segoe UI"/>
          <w:color w:val="67973F"/>
          <w:sz w:val="19"/>
        </w:rPr>
        <w:t>are</w:t>
      </w:r>
      <w:r>
        <w:rPr>
          <w:rFonts w:ascii="Segoe UI"/>
          <w:color w:val="67973F"/>
          <w:spacing w:val="-5"/>
          <w:sz w:val="19"/>
        </w:rPr>
        <w:t> </w:t>
      </w:r>
      <w:r>
        <w:rPr>
          <w:rFonts w:ascii="Segoe UI"/>
          <w:color w:val="67973F"/>
          <w:sz w:val="19"/>
        </w:rPr>
        <w:t>currently</w:t>
      </w:r>
      <w:r>
        <w:rPr>
          <w:rFonts w:ascii="Segoe UI"/>
          <w:color w:val="67973F"/>
          <w:spacing w:val="-6"/>
          <w:sz w:val="19"/>
        </w:rPr>
        <w:t> </w:t>
      </w:r>
      <w:r>
        <w:rPr>
          <w:rFonts w:ascii="Segoe UI"/>
          <w:color w:val="67973F"/>
          <w:sz w:val="19"/>
        </w:rPr>
        <w:t>3</w:t>
      </w:r>
      <w:r>
        <w:rPr>
          <w:rFonts w:ascii="Segoe UI"/>
          <w:color w:val="67973F"/>
          <w:spacing w:val="-4"/>
          <w:sz w:val="19"/>
        </w:rPr>
        <w:t> </w:t>
      </w:r>
      <w:r>
        <w:rPr>
          <w:rFonts w:ascii="Segoe UI"/>
          <w:color w:val="67973F"/>
          <w:sz w:val="19"/>
        </w:rPr>
        <w:t>per</w:t>
      </w:r>
      <w:r>
        <w:rPr>
          <w:rFonts w:ascii="Segoe UI"/>
          <w:color w:val="67973F"/>
          <w:spacing w:val="-5"/>
          <w:sz w:val="19"/>
        </w:rPr>
        <w:t> </w:t>
      </w:r>
      <w:r>
        <w:rPr>
          <w:rFonts w:ascii="Segoe UI"/>
          <w:color w:val="67973F"/>
          <w:sz w:val="19"/>
        </w:rPr>
        <w:t>cent</w:t>
      </w:r>
      <w:r>
        <w:rPr>
          <w:rFonts w:ascii="Segoe UI"/>
          <w:color w:val="67973F"/>
          <w:spacing w:val="-5"/>
          <w:sz w:val="19"/>
        </w:rPr>
        <w:t> </w:t>
      </w:r>
      <w:r>
        <w:rPr>
          <w:rFonts w:ascii="Segoe UI"/>
          <w:color w:val="67973F"/>
          <w:sz w:val="19"/>
        </w:rPr>
        <w:t>of</w:t>
      </w:r>
      <w:r>
        <w:rPr>
          <w:rFonts w:ascii="Segoe UI"/>
          <w:color w:val="67973F"/>
          <w:spacing w:val="-5"/>
          <w:sz w:val="19"/>
        </w:rPr>
        <w:t> </w:t>
      </w:r>
      <w:r>
        <w:rPr>
          <w:rFonts w:ascii="Segoe UI"/>
          <w:color w:val="67973F"/>
          <w:spacing w:val="-1"/>
          <w:sz w:val="19"/>
        </w:rPr>
        <w:t>secondary</w:t>
      </w:r>
      <w:r>
        <w:rPr>
          <w:rFonts w:ascii="Segoe UI"/>
          <w:color w:val="67973F"/>
          <w:spacing w:val="20"/>
          <w:w w:val="99"/>
          <w:sz w:val="19"/>
        </w:rPr>
        <w:t> </w:t>
      </w:r>
      <w:r>
        <w:rPr>
          <w:rFonts w:ascii="Segoe UI"/>
          <w:color w:val="67973F"/>
          <w:spacing w:val="-1"/>
          <w:sz w:val="19"/>
        </w:rPr>
        <w:t>students</w:t>
      </w:r>
      <w:r>
        <w:rPr>
          <w:rFonts w:ascii="Segoe UI"/>
          <w:color w:val="67973F"/>
          <w:spacing w:val="-6"/>
          <w:sz w:val="19"/>
        </w:rPr>
        <w:t> </w:t>
      </w:r>
      <w:r>
        <w:rPr>
          <w:rFonts w:ascii="Segoe UI"/>
          <w:color w:val="67973F"/>
          <w:sz w:val="19"/>
        </w:rPr>
        <w:t>actively</w:t>
      </w:r>
      <w:r>
        <w:rPr>
          <w:rFonts w:ascii="Segoe UI"/>
          <w:color w:val="67973F"/>
          <w:spacing w:val="-7"/>
          <w:sz w:val="19"/>
        </w:rPr>
        <w:t> </w:t>
      </w:r>
      <w:r>
        <w:rPr>
          <w:rFonts w:ascii="Segoe UI"/>
          <w:color w:val="67973F"/>
          <w:sz w:val="19"/>
        </w:rPr>
        <w:t>engaged</w:t>
      </w:r>
      <w:r>
        <w:rPr>
          <w:rFonts w:ascii="Segoe UI"/>
          <w:color w:val="67973F"/>
          <w:spacing w:val="-6"/>
          <w:sz w:val="19"/>
        </w:rPr>
        <w:t> </w:t>
      </w:r>
      <w:r>
        <w:rPr>
          <w:rFonts w:ascii="Segoe UI"/>
          <w:color w:val="67973F"/>
          <w:sz w:val="19"/>
        </w:rPr>
        <w:t>with</w:t>
      </w:r>
      <w:r>
        <w:rPr>
          <w:rFonts w:ascii="Segoe UI"/>
          <w:color w:val="67973F"/>
          <w:spacing w:val="-7"/>
          <w:sz w:val="19"/>
        </w:rPr>
        <w:t> </w:t>
      </w:r>
      <w:r>
        <w:rPr>
          <w:rFonts w:ascii="Segoe UI"/>
          <w:color w:val="67973F"/>
          <w:sz w:val="19"/>
        </w:rPr>
        <w:t>external</w:t>
      </w:r>
      <w:r>
        <w:rPr>
          <w:rFonts w:ascii="Segoe UI"/>
          <w:color w:val="67973F"/>
          <w:spacing w:val="-6"/>
          <w:sz w:val="19"/>
        </w:rPr>
        <w:t> </w:t>
      </w:r>
      <w:r>
        <w:rPr>
          <w:rFonts w:ascii="Segoe UI"/>
          <w:color w:val="67973F"/>
          <w:sz w:val="19"/>
        </w:rPr>
        <w:t>agency</w:t>
      </w:r>
      <w:r>
        <w:rPr>
          <w:rFonts w:ascii="Segoe UI"/>
          <w:color w:val="67973F"/>
          <w:spacing w:val="22"/>
          <w:w w:val="99"/>
          <w:sz w:val="19"/>
        </w:rPr>
        <w:t> </w:t>
      </w:r>
      <w:r>
        <w:rPr>
          <w:rFonts w:ascii="Segoe UI"/>
          <w:color w:val="67973F"/>
          <w:spacing w:val="-1"/>
          <w:sz w:val="19"/>
        </w:rPr>
        <w:t>support,</w:t>
      </w:r>
      <w:r>
        <w:rPr>
          <w:rFonts w:ascii="Segoe UI"/>
          <w:color w:val="67973F"/>
          <w:spacing w:val="-7"/>
          <w:sz w:val="19"/>
        </w:rPr>
        <w:t> </w:t>
      </w:r>
      <w:r>
        <w:rPr>
          <w:rFonts w:ascii="Segoe UI"/>
          <w:color w:val="67973F"/>
          <w:sz w:val="19"/>
        </w:rPr>
        <w:t>to</w:t>
      </w:r>
      <w:r>
        <w:rPr>
          <w:rFonts w:ascii="Segoe UI"/>
          <w:color w:val="67973F"/>
          <w:spacing w:val="-7"/>
          <w:sz w:val="19"/>
        </w:rPr>
        <w:t> </w:t>
      </w:r>
      <w:r>
        <w:rPr>
          <w:rFonts w:ascii="Segoe UI"/>
          <w:color w:val="67973F"/>
          <w:sz w:val="19"/>
        </w:rPr>
        <w:t>address</w:t>
      </w:r>
      <w:r>
        <w:rPr>
          <w:rFonts w:ascii="Segoe UI"/>
          <w:color w:val="67973F"/>
          <w:spacing w:val="-7"/>
          <w:sz w:val="19"/>
        </w:rPr>
        <w:t> </w:t>
      </w:r>
      <w:r>
        <w:rPr>
          <w:rFonts w:ascii="Segoe UI"/>
          <w:color w:val="67973F"/>
          <w:spacing w:val="-1"/>
          <w:sz w:val="19"/>
        </w:rPr>
        <w:t>long-term</w:t>
      </w:r>
      <w:r>
        <w:rPr>
          <w:rFonts w:ascii="Segoe UI"/>
          <w:color w:val="67973F"/>
          <w:spacing w:val="-7"/>
          <w:sz w:val="19"/>
        </w:rPr>
        <w:t> </w:t>
      </w:r>
      <w:r>
        <w:rPr>
          <w:rFonts w:ascii="Segoe UI"/>
          <w:color w:val="67973F"/>
          <w:sz w:val="19"/>
        </w:rPr>
        <w:t>and</w:t>
      </w:r>
      <w:r>
        <w:rPr>
          <w:rFonts w:ascii="Segoe UI"/>
          <w:color w:val="67973F"/>
          <w:spacing w:val="-7"/>
          <w:sz w:val="19"/>
        </w:rPr>
        <w:t> </w:t>
      </w:r>
      <w:r>
        <w:rPr>
          <w:rFonts w:ascii="Segoe UI"/>
          <w:color w:val="67973F"/>
          <w:sz w:val="19"/>
        </w:rPr>
        <w:t>chronic</w:t>
      </w:r>
      <w:r>
        <w:rPr>
          <w:rFonts w:ascii="Segoe UI"/>
          <w:color w:val="67973F"/>
          <w:spacing w:val="23"/>
          <w:w w:val="99"/>
          <w:sz w:val="19"/>
        </w:rPr>
        <w:t> </w:t>
      </w:r>
      <w:r>
        <w:rPr>
          <w:rFonts w:ascii="Segoe UI"/>
          <w:color w:val="67973F"/>
          <w:spacing w:val="-1"/>
          <w:sz w:val="19"/>
        </w:rPr>
        <w:t>substance</w:t>
      </w:r>
      <w:r>
        <w:rPr>
          <w:rFonts w:ascii="Segoe UI"/>
          <w:color w:val="67973F"/>
          <w:spacing w:val="-3"/>
          <w:sz w:val="19"/>
        </w:rPr>
        <w:t> </w:t>
      </w:r>
      <w:r>
        <w:rPr>
          <w:rFonts w:ascii="Segoe UI"/>
          <w:color w:val="67973F"/>
          <w:sz w:val="19"/>
        </w:rPr>
        <w:t>use</w:t>
      </w:r>
      <w:r>
        <w:rPr>
          <w:rFonts w:ascii="Segoe UI"/>
          <w:color w:val="67973F"/>
          <w:spacing w:val="-5"/>
          <w:sz w:val="19"/>
        </w:rPr>
        <w:t> </w:t>
      </w:r>
      <w:r>
        <w:rPr>
          <w:rFonts w:ascii="Segoe UI"/>
          <w:color w:val="67973F"/>
          <w:spacing w:val="-1"/>
          <w:sz w:val="19"/>
        </w:rPr>
        <w:t>issues.</w:t>
      </w:r>
      <w:r>
        <w:rPr>
          <w:rFonts w:ascii="Segoe UI"/>
          <w:color w:val="67973F"/>
          <w:spacing w:val="-4"/>
          <w:sz w:val="19"/>
        </w:rPr>
        <w:t> </w:t>
      </w:r>
      <w:r>
        <w:rPr>
          <w:rFonts w:ascii="Segoe UI"/>
          <w:color w:val="67973F"/>
          <w:sz w:val="19"/>
        </w:rPr>
        <w:t>These</w:t>
      </w:r>
      <w:r>
        <w:rPr>
          <w:rFonts w:ascii="Segoe UI"/>
          <w:color w:val="67973F"/>
          <w:spacing w:val="-5"/>
          <w:sz w:val="19"/>
        </w:rPr>
        <w:t> </w:t>
      </w:r>
      <w:r>
        <w:rPr>
          <w:rFonts w:ascii="Segoe UI"/>
          <w:color w:val="67973F"/>
          <w:sz w:val="19"/>
        </w:rPr>
        <w:t>young</w:t>
      </w:r>
      <w:r>
        <w:rPr>
          <w:rFonts w:ascii="Segoe UI"/>
          <w:color w:val="67973F"/>
          <w:spacing w:val="-5"/>
          <w:sz w:val="19"/>
        </w:rPr>
        <w:t> </w:t>
      </w:r>
      <w:r>
        <w:rPr>
          <w:rFonts w:ascii="Segoe UI"/>
          <w:color w:val="67973F"/>
          <w:sz w:val="19"/>
        </w:rPr>
        <w:t>people</w:t>
      </w:r>
      <w:r>
        <w:rPr>
          <w:rFonts w:ascii="Segoe UI"/>
          <w:color w:val="67973F"/>
          <w:spacing w:val="-4"/>
          <w:sz w:val="19"/>
        </w:rPr>
        <w:t> </w:t>
      </w:r>
      <w:r>
        <w:rPr>
          <w:rFonts w:ascii="Segoe UI"/>
          <w:color w:val="67973F"/>
          <w:spacing w:val="-4"/>
          <w:sz w:val="19"/>
        </w:rPr>
      </w:r>
      <w:r>
        <w:rPr>
          <w:rFonts w:ascii="Segoe UI"/>
          <w:color w:val="67973F"/>
          <w:sz w:val="19"/>
        </w:rPr>
        <w:t>have</w:t>
      </w:r>
      <w:r>
        <w:rPr>
          <w:rFonts w:ascii="Segoe UI"/>
          <w:color w:val="67973F"/>
          <w:spacing w:val="22"/>
          <w:sz w:val="19"/>
        </w:rPr>
        <w:t> </w:t>
      </w:r>
      <w:r>
        <w:rPr>
          <w:rFonts w:ascii="Segoe UI"/>
          <w:color w:val="67973F"/>
          <w:sz w:val="19"/>
        </w:rPr>
        <w:t>complex</w:t>
      </w:r>
      <w:r>
        <w:rPr>
          <w:rFonts w:ascii="Segoe UI"/>
          <w:color w:val="67973F"/>
          <w:spacing w:val="-4"/>
          <w:sz w:val="19"/>
        </w:rPr>
        <w:t> </w:t>
      </w:r>
      <w:r>
        <w:rPr>
          <w:rFonts w:ascii="Segoe UI"/>
          <w:color w:val="67973F"/>
          <w:sz w:val="19"/>
        </w:rPr>
        <w:t>needs</w:t>
      </w:r>
      <w:r>
        <w:rPr>
          <w:rFonts w:ascii="Segoe UI"/>
          <w:color w:val="67973F"/>
          <w:spacing w:val="-4"/>
          <w:sz w:val="19"/>
        </w:rPr>
        <w:t> </w:t>
      </w:r>
      <w:r>
        <w:rPr>
          <w:rFonts w:ascii="Segoe UI"/>
          <w:color w:val="67973F"/>
          <w:spacing w:val="-1"/>
          <w:sz w:val="19"/>
        </w:rPr>
        <w:t>including</w:t>
      </w:r>
      <w:r>
        <w:rPr>
          <w:rFonts w:ascii="Segoe UI"/>
          <w:color w:val="67973F"/>
          <w:spacing w:val="-2"/>
          <w:sz w:val="19"/>
        </w:rPr>
        <w:t> </w:t>
      </w:r>
      <w:r>
        <w:rPr>
          <w:rFonts w:ascii="Segoe UI"/>
          <w:color w:val="67973F"/>
          <w:sz w:val="19"/>
        </w:rPr>
        <w:t>histories</w:t>
      </w:r>
      <w:r>
        <w:rPr>
          <w:rFonts w:ascii="Segoe UI"/>
          <w:color w:val="67973F"/>
          <w:sz w:val="19"/>
        </w:rPr>
        <w:t> </w:t>
      </w:r>
      <w:r>
        <w:rPr>
          <w:rFonts w:ascii="Segoe UI"/>
          <w:color w:val="67973F"/>
          <w:spacing w:val="3"/>
          <w:sz w:val="19"/>
        </w:rPr>
        <w:t>       </w:t>
      </w:r>
      <w:r>
        <w:rPr>
          <w:rFonts w:ascii="Segoe UI"/>
          <w:color w:val="67973F"/>
          <w:spacing w:val="-1"/>
          <w:sz w:val="19"/>
        </w:rPr>
        <w:t>involving</w:t>
      </w:r>
      <w:r>
        <w:rPr>
          <w:rFonts w:ascii="Segoe UI"/>
          <w:color w:val="67973F"/>
          <w:spacing w:val="-7"/>
          <w:sz w:val="19"/>
        </w:rPr>
        <w:t> </w:t>
      </w:r>
      <w:r>
        <w:rPr>
          <w:rFonts w:ascii="Segoe UI"/>
          <w:color w:val="67973F"/>
          <w:sz w:val="19"/>
        </w:rPr>
        <w:t>trauma.</w:t>
      </w:r>
      <w:r>
        <w:rPr>
          <w:rFonts w:ascii="Segoe UI"/>
          <w:sz w:val="19"/>
        </w:rPr>
      </w:r>
    </w:p>
    <w:p>
      <w:pPr>
        <w:spacing w:line="265" w:lineRule="auto" w:before="113"/>
        <w:ind w:left="1700" w:right="200" w:firstLine="0"/>
        <w:jc w:val="left"/>
        <w:rPr>
          <w:rFonts w:ascii="Segoe UI" w:hAnsi="Segoe UI" w:cs="Segoe UI" w:eastAsia="Segoe UI"/>
          <w:sz w:val="19"/>
          <w:szCs w:val="19"/>
        </w:rPr>
      </w:pPr>
      <w:r>
        <w:rPr>
          <w:rFonts w:ascii="Segoe UI"/>
          <w:color w:val="67973F"/>
          <w:sz w:val="19"/>
        </w:rPr>
        <w:t>Eight</w:t>
      </w:r>
      <w:r>
        <w:rPr>
          <w:rFonts w:ascii="Segoe UI"/>
          <w:color w:val="67973F"/>
          <w:spacing w:val="-6"/>
          <w:sz w:val="19"/>
        </w:rPr>
        <w:t> </w:t>
      </w:r>
      <w:r>
        <w:rPr>
          <w:rFonts w:ascii="Segoe UI"/>
          <w:color w:val="67973F"/>
          <w:sz w:val="19"/>
        </w:rPr>
        <w:t>percent</w:t>
      </w:r>
      <w:r>
        <w:rPr>
          <w:rFonts w:ascii="Segoe UI"/>
          <w:color w:val="67973F"/>
          <w:spacing w:val="-6"/>
          <w:sz w:val="19"/>
        </w:rPr>
        <w:t> </w:t>
      </w:r>
      <w:r>
        <w:rPr>
          <w:rFonts w:ascii="Segoe UI"/>
          <w:color w:val="67973F"/>
          <w:sz w:val="19"/>
        </w:rPr>
        <w:t>(8</w:t>
      </w:r>
      <w:r>
        <w:rPr>
          <w:rFonts w:ascii="Segoe UI"/>
          <w:color w:val="67973F"/>
          <w:spacing w:val="-6"/>
          <w:sz w:val="19"/>
        </w:rPr>
        <w:t> </w:t>
      </w:r>
      <w:r>
        <w:rPr>
          <w:rFonts w:ascii="Segoe UI"/>
          <w:color w:val="67973F"/>
          <w:sz w:val="19"/>
        </w:rPr>
        <w:t>per</w:t>
      </w:r>
      <w:r>
        <w:rPr>
          <w:rFonts w:ascii="Segoe UI"/>
          <w:color w:val="67973F"/>
          <w:spacing w:val="-4"/>
          <w:sz w:val="19"/>
        </w:rPr>
        <w:t> </w:t>
      </w:r>
      <w:r>
        <w:rPr>
          <w:rFonts w:ascii="Segoe UI"/>
          <w:color w:val="67973F"/>
          <w:sz w:val="19"/>
        </w:rPr>
        <w:t>cent)</w:t>
      </w:r>
      <w:r>
        <w:rPr>
          <w:rFonts w:ascii="Segoe UI"/>
          <w:color w:val="67973F"/>
          <w:spacing w:val="-5"/>
          <w:sz w:val="19"/>
        </w:rPr>
        <w:t> </w:t>
      </w:r>
      <w:r>
        <w:rPr>
          <w:rFonts w:ascii="Segoe UI"/>
          <w:color w:val="67973F"/>
          <w:sz w:val="19"/>
        </w:rPr>
        <w:t>of</w:t>
      </w:r>
      <w:r>
        <w:rPr>
          <w:rFonts w:ascii="Segoe UI"/>
          <w:color w:val="67973F"/>
          <w:spacing w:val="-5"/>
          <w:sz w:val="19"/>
        </w:rPr>
        <w:t> </w:t>
      </w:r>
      <w:r>
        <w:rPr>
          <w:rFonts w:ascii="Segoe UI"/>
          <w:color w:val="67973F"/>
          <w:sz w:val="19"/>
        </w:rPr>
        <w:t>current</w:t>
      </w:r>
      <w:r>
        <w:rPr>
          <w:rFonts w:ascii="Segoe UI"/>
          <w:color w:val="67973F"/>
          <w:spacing w:val="-5"/>
          <w:sz w:val="19"/>
        </w:rPr>
        <w:t> </w:t>
      </w:r>
      <w:r>
        <w:rPr>
          <w:rFonts w:ascii="Segoe UI"/>
          <w:color w:val="67973F"/>
          <w:sz w:val="19"/>
        </w:rPr>
        <w:t>primary</w:t>
      </w:r>
      <w:r>
        <w:rPr>
          <w:rFonts w:ascii="Segoe UI"/>
          <w:color w:val="67973F"/>
          <w:w w:val="99"/>
          <w:sz w:val="19"/>
        </w:rPr>
        <w:t> </w:t>
      </w:r>
      <w:r>
        <w:rPr>
          <w:rFonts w:ascii="Segoe UI"/>
          <w:color w:val="67973F"/>
          <w:sz w:val="19"/>
        </w:rPr>
        <w:t>enrolments</w:t>
      </w:r>
      <w:r>
        <w:rPr>
          <w:rFonts w:ascii="Segoe UI"/>
          <w:color w:val="67973F"/>
          <w:spacing w:val="-6"/>
          <w:sz w:val="19"/>
        </w:rPr>
        <w:t> </w:t>
      </w:r>
      <w:r>
        <w:rPr>
          <w:rFonts w:ascii="Segoe UI"/>
          <w:color w:val="67973F"/>
          <w:sz w:val="19"/>
        </w:rPr>
        <w:t>and</w:t>
      </w:r>
      <w:r>
        <w:rPr>
          <w:rFonts w:ascii="Segoe UI"/>
          <w:color w:val="67973F"/>
          <w:spacing w:val="-5"/>
          <w:sz w:val="19"/>
        </w:rPr>
        <w:t> </w:t>
      </w:r>
      <w:r>
        <w:rPr>
          <w:rFonts w:ascii="Segoe UI"/>
          <w:color w:val="67973F"/>
          <w:sz w:val="19"/>
        </w:rPr>
        <w:t>nineteen</w:t>
      </w:r>
      <w:r>
        <w:rPr>
          <w:rFonts w:ascii="Segoe UI"/>
          <w:color w:val="67973F"/>
          <w:spacing w:val="-6"/>
          <w:sz w:val="19"/>
        </w:rPr>
        <w:t> </w:t>
      </w:r>
      <w:r>
        <w:rPr>
          <w:rFonts w:ascii="Segoe UI"/>
          <w:color w:val="67973F"/>
          <w:sz w:val="19"/>
        </w:rPr>
        <w:t>percent</w:t>
      </w:r>
      <w:r>
        <w:rPr>
          <w:rFonts w:ascii="Segoe UI"/>
          <w:color w:val="67973F"/>
          <w:spacing w:val="-5"/>
          <w:sz w:val="19"/>
        </w:rPr>
        <w:t> </w:t>
      </w:r>
      <w:r>
        <w:rPr>
          <w:rFonts w:ascii="Segoe UI"/>
          <w:color w:val="67973F"/>
          <w:sz w:val="19"/>
        </w:rPr>
        <w:t>(19</w:t>
      </w:r>
      <w:r>
        <w:rPr>
          <w:rFonts w:ascii="Segoe UI"/>
          <w:color w:val="67973F"/>
          <w:spacing w:val="-5"/>
          <w:sz w:val="19"/>
        </w:rPr>
        <w:t> </w:t>
      </w:r>
      <w:r>
        <w:rPr>
          <w:rFonts w:ascii="Segoe UI"/>
          <w:color w:val="67973F"/>
          <w:sz w:val="19"/>
        </w:rPr>
        <w:t>per</w:t>
      </w:r>
      <w:r>
        <w:rPr>
          <w:rFonts w:ascii="Segoe UI"/>
          <w:color w:val="67973F"/>
          <w:spacing w:val="-5"/>
          <w:sz w:val="19"/>
        </w:rPr>
        <w:t> </w:t>
      </w:r>
      <w:r>
        <w:rPr>
          <w:rFonts w:ascii="Segoe UI"/>
          <w:color w:val="67973F"/>
          <w:sz w:val="19"/>
        </w:rPr>
        <w:t>cent)</w:t>
      </w:r>
      <w:r>
        <w:rPr>
          <w:rFonts w:ascii="Segoe UI"/>
          <w:color w:val="67973F"/>
          <w:w w:val="99"/>
          <w:sz w:val="19"/>
        </w:rPr>
        <w:t> </w:t>
      </w:r>
      <w:r>
        <w:rPr>
          <w:rFonts w:ascii="Segoe UI"/>
          <w:color w:val="67973F"/>
          <w:sz w:val="19"/>
        </w:rPr>
        <w:t>of</w:t>
      </w:r>
      <w:r>
        <w:rPr>
          <w:rFonts w:ascii="Segoe UI"/>
          <w:color w:val="67973F"/>
          <w:spacing w:val="-6"/>
          <w:sz w:val="19"/>
        </w:rPr>
        <w:t> </w:t>
      </w:r>
      <w:r>
        <w:rPr>
          <w:rFonts w:ascii="Segoe UI"/>
          <w:color w:val="67973F"/>
          <w:sz w:val="19"/>
        </w:rPr>
        <w:t>current</w:t>
      </w:r>
      <w:r>
        <w:rPr>
          <w:rFonts w:ascii="Segoe UI"/>
          <w:color w:val="67973F"/>
          <w:spacing w:val="-6"/>
          <w:sz w:val="19"/>
        </w:rPr>
        <w:t> </w:t>
      </w:r>
      <w:r>
        <w:rPr>
          <w:rFonts w:ascii="Segoe UI"/>
          <w:color w:val="67973F"/>
          <w:spacing w:val="-1"/>
          <w:sz w:val="19"/>
        </w:rPr>
        <w:t>secondary</w:t>
      </w:r>
      <w:r>
        <w:rPr>
          <w:rFonts w:ascii="Segoe UI"/>
          <w:color w:val="67973F"/>
          <w:spacing w:val="-5"/>
          <w:sz w:val="19"/>
        </w:rPr>
        <w:t> </w:t>
      </w:r>
      <w:r>
        <w:rPr>
          <w:rFonts w:ascii="Segoe UI"/>
          <w:color w:val="67973F"/>
          <w:sz w:val="19"/>
        </w:rPr>
        <w:t>enrolments</w:t>
      </w:r>
      <w:r>
        <w:rPr>
          <w:rFonts w:ascii="Segoe UI"/>
          <w:color w:val="67973F"/>
          <w:spacing w:val="-6"/>
          <w:sz w:val="19"/>
        </w:rPr>
        <w:t> </w:t>
      </w:r>
      <w:r>
        <w:rPr>
          <w:rFonts w:ascii="Segoe UI"/>
          <w:color w:val="67973F"/>
          <w:sz w:val="19"/>
        </w:rPr>
        <w:t>have</w:t>
      </w:r>
      <w:r>
        <w:rPr>
          <w:rFonts w:ascii="Segoe UI"/>
          <w:color w:val="67973F"/>
          <w:spacing w:val="-7"/>
          <w:sz w:val="19"/>
        </w:rPr>
        <w:t> </w:t>
      </w:r>
      <w:r>
        <w:rPr>
          <w:rFonts w:ascii="Segoe UI"/>
          <w:color w:val="67973F"/>
          <w:sz w:val="19"/>
        </w:rPr>
        <w:t>presented</w:t>
      </w:r>
      <w:r>
        <w:rPr>
          <w:rFonts w:ascii="Segoe UI"/>
          <w:color w:val="67973F"/>
          <w:spacing w:val="22"/>
          <w:w w:val="99"/>
          <w:sz w:val="19"/>
        </w:rPr>
        <w:t> </w:t>
      </w:r>
      <w:r>
        <w:rPr>
          <w:rFonts w:ascii="Segoe UI"/>
          <w:color w:val="67973F"/>
          <w:sz w:val="19"/>
        </w:rPr>
        <w:t>with</w:t>
      </w:r>
      <w:r>
        <w:rPr>
          <w:rFonts w:ascii="Segoe UI"/>
          <w:color w:val="67973F"/>
          <w:spacing w:val="-7"/>
          <w:sz w:val="19"/>
        </w:rPr>
        <w:t> </w:t>
      </w:r>
      <w:r>
        <w:rPr>
          <w:rFonts w:ascii="Segoe UI"/>
          <w:color w:val="67973F"/>
          <w:spacing w:val="-1"/>
          <w:sz w:val="19"/>
        </w:rPr>
        <w:t>self-harming</w:t>
      </w:r>
      <w:r>
        <w:rPr>
          <w:rFonts w:ascii="Segoe UI"/>
          <w:color w:val="67973F"/>
          <w:spacing w:val="-5"/>
          <w:sz w:val="19"/>
        </w:rPr>
        <w:t> </w:t>
      </w:r>
      <w:r>
        <w:rPr>
          <w:rFonts w:ascii="Segoe UI"/>
          <w:color w:val="67973F"/>
          <w:sz w:val="19"/>
        </w:rPr>
        <w:t>behaviours</w:t>
      </w:r>
      <w:r>
        <w:rPr>
          <w:rFonts w:ascii="Segoe UI"/>
          <w:color w:val="67973F"/>
          <w:spacing w:val="-6"/>
          <w:sz w:val="19"/>
        </w:rPr>
        <w:t> </w:t>
      </w:r>
      <w:r>
        <w:rPr>
          <w:rFonts w:ascii="Segoe UI"/>
          <w:color w:val="67973F"/>
          <w:sz w:val="19"/>
        </w:rPr>
        <w:t>that</w:t>
      </w:r>
      <w:r>
        <w:rPr>
          <w:rFonts w:ascii="Segoe UI"/>
          <w:color w:val="67973F"/>
          <w:spacing w:val="-7"/>
          <w:sz w:val="19"/>
        </w:rPr>
        <w:t> </w:t>
      </w:r>
      <w:r>
        <w:rPr>
          <w:rFonts w:ascii="Segoe UI"/>
          <w:color w:val="67973F"/>
          <w:sz w:val="19"/>
        </w:rPr>
        <w:t>require</w:t>
      </w:r>
      <w:r>
        <w:rPr>
          <w:rFonts w:ascii="Segoe UI"/>
          <w:color w:val="67973F"/>
          <w:spacing w:val="22"/>
          <w:w w:val="99"/>
          <w:sz w:val="19"/>
        </w:rPr>
        <w:t> </w:t>
      </w:r>
      <w:r>
        <w:rPr>
          <w:rFonts w:ascii="Segoe UI"/>
          <w:color w:val="67973F"/>
          <w:spacing w:val="-1"/>
          <w:sz w:val="19"/>
        </w:rPr>
        <w:t>intervention,</w:t>
      </w:r>
      <w:r>
        <w:rPr>
          <w:rFonts w:ascii="Segoe UI"/>
          <w:color w:val="67973F"/>
          <w:spacing w:val="-6"/>
          <w:sz w:val="19"/>
        </w:rPr>
        <w:t> </w:t>
      </w:r>
      <w:r>
        <w:rPr>
          <w:rFonts w:ascii="Segoe UI"/>
          <w:color w:val="67973F"/>
          <w:spacing w:val="-1"/>
          <w:sz w:val="19"/>
        </w:rPr>
        <w:t>including</w:t>
      </w:r>
      <w:r>
        <w:rPr>
          <w:rFonts w:ascii="Segoe UI"/>
          <w:color w:val="67973F"/>
          <w:spacing w:val="-6"/>
          <w:sz w:val="19"/>
        </w:rPr>
        <w:t> </w:t>
      </w:r>
      <w:r>
        <w:rPr>
          <w:rFonts w:ascii="Segoe UI"/>
          <w:color w:val="67973F"/>
          <w:sz w:val="19"/>
        </w:rPr>
        <w:t>non-suicidal</w:t>
      </w:r>
      <w:r>
        <w:rPr>
          <w:rFonts w:ascii="Segoe UI"/>
          <w:color w:val="67973F"/>
          <w:spacing w:val="-7"/>
          <w:sz w:val="19"/>
        </w:rPr>
        <w:t> </w:t>
      </w:r>
      <w:r>
        <w:rPr>
          <w:rFonts w:ascii="Segoe UI"/>
          <w:color w:val="67973F"/>
          <w:spacing w:val="-1"/>
          <w:sz w:val="19"/>
        </w:rPr>
        <w:t>self-injury</w:t>
      </w:r>
      <w:r>
        <w:rPr>
          <w:rFonts w:ascii="Segoe UI"/>
          <w:color w:val="67973F"/>
          <w:spacing w:val="22"/>
          <w:sz w:val="19"/>
        </w:rPr>
        <w:t> </w:t>
      </w:r>
      <w:r>
        <w:rPr>
          <w:rFonts w:ascii="Segoe UI"/>
          <w:color w:val="67973F"/>
          <w:sz w:val="19"/>
        </w:rPr>
        <w:t>and</w:t>
      </w:r>
      <w:r>
        <w:rPr>
          <w:rFonts w:ascii="Segoe UI"/>
          <w:color w:val="67973F"/>
          <w:spacing w:val="-5"/>
          <w:sz w:val="19"/>
        </w:rPr>
        <w:t> </w:t>
      </w:r>
      <w:r>
        <w:rPr>
          <w:rFonts w:ascii="Segoe UI"/>
          <w:color w:val="67973F"/>
          <w:sz w:val="19"/>
        </w:rPr>
        <w:t>attempted</w:t>
      </w:r>
      <w:r>
        <w:rPr>
          <w:rFonts w:ascii="Segoe UI"/>
          <w:color w:val="67973F"/>
          <w:spacing w:val="-5"/>
          <w:sz w:val="19"/>
        </w:rPr>
        <w:t> </w:t>
      </w:r>
      <w:r>
        <w:rPr>
          <w:rFonts w:ascii="Segoe UI"/>
          <w:color w:val="67973F"/>
          <w:spacing w:val="-1"/>
          <w:sz w:val="19"/>
        </w:rPr>
        <w:t>suicide.</w:t>
      </w:r>
      <w:r>
        <w:rPr>
          <w:rFonts w:ascii="Segoe UI"/>
          <w:color w:val="67973F"/>
          <w:spacing w:val="-4"/>
          <w:sz w:val="19"/>
        </w:rPr>
        <w:t> </w:t>
      </w:r>
      <w:r>
        <w:rPr>
          <w:rFonts w:ascii="Segoe UI"/>
          <w:color w:val="67973F"/>
          <w:sz w:val="19"/>
        </w:rPr>
        <w:t>The</w:t>
      </w:r>
      <w:r>
        <w:rPr>
          <w:rFonts w:ascii="Segoe UI"/>
          <w:color w:val="67973F"/>
          <w:spacing w:val="-4"/>
          <w:sz w:val="19"/>
        </w:rPr>
        <w:t> </w:t>
      </w:r>
      <w:r>
        <w:rPr>
          <w:rFonts w:ascii="Segoe UI"/>
          <w:color w:val="67973F"/>
          <w:sz w:val="19"/>
        </w:rPr>
        <w:t>number</w:t>
      </w:r>
      <w:r>
        <w:rPr>
          <w:rFonts w:ascii="Segoe UI"/>
          <w:color w:val="67973F"/>
          <w:spacing w:val="-5"/>
          <w:sz w:val="19"/>
        </w:rPr>
        <w:t> </w:t>
      </w:r>
      <w:r>
        <w:rPr>
          <w:rFonts w:ascii="Segoe UI"/>
          <w:color w:val="67973F"/>
          <w:sz w:val="19"/>
        </w:rPr>
        <w:t>of</w:t>
      </w:r>
      <w:r>
        <w:rPr>
          <w:rFonts w:ascii="Segoe UI"/>
          <w:color w:val="67973F"/>
          <w:spacing w:val="-4"/>
          <w:sz w:val="19"/>
        </w:rPr>
        <w:t> </w:t>
      </w:r>
      <w:r>
        <w:rPr>
          <w:rFonts w:ascii="Segoe UI"/>
          <w:color w:val="67973F"/>
          <w:spacing w:val="-1"/>
          <w:sz w:val="19"/>
        </w:rPr>
        <w:t>students</w:t>
      </w:r>
      <w:r>
        <w:rPr>
          <w:rFonts w:ascii="Segoe UI"/>
          <w:color w:val="67973F"/>
          <w:spacing w:val="21"/>
          <w:sz w:val="19"/>
        </w:rPr>
        <w:t> </w:t>
      </w:r>
      <w:r>
        <w:rPr>
          <w:rFonts w:ascii="Segoe UI"/>
          <w:color w:val="67973F"/>
          <w:sz w:val="19"/>
        </w:rPr>
        <w:t>who</w:t>
      </w:r>
      <w:r>
        <w:rPr>
          <w:rFonts w:ascii="Segoe UI"/>
          <w:color w:val="67973F"/>
          <w:spacing w:val="-5"/>
          <w:sz w:val="19"/>
        </w:rPr>
        <w:t> </w:t>
      </w:r>
      <w:r>
        <w:rPr>
          <w:rFonts w:ascii="Segoe UI"/>
          <w:color w:val="67973F"/>
          <w:sz w:val="19"/>
        </w:rPr>
        <w:t>present</w:t>
      </w:r>
      <w:r>
        <w:rPr>
          <w:rFonts w:ascii="Segoe UI"/>
          <w:color w:val="67973F"/>
          <w:spacing w:val="-4"/>
          <w:sz w:val="19"/>
        </w:rPr>
        <w:t> </w:t>
      </w:r>
      <w:r>
        <w:rPr>
          <w:rFonts w:ascii="Segoe UI"/>
          <w:color w:val="67973F"/>
          <w:sz w:val="19"/>
        </w:rPr>
        <w:t>at</w:t>
      </w:r>
      <w:r>
        <w:rPr>
          <w:rFonts w:ascii="Segoe UI"/>
          <w:color w:val="67973F"/>
          <w:spacing w:val="-3"/>
          <w:sz w:val="19"/>
        </w:rPr>
        <w:t> </w:t>
      </w:r>
      <w:r>
        <w:rPr>
          <w:rFonts w:ascii="Segoe UI"/>
          <w:color w:val="67973F"/>
          <w:sz w:val="19"/>
        </w:rPr>
        <w:t>risk</w:t>
      </w:r>
      <w:r>
        <w:rPr>
          <w:rFonts w:ascii="Segoe UI"/>
          <w:color w:val="67973F"/>
          <w:spacing w:val="-5"/>
          <w:sz w:val="19"/>
        </w:rPr>
        <w:t> </w:t>
      </w:r>
      <w:r>
        <w:rPr>
          <w:rFonts w:ascii="Segoe UI"/>
          <w:color w:val="67973F"/>
          <w:sz w:val="19"/>
        </w:rPr>
        <w:t>for</w:t>
      </w:r>
      <w:r>
        <w:rPr>
          <w:rFonts w:ascii="Segoe UI"/>
          <w:color w:val="67973F"/>
          <w:spacing w:val="-3"/>
          <w:sz w:val="19"/>
        </w:rPr>
        <w:t> </w:t>
      </w:r>
      <w:r>
        <w:rPr>
          <w:rFonts w:ascii="Segoe UI"/>
          <w:color w:val="67973F"/>
          <w:sz w:val="19"/>
        </w:rPr>
        <w:t>these</w:t>
      </w:r>
      <w:r>
        <w:rPr>
          <w:rFonts w:ascii="Segoe UI"/>
          <w:color w:val="67973F"/>
          <w:spacing w:val="-4"/>
          <w:sz w:val="19"/>
        </w:rPr>
        <w:t> </w:t>
      </w:r>
      <w:r>
        <w:rPr>
          <w:rFonts w:ascii="Segoe UI"/>
          <w:color w:val="67973F"/>
          <w:sz w:val="19"/>
        </w:rPr>
        <w:t>behaviours</w:t>
      </w:r>
      <w:r>
        <w:rPr>
          <w:rFonts w:ascii="Segoe UI"/>
          <w:color w:val="67973F"/>
          <w:spacing w:val="-4"/>
          <w:sz w:val="19"/>
        </w:rPr>
        <w:t> </w:t>
      </w:r>
      <w:r>
        <w:rPr>
          <w:rFonts w:ascii="Segoe UI"/>
          <w:color w:val="67973F"/>
          <w:spacing w:val="-1"/>
          <w:sz w:val="19"/>
        </w:rPr>
        <w:t>is</w:t>
      </w:r>
      <w:r>
        <w:rPr>
          <w:rFonts w:ascii="Segoe UI"/>
          <w:color w:val="67973F"/>
          <w:spacing w:val="19"/>
          <w:sz w:val="19"/>
        </w:rPr>
        <w:t> </w:t>
      </w:r>
      <w:r>
        <w:rPr>
          <w:rFonts w:ascii="Segoe UI"/>
          <w:color w:val="67973F"/>
          <w:sz w:val="19"/>
        </w:rPr>
        <w:t>significantly higher but the school has a range</w:t>
      </w:r>
      <w:r>
        <w:rPr>
          <w:rFonts w:ascii="Segoe UI"/>
          <w:sz w:val="19"/>
        </w:rPr>
      </w:r>
    </w:p>
    <w:p>
      <w:pPr>
        <w:spacing w:line="265" w:lineRule="auto" w:before="0"/>
        <w:ind w:left="1700" w:right="0" w:firstLine="0"/>
        <w:jc w:val="left"/>
        <w:rPr>
          <w:rFonts w:ascii="Segoe UI" w:hAnsi="Segoe UI" w:cs="Segoe UI" w:eastAsia="Segoe UI"/>
          <w:sz w:val="19"/>
          <w:szCs w:val="19"/>
        </w:rPr>
      </w:pPr>
      <w:r>
        <w:rPr>
          <w:rFonts w:ascii="Segoe UI"/>
          <w:color w:val="67973F"/>
          <w:sz w:val="19"/>
        </w:rPr>
        <w:t>of</w:t>
      </w:r>
      <w:r>
        <w:rPr>
          <w:rFonts w:ascii="Segoe UI"/>
          <w:color w:val="67973F"/>
          <w:spacing w:val="-5"/>
          <w:sz w:val="19"/>
        </w:rPr>
        <w:t> </w:t>
      </w:r>
      <w:r>
        <w:rPr>
          <w:rFonts w:ascii="Segoe UI"/>
          <w:color w:val="67973F"/>
          <w:spacing w:val="-1"/>
          <w:sz w:val="19"/>
        </w:rPr>
        <w:t>supports</w:t>
      </w:r>
      <w:r>
        <w:rPr>
          <w:rFonts w:ascii="Segoe UI"/>
          <w:color w:val="67973F"/>
          <w:spacing w:val="-5"/>
          <w:sz w:val="19"/>
        </w:rPr>
        <w:t> </w:t>
      </w:r>
      <w:r>
        <w:rPr>
          <w:rFonts w:ascii="Segoe UI"/>
          <w:color w:val="67973F"/>
          <w:spacing w:val="-1"/>
          <w:sz w:val="19"/>
        </w:rPr>
        <w:t>in</w:t>
      </w:r>
      <w:r>
        <w:rPr>
          <w:rFonts w:ascii="Segoe UI"/>
          <w:color w:val="67973F"/>
          <w:spacing w:val="-5"/>
          <w:sz w:val="19"/>
        </w:rPr>
        <w:t> </w:t>
      </w:r>
      <w:r>
        <w:rPr>
          <w:rFonts w:ascii="Segoe UI"/>
          <w:color w:val="67973F"/>
          <w:sz w:val="19"/>
        </w:rPr>
        <w:t>place</w:t>
      </w:r>
      <w:r>
        <w:rPr>
          <w:rFonts w:ascii="Segoe UI"/>
          <w:color w:val="67973F"/>
          <w:spacing w:val="-6"/>
          <w:sz w:val="19"/>
        </w:rPr>
        <w:t> </w:t>
      </w:r>
      <w:r>
        <w:rPr>
          <w:rFonts w:ascii="Segoe UI"/>
          <w:color w:val="67973F"/>
          <w:sz w:val="19"/>
        </w:rPr>
        <w:t>to</w:t>
      </w:r>
      <w:r>
        <w:rPr>
          <w:rFonts w:ascii="Segoe UI"/>
          <w:color w:val="67973F"/>
          <w:spacing w:val="-5"/>
          <w:sz w:val="19"/>
        </w:rPr>
        <w:t> </w:t>
      </w:r>
      <w:r>
        <w:rPr>
          <w:rFonts w:ascii="Segoe UI"/>
          <w:color w:val="67973F"/>
          <w:sz w:val="19"/>
        </w:rPr>
        <w:t>address</w:t>
      </w:r>
      <w:r>
        <w:rPr>
          <w:rFonts w:ascii="Segoe UI"/>
          <w:color w:val="67973F"/>
          <w:spacing w:val="-6"/>
          <w:sz w:val="19"/>
        </w:rPr>
        <w:t> </w:t>
      </w:r>
      <w:r>
        <w:rPr>
          <w:rFonts w:ascii="Segoe UI"/>
          <w:color w:val="67973F"/>
          <w:spacing w:val="-1"/>
          <w:sz w:val="19"/>
        </w:rPr>
        <w:t>student</w:t>
      </w:r>
      <w:r>
        <w:rPr>
          <w:rFonts w:ascii="Segoe UI"/>
          <w:color w:val="67973F"/>
          <w:spacing w:val="-5"/>
          <w:sz w:val="19"/>
        </w:rPr>
        <w:t> </w:t>
      </w:r>
      <w:r>
        <w:rPr>
          <w:rFonts w:ascii="Segoe UI"/>
          <w:color w:val="67973F"/>
          <w:spacing w:val="-1"/>
          <w:sz w:val="19"/>
        </w:rPr>
        <w:t>support</w:t>
      </w:r>
      <w:r>
        <w:rPr>
          <w:rFonts w:ascii="Segoe UI"/>
          <w:color w:val="67973F"/>
          <w:spacing w:val="23"/>
          <w:w w:val="99"/>
          <w:sz w:val="19"/>
        </w:rPr>
        <w:t> </w:t>
      </w:r>
      <w:r>
        <w:rPr>
          <w:rFonts w:ascii="Segoe UI"/>
          <w:color w:val="67973F"/>
          <w:sz w:val="19"/>
        </w:rPr>
        <w:t>needs</w:t>
      </w:r>
      <w:r>
        <w:rPr>
          <w:rFonts w:ascii="Segoe UI"/>
          <w:color w:val="67973F"/>
          <w:spacing w:val="-4"/>
          <w:sz w:val="19"/>
        </w:rPr>
        <w:t> </w:t>
      </w:r>
      <w:r>
        <w:rPr>
          <w:rFonts w:ascii="Segoe UI"/>
          <w:color w:val="67973F"/>
          <w:sz w:val="19"/>
        </w:rPr>
        <w:t>as</w:t>
      </w:r>
      <w:r>
        <w:rPr>
          <w:rFonts w:ascii="Segoe UI"/>
          <w:color w:val="67973F"/>
          <w:spacing w:val="-4"/>
          <w:sz w:val="19"/>
        </w:rPr>
        <w:t> </w:t>
      </w:r>
      <w:r>
        <w:rPr>
          <w:rFonts w:ascii="Segoe UI"/>
          <w:color w:val="67973F"/>
          <w:sz w:val="19"/>
        </w:rPr>
        <w:t>quickly</w:t>
      </w:r>
      <w:r>
        <w:rPr>
          <w:rFonts w:ascii="Segoe UI"/>
          <w:color w:val="67973F"/>
          <w:spacing w:val="-4"/>
          <w:sz w:val="19"/>
        </w:rPr>
        <w:t> </w:t>
      </w:r>
      <w:r>
        <w:rPr>
          <w:rFonts w:ascii="Segoe UI"/>
          <w:color w:val="67973F"/>
          <w:sz w:val="19"/>
        </w:rPr>
        <w:t>as</w:t>
      </w:r>
      <w:r>
        <w:rPr>
          <w:rFonts w:ascii="Segoe UI"/>
          <w:color w:val="67973F"/>
          <w:spacing w:val="-3"/>
          <w:sz w:val="19"/>
        </w:rPr>
        <w:t> </w:t>
      </w:r>
      <w:r>
        <w:rPr>
          <w:rFonts w:ascii="Segoe UI"/>
          <w:color w:val="67973F"/>
          <w:spacing w:val="-1"/>
          <w:sz w:val="19"/>
        </w:rPr>
        <w:t>is</w:t>
      </w:r>
      <w:r>
        <w:rPr>
          <w:rFonts w:ascii="Segoe UI"/>
          <w:color w:val="67973F"/>
          <w:spacing w:val="-4"/>
          <w:sz w:val="19"/>
        </w:rPr>
        <w:t> </w:t>
      </w:r>
      <w:r>
        <w:rPr>
          <w:rFonts w:ascii="Segoe UI"/>
          <w:color w:val="67973F"/>
          <w:sz w:val="19"/>
        </w:rPr>
        <w:t>practicable</w:t>
      </w:r>
      <w:r>
        <w:rPr>
          <w:rFonts w:ascii="Segoe UI"/>
          <w:color w:val="67973F"/>
          <w:spacing w:val="-4"/>
          <w:sz w:val="19"/>
        </w:rPr>
        <w:t> </w:t>
      </w:r>
      <w:r>
        <w:rPr>
          <w:rFonts w:ascii="Segoe UI"/>
          <w:color w:val="67973F"/>
          <w:sz w:val="19"/>
        </w:rPr>
        <w:t>through</w:t>
      </w:r>
      <w:r>
        <w:rPr>
          <w:rFonts w:ascii="Segoe UI"/>
          <w:color w:val="67973F"/>
          <w:spacing w:val="-4"/>
          <w:sz w:val="19"/>
        </w:rPr>
        <w:t> </w:t>
      </w:r>
      <w:r>
        <w:rPr>
          <w:rFonts w:ascii="Segoe UI"/>
          <w:color w:val="67973F"/>
          <w:sz w:val="19"/>
        </w:rPr>
        <w:t>a</w:t>
      </w:r>
      <w:r>
        <w:rPr>
          <w:rFonts w:ascii="Segoe UI"/>
          <w:color w:val="67973F"/>
          <w:spacing w:val="-3"/>
          <w:sz w:val="19"/>
        </w:rPr>
        <w:t> </w:t>
      </w:r>
      <w:r>
        <w:rPr>
          <w:rFonts w:ascii="Segoe UI"/>
          <w:color w:val="67973F"/>
          <w:sz w:val="19"/>
        </w:rPr>
        <w:t>health</w:t>
      </w:r>
      <w:r>
        <w:rPr>
          <w:rFonts w:ascii="Segoe UI"/>
          <w:color w:val="67973F"/>
          <w:spacing w:val="21"/>
          <w:w w:val="99"/>
          <w:sz w:val="19"/>
        </w:rPr>
        <w:t> </w:t>
      </w:r>
      <w:r>
        <w:rPr>
          <w:rFonts w:ascii="Segoe UI"/>
          <w:color w:val="67973F"/>
          <w:sz w:val="19"/>
        </w:rPr>
        <w:t>check</w:t>
      </w:r>
      <w:r>
        <w:rPr>
          <w:rFonts w:ascii="Segoe UI"/>
          <w:color w:val="67973F"/>
          <w:spacing w:val="-11"/>
          <w:sz w:val="19"/>
        </w:rPr>
        <w:t> </w:t>
      </w:r>
      <w:r>
        <w:rPr>
          <w:rFonts w:ascii="Segoe UI"/>
          <w:color w:val="67973F"/>
          <w:spacing w:val="-1"/>
          <w:sz w:val="19"/>
        </w:rPr>
        <w:t>screening</w:t>
      </w:r>
      <w:r>
        <w:rPr>
          <w:rFonts w:ascii="Segoe UI"/>
          <w:color w:val="67973F"/>
          <w:spacing w:val="-9"/>
          <w:sz w:val="19"/>
        </w:rPr>
        <w:t> </w:t>
      </w:r>
      <w:r>
        <w:rPr>
          <w:rFonts w:ascii="Segoe UI"/>
          <w:color w:val="67973F"/>
          <w:sz w:val="19"/>
        </w:rPr>
        <w:t>process.</w:t>
      </w:r>
      <w:r>
        <w:rPr>
          <w:rFonts w:ascii="Segoe UI"/>
          <w:sz w:val="19"/>
        </w:rPr>
      </w:r>
    </w:p>
    <w:p>
      <w:pPr>
        <w:spacing w:line="265" w:lineRule="auto" w:before="113"/>
        <w:ind w:left="1700" w:right="0" w:firstLine="0"/>
        <w:jc w:val="left"/>
        <w:rPr>
          <w:rFonts w:ascii="Segoe UI" w:hAnsi="Segoe UI" w:cs="Segoe UI" w:eastAsia="Segoe UI"/>
          <w:sz w:val="19"/>
          <w:szCs w:val="19"/>
        </w:rPr>
      </w:pPr>
      <w:r>
        <w:rPr>
          <w:rFonts w:ascii="Segoe UI"/>
          <w:color w:val="67973F"/>
          <w:sz w:val="19"/>
        </w:rPr>
        <w:t>Over</w:t>
      </w:r>
      <w:r>
        <w:rPr>
          <w:rFonts w:ascii="Segoe UI"/>
          <w:color w:val="67973F"/>
          <w:spacing w:val="-5"/>
          <w:sz w:val="19"/>
        </w:rPr>
        <w:t> </w:t>
      </w:r>
      <w:r>
        <w:rPr>
          <w:rFonts w:ascii="Segoe UI"/>
          <w:color w:val="67973F"/>
          <w:sz w:val="19"/>
        </w:rPr>
        <w:t>the</w:t>
      </w:r>
      <w:r>
        <w:rPr>
          <w:rFonts w:ascii="Segoe UI"/>
          <w:color w:val="67973F"/>
          <w:spacing w:val="-6"/>
          <w:sz w:val="19"/>
        </w:rPr>
        <w:t> </w:t>
      </w:r>
      <w:r>
        <w:rPr>
          <w:rFonts w:ascii="Segoe UI"/>
          <w:color w:val="67973F"/>
          <w:sz w:val="19"/>
        </w:rPr>
        <w:t>years</w:t>
      </w:r>
      <w:r>
        <w:rPr>
          <w:rFonts w:ascii="Segoe UI"/>
          <w:color w:val="67973F"/>
          <w:spacing w:val="-6"/>
          <w:sz w:val="19"/>
        </w:rPr>
        <w:t> </w:t>
      </w:r>
      <w:r>
        <w:rPr>
          <w:rFonts w:ascii="Segoe UI"/>
          <w:color w:val="67973F"/>
          <w:sz w:val="19"/>
        </w:rPr>
        <w:t>we</w:t>
      </w:r>
      <w:r>
        <w:rPr>
          <w:rFonts w:ascii="Segoe UI"/>
          <w:color w:val="67973F"/>
          <w:spacing w:val="-6"/>
          <w:sz w:val="19"/>
        </w:rPr>
        <w:t> </w:t>
      </w:r>
      <w:r>
        <w:rPr>
          <w:rFonts w:ascii="Segoe UI"/>
          <w:color w:val="67973F"/>
          <w:sz w:val="19"/>
        </w:rPr>
        <w:t>have</w:t>
      </w:r>
      <w:r>
        <w:rPr>
          <w:rFonts w:ascii="Segoe UI"/>
          <w:color w:val="67973F"/>
          <w:spacing w:val="-6"/>
          <w:sz w:val="19"/>
        </w:rPr>
        <w:t> </w:t>
      </w:r>
      <w:r>
        <w:rPr>
          <w:rFonts w:ascii="Segoe UI"/>
          <w:color w:val="67973F"/>
          <w:sz w:val="19"/>
        </w:rPr>
        <w:t>had</w:t>
      </w:r>
      <w:r>
        <w:rPr>
          <w:rFonts w:ascii="Segoe UI"/>
          <w:color w:val="67973F"/>
          <w:spacing w:val="-5"/>
          <w:sz w:val="19"/>
        </w:rPr>
        <w:t> </w:t>
      </w:r>
      <w:r>
        <w:rPr>
          <w:rFonts w:ascii="Segoe UI"/>
          <w:color w:val="67973F"/>
          <w:spacing w:val="-1"/>
          <w:sz w:val="19"/>
        </w:rPr>
        <w:t>interventions</w:t>
      </w:r>
      <w:r>
        <w:rPr>
          <w:rFonts w:ascii="Segoe UI"/>
          <w:color w:val="67973F"/>
          <w:spacing w:val="-5"/>
          <w:sz w:val="19"/>
        </w:rPr>
        <w:t> </w:t>
      </w:r>
      <w:r>
        <w:rPr>
          <w:rFonts w:ascii="Segoe UI"/>
          <w:color w:val="67973F"/>
          <w:sz w:val="19"/>
        </w:rPr>
        <w:t>and</w:t>
      </w:r>
      <w:r>
        <w:rPr>
          <w:rFonts w:ascii="Segoe UI"/>
          <w:color w:val="67973F"/>
          <w:spacing w:val="22"/>
          <w:w w:val="99"/>
          <w:sz w:val="19"/>
        </w:rPr>
        <w:t> </w:t>
      </w:r>
      <w:r>
        <w:rPr>
          <w:rFonts w:ascii="Segoe UI"/>
          <w:color w:val="67973F"/>
          <w:spacing w:val="-1"/>
          <w:sz w:val="19"/>
        </w:rPr>
        <w:t>screenings</w:t>
      </w:r>
      <w:r>
        <w:rPr>
          <w:rFonts w:ascii="Segoe UI"/>
          <w:color w:val="67973F"/>
          <w:spacing w:val="-4"/>
          <w:sz w:val="19"/>
        </w:rPr>
        <w:t> </w:t>
      </w:r>
      <w:r>
        <w:rPr>
          <w:rFonts w:ascii="Segoe UI"/>
          <w:color w:val="67973F"/>
          <w:sz w:val="19"/>
        </w:rPr>
        <w:t>required</w:t>
      </w:r>
      <w:r>
        <w:rPr>
          <w:rFonts w:ascii="Segoe UI"/>
          <w:color w:val="67973F"/>
          <w:spacing w:val="-5"/>
          <w:sz w:val="19"/>
        </w:rPr>
        <w:t> </w:t>
      </w:r>
      <w:r>
        <w:rPr>
          <w:rFonts w:ascii="Segoe UI"/>
          <w:color w:val="67973F"/>
          <w:sz w:val="19"/>
        </w:rPr>
        <w:t>due</w:t>
      </w:r>
      <w:r>
        <w:rPr>
          <w:rFonts w:ascii="Segoe UI"/>
          <w:color w:val="67973F"/>
          <w:spacing w:val="-5"/>
          <w:sz w:val="19"/>
        </w:rPr>
        <w:t> </w:t>
      </w:r>
      <w:r>
        <w:rPr>
          <w:rFonts w:ascii="Segoe UI"/>
          <w:color w:val="67973F"/>
          <w:sz w:val="19"/>
        </w:rPr>
        <w:t>to</w:t>
      </w:r>
      <w:r>
        <w:rPr>
          <w:rFonts w:ascii="Segoe UI"/>
          <w:color w:val="67973F"/>
          <w:spacing w:val="-4"/>
          <w:sz w:val="19"/>
        </w:rPr>
        <w:t> </w:t>
      </w:r>
      <w:r>
        <w:rPr>
          <w:rFonts w:ascii="Segoe UI"/>
          <w:color w:val="67973F"/>
          <w:sz w:val="19"/>
        </w:rPr>
        <w:t>tuberculosis</w:t>
      </w:r>
      <w:r>
        <w:rPr>
          <w:rFonts w:ascii="Segoe UI"/>
          <w:color w:val="67973F"/>
          <w:spacing w:val="-5"/>
          <w:sz w:val="19"/>
        </w:rPr>
        <w:t> </w:t>
      </w:r>
      <w:r>
        <w:rPr>
          <w:rFonts w:ascii="Segoe UI"/>
          <w:color w:val="67973F"/>
          <w:sz w:val="19"/>
        </w:rPr>
        <w:t>diagnosis</w:t>
      </w:r>
      <w:r>
        <w:rPr>
          <w:rFonts w:ascii="Segoe UI"/>
          <w:color w:val="67973F"/>
          <w:spacing w:val="22"/>
          <w:sz w:val="19"/>
        </w:rPr>
        <w:t> </w:t>
      </w:r>
      <w:r>
        <w:rPr>
          <w:rFonts w:ascii="Segoe UI"/>
          <w:color w:val="67973F"/>
          <w:sz w:val="19"/>
        </w:rPr>
        <w:t>(most</w:t>
      </w:r>
      <w:r>
        <w:rPr>
          <w:rFonts w:ascii="Segoe UI"/>
          <w:color w:val="67973F"/>
          <w:spacing w:val="-1"/>
          <w:sz w:val="19"/>
        </w:rPr>
        <w:t> </w:t>
      </w:r>
      <w:r>
        <w:rPr>
          <w:rFonts w:ascii="Segoe UI"/>
          <w:color w:val="67973F"/>
          <w:sz w:val="19"/>
        </w:rPr>
        <w:t>recent</w:t>
      </w:r>
      <w:r>
        <w:rPr>
          <w:rFonts w:ascii="Segoe UI"/>
          <w:color w:val="67973F"/>
          <w:spacing w:val="-1"/>
          <w:sz w:val="19"/>
        </w:rPr>
        <w:t> </w:t>
      </w:r>
      <w:r>
        <w:rPr>
          <w:rFonts w:ascii="Segoe UI"/>
          <w:color w:val="67973F"/>
          <w:sz w:val="19"/>
        </w:rPr>
        <w:t>being 2015)</w:t>
      </w:r>
      <w:r>
        <w:rPr>
          <w:rFonts w:ascii="Segoe UI"/>
          <w:color w:val="67973F"/>
          <w:spacing w:val="-1"/>
          <w:sz w:val="19"/>
        </w:rPr>
        <w:t> </w:t>
      </w:r>
      <w:r>
        <w:rPr>
          <w:rFonts w:ascii="Segoe UI"/>
          <w:color w:val="67973F"/>
          <w:sz w:val="19"/>
        </w:rPr>
        <w:t>which</w:t>
      </w:r>
      <w:r>
        <w:rPr>
          <w:rFonts w:ascii="Segoe UI"/>
          <w:color w:val="67973F"/>
          <w:spacing w:val="-1"/>
          <w:sz w:val="19"/>
        </w:rPr>
        <w:t> </w:t>
      </w:r>
      <w:r>
        <w:rPr>
          <w:rFonts w:ascii="Segoe UI"/>
          <w:color w:val="67973F"/>
          <w:sz w:val="19"/>
        </w:rPr>
        <w:t>meant all</w:t>
      </w:r>
      <w:r>
        <w:rPr>
          <w:rFonts w:ascii="Segoe UI"/>
          <w:color w:val="67973F"/>
          <w:spacing w:val="-1"/>
          <w:sz w:val="19"/>
        </w:rPr>
        <w:t> </w:t>
      </w:r>
      <w:r>
        <w:rPr>
          <w:rFonts w:ascii="Segoe UI"/>
          <w:color w:val="67973F"/>
          <w:sz w:val="19"/>
        </w:rPr>
        <w:t>staff/</w:t>
      </w:r>
      <w:r>
        <w:rPr>
          <w:rFonts w:ascii="Segoe UI"/>
          <w:color w:val="67973F"/>
          <w:w w:val="99"/>
          <w:sz w:val="19"/>
        </w:rPr>
        <w:t> </w:t>
      </w:r>
      <w:r>
        <w:rPr>
          <w:rFonts w:ascii="Segoe UI"/>
          <w:color w:val="67973F"/>
          <w:spacing w:val="-1"/>
          <w:sz w:val="19"/>
        </w:rPr>
        <w:t>students</w:t>
      </w:r>
      <w:r>
        <w:rPr>
          <w:rFonts w:ascii="Segoe UI"/>
          <w:color w:val="67973F"/>
          <w:spacing w:val="-4"/>
          <w:sz w:val="19"/>
        </w:rPr>
        <w:t> </w:t>
      </w:r>
      <w:r>
        <w:rPr>
          <w:rFonts w:ascii="Segoe UI"/>
          <w:color w:val="67973F"/>
          <w:sz w:val="19"/>
        </w:rPr>
        <w:t>needed</w:t>
      </w:r>
      <w:r>
        <w:rPr>
          <w:rFonts w:ascii="Segoe UI"/>
          <w:color w:val="67973F"/>
          <w:spacing w:val="-4"/>
          <w:sz w:val="19"/>
        </w:rPr>
        <w:t> </w:t>
      </w:r>
      <w:r>
        <w:rPr>
          <w:rFonts w:ascii="Segoe UI"/>
          <w:color w:val="67973F"/>
          <w:sz w:val="19"/>
        </w:rPr>
        <w:t>to</w:t>
      </w:r>
      <w:r>
        <w:rPr>
          <w:rFonts w:ascii="Segoe UI"/>
          <w:color w:val="67973F"/>
          <w:spacing w:val="-3"/>
          <w:sz w:val="19"/>
        </w:rPr>
        <w:t> </w:t>
      </w:r>
      <w:r>
        <w:rPr>
          <w:rFonts w:ascii="Segoe UI"/>
          <w:color w:val="67973F"/>
          <w:sz w:val="19"/>
        </w:rPr>
        <w:t>be</w:t>
      </w:r>
      <w:r>
        <w:rPr>
          <w:rFonts w:ascii="Segoe UI"/>
          <w:color w:val="67973F"/>
          <w:spacing w:val="-3"/>
          <w:sz w:val="19"/>
        </w:rPr>
        <w:t> </w:t>
      </w:r>
      <w:r>
        <w:rPr>
          <w:rFonts w:ascii="Segoe UI"/>
          <w:color w:val="67973F"/>
          <w:spacing w:val="-1"/>
          <w:sz w:val="19"/>
        </w:rPr>
        <w:t>screened.</w:t>
      </w:r>
      <w:r>
        <w:rPr>
          <w:rFonts w:ascii="Segoe UI"/>
          <w:color w:val="67973F"/>
          <w:spacing w:val="-2"/>
          <w:sz w:val="19"/>
        </w:rPr>
        <w:t> </w:t>
      </w:r>
      <w:r>
        <w:rPr>
          <w:rFonts w:ascii="Segoe UI"/>
          <w:color w:val="67973F"/>
          <w:sz w:val="19"/>
        </w:rPr>
        <w:t>TB</w:t>
      </w:r>
      <w:r>
        <w:rPr>
          <w:rFonts w:ascii="Segoe UI"/>
          <w:color w:val="67973F"/>
          <w:spacing w:val="-4"/>
          <w:sz w:val="19"/>
        </w:rPr>
        <w:t> </w:t>
      </w:r>
      <w:r>
        <w:rPr>
          <w:rFonts w:ascii="Segoe UI"/>
          <w:color w:val="67973F"/>
          <w:sz w:val="19"/>
        </w:rPr>
        <w:t>cases</w:t>
      </w:r>
      <w:r>
        <w:rPr>
          <w:rFonts w:ascii="Segoe UI"/>
          <w:color w:val="67973F"/>
          <w:spacing w:val="-5"/>
          <w:sz w:val="19"/>
        </w:rPr>
        <w:t> </w:t>
      </w:r>
      <w:r>
        <w:rPr>
          <w:rFonts w:ascii="Segoe UI"/>
          <w:color w:val="67973F"/>
          <w:sz w:val="19"/>
        </w:rPr>
        <w:t>have</w:t>
      </w:r>
      <w:r>
        <w:rPr>
          <w:rFonts w:ascii="Segoe UI"/>
          <w:color w:val="67973F"/>
          <w:spacing w:val="23"/>
          <w:w w:val="99"/>
          <w:sz w:val="19"/>
        </w:rPr>
        <w:t> </w:t>
      </w:r>
      <w:r>
        <w:rPr>
          <w:rFonts w:ascii="Segoe UI"/>
          <w:color w:val="67973F"/>
          <w:sz w:val="19"/>
        </w:rPr>
        <w:t>presented</w:t>
      </w:r>
      <w:r>
        <w:rPr>
          <w:rFonts w:ascii="Segoe UI"/>
          <w:color w:val="67973F"/>
          <w:spacing w:val="-5"/>
          <w:sz w:val="19"/>
        </w:rPr>
        <w:t> </w:t>
      </w:r>
      <w:r>
        <w:rPr>
          <w:rFonts w:ascii="Segoe UI"/>
          <w:color w:val="67973F"/>
          <w:sz w:val="19"/>
        </w:rPr>
        <w:t>from</w:t>
      </w:r>
      <w:r>
        <w:rPr>
          <w:rFonts w:ascii="Segoe UI"/>
          <w:color w:val="67973F"/>
          <w:spacing w:val="-4"/>
          <w:sz w:val="19"/>
        </w:rPr>
        <w:t> </w:t>
      </w:r>
      <w:r>
        <w:rPr>
          <w:rFonts w:ascii="Segoe UI"/>
          <w:color w:val="67973F"/>
          <w:spacing w:val="-1"/>
          <w:sz w:val="19"/>
        </w:rPr>
        <w:t>students</w:t>
      </w:r>
      <w:r>
        <w:rPr>
          <w:rFonts w:ascii="Segoe UI"/>
          <w:color w:val="67973F"/>
          <w:spacing w:val="-4"/>
          <w:sz w:val="19"/>
        </w:rPr>
        <w:t> </w:t>
      </w:r>
      <w:r>
        <w:rPr>
          <w:rFonts w:ascii="Segoe UI"/>
          <w:color w:val="67973F"/>
          <w:sz w:val="19"/>
        </w:rPr>
        <w:t>who</w:t>
      </w:r>
      <w:r>
        <w:rPr>
          <w:rFonts w:ascii="Segoe UI"/>
          <w:color w:val="67973F"/>
          <w:spacing w:val="-5"/>
          <w:sz w:val="19"/>
        </w:rPr>
        <w:t> </w:t>
      </w:r>
      <w:r>
        <w:rPr>
          <w:rFonts w:ascii="Segoe UI"/>
          <w:color w:val="67973F"/>
          <w:sz w:val="19"/>
        </w:rPr>
        <w:t>had</w:t>
      </w:r>
      <w:r>
        <w:rPr>
          <w:rFonts w:ascii="Segoe UI"/>
          <w:color w:val="67973F"/>
          <w:spacing w:val="-4"/>
          <w:sz w:val="19"/>
        </w:rPr>
        <w:t> </w:t>
      </w:r>
      <w:r>
        <w:rPr>
          <w:rFonts w:ascii="Segoe UI"/>
          <w:color w:val="67973F"/>
          <w:spacing w:val="-1"/>
          <w:sz w:val="19"/>
        </w:rPr>
        <w:t>spent</w:t>
      </w:r>
      <w:r>
        <w:rPr>
          <w:rFonts w:ascii="Segoe UI"/>
          <w:color w:val="67973F"/>
          <w:spacing w:val="-4"/>
          <w:sz w:val="19"/>
        </w:rPr>
        <w:t> </w:t>
      </w:r>
      <w:r>
        <w:rPr>
          <w:rFonts w:ascii="Segoe UI"/>
          <w:color w:val="67973F"/>
          <w:sz w:val="19"/>
        </w:rPr>
        <w:t>time</w:t>
      </w:r>
      <w:r>
        <w:rPr>
          <w:rFonts w:ascii="Segoe UI"/>
          <w:color w:val="67973F"/>
          <w:spacing w:val="23"/>
          <w:sz w:val="19"/>
        </w:rPr>
        <w:t> </w:t>
      </w:r>
      <w:r>
        <w:rPr>
          <w:rFonts w:ascii="Segoe UI"/>
          <w:color w:val="67973F"/>
          <w:sz w:val="19"/>
        </w:rPr>
        <w:t>overseas.</w:t>
      </w:r>
      <w:r>
        <w:rPr>
          <w:rFonts w:ascii="Segoe UI"/>
          <w:sz w:val="19"/>
        </w:rPr>
      </w:r>
    </w:p>
    <w:p>
      <w:pPr>
        <w:spacing w:line="265" w:lineRule="auto" w:before="113"/>
        <w:ind w:left="1700" w:right="136" w:firstLine="0"/>
        <w:jc w:val="left"/>
        <w:rPr>
          <w:rFonts w:ascii="Segoe UI" w:hAnsi="Segoe UI" w:cs="Segoe UI" w:eastAsia="Segoe UI"/>
          <w:sz w:val="19"/>
          <w:szCs w:val="19"/>
        </w:rPr>
      </w:pPr>
      <w:r>
        <w:rPr>
          <w:rFonts w:ascii="Segoe UI"/>
          <w:color w:val="67973F"/>
          <w:sz w:val="19"/>
        </w:rPr>
        <w:t>The</w:t>
      </w:r>
      <w:r>
        <w:rPr>
          <w:rFonts w:ascii="Segoe UI"/>
          <w:color w:val="67973F"/>
          <w:spacing w:val="-3"/>
          <w:sz w:val="19"/>
        </w:rPr>
        <w:t> </w:t>
      </w:r>
      <w:r>
        <w:rPr>
          <w:rFonts w:ascii="Segoe UI"/>
          <w:color w:val="67973F"/>
          <w:sz w:val="19"/>
        </w:rPr>
        <w:t>dental</w:t>
      </w:r>
      <w:r>
        <w:rPr>
          <w:rFonts w:ascii="Segoe UI"/>
          <w:color w:val="67973F"/>
          <w:spacing w:val="-3"/>
          <w:sz w:val="19"/>
        </w:rPr>
        <w:t> </w:t>
      </w:r>
      <w:r>
        <w:rPr>
          <w:rFonts w:ascii="Segoe UI"/>
          <w:color w:val="67973F"/>
          <w:sz w:val="19"/>
        </w:rPr>
        <w:t>van</w:t>
      </w:r>
      <w:r>
        <w:rPr>
          <w:rFonts w:ascii="Segoe UI"/>
          <w:color w:val="67973F"/>
          <w:spacing w:val="-2"/>
          <w:sz w:val="19"/>
        </w:rPr>
        <w:t> </w:t>
      </w:r>
      <w:r>
        <w:rPr>
          <w:rFonts w:ascii="Segoe UI"/>
          <w:color w:val="67973F"/>
          <w:sz w:val="19"/>
        </w:rPr>
        <w:t>bases</w:t>
      </w:r>
      <w:r>
        <w:rPr>
          <w:rFonts w:ascii="Segoe UI"/>
          <w:color w:val="67973F"/>
          <w:spacing w:val="-3"/>
          <w:sz w:val="19"/>
        </w:rPr>
        <w:t> </w:t>
      </w:r>
      <w:r>
        <w:rPr>
          <w:rFonts w:ascii="Segoe UI"/>
          <w:color w:val="67973F"/>
          <w:spacing w:val="-1"/>
          <w:sz w:val="19"/>
        </w:rPr>
        <w:t>itself</w:t>
      </w:r>
      <w:r>
        <w:rPr>
          <w:rFonts w:ascii="Segoe UI"/>
          <w:color w:val="67973F"/>
          <w:spacing w:val="-2"/>
          <w:sz w:val="19"/>
        </w:rPr>
        <w:t> </w:t>
      </w:r>
      <w:r>
        <w:rPr>
          <w:rFonts w:ascii="Segoe UI"/>
          <w:color w:val="67973F"/>
          <w:sz w:val="19"/>
        </w:rPr>
        <w:t>at</w:t>
      </w:r>
      <w:r>
        <w:rPr>
          <w:rFonts w:ascii="Segoe UI"/>
          <w:color w:val="67973F"/>
          <w:spacing w:val="-2"/>
          <w:sz w:val="19"/>
        </w:rPr>
        <w:t> </w:t>
      </w:r>
      <w:r>
        <w:rPr>
          <w:rFonts w:ascii="Segoe UI"/>
          <w:color w:val="67973F"/>
          <w:sz w:val="19"/>
        </w:rPr>
        <w:t>the</w:t>
      </w:r>
      <w:r>
        <w:rPr>
          <w:rFonts w:ascii="Segoe UI"/>
          <w:color w:val="67973F"/>
          <w:spacing w:val="-3"/>
          <w:sz w:val="19"/>
        </w:rPr>
        <w:t> </w:t>
      </w:r>
      <w:r>
        <w:rPr>
          <w:rFonts w:ascii="Segoe UI"/>
          <w:color w:val="67973F"/>
          <w:spacing w:val="-1"/>
          <w:sz w:val="19"/>
        </w:rPr>
        <w:t>school</w:t>
      </w:r>
      <w:r>
        <w:rPr>
          <w:rFonts w:ascii="Segoe UI"/>
          <w:color w:val="67973F"/>
          <w:spacing w:val="-3"/>
          <w:sz w:val="19"/>
        </w:rPr>
        <w:t> </w:t>
      </w:r>
      <w:r>
        <w:rPr>
          <w:rFonts w:ascii="Segoe UI"/>
          <w:color w:val="67973F"/>
          <w:spacing w:val="-1"/>
          <w:sz w:val="19"/>
        </w:rPr>
        <w:t>in</w:t>
      </w:r>
      <w:r>
        <w:rPr>
          <w:rFonts w:ascii="Segoe UI"/>
          <w:color w:val="67973F"/>
          <w:spacing w:val="-2"/>
          <w:sz w:val="19"/>
        </w:rPr>
        <w:t> </w:t>
      </w:r>
      <w:r>
        <w:rPr>
          <w:rFonts w:ascii="Segoe UI"/>
          <w:color w:val="67973F"/>
          <w:sz w:val="19"/>
        </w:rPr>
        <w:t>May</w:t>
      </w:r>
      <w:r>
        <w:rPr>
          <w:rFonts w:ascii="Segoe UI"/>
          <w:color w:val="67973F"/>
          <w:spacing w:val="24"/>
          <w:w w:val="99"/>
          <w:sz w:val="19"/>
        </w:rPr>
        <w:t> </w:t>
      </w:r>
      <w:r>
        <w:rPr>
          <w:rFonts w:ascii="Segoe UI"/>
          <w:color w:val="67973F"/>
          <w:sz w:val="19"/>
        </w:rPr>
        <w:t>each</w:t>
      </w:r>
      <w:r>
        <w:rPr>
          <w:rFonts w:ascii="Segoe UI"/>
          <w:color w:val="67973F"/>
          <w:spacing w:val="-4"/>
          <w:sz w:val="19"/>
        </w:rPr>
        <w:t> </w:t>
      </w:r>
      <w:r>
        <w:rPr>
          <w:rFonts w:ascii="Segoe UI"/>
          <w:color w:val="67973F"/>
          <w:sz w:val="19"/>
        </w:rPr>
        <w:t>year</w:t>
      </w:r>
      <w:r>
        <w:rPr>
          <w:rFonts w:ascii="Segoe UI"/>
          <w:color w:val="67973F"/>
          <w:spacing w:val="-3"/>
          <w:sz w:val="19"/>
        </w:rPr>
        <w:t> </w:t>
      </w:r>
      <w:r>
        <w:rPr>
          <w:rFonts w:ascii="Segoe UI"/>
          <w:color w:val="67973F"/>
          <w:sz w:val="19"/>
        </w:rPr>
        <w:t>and</w:t>
      </w:r>
      <w:r>
        <w:rPr>
          <w:rFonts w:ascii="Segoe UI"/>
          <w:color w:val="67973F"/>
          <w:spacing w:val="-4"/>
          <w:sz w:val="19"/>
        </w:rPr>
        <w:t> </w:t>
      </w:r>
      <w:r>
        <w:rPr>
          <w:rFonts w:ascii="Segoe UI"/>
          <w:color w:val="67973F"/>
          <w:sz w:val="19"/>
        </w:rPr>
        <w:t>during</w:t>
      </w:r>
      <w:r>
        <w:rPr>
          <w:rFonts w:ascii="Segoe UI"/>
          <w:color w:val="67973F"/>
          <w:spacing w:val="-4"/>
          <w:sz w:val="19"/>
        </w:rPr>
        <w:t> </w:t>
      </w:r>
      <w:r>
        <w:rPr>
          <w:rFonts w:ascii="Segoe UI"/>
          <w:color w:val="67973F"/>
          <w:sz w:val="19"/>
        </w:rPr>
        <w:t>this</w:t>
      </w:r>
      <w:r>
        <w:rPr>
          <w:rFonts w:ascii="Segoe UI"/>
          <w:color w:val="67973F"/>
          <w:spacing w:val="-4"/>
          <w:sz w:val="19"/>
        </w:rPr>
        <w:t> </w:t>
      </w:r>
      <w:r>
        <w:rPr>
          <w:rFonts w:ascii="Segoe UI"/>
          <w:color w:val="67973F"/>
          <w:sz w:val="19"/>
        </w:rPr>
        <w:t>time</w:t>
      </w:r>
      <w:r>
        <w:rPr>
          <w:rFonts w:ascii="Segoe UI"/>
          <w:color w:val="67973F"/>
          <w:spacing w:val="-4"/>
          <w:sz w:val="19"/>
        </w:rPr>
        <w:t> </w:t>
      </w:r>
      <w:r>
        <w:rPr>
          <w:rFonts w:ascii="Segoe UI"/>
          <w:color w:val="67973F"/>
          <w:sz w:val="19"/>
        </w:rPr>
        <w:t>completes</w:t>
      </w:r>
      <w:r>
        <w:rPr>
          <w:rFonts w:ascii="Segoe UI"/>
          <w:color w:val="67973F"/>
          <w:spacing w:val="-4"/>
          <w:sz w:val="19"/>
        </w:rPr>
        <w:t> </w:t>
      </w:r>
      <w:r>
        <w:rPr>
          <w:rFonts w:ascii="Segoe UI"/>
          <w:color w:val="67973F"/>
          <w:sz w:val="19"/>
        </w:rPr>
        <w:t>dental</w:t>
      </w:r>
      <w:r>
        <w:rPr>
          <w:rFonts w:ascii="Segoe UI"/>
          <w:color w:val="67973F"/>
          <w:w w:val="99"/>
          <w:sz w:val="19"/>
        </w:rPr>
        <w:t> </w:t>
      </w:r>
      <w:r>
        <w:rPr>
          <w:rFonts w:ascii="Segoe UI"/>
          <w:color w:val="67973F"/>
          <w:spacing w:val="-1"/>
          <w:sz w:val="19"/>
        </w:rPr>
        <w:t>screens</w:t>
      </w:r>
      <w:r>
        <w:rPr>
          <w:rFonts w:ascii="Segoe UI"/>
          <w:color w:val="67973F"/>
          <w:spacing w:val="-2"/>
          <w:sz w:val="19"/>
        </w:rPr>
        <w:t> </w:t>
      </w:r>
      <w:r>
        <w:rPr>
          <w:rFonts w:ascii="Segoe UI"/>
          <w:color w:val="67973F"/>
          <w:sz w:val="19"/>
        </w:rPr>
        <w:t>for</w:t>
      </w:r>
      <w:r>
        <w:rPr>
          <w:rFonts w:ascii="Segoe UI"/>
          <w:color w:val="67973F"/>
          <w:spacing w:val="-2"/>
          <w:sz w:val="19"/>
        </w:rPr>
        <w:t> </w:t>
      </w:r>
      <w:r>
        <w:rPr>
          <w:rFonts w:ascii="Segoe UI"/>
          <w:color w:val="67973F"/>
          <w:spacing w:val="-1"/>
          <w:sz w:val="19"/>
        </w:rPr>
        <w:t>students</w:t>
      </w:r>
      <w:r>
        <w:rPr>
          <w:rFonts w:ascii="Segoe UI"/>
          <w:color w:val="67973F"/>
          <w:spacing w:val="-2"/>
          <w:sz w:val="19"/>
        </w:rPr>
        <w:t> </w:t>
      </w:r>
      <w:r>
        <w:rPr>
          <w:rFonts w:ascii="Segoe UI"/>
          <w:color w:val="67973F"/>
          <w:sz w:val="19"/>
        </w:rPr>
        <w:t>up</w:t>
      </w:r>
      <w:r>
        <w:rPr>
          <w:rFonts w:ascii="Segoe UI"/>
          <w:color w:val="67973F"/>
          <w:spacing w:val="-2"/>
          <w:sz w:val="19"/>
        </w:rPr>
        <w:t> </w:t>
      </w:r>
      <w:r>
        <w:rPr>
          <w:rFonts w:ascii="Segoe UI"/>
          <w:color w:val="67973F"/>
          <w:sz w:val="19"/>
        </w:rPr>
        <w:t>to</w:t>
      </w:r>
      <w:r>
        <w:rPr>
          <w:rFonts w:ascii="Segoe UI"/>
          <w:color w:val="67973F"/>
          <w:spacing w:val="-1"/>
          <w:sz w:val="19"/>
        </w:rPr>
        <w:t> 15</w:t>
      </w:r>
      <w:r>
        <w:rPr>
          <w:rFonts w:ascii="Segoe UI"/>
          <w:color w:val="67973F"/>
          <w:spacing w:val="-2"/>
          <w:sz w:val="19"/>
        </w:rPr>
        <w:t> </w:t>
      </w:r>
      <w:r>
        <w:rPr>
          <w:rFonts w:ascii="Segoe UI"/>
          <w:color w:val="67973F"/>
          <w:sz w:val="19"/>
        </w:rPr>
        <w:t>years</w:t>
      </w:r>
      <w:r>
        <w:rPr>
          <w:rFonts w:ascii="Segoe UI"/>
          <w:color w:val="67973F"/>
          <w:spacing w:val="-3"/>
          <w:sz w:val="19"/>
        </w:rPr>
        <w:t> </w:t>
      </w:r>
      <w:r>
        <w:rPr>
          <w:rFonts w:ascii="Segoe UI"/>
          <w:color w:val="67973F"/>
          <w:sz w:val="19"/>
        </w:rPr>
        <w:t>of</w:t>
      </w:r>
      <w:r>
        <w:rPr>
          <w:rFonts w:ascii="Segoe UI"/>
          <w:color w:val="67973F"/>
          <w:spacing w:val="-2"/>
          <w:sz w:val="19"/>
        </w:rPr>
        <w:t> </w:t>
      </w:r>
      <w:r>
        <w:rPr>
          <w:rFonts w:ascii="Segoe UI"/>
          <w:color w:val="67973F"/>
          <w:sz w:val="19"/>
        </w:rPr>
        <w:t>age.</w:t>
      </w:r>
      <w:r>
        <w:rPr>
          <w:rFonts w:ascii="Segoe UI"/>
          <w:color w:val="67973F"/>
          <w:spacing w:val="-2"/>
          <w:sz w:val="19"/>
        </w:rPr>
        <w:t> </w:t>
      </w:r>
      <w:r>
        <w:rPr>
          <w:rFonts w:ascii="Segoe UI"/>
          <w:color w:val="67973F"/>
          <w:spacing w:val="-1"/>
          <w:sz w:val="19"/>
        </w:rPr>
        <w:t>In</w:t>
      </w:r>
      <w:r>
        <w:rPr>
          <w:rFonts w:ascii="Segoe UI"/>
          <w:color w:val="67973F"/>
          <w:spacing w:val="23"/>
          <w:sz w:val="19"/>
        </w:rPr>
        <w:t> </w:t>
      </w:r>
      <w:r>
        <w:rPr>
          <w:rFonts w:ascii="Segoe UI"/>
          <w:color w:val="67973F"/>
          <w:sz w:val="19"/>
        </w:rPr>
        <w:t>2016</w:t>
      </w:r>
      <w:r>
        <w:rPr>
          <w:rFonts w:ascii="Segoe UI"/>
          <w:color w:val="67973F"/>
          <w:spacing w:val="-1"/>
          <w:sz w:val="19"/>
        </w:rPr>
        <w:t> </w:t>
      </w:r>
      <w:r>
        <w:rPr>
          <w:rFonts w:ascii="Segoe UI"/>
          <w:color w:val="67973F"/>
          <w:sz w:val="19"/>
        </w:rPr>
        <w:t>dental van</w:t>
      </w:r>
      <w:r>
        <w:rPr>
          <w:rFonts w:ascii="Segoe UI"/>
          <w:color w:val="67973F"/>
          <w:spacing w:val="-1"/>
          <w:sz w:val="19"/>
        </w:rPr>
        <w:t> </w:t>
      </w:r>
      <w:r>
        <w:rPr>
          <w:rFonts w:ascii="Segoe UI"/>
          <w:color w:val="67973F"/>
          <w:sz w:val="19"/>
        </w:rPr>
        <w:t>staff identified</w:t>
      </w:r>
      <w:r>
        <w:rPr>
          <w:rFonts w:ascii="Segoe UI"/>
          <w:color w:val="67973F"/>
          <w:spacing w:val="-1"/>
          <w:sz w:val="19"/>
        </w:rPr>
        <w:t> </w:t>
      </w:r>
      <w:r>
        <w:rPr>
          <w:rFonts w:ascii="Segoe UI"/>
          <w:color w:val="67973F"/>
          <w:sz w:val="19"/>
        </w:rPr>
        <w:t>that 50</w:t>
      </w:r>
      <w:r>
        <w:rPr>
          <w:rFonts w:ascii="Segoe UI"/>
          <w:color w:val="67973F"/>
          <w:spacing w:val="-1"/>
          <w:sz w:val="19"/>
        </w:rPr>
        <w:t> </w:t>
      </w:r>
      <w:r>
        <w:rPr>
          <w:rFonts w:ascii="Segoe UI"/>
          <w:color w:val="67973F"/>
          <w:sz w:val="19"/>
        </w:rPr>
        <w:t>per cent</w:t>
      </w:r>
      <w:r>
        <w:rPr>
          <w:rFonts w:ascii="Segoe UI"/>
          <w:color w:val="67973F"/>
          <w:sz w:val="19"/>
        </w:rPr>
        <w:t> </w:t>
      </w:r>
      <w:r>
        <w:rPr>
          <w:rFonts w:ascii="Segoe UI"/>
          <w:color w:val="67973F"/>
          <w:sz w:val="19"/>
        </w:rPr>
        <w:t>of</w:t>
      </w:r>
      <w:r>
        <w:rPr>
          <w:rFonts w:ascii="Segoe UI"/>
          <w:color w:val="67973F"/>
          <w:spacing w:val="-4"/>
          <w:sz w:val="19"/>
        </w:rPr>
        <w:t> </w:t>
      </w:r>
      <w:r>
        <w:rPr>
          <w:rFonts w:ascii="Segoe UI"/>
          <w:color w:val="67973F"/>
          <w:spacing w:val="-1"/>
          <w:sz w:val="19"/>
        </w:rPr>
        <w:t>students</w:t>
      </w:r>
      <w:r>
        <w:rPr>
          <w:rFonts w:ascii="Segoe UI"/>
          <w:color w:val="67973F"/>
          <w:spacing w:val="-4"/>
          <w:sz w:val="19"/>
        </w:rPr>
        <w:t> </w:t>
      </w:r>
      <w:r>
        <w:rPr>
          <w:rFonts w:ascii="Segoe UI"/>
          <w:color w:val="67973F"/>
          <w:sz w:val="19"/>
        </w:rPr>
        <w:t>had</w:t>
      </w:r>
      <w:r>
        <w:rPr>
          <w:rFonts w:ascii="Segoe UI"/>
          <w:color w:val="67973F"/>
          <w:spacing w:val="-4"/>
          <w:sz w:val="19"/>
        </w:rPr>
        <w:t> </w:t>
      </w:r>
      <w:r>
        <w:rPr>
          <w:rFonts w:ascii="Segoe UI"/>
          <w:color w:val="67973F"/>
          <w:sz w:val="19"/>
        </w:rPr>
        <w:t>dental</w:t>
      </w:r>
      <w:r>
        <w:rPr>
          <w:rFonts w:ascii="Segoe UI"/>
          <w:color w:val="67973F"/>
          <w:spacing w:val="-5"/>
          <w:sz w:val="19"/>
        </w:rPr>
        <w:t> </w:t>
      </w:r>
      <w:r>
        <w:rPr>
          <w:rFonts w:ascii="Segoe UI"/>
          <w:color w:val="67973F"/>
          <w:sz w:val="19"/>
        </w:rPr>
        <w:t>problems</w:t>
      </w:r>
      <w:r>
        <w:rPr>
          <w:rFonts w:ascii="Segoe UI"/>
          <w:color w:val="67973F"/>
          <w:spacing w:val="-5"/>
          <w:sz w:val="19"/>
        </w:rPr>
        <w:t> </w:t>
      </w:r>
      <w:r>
        <w:rPr>
          <w:rFonts w:ascii="Segoe UI"/>
          <w:color w:val="67973F"/>
          <w:sz w:val="19"/>
        </w:rPr>
        <w:t>requiring</w:t>
      </w:r>
      <w:r>
        <w:rPr>
          <w:rFonts w:ascii="Segoe UI"/>
          <w:color w:val="67973F"/>
          <w:spacing w:val="-4"/>
          <w:sz w:val="19"/>
        </w:rPr>
        <w:t> </w:t>
      </w:r>
      <w:r>
        <w:rPr>
          <w:rFonts w:ascii="Segoe UI"/>
          <w:color w:val="67973F"/>
          <w:sz w:val="19"/>
        </w:rPr>
        <w:t>follow</w:t>
      </w:r>
      <w:r>
        <w:rPr>
          <w:rFonts w:ascii="Segoe UI"/>
          <w:color w:val="67973F"/>
          <w:spacing w:val="22"/>
          <w:w w:val="99"/>
          <w:sz w:val="19"/>
        </w:rPr>
        <w:t> </w:t>
      </w:r>
      <w:r>
        <w:rPr>
          <w:rFonts w:ascii="Segoe UI"/>
          <w:color w:val="67973F"/>
          <w:sz w:val="19"/>
        </w:rPr>
        <w:t>up. However, this is a significant improvement</w:t>
      </w:r>
      <w:r>
        <w:rPr>
          <w:rFonts w:ascii="Segoe UI"/>
          <w:sz w:val="19"/>
        </w:rPr>
      </w:r>
    </w:p>
    <w:p>
      <w:pPr>
        <w:spacing w:line="265" w:lineRule="auto" w:before="0"/>
        <w:ind w:left="1700" w:right="111" w:firstLine="0"/>
        <w:jc w:val="left"/>
        <w:rPr>
          <w:rFonts w:ascii="Segoe UI" w:hAnsi="Segoe UI" w:cs="Segoe UI" w:eastAsia="Segoe UI"/>
          <w:sz w:val="19"/>
          <w:szCs w:val="19"/>
        </w:rPr>
      </w:pPr>
      <w:r>
        <w:rPr>
          <w:rFonts w:ascii="Segoe UI" w:hAnsi="Segoe UI" w:cs="Segoe UI" w:eastAsia="Segoe UI"/>
          <w:color w:val="67973F"/>
          <w:sz w:val="19"/>
          <w:szCs w:val="19"/>
        </w:rPr>
        <w:t>on</w:t>
      </w:r>
      <w:r>
        <w:rPr>
          <w:rFonts w:ascii="Segoe UI" w:hAnsi="Segoe UI" w:cs="Segoe UI" w:eastAsia="Segoe UI"/>
          <w:color w:val="67973F"/>
          <w:spacing w:val="-5"/>
          <w:sz w:val="19"/>
          <w:szCs w:val="19"/>
        </w:rPr>
        <w:t> </w:t>
      </w:r>
      <w:r>
        <w:rPr>
          <w:rFonts w:ascii="Segoe UI" w:hAnsi="Segoe UI" w:cs="Segoe UI" w:eastAsia="Segoe UI"/>
          <w:color w:val="67973F"/>
          <w:sz w:val="19"/>
          <w:szCs w:val="19"/>
        </w:rPr>
        <w:t>previous</w:t>
      </w:r>
      <w:r>
        <w:rPr>
          <w:rFonts w:ascii="Segoe UI" w:hAnsi="Segoe UI" w:cs="Segoe UI" w:eastAsia="Segoe UI"/>
          <w:color w:val="67973F"/>
          <w:spacing w:val="-6"/>
          <w:sz w:val="19"/>
          <w:szCs w:val="19"/>
        </w:rPr>
        <w:t> </w:t>
      </w:r>
      <w:r>
        <w:rPr>
          <w:rFonts w:ascii="Segoe UI" w:hAnsi="Segoe UI" w:cs="Segoe UI" w:eastAsia="Segoe UI"/>
          <w:color w:val="67973F"/>
          <w:sz w:val="19"/>
          <w:szCs w:val="19"/>
        </w:rPr>
        <w:t>year’s</w:t>
      </w:r>
      <w:r>
        <w:rPr>
          <w:rFonts w:ascii="Segoe UI" w:hAnsi="Segoe UI" w:cs="Segoe UI" w:eastAsia="Segoe UI"/>
          <w:color w:val="67973F"/>
          <w:spacing w:val="-6"/>
          <w:sz w:val="19"/>
          <w:szCs w:val="19"/>
        </w:rPr>
        <w:t> </w:t>
      </w:r>
      <w:r>
        <w:rPr>
          <w:rFonts w:ascii="Segoe UI" w:hAnsi="Segoe UI" w:cs="Segoe UI" w:eastAsia="Segoe UI"/>
          <w:color w:val="67973F"/>
          <w:spacing w:val="-1"/>
          <w:sz w:val="19"/>
          <w:szCs w:val="19"/>
        </w:rPr>
        <w:t>screenings</w:t>
      </w:r>
      <w:r>
        <w:rPr>
          <w:rFonts w:ascii="Segoe UI" w:hAnsi="Segoe UI" w:cs="Segoe UI" w:eastAsia="Segoe UI"/>
          <w:color w:val="67973F"/>
          <w:spacing w:val="-4"/>
          <w:sz w:val="19"/>
          <w:szCs w:val="19"/>
        </w:rPr>
        <w:t> </w:t>
      </w:r>
      <w:r>
        <w:rPr>
          <w:rFonts w:ascii="Segoe UI" w:hAnsi="Segoe UI" w:cs="Segoe UI" w:eastAsia="Segoe UI"/>
          <w:color w:val="67973F"/>
          <w:sz w:val="19"/>
          <w:szCs w:val="19"/>
        </w:rPr>
        <w:t>where</w:t>
      </w:r>
      <w:r>
        <w:rPr>
          <w:rFonts w:ascii="Segoe UI" w:hAnsi="Segoe UI" w:cs="Segoe UI" w:eastAsia="Segoe UI"/>
          <w:color w:val="67973F"/>
          <w:spacing w:val="-6"/>
          <w:sz w:val="19"/>
          <w:szCs w:val="19"/>
        </w:rPr>
        <w:t> </w:t>
      </w:r>
      <w:r>
        <w:rPr>
          <w:rFonts w:ascii="Segoe UI" w:hAnsi="Segoe UI" w:cs="Segoe UI" w:eastAsia="Segoe UI"/>
          <w:color w:val="67973F"/>
          <w:spacing w:val="-1"/>
          <w:sz w:val="19"/>
          <w:szCs w:val="19"/>
        </w:rPr>
        <w:t>90</w:t>
      </w:r>
      <w:r>
        <w:rPr>
          <w:rFonts w:ascii="Segoe UI" w:hAnsi="Segoe UI" w:cs="Segoe UI" w:eastAsia="Segoe UI"/>
          <w:color w:val="67973F"/>
          <w:spacing w:val="-5"/>
          <w:sz w:val="19"/>
          <w:szCs w:val="19"/>
        </w:rPr>
        <w:t> </w:t>
      </w:r>
      <w:r>
        <w:rPr>
          <w:rFonts w:ascii="Segoe UI" w:hAnsi="Segoe UI" w:cs="Segoe UI" w:eastAsia="Segoe UI"/>
          <w:color w:val="67973F"/>
          <w:sz w:val="19"/>
          <w:szCs w:val="19"/>
        </w:rPr>
        <w:t>per</w:t>
      </w:r>
      <w:r>
        <w:rPr>
          <w:rFonts w:ascii="Segoe UI" w:hAnsi="Segoe UI" w:cs="Segoe UI" w:eastAsia="Segoe UI"/>
          <w:color w:val="67973F"/>
          <w:spacing w:val="-5"/>
          <w:sz w:val="19"/>
          <w:szCs w:val="19"/>
        </w:rPr>
        <w:t> </w:t>
      </w:r>
      <w:r>
        <w:rPr>
          <w:rFonts w:ascii="Segoe UI" w:hAnsi="Segoe UI" w:cs="Segoe UI" w:eastAsia="Segoe UI"/>
          <w:color w:val="67973F"/>
          <w:sz w:val="19"/>
          <w:szCs w:val="19"/>
        </w:rPr>
        <w:t>cent</w:t>
      </w:r>
      <w:r>
        <w:rPr>
          <w:rFonts w:ascii="Segoe UI" w:hAnsi="Segoe UI" w:cs="Segoe UI" w:eastAsia="Segoe UI"/>
          <w:color w:val="67973F"/>
          <w:spacing w:val="23"/>
          <w:w w:val="99"/>
          <w:sz w:val="19"/>
          <w:szCs w:val="19"/>
        </w:rPr>
        <w:t> </w:t>
      </w:r>
      <w:r>
        <w:rPr>
          <w:rFonts w:ascii="Segoe UI" w:hAnsi="Segoe UI" w:cs="Segoe UI" w:eastAsia="Segoe UI"/>
          <w:color w:val="67973F"/>
          <w:sz w:val="19"/>
          <w:szCs w:val="19"/>
        </w:rPr>
        <w:t>of</w:t>
      </w:r>
      <w:r>
        <w:rPr>
          <w:rFonts w:ascii="Segoe UI" w:hAnsi="Segoe UI" w:cs="Segoe UI" w:eastAsia="Segoe UI"/>
          <w:color w:val="67973F"/>
          <w:spacing w:val="-5"/>
          <w:sz w:val="19"/>
          <w:szCs w:val="19"/>
        </w:rPr>
        <w:t> </w:t>
      </w:r>
      <w:r>
        <w:rPr>
          <w:rFonts w:ascii="Segoe UI" w:hAnsi="Segoe UI" w:cs="Segoe UI" w:eastAsia="Segoe UI"/>
          <w:color w:val="67973F"/>
          <w:sz w:val="19"/>
          <w:szCs w:val="19"/>
        </w:rPr>
        <w:t>children</w:t>
      </w:r>
      <w:r>
        <w:rPr>
          <w:rFonts w:ascii="Segoe UI" w:hAnsi="Segoe UI" w:cs="Segoe UI" w:eastAsia="Segoe UI"/>
          <w:color w:val="67973F"/>
          <w:spacing w:val="-6"/>
          <w:sz w:val="19"/>
          <w:szCs w:val="19"/>
        </w:rPr>
        <w:t> </w:t>
      </w:r>
      <w:r>
        <w:rPr>
          <w:rFonts w:ascii="Segoe UI" w:hAnsi="Segoe UI" w:cs="Segoe UI" w:eastAsia="Segoe UI"/>
          <w:color w:val="67973F"/>
          <w:spacing w:val="-1"/>
          <w:sz w:val="19"/>
          <w:szCs w:val="19"/>
        </w:rPr>
        <w:t>in</w:t>
      </w:r>
      <w:r>
        <w:rPr>
          <w:rFonts w:ascii="Segoe UI" w:hAnsi="Segoe UI" w:cs="Segoe UI" w:eastAsia="Segoe UI"/>
          <w:color w:val="67973F"/>
          <w:spacing w:val="-4"/>
          <w:sz w:val="19"/>
          <w:szCs w:val="19"/>
        </w:rPr>
        <w:t> </w:t>
      </w:r>
      <w:r>
        <w:rPr>
          <w:rFonts w:ascii="Segoe UI" w:hAnsi="Segoe UI" w:cs="Segoe UI" w:eastAsia="Segoe UI"/>
          <w:color w:val="67973F"/>
          <w:sz w:val="19"/>
          <w:szCs w:val="19"/>
        </w:rPr>
        <w:t>primary</w:t>
      </w:r>
      <w:r>
        <w:rPr>
          <w:rFonts w:ascii="Segoe UI" w:hAnsi="Segoe UI" w:cs="Segoe UI" w:eastAsia="Segoe UI"/>
          <w:color w:val="67973F"/>
          <w:spacing w:val="-6"/>
          <w:sz w:val="19"/>
          <w:szCs w:val="19"/>
        </w:rPr>
        <w:t> </w:t>
      </w:r>
      <w:r>
        <w:rPr>
          <w:rFonts w:ascii="Segoe UI" w:hAnsi="Segoe UI" w:cs="Segoe UI" w:eastAsia="Segoe UI"/>
          <w:color w:val="67973F"/>
          <w:spacing w:val="-1"/>
          <w:sz w:val="19"/>
          <w:szCs w:val="19"/>
        </w:rPr>
        <w:t>school</w:t>
      </w:r>
      <w:r>
        <w:rPr>
          <w:rFonts w:ascii="Segoe UI" w:hAnsi="Segoe UI" w:cs="Segoe UI" w:eastAsia="Segoe UI"/>
          <w:color w:val="67973F"/>
          <w:spacing w:val="-4"/>
          <w:sz w:val="19"/>
          <w:szCs w:val="19"/>
        </w:rPr>
        <w:t> </w:t>
      </w:r>
      <w:r>
        <w:rPr>
          <w:rFonts w:ascii="Segoe UI" w:hAnsi="Segoe UI" w:cs="Segoe UI" w:eastAsia="Segoe UI"/>
          <w:color w:val="67973F"/>
          <w:sz w:val="19"/>
          <w:szCs w:val="19"/>
        </w:rPr>
        <w:t>required</w:t>
      </w:r>
      <w:r>
        <w:rPr>
          <w:rFonts w:ascii="Segoe UI" w:hAnsi="Segoe UI" w:cs="Segoe UI" w:eastAsia="Segoe UI"/>
          <w:color w:val="67973F"/>
          <w:spacing w:val="-6"/>
          <w:sz w:val="19"/>
          <w:szCs w:val="19"/>
        </w:rPr>
        <w:t> </w:t>
      </w:r>
      <w:r>
        <w:rPr>
          <w:rFonts w:ascii="Segoe UI" w:hAnsi="Segoe UI" w:cs="Segoe UI" w:eastAsia="Segoe UI"/>
          <w:color w:val="67973F"/>
          <w:sz w:val="19"/>
          <w:szCs w:val="19"/>
        </w:rPr>
        <w:t>dental</w:t>
      </w:r>
      <w:r>
        <w:rPr>
          <w:rFonts w:ascii="Segoe UI" w:hAnsi="Segoe UI" w:cs="Segoe UI" w:eastAsia="Segoe UI"/>
          <w:color w:val="67973F"/>
          <w:spacing w:val="23"/>
          <w:w w:val="99"/>
          <w:sz w:val="19"/>
          <w:szCs w:val="19"/>
        </w:rPr>
        <w:t> </w:t>
      </w:r>
      <w:r>
        <w:rPr>
          <w:rFonts w:ascii="Segoe UI" w:hAnsi="Segoe UI" w:cs="Segoe UI" w:eastAsia="Segoe UI"/>
          <w:color w:val="67973F"/>
          <w:spacing w:val="-1"/>
          <w:sz w:val="19"/>
          <w:szCs w:val="19"/>
        </w:rPr>
        <w:t>interventions</w:t>
      </w:r>
      <w:r>
        <w:rPr>
          <w:rFonts w:ascii="Segoe UI" w:hAnsi="Segoe UI" w:cs="Segoe UI" w:eastAsia="Segoe UI"/>
          <w:color w:val="67973F"/>
          <w:spacing w:val="-10"/>
          <w:sz w:val="19"/>
          <w:szCs w:val="19"/>
        </w:rPr>
        <w:t> </w:t>
      </w:r>
      <w:r>
        <w:rPr>
          <w:rFonts w:ascii="Segoe UI" w:hAnsi="Segoe UI" w:cs="Segoe UI" w:eastAsia="Segoe UI"/>
          <w:color w:val="67973F"/>
          <w:sz w:val="19"/>
          <w:szCs w:val="19"/>
        </w:rPr>
        <w:t>needing</w:t>
      </w:r>
      <w:r>
        <w:rPr>
          <w:rFonts w:ascii="Segoe UI" w:hAnsi="Segoe UI" w:cs="Segoe UI" w:eastAsia="Segoe UI"/>
          <w:color w:val="67973F"/>
          <w:spacing w:val="-11"/>
          <w:sz w:val="19"/>
          <w:szCs w:val="19"/>
        </w:rPr>
        <w:t> </w:t>
      </w:r>
      <w:r>
        <w:rPr>
          <w:rFonts w:ascii="Segoe UI" w:hAnsi="Segoe UI" w:cs="Segoe UI" w:eastAsia="Segoe UI"/>
          <w:color w:val="67973F"/>
          <w:sz w:val="19"/>
          <w:szCs w:val="19"/>
        </w:rPr>
        <w:t>anaesthetic</w:t>
      </w:r>
      <w:r>
        <w:rPr>
          <w:rFonts w:ascii="Segoe UI" w:hAnsi="Segoe UI" w:cs="Segoe UI" w:eastAsia="Segoe UI"/>
          <w:color w:val="67973F"/>
          <w:spacing w:val="-11"/>
          <w:sz w:val="19"/>
          <w:szCs w:val="19"/>
        </w:rPr>
        <w:t> </w:t>
      </w:r>
      <w:r>
        <w:rPr>
          <w:rFonts w:ascii="Segoe UI" w:hAnsi="Segoe UI" w:cs="Segoe UI" w:eastAsia="Segoe UI"/>
          <w:color w:val="67973F"/>
          <w:sz w:val="19"/>
          <w:szCs w:val="19"/>
        </w:rPr>
        <w:t>for</w:t>
      </w:r>
      <w:r>
        <w:rPr>
          <w:rFonts w:ascii="Segoe UI" w:hAnsi="Segoe UI" w:cs="Segoe UI" w:eastAsia="Segoe UI"/>
          <w:color w:val="67973F"/>
          <w:spacing w:val="-10"/>
          <w:sz w:val="19"/>
          <w:szCs w:val="19"/>
        </w:rPr>
        <w:t> </w:t>
      </w:r>
      <w:r>
        <w:rPr>
          <w:rFonts w:ascii="Segoe UI" w:hAnsi="Segoe UI" w:cs="Segoe UI" w:eastAsia="Segoe UI"/>
          <w:color w:val="67973F"/>
          <w:sz w:val="19"/>
          <w:szCs w:val="19"/>
        </w:rPr>
        <w:t>procedures.</w:t>
      </w:r>
      <w:r>
        <w:rPr>
          <w:rFonts w:ascii="Segoe UI" w:hAnsi="Segoe UI" w:cs="Segoe UI" w:eastAsia="Segoe UI"/>
          <w:sz w:val="19"/>
          <w:szCs w:val="19"/>
        </w:rPr>
      </w:r>
    </w:p>
    <w:p>
      <w:pPr>
        <w:spacing w:line="265" w:lineRule="auto" w:before="0"/>
        <w:ind w:left="1700" w:right="0" w:firstLine="0"/>
        <w:jc w:val="left"/>
        <w:rPr>
          <w:rFonts w:ascii="Segoe UI" w:hAnsi="Segoe UI" w:cs="Segoe UI" w:eastAsia="Segoe UI"/>
          <w:sz w:val="19"/>
          <w:szCs w:val="19"/>
        </w:rPr>
      </w:pPr>
      <w:r>
        <w:rPr>
          <w:rFonts w:ascii="Segoe UI"/>
          <w:color w:val="67973F"/>
          <w:sz w:val="19"/>
        </w:rPr>
        <w:t>There</w:t>
      </w:r>
      <w:r>
        <w:rPr>
          <w:rFonts w:ascii="Segoe UI"/>
          <w:color w:val="67973F"/>
          <w:spacing w:val="-6"/>
          <w:sz w:val="19"/>
        </w:rPr>
        <w:t> </w:t>
      </w:r>
      <w:r>
        <w:rPr>
          <w:rFonts w:ascii="Segoe UI"/>
          <w:color w:val="67973F"/>
          <w:sz w:val="19"/>
        </w:rPr>
        <w:t>were</w:t>
      </w:r>
      <w:r>
        <w:rPr>
          <w:rFonts w:ascii="Segoe UI"/>
          <w:color w:val="67973F"/>
          <w:spacing w:val="-6"/>
          <w:sz w:val="19"/>
        </w:rPr>
        <w:t> </w:t>
      </w:r>
      <w:r>
        <w:rPr>
          <w:rFonts w:ascii="Segoe UI"/>
          <w:color w:val="67973F"/>
          <w:sz w:val="19"/>
        </w:rPr>
        <w:t>also</w:t>
      </w:r>
      <w:r>
        <w:rPr>
          <w:rFonts w:ascii="Segoe UI"/>
          <w:color w:val="67973F"/>
          <w:spacing w:val="-7"/>
          <w:sz w:val="19"/>
        </w:rPr>
        <w:t> </w:t>
      </w:r>
      <w:r>
        <w:rPr>
          <w:rFonts w:ascii="Segoe UI"/>
          <w:color w:val="67973F"/>
          <w:spacing w:val="-1"/>
          <w:sz w:val="19"/>
        </w:rPr>
        <w:t>less</w:t>
      </w:r>
      <w:r>
        <w:rPr>
          <w:rFonts w:ascii="Segoe UI"/>
          <w:color w:val="67973F"/>
          <w:spacing w:val="-6"/>
          <w:sz w:val="19"/>
        </w:rPr>
        <w:t> </w:t>
      </w:r>
      <w:r>
        <w:rPr>
          <w:rFonts w:ascii="Segoe UI"/>
          <w:color w:val="67973F"/>
          <w:sz w:val="19"/>
        </w:rPr>
        <w:t>advanced</w:t>
      </w:r>
      <w:r>
        <w:rPr>
          <w:rFonts w:ascii="Segoe UI"/>
          <w:color w:val="67973F"/>
          <w:spacing w:val="-6"/>
          <w:sz w:val="19"/>
        </w:rPr>
        <w:t> </w:t>
      </w:r>
      <w:r>
        <w:rPr>
          <w:rFonts w:ascii="Segoe UI"/>
          <w:color w:val="67973F"/>
          <w:sz w:val="19"/>
        </w:rPr>
        <w:t>dental</w:t>
      </w:r>
      <w:r>
        <w:rPr>
          <w:rFonts w:ascii="Segoe UI"/>
          <w:color w:val="67973F"/>
          <w:spacing w:val="-6"/>
          <w:sz w:val="19"/>
        </w:rPr>
        <w:t> </w:t>
      </w:r>
      <w:r>
        <w:rPr>
          <w:rFonts w:ascii="Segoe UI"/>
          <w:color w:val="67973F"/>
          <w:spacing w:val="-1"/>
          <w:sz w:val="19"/>
        </w:rPr>
        <w:t>interventions</w:t>
      </w:r>
      <w:r>
        <w:rPr>
          <w:rFonts w:ascii="Segoe UI"/>
          <w:color w:val="67973F"/>
          <w:spacing w:val="21"/>
          <w:w w:val="99"/>
          <w:sz w:val="19"/>
        </w:rPr>
        <w:t> </w:t>
      </w:r>
      <w:r>
        <w:rPr>
          <w:rFonts w:ascii="Segoe UI"/>
          <w:color w:val="67973F"/>
          <w:sz w:val="19"/>
        </w:rPr>
        <w:t>required.</w:t>
      </w:r>
      <w:r>
        <w:rPr>
          <w:rFonts w:ascii="Segoe UI"/>
          <w:color w:val="67973F"/>
          <w:spacing w:val="-5"/>
          <w:sz w:val="19"/>
        </w:rPr>
        <w:t> </w:t>
      </w:r>
      <w:r>
        <w:rPr>
          <w:rFonts w:ascii="Segoe UI"/>
          <w:color w:val="67973F"/>
          <w:sz w:val="19"/>
        </w:rPr>
        <w:t>Only</w:t>
      </w:r>
      <w:r>
        <w:rPr>
          <w:rFonts w:ascii="Segoe UI"/>
          <w:color w:val="67973F"/>
          <w:spacing w:val="-5"/>
          <w:sz w:val="19"/>
        </w:rPr>
        <w:t> </w:t>
      </w:r>
      <w:r>
        <w:rPr>
          <w:rFonts w:ascii="Segoe UI"/>
          <w:color w:val="67973F"/>
          <w:spacing w:val="-1"/>
          <w:sz w:val="19"/>
        </w:rPr>
        <w:t>25</w:t>
      </w:r>
      <w:r>
        <w:rPr>
          <w:rFonts w:ascii="Segoe UI"/>
          <w:color w:val="67973F"/>
          <w:spacing w:val="-4"/>
          <w:sz w:val="19"/>
        </w:rPr>
        <w:t> </w:t>
      </w:r>
      <w:r>
        <w:rPr>
          <w:rFonts w:ascii="Segoe UI"/>
          <w:color w:val="67973F"/>
          <w:sz w:val="19"/>
        </w:rPr>
        <w:t>per</w:t>
      </w:r>
      <w:r>
        <w:rPr>
          <w:rFonts w:ascii="Segoe UI"/>
          <w:color w:val="67973F"/>
          <w:spacing w:val="-4"/>
          <w:sz w:val="19"/>
        </w:rPr>
        <w:t> </w:t>
      </w:r>
      <w:r>
        <w:rPr>
          <w:rFonts w:ascii="Segoe UI"/>
          <w:color w:val="67973F"/>
          <w:sz w:val="19"/>
        </w:rPr>
        <w:t>cent</w:t>
      </w:r>
      <w:r>
        <w:rPr>
          <w:rFonts w:ascii="Segoe UI"/>
          <w:color w:val="67973F"/>
          <w:spacing w:val="-5"/>
          <w:sz w:val="19"/>
        </w:rPr>
        <w:t> </w:t>
      </w:r>
      <w:r>
        <w:rPr>
          <w:rFonts w:ascii="Segoe UI"/>
          <w:color w:val="67973F"/>
          <w:sz w:val="19"/>
        </w:rPr>
        <w:t>of</w:t>
      </w:r>
      <w:r>
        <w:rPr>
          <w:rFonts w:ascii="Segoe UI"/>
          <w:color w:val="67973F"/>
          <w:spacing w:val="-4"/>
          <w:sz w:val="19"/>
        </w:rPr>
        <w:t> </w:t>
      </w:r>
      <w:r>
        <w:rPr>
          <w:rFonts w:ascii="Segoe UI"/>
          <w:color w:val="67973F"/>
          <w:spacing w:val="-1"/>
          <w:sz w:val="19"/>
        </w:rPr>
        <w:t>students</w:t>
      </w:r>
      <w:r>
        <w:rPr>
          <w:rFonts w:ascii="Segoe UI"/>
          <w:color w:val="67973F"/>
          <w:spacing w:val="-4"/>
          <w:sz w:val="19"/>
        </w:rPr>
        <w:t> </w:t>
      </w:r>
      <w:r>
        <w:rPr>
          <w:rFonts w:ascii="Segoe UI"/>
          <w:color w:val="67973F"/>
          <w:sz w:val="19"/>
        </w:rPr>
        <w:t>requiring</w:t>
      </w:r>
      <w:r>
        <w:rPr>
          <w:rFonts w:ascii="Segoe UI"/>
          <w:color w:val="67973F"/>
          <w:spacing w:val="23"/>
          <w:w w:val="99"/>
          <w:sz w:val="19"/>
        </w:rPr>
        <w:t> </w:t>
      </w:r>
      <w:r>
        <w:rPr>
          <w:rFonts w:ascii="Segoe UI"/>
          <w:color w:val="67973F"/>
          <w:sz w:val="19"/>
        </w:rPr>
        <w:t>dental</w:t>
      </w:r>
      <w:r>
        <w:rPr>
          <w:rFonts w:ascii="Segoe UI"/>
          <w:color w:val="67973F"/>
          <w:spacing w:val="-6"/>
          <w:sz w:val="19"/>
        </w:rPr>
        <w:t> </w:t>
      </w:r>
      <w:r>
        <w:rPr>
          <w:rFonts w:ascii="Segoe UI"/>
          <w:color w:val="67973F"/>
          <w:sz w:val="19"/>
        </w:rPr>
        <w:t>treatment</w:t>
      </w:r>
      <w:r>
        <w:rPr>
          <w:rFonts w:ascii="Segoe UI"/>
          <w:color w:val="67973F"/>
          <w:spacing w:val="-5"/>
          <w:sz w:val="19"/>
        </w:rPr>
        <w:t> </w:t>
      </w:r>
      <w:r>
        <w:rPr>
          <w:rFonts w:ascii="Segoe UI"/>
          <w:color w:val="67973F"/>
          <w:sz w:val="19"/>
        </w:rPr>
        <w:t>had</w:t>
      </w:r>
      <w:r>
        <w:rPr>
          <w:rFonts w:ascii="Segoe UI"/>
          <w:color w:val="67973F"/>
          <w:spacing w:val="-5"/>
          <w:sz w:val="19"/>
        </w:rPr>
        <w:t> </w:t>
      </w:r>
      <w:r>
        <w:rPr>
          <w:rFonts w:ascii="Segoe UI"/>
          <w:color w:val="67973F"/>
          <w:sz w:val="19"/>
        </w:rPr>
        <w:t>a</w:t>
      </w:r>
      <w:r>
        <w:rPr>
          <w:rFonts w:ascii="Segoe UI"/>
          <w:color w:val="67973F"/>
          <w:spacing w:val="-4"/>
          <w:sz w:val="19"/>
        </w:rPr>
        <w:t> </w:t>
      </w:r>
      <w:r>
        <w:rPr>
          <w:rFonts w:ascii="Segoe UI"/>
          <w:color w:val="67973F"/>
          <w:spacing w:val="-1"/>
          <w:sz w:val="19"/>
        </w:rPr>
        <w:t>subsidy</w:t>
      </w:r>
      <w:r>
        <w:rPr>
          <w:rFonts w:ascii="Segoe UI"/>
          <w:color w:val="67973F"/>
          <w:spacing w:val="-5"/>
          <w:sz w:val="19"/>
        </w:rPr>
        <w:t> </w:t>
      </w:r>
      <w:r>
        <w:rPr>
          <w:rFonts w:ascii="Segoe UI"/>
          <w:color w:val="67973F"/>
          <w:sz w:val="19"/>
        </w:rPr>
        <w:t>to</w:t>
      </w:r>
      <w:r>
        <w:rPr>
          <w:rFonts w:ascii="Segoe UI"/>
          <w:color w:val="67973F"/>
          <w:spacing w:val="-4"/>
          <w:sz w:val="19"/>
        </w:rPr>
        <w:t> </w:t>
      </w:r>
      <w:r>
        <w:rPr>
          <w:rFonts w:ascii="Segoe UI"/>
          <w:color w:val="67973F"/>
          <w:spacing w:val="-1"/>
          <w:sz w:val="19"/>
        </w:rPr>
        <w:t>support</w:t>
      </w:r>
      <w:r>
        <w:rPr>
          <w:rFonts w:ascii="Segoe UI"/>
          <w:color w:val="67973F"/>
          <w:spacing w:val="-5"/>
          <w:sz w:val="19"/>
        </w:rPr>
        <w:t> </w:t>
      </w:r>
      <w:r>
        <w:rPr>
          <w:rFonts w:ascii="Segoe UI"/>
          <w:color w:val="67973F"/>
          <w:sz w:val="19"/>
        </w:rPr>
        <w:t>dental</w:t>
      </w:r>
      <w:r>
        <w:rPr>
          <w:rFonts w:ascii="Segoe UI"/>
          <w:color w:val="67973F"/>
          <w:spacing w:val="23"/>
          <w:w w:val="99"/>
          <w:sz w:val="19"/>
        </w:rPr>
        <w:t> </w:t>
      </w:r>
      <w:r>
        <w:rPr>
          <w:rFonts w:ascii="Segoe UI"/>
          <w:color w:val="67973F"/>
          <w:sz w:val="19"/>
        </w:rPr>
        <w:t>treatment.</w:t>
      </w:r>
      <w:r>
        <w:rPr>
          <w:rFonts w:ascii="Segoe UI"/>
          <w:sz w:val="19"/>
        </w:rPr>
      </w:r>
    </w:p>
    <w:p>
      <w:pPr>
        <w:spacing w:line="265" w:lineRule="auto" w:before="50"/>
        <w:ind w:left="248" w:right="0" w:firstLine="0"/>
        <w:jc w:val="left"/>
        <w:rPr>
          <w:rFonts w:ascii="Segoe UI" w:hAnsi="Segoe UI" w:cs="Segoe UI" w:eastAsia="Segoe UI"/>
          <w:sz w:val="19"/>
          <w:szCs w:val="19"/>
        </w:rPr>
      </w:pPr>
      <w:r>
        <w:rPr/>
        <w:br w:type="column"/>
      </w:r>
      <w:r>
        <w:rPr>
          <w:rFonts w:ascii="Segoe UI"/>
          <w:color w:val="67973F"/>
          <w:sz w:val="19"/>
        </w:rPr>
        <w:t>Sexual health conducts a weekly confidential clinic</w:t>
      </w:r>
      <w:r>
        <w:rPr>
          <w:rFonts w:ascii="Segoe UI"/>
          <w:color w:val="67973F"/>
          <w:sz w:val="19"/>
        </w:rPr>
        <w:t> for students. There is significant need in this area</w:t>
      </w:r>
      <w:r>
        <w:rPr>
          <w:rFonts w:ascii="Segoe UI"/>
          <w:sz w:val="19"/>
        </w:rPr>
      </w:r>
    </w:p>
    <w:p>
      <w:pPr>
        <w:spacing w:line="265" w:lineRule="auto" w:before="0"/>
        <w:ind w:left="248" w:right="0" w:firstLine="0"/>
        <w:jc w:val="left"/>
        <w:rPr>
          <w:rFonts w:ascii="Segoe UI" w:hAnsi="Segoe UI" w:cs="Segoe UI" w:eastAsia="Segoe UI"/>
          <w:sz w:val="19"/>
          <w:szCs w:val="19"/>
        </w:rPr>
      </w:pPr>
      <w:r>
        <w:rPr>
          <w:rFonts w:ascii="Segoe UI"/>
          <w:color w:val="67973F"/>
          <w:spacing w:val="-1"/>
          <w:sz w:val="19"/>
        </w:rPr>
        <w:t>in</w:t>
      </w:r>
      <w:r>
        <w:rPr>
          <w:rFonts w:ascii="Segoe UI"/>
          <w:color w:val="67973F"/>
          <w:spacing w:val="-6"/>
          <w:sz w:val="19"/>
        </w:rPr>
        <w:t> </w:t>
      </w:r>
      <w:r>
        <w:rPr>
          <w:rFonts w:ascii="Segoe UI"/>
          <w:color w:val="67973F"/>
          <w:sz w:val="19"/>
        </w:rPr>
        <w:t>terms</w:t>
      </w:r>
      <w:r>
        <w:rPr>
          <w:rFonts w:ascii="Segoe UI"/>
          <w:color w:val="67973F"/>
          <w:spacing w:val="-6"/>
          <w:sz w:val="19"/>
        </w:rPr>
        <w:t> </w:t>
      </w:r>
      <w:r>
        <w:rPr>
          <w:rFonts w:ascii="Segoe UI"/>
          <w:color w:val="67973F"/>
          <w:sz w:val="19"/>
        </w:rPr>
        <w:t>of</w:t>
      </w:r>
      <w:r>
        <w:rPr>
          <w:rFonts w:ascii="Segoe UI"/>
          <w:color w:val="67973F"/>
          <w:spacing w:val="-6"/>
          <w:sz w:val="19"/>
        </w:rPr>
        <w:t> </w:t>
      </w:r>
      <w:r>
        <w:rPr>
          <w:rFonts w:ascii="Segoe UI"/>
          <w:color w:val="67973F"/>
          <w:spacing w:val="-1"/>
          <w:sz w:val="19"/>
        </w:rPr>
        <w:t>screening,</w:t>
      </w:r>
      <w:r>
        <w:rPr>
          <w:rFonts w:ascii="Segoe UI"/>
          <w:color w:val="67973F"/>
          <w:spacing w:val="-5"/>
          <w:sz w:val="19"/>
        </w:rPr>
        <w:t> </w:t>
      </w:r>
      <w:r>
        <w:rPr>
          <w:rFonts w:ascii="Segoe UI"/>
          <w:color w:val="67973F"/>
          <w:sz w:val="19"/>
        </w:rPr>
        <w:t>education,</w:t>
      </w:r>
      <w:r>
        <w:rPr>
          <w:rFonts w:ascii="Segoe UI"/>
          <w:color w:val="67973F"/>
          <w:spacing w:val="-5"/>
          <w:sz w:val="19"/>
        </w:rPr>
        <w:t> </w:t>
      </w:r>
      <w:r>
        <w:rPr>
          <w:rFonts w:ascii="Segoe UI"/>
          <w:color w:val="67973F"/>
          <w:sz w:val="19"/>
        </w:rPr>
        <w:t>health</w:t>
      </w:r>
      <w:r>
        <w:rPr>
          <w:rFonts w:ascii="Segoe UI"/>
          <w:color w:val="67973F"/>
          <w:spacing w:val="-7"/>
          <w:sz w:val="19"/>
        </w:rPr>
        <w:t> </w:t>
      </w:r>
      <w:r>
        <w:rPr>
          <w:rFonts w:ascii="Segoe UI"/>
          <w:color w:val="67973F"/>
          <w:sz w:val="19"/>
        </w:rPr>
        <w:t>promotion</w:t>
      </w:r>
      <w:r>
        <w:rPr>
          <w:rFonts w:ascii="Segoe UI"/>
          <w:color w:val="67973F"/>
          <w:spacing w:val="23"/>
          <w:w w:val="99"/>
          <w:sz w:val="19"/>
        </w:rPr>
        <w:t> </w:t>
      </w:r>
      <w:r>
        <w:rPr>
          <w:rFonts w:ascii="Segoe UI"/>
          <w:color w:val="67973F"/>
          <w:sz w:val="19"/>
        </w:rPr>
        <w:t>and</w:t>
      </w:r>
      <w:r>
        <w:rPr>
          <w:rFonts w:ascii="Segoe UI"/>
          <w:color w:val="67973F"/>
          <w:spacing w:val="-6"/>
          <w:sz w:val="19"/>
        </w:rPr>
        <w:t> </w:t>
      </w:r>
      <w:r>
        <w:rPr>
          <w:rFonts w:ascii="Segoe UI"/>
          <w:color w:val="67973F"/>
          <w:sz w:val="19"/>
        </w:rPr>
        <w:t>prevention,</w:t>
      </w:r>
      <w:r>
        <w:rPr>
          <w:rFonts w:ascii="Segoe UI"/>
          <w:color w:val="67973F"/>
          <w:spacing w:val="-6"/>
          <w:sz w:val="19"/>
        </w:rPr>
        <w:t> </w:t>
      </w:r>
      <w:r>
        <w:rPr>
          <w:rFonts w:ascii="Segoe UI"/>
          <w:color w:val="67973F"/>
          <w:sz w:val="19"/>
        </w:rPr>
        <w:t>as</w:t>
      </w:r>
      <w:r>
        <w:rPr>
          <w:rFonts w:ascii="Segoe UI"/>
          <w:color w:val="67973F"/>
          <w:spacing w:val="-5"/>
          <w:sz w:val="19"/>
        </w:rPr>
        <w:t> </w:t>
      </w:r>
      <w:r>
        <w:rPr>
          <w:rFonts w:ascii="Segoe UI"/>
          <w:color w:val="67973F"/>
          <w:sz w:val="19"/>
        </w:rPr>
        <w:t>well</w:t>
      </w:r>
      <w:r>
        <w:rPr>
          <w:rFonts w:ascii="Segoe UI"/>
          <w:color w:val="67973F"/>
          <w:spacing w:val="-6"/>
          <w:sz w:val="19"/>
        </w:rPr>
        <w:t> </w:t>
      </w:r>
      <w:r>
        <w:rPr>
          <w:rFonts w:ascii="Segoe UI"/>
          <w:color w:val="67973F"/>
          <w:sz w:val="19"/>
        </w:rPr>
        <w:t>as</w:t>
      </w:r>
      <w:r>
        <w:rPr>
          <w:rFonts w:ascii="Segoe UI"/>
          <w:color w:val="67973F"/>
          <w:spacing w:val="-5"/>
          <w:sz w:val="19"/>
        </w:rPr>
        <w:t> </w:t>
      </w:r>
      <w:r>
        <w:rPr>
          <w:rFonts w:ascii="Segoe UI"/>
          <w:color w:val="67973F"/>
          <w:spacing w:val="-1"/>
          <w:sz w:val="19"/>
        </w:rPr>
        <w:t>secondary</w:t>
      </w:r>
      <w:r>
        <w:rPr>
          <w:rFonts w:ascii="Segoe UI"/>
          <w:color w:val="67973F"/>
          <w:spacing w:val="-4"/>
          <w:sz w:val="19"/>
        </w:rPr>
        <w:t> </w:t>
      </w:r>
      <w:r>
        <w:rPr>
          <w:rFonts w:ascii="Segoe UI"/>
          <w:color w:val="67973F"/>
          <w:sz w:val="19"/>
        </w:rPr>
        <w:t>and</w:t>
      </w:r>
      <w:r>
        <w:rPr>
          <w:rFonts w:ascii="Segoe UI"/>
          <w:color w:val="67973F"/>
          <w:spacing w:val="-6"/>
          <w:sz w:val="19"/>
        </w:rPr>
        <w:t> </w:t>
      </w:r>
      <w:r>
        <w:rPr>
          <w:rFonts w:ascii="Segoe UI"/>
          <w:color w:val="67973F"/>
          <w:sz w:val="19"/>
        </w:rPr>
        <w:t>acute</w:t>
      </w:r>
      <w:r>
        <w:rPr>
          <w:rFonts w:ascii="Segoe UI"/>
          <w:color w:val="67973F"/>
          <w:spacing w:val="22"/>
          <w:w w:val="99"/>
          <w:sz w:val="19"/>
        </w:rPr>
        <w:t> </w:t>
      </w:r>
      <w:r>
        <w:rPr>
          <w:rFonts w:ascii="Segoe UI"/>
          <w:color w:val="67973F"/>
          <w:sz w:val="19"/>
        </w:rPr>
        <w:t>treatment.</w:t>
      </w:r>
      <w:r>
        <w:rPr>
          <w:rFonts w:ascii="Segoe UI"/>
          <w:sz w:val="19"/>
        </w:rPr>
      </w:r>
    </w:p>
    <w:p>
      <w:pPr>
        <w:spacing w:before="113"/>
        <w:ind w:left="248" w:right="0" w:firstLine="0"/>
        <w:jc w:val="left"/>
        <w:rPr>
          <w:rFonts w:ascii="Segoe UI" w:hAnsi="Segoe UI" w:cs="Segoe UI" w:eastAsia="Segoe UI"/>
          <w:sz w:val="19"/>
          <w:szCs w:val="19"/>
        </w:rPr>
      </w:pPr>
      <w:r>
        <w:rPr>
          <w:rFonts w:ascii="Segoe UI"/>
          <w:color w:val="67973F"/>
          <w:sz w:val="19"/>
        </w:rPr>
        <w:t>Other</w:t>
      </w:r>
      <w:r>
        <w:rPr>
          <w:rFonts w:ascii="Segoe UI"/>
          <w:color w:val="67973F"/>
          <w:spacing w:val="-4"/>
          <w:sz w:val="19"/>
        </w:rPr>
        <w:t> </w:t>
      </w:r>
      <w:r>
        <w:rPr>
          <w:rFonts w:ascii="Segoe UI"/>
          <w:color w:val="67973F"/>
          <w:spacing w:val="-1"/>
          <w:sz w:val="19"/>
        </w:rPr>
        <w:t>social</w:t>
      </w:r>
      <w:r>
        <w:rPr>
          <w:rFonts w:ascii="Segoe UI"/>
          <w:color w:val="67973F"/>
          <w:spacing w:val="-5"/>
          <w:sz w:val="19"/>
        </w:rPr>
        <w:t> </w:t>
      </w:r>
      <w:r>
        <w:rPr>
          <w:rFonts w:ascii="Segoe UI"/>
          <w:color w:val="67973F"/>
          <w:sz w:val="19"/>
        </w:rPr>
        <w:t>and</w:t>
      </w:r>
      <w:r>
        <w:rPr>
          <w:rFonts w:ascii="Segoe UI"/>
          <w:color w:val="67973F"/>
          <w:spacing w:val="-4"/>
          <w:sz w:val="19"/>
        </w:rPr>
        <w:t> </w:t>
      </w:r>
      <w:r>
        <w:rPr>
          <w:rFonts w:ascii="Segoe UI"/>
          <w:color w:val="67973F"/>
          <w:sz w:val="19"/>
        </w:rPr>
        <w:t>emotional</w:t>
      </w:r>
      <w:r>
        <w:rPr>
          <w:rFonts w:ascii="Segoe UI"/>
          <w:color w:val="67973F"/>
          <w:spacing w:val="-5"/>
          <w:sz w:val="19"/>
        </w:rPr>
        <w:t> </w:t>
      </w:r>
      <w:r>
        <w:rPr>
          <w:rFonts w:ascii="Segoe UI"/>
          <w:color w:val="67973F"/>
          <w:spacing w:val="-1"/>
          <w:sz w:val="19"/>
        </w:rPr>
        <w:t>support</w:t>
      </w:r>
      <w:r>
        <w:rPr>
          <w:rFonts w:ascii="Segoe UI"/>
          <w:color w:val="67973F"/>
          <w:spacing w:val="-4"/>
          <w:sz w:val="19"/>
        </w:rPr>
        <w:t> </w:t>
      </w:r>
      <w:r>
        <w:rPr>
          <w:rFonts w:ascii="Segoe UI"/>
          <w:color w:val="67973F"/>
          <w:sz w:val="19"/>
        </w:rPr>
        <w:t>needs:</w:t>
      </w:r>
      <w:r>
        <w:rPr>
          <w:rFonts w:ascii="Segoe UI"/>
          <w:sz w:val="19"/>
        </w:rPr>
      </w:r>
    </w:p>
    <w:p>
      <w:pPr>
        <w:spacing w:line="265" w:lineRule="auto" w:before="140"/>
        <w:ind w:left="248" w:right="614" w:firstLine="0"/>
        <w:jc w:val="left"/>
        <w:rPr>
          <w:rFonts w:ascii="Segoe UI" w:hAnsi="Segoe UI" w:cs="Segoe UI" w:eastAsia="Segoe UI"/>
          <w:sz w:val="19"/>
          <w:szCs w:val="19"/>
        </w:rPr>
      </w:pPr>
      <w:r>
        <w:rPr>
          <w:rFonts w:ascii="Segoe UI"/>
          <w:color w:val="67973F"/>
          <w:sz w:val="19"/>
        </w:rPr>
        <w:t>June</w:t>
      </w:r>
      <w:r>
        <w:rPr>
          <w:rFonts w:ascii="Segoe UI"/>
          <w:color w:val="67973F"/>
          <w:spacing w:val="-1"/>
          <w:sz w:val="19"/>
        </w:rPr>
        <w:t> </w:t>
      </w:r>
      <w:r>
        <w:rPr>
          <w:rFonts w:ascii="Segoe UI"/>
          <w:color w:val="67973F"/>
          <w:sz w:val="19"/>
        </w:rPr>
        <w:t>2014 -</w:t>
      </w:r>
      <w:r>
        <w:rPr>
          <w:rFonts w:ascii="Segoe UI"/>
          <w:color w:val="67973F"/>
          <w:spacing w:val="-1"/>
          <w:sz w:val="19"/>
        </w:rPr>
        <w:t> </w:t>
      </w:r>
      <w:r>
        <w:rPr>
          <w:rFonts w:ascii="Segoe UI"/>
          <w:color w:val="67973F"/>
          <w:spacing w:val="-4"/>
          <w:sz w:val="19"/>
        </w:rPr>
        <w:t>We</w:t>
      </w:r>
      <w:r>
        <w:rPr>
          <w:rFonts w:ascii="Segoe UI"/>
          <w:color w:val="67973F"/>
          <w:sz w:val="19"/>
        </w:rPr>
        <w:t> have</w:t>
      </w:r>
      <w:r>
        <w:rPr>
          <w:rFonts w:ascii="Segoe UI"/>
          <w:color w:val="67973F"/>
          <w:spacing w:val="-1"/>
          <w:sz w:val="19"/>
        </w:rPr>
        <w:t> </w:t>
      </w:r>
      <w:r>
        <w:rPr>
          <w:rFonts w:ascii="Segoe UI"/>
          <w:color w:val="67973F"/>
          <w:sz w:val="19"/>
        </w:rPr>
        <w:t>had meetings</w:t>
      </w:r>
      <w:r>
        <w:rPr>
          <w:rFonts w:ascii="Segoe UI"/>
          <w:color w:val="67973F"/>
          <w:spacing w:val="-1"/>
          <w:sz w:val="19"/>
        </w:rPr>
        <w:t> </w:t>
      </w:r>
      <w:r>
        <w:rPr>
          <w:rFonts w:ascii="Segoe UI"/>
          <w:color w:val="67973F"/>
          <w:sz w:val="19"/>
        </w:rPr>
        <w:t>with staff</w:t>
      </w:r>
      <w:r>
        <w:rPr>
          <w:rFonts w:ascii="Segoe UI"/>
          <w:color w:val="67973F"/>
          <w:spacing w:val="20"/>
          <w:w w:val="99"/>
          <w:sz w:val="19"/>
        </w:rPr>
        <w:t> </w:t>
      </w:r>
      <w:r>
        <w:rPr>
          <w:rFonts w:ascii="Segoe UI"/>
          <w:color w:val="67973F"/>
          <w:sz w:val="19"/>
        </w:rPr>
        <w:t>re</w:t>
      </w:r>
      <w:r>
        <w:rPr>
          <w:rFonts w:ascii="Segoe UI"/>
          <w:color w:val="67973F"/>
          <w:spacing w:val="-8"/>
          <w:sz w:val="19"/>
        </w:rPr>
        <w:t> </w:t>
      </w:r>
      <w:r>
        <w:rPr>
          <w:rFonts w:ascii="Segoe UI"/>
          <w:color w:val="67973F"/>
          <w:sz w:val="19"/>
        </w:rPr>
        <w:t>additional</w:t>
      </w:r>
      <w:r>
        <w:rPr>
          <w:rFonts w:ascii="Segoe UI"/>
          <w:color w:val="67973F"/>
          <w:spacing w:val="-7"/>
          <w:sz w:val="19"/>
        </w:rPr>
        <w:t> </w:t>
      </w:r>
      <w:r>
        <w:rPr>
          <w:rFonts w:ascii="Segoe UI"/>
          <w:color w:val="67973F"/>
          <w:sz w:val="19"/>
        </w:rPr>
        <w:t>funding</w:t>
      </w:r>
      <w:r>
        <w:rPr>
          <w:rFonts w:ascii="Segoe UI"/>
          <w:color w:val="67973F"/>
          <w:spacing w:val="-7"/>
          <w:sz w:val="19"/>
        </w:rPr>
        <w:t> </w:t>
      </w:r>
      <w:r>
        <w:rPr>
          <w:rFonts w:ascii="Segoe UI"/>
          <w:color w:val="67973F"/>
          <w:sz w:val="19"/>
        </w:rPr>
        <w:t>required</w:t>
      </w:r>
      <w:r>
        <w:rPr>
          <w:rFonts w:ascii="Segoe UI"/>
          <w:color w:val="67973F"/>
          <w:spacing w:val="-7"/>
          <w:sz w:val="19"/>
        </w:rPr>
        <w:t> </w:t>
      </w:r>
      <w:r>
        <w:rPr>
          <w:rFonts w:ascii="Segoe UI"/>
          <w:color w:val="67973F"/>
          <w:sz w:val="19"/>
        </w:rPr>
        <w:t>to</w:t>
      </w:r>
      <w:r>
        <w:rPr>
          <w:rFonts w:ascii="Segoe UI"/>
          <w:color w:val="67973F"/>
          <w:spacing w:val="-6"/>
          <w:sz w:val="19"/>
        </w:rPr>
        <w:t> </w:t>
      </w:r>
      <w:r>
        <w:rPr>
          <w:rFonts w:ascii="Segoe UI"/>
          <w:color w:val="67973F"/>
          <w:spacing w:val="-1"/>
          <w:sz w:val="19"/>
        </w:rPr>
        <w:t>support</w:t>
      </w:r>
      <w:r>
        <w:rPr>
          <w:rFonts w:ascii="Segoe UI"/>
          <w:color w:val="67973F"/>
          <w:spacing w:val="-1"/>
          <w:w w:val="99"/>
          <w:sz w:val="19"/>
        </w:rPr>
        <w:t> </w:t>
      </w:r>
      <w:r>
        <w:rPr>
          <w:rFonts w:ascii="Segoe UI"/>
          <w:color w:val="67973F"/>
          <w:spacing w:val="20"/>
          <w:w w:val="99"/>
          <w:sz w:val="19"/>
        </w:rPr>
        <w:t> </w:t>
      </w:r>
      <w:r>
        <w:rPr>
          <w:rFonts w:ascii="Segoe UI"/>
          <w:color w:val="67973F"/>
          <w:sz w:val="19"/>
        </w:rPr>
        <w:t>the</w:t>
      </w:r>
      <w:r>
        <w:rPr>
          <w:rFonts w:ascii="Segoe UI"/>
          <w:color w:val="67973F"/>
          <w:spacing w:val="-5"/>
          <w:sz w:val="19"/>
        </w:rPr>
        <w:t> </w:t>
      </w:r>
      <w:r>
        <w:rPr>
          <w:rFonts w:ascii="Segoe UI"/>
          <w:color w:val="67973F"/>
          <w:spacing w:val="-1"/>
          <w:sz w:val="19"/>
        </w:rPr>
        <w:t>learning</w:t>
      </w:r>
      <w:r>
        <w:rPr>
          <w:rFonts w:ascii="Segoe UI"/>
          <w:color w:val="67973F"/>
          <w:spacing w:val="-4"/>
          <w:sz w:val="19"/>
        </w:rPr>
        <w:t> </w:t>
      </w:r>
      <w:r>
        <w:rPr>
          <w:rFonts w:ascii="Segoe UI"/>
          <w:color w:val="67973F"/>
          <w:sz w:val="19"/>
        </w:rPr>
        <w:t>needs</w:t>
      </w:r>
      <w:r>
        <w:rPr>
          <w:rFonts w:ascii="Segoe UI"/>
          <w:color w:val="67973F"/>
          <w:spacing w:val="-5"/>
          <w:sz w:val="19"/>
        </w:rPr>
        <w:t> </w:t>
      </w:r>
      <w:r>
        <w:rPr>
          <w:rFonts w:ascii="Segoe UI"/>
          <w:color w:val="67973F"/>
          <w:sz w:val="19"/>
        </w:rPr>
        <w:t>of</w:t>
      </w:r>
      <w:r>
        <w:rPr>
          <w:rFonts w:ascii="Segoe UI"/>
          <w:color w:val="67973F"/>
          <w:spacing w:val="-4"/>
          <w:sz w:val="19"/>
        </w:rPr>
        <w:t> </w:t>
      </w:r>
      <w:r>
        <w:rPr>
          <w:rFonts w:ascii="Segoe UI"/>
          <w:color w:val="67973F"/>
          <w:sz w:val="19"/>
        </w:rPr>
        <w:t>children</w:t>
      </w:r>
      <w:r>
        <w:rPr>
          <w:rFonts w:ascii="Segoe UI"/>
          <w:color w:val="67973F"/>
          <w:spacing w:val="-4"/>
          <w:sz w:val="19"/>
        </w:rPr>
        <w:t> </w:t>
      </w:r>
      <w:r>
        <w:rPr>
          <w:rFonts w:ascii="Segoe UI"/>
          <w:color w:val="67973F"/>
          <w:spacing w:val="-1"/>
          <w:sz w:val="19"/>
        </w:rPr>
        <w:t>in</w:t>
      </w:r>
      <w:r>
        <w:rPr>
          <w:rFonts w:ascii="Segoe UI"/>
          <w:color w:val="67973F"/>
          <w:spacing w:val="-4"/>
          <w:sz w:val="19"/>
        </w:rPr>
        <w:t> </w:t>
      </w:r>
      <w:r>
        <w:rPr>
          <w:rFonts w:ascii="Segoe UI"/>
          <w:color w:val="67973F"/>
          <w:sz w:val="19"/>
        </w:rPr>
        <w:t>care.</w:t>
      </w:r>
      <w:r>
        <w:rPr>
          <w:rFonts w:ascii="Segoe UI"/>
          <w:color w:val="67973F"/>
          <w:spacing w:val="-4"/>
          <w:sz w:val="19"/>
        </w:rPr>
        <w:t> </w:t>
      </w:r>
      <w:r>
        <w:rPr>
          <w:rFonts w:ascii="Segoe UI"/>
          <w:color w:val="67973F"/>
          <w:sz w:val="19"/>
        </w:rPr>
        <w:t>Upon</w:t>
      </w:r>
      <w:r>
        <w:rPr>
          <w:rFonts w:ascii="Segoe UI"/>
          <w:color w:val="67973F"/>
          <w:spacing w:val="23"/>
          <w:w w:val="99"/>
          <w:sz w:val="19"/>
        </w:rPr>
        <w:t> </w:t>
      </w:r>
      <w:r>
        <w:rPr>
          <w:rFonts w:ascii="Segoe UI"/>
          <w:color w:val="67973F"/>
          <w:sz w:val="19"/>
        </w:rPr>
        <w:t>assessment, we have identified 43 students</w:t>
      </w:r>
      <w:r>
        <w:rPr>
          <w:rFonts w:ascii="Segoe UI"/>
          <w:sz w:val="19"/>
        </w:rPr>
      </w:r>
    </w:p>
    <w:p>
      <w:pPr>
        <w:spacing w:line="265" w:lineRule="auto" w:before="0"/>
        <w:ind w:left="248" w:right="302" w:firstLine="0"/>
        <w:jc w:val="left"/>
        <w:rPr>
          <w:rFonts w:ascii="Segoe UI" w:hAnsi="Segoe UI" w:cs="Segoe UI" w:eastAsia="Segoe UI"/>
          <w:sz w:val="19"/>
          <w:szCs w:val="19"/>
        </w:rPr>
      </w:pPr>
      <w:r>
        <w:rPr>
          <w:rFonts w:ascii="Segoe UI"/>
          <w:color w:val="67973F"/>
          <w:sz w:val="19"/>
        </w:rPr>
        <w:t>(please</w:t>
      </w:r>
      <w:r>
        <w:rPr>
          <w:rFonts w:ascii="Segoe UI"/>
          <w:color w:val="67973F"/>
          <w:spacing w:val="-5"/>
          <w:sz w:val="19"/>
        </w:rPr>
        <w:t> </w:t>
      </w:r>
      <w:r>
        <w:rPr>
          <w:rFonts w:ascii="Segoe UI"/>
          <w:color w:val="67973F"/>
          <w:sz w:val="19"/>
        </w:rPr>
        <w:t>note</w:t>
      </w:r>
      <w:r>
        <w:rPr>
          <w:rFonts w:ascii="Segoe UI"/>
          <w:color w:val="67973F"/>
          <w:spacing w:val="-4"/>
          <w:sz w:val="19"/>
        </w:rPr>
        <w:t> </w:t>
      </w:r>
      <w:r>
        <w:rPr>
          <w:rFonts w:ascii="Segoe UI"/>
          <w:color w:val="67973F"/>
          <w:sz w:val="19"/>
        </w:rPr>
        <w:t>that</w:t>
      </w:r>
      <w:r>
        <w:rPr>
          <w:rFonts w:ascii="Segoe UI"/>
          <w:color w:val="67973F"/>
          <w:spacing w:val="-5"/>
          <w:sz w:val="19"/>
        </w:rPr>
        <w:t> </w:t>
      </w:r>
      <w:r>
        <w:rPr>
          <w:rFonts w:ascii="Segoe UI"/>
          <w:color w:val="67973F"/>
          <w:sz w:val="19"/>
        </w:rPr>
        <w:t>only</w:t>
      </w:r>
      <w:r>
        <w:rPr>
          <w:rFonts w:ascii="Segoe UI"/>
          <w:color w:val="67973F"/>
          <w:spacing w:val="-4"/>
          <w:sz w:val="19"/>
        </w:rPr>
        <w:t> </w:t>
      </w:r>
      <w:r>
        <w:rPr>
          <w:rFonts w:ascii="Segoe UI"/>
          <w:color w:val="67973F"/>
          <w:spacing w:val="-1"/>
          <w:sz w:val="19"/>
        </w:rPr>
        <w:t>27</w:t>
      </w:r>
      <w:r>
        <w:rPr>
          <w:rFonts w:ascii="Segoe UI"/>
          <w:color w:val="67973F"/>
          <w:spacing w:val="-4"/>
          <w:sz w:val="19"/>
        </w:rPr>
        <w:t> </w:t>
      </w:r>
      <w:r>
        <w:rPr>
          <w:rFonts w:ascii="Segoe UI"/>
          <w:color w:val="67973F"/>
          <w:sz w:val="19"/>
        </w:rPr>
        <w:t>of</w:t>
      </w:r>
      <w:r>
        <w:rPr>
          <w:rFonts w:ascii="Segoe UI"/>
          <w:color w:val="67973F"/>
          <w:spacing w:val="-3"/>
          <w:sz w:val="19"/>
        </w:rPr>
        <w:t> </w:t>
      </w:r>
      <w:r>
        <w:rPr>
          <w:rFonts w:ascii="Segoe UI"/>
          <w:color w:val="67973F"/>
          <w:sz w:val="19"/>
        </w:rPr>
        <w:t>these</w:t>
      </w:r>
      <w:r>
        <w:rPr>
          <w:rFonts w:ascii="Segoe UI"/>
          <w:color w:val="67973F"/>
          <w:spacing w:val="-5"/>
          <w:sz w:val="19"/>
        </w:rPr>
        <w:t> </w:t>
      </w:r>
      <w:r>
        <w:rPr>
          <w:rFonts w:ascii="Segoe UI"/>
          <w:color w:val="67973F"/>
          <w:sz w:val="19"/>
        </w:rPr>
        <w:t>are</w:t>
      </w:r>
      <w:r>
        <w:rPr>
          <w:rFonts w:ascii="Segoe UI"/>
          <w:color w:val="67973F"/>
          <w:spacing w:val="-4"/>
          <w:sz w:val="19"/>
        </w:rPr>
        <w:t> </w:t>
      </w:r>
      <w:r>
        <w:rPr>
          <w:rFonts w:ascii="Segoe UI"/>
          <w:color w:val="67973F"/>
          <w:sz w:val="19"/>
        </w:rPr>
        <w:t>children</w:t>
      </w:r>
      <w:r>
        <w:rPr>
          <w:rFonts w:ascii="Segoe UI"/>
          <w:color w:val="67973F"/>
          <w:spacing w:val="21"/>
          <w:w w:val="99"/>
          <w:sz w:val="19"/>
        </w:rPr>
        <w:t> </w:t>
      </w:r>
      <w:r>
        <w:rPr>
          <w:rFonts w:ascii="Segoe UI"/>
          <w:color w:val="67973F"/>
          <w:sz w:val="19"/>
        </w:rPr>
        <w:t>who are currently in state care) with significant</w:t>
      </w:r>
      <w:r>
        <w:rPr>
          <w:rFonts w:ascii="Segoe UI"/>
          <w:color w:val="67973F"/>
          <w:sz w:val="19"/>
        </w:rPr>
        <w:t> learning gaps due to trauma, learning difficulties </w:t>
      </w:r>
      <w:r>
        <w:rPr>
          <w:rFonts w:ascii="Segoe UI"/>
          <w:color w:val="67973F"/>
          <w:sz w:val="19"/>
        </w:rPr>
        <w:t>and</w:t>
      </w:r>
      <w:r>
        <w:rPr>
          <w:rFonts w:ascii="Segoe UI"/>
          <w:color w:val="67973F"/>
          <w:spacing w:val="-11"/>
          <w:sz w:val="19"/>
        </w:rPr>
        <w:t> </w:t>
      </w:r>
      <w:r>
        <w:rPr>
          <w:rFonts w:ascii="Segoe UI"/>
          <w:color w:val="67973F"/>
          <w:spacing w:val="-1"/>
          <w:sz w:val="19"/>
        </w:rPr>
        <w:t>intermittent</w:t>
      </w:r>
      <w:r>
        <w:rPr>
          <w:rFonts w:ascii="Segoe UI"/>
          <w:color w:val="67973F"/>
          <w:spacing w:val="-9"/>
          <w:sz w:val="19"/>
        </w:rPr>
        <w:t> </w:t>
      </w:r>
      <w:r>
        <w:rPr>
          <w:rFonts w:ascii="Segoe UI"/>
          <w:color w:val="67973F"/>
          <w:sz w:val="19"/>
        </w:rPr>
        <w:t>educational</w:t>
      </w:r>
      <w:r>
        <w:rPr>
          <w:rFonts w:ascii="Segoe UI"/>
          <w:color w:val="67973F"/>
          <w:spacing w:val="-11"/>
          <w:sz w:val="19"/>
        </w:rPr>
        <w:t> </w:t>
      </w:r>
      <w:r>
        <w:rPr>
          <w:rFonts w:ascii="Segoe UI"/>
          <w:color w:val="67973F"/>
          <w:sz w:val="19"/>
        </w:rPr>
        <w:t>opportunities</w:t>
      </w:r>
      <w:r>
        <w:rPr>
          <w:rFonts w:ascii="Segoe UI"/>
          <w:color w:val="67973F"/>
          <w:spacing w:val="-10"/>
          <w:sz w:val="19"/>
        </w:rPr>
        <w:t> </w:t>
      </w:r>
      <w:r>
        <w:rPr>
          <w:rFonts w:ascii="Segoe UI"/>
          <w:color w:val="67973F"/>
          <w:sz w:val="19"/>
        </w:rPr>
        <w:t>that</w:t>
      </w:r>
      <w:r>
        <w:rPr>
          <w:rFonts w:ascii="Segoe UI"/>
          <w:color w:val="67973F"/>
          <w:spacing w:val="22"/>
          <w:w w:val="99"/>
          <w:sz w:val="19"/>
        </w:rPr>
        <w:t> </w:t>
      </w:r>
      <w:r>
        <w:rPr>
          <w:rFonts w:ascii="Segoe UI"/>
          <w:color w:val="67973F"/>
          <w:sz w:val="19"/>
        </w:rPr>
        <w:t>require</w:t>
      </w:r>
      <w:r>
        <w:rPr>
          <w:rFonts w:ascii="Segoe UI"/>
          <w:color w:val="67973F"/>
          <w:spacing w:val="-5"/>
          <w:sz w:val="19"/>
        </w:rPr>
        <w:t> </w:t>
      </w:r>
      <w:r>
        <w:rPr>
          <w:rFonts w:ascii="Segoe UI"/>
          <w:color w:val="67973F"/>
          <w:sz w:val="19"/>
        </w:rPr>
        <w:t>at</w:t>
      </w:r>
      <w:r>
        <w:rPr>
          <w:rFonts w:ascii="Segoe UI"/>
          <w:color w:val="67973F"/>
          <w:spacing w:val="-4"/>
          <w:sz w:val="19"/>
        </w:rPr>
        <w:t> </w:t>
      </w:r>
      <w:r>
        <w:rPr>
          <w:rFonts w:ascii="Segoe UI"/>
          <w:color w:val="67973F"/>
          <w:spacing w:val="-1"/>
          <w:sz w:val="19"/>
        </w:rPr>
        <w:t>least</w:t>
      </w:r>
      <w:r>
        <w:rPr>
          <w:rFonts w:ascii="Segoe UI"/>
          <w:color w:val="67973F"/>
          <w:spacing w:val="-4"/>
          <w:sz w:val="19"/>
        </w:rPr>
        <w:t> </w:t>
      </w:r>
      <w:r>
        <w:rPr>
          <w:rFonts w:ascii="Segoe UI"/>
          <w:color w:val="67973F"/>
          <w:spacing w:val="-1"/>
          <w:sz w:val="19"/>
        </w:rPr>
        <w:t>130</w:t>
      </w:r>
      <w:r>
        <w:rPr>
          <w:rFonts w:ascii="Segoe UI"/>
          <w:color w:val="67973F"/>
          <w:spacing w:val="-4"/>
          <w:sz w:val="19"/>
        </w:rPr>
        <w:t> </w:t>
      </w:r>
      <w:r>
        <w:rPr>
          <w:rFonts w:ascii="Segoe UI"/>
          <w:color w:val="67973F"/>
          <w:sz w:val="19"/>
        </w:rPr>
        <w:t>hours</w:t>
      </w:r>
      <w:r>
        <w:rPr>
          <w:rFonts w:ascii="Segoe UI"/>
          <w:color w:val="67973F"/>
          <w:spacing w:val="-5"/>
          <w:sz w:val="19"/>
        </w:rPr>
        <w:t> </w:t>
      </w:r>
      <w:r>
        <w:rPr>
          <w:rFonts w:ascii="Segoe UI"/>
          <w:color w:val="67973F"/>
          <w:sz w:val="19"/>
        </w:rPr>
        <w:t>of</w:t>
      </w:r>
      <w:r>
        <w:rPr>
          <w:rFonts w:ascii="Segoe UI"/>
          <w:color w:val="67973F"/>
          <w:spacing w:val="-4"/>
          <w:sz w:val="19"/>
        </w:rPr>
        <w:t> </w:t>
      </w:r>
      <w:r>
        <w:rPr>
          <w:rFonts w:ascii="Segoe UI"/>
          <w:color w:val="67973F"/>
          <w:sz w:val="19"/>
        </w:rPr>
        <w:t>tutoring</w:t>
      </w:r>
      <w:r>
        <w:rPr>
          <w:rFonts w:ascii="Segoe UI"/>
          <w:color w:val="67973F"/>
          <w:spacing w:val="-5"/>
          <w:sz w:val="19"/>
        </w:rPr>
        <w:t> </w:t>
      </w:r>
      <w:r>
        <w:rPr>
          <w:rFonts w:ascii="Segoe UI"/>
          <w:color w:val="67973F"/>
          <w:sz w:val="19"/>
        </w:rPr>
        <w:t>bringing</w:t>
      </w:r>
      <w:r>
        <w:rPr>
          <w:rFonts w:ascii="Segoe UI"/>
          <w:color w:val="67973F"/>
          <w:spacing w:val="23"/>
          <w:w w:val="99"/>
          <w:sz w:val="19"/>
        </w:rPr>
        <w:t> </w:t>
      </w:r>
      <w:r>
        <w:rPr>
          <w:rFonts w:ascii="Segoe UI"/>
          <w:color w:val="67973F"/>
          <w:sz w:val="19"/>
        </w:rPr>
        <w:t>them</w:t>
      </w:r>
      <w:r>
        <w:rPr>
          <w:rFonts w:ascii="Segoe UI"/>
          <w:color w:val="67973F"/>
          <w:spacing w:val="-5"/>
          <w:sz w:val="19"/>
        </w:rPr>
        <w:t> </w:t>
      </w:r>
      <w:r>
        <w:rPr>
          <w:rFonts w:ascii="Segoe UI"/>
          <w:color w:val="67973F"/>
          <w:sz w:val="19"/>
        </w:rPr>
        <w:t>up</w:t>
      </w:r>
      <w:r>
        <w:rPr>
          <w:rFonts w:ascii="Segoe UI"/>
          <w:color w:val="67973F"/>
          <w:spacing w:val="-3"/>
          <w:sz w:val="19"/>
        </w:rPr>
        <w:t> </w:t>
      </w:r>
      <w:r>
        <w:rPr>
          <w:rFonts w:ascii="Segoe UI"/>
          <w:color w:val="67973F"/>
          <w:sz w:val="19"/>
        </w:rPr>
        <w:t>to</w:t>
      </w:r>
      <w:r>
        <w:rPr>
          <w:rFonts w:ascii="Segoe UI"/>
          <w:color w:val="67973F"/>
          <w:spacing w:val="-3"/>
          <w:sz w:val="19"/>
        </w:rPr>
        <w:t> </w:t>
      </w:r>
      <w:r>
        <w:rPr>
          <w:rFonts w:ascii="Segoe UI"/>
          <w:color w:val="67973F"/>
          <w:sz w:val="19"/>
        </w:rPr>
        <w:t>a</w:t>
      </w:r>
      <w:r>
        <w:rPr>
          <w:rFonts w:ascii="Segoe UI"/>
          <w:color w:val="67973F"/>
          <w:spacing w:val="-3"/>
          <w:sz w:val="19"/>
        </w:rPr>
        <w:t> </w:t>
      </w:r>
      <w:r>
        <w:rPr>
          <w:rFonts w:ascii="Segoe UI"/>
          <w:color w:val="67973F"/>
          <w:spacing w:val="-1"/>
          <w:sz w:val="19"/>
        </w:rPr>
        <w:t>level</w:t>
      </w:r>
      <w:r>
        <w:rPr>
          <w:rFonts w:ascii="Segoe UI"/>
          <w:color w:val="67973F"/>
          <w:spacing w:val="-3"/>
          <w:sz w:val="19"/>
        </w:rPr>
        <w:t> </w:t>
      </w:r>
      <w:r>
        <w:rPr>
          <w:rFonts w:ascii="Segoe UI"/>
          <w:color w:val="67973F"/>
          <w:sz w:val="19"/>
        </w:rPr>
        <w:t>that</w:t>
      </w:r>
      <w:r>
        <w:rPr>
          <w:rFonts w:ascii="Segoe UI"/>
          <w:color w:val="67973F"/>
          <w:spacing w:val="-4"/>
          <w:sz w:val="19"/>
        </w:rPr>
        <w:t> </w:t>
      </w:r>
      <w:r>
        <w:rPr>
          <w:rFonts w:ascii="Segoe UI"/>
          <w:color w:val="67973F"/>
          <w:sz w:val="19"/>
        </w:rPr>
        <w:t>would</w:t>
      </w:r>
      <w:r>
        <w:rPr>
          <w:rFonts w:ascii="Segoe UI"/>
          <w:color w:val="67973F"/>
          <w:spacing w:val="-4"/>
          <w:sz w:val="19"/>
        </w:rPr>
        <w:t> </w:t>
      </w:r>
      <w:r>
        <w:rPr>
          <w:rFonts w:ascii="Segoe UI"/>
          <w:color w:val="67973F"/>
          <w:sz w:val="19"/>
        </w:rPr>
        <w:t>be</w:t>
      </w:r>
      <w:r>
        <w:rPr>
          <w:rFonts w:ascii="Segoe UI"/>
          <w:color w:val="67973F"/>
          <w:spacing w:val="-3"/>
          <w:sz w:val="19"/>
        </w:rPr>
        <w:t> </w:t>
      </w:r>
      <w:r>
        <w:rPr>
          <w:rFonts w:ascii="Segoe UI"/>
          <w:color w:val="67973F"/>
          <w:sz w:val="19"/>
        </w:rPr>
        <w:t>considered</w:t>
      </w:r>
      <w:r>
        <w:rPr>
          <w:rFonts w:ascii="Segoe UI"/>
          <w:color w:val="67973F"/>
          <w:spacing w:val="21"/>
          <w:w w:val="99"/>
          <w:sz w:val="19"/>
        </w:rPr>
        <w:t> </w:t>
      </w:r>
      <w:r>
        <w:rPr>
          <w:rFonts w:ascii="Segoe UI"/>
          <w:color w:val="67973F"/>
          <w:sz w:val="19"/>
        </w:rPr>
        <w:t>acceptable</w:t>
      </w:r>
      <w:r>
        <w:rPr>
          <w:rFonts w:ascii="Segoe UI"/>
          <w:color w:val="67973F"/>
          <w:spacing w:val="-7"/>
          <w:sz w:val="19"/>
        </w:rPr>
        <w:t> </w:t>
      </w:r>
      <w:r>
        <w:rPr>
          <w:rFonts w:ascii="Segoe UI"/>
          <w:color w:val="67973F"/>
          <w:sz w:val="19"/>
        </w:rPr>
        <w:t>at</w:t>
      </w:r>
      <w:r>
        <w:rPr>
          <w:rFonts w:ascii="Segoe UI"/>
          <w:color w:val="67973F"/>
          <w:spacing w:val="-5"/>
          <w:sz w:val="19"/>
        </w:rPr>
        <w:t> </w:t>
      </w:r>
      <w:r>
        <w:rPr>
          <w:rFonts w:ascii="Segoe UI"/>
          <w:color w:val="67973F"/>
          <w:sz w:val="19"/>
        </w:rPr>
        <w:t>their</w:t>
      </w:r>
      <w:r>
        <w:rPr>
          <w:rFonts w:ascii="Segoe UI"/>
          <w:color w:val="67973F"/>
          <w:spacing w:val="-7"/>
          <w:sz w:val="19"/>
        </w:rPr>
        <w:t> </w:t>
      </w:r>
      <w:r>
        <w:rPr>
          <w:rFonts w:ascii="Segoe UI"/>
          <w:color w:val="67973F"/>
          <w:sz w:val="19"/>
        </w:rPr>
        <w:t>year/level</w:t>
      </w:r>
      <w:r>
        <w:rPr>
          <w:rFonts w:ascii="Segoe UI"/>
          <w:color w:val="67973F"/>
          <w:spacing w:val="-6"/>
          <w:sz w:val="19"/>
        </w:rPr>
        <w:t> </w:t>
      </w:r>
      <w:r>
        <w:rPr>
          <w:rFonts w:ascii="Segoe UI"/>
          <w:color w:val="67973F"/>
          <w:sz w:val="19"/>
        </w:rPr>
        <w:t>of</w:t>
      </w:r>
      <w:r>
        <w:rPr>
          <w:rFonts w:ascii="Segoe UI"/>
          <w:color w:val="67973F"/>
          <w:spacing w:val="-6"/>
          <w:sz w:val="19"/>
        </w:rPr>
        <w:t> </w:t>
      </w:r>
      <w:r>
        <w:rPr>
          <w:rFonts w:ascii="Segoe UI"/>
          <w:color w:val="67973F"/>
          <w:spacing w:val="-1"/>
          <w:sz w:val="19"/>
        </w:rPr>
        <w:t>schooling.</w:t>
      </w:r>
      <w:r>
        <w:rPr>
          <w:rFonts w:ascii="Segoe UI"/>
          <w:color w:val="67973F"/>
          <w:spacing w:val="-4"/>
          <w:sz w:val="19"/>
        </w:rPr>
        <w:t> W</w:t>
      </w:r>
      <w:r>
        <w:rPr>
          <w:rFonts w:ascii="Segoe UI"/>
          <w:color w:val="67973F"/>
          <w:spacing w:val="-5"/>
          <w:sz w:val="19"/>
        </w:rPr>
        <w:t>e</w:t>
      </w:r>
      <w:r>
        <w:rPr>
          <w:rFonts w:ascii="Segoe UI"/>
          <w:color w:val="67973F"/>
          <w:spacing w:val="22"/>
          <w:w w:val="99"/>
          <w:sz w:val="19"/>
        </w:rPr>
        <w:t> </w:t>
      </w:r>
      <w:r>
        <w:rPr>
          <w:rFonts w:ascii="Segoe UI"/>
          <w:color w:val="67973F"/>
          <w:sz w:val="19"/>
        </w:rPr>
        <w:t>are</w:t>
      </w:r>
      <w:r>
        <w:rPr>
          <w:rFonts w:ascii="Segoe UI"/>
          <w:color w:val="67973F"/>
          <w:spacing w:val="-4"/>
          <w:sz w:val="19"/>
        </w:rPr>
        <w:t> </w:t>
      </w:r>
      <w:r>
        <w:rPr>
          <w:rFonts w:ascii="Segoe UI"/>
          <w:color w:val="67973F"/>
          <w:sz w:val="19"/>
        </w:rPr>
        <w:t>funded</w:t>
      </w:r>
      <w:r>
        <w:rPr>
          <w:rFonts w:ascii="Segoe UI"/>
          <w:color w:val="67973F"/>
          <w:spacing w:val="-3"/>
          <w:sz w:val="19"/>
        </w:rPr>
        <w:t> </w:t>
      </w:r>
      <w:r>
        <w:rPr>
          <w:rFonts w:ascii="Segoe UI"/>
          <w:color w:val="67973F"/>
          <w:sz w:val="19"/>
        </w:rPr>
        <w:t>for</w:t>
      </w:r>
      <w:r>
        <w:rPr>
          <w:rFonts w:ascii="Segoe UI"/>
          <w:color w:val="67973F"/>
          <w:spacing w:val="-3"/>
          <w:sz w:val="19"/>
        </w:rPr>
        <w:t> </w:t>
      </w:r>
      <w:r>
        <w:rPr>
          <w:rFonts w:ascii="Segoe UI"/>
          <w:color w:val="67973F"/>
          <w:sz w:val="19"/>
        </w:rPr>
        <w:t>26</w:t>
      </w:r>
      <w:r>
        <w:rPr>
          <w:rFonts w:ascii="Segoe UI"/>
          <w:color w:val="67973F"/>
          <w:spacing w:val="-1"/>
          <w:sz w:val="19"/>
        </w:rPr>
        <w:t> </w:t>
      </w:r>
      <w:r>
        <w:rPr>
          <w:rFonts w:ascii="Segoe UI"/>
          <w:color w:val="67973F"/>
          <w:sz w:val="19"/>
        </w:rPr>
        <w:t>hours</w:t>
      </w:r>
      <w:r>
        <w:rPr>
          <w:rFonts w:ascii="Segoe UI"/>
          <w:color w:val="67973F"/>
          <w:spacing w:val="-4"/>
          <w:sz w:val="19"/>
        </w:rPr>
        <w:t> </w:t>
      </w:r>
      <w:r>
        <w:rPr>
          <w:rFonts w:ascii="Segoe UI"/>
          <w:color w:val="67973F"/>
          <w:sz w:val="19"/>
        </w:rPr>
        <w:t>for</w:t>
      </w:r>
      <w:r>
        <w:rPr>
          <w:rFonts w:ascii="Segoe UI"/>
          <w:color w:val="67973F"/>
          <w:spacing w:val="-3"/>
          <w:sz w:val="19"/>
        </w:rPr>
        <w:t> </w:t>
      </w:r>
      <w:r>
        <w:rPr>
          <w:rFonts w:ascii="Segoe UI"/>
          <w:color w:val="67973F"/>
          <w:sz w:val="19"/>
        </w:rPr>
        <w:t>each</w:t>
      </w:r>
      <w:r>
        <w:rPr>
          <w:rFonts w:ascii="Segoe UI"/>
          <w:color w:val="67973F"/>
          <w:spacing w:val="-3"/>
          <w:sz w:val="19"/>
        </w:rPr>
        <w:t> </w:t>
      </w:r>
      <w:r>
        <w:rPr>
          <w:rFonts w:ascii="Segoe UI"/>
          <w:color w:val="67973F"/>
          <w:sz w:val="19"/>
        </w:rPr>
        <w:t>child</w:t>
      </w:r>
      <w:r>
        <w:rPr>
          <w:rFonts w:ascii="Segoe UI"/>
          <w:color w:val="67973F"/>
          <w:spacing w:val="-3"/>
          <w:sz w:val="19"/>
        </w:rPr>
        <w:t> </w:t>
      </w:r>
      <w:r>
        <w:rPr>
          <w:rFonts w:ascii="Segoe UI"/>
          <w:color w:val="67973F"/>
          <w:spacing w:val="-1"/>
          <w:sz w:val="19"/>
        </w:rPr>
        <w:t>in</w:t>
      </w:r>
      <w:r>
        <w:rPr>
          <w:rFonts w:ascii="Segoe UI"/>
          <w:color w:val="67973F"/>
          <w:spacing w:val="-3"/>
          <w:sz w:val="19"/>
        </w:rPr>
        <w:t> </w:t>
      </w:r>
      <w:r>
        <w:rPr>
          <w:rFonts w:ascii="Segoe UI"/>
          <w:color w:val="67973F"/>
          <w:sz w:val="19"/>
        </w:rPr>
        <w:t>care.</w:t>
      </w:r>
      <w:r>
        <w:rPr>
          <w:rFonts w:ascii="Segoe UI"/>
          <w:sz w:val="19"/>
        </w:rPr>
      </w:r>
    </w:p>
    <w:p>
      <w:pPr>
        <w:spacing w:line="265" w:lineRule="auto" w:before="0"/>
        <w:ind w:left="248" w:right="287" w:firstLine="0"/>
        <w:jc w:val="left"/>
        <w:rPr>
          <w:rFonts w:ascii="Segoe UI" w:hAnsi="Segoe UI" w:cs="Segoe UI" w:eastAsia="Segoe UI"/>
          <w:sz w:val="19"/>
          <w:szCs w:val="19"/>
        </w:rPr>
      </w:pPr>
      <w:r>
        <w:rPr>
          <w:rFonts w:ascii="Segoe UI"/>
          <w:color w:val="67973F"/>
          <w:spacing w:val="-11"/>
          <w:sz w:val="19"/>
        </w:rPr>
        <w:t>To</w:t>
      </w:r>
      <w:r>
        <w:rPr>
          <w:rFonts w:ascii="Segoe UI"/>
          <w:color w:val="67973F"/>
          <w:spacing w:val="-5"/>
          <w:sz w:val="19"/>
        </w:rPr>
        <w:t> </w:t>
      </w:r>
      <w:r>
        <w:rPr>
          <w:rFonts w:ascii="Segoe UI"/>
          <w:color w:val="67973F"/>
          <w:sz w:val="19"/>
        </w:rPr>
        <w:t>provide</w:t>
      </w:r>
      <w:r>
        <w:rPr>
          <w:rFonts w:ascii="Segoe UI"/>
          <w:color w:val="67973F"/>
          <w:spacing w:val="-6"/>
          <w:sz w:val="19"/>
        </w:rPr>
        <w:t> </w:t>
      </w:r>
      <w:r>
        <w:rPr>
          <w:rFonts w:ascii="Segoe UI"/>
          <w:color w:val="67973F"/>
          <w:sz w:val="19"/>
        </w:rPr>
        <w:t>the</w:t>
      </w:r>
      <w:r>
        <w:rPr>
          <w:rFonts w:ascii="Segoe UI"/>
          <w:color w:val="67973F"/>
          <w:spacing w:val="-6"/>
          <w:sz w:val="19"/>
        </w:rPr>
        <w:t> </w:t>
      </w:r>
      <w:r>
        <w:rPr>
          <w:rFonts w:ascii="Segoe UI"/>
          <w:color w:val="67973F"/>
          <w:sz w:val="19"/>
        </w:rPr>
        <w:t>hours</w:t>
      </w:r>
      <w:r>
        <w:rPr>
          <w:rFonts w:ascii="Segoe UI"/>
          <w:color w:val="67973F"/>
          <w:spacing w:val="-6"/>
          <w:sz w:val="19"/>
        </w:rPr>
        <w:t> </w:t>
      </w:r>
      <w:r>
        <w:rPr>
          <w:rFonts w:ascii="Segoe UI"/>
          <w:color w:val="67973F"/>
          <w:sz w:val="19"/>
        </w:rPr>
        <w:t>of</w:t>
      </w:r>
      <w:r>
        <w:rPr>
          <w:rFonts w:ascii="Segoe UI"/>
          <w:color w:val="67973F"/>
          <w:spacing w:val="-5"/>
          <w:sz w:val="19"/>
        </w:rPr>
        <w:t> </w:t>
      </w:r>
      <w:r>
        <w:rPr>
          <w:rFonts w:ascii="Segoe UI"/>
          <w:color w:val="67973F"/>
          <w:sz w:val="19"/>
        </w:rPr>
        <w:t>tutoring</w:t>
      </w:r>
      <w:r>
        <w:rPr>
          <w:rFonts w:ascii="Segoe UI"/>
          <w:color w:val="67973F"/>
          <w:spacing w:val="-6"/>
          <w:sz w:val="19"/>
        </w:rPr>
        <w:t> </w:t>
      </w:r>
      <w:r>
        <w:rPr>
          <w:rFonts w:ascii="Segoe UI"/>
          <w:color w:val="67973F"/>
          <w:sz w:val="19"/>
        </w:rPr>
        <w:t>required</w:t>
      </w:r>
      <w:r>
        <w:rPr>
          <w:rFonts w:ascii="Segoe UI"/>
          <w:color w:val="67973F"/>
          <w:spacing w:val="-6"/>
          <w:sz w:val="19"/>
        </w:rPr>
        <w:t> </w:t>
      </w:r>
      <w:r>
        <w:rPr>
          <w:rFonts w:ascii="Segoe UI"/>
          <w:color w:val="67973F"/>
          <w:sz w:val="19"/>
        </w:rPr>
        <w:t>would</w:t>
      </w:r>
      <w:r>
        <w:rPr>
          <w:rFonts w:ascii="Segoe UI"/>
          <w:color w:val="67973F"/>
          <w:spacing w:val="21"/>
          <w:w w:val="99"/>
          <w:sz w:val="19"/>
        </w:rPr>
        <w:t> </w:t>
      </w:r>
      <w:r>
        <w:rPr>
          <w:rFonts w:ascii="Segoe UI"/>
          <w:color w:val="67973F"/>
          <w:spacing w:val="-1"/>
          <w:sz w:val="19"/>
        </w:rPr>
        <w:t>mean</w:t>
      </w:r>
      <w:r>
        <w:rPr>
          <w:rFonts w:ascii="Segoe UI"/>
          <w:color w:val="67973F"/>
          <w:spacing w:val="-3"/>
          <w:sz w:val="19"/>
        </w:rPr>
        <w:t> </w:t>
      </w:r>
      <w:r>
        <w:rPr>
          <w:rFonts w:ascii="Segoe UI"/>
          <w:color w:val="67973F"/>
          <w:sz w:val="19"/>
        </w:rPr>
        <w:t>an</w:t>
      </w:r>
      <w:r>
        <w:rPr>
          <w:rFonts w:ascii="Segoe UI"/>
          <w:color w:val="67973F"/>
          <w:spacing w:val="-4"/>
          <w:sz w:val="19"/>
        </w:rPr>
        <w:t> </w:t>
      </w:r>
      <w:r>
        <w:rPr>
          <w:rFonts w:ascii="Segoe UI"/>
          <w:color w:val="67973F"/>
          <w:sz w:val="19"/>
        </w:rPr>
        <w:t>allocation</w:t>
      </w:r>
      <w:r>
        <w:rPr>
          <w:rFonts w:ascii="Segoe UI"/>
          <w:color w:val="67973F"/>
          <w:spacing w:val="-4"/>
          <w:sz w:val="19"/>
        </w:rPr>
        <w:t> </w:t>
      </w:r>
      <w:r>
        <w:rPr>
          <w:rFonts w:ascii="Segoe UI"/>
          <w:color w:val="67973F"/>
          <w:sz w:val="19"/>
        </w:rPr>
        <w:t>of</w:t>
      </w:r>
      <w:r>
        <w:rPr>
          <w:rFonts w:ascii="Segoe UI"/>
          <w:color w:val="67973F"/>
          <w:spacing w:val="-3"/>
          <w:sz w:val="19"/>
        </w:rPr>
        <w:t> </w:t>
      </w:r>
      <w:r>
        <w:rPr>
          <w:rFonts w:ascii="Segoe UI"/>
          <w:color w:val="67973F"/>
          <w:spacing w:val="-1"/>
          <w:sz w:val="19"/>
        </w:rPr>
        <w:t>$3,900</w:t>
      </w:r>
      <w:r>
        <w:rPr>
          <w:rFonts w:ascii="Segoe UI"/>
          <w:color w:val="67973F"/>
          <w:spacing w:val="-3"/>
          <w:sz w:val="19"/>
        </w:rPr>
        <w:t> </w:t>
      </w:r>
      <w:r>
        <w:rPr>
          <w:rFonts w:ascii="Segoe UI"/>
          <w:color w:val="67973F"/>
          <w:sz w:val="19"/>
        </w:rPr>
        <w:t>per</w:t>
      </w:r>
      <w:r>
        <w:rPr>
          <w:rFonts w:ascii="Segoe UI"/>
          <w:color w:val="67973F"/>
          <w:spacing w:val="-3"/>
          <w:sz w:val="19"/>
        </w:rPr>
        <w:t> </w:t>
      </w:r>
      <w:r>
        <w:rPr>
          <w:rFonts w:ascii="Segoe UI"/>
          <w:color w:val="67973F"/>
          <w:sz w:val="19"/>
        </w:rPr>
        <w:t>child</w:t>
      </w:r>
      <w:r>
        <w:rPr>
          <w:rFonts w:ascii="Segoe UI"/>
          <w:color w:val="67973F"/>
          <w:spacing w:val="-4"/>
          <w:sz w:val="19"/>
        </w:rPr>
        <w:t> </w:t>
      </w:r>
      <w:r>
        <w:rPr>
          <w:rFonts w:ascii="Segoe UI"/>
          <w:color w:val="67973F"/>
          <w:spacing w:val="-1"/>
          <w:sz w:val="19"/>
        </w:rPr>
        <w:t>in</w:t>
      </w:r>
      <w:r>
        <w:rPr>
          <w:rFonts w:ascii="Segoe UI"/>
          <w:color w:val="67973F"/>
          <w:spacing w:val="-3"/>
          <w:sz w:val="19"/>
        </w:rPr>
        <w:t> </w:t>
      </w:r>
      <w:r>
        <w:rPr>
          <w:rFonts w:ascii="Segoe UI"/>
          <w:color w:val="67973F"/>
          <w:sz w:val="19"/>
        </w:rPr>
        <w:t>care.</w:t>
      </w:r>
      <w:r>
        <w:rPr>
          <w:rFonts w:ascii="Segoe UI"/>
          <w:color w:val="67973F"/>
          <w:spacing w:val="24"/>
          <w:w w:val="99"/>
          <w:sz w:val="19"/>
        </w:rPr>
        <w:t> </w:t>
      </w:r>
      <w:r>
        <w:rPr>
          <w:rFonts w:ascii="Segoe UI"/>
          <w:color w:val="67973F"/>
          <w:sz w:val="19"/>
        </w:rPr>
        <w:t>The</w:t>
      </w:r>
      <w:r>
        <w:rPr>
          <w:rFonts w:ascii="Segoe UI"/>
          <w:color w:val="67973F"/>
          <w:spacing w:val="-7"/>
          <w:sz w:val="19"/>
        </w:rPr>
        <w:t> </w:t>
      </w:r>
      <w:r>
        <w:rPr>
          <w:rFonts w:ascii="Segoe UI"/>
          <w:color w:val="67973F"/>
          <w:sz w:val="19"/>
        </w:rPr>
        <w:t>department</w:t>
      </w:r>
      <w:r>
        <w:rPr>
          <w:rFonts w:ascii="Segoe UI"/>
          <w:color w:val="67973F"/>
          <w:spacing w:val="-7"/>
          <w:sz w:val="19"/>
        </w:rPr>
        <w:t> </w:t>
      </w:r>
      <w:r>
        <w:rPr>
          <w:rFonts w:ascii="Segoe UI"/>
          <w:color w:val="67973F"/>
          <w:spacing w:val="-1"/>
          <w:sz w:val="19"/>
        </w:rPr>
        <w:t>is</w:t>
      </w:r>
      <w:r>
        <w:rPr>
          <w:rFonts w:ascii="Segoe UI"/>
          <w:color w:val="67973F"/>
          <w:spacing w:val="-7"/>
          <w:sz w:val="19"/>
        </w:rPr>
        <w:t> </w:t>
      </w:r>
      <w:r>
        <w:rPr>
          <w:rFonts w:ascii="Segoe UI"/>
          <w:color w:val="67973F"/>
          <w:sz w:val="19"/>
        </w:rPr>
        <w:t>currently</w:t>
      </w:r>
      <w:r>
        <w:rPr>
          <w:rFonts w:ascii="Segoe UI"/>
          <w:color w:val="67973F"/>
          <w:spacing w:val="-7"/>
          <w:sz w:val="19"/>
        </w:rPr>
        <w:t> </w:t>
      </w:r>
      <w:r>
        <w:rPr>
          <w:rFonts w:ascii="Segoe UI"/>
          <w:color w:val="67973F"/>
          <w:sz w:val="19"/>
        </w:rPr>
        <w:t>considering</w:t>
      </w:r>
      <w:r>
        <w:rPr>
          <w:rFonts w:ascii="Segoe UI"/>
          <w:color w:val="67973F"/>
          <w:spacing w:val="-7"/>
          <w:sz w:val="19"/>
        </w:rPr>
        <w:t> </w:t>
      </w:r>
      <w:r>
        <w:rPr>
          <w:rFonts w:ascii="Segoe UI"/>
          <w:color w:val="67973F"/>
          <w:sz w:val="19"/>
        </w:rPr>
        <w:t>the</w:t>
      </w:r>
      <w:r>
        <w:rPr>
          <w:rFonts w:ascii="Segoe UI"/>
          <w:color w:val="67973F"/>
          <w:spacing w:val="-7"/>
          <w:sz w:val="19"/>
        </w:rPr>
        <w:t> </w:t>
      </w:r>
      <w:r>
        <w:rPr>
          <w:rFonts w:ascii="Segoe UI"/>
          <w:color w:val="67973F"/>
          <w:sz w:val="19"/>
        </w:rPr>
        <w:t>facts</w:t>
      </w:r>
      <w:r>
        <w:rPr>
          <w:rFonts w:ascii="Segoe UI"/>
          <w:color w:val="67973F"/>
          <w:spacing w:val="21"/>
          <w:w w:val="99"/>
          <w:sz w:val="19"/>
        </w:rPr>
        <w:t> </w:t>
      </w:r>
      <w:r>
        <w:rPr>
          <w:rFonts w:ascii="Segoe UI"/>
          <w:color w:val="67973F"/>
          <w:sz w:val="19"/>
        </w:rPr>
        <w:t>and</w:t>
      </w:r>
      <w:r>
        <w:rPr>
          <w:rFonts w:ascii="Segoe UI"/>
          <w:color w:val="67973F"/>
          <w:spacing w:val="-3"/>
          <w:sz w:val="19"/>
        </w:rPr>
        <w:t> </w:t>
      </w:r>
      <w:r>
        <w:rPr>
          <w:rFonts w:ascii="Segoe UI"/>
          <w:color w:val="67973F"/>
          <w:spacing w:val="-1"/>
          <w:sz w:val="19"/>
        </w:rPr>
        <w:t>statistics</w:t>
      </w:r>
      <w:r>
        <w:rPr>
          <w:rFonts w:ascii="Segoe UI"/>
          <w:color w:val="67973F"/>
          <w:spacing w:val="-2"/>
          <w:sz w:val="19"/>
        </w:rPr>
        <w:t> </w:t>
      </w:r>
      <w:r>
        <w:rPr>
          <w:rFonts w:ascii="Segoe UI"/>
          <w:color w:val="67973F"/>
          <w:sz w:val="19"/>
        </w:rPr>
        <w:t>on</w:t>
      </w:r>
      <w:r>
        <w:rPr>
          <w:rFonts w:ascii="Segoe UI"/>
          <w:color w:val="67973F"/>
          <w:spacing w:val="-2"/>
          <w:sz w:val="19"/>
        </w:rPr>
        <w:t> </w:t>
      </w:r>
      <w:r>
        <w:rPr>
          <w:rFonts w:ascii="Segoe UI"/>
          <w:color w:val="67973F"/>
          <w:sz w:val="19"/>
        </w:rPr>
        <w:t>an</w:t>
      </w:r>
      <w:r>
        <w:rPr>
          <w:rFonts w:ascii="Segoe UI"/>
          <w:color w:val="67973F"/>
          <w:spacing w:val="-3"/>
          <w:sz w:val="19"/>
        </w:rPr>
        <w:t> </w:t>
      </w:r>
      <w:r>
        <w:rPr>
          <w:rFonts w:ascii="Segoe UI"/>
          <w:color w:val="67973F"/>
          <w:spacing w:val="-1"/>
          <w:sz w:val="19"/>
        </w:rPr>
        <w:t>individual</w:t>
      </w:r>
      <w:r>
        <w:rPr>
          <w:rFonts w:ascii="Segoe UI"/>
          <w:color w:val="67973F"/>
          <w:spacing w:val="-2"/>
          <w:sz w:val="19"/>
        </w:rPr>
        <w:t> </w:t>
      </w:r>
      <w:r>
        <w:rPr>
          <w:rFonts w:ascii="Segoe UI"/>
          <w:color w:val="67973F"/>
          <w:sz w:val="19"/>
        </w:rPr>
        <w:t>basis</w:t>
      </w:r>
      <w:r>
        <w:rPr>
          <w:rFonts w:ascii="Segoe UI"/>
          <w:color w:val="67973F"/>
          <w:spacing w:val="-3"/>
          <w:sz w:val="19"/>
        </w:rPr>
        <w:t> </w:t>
      </w:r>
      <w:r>
        <w:rPr>
          <w:rFonts w:ascii="Segoe UI"/>
          <w:color w:val="67973F"/>
          <w:sz w:val="19"/>
        </w:rPr>
        <w:t>for</w:t>
      </w:r>
      <w:r>
        <w:rPr>
          <w:rFonts w:ascii="Segoe UI"/>
          <w:color w:val="67973F"/>
          <w:spacing w:val="-2"/>
          <w:sz w:val="19"/>
        </w:rPr>
        <w:t> </w:t>
      </w:r>
      <w:r>
        <w:rPr>
          <w:rFonts w:ascii="Segoe UI"/>
          <w:color w:val="67973F"/>
          <w:sz w:val="19"/>
        </w:rPr>
        <w:t>each</w:t>
      </w:r>
      <w:r>
        <w:rPr>
          <w:rFonts w:ascii="Segoe UI"/>
          <w:color w:val="67973F"/>
          <w:w w:val="99"/>
          <w:sz w:val="19"/>
        </w:rPr>
        <w:t> </w:t>
      </w:r>
      <w:r>
        <w:rPr>
          <w:rFonts w:ascii="Segoe UI"/>
          <w:color w:val="67973F"/>
          <w:spacing w:val="23"/>
          <w:w w:val="99"/>
          <w:sz w:val="19"/>
        </w:rPr>
        <w:t> </w:t>
      </w:r>
      <w:r>
        <w:rPr>
          <w:rFonts w:ascii="Segoe UI"/>
          <w:color w:val="67973F"/>
          <w:sz w:val="19"/>
        </w:rPr>
        <w:t>child identified.</w:t>
      </w:r>
      <w:r>
        <w:rPr>
          <w:rFonts w:ascii="Segoe UI"/>
          <w:sz w:val="19"/>
        </w:rPr>
      </w:r>
    </w:p>
    <w:p>
      <w:pPr>
        <w:spacing w:line="265" w:lineRule="auto" w:before="113"/>
        <w:ind w:left="248" w:right="153" w:firstLine="0"/>
        <w:jc w:val="both"/>
        <w:rPr>
          <w:rFonts w:ascii="Segoe UI" w:hAnsi="Segoe UI" w:cs="Segoe UI" w:eastAsia="Segoe UI"/>
          <w:sz w:val="19"/>
          <w:szCs w:val="19"/>
        </w:rPr>
      </w:pPr>
      <w:r>
        <w:rPr>
          <w:rFonts w:ascii="Segoe UI" w:hAnsi="Segoe UI" w:cs="Segoe UI" w:eastAsia="Segoe UI"/>
          <w:color w:val="67973F"/>
          <w:spacing w:val="-1"/>
          <w:sz w:val="19"/>
          <w:szCs w:val="19"/>
        </w:rPr>
        <w:t>Children</w:t>
      </w:r>
      <w:r>
        <w:rPr>
          <w:rFonts w:ascii="Segoe UI" w:hAnsi="Segoe UI" w:cs="Segoe UI" w:eastAsia="Segoe UI"/>
          <w:color w:val="67973F"/>
          <w:spacing w:val="-3"/>
          <w:sz w:val="19"/>
          <w:szCs w:val="19"/>
        </w:rPr>
        <w:t> </w:t>
      </w:r>
      <w:r>
        <w:rPr>
          <w:rFonts w:ascii="Segoe UI" w:hAnsi="Segoe UI" w:cs="Segoe UI" w:eastAsia="Segoe UI"/>
          <w:color w:val="67973F"/>
          <w:sz w:val="19"/>
          <w:szCs w:val="19"/>
        </w:rPr>
        <w:t>with</w:t>
      </w:r>
      <w:r>
        <w:rPr>
          <w:rFonts w:ascii="Segoe UI" w:hAnsi="Segoe UI" w:cs="Segoe UI" w:eastAsia="Segoe UI"/>
          <w:color w:val="67973F"/>
          <w:spacing w:val="-4"/>
          <w:sz w:val="19"/>
          <w:szCs w:val="19"/>
        </w:rPr>
        <w:t> </w:t>
      </w:r>
      <w:r>
        <w:rPr>
          <w:rFonts w:ascii="Segoe UI" w:hAnsi="Segoe UI" w:cs="Segoe UI" w:eastAsia="Segoe UI"/>
          <w:color w:val="67973F"/>
          <w:sz w:val="19"/>
          <w:szCs w:val="19"/>
        </w:rPr>
        <w:t>youth</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justice</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matters</w:t>
      </w:r>
      <w:r>
        <w:rPr>
          <w:rFonts w:ascii="Segoe UI" w:hAnsi="Segoe UI" w:cs="Segoe UI" w:eastAsia="Segoe UI"/>
          <w:color w:val="67973F"/>
          <w:spacing w:val="-2"/>
          <w:sz w:val="19"/>
          <w:szCs w:val="19"/>
        </w:rPr>
        <w:t> </w:t>
      </w:r>
      <w:r>
        <w:rPr>
          <w:rFonts w:ascii="Segoe UI" w:hAnsi="Segoe UI" w:cs="Segoe UI" w:eastAsia="Segoe UI"/>
          <w:color w:val="67973F"/>
          <w:sz w:val="19"/>
          <w:szCs w:val="19"/>
        </w:rPr>
        <w:t>–</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In</w:t>
      </w:r>
      <w:r>
        <w:rPr>
          <w:rFonts w:ascii="Segoe UI" w:hAnsi="Segoe UI" w:cs="Segoe UI" w:eastAsia="Segoe UI"/>
          <w:color w:val="67973F"/>
          <w:spacing w:val="-2"/>
          <w:sz w:val="19"/>
          <w:szCs w:val="19"/>
        </w:rPr>
        <w:t> </w:t>
      </w:r>
      <w:r>
        <w:rPr>
          <w:rFonts w:ascii="Segoe UI" w:hAnsi="Segoe UI" w:cs="Segoe UI" w:eastAsia="Segoe UI"/>
          <w:color w:val="67973F"/>
          <w:sz w:val="19"/>
          <w:szCs w:val="19"/>
        </w:rPr>
        <w:t>June</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2014</w:t>
      </w:r>
      <w:r>
        <w:rPr>
          <w:rFonts w:ascii="Segoe UI" w:hAnsi="Segoe UI" w:cs="Segoe UI" w:eastAsia="Segoe UI"/>
          <w:color w:val="67973F"/>
          <w:spacing w:val="24"/>
          <w:sz w:val="19"/>
          <w:szCs w:val="19"/>
        </w:rPr>
        <w:t> </w:t>
      </w:r>
      <w:r>
        <w:rPr>
          <w:rFonts w:ascii="Segoe UI" w:hAnsi="Segoe UI" w:cs="Segoe UI" w:eastAsia="Segoe UI"/>
          <w:color w:val="67973F"/>
          <w:sz w:val="19"/>
          <w:szCs w:val="19"/>
        </w:rPr>
        <w:t>we</w:t>
      </w:r>
      <w:r>
        <w:rPr>
          <w:rFonts w:ascii="Segoe UI" w:hAnsi="Segoe UI" w:cs="Segoe UI" w:eastAsia="Segoe UI"/>
          <w:color w:val="67973F"/>
          <w:spacing w:val="-5"/>
          <w:sz w:val="19"/>
          <w:szCs w:val="19"/>
        </w:rPr>
        <w:t> </w:t>
      </w:r>
      <w:r>
        <w:rPr>
          <w:rFonts w:ascii="Segoe UI" w:hAnsi="Segoe UI" w:cs="Segoe UI" w:eastAsia="Segoe UI"/>
          <w:color w:val="67973F"/>
          <w:sz w:val="19"/>
          <w:szCs w:val="19"/>
        </w:rPr>
        <w:t>had</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21</w:t>
      </w:r>
      <w:r>
        <w:rPr>
          <w:rFonts w:ascii="Segoe UI" w:hAnsi="Segoe UI" w:cs="Segoe UI" w:eastAsia="Segoe UI"/>
          <w:color w:val="67973F"/>
          <w:spacing w:val="-4"/>
          <w:sz w:val="19"/>
          <w:szCs w:val="19"/>
        </w:rPr>
        <w:t> </w:t>
      </w:r>
      <w:r>
        <w:rPr>
          <w:rFonts w:ascii="Segoe UI" w:hAnsi="Segoe UI" w:cs="Segoe UI" w:eastAsia="Segoe UI"/>
          <w:color w:val="67973F"/>
          <w:sz w:val="19"/>
          <w:szCs w:val="19"/>
        </w:rPr>
        <w:t>children</w:t>
      </w:r>
      <w:r>
        <w:rPr>
          <w:rFonts w:ascii="Segoe UI" w:hAnsi="Segoe UI" w:cs="Segoe UI" w:eastAsia="Segoe UI"/>
          <w:color w:val="67973F"/>
          <w:spacing w:val="-4"/>
          <w:sz w:val="19"/>
          <w:szCs w:val="19"/>
        </w:rPr>
        <w:t> </w:t>
      </w:r>
      <w:r>
        <w:rPr>
          <w:rFonts w:ascii="Segoe UI" w:hAnsi="Segoe UI" w:cs="Segoe UI" w:eastAsia="Segoe UI"/>
          <w:color w:val="67973F"/>
          <w:sz w:val="19"/>
          <w:szCs w:val="19"/>
        </w:rPr>
        <w:t>with</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Community</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Service</w:t>
      </w:r>
      <w:r>
        <w:rPr>
          <w:rFonts w:ascii="Segoe UI" w:hAnsi="Segoe UI" w:cs="Segoe UI" w:eastAsia="Segoe UI"/>
          <w:color w:val="67973F"/>
          <w:spacing w:val="-3"/>
          <w:sz w:val="19"/>
          <w:szCs w:val="19"/>
        </w:rPr>
        <w:t> </w:t>
      </w:r>
      <w:r>
        <w:rPr>
          <w:rFonts w:ascii="Segoe UI" w:hAnsi="Segoe UI" w:cs="Segoe UI" w:eastAsia="Segoe UI"/>
          <w:color w:val="67973F"/>
          <w:sz w:val="19"/>
          <w:szCs w:val="19"/>
        </w:rPr>
        <w:t>Hours</w:t>
      </w:r>
      <w:r>
        <w:rPr>
          <w:rFonts w:ascii="Segoe UI" w:hAnsi="Segoe UI" w:cs="Segoe UI" w:eastAsia="Segoe UI"/>
          <w:color w:val="67973F"/>
          <w:spacing w:val="24"/>
          <w:w w:val="99"/>
          <w:sz w:val="19"/>
          <w:szCs w:val="19"/>
        </w:rPr>
        <w:t> </w:t>
      </w:r>
      <w:r>
        <w:rPr>
          <w:rFonts w:ascii="Segoe UI" w:hAnsi="Segoe UI" w:cs="Segoe UI" w:eastAsia="Segoe UI"/>
          <w:color w:val="67973F"/>
          <w:sz w:val="19"/>
          <w:szCs w:val="19"/>
        </w:rPr>
        <w:t>required</w:t>
      </w:r>
      <w:r>
        <w:rPr>
          <w:rFonts w:ascii="Segoe UI" w:hAnsi="Segoe UI" w:cs="Segoe UI" w:eastAsia="Segoe UI"/>
          <w:color w:val="67973F"/>
          <w:spacing w:val="-6"/>
          <w:sz w:val="19"/>
          <w:szCs w:val="19"/>
        </w:rPr>
        <w:t> </w:t>
      </w:r>
      <w:r>
        <w:rPr>
          <w:rFonts w:ascii="Segoe UI" w:hAnsi="Segoe UI" w:cs="Segoe UI" w:eastAsia="Segoe UI"/>
          <w:color w:val="67973F"/>
          <w:sz w:val="19"/>
          <w:szCs w:val="19"/>
        </w:rPr>
        <w:t>to</w:t>
      </w:r>
      <w:r>
        <w:rPr>
          <w:rFonts w:ascii="Segoe UI" w:hAnsi="Segoe UI" w:cs="Segoe UI" w:eastAsia="Segoe UI"/>
          <w:color w:val="67973F"/>
          <w:spacing w:val="-5"/>
          <w:sz w:val="19"/>
          <w:szCs w:val="19"/>
        </w:rPr>
        <w:t> </w:t>
      </w:r>
      <w:r>
        <w:rPr>
          <w:rFonts w:ascii="Segoe UI" w:hAnsi="Segoe UI" w:cs="Segoe UI" w:eastAsia="Segoe UI"/>
          <w:color w:val="67973F"/>
          <w:sz w:val="19"/>
          <w:szCs w:val="19"/>
        </w:rPr>
        <w:t>be</w:t>
      </w:r>
      <w:r>
        <w:rPr>
          <w:rFonts w:ascii="Segoe UI" w:hAnsi="Segoe UI" w:cs="Segoe UI" w:eastAsia="Segoe UI"/>
          <w:color w:val="67973F"/>
          <w:spacing w:val="-4"/>
          <w:sz w:val="19"/>
          <w:szCs w:val="19"/>
        </w:rPr>
        <w:t> </w:t>
      </w:r>
      <w:r>
        <w:rPr>
          <w:rFonts w:ascii="Segoe UI" w:hAnsi="Segoe UI" w:cs="Segoe UI" w:eastAsia="Segoe UI"/>
          <w:color w:val="67973F"/>
          <w:sz w:val="19"/>
          <w:szCs w:val="19"/>
        </w:rPr>
        <w:t>completed</w:t>
      </w:r>
      <w:r>
        <w:rPr>
          <w:rFonts w:ascii="Segoe UI" w:hAnsi="Segoe UI" w:cs="Segoe UI" w:eastAsia="Segoe UI"/>
          <w:color w:val="67973F"/>
          <w:spacing w:val="-6"/>
          <w:sz w:val="19"/>
          <w:szCs w:val="19"/>
        </w:rPr>
        <w:t> </w:t>
      </w:r>
      <w:r>
        <w:rPr>
          <w:rFonts w:ascii="Segoe UI" w:hAnsi="Segoe UI" w:cs="Segoe UI" w:eastAsia="Segoe UI"/>
          <w:color w:val="67973F"/>
          <w:sz w:val="19"/>
          <w:szCs w:val="19"/>
        </w:rPr>
        <w:t>of</w:t>
      </w:r>
      <w:r>
        <w:rPr>
          <w:rFonts w:ascii="Segoe UI" w:hAnsi="Segoe UI" w:cs="Segoe UI" w:eastAsia="Segoe UI"/>
          <w:color w:val="67973F"/>
          <w:spacing w:val="-4"/>
          <w:sz w:val="19"/>
          <w:szCs w:val="19"/>
        </w:rPr>
        <w:t> </w:t>
      </w:r>
      <w:r>
        <w:rPr>
          <w:rFonts w:ascii="Segoe UI" w:hAnsi="Segoe UI" w:cs="Segoe UI" w:eastAsia="Segoe UI"/>
          <w:color w:val="67973F"/>
          <w:sz w:val="19"/>
          <w:szCs w:val="19"/>
        </w:rPr>
        <w:t>between</w:t>
      </w:r>
      <w:r>
        <w:rPr>
          <w:rFonts w:ascii="Segoe UI" w:hAnsi="Segoe UI" w:cs="Segoe UI" w:eastAsia="Segoe UI"/>
          <w:color w:val="67973F"/>
          <w:spacing w:val="-6"/>
          <w:sz w:val="19"/>
          <w:szCs w:val="19"/>
        </w:rPr>
        <w:t> </w:t>
      </w:r>
      <w:r>
        <w:rPr>
          <w:rFonts w:ascii="Segoe UI" w:hAnsi="Segoe UI" w:cs="Segoe UI" w:eastAsia="Segoe UI"/>
          <w:color w:val="67973F"/>
          <w:sz w:val="19"/>
          <w:szCs w:val="19"/>
        </w:rPr>
        <w:t>10</w:t>
      </w:r>
      <w:r>
        <w:rPr>
          <w:rFonts w:ascii="Segoe UI" w:hAnsi="Segoe UI" w:cs="Segoe UI" w:eastAsia="Segoe UI"/>
          <w:color w:val="67973F"/>
          <w:spacing w:val="-2"/>
          <w:sz w:val="19"/>
          <w:szCs w:val="19"/>
        </w:rPr>
        <w:t> </w:t>
      </w:r>
      <w:r>
        <w:rPr>
          <w:rFonts w:ascii="Segoe UI" w:hAnsi="Segoe UI" w:cs="Segoe UI" w:eastAsia="Segoe UI"/>
          <w:color w:val="67973F"/>
          <w:sz w:val="19"/>
          <w:szCs w:val="19"/>
        </w:rPr>
        <w:t>and</w:t>
      </w:r>
      <w:r>
        <w:rPr>
          <w:rFonts w:ascii="Segoe UI" w:hAnsi="Segoe UI" w:cs="Segoe UI" w:eastAsia="Segoe UI"/>
          <w:sz w:val="19"/>
          <w:szCs w:val="19"/>
        </w:rPr>
      </w:r>
    </w:p>
    <w:p>
      <w:pPr>
        <w:spacing w:line="265" w:lineRule="auto" w:before="0"/>
        <w:ind w:left="248" w:right="190" w:firstLine="0"/>
        <w:jc w:val="left"/>
        <w:rPr>
          <w:rFonts w:ascii="Segoe UI" w:hAnsi="Segoe UI" w:cs="Segoe UI" w:eastAsia="Segoe UI"/>
          <w:sz w:val="19"/>
          <w:szCs w:val="19"/>
        </w:rPr>
      </w:pPr>
      <w:r>
        <w:rPr>
          <w:rFonts w:ascii="Segoe UI" w:hAnsi="Segoe UI" w:cs="Segoe UI" w:eastAsia="Segoe UI"/>
          <w:color w:val="67973F"/>
          <w:spacing w:val="-1"/>
          <w:sz w:val="19"/>
          <w:szCs w:val="19"/>
        </w:rPr>
        <w:t>75</w:t>
      </w:r>
      <w:r>
        <w:rPr>
          <w:rFonts w:ascii="Segoe UI" w:hAnsi="Segoe UI" w:cs="Segoe UI" w:eastAsia="Segoe UI"/>
          <w:color w:val="67973F"/>
          <w:spacing w:val="-4"/>
          <w:sz w:val="19"/>
          <w:szCs w:val="19"/>
        </w:rPr>
        <w:t> </w:t>
      </w:r>
      <w:r>
        <w:rPr>
          <w:rFonts w:ascii="Segoe UI" w:hAnsi="Segoe UI" w:cs="Segoe UI" w:eastAsia="Segoe UI"/>
          <w:color w:val="67973F"/>
          <w:sz w:val="19"/>
          <w:szCs w:val="19"/>
        </w:rPr>
        <w:t>hours.</w:t>
      </w:r>
      <w:r>
        <w:rPr>
          <w:rFonts w:ascii="Segoe UI" w:hAnsi="Segoe UI" w:cs="Segoe UI" w:eastAsia="Segoe UI"/>
          <w:color w:val="67973F"/>
          <w:spacing w:val="-5"/>
          <w:sz w:val="19"/>
          <w:szCs w:val="19"/>
        </w:rPr>
        <w:t> </w:t>
      </w:r>
      <w:r>
        <w:rPr>
          <w:rFonts w:ascii="Segoe UI" w:hAnsi="Segoe UI" w:cs="Segoe UI" w:eastAsia="Segoe UI"/>
          <w:color w:val="67973F"/>
          <w:spacing w:val="-4"/>
          <w:sz w:val="19"/>
          <w:szCs w:val="19"/>
        </w:rPr>
        <w:t>W</w:t>
      </w:r>
      <w:r>
        <w:rPr>
          <w:rFonts w:ascii="Segoe UI" w:hAnsi="Segoe UI" w:cs="Segoe UI" w:eastAsia="Segoe UI"/>
          <w:color w:val="67973F"/>
          <w:spacing w:val="-5"/>
          <w:sz w:val="19"/>
          <w:szCs w:val="19"/>
        </w:rPr>
        <w:t>e</w:t>
      </w:r>
      <w:r>
        <w:rPr>
          <w:rFonts w:ascii="Segoe UI" w:hAnsi="Segoe UI" w:cs="Segoe UI" w:eastAsia="Segoe UI"/>
          <w:color w:val="67973F"/>
          <w:spacing w:val="-3"/>
          <w:sz w:val="19"/>
          <w:szCs w:val="19"/>
        </w:rPr>
        <w:t> </w:t>
      </w:r>
      <w:r>
        <w:rPr>
          <w:rFonts w:ascii="Segoe UI" w:hAnsi="Segoe UI" w:cs="Segoe UI" w:eastAsia="Segoe UI"/>
          <w:color w:val="67973F"/>
          <w:sz w:val="19"/>
          <w:szCs w:val="19"/>
        </w:rPr>
        <w:t>have</w:t>
      </w:r>
      <w:r>
        <w:rPr>
          <w:rFonts w:ascii="Segoe UI" w:hAnsi="Segoe UI" w:cs="Segoe UI" w:eastAsia="Segoe UI"/>
          <w:color w:val="67973F"/>
          <w:spacing w:val="-5"/>
          <w:sz w:val="19"/>
          <w:szCs w:val="19"/>
        </w:rPr>
        <w:t> </w:t>
      </w:r>
      <w:r>
        <w:rPr>
          <w:rFonts w:ascii="Segoe UI" w:hAnsi="Segoe UI" w:cs="Segoe UI" w:eastAsia="Segoe UI"/>
          <w:color w:val="67973F"/>
          <w:sz w:val="19"/>
          <w:szCs w:val="19"/>
        </w:rPr>
        <w:t>been</w:t>
      </w:r>
      <w:r>
        <w:rPr>
          <w:rFonts w:ascii="Segoe UI" w:hAnsi="Segoe UI" w:cs="Segoe UI" w:eastAsia="Segoe UI"/>
          <w:color w:val="67973F"/>
          <w:spacing w:val="-5"/>
          <w:sz w:val="19"/>
          <w:szCs w:val="19"/>
        </w:rPr>
        <w:t> </w:t>
      </w:r>
      <w:r>
        <w:rPr>
          <w:rFonts w:ascii="Segoe UI" w:hAnsi="Segoe UI" w:cs="Segoe UI" w:eastAsia="Segoe UI"/>
          <w:color w:val="67973F"/>
          <w:sz w:val="19"/>
          <w:szCs w:val="19"/>
        </w:rPr>
        <w:t>able</w:t>
      </w:r>
      <w:r>
        <w:rPr>
          <w:rFonts w:ascii="Segoe UI" w:hAnsi="Segoe UI" w:cs="Segoe UI" w:eastAsia="Segoe UI"/>
          <w:color w:val="67973F"/>
          <w:spacing w:val="-4"/>
          <w:sz w:val="19"/>
          <w:szCs w:val="19"/>
        </w:rPr>
        <w:t> </w:t>
      </w:r>
      <w:r>
        <w:rPr>
          <w:rFonts w:ascii="Segoe UI" w:hAnsi="Segoe UI" w:cs="Segoe UI" w:eastAsia="Segoe UI"/>
          <w:color w:val="67973F"/>
          <w:sz w:val="19"/>
          <w:szCs w:val="19"/>
        </w:rPr>
        <w:t>to</w:t>
      </w:r>
      <w:r>
        <w:rPr>
          <w:rFonts w:ascii="Segoe UI" w:hAnsi="Segoe UI" w:cs="Segoe UI" w:eastAsia="Segoe UI"/>
          <w:color w:val="67973F"/>
          <w:spacing w:val="-4"/>
          <w:sz w:val="19"/>
          <w:szCs w:val="19"/>
        </w:rPr>
        <w:t> </w:t>
      </w:r>
      <w:r>
        <w:rPr>
          <w:rFonts w:ascii="Segoe UI" w:hAnsi="Segoe UI" w:cs="Segoe UI" w:eastAsia="Segoe UI"/>
          <w:color w:val="67973F"/>
          <w:sz w:val="19"/>
          <w:szCs w:val="19"/>
        </w:rPr>
        <w:t>negotiate</w:t>
      </w:r>
      <w:r>
        <w:rPr>
          <w:rFonts w:ascii="Segoe UI" w:hAnsi="Segoe UI" w:cs="Segoe UI" w:eastAsia="Segoe UI"/>
          <w:color w:val="67973F"/>
          <w:spacing w:val="-4"/>
          <w:sz w:val="19"/>
          <w:szCs w:val="19"/>
        </w:rPr>
        <w:t> </w:t>
      </w:r>
      <w:r>
        <w:rPr>
          <w:rFonts w:ascii="Segoe UI" w:hAnsi="Segoe UI" w:cs="Segoe UI" w:eastAsia="Segoe UI"/>
          <w:color w:val="67973F"/>
          <w:sz w:val="19"/>
          <w:szCs w:val="19"/>
        </w:rPr>
        <w:t>for</w:t>
      </w:r>
      <w:r>
        <w:rPr>
          <w:rFonts w:ascii="Segoe UI" w:hAnsi="Segoe UI" w:cs="Segoe UI" w:eastAsia="Segoe UI"/>
          <w:color w:val="67973F"/>
          <w:spacing w:val="21"/>
          <w:w w:val="99"/>
          <w:sz w:val="19"/>
          <w:szCs w:val="19"/>
        </w:rPr>
        <w:t> </w:t>
      </w:r>
      <w:r>
        <w:rPr>
          <w:rFonts w:ascii="Segoe UI" w:hAnsi="Segoe UI" w:cs="Segoe UI" w:eastAsia="Segoe UI"/>
          <w:color w:val="67973F"/>
          <w:spacing w:val="-1"/>
          <w:sz w:val="19"/>
          <w:szCs w:val="19"/>
        </w:rPr>
        <w:t>some</w:t>
      </w:r>
      <w:r>
        <w:rPr>
          <w:rFonts w:ascii="Segoe UI" w:hAnsi="Segoe UI" w:cs="Segoe UI" w:eastAsia="Segoe UI"/>
          <w:color w:val="67973F"/>
          <w:spacing w:val="-4"/>
          <w:sz w:val="19"/>
          <w:szCs w:val="19"/>
        </w:rPr>
        <w:t> </w:t>
      </w:r>
      <w:r>
        <w:rPr>
          <w:rFonts w:ascii="Segoe UI" w:hAnsi="Segoe UI" w:cs="Segoe UI" w:eastAsia="Segoe UI"/>
          <w:color w:val="67973F"/>
          <w:sz w:val="19"/>
          <w:szCs w:val="19"/>
        </w:rPr>
        <w:t>of</w:t>
      </w:r>
      <w:r>
        <w:rPr>
          <w:rFonts w:ascii="Segoe UI" w:hAnsi="Segoe UI" w:cs="Segoe UI" w:eastAsia="Segoe UI"/>
          <w:color w:val="67973F"/>
          <w:spacing w:val="-3"/>
          <w:sz w:val="19"/>
          <w:szCs w:val="19"/>
        </w:rPr>
        <w:t> </w:t>
      </w:r>
      <w:r>
        <w:rPr>
          <w:rFonts w:ascii="Segoe UI" w:hAnsi="Segoe UI" w:cs="Segoe UI" w:eastAsia="Segoe UI"/>
          <w:color w:val="67973F"/>
          <w:sz w:val="19"/>
          <w:szCs w:val="19"/>
        </w:rPr>
        <w:t>these</w:t>
      </w:r>
      <w:r>
        <w:rPr>
          <w:rFonts w:ascii="Segoe UI" w:hAnsi="Segoe UI" w:cs="Segoe UI" w:eastAsia="Segoe UI"/>
          <w:color w:val="67973F"/>
          <w:spacing w:val="-5"/>
          <w:sz w:val="19"/>
          <w:szCs w:val="19"/>
        </w:rPr>
        <w:t> </w:t>
      </w:r>
      <w:r>
        <w:rPr>
          <w:rFonts w:ascii="Segoe UI" w:hAnsi="Segoe UI" w:cs="Segoe UI" w:eastAsia="Segoe UI"/>
          <w:color w:val="67973F"/>
          <w:sz w:val="19"/>
          <w:szCs w:val="19"/>
        </w:rPr>
        <w:t>hours</w:t>
      </w:r>
      <w:r>
        <w:rPr>
          <w:rFonts w:ascii="Segoe UI" w:hAnsi="Segoe UI" w:cs="Segoe UI" w:eastAsia="Segoe UI"/>
          <w:color w:val="67973F"/>
          <w:spacing w:val="-4"/>
          <w:sz w:val="19"/>
          <w:szCs w:val="19"/>
        </w:rPr>
        <w:t> </w:t>
      </w:r>
      <w:r>
        <w:rPr>
          <w:rFonts w:ascii="Segoe UI" w:hAnsi="Segoe UI" w:cs="Segoe UI" w:eastAsia="Segoe UI"/>
          <w:color w:val="67973F"/>
          <w:sz w:val="19"/>
          <w:szCs w:val="19"/>
        </w:rPr>
        <w:t>to</w:t>
      </w:r>
      <w:r>
        <w:rPr>
          <w:rFonts w:ascii="Segoe UI" w:hAnsi="Segoe UI" w:cs="Segoe UI" w:eastAsia="Segoe UI"/>
          <w:color w:val="67973F"/>
          <w:spacing w:val="-4"/>
          <w:sz w:val="19"/>
          <w:szCs w:val="19"/>
        </w:rPr>
        <w:t> </w:t>
      </w:r>
      <w:r>
        <w:rPr>
          <w:rFonts w:ascii="Segoe UI" w:hAnsi="Segoe UI" w:cs="Segoe UI" w:eastAsia="Segoe UI"/>
          <w:color w:val="67973F"/>
          <w:sz w:val="19"/>
          <w:szCs w:val="19"/>
        </w:rPr>
        <w:t>be</w:t>
      </w:r>
      <w:r>
        <w:rPr>
          <w:rFonts w:ascii="Segoe UI" w:hAnsi="Segoe UI" w:cs="Segoe UI" w:eastAsia="Segoe UI"/>
          <w:color w:val="67973F"/>
          <w:spacing w:val="-3"/>
          <w:sz w:val="19"/>
          <w:szCs w:val="19"/>
        </w:rPr>
        <w:t> </w:t>
      </w:r>
      <w:r>
        <w:rPr>
          <w:rFonts w:ascii="Segoe UI" w:hAnsi="Segoe UI" w:cs="Segoe UI" w:eastAsia="Segoe UI"/>
          <w:color w:val="67973F"/>
          <w:sz w:val="19"/>
          <w:szCs w:val="19"/>
        </w:rPr>
        <w:t>completed</w:t>
      </w:r>
      <w:r>
        <w:rPr>
          <w:rFonts w:ascii="Segoe UI" w:hAnsi="Segoe UI" w:cs="Segoe UI" w:eastAsia="Segoe UI"/>
          <w:color w:val="67973F"/>
          <w:spacing w:val="-5"/>
          <w:sz w:val="19"/>
          <w:szCs w:val="19"/>
        </w:rPr>
        <w:t> </w:t>
      </w:r>
      <w:r>
        <w:rPr>
          <w:rFonts w:ascii="Segoe UI" w:hAnsi="Segoe UI" w:cs="Segoe UI" w:eastAsia="Segoe UI"/>
          <w:color w:val="67973F"/>
          <w:sz w:val="19"/>
          <w:szCs w:val="19"/>
        </w:rPr>
        <w:t>during</w:t>
      </w:r>
      <w:r>
        <w:rPr>
          <w:rFonts w:ascii="Segoe UI" w:hAnsi="Segoe UI" w:cs="Segoe UI" w:eastAsia="Segoe UI"/>
          <w:color w:val="67973F"/>
          <w:spacing w:val="-4"/>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21"/>
          <w:w w:val="99"/>
          <w:sz w:val="19"/>
          <w:szCs w:val="19"/>
        </w:rPr>
        <w:t> </w:t>
      </w:r>
      <w:r>
        <w:rPr>
          <w:rFonts w:ascii="Segoe UI" w:hAnsi="Segoe UI" w:cs="Segoe UI" w:eastAsia="Segoe UI"/>
          <w:color w:val="67973F"/>
          <w:spacing w:val="-1"/>
          <w:sz w:val="19"/>
          <w:szCs w:val="19"/>
        </w:rPr>
        <w:t>school</w:t>
      </w:r>
      <w:r>
        <w:rPr>
          <w:rFonts w:ascii="Segoe UI" w:hAnsi="Segoe UI" w:cs="Segoe UI" w:eastAsia="Segoe UI"/>
          <w:color w:val="67973F"/>
          <w:spacing w:val="-6"/>
          <w:sz w:val="19"/>
          <w:szCs w:val="19"/>
        </w:rPr>
        <w:t> </w:t>
      </w:r>
      <w:r>
        <w:rPr>
          <w:rFonts w:ascii="Segoe UI" w:hAnsi="Segoe UI" w:cs="Segoe UI" w:eastAsia="Segoe UI"/>
          <w:color w:val="67973F"/>
          <w:sz w:val="19"/>
          <w:szCs w:val="19"/>
        </w:rPr>
        <w:t>holidays.</w:t>
      </w:r>
      <w:r>
        <w:rPr>
          <w:rFonts w:ascii="Segoe UI" w:hAnsi="Segoe UI" w:cs="Segoe UI" w:eastAsia="Segoe UI"/>
          <w:color w:val="67973F"/>
          <w:spacing w:val="-7"/>
          <w:sz w:val="19"/>
          <w:szCs w:val="19"/>
        </w:rPr>
        <w:t> </w:t>
      </w:r>
      <w:r>
        <w:rPr>
          <w:rFonts w:ascii="Segoe UI" w:hAnsi="Segoe UI" w:cs="Segoe UI" w:eastAsia="Segoe UI"/>
          <w:color w:val="67973F"/>
          <w:sz w:val="19"/>
          <w:szCs w:val="19"/>
        </w:rPr>
        <w:t>Other</w:t>
      </w:r>
      <w:r>
        <w:rPr>
          <w:rFonts w:ascii="Segoe UI" w:hAnsi="Segoe UI" w:cs="Segoe UI" w:eastAsia="Segoe UI"/>
          <w:color w:val="67973F"/>
          <w:spacing w:val="-5"/>
          <w:sz w:val="19"/>
          <w:szCs w:val="19"/>
        </w:rPr>
        <w:t> </w:t>
      </w:r>
      <w:r>
        <w:rPr>
          <w:rFonts w:ascii="Segoe UI" w:hAnsi="Segoe UI" w:cs="Segoe UI" w:eastAsia="Segoe UI"/>
          <w:color w:val="67973F"/>
          <w:sz w:val="19"/>
          <w:szCs w:val="19"/>
        </w:rPr>
        <w:t>hours</w:t>
      </w:r>
      <w:r>
        <w:rPr>
          <w:rFonts w:ascii="Segoe UI" w:hAnsi="Segoe UI" w:cs="Segoe UI" w:eastAsia="Segoe UI"/>
          <w:color w:val="67973F"/>
          <w:spacing w:val="-7"/>
          <w:sz w:val="19"/>
          <w:szCs w:val="19"/>
        </w:rPr>
        <w:t> </w:t>
      </w:r>
      <w:r>
        <w:rPr>
          <w:rFonts w:ascii="Segoe UI" w:hAnsi="Segoe UI" w:cs="Segoe UI" w:eastAsia="Segoe UI"/>
          <w:color w:val="67973F"/>
          <w:sz w:val="19"/>
          <w:szCs w:val="19"/>
        </w:rPr>
        <w:t>are</w:t>
      </w:r>
      <w:r>
        <w:rPr>
          <w:rFonts w:ascii="Segoe UI" w:hAnsi="Segoe UI" w:cs="Segoe UI" w:eastAsia="Segoe UI"/>
          <w:color w:val="67973F"/>
          <w:spacing w:val="-6"/>
          <w:sz w:val="19"/>
          <w:szCs w:val="19"/>
        </w:rPr>
        <w:t> </w:t>
      </w:r>
      <w:r>
        <w:rPr>
          <w:rFonts w:ascii="Segoe UI" w:hAnsi="Segoe UI" w:cs="Segoe UI" w:eastAsia="Segoe UI"/>
          <w:color w:val="67973F"/>
          <w:sz w:val="19"/>
          <w:szCs w:val="19"/>
        </w:rPr>
        <w:t>being</w:t>
      </w:r>
      <w:r>
        <w:rPr>
          <w:rFonts w:ascii="Segoe UI" w:hAnsi="Segoe UI" w:cs="Segoe UI" w:eastAsia="Segoe UI"/>
          <w:color w:val="67973F"/>
          <w:spacing w:val="-7"/>
          <w:sz w:val="19"/>
          <w:szCs w:val="19"/>
        </w:rPr>
        <w:t> </w:t>
      </w:r>
      <w:r>
        <w:rPr>
          <w:rFonts w:ascii="Segoe UI" w:hAnsi="Segoe UI" w:cs="Segoe UI" w:eastAsia="Segoe UI"/>
          <w:color w:val="67973F"/>
          <w:sz w:val="19"/>
          <w:szCs w:val="19"/>
        </w:rPr>
        <w:t>completed</w:t>
      </w:r>
      <w:r>
        <w:rPr>
          <w:rFonts w:ascii="Segoe UI" w:hAnsi="Segoe UI" w:cs="Segoe UI" w:eastAsia="Segoe UI"/>
          <w:color w:val="67973F"/>
          <w:spacing w:val="21"/>
          <w:w w:val="99"/>
          <w:sz w:val="19"/>
          <w:szCs w:val="19"/>
        </w:rPr>
        <w:t> </w:t>
      </w:r>
      <w:r>
        <w:rPr>
          <w:rFonts w:ascii="Segoe UI" w:hAnsi="Segoe UI" w:cs="Segoe UI" w:eastAsia="Segoe UI"/>
          <w:color w:val="67973F"/>
          <w:sz w:val="19"/>
          <w:szCs w:val="19"/>
        </w:rPr>
        <w:t>between</w:t>
      </w:r>
      <w:r>
        <w:rPr>
          <w:rFonts w:ascii="Segoe UI" w:hAnsi="Segoe UI" w:cs="Segoe UI" w:eastAsia="Segoe UI"/>
          <w:color w:val="67973F"/>
          <w:spacing w:val="-9"/>
          <w:sz w:val="19"/>
          <w:szCs w:val="19"/>
        </w:rPr>
        <w:t> </w:t>
      </w:r>
      <w:r>
        <w:rPr>
          <w:rFonts w:ascii="Segoe UI" w:hAnsi="Segoe UI" w:cs="Segoe UI" w:eastAsia="Segoe UI"/>
          <w:color w:val="67973F"/>
          <w:spacing w:val="-1"/>
          <w:sz w:val="19"/>
          <w:szCs w:val="19"/>
        </w:rPr>
        <w:t>7.00—8.00am</w:t>
      </w:r>
      <w:r>
        <w:rPr>
          <w:rFonts w:ascii="Segoe UI" w:hAnsi="Segoe UI" w:cs="Segoe UI" w:eastAsia="Segoe UI"/>
          <w:color w:val="67973F"/>
          <w:spacing w:val="-7"/>
          <w:sz w:val="19"/>
          <w:szCs w:val="19"/>
        </w:rPr>
        <w:t> </w:t>
      </w:r>
      <w:r>
        <w:rPr>
          <w:rFonts w:ascii="Segoe UI" w:hAnsi="Segoe UI" w:cs="Segoe UI" w:eastAsia="Segoe UI"/>
          <w:color w:val="67973F"/>
          <w:sz w:val="19"/>
          <w:szCs w:val="19"/>
        </w:rPr>
        <w:t>or</w:t>
      </w:r>
      <w:r>
        <w:rPr>
          <w:rFonts w:ascii="Segoe UI" w:hAnsi="Segoe UI" w:cs="Segoe UI" w:eastAsia="Segoe UI"/>
          <w:color w:val="67973F"/>
          <w:spacing w:val="-7"/>
          <w:sz w:val="19"/>
          <w:szCs w:val="19"/>
        </w:rPr>
        <w:t> </w:t>
      </w:r>
      <w:r>
        <w:rPr>
          <w:rFonts w:ascii="Segoe UI" w:hAnsi="Segoe UI" w:cs="Segoe UI" w:eastAsia="Segoe UI"/>
          <w:color w:val="67973F"/>
          <w:sz w:val="19"/>
          <w:szCs w:val="19"/>
        </w:rPr>
        <w:t>3.05—4.05pm.”</w:t>
      </w:r>
      <w:r>
        <w:rPr>
          <w:rFonts w:ascii="Segoe UI" w:hAnsi="Segoe UI" w:cs="Segoe UI" w:eastAsia="Segoe UI"/>
          <w:sz w:val="19"/>
          <w:szCs w:val="19"/>
        </w:rPr>
      </w:r>
    </w:p>
    <w:p>
      <w:pPr>
        <w:spacing w:after="0" w:line="265" w:lineRule="auto"/>
        <w:jc w:val="left"/>
        <w:rPr>
          <w:rFonts w:ascii="Segoe UI" w:hAnsi="Segoe UI" w:cs="Segoe UI" w:eastAsia="Segoe UI"/>
          <w:sz w:val="19"/>
          <w:szCs w:val="19"/>
        </w:rPr>
        <w:sectPr>
          <w:type w:val="continuous"/>
          <w:pgSz w:w="11910" w:h="16840"/>
          <w:pgMar w:top="1580" w:bottom="280" w:left="0" w:right="1300"/>
          <w:cols w:num="2" w:equalWidth="0">
            <w:col w:w="5948" w:space="40"/>
            <w:col w:w="4622"/>
          </w:cols>
        </w:sectPr>
      </w:pPr>
    </w:p>
    <w:p>
      <w:pPr>
        <w:spacing w:line="240" w:lineRule="auto" w:before="0"/>
        <w:rPr>
          <w:rFonts w:ascii="Segoe UI" w:hAnsi="Segoe UI" w:cs="Segoe UI" w:eastAsia="Segoe UI"/>
          <w:sz w:val="20"/>
          <w:szCs w:val="20"/>
        </w:rPr>
      </w:pPr>
    </w:p>
    <w:p>
      <w:pPr>
        <w:spacing w:line="240" w:lineRule="auto" w:before="8"/>
        <w:rPr>
          <w:rFonts w:ascii="Segoe UI" w:hAnsi="Segoe UI" w:cs="Segoe UI" w:eastAsia="Segoe UI"/>
          <w:sz w:val="21"/>
          <w:szCs w:val="21"/>
        </w:rPr>
      </w:pPr>
    </w:p>
    <w:p>
      <w:pPr>
        <w:spacing w:after="0" w:line="240" w:lineRule="auto"/>
        <w:rPr>
          <w:rFonts w:ascii="Segoe UI" w:hAnsi="Segoe UI" w:cs="Segoe UI" w:eastAsia="Segoe UI"/>
          <w:sz w:val="21"/>
          <w:szCs w:val="21"/>
        </w:rPr>
        <w:sectPr>
          <w:pgSz w:w="11910" w:h="16840"/>
          <w:pgMar w:header="0" w:footer="691" w:top="1580" w:bottom="880" w:left="1300" w:right="1420"/>
        </w:sectPr>
      </w:pPr>
    </w:p>
    <w:p>
      <w:pPr>
        <w:pStyle w:val="BodyText"/>
        <w:spacing w:line="250" w:lineRule="exact" w:before="62"/>
        <w:ind w:right="56"/>
        <w:jc w:val="left"/>
      </w:pPr>
      <w:r>
        <w:rPr>
          <w:rFonts w:ascii="Segoe UI"/>
          <w:color w:val="231F20"/>
        </w:rPr>
        <w:t>The case study confirms the national evidence. </w:t>
      </w:r>
      <w:r>
        <w:rPr>
          <w:color w:val="231F20"/>
        </w:rPr>
        <w:t>The</w:t>
      </w:r>
      <w:r>
        <w:rPr>
          <w:color w:val="231F20"/>
          <w:spacing w:val="-4"/>
        </w:rPr>
        <w:t> </w:t>
      </w:r>
      <w:r>
        <w:rPr>
          <w:color w:val="231F20"/>
        </w:rPr>
        <w:t>Australian</w:t>
      </w:r>
      <w:r>
        <w:rPr>
          <w:color w:val="231F20"/>
          <w:spacing w:val="-4"/>
        </w:rPr>
        <w:t> </w:t>
      </w:r>
      <w:r>
        <w:rPr>
          <w:color w:val="231F20"/>
          <w:spacing w:val="-1"/>
        </w:rPr>
        <w:t>Bureau</w:t>
      </w:r>
      <w:r>
        <w:rPr>
          <w:color w:val="231F20"/>
          <w:spacing w:val="-5"/>
        </w:rPr>
        <w:t> </w:t>
      </w:r>
      <w:r>
        <w:rPr>
          <w:color w:val="231F20"/>
        </w:rPr>
        <w:t>of</w:t>
      </w:r>
      <w:r>
        <w:rPr>
          <w:color w:val="231F20"/>
          <w:spacing w:val="-4"/>
        </w:rPr>
        <w:t> </w:t>
      </w:r>
      <w:r>
        <w:rPr>
          <w:color w:val="231F20"/>
          <w:spacing w:val="-1"/>
        </w:rPr>
        <w:t>Statistics</w:t>
      </w:r>
      <w:r>
        <w:rPr>
          <w:color w:val="231F20"/>
          <w:spacing w:val="-4"/>
        </w:rPr>
        <w:t> </w:t>
      </w:r>
      <w:r>
        <w:rPr>
          <w:color w:val="231F20"/>
        </w:rPr>
        <w:t>(ABS)</w:t>
      </w:r>
      <w:r>
        <w:rPr>
          <w:color w:val="231F20"/>
          <w:spacing w:val="25"/>
        </w:rPr>
        <w:t> </w:t>
      </w:r>
      <w:r>
        <w:rPr>
          <w:color w:val="231F20"/>
        </w:rPr>
        <w:t>conducts</w:t>
      </w:r>
      <w:r>
        <w:rPr>
          <w:color w:val="231F20"/>
          <w:spacing w:val="-7"/>
        </w:rPr>
        <w:t> </w:t>
      </w:r>
      <w:r>
        <w:rPr>
          <w:color w:val="231F20"/>
        </w:rPr>
        <w:t>a</w:t>
      </w:r>
      <w:r>
        <w:rPr>
          <w:color w:val="231F20"/>
          <w:spacing w:val="-6"/>
        </w:rPr>
        <w:t> </w:t>
      </w:r>
      <w:r>
        <w:rPr>
          <w:color w:val="231F20"/>
        </w:rPr>
        <w:t>National</w:t>
      </w:r>
      <w:r>
        <w:rPr>
          <w:color w:val="231F20"/>
          <w:spacing w:val="-6"/>
        </w:rPr>
        <w:t> </w:t>
      </w:r>
      <w:r>
        <w:rPr>
          <w:color w:val="231F20"/>
        </w:rPr>
        <w:t>Aboriginal</w:t>
      </w:r>
      <w:r>
        <w:rPr>
          <w:color w:val="231F20"/>
          <w:spacing w:val="-5"/>
        </w:rPr>
        <w:t> </w:t>
      </w:r>
      <w:r>
        <w:rPr>
          <w:color w:val="231F20"/>
        </w:rPr>
        <w:t>and</w:t>
      </w:r>
      <w:r>
        <w:rPr>
          <w:color w:val="231F20"/>
          <w:spacing w:val="-7"/>
        </w:rPr>
        <w:t> </w:t>
      </w:r>
      <w:r>
        <w:rPr>
          <w:color w:val="231F20"/>
          <w:spacing w:val="-5"/>
        </w:rPr>
        <w:t>Torres</w:t>
      </w:r>
      <w:r>
        <w:rPr>
          <w:color w:val="231F20"/>
          <w:w w:val="99"/>
        </w:rPr>
        <w:t> </w:t>
      </w:r>
      <w:r>
        <w:rPr>
          <w:color w:val="231F20"/>
          <w:spacing w:val="24"/>
          <w:w w:val="99"/>
        </w:rPr>
        <w:t> </w:t>
      </w:r>
      <w:r>
        <w:rPr>
          <w:color w:val="231F20"/>
          <w:spacing w:val="-2"/>
        </w:rPr>
        <w:t>Strait</w:t>
      </w:r>
      <w:r>
        <w:rPr>
          <w:color w:val="231F20"/>
          <w:spacing w:val="-7"/>
        </w:rPr>
        <w:t> </w:t>
      </w:r>
      <w:r>
        <w:rPr>
          <w:color w:val="231F20"/>
          <w:spacing w:val="-1"/>
        </w:rPr>
        <w:t>Islander</w:t>
      </w:r>
      <w:r>
        <w:rPr>
          <w:color w:val="231F20"/>
          <w:spacing w:val="-5"/>
        </w:rPr>
        <w:t> </w:t>
      </w:r>
      <w:r>
        <w:rPr>
          <w:color w:val="231F20"/>
          <w:spacing w:val="-1"/>
        </w:rPr>
        <w:t>Social</w:t>
      </w:r>
      <w:r>
        <w:rPr>
          <w:color w:val="231F20"/>
          <w:spacing w:val="-6"/>
        </w:rPr>
        <w:t> </w:t>
      </w:r>
      <w:r>
        <w:rPr>
          <w:color w:val="231F20"/>
          <w:spacing w:val="-1"/>
        </w:rPr>
        <w:t>Survey</w:t>
      </w:r>
      <w:r>
        <w:rPr>
          <w:color w:val="231F20"/>
          <w:spacing w:val="-5"/>
        </w:rPr>
        <w:t> </w:t>
      </w:r>
      <w:r>
        <w:rPr>
          <w:color w:val="231F20"/>
        </w:rPr>
        <w:t>detailing</w:t>
      </w:r>
      <w:r>
        <w:rPr>
          <w:color w:val="231F20"/>
          <w:spacing w:val="-7"/>
        </w:rPr>
        <w:t> </w:t>
      </w:r>
      <w:r>
        <w:rPr>
          <w:color w:val="231F20"/>
        </w:rPr>
        <w:t>the</w:t>
      </w:r>
      <w:r>
        <w:rPr>
          <w:color w:val="231F20"/>
          <w:spacing w:val="-6"/>
        </w:rPr>
        <w:t> </w:t>
      </w:r>
      <w:r>
        <w:rPr>
          <w:color w:val="231F20"/>
        </w:rPr>
        <w:t>health</w:t>
      </w:r>
      <w:r>
        <w:rPr>
          <w:color w:val="231F20"/>
          <w:spacing w:val="29"/>
          <w:w w:val="99"/>
        </w:rPr>
        <w:t> </w:t>
      </w:r>
      <w:r>
        <w:rPr>
          <w:color w:val="231F20"/>
        </w:rPr>
        <w:t>and</w:t>
      </w:r>
      <w:r>
        <w:rPr>
          <w:color w:val="231F20"/>
          <w:spacing w:val="-6"/>
        </w:rPr>
        <w:t> </w:t>
      </w:r>
      <w:r>
        <w:rPr>
          <w:color w:val="231F20"/>
        </w:rPr>
        <w:t>wellbeing</w:t>
      </w:r>
      <w:r>
        <w:rPr>
          <w:color w:val="231F20"/>
          <w:spacing w:val="-7"/>
        </w:rPr>
        <w:t> </w:t>
      </w:r>
      <w:r>
        <w:rPr>
          <w:color w:val="231F20"/>
        </w:rPr>
        <w:t>of</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 </w:t>
      </w:r>
      <w:r>
        <w:rPr>
          <w:color w:val="231F20"/>
          <w:spacing w:val="-2"/>
        </w:rPr>
        <w:t>Strait</w:t>
      </w:r>
      <w:r>
        <w:rPr>
          <w:color w:val="231F20"/>
          <w:spacing w:val="29"/>
          <w:w w:val="99"/>
        </w:rPr>
        <w:t> </w:t>
      </w:r>
      <w:r>
        <w:rPr>
          <w:color w:val="231F20"/>
          <w:spacing w:val="-1"/>
        </w:rPr>
        <w:t>Islander</w:t>
      </w:r>
      <w:r>
        <w:rPr>
          <w:color w:val="231F20"/>
          <w:spacing w:val="-8"/>
        </w:rPr>
        <w:t> </w:t>
      </w:r>
      <w:r>
        <w:rPr>
          <w:color w:val="231F20"/>
        </w:rPr>
        <w:t>people.</w:t>
      </w:r>
      <w:r>
        <w:rPr>
          <w:color w:val="231F20"/>
          <w:spacing w:val="-8"/>
        </w:rPr>
        <w:t> </w:t>
      </w:r>
      <w:r>
        <w:rPr>
          <w:color w:val="231F20"/>
        </w:rPr>
        <w:t>The</w:t>
      </w:r>
      <w:r>
        <w:rPr>
          <w:color w:val="231F20"/>
          <w:spacing w:val="-7"/>
        </w:rPr>
        <w:t> </w:t>
      </w:r>
      <w:r>
        <w:rPr>
          <w:color w:val="231F20"/>
          <w:spacing w:val="-1"/>
        </w:rPr>
        <w:t>latest</w:t>
      </w:r>
      <w:r>
        <w:rPr>
          <w:color w:val="231F20"/>
          <w:spacing w:val="-8"/>
        </w:rPr>
        <w:t> </w:t>
      </w:r>
      <w:r>
        <w:rPr>
          <w:color w:val="231F20"/>
        </w:rPr>
        <w:t>completed</w:t>
      </w:r>
      <w:r>
        <w:rPr>
          <w:color w:val="231F20"/>
          <w:spacing w:val="-8"/>
        </w:rPr>
        <w:t> </w:t>
      </w:r>
      <w:r>
        <w:rPr>
          <w:color w:val="231F20"/>
          <w:spacing w:val="-1"/>
        </w:rPr>
        <w:t>survey</w:t>
      </w:r>
      <w:r>
        <w:rPr/>
      </w:r>
    </w:p>
    <w:p>
      <w:pPr>
        <w:pStyle w:val="BodyText"/>
        <w:spacing w:line="250" w:lineRule="exact"/>
        <w:ind w:right="0"/>
        <w:jc w:val="left"/>
      </w:pPr>
      <w:r>
        <w:rPr>
          <w:color w:val="231F20"/>
        </w:rPr>
        <w:t>of</w:t>
      </w:r>
      <w:r>
        <w:rPr>
          <w:color w:val="231F20"/>
          <w:spacing w:val="-6"/>
        </w:rPr>
        <w:t> </w:t>
      </w:r>
      <w:r>
        <w:rPr>
          <w:color w:val="231F20"/>
        </w:rPr>
        <w:t>households</w:t>
      </w:r>
      <w:r>
        <w:rPr>
          <w:color w:val="231F20"/>
          <w:spacing w:val="-7"/>
        </w:rPr>
        <w:t> </w:t>
      </w:r>
      <w:r>
        <w:rPr>
          <w:color w:val="231F20"/>
        </w:rPr>
        <w:t>was</w:t>
      </w:r>
      <w:r>
        <w:rPr>
          <w:color w:val="231F20"/>
          <w:spacing w:val="-6"/>
        </w:rPr>
        <w:t> </w:t>
      </w:r>
      <w:r>
        <w:rPr>
          <w:color w:val="231F20"/>
        </w:rPr>
        <w:t>conducted</w:t>
      </w:r>
      <w:r>
        <w:rPr>
          <w:color w:val="231F20"/>
          <w:spacing w:val="-7"/>
        </w:rPr>
        <w:t> </w:t>
      </w:r>
      <w:r>
        <w:rPr>
          <w:color w:val="231F20"/>
        </w:rPr>
        <w:t>from</w:t>
      </w:r>
      <w:r>
        <w:rPr>
          <w:color w:val="231F20"/>
          <w:spacing w:val="-6"/>
        </w:rPr>
        <w:t> </w:t>
      </w:r>
      <w:r>
        <w:rPr>
          <w:color w:val="231F20"/>
          <w:spacing w:val="-1"/>
        </w:rPr>
        <w:t>September</w:t>
      </w:r>
      <w:r>
        <w:rPr>
          <w:color w:val="231F20"/>
          <w:spacing w:val="20"/>
          <w:w w:val="99"/>
        </w:rPr>
        <w:t> </w:t>
      </w:r>
      <w:r>
        <w:rPr>
          <w:color w:val="231F20"/>
          <w:spacing w:val="-1"/>
        </w:rPr>
        <w:t>2014</w:t>
      </w:r>
      <w:r>
        <w:rPr>
          <w:color w:val="231F20"/>
          <w:spacing w:val="-3"/>
        </w:rPr>
        <w:t> </w:t>
      </w:r>
      <w:r>
        <w:rPr>
          <w:color w:val="231F20"/>
        </w:rPr>
        <w:t>to</w:t>
      </w:r>
      <w:r>
        <w:rPr>
          <w:color w:val="231F20"/>
          <w:spacing w:val="-3"/>
        </w:rPr>
        <w:t> </w:t>
      </w:r>
      <w:r>
        <w:rPr>
          <w:color w:val="231F20"/>
        </w:rPr>
        <w:t>June</w:t>
      </w:r>
      <w:r>
        <w:rPr>
          <w:color w:val="231F20"/>
          <w:spacing w:val="-3"/>
        </w:rPr>
        <w:t> </w:t>
      </w:r>
      <w:r>
        <w:rPr>
          <w:color w:val="231F20"/>
          <w:spacing w:val="-1"/>
        </w:rPr>
        <w:t>2015.</w:t>
      </w:r>
      <w:r>
        <w:rPr>
          <w:color w:val="231F20"/>
          <w:spacing w:val="-3"/>
        </w:rPr>
        <w:t> </w:t>
      </w:r>
      <w:r>
        <w:rPr>
          <w:color w:val="231F20"/>
        </w:rPr>
        <w:t>The</w:t>
      </w:r>
      <w:r>
        <w:rPr>
          <w:color w:val="231F20"/>
          <w:spacing w:val="-2"/>
        </w:rPr>
        <w:t> </w:t>
      </w:r>
      <w:r>
        <w:rPr>
          <w:color w:val="231F20"/>
          <w:spacing w:val="-1"/>
        </w:rPr>
        <w:t>most</w:t>
      </w:r>
      <w:r>
        <w:rPr>
          <w:color w:val="231F20"/>
          <w:spacing w:val="-3"/>
        </w:rPr>
        <w:t> </w:t>
      </w:r>
      <w:r>
        <w:rPr>
          <w:color w:val="231F20"/>
        </w:rPr>
        <w:t>recent</w:t>
      </w:r>
      <w:r>
        <w:rPr>
          <w:color w:val="231F20"/>
          <w:spacing w:val="-3"/>
        </w:rPr>
        <w:t> </w:t>
      </w:r>
      <w:r>
        <w:rPr>
          <w:color w:val="231F20"/>
        </w:rPr>
        <w:t>ABS</w:t>
      </w:r>
      <w:r>
        <w:rPr>
          <w:color w:val="231F20"/>
          <w:spacing w:val="-4"/>
        </w:rPr>
        <w:t> </w:t>
      </w:r>
      <w:r>
        <w:rPr>
          <w:color w:val="231F20"/>
          <w:spacing w:val="-1"/>
        </w:rPr>
        <w:t>survey</w:t>
      </w:r>
      <w:r>
        <w:rPr>
          <w:color w:val="231F20"/>
          <w:spacing w:val="23"/>
          <w:w w:val="99"/>
        </w:rPr>
        <w:t> </w:t>
      </w:r>
      <w:r>
        <w:rPr>
          <w:color w:val="231F20"/>
        </w:rPr>
        <w:t>commenced</w:t>
      </w:r>
      <w:r>
        <w:rPr>
          <w:color w:val="231F20"/>
          <w:spacing w:val="-3"/>
        </w:rPr>
        <w:t> </w:t>
      </w:r>
      <w:r>
        <w:rPr>
          <w:color w:val="231F20"/>
          <w:spacing w:val="-1"/>
        </w:rPr>
        <w:t>in</w:t>
      </w:r>
      <w:r>
        <w:rPr>
          <w:color w:val="231F20"/>
          <w:spacing w:val="-2"/>
        </w:rPr>
        <w:t> </w:t>
      </w:r>
      <w:r>
        <w:rPr>
          <w:color w:val="231F20"/>
        </w:rPr>
        <w:t>July</w:t>
      </w:r>
      <w:r>
        <w:rPr>
          <w:color w:val="231F20"/>
          <w:spacing w:val="-3"/>
        </w:rPr>
        <w:t> </w:t>
      </w:r>
      <w:r>
        <w:rPr>
          <w:color w:val="231F20"/>
          <w:spacing w:val="-1"/>
        </w:rPr>
        <w:t>2018</w:t>
      </w:r>
      <w:r>
        <w:rPr>
          <w:color w:val="231F20"/>
          <w:spacing w:val="-2"/>
        </w:rPr>
        <w:t> </w:t>
      </w:r>
      <w:r>
        <w:rPr>
          <w:color w:val="231F20"/>
        </w:rPr>
        <w:t>and</w:t>
      </w:r>
      <w:r>
        <w:rPr>
          <w:color w:val="231F20"/>
          <w:spacing w:val="-2"/>
        </w:rPr>
        <w:t> </w:t>
      </w:r>
      <w:r>
        <w:rPr>
          <w:color w:val="231F20"/>
          <w:spacing w:val="-1"/>
        </w:rPr>
        <w:t>is</w:t>
      </w:r>
      <w:r>
        <w:rPr>
          <w:color w:val="231F20"/>
          <w:spacing w:val="-3"/>
        </w:rPr>
        <w:t> </w:t>
      </w:r>
      <w:r>
        <w:rPr>
          <w:color w:val="231F20"/>
        </w:rPr>
        <w:t>due</w:t>
      </w:r>
      <w:r>
        <w:rPr>
          <w:color w:val="231F20"/>
          <w:spacing w:val="-3"/>
        </w:rPr>
        <w:t> </w:t>
      </w:r>
      <w:r>
        <w:rPr>
          <w:color w:val="231F20"/>
        </w:rPr>
        <w:t>to</w:t>
      </w:r>
      <w:r>
        <w:rPr>
          <w:color w:val="231F20"/>
          <w:spacing w:val="-2"/>
        </w:rPr>
        <w:t> </w:t>
      </w:r>
      <w:r>
        <w:rPr>
          <w:color w:val="231F20"/>
        </w:rPr>
        <w:t>be</w:t>
      </w:r>
      <w:r>
        <w:rPr>
          <w:color w:val="231F20"/>
          <w:spacing w:val="23"/>
          <w:w w:val="99"/>
        </w:rPr>
        <w:t> </w:t>
      </w:r>
      <w:r>
        <w:rPr>
          <w:color w:val="231F20"/>
        </w:rPr>
        <w:t>completed</w:t>
      </w:r>
      <w:r>
        <w:rPr>
          <w:color w:val="231F20"/>
          <w:spacing w:val="-6"/>
        </w:rPr>
        <w:t> </w:t>
      </w:r>
      <w:r>
        <w:rPr>
          <w:color w:val="231F20"/>
          <w:spacing w:val="-1"/>
        </w:rPr>
        <w:t>in</w:t>
      </w:r>
      <w:r>
        <w:rPr>
          <w:color w:val="231F20"/>
          <w:spacing w:val="-4"/>
        </w:rPr>
        <w:t> </w:t>
      </w:r>
      <w:r>
        <w:rPr>
          <w:color w:val="231F20"/>
        </w:rPr>
        <w:t>March</w:t>
      </w:r>
      <w:r>
        <w:rPr>
          <w:color w:val="231F20"/>
          <w:spacing w:val="-5"/>
        </w:rPr>
        <w:t> </w:t>
      </w:r>
      <w:r>
        <w:rPr>
          <w:color w:val="231F20"/>
          <w:spacing w:val="-1"/>
        </w:rPr>
        <w:t>2019.</w:t>
      </w:r>
      <w:r>
        <w:rPr>
          <w:color w:val="231F20"/>
          <w:spacing w:val="-4"/>
        </w:rPr>
        <w:t> </w:t>
      </w:r>
      <w:r>
        <w:rPr>
          <w:color w:val="231F20"/>
        </w:rPr>
        <w:t>Aboriginal</w:t>
      </w:r>
      <w:r>
        <w:rPr>
          <w:color w:val="231F20"/>
          <w:spacing w:val="-5"/>
        </w:rPr>
        <w:t> </w:t>
      </w:r>
      <w:r>
        <w:rPr>
          <w:color w:val="231F20"/>
        </w:rPr>
        <w:t>and</w:t>
      </w:r>
      <w:r>
        <w:rPr>
          <w:color w:val="231F20"/>
          <w:spacing w:val="-5"/>
        </w:rPr>
        <w:t> Torres</w:t>
      </w:r>
      <w:r>
        <w:rPr>
          <w:color w:val="231F20"/>
          <w:spacing w:val="26"/>
          <w:w w:val="99"/>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people</w:t>
      </w:r>
      <w:r>
        <w:rPr>
          <w:color w:val="231F20"/>
          <w:spacing w:val="-6"/>
        </w:rPr>
        <w:t> </w:t>
      </w:r>
      <w:r>
        <w:rPr>
          <w:color w:val="231F20"/>
        </w:rPr>
        <w:t>have</w:t>
      </w:r>
      <w:r>
        <w:rPr>
          <w:color w:val="231F20"/>
          <w:spacing w:val="-7"/>
        </w:rPr>
        <w:t> </w:t>
      </w:r>
      <w:r>
        <w:rPr>
          <w:color w:val="231F20"/>
        </w:rPr>
        <w:t>reported</w:t>
      </w:r>
      <w:r>
        <w:rPr>
          <w:color w:val="231F20"/>
          <w:spacing w:val="-6"/>
        </w:rPr>
        <w:t> </w:t>
      </w:r>
      <w:r>
        <w:rPr>
          <w:color w:val="231F20"/>
          <w:spacing w:val="-1"/>
        </w:rPr>
        <w:t>lower</w:t>
      </w:r>
      <w:r>
        <w:rPr>
          <w:color w:val="231F20"/>
          <w:spacing w:val="-6"/>
        </w:rPr>
        <w:t> </w:t>
      </w:r>
      <w:r>
        <w:rPr>
          <w:color w:val="231F20"/>
          <w:spacing w:val="-1"/>
        </w:rPr>
        <w:t>life</w:t>
      </w:r>
      <w:r>
        <w:rPr>
          <w:color w:val="231F20"/>
          <w:spacing w:val="27"/>
        </w:rPr>
        <w:t> </w:t>
      </w:r>
      <w:r>
        <w:rPr>
          <w:color w:val="231F20"/>
        </w:rPr>
        <w:t>expectancy</w:t>
      </w:r>
      <w:r>
        <w:rPr>
          <w:color w:val="231F20"/>
          <w:spacing w:val="-8"/>
        </w:rPr>
        <w:t> </w:t>
      </w:r>
      <w:r>
        <w:rPr>
          <w:color w:val="231F20"/>
        </w:rPr>
        <w:t>than</w:t>
      </w:r>
      <w:r>
        <w:rPr>
          <w:color w:val="231F20"/>
          <w:spacing w:val="-8"/>
        </w:rPr>
        <w:t> </w:t>
      </w:r>
      <w:r>
        <w:rPr>
          <w:color w:val="231F20"/>
        </w:rPr>
        <w:t>non</w:t>
      </w:r>
      <w:r>
        <w:rPr>
          <w:color w:val="231F20"/>
          <w:spacing w:val="-8"/>
        </w:rPr>
        <w:t> </w:t>
      </w:r>
      <w:r>
        <w:rPr>
          <w:color w:val="231F20"/>
          <w:spacing w:val="-1"/>
        </w:rPr>
        <w:t>Indigenous</w:t>
      </w:r>
      <w:r>
        <w:rPr>
          <w:color w:val="231F20"/>
          <w:spacing w:val="-8"/>
        </w:rPr>
        <w:t> </w:t>
      </w:r>
      <w:r>
        <w:rPr>
          <w:color w:val="231F20"/>
        </w:rPr>
        <w:t>people</w:t>
      </w:r>
      <w:r>
        <w:rPr>
          <w:color w:val="231F20"/>
          <w:spacing w:val="-8"/>
        </w:rPr>
        <w:t> </w:t>
      </w:r>
      <w:r>
        <w:rPr>
          <w:color w:val="231F20"/>
        </w:rPr>
        <w:t>and</w:t>
      </w:r>
      <w:r>
        <w:rPr>
          <w:color w:val="231F20"/>
          <w:spacing w:val="22"/>
          <w:w w:val="99"/>
        </w:rPr>
        <w:t> </w:t>
      </w:r>
      <w:r>
        <w:rPr>
          <w:color w:val="231F20"/>
        </w:rPr>
        <w:t>higher</w:t>
      </w:r>
      <w:r>
        <w:rPr>
          <w:color w:val="231F20"/>
          <w:spacing w:val="-5"/>
        </w:rPr>
        <w:t> </w:t>
      </w:r>
      <w:r>
        <w:rPr>
          <w:color w:val="231F20"/>
        </w:rPr>
        <w:t>rates</w:t>
      </w:r>
      <w:r>
        <w:rPr>
          <w:color w:val="231F20"/>
          <w:spacing w:val="-5"/>
        </w:rPr>
        <w:t> </w:t>
      </w:r>
      <w:r>
        <w:rPr>
          <w:color w:val="231F20"/>
        </w:rPr>
        <w:t>of</w:t>
      </w:r>
      <w:r>
        <w:rPr>
          <w:color w:val="231F20"/>
          <w:spacing w:val="-3"/>
        </w:rPr>
        <w:t> </w:t>
      </w:r>
      <w:r>
        <w:rPr>
          <w:color w:val="231F20"/>
        </w:rPr>
        <w:t>chronic</w:t>
      </w:r>
      <w:r>
        <w:rPr>
          <w:color w:val="231F20"/>
          <w:spacing w:val="-5"/>
        </w:rPr>
        <w:t> </w:t>
      </w:r>
      <w:r>
        <w:rPr>
          <w:color w:val="231F20"/>
        </w:rPr>
        <w:t>disease</w:t>
      </w:r>
      <w:r>
        <w:rPr>
          <w:color w:val="231F20"/>
          <w:spacing w:val="-4"/>
        </w:rPr>
        <w:t> </w:t>
      </w:r>
      <w:r>
        <w:rPr>
          <w:color w:val="231F20"/>
        </w:rPr>
        <w:t>and</w:t>
      </w:r>
      <w:r>
        <w:rPr>
          <w:color w:val="231F20"/>
          <w:spacing w:val="-5"/>
        </w:rPr>
        <w:t> </w:t>
      </w:r>
      <w:r>
        <w:rPr>
          <w:color w:val="231F20"/>
          <w:spacing w:val="-1"/>
        </w:rPr>
        <w:t>mental</w:t>
      </w:r>
      <w:r>
        <w:rPr>
          <w:color w:val="231F20"/>
          <w:spacing w:val="20"/>
        </w:rPr>
        <w:t> </w:t>
      </w:r>
      <w:r>
        <w:rPr>
          <w:color w:val="231F20"/>
        </w:rPr>
        <w:t>health</w:t>
      </w:r>
      <w:r>
        <w:rPr>
          <w:color w:val="231F20"/>
          <w:spacing w:val="-4"/>
        </w:rPr>
        <w:t> </w:t>
      </w:r>
      <w:r>
        <w:rPr>
          <w:color w:val="231F20"/>
          <w:spacing w:val="-1"/>
        </w:rPr>
        <w:t>issues.</w:t>
      </w:r>
      <w:r>
        <w:rPr>
          <w:color w:val="231F20"/>
          <w:spacing w:val="-3"/>
        </w:rPr>
        <w:t> </w:t>
      </w:r>
      <w:r>
        <w:rPr>
          <w:color w:val="231F20"/>
          <w:spacing w:val="-1"/>
        </w:rPr>
        <w:t>In</w:t>
      </w:r>
      <w:r>
        <w:rPr>
          <w:color w:val="231F20"/>
          <w:spacing w:val="-3"/>
        </w:rPr>
        <w:t> </w:t>
      </w:r>
      <w:r>
        <w:rPr>
          <w:color w:val="231F20"/>
          <w:spacing w:val="-1"/>
        </w:rPr>
        <w:t>2012–13,</w:t>
      </w:r>
      <w:r>
        <w:rPr>
          <w:color w:val="231F20"/>
          <w:spacing w:val="-2"/>
        </w:rPr>
        <w:t> </w:t>
      </w:r>
      <w:r>
        <w:rPr>
          <w:color w:val="231F20"/>
        </w:rPr>
        <w:t>the</w:t>
      </w:r>
      <w:r>
        <w:rPr>
          <w:color w:val="231F20"/>
          <w:spacing w:val="-4"/>
        </w:rPr>
        <w:t> </w:t>
      </w:r>
      <w:r>
        <w:rPr>
          <w:color w:val="231F20"/>
        </w:rPr>
        <w:t>ABS</w:t>
      </w:r>
      <w:r>
        <w:rPr>
          <w:color w:val="231F20"/>
          <w:spacing w:val="-4"/>
        </w:rPr>
        <w:t> </w:t>
      </w:r>
      <w:r>
        <w:rPr>
          <w:color w:val="231F20"/>
        </w:rPr>
        <w:t>reported</w:t>
      </w:r>
      <w:r>
        <w:rPr/>
      </w:r>
    </w:p>
    <w:p>
      <w:pPr>
        <w:pStyle w:val="BodyText"/>
        <w:spacing w:line="250" w:lineRule="exact"/>
        <w:ind w:right="83"/>
        <w:jc w:val="left"/>
      </w:pPr>
      <w:r>
        <w:rPr>
          <w:color w:val="231F20"/>
        </w:rPr>
        <w:t>that</w:t>
      </w:r>
      <w:r>
        <w:rPr>
          <w:color w:val="231F20"/>
          <w:spacing w:val="-5"/>
        </w:rPr>
        <w:t> </w:t>
      </w:r>
      <w:r>
        <w:rPr>
          <w:color w:val="231F20"/>
          <w:spacing w:val="-1"/>
        </w:rPr>
        <w:t>39</w:t>
      </w:r>
      <w:r>
        <w:rPr>
          <w:color w:val="231F20"/>
          <w:spacing w:val="-3"/>
        </w:rPr>
        <w:t> </w:t>
      </w:r>
      <w:r>
        <w:rPr>
          <w:color w:val="231F20"/>
        </w:rPr>
        <w:t>per</w:t>
      </w:r>
      <w:r>
        <w:rPr>
          <w:color w:val="231F20"/>
          <w:spacing w:val="-4"/>
        </w:rPr>
        <w:t> </w:t>
      </w:r>
      <w:r>
        <w:rPr>
          <w:color w:val="231F20"/>
        </w:rPr>
        <w:t>cent</w:t>
      </w:r>
      <w:r>
        <w:rPr>
          <w:color w:val="231F20"/>
          <w:spacing w:val="-4"/>
        </w:rPr>
        <w:t> </w:t>
      </w:r>
      <w:r>
        <w:rPr>
          <w:color w:val="231F20"/>
        </w:rPr>
        <w:t>of</w:t>
      </w:r>
      <w:r>
        <w:rPr>
          <w:color w:val="231F20"/>
          <w:spacing w:val="-4"/>
        </w:rPr>
        <w:t> </w:t>
      </w:r>
      <w:r>
        <w:rPr>
          <w:color w:val="231F20"/>
        </w:rPr>
        <w:t>Aboriginal</w:t>
      </w:r>
      <w:r>
        <w:rPr>
          <w:color w:val="231F20"/>
          <w:spacing w:val="-3"/>
        </w:rPr>
        <w:t> </w:t>
      </w:r>
      <w:r>
        <w:rPr>
          <w:color w:val="231F20"/>
        </w:rPr>
        <w:t>and</w:t>
      </w:r>
      <w:r>
        <w:rPr>
          <w:color w:val="231F20"/>
          <w:spacing w:val="-5"/>
        </w:rPr>
        <w:t> Torres</w:t>
      </w:r>
      <w:r>
        <w:rPr>
          <w:color w:val="231F20"/>
          <w:spacing w:val="-3"/>
        </w:rPr>
        <w:t> </w:t>
      </w:r>
      <w:r>
        <w:rPr>
          <w:color w:val="231F20"/>
          <w:spacing w:val="-2"/>
        </w:rPr>
        <w:t>Strait</w:t>
      </w:r>
      <w:r>
        <w:rPr>
          <w:color w:val="231F20"/>
          <w:spacing w:val="29"/>
          <w:w w:val="99"/>
        </w:rPr>
        <w:t> </w:t>
      </w:r>
      <w:r>
        <w:rPr>
          <w:color w:val="231F20"/>
          <w:spacing w:val="-1"/>
        </w:rPr>
        <w:t>Islander</w:t>
      </w:r>
      <w:r>
        <w:rPr>
          <w:color w:val="231F20"/>
          <w:spacing w:val="-5"/>
        </w:rPr>
        <w:t> </w:t>
      </w:r>
      <w:r>
        <w:rPr>
          <w:color w:val="231F20"/>
        </w:rPr>
        <w:t>people</w:t>
      </w:r>
      <w:r>
        <w:rPr>
          <w:color w:val="231F20"/>
          <w:spacing w:val="-6"/>
        </w:rPr>
        <w:t> </w:t>
      </w:r>
      <w:r>
        <w:rPr>
          <w:color w:val="231F20"/>
        </w:rPr>
        <w:t>aged</w:t>
      </w:r>
      <w:r>
        <w:rPr>
          <w:color w:val="231F20"/>
          <w:spacing w:val="-6"/>
        </w:rPr>
        <w:t> </w:t>
      </w:r>
      <w:r>
        <w:rPr>
          <w:color w:val="231F20"/>
          <w:spacing w:val="-1"/>
        </w:rPr>
        <w:t>15</w:t>
      </w:r>
      <w:r>
        <w:rPr>
          <w:color w:val="231F20"/>
          <w:spacing w:val="-5"/>
        </w:rPr>
        <w:t> </w:t>
      </w:r>
      <w:r>
        <w:rPr>
          <w:color w:val="231F20"/>
        </w:rPr>
        <w:t>years</w:t>
      </w:r>
      <w:r>
        <w:rPr>
          <w:color w:val="231F20"/>
          <w:spacing w:val="-6"/>
        </w:rPr>
        <w:t> </w:t>
      </w:r>
      <w:r>
        <w:rPr>
          <w:color w:val="231F20"/>
        </w:rPr>
        <w:t>and</w:t>
      </w:r>
      <w:r>
        <w:rPr>
          <w:color w:val="231F20"/>
          <w:spacing w:val="-5"/>
        </w:rPr>
        <w:t> </w:t>
      </w:r>
      <w:r>
        <w:rPr>
          <w:color w:val="231F20"/>
        </w:rPr>
        <w:t>over</w:t>
      </w:r>
      <w:r>
        <w:rPr>
          <w:color w:val="231F20"/>
          <w:spacing w:val="-5"/>
        </w:rPr>
        <w:t> </w:t>
      </w:r>
      <w:r>
        <w:rPr>
          <w:color w:val="231F20"/>
        </w:rPr>
        <w:t>rated</w:t>
      </w:r>
      <w:r>
        <w:rPr>
          <w:color w:val="231F20"/>
          <w:spacing w:val="23"/>
          <w:w w:val="99"/>
        </w:rPr>
        <w:t> </w:t>
      </w:r>
      <w:r>
        <w:rPr>
          <w:color w:val="231F20"/>
        </w:rPr>
        <w:t>their</w:t>
      </w:r>
      <w:r>
        <w:rPr>
          <w:color w:val="231F20"/>
          <w:spacing w:val="-6"/>
        </w:rPr>
        <w:t> </w:t>
      </w:r>
      <w:r>
        <w:rPr>
          <w:color w:val="231F20"/>
        </w:rPr>
        <w:t>health</w:t>
      </w:r>
      <w:r>
        <w:rPr>
          <w:color w:val="231F20"/>
          <w:spacing w:val="-5"/>
        </w:rPr>
        <w:t> </w:t>
      </w:r>
      <w:r>
        <w:rPr>
          <w:color w:val="231F20"/>
        </w:rPr>
        <w:t>as</w:t>
      </w:r>
      <w:r>
        <w:rPr>
          <w:color w:val="231F20"/>
          <w:spacing w:val="-6"/>
        </w:rPr>
        <w:t> </w:t>
      </w:r>
      <w:r>
        <w:rPr>
          <w:color w:val="231F20"/>
        </w:rPr>
        <w:t>excellent</w:t>
      </w:r>
      <w:r>
        <w:rPr>
          <w:color w:val="231F20"/>
          <w:spacing w:val="-5"/>
        </w:rPr>
        <w:t> </w:t>
      </w:r>
      <w:r>
        <w:rPr>
          <w:color w:val="231F20"/>
        </w:rPr>
        <w:t>or</w:t>
      </w:r>
      <w:r>
        <w:rPr>
          <w:color w:val="231F20"/>
          <w:spacing w:val="-5"/>
        </w:rPr>
        <w:t> </w:t>
      </w:r>
      <w:r>
        <w:rPr>
          <w:color w:val="231F20"/>
        </w:rPr>
        <w:t>very</w:t>
      </w:r>
      <w:r>
        <w:rPr>
          <w:color w:val="231F20"/>
          <w:spacing w:val="-4"/>
        </w:rPr>
        <w:t> </w:t>
      </w:r>
      <w:r>
        <w:rPr>
          <w:color w:val="231F20"/>
        </w:rPr>
        <w:t>good,</w:t>
      </w:r>
      <w:r>
        <w:rPr>
          <w:color w:val="231F20"/>
          <w:spacing w:val="-6"/>
        </w:rPr>
        <w:t> </w:t>
      </w:r>
      <w:r>
        <w:rPr>
          <w:color w:val="231F20"/>
        </w:rPr>
        <w:t>half</w:t>
      </w:r>
      <w:r>
        <w:rPr/>
      </w:r>
    </w:p>
    <w:p>
      <w:pPr>
        <w:pStyle w:val="BodyText"/>
        <w:spacing w:line="250" w:lineRule="exact"/>
        <w:ind w:right="83"/>
        <w:jc w:val="left"/>
      </w:pPr>
      <w:r>
        <w:rPr>
          <w:color w:val="231F20"/>
        </w:rPr>
        <w:t>as</w:t>
      </w:r>
      <w:r>
        <w:rPr>
          <w:color w:val="231F20"/>
          <w:spacing w:val="-6"/>
        </w:rPr>
        <w:t> </w:t>
      </w:r>
      <w:r>
        <w:rPr>
          <w:color w:val="231F20"/>
          <w:spacing w:val="-1"/>
        </w:rPr>
        <w:t>likely</w:t>
      </w:r>
      <w:r>
        <w:rPr>
          <w:color w:val="231F20"/>
          <w:spacing w:val="-4"/>
        </w:rPr>
        <w:t> </w:t>
      </w:r>
      <w:r>
        <w:rPr>
          <w:color w:val="231F20"/>
        </w:rPr>
        <w:t>as</w:t>
      </w:r>
      <w:r>
        <w:rPr>
          <w:color w:val="231F20"/>
          <w:spacing w:val="-6"/>
        </w:rPr>
        <w:t> </w:t>
      </w:r>
      <w:r>
        <w:rPr>
          <w:color w:val="231F20"/>
        </w:rPr>
        <w:t>non-Indigenous</w:t>
      </w:r>
      <w:r>
        <w:rPr>
          <w:color w:val="231F20"/>
          <w:spacing w:val="-5"/>
        </w:rPr>
        <w:t> </w:t>
      </w:r>
      <w:r>
        <w:rPr>
          <w:color w:val="231F20"/>
        </w:rPr>
        <w:t>people</w:t>
      </w:r>
      <w:r>
        <w:rPr>
          <w:color w:val="231F20"/>
          <w:spacing w:val="-5"/>
        </w:rPr>
        <w:t> </w:t>
      </w:r>
      <w:r>
        <w:rPr>
          <w:color w:val="231F20"/>
        </w:rPr>
        <w:t>to</w:t>
      </w:r>
      <w:r>
        <w:rPr>
          <w:color w:val="231F20"/>
          <w:spacing w:val="-5"/>
        </w:rPr>
        <w:t> </w:t>
      </w:r>
      <w:r>
        <w:rPr>
          <w:color w:val="231F20"/>
        </w:rPr>
        <w:t>have</w:t>
      </w:r>
      <w:r>
        <w:rPr>
          <w:color w:val="231F20"/>
          <w:spacing w:val="21"/>
          <w:w w:val="99"/>
        </w:rPr>
        <w:t> </w:t>
      </w:r>
      <w:r>
        <w:rPr>
          <w:color w:val="231F20"/>
        </w:rPr>
        <w:t>reported</w:t>
      </w:r>
      <w:r>
        <w:rPr>
          <w:color w:val="231F20"/>
          <w:spacing w:val="-7"/>
        </w:rPr>
        <w:t> </w:t>
      </w:r>
      <w:r>
        <w:rPr>
          <w:color w:val="231F20"/>
        </w:rPr>
        <w:t>excellent</w:t>
      </w:r>
      <w:r>
        <w:rPr>
          <w:color w:val="231F20"/>
          <w:spacing w:val="-7"/>
        </w:rPr>
        <w:t> </w:t>
      </w:r>
      <w:r>
        <w:rPr>
          <w:color w:val="231F20"/>
        </w:rPr>
        <w:t>or</w:t>
      </w:r>
      <w:r>
        <w:rPr>
          <w:color w:val="231F20"/>
          <w:spacing w:val="-7"/>
        </w:rPr>
        <w:t> </w:t>
      </w:r>
      <w:r>
        <w:rPr>
          <w:color w:val="231F20"/>
        </w:rPr>
        <w:t>very</w:t>
      </w:r>
      <w:r>
        <w:rPr>
          <w:color w:val="231F20"/>
          <w:spacing w:val="-6"/>
        </w:rPr>
        <w:t> </w:t>
      </w:r>
      <w:r>
        <w:rPr>
          <w:color w:val="231F20"/>
        </w:rPr>
        <w:t>good</w:t>
      </w:r>
      <w:r>
        <w:rPr>
          <w:color w:val="231F20"/>
          <w:spacing w:val="-7"/>
        </w:rPr>
        <w:t> </w:t>
      </w:r>
      <w:r>
        <w:rPr>
          <w:color w:val="231F20"/>
        </w:rPr>
        <w:t>health,</w:t>
      </w:r>
      <w:r>
        <w:rPr>
          <w:color w:val="231F20"/>
          <w:spacing w:val="-7"/>
        </w:rPr>
        <w:t> </w:t>
      </w:r>
      <w:r>
        <w:rPr>
          <w:color w:val="231F20"/>
        </w:rPr>
        <w:t>while</w:t>
      </w:r>
      <w:r>
        <w:rPr/>
      </w:r>
    </w:p>
    <w:p>
      <w:pPr>
        <w:pStyle w:val="BodyText"/>
        <w:spacing w:line="250" w:lineRule="exact"/>
        <w:ind w:right="83"/>
        <w:jc w:val="left"/>
        <w:rPr>
          <w:rFonts w:ascii="Segoe UI Semibold" w:hAnsi="Segoe UI Semibold" w:cs="Segoe UI Semibold" w:eastAsia="Segoe UI Semibold"/>
          <w:sz w:val="11"/>
          <w:szCs w:val="11"/>
        </w:rPr>
      </w:pPr>
      <w:r>
        <w:rPr>
          <w:color w:val="231F20"/>
          <w:spacing w:val="-1"/>
        </w:rPr>
        <w:t>6.9</w:t>
      </w:r>
      <w:r>
        <w:rPr>
          <w:color w:val="231F20"/>
          <w:spacing w:val="-4"/>
        </w:rPr>
        <w:t> </w:t>
      </w:r>
      <w:r>
        <w:rPr>
          <w:color w:val="231F20"/>
        </w:rPr>
        <w:t>per</w:t>
      </w:r>
      <w:r>
        <w:rPr>
          <w:color w:val="231F20"/>
          <w:spacing w:val="-4"/>
        </w:rPr>
        <w:t> </w:t>
      </w:r>
      <w:r>
        <w:rPr>
          <w:color w:val="231F20"/>
        </w:rPr>
        <w:t>cent</w:t>
      </w:r>
      <w:r>
        <w:rPr>
          <w:color w:val="231F20"/>
          <w:spacing w:val="-5"/>
        </w:rPr>
        <w:t> </w:t>
      </w:r>
      <w:r>
        <w:rPr>
          <w:color w:val="231F20"/>
        </w:rPr>
        <w:t>of</w:t>
      </w:r>
      <w:r>
        <w:rPr>
          <w:color w:val="231F20"/>
          <w:spacing w:val="-4"/>
        </w:rPr>
        <w:t> </w:t>
      </w:r>
      <w:r>
        <w:rPr>
          <w:color w:val="231F20"/>
        </w:rPr>
        <w:t>Aboriginal</w:t>
      </w:r>
      <w:r>
        <w:rPr>
          <w:color w:val="231F20"/>
          <w:spacing w:val="-4"/>
        </w:rPr>
        <w:t> </w:t>
      </w:r>
      <w:r>
        <w:rPr>
          <w:color w:val="231F20"/>
        </w:rPr>
        <w:t>and</w:t>
      </w:r>
      <w:r>
        <w:rPr>
          <w:color w:val="231F20"/>
          <w:spacing w:val="-4"/>
        </w:rPr>
        <w:t> </w:t>
      </w:r>
      <w:r>
        <w:rPr>
          <w:color w:val="231F20"/>
          <w:spacing w:val="-5"/>
        </w:rPr>
        <w:t>Torres</w:t>
      </w:r>
      <w:r>
        <w:rPr>
          <w:color w:val="231F20"/>
          <w:spacing w:val="-4"/>
        </w:rPr>
        <w:t> </w:t>
      </w:r>
      <w:r>
        <w:rPr>
          <w:color w:val="231F20"/>
          <w:spacing w:val="-2"/>
        </w:rPr>
        <w:t>Strait</w:t>
      </w:r>
      <w:r>
        <w:rPr>
          <w:color w:val="231F20"/>
          <w:spacing w:val="21"/>
          <w:w w:val="99"/>
        </w:rPr>
        <w:t> </w:t>
      </w:r>
      <w:r>
        <w:rPr>
          <w:color w:val="231F20"/>
          <w:spacing w:val="-1"/>
        </w:rPr>
        <w:t>Islander</w:t>
      </w:r>
      <w:r>
        <w:rPr>
          <w:color w:val="231F20"/>
          <w:spacing w:val="-5"/>
        </w:rPr>
        <w:t> </w:t>
      </w:r>
      <w:r>
        <w:rPr>
          <w:color w:val="231F20"/>
        </w:rPr>
        <w:t>people</w:t>
      </w:r>
      <w:r>
        <w:rPr>
          <w:color w:val="231F20"/>
          <w:spacing w:val="-5"/>
        </w:rPr>
        <w:t> </w:t>
      </w:r>
      <w:r>
        <w:rPr>
          <w:color w:val="231F20"/>
        </w:rPr>
        <w:t>rated</w:t>
      </w:r>
      <w:r>
        <w:rPr>
          <w:color w:val="231F20"/>
          <w:spacing w:val="-5"/>
        </w:rPr>
        <w:t> </w:t>
      </w:r>
      <w:r>
        <w:rPr>
          <w:color w:val="231F20"/>
        </w:rPr>
        <w:t>their</w:t>
      </w:r>
      <w:r>
        <w:rPr>
          <w:color w:val="231F20"/>
          <w:spacing w:val="-5"/>
        </w:rPr>
        <w:t> </w:t>
      </w:r>
      <w:r>
        <w:rPr>
          <w:color w:val="231F20"/>
        </w:rPr>
        <w:t>health</w:t>
      </w:r>
      <w:r>
        <w:rPr>
          <w:color w:val="231F20"/>
          <w:spacing w:val="-5"/>
        </w:rPr>
        <w:t> </w:t>
      </w:r>
      <w:r>
        <w:rPr>
          <w:color w:val="231F20"/>
        </w:rPr>
        <w:t>as</w:t>
      </w:r>
      <w:r>
        <w:rPr>
          <w:color w:val="231F20"/>
          <w:spacing w:val="-5"/>
        </w:rPr>
        <w:t> </w:t>
      </w:r>
      <w:r>
        <w:rPr>
          <w:color w:val="231F20"/>
          <w:spacing w:val="-1"/>
        </w:rPr>
        <w:t>poor.</w:t>
      </w:r>
      <w:r>
        <w:rPr>
          <w:rFonts w:ascii="Segoe UI Semibold"/>
          <w:b/>
          <w:color w:val="231F20"/>
          <w:spacing w:val="-1"/>
          <w:position w:val="7"/>
          <w:sz w:val="11"/>
        </w:rPr>
        <w:t>72</w:t>
      </w:r>
      <w:r>
        <w:rPr>
          <w:rFonts w:ascii="Segoe UI Semibold"/>
          <w:sz w:val="11"/>
        </w:rPr>
      </w:r>
    </w:p>
    <w:p>
      <w:pPr>
        <w:pStyle w:val="BodyText"/>
        <w:spacing w:line="250" w:lineRule="exact" w:before="113"/>
        <w:ind w:right="83"/>
        <w:jc w:val="left"/>
      </w:pP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rFonts w:ascii="Segoe UI"/>
          <w:color w:val="231F20"/>
        </w:rPr>
        <w:t>providers indicated that the financial and</w:t>
      </w:r>
      <w:r>
        <w:rPr>
          <w:rFonts w:ascii="Segoe UI"/>
          <w:color w:val="231F20"/>
        </w:rPr>
        <w:t> </w:t>
      </w:r>
      <w:r>
        <w:rPr>
          <w:color w:val="231F20"/>
        </w:rPr>
        <w:t>human</w:t>
      </w:r>
      <w:r>
        <w:rPr>
          <w:color w:val="231F20"/>
          <w:spacing w:val="-7"/>
        </w:rPr>
        <w:t> </w:t>
      </w:r>
      <w:r>
        <w:rPr>
          <w:color w:val="231F20"/>
        </w:rPr>
        <w:t>capital</w:t>
      </w:r>
      <w:r>
        <w:rPr>
          <w:color w:val="231F20"/>
          <w:spacing w:val="-7"/>
        </w:rPr>
        <w:t> </w:t>
      </w:r>
      <w:r>
        <w:rPr>
          <w:color w:val="231F20"/>
          <w:spacing w:val="-1"/>
        </w:rPr>
        <w:t>investment</w:t>
      </w:r>
      <w:r>
        <w:rPr>
          <w:color w:val="231F20"/>
          <w:spacing w:val="-5"/>
        </w:rPr>
        <w:t> </w:t>
      </w:r>
      <w:r>
        <w:rPr>
          <w:color w:val="231F20"/>
        </w:rPr>
        <w:t>by</w:t>
      </w:r>
      <w:r>
        <w:rPr>
          <w:color w:val="231F20"/>
          <w:spacing w:val="-6"/>
        </w:rPr>
        <w:t> </w:t>
      </w:r>
      <w:r>
        <w:rPr>
          <w:color w:val="231F20"/>
        </w:rPr>
        <w:t>government</w:t>
      </w:r>
      <w:r>
        <w:rPr>
          <w:color w:val="231F20"/>
          <w:spacing w:val="-7"/>
        </w:rPr>
        <w:t> </w:t>
      </w:r>
      <w:r>
        <w:rPr>
          <w:color w:val="231F20"/>
        </w:rPr>
        <w:t>and</w:t>
      </w:r>
      <w:r>
        <w:rPr>
          <w:color w:val="231F20"/>
          <w:spacing w:val="22"/>
          <w:w w:val="99"/>
        </w:rPr>
        <w:t> </w:t>
      </w:r>
      <w:r>
        <w:rPr>
          <w:color w:val="231F20"/>
        </w:rPr>
        <w:t>providers</w:t>
      </w:r>
      <w:r>
        <w:rPr>
          <w:color w:val="231F20"/>
          <w:spacing w:val="-6"/>
        </w:rPr>
        <w:t> </w:t>
      </w:r>
      <w:r>
        <w:rPr>
          <w:color w:val="231F20"/>
          <w:spacing w:val="-1"/>
        </w:rPr>
        <w:t>in</w:t>
      </w:r>
      <w:r>
        <w:rPr>
          <w:color w:val="231F20"/>
          <w:spacing w:val="-5"/>
        </w:rPr>
        <w:t> </w:t>
      </w:r>
      <w:r>
        <w:rPr>
          <w:color w:val="231F20"/>
        </w:rPr>
        <w:t>addressing</w:t>
      </w:r>
      <w:r>
        <w:rPr>
          <w:color w:val="231F20"/>
          <w:spacing w:val="-5"/>
        </w:rPr>
        <w:t> </w:t>
      </w:r>
      <w:r>
        <w:rPr>
          <w:color w:val="231F20"/>
        </w:rPr>
        <w:t>the</w:t>
      </w:r>
      <w:r>
        <w:rPr>
          <w:color w:val="231F20"/>
          <w:spacing w:val="-6"/>
        </w:rPr>
        <w:t> </w:t>
      </w:r>
      <w:r>
        <w:rPr>
          <w:color w:val="231F20"/>
        </w:rPr>
        <w:t>health</w:t>
      </w:r>
      <w:r>
        <w:rPr>
          <w:color w:val="231F20"/>
          <w:spacing w:val="-6"/>
        </w:rPr>
        <w:t> </w:t>
      </w:r>
      <w:r>
        <w:rPr>
          <w:color w:val="231F20"/>
          <w:spacing w:val="-1"/>
        </w:rPr>
        <w:t>issues</w:t>
      </w:r>
      <w:r>
        <w:rPr>
          <w:color w:val="231F20"/>
          <w:spacing w:val="-4"/>
        </w:rPr>
        <w:t> </w:t>
      </w:r>
      <w:r>
        <w:rPr>
          <w:color w:val="231F20"/>
        </w:rPr>
        <w:t>of</w:t>
      </w:r>
      <w:r>
        <w:rPr>
          <w:color w:val="231F20"/>
          <w:spacing w:val="23"/>
          <w:w w:val="99"/>
        </w:rPr>
        <w:t> </w:t>
      </w:r>
      <w:r>
        <w:rPr>
          <w:rFonts w:ascii="Segoe UI"/>
          <w:color w:val="231F20"/>
        </w:rPr>
        <w:t>boarders is significant. The investment is most</w:t>
      </w:r>
      <w:r>
        <w:rPr>
          <w:rFonts w:ascii="Segoe UI"/>
          <w:color w:val="231F20"/>
        </w:rPr>
        <w:t> pronounced when a boarder first commences </w:t>
      </w:r>
      <w:r>
        <w:rPr>
          <w:color w:val="231F20"/>
        </w:rPr>
        <w:t>boarding</w:t>
      </w:r>
      <w:r>
        <w:rPr>
          <w:color w:val="231F20"/>
          <w:spacing w:val="-7"/>
        </w:rPr>
        <w:t> </w:t>
      </w:r>
      <w:r>
        <w:rPr>
          <w:color w:val="231F20"/>
        </w:rPr>
        <w:t>and</w:t>
      </w:r>
      <w:r>
        <w:rPr>
          <w:color w:val="231F20"/>
          <w:spacing w:val="-7"/>
        </w:rPr>
        <w:t> </w:t>
      </w:r>
      <w:r>
        <w:rPr>
          <w:color w:val="231F20"/>
        </w:rPr>
        <w:t>when</w:t>
      </w:r>
      <w:r>
        <w:rPr>
          <w:color w:val="231F20"/>
          <w:spacing w:val="-6"/>
        </w:rPr>
        <w:t> </w:t>
      </w:r>
      <w:r>
        <w:rPr>
          <w:color w:val="231F20"/>
        </w:rPr>
        <w:t>boarders</w:t>
      </w:r>
      <w:r>
        <w:rPr>
          <w:color w:val="231F20"/>
          <w:spacing w:val="-7"/>
        </w:rPr>
        <w:t> </w:t>
      </w:r>
      <w:r>
        <w:rPr>
          <w:color w:val="231F20"/>
        </w:rPr>
        <w:t>return</w:t>
      </w:r>
      <w:r>
        <w:rPr>
          <w:color w:val="231F20"/>
          <w:spacing w:val="-7"/>
        </w:rPr>
        <w:t> </w:t>
      </w:r>
      <w:r>
        <w:rPr>
          <w:color w:val="231F20"/>
        </w:rPr>
        <w:t>at</w:t>
      </w:r>
      <w:r>
        <w:rPr>
          <w:color w:val="231F20"/>
          <w:spacing w:val="-5"/>
        </w:rPr>
        <w:t> </w:t>
      </w:r>
      <w:r>
        <w:rPr>
          <w:color w:val="231F20"/>
        </w:rPr>
        <w:t>the</w:t>
      </w:r>
      <w:r>
        <w:rPr>
          <w:color w:val="231F20"/>
          <w:w w:val="99"/>
        </w:rPr>
        <w:t> </w:t>
      </w:r>
      <w:r>
        <w:rPr>
          <w:color w:val="231F20"/>
        </w:rPr>
        <w:t>beginning</w:t>
      </w:r>
      <w:r>
        <w:rPr>
          <w:color w:val="231F20"/>
          <w:spacing w:val="-8"/>
        </w:rPr>
        <w:t> </w:t>
      </w:r>
      <w:r>
        <w:rPr>
          <w:color w:val="231F20"/>
        </w:rPr>
        <w:t>of</w:t>
      </w:r>
      <w:r>
        <w:rPr>
          <w:color w:val="231F20"/>
          <w:spacing w:val="-6"/>
        </w:rPr>
        <w:t> </w:t>
      </w:r>
      <w:r>
        <w:rPr>
          <w:color w:val="231F20"/>
        </w:rPr>
        <w:t>each</w:t>
      </w:r>
      <w:r>
        <w:rPr>
          <w:color w:val="231F20"/>
          <w:spacing w:val="-7"/>
        </w:rPr>
        <w:t> </w:t>
      </w:r>
      <w:r>
        <w:rPr>
          <w:color w:val="231F20"/>
        </w:rPr>
        <w:t>term.</w:t>
      </w:r>
      <w:r>
        <w:rPr/>
      </w:r>
    </w:p>
    <w:p>
      <w:pPr>
        <w:pStyle w:val="BodyText"/>
        <w:spacing w:line="250" w:lineRule="exact" w:before="113"/>
        <w:ind w:right="354"/>
        <w:jc w:val="left"/>
      </w:pPr>
      <w:r>
        <w:rPr>
          <w:color w:val="231F20"/>
        </w:rPr>
        <w:t>The</w:t>
      </w:r>
      <w:r>
        <w:rPr>
          <w:color w:val="231F20"/>
          <w:spacing w:val="-3"/>
        </w:rPr>
        <w:t> </w:t>
      </w:r>
      <w:r>
        <w:rPr>
          <w:color w:val="231F20"/>
          <w:spacing w:val="-1"/>
        </w:rPr>
        <w:t>investment</w:t>
      </w:r>
      <w:r>
        <w:rPr>
          <w:color w:val="231F20"/>
          <w:spacing w:val="-2"/>
        </w:rPr>
        <w:t> </w:t>
      </w:r>
      <w:r>
        <w:rPr>
          <w:color w:val="231F20"/>
          <w:spacing w:val="-1"/>
        </w:rPr>
        <w:t>in</w:t>
      </w:r>
      <w:r>
        <w:rPr>
          <w:color w:val="231F20"/>
          <w:spacing w:val="-2"/>
        </w:rPr>
        <w:t> </w:t>
      </w:r>
      <w:r>
        <w:rPr>
          <w:color w:val="231F20"/>
        </w:rPr>
        <w:t>health</w:t>
      </w:r>
      <w:r>
        <w:rPr>
          <w:color w:val="231F20"/>
          <w:spacing w:val="-4"/>
        </w:rPr>
        <w:t> </w:t>
      </w:r>
      <w:r>
        <w:rPr>
          <w:color w:val="231F20"/>
          <w:spacing w:val="-1"/>
        </w:rPr>
        <w:t>services</w:t>
      </w:r>
      <w:r>
        <w:rPr>
          <w:color w:val="231F20"/>
          <w:spacing w:val="-2"/>
        </w:rPr>
        <w:t> </w:t>
      </w:r>
      <w:r>
        <w:rPr>
          <w:color w:val="231F20"/>
          <w:spacing w:val="-1"/>
        </w:rPr>
        <w:t>is</w:t>
      </w:r>
      <w:r>
        <w:rPr>
          <w:color w:val="231F20"/>
          <w:spacing w:val="-3"/>
        </w:rPr>
        <w:t> </w:t>
      </w:r>
      <w:r>
        <w:rPr>
          <w:color w:val="231F20"/>
          <w:spacing w:val="-1"/>
        </w:rPr>
        <w:t>made</w:t>
      </w:r>
      <w:r>
        <w:rPr>
          <w:color w:val="231F20"/>
          <w:spacing w:val="-1"/>
          <w:w w:val="99"/>
        </w:rPr>
        <w:t> </w:t>
      </w:r>
      <w:r>
        <w:rPr>
          <w:color w:val="231F20"/>
          <w:spacing w:val="24"/>
          <w:w w:val="99"/>
        </w:rPr>
        <w:t> </w:t>
      </w:r>
      <w:r>
        <w:rPr>
          <w:color w:val="231F20"/>
        </w:rPr>
        <w:t>by</w:t>
      </w:r>
      <w:r>
        <w:rPr>
          <w:color w:val="231F20"/>
          <w:spacing w:val="-9"/>
        </w:rPr>
        <w:t> </w:t>
      </w:r>
      <w:r>
        <w:rPr>
          <w:color w:val="231F20"/>
        </w:rPr>
        <w:t>boarding</w:t>
      </w:r>
      <w:r>
        <w:rPr>
          <w:color w:val="231F20"/>
          <w:spacing w:val="-10"/>
        </w:rPr>
        <w:t> </w:t>
      </w:r>
      <w:r>
        <w:rPr>
          <w:color w:val="231F20"/>
        </w:rPr>
        <w:t>providers,</w:t>
      </w:r>
      <w:r>
        <w:rPr>
          <w:color w:val="231F20"/>
          <w:spacing w:val="-9"/>
        </w:rPr>
        <w:t> </w:t>
      </w:r>
      <w:r>
        <w:rPr>
          <w:color w:val="231F20"/>
        </w:rPr>
        <w:t>transition</w:t>
      </w:r>
      <w:r>
        <w:rPr>
          <w:color w:val="231F20"/>
          <w:spacing w:val="-10"/>
        </w:rPr>
        <w:t> </w:t>
      </w:r>
      <w:r>
        <w:rPr>
          <w:color w:val="231F20"/>
          <w:spacing w:val="-1"/>
        </w:rPr>
        <w:t>support</w:t>
      </w:r>
      <w:r>
        <w:rPr>
          <w:color w:val="231F20"/>
          <w:spacing w:val="20"/>
          <w:w w:val="99"/>
        </w:rPr>
        <w:t> </w:t>
      </w:r>
      <w:r>
        <w:rPr>
          <w:color w:val="231F20"/>
          <w:spacing w:val="-1"/>
        </w:rPr>
        <w:t>services,</w:t>
      </w:r>
      <w:r>
        <w:rPr>
          <w:color w:val="231F20"/>
          <w:spacing w:val="-5"/>
        </w:rPr>
        <w:t> </w:t>
      </w:r>
      <w:r>
        <w:rPr>
          <w:color w:val="231F20"/>
        </w:rPr>
        <w:t>public</w:t>
      </w:r>
      <w:r>
        <w:rPr>
          <w:color w:val="231F20"/>
          <w:spacing w:val="-7"/>
        </w:rPr>
        <w:t> </w:t>
      </w:r>
      <w:r>
        <w:rPr>
          <w:color w:val="231F20"/>
        </w:rPr>
        <w:t>and</w:t>
      </w:r>
      <w:r>
        <w:rPr>
          <w:color w:val="231F20"/>
          <w:spacing w:val="-7"/>
        </w:rPr>
        <w:t> </w:t>
      </w:r>
      <w:r>
        <w:rPr>
          <w:color w:val="231F20"/>
        </w:rPr>
        <w:t>private</w:t>
      </w:r>
      <w:r>
        <w:rPr>
          <w:color w:val="231F20"/>
          <w:spacing w:val="-6"/>
        </w:rPr>
        <w:t> </w:t>
      </w:r>
      <w:r>
        <w:rPr>
          <w:color w:val="231F20"/>
        </w:rPr>
        <w:t>health</w:t>
      </w:r>
      <w:r>
        <w:rPr>
          <w:color w:val="231F20"/>
          <w:spacing w:val="-7"/>
        </w:rPr>
        <w:t> </w:t>
      </w:r>
      <w:r>
        <w:rPr>
          <w:color w:val="231F20"/>
        </w:rPr>
        <w:t>providers</w:t>
      </w:r>
      <w:r>
        <w:rPr>
          <w:color w:val="231F20"/>
          <w:spacing w:val="22"/>
          <w:w w:val="99"/>
        </w:rPr>
        <w:t> </w:t>
      </w:r>
      <w:r>
        <w:rPr>
          <w:color w:val="231F20"/>
        </w:rPr>
        <w:t>and</w:t>
      </w:r>
      <w:r>
        <w:rPr>
          <w:color w:val="231F20"/>
          <w:spacing w:val="-9"/>
        </w:rPr>
        <w:t> </w:t>
      </w:r>
      <w:r>
        <w:rPr>
          <w:color w:val="231F20"/>
        </w:rPr>
        <w:t>community</w:t>
      </w:r>
      <w:r>
        <w:rPr>
          <w:color w:val="231F20"/>
          <w:spacing w:val="-9"/>
        </w:rPr>
        <w:t> </w:t>
      </w:r>
      <w:r>
        <w:rPr>
          <w:color w:val="231F20"/>
        </w:rPr>
        <w:t>organisations,</w:t>
      </w:r>
      <w:r>
        <w:rPr>
          <w:color w:val="231F20"/>
          <w:spacing w:val="-9"/>
        </w:rPr>
        <w:t> </w:t>
      </w:r>
      <w:r>
        <w:rPr>
          <w:color w:val="231F20"/>
          <w:spacing w:val="-1"/>
        </w:rPr>
        <w:t>including</w:t>
      </w:r>
      <w:r>
        <w:rPr>
          <w:color w:val="231F20"/>
          <w:spacing w:val="20"/>
          <w:w w:val="99"/>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5"/>
        </w:rPr>
        <w:t> </w:t>
      </w:r>
      <w:r>
        <w:rPr>
          <w:color w:val="231F20"/>
          <w:spacing w:val="-1"/>
        </w:rPr>
        <w:t>Islander</w:t>
      </w:r>
      <w:r>
        <w:rPr>
          <w:color w:val="231F20"/>
          <w:spacing w:val="-5"/>
        </w:rPr>
        <w:t> </w:t>
      </w:r>
      <w:r>
        <w:rPr>
          <w:color w:val="231F20"/>
          <w:spacing w:val="-1"/>
        </w:rPr>
        <w:t>medical</w:t>
      </w:r>
      <w:r>
        <w:rPr/>
      </w:r>
    </w:p>
    <w:p>
      <w:pPr>
        <w:pStyle w:val="BodyText"/>
        <w:spacing w:line="250" w:lineRule="exact"/>
        <w:ind w:right="133"/>
        <w:jc w:val="left"/>
      </w:pPr>
      <w:r>
        <w:rPr>
          <w:color w:val="231F20"/>
          <w:spacing w:val="-1"/>
        </w:rPr>
        <w:t>services.</w:t>
      </w:r>
      <w:r>
        <w:rPr>
          <w:color w:val="231F20"/>
          <w:spacing w:val="-3"/>
        </w:rPr>
        <w:t> </w:t>
      </w:r>
      <w:r>
        <w:rPr>
          <w:color w:val="231F20"/>
        </w:rPr>
        <w:t>A</w:t>
      </w:r>
      <w:r>
        <w:rPr>
          <w:color w:val="231F20"/>
          <w:spacing w:val="-4"/>
        </w:rPr>
        <w:t> </w:t>
      </w:r>
      <w:r>
        <w:rPr>
          <w:color w:val="231F20"/>
        </w:rPr>
        <w:t>high</w:t>
      </w:r>
      <w:r>
        <w:rPr>
          <w:color w:val="231F20"/>
          <w:spacing w:val="-4"/>
        </w:rPr>
        <w:t> </w:t>
      </w:r>
      <w:r>
        <w:rPr>
          <w:color w:val="231F20"/>
          <w:spacing w:val="-1"/>
        </w:rPr>
        <w:t>level</w:t>
      </w:r>
      <w:r>
        <w:rPr>
          <w:color w:val="231F20"/>
          <w:spacing w:val="-4"/>
        </w:rPr>
        <w:t> </w:t>
      </w:r>
      <w:r>
        <w:rPr>
          <w:color w:val="231F20"/>
        </w:rPr>
        <w:t>review</w:t>
      </w:r>
      <w:r>
        <w:rPr>
          <w:color w:val="231F20"/>
          <w:spacing w:val="-4"/>
        </w:rPr>
        <w:t> </w:t>
      </w:r>
      <w:r>
        <w:rPr>
          <w:color w:val="231F20"/>
        </w:rPr>
        <w:t>by</w:t>
      </w:r>
      <w:r>
        <w:rPr>
          <w:color w:val="231F20"/>
          <w:spacing w:val="-4"/>
        </w:rPr>
        <w:t> </w:t>
      </w:r>
      <w:r>
        <w:rPr>
          <w:color w:val="231F20"/>
        </w:rPr>
        <w:t>Grant</w:t>
      </w:r>
      <w:r>
        <w:rPr>
          <w:color w:val="231F20"/>
          <w:spacing w:val="-3"/>
        </w:rPr>
        <w:t> </w:t>
      </w:r>
      <w:r>
        <w:rPr>
          <w:color w:val="231F20"/>
        </w:rPr>
        <w:t>Thornton</w:t>
      </w:r>
      <w:r>
        <w:rPr>
          <w:color w:val="231F20"/>
          <w:spacing w:val="23"/>
          <w:w w:val="99"/>
        </w:rPr>
        <w:t> </w:t>
      </w:r>
      <w:r>
        <w:rPr>
          <w:rFonts w:ascii="Segoe UI" w:hAnsi="Segoe UI" w:cs="Segoe UI" w:eastAsia="Segoe UI"/>
          <w:color w:val="231F20"/>
        </w:rPr>
        <w:t>of the financial data of Aboriginal and </w:t>
      </w:r>
      <w:r>
        <w:rPr>
          <w:rFonts w:ascii="Segoe UI" w:hAnsi="Segoe UI" w:cs="Segoe UI" w:eastAsia="Segoe UI"/>
          <w:color w:val="231F20"/>
          <w:spacing w:val="-4"/>
        </w:rPr>
        <w:t>Torres</w:t>
      </w:r>
      <w:r>
        <w:rPr>
          <w:rFonts w:ascii="Segoe UI" w:hAnsi="Segoe UI" w:cs="Segoe UI" w:eastAsia="Segoe UI"/>
          <w:color w:val="231F20"/>
          <w:spacing w:val="23"/>
        </w:rPr>
        <w:t> </w:t>
      </w:r>
      <w:r>
        <w:rPr>
          <w:color w:val="231F20"/>
          <w:spacing w:val="-2"/>
        </w:rPr>
        <w:t>Strait</w:t>
      </w:r>
      <w:r>
        <w:rPr>
          <w:color w:val="231F20"/>
          <w:spacing w:val="-10"/>
        </w:rPr>
        <w:t> </w:t>
      </w:r>
      <w:r>
        <w:rPr>
          <w:color w:val="231F20"/>
          <w:spacing w:val="-1"/>
        </w:rPr>
        <w:t>Islander</w:t>
      </w:r>
      <w:r>
        <w:rPr>
          <w:color w:val="231F20"/>
          <w:spacing w:val="-9"/>
        </w:rPr>
        <w:t> </w:t>
      </w:r>
      <w:r>
        <w:rPr>
          <w:color w:val="231F20"/>
        </w:rPr>
        <w:t>boarding</w:t>
      </w:r>
      <w:r>
        <w:rPr>
          <w:color w:val="231F20"/>
          <w:spacing w:val="-9"/>
        </w:rPr>
        <w:t> </w:t>
      </w:r>
      <w:r>
        <w:rPr>
          <w:color w:val="231F20"/>
        </w:rPr>
        <w:t>providers</w:t>
      </w:r>
      <w:r>
        <w:rPr>
          <w:color w:val="231F20"/>
          <w:spacing w:val="-10"/>
        </w:rPr>
        <w:t> </w:t>
      </w:r>
      <w:r>
        <w:rPr>
          <w:color w:val="231F20"/>
          <w:spacing w:val="-1"/>
        </w:rPr>
        <w:t>indicates</w:t>
      </w:r>
      <w:r>
        <w:rPr>
          <w:color w:val="231F20"/>
          <w:spacing w:val="-1"/>
          <w:w w:val="99"/>
        </w:rPr>
        <w:t> </w:t>
      </w:r>
      <w:r>
        <w:rPr>
          <w:color w:val="231F20"/>
          <w:spacing w:val="26"/>
          <w:w w:val="99"/>
        </w:rPr>
        <w:t> </w:t>
      </w:r>
      <w:r>
        <w:rPr>
          <w:color w:val="231F20"/>
        </w:rPr>
        <w:t>that</w:t>
      </w:r>
      <w:r>
        <w:rPr>
          <w:color w:val="231F20"/>
          <w:spacing w:val="-4"/>
        </w:rPr>
        <w:t> </w:t>
      </w:r>
      <w:r>
        <w:rPr>
          <w:color w:val="231F20"/>
        </w:rPr>
        <w:t>the</w:t>
      </w:r>
      <w:r>
        <w:rPr>
          <w:color w:val="231F20"/>
          <w:spacing w:val="-3"/>
        </w:rPr>
        <w:t> </w:t>
      </w:r>
      <w:r>
        <w:rPr>
          <w:color w:val="231F20"/>
        </w:rPr>
        <w:t>extent</w:t>
      </w:r>
      <w:r>
        <w:rPr>
          <w:color w:val="231F20"/>
          <w:spacing w:val="-2"/>
        </w:rPr>
        <w:t> </w:t>
      </w:r>
      <w:r>
        <w:rPr>
          <w:color w:val="231F20"/>
        </w:rPr>
        <w:t>of</w:t>
      </w:r>
      <w:r>
        <w:rPr>
          <w:color w:val="231F20"/>
          <w:spacing w:val="-2"/>
        </w:rPr>
        <w:t> </w:t>
      </w:r>
      <w:r>
        <w:rPr>
          <w:color w:val="231F20"/>
        </w:rPr>
        <w:t>the</w:t>
      </w:r>
      <w:r>
        <w:rPr>
          <w:color w:val="231F20"/>
          <w:spacing w:val="-3"/>
        </w:rPr>
        <w:t> </w:t>
      </w:r>
      <w:r>
        <w:rPr>
          <w:color w:val="231F20"/>
          <w:spacing w:val="-1"/>
        </w:rPr>
        <w:t>investment</w:t>
      </w:r>
      <w:r>
        <w:rPr>
          <w:color w:val="231F20"/>
          <w:spacing w:val="-3"/>
        </w:rPr>
        <w:t> </w:t>
      </w:r>
      <w:r>
        <w:rPr>
          <w:color w:val="231F20"/>
          <w:spacing w:val="-1"/>
        </w:rPr>
        <w:t>is</w:t>
      </w:r>
      <w:r>
        <w:rPr>
          <w:color w:val="231F20"/>
          <w:spacing w:val="-3"/>
        </w:rPr>
        <w:t> </w:t>
      </w:r>
      <w:r>
        <w:rPr>
          <w:color w:val="231F20"/>
        </w:rPr>
        <w:t>possibly</w:t>
      </w:r>
      <w:r>
        <w:rPr>
          <w:color w:val="231F20"/>
          <w:spacing w:val="-3"/>
        </w:rPr>
        <w:t> </w:t>
      </w:r>
      <w:r>
        <w:rPr>
          <w:color w:val="231F20"/>
        </w:rPr>
        <w:t>a</w:t>
      </w:r>
      <w:r>
        <w:rPr>
          <w:color w:val="231F20"/>
          <w:spacing w:val="23"/>
          <w:w w:val="99"/>
        </w:rPr>
        <w:t> </w:t>
      </w:r>
      <w:r>
        <w:rPr>
          <w:color w:val="231F20"/>
        </w:rPr>
        <w:t>product</w:t>
      </w:r>
      <w:r>
        <w:rPr>
          <w:color w:val="231F20"/>
          <w:spacing w:val="-6"/>
        </w:rPr>
        <w:t> </w:t>
      </w:r>
      <w:r>
        <w:rPr>
          <w:color w:val="231F20"/>
        </w:rPr>
        <w:t>of</w:t>
      </w:r>
      <w:r>
        <w:rPr>
          <w:color w:val="231F20"/>
          <w:spacing w:val="-5"/>
        </w:rPr>
        <w:t> </w:t>
      </w:r>
      <w:r>
        <w:rPr>
          <w:color w:val="231F20"/>
        </w:rPr>
        <w:t>two</w:t>
      </w:r>
      <w:r>
        <w:rPr>
          <w:color w:val="231F20"/>
          <w:spacing w:val="-4"/>
        </w:rPr>
        <w:t> </w:t>
      </w:r>
      <w:r>
        <w:rPr>
          <w:color w:val="231F20"/>
          <w:spacing w:val="-1"/>
        </w:rPr>
        <w:t>main</w:t>
      </w:r>
      <w:r>
        <w:rPr>
          <w:color w:val="231F20"/>
          <w:spacing w:val="-5"/>
        </w:rPr>
        <w:t> </w:t>
      </w:r>
      <w:r>
        <w:rPr>
          <w:color w:val="231F20"/>
        </w:rPr>
        <w:t>factors;</w:t>
      </w:r>
      <w:r>
        <w:rPr>
          <w:color w:val="231F20"/>
          <w:spacing w:val="-5"/>
        </w:rPr>
        <w:t> </w:t>
      </w:r>
      <w:r>
        <w:rPr>
          <w:color w:val="231F20"/>
        </w:rPr>
        <w:t>the</w:t>
      </w:r>
      <w:r>
        <w:rPr>
          <w:color w:val="231F20"/>
          <w:spacing w:val="-6"/>
        </w:rPr>
        <w:t> </w:t>
      </w:r>
      <w:r>
        <w:rPr>
          <w:color w:val="231F20"/>
        </w:rPr>
        <w:t>proportion</w:t>
      </w:r>
      <w:r>
        <w:rPr>
          <w:color w:val="231F20"/>
          <w:spacing w:val="-5"/>
        </w:rPr>
        <w:t> </w:t>
      </w:r>
      <w:r>
        <w:rPr>
          <w:color w:val="231F20"/>
        </w:rPr>
        <w:t>of</w:t>
      </w:r>
      <w:r>
        <w:rPr>
          <w:color w:val="231F20"/>
          <w:spacing w:val="21"/>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boarders</w:t>
      </w:r>
      <w:r>
        <w:rPr>
          <w:color w:val="231F20"/>
          <w:spacing w:val="21"/>
          <w:w w:val="99"/>
        </w:rPr>
        <w:t> </w:t>
      </w:r>
      <w:r>
        <w:rPr>
          <w:color w:val="231F20"/>
          <w:spacing w:val="-1"/>
        </w:rPr>
        <w:t>in</w:t>
      </w:r>
      <w:r>
        <w:rPr>
          <w:color w:val="231F20"/>
          <w:spacing w:val="-6"/>
        </w:rPr>
        <w:t> </w:t>
      </w:r>
      <w:r>
        <w:rPr>
          <w:color w:val="231F20"/>
        </w:rPr>
        <w:t>a</w:t>
      </w:r>
      <w:r>
        <w:rPr>
          <w:color w:val="231F20"/>
          <w:spacing w:val="-6"/>
        </w:rPr>
        <w:t> </w:t>
      </w:r>
      <w:r>
        <w:rPr>
          <w:color w:val="231F20"/>
        </w:rPr>
        <w:t>provider’s</w:t>
      </w:r>
      <w:r>
        <w:rPr>
          <w:color w:val="231F20"/>
          <w:spacing w:val="-6"/>
        </w:rPr>
        <w:t> </w:t>
      </w:r>
      <w:r>
        <w:rPr>
          <w:color w:val="231F20"/>
        </w:rPr>
        <w:t>total</w:t>
      </w:r>
      <w:r>
        <w:rPr>
          <w:color w:val="231F20"/>
          <w:spacing w:val="-7"/>
        </w:rPr>
        <w:t> </w:t>
      </w:r>
      <w:r>
        <w:rPr>
          <w:color w:val="231F20"/>
          <w:spacing w:val="-1"/>
        </w:rPr>
        <w:t>student</w:t>
      </w:r>
      <w:r>
        <w:rPr>
          <w:color w:val="231F20"/>
          <w:spacing w:val="-5"/>
        </w:rPr>
        <w:t> </w:t>
      </w:r>
      <w:r>
        <w:rPr>
          <w:color w:val="231F20"/>
        </w:rPr>
        <w:t>population</w:t>
      </w:r>
      <w:r>
        <w:rPr>
          <w:color w:val="231F20"/>
          <w:spacing w:val="-7"/>
        </w:rPr>
        <w:t> </w:t>
      </w:r>
      <w:r>
        <w:rPr>
          <w:color w:val="231F20"/>
        </w:rPr>
        <w:t>and</w:t>
      </w:r>
      <w:r>
        <w:rPr>
          <w:color w:val="231F20"/>
          <w:spacing w:val="23"/>
          <w:w w:val="99"/>
        </w:rPr>
        <w:t> </w:t>
      </w:r>
      <w:r>
        <w:rPr>
          <w:color w:val="231F20"/>
        </w:rPr>
        <w:t>the</w:t>
      </w:r>
      <w:r>
        <w:rPr>
          <w:color w:val="231F20"/>
          <w:spacing w:val="-7"/>
        </w:rPr>
        <w:t> </w:t>
      </w:r>
      <w:r>
        <w:rPr>
          <w:color w:val="231F20"/>
          <w:spacing w:val="-1"/>
        </w:rPr>
        <w:t>level</w:t>
      </w:r>
      <w:r>
        <w:rPr>
          <w:color w:val="231F20"/>
          <w:spacing w:val="-5"/>
        </w:rPr>
        <w:t> </w:t>
      </w:r>
      <w:r>
        <w:rPr>
          <w:color w:val="231F20"/>
        </w:rPr>
        <w:t>of</w:t>
      </w:r>
      <w:r>
        <w:rPr>
          <w:color w:val="231F20"/>
          <w:spacing w:val="-5"/>
        </w:rPr>
        <w:t> </w:t>
      </w:r>
      <w:r>
        <w:rPr>
          <w:color w:val="231F20"/>
          <w:spacing w:val="-1"/>
        </w:rPr>
        <w:t>socio</w:t>
      </w:r>
      <w:r>
        <w:rPr>
          <w:color w:val="231F20"/>
          <w:spacing w:val="-6"/>
        </w:rPr>
        <w:t> </w:t>
      </w:r>
      <w:r>
        <w:rPr>
          <w:color w:val="231F20"/>
        </w:rPr>
        <w:t>educational</w:t>
      </w:r>
      <w:r>
        <w:rPr>
          <w:color w:val="231F20"/>
          <w:spacing w:val="-6"/>
        </w:rPr>
        <w:t> </w:t>
      </w:r>
      <w:r>
        <w:rPr>
          <w:color w:val="231F20"/>
        </w:rPr>
        <w:t>disadvantage</w:t>
      </w:r>
      <w:r>
        <w:rPr/>
      </w:r>
    </w:p>
    <w:p>
      <w:pPr>
        <w:pStyle w:val="BodyText"/>
        <w:spacing w:line="250" w:lineRule="exact"/>
        <w:ind w:right="0"/>
        <w:jc w:val="left"/>
      </w:pPr>
      <w:r>
        <w:rPr>
          <w:rFonts w:ascii="Segoe UI"/>
          <w:color w:val="231F20"/>
        </w:rPr>
        <w:t>of boarders. This finding was confirmed in </w:t>
      </w:r>
      <w:r>
        <w:rPr>
          <w:color w:val="231F20"/>
        </w:rPr>
        <w:t>consultations</w:t>
      </w:r>
      <w:r>
        <w:rPr>
          <w:color w:val="231F20"/>
          <w:spacing w:val="-5"/>
        </w:rPr>
        <w:t> </w:t>
      </w:r>
      <w:r>
        <w:rPr>
          <w:color w:val="231F20"/>
        </w:rPr>
        <w:t>with</w:t>
      </w:r>
      <w:r>
        <w:rPr>
          <w:color w:val="231F20"/>
          <w:spacing w:val="-5"/>
        </w:rPr>
        <w:t> </w:t>
      </w:r>
      <w:r>
        <w:rPr>
          <w:color w:val="231F20"/>
        </w:rPr>
        <w:t>Aboriginal</w:t>
      </w:r>
      <w:r>
        <w:rPr>
          <w:color w:val="231F20"/>
          <w:spacing w:val="-4"/>
        </w:rPr>
        <w:t> </w:t>
      </w:r>
      <w:r>
        <w:rPr>
          <w:color w:val="231F20"/>
        </w:rPr>
        <w:t>and</w:t>
      </w:r>
      <w:r>
        <w:rPr>
          <w:color w:val="231F20"/>
          <w:spacing w:val="-5"/>
        </w:rPr>
        <w:t> Torres</w:t>
      </w:r>
      <w:r>
        <w:rPr>
          <w:color w:val="231F20"/>
          <w:spacing w:val="-4"/>
        </w:rPr>
        <w:t> </w:t>
      </w:r>
      <w:r>
        <w:rPr>
          <w:color w:val="231F20"/>
          <w:spacing w:val="-2"/>
        </w:rPr>
        <w:t>Strait</w:t>
      </w:r>
      <w:r>
        <w:rPr>
          <w:color w:val="231F20"/>
          <w:spacing w:val="29"/>
          <w:w w:val="99"/>
        </w:rPr>
        <w:t> </w:t>
      </w:r>
      <w:r>
        <w:rPr>
          <w:color w:val="231F20"/>
          <w:spacing w:val="-1"/>
        </w:rPr>
        <w:t>Islander</w:t>
      </w:r>
      <w:r>
        <w:rPr>
          <w:color w:val="231F20"/>
          <w:spacing w:val="-8"/>
        </w:rPr>
        <w:t> </w:t>
      </w:r>
      <w:r>
        <w:rPr>
          <w:color w:val="231F20"/>
        </w:rPr>
        <w:t>boarding</w:t>
      </w:r>
      <w:r>
        <w:rPr>
          <w:color w:val="231F20"/>
          <w:spacing w:val="-8"/>
        </w:rPr>
        <w:t> </w:t>
      </w:r>
      <w:r>
        <w:rPr>
          <w:color w:val="231F20"/>
        </w:rPr>
        <w:t>providers</w:t>
      </w:r>
      <w:r>
        <w:rPr>
          <w:color w:val="231F20"/>
          <w:spacing w:val="-9"/>
        </w:rPr>
        <w:t> </w:t>
      </w:r>
      <w:r>
        <w:rPr>
          <w:color w:val="231F20"/>
        </w:rPr>
        <w:t>and</w:t>
      </w:r>
      <w:r>
        <w:rPr>
          <w:color w:val="231F20"/>
          <w:spacing w:val="-8"/>
        </w:rPr>
        <w:t> </w:t>
      </w:r>
      <w:r>
        <w:rPr>
          <w:color w:val="231F20"/>
        </w:rPr>
        <w:t>peak</w:t>
      </w:r>
      <w:r>
        <w:rPr>
          <w:color w:val="231F20"/>
          <w:spacing w:val="-9"/>
        </w:rPr>
        <w:t> </w:t>
      </w:r>
      <w:r>
        <w:rPr>
          <w:color w:val="231F20"/>
        </w:rPr>
        <w:t>bodies.</w:t>
      </w:r>
      <w:r>
        <w:rPr>
          <w:color w:val="231F20"/>
          <w:spacing w:val="22"/>
          <w:w w:val="99"/>
        </w:rPr>
        <w:t> </w:t>
      </w:r>
      <w:r>
        <w:rPr>
          <w:color w:val="231F20"/>
          <w:spacing w:val="-1"/>
        </w:rPr>
        <w:t>While</w:t>
      </w:r>
      <w:r>
        <w:rPr>
          <w:color w:val="231F20"/>
          <w:spacing w:val="-6"/>
        </w:rPr>
        <w:t> </w:t>
      </w:r>
      <w:r>
        <w:rPr>
          <w:color w:val="231F20"/>
          <w:spacing w:val="-1"/>
        </w:rPr>
        <w:t>some</w:t>
      </w:r>
      <w:r>
        <w:rPr>
          <w:color w:val="231F20"/>
          <w:spacing w:val="-7"/>
        </w:rPr>
        <w:t> </w:t>
      </w:r>
      <w:r>
        <w:rPr>
          <w:color w:val="231F20"/>
        </w:rPr>
        <w:t>boarding</w:t>
      </w:r>
      <w:r>
        <w:rPr>
          <w:color w:val="231F20"/>
          <w:spacing w:val="-6"/>
        </w:rPr>
        <w:t> </w:t>
      </w:r>
      <w:r>
        <w:rPr>
          <w:color w:val="231F20"/>
        </w:rPr>
        <w:t>providers</w:t>
      </w:r>
      <w:r>
        <w:rPr>
          <w:color w:val="231F20"/>
          <w:spacing w:val="-7"/>
        </w:rPr>
        <w:t> </w:t>
      </w:r>
      <w:r>
        <w:rPr>
          <w:color w:val="231F20"/>
        </w:rPr>
        <w:t>have</w:t>
      </w:r>
      <w:r>
        <w:rPr>
          <w:color w:val="231F20"/>
          <w:spacing w:val="-7"/>
        </w:rPr>
        <w:t> </w:t>
      </w:r>
      <w:r>
        <w:rPr>
          <w:color w:val="231F20"/>
        </w:rPr>
        <w:t>developed</w:t>
      </w:r>
      <w:r>
        <w:rPr>
          <w:color w:val="231F20"/>
          <w:spacing w:val="23"/>
          <w:w w:val="99"/>
        </w:rPr>
        <w:t> </w:t>
      </w:r>
      <w:r>
        <w:rPr>
          <w:color w:val="231F20"/>
        </w:rPr>
        <w:t>estimates</w:t>
      </w:r>
      <w:r>
        <w:rPr>
          <w:color w:val="231F20"/>
          <w:spacing w:val="-3"/>
        </w:rPr>
        <w:t> </w:t>
      </w:r>
      <w:r>
        <w:rPr>
          <w:color w:val="231F20"/>
        </w:rPr>
        <w:t>of</w:t>
      </w:r>
      <w:r>
        <w:rPr>
          <w:color w:val="231F20"/>
          <w:spacing w:val="-2"/>
        </w:rPr>
        <w:t> </w:t>
      </w:r>
      <w:r>
        <w:rPr>
          <w:color w:val="231F20"/>
        </w:rPr>
        <w:t>the</w:t>
      </w:r>
      <w:r>
        <w:rPr>
          <w:color w:val="231F20"/>
          <w:spacing w:val="-3"/>
        </w:rPr>
        <w:t> </w:t>
      </w:r>
      <w:r>
        <w:rPr>
          <w:color w:val="231F20"/>
        </w:rPr>
        <w:t>cost</w:t>
      </w:r>
      <w:r>
        <w:rPr>
          <w:color w:val="231F20"/>
          <w:spacing w:val="-3"/>
        </w:rPr>
        <w:t> </w:t>
      </w:r>
      <w:r>
        <w:rPr>
          <w:color w:val="231F20"/>
        </w:rPr>
        <w:t>of</w:t>
      </w:r>
      <w:r>
        <w:rPr>
          <w:color w:val="231F20"/>
          <w:spacing w:val="-1"/>
        </w:rPr>
        <w:t> </w:t>
      </w:r>
      <w:r>
        <w:rPr>
          <w:color w:val="231F20"/>
        </w:rPr>
        <w:t>the</w:t>
      </w:r>
      <w:r>
        <w:rPr>
          <w:color w:val="231F20"/>
          <w:spacing w:val="-3"/>
        </w:rPr>
        <w:t> </w:t>
      </w:r>
      <w:r>
        <w:rPr>
          <w:color w:val="231F20"/>
          <w:spacing w:val="-1"/>
        </w:rPr>
        <w:t>investment</w:t>
      </w:r>
      <w:r>
        <w:rPr>
          <w:color w:val="231F20"/>
          <w:spacing w:val="-2"/>
        </w:rPr>
        <w:t> </w:t>
      </w:r>
      <w:r>
        <w:rPr>
          <w:color w:val="231F20"/>
        </w:rPr>
        <w:t>by</w:t>
      </w:r>
      <w:r>
        <w:rPr>
          <w:color w:val="231F20"/>
          <w:spacing w:val="-2"/>
        </w:rPr>
        <w:t> </w:t>
      </w:r>
      <w:r>
        <w:rPr>
          <w:color w:val="231F20"/>
        </w:rPr>
        <w:t>the</w:t>
      </w:r>
      <w:r>
        <w:rPr>
          <w:color w:val="231F20"/>
          <w:spacing w:val="22"/>
          <w:w w:val="99"/>
        </w:rPr>
        <w:t> </w:t>
      </w:r>
      <w:r>
        <w:rPr>
          <w:color w:val="231F20"/>
        </w:rPr>
        <w:t>provider,</w:t>
      </w:r>
      <w:r>
        <w:rPr>
          <w:color w:val="231F20"/>
          <w:spacing w:val="-7"/>
        </w:rPr>
        <w:t> </w:t>
      </w:r>
      <w:r>
        <w:rPr>
          <w:color w:val="231F20"/>
        </w:rPr>
        <w:t>there</w:t>
      </w:r>
      <w:r>
        <w:rPr>
          <w:color w:val="231F20"/>
          <w:spacing w:val="-6"/>
        </w:rPr>
        <w:t> </w:t>
      </w:r>
      <w:r>
        <w:rPr>
          <w:color w:val="231F20"/>
          <w:spacing w:val="-1"/>
        </w:rPr>
        <w:t>is</w:t>
      </w:r>
      <w:r>
        <w:rPr>
          <w:color w:val="231F20"/>
          <w:spacing w:val="-6"/>
        </w:rPr>
        <w:t> </w:t>
      </w:r>
      <w:r>
        <w:rPr>
          <w:color w:val="231F20"/>
        </w:rPr>
        <w:t>no</w:t>
      </w:r>
      <w:r>
        <w:rPr>
          <w:color w:val="231F20"/>
          <w:spacing w:val="-5"/>
        </w:rPr>
        <w:t> </w:t>
      </w:r>
      <w:r>
        <w:rPr>
          <w:color w:val="231F20"/>
        </w:rPr>
        <w:t>accurate</w:t>
      </w:r>
      <w:r>
        <w:rPr>
          <w:color w:val="231F20"/>
          <w:spacing w:val="-6"/>
        </w:rPr>
        <w:t> </w:t>
      </w:r>
      <w:r>
        <w:rPr>
          <w:color w:val="231F20"/>
        </w:rPr>
        <w:t>data</w:t>
      </w:r>
      <w:r>
        <w:rPr>
          <w:color w:val="231F20"/>
          <w:spacing w:val="-6"/>
        </w:rPr>
        <w:t> </w:t>
      </w:r>
      <w:r>
        <w:rPr>
          <w:color w:val="231F20"/>
        </w:rPr>
        <w:t>available</w:t>
      </w:r>
      <w:r>
        <w:rPr>
          <w:color w:val="231F20"/>
          <w:spacing w:val="-7"/>
        </w:rPr>
        <w:t> </w:t>
      </w:r>
      <w:r>
        <w:rPr>
          <w:color w:val="231F20"/>
        </w:rPr>
        <w:t>on</w:t>
      </w:r>
      <w:r>
        <w:rPr>
          <w:color w:val="231F20"/>
          <w:spacing w:val="21"/>
          <w:w w:val="99"/>
        </w:rPr>
        <w:t> </w:t>
      </w:r>
      <w:r>
        <w:rPr>
          <w:color w:val="231F20"/>
        </w:rPr>
        <w:t>the</w:t>
      </w:r>
      <w:r>
        <w:rPr>
          <w:color w:val="231F20"/>
          <w:spacing w:val="-4"/>
        </w:rPr>
        <w:t> </w:t>
      </w:r>
      <w:r>
        <w:rPr>
          <w:color w:val="231F20"/>
        </w:rPr>
        <w:t>true</w:t>
      </w:r>
      <w:r>
        <w:rPr>
          <w:color w:val="231F20"/>
          <w:spacing w:val="-3"/>
        </w:rPr>
        <w:t> </w:t>
      </w:r>
      <w:r>
        <w:rPr>
          <w:color w:val="231F20"/>
        </w:rPr>
        <w:t>cost</w:t>
      </w:r>
      <w:r>
        <w:rPr>
          <w:color w:val="231F20"/>
          <w:spacing w:val="-3"/>
        </w:rPr>
        <w:t> </w:t>
      </w:r>
      <w:r>
        <w:rPr>
          <w:color w:val="231F20"/>
        </w:rPr>
        <w:t>of</w:t>
      </w:r>
      <w:r>
        <w:rPr>
          <w:color w:val="231F20"/>
          <w:spacing w:val="-2"/>
        </w:rPr>
        <w:t> </w:t>
      </w:r>
      <w:r>
        <w:rPr>
          <w:color w:val="231F20"/>
        </w:rPr>
        <w:t>the</w:t>
      </w:r>
      <w:r>
        <w:rPr>
          <w:color w:val="231F20"/>
          <w:spacing w:val="-3"/>
        </w:rPr>
        <w:t> </w:t>
      </w:r>
      <w:r>
        <w:rPr>
          <w:color w:val="231F20"/>
          <w:spacing w:val="-1"/>
        </w:rPr>
        <w:t>investment</w:t>
      </w:r>
      <w:r>
        <w:rPr>
          <w:color w:val="231F20"/>
          <w:spacing w:val="-2"/>
        </w:rPr>
        <w:t> </w:t>
      </w:r>
      <w:r>
        <w:rPr>
          <w:color w:val="231F20"/>
        </w:rPr>
        <w:t>by</w:t>
      </w:r>
      <w:r>
        <w:rPr>
          <w:color w:val="231F20"/>
          <w:spacing w:val="-2"/>
        </w:rPr>
        <w:t> </w:t>
      </w:r>
      <w:r>
        <w:rPr>
          <w:color w:val="231F20"/>
        </w:rPr>
        <w:t>all</w:t>
      </w:r>
      <w:r>
        <w:rPr>
          <w:color w:val="231F20"/>
          <w:spacing w:val="-4"/>
        </w:rPr>
        <w:t> </w:t>
      </w:r>
      <w:r>
        <w:rPr>
          <w:color w:val="231F20"/>
        </w:rPr>
        <w:t>parties</w:t>
      </w:r>
      <w:r>
        <w:rPr>
          <w:color w:val="231F20"/>
          <w:spacing w:val="-3"/>
        </w:rPr>
        <w:t> </w:t>
      </w:r>
      <w:r>
        <w:rPr>
          <w:color w:val="231F20"/>
          <w:spacing w:val="-1"/>
        </w:rPr>
        <w:t>in</w:t>
      </w:r>
      <w:r>
        <w:rPr>
          <w:color w:val="231F20"/>
          <w:spacing w:val="21"/>
        </w:rPr>
        <w:t> </w:t>
      </w:r>
      <w:r>
        <w:rPr>
          <w:color w:val="231F20"/>
        </w:rPr>
        <w:t>addressing</w:t>
      </w:r>
      <w:r>
        <w:rPr>
          <w:color w:val="231F20"/>
          <w:spacing w:val="-7"/>
        </w:rPr>
        <w:t> </w:t>
      </w:r>
      <w:r>
        <w:rPr>
          <w:color w:val="231F20"/>
        </w:rPr>
        <w:t>the</w:t>
      </w:r>
      <w:r>
        <w:rPr>
          <w:color w:val="231F20"/>
          <w:spacing w:val="-6"/>
        </w:rPr>
        <w:t> </w:t>
      </w:r>
      <w:r>
        <w:rPr>
          <w:color w:val="231F20"/>
        </w:rPr>
        <w:t>health</w:t>
      </w:r>
      <w:r>
        <w:rPr>
          <w:color w:val="231F20"/>
          <w:spacing w:val="-6"/>
        </w:rPr>
        <w:t> </w:t>
      </w:r>
      <w:r>
        <w:rPr>
          <w:color w:val="231F20"/>
        </w:rPr>
        <w:t>of</w:t>
      </w:r>
      <w:r>
        <w:rPr>
          <w:color w:val="231F20"/>
          <w:spacing w:val="-6"/>
        </w:rPr>
        <w:t> </w:t>
      </w:r>
      <w:r>
        <w:rPr>
          <w:color w:val="231F20"/>
        </w:rPr>
        <w:t>Aboriginal</w:t>
      </w:r>
      <w:r>
        <w:rPr>
          <w:color w:val="231F20"/>
          <w:spacing w:val="-5"/>
        </w:rPr>
        <w:t> </w:t>
      </w:r>
      <w:r>
        <w:rPr>
          <w:color w:val="231F20"/>
        </w:rPr>
        <w:t>and</w:t>
      </w:r>
      <w:r>
        <w:rPr>
          <w:color w:val="231F20"/>
          <w:spacing w:val="-6"/>
        </w:rPr>
        <w:t> </w:t>
      </w:r>
      <w:r>
        <w:rPr>
          <w:color w:val="231F20"/>
          <w:spacing w:val="-5"/>
        </w:rPr>
        <w:t>Torres</w:t>
      </w:r>
      <w:r>
        <w:rPr>
          <w:color w:val="231F20"/>
          <w:spacing w:val="24"/>
          <w:w w:val="99"/>
        </w:rPr>
        <w:t> </w:t>
      </w:r>
      <w:r>
        <w:rPr>
          <w:color w:val="231F20"/>
          <w:spacing w:val="-2"/>
        </w:rPr>
        <w:t>Strait</w:t>
      </w:r>
      <w:r>
        <w:rPr>
          <w:color w:val="231F20"/>
          <w:spacing w:val="-11"/>
        </w:rPr>
        <w:t> </w:t>
      </w:r>
      <w:r>
        <w:rPr>
          <w:color w:val="231F20"/>
          <w:spacing w:val="-1"/>
        </w:rPr>
        <w:t>Islander</w:t>
      </w:r>
      <w:r>
        <w:rPr>
          <w:color w:val="231F20"/>
          <w:spacing w:val="-9"/>
        </w:rPr>
        <w:t> </w:t>
      </w:r>
      <w:r>
        <w:rPr>
          <w:color w:val="231F20"/>
        </w:rPr>
        <w:t>boarders.</w:t>
      </w:r>
      <w:r>
        <w:rPr/>
      </w:r>
    </w:p>
    <w:p>
      <w:pPr>
        <w:pStyle w:val="BodyText"/>
        <w:spacing w:line="250" w:lineRule="exact" w:before="62"/>
        <w:ind w:right="166"/>
        <w:jc w:val="left"/>
      </w:pPr>
      <w:r>
        <w:rPr/>
        <w:br w:type="column"/>
      </w:r>
      <w:r>
        <w:rPr>
          <w:color w:val="231F20"/>
        </w:rPr>
        <w:t>A</w:t>
      </w:r>
      <w:r>
        <w:rPr>
          <w:color w:val="231F20"/>
          <w:spacing w:val="-5"/>
        </w:rPr>
        <w:t> </w:t>
      </w:r>
      <w:r>
        <w:rPr>
          <w:color w:val="231F20"/>
        </w:rPr>
        <w:t>boarding</w:t>
      </w:r>
      <w:r>
        <w:rPr>
          <w:color w:val="231F20"/>
          <w:spacing w:val="-5"/>
        </w:rPr>
        <w:t> </w:t>
      </w:r>
      <w:r>
        <w:rPr>
          <w:color w:val="231F20"/>
          <w:spacing w:val="-1"/>
        </w:rPr>
        <w:t>school</w:t>
      </w:r>
      <w:r>
        <w:rPr>
          <w:color w:val="231F20"/>
          <w:spacing w:val="-5"/>
        </w:rPr>
        <w:t> </w:t>
      </w:r>
      <w:r>
        <w:rPr>
          <w:color w:val="231F20"/>
          <w:spacing w:val="-1"/>
        </w:rPr>
        <w:t>in</w:t>
      </w:r>
      <w:r>
        <w:rPr>
          <w:color w:val="231F20"/>
          <w:spacing w:val="-4"/>
        </w:rPr>
        <w:t> </w:t>
      </w:r>
      <w:r>
        <w:rPr>
          <w:color w:val="231F20"/>
        </w:rPr>
        <w:t>the</w:t>
      </w:r>
      <w:r>
        <w:rPr>
          <w:color w:val="231F20"/>
          <w:spacing w:val="-5"/>
        </w:rPr>
        <w:t> </w:t>
      </w:r>
      <w:r>
        <w:rPr>
          <w:color w:val="231F20"/>
        </w:rPr>
        <w:t>Northern</w:t>
      </w:r>
      <w:r>
        <w:rPr>
          <w:color w:val="231F20"/>
          <w:spacing w:val="-5"/>
        </w:rPr>
        <w:t> </w:t>
      </w:r>
      <w:r>
        <w:rPr>
          <w:color w:val="231F20"/>
          <w:spacing w:val="-3"/>
        </w:rPr>
        <w:t>Territory</w:t>
      </w:r>
      <w:r>
        <w:rPr>
          <w:color w:val="231F20"/>
          <w:spacing w:val="30"/>
          <w:w w:val="99"/>
        </w:rPr>
        <w:t> </w:t>
      </w:r>
      <w:r>
        <w:rPr>
          <w:color w:val="231F20"/>
        </w:rPr>
        <w:t>reported</w:t>
      </w:r>
      <w:r>
        <w:rPr>
          <w:color w:val="231F20"/>
          <w:spacing w:val="-6"/>
        </w:rPr>
        <w:t> </w:t>
      </w:r>
      <w:r>
        <w:rPr>
          <w:color w:val="231F20"/>
        </w:rPr>
        <w:t>that</w:t>
      </w:r>
      <w:r>
        <w:rPr>
          <w:color w:val="231F20"/>
          <w:spacing w:val="-6"/>
        </w:rPr>
        <w:t> </w:t>
      </w:r>
      <w:r>
        <w:rPr>
          <w:color w:val="231F20"/>
        </w:rPr>
        <w:t>the</w:t>
      </w:r>
      <w:r>
        <w:rPr>
          <w:color w:val="231F20"/>
          <w:spacing w:val="-6"/>
        </w:rPr>
        <w:t> </w:t>
      </w:r>
      <w:r>
        <w:rPr>
          <w:color w:val="231F20"/>
          <w:spacing w:val="-1"/>
        </w:rPr>
        <w:t>school</w:t>
      </w:r>
      <w:r>
        <w:rPr>
          <w:color w:val="231F20"/>
          <w:spacing w:val="-5"/>
        </w:rPr>
        <w:t> </w:t>
      </w:r>
      <w:r>
        <w:rPr>
          <w:color w:val="231F20"/>
        </w:rPr>
        <w:t>through</w:t>
      </w:r>
      <w:r>
        <w:rPr>
          <w:color w:val="231F20"/>
          <w:spacing w:val="-6"/>
        </w:rPr>
        <w:t> </w:t>
      </w:r>
      <w:r>
        <w:rPr>
          <w:color w:val="231F20"/>
          <w:spacing w:val="-1"/>
        </w:rPr>
        <w:t>its</w:t>
      </w:r>
      <w:r>
        <w:rPr>
          <w:color w:val="231F20"/>
          <w:spacing w:val="-5"/>
        </w:rPr>
        <w:t> </w:t>
      </w:r>
      <w:r>
        <w:rPr>
          <w:color w:val="231F20"/>
        </w:rPr>
        <w:t>recurrent</w:t>
      </w:r>
      <w:r>
        <w:rPr>
          <w:color w:val="231F20"/>
          <w:spacing w:val="23"/>
          <w:w w:val="99"/>
        </w:rPr>
        <w:t> </w:t>
      </w:r>
      <w:r>
        <w:rPr>
          <w:color w:val="231F20"/>
        </w:rPr>
        <w:t>funding</w:t>
      </w:r>
      <w:r>
        <w:rPr>
          <w:color w:val="231F20"/>
          <w:spacing w:val="-5"/>
        </w:rPr>
        <w:t> </w:t>
      </w:r>
      <w:r>
        <w:rPr>
          <w:color w:val="231F20"/>
        </w:rPr>
        <w:t>provides</w:t>
      </w:r>
      <w:r>
        <w:rPr>
          <w:color w:val="231F20"/>
          <w:spacing w:val="-5"/>
        </w:rPr>
        <w:t> </w:t>
      </w:r>
      <w:r>
        <w:rPr>
          <w:color w:val="231F20"/>
        </w:rPr>
        <w:t>an</w:t>
      </w:r>
      <w:r>
        <w:rPr>
          <w:color w:val="231F20"/>
          <w:spacing w:val="-5"/>
        </w:rPr>
        <w:t> </w:t>
      </w:r>
      <w:r>
        <w:rPr>
          <w:color w:val="231F20"/>
        </w:rPr>
        <w:t>onsite</w:t>
      </w:r>
      <w:r>
        <w:rPr>
          <w:color w:val="231F20"/>
          <w:spacing w:val="-5"/>
        </w:rPr>
        <w:t> </w:t>
      </w:r>
      <w:r>
        <w:rPr>
          <w:color w:val="231F20"/>
        </w:rPr>
        <w:t>nurse</w:t>
      </w:r>
      <w:r>
        <w:rPr>
          <w:color w:val="231F20"/>
          <w:spacing w:val="-5"/>
        </w:rPr>
        <w:t> </w:t>
      </w:r>
      <w:r>
        <w:rPr>
          <w:color w:val="231F20"/>
        </w:rPr>
        <w:t>and</w:t>
      </w:r>
      <w:r>
        <w:rPr>
          <w:color w:val="231F20"/>
          <w:spacing w:val="-5"/>
        </w:rPr>
        <w:t> </w:t>
      </w:r>
      <w:r>
        <w:rPr>
          <w:color w:val="231F20"/>
        </w:rPr>
        <w:t>clinic.</w:t>
      </w:r>
      <w:r>
        <w:rPr>
          <w:color w:val="231F20"/>
        </w:rPr>
        <w:t> </w:t>
      </w:r>
      <w:r>
        <w:rPr>
          <w:color w:val="231F20"/>
          <w:spacing w:val="-1"/>
        </w:rPr>
        <w:t>While</w:t>
      </w:r>
      <w:r>
        <w:rPr>
          <w:color w:val="231F20"/>
          <w:spacing w:val="-2"/>
        </w:rPr>
        <w:t> </w:t>
      </w:r>
      <w:r>
        <w:rPr>
          <w:color w:val="231F20"/>
        </w:rPr>
        <w:t>these</w:t>
      </w:r>
      <w:r>
        <w:rPr>
          <w:color w:val="231F20"/>
          <w:spacing w:val="-2"/>
        </w:rPr>
        <w:t> </w:t>
      </w:r>
      <w:r>
        <w:rPr>
          <w:color w:val="231F20"/>
          <w:spacing w:val="-1"/>
        </w:rPr>
        <w:t>services </w:t>
      </w:r>
      <w:r>
        <w:rPr>
          <w:color w:val="231F20"/>
        </w:rPr>
        <w:t>are</w:t>
      </w:r>
      <w:r>
        <w:rPr>
          <w:color w:val="231F20"/>
          <w:spacing w:val="-2"/>
        </w:rPr>
        <w:t> </w:t>
      </w:r>
      <w:r>
        <w:rPr>
          <w:color w:val="231F20"/>
        </w:rPr>
        <w:t>for</w:t>
      </w:r>
      <w:r>
        <w:rPr>
          <w:color w:val="231F20"/>
          <w:spacing w:val="-1"/>
        </w:rPr>
        <w:t> </w:t>
      </w:r>
      <w:r>
        <w:rPr>
          <w:color w:val="231F20"/>
        </w:rPr>
        <w:t>all</w:t>
      </w:r>
      <w:r>
        <w:rPr>
          <w:color w:val="231F20"/>
          <w:spacing w:val="-2"/>
        </w:rPr>
        <w:t> </w:t>
      </w:r>
      <w:r>
        <w:rPr>
          <w:color w:val="231F20"/>
          <w:spacing w:val="-1"/>
        </w:rPr>
        <w:t>students </w:t>
      </w:r>
      <w:r>
        <w:rPr>
          <w:color w:val="231F20"/>
        </w:rPr>
        <w:t>and</w:t>
      </w:r>
      <w:r>
        <w:rPr>
          <w:color w:val="231F20"/>
          <w:spacing w:val="-2"/>
        </w:rPr>
        <w:t> </w:t>
      </w:r>
      <w:r>
        <w:rPr>
          <w:color w:val="231F20"/>
        </w:rPr>
        <w:t>all</w:t>
      </w:r>
      <w:r>
        <w:rPr>
          <w:color w:val="231F20"/>
          <w:spacing w:val="24"/>
        </w:rPr>
        <w:t> </w:t>
      </w:r>
      <w:r>
        <w:rPr>
          <w:color w:val="231F20"/>
        </w:rPr>
        <w:t>boarders</w:t>
      </w:r>
      <w:r>
        <w:rPr>
          <w:color w:val="231F20"/>
          <w:spacing w:val="-8"/>
        </w:rPr>
        <w:t> </w:t>
      </w:r>
      <w:r>
        <w:rPr>
          <w:color w:val="231F20"/>
        </w:rPr>
        <w:t>the</w:t>
      </w:r>
      <w:r>
        <w:rPr>
          <w:color w:val="231F20"/>
          <w:spacing w:val="-8"/>
        </w:rPr>
        <w:t> </w:t>
      </w:r>
      <w:r>
        <w:rPr>
          <w:color w:val="231F20"/>
          <w:spacing w:val="-1"/>
        </w:rPr>
        <w:t>school</w:t>
      </w:r>
      <w:r>
        <w:rPr>
          <w:color w:val="231F20"/>
          <w:spacing w:val="-7"/>
        </w:rPr>
        <w:t> </w:t>
      </w:r>
      <w:r>
        <w:rPr>
          <w:color w:val="231F20"/>
        </w:rPr>
        <w:t>reported</w:t>
      </w:r>
      <w:r>
        <w:rPr>
          <w:color w:val="231F20"/>
          <w:spacing w:val="-8"/>
        </w:rPr>
        <w:t> </w:t>
      </w:r>
      <w:r>
        <w:rPr>
          <w:color w:val="231F20"/>
        </w:rPr>
        <w:t>that</w:t>
      </w:r>
      <w:r>
        <w:rPr>
          <w:color w:val="231F20"/>
          <w:spacing w:val="-8"/>
        </w:rPr>
        <w:t> </w:t>
      </w:r>
      <w:r>
        <w:rPr>
          <w:color w:val="231F20"/>
        </w:rPr>
        <w:t>approximately</w:t>
      </w:r>
      <w:r>
        <w:rPr>
          <w:color w:val="231F20"/>
          <w:spacing w:val="21"/>
          <w:w w:val="99"/>
        </w:rPr>
        <w:t> </w:t>
      </w:r>
      <w:r>
        <w:rPr>
          <w:color w:val="231F20"/>
          <w:spacing w:val="-1"/>
        </w:rPr>
        <w:t>95</w:t>
      </w:r>
      <w:r>
        <w:rPr>
          <w:color w:val="231F20"/>
          <w:spacing w:val="-3"/>
        </w:rPr>
        <w:t> </w:t>
      </w:r>
      <w:r>
        <w:rPr>
          <w:color w:val="231F20"/>
        </w:rPr>
        <w:t>per</w:t>
      </w:r>
      <w:r>
        <w:rPr>
          <w:color w:val="231F20"/>
          <w:spacing w:val="-2"/>
        </w:rPr>
        <w:t> </w:t>
      </w:r>
      <w:r>
        <w:rPr>
          <w:color w:val="231F20"/>
        </w:rPr>
        <w:t>cent</w:t>
      </w:r>
      <w:r>
        <w:rPr>
          <w:color w:val="231F20"/>
          <w:spacing w:val="-3"/>
        </w:rPr>
        <w:t> </w:t>
      </w:r>
      <w:r>
        <w:rPr>
          <w:color w:val="231F20"/>
        </w:rPr>
        <w:t>of</w:t>
      </w:r>
      <w:r>
        <w:rPr>
          <w:color w:val="231F20"/>
          <w:spacing w:val="-2"/>
        </w:rPr>
        <w:t> </w:t>
      </w:r>
      <w:r>
        <w:rPr>
          <w:color w:val="231F20"/>
        </w:rPr>
        <w:t>the</w:t>
      </w:r>
      <w:r>
        <w:rPr>
          <w:color w:val="231F20"/>
          <w:spacing w:val="-3"/>
        </w:rPr>
        <w:t> </w:t>
      </w:r>
      <w:r>
        <w:rPr>
          <w:color w:val="231F20"/>
        </w:rPr>
        <w:t>nurse’s</w:t>
      </w:r>
      <w:r>
        <w:rPr>
          <w:color w:val="231F20"/>
          <w:spacing w:val="-3"/>
        </w:rPr>
        <w:t> </w:t>
      </w:r>
      <w:r>
        <w:rPr>
          <w:color w:val="231F20"/>
        </w:rPr>
        <w:t>time</w:t>
      </w:r>
      <w:r>
        <w:rPr>
          <w:color w:val="231F20"/>
          <w:spacing w:val="-3"/>
        </w:rPr>
        <w:t> </w:t>
      </w:r>
      <w:r>
        <w:rPr>
          <w:color w:val="231F20"/>
          <w:spacing w:val="-1"/>
        </w:rPr>
        <w:t>is</w:t>
      </w:r>
      <w:r>
        <w:rPr>
          <w:color w:val="231F20"/>
          <w:spacing w:val="-3"/>
        </w:rPr>
        <w:t> </w:t>
      </w:r>
      <w:r>
        <w:rPr>
          <w:color w:val="231F20"/>
          <w:spacing w:val="-1"/>
        </w:rPr>
        <w:t>spent</w:t>
      </w:r>
      <w:r>
        <w:rPr>
          <w:color w:val="231F20"/>
          <w:spacing w:val="22"/>
          <w:w w:val="99"/>
        </w:rPr>
        <w:t> </w:t>
      </w:r>
      <w:r>
        <w:rPr>
          <w:color w:val="231F20"/>
        </w:rPr>
        <w:t>addressing</w:t>
      </w:r>
      <w:r>
        <w:rPr>
          <w:color w:val="231F20"/>
          <w:spacing w:val="-6"/>
        </w:rPr>
        <w:t> </w:t>
      </w:r>
      <w:r>
        <w:rPr>
          <w:color w:val="231F20"/>
        </w:rPr>
        <w:t>the</w:t>
      </w:r>
      <w:r>
        <w:rPr>
          <w:color w:val="231F20"/>
          <w:spacing w:val="-6"/>
        </w:rPr>
        <w:t> </w:t>
      </w:r>
      <w:r>
        <w:rPr>
          <w:color w:val="231F20"/>
        </w:rPr>
        <w:t>health</w:t>
      </w:r>
      <w:r>
        <w:rPr>
          <w:color w:val="231F20"/>
          <w:spacing w:val="-5"/>
        </w:rPr>
        <w:t> </w:t>
      </w:r>
      <w:r>
        <w:rPr>
          <w:color w:val="231F20"/>
        </w:rPr>
        <w:t>needs</w:t>
      </w:r>
      <w:r>
        <w:rPr>
          <w:color w:val="231F20"/>
          <w:spacing w:val="-6"/>
        </w:rPr>
        <w:t> </w:t>
      </w:r>
      <w:r>
        <w:rPr>
          <w:color w:val="231F20"/>
        </w:rPr>
        <w:t>of</w:t>
      </w:r>
      <w:r>
        <w:rPr>
          <w:color w:val="231F20"/>
          <w:spacing w:val="-4"/>
        </w:rPr>
        <w:t> </w:t>
      </w:r>
      <w:r>
        <w:rPr>
          <w:color w:val="231F20"/>
          <w:spacing w:val="-1"/>
        </w:rPr>
        <w:t>its</w:t>
      </w:r>
      <w:r>
        <w:rPr>
          <w:color w:val="231F20"/>
          <w:spacing w:val="-5"/>
        </w:rPr>
        <w:t> </w:t>
      </w:r>
      <w:r>
        <w:rPr>
          <w:color w:val="231F20"/>
        </w:rPr>
        <w:t>Aboriginal</w:t>
      </w:r>
      <w:r>
        <w:rPr>
          <w:color w:val="231F20"/>
          <w:spacing w:val="-5"/>
        </w:rPr>
        <w:t> </w:t>
      </w:r>
      <w:r>
        <w:rPr>
          <w:color w:val="231F20"/>
        </w:rPr>
        <w:t>and</w:t>
      </w:r>
      <w:r>
        <w:rPr>
          <w:color w:val="231F20"/>
          <w:spacing w:val="21"/>
          <w:w w:val="99"/>
        </w:rPr>
        <w:t> </w:t>
      </w:r>
      <w:r>
        <w:rPr>
          <w:color w:val="231F20"/>
          <w:spacing w:val="-5"/>
        </w:rPr>
        <w:t>Torres</w:t>
      </w:r>
      <w:r>
        <w:rPr>
          <w:color w:val="231F20"/>
          <w:spacing w:val="-7"/>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boarders.</w:t>
      </w:r>
      <w:r>
        <w:rPr/>
      </w:r>
    </w:p>
    <w:p>
      <w:pPr>
        <w:pStyle w:val="BodyText"/>
        <w:spacing w:line="250" w:lineRule="exact" w:before="113"/>
        <w:ind w:right="342"/>
        <w:jc w:val="left"/>
      </w:pPr>
      <w:r>
        <w:rPr>
          <w:color w:val="231F20"/>
        </w:rPr>
        <w:t>Many</w:t>
      </w:r>
      <w:r>
        <w:rPr>
          <w:color w:val="231F20"/>
          <w:spacing w:val="-4"/>
        </w:rPr>
        <w:t> </w:t>
      </w:r>
      <w:r>
        <w:rPr>
          <w:color w:val="231F20"/>
        </w:rPr>
        <w:t>examples</w:t>
      </w:r>
      <w:r>
        <w:rPr>
          <w:color w:val="231F20"/>
          <w:spacing w:val="-5"/>
        </w:rPr>
        <w:t> </w:t>
      </w:r>
      <w:r>
        <w:rPr>
          <w:color w:val="231F20"/>
        </w:rPr>
        <w:t>were</w:t>
      </w:r>
      <w:r>
        <w:rPr>
          <w:color w:val="231F20"/>
          <w:spacing w:val="-5"/>
        </w:rPr>
        <w:t> </w:t>
      </w:r>
      <w:r>
        <w:rPr>
          <w:color w:val="231F20"/>
        </w:rPr>
        <w:t>provided</w:t>
      </w:r>
      <w:r>
        <w:rPr>
          <w:color w:val="231F20"/>
          <w:spacing w:val="-5"/>
        </w:rPr>
        <w:t> </w:t>
      </w:r>
      <w:r>
        <w:rPr>
          <w:color w:val="231F20"/>
        </w:rPr>
        <w:t>of</w:t>
      </w:r>
      <w:r>
        <w:rPr>
          <w:color w:val="231F20"/>
          <w:spacing w:val="-3"/>
        </w:rPr>
        <w:t> </w:t>
      </w:r>
      <w:r>
        <w:rPr>
          <w:color w:val="231F20"/>
          <w:spacing w:val="-1"/>
        </w:rPr>
        <w:t>successful</w:t>
      </w:r>
      <w:r>
        <w:rPr>
          <w:color w:val="231F20"/>
          <w:spacing w:val="20"/>
        </w:rPr>
        <w:t> </w:t>
      </w:r>
      <w:r>
        <w:rPr>
          <w:color w:val="231F20"/>
          <w:spacing w:val="-1"/>
        </w:rPr>
        <w:t>support</w:t>
      </w:r>
      <w:r>
        <w:rPr>
          <w:color w:val="231F20"/>
          <w:spacing w:val="-4"/>
        </w:rPr>
        <w:t> </w:t>
      </w:r>
      <w:r>
        <w:rPr>
          <w:color w:val="231F20"/>
          <w:spacing w:val="-1"/>
        </w:rPr>
        <w:t>services</w:t>
      </w:r>
      <w:r>
        <w:rPr>
          <w:color w:val="231F20"/>
          <w:spacing w:val="-4"/>
        </w:rPr>
        <w:t> </w:t>
      </w:r>
      <w:r>
        <w:rPr>
          <w:color w:val="231F20"/>
        </w:rPr>
        <w:t>for</w:t>
      </w:r>
      <w:r>
        <w:rPr>
          <w:color w:val="231F20"/>
          <w:spacing w:val="-4"/>
        </w:rPr>
        <w:t> </w:t>
      </w:r>
      <w:r>
        <w:rPr>
          <w:color w:val="231F20"/>
        </w:rPr>
        <w:t>boarding</w:t>
      </w:r>
      <w:r>
        <w:rPr>
          <w:color w:val="231F20"/>
          <w:spacing w:val="-5"/>
        </w:rPr>
        <w:t> </w:t>
      </w:r>
      <w:r>
        <w:rPr>
          <w:color w:val="231F20"/>
          <w:spacing w:val="-1"/>
        </w:rPr>
        <w:t>students</w:t>
      </w:r>
      <w:r>
        <w:rPr>
          <w:color w:val="231F20"/>
          <w:spacing w:val="-4"/>
        </w:rPr>
        <w:t> </w:t>
      </w:r>
      <w:r>
        <w:rPr>
          <w:color w:val="231F20"/>
        </w:rPr>
        <w:t>but</w:t>
      </w:r>
      <w:r>
        <w:rPr>
          <w:color w:val="231F20"/>
          <w:spacing w:val="-5"/>
        </w:rPr>
        <w:t> </w:t>
      </w:r>
      <w:r>
        <w:rPr>
          <w:color w:val="231F20"/>
        </w:rPr>
        <w:t>the</w:t>
      </w:r>
      <w:r>
        <w:rPr>
          <w:color w:val="231F20"/>
          <w:spacing w:val="24"/>
          <w:w w:val="99"/>
        </w:rPr>
        <w:t> </w:t>
      </w:r>
      <w:r>
        <w:rPr>
          <w:color w:val="231F20"/>
        </w:rPr>
        <w:t>extent</w:t>
      </w:r>
      <w:r>
        <w:rPr>
          <w:color w:val="231F20"/>
          <w:spacing w:val="-4"/>
        </w:rPr>
        <w:t> </w:t>
      </w:r>
      <w:r>
        <w:rPr>
          <w:color w:val="231F20"/>
        </w:rPr>
        <w:t>and</w:t>
      </w:r>
      <w:r>
        <w:rPr>
          <w:color w:val="231F20"/>
          <w:spacing w:val="-4"/>
        </w:rPr>
        <w:t> </w:t>
      </w:r>
      <w:r>
        <w:rPr>
          <w:color w:val="231F20"/>
          <w:spacing w:val="-1"/>
        </w:rPr>
        <w:t>level</w:t>
      </w:r>
      <w:r>
        <w:rPr>
          <w:color w:val="231F20"/>
          <w:spacing w:val="-4"/>
        </w:rPr>
        <w:t> </w:t>
      </w:r>
      <w:r>
        <w:rPr>
          <w:color w:val="231F20"/>
        </w:rPr>
        <w:t>of</w:t>
      </w:r>
      <w:r>
        <w:rPr>
          <w:color w:val="231F20"/>
          <w:spacing w:val="-3"/>
        </w:rPr>
        <w:t> </w:t>
      </w:r>
      <w:r>
        <w:rPr>
          <w:color w:val="231F20"/>
        </w:rPr>
        <w:t>the</w:t>
      </w:r>
      <w:r>
        <w:rPr>
          <w:color w:val="231F20"/>
          <w:spacing w:val="-5"/>
        </w:rPr>
        <w:t> </w:t>
      </w:r>
      <w:r>
        <w:rPr>
          <w:color w:val="231F20"/>
          <w:spacing w:val="-1"/>
        </w:rPr>
        <w:t>services</w:t>
      </w:r>
      <w:r>
        <w:rPr>
          <w:color w:val="231F20"/>
          <w:spacing w:val="-3"/>
        </w:rPr>
        <w:t> </w:t>
      </w:r>
      <w:r>
        <w:rPr>
          <w:color w:val="231F20"/>
        </w:rPr>
        <w:t>varied</w:t>
      </w:r>
      <w:r>
        <w:rPr>
          <w:color w:val="231F20"/>
          <w:spacing w:val="-4"/>
        </w:rPr>
        <w:t> </w:t>
      </w:r>
      <w:r>
        <w:rPr>
          <w:color w:val="231F20"/>
        </w:rPr>
        <w:t>across</w:t>
      </w:r>
      <w:r>
        <w:rPr>
          <w:color w:val="231F20"/>
          <w:spacing w:val="23"/>
          <w:w w:val="99"/>
        </w:rPr>
        <w:t> </w:t>
      </w:r>
      <w:r>
        <w:rPr>
          <w:color w:val="231F20"/>
        </w:rPr>
        <w:t>the</w:t>
      </w:r>
      <w:r>
        <w:rPr>
          <w:color w:val="231F20"/>
          <w:spacing w:val="-8"/>
        </w:rPr>
        <w:t> </w:t>
      </w:r>
      <w:r>
        <w:rPr>
          <w:color w:val="231F20"/>
        </w:rPr>
        <w:t>boarding</w:t>
      </w:r>
      <w:r>
        <w:rPr>
          <w:color w:val="231F20"/>
          <w:spacing w:val="-7"/>
        </w:rPr>
        <w:t> </w:t>
      </w:r>
      <w:r>
        <w:rPr>
          <w:color w:val="231F20"/>
        </w:rPr>
        <w:t>providers</w:t>
      </w:r>
      <w:r>
        <w:rPr>
          <w:color w:val="231F20"/>
          <w:spacing w:val="-7"/>
        </w:rPr>
        <w:t> </w:t>
      </w:r>
      <w:r>
        <w:rPr>
          <w:color w:val="231F20"/>
        </w:rPr>
        <w:t>and</w:t>
      </w:r>
      <w:r>
        <w:rPr>
          <w:color w:val="231F20"/>
          <w:spacing w:val="-7"/>
        </w:rPr>
        <w:t> </w:t>
      </w:r>
      <w:r>
        <w:rPr>
          <w:color w:val="231F20"/>
        </w:rPr>
        <w:t>very</w:t>
      </w:r>
      <w:r>
        <w:rPr>
          <w:color w:val="231F20"/>
          <w:spacing w:val="-7"/>
        </w:rPr>
        <w:t> </w:t>
      </w:r>
      <w:r>
        <w:rPr>
          <w:color w:val="231F20"/>
        </w:rPr>
        <w:t>few</w:t>
      </w:r>
      <w:r>
        <w:rPr>
          <w:color w:val="231F20"/>
          <w:spacing w:val="-6"/>
        </w:rPr>
        <w:t> </w:t>
      </w:r>
      <w:r>
        <w:rPr>
          <w:color w:val="231F20"/>
        </w:rPr>
        <w:t>providers</w:t>
      </w:r>
      <w:r>
        <w:rPr>
          <w:color w:val="231F20"/>
          <w:w w:val="99"/>
        </w:rPr>
        <w:t> </w:t>
      </w:r>
      <w:r>
        <w:rPr>
          <w:color w:val="231F20"/>
          <w:spacing w:val="-1"/>
        </w:rPr>
        <w:t>kept</w:t>
      </w:r>
      <w:r>
        <w:rPr>
          <w:color w:val="231F20"/>
          <w:spacing w:val="-6"/>
        </w:rPr>
        <w:t> </w:t>
      </w:r>
      <w:r>
        <w:rPr>
          <w:color w:val="231F20"/>
        </w:rPr>
        <w:t>accurate</w:t>
      </w:r>
      <w:r>
        <w:rPr>
          <w:color w:val="231F20"/>
          <w:spacing w:val="-6"/>
        </w:rPr>
        <w:t> </w:t>
      </w:r>
      <w:r>
        <w:rPr>
          <w:color w:val="231F20"/>
        </w:rPr>
        <w:t>and</w:t>
      </w:r>
      <w:r>
        <w:rPr>
          <w:color w:val="231F20"/>
          <w:spacing w:val="-6"/>
        </w:rPr>
        <w:t> </w:t>
      </w:r>
      <w:r>
        <w:rPr>
          <w:color w:val="231F20"/>
        </w:rPr>
        <w:t>reliable</w:t>
      </w:r>
      <w:r>
        <w:rPr>
          <w:color w:val="231F20"/>
          <w:spacing w:val="-6"/>
        </w:rPr>
        <w:t> </w:t>
      </w:r>
      <w:r>
        <w:rPr>
          <w:color w:val="231F20"/>
        </w:rPr>
        <w:t>data</w:t>
      </w:r>
      <w:r>
        <w:rPr>
          <w:color w:val="231F20"/>
          <w:spacing w:val="-6"/>
        </w:rPr>
        <w:t> </w:t>
      </w:r>
      <w:r>
        <w:rPr>
          <w:color w:val="231F20"/>
        </w:rPr>
        <w:t>relating</w:t>
      </w:r>
      <w:r>
        <w:rPr>
          <w:color w:val="231F20"/>
          <w:spacing w:val="-7"/>
        </w:rPr>
        <w:t> </w:t>
      </w:r>
      <w:r>
        <w:rPr>
          <w:color w:val="231F20"/>
        </w:rPr>
        <w:t>to</w:t>
      </w:r>
      <w:r>
        <w:rPr>
          <w:color w:val="231F20"/>
          <w:spacing w:val="-5"/>
        </w:rPr>
        <w:t> </w:t>
      </w:r>
      <w:r>
        <w:rPr>
          <w:color w:val="231F20"/>
        </w:rPr>
        <w:t>the</w:t>
      </w:r>
      <w:r>
        <w:rPr/>
      </w:r>
    </w:p>
    <w:p>
      <w:pPr>
        <w:pStyle w:val="BodyText"/>
        <w:spacing w:line="242" w:lineRule="exact"/>
        <w:ind w:right="0"/>
        <w:jc w:val="left"/>
      </w:pPr>
      <w:r>
        <w:rPr>
          <w:color w:val="231F20"/>
        </w:rPr>
        <w:t>actual</w:t>
      </w:r>
      <w:r>
        <w:rPr>
          <w:color w:val="231F20"/>
          <w:spacing w:val="-5"/>
        </w:rPr>
        <w:t> </w:t>
      </w:r>
      <w:r>
        <w:rPr>
          <w:color w:val="231F20"/>
        </w:rPr>
        <w:t>cost</w:t>
      </w:r>
      <w:r>
        <w:rPr>
          <w:color w:val="231F20"/>
          <w:spacing w:val="-4"/>
        </w:rPr>
        <w:t> </w:t>
      </w:r>
      <w:r>
        <w:rPr>
          <w:color w:val="231F20"/>
        </w:rPr>
        <w:t>(direct</w:t>
      </w:r>
      <w:r>
        <w:rPr>
          <w:color w:val="231F20"/>
          <w:spacing w:val="-4"/>
        </w:rPr>
        <w:t> </w:t>
      </w:r>
      <w:r>
        <w:rPr>
          <w:color w:val="231F20"/>
        </w:rPr>
        <w:t>and</w:t>
      </w:r>
      <w:r>
        <w:rPr>
          <w:color w:val="231F20"/>
          <w:spacing w:val="-5"/>
        </w:rPr>
        <w:t> </w:t>
      </w:r>
      <w:r>
        <w:rPr>
          <w:color w:val="231F20"/>
          <w:spacing w:val="-1"/>
        </w:rPr>
        <w:t>indirect)</w:t>
      </w:r>
      <w:r>
        <w:rPr>
          <w:color w:val="231F20"/>
          <w:spacing w:val="-3"/>
        </w:rPr>
        <w:t> </w:t>
      </w:r>
      <w:r>
        <w:rPr>
          <w:color w:val="231F20"/>
        </w:rPr>
        <w:t>of</w:t>
      </w:r>
      <w:r>
        <w:rPr>
          <w:color w:val="231F20"/>
          <w:spacing w:val="-3"/>
        </w:rPr>
        <w:t> </w:t>
      </w:r>
      <w:r>
        <w:rPr>
          <w:color w:val="231F20"/>
        </w:rPr>
        <w:t>these</w:t>
      </w:r>
      <w:r>
        <w:rPr>
          <w:color w:val="231F20"/>
          <w:spacing w:val="-5"/>
        </w:rPr>
        <w:t> </w:t>
      </w:r>
      <w:r>
        <w:rPr>
          <w:color w:val="231F20"/>
          <w:spacing w:val="-1"/>
        </w:rPr>
        <w:t>services.</w:t>
      </w:r>
      <w:r>
        <w:rPr/>
      </w:r>
    </w:p>
    <w:p>
      <w:pPr>
        <w:pStyle w:val="BodyText"/>
        <w:spacing w:line="250" w:lineRule="exact" w:before="8"/>
        <w:ind w:right="418"/>
        <w:jc w:val="left"/>
      </w:pPr>
      <w:r>
        <w:rPr>
          <w:color w:val="231F20"/>
        </w:rPr>
        <w:t>The</w:t>
      </w:r>
      <w:r>
        <w:rPr>
          <w:color w:val="231F20"/>
          <w:spacing w:val="-5"/>
        </w:rPr>
        <w:t> </w:t>
      </w:r>
      <w:r>
        <w:rPr>
          <w:color w:val="231F20"/>
        </w:rPr>
        <w:t>variance</w:t>
      </w:r>
      <w:r>
        <w:rPr>
          <w:color w:val="231F20"/>
          <w:spacing w:val="-4"/>
        </w:rPr>
        <w:t> </w:t>
      </w:r>
      <w:r>
        <w:rPr>
          <w:color w:val="231F20"/>
          <w:spacing w:val="-1"/>
        </w:rPr>
        <w:t>in</w:t>
      </w:r>
      <w:r>
        <w:rPr>
          <w:color w:val="231F20"/>
          <w:spacing w:val="-4"/>
        </w:rPr>
        <w:t> </w:t>
      </w:r>
      <w:r>
        <w:rPr>
          <w:color w:val="231F20"/>
          <w:spacing w:val="-1"/>
        </w:rPr>
        <w:t>support</w:t>
      </w:r>
      <w:r>
        <w:rPr>
          <w:color w:val="231F20"/>
          <w:spacing w:val="-5"/>
        </w:rPr>
        <w:t> </w:t>
      </w:r>
      <w:r>
        <w:rPr>
          <w:color w:val="231F20"/>
          <w:spacing w:val="-1"/>
        </w:rPr>
        <w:t>services</w:t>
      </w:r>
      <w:r>
        <w:rPr>
          <w:color w:val="231F20"/>
          <w:spacing w:val="-4"/>
        </w:rPr>
        <w:t> </w:t>
      </w:r>
      <w:r>
        <w:rPr>
          <w:color w:val="231F20"/>
          <w:spacing w:val="-1"/>
        </w:rPr>
        <w:t>is</w:t>
      </w:r>
      <w:r>
        <w:rPr>
          <w:color w:val="231F20"/>
          <w:spacing w:val="-5"/>
        </w:rPr>
        <w:t> </w:t>
      </w:r>
      <w:r>
        <w:rPr>
          <w:color w:val="231F20"/>
        </w:rPr>
        <w:t>explained</w:t>
      </w:r>
      <w:r>
        <w:rPr>
          <w:color w:val="231F20"/>
          <w:spacing w:val="25"/>
          <w:w w:val="99"/>
        </w:rPr>
        <w:t> </w:t>
      </w:r>
      <w:r>
        <w:rPr>
          <w:color w:val="231F20"/>
        </w:rPr>
        <w:t>by</w:t>
      </w:r>
      <w:r>
        <w:rPr>
          <w:color w:val="231F20"/>
          <w:spacing w:val="-5"/>
        </w:rPr>
        <w:t> </w:t>
      </w:r>
      <w:r>
        <w:rPr>
          <w:color w:val="231F20"/>
        </w:rPr>
        <w:t>the</w:t>
      </w:r>
      <w:r>
        <w:rPr>
          <w:color w:val="231F20"/>
          <w:spacing w:val="-5"/>
        </w:rPr>
        <w:t> </w:t>
      </w:r>
      <w:r>
        <w:rPr>
          <w:color w:val="231F20"/>
        </w:rPr>
        <w:t>need</w:t>
      </w:r>
      <w:r>
        <w:rPr>
          <w:color w:val="231F20"/>
          <w:spacing w:val="-5"/>
        </w:rPr>
        <w:t> </w:t>
      </w:r>
      <w:r>
        <w:rPr>
          <w:color w:val="231F20"/>
        </w:rPr>
        <w:t>to</w:t>
      </w:r>
      <w:r>
        <w:rPr>
          <w:color w:val="231F20"/>
          <w:spacing w:val="-4"/>
        </w:rPr>
        <w:t> </w:t>
      </w:r>
      <w:r>
        <w:rPr>
          <w:color w:val="231F20"/>
        </w:rPr>
        <w:t>develop</w:t>
      </w:r>
      <w:r>
        <w:rPr>
          <w:color w:val="231F20"/>
          <w:spacing w:val="-5"/>
        </w:rPr>
        <w:t> </w:t>
      </w:r>
      <w:r>
        <w:rPr>
          <w:color w:val="231F20"/>
          <w:spacing w:val="-1"/>
        </w:rPr>
        <w:t>individualised</w:t>
      </w:r>
      <w:r>
        <w:rPr>
          <w:color w:val="231F20"/>
          <w:spacing w:val="-5"/>
        </w:rPr>
        <w:t> </w:t>
      </w:r>
      <w:r>
        <w:rPr>
          <w:color w:val="231F20"/>
          <w:spacing w:val="-1"/>
        </w:rPr>
        <w:t>support</w:t>
      </w:r>
      <w:r>
        <w:rPr/>
      </w:r>
    </w:p>
    <w:p>
      <w:pPr>
        <w:pStyle w:val="BodyText"/>
        <w:spacing w:line="250" w:lineRule="exact"/>
        <w:ind w:right="153"/>
        <w:jc w:val="left"/>
      </w:pPr>
      <w:r>
        <w:rPr>
          <w:color w:val="231F20"/>
          <w:spacing w:val="-1"/>
        </w:rPr>
        <w:t>services</w:t>
      </w:r>
      <w:r>
        <w:rPr>
          <w:color w:val="231F20"/>
          <w:spacing w:val="-4"/>
        </w:rPr>
        <w:t> </w:t>
      </w:r>
      <w:r>
        <w:rPr>
          <w:color w:val="231F20"/>
          <w:spacing w:val="-1"/>
        </w:rPr>
        <w:t>suited</w:t>
      </w:r>
      <w:r>
        <w:rPr>
          <w:color w:val="231F20"/>
          <w:spacing w:val="-3"/>
        </w:rPr>
        <w:t> </w:t>
      </w:r>
      <w:r>
        <w:rPr>
          <w:color w:val="231F20"/>
        </w:rPr>
        <w:t>to</w:t>
      </w:r>
      <w:r>
        <w:rPr>
          <w:color w:val="231F20"/>
          <w:spacing w:val="-3"/>
        </w:rPr>
        <w:t> </w:t>
      </w:r>
      <w:r>
        <w:rPr>
          <w:color w:val="231F20"/>
        </w:rPr>
        <w:t>the</w:t>
      </w:r>
      <w:r>
        <w:rPr>
          <w:color w:val="231F20"/>
          <w:spacing w:val="-4"/>
        </w:rPr>
        <w:t> </w:t>
      </w:r>
      <w:r>
        <w:rPr>
          <w:color w:val="231F20"/>
        </w:rPr>
        <w:t>needs</w:t>
      </w:r>
      <w:r>
        <w:rPr>
          <w:color w:val="231F20"/>
          <w:spacing w:val="-4"/>
        </w:rPr>
        <w:t> </w:t>
      </w:r>
      <w:r>
        <w:rPr>
          <w:color w:val="231F20"/>
        </w:rPr>
        <w:t>of</w:t>
      </w:r>
      <w:r>
        <w:rPr>
          <w:color w:val="231F20"/>
          <w:spacing w:val="-3"/>
        </w:rPr>
        <w:t> </w:t>
      </w:r>
      <w:r>
        <w:rPr>
          <w:color w:val="231F20"/>
        </w:rPr>
        <w:t>particular</w:t>
      </w:r>
      <w:r>
        <w:rPr>
          <w:color w:val="231F20"/>
          <w:spacing w:val="-4"/>
        </w:rPr>
        <w:t> </w:t>
      </w:r>
      <w:r>
        <w:rPr>
          <w:color w:val="231F20"/>
        </w:rPr>
        <w:t>cohorts</w:t>
      </w:r>
      <w:r>
        <w:rPr>
          <w:color w:val="231F20"/>
          <w:spacing w:val="23"/>
          <w:w w:val="99"/>
        </w:rPr>
        <w:t> </w:t>
      </w:r>
      <w:r>
        <w:rPr>
          <w:color w:val="231F20"/>
        </w:rPr>
        <w:t>of</w:t>
      </w:r>
      <w:r>
        <w:rPr>
          <w:color w:val="231F20"/>
          <w:spacing w:val="-7"/>
        </w:rPr>
        <w:t> </w:t>
      </w:r>
      <w:r>
        <w:rPr>
          <w:color w:val="231F20"/>
        </w:rPr>
        <w:t>boarders.</w:t>
      </w:r>
      <w:r>
        <w:rPr>
          <w:color w:val="231F20"/>
          <w:spacing w:val="-7"/>
        </w:rPr>
        <w:t> </w:t>
      </w:r>
      <w:r>
        <w:rPr>
          <w:color w:val="231F20"/>
        </w:rPr>
        <w:t>The</w:t>
      </w:r>
      <w:r>
        <w:rPr>
          <w:color w:val="231F20"/>
          <w:spacing w:val="-7"/>
        </w:rPr>
        <w:t> </w:t>
      </w:r>
      <w:r>
        <w:rPr>
          <w:color w:val="231F20"/>
        </w:rPr>
        <w:t>boarding</w:t>
      </w:r>
      <w:r>
        <w:rPr>
          <w:color w:val="231F20"/>
          <w:spacing w:val="-7"/>
        </w:rPr>
        <w:t> </w:t>
      </w:r>
      <w:r>
        <w:rPr>
          <w:color w:val="231F20"/>
        </w:rPr>
        <w:t>providers</w:t>
      </w:r>
      <w:r>
        <w:rPr>
          <w:color w:val="231F20"/>
          <w:spacing w:val="-7"/>
        </w:rPr>
        <w:t> </w:t>
      </w:r>
      <w:r>
        <w:rPr>
          <w:color w:val="231F20"/>
        </w:rPr>
        <w:t>noted</w:t>
      </w:r>
      <w:r>
        <w:rPr>
          <w:color w:val="231F20"/>
          <w:spacing w:val="-8"/>
        </w:rPr>
        <w:t> </w:t>
      </w:r>
      <w:r>
        <w:rPr>
          <w:color w:val="231F20"/>
        </w:rPr>
        <w:t>that</w:t>
      </w:r>
      <w:r>
        <w:rPr>
          <w:color w:val="231F20"/>
          <w:w w:val="99"/>
        </w:rPr>
        <w:t> </w:t>
      </w:r>
      <w:r>
        <w:rPr>
          <w:color w:val="231F20"/>
        </w:rPr>
        <w:t>the</w:t>
      </w:r>
      <w:r>
        <w:rPr>
          <w:color w:val="231F20"/>
          <w:spacing w:val="-4"/>
        </w:rPr>
        <w:t> </w:t>
      </w:r>
      <w:r>
        <w:rPr>
          <w:color w:val="231F20"/>
        </w:rPr>
        <w:t>cost</w:t>
      </w:r>
      <w:r>
        <w:rPr>
          <w:color w:val="231F20"/>
          <w:spacing w:val="-4"/>
        </w:rPr>
        <w:t> </w:t>
      </w:r>
      <w:r>
        <w:rPr>
          <w:color w:val="231F20"/>
        </w:rPr>
        <w:t>of</w:t>
      </w:r>
      <w:r>
        <w:rPr>
          <w:color w:val="231F20"/>
          <w:spacing w:val="-3"/>
        </w:rPr>
        <w:t> </w:t>
      </w:r>
      <w:r>
        <w:rPr>
          <w:color w:val="231F20"/>
        </w:rPr>
        <w:t>these</w:t>
      </w:r>
      <w:r>
        <w:rPr>
          <w:color w:val="231F20"/>
          <w:spacing w:val="-3"/>
        </w:rPr>
        <w:t> </w:t>
      </w:r>
      <w:r>
        <w:rPr>
          <w:color w:val="231F20"/>
          <w:spacing w:val="-1"/>
        </w:rPr>
        <w:t>support</w:t>
      </w:r>
      <w:r>
        <w:rPr>
          <w:color w:val="231F20"/>
          <w:spacing w:val="-3"/>
        </w:rPr>
        <w:t> </w:t>
      </w:r>
      <w:r>
        <w:rPr>
          <w:color w:val="231F20"/>
          <w:spacing w:val="-1"/>
        </w:rPr>
        <w:t>services</w:t>
      </w:r>
      <w:r>
        <w:rPr>
          <w:color w:val="231F20"/>
          <w:spacing w:val="-3"/>
        </w:rPr>
        <w:t> </w:t>
      </w:r>
      <w:r>
        <w:rPr>
          <w:color w:val="231F20"/>
        </w:rPr>
        <w:t>are</w:t>
      </w:r>
      <w:r>
        <w:rPr>
          <w:color w:val="231F20"/>
          <w:spacing w:val="-3"/>
        </w:rPr>
        <w:t> </w:t>
      </w:r>
      <w:r>
        <w:rPr>
          <w:color w:val="231F20"/>
        </w:rPr>
        <w:t>high</w:t>
      </w:r>
      <w:r>
        <w:rPr>
          <w:color w:val="231F20"/>
          <w:spacing w:val="-4"/>
        </w:rPr>
        <w:t> </w:t>
      </w:r>
      <w:r>
        <w:rPr>
          <w:color w:val="231F20"/>
        </w:rPr>
        <w:t>and</w:t>
      </w:r>
      <w:r>
        <w:rPr>
          <w:color w:val="231F20"/>
          <w:spacing w:val="23"/>
          <w:w w:val="99"/>
        </w:rPr>
        <w:t> </w:t>
      </w:r>
      <w:r>
        <w:rPr>
          <w:color w:val="231F20"/>
        </w:rPr>
        <w:t>are</w:t>
      </w:r>
      <w:r>
        <w:rPr>
          <w:color w:val="231F20"/>
          <w:spacing w:val="-5"/>
        </w:rPr>
        <w:t> </w:t>
      </w:r>
      <w:r>
        <w:rPr>
          <w:color w:val="231F20"/>
        </w:rPr>
        <w:t>funded</w:t>
      </w:r>
      <w:r>
        <w:rPr>
          <w:color w:val="231F20"/>
          <w:spacing w:val="-3"/>
        </w:rPr>
        <w:t> </w:t>
      </w:r>
      <w:r>
        <w:rPr>
          <w:color w:val="231F20"/>
        </w:rPr>
        <w:t>not</w:t>
      </w:r>
      <w:r>
        <w:rPr>
          <w:color w:val="231F20"/>
          <w:spacing w:val="-3"/>
        </w:rPr>
        <w:t> </w:t>
      </w:r>
      <w:r>
        <w:rPr>
          <w:color w:val="231F20"/>
          <w:spacing w:val="-1"/>
        </w:rPr>
        <w:t>just</w:t>
      </w:r>
      <w:r>
        <w:rPr>
          <w:color w:val="231F20"/>
          <w:spacing w:val="-3"/>
        </w:rPr>
        <w:t> </w:t>
      </w:r>
      <w:r>
        <w:rPr>
          <w:color w:val="231F20"/>
        </w:rPr>
        <w:t>from</w:t>
      </w:r>
      <w:r>
        <w:rPr>
          <w:color w:val="231F20"/>
          <w:spacing w:val="-3"/>
        </w:rPr>
        <w:t> </w:t>
      </w:r>
      <w:r>
        <w:rPr>
          <w:color w:val="231F20"/>
        </w:rPr>
        <w:t>ABSTUDY</w:t>
      </w:r>
      <w:r>
        <w:rPr>
          <w:color w:val="231F20"/>
          <w:spacing w:val="-4"/>
        </w:rPr>
        <w:t> </w:t>
      </w:r>
      <w:r>
        <w:rPr>
          <w:color w:val="231F20"/>
        </w:rPr>
        <w:t>but</w:t>
      </w:r>
      <w:r>
        <w:rPr>
          <w:color w:val="231F20"/>
          <w:spacing w:val="-4"/>
        </w:rPr>
        <w:t> </w:t>
      </w:r>
      <w:r>
        <w:rPr>
          <w:color w:val="231F20"/>
        </w:rPr>
        <w:t>from</w:t>
      </w:r>
      <w:r>
        <w:rPr>
          <w:color w:val="231F20"/>
          <w:spacing w:val="-3"/>
        </w:rPr>
        <w:t> </w:t>
      </w:r>
      <w:r>
        <w:rPr>
          <w:color w:val="231F20"/>
        </w:rPr>
        <w:t>a</w:t>
      </w:r>
      <w:r>
        <w:rPr>
          <w:color w:val="231F20"/>
          <w:spacing w:val="21"/>
          <w:w w:val="99"/>
        </w:rPr>
        <w:t> </w:t>
      </w:r>
      <w:r>
        <w:rPr>
          <w:color w:val="231F20"/>
        </w:rPr>
        <w:t>variety</w:t>
      </w:r>
      <w:r>
        <w:rPr>
          <w:color w:val="231F20"/>
          <w:spacing w:val="-7"/>
        </w:rPr>
        <w:t> </w:t>
      </w:r>
      <w:r>
        <w:rPr>
          <w:color w:val="231F20"/>
        </w:rPr>
        <w:t>of</w:t>
      </w:r>
      <w:r>
        <w:rPr>
          <w:color w:val="231F20"/>
          <w:spacing w:val="-6"/>
        </w:rPr>
        <w:t> </w:t>
      </w:r>
      <w:r>
        <w:rPr>
          <w:color w:val="231F20"/>
          <w:spacing w:val="-1"/>
        </w:rPr>
        <w:t>income</w:t>
      </w:r>
      <w:r>
        <w:rPr>
          <w:color w:val="231F20"/>
          <w:spacing w:val="-6"/>
        </w:rPr>
        <w:t> </w:t>
      </w:r>
      <w:r>
        <w:rPr>
          <w:color w:val="231F20"/>
          <w:spacing w:val="-1"/>
        </w:rPr>
        <w:t>sources,</w:t>
      </w:r>
      <w:r>
        <w:rPr>
          <w:color w:val="231F20"/>
          <w:spacing w:val="-6"/>
        </w:rPr>
        <w:t> </w:t>
      </w:r>
      <w:r>
        <w:rPr>
          <w:color w:val="231F20"/>
          <w:spacing w:val="-1"/>
        </w:rPr>
        <w:t>including</w:t>
      </w:r>
      <w:r>
        <w:rPr>
          <w:color w:val="231F20"/>
          <w:spacing w:val="-6"/>
        </w:rPr>
        <w:t> </w:t>
      </w:r>
      <w:r>
        <w:rPr>
          <w:color w:val="231F20"/>
        </w:rPr>
        <w:t>recurrent</w:t>
      </w:r>
      <w:r>
        <w:rPr>
          <w:color w:val="231F20"/>
          <w:spacing w:val="24"/>
          <w:w w:val="99"/>
        </w:rPr>
        <w:t> </w:t>
      </w:r>
      <w:r>
        <w:rPr>
          <w:color w:val="231F20"/>
        </w:rPr>
        <w:t>funding.</w:t>
      </w:r>
      <w:r>
        <w:rPr>
          <w:color w:val="231F20"/>
          <w:spacing w:val="-5"/>
        </w:rPr>
        <w:t> </w:t>
      </w:r>
      <w:r>
        <w:rPr>
          <w:color w:val="231F20"/>
          <w:spacing w:val="-1"/>
        </w:rPr>
        <w:t>While</w:t>
      </w:r>
      <w:r>
        <w:rPr>
          <w:color w:val="231F20"/>
          <w:spacing w:val="-5"/>
        </w:rPr>
        <w:t> </w:t>
      </w:r>
      <w:r>
        <w:rPr>
          <w:color w:val="231F20"/>
          <w:spacing w:val="-1"/>
        </w:rPr>
        <w:t>some</w:t>
      </w:r>
      <w:r>
        <w:rPr>
          <w:color w:val="231F20"/>
          <w:spacing w:val="-5"/>
        </w:rPr>
        <w:t> </w:t>
      </w:r>
      <w:r>
        <w:rPr>
          <w:color w:val="231F20"/>
        </w:rPr>
        <w:t>boarding</w:t>
      </w:r>
      <w:r>
        <w:rPr>
          <w:color w:val="231F20"/>
          <w:spacing w:val="-5"/>
        </w:rPr>
        <w:t> </w:t>
      </w:r>
      <w:r>
        <w:rPr>
          <w:color w:val="231F20"/>
        </w:rPr>
        <w:t>providers</w:t>
      </w:r>
      <w:r>
        <w:rPr>
          <w:color w:val="231F20"/>
          <w:spacing w:val="-6"/>
        </w:rPr>
        <w:t> </w:t>
      </w:r>
      <w:r>
        <w:rPr>
          <w:color w:val="231F20"/>
        </w:rPr>
        <w:t>access</w:t>
      </w:r>
      <w:r>
        <w:rPr>
          <w:color w:val="231F20"/>
          <w:spacing w:val="23"/>
        </w:rPr>
        <w:t> </w:t>
      </w:r>
      <w:r>
        <w:rPr>
          <w:color w:val="231F20"/>
        </w:rPr>
        <w:t>free</w:t>
      </w:r>
      <w:r>
        <w:rPr>
          <w:color w:val="231F20"/>
          <w:spacing w:val="-5"/>
        </w:rPr>
        <w:t> </w:t>
      </w:r>
      <w:r>
        <w:rPr>
          <w:color w:val="231F20"/>
        </w:rPr>
        <w:t>government</w:t>
      </w:r>
      <w:r>
        <w:rPr>
          <w:color w:val="231F20"/>
          <w:spacing w:val="-5"/>
        </w:rPr>
        <w:t> </w:t>
      </w:r>
      <w:r>
        <w:rPr>
          <w:color w:val="231F20"/>
        </w:rPr>
        <w:t>health</w:t>
      </w:r>
      <w:r>
        <w:rPr>
          <w:color w:val="231F20"/>
          <w:spacing w:val="-5"/>
        </w:rPr>
        <w:t> </w:t>
      </w:r>
      <w:r>
        <w:rPr>
          <w:color w:val="231F20"/>
          <w:spacing w:val="-1"/>
        </w:rPr>
        <w:t>services</w:t>
      </w:r>
      <w:r>
        <w:rPr>
          <w:color w:val="231F20"/>
          <w:spacing w:val="-4"/>
        </w:rPr>
        <w:t> </w:t>
      </w:r>
      <w:r>
        <w:rPr>
          <w:color w:val="231F20"/>
          <w:spacing w:val="-1"/>
        </w:rPr>
        <w:t>it</w:t>
      </w:r>
      <w:r>
        <w:rPr>
          <w:color w:val="231F20"/>
          <w:spacing w:val="-4"/>
        </w:rPr>
        <w:t> </w:t>
      </w:r>
      <w:r>
        <w:rPr>
          <w:color w:val="231F20"/>
          <w:spacing w:val="-1"/>
        </w:rPr>
        <w:t>is</w:t>
      </w:r>
      <w:r>
        <w:rPr>
          <w:color w:val="231F20"/>
          <w:spacing w:val="-5"/>
        </w:rPr>
        <w:t> </w:t>
      </w:r>
      <w:r>
        <w:rPr>
          <w:color w:val="231F20"/>
        </w:rPr>
        <w:t>not</w:t>
      </w:r>
      <w:r>
        <w:rPr>
          <w:color w:val="231F20"/>
          <w:spacing w:val="-4"/>
        </w:rPr>
        <w:t> </w:t>
      </w:r>
      <w:r>
        <w:rPr>
          <w:color w:val="231F20"/>
        </w:rPr>
        <w:t>always</w:t>
      </w:r>
      <w:r>
        <w:rPr>
          <w:color w:val="231F20"/>
          <w:spacing w:val="24"/>
          <w:w w:val="99"/>
        </w:rPr>
        <w:t> </w:t>
      </w:r>
      <w:r>
        <w:rPr>
          <w:color w:val="231F20"/>
        </w:rPr>
        <w:t>possible</w:t>
      </w:r>
      <w:r>
        <w:rPr>
          <w:color w:val="231F20"/>
          <w:spacing w:val="-4"/>
        </w:rPr>
        <w:t> </w:t>
      </w:r>
      <w:r>
        <w:rPr>
          <w:color w:val="231F20"/>
        </w:rPr>
        <w:t>or</w:t>
      </w:r>
      <w:r>
        <w:rPr>
          <w:color w:val="231F20"/>
          <w:spacing w:val="-3"/>
        </w:rPr>
        <w:t> </w:t>
      </w:r>
      <w:r>
        <w:rPr>
          <w:color w:val="231F20"/>
        </w:rPr>
        <w:t>realistic</w:t>
      </w:r>
      <w:r>
        <w:rPr>
          <w:color w:val="231F20"/>
          <w:spacing w:val="-5"/>
        </w:rPr>
        <w:t> </w:t>
      </w:r>
      <w:r>
        <w:rPr>
          <w:color w:val="231F20"/>
        </w:rPr>
        <w:t>to</w:t>
      </w:r>
      <w:r>
        <w:rPr>
          <w:color w:val="231F20"/>
          <w:spacing w:val="-3"/>
        </w:rPr>
        <w:t> </w:t>
      </w:r>
      <w:r>
        <w:rPr>
          <w:color w:val="231F20"/>
        </w:rPr>
        <w:t>rely</w:t>
      </w:r>
      <w:r>
        <w:rPr>
          <w:color w:val="231F20"/>
          <w:spacing w:val="-4"/>
        </w:rPr>
        <w:t> </w:t>
      </w:r>
      <w:r>
        <w:rPr>
          <w:color w:val="231F20"/>
          <w:spacing w:val="-1"/>
        </w:rPr>
        <w:t>solely</w:t>
      </w:r>
      <w:r>
        <w:rPr>
          <w:color w:val="231F20"/>
          <w:spacing w:val="-3"/>
        </w:rPr>
        <w:t> </w:t>
      </w:r>
      <w:r>
        <w:rPr>
          <w:color w:val="231F20"/>
        </w:rPr>
        <w:t>on</w:t>
      </w:r>
      <w:r>
        <w:rPr>
          <w:color w:val="231F20"/>
          <w:spacing w:val="-2"/>
        </w:rPr>
        <w:t> </w:t>
      </w:r>
      <w:r>
        <w:rPr>
          <w:color w:val="231F20"/>
        </w:rPr>
        <w:t>government</w:t>
      </w:r>
      <w:r>
        <w:rPr>
          <w:color w:val="231F20"/>
          <w:spacing w:val="21"/>
          <w:w w:val="99"/>
        </w:rPr>
        <w:t> </w:t>
      </w:r>
      <w:r>
        <w:rPr>
          <w:color w:val="231F20"/>
        </w:rPr>
        <w:t>primary</w:t>
      </w:r>
      <w:r>
        <w:rPr>
          <w:color w:val="231F20"/>
          <w:spacing w:val="-6"/>
        </w:rPr>
        <w:t> </w:t>
      </w:r>
      <w:r>
        <w:rPr>
          <w:color w:val="231F20"/>
        </w:rPr>
        <w:t>and</w:t>
      </w:r>
      <w:r>
        <w:rPr>
          <w:color w:val="231F20"/>
          <w:spacing w:val="-5"/>
        </w:rPr>
        <w:t> </w:t>
      </w:r>
      <w:r>
        <w:rPr>
          <w:color w:val="231F20"/>
          <w:spacing w:val="-1"/>
        </w:rPr>
        <w:t>secondary</w:t>
      </w:r>
      <w:r>
        <w:rPr>
          <w:color w:val="231F20"/>
          <w:spacing w:val="-3"/>
        </w:rPr>
        <w:t> </w:t>
      </w:r>
      <w:r>
        <w:rPr>
          <w:color w:val="231F20"/>
        </w:rPr>
        <w:t>health</w:t>
      </w:r>
      <w:r>
        <w:rPr>
          <w:color w:val="231F20"/>
          <w:spacing w:val="-5"/>
        </w:rPr>
        <w:t> </w:t>
      </w:r>
      <w:r>
        <w:rPr>
          <w:color w:val="231F20"/>
          <w:spacing w:val="-1"/>
        </w:rPr>
        <w:t>services,</w:t>
      </w:r>
      <w:r>
        <w:rPr>
          <w:color w:val="231F20"/>
          <w:spacing w:val="-3"/>
        </w:rPr>
        <w:t> </w:t>
      </w:r>
      <w:r>
        <w:rPr>
          <w:color w:val="231F20"/>
          <w:spacing w:val="-1"/>
        </w:rPr>
        <w:t>such</w:t>
      </w:r>
      <w:r>
        <w:rPr>
          <w:color w:val="231F20"/>
          <w:spacing w:val="-4"/>
        </w:rPr>
        <w:t> </w:t>
      </w:r>
      <w:r>
        <w:rPr>
          <w:color w:val="231F20"/>
        </w:rPr>
        <w:t>as</w:t>
      </w:r>
      <w:r>
        <w:rPr>
          <w:color w:val="231F20"/>
          <w:spacing w:val="24"/>
        </w:rPr>
        <w:t> </w:t>
      </w:r>
      <w:r>
        <w:rPr>
          <w:color w:val="231F20"/>
        </w:rPr>
        <w:t>the</w:t>
      </w:r>
      <w:r>
        <w:rPr>
          <w:color w:val="231F20"/>
          <w:spacing w:val="-6"/>
        </w:rPr>
        <w:t> </w:t>
      </w:r>
      <w:r>
        <w:rPr>
          <w:color w:val="231F20"/>
        </w:rPr>
        <w:t>four</w:t>
      </w:r>
      <w:r>
        <w:rPr>
          <w:color w:val="231F20"/>
          <w:spacing w:val="-4"/>
        </w:rPr>
        <w:t> </w:t>
      </w:r>
      <w:r>
        <w:rPr>
          <w:color w:val="231F20"/>
        </w:rPr>
        <w:t>year</w:t>
      </w:r>
      <w:r>
        <w:rPr>
          <w:color w:val="231F20"/>
          <w:spacing w:val="-5"/>
        </w:rPr>
        <w:t> </w:t>
      </w:r>
      <w:r>
        <w:rPr>
          <w:color w:val="231F20"/>
        </w:rPr>
        <w:t>wait</w:t>
      </w:r>
      <w:r>
        <w:rPr>
          <w:color w:val="231F20"/>
          <w:spacing w:val="-5"/>
        </w:rPr>
        <w:t> </w:t>
      </w:r>
      <w:r>
        <w:rPr>
          <w:color w:val="231F20"/>
        </w:rPr>
        <w:t>for</w:t>
      </w:r>
      <w:r>
        <w:rPr>
          <w:color w:val="231F20"/>
          <w:spacing w:val="-5"/>
        </w:rPr>
        <w:t> </w:t>
      </w:r>
      <w:r>
        <w:rPr>
          <w:color w:val="231F20"/>
          <w:spacing w:val="-1"/>
        </w:rPr>
        <w:t>surgery</w:t>
      </w:r>
      <w:r>
        <w:rPr>
          <w:color w:val="231F20"/>
          <w:spacing w:val="-4"/>
        </w:rPr>
        <w:t> </w:t>
      </w:r>
      <w:r>
        <w:rPr>
          <w:color w:val="231F20"/>
        </w:rPr>
        <w:t>highlighted</w:t>
      </w:r>
      <w:r>
        <w:rPr>
          <w:color w:val="231F20"/>
          <w:spacing w:val="-6"/>
        </w:rPr>
        <w:t> </w:t>
      </w:r>
      <w:r>
        <w:rPr>
          <w:color w:val="231F20"/>
          <w:spacing w:val="-1"/>
        </w:rPr>
        <w:t>in</w:t>
      </w:r>
      <w:r>
        <w:rPr>
          <w:color w:val="231F20"/>
          <w:spacing w:val="-4"/>
        </w:rPr>
        <w:t> </w:t>
      </w:r>
      <w:r>
        <w:rPr>
          <w:color w:val="231F20"/>
        </w:rPr>
        <w:t>the</w:t>
      </w:r>
      <w:r>
        <w:rPr>
          <w:color w:val="231F20"/>
          <w:spacing w:val="23"/>
          <w:w w:val="99"/>
        </w:rPr>
        <w:t> </w:t>
      </w:r>
      <w:r>
        <w:rPr>
          <w:color w:val="231F20"/>
        </w:rPr>
        <w:t>case</w:t>
      </w:r>
      <w:r>
        <w:rPr>
          <w:color w:val="231F20"/>
          <w:spacing w:val="-7"/>
        </w:rPr>
        <w:t> </w:t>
      </w:r>
      <w:r>
        <w:rPr>
          <w:color w:val="231F20"/>
          <w:spacing w:val="-1"/>
        </w:rPr>
        <w:t>study</w:t>
      </w:r>
      <w:r>
        <w:rPr>
          <w:color w:val="231F20"/>
          <w:spacing w:val="-5"/>
        </w:rPr>
        <w:t> </w:t>
      </w:r>
      <w:r>
        <w:rPr>
          <w:color w:val="231F20"/>
        </w:rPr>
        <w:t>2.</w:t>
      </w:r>
      <w:r>
        <w:rPr/>
      </w:r>
    </w:p>
    <w:p>
      <w:pPr>
        <w:pStyle w:val="BodyText"/>
        <w:spacing w:line="250" w:lineRule="exact" w:before="113"/>
        <w:ind w:right="167"/>
        <w:jc w:val="left"/>
      </w:pPr>
      <w:r>
        <w:rPr>
          <w:rFonts w:ascii="Segoe UI" w:hAnsi="Segoe UI" w:cs="Segoe UI" w:eastAsia="Segoe UI"/>
          <w:color w:val="231F20"/>
        </w:rPr>
        <w:t>Boarding providers identified a need for specific </w:t>
      </w:r>
      <w:r>
        <w:rPr>
          <w:color w:val="231F20"/>
        </w:rPr>
        <w:t>funding</w:t>
      </w:r>
      <w:r>
        <w:rPr>
          <w:color w:val="231F20"/>
          <w:spacing w:val="-7"/>
        </w:rPr>
        <w:t> </w:t>
      </w:r>
      <w:r>
        <w:rPr>
          <w:color w:val="231F20"/>
        </w:rPr>
        <w:t>to</w:t>
      </w:r>
      <w:r>
        <w:rPr>
          <w:color w:val="231F20"/>
          <w:spacing w:val="-6"/>
        </w:rPr>
        <w:t> </w:t>
      </w:r>
      <w:r>
        <w:rPr>
          <w:color w:val="231F20"/>
        </w:rPr>
        <w:t>deliver</w:t>
      </w:r>
      <w:r>
        <w:rPr>
          <w:color w:val="231F20"/>
          <w:spacing w:val="-7"/>
        </w:rPr>
        <w:t> </w:t>
      </w:r>
      <w:r>
        <w:rPr>
          <w:color w:val="231F20"/>
          <w:spacing w:val="-1"/>
        </w:rPr>
        <w:t>support</w:t>
      </w:r>
      <w:r>
        <w:rPr>
          <w:color w:val="231F20"/>
          <w:spacing w:val="-6"/>
        </w:rPr>
        <w:t> </w:t>
      </w:r>
      <w:r>
        <w:rPr>
          <w:color w:val="231F20"/>
          <w:spacing w:val="-1"/>
        </w:rPr>
        <w:t>services,</w:t>
      </w:r>
      <w:r>
        <w:rPr>
          <w:color w:val="231F20"/>
          <w:spacing w:val="-6"/>
        </w:rPr>
        <w:t> </w:t>
      </w:r>
      <w:r>
        <w:rPr>
          <w:color w:val="231F20"/>
        </w:rPr>
        <w:t>particularly</w:t>
      </w:r>
      <w:r>
        <w:rPr>
          <w:color w:val="231F20"/>
          <w:spacing w:val="23"/>
          <w:w w:val="99"/>
        </w:rPr>
        <w:t> </w:t>
      </w:r>
      <w:r>
        <w:rPr>
          <w:color w:val="231F20"/>
        </w:rPr>
        <w:t>for</w:t>
      </w:r>
      <w:r>
        <w:rPr>
          <w:color w:val="231F20"/>
          <w:spacing w:val="-4"/>
        </w:rPr>
        <w:t> </w:t>
      </w:r>
      <w:r>
        <w:rPr>
          <w:color w:val="231F20"/>
        </w:rPr>
        <w:t>addressing</w:t>
      </w:r>
      <w:r>
        <w:rPr>
          <w:color w:val="231F20"/>
          <w:spacing w:val="-4"/>
        </w:rPr>
        <w:t> </w:t>
      </w:r>
      <w:r>
        <w:rPr>
          <w:color w:val="231F20"/>
        </w:rPr>
        <w:t>health</w:t>
      </w:r>
      <w:r>
        <w:rPr>
          <w:color w:val="231F20"/>
          <w:spacing w:val="-5"/>
        </w:rPr>
        <w:t> </w:t>
      </w:r>
      <w:r>
        <w:rPr>
          <w:color w:val="231F20"/>
          <w:spacing w:val="-1"/>
        </w:rPr>
        <w:t>issues.</w:t>
      </w:r>
      <w:r>
        <w:rPr>
          <w:color w:val="231F20"/>
          <w:spacing w:val="-3"/>
        </w:rPr>
        <w:t> </w:t>
      </w:r>
      <w:r>
        <w:rPr>
          <w:color w:val="231F20"/>
          <w:spacing w:val="-1"/>
        </w:rPr>
        <w:t>In</w:t>
      </w:r>
      <w:r>
        <w:rPr>
          <w:color w:val="231F20"/>
          <w:spacing w:val="-3"/>
        </w:rPr>
        <w:t> </w:t>
      </w:r>
      <w:r>
        <w:rPr>
          <w:color w:val="231F20"/>
          <w:spacing w:val="-1"/>
        </w:rPr>
        <w:t>2014,</w:t>
      </w:r>
      <w:r>
        <w:rPr>
          <w:color w:val="231F20"/>
          <w:spacing w:val="-4"/>
        </w:rPr>
        <w:t> </w:t>
      </w:r>
      <w:r>
        <w:rPr>
          <w:color w:val="231F20"/>
        </w:rPr>
        <w:t>the</w:t>
      </w:r>
      <w:r>
        <w:rPr>
          <w:color w:val="231F20"/>
          <w:spacing w:val="24"/>
          <w:w w:val="99"/>
        </w:rPr>
        <w:t> </w:t>
      </w:r>
      <w:r>
        <w:rPr>
          <w:color w:val="231F20"/>
          <w:spacing w:val="-1"/>
        </w:rPr>
        <w:t>Commonwealth’s</w:t>
      </w:r>
      <w:r>
        <w:rPr>
          <w:color w:val="231F20"/>
          <w:spacing w:val="-7"/>
        </w:rPr>
        <w:t> </w:t>
      </w:r>
      <w:r>
        <w:rPr>
          <w:color w:val="231F20"/>
          <w:spacing w:val="-1"/>
        </w:rPr>
        <w:t>Department</w:t>
      </w:r>
      <w:r>
        <w:rPr>
          <w:color w:val="231F20"/>
          <w:spacing w:val="-6"/>
        </w:rPr>
        <w:t> </w:t>
      </w:r>
      <w:r>
        <w:rPr>
          <w:color w:val="231F20"/>
        </w:rPr>
        <w:t>of</w:t>
      </w:r>
      <w:r>
        <w:rPr>
          <w:color w:val="231F20"/>
          <w:spacing w:val="-6"/>
        </w:rPr>
        <w:t> </w:t>
      </w:r>
      <w:r>
        <w:rPr>
          <w:color w:val="231F20"/>
        </w:rPr>
        <w:t>Education</w:t>
      </w:r>
      <w:r>
        <w:rPr>
          <w:color w:val="231F20"/>
          <w:spacing w:val="-7"/>
        </w:rPr>
        <w:t> </w:t>
      </w:r>
      <w:r>
        <w:rPr>
          <w:color w:val="231F20"/>
        </w:rPr>
        <w:t>and</w:t>
      </w:r>
      <w:r>
        <w:rPr>
          <w:color w:val="231F20"/>
          <w:spacing w:val="23"/>
          <w:w w:val="99"/>
        </w:rPr>
        <w:t> </w:t>
      </w:r>
      <w:r>
        <w:rPr>
          <w:color w:val="231F20"/>
          <w:spacing w:val="-3"/>
        </w:rPr>
        <w:t>Training</w:t>
      </w:r>
      <w:r>
        <w:rPr>
          <w:color w:val="231F20"/>
          <w:spacing w:val="-11"/>
        </w:rPr>
        <w:t> </w:t>
      </w:r>
      <w:r>
        <w:rPr>
          <w:color w:val="231F20"/>
          <w:spacing w:val="-1"/>
        </w:rPr>
        <w:t>introduced</w:t>
      </w:r>
      <w:r>
        <w:rPr>
          <w:color w:val="231F20"/>
          <w:spacing w:val="-9"/>
        </w:rPr>
        <w:t> </w:t>
      </w:r>
      <w:r>
        <w:rPr>
          <w:color w:val="231F20"/>
        </w:rPr>
        <w:t>the</w:t>
      </w:r>
      <w:r>
        <w:rPr>
          <w:color w:val="231F20"/>
          <w:spacing w:val="-11"/>
        </w:rPr>
        <w:t> </w:t>
      </w:r>
      <w:r>
        <w:rPr>
          <w:color w:val="231F20"/>
          <w:spacing w:val="-1"/>
        </w:rPr>
        <w:t>Indigenous</w:t>
      </w:r>
      <w:r>
        <w:rPr>
          <w:color w:val="231F20"/>
          <w:spacing w:val="-9"/>
        </w:rPr>
        <w:t> </w:t>
      </w:r>
      <w:r>
        <w:rPr>
          <w:color w:val="231F20"/>
          <w:spacing w:val="-1"/>
        </w:rPr>
        <w:t>Boarding</w:t>
      </w:r>
      <w:r>
        <w:rPr>
          <w:color w:val="231F20"/>
          <w:spacing w:val="28"/>
          <w:w w:val="99"/>
        </w:rPr>
        <w:t> </w:t>
      </w:r>
      <w:r>
        <w:rPr>
          <w:color w:val="231F20"/>
          <w:spacing w:val="-1"/>
        </w:rPr>
        <w:t>Initiative</w:t>
      </w:r>
      <w:r>
        <w:rPr>
          <w:color w:val="231F20"/>
          <w:spacing w:val="-7"/>
        </w:rPr>
        <w:t> </w:t>
      </w:r>
      <w:r>
        <w:rPr>
          <w:color w:val="231F20"/>
        </w:rPr>
        <w:t>to</w:t>
      </w:r>
      <w:r>
        <w:rPr>
          <w:color w:val="231F20"/>
          <w:spacing w:val="-7"/>
        </w:rPr>
        <w:t> </w:t>
      </w:r>
      <w:r>
        <w:rPr>
          <w:color w:val="231F20"/>
        </w:rPr>
        <w:t>provide</w:t>
      </w:r>
      <w:r>
        <w:rPr>
          <w:color w:val="231F20"/>
          <w:spacing w:val="-7"/>
        </w:rPr>
        <w:t> </w:t>
      </w:r>
      <w:r>
        <w:rPr>
          <w:color w:val="231F20"/>
        </w:rPr>
        <w:t>funding</w:t>
      </w:r>
      <w:r>
        <w:rPr>
          <w:color w:val="231F20"/>
          <w:spacing w:val="-7"/>
        </w:rPr>
        <w:t> </w:t>
      </w:r>
      <w:r>
        <w:rPr>
          <w:color w:val="231F20"/>
        </w:rPr>
        <w:t>to</w:t>
      </w:r>
      <w:r>
        <w:rPr>
          <w:color w:val="231F20"/>
          <w:spacing w:val="-6"/>
        </w:rPr>
        <w:t> </w:t>
      </w:r>
      <w:r>
        <w:rPr>
          <w:color w:val="231F20"/>
        </w:rPr>
        <w:t>‘non-government</w:t>
      </w:r>
      <w:r>
        <w:rPr>
          <w:color w:val="231F20"/>
          <w:spacing w:val="22"/>
          <w:w w:val="99"/>
        </w:rPr>
        <w:t> </w:t>
      </w:r>
      <w:r>
        <w:rPr>
          <w:color w:val="231F20"/>
          <w:spacing w:val="-1"/>
        </w:rPr>
        <w:t>schools</w:t>
      </w:r>
      <w:r>
        <w:rPr>
          <w:color w:val="231F20"/>
          <w:spacing w:val="-4"/>
        </w:rPr>
        <w:t> </w:t>
      </w:r>
      <w:r>
        <w:rPr>
          <w:color w:val="231F20"/>
        </w:rPr>
        <w:t>with</w:t>
      </w:r>
      <w:r>
        <w:rPr>
          <w:color w:val="231F20"/>
          <w:spacing w:val="-4"/>
        </w:rPr>
        <w:t> </w:t>
      </w:r>
      <w:r>
        <w:rPr>
          <w:color w:val="231F20"/>
          <w:spacing w:val="-1"/>
        </w:rPr>
        <w:t>more</w:t>
      </w:r>
      <w:r>
        <w:rPr>
          <w:color w:val="231F20"/>
          <w:spacing w:val="-3"/>
        </w:rPr>
        <w:t> </w:t>
      </w:r>
      <w:r>
        <w:rPr>
          <w:color w:val="231F20"/>
        </w:rPr>
        <w:t>than</w:t>
      </w:r>
      <w:r>
        <w:rPr>
          <w:color w:val="231F20"/>
          <w:spacing w:val="-4"/>
        </w:rPr>
        <w:t> </w:t>
      </w:r>
      <w:r>
        <w:rPr>
          <w:color w:val="231F20"/>
          <w:spacing w:val="-1"/>
        </w:rPr>
        <w:t>50</w:t>
      </w:r>
      <w:r>
        <w:rPr>
          <w:color w:val="231F20"/>
          <w:spacing w:val="-4"/>
        </w:rPr>
        <w:t> </w:t>
      </w:r>
      <w:r>
        <w:rPr>
          <w:color w:val="231F20"/>
        </w:rPr>
        <w:t>Aboriginal</w:t>
      </w:r>
      <w:r>
        <w:rPr>
          <w:color w:val="231F20"/>
          <w:spacing w:val="-3"/>
        </w:rPr>
        <w:t> </w:t>
      </w:r>
      <w:r>
        <w:rPr>
          <w:color w:val="231F20"/>
        </w:rPr>
        <w:t>or</w:t>
      </w:r>
      <w:r>
        <w:rPr>
          <w:color w:val="231F20"/>
          <w:spacing w:val="-3"/>
        </w:rPr>
        <w:t> </w:t>
      </w:r>
      <w:r>
        <w:rPr>
          <w:color w:val="231F20"/>
          <w:spacing w:val="-5"/>
        </w:rPr>
        <w:t>Torres</w:t>
      </w:r>
      <w:r>
        <w:rPr>
          <w:color w:val="231F20"/>
          <w:spacing w:val="28"/>
          <w:w w:val="99"/>
        </w:rPr>
        <w:t> </w:t>
      </w:r>
      <w:r>
        <w:rPr>
          <w:color w:val="231F20"/>
          <w:spacing w:val="-2"/>
        </w:rPr>
        <w:t>Strait</w:t>
      </w:r>
      <w:r>
        <w:rPr>
          <w:color w:val="231F20"/>
          <w:spacing w:val="-7"/>
        </w:rPr>
        <w:t> </w:t>
      </w:r>
      <w:r>
        <w:rPr>
          <w:color w:val="231F20"/>
          <w:spacing w:val="-1"/>
        </w:rPr>
        <w:t>Islander</w:t>
      </w:r>
      <w:r>
        <w:rPr>
          <w:color w:val="231F20"/>
          <w:spacing w:val="-7"/>
        </w:rPr>
        <w:t> </w:t>
      </w:r>
      <w:r>
        <w:rPr>
          <w:color w:val="231F20"/>
        </w:rPr>
        <w:t>boarding</w:t>
      </w:r>
      <w:r>
        <w:rPr>
          <w:color w:val="231F20"/>
          <w:spacing w:val="-7"/>
        </w:rPr>
        <w:t> </w:t>
      </w:r>
      <w:r>
        <w:rPr>
          <w:color w:val="231F20"/>
          <w:spacing w:val="-1"/>
        </w:rPr>
        <w:t>students—or</w:t>
      </w:r>
      <w:r>
        <w:rPr>
          <w:color w:val="231F20"/>
          <w:spacing w:val="-5"/>
        </w:rPr>
        <w:t> </w:t>
      </w:r>
      <w:r>
        <w:rPr>
          <w:color w:val="231F20"/>
          <w:spacing w:val="-1"/>
        </w:rPr>
        <w:t>50</w:t>
      </w:r>
      <w:r>
        <w:rPr>
          <w:color w:val="231F20"/>
          <w:spacing w:val="-6"/>
        </w:rPr>
        <w:t> </w:t>
      </w:r>
      <w:r>
        <w:rPr>
          <w:color w:val="231F20"/>
        </w:rPr>
        <w:t>per</w:t>
      </w:r>
      <w:r>
        <w:rPr>
          <w:color w:val="231F20"/>
          <w:spacing w:val="-6"/>
        </w:rPr>
        <w:t> </w:t>
      </w:r>
      <w:r>
        <w:rPr>
          <w:color w:val="231F20"/>
        </w:rPr>
        <w:t>cent</w:t>
      </w:r>
      <w:r>
        <w:rPr>
          <w:color w:val="231F20"/>
          <w:spacing w:val="29"/>
          <w:w w:val="99"/>
        </w:rPr>
        <w:t> </w:t>
      </w:r>
      <w:r>
        <w:rPr>
          <w:color w:val="231F20"/>
        </w:rPr>
        <w:t>or</w:t>
      </w:r>
      <w:r>
        <w:rPr>
          <w:color w:val="231F20"/>
          <w:spacing w:val="-7"/>
        </w:rPr>
        <w:t> </w:t>
      </w:r>
      <w:r>
        <w:rPr>
          <w:color w:val="231F20"/>
          <w:spacing w:val="-1"/>
        </w:rPr>
        <w:t>more—from</w:t>
      </w:r>
      <w:r>
        <w:rPr>
          <w:color w:val="231F20"/>
          <w:spacing w:val="-5"/>
        </w:rPr>
        <w:t> </w:t>
      </w:r>
      <w:r>
        <w:rPr>
          <w:color w:val="231F20"/>
        </w:rPr>
        <w:t>remote</w:t>
      </w:r>
      <w:r>
        <w:rPr>
          <w:color w:val="231F20"/>
          <w:spacing w:val="-7"/>
        </w:rPr>
        <w:t> </w:t>
      </w:r>
      <w:r>
        <w:rPr>
          <w:color w:val="231F20"/>
        </w:rPr>
        <w:t>or</w:t>
      </w:r>
      <w:r>
        <w:rPr>
          <w:color w:val="231F20"/>
          <w:spacing w:val="-6"/>
        </w:rPr>
        <w:t> </w:t>
      </w:r>
      <w:r>
        <w:rPr>
          <w:color w:val="231F20"/>
        </w:rPr>
        <w:t>very</w:t>
      </w:r>
      <w:r>
        <w:rPr>
          <w:color w:val="231F20"/>
          <w:spacing w:val="-6"/>
        </w:rPr>
        <w:t> </w:t>
      </w:r>
      <w:r>
        <w:rPr>
          <w:color w:val="231F20"/>
        </w:rPr>
        <w:t>remote</w:t>
      </w:r>
      <w:r>
        <w:rPr>
          <w:color w:val="231F20"/>
          <w:spacing w:val="-7"/>
        </w:rPr>
        <w:t> </w:t>
      </w:r>
      <w:r>
        <w:rPr>
          <w:color w:val="231F20"/>
        </w:rPr>
        <w:t>areas’.</w:t>
      </w:r>
      <w:r>
        <w:rPr/>
      </w:r>
    </w:p>
    <w:p>
      <w:pPr>
        <w:pStyle w:val="BodyText"/>
        <w:spacing w:line="250" w:lineRule="exact"/>
        <w:ind w:right="295"/>
        <w:jc w:val="left"/>
      </w:pPr>
      <w:r>
        <w:rPr>
          <w:rFonts w:ascii="Segoe UI" w:hAnsi="Segoe UI" w:cs="Segoe UI" w:eastAsia="Segoe UI"/>
          <w:color w:val="231F20"/>
        </w:rPr>
        <w:t>The funding was to assist with the ‘significant </w:t>
      </w:r>
      <w:r>
        <w:rPr>
          <w:color w:val="231F20"/>
        </w:rPr>
        <w:t>additional</w:t>
      </w:r>
      <w:r>
        <w:rPr>
          <w:color w:val="231F20"/>
          <w:spacing w:val="-6"/>
        </w:rPr>
        <w:t> </w:t>
      </w:r>
      <w:r>
        <w:rPr>
          <w:color w:val="231F20"/>
        </w:rPr>
        <w:t>costs,</w:t>
      </w:r>
      <w:r>
        <w:rPr>
          <w:color w:val="231F20"/>
          <w:spacing w:val="-6"/>
        </w:rPr>
        <w:t> </w:t>
      </w:r>
      <w:r>
        <w:rPr>
          <w:color w:val="231F20"/>
          <w:spacing w:val="-1"/>
        </w:rPr>
        <w:t>such</w:t>
      </w:r>
      <w:r>
        <w:rPr>
          <w:color w:val="231F20"/>
          <w:spacing w:val="-4"/>
        </w:rPr>
        <w:t> </w:t>
      </w:r>
      <w:r>
        <w:rPr>
          <w:color w:val="231F20"/>
        </w:rPr>
        <w:t>as</w:t>
      </w:r>
      <w:r>
        <w:rPr>
          <w:color w:val="231F20"/>
          <w:spacing w:val="-6"/>
        </w:rPr>
        <w:t> </w:t>
      </w:r>
      <w:r>
        <w:rPr>
          <w:color w:val="231F20"/>
        </w:rPr>
        <w:t>health</w:t>
      </w:r>
      <w:r>
        <w:rPr>
          <w:color w:val="231F20"/>
          <w:spacing w:val="-5"/>
        </w:rPr>
        <w:t> </w:t>
      </w:r>
      <w:r>
        <w:rPr>
          <w:color w:val="231F20"/>
        </w:rPr>
        <w:t>care,</w:t>
      </w:r>
      <w:r>
        <w:rPr>
          <w:color w:val="231F20"/>
          <w:spacing w:val="-5"/>
        </w:rPr>
        <w:t> </w:t>
      </w:r>
      <w:r>
        <w:rPr>
          <w:color w:val="231F20"/>
        </w:rPr>
        <w:t>associated</w:t>
      </w:r>
      <w:r>
        <w:rPr>
          <w:color w:val="231F20"/>
          <w:spacing w:val="21"/>
          <w:w w:val="99"/>
        </w:rPr>
        <w:t> </w:t>
      </w:r>
      <w:r>
        <w:rPr>
          <w:color w:val="231F20"/>
        </w:rPr>
        <w:t>with</w:t>
      </w:r>
      <w:r>
        <w:rPr>
          <w:color w:val="231F20"/>
          <w:spacing w:val="-10"/>
        </w:rPr>
        <w:t> </w:t>
      </w:r>
      <w:r>
        <w:rPr>
          <w:color w:val="231F20"/>
        </w:rPr>
        <w:t>boarding</w:t>
      </w:r>
      <w:r>
        <w:rPr>
          <w:color w:val="231F20"/>
          <w:spacing w:val="-9"/>
        </w:rPr>
        <w:t> </w:t>
      </w:r>
      <w:r>
        <w:rPr>
          <w:color w:val="231F20"/>
        </w:rPr>
        <w:t>and</w:t>
      </w:r>
      <w:r>
        <w:rPr>
          <w:color w:val="231F20"/>
          <w:spacing w:val="-10"/>
        </w:rPr>
        <w:t> </w:t>
      </w:r>
      <w:r>
        <w:rPr>
          <w:color w:val="231F20"/>
        </w:rPr>
        <w:t>educating</w:t>
      </w:r>
      <w:r>
        <w:rPr>
          <w:color w:val="231F20"/>
          <w:spacing w:val="-8"/>
        </w:rPr>
        <w:t> </w:t>
      </w:r>
      <w:r>
        <w:rPr>
          <w:color w:val="231F20"/>
          <w:spacing w:val="-1"/>
        </w:rPr>
        <w:t>Indigenous</w:t>
      </w:r>
      <w:r>
        <w:rPr>
          <w:color w:val="231F20"/>
          <w:spacing w:val="20"/>
          <w:w w:val="99"/>
        </w:rPr>
        <w:t> </w:t>
      </w:r>
      <w:r>
        <w:rPr>
          <w:color w:val="231F20"/>
          <w:spacing w:val="-1"/>
        </w:rPr>
        <w:t>students</w:t>
      </w:r>
      <w:r>
        <w:rPr>
          <w:color w:val="231F20"/>
          <w:spacing w:val="-5"/>
        </w:rPr>
        <w:t> </w:t>
      </w:r>
      <w:r>
        <w:rPr>
          <w:color w:val="231F20"/>
        </w:rPr>
        <w:t>from</w:t>
      </w:r>
      <w:r>
        <w:rPr>
          <w:color w:val="231F20"/>
          <w:spacing w:val="-4"/>
        </w:rPr>
        <w:t> </w:t>
      </w:r>
      <w:r>
        <w:rPr>
          <w:color w:val="231F20"/>
        </w:rPr>
        <w:t>remote</w:t>
      </w:r>
      <w:r>
        <w:rPr>
          <w:color w:val="231F20"/>
          <w:spacing w:val="-6"/>
        </w:rPr>
        <w:t> </w:t>
      </w:r>
      <w:r>
        <w:rPr>
          <w:color w:val="231F20"/>
        </w:rPr>
        <w:t>areas’</w:t>
      </w:r>
      <w:r>
        <w:rPr>
          <w:color w:val="231F20"/>
          <w:spacing w:val="-5"/>
        </w:rPr>
        <w:t> </w:t>
      </w:r>
      <w:r>
        <w:rPr>
          <w:color w:val="231F20"/>
        </w:rPr>
        <w:t>to</w:t>
      </w:r>
      <w:r>
        <w:rPr>
          <w:color w:val="231F20"/>
          <w:spacing w:val="-5"/>
        </w:rPr>
        <w:t> </w:t>
      </w:r>
      <w:r>
        <w:rPr>
          <w:color w:val="231F20"/>
        </w:rPr>
        <w:t>reduce</w:t>
      </w:r>
      <w:r>
        <w:rPr>
          <w:color w:val="231F20"/>
          <w:spacing w:val="-5"/>
        </w:rPr>
        <w:t> </w:t>
      </w:r>
      <w:r>
        <w:rPr>
          <w:color w:val="231F20"/>
        </w:rPr>
        <w:t>the</w:t>
      </w:r>
      <w:r>
        <w:rPr>
          <w:color w:val="231F20"/>
          <w:spacing w:val="22"/>
          <w:w w:val="99"/>
        </w:rPr>
        <w:t> </w:t>
      </w:r>
      <w:r>
        <w:rPr>
          <w:color w:val="231F20"/>
        </w:rPr>
        <w:t>reliance</w:t>
      </w:r>
      <w:r>
        <w:rPr>
          <w:color w:val="231F20"/>
          <w:spacing w:val="-6"/>
        </w:rPr>
        <w:t> </w:t>
      </w:r>
      <w:r>
        <w:rPr>
          <w:color w:val="231F20"/>
        </w:rPr>
        <w:t>on</w:t>
      </w:r>
      <w:r>
        <w:rPr>
          <w:color w:val="231F20"/>
          <w:spacing w:val="-5"/>
        </w:rPr>
        <w:t> </w:t>
      </w:r>
      <w:r>
        <w:rPr>
          <w:color w:val="231F20"/>
        </w:rPr>
        <w:t>‘funding</w:t>
      </w:r>
      <w:r>
        <w:rPr>
          <w:color w:val="231F20"/>
          <w:spacing w:val="-4"/>
        </w:rPr>
        <w:t> </w:t>
      </w:r>
      <w:r>
        <w:rPr>
          <w:color w:val="231F20"/>
        </w:rPr>
        <w:t>from</w:t>
      </w:r>
      <w:r>
        <w:rPr>
          <w:color w:val="231F20"/>
          <w:spacing w:val="-5"/>
        </w:rPr>
        <w:t> </w:t>
      </w:r>
      <w:r>
        <w:rPr>
          <w:color w:val="231F20"/>
        </w:rPr>
        <w:t>other</w:t>
      </w:r>
      <w:r>
        <w:rPr>
          <w:color w:val="231F20"/>
          <w:spacing w:val="-4"/>
        </w:rPr>
        <w:t> </w:t>
      </w:r>
      <w:r>
        <w:rPr>
          <w:color w:val="231F20"/>
          <w:spacing w:val="-1"/>
        </w:rPr>
        <w:t>sources</w:t>
      </w:r>
      <w:r>
        <w:rPr>
          <w:color w:val="231F20"/>
          <w:spacing w:val="-5"/>
        </w:rPr>
        <w:t> </w:t>
      </w:r>
      <w:r>
        <w:rPr>
          <w:color w:val="231F20"/>
        </w:rPr>
        <w:t>to</w:t>
      </w:r>
      <w:r>
        <w:rPr>
          <w:color w:val="231F20"/>
          <w:spacing w:val="22"/>
          <w:w w:val="99"/>
        </w:rPr>
        <w:t> </w:t>
      </w:r>
      <w:r>
        <w:rPr>
          <w:color w:val="231F20"/>
          <w:spacing w:val="-1"/>
        </w:rPr>
        <w:t>subsidise</w:t>
      </w:r>
      <w:r>
        <w:rPr>
          <w:color w:val="231F20"/>
          <w:spacing w:val="-3"/>
        </w:rPr>
        <w:t> </w:t>
      </w:r>
      <w:r>
        <w:rPr>
          <w:color w:val="231F20"/>
        </w:rPr>
        <w:t>the</w:t>
      </w:r>
      <w:r>
        <w:rPr>
          <w:color w:val="231F20"/>
          <w:spacing w:val="-4"/>
        </w:rPr>
        <w:t> </w:t>
      </w:r>
      <w:r>
        <w:rPr>
          <w:color w:val="231F20"/>
        </w:rPr>
        <w:t>essential</w:t>
      </w:r>
      <w:r>
        <w:rPr>
          <w:color w:val="231F20"/>
          <w:spacing w:val="-3"/>
        </w:rPr>
        <w:t> </w:t>
      </w:r>
      <w:r>
        <w:rPr>
          <w:color w:val="231F20"/>
          <w:spacing w:val="-1"/>
        </w:rPr>
        <w:t>services</w:t>
      </w:r>
      <w:r>
        <w:rPr>
          <w:color w:val="231F20"/>
          <w:spacing w:val="-3"/>
        </w:rPr>
        <w:t> </w:t>
      </w:r>
      <w:r>
        <w:rPr>
          <w:color w:val="231F20"/>
        </w:rPr>
        <w:t>and</w:t>
      </w:r>
      <w:r>
        <w:rPr>
          <w:color w:val="231F20"/>
          <w:spacing w:val="-4"/>
        </w:rPr>
        <w:t> </w:t>
      </w:r>
      <w:r>
        <w:rPr>
          <w:color w:val="231F20"/>
          <w:spacing w:val="-1"/>
        </w:rPr>
        <w:t>support</w:t>
      </w:r>
      <w:r>
        <w:rPr/>
      </w:r>
    </w:p>
    <w:p>
      <w:pPr>
        <w:pStyle w:val="BodyText"/>
        <w:spacing w:line="250" w:lineRule="exact"/>
        <w:ind w:right="0"/>
        <w:jc w:val="left"/>
      </w:pPr>
      <w:r>
        <w:rPr>
          <w:color w:val="231F20"/>
        </w:rPr>
        <w:t>for</w:t>
      </w:r>
      <w:r>
        <w:rPr>
          <w:color w:val="231F20"/>
          <w:spacing w:val="-4"/>
        </w:rPr>
        <w:t> </w:t>
      </w:r>
      <w:r>
        <w:rPr>
          <w:color w:val="231F20"/>
        </w:rPr>
        <w:t>Aboriginal</w:t>
      </w:r>
      <w:r>
        <w:rPr>
          <w:color w:val="231F20"/>
          <w:spacing w:val="-4"/>
        </w:rPr>
        <w:t> </w:t>
      </w:r>
      <w:r>
        <w:rPr>
          <w:color w:val="231F20"/>
        </w:rPr>
        <w:t>and</w:t>
      </w:r>
      <w:r>
        <w:rPr>
          <w:color w:val="231F20"/>
          <w:spacing w:val="-5"/>
        </w:rPr>
        <w:t> Torres</w:t>
      </w:r>
      <w:r>
        <w:rPr>
          <w:color w:val="231F20"/>
          <w:spacing w:val="-4"/>
        </w:rPr>
        <w:t> </w:t>
      </w:r>
      <w:r>
        <w:rPr>
          <w:color w:val="231F20"/>
          <w:spacing w:val="-2"/>
        </w:rPr>
        <w:t>Strait</w:t>
      </w:r>
      <w:r>
        <w:rPr>
          <w:color w:val="231F20"/>
          <w:spacing w:val="-4"/>
        </w:rPr>
        <w:t> </w:t>
      </w:r>
      <w:r>
        <w:rPr>
          <w:color w:val="231F20"/>
          <w:spacing w:val="-1"/>
        </w:rPr>
        <w:t>boarders’</w:t>
      </w:r>
      <w:r>
        <w:rPr>
          <w:rFonts w:ascii="Segoe UI Semibold" w:hAnsi="Segoe UI Semibold" w:cs="Segoe UI Semibold" w:eastAsia="Segoe UI Semibold"/>
          <w:b/>
          <w:bCs/>
          <w:color w:val="231F20"/>
          <w:spacing w:val="-1"/>
          <w:position w:val="7"/>
          <w:sz w:val="11"/>
          <w:szCs w:val="11"/>
        </w:rPr>
        <w:t>73</w:t>
      </w:r>
      <w:r>
        <w:rPr>
          <w:color w:val="231F20"/>
          <w:spacing w:val="-1"/>
        </w:rPr>
        <w:t>.</w:t>
      </w:r>
      <w:r>
        <w:rPr>
          <w:color w:val="231F20"/>
          <w:spacing w:val="-4"/>
        </w:rPr>
        <w:t> </w:t>
      </w:r>
      <w:r>
        <w:rPr>
          <w:color w:val="231F20"/>
        </w:rPr>
        <w:t>The</w:t>
      </w:r>
      <w:r>
        <w:rPr>
          <w:color w:val="231F20"/>
          <w:spacing w:val="41"/>
          <w:w w:val="99"/>
        </w:rPr>
        <w:t> </w:t>
      </w:r>
      <w:r>
        <w:rPr>
          <w:color w:val="231F20"/>
        </w:rPr>
        <w:t>payments</w:t>
      </w:r>
      <w:r>
        <w:rPr>
          <w:color w:val="231F20"/>
          <w:spacing w:val="-6"/>
        </w:rPr>
        <w:t> </w:t>
      </w:r>
      <w:r>
        <w:rPr>
          <w:color w:val="231F20"/>
        </w:rPr>
        <w:t>were</w:t>
      </w:r>
      <w:r>
        <w:rPr>
          <w:color w:val="231F20"/>
          <w:spacing w:val="-5"/>
        </w:rPr>
        <w:t> </w:t>
      </w:r>
      <w:r>
        <w:rPr>
          <w:color w:val="231F20"/>
          <w:spacing w:val="-1"/>
        </w:rPr>
        <w:t>substantial</w:t>
      </w:r>
      <w:r>
        <w:rPr>
          <w:color w:val="231F20"/>
          <w:spacing w:val="-3"/>
        </w:rPr>
        <w:t> </w:t>
      </w:r>
      <w:r>
        <w:rPr>
          <w:color w:val="231F20"/>
        </w:rPr>
        <w:t>and</w:t>
      </w:r>
      <w:r>
        <w:rPr>
          <w:color w:val="231F20"/>
          <w:spacing w:val="-5"/>
        </w:rPr>
        <w:t> </w:t>
      </w:r>
      <w:r>
        <w:rPr>
          <w:color w:val="231F20"/>
        </w:rPr>
        <w:t>not</w:t>
      </w:r>
      <w:r>
        <w:rPr>
          <w:color w:val="231F20"/>
          <w:spacing w:val="-4"/>
        </w:rPr>
        <w:t> </w:t>
      </w:r>
      <w:r>
        <w:rPr>
          <w:color w:val="231F20"/>
          <w:spacing w:val="-1"/>
        </w:rPr>
        <w:t>means</w:t>
      </w:r>
      <w:r>
        <w:rPr>
          <w:color w:val="231F20"/>
          <w:spacing w:val="-5"/>
        </w:rPr>
        <w:t> </w:t>
      </w:r>
      <w:r>
        <w:rPr>
          <w:color w:val="231F20"/>
        </w:rPr>
        <w:t>tested.</w:t>
      </w:r>
      <w:r>
        <w:rPr>
          <w:color w:val="231F20"/>
          <w:spacing w:val="23"/>
          <w:w w:val="99"/>
        </w:rPr>
        <w:t> </w:t>
      </w:r>
      <w:r>
        <w:rPr>
          <w:color w:val="231F20"/>
        </w:rPr>
        <w:t>They</w:t>
      </w:r>
      <w:r>
        <w:rPr>
          <w:color w:val="231F20"/>
          <w:spacing w:val="-7"/>
        </w:rPr>
        <w:t> </w:t>
      </w:r>
      <w:r>
        <w:rPr>
          <w:color w:val="231F20"/>
        </w:rPr>
        <w:t>were</w:t>
      </w:r>
      <w:r>
        <w:rPr>
          <w:color w:val="231F20"/>
          <w:spacing w:val="-7"/>
        </w:rPr>
        <w:t> </w:t>
      </w:r>
      <w:r>
        <w:rPr>
          <w:color w:val="231F20"/>
        </w:rPr>
        <w:t>paid</w:t>
      </w:r>
      <w:r>
        <w:rPr>
          <w:color w:val="231F20"/>
          <w:spacing w:val="-6"/>
        </w:rPr>
        <w:t> </w:t>
      </w:r>
      <w:r>
        <w:rPr>
          <w:color w:val="231F20"/>
        </w:rPr>
        <w:t>directly</w:t>
      </w:r>
      <w:r>
        <w:rPr>
          <w:color w:val="231F20"/>
          <w:spacing w:val="-7"/>
        </w:rPr>
        <w:t> </w:t>
      </w:r>
      <w:r>
        <w:rPr>
          <w:color w:val="231F20"/>
        </w:rPr>
        <w:t>to</w:t>
      </w:r>
      <w:r>
        <w:rPr>
          <w:color w:val="231F20"/>
          <w:spacing w:val="-5"/>
        </w:rPr>
        <w:t> </w:t>
      </w:r>
      <w:r>
        <w:rPr>
          <w:color w:val="231F20"/>
        </w:rPr>
        <w:t>boarding</w:t>
      </w:r>
      <w:r>
        <w:rPr>
          <w:color w:val="231F20"/>
          <w:spacing w:val="-7"/>
        </w:rPr>
        <w:t> </w:t>
      </w:r>
      <w:r>
        <w:rPr>
          <w:color w:val="231F20"/>
        </w:rPr>
        <w:t>providers</w:t>
      </w:r>
      <w:r>
        <w:rPr>
          <w:color w:val="231F20"/>
          <w:spacing w:val="-7"/>
        </w:rPr>
        <w:t> </w:t>
      </w:r>
      <w:r>
        <w:rPr>
          <w:color w:val="231F20"/>
        </w:rPr>
        <w:t>by</w:t>
      </w:r>
      <w:r>
        <w:rPr>
          <w:color w:val="231F20"/>
          <w:w w:val="99"/>
        </w:rPr>
        <w:t> </w:t>
      </w:r>
      <w:r>
        <w:rPr>
          <w:color w:val="231F20"/>
        </w:rPr>
        <w:t>the</w:t>
      </w:r>
      <w:r>
        <w:rPr>
          <w:color w:val="231F20"/>
          <w:spacing w:val="-8"/>
        </w:rPr>
        <w:t> </w:t>
      </w:r>
      <w:r>
        <w:rPr>
          <w:color w:val="231F20"/>
          <w:spacing w:val="-1"/>
        </w:rPr>
        <w:t>Department</w:t>
      </w:r>
      <w:r>
        <w:rPr>
          <w:color w:val="231F20"/>
          <w:spacing w:val="-6"/>
        </w:rPr>
        <w:t> </w:t>
      </w:r>
      <w:r>
        <w:rPr>
          <w:color w:val="231F20"/>
        </w:rPr>
        <w:t>of</w:t>
      </w:r>
      <w:r>
        <w:rPr>
          <w:color w:val="231F20"/>
          <w:spacing w:val="-6"/>
        </w:rPr>
        <w:t> </w:t>
      </w:r>
      <w:r>
        <w:rPr>
          <w:color w:val="231F20"/>
        </w:rPr>
        <w:t>Education</w:t>
      </w:r>
      <w:r>
        <w:rPr>
          <w:color w:val="231F20"/>
          <w:spacing w:val="-8"/>
        </w:rPr>
        <w:t> </w:t>
      </w:r>
      <w:r>
        <w:rPr>
          <w:color w:val="231F20"/>
        </w:rPr>
        <w:t>and</w:t>
      </w:r>
      <w:r>
        <w:rPr>
          <w:color w:val="231F20"/>
          <w:spacing w:val="-7"/>
        </w:rPr>
        <w:t> </w:t>
      </w:r>
      <w:r>
        <w:rPr>
          <w:color w:val="231F20"/>
          <w:spacing w:val="-3"/>
        </w:rPr>
        <w:t>Training</w:t>
      </w:r>
      <w:r>
        <w:rPr>
          <w:color w:val="231F20"/>
          <w:spacing w:val="-7"/>
        </w:rPr>
        <w:t> </w:t>
      </w:r>
      <w:r>
        <w:rPr>
          <w:color w:val="231F20"/>
        </w:rPr>
        <w:t>and</w:t>
      </w:r>
      <w:r>
        <w:rPr>
          <w:color w:val="231F20"/>
          <w:spacing w:val="28"/>
          <w:w w:val="99"/>
        </w:rPr>
        <w:t> </w:t>
      </w:r>
      <w:r>
        <w:rPr>
          <w:color w:val="231F20"/>
        </w:rPr>
        <w:t>unlike</w:t>
      </w:r>
      <w:r>
        <w:rPr>
          <w:color w:val="231F20"/>
          <w:spacing w:val="-5"/>
        </w:rPr>
        <w:t> </w:t>
      </w:r>
      <w:r>
        <w:rPr>
          <w:color w:val="231F20"/>
        </w:rPr>
        <w:t>ABSTUDY,</w:t>
      </w:r>
      <w:r>
        <w:rPr>
          <w:color w:val="231F20"/>
          <w:spacing w:val="-4"/>
        </w:rPr>
        <w:t> </w:t>
      </w:r>
      <w:r>
        <w:rPr>
          <w:color w:val="231F20"/>
        </w:rPr>
        <w:t>were</w:t>
      </w:r>
      <w:r>
        <w:rPr>
          <w:color w:val="231F20"/>
          <w:spacing w:val="-5"/>
        </w:rPr>
        <w:t> </w:t>
      </w:r>
      <w:r>
        <w:rPr>
          <w:color w:val="231F20"/>
        </w:rPr>
        <w:t>not</w:t>
      </w:r>
      <w:r>
        <w:rPr>
          <w:color w:val="231F20"/>
          <w:spacing w:val="-4"/>
        </w:rPr>
        <w:t> </w:t>
      </w:r>
      <w:r>
        <w:rPr>
          <w:color w:val="231F20"/>
        </w:rPr>
        <w:t>a</w:t>
      </w:r>
      <w:r>
        <w:rPr>
          <w:color w:val="231F20"/>
          <w:spacing w:val="-3"/>
        </w:rPr>
        <w:t> </w:t>
      </w:r>
      <w:r>
        <w:rPr>
          <w:color w:val="231F20"/>
        </w:rPr>
        <w:t>welfare</w:t>
      </w:r>
      <w:r>
        <w:rPr>
          <w:color w:val="231F20"/>
          <w:spacing w:val="-5"/>
        </w:rPr>
        <w:t> </w:t>
      </w:r>
      <w:r>
        <w:rPr>
          <w:color w:val="231F20"/>
          <w:spacing w:val="-1"/>
        </w:rPr>
        <w:t>measure.</w:t>
      </w:r>
      <w:r>
        <w:rPr/>
      </w:r>
    </w:p>
    <w:p>
      <w:pPr>
        <w:pStyle w:val="BodyText"/>
        <w:spacing w:line="250" w:lineRule="exact"/>
        <w:ind w:right="0"/>
        <w:jc w:val="left"/>
      </w:pPr>
      <w:r>
        <w:rPr>
          <w:color w:val="231F20"/>
        </w:rPr>
        <w:t>The</w:t>
      </w:r>
      <w:r>
        <w:rPr>
          <w:color w:val="231F20"/>
          <w:spacing w:val="-3"/>
        </w:rPr>
        <w:t> </w:t>
      </w:r>
      <w:r>
        <w:rPr>
          <w:color w:val="231F20"/>
          <w:spacing w:val="-1"/>
        </w:rPr>
        <w:t>initiative</w:t>
      </w:r>
      <w:r>
        <w:rPr>
          <w:color w:val="231F20"/>
          <w:spacing w:val="-2"/>
        </w:rPr>
        <w:t> </w:t>
      </w:r>
      <w:r>
        <w:rPr>
          <w:color w:val="231F20"/>
        </w:rPr>
        <w:t>ceased</w:t>
      </w:r>
      <w:r>
        <w:rPr>
          <w:color w:val="231F20"/>
          <w:spacing w:val="-3"/>
        </w:rPr>
        <w:t> </w:t>
      </w:r>
      <w:r>
        <w:rPr>
          <w:color w:val="231F20"/>
          <w:spacing w:val="-1"/>
        </w:rPr>
        <w:t>in</w:t>
      </w:r>
      <w:r>
        <w:rPr>
          <w:color w:val="231F20"/>
          <w:spacing w:val="-3"/>
        </w:rPr>
        <w:t> </w:t>
      </w:r>
      <w:r>
        <w:rPr>
          <w:color w:val="231F20"/>
        </w:rPr>
        <w:t>2016.</w:t>
      </w:r>
      <w:r>
        <w:rPr/>
      </w:r>
    </w:p>
    <w:p>
      <w:pPr>
        <w:pStyle w:val="BodyText"/>
        <w:spacing w:line="250" w:lineRule="exact" w:before="113"/>
        <w:ind w:right="735"/>
        <w:jc w:val="left"/>
      </w:pPr>
      <w:r>
        <w:rPr>
          <w:color w:val="231F20"/>
          <w:spacing w:val="-1"/>
        </w:rPr>
        <w:t>Boarding</w:t>
      </w:r>
      <w:r>
        <w:rPr>
          <w:color w:val="231F20"/>
          <w:spacing w:val="-8"/>
        </w:rPr>
        <w:t> </w:t>
      </w:r>
      <w:r>
        <w:rPr>
          <w:color w:val="231F20"/>
        </w:rPr>
        <w:t>providers</w:t>
      </w:r>
      <w:r>
        <w:rPr>
          <w:color w:val="231F20"/>
          <w:spacing w:val="-8"/>
        </w:rPr>
        <w:t> </w:t>
      </w:r>
      <w:r>
        <w:rPr>
          <w:color w:val="231F20"/>
        </w:rPr>
        <w:t>have</w:t>
      </w:r>
      <w:r>
        <w:rPr>
          <w:color w:val="231F20"/>
          <w:spacing w:val="-9"/>
        </w:rPr>
        <w:t> </w:t>
      </w:r>
      <w:r>
        <w:rPr>
          <w:color w:val="231F20"/>
        </w:rPr>
        <w:t>also</w:t>
      </w:r>
      <w:r>
        <w:rPr>
          <w:color w:val="231F20"/>
          <w:spacing w:val="-8"/>
        </w:rPr>
        <w:t> </w:t>
      </w:r>
      <w:r>
        <w:rPr>
          <w:color w:val="231F20"/>
        </w:rPr>
        <w:t>developed</w:t>
      </w:r>
      <w:r>
        <w:rPr>
          <w:color w:val="231F20"/>
          <w:spacing w:val="22"/>
          <w:w w:val="99"/>
        </w:rPr>
        <w:t> </w:t>
      </w:r>
      <w:r>
        <w:rPr>
          <w:color w:val="231F20"/>
        </w:rPr>
        <w:t>partnership</w:t>
      </w:r>
      <w:r>
        <w:rPr>
          <w:color w:val="231F20"/>
          <w:spacing w:val="-7"/>
        </w:rPr>
        <w:t> </w:t>
      </w:r>
      <w:r>
        <w:rPr>
          <w:color w:val="231F20"/>
        </w:rPr>
        <w:t>with</w:t>
      </w:r>
      <w:r>
        <w:rPr>
          <w:color w:val="231F20"/>
          <w:spacing w:val="-7"/>
        </w:rPr>
        <w:t> </w:t>
      </w:r>
      <w:r>
        <w:rPr>
          <w:color w:val="231F20"/>
          <w:spacing w:val="-1"/>
        </w:rPr>
        <w:t>local</w:t>
      </w:r>
      <w:r>
        <w:rPr>
          <w:color w:val="231F20"/>
          <w:spacing w:val="-6"/>
        </w:rPr>
        <w:t> </w:t>
      </w:r>
      <w:r>
        <w:rPr>
          <w:color w:val="231F20"/>
        </w:rPr>
        <w:t>providers</w:t>
      </w:r>
      <w:r>
        <w:rPr>
          <w:color w:val="231F20"/>
          <w:spacing w:val="-7"/>
        </w:rPr>
        <w:t> </w:t>
      </w:r>
      <w:r>
        <w:rPr>
          <w:color w:val="231F20"/>
        </w:rPr>
        <w:t>to</w:t>
      </w:r>
      <w:r>
        <w:rPr>
          <w:color w:val="231F20"/>
          <w:spacing w:val="-6"/>
        </w:rPr>
        <w:t> </w:t>
      </w:r>
      <w:r>
        <w:rPr>
          <w:color w:val="231F20"/>
        </w:rPr>
        <w:t>deliver</w:t>
      </w:r>
      <w:r>
        <w:rPr>
          <w:color w:val="231F20"/>
          <w:spacing w:val="21"/>
          <w:w w:val="99"/>
        </w:rPr>
        <w:t> </w:t>
      </w:r>
      <w:r>
        <w:rPr>
          <w:color w:val="231F20"/>
        </w:rPr>
        <w:t>required</w:t>
      </w:r>
      <w:r>
        <w:rPr>
          <w:color w:val="231F20"/>
          <w:spacing w:val="-9"/>
        </w:rPr>
        <w:t> </w:t>
      </w:r>
      <w:r>
        <w:rPr>
          <w:color w:val="231F20"/>
          <w:spacing w:val="-1"/>
        </w:rPr>
        <w:t>support</w:t>
      </w:r>
      <w:r>
        <w:rPr>
          <w:color w:val="231F20"/>
          <w:spacing w:val="-7"/>
        </w:rPr>
        <w:t> </w:t>
      </w:r>
      <w:r>
        <w:rPr>
          <w:color w:val="231F20"/>
          <w:spacing w:val="-1"/>
        </w:rPr>
        <w:t>services.</w:t>
      </w:r>
      <w:r>
        <w:rPr/>
      </w:r>
    </w:p>
    <w:p>
      <w:pPr>
        <w:spacing w:after="0" w:line="250" w:lineRule="exact"/>
        <w:jc w:val="left"/>
        <w:sectPr>
          <w:type w:val="continuous"/>
          <w:pgSz w:w="11910" w:h="16840"/>
          <w:pgMar w:top="1580" w:bottom="280" w:left="1300" w:right="1420"/>
          <w:cols w:num="2" w:equalWidth="0">
            <w:col w:w="4357" w:space="235"/>
            <w:col w:w="4598"/>
          </w:cols>
        </w:sectPr>
      </w:pPr>
    </w:p>
    <w:p>
      <w:pPr>
        <w:spacing w:line="240" w:lineRule="auto" w:before="0"/>
        <w:rPr>
          <w:rFonts w:ascii="Segoe UI" w:hAnsi="Segoe UI" w:cs="Segoe UI" w:eastAsia="Segoe UI"/>
          <w:sz w:val="20"/>
          <w:szCs w:val="20"/>
        </w:rPr>
      </w:pPr>
      <w:r>
        <w:rPr/>
        <w:pict>
          <v:group style="position:absolute;margin-left:87.456703pt;margin-top:759.30603pt;width:.1pt;height:.1pt;mso-position-horizontal-relative:page;mso-position-vertical-relative:page;z-index:-227368" coordorigin="1749,15186" coordsize="2,2">
            <v:shape style="position:absolute;left:1749;top:15186;width:2;height:2" coordorigin="1749,15186" coordsize="0,0" path="m1749,15186l1749,15186e" filled="false" stroked="true" strokeweight="2pt" strokecolor="#355f92">
              <v:path arrowok="t"/>
            </v:shape>
            <w10:wrap type="none"/>
          </v:group>
        </w:pict>
      </w:r>
      <w:r>
        <w:rPr/>
        <w:pict>
          <v:group style="position:absolute;margin-left:526.826721pt;margin-top:759.30603pt;width:.1pt;height:.1pt;mso-position-horizontal-relative:page;mso-position-vertical-relative:page;z-index:-227344" coordorigin="10537,15186" coordsize="2,2">
            <v:shape style="position:absolute;left:10537;top:15186;width:2;height:2" coordorigin="10537,15186" coordsize="0,0" path="m10537,15186l10537,15186e" filled="false" stroked="true" strokeweight="2pt" strokecolor="#355f92">
              <v:path arrowok="t"/>
            </v:shape>
            <w10:wrap type="none"/>
          </v:group>
        </w:pict>
      </w:r>
      <w:r>
        <w:rPr/>
        <w:pict>
          <v:group style="position:absolute;margin-left:526.826721pt;margin-top:535.329041pt;width:.1pt;height:.1pt;mso-position-horizontal-relative:page;mso-position-vertical-relative:page;z-index:2872" coordorigin="10537,10707" coordsize="2,2">
            <v:shape style="position:absolute;left:10537;top:10707;width:2;height:2" coordorigin="10537,10707" coordsize="0,0" path="m10537,10707l10537,10707e" filled="false" stroked="true" strokeweight="2pt" strokecolor="#355f92">
              <v:path arrowok="t"/>
            </v:shape>
            <w10:wrap type="none"/>
          </v:group>
        </w:pict>
      </w:r>
      <w:r>
        <w:rPr/>
        <w:pict>
          <v:group style="position:absolute;margin-left:87.456703pt;margin-top:535.329041pt;width:.1pt;height:.1pt;mso-position-horizontal-relative:page;mso-position-vertical-relative:page;z-index:2896" coordorigin="1749,10707" coordsize="2,2">
            <v:shape style="position:absolute;left:1749;top:10707;width:2;height:2" coordorigin="1749,10707" coordsize="0,0" path="m1749,10707l1749,10707e" filled="false" stroked="true" strokeweight="2pt" strokecolor="#355f92">
              <v:path arrowok="t"/>
            </v:shape>
            <w10:wrap type="none"/>
          </v:group>
        </w:pict>
      </w:r>
    </w:p>
    <w:p>
      <w:pPr>
        <w:spacing w:line="240" w:lineRule="auto" w:before="0"/>
        <w:rPr>
          <w:rFonts w:ascii="Segoe UI" w:hAnsi="Segoe UI" w:cs="Segoe UI" w:eastAsia="Segoe UI"/>
          <w:sz w:val="20"/>
          <w:szCs w:val="20"/>
        </w:rPr>
      </w:pPr>
    </w:p>
    <w:p>
      <w:pPr>
        <w:spacing w:line="240" w:lineRule="auto" w:before="5"/>
        <w:rPr>
          <w:rFonts w:ascii="Segoe UI" w:hAnsi="Segoe UI" w:cs="Segoe UI" w:eastAsia="Segoe UI"/>
          <w:sz w:val="10"/>
          <w:szCs w:val="10"/>
        </w:rPr>
      </w:pPr>
    </w:p>
    <w:p>
      <w:pPr>
        <w:spacing w:line="200" w:lineRule="atLeast"/>
        <w:ind w:left="109" w:right="0" w:firstLine="0"/>
        <w:rPr>
          <w:rFonts w:ascii="Segoe UI" w:hAnsi="Segoe UI" w:cs="Segoe UI" w:eastAsia="Segoe UI"/>
          <w:sz w:val="20"/>
          <w:szCs w:val="20"/>
        </w:rPr>
      </w:pPr>
      <w:r>
        <w:rPr>
          <w:rFonts w:ascii="Segoe UI" w:hAnsi="Segoe UI" w:cs="Segoe UI" w:eastAsia="Segoe UI"/>
          <w:sz w:val="20"/>
          <w:szCs w:val="20"/>
        </w:rPr>
        <w:pict>
          <v:group style="width:438pt;height:14.2pt;mso-position-horizontal-relative:char;mso-position-vertical-relative:line" coordorigin="0,0" coordsize="8760,284">
            <v:group style="position:absolute;left:283;top:0;width:8476;height:284" coordorigin="283,0" coordsize="8476,284">
              <v:shape style="position:absolute;left:283;top:0;width:8476;height:284" coordorigin="283,0" coordsize="8476,284" path="m283,283l8759,283,8759,0,283,0,283,283xe" filled="true" fillcolor="#97bf3d" stroked="false">
                <v:path arrowok="t"/>
                <v:fill type="solid"/>
              </v:shape>
            </v:group>
            <v:group style="position:absolute;left:0;top:0;width:284;height:284" coordorigin="0,0" coordsize="284,284">
              <v:shape style="position:absolute;left:0;top:0;width:284;height:284" coordorigin="0,0" coordsize="284,284" path="m0,283l283,283,283,0,0,0,0,283xe" filled="true" fillcolor="#67973f" stroked="false">
                <v:path arrowok="t"/>
                <v:fill type="solid"/>
              </v:shape>
              <v:shape style="position:absolute;left:0;top:0;width:8760;height:284" type="#_x0000_t202" filled="false" stroked="false">
                <v:textbox inset="0,0,0,0">
                  <w:txbxContent>
                    <w:p>
                      <w:pPr>
                        <w:spacing w:before="5"/>
                        <w:ind w:left="368" w:right="0" w:firstLine="0"/>
                        <w:jc w:val="left"/>
                        <w:rPr>
                          <w:rFonts w:ascii="Segoe UI" w:hAnsi="Segoe UI" w:cs="Segoe UI" w:eastAsia="Segoe UI"/>
                          <w:sz w:val="18"/>
                          <w:szCs w:val="18"/>
                        </w:rPr>
                      </w:pPr>
                      <w:r>
                        <w:rPr>
                          <w:rFonts w:ascii="Segoe UI"/>
                          <w:b/>
                          <w:i/>
                          <w:color w:val="FFFFFF"/>
                          <w:spacing w:val="-1"/>
                          <w:sz w:val="18"/>
                        </w:rPr>
                        <w:t>Case</w:t>
                      </w:r>
                      <w:r>
                        <w:rPr>
                          <w:rFonts w:ascii="Segoe UI"/>
                          <w:b/>
                          <w:i/>
                          <w:color w:val="FFFFFF"/>
                          <w:spacing w:val="-4"/>
                          <w:sz w:val="18"/>
                        </w:rPr>
                        <w:t> </w:t>
                      </w:r>
                      <w:r>
                        <w:rPr>
                          <w:rFonts w:ascii="Segoe UI"/>
                          <w:b/>
                          <w:i/>
                          <w:color w:val="FFFFFF"/>
                          <w:sz w:val="18"/>
                        </w:rPr>
                        <w:t>study</w:t>
                      </w:r>
                      <w:r>
                        <w:rPr>
                          <w:rFonts w:ascii="Segoe UI"/>
                          <w:b/>
                          <w:i/>
                          <w:color w:val="FFFFFF"/>
                          <w:spacing w:val="-5"/>
                          <w:sz w:val="18"/>
                        </w:rPr>
                        <w:t> </w:t>
                      </w:r>
                      <w:r>
                        <w:rPr>
                          <w:rFonts w:ascii="Segoe UI"/>
                          <w:b/>
                          <w:i/>
                          <w:color w:val="FFFFFF"/>
                          <w:sz w:val="18"/>
                        </w:rPr>
                        <w:t>3</w:t>
                      </w:r>
                      <w:r>
                        <w:rPr>
                          <w:rFonts w:ascii="Segoe UI"/>
                          <w:sz w:val="18"/>
                        </w:rPr>
                      </w:r>
                    </w:p>
                  </w:txbxContent>
                </v:textbox>
                <w10:wrap type="none"/>
              </v:shape>
            </v:group>
          </v:group>
        </w:pict>
      </w:r>
      <w:r>
        <w:rPr>
          <w:rFonts w:ascii="Segoe UI" w:hAnsi="Segoe UI" w:cs="Segoe UI" w:eastAsia="Segoe UI"/>
          <w:sz w:val="20"/>
          <w:szCs w:val="20"/>
        </w:rPr>
      </w:r>
    </w:p>
    <w:p>
      <w:pPr>
        <w:spacing w:line="240" w:lineRule="auto" w:before="11"/>
        <w:rPr>
          <w:rFonts w:ascii="Segoe UI" w:hAnsi="Segoe UI" w:cs="Segoe UI" w:eastAsia="Segoe UI"/>
          <w:sz w:val="5"/>
          <w:szCs w:val="5"/>
        </w:rPr>
      </w:pPr>
    </w:p>
    <w:p>
      <w:pPr>
        <w:pStyle w:val="Heading6"/>
        <w:spacing w:line="240" w:lineRule="auto"/>
        <w:ind w:left="109" w:right="0"/>
        <w:jc w:val="left"/>
        <w:rPr>
          <w:b w:val="0"/>
          <w:bCs w:val="0"/>
        </w:rPr>
      </w:pPr>
      <w:r>
        <w:rPr>
          <w:color w:val="67973F"/>
          <w:spacing w:val="-1"/>
        </w:rPr>
        <w:t>Partnering with</w:t>
      </w:r>
      <w:r>
        <w:rPr>
          <w:color w:val="67973F"/>
        </w:rPr>
        <w:t> </w:t>
      </w:r>
      <w:r>
        <w:rPr>
          <w:color w:val="67973F"/>
          <w:spacing w:val="-1"/>
        </w:rPr>
        <w:t>local</w:t>
      </w:r>
      <w:r>
        <w:rPr>
          <w:color w:val="67973F"/>
        </w:rPr>
        <w:t> </w:t>
      </w:r>
      <w:r>
        <w:rPr>
          <w:color w:val="67973F"/>
          <w:spacing w:val="-1"/>
        </w:rPr>
        <w:t>providers</w:t>
      </w:r>
      <w:r>
        <w:rPr>
          <w:b w:val="0"/>
        </w:rPr>
      </w:r>
    </w:p>
    <w:p>
      <w:pPr>
        <w:spacing w:line="265" w:lineRule="auto" w:before="138"/>
        <w:ind w:left="109" w:right="186" w:firstLine="0"/>
        <w:jc w:val="left"/>
        <w:rPr>
          <w:rFonts w:ascii="Segoe UI" w:hAnsi="Segoe UI" w:cs="Segoe UI" w:eastAsia="Segoe UI"/>
          <w:sz w:val="19"/>
          <w:szCs w:val="19"/>
        </w:rPr>
      </w:pPr>
      <w:r>
        <w:rPr>
          <w:rFonts w:ascii="Segoe UI" w:hAnsi="Segoe UI" w:cs="Segoe UI" w:eastAsia="Segoe UI"/>
          <w:color w:val="67973F"/>
          <w:sz w:val="19"/>
          <w:szCs w:val="19"/>
        </w:rPr>
        <w:t>A</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large</w:t>
      </w:r>
      <w:r>
        <w:rPr>
          <w:rFonts w:ascii="Segoe UI" w:hAnsi="Segoe UI" w:cs="Segoe UI" w:eastAsia="Segoe UI"/>
          <w:color w:val="67973F"/>
          <w:spacing w:val="-5"/>
          <w:sz w:val="19"/>
          <w:szCs w:val="19"/>
        </w:rPr>
        <w:t> </w:t>
      </w:r>
      <w:r>
        <w:rPr>
          <w:rFonts w:ascii="Segoe UI" w:hAnsi="Segoe UI" w:cs="Segoe UI" w:eastAsia="Segoe UI"/>
          <w:color w:val="67973F"/>
          <w:sz w:val="19"/>
          <w:szCs w:val="19"/>
        </w:rPr>
        <w:t>boarding</w:t>
      </w:r>
      <w:r>
        <w:rPr>
          <w:rFonts w:ascii="Segoe UI" w:hAnsi="Segoe UI" w:cs="Segoe UI" w:eastAsia="Segoe UI"/>
          <w:color w:val="67973F"/>
          <w:spacing w:val="-6"/>
          <w:sz w:val="19"/>
          <w:szCs w:val="19"/>
        </w:rPr>
        <w:t> </w:t>
      </w:r>
      <w:r>
        <w:rPr>
          <w:rFonts w:ascii="Segoe UI" w:hAnsi="Segoe UI" w:cs="Segoe UI" w:eastAsia="Segoe UI"/>
          <w:color w:val="67973F"/>
          <w:sz w:val="19"/>
          <w:szCs w:val="19"/>
        </w:rPr>
        <w:t>provider</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in</w:t>
      </w:r>
      <w:r>
        <w:rPr>
          <w:rFonts w:ascii="Segoe UI" w:hAnsi="Segoe UI" w:cs="Segoe UI" w:eastAsia="Segoe UI"/>
          <w:color w:val="67973F"/>
          <w:spacing w:val="-5"/>
          <w:sz w:val="19"/>
          <w:szCs w:val="19"/>
        </w:rPr>
        <w:t> </w:t>
      </w:r>
      <w:r>
        <w:rPr>
          <w:rFonts w:ascii="Segoe UI" w:hAnsi="Segoe UI" w:cs="Segoe UI" w:eastAsia="Segoe UI"/>
          <w:color w:val="67973F"/>
          <w:sz w:val="19"/>
          <w:szCs w:val="19"/>
        </w:rPr>
        <w:t>regional</w:t>
      </w:r>
      <w:r>
        <w:rPr>
          <w:rFonts w:ascii="Segoe UI" w:hAnsi="Segoe UI" w:cs="Segoe UI" w:eastAsia="Segoe UI"/>
          <w:color w:val="67973F"/>
          <w:spacing w:val="-6"/>
          <w:sz w:val="19"/>
          <w:szCs w:val="19"/>
        </w:rPr>
        <w:t> </w:t>
      </w:r>
      <w:r>
        <w:rPr>
          <w:rFonts w:ascii="Segoe UI" w:hAnsi="Segoe UI" w:cs="Segoe UI" w:eastAsia="Segoe UI"/>
          <w:color w:val="67973F"/>
          <w:sz w:val="19"/>
          <w:szCs w:val="19"/>
        </w:rPr>
        <w:t>Queensland</w:t>
      </w:r>
      <w:r>
        <w:rPr>
          <w:rFonts w:ascii="Segoe UI" w:hAnsi="Segoe UI" w:cs="Segoe UI" w:eastAsia="Segoe UI"/>
          <w:color w:val="67973F"/>
          <w:spacing w:val="-5"/>
          <w:sz w:val="19"/>
          <w:szCs w:val="19"/>
        </w:rPr>
        <w:t> </w:t>
      </w:r>
      <w:r>
        <w:rPr>
          <w:rFonts w:ascii="Segoe UI" w:hAnsi="Segoe UI" w:cs="Segoe UI" w:eastAsia="Segoe UI"/>
          <w:color w:val="67973F"/>
          <w:sz w:val="19"/>
          <w:szCs w:val="19"/>
        </w:rPr>
        <w:t>with</w:t>
      </w:r>
      <w:r>
        <w:rPr>
          <w:rFonts w:ascii="Segoe UI" w:hAnsi="Segoe UI" w:cs="Segoe UI" w:eastAsia="Segoe UI"/>
          <w:color w:val="67973F"/>
          <w:spacing w:val="-6"/>
          <w:sz w:val="19"/>
          <w:szCs w:val="19"/>
        </w:rPr>
        <w:t> </w:t>
      </w:r>
      <w:r>
        <w:rPr>
          <w:rFonts w:ascii="Segoe UI" w:hAnsi="Segoe UI" w:cs="Segoe UI" w:eastAsia="Segoe UI"/>
          <w:color w:val="67973F"/>
          <w:sz w:val="19"/>
          <w:szCs w:val="19"/>
        </w:rPr>
        <w:t>a</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student</w:t>
      </w:r>
      <w:r>
        <w:rPr>
          <w:rFonts w:ascii="Segoe UI" w:hAnsi="Segoe UI" w:cs="Segoe UI" w:eastAsia="Segoe UI"/>
          <w:color w:val="67973F"/>
          <w:spacing w:val="-5"/>
          <w:sz w:val="19"/>
          <w:szCs w:val="19"/>
        </w:rPr>
        <w:t> </w:t>
      </w:r>
      <w:r>
        <w:rPr>
          <w:rFonts w:ascii="Segoe UI" w:hAnsi="Segoe UI" w:cs="Segoe UI" w:eastAsia="Segoe UI"/>
          <w:color w:val="67973F"/>
          <w:sz w:val="19"/>
          <w:szCs w:val="19"/>
        </w:rPr>
        <w:t>population</w:t>
      </w:r>
      <w:r>
        <w:rPr>
          <w:rFonts w:ascii="Segoe UI" w:hAnsi="Segoe UI" w:cs="Segoe UI" w:eastAsia="Segoe UI"/>
          <w:color w:val="67973F"/>
          <w:spacing w:val="-5"/>
          <w:sz w:val="19"/>
          <w:szCs w:val="19"/>
        </w:rPr>
        <w:t> </w:t>
      </w:r>
      <w:r>
        <w:rPr>
          <w:rFonts w:ascii="Segoe UI" w:hAnsi="Segoe UI" w:cs="Segoe UI" w:eastAsia="Segoe UI"/>
          <w:color w:val="67973F"/>
          <w:sz w:val="19"/>
          <w:szCs w:val="19"/>
        </w:rPr>
        <w:t>almost</w:t>
      </w:r>
      <w:r>
        <w:rPr>
          <w:rFonts w:ascii="Segoe UI" w:hAnsi="Segoe UI" w:cs="Segoe UI" w:eastAsia="Segoe UI"/>
          <w:color w:val="67973F"/>
          <w:spacing w:val="-6"/>
          <w:sz w:val="19"/>
          <w:szCs w:val="19"/>
        </w:rPr>
        <w:t> </w:t>
      </w:r>
      <w:r>
        <w:rPr>
          <w:rFonts w:ascii="Segoe UI" w:hAnsi="Segoe UI" w:cs="Segoe UI" w:eastAsia="Segoe UI"/>
          <w:color w:val="67973F"/>
          <w:sz w:val="19"/>
          <w:szCs w:val="19"/>
        </w:rPr>
        <w:t>entirely</w:t>
      </w:r>
      <w:r>
        <w:rPr>
          <w:rFonts w:ascii="Segoe UI" w:hAnsi="Segoe UI" w:cs="Segoe UI" w:eastAsia="Segoe UI"/>
          <w:color w:val="67973F"/>
          <w:spacing w:val="-6"/>
          <w:sz w:val="19"/>
          <w:szCs w:val="19"/>
        </w:rPr>
        <w:t> </w:t>
      </w:r>
      <w:r>
        <w:rPr>
          <w:rFonts w:ascii="Segoe UI" w:hAnsi="Segoe UI" w:cs="Segoe UI" w:eastAsia="Segoe UI"/>
          <w:color w:val="67973F"/>
          <w:spacing w:val="-1"/>
          <w:sz w:val="19"/>
          <w:szCs w:val="19"/>
        </w:rPr>
        <w:t>made</w:t>
      </w:r>
      <w:r>
        <w:rPr>
          <w:rFonts w:ascii="Segoe UI" w:hAnsi="Segoe UI" w:cs="Segoe UI" w:eastAsia="Segoe UI"/>
          <w:color w:val="67973F"/>
          <w:spacing w:val="-4"/>
          <w:sz w:val="19"/>
          <w:szCs w:val="19"/>
        </w:rPr>
        <w:t> </w:t>
      </w:r>
      <w:r>
        <w:rPr>
          <w:rFonts w:ascii="Segoe UI" w:hAnsi="Segoe UI" w:cs="Segoe UI" w:eastAsia="Segoe UI"/>
          <w:color w:val="67973F"/>
          <w:sz w:val="19"/>
          <w:szCs w:val="19"/>
        </w:rPr>
        <w:t>up</w:t>
      </w:r>
      <w:r>
        <w:rPr>
          <w:rFonts w:ascii="Segoe UI" w:hAnsi="Segoe UI" w:cs="Segoe UI" w:eastAsia="Segoe UI"/>
          <w:color w:val="67973F"/>
          <w:spacing w:val="-5"/>
          <w:sz w:val="19"/>
          <w:szCs w:val="19"/>
        </w:rPr>
        <w:t> </w:t>
      </w:r>
      <w:r>
        <w:rPr>
          <w:rFonts w:ascii="Segoe UI" w:hAnsi="Segoe UI" w:cs="Segoe UI" w:eastAsia="Segoe UI"/>
          <w:color w:val="67973F"/>
          <w:sz w:val="19"/>
          <w:szCs w:val="19"/>
        </w:rPr>
        <w:t>of</w:t>
      </w:r>
      <w:r>
        <w:rPr>
          <w:rFonts w:ascii="Segoe UI" w:hAnsi="Segoe UI" w:cs="Segoe UI" w:eastAsia="Segoe UI"/>
          <w:color w:val="67973F"/>
          <w:spacing w:val="25"/>
          <w:w w:val="99"/>
          <w:sz w:val="19"/>
          <w:szCs w:val="19"/>
        </w:rPr>
        <w:t> </w:t>
      </w:r>
      <w:r>
        <w:rPr>
          <w:rFonts w:ascii="Segoe UI" w:hAnsi="Segoe UI" w:cs="Segoe UI" w:eastAsia="Segoe UI"/>
          <w:color w:val="67973F"/>
          <w:sz w:val="19"/>
          <w:szCs w:val="19"/>
        </w:rPr>
        <w:t>Aboriginal</w:t>
      </w:r>
      <w:r>
        <w:rPr>
          <w:rFonts w:ascii="Segoe UI" w:hAnsi="Segoe UI" w:cs="Segoe UI" w:eastAsia="Segoe UI"/>
          <w:color w:val="67973F"/>
          <w:spacing w:val="-5"/>
          <w:sz w:val="19"/>
          <w:szCs w:val="19"/>
        </w:rPr>
        <w:t> Torres</w:t>
      </w:r>
      <w:r>
        <w:rPr>
          <w:rFonts w:ascii="Segoe UI" w:hAnsi="Segoe UI" w:cs="Segoe UI" w:eastAsia="Segoe UI"/>
          <w:color w:val="67973F"/>
          <w:spacing w:val="-4"/>
          <w:sz w:val="19"/>
          <w:szCs w:val="19"/>
        </w:rPr>
        <w:t> </w:t>
      </w:r>
      <w:r>
        <w:rPr>
          <w:rFonts w:ascii="Segoe UI" w:hAnsi="Segoe UI" w:cs="Segoe UI" w:eastAsia="Segoe UI"/>
          <w:color w:val="67973F"/>
          <w:spacing w:val="-2"/>
          <w:sz w:val="19"/>
          <w:szCs w:val="19"/>
        </w:rPr>
        <w:t>Strait</w:t>
      </w:r>
      <w:r>
        <w:rPr>
          <w:rFonts w:ascii="Segoe UI" w:hAnsi="Segoe UI" w:cs="Segoe UI" w:eastAsia="Segoe UI"/>
          <w:color w:val="67973F"/>
          <w:spacing w:val="-6"/>
          <w:sz w:val="19"/>
          <w:szCs w:val="19"/>
        </w:rPr>
        <w:t> </w:t>
      </w:r>
      <w:r>
        <w:rPr>
          <w:rFonts w:ascii="Segoe UI" w:hAnsi="Segoe UI" w:cs="Segoe UI" w:eastAsia="Segoe UI"/>
          <w:color w:val="67973F"/>
          <w:spacing w:val="-1"/>
          <w:sz w:val="19"/>
          <w:szCs w:val="19"/>
        </w:rPr>
        <w:t>Islander</w:t>
      </w:r>
      <w:r>
        <w:rPr>
          <w:rFonts w:ascii="Segoe UI" w:hAnsi="Segoe UI" w:cs="Segoe UI" w:eastAsia="Segoe UI"/>
          <w:color w:val="67973F"/>
          <w:spacing w:val="-4"/>
          <w:sz w:val="19"/>
          <w:szCs w:val="19"/>
        </w:rPr>
        <w:t> </w:t>
      </w:r>
      <w:r>
        <w:rPr>
          <w:rFonts w:ascii="Segoe UI" w:hAnsi="Segoe UI" w:cs="Segoe UI" w:eastAsia="Segoe UI"/>
          <w:color w:val="67973F"/>
          <w:sz w:val="19"/>
          <w:szCs w:val="19"/>
        </w:rPr>
        <w:t>boarding</w:t>
      </w:r>
      <w:r>
        <w:rPr>
          <w:rFonts w:ascii="Segoe UI" w:hAnsi="Segoe UI" w:cs="Segoe UI" w:eastAsia="Segoe UI"/>
          <w:color w:val="67973F"/>
          <w:spacing w:val="-6"/>
          <w:sz w:val="19"/>
          <w:szCs w:val="19"/>
        </w:rPr>
        <w:t> </w:t>
      </w:r>
      <w:r>
        <w:rPr>
          <w:rFonts w:ascii="Segoe UI" w:hAnsi="Segoe UI" w:cs="Segoe UI" w:eastAsia="Segoe UI"/>
          <w:color w:val="67973F"/>
          <w:spacing w:val="-1"/>
          <w:sz w:val="19"/>
          <w:szCs w:val="19"/>
        </w:rPr>
        <w:t>students</w:t>
      </w:r>
      <w:r>
        <w:rPr>
          <w:rFonts w:ascii="Segoe UI" w:hAnsi="Segoe UI" w:cs="Segoe UI" w:eastAsia="Segoe UI"/>
          <w:color w:val="67973F"/>
          <w:spacing w:val="-4"/>
          <w:sz w:val="19"/>
          <w:szCs w:val="19"/>
        </w:rPr>
        <w:t> </w:t>
      </w:r>
      <w:r>
        <w:rPr>
          <w:rFonts w:ascii="Segoe UI" w:hAnsi="Segoe UI" w:cs="Segoe UI" w:eastAsia="Segoe UI"/>
          <w:color w:val="67973F"/>
          <w:sz w:val="19"/>
          <w:szCs w:val="19"/>
        </w:rPr>
        <w:t>has</w:t>
      </w:r>
      <w:r>
        <w:rPr>
          <w:rFonts w:ascii="Segoe UI" w:hAnsi="Segoe UI" w:cs="Segoe UI" w:eastAsia="Segoe UI"/>
          <w:color w:val="67973F"/>
          <w:spacing w:val="-6"/>
          <w:sz w:val="19"/>
          <w:szCs w:val="19"/>
        </w:rPr>
        <w:t> </w:t>
      </w:r>
      <w:r>
        <w:rPr>
          <w:rFonts w:ascii="Segoe UI" w:hAnsi="Segoe UI" w:cs="Segoe UI" w:eastAsia="Segoe UI"/>
          <w:color w:val="67973F"/>
          <w:sz w:val="19"/>
          <w:szCs w:val="19"/>
        </w:rPr>
        <w:t>developed</w:t>
      </w:r>
      <w:r>
        <w:rPr>
          <w:rFonts w:ascii="Segoe UI" w:hAnsi="Segoe UI" w:cs="Segoe UI" w:eastAsia="Segoe UI"/>
          <w:color w:val="67973F"/>
          <w:spacing w:val="-5"/>
          <w:sz w:val="19"/>
          <w:szCs w:val="19"/>
        </w:rPr>
        <w:t> </w:t>
      </w:r>
      <w:r>
        <w:rPr>
          <w:rFonts w:ascii="Segoe UI" w:hAnsi="Segoe UI" w:cs="Segoe UI" w:eastAsia="Segoe UI"/>
          <w:color w:val="67973F"/>
          <w:sz w:val="19"/>
          <w:szCs w:val="19"/>
        </w:rPr>
        <w:t>a</w:t>
      </w:r>
      <w:r>
        <w:rPr>
          <w:rFonts w:ascii="Segoe UI" w:hAnsi="Segoe UI" w:cs="Segoe UI" w:eastAsia="Segoe UI"/>
          <w:color w:val="67973F"/>
          <w:spacing w:val="-5"/>
          <w:sz w:val="19"/>
          <w:szCs w:val="19"/>
        </w:rPr>
        <w:t> </w:t>
      </w:r>
      <w:r>
        <w:rPr>
          <w:rFonts w:ascii="Segoe UI" w:hAnsi="Segoe UI" w:cs="Segoe UI" w:eastAsia="Segoe UI"/>
          <w:color w:val="67973F"/>
          <w:sz w:val="19"/>
          <w:szCs w:val="19"/>
        </w:rPr>
        <w:t>partnership</w:t>
      </w:r>
      <w:r>
        <w:rPr>
          <w:rFonts w:ascii="Segoe UI" w:hAnsi="Segoe UI" w:cs="Segoe UI" w:eastAsia="Segoe UI"/>
          <w:color w:val="67973F"/>
          <w:spacing w:val="-5"/>
          <w:sz w:val="19"/>
          <w:szCs w:val="19"/>
        </w:rPr>
        <w:t> </w:t>
      </w:r>
      <w:r>
        <w:rPr>
          <w:rFonts w:ascii="Segoe UI" w:hAnsi="Segoe UI" w:cs="Segoe UI" w:eastAsia="Segoe UI"/>
          <w:color w:val="67973F"/>
          <w:sz w:val="19"/>
          <w:szCs w:val="19"/>
        </w:rPr>
        <w:t>with</w:t>
      </w:r>
      <w:r>
        <w:rPr>
          <w:rFonts w:ascii="Segoe UI" w:hAnsi="Segoe UI" w:cs="Segoe UI" w:eastAsia="Segoe UI"/>
          <w:color w:val="67973F"/>
          <w:spacing w:val="-6"/>
          <w:sz w:val="19"/>
          <w:szCs w:val="19"/>
        </w:rPr>
        <w:t> </w:t>
      </w:r>
      <w:r>
        <w:rPr>
          <w:rFonts w:ascii="Segoe UI" w:hAnsi="Segoe UI" w:cs="Segoe UI" w:eastAsia="Segoe UI"/>
          <w:color w:val="67973F"/>
          <w:sz w:val="19"/>
          <w:szCs w:val="19"/>
        </w:rPr>
        <w:t>a</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local</w:t>
      </w:r>
      <w:r>
        <w:rPr>
          <w:rFonts w:ascii="Segoe UI" w:hAnsi="Segoe UI" w:cs="Segoe UI" w:eastAsia="Segoe UI"/>
          <w:color w:val="67973F"/>
          <w:spacing w:val="-5"/>
          <w:sz w:val="19"/>
          <w:szCs w:val="19"/>
        </w:rPr>
        <w:t> </w:t>
      </w:r>
      <w:r>
        <w:rPr>
          <w:rFonts w:ascii="Segoe UI" w:hAnsi="Segoe UI" w:cs="Segoe UI" w:eastAsia="Segoe UI"/>
          <w:color w:val="67973F"/>
          <w:sz w:val="19"/>
          <w:szCs w:val="19"/>
        </w:rPr>
        <w:t>Aboriginal</w:t>
      </w:r>
      <w:r>
        <w:rPr>
          <w:rFonts w:ascii="Segoe UI" w:hAnsi="Segoe UI" w:cs="Segoe UI" w:eastAsia="Segoe UI"/>
          <w:color w:val="67973F"/>
          <w:spacing w:val="27"/>
          <w:w w:val="99"/>
          <w:sz w:val="19"/>
          <w:szCs w:val="19"/>
        </w:rPr>
        <w:t> </w:t>
      </w:r>
      <w:r>
        <w:rPr>
          <w:rFonts w:ascii="Segoe UI" w:hAnsi="Segoe UI" w:cs="Segoe UI" w:eastAsia="Segoe UI"/>
          <w:color w:val="67973F"/>
          <w:spacing w:val="-1"/>
          <w:sz w:val="19"/>
          <w:szCs w:val="19"/>
        </w:rPr>
        <w:t>medical</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service</w:t>
      </w:r>
      <w:r>
        <w:rPr>
          <w:rFonts w:ascii="Segoe UI" w:hAnsi="Segoe UI" w:cs="Segoe UI" w:eastAsia="Segoe UI"/>
          <w:color w:val="67973F"/>
          <w:spacing w:val="-4"/>
          <w:sz w:val="19"/>
          <w:szCs w:val="19"/>
        </w:rPr>
        <w:t> </w:t>
      </w:r>
      <w:r>
        <w:rPr>
          <w:rFonts w:ascii="Segoe UI" w:hAnsi="Segoe UI" w:cs="Segoe UI" w:eastAsia="Segoe UI"/>
          <w:color w:val="67973F"/>
          <w:sz w:val="19"/>
          <w:szCs w:val="19"/>
        </w:rPr>
        <w:t>(AMS)</w:t>
      </w:r>
      <w:r>
        <w:rPr>
          <w:rFonts w:ascii="Segoe UI" w:hAnsi="Segoe UI" w:cs="Segoe UI" w:eastAsia="Segoe UI"/>
          <w:color w:val="67973F"/>
          <w:spacing w:val="-5"/>
          <w:sz w:val="19"/>
          <w:szCs w:val="19"/>
        </w:rPr>
        <w:t> </w:t>
      </w:r>
      <w:r>
        <w:rPr>
          <w:rFonts w:ascii="Segoe UI" w:hAnsi="Segoe UI" w:cs="Segoe UI" w:eastAsia="Segoe UI"/>
          <w:color w:val="67973F"/>
          <w:sz w:val="19"/>
          <w:szCs w:val="19"/>
        </w:rPr>
        <w:t>to</w:t>
      </w:r>
      <w:r>
        <w:rPr>
          <w:rFonts w:ascii="Segoe UI" w:hAnsi="Segoe UI" w:cs="Segoe UI" w:eastAsia="Segoe UI"/>
          <w:color w:val="67973F"/>
          <w:spacing w:val="-4"/>
          <w:sz w:val="19"/>
          <w:szCs w:val="19"/>
        </w:rPr>
        <w:t> </w:t>
      </w:r>
      <w:r>
        <w:rPr>
          <w:rFonts w:ascii="Segoe UI" w:hAnsi="Segoe UI" w:cs="Segoe UI" w:eastAsia="Segoe UI"/>
          <w:color w:val="67973F"/>
          <w:sz w:val="19"/>
          <w:szCs w:val="19"/>
        </w:rPr>
        <w:t>deliver</w:t>
      </w:r>
      <w:r>
        <w:rPr>
          <w:rFonts w:ascii="Segoe UI" w:hAnsi="Segoe UI" w:cs="Segoe UI" w:eastAsia="Segoe UI"/>
          <w:color w:val="67973F"/>
          <w:spacing w:val="-5"/>
          <w:sz w:val="19"/>
          <w:szCs w:val="19"/>
        </w:rPr>
        <w:t> </w:t>
      </w:r>
      <w:r>
        <w:rPr>
          <w:rFonts w:ascii="Segoe UI" w:hAnsi="Segoe UI" w:cs="Segoe UI" w:eastAsia="Segoe UI"/>
          <w:color w:val="67973F"/>
          <w:sz w:val="19"/>
          <w:szCs w:val="19"/>
        </w:rPr>
        <w:t>culturally</w:t>
      </w:r>
      <w:r>
        <w:rPr>
          <w:rFonts w:ascii="Segoe UI" w:hAnsi="Segoe UI" w:cs="Segoe UI" w:eastAsia="Segoe UI"/>
          <w:color w:val="67973F"/>
          <w:spacing w:val="-5"/>
          <w:sz w:val="19"/>
          <w:szCs w:val="19"/>
        </w:rPr>
        <w:t> </w:t>
      </w:r>
      <w:r>
        <w:rPr>
          <w:rFonts w:ascii="Segoe UI" w:hAnsi="Segoe UI" w:cs="Segoe UI" w:eastAsia="Segoe UI"/>
          <w:color w:val="67973F"/>
          <w:sz w:val="19"/>
          <w:szCs w:val="19"/>
        </w:rPr>
        <w:t>appropriate</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medical</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services</w:t>
      </w:r>
      <w:r>
        <w:rPr>
          <w:rFonts w:ascii="Segoe UI" w:hAnsi="Segoe UI" w:cs="Segoe UI" w:eastAsia="Segoe UI"/>
          <w:color w:val="67973F"/>
          <w:spacing w:val="-4"/>
          <w:sz w:val="19"/>
          <w:szCs w:val="19"/>
        </w:rPr>
        <w:t> </w:t>
      </w:r>
      <w:r>
        <w:rPr>
          <w:rFonts w:ascii="Segoe UI" w:hAnsi="Segoe UI" w:cs="Segoe UI" w:eastAsia="Segoe UI"/>
          <w:color w:val="67973F"/>
          <w:sz w:val="19"/>
          <w:szCs w:val="19"/>
        </w:rPr>
        <w:t>to</w:t>
      </w:r>
      <w:r>
        <w:rPr>
          <w:rFonts w:ascii="Segoe UI" w:hAnsi="Segoe UI" w:cs="Segoe UI" w:eastAsia="Segoe UI"/>
          <w:color w:val="67973F"/>
          <w:spacing w:val="-4"/>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students.</w:t>
      </w:r>
      <w:r>
        <w:rPr>
          <w:rFonts w:ascii="Segoe UI" w:hAnsi="Segoe UI" w:cs="Segoe UI" w:eastAsia="Segoe UI"/>
          <w:color w:val="67973F"/>
          <w:spacing w:val="-3"/>
          <w:sz w:val="19"/>
          <w:szCs w:val="19"/>
        </w:rPr>
        <w:t> </w:t>
      </w:r>
      <w:r>
        <w:rPr>
          <w:rFonts w:ascii="Segoe UI" w:hAnsi="Segoe UI" w:cs="Segoe UI" w:eastAsia="Segoe UI"/>
          <w:color w:val="67973F"/>
          <w:sz w:val="19"/>
          <w:szCs w:val="19"/>
        </w:rPr>
        <w:t>Many</w:t>
      </w:r>
      <w:r>
        <w:rPr>
          <w:rFonts w:ascii="Segoe UI" w:hAnsi="Segoe UI" w:cs="Segoe UI" w:eastAsia="Segoe UI"/>
          <w:color w:val="67973F"/>
          <w:spacing w:val="-4"/>
          <w:sz w:val="19"/>
          <w:szCs w:val="19"/>
        </w:rPr>
        <w:t> </w:t>
      </w:r>
      <w:r>
        <w:rPr>
          <w:rFonts w:ascii="Segoe UI" w:hAnsi="Segoe UI" w:cs="Segoe UI" w:eastAsia="Segoe UI"/>
          <w:color w:val="67973F"/>
          <w:sz w:val="19"/>
          <w:szCs w:val="19"/>
        </w:rPr>
        <w:t>of</w:t>
      </w:r>
      <w:r>
        <w:rPr>
          <w:rFonts w:ascii="Segoe UI" w:hAnsi="Segoe UI" w:cs="Segoe UI" w:eastAsia="Segoe UI"/>
          <w:color w:val="67973F"/>
          <w:spacing w:val="-4"/>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26"/>
          <w:w w:val="99"/>
          <w:sz w:val="19"/>
          <w:szCs w:val="19"/>
        </w:rPr>
        <w:t> </w:t>
      </w:r>
      <w:r>
        <w:rPr>
          <w:rFonts w:ascii="Segoe UI" w:hAnsi="Segoe UI" w:cs="Segoe UI" w:eastAsia="Segoe UI"/>
          <w:color w:val="67973F"/>
          <w:spacing w:val="-1"/>
          <w:sz w:val="19"/>
          <w:szCs w:val="19"/>
        </w:rPr>
        <w:t>school’s</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students</w:t>
      </w:r>
      <w:r>
        <w:rPr>
          <w:rFonts w:ascii="Segoe UI" w:hAnsi="Segoe UI" w:cs="Segoe UI" w:eastAsia="Segoe UI"/>
          <w:color w:val="67973F"/>
          <w:spacing w:val="-3"/>
          <w:sz w:val="19"/>
          <w:szCs w:val="19"/>
        </w:rPr>
        <w:t> </w:t>
      </w:r>
      <w:r>
        <w:rPr>
          <w:rFonts w:ascii="Segoe UI" w:hAnsi="Segoe UI" w:cs="Segoe UI" w:eastAsia="Segoe UI"/>
          <w:color w:val="67973F"/>
          <w:sz w:val="19"/>
          <w:szCs w:val="19"/>
        </w:rPr>
        <w:t>are</w:t>
      </w:r>
      <w:r>
        <w:rPr>
          <w:rFonts w:ascii="Segoe UI" w:hAnsi="Segoe UI" w:cs="Segoe UI" w:eastAsia="Segoe UI"/>
          <w:color w:val="67973F"/>
          <w:spacing w:val="-5"/>
          <w:sz w:val="19"/>
          <w:szCs w:val="19"/>
        </w:rPr>
        <w:t> </w:t>
      </w:r>
      <w:r>
        <w:rPr>
          <w:rFonts w:ascii="Segoe UI" w:hAnsi="Segoe UI" w:cs="Segoe UI" w:eastAsia="Segoe UI"/>
          <w:color w:val="67973F"/>
          <w:sz w:val="19"/>
          <w:szCs w:val="19"/>
        </w:rPr>
        <w:t>from</w:t>
      </w:r>
      <w:r>
        <w:rPr>
          <w:rFonts w:ascii="Segoe UI" w:hAnsi="Segoe UI" w:cs="Segoe UI" w:eastAsia="Segoe UI"/>
          <w:color w:val="67973F"/>
          <w:spacing w:val="-3"/>
          <w:sz w:val="19"/>
          <w:szCs w:val="19"/>
        </w:rPr>
        <w:t> </w:t>
      </w:r>
      <w:r>
        <w:rPr>
          <w:rFonts w:ascii="Segoe UI" w:hAnsi="Segoe UI" w:cs="Segoe UI" w:eastAsia="Segoe UI"/>
          <w:color w:val="67973F"/>
          <w:sz w:val="19"/>
          <w:szCs w:val="19"/>
        </w:rPr>
        <w:t>remote</w:t>
      </w:r>
      <w:r>
        <w:rPr>
          <w:rFonts w:ascii="Segoe UI" w:hAnsi="Segoe UI" w:cs="Segoe UI" w:eastAsia="Segoe UI"/>
          <w:color w:val="67973F"/>
          <w:spacing w:val="-5"/>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4"/>
          <w:sz w:val="19"/>
          <w:szCs w:val="19"/>
        </w:rPr>
        <w:t> </w:t>
      </w:r>
      <w:r>
        <w:rPr>
          <w:rFonts w:ascii="Segoe UI" w:hAnsi="Segoe UI" w:cs="Segoe UI" w:eastAsia="Segoe UI"/>
          <w:color w:val="67973F"/>
          <w:sz w:val="19"/>
          <w:szCs w:val="19"/>
        </w:rPr>
        <w:t>very</w:t>
      </w:r>
      <w:r>
        <w:rPr>
          <w:rFonts w:ascii="Segoe UI" w:hAnsi="Segoe UI" w:cs="Segoe UI" w:eastAsia="Segoe UI"/>
          <w:color w:val="67973F"/>
          <w:spacing w:val="-4"/>
          <w:sz w:val="19"/>
          <w:szCs w:val="19"/>
        </w:rPr>
        <w:t> </w:t>
      </w:r>
      <w:r>
        <w:rPr>
          <w:rFonts w:ascii="Segoe UI" w:hAnsi="Segoe UI" w:cs="Segoe UI" w:eastAsia="Segoe UI"/>
          <w:color w:val="67973F"/>
          <w:sz w:val="19"/>
          <w:szCs w:val="19"/>
        </w:rPr>
        <w:t>remote</w:t>
      </w:r>
      <w:r>
        <w:rPr>
          <w:rFonts w:ascii="Segoe UI" w:hAnsi="Segoe UI" w:cs="Segoe UI" w:eastAsia="Segoe UI"/>
          <w:color w:val="67973F"/>
          <w:spacing w:val="-4"/>
          <w:sz w:val="19"/>
          <w:szCs w:val="19"/>
        </w:rPr>
        <w:t> </w:t>
      </w:r>
      <w:r>
        <w:rPr>
          <w:rFonts w:ascii="Segoe UI" w:hAnsi="Segoe UI" w:cs="Segoe UI" w:eastAsia="Segoe UI"/>
          <w:color w:val="67973F"/>
          <w:sz w:val="19"/>
          <w:szCs w:val="19"/>
        </w:rPr>
        <w:t>communities</w:t>
      </w:r>
      <w:r>
        <w:rPr>
          <w:rFonts w:ascii="Segoe UI" w:hAnsi="Segoe UI" w:cs="Segoe UI" w:eastAsia="Segoe UI"/>
          <w:color w:val="67973F"/>
          <w:spacing w:val="-4"/>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5"/>
          <w:sz w:val="19"/>
          <w:szCs w:val="19"/>
        </w:rPr>
        <w:t> </w:t>
      </w:r>
      <w:r>
        <w:rPr>
          <w:rFonts w:ascii="Segoe UI" w:hAnsi="Segoe UI" w:cs="Segoe UI" w:eastAsia="Segoe UI"/>
          <w:color w:val="67973F"/>
          <w:sz w:val="19"/>
          <w:szCs w:val="19"/>
        </w:rPr>
        <w:t>have</w:t>
      </w:r>
      <w:r>
        <w:rPr>
          <w:rFonts w:ascii="Segoe UI" w:hAnsi="Segoe UI" w:cs="Segoe UI" w:eastAsia="Segoe UI"/>
          <w:color w:val="67973F"/>
          <w:spacing w:val="-4"/>
          <w:sz w:val="19"/>
          <w:szCs w:val="19"/>
        </w:rPr>
        <w:t> </w:t>
      </w:r>
      <w:r>
        <w:rPr>
          <w:rFonts w:ascii="Segoe UI" w:hAnsi="Segoe UI" w:cs="Segoe UI" w:eastAsia="Segoe UI"/>
          <w:color w:val="67973F"/>
          <w:sz w:val="19"/>
          <w:szCs w:val="19"/>
        </w:rPr>
        <w:t>underlying</w:t>
      </w:r>
      <w:r>
        <w:rPr>
          <w:rFonts w:ascii="Segoe UI" w:hAnsi="Segoe UI" w:cs="Segoe UI" w:eastAsia="Segoe UI"/>
          <w:color w:val="67973F"/>
          <w:spacing w:val="-5"/>
          <w:sz w:val="19"/>
          <w:szCs w:val="19"/>
        </w:rPr>
        <w:t> </w:t>
      </w:r>
      <w:r>
        <w:rPr>
          <w:rFonts w:ascii="Segoe UI" w:hAnsi="Segoe UI" w:cs="Segoe UI" w:eastAsia="Segoe UI"/>
          <w:color w:val="67973F"/>
          <w:sz w:val="19"/>
          <w:szCs w:val="19"/>
        </w:rPr>
        <w:t>physical</w:t>
      </w:r>
      <w:r>
        <w:rPr>
          <w:rFonts w:ascii="Segoe UI" w:hAnsi="Segoe UI" w:cs="Segoe UI" w:eastAsia="Segoe UI"/>
          <w:color w:val="67973F"/>
          <w:spacing w:val="-4"/>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23"/>
          <w:w w:val="99"/>
          <w:sz w:val="19"/>
          <w:szCs w:val="19"/>
        </w:rPr>
        <w:t> </w:t>
      </w:r>
      <w:r>
        <w:rPr>
          <w:rFonts w:ascii="Segoe UI" w:hAnsi="Segoe UI" w:cs="Segoe UI" w:eastAsia="Segoe UI"/>
          <w:color w:val="67973F"/>
          <w:spacing w:val="-1"/>
          <w:sz w:val="19"/>
          <w:szCs w:val="19"/>
        </w:rPr>
        <w:t>mental</w:t>
      </w:r>
      <w:r>
        <w:rPr>
          <w:rFonts w:ascii="Segoe UI" w:hAnsi="Segoe UI" w:cs="Segoe UI" w:eastAsia="Segoe UI"/>
          <w:color w:val="67973F"/>
          <w:spacing w:val="-3"/>
          <w:sz w:val="19"/>
          <w:szCs w:val="19"/>
        </w:rPr>
        <w:t> </w:t>
      </w:r>
      <w:r>
        <w:rPr>
          <w:rFonts w:ascii="Segoe UI" w:hAnsi="Segoe UI" w:cs="Segoe UI" w:eastAsia="Segoe UI"/>
          <w:color w:val="67973F"/>
          <w:sz w:val="19"/>
          <w:szCs w:val="19"/>
        </w:rPr>
        <w:t>wellbeing</w:t>
      </w:r>
      <w:r>
        <w:rPr>
          <w:rFonts w:ascii="Segoe UI" w:hAnsi="Segoe UI" w:cs="Segoe UI" w:eastAsia="Segoe UI"/>
          <w:color w:val="67973F"/>
          <w:spacing w:val="-3"/>
          <w:sz w:val="19"/>
          <w:szCs w:val="19"/>
        </w:rPr>
        <w:t> </w:t>
      </w:r>
      <w:r>
        <w:rPr>
          <w:rFonts w:ascii="Segoe UI" w:hAnsi="Segoe UI" w:cs="Segoe UI" w:eastAsia="Segoe UI"/>
          <w:color w:val="67973F"/>
          <w:sz w:val="19"/>
          <w:szCs w:val="19"/>
        </w:rPr>
        <w:t>to</w:t>
      </w:r>
      <w:r>
        <w:rPr>
          <w:rFonts w:ascii="Segoe UI" w:hAnsi="Segoe UI" w:cs="Segoe UI" w:eastAsia="Segoe UI"/>
          <w:color w:val="67973F"/>
          <w:spacing w:val="-2"/>
          <w:sz w:val="19"/>
          <w:szCs w:val="19"/>
        </w:rPr>
        <w:t> </w:t>
      </w:r>
      <w:r>
        <w:rPr>
          <w:rFonts w:ascii="Segoe UI" w:hAnsi="Segoe UI" w:cs="Segoe UI" w:eastAsia="Segoe UI"/>
          <w:color w:val="67973F"/>
          <w:sz w:val="19"/>
          <w:szCs w:val="19"/>
        </w:rPr>
        <w:t>address.</w:t>
      </w:r>
      <w:r>
        <w:rPr>
          <w:rFonts w:ascii="Segoe UI" w:hAnsi="Segoe UI" w:cs="Segoe UI" w:eastAsia="Segoe UI"/>
          <w:color w:val="67973F"/>
          <w:spacing w:val="-4"/>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2"/>
          <w:sz w:val="19"/>
          <w:szCs w:val="19"/>
        </w:rPr>
        <w:t> </w:t>
      </w:r>
      <w:r>
        <w:rPr>
          <w:rFonts w:ascii="Segoe UI" w:hAnsi="Segoe UI" w:cs="Segoe UI" w:eastAsia="Segoe UI"/>
          <w:color w:val="67973F"/>
          <w:sz w:val="19"/>
          <w:szCs w:val="19"/>
        </w:rPr>
        <w:t>AMS</w:t>
      </w:r>
      <w:r>
        <w:rPr>
          <w:rFonts w:ascii="Segoe UI" w:hAnsi="Segoe UI" w:cs="Segoe UI" w:eastAsia="Segoe UI"/>
          <w:color w:val="67973F"/>
          <w:spacing w:val="-3"/>
          <w:sz w:val="19"/>
          <w:szCs w:val="19"/>
        </w:rPr>
        <w:t> </w:t>
      </w:r>
      <w:r>
        <w:rPr>
          <w:rFonts w:ascii="Segoe UI" w:hAnsi="Segoe UI" w:cs="Segoe UI" w:eastAsia="Segoe UI"/>
          <w:color w:val="67973F"/>
          <w:sz w:val="19"/>
          <w:szCs w:val="19"/>
        </w:rPr>
        <w:t>has</w:t>
      </w:r>
      <w:r>
        <w:rPr>
          <w:rFonts w:ascii="Segoe UI" w:hAnsi="Segoe UI" w:cs="Segoe UI" w:eastAsia="Segoe UI"/>
          <w:color w:val="67973F"/>
          <w:spacing w:val="-4"/>
          <w:sz w:val="19"/>
          <w:szCs w:val="19"/>
        </w:rPr>
        <w:t> </w:t>
      </w:r>
      <w:r>
        <w:rPr>
          <w:rFonts w:ascii="Segoe UI" w:hAnsi="Segoe UI" w:cs="Segoe UI" w:eastAsia="Segoe UI"/>
          <w:color w:val="67973F"/>
          <w:sz w:val="19"/>
          <w:szCs w:val="19"/>
        </w:rPr>
        <w:t>a</w:t>
      </w:r>
      <w:r>
        <w:rPr>
          <w:rFonts w:ascii="Segoe UI" w:hAnsi="Segoe UI" w:cs="Segoe UI" w:eastAsia="Segoe UI"/>
          <w:color w:val="67973F"/>
          <w:spacing w:val="-2"/>
          <w:sz w:val="19"/>
          <w:szCs w:val="19"/>
        </w:rPr>
        <w:t> </w:t>
      </w:r>
      <w:r>
        <w:rPr>
          <w:rFonts w:ascii="Segoe UI" w:hAnsi="Segoe UI" w:cs="Segoe UI" w:eastAsia="Segoe UI"/>
          <w:color w:val="67973F"/>
          <w:sz w:val="19"/>
          <w:szCs w:val="19"/>
        </w:rPr>
        <w:t>clinic</w:t>
      </w:r>
      <w:r>
        <w:rPr>
          <w:rFonts w:ascii="Segoe UI" w:hAnsi="Segoe UI" w:cs="Segoe UI" w:eastAsia="Segoe UI"/>
          <w:color w:val="67973F"/>
          <w:spacing w:val="-3"/>
          <w:sz w:val="19"/>
          <w:szCs w:val="19"/>
        </w:rPr>
        <w:t> </w:t>
      </w:r>
      <w:r>
        <w:rPr>
          <w:rFonts w:ascii="Segoe UI" w:hAnsi="Segoe UI" w:cs="Segoe UI" w:eastAsia="Segoe UI"/>
          <w:color w:val="67973F"/>
          <w:sz w:val="19"/>
          <w:szCs w:val="19"/>
        </w:rPr>
        <w:t>on</w:t>
      </w:r>
      <w:r>
        <w:rPr>
          <w:rFonts w:ascii="Segoe UI" w:hAnsi="Segoe UI" w:cs="Segoe UI" w:eastAsia="Segoe UI"/>
          <w:color w:val="67973F"/>
          <w:spacing w:val="-3"/>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3"/>
          <w:sz w:val="19"/>
          <w:szCs w:val="19"/>
        </w:rPr>
        <w:t> </w:t>
      </w:r>
      <w:r>
        <w:rPr>
          <w:rFonts w:ascii="Segoe UI" w:hAnsi="Segoe UI" w:cs="Segoe UI" w:eastAsia="Segoe UI"/>
          <w:color w:val="67973F"/>
          <w:sz w:val="19"/>
          <w:szCs w:val="19"/>
        </w:rPr>
        <w:t>campus</w:t>
      </w:r>
      <w:r>
        <w:rPr>
          <w:rFonts w:ascii="Segoe UI" w:hAnsi="Segoe UI" w:cs="Segoe UI" w:eastAsia="Segoe UI"/>
          <w:color w:val="67973F"/>
          <w:spacing w:val="-3"/>
          <w:sz w:val="19"/>
          <w:szCs w:val="19"/>
        </w:rPr>
        <w:t> </w:t>
      </w:r>
      <w:r>
        <w:rPr>
          <w:rFonts w:ascii="Segoe UI" w:hAnsi="Segoe UI" w:cs="Segoe UI" w:eastAsia="Segoe UI"/>
          <w:color w:val="67973F"/>
          <w:sz w:val="19"/>
          <w:szCs w:val="19"/>
        </w:rPr>
        <w:t>of</w:t>
      </w:r>
      <w:r>
        <w:rPr>
          <w:rFonts w:ascii="Segoe UI" w:hAnsi="Segoe UI" w:cs="Segoe UI" w:eastAsia="Segoe UI"/>
          <w:color w:val="67973F"/>
          <w:spacing w:val="-3"/>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school</w:t>
      </w:r>
      <w:r>
        <w:rPr>
          <w:rFonts w:ascii="Segoe UI" w:hAnsi="Segoe UI" w:cs="Segoe UI" w:eastAsia="Segoe UI"/>
          <w:color w:val="67973F"/>
          <w:spacing w:val="-2"/>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4"/>
          <w:sz w:val="19"/>
          <w:szCs w:val="19"/>
        </w:rPr>
        <w:t> </w:t>
      </w:r>
      <w:r>
        <w:rPr>
          <w:rFonts w:ascii="Segoe UI" w:hAnsi="Segoe UI" w:cs="Segoe UI" w:eastAsia="Segoe UI"/>
          <w:color w:val="67973F"/>
          <w:sz w:val="19"/>
          <w:szCs w:val="19"/>
        </w:rPr>
        <w:t>works</w:t>
      </w:r>
      <w:r>
        <w:rPr>
          <w:rFonts w:ascii="Segoe UI" w:hAnsi="Segoe UI" w:cs="Segoe UI" w:eastAsia="Segoe UI"/>
          <w:color w:val="67973F"/>
          <w:spacing w:val="-3"/>
          <w:sz w:val="19"/>
          <w:szCs w:val="19"/>
        </w:rPr>
        <w:t> </w:t>
      </w:r>
      <w:r>
        <w:rPr>
          <w:rFonts w:ascii="Segoe UI" w:hAnsi="Segoe UI" w:cs="Segoe UI" w:eastAsia="Segoe UI"/>
          <w:color w:val="67973F"/>
          <w:sz w:val="19"/>
          <w:szCs w:val="19"/>
        </w:rPr>
        <w:t>closely</w:t>
      </w:r>
      <w:r>
        <w:rPr>
          <w:rFonts w:ascii="Segoe UI" w:hAnsi="Segoe UI" w:cs="Segoe UI" w:eastAsia="Segoe UI"/>
          <w:color w:val="67973F"/>
          <w:spacing w:val="-3"/>
          <w:sz w:val="19"/>
          <w:szCs w:val="19"/>
        </w:rPr>
        <w:t> </w:t>
      </w:r>
      <w:r>
        <w:rPr>
          <w:rFonts w:ascii="Segoe UI" w:hAnsi="Segoe UI" w:cs="Segoe UI" w:eastAsia="Segoe UI"/>
          <w:color w:val="67973F"/>
          <w:sz w:val="19"/>
          <w:szCs w:val="19"/>
        </w:rPr>
        <w:t>with</w:t>
      </w:r>
      <w:r>
        <w:rPr>
          <w:rFonts w:ascii="Segoe UI" w:hAnsi="Segoe UI" w:cs="Segoe UI" w:eastAsia="Segoe UI"/>
          <w:color w:val="67973F"/>
          <w:spacing w:val="23"/>
          <w:w w:val="99"/>
          <w:sz w:val="19"/>
          <w:szCs w:val="19"/>
        </w:rPr>
        <w:t> </w:t>
      </w:r>
      <w:r>
        <w:rPr>
          <w:rFonts w:ascii="Segoe UI" w:hAnsi="Segoe UI" w:cs="Segoe UI" w:eastAsia="Segoe UI"/>
          <w:color w:val="67973F"/>
          <w:sz w:val="19"/>
          <w:szCs w:val="19"/>
        </w:rPr>
        <w:t>school</w:t>
      </w:r>
      <w:r>
        <w:rPr>
          <w:rFonts w:ascii="Segoe UI" w:hAnsi="Segoe UI" w:cs="Segoe UI" w:eastAsia="Segoe UI"/>
          <w:color w:val="67973F"/>
          <w:spacing w:val="-1"/>
          <w:sz w:val="19"/>
          <w:szCs w:val="19"/>
        </w:rPr>
        <w:t> </w:t>
      </w:r>
      <w:r>
        <w:rPr>
          <w:rFonts w:ascii="Segoe UI" w:hAnsi="Segoe UI" w:cs="Segoe UI" w:eastAsia="Segoe UI"/>
          <w:color w:val="67973F"/>
          <w:sz w:val="19"/>
          <w:szCs w:val="19"/>
        </w:rPr>
        <w:t>staff to integrate</w:t>
      </w:r>
      <w:r>
        <w:rPr>
          <w:rFonts w:ascii="Segoe UI" w:hAnsi="Segoe UI" w:cs="Segoe UI" w:eastAsia="Segoe UI"/>
          <w:color w:val="67973F"/>
          <w:spacing w:val="-1"/>
          <w:sz w:val="19"/>
          <w:szCs w:val="19"/>
        </w:rPr>
        <w:t> </w:t>
      </w:r>
      <w:r>
        <w:rPr>
          <w:rFonts w:ascii="Segoe UI" w:hAnsi="Segoe UI" w:cs="Segoe UI" w:eastAsia="Segoe UI"/>
          <w:color w:val="67973F"/>
          <w:sz w:val="19"/>
          <w:szCs w:val="19"/>
        </w:rPr>
        <w:t>individual student health</w:t>
      </w:r>
      <w:r>
        <w:rPr>
          <w:rFonts w:ascii="Segoe UI" w:hAnsi="Segoe UI" w:cs="Segoe UI" w:eastAsia="Segoe UI"/>
          <w:color w:val="67973F"/>
          <w:spacing w:val="-1"/>
          <w:sz w:val="19"/>
          <w:szCs w:val="19"/>
        </w:rPr>
        <w:t> </w:t>
      </w:r>
      <w:r>
        <w:rPr>
          <w:rFonts w:ascii="Segoe UI" w:hAnsi="Segoe UI" w:cs="Segoe UI" w:eastAsia="Segoe UI"/>
          <w:color w:val="67973F"/>
          <w:sz w:val="19"/>
          <w:szCs w:val="19"/>
        </w:rPr>
        <w:t>plans with the school’s</w:t>
      </w:r>
      <w:r>
        <w:rPr>
          <w:rFonts w:ascii="Segoe UI" w:hAnsi="Segoe UI" w:cs="Segoe UI" w:eastAsia="Segoe UI"/>
          <w:color w:val="67973F"/>
          <w:spacing w:val="-1"/>
          <w:sz w:val="19"/>
          <w:szCs w:val="19"/>
        </w:rPr>
        <w:t> </w:t>
      </w:r>
      <w:r>
        <w:rPr>
          <w:rFonts w:ascii="Segoe UI" w:hAnsi="Segoe UI" w:cs="Segoe UI" w:eastAsia="Segoe UI"/>
          <w:color w:val="67973F"/>
          <w:sz w:val="19"/>
          <w:szCs w:val="19"/>
        </w:rPr>
        <w:t>development plans.</w:t>
      </w:r>
      <w:r>
        <w:rPr>
          <w:rFonts w:ascii="Segoe UI" w:hAnsi="Segoe UI" w:cs="Segoe UI" w:eastAsia="Segoe UI"/>
          <w:sz w:val="19"/>
          <w:szCs w:val="19"/>
        </w:rPr>
      </w:r>
    </w:p>
    <w:p>
      <w:pPr>
        <w:spacing w:line="265" w:lineRule="auto" w:before="113"/>
        <w:ind w:left="109" w:right="186" w:firstLine="0"/>
        <w:jc w:val="left"/>
        <w:rPr>
          <w:rFonts w:ascii="Segoe UI" w:hAnsi="Segoe UI" w:cs="Segoe UI" w:eastAsia="Segoe UI"/>
          <w:sz w:val="19"/>
          <w:szCs w:val="19"/>
        </w:rPr>
      </w:pPr>
      <w:r>
        <w:rPr>
          <w:rFonts w:ascii="Segoe UI"/>
          <w:color w:val="67973F"/>
          <w:sz w:val="19"/>
        </w:rPr>
        <w:t>Another</w:t>
      </w:r>
      <w:r>
        <w:rPr>
          <w:rFonts w:ascii="Segoe UI"/>
          <w:color w:val="67973F"/>
          <w:spacing w:val="-6"/>
          <w:sz w:val="19"/>
        </w:rPr>
        <w:t> </w:t>
      </w:r>
      <w:r>
        <w:rPr>
          <w:rFonts w:ascii="Segoe UI"/>
          <w:color w:val="67973F"/>
          <w:sz w:val="19"/>
        </w:rPr>
        <w:t>Aboriginal</w:t>
      </w:r>
      <w:r>
        <w:rPr>
          <w:rFonts w:ascii="Segoe UI"/>
          <w:color w:val="67973F"/>
          <w:spacing w:val="-5"/>
          <w:sz w:val="19"/>
        </w:rPr>
        <w:t> </w:t>
      </w:r>
      <w:r>
        <w:rPr>
          <w:rFonts w:ascii="Segoe UI"/>
          <w:color w:val="67973F"/>
          <w:sz w:val="19"/>
        </w:rPr>
        <w:t>and</w:t>
      </w:r>
      <w:r>
        <w:rPr>
          <w:rFonts w:ascii="Segoe UI"/>
          <w:color w:val="67973F"/>
          <w:spacing w:val="-6"/>
          <w:sz w:val="19"/>
        </w:rPr>
        <w:t> </w:t>
      </w:r>
      <w:r>
        <w:rPr>
          <w:rFonts w:ascii="Segoe UI"/>
          <w:color w:val="67973F"/>
          <w:spacing w:val="-5"/>
          <w:sz w:val="19"/>
        </w:rPr>
        <w:t>Torres </w:t>
      </w:r>
      <w:r>
        <w:rPr>
          <w:rFonts w:ascii="Segoe UI"/>
          <w:color w:val="67973F"/>
          <w:spacing w:val="-2"/>
          <w:sz w:val="19"/>
        </w:rPr>
        <w:t>Strait</w:t>
      </w:r>
      <w:r>
        <w:rPr>
          <w:rFonts w:ascii="Segoe UI"/>
          <w:color w:val="67973F"/>
          <w:spacing w:val="-6"/>
          <w:sz w:val="19"/>
        </w:rPr>
        <w:t> </w:t>
      </w:r>
      <w:r>
        <w:rPr>
          <w:rFonts w:ascii="Segoe UI"/>
          <w:color w:val="67973F"/>
          <w:spacing w:val="-1"/>
          <w:sz w:val="19"/>
        </w:rPr>
        <w:t>Islander</w:t>
      </w:r>
      <w:r>
        <w:rPr>
          <w:rFonts w:ascii="Segoe UI"/>
          <w:color w:val="67973F"/>
          <w:spacing w:val="-5"/>
          <w:sz w:val="19"/>
        </w:rPr>
        <w:t> </w:t>
      </w:r>
      <w:r>
        <w:rPr>
          <w:rFonts w:ascii="Segoe UI"/>
          <w:color w:val="67973F"/>
          <w:sz w:val="19"/>
        </w:rPr>
        <w:t>boarding</w:t>
      </w:r>
      <w:r>
        <w:rPr>
          <w:rFonts w:ascii="Segoe UI"/>
          <w:color w:val="67973F"/>
          <w:spacing w:val="-6"/>
          <w:sz w:val="19"/>
        </w:rPr>
        <w:t> </w:t>
      </w:r>
      <w:r>
        <w:rPr>
          <w:rFonts w:ascii="Segoe UI"/>
          <w:color w:val="67973F"/>
          <w:sz w:val="19"/>
        </w:rPr>
        <w:t>provider,</w:t>
      </w:r>
      <w:r>
        <w:rPr>
          <w:rFonts w:ascii="Segoe UI"/>
          <w:color w:val="67973F"/>
          <w:spacing w:val="-6"/>
          <w:sz w:val="19"/>
        </w:rPr>
        <w:t> </w:t>
      </w:r>
      <w:r>
        <w:rPr>
          <w:rFonts w:ascii="Segoe UI"/>
          <w:color w:val="67973F"/>
          <w:sz w:val="19"/>
        </w:rPr>
        <w:t>also</w:t>
      </w:r>
      <w:r>
        <w:rPr>
          <w:rFonts w:ascii="Segoe UI"/>
          <w:color w:val="67973F"/>
          <w:spacing w:val="-6"/>
          <w:sz w:val="19"/>
        </w:rPr>
        <w:t> </w:t>
      </w:r>
      <w:r>
        <w:rPr>
          <w:rFonts w:ascii="Segoe UI"/>
          <w:color w:val="67973F"/>
          <w:spacing w:val="-1"/>
          <w:sz w:val="19"/>
        </w:rPr>
        <w:t>in</w:t>
      </w:r>
      <w:r>
        <w:rPr>
          <w:rFonts w:ascii="Segoe UI"/>
          <w:color w:val="67973F"/>
          <w:spacing w:val="-5"/>
          <w:sz w:val="19"/>
        </w:rPr>
        <w:t> </w:t>
      </w:r>
      <w:r>
        <w:rPr>
          <w:rFonts w:ascii="Segoe UI"/>
          <w:color w:val="67973F"/>
          <w:sz w:val="19"/>
        </w:rPr>
        <w:t>regional</w:t>
      </w:r>
      <w:r>
        <w:rPr>
          <w:rFonts w:ascii="Segoe UI"/>
          <w:color w:val="67973F"/>
          <w:spacing w:val="-6"/>
          <w:sz w:val="19"/>
        </w:rPr>
        <w:t> </w:t>
      </w:r>
      <w:r>
        <w:rPr>
          <w:rFonts w:ascii="Segoe UI"/>
          <w:color w:val="67973F"/>
          <w:sz w:val="19"/>
        </w:rPr>
        <w:t>Queensland,</w:t>
      </w:r>
      <w:r>
        <w:rPr>
          <w:rFonts w:ascii="Segoe UI"/>
          <w:color w:val="67973F"/>
          <w:spacing w:val="-6"/>
          <w:sz w:val="19"/>
        </w:rPr>
        <w:t> </w:t>
      </w:r>
      <w:r>
        <w:rPr>
          <w:rFonts w:ascii="Segoe UI"/>
          <w:color w:val="67973F"/>
          <w:sz w:val="19"/>
        </w:rPr>
        <w:t>has</w:t>
      </w:r>
      <w:r>
        <w:rPr>
          <w:rFonts w:ascii="Segoe UI"/>
          <w:color w:val="67973F"/>
          <w:spacing w:val="25"/>
          <w:sz w:val="19"/>
        </w:rPr>
        <w:t> </w:t>
      </w:r>
      <w:r>
        <w:rPr>
          <w:rFonts w:ascii="Segoe UI"/>
          <w:color w:val="67973F"/>
          <w:sz w:val="19"/>
        </w:rPr>
        <w:t>partnered</w:t>
      </w:r>
      <w:r>
        <w:rPr>
          <w:rFonts w:ascii="Segoe UI"/>
          <w:color w:val="67973F"/>
          <w:spacing w:val="-6"/>
          <w:sz w:val="19"/>
        </w:rPr>
        <w:t> </w:t>
      </w:r>
      <w:r>
        <w:rPr>
          <w:rFonts w:ascii="Segoe UI"/>
          <w:color w:val="67973F"/>
          <w:sz w:val="19"/>
        </w:rPr>
        <w:t>with</w:t>
      </w:r>
      <w:r>
        <w:rPr>
          <w:rFonts w:ascii="Segoe UI"/>
          <w:color w:val="67973F"/>
          <w:spacing w:val="-6"/>
          <w:sz w:val="19"/>
        </w:rPr>
        <w:t> </w:t>
      </w:r>
      <w:r>
        <w:rPr>
          <w:rFonts w:ascii="Segoe UI"/>
          <w:color w:val="67973F"/>
          <w:sz w:val="19"/>
        </w:rPr>
        <w:t>free</w:t>
      </w:r>
      <w:r>
        <w:rPr>
          <w:rFonts w:ascii="Segoe UI"/>
          <w:color w:val="67973F"/>
          <w:spacing w:val="-5"/>
          <w:sz w:val="19"/>
        </w:rPr>
        <w:t> </w:t>
      </w:r>
      <w:r>
        <w:rPr>
          <w:rFonts w:ascii="Segoe UI"/>
          <w:color w:val="67973F"/>
          <w:sz w:val="19"/>
        </w:rPr>
        <w:t>government</w:t>
      </w:r>
      <w:r>
        <w:rPr>
          <w:rFonts w:ascii="Segoe UI"/>
          <w:color w:val="67973F"/>
          <w:spacing w:val="-6"/>
          <w:sz w:val="19"/>
        </w:rPr>
        <w:t> </w:t>
      </w:r>
      <w:r>
        <w:rPr>
          <w:rFonts w:ascii="Segoe UI"/>
          <w:color w:val="67973F"/>
          <w:sz w:val="19"/>
        </w:rPr>
        <w:t>health</w:t>
      </w:r>
      <w:r>
        <w:rPr>
          <w:rFonts w:ascii="Segoe UI"/>
          <w:color w:val="67973F"/>
          <w:spacing w:val="-5"/>
          <w:sz w:val="19"/>
        </w:rPr>
        <w:t> </w:t>
      </w:r>
      <w:r>
        <w:rPr>
          <w:rFonts w:ascii="Segoe UI"/>
          <w:color w:val="67973F"/>
          <w:sz w:val="19"/>
        </w:rPr>
        <w:t>(including</w:t>
      </w:r>
      <w:r>
        <w:rPr>
          <w:rFonts w:ascii="Segoe UI"/>
          <w:color w:val="67973F"/>
          <w:spacing w:val="-6"/>
          <w:sz w:val="19"/>
        </w:rPr>
        <w:t> </w:t>
      </w:r>
      <w:r>
        <w:rPr>
          <w:rFonts w:ascii="Segoe UI"/>
          <w:color w:val="67973F"/>
          <w:sz w:val="19"/>
        </w:rPr>
        <w:t>dental)</w:t>
      </w:r>
      <w:r>
        <w:rPr>
          <w:rFonts w:ascii="Segoe UI"/>
          <w:color w:val="67973F"/>
          <w:spacing w:val="-6"/>
          <w:sz w:val="19"/>
        </w:rPr>
        <w:t> </w:t>
      </w:r>
      <w:r>
        <w:rPr>
          <w:rFonts w:ascii="Segoe UI"/>
          <w:color w:val="67973F"/>
          <w:sz w:val="19"/>
        </w:rPr>
        <w:t>and</w:t>
      </w:r>
      <w:r>
        <w:rPr>
          <w:rFonts w:ascii="Segoe UI"/>
          <w:color w:val="67973F"/>
          <w:spacing w:val="-6"/>
          <w:sz w:val="19"/>
        </w:rPr>
        <w:t> </w:t>
      </w:r>
      <w:r>
        <w:rPr>
          <w:rFonts w:ascii="Segoe UI"/>
          <w:color w:val="67973F"/>
          <w:sz w:val="19"/>
        </w:rPr>
        <w:t>psychology</w:t>
      </w:r>
      <w:r>
        <w:rPr>
          <w:rFonts w:ascii="Segoe UI"/>
          <w:color w:val="67973F"/>
          <w:spacing w:val="-6"/>
          <w:sz w:val="19"/>
        </w:rPr>
        <w:t> </w:t>
      </w:r>
      <w:r>
        <w:rPr>
          <w:rFonts w:ascii="Segoe UI"/>
          <w:color w:val="67973F"/>
          <w:spacing w:val="-1"/>
          <w:sz w:val="19"/>
        </w:rPr>
        <w:t>services</w:t>
      </w:r>
      <w:r>
        <w:rPr>
          <w:rFonts w:ascii="Segoe UI"/>
          <w:color w:val="67973F"/>
          <w:spacing w:val="-4"/>
          <w:sz w:val="19"/>
        </w:rPr>
        <w:t> </w:t>
      </w:r>
      <w:r>
        <w:rPr>
          <w:rFonts w:ascii="Segoe UI"/>
          <w:color w:val="67973F"/>
          <w:spacing w:val="-1"/>
          <w:sz w:val="19"/>
        </w:rPr>
        <w:t>in</w:t>
      </w:r>
      <w:r>
        <w:rPr>
          <w:rFonts w:ascii="Segoe UI"/>
          <w:color w:val="67973F"/>
          <w:spacing w:val="-5"/>
          <w:sz w:val="19"/>
        </w:rPr>
        <w:t> </w:t>
      </w:r>
      <w:r>
        <w:rPr>
          <w:rFonts w:ascii="Segoe UI"/>
          <w:color w:val="67973F"/>
          <w:sz w:val="19"/>
        </w:rPr>
        <w:t>the</w:t>
      </w:r>
      <w:r>
        <w:rPr>
          <w:rFonts w:ascii="Segoe UI"/>
          <w:color w:val="67973F"/>
          <w:spacing w:val="-6"/>
          <w:sz w:val="19"/>
        </w:rPr>
        <w:t> </w:t>
      </w:r>
      <w:r>
        <w:rPr>
          <w:rFonts w:ascii="Segoe UI"/>
          <w:color w:val="67973F"/>
          <w:sz w:val="19"/>
        </w:rPr>
        <w:t>region</w:t>
      </w:r>
      <w:r>
        <w:rPr>
          <w:rFonts w:ascii="Segoe UI"/>
          <w:color w:val="67973F"/>
          <w:spacing w:val="-6"/>
          <w:sz w:val="19"/>
        </w:rPr>
        <w:t> </w:t>
      </w:r>
      <w:r>
        <w:rPr>
          <w:rFonts w:ascii="Segoe UI"/>
          <w:color w:val="67973F"/>
          <w:sz w:val="19"/>
        </w:rPr>
        <w:t>to</w:t>
      </w:r>
      <w:r>
        <w:rPr>
          <w:rFonts w:ascii="Segoe UI"/>
          <w:color w:val="67973F"/>
          <w:spacing w:val="-5"/>
          <w:sz w:val="19"/>
        </w:rPr>
        <w:t> </w:t>
      </w:r>
      <w:r>
        <w:rPr>
          <w:rFonts w:ascii="Segoe UI"/>
          <w:color w:val="67973F"/>
          <w:spacing w:val="-1"/>
          <w:sz w:val="19"/>
        </w:rPr>
        <w:t>meet</w:t>
      </w:r>
      <w:r>
        <w:rPr>
          <w:rFonts w:ascii="Segoe UI"/>
          <w:color w:val="67973F"/>
          <w:spacing w:val="22"/>
          <w:sz w:val="19"/>
        </w:rPr>
        <w:t> </w:t>
      </w:r>
      <w:r>
        <w:rPr>
          <w:rFonts w:ascii="Segoe UI"/>
          <w:color w:val="67973F"/>
          <w:sz w:val="19"/>
        </w:rPr>
        <w:t>the</w:t>
      </w:r>
      <w:r>
        <w:rPr>
          <w:rFonts w:ascii="Segoe UI"/>
          <w:color w:val="67973F"/>
          <w:spacing w:val="-4"/>
          <w:sz w:val="19"/>
        </w:rPr>
        <w:t> </w:t>
      </w:r>
      <w:r>
        <w:rPr>
          <w:rFonts w:ascii="Segoe UI"/>
          <w:color w:val="67973F"/>
          <w:sz w:val="19"/>
        </w:rPr>
        <w:t>primary</w:t>
      </w:r>
      <w:r>
        <w:rPr>
          <w:rFonts w:ascii="Segoe UI"/>
          <w:color w:val="67973F"/>
          <w:spacing w:val="-3"/>
          <w:sz w:val="19"/>
        </w:rPr>
        <w:t> </w:t>
      </w:r>
      <w:r>
        <w:rPr>
          <w:rFonts w:ascii="Segoe UI"/>
          <w:color w:val="67973F"/>
          <w:sz w:val="19"/>
        </w:rPr>
        <w:t>health</w:t>
      </w:r>
      <w:r>
        <w:rPr>
          <w:rFonts w:ascii="Segoe UI"/>
          <w:color w:val="67973F"/>
          <w:spacing w:val="-4"/>
          <w:sz w:val="19"/>
        </w:rPr>
        <w:t> </w:t>
      </w:r>
      <w:r>
        <w:rPr>
          <w:rFonts w:ascii="Segoe UI"/>
          <w:color w:val="67973F"/>
          <w:sz w:val="19"/>
        </w:rPr>
        <w:t>needs</w:t>
      </w:r>
      <w:r>
        <w:rPr>
          <w:rFonts w:ascii="Segoe UI"/>
          <w:color w:val="67973F"/>
          <w:spacing w:val="-3"/>
          <w:sz w:val="19"/>
        </w:rPr>
        <w:t> </w:t>
      </w:r>
      <w:r>
        <w:rPr>
          <w:rFonts w:ascii="Segoe UI"/>
          <w:color w:val="67973F"/>
          <w:sz w:val="19"/>
        </w:rPr>
        <w:t>of</w:t>
      </w:r>
      <w:r>
        <w:rPr>
          <w:rFonts w:ascii="Segoe UI"/>
          <w:color w:val="67973F"/>
          <w:spacing w:val="-3"/>
          <w:sz w:val="19"/>
        </w:rPr>
        <w:t> </w:t>
      </w:r>
      <w:r>
        <w:rPr>
          <w:rFonts w:ascii="Segoe UI"/>
          <w:color w:val="67973F"/>
          <w:spacing w:val="-1"/>
          <w:sz w:val="19"/>
        </w:rPr>
        <w:t>its</w:t>
      </w:r>
      <w:r>
        <w:rPr>
          <w:rFonts w:ascii="Segoe UI"/>
          <w:color w:val="67973F"/>
          <w:spacing w:val="-3"/>
          <w:sz w:val="19"/>
        </w:rPr>
        <w:t> </w:t>
      </w:r>
      <w:r>
        <w:rPr>
          <w:rFonts w:ascii="Segoe UI"/>
          <w:color w:val="67973F"/>
          <w:spacing w:val="-1"/>
          <w:sz w:val="19"/>
        </w:rPr>
        <w:t>students. It</w:t>
      </w:r>
      <w:r>
        <w:rPr>
          <w:rFonts w:ascii="Segoe UI"/>
          <w:color w:val="67973F"/>
          <w:spacing w:val="-3"/>
          <w:sz w:val="19"/>
        </w:rPr>
        <w:t> </w:t>
      </w:r>
      <w:r>
        <w:rPr>
          <w:rFonts w:ascii="Segoe UI"/>
          <w:color w:val="67973F"/>
          <w:sz w:val="19"/>
        </w:rPr>
        <w:t>does</w:t>
      </w:r>
      <w:r>
        <w:rPr>
          <w:rFonts w:ascii="Segoe UI"/>
          <w:color w:val="67973F"/>
          <w:spacing w:val="-3"/>
          <w:sz w:val="19"/>
        </w:rPr>
        <w:t> </w:t>
      </w:r>
      <w:r>
        <w:rPr>
          <w:rFonts w:ascii="Segoe UI"/>
          <w:color w:val="67973F"/>
          <w:sz w:val="19"/>
        </w:rPr>
        <w:t>not</w:t>
      </w:r>
      <w:r>
        <w:rPr>
          <w:rFonts w:ascii="Segoe UI"/>
          <w:color w:val="67973F"/>
          <w:spacing w:val="-3"/>
          <w:sz w:val="19"/>
        </w:rPr>
        <w:t> </w:t>
      </w:r>
      <w:r>
        <w:rPr>
          <w:rFonts w:ascii="Segoe UI"/>
          <w:color w:val="67973F"/>
          <w:sz w:val="19"/>
        </w:rPr>
        <w:t>have</w:t>
      </w:r>
      <w:r>
        <w:rPr>
          <w:rFonts w:ascii="Segoe UI"/>
          <w:color w:val="67973F"/>
          <w:spacing w:val="-3"/>
          <w:sz w:val="19"/>
        </w:rPr>
        <w:t> </w:t>
      </w:r>
      <w:r>
        <w:rPr>
          <w:rFonts w:ascii="Segoe UI"/>
          <w:color w:val="67973F"/>
          <w:sz w:val="19"/>
        </w:rPr>
        <w:t>an</w:t>
      </w:r>
      <w:r>
        <w:rPr>
          <w:rFonts w:ascii="Segoe UI"/>
          <w:color w:val="67973F"/>
          <w:spacing w:val="-4"/>
          <w:sz w:val="19"/>
        </w:rPr>
        <w:t> </w:t>
      </w:r>
      <w:r>
        <w:rPr>
          <w:rFonts w:ascii="Segoe UI"/>
          <w:color w:val="67973F"/>
          <w:spacing w:val="-1"/>
          <w:sz w:val="19"/>
        </w:rPr>
        <w:t>in</w:t>
      </w:r>
      <w:r>
        <w:rPr>
          <w:rFonts w:ascii="Segoe UI"/>
          <w:color w:val="67973F"/>
          <w:spacing w:val="-2"/>
          <w:sz w:val="19"/>
        </w:rPr>
        <w:t> </w:t>
      </w:r>
      <w:r>
        <w:rPr>
          <w:rFonts w:ascii="Segoe UI"/>
          <w:color w:val="67973F"/>
          <w:sz w:val="19"/>
        </w:rPr>
        <w:t>house</w:t>
      </w:r>
      <w:r>
        <w:rPr>
          <w:rFonts w:ascii="Segoe UI"/>
          <w:color w:val="67973F"/>
          <w:spacing w:val="-4"/>
          <w:sz w:val="19"/>
        </w:rPr>
        <w:t> </w:t>
      </w:r>
      <w:r>
        <w:rPr>
          <w:rFonts w:ascii="Segoe UI"/>
          <w:color w:val="67973F"/>
          <w:sz w:val="19"/>
        </w:rPr>
        <w:t>clinic</w:t>
      </w:r>
      <w:r>
        <w:rPr>
          <w:rFonts w:ascii="Segoe UI"/>
          <w:color w:val="67973F"/>
          <w:spacing w:val="-3"/>
          <w:sz w:val="19"/>
        </w:rPr>
        <w:t> </w:t>
      </w:r>
      <w:r>
        <w:rPr>
          <w:rFonts w:ascii="Segoe UI"/>
          <w:color w:val="67973F"/>
          <w:sz w:val="19"/>
        </w:rPr>
        <w:t>or</w:t>
      </w:r>
      <w:r>
        <w:rPr>
          <w:rFonts w:ascii="Segoe UI"/>
          <w:color w:val="67973F"/>
          <w:spacing w:val="-3"/>
          <w:sz w:val="19"/>
        </w:rPr>
        <w:t> </w:t>
      </w:r>
      <w:r>
        <w:rPr>
          <w:rFonts w:ascii="Segoe UI"/>
          <w:color w:val="67973F"/>
          <w:sz w:val="19"/>
        </w:rPr>
        <w:t>onsite</w:t>
      </w:r>
      <w:r>
        <w:rPr>
          <w:rFonts w:ascii="Segoe UI"/>
          <w:color w:val="67973F"/>
          <w:spacing w:val="-3"/>
          <w:sz w:val="19"/>
        </w:rPr>
        <w:t> </w:t>
      </w:r>
      <w:r>
        <w:rPr>
          <w:rFonts w:ascii="Segoe UI"/>
          <w:color w:val="67973F"/>
          <w:sz w:val="19"/>
        </w:rPr>
        <w:t>doctor</w:t>
      </w:r>
      <w:r>
        <w:rPr>
          <w:rFonts w:ascii="Segoe UI"/>
          <w:color w:val="67973F"/>
          <w:spacing w:val="-4"/>
          <w:sz w:val="19"/>
        </w:rPr>
        <w:t> </w:t>
      </w:r>
      <w:r>
        <w:rPr>
          <w:rFonts w:ascii="Segoe UI"/>
          <w:color w:val="67973F"/>
          <w:sz w:val="19"/>
        </w:rPr>
        <w:t>or</w:t>
      </w:r>
      <w:r>
        <w:rPr>
          <w:rFonts w:ascii="Segoe UI"/>
          <w:color w:val="67973F"/>
          <w:spacing w:val="-2"/>
          <w:sz w:val="19"/>
        </w:rPr>
        <w:t> </w:t>
      </w:r>
      <w:r>
        <w:rPr>
          <w:rFonts w:ascii="Segoe UI"/>
          <w:color w:val="67973F"/>
          <w:sz w:val="19"/>
        </w:rPr>
        <w:t>nurse.</w:t>
      </w:r>
      <w:r>
        <w:rPr>
          <w:rFonts w:ascii="Segoe UI"/>
          <w:sz w:val="19"/>
        </w:rPr>
      </w:r>
    </w:p>
    <w:p>
      <w:pPr>
        <w:spacing w:line="265" w:lineRule="auto" w:before="0"/>
        <w:ind w:left="109" w:right="441" w:firstLine="0"/>
        <w:jc w:val="both"/>
        <w:rPr>
          <w:rFonts w:ascii="Segoe UI" w:hAnsi="Segoe UI" w:cs="Segoe UI" w:eastAsia="Segoe UI"/>
          <w:sz w:val="19"/>
          <w:szCs w:val="19"/>
        </w:rPr>
      </w:pPr>
      <w:r>
        <w:rPr>
          <w:rFonts w:ascii="Segoe UI"/>
          <w:color w:val="67973F"/>
          <w:sz w:val="19"/>
        </w:rPr>
        <w:t>The</w:t>
      </w:r>
      <w:r>
        <w:rPr>
          <w:rFonts w:ascii="Segoe UI"/>
          <w:color w:val="67973F"/>
          <w:spacing w:val="-4"/>
          <w:sz w:val="19"/>
        </w:rPr>
        <w:t> </w:t>
      </w:r>
      <w:r>
        <w:rPr>
          <w:rFonts w:ascii="Segoe UI"/>
          <w:color w:val="67973F"/>
          <w:sz w:val="19"/>
        </w:rPr>
        <w:t>provider</w:t>
      </w:r>
      <w:r>
        <w:rPr>
          <w:rFonts w:ascii="Segoe UI"/>
          <w:color w:val="67973F"/>
          <w:spacing w:val="-4"/>
          <w:sz w:val="19"/>
        </w:rPr>
        <w:t> </w:t>
      </w:r>
      <w:r>
        <w:rPr>
          <w:rFonts w:ascii="Segoe UI"/>
          <w:color w:val="67973F"/>
          <w:spacing w:val="-1"/>
          <w:sz w:val="19"/>
        </w:rPr>
        <w:t>indicated</w:t>
      </w:r>
      <w:r>
        <w:rPr>
          <w:rFonts w:ascii="Segoe UI"/>
          <w:color w:val="67973F"/>
          <w:spacing w:val="-4"/>
          <w:sz w:val="19"/>
        </w:rPr>
        <w:t> </w:t>
      </w:r>
      <w:r>
        <w:rPr>
          <w:rFonts w:ascii="Segoe UI"/>
          <w:color w:val="67973F"/>
          <w:sz w:val="19"/>
        </w:rPr>
        <w:t>that</w:t>
      </w:r>
      <w:r>
        <w:rPr>
          <w:rFonts w:ascii="Segoe UI"/>
          <w:color w:val="67973F"/>
          <w:spacing w:val="-4"/>
          <w:sz w:val="19"/>
        </w:rPr>
        <w:t> </w:t>
      </w:r>
      <w:r>
        <w:rPr>
          <w:rFonts w:ascii="Segoe UI"/>
          <w:color w:val="67973F"/>
          <w:sz w:val="19"/>
        </w:rPr>
        <w:t>the</w:t>
      </w:r>
      <w:r>
        <w:rPr>
          <w:rFonts w:ascii="Segoe UI"/>
          <w:color w:val="67973F"/>
          <w:spacing w:val="-4"/>
          <w:sz w:val="19"/>
        </w:rPr>
        <w:t> </w:t>
      </w:r>
      <w:r>
        <w:rPr>
          <w:rFonts w:ascii="Segoe UI"/>
          <w:color w:val="67973F"/>
          <w:spacing w:val="-1"/>
          <w:sz w:val="19"/>
        </w:rPr>
        <w:t>services</w:t>
      </w:r>
      <w:r>
        <w:rPr>
          <w:rFonts w:ascii="Segoe UI"/>
          <w:color w:val="67973F"/>
          <w:spacing w:val="-4"/>
          <w:sz w:val="19"/>
        </w:rPr>
        <w:t> </w:t>
      </w:r>
      <w:r>
        <w:rPr>
          <w:rFonts w:ascii="Segoe UI"/>
          <w:color w:val="67973F"/>
          <w:sz w:val="19"/>
        </w:rPr>
        <w:t>are</w:t>
      </w:r>
      <w:r>
        <w:rPr>
          <w:rFonts w:ascii="Segoe UI"/>
          <w:color w:val="67973F"/>
          <w:spacing w:val="-4"/>
          <w:sz w:val="19"/>
        </w:rPr>
        <w:t> </w:t>
      </w:r>
      <w:r>
        <w:rPr>
          <w:rFonts w:ascii="Segoe UI"/>
          <w:color w:val="67973F"/>
          <w:sz w:val="19"/>
        </w:rPr>
        <w:t>accessible,</w:t>
      </w:r>
      <w:r>
        <w:rPr>
          <w:rFonts w:ascii="Segoe UI"/>
          <w:color w:val="67973F"/>
          <w:spacing w:val="-4"/>
          <w:sz w:val="19"/>
        </w:rPr>
        <w:t> </w:t>
      </w:r>
      <w:r>
        <w:rPr>
          <w:rFonts w:ascii="Segoe UI"/>
          <w:color w:val="67973F"/>
          <w:sz w:val="19"/>
        </w:rPr>
        <w:t>welcoming</w:t>
      </w:r>
      <w:r>
        <w:rPr>
          <w:rFonts w:ascii="Segoe UI"/>
          <w:color w:val="67973F"/>
          <w:spacing w:val="-5"/>
          <w:sz w:val="19"/>
        </w:rPr>
        <w:t> </w:t>
      </w:r>
      <w:r>
        <w:rPr>
          <w:rFonts w:ascii="Segoe UI"/>
          <w:color w:val="67973F"/>
          <w:sz w:val="19"/>
        </w:rPr>
        <w:t>of</w:t>
      </w:r>
      <w:r>
        <w:rPr>
          <w:rFonts w:ascii="Segoe UI"/>
          <w:color w:val="67973F"/>
          <w:spacing w:val="-4"/>
          <w:sz w:val="19"/>
        </w:rPr>
        <w:t> </w:t>
      </w:r>
      <w:r>
        <w:rPr>
          <w:rFonts w:ascii="Segoe UI"/>
          <w:color w:val="67973F"/>
          <w:spacing w:val="-1"/>
          <w:sz w:val="19"/>
        </w:rPr>
        <w:t>its</w:t>
      </w:r>
      <w:r>
        <w:rPr>
          <w:rFonts w:ascii="Segoe UI"/>
          <w:color w:val="67973F"/>
          <w:spacing w:val="-3"/>
          <w:sz w:val="19"/>
        </w:rPr>
        <w:t> </w:t>
      </w:r>
      <w:r>
        <w:rPr>
          <w:rFonts w:ascii="Segoe UI"/>
          <w:color w:val="67973F"/>
          <w:spacing w:val="-1"/>
          <w:sz w:val="19"/>
        </w:rPr>
        <w:t>students</w:t>
      </w:r>
      <w:r>
        <w:rPr>
          <w:rFonts w:ascii="Segoe UI"/>
          <w:color w:val="67973F"/>
          <w:spacing w:val="-4"/>
          <w:sz w:val="19"/>
        </w:rPr>
        <w:t> </w:t>
      </w:r>
      <w:r>
        <w:rPr>
          <w:rFonts w:ascii="Segoe UI"/>
          <w:color w:val="67973F"/>
          <w:sz w:val="19"/>
        </w:rPr>
        <w:t>and</w:t>
      </w:r>
      <w:r>
        <w:rPr>
          <w:rFonts w:ascii="Segoe UI"/>
          <w:color w:val="67973F"/>
          <w:spacing w:val="-4"/>
          <w:sz w:val="19"/>
        </w:rPr>
        <w:t> </w:t>
      </w:r>
      <w:r>
        <w:rPr>
          <w:rFonts w:ascii="Segoe UI"/>
          <w:color w:val="67973F"/>
          <w:sz w:val="19"/>
        </w:rPr>
        <w:t>outsourcing</w:t>
      </w:r>
      <w:r>
        <w:rPr>
          <w:rFonts w:ascii="Segoe UI"/>
          <w:color w:val="67973F"/>
          <w:spacing w:val="-4"/>
          <w:sz w:val="19"/>
        </w:rPr>
        <w:t> </w:t>
      </w:r>
      <w:r>
        <w:rPr>
          <w:rFonts w:ascii="Segoe UI"/>
          <w:color w:val="67973F"/>
          <w:sz w:val="19"/>
        </w:rPr>
        <w:t>the</w:t>
      </w:r>
      <w:r>
        <w:rPr>
          <w:rFonts w:ascii="Segoe UI"/>
          <w:color w:val="67973F"/>
          <w:spacing w:val="25"/>
          <w:w w:val="99"/>
          <w:sz w:val="19"/>
        </w:rPr>
        <w:t> </w:t>
      </w:r>
      <w:r>
        <w:rPr>
          <w:rFonts w:ascii="Segoe UI"/>
          <w:color w:val="67973F"/>
          <w:sz w:val="19"/>
        </w:rPr>
        <w:t>delivery of services to existing free services relieves some of the financial pressures from the boarding</w:t>
      </w:r>
      <w:r>
        <w:rPr>
          <w:rFonts w:ascii="Segoe UI"/>
          <w:color w:val="67973F"/>
          <w:sz w:val="19"/>
        </w:rPr>
        <w:t> </w:t>
      </w:r>
      <w:r>
        <w:rPr>
          <w:rFonts w:ascii="Segoe UI"/>
          <w:color w:val="67973F"/>
          <w:sz w:val="19"/>
        </w:rPr>
        <w:t>provider.</w:t>
      </w:r>
      <w:r>
        <w:rPr>
          <w:rFonts w:ascii="Segoe UI"/>
          <w:sz w:val="19"/>
        </w:rPr>
      </w:r>
    </w:p>
    <w:p>
      <w:pPr>
        <w:spacing w:line="240" w:lineRule="auto" w:before="7"/>
        <w:rPr>
          <w:rFonts w:ascii="Segoe UI" w:hAnsi="Segoe UI" w:cs="Segoe UI" w:eastAsia="Segoe UI"/>
          <w:sz w:val="14"/>
          <w:szCs w:val="14"/>
        </w:rPr>
      </w:pPr>
    </w:p>
    <w:p>
      <w:pPr>
        <w:spacing w:line="40" w:lineRule="atLeast"/>
        <w:ind w:left="109" w:right="0" w:firstLine="0"/>
        <w:rPr>
          <w:rFonts w:ascii="Segoe UI" w:hAnsi="Segoe UI" w:cs="Segoe UI" w:eastAsia="Segoe UI"/>
          <w:sz w:val="4"/>
          <w:szCs w:val="4"/>
        </w:rPr>
      </w:pPr>
      <w:r>
        <w:rPr>
          <w:rFonts w:ascii="Segoe UI" w:hAnsi="Segoe UI" w:cs="Segoe UI" w:eastAsia="Segoe UI"/>
          <w:sz w:val="4"/>
          <w:szCs w:val="4"/>
        </w:rPr>
        <w:pict>
          <v:group style="width:438pt;height:2pt;mso-position-horizontal-relative:char;mso-position-vertical-relative:line" coordorigin="0,0" coordsize="8760,40">
            <v:group style="position:absolute;left:100;top:20;width:8600;height:2" coordorigin="100,20" coordsize="8600,2">
              <v:shape style="position:absolute;left:100;top:20;width:8600;height:2" coordorigin="100,20" coordsize="8600,0" path="m100,20l8699,20e" filled="false" stroked="true" strokeweight="2pt" strokecolor="#67973f">
                <v:path arrowok="t"/>
                <v:stroke dashstyle="dash"/>
              </v:shape>
            </v:group>
            <v:group style="position:absolute;left:20;top:20;width:2;height:2" coordorigin="20,20" coordsize="2,2">
              <v:shape style="position:absolute;left:20;top:20;width:2;height:2" coordorigin="20,20" coordsize="0,0" path="m20,20l20,20e" filled="false" stroked="true" strokeweight="2pt" strokecolor="#67973f">
                <v:path arrowok="t"/>
              </v:shape>
            </v:group>
            <v:group style="position:absolute;left:8739;top:20;width:2;height:2" coordorigin="8739,20" coordsize="2,2">
              <v:shape style="position:absolute;left:8739;top:20;width:2;height:2" coordorigin="8739,20" coordsize="0,0" path="m8739,20l8739,20e" filled="false" stroked="true" strokeweight="2pt" strokecolor="#67973f">
                <v:path arrowok="t"/>
              </v:shape>
            </v:group>
          </v:group>
        </w:pict>
      </w:r>
      <w:r>
        <w:rPr>
          <w:rFonts w:ascii="Segoe UI" w:hAnsi="Segoe UI" w:cs="Segoe UI" w:eastAsia="Segoe UI"/>
          <w:sz w:val="4"/>
          <w:szCs w:val="4"/>
        </w:rPr>
      </w:r>
    </w:p>
    <w:p>
      <w:pPr>
        <w:spacing w:line="240" w:lineRule="auto" w:before="0"/>
        <w:rPr>
          <w:rFonts w:ascii="Segoe UI" w:hAnsi="Segoe UI" w:cs="Segoe UI" w:eastAsia="Segoe UI"/>
          <w:sz w:val="20"/>
          <w:szCs w:val="20"/>
        </w:rPr>
      </w:pPr>
    </w:p>
    <w:p>
      <w:pPr>
        <w:spacing w:line="240" w:lineRule="auto" w:before="6"/>
        <w:rPr>
          <w:rFonts w:ascii="Segoe UI" w:hAnsi="Segoe UI" w:cs="Segoe UI" w:eastAsia="Segoe UI"/>
          <w:sz w:val="22"/>
          <w:szCs w:val="22"/>
        </w:rPr>
      </w:pPr>
    </w:p>
    <w:p>
      <w:pPr>
        <w:spacing w:line="200" w:lineRule="atLeast"/>
        <w:ind w:left="109" w:right="0" w:firstLine="0"/>
        <w:rPr>
          <w:rFonts w:ascii="Segoe UI" w:hAnsi="Segoe UI" w:cs="Segoe UI" w:eastAsia="Segoe UI"/>
          <w:sz w:val="20"/>
          <w:szCs w:val="20"/>
        </w:rPr>
      </w:pPr>
      <w:r>
        <w:rPr>
          <w:rFonts w:ascii="Segoe UI" w:hAnsi="Segoe UI" w:cs="Segoe UI" w:eastAsia="Segoe UI"/>
          <w:sz w:val="20"/>
          <w:szCs w:val="20"/>
        </w:rPr>
        <w:pict>
          <v:group style="width:441.4pt;height:134.65pt;mso-position-horizontal-relative:char;mso-position-vertical-relative:line" coordorigin="0,0" coordsize="8828,2693">
            <v:group style="position:absolute;left:0;top:0;width:8828;height:2693" coordorigin="0,0" coordsize="8828,2693">
              <v:shape style="position:absolute;left:0;top:0;width:8828;height:2693" coordorigin="0,0" coordsize="8828,2693" path="m0,2693l8827,2693,8827,0,0,0,0,2693xe" filled="true" fillcolor="#231f20" stroked="false">
                <v:path arrowok="t"/>
                <v:fill type="solid"/>
              </v:shape>
              <v:shape style="position:absolute;left:0;top:0;width:8827;height:2693" type="#_x0000_t75" stroked="false">
                <v:imagedata r:id="rId44" o:title=""/>
              </v:shape>
            </v:group>
          </v:group>
        </w:pict>
      </w:r>
      <w:r>
        <w:rPr>
          <w:rFonts w:ascii="Segoe UI" w:hAnsi="Segoe UI" w:cs="Segoe UI" w:eastAsia="Segoe UI"/>
          <w:sz w:val="20"/>
          <w:szCs w:val="20"/>
        </w:rPr>
      </w:r>
    </w:p>
    <w:p>
      <w:pPr>
        <w:spacing w:line="240" w:lineRule="auto" w:before="0"/>
        <w:rPr>
          <w:rFonts w:ascii="Segoe UI" w:hAnsi="Segoe UI" w:cs="Segoe UI" w:eastAsia="Segoe UI"/>
          <w:sz w:val="20"/>
          <w:szCs w:val="20"/>
        </w:rPr>
      </w:pPr>
    </w:p>
    <w:p>
      <w:pPr>
        <w:spacing w:line="240" w:lineRule="auto" w:before="5"/>
        <w:rPr>
          <w:rFonts w:ascii="Segoe UI" w:hAnsi="Segoe UI" w:cs="Segoe UI" w:eastAsia="Segoe UI"/>
          <w:sz w:val="28"/>
          <w:szCs w:val="28"/>
        </w:rPr>
      </w:pPr>
    </w:p>
    <w:p>
      <w:pPr>
        <w:spacing w:line="200" w:lineRule="atLeast"/>
        <w:ind w:left="129" w:right="0" w:firstLine="0"/>
        <w:rPr>
          <w:rFonts w:ascii="Segoe UI" w:hAnsi="Segoe UI" w:cs="Segoe UI" w:eastAsia="Segoe UI"/>
          <w:sz w:val="20"/>
          <w:szCs w:val="20"/>
        </w:rPr>
      </w:pPr>
      <w:r>
        <w:rPr>
          <w:rFonts w:ascii="Segoe UI" w:hAnsi="Segoe UI" w:cs="Segoe UI" w:eastAsia="Segoe UI"/>
          <w:sz w:val="20"/>
          <w:szCs w:val="20"/>
        </w:rPr>
        <w:pict>
          <v:shape style="width:439.4pt;height:224pt;mso-position-horizontal-relative:char;mso-position-vertical-relative:line" type="#_x0000_t202" filled="true" fillcolor="#ecf1f5" stroked="true" strokeweight="2pt" strokecolor="#355f92">
            <v:textbox inset="0,0,0,0">
              <w:txbxContent>
                <w:p>
                  <w:pPr>
                    <w:spacing w:before="187"/>
                    <w:ind w:left="243" w:right="0" w:firstLine="0"/>
                    <w:jc w:val="left"/>
                    <w:rPr>
                      <w:rFonts w:ascii="Segoe UI Semibold" w:hAnsi="Segoe UI Semibold" w:cs="Segoe UI Semibold" w:eastAsia="Segoe UI Semibold"/>
                      <w:sz w:val="24"/>
                      <w:szCs w:val="24"/>
                    </w:rPr>
                  </w:pPr>
                  <w:r>
                    <w:rPr>
                      <w:rFonts w:ascii="Segoe UI Semibold"/>
                      <w:b/>
                      <w:color w:val="452A70"/>
                      <w:spacing w:val="-2"/>
                      <w:sz w:val="24"/>
                    </w:rPr>
                    <w:t>RECOMMENDATION</w:t>
                  </w:r>
                  <w:r>
                    <w:rPr>
                      <w:rFonts w:ascii="Segoe UI Semibold"/>
                      <w:b/>
                      <w:color w:val="452A70"/>
                      <w:spacing w:val="-9"/>
                      <w:sz w:val="24"/>
                    </w:rPr>
                    <w:t> </w:t>
                  </w:r>
                  <w:r>
                    <w:rPr>
                      <w:rFonts w:ascii="Segoe UI Semibold"/>
                      <w:b/>
                      <w:color w:val="452A70"/>
                      <w:spacing w:val="-1"/>
                      <w:sz w:val="24"/>
                    </w:rPr>
                    <w:t>2:</w:t>
                  </w:r>
                  <w:r>
                    <w:rPr>
                      <w:rFonts w:ascii="Segoe UI Semibold"/>
                      <w:b/>
                      <w:color w:val="452A70"/>
                      <w:spacing w:val="-7"/>
                      <w:sz w:val="24"/>
                    </w:rPr>
                    <w:t> </w:t>
                  </w:r>
                  <w:r>
                    <w:rPr>
                      <w:rFonts w:ascii="Segoe UI Semibold"/>
                      <w:b/>
                      <w:color w:val="452A70"/>
                      <w:spacing w:val="-3"/>
                      <w:sz w:val="24"/>
                    </w:rPr>
                    <w:t>HEALTH</w:t>
                  </w:r>
                  <w:r>
                    <w:rPr>
                      <w:rFonts w:ascii="Segoe UI Semibold"/>
                      <w:b/>
                      <w:color w:val="452A70"/>
                      <w:spacing w:val="-9"/>
                      <w:sz w:val="24"/>
                    </w:rPr>
                    <w:t> </w:t>
                  </w:r>
                  <w:r>
                    <w:rPr>
                      <w:rFonts w:ascii="Segoe UI Semibold"/>
                      <w:b/>
                      <w:color w:val="452A70"/>
                      <w:spacing w:val="-2"/>
                      <w:sz w:val="24"/>
                    </w:rPr>
                    <w:t>MANAGEMENT</w:t>
                  </w:r>
                  <w:r>
                    <w:rPr>
                      <w:rFonts w:ascii="Segoe UI Semibold"/>
                      <w:sz w:val="24"/>
                    </w:rPr>
                  </w:r>
                </w:p>
                <w:p>
                  <w:pPr>
                    <w:spacing w:line="250" w:lineRule="exact" w:before="131"/>
                    <w:ind w:left="243" w:right="418" w:firstLine="0"/>
                    <w:jc w:val="left"/>
                    <w:rPr>
                      <w:rFonts w:ascii="Segoe UI" w:hAnsi="Segoe UI" w:cs="Segoe UI" w:eastAsia="Segoe UI"/>
                      <w:sz w:val="20"/>
                      <w:szCs w:val="20"/>
                    </w:rPr>
                  </w:pPr>
                  <w:r>
                    <w:rPr>
                      <w:rFonts w:ascii="Segoe UI" w:hAnsi="Segoe UI" w:cs="Segoe UI" w:eastAsia="Segoe UI"/>
                      <w:color w:val="452A70"/>
                      <w:sz w:val="20"/>
                      <w:szCs w:val="20"/>
                    </w:rPr>
                    <w:t>Many</w:t>
                  </w:r>
                  <w:r>
                    <w:rPr>
                      <w:rFonts w:ascii="Segoe UI" w:hAnsi="Segoe UI" w:cs="Segoe UI" w:eastAsia="Segoe UI"/>
                      <w:color w:val="452A70"/>
                      <w:spacing w:val="-6"/>
                      <w:sz w:val="20"/>
                      <w:szCs w:val="20"/>
                    </w:rPr>
                    <w:t> </w:t>
                  </w:r>
                  <w:r>
                    <w:rPr>
                      <w:rFonts w:ascii="Segoe UI" w:hAnsi="Segoe UI" w:cs="Segoe UI" w:eastAsia="Segoe UI"/>
                      <w:color w:val="452A70"/>
                      <w:sz w:val="20"/>
                      <w:szCs w:val="20"/>
                    </w:rPr>
                    <w:t>Aboriginal</w:t>
                  </w:r>
                  <w:r>
                    <w:rPr>
                      <w:rFonts w:ascii="Segoe UI" w:hAnsi="Segoe UI" w:cs="Segoe UI" w:eastAsia="Segoe UI"/>
                      <w:color w:val="452A70"/>
                      <w:spacing w:val="-5"/>
                      <w:sz w:val="20"/>
                      <w:szCs w:val="20"/>
                    </w:rPr>
                    <w:t> </w:t>
                  </w:r>
                  <w:r>
                    <w:rPr>
                      <w:rFonts w:ascii="Segoe UI" w:hAnsi="Segoe UI" w:cs="Segoe UI" w:eastAsia="Segoe UI"/>
                      <w:color w:val="452A70"/>
                      <w:sz w:val="20"/>
                      <w:szCs w:val="20"/>
                    </w:rPr>
                    <w:t>and</w:t>
                  </w:r>
                  <w:r>
                    <w:rPr>
                      <w:rFonts w:ascii="Segoe UI" w:hAnsi="Segoe UI" w:cs="Segoe UI" w:eastAsia="Segoe UI"/>
                      <w:color w:val="452A70"/>
                      <w:spacing w:val="-6"/>
                      <w:sz w:val="20"/>
                      <w:szCs w:val="20"/>
                    </w:rPr>
                    <w:t> </w:t>
                  </w:r>
                  <w:r>
                    <w:rPr>
                      <w:rFonts w:ascii="Segoe UI" w:hAnsi="Segoe UI" w:cs="Segoe UI" w:eastAsia="Segoe UI"/>
                      <w:color w:val="452A70"/>
                      <w:spacing w:val="-5"/>
                      <w:sz w:val="20"/>
                      <w:szCs w:val="20"/>
                    </w:rPr>
                    <w:t>Torres </w:t>
                  </w:r>
                  <w:r>
                    <w:rPr>
                      <w:rFonts w:ascii="Segoe UI" w:hAnsi="Segoe UI" w:cs="Segoe UI" w:eastAsia="Segoe UI"/>
                      <w:color w:val="452A70"/>
                      <w:spacing w:val="-2"/>
                      <w:sz w:val="20"/>
                      <w:szCs w:val="20"/>
                    </w:rPr>
                    <w:t>Strait</w:t>
                  </w:r>
                  <w:r>
                    <w:rPr>
                      <w:rFonts w:ascii="Segoe UI" w:hAnsi="Segoe UI" w:cs="Segoe UI" w:eastAsia="Segoe UI"/>
                      <w:color w:val="452A70"/>
                      <w:spacing w:val="-6"/>
                      <w:sz w:val="20"/>
                      <w:szCs w:val="20"/>
                    </w:rPr>
                    <w:t> </w:t>
                  </w:r>
                  <w:r>
                    <w:rPr>
                      <w:rFonts w:ascii="Segoe UI" w:hAnsi="Segoe UI" w:cs="Segoe UI" w:eastAsia="Segoe UI"/>
                      <w:color w:val="452A70"/>
                      <w:spacing w:val="-1"/>
                      <w:sz w:val="20"/>
                      <w:szCs w:val="20"/>
                    </w:rPr>
                    <w:t>Islander</w:t>
                  </w:r>
                  <w:r>
                    <w:rPr>
                      <w:rFonts w:ascii="Segoe UI" w:hAnsi="Segoe UI" w:cs="Segoe UI" w:eastAsia="Segoe UI"/>
                      <w:color w:val="452A70"/>
                      <w:spacing w:val="-5"/>
                      <w:sz w:val="20"/>
                      <w:szCs w:val="20"/>
                    </w:rPr>
                    <w:t> </w:t>
                  </w:r>
                  <w:r>
                    <w:rPr>
                      <w:rFonts w:ascii="Segoe UI" w:hAnsi="Segoe UI" w:cs="Segoe UI" w:eastAsia="Segoe UI"/>
                      <w:color w:val="452A70"/>
                      <w:spacing w:val="-1"/>
                      <w:sz w:val="20"/>
                      <w:szCs w:val="20"/>
                    </w:rPr>
                    <w:t>students</w:t>
                  </w:r>
                  <w:r>
                    <w:rPr>
                      <w:rFonts w:ascii="Segoe UI" w:hAnsi="Segoe UI" w:cs="Segoe UI" w:eastAsia="Segoe UI"/>
                      <w:color w:val="452A70"/>
                      <w:spacing w:val="-5"/>
                      <w:sz w:val="20"/>
                      <w:szCs w:val="20"/>
                    </w:rPr>
                    <w:t> </w:t>
                  </w:r>
                  <w:r>
                    <w:rPr>
                      <w:rFonts w:ascii="Segoe UI" w:hAnsi="Segoe UI" w:cs="Segoe UI" w:eastAsia="Segoe UI"/>
                      <w:color w:val="452A70"/>
                      <w:sz w:val="20"/>
                      <w:szCs w:val="20"/>
                    </w:rPr>
                    <w:t>attending</w:t>
                  </w:r>
                  <w:r>
                    <w:rPr>
                      <w:rFonts w:ascii="Segoe UI" w:hAnsi="Segoe UI" w:cs="Segoe UI" w:eastAsia="Segoe UI"/>
                      <w:color w:val="452A70"/>
                      <w:spacing w:val="-7"/>
                      <w:sz w:val="20"/>
                      <w:szCs w:val="20"/>
                    </w:rPr>
                    <w:t> </w:t>
                  </w:r>
                  <w:r>
                    <w:rPr>
                      <w:rFonts w:ascii="Segoe UI" w:hAnsi="Segoe UI" w:cs="Segoe UI" w:eastAsia="Segoe UI"/>
                      <w:color w:val="452A70"/>
                      <w:sz w:val="20"/>
                      <w:szCs w:val="20"/>
                    </w:rPr>
                    <w:t>boarding</w:t>
                  </w:r>
                  <w:r>
                    <w:rPr>
                      <w:rFonts w:ascii="Segoe UI" w:hAnsi="Segoe UI" w:cs="Segoe UI" w:eastAsia="Segoe UI"/>
                      <w:color w:val="452A70"/>
                      <w:spacing w:val="-6"/>
                      <w:sz w:val="20"/>
                      <w:szCs w:val="20"/>
                    </w:rPr>
                    <w:t> </w:t>
                  </w:r>
                  <w:r>
                    <w:rPr>
                      <w:rFonts w:ascii="Segoe UI" w:hAnsi="Segoe UI" w:cs="Segoe UI" w:eastAsia="Segoe UI"/>
                      <w:color w:val="452A70"/>
                      <w:sz w:val="20"/>
                      <w:szCs w:val="20"/>
                    </w:rPr>
                    <w:t>face</w:t>
                  </w:r>
                  <w:r>
                    <w:rPr>
                      <w:rFonts w:ascii="Segoe UI" w:hAnsi="Segoe UI" w:cs="Segoe UI" w:eastAsia="Segoe UI"/>
                      <w:color w:val="452A70"/>
                      <w:spacing w:val="-5"/>
                      <w:sz w:val="20"/>
                      <w:szCs w:val="20"/>
                    </w:rPr>
                    <w:t> </w:t>
                  </w:r>
                  <w:r>
                    <w:rPr>
                      <w:rFonts w:ascii="Segoe UI" w:hAnsi="Segoe UI" w:cs="Segoe UI" w:eastAsia="Segoe UI"/>
                      <w:color w:val="452A70"/>
                      <w:sz w:val="20"/>
                      <w:szCs w:val="20"/>
                    </w:rPr>
                    <w:t>‘barriers</w:t>
                  </w:r>
                  <w:r>
                    <w:rPr>
                      <w:rFonts w:ascii="Segoe UI" w:hAnsi="Segoe UI" w:cs="Segoe UI" w:eastAsia="Segoe UI"/>
                      <w:color w:val="452A70"/>
                      <w:spacing w:val="-5"/>
                      <w:sz w:val="20"/>
                      <w:szCs w:val="20"/>
                    </w:rPr>
                    <w:t> </w:t>
                  </w:r>
                  <w:r>
                    <w:rPr>
                      <w:rFonts w:ascii="Segoe UI" w:hAnsi="Segoe UI" w:cs="Segoe UI" w:eastAsia="Segoe UI"/>
                      <w:color w:val="452A70"/>
                      <w:sz w:val="20"/>
                      <w:szCs w:val="20"/>
                    </w:rPr>
                    <w:t>to</w:t>
                  </w:r>
                  <w:r>
                    <w:rPr>
                      <w:rFonts w:ascii="Segoe UI" w:hAnsi="Segoe UI" w:cs="Segoe UI" w:eastAsia="Segoe UI"/>
                      <w:color w:val="452A70"/>
                      <w:spacing w:val="23"/>
                      <w:w w:val="99"/>
                      <w:sz w:val="20"/>
                      <w:szCs w:val="20"/>
                    </w:rPr>
                    <w:t> </w:t>
                  </w:r>
                  <w:r>
                    <w:rPr>
                      <w:rFonts w:ascii="Segoe UI" w:hAnsi="Segoe UI" w:cs="Segoe UI" w:eastAsia="Segoe UI"/>
                      <w:color w:val="452A70"/>
                      <w:sz w:val="20"/>
                      <w:szCs w:val="20"/>
                    </w:rPr>
                    <w:t>achievement’.</w:t>
                  </w:r>
                  <w:r>
                    <w:rPr>
                      <w:rFonts w:ascii="Segoe UI" w:hAnsi="Segoe UI" w:cs="Segoe UI" w:eastAsia="Segoe UI"/>
                      <w:color w:val="452A70"/>
                      <w:spacing w:val="-7"/>
                      <w:sz w:val="20"/>
                      <w:szCs w:val="20"/>
                    </w:rPr>
                    <w:t> </w:t>
                  </w:r>
                  <w:r>
                    <w:rPr>
                      <w:rFonts w:ascii="Segoe UI" w:hAnsi="Segoe UI" w:cs="Segoe UI" w:eastAsia="Segoe UI"/>
                      <w:color w:val="452A70"/>
                      <w:spacing w:val="-1"/>
                      <w:sz w:val="20"/>
                      <w:szCs w:val="20"/>
                    </w:rPr>
                    <w:t>Boarding</w:t>
                  </w:r>
                  <w:r>
                    <w:rPr>
                      <w:rFonts w:ascii="Segoe UI" w:hAnsi="Segoe UI" w:cs="Segoe UI" w:eastAsia="Segoe UI"/>
                      <w:color w:val="452A70"/>
                      <w:spacing w:val="-6"/>
                      <w:sz w:val="20"/>
                      <w:szCs w:val="20"/>
                    </w:rPr>
                    <w:t> </w:t>
                  </w:r>
                  <w:r>
                    <w:rPr>
                      <w:rFonts w:ascii="Segoe UI" w:hAnsi="Segoe UI" w:cs="Segoe UI" w:eastAsia="Segoe UI"/>
                      <w:color w:val="452A70"/>
                      <w:sz w:val="20"/>
                      <w:szCs w:val="20"/>
                    </w:rPr>
                    <w:t>providers</w:t>
                  </w:r>
                  <w:r>
                    <w:rPr>
                      <w:rFonts w:ascii="Segoe UI" w:hAnsi="Segoe UI" w:cs="Segoe UI" w:eastAsia="Segoe UI"/>
                      <w:color w:val="452A70"/>
                      <w:spacing w:val="-6"/>
                      <w:sz w:val="20"/>
                      <w:szCs w:val="20"/>
                    </w:rPr>
                    <w:t> </w:t>
                  </w:r>
                  <w:r>
                    <w:rPr>
                      <w:rFonts w:ascii="Segoe UI" w:hAnsi="Segoe UI" w:cs="Segoe UI" w:eastAsia="Segoe UI"/>
                      <w:color w:val="452A70"/>
                      <w:sz w:val="20"/>
                      <w:szCs w:val="20"/>
                    </w:rPr>
                    <w:t>deliver</w:t>
                  </w:r>
                  <w:r>
                    <w:rPr>
                      <w:rFonts w:ascii="Segoe UI" w:hAnsi="Segoe UI" w:cs="Segoe UI" w:eastAsia="Segoe UI"/>
                      <w:color w:val="452A70"/>
                      <w:spacing w:val="-7"/>
                      <w:sz w:val="20"/>
                      <w:szCs w:val="20"/>
                    </w:rPr>
                    <w:t> </w:t>
                  </w:r>
                  <w:r>
                    <w:rPr>
                      <w:rFonts w:ascii="Segoe UI" w:hAnsi="Segoe UI" w:cs="Segoe UI" w:eastAsia="Segoe UI"/>
                      <w:color w:val="452A70"/>
                      <w:sz w:val="20"/>
                      <w:szCs w:val="20"/>
                    </w:rPr>
                    <w:t>a</w:t>
                  </w:r>
                  <w:r>
                    <w:rPr>
                      <w:rFonts w:ascii="Segoe UI" w:hAnsi="Segoe UI" w:cs="Segoe UI" w:eastAsia="Segoe UI"/>
                      <w:color w:val="452A70"/>
                      <w:spacing w:val="-5"/>
                      <w:sz w:val="20"/>
                      <w:szCs w:val="20"/>
                    </w:rPr>
                    <w:t> </w:t>
                  </w:r>
                  <w:r>
                    <w:rPr>
                      <w:rFonts w:ascii="Segoe UI" w:hAnsi="Segoe UI" w:cs="Segoe UI" w:eastAsia="Segoe UI"/>
                      <w:color w:val="452A70"/>
                      <w:sz w:val="20"/>
                      <w:szCs w:val="20"/>
                    </w:rPr>
                    <w:t>range</w:t>
                  </w:r>
                  <w:r>
                    <w:rPr>
                      <w:rFonts w:ascii="Segoe UI" w:hAnsi="Segoe UI" w:cs="Segoe UI" w:eastAsia="Segoe UI"/>
                      <w:color w:val="452A70"/>
                      <w:spacing w:val="-7"/>
                      <w:sz w:val="20"/>
                      <w:szCs w:val="20"/>
                    </w:rPr>
                    <w:t> </w:t>
                  </w:r>
                  <w:r>
                    <w:rPr>
                      <w:rFonts w:ascii="Segoe UI" w:hAnsi="Segoe UI" w:cs="Segoe UI" w:eastAsia="Segoe UI"/>
                      <w:color w:val="452A70"/>
                      <w:sz w:val="20"/>
                      <w:szCs w:val="20"/>
                    </w:rPr>
                    <w:t>of</w:t>
                  </w:r>
                  <w:r>
                    <w:rPr>
                      <w:rFonts w:ascii="Segoe UI" w:hAnsi="Segoe UI" w:cs="Segoe UI" w:eastAsia="Segoe UI"/>
                      <w:color w:val="452A70"/>
                      <w:spacing w:val="-5"/>
                      <w:sz w:val="20"/>
                      <w:szCs w:val="20"/>
                    </w:rPr>
                    <w:t> </w:t>
                  </w:r>
                  <w:r>
                    <w:rPr>
                      <w:rFonts w:ascii="Segoe UI" w:hAnsi="Segoe UI" w:cs="Segoe UI" w:eastAsia="Segoe UI"/>
                      <w:color w:val="452A70"/>
                      <w:spacing w:val="-1"/>
                      <w:sz w:val="20"/>
                      <w:szCs w:val="20"/>
                    </w:rPr>
                    <w:t>support</w:t>
                  </w:r>
                  <w:r>
                    <w:rPr>
                      <w:rFonts w:ascii="Segoe UI" w:hAnsi="Segoe UI" w:cs="Segoe UI" w:eastAsia="Segoe UI"/>
                      <w:color w:val="452A70"/>
                      <w:spacing w:val="-6"/>
                      <w:sz w:val="20"/>
                      <w:szCs w:val="20"/>
                    </w:rPr>
                    <w:t> </w:t>
                  </w:r>
                  <w:r>
                    <w:rPr>
                      <w:rFonts w:ascii="Segoe UI" w:hAnsi="Segoe UI" w:cs="Segoe UI" w:eastAsia="Segoe UI"/>
                      <w:color w:val="452A70"/>
                      <w:spacing w:val="-1"/>
                      <w:sz w:val="20"/>
                      <w:szCs w:val="20"/>
                    </w:rPr>
                    <w:t>services</w:t>
                  </w:r>
                  <w:r>
                    <w:rPr>
                      <w:rFonts w:ascii="Segoe UI" w:hAnsi="Segoe UI" w:cs="Segoe UI" w:eastAsia="Segoe UI"/>
                      <w:color w:val="452A70"/>
                      <w:spacing w:val="-5"/>
                      <w:sz w:val="20"/>
                      <w:szCs w:val="20"/>
                    </w:rPr>
                    <w:t> </w:t>
                  </w:r>
                  <w:r>
                    <w:rPr>
                      <w:rFonts w:ascii="Segoe UI" w:hAnsi="Segoe UI" w:cs="Segoe UI" w:eastAsia="Segoe UI"/>
                      <w:color w:val="452A70"/>
                      <w:sz w:val="20"/>
                      <w:szCs w:val="20"/>
                    </w:rPr>
                    <w:t>to</w:t>
                  </w:r>
                  <w:r>
                    <w:rPr>
                      <w:rFonts w:ascii="Segoe UI" w:hAnsi="Segoe UI" w:cs="Segoe UI" w:eastAsia="Segoe UI"/>
                      <w:color w:val="452A70"/>
                      <w:spacing w:val="-6"/>
                      <w:sz w:val="20"/>
                      <w:szCs w:val="20"/>
                    </w:rPr>
                    <w:t> </w:t>
                  </w:r>
                  <w:r>
                    <w:rPr>
                      <w:rFonts w:ascii="Segoe UI" w:hAnsi="Segoe UI" w:cs="Segoe UI" w:eastAsia="Segoe UI"/>
                      <w:color w:val="452A70"/>
                      <w:sz w:val="20"/>
                      <w:szCs w:val="20"/>
                    </w:rPr>
                    <w:t>address</w:t>
                  </w:r>
                  <w:r>
                    <w:rPr>
                      <w:rFonts w:ascii="Segoe UI" w:hAnsi="Segoe UI" w:cs="Segoe UI" w:eastAsia="Segoe UI"/>
                      <w:color w:val="452A70"/>
                      <w:spacing w:val="-6"/>
                      <w:sz w:val="20"/>
                      <w:szCs w:val="20"/>
                    </w:rPr>
                    <w:t> </w:t>
                  </w:r>
                  <w:r>
                    <w:rPr>
                      <w:rFonts w:ascii="Segoe UI" w:hAnsi="Segoe UI" w:cs="Segoe UI" w:eastAsia="Segoe UI"/>
                      <w:color w:val="452A70"/>
                      <w:sz w:val="20"/>
                      <w:szCs w:val="20"/>
                    </w:rPr>
                    <w:t>health</w:t>
                  </w:r>
                  <w:r>
                    <w:rPr>
                      <w:rFonts w:ascii="Segoe UI" w:hAnsi="Segoe UI" w:cs="Segoe UI" w:eastAsia="Segoe UI"/>
                      <w:color w:val="452A70"/>
                      <w:spacing w:val="-7"/>
                      <w:sz w:val="20"/>
                      <w:szCs w:val="20"/>
                    </w:rPr>
                    <w:t> </w:t>
                  </w:r>
                  <w:r>
                    <w:rPr>
                      <w:rFonts w:ascii="Segoe UI" w:hAnsi="Segoe UI" w:cs="Segoe UI" w:eastAsia="Segoe UI"/>
                      <w:color w:val="452A70"/>
                      <w:sz w:val="20"/>
                      <w:szCs w:val="20"/>
                    </w:rPr>
                    <w:t>and</w:t>
                  </w:r>
                  <w:r>
                    <w:rPr>
                      <w:rFonts w:ascii="Segoe UI" w:hAnsi="Segoe UI" w:cs="Segoe UI" w:eastAsia="Segoe UI"/>
                      <w:color w:val="452A70"/>
                      <w:spacing w:val="24"/>
                      <w:w w:val="99"/>
                      <w:sz w:val="20"/>
                      <w:szCs w:val="20"/>
                    </w:rPr>
                    <w:t> </w:t>
                  </w:r>
                  <w:r>
                    <w:rPr>
                      <w:rFonts w:ascii="Segoe UI" w:hAnsi="Segoe UI" w:cs="Segoe UI" w:eastAsia="Segoe UI"/>
                      <w:color w:val="452A70"/>
                      <w:sz w:val="20"/>
                      <w:szCs w:val="20"/>
                    </w:rPr>
                    <w:t>hygiene</w:t>
                  </w:r>
                  <w:r>
                    <w:rPr>
                      <w:rFonts w:ascii="Segoe UI" w:hAnsi="Segoe UI" w:cs="Segoe UI" w:eastAsia="Segoe UI"/>
                      <w:color w:val="452A70"/>
                      <w:spacing w:val="-6"/>
                      <w:sz w:val="20"/>
                      <w:szCs w:val="20"/>
                    </w:rPr>
                    <w:t> </w:t>
                  </w:r>
                  <w:r>
                    <w:rPr>
                      <w:rFonts w:ascii="Segoe UI" w:hAnsi="Segoe UI" w:cs="Segoe UI" w:eastAsia="Segoe UI"/>
                      <w:color w:val="452A70"/>
                      <w:spacing w:val="-1"/>
                      <w:sz w:val="20"/>
                      <w:szCs w:val="20"/>
                    </w:rPr>
                    <w:t>issues,</w:t>
                  </w:r>
                  <w:r>
                    <w:rPr>
                      <w:rFonts w:ascii="Segoe UI" w:hAnsi="Segoe UI" w:cs="Segoe UI" w:eastAsia="Segoe UI"/>
                      <w:color w:val="452A70"/>
                      <w:spacing w:val="-5"/>
                      <w:sz w:val="20"/>
                      <w:szCs w:val="20"/>
                    </w:rPr>
                    <w:t> </w:t>
                  </w:r>
                  <w:r>
                    <w:rPr>
                      <w:rFonts w:ascii="Segoe UI" w:hAnsi="Segoe UI" w:cs="Segoe UI" w:eastAsia="Segoe UI"/>
                      <w:color w:val="452A70"/>
                      <w:spacing w:val="-1"/>
                      <w:sz w:val="20"/>
                      <w:szCs w:val="20"/>
                    </w:rPr>
                    <w:t>low</w:t>
                  </w:r>
                  <w:r>
                    <w:rPr>
                      <w:rFonts w:ascii="Segoe UI" w:hAnsi="Segoe UI" w:cs="Segoe UI" w:eastAsia="Segoe UI"/>
                      <w:color w:val="452A70"/>
                      <w:spacing w:val="-5"/>
                      <w:sz w:val="20"/>
                      <w:szCs w:val="20"/>
                    </w:rPr>
                    <w:t> </w:t>
                  </w:r>
                  <w:r>
                    <w:rPr>
                      <w:rFonts w:ascii="Segoe UI" w:hAnsi="Segoe UI" w:cs="Segoe UI" w:eastAsia="Segoe UI"/>
                      <w:color w:val="452A70"/>
                      <w:spacing w:val="-1"/>
                      <w:sz w:val="20"/>
                      <w:szCs w:val="20"/>
                    </w:rPr>
                    <w:t>levels</w:t>
                  </w:r>
                  <w:r>
                    <w:rPr>
                      <w:rFonts w:ascii="Segoe UI" w:hAnsi="Segoe UI" w:cs="Segoe UI" w:eastAsia="Segoe UI"/>
                      <w:color w:val="452A70"/>
                      <w:spacing w:val="-5"/>
                      <w:sz w:val="20"/>
                      <w:szCs w:val="20"/>
                    </w:rPr>
                    <w:t> </w:t>
                  </w:r>
                  <w:r>
                    <w:rPr>
                      <w:rFonts w:ascii="Segoe UI" w:hAnsi="Segoe UI" w:cs="Segoe UI" w:eastAsia="Segoe UI"/>
                      <w:color w:val="452A70"/>
                      <w:sz w:val="20"/>
                      <w:szCs w:val="20"/>
                    </w:rPr>
                    <w:t>of</w:t>
                  </w:r>
                  <w:r>
                    <w:rPr>
                      <w:rFonts w:ascii="Segoe UI" w:hAnsi="Segoe UI" w:cs="Segoe UI" w:eastAsia="Segoe UI"/>
                      <w:color w:val="452A70"/>
                      <w:spacing w:val="-5"/>
                      <w:sz w:val="20"/>
                      <w:szCs w:val="20"/>
                    </w:rPr>
                    <w:t> </w:t>
                  </w:r>
                  <w:r>
                    <w:rPr>
                      <w:rFonts w:ascii="Segoe UI" w:hAnsi="Segoe UI" w:cs="Segoe UI" w:eastAsia="Segoe UI"/>
                      <w:color w:val="452A70"/>
                      <w:spacing w:val="-1"/>
                      <w:sz w:val="20"/>
                      <w:szCs w:val="20"/>
                    </w:rPr>
                    <w:t>literacy</w:t>
                  </w:r>
                  <w:r>
                    <w:rPr>
                      <w:rFonts w:ascii="Segoe UI" w:hAnsi="Segoe UI" w:cs="Segoe UI" w:eastAsia="Segoe UI"/>
                      <w:color w:val="452A70"/>
                      <w:spacing w:val="-5"/>
                      <w:sz w:val="20"/>
                      <w:szCs w:val="20"/>
                    </w:rPr>
                    <w:t> </w:t>
                  </w:r>
                  <w:r>
                    <w:rPr>
                      <w:rFonts w:ascii="Segoe UI" w:hAnsi="Segoe UI" w:cs="Segoe UI" w:eastAsia="Segoe UI"/>
                      <w:color w:val="452A70"/>
                      <w:sz w:val="20"/>
                      <w:szCs w:val="20"/>
                    </w:rPr>
                    <w:t>and</w:t>
                  </w:r>
                  <w:r>
                    <w:rPr>
                      <w:rFonts w:ascii="Segoe UI" w:hAnsi="Segoe UI" w:cs="Segoe UI" w:eastAsia="Segoe UI"/>
                      <w:color w:val="452A70"/>
                      <w:spacing w:val="-6"/>
                      <w:sz w:val="20"/>
                      <w:szCs w:val="20"/>
                    </w:rPr>
                    <w:t> </w:t>
                  </w:r>
                  <w:r>
                    <w:rPr>
                      <w:rFonts w:ascii="Segoe UI" w:hAnsi="Segoe UI" w:cs="Segoe UI" w:eastAsia="Segoe UI"/>
                      <w:color w:val="452A70"/>
                      <w:sz w:val="20"/>
                      <w:szCs w:val="20"/>
                    </w:rPr>
                    <w:t>numeracy,</w:t>
                  </w:r>
                  <w:r>
                    <w:rPr>
                      <w:rFonts w:ascii="Segoe UI" w:hAnsi="Segoe UI" w:cs="Segoe UI" w:eastAsia="Segoe UI"/>
                      <w:color w:val="452A70"/>
                      <w:spacing w:val="-6"/>
                      <w:sz w:val="20"/>
                      <w:szCs w:val="20"/>
                    </w:rPr>
                    <w:t> </w:t>
                  </w:r>
                  <w:r>
                    <w:rPr>
                      <w:rFonts w:ascii="Segoe UI" w:hAnsi="Segoe UI" w:cs="Segoe UI" w:eastAsia="Segoe UI"/>
                      <w:color w:val="452A70"/>
                      <w:sz w:val="20"/>
                      <w:szCs w:val="20"/>
                    </w:rPr>
                    <w:t>undiagnosed</w:t>
                  </w:r>
                  <w:r>
                    <w:rPr>
                      <w:rFonts w:ascii="Segoe UI" w:hAnsi="Segoe UI" w:cs="Segoe UI" w:eastAsia="Segoe UI"/>
                      <w:color w:val="452A70"/>
                      <w:spacing w:val="-6"/>
                      <w:sz w:val="20"/>
                      <w:szCs w:val="20"/>
                    </w:rPr>
                    <w:t> </w:t>
                  </w:r>
                  <w:r>
                    <w:rPr>
                      <w:rFonts w:ascii="Segoe UI" w:hAnsi="Segoe UI" w:cs="Segoe UI" w:eastAsia="Segoe UI"/>
                      <w:color w:val="452A70"/>
                      <w:sz w:val="20"/>
                      <w:szCs w:val="20"/>
                    </w:rPr>
                    <w:t>and</w:t>
                  </w:r>
                  <w:r>
                    <w:rPr>
                      <w:rFonts w:ascii="Segoe UI" w:hAnsi="Segoe UI" w:cs="Segoe UI" w:eastAsia="Segoe UI"/>
                      <w:color w:val="452A70"/>
                      <w:spacing w:val="-6"/>
                      <w:sz w:val="20"/>
                      <w:szCs w:val="20"/>
                    </w:rPr>
                    <w:t> </w:t>
                  </w:r>
                  <w:r>
                    <w:rPr>
                      <w:rFonts w:ascii="Segoe UI" w:hAnsi="Segoe UI" w:cs="Segoe UI" w:eastAsia="Segoe UI"/>
                      <w:color w:val="452A70"/>
                      <w:sz w:val="20"/>
                      <w:szCs w:val="20"/>
                    </w:rPr>
                    <w:t>diagnosed</w:t>
                  </w:r>
                  <w:r>
                    <w:rPr>
                      <w:rFonts w:ascii="Segoe UI" w:hAnsi="Segoe UI" w:cs="Segoe UI" w:eastAsia="Segoe UI"/>
                      <w:color w:val="452A70"/>
                      <w:spacing w:val="-6"/>
                      <w:sz w:val="20"/>
                      <w:szCs w:val="20"/>
                    </w:rPr>
                    <w:t> </w:t>
                  </w:r>
                  <w:r>
                    <w:rPr>
                      <w:rFonts w:ascii="Segoe UI" w:hAnsi="Segoe UI" w:cs="Segoe UI" w:eastAsia="Segoe UI"/>
                      <w:color w:val="452A70"/>
                      <w:sz w:val="20"/>
                      <w:szCs w:val="20"/>
                    </w:rPr>
                    <w:t>disabilities,</w:t>
                  </w:r>
                  <w:r>
                    <w:rPr>
                      <w:rFonts w:ascii="Segoe UI" w:hAnsi="Segoe UI" w:cs="Segoe UI" w:eastAsia="Segoe UI"/>
                      <w:color w:val="452A70"/>
                      <w:spacing w:val="25"/>
                      <w:sz w:val="20"/>
                      <w:szCs w:val="20"/>
                    </w:rPr>
                    <w:t> </w:t>
                  </w:r>
                  <w:r>
                    <w:rPr>
                      <w:rFonts w:ascii="Segoe UI" w:hAnsi="Segoe UI" w:cs="Segoe UI" w:eastAsia="Segoe UI"/>
                      <w:color w:val="452A70"/>
                      <w:spacing w:val="-1"/>
                      <w:sz w:val="20"/>
                      <w:szCs w:val="20"/>
                    </w:rPr>
                    <w:t>substance</w:t>
                  </w:r>
                  <w:r>
                    <w:rPr>
                      <w:rFonts w:ascii="Segoe UI" w:hAnsi="Segoe UI" w:cs="Segoe UI" w:eastAsia="Segoe UI"/>
                      <w:color w:val="452A70"/>
                      <w:spacing w:val="-5"/>
                      <w:sz w:val="20"/>
                      <w:szCs w:val="20"/>
                    </w:rPr>
                    <w:t> </w:t>
                  </w:r>
                  <w:r>
                    <w:rPr>
                      <w:rFonts w:ascii="Segoe UI" w:hAnsi="Segoe UI" w:cs="Segoe UI" w:eastAsia="Segoe UI"/>
                      <w:color w:val="452A70"/>
                      <w:sz w:val="20"/>
                      <w:szCs w:val="20"/>
                    </w:rPr>
                    <w:t>addictions</w:t>
                  </w:r>
                  <w:r>
                    <w:rPr>
                      <w:rFonts w:ascii="Segoe UI" w:hAnsi="Segoe UI" w:cs="Segoe UI" w:eastAsia="Segoe UI"/>
                      <w:color w:val="452A70"/>
                      <w:spacing w:val="-6"/>
                      <w:sz w:val="20"/>
                      <w:szCs w:val="20"/>
                    </w:rPr>
                    <w:t> </w:t>
                  </w:r>
                  <w:r>
                    <w:rPr>
                      <w:rFonts w:ascii="Segoe UI" w:hAnsi="Segoe UI" w:cs="Segoe UI" w:eastAsia="Segoe UI"/>
                      <w:color w:val="452A70"/>
                      <w:sz w:val="20"/>
                      <w:szCs w:val="20"/>
                    </w:rPr>
                    <w:t>and</w:t>
                  </w:r>
                  <w:r>
                    <w:rPr>
                      <w:rFonts w:ascii="Segoe UI" w:hAnsi="Segoe UI" w:cs="Segoe UI" w:eastAsia="Segoe UI"/>
                      <w:color w:val="452A70"/>
                      <w:spacing w:val="-6"/>
                      <w:sz w:val="20"/>
                      <w:szCs w:val="20"/>
                    </w:rPr>
                    <w:t> </w:t>
                  </w:r>
                  <w:r>
                    <w:rPr>
                      <w:rFonts w:ascii="Segoe UI" w:hAnsi="Segoe UI" w:cs="Segoe UI" w:eastAsia="Segoe UI"/>
                      <w:color w:val="452A70"/>
                      <w:sz w:val="20"/>
                      <w:szCs w:val="20"/>
                    </w:rPr>
                    <w:t>abuse,</w:t>
                  </w:r>
                  <w:r>
                    <w:rPr>
                      <w:rFonts w:ascii="Segoe UI" w:hAnsi="Segoe UI" w:cs="Segoe UI" w:eastAsia="Segoe UI"/>
                      <w:color w:val="452A70"/>
                      <w:spacing w:val="-6"/>
                      <w:sz w:val="20"/>
                      <w:szCs w:val="20"/>
                    </w:rPr>
                    <w:t> </w:t>
                  </w:r>
                  <w:r>
                    <w:rPr>
                      <w:rFonts w:ascii="Segoe UI" w:hAnsi="Segoe UI" w:cs="Segoe UI" w:eastAsia="Segoe UI"/>
                      <w:color w:val="452A70"/>
                      <w:sz w:val="20"/>
                      <w:szCs w:val="20"/>
                    </w:rPr>
                    <w:t>trauma</w:t>
                  </w:r>
                  <w:r>
                    <w:rPr>
                      <w:rFonts w:ascii="Segoe UI" w:hAnsi="Segoe UI" w:cs="Segoe UI" w:eastAsia="Segoe UI"/>
                      <w:color w:val="452A70"/>
                      <w:spacing w:val="-6"/>
                      <w:sz w:val="20"/>
                      <w:szCs w:val="20"/>
                    </w:rPr>
                    <w:t> </w:t>
                  </w:r>
                  <w:r>
                    <w:rPr>
                      <w:rFonts w:ascii="Segoe UI" w:hAnsi="Segoe UI" w:cs="Segoe UI" w:eastAsia="Segoe UI"/>
                      <w:color w:val="452A70"/>
                      <w:sz w:val="20"/>
                      <w:szCs w:val="20"/>
                    </w:rPr>
                    <w:t>backgrounds</w:t>
                  </w:r>
                  <w:r>
                    <w:rPr>
                      <w:rFonts w:ascii="Segoe UI" w:hAnsi="Segoe UI" w:cs="Segoe UI" w:eastAsia="Segoe UI"/>
                      <w:color w:val="452A70"/>
                      <w:spacing w:val="-6"/>
                      <w:sz w:val="20"/>
                      <w:szCs w:val="20"/>
                    </w:rPr>
                    <w:t> </w:t>
                  </w:r>
                  <w:r>
                    <w:rPr>
                      <w:rFonts w:ascii="Segoe UI" w:hAnsi="Segoe UI" w:cs="Segoe UI" w:eastAsia="Segoe UI"/>
                      <w:color w:val="452A70"/>
                      <w:sz w:val="20"/>
                      <w:szCs w:val="20"/>
                    </w:rPr>
                    <w:t>and</w:t>
                  </w:r>
                  <w:r>
                    <w:rPr>
                      <w:rFonts w:ascii="Segoe UI" w:hAnsi="Segoe UI" w:cs="Segoe UI" w:eastAsia="Segoe UI"/>
                      <w:color w:val="452A70"/>
                      <w:spacing w:val="-6"/>
                      <w:sz w:val="20"/>
                      <w:szCs w:val="20"/>
                    </w:rPr>
                    <w:t> </w:t>
                  </w:r>
                  <w:r>
                    <w:rPr>
                      <w:rFonts w:ascii="Segoe UI" w:hAnsi="Segoe UI" w:cs="Segoe UI" w:eastAsia="Segoe UI"/>
                      <w:color w:val="452A70"/>
                      <w:sz w:val="20"/>
                      <w:szCs w:val="20"/>
                    </w:rPr>
                    <w:t>homesickness.</w:t>
                  </w:r>
                  <w:r>
                    <w:rPr>
                      <w:rFonts w:ascii="Segoe UI" w:hAnsi="Segoe UI" w:cs="Segoe UI" w:eastAsia="Segoe UI"/>
                      <w:color w:val="452A70"/>
                      <w:spacing w:val="-6"/>
                      <w:sz w:val="20"/>
                      <w:szCs w:val="20"/>
                    </w:rPr>
                    <w:t> </w:t>
                  </w:r>
                  <w:r>
                    <w:rPr>
                      <w:rFonts w:ascii="Segoe UI" w:hAnsi="Segoe UI" w:cs="Segoe UI" w:eastAsia="Segoe UI"/>
                      <w:color w:val="452A70"/>
                      <w:sz w:val="20"/>
                      <w:szCs w:val="20"/>
                    </w:rPr>
                    <w:t>These</w:t>
                  </w:r>
                  <w:r>
                    <w:rPr>
                      <w:rFonts w:ascii="Segoe UI" w:hAnsi="Segoe UI" w:cs="Segoe UI" w:eastAsia="Segoe UI"/>
                      <w:color w:val="452A70"/>
                      <w:spacing w:val="-6"/>
                      <w:sz w:val="20"/>
                      <w:szCs w:val="20"/>
                    </w:rPr>
                    <w:t> </w:t>
                  </w:r>
                  <w:r>
                    <w:rPr>
                      <w:rFonts w:ascii="Segoe UI" w:hAnsi="Segoe UI" w:cs="Segoe UI" w:eastAsia="Segoe UI"/>
                      <w:color w:val="452A70"/>
                      <w:spacing w:val="-1"/>
                      <w:sz w:val="20"/>
                      <w:szCs w:val="20"/>
                    </w:rPr>
                    <w:t>services</w:t>
                  </w:r>
                  <w:r>
                    <w:rPr>
                      <w:rFonts w:ascii="Segoe UI" w:hAnsi="Segoe UI" w:cs="Segoe UI" w:eastAsia="Segoe UI"/>
                      <w:color w:val="452A70"/>
                      <w:spacing w:val="-5"/>
                      <w:sz w:val="20"/>
                      <w:szCs w:val="20"/>
                    </w:rPr>
                    <w:t> </w:t>
                  </w:r>
                  <w:r>
                    <w:rPr>
                      <w:rFonts w:ascii="Segoe UI" w:hAnsi="Segoe UI" w:cs="Segoe UI" w:eastAsia="Segoe UI"/>
                      <w:color w:val="452A70"/>
                      <w:sz w:val="20"/>
                      <w:szCs w:val="20"/>
                    </w:rPr>
                    <w:t>are</w:t>
                  </w:r>
                  <w:r>
                    <w:rPr>
                      <w:rFonts w:ascii="Segoe UI" w:hAnsi="Segoe UI" w:cs="Segoe UI" w:eastAsia="Segoe UI"/>
                      <w:color w:val="452A70"/>
                      <w:spacing w:val="23"/>
                      <w:w w:val="99"/>
                      <w:sz w:val="20"/>
                      <w:szCs w:val="20"/>
                    </w:rPr>
                    <w:t> </w:t>
                  </w:r>
                  <w:r>
                    <w:rPr>
                      <w:rFonts w:ascii="Segoe UI" w:hAnsi="Segoe UI" w:cs="Segoe UI" w:eastAsia="Segoe UI"/>
                      <w:color w:val="452A70"/>
                      <w:sz w:val="20"/>
                      <w:szCs w:val="20"/>
                    </w:rPr>
                    <w:t>more intensive when a student first transitions to boarding and at the start of school terms.</w:t>
                  </w:r>
                  <w:r>
                    <w:rPr>
                      <w:rFonts w:ascii="Segoe UI" w:hAnsi="Segoe UI" w:cs="Segoe UI" w:eastAsia="Segoe UI"/>
                      <w:sz w:val="20"/>
                      <w:szCs w:val="20"/>
                    </w:rPr>
                  </w:r>
                </w:p>
                <w:p>
                  <w:pPr>
                    <w:spacing w:line="250" w:lineRule="exact" w:before="113"/>
                    <w:ind w:left="243" w:right="921" w:firstLine="0"/>
                    <w:jc w:val="left"/>
                    <w:rPr>
                      <w:rFonts w:ascii="Segoe UI" w:hAnsi="Segoe UI" w:cs="Segoe UI" w:eastAsia="Segoe UI"/>
                      <w:sz w:val="20"/>
                      <w:szCs w:val="20"/>
                    </w:rPr>
                  </w:pPr>
                  <w:r>
                    <w:rPr>
                      <w:rFonts w:ascii="Segoe UI"/>
                      <w:color w:val="452A70"/>
                      <w:spacing w:val="-1"/>
                      <w:sz w:val="20"/>
                    </w:rPr>
                    <w:t>Consider</w:t>
                  </w:r>
                  <w:r>
                    <w:rPr>
                      <w:rFonts w:ascii="Segoe UI"/>
                      <w:color w:val="452A70"/>
                      <w:spacing w:val="-6"/>
                      <w:sz w:val="20"/>
                    </w:rPr>
                    <w:t> </w:t>
                  </w:r>
                  <w:r>
                    <w:rPr>
                      <w:rFonts w:ascii="Segoe UI"/>
                      <w:color w:val="452A70"/>
                      <w:sz w:val="20"/>
                    </w:rPr>
                    <w:t>funding</w:t>
                  </w:r>
                  <w:r>
                    <w:rPr>
                      <w:rFonts w:ascii="Segoe UI"/>
                      <w:color w:val="452A70"/>
                      <w:spacing w:val="-6"/>
                      <w:sz w:val="20"/>
                    </w:rPr>
                    <w:t> </w:t>
                  </w:r>
                  <w:r>
                    <w:rPr>
                      <w:rFonts w:ascii="Segoe UI"/>
                      <w:color w:val="452A70"/>
                      <w:sz w:val="20"/>
                    </w:rPr>
                    <w:t>to</w:t>
                  </w:r>
                  <w:r>
                    <w:rPr>
                      <w:rFonts w:ascii="Segoe UI"/>
                      <w:color w:val="452A70"/>
                      <w:spacing w:val="-6"/>
                      <w:sz w:val="20"/>
                    </w:rPr>
                    <w:t> </w:t>
                  </w:r>
                  <w:r>
                    <w:rPr>
                      <w:rFonts w:ascii="Segoe UI"/>
                      <w:color w:val="452A70"/>
                      <w:sz w:val="20"/>
                    </w:rPr>
                    <w:t>boarding</w:t>
                  </w:r>
                  <w:r>
                    <w:rPr>
                      <w:rFonts w:ascii="Segoe UI"/>
                      <w:color w:val="452A70"/>
                      <w:spacing w:val="-6"/>
                      <w:sz w:val="20"/>
                    </w:rPr>
                    <w:t> </w:t>
                  </w:r>
                  <w:r>
                    <w:rPr>
                      <w:rFonts w:ascii="Segoe UI"/>
                      <w:color w:val="452A70"/>
                      <w:sz w:val="20"/>
                    </w:rPr>
                    <w:t>providers</w:t>
                  </w:r>
                  <w:r>
                    <w:rPr>
                      <w:rFonts w:ascii="Segoe UI"/>
                      <w:color w:val="452A70"/>
                      <w:spacing w:val="-7"/>
                      <w:sz w:val="20"/>
                    </w:rPr>
                    <w:t> </w:t>
                  </w:r>
                  <w:r>
                    <w:rPr>
                      <w:rFonts w:ascii="Segoe UI"/>
                      <w:color w:val="452A70"/>
                      <w:sz w:val="20"/>
                    </w:rPr>
                    <w:t>to</w:t>
                  </w:r>
                  <w:r>
                    <w:rPr>
                      <w:rFonts w:ascii="Segoe UI"/>
                      <w:color w:val="452A70"/>
                      <w:spacing w:val="-6"/>
                      <w:sz w:val="20"/>
                    </w:rPr>
                    <w:t> </w:t>
                  </w:r>
                  <w:r>
                    <w:rPr>
                      <w:rFonts w:ascii="Segoe UI"/>
                      <w:color w:val="452A70"/>
                      <w:sz w:val="20"/>
                    </w:rPr>
                    <w:t>enable</w:t>
                  </w:r>
                  <w:r>
                    <w:rPr>
                      <w:rFonts w:ascii="Segoe UI"/>
                      <w:color w:val="452A70"/>
                      <w:spacing w:val="-7"/>
                      <w:sz w:val="20"/>
                    </w:rPr>
                    <w:t> </w:t>
                  </w:r>
                  <w:r>
                    <w:rPr>
                      <w:rFonts w:ascii="Segoe UI"/>
                      <w:color w:val="452A70"/>
                      <w:sz w:val="20"/>
                    </w:rPr>
                    <w:t>Aboriginal</w:t>
                  </w:r>
                  <w:r>
                    <w:rPr>
                      <w:rFonts w:ascii="Segoe UI"/>
                      <w:color w:val="452A70"/>
                      <w:spacing w:val="-5"/>
                      <w:sz w:val="20"/>
                    </w:rPr>
                    <w:t> </w:t>
                  </w:r>
                  <w:r>
                    <w:rPr>
                      <w:rFonts w:ascii="Segoe UI"/>
                      <w:color w:val="452A70"/>
                      <w:sz w:val="20"/>
                    </w:rPr>
                    <w:t>and</w:t>
                  </w:r>
                  <w:r>
                    <w:rPr>
                      <w:rFonts w:ascii="Segoe UI"/>
                      <w:color w:val="452A70"/>
                      <w:spacing w:val="-7"/>
                      <w:sz w:val="20"/>
                    </w:rPr>
                    <w:t> </w:t>
                  </w:r>
                  <w:r>
                    <w:rPr>
                      <w:rFonts w:ascii="Segoe UI"/>
                      <w:color w:val="452A70"/>
                      <w:spacing w:val="-5"/>
                      <w:sz w:val="20"/>
                    </w:rPr>
                    <w:t>Torres</w:t>
                  </w:r>
                  <w:r>
                    <w:rPr>
                      <w:rFonts w:ascii="Segoe UI"/>
                      <w:color w:val="452A70"/>
                      <w:spacing w:val="-6"/>
                      <w:sz w:val="20"/>
                    </w:rPr>
                    <w:t> </w:t>
                  </w:r>
                  <w:r>
                    <w:rPr>
                      <w:rFonts w:ascii="Segoe UI"/>
                      <w:color w:val="452A70"/>
                      <w:spacing w:val="-2"/>
                      <w:sz w:val="20"/>
                    </w:rPr>
                    <w:t>Strait</w:t>
                  </w:r>
                  <w:r>
                    <w:rPr>
                      <w:rFonts w:ascii="Segoe UI"/>
                      <w:color w:val="452A70"/>
                      <w:spacing w:val="-6"/>
                      <w:sz w:val="20"/>
                    </w:rPr>
                    <w:t> </w:t>
                  </w:r>
                  <w:r>
                    <w:rPr>
                      <w:rFonts w:ascii="Segoe UI"/>
                      <w:color w:val="452A70"/>
                      <w:spacing w:val="-1"/>
                      <w:sz w:val="20"/>
                    </w:rPr>
                    <w:t>Islander</w:t>
                  </w:r>
                  <w:r>
                    <w:rPr>
                      <w:rFonts w:ascii="Segoe UI"/>
                      <w:color w:val="452A70"/>
                      <w:spacing w:val="29"/>
                      <w:w w:val="99"/>
                      <w:sz w:val="20"/>
                    </w:rPr>
                    <w:t> </w:t>
                  </w:r>
                  <w:r>
                    <w:rPr>
                      <w:rFonts w:ascii="Segoe UI"/>
                      <w:color w:val="452A70"/>
                      <w:sz w:val="20"/>
                    </w:rPr>
                    <w:t>boarding</w:t>
                  </w:r>
                  <w:r>
                    <w:rPr>
                      <w:rFonts w:ascii="Segoe UI"/>
                      <w:color w:val="452A70"/>
                      <w:spacing w:val="-4"/>
                      <w:sz w:val="20"/>
                    </w:rPr>
                    <w:t> </w:t>
                  </w:r>
                  <w:r>
                    <w:rPr>
                      <w:rFonts w:ascii="Segoe UI"/>
                      <w:color w:val="452A70"/>
                      <w:spacing w:val="-1"/>
                      <w:sz w:val="20"/>
                    </w:rPr>
                    <w:t>students</w:t>
                  </w:r>
                  <w:r>
                    <w:rPr>
                      <w:rFonts w:ascii="Segoe UI"/>
                      <w:color w:val="452A70"/>
                      <w:spacing w:val="-2"/>
                      <w:sz w:val="20"/>
                    </w:rPr>
                    <w:t> </w:t>
                  </w:r>
                  <w:r>
                    <w:rPr>
                      <w:rFonts w:ascii="Segoe UI"/>
                      <w:color w:val="452A70"/>
                      <w:sz w:val="20"/>
                    </w:rPr>
                    <w:t>to</w:t>
                  </w:r>
                  <w:r>
                    <w:rPr>
                      <w:rFonts w:ascii="Segoe UI"/>
                      <w:color w:val="452A70"/>
                      <w:spacing w:val="-3"/>
                      <w:sz w:val="20"/>
                    </w:rPr>
                    <w:t> </w:t>
                  </w:r>
                  <w:r>
                    <w:rPr>
                      <w:rFonts w:ascii="Segoe UI"/>
                      <w:color w:val="452A70"/>
                      <w:sz w:val="20"/>
                    </w:rPr>
                    <w:t>undertake</w:t>
                  </w:r>
                  <w:r>
                    <w:rPr>
                      <w:rFonts w:ascii="Segoe UI"/>
                      <w:color w:val="452A70"/>
                      <w:spacing w:val="-3"/>
                      <w:sz w:val="20"/>
                    </w:rPr>
                    <w:t> </w:t>
                  </w:r>
                  <w:r>
                    <w:rPr>
                      <w:rFonts w:ascii="Segoe UI"/>
                      <w:color w:val="452A70"/>
                      <w:spacing w:val="-1"/>
                      <w:sz w:val="20"/>
                    </w:rPr>
                    <w:t>individual</w:t>
                  </w:r>
                  <w:r>
                    <w:rPr>
                      <w:rFonts w:ascii="Segoe UI"/>
                      <w:color w:val="452A70"/>
                      <w:spacing w:val="-3"/>
                      <w:sz w:val="20"/>
                    </w:rPr>
                    <w:t> </w:t>
                  </w:r>
                  <w:r>
                    <w:rPr>
                      <w:rFonts w:ascii="Segoe UI"/>
                      <w:color w:val="452A70"/>
                      <w:sz w:val="20"/>
                    </w:rPr>
                    <w:t>health</w:t>
                  </w:r>
                  <w:r>
                    <w:rPr>
                      <w:rFonts w:ascii="Segoe UI"/>
                      <w:color w:val="452A70"/>
                      <w:spacing w:val="-3"/>
                      <w:sz w:val="20"/>
                    </w:rPr>
                    <w:t> </w:t>
                  </w:r>
                  <w:r>
                    <w:rPr>
                      <w:rFonts w:ascii="Segoe UI"/>
                      <w:color w:val="452A70"/>
                      <w:sz w:val="20"/>
                    </w:rPr>
                    <w:t>and</w:t>
                  </w:r>
                  <w:r>
                    <w:rPr>
                      <w:rFonts w:ascii="Segoe UI"/>
                      <w:color w:val="452A70"/>
                      <w:spacing w:val="-4"/>
                      <w:sz w:val="20"/>
                    </w:rPr>
                    <w:t> </w:t>
                  </w:r>
                  <w:r>
                    <w:rPr>
                      <w:rFonts w:ascii="Segoe UI"/>
                      <w:color w:val="452A70"/>
                      <w:sz w:val="20"/>
                    </w:rPr>
                    <w:t>disability</w:t>
                  </w:r>
                  <w:r>
                    <w:rPr>
                      <w:rFonts w:ascii="Segoe UI"/>
                      <w:color w:val="452A70"/>
                      <w:spacing w:val="-3"/>
                      <w:sz w:val="20"/>
                    </w:rPr>
                    <w:t> </w:t>
                  </w:r>
                  <w:r>
                    <w:rPr>
                      <w:rFonts w:ascii="Segoe UI"/>
                      <w:color w:val="452A70"/>
                      <w:spacing w:val="-1"/>
                      <w:sz w:val="20"/>
                    </w:rPr>
                    <w:t>assessments</w:t>
                  </w:r>
                  <w:r>
                    <w:rPr>
                      <w:rFonts w:ascii="Segoe UI Semibold"/>
                      <w:b/>
                      <w:color w:val="452A70"/>
                      <w:spacing w:val="-1"/>
                      <w:position w:val="7"/>
                      <w:sz w:val="11"/>
                    </w:rPr>
                    <w:t>74</w:t>
                  </w:r>
                  <w:r>
                    <w:rPr>
                      <w:rFonts w:ascii="Segoe UI Semibold"/>
                      <w:b/>
                      <w:color w:val="452A70"/>
                      <w:spacing w:val="21"/>
                      <w:position w:val="7"/>
                      <w:sz w:val="11"/>
                    </w:rPr>
                    <w:t> </w:t>
                  </w:r>
                  <w:r>
                    <w:rPr>
                      <w:rFonts w:ascii="Segoe UI"/>
                      <w:color w:val="452A70"/>
                      <w:sz w:val="20"/>
                    </w:rPr>
                    <w:t>at</w:t>
                  </w:r>
                  <w:r>
                    <w:rPr>
                      <w:rFonts w:ascii="Segoe UI"/>
                      <w:color w:val="452A70"/>
                      <w:spacing w:val="-2"/>
                      <w:sz w:val="20"/>
                    </w:rPr>
                    <w:t> </w:t>
                  </w:r>
                  <w:r>
                    <w:rPr>
                      <w:rFonts w:ascii="Segoe UI"/>
                      <w:color w:val="452A70"/>
                      <w:sz w:val="20"/>
                    </w:rPr>
                    <w:t>the</w:t>
                  </w:r>
                  <w:r>
                    <w:rPr>
                      <w:rFonts w:ascii="Segoe UI"/>
                      <w:color w:val="452A70"/>
                      <w:spacing w:val="29"/>
                      <w:w w:val="99"/>
                      <w:sz w:val="20"/>
                    </w:rPr>
                    <w:t> </w:t>
                  </w:r>
                  <w:r>
                    <w:rPr>
                      <w:rFonts w:ascii="Segoe UI"/>
                      <w:color w:val="452A70"/>
                      <w:sz w:val="20"/>
                    </w:rPr>
                    <w:t>commencement</w:t>
                  </w:r>
                  <w:r>
                    <w:rPr>
                      <w:rFonts w:ascii="Segoe UI"/>
                      <w:color w:val="452A70"/>
                      <w:spacing w:val="-7"/>
                      <w:sz w:val="20"/>
                    </w:rPr>
                    <w:t> </w:t>
                  </w:r>
                  <w:r>
                    <w:rPr>
                      <w:rFonts w:ascii="Segoe UI"/>
                      <w:color w:val="452A70"/>
                      <w:sz w:val="20"/>
                    </w:rPr>
                    <w:t>of</w:t>
                  </w:r>
                  <w:r>
                    <w:rPr>
                      <w:rFonts w:ascii="Segoe UI"/>
                      <w:color w:val="452A70"/>
                      <w:spacing w:val="-5"/>
                      <w:sz w:val="20"/>
                    </w:rPr>
                    <w:t> </w:t>
                  </w:r>
                  <w:r>
                    <w:rPr>
                      <w:rFonts w:ascii="Segoe UI"/>
                      <w:color w:val="452A70"/>
                      <w:sz w:val="20"/>
                    </w:rPr>
                    <w:t>boarding</w:t>
                  </w:r>
                  <w:r>
                    <w:rPr>
                      <w:rFonts w:ascii="Segoe UI"/>
                      <w:color w:val="452A70"/>
                      <w:spacing w:val="-6"/>
                      <w:sz w:val="20"/>
                    </w:rPr>
                    <w:t> </w:t>
                  </w:r>
                  <w:r>
                    <w:rPr>
                      <w:rFonts w:ascii="Segoe UI"/>
                      <w:color w:val="452A70"/>
                      <w:sz w:val="20"/>
                    </w:rPr>
                    <w:t>and</w:t>
                  </w:r>
                  <w:r>
                    <w:rPr>
                      <w:rFonts w:ascii="Segoe UI"/>
                      <w:color w:val="452A70"/>
                      <w:spacing w:val="-6"/>
                      <w:sz w:val="20"/>
                    </w:rPr>
                    <w:t> </w:t>
                  </w:r>
                  <w:r>
                    <w:rPr>
                      <w:rFonts w:ascii="Segoe UI"/>
                      <w:color w:val="452A70"/>
                      <w:spacing w:val="-1"/>
                      <w:sz w:val="20"/>
                    </w:rPr>
                    <w:t>subsequent</w:t>
                  </w:r>
                  <w:r>
                    <w:rPr>
                      <w:rFonts w:ascii="Segoe UI"/>
                      <w:color w:val="452A70"/>
                      <w:spacing w:val="-4"/>
                      <w:sz w:val="20"/>
                    </w:rPr>
                    <w:t> </w:t>
                  </w:r>
                  <w:r>
                    <w:rPr>
                      <w:rFonts w:ascii="Segoe UI"/>
                      <w:color w:val="452A70"/>
                      <w:sz w:val="20"/>
                    </w:rPr>
                    <w:t>academic</w:t>
                  </w:r>
                  <w:r>
                    <w:rPr>
                      <w:rFonts w:ascii="Segoe UI"/>
                      <w:color w:val="452A70"/>
                      <w:spacing w:val="-7"/>
                      <w:sz w:val="20"/>
                    </w:rPr>
                    <w:t> </w:t>
                  </w:r>
                  <w:r>
                    <w:rPr>
                      <w:rFonts w:ascii="Segoe UI"/>
                      <w:color w:val="452A70"/>
                      <w:sz w:val="20"/>
                    </w:rPr>
                    <w:t>years</w:t>
                  </w:r>
                  <w:r>
                    <w:rPr>
                      <w:rFonts w:ascii="Segoe UI"/>
                      <w:color w:val="452A70"/>
                      <w:spacing w:val="-6"/>
                      <w:sz w:val="20"/>
                    </w:rPr>
                    <w:t> </w:t>
                  </w:r>
                  <w:r>
                    <w:rPr>
                      <w:rFonts w:ascii="Segoe UI"/>
                      <w:color w:val="452A70"/>
                      <w:sz w:val="20"/>
                    </w:rPr>
                    <w:t>and</w:t>
                  </w:r>
                  <w:r>
                    <w:rPr>
                      <w:rFonts w:ascii="Segoe UI"/>
                      <w:color w:val="452A70"/>
                      <w:spacing w:val="-6"/>
                      <w:sz w:val="20"/>
                    </w:rPr>
                    <w:t> </w:t>
                  </w:r>
                  <w:r>
                    <w:rPr>
                      <w:rFonts w:ascii="Segoe UI"/>
                      <w:color w:val="452A70"/>
                      <w:sz w:val="20"/>
                    </w:rPr>
                    <w:t>to</w:t>
                  </w:r>
                  <w:r>
                    <w:rPr>
                      <w:rFonts w:ascii="Segoe UI"/>
                      <w:color w:val="452A70"/>
                      <w:spacing w:val="-5"/>
                      <w:sz w:val="20"/>
                    </w:rPr>
                    <w:t> </w:t>
                  </w:r>
                  <w:r>
                    <w:rPr>
                      <w:rFonts w:ascii="Segoe UI"/>
                      <w:color w:val="452A70"/>
                      <w:sz w:val="20"/>
                    </w:rPr>
                    <w:t>develop</w:t>
                  </w:r>
                  <w:r>
                    <w:rPr>
                      <w:rFonts w:ascii="Segoe UI"/>
                      <w:color w:val="452A70"/>
                      <w:spacing w:val="-6"/>
                      <w:sz w:val="20"/>
                    </w:rPr>
                    <w:t> </w:t>
                  </w:r>
                  <w:r>
                    <w:rPr>
                      <w:rFonts w:ascii="Segoe UI"/>
                      <w:color w:val="452A70"/>
                      <w:sz w:val="20"/>
                    </w:rPr>
                    <w:t>and</w:t>
                  </w:r>
                  <w:r>
                    <w:rPr>
                      <w:rFonts w:ascii="Segoe UI"/>
                      <w:color w:val="452A70"/>
                      <w:spacing w:val="22"/>
                      <w:w w:val="99"/>
                      <w:sz w:val="20"/>
                    </w:rPr>
                    <w:t> </w:t>
                  </w:r>
                  <w:r>
                    <w:rPr>
                      <w:rFonts w:ascii="Segoe UI"/>
                      <w:color w:val="452A70"/>
                      <w:spacing w:val="-1"/>
                      <w:sz w:val="20"/>
                    </w:rPr>
                    <w:t>implement</w:t>
                  </w:r>
                  <w:r>
                    <w:rPr>
                      <w:rFonts w:ascii="Segoe UI"/>
                      <w:color w:val="452A70"/>
                      <w:spacing w:val="-6"/>
                      <w:sz w:val="20"/>
                    </w:rPr>
                    <w:t> </w:t>
                  </w:r>
                  <w:r>
                    <w:rPr>
                      <w:rFonts w:ascii="Segoe UI"/>
                      <w:color w:val="452A70"/>
                      <w:spacing w:val="-1"/>
                      <w:sz w:val="20"/>
                    </w:rPr>
                    <w:t>individual</w:t>
                  </w:r>
                  <w:r>
                    <w:rPr>
                      <w:rFonts w:ascii="Segoe UI"/>
                      <w:color w:val="452A70"/>
                      <w:spacing w:val="-6"/>
                      <w:sz w:val="20"/>
                    </w:rPr>
                    <w:t> </w:t>
                  </w:r>
                  <w:r>
                    <w:rPr>
                      <w:rFonts w:ascii="Segoe UI"/>
                      <w:color w:val="452A70"/>
                      <w:sz w:val="20"/>
                    </w:rPr>
                    <w:t>health</w:t>
                  </w:r>
                  <w:r>
                    <w:rPr>
                      <w:rFonts w:ascii="Segoe UI"/>
                      <w:color w:val="452A70"/>
                      <w:spacing w:val="-7"/>
                      <w:sz w:val="20"/>
                    </w:rPr>
                    <w:t> </w:t>
                  </w:r>
                  <w:r>
                    <w:rPr>
                      <w:rFonts w:ascii="Segoe UI"/>
                      <w:color w:val="452A70"/>
                      <w:spacing w:val="-1"/>
                      <w:sz w:val="20"/>
                    </w:rPr>
                    <w:t>management</w:t>
                  </w:r>
                  <w:r>
                    <w:rPr>
                      <w:rFonts w:ascii="Segoe UI"/>
                      <w:color w:val="452A70"/>
                      <w:spacing w:val="-5"/>
                      <w:sz w:val="20"/>
                    </w:rPr>
                    <w:t> </w:t>
                  </w:r>
                  <w:r>
                    <w:rPr>
                      <w:rFonts w:ascii="Segoe UI"/>
                      <w:color w:val="452A70"/>
                      <w:sz w:val="20"/>
                    </w:rPr>
                    <w:t>and</w:t>
                  </w:r>
                  <w:r>
                    <w:rPr>
                      <w:rFonts w:ascii="Segoe UI"/>
                      <w:color w:val="452A70"/>
                      <w:spacing w:val="-6"/>
                      <w:sz w:val="20"/>
                    </w:rPr>
                    <w:t> </w:t>
                  </w:r>
                  <w:r>
                    <w:rPr>
                      <w:rFonts w:ascii="Segoe UI"/>
                      <w:color w:val="452A70"/>
                      <w:sz w:val="20"/>
                    </w:rPr>
                    <w:t>education</w:t>
                  </w:r>
                  <w:r>
                    <w:rPr>
                      <w:rFonts w:ascii="Segoe UI"/>
                      <w:color w:val="452A70"/>
                      <w:spacing w:val="-7"/>
                      <w:sz w:val="20"/>
                    </w:rPr>
                    <w:t> </w:t>
                  </w:r>
                  <w:r>
                    <w:rPr>
                      <w:rFonts w:ascii="Segoe UI"/>
                      <w:color w:val="452A70"/>
                      <w:sz w:val="20"/>
                    </w:rPr>
                    <w:t>plans.</w:t>
                  </w:r>
                  <w:r>
                    <w:rPr>
                      <w:rFonts w:ascii="Segoe UI"/>
                      <w:sz w:val="20"/>
                    </w:rPr>
                  </w:r>
                </w:p>
                <w:p>
                  <w:pPr>
                    <w:spacing w:line="250" w:lineRule="exact" w:before="113"/>
                    <w:ind w:left="243" w:right="414" w:firstLine="0"/>
                    <w:jc w:val="left"/>
                    <w:rPr>
                      <w:rFonts w:ascii="Segoe UI" w:hAnsi="Segoe UI" w:cs="Segoe UI" w:eastAsia="Segoe UI"/>
                      <w:sz w:val="20"/>
                      <w:szCs w:val="20"/>
                    </w:rPr>
                  </w:pPr>
                  <w:r>
                    <w:rPr>
                      <w:rFonts w:ascii="Segoe UI"/>
                      <w:color w:val="452A70"/>
                      <w:spacing w:val="-1"/>
                      <w:sz w:val="20"/>
                    </w:rPr>
                    <w:t>Boarding</w:t>
                  </w:r>
                  <w:r>
                    <w:rPr>
                      <w:rFonts w:ascii="Segoe UI"/>
                      <w:color w:val="452A70"/>
                      <w:spacing w:val="-5"/>
                      <w:sz w:val="20"/>
                    </w:rPr>
                    <w:t> </w:t>
                  </w:r>
                  <w:r>
                    <w:rPr>
                      <w:rFonts w:ascii="Segoe UI"/>
                      <w:color w:val="452A70"/>
                      <w:sz w:val="20"/>
                    </w:rPr>
                    <w:t>providers</w:t>
                  </w:r>
                  <w:r>
                    <w:rPr>
                      <w:rFonts w:ascii="Segoe UI"/>
                      <w:color w:val="452A70"/>
                      <w:spacing w:val="-4"/>
                      <w:sz w:val="20"/>
                    </w:rPr>
                    <w:t> </w:t>
                  </w:r>
                  <w:r>
                    <w:rPr>
                      <w:rFonts w:ascii="Segoe UI"/>
                      <w:color w:val="452A70"/>
                      <w:spacing w:val="-1"/>
                      <w:sz w:val="20"/>
                    </w:rPr>
                    <w:t>should</w:t>
                  </w:r>
                  <w:r>
                    <w:rPr>
                      <w:rFonts w:ascii="Segoe UI"/>
                      <w:color w:val="452A70"/>
                      <w:spacing w:val="-4"/>
                      <w:sz w:val="20"/>
                    </w:rPr>
                    <w:t> </w:t>
                  </w:r>
                  <w:r>
                    <w:rPr>
                      <w:rFonts w:ascii="Segoe UI"/>
                      <w:color w:val="452A70"/>
                      <w:sz w:val="20"/>
                    </w:rPr>
                    <w:t>develop</w:t>
                  </w:r>
                  <w:r>
                    <w:rPr>
                      <w:rFonts w:ascii="Segoe UI"/>
                      <w:color w:val="452A70"/>
                      <w:spacing w:val="-5"/>
                      <w:sz w:val="20"/>
                    </w:rPr>
                    <w:t> </w:t>
                  </w:r>
                  <w:r>
                    <w:rPr>
                      <w:rFonts w:ascii="Segoe UI"/>
                      <w:color w:val="452A70"/>
                      <w:sz w:val="20"/>
                    </w:rPr>
                    <w:t>close</w:t>
                  </w:r>
                  <w:r>
                    <w:rPr>
                      <w:rFonts w:ascii="Segoe UI"/>
                      <w:color w:val="452A70"/>
                      <w:spacing w:val="-5"/>
                      <w:sz w:val="20"/>
                    </w:rPr>
                    <w:t> </w:t>
                  </w:r>
                  <w:r>
                    <w:rPr>
                      <w:rFonts w:ascii="Segoe UI"/>
                      <w:color w:val="452A70"/>
                      <w:sz w:val="20"/>
                    </w:rPr>
                    <w:t>working</w:t>
                  </w:r>
                  <w:r>
                    <w:rPr>
                      <w:rFonts w:ascii="Segoe UI"/>
                      <w:color w:val="452A70"/>
                      <w:spacing w:val="-5"/>
                      <w:sz w:val="20"/>
                    </w:rPr>
                    <w:t> </w:t>
                  </w:r>
                  <w:r>
                    <w:rPr>
                      <w:rFonts w:ascii="Segoe UI"/>
                      <w:color w:val="452A70"/>
                      <w:sz w:val="20"/>
                    </w:rPr>
                    <w:t>relationships</w:t>
                  </w:r>
                  <w:r>
                    <w:rPr>
                      <w:rFonts w:ascii="Segoe UI"/>
                      <w:color w:val="452A70"/>
                      <w:spacing w:val="-6"/>
                      <w:sz w:val="20"/>
                    </w:rPr>
                    <w:t> </w:t>
                  </w:r>
                  <w:r>
                    <w:rPr>
                      <w:rFonts w:ascii="Segoe UI"/>
                      <w:color w:val="452A70"/>
                      <w:sz w:val="20"/>
                    </w:rPr>
                    <w:t>with</w:t>
                  </w:r>
                  <w:r>
                    <w:rPr>
                      <w:rFonts w:ascii="Segoe UI"/>
                      <w:color w:val="452A70"/>
                      <w:spacing w:val="-5"/>
                      <w:sz w:val="20"/>
                    </w:rPr>
                    <w:t> </w:t>
                  </w:r>
                  <w:r>
                    <w:rPr>
                      <w:rFonts w:ascii="Segoe UI"/>
                      <w:color w:val="452A70"/>
                      <w:spacing w:val="-1"/>
                      <w:sz w:val="20"/>
                    </w:rPr>
                    <w:t>local</w:t>
                  </w:r>
                  <w:r>
                    <w:rPr>
                      <w:rFonts w:ascii="Segoe UI"/>
                      <w:color w:val="452A70"/>
                      <w:spacing w:val="-4"/>
                      <w:sz w:val="20"/>
                    </w:rPr>
                    <w:t> </w:t>
                  </w:r>
                  <w:r>
                    <w:rPr>
                      <w:rFonts w:ascii="Segoe UI"/>
                      <w:color w:val="452A70"/>
                      <w:sz w:val="20"/>
                    </w:rPr>
                    <w:t>health</w:t>
                  </w:r>
                  <w:r>
                    <w:rPr>
                      <w:rFonts w:ascii="Segoe UI"/>
                      <w:color w:val="452A70"/>
                      <w:spacing w:val="-5"/>
                      <w:sz w:val="20"/>
                    </w:rPr>
                    <w:t> </w:t>
                  </w:r>
                  <w:r>
                    <w:rPr>
                      <w:rFonts w:ascii="Segoe UI"/>
                      <w:color w:val="452A70"/>
                      <w:spacing w:val="-1"/>
                      <w:sz w:val="20"/>
                    </w:rPr>
                    <w:t>services</w:t>
                  </w:r>
                  <w:r>
                    <w:rPr>
                      <w:rFonts w:ascii="Segoe UI"/>
                      <w:color w:val="452A70"/>
                      <w:spacing w:val="-1"/>
                      <w:sz w:val="20"/>
                    </w:rPr>
                    <w:t> </w:t>
                  </w:r>
                  <w:r>
                    <w:rPr>
                      <w:rFonts w:ascii="Segoe UI"/>
                      <w:color w:val="452A70"/>
                      <w:spacing w:val="23"/>
                      <w:sz w:val="20"/>
                    </w:rPr>
                    <w:t> </w:t>
                  </w:r>
                  <w:r>
                    <w:rPr>
                      <w:rFonts w:ascii="Segoe UI"/>
                      <w:color w:val="452A70"/>
                      <w:sz w:val="20"/>
                    </w:rPr>
                    <w:t>and</w:t>
                  </w:r>
                  <w:r>
                    <w:rPr>
                      <w:rFonts w:ascii="Segoe UI"/>
                      <w:color w:val="452A70"/>
                      <w:spacing w:val="-7"/>
                      <w:sz w:val="20"/>
                    </w:rPr>
                    <w:t> </w:t>
                  </w:r>
                  <w:r>
                    <w:rPr>
                      <w:rFonts w:ascii="Segoe UI"/>
                      <w:color w:val="452A70"/>
                      <w:sz w:val="20"/>
                    </w:rPr>
                    <w:t>providers,</w:t>
                  </w:r>
                  <w:r>
                    <w:rPr>
                      <w:rFonts w:ascii="Segoe UI"/>
                      <w:color w:val="452A70"/>
                      <w:spacing w:val="-7"/>
                      <w:sz w:val="20"/>
                    </w:rPr>
                    <w:t> </w:t>
                  </w:r>
                  <w:r>
                    <w:rPr>
                      <w:rFonts w:ascii="Segoe UI"/>
                      <w:color w:val="452A70"/>
                      <w:sz w:val="20"/>
                    </w:rPr>
                    <w:t>particularly</w:t>
                  </w:r>
                  <w:r>
                    <w:rPr>
                      <w:rFonts w:ascii="Segoe UI"/>
                      <w:color w:val="452A70"/>
                      <w:spacing w:val="-7"/>
                      <w:sz w:val="20"/>
                    </w:rPr>
                    <w:t> </w:t>
                  </w:r>
                  <w:r>
                    <w:rPr>
                      <w:rFonts w:ascii="Segoe UI"/>
                      <w:color w:val="452A70"/>
                      <w:sz w:val="20"/>
                    </w:rPr>
                    <w:t>Aboriginal</w:t>
                  </w:r>
                  <w:r>
                    <w:rPr>
                      <w:rFonts w:ascii="Segoe UI"/>
                      <w:color w:val="452A70"/>
                      <w:spacing w:val="-6"/>
                      <w:sz w:val="20"/>
                    </w:rPr>
                    <w:t> </w:t>
                  </w:r>
                  <w:r>
                    <w:rPr>
                      <w:rFonts w:ascii="Segoe UI"/>
                      <w:color w:val="452A70"/>
                      <w:sz w:val="20"/>
                    </w:rPr>
                    <w:t>and</w:t>
                  </w:r>
                  <w:r>
                    <w:rPr>
                      <w:rFonts w:ascii="Segoe UI"/>
                      <w:color w:val="452A70"/>
                      <w:spacing w:val="-7"/>
                      <w:sz w:val="20"/>
                    </w:rPr>
                    <w:t> </w:t>
                  </w:r>
                  <w:r>
                    <w:rPr>
                      <w:rFonts w:ascii="Segoe UI"/>
                      <w:color w:val="452A70"/>
                      <w:spacing w:val="-5"/>
                      <w:sz w:val="20"/>
                    </w:rPr>
                    <w:t>Torres</w:t>
                  </w:r>
                  <w:r>
                    <w:rPr>
                      <w:rFonts w:ascii="Segoe UI"/>
                      <w:color w:val="452A70"/>
                      <w:spacing w:val="-6"/>
                      <w:sz w:val="20"/>
                    </w:rPr>
                    <w:t> </w:t>
                  </w:r>
                  <w:r>
                    <w:rPr>
                      <w:rFonts w:ascii="Segoe UI"/>
                      <w:color w:val="452A70"/>
                      <w:spacing w:val="-2"/>
                      <w:sz w:val="20"/>
                    </w:rPr>
                    <w:t>Strait</w:t>
                  </w:r>
                  <w:r>
                    <w:rPr>
                      <w:rFonts w:ascii="Segoe UI"/>
                      <w:color w:val="452A70"/>
                      <w:spacing w:val="-7"/>
                      <w:sz w:val="20"/>
                    </w:rPr>
                    <w:t> </w:t>
                  </w:r>
                  <w:r>
                    <w:rPr>
                      <w:rFonts w:ascii="Segoe UI"/>
                      <w:color w:val="452A70"/>
                      <w:spacing w:val="-1"/>
                      <w:sz w:val="20"/>
                    </w:rPr>
                    <w:t>Islander</w:t>
                  </w:r>
                  <w:r>
                    <w:rPr>
                      <w:rFonts w:ascii="Segoe UI"/>
                      <w:color w:val="452A70"/>
                      <w:spacing w:val="-5"/>
                      <w:sz w:val="20"/>
                    </w:rPr>
                    <w:t> </w:t>
                  </w:r>
                  <w:r>
                    <w:rPr>
                      <w:rFonts w:ascii="Segoe UI"/>
                      <w:color w:val="452A70"/>
                      <w:sz w:val="20"/>
                    </w:rPr>
                    <w:t>community</w:t>
                  </w:r>
                  <w:r>
                    <w:rPr>
                      <w:rFonts w:ascii="Segoe UI"/>
                      <w:color w:val="452A70"/>
                      <w:spacing w:val="-7"/>
                      <w:sz w:val="20"/>
                    </w:rPr>
                    <w:t> </w:t>
                  </w:r>
                  <w:r>
                    <w:rPr>
                      <w:rFonts w:ascii="Segoe UI"/>
                      <w:color w:val="452A70"/>
                      <w:sz w:val="20"/>
                    </w:rPr>
                    <w:t>controlled</w:t>
                  </w:r>
                  <w:r>
                    <w:rPr>
                      <w:rFonts w:ascii="Segoe UI"/>
                      <w:color w:val="452A70"/>
                      <w:spacing w:val="-7"/>
                      <w:sz w:val="20"/>
                    </w:rPr>
                    <w:t> </w:t>
                  </w:r>
                  <w:r>
                    <w:rPr>
                      <w:rFonts w:ascii="Segoe UI"/>
                      <w:color w:val="452A70"/>
                      <w:sz w:val="20"/>
                    </w:rPr>
                    <w:t>health</w:t>
                  </w:r>
                  <w:r>
                    <w:rPr>
                      <w:rFonts w:ascii="Segoe UI"/>
                      <w:color w:val="452A70"/>
                      <w:spacing w:val="30"/>
                      <w:w w:val="99"/>
                      <w:sz w:val="20"/>
                    </w:rPr>
                    <w:t> </w:t>
                  </w:r>
                  <w:r>
                    <w:rPr>
                      <w:rFonts w:ascii="Segoe UI"/>
                      <w:color w:val="452A70"/>
                      <w:spacing w:val="-1"/>
                      <w:sz w:val="20"/>
                    </w:rPr>
                    <w:t>services,</w:t>
                  </w:r>
                  <w:r>
                    <w:rPr>
                      <w:rFonts w:ascii="Segoe UI"/>
                      <w:color w:val="452A70"/>
                      <w:spacing w:val="-5"/>
                      <w:sz w:val="20"/>
                    </w:rPr>
                    <w:t> </w:t>
                  </w:r>
                  <w:r>
                    <w:rPr>
                      <w:rFonts w:ascii="Segoe UI"/>
                      <w:color w:val="452A70"/>
                      <w:spacing w:val="-1"/>
                      <w:sz w:val="20"/>
                    </w:rPr>
                    <w:t>in</w:t>
                  </w:r>
                  <w:r>
                    <w:rPr>
                      <w:rFonts w:ascii="Segoe UI"/>
                      <w:color w:val="452A70"/>
                      <w:spacing w:val="-5"/>
                      <w:sz w:val="20"/>
                    </w:rPr>
                    <w:t> </w:t>
                  </w:r>
                  <w:r>
                    <w:rPr>
                      <w:rFonts w:ascii="Segoe UI"/>
                      <w:color w:val="452A70"/>
                      <w:sz w:val="20"/>
                    </w:rPr>
                    <w:t>undertaking</w:t>
                  </w:r>
                  <w:r>
                    <w:rPr>
                      <w:rFonts w:ascii="Segoe UI"/>
                      <w:color w:val="452A70"/>
                      <w:spacing w:val="-6"/>
                      <w:sz w:val="20"/>
                    </w:rPr>
                    <w:t> </w:t>
                  </w:r>
                  <w:r>
                    <w:rPr>
                      <w:rFonts w:ascii="Segoe UI"/>
                      <w:color w:val="452A70"/>
                      <w:sz w:val="20"/>
                    </w:rPr>
                    <w:t>health</w:t>
                  </w:r>
                  <w:r>
                    <w:rPr>
                      <w:rFonts w:ascii="Segoe UI"/>
                      <w:color w:val="452A70"/>
                      <w:spacing w:val="-6"/>
                      <w:sz w:val="20"/>
                    </w:rPr>
                    <w:t> </w:t>
                  </w:r>
                  <w:r>
                    <w:rPr>
                      <w:rFonts w:ascii="Segoe UI"/>
                      <w:color w:val="452A70"/>
                      <w:sz w:val="20"/>
                    </w:rPr>
                    <w:t>assessments</w:t>
                  </w:r>
                  <w:r>
                    <w:rPr>
                      <w:rFonts w:ascii="Segoe UI"/>
                      <w:color w:val="452A70"/>
                      <w:spacing w:val="-7"/>
                      <w:sz w:val="20"/>
                    </w:rPr>
                    <w:t> </w:t>
                  </w:r>
                  <w:r>
                    <w:rPr>
                      <w:rFonts w:ascii="Segoe UI"/>
                      <w:color w:val="452A70"/>
                      <w:sz w:val="20"/>
                    </w:rPr>
                    <w:t>and</w:t>
                  </w:r>
                  <w:r>
                    <w:rPr>
                      <w:rFonts w:ascii="Segoe UI"/>
                      <w:color w:val="452A70"/>
                      <w:spacing w:val="-6"/>
                      <w:sz w:val="20"/>
                    </w:rPr>
                    <w:t> </w:t>
                  </w:r>
                  <w:r>
                    <w:rPr>
                      <w:rFonts w:ascii="Segoe UI"/>
                      <w:color w:val="452A70"/>
                      <w:sz w:val="20"/>
                    </w:rPr>
                    <w:t>developing</w:t>
                  </w:r>
                  <w:r>
                    <w:rPr>
                      <w:rFonts w:ascii="Segoe UI"/>
                      <w:color w:val="452A70"/>
                      <w:spacing w:val="-7"/>
                      <w:sz w:val="20"/>
                    </w:rPr>
                    <w:t> </w:t>
                  </w:r>
                  <w:r>
                    <w:rPr>
                      <w:rFonts w:ascii="Segoe UI"/>
                      <w:color w:val="452A70"/>
                      <w:spacing w:val="-1"/>
                      <w:sz w:val="20"/>
                    </w:rPr>
                    <w:t>individual</w:t>
                  </w:r>
                  <w:r>
                    <w:rPr>
                      <w:rFonts w:ascii="Segoe UI"/>
                      <w:color w:val="452A70"/>
                      <w:spacing w:val="-5"/>
                      <w:sz w:val="20"/>
                    </w:rPr>
                    <w:t> </w:t>
                  </w:r>
                  <w:r>
                    <w:rPr>
                      <w:rFonts w:ascii="Segoe UI"/>
                      <w:color w:val="452A70"/>
                      <w:sz w:val="20"/>
                    </w:rPr>
                    <w:t>health</w:t>
                  </w:r>
                  <w:r>
                    <w:rPr>
                      <w:rFonts w:ascii="Segoe UI"/>
                      <w:color w:val="452A70"/>
                      <w:spacing w:val="-6"/>
                      <w:sz w:val="20"/>
                    </w:rPr>
                    <w:t> </w:t>
                  </w:r>
                  <w:r>
                    <w:rPr>
                      <w:rFonts w:ascii="Segoe UI"/>
                      <w:color w:val="452A70"/>
                      <w:spacing w:val="-1"/>
                      <w:sz w:val="20"/>
                    </w:rPr>
                    <w:t>management</w:t>
                  </w:r>
                  <w:r>
                    <w:rPr>
                      <w:rFonts w:ascii="Segoe UI"/>
                      <w:color w:val="452A70"/>
                      <w:spacing w:val="23"/>
                      <w:w w:val="99"/>
                      <w:sz w:val="20"/>
                    </w:rPr>
                    <w:t> </w:t>
                  </w:r>
                  <w:r>
                    <w:rPr>
                      <w:rFonts w:ascii="Segoe UI"/>
                      <w:color w:val="452A70"/>
                      <w:sz w:val="20"/>
                    </w:rPr>
                    <w:t>plans.</w:t>
                  </w:r>
                  <w:r>
                    <w:rPr>
                      <w:rFonts w:ascii="Segoe UI"/>
                      <w:sz w:val="20"/>
                    </w:rPr>
                  </w:r>
                </w:p>
              </w:txbxContent>
            </v:textbox>
            <v:fill type="solid"/>
            <v:stroke dashstyle="dash"/>
            <w10:wrap type="none"/>
          </v:shape>
        </w:pict>
      </w:r>
      <w:r>
        <w:rPr>
          <w:rFonts w:ascii="Segoe UI" w:hAnsi="Segoe UI" w:cs="Segoe UI" w:eastAsia="Segoe UI"/>
          <w:sz w:val="20"/>
          <w:szCs w:val="20"/>
        </w:rPr>
      </w:r>
    </w:p>
    <w:p>
      <w:pPr>
        <w:spacing w:after="0" w:line="200" w:lineRule="atLeast"/>
        <w:rPr>
          <w:rFonts w:ascii="Segoe UI" w:hAnsi="Segoe UI" w:cs="Segoe UI" w:eastAsia="Segoe UI"/>
          <w:sz w:val="20"/>
          <w:szCs w:val="20"/>
        </w:rPr>
        <w:sectPr>
          <w:pgSz w:w="11910" w:h="16840"/>
          <w:pgMar w:header="0" w:footer="691" w:top="1580" w:bottom="880" w:left="1620" w:right="1240"/>
        </w:sectPr>
      </w:pPr>
    </w:p>
    <w:p>
      <w:pPr>
        <w:spacing w:line="240" w:lineRule="auto" w:before="0"/>
        <w:rPr>
          <w:rFonts w:ascii="Segoe UI" w:hAnsi="Segoe UI" w:cs="Segoe UI" w:eastAsia="Segoe UI"/>
          <w:sz w:val="20"/>
          <w:szCs w:val="20"/>
        </w:rPr>
      </w:pPr>
    </w:p>
    <w:p>
      <w:pPr>
        <w:spacing w:line="240" w:lineRule="auto" w:before="1"/>
        <w:rPr>
          <w:rFonts w:ascii="Segoe UI" w:hAnsi="Segoe UI" w:cs="Segoe UI" w:eastAsia="Segoe UI"/>
          <w:sz w:val="20"/>
          <w:szCs w:val="20"/>
        </w:rPr>
      </w:pPr>
    </w:p>
    <w:p>
      <w:pPr>
        <w:numPr>
          <w:ilvl w:val="0"/>
          <w:numId w:val="4"/>
        </w:numPr>
        <w:tabs>
          <w:tab w:pos="685" w:val="left" w:leader="none"/>
        </w:tabs>
        <w:spacing w:line="567" w:lineRule="exact" w:before="0"/>
        <w:ind w:left="684" w:right="0" w:hanging="567"/>
        <w:jc w:val="left"/>
        <w:rPr>
          <w:rFonts w:ascii="Segoe UI" w:hAnsi="Segoe UI" w:cs="Segoe UI" w:eastAsia="Segoe UI"/>
          <w:sz w:val="44"/>
          <w:szCs w:val="44"/>
        </w:rPr>
      </w:pPr>
      <w:r>
        <w:rPr>
          <w:rFonts w:ascii="Segoe UI"/>
          <w:color w:val="67973F"/>
          <w:spacing w:val="-1"/>
          <w:sz w:val="44"/>
        </w:rPr>
        <w:t>Support</w:t>
      </w:r>
      <w:r>
        <w:rPr>
          <w:rFonts w:ascii="Segoe UI"/>
          <w:color w:val="67973F"/>
          <w:spacing w:val="-15"/>
          <w:sz w:val="44"/>
        </w:rPr>
        <w:t> </w:t>
      </w:r>
      <w:r>
        <w:rPr>
          <w:rFonts w:ascii="Segoe UI"/>
          <w:color w:val="67973F"/>
          <w:spacing w:val="-1"/>
          <w:sz w:val="44"/>
        </w:rPr>
        <w:t>services</w:t>
      </w:r>
      <w:r>
        <w:rPr>
          <w:rFonts w:ascii="Segoe UI"/>
          <w:sz w:val="44"/>
        </w:rPr>
      </w:r>
    </w:p>
    <w:p>
      <w:pPr>
        <w:spacing w:line="240" w:lineRule="auto" w:before="0"/>
        <w:rPr>
          <w:rFonts w:ascii="Segoe UI" w:hAnsi="Segoe UI" w:cs="Segoe UI" w:eastAsia="Segoe UI"/>
          <w:sz w:val="22"/>
          <w:szCs w:val="22"/>
        </w:rPr>
      </w:pPr>
    </w:p>
    <w:p>
      <w:pPr>
        <w:spacing w:after="0" w:line="240" w:lineRule="auto"/>
        <w:rPr>
          <w:rFonts w:ascii="Segoe UI" w:hAnsi="Segoe UI" w:cs="Segoe UI" w:eastAsia="Segoe UI"/>
          <w:sz w:val="22"/>
          <w:szCs w:val="22"/>
        </w:rPr>
        <w:sectPr>
          <w:pgSz w:w="11910" w:h="16840"/>
          <w:pgMar w:header="0" w:footer="691" w:top="1580" w:bottom="880" w:left="1300" w:right="1420"/>
        </w:sectPr>
      </w:pPr>
    </w:p>
    <w:p>
      <w:pPr>
        <w:spacing w:line="360" w:lineRule="exact" w:before="71"/>
        <w:ind w:left="117" w:right="0" w:firstLine="0"/>
        <w:jc w:val="left"/>
        <w:rPr>
          <w:rFonts w:ascii="Segoe UI" w:hAnsi="Segoe UI" w:cs="Segoe UI" w:eastAsia="Segoe UI"/>
          <w:sz w:val="32"/>
          <w:szCs w:val="32"/>
        </w:rPr>
      </w:pPr>
      <w:r>
        <w:rPr>
          <w:rFonts w:ascii="Segoe UI"/>
          <w:b/>
          <w:color w:val="452A70"/>
          <w:sz w:val="32"/>
        </w:rPr>
        <w:t>The</w:t>
      </w:r>
      <w:r>
        <w:rPr>
          <w:rFonts w:ascii="Segoe UI"/>
          <w:b/>
          <w:color w:val="452A70"/>
          <w:spacing w:val="-1"/>
          <w:sz w:val="32"/>
        </w:rPr>
        <w:t> </w:t>
      </w:r>
      <w:r>
        <w:rPr>
          <w:rFonts w:ascii="Segoe UI"/>
          <w:b/>
          <w:color w:val="452A70"/>
          <w:sz w:val="32"/>
        </w:rPr>
        <w:t>need</w:t>
      </w:r>
      <w:r>
        <w:rPr>
          <w:rFonts w:ascii="Segoe UI"/>
          <w:b/>
          <w:color w:val="452A70"/>
          <w:spacing w:val="-1"/>
          <w:sz w:val="32"/>
        </w:rPr>
        <w:t> for</w:t>
      </w:r>
      <w:r>
        <w:rPr>
          <w:rFonts w:ascii="Segoe UI"/>
          <w:b/>
          <w:color w:val="452A70"/>
          <w:sz w:val="32"/>
        </w:rPr>
        <w:t> </w:t>
      </w:r>
      <w:r>
        <w:rPr>
          <w:rFonts w:ascii="Segoe UI"/>
          <w:b/>
          <w:color w:val="452A70"/>
          <w:spacing w:val="1"/>
          <w:sz w:val="32"/>
        </w:rPr>
        <w:t>support</w:t>
      </w:r>
      <w:r>
        <w:rPr>
          <w:rFonts w:ascii="Segoe UI"/>
          <w:b/>
          <w:color w:val="452A70"/>
          <w:spacing w:val="23"/>
          <w:sz w:val="32"/>
        </w:rPr>
        <w:t> </w:t>
      </w:r>
      <w:r>
        <w:rPr>
          <w:rFonts w:ascii="Segoe UI"/>
          <w:b/>
          <w:color w:val="452A70"/>
          <w:spacing w:val="1"/>
          <w:sz w:val="32"/>
        </w:rPr>
        <w:t>services</w:t>
      </w:r>
      <w:r>
        <w:rPr>
          <w:rFonts w:ascii="Segoe UI"/>
          <w:sz w:val="32"/>
        </w:rPr>
      </w:r>
    </w:p>
    <w:p>
      <w:pPr>
        <w:pStyle w:val="BodyText"/>
        <w:spacing w:line="250" w:lineRule="exact" w:before="119"/>
        <w:ind w:right="186"/>
        <w:jc w:val="left"/>
      </w:pPr>
      <w:r>
        <w:rPr>
          <w:color w:val="231F20"/>
        </w:rPr>
        <w:t>All</w:t>
      </w:r>
      <w:r>
        <w:rPr>
          <w:color w:val="231F20"/>
          <w:spacing w:val="-10"/>
        </w:rPr>
        <w:t> </w:t>
      </w:r>
      <w:r>
        <w:rPr>
          <w:color w:val="231F20"/>
        </w:rPr>
        <w:t>boarding</w:t>
      </w:r>
      <w:r>
        <w:rPr>
          <w:color w:val="231F20"/>
          <w:spacing w:val="-9"/>
        </w:rPr>
        <w:t> </w:t>
      </w:r>
      <w:r>
        <w:rPr>
          <w:color w:val="231F20"/>
        </w:rPr>
        <w:t>providers</w:t>
      </w:r>
      <w:r>
        <w:rPr>
          <w:color w:val="231F20"/>
          <w:spacing w:val="-9"/>
        </w:rPr>
        <w:t> </w:t>
      </w:r>
      <w:r>
        <w:rPr>
          <w:color w:val="231F20"/>
        </w:rPr>
        <w:t>reported</w:t>
      </w:r>
      <w:r>
        <w:rPr>
          <w:color w:val="231F20"/>
          <w:spacing w:val="-9"/>
        </w:rPr>
        <w:t> </w:t>
      </w:r>
      <w:r>
        <w:rPr>
          <w:color w:val="231F20"/>
        </w:rPr>
        <w:t>providing</w:t>
      </w:r>
      <w:r>
        <w:rPr>
          <w:color w:val="231F20"/>
          <w:w w:val="99"/>
        </w:rPr>
        <w:t> </w:t>
      </w:r>
      <w:r>
        <w:rPr>
          <w:rFonts w:ascii="Segoe UI"/>
          <w:color w:val="231F20"/>
        </w:rPr>
        <w:t>specific services to assist with transitioning</w:t>
      </w:r>
      <w:r>
        <w:rPr>
          <w:rFonts w:ascii="Segoe UI"/>
          <w:color w:val="231F20"/>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5"/>
        </w:rPr>
        <w:t> </w:t>
      </w:r>
      <w:r>
        <w:rPr>
          <w:color w:val="231F20"/>
          <w:spacing w:val="-1"/>
        </w:rPr>
        <w:t>Islander</w:t>
      </w:r>
      <w:r>
        <w:rPr>
          <w:color w:val="231F20"/>
          <w:spacing w:val="-5"/>
        </w:rPr>
        <w:t> </w:t>
      </w:r>
      <w:r>
        <w:rPr>
          <w:color w:val="231F20"/>
          <w:spacing w:val="-1"/>
        </w:rPr>
        <w:t>students</w:t>
      </w:r>
      <w:r>
        <w:rPr>
          <w:color w:val="231F20"/>
          <w:spacing w:val="20"/>
        </w:rPr>
        <w:t> </w:t>
      </w:r>
      <w:r>
        <w:rPr>
          <w:color w:val="231F20"/>
        </w:rPr>
        <w:t>to</w:t>
      </w:r>
      <w:r>
        <w:rPr>
          <w:color w:val="231F20"/>
          <w:spacing w:val="-5"/>
        </w:rPr>
        <w:t> </w:t>
      </w:r>
      <w:r>
        <w:rPr>
          <w:color w:val="231F20"/>
        </w:rPr>
        <w:t>boarding,</w:t>
      </w:r>
      <w:r>
        <w:rPr>
          <w:color w:val="231F20"/>
          <w:spacing w:val="-5"/>
        </w:rPr>
        <w:t> </w:t>
      </w:r>
      <w:r>
        <w:rPr>
          <w:color w:val="231F20"/>
        </w:rPr>
        <w:t>retaining</w:t>
      </w:r>
      <w:r>
        <w:rPr>
          <w:color w:val="231F20"/>
          <w:spacing w:val="-5"/>
        </w:rPr>
        <w:t> </w:t>
      </w:r>
      <w:r>
        <w:rPr>
          <w:color w:val="231F20"/>
          <w:spacing w:val="-1"/>
        </w:rPr>
        <w:t>students</w:t>
      </w:r>
      <w:r>
        <w:rPr>
          <w:color w:val="231F20"/>
          <w:spacing w:val="-5"/>
        </w:rPr>
        <w:t> </w:t>
      </w:r>
      <w:r>
        <w:rPr>
          <w:color w:val="231F20"/>
        </w:rPr>
        <w:t>and</w:t>
      </w:r>
      <w:r>
        <w:rPr>
          <w:color w:val="231F20"/>
          <w:spacing w:val="-5"/>
        </w:rPr>
        <w:t> </w:t>
      </w:r>
      <w:r>
        <w:rPr>
          <w:color w:val="231F20"/>
          <w:spacing w:val="-1"/>
        </w:rPr>
        <w:t>meeting</w:t>
      </w:r>
      <w:r>
        <w:rPr>
          <w:color w:val="231F20"/>
          <w:spacing w:val="21"/>
        </w:rPr>
        <w:t> </w:t>
      </w:r>
      <w:r>
        <w:rPr>
          <w:color w:val="231F20"/>
        </w:rPr>
        <w:t>their</w:t>
      </w:r>
      <w:r>
        <w:rPr>
          <w:color w:val="231F20"/>
          <w:spacing w:val="-7"/>
        </w:rPr>
        <w:t> </w:t>
      </w:r>
      <w:r>
        <w:rPr>
          <w:color w:val="231F20"/>
        </w:rPr>
        <w:t>development</w:t>
      </w:r>
      <w:r>
        <w:rPr>
          <w:color w:val="231F20"/>
          <w:spacing w:val="-7"/>
        </w:rPr>
        <w:t> </w:t>
      </w:r>
      <w:r>
        <w:rPr>
          <w:color w:val="231F20"/>
        </w:rPr>
        <w:t>and</w:t>
      </w:r>
      <w:r>
        <w:rPr>
          <w:color w:val="231F20"/>
          <w:spacing w:val="-7"/>
        </w:rPr>
        <w:t> </w:t>
      </w:r>
      <w:r>
        <w:rPr>
          <w:color w:val="231F20"/>
        </w:rPr>
        <w:t>cultural</w:t>
      </w:r>
      <w:r>
        <w:rPr>
          <w:color w:val="231F20"/>
          <w:spacing w:val="-6"/>
        </w:rPr>
        <w:t> </w:t>
      </w:r>
      <w:r>
        <w:rPr>
          <w:color w:val="231F20"/>
        </w:rPr>
        <w:t>needs.</w:t>
      </w:r>
      <w:r>
        <w:rPr>
          <w:color w:val="231F20"/>
          <w:spacing w:val="-7"/>
        </w:rPr>
        <w:t> </w:t>
      </w:r>
      <w:r>
        <w:rPr>
          <w:color w:val="231F20"/>
        </w:rPr>
        <w:t>A</w:t>
      </w:r>
      <w:r>
        <w:rPr>
          <w:color w:val="231F20"/>
          <w:spacing w:val="-6"/>
        </w:rPr>
        <w:t> </w:t>
      </w:r>
      <w:r>
        <w:rPr>
          <w:color w:val="231F20"/>
          <w:spacing w:val="-1"/>
        </w:rPr>
        <w:t>key</w:t>
      </w:r>
      <w:r>
        <w:rPr>
          <w:color w:val="231F20"/>
          <w:spacing w:val="19"/>
          <w:w w:val="99"/>
        </w:rPr>
        <w:t> </w:t>
      </w:r>
      <w:r>
        <w:rPr>
          <w:color w:val="231F20"/>
        </w:rPr>
        <w:t>component</w:t>
      </w:r>
      <w:r>
        <w:rPr>
          <w:color w:val="231F20"/>
          <w:spacing w:val="-4"/>
        </w:rPr>
        <w:t> </w:t>
      </w:r>
      <w:r>
        <w:rPr>
          <w:color w:val="231F20"/>
        </w:rPr>
        <w:t>of</w:t>
      </w:r>
      <w:r>
        <w:rPr>
          <w:color w:val="231F20"/>
          <w:spacing w:val="-3"/>
        </w:rPr>
        <w:t> </w:t>
      </w:r>
      <w:r>
        <w:rPr>
          <w:color w:val="231F20"/>
        </w:rPr>
        <w:t>these</w:t>
      </w:r>
      <w:r>
        <w:rPr>
          <w:color w:val="231F20"/>
          <w:spacing w:val="-3"/>
        </w:rPr>
        <w:t> </w:t>
      </w:r>
      <w:r>
        <w:rPr>
          <w:color w:val="231F20"/>
          <w:spacing w:val="-1"/>
        </w:rPr>
        <w:t>services</w:t>
      </w:r>
      <w:r>
        <w:rPr>
          <w:color w:val="231F20"/>
          <w:spacing w:val="-3"/>
        </w:rPr>
        <w:t> </w:t>
      </w:r>
      <w:r>
        <w:rPr>
          <w:color w:val="231F20"/>
          <w:spacing w:val="-1"/>
        </w:rPr>
        <w:t>is</w:t>
      </w:r>
      <w:r>
        <w:rPr>
          <w:color w:val="231F20"/>
          <w:spacing w:val="-3"/>
        </w:rPr>
        <w:t> </w:t>
      </w:r>
      <w:r>
        <w:rPr>
          <w:color w:val="231F20"/>
        </w:rPr>
        <w:t>family</w:t>
      </w:r>
      <w:r>
        <w:rPr>
          <w:color w:val="231F20"/>
          <w:spacing w:val="-4"/>
        </w:rPr>
        <w:t> </w:t>
      </w:r>
      <w:r>
        <w:rPr>
          <w:color w:val="231F20"/>
        </w:rPr>
        <w:t>and</w:t>
      </w:r>
      <w:r>
        <w:rPr>
          <w:color w:val="231F20"/>
          <w:spacing w:val="23"/>
          <w:w w:val="99"/>
        </w:rPr>
        <w:t> </w:t>
      </w:r>
      <w:r>
        <w:rPr>
          <w:color w:val="231F20"/>
        </w:rPr>
        <w:t>community</w:t>
      </w:r>
      <w:r>
        <w:rPr>
          <w:color w:val="231F20"/>
          <w:spacing w:val="-13"/>
        </w:rPr>
        <w:t> </w:t>
      </w:r>
      <w:r>
        <w:rPr>
          <w:color w:val="231F20"/>
        </w:rPr>
        <w:t>engagement.</w:t>
      </w:r>
      <w:r>
        <w:rPr/>
      </w:r>
    </w:p>
    <w:p>
      <w:pPr>
        <w:pStyle w:val="BodyText"/>
        <w:spacing w:line="250" w:lineRule="exact" w:before="113"/>
        <w:ind w:right="55"/>
        <w:jc w:val="left"/>
      </w:pPr>
      <w:r>
        <w:rPr>
          <w:color w:val="231F20"/>
          <w:spacing w:val="-1"/>
        </w:rPr>
        <w:t>Support</w:t>
      </w:r>
      <w:r>
        <w:rPr>
          <w:color w:val="231F20"/>
          <w:spacing w:val="-6"/>
        </w:rPr>
        <w:t> </w:t>
      </w:r>
      <w:r>
        <w:rPr>
          <w:color w:val="231F20"/>
          <w:spacing w:val="-1"/>
        </w:rPr>
        <w:t>services</w:t>
      </w:r>
      <w:r>
        <w:rPr>
          <w:color w:val="231F20"/>
          <w:spacing w:val="-5"/>
        </w:rPr>
        <w:t> </w:t>
      </w:r>
      <w:r>
        <w:rPr>
          <w:color w:val="231F20"/>
        </w:rPr>
        <w:t>have</w:t>
      </w:r>
      <w:r>
        <w:rPr>
          <w:color w:val="231F20"/>
          <w:spacing w:val="-6"/>
        </w:rPr>
        <w:t> </w:t>
      </w:r>
      <w:r>
        <w:rPr>
          <w:color w:val="231F20"/>
        </w:rPr>
        <w:t>been</w:t>
      </w:r>
      <w:r>
        <w:rPr>
          <w:color w:val="231F20"/>
          <w:spacing w:val="-5"/>
        </w:rPr>
        <w:t> </w:t>
      </w:r>
      <w:r>
        <w:rPr>
          <w:color w:val="231F20"/>
        </w:rPr>
        <w:t>developed</w:t>
      </w:r>
      <w:r>
        <w:rPr>
          <w:color w:val="231F20"/>
          <w:spacing w:val="-6"/>
        </w:rPr>
        <w:t> </w:t>
      </w:r>
      <w:r>
        <w:rPr>
          <w:color w:val="231F20"/>
          <w:spacing w:val="-1"/>
        </w:rPr>
        <w:t>in</w:t>
      </w:r>
      <w:r>
        <w:rPr>
          <w:color w:val="231F20"/>
          <w:spacing w:val="22"/>
        </w:rPr>
        <w:t> </w:t>
      </w:r>
      <w:r>
        <w:rPr>
          <w:color w:val="231F20"/>
        </w:rPr>
        <w:t>response</w:t>
      </w:r>
      <w:r>
        <w:rPr>
          <w:color w:val="231F20"/>
          <w:spacing w:val="-7"/>
        </w:rPr>
        <w:t> </w:t>
      </w:r>
      <w:r>
        <w:rPr>
          <w:color w:val="231F20"/>
        </w:rPr>
        <w:t>to</w:t>
      </w:r>
      <w:r>
        <w:rPr>
          <w:color w:val="231F20"/>
          <w:spacing w:val="-6"/>
        </w:rPr>
        <w:t> </w:t>
      </w:r>
      <w:r>
        <w:rPr>
          <w:color w:val="231F20"/>
        </w:rPr>
        <w:t>the</w:t>
      </w:r>
      <w:r>
        <w:rPr>
          <w:color w:val="231F20"/>
          <w:spacing w:val="-7"/>
        </w:rPr>
        <w:t> </w:t>
      </w:r>
      <w:r>
        <w:rPr>
          <w:color w:val="231F20"/>
        </w:rPr>
        <w:t>circumstances</w:t>
      </w:r>
      <w:r>
        <w:rPr>
          <w:color w:val="231F20"/>
          <w:spacing w:val="-7"/>
        </w:rPr>
        <w:t> </w:t>
      </w:r>
      <w:r>
        <w:rPr>
          <w:color w:val="231F20"/>
        </w:rPr>
        <w:t>faced</w:t>
      </w:r>
      <w:r>
        <w:rPr>
          <w:color w:val="231F20"/>
          <w:spacing w:val="-5"/>
        </w:rPr>
        <w:t> </w:t>
      </w:r>
      <w:r>
        <w:rPr>
          <w:color w:val="231F20"/>
        </w:rPr>
        <w:t>by</w:t>
      </w:r>
      <w:r>
        <w:rPr>
          <w:color w:val="231F20"/>
          <w:spacing w:val="-6"/>
        </w:rPr>
        <w:t> </w:t>
      </w:r>
      <w:r>
        <w:rPr>
          <w:color w:val="231F20"/>
        </w:rPr>
        <w:t>the</w:t>
      </w:r>
      <w:r>
        <w:rPr>
          <w:color w:val="231F20"/>
          <w:w w:val="99"/>
        </w:rPr>
        <w:t> </w:t>
      </w:r>
      <w:r>
        <w:rPr>
          <w:color w:val="231F20"/>
          <w:spacing w:val="-1"/>
        </w:rPr>
        <w:t>majority</w:t>
      </w:r>
      <w:r>
        <w:rPr>
          <w:color w:val="231F20"/>
          <w:spacing w:val="-6"/>
        </w:rPr>
        <w:t> </w:t>
      </w:r>
      <w:r>
        <w:rPr>
          <w:color w:val="231F20"/>
        </w:rPr>
        <w:t>of</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w:t>
      </w:r>
      <w:r>
        <w:rPr>
          <w:color w:val="231F20"/>
          <w:spacing w:val="-6"/>
        </w:rPr>
        <w:t> </w:t>
      </w:r>
      <w:r>
        <w:rPr>
          <w:color w:val="231F20"/>
          <w:spacing w:val="-2"/>
        </w:rPr>
        <w:t>Strait</w:t>
      </w:r>
      <w:r>
        <w:rPr>
          <w:color w:val="231F20"/>
          <w:spacing w:val="-6"/>
        </w:rPr>
        <w:t> </w:t>
      </w:r>
      <w:r>
        <w:rPr>
          <w:color w:val="231F20"/>
          <w:spacing w:val="-1"/>
        </w:rPr>
        <w:t>Islander</w:t>
      </w:r>
      <w:r>
        <w:rPr>
          <w:color w:val="231F20"/>
          <w:spacing w:val="20"/>
          <w:w w:val="99"/>
        </w:rPr>
        <w:t> </w:t>
      </w:r>
      <w:r>
        <w:rPr>
          <w:color w:val="231F20"/>
          <w:spacing w:val="-1"/>
        </w:rPr>
        <w:t>students</w:t>
      </w:r>
      <w:r>
        <w:rPr>
          <w:color w:val="231F20"/>
          <w:spacing w:val="-7"/>
        </w:rPr>
        <w:t> </w:t>
      </w:r>
      <w:r>
        <w:rPr>
          <w:color w:val="231F20"/>
        </w:rPr>
        <w:t>attending</w:t>
      </w:r>
      <w:r>
        <w:rPr>
          <w:color w:val="231F20"/>
          <w:spacing w:val="-7"/>
        </w:rPr>
        <w:t> </w:t>
      </w:r>
      <w:r>
        <w:rPr>
          <w:color w:val="231F20"/>
        </w:rPr>
        <w:t>boarding.</w:t>
      </w:r>
      <w:r>
        <w:rPr>
          <w:color w:val="231F20"/>
          <w:spacing w:val="-8"/>
        </w:rPr>
        <w:t> </w:t>
      </w:r>
      <w:r>
        <w:rPr>
          <w:color w:val="231F20"/>
        </w:rPr>
        <w:t>More</w:t>
      </w:r>
      <w:r>
        <w:rPr>
          <w:color w:val="231F20"/>
          <w:spacing w:val="-6"/>
        </w:rPr>
        <w:t> </w:t>
      </w:r>
      <w:r>
        <w:rPr>
          <w:color w:val="231F20"/>
        </w:rPr>
        <w:t>than</w:t>
      </w:r>
      <w:r>
        <w:rPr/>
      </w:r>
    </w:p>
    <w:p>
      <w:pPr>
        <w:pStyle w:val="BodyText"/>
        <w:spacing w:line="250" w:lineRule="exact"/>
        <w:ind w:right="55"/>
        <w:jc w:val="left"/>
      </w:pPr>
      <w:r>
        <w:rPr>
          <w:color w:val="231F20"/>
        </w:rPr>
        <w:t>75</w:t>
      </w:r>
      <w:r>
        <w:rPr>
          <w:color w:val="231F20"/>
          <w:spacing w:val="-4"/>
        </w:rPr>
        <w:t> </w:t>
      </w:r>
      <w:r>
        <w:rPr>
          <w:color w:val="231F20"/>
        </w:rPr>
        <w:t>per</w:t>
      </w:r>
      <w:r>
        <w:rPr>
          <w:color w:val="231F20"/>
          <w:spacing w:val="-3"/>
        </w:rPr>
        <w:t> </w:t>
      </w:r>
      <w:r>
        <w:rPr>
          <w:color w:val="231F20"/>
        </w:rPr>
        <w:t>cent</w:t>
      </w:r>
      <w:r>
        <w:rPr>
          <w:color w:val="231F20"/>
          <w:spacing w:val="-4"/>
        </w:rPr>
        <w:t> </w:t>
      </w:r>
      <w:r>
        <w:rPr>
          <w:color w:val="231F20"/>
        </w:rPr>
        <w:t>of</w:t>
      </w:r>
      <w:r>
        <w:rPr>
          <w:color w:val="231F20"/>
          <w:spacing w:val="-3"/>
        </w:rPr>
        <w:t> </w:t>
      </w:r>
      <w:r>
        <w:rPr>
          <w:color w:val="231F20"/>
        </w:rPr>
        <w:t>ABSTUDY</w:t>
      </w:r>
      <w:r>
        <w:rPr>
          <w:color w:val="231F20"/>
          <w:spacing w:val="-5"/>
        </w:rPr>
        <w:t> </w:t>
      </w:r>
      <w:r>
        <w:rPr>
          <w:color w:val="231F20"/>
        </w:rPr>
        <w:t>funded</w:t>
      </w:r>
      <w:r>
        <w:rPr>
          <w:color w:val="231F20"/>
          <w:spacing w:val="-3"/>
        </w:rPr>
        <w:t> </w:t>
      </w:r>
      <w:r>
        <w:rPr>
          <w:color w:val="231F20"/>
        </w:rPr>
        <w:t>boarders</w:t>
      </w:r>
      <w:r>
        <w:rPr>
          <w:color w:val="231F20"/>
          <w:spacing w:val="-4"/>
        </w:rPr>
        <w:t> </w:t>
      </w:r>
      <w:r>
        <w:rPr>
          <w:color w:val="231F20"/>
        </w:rPr>
        <w:t>come</w:t>
      </w:r>
      <w:r>
        <w:rPr>
          <w:color w:val="231F20"/>
        </w:rPr>
        <w:t> </w:t>
      </w:r>
      <w:r>
        <w:rPr>
          <w:rFonts w:ascii="Segoe UI" w:hAnsi="Segoe UI" w:cs="Segoe UI" w:eastAsia="Segoe UI"/>
          <w:color w:val="231F20"/>
        </w:rPr>
        <w:t>from an area that is classified as ‘very remote’</w:t>
      </w:r>
      <w:r>
        <w:rPr>
          <w:rFonts w:ascii="Segoe UI" w:hAnsi="Segoe UI" w:cs="Segoe UI" w:eastAsia="Segoe UI"/>
          <w:color w:val="231F20"/>
        </w:rPr>
        <w:t> </w:t>
      </w:r>
      <w:r>
        <w:rPr>
          <w:color w:val="231F20"/>
        </w:rPr>
        <w:t>or</w:t>
      </w:r>
      <w:r>
        <w:rPr>
          <w:color w:val="231F20"/>
          <w:spacing w:val="-4"/>
        </w:rPr>
        <w:t> </w:t>
      </w:r>
      <w:r>
        <w:rPr>
          <w:color w:val="231F20"/>
          <w:spacing w:val="-1"/>
        </w:rPr>
        <w:t>‘remote’</w:t>
      </w:r>
      <w:r>
        <w:rPr>
          <w:rFonts w:ascii="Segoe UI Semibold" w:hAnsi="Segoe UI Semibold" w:cs="Segoe UI Semibold" w:eastAsia="Segoe UI Semibold"/>
          <w:b/>
          <w:bCs/>
          <w:color w:val="231F20"/>
          <w:spacing w:val="-1"/>
          <w:position w:val="7"/>
          <w:sz w:val="11"/>
          <w:szCs w:val="11"/>
        </w:rPr>
        <w:t>75</w:t>
      </w:r>
      <w:r>
        <w:rPr>
          <w:rFonts w:ascii="Segoe UI Semibold" w:hAnsi="Segoe UI Semibold" w:cs="Segoe UI Semibold" w:eastAsia="Segoe UI Semibold"/>
          <w:b/>
          <w:bCs/>
          <w:color w:val="231F20"/>
          <w:spacing w:val="21"/>
          <w:position w:val="7"/>
          <w:sz w:val="11"/>
          <w:szCs w:val="11"/>
        </w:rPr>
        <w:t> </w:t>
      </w:r>
      <w:r>
        <w:rPr>
          <w:color w:val="231F20"/>
        </w:rPr>
        <w:t>and</w:t>
      </w:r>
      <w:r>
        <w:rPr>
          <w:color w:val="231F20"/>
          <w:spacing w:val="-4"/>
        </w:rPr>
        <w:t> </w:t>
      </w:r>
      <w:r>
        <w:rPr>
          <w:color w:val="231F20"/>
        </w:rPr>
        <w:t>this</w:t>
      </w:r>
      <w:r>
        <w:rPr>
          <w:color w:val="231F20"/>
          <w:spacing w:val="-5"/>
        </w:rPr>
        <w:t> </w:t>
      </w:r>
      <w:r>
        <w:rPr>
          <w:color w:val="231F20"/>
        </w:rPr>
        <w:t>brings</w:t>
      </w:r>
      <w:r>
        <w:rPr>
          <w:color w:val="231F20"/>
          <w:spacing w:val="-4"/>
        </w:rPr>
        <w:t> </w:t>
      </w:r>
      <w:r>
        <w:rPr>
          <w:color w:val="231F20"/>
        </w:rPr>
        <w:t>with</w:t>
      </w:r>
      <w:r>
        <w:rPr>
          <w:color w:val="231F20"/>
          <w:spacing w:val="-5"/>
        </w:rPr>
        <w:t> </w:t>
      </w:r>
      <w:r>
        <w:rPr>
          <w:color w:val="231F20"/>
          <w:spacing w:val="-1"/>
        </w:rPr>
        <w:t>it</w:t>
      </w:r>
      <w:r>
        <w:rPr>
          <w:color w:val="231F20"/>
          <w:spacing w:val="-3"/>
        </w:rPr>
        <w:t> </w:t>
      </w:r>
      <w:r>
        <w:rPr>
          <w:color w:val="231F20"/>
        </w:rPr>
        <w:t>challenges</w:t>
      </w:r>
      <w:r>
        <w:rPr>
          <w:color w:val="231F20"/>
          <w:spacing w:val="20"/>
          <w:w w:val="99"/>
        </w:rPr>
        <w:t> </w:t>
      </w:r>
      <w:r>
        <w:rPr>
          <w:color w:val="231F20"/>
        </w:rPr>
        <w:t>for</w:t>
      </w:r>
      <w:r>
        <w:rPr>
          <w:color w:val="231F20"/>
          <w:spacing w:val="-3"/>
        </w:rPr>
        <w:t> </w:t>
      </w:r>
      <w:r>
        <w:rPr>
          <w:color w:val="231F20"/>
        </w:rPr>
        <w:t>the</w:t>
      </w:r>
      <w:r>
        <w:rPr>
          <w:color w:val="231F20"/>
          <w:spacing w:val="-4"/>
        </w:rPr>
        <w:t> </w:t>
      </w:r>
      <w:r>
        <w:rPr>
          <w:color w:val="231F20"/>
          <w:spacing w:val="-1"/>
        </w:rPr>
        <w:t>student, </w:t>
      </w:r>
      <w:r>
        <w:rPr>
          <w:color w:val="231F20"/>
        </w:rPr>
        <w:t>family,</w:t>
      </w:r>
      <w:r>
        <w:rPr>
          <w:color w:val="231F20"/>
          <w:spacing w:val="-4"/>
        </w:rPr>
        <w:t> </w:t>
      </w:r>
      <w:r>
        <w:rPr>
          <w:color w:val="231F20"/>
        </w:rPr>
        <w:t>home</w:t>
      </w:r>
      <w:r>
        <w:rPr>
          <w:color w:val="231F20"/>
          <w:spacing w:val="-4"/>
        </w:rPr>
        <w:t> </w:t>
      </w:r>
      <w:r>
        <w:rPr>
          <w:color w:val="231F20"/>
        </w:rPr>
        <w:t>community</w:t>
      </w:r>
      <w:r>
        <w:rPr>
          <w:color w:val="231F20"/>
          <w:spacing w:val="-3"/>
        </w:rPr>
        <w:t> </w:t>
      </w:r>
      <w:r>
        <w:rPr>
          <w:color w:val="231F20"/>
        </w:rPr>
        <w:t>and</w:t>
      </w:r>
      <w:r>
        <w:rPr>
          <w:color w:val="231F20"/>
          <w:spacing w:val="22"/>
          <w:w w:val="99"/>
        </w:rPr>
        <w:t> </w:t>
      </w:r>
      <w:r>
        <w:rPr>
          <w:color w:val="231F20"/>
        </w:rPr>
        <w:t>the</w:t>
      </w:r>
      <w:r>
        <w:rPr>
          <w:color w:val="231F20"/>
          <w:spacing w:val="-10"/>
        </w:rPr>
        <w:t> </w:t>
      </w:r>
      <w:r>
        <w:rPr>
          <w:color w:val="231F20"/>
        </w:rPr>
        <w:t>boarding</w:t>
      </w:r>
      <w:r>
        <w:rPr>
          <w:color w:val="231F20"/>
          <w:spacing w:val="-10"/>
        </w:rPr>
        <w:t> </w:t>
      </w:r>
      <w:r>
        <w:rPr>
          <w:color w:val="231F20"/>
        </w:rPr>
        <w:t>provider.</w:t>
      </w:r>
      <w:r>
        <w:rPr>
          <w:color w:val="231F20"/>
          <w:spacing w:val="-10"/>
        </w:rPr>
        <w:t> </w:t>
      </w:r>
      <w:r>
        <w:rPr>
          <w:color w:val="231F20"/>
          <w:spacing w:val="-1"/>
        </w:rPr>
        <w:t>Boarding</w:t>
      </w:r>
      <w:r>
        <w:rPr>
          <w:color w:val="231F20"/>
          <w:spacing w:val="-8"/>
        </w:rPr>
        <w:t> </w:t>
      </w:r>
      <w:r>
        <w:rPr>
          <w:color w:val="231F20"/>
        </w:rPr>
        <w:t>providers</w:t>
      </w:r>
      <w:r>
        <w:rPr>
          <w:color w:val="231F20"/>
          <w:spacing w:val="22"/>
          <w:w w:val="99"/>
        </w:rPr>
        <w:t> </w:t>
      </w:r>
      <w:r>
        <w:rPr>
          <w:color w:val="231F20"/>
        </w:rPr>
        <w:t>reported</w:t>
      </w:r>
      <w:r>
        <w:rPr>
          <w:color w:val="231F20"/>
          <w:spacing w:val="-7"/>
        </w:rPr>
        <w:t> </w:t>
      </w:r>
      <w:r>
        <w:rPr>
          <w:color w:val="231F20"/>
        </w:rPr>
        <w:t>the</w:t>
      </w:r>
      <w:r>
        <w:rPr>
          <w:color w:val="231F20"/>
          <w:spacing w:val="-6"/>
        </w:rPr>
        <w:t> </w:t>
      </w:r>
      <w:r>
        <w:rPr>
          <w:color w:val="231F20"/>
        </w:rPr>
        <w:t>need</w:t>
      </w:r>
      <w:r>
        <w:rPr>
          <w:color w:val="231F20"/>
          <w:spacing w:val="-7"/>
        </w:rPr>
        <w:t> </w:t>
      </w:r>
      <w:r>
        <w:rPr>
          <w:color w:val="231F20"/>
        </w:rPr>
        <w:t>to</w:t>
      </w:r>
      <w:r>
        <w:rPr>
          <w:color w:val="231F20"/>
          <w:spacing w:val="-5"/>
        </w:rPr>
        <w:t> </w:t>
      </w:r>
      <w:r>
        <w:rPr>
          <w:color w:val="231F20"/>
        </w:rPr>
        <w:t>address</w:t>
      </w:r>
      <w:r>
        <w:rPr>
          <w:color w:val="231F20"/>
          <w:spacing w:val="-7"/>
        </w:rPr>
        <w:t> </w:t>
      </w:r>
      <w:r>
        <w:rPr>
          <w:color w:val="231F20"/>
        </w:rPr>
        <w:t>health</w:t>
      </w:r>
      <w:r>
        <w:rPr>
          <w:color w:val="231F20"/>
          <w:spacing w:val="-6"/>
        </w:rPr>
        <w:t> </w:t>
      </w:r>
      <w:r>
        <w:rPr>
          <w:color w:val="231F20"/>
        </w:rPr>
        <w:t>and</w:t>
      </w:r>
      <w:r>
        <w:rPr>
          <w:color w:val="231F20"/>
          <w:w w:val="99"/>
        </w:rPr>
        <w:t> </w:t>
      </w:r>
      <w:r>
        <w:rPr>
          <w:color w:val="231F20"/>
        </w:rPr>
        <w:t>hygiene</w:t>
      </w:r>
      <w:r>
        <w:rPr>
          <w:color w:val="231F20"/>
          <w:spacing w:val="-5"/>
        </w:rPr>
        <w:t> </w:t>
      </w:r>
      <w:r>
        <w:rPr>
          <w:color w:val="231F20"/>
          <w:spacing w:val="-1"/>
        </w:rPr>
        <w:t>issues,</w:t>
      </w:r>
      <w:r>
        <w:rPr>
          <w:color w:val="231F20"/>
          <w:spacing w:val="-4"/>
        </w:rPr>
        <w:t> </w:t>
      </w:r>
      <w:r>
        <w:rPr>
          <w:color w:val="231F20"/>
          <w:spacing w:val="-1"/>
        </w:rPr>
        <w:t>low</w:t>
      </w:r>
      <w:r>
        <w:rPr>
          <w:color w:val="231F20"/>
          <w:spacing w:val="-3"/>
        </w:rPr>
        <w:t> </w:t>
      </w:r>
      <w:r>
        <w:rPr>
          <w:color w:val="231F20"/>
          <w:spacing w:val="-1"/>
        </w:rPr>
        <w:t>levels</w:t>
      </w:r>
      <w:r>
        <w:rPr>
          <w:color w:val="231F20"/>
          <w:spacing w:val="-4"/>
        </w:rPr>
        <w:t> </w:t>
      </w:r>
      <w:r>
        <w:rPr>
          <w:color w:val="231F20"/>
        </w:rPr>
        <w:t>of</w:t>
      </w:r>
      <w:r>
        <w:rPr>
          <w:color w:val="231F20"/>
          <w:spacing w:val="-3"/>
        </w:rPr>
        <w:t> </w:t>
      </w:r>
      <w:r>
        <w:rPr>
          <w:color w:val="231F20"/>
          <w:spacing w:val="-1"/>
        </w:rPr>
        <w:t>literacy</w:t>
      </w:r>
      <w:r>
        <w:rPr>
          <w:color w:val="231F20"/>
          <w:spacing w:val="-4"/>
        </w:rPr>
        <w:t> </w:t>
      </w:r>
      <w:r>
        <w:rPr>
          <w:color w:val="231F20"/>
        </w:rPr>
        <w:t>and</w:t>
      </w:r>
      <w:r>
        <w:rPr>
          <w:color w:val="231F20"/>
          <w:spacing w:val="25"/>
          <w:w w:val="99"/>
        </w:rPr>
        <w:t> </w:t>
      </w:r>
      <w:r>
        <w:rPr>
          <w:color w:val="231F20"/>
        </w:rPr>
        <w:t>numeracy,</w:t>
      </w:r>
      <w:r>
        <w:rPr>
          <w:color w:val="231F20"/>
          <w:spacing w:val="-13"/>
        </w:rPr>
        <w:t> </w:t>
      </w:r>
      <w:r>
        <w:rPr>
          <w:color w:val="231F20"/>
        </w:rPr>
        <w:t>undiagnosed</w:t>
      </w:r>
      <w:r>
        <w:rPr>
          <w:color w:val="231F20"/>
          <w:spacing w:val="-12"/>
        </w:rPr>
        <w:t> </w:t>
      </w:r>
      <w:r>
        <w:rPr>
          <w:color w:val="231F20"/>
        </w:rPr>
        <w:t>and</w:t>
      </w:r>
      <w:r>
        <w:rPr>
          <w:color w:val="231F20"/>
          <w:spacing w:val="-12"/>
        </w:rPr>
        <w:t> </w:t>
      </w:r>
      <w:r>
        <w:rPr>
          <w:color w:val="231F20"/>
        </w:rPr>
        <w:t>diagnosed</w:t>
      </w:r>
      <w:r>
        <w:rPr>
          <w:color w:val="231F20"/>
          <w:w w:val="99"/>
        </w:rPr>
        <w:t> </w:t>
      </w:r>
      <w:r>
        <w:rPr>
          <w:color w:val="231F20"/>
        </w:rPr>
        <w:t>disabilities,</w:t>
      </w:r>
      <w:r>
        <w:rPr>
          <w:color w:val="231F20"/>
          <w:spacing w:val="-8"/>
        </w:rPr>
        <w:t> </w:t>
      </w:r>
      <w:r>
        <w:rPr>
          <w:color w:val="231F20"/>
          <w:spacing w:val="-1"/>
        </w:rPr>
        <w:t>maintenance</w:t>
      </w:r>
      <w:r>
        <w:rPr>
          <w:color w:val="231F20"/>
          <w:spacing w:val="-6"/>
        </w:rPr>
        <w:t> </w:t>
      </w:r>
      <w:r>
        <w:rPr>
          <w:color w:val="231F20"/>
        </w:rPr>
        <w:t>of</w:t>
      </w:r>
      <w:r>
        <w:rPr>
          <w:color w:val="231F20"/>
          <w:spacing w:val="-7"/>
        </w:rPr>
        <w:t> </w:t>
      </w:r>
      <w:r>
        <w:rPr>
          <w:color w:val="231F20"/>
        </w:rPr>
        <w:t>connection</w:t>
      </w:r>
      <w:r>
        <w:rPr>
          <w:color w:val="231F20"/>
          <w:spacing w:val="-7"/>
        </w:rPr>
        <w:t> </w:t>
      </w:r>
      <w:r>
        <w:rPr>
          <w:color w:val="231F20"/>
        </w:rPr>
        <w:t>with</w:t>
      </w:r>
      <w:r>
        <w:rPr>
          <w:color w:val="231F20"/>
          <w:spacing w:val="22"/>
          <w:w w:val="99"/>
        </w:rPr>
        <w:t> </w:t>
      </w:r>
      <w:r>
        <w:rPr>
          <w:color w:val="231F20"/>
        </w:rPr>
        <w:t>culture</w:t>
      </w:r>
      <w:r>
        <w:rPr>
          <w:color w:val="231F20"/>
          <w:spacing w:val="-8"/>
        </w:rPr>
        <w:t> </w:t>
      </w:r>
      <w:r>
        <w:rPr>
          <w:color w:val="231F20"/>
        </w:rPr>
        <w:t>and</w:t>
      </w:r>
      <w:r>
        <w:rPr>
          <w:color w:val="231F20"/>
          <w:spacing w:val="-8"/>
        </w:rPr>
        <w:t> </w:t>
      </w:r>
      <w:r>
        <w:rPr>
          <w:color w:val="231F20"/>
        </w:rPr>
        <w:t>community,</w:t>
      </w:r>
      <w:r>
        <w:rPr>
          <w:color w:val="231F20"/>
          <w:spacing w:val="-8"/>
        </w:rPr>
        <w:t> </w:t>
      </w:r>
      <w:r>
        <w:rPr>
          <w:color w:val="231F20"/>
        </w:rPr>
        <w:t>trauma</w:t>
      </w:r>
      <w:r>
        <w:rPr>
          <w:color w:val="231F20"/>
          <w:spacing w:val="-8"/>
        </w:rPr>
        <w:t> </w:t>
      </w:r>
      <w:r>
        <w:rPr>
          <w:color w:val="231F20"/>
        </w:rPr>
        <w:t>backgrounds</w:t>
      </w:r>
      <w:r>
        <w:rPr>
          <w:color w:val="231F20"/>
          <w:w w:val="99"/>
        </w:rPr>
        <w:t> </w:t>
      </w:r>
      <w:r>
        <w:rPr>
          <w:color w:val="231F20"/>
        </w:rPr>
        <w:t>and</w:t>
      </w:r>
      <w:r>
        <w:rPr>
          <w:color w:val="231F20"/>
          <w:spacing w:val="-5"/>
        </w:rPr>
        <w:t> </w:t>
      </w:r>
      <w:r>
        <w:rPr>
          <w:color w:val="231F20"/>
        </w:rPr>
        <w:t>homesickness.</w:t>
      </w:r>
      <w:r>
        <w:rPr/>
      </w:r>
    </w:p>
    <w:p>
      <w:pPr>
        <w:pStyle w:val="BodyText"/>
        <w:spacing w:line="250" w:lineRule="exact" w:before="113"/>
        <w:ind w:right="0"/>
        <w:jc w:val="left"/>
      </w:pPr>
      <w:r>
        <w:rPr>
          <w:color w:val="231F20"/>
        </w:rPr>
        <w:t>Many</w:t>
      </w:r>
      <w:r>
        <w:rPr>
          <w:color w:val="231F20"/>
          <w:spacing w:val="-4"/>
        </w:rPr>
        <w:t> </w:t>
      </w:r>
      <w:r>
        <w:rPr>
          <w:color w:val="231F20"/>
        </w:rPr>
        <w:t>examples</w:t>
      </w:r>
      <w:r>
        <w:rPr>
          <w:color w:val="231F20"/>
          <w:spacing w:val="-5"/>
        </w:rPr>
        <w:t> </w:t>
      </w:r>
      <w:r>
        <w:rPr>
          <w:color w:val="231F20"/>
        </w:rPr>
        <w:t>were</w:t>
      </w:r>
      <w:r>
        <w:rPr>
          <w:color w:val="231F20"/>
          <w:spacing w:val="-5"/>
        </w:rPr>
        <w:t> </w:t>
      </w:r>
      <w:r>
        <w:rPr>
          <w:color w:val="231F20"/>
        </w:rPr>
        <w:t>provided</w:t>
      </w:r>
      <w:r>
        <w:rPr>
          <w:color w:val="231F20"/>
          <w:spacing w:val="-5"/>
        </w:rPr>
        <w:t> </w:t>
      </w:r>
      <w:r>
        <w:rPr>
          <w:color w:val="231F20"/>
        </w:rPr>
        <w:t>of</w:t>
      </w:r>
      <w:r>
        <w:rPr>
          <w:color w:val="231F20"/>
          <w:spacing w:val="-3"/>
        </w:rPr>
        <w:t> </w:t>
      </w:r>
      <w:r>
        <w:rPr>
          <w:color w:val="231F20"/>
          <w:spacing w:val="-1"/>
        </w:rPr>
        <w:t>successful</w:t>
      </w:r>
      <w:r>
        <w:rPr>
          <w:color w:val="231F20"/>
          <w:spacing w:val="20"/>
        </w:rPr>
        <w:t> </w:t>
      </w:r>
      <w:r>
        <w:rPr>
          <w:color w:val="231F20"/>
          <w:spacing w:val="-1"/>
        </w:rPr>
        <w:t>support</w:t>
      </w:r>
      <w:r>
        <w:rPr>
          <w:color w:val="231F20"/>
          <w:spacing w:val="-4"/>
        </w:rPr>
        <w:t> </w:t>
      </w:r>
      <w:r>
        <w:rPr>
          <w:color w:val="231F20"/>
          <w:spacing w:val="-1"/>
        </w:rPr>
        <w:t>services</w:t>
      </w:r>
      <w:r>
        <w:rPr>
          <w:color w:val="231F20"/>
          <w:spacing w:val="-4"/>
        </w:rPr>
        <w:t> </w:t>
      </w:r>
      <w:r>
        <w:rPr>
          <w:color w:val="231F20"/>
        </w:rPr>
        <w:t>for</w:t>
      </w:r>
      <w:r>
        <w:rPr>
          <w:color w:val="231F20"/>
          <w:spacing w:val="-4"/>
        </w:rPr>
        <w:t> </w:t>
      </w:r>
      <w:r>
        <w:rPr>
          <w:color w:val="231F20"/>
        </w:rPr>
        <w:t>boarding</w:t>
      </w:r>
      <w:r>
        <w:rPr>
          <w:color w:val="231F20"/>
          <w:spacing w:val="-5"/>
        </w:rPr>
        <w:t> </w:t>
      </w:r>
      <w:r>
        <w:rPr>
          <w:color w:val="231F20"/>
          <w:spacing w:val="-1"/>
        </w:rPr>
        <w:t>students</w:t>
      </w:r>
      <w:r>
        <w:rPr>
          <w:color w:val="231F20"/>
          <w:spacing w:val="-4"/>
        </w:rPr>
        <w:t> </w:t>
      </w:r>
      <w:r>
        <w:rPr>
          <w:color w:val="231F20"/>
        </w:rPr>
        <w:t>but</w:t>
      </w:r>
      <w:r>
        <w:rPr>
          <w:color w:val="231F20"/>
          <w:spacing w:val="-5"/>
        </w:rPr>
        <w:t> </w:t>
      </w:r>
      <w:r>
        <w:rPr>
          <w:color w:val="231F20"/>
        </w:rPr>
        <w:t>the</w:t>
      </w:r>
      <w:r>
        <w:rPr>
          <w:color w:val="231F20"/>
          <w:spacing w:val="24"/>
          <w:w w:val="99"/>
        </w:rPr>
        <w:t> </w:t>
      </w:r>
      <w:r>
        <w:rPr>
          <w:color w:val="231F20"/>
        </w:rPr>
        <w:t>extent</w:t>
      </w:r>
      <w:r>
        <w:rPr>
          <w:color w:val="231F20"/>
          <w:spacing w:val="-4"/>
        </w:rPr>
        <w:t> </w:t>
      </w:r>
      <w:r>
        <w:rPr>
          <w:color w:val="231F20"/>
        </w:rPr>
        <w:t>and</w:t>
      </w:r>
      <w:r>
        <w:rPr>
          <w:color w:val="231F20"/>
          <w:spacing w:val="-4"/>
        </w:rPr>
        <w:t> </w:t>
      </w:r>
      <w:r>
        <w:rPr>
          <w:color w:val="231F20"/>
          <w:spacing w:val="-1"/>
        </w:rPr>
        <w:t>level</w:t>
      </w:r>
      <w:r>
        <w:rPr>
          <w:color w:val="231F20"/>
          <w:spacing w:val="-4"/>
        </w:rPr>
        <w:t> </w:t>
      </w:r>
      <w:r>
        <w:rPr>
          <w:color w:val="231F20"/>
        </w:rPr>
        <w:t>of</w:t>
      </w:r>
      <w:r>
        <w:rPr>
          <w:color w:val="231F20"/>
          <w:spacing w:val="-3"/>
        </w:rPr>
        <w:t> </w:t>
      </w:r>
      <w:r>
        <w:rPr>
          <w:color w:val="231F20"/>
        </w:rPr>
        <w:t>the</w:t>
      </w:r>
      <w:r>
        <w:rPr>
          <w:color w:val="231F20"/>
          <w:spacing w:val="-4"/>
        </w:rPr>
        <w:t> </w:t>
      </w:r>
      <w:r>
        <w:rPr>
          <w:color w:val="231F20"/>
          <w:spacing w:val="-1"/>
        </w:rPr>
        <w:t>services</w:t>
      </w:r>
      <w:r>
        <w:rPr>
          <w:color w:val="231F20"/>
          <w:spacing w:val="-4"/>
        </w:rPr>
        <w:t> </w:t>
      </w:r>
      <w:r>
        <w:rPr>
          <w:color w:val="231F20"/>
        </w:rPr>
        <w:t>varied</w:t>
      </w:r>
      <w:r>
        <w:rPr>
          <w:color w:val="231F20"/>
          <w:spacing w:val="-3"/>
        </w:rPr>
        <w:t> </w:t>
      </w:r>
      <w:r>
        <w:rPr>
          <w:color w:val="231F20"/>
        </w:rPr>
        <w:t>across</w:t>
      </w:r>
      <w:r>
        <w:rPr>
          <w:color w:val="231F20"/>
          <w:spacing w:val="-5"/>
        </w:rPr>
        <w:t> </w:t>
      </w:r>
      <w:r>
        <w:rPr>
          <w:color w:val="231F20"/>
        </w:rPr>
        <w:t>the</w:t>
      </w:r>
      <w:r>
        <w:rPr>
          <w:color w:val="231F20"/>
          <w:spacing w:val="23"/>
          <w:w w:val="99"/>
        </w:rPr>
        <w:t> </w:t>
      </w:r>
      <w:r>
        <w:rPr>
          <w:color w:val="231F20"/>
        </w:rPr>
        <w:t>boarding</w:t>
      </w:r>
      <w:r>
        <w:rPr>
          <w:color w:val="231F20"/>
          <w:spacing w:val="-8"/>
        </w:rPr>
        <w:t> </w:t>
      </w:r>
      <w:r>
        <w:rPr>
          <w:color w:val="231F20"/>
        </w:rPr>
        <w:t>providers</w:t>
      </w:r>
      <w:r>
        <w:rPr>
          <w:color w:val="231F20"/>
          <w:spacing w:val="-7"/>
        </w:rPr>
        <w:t> </w:t>
      </w:r>
      <w:r>
        <w:rPr>
          <w:color w:val="231F20"/>
        </w:rPr>
        <w:t>and</w:t>
      </w:r>
      <w:r>
        <w:rPr>
          <w:color w:val="231F20"/>
          <w:spacing w:val="-8"/>
        </w:rPr>
        <w:t> </w:t>
      </w:r>
      <w:r>
        <w:rPr>
          <w:color w:val="231F20"/>
        </w:rPr>
        <w:t>very</w:t>
      </w:r>
      <w:r>
        <w:rPr>
          <w:color w:val="231F20"/>
          <w:spacing w:val="-6"/>
        </w:rPr>
        <w:t> </w:t>
      </w:r>
      <w:r>
        <w:rPr>
          <w:color w:val="231F20"/>
        </w:rPr>
        <w:t>few</w:t>
      </w:r>
      <w:r>
        <w:rPr>
          <w:color w:val="231F20"/>
          <w:spacing w:val="-7"/>
        </w:rPr>
        <w:t> </w:t>
      </w:r>
      <w:r>
        <w:rPr>
          <w:color w:val="231F20"/>
        </w:rPr>
        <w:t>providers</w:t>
      </w:r>
      <w:r>
        <w:rPr>
          <w:color w:val="231F20"/>
          <w:spacing w:val="-7"/>
        </w:rPr>
        <w:t> </w:t>
      </w:r>
      <w:r>
        <w:rPr>
          <w:color w:val="231F20"/>
          <w:spacing w:val="-1"/>
        </w:rPr>
        <w:t>kept</w:t>
      </w:r>
      <w:r>
        <w:rPr>
          <w:color w:val="231F20"/>
          <w:spacing w:val="19"/>
          <w:w w:val="99"/>
        </w:rPr>
        <w:t> </w:t>
      </w:r>
      <w:r>
        <w:rPr>
          <w:color w:val="231F20"/>
        </w:rPr>
        <w:t>accurate</w:t>
      </w:r>
      <w:r>
        <w:rPr>
          <w:color w:val="231F20"/>
          <w:spacing w:val="-7"/>
        </w:rPr>
        <w:t> </w:t>
      </w:r>
      <w:r>
        <w:rPr>
          <w:color w:val="231F20"/>
        </w:rPr>
        <w:t>and</w:t>
      </w:r>
      <w:r>
        <w:rPr>
          <w:color w:val="231F20"/>
          <w:spacing w:val="-6"/>
        </w:rPr>
        <w:t> </w:t>
      </w:r>
      <w:r>
        <w:rPr>
          <w:color w:val="231F20"/>
        </w:rPr>
        <w:t>reliable</w:t>
      </w:r>
      <w:r>
        <w:rPr>
          <w:color w:val="231F20"/>
          <w:spacing w:val="-7"/>
        </w:rPr>
        <w:t> </w:t>
      </w:r>
      <w:r>
        <w:rPr>
          <w:color w:val="231F20"/>
        </w:rPr>
        <w:t>data</w:t>
      </w:r>
      <w:r>
        <w:rPr>
          <w:color w:val="231F20"/>
          <w:spacing w:val="-6"/>
        </w:rPr>
        <w:t> </w:t>
      </w:r>
      <w:r>
        <w:rPr>
          <w:color w:val="231F20"/>
        </w:rPr>
        <w:t>relating</w:t>
      </w:r>
      <w:r>
        <w:rPr>
          <w:color w:val="231F20"/>
          <w:spacing w:val="-6"/>
        </w:rPr>
        <w:t> </w:t>
      </w:r>
      <w:r>
        <w:rPr>
          <w:color w:val="231F20"/>
        </w:rPr>
        <w:t>to</w:t>
      </w:r>
      <w:r>
        <w:rPr>
          <w:color w:val="231F20"/>
          <w:spacing w:val="-6"/>
        </w:rPr>
        <w:t> </w:t>
      </w:r>
      <w:r>
        <w:rPr>
          <w:color w:val="231F20"/>
        </w:rPr>
        <w:t>the</w:t>
      </w:r>
      <w:r>
        <w:rPr>
          <w:color w:val="231F20"/>
          <w:spacing w:val="-6"/>
        </w:rPr>
        <w:t> </w:t>
      </w:r>
      <w:r>
        <w:rPr>
          <w:color w:val="231F20"/>
        </w:rPr>
        <w:t>actual</w:t>
      </w:r>
      <w:r>
        <w:rPr>
          <w:color w:val="231F20"/>
          <w:w w:val="99"/>
        </w:rPr>
        <w:t> </w:t>
      </w:r>
      <w:r>
        <w:rPr>
          <w:color w:val="231F20"/>
        </w:rPr>
        <w:t>cost</w:t>
      </w:r>
      <w:r>
        <w:rPr>
          <w:color w:val="231F20"/>
          <w:spacing w:val="-4"/>
        </w:rPr>
        <w:t> </w:t>
      </w:r>
      <w:r>
        <w:rPr>
          <w:color w:val="231F20"/>
        </w:rPr>
        <w:t>(direct</w:t>
      </w:r>
      <w:r>
        <w:rPr>
          <w:color w:val="231F20"/>
          <w:spacing w:val="-4"/>
        </w:rPr>
        <w:t> </w:t>
      </w:r>
      <w:r>
        <w:rPr>
          <w:color w:val="231F20"/>
        </w:rPr>
        <w:t>and</w:t>
      </w:r>
      <w:r>
        <w:rPr>
          <w:color w:val="231F20"/>
          <w:spacing w:val="-4"/>
        </w:rPr>
        <w:t> </w:t>
      </w:r>
      <w:r>
        <w:rPr>
          <w:color w:val="231F20"/>
          <w:spacing w:val="-1"/>
        </w:rPr>
        <w:t>indirect)</w:t>
      </w:r>
      <w:r>
        <w:rPr>
          <w:color w:val="231F20"/>
          <w:spacing w:val="-4"/>
        </w:rPr>
        <w:t> </w:t>
      </w:r>
      <w:r>
        <w:rPr>
          <w:color w:val="231F20"/>
        </w:rPr>
        <w:t>of</w:t>
      </w:r>
      <w:r>
        <w:rPr>
          <w:color w:val="231F20"/>
          <w:spacing w:val="-3"/>
        </w:rPr>
        <w:t> </w:t>
      </w:r>
      <w:r>
        <w:rPr>
          <w:color w:val="231F20"/>
        </w:rPr>
        <w:t>these</w:t>
      </w:r>
      <w:r>
        <w:rPr>
          <w:color w:val="231F20"/>
          <w:spacing w:val="-4"/>
        </w:rPr>
        <w:t> </w:t>
      </w:r>
      <w:r>
        <w:rPr>
          <w:color w:val="231F20"/>
          <w:spacing w:val="-1"/>
        </w:rPr>
        <w:t>services.</w:t>
      </w:r>
      <w:r>
        <w:rPr>
          <w:color w:val="231F20"/>
          <w:spacing w:val="-2"/>
        </w:rPr>
        <w:t> </w:t>
      </w:r>
      <w:r>
        <w:rPr>
          <w:color w:val="231F20"/>
        </w:rPr>
        <w:t>The</w:t>
      </w:r>
      <w:r>
        <w:rPr>
          <w:color w:val="231F20"/>
          <w:spacing w:val="23"/>
          <w:w w:val="99"/>
        </w:rPr>
        <w:t> </w:t>
      </w:r>
      <w:r>
        <w:rPr>
          <w:color w:val="231F20"/>
        </w:rPr>
        <w:t>variance</w:t>
      </w:r>
      <w:r>
        <w:rPr>
          <w:color w:val="231F20"/>
          <w:spacing w:val="-4"/>
        </w:rPr>
        <w:t> </w:t>
      </w:r>
      <w:r>
        <w:rPr>
          <w:color w:val="231F20"/>
          <w:spacing w:val="-1"/>
        </w:rPr>
        <w:t>in</w:t>
      </w:r>
      <w:r>
        <w:rPr>
          <w:color w:val="231F20"/>
          <w:spacing w:val="-4"/>
        </w:rPr>
        <w:t> </w:t>
      </w:r>
      <w:r>
        <w:rPr>
          <w:color w:val="231F20"/>
          <w:spacing w:val="-1"/>
        </w:rPr>
        <w:t>support</w:t>
      </w:r>
      <w:r>
        <w:rPr>
          <w:color w:val="231F20"/>
          <w:spacing w:val="-4"/>
        </w:rPr>
        <w:t> </w:t>
      </w:r>
      <w:r>
        <w:rPr>
          <w:color w:val="231F20"/>
          <w:spacing w:val="-1"/>
        </w:rPr>
        <w:t>services</w:t>
      </w:r>
      <w:r>
        <w:rPr>
          <w:color w:val="231F20"/>
          <w:spacing w:val="-4"/>
        </w:rPr>
        <w:t> </w:t>
      </w:r>
      <w:r>
        <w:rPr>
          <w:color w:val="231F20"/>
          <w:spacing w:val="-1"/>
        </w:rPr>
        <w:t>is</w:t>
      </w:r>
      <w:r>
        <w:rPr>
          <w:color w:val="231F20"/>
          <w:spacing w:val="-5"/>
        </w:rPr>
        <w:t> </w:t>
      </w:r>
      <w:r>
        <w:rPr>
          <w:color w:val="231F20"/>
        </w:rPr>
        <w:t>explained</w:t>
      </w:r>
      <w:r>
        <w:rPr>
          <w:color w:val="231F20"/>
          <w:spacing w:val="-5"/>
        </w:rPr>
        <w:t> </w:t>
      </w:r>
      <w:r>
        <w:rPr>
          <w:color w:val="231F20"/>
        </w:rPr>
        <w:t>by</w:t>
      </w:r>
      <w:r>
        <w:rPr>
          <w:color w:val="231F20"/>
          <w:spacing w:val="-4"/>
        </w:rPr>
        <w:t> </w:t>
      </w:r>
      <w:r>
        <w:rPr>
          <w:color w:val="231F20"/>
        </w:rPr>
        <w:t>the</w:t>
      </w:r>
      <w:r>
        <w:rPr>
          <w:color w:val="231F20"/>
          <w:spacing w:val="25"/>
          <w:w w:val="99"/>
        </w:rPr>
        <w:t> </w:t>
      </w:r>
      <w:r>
        <w:rPr>
          <w:color w:val="231F20"/>
        </w:rPr>
        <w:t>need</w:t>
      </w:r>
      <w:r>
        <w:rPr>
          <w:color w:val="231F20"/>
          <w:spacing w:val="-5"/>
        </w:rPr>
        <w:t> </w:t>
      </w:r>
      <w:r>
        <w:rPr>
          <w:color w:val="231F20"/>
        </w:rPr>
        <w:t>to</w:t>
      </w:r>
      <w:r>
        <w:rPr>
          <w:color w:val="231F20"/>
          <w:spacing w:val="-5"/>
        </w:rPr>
        <w:t> </w:t>
      </w:r>
      <w:r>
        <w:rPr>
          <w:color w:val="231F20"/>
        </w:rPr>
        <w:t>develop</w:t>
      </w:r>
      <w:r>
        <w:rPr>
          <w:color w:val="231F20"/>
          <w:spacing w:val="-5"/>
        </w:rPr>
        <w:t> </w:t>
      </w:r>
      <w:r>
        <w:rPr>
          <w:color w:val="231F20"/>
          <w:spacing w:val="-1"/>
        </w:rPr>
        <w:t>individualised</w:t>
      </w:r>
      <w:r>
        <w:rPr>
          <w:color w:val="231F20"/>
          <w:spacing w:val="-4"/>
        </w:rPr>
        <w:t> </w:t>
      </w:r>
      <w:r>
        <w:rPr>
          <w:color w:val="231F20"/>
          <w:spacing w:val="-1"/>
        </w:rPr>
        <w:t>support</w:t>
      </w:r>
      <w:r>
        <w:rPr>
          <w:color w:val="231F20"/>
          <w:spacing w:val="-4"/>
        </w:rPr>
        <w:t> </w:t>
      </w:r>
      <w:r>
        <w:rPr>
          <w:color w:val="231F20"/>
          <w:spacing w:val="-1"/>
        </w:rPr>
        <w:t>services</w:t>
      </w:r>
      <w:r>
        <w:rPr>
          <w:color w:val="231F20"/>
          <w:spacing w:val="22"/>
        </w:rPr>
        <w:t> </w:t>
      </w:r>
      <w:r>
        <w:rPr>
          <w:color w:val="231F20"/>
          <w:spacing w:val="-1"/>
        </w:rPr>
        <w:t>suited</w:t>
      </w:r>
      <w:r>
        <w:rPr>
          <w:color w:val="231F20"/>
          <w:spacing w:val="-4"/>
        </w:rPr>
        <w:t> </w:t>
      </w:r>
      <w:r>
        <w:rPr>
          <w:color w:val="231F20"/>
        </w:rPr>
        <w:t>to</w:t>
      </w:r>
      <w:r>
        <w:rPr>
          <w:color w:val="231F20"/>
          <w:spacing w:val="-4"/>
        </w:rPr>
        <w:t> </w:t>
      </w:r>
      <w:r>
        <w:rPr>
          <w:color w:val="231F20"/>
        </w:rPr>
        <w:t>the</w:t>
      </w:r>
      <w:r>
        <w:rPr>
          <w:color w:val="231F20"/>
          <w:spacing w:val="-4"/>
        </w:rPr>
        <w:t> </w:t>
      </w:r>
      <w:r>
        <w:rPr>
          <w:color w:val="231F20"/>
        </w:rPr>
        <w:t>needs</w:t>
      </w:r>
      <w:r>
        <w:rPr>
          <w:color w:val="231F20"/>
          <w:spacing w:val="-5"/>
        </w:rPr>
        <w:t> </w:t>
      </w:r>
      <w:r>
        <w:rPr>
          <w:color w:val="231F20"/>
        </w:rPr>
        <w:t>of</w:t>
      </w:r>
      <w:r>
        <w:rPr>
          <w:color w:val="231F20"/>
          <w:spacing w:val="-3"/>
        </w:rPr>
        <w:t> </w:t>
      </w:r>
      <w:r>
        <w:rPr>
          <w:color w:val="231F20"/>
        </w:rPr>
        <w:t>particular</w:t>
      </w:r>
      <w:r>
        <w:rPr>
          <w:color w:val="231F20"/>
          <w:spacing w:val="-5"/>
        </w:rPr>
        <w:t> </w:t>
      </w:r>
      <w:r>
        <w:rPr>
          <w:color w:val="231F20"/>
        </w:rPr>
        <w:t>cohorts</w:t>
      </w:r>
      <w:r>
        <w:rPr/>
      </w:r>
    </w:p>
    <w:p>
      <w:pPr>
        <w:pStyle w:val="BodyText"/>
        <w:spacing w:line="250" w:lineRule="exact"/>
        <w:ind w:right="186"/>
        <w:jc w:val="left"/>
        <w:rPr>
          <w:rFonts w:ascii="Segoe UI" w:hAnsi="Segoe UI" w:cs="Segoe UI" w:eastAsia="Segoe UI"/>
        </w:rPr>
      </w:pPr>
      <w:r>
        <w:rPr>
          <w:color w:val="231F20"/>
        </w:rPr>
        <w:t>of</w:t>
      </w:r>
      <w:r>
        <w:rPr>
          <w:color w:val="231F20"/>
          <w:spacing w:val="-5"/>
        </w:rPr>
        <w:t> </w:t>
      </w:r>
      <w:r>
        <w:rPr>
          <w:color w:val="231F20"/>
        </w:rPr>
        <w:t>boarders.</w:t>
      </w:r>
      <w:r>
        <w:rPr>
          <w:color w:val="231F20"/>
          <w:spacing w:val="-5"/>
        </w:rPr>
        <w:t> </w:t>
      </w:r>
      <w:r>
        <w:rPr>
          <w:color w:val="231F20"/>
        </w:rPr>
        <w:t>The</w:t>
      </w:r>
      <w:r>
        <w:rPr>
          <w:color w:val="231F20"/>
          <w:spacing w:val="-4"/>
        </w:rPr>
        <w:t> </w:t>
      </w:r>
      <w:r>
        <w:rPr>
          <w:color w:val="231F20"/>
        </w:rPr>
        <w:t>cost</w:t>
      </w:r>
      <w:r>
        <w:rPr>
          <w:color w:val="231F20"/>
          <w:spacing w:val="-5"/>
        </w:rPr>
        <w:t> </w:t>
      </w:r>
      <w:r>
        <w:rPr>
          <w:color w:val="231F20"/>
        </w:rPr>
        <w:t>of</w:t>
      </w:r>
      <w:r>
        <w:rPr>
          <w:color w:val="231F20"/>
          <w:spacing w:val="-4"/>
        </w:rPr>
        <w:t> </w:t>
      </w:r>
      <w:r>
        <w:rPr>
          <w:color w:val="231F20"/>
        </w:rPr>
        <w:t>addressing</w:t>
      </w:r>
      <w:r>
        <w:rPr>
          <w:color w:val="231F20"/>
          <w:spacing w:val="-5"/>
        </w:rPr>
        <w:t> </w:t>
      </w:r>
      <w:r>
        <w:rPr>
          <w:color w:val="231F20"/>
        </w:rPr>
        <w:t>these</w:t>
      </w:r>
      <w:r>
        <w:rPr>
          <w:color w:val="231F20"/>
        </w:rPr>
        <w:t> </w:t>
      </w:r>
      <w:r>
        <w:rPr>
          <w:rFonts w:ascii="Segoe UI"/>
          <w:color w:val="231F20"/>
        </w:rPr>
        <w:t>determinants is not readily quantifiable but is</w:t>
      </w:r>
      <w:r>
        <w:rPr>
          <w:rFonts w:ascii="Segoe UI"/>
          <w:color w:val="231F20"/>
        </w:rPr>
        <w:t> significant and not always funded.</w:t>
      </w:r>
      <w:r>
        <w:rPr>
          <w:rFonts w:ascii="Segoe UI"/>
        </w:rPr>
      </w:r>
    </w:p>
    <w:p>
      <w:pPr>
        <w:pStyle w:val="BodyText"/>
        <w:spacing w:line="250" w:lineRule="exact" w:before="113"/>
        <w:ind w:right="186"/>
        <w:jc w:val="left"/>
      </w:pPr>
      <w:r>
        <w:rPr>
          <w:color w:val="231F20"/>
        </w:rPr>
        <w:t>There</w:t>
      </w:r>
      <w:r>
        <w:rPr>
          <w:color w:val="231F20"/>
          <w:spacing w:val="-4"/>
        </w:rPr>
        <w:t> </w:t>
      </w:r>
      <w:r>
        <w:rPr>
          <w:color w:val="231F20"/>
        </w:rPr>
        <w:t>were</w:t>
      </w:r>
      <w:r>
        <w:rPr>
          <w:color w:val="231F20"/>
          <w:spacing w:val="-5"/>
        </w:rPr>
        <w:t> </w:t>
      </w:r>
      <w:r>
        <w:rPr>
          <w:color w:val="231F20"/>
          <w:spacing w:val="-1"/>
        </w:rPr>
        <w:t>some</w:t>
      </w:r>
      <w:r>
        <w:rPr>
          <w:color w:val="231F20"/>
          <w:spacing w:val="-4"/>
        </w:rPr>
        <w:t> </w:t>
      </w:r>
      <w:r>
        <w:rPr>
          <w:color w:val="231F20"/>
        </w:rPr>
        <w:t>common</w:t>
      </w:r>
      <w:r>
        <w:rPr>
          <w:color w:val="231F20"/>
          <w:spacing w:val="-4"/>
        </w:rPr>
        <w:t> </w:t>
      </w:r>
      <w:r>
        <w:rPr>
          <w:color w:val="231F20"/>
        </w:rPr>
        <w:t>themes</w:t>
      </w:r>
      <w:r>
        <w:rPr>
          <w:color w:val="231F20"/>
          <w:spacing w:val="-5"/>
        </w:rPr>
        <w:t> </w:t>
      </w:r>
      <w:r>
        <w:rPr>
          <w:color w:val="231F20"/>
        </w:rPr>
        <w:t>underlying</w:t>
      </w:r>
      <w:r>
        <w:rPr>
          <w:color w:val="231F20"/>
          <w:spacing w:val="21"/>
          <w:w w:val="99"/>
        </w:rPr>
        <w:t> </w:t>
      </w:r>
      <w:r>
        <w:rPr>
          <w:color w:val="231F20"/>
        </w:rPr>
        <w:t>the</w:t>
      </w:r>
      <w:r>
        <w:rPr>
          <w:color w:val="231F20"/>
          <w:spacing w:val="-4"/>
        </w:rPr>
        <w:t> </w:t>
      </w:r>
      <w:r>
        <w:rPr>
          <w:color w:val="231F20"/>
          <w:spacing w:val="-1"/>
        </w:rPr>
        <w:t>investment</w:t>
      </w:r>
      <w:r>
        <w:rPr>
          <w:color w:val="231F20"/>
          <w:spacing w:val="-2"/>
        </w:rPr>
        <w:t> </w:t>
      </w:r>
      <w:r>
        <w:rPr>
          <w:color w:val="231F20"/>
          <w:spacing w:val="-1"/>
        </w:rPr>
        <w:t>in</w:t>
      </w:r>
      <w:r>
        <w:rPr>
          <w:color w:val="231F20"/>
          <w:spacing w:val="-3"/>
        </w:rPr>
        <w:t> </w:t>
      </w:r>
      <w:r>
        <w:rPr>
          <w:color w:val="231F20"/>
          <w:spacing w:val="-1"/>
        </w:rPr>
        <w:t>support</w:t>
      </w:r>
      <w:r>
        <w:rPr>
          <w:color w:val="231F20"/>
          <w:spacing w:val="-2"/>
        </w:rPr>
        <w:t> </w:t>
      </w:r>
      <w:r>
        <w:rPr>
          <w:color w:val="231F20"/>
          <w:spacing w:val="-1"/>
        </w:rPr>
        <w:t>services:</w:t>
      </w:r>
      <w:r>
        <w:rPr/>
      </w:r>
    </w:p>
    <w:p>
      <w:pPr>
        <w:pStyle w:val="BodyText"/>
        <w:spacing w:line="250" w:lineRule="exact" w:before="113"/>
        <w:ind w:left="344" w:right="55" w:hanging="227"/>
        <w:jc w:val="left"/>
      </w:pPr>
      <w:r>
        <w:rPr>
          <w:rFonts w:ascii="Century Gothic" w:hAnsi="Century Gothic"/>
          <w:color w:val="231F20"/>
        </w:rPr>
        <w:t>» </w:t>
      </w:r>
      <w:r>
        <w:rPr>
          <w:rFonts w:ascii="Century Gothic" w:hAnsi="Century Gothic"/>
          <w:color w:val="231F20"/>
          <w:spacing w:val="20"/>
        </w:rPr>
        <w:t> </w:t>
      </w:r>
      <w:r>
        <w:rPr>
          <w:color w:val="231F20"/>
        </w:rPr>
        <w:t>without</w:t>
      </w:r>
      <w:r>
        <w:rPr>
          <w:color w:val="231F20"/>
          <w:spacing w:val="-5"/>
        </w:rPr>
        <w:t> </w:t>
      </w:r>
      <w:r>
        <w:rPr>
          <w:color w:val="231F20"/>
        </w:rPr>
        <w:t>a</w:t>
      </w:r>
      <w:r>
        <w:rPr>
          <w:color w:val="231F20"/>
          <w:spacing w:val="-4"/>
        </w:rPr>
        <w:t> </w:t>
      </w:r>
      <w:r>
        <w:rPr>
          <w:color w:val="231F20"/>
        </w:rPr>
        <w:t>comprehensive</w:t>
      </w:r>
      <w:r>
        <w:rPr>
          <w:color w:val="231F20"/>
          <w:spacing w:val="-5"/>
        </w:rPr>
        <w:t> </w:t>
      </w:r>
      <w:r>
        <w:rPr>
          <w:color w:val="231F20"/>
          <w:spacing w:val="-1"/>
        </w:rPr>
        <w:t>suite</w:t>
      </w:r>
      <w:r>
        <w:rPr>
          <w:color w:val="231F20"/>
          <w:spacing w:val="-4"/>
        </w:rPr>
        <w:t> </w:t>
      </w:r>
      <w:r>
        <w:rPr>
          <w:color w:val="231F20"/>
        </w:rPr>
        <w:t>of</w:t>
      </w:r>
      <w:r>
        <w:rPr>
          <w:color w:val="231F20"/>
          <w:spacing w:val="-4"/>
        </w:rPr>
        <w:t> </w:t>
      </w:r>
      <w:r>
        <w:rPr>
          <w:color w:val="231F20"/>
        </w:rPr>
        <w:t>funded</w:t>
      </w:r>
      <w:r>
        <w:rPr>
          <w:color w:val="231F20"/>
          <w:spacing w:val="21"/>
          <w:w w:val="99"/>
        </w:rPr>
        <w:t> </w:t>
      </w:r>
      <w:r>
        <w:rPr>
          <w:color w:val="231F20"/>
          <w:spacing w:val="-1"/>
        </w:rPr>
        <w:t>support</w:t>
      </w:r>
      <w:r>
        <w:rPr>
          <w:color w:val="231F20"/>
          <w:spacing w:val="-5"/>
        </w:rPr>
        <w:t> </w:t>
      </w:r>
      <w:r>
        <w:rPr>
          <w:color w:val="231F20"/>
          <w:spacing w:val="-1"/>
        </w:rPr>
        <w:t>services</w:t>
      </w:r>
      <w:r>
        <w:rPr>
          <w:color w:val="231F20"/>
          <w:spacing w:val="-5"/>
        </w:rPr>
        <w:t> </w:t>
      </w:r>
      <w:r>
        <w:rPr>
          <w:color w:val="231F20"/>
          <w:spacing w:val="-1"/>
        </w:rPr>
        <w:t>many</w:t>
      </w:r>
      <w:r>
        <w:rPr>
          <w:color w:val="231F20"/>
          <w:spacing w:val="-5"/>
        </w:rPr>
        <w:t> </w:t>
      </w:r>
      <w:r>
        <w:rPr>
          <w:color w:val="231F20"/>
        </w:rPr>
        <w:t>Aboriginal</w:t>
      </w:r>
      <w:r>
        <w:rPr>
          <w:color w:val="231F20"/>
          <w:spacing w:val="-4"/>
        </w:rPr>
        <w:t> </w:t>
      </w:r>
      <w:r>
        <w:rPr>
          <w:color w:val="231F20"/>
        </w:rPr>
        <w:t>and</w:t>
      </w:r>
      <w:r>
        <w:rPr>
          <w:color w:val="231F20"/>
          <w:spacing w:val="-6"/>
        </w:rPr>
        <w:t> </w:t>
      </w:r>
      <w:r>
        <w:rPr>
          <w:color w:val="231F20"/>
          <w:spacing w:val="-5"/>
        </w:rPr>
        <w:t>Torres</w:t>
      </w:r>
      <w:r>
        <w:rPr>
          <w:color w:val="231F20"/>
          <w:spacing w:val="28"/>
          <w:w w:val="99"/>
        </w:rPr>
        <w:t> </w:t>
      </w:r>
      <w:r>
        <w:rPr>
          <w:color w:val="231F20"/>
          <w:spacing w:val="-2"/>
        </w:rPr>
        <w:t>Strait</w:t>
      </w:r>
      <w:r>
        <w:rPr>
          <w:color w:val="231F20"/>
          <w:spacing w:val="-5"/>
        </w:rPr>
        <w:t> </w:t>
      </w:r>
      <w:r>
        <w:rPr>
          <w:color w:val="231F20"/>
          <w:spacing w:val="-1"/>
        </w:rPr>
        <w:t>Islander</w:t>
      </w:r>
      <w:r>
        <w:rPr>
          <w:color w:val="231F20"/>
          <w:spacing w:val="-3"/>
        </w:rPr>
        <w:t> </w:t>
      </w:r>
      <w:r>
        <w:rPr>
          <w:color w:val="231F20"/>
          <w:spacing w:val="-1"/>
        </w:rPr>
        <w:t>students</w:t>
      </w:r>
      <w:r>
        <w:rPr>
          <w:color w:val="231F20"/>
          <w:spacing w:val="-4"/>
        </w:rPr>
        <w:t> </w:t>
      </w:r>
      <w:r>
        <w:rPr>
          <w:color w:val="231F20"/>
        </w:rPr>
        <w:t>will</w:t>
      </w:r>
      <w:r>
        <w:rPr>
          <w:color w:val="231F20"/>
          <w:spacing w:val="-4"/>
        </w:rPr>
        <w:t> </w:t>
      </w:r>
      <w:r>
        <w:rPr>
          <w:color w:val="231F20"/>
        </w:rPr>
        <w:t>not</w:t>
      </w:r>
      <w:r>
        <w:rPr>
          <w:color w:val="231F20"/>
          <w:spacing w:val="-4"/>
        </w:rPr>
        <w:t> </w:t>
      </w:r>
      <w:r>
        <w:rPr>
          <w:color w:val="231F20"/>
          <w:spacing w:val="-1"/>
        </w:rPr>
        <w:t>succeed</w:t>
      </w:r>
      <w:r>
        <w:rPr>
          <w:color w:val="231F20"/>
          <w:spacing w:val="-3"/>
        </w:rPr>
        <w:t> </w:t>
      </w:r>
      <w:r>
        <w:rPr>
          <w:color w:val="231F20"/>
          <w:spacing w:val="-1"/>
        </w:rPr>
        <w:t>in</w:t>
      </w:r>
      <w:r>
        <w:rPr>
          <w:color w:val="231F20"/>
          <w:spacing w:val="28"/>
        </w:rPr>
        <w:t> </w:t>
      </w:r>
      <w:r>
        <w:rPr>
          <w:color w:val="231F20"/>
        </w:rPr>
        <w:t>boarding</w:t>
      </w:r>
      <w:r>
        <w:rPr/>
      </w:r>
    </w:p>
    <w:p>
      <w:pPr>
        <w:pStyle w:val="BodyText"/>
        <w:spacing w:line="250" w:lineRule="exact" w:before="113"/>
        <w:ind w:left="344" w:right="186" w:hanging="227"/>
        <w:jc w:val="left"/>
      </w:pPr>
      <w:r>
        <w:rPr>
          <w:rFonts w:ascii="Century Gothic" w:hAnsi="Century Gothic"/>
          <w:color w:val="231F20"/>
        </w:rPr>
        <w:t>» </w:t>
      </w:r>
      <w:r>
        <w:rPr>
          <w:rFonts w:ascii="Century Gothic" w:hAnsi="Century Gothic"/>
          <w:color w:val="231F20"/>
          <w:spacing w:val="20"/>
        </w:rPr>
        <w:t> </w:t>
      </w:r>
      <w:r>
        <w:rPr>
          <w:color w:val="231F20"/>
        </w:rPr>
        <w:t>boarding</w:t>
      </w:r>
      <w:r>
        <w:rPr>
          <w:color w:val="231F20"/>
          <w:spacing w:val="-6"/>
        </w:rPr>
        <w:t> </w:t>
      </w:r>
      <w:r>
        <w:rPr>
          <w:color w:val="231F20"/>
        </w:rPr>
        <w:t>providers</w:t>
      </w:r>
      <w:r>
        <w:rPr>
          <w:color w:val="231F20"/>
          <w:spacing w:val="-5"/>
        </w:rPr>
        <w:t> </w:t>
      </w:r>
      <w:r>
        <w:rPr>
          <w:color w:val="231F20"/>
        </w:rPr>
        <w:t>not</w:t>
      </w:r>
      <w:r>
        <w:rPr>
          <w:color w:val="231F20"/>
          <w:spacing w:val="-4"/>
        </w:rPr>
        <w:t> </w:t>
      </w:r>
      <w:r>
        <w:rPr>
          <w:color w:val="231F20"/>
        </w:rPr>
        <w:t>only</w:t>
      </w:r>
      <w:r>
        <w:rPr>
          <w:color w:val="231F20"/>
          <w:spacing w:val="-6"/>
        </w:rPr>
        <w:t> </w:t>
      </w:r>
      <w:r>
        <w:rPr>
          <w:color w:val="231F20"/>
        </w:rPr>
        <w:t>deliver</w:t>
      </w:r>
      <w:r>
        <w:rPr>
          <w:color w:val="231F20"/>
          <w:spacing w:val="-5"/>
        </w:rPr>
        <w:t> </w:t>
      </w:r>
      <w:r>
        <w:rPr>
          <w:color w:val="231F20"/>
        </w:rPr>
        <w:t>an</w:t>
      </w:r>
      <w:r>
        <w:rPr>
          <w:color w:val="231F20"/>
          <w:w w:val="99"/>
        </w:rPr>
        <w:t> </w:t>
      </w:r>
      <w:r>
        <w:rPr>
          <w:color w:val="231F20"/>
        </w:rPr>
        <w:t>education</w:t>
      </w:r>
      <w:r>
        <w:rPr>
          <w:color w:val="231F20"/>
          <w:spacing w:val="-8"/>
        </w:rPr>
        <w:t> </w:t>
      </w:r>
      <w:r>
        <w:rPr>
          <w:color w:val="231F20"/>
        </w:rPr>
        <w:t>curriculum</w:t>
      </w:r>
      <w:r>
        <w:rPr>
          <w:color w:val="231F20"/>
          <w:spacing w:val="-8"/>
        </w:rPr>
        <w:t> </w:t>
      </w:r>
      <w:r>
        <w:rPr>
          <w:color w:val="231F20"/>
        </w:rPr>
        <w:t>but</w:t>
      </w:r>
      <w:r>
        <w:rPr>
          <w:color w:val="231F20"/>
          <w:spacing w:val="-8"/>
        </w:rPr>
        <w:t> </w:t>
      </w:r>
      <w:r>
        <w:rPr>
          <w:color w:val="231F20"/>
        </w:rPr>
        <w:t>provide</w:t>
      </w:r>
      <w:r>
        <w:rPr>
          <w:color w:val="231F20"/>
          <w:spacing w:val="-8"/>
        </w:rPr>
        <w:t> </w:t>
      </w:r>
      <w:r>
        <w:rPr>
          <w:color w:val="231F20"/>
          <w:spacing w:val="-1"/>
        </w:rPr>
        <w:t>students</w:t>
      </w:r>
      <w:r>
        <w:rPr>
          <w:color w:val="231F20"/>
          <w:spacing w:val="20"/>
        </w:rPr>
        <w:t> </w:t>
      </w:r>
      <w:r>
        <w:rPr>
          <w:color w:val="231F20"/>
        </w:rPr>
        <w:t>with</w:t>
      </w:r>
      <w:r>
        <w:rPr>
          <w:color w:val="231F20"/>
          <w:spacing w:val="-3"/>
        </w:rPr>
        <w:t> </w:t>
      </w:r>
      <w:r>
        <w:rPr>
          <w:color w:val="231F20"/>
          <w:spacing w:val="-1"/>
        </w:rPr>
        <w:t>life</w:t>
      </w:r>
      <w:r>
        <w:rPr>
          <w:color w:val="231F20"/>
          <w:spacing w:val="-3"/>
        </w:rPr>
        <w:t> </w:t>
      </w:r>
      <w:r>
        <w:rPr>
          <w:color w:val="231F20"/>
          <w:spacing w:val="-1"/>
        </w:rPr>
        <w:t>skills</w:t>
      </w:r>
      <w:r>
        <w:rPr>
          <w:color w:val="231F20"/>
          <w:spacing w:val="-2"/>
        </w:rPr>
        <w:t> </w:t>
      </w:r>
      <w:r>
        <w:rPr>
          <w:color w:val="231F20"/>
        </w:rPr>
        <w:t>for</w:t>
      </w:r>
      <w:r>
        <w:rPr>
          <w:color w:val="231F20"/>
          <w:spacing w:val="-2"/>
        </w:rPr>
        <w:t> </w:t>
      </w:r>
      <w:r>
        <w:rPr>
          <w:color w:val="231F20"/>
          <w:spacing w:val="-1"/>
        </w:rPr>
        <w:t>later</w:t>
      </w:r>
      <w:r>
        <w:rPr>
          <w:color w:val="231F20"/>
          <w:spacing w:val="-2"/>
        </w:rPr>
        <w:t> </w:t>
      </w:r>
      <w:r>
        <w:rPr>
          <w:color w:val="231F20"/>
          <w:spacing w:val="-1"/>
        </w:rPr>
        <w:t>life</w:t>
      </w:r>
      <w:r>
        <w:rPr/>
      </w:r>
    </w:p>
    <w:p>
      <w:pPr>
        <w:pStyle w:val="BodyText"/>
        <w:spacing w:line="250" w:lineRule="exact" w:before="72"/>
        <w:ind w:left="344" w:right="106" w:hanging="227"/>
        <w:jc w:val="both"/>
      </w:pPr>
      <w:r>
        <w:rPr/>
        <w:br w:type="column"/>
      </w:r>
      <w:r>
        <w:rPr>
          <w:rFonts w:ascii="Century Gothic" w:hAnsi="Century Gothic"/>
          <w:color w:val="231F20"/>
        </w:rPr>
        <w:t>»</w:t>
      </w:r>
      <w:r>
        <w:rPr>
          <w:rFonts w:ascii="Century Gothic" w:hAnsi="Century Gothic"/>
          <w:color w:val="231F20"/>
          <w:spacing w:val="20"/>
        </w:rPr>
        <w:t> </w:t>
      </w:r>
      <w:r>
        <w:rPr>
          <w:color w:val="231F20"/>
        </w:rPr>
        <w:t>boarding</w:t>
      </w:r>
      <w:r>
        <w:rPr>
          <w:color w:val="231F20"/>
          <w:spacing w:val="-5"/>
        </w:rPr>
        <w:t> </w:t>
      </w:r>
      <w:r>
        <w:rPr>
          <w:color w:val="231F20"/>
        </w:rPr>
        <w:t>provides</w:t>
      </w:r>
      <w:r>
        <w:rPr>
          <w:color w:val="231F20"/>
          <w:spacing w:val="-6"/>
        </w:rPr>
        <w:t> </w:t>
      </w:r>
      <w:r>
        <w:rPr>
          <w:color w:val="231F20"/>
        </w:rPr>
        <w:t>a</w:t>
      </w:r>
      <w:r>
        <w:rPr>
          <w:color w:val="231F20"/>
          <w:spacing w:val="-4"/>
        </w:rPr>
        <w:t> </w:t>
      </w:r>
      <w:r>
        <w:rPr>
          <w:color w:val="231F20"/>
        </w:rPr>
        <w:t>framework</w:t>
      </w:r>
      <w:r>
        <w:rPr>
          <w:color w:val="231F20"/>
          <w:spacing w:val="-4"/>
        </w:rPr>
        <w:t> </w:t>
      </w:r>
      <w:r>
        <w:rPr>
          <w:color w:val="231F20"/>
        </w:rPr>
        <w:t>for</w:t>
      </w:r>
      <w:r>
        <w:rPr>
          <w:color w:val="231F20"/>
          <w:spacing w:val="-4"/>
        </w:rPr>
        <w:t> </w:t>
      </w:r>
      <w:r>
        <w:rPr>
          <w:color w:val="231F20"/>
        </w:rPr>
        <w:t>addressing</w:t>
      </w:r>
      <w:r>
        <w:rPr>
          <w:color w:val="231F20"/>
          <w:w w:val="99"/>
        </w:rPr>
        <w:t> </w:t>
      </w:r>
      <w:r>
        <w:rPr>
          <w:color w:val="231F20"/>
        </w:rPr>
        <w:t>the</w:t>
      </w:r>
      <w:r>
        <w:rPr>
          <w:color w:val="231F20"/>
          <w:spacing w:val="-5"/>
        </w:rPr>
        <w:t> </w:t>
      </w:r>
      <w:r>
        <w:rPr>
          <w:color w:val="231F20"/>
        </w:rPr>
        <w:t>health</w:t>
      </w:r>
      <w:r>
        <w:rPr>
          <w:color w:val="231F20"/>
          <w:spacing w:val="-5"/>
        </w:rPr>
        <w:t> </w:t>
      </w:r>
      <w:r>
        <w:rPr>
          <w:color w:val="231F20"/>
        </w:rPr>
        <w:t>and</w:t>
      </w:r>
      <w:r>
        <w:rPr>
          <w:color w:val="231F20"/>
          <w:spacing w:val="-4"/>
        </w:rPr>
        <w:t> </w:t>
      </w:r>
      <w:r>
        <w:rPr>
          <w:color w:val="231F20"/>
          <w:spacing w:val="-1"/>
        </w:rPr>
        <w:t>social</w:t>
      </w:r>
      <w:r>
        <w:rPr>
          <w:color w:val="231F20"/>
          <w:spacing w:val="-4"/>
        </w:rPr>
        <w:t> </w:t>
      </w:r>
      <w:r>
        <w:rPr>
          <w:color w:val="231F20"/>
        </w:rPr>
        <w:t>and</w:t>
      </w:r>
      <w:r>
        <w:rPr>
          <w:color w:val="231F20"/>
          <w:spacing w:val="-5"/>
        </w:rPr>
        <w:t> </w:t>
      </w:r>
      <w:r>
        <w:rPr>
          <w:color w:val="231F20"/>
        </w:rPr>
        <w:t>emotional</w:t>
      </w:r>
      <w:r>
        <w:rPr>
          <w:color w:val="231F20"/>
          <w:spacing w:val="-4"/>
        </w:rPr>
        <w:t> </w:t>
      </w:r>
      <w:r>
        <w:rPr>
          <w:color w:val="231F20"/>
        </w:rPr>
        <w:t>well-being</w:t>
      </w:r>
      <w:r>
        <w:rPr>
          <w:color w:val="231F20"/>
          <w:spacing w:val="21"/>
          <w:w w:val="99"/>
        </w:rPr>
        <w:t> </w:t>
      </w:r>
      <w:r>
        <w:rPr>
          <w:color w:val="231F20"/>
          <w:spacing w:val="-1"/>
        </w:rPr>
        <w:t>issues </w:t>
      </w:r>
      <w:r>
        <w:rPr>
          <w:color w:val="231F20"/>
        </w:rPr>
        <w:t>of</w:t>
      </w:r>
      <w:r>
        <w:rPr>
          <w:color w:val="231F20"/>
          <w:spacing w:val="-1"/>
        </w:rPr>
        <w:t> students</w:t>
      </w:r>
      <w:r>
        <w:rPr/>
      </w:r>
    </w:p>
    <w:p>
      <w:pPr>
        <w:pStyle w:val="BodyText"/>
        <w:spacing w:line="250" w:lineRule="exact" w:before="113"/>
        <w:ind w:left="344" w:right="153" w:hanging="227"/>
        <w:jc w:val="left"/>
      </w:pPr>
      <w:r>
        <w:rPr>
          <w:rFonts w:ascii="Century Gothic" w:hAnsi="Century Gothic"/>
          <w:color w:val="231F20"/>
        </w:rPr>
        <w:t>» </w:t>
      </w:r>
      <w:r>
        <w:rPr>
          <w:rFonts w:ascii="Century Gothic" w:hAnsi="Century Gothic"/>
          <w:color w:val="231F20"/>
          <w:spacing w:val="29"/>
        </w:rPr>
        <w:t> </w:t>
      </w:r>
      <w:r>
        <w:rPr>
          <w:rFonts w:ascii="Segoe UI" w:hAnsi="Segoe UI"/>
          <w:color w:val="231F20"/>
        </w:rPr>
        <w:t>training staff</w:t>
      </w:r>
      <w:r>
        <w:rPr>
          <w:rFonts w:ascii="Segoe UI" w:hAnsi="Segoe UI"/>
          <w:color w:val="231F20"/>
          <w:spacing w:val="-1"/>
        </w:rPr>
        <w:t> </w:t>
      </w:r>
      <w:r>
        <w:rPr>
          <w:rFonts w:ascii="Segoe UI" w:hAnsi="Segoe UI"/>
          <w:color w:val="231F20"/>
        </w:rPr>
        <w:t>in</w:t>
      </w:r>
      <w:r>
        <w:rPr>
          <w:rFonts w:ascii="Segoe UI" w:hAnsi="Segoe UI"/>
          <w:color w:val="231F20"/>
          <w:spacing w:val="-1"/>
        </w:rPr>
        <w:t> </w:t>
      </w:r>
      <w:r>
        <w:rPr>
          <w:rFonts w:ascii="Segoe UI" w:hAnsi="Segoe UI"/>
          <w:color w:val="231F20"/>
        </w:rPr>
        <w:t>trauma informed</w:t>
      </w:r>
      <w:r>
        <w:rPr>
          <w:rFonts w:ascii="Segoe UI" w:hAnsi="Segoe UI"/>
          <w:color w:val="231F20"/>
          <w:spacing w:val="-1"/>
        </w:rPr>
        <w:t> </w:t>
      </w:r>
      <w:r>
        <w:rPr>
          <w:rFonts w:ascii="Segoe UI" w:hAnsi="Segoe UI"/>
          <w:color w:val="231F20"/>
        </w:rPr>
        <w:t>care</w:t>
      </w:r>
      <w:r>
        <w:rPr>
          <w:rFonts w:ascii="Segoe UI" w:hAnsi="Segoe UI"/>
          <w:color w:val="231F20"/>
          <w:spacing w:val="-1"/>
        </w:rPr>
        <w:t> </w:t>
      </w:r>
      <w:r>
        <w:rPr>
          <w:rFonts w:ascii="Segoe UI" w:hAnsi="Segoe UI"/>
          <w:color w:val="231F20"/>
        </w:rPr>
        <w:t>and</w:t>
      </w:r>
      <w:r>
        <w:rPr>
          <w:rFonts w:ascii="Segoe UI" w:hAnsi="Segoe UI"/>
          <w:color w:val="231F20"/>
        </w:rPr>
        <w:t> </w:t>
      </w:r>
      <w:r>
        <w:rPr>
          <w:color w:val="231F20"/>
        </w:rPr>
        <w:t>practice</w:t>
      </w:r>
      <w:r>
        <w:rPr>
          <w:color w:val="231F20"/>
          <w:spacing w:val="-5"/>
        </w:rPr>
        <w:t> </w:t>
      </w:r>
      <w:r>
        <w:rPr>
          <w:color w:val="231F20"/>
          <w:spacing w:val="-1"/>
        </w:rPr>
        <w:t>is</w:t>
      </w:r>
      <w:r>
        <w:rPr>
          <w:color w:val="231F20"/>
          <w:spacing w:val="-5"/>
        </w:rPr>
        <w:t> </w:t>
      </w:r>
      <w:r>
        <w:rPr>
          <w:color w:val="231F20"/>
        </w:rPr>
        <w:t>essential</w:t>
      </w:r>
      <w:r>
        <w:rPr>
          <w:color w:val="231F20"/>
          <w:spacing w:val="-5"/>
        </w:rPr>
        <w:t> </w:t>
      </w:r>
      <w:r>
        <w:rPr>
          <w:color w:val="231F20"/>
        </w:rPr>
        <w:t>given</w:t>
      </w:r>
      <w:r>
        <w:rPr>
          <w:color w:val="231F20"/>
          <w:spacing w:val="-5"/>
        </w:rPr>
        <w:t> </w:t>
      </w:r>
      <w:r>
        <w:rPr>
          <w:color w:val="231F20"/>
        </w:rPr>
        <w:t>the</w:t>
      </w:r>
      <w:r>
        <w:rPr>
          <w:color w:val="231F20"/>
          <w:spacing w:val="-5"/>
        </w:rPr>
        <w:t> </w:t>
      </w:r>
      <w:r>
        <w:rPr>
          <w:color w:val="231F20"/>
          <w:spacing w:val="-1"/>
        </w:rPr>
        <w:t>majority</w:t>
      </w:r>
      <w:r>
        <w:rPr>
          <w:color w:val="231F20"/>
          <w:spacing w:val="-4"/>
        </w:rPr>
        <w:t> </w:t>
      </w:r>
      <w:r>
        <w:rPr>
          <w:color w:val="231F20"/>
        </w:rPr>
        <w:t>of</w:t>
      </w:r>
      <w:r>
        <w:rPr>
          <w:color w:val="231F20"/>
          <w:spacing w:val="23"/>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9"/>
        </w:rPr>
        <w:t> </w:t>
      </w:r>
      <w:r>
        <w:rPr>
          <w:color w:val="231F20"/>
        </w:rPr>
        <w:t>accommodate</w:t>
      </w:r>
      <w:r>
        <w:rPr>
          <w:color w:val="231F20"/>
          <w:spacing w:val="-9"/>
        </w:rPr>
        <w:t> </w:t>
      </w:r>
      <w:r>
        <w:rPr>
          <w:color w:val="231F20"/>
        </w:rPr>
        <w:t>remote</w:t>
      </w:r>
      <w:r>
        <w:rPr>
          <w:color w:val="231F20"/>
          <w:spacing w:val="-8"/>
        </w:rPr>
        <w:t> </w:t>
      </w:r>
      <w:r>
        <w:rPr>
          <w:color w:val="231F20"/>
          <w:spacing w:val="-1"/>
        </w:rPr>
        <w:t>students</w:t>
      </w:r>
      <w:r>
        <w:rPr>
          <w:color w:val="231F20"/>
          <w:spacing w:val="-8"/>
        </w:rPr>
        <w:t> </w:t>
      </w:r>
      <w:r>
        <w:rPr>
          <w:color w:val="231F20"/>
        </w:rPr>
        <w:t>that</w:t>
      </w:r>
      <w:r>
        <w:rPr>
          <w:color w:val="231F20"/>
          <w:spacing w:val="22"/>
          <w:w w:val="99"/>
        </w:rPr>
        <w:t> </w:t>
      </w:r>
      <w:r>
        <w:rPr>
          <w:color w:val="231F20"/>
        </w:rPr>
        <w:t>have</w:t>
      </w:r>
      <w:r>
        <w:rPr>
          <w:color w:val="231F20"/>
          <w:spacing w:val="-7"/>
        </w:rPr>
        <w:t> </w:t>
      </w:r>
      <w:r>
        <w:rPr>
          <w:color w:val="231F20"/>
        </w:rPr>
        <w:t>experienced</w:t>
      </w:r>
      <w:r>
        <w:rPr>
          <w:color w:val="231F20"/>
          <w:spacing w:val="-7"/>
        </w:rPr>
        <w:t> </w:t>
      </w:r>
      <w:r>
        <w:rPr>
          <w:color w:val="231F20"/>
        </w:rPr>
        <w:t>or</w:t>
      </w:r>
      <w:r>
        <w:rPr>
          <w:color w:val="231F20"/>
          <w:spacing w:val="-6"/>
        </w:rPr>
        <w:t> </w:t>
      </w:r>
      <w:r>
        <w:rPr>
          <w:color w:val="231F20"/>
        </w:rPr>
        <w:t>witnessed</w:t>
      </w:r>
      <w:r>
        <w:rPr>
          <w:color w:val="231F20"/>
          <w:spacing w:val="-7"/>
        </w:rPr>
        <w:t> </w:t>
      </w:r>
      <w:r>
        <w:rPr>
          <w:color w:val="231F20"/>
        </w:rPr>
        <w:t>trauma</w:t>
      </w:r>
      <w:r>
        <w:rPr/>
      </w:r>
    </w:p>
    <w:p>
      <w:pPr>
        <w:pStyle w:val="BodyText"/>
        <w:spacing w:line="250" w:lineRule="exact" w:before="113"/>
        <w:ind w:left="344" w:right="372" w:hanging="227"/>
        <w:jc w:val="both"/>
      </w:pPr>
      <w:r>
        <w:rPr>
          <w:rFonts w:ascii="Century Gothic" w:hAnsi="Century Gothic"/>
          <w:color w:val="231F20"/>
        </w:rPr>
        <w:t>»</w:t>
      </w:r>
      <w:r>
        <w:rPr>
          <w:rFonts w:ascii="Century Gothic" w:hAnsi="Century Gothic"/>
          <w:color w:val="231F20"/>
          <w:spacing w:val="26"/>
        </w:rPr>
        <w:t> </w:t>
      </w:r>
      <w:r>
        <w:rPr>
          <w:color w:val="231F20"/>
        </w:rPr>
        <w:t>the</w:t>
      </w:r>
      <w:r>
        <w:rPr>
          <w:color w:val="231F20"/>
          <w:spacing w:val="-4"/>
        </w:rPr>
        <w:t> </w:t>
      </w:r>
      <w:r>
        <w:rPr>
          <w:color w:val="231F20"/>
          <w:spacing w:val="-1"/>
        </w:rPr>
        <w:t>support</w:t>
      </w:r>
      <w:r>
        <w:rPr>
          <w:color w:val="231F20"/>
          <w:spacing w:val="-2"/>
        </w:rPr>
        <w:t> </w:t>
      </w:r>
      <w:r>
        <w:rPr>
          <w:color w:val="231F20"/>
        </w:rPr>
        <w:t>of</w:t>
      </w:r>
      <w:r>
        <w:rPr>
          <w:color w:val="231F20"/>
          <w:spacing w:val="-2"/>
        </w:rPr>
        <w:t> </w:t>
      </w:r>
      <w:r>
        <w:rPr>
          <w:color w:val="231F20"/>
        </w:rPr>
        <w:t>families</w:t>
      </w:r>
      <w:r>
        <w:rPr>
          <w:color w:val="231F20"/>
          <w:spacing w:val="-3"/>
        </w:rPr>
        <w:t> </w:t>
      </w:r>
      <w:r>
        <w:rPr>
          <w:color w:val="231F20"/>
        </w:rPr>
        <w:t>and</w:t>
      </w:r>
      <w:r>
        <w:rPr>
          <w:color w:val="231F20"/>
          <w:spacing w:val="-3"/>
        </w:rPr>
        <w:t> </w:t>
      </w:r>
      <w:r>
        <w:rPr>
          <w:color w:val="231F20"/>
        </w:rPr>
        <w:t>communities</w:t>
      </w:r>
      <w:r>
        <w:rPr>
          <w:color w:val="231F20"/>
          <w:spacing w:val="-3"/>
        </w:rPr>
        <w:t> </w:t>
      </w:r>
      <w:r>
        <w:rPr>
          <w:color w:val="231F20"/>
        </w:rPr>
        <w:t>for</w:t>
      </w:r>
      <w:r>
        <w:rPr>
          <w:color w:val="231F20"/>
          <w:spacing w:val="22"/>
          <w:w w:val="99"/>
        </w:rPr>
        <w:t> </w:t>
      </w:r>
      <w:r>
        <w:rPr>
          <w:color w:val="231F20"/>
        </w:rPr>
        <w:t>a</w:t>
      </w:r>
      <w:r>
        <w:rPr>
          <w:color w:val="231F20"/>
          <w:spacing w:val="-3"/>
        </w:rPr>
        <w:t> </w:t>
      </w:r>
      <w:r>
        <w:rPr>
          <w:color w:val="231F20"/>
          <w:spacing w:val="-1"/>
        </w:rPr>
        <w:t>student</w:t>
      </w:r>
      <w:r>
        <w:rPr>
          <w:color w:val="231F20"/>
          <w:spacing w:val="-3"/>
        </w:rPr>
        <w:t> </w:t>
      </w:r>
      <w:r>
        <w:rPr>
          <w:color w:val="231F20"/>
        </w:rPr>
        <w:t>to</w:t>
      </w:r>
      <w:r>
        <w:rPr>
          <w:color w:val="231F20"/>
          <w:spacing w:val="-3"/>
        </w:rPr>
        <w:t> </w:t>
      </w:r>
      <w:r>
        <w:rPr>
          <w:color w:val="231F20"/>
        </w:rPr>
        <w:t>attend</w:t>
      </w:r>
      <w:r>
        <w:rPr>
          <w:color w:val="231F20"/>
          <w:spacing w:val="-4"/>
        </w:rPr>
        <w:t> </w:t>
      </w:r>
      <w:r>
        <w:rPr>
          <w:color w:val="231F20"/>
        </w:rPr>
        <w:t>boarding</w:t>
      </w:r>
      <w:r>
        <w:rPr>
          <w:color w:val="231F20"/>
          <w:spacing w:val="-3"/>
        </w:rPr>
        <w:t> </w:t>
      </w:r>
      <w:r>
        <w:rPr>
          <w:color w:val="231F20"/>
          <w:spacing w:val="-1"/>
        </w:rPr>
        <w:t>is</w:t>
      </w:r>
      <w:r>
        <w:rPr>
          <w:color w:val="231F20"/>
          <w:spacing w:val="-4"/>
        </w:rPr>
        <w:t> </w:t>
      </w:r>
      <w:r>
        <w:rPr>
          <w:color w:val="231F20"/>
        </w:rPr>
        <w:t>essential</w:t>
      </w:r>
      <w:r>
        <w:rPr>
          <w:color w:val="231F20"/>
          <w:spacing w:val="-4"/>
        </w:rPr>
        <w:t> </w:t>
      </w:r>
      <w:r>
        <w:rPr>
          <w:color w:val="231F20"/>
          <w:spacing w:val="-1"/>
        </w:rPr>
        <w:t>if</w:t>
      </w:r>
      <w:r>
        <w:rPr>
          <w:color w:val="231F20"/>
          <w:spacing w:val="-3"/>
        </w:rPr>
        <w:t> </w:t>
      </w:r>
      <w:r>
        <w:rPr>
          <w:color w:val="231F20"/>
        </w:rPr>
        <w:t>a</w:t>
      </w:r>
      <w:r>
        <w:rPr>
          <w:color w:val="231F20"/>
          <w:spacing w:val="24"/>
          <w:w w:val="99"/>
        </w:rPr>
        <w:t> </w:t>
      </w:r>
      <w:r>
        <w:rPr>
          <w:color w:val="231F20"/>
          <w:spacing w:val="-1"/>
        </w:rPr>
        <w:t>student</w:t>
      </w:r>
      <w:r>
        <w:rPr>
          <w:color w:val="231F20"/>
          <w:spacing w:val="-5"/>
        </w:rPr>
        <w:t> </w:t>
      </w:r>
      <w:r>
        <w:rPr>
          <w:color w:val="231F20"/>
          <w:spacing w:val="-1"/>
        </w:rPr>
        <w:t>is</w:t>
      </w:r>
      <w:r>
        <w:rPr>
          <w:color w:val="231F20"/>
          <w:spacing w:val="-6"/>
        </w:rPr>
        <w:t> </w:t>
      </w:r>
      <w:r>
        <w:rPr>
          <w:color w:val="231F20"/>
        </w:rPr>
        <w:t>to</w:t>
      </w:r>
      <w:r>
        <w:rPr>
          <w:color w:val="231F20"/>
          <w:spacing w:val="-5"/>
        </w:rPr>
        <w:t> </w:t>
      </w:r>
      <w:r>
        <w:rPr>
          <w:color w:val="231F20"/>
          <w:spacing w:val="-1"/>
        </w:rPr>
        <w:t>succeed</w:t>
      </w:r>
      <w:r>
        <w:rPr>
          <w:color w:val="231F20"/>
          <w:spacing w:val="-4"/>
        </w:rPr>
        <w:t> </w:t>
      </w:r>
      <w:r>
        <w:rPr>
          <w:color w:val="231F20"/>
          <w:spacing w:val="-1"/>
        </w:rPr>
        <w:t>in</w:t>
      </w:r>
      <w:r>
        <w:rPr>
          <w:color w:val="231F20"/>
          <w:spacing w:val="-5"/>
        </w:rPr>
        <w:t> </w:t>
      </w:r>
      <w:r>
        <w:rPr>
          <w:color w:val="231F20"/>
        </w:rPr>
        <w:t>boarding</w:t>
      </w:r>
      <w:r>
        <w:rPr/>
      </w:r>
    </w:p>
    <w:p>
      <w:pPr>
        <w:pStyle w:val="BodyText"/>
        <w:spacing w:line="250" w:lineRule="exact" w:before="113"/>
        <w:ind w:left="344" w:right="167" w:hanging="227"/>
        <w:jc w:val="left"/>
      </w:pPr>
      <w:r>
        <w:rPr>
          <w:rFonts w:ascii="Century Gothic" w:hAnsi="Century Gothic" w:cs="Century Gothic" w:eastAsia="Century Gothic"/>
          <w:color w:val="231F20"/>
        </w:rPr>
        <w:t>» </w:t>
      </w:r>
      <w:r>
        <w:rPr>
          <w:rFonts w:ascii="Century Gothic" w:hAnsi="Century Gothic" w:cs="Century Gothic" w:eastAsia="Century Gothic"/>
          <w:color w:val="231F20"/>
          <w:spacing w:val="20"/>
        </w:rPr>
        <w:t> </w:t>
      </w:r>
      <w:r>
        <w:rPr>
          <w:color w:val="231F20"/>
        </w:rPr>
        <w:t>relationship</w:t>
      </w:r>
      <w:r>
        <w:rPr>
          <w:color w:val="231F20"/>
          <w:spacing w:val="-6"/>
        </w:rPr>
        <w:t> </w:t>
      </w:r>
      <w:r>
        <w:rPr>
          <w:color w:val="231F20"/>
        </w:rPr>
        <w:t>based</w:t>
      </w:r>
      <w:r>
        <w:rPr>
          <w:color w:val="231F20"/>
          <w:spacing w:val="-6"/>
        </w:rPr>
        <w:t> </w:t>
      </w:r>
      <w:r>
        <w:rPr>
          <w:color w:val="231F20"/>
        </w:rPr>
        <w:t>practice—all</w:t>
      </w:r>
      <w:r>
        <w:rPr>
          <w:color w:val="231F20"/>
          <w:spacing w:val="-5"/>
        </w:rPr>
        <w:t> </w:t>
      </w:r>
      <w:r>
        <w:rPr>
          <w:color w:val="231F20"/>
          <w:spacing w:val="-1"/>
        </w:rPr>
        <w:t>students</w:t>
      </w:r>
      <w:r>
        <w:rPr>
          <w:color w:val="231F20"/>
          <w:spacing w:val="-4"/>
        </w:rPr>
        <w:t> </w:t>
      </w:r>
      <w:r>
        <w:rPr>
          <w:color w:val="231F20"/>
          <w:spacing w:val="-1"/>
        </w:rPr>
        <w:t>must</w:t>
      </w:r>
      <w:r>
        <w:rPr>
          <w:color w:val="231F20"/>
          <w:spacing w:val="21"/>
        </w:rPr>
        <w:t> </w:t>
      </w:r>
      <w:r>
        <w:rPr>
          <w:color w:val="231F20"/>
        </w:rPr>
        <w:t>be</w:t>
      </w:r>
      <w:r>
        <w:rPr>
          <w:color w:val="231F20"/>
          <w:spacing w:val="-7"/>
        </w:rPr>
        <w:t> </w:t>
      </w:r>
      <w:r>
        <w:rPr>
          <w:color w:val="231F20"/>
        </w:rPr>
        <w:t>treated</w:t>
      </w:r>
      <w:r>
        <w:rPr>
          <w:color w:val="231F20"/>
          <w:spacing w:val="-7"/>
        </w:rPr>
        <w:t> </w:t>
      </w:r>
      <w:r>
        <w:rPr>
          <w:color w:val="231F20"/>
        </w:rPr>
        <w:t>with</w:t>
      </w:r>
      <w:r>
        <w:rPr>
          <w:color w:val="231F20"/>
          <w:spacing w:val="-8"/>
        </w:rPr>
        <w:t> </w:t>
      </w:r>
      <w:r>
        <w:rPr>
          <w:color w:val="231F20"/>
        </w:rPr>
        <w:t>respect.</w:t>
      </w:r>
      <w:r>
        <w:rPr/>
      </w:r>
    </w:p>
    <w:p>
      <w:pPr>
        <w:spacing w:line="240" w:lineRule="auto" w:before="5"/>
        <w:rPr>
          <w:rFonts w:ascii="Segoe UI" w:hAnsi="Segoe UI" w:cs="Segoe UI" w:eastAsia="Segoe UI"/>
          <w:sz w:val="24"/>
          <w:szCs w:val="24"/>
        </w:rPr>
      </w:pPr>
    </w:p>
    <w:p>
      <w:pPr>
        <w:spacing w:line="200" w:lineRule="atLeast"/>
        <w:ind w:left="138" w:right="0" w:firstLine="0"/>
        <w:rPr>
          <w:rFonts w:ascii="Segoe UI" w:hAnsi="Segoe UI" w:cs="Segoe UI" w:eastAsia="Segoe UI"/>
          <w:sz w:val="20"/>
          <w:szCs w:val="20"/>
        </w:rPr>
      </w:pPr>
      <w:r>
        <w:rPr>
          <w:rFonts w:ascii="Segoe UI" w:hAnsi="Segoe UI" w:cs="Segoe UI" w:eastAsia="Segoe UI"/>
          <w:sz w:val="20"/>
          <w:szCs w:val="20"/>
        </w:rPr>
        <w:pict>
          <v:group style="width:210.15pt;height:106.6pt;mso-position-horizontal-relative:char;mso-position-vertical-relative:line" coordorigin="0,0" coordsize="4203,2132">
            <v:shape style="position:absolute;left:0;top:0;width:1456;height:2131" type="#_x0000_t75" stroked="false">
              <v:imagedata r:id="rId45" o:title=""/>
            </v:shape>
            <v:group style="position:absolute;left:290;top:790;width:3912;height:284" coordorigin="290,790" coordsize="3912,284">
              <v:shape style="position:absolute;left:290;top:790;width:3912;height:284" coordorigin="290,790" coordsize="3912,284" path="m290,1074l4202,1074,4202,790,290,790,290,1074xe" filled="true" fillcolor="#97bf3d" stroked="false">
                <v:path arrowok="t"/>
                <v:fill type="solid"/>
              </v:shape>
            </v:group>
            <v:group style="position:absolute;left:7;top:790;width:284;height:284" coordorigin="7,790" coordsize="284,284">
              <v:shape style="position:absolute;left:7;top:790;width:284;height:284" coordorigin="7,790" coordsize="284,284" path="m7,1074l290,1074,290,790,7,790,7,1074xe" filled="true" fillcolor="#67973f" stroked="false">
                <v:path arrowok="t"/>
                <v:fill type="solid"/>
              </v:shape>
              <v:shape style="position:absolute;left:375;top:844;width:1053;height:180" type="#_x0000_t202" filled="false" stroked="false">
                <v:textbox inset="0,0,0,0">
                  <w:txbxContent>
                    <w:p>
                      <w:pPr>
                        <w:spacing w:line="180" w:lineRule="exact" w:before="0"/>
                        <w:ind w:left="0" w:right="0" w:firstLine="0"/>
                        <w:jc w:val="left"/>
                        <w:rPr>
                          <w:rFonts w:ascii="Segoe UI" w:hAnsi="Segoe UI" w:cs="Segoe UI" w:eastAsia="Segoe UI"/>
                          <w:sz w:val="18"/>
                          <w:szCs w:val="18"/>
                        </w:rPr>
                      </w:pPr>
                      <w:r>
                        <w:rPr>
                          <w:rFonts w:ascii="Segoe UI"/>
                          <w:b/>
                          <w:i/>
                          <w:color w:val="FFFFFF"/>
                          <w:spacing w:val="-1"/>
                          <w:sz w:val="18"/>
                        </w:rPr>
                        <w:t>Case</w:t>
                      </w:r>
                      <w:r>
                        <w:rPr>
                          <w:rFonts w:ascii="Segoe UI"/>
                          <w:b/>
                          <w:i/>
                          <w:color w:val="FFFFFF"/>
                          <w:spacing w:val="-4"/>
                          <w:sz w:val="18"/>
                        </w:rPr>
                        <w:t> </w:t>
                      </w:r>
                      <w:r>
                        <w:rPr>
                          <w:rFonts w:ascii="Segoe UI"/>
                          <w:b/>
                          <w:i/>
                          <w:color w:val="FFFFFF"/>
                          <w:sz w:val="18"/>
                        </w:rPr>
                        <w:t>study</w:t>
                      </w:r>
                      <w:r>
                        <w:rPr>
                          <w:rFonts w:ascii="Segoe UI"/>
                          <w:b/>
                          <w:i/>
                          <w:color w:val="FFFFFF"/>
                          <w:spacing w:val="-5"/>
                          <w:sz w:val="18"/>
                        </w:rPr>
                        <w:t> </w:t>
                      </w:r>
                      <w:r>
                        <w:rPr>
                          <w:rFonts w:ascii="Segoe UI"/>
                          <w:b/>
                          <w:i/>
                          <w:color w:val="FFFFFF"/>
                          <w:sz w:val="18"/>
                        </w:rPr>
                        <w:t>4</w:t>
                      </w:r>
                      <w:r>
                        <w:rPr>
                          <w:rFonts w:ascii="Segoe UI"/>
                          <w:sz w:val="18"/>
                        </w:rPr>
                      </w:r>
                    </w:p>
                  </w:txbxContent>
                </v:textbox>
                <w10:wrap type="none"/>
              </v:shape>
              <v:shape style="position:absolute;left:1708;top:1252;width:2083;height:760" type="#_x0000_t202" filled="false" stroked="false">
                <v:textbox inset="0,0,0,0">
                  <w:txbxContent>
                    <w:p>
                      <w:pPr>
                        <w:spacing w:line="212" w:lineRule="exact" w:before="0"/>
                        <w:ind w:left="0" w:right="0" w:firstLine="0"/>
                        <w:jc w:val="left"/>
                        <w:rPr>
                          <w:rFonts w:ascii="Segoe UI" w:hAnsi="Segoe UI" w:cs="Segoe UI" w:eastAsia="Segoe UI"/>
                          <w:sz w:val="20"/>
                          <w:szCs w:val="20"/>
                        </w:rPr>
                      </w:pPr>
                      <w:r>
                        <w:rPr>
                          <w:rFonts w:ascii="Segoe UI"/>
                          <w:b/>
                          <w:color w:val="67973F"/>
                          <w:sz w:val="20"/>
                        </w:rPr>
                        <w:t>The</w:t>
                      </w:r>
                      <w:r>
                        <w:rPr>
                          <w:rFonts w:ascii="Segoe UI"/>
                          <w:b/>
                          <w:color w:val="67973F"/>
                          <w:spacing w:val="-1"/>
                          <w:sz w:val="20"/>
                        </w:rPr>
                        <w:t> Yiramalay/Wesley</w:t>
                      </w:r>
                      <w:r>
                        <w:rPr>
                          <w:rFonts w:ascii="Segoe UI"/>
                          <w:sz w:val="20"/>
                        </w:rPr>
                      </w:r>
                    </w:p>
                    <w:p>
                      <w:pPr>
                        <w:spacing w:line="252" w:lineRule="auto" w:before="14"/>
                        <w:ind w:left="0" w:right="34" w:firstLine="0"/>
                        <w:jc w:val="left"/>
                        <w:rPr>
                          <w:rFonts w:ascii="Segoe UI Semibold" w:hAnsi="Segoe UI Semibold" w:cs="Segoe UI Semibold" w:eastAsia="Segoe UI Semibold"/>
                          <w:sz w:val="11"/>
                          <w:szCs w:val="11"/>
                        </w:rPr>
                      </w:pPr>
                      <w:r>
                        <w:rPr>
                          <w:rFonts w:ascii="Segoe UI"/>
                          <w:b/>
                          <w:color w:val="67973F"/>
                          <w:spacing w:val="-2"/>
                          <w:sz w:val="20"/>
                        </w:rPr>
                        <w:t>Studio</w:t>
                      </w:r>
                      <w:r>
                        <w:rPr>
                          <w:rFonts w:ascii="Segoe UI"/>
                          <w:b/>
                          <w:color w:val="67973F"/>
                          <w:spacing w:val="-1"/>
                          <w:sz w:val="20"/>
                        </w:rPr>
                        <w:t> </w:t>
                      </w:r>
                      <w:r>
                        <w:rPr>
                          <w:rFonts w:ascii="Segoe UI"/>
                          <w:b/>
                          <w:color w:val="67973F"/>
                          <w:sz w:val="20"/>
                        </w:rPr>
                        <w:t>School,</w:t>
                      </w:r>
                      <w:r>
                        <w:rPr>
                          <w:rFonts w:ascii="Segoe UI"/>
                          <w:b/>
                          <w:color w:val="67973F"/>
                          <w:spacing w:val="-3"/>
                          <w:sz w:val="20"/>
                        </w:rPr>
                        <w:t> </w:t>
                      </w:r>
                      <w:r>
                        <w:rPr>
                          <w:rFonts w:ascii="Segoe UI"/>
                          <w:b/>
                          <w:color w:val="67973F"/>
                          <w:spacing w:val="-1"/>
                          <w:sz w:val="20"/>
                        </w:rPr>
                        <w:t>Fitzroy</w:t>
                      </w:r>
                      <w:r>
                        <w:rPr>
                          <w:rFonts w:ascii="Segoe UI"/>
                          <w:b/>
                          <w:color w:val="67973F"/>
                          <w:spacing w:val="27"/>
                          <w:sz w:val="20"/>
                        </w:rPr>
                        <w:t> </w:t>
                      </w:r>
                      <w:r>
                        <w:rPr>
                          <w:rFonts w:ascii="Segoe UI"/>
                          <w:b/>
                          <w:color w:val="67973F"/>
                          <w:spacing w:val="-1"/>
                          <w:sz w:val="20"/>
                        </w:rPr>
                        <w:t>Crossing</w:t>
                      </w:r>
                      <w:r>
                        <w:rPr>
                          <w:rFonts w:ascii="Segoe UI Semibold"/>
                          <w:b/>
                          <w:color w:val="67973F"/>
                          <w:spacing w:val="-1"/>
                          <w:position w:val="7"/>
                          <w:sz w:val="11"/>
                        </w:rPr>
                        <w:t>76</w:t>
                      </w:r>
                      <w:r>
                        <w:rPr>
                          <w:rFonts w:ascii="Segoe UI Semibold"/>
                          <w:sz w:val="11"/>
                        </w:rPr>
                      </w:r>
                    </w:p>
                  </w:txbxContent>
                </v:textbox>
                <w10:wrap type="none"/>
              </v:shape>
            </v:group>
          </v:group>
        </w:pict>
      </w:r>
      <w:r>
        <w:rPr>
          <w:rFonts w:ascii="Segoe UI" w:hAnsi="Segoe UI" w:cs="Segoe UI" w:eastAsia="Segoe UI"/>
          <w:sz w:val="20"/>
          <w:szCs w:val="20"/>
        </w:rPr>
      </w:r>
    </w:p>
    <w:p>
      <w:pPr>
        <w:spacing w:line="240" w:lineRule="auto" w:before="5"/>
        <w:rPr>
          <w:rFonts w:ascii="Segoe UI" w:hAnsi="Segoe UI" w:cs="Segoe UI" w:eastAsia="Segoe UI"/>
          <w:sz w:val="23"/>
          <w:szCs w:val="23"/>
        </w:rPr>
      </w:pPr>
    </w:p>
    <w:p>
      <w:pPr>
        <w:spacing w:line="265" w:lineRule="auto" w:before="0"/>
        <w:ind w:left="145" w:right="364" w:firstLine="0"/>
        <w:jc w:val="left"/>
        <w:rPr>
          <w:rFonts w:ascii="Segoe UI" w:hAnsi="Segoe UI" w:cs="Segoe UI" w:eastAsia="Segoe UI"/>
          <w:sz w:val="19"/>
          <w:szCs w:val="19"/>
        </w:rPr>
      </w:pPr>
      <w:r>
        <w:rPr>
          <w:rFonts w:ascii="Segoe UI" w:hAnsi="Segoe UI" w:cs="Segoe UI" w:eastAsia="Segoe UI"/>
          <w:color w:val="67973F"/>
          <w:sz w:val="19"/>
          <w:szCs w:val="19"/>
        </w:rPr>
        <w:t>‘The</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Yiramalay/Wesley</w:t>
      </w:r>
      <w:r>
        <w:rPr>
          <w:rFonts w:ascii="Segoe UI" w:hAnsi="Segoe UI" w:cs="Segoe UI" w:eastAsia="Segoe UI"/>
          <w:color w:val="67973F"/>
          <w:spacing w:val="-6"/>
          <w:sz w:val="19"/>
          <w:szCs w:val="19"/>
        </w:rPr>
        <w:t> </w:t>
      </w:r>
      <w:r>
        <w:rPr>
          <w:rFonts w:ascii="Segoe UI" w:hAnsi="Segoe UI" w:cs="Segoe UI" w:eastAsia="Segoe UI"/>
          <w:color w:val="67973F"/>
          <w:spacing w:val="-2"/>
          <w:sz w:val="19"/>
          <w:szCs w:val="19"/>
        </w:rPr>
        <w:t>Studio</w:t>
      </w:r>
      <w:r>
        <w:rPr>
          <w:rFonts w:ascii="Segoe UI" w:hAnsi="Segoe UI" w:cs="Segoe UI" w:eastAsia="Segoe UI"/>
          <w:color w:val="67973F"/>
          <w:spacing w:val="-6"/>
          <w:sz w:val="19"/>
          <w:szCs w:val="19"/>
        </w:rPr>
        <w:t> </w:t>
      </w:r>
      <w:r>
        <w:rPr>
          <w:rFonts w:ascii="Segoe UI" w:hAnsi="Segoe UI" w:cs="Segoe UI" w:eastAsia="Segoe UI"/>
          <w:color w:val="67973F"/>
          <w:spacing w:val="-1"/>
          <w:sz w:val="19"/>
          <w:szCs w:val="19"/>
        </w:rPr>
        <w:t>School</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is</w:t>
      </w:r>
      <w:r>
        <w:rPr>
          <w:rFonts w:ascii="Segoe UI" w:hAnsi="Segoe UI" w:cs="Segoe UI" w:eastAsia="Segoe UI"/>
          <w:color w:val="67973F"/>
          <w:spacing w:val="-6"/>
          <w:sz w:val="19"/>
          <w:szCs w:val="19"/>
        </w:rPr>
        <w:t> </w:t>
      </w:r>
      <w:r>
        <w:rPr>
          <w:rFonts w:ascii="Segoe UI" w:hAnsi="Segoe UI" w:cs="Segoe UI" w:eastAsia="Segoe UI"/>
          <w:color w:val="67973F"/>
          <w:spacing w:val="-1"/>
          <w:sz w:val="19"/>
          <w:szCs w:val="19"/>
        </w:rPr>
        <w:t>located</w:t>
      </w:r>
      <w:r>
        <w:rPr>
          <w:rFonts w:ascii="Segoe UI" w:hAnsi="Segoe UI" w:cs="Segoe UI" w:eastAsia="Segoe UI"/>
          <w:color w:val="67973F"/>
          <w:spacing w:val="30"/>
          <w:w w:val="99"/>
          <w:sz w:val="19"/>
          <w:szCs w:val="19"/>
        </w:rPr>
        <w:t> </w:t>
      </w:r>
      <w:r>
        <w:rPr>
          <w:rFonts w:ascii="Segoe UI" w:hAnsi="Segoe UI" w:cs="Segoe UI" w:eastAsia="Segoe UI"/>
          <w:color w:val="67973F"/>
          <w:sz w:val="19"/>
          <w:szCs w:val="19"/>
        </w:rPr>
        <w:t>on</w:t>
      </w:r>
      <w:r>
        <w:rPr>
          <w:rFonts w:ascii="Segoe UI" w:hAnsi="Segoe UI" w:cs="Segoe UI" w:eastAsia="Segoe UI"/>
          <w:color w:val="67973F"/>
          <w:spacing w:val="-5"/>
          <w:sz w:val="19"/>
          <w:szCs w:val="19"/>
        </w:rPr>
        <w:t> </w:t>
      </w:r>
      <w:r>
        <w:rPr>
          <w:rFonts w:ascii="Segoe UI" w:hAnsi="Segoe UI" w:cs="Segoe UI" w:eastAsia="Segoe UI"/>
          <w:color w:val="67973F"/>
          <w:sz w:val="19"/>
          <w:szCs w:val="19"/>
        </w:rPr>
        <w:t>Leopold</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Downs</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Station</w:t>
      </w:r>
      <w:r>
        <w:rPr>
          <w:rFonts w:ascii="Segoe UI" w:hAnsi="Segoe UI" w:cs="Segoe UI" w:eastAsia="Segoe UI"/>
          <w:color w:val="67973F"/>
          <w:spacing w:val="-5"/>
          <w:sz w:val="19"/>
          <w:szCs w:val="19"/>
        </w:rPr>
        <w:t> </w:t>
      </w:r>
      <w:r>
        <w:rPr>
          <w:rFonts w:ascii="Segoe UI" w:hAnsi="Segoe UI" w:cs="Segoe UI" w:eastAsia="Segoe UI"/>
          <w:color w:val="67973F"/>
          <w:sz w:val="19"/>
          <w:szCs w:val="19"/>
        </w:rPr>
        <w:t>at</w:t>
      </w:r>
      <w:r>
        <w:rPr>
          <w:rFonts w:ascii="Segoe UI" w:hAnsi="Segoe UI" w:cs="Segoe UI" w:eastAsia="Segoe UI"/>
          <w:color w:val="67973F"/>
          <w:spacing w:val="-4"/>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6"/>
          <w:sz w:val="19"/>
          <w:szCs w:val="19"/>
        </w:rPr>
        <w:t> </w:t>
      </w:r>
      <w:r>
        <w:rPr>
          <w:rFonts w:ascii="Segoe UI" w:hAnsi="Segoe UI" w:cs="Segoe UI" w:eastAsia="Segoe UI"/>
          <w:color w:val="67973F"/>
          <w:sz w:val="19"/>
          <w:szCs w:val="19"/>
        </w:rPr>
        <w:t>Yiramalay</w:t>
      </w:r>
      <w:r>
        <w:rPr>
          <w:rFonts w:ascii="Segoe UI" w:hAnsi="Segoe UI" w:cs="Segoe UI" w:eastAsia="Segoe UI"/>
          <w:color w:val="67973F"/>
          <w:spacing w:val="22"/>
          <w:w w:val="99"/>
          <w:sz w:val="19"/>
          <w:szCs w:val="19"/>
        </w:rPr>
        <w:t> </w:t>
      </w:r>
      <w:r>
        <w:rPr>
          <w:rFonts w:ascii="Segoe UI" w:hAnsi="Segoe UI" w:cs="Segoe UI" w:eastAsia="Segoe UI"/>
          <w:color w:val="67973F"/>
          <w:spacing w:val="-1"/>
          <w:sz w:val="19"/>
          <w:szCs w:val="19"/>
        </w:rPr>
        <w:t>Community,</w:t>
      </w:r>
      <w:r>
        <w:rPr>
          <w:rFonts w:ascii="Segoe UI" w:hAnsi="Segoe UI" w:cs="Segoe UI" w:eastAsia="Segoe UI"/>
          <w:color w:val="67973F"/>
          <w:spacing w:val="-5"/>
          <w:sz w:val="19"/>
          <w:szCs w:val="19"/>
        </w:rPr>
        <w:t> </w:t>
      </w:r>
      <w:r>
        <w:rPr>
          <w:rFonts w:ascii="Segoe UI" w:hAnsi="Segoe UI" w:cs="Segoe UI" w:eastAsia="Segoe UI"/>
          <w:color w:val="67973F"/>
          <w:sz w:val="19"/>
          <w:szCs w:val="19"/>
        </w:rPr>
        <w:t>which</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is</w:t>
      </w:r>
      <w:r>
        <w:rPr>
          <w:rFonts w:ascii="Segoe UI" w:hAnsi="Segoe UI" w:cs="Segoe UI" w:eastAsia="Segoe UI"/>
          <w:color w:val="67973F"/>
          <w:spacing w:val="-5"/>
          <w:sz w:val="19"/>
          <w:szCs w:val="19"/>
        </w:rPr>
        <w:t> </w:t>
      </w:r>
      <w:r>
        <w:rPr>
          <w:rFonts w:ascii="Segoe UI" w:hAnsi="Segoe UI" w:cs="Segoe UI" w:eastAsia="Segoe UI"/>
          <w:color w:val="67973F"/>
          <w:sz w:val="19"/>
          <w:szCs w:val="19"/>
        </w:rPr>
        <w:t>approximately</w:t>
      </w:r>
      <w:r>
        <w:rPr>
          <w:rFonts w:ascii="Segoe UI" w:hAnsi="Segoe UI" w:cs="Segoe UI" w:eastAsia="Segoe UI"/>
          <w:color w:val="67973F"/>
          <w:spacing w:val="-6"/>
          <w:sz w:val="19"/>
          <w:szCs w:val="19"/>
        </w:rPr>
        <w:t> </w:t>
      </w:r>
      <w:r>
        <w:rPr>
          <w:rFonts w:ascii="Segoe UI" w:hAnsi="Segoe UI" w:cs="Segoe UI" w:eastAsia="Segoe UI"/>
          <w:color w:val="67973F"/>
          <w:spacing w:val="-1"/>
          <w:sz w:val="19"/>
          <w:szCs w:val="19"/>
        </w:rPr>
        <w:t>80kms</w:t>
      </w:r>
      <w:r>
        <w:rPr>
          <w:rFonts w:ascii="Segoe UI" w:hAnsi="Segoe UI" w:cs="Segoe UI" w:eastAsia="Segoe UI"/>
          <w:color w:val="67973F"/>
          <w:spacing w:val="-5"/>
          <w:sz w:val="19"/>
          <w:szCs w:val="19"/>
        </w:rPr>
        <w:t> </w:t>
      </w:r>
      <w:r>
        <w:rPr>
          <w:rFonts w:ascii="Segoe UI" w:hAnsi="Segoe UI" w:cs="Segoe UI" w:eastAsia="Segoe UI"/>
          <w:color w:val="67973F"/>
          <w:sz w:val="19"/>
          <w:szCs w:val="19"/>
        </w:rPr>
        <w:t>north</w:t>
      </w:r>
      <w:r>
        <w:rPr>
          <w:rFonts w:ascii="Segoe UI" w:hAnsi="Segoe UI" w:cs="Segoe UI" w:eastAsia="Segoe UI"/>
          <w:color w:val="67973F"/>
          <w:spacing w:val="24"/>
          <w:w w:val="99"/>
          <w:sz w:val="19"/>
          <w:szCs w:val="19"/>
        </w:rPr>
        <w:t> </w:t>
      </w:r>
      <w:r>
        <w:rPr>
          <w:rFonts w:ascii="Segoe UI" w:hAnsi="Segoe UI" w:cs="Segoe UI" w:eastAsia="Segoe UI"/>
          <w:color w:val="67973F"/>
          <w:sz w:val="19"/>
          <w:szCs w:val="19"/>
        </w:rPr>
        <w:t>west</w:t>
      </w:r>
      <w:r>
        <w:rPr>
          <w:rFonts w:ascii="Segoe UI" w:hAnsi="Segoe UI" w:cs="Segoe UI" w:eastAsia="Segoe UI"/>
          <w:color w:val="67973F"/>
          <w:spacing w:val="-4"/>
          <w:sz w:val="19"/>
          <w:szCs w:val="19"/>
        </w:rPr>
        <w:t> </w:t>
      </w:r>
      <w:r>
        <w:rPr>
          <w:rFonts w:ascii="Segoe UI" w:hAnsi="Segoe UI" w:cs="Segoe UI" w:eastAsia="Segoe UI"/>
          <w:color w:val="67973F"/>
          <w:sz w:val="19"/>
          <w:szCs w:val="19"/>
        </w:rPr>
        <w:t>of</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Fitzroy</w:t>
      </w:r>
      <w:r>
        <w:rPr>
          <w:rFonts w:ascii="Segoe UI" w:hAnsi="Segoe UI" w:cs="Segoe UI" w:eastAsia="Segoe UI"/>
          <w:color w:val="67973F"/>
          <w:spacing w:val="-2"/>
          <w:sz w:val="19"/>
          <w:szCs w:val="19"/>
        </w:rPr>
        <w:t> </w:t>
      </w:r>
      <w:r>
        <w:rPr>
          <w:rFonts w:ascii="Segoe UI" w:hAnsi="Segoe UI" w:cs="Segoe UI" w:eastAsia="Segoe UI"/>
          <w:color w:val="67973F"/>
          <w:spacing w:val="-1"/>
          <w:sz w:val="19"/>
          <w:szCs w:val="19"/>
        </w:rPr>
        <w:t>Crossing</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in</w:t>
      </w:r>
      <w:r>
        <w:rPr>
          <w:rFonts w:ascii="Segoe UI" w:hAnsi="Segoe UI" w:cs="Segoe UI" w:eastAsia="Segoe UI"/>
          <w:color w:val="67973F"/>
          <w:spacing w:val="-3"/>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Kimberley</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Region</w:t>
      </w:r>
      <w:r>
        <w:rPr>
          <w:rFonts w:ascii="Segoe UI" w:hAnsi="Segoe UI" w:cs="Segoe UI" w:eastAsia="Segoe UI"/>
          <w:color w:val="67973F"/>
          <w:spacing w:val="25"/>
          <w:w w:val="99"/>
          <w:sz w:val="19"/>
          <w:szCs w:val="19"/>
        </w:rPr>
        <w:t> </w:t>
      </w:r>
      <w:r>
        <w:rPr>
          <w:rFonts w:ascii="Segoe UI" w:hAnsi="Segoe UI" w:cs="Segoe UI" w:eastAsia="Segoe UI"/>
          <w:color w:val="67973F"/>
          <w:sz w:val="19"/>
          <w:szCs w:val="19"/>
        </w:rPr>
        <w:t>of</w:t>
      </w:r>
      <w:r>
        <w:rPr>
          <w:rFonts w:ascii="Segoe UI" w:hAnsi="Segoe UI" w:cs="Segoe UI" w:eastAsia="Segoe UI"/>
          <w:color w:val="67973F"/>
          <w:spacing w:val="-4"/>
          <w:sz w:val="19"/>
          <w:szCs w:val="19"/>
        </w:rPr>
        <w:t> </w:t>
      </w:r>
      <w:r>
        <w:rPr>
          <w:rFonts w:ascii="Segoe UI" w:hAnsi="Segoe UI" w:cs="Segoe UI" w:eastAsia="Segoe UI"/>
          <w:color w:val="67973F"/>
          <w:spacing w:val="-2"/>
          <w:sz w:val="19"/>
          <w:szCs w:val="19"/>
        </w:rPr>
        <w:t>Western</w:t>
      </w:r>
      <w:r>
        <w:rPr>
          <w:rFonts w:ascii="Segoe UI" w:hAnsi="Segoe UI" w:cs="Segoe UI" w:eastAsia="Segoe UI"/>
          <w:color w:val="67973F"/>
          <w:spacing w:val="-5"/>
          <w:sz w:val="19"/>
          <w:szCs w:val="19"/>
        </w:rPr>
        <w:t> </w:t>
      </w:r>
      <w:r>
        <w:rPr>
          <w:rFonts w:ascii="Segoe UI" w:hAnsi="Segoe UI" w:cs="Segoe UI" w:eastAsia="Segoe UI"/>
          <w:color w:val="67973F"/>
          <w:sz w:val="19"/>
          <w:szCs w:val="19"/>
        </w:rPr>
        <w:t>Australia.</w:t>
      </w:r>
      <w:r>
        <w:rPr>
          <w:rFonts w:ascii="Segoe UI" w:hAnsi="Segoe UI" w:cs="Segoe UI" w:eastAsia="Segoe UI"/>
          <w:color w:val="67973F"/>
          <w:spacing w:val="-4"/>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studio</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school</w:t>
      </w:r>
      <w:r>
        <w:rPr>
          <w:rFonts w:ascii="Segoe UI" w:hAnsi="Segoe UI" w:cs="Segoe UI" w:eastAsia="Segoe UI"/>
          <w:color w:val="67973F"/>
          <w:spacing w:val="-3"/>
          <w:sz w:val="19"/>
          <w:szCs w:val="19"/>
        </w:rPr>
        <w:t> </w:t>
      </w:r>
      <w:r>
        <w:rPr>
          <w:rFonts w:ascii="Segoe UI" w:hAnsi="Segoe UI" w:cs="Segoe UI" w:eastAsia="Segoe UI"/>
          <w:color w:val="67973F"/>
          <w:sz w:val="19"/>
          <w:szCs w:val="19"/>
        </w:rPr>
        <w:t>began</w:t>
      </w:r>
      <w:r>
        <w:rPr>
          <w:rFonts w:ascii="Segoe UI" w:hAnsi="Segoe UI" w:cs="Segoe UI" w:eastAsia="Segoe UI"/>
          <w:color w:val="67973F"/>
          <w:spacing w:val="29"/>
          <w:w w:val="99"/>
          <w:sz w:val="19"/>
          <w:szCs w:val="19"/>
        </w:rPr>
        <w:t> </w:t>
      </w:r>
      <w:r>
        <w:rPr>
          <w:rFonts w:ascii="Segoe UI" w:hAnsi="Segoe UI" w:cs="Segoe UI" w:eastAsia="Segoe UI"/>
          <w:color w:val="67973F"/>
          <w:sz w:val="19"/>
          <w:szCs w:val="19"/>
        </w:rPr>
        <w:t>operations</w:t>
      </w:r>
      <w:r>
        <w:rPr>
          <w:rFonts w:ascii="Segoe UI" w:hAnsi="Segoe UI" w:cs="Segoe UI" w:eastAsia="Segoe UI"/>
          <w:color w:val="67973F"/>
          <w:spacing w:val="-6"/>
          <w:sz w:val="19"/>
          <w:szCs w:val="19"/>
        </w:rPr>
        <w:t> </w:t>
      </w:r>
      <w:r>
        <w:rPr>
          <w:rFonts w:ascii="Segoe UI" w:hAnsi="Segoe UI" w:cs="Segoe UI" w:eastAsia="Segoe UI"/>
          <w:color w:val="67973F"/>
          <w:sz w:val="19"/>
          <w:szCs w:val="19"/>
        </w:rPr>
        <w:t>on</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15</w:t>
      </w:r>
      <w:r>
        <w:rPr>
          <w:rFonts w:ascii="Segoe UI" w:hAnsi="Segoe UI" w:cs="Segoe UI" w:eastAsia="Segoe UI"/>
          <w:color w:val="67973F"/>
          <w:spacing w:val="-4"/>
          <w:sz w:val="19"/>
          <w:szCs w:val="19"/>
        </w:rPr>
        <w:t> </w:t>
      </w:r>
      <w:r>
        <w:rPr>
          <w:rFonts w:ascii="Segoe UI" w:hAnsi="Segoe UI" w:cs="Segoe UI" w:eastAsia="Segoe UI"/>
          <w:color w:val="67973F"/>
          <w:sz w:val="19"/>
          <w:szCs w:val="19"/>
        </w:rPr>
        <w:t>August</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2010.</w:t>
      </w:r>
      <w:r>
        <w:rPr>
          <w:rFonts w:ascii="Segoe UI" w:hAnsi="Segoe UI" w:cs="Segoe UI" w:eastAsia="Segoe UI"/>
          <w:sz w:val="19"/>
          <w:szCs w:val="19"/>
        </w:rPr>
      </w:r>
    </w:p>
    <w:p>
      <w:pPr>
        <w:spacing w:line="265" w:lineRule="auto" w:before="113"/>
        <w:ind w:left="145" w:right="295" w:firstLine="0"/>
        <w:jc w:val="left"/>
        <w:rPr>
          <w:rFonts w:ascii="Segoe UI" w:hAnsi="Segoe UI" w:cs="Segoe UI" w:eastAsia="Segoe UI"/>
          <w:sz w:val="19"/>
          <w:szCs w:val="19"/>
        </w:rPr>
      </w:pPr>
      <w:r>
        <w:rPr>
          <w:rFonts w:ascii="Segoe UI"/>
          <w:color w:val="67973F"/>
          <w:spacing w:val="-1"/>
          <w:sz w:val="19"/>
        </w:rPr>
        <w:t>In</w:t>
      </w:r>
      <w:r>
        <w:rPr>
          <w:rFonts w:ascii="Segoe UI"/>
          <w:color w:val="67973F"/>
          <w:spacing w:val="-4"/>
          <w:sz w:val="19"/>
        </w:rPr>
        <w:t> </w:t>
      </w:r>
      <w:r>
        <w:rPr>
          <w:rFonts w:ascii="Segoe UI"/>
          <w:color w:val="67973F"/>
          <w:sz w:val="19"/>
        </w:rPr>
        <w:t>a</w:t>
      </w:r>
      <w:r>
        <w:rPr>
          <w:rFonts w:ascii="Segoe UI"/>
          <w:color w:val="67973F"/>
          <w:spacing w:val="-4"/>
          <w:sz w:val="19"/>
        </w:rPr>
        <w:t> </w:t>
      </w:r>
      <w:r>
        <w:rPr>
          <w:rFonts w:ascii="Segoe UI"/>
          <w:color w:val="67973F"/>
          <w:sz w:val="19"/>
        </w:rPr>
        <w:t>new</w:t>
      </w:r>
      <w:r>
        <w:rPr>
          <w:rFonts w:ascii="Segoe UI"/>
          <w:color w:val="67973F"/>
          <w:spacing w:val="-4"/>
          <w:sz w:val="19"/>
        </w:rPr>
        <w:t> </w:t>
      </w:r>
      <w:r>
        <w:rPr>
          <w:rFonts w:ascii="Segoe UI"/>
          <w:color w:val="67973F"/>
          <w:spacing w:val="-1"/>
          <w:sz w:val="19"/>
        </w:rPr>
        <w:t>model</w:t>
      </w:r>
      <w:r>
        <w:rPr>
          <w:rFonts w:ascii="Segoe UI"/>
          <w:color w:val="67973F"/>
          <w:spacing w:val="-4"/>
          <w:sz w:val="19"/>
        </w:rPr>
        <w:t> </w:t>
      </w:r>
      <w:r>
        <w:rPr>
          <w:rFonts w:ascii="Segoe UI"/>
          <w:color w:val="67973F"/>
          <w:sz w:val="19"/>
        </w:rPr>
        <w:t>of</w:t>
      </w:r>
      <w:r>
        <w:rPr>
          <w:rFonts w:ascii="Segoe UI"/>
          <w:color w:val="67973F"/>
          <w:spacing w:val="-4"/>
          <w:sz w:val="19"/>
        </w:rPr>
        <w:t> </w:t>
      </w:r>
      <w:r>
        <w:rPr>
          <w:rFonts w:ascii="Segoe UI"/>
          <w:color w:val="67973F"/>
          <w:spacing w:val="-1"/>
          <w:sz w:val="19"/>
        </w:rPr>
        <w:t>schooling,</w:t>
      </w:r>
      <w:r>
        <w:rPr>
          <w:rFonts w:ascii="Segoe UI"/>
          <w:color w:val="67973F"/>
          <w:spacing w:val="-4"/>
          <w:sz w:val="19"/>
        </w:rPr>
        <w:t> </w:t>
      </w:r>
      <w:r>
        <w:rPr>
          <w:rFonts w:ascii="Segoe UI"/>
          <w:color w:val="67973F"/>
          <w:sz w:val="19"/>
        </w:rPr>
        <w:t>Yiramalay</w:t>
      </w:r>
      <w:r>
        <w:rPr>
          <w:rFonts w:ascii="Segoe UI"/>
          <w:color w:val="67973F"/>
          <w:spacing w:val="-4"/>
          <w:sz w:val="19"/>
        </w:rPr>
        <w:t> </w:t>
      </w:r>
      <w:r>
        <w:rPr>
          <w:rFonts w:ascii="Segoe UI"/>
          <w:color w:val="67973F"/>
          <w:sz w:val="19"/>
        </w:rPr>
        <w:t>brings</w:t>
      </w:r>
      <w:r>
        <w:rPr>
          <w:rFonts w:ascii="Segoe UI"/>
          <w:color w:val="67973F"/>
          <w:spacing w:val="24"/>
          <w:w w:val="99"/>
          <w:sz w:val="19"/>
        </w:rPr>
        <w:t> </w:t>
      </w:r>
      <w:r>
        <w:rPr>
          <w:rFonts w:ascii="Segoe UI"/>
          <w:color w:val="67973F"/>
          <w:sz w:val="19"/>
        </w:rPr>
        <w:t>together</w:t>
      </w:r>
      <w:r>
        <w:rPr>
          <w:rFonts w:ascii="Segoe UI"/>
          <w:color w:val="67973F"/>
          <w:spacing w:val="-9"/>
          <w:sz w:val="19"/>
        </w:rPr>
        <w:t> </w:t>
      </w:r>
      <w:r>
        <w:rPr>
          <w:rFonts w:ascii="Segoe UI"/>
          <w:color w:val="67973F"/>
          <w:sz w:val="19"/>
        </w:rPr>
        <w:t>Aboriginal</w:t>
      </w:r>
      <w:r>
        <w:rPr>
          <w:rFonts w:ascii="Segoe UI"/>
          <w:color w:val="67973F"/>
          <w:spacing w:val="-8"/>
          <w:sz w:val="19"/>
        </w:rPr>
        <w:t> </w:t>
      </w:r>
      <w:r>
        <w:rPr>
          <w:rFonts w:ascii="Segoe UI"/>
          <w:color w:val="67973F"/>
          <w:sz w:val="19"/>
        </w:rPr>
        <w:t>and</w:t>
      </w:r>
      <w:r>
        <w:rPr>
          <w:rFonts w:ascii="Segoe UI"/>
          <w:color w:val="67973F"/>
          <w:spacing w:val="-9"/>
          <w:sz w:val="19"/>
        </w:rPr>
        <w:t> </w:t>
      </w:r>
      <w:r>
        <w:rPr>
          <w:rFonts w:ascii="Segoe UI"/>
          <w:color w:val="67973F"/>
          <w:sz w:val="19"/>
        </w:rPr>
        <w:t>non-Aboriginal</w:t>
      </w:r>
      <w:r>
        <w:rPr>
          <w:rFonts w:ascii="Segoe UI"/>
          <w:color w:val="67973F"/>
          <w:spacing w:val="-9"/>
          <w:sz w:val="19"/>
        </w:rPr>
        <w:t> </w:t>
      </w:r>
      <w:r>
        <w:rPr>
          <w:rFonts w:ascii="Segoe UI"/>
          <w:color w:val="67973F"/>
          <w:spacing w:val="-1"/>
          <w:sz w:val="19"/>
        </w:rPr>
        <w:t>students</w:t>
      </w:r>
      <w:r>
        <w:rPr>
          <w:rFonts w:ascii="Segoe UI"/>
          <w:color w:val="67973F"/>
          <w:spacing w:val="20"/>
          <w:sz w:val="19"/>
        </w:rPr>
        <w:t> </w:t>
      </w:r>
      <w:r>
        <w:rPr>
          <w:rFonts w:ascii="Segoe UI"/>
          <w:color w:val="67973F"/>
          <w:spacing w:val="-1"/>
          <w:sz w:val="19"/>
        </w:rPr>
        <w:t>in</w:t>
      </w:r>
      <w:r>
        <w:rPr>
          <w:rFonts w:ascii="Segoe UI"/>
          <w:color w:val="67973F"/>
          <w:spacing w:val="-6"/>
          <w:sz w:val="19"/>
        </w:rPr>
        <w:t> </w:t>
      </w:r>
      <w:r>
        <w:rPr>
          <w:rFonts w:ascii="Segoe UI"/>
          <w:color w:val="67973F"/>
          <w:sz w:val="19"/>
        </w:rPr>
        <w:t>both</w:t>
      </w:r>
      <w:r>
        <w:rPr>
          <w:rFonts w:ascii="Segoe UI"/>
          <w:color w:val="67973F"/>
          <w:spacing w:val="-7"/>
          <w:sz w:val="19"/>
        </w:rPr>
        <w:t> </w:t>
      </w:r>
      <w:r>
        <w:rPr>
          <w:rFonts w:ascii="Segoe UI"/>
          <w:color w:val="67973F"/>
          <w:sz w:val="19"/>
        </w:rPr>
        <w:t>remote</w:t>
      </w:r>
      <w:r>
        <w:rPr>
          <w:rFonts w:ascii="Segoe UI"/>
          <w:color w:val="67973F"/>
          <w:spacing w:val="-6"/>
          <w:sz w:val="19"/>
        </w:rPr>
        <w:t> </w:t>
      </w:r>
      <w:r>
        <w:rPr>
          <w:rFonts w:ascii="Segoe UI"/>
          <w:color w:val="67973F"/>
          <w:sz w:val="19"/>
        </w:rPr>
        <w:t>outback</w:t>
      </w:r>
      <w:r>
        <w:rPr>
          <w:rFonts w:ascii="Segoe UI"/>
          <w:color w:val="67973F"/>
          <w:spacing w:val="-7"/>
          <w:sz w:val="19"/>
        </w:rPr>
        <w:t> </w:t>
      </w:r>
      <w:r>
        <w:rPr>
          <w:rFonts w:ascii="Segoe UI"/>
          <w:color w:val="67973F"/>
          <w:sz w:val="19"/>
        </w:rPr>
        <w:t>and</w:t>
      </w:r>
      <w:r>
        <w:rPr>
          <w:rFonts w:ascii="Segoe UI"/>
          <w:color w:val="67973F"/>
          <w:spacing w:val="-6"/>
          <w:sz w:val="19"/>
        </w:rPr>
        <w:t> </w:t>
      </w:r>
      <w:r>
        <w:rPr>
          <w:rFonts w:ascii="Segoe UI"/>
          <w:color w:val="67973F"/>
          <w:sz w:val="19"/>
        </w:rPr>
        <w:t>urban</w:t>
      </w:r>
      <w:r>
        <w:rPr>
          <w:rFonts w:ascii="Segoe UI"/>
          <w:color w:val="67973F"/>
          <w:spacing w:val="-6"/>
          <w:sz w:val="19"/>
        </w:rPr>
        <w:t> </w:t>
      </w:r>
      <w:r>
        <w:rPr>
          <w:rFonts w:ascii="Segoe UI"/>
          <w:color w:val="67973F"/>
          <w:sz w:val="19"/>
        </w:rPr>
        <w:t>Australian</w:t>
      </w:r>
      <w:r>
        <w:rPr>
          <w:rFonts w:ascii="Segoe UI"/>
          <w:color w:val="67973F"/>
          <w:spacing w:val="21"/>
          <w:w w:val="99"/>
          <w:sz w:val="19"/>
        </w:rPr>
        <w:t> </w:t>
      </w:r>
      <w:r>
        <w:rPr>
          <w:rFonts w:ascii="Segoe UI"/>
          <w:color w:val="67973F"/>
          <w:sz w:val="19"/>
        </w:rPr>
        <w:t>environments.</w:t>
      </w:r>
      <w:r>
        <w:rPr>
          <w:rFonts w:ascii="Segoe UI"/>
          <w:color w:val="67973F"/>
          <w:spacing w:val="-9"/>
          <w:sz w:val="19"/>
        </w:rPr>
        <w:t> </w:t>
      </w:r>
      <w:r>
        <w:rPr>
          <w:rFonts w:ascii="Segoe UI"/>
          <w:color w:val="67973F"/>
          <w:sz w:val="19"/>
        </w:rPr>
        <w:t>The</w:t>
      </w:r>
      <w:r>
        <w:rPr>
          <w:rFonts w:ascii="Segoe UI"/>
          <w:color w:val="67973F"/>
          <w:spacing w:val="-8"/>
          <w:sz w:val="19"/>
        </w:rPr>
        <w:t> </w:t>
      </w:r>
      <w:r>
        <w:rPr>
          <w:rFonts w:ascii="Segoe UI"/>
          <w:color w:val="67973F"/>
          <w:spacing w:val="-1"/>
          <w:sz w:val="19"/>
        </w:rPr>
        <w:t>location</w:t>
      </w:r>
      <w:r>
        <w:rPr>
          <w:rFonts w:ascii="Segoe UI"/>
          <w:color w:val="67973F"/>
          <w:spacing w:val="-8"/>
          <w:sz w:val="19"/>
        </w:rPr>
        <w:t> </w:t>
      </w:r>
      <w:r>
        <w:rPr>
          <w:rFonts w:ascii="Segoe UI"/>
          <w:color w:val="67973F"/>
          <w:sz w:val="19"/>
        </w:rPr>
        <w:t>and</w:t>
      </w:r>
      <w:r>
        <w:rPr>
          <w:rFonts w:ascii="Segoe UI"/>
          <w:color w:val="67973F"/>
          <w:spacing w:val="-9"/>
          <w:sz w:val="19"/>
        </w:rPr>
        <w:t> </w:t>
      </w:r>
      <w:r>
        <w:rPr>
          <w:rFonts w:ascii="Segoe UI"/>
          <w:color w:val="67973F"/>
          <w:sz w:val="19"/>
        </w:rPr>
        <w:t>residential</w:t>
      </w:r>
      <w:r>
        <w:rPr>
          <w:rFonts w:ascii="Segoe UI"/>
          <w:color w:val="67973F"/>
          <w:spacing w:val="-9"/>
          <w:sz w:val="19"/>
        </w:rPr>
        <w:t> </w:t>
      </w:r>
      <w:r>
        <w:rPr>
          <w:rFonts w:ascii="Segoe UI"/>
          <w:color w:val="67973F"/>
          <w:sz w:val="19"/>
        </w:rPr>
        <w:t>nature</w:t>
      </w:r>
      <w:r>
        <w:rPr>
          <w:rFonts w:ascii="Segoe UI"/>
          <w:color w:val="67973F"/>
          <w:spacing w:val="22"/>
          <w:w w:val="99"/>
          <w:sz w:val="19"/>
        </w:rPr>
        <w:t> </w:t>
      </w:r>
      <w:r>
        <w:rPr>
          <w:rFonts w:ascii="Segoe UI"/>
          <w:color w:val="67973F"/>
          <w:sz w:val="19"/>
        </w:rPr>
        <w:t>of</w:t>
      </w:r>
      <w:r>
        <w:rPr>
          <w:rFonts w:ascii="Segoe UI"/>
          <w:color w:val="67973F"/>
          <w:spacing w:val="-2"/>
          <w:sz w:val="19"/>
        </w:rPr>
        <w:t> </w:t>
      </w:r>
      <w:r>
        <w:rPr>
          <w:rFonts w:ascii="Segoe UI"/>
          <w:color w:val="67973F"/>
          <w:sz w:val="19"/>
        </w:rPr>
        <w:t>the</w:t>
      </w:r>
      <w:r>
        <w:rPr>
          <w:rFonts w:ascii="Segoe UI"/>
          <w:color w:val="67973F"/>
          <w:spacing w:val="-2"/>
          <w:sz w:val="19"/>
        </w:rPr>
        <w:t> </w:t>
      </w:r>
      <w:r>
        <w:rPr>
          <w:rFonts w:ascii="Segoe UI"/>
          <w:color w:val="67973F"/>
          <w:spacing w:val="-1"/>
          <w:sz w:val="19"/>
        </w:rPr>
        <w:t>studio school </w:t>
      </w:r>
      <w:r>
        <w:rPr>
          <w:rFonts w:ascii="Segoe UI"/>
          <w:color w:val="67973F"/>
          <w:sz w:val="19"/>
        </w:rPr>
        <w:t>allows</w:t>
      </w:r>
      <w:r>
        <w:rPr>
          <w:rFonts w:ascii="Segoe UI"/>
          <w:color w:val="67973F"/>
          <w:spacing w:val="-2"/>
          <w:sz w:val="19"/>
        </w:rPr>
        <w:t> </w:t>
      </w:r>
      <w:r>
        <w:rPr>
          <w:rFonts w:ascii="Segoe UI"/>
          <w:color w:val="67973F"/>
          <w:spacing w:val="-1"/>
          <w:sz w:val="19"/>
        </w:rPr>
        <w:t>students </w:t>
      </w:r>
      <w:r>
        <w:rPr>
          <w:rFonts w:ascii="Segoe UI"/>
          <w:color w:val="67973F"/>
          <w:sz w:val="19"/>
        </w:rPr>
        <w:t>to</w:t>
      </w:r>
      <w:r>
        <w:rPr>
          <w:rFonts w:ascii="Segoe UI"/>
          <w:color w:val="67973F"/>
          <w:spacing w:val="-1"/>
          <w:sz w:val="19"/>
        </w:rPr>
        <w:t> </w:t>
      </w:r>
      <w:r>
        <w:rPr>
          <w:rFonts w:ascii="Segoe UI"/>
          <w:color w:val="67973F"/>
          <w:sz w:val="19"/>
        </w:rPr>
        <w:t>be</w:t>
      </w:r>
      <w:r>
        <w:rPr>
          <w:rFonts w:ascii="Segoe UI"/>
          <w:color w:val="67973F"/>
          <w:spacing w:val="-1"/>
          <w:sz w:val="19"/>
        </w:rPr>
        <w:t> </w:t>
      </w:r>
      <w:r>
        <w:rPr>
          <w:rFonts w:ascii="Segoe UI"/>
          <w:color w:val="67973F"/>
          <w:sz w:val="19"/>
        </w:rPr>
        <w:t>fully</w:t>
      </w:r>
      <w:r>
        <w:rPr>
          <w:rFonts w:ascii="Segoe UI"/>
          <w:color w:val="67973F"/>
          <w:spacing w:val="24"/>
          <w:sz w:val="19"/>
        </w:rPr>
        <w:t> </w:t>
      </w:r>
      <w:r>
        <w:rPr>
          <w:rFonts w:ascii="Segoe UI"/>
          <w:color w:val="67973F"/>
          <w:spacing w:val="-1"/>
          <w:sz w:val="19"/>
        </w:rPr>
        <w:t>immersed</w:t>
      </w:r>
      <w:r>
        <w:rPr>
          <w:rFonts w:ascii="Segoe UI"/>
          <w:color w:val="67973F"/>
          <w:spacing w:val="-2"/>
          <w:sz w:val="19"/>
        </w:rPr>
        <w:t> </w:t>
      </w:r>
      <w:r>
        <w:rPr>
          <w:rFonts w:ascii="Segoe UI"/>
          <w:color w:val="67973F"/>
          <w:spacing w:val="-1"/>
          <w:sz w:val="19"/>
        </w:rPr>
        <w:t>in</w:t>
      </w:r>
      <w:r>
        <w:rPr>
          <w:rFonts w:ascii="Segoe UI"/>
          <w:color w:val="67973F"/>
          <w:spacing w:val="-2"/>
          <w:sz w:val="19"/>
        </w:rPr>
        <w:t> </w:t>
      </w:r>
      <w:r>
        <w:rPr>
          <w:rFonts w:ascii="Segoe UI"/>
          <w:color w:val="67973F"/>
          <w:sz w:val="19"/>
        </w:rPr>
        <w:t>the</w:t>
      </w:r>
      <w:r>
        <w:rPr>
          <w:rFonts w:ascii="Segoe UI"/>
          <w:color w:val="67973F"/>
          <w:spacing w:val="-3"/>
          <w:sz w:val="19"/>
        </w:rPr>
        <w:t> </w:t>
      </w:r>
      <w:r>
        <w:rPr>
          <w:rFonts w:ascii="Segoe UI"/>
          <w:color w:val="67973F"/>
          <w:sz w:val="19"/>
        </w:rPr>
        <w:t>culture</w:t>
      </w:r>
      <w:r>
        <w:rPr>
          <w:rFonts w:ascii="Segoe UI"/>
          <w:color w:val="67973F"/>
          <w:spacing w:val="-3"/>
          <w:sz w:val="19"/>
        </w:rPr>
        <w:t> </w:t>
      </w:r>
      <w:r>
        <w:rPr>
          <w:rFonts w:ascii="Segoe UI"/>
          <w:color w:val="67973F"/>
          <w:sz w:val="19"/>
        </w:rPr>
        <w:t>and</w:t>
      </w:r>
      <w:r>
        <w:rPr>
          <w:rFonts w:ascii="Segoe UI"/>
          <w:color w:val="67973F"/>
          <w:spacing w:val="-3"/>
          <w:sz w:val="19"/>
        </w:rPr>
        <w:t> </w:t>
      </w:r>
      <w:r>
        <w:rPr>
          <w:rFonts w:ascii="Segoe UI"/>
          <w:color w:val="67973F"/>
          <w:spacing w:val="-1"/>
          <w:sz w:val="19"/>
        </w:rPr>
        <w:t>local</w:t>
      </w:r>
      <w:r>
        <w:rPr>
          <w:rFonts w:ascii="Segoe UI"/>
          <w:color w:val="67973F"/>
          <w:spacing w:val="-2"/>
          <w:sz w:val="19"/>
        </w:rPr>
        <w:t> </w:t>
      </w:r>
      <w:r>
        <w:rPr>
          <w:rFonts w:ascii="Segoe UI"/>
          <w:color w:val="67973F"/>
          <w:sz w:val="19"/>
        </w:rPr>
        <w:t>community</w:t>
      </w:r>
      <w:r>
        <w:rPr>
          <w:rFonts w:ascii="Segoe UI"/>
          <w:color w:val="67973F"/>
          <w:spacing w:val="24"/>
          <w:sz w:val="19"/>
        </w:rPr>
        <w:t> </w:t>
      </w:r>
      <w:r>
        <w:rPr>
          <w:rFonts w:ascii="Segoe UI"/>
          <w:color w:val="67973F"/>
          <w:sz w:val="19"/>
        </w:rPr>
        <w:t>whether</w:t>
      </w:r>
      <w:r>
        <w:rPr>
          <w:rFonts w:ascii="Segoe UI"/>
          <w:color w:val="67973F"/>
          <w:spacing w:val="-5"/>
          <w:sz w:val="19"/>
        </w:rPr>
        <w:t> </w:t>
      </w:r>
      <w:r>
        <w:rPr>
          <w:rFonts w:ascii="Segoe UI"/>
          <w:color w:val="67973F"/>
          <w:spacing w:val="-1"/>
          <w:sz w:val="19"/>
        </w:rPr>
        <w:t>in</w:t>
      </w:r>
      <w:r>
        <w:rPr>
          <w:rFonts w:ascii="Segoe UI"/>
          <w:color w:val="67973F"/>
          <w:spacing w:val="-3"/>
          <w:sz w:val="19"/>
        </w:rPr>
        <w:t> </w:t>
      </w:r>
      <w:r>
        <w:rPr>
          <w:rFonts w:ascii="Segoe UI"/>
          <w:color w:val="67973F"/>
          <w:sz w:val="19"/>
        </w:rPr>
        <w:t>the</w:t>
      </w:r>
      <w:r>
        <w:rPr>
          <w:rFonts w:ascii="Segoe UI"/>
          <w:color w:val="67973F"/>
          <w:spacing w:val="-5"/>
          <w:sz w:val="19"/>
        </w:rPr>
        <w:t> </w:t>
      </w:r>
      <w:r>
        <w:rPr>
          <w:rFonts w:ascii="Segoe UI"/>
          <w:color w:val="67973F"/>
          <w:spacing w:val="-1"/>
          <w:sz w:val="19"/>
        </w:rPr>
        <w:t>Kimberley</w:t>
      </w:r>
      <w:r>
        <w:rPr>
          <w:rFonts w:ascii="Segoe UI"/>
          <w:color w:val="67973F"/>
          <w:spacing w:val="-3"/>
          <w:sz w:val="19"/>
        </w:rPr>
        <w:t> </w:t>
      </w:r>
      <w:r>
        <w:rPr>
          <w:rFonts w:ascii="Segoe UI"/>
          <w:color w:val="67973F"/>
          <w:sz w:val="19"/>
        </w:rPr>
        <w:t>or</w:t>
      </w:r>
      <w:r>
        <w:rPr>
          <w:rFonts w:ascii="Segoe UI"/>
          <w:color w:val="67973F"/>
          <w:spacing w:val="-4"/>
          <w:sz w:val="19"/>
        </w:rPr>
        <w:t> </w:t>
      </w:r>
      <w:r>
        <w:rPr>
          <w:rFonts w:ascii="Segoe UI"/>
          <w:color w:val="67973F"/>
          <w:spacing w:val="-1"/>
          <w:sz w:val="19"/>
        </w:rPr>
        <w:t>in</w:t>
      </w:r>
      <w:r>
        <w:rPr>
          <w:rFonts w:ascii="Segoe UI"/>
          <w:color w:val="67973F"/>
          <w:spacing w:val="-3"/>
          <w:sz w:val="19"/>
        </w:rPr>
        <w:t> </w:t>
      </w:r>
      <w:r>
        <w:rPr>
          <w:rFonts w:ascii="Segoe UI"/>
          <w:color w:val="67973F"/>
          <w:sz w:val="19"/>
        </w:rPr>
        <w:t>Melbourne.</w:t>
      </w:r>
      <w:r>
        <w:rPr>
          <w:rFonts w:ascii="Segoe UI"/>
          <w:sz w:val="19"/>
        </w:rPr>
      </w:r>
    </w:p>
    <w:p>
      <w:pPr>
        <w:spacing w:line="265" w:lineRule="auto" w:before="113"/>
        <w:ind w:left="145" w:right="325" w:firstLine="0"/>
        <w:jc w:val="left"/>
        <w:rPr>
          <w:rFonts w:ascii="Segoe UI" w:hAnsi="Segoe UI" w:cs="Segoe UI" w:eastAsia="Segoe UI"/>
          <w:sz w:val="19"/>
          <w:szCs w:val="19"/>
        </w:rPr>
      </w:pPr>
      <w:r>
        <w:rPr>
          <w:rFonts w:ascii="Segoe UI"/>
          <w:color w:val="67973F"/>
          <w:sz w:val="19"/>
        </w:rPr>
        <w:t>The</w:t>
      </w:r>
      <w:r>
        <w:rPr>
          <w:rFonts w:ascii="Segoe UI"/>
          <w:color w:val="67973F"/>
          <w:spacing w:val="-4"/>
          <w:sz w:val="19"/>
        </w:rPr>
        <w:t> </w:t>
      </w:r>
      <w:r>
        <w:rPr>
          <w:rFonts w:ascii="Segoe UI"/>
          <w:color w:val="67973F"/>
          <w:spacing w:val="-1"/>
          <w:sz w:val="19"/>
        </w:rPr>
        <w:t>Yiramalay/Wesley</w:t>
      </w:r>
      <w:r>
        <w:rPr>
          <w:rFonts w:ascii="Segoe UI"/>
          <w:color w:val="67973F"/>
          <w:spacing w:val="-4"/>
          <w:sz w:val="19"/>
        </w:rPr>
        <w:t> </w:t>
      </w:r>
      <w:r>
        <w:rPr>
          <w:rFonts w:ascii="Segoe UI"/>
          <w:color w:val="67973F"/>
          <w:spacing w:val="-2"/>
          <w:sz w:val="19"/>
        </w:rPr>
        <w:t>Studio</w:t>
      </w:r>
      <w:r>
        <w:rPr>
          <w:rFonts w:ascii="Segoe UI"/>
          <w:color w:val="67973F"/>
          <w:spacing w:val="-4"/>
          <w:sz w:val="19"/>
        </w:rPr>
        <w:t> </w:t>
      </w:r>
      <w:r>
        <w:rPr>
          <w:rFonts w:ascii="Segoe UI"/>
          <w:color w:val="67973F"/>
          <w:spacing w:val="-1"/>
          <w:sz w:val="19"/>
        </w:rPr>
        <w:t>School</w:t>
      </w:r>
      <w:r>
        <w:rPr>
          <w:rFonts w:ascii="Segoe UI"/>
          <w:color w:val="67973F"/>
          <w:spacing w:val="-3"/>
          <w:sz w:val="19"/>
        </w:rPr>
        <w:t> </w:t>
      </w:r>
      <w:r>
        <w:rPr>
          <w:rFonts w:ascii="Segoe UI"/>
          <w:color w:val="67973F"/>
          <w:sz w:val="19"/>
        </w:rPr>
        <w:t>has</w:t>
      </w:r>
      <w:r>
        <w:rPr>
          <w:rFonts w:ascii="Segoe UI"/>
          <w:color w:val="67973F"/>
          <w:spacing w:val="-4"/>
          <w:sz w:val="19"/>
        </w:rPr>
        <w:t> </w:t>
      </w:r>
      <w:r>
        <w:rPr>
          <w:rFonts w:ascii="Segoe UI"/>
          <w:color w:val="67973F"/>
          <w:sz w:val="19"/>
        </w:rPr>
        <w:t>a</w:t>
      </w:r>
      <w:r>
        <w:rPr>
          <w:rFonts w:ascii="Segoe UI"/>
          <w:color w:val="67973F"/>
          <w:spacing w:val="-4"/>
          <w:sz w:val="19"/>
        </w:rPr>
        <w:t> </w:t>
      </w:r>
      <w:r>
        <w:rPr>
          <w:rFonts w:ascii="Segoe UI"/>
          <w:color w:val="67973F"/>
          <w:spacing w:val="-1"/>
          <w:sz w:val="19"/>
        </w:rPr>
        <w:t>suite</w:t>
      </w:r>
      <w:r>
        <w:rPr>
          <w:rFonts w:ascii="Segoe UI"/>
          <w:color w:val="67973F"/>
          <w:spacing w:val="28"/>
          <w:sz w:val="19"/>
        </w:rPr>
        <w:t> </w:t>
      </w:r>
      <w:r>
        <w:rPr>
          <w:rFonts w:ascii="Segoe UI"/>
          <w:color w:val="67973F"/>
          <w:sz w:val="19"/>
        </w:rPr>
        <w:t>of</w:t>
      </w:r>
      <w:r>
        <w:rPr>
          <w:rFonts w:ascii="Segoe UI"/>
          <w:color w:val="67973F"/>
          <w:spacing w:val="-5"/>
          <w:sz w:val="19"/>
        </w:rPr>
        <w:t> </w:t>
      </w:r>
      <w:r>
        <w:rPr>
          <w:rFonts w:ascii="Segoe UI"/>
          <w:color w:val="67973F"/>
          <w:spacing w:val="-1"/>
          <w:sz w:val="19"/>
        </w:rPr>
        <w:t>support</w:t>
      </w:r>
      <w:r>
        <w:rPr>
          <w:rFonts w:ascii="Segoe UI"/>
          <w:color w:val="67973F"/>
          <w:spacing w:val="-4"/>
          <w:sz w:val="19"/>
        </w:rPr>
        <w:t> </w:t>
      </w:r>
      <w:r>
        <w:rPr>
          <w:rFonts w:ascii="Segoe UI"/>
          <w:color w:val="67973F"/>
          <w:spacing w:val="-1"/>
          <w:sz w:val="19"/>
        </w:rPr>
        <w:t>services</w:t>
      </w:r>
      <w:r>
        <w:rPr>
          <w:rFonts w:ascii="Segoe UI"/>
          <w:color w:val="67973F"/>
          <w:spacing w:val="-4"/>
          <w:sz w:val="19"/>
        </w:rPr>
        <w:t> </w:t>
      </w:r>
      <w:r>
        <w:rPr>
          <w:rFonts w:ascii="Segoe UI"/>
          <w:color w:val="67973F"/>
          <w:sz w:val="19"/>
        </w:rPr>
        <w:t>to</w:t>
      </w:r>
      <w:r>
        <w:rPr>
          <w:rFonts w:ascii="Segoe UI"/>
          <w:color w:val="67973F"/>
          <w:spacing w:val="-4"/>
          <w:sz w:val="19"/>
        </w:rPr>
        <w:t> </w:t>
      </w:r>
      <w:r>
        <w:rPr>
          <w:rFonts w:ascii="Segoe UI"/>
          <w:color w:val="67973F"/>
          <w:spacing w:val="-1"/>
          <w:sz w:val="19"/>
        </w:rPr>
        <w:t>support</w:t>
      </w:r>
      <w:r>
        <w:rPr>
          <w:rFonts w:ascii="Segoe UI"/>
          <w:color w:val="67973F"/>
          <w:spacing w:val="-5"/>
          <w:sz w:val="19"/>
        </w:rPr>
        <w:t> </w:t>
      </w:r>
      <w:r>
        <w:rPr>
          <w:rFonts w:ascii="Segoe UI"/>
          <w:color w:val="67973F"/>
          <w:sz w:val="19"/>
        </w:rPr>
        <w:t>boarders.</w:t>
      </w:r>
      <w:r>
        <w:rPr>
          <w:rFonts w:ascii="Segoe UI"/>
          <w:color w:val="67973F"/>
          <w:spacing w:val="-5"/>
          <w:sz w:val="19"/>
        </w:rPr>
        <w:t> </w:t>
      </w:r>
      <w:r>
        <w:rPr>
          <w:rFonts w:ascii="Segoe UI"/>
          <w:color w:val="67973F"/>
          <w:sz w:val="19"/>
        </w:rPr>
        <w:t>One</w:t>
      </w:r>
      <w:r>
        <w:rPr>
          <w:rFonts w:ascii="Segoe UI"/>
          <w:color w:val="67973F"/>
          <w:spacing w:val="-5"/>
          <w:sz w:val="19"/>
        </w:rPr>
        <w:t> </w:t>
      </w:r>
      <w:r>
        <w:rPr>
          <w:rFonts w:ascii="Segoe UI"/>
          <w:color w:val="67973F"/>
          <w:sz w:val="19"/>
        </w:rPr>
        <w:t>of</w:t>
      </w:r>
      <w:r>
        <w:rPr>
          <w:rFonts w:ascii="Segoe UI"/>
          <w:color w:val="67973F"/>
          <w:spacing w:val="24"/>
          <w:w w:val="99"/>
          <w:sz w:val="19"/>
        </w:rPr>
        <w:t> </w:t>
      </w:r>
      <w:r>
        <w:rPr>
          <w:rFonts w:ascii="Segoe UI"/>
          <w:color w:val="67973F"/>
          <w:sz w:val="19"/>
        </w:rPr>
        <w:t>those</w:t>
      </w:r>
      <w:r>
        <w:rPr>
          <w:rFonts w:ascii="Segoe UI"/>
          <w:color w:val="67973F"/>
          <w:spacing w:val="-4"/>
          <w:sz w:val="19"/>
        </w:rPr>
        <w:t> </w:t>
      </w:r>
      <w:r>
        <w:rPr>
          <w:rFonts w:ascii="Segoe UI"/>
          <w:color w:val="67973F"/>
          <w:spacing w:val="-1"/>
          <w:sz w:val="19"/>
        </w:rPr>
        <w:t>services</w:t>
      </w:r>
      <w:r>
        <w:rPr>
          <w:rFonts w:ascii="Segoe UI"/>
          <w:color w:val="67973F"/>
          <w:spacing w:val="-3"/>
          <w:sz w:val="19"/>
        </w:rPr>
        <w:t> </w:t>
      </w:r>
      <w:r>
        <w:rPr>
          <w:rFonts w:ascii="Segoe UI"/>
          <w:color w:val="67973F"/>
          <w:sz w:val="19"/>
        </w:rPr>
        <w:t>that</w:t>
      </w:r>
      <w:r>
        <w:rPr>
          <w:rFonts w:ascii="Segoe UI"/>
          <w:color w:val="67973F"/>
          <w:spacing w:val="-4"/>
          <w:sz w:val="19"/>
        </w:rPr>
        <w:t> </w:t>
      </w:r>
      <w:r>
        <w:rPr>
          <w:rFonts w:ascii="Segoe UI"/>
          <w:color w:val="67973F"/>
          <w:sz w:val="19"/>
        </w:rPr>
        <w:t>has</w:t>
      </w:r>
      <w:r>
        <w:rPr>
          <w:rFonts w:ascii="Segoe UI"/>
          <w:color w:val="67973F"/>
          <w:spacing w:val="-3"/>
          <w:sz w:val="19"/>
        </w:rPr>
        <w:t> </w:t>
      </w:r>
      <w:r>
        <w:rPr>
          <w:rFonts w:ascii="Segoe UI"/>
          <w:color w:val="67973F"/>
          <w:sz w:val="19"/>
        </w:rPr>
        <w:t>proven</w:t>
      </w:r>
      <w:r>
        <w:rPr>
          <w:rFonts w:ascii="Segoe UI"/>
          <w:color w:val="67973F"/>
          <w:spacing w:val="-4"/>
          <w:sz w:val="19"/>
        </w:rPr>
        <w:t> </w:t>
      </w:r>
      <w:r>
        <w:rPr>
          <w:rFonts w:ascii="Segoe UI"/>
          <w:color w:val="67973F"/>
          <w:sz w:val="19"/>
        </w:rPr>
        <w:t>highly</w:t>
      </w:r>
      <w:r>
        <w:rPr>
          <w:rFonts w:ascii="Segoe UI"/>
          <w:color w:val="67973F"/>
          <w:spacing w:val="-4"/>
          <w:sz w:val="19"/>
        </w:rPr>
        <w:t> </w:t>
      </w:r>
      <w:r>
        <w:rPr>
          <w:rFonts w:ascii="Segoe UI"/>
          <w:color w:val="67973F"/>
          <w:spacing w:val="-1"/>
          <w:sz w:val="19"/>
        </w:rPr>
        <w:t>successful</w:t>
      </w:r>
      <w:r>
        <w:rPr>
          <w:rFonts w:ascii="Segoe UI"/>
          <w:color w:val="67973F"/>
          <w:spacing w:val="-3"/>
          <w:sz w:val="19"/>
        </w:rPr>
        <w:t> </w:t>
      </w:r>
      <w:r>
        <w:rPr>
          <w:rFonts w:ascii="Segoe UI"/>
          <w:color w:val="67973F"/>
          <w:spacing w:val="-3"/>
          <w:sz w:val="19"/>
        </w:rPr>
      </w:r>
      <w:r>
        <w:rPr>
          <w:rFonts w:ascii="Segoe UI"/>
          <w:color w:val="67973F"/>
          <w:spacing w:val="-1"/>
          <w:sz w:val="19"/>
        </w:rPr>
        <w:t>is</w:t>
      </w:r>
      <w:r>
        <w:rPr>
          <w:rFonts w:ascii="Segoe UI"/>
          <w:color w:val="67973F"/>
          <w:spacing w:val="22"/>
          <w:sz w:val="19"/>
        </w:rPr>
        <w:t> </w:t>
      </w:r>
      <w:r>
        <w:rPr>
          <w:rFonts w:ascii="Segoe UI"/>
          <w:color w:val="67973F"/>
          <w:sz w:val="19"/>
        </w:rPr>
        <w:t>the</w:t>
      </w:r>
      <w:r>
        <w:rPr>
          <w:rFonts w:ascii="Segoe UI"/>
          <w:color w:val="67973F"/>
          <w:spacing w:val="-4"/>
          <w:sz w:val="19"/>
        </w:rPr>
        <w:t> </w:t>
      </w:r>
      <w:r>
        <w:rPr>
          <w:rFonts w:ascii="Segoe UI"/>
          <w:color w:val="67973F"/>
          <w:sz w:val="19"/>
        </w:rPr>
        <w:t>employment</w:t>
      </w:r>
      <w:r>
        <w:rPr>
          <w:rFonts w:ascii="Segoe UI"/>
          <w:color w:val="67973F"/>
          <w:spacing w:val="-4"/>
          <w:sz w:val="19"/>
        </w:rPr>
        <w:t> </w:t>
      </w:r>
      <w:r>
        <w:rPr>
          <w:rFonts w:ascii="Segoe UI"/>
          <w:color w:val="67973F"/>
          <w:sz w:val="19"/>
        </w:rPr>
        <w:t>of</w:t>
      </w:r>
      <w:r>
        <w:rPr>
          <w:rFonts w:ascii="Segoe UI"/>
          <w:color w:val="67973F"/>
          <w:spacing w:val="-3"/>
          <w:sz w:val="19"/>
        </w:rPr>
        <w:t> </w:t>
      </w:r>
      <w:r>
        <w:rPr>
          <w:rFonts w:ascii="Segoe UI"/>
          <w:color w:val="67973F"/>
          <w:sz w:val="19"/>
        </w:rPr>
        <w:t>people</w:t>
      </w:r>
      <w:r>
        <w:rPr>
          <w:rFonts w:ascii="Segoe UI"/>
          <w:color w:val="67973F"/>
          <w:spacing w:val="-4"/>
          <w:sz w:val="19"/>
        </w:rPr>
        <w:t> </w:t>
      </w:r>
      <w:r>
        <w:rPr>
          <w:rFonts w:ascii="Segoe UI"/>
          <w:color w:val="67973F"/>
          <w:sz w:val="19"/>
        </w:rPr>
        <w:t>from</w:t>
      </w:r>
      <w:r>
        <w:rPr>
          <w:rFonts w:ascii="Segoe UI"/>
          <w:color w:val="67973F"/>
          <w:spacing w:val="-3"/>
          <w:sz w:val="19"/>
        </w:rPr>
        <w:t> </w:t>
      </w:r>
      <w:r>
        <w:rPr>
          <w:rFonts w:ascii="Segoe UI"/>
          <w:color w:val="67973F"/>
          <w:sz w:val="19"/>
        </w:rPr>
        <w:t>the</w:t>
      </w:r>
      <w:r>
        <w:rPr>
          <w:rFonts w:ascii="Segoe UI"/>
          <w:color w:val="67973F"/>
          <w:spacing w:val="-3"/>
          <w:sz w:val="19"/>
        </w:rPr>
        <w:t> </w:t>
      </w:r>
      <w:r>
        <w:rPr>
          <w:rFonts w:ascii="Segoe UI"/>
          <w:color w:val="67973F"/>
          <w:sz w:val="19"/>
        </w:rPr>
        <w:t>home</w:t>
      </w:r>
      <w:r>
        <w:rPr>
          <w:rFonts w:ascii="Segoe UI"/>
          <w:color w:val="67973F"/>
          <w:sz w:val="19"/>
        </w:rPr>
        <w:t> communities</w:t>
      </w:r>
      <w:r>
        <w:rPr>
          <w:rFonts w:ascii="Segoe UI"/>
          <w:color w:val="67973F"/>
          <w:spacing w:val="-4"/>
          <w:sz w:val="19"/>
        </w:rPr>
        <w:t> </w:t>
      </w:r>
      <w:r>
        <w:rPr>
          <w:rFonts w:ascii="Segoe UI"/>
          <w:color w:val="67973F"/>
          <w:sz w:val="19"/>
        </w:rPr>
        <w:t>of</w:t>
      </w:r>
      <w:r>
        <w:rPr>
          <w:rFonts w:ascii="Segoe UI"/>
          <w:color w:val="67973F"/>
          <w:spacing w:val="-2"/>
          <w:sz w:val="19"/>
        </w:rPr>
        <w:t> </w:t>
      </w:r>
      <w:r>
        <w:rPr>
          <w:rFonts w:ascii="Segoe UI"/>
          <w:color w:val="67973F"/>
          <w:spacing w:val="-1"/>
          <w:sz w:val="19"/>
        </w:rPr>
        <w:t>students</w:t>
      </w:r>
      <w:r>
        <w:rPr>
          <w:rFonts w:ascii="Segoe UI"/>
          <w:color w:val="67973F"/>
          <w:spacing w:val="-2"/>
          <w:sz w:val="19"/>
        </w:rPr>
        <w:t> </w:t>
      </w:r>
      <w:r>
        <w:rPr>
          <w:rFonts w:ascii="Segoe UI"/>
          <w:color w:val="67973F"/>
          <w:sz w:val="19"/>
        </w:rPr>
        <w:t>to</w:t>
      </w:r>
      <w:r>
        <w:rPr>
          <w:rFonts w:ascii="Segoe UI"/>
          <w:color w:val="67973F"/>
          <w:spacing w:val="-2"/>
          <w:sz w:val="19"/>
        </w:rPr>
        <w:t> </w:t>
      </w:r>
      <w:r>
        <w:rPr>
          <w:rFonts w:ascii="Segoe UI"/>
          <w:color w:val="67973F"/>
          <w:sz w:val="19"/>
        </w:rPr>
        <w:t>act</w:t>
      </w:r>
      <w:r>
        <w:rPr>
          <w:rFonts w:ascii="Segoe UI"/>
          <w:color w:val="67973F"/>
          <w:spacing w:val="-3"/>
          <w:sz w:val="19"/>
        </w:rPr>
        <w:t> </w:t>
      </w:r>
      <w:r>
        <w:rPr>
          <w:rFonts w:ascii="Segoe UI"/>
          <w:color w:val="67973F"/>
          <w:sz w:val="19"/>
        </w:rPr>
        <w:t>as</w:t>
      </w:r>
      <w:r>
        <w:rPr>
          <w:rFonts w:ascii="Segoe UI"/>
          <w:color w:val="67973F"/>
          <w:spacing w:val="-4"/>
          <w:sz w:val="19"/>
        </w:rPr>
        <w:t> </w:t>
      </w:r>
      <w:r>
        <w:rPr>
          <w:rFonts w:ascii="Segoe UI"/>
          <w:color w:val="67973F"/>
          <w:spacing w:val="-1"/>
          <w:sz w:val="19"/>
        </w:rPr>
        <w:t>mentors</w:t>
      </w:r>
      <w:r>
        <w:rPr>
          <w:rFonts w:ascii="Segoe UI"/>
          <w:color w:val="67973F"/>
          <w:spacing w:val="-2"/>
          <w:sz w:val="19"/>
        </w:rPr>
        <w:t> </w:t>
      </w:r>
      <w:r>
        <w:rPr>
          <w:rFonts w:ascii="Segoe UI"/>
          <w:color w:val="67973F"/>
          <w:sz w:val="19"/>
        </w:rPr>
        <w:t>for</w:t>
      </w:r>
      <w:r>
        <w:rPr>
          <w:rFonts w:ascii="Segoe UI"/>
          <w:color w:val="67973F"/>
          <w:spacing w:val="23"/>
          <w:w w:val="99"/>
          <w:sz w:val="19"/>
        </w:rPr>
        <w:t> </w:t>
      </w:r>
      <w:r>
        <w:rPr>
          <w:rFonts w:ascii="Segoe UI"/>
          <w:color w:val="67973F"/>
          <w:sz w:val="19"/>
        </w:rPr>
        <w:t>boarders.</w:t>
      </w:r>
      <w:r>
        <w:rPr>
          <w:rFonts w:ascii="Segoe UI"/>
          <w:color w:val="67973F"/>
          <w:spacing w:val="-6"/>
          <w:sz w:val="19"/>
        </w:rPr>
        <w:t> </w:t>
      </w:r>
      <w:r>
        <w:rPr>
          <w:rFonts w:ascii="Segoe UI"/>
          <w:color w:val="67973F"/>
          <w:sz w:val="19"/>
        </w:rPr>
        <w:t>Their</w:t>
      </w:r>
      <w:r>
        <w:rPr>
          <w:rFonts w:ascii="Segoe UI"/>
          <w:color w:val="67973F"/>
          <w:spacing w:val="-5"/>
          <w:sz w:val="19"/>
        </w:rPr>
        <w:t> </w:t>
      </w:r>
      <w:r>
        <w:rPr>
          <w:rFonts w:ascii="Segoe UI"/>
          <w:color w:val="67973F"/>
          <w:sz w:val="19"/>
        </w:rPr>
        <w:t>role</w:t>
      </w:r>
      <w:r>
        <w:rPr>
          <w:rFonts w:ascii="Segoe UI"/>
          <w:color w:val="67973F"/>
          <w:spacing w:val="-6"/>
          <w:sz w:val="19"/>
        </w:rPr>
        <w:t> </w:t>
      </w:r>
      <w:r>
        <w:rPr>
          <w:rFonts w:ascii="Segoe UI"/>
          <w:color w:val="67973F"/>
          <w:spacing w:val="-1"/>
          <w:sz w:val="19"/>
        </w:rPr>
        <w:t>is</w:t>
      </w:r>
      <w:r>
        <w:rPr>
          <w:rFonts w:ascii="Segoe UI"/>
          <w:color w:val="67973F"/>
          <w:spacing w:val="-5"/>
          <w:sz w:val="19"/>
        </w:rPr>
        <w:t> </w:t>
      </w:r>
      <w:r>
        <w:rPr>
          <w:rFonts w:ascii="Segoe UI"/>
          <w:color w:val="67973F"/>
          <w:sz w:val="19"/>
        </w:rPr>
        <w:t>to</w:t>
      </w:r>
      <w:r>
        <w:rPr>
          <w:rFonts w:ascii="Segoe UI"/>
          <w:color w:val="67973F"/>
          <w:spacing w:val="-5"/>
          <w:sz w:val="19"/>
        </w:rPr>
        <w:t> </w:t>
      </w:r>
      <w:r>
        <w:rPr>
          <w:rFonts w:ascii="Segoe UI"/>
          <w:color w:val="67973F"/>
          <w:spacing w:val="-1"/>
          <w:sz w:val="19"/>
        </w:rPr>
        <w:t>support</w:t>
      </w:r>
      <w:r>
        <w:rPr>
          <w:rFonts w:ascii="Segoe UI"/>
          <w:color w:val="67973F"/>
          <w:spacing w:val="-4"/>
          <w:sz w:val="19"/>
        </w:rPr>
        <w:t> </w:t>
      </w:r>
      <w:r>
        <w:rPr>
          <w:rFonts w:ascii="Segoe UI"/>
          <w:color w:val="67973F"/>
          <w:sz w:val="19"/>
        </w:rPr>
        <w:t>their</w:t>
      </w:r>
      <w:r>
        <w:rPr>
          <w:rFonts w:ascii="Segoe UI"/>
          <w:color w:val="67973F"/>
          <w:spacing w:val="-6"/>
          <w:sz w:val="19"/>
        </w:rPr>
        <w:t> </w:t>
      </w:r>
      <w:r>
        <w:rPr>
          <w:rFonts w:ascii="Segoe UI"/>
          <w:color w:val="67973F"/>
          <w:sz w:val="19"/>
        </w:rPr>
        <w:t>health</w:t>
      </w:r>
      <w:r>
        <w:rPr>
          <w:rFonts w:ascii="Segoe UI"/>
          <w:color w:val="67973F"/>
          <w:spacing w:val="-5"/>
          <w:sz w:val="19"/>
        </w:rPr>
        <w:t> </w:t>
      </w:r>
      <w:r>
        <w:rPr>
          <w:rFonts w:ascii="Segoe UI"/>
          <w:color w:val="67973F"/>
          <w:sz w:val="19"/>
        </w:rPr>
        <w:t>and</w:t>
      </w:r>
      <w:r>
        <w:rPr>
          <w:rFonts w:ascii="Segoe UI"/>
          <w:color w:val="67973F"/>
          <w:spacing w:val="23"/>
          <w:w w:val="99"/>
          <w:sz w:val="19"/>
        </w:rPr>
        <w:t> </w:t>
      </w:r>
      <w:r>
        <w:rPr>
          <w:rFonts w:ascii="Segoe UI"/>
          <w:color w:val="67973F"/>
          <w:sz w:val="19"/>
        </w:rPr>
        <w:t>well</w:t>
      </w:r>
      <w:r>
        <w:rPr>
          <w:rFonts w:ascii="Segoe UI"/>
          <w:color w:val="67973F"/>
          <w:spacing w:val="-8"/>
          <w:sz w:val="19"/>
        </w:rPr>
        <w:t> </w:t>
      </w:r>
      <w:r>
        <w:rPr>
          <w:rFonts w:ascii="Segoe UI"/>
          <w:color w:val="67973F"/>
          <w:sz w:val="19"/>
        </w:rPr>
        <w:t>being</w:t>
      </w:r>
      <w:r>
        <w:rPr>
          <w:rFonts w:ascii="Segoe UI"/>
          <w:color w:val="67973F"/>
          <w:spacing w:val="-7"/>
          <w:sz w:val="19"/>
        </w:rPr>
        <w:t> </w:t>
      </w:r>
      <w:r>
        <w:rPr>
          <w:rFonts w:ascii="Segoe UI"/>
          <w:color w:val="67973F"/>
          <w:sz w:val="19"/>
        </w:rPr>
        <w:t>and</w:t>
      </w:r>
      <w:r>
        <w:rPr>
          <w:rFonts w:ascii="Segoe UI"/>
          <w:color w:val="67973F"/>
          <w:spacing w:val="-7"/>
          <w:sz w:val="19"/>
        </w:rPr>
        <w:t> </w:t>
      </w:r>
      <w:r>
        <w:rPr>
          <w:rFonts w:ascii="Segoe UI"/>
          <w:color w:val="67973F"/>
          <w:spacing w:val="-1"/>
          <w:sz w:val="19"/>
        </w:rPr>
        <w:t>maintain</w:t>
      </w:r>
      <w:r>
        <w:rPr>
          <w:rFonts w:ascii="Segoe UI"/>
          <w:color w:val="67973F"/>
          <w:spacing w:val="-6"/>
          <w:sz w:val="19"/>
        </w:rPr>
        <w:t> </w:t>
      </w:r>
      <w:r>
        <w:rPr>
          <w:rFonts w:ascii="Segoe UI"/>
          <w:color w:val="67973F"/>
          <w:sz w:val="19"/>
        </w:rPr>
        <w:t>connection</w:t>
      </w:r>
      <w:r>
        <w:rPr>
          <w:rFonts w:ascii="Segoe UI"/>
          <w:color w:val="67973F"/>
          <w:spacing w:val="-7"/>
          <w:sz w:val="19"/>
        </w:rPr>
        <w:t> </w:t>
      </w:r>
      <w:r>
        <w:rPr>
          <w:rFonts w:ascii="Segoe UI"/>
          <w:color w:val="67973F"/>
          <w:sz w:val="19"/>
        </w:rPr>
        <w:t>with</w:t>
      </w:r>
      <w:r>
        <w:rPr>
          <w:rFonts w:ascii="Segoe UI"/>
          <w:color w:val="67973F"/>
          <w:spacing w:val="-8"/>
          <w:sz w:val="19"/>
        </w:rPr>
        <w:t> </w:t>
      </w:r>
      <w:r>
        <w:rPr>
          <w:rFonts w:ascii="Segoe UI"/>
          <w:color w:val="67973F"/>
          <w:sz w:val="19"/>
        </w:rPr>
        <w:t>culture</w:t>
      </w:r>
      <w:r>
        <w:rPr>
          <w:rFonts w:ascii="Segoe UI"/>
          <w:color w:val="67973F"/>
          <w:spacing w:val="22"/>
          <w:w w:val="99"/>
          <w:sz w:val="19"/>
        </w:rPr>
        <w:t> </w:t>
      </w:r>
      <w:r>
        <w:rPr>
          <w:rFonts w:ascii="Segoe UI"/>
          <w:color w:val="67973F"/>
          <w:sz w:val="19"/>
        </w:rPr>
        <w:t>and</w:t>
      </w:r>
      <w:r>
        <w:rPr>
          <w:rFonts w:ascii="Segoe UI"/>
          <w:color w:val="67973F"/>
          <w:spacing w:val="-5"/>
          <w:sz w:val="19"/>
        </w:rPr>
        <w:t> </w:t>
      </w:r>
      <w:r>
        <w:rPr>
          <w:rFonts w:ascii="Segoe UI"/>
          <w:color w:val="67973F"/>
          <w:sz w:val="19"/>
        </w:rPr>
        <w:t>community.</w:t>
      </w:r>
      <w:r>
        <w:rPr>
          <w:rFonts w:ascii="Segoe UI"/>
          <w:sz w:val="19"/>
        </w:rPr>
      </w:r>
    </w:p>
    <w:p>
      <w:pPr>
        <w:spacing w:after="0" w:line="265" w:lineRule="auto"/>
        <w:jc w:val="left"/>
        <w:rPr>
          <w:rFonts w:ascii="Segoe UI" w:hAnsi="Segoe UI" w:cs="Segoe UI" w:eastAsia="Segoe UI"/>
          <w:sz w:val="19"/>
          <w:szCs w:val="19"/>
        </w:rPr>
        <w:sectPr>
          <w:type w:val="continuous"/>
          <w:pgSz w:w="11910" w:h="16840"/>
          <w:pgMar w:top="1580" w:bottom="280" w:left="1300" w:right="1420"/>
          <w:cols w:num="2" w:equalWidth="0">
            <w:col w:w="4365" w:space="227"/>
            <w:col w:w="4598"/>
          </w:cols>
        </w:sectPr>
      </w:pPr>
    </w:p>
    <w:p>
      <w:pPr>
        <w:spacing w:line="240" w:lineRule="auto" w:before="0"/>
        <w:rPr>
          <w:rFonts w:ascii="Segoe UI" w:hAnsi="Segoe UI" w:cs="Segoe UI" w:eastAsia="Segoe UI"/>
          <w:sz w:val="20"/>
          <w:szCs w:val="20"/>
        </w:rPr>
      </w:pPr>
    </w:p>
    <w:p>
      <w:pPr>
        <w:spacing w:line="240" w:lineRule="auto" w:before="8"/>
        <w:rPr>
          <w:rFonts w:ascii="Segoe UI" w:hAnsi="Segoe UI" w:cs="Segoe UI" w:eastAsia="Segoe UI"/>
          <w:sz w:val="21"/>
          <w:szCs w:val="21"/>
        </w:rPr>
      </w:pPr>
    </w:p>
    <w:p>
      <w:pPr>
        <w:spacing w:after="0" w:line="240" w:lineRule="auto"/>
        <w:rPr>
          <w:rFonts w:ascii="Segoe UI" w:hAnsi="Segoe UI" w:cs="Segoe UI" w:eastAsia="Segoe UI"/>
          <w:sz w:val="21"/>
          <w:szCs w:val="21"/>
        </w:rPr>
        <w:sectPr>
          <w:pgSz w:w="11910" w:h="16840"/>
          <w:pgMar w:header="0" w:footer="691" w:top="1580" w:bottom="880" w:left="1600" w:right="1300"/>
        </w:sectPr>
      </w:pPr>
    </w:p>
    <w:p>
      <w:pPr>
        <w:pStyle w:val="BodyText"/>
        <w:spacing w:line="250" w:lineRule="exact" w:before="62"/>
        <w:ind w:left="100" w:right="319"/>
        <w:jc w:val="left"/>
      </w:pPr>
      <w:r>
        <w:rPr>
          <w:color w:val="231F20"/>
          <w:spacing w:val="-1"/>
        </w:rPr>
        <w:t>Consultations</w:t>
      </w:r>
      <w:r>
        <w:rPr>
          <w:color w:val="231F20"/>
          <w:spacing w:val="-6"/>
        </w:rPr>
        <w:t> </w:t>
      </w:r>
      <w:r>
        <w:rPr>
          <w:color w:val="231F20"/>
        </w:rPr>
        <w:t>with</w:t>
      </w:r>
      <w:r>
        <w:rPr>
          <w:color w:val="231F20"/>
          <w:spacing w:val="-7"/>
        </w:rPr>
        <w:t> </w:t>
      </w:r>
      <w:r>
        <w:rPr>
          <w:color w:val="231F20"/>
        </w:rPr>
        <w:t>boarding</w:t>
      </w:r>
      <w:r>
        <w:rPr>
          <w:color w:val="231F20"/>
          <w:spacing w:val="-7"/>
        </w:rPr>
        <w:t> </w:t>
      </w:r>
      <w:r>
        <w:rPr>
          <w:color w:val="231F20"/>
        </w:rPr>
        <w:t>providers</w:t>
      </w:r>
      <w:r>
        <w:rPr>
          <w:color w:val="231F20"/>
          <w:spacing w:val="-7"/>
        </w:rPr>
        <w:t> </w:t>
      </w:r>
      <w:r>
        <w:rPr>
          <w:color w:val="231F20"/>
        </w:rPr>
        <w:t>and</w:t>
      </w:r>
      <w:r>
        <w:rPr>
          <w:color w:val="231F20"/>
          <w:spacing w:val="22"/>
          <w:w w:val="99"/>
        </w:rPr>
        <w:t> </w:t>
      </w:r>
      <w:r>
        <w:rPr>
          <w:color w:val="231F20"/>
        </w:rPr>
        <w:t>peak</w:t>
      </w:r>
      <w:r>
        <w:rPr>
          <w:color w:val="231F20"/>
          <w:spacing w:val="-5"/>
        </w:rPr>
        <w:t> </w:t>
      </w:r>
      <w:r>
        <w:rPr>
          <w:color w:val="231F20"/>
        </w:rPr>
        <w:t>bodies</w:t>
      </w:r>
      <w:r>
        <w:rPr>
          <w:color w:val="231F20"/>
          <w:spacing w:val="-5"/>
        </w:rPr>
        <w:t> </w:t>
      </w:r>
      <w:r>
        <w:rPr>
          <w:color w:val="231F20"/>
        </w:rPr>
        <w:t>revealed</w:t>
      </w:r>
      <w:r>
        <w:rPr>
          <w:color w:val="231F20"/>
          <w:spacing w:val="-5"/>
        </w:rPr>
        <w:t> </w:t>
      </w:r>
      <w:r>
        <w:rPr>
          <w:color w:val="231F20"/>
        </w:rPr>
        <w:t>that</w:t>
      </w:r>
      <w:r>
        <w:rPr>
          <w:color w:val="231F20"/>
          <w:spacing w:val="-5"/>
        </w:rPr>
        <w:t> </w:t>
      </w:r>
      <w:r>
        <w:rPr>
          <w:color w:val="231F20"/>
        </w:rPr>
        <w:t>homesickness</w:t>
      </w:r>
      <w:r>
        <w:rPr>
          <w:color w:val="231F20"/>
        </w:rPr>
        <w:t> </w:t>
      </w:r>
      <w:r>
        <w:rPr>
          <w:rFonts w:ascii="Segoe UI"/>
          <w:color w:val="231F20"/>
        </w:rPr>
        <w:t>and difficulties associated with transitioning</w:t>
      </w:r>
      <w:r>
        <w:rPr>
          <w:rFonts w:ascii="Segoe UI"/>
          <w:color w:val="231F20"/>
        </w:rPr>
        <w:t> </w:t>
      </w:r>
      <w:r>
        <w:rPr>
          <w:color w:val="231F20"/>
        </w:rPr>
        <w:t>from</w:t>
      </w:r>
      <w:r>
        <w:rPr>
          <w:color w:val="231F20"/>
          <w:spacing w:val="-4"/>
        </w:rPr>
        <w:t> </w:t>
      </w:r>
      <w:r>
        <w:rPr>
          <w:color w:val="231F20"/>
        </w:rPr>
        <w:t>community</w:t>
      </w:r>
      <w:r>
        <w:rPr>
          <w:color w:val="231F20"/>
          <w:spacing w:val="-5"/>
        </w:rPr>
        <w:t> </w:t>
      </w:r>
      <w:r>
        <w:rPr>
          <w:color w:val="231F20"/>
        </w:rPr>
        <w:t>to</w:t>
      </w:r>
      <w:r>
        <w:rPr>
          <w:color w:val="231F20"/>
          <w:spacing w:val="-3"/>
        </w:rPr>
        <w:t> </w:t>
      </w:r>
      <w:r>
        <w:rPr>
          <w:color w:val="231F20"/>
        </w:rPr>
        <w:t>boarding</w:t>
      </w:r>
      <w:r>
        <w:rPr>
          <w:color w:val="231F20"/>
          <w:spacing w:val="-5"/>
        </w:rPr>
        <w:t> </w:t>
      </w:r>
      <w:r>
        <w:rPr>
          <w:color w:val="231F20"/>
        </w:rPr>
        <w:t>are</w:t>
      </w:r>
      <w:r>
        <w:rPr>
          <w:color w:val="231F20"/>
          <w:spacing w:val="-5"/>
        </w:rPr>
        <w:t> </w:t>
      </w:r>
      <w:r>
        <w:rPr>
          <w:color w:val="231F20"/>
          <w:spacing w:val="-1"/>
        </w:rPr>
        <w:t>still</w:t>
      </w:r>
      <w:r>
        <w:rPr>
          <w:color w:val="231F20"/>
          <w:spacing w:val="-3"/>
        </w:rPr>
        <w:t> </w:t>
      </w:r>
      <w:r>
        <w:rPr>
          <w:color w:val="231F20"/>
          <w:spacing w:val="-1"/>
        </w:rPr>
        <w:t>major</w:t>
      </w:r>
      <w:r>
        <w:rPr>
          <w:color w:val="231F20"/>
          <w:spacing w:val="21"/>
          <w:w w:val="99"/>
        </w:rPr>
        <w:t> </w:t>
      </w:r>
      <w:r>
        <w:rPr>
          <w:color w:val="231F20"/>
          <w:spacing w:val="-1"/>
        </w:rPr>
        <w:t>issues</w:t>
      </w:r>
      <w:r>
        <w:rPr>
          <w:color w:val="231F20"/>
          <w:spacing w:val="-5"/>
        </w:rPr>
        <w:t> </w:t>
      </w:r>
      <w:r>
        <w:rPr>
          <w:color w:val="231F20"/>
        </w:rPr>
        <w:t>facing</w:t>
      </w:r>
      <w:r>
        <w:rPr>
          <w:color w:val="231F20"/>
          <w:spacing w:val="-4"/>
        </w:rPr>
        <w:t> </w:t>
      </w:r>
      <w:r>
        <w:rPr>
          <w:color w:val="231F20"/>
        </w:rPr>
        <w:t>Aboriginal</w:t>
      </w:r>
      <w:r>
        <w:rPr>
          <w:color w:val="231F20"/>
          <w:spacing w:val="-4"/>
        </w:rPr>
        <w:t> </w:t>
      </w:r>
      <w:r>
        <w:rPr>
          <w:color w:val="231F20"/>
        </w:rPr>
        <w:t>and</w:t>
      </w:r>
      <w:r>
        <w:rPr>
          <w:color w:val="231F20"/>
          <w:spacing w:val="-5"/>
        </w:rPr>
        <w:t> Torres</w:t>
      </w:r>
      <w:r>
        <w:rPr>
          <w:color w:val="231F20"/>
          <w:spacing w:val="-4"/>
        </w:rPr>
        <w:t> </w:t>
      </w:r>
      <w:r>
        <w:rPr>
          <w:color w:val="231F20"/>
          <w:spacing w:val="-2"/>
        </w:rPr>
        <w:t>Strait</w:t>
      </w:r>
      <w:r>
        <w:rPr/>
      </w:r>
    </w:p>
    <w:p>
      <w:pPr>
        <w:pStyle w:val="BodyText"/>
        <w:spacing w:line="250" w:lineRule="exact"/>
        <w:ind w:left="100" w:right="118"/>
        <w:jc w:val="left"/>
      </w:pPr>
      <w:r>
        <w:rPr>
          <w:rFonts w:ascii="Segoe UI"/>
          <w:color w:val="231F20"/>
        </w:rPr>
        <w:t>Islander students. Homesickness and difficulty </w:t>
      </w:r>
      <w:r>
        <w:rPr>
          <w:color w:val="231F20"/>
        </w:rPr>
        <w:t>transitioning</w:t>
      </w:r>
      <w:r>
        <w:rPr>
          <w:color w:val="231F20"/>
          <w:spacing w:val="-8"/>
        </w:rPr>
        <w:t> </w:t>
      </w:r>
      <w:r>
        <w:rPr>
          <w:color w:val="231F20"/>
        </w:rPr>
        <w:t>are</w:t>
      </w:r>
      <w:r>
        <w:rPr>
          <w:color w:val="231F20"/>
          <w:spacing w:val="-7"/>
        </w:rPr>
        <w:t> </w:t>
      </w:r>
      <w:r>
        <w:rPr>
          <w:color w:val="231F20"/>
        </w:rPr>
        <w:t>however</w:t>
      </w:r>
      <w:r>
        <w:rPr>
          <w:color w:val="231F20"/>
          <w:spacing w:val="-7"/>
        </w:rPr>
        <w:t> </w:t>
      </w:r>
      <w:r>
        <w:rPr>
          <w:color w:val="231F20"/>
        </w:rPr>
        <w:t>not</w:t>
      </w:r>
      <w:r>
        <w:rPr>
          <w:color w:val="231F20"/>
          <w:spacing w:val="-7"/>
        </w:rPr>
        <w:t> </w:t>
      </w:r>
      <w:r>
        <w:rPr>
          <w:color w:val="231F20"/>
          <w:spacing w:val="-1"/>
        </w:rPr>
        <w:t>issues</w:t>
      </w:r>
      <w:r>
        <w:rPr>
          <w:color w:val="231F20"/>
          <w:spacing w:val="-6"/>
        </w:rPr>
        <w:t> </w:t>
      </w:r>
      <w:r>
        <w:rPr>
          <w:color w:val="231F20"/>
        </w:rPr>
        <w:t>restricted</w:t>
      </w:r>
      <w:r>
        <w:rPr>
          <w:color w:val="231F20"/>
          <w:spacing w:val="21"/>
          <w:w w:val="99"/>
        </w:rPr>
        <w:t> </w:t>
      </w:r>
      <w:r>
        <w:rPr>
          <w:color w:val="231F20"/>
        </w:rPr>
        <w:t>to</w:t>
      </w:r>
      <w:r>
        <w:rPr>
          <w:color w:val="231F20"/>
          <w:spacing w:val="-3"/>
        </w:rPr>
        <w:t> </w:t>
      </w:r>
      <w:r>
        <w:rPr>
          <w:color w:val="231F20"/>
          <w:spacing w:val="-1"/>
        </w:rPr>
        <w:t>students.</w:t>
      </w:r>
      <w:r>
        <w:rPr>
          <w:color w:val="231F20"/>
          <w:spacing w:val="-2"/>
        </w:rPr>
        <w:t> </w:t>
      </w:r>
      <w:r>
        <w:rPr>
          <w:color w:val="231F20"/>
          <w:spacing w:val="-1"/>
        </w:rPr>
        <w:t>Families</w:t>
      </w:r>
      <w:r>
        <w:rPr>
          <w:color w:val="231F20"/>
          <w:spacing w:val="-3"/>
        </w:rPr>
        <w:t> </w:t>
      </w:r>
      <w:r>
        <w:rPr>
          <w:color w:val="231F20"/>
        </w:rPr>
        <w:t>and</w:t>
      </w:r>
      <w:r>
        <w:rPr>
          <w:color w:val="231F20"/>
          <w:spacing w:val="-4"/>
        </w:rPr>
        <w:t> </w:t>
      </w:r>
      <w:r>
        <w:rPr>
          <w:color w:val="231F20"/>
        </w:rPr>
        <w:t>communities</w:t>
      </w:r>
      <w:r>
        <w:rPr>
          <w:color w:val="231F20"/>
          <w:spacing w:val="-4"/>
        </w:rPr>
        <w:t> </w:t>
      </w:r>
      <w:r>
        <w:rPr>
          <w:color w:val="231F20"/>
        </w:rPr>
        <w:t>also</w:t>
      </w:r>
      <w:r>
        <w:rPr>
          <w:color w:val="231F20"/>
          <w:spacing w:val="23"/>
        </w:rPr>
        <w:t> </w:t>
      </w:r>
      <w:r>
        <w:rPr>
          <w:color w:val="231F20"/>
          <w:spacing w:val="-1"/>
        </w:rPr>
        <w:t>struggle</w:t>
      </w:r>
      <w:r>
        <w:rPr>
          <w:color w:val="231F20"/>
          <w:spacing w:val="-5"/>
        </w:rPr>
        <w:t> </w:t>
      </w:r>
      <w:r>
        <w:rPr>
          <w:color w:val="231F20"/>
        </w:rPr>
        <w:t>when</w:t>
      </w:r>
      <w:r>
        <w:rPr>
          <w:color w:val="231F20"/>
          <w:spacing w:val="-5"/>
        </w:rPr>
        <w:t> </w:t>
      </w:r>
      <w:r>
        <w:rPr>
          <w:color w:val="231F20"/>
        </w:rPr>
        <w:t>a</w:t>
      </w:r>
      <w:r>
        <w:rPr>
          <w:color w:val="231F20"/>
          <w:spacing w:val="-4"/>
        </w:rPr>
        <w:t> </w:t>
      </w:r>
      <w:r>
        <w:rPr>
          <w:color w:val="231F20"/>
        </w:rPr>
        <w:t>young</w:t>
      </w:r>
      <w:r>
        <w:rPr>
          <w:color w:val="231F20"/>
          <w:spacing w:val="-6"/>
        </w:rPr>
        <w:t> </w:t>
      </w:r>
      <w:r>
        <w:rPr>
          <w:color w:val="231F20"/>
        </w:rPr>
        <w:t>person</w:t>
      </w:r>
      <w:r>
        <w:rPr>
          <w:color w:val="231F20"/>
          <w:spacing w:val="-5"/>
        </w:rPr>
        <w:t> </w:t>
      </w:r>
      <w:r>
        <w:rPr>
          <w:color w:val="231F20"/>
          <w:spacing w:val="-1"/>
        </w:rPr>
        <w:t>leaves</w:t>
      </w:r>
      <w:r>
        <w:rPr>
          <w:color w:val="231F20"/>
          <w:spacing w:val="-4"/>
        </w:rPr>
        <w:t> </w:t>
      </w:r>
      <w:r>
        <w:rPr>
          <w:color w:val="231F20"/>
        </w:rPr>
        <w:t>a</w:t>
      </w:r>
      <w:r>
        <w:rPr>
          <w:color w:val="231F20"/>
          <w:spacing w:val="23"/>
          <w:w w:val="99"/>
        </w:rPr>
        <w:t> </w:t>
      </w:r>
      <w:r>
        <w:rPr>
          <w:color w:val="231F20"/>
        </w:rPr>
        <w:t>community</w:t>
      </w:r>
      <w:r>
        <w:rPr>
          <w:color w:val="231F20"/>
          <w:spacing w:val="-5"/>
        </w:rPr>
        <w:t> </w:t>
      </w:r>
      <w:r>
        <w:rPr>
          <w:color w:val="231F20"/>
        </w:rPr>
        <w:t>to</w:t>
      </w:r>
      <w:r>
        <w:rPr>
          <w:color w:val="231F20"/>
          <w:spacing w:val="-4"/>
        </w:rPr>
        <w:t> </w:t>
      </w:r>
      <w:r>
        <w:rPr>
          <w:color w:val="231F20"/>
        </w:rPr>
        <w:t>attend</w:t>
      </w:r>
      <w:r>
        <w:rPr>
          <w:color w:val="231F20"/>
          <w:spacing w:val="-5"/>
        </w:rPr>
        <w:t> </w:t>
      </w:r>
      <w:r>
        <w:rPr>
          <w:color w:val="231F20"/>
        </w:rPr>
        <w:t>boarding.</w:t>
      </w:r>
      <w:r>
        <w:rPr>
          <w:color w:val="231F20"/>
          <w:spacing w:val="-5"/>
        </w:rPr>
        <w:t> </w:t>
      </w:r>
      <w:r>
        <w:rPr>
          <w:color w:val="231F20"/>
        </w:rPr>
        <w:t>The</w:t>
      </w:r>
      <w:r>
        <w:rPr>
          <w:color w:val="231F20"/>
          <w:spacing w:val="-4"/>
        </w:rPr>
        <w:t> </w:t>
      </w:r>
      <w:r>
        <w:rPr>
          <w:color w:val="231F20"/>
        </w:rPr>
        <w:t>four</w:t>
      </w:r>
      <w:r>
        <w:rPr>
          <w:color w:val="231F20"/>
          <w:spacing w:val="-3"/>
        </w:rPr>
        <w:t> </w:t>
      </w:r>
      <w:r>
        <w:rPr>
          <w:color w:val="231F20"/>
          <w:spacing w:val="-1"/>
        </w:rPr>
        <w:t>main</w:t>
      </w:r>
      <w:r>
        <w:rPr>
          <w:color w:val="231F20"/>
          <w:spacing w:val="19"/>
        </w:rPr>
        <w:t> </w:t>
      </w:r>
      <w:r>
        <w:rPr>
          <w:rFonts w:ascii="Segoe UI"/>
          <w:color w:val="231F20"/>
        </w:rPr>
        <w:t>pillars of support identified in the </w:t>
      </w:r>
      <w:r>
        <w:rPr>
          <w:rFonts w:ascii="Segoe UI"/>
          <w:color w:val="231F20"/>
          <w:spacing w:val="-2"/>
        </w:rPr>
        <w:t>Study</w:t>
      </w:r>
      <w:r>
        <w:rPr>
          <w:rFonts w:ascii="Segoe UI"/>
          <w:color w:val="231F20"/>
        </w:rPr>
        <w:t> </w:t>
      </w:r>
      <w:r>
        <w:rPr>
          <w:rFonts w:ascii="Segoe UI"/>
          <w:color w:val="231F20"/>
          <w:spacing w:val="-1"/>
        </w:rPr>
        <w:t>Away</w:t>
      </w:r>
      <w:r>
        <w:rPr>
          <w:rFonts w:ascii="Segoe UI"/>
          <w:color w:val="231F20"/>
          <w:spacing w:val="24"/>
        </w:rPr>
        <w:t> </w:t>
      </w:r>
      <w:r>
        <w:rPr>
          <w:color w:val="231F20"/>
          <w:spacing w:val="-1"/>
        </w:rPr>
        <w:t>Review</w:t>
      </w:r>
      <w:r>
        <w:rPr>
          <w:color w:val="231F20"/>
          <w:spacing w:val="-6"/>
        </w:rPr>
        <w:t> </w:t>
      </w:r>
      <w:r>
        <w:rPr>
          <w:color w:val="231F20"/>
        </w:rPr>
        <w:t>and</w:t>
      </w:r>
      <w:r>
        <w:rPr>
          <w:color w:val="231F20"/>
          <w:spacing w:val="-5"/>
        </w:rPr>
        <w:t> </w:t>
      </w:r>
      <w:r>
        <w:rPr>
          <w:color w:val="231F20"/>
          <w:spacing w:val="-1"/>
        </w:rPr>
        <w:t>in</w:t>
      </w:r>
      <w:r>
        <w:rPr>
          <w:color w:val="231F20"/>
          <w:spacing w:val="-5"/>
        </w:rPr>
        <w:t> </w:t>
      </w:r>
      <w:r>
        <w:rPr>
          <w:color w:val="231F20"/>
        </w:rPr>
        <w:t>our</w:t>
      </w:r>
      <w:r>
        <w:rPr>
          <w:color w:val="231F20"/>
          <w:spacing w:val="-5"/>
        </w:rPr>
        <w:t> </w:t>
      </w:r>
      <w:r>
        <w:rPr>
          <w:color w:val="231F20"/>
        </w:rPr>
        <w:t>theory</w:t>
      </w:r>
      <w:r>
        <w:rPr>
          <w:color w:val="231F20"/>
          <w:spacing w:val="-5"/>
        </w:rPr>
        <w:t> </w:t>
      </w:r>
      <w:r>
        <w:rPr>
          <w:color w:val="231F20"/>
        </w:rPr>
        <w:t>of</w:t>
      </w:r>
      <w:r>
        <w:rPr>
          <w:color w:val="231F20"/>
          <w:spacing w:val="-5"/>
        </w:rPr>
        <w:t> </w:t>
      </w:r>
      <w:r>
        <w:rPr>
          <w:color w:val="231F20"/>
        </w:rPr>
        <w:t>change</w:t>
      </w:r>
      <w:r>
        <w:rPr>
          <w:color w:val="231F20"/>
          <w:spacing w:val="-5"/>
        </w:rPr>
        <w:t> </w:t>
      </w:r>
      <w:r>
        <w:rPr>
          <w:color w:val="231F20"/>
          <w:spacing w:val="-1"/>
        </w:rPr>
        <w:t>include</w:t>
      </w:r>
      <w:r>
        <w:rPr>
          <w:color w:val="231F20"/>
          <w:spacing w:val="21"/>
          <w:w w:val="99"/>
        </w:rPr>
        <w:t> </w:t>
      </w:r>
      <w:r>
        <w:rPr>
          <w:color w:val="231F20"/>
          <w:spacing w:val="-1"/>
        </w:rPr>
        <w:t>investment</w:t>
      </w:r>
      <w:r>
        <w:rPr>
          <w:color w:val="231F20"/>
          <w:spacing w:val="-3"/>
        </w:rPr>
        <w:t> </w:t>
      </w:r>
      <w:r>
        <w:rPr>
          <w:color w:val="231F20"/>
        </w:rPr>
        <w:t>for</w:t>
      </w:r>
      <w:r>
        <w:rPr>
          <w:color w:val="231F20"/>
          <w:spacing w:val="-2"/>
        </w:rPr>
        <w:t> </w:t>
      </w:r>
      <w:r>
        <w:rPr>
          <w:color w:val="231F20"/>
          <w:spacing w:val="-1"/>
        </w:rPr>
        <w:t>support</w:t>
      </w:r>
      <w:r>
        <w:rPr>
          <w:color w:val="231F20"/>
          <w:spacing w:val="-3"/>
        </w:rPr>
        <w:t> </w:t>
      </w:r>
      <w:r>
        <w:rPr>
          <w:color w:val="231F20"/>
          <w:spacing w:val="-1"/>
        </w:rPr>
        <w:t>services</w:t>
      </w:r>
      <w:r>
        <w:rPr>
          <w:color w:val="231F20"/>
          <w:spacing w:val="-2"/>
        </w:rPr>
        <w:t> </w:t>
      </w:r>
      <w:r>
        <w:rPr>
          <w:color w:val="231F20"/>
        </w:rPr>
        <w:t>for</w:t>
      </w:r>
      <w:r>
        <w:rPr>
          <w:color w:val="231F20"/>
          <w:spacing w:val="-2"/>
        </w:rPr>
        <w:t> </w:t>
      </w:r>
      <w:r>
        <w:rPr>
          <w:color w:val="231F20"/>
        </w:rPr>
        <w:t>families</w:t>
      </w:r>
      <w:r>
        <w:rPr>
          <w:color w:val="231F20"/>
          <w:spacing w:val="24"/>
        </w:rPr>
        <w:t> </w:t>
      </w:r>
      <w:r>
        <w:rPr>
          <w:color w:val="231F20"/>
        </w:rPr>
        <w:t>and</w:t>
      </w:r>
      <w:r>
        <w:rPr>
          <w:color w:val="231F20"/>
          <w:spacing w:val="-3"/>
        </w:rPr>
        <w:t> </w:t>
      </w:r>
      <w:r>
        <w:rPr>
          <w:color w:val="231F20"/>
        </w:rPr>
        <w:t>communities</w:t>
      </w:r>
      <w:r>
        <w:rPr>
          <w:color w:val="231F20"/>
          <w:spacing w:val="-3"/>
        </w:rPr>
        <w:t> </w:t>
      </w:r>
      <w:r>
        <w:rPr>
          <w:color w:val="231F20"/>
        </w:rPr>
        <w:t>(family</w:t>
      </w:r>
      <w:r>
        <w:rPr>
          <w:color w:val="231F20"/>
          <w:spacing w:val="-2"/>
        </w:rPr>
        <w:t> </w:t>
      </w:r>
      <w:r>
        <w:rPr>
          <w:color w:val="231F20"/>
        </w:rPr>
        <w:t>and</w:t>
      </w:r>
      <w:r>
        <w:rPr>
          <w:color w:val="231F20"/>
          <w:spacing w:val="-3"/>
        </w:rPr>
        <w:t> </w:t>
      </w:r>
      <w:r>
        <w:rPr>
          <w:color w:val="231F20"/>
        </w:rPr>
        <w:t>community</w:t>
      </w:r>
      <w:r>
        <w:rPr>
          <w:color w:val="231F20"/>
        </w:rPr>
        <w:t> engagement).</w:t>
      </w:r>
      <w:r>
        <w:rPr/>
      </w:r>
    </w:p>
    <w:p>
      <w:pPr>
        <w:pStyle w:val="BodyText"/>
        <w:spacing w:line="250" w:lineRule="exact" w:before="113"/>
        <w:ind w:left="100" w:right="0"/>
        <w:jc w:val="left"/>
      </w:pPr>
      <w:r>
        <w:rPr>
          <w:color w:val="231F20"/>
          <w:spacing w:val="-1"/>
        </w:rPr>
        <w:t>Preparation</w:t>
      </w:r>
      <w:r>
        <w:rPr>
          <w:color w:val="231F20"/>
          <w:spacing w:val="-6"/>
        </w:rPr>
        <w:t> </w:t>
      </w:r>
      <w:r>
        <w:rPr>
          <w:color w:val="231F20"/>
        </w:rPr>
        <w:t>of</w:t>
      </w:r>
      <w:r>
        <w:rPr>
          <w:color w:val="231F20"/>
          <w:spacing w:val="-5"/>
        </w:rPr>
        <w:t> </w:t>
      </w:r>
      <w:r>
        <w:rPr>
          <w:color w:val="231F20"/>
        </w:rPr>
        <w:t>a</w:t>
      </w:r>
      <w:r>
        <w:rPr>
          <w:color w:val="231F20"/>
          <w:spacing w:val="-6"/>
        </w:rPr>
        <w:t> </w:t>
      </w:r>
      <w:r>
        <w:rPr>
          <w:color w:val="231F20"/>
          <w:spacing w:val="-1"/>
        </w:rPr>
        <w:t>school</w:t>
      </w:r>
      <w:r>
        <w:rPr>
          <w:color w:val="231F20"/>
          <w:spacing w:val="-5"/>
        </w:rPr>
        <w:t> </w:t>
      </w:r>
      <w:r>
        <w:rPr>
          <w:color w:val="231F20"/>
        </w:rPr>
        <w:t>and</w:t>
      </w:r>
      <w:r>
        <w:rPr>
          <w:color w:val="231F20"/>
          <w:spacing w:val="-7"/>
        </w:rPr>
        <w:t> </w:t>
      </w:r>
      <w:r>
        <w:rPr>
          <w:color w:val="231F20"/>
        </w:rPr>
        <w:t>boarding</w:t>
      </w:r>
      <w:r>
        <w:rPr>
          <w:color w:val="231F20"/>
          <w:spacing w:val="-6"/>
        </w:rPr>
        <w:t> </w:t>
      </w:r>
      <w:r>
        <w:rPr>
          <w:color w:val="231F20"/>
        </w:rPr>
        <w:t>residence</w:t>
      </w:r>
      <w:r>
        <w:rPr>
          <w:color w:val="231F20"/>
          <w:spacing w:val="23"/>
          <w:w w:val="99"/>
        </w:rPr>
        <w:t> </w:t>
      </w:r>
      <w:r>
        <w:rPr>
          <w:color w:val="231F20"/>
        </w:rPr>
        <w:t>environment</w:t>
      </w:r>
      <w:r>
        <w:rPr>
          <w:color w:val="231F20"/>
          <w:spacing w:val="-10"/>
        </w:rPr>
        <w:t> </w:t>
      </w:r>
      <w:r>
        <w:rPr>
          <w:color w:val="231F20"/>
        </w:rPr>
        <w:t>as</w:t>
      </w:r>
      <w:r>
        <w:rPr>
          <w:color w:val="231F20"/>
          <w:spacing w:val="-9"/>
        </w:rPr>
        <w:t> </w:t>
      </w:r>
      <w:r>
        <w:rPr>
          <w:color w:val="231F20"/>
        </w:rPr>
        <w:t>culturally</w:t>
      </w:r>
      <w:r>
        <w:rPr>
          <w:color w:val="231F20"/>
          <w:spacing w:val="-9"/>
        </w:rPr>
        <w:t> </w:t>
      </w:r>
      <w:r>
        <w:rPr>
          <w:color w:val="231F20"/>
        </w:rPr>
        <w:t>appropriate</w:t>
      </w:r>
      <w:r>
        <w:rPr>
          <w:color w:val="231F20"/>
          <w:spacing w:val="-9"/>
        </w:rPr>
        <w:t> </w:t>
      </w:r>
      <w:r>
        <w:rPr>
          <w:color w:val="231F20"/>
        </w:rPr>
        <w:t>and</w:t>
      </w:r>
      <w:r>
        <w:rPr>
          <w:color w:val="231F20"/>
          <w:w w:val="99"/>
        </w:rPr>
        <w:t> </w:t>
      </w:r>
      <w:r>
        <w:rPr>
          <w:color w:val="231F20"/>
        </w:rPr>
        <w:t>welcoming</w:t>
      </w:r>
      <w:r>
        <w:rPr>
          <w:color w:val="231F20"/>
          <w:spacing w:val="-8"/>
        </w:rPr>
        <w:t> </w:t>
      </w:r>
      <w:r>
        <w:rPr>
          <w:color w:val="231F20"/>
        </w:rPr>
        <w:t>to</w:t>
      </w:r>
      <w:r>
        <w:rPr>
          <w:color w:val="231F20"/>
          <w:spacing w:val="-5"/>
        </w:rPr>
        <w:t> </w:t>
      </w:r>
      <w:r>
        <w:rPr>
          <w:color w:val="231F20"/>
        </w:rPr>
        <w:t>Aboriginal</w:t>
      </w:r>
      <w:r>
        <w:rPr>
          <w:color w:val="231F20"/>
          <w:spacing w:val="-6"/>
        </w:rPr>
        <w:t> </w:t>
      </w:r>
      <w:r>
        <w:rPr>
          <w:color w:val="231F20"/>
        </w:rPr>
        <w:t>and</w:t>
      </w:r>
      <w:r>
        <w:rPr>
          <w:color w:val="231F20"/>
          <w:spacing w:val="-6"/>
        </w:rPr>
        <w:t> </w:t>
      </w:r>
      <w:r>
        <w:rPr>
          <w:color w:val="231F20"/>
          <w:spacing w:val="-5"/>
        </w:rPr>
        <w:t>Torres </w:t>
      </w:r>
      <w:r>
        <w:rPr>
          <w:color w:val="231F20"/>
          <w:spacing w:val="-2"/>
        </w:rPr>
        <w:t>Strait</w:t>
      </w:r>
      <w:r>
        <w:rPr>
          <w:color w:val="231F20"/>
          <w:spacing w:val="29"/>
          <w:w w:val="99"/>
        </w:rPr>
        <w:t> </w:t>
      </w:r>
      <w:r>
        <w:rPr>
          <w:color w:val="231F20"/>
          <w:spacing w:val="-1"/>
        </w:rPr>
        <w:t>Islander</w:t>
      </w:r>
      <w:r>
        <w:rPr>
          <w:color w:val="231F20"/>
          <w:spacing w:val="-4"/>
        </w:rPr>
        <w:t> </w:t>
      </w:r>
      <w:r>
        <w:rPr>
          <w:color w:val="231F20"/>
          <w:spacing w:val="-1"/>
        </w:rPr>
        <w:t>students</w:t>
      </w:r>
      <w:r>
        <w:rPr>
          <w:color w:val="231F20"/>
          <w:spacing w:val="-4"/>
        </w:rPr>
        <w:t> </w:t>
      </w:r>
      <w:r>
        <w:rPr>
          <w:color w:val="231F20"/>
          <w:spacing w:val="-1"/>
        </w:rPr>
        <w:t>is</w:t>
      </w:r>
      <w:r>
        <w:rPr>
          <w:color w:val="231F20"/>
          <w:spacing w:val="-4"/>
        </w:rPr>
        <w:t> </w:t>
      </w:r>
      <w:r>
        <w:rPr>
          <w:color w:val="231F20"/>
        </w:rPr>
        <w:t>also</w:t>
      </w:r>
      <w:r>
        <w:rPr>
          <w:color w:val="231F20"/>
          <w:spacing w:val="-5"/>
        </w:rPr>
        <w:t> </w:t>
      </w:r>
      <w:r>
        <w:rPr>
          <w:color w:val="231F20"/>
        </w:rPr>
        <w:t>an</w:t>
      </w:r>
      <w:r>
        <w:rPr>
          <w:color w:val="231F20"/>
          <w:spacing w:val="-4"/>
        </w:rPr>
        <w:t> </w:t>
      </w:r>
      <w:r>
        <w:rPr>
          <w:color w:val="231F20"/>
          <w:spacing w:val="-1"/>
        </w:rPr>
        <w:t>important</w:t>
      </w:r>
      <w:r>
        <w:rPr>
          <w:color w:val="231F20"/>
          <w:spacing w:val="23"/>
          <w:w w:val="99"/>
        </w:rPr>
        <w:t> </w:t>
      </w:r>
      <w:r>
        <w:rPr>
          <w:color w:val="231F20"/>
        </w:rPr>
        <w:t>contributor</w:t>
      </w:r>
      <w:r>
        <w:rPr>
          <w:color w:val="231F20"/>
          <w:spacing w:val="-9"/>
        </w:rPr>
        <w:t> </w:t>
      </w:r>
      <w:r>
        <w:rPr>
          <w:color w:val="231F20"/>
        </w:rPr>
        <w:t>to</w:t>
      </w:r>
      <w:r>
        <w:rPr>
          <w:color w:val="231F20"/>
          <w:spacing w:val="-7"/>
        </w:rPr>
        <w:t> </w:t>
      </w:r>
      <w:r>
        <w:rPr>
          <w:color w:val="231F20"/>
          <w:spacing w:val="-1"/>
        </w:rPr>
        <w:t>successful</w:t>
      </w:r>
      <w:r>
        <w:rPr>
          <w:color w:val="231F20"/>
          <w:spacing w:val="-6"/>
        </w:rPr>
        <w:t> </w:t>
      </w:r>
      <w:r>
        <w:rPr>
          <w:color w:val="231F20"/>
        </w:rPr>
        <w:t>boarding</w:t>
      </w:r>
      <w:r>
        <w:rPr>
          <w:color w:val="231F20"/>
          <w:spacing w:val="-8"/>
        </w:rPr>
        <w:t> </w:t>
      </w:r>
      <w:r>
        <w:rPr>
          <w:color w:val="231F20"/>
        </w:rPr>
        <w:t>outcomes.</w:t>
      </w:r>
      <w:r>
        <w:rPr>
          <w:color w:val="231F20"/>
          <w:spacing w:val="22"/>
          <w:w w:val="99"/>
        </w:rPr>
        <w:t> </w:t>
      </w:r>
      <w:r>
        <w:rPr>
          <w:color w:val="231F20"/>
        </w:rPr>
        <w:t>This</w:t>
      </w:r>
      <w:r>
        <w:rPr>
          <w:color w:val="231F20"/>
          <w:spacing w:val="-3"/>
        </w:rPr>
        <w:t> </w:t>
      </w:r>
      <w:r>
        <w:rPr>
          <w:color w:val="231F20"/>
          <w:spacing w:val="-1"/>
        </w:rPr>
        <w:t>includes</w:t>
      </w:r>
      <w:r>
        <w:rPr>
          <w:color w:val="231F20"/>
          <w:spacing w:val="-2"/>
        </w:rPr>
        <w:t> </w:t>
      </w:r>
      <w:r>
        <w:rPr>
          <w:color w:val="231F20"/>
        </w:rPr>
        <w:t>the</w:t>
      </w:r>
      <w:r>
        <w:rPr>
          <w:color w:val="231F20"/>
          <w:spacing w:val="-3"/>
        </w:rPr>
        <w:t> </w:t>
      </w:r>
      <w:r>
        <w:rPr>
          <w:color w:val="231F20"/>
        </w:rPr>
        <w:t>design</w:t>
      </w:r>
      <w:r>
        <w:rPr>
          <w:color w:val="231F20"/>
          <w:spacing w:val="-3"/>
        </w:rPr>
        <w:t> </w:t>
      </w:r>
      <w:r>
        <w:rPr>
          <w:color w:val="231F20"/>
        </w:rPr>
        <w:t>of</w:t>
      </w:r>
      <w:r>
        <w:rPr>
          <w:color w:val="231F20"/>
          <w:spacing w:val="-2"/>
        </w:rPr>
        <w:t> </w:t>
      </w:r>
      <w:r>
        <w:rPr>
          <w:color w:val="231F20"/>
        </w:rPr>
        <w:t>facilities,</w:t>
      </w:r>
      <w:r>
        <w:rPr>
          <w:color w:val="231F20"/>
          <w:spacing w:val="-3"/>
        </w:rPr>
        <w:t> </w:t>
      </w:r>
      <w:r>
        <w:rPr>
          <w:color w:val="231F20"/>
        </w:rPr>
        <w:t>cultural</w:t>
      </w:r>
      <w:r>
        <w:rPr>
          <w:color w:val="231F20"/>
          <w:spacing w:val="22"/>
          <w:w w:val="99"/>
        </w:rPr>
        <w:t> </w:t>
      </w:r>
      <w:r>
        <w:rPr>
          <w:rFonts w:ascii="Segoe UI"/>
          <w:color w:val="231F20"/>
        </w:rPr>
        <w:t>awareness</w:t>
      </w:r>
      <w:r>
        <w:rPr>
          <w:rFonts w:ascii="Segoe UI"/>
          <w:color w:val="231F20"/>
          <w:spacing w:val="-1"/>
        </w:rPr>
        <w:t> </w:t>
      </w:r>
      <w:r>
        <w:rPr>
          <w:rFonts w:ascii="Segoe UI"/>
          <w:color w:val="231F20"/>
        </w:rPr>
        <w:t>and</w:t>
      </w:r>
      <w:r>
        <w:rPr>
          <w:rFonts w:ascii="Segoe UI"/>
          <w:color w:val="231F20"/>
          <w:spacing w:val="-1"/>
        </w:rPr>
        <w:t> </w:t>
      </w:r>
      <w:r>
        <w:rPr>
          <w:rFonts w:ascii="Segoe UI"/>
          <w:color w:val="231F20"/>
        </w:rPr>
        <w:t>training for</w:t>
      </w:r>
      <w:r>
        <w:rPr>
          <w:rFonts w:ascii="Segoe UI"/>
          <w:color w:val="231F20"/>
          <w:spacing w:val="-1"/>
        </w:rPr>
        <w:t> </w:t>
      </w:r>
      <w:r>
        <w:rPr>
          <w:rFonts w:ascii="Segoe UI"/>
          <w:color w:val="231F20"/>
        </w:rPr>
        <w:t>staff</w:t>
      </w:r>
      <w:r>
        <w:rPr>
          <w:rFonts w:ascii="Segoe UI"/>
          <w:color w:val="231F20"/>
          <w:spacing w:val="-1"/>
        </w:rPr>
        <w:t> </w:t>
      </w:r>
      <w:r>
        <w:rPr>
          <w:rFonts w:ascii="Segoe UI"/>
          <w:color w:val="231F20"/>
        </w:rPr>
        <w:t>and students,</w:t>
      </w:r>
      <w:r>
        <w:rPr>
          <w:rFonts w:ascii="Segoe UI"/>
          <w:color w:val="231F20"/>
        </w:rPr>
        <w:t> </w:t>
      </w:r>
      <w:r>
        <w:rPr>
          <w:color w:val="231F20"/>
        </w:rPr>
        <w:t>addressing</w:t>
      </w:r>
      <w:r>
        <w:rPr>
          <w:color w:val="231F20"/>
          <w:spacing w:val="-7"/>
        </w:rPr>
        <w:t> </w:t>
      </w:r>
      <w:r>
        <w:rPr>
          <w:color w:val="231F20"/>
          <w:spacing w:val="-1"/>
        </w:rPr>
        <w:t>institutional</w:t>
      </w:r>
      <w:r>
        <w:rPr>
          <w:color w:val="231F20"/>
          <w:spacing w:val="-6"/>
        </w:rPr>
        <w:t> </w:t>
      </w:r>
      <w:r>
        <w:rPr>
          <w:color w:val="231F20"/>
        </w:rPr>
        <w:t>racism</w:t>
      </w:r>
      <w:r>
        <w:rPr>
          <w:color w:val="231F20"/>
          <w:spacing w:val="-6"/>
        </w:rPr>
        <w:t> </w:t>
      </w:r>
      <w:r>
        <w:rPr>
          <w:color w:val="231F20"/>
        </w:rPr>
        <w:t>and</w:t>
      </w:r>
      <w:r>
        <w:rPr>
          <w:color w:val="231F20"/>
          <w:spacing w:val="-7"/>
        </w:rPr>
        <w:t> </w:t>
      </w:r>
      <w:r>
        <w:rPr>
          <w:color w:val="231F20"/>
        </w:rPr>
        <w:t>promoting</w:t>
      </w:r>
      <w:r>
        <w:rPr>
          <w:color w:val="231F20"/>
          <w:spacing w:val="22"/>
          <w:w w:val="99"/>
        </w:rPr>
        <w:t> </w:t>
      </w:r>
      <w:r>
        <w:rPr>
          <w:color w:val="231F20"/>
          <w:spacing w:val="-1"/>
        </w:rPr>
        <w:t>inclusion</w:t>
      </w:r>
      <w:r>
        <w:rPr>
          <w:color w:val="231F20"/>
          <w:spacing w:val="-6"/>
        </w:rPr>
        <w:t> </w:t>
      </w:r>
      <w:r>
        <w:rPr>
          <w:color w:val="231F20"/>
        </w:rPr>
        <w:t>and</w:t>
      </w:r>
      <w:r>
        <w:rPr>
          <w:color w:val="231F20"/>
          <w:spacing w:val="-7"/>
        </w:rPr>
        <w:t> </w:t>
      </w:r>
      <w:r>
        <w:rPr>
          <w:color w:val="231F20"/>
        </w:rPr>
        <w:t>diversity.</w:t>
      </w:r>
      <w:r>
        <w:rPr/>
      </w:r>
    </w:p>
    <w:p>
      <w:pPr>
        <w:pStyle w:val="BodyText"/>
        <w:spacing w:line="250" w:lineRule="exact" w:before="113"/>
        <w:ind w:left="554" w:right="238"/>
        <w:jc w:val="left"/>
        <w:rPr>
          <w:rFonts w:ascii="Segoe UI Semibold" w:hAnsi="Segoe UI Semibold" w:cs="Segoe UI Semibold" w:eastAsia="Segoe UI Semibold"/>
        </w:rPr>
      </w:pPr>
      <w:r>
        <w:rPr>
          <w:rFonts w:ascii="Segoe UI Semibold"/>
          <w:b/>
          <w:color w:val="00779B"/>
          <w:spacing w:val="-2"/>
        </w:rPr>
        <w:t>Students </w:t>
      </w:r>
      <w:r>
        <w:rPr>
          <w:rFonts w:ascii="Segoe UI Semibold"/>
          <w:b/>
          <w:color w:val="00779B"/>
          <w:spacing w:val="-1"/>
        </w:rPr>
        <w:t>whose </w:t>
      </w:r>
      <w:r>
        <w:rPr>
          <w:rFonts w:ascii="Segoe UI Semibold"/>
          <w:b/>
          <w:color w:val="00779B"/>
          <w:spacing w:val="-2"/>
        </w:rPr>
        <w:t>background</w:t>
      </w:r>
      <w:r>
        <w:rPr>
          <w:rFonts w:ascii="Segoe UI Semibold"/>
          <w:b/>
          <w:color w:val="00779B"/>
          <w:spacing w:val="-1"/>
        </w:rPr>
        <w:t> </w:t>
      </w:r>
      <w:r>
        <w:rPr>
          <w:rFonts w:ascii="Segoe UI Semibold"/>
          <w:b/>
          <w:color w:val="00779B"/>
        </w:rPr>
        <w:t>and</w:t>
      </w:r>
      <w:r>
        <w:rPr>
          <w:rFonts w:ascii="Segoe UI Semibold"/>
          <w:b/>
          <w:color w:val="00779B"/>
          <w:spacing w:val="29"/>
        </w:rPr>
        <w:t> </w:t>
      </w:r>
      <w:r>
        <w:rPr>
          <w:rFonts w:ascii="Segoe UI Semibold"/>
          <w:b/>
          <w:color w:val="00779B"/>
          <w:spacing w:val="-1"/>
        </w:rPr>
        <w:t>cultural</w:t>
      </w:r>
      <w:r>
        <w:rPr>
          <w:rFonts w:ascii="Segoe UI Semibold"/>
          <w:b/>
          <w:color w:val="00779B"/>
        </w:rPr>
        <w:t> knowledge</w:t>
      </w:r>
      <w:r>
        <w:rPr>
          <w:rFonts w:ascii="Segoe UI Semibold"/>
          <w:b/>
          <w:color w:val="00779B"/>
          <w:spacing w:val="-1"/>
        </w:rPr>
        <w:t> is</w:t>
      </w:r>
      <w:r>
        <w:rPr>
          <w:rFonts w:ascii="Segoe UI Semibold"/>
          <w:b/>
          <w:color w:val="00779B"/>
        </w:rPr>
        <w:t> </w:t>
      </w:r>
      <w:r>
        <w:rPr>
          <w:rFonts w:ascii="Segoe UI Semibold"/>
          <w:b/>
          <w:color w:val="00779B"/>
          <w:spacing w:val="-1"/>
        </w:rPr>
        <w:t>not</w:t>
      </w:r>
      <w:r>
        <w:rPr>
          <w:rFonts w:ascii="Segoe UI Semibold"/>
          <w:b/>
          <w:color w:val="00779B"/>
        </w:rPr>
        <w:t> </w:t>
      </w:r>
      <w:r>
        <w:rPr>
          <w:rFonts w:ascii="Segoe UI Semibold"/>
          <w:b/>
          <w:color w:val="00779B"/>
          <w:spacing w:val="-1"/>
        </w:rPr>
        <w:t>recognised</w:t>
      </w:r>
      <w:r>
        <w:rPr>
          <w:rFonts w:ascii="Segoe UI Semibold"/>
          <w:b/>
          <w:color w:val="00779B"/>
          <w:spacing w:val="23"/>
        </w:rPr>
        <w:t> </w:t>
      </w:r>
      <w:r>
        <w:rPr>
          <w:rFonts w:ascii="Segoe UI Semibold"/>
          <w:b/>
          <w:color w:val="00779B"/>
          <w:spacing w:val="-1"/>
        </w:rPr>
        <w:t>or</w:t>
      </w:r>
      <w:r>
        <w:rPr>
          <w:rFonts w:ascii="Segoe UI Semibold"/>
          <w:b/>
          <w:color w:val="00779B"/>
        </w:rPr>
        <w:t> acknowledged,</w:t>
      </w:r>
      <w:r>
        <w:rPr>
          <w:rFonts w:ascii="Segoe UI Semibold"/>
          <w:b/>
          <w:color w:val="00779B"/>
          <w:spacing w:val="-1"/>
        </w:rPr>
        <w:t> can</w:t>
      </w:r>
      <w:r>
        <w:rPr>
          <w:rFonts w:ascii="Segoe UI Semibold"/>
          <w:b/>
          <w:color w:val="00779B"/>
        </w:rPr>
        <w:t> </w:t>
      </w:r>
      <w:r>
        <w:rPr>
          <w:rFonts w:ascii="Segoe UI Semibold"/>
          <w:b/>
          <w:color w:val="00779B"/>
          <w:spacing w:val="-1"/>
        </w:rPr>
        <w:t>internalise</w:t>
      </w:r>
      <w:r>
        <w:rPr>
          <w:rFonts w:ascii="Segoe UI Semibold"/>
        </w:rPr>
      </w:r>
    </w:p>
    <w:p>
      <w:pPr>
        <w:pStyle w:val="BodyText"/>
        <w:spacing w:line="250" w:lineRule="exact"/>
        <w:ind w:left="554" w:right="6"/>
        <w:jc w:val="left"/>
        <w:rPr>
          <w:rFonts w:ascii="Segoe UI Semibold" w:hAnsi="Segoe UI Semibold" w:cs="Segoe UI Semibold" w:eastAsia="Segoe UI Semibold"/>
          <w:sz w:val="11"/>
          <w:szCs w:val="11"/>
        </w:rPr>
      </w:pPr>
      <w:r>
        <w:rPr>
          <w:rFonts w:ascii="Segoe UI Semibold" w:hAnsi="Segoe UI Semibold" w:cs="Segoe UI Semibold" w:eastAsia="Segoe UI Semibold"/>
          <w:b/>
          <w:bCs/>
          <w:color w:val="00779B"/>
        </w:rPr>
        <w:t>a</w:t>
      </w:r>
      <w:r>
        <w:rPr>
          <w:rFonts w:ascii="Segoe UI Semibold" w:hAnsi="Segoe UI Semibold" w:cs="Segoe UI Semibold" w:eastAsia="Segoe UI Semibold"/>
          <w:b/>
          <w:bCs/>
          <w:color w:val="00779B"/>
          <w:spacing w:val="-1"/>
        </w:rPr>
        <w:t> sense</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2"/>
        </w:rPr>
        <w:t>of</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spacing w:val="-2"/>
        </w:rPr>
        <w:t>‘otherness’</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that is</w:t>
      </w:r>
      <w:r>
        <w:rPr>
          <w:rFonts w:ascii="Segoe UI Semibold" w:hAnsi="Segoe UI Semibold" w:cs="Segoe UI Semibold" w:eastAsia="Segoe UI Semibold"/>
          <w:b/>
          <w:bCs/>
          <w:color w:val="00779B"/>
        </w:rPr>
        <w:t> a</w:t>
      </w:r>
      <w:r>
        <w:rPr>
          <w:rFonts w:ascii="Segoe UI Semibold" w:hAnsi="Segoe UI Semibold" w:cs="Segoe UI Semibold" w:eastAsia="Segoe UI Semibold"/>
          <w:b/>
          <w:bCs/>
          <w:color w:val="00779B"/>
          <w:spacing w:val="24"/>
          <w:w w:val="99"/>
        </w:rPr>
        <w:t> </w:t>
      </w:r>
      <w:r>
        <w:rPr>
          <w:rFonts w:ascii="Segoe UI Semibold" w:hAnsi="Segoe UI Semibold" w:cs="Segoe UI Semibold" w:eastAsia="Segoe UI Semibold"/>
          <w:b/>
          <w:bCs/>
          <w:color w:val="00779B"/>
          <w:spacing w:val="-1"/>
        </w:rPr>
        <w:t>disincentive</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to</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engagement.</w:t>
      </w:r>
      <w:r>
        <w:rPr>
          <w:rFonts w:ascii="Segoe UI Semibold" w:hAnsi="Segoe UI Semibold" w:cs="Segoe UI Semibold" w:eastAsia="Segoe UI Semibold"/>
          <w:b/>
          <w:bCs/>
          <w:color w:val="00779B"/>
          <w:spacing w:val="-1"/>
          <w:position w:val="7"/>
          <w:sz w:val="11"/>
          <w:szCs w:val="11"/>
        </w:rPr>
        <w:t>77</w:t>
      </w:r>
      <w:r>
        <w:rPr>
          <w:rFonts w:ascii="Segoe UI Semibold" w:hAnsi="Segoe UI Semibold" w:cs="Segoe UI Semibold" w:eastAsia="Segoe UI Semibold"/>
          <w:sz w:val="11"/>
          <w:szCs w:val="11"/>
        </w:rPr>
      </w:r>
    </w:p>
    <w:p>
      <w:pPr>
        <w:pStyle w:val="BodyText"/>
        <w:spacing w:line="250" w:lineRule="exact" w:before="113"/>
        <w:ind w:left="100" w:right="6"/>
        <w:jc w:val="left"/>
      </w:pPr>
      <w:r>
        <w:rPr>
          <w:rFonts w:ascii="Segoe UI"/>
          <w:color w:val="231F20"/>
        </w:rPr>
        <w:t>Specific support programs and services include </w:t>
      </w:r>
      <w:r>
        <w:rPr>
          <w:color w:val="231F20"/>
        </w:rPr>
        <w:t>assistance</w:t>
      </w:r>
      <w:r>
        <w:rPr>
          <w:color w:val="231F20"/>
          <w:spacing w:val="-7"/>
        </w:rPr>
        <w:t> </w:t>
      </w:r>
      <w:r>
        <w:rPr>
          <w:color w:val="231F20"/>
        </w:rPr>
        <w:t>with</w:t>
      </w:r>
      <w:r>
        <w:rPr>
          <w:color w:val="231F20"/>
          <w:spacing w:val="-7"/>
        </w:rPr>
        <w:t> </w:t>
      </w:r>
      <w:r>
        <w:rPr>
          <w:color w:val="231F20"/>
          <w:spacing w:val="-1"/>
        </w:rPr>
        <w:t>identifying</w:t>
      </w:r>
      <w:r>
        <w:rPr>
          <w:color w:val="231F20"/>
          <w:spacing w:val="-5"/>
        </w:rPr>
        <w:t> </w:t>
      </w:r>
      <w:r>
        <w:rPr>
          <w:color w:val="231F20"/>
        </w:rPr>
        <w:t>the</w:t>
      </w:r>
      <w:r>
        <w:rPr>
          <w:color w:val="231F20"/>
          <w:spacing w:val="-7"/>
        </w:rPr>
        <w:t> </w:t>
      </w:r>
      <w:r>
        <w:rPr>
          <w:color w:val="231F20"/>
        </w:rPr>
        <w:t>right</w:t>
      </w:r>
      <w:r>
        <w:rPr>
          <w:color w:val="231F20"/>
          <w:spacing w:val="-7"/>
        </w:rPr>
        <w:t> </w:t>
      </w:r>
      <w:r>
        <w:rPr>
          <w:color w:val="231F20"/>
        </w:rPr>
        <w:t>boarding</w:t>
      </w:r>
      <w:r>
        <w:rPr>
          <w:color w:val="231F20"/>
          <w:spacing w:val="22"/>
          <w:w w:val="99"/>
        </w:rPr>
        <w:t> </w:t>
      </w:r>
      <w:r>
        <w:rPr>
          <w:color w:val="231F20"/>
        </w:rPr>
        <w:t>option</w:t>
      </w:r>
      <w:r>
        <w:rPr>
          <w:color w:val="231F20"/>
          <w:spacing w:val="-7"/>
        </w:rPr>
        <w:t> </w:t>
      </w:r>
      <w:r>
        <w:rPr>
          <w:color w:val="231F20"/>
        </w:rPr>
        <w:t>for</w:t>
      </w:r>
      <w:r>
        <w:rPr>
          <w:color w:val="231F20"/>
          <w:spacing w:val="-5"/>
        </w:rPr>
        <w:t> </w:t>
      </w:r>
      <w:r>
        <w:rPr>
          <w:color w:val="231F20"/>
        </w:rPr>
        <w:t>a</w:t>
      </w:r>
      <w:r>
        <w:rPr>
          <w:color w:val="231F20"/>
          <w:spacing w:val="-6"/>
        </w:rPr>
        <w:t> </w:t>
      </w:r>
      <w:r>
        <w:rPr>
          <w:color w:val="231F20"/>
          <w:spacing w:val="-1"/>
        </w:rPr>
        <w:t>student,</w:t>
      </w:r>
      <w:r>
        <w:rPr>
          <w:color w:val="231F20"/>
          <w:spacing w:val="-4"/>
        </w:rPr>
        <w:t> </w:t>
      </w:r>
      <w:r>
        <w:rPr>
          <w:color w:val="231F20"/>
        </w:rPr>
        <w:t>preparing</w:t>
      </w:r>
      <w:r>
        <w:rPr>
          <w:color w:val="231F20"/>
          <w:spacing w:val="-7"/>
        </w:rPr>
        <w:t> </w:t>
      </w:r>
      <w:r>
        <w:rPr>
          <w:color w:val="231F20"/>
        </w:rPr>
        <w:t>a</w:t>
      </w:r>
      <w:r>
        <w:rPr>
          <w:color w:val="231F20"/>
          <w:spacing w:val="-5"/>
        </w:rPr>
        <w:t> </w:t>
      </w:r>
      <w:r>
        <w:rPr>
          <w:color w:val="231F20"/>
          <w:spacing w:val="-1"/>
        </w:rPr>
        <w:t>student</w:t>
      </w:r>
      <w:r>
        <w:rPr/>
      </w:r>
    </w:p>
    <w:p>
      <w:pPr>
        <w:pStyle w:val="BodyText"/>
        <w:spacing w:line="250" w:lineRule="exact"/>
        <w:ind w:left="100" w:right="174"/>
        <w:jc w:val="left"/>
      </w:pPr>
      <w:r>
        <w:rPr>
          <w:color w:val="231F20"/>
        </w:rPr>
        <w:t>and</w:t>
      </w:r>
      <w:r>
        <w:rPr>
          <w:color w:val="231F20"/>
          <w:spacing w:val="-7"/>
        </w:rPr>
        <w:t> </w:t>
      </w:r>
      <w:r>
        <w:rPr>
          <w:color w:val="231F20"/>
        </w:rPr>
        <w:t>families</w:t>
      </w:r>
      <w:r>
        <w:rPr>
          <w:color w:val="231F20"/>
          <w:spacing w:val="-6"/>
        </w:rPr>
        <w:t> </w:t>
      </w:r>
      <w:r>
        <w:rPr>
          <w:color w:val="231F20"/>
        </w:rPr>
        <w:t>for</w:t>
      </w:r>
      <w:r>
        <w:rPr>
          <w:color w:val="231F20"/>
          <w:spacing w:val="-6"/>
        </w:rPr>
        <w:t> </w:t>
      </w:r>
      <w:r>
        <w:rPr>
          <w:color w:val="231F20"/>
        </w:rPr>
        <w:t>boarding,</w:t>
      </w:r>
      <w:r>
        <w:rPr>
          <w:color w:val="231F20"/>
          <w:spacing w:val="-6"/>
        </w:rPr>
        <w:t> </w:t>
      </w:r>
      <w:r>
        <w:rPr>
          <w:color w:val="231F20"/>
        </w:rPr>
        <w:t>and</w:t>
      </w:r>
      <w:r>
        <w:rPr>
          <w:color w:val="231F20"/>
          <w:spacing w:val="-7"/>
        </w:rPr>
        <w:t> </w:t>
      </w:r>
      <w:r>
        <w:rPr>
          <w:color w:val="231F20"/>
          <w:spacing w:val="-1"/>
        </w:rPr>
        <w:t>supporting</w:t>
      </w:r>
      <w:r>
        <w:rPr>
          <w:color w:val="231F20"/>
          <w:spacing w:val="20"/>
          <w:w w:val="99"/>
        </w:rPr>
        <w:t> </w:t>
      </w:r>
      <w:r>
        <w:rPr>
          <w:color w:val="231F20"/>
        </w:rPr>
        <w:t>boarders</w:t>
      </w:r>
      <w:r>
        <w:rPr>
          <w:color w:val="231F20"/>
          <w:spacing w:val="-5"/>
        </w:rPr>
        <w:t> </w:t>
      </w:r>
      <w:r>
        <w:rPr>
          <w:color w:val="231F20"/>
        </w:rPr>
        <w:t>and</w:t>
      </w:r>
      <w:r>
        <w:rPr>
          <w:color w:val="231F20"/>
          <w:spacing w:val="-5"/>
        </w:rPr>
        <w:t> </w:t>
      </w:r>
      <w:r>
        <w:rPr>
          <w:color w:val="231F20"/>
        </w:rPr>
        <w:t>families</w:t>
      </w:r>
      <w:r>
        <w:rPr>
          <w:color w:val="231F20"/>
          <w:spacing w:val="-6"/>
        </w:rPr>
        <w:t> </w:t>
      </w:r>
      <w:r>
        <w:rPr>
          <w:color w:val="231F20"/>
        </w:rPr>
        <w:t>while</w:t>
      </w:r>
      <w:r>
        <w:rPr>
          <w:color w:val="231F20"/>
          <w:spacing w:val="-5"/>
        </w:rPr>
        <w:t> </w:t>
      </w:r>
      <w:r>
        <w:rPr>
          <w:color w:val="231F20"/>
        </w:rPr>
        <w:t>a</w:t>
      </w:r>
      <w:r>
        <w:rPr>
          <w:color w:val="231F20"/>
          <w:spacing w:val="-4"/>
        </w:rPr>
        <w:t> </w:t>
      </w:r>
      <w:r>
        <w:rPr>
          <w:color w:val="231F20"/>
        </w:rPr>
        <w:t>boarder</w:t>
      </w:r>
      <w:r>
        <w:rPr>
          <w:color w:val="231F20"/>
          <w:spacing w:val="-4"/>
        </w:rPr>
        <w:t> </w:t>
      </w:r>
      <w:r>
        <w:rPr>
          <w:color w:val="231F20"/>
          <w:spacing w:val="-1"/>
        </w:rPr>
        <w:t>is</w:t>
      </w:r>
      <w:r>
        <w:rPr>
          <w:color w:val="231F20"/>
          <w:spacing w:val="-5"/>
        </w:rPr>
        <w:t> </w:t>
      </w:r>
      <w:r>
        <w:rPr>
          <w:color w:val="231F20"/>
        </w:rPr>
        <w:t>away</w:t>
      </w:r>
      <w:r>
        <w:rPr>
          <w:color w:val="231F20"/>
          <w:spacing w:val="21"/>
          <w:w w:val="99"/>
        </w:rPr>
        <w:t> </w:t>
      </w:r>
      <w:r>
        <w:rPr>
          <w:color w:val="231F20"/>
        </w:rPr>
        <w:t>from</w:t>
      </w:r>
      <w:r>
        <w:rPr>
          <w:color w:val="231F20"/>
          <w:spacing w:val="-4"/>
        </w:rPr>
        <w:t> </w:t>
      </w:r>
      <w:r>
        <w:rPr>
          <w:color w:val="231F20"/>
        </w:rPr>
        <w:t>home.</w:t>
      </w:r>
      <w:r>
        <w:rPr>
          <w:color w:val="231F20"/>
          <w:spacing w:val="-5"/>
        </w:rPr>
        <w:t> </w:t>
      </w:r>
      <w:r>
        <w:rPr>
          <w:color w:val="231F20"/>
          <w:spacing w:val="-1"/>
        </w:rPr>
        <w:t>Investment</w:t>
      </w:r>
      <w:r>
        <w:rPr>
          <w:color w:val="231F20"/>
          <w:spacing w:val="-3"/>
        </w:rPr>
        <w:t> </w:t>
      </w:r>
      <w:r>
        <w:rPr>
          <w:color w:val="231F20"/>
          <w:spacing w:val="-1"/>
        </w:rPr>
        <w:t>in</w:t>
      </w:r>
      <w:r>
        <w:rPr>
          <w:color w:val="231F20"/>
          <w:spacing w:val="-4"/>
        </w:rPr>
        <w:t> </w:t>
      </w:r>
      <w:r>
        <w:rPr>
          <w:color w:val="231F20"/>
        </w:rPr>
        <w:t>these</w:t>
      </w:r>
      <w:r>
        <w:rPr>
          <w:color w:val="231F20"/>
          <w:spacing w:val="-5"/>
        </w:rPr>
        <w:t> </w:t>
      </w:r>
      <w:r>
        <w:rPr>
          <w:color w:val="231F20"/>
        </w:rPr>
        <w:t>programs</w:t>
      </w:r>
      <w:r>
        <w:rPr>
          <w:color w:val="231F20"/>
          <w:spacing w:val="23"/>
          <w:w w:val="99"/>
        </w:rPr>
        <w:t> </w:t>
      </w:r>
      <w:r>
        <w:rPr>
          <w:color w:val="231F20"/>
        </w:rPr>
        <w:t>and</w:t>
      </w:r>
      <w:r>
        <w:rPr>
          <w:color w:val="231F20"/>
          <w:spacing w:val="-3"/>
        </w:rPr>
        <w:t> </w:t>
      </w:r>
      <w:r>
        <w:rPr>
          <w:color w:val="231F20"/>
          <w:spacing w:val="-1"/>
        </w:rPr>
        <w:t>services</w:t>
      </w:r>
      <w:r>
        <w:rPr>
          <w:color w:val="231F20"/>
          <w:spacing w:val="-2"/>
        </w:rPr>
        <w:t> </w:t>
      </w:r>
      <w:r>
        <w:rPr>
          <w:color w:val="231F20"/>
          <w:spacing w:val="-1"/>
        </w:rPr>
        <w:t>is</w:t>
      </w:r>
      <w:r>
        <w:rPr>
          <w:color w:val="231F20"/>
          <w:spacing w:val="-3"/>
        </w:rPr>
        <w:t> </w:t>
      </w:r>
      <w:r>
        <w:rPr>
          <w:color w:val="231F20"/>
        </w:rPr>
        <w:t>accepted</w:t>
      </w:r>
      <w:r>
        <w:rPr>
          <w:color w:val="231F20"/>
          <w:spacing w:val="-3"/>
        </w:rPr>
        <w:t> </w:t>
      </w:r>
      <w:r>
        <w:rPr>
          <w:color w:val="231F20"/>
        </w:rPr>
        <w:t>as</w:t>
      </w:r>
      <w:r>
        <w:rPr>
          <w:color w:val="231F20"/>
          <w:spacing w:val="-3"/>
        </w:rPr>
        <w:t> </w:t>
      </w:r>
      <w:r>
        <w:rPr>
          <w:color w:val="231F20"/>
        </w:rPr>
        <w:t>essential</w:t>
      </w:r>
      <w:r>
        <w:rPr>
          <w:color w:val="231F20"/>
          <w:spacing w:val="-3"/>
        </w:rPr>
        <w:t> </w:t>
      </w:r>
      <w:r>
        <w:rPr>
          <w:color w:val="231F20"/>
          <w:spacing w:val="-1"/>
        </w:rPr>
        <w:t>in</w:t>
      </w:r>
      <w:r>
        <w:rPr/>
      </w:r>
    </w:p>
    <w:p>
      <w:pPr>
        <w:pStyle w:val="BodyText"/>
        <w:spacing w:line="250" w:lineRule="exact"/>
        <w:ind w:left="100" w:right="6"/>
        <w:jc w:val="left"/>
      </w:pPr>
      <w:r>
        <w:rPr>
          <w:color w:val="231F20"/>
        </w:rPr>
        <w:t>delivering</w:t>
      </w:r>
      <w:r>
        <w:rPr>
          <w:color w:val="231F20"/>
          <w:spacing w:val="-7"/>
        </w:rPr>
        <w:t> </w:t>
      </w:r>
      <w:r>
        <w:rPr>
          <w:color w:val="231F20"/>
        </w:rPr>
        <w:t>the</w:t>
      </w:r>
      <w:r>
        <w:rPr>
          <w:color w:val="231F20"/>
          <w:spacing w:val="-7"/>
        </w:rPr>
        <w:t> </w:t>
      </w:r>
      <w:r>
        <w:rPr>
          <w:color w:val="231F20"/>
          <w:spacing w:val="-1"/>
        </w:rPr>
        <w:t>intended</w:t>
      </w:r>
      <w:r>
        <w:rPr>
          <w:color w:val="231F20"/>
          <w:spacing w:val="-6"/>
        </w:rPr>
        <w:t> </w:t>
      </w:r>
      <w:r>
        <w:rPr>
          <w:color w:val="231F20"/>
        </w:rPr>
        <w:t>outcomes</w:t>
      </w:r>
      <w:r>
        <w:rPr>
          <w:color w:val="231F20"/>
          <w:spacing w:val="-7"/>
        </w:rPr>
        <w:t> </w:t>
      </w:r>
      <w:r>
        <w:rPr>
          <w:color w:val="231F20"/>
        </w:rPr>
        <w:t>of</w:t>
      </w:r>
      <w:r>
        <w:rPr>
          <w:color w:val="231F20"/>
          <w:spacing w:val="-6"/>
        </w:rPr>
        <w:t> </w:t>
      </w:r>
      <w:r>
        <w:rPr>
          <w:color w:val="231F20"/>
        </w:rPr>
        <w:t>boarding.</w:t>
      </w:r>
      <w:r>
        <w:rPr>
          <w:color w:val="231F20"/>
          <w:spacing w:val="22"/>
          <w:w w:val="99"/>
        </w:rPr>
        <w:t> </w:t>
      </w:r>
      <w:r>
        <w:rPr>
          <w:color w:val="231F20"/>
        </w:rPr>
        <w:t>The</w:t>
      </w:r>
      <w:r>
        <w:rPr>
          <w:color w:val="231F20"/>
          <w:spacing w:val="-7"/>
        </w:rPr>
        <w:t> </w:t>
      </w:r>
      <w:r>
        <w:rPr>
          <w:color w:val="231F20"/>
          <w:spacing w:val="-1"/>
        </w:rPr>
        <w:t>Boarding</w:t>
      </w:r>
      <w:r>
        <w:rPr>
          <w:color w:val="231F20"/>
          <w:spacing w:val="-7"/>
        </w:rPr>
        <w:t> </w:t>
      </w:r>
      <w:r>
        <w:rPr>
          <w:color w:val="231F20"/>
          <w:spacing w:val="-1"/>
        </w:rPr>
        <w:t>Standard</w:t>
      </w:r>
      <w:r>
        <w:rPr>
          <w:color w:val="231F20"/>
          <w:spacing w:val="-8"/>
        </w:rPr>
        <w:t> </w:t>
      </w:r>
      <w:r>
        <w:rPr>
          <w:color w:val="231F20"/>
        </w:rPr>
        <w:t>provides</w:t>
      </w:r>
      <w:r>
        <w:rPr>
          <w:color w:val="231F20"/>
          <w:spacing w:val="-7"/>
        </w:rPr>
        <w:t> </w:t>
      </w:r>
      <w:r>
        <w:rPr>
          <w:color w:val="231F20"/>
        </w:rPr>
        <w:t>an</w:t>
      </w:r>
      <w:r>
        <w:rPr>
          <w:color w:val="231F20"/>
          <w:spacing w:val="-8"/>
        </w:rPr>
        <w:t> </w:t>
      </w:r>
      <w:r>
        <w:rPr>
          <w:color w:val="231F20"/>
        </w:rPr>
        <w:t>overall</w:t>
      </w:r>
      <w:r>
        <w:rPr>
          <w:color w:val="231F20"/>
          <w:spacing w:val="23"/>
          <w:w w:val="99"/>
        </w:rPr>
        <w:t> </w:t>
      </w:r>
      <w:r>
        <w:rPr>
          <w:color w:val="231F20"/>
        </w:rPr>
        <w:t>framework</w:t>
      </w:r>
      <w:r>
        <w:rPr>
          <w:color w:val="231F20"/>
          <w:spacing w:val="-8"/>
        </w:rPr>
        <w:t> </w:t>
      </w:r>
      <w:r>
        <w:rPr>
          <w:color w:val="231F20"/>
        </w:rPr>
        <w:t>for</w:t>
      </w:r>
      <w:r>
        <w:rPr>
          <w:color w:val="231F20"/>
          <w:spacing w:val="-7"/>
        </w:rPr>
        <w:t> </w:t>
      </w:r>
      <w:r>
        <w:rPr>
          <w:color w:val="231F20"/>
          <w:spacing w:val="-1"/>
        </w:rPr>
        <w:t>supporting</w:t>
      </w:r>
      <w:r>
        <w:rPr>
          <w:color w:val="231F20"/>
          <w:spacing w:val="-7"/>
        </w:rPr>
        <w:t> </w:t>
      </w:r>
      <w:r>
        <w:rPr>
          <w:color w:val="231F20"/>
        </w:rPr>
        <w:t>boarders.</w:t>
      </w:r>
      <w:r>
        <w:rPr>
          <w:color w:val="231F20"/>
          <w:spacing w:val="-8"/>
        </w:rPr>
        <w:t> </w:t>
      </w:r>
      <w:r>
        <w:rPr>
          <w:color w:val="231F20"/>
          <w:spacing w:val="-1"/>
        </w:rPr>
        <w:t>In</w:t>
      </w:r>
      <w:r>
        <w:rPr>
          <w:color w:val="231F20"/>
          <w:spacing w:val="-8"/>
        </w:rPr>
        <w:t> </w:t>
      </w:r>
      <w:r>
        <w:rPr>
          <w:color w:val="231F20"/>
        </w:rPr>
        <w:t>addition</w:t>
      </w:r>
      <w:r>
        <w:rPr>
          <w:color w:val="231F20"/>
          <w:spacing w:val="23"/>
          <w:w w:val="99"/>
        </w:rPr>
        <w:t> </w:t>
      </w:r>
      <w:r>
        <w:rPr>
          <w:color w:val="231F20"/>
        </w:rPr>
        <w:t>to</w:t>
      </w:r>
      <w:r>
        <w:rPr>
          <w:color w:val="231F20"/>
          <w:spacing w:val="-4"/>
        </w:rPr>
        <w:t> </w:t>
      </w:r>
      <w:r>
        <w:rPr>
          <w:color w:val="231F20"/>
          <w:spacing w:val="-1"/>
        </w:rPr>
        <w:t>support</w:t>
      </w:r>
      <w:r>
        <w:rPr>
          <w:color w:val="231F20"/>
          <w:spacing w:val="-3"/>
        </w:rPr>
        <w:t> </w:t>
      </w:r>
      <w:r>
        <w:rPr>
          <w:color w:val="231F20"/>
        </w:rPr>
        <w:t>for</w:t>
      </w:r>
      <w:r>
        <w:rPr>
          <w:color w:val="231F20"/>
          <w:spacing w:val="-4"/>
        </w:rPr>
        <w:t> </w:t>
      </w:r>
      <w:r>
        <w:rPr>
          <w:color w:val="231F20"/>
        </w:rPr>
        <w:t>boarders,</w:t>
      </w:r>
      <w:r>
        <w:rPr>
          <w:color w:val="231F20"/>
          <w:spacing w:val="-4"/>
        </w:rPr>
        <w:t> </w:t>
      </w:r>
      <w:r>
        <w:rPr>
          <w:color w:val="231F20"/>
          <w:spacing w:val="-1"/>
        </w:rPr>
        <w:t>Section</w:t>
      </w:r>
      <w:r>
        <w:rPr>
          <w:color w:val="231F20"/>
          <w:spacing w:val="-4"/>
        </w:rPr>
        <w:t> </w:t>
      </w:r>
      <w:r>
        <w:rPr>
          <w:color w:val="231F20"/>
        </w:rPr>
        <w:t>5</w:t>
      </w:r>
      <w:r>
        <w:rPr>
          <w:color w:val="231F20"/>
          <w:spacing w:val="-3"/>
        </w:rPr>
        <w:t> </w:t>
      </w:r>
      <w:r>
        <w:rPr>
          <w:color w:val="231F20"/>
        </w:rPr>
        <w:t>of</w:t>
      </w:r>
      <w:r>
        <w:rPr>
          <w:color w:val="231F20"/>
          <w:spacing w:val="-4"/>
        </w:rPr>
        <w:t> </w:t>
      </w:r>
      <w:r>
        <w:rPr>
          <w:color w:val="231F20"/>
        </w:rPr>
        <w:t>the</w:t>
      </w:r>
      <w:r>
        <w:rPr>
          <w:color w:val="231F20"/>
          <w:spacing w:val="23"/>
          <w:w w:val="99"/>
        </w:rPr>
        <w:t> </w:t>
      </w:r>
      <w:r>
        <w:rPr>
          <w:color w:val="231F20"/>
          <w:spacing w:val="-1"/>
        </w:rPr>
        <w:t>Boarding</w:t>
      </w:r>
      <w:r>
        <w:rPr>
          <w:color w:val="231F20"/>
          <w:spacing w:val="-6"/>
        </w:rPr>
        <w:t> </w:t>
      </w:r>
      <w:r>
        <w:rPr>
          <w:color w:val="231F20"/>
          <w:spacing w:val="-1"/>
        </w:rPr>
        <w:t>Standard</w:t>
      </w:r>
      <w:r>
        <w:rPr>
          <w:color w:val="231F20"/>
          <w:spacing w:val="-6"/>
        </w:rPr>
        <w:t> </w:t>
      </w:r>
      <w:r>
        <w:rPr>
          <w:color w:val="231F20"/>
        </w:rPr>
        <w:t>deals</w:t>
      </w:r>
      <w:r>
        <w:rPr>
          <w:color w:val="231F20"/>
          <w:spacing w:val="-6"/>
        </w:rPr>
        <w:t> </w:t>
      </w:r>
      <w:r>
        <w:rPr>
          <w:color w:val="231F20"/>
        </w:rPr>
        <w:t>with</w:t>
      </w:r>
      <w:r>
        <w:rPr>
          <w:color w:val="231F20"/>
          <w:spacing w:val="-6"/>
        </w:rPr>
        <w:t> </w:t>
      </w:r>
      <w:r>
        <w:rPr>
          <w:color w:val="231F20"/>
          <w:spacing w:val="-1"/>
        </w:rPr>
        <w:t>support</w:t>
      </w:r>
      <w:r>
        <w:rPr>
          <w:color w:val="231F20"/>
          <w:spacing w:val="-5"/>
        </w:rPr>
        <w:t> </w:t>
      </w:r>
      <w:r>
        <w:rPr>
          <w:color w:val="231F20"/>
          <w:spacing w:val="-1"/>
        </w:rPr>
        <w:t>services</w:t>
      </w:r>
      <w:r>
        <w:rPr>
          <w:color w:val="231F20"/>
          <w:spacing w:val="23"/>
        </w:rPr>
        <w:t> </w:t>
      </w:r>
      <w:r>
        <w:rPr>
          <w:color w:val="231F20"/>
        </w:rPr>
        <w:t>for</w:t>
      </w:r>
      <w:r>
        <w:rPr>
          <w:color w:val="231F20"/>
          <w:spacing w:val="-3"/>
        </w:rPr>
        <w:t> </w:t>
      </w:r>
      <w:r>
        <w:rPr>
          <w:color w:val="231F20"/>
        </w:rPr>
        <w:t>families,</w:t>
      </w:r>
      <w:r>
        <w:rPr>
          <w:color w:val="231F20"/>
          <w:spacing w:val="-3"/>
        </w:rPr>
        <w:t> </w:t>
      </w:r>
      <w:r>
        <w:rPr>
          <w:color w:val="231F20"/>
        </w:rPr>
        <w:t>parents</w:t>
      </w:r>
      <w:r>
        <w:rPr>
          <w:color w:val="231F20"/>
          <w:spacing w:val="-4"/>
        </w:rPr>
        <w:t> </w:t>
      </w:r>
      <w:r>
        <w:rPr>
          <w:color w:val="231F20"/>
        </w:rPr>
        <w:t>and</w:t>
      </w:r>
      <w:r>
        <w:rPr>
          <w:color w:val="231F20"/>
          <w:spacing w:val="-3"/>
        </w:rPr>
        <w:t> </w:t>
      </w:r>
      <w:r>
        <w:rPr>
          <w:color w:val="231F20"/>
        </w:rPr>
        <w:t>home</w:t>
      </w:r>
      <w:r>
        <w:rPr>
          <w:color w:val="231F20"/>
          <w:spacing w:val="-4"/>
        </w:rPr>
        <w:t> </w:t>
      </w:r>
      <w:r>
        <w:rPr>
          <w:color w:val="231F20"/>
        </w:rPr>
        <w:t>communities</w:t>
      </w:r>
      <w:r>
        <w:rPr/>
      </w:r>
    </w:p>
    <w:p>
      <w:pPr>
        <w:pStyle w:val="BodyText"/>
        <w:spacing w:line="250" w:lineRule="exact"/>
        <w:ind w:left="100" w:right="6"/>
        <w:jc w:val="left"/>
      </w:pPr>
      <w:r>
        <w:rPr>
          <w:color w:val="231F20"/>
        </w:rPr>
        <w:t>as</w:t>
      </w:r>
      <w:r>
        <w:rPr>
          <w:color w:val="231F20"/>
          <w:spacing w:val="-5"/>
        </w:rPr>
        <w:t> </w:t>
      </w:r>
      <w:r>
        <w:rPr>
          <w:color w:val="231F20"/>
        </w:rPr>
        <w:t>an</w:t>
      </w:r>
      <w:r>
        <w:rPr>
          <w:color w:val="231F20"/>
          <w:spacing w:val="-5"/>
        </w:rPr>
        <w:t> </w:t>
      </w:r>
      <w:r>
        <w:rPr>
          <w:color w:val="231F20"/>
          <w:spacing w:val="-1"/>
        </w:rPr>
        <w:t>important</w:t>
      </w:r>
      <w:r>
        <w:rPr>
          <w:color w:val="231F20"/>
          <w:spacing w:val="-3"/>
        </w:rPr>
        <w:t> </w:t>
      </w:r>
      <w:r>
        <w:rPr>
          <w:color w:val="231F20"/>
        </w:rPr>
        <w:t>element</w:t>
      </w:r>
      <w:r>
        <w:rPr>
          <w:color w:val="231F20"/>
          <w:spacing w:val="-5"/>
        </w:rPr>
        <w:t> </w:t>
      </w:r>
      <w:r>
        <w:rPr>
          <w:color w:val="231F20"/>
        </w:rPr>
        <w:t>of</w:t>
      </w:r>
      <w:r>
        <w:rPr>
          <w:color w:val="231F20"/>
          <w:spacing w:val="-3"/>
        </w:rPr>
        <w:t> </w:t>
      </w:r>
      <w:r>
        <w:rPr>
          <w:color w:val="231F20"/>
        </w:rPr>
        <w:t>delivering</w:t>
      </w:r>
      <w:r>
        <w:rPr>
          <w:color w:val="231F20"/>
          <w:spacing w:val="-5"/>
        </w:rPr>
        <w:t> </w:t>
      </w:r>
      <w:r>
        <w:rPr>
          <w:color w:val="231F20"/>
        </w:rPr>
        <w:t>positive</w:t>
      </w:r>
      <w:r>
        <w:rPr>
          <w:color w:val="231F20"/>
          <w:spacing w:val="22"/>
        </w:rPr>
        <w:t> </w:t>
      </w:r>
      <w:r>
        <w:rPr>
          <w:color w:val="231F20"/>
        </w:rPr>
        <w:t>outcomes</w:t>
      </w:r>
      <w:r>
        <w:rPr>
          <w:color w:val="231F20"/>
          <w:spacing w:val="-8"/>
        </w:rPr>
        <w:t> </w:t>
      </w:r>
      <w:r>
        <w:rPr>
          <w:color w:val="231F20"/>
        </w:rPr>
        <w:t>from</w:t>
      </w:r>
      <w:r>
        <w:rPr>
          <w:color w:val="231F20"/>
          <w:spacing w:val="-6"/>
        </w:rPr>
        <w:t> </w:t>
      </w:r>
      <w:r>
        <w:rPr>
          <w:color w:val="231F20"/>
        </w:rPr>
        <w:t>boarding.</w:t>
      </w:r>
      <w:r>
        <w:rPr/>
      </w:r>
    </w:p>
    <w:p>
      <w:pPr>
        <w:spacing w:line="240" w:lineRule="auto" w:before="10"/>
        <w:rPr>
          <w:rFonts w:ascii="Segoe UI" w:hAnsi="Segoe UI" w:cs="Segoe UI" w:eastAsia="Segoe UI"/>
          <w:sz w:val="8"/>
          <w:szCs w:val="8"/>
        </w:rPr>
      </w:pPr>
      <w:r>
        <w:rPr/>
        <w:br w:type="column"/>
      </w:r>
      <w:r>
        <w:rPr>
          <w:rFonts w:ascii="Segoe UI"/>
          <w:sz w:val="8"/>
        </w:rPr>
      </w:r>
    </w:p>
    <w:p>
      <w:pPr>
        <w:spacing w:line="200" w:lineRule="atLeast"/>
        <w:ind w:left="100" w:right="0" w:firstLine="0"/>
        <w:rPr>
          <w:rFonts w:ascii="Segoe UI" w:hAnsi="Segoe UI" w:cs="Segoe UI" w:eastAsia="Segoe UI"/>
          <w:sz w:val="20"/>
          <w:szCs w:val="20"/>
        </w:rPr>
      </w:pPr>
      <w:r>
        <w:rPr>
          <w:rFonts w:ascii="Segoe UI" w:hAnsi="Segoe UI" w:cs="Segoe UI" w:eastAsia="Segoe UI"/>
          <w:sz w:val="20"/>
          <w:szCs w:val="20"/>
        </w:rPr>
        <w:pict>
          <v:group style="width:209.8pt;height:14.2pt;mso-position-horizontal-relative:char;mso-position-vertical-relative:line" coordorigin="0,0" coordsize="4196,284">
            <v:group style="position:absolute;left:283;top:0;width:3912;height:284" coordorigin="283,0" coordsize="3912,284">
              <v:shape style="position:absolute;left:283;top:0;width:3912;height:284" coordorigin="283,0" coordsize="3912,284" path="m283,283l4195,283,4195,0,283,0,283,283xe" filled="true" fillcolor="#97bf3d" stroked="false">
                <v:path arrowok="t"/>
                <v:fill type="solid"/>
              </v:shape>
            </v:group>
            <v:group style="position:absolute;left:0;top:0;width:284;height:284" coordorigin="0,0" coordsize="284,284">
              <v:shape style="position:absolute;left:0;top:0;width:284;height:284" coordorigin="0,0" coordsize="284,284" path="m0,283l283,283,283,0,0,0,0,283xe" filled="true" fillcolor="#67973f" stroked="false">
                <v:path arrowok="t"/>
                <v:fill type="solid"/>
              </v:shape>
              <v:shape style="position:absolute;left:0;top:0;width:4196;height:284" type="#_x0000_t202" filled="false" stroked="false">
                <v:textbox inset="0,0,0,0">
                  <w:txbxContent>
                    <w:p>
                      <w:pPr>
                        <w:spacing w:before="5"/>
                        <w:ind w:left="368" w:right="0" w:firstLine="0"/>
                        <w:jc w:val="left"/>
                        <w:rPr>
                          <w:rFonts w:ascii="Segoe UI" w:hAnsi="Segoe UI" w:cs="Segoe UI" w:eastAsia="Segoe UI"/>
                          <w:sz w:val="18"/>
                          <w:szCs w:val="18"/>
                        </w:rPr>
                      </w:pPr>
                      <w:r>
                        <w:rPr>
                          <w:rFonts w:ascii="Segoe UI"/>
                          <w:b/>
                          <w:i/>
                          <w:color w:val="FFFFFF"/>
                          <w:spacing w:val="-1"/>
                          <w:sz w:val="18"/>
                        </w:rPr>
                        <w:t>Case</w:t>
                      </w:r>
                      <w:r>
                        <w:rPr>
                          <w:rFonts w:ascii="Segoe UI"/>
                          <w:b/>
                          <w:i/>
                          <w:color w:val="FFFFFF"/>
                          <w:spacing w:val="-4"/>
                          <w:sz w:val="18"/>
                        </w:rPr>
                        <w:t> </w:t>
                      </w:r>
                      <w:r>
                        <w:rPr>
                          <w:rFonts w:ascii="Segoe UI"/>
                          <w:b/>
                          <w:i/>
                          <w:color w:val="FFFFFF"/>
                          <w:sz w:val="18"/>
                        </w:rPr>
                        <w:t>study</w:t>
                      </w:r>
                      <w:r>
                        <w:rPr>
                          <w:rFonts w:ascii="Segoe UI"/>
                          <w:b/>
                          <w:i/>
                          <w:color w:val="FFFFFF"/>
                          <w:spacing w:val="-5"/>
                          <w:sz w:val="18"/>
                        </w:rPr>
                        <w:t> </w:t>
                      </w:r>
                      <w:r>
                        <w:rPr>
                          <w:rFonts w:ascii="Segoe UI"/>
                          <w:b/>
                          <w:i/>
                          <w:color w:val="FFFFFF"/>
                          <w:sz w:val="18"/>
                        </w:rPr>
                        <w:t>5</w:t>
                      </w:r>
                      <w:r>
                        <w:rPr>
                          <w:rFonts w:ascii="Segoe UI"/>
                          <w:sz w:val="18"/>
                        </w:rPr>
                      </w:r>
                    </w:p>
                  </w:txbxContent>
                </v:textbox>
                <w10:wrap type="none"/>
              </v:shape>
            </v:group>
          </v:group>
        </w:pict>
      </w:r>
      <w:r>
        <w:rPr>
          <w:rFonts w:ascii="Segoe UI" w:hAnsi="Segoe UI" w:cs="Segoe UI" w:eastAsia="Segoe UI"/>
          <w:sz w:val="20"/>
          <w:szCs w:val="20"/>
        </w:rPr>
      </w:r>
    </w:p>
    <w:p>
      <w:pPr>
        <w:pStyle w:val="Heading6"/>
        <w:spacing w:line="240" w:lineRule="auto" w:before="124"/>
        <w:ind w:right="0"/>
        <w:jc w:val="left"/>
        <w:rPr>
          <w:rFonts w:ascii="Segoe UI" w:hAnsi="Segoe UI" w:cs="Segoe UI" w:eastAsia="Segoe UI"/>
          <w:b w:val="0"/>
          <w:bCs w:val="0"/>
        </w:rPr>
      </w:pPr>
      <w:r>
        <w:rPr>
          <w:rFonts w:ascii="Segoe UI"/>
          <w:color w:val="67973F"/>
        </w:rPr>
        <w:t>Community</w:t>
      </w:r>
      <w:r>
        <w:rPr>
          <w:rFonts w:ascii="Segoe UI"/>
          <w:color w:val="67973F"/>
          <w:spacing w:val="-4"/>
        </w:rPr>
        <w:t> </w:t>
      </w:r>
      <w:r>
        <w:rPr>
          <w:rFonts w:ascii="Segoe UI"/>
          <w:color w:val="67973F"/>
        </w:rPr>
        <w:t>Liaison</w:t>
      </w:r>
      <w:r>
        <w:rPr>
          <w:rFonts w:ascii="Segoe UI"/>
          <w:color w:val="67973F"/>
          <w:spacing w:val="-3"/>
        </w:rPr>
        <w:t> </w:t>
      </w:r>
      <w:r>
        <w:rPr>
          <w:rFonts w:ascii="Segoe UI"/>
          <w:color w:val="67973F"/>
        </w:rPr>
        <w:t>Office,</w:t>
      </w:r>
      <w:r>
        <w:rPr>
          <w:rFonts w:ascii="Segoe UI"/>
          <w:color w:val="67973F"/>
          <w:spacing w:val="-3"/>
        </w:rPr>
        <w:t> </w:t>
      </w:r>
      <w:r>
        <w:rPr>
          <w:rFonts w:ascii="Segoe UI"/>
          <w:color w:val="67973F"/>
        </w:rPr>
        <w:t>Yirara</w:t>
      </w:r>
      <w:r>
        <w:rPr>
          <w:rFonts w:ascii="Segoe UI"/>
          <w:color w:val="67973F"/>
          <w:spacing w:val="-3"/>
        </w:rPr>
        <w:t> </w:t>
      </w:r>
      <w:r>
        <w:rPr>
          <w:rFonts w:ascii="Segoe UI"/>
          <w:color w:val="67973F"/>
        </w:rPr>
        <w:t>College</w:t>
      </w:r>
      <w:r>
        <w:rPr>
          <w:rFonts w:ascii="Segoe UI"/>
          <w:b w:val="0"/>
        </w:rPr>
      </w:r>
    </w:p>
    <w:p>
      <w:pPr>
        <w:spacing w:line="265" w:lineRule="auto" w:before="138"/>
        <w:ind w:left="100" w:right="459" w:firstLine="0"/>
        <w:jc w:val="left"/>
        <w:rPr>
          <w:rFonts w:ascii="Segoe UI" w:hAnsi="Segoe UI" w:cs="Segoe UI" w:eastAsia="Segoe UI"/>
          <w:sz w:val="19"/>
          <w:szCs w:val="19"/>
        </w:rPr>
      </w:pPr>
      <w:r>
        <w:rPr>
          <w:rFonts w:ascii="Segoe UI" w:hAnsi="Segoe UI" w:cs="Segoe UI" w:eastAsia="Segoe UI"/>
          <w:color w:val="67973F"/>
          <w:sz w:val="19"/>
          <w:szCs w:val="19"/>
        </w:rPr>
        <w:t>One</w:t>
      </w:r>
      <w:r>
        <w:rPr>
          <w:rFonts w:ascii="Segoe UI" w:hAnsi="Segoe UI" w:cs="Segoe UI" w:eastAsia="Segoe UI"/>
          <w:color w:val="67973F"/>
          <w:spacing w:val="-6"/>
          <w:sz w:val="19"/>
          <w:szCs w:val="19"/>
        </w:rPr>
        <w:t> </w:t>
      </w:r>
      <w:r>
        <w:rPr>
          <w:rFonts w:ascii="Segoe UI" w:hAnsi="Segoe UI" w:cs="Segoe UI" w:eastAsia="Segoe UI"/>
          <w:color w:val="67973F"/>
          <w:sz w:val="19"/>
          <w:szCs w:val="19"/>
        </w:rPr>
        <w:t>of</w:t>
      </w:r>
      <w:r>
        <w:rPr>
          <w:rFonts w:ascii="Segoe UI" w:hAnsi="Segoe UI" w:cs="Segoe UI" w:eastAsia="Segoe UI"/>
          <w:color w:val="67973F"/>
          <w:spacing w:val="-5"/>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largest</w:t>
      </w:r>
      <w:r>
        <w:rPr>
          <w:rFonts w:ascii="Segoe UI" w:hAnsi="Segoe UI" w:cs="Segoe UI" w:eastAsia="Segoe UI"/>
          <w:color w:val="67973F"/>
          <w:spacing w:val="-5"/>
          <w:sz w:val="19"/>
          <w:szCs w:val="19"/>
        </w:rPr>
        <w:t> </w:t>
      </w:r>
      <w:r>
        <w:rPr>
          <w:rFonts w:ascii="Segoe UI" w:hAnsi="Segoe UI" w:cs="Segoe UI" w:eastAsia="Segoe UI"/>
          <w:color w:val="67973F"/>
          <w:sz w:val="19"/>
          <w:szCs w:val="19"/>
        </w:rPr>
        <w:t>boarding</w:t>
      </w:r>
      <w:r>
        <w:rPr>
          <w:rFonts w:ascii="Segoe UI" w:hAnsi="Segoe UI" w:cs="Segoe UI" w:eastAsia="Segoe UI"/>
          <w:color w:val="67973F"/>
          <w:spacing w:val="-6"/>
          <w:sz w:val="19"/>
          <w:szCs w:val="19"/>
        </w:rPr>
        <w:t> </w:t>
      </w:r>
      <w:r>
        <w:rPr>
          <w:rFonts w:ascii="Segoe UI" w:hAnsi="Segoe UI" w:cs="Segoe UI" w:eastAsia="Segoe UI"/>
          <w:color w:val="67973F"/>
          <w:spacing w:val="-1"/>
          <w:sz w:val="19"/>
          <w:szCs w:val="19"/>
        </w:rPr>
        <w:t>support</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services</w:t>
      </w:r>
      <w:r>
        <w:rPr>
          <w:rFonts w:ascii="Segoe UI" w:hAnsi="Segoe UI" w:cs="Segoe UI" w:eastAsia="Segoe UI"/>
          <w:color w:val="67973F"/>
          <w:spacing w:val="-1"/>
          <w:sz w:val="19"/>
          <w:szCs w:val="19"/>
        </w:rPr>
        <w:t> </w:t>
      </w:r>
      <w:r>
        <w:rPr>
          <w:rFonts w:ascii="Segoe UI" w:hAnsi="Segoe UI" w:cs="Segoe UI" w:eastAsia="Segoe UI"/>
          <w:color w:val="67973F"/>
          <w:spacing w:val="22"/>
          <w:sz w:val="19"/>
          <w:szCs w:val="19"/>
        </w:rPr>
        <w:t> </w:t>
      </w:r>
      <w:r>
        <w:rPr>
          <w:rFonts w:ascii="Segoe UI" w:hAnsi="Segoe UI" w:cs="Segoe UI" w:eastAsia="Segoe UI"/>
          <w:color w:val="67973F"/>
          <w:sz w:val="19"/>
          <w:szCs w:val="19"/>
        </w:rPr>
        <w:t>is the Community Liaison Office </w:t>
      </w:r>
      <w:r>
        <w:rPr>
          <w:rFonts w:ascii="Segoe UI" w:hAnsi="Segoe UI" w:cs="Segoe UI" w:eastAsia="Segoe UI"/>
          <w:color w:val="67973F"/>
          <w:spacing w:val="-2"/>
          <w:sz w:val="19"/>
          <w:szCs w:val="19"/>
        </w:rPr>
        <w:t>(CLO)</w:t>
      </w:r>
      <w:r>
        <w:rPr>
          <w:rFonts w:ascii="Segoe UI" w:hAnsi="Segoe UI" w:cs="Segoe UI" w:eastAsia="Segoe UI"/>
          <w:color w:val="67973F"/>
          <w:sz w:val="19"/>
          <w:szCs w:val="19"/>
        </w:rPr>
        <w:t> at Yirara</w:t>
      </w:r>
      <w:r>
        <w:rPr>
          <w:rFonts w:ascii="Segoe UI" w:hAnsi="Segoe UI" w:cs="Segoe UI" w:eastAsia="Segoe UI"/>
          <w:color w:val="67973F"/>
          <w:spacing w:val="23"/>
          <w:sz w:val="19"/>
          <w:szCs w:val="19"/>
        </w:rPr>
        <w:t> </w:t>
      </w:r>
      <w:r>
        <w:rPr>
          <w:rFonts w:ascii="Segoe UI" w:hAnsi="Segoe UI" w:cs="Segoe UI" w:eastAsia="Segoe UI"/>
          <w:color w:val="67973F"/>
          <w:spacing w:val="-1"/>
          <w:sz w:val="19"/>
          <w:szCs w:val="19"/>
        </w:rPr>
        <w:t>College</w:t>
      </w:r>
      <w:r>
        <w:rPr>
          <w:rFonts w:ascii="Segoe UI" w:hAnsi="Segoe UI" w:cs="Segoe UI" w:eastAsia="Segoe UI"/>
          <w:color w:val="67973F"/>
          <w:spacing w:val="-2"/>
          <w:sz w:val="19"/>
          <w:szCs w:val="19"/>
        </w:rPr>
        <w:t> </w:t>
      </w:r>
      <w:r>
        <w:rPr>
          <w:rFonts w:ascii="Segoe UI" w:hAnsi="Segoe UI" w:cs="Segoe UI" w:eastAsia="Segoe UI"/>
          <w:color w:val="67973F"/>
          <w:spacing w:val="-1"/>
          <w:sz w:val="19"/>
          <w:szCs w:val="19"/>
        </w:rPr>
        <w:t>in</w:t>
      </w:r>
      <w:r>
        <w:rPr>
          <w:rFonts w:ascii="Segoe UI" w:hAnsi="Segoe UI" w:cs="Segoe UI" w:eastAsia="Segoe UI"/>
          <w:color w:val="67973F"/>
          <w:spacing w:val="-2"/>
          <w:sz w:val="19"/>
          <w:szCs w:val="19"/>
        </w:rPr>
        <w:t> </w:t>
      </w:r>
      <w:r>
        <w:rPr>
          <w:rFonts w:ascii="Segoe UI" w:hAnsi="Segoe UI" w:cs="Segoe UI" w:eastAsia="Segoe UI"/>
          <w:color w:val="67973F"/>
          <w:sz w:val="19"/>
          <w:szCs w:val="19"/>
        </w:rPr>
        <w:t>Alice</w:t>
      </w:r>
      <w:r>
        <w:rPr>
          <w:rFonts w:ascii="Segoe UI" w:hAnsi="Segoe UI" w:cs="Segoe UI" w:eastAsia="Segoe UI"/>
          <w:color w:val="67973F"/>
          <w:spacing w:val="-2"/>
          <w:sz w:val="19"/>
          <w:szCs w:val="19"/>
        </w:rPr>
        <w:t> </w:t>
      </w:r>
      <w:r>
        <w:rPr>
          <w:rFonts w:ascii="Segoe UI" w:hAnsi="Segoe UI" w:cs="Segoe UI" w:eastAsia="Segoe UI"/>
          <w:color w:val="67973F"/>
          <w:spacing w:val="-1"/>
          <w:sz w:val="19"/>
          <w:szCs w:val="19"/>
        </w:rPr>
        <w:t>Springs.</w:t>
      </w:r>
      <w:r>
        <w:rPr>
          <w:rFonts w:ascii="Segoe UI" w:hAnsi="Segoe UI" w:cs="Segoe UI" w:eastAsia="Segoe UI"/>
          <w:color w:val="67973F"/>
          <w:spacing w:val="-2"/>
          <w:sz w:val="19"/>
          <w:szCs w:val="19"/>
        </w:rPr>
        <w:t> </w:t>
      </w:r>
      <w:r>
        <w:rPr>
          <w:rFonts w:ascii="Segoe UI" w:hAnsi="Segoe UI" w:cs="Segoe UI" w:eastAsia="Segoe UI"/>
          <w:color w:val="67973F"/>
          <w:sz w:val="19"/>
          <w:szCs w:val="19"/>
        </w:rPr>
        <w:t>All</w:t>
      </w:r>
      <w:r>
        <w:rPr>
          <w:rFonts w:ascii="Segoe UI" w:hAnsi="Segoe UI" w:cs="Segoe UI" w:eastAsia="Segoe UI"/>
          <w:color w:val="67973F"/>
          <w:spacing w:val="-3"/>
          <w:sz w:val="19"/>
          <w:szCs w:val="19"/>
        </w:rPr>
        <w:t> </w:t>
      </w:r>
      <w:r>
        <w:rPr>
          <w:rFonts w:ascii="Segoe UI" w:hAnsi="Segoe UI" w:cs="Segoe UI" w:eastAsia="Segoe UI"/>
          <w:color w:val="67973F"/>
          <w:sz w:val="19"/>
          <w:szCs w:val="19"/>
        </w:rPr>
        <w:t>of</w:t>
      </w:r>
      <w:r>
        <w:rPr>
          <w:rFonts w:ascii="Segoe UI" w:hAnsi="Segoe UI" w:cs="Segoe UI" w:eastAsia="Segoe UI"/>
          <w:color w:val="67973F"/>
          <w:spacing w:val="-2"/>
          <w:sz w:val="19"/>
          <w:szCs w:val="19"/>
        </w:rPr>
        <w:t> </w:t>
      </w:r>
      <w:r>
        <w:rPr>
          <w:rFonts w:ascii="Segoe UI" w:hAnsi="Segoe UI" w:cs="Segoe UI" w:eastAsia="Segoe UI"/>
          <w:color w:val="67973F"/>
          <w:sz w:val="19"/>
          <w:szCs w:val="19"/>
        </w:rPr>
        <w:t>Yirara</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College’s</w:t>
      </w:r>
      <w:r>
        <w:rPr>
          <w:rFonts w:ascii="Segoe UI" w:hAnsi="Segoe UI" w:cs="Segoe UI" w:eastAsia="Segoe UI"/>
          <w:color w:val="67973F"/>
          <w:spacing w:val="23"/>
          <w:sz w:val="19"/>
          <w:szCs w:val="19"/>
        </w:rPr>
        <w:t> </w:t>
      </w:r>
      <w:r>
        <w:rPr>
          <w:rFonts w:ascii="Segoe UI" w:hAnsi="Segoe UI" w:cs="Segoe UI" w:eastAsia="Segoe UI"/>
          <w:color w:val="67973F"/>
          <w:spacing w:val="-1"/>
          <w:sz w:val="19"/>
          <w:szCs w:val="19"/>
        </w:rPr>
        <w:t>students</w:t>
      </w:r>
      <w:r>
        <w:rPr>
          <w:rFonts w:ascii="Segoe UI" w:hAnsi="Segoe UI" w:cs="Segoe UI" w:eastAsia="Segoe UI"/>
          <w:color w:val="67973F"/>
          <w:spacing w:val="-6"/>
          <w:sz w:val="19"/>
          <w:szCs w:val="19"/>
        </w:rPr>
        <w:t> </w:t>
      </w:r>
      <w:r>
        <w:rPr>
          <w:rFonts w:ascii="Segoe UI" w:hAnsi="Segoe UI" w:cs="Segoe UI" w:eastAsia="Segoe UI"/>
          <w:color w:val="67973F"/>
          <w:sz w:val="19"/>
          <w:szCs w:val="19"/>
        </w:rPr>
        <w:t>are</w:t>
      </w:r>
      <w:r>
        <w:rPr>
          <w:rFonts w:ascii="Segoe UI" w:hAnsi="Segoe UI" w:cs="Segoe UI" w:eastAsia="Segoe UI"/>
          <w:color w:val="67973F"/>
          <w:spacing w:val="-7"/>
          <w:sz w:val="19"/>
          <w:szCs w:val="19"/>
        </w:rPr>
        <w:t> </w:t>
      </w:r>
      <w:r>
        <w:rPr>
          <w:rFonts w:ascii="Segoe UI" w:hAnsi="Segoe UI" w:cs="Segoe UI" w:eastAsia="Segoe UI"/>
          <w:color w:val="67973F"/>
          <w:sz w:val="19"/>
          <w:szCs w:val="19"/>
        </w:rPr>
        <w:t>Aboriginal</w:t>
      </w:r>
      <w:r>
        <w:rPr>
          <w:rFonts w:ascii="Segoe UI" w:hAnsi="Segoe UI" w:cs="Segoe UI" w:eastAsia="Segoe UI"/>
          <w:color w:val="67973F"/>
          <w:spacing w:val="-6"/>
          <w:sz w:val="19"/>
          <w:szCs w:val="19"/>
        </w:rPr>
        <w:t> </w:t>
      </w:r>
      <w:r>
        <w:rPr>
          <w:rFonts w:ascii="Segoe UI" w:hAnsi="Segoe UI" w:cs="Segoe UI" w:eastAsia="Segoe UI"/>
          <w:color w:val="67973F"/>
          <w:sz w:val="19"/>
          <w:szCs w:val="19"/>
        </w:rPr>
        <w:t>boarders</w:t>
      </w:r>
      <w:r>
        <w:rPr>
          <w:rFonts w:ascii="Segoe UI" w:hAnsi="Segoe UI" w:cs="Segoe UI" w:eastAsia="Segoe UI"/>
          <w:color w:val="67973F"/>
          <w:spacing w:val="-6"/>
          <w:sz w:val="19"/>
          <w:szCs w:val="19"/>
        </w:rPr>
        <w:t> </w:t>
      </w:r>
      <w:r>
        <w:rPr>
          <w:rFonts w:ascii="Segoe UI" w:hAnsi="Segoe UI" w:cs="Segoe UI" w:eastAsia="Segoe UI"/>
          <w:color w:val="67973F"/>
          <w:sz w:val="19"/>
          <w:szCs w:val="19"/>
        </w:rPr>
        <w:t>from</w:t>
      </w:r>
      <w:r>
        <w:rPr>
          <w:rFonts w:ascii="Segoe UI" w:hAnsi="Segoe UI" w:cs="Segoe UI" w:eastAsia="Segoe UI"/>
          <w:color w:val="67973F"/>
          <w:spacing w:val="-6"/>
          <w:sz w:val="19"/>
          <w:szCs w:val="19"/>
        </w:rPr>
        <w:t> </w:t>
      </w:r>
      <w:r>
        <w:rPr>
          <w:rFonts w:ascii="Segoe UI" w:hAnsi="Segoe UI" w:cs="Segoe UI" w:eastAsia="Segoe UI"/>
          <w:color w:val="67973F"/>
          <w:sz w:val="19"/>
          <w:szCs w:val="19"/>
        </w:rPr>
        <w:t>remote</w:t>
      </w:r>
      <w:r>
        <w:rPr>
          <w:rFonts w:ascii="Segoe UI" w:hAnsi="Segoe UI" w:cs="Segoe UI" w:eastAsia="Segoe UI"/>
          <w:sz w:val="19"/>
          <w:szCs w:val="19"/>
        </w:rPr>
      </w:r>
    </w:p>
    <w:p>
      <w:pPr>
        <w:spacing w:line="265" w:lineRule="auto" w:before="0"/>
        <w:ind w:left="100" w:right="247" w:firstLine="0"/>
        <w:jc w:val="left"/>
        <w:rPr>
          <w:rFonts w:ascii="Segoe UI" w:hAnsi="Segoe UI" w:cs="Segoe UI" w:eastAsia="Segoe UI"/>
          <w:sz w:val="19"/>
          <w:szCs w:val="19"/>
        </w:rPr>
      </w:pPr>
      <w:r>
        <w:rPr>
          <w:rFonts w:ascii="Segoe UI" w:hAnsi="Segoe UI" w:cs="Segoe UI" w:eastAsia="Segoe UI"/>
          <w:color w:val="67973F"/>
          <w:sz w:val="19"/>
          <w:szCs w:val="19"/>
        </w:rPr>
        <w:t>communities</w:t>
      </w:r>
      <w:r>
        <w:rPr>
          <w:rFonts w:ascii="Segoe UI" w:hAnsi="Segoe UI" w:cs="Segoe UI" w:eastAsia="Segoe UI"/>
          <w:color w:val="67973F"/>
          <w:spacing w:val="-5"/>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maintaining</w:t>
      </w:r>
      <w:r>
        <w:rPr>
          <w:rFonts w:ascii="Segoe UI" w:hAnsi="Segoe UI" w:cs="Segoe UI" w:eastAsia="Segoe UI"/>
          <w:color w:val="67973F"/>
          <w:spacing w:val="-2"/>
          <w:sz w:val="19"/>
          <w:szCs w:val="19"/>
        </w:rPr>
        <w:t> </w:t>
      </w:r>
      <w:r>
        <w:rPr>
          <w:rFonts w:ascii="Segoe UI" w:hAnsi="Segoe UI" w:cs="Segoe UI" w:eastAsia="Segoe UI"/>
          <w:color w:val="67973F"/>
          <w:sz w:val="19"/>
          <w:szCs w:val="19"/>
        </w:rPr>
        <w:t>close</w:t>
      </w:r>
      <w:r>
        <w:rPr>
          <w:rFonts w:ascii="Segoe UI" w:hAnsi="Segoe UI" w:cs="Segoe UI" w:eastAsia="Segoe UI"/>
          <w:color w:val="67973F"/>
          <w:spacing w:val="-5"/>
          <w:sz w:val="19"/>
          <w:szCs w:val="19"/>
        </w:rPr>
        <w:t> </w:t>
      </w:r>
      <w:r>
        <w:rPr>
          <w:rFonts w:ascii="Segoe UI" w:hAnsi="Segoe UI" w:cs="Segoe UI" w:eastAsia="Segoe UI"/>
          <w:color w:val="67973F"/>
          <w:sz w:val="19"/>
          <w:szCs w:val="19"/>
        </w:rPr>
        <w:t>relationships</w:t>
      </w:r>
      <w:r>
        <w:rPr>
          <w:rFonts w:ascii="Segoe UI" w:hAnsi="Segoe UI" w:cs="Segoe UI" w:eastAsia="Segoe UI"/>
          <w:color w:val="67973F"/>
          <w:spacing w:val="22"/>
          <w:sz w:val="19"/>
          <w:szCs w:val="19"/>
        </w:rPr>
        <w:t> </w:t>
      </w:r>
      <w:r>
        <w:rPr>
          <w:rFonts w:ascii="Segoe UI" w:hAnsi="Segoe UI" w:cs="Segoe UI" w:eastAsia="Segoe UI"/>
          <w:color w:val="67973F"/>
          <w:sz w:val="19"/>
          <w:szCs w:val="19"/>
        </w:rPr>
        <w:t>with</w:t>
      </w:r>
      <w:r>
        <w:rPr>
          <w:rFonts w:ascii="Segoe UI" w:hAnsi="Segoe UI" w:cs="Segoe UI" w:eastAsia="Segoe UI"/>
          <w:color w:val="67973F"/>
          <w:spacing w:val="-4"/>
          <w:sz w:val="19"/>
          <w:szCs w:val="19"/>
        </w:rPr>
        <w:t> </w:t>
      </w:r>
      <w:r>
        <w:rPr>
          <w:rFonts w:ascii="Segoe UI" w:hAnsi="Segoe UI" w:cs="Segoe UI" w:eastAsia="Segoe UI"/>
          <w:color w:val="67973F"/>
          <w:sz w:val="19"/>
          <w:szCs w:val="19"/>
        </w:rPr>
        <w:t>families</w:t>
      </w:r>
      <w:r>
        <w:rPr>
          <w:rFonts w:ascii="Segoe UI" w:hAnsi="Segoe UI" w:cs="Segoe UI" w:eastAsia="Segoe UI"/>
          <w:color w:val="67973F"/>
          <w:spacing w:val="-4"/>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4"/>
          <w:sz w:val="19"/>
          <w:szCs w:val="19"/>
        </w:rPr>
        <w:t> </w:t>
      </w:r>
      <w:r>
        <w:rPr>
          <w:rFonts w:ascii="Segoe UI" w:hAnsi="Segoe UI" w:cs="Segoe UI" w:eastAsia="Segoe UI"/>
          <w:color w:val="67973F"/>
          <w:sz w:val="19"/>
          <w:szCs w:val="19"/>
        </w:rPr>
        <w:t>communities</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is</w:t>
      </w:r>
      <w:r>
        <w:rPr>
          <w:rFonts w:ascii="Segoe UI" w:hAnsi="Segoe UI" w:cs="Segoe UI" w:eastAsia="Segoe UI"/>
          <w:color w:val="67973F"/>
          <w:spacing w:val="-4"/>
          <w:sz w:val="19"/>
          <w:szCs w:val="19"/>
        </w:rPr>
        <w:t> </w:t>
      </w:r>
      <w:r>
        <w:rPr>
          <w:rFonts w:ascii="Segoe UI" w:hAnsi="Segoe UI" w:cs="Segoe UI" w:eastAsia="Segoe UI"/>
          <w:color w:val="67973F"/>
          <w:sz w:val="19"/>
          <w:szCs w:val="19"/>
        </w:rPr>
        <w:t>an</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important</w:t>
      </w:r>
      <w:r>
        <w:rPr>
          <w:rFonts w:ascii="Segoe UI" w:hAnsi="Segoe UI" w:cs="Segoe UI" w:eastAsia="Segoe UI"/>
          <w:color w:val="67973F"/>
          <w:spacing w:val="21"/>
          <w:w w:val="99"/>
          <w:sz w:val="19"/>
          <w:szCs w:val="19"/>
        </w:rPr>
        <w:t> </w:t>
      </w:r>
      <w:r>
        <w:rPr>
          <w:rFonts w:ascii="Segoe UI" w:hAnsi="Segoe UI" w:cs="Segoe UI" w:eastAsia="Segoe UI"/>
          <w:color w:val="67973F"/>
          <w:sz w:val="19"/>
          <w:szCs w:val="19"/>
        </w:rPr>
        <w:t>part</w:t>
      </w:r>
      <w:r>
        <w:rPr>
          <w:rFonts w:ascii="Segoe UI" w:hAnsi="Segoe UI" w:cs="Segoe UI" w:eastAsia="Segoe UI"/>
          <w:color w:val="67973F"/>
          <w:spacing w:val="-5"/>
          <w:sz w:val="19"/>
          <w:szCs w:val="19"/>
        </w:rPr>
        <w:t> </w:t>
      </w:r>
      <w:r>
        <w:rPr>
          <w:rFonts w:ascii="Segoe UI" w:hAnsi="Segoe UI" w:cs="Segoe UI" w:eastAsia="Segoe UI"/>
          <w:color w:val="67973F"/>
          <w:sz w:val="19"/>
          <w:szCs w:val="19"/>
        </w:rPr>
        <w:t>of</w:t>
      </w:r>
      <w:r>
        <w:rPr>
          <w:rFonts w:ascii="Segoe UI" w:hAnsi="Segoe UI" w:cs="Segoe UI" w:eastAsia="Segoe UI"/>
          <w:color w:val="67973F"/>
          <w:spacing w:val="-4"/>
          <w:sz w:val="19"/>
          <w:szCs w:val="19"/>
        </w:rPr>
        <w:t> </w:t>
      </w:r>
      <w:r>
        <w:rPr>
          <w:rFonts w:ascii="Segoe UI" w:hAnsi="Segoe UI" w:cs="Segoe UI" w:eastAsia="Segoe UI"/>
          <w:color w:val="67973F"/>
          <w:sz w:val="19"/>
          <w:szCs w:val="19"/>
        </w:rPr>
        <w:t>preparing</w:t>
      </w:r>
      <w:r>
        <w:rPr>
          <w:rFonts w:ascii="Segoe UI" w:hAnsi="Segoe UI" w:cs="Segoe UI" w:eastAsia="Segoe UI"/>
          <w:color w:val="67973F"/>
          <w:spacing w:val="-6"/>
          <w:sz w:val="19"/>
          <w:szCs w:val="19"/>
        </w:rPr>
        <w:t> </w:t>
      </w:r>
      <w:r>
        <w:rPr>
          <w:rFonts w:ascii="Segoe UI" w:hAnsi="Segoe UI" w:cs="Segoe UI" w:eastAsia="Segoe UI"/>
          <w:color w:val="67973F"/>
          <w:spacing w:val="-1"/>
          <w:sz w:val="19"/>
          <w:szCs w:val="19"/>
        </w:rPr>
        <w:t>students</w:t>
      </w:r>
      <w:r>
        <w:rPr>
          <w:rFonts w:ascii="Segoe UI" w:hAnsi="Segoe UI" w:cs="Segoe UI" w:eastAsia="Segoe UI"/>
          <w:color w:val="67973F"/>
          <w:spacing w:val="-4"/>
          <w:sz w:val="19"/>
          <w:szCs w:val="19"/>
        </w:rPr>
        <w:t> </w:t>
      </w:r>
      <w:r>
        <w:rPr>
          <w:rFonts w:ascii="Segoe UI" w:hAnsi="Segoe UI" w:cs="Segoe UI" w:eastAsia="Segoe UI"/>
          <w:color w:val="67973F"/>
          <w:sz w:val="19"/>
          <w:szCs w:val="19"/>
        </w:rPr>
        <w:t>for</w:t>
      </w:r>
      <w:r>
        <w:rPr>
          <w:rFonts w:ascii="Segoe UI" w:hAnsi="Segoe UI" w:cs="Segoe UI" w:eastAsia="Segoe UI"/>
          <w:color w:val="67973F"/>
          <w:spacing w:val="-5"/>
          <w:sz w:val="19"/>
          <w:szCs w:val="19"/>
        </w:rPr>
        <w:t> </w:t>
      </w:r>
      <w:r>
        <w:rPr>
          <w:rFonts w:ascii="Segoe UI" w:hAnsi="Segoe UI" w:cs="Segoe UI" w:eastAsia="Segoe UI"/>
          <w:color w:val="67973F"/>
          <w:sz w:val="19"/>
          <w:szCs w:val="19"/>
        </w:rPr>
        <w:t>boarding</w:t>
      </w:r>
      <w:r>
        <w:rPr>
          <w:rFonts w:ascii="Segoe UI" w:hAnsi="Segoe UI" w:cs="Segoe UI" w:eastAsia="Segoe UI"/>
          <w:color w:val="67973F"/>
          <w:spacing w:val="-5"/>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22"/>
          <w:w w:val="99"/>
          <w:sz w:val="19"/>
          <w:szCs w:val="19"/>
        </w:rPr>
        <w:t> </w:t>
      </w:r>
      <w:r>
        <w:rPr>
          <w:rFonts w:ascii="Segoe UI" w:hAnsi="Segoe UI" w:cs="Segoe UI" w:eastAsia="Segoe UI"/>
          <w:color w:val="67973F"/>
          <w:sz w:val="19"/>
          <w:szCs w:val="19"/>
        </w:rPr>
        <w:t>retaining</w:t>
      </w:r>
      <w:r>
        <w:rPr>
          <w:rFonts w:ascii="Segoe UI" w:hAnsi="Segoe UI" w:cs="Segoe UI" w:eastAsia="Segoe UI"/>
          <w:color w:val="67973F"/>
          <w:spacing w:val="-1"/>
          <w:sz w:val="19"/>
          <w:szCs w:val="19"/>
        </w:rPr>
        <w:t> </w:t>
      </w:r>
      <w:r>
        <w:rPr>
          <w:rFonts w:ascii="Segoe UI" w:hAnsi="Segoe UI" w:cs="Segoe UI" w:eastAsia="Segoe UI"/>
          <w:color w:val="67973F"/>
          <w:sz w:val="19"/>
          <w:szCs w:val="19"/>
        </w:rPr>
        <w:t>them.</w:t>
      </w:r>
      <w:r>
        <w:rPr>
          <w:rFonts w:ascii="Segoe UI" w:hAnsi="Segoe UI" w:cs="Segoe UI" w:eastAsia="Segoe UI"/>
          <w:color w:val="67973F"/>
          <w:spacing w:val="-1"/>
          <w:sz w:val="19"/>
          <w:szCs w:val="19"/>
        </w:rPr>
        <w:t> </w:t>
      </w:r>
      <w:r>
        <w:rPr>
          <w:rFonts w:ascii="Segoe UI" w:hAnsi="Segoe UI" w:cs="Segoe UI" w:eastAsia="Segoe UI"/>
          <w:color w:val="67973F"/>
          <w:spacing w:val="-3"/>
          <w:sz w:val="19"/>
          <w:szCs w:val="19"/>
        </w:rPr>
        <w:t>CLO</w:t>
      </w:r>
      <w:r>
        <w:rPr>
          <w:rFonts w:ascii="Segoe UI" w:hAnsi="Segoe UI" w:cs="Segoe UI" w:eastAsia="Segoe UI"/>
          <w:color w:val="67973F"/>
          <w:sz w:val="19"/>
          <w:szCs w:val="19"/>
        </w:rPr>
        <w:t> staff</w:t>
      </w:r>
      <w:r>
        <w:rPr>
          <w:rFonts w:ascii="Segoe UI" w:hAnsi="Segoe UI" w:cs="Segoe UI" w:eastAsia="Segoe UI"/>
          <w:color w:val="67973F"/>
          <w:spacing w:val="-1"/>
          <w:sz w:val="19"/>
          <w:szCs w:val="19"/>
        </w:rPr>
        <w:t> </w:t>
      </w:r>
      <w:r>
        <w:rPr>
          <w:rFonts w:ascii="Segoe UI" w:hAnsi="Segoe UI" w:cs="Segoe UI" w:eastAsia="Segoe UI"/>
          <w:color w:val="67973F"/>
          <w:sz w:val="19"/>
          <w:szCs w:val="19"/>
        </w:rPr>
        <w:t>are also</w:t>
      </w:r>
      <w:r>
        <w:rPr>
          <w:rFonts w:ascii="Segoe UI" w:hAnsi="Segoe UI" w:cs="Segoe UI" w:eastAsia="Segoe UI"/>
          <w:color w:val="67973F"/>
          <w:spacing w:val="-1"/>
          <w:sz w:val="19"/>
          <w:szCs w:val="19"/>
        </w:rPr>
        <w:t> </w:t>
      </w:r>
      <w:r>
        <w:rPr>
          <w:rFonts w:ascii="Segoe UI" w:hAnsi="Segoe UI" w:cs="Segoe UI" w:eastAsia="Segoe UI"/>
          <w:color w:val="67973F"/>
          <w:sz w:val="19"/>
          <w:szCs w:val="19"/>
        </w:rPr>
        <w:t>responsible for</w:t>
      </w:r>
      <w:r>
        <w:rPr>
          <w:rFonts w:ascii="Segoe UI" w:hAnsi="Segoe UI" w:cs="Segoe UI" w:eastAsia="Segoe UI"/>
          <w:color w:val="67973F"/>
          <w:spacing w:val="22"/>
          <w:sz w:val="19"/>
          <w:szCs w:val="19"/>
        </w:rPr>
        <w:t> </w:t>
      </w:r>
      <w:r>
        <w:rPr>
          <w:rFonts w:ascii="Segoe UI" w:hAnsi="Segoe UI" w:cs="Segoe UI" w:eastAsia="Segoe UI"/>
          <w:color w:val="67973F"/>
          <w:sz w:val="19"/>
          <w:szCs w:val="19"/>
        </w:rPr>
        <w:t>communicating</w:t>
      </w:r>
      <w:r>
        <w:rPr>
          <w:rFonts w:ascii="Segoe UI" w:hAnsi="Segoe UI" w:cs="Segoe UI" w:eastAsia="Segoe UI"/>
          <w:color w:val="67973F"/>
          <w:spacing w:val="-4"/>
          <w:sz w:val="19"/>
          <w:szCs w:val="19"/>
        </w:rPr>
        <w:t> </w:t>
      </w:r>
      <w:r>
        <w:rPr>
          <w:rFonts w:ascii="Segoe UI" w:hAnsi="Segoe UI" w:cs="Segoe UI" w:eastAsia="Segoe UI"/>
          <w:color w:val="67973F"/>
          <w:sz w:val="19"/>
          <w:szCs w:val="19"/>
        </w:rPr>
        <w:t>regularly</w:t>
      </w:r>
      <w:r>
        <w:rPr>
          <w:rFonts w:ascii="Segoe UI" w:hAnsi="Segoe UI" w:cs="Segoe UI" w:eastAsia="Segoe UI"/>
          <w:color w:val="67973F"/>
          <w:spacing w:val="-4"/>
          <w:sz w:val="19"/>
          <w:szCs w:val="19"/>
        </w:rPr>
        <w:t> </w:t>
      </w:r>
      <w:r>
        <w:rPr>
          <w:rFonts w:ascii="Segoe UI" w:hAnsi="Segoe UI" w:cs="Segoe UI" w:eastAsia="Segoe UI"/>
          <w:color w:val="67973F"/>
          <w:sz w:val="19"/>
          <w:szCs w:val="19"/>
        </w:rPr>
        <w:t>with</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students’</w:t>
      </w:r>
      <w:r>
        <w:rPr>
          <w:rFonts w:ascii="Segoe UI" w:hAnsi="Segoe UI" w:cs="Segoe UI" w:eastAsia="Segoe UI"/>
          <w:color w:val="67973F"/>
          <w:spacing w:val="-2"/>
          <w:sz w:val="19"/>
          <w:szCs w:val="19"/>
        </w:rPr>
        <w:t> </w:t>
      </w:r>
      <w:r>
        <w:rPr>
          <w:rFonts w:ascii="Segoe UI" w:hAnsi="Segoe UI" w:cs="Segoe UI" w:eastAsia="Segoe UI"/>
          <w:color w:val="67973F"/>
          <w:sz w:val="19"/>
          <w:szCs w:val="19"/>
        </w:rPr>
        <w:t>families</w:t>
      </w:r>
      <w:r>
        <w:rPr>
          <w:rFonts w:ascii="Segoe UI" w:hAnsi="Segoe UI" w:cs="Segoe UI" w:eastAsia="Segoe UI"/>
          <w:color w:val="67973F"/>
          <w:spacing w:val="22"/>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10"/>
          <w:sz w:val="19"/>
          <w:szCs w:val="19"/>
        </w:rPr>
        <w:t> </w:t>
      </w:r>
      <w:r>
        <w:rPr>
          <w:rFonts w:ascii="Segoe UI" w:hAnsi="Segoe UI" w:cs="Segoe UI" w:eastAsia="Segoe UI"/>
          <w:color w:val="67973F"/>
          <w:sz w:val="19"/>
          <w:szCs w:val="19"/>
        </w:rPr>
        <w:t>carers.</w:t>
      </w:r>
      <w:r>
        <w:rPr>
          <w:rFonts w:ascii="Segoe UI" w:hAnsi="Segoe UI" w:cs="Segoe UI" w:eastAsia="Segoe UI"/>
          <w:sz w:val="19"/>
          <w:szCs w:val="19"/>
        </w:rPr>
      </w:r>
    </w:p>
    <w:p>
      <w:pPr>
        <w:spacing w:line="265" w:lineRule="auto" w:before="113"/>
        <w:ind w:left="100" w:right="132" w:firstLine="0"/>
        <w:jc w:val="left"/>
        <w:rPr>
          <w:rFonts w:ascii="Segoe UI" w:hAnsi="Segoe UI" w:cs="Segoe UI" w:eastAsia="Segoe UI"/>
          <w:sz w:val="19"/>
          <w:szCs w:val="19"/>
        </w:rPr>
      </w:pPr>
      <w:r>
        <w:rPr>
          <w:rFonts w:ascii="Segoe UI"/>
          <w:color w:val="67973F"/>
          <w:sz w:val="19"/>
        </w:rPr>
        <w:t>The</w:t>
      </w:r>
      <w:r>
        <w:rPr>
          <w:rFonts w:ascii="Segoe UI"/>
          <w:color w:val="67973F"/>
          <w:spacing w:val="-1"/>
          <w:sz w:val="19"/>
        </w:rPr>
        <w:t> </w:t>
      </w:r>
      <w:r>
        <w:rPr>
          <w:rFonts w:ascii="Segoe UI"/>
          <w:color w:val="67973F"/>
          <w:spacing w:val="-3"/>
          <w:sz w:val="19"/>
        </w:rPr>
        <w:t>CLO</w:t>
      </w:r>
      <w:r>
        <w:rPr>
          <w:rFonts w:ascii="Segoe UI"/>
          <w:color w:val="67973F"/>
          <w:spacing w:val="-1"/>
          <w:sz w:val="19"/>
        </w:rPr>
        <w:t> </w:t>
      </w:r>
      <w:r>
        <w:rPr>
          <w:rFonts w:ascii="Segoe UI"/>
          <w:color w:val="67973F"/>
          <w:sz w:val="19"/>
        </w:rPr>
        <w:t>is</w:t>
      </w:r>
      <w:r>
        <w:rPr>
          <w:rFonts w:ascii="Segoe UI"/>
          <w:color w:val="67973F"/>
          <w:spacing w:val="-1"/>
          <w:sz w:val="19"/>
        </w:rPr>
        <w:t> </w:t>
      </w:r>
      <w:r>
        <w:rPr>
          <w:rFonts w:ascii="Segoe UI"/>
          <w:color w:val="67973F"/>
          <w:sz w:val="19"/>
        </w:rPr>
        <w:t>staffed by</w:t>
      </w:r>
      <w:r>
        <w:rPr>
          <w:rFonts w:ascii="Segoe UI"/>
          <w:color w:val="67973F"/>
          <w:spacing w:val="-1"/>
          <w:sz w:val="19"/>
        </w:rPr>
        <w:t> </w:t>
      </w:r>
      <w:r>
        <w:rPr>
          <w:rFonts w:ascii="Segoe UI"/>
          <w:color w:val="67973F"/>
          <w:sz w:val="19"/>
        </w:rPr>
        <w:t>a</w:t>
      </w:r>
      <w:r>
        <w:rPr>
          <w:rFonts w:ascii="Segoe UI"/>
          <w:color w:val="67973F"/>
          <w:spacing w:val="-1"/>
          <w:sz w:val="19"/>
        </w:rPr>
        <w:t> </w:t>
      </w:r>
      <w:r>
        <w:rPr>
          <w:rFonts w:ascii="Segoe UI"/>
          <w:color w:val="67973F"/>
          <w:sz w:val="19"/>
        </w:rPr>
        <w:t>Director of</w:t>
      </w:r>
      <w:r>
        <w:rPr>
          <w:rFonts w:ascii="Segoe UI"/>
          <w:color w:val="67973F"/>
          <w:spacing w:val="-1"/>
          <w:sz w:val="19"/>
        </w:rPr>
        <w:t> </w:t>
      </w:r>
      <w:r>
        <w:rPr>
          <w:rFonts w:ascii="Segoe UI"/>
          <w:color w:val="67973F"/>
          <w:sz w:val="19"/>
        </w:rPr>
        <w:t>Community</w:t>
      </w:r>
      <w:r>
        <w:rPr>
          <w:rFonts w:ascii="Segoe UI"/>
          <w:color w:val="67973F"/>
          <w:spacing w:val="22"/>
          <w:sz w:val="19"/>
        </w:rPr>
        <w:t> </w:t>
      </w:r>
      <w:r>
        <w:rPr>
          <w:rFonts w:ascii="Segoe UI"/>
          <w:color w:val="67973F"/>
          <w:sz w:val="19"/>
        </w:rPr>
        <w:t>Liaison, four community liaison officers and four</w:t>
      </w:r>
      <w:r>
        <w:rPr>
          <w:rFonts w:ascii="Segoe UI"/>
          <w:color w:val="67973F"/>
          <w:sz w:val="19"/>
        </w:rPr>
        <w:t> administration</w:t>
      </w:r>
      <w:r>
        <w:rPr>
          <w:rFonts w:ascii="Segoe UI"/>
          <w:color w:val="67973F"/>
          <w:spacing w:val="-1"/>
          <w:sz w:val="19"/>
        </w:rPr>
        <w:t> </w:t>
      </w:r>
      <w:r>
        <w:rPr>
          <w:rFonts w:ascii="Segoe UI"/>
          <w:color w:val="67973F"/>
          <w:sz w:val="19"/>
        </w:rPr>
        <w:t>staff,</w:t>
      </w:r>
      <w:r>
        <w:rPr>
          <w:rFonts w:ascii="Segoe UI"/>
          <w:color w:val="67973F"/>
          <w:spacing w:val="-1"/>
          <w:sz w:val="19"/>
        </w:rPr>
        <w:t> </w:t>
      </w:r>
      <w:r>
        <w:rPr>
          <w:rFonts w:ascii="Segoe UI"/>
          <w:color w:val="67973F"/>
          <w:sz w:val="19"/>
        </w:rPr>
        <w:t>and operates</w:t>
      </w:r>
      <w:r>
        <w:rPr>
          <w:rFonts w:ascii="Segoe UI"/>
          <w:color w:val="67973F"/>
          <w:spacing w:val="-1"/>
          <w:sz w:val="19"/>
        </w:rPr>
        <w:t> </w:t>
      </w:r>
      <w:r>
        <w:rPr>
          <w:rFonts w:ascii="Segoe UI"/>
          <w:color w:val="67973F"/>
          <w:sz w:val="19"/>
        </w:rPr>
        <w:t>a fleet</w:t>
      </w:r>
      <w:r>
        <w:rPr>
          <w:rFonts w:ascii="Segoe UI"/>
          <w:color w:val="67973F"/>
          <w:spacing w:val="-1"/>
          <w:sz w:val="19"/>
        </w:rPr>
        <w:t> </w:t>
      </w:r>
      <w:r>
        <w:rPr>
          <w:rFonts w:ascii="Segoe UI"/>
          <w:color w:val="67973F"/>
          <w:sz w:val="19"/>
        </w:rPr>
        <w:t>of six</w:t>
      </w:r>
      <w:r>
        <w:rPr>
          <w:rFonts w:ascii="Segoe UI"/>
          <w:color w:val="67973F"/>
          <w:sz w:val="19"/>
        </w:rPr>
        <w:t> </w:t>
      </w:r>
      <w:r>
        <w:rPr>
          <w:rFonts w:ascii="Segoe UI"/>
          <w:color w:val="67973F"/>
          <w:spacing w:val="-1"/>
          <w:sz w:val="19"/>
        </w:rPr>
        <w:t>specialist</w:t>
      </w:r>
      <w:r>
        <w:rPr>
          <w:rFonts w:ascii="Segoe UI"/>
          <w:color w:val="67973F"/>
          <w:spacing w:val="-3"/>
          <w:sz w:val="19"/>
        </w:rPr>
        <w:t> </w:t>
      </w:r>
      <w:r>
        <w:rPr>
          <w:rFonts w:ascii="Segoe UI"/>
          <w:color w:val="67973F"/>
          <w:sz w:val="19"/>
        </w:rPr>
        <w:t>vehicles</w:t>
      </w:r>
      <w:r>
        <w:rPr>
          <w:rFonts w:ascii="Segoe UI"/>
          <w:color w:val="67973F"/>
          <w:spacing w:val="-3"/>
          <w:sz w:val="19"/>
        </w:rPr>
        <w:t> </w:t>
      </w:r>
      <w:r>
        <w:rPr>
          <w:rFonts w:ascii="Segoe UI"/>
          <w:color w:val="67973F"/>
          <w:sz w:val="19"/>
        </w:rPr>
        <w:t>for</w:t>
      </w:r>
      <w:r>
        <w:rPr>
          <w:rFonts w:ascii="Segoe UI"/>
          <w:color w:val="67973F"/>
          <w:spacing w:val="-2"/>
          <w:sz w:val="19"/>
        </w:rPr>
        <w:t> </w:t>
      </w:r>
      <w:r>
        <w:rPr>
          <w:rFonts w:ascii="Segoe UI"/>
          <w:color w:val="67973F"/>
          <w:sz w:val="19"/>
        </w:rPr>
        <w:t>travel</w:t>
      </w:r>
      <w:r>
        <w:rPr>
          <w:rFonts w:ascii="Segoe UI"/>
          <w:color w:val="67973F"/>
          <w:spacing w:val="-3"/>
          <w:sz w:val="19"/>
        </w:rPr>
        <w:t> </w:t>
      </w:r>
      <w:r>
        <w:rPr>
          <w:rFonts w:ascii="Segoe UI"/>
          <w:color w:val="67973F"/>
          <w:spacing w:val="-1"/>
          <w:sz w:val="19"/>
        </w:rPr>
        <w:t>in</w:t>
      </w:r>
      <w:r>
        <w:rPr>
          <w:rFonts w:ascii="Segoe UI"/>
          <w:color w:val="67973F"/>
          <w:spacing w:val="-2"/>
          <w:sz w:val="19"/>
        </w:rPr>
        <w:t> </w:t>
      </w:r>
      <w:r>
        <w:rPr>
          <w:rFonts w:ascii="Segoe UI"/>
          <w:color w:val="67973F"/>
          <w:sz w:val="19"/>
        </w:rPr>
        <w:t>remote</w:t>
      </w:r>
      <w:r>
        <w:rPr>
          <w:rFonts w:ascii="Segoe UI"/>
          <w:color w:val="67973F"/>
          <w:spacing w:val="-4"/>
          <w:sz w:val="19"/>
        </w:rPr>
        <w:t> </w:t>
      </w:r>
      <w:r>
        <w:rPr>
          <w:rFonts w:ascii="Segoe UI"/>
          <w:color w:val="67973F"/>
          <w:spacing w:val="-1"/>
          <w:sz w:val="19"/>
        </w:rPr>
        <w:t>settings.</w:t>
      </w:r>
      <w:r>
        <w:rPr>
          <w:rFonts w:ascii="Segoe UI"/>
          <w:sz w:val="19"/>
        </w:rPr>
      </w:r>
    </w:p>
    <w:p>
      <w:pPr>
        <w:spacing w:line="265" w:lineRule="auto" w:before="113"/>
        <w:ind w:left="100" w:right="124" w:firstLine="0"/>
        <w:jc w:val="left"/>
        <w:rPr>
          <w:rFonts w:ascii="Segoe UI" w:hAnsi="Segoe UI" w:cs="Segoe UI" w:eastAsia="Segoe UI"/>
          <w:sz w:val="19"/>
          <w:szCs w:val="19"/>
        </w:rPr>
      </w:pPr>
      <w:r>
        <w:rPr>
          <w:rFonts w:ascii="Segoe UI" w:hAnsi="Segoe UI" w:cs="Segoe UI" w:eastAsia="Segoe UI"/>
          <w:color w:val="67973F"/>
          <w:spacing w:val="-3"/>
          <w:sz w:val="19"/>
          <w:szCs w:val="19"/>
        </w:rPr>
        <w:t>CLO</w:t>
      </w:r>
      <w:r>
        <w:rPr>
          <w:rFonts w:ascii="Segoe UI" w:hAnsi="Segoe UI" w:cs="Segoe UI" w:eastAsia="Segoe UI"/>
          <w:color w:val="67973F"/>
          <w:spacing w:val="-1"/>
          <w:sz w:val="19"/>
          <w:szCs w:val="19"/>
        </w:rPr>
        <w:t> </w:t>
      </w:r>
      <w:r>
        <w:rPr>
          <w:rFonts w:ascii="Segoe UI" w:hAnsi="Segoe UI" w:cs="Segoe UI" w:eastAsia="Segoe UI"/>
          <w:color w:val="67973F"/>
          <w:sz w:val="19"/>
          <w:szCs w:val="19"/>
        </w:rPr>
        <w:t>staff ‘ensure</w:t>
      </w:r>
      <w:r>
        <w:rPr>
          <w:rFonts w:ascii="Segoe UI" w:hAnsi="Segoe UI" w:cs="Segoe UI" w:eastAsia="Segoe UI"/>
          <w:color w:val="67973F"/>
          <w:spacing w:val="-1"/>
          <w:sz w:val="19"/>
          <w:szCs w:val="19"/>
        </w:rPr>
        <w:t> </w:t>
      </w:r>
      <w:r>
        <w:rPr>
          <w:rFonts w:ascii="Segoe UI" w:hAnsi="Segoe UI" w:cs="Segoe UI" w:eastAsia="Segoe UI"/>
          <w:color w:val="67973F"/>
          <w:sz w:val="19"/>
          <w:szCs w:val="19"/>
        </w:rPr>
        <w:t>students are</w:t>
      </w:r>
      <w:r>
        <w:rPr>
          <w:rFonts w:ascii="Segoe UI" w:hAnsi="Segoe UI" w:cs="Segoe UI" w:eastAsia="Segoe UI"/>
          <w:color w:val="67973F"/>
          <w:spacing w:val="-1"/>
          <w:sz w:val="19"/>
          <w:szCs w:val="19"/>
        </w:rPr>
        <w:t> </w:t>
      </w:r>
      <w:r>
        <w:rPr>
          <w:rFonts w:ascii="Segoe UI" w:hAnsi="Segoe UI" w:cs="Segoe UI" w:eastAsia="Segoe UI"/>
          <w:color w:val="67973F"/>
          <w:sz w:val="19"/>
          <w:szCs w:val="19"/>
        </w:rPr>
        <w:t>able to</w:t>
      </w:r>
      <w:r>
        <w:rPr>
          <w:rFonts w:ascii="Segoe UI" w:hAnsi="Segoe UI" w:cs="Segoe UI" w:eastAsia="Segoe UI"/>
          <w:color w:val="67973F"/>
          <w:spacing w:val="-1"/>
          <w:sz w:val="19"/>
          <w:szCs w:val="19"/>
        </w:rPr>
        <w:t> </w:t>
      </w:r>
      <w:r>
        <w:rPr>
          <w:rFonts w:ascii="Segoe UI" w:hAnsi="Segoe UI" w:cs="Segoe UI" w:eastAsia="Segoe UI"/>
          <w:color w:val="67973F"/>
          <w:sz w:val="19"/>
          <w:szCs w:val="19"/>
        </w:rPr>
        <w:t>board at</w:t>
      </w:r>
      <w:r>
        <w:rPr>
          <w:rFonts w:ascii="Segoe UI" w:hAnsi="Segoe UI" w:cs="Segoe UI" w:eastAsia="Segoe UI"/>
          <w:color w:val="67973F"/>
          <w:spacing w:val="22"/>
          <w:sz w:val="19"/>
          <w:szCs w:val="19"/>
        </w:rPr>
        <w:t> </w:t>
      </w:r>
      <w:r>
        <w:rPr>
          <w:rFonts w:ascii="Segoe UI" w:hAnsi="Segoe UI" w:cs="Segoe UI" w:eastAsia="Segoe UI"/>
          <w:color w:val="67973F"/>
          <w:sz w:val="19"/>
          <w:szCs w:val="19"/>
        </w:rPr>
        <w:t>Yirara</w:t>
      </w:r>
      <w:r>
        <w:rPr>
          <w:rFonts w:ascii="Segoe UI" w:hAnsi="Segoe UI" w:cs="Segoe UI" w:eastAsia="Segoe UI"/>
          <w:color w:val="67973F"/>
          <w:spacing w:val="-4"/>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4"/>
          <w:sz w:val="19"/>
          <w:szCs w:val="19"/>
        </w:rPr>
        <w:t> </w:t>
      </w:r>
      <w:r>
        <w:rPr>
          <w:rFonts w:ascii="Segoe UI" w:hAnsi="Segoe UI" w:cs="Segoe UI" w:eastAsia="Segoe UI"/>
          <w:color w:val="67973F"/>
          <w:sz w:val="19"/>
          <w:szCs w:val="19"/>
        </w:rPr>
        <w:t>work</w:t>
      </w:r>
      <w:r>
        <w:rPr>
          <w:rFonts w:ascii="Segoe UI" w:hAnsi="Segoe UI" w:cs="Segoe UI" w:eastAsia="Segoe UI"/>
          <w:color w:val="67973F"/>
          <w:spacing w:val="-4"/>
          <w:sz w:val="19"/>
          <w:szCs w:val="19"/>
        </w:rPr>
        <w:t> </w:t>
      </w:r>
      <w:r>
        <w:rPr>
          <w:rFonts w:ascii="Segoe UI" w:hAnsi="Segoe UI" w:cs="Segoe UI" w:eastAsia="Segoe UI"/>
          <w:color w:val="67973F"/>
          <w:sz w:val="19"/>
          <w:szCs w:val="19"/>
        </w:rPr>
        <w:t>with</w:t>
      </w:r>
      <w:r>
        <w:rPr>
          <w:rFonts w:ascii="Segoe UI" w:hAnsi="Segoe UI" w:cs="Segoe UI" w:eastAsia="Segoe UI"/>
          <w:color w:val="67973F"/>
          <w:spacing w:val="-4"/>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school,</w:t>
      </w:r>
      <w:r>
        <w:rPr>
          <w:rFonts w:ascii="Segoe UI" w:hAnsi="Segoe UI" w:cs="Segoe UI" w:eastAsia="Segoe UI"/>
          <w:color w:val="67973F"/>
          <w:spacing w:val="-3"/>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students’</w:t>
      </w:r>
      <w:r>
        <w:rPr>
          <w:rFonts w:ascii="Segoe UI" w:hAnsi="Segoe UI" w:cs="Segoe UI" w:eastAsia="Segoe UI"/>
          <w:color w:val="67973F"/>
          <w:spacing w:val="21"/>
          <w:sz w:val="19"/>
          <w:szCs w:val="19"/>
        </w:rPr>
        <w:t> </w:t>
      </w:r>
      <w:r>
        <w:rPr>
          <w:rFonts w:ascii="Segoe UI" w:hAnsi="Segoe UI" w:cs="Segoe UI" w:eastAsia="Segoe UI"/>
          <w:color w:val="67973F"/>
          <w:sz w:val="19"/>
          <w:szCs w:val="19"/>
        </w:rPr>
        <w:t>communities,</w:t>
      </w:r>
      <w:r>
        <w:rPr>
          <w:rFonts w:ascii="Segoe UI" w:hAnsi="Segoe UI" w:cs="Segoe UI" w:eastAsia="Segoe UI"/>
          <w:color w:val="67973F"/>
          <w:spacing w:val="-3"/>
          <w:sz w:val="19"/>
          <w:szCs w:val="19"/>
        </w:rPr>
        <w:t> </w:t>
      </w:r>
      <w:r>
        <w:rPr>
          <w:rFonts w:ascii="Segoe UI" w:hAnsi="Segoe UI" w:cs="Segoe UI" w:eastAsia="Segoe UI"/>
          <w:color w:val="67973F"/>
          <w:sz w:val="19"/>
          <w:szCs w:val="19"/>
        </w:rPr>
        <w:t>ABSTUDY</w:t>
      </w:r>
      <w:r>
        <w:rPr>
          <w:rFonts w:ascii="Segoe UI" w:hAnsi="Segoe UI" w:cs="Segoe UI" w:eastAsia="Segoe UI"/>
          <w:color w:val="67973F"/>
          <w:spacing w:val="-2"/>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2"/>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2"/>
          <w:sz w:val="19"/>
          <w:szCs w:val="19"/>
        </w:rPr>
        <w:t> </w:t>
      </w:r>
      <w:r>
        <w:rPr>
          <w:rFonts w:ascii="Segoe UI" w:hAnsi="Segoe UI" w:cs="Segoe UI" w:eastAsia="Segoe UI"/>
          <w:color w:val="67973F"/>
          <w:spacing w:val="-1"/>
          <w:sz w:val="19"/>
          <w:szCs w:val="19"/>
        </w:rPr>
        <w:t>students’ </w:t>
      </w:r>
      <w:r>
        <w:rPr>
          <w:rFonts w:ascii="Segoe UI" w:hAnsi="Segoe UI" w:cs="Segoe UI" w:eastAsia="Segoe UI"/>
          <w:color w:val="67973F"/>
          <w:sz w:val="19"/>
          <w:szCs w:val="19"/>
        </w:rPr>
        <w:t>families</w:t>
      </w:r>
      <w:r>
        <w:rPr>
          <w:rFonts w:ascii="Segoe UI" w:hAnsi="Segoe UI" w:cs="Segoe UI" w:eastAsia="Segoe UI"/>
          <w:color w:val="67973F"/>
          <w:spacing w:val="22"/>
          <w:sz w:val="19"/>
          <w:szCs w:val="19"/>
        </w:rPr>
        <w:t> </w:t>
      </w:r>
      <w:r>
        <w:rPr>
          <w:rFonts w:ascii="Segoe UI" w:hAnsi="Segoe UI" w:cs="Segoe UI" w:eastAsia="Segoe UI"/>
          <w:color w:val="67973F"/>
          <w:sz w:val="19"/>
          <w:szCs w:val="19"/>
        </w:rPr>
        <w:t>to</w:t>
      </w:r>
      <w:r>
        <w:rPr>
          <w:rFonts w:ascii="Segoe UI" w:hAnsi="Segoe UI" w:cs="Segoe UI" w:eastAsia="Segoe UI"/>
          <w:color w:val="67973F"/>
          <w:spacing w:val="-4"/>
          <w:sz w:val="19"/>
          <w:szCs w:val="19"/>
        </w:rPr>
        <w:t> </w:t>
      </w:r>
      <w:r>
        <w:rPr>
          <w:rFonts w:ascii="Segoe UI" w:hAnsi="Segoe UI" w:cs="Segoe UI" w:eastAsia="Segoe UI"/>
          <w:color w:val="67973F"/>
          <w:sz w:val="19"/>
          <w:szCs w:val="19"/>
        </w:rPr>
        <w:t>organise</w:t>
      </w:r>
      <w:r>
        <w:rPr>
          <w:rFonts w:ascii="Segoe UI" w:hAnsi="Segoe UI" w:cs="Segoe UI" w:eastAsia="Segoe UI"/>
          <w:color w:val="67973F"/>
          <w:spacing w:val="-4"/>
          <w:sz w:val="19"/>
          <w:szCs w:val="19"/>
        </w:rPr>
        <w:t> </w:t>
      </w:r>
      <w:r>
        <w:rPr>
          <w:rFonts w:ascii="Segoe UI" w:hAnsi="Segoe UI" w:cs="Segoe UI" w:eastAsia="Segoe UI"/>
          <w:color w:val="67973F"/>
          <w:sz w:val="19"/>
          <w:szCs w:val="19"/>
        </w:rPr>
        <w:t>paperwork</w:t>
      </w:r>
      <w:r>
        <w:rPr>
          <w:rFonts w:ascii="Segoe UI" w:hAnsi="Segoe UI" w:cs="Segoe UI" w:eastAsia="Segoe UI"/>
          <w:color w:val="67973F"/>
          <w:spacing w:val="-5"/>
          <w:sz w:val="19"/>
          <w:szCs w:val="19"/>
        </w:rPr>
        <w:t> </w:t>
      </w:r>
      <w:r>
        <w:rPr>
          <w:rFonts w:ascii="Segoe UI" w:hAnsi="Segoe UI" w:cs="Segoe UI" w:eastAsia="Segoe UI"/>
          <w:color w:val="67973F"/>
          <w:sz w:val="19"/>
          <w:szCs w:val="19"/>
        </w:rPr>
        <w:t>to</w:t>
      </w:r>
      <w:r>
        <w:rPr>
          <w:rFonts w:ascii="Segoe UI" w:hAnsi="Segoe UI" w:cs="Segoe UI" w:eastAsia="Segoe UI"/>
          <w:color w:val="67973F"/>
          <w:spacing w:val="-3"/>
          <w:sz w:val="19"/>
          <w:szCs w:val="19"/>
        </w:rPr>
        <w:t> </w:t>
      </w:r>
      <w:r>
        <w:rPr>
          <w:rFonts w:ascii="Segoe UI" w:hAnsi="Segoe UI" w:cs="Segoe UI" w:eastAsia="Segoe UI"/>
          <w:color w:val="67973F"/>
          <w:sz w:val="19"/>
          <w:szCs w:val="19"/>
        </w:rPr>
        <w:t>get</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students</w:t>
      </w:r>
      <w:r>
        <w:rPr>
          <w:rFonts w:ascii="Segoe UI" w:hAnsi="Segoe UI" w:cs="Segoe UI" w:eastAsia="Segoe UI"/>
          <w:color w:val="67973F"/>
          <w:spacing w:val="-3"/>
          <w:sz w:val="19"/>
          <w:szCs w:val="19"/>
        </w:rPr>
        <w:t> </w:t>
      </w:r>
      <w:r>
        <w:rPr>
          <w:rFonts w:ascii="Segoe UI" w:hAnsi="Segoe UI" w:cs="Segoe UI" w:eastAsia="Segoe UI"/>
          <w:color w:val="67973F"/>
          <w:sz w:val="19"/>
          <w:szCs w:val="19"/>
        </w:rPr>
        <w:t>to</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school,</w:t>
      </w:r>
      <w:r>
        <w:rPr>
          <w:rFonts w:ascii="Segoe UI" w:hAnsi="Segoe UI" w:cs="Segoe UI" w:eastAsia="Segoe UI"/>
          <w:color w:val="67973F"/>
          <w:spacing w:val="21"/>
          <w:sz w:val="19"/>
          <w:szCs w:val="19"/>
        </w:rPr>
        <w:t> </w:t>
      </w:r>
      <w:r>
        <w:rPr>
          <w:rFonts w:ascii="Segoe UI" w:hAnsi="Segoe UI" w:cs="Segoe UI" w:eastAsia="Segoe UI"/>
          <w:color w:val="67973F"/>
          <w:spacing w:val="-1"/>
          <w:sz w:val="19"/>
          <w:szCs w:val="19"/>
        </w:rPr>
        <w:t>student</w:t>
      </w:r>
      <w:r>
        <w:rPr>
          <w:rFonts w:ascii="Segoe UI" w:hAnsi="Segoe UI" w:cs="Segoe UI" w:eastAsia="Segoe UI"/>
          <w:color w:val="67973F"/>
          <w:spacing w:val="-6"/>
          <w:sz w:val="19"/>
          <w:szCs w:val="19"/>
        </w:rPr>
        <w:t> </w:t>
      </w:r>
      <w:r>
        <w:rPr>
          <w:rFonts w:ascii="Segoe UI" w:hAnsi="Segoe UI" w:cs="Segoe UI" w:eastAsia="Segoe UI"/>
          <w:color w:val="67973F"/>
          <w:sz w:val="19"/>
          <w:szCs w:val="19"/>
        </w:rPr>
        <w:t>travel,</w:t>
      </w:r>
      <w:r>
        <w:rPr>
          <w:rFonts w:ascii="Segoe UI" w:hAnsi="Segoe UI" w:cs="Segoe UI" w:eastAsia="Segoe UI"/>
          <w:color w:val="67973F"/>
          <w:spacing w:val="-7"/>
          <w:sz w:val="19"/>
          <w:szCs w:val="19"/>
        </w:rPr>
        <w:t> </w:t>
      </w:r>
      <w:r>
        <w:rPr>
          <w:rFonts w:ascii="Segoe UI" w:hAnsi="Segoe UI" w:cs="Segoe UI" w:eastAsia="Segoe UI"/>
          <w:color w:val="67973F"/>
          <w:spacing w:val="-1"/>
          <w:sz w:val="19"/>
          <w:szCs w:val="19"/>
        </w:rPr>
        <w:t>leave</w:t>
      </w:r>
      <w:r>
        <w:rPr>
          <w:rFonts w:ascii="Segoe UI" w:hAnsi="Segoe UI" w:cs="Segoe UI" w:eastAsia="Segoe UI"/>
          <w:color w:val="67973F"/>
          <w:spacing w:val="-6"/>
          <w:sz w:val="19"/>
          <w:szCs w:val="19"/>
        </w:rPr>
        <w:t> </w:t>
      </w:r>
      <w:r>
        <w:rPr>
          <w:rFonts w:ascii="Segoe UI" w:hAnsi="Segoe UI" w:cs="Segoe UI" w:eastAsia="Segoe UI"/>
          <w:color w:val="67973F"/>
          <w:sz w:val="19"/>
          <w:szCs w:val="19"/>
        </w:rPr>
        <w:t>passes,</w:t>
      </w:r>
      <w:r>
        <w:rPr>
          <w:rFonts w:ascii="Segoe UI" w:hAnsi="Segoe UI" w:cs="Segoe UI" w:eastAsia="Segoe UI"/>
          <w:color w:val="67973F"/>
          <w:spacing w:val="-6"/>
          <w:sz w:val="19"/>
          <w:szCs w:val="19"/>
        </w:rPr>
        <w:t> </w:t>
      </w:r>
      <w:r>
        <w:rPr>
          <w:rFonts w:ascii="Segoe UI" w:hAnsi="Segoe UI" w:cs="Segoe UI" w:eastAsia="Segoe UI"/>
          <w:color w:val="67973F"/>
          <w:spacing w:val="-1"/>
          <w:sz w:val="19"/>
          <w:szCs w:val="19"/>
        </w:rPr>
        <w:t>keeping</w:t>
      </w:r>
      <w:r>
        <w:rPr>
          <w:rFonts w:ascii="Segoe UI" w:hAnsi="Segoe UI" w:cs="Segoe UI" w:eastAsia="Segoe UI"/>
          <w:color w:val="67973F"/>
          <w:spacing w:val="-6"/>
          <w:sz w:val="19"/>
          <w:szCs w:val="19"/>
        </w:rPr>
        <w:t> </w:t>
      </w:r>
      <w:r>
        <w:rPr>
          <w:rFonts w:ascii="Segoe UI" w:hAnsi="Segoe UI" w:cs="Segoe UI" w:eastAsia="Segoe UI"/>
          <w:color w:val="67973F"/>
          <w:spacing w:val="-1"/>
          <w:sz w:val="19"/>
          <w:szCs w:val="19"/>
        </w:rPr>
        <w:t>student</w:t>
      </w:r>
      <w:r>
        <w:rPr>
          <w:rFonts w:ascii="Segoe UI" w:hAnsi="Segoe UI" w:cs="Segoe UI" w:eastAsia="Segoe UI"/>
          <w:color w:val="67973F"/>
          <w:spacing w:val="23"/>
          <w:w w:val="99"/>
          <w:sz w:val="19"/>
          <w:szCs w:val="19"/>
        </w:rPr>
        <w:t> </w:t>
      </w:r>
      <w:r>
        <w:rPr>
          <w:rFonts w:ascii="Segoe UI" w:hAnsi="Segoe UI" w:cs="Segoe UI" w:eastAsia="Segoe UI"/>
          <w:color w:val="67973F"/>
          <w:spacing w:val="-1"/>
          <w:sz w:val="19"/>
          <w:szCs w:val="19"/>
        </w:rPr>
        <w:t>information</w:t>
      </w:r>
      <w:r>
        <w:rPr>
          <w:rFonts w:ascii="Segoe UI" w:hAnsi="Segoe UI" w:cs="Segoe UI" w:eastAsia="Segoe UI"/>
          <w:color w:val="67973F"/>
          <w:spacing w:val="-5"/>
          <w:sz w:val="19"/>
          <w:szCs w:val="19"/>
        </w:rPr>
        <w:t> </w:t>
      </w:r>
      <w:r>
        <w:rPr>
          <w:rFonts w:ascii="Segoe UI" w:hAnsi="Segoe UI" w:cs="Segoe UI" w:eastAsia="Segoe UI"/>
          <w:color w:val="67973F"/>
          <w:sz w:val="19"/>
          <w:szCs w:val="19"/>
        </w:rPr>
        <w:t>up</w:t>
      </w:r>
      <w:r>
        <w:rPr>
          <w:rFonts w:ascii="Segoe UI" w:hAnsi="Segoe UI" w:cs="Segoe UI" w:eastAsia="Segoe UI"/>
          <w:color w:val="67973F"/>
          <w:spacing w:val="-5"/>
          <w:sz w:val="19"/>
          <w:szCs w:val="19"/>
        </w:rPr>
        <w:t> </w:t>
      </w:r>
      <w:r>
        <w:rPr>
          <w:rFonts w:ascii="Segoe UI" w:hAnsi="Segoe UI" w:cs="Segoe UI" w:eastAsia="Segoe UI"/>
          <w:color w:val="67973F"/>
          <w:sz w:val="19"/>
          <w:szCs w:val="19"/>
        </w:rPr>
        <w:t>to</w:t>
      </w:r>
      <w:r>
        <w:rPr>
          <w:rFonts w:ascii="Segoe UI" w:hAnsi="Segoe UI" w:cs="Segoe UI" w:eastAsia="Segoe UI"/>
          <w:color w:val="67973F"/>
          <w:spacing w:val="-5"/>
          <w:sz w:val="19"/>
          <w:szCs w:val="19"/>
        </w:rPr>
        <w:t> </w:t>
      </w:r>
      <w:r>
        <w:rPr>
          <w:rFonts w:ascii="Segoe UI" w:hAnsi="Segoe UI" w:cs="Segoe UI" w:eastAsia="Segoe UI"/>
          <w:color w:val="67973F"/>
          <w:sz w:val="19"/>
          <w:szCs w:val="19"/>
        </w:rPr>
        <w:t>date</w:t>
      </w:r>
      <w:r>
        <w:rPr>
          <w:rFonts w:ascii="Segoe UI" w:hAnsi="Segoe UI" w:cs="Segoe UI" w:eastAsia="Segoe UI"/>
          <w:color w:val="67973F"/>
          <w:spacing w:val="-6"/>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6"/>
          <w:sz w:val="19"/>
          <w:szCs w:val="19"/>
        </w:rPr>
        <w:t> </w:t>
      </w:r>
      <w:r>
        <w:rPr>
          <w:rFonts w:ascii="Segoe UI" w:hAnsi="Segoe UI" w:cs="Segoe UI" w:eastAsia="Segoe UI"/>
          <w:color w:val="67973F"/>
          <w:sz w:val="19"/>
          <w:szCs w:val="19"/>
        </w:rPr>
        <w:t>ABSTUDY</w:t>
      </w:r>
      <w:r>
        <w:rPr>
          <w:rFonts w:ascii="Segoe UI" w:hAnsi="Segoe UI" w:cs="Segoe UI" w:eastAsia="Segoe UI"/>
          <w:color w:val="67973F"/>
          <w:spacing w:val="-6"/>
          <w:sz w:val="19"/>
          <w:szCs w:val="19"/>
        </w:rPr>
        <w:t> </w:t>
      </w:r>
      <w:r>
        <w:rPr>
          <w:rFonts w:ascii="Segoe UI" w:hAnsi="Segoe UI" w:cs="Segoe UI" w:eastAsia="Segoe UI"/>
          <w:color w:val="67973F"/>
          <w:sz w:val="19"/>
          <w:szCs w:val="19"/>
        </w:rPr>
        <w:t>payments.</w:t>
      </w:r>
      <w:r>
        <w:rPr>
          <w:rFonts w:ascii="Segoe UI" w:hAnsi="Segoe UI" w:cs="Segoe UI" w:eastAsia="Segoe UI"/>
          <w:sz w:val="19"/>
          <w:szCs w:val="19"/>
        </w:rPr>
      </w:r>
    </w:p>
    <w:p>
      <w:pPr>
        <w:spacing w:line="265" w:lineRule="auto" w:before="113"/>
        <w:ind w:left="100" w:right="243" w:firstLine="0"/>
        <w:jc w:val="left"/>
        <w:rPr>
          <w:rFonts w:ascii="Segoe UI" w:hAnsi="Segoe UI" w:cs="Segoe UI" w:eastAsia="Segoe UI"/>
          <w:sz w:val="19"/>
          <w:szCs w:val="19"/>
        </w:rPr>
      </w:pPr>
      <w:r>
        <w:rPr>
          <w:rFonts w:ascii="Segoe UI" w:hAnsi="Segoe UI" w:cs="Segoe UI" w:eastAsia="Segoe UI"/>
          <w:color w:val="67973F"/>
          <w:spacing w:val="-3"/>
          <w:sz w:val="19"/>
          <w:szCs w:val="19"/>
        </w:rPr>
        <w:t>CLO</w:t>
      </w:r>
      <w:r>
        <w:rPr>
          <w:rFonts w:ascii="Segoe UI" w:hAnsi="Segoe UI" w:cs="Segoe UI" w:eastAsia="Segoe UI"/>
          <w:color w:val="67973F"/>
          <w:spacing w:val="-1"/>
          <w:sz w:val="19"/>
          <w:szCs w:val="19"/>
        </w:rPr>
        <w:t> </w:t>
      </w:r>
      <w:r>
        <w:rPr>
          <w:rFonts w:ascii="Segoe UI" w:hAnsi="Segoe UI" w:cs="Segoe UI" w:eastAsia="Segoe UI"/>
          <w:color w:val="67973F"/>
          <w:sz w:val="19"/>
          <w:szCs w:val="19"/>
        </w:rPr>
        <w:t>staff</w:t>
      </w:r>
      <w:r>
        <w:rPr>
          <w:rFonts w:ascii="Segoe UI" w:hAnsi="Segoe UI" w:cs="Segoe UI" w:eastAsia="Segoe UI"/>
          <w:color w:val="67973F"/>
          <w:spacing w:val="-1"/>
          <w:sz w:val="19"/>
          <w:szCs w:val="19"/>
        </w:rPr>
        <w:t> </w:t>
      </w:r>
      <w:r>
        <w:rPr>
          <w:rFonts w:ascii="Segoe UI" w:hAnsi="Segoe UI" w:cs="Segoe UI" w:eastAsia="Segoe UI"/>
          <w:color w:val="67973F"/>
          <w:sz w:val="19"/>
          <w:szCs w:val="19"/>
        </w:rPr>
        <w:t>travel regularly</w:t>
      </w:r>
      <w:r>
        <w:rPr>
          <w:rFonts w:ascii="Segoe UI" w:hAnsi="Segoe UI" w:cs="Segoe UI" w:eastAsia="Segoe UI"/>
          <w:color w:val="67973F"/>
          <w:spacing w:val="-1"/>
          <w:sz w:val="19"/>
          <w:szCs w:val="19"/>
        </w:rPr>
        <w:t> </w:t>
      </w:r>
      <w:r>
        <w:rPr>
          <w:rFonts w:ascii="Segoe UI" w:hAnsi="Segoe UI" w:cs="Segoe UI" w:eastAsia="Segoe UI"/>
          <w:color w:val="67973F"/>
          <w:sz w:val="19"/>
          <w:szCs w:val="19"/>
        </w:rPr>
        <w:t>to [over</w:t>
      </w:r>
      <w:r>
        <w:rPr>
          <w:rFonts w:ascii="Segoe UI" w:hAnsi="Segoe UI" w:cs="Segoe UI" w:eastAsia="Segoe UI"/>
          <w:color w:val="67973F"/>
          <w:spacing w:val="-1"/>
          <w:sz w:val="19"/>
          <w:szCs w:val="19"/>
        </w:rPr>
        <w:t> </w:t>
      </w:r>
      <w:r>
        <w:rPr>
          <w:rFonts w:ascii="Segoe UI" w:hAnsi="Segoe UI" w:cs="Segoe UI" w:eastAsia="Segoe UI"/>
          <w:color w:val="67973F"/>
          <w:sz w:val="19"/>
          <w:szCs w:val="19"/>
        </w:rPr>
        <w:t>40 remote]</w:t>
      </w:r>
      <w:r>
        <w:rPr>
          <w:rFonts w:ascii="Segoe UI" w:hAnsi="Segoe UI" w:cs="Segoe UI" w:eastAsia="Segoe UI"/>
          <w:color w:val="67973F"/>
          <w:spacing w:val="22"/>
          <w:sz w:val="19"/>
          <w:szCs w:val="19"/>
        </w:rPr>
        <w:t> </w:t>
      </w:r>
      <w:r>
        <w:rPr>
          <w:rFonts w:ascii="Segoe UI" w:hAnsi="Segoe UI" w:cs="Segoe UI" w:eastAsia="Segoe UI"/>
          <w:color w:val="67973F"/>
          <w:sz w:val="19"/>
          <w:szCs w:val="19"/>
        </w:rPr>
        <w:t>communities—‘Look</w:t>
      </w:r>
      <w:r>
        <w:rPr>
          <w:rFonts w:ascii="Segoe UI" w:hAnsi="Segoe UI" w:cs="Segoe UI" w:eastAsia="Segoe UI"/>
          <w:color w:val="67973F"/>
          <w:spacing w:val="-5"/>
          <w:sz w:val="19"/>
          <w:szCs w:val="19"/>
        </w:rPr>
        <w:t> </w:t>
      </w:r>
      <w:r>
        <w:rPr>
          <w:rFonts w:ascii="Segoe UI" w:hAnsi="Segoe UI" w:cs="Segoe UI" w:eastAsia="Segoe UI"/>
          <w:color w:val="67973F"/>
          <w:sz w:val="19"/>
          <w:szCs w:val="19"/>
        </w:rPr>
        <w:t>for</w:t>
      </w:r>
      <w:r>
        <w:rPr>
          <w:rFonts w:ascii="Segoe UI" w:hAnsi="Segoe UI" w:cs="Segoe UI" w:eastAsia="Segoe UI"/>
          <w:color w:val="67973F"/>
          <w:spacing w:val="-3"/>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4"/>
          <w:sz w:val="19"/>
          <w:szCs w:val="19"/>
        </w:rPr>
        <w:t> </w:t>
      </w:r>
      <w:r>
        <w:rPr>
          <w:rFonts w:ascii="Segoe UI" w:hAnsi="Segoe UI" w:cs="Segoe UI" w:eastAsia="Segoe UI"/>
          <w:color w:val="67973F"/>
          <w:sz w:val="19"/>
          <w:szCs w:val="19"/>
        </w:rPr>
        <w:t>car</w:t>
      </w:r>
      <w:r>
        <w:rPr>
          <w:rFonts w:ascii="Segoe UI" w:hAnsi="Segoe UI" w:cs="Segoe UI" w:eastAsia="Segoe UI"/>
          <w:color w:val="67973F"/>
          <w:spacing w:val="-3"/>
          <w:sz w:val="19"/>
          <w:szCs w:val="19"/>
        </w:rPr>
        <w:t> </w:t>
      </w:r>
      <w:r>
        <w:rPr>
          <w:rFonts w:ascii="Segoe UI" w:hAnsi="Segoe UI" w:cs="Segoe UI" w:eastAsia="Segoe UI"/>
          <w:color w:val="67973F"/>
          <w:sz w:val="19"/>
          <w:szCs w:val="19"/>
        </w:rPr>
        <w:t>with</w:t>
      </w:r>
      <w:r>
        <w:rPr>
          <w:rFonts w:ascii="Segoe UI" w:hAnsi="Segoe UI" w:cs="Segoe UI" w:eastAsia="Segoe UI"/>
          <w:color w:val="67973F"/>
          <w:spacing w:val="-4"/>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4"/>
          <w:sz w:val="19"/>
          <w:szCs w:val="19"/>
        </w:rPr>
        <w:t> </w:t>
      </w:r>
      <w:r>
        <w:rPr>
          <w:rFonts w:ascii="Segoe UI" w:hAnsi="Segoe UI" w:cs="Segoe UI" w:eastAsia="Segoe UI"/>
          <w:color w:val="67973F"/>
          <w:sz w:val="19"/>
          <w:szCs w:val="19"/>
        </w:rPr>
        <w:t>Yirara</w:t>
      </w:r>
      <w:r>
        <w:rPr>
          <w:rFonts w:ascii="Segoe UI" w:hAnsi="Segoe UI" w:cs="Segoe UI" w:eastAsia="Segoe UI"/>
          <w:color w:val="67973F"/>
          <w:w w:val="99"/>
          <w:sz w:val="19"/>
          <w:szCs w:val="19"/>
        </w:rPr>
        <w:t> </w:t>
      </w:r>
      <w:r>
        <w:rPr>
          <w:rFonts w:ascii="Segoe UI" w:hAnsi="Segoe UI" w:cs="Segoe UI" w:eastAsia="Segoe UI"/>
          <w:color w:val="67973F"/>
          <w:spacing w:val="-1"/>
          <w:sz w:val="19"/>
          <w:szCs w:val="19"/>
        </w:rPr>
        <w:t>sign</w:t>
      </w:r>
      <w:r>
        <w:rPr>
          <w:rFonts w:ascii="Segoe UI" w:hAnsi="Segoe UI" w:cs="Segoe UI" w:eastAsia="Segoe UI"/>
          <w:color w:val="67973F"/>
          <w:spacing w:val="-4"/>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say</w:t>
      </w:r>
      <w:r>
        <w:rPr>
          <w:rFonts w:ascii="Segoe UI" w:hAnsi="Segoe UI" w:cs="Segoe UI" w:eastAsia="Segoe UI"/>
          <w:color w:val="67973F"/>
          <w:spacing w:val="-3"/>
          <w:sz w:val="19"/>
          <w:szCs w:val="19"/>
        </w:rPr>
        <w:t> </w:t>
      </w:r>
      <w:r>
        <w:rPr>
          <w:rFonts w:ascii="Segoe UI" w:hAnsi="Segoe UI" w:cs="Segoe UI" w:eastAsia="Segoe UI"/>
          <w:color w:val="67973F"/>
          <w:sz w:val="19"/>
          <w:szCs w:val="19"/>
        </w:rPr>
        <w:t>'hello',</w:t>
      </w:r>
      <w:r>
        <w:rPr>
          <w:rFonts w:ascii="Segoe UI" w:hAnsi="Segoe UI" w:cs="Segoe UI" w:eastAsia="Segoe UI"/>
          <w:color w:val="67973F"/>
          <w:spacing w:val="-5"/>
          <w:sz w:val="19"/>
          <w:szCs w:val="19"/>
        </w:rPr>
        <w:t> </w:t>
      </w:r>
      <w:r>
        <w:rPr>
          <w:rFonts w:ascii="Segoe UI" w:hAnsi="Segoe UI" w:cs="Segoe UI" w:eastAsia="Segoe UI"/>
          <w:color w:val="67973F"/>
          <w:sz w:val="19"/>
          <w:szCs w:val="19"/>
        </w:rPr>
        <w:t>talk</w:t>
      </w:r>
      <w:r>
        <w:rPr>
          <w:rFonts w:ascii="Segoe UI" w:hAnsi="Segoe UI" w:cs="Segoe UI" w:eastAsia="Segoe UI"/>
          <w:color w:val="67973F"/>
          <w:spacing w:val="-4"/>
          <w:sz w:val="19"/>
          <w:szCs w:val="19"/>
        </w:rPr>
        <w:t> </w:t>
      </w:r>
      <w:r>
        <w:rPr>
          <w:rFonts w:ascii="Segoe UI" w:hAnsi="Segoe UI" w:cs="Segoe UI" w:eastAsia="Segoe UI"/>
          <w:color w:val="67973F"/>
          <w:sz w:val="19"/>
          <w:szCs w:val="19"/>
        </w:rPr>
        <w:t>about</w:t>
      </w:r>
      <w:r>
        <w:rPr>
          <w:rFonts w:ascii="Segoe UI" w:hAnsi="Segoe UI" w:cs="Segoe UI" w:eastAsia="Segoe UI"/>
          <w:color w:val="67973F"/>
          <w:spacing w:val="-4"/>
          <w:sz w:val="19"/>
          <w:szCs w:val="19"/>
        </w:rPr>
        <w:t> </w:t>
      </w:r>
      <w:r>
        <w:rPr>
          <w:rFonts w:ascii="Segoe UI" w:hAnsi="Segoe UI" w:cs="Segoe UI" w:eastAsia="Segoe UI"/>
          <w:color w:val="67973F"/>
          <w:sz w:val="19"/>
          <w:szCs w:val="19"/>
        </w:rPr>
        <w:t>your</w:t>
      </w:r>
      <w:r>
        <w:rPr>
          <w:rFonts w:ascii="Segoe UI" w:hAnsi="Segoe UI" w:cs="Segoe UI" w:eastAsia="Segoe UI"/>
          <w:color w:val="67973F"/>
          <w:spacing w:val="-3"/>
          <w:sz w:val="19"/>
          <w:szCs w:val="19"/>
        </w:rPr>
        <w:t> </w:t>
      </w:r>
      <w:r>
        <w:rPr>
          <w:rFonts w:ascii="Segoe UI" w:hAnsi="Segoe UI" w:cs="Segoe UI" w:eastAsia="Segoe UI"/>
          <w:color w:val="67973F"/>
          <w:sz w:val="19"/>
          <w:szCs w:val="19"/>
        </w:rPr>
        <w:t>community</w:t>
      </w:r>
      <w:r>
        <w:rPr>
          <w:rFonts w:ascii="Segoe UI" w:hAnsi="Segoe UI" w:cs="Segoe UI" w:eastAsia="Segoe UI"/>
          <w:color w:val="67973F"/>
          <w:spacing w:val="22"/>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8"/>
          <w:sz w:val="19"/>
          <w:szCs w:val="19"/>
        </w:rPr>
        <w:t> </w:t>
      </w:r>
      <w:r>
        <w:rPr>
          <w:rFonts w:ascii="Segoe UI" w:hAnsi="Segoe UI" w:cs="Segoe UI" w:eastAsia="Segoe UI"/>
          <w:color w:val="67973F"/>
          <w:sz w:val="19"/>
          <w:szCs w:val="19"/>
        </w:rPr>
        <w:t>your</w:t>
      </w:r>
      <w:r>
        <w:rPr>
          <w:rFonts w:ascii="Segoe UI" w:hAnsi="Segoe UI" w:cs="Segoe UI" w:eastAsia="Segoe UI"/>
          <w:color w:val="67973F"/>
          <w:spacing w:val="-6"/>
          <w:sz w:val="19"/>
          <w:szCs w:val="19"/>
        </w:rPr>
        <w:t> </w:t>
      </w:r>
      <w:r>
        <w:rPr>
          <w:rFonts w:ascii="Segoe UI" w:hAnsi="Segoe UI" w:cs="Segoe UI" w:eastAsia="Segoe UI"/>
          <w:color w:val="67973F"/>
          <w:sz w:val="19"/>
          <w:szCs w:val="19"/>
        </w:rPr>
        <w:t>young</w:t>
      </w:r>
      <w:r>
        <w:rPr>
          <w:rFonts w:ascii="Segoe UI" w:hAnsi="Segoe UI" w:cs="Segoe UI" w:eastAsia="Segoe UI"/>
          <w:color w:val="67973F"/>
          <w:spacing w:val="-7"/>
          <w:sz w:val="19"/>
          <w:szCs w:val="19"/>
        </w:rPr>
        <w:t> </w:t>
      </w:r>
      <w:r>
        <w:rPr>
          <w:rFonts w:ascii="Segoe UI" w:hAnsi="Segoe UI" w:cs="Segoe UI" w:eastAsia="Segoe UI"/>
          <w:color w:val="67973F"/>
          <w:sz w:val="19"/>
          <w:szCs w:val="19"/>
        </w:rPr>
        <w:t>people.’</w:t>
      </w:r>
      <w:r>
        <w:rPr>
          <w:rFonts w:ascii="Segoe UI" w:hAnsi="Segoe UI" w:cs="Segoe UI" w:eastAsia="Segoe UI"/>
          <w:sz w:val="19"/>
          <w:szCs w:val="19"/>
        </w:rPr>
      </w:r>
    </w:p>
    <w:p>
      <w:pPr>
        <w:spacing w:line="265" w:lineRule="auto" w:before="113"/>
        <w:ind w:left="100" w:right="132" w:firstLine="0"/>
        <w:jc w:val="left"/>
        <w:rPr>
          <w:rFonts w:ascii="Segoe UI Semibold" w:hAnsi="Segoe UI Semibold" w:cs="Segoe UI Semibold" w:eastAsia="Segoe UI Semibold"/>
          <w:sz w:val="11"/>
          <w:szCs w:val="11"/>
        </w:rPr>
      </w:pPr>
      <w:r>
        <w:rPr>
          <w:rFonts w:ascii="Segoe UI" w:hAnsi="Segoe UI" w:cs="Segoe UI" w:eastAsia="Segoe UI"/>
          <w:color w:val="67973F"/>
          <w:spacing w:val="-3"/>
          <w:sz w:val="19"/>
          <w:szCs w:val="19"/>
        </w:rPr>
        <w:t>CLO</w:t>
      </w:r>
      <w:r>
        <w:rPr>
          <w:rFonts w:ascii="Segoe UI" w:hAnsi="Segoe UI" w:cs="Segoe UI" w:eastAsia="Segoe UI"/>
          <w:color w:val="67973F"/>
          <w:spacing w:val="-1"/>
          <w:sz w:val="19"/>
          <w:szCs w:val="19"/>
        </w:rPr>
        <w:t> </w:t>
      </w:r>
      <w:r>
        <w:rPr>
          <w:rFonts w:ascii="Segoe UI" w:hAnsi="Segoe UI" w:cs="Segoe UI" w:eastAsia="Segoe UI"/>
          <w:color w:val="67973F"/>
          <w:sz w:val="19"/>
          <w:szCs w:val="19"/>
        </w:rPr>
        <w:t>staff</w:t>
      </w:r>
      <w:r>
        <w:rPr>
          <w:rFonts w:ascii="Segoe UI" w:hAnsi="Segoe UI" w:cs="Segoe UI" w:eastAsia="Segoe UI"/>
          <w:color w:val="67973F"/>
          <w:spacing w:val="-1"/>
          <w:sz w:val="19"/>
          <w:szCs w:val="19"/>
        </w:rPr>
        <w:t> </w:t>
      </w:r>
      <w:r>
        <w:rPr>
          <w:rFonts w:ascii="Segoe UI" w:hAnsi="Segoe UI" w:cs="Segoe UI" w:eastAsia="Segoe UI"/>
          <w:color w:val="67973F"/>
          <w:sz w:val="19"/>
          <w:szCs w:val="19"/>
        </w:rPr>
        <w:t>promote the</w:t>
      </w:r>
      <w:r>
        <w:rPr>
          <w:rFonts w:ascii="Segoe UI" w:hAnsi="Segoe UI" w:cs="Segoe UI" w:eastAsia="Segoe UI"/>
          <w:color w:val="67973F"/>
          <w:spacing w:val="-1"/>
          <w:sz w:val="19"/>
          <w:szCs w:val="19"/>
        </w:rPr>
        <w:t> </w:t>
      </w:r>
      <w:r>
        <w:rPr>
          <w:rFonts w:ascii="Segoe UI" w:hAnsi="Segoe UI" w:cs="Segoe UI" w:eastAsia="Segoe UI"/>
          <w:color w:val="67973F"/>
          <w:sz w:val="19"/>
          <w:szCs w:val="19"/>
        </w:rPr>
        <w:t>importance and</w:t>
      </w:r>
      <w:r>
        <w:rPr>
          <w:rFonts w:ascii="Segoe UI" w:hAnsi="Segoe UI" w:cs="Segoe UI" w:eastAsia="Segoe UI"/>
          <w:color w:val="67973F"/>
          <w:spacing w:val="-1"/>
          <w:sz w:val="19"/>
          <w:szCs w:val="19"/>
        </w:rPr>
        <w:t> </w:t>
      </w:r>
      <w:r>
        <w:rPr>
          <w:rFonts w:ascii="Segoe UI" w:hAnsi="Segoe UI" w:cs="Segoe UI" w:eastAsia="Segoe UI"/>
          <w:color w:val="67973F"/>
          <w:sz w:val="19"/>
          <w:szCs w:val="19"/>
        </w:rPr>
        <w:t>value of</w:t>
      </w:r>
      <w:r>
        <w:rPr>
          <w:rFonts w:ascii="Segoe UI" w:hAnsi="Segoe UI" w:cs="Segoe UI" w:eastAsia="Segoe UI"/>
          <w:color w:val="67973F"/>
          <w:spacing w:val="22"/>
          <w:sz w:val="19"/>
          <w:szCs w:val="19"/>
        </w:rPr>
        <w:t> </w:t>
      </w:r>
      <w:r>
        <w:rPr>
          <w:rFonts w:ascii="Segoe UI" w:hAnsi="Segoe UI" w:cs="Segoe UI" w:eastAsia="Segoe UI"/>
          <w:color w:val="67973F"/>
          <w:sz w:val="19"/>
          <w:szCs w:val="19"/>
        </w:rPr>
        <w:t>education</w:t>
      </w:r>
      <w:r>
        <w:rPr>
          <w:rFonts w:ascii="Segoe UI" w:hAnsi="Segoe UI" w:cs="Segoe UI" w:eastAsia="Segoe UI"/>
          <w:color w:val="67973F"/>
          <w:spacing w:val="-7"/>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7"/>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7"/>
          <w:sz w:val="19"/>
          <w:szCs w:val="19"/>
        </w:rPr>
        <w:t> </w:t>
      </w:r>
      <w:r>
        <w:rPr>
          <w:rFonts w:ascii="Segoe UI" w:hAnsi="Segoe UI" w:cs="Segoe UI" w:eastAsia="Segoe UI"/>
          <w:color w:val="67973F"/>
          <w:spacing w:val="-1"/>
          <w:sz w:val="19"/>
          <w:szCs w:val="19"/>
        </w:rPr>
        <w:t>many</w:t>
      </w:r>
      <w:r>
        <w:rPr>
          <w:rFonts w:ascii="Segoe UI" w:hAnsi="Segoe UI" w:cs="Segoe UI" w:eastAsia="Segoe UI"/>
          <w:color w:val="67973F"/>
          <w:spacing w:val="-6"/>
          <w:sz w:val="19"/>
          <w:szCs w:val="19"/>
        </w:rPr>
        <w:t> </w:t>
      </w:r>
      <w:r>
        <w:rPr>
          <w:rFonts w:ascii="Segoe UI" w:hAnsi="Segoe UI" w:cs="Segoe UI" w:eastAsia="Segoe UI"/>
          <w:color w:val="67973F"/>
          <w:sz w:val="19"/>
          <w:szCs w:val="19"/>
        </w:rPr>
        <w:t>programs</w:t>
      </w:r>
      <w:r>
        <w:rPr>
          <w:rFonts w:ascii="Segoe UI" w:hAnsi="Segoe UI" w:cs="Segoe UI" w:eastAsia="Segoe UI"/>
          <w:color w:val="67973F"/>
          <w:spacing w:val="-7"/>
          <w:sz w:val="19"/>
          <w:szCs w:val="19"/>
        </w:rPr>
        <w:t> </w:t>
      </w:r>
      <w:r>
        <w:rPr>
          <w:rFonts w:ascii="Segoe UI" w:hAnsi="Segoe UI" w:cs="Segoe UI" w:eastAsia="Segoe UI"/>
          <w:color w:val="67973F"/>
          <w:sz w:val="19"/>
          <w:szCs w:val="19"/>
        </w:rPr>
        <w:t>that</w:t>
      </w:r>
      <w:r>
        <w:rPr>
          <w:rFonts w:ascii="Segoe UI" w:hAnsi="Segoe UI" w:cs="Segoe UI" w:eastAsia="Segoe UI"/>
          <w:color w:val="67973F"/>
          <w:spacing w:val="-6"/>
          <w:sz w:val="19"/>
          <w:szCs w:val="19"/>
        </w:rPr>
        <w:t> </w:t>
      </w:r>
      <w:r>
        <w:rPr>
          <w:rFonts w:ascii="Segoe UI" w:hAnsi="Segoe UI" w:cs="Segoe UI" w:eastAsia="Segoe UI"/>
          <w:color w:val="67973F"/>
          <w:sz w:val="19"/>
          <w:szCs w:val="19"/>
        </w:rPr>
        <w:t>Yirara</w:t>
      </w:r>
      <w:r>
        <w:rPr>
          <w:rFonts w:ascii="Segoe UI" w:hAnsi="Segoe UI" w:cs="Segoe UI" w:eastAsia="Segoe UI"/>
          <w:color w:val="67973F"/>
          <w:spacing w:val="21"/>
          <w:w w:val="99"/>
          <w:sz w:val="19"/>
          <w:szCs w:val="19"/>
        </w:rPr>
        <w:t> </w:t>
      </w:r>
      <w:r>
        <w:rPr>
          <w:rFonts w:ascii="Segoe UI" w:hAnsi="Segoe UI" w:cs="Segoe UI" w:eastAsia="Segoe UI"/>
          <w:color w:val="67973F"/>
          <w:spacing w:val="-1"/>
          <w:sz w:val="19"/>
          <w:szCs w:val="19"/>
        </w:rPr>
        <w:t>offers.’</w:t>
      </w:r>
      <w:r>
        <w:rPr>
          <w:rFonts w:ascii="Segoe UI Semibold" w:hAnsi="Segoe UI Semibold" w:cs="Segoe UI Semibold" w:eastAsia="Segoe UI Semibold"/>
          <w:b/>
          <w:bCs/>
          <w:color w:val="67973F"/>
          <w:spacing w:val="-1"/>
          <w:position w:val="7"/>
          <w:sz w:val="11"/>
          <w:szCs w:val="11"/>
        </w:rPr>
        <w:t>78</w:t>
      </w:r>
      <w:r>
        <w:rPr>
          <w:rFonts w:ascii="Segoe UI Semibold" w:hAnsi="Segoe UI Semibold" w:cs="Segoe UI Semibold" w:eastAsia="Segoe UI Semibold"/>
          <w:sz w:val="11"/>
          <w:szCs w:val="11"/>
        </w:rPr>
      </w:r>
    </w:p>
    <w:p>
      <w:pPr>
        <w:spacing w:line="265" w:lineRule="auto" w:before="112"/>
        <w:ind w:left="100" w:right="124" w:firstLine="0"/>
        <w:jc w:val="left"/>
        <w:rPr>
          <w:rFonts w:ascii="Segoe UI" w:hAnsi="Segoe UI" w:cs="Segoe UI" w:eastAsia="Segoe UI"/>
          <w:sz w:val="19"/>
          <w:szCs w:val="19"/>
        </w:rPr>
      </w:pPr>
      <w:r>
        <w:rPr/>
        <w:pict>
          <v:group style="position:absolute;margin-left:311.811005pt;margin-top:45.316574pt;width:209.8pt;height:2pt;mso-position-horizontal-relative:page;mso-position-vertical-relative:paragraph;z-index:3040" coordorigin="6236,906" coordsize="4196,40">
            <v:group style="position:absolute;left:6336;top:926;width:4036;height:2" coordorigin="6336,926" coordsize="4036,2">
              <v:shape style="position:absolute;left:6336;top:926;width:4036;height:2" coordorigin="6336,926" coordsize="4036,0" path="m6336,926l10372,926e" filled="false" stroked="true" strokeweight="2pt" strokecolor="#67973f">
                <v:path arrowok="t"/>
                <v:stroke dashstyle="dash"/>
              </v:shape>
            </v:group>
            <v:group style="position:absolute;left:6256;top:926;width:2;height:2" coordorigin="6256,926" coordsize="2,2">
              <v:shape style="position:absolute;left:6256;top:926;width:2;height:2" coordorigin="6256,926" coordsize="0,0" path="m6256,926l6256,926e" filled="false" stroked="true" strokeweight="2pt" strokecolor="#67973f">
                <v:path arrowok="t"/>
              </v:shape>
            </v:group>
            <v:group style="position:absolute;left:10412;top:926;width:2;height:2" coordorigin="10412,926" coordsize="2,2">
              <v:shape style="position:absolute;left:10412;top:926;width:2;height:2" coordorigin="10412,926" coordsize="0,0" path="m10412,926l10412,926e" filled="false" stroked="true" strokeweight="2pt" strokecolor="#67973f">
                <v:path arrowok="t"/>
              </v:shape>
            </v:group>
            <w10:wrap type="none"/>
          </v:group>
        </w:pict>
      </w:r>
      <w:r>
        <w:rPr>
          <w:rFonts w:ascii="Segoe UI"/>
          <w:color w:val="67973F"/>
          <w:spacing w:val="-3"/>
          <w:sz w:val="19"/>
        </w:rPr>
        <w:t>CLO</w:t>
      </w:r>
      <w:r>
        <w:rPr>
          <w:rFonts w:ascii="Segoe UI"/>
          <w:color w:val="67973F"/>
          <w:spacing w:val="-1"/>
          <w:sz w:val="19"/>
        </w:rPr>
        <w:t> </w:t>
      </w:r>
      <w:r>
        <w:rPr>
          <w:rFonts w:ascii="Segoe UI"/>
          <w:color w:val="67973F"/>
          <w:sz w:val="19"/>
        </w:rPr>
        <w:t>staff</w:t>
      </w:r>
      <w:r>
        <w:rPr>
          <w:rFonts w:ascii="Segoe UI"/>
          <w:color w:val="67973F"/>
          <w:spacing w:val="-1"/>
          <w:sz w:val="19"/>
        </w:rPr>
        <w:t> </w:t>
      </w:r>
      <w:r>
        <w:rPr>
          <w:rFonts w:ascii="Segoe UI"/>
          <w:color w:val="67973F"/>
          <w:sz w:val="19"/>
        </w:rPr>
        <w:t>also manage</w:t>
      </w:r>
      <w:r>
        <w:rPr>
          <w:rFonts w:ascii="Segoe UI"/>
          <w:color w:val="67973F"/>
          <w:spacing w:val="-1"/>
          <w:sz w:val="19"/>
        </w:rPr>
        <w:t> </w:t>
      </w:r>
      <w:r>
        <w:rPr>
          <w:rFonts w:ascii="Segoe UI"/>
          <w:color w:val="67973F"/>
          <w:sz w:val="19"/>
        </w:rPr>
        <w:t>cultural awareness</w:t>
      </w:r>
      <w:r>
        <w:rPr>
          <w:rFonts w:ascii="Segoe UI"/>
          <w:color w:val="67973F"/>
          <w:spacing w:val="-1"/>
          <w:sz w:val="19"/>
        </w:rPr>
        <w:t> </w:t>
      </w:r>
      <w:r>
        <w:rPr>
          <w:rFonts w:ascii="Segoe UI"/>
          <w:color w:val="67973F"/>
          <w:sz w:val="19"/>
        </w:rPr>
        <w:t>training</w:t>
      </w:r>
      <w:r>
        <w:rPr>
          <w:rFonts w:ascii="Segoe UI"/>
          <w:color w:val="67973F"/>
          <w:spacing w:val="22"/>
          <w:sz w:val="19"/>
        </w:rPr>
        <w:t> </w:t>
      </w:r>
      <w:r>
        <w:rPr>
          <w:rFonts w:ascii="Segoe UI"/>
          <w:color w:val="67973F"/>
          <w:sz w:val="19"/>
        </w:rPr>
        <w:t>for</w:t>
      </w:r>
      <w:r>
        <w:rPr>
          <w:rFonts w:ascii="Segoe UI"/>
          <w:color w:val="67973F"/>
          <w:spacing w:val="-1"/>
          <w:sz w:val="19"/>
        </w:rPr>
        <w:t> </w:t>
      </w:r>
      <w:r>
        <w:rPr>
          <w:rFonts w:ascii="Segoe UI"/>
          <w:color w:val="67973F"/>
          <w:sz w:val="19"/>
        </w:rPr>
        <w:t>all</w:t>
      </w:r>
      <w:r>
        <w:rPr>
          <w:rFonts w:ascii="Segoe UI"/>
          <w:color w:val="67973F"/>
          <w:spacing w:val="-1"/>
          <w:sz w:val="19"/>
        </w:rPr>
        <w:t> </w:t>
      </w:r>
      <w:r>
        <w:rPr>
          <w:rFonts w:ascii="Segoe UI"/>
          <w:color w:val="67973F"/>
          <w:sz w:val="19"/>
        </w:rPr>
        <w:t>Yirara</w:t>
      </w:r>
      <w:r>
        <w:rPr>
          <w:rFonts w:ascii="Segoe UI"/>
          <w:color w:val="67973F"/>
          <w:spacing w:val="-1"/>
          <w:sz w:val="19"/>
        </w:rPr>
        <w:t> </w:t>
      </w:r>
      <w:r>
        <w:rPr>
          <w:rFonts w:ascii="Segoe UI"/>
          <w:color w:val="67973F"/>
          <w:sz w:val="19"/>
        </w:rPr>
        <w:t>College</w:t>
      </w:r>
      <w:r>
        <w:rPr>
          <w:rFonts w:ascii="Segoe UI"/>
          <w:color w:val="67973F"/>
          <w:spacing w:val="-1"/>
          <w:sz w:val="19"/>
        </w:rPr>
        <w:t> </w:t>
      </w:r>
      <w:r>
        <w:rPr>
          <w:rFonts w:ascii="Segoe UI"/>
          <w:color w:val="67973F"/>
          <w:sz w:val="19"/>
        </w:rPr>
        <w:t>staff.</w:t>
      </w:r>
      <w:r>
        <w:rPr>
          <w:rFonts w:ascii="Segoe UI"/>
          <w:sz w:val="19"/>
        </w:rPr>
      </w:r>
    </w:p>
    <w:p>
      <w:pPr>
        <w:spacing w:after="0" w:line="265" w:lineRule="auto"/>
        <w:jc w:val="left"/>
        <w:rPr>
          <w:rFonts w:ascii="Segoe UI" w:hAnsi="Segoe UI" w:cs="Segoe UI" w:eastAsia="Segoe UI"/>
          <w:sz w:val="19"/>
          <w:szCs w:val="19"/>
        </w:rPr>
        <w:sectPr>
          <w:type w:val="continuous"/>
          <w:pgSz w:w="11910" w:h="16840"/>
          <w:pgMar w:top="1580" w:bottom="280" w:left="1600" w:right="1300"/>
          <w:cols w:num="2" w:equalWidth="0">
            <w:col w:w="4286" w:space="250"/>
            <w:col w:w="4474"/>
          </w:cols>
        </w:sectPr>
      </w:pPr>
    </w:p>
    <w:p>
      <w:pPr>
        <w:spacing w:line="240" w:lineRule="auto" w:before="0"/>
        <w:rPr>
          <w:rFonts w:ascii="Segoe UI" w:hAnsi="Segoe UI" w:cs="Segoe UI" w:eastAsia="Segoe UI"/>
          <w:sz w:val="20"/>
          <w:szCs w:val="20"/>
        </w:rPr>
      </w:pPr>
    </w:p>
    <w:p>
      <w:pPr>
        <w:spacing w:line="240" w:lineRule="auto" w:before="8"/>
        <w:rPr>
          <w:rFonts w:ascii="Segoe UI" w:hAnsi="Segoe UI" w:cs="Segoe UI" w:eastAsia="Segoe UI"/>
          <w:sz w:val="21"/>
          <w:szCs w:val="21"/>
        </w:rPr>
      </w:pPr>
    </w:p>
    <w:p>
      <w:pPr>
        <w:spacing w:after="0" w:line="240" w:lineRule="auto"/>
        <w:rPr>
          <w:rFonts w:ascii="Segoe UI" w:hAnsi="Segoe UI" w:cs="Segoe UI" w:eastAsia="Segoe UI"/>
          <w:sz w:val="21"/>
          <w:szCs w:val="21"/>
        </w:rPr>
        <w:sectPr>
          <w:footerReference w:type="even" r:id="rId46"/>
          <w:footerReference w:type="default" r:id="rId47"/>
          <w:pgSz w:w="11910" w:h="16840"/>
          <w:pgMar w:footer="691" w:header="0" w:top="1580" w:bottom="880" w:left="1300" w:right="1560"/>
        </w:sectPr>
      </w:pPr>
    </w:p>
    <w:p>
      <w:pPr>
        <w:pStyle w:val="BodyText"/>
        <w:spacing w:line="250" w:lineRule="exact" w:before="62"/>
        <w:ind w:right="14"/>
        <w:jc w:val="left"/>
      </w:pPr>
      <w:r>
        <w:rPr>
          <w:color w:val="231F20"/>
          <w:spacing w:val="-1"/>
        </w:rPr>
        <w:t>Supporting</w:t>
      </w:r>
      <w:r>
        <w:rPr>
          <w:color w:val="231F20"/>
          <w:spacing w:val="-4"/>
        </w:rPr>
        <w:t> </w:t>
      </w:r>
      <w:r>
        <w:rPr>
          <w:color w:val="231F20"/>
          <w:spacing w:val="-1"/>
        </w:rPr>
        <w:t>students</w:t>
      </w:r>
      <w:r>
        <w:rPr>
          <w:color w:val="231F20"/>
          <w:spacing w:val="-5"/>
        </w:rPr>
        <w:t> </w:t>
      </w:r>
      <w:r>
        <w:rPr>
          <w:color w:val="231F20"/>
          <w:spacing w:val="-1"/>
        </w:rPr>
        <w:t>in</w:t>
      </w:r>
      <w:r>
        <w:rPr>
          <w:color w:val="231F20"/>
          <w:spacing w:val="-4"/>
        </w:rPr>
        <w:t> </w:t>
      </w:r>
      <w:r>
        <w:rPr>
          <w:color w:val="231F20"/>
        </w:rPr>
        <w:t>their</w:t>
      </w:r>
      <w:r>
        <w:rPr>
          <w:color w:val="231F20"/>
          <w:spacing w:val="-6"/>
        </w:rPr>
        <w:t> </w:t>
      </w:r>
      <w:r>
        <w:rPr>
          <w:color w:val="231F20"/>
        </w:rPr>
        <w:t>transition</w:t>
      </w:r>
      <w:r>
        <w:rPr>
          <w:color w:val="231F20"/>
          <w:spacing w:val="-5"/>
        </w:rPr>
        <w:t> </w:t>
      </w:r>
      <w:r>
        <w:rPr>
          <w:color w:val="231F20"/>
        </w:rPr>
        <w:t>to</w:t>
      </w:r>
      <w:r>
        <w:rPr>
          <w:color w:val="231F20"/>
          <w:spacing w:val="-4"/>
        </w:rPr>
        <w:t> </w:t>
      </w:r>
      <w:r>
        <w:rPr>
          <w:color w:val="231F20"/>
        </w:rPr>
        <w:t>the</w:t>
      </w:r>
      <w:r>
        <w:rPr>
          <w:color w:val="231F20"/>
          <w:spacing w:val="24"/>
          <w:w w:val="99"/>
        </w:rPr>
        <w:t> </w:t>
      </w:r>
      <w:r>
        <w:rPr>
          <w:color w:val="231F20"/>
        </w:rPr>
        <w:t>post-school</w:t>
      </w:r>
      <w:r>
        <w:rPr>
          <w:color w:val="231F20"/>
          <w:spacing w:val="-6"/>
        </w:rPr>
        <w:t> </w:t>
      </w:r>
      <w:r>
        <w:rPr>
          <w:color w:val="231F20"/>
        </w:rPr>
        <w:t>environment</w:t>
      </w:r>
      <w:r>
        <w:rPr>
          <w:color w:val="231F20"/>
          <w:spacing w:val="-5"/>
        </w:rPr>
        <w:t> </w:t>
      </w:r>
      <w:r>
        <w:rPr>
          <w:color w:val="231F20"/>
          <w:spacing w:val="-1"/>
        </w:rPr>
        <w:t>is</w:t>
      </w:r>
      <w:r>
        <w:rPr>
          <w:color w:val="231F20"/>
          <w:spacing w:val="-6"/>
        </w:rPr>
        <w:t> </w:t>
      </w:r>
      <w:r>
        <w:rPr>
          <w:color w:val="231F20"/>
        </w:rPr>
        <w:t>also</w:t>
      </w:r>
      <w:r>
        <w:rPr>
          <w:color w:val="231F20"/>
          <w:spacing w:val="-5"/>
        </w:rPr>
        <w:t> </w:t>
      </w:r>
      <w:r>
        <w:rPr>
          <w:color w:val="231F20"/>
        </w:rPr>
        <w:t>an</w:t>
      </w:r>
      <w:r>
        <w:rPr>
          <w:color w:val="231F20"/>
          <w:spacing w:val="-6"/>
        </w:rPr>
        <w:t> </w:t>
      </w:r>
      <w:r>
        <w:rPr>
          <w:color w:val="231F20"/>
          <w:spacing w:val="-1"/>
        </w:rPr>
        <w:t>important</w:t>
      </w:r>
      <w:r>
        <w:rPr>
          <w:color w:val="231F20"/>
          <w:spacing w:val="21"/>
          <w:w w:val="99"/>
        </w:rPr>
        <w:t> </w:t>
      </w:r>
      <w:r>
        <w:rPr>
          <w:color w:val="231F20"/>
        </w:rPr>
        <w:t>focus</w:t>
      </w:r>
      <w:r>
        <w:rPr>
          <w:color w:val="231F20"/>
          <w:spacing w:val="-5"/>
        </w:rPr>
        <w:t> </w:t>
      </w:r>
      <w:r>
        <w:rPr>
          <w:color w:val="231F20"/>
        </w:rPr>
        <w:t>of</w:t>
      </w:r>
      <w:r>
        <w:rPr>
          <w:color w:val="231F20"/>
          <w:spacing w:val="-3"/>
        </w:rPr>
        <w:t> </w:t>
      </w:r>
      <w:r>
        <w:rPr>
          <w:color w:val="231F20"/>
          <w:spacing w:val="-1"/>
        </w:rPr>
        <w:t>support</w:t>
      </w:r>
      <w:r>
        <w:rPr>
          <w:color w:val="231F20"/>
          <w:spacing w:val="-3"/>
        </w:rPr>
        <w:t> </w:t>
      </w:r>
      <w:r>
        <w:rPr>
          <w:color w:val="231F20"/>
          <w:spacing w:val="-1"/>
        </w:rPr>
        <w:t>services.</w:t>
      </w:r>
      <w:r>
        <w:rPr>
          <w:color w:val="231F20"/>
          <w:spacing w:val="-2"/>
        </w:rPr>
        <w:t> </w:t>
      </w:r>
      <w:r>
        <w:rPr>
          <w:color w:val="231F20"/>
          <w:spacing w:val="-3"/>
        </w:rPr>
        <w:t>Training</w:t>
      </w:r>
      <w:r>
        <w:rPr>
          <w:color w:val="231F20"/>
          <w:spacing w:val="-4"/>
        </w:rPr>
        <w:t> </w:t>
      </w:r>
      <w:r>
        <w:rPr>
          <w:color w:val="231F20"/>
        </w:rPr>
        <w:t>and</w:t>
      </w:r>
      <w:r>
        <w:rPr>
          <w:color w:val="231F20"/>
          <w:spacing w:val="-5"/>
        </w:rPr>
        <w:t> </w:t>
      </w:r>
      <w:r>
        <w:rPr>
          <w:color w:val="231F20"/>
        </w:rPr>
        <w:t>courses</w:t>
      </w:r>
      <w:r>
        <w:rPr>
          <w:color w:val="231F20"/>
          <w:spacing w:val="29"/>
        </w:rPr>
        <w:t> </w:t>
      </w:r>
      <w:r>
        <w:rPr>
          <w:color w:val="231F20"/>
        </w:rPr>
        <w:t>delivered</w:t>
      </w:r>
      <w:r>
        <w:rPr>
          <w:color w:val="231F20"/>
          <w:spacing w:val="-7"/>
        </w:rPr>
        <w:t> </w:t>
      </w:r>
      <w:r>
        <w:rPr>
          <w:color w:val="231F20"/>
        </w:rPr>
        <w:t>by</w:t>
      </w:r>
      <w:r>
        <w:rPr>
          <w:color w:val="231F20"/>
          <w:spacing w:val="-5"/>
        </w:rPr>
        <w:t> </w:t>
      </w:r>
      <w:r>
        <w:rPr>
          <w:color w:val="231F20"/>
        </w:rPr>
        <w:t>boarding</w:t>
      </w:r>
      <w:r>
        <w:rPr>
          <w:color w:val="231F20"/>
          <w:spacing w:val="-6"/>
        </w:rPr>
        <w:t> </w:t>
      </w:r>
      <w:r>
        <w:rPr>
          <w:color w:val="231F20"/>
        </w:rPr>
        <w:t>providers</w:t>
      </w:r>
      <w:r>
        <w:rPr>
          <w:color w:val="231F20"/>
          <w:spacing w:val="-6"/>
        </w:rPr>
        <w:t> </w:t>
      </w:r>
      <w:r>
        <w:rPr>
          <w:color w:val="231F20"/>
        </w:rPr>
        <w:t>at</w:t>
      </w:r>
      <w:r>
        <w:rPr>
          <w:color w:val="231F20"/>
          <w:spacing w:val="-6"/>
        </w:rPr>
        <w:t> </w:t>
      </w:r>
      <w:r>
        <w:rPr>
          <w:color w:val="231F20"/>
          <w:spacing w:val="-1"/>
        </w:rPr>
        <w:t>school</w:t>
      </w:r>
      <w:r>
        <w:rPr>
          <w:color w:val="231F20"/>
          <w:spacing w:val="-5"/>
        </w:rPr>
        <w:t> </w:t>
      </w:r>
      <w:r>
        <w:rPr>
          <w:color w:val="231F20"/>
        </w:rPr>
        <w:t>and</w:t>
      </w:r>
      <w:r>
        <w:rPr>
          <w:color w:val="231F20"/>
          <w:spacing w:val="21"/>
          <w:w w:val="99"/>
        </w:rPr>
        <w:t> </w:t>
      </w:r>
      <w:r>
        <w:rPr>
          <w:color w:val="231F20"/>
          <w:spacing w:val="-1"/>
        </w:rPr>
        <w:t>in</w:t>
      </w:r>
      <w:r>
        <w:rPr>
          <w:color w:val="231F20"/>
          <w:spacing w:val="-3"/>
        </w:rPr>
        <w:t> </w:t>
      </w:r>
      <w:r>
        <w:rPr>
          <w:color w:val="231F20"/>
        </w:rPr>
        <w:t>boarding</w:t>
      </w:r>
      <w:r>
        <w:rPr>
          <w:color w:val="231F20"/>
          <w:spacing w:val="-3"/>
        </w:rPr>
        <w:t> </w:t>
      </w:r>
      <w:r>
        <w:rPr>
          <w:color w:val="231F20"/>
        </w:rPr>
        <w:t>residences</w:t>
      </w:r>
      <w:r>
        <w:rPr>
          <w:color w:val="231F20"/>
          <w:spacing w:val="-5"/>
        </w:rPr>
        <w:t> </w:t>
      </w:r>
      <w:r>
        <w:rPr>
          <w:color w:val="231F20"/>
          <w:spacing w:val="-1"/>
        </w:rPr>
        <w:t>include,</w:t>
      </w:r>
      <w:r>
        <w:rPr>
          <w:color w:val="231F20"/>
          <w:spacing w:val="-2"/>
        </w:rPr>
        <w:t> </w:t>
      </w:r>
      <w:r>
        <w:rPr>
          <w:color w:val="231F20"/>
          <w:spacing w:val="-1"/>
        </w:rPr>
        <w:t>life</w:t>
      </w:r>
      <w:r>
        <w:rPr>
          <w:color w:val="231F20"/>
          <w:spacing w:val="-3"/>
        </w:rPr>
        <w:t> </w:t>
      </w:r>
      <w:r>
        <w:rPr>
          <w:color w:val="231F20"/>
          <w:spacing w:val="-1"/>
        </w:rPr>
        <w:t>skills,</w:t>
      </w:r>
      <w:r>
        <w:rPr>
          <w:color w:val="231F20"/>
          <w:spacing w:val="-2"/>
        </w:rPr>
        <w:t> </w:t>
      </w:r>
      <w:r>
        <w:rPr>
          <w:color w:val="231F20"/>
        </w:rPr>
        <w:t>basic</w:t>
      </w:r>
      <w:r>
        <w:rPr>
          <w:color w:val="231F20"/>
          <w:spacing w:val="25"/>
        </w:rPr>
        <w:t> </w:t>
      </w:r>
      <w:r>
        <w:rPr>
          <w:color w:val="231F20"/>
        </w:rPr>
        <w:t>health,</w:t>
      </w:r>
      <w:r>
        <w:rPr>
          <w:color w:val="231F20"/>
          <w:spacing w:val="-10"/>
        </w:rPr>
        <w:t> </w:t>
      </w:r>
      <w:r>
        <w:rPr>
          <w:color w:val="231F20"/>
          <w:spacing w:val="-1"/>
        </w:rPr>
        <w:t>sexual</w:t>
      </w:r>
      <w:r>
        <w:rPr>
          <w:color w:val="231F20"/>
          <w:spacing w:val="-8"/>
        </w:rPr>
        <w:t> </w:t>
      </w:r>
      <w:r>
        <w:rPr>
          <w:color w:val="231F20"/>
        </w:rPr>
        <w:t>health,</w:t>
      </w:r>
      <w:r>
        <w:rPr>
          <w:color w:val="231F20"/>
          <w:spacing w:val="-9"/>
        </w:rPr>
        <w:t> </w:t>
      </w:r>
      <w:r>
        <w:rPr>
          <w:color w:val="231F20"/>
        </w:rPr>
        <w:t>respectful</w:t>
      </w:r>
      <w:r>
        <w:rPr>
          <w:color w:val="231F20"/>
          <w:spacing w:val="-10"/>
        </w:rPr>
        <w:t> </w:t>
      </w:r>
      <w:r>
        <w:rPr>
          <w:color w:val="231F20"/>
        </w:rPr>
        <w:t>relationships,</w:t>
      </w:r>
      <w:r>
        <w:rPr>
          <w:color w:val="231F20"/>
          <w:spacing w:val="21"/>
          <w:w w:val="99"/>
        </w:rPr>
        <w:t> </w:t>
      </w:r>
      <w:r>
        <w:rPr>
          <w:color w:val="231F20"/>
          <w:spacing w:val="-1"/>
        </w:rPr>
        <w:t>leadership,</w:t>
      </w:r>
      <w:r>
        <w:rPr>
          <w:color w:val="231F20"/>
          <w:spacing w:val="-9"/>
        </w:rPr>
        <w:t> </w:t>
      </w:r>
      <w:r>
        <w:rPr>
          <w:color w:val="231F20"/>
        </w:rPr>
        <w:t>driving,</w:t>
      </w:r>
      <w:r>
        <w:rPr>
          <w:color w:val="231F20"/>
          <w:spacing w:val="-8"/>
        </w:rPr>
        <w:t> </w:t>
      </w:r>
      <w:r>
        <w:rPr>
          <w:color w:val="231F20"/>
        </w:rPr>
        <w:t>drug</w:t>
      </w:r>
      <w:r>
        <w:rPr>
          <w:color w:val="231F20"/>
          <w:spacing w:val="-9"/>
        </w:rPr>
        <w:t> </w:t>
      </w:r>
      <w:r>
        <w:rPr>
          <w:color w:val="231F20"/>
        </w:rPr>
        <w:t>and</w:t>
      </w:r>
      <w:r>
        <w:rPr>
          <w:color w:val="231F20"/>
          <w:spacing w:val="-9"/>
        </w:rPr>
        <w:t> </w:t>
      </w:r>
      <w:r>
        <w:rPr>
          <w:color w:val="231F20"/>
        </w:rPr>
        <w:t>alcohol</w:t>
      </w:r>
      <w:r>
        <w:rPr>
          <w:color w:val="231F20"/>
          <w:spacing w:val="-9"/>
        </w:rPr>
        <w:t> </w:t>
      </w:r>
      <w:r>
        <w:rPr>
          <w:color w:val="231F20"/>
        </w:rPr>
        <w:t>awareness,</w:t>
      </w:r>
      <w:r>
        <w:rPr>
          <w:color w:val="231F20"/>
          <w:spacing w:val="22"/>
          <w:w w:val="99"/>
        </w:rPr>
        <w:t> </w:t>
      </w:r>
      <w:r>
        <w:rPr>
          <w:color w:val="231F20"/>
        </w:rPr>
        <w:t>orientation,</w:t>
      </w:r>
      <w:r>
        <w:rPr>
          <w:color w:val="231F20"/>
          <w:spacing w:val="-8"/>
        </w:rPr>
        <w:t> </w:t>
      </w:r>
      <w:r>
        <w:rPr>
          <w:color w:val="231F20"/>
          <w:spacing w:val="-1"/>
        </w:rPr>
        <w:t>learning</w:t>
      </w:r>
      <w:r>
        <w:rPr>
          <w:color w:val="231F20"/>
          <w:spacing w:val="-6"/>
        </w:rPr>
        <w:t> </w:t>
      </w:r>
      <w:r>
        <w:rPr>
          <w:color w:val="231F20"/>
          <w:spacing w:val="-1"/>
        </w:rPr>
        <w:t>skills</w:t>
      </w:r>
      <w:r>
        <w:rPr>
          <w:color w:val="231F20"/>
          <w:spacing w:val="-6"/>
        </w:rPr>
        <w:t> </w:t>
      </w:r>
      <w:r>
        <w:rPr>
          <w:color w:val="231F20"/>
        </w:rPr>
        <w:t>and</w:t>
      </w:r>
      <w:r>
        <w:rPr>
          <w:color w:val="231F20"/>
          <w:spacing w:val="-7"/>
        </w:rPr>
        <w:t> </w:t>
      </w:r>
      <w:r>
        <w:rPr>
          <w:color w:val="231F20"/>
        </w:rPr>
        <w:t>pathways</w:t>
      </w:r>
      <w:r>
        <w:rPr>
          <w:color w:val="231F20"/>
          <w:spacing w:val="-7"/>
        </w:rPr>
        <w:t> </w:t>
      </w:r>
      <w:r>
        <w:rPr>
          <w:color w:val="231F20"/>
        </w:rPr>
        <w:t>to</w:t>
      </w:r>
      <w:r>
        <w:rPr>
          <w:color w:val="231F20"/>
          <w:spacing w:val="23"/>
          <w:w w:val="99"/>
        </w:rPr>
        <w:t> </w:t>
      </w:r>
      <w:r>
        <w:rPr>
          <w:color w:val="231F20"/>
        </w:rPr>
        <w:t>apprenticeships.</w:t>
      </w:r>
      <w:r>
        <w:rPr>
          <w:color w:val="231F20"/>
          <w:spacing w:val="-8"/>
        </w:rPr>
        <w:t> </w:t>
      </w:r>
      <w:r>
        <w:rPr>
          <w:color w:val="231F20"/>
          <w:spacing w:val="-1"/>
        </w:rPr>
        <w:t>Some</w:t>
      </w:r>
      <w:r>
        <w:rPr>
          <w:color w:val="231F20"/>
          <w:spacing w:val="-6"/>
        </w:rPr>
        <w:t> </w:t>
      </w:r>
      <w:r>
        <w:rPr>
          <w:color w:val="231F20"/>
        </w:rPr>
        <w:t>of</w:t>
      </w:r>
      <w:r>
        <w:rPr>
          <w:color w:val="231F20"/>
          <w:spacing w:val="-5"/>
        </w:rPr>
        <w:t> </w:t>
      </w:r>
      <w:r>
        <w:rPr>
          <w:color w:val="231F20"/>
        </w:rPr>
        <w:t>these</w:t>
      </w:r>
      <w:r>
        <w:rPr>
          <w:color w:val="231F20"/>
          <w:spacing w:val="-7"/>
        </w:rPr>
        <w:t> </w:t>
      </w:r>
      <w:r>
        <w:rPr>
          <w:color w:val="231F20"/>
        </w:rPr>
        <w:t>programs</w:t>
      </w:r>
      <w:r>
        <w:rPr>
          <w:color w:val="231F20"/>
          <w:spacing w:val="-6"/>
        </w:rPr>
        <w:t> </w:t>
      </w:r>
      <w:r>
        <w:rPr>
          <w:color w:val="231F20"/>
        </w:rPr>
        <w:t>and</w:t>
      </w:r>
      <w:r>
        <w:rPr>
          <w:color w:val="231F20"/>
          <w:spacing w:val="21"/>
          <w:w w:val="99"/>
        </w:rPr>
        <w:t> </w:t>
      </w:r>
      <w:r>
        <w:rPr>
          <w:color w:val="231F20"/>
          <w:spacing w:val="-1"/>
        </w:rPr>
        <w:t>support</w:t>
      </w:r>
      <w:r>
        <w:rPr>
          <w:color w:val="231F20"/>
          <w:spacing w:val="-6"/>
        </w:rPr>
        <w:t> </w:t>
      </w:r>
      <w:r>
        <w:rPr>
          <w:color w:val="231F20"/>
          <w:spacing w:val="-1"/>
        </w:rPr>
        <w:t>services</w:t>
      </w:r>
      <w:r>
        <w:rPr>
          <w:color w:val="231F20"/>
          <w:spacing w:val="-5"/>
        </w:rPr>
        <w:t> </w:t>
      </w:r>
      <w:r>
        <w:rPr>
          <w:color w:val="231F20"/>
        </w:rPr>
        <w:t>extend</w:t>
      </w:r>
      <w:r>
        <w:rPr>
          <w:color w:val="231F20"/>
          <w:spacing w:val="-5"/>
        </w:rPr>
        <w:t> </w:t>
      </w:r>
      <w:r>
        <w:rPr>
          <w:color w:val="231F20"/>
        </w:rPr>
        <w:t>post-school.</w:t>
      </w:r>
      <w:r>
        <w:rPr>
          <w:color w:val="231F20"/>
          <w:spacing w:val="-6"/>
        </w:rPr>
        <w:t> </w:t>
      </w:r>
      <w:r>
        <w:rPr>
          <w:color w:val="231F20"/>
        </w:rPr>
        <w:t>At</w:t>
      </w:r>
      <w:r>
        <w:rPr>
          <w:color w:val="231F20"/>
          <w:spacing w:val="-5"/>
        </w:rPr>
        <w:t> </w:t>
      </w:r>
      <w:r>
        <w:rPr>
          <w:color w:val="231F20"/>
          <w:spacing w:val="-1"/>
        </w:rPr>
        <w:t>least</w:t>
      </w:r>
      <w:r>
        <w:rPr>
          <w:color w:val="231F20"/>
          <w:spacing w:val="22"/>
        </w:rPr>
        <w:t> </w:t>
      </w:r>
      <w:r>
        <w:rPr>
          <w:color w:val="231F20"/>
        </w:rPr>
        <w:t>three</w:t>
      </w:r>
      <w:r>
        <w:rPr>
          <w:color w:val="231F20"/>
          <w:spacing w:val="-7"/>
        </w:rPr>
        <w:t> </w:t>
      </w:r>
      <w:r>
        <w:rPr>
          <w:color w:val="231F20"/>
        </w:rPr>
        <w:t>Aboriginal</w:t>
      </w:r>
      <w:r>
        <w:rPr>
          <w:color w:val="231F20"/>
          <w:spacing w:val="-5"/>
        </w:rPr>
        <w:t> </w:t>
      </w:r>
      <w:r>
        <w:rPr>
          <w:color w:val="231F20"/>
        </w:rPr>
        <w:t>and</w:t>
      </w:r>
      <w:r>
        <w:rPr>
          <w:color w:val="231F20"/>
          <w:spacing w:val="-7"/>
        </w:rPr>
        <w:t> </w:t>
      </w:r>
      <w:r>
        <w:rPr>
          <w:color w:val="231F20"/>
          <w:spacing w:val="-5"/>
        </w:rPr>
        <w:t>Torres </w:t>
      </w:r>
      <w:r>
        <w:rPr>
          <w:color w:val="231F20"/>
          <w:spacing w:val="-2"/>
        </w:rPr>
        <w:t>Strait</w:t>
      </w:r>
      <w:r>
        <w:rPr>
          <w:color w:val="231F20"/>
          <w:spacing w:val="-7"/>
        </w:rPr>
        <w:t> </w:t>
      </w:r>
      <w:r>
        <w:rPr>
          <w:color w:val="231F20"/>
          <w:spacing w:val="-1"/>
        </w:rPr>
        <w:t>Islander</w:t>
      </w:r>
      <w:r>
        <w:rPr>
          <w:color w:val="231F20"/>
          <w:spacing w:val="29"/>
          <w:w w:val="99"/>
        </w:rPr>
        <w:t> </w:t>
      </w:r>
      <w:r>
        <w:rPr>
          <w:color w:val="231F20"/>
        </w:rPr>
        <w:t>boarding</w:t>
      </w:r>
      <w:r>
        <w:rPr>
          <w:color w:val="231F20"/>
          <w:spacing w:val="-8"/>
        </w:rPr>
        <w:t> </w:t>
      </w:r>
      <w:r>
        <w:rPr>
          <w:color w:val="231F20"/>
        </w:rPr>
        <w:t>providers</w:t>
      </w:r>
      <w:r>
        <w:rPr>
          <w:color w:val="231F20"/>
          <w:spacing w:val="-8"/>
        </w:rPr>
        <w:t> </w:t>
      </w:r>
      <w:r>
        <w:rPr>
          <w:color w:val="231F20"/>
        </w:rPr>
        <w:t>actively</w:t>
      </w:r>
      <w:r>
        <w:rPr>
          <w:color w:val="231F20"/>
          <w:spacing w:val="-7"/>
        </w:rPr>
        <w:t> </w:t>
      </w:r>
      <w:r>
        <w:rPr>
          <w:color w:val="231F20"/>
          <w:spacing w:val="-1"/>
        </w:rPr>
        <w:t>support</w:t>
      </w:r>
      <w:r>
        <w:rPr>
          <w:color w:val="231F20"/>
          <w:spacing w:val="-7"/>
        </w:rPr>
        <w:t> </w:t>
      </w:r>
      <w:r>
        <w:rPr>
          <w:color w:val="231F20"/>
        </w:rPr>
        <w:t>and</w:t>
      </w:r>
      <w:r>
        <w:rPr>
          <w:color w:val="231F20"/>
          <w:spacing w:val="-8"/>
        </w:rPr>
        <w:t> </w:t>
      </w:r>
      <w:r>
        <w:rPr>
          <w:color w:val="231F20"/>
        </w:rPr>
        <w:t>assist</w:t>
      </w:r>
      <w:r>
        <w:rPr>
          <w:color w:val="231F20"/>
          <w:spacing w:val="22"/>
        </w:rPr>
        <w:t> </w:t>
      </w:r>
      <w:r>
        <w:rPr>
          <w:color w:val="231F20"/>
        </w:rPr>
        <w:t>past</w:t>
      </w:r>
      <w:r>
        <w:rPr>
          <w:color w:val="231F20"/>
          <w:spacing w:val="-5"/>
        </w:rPr>
        <w:t> </w:t>
      </w:r>
      <w:r>
        <w:rPr>
          <w:color w:val="231F20"/>
          <w:spacing w:val="-1"/>
        </w:rPr>
        <w:t>students</w:t>
      </w:r>
      <w:r>
        <w:rPr>
          <w:color w:val="231F20"/>
          <w:spacing w:val="-4"/>
        </w:rPr>
        <w:t> </w:t>
      </w:r>
      <w:r>
        <w:rPr>
          <w:color w:val="231F20"/>
        </w:rPr>
        <w:t>during</w:t>
      </w:r>
      <w:r>
        <w:rPr>
          <w:color w:val="231F20"/>
          <w:spacing w:val="-5"/>
        </w:rPr>
        <w:t> </w:t>
      </w:r>
      <w:r>
        <w:rPr>
          <w:color w:val="231F20"/>
        </w:rPr>
        <w:t>tertiary</w:t>
      </w:r>
      <w:r>
        <w:rPr>
          <w:color w:val="231F20"/>
          <w:spacing w:val="-4"/>
        </w:rPr>
        <w:t> </w:t>
      </w:r>
      <w:r>
        <w:rPr>
          <w:color w:val="231F20"/>
        </w:rPr>
        <w:t>or</w:t>
      </w:r>
      <w:r>
        <w:rPr>
          <w:color w:val="231F20"/>
          <w:spacing w:val="-4"/>
        </w:rPr>
        <w:t> </w:t>
      </w:r>
      <w:r>
        <w:rPr>
          <w:color w:val="231F20"/>
        </w:rPr>
        <w:t>other</w:t>
      </w:r>
      <w:r>
        <w:rPr>
          <w:color w:val="231F20"/>
          <w:spacing w:val="-4"/>
        </w:rPr>
        <w:t> </w:t>
      </w:r>
      <w:r>
        <w:rPr>
          <w:color w:val="231F20"/>
        </w:rPr>
        <w:t>post</w:t>
      </w:r>
      <w:r>
        <w:rPr>
          <w:color w:val="231F20"/>
          <w:spacing w:val="22"/>
        </w:rPr>
        <w:t> </w:t>
      </w:r>
      <w:r>
        <w:rPr>
          <w:color w:val="231F20"/>
          <w:spacing w:val="-1"/>
        </w:rPr>
        <w:t>school</w:t>
      </w:r>
      <w:r>
        <w:rPr>
          <w:color w:val="231F20"/>
          <w:spacing w:val="-4"/>
        </w:rPr>
        <w:t> </w:t>
      </w:r>
      <w:r>
        <w:rPr>
          <w:color w:val="231F20"/>
        </w:rPr>
        <w:t>education</w:t>
      </w:r>
      <w:r>
        <w:rPr>
          <w:color w:val="231F20"/>
          <w:spacing w:val="-4"/>
        </w:rPr>
        <w:t> </w:t>
      </w:r>
      <w:r>
        <w:rPr>
          <w:color w:val="231F20"/>
        </w:rPr>
        <w:t>or</w:t>
      </w:r>
      <w:r>
        <w:rPr>
          <w:color w:val="231F20"/>
          <w:spacing w:val="-3"/>
        </w:rPr>
        <w:t> </w:t>
      </w:r>
      <w:r>
        <w:rPr>
          <w:color w:val="231F20"/>
        </w:rPr>
        <w:t>employment.</w:t>
      </w:r>
      <w:r>
        <w:rPr>
          <w:color w:val="231F20"/>
          <w:spacing w:val="-4"/>
        </w:rPr>
        <w:t> </w:t>
      </w:r>
      <w:r>
        <w:rPr>
          <w:color w:val="231F20"/>
        </w:rPr>
        <w:t>There</w:t>
      </w:r>
      <w:r>
        <w:rPr>
          <w:color w:val="231F20"/>
          <w:spacing w:val="-3"/>
        </w:rPr>
        <w:t> </w:t>
      </w:r>
      <w:r>
        <w:rPr>
          <w:color w:val="231F20"/>
          <w:spacing w:val="-1"/>
        </w:rPr>
        <w:t>is</w:t>
      </w:r>
      <w:r>
        <w:rPr>
          <w:color w:val="231F20"/>
          <w:spacing w:val="21"/>
        </w:rPr>
        <w:t> </w:t>
      </w:r>
      <w:r>
        <w:rPr>
          <w:color w:val="231F20"/>
        </w:rPr>
        <w:t>currently</w:t>
      </w:r>
      <w:r>
        <w:rPr>
          <w:color w:val="231F20"/>
          <w:spacing w:val="-10"/>
        </w:rPr>
        <w:t> </w:t>
      </w:r>
      <w:r>
        <w:rPr>
          <w:color w:val="231F20"/>
          <w:spacing w:val="-1"/>
        </w:rPr>
        <w:t>limited</w:t>
      </w:r>
      <w:r>
        <w:rPr>
          <w:color w:val="231F20"/>
          <w:spacing w:val="-8"/>
        </w:rPr>
        <w:t> </w:t>
      </w:r>
      <w:r>
        <w:rPr>
          <w:color w:val="231F20"/>
        </w:rPr>
        <w:t>government</w:t>
      </w:r>
      <w:r>
        <w:rPr>
          <w:color w:val="231F20"/>
          <w:spacing w:val="-9"/>
        </w:rPr>
        <w:t> </w:t>
      </w:r>
      <w:r>
        <w:rPr>
          <w:color w:val="231F20"/>
        </w:rPr>
        <w:t>funding</w:t>
      </w:r>
      <w:r>
        <w:rPr>
          <w:color w:val="231F20"/>
          <w:spacing w:val="-9"/>
        </w:rPr>
        <w:t> </w:t>
      </w:r>
      <w:r>
        <w:rPr>
          <w:color w:val="231F20"/>
        </w:rPr>
        <w:t>available</w:t>
      </w:r>
      <w:r>
        <w:rPr>
          <w:color w:val="231F20"/>
          <w:spacing w:val="22"/>
          <w:w w:val="99"/>
        </w:rPr>
        <w:t> </w:t>
      </w:r>
      <w:r>
        <w:rPr>
          <w:color w:val="231F20"/>
        </w:rPr>
        <w:t>for</w:t>
      </w:r>
      <w:r>
        <w:rPr>
          <w:color w:val="231F20"/>
          <w:spacing w:val="-3"/>
        </w:rPr>
        <w:t> </w:t>
      </w:r>
      <w:r>
        <w:rPr>
          <w:color w:val="231F20"/>
        </w:rPr>
        <w:t>these</w:t>
      </w:r>
      <w:r>
        <w:rPr>
          <w:color w:val="231F20"/>
          <w:spacing w:val="-4"/>
        </w:rPr>
        <w:t> </w:t>
      </w:r>
      <w:r>
        <w:rPr>
          <w:color w:val="231F20"/>
          <w:spacing w:val="-1"/>
        </w:rPr>
        <w:t>support</w:t>
      </w:r>
      <w:r>
        <w:rPr>
          <w:color w:val="231F20"/>
          <w:spacing w:val="-2"/>
        </w:rPr>
        <w:t> </w:t>
      </w:r>
      <w:r>
        <w:rPr>
          <w:color w:val="231F20"/>
          <w:spacing w:val="-1"/>
        </w:rPr>
        <w:t>services</w:t>
      </w:r>
      <w:r>
        <w:rPr>
          <w:color w:val="231F20"/>
          <w:spacing w:val="-3"/>
        </w:rPr>
        <w:t> </w:t>
      </w:r>
      <w:r>
        <w:rPr>
          <w:color w:val="231F20"/>
        </w:rPr>
        <w:t>and</w:t>
      </w:r>
      <w:r>
        <w:rPr>
          <w:color w:val="231F20"/>
          <w:spacing w:val="-4"/>
        </w:rPr>
        <w:t> </w:t>
      </w:r>
      <w:r>
        <w:rPr>
          <w:color w:val="231F20"/>
        </w:rPr>
        <w:t>this</w:t>
      </w:r>
      <w:r>
        <w:rPr>
          <w:color w:val="231F20"/>
          <w:spacing w:val="-3"/>
        </w:rPr>
        <w:t> </w:t>
      </w:r>
      <w:r>
        <w:rPr>
          <w:color w:val="231F20"/>
          <w:spacing w:val="-1"/>
        </w:rPr>
        <w:t>is</w:t>
      </w:r>
      <w:r>
        <w:rPr>
          <w:color w:val="231F20"/>
          <w:spacing w:val="-4"/>
        </w:rPr>
        <w:t> </w:t>
      </w:r>
      <w:r>
        <w:rPr>
          <w:color w:val="231F20"/>
          <w:spacing w:val="-1"/>
        </w:rPr>
        <w:t>largely</w:t>
      </w:r>
      <w:r>
        <w:rPr>
          <w:color w:val="231F20"/>
          <w:spacing w:val="23"/>
          <w:w w:val="99"/>
        </w:rPr>
        <w:t> </w:t>
      </w:r>
      <w:r>
        <w:rPr>
          <w:color w:val="231F20"/>
        </w:rPr>
        <w:t>funded</w:t>
      </w:r>
      <w:r>
        <w:rPr>
          <w:color w:val="231F20"/>
          <w:spacing w:val="-8"/>
        </w:rPr>
        <w:t> </w:t>
      </w:r>
      <w:r>
        <w:rPr>
          <w:color w:val="231F20"/>
        </w:rPr>
        <w:t>by</w:t>
      </w:r>
      <w:r>
        <w:rPr>
          <w:color w:val="231F20"/>
          <w:spacing w:val="-7"/>
        </w:rPr>
        <w:t> </w:t>
      </w:r>
      <w:r>
        <w:rPr>
          <w:color w:val="231F20"/>
        </w:rPr>
        <w:t>the</w:t>
      </w:r>
      <w:r>
        <w:rPr>
          <w:color w:val="231F20"/>
          <w:spacing w:val="-8"/>
        </w:rPr>
        <w:t> </w:t>
      </w:r>
      <w:r>
        <w:rPr>
          <w:color w:val="231F20"/>
        </w:rPr>
        <w:t>boarding</w:t>
      </w:r>
      <w:r>
        <w:rPr>
          <w:color w:val="231F20"/>
          <w:spacing w:val="-7"/>
        </w:rPr>
        <w:t> </w:t>
      </w:r>
      <w:r>
        <w:rPr>
          <w:color w:val="231F20"/>
        </w:rPr>
        <w:t>providers.</w:t>
      </w:r>
      <w:r>
        <w:rPr/>
      </w:r>
    </w:p>
    <w:p>
      <w:pPr>
        <w:pStyle w:val="BodyText"/>
        <w:spacing w:line="250" w:lineRule="exact" w:before="113"/>
        <w:ind w:right="16"/>
        <w:jc w:val="left"/>
        <w:rPr>
          <w:rFonts w:ascii="Segoe UI" w:hAnsi="Segoe UI" w:cs="Segoe UI" w:eastAsia="Segoe UI"/>
        </w:rPr>
      </w:pPr>
      <w:r>
        <w:rPr>
          <w:color w:val="231F20"/>
          <w:spacing w:val="-1"/>
        </w:rPr>
        <w:t>Boarding</w:t>
      </w:r>
      <w:r>
        <w:rPr>
          <w:color w:val="231F20"/>
          <w:spacing w:val="-8"/>
        </w:rPr>
        <w:t> </w:t>
      </w:r>
      <w:r>
        <w:rPr>
          <w:color w:val="231F20"/>
        </w:rPr>
        <w:t>providers,</w:t>
      </w:r>
      <w:r>
        <w:rPr>
          <w:color w:val="231F20"/>
          <w:spacing w:val="-9"/>
        </w:rPr>
        <w:t> </w:t>
      </w:r>
      <w:r>
        <w:rPr>
          <w:color w:val="231F20"/>
          <w:spacing w:val="-1"/>
        </w:rPr>
        <w:t>schools,</w:t>
      </w:r>
      <w:r>
        <w:rPr>
          <w:color w:val="231F20"/>
          <w:spacing w:val="-7"/>
        </w:rPr>
        <w:t> </w:t>
      </w:r>
      <w:r>
        <w:rPr>
          <w:color w:val="231F20"/>
        </w:rPr>
        <w:t>private</w:t>
      </w:r>
      <w:r>
        <w:rPr>
          <w:color w:val="231F20"/>
          <w:spacing w:val="23"/>
          <w:w w:val="99"/>
        </w:rPr>
        <w:t> </w:t>
      </w:r>
      <w:r>
        <w:rPr>
          <w:color w:val="231F20"/>
        </w:rPr>
        <w:t>organisations,</w:t>
      </w:r>
      <w:r>
        <w:rPr>
          <w:color w:val="231F20"/>
          <w:spacing w:val="-5"/>
        </w:rPr>
        <w:t> </w:t>
      </w:r>
      <w:r>
        <w:rPr>
          <w:color w:val="231F20"/>
          <w:spacing w:val="-1"/>
        </w:rPr>
        <w:t>such</w:t>
      </w:r>
      <w:r>
        <w:rPr>
          <w:color w:val="231F20"/>
          <w:spacing w:val="-4"/>
        </w:rPr>
        <w:t> </w:t>
      </w:r>
      <w:r>
        <w:rPr>
          <w:color w:val="231F20"/>
        </w:rPr>
        <w:t>as</w:t>
      </w:r>
      <w:r>
        <w:rPr>
          <w:color w:val="231F20"/>
          <w:spacing w:val="-5"/>
        </w:rPr>
        <w:t> </w:t>
      </w:r>
      <w:r>
        <w:rPr>
          <w:color w:val="231F20"/>
          <w:spacing w:val="-1"/>
        </w:rPr>
        <w:t>IAS</w:t>
      </w:r>
      <w:r>
        <w:rPr>
          <w:color w:val="231F20"/>
          <w:spacing w:val="-3"/>
        </w:rPr>
        <w:t> </w:t>
      </w:r>
      <w:r>
        <w:rPr>
          <w:color w:val="231F20"/>
        </w:rPr>
        <w:t>funded</w:t>
      </w:r>
      <w:r>
        <w:rPr>
          <w:color w:val="231F20"/>
          <w:spacing w:val="-4"/>
        </w:rPr>
        <w:t> </w:t>
      </w:r>
      <w:r>
        <w:rPr>
          <w:color w:val="231F20"/>
          <w:spacing w:val="-1"/>
        </w:rPr>
        <w:t>scholarship</w:t>
      </w:r>
      <w:r>
        <w:rPr>
          <w:color w:val="231F20"/>
          <w:spacing w:val="22"/>
        </w:rPr>
        <w:t> </w:t>
      </w:r>
      <w:r>
        <w:rPr>
          <w:color w:val="231F20"/>
          <w:spacing w:val="-1"/>
        </w:rPr>
        <w:t>providers</w:t>
      </w:r>
      <w:r>
        <w:rPr>
          <w:rFonts w:ascii="Segoe UI Semibold"/>
          <w:b/>
          <w:color w:val="231F20"/>
          <w:spacing w:val="-1"/>
          <w:position w:val="7"/>
          <w:sz w:val="11"/>
        </w:rPr>
        <w:t>79</w:t>
      </w:r>
      <w:r>
        <w:rPr>
          <w:color w:val="231F20"/>
          <w:spacing w:val="-1"/>
        </w:rPr>
        <w:t>,</w:t>
      </w:r>
      <w:r>
        <w:rPr>
          <w:color w:val="231F20"/>
          <w:spacing w:val="-9"/>
        </w:rPr>
        <w:t> </w:t>
      </w:r>
      <w:r>
        <w:rPr>
          <w:color w:val="231F20"/>
        </w:rPr>
        <w:t>government</w:t>
      </w:r>
      <w:r>
        <w:rPr>
          <w:color w:val="231F20"/>
          <w:spacing w:val="-10"/>
        </w:rPr>
        <w:t> </w:t>
      </w:r>
      <w:r>
        <w:rPr>
          <w:color w:val="231F20"/>
        </w:rPr>
        <w:t>agencies,</w:t>
      </w:r>
      <w:r>
        <w:rPr>
          <w:color w:val="231F20"/>
          <w:spacing w:val="-9"/>
        </w:rPr>
        <w:t> </w:t>
      </w:r>
      <w:r>
        <w:rPr>
          <w:color w:val="231F20"/>
        </w:rPr>
        <w:t>health</w:t>
      </w:r>
      <w:r>
        <w:rPr>
          <w:color w:val="231F20"/>
          <w:spacing w:val="22"/>
          <w:w w:val="99"/>
        </w:rPr>
        <w:t> </w:t>
      </w:r>
      <w:r>
        <w:rPr>
          <w:color w:val="231F20"/>
          <w:spacing w:val="-1"/>
        </w:rPr>
        <w:t>services</w:t>
      </w:r>
      <w:r>
        <w:rPr>
          <w:color w:val="231F20"/>
          <w:spacing w:val="-4"/>
        </w:rPr>
        <w:t> </w:t>
      </w:r>
      <w:r>
        <w:rPr>
          <w:color w:val="231F20"/>
        </w:rPr>
        <w:t>and</w:t>
      </w:r>
      <w:r>
        <w:rPr>
          <w:color w:val="231F20"/>
          <w:spacing w:val="-5"/>
        </w:rPr>
        <w:t> </w:t>
      </w:r>
      <w:r>
        <w:rPr>
          <w:color w:val="231F20"/>
        </w:rPr>
        <w:t>community</w:t>
      </w:r>
      <w:r>
        <w:rPr>
          <w:color w:val="231F20"/>
          <w:spacing w:val="-5"/>
        </w:rPr>
        <w:t> </w:t>
      </w:r>
      <w:r>
        <w:rPr>
          <w:color w:val="231F20"/>
        </w:rPr>
        <w:t>organisations</w:t>
      </w:r>
      <w:r>
        <w:rPr>
          <w:color w:val="231F20"/>
          <w:spacing w:val="-5"/>
        </w:rPr>
        <w:t> </w:t>
      </w:r>
      <w:r>
        <w:rPr>
          <w:color w:val="231F20"/>
        </w:rPr>
        <w:t>all</w:t>
      </w:r>
      <w:r>
        <w:rPr>
          <w:color w:val="231F20"/>
          <w:spacing w:val="22"/>
        </w:rPr>
        <w:t> </w:t>
      </w:r>
      <w:r>
        <w:rPr>
          <w:color w:val="231F20"/>
        </w:rPr>
        <w:t>provide</w:t>
      </w:r>
      <w:r>
        <w:rPr>
          <w:color w:val="231F20"/>
          <w:spacing w:val="-7"/>
        </w:rPr>
        <w:t> </w:t>
      </w:r>
      <w:r>
        <w:rPr>
          <w:color w:val="231F20"/>
          <w:spacing w:val="-1"/>
        </w:rPr>
        <w:t>support</w:t>
      </w:r>
      <w:r>
        <w:rPr>
          <w:color w:val="231F20"/>
          <w:spacing w:val="-6"/>
        </w:rPr>
        <w:t> </w:t>
      </w:r>
      <w:r>
        <w:rPr>
          <w:color w:val="231F20"/>
          <w:spacing w:val="-1"/>
        </w:rPr>
        <w:t>services</w:t>
      </w:r>
      <w:r>
        <w:rPr>
          <w:color w:val="231F20"/>
          <w:spacing w:val="-6"/>
        </w:rPr>
        <w:t> </w:t>
      </w:r>
      <w:r>
        <w:rPr>
          <w:color w:val="231F20"/>
        </w:rPr>
        <w:t>for</w:t>
      </w:r>
      <w:r>
        <w:rPr>
          <w:color w:val="231F20"/>
          <w:spacing w:val="-5"/>
        </w:rPr>
        <w:t> </w:t>
      </w:r>
      <w:r>
        <w:rPr>
          <w:color w:val="231F20"/>
        </w:rPr>
        <w:t>Aboriginal</w:t>
      </w:r>
      <w:r>
        <w:rPr>
          <w:color w:val="231F20"/>
          <w:spacing w:val="-6"/>
        </w:rPr>
        <w:t> </w:t>
      </w:r>
      <w:r>
        <w:rPr>
          <w:color w:val="231F20"/>
        </w:rPr>
        <w:t>and</w:t>
      </w:r>
      <w:r>
        <w:rPr>
          <w:color w:val="231F20"/>
          <w:spacing w:val="23"/>
          <w:w w:val="99"/>
        </w:rPr>
        <w:t> </w:t>
      </w:r>
      <w:r>
        <w:rPr>
          <w:color w:val="231F20"/>
          <w:spacing w:val="-5"/>
        </w:rPr>
        <w:t>Torres </w:t>
      </w:r>
      <w:r>
        <w:rPr>
          <w:color w:val="231F20"/>
          <w:spacing w:val="-2"/>
        </w:rPr>
        <w:t>Strait</w:t>
      </w:r>
      <w:r>
        <w:rPr>
          <w:color w:val="231F20"/>
          <w:spacing w:val="-5"/>
        </w:rPr>
        <w:t> </w:t>
      </w:r>
      <w:r>
        <w:rPr>
          <w:color w:val="231F20"/>
          <w:spacing w:val="-1"/>
        </w:rPr>
        <w:t>Islander</w:t>
      </w:r>
      <w:r>
        <w:rPr>
          <w:color w:val="231F20"/>
          <w:spacing w:val="-4"/>
        </w:rPr>
        <w:t> </w:t>
      </w:r>
      <w:r>
        <w:rPr>
          <w:color w:val="231F20"/>
        </w:rPr>
        <w:t>boarders</w:t>
      </w:r>
      <w:r>
        <w:rPr>
          <w:color w:val="231F20"/>
          <w:spacing w:val="-5"/>
        </w:rPr>
        <w:t> </w:t>
      </w:r>
      <w:r>
        <w:rPr>
          <w:color w:val="231F20"/>
        </w:rPr>
        <w:t>and</w:t>
      </w:r>
      <w:r>
        <w:rPr>
          <w:color w:val="231F20"/>
          <w:spacing w:val="-5"/>
        </w:rPr>
        <w:t> </w:t>
      </w:r>
      <w:r>
        <w:rPr>
          <w:color w:val="231F20"/>
        </w:rPr>
        <w:t>their</w:t>
      </w:r>
      <w:r>
        <w:rPr>
          <w:color w:val="231F20"/>
          <w:spacing w:val="-6"/>
        </w:rPr>
        <w:t> </w:t>
      </w:r>
      <w:r>
        <w:rPr>
          <w:color w:val="231F20"/>
        </w:rPr>
        <w:t>families.</w:t>
      </w:r>
      <w:r>
        <w:rPr>
          <w:color w:val="231F20"/>
          <w:spacing w:val="21"/>
        </w:rPr>
        <w:t> </w:t>
      </w:r>
      <w:r>
        <w:rPr>
          <w:color w:val="231F20"/>
          <w:spacing w:val="-1"/>
        </w:rPr>
        <w:t>Current</w:t>
      </w:r>
      <w:r>
        <w:rPr>
          <w:color w:val="231F20"/>
          <w:spacing w:val="-4"/>
        </w:rPr>
        <w:t> </w:t>
      </w:r>
      <w:r>
        <w:rPr>
          <w:color w:val="231F20"/>
          <w:spacing w:val="-1"/>
        </w:rPr>
        <w:t>support</w:t>
      </w:r>
      <w:r>
        <w:rPr>
          <w:color w:val="231F20"/>
          <w:spacing w:val="-4"/>
        </w:rPr>
        <w:t> </w:t>
      </w:r>
      <w:r>
        <w:rPr>
          <w:color w:val="231F20"/>
          <w:spacing w:val="-1"/>
        </w:rPr>
        <w:t>services</w:t>
      </w:r>
      <w:r>
        <w:rPr>
          <w:color w:val="231F20"/>
          <w:spacing w:val="-4"/>
        </w:rPr>
        <w:t> </w:t>
      </w:r>
      <w:r>
        <w:rPr>
          <w:color w:val="231F20"/>
        </w:rPr>
        <w:t>for</w:t>
      </w:r>
      <w:r>
        <w:rPr>
          <w:color w:val="231F20"/>
          <w:spacing w:val="-4"/>
        </w:rPr>
        <w:t> </w:t>
      </w:r>
      <w:r>
        <w:rPr>
          <w:color w:val="231F20"/>
          <w:spacing w:val="-1"/>
        </w:rPr>
        <w:t>students</w:t>
      </w:r>
      <w:r>
        <w:rPr>
          <w:color w:val="231F20"/>
          <w:spacing w:val="-4"/>
        </w:rPr>
        <w:t> </w:t>
      </w:r>
      <w:r>
        <w:rPr>
          <w:color w:val="231F20"/>
        </w:rPr>
        <w:t>and</w:t>
      </w:r>
      <w:r>
        <w:rPr>
          <w:color w:val="231F20"/>
          <w:spacing w:val="25"/>
          <w:w w:val="99"/>
        </w:rPr>
        <w:t> </w:t>
      </w:r>
      <w:r>
        <w:rPr>
          <w:color w:val="231F20"/>
        </w:rPr>
        <w:t>families,</w:t>
      </w:r>
      <w:r>
        <w:rPr>
          <w:color w:val="231F20"/>
          <w:spacing w:val="-5"/>
        </w:rPr>
        <w:t> </w:t>
      </w:r>
      <w:r>
        <w:rPr>
          <w:color w:val="231F20"/>
        </w:rPr>
        <w:t>while</w:t>
      </w:r>
      <w:r>
        <w:rPr>
          <w:color w:val="231F20"/>
          <w:spacing w:val="-5"/>
        </w:rPr>
        <w:t> </w:t>
      </w:r>
      <w:r>
        <w:rPr>
          <w:color w:val="231F20"/>
          <w:spacing w:val="-1"/>
        </w:rPr>
        <w:t>important,</w:t>
      </w:r>
      <w:r>
        <w:rPr>
          <w:color w:val="231F20"/>
          <w:spacing w:val="-4"/>
        </w:rPr>
        <w:t> </w:t>
      </w:r>
      <w:r>
        <w:rPr>
          <w:color w:val="231F20"/>
        </w:rPr>
        <w:t>can</w:t>
      </w:r>
      <w:r>
        <w:rPr>
          <w:color w:val="231F20"/>
          <w:spacing w:val="-4"/>
        </w:rPr>
        <w:t> </w:t>
      </w:r>
      <w:r>
        <w:rPr>
          <w:color w:val="231F20"/>
        </w:rPr>
        <w:t>be</w:t>
      </w:r>
      <w:r>
        <w:rPr>
          <w:color w:val="231F20"/>
          <w:spacing w:val="-4"/>
        </w:rPr>
        <w:t> </w:t>
      </w:r>
      <w:r>
        <w:rPr>
          <w:color w:val="231F20"/>
          <w:spacing w:val="-1"/>
        </w:rPr>
        <w:t>inconsistent,</w:t>
      </w:r>
      <w:r>
        <w:rPr>
          <w:color w:val="231F20"/>
          <w:spacing w:val="21"/>
        </w:rPr>
        <w:t> </w:t>
      </w:r>
      <w:r>
        <w:rPr>
          <w:color w:val="231F20"/>
        </w:rPr>
        <w:t>disjointed</w:t>
      </w:r>
      <w:r>
        <w:rPr>
          <w:color w:val="231F20"/>
          <w:spacing w:val="-6"/>
        </w:rPr>
        <w:t> </w:t>
      </w:r>
      <w:r>
        <w:rPr>
          <w:color w:val="231F20"/>
        </w:rPr>
        <w:t>and</w:t>
      </w:r>
      <w:r>
        <w:rPr>
          <w:color w:val="231F20"/>
          <w:spacing w:val="-5"/>
        </w:rPr>
        <w:t> </w:t>
      </w:r>
      <w:r>
        <w:rPr>
          <w:color w:val="231F20"/>
        </w:rPr>
        <w:t>confusing</w:t>
      </w:r>
      <w:r>
        <w:rPr>
          <w:color w:val="231F20"/>
          <w:spacing w:val="-6"/>
        </w:rPr>
        <w:t> </w:t>
      </w:r>
      <w:r>
        <w:rPr>
          <w:color w:val="231F20"/>
        </w:rPr>
        <w:t>as</w:t>
      </w:r>
      <w:r>
        <w:rPr>
          <w:color w:val="231F20"/>
          <w:spacing w:val="-5"/>
        </w:rPr>
        <w:t> </w:t>
      </w:r>
      <w:r>
        <w:rPr>
          <w:color w:val="231F20"/>
        </w:rPr>
        <w:t>they</w:t>
      </w:r>
      <w:r>
        <w:rPr>
          <w:color w:val="231F20"/>
          <w:spacing w:val="-6"/>
        </w:rPr>
        <w:t> </w:t>
      </w:r>
      <w:r>
        <w:rPr>
          <w:color w:val="231F20"/>
        </w:rPr>
        <w:t>are</w:t>
      </w:r>
      <w:r>
        <w:rPr>
          <w:color w:val="231F20"/>
          <w:spacing w:val="-5"/>
        </w:rPr>
        <w:t> </w:t>
      </w:r>
      <w:r>
        <w:rPr>
          <w:color w:val="231F20"/>
        </w:rPr>
        <w:t>delivered</w:t>
      </w:r>
      <w:r>
        <w:rPr>
          <w:color w:val="231F20"/>
          <w:w w:val="99"/>
        </w:rPr>
        <w:t> </w:t>
      </w:r>
      <w:r>
        <w:rPr>
          <w:rFonts w:ascii="Segoe UI"/>
          <w:color w:val="231F20"/>
        </w:rPr>
        <w:t>by</w:t>
      </w:r>
      <w:r>
        <w:rPr>
          <w:rFonts w:ascii="Segoe UI"/>
          <w:color w:val="231F20"/>
          <w:spacing w:val="-4"/>
        </w:rPr>
        <w:t> </w:t>
      </w:r>
      <w:r>
        <w:rPr>
          <w:rFonts w:ascii="Segoe UI"/>
          <w:color w:val="231F20"/>
        </w:rPr>
        <w:t>different</w:t>
      </w:r>
      <w:r>
        <w:rPr>
          <w:rFonts w:ascii="Segoe UI"/>
          <w:color w:val="231F20"/>
          <w:spacing w:val="-4"/>
        </w:rPr>
        <w:t> </w:t>
      </w:r>
      <w:r>
        <w:rPr>
          <w:rFonts w:ascii="Segoe UI"/>
          <w:color w:val="231F20"/>
        </w:rPr>
        <w:t>parties.</w:t>
      </w:r>
      <w:r>
        <w:rPr>
          <w:rFonts w:ascii="Segoe UI"/>
        </w:rPr>
      </w:r>
    </w:p>
    <w:p>
      <w:pPr>
        <w:pStyle w:val="BodyText"/>
        <w:spacing w:line="250" w:lineRule="exact" w:before="113"/>
        <w:ind w:right="14"/>
        <w:jc w:val="left"/>
      </w:pPr>
      <w:r>
        <w:rPr/>
        <w:pict>
          <v:group style="position:absolute;margin-left:511.236115pt;margin-top:105.569908pt;width:.1pt;height:.1pt;mso-position-horizontal-relative:page;mso-position-vertical-relative:paragraph;z-index:-227056" coordorigin="10225,2111" coordsize="2,2">
            <v:shape style="position:absolute;left:10225;top:2111;width:2;height:2" coordorigin="10225,2111" coordsize="0,0" path="m10225,2111l10225,2111e" filled="false" stroked="true" strokeweight="2pt" strokecolor="#355f92">
              <v:path arrowok="t"/>
            </v:shape>
            <w10:wrap type="none"/>
          </v:group>
        </w:pict>
      </w:r>
      <w:r>
        <w:rPr/>
        <w:pict>
          <v:group style="position:absolute;margin-left:71.866096pt;margin-top:105.569908pt;width:.1pt;height:.1pt;mso-position-horizontal-relative:page;mso-position-vertical-relative:paragraph;z-index:-227032" coordorigin="1437,2111" coordsize="2,2">
            <v:shape style="position:absolute;left:1437;top:2111;width:2;height:2" coordorigin="1437,2111" coordsize="0,0" path="m1437,2111l1437,2111e" filled="false" stroked="true" strokeweight="2pt" strokecolor="#355f92">
              <v:path arrowok="t"/>
            </v:shape>
            <w10:wrap type="none"/>
          </v:group>
        </w:pict>
      </w:r>
      <w:r>
        <w:rPr>
          <w:rFonts w:ascii="Segoe UI"/>
          <w:color w:val="231F20"/>
        </w:rPr>
        <w:t>Specific needs based funding for support </w:t>
      </w:r>
      <w:r>
        <w:rPr>
          <w:color w:val="231F20"/>
          <w:spacing w:val="-1"/>
        </w:rPr>
        <w:t>services</w:t>
      </w:r>
      <w:r>
        <w:rPr>
          <w:color w:val="231F20"/>
          <w:spacing w:val="-5"/>
        </w:rPr>
        <w:t> </w:t>
      </w:r>
      <w:r>
        <w:rPr>
          <w:color w:val="231F20"/>
        </w:rPr>
        <w:t>would</w:t>
      </w:r>
      <w:r>
        <w:rPr>
          <w:color w:val="231F20"/>
          <w:spacing w:val="-5"/>
        </w:rPr>
        <w:t> </w:t>
      </w:r>
      <w:r>
        <w:rPr>
          <w:color w:val="231F20"/>
        </w:rPr>
        <w:t>deliver</w:t>
      </w:r>
      <w:r>
        <w:rPr>
          <w:color w:val="231F20"/>
          <w:spacing w:val="-6"/>
        </w:rPr>
        <w:t> </w:t>
      </w:r>
      <w:r>
        <w:rPr>
          <w:color w:val="231F20"/>
          <w:spacing w:val="-1"/>
        </w:rPr>
        <w:t>improved</w:t>
      </w:r>
      <w:r>
        <w:rPr>
          <w:color w:val="231F20"/>
          <w:spacing w:val="-4"/>
        </w:rPr>
        <w:t> </w:t>
      </w:r>
      <w:r>
        <w:rPr>
          <w:color w:val="231F20"/>
        </w:rPr>
        <w:t>outcomes</w:t>
      </w:r>
      <w:r>
        <w:rPr>
          <w:color w:val="231F20"/>
          <w:spacing w:val="-6"/>
        </w:rPr>
        <w:t> </w:t>
      </w:r>
      <w:r>
        <w:rPr>
          <w:color w:val="231F20"/>
        </w:rPr>
        <w:t>for</w:t>
      </w:r>
      <w:r>
        <w:rPr>
          <w:color w:val="231F20"/>
          <w:spacing w:val="23"/>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boarders</w:t>
      </w:r>
      <w:r>
        <w:rPr>
          <w:color w:val="231F20"/>
          <w:spacing w:val="21"/>
          <w:w w:val="99"/>
        </w:rPr>
        <w:t> </w:t>
      </w:r>
      <w:r>
        <w:rPr>
          <w:color w:val="231F20"/>
        </w:rPr>
        <w:t>and</w:t>
      </w:r>
      <w:r>
        <w:rPr>
          <w:color w:val="231F20"/>
          <w:spacing w:val="-8"/>
        </w:rPr>
        <w:t> </w:t>
      </w:r>
      <w:r>
        <w:rPr>
          <w:color w:val="231F20"/>
        </w:rPr>
        <w:t>provide</w:t>
      </w:r>
      <w:r>
        <w:rPr>
          <w:color w:val="231F20"/>
          <w:spacing w:val="-8"/>
        </w:rPr>
        <w:t> </w:t>
      </w:r>
      <w:r>
        <w:rPr>
          <w:color w:val="231F20"/>
        </w:rPr>
        <w:t>greater</w:t>
      </w:r>
      <w:r>
        <w:rPr>
          <w:color w:val="231F20"/>
          <w:spacing w:val="-8"/>
        </w:rPr>
        <w:t> </w:t>
      </w:r>
      <w:r>
        <w:rPr>
          <w:color w:val="231F20"/>
        </w:rPr>
        <w:t>revenue</w:t>
      </w:r>
      <w:r>
        <w:rPr>
          <w:color w:val="231F20"/>
          <w:spacing w:val="-7"/>
        </w:rPr>
        <w:t> </w:t>
      </w:r>
      <w:r>
        <w:rPr>
          <w:color w:val="231F20"/>
        </w:rPr>
        <w:t>certainty</w:t>
      </w:r>
      <w:r>
        <w:rPr>
          <w:color w:val="231F20"/>
          <w:spacing w:val="-8"/>
        </w:rPr>
        <w:t> </w:t>
      </w:r>
      <w:r>
        <w:rPr>
          <w:color w:val="231F20"/>
        </w:rPr>
        <w:t>for</w:t>
      </w:r>
      <w:r>
        <w:rPr>
          <w:color w:val="231F20"/>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r>
    </w:p>
    <w:p>
      <w:pPr>
        <w:pStyle w:val="BodyText"/>
        <w:spacing w:line="250" w:lineRule="exact" w:before="62"/>
        <w:ind w:right="193"/>
        <w:jc w:val="left"/>
      </w:pPr>
      <w:r>
        <w:rPr/>
        <w:br w:type="column"/>
      </w:r>
      <w:r>
        <w:rPr>
          <w:color w:val="231F20"/>
          <w:spacing w:val="-1"/>
        </w:rPr>
        <w:t>Funding</w:t>
      </w:r>
      <w:r>
        <w:rPr>
          <w:color w:val="231F20"/>
          <w:spacing w:val="-6"/>
        </w:rPr>
        <w:t> </w:t>
      </w:r>
      <w:r>
        <w:rPr>
          <w:color w:val="231F20"/>
        </w:rPr>
        <w:t>allocations</w:t>
      </w:r>
      <w:r>
        <w:rPr>
          <w:color w:val="231F20"/>
          <w:spacing w:val="-7"/>
        </w:rPr>
        <w:t> </w:t>
      </w:r>
      <w:r>
        <w:rPr>
          <w:color w:val="231F20"/>
        </w:rPr>
        <w:t>to</w:t>
      </w:r>
      <w:r>
        <w:rPr>
          <w:color w:val="231F20"/>
          <w:spacing w:val="-5"/>
        </w:rPr>
        <w:t> </w:t>
      </w:r>
      <w:r>
        <w:rPr>
          <w:color w:val="231F20"/>
        </w:rPr>
        <w:t>boarding</w:t>
      </w:r>
      <w:r>
        <w:rPr>
          <w:color w:val="231F20"/>
          <w:spacing w:val="-7"/>
        </w:rPr>
        <w:t> </w:t>
      </w:r>
      <w:r>
        <w:rPr>
          <w:color w:val="231F20"/>
        </w:rPr>
        <w:t>providers</w:t>
      </w:r>
      <w:r>
        <w:rPr>
          <w:color w:val="231F20"/>
          <w:spacing w:val="-6"/>
        </w:rPr>
        <w:t> </w:t>
      </w:r>
      <w:r>
        <w:rPr>
          <w:color w:val="231F20"/>
        </w:rPr>
        <w:t>for</w:t>
      </w:r>
      <w:r>
        <w:rPr>
          <w:color w:val="231F20"/>
          <w:spacing w:val="23"/>
          <w:w w:val="99"/>
        </w:rPr>
        <w:t> </w:t>
      </w:r>
      <w:r>
        <w:rPr>
          <w:color w:val="231F20"/>
          <w:spacing w:val="-1"/>
        </w:rPr>
        <w:t>support</w:t>
      </w:r>
      <w:r>
        <w:rPr>
          <w:color w:val="231F20"/>
          <w:spacing w:val="-3"/>
        </w:rPr>
        <w:t> </w:t>
      </w:r>
      <w:r>
        <w:rPr>
          <w:color w:val="231F20"/>
          <w:spacing w:val="-1"/>
        </w:rPr>
        <w:t>services</w:t>
      </w:r>
      <w:r>
        <w:rPr>
          <w:color w:val="231F20"/>
          <w:spacing w:val="-3"/>
        </w:rPr>
        <w:t> </w:t>
      </w:r>
      <w:r>
        <w:rPr>
          <w:color w:val="231F20"/>
        </w:rPr>
        <w:t>for</w:t>
      </w:r>
      <w:r>
        <w:rPr>
          <w:color w:val="231F20"/>
          <w:spacing w:val="-2"/>
        </w:rPr>
        <w:t> </w:t>
      </w:r>
      <w:r>
        <w:rPr>
          <w:color w:val="231F20"/>
        </w:rPr>
        <w:t>a</w:t>
      </w:r>
      <w:r>
        <w:rPr>
          <w:color w:val="231F20"/>
          <w:spacing w:val="-3"/>
        </w:rPr>
        <w:t> </w:t>
      </w:r>
      <w:r>
        <w:rPr>
          <w:color w:val="231F20"/>
          <w:spacing w:val="-1"/>
        </w:rPr>
        <w:t>schooling</w:t>
      </w:r>
      <w:r>
        <w:rPr>
          <w:color w:val="231F20"/>
          <w:spacing w:val="-2"/>
        </w:rPr>
        <w:t> </w:t>
      </w:r>
      <w:r>
        <w:rPr>
          <w:color w:val="231F20"/>
        </w:rPr>
        <w:t>year</w:t>
      </w:r>
      <w:r>
        <w:rPr>
          <w:color w:val="231F20"/>
          <w:spacing w:val="-3"/>
        </w:rPr>
        <w:t> </w:t>
      </w:r>
      <w:r>
        <w:rPr>
          <w:color w:val="231F20"/>
        </w:rPr>
        <w:t>to</w:t>
      </w:r>
      <w:r>
        <w:rPr>
          <w:color w:val="231F20"/>
          <w:spacing w:val="-3"/>
        </w:rPr>
        <w:t> </w:t>
      </w:r>
      <w:r>
        <w:rPr>
          <w:color w:val="231F20"/>
        </w:rPr>
        <w:t>be</w:t>
      </w:r>
      <w:r>
        <w:rPr>
          <w:color w:val="231F20"/>
          <w:spacing w:val="24"/>
          <w:w w:val="99"/>
        </w:rPr>
        <w:t> </w:t>
      </w:r>
      <w:r>
        <w:rPr>
          <w:rFonts w:ascii="Segoe UI"/>
          <w:color w:val="231F20"/>
        </w:rPr>
        <w:t>notified to boarding providers by October of</w:t>
      </w:r>
      <w:r>
        <w:rPr>
          <w:rFonts w:ascii="Segoe UI"/>
          <w:color w:val="231F20"/>
        </w:rPr>
        <w:t> </w:t>
      </w:r>
      <w:r>
        <w:rPr>
          <w:color w:val="231F20"/>
        </w:rPr>
        <w:t>the</w:t>
      </w:r>
      <w:r>
        <w:rPr>
          <w:color w:val="231F20"/>
          <w:spacing w:val="-8"/>
        </w:rPr>
        <w:t> </w:t>
      </w:r>
      <w:r>
        <w:rPr>
          <w:color w:val="231F20"/>
        </w:rPr>
        <w:t>previous</w:t>
      </w:r>
      <w:r>
        <w:rPr>
          <w:color w:val="231F20"/>
          <w:spacing w:val="-7"/>
        </w:rPr>
        <w:t> </w:t>
      </w:r>
      <w:r>
        <w:rPr>
          <w:color w:val="231F20"/>
        </w:rPr>
        <w:t>year</w:t>
      </w:r>
      <w:r>
        <w:rPr>
          <w:color w:val="231F20"/>
          <w:spacing w:val="-7"/>
        </w:rPr>
        <w:t> </w:t>
      </w:r>
      <w:r>
        <w:rPr>
          <w:color w:val="231F20"/>
        </w:rPr>
        <w:t>to</w:t>
      </w:r>
      <w:r>
        <w:rPr>
          <w:color w:val="231F20"/>
          <w:spacing w:val="-6"/>
        </w:rPr>
        <w:t> </w:t>
      </w:r>
      <w:r>
        <w:rPr>
          <w:color w:val="231F20"/>
        </w:rPr>
        <w:t>enable</w:t>
      </w:r>
      <w:r>
        <w:rPr>
          <w:color w:val="231F20"/>
          <w:spacing w:val="-7"/>
        </w:rPr>
        <w:t> </w:t>
      </w:r>
      <w:r>
        <w:rPr>
          <w:color w:val="231F20"/>
        </w:rPr>
        <w:t>boarding</w:t>
      </w:r>
      <w:r>
        <w:rPr>
          <w:color w:val="231F20"/>
          <w:spacing w:val="-8"/>
        </w:rPr>
        <w:t> </w:t>
      </w:r>
      <w:r>
        <w:rPr>
          <w:color w:val="231F20"/>
        </w:rPr>
        <w:t>providers</w:t>
      </w:r>
      <w:r>
        <w:rPr>
          <w:color w:val="231F20"/>
          <w:w w:val="99"/>
        </w:rPr>
        <w:t> </w:t>
      </w:r>
      <w:r>
        <w:rPr>
          <w:color w:val="231F20"/>
        </w:rPr>
        <w:t>to</w:t>
      </w:r>
      <w:r>
        <w:rPr>
          <w:color w:val="231F20"/>
          <w:spacing w:val="-5"/>
        </w:rPr>
        <w:t> </w:t>
      </w:r>
      <w:r>
        <w:rPr>
          <w:color w:val="231F20"/>
        </w:rPr>
        <w:t>plan</w:t>
      </w:r>
      <w:r>
        <w:rPr>
          <w:color w:val="231F20"/>
          <w:spacing w:val="-5"/>
        </w:rPr>
        <w:t> </w:t>
      </w:r>
      <w:r>
        <w:rPr>
          <w:color w:val="231F20"/>
        </w:rPr>
        <w:t>with</w:t>
      </w:r>
      <w:r>
        <w:rPr>
          <w:color w:val="231F20"/>
          <w:spacing w:val="-5"/>
        </w:rPr>
        <w:t> </w:t>
      </w:r>
      <w:r>
        <w:rPr>
          <w:color w:val="231F20"/>
        </w:rPr>
        <w:t>certainty</w:t>
      </w:r>
      <w:r>
        <w:rPr>
          <w:color w:val="231F20"/>
          <w:spacing w:val="-5"/>
        </w:rPr>
        <w:t> </w:t>
      </w:r>
      <w:r>
        <w:rPr>
          <w:color w:val="231F20"/>
        </w:rPr>
        <w:t>for</w:t>
      </w:r>
      <w:r>
        <w:rPr>
          <w:color w:val="231F20"/>
          <w:spacing w:val="-4"/>
        </w:rPr>
        <w:t> </w:t>
      </w:r>
      <w:r>
        <w:rPr>
          <w:color w:val="231F20"/>
        </w:rPr>
        <w:t>the</w:t>
      </w:r>
      <w:r>
        <w:rPr>
          <w:color w:val="231F20"/>
          <w:spacing w:val="-6"/>
        </w:rPr>
        <w:t> </w:t>
      </w:r>
      <w:r>
        <w:rPr>
          <w:color w:val="231F20"/>
          <w:spacing w:val="-1"/>
        </w:rPr>
        <w:t>support</w:t>
      </w:r>
      <w:r>
        <w:rPr>
          <w:color w:val="231F20"/>
          <w:spacing w:val="-4"/>
        </w:rPr>
        <w:t> </w:t>
      </w:r>
      <w:r>
        <w:rPr>
          <w:color w:val="231F20"/>
          <w:spacing w:val="-1"/>
        </w:rPr>
        <w:t>services</w:t>
      </w:r>
      <w:r>
        <w:rPr>
          <w:color w:val="231F20"/>
          <w:spacing w:val="21"/>
        </w:rPr>
        <w:t> </w:t>
      </w:r>
      <w:r>
        <w:rPr>
          <w:color w:val="231F20"/>
        </w:rPr>
        <w:t>that</w:t>
      </w:r>
      <w:r>
        <w:rPr>
          <w:color w:val="231F20"/>
          <w:spacing w:val="-6"/>
        </w:rPr>
        <w:t> </w:t>
      </w:r>
      <w:r>
        <w:rPr>
          <w:color w:val="231F20"/>
        </w:rPr>
        <w:t>can</w:t>
      </w:r>
      <w:r>
        <w:rPr>
          <w:color w:val="231F20"/>
          <w:spacing w:val="-4"/>
        </w:rPr>
        <w:t> </w:t>
      </w:r>
      <w:r>
        <w:rPr>
          <w:color w:val="231F20"/>
        </w:rPr>
        <w:t>be</w:t>
      </w:r>
      <w:r>
        <w:rPr>
          <w:color w:val="231F20"/>
          <w:spacing w:val="-4"/>
        </w:rPr>
        <w:t> </w:t>
      </w:r>
      <w:r>
        <w:rPr>
          <w:color w:val="231F20"/>
        </w:rPr>
        <w:t>delivered.</w:t>
      </w:r>
      <w:r>
        <w:rPr>
          <w:color w:val="231F20"/>
          <w:spacing w:val="-5"/>
        </w:rPr>
        <w:t> </w:t>
      </w:r>
      <w:r>
        <w:rPr>
          <w:color w:val="231F20"/>
        </w:rPr>
        <w:t>The</w:t>
      </w:r>
      <w:r>
        <w:rPr>
          <w:color w:val="231F20"/>
          <w:spacing w:val="-5"/>
        </w:rPr>
        <w:t> </w:t>
      </w:r>
      <w:r>
        <w:rPr>
          <w:color w:val="231F20"/>
        </w:rPr>
        <w:t>funding</w:t>
      </w:r>
      <w:r>
        <w:rPr>
          <w:color w:val="231F20"/>
          <w:spacing w:val="-4"/>
        </w:rPr>
        <w:t> </w:t>
      </w:r>
      <w:r>
        <w:rPr>
          <w:color w:val="231F20"/>
          <w:spacing w:val="-1"/>
        </w:rPr>
        <w:t>should</w:t>
      </w:r>
      <w:r>
        <w:rPr>
          <w:color w:val="231F20"/>
          <w:spacing w:val="-4"/>
        </w:rPr>
        <w:t> </w:t>
      </w:r>
      <w:r>
        <w:rPr>
          <w:color w:val="231F20"/>
        </w:rPr>
        <w:t>be</w:t>
      </w:r>
      <w:r>
        <w:rPr>
          <w:color w:val="231F20"/>
          <w:spacing w:val="21"/>
          <w:w w:val="99"/>
        </w:rPr>
        <w:t> </w:t>
      </w:r>
      <w:r>
        <w:rPr>
          <w:color w:val="231F20"/>
        </w:rPr>
        <w:t>based</w:t>
      </w:r>
      <w:r>
        <w:rPr>
          <w:color w:val="231F20"/>
          <w:spacing w:val="-6"/>
        </w:rPr>
        <w:t> </w:t>
      </w:r>
      <w:r>
        <w:rPr>
          <w:color w:val="231F20"/>
        </w:rPr>
        <w:t>on</w:t>
      </w:r>
      <w:r>
        <w:rPr>
          <w:color w:val="231F20"/>
          <w:spacing w:val="-4"/>
        </w:rPr>
        <w:t> </w:t>
      </w:r>
      <w:r>
        <w:rPr>
          <w:color w:val="231F20"/>
        </w:rPr>
        <w:t>the</w:t>
      </w:r>
      <w:r>
        <w:rPr>
          <w:color w:val="231F20"/>
          <w:spacing w:val="-5"/>
        </w:rPr>
        <w:t> </w:t>
      </w:r>
      <w:r>
        <w:rPr>
          <w:color w:val="231F20"/>
        </w:rPr>
        <w:t>August</w:t>
      </w:r>
      <w:r>
        <w:rPr>
          <w:color w:val="231F20"/>
          <w:spacing w:val="-4"/>
        </w:rPr>
        <w:t> </w:t>
      </w:r>
      <w:r>
        <w:rPr>
          <w:color w:val="231F20"/>
        </w:rPr>
        <w:t>census</w:t>
      </w:r>
      <w:r>
        <w:rPr>
          <w:color w:val="231F20"/>
          <w:spacing w:val="-5"/>
        </w:rPr>
        <w:t> </w:t>
      </w:r>
      <w:r>
        <w:rPr>
          <w:color w:val="231F20"/>
        </w:rPr>
        <w:t>data.</w:t>
      </w:r>
      <w:r>
        <w:rPr/>
      </w:r>
    </w:p>
    <w:p>
      <w:pPr>
        <w:pStyle w:val="BodyText"/>
        <w:spacing w:line="250" w:lineRule="exact" w:before="113"/>
        <w:ind w:right="79"/>
        <w:jc w:val="left"/>
      </w:pPr>
      <w:r>
        <w:rPr>
          <w:color w:val="231F20"/>
          <w:spacing w:val="-1"/>
        </w:rPr>
        <w:t>Support</w:t>
      </w:r>
      <w:r>
        <w:rPr>
          <w:color w:val="231F20"/>
          <w:spacing w:val="-5"/>
        </w:rPr>
        <w:t> </w:t>
      </w:r>
      <w:r>
        <w:rPr>
          <w:color w:val="231F20"/>
          <w:spacing w:val="-1"/>
        </w:rPr>
        <w:t>services</w:t>
      </w:r>
      <w:r>
        <w:rPr>
          <w:color w:val="231F20"/>
          <w:spacing w:val="-5"/>
        </w:rPr>
        <w:t> </w:t>
      </w:r>
      <w:r>
        <w:rPr>
          <w:color w:val="231F20"/>
          <w:spacing w:val="-1"/>
        </w:rPr>
        <w:t>in</w:t>
      </w:r>
      <w:r>
        <w:rPr>
          <w:color w:val="231F20"/>
          <w:spacing w:val="-5"/>
        </w:rPr>
        <w:t> </w:t>
      </w:r>
      <w:r>
        <w:rPr>
          <w:color w:val="231F20"/>
        </w:rPr>
        <w:t>the</w:t>
      </w:r>
      <w:r>
        <w:rPr>
          <w:color w:val="231F20"/>
          <w:spacing w:val="-6"/>
        </w:rPr>
        <w:t> </w:t>
      </w:r>
      <w:r>
        <w:rPr>
          <w:color w:val="231F20"/>
        </w:rPr>
        <w:t>Northern</w:t>
      </w:r>
      <w:r>
        <w:rPr>
          <w:color w:val="231F20"/>
          <w:spacing w:val="-4"/>
        </w:rPr>
        <w:t> </w:t>
      </w:r>
      <w:r>
        <w:rPr>
          <w:color w:val="231F20"/>
          <w:spacing w:val="-3"/>
        </w:rPr>
        <w:t>Territory</w:t>
      </w:r>
      <w:r>
        <w:rPr>
          <w:color w:val="231F20"/>
          <w:spacing w:val="-5"/>
        </w:rPr>
        <w:t> </w:t>
      </w:r>
      <w:r>
        <w:rPr>
          <w:color w:val="231F20"/>
        </w:rPr>
        <w:t>and</w:t>
      </w:r>
      <w:r>
        <w:rPr>
          <w:color w:val="231F20"/>
          <w:spacing w:val="21"/>
          <w:w w:val="99"/>
        </w:rPr>
        <w:t> </w:t>
      </w:r>
      <w:r>
        <w:rPr>
          <w:color w:val="231F20"/>
          <w:spacing w:val="-1"/>
        </w:rPr>
        <w:t>some</w:t>
      </w:r>
      <w:r>
        <w:rPr>
          <w:color w:val="231F20"/>
          <w:spacing w:val="-6"/>
        </w:rPr>
        <w:t> </w:t>
      </w:r>
      <w:r>
        <w:rPr>
          <w:color w:val="231F20"/>
        </w:rPr>
        <w:t>parts</w:t>
      </w:r>
      <w:r>
        <w:rPr>
          <w:color w:val="231F20"/>
          <w:spacing w:val="-7"/>
        </w:rPr>
        <w:t> </w:t>
      </w:r>
      <w:r>
        <w:rPr>
          <w:color w:val="231F20"/>
        </w:rPr>
        <w:t>of</w:t>
      </w:r>
      <w:r>
        <w:rPr>
          <w:color w:val="231F20"/>
          <w:spacing w:val="-6"/>
        </w:rPr>
        <w:t> </w:t>
      </w:r>
      <w:r>
        <w:rPr>
          <w:color w:val="231F20"/>
        </w:rPr>
        <w:t>Queensland</w:t>
      </w:r>
      <w:r>
        <w:rPr>
          <w:color w:val="231F20"/>
          <w:spacing w:val="-7"/>
        </w:rPr>
        <w:t> </w:t>
      </w:r>
      <w:r>
        <w:rPr>
          <w:color w:val="231F20"/>
        </w:rPr>
        <w:t>are</w:t>
      </w:r>
      <w:r>
        <w:rPr>
          <w:color w:val="231F20"/>
          <w:spacing w:val="-7"/>
        </w:rPr>
        <w:t> </w:t>
      </w:r>
      <w:r>
        <w:rPr>
          <w:color w:val="231F20"/>
        </w:rPr>
        <w:t>augmented</w:t>
      </w:r>
      <w:r>
        <w:rPr/>
      </w:r>
    </w:p>
    <w:p>
      <w:pPr>
        <w:pStyle w:val="BodyText"/>
        <w:spacing w:line="250" w:lineRule="exact"/>
        <w:ind w:right="595"/>
        <w:jc w:val="left"/>
      </w:pPr>
      <w:r>
        <w:rPr>
          <w:color w:val="231F20"/>
        </w:rPr>
        <w:t>by</w:t>
      </w:r>
      <w:r>
        <w:rPr>
          <w:color w:val="231F20"/>
          <w:spacing w:val="-5"/>
        </w:rPr>
        <w:t> </w:t>
      </w:r>
      <w:r>
        <w:rPr>
          <w:color w:val="231F20"/>
        </w:rPr>
        <w:t>the</w:t>
      </w:r>
      <w:r>
        <w:rPr>
          <w:color w:val="231F20"/>
          <w:spacing w:val="-5"/>
        </w:rPr>
        <w:t> </w:t>
      </w:r>
      <w:r>
        <w:rPr>
          <w:color w:val="231F20"/>
          <w:spacing w:val="-2"/>
        </w:rPr>
        <w:t>Transition</w:t>
      </w:r>
      <w:r>
        <w:rPr>
          <w:color w:val="231F20"/>
          <w:spacing w:val="-7"/>
        </w:rPr>
        <w:t> </w:t>
      </w:r>
      <w:r>
        <w:rPr>
          <w:color w:val="231F20"/>
          <w:spacing w:val="-1"/>
        </w:rPr>
        <w:t>Support</w:t>
      </w:r>
      <w:r>
        <w:rPr>
          <w:color w:val="231F20"/>
          <w:spacing w:val="-4"/>
        </w:rPr>
        <w:t> </w:t>
      </w:r>
      <w:r>
        <w:rPr>
          <w:color w:val="231F20"/>
          <w:spacing w:val="-1"/>
        </w:rPr>
        <w:t>Services</w:t>
      </w:r>
      <w:r>
        <w:rPr>
          <w:color w:val="231F20"/>
          <w:spacing w:val="-5"/>
        </w:rPr>
        <w:t> </w:t>
      </w:r>
      <w:r>
        <w:rPr>
          <w:color w:val="231F20"/>
          <w:spacing w:val="-2"/>
        </w:rPr>
        <w:t>(TSS)</w:t>
      </w:r>
      <w:r>
        <w:rPr>
          <w:color w:val="231F20"/>
          <w:spacing w:val="26"/>
        </w:rPr>
        <w:t> </w:t>
      </w:r>
      <w:r>
        <w:rPr>
          <w:color w:val="231F20"/>
        </w:rPr>
        <w:t>and</w:t>
      </w:r>
      <w:r>
        <w:rPr>
          <w:color w:val="231F20"/>
          <w:spacing w:val="-8"/>
        </w:rPr>
        <w:t> </w:t>
      </w:r>
      <w:r>
        <w:rPr>
          <w:color w:val="231F20"/>
          <w:spacing w:val="-2"/>
        </w:rPr>
        <w:t>Transition</w:t>
      </w:r>
      <w:r>
        <w:rPr>
          <w:color w:val="231F20"/>
          <w:spacing w:val="-8"/>
        </w:rPr>
        <w:t> </w:t>
      </w:r>
      <w:r>
        <w:rPr>
          <w:color w:val="231F20"/>
          <w:spacing w:val="-1"/>
        </w:rPr>
        <w:t>Support</w:t>
      </w:r>
      <w:r>
        <w:rPr>
          <w:color w:val="231F20"/>
          <w:spacing w:val="-7"/>
        </w:rPr>
        <w:t> </w:t>
      </w:r>
      <w:r>
        <w:rPr>
          <w:color w:val="231F20"/>
        </w:rPr>
        <w:t>Unit</w:t>
      </w:r>
      <w:r>
        <w:rPr>
          <w:color w:val="231F20"/>
          <w:spacing w:val="-6"/>
        </w:rPr>
        <w:t> </w:t>
      </w:r>
      <w:r>
        <w:rPr>
          <w:color w:val="231F20"/>
          <w:spacing w:val="-2"/>
        </w:rPr>
        <w:t>(TSU).</w:t>
      </w:r>
      <w:r>
        <w:rPr>
          <w:color w:val="231F20"/>
          <w:spacing w:val="-7"/>
        </w:rPr>
        <w:t> </w:t>
      </w:r>
      <w:r>
        <w:rPr>
          <w:color w:val="231F20"/>
        </w:rPr>
        <w:t>They</w:t>
      </w:r>
      <w:r>
        <w:rPr>
          <w:color w:val="231F20"/>
          <w:spacing w:val="28"/>
          <w:w w:val="99"/>
        </w:rPr>
        <w:t> </w:t>
      </w:r>
      <w:r>
        <w:rPr>
          <w:color w:val="231F20"/>
        </w:rPr>
        <w:t>provide</w:t>
      </w:r>
      <w:r>
        <w:rPr>
          <w:color w:val="231F20"/>
          <w:spacing w:val="-6"/>
        </w:rPr>
        <w:t> </w:t>
      </w:r>
      <w:r>
        <w:rPr>
          <w:color w:val="231F20"/>
        </w:rPr>
        <w:t>a</w:t>
      </w:r>
      <w:r>
        <w:rPr>
          <w:color w:val="231F20"/>
          <w:spacing w:val="-5"/>
        </w:rPr>
        <w:t> </w:t>
      </w:r>
      <w:r>
        <w:rPr>
          <w:color w:val="231F20"/>
        </w:rPr>
        <w:t>‘point</w:t>
      </w:r>
      <w:r>
        <w:rPr>
          <w:color w:val="231F20"/>
          <w:spacing w:val="-5"/>
        </w:rPr>
        <w:t> </w:t>
      </w:r>
      <w:r>
        <w:rPr>
          <w:color w:val="231F20"/>
        </w:rPr>
        <w:t>of</w:t>
      </w:r>
      <w:r>
        <w:rPr>
          <w:color w:val="231F20"/>
          <w:spacing w:val="-4"/>
        </w:rPr>
        <w:t> </w:t>
      </w:r>
      <w:r>
        <w:rPr>
          <w:color w:val="231F20"/>
        </w:rPr>
        <w:t>connection,</w:t>
      </w:r>
      <w:r>
        <w:rPr>
          <w:color w:val="231F20"/>
          <w:spacing w:val="-6"/>
        </w:rPr>
        <w:t> </w:t>
      </w:r>
      <w:r>
        <w:rPr>
          <w:color w:val="231F20"/>
          <w:spacing w:val="-1"/>
        </w:rPr>
        <w:t>liaison</w:t>
      </w:r>
      <w:r>
        <w:rPr>
          <w:color w:val="231F20"/>
          <w:spacing w:val="-5"/>
        </w:rPr>
        <w:t> </w:t>
      </w:r>
      <w:r>
        <w:rPr>
          <w:color w:val="231F20"/>
        </w:rPr>
        <w:t>and</w:t>
      </w:r>
      <w:r>
        <w:rPr/>
      </w:r>
    </w:p>
    <w:p>
      <w:pPr>
        <w:pStyle w:val="BodyText"/>
        <w:spacing w:line="250" w:lineRule="exact"/>
        <w:ind w:right="79"/>
        <w:jc w:val="left"/>
      </w:pPr>
      <w:r>
        <w:rPr>
          <w:color w:val="231F20"/>
        </w:rPr>
        <w:t>communication</w:t>
      </w:r>
      <w:r>
        <w:rPr>
          <w:color w:val="231F20"/>
          <w:spacing w:val="-4"/>
        </w:rPr>
        <w:t> </w:t>
      </w:r>
      <w:r>
        <w:rPr>
          <w:color w:val="231F20"/>
        </w:rPr>
        <w:t>between</w:t>
      </w:r>
      <w:r>
        <w:rPr>
          <w:color w:val="231F20"/>
          <w:spacing w:val="-4"/>
        </w:rPr>
        <w:t> </w:t>
      </w:r>
      <w:r>
        <w:rPr>
          <w:color w:val="231F20"/>
        </w:rPr>
        <w:t>families,</w:t>
      </w:r>
      <w:r>
        <w:rPr>
          <w:color w:val="231F20"/>
          <w:spacing w:val="-4"/>
        </w:rPr>
        <w:t> </w:t>
      </w:r>
      <w:r>
        <w:rPr>
          <w:color w:val="231F20"/>
          <w:spacing w:val="-1"/>
        </w:rPr>
        <w:t>students</w:t>
      </w:r>
      <w:r>
        <w:rPr>
          <w:color w:val="231F20"/>
          <w:spacing w:val="-2"/>
        </w:rPr>
        <w:t> </w:t>
      </w:r>
      <w:r>
        <w:rPr>
          <w:color w:val="231F20"/>
        </w:rPr>
        <w:t>and</w:t>
      </w:r>
      <w:r>
        <w:rPr>
          <w:color w:val="231F20"/>
          <w:spacing w:val="22"/>
          <w:w w:val="99"/>
        </w:rPr>
        <w:t> </w:t>
      </w:r>
      <w:r>
        <w:rPr>
          <w:color w:val="231F20"/>
        </w:rPr>
        <w:t>boarding</w:t>
      </w:r>
      <w:r>
        <w:rPr>
          <w:color w:val="231F20"/>
          <w:spacing w:val="-5"/>
        </w:rPr>
        <w:t> </w:t>
      </w:r>
      <w:r>
        <w:rPr>
          <w:color w:val="231F20"/>
          <w:spacing w:val="-1"/>
        </w:rPr>
        <w:t>providers’</w:t>
      </w:r>
      <w:r>
        <w:rPr>
          <w:rFonts w:ascii="Segoe UI Semibold" w:hAnsi="Segoe UI Semibold" w:cs="Segoe UI Semibold" w:eastAsia="Segoe UI Semibold"/>
          <w:b/>
          <w:bCs/>
          <w:color w:val="231F20"/>
          <w:spacing w:val="-1"/>
          <w:position w:val="7"/>
          <w:sz w:val="11"/>
          <w:szCs w:val="11"/>
        </w:rPr>
        <w:t>80</w:t>
      </w:r>
      <w:r>
        <w:rPr>
          <w:color w:val="231F20"/>
          <w:spacing w:val="-1"/>
        </w:rPr>
        <w:t>.</w:t>
      </w:r>
      <w:r>
        <w:rPr>
          <w:color w:val="231F20"/>
          <w:spacing w:val="-4"/>
        </w:rPr>
        <w:t> </w:t>
      </w:r>
      <w:r>
        <w:rPr>
          <w:color w:val="231F20"/>
        </w:rPr>
        <w:t>The</w:t>
      </w:r>
      <w:r>
        <w:rPr>
          <w:color w:val="231F20"/>
          <w:spacing w:val="-4"/>
        </w:rPr>
        <w:t> </w:t>
      </w:r>
      <w:r>
        <w:rPr>
          <w:color w:val="231F20"/>
          <w:spacing w:val="-2"/>
        </w:rPr>
        <w:t>TSS</w:t>
      </w:r>
      <w:r>
        <w:rPr>
          <w:color w:val="231F20"/>
          <w:spacing w:val="-3"/>
        </w:rPr>
        <w:t> </w:t>
      </w:r>
      <w:r>
        <w:rPr>
          <w:color w:val="231F20"/>
        </w:rPr>
        <w:t>and</w:t>
      </w:r>
      <w:r>
        <w:rPr>
          <w:color w:val="231F20"/>
          <w:spacing w:val="-5"/>
        </w:rPr>
        <w:t> </w:t>
      </w:r>
      <w:r>
        <w:rPr>
          <w:color w:val="231F20"/>
          <w:spacing w:val="-2"/>
        </w:rPr>
        <w:t>TSU</w:t>
      </w:r>
      <w:r>
        <w:rPr>
          <w:color w:val="231F20"/>
          <w:spacing w:val="-4"/>
        </w:rPr>
        <w:t> </w:t>
      </w:r>
      <w:r>
        <w:rPr>
          <w:color w:val="231F20"/>
        </w:rPr>
        <w:t>play</w:t>
      </w:r>
      <w:r>
        <w:rPr/>
      </w:r>
    </w:p>
    <w:p>
      <w:pPr>
        <w:pStyle w:val="BodyText"/>
        <w:spacing w:line="250" w:lineRule="exact"/>
        <w:ind w:right="382"/>
        <w:jc w:val="left"/>
      </w:pPr>
      <w:r>
        <w:rPr>
          <w:color w:val="231F20"/>
        </w:rPr>
        <w:t>an</w:t>
      </w:r>
      <w:r>
        <w:rPr>
          <w:color w:val="231F20"/>
          <w:spacing w:val="-8"/>
        </w:rPr>
        <w:t> </w:t>
      </w:r>
      <w:r>
        <w:rPr>
          <w:color w:val="231F20"/>
          <w:spacing w:val="-1"/>
        </w:rPr>
        <w:t>important</w:t>
      </w:r>
      <w:r>
        <w:rPr>
          <w:color w:val="231F20"/>
          <w:spacing w:val="-7"/>
        </w:rPr>
        <w:t> </w:t>
      </w:r>
      <w:r>
        <w:rPr>
          <w:color w:val="231F20"/>
        </w:rPr>
        <w:t>role</w:t>
      </w:r>
      <w:r>
        <w:rPr>
          <w:color w:val="231F20"/>
          <w:spacing w:val="-7"/>
        </w:rPr>
        <w:t> </w:t>
      </w:r>
      <w:r>
        <w:rPr>
          <w:color w:val="231F20"/>
          <w:spacing w:val="-1"/>
        </w:rPr>
        <w:t>in</w:t>
      </w:r>
      <w:r>
        <w:rPr>
          <w:color w:val="231F20"/>
          <w:spacing w:val="-7"/>
        </w:rPr>
        <w:t> </w:t>
      </w:r>
      <w:r>
        <w:rPr>
          <w:color w:val="231F20"/>
          <w:spacing w:val="-1"/>
        </w:rPr>
        <w:t>supporting</w:t>
      </w:r>
      <w:r>
        <w:rPr>
          <w:color w:val="231F20"/>
          <w:spacing w:val="-6"/>
        </w:rPr>
        <w:t> </w:t>
      </w:r>
      <w:r>
        <w:rPr>
          <w:color w:val="231F20"/>
        </w:rPr>
        <w:t>Aboriginal</w:t>
      </w:r>
      <w:r>
        <w:rPr>
          <w:color w:val="231F20"/>
          <w:spacing w:val="24"/>
          <w:w w:val="99"/>
        </w:rPr>
        <w:t> </w:t>
      </w:r>
      <w:r>
        <w:rPr>
          <w:color w:val="231F20"/>
        </w:rPr>
        <w:t>and</w:t>
      </w:r>
      <w:r>
        <w:rPr>
          <w:color w:val="231F20"/>
          <w:spacing w:val="-5"/>
        </w:rPr>
        <w:t> Torres</w:t>
      </w:r>
      <w:r>
        <w:rPr>
          <w:color w:val="231F20"/>
          <w:spacing w:val="-4"/>
        </w:rPr>
        <w:t> </w:t>
      </w:r>
      <w:r>
        <w:rPr>
          <w:color w:val="231F20"/>
          <w:spacing w:val="-2"/>
        </w:rPr>
        <w:t>Strait</w:t>
      </w:r>
      <w:r>
        <w:rPr>
          <w:color w:val="231F20"/>
          <w:spacing w:val="-4"/>
        </w:rPr>
        <w:t> </w:t>
      </w:r>
      <w:r>
        <w:rPr>
          <w:color w:val="231F20"/>
          <w:spacing w:val="-1"/>
        </w:rPr>
        <w:t>Islander</w:t>
      </w:r>
      <w:r>
        <w:rPr>
          <w:color w:val="231F20"/>
          <w:spacing w:val="-4"/>
        </w:rPr>
        <w:t> </w:t>
      </w:r>
      <w:r>
        <w:rPr>
          <w:color w:val="231F20"/>
          <w:spacing w:val="-1"/>
        </w:rPr>
        <w:t>students</w:t>
      </w:r>
      <w:r>
        <w:rPr>
          <w:color w:val="231F20"/>
          <w:spacing w:val="-4"/>
        </w:rPr>
        <w:t> </w:t>
      </w:r>
      <w:r>
        <w:rPr>
          <w:color w:val="231F20"/>
        </w:rPr>
        <w:t>to</w:t>
      </w:r>
      <w:r>
        <w:rPr>
          <w:color w:val="231F20"/>
          <w:spacing w:val="-4"/>
        </w:rPr>
        <w:t> </w:t>
      </w:r>
      <w:r>
        <w:rPr>
          <w:color w:val="231F20"/>
        </w:rPr>
        <w:t>prepare</w:t>
      </w:r>
      <w:r>
        <w:rPr>
          <w:color w:val="231F20"/>
          <w:spacing w:val="23"/>
          <w:w w:val="99"/>
        </w:rPr>
        <w:t> </w:t>
      </w:r>
      <w:r>
        <w:rPr>
          <w:color w:val="231F20"/>
        </w:rPr>
        <w:t>for</w:t>
      </w:r>
      <w:r>
        <w:rPr>
          <w:color w:val="231F20"/>
          <w:spacing w:val="-6"/>
        </w:rPr>
        <w:t> </w:t>
      </w:r>
      <w:r>
        <w:rPr>
          <w:color w:val="231F20"/>
        </w:rPr>
        <w:t>boarding,</w:t>
      </w:r>
      <w:r>
        <w:rPr>
          <w:color w:val="231F20"/>
          <w:spacing w:val="-7"/>
        </w:rPr>
        <w:t> </w:t>
      </w:r>
      <w:r>
        <w:rPr>
          <w:color w:val="231F20"/>
        </w:rPr>
        <w:t>travel</w:t>
      </w:r>
      <w:r>
        <w:rPr>
          <w:color w:val="231F20"/>
          <w:spacing w:val="-6"/>
        </w:rPr>
        <w:t> </w:t>
      </w:r>
      <w:r>
        <w:rPr>
          <w:color w:val="231F20"/>
        </w:rPr>
        <w:t>to</w:t>
      </w:r>
      <w:r>
        <w:rPr>
          <w:color w:val="231F20"/>
          <w:spacing w:val="-6"/>
        </w:rPr>
        <w:t> </w:t>
      </w:r>
      <w:r>
        <w:rPr>
          <w:color w:val="231F20"/>
        </w:rPr>
        <w:t>and</w:t>
      </w:r>
      <w:r>
        <w:rPr>
          <w:color w:val="231F20"/>
          <w:spacing w:val="-6"/>
        </w:rPr>
        <w:t> </w:t>
      </w:r>
      <w:r>
        <w:rPr>
          <w:color w:val="231F20"/>
        </w:rPr>
        <w:t>from</w:t>
      </w:r>
      <w:r>
        <w:rPr>
          <w:color w:val="231F20"/>
          <w:spacing w:val="-6"/>
        </w:rPr>
        <w:t> </w:t>
      </w:r>
      <w:r>
        <w:rPr>
          <w:color w:val="231F20"/>
        </w:rPr>
        <w:t>boarding</w:t>
      </w:r>
      <w:r>
        <w:rPr>
          <w:color w:val="231F20"/>
          <w:w w:val="99"/>
        </w:rPr>
        <w:t> </w:t>
      </w:r>
      <w:r>
        <w:rPr>
          <w:color w:val="231F20"/>
        </w:rPr>
        <w:t>and</w:t>
      </w:r>
      <w:r>
        <w:rPr>
          <w:color w:val="231F20"/>
          <w:spacing w:val="-6"/>
        </w:rPr>
        <w:t> </w:t>
      </w:r>
      <w:r>
        <w:rPr>
          <w:color w:val="231F20"/>
        </w:rPr>
        <w:t>to</w:t>
      </w:r>
      <w:r>
        <w:rPr>
          <w:color w:val="231F20"/>
          <w:spacing w:val="-5"/>
        </w:rPr>
        <w:t> </w:t>
      </w:r>
      <w:r>
        <w:rPr>
          <w:color w:val="231F20"/>
        </w:rPr>
        <w:t>remain</w:t>
      </w:r>
      <w:r>
        <w:rPr>
          <w:color w:val="231F20"/>
          <w:spacing w:val="-5"/>
        </w:rPr>
        <w:t> </w:t>
      </w:r>
      <w:r>
        <w:rPr>
          <w:color w:val="231F20"/>
          <w:spacing w:val="-1"/>
        </w:rPr>
        <w:t>in</w:t>
      </w:r>
      <w:r>
        <w:rPr>
          <w:color w:val="231F20"/>
          <w:spacing w:val="-5"/>
        </w:rPr>
        <w:t> </w:t>
      </w:r>
      <w:r>
        <w:rPr>
          <w:color w:val="231F20"/>
        </w:rPr>
        <w:t>boarding,</w:t>
      </w:r>
      <w:r>
        <w:rPr>
          <w:color w:val="231F20"/>
          <w:spacing w:val="-6"/>
        </w:rPr>
        <w:t> </w:t>
      </w:r>
      <w:r>
        <w:rPr>
          <w:color w:val="231F20"/>
          <w:spacing w:val="-1"/>
        </w:rPr>
        <w:t>including</w:t>
      </w:r>
      <w:r>
        <w:rPr>
          <w:color w:val="231F20"/>
          <w:spacing w:val="-4"/>
        </w:rPr>
        <w:t> </w:t>
      </w:r>
      <w:r>
        <w:rPr>
          <w:color w:val="231F20"/>
        </w:rPr>
        <w:t>family</w:t>
      </w:r>
      <w:r>
        <w:rPr/>
      </w:r>
    </w:p>
    <w:p>
      <w:pPr>
        <w:pStyle w:val="BodyText"/>
        <w:spacing w:line="250" w:lineRule="exact"/>
        <w:ind w:right="180"/>
        <w:jc w:val="left"/>
        <w:rPr>
          <w:rFonts w:ascii="Segoe UI" w:hAnsi="Segoe UI" w:cs="Segoe UI" w:eastAsia="Segoe UI"/>
        </w:rPr>
      </w:pPr>
      <w:r>
        <w:rPr>
          <w:color w:val="231F20"/>
        </w:rPr>
        <w:t>communication.</w:t>
      </w:r>
      <w:r>
        <w:rPr>
          <w:color w:val="231F20"/>
          <w:spacing w:val="-10"/>
        </w:rPr>
        <w:t> </w:t>
      </w:r>
      <w:r>
        <w:rPr>
          <w:color w:val="231F20"/>
          <w:spacing w:val="-1"/>
        </w:rPr>
        <w:t>While</w:t>
      </w:r>
      <w:r>
        <w:rPr>
          <w:color w:val="231F20"/>
          <w:spacing w:val="-9"/>
        </w:rPr>
        <w:t> </w:t>
      </w:r>
      <w:r>
        <w:rPr>
          <w:color w:val="231F20"/>
        </w:rPr>
        <w:t>boarding</w:t>
      </w:r>
      <w:r>
        <w:rPr>
          <w:color w:val="231F20"/>
          <w:spacing w:val="-9"/>
        </w:rPr>
        <w:t> </w:t>
      </w:r>
      <w:r>
        <w:rPr>
          <w:color w:val="231F20"/>
        </w:rPr>
        <w:t>providers</w:t>
      </w:r>
      <w:r>
        <w:rPr>
          <w:color w:val="231F20"/>
          <w:spacing w:val="-10"/>
        </w:rPr>
        <w:t> </w:t>
      </w:r>
      <w:r>
        <w:rPr>
          <w:color w:val="231F20"/>
        </w:rPr>
        <w:t>have</w:t>
      </w:r>
      <w:r>
        <w:rPr>
          <w:color w:val="231F20"/>
          <w:spacing w:val="21"/>
          <w:w w:val="99"/>
        </w:rPr>
        <w:t> </w:t>
      </w:r>
      <w:r>
        <w:rPr>
          <w:color w:val="231F20"/>
        </w:rPr>
        <w:t>a</w:t>
      </w:r>
      <w:r>
        <w:rPr>
          <w:color w:val="231F20"/>
          <w:spacing w:val="-4"/>
        </w:rPr>
        <w:t> </w:t>
      </w:r>
      <w:r>
        <w:rPr>
          <w:color w:val="231F20"/>
        </w:rPr>
        <w:t>range</w:t>
      </w:r>
      <w:r>
        <w:rPr>
          <w:color w:val="231F20"/>
          <w:spacing w:val="-5"/>
        </w:rPr>
        <w:t> </w:t>
      </w:r>
      <w:r>
        <w:rPr>
          <w:color w:val="231F20"/>
        </w:rPr>
        <w:t>of</w:t>
      </w:r>
      <w:r>
        <w:rPr>
          <w:color w:val="231F20"/>
          <w:spacing w:val="-3"/>
        </w:rPr>
        <w:t> </w:t>
      </w:r>
      <w:r>
        <w:rPr>
          <w:color w:val="231F20"/>
          <w:spacing w:val="-1"/>
        </w:rPr>
        <w:t>support</w:t>
      </w:r>
      <w:r>
        <w:rPr>
          <w:color w:val="231F20"/>
          <w:spacing w:val="-4"/>
        </w:rPr>
        <w:t> </w:t>
      </w:r>
      <w:r>
        <w:rPr>
          <w:color w:val="231F20"/>
          <w:spacing w:val="-1"/>
        </w:rPr>
        <w:t>services,</w:t>
      </w:r>
      <w:r>
        <w:rPr>
          <w:color w:val="231F20"/>
          <w:spacing w:val="-3"/>
        </w:rPr>
        <w:t> </w:t>
      </w:r>
      <w:r>
        <w:rPr>
          <w:color w:val="231F20"/>
        </w:rPr>
        <w:t>the</w:t>
      </w:r>
      <w:r>
        <w:rPr>
          <w:color w:val="231F20"/>
          <w:spacing w:val="-4"/>
        </w:rPr>
        <w:t> </w:t>
      </w:r>
      <w:r>
        <w:rPr>
          <w:color w:val="231F20"/>
          <w:spacing w:val="-1"/>
        </w:rPr>
        <w:t>location</w:t>
      </w:r>
      <w:r>
        <w:rPr>
          <w:color w:val="231F20"/>
          <w:spacing w:val="-4"/>
        </w:rPr>
        <w:t> </w:t>
      </w:r>
      <w:r>
        <w:rPr>
          <w:color w:val="231F20"/>
        </w:rPr>
        <w:t>of</w:t>
      </w:r>
      <w:r>
        <w:rPr>
          <w:color w:val="231F20"/>
          <w:spacing w:val="-4"/>
        </w:rPr>
        <w:t> </w:t>
      </w:r>
      <w:r>
        <w:rPr>
          <w:color w:val="231F20"/>
        </w:rPr>
        <w:t>the</w:t>
      </w:r>
      <w:r>
        <w:rPr>
          <w:color w:val="231F20"/>
          <w:spacing w:val="24"/>
          <w:w w:val="99"/>
        </w:rPr>
        <w:t> </w:t>
      </w:r>
      <w:r>
        <w:rPr>
          <w:color w:val="231F20"/>
          <w:spacing w:val="-2"/>
        </w:rPr>
        <w:t>TSU</w:t>
      </w:r>
      <w:r>
        <w:rPr>
          <w:color w:val="231F20"/>
          <w:spacing w:val="-6"/>
        </w:rPr>
        <w:t> </w:t>
      </w:r>
      <w:r>
        <w:rPr>
          <w:color w:val="231F20"/>
        </w:rPr>
        <w:t>and</w:t>
      </w:r>
      <w:r>
        <w:rPr>
          <w:color w:val="231F20"/>
          <w:spacing w:val="-6"/>
        </w:rPr>
        <w:t> </w:t>
      </w:r>
      <w:r>
        <w:rPr>
          <w:color w:val="231F20"/>
          <w:spacing w:val="-2"/>
        </w:rPr>
        <w:t>TSS</w:t>
      </w:r>
      <w:r>
        <w:rPr>
          <w:color w:val="231F20"/>
          <w:spacing w:val="-6"/>
        </w:rPr>
        <w:t> </w:t>
      </w:r>
      <w:r>
        <w:rPr>
          <w:color w:val="231F20"/>
        </w:rPr>
        <w:t>within</w:t>
      </w:r>
      <w:r>
        <w:rPr>
          <w:color w:val="231F20"/>
          <w:spacing w:val="-6"/>
        </w:rPr>
        <w:t> </w:t>
      </w:r>
      <w:r>
        <w:rPr>
          <w:color w:val="231F20"/>
        </w:rPr>
        <w:t>the</w:t>
      </w:r>
      <w:r>
        <w:rPr>
          <w:color w:val="231F20"/>
          <w:spacing w:val="-6"/>
        </w:rPr>
        <w:t> </w:t>
      </w:r>
      <w:r>
        <w:rPr>
          <w:color w:val="231F20"/>
        </w:rPr>
        <w:t>relevant</w:t>
      </w:r>
      <w:r>
        <w:rPr>
          <w:color w:val="231F20"/>
          <w:spacing w:val="-7"/>
        </w:rPr>
        <w:t> </w:t>
      </w:r>
      <w:r>
        <w:rPr>
          <w:color w:val="231F20"/>
          <w:spacing w:val="-1"/>
        </w:rPr>
        <w:t>Departments</w:t>
      </w:r>
      <w:r>
        <w:rPr>
          <w:color w:val="231F20"/>
          <w:spacing w:val="-1"/>
          <w:w w:val="99"/>
        </w:rPr>
        <w:t> </w:t>
      </w:r>
      <w:r>
        <w:rPr>
          <w:color w:val="231F20"/>
          <w:spacing w:val="22"/>
          <w:w w:val="99"/>
        </w:rPr>
        <w:t> </w:t>
      </w:r>
      <w:r>
        <w:rPr>
          <w:rFonts w:ascii="Segoe UI"/>
          <w:color w:val="231F20"/>
        </w:rPr>
        <w:t>of</w:t>
      </w:r>
      <w:r>
        <w:rPr>
          <w:rFonts w:ascii="Segoe UI"/>
          <w:color w:val="231F20"/>
          <w:spacing w:val="-1"/>
        </w:rPr>
        <w:t> </w:t>
      </w:r>
      <w:r>
        <w:rPr>
          <w:rFonts w:ascii="Segoe UI"/>
          <w:color w:val="231F20"/>
        </w:rPr>
        <w:t>Education allow</w:t>
      </w:r>
      <w:r>
        <w:rPr>
          <w:rFonts w:ascii="Segoe UI"/>
          <w:color w:val="231F20"/>
          <w:spacing w:val="-1"/>
        </w:rPr>
        <w:t> </w:t>
      </w:r>
      <w:r>
        <w:rPr>
          <w:rFonts w:ascii="Segoe UI"/>
          <w:color w:val="231F20"/>
        </w:rPr>
        <w:t>the staff</w:t>
      </w:r>
      <w:r>
        <w:rPr>
          <w:rFonts w:ascii="Segoe UI"/>
          <w:color w:val="231F20"/>
          <w:spacing w:val="-1"/>
        </w:rPr>
        <w:t> </w:t>
      </w:r>
      <w:r>
        <w:rPr>
          <w:rFonts w:ascii="Segoe UI"/>
          <w:color w:val="231F20"/>
        </w:rPr>
        <w:t>of the</w:t>
      </w:r>
      <w:r>
        <w:rPr>
          <w:rFonts w:ascii="Segoe UI"/>
          <w:color w:val="231F20"/>
          <w:spacing w:val="-1"/>
        </w:rPr>
        <w:t> </w:t>
      </w:r>
      <w:r>
        <w:rPr>
          <w:rFonts w:ascii="Segoe UI"/>
          <w:color w:val="231F20"/>
          <w:spacing w:val="-2"/>
        </w:rPr>
        <w:t>TSU</w:t>
      </w:r>
      <w:r>
        <w:rPr>
          <w:rFonts w:ascii="Segoe UI"/>
          <w:color w:val="231F20"/>
        </w:rPr>
        <w:t> and</w:t>
      </w:r>
      <w:r>
        <w:rPr>
          <w:rFonts w:ascii="Segoe UI"/>
        </w:rPr>
      </w:r>
    </w:p>
    <w:p>
      <w:pPr>
        <w:pStyle w:val="BodyText"/>
        <w:spacing w:line="250" w:lineRule="exact"/>
        <w:ind w:right="400"/>
        <w:jc w:val="left"/>
      </w:pPr>
      <w:r>
        <w:rPr>
          <w:color w:val="231F20"/>
          <w:spacing w:val="-2"/>
        </w:rPr>
        <w:t>TSS</w:t>
      </w:r>
      <w:r>
        <w:rPr>
          <w:color w:val="231F20"/>
          <w:spacing w:val="-5"/>
        </w:rPr>
        <w:t> </w:t>
      </w:r>
      <w:r>
        <w:rPr>
          <w:color w:val="231F20"/>
        </w:rPr>
        <w:t>to</w:t>
      </w:r>
      <w:r>
        <w:rPr>
          <w:color w:val="231F20"/>
          <w:spacing w:val="-4"/>
        </w:rPr>
        <w:t> </w:t>
      </w:r>
      <w:r>
        <w:rPr>
          <w:color w:val="231F20"/>
        </w:rPr>
        <w:t>holistically</w:t>
      </w:r>
      <w:r>
        <w:rPr>
          <w:color w:val="231F20"/>
          <w:spacing w:val="-6"/>
        </w:rPr>
        <w:t> </w:t>
      </w:r>
      <w:r>
        <w:rPr>
          <w:color w:val="231F20"/>
        </w:rPr>
        <w:t>prepare,</w:t>
      </w:r>
      <w:r>
        <w:rPr>
          <w:color w:val="231F20"/>
          <w:spacing w:val="-5"/>
        </w:rPr>
        <w:t> </w:t>
      </w:r>
      <w:r>
        <w:rPr>
          <w:color w:val="231F20"/>
        </w:rPr>
        <w:t>transition</w:t>
      </w:r>
      <w:r>
        <w:rPr>
          <w:color w:val="231F20"/>
          <w:spacing w:val="-5"/>
        </w:rPr>
        <w:t> </w:t>
      </w:r>
      <w:r>
        <w:rPr>
          <w:color w:val="231F20"/>
        </w:rPr>
        <w:t>and</w:t>
      </w:r>
      <w:r>
        <w:rPr>
          <w:color w:val="231F20"/>
          <w:spacing w:val="21"/>
          <w:w w:val="99"/>
        </w:rPr>
        <w:t> </w:t>
      </w:r>
      <w:r>
        <w:rPr>
          <w:color w:val="231F20"/>
          <w:spacing w:val="-1"/>
        </w:rPr>
        <w:t>support</w:t>
      </w:r>
      <w:r>
        <w:rPr>
          <w:color w:val="231F20"/>
          <w:spacing w:val="-6"/>
        </w:rPr>
        <w:t> </w:t>
      </w:r>
      <w:r>
        <w:rPr>
          <w:color w:val="231F20"/>
          <w:spacing w:val="-1"/>
        </w:rPr>
        <w:t>students</w:t>
      </w:r>
      <w:r>
        <w:rPr>
          <w:color w:val="231F20"/>
          <w:spacing w:val="-6"/>
        </w:rPr>
        <w:t> </w:t>
      </w:r>
      <w:r>
        <w:rPr>
          <w:color w:val="231F20"/>
        </w:rPr>
        <w:t>from</w:t>
      </w:r>
      <w:r>
        <w:rPr>
          <w:color w:val="231F20"/>
          <w:spacing w:val="-6"/>
        </w:rPr>
        <w:t> </w:t>
      </w:r>
      <w:r>
        <w:rPr>
          <w:color w:val="231F20"/>
        </w:rPr>
        <w:t>primary</w:t>
      </w:r>
      <w:r>
        <w:rPr>
          <w:color w:val="231F20"/>
          <w:spacing w:val="-6"/>
        </w:rPr>
        <w:t> </w:t>
      </w:r>
      <w:r>
        <w:rPr>
          <w:color w:val="231F20"/>
        </w:rPr>
        <w:t>to</w:t>
      </w:r>
      <w:r>
        <w:rPr>
          <w:color w:val="231F20"/>
          <w:spacing w:val="-6"/>
        </w:rPr>
        <w:t> </w:t>
      </w:r>
      <w:r>
        <w:rPr>
          <w:color w:val="231F20"/>
          <w:spacing w:val="-1"/>
        </w:rPr>
        <w:t>secondary</w:t>
      </w:r>
      <w:r>
        <w:rPr>
          <w:color w:val="231F20"/>
          <w:spacing w:val="22"/>
          <w:w w:val="99"/>
        </w:rPr>
        <w:t> </w:t>
      </w:r>
      <w:r>
        <w:rPr>
          <w:color w:val="231F20"/>
          <w:spacing w:val="-1"/>
        </w:rPr>
        <w:t>school,</w:t>
      </w:r>
      <w:r>
        <w:rPr>
          <w:color w:val="231F20"/>
          <w:spacing w:val="-5"/>
        </w:rPr>
        <w:t> </w:t>
      </w:r>
      <w:r>
        <w:rPr>
          <w:color w:val="231F20"/>
          <w:spacing w:val="-1"/>
        </w:rPr>
        <w:t>including</w:t>
      </w:r>
      <w:r>
        <w:rPr>
          <w:color w:val="231F20"/>
          <w:spacing w:val="-4"/>
        </w:rPr>
        <w:t> </w:t>
      </w:r>
      <w:r>
        <w:rPr>
          <w:color w:val="231F20"/>
        </w:rPr>
        <w:t>boarding.</w:t>
      </w:r>
      <w:r>
        <w:rPr>
          <w:color w:val="231F20"/>
          <w:spacing w:val="-5"/>
        </w:rPr>
        <w:t> </w:t>
      </w:r>
      <w:r>
        <w:rPr>
          <w:color w:val="231F20"/>
        </w:rPr>
        <w:t>The</w:t>
      </w:r>
      <w:r>
        <w:rPr>
          <w:color w:val="231F20"/>
          <w:spacing w:val="-4"/>
        </w:rPr>
        <w:t> </w:t>
      </w:r>
      <w:r>
        <w:rPr>
          <w:color w:val="231F20"/>
          <w:spacing w:val="-2"/>
        </w:rPr>
        <w:t>TSU</w:t>
      </w:r>
      <w:r>
        <w:rPr>
          <w:color w:val="231F20"/>
          <w:spacing w:val="-5"/>
        </w:rPr>
        <w:t> </w:t>
      </w:r>
      <w:r>
        <w:rPr>
          <w:color w:val="231F20"/>
        </w:rPr>
        <w:t>and</w:t>
      </w:r>
      <w:r>
        <w:rPr>
          <w:color w:val="231F20"/>
          <w:spacing w:val="-5"/>
        </w:rPr>
        <w:t> </w:t>
      </w:r>
      <w:r>
        <w:rPr>
          <w:color w:val="231F20"/>
          <w:spacing w:val="-2"/>
        </w:rPr>
        <w:t>TSS</w:t>
      </w:r>
      <w:r>
        <w:rPr>
          <w:color w:val="231F20"/>
          <w:spacing w:val="22"/>
        </w:rPr>
        <w:t> </w:t>
      </w:r>
      <w:r>
        <w:rPr>
          <w:color w:val="231F20"/>
          <w:spacing w:val="-1"/>
        </w:rPr>
        <w:t>in most </w:t>
      </w:r>
      <w:r>
        <w:rPr>
          <w:color w:val="231F20"/>
        </w:rPr>
        <w:t>cases</w:t>
      </w:r>
      <w:r>
        <w:rPr>
          <w:color w:val="231F20"/>
          <w:spacing w:val="-2"/>
        </w:rPr>
        <w:t> </w:t>
      </w:r>
      <w:r>
        <w:rPr>
          <w:color w:val="231F20"/>
        </w:rPr>
        <w:t>have</w:t>
      </w:r>
      <w:r>
        <w:rPr>
          <w:color w:val="231F20"/>
          <w:spacing w:val="-2"/>
        </w:rPr>
        <w:t> </w:t>
      </w:r>
      <w:r>
        <w:rPr>
          <w:color w:val="231F20"/>
        </w:rPr>
        <w:t>existing</w:t>
      </w:r>
      <w:r>
        <w:rPr>
          <w:color w:val="231F20"/>
          <w:spacing w:val="-2"/>
        </w:rPr>
        <w:t> </w:t>
      </w:r>
      <w:r>
        <w:rPr>
          <w:color w:val="231F20"/>
        </w:rPr>
        <w:t>relationships</w:t>
      </w:r>
      <w:r>
        <w:rPr>
          <w:color w:val="231F20"/>
          <w:spacing w:val="22"/>
        </w:rPr>
        <w:t> </w:t>
      </w:r>
      <w:r>
        <w:rPr>
          <w:color w:val="231F20"/>
        </w:rPr>
        <w:t>with</w:t>
      </w:r>
      <w:r>
        <w:rPr>
          <w:color w:val="231F20"/>
          <w:spacing w:val="-4"/>
        </w:rPr>
        <w:t> </w:t>
      </w:r>
      <w:r>
        <w:rPr>
          <w:color w:val="231F20"/>
          <w:spacing w:val="-1"/>
        </w:rPr>
        <w:t>many</w:t>
      </w:r>
      <w:r>
        <w:rPr>
          <w:color w:val="231F20"/>
          <w:spacing w:val="-3"/>
        </w:rPr>
        <w:t> </w:t>
      </w:r>
      <w:r>
        <w:rPr>
          <w:color w:val="231F20"/>
        </w:rPr>
        <w:t>home</w:t>
      </w:r>
      <w:r>
        <w:rPr>
          <w:color w:val="231F20"/>
          <w:spacing w:val="-4"/>
        </w:rPr>
        <w:t> </w:t>
      </w:r>
      <w:r>
        <w:rPr>
          <w:color w:val="231F20"/>
        </w:rPr>
        <w:t>communities</w:t>
      </w:r>
      <w:r>
        <w:rPr>
          <w:color w:val="231F20"/>
          <w:spacing w:val="-4"/>
        </w:rPr>
        <w:t> </w:t>
      </w:r>
      <w:r>
        <w:rPr>
          <w:color w:val="231F20"/>
        </w:rPr>
        <w:t>and</w:t>
      </w:r>
      <w:r>
        <w:rPr>
          <w:color w:val="231F20"/>
          <w:spacing w:val="-4"/>
        </w:rPr>
        <w:t> </w:t>
      </w:r>
      <w:r>
        <w:rPr>
          <w:color w:val="231F20"/>
        </w:rPr>
        <w:t>a</w:t>
      </w:r>
      <w:r>
        <w:rPr>
          <w:color w:val="231F20"/>
          <w:spacing w:val="-3"/>
        </w:rPr>
        <w:t> </w:t>
      </w:r>
      <w:r>
        <w:rPr>
          <w:color w:val="231F20"/>
        </w:rPr>
        <w:t>wide</w:t>
      </w:r>
      <w:r>
        <w:rPr>
          <w:color w:val="231F20"/>
          <w:spacing w:val="21"/>
          <w:w w:val="99"/>
        </w:rPr>
        <w:t> </w:t>
      </w:r>
      <w:r>
        <w:rPr>
          <w:color w:val="231F20"/>
        </w:rPr>
        <w:t>range</w:t>
      </w:r>
      <w:r>
        <w:rPr>
          <w:color w:val="231F20"/>
          <w:spacing w:val="-7"/>
        </w:rPr>
        <w:t> </w:t>
      </w:r>
      <w:r>
        <w:rPr>
          <w:color w:val="231F20"/>
        </w:rPr>
        <w:t>of</w:t>
      </w:r>
      <w:r>
        <w:rPr>
          <w:color w:val="231F20"/>
          <w:spacing w:val="-7"/>
        </w:rPr>
        <w:t> </w:t>
      </w:r>
      <w:r>
        <w:rPr>
          <w:color w:val="231F20"/>
        </w:rPr>
        <w:t>boarding</w:t>
      </w:r>
      <w:r>
        <w:rPr>
          <w:color w:val="231F20"/>
          <w:spacing w:val="-7"/>
        </w:rPr>
        <w:t> </w:t>
      </w:r>
      <w:r>
        <w:rPr>
          <w:color w:val="231F20"/>
        </w:rPr>
        <w:t>providers</w:t>
      </w:r>
      <w:r>
        <w:rPr>
          <w:color w:val="231F20"/>
          <w:spacing w:val="-7"/>
        </w:rPr>
        <w:t> </w:t>
      </w:r>
      <w:r>
        <w:rPr>
          <w:color w:val="231F20"/>
        </w:rPr>
        <w:t>and</w:t>
      </w:r>
      <w:r>
        <w:rPr>
          <w:color w:val="231F20"/>
          <w:spacing w:val="-7"/>
        </w:rPr>
        <w:t> </w:t>
      </w:r>
      <w:r>
        <w:rPr>
          <w:color w:val="231F20"/>
        </w:rPr>
        <w:t>can</w:t>
      </w:r>
      <w:r>
        <w:rPr>
          <w:color w:val="231F20"/>
          <w:spacing w:val="-6"/>
        </w:rPr>
        <w:t> </w:t>
      </w:r>
      <w:r>
        <w:rPr>
          <w:color w:val="231F20"/>
        </w:rPr>
        <w:t>provide</w:t>
      </w:r>
      <w:r>
        <w:rPr/>
      </w:r>
    </w:p>
    <w:p>
      <w:pPr>
        <w:pStyle w:val="BodyText"/>
        <w:spacing w:line="250" w:lineRule="exact"/>
        <w:ind w:right="193"/>
        <w:jc w:val="left"/>
      </w:pPr>
      <w:r>
        <w:rPr>
          <w:color w:val="231F20"/>
          <w:spacing w:val="-1"/>
        </w:rPr>
        <w:t>independent</w:t>
      </w:r>
      <w:r>
        <w:rPr>
          <w:color w:val="231F20"/>
          <w:spacing w:val="-5"/>
        </w:rPr>
        <w:t> </w:t>
      </w:r>
      <w:r>
        <w:rPr>
          <w:color w:val="231F20"/>
          <w:spacing w:val="-1"/>
        </w:rPr>
        <w:t>support</w:t>
      </w:r>
      <w:r>
        <w:rPr>
          <w:color w:val="231F20"/>
          <w:spacing w:val="-5"/>
        </w:rPr>
        <w:t> </w:t>
      </w:r>
      <w:r>
        <w:rPr>
          <w:color w:val="231F20"/>
        </w:rPr>
        <w:t>to</w:t>
      </w:r>
      <w:r>
        <w:rPr>
          <w:color w:val="231F20"/>
          <w:spacing w:val="-5"/>
        </w:rPr>
        <w:t> </w:t>
      </w:r>
      <w:r>
        <w:rPr>
          <w:color w:val="231F20"/>
          <w:spacing w:val="-1"/>
        </w:rPr>
        <w:t>students</w:t>
      </w:r>
      <w:r>
        <w:rPr>
          <w:color w:val="231F20"/>
          <w:spacing w:val="-4"/>
        </w:rPr>
        <w:t> </w:t>
      </w:r>
      <w:r>
        <w:rPr>
          <w:color w:val="231F20"/>
        </w:rPr>
        <w:t>and</w:t>
      </w:r>
      <w:r>
        <w:rPr>
          <w:color w:val="231F20"/>
          <w:spacing w:val="-6"/>
        </w:rPr>
        <w:t> </w:t>
      </w:r>
      <w:r>
        <w:rPr>
          <w:color w:val="231F20"/>
        </w:rPr>
        <w:t>families</w:t>
      </w:r>
      <w:r>
        <w:rPr>
          <w:color w:val="231F20"/>
          <w:spacing w:val="24"/>
        </w:rPr>
        <w:t> </w:t>
      </w:r>
      <w:r>
        <w:rPr>
          <w:color w:val="231F20"/>
        </w:rPr>
        <w:t>to</w:t>
      </w:r>
      <w:r>
        <w:rPr>
          <w:color w:val="231F20"/>
          <w:spacing w:val="-6"/>
        </w:rPr>
        <w:t> </w:t>
      </w:r>
      <w:r>
        <w:rPr>
          <w:color w:val="231F20"/>
        </w:rPr>
        <w:t>achieve</w:t>
      </w:r>
      <w:r>
        <w:rPr>
          <w:color w:val="231F20"/>
          <w:spacing w:val="-6"/>
        </w:rPr>
        <w:t> </w:t>
      </w:r>
      <w:r>
        <w:rPr>
          <w:color w:val="231F20"/>
        </w:rPr>
        <w:t>a</w:t>
      </w:r>
      <w:r>
        <w:rPr>
          <w:color w:val="231F20"/>
          <w:spacing w:val="-5"/>
        </w:rPr>
        <w:t> </w:t>
      </w:r>
      <w:r>
        <w:rPr>
          <w:color w:val="231F20"/>
          <w:spacing w:val="-1"/>
        </w:rPr>
        <w:t>successful</w:t>
      </w:r>
      <w:r>
        <w:rPr>
          <w:color w:val="231F20"/>
          <w:spacing w:val="-4"/>
        </w:rPr>
        <w:t> </w:t>
      </w:r>
      <w:r>
        <w:rPr>
          <w:color w:val="231F20"/>
        </w:rPr>
        <w:t>boarding</w:t>
      </w:r>
      <w:r>
        <w:rPr>
          <w:color w:val="231F20"/>
          <w:spacing w:val="-6"/>
        </w:rPr>
        <w:t> </w:t>
      </w:r>
      <w:r>
        <w:rPr>
          <w:color w:val="231F20"/>
        </w:rPr>
        <w:t>outcome.</w:t>
      </w:r>
      <w:r>
        <w:rPr/>
      </w:r>
    </w:p>
    <w:p>
      <w:pPr>
        <w:spacing w:after="0" w:line="250" w:lineRule="exact"/>
        <w:jc w:val="left"/>
        <w:sectPr>
          <w:type w:val="continuous"/>
          <w:pgSz w:w="11910" w:h="16840"/>
          <w:pgMar w:top="1580" w:bottom="280" w:left="1300" w:right="1560"/>
          <w:cols w:num="2" w:equalWidth="0">
            <w:col w:w="4360" w:space="232"/>
            <w:col w:w="4458"/>
          </w:cols>
        </w:sectPr>
      </w:pPr>
    </w:p>
    <w:p>
      <w:pPr>
        <w:spacing w:line="240" w:lineRule="auto" w:before="0"/>
        <w:rPr>
          <w:rFonts w:ascii="Segoe UI" w:hAnsi="Segoe UI" w:cs="Segoe UI" w:eastAsia="Segoe UI"/>
          <w:sz w:val="20"/>
          <w:szCs w:val="20"/>
        </w:rPr>
      </w:pPr>
      <w:r>
        <w:rPr/>
        <w:pict>
          <v:group style="position:absolute;margin-left:71.866096pt;margin-top:693.071594pt;width:.1pt;height:.1pt;mso-position-horizontal-relative:page;mso-position-vertical-relative:page;z-index:-227104" coordorigin="1437,13861" coordsize="2,2">
            <v:shape style="position:absolute;left:1437;top:13861;width:2;height:2" coordorigin="1437,13861" coordsize="0,0" path="m1437,13861l1437,13861e" filled="false" stroked="true" strokeweight="2pt" strokecolor="#355f92">
              <v:path arrowok="t"/>
            </v:shape>
            <w10:wrap type="none"/>
          </v:group>
        </w:pict>
      </w:r>
      <w:r>
        <w:rPr/>
        <w:pict>
          <v:group style="position:absolute;margin-left:511.236115pt;margin-top:693.071594pt;width:.1pt;height:.1pt;mso-position-horizontal-relative:page;mso-position-vertical-relative:page;z-index:-227080" coordorigin="10225,13861" coordsize="2,2">
            <v:shape style="position:absolute;left:10225;top:13861;width:2;height:2" coordorigin="10225,13861" coordsize="0,0" path="m10225,13861l10225,13861e" filled="false" stroked="true" strokeweight="2pt" strokecolor="#355f92">
              <v:path arrowok="t"/>
            </v:shape>
            <w10:wrap type="none"/>
          </v:group>
        </w:pict>
      </w:r>
    </w:p>
    <w:p>
      <w:pPr>
        <w:spacing w:line="240" w:lineRule="auto" w:before="6"/>
        <w:rPr>
          <w:rFonts w:ascii="Segoe UI" w:hAnsi="Segoe UI" w:cs="Segoe UI" w:eastAsia="Segoe UI"/>
          <w:sz w:val="17"/>
          <w:szCs w:val="17"/>
        </w:rPr>
      </w:pPr>
    </w:p>
    <w:p>
      <w:pPr>
        <w:spacing w:line="200" w:lineRule="atLeast"/>
        <w:ind w:left="137" w:right="0" w:firstLine="0"/>
        <w:rPr>
          <w:rFonts w:ascii="Segoe UI" w:hAnsi="Segoe UI" w:cs="Segoe UI" w:eastAsia="Segoe UI"/>
          <w:sz w:val="20"/>
          <w:szCs w:val="20"/>
        </w:rPr>
      </w:pPr>
      <w:r>
        <w:rPr>
          <w:rFonts w:ascii="Segoe UI" w:hAnsi="Segoe UI" w:cs="Segoe UI" w:eastAsia="Segoe UI"/>
          <w:sz w:val="20"/>
          <w:szCs w:val="20"/>
        </w:rPr>
        <w:pict>
          <v:shape style="width:439.4pt;height:133.65pt;mso-position-horizontal-relative:char;mso-position-vertical-relative:line" type="#_x0000_t202" filled="true" fillcolor="#ecf1f5" stroked="true" strokeweight="2.0pt" strokecolor="#355f92">
            <v:textbox inset="0,0,0,0">
              <w:txbxContent>
                <w:p>
                  <w:pPr>
                    <w:spacing w:before="131"/>
                    <w:ind w:left="243" w:right="0" w:firstLine="0"/>
                    <w:jc w:val="left"/>
                    <w:rPr>
                      <w:rFonts w:ascii="Segoe UI Semibold" w:hAnsi="Segoe UI Semibold" w:cs="Segoe UI Semibold" w:eastAsia="Segoe UI Semibold"/>
                      <w:sz w:val="24"/>
                      <w:szCs w:val="24"/>
                    </w:rPr>
                  </w:pPr>
                  <w:r>
                    <w:rPr>
                      <w:rFonts w:ascii="Segoe UI Semibold"/>
                      <w:b/>
                      <w:color w:val="452A70"/>
                      <w:spacing w:val="-2"/>
                      <w:sz w:val="24"/>
                    </w:rPr>
                    <w:t>RECOMMENDATION</w:t>
                  </w:r>
                  <w:r>
                    <w:rPr>
                      <w:rFonts w:ascii="Segoe UI Semibold"/>
                      <w:b/>
                      <w:color w:val="452A70"/>
                      <w:spacing w:val="-5"/>
                      <w:sz w:val="24"/>
                    </w:rPr>
                    <w:t> </w:t>
                  </w:r>
                  <w:r>
                    <w:rPr>
                      <w:rFonts w:ascii="Segoe UI Semibold"/>
                      <w:b/>
                      <w:color w:val="452A70"/>
                      <w:spacing w:val="-1"/>
                      <w:sz w:val="24"/>
                    </w:rPr>
                    <w:t>4:</w:t>
                  </w:r>
                  <w:r>
                    <w:rPr>
                      <w:rFonts w:ascii="Segoe UI Semibold"/>
                      <w:b/>
                      <w:color w:val="452A70"/>
                      <w:spacing w:val="-3"/>
                      <w:sz w:val="24"/>
                    </w:rPr>
                    <w:t> </w:t>
                  </w:r>
                  <w:r>
                    <w:rPr>
                      <w:rFonts w:ascii="Segoe UI Semibold"/>
                      <w:b/>
                      <w:color w:val="452A70"/>
                      <w:spacing w:val="-1"/>
                      <w:sz w:val="24"/>
                    </w:rPr>
                    <w:t>NEEDS-BASED</w:t>
                  </w:r>
                  <w:r>
                    <w:rPr>
                      <w:rFonts w:ascii="Segoe UI Semibold"/>
                      <w:b/>
                      <w:color w:val="452A70"/>
                      <w:spacing w:val="-3"/>
                      <w:sz w:val="24"/>
                    </w:rPr>
                    <w:t> </w:t>
                  </w:r>
                  <w:r>
                    <w:rPr>
                      <w:rFonts w:ascii="Segoe UI Semibold"/>
                      <w:b/>
                      <w:color w:val="452A70"/>
                      <w:spacing w:val="-1"/>
                      <w:sz w:val="24"/>
                    </w:rPr>
                    <w:t>FUNDING</w:t>
                  </w:r>
                  <w:r>
                    <w:rPr>
                      <w:rFonts w:ascii="Segoe UI Semibold"/>
                      <w:sz w:val="24"/>
                    </w:rPr>
                  </w:r>
                </w:p>
                <w:p>
                  <w:pPr>
                    <w:spacing w:line="258" w:lineRule="exact" w:before="115"/>
                    <w:ind w:left="243" w:right="0" w:firstLine="0"/>
                    <w:jc w:val="left"/>
                    <w:rPr>
                      <w:rFonts w:ascii="Segoe UI" w:hAnsi="Segoe UI" w:cs="Segoe UI" w:eastAsia="Segoe UI"/>
                      <w:sz w:val="20"/>
                      <w:szCs w:val="20"/>
                    </w:rPr>
                  </w:pPr>
                  <w:r>
                    <w:rPr>
                      <w:rFonts w:ascii="Segoe UI"/>
                      <w:color w:val="452A70"/>
                      <w:sz w:val="20"/>
                    </w:rPr>
                    <w:t>The</w:t>
                  </w:r>
                  <w:r>
                    <w:rPr>
                      <w:rFonts w:ascii="Segoe UI"/>
                      <w:color w:val="452A70"/>
                      <w:spacing w:val="-5"/>
                      <w:sz w:val="20"/>
                    </w:rPr>
                    <w:t> </w:t>
                  </w:r>
                  <w:r>
                    <w:rPr>
                      <w:rFonts w:ascii="Segoe UI"/>
                      <w:color w:val="452A70"/>
                      <w:spacing w:val="-1"/>
                      <w:sz w:val="20"/>
                    </w:rPr>
                    <w:t>support</w:t>
                  </w:r>
                  <w:r>
                    <w:rPr>
                      <w:rFonts w:ascii="Segoe UI"/>
                      <w:color w:val="452A70"/>
                      <w:spacing w:val="-5"/>
                      <w:sz w:val="20"/>
                    </w:rPr>
                    <w:t> </w:t>
                  </w:r>
                  <w:r>
                    <w:rPr>
                      <w:rFonts w:ascii="Segoe UI"/>
                      <w:color w:val="452A70"/>
                      <w:spacing w:val="-1"/>
                      <w:sz w:val="20"/>
                    </w:rPr>
                    <w:t>services</w:t>
                  </w:r>
                  <w:r>
                    <w:rPr>
                      <w:rFonts w:ascii="Segoe UI"/>
                      <w:color w:val="452A70"/>
                      <w:spacing w:val="-4"/>
                      <w:sz w:val="20"/>
                    </w:rPr>
                    <w:t> </w:t>
                  </w:r>
                  <w:r>
                    <w:rPr>
                      <w:rFonts w:ascii="Segoe UI"/>
                      <w:color w:val="452A70"/>
                      <w:sz w:val="20"/>
                    </w:rPr>
                    <w:t>required</w:t>
                  </w:r>
                  <w:r>
                    <w:rPr>
                      <w:rFonts w:ascii="Segoe UI"/>
                      <w:color w:val="452A70"/>
                      <w:spacing w:val="-6"/>
                      <w:sz w:val="20"/>
                    </w:rPr>
                    <w:t> </w:t>
                  </w:r>
                  <w:r>
                    <w:rPr>
                      <w:rFonts w:ascii="Segoe UI"/>
                      <w:color w:val="452A70"/>
                      <w:sz w:val="20"/>
                    </w:rPr>
                    <w:t>by</w:t>
                  </w:r>
                  <w:r>
                    <w:rPr>
                      <w:rFonts w:ascii="Segoe UI"/>
                      <w:color w:val="452A70"/>
                      <w:spacing w:val="-4"/>
                      <w:sz w:val="20"/>
                    </w:rPr>
                    <w:t> </w:t>
                  </w:r>
                  <w:r>
                    <w:rPr>
                      <w:rFonts w:ascii="Segoe UI"/>
                      <w:color w:val="452A70"/>
                      <w:sz w:val="20"/>
                    </w:rPr>
                    <w:t>Aboriginal</w:t>
                  </w:r>
                  <w:r>
                    <w:rPr>
                      <w:rFonts w:ascii="Segoe UI"/>
                      <w:color w:val="452A70"/>
                      <w:spacing w:val="-5"/>
                      <w:sz w:val="20"/>
                    </w:rPr>
                    <w:t> </w:t>
                  </w:r>
                  <w:r>
                    <w:rPr>
                      <w:rFonts w:ascii="Segoe UI"/>
                      <w:color w:val="452A70"/>
                      <w:sz w:val="20"/>
                    </w:rPr>
                    <w:t>and</w:t>
                  </w:r>
                  <w:r>
                    <w:rPr>
                      <w:rFonts w:ascii="Segoe UI"/>
                      <w:color w:val="452A70"/>
                      <w:spacing w:val="-5"/>
                      <w:sz w:val="20"/>
                    </w:rPr>
                    <w:t> Torres </w:t>
                  </w:r>
                  <w:r>
                    <w:rPr>
                      <w:rFonts w:ascii="Segoe UI"/>
                      <w:color w:val="452A70"/>
                      <w:spacing w:val="-2"/>
                      <w:sz w:val="20"/>
                    </w:rPr>
                    <w:t>Strait</w:t>
                  </w:r>
                  <w:r>
                    <w:rPr>
                      <w:rFonts w:ascii="Segoe UI"/>
                      <w:color w:val="452A70"/>
                      <w:spacing w:val="-6"/>
                      <w:sz w:val="20"/>
                    </w:rPr>
                    <w:t> </w:t>
                  </w:r>
                  <w:r>
                    <w:rPr>
                      <w:rFonts w:ascii="Segoe UI"/>
                      <w:color w:val="452A70"/>
                      <w:spacing w:val="-1"/>
                      <w:sz w:val="20"/>
                    </w:rPr>
                    <w:t>Islander</w:t>
                  </w:r>
                  <w:r>
                    <w:rPr>
                      <w:rFonts w:ascii="Segoe UI"/>
                      <w:color w:val="452A70"/>
                      <w:spacing w:val="-4"/>
                      <w:sz w:val="20"/>
                    </w:rPr>
                    <w:t> </w:t>
                  </w:r>
                  <w:r>
                    <w:rPr>
                      <w:rFonts w:ascii="Segoe UI"/>
                      <w:color w:val="452A70"/>
                      <w:sz w:val="20"/>
                    </w:rPr>
                    <w:t>boarding</w:t>
                  </w:r>
                  <w:r>
                    <w:rPr>
                      <w:rFonts w:ascii="Segoe UI"/>
                      <w:color w:val="452A70"/>
                      <w:spacing w:val="-6"/>
                      <w:sz w:val="20"/>
                    </w:rPr>
                    <w:t> </w:t>
                  </w:r>
                  <w:r>
                    <w:rPr>
                      <w:rFonts w:ascii="Segoe UI"/>
                      <w:color w:val="452A70"/>
                      <w:spacing w:val="-1"/>
                      <w:sz w:val="20"/>
                    </w:rPr>
                    <w:t>students</w:t>
                  </w:r>
                  <w:r>
                    <w:rPr>
                      <w:rFonts w:ascii="Segoe UI"/>
                      <w:sz w:val="20"/>
                    </w:rPr>
                  </w:r>
                </w:p>
                <w:p>
                  <w:pPr>
                    <w:spacing w:line="258" w:lineRule="exact" w:before="0"/>
                    <w:ind w:left="243" w:right="0" w:firstLine="0"/>
                    <w:jc w:val="left"/>
                    <w:rPr>
                      <w:rFonts w:ascii="Segoe UI" w:hAnsi="Segoe UI" w:cs="Segoe UI" w:eastAsia="Segoe UI"/>
                      <w:sz w:val="20"/>
                      <w:szCs w:val="20"/>
                    </w:rPr>
                  </w:pPr>
                  <w:r>
                    <w:rPr>
                      <w:rFonts w:ascii="Segoe UI"/>
                      <w:color w:val="452A70"/>
                      <w:sz w:val="20"/>
                    </w:rPr>
                    <w:t>vary significantly depending on the individual circumstances of students.</w:t>
                  </w:r>
                  <w:r>
                    <w:rPr>
                      <w:rFonts w:ascii="Segoe UI"/>
                      <w:sz w:val="20"/>
                    </w:rPr>
                  </w:r>
                </w:p>
                <w:p>
                  <w:pPr>
                    <w:spacing w:line="250" w:lineRule="exact" w:before="113"/>
                    <w:ind w:left="243" w:right="678" w:firstLine="0"/>
                    <w:jc w:val="left"/>
                    <w:rPr>
                      <w:rFonts w:ascii="Segoe UI" w:hAnsi="Segoe UI" w:cs="Segoe UI" w:eastAsia="Segoe UI"/>
                      <w:sz w:val="20"/>
                      <w:szCs w:val="20"/>
                    </w:rPr>
                  </w:pPr>
                  <w:r>
                    <w:rPr>
                      <w:rFonts w:ascii="Segoe UI"/>
                      <w:color w:val="452A70"/>
                      <w:spacing w:val="-1"/>
                      <w:sz w:val="20"/>
                    </w:rPr>
                    <w:t>Provide</w:t>
                  </w:r>
                  <w:r>
                    <w:rPr>
                      <w:rFonts w:ascii="Segoe UI"/>
                      <w:color w:val="452A70"/>
                      <w:spacing w:val="-5"/>
                      <w:sz w:val="20"/>
                    </w:rPr>
                    <w:t> </w:t>
                  </w:r>
                  <w:r>
                    <w:rPr>
                      <w:rFonts w:ascii="Segoe UI"/>
                      <w:color w:val="452A70"/>
                      <w:sz w:val="20"/>
                    </w:rPr>
                    <w:t>base</w:t>
                  </w:r>
                  <w:r>
                    <w:rPr>
                      <w:rFonts w:ascii="Segoe UI"/>
                      <w:color w:val="452A70"/>
                      <w:spacing w:val="-6"/>
                      <w:sz w:val="20"/>
                    </w:rPr>
                    <w:t> </w:t>
                  </w:r>
                  <w:r>
                    <w:rPr>
                      <w:rFonts w:ascii="Segoe UI"/>
                      <w:color w:val="452A70"/>
                      <w:sz w:val="20"/>
                    </w:rPr>
                    <w:t>funding</w:t>
                  </w:r>
                  <w:r>
                    <w:rPr>
                      <w:rFonts w:ascii="Segoe UI"/>
                      <w:color w:val="452A70"/>
                      <w:spacing w:val="-5"/>
                      <w:sz w:val="20"/>
                    </w:rPr>
                    <w:t> </w:t>
                  </w:r>
                  <w:r>
                    <w:rPr>
                      <w:rFonts w:ascii="Segoe UI"/>
                      <w:color w:val="452A70"/>
                      <w:sz w:val="20"/>
                    </w:rPr>
                    <w:t>for</w:t>
                  </w:r>
                  <w:r>
                    <w:rPr>
                      <w:rFonts w:ascii="Segoe UI"/>
                      <w:color w:val="452A70"/>
                      <w:spacing w:val="-4"/>
                      <w:sz w:val="20"/>
                    </w:rPr>
                    <w:t> </w:t>
                  </w:r>
                  <w:r>
                    <w:rPr>
                      <w:rFonts w:ascii="Segoe UI"/>
                      <w:color w:val="452A70"/>
                      <w:spacing w:val="-1"/>
                      <w:sz w:val="20"/>
                    </w:rPr>
                    <w:t>support</w:t>
                  </w:r>
                  <w:r>
                    <w:rPr>
                      <w:rFonts w:ascii="Segoe UI"/>
                      <w:color w:val="452A70"/>
                      <w:spacing w:val="-5"/>
                      <w:sz w:val="20"/>
                    </w:rPr>
                    <w:t> </w:t>
                  </w:r>
                  <w:r>
                    <w:rPr>
                      <w:rFonts w:ascii="Segoe UI"/>
                      <w:color w:val="452A70"/>
                      <w:spacing w:val="-1"/>
                      <w:sz w:val="20"/>
                    </w:rPr>
                    <w:t>services</w:t>
                  </w:r>
                  <w:r>
                    <w:rPr>
                      <w:rFonts w:ascii="Segoe UI"/>
                      <w:color w:val="452A70"/>
                      <w:spacing w:val="-5"/>
                      <w:sz w:val="20"/>
                    </w:rPr>
                    <w:t> </w:t>
                  </w:r>
                  <w:r>
                    <w:rPr>
                      <w:rFonts w:ascii="Segoe UI"/>
                      <w:color w:val="452A70"/>
                      <w:sz w:val="20"/>
                    </w:rPr>
                    <w:t>for</w:t>
                  </w:r>
                  <w:r>
                    <w:rPr>
                      <w:rFonts w:ascii="Segoe UI"/>
                      <w:color w:val="452A70"/>
                      <w:spacing w:val="-5"/>
                      <w:sz w:val="20"/>
                    </w:rPr>
                    <w:t> </w:t>
                  </w:r>
                  <w:r>
                    <w:rPr>
                      <w:rFonts w:ascii="Segoe UI"/>
                      <w:color w:val="452A70"/>
                      <w:sz w:val="20"/>
                    </w:rPr>
                    <w:t>Aboriginal</w:t>
                  </w:r>
                  <w:r>
                    <w:rPr>
                      <w:rFonts w:ascii="Segoe UI"/>
                      <w:color w:val="452A70"/>
                      <w:spacing w:val="-4"/>
                      <w:sz w:val="20"/>
                    </w:rPr>
                    <w:t> </w:t>
                  </w:r>
                  <w:r>
                    <w:rPr>
                      <w:rFonts w:ascii="Segoe UI"/>
                      <w:color w:val="452A70"/>
                      <w:sz w:val="20"/>
                    </w:rPr>
                    <w:t>and</w:t>
                  </w:r>
                  <w:r>
                    <w:rPr>
                      <w:rFonts w:ascii="Segoe UI"/>
                      <w:color w:val="452A70"/>
                      <w:spacing w:val="-6"/>
                      <w:sz w:val="20"/>
                    </w:rPr>
                    <w:t> </w:t>
                  </w:r>
                  <w:r>
                    <w:rPr>
                      <w:rFonts w:ascii="Segoe UI"/>
                      <w:color w:val="452A70"/>
                      <w:spacing w:val="-5"/>
                      <w:sz w:val="20"/>
                    </w:rPr>
                    <w:t>Torres </w:t>
                  </w:r>
                  <w:r>
                    <w:rPr>
                      <w:rFonts w:ascii="Segoe UI"/>
                      <w:color w:val="452A70"/>
                      <w:spacing w:val="-2"/>
                      <w:sz w:val="20"/>
                    </w:rPr>
                    <w:t>Strait</w:t>
                  </w:r>
                  <w:r>
                    <w:rPr>
                      <w:rFonts w:ascii="Segoe UI"/>
                      <w:color w:val="452A70"/>
                      <w:spacing w:val="-5"/>
                      <w:sz w:val="20"/>
                    </w:rPr>
                    <w:t> </w:t>
                  </w:r>
                  <w:r>
                    <w:rPr>
                      <w:rFonts w:ascii="Segoe UI"/>
                      <w:color w:val="452A70"/>
                      <w:spacing w:val="-1"/>
                      <w:sz w:val="20"/>
                    </w:rPr>
                    <w:t>Islander</w:t>
                  </w:r>
                  <w:r>
                    <w:rPr>
                      <w:rFonts w:ascii="Segoe UI"/>
                      <w:color w:val="452A70"/>
                      <w:spacing w:val="22"/>
                      <w:w w:val="99"/>
                      <w:sz w:val="20"/>
                    </w:rPr>
                    <w:t> </w:t>
                  </w:r>
                  <w:r>
                    <w:rPr>
                      <w:rFonts w:ascii="Segoe UI"/>
                      <w:color w:val="452A70"/>
                      <w:sz w:val="20"/>
                    </w:rPr>
                    <w:t>boarding</w:t>
                  </w:r>
                  <w:r>
                    <w:rPr>
                      <w:rFonts w:ascii="Segoe UI"/>
                      <w:color w:val="452A70"/>
                      <w:spacing w:val="-6"/>
                      <w:sz w:val="20"/>
                    </w:rPr>
                    <w:t> </w:t>
                  </w:r>
                  <w:r>
                    <w:rPr>
                      <w:rFonts w:ascii="Segoe UI"/>
                      <w:color w:val="452A70"/>
                      <w:spacing w:val="-1"/>
                      <w:sz w:val="20"/>
                    </w:rPr>
                    <w:t>students</w:t>
                  </w:r>
                  <w:r>
                    <w:rPr>
                      <w:rFonts w:ascii="Segoe UI"/>
                      <w:color w:val="452A70"/>
                      <w:spacing w:val="-4"/>
                      <w:sz w:val="20"/>
                    </w:rPr>
                    <w:t> </w:t>
                  </w:r>
                  <w:r>
                    <w:rPr>
                      <w:rFonts w:ascii="Segoe UI"/>
                      <w:color w:val="452A70"/>
                      <w:sz w:val="20"/>
                    </w:rPr>
                    <w:t>with</w:t>
                  </w:r>
                  <w:r>
                    <w:rPr>
                      <w:rFonts w:ascii="Segoe UI"/>
                      <w:color w:val="452A70"/>
                      <w:spacing w:val="-6"/>
                      <w:sz w:val="20"/>
                    </w:rPr>
                    <w:t> </w:t>
                  </w:r>
                  <w:r>
                    <w:rPr>
                      <w:rFonts w:ascii="Segoe UI"/>
                      <w:color w:val="452A70"/>
                      <w:spacing w:val="-1"/>
                      <w:sz w:val="20"/>
                    </w:rPr>
                    <w:t>loadings</w:t>
                  </w:r>
                  <w:r>
                    <w:rPr>
                      <w:rFonts w:ascii="Segoe UI"/>
                      <w:color w:val="452A70"/>
                      <w:spacing w:val="-4"/>
                      <w:sz w:val="20"/>
                    </w:rPr>
                    <w:t> </w:t>
                  </w:r>
                  <w:r>
                    <w:rPr>
                      <w:rFonts w:ascii="Segoe UI"/>
                      <w:color w:val="452A70"/>
                      <w:sz w:val="20"/>
                    </w:rPr>
                    <w:t>to</w:t>
                  </w:r>
                  <w:r>
                    <w:rPr>
                      <w:rFonts w:ascii="Segoe UI"/>
                      <w:color w:val="452A70"/>
                      <w:spacing w:val="-4"/>
                      <w:sz w:val="20"/>
                    </w:rPr>
                    <w:t> </w:t>
                  </w:r>
                  <w:r>
                    <w:rPr>
                      <w:rFonts w:ascii="Segoe UI"/>
                      <w:color w:val="452A70"/>
                      <w:sz w:val="20"/>
                    </w:rPr>
                    <w:t>address</w:t>
                  </w:r>
                  <w:r>
                    <w:rPr>
                      <w:rFonts w:ascii="Segoe UI"/>
                      <w:color w:val="452A70"/>
                      <w:spacing w:val="-6"/>
                      <w:sz w:val="20"/>
                    </w:rPr>
                    <w:t> </w:t>
                  </w:r>
                  <w:r>
                    <w:rPr>
                      <w:rFonts w:ascii="Segoe UI"/>
                      <w:color w:val="452A70"/>
                      <w:sz w:val="20"/>
                    </w:rPr>
                    <w:t>the</w:t>
                  </w:r>
                  <w:r>
                    <w:rPr>
                      <w:rFonts w:ascii="Segoe UI"/>
                      <w:color w:val="452A70"/>
                      <w:spacing w:val="-5"/>
                      <w:sz w:val="20"/>
                    </w:rPr>
                    <w:t> </w:t>
                  </w:r>
                  <w:r>
                    <w:rPr>
                      <w:rFonts w:ascii="Segoe UI"/>
                      <w:color w:val="452A70"/>
                      <w:sz w:val="20"/>
                    </w:rPr>
                    <w:t>disadvantage</w:t>
                  </w:r>
                  <w:r>
                    <w:rPr>
                      <w:rFonts w:ascii="Segoe UI"/>
                      <w:color w:val="452A70"/>
                      <w:spacing w:val="-5"/>
                      <w:sz w:val="20"/>
                    </w:rPr>
                    <w:t> </w:t>
                  </w:r>
                  <w:r>
                    <w:rPr>
                      <w:rFonts w:ascii="Segoe UI"/>
                      <w:color w:val="452A70"/>
                      <w:sz w:val="20"/>
                    </w:rPr>
                    <w:t>of</w:t>
                  </w:r>
                  <w:r>
                    <w:rPr>
                      <w:rFonts w:ascii="Segoe UI"/>
                      <w:color w:val="452A70"/>
                      <w:spacing w:val="-5"/>
                      <w:sz w:val="20"/>
                    </w:rPr>
                    <w:t> </w:t>
                  </w:r>
                  <w:r>
                    <w:rPr>
                      <w:rFonts w:ascii="Segoe UI"/>
                      <w:color w:val="452A70"/>
                      <w:spacing w:val="-1"/>
                      <w:sz w:val="20"/>
                    </w:rPr>
                    <w:t>students</w:t>
                  </w:r>
                  <w:r>
                    <w:rPr>
                      <w:rFonts w:ascii="Segoe UI"/>
                      <w:color w:val="452A70"/>
                      <w:spacing w:val="-4"/>
                      <w:sz w:val="20"/>
                    </w:rPr>
                    <w:t> </w:t>
                  </w:r>
                  <w:r>
                    <w:rPr>
                      <w:rFonts w:ascii="Segoe UI"/>
                      <w:color w:val="452A70"/>
                      <w:sz w:val="20"/>
                    </w:rPr>
                    <w:t>and</w:t>
                  </w:r>
                  <w:r>
                    <w:rPr>
                      <w:rFonts w:ascii="Segoe UI"/>
                      <w:color w:val="452A70"/>
                      <w:spacing w:val="-6"/>
                      <w:sz w:val="20"/>
                    </w:rPr>
                    <w:t> </w:t>
                  </w:r>
                  <w:r>
                    <w:rPr>
                      <w:rFonts w:ascii="Segoe UI"/>
                      <w:color w:val="452A70"/>
                      <w:sz w:val="20"/>
                    </w:rPr>
                    <w:t>boarding</w:t>
                  </w:r>
                  <w:r>
                    <w:rPr>
                      <w:rFonts w:ascii="Segoe UI"/>
                      <w:color w:val="452A70"/>
                      <w:spacing w:val="24"/>
                      <w:w w:val="99"/>
                      <w:sz w:val="20"/>
                    </w:rPr>
                    <w:t> </w:t>
                  </w:r>
                  <w:r>
                    <w:rPr>
                      <w:rFonts w:ascii="Segoe UI"/>
                      <w:color w:val="452A70"/>
                      <w:sz w:val="20"/>
                    </w:rPr>
                    <w:t>providers,</w:t>
                  </w:r>
                  <w:r>
                    <w:rPr>
                      <w:rFonts w:ascii="Segoe UI"/>
                      <w:color w:val="452A70"/>
                      <w:spacing w:val="-8"/>
                      <w:sz w:val="20"/>
                    </w:rPr>
                    <w:t> </w:t>
                  </w:r>
                  <w:r>
                    <w:rPr>
                      <w:rFonts w:ascii="Segoe UI"/>
                      <w:color w:val="452A70"/>
                      <w:sz w:val="20"/>
                    </w:rPr>
                    <w:t>based</w:t>
                  </w:r>
                  <w:r>
                    <w:rPr>
                      <w:rFonts w:ascii="Segoe UI"/>
                      <w:color w:val="452A70"/>
                      <w:spacing w:val="-7"/>
                      <w:sz w:val="20"/>
                    </w:rPr>
                    <w:t> </w:t>
                  </w:r>
                  <w:r>
                    <w:rPr>
                      <w:rFonts w:ascii="Segoe UI"/>
                      <w:color w:val="452A70"/>
                      <w:sz w:val="20"/>
                    </w:rPr>
                    <w:t>on</w:t>
                  </w:r>
                  <w:r>
                    <w:rPr>
                      <w:rFonts w:ascii="Segoe UI"/>
                      <w:color w:val="452A70"/>
                      <w:spacing w:val="-6"/>
                      <w:sz w:val="20"/>
                    </w:rPr>
                    <w:t> </w:t>
                  </w:r>
                  <w:r>
                    <w:rPr>
                      <w:rFonts w:ascii="Segoe UI"/>
                      <w:color w:val="452A70"/>
                      <w:sz w:val="20"/>
                    </w:rPr>
                    <w:t>the</w:t>
                  </w:r>
                  <w:r>
                    <w:rPr>
                      <w:rFonts w:ascii="Segoe UI"/>
                      <w:color w:val="452A70"/>
                      <w:spacing w:val="-7"/>
                      <w:sz w:val="20"/>
                    </w:rPr>
                    <w:t> </w:t>
                  </w:r>
                  <w:r>
                    <w:rPr>
                      <w:rFonts w:ascii="Segoe UI"/>
                      <w:color w:val="452A70"/>
                      <w:spacing w:val="-1"/>
                      <w:sz w:val="20"/>
                    </w:rPr>
                    <w:t>Schooling</w:t>
                  </w:r>
                  <w:r>
                    <w:rPr>
                      <w:rFonts w:ascii="Segoe UI"/>
                      <w:color w:val="452A70"/>
                      <w:spacing w:val="-7"/>
                      <w:sz w:val="20"/>
                    </w:rPr>
                    <w:t> </w:t>
                  </w:r>
                  <w:r>
                    <w:rPr>
                      <w:rFonts w:ascii="Segoe UI"/>
                      <w:color w:val="452A70"/>
                      <w:spacing w:val="-1"/>
                      <w:sz w:val="20"/>
                    </w:rPr>
                    <w:t>Resource</w:t>
                  </w:r>
                  <w:r>
                    <w:rPr>
                      <w:rFonts w:ascii="Segoe UI"/>
                      <w:color w:val="452A70"/>
                      <w:spacing w:val="-7"/>
                      <w:sz w:val="20"/>
                    </w:rPr>
                    <w:t> </w:t>
                  </w:r>
                  <w:r>
                    <w:rPr>
                      <w:rFonts w:ascii="Segoe UI"/>
                      <w:color w:val="452A70"/>
                      <w:spacing w:val="-1"/>
                      <w:sz w:val="20"/>
                    </w:rPr>
                    <w:t>Standard</w:t>
                  </w:r>
                  <w:r>
                    <w:rPr>
                      <w:rFonts w:ascii="Segoe UI"/>
                      <w:color w:val="452A70"/>
                      <w:spacing w:val="-7"/>
                      <w:sz w:val="20"/>
                    </w:rPr>
                    <w:t> </w:t>
                  </w:r>
                  <w:r>
                    <w:rPr>
                      <w:rFonts w:ascii="Segoe UI"/>
                      <w:color w:val="452A70"/>
                      <w:sz w:val="20"/>
                    </w:rPr>
                    <w:t>determinants</w:t>
                  </w:r>
                  <w:r>
                    <w:rPr>
                      <w:rFonts w:ascii="Segoe UI"/>
                      <w:color w:val="452A70"/>
                      <w:spacing w:val="-7"/>
                      <w:sz w:val="20"/>
                    </w:rPr>
                    <w:t> </w:t>
                  </w:r>
                  <w:r>
                    <w:rPr>
                      <w:rFonts w:ascii="Segoe UI"/>
                      <w:color w:val="452A70"/>
                      <w:sz w:val="20"/>
                    </w:rPr>
                    <w:t>that</w:t>
                  </w:r>
                  <w:r>
                    <w:rPr>
                      <w:rFonts w:ascii="Segoe UI"/>
                      <w:color w:val="452A70"/>
                      <w:spacing w:val="-7"/>
                      <w:sz w:val="20"/>
                    </w:rPr>
                    <w:t> </w:t>
                  </w:r>
                  <w:r>
                    <w:rPr>
                      <w:rFonts w:ascii="Segoe UI"/>
                      <w:color w:val="452A70"/>
                      <w:sz w:val="20"/>
                    </w:rPr>
                    <w:t>were</w:t>
                  </w:r>
                  <w:r>
                    <w:rPr>
                      <w:rFonts w:ascii="Segoe UI"/>
                      <w:color w:val="452A70"/>
                      <w:spacing w:val="-7"/>
                      <w:sz w:val="20"/>
                    </w:rPr>
                    <w:t> </w:t>
                  </w:r>
                  <w:r>
                    <w:rPr>
                      <w:rFonts w:ascii="Segoe UI"/>
                      <w:color w:val="452A70"/>
                      <w:spacing w:val="-1"/>
                      <w:sz w:val="20"/>
                    </w:rPr>
                    <w:t>introduced</w:t>
                  </w:r>
                  <w:r>
                    <w:rPr>
                      <w:rFonts w:ascii="Segoe UI"/>
                      <w:color w:val="452A70"/>
                      <w:spacing w:val="23"/>
                      <w:w w:val="99"/>
                      <w:sz w:val="20"/>
                    </w:rPr>
                    <w:t> </w:t>
                  </w:r>
                  <w:r>
                    <w:rPr>
                      <w:rFonts w:ascii="Segoe UI"/>
                      <w:color w:val="452A70"/>
                      <w:sz w:val="20"/>
                    </w:rPr>
                    <w:t>as</w:t>
                  </w:r>
                  <w:r>
                    <w:rPr>
                      <w:rFonts w:ascii="Segoe UI"/>
                      <w:color w:val="452A70"/>
                      <w:spacing w:val="-3"/>
                      <w:sz w:val="20"/>
                    </w:rPr>
                    <w:t> </w:t>
                  </w:r>
                  <w:r>
                    <w:rPr>
                      <w:rFonts w:ascii="Segoe UI"/>
                      <w:color w:val="452A70"/>
                      <w:sz w:val="20"/>
                    </w:rPr>
                    <w:t>part</w:t>
                  </w:r>
                  <w:r>
                    <w:rPr>
                      <w:rFonts w:ascii="Segoe UI"/>
                      <w:color w:val="452A70"/>
                      <w:spacing w:val="-2"/>
                      <w:sz w:val="20"/>
                    </w:rPr>
                    <w:t> </w:t>
                  </w:r>
                  <w:r>
                    <w:rPr>
                      <w:rFonts w:ascii="Segoe UI"/>
                      <w:color w:val="452A70"/>
                      <w:sz w:val="20"/>
                    </w:rPr>
                    <w:t>of</w:t>
                  </w:r>
                  <w:r>
                    <w:rPr>
                      <w:rFonts w:ascii="Segoe UI"/>
                      <w:color w:val="452A70"/>
                      <w:spacing w:val="-2"/>
                      <w:sz w:val="20"/>
                    </w:rPr>
                    <w:t> </w:t>
                  </w:r>
                  <w:r>
                    <w:rPr>
                      <w:rFonts w:ascii="Segoe UI"/>
                      <w:color w:val="452A70"/>
                      <w:sz w:val="20"/>
                    </w:rPr>
                    <w:t>the</w:t>
                  </w:r>
                  <w:r>
                    <w:rPr>
                      <w:rFonts w:ascii="Segoe UI"/>
                      <w:color w:val="452A70"/>
                      <w:spacing w:val="-3"/>
                      <w:sz w:val="20"/>
                    </w:rPr>
                    <w:t> </w:t>
                  </w:r>
                  <w:r>
                    <w:rPr>
                      <w:rFonts w:ascii="Segoe UI"/>
                      <w:color w:val="452A70"/>
                      <w:sz w:val="20"/>
                    </w:rPr>
                    <w:t>amendments</w:t>
                  </w:r>
                  <w:r>
                    <w:rPr>
                      <w:rFonts w:ascii="Segoe UI"/>
                      <w:color w:val="452A70"/>
                      <w:spacing w:val="-2"/>
                      <w:sz w:val="20"/>
                    </w:rPr>
                    <w:t> </w:t>
                  </w:r>
                  <w:r>
                    <w:rPr>
                      <w:rFonts w:ascii="Segoe UI"/>
                      <w:color w:val="452A70"/>
                      <w:sz w:val="20"/>
                    </w:rPr>
                    <w:t>to</w:t>
                  </w:r>
                  <w:r>
                    <w:rPr>
                      <w:rFonts w:ascii="Segoe UI"/>
                      <w:color w:val="452A70"/>
                      <w:spacing w:val="-2"/>
                      <w:sz w:val="20"/>
                    </w:rPr>
                    <w:t> </w:t>
                  </w:r>
                  <w:r>
                    <w:rPr>
                      <w:rFonts w:ascii="Segoe UI"/>
                      <w:color w:val="452A70"/>
                      <w:sz w:val="20"/>
                    </w:rPr>
                    <w:t>the</w:t>
                  </w:r>
                  <w:r>
                    <w:rPr>
                      <w:rFonts w:ascii="Segoe UI"/>
                      <w:color w:val="452A70"/>
                      <w:spacing w:val="-3"/>
                      <w:sz w:val="20"/>
                    </w:rPr>
                    <w:t> </w:t>
                  </w:r>
                  <w:r>
                    <w:rPr>
                      <w:rFonts w:ascii="Segoe UI"/>
                      <w:i/>
                      <w:color w:val="452A70"/>
                      <w:spacing w:val="-1"/>
                      <w:sz w:val="20"/>
                    </w:rPr>
                    <w:t>Australian</w:t>
                  </w:r>
                  <w:r>
                    <w:rPr>
                      <w:rFonts w:ascii="Segoe UI"/>
                      <w:i/>
                      <w:color w:val="452A70"/>
                      <w:spacing w:val="-2"/>
                      <w:sz w:val="20"/>
                    </w:rPr>
                    <w:t> </w:t>
                  </w:r>
                  <w:r>
                    <w:rPr>
                      <w:rFonts w:ascii="Segoe UI"/>
                      <w:i/>
                      <w:color w:val="452A70"/>
                      <w:sz w:val="20"/>
                    </w:rPr>
                    <w:t>Education</w:t>
                  </w:r>
                  <w:r>
                    <w:rPr>
                      <w:rFonts w:ascii="Segoe UI"/>
                      <w:i/>
                      <w:color w:val="452A70"/>
                      <w:spacing w:val="-1"/>
                      <w:sz w:val="20"/>
                    </w:rPr>
                    <w:t> </w:t>
                  </w:r>
                  <w:r>
                    <w:rPr>
                      <w:rFonts w:ascii="Segoe UI"/>
                      <w:i/>
                      <w:color w:val="452A70"/>
                      <w:sz w:val="20"/>
                    </w:rPr>
                    <w:t>Act</w:t>
                  </w:r>
                  <w:r>
                    <w:rPr>
                      <w:rFonts w:ascii="Segoe UI"/>
                      <w:i/>
                      <w:color w:val="452A70"/>
                      <w:spacing w:val="-3"/>
                      <w:sz w:val="20"/>
                    </w:rPr>
                    <w:t> </w:t>
                  </w:r>
                  <w:r>
                    <w:rPr>
                      <w:rFonts w:ascii="Segoe UI"/>
                      <w:i/>
                      <w:color w:val="452A70"/>
                      <w:sz w:val="20"/>
                    </w:rPr>
                    <w:t>2013</w:t>
                  </w:r>
                  <w:r>
                    <w:rPr>
                      <w:rFonts w:ascii="Segoe UI"/>
                      <w:i/>
                      <w:color w:val="452A70"/>
                      <w:spacing w:val="-3"/>
                      <w:sz w:val="20"/>
                    </w:rPr>
                    <w:t> </w:t>
                  </w:r>
                  <w:r>
                    <w:rPr>
                      <w:rFonts w:ascii="Segoe UI"/>
                      <w:color w:val="452A70"/>
                      <w:sz w:val="20"/>
                    </w:rPr>
                    <w:t>that</w:t>
                  </w:r>
                  <w:r>
                    <w:rPr>
                      <w:rFonts w:ascii="Segoe UI"/>
                      <w:color w:val="452A70"/>
                      <w:spacing w:val="-3"/>
                      <w:sz w:val="20"/>
                    </w:rPr>
                    <w:t> </w:t>
                  </w:r>
                  <w:r>
                    <w:rPr>
                      <w:rFonts w:ascii="Segoe UI"/>
                      <w:color w:val="452A70"/>
                      <w:sz w:val="20"/>
                    </w:rPr>
                    <w:t>commenced</w:t>
                  </w:r>
                  <w:r>
                    <w:rPr>
                      <w:rFonts w:ascii="Segoe UI"/>
                      <w:color w:val="452A70"/>
                      <w:spacing w:val="-3"/>
                      <w:sz w:val="20"/>
                    </w:rPr>
                    <w:t> </w:t>
                  </w:r>
                  <w:r>
                    <w:rPr>
                      <w:rFonts w:ascii="Segoe UI"/>
                      <w:color w:val="452A70"/>
                      <w:sz w:val="20"/>
                    </w:rPr>
                    <w:t>on</w:t>
                  </w:r>
                  <w:r>
                    <w:rPr>
                      <w:rFonts w:ascii="Segoe UI"/>
                      <w:sz w:val="20"/>
                    </w:rPr>
                  </w:r>
                </w:p>
                <w:p>
                  <w:pPr>
                    <w:spacing w:line="250" w:lineRule="exact" w:before="0"/>
                    <w:ind w:left="243" w:right="0" w:firstLine="0"/>
                    <w:jc w:val="left"/>
                    <w:rPr>
                      <w:rFonts w:ascii="Segoe UI" w:hAnsi="Segoe UI" w:cs="Segoe UI" w:eastAsia="Segoe UI"/>
                      <w:sz w:val="20"/>
                      <w:szCs w:val="20"/>
                    </w:rPr>
                  </w:pPr>
                  <w:r>
                    <w:rPr>
                      <w:rFonts w:ascii="Segoe UI"/>
                      <w:color w:val="452A70"/>
                      <w:sz w:val="20"/>
                    </w:rPr>
                    <w:t>1</w:t>
                  </w:r>
                  <w:r>
                    <w:rPr>
                      <w:rFonts w:ascii="Segoe UI"/>
                      <w:color w:val="452A70"/>
                      <w:spacing w:val="-4"/>
                      <w:sz w:val="20"/>
                    </w:rPr>
                    <w:t> </w:t>
                  </w:r>
                  <w:r>
                    <w:rPr>
                      <w:rFonts w:ascii="Segoe UI"/>
                      <w:color w:val="452A70"/>
                      <w:sz w:val="20"/>
                    </w:rPr>
                    <w:t>January</w:t>
                  </w:r>
                  <w:r>
                    <w:rPr>
                      <w:rFonts w:ascii="Segoe UI"/>
                      <w:color w:val="452A70"/>
                      <w:spacing w:val="-3"/>
                      <w:sz w:val="20"/>
                    </w:rPr>
                    <w:t> </w:t>
                  </w:r>
                  <w:r>
                    <w:rPr>
                      <w:rFonts w:ascii="Segoe UI"/>
                      <w:color w:val="452A70"/>
                      <w:sz w:val="20"/>
                    </w:rPr>
                    <w:t>2018.</w:t>
                  </w:r>
                  <w:r>
                    <w:rPr>
                      <w:rFonts w:ascii="Segoe UI"/>
                      <w:sz w:val="20"/>
                    </w:rPr>
                  </w:r>
                </w:p>
              </w:txbxContent>
            </v:textbox>
            <v:fill type="solid"/>
            <v:stroke dashstyle="dash"/>
            <w10:wrap type="none"/>
          </v:shape>
        </w:pict>
      </w:r>
      <w:r>
        <w:rPr>
          <w:rFonts w:ascii="Segoe UI" w:hAnsi="Segoe UI" w:cs="Segoe UI" w:eastAsia="Segoe UI"/>
          <w:sz w:val="20"/>
          <w:szCs w:val="20"/>
        </w:rPr>
      </w:r>
    </w:p>
    <w:p>
      <w:pPr>
        <w:spacing w:after="0" w:line="200" w:lineRule="atLeast"/>
        <w:rPr>
          <w:rFonts w:ascii="Segoe UI" w:hAnsi="Segoe UI" w:cs="Segoe UI" w:eastAsia="Segoe UI"/>
          <w:sz w:val="20"/>
          <w:szCs w:val="20"/>
        </w:rPr>
        <w:sectPr>
          <w:type w:val="continuous"/>
          <w:pgSz w:w="11910" w:h="16840"/>
          <w:pgMar w:top="1580" w:bottom="280" w:left="1300" w:right="1560"/>
        </w:sectPr>
      </w:pPr>
    </w:p>
    <w:p>
      <w:pPr>
        <w:spacing w:line="240" w:lineRule="auto" w:before="0"/>
        <w:rPr>
          <w:rFonts w:ascii="Segoe UI" w:hAnsi="Segoe UI" w:cs="Segoe UI" w:eastAsia="Segoe UI"/>
          <w:sz w:val="20"/>
          <w:szCs w:val="20"/>
        </w:rPr>
      </w:pPr>
    </w:p>
    <w:p>
      <w:pPr>
        <w:spacing w:line="240" w:lineRule="auto" w:before="11"/>
        <w:rPr>
          <w:rFonts w:ascii="Segoe UI" w:hAnsi="Segoe UI" w:cs="Segoe UI" w:eastAsia="Segoe UI"/>
          <w:sz w:val="20"/>
          <w:szCs w:val="20"/>
        </w:rPr>
      </w:pPr>
    </w:p>
    <w:p>
      <w:pPr>
        <w:spacing w:after="0" w:line="240" w:lineRule="auto"/>
        <w:rPr>
          <w:rFonts w:ascii="Segoe UI" w:hAnsi="Segoe UI" w:cs="Segoe UI" w:eastAsia="Segoe UI"/>
          <w:sz w:val="20"/>
          <w:szCs w:val="20"/>
        </w:rPr>
        <w:sectPr>
          <w:pgSz w:w="11910" w:h="16840"/>
          <w:pgMar w:header="0" w:footer="691" w:top="1580" w:bottom="880" w:left="1600" w:right="1300"/>
        </w:sectPr>
      </w:pPr>
    </w:p>
    <w:p>
      <w:pPr>
        <w:spacing w:line="360" w:lineRule="exact" w:before="71"/>
        <w:ind w:left="100" w:right="0" w:firstLine="0"/>
        <w:jc w:val="left"/>
        <w:rPr>
          <w:rFonts w:ascii="Segoe UI" w:hAnsi="Segoe UI" w:cs="Segoe UI" w:eastAsia="Segoe UI"/>
          <w:sz w:val="32"/>
          <w:szCs w:val="32"/>
        </w:rPr>
      </w:pPr>
      <w:r>
        <w:rPr>
          <w:rFonts w:ascii="Segoe UI"/>
          <w:b/>
          <w:color w:val="452A70"/>
          <w:spacing w:val="-26"/>
          <w:sz w:val="32"/>
        </w:rPr>
        <w:t>T</w:t>
      </w:r>
      <w:r>
        <w:rPr>
          <w:rFonts w:ascii="Segoe UI"/>
          <w:b/>
          <w:color w:val="452A70"/>
          <w:sz w:val="32"/>
        </w:rPr>
        <w:t>ransition</w:t>
      </w:r>
      <w:r>
        <w:rPr>
          <w:rFonts w:ascii="Segoe UI"/>
          <w:b/>
          <w:color w:val="452A70"/>
          <w:spacing w:val="-4"/>
          <w:sz w:val="32"/>
        </w:rPr>
        <w:t> </w:t>
      </w:r>
      <w:r>
        <w:rPr>
          <w:rFonts w:ascii="Segoe UI"/>
          <w:b/>
          <w:color w:val="452A70"/>
          <w:sz w:val="32"/>
        </w:rPr>
        <w:t>Suppo</w:t>
      </w:r>
      <w:r>
        <w:rPr>
          <w:rFonts w:ascii="Segoe UI"/>
          <w:b/>
          <w:color w:val="452A70"/>
          <w:spacing w:val="8"/>
          <w:sz w:val="32"/>
        </w:rPr>
        <w:t>r</w:t>
      </w:r>
      <w:r>
        <w:rPr>
          <w:rFonts w:ascii="Segoe UI"/>
          <w:b/>
          <w:color w:val="452A70"/>
          <w:sz w:val="32"/>
        </w:rPr>
        <w:t>t</w:t>
      </w:r>
      <w:r>
        <w:rPr>
          <w:rFonts w:ascii="Segoe UI"/>
          <w:b/>
          <w:color w:val="452A70"/>
          <w:spacing w:val="-4"/>
          <w:sz w:val="32"/>
        </w:rPr>
        <w:t> </w:t>
      </w:r>
      <w:r>
        <w:rPr>
          <w:rFonts w:ascii="Segoe UI"/>
          <w:b/>
          <w:color w:val="452A70"/>
          <w:sz w:val="32"/>
        </w:rPr>
        <w:t>Se</w:t>
      </w:r>
      <w:r>
        <w:rPr>
          <w:rFonts w:ascii="Segoe UI"/>
          <w:b/>
          <w:color w:val="452A70"/>
          <w:spacing w:val="12"/>
          <w:sz w:val="32"/>
        </w:rPr>
        <w:t>r</w:t>
      </w:r>
      <w:r>
        <w:rPr>
          <w:rFonts w:ascii="Segoe UI"/>
          <w:b/>
          <w:color w:val="452A70"/>
          <w:sz w:val="32"/>
        </w:rPr>
        <w:t>vices</w:t>
      </w:r>
      <w:r>
        <w:rPr>
          <w:rFonts w:ascii="Segoe UI"/>
          <w:b/>
          <w:color w:val="452A70"/>
          <w:sz w:val="32"/>
        </w:rPr>
        <w:t> </w:t>
      </w:r>
      <w:r>
        <w:rPr>
          <w:rFonts w:ascii="Segoe UI"/>
          <w:b/>
          <w:color w:val="452A70"/>
          <w:spacing w:val="-1"/>
          <w:sz w:val="32"/>
        </w:rPr>
        <w:t>(Queensland)</w:t>
      </w:r>
      <w:r>
        <w:rPr>
          <w:rFonts w:ascii="Segoe UI"/>
          <w:sz w:val="32"/>
        </w:rPr>
      </w:r>
    </w:p>
    <w:p>
      <w:pPr>
        <w:pStyle w:val="BodyText"/>
        <w:spacing w:line="250" w:lineRule="exact" w:before="119"/>
        <w:ind w:left="100" w:right="116"/>
        <w:jc w:val="left"/>
      </w:pPr>
      <w:r>
        <w:rPr>
          <w:color w:val="231F20"/>
          <w:spacing w:val="-2"/>
        </w:rPr>
        <w:t>Transition</w:t>
      </w:r>
      <w:r>
        <w:rPr>
          <w:color w:val="231F20"/>
          <w:spacing w:val="-6"/>
        </w:rPr>
        <w:t> </w:t>
      </w:r>
      <w:r>
        <w:rPr>
          <w:color w:val="231F20"/>
          <w:spacing w:val="-1"/>
        </w:rPr>
        <w:t>Support</w:t>
      </w:r>
      <w:r>
        <w:rPr>
          <w:color w:val="231F20"/>
          <w:spacing w:val="-4"/>
        </w:rPr>
        <w:t> </w:t>
      </w:r>
      <w:r>
        <w:rPr>
          <w:color w:val="231F20"/>
          <w:spacing w:val="-1"/>
        </w:rPr>
        <w:t>Services</w:t>
      </w:r>
      <w:r>
        <w:rPr>
          <w:color w:val="231F20"/>
          <w:spacing w:val="-3"/>
        </w:rPr>
        <w:t> </w:t>
      </w:r>
      <w:r>
        <w:rPr>
          <w:color w:val="231F20"/>
          <w:spacing w:val="-2"/>
        </w:rPr>
        <w:t>(TSS)</w:t>
      </w:r>
      <w:r>
        <w:rPr>
          <w:color w:val="231F20"/>
          <w:spacing w:val="-4"/>
        </w:rPr>
        <w:t> </w:t>
      </w:r>
      <w:r>
        <w:rPr>
          <w:color w:val="231F20"/>
          <w:spacing w:val="-1"/>
        </w:rPr>
        <w:t>is</w:t>
      </w:r>
      <w:r>
        <w:rPr>
          <w:color w:val="231F20"/>
          <w:spacing w:val="-5"/>
        </w:rPr>
        <w:t> </w:t>
      </w:r>
      <w:r>
        <w:rPr>
          <w:color w:val="231F20"/>
        </w:rPr>
        <w:t>part</w:t>
      </w:r>
      <w:r>
        <w:rPr>
          <w:color w:val="231F20"/>
          <w:spacing w:val="-3"/>
        </w:rPr>
        <w:t> </w:t>
      </w:r>
      <w:r>
        <w:rPr>
          <w:color w:val="231F20"/>
        </w:rPr>
        <w:t>of</w:t>
      </w:r>
      <w:r>
        <w:rPr>
          <w:color w:val="231F20"/>
          <w:spacing w:val="-4"/>
        </w:rPr>
        <w:t> </w:t>
      </w:r>
      <w:r>
        <w:rPr>
          <w:color w:val="231F20"/>
        </w:rPr>
        <w:t>the</w:t>
      </w:r>
      <w:r>
        <w:rPr>
          <w:color w:val="231F20"/>
          <w:spacing w:val="29"/>
          <w:w w:val="99"/>
        </w:rPr>
        <w:t> </w:t>
      </w:r>
      <w:r>
        <w:rPr>
          <w:color w:val="231F20"/>
        </w:rPr>
        <w:t>Queensland</w:t>
      </w:r>
      <w:r>
        <w:rPr>
          <w:color w:val="231F20"/>
          <w:spacing w:val="-10"/>
        </w:rPr>
        <w:t> </w:t>
      </w:r>
      <w:r>
        <w:rPr>
          <w:color w:val="231F20"/>
          <w:spacing w:val="-1"/>
        </w:rPr>
        <w:t>Department</w:t>
      </w:r>
      <w:r>
        <w:rPr>
          <w:color w:val="231F20"/>
          <w:spacing w:val="-9"/>
        </w:rPr>
        <w:t> </w:t>
      </w:r>
      <w:r>
        <w:rPr>
          <w:color w:val="231F20"/>
        </w:rPr>
        <w:t>of</w:t>
      </w:r>
      <w:r>
        <w:rPr>
          <w:color w:val="231F20"/>
          <w:spacing w:val="-9"/>
        </w:rPr>
        <w:t> </w:t>
      </w:r>
      <w:r>
        <w:rPr>
          <w:color w:val="231F20"/>
        </w:rPr>
        <w:t>Education</w:t>
      </w:r>
      <w:r>
        <w:rPr>
          <w:color w:val="231F20"/>
          <w:spacing w:val="-9"/>
        </w:rPr>
        <w:t> </w:t>
      </w:r>
      <w:r>
        <w:rPr>
          <w:color w:val="231F20"/>
        </w:rPr>
        <w:t>and</w:t>
      </w:r>
      <w:r>
        <w:rPr>
          <w:color w:val="231F20"/>
          <w:spacing w:val="22"/>
          <w:w w:val="99"/>
        </w:rPr>
        <w:t> </w:t>
      </w:r>
      <w:r>
        <w:rPr>
          <w:color w:val="231F20"/>
          <w:spacing w:val="-3"/>
        </w:rPr>
        <w:t>Training</w:t>
      </w:r>
      <w:r>
        <w:rPr>
          <w:color w:val="231F20"/>
          <w:spacing w:val="-5"/>
        </w:rPr>
        <w:t> </w:t>
      </w:r>
      <w:r>
        <w:rPr>
          <w:color w:val="231F20"/>
        </w:rPr>
        <w:t>and</w:t>
      </w:r>
      <w:r>
        <w:rPr>
          <w:color w:val="231F20"/>
          <w:spacing w:val="-5"/>
        </w:rPr>
        <w:t> </w:t>
      </w:r>
      <w:r>
        <w:rPr>
          <w:color w:val="231F20"/>
        </w:rPr>
        <w:t>has</w:t>
      </w:r>
      <w:r>
        <w:rPr>
          <w:color w:val="231F20"/>
          <w:spacing w:val="-5"/>
        </w:rPr>
        <w:t> </w:t>
      </w:r>
      <w:r>
        <w:rPr>
          <w:color w:val="231F20"/>
        </w:rPr>
        <w:t>been</w:t>
      </w:r>
      <w:r>
        <w:rPr>
          <w:color w:val="231F20"/>
          <w:spacing w:val="-5"/>
        </w:rPr>
        <w:t> </w:t>
      </w:r>
      <w:r>
        <w:rPr>
          <w:color w:val="231F20"/>
        </w:rPr>
        <w:t>operating</w:t>
      </w:r>
      <w:r>
        <w:rPr>
          <w:color w:val="231F20"/>
          <w:spacing w:val="-4"/>
        </w:rPr>
        <w:t> </w:t>
      </w:r>
      <w:r>
        <w:rPr>
          <w:color w:val="231F20"/>
          <w:spacing w:val="-1"/>
        </w:rPr>
        <w:t>since</w:t>
      </w:r>
      <w:r>
        <w:rPr>
          <w:color w:val="231F20"/>
          <w:spacing w:val="-4"/>
        </w:rPr>
        <w:t> </w:t>
      </w:r>
      <w:r>
        <w:rPr>
          <w:color w:val="231F20"/>
          <w:spacing w:val="-1"/>
        </w:rPr>
        <w:t>2008.</w:t>
      </w:r>
      <w:r>
        <w:rPr>
          <w:color w:val="231F20"/>
          <w:spacing w:val="-1"/>
        </w:rPr>
        <w:t> </w:t>
      </w:r>
      <w:r>
        <w:rPr>
          <w:color w:val="231F20"/>
          <w:spacing w:val="27"/>
        </w:rPr>
        <w:t> </w:t>
      </w:r>
      <w:r>
        <w:rPr>
          <w:color w:val="231F20"/>
          <w:spacing w:val="-1"/>
        </w:rPr>
        <w:t>It</w:t>
      </w:r>
      <w:r>
        <w:rPr>
          <w:color w:val="231F20"/>
          <w:spacing w:val="-4"/>
        </w:rPr>
        <w:t> </w:t>
      </w:r>
      <w:r>
        <w:rPr>
          <w:color w:val="231F20"/>
          <w:spacing w:val="-1"/>
        </w:rPr>
        <w:t>is</w:t>
      </w:r>
      <w:r>
        <w:rPr>
          <w:color w:val="231F20"/>
          <w:spacing w:val="-4"/>
        </w:rPr>
        <w:t> </w:t>
      </w:r>
      <w:r>
        <w:rPr>
          <w:color w:val="231F20"/>
        </w:rPr>
        <w:t>based</w:t>
      </w:r>
      <w:r>
        <w:rPr>
          <w:color w:val="231F20"/>
          <w:spacing w:val="-4"/>
        </w:rPr>
        <w:t> </w:t>
      </w:r>
      <w:r>
        <w:rPr>
          <w:color w:val="231F20"/>
          <w:spacing w:val="-1"/>
        </w:rPr>
        <w:t>in</w:t>
      </w:r>
      <w:r>
        <w:rPr>
          <w:color w:val="231F20"/>
          <w:spacing w:val="-4"/>
        </w:rPr>
        <w:t> </w:t>
      </w:r>
      <w:r>
        <w:rPr>
          <w:color w:val="231F20"/>
          <w:spacing w:val="-1"/>
        </w:rPr>
        <w:t>Cairns,</w:t>
      </w:r>
      <w:r>
        <w:rPr>
          <w:color w:val="231F20"/>
          <w:spacing w:val="-3"/>
        </w:rPr>
        <w:t> </w:t>
      </w:r>
      <w:r>
        <w:rPr>
          <w:color w:val="231F20"/>
        </w:rPr>
        <w:t>a</w:t>
      </w:r>
      <w:r>
        <w:rPr>
          <w:color w:val="231F20"/>
          <w:spacing w:val="-4"/>
        </w:rPr>
        <w:t> </w:t>
      </w:r>
      <w:r>
        <w:rPr>
          <w:color w:val="231F20"/>
          <w:spacing w:val="-1"/>
        </w:rPr>
        <w:t>major</w:t>
      </w:r>
      <w:r>
        <w:rPr>
          <w:color w:val="231F20"/>
          <w:spacing w:val="-3"/>
        </w:rPr>
        <w:t> </w:t>
      </w:r>
      <w:r>
        <w:rPr>
          <w:color w:val="231F20"/>
        </w:rPr>
        <w:t>transit</w:t>
      </w:r>
      <w:r>
        <w:rPr>
          <w:color w:val="231F20"/>
          <w:spacing w:val="-4"/>
        </w:rPr>
        <w:t> </w:t>
      </w:r>
      <w:r>
        <w:rPr>
          <w:color w:val="231F20"/>
        </w:rPr>
        <w:t>port</w:t>
      </w:r>
      <w:r>
        <w:rPr>
          <w:color w:val="231F20"/>
          <w:spacing w:val="-4"/>
        </w:rPr>
        <w:t> </w:t>
      </w:r>
      <w:r>
        <w:rPr>
          <w:color w:val="231F20"/>
        </w:rPr>
        <w:t>for</w:t>
      </w:r>
      <w:r>
        <w:rPr>
          <w:color w:val="231F20"/>
          <w:spacing w:val="26"/>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boarders,</w:t>
      </w:r>
      <w:r>
        <w:rPr>
          <w:color w:val="231F20"/>
          <w:spacing w:val="21"/>
          <w:w w:val="99"/>
        </w:rPr>
        <w:t> </w:t>
      </w:r>
      <w:r>
        <w:rPr>
          <w:rFonts w:ascii="Segoe UI"/>
          <w:color w:val="231F20"/>
        </w:rPr>
        <w:t>but</w:t>
      </w:r>
      <w:r>
        <w:rPr>
          <w:rFonts w:ascii="Segoe UI"/>
          <w:color w:val="231F20"/>
          <w:spacing w:val="-1"/>
        </w:rPr>
        <w:t> </w:t>
      </w:r>
      <w:r>
        <w:rPr>
          <w:rFonts w:ascii="Segoe UI"/>
          <w:color w:val="231F20"/>
        </w:rPr>
        <w:t>has</w:t>
      </w:r>
      <w:r>
        <w:rPr>
          <w:rFonts w:ascii="Segoe UI"/>
          <w:color w:val="231F20"/>
          <w:spacing w:val="-1"/>
        </w:rPr>
        <w:t> </w:t>
      </w:r>
      <w:r>
        <w:rPr>
          <w:rFonts w:ascii="Segoe UI"/>
          <w:color w:val="231F20"/>
        </w:rPr>
        <w:t>staff based</w:t>
      </w:r>
      <w:r>
        <w:rPr>
          <w:rFonts w:ascii="Segoe UI"/>
          <w:color w:val="231F20"/>
          <w:spacing w:val="-1"/>
        </w:rPr>
        <w:t> </w:t>
      </w:r>
      <w:r>
        <w:rPr>
          <w:rFonts w:ascii="Segoe UI"/>
          <w:color w:val="231F20"/>
        </w:rPr>
        <w:t>in Cape</w:t>
      </w:r>
      <w:r>
        <w:rPr>
          <w:rFonts w:ascii="Segoe UI"/>
          <w:color w:val="231F20"/>
          <w:spacing w:val="-1"/>
        </w:rPr>
        <w:t> </w:t>
      </w:r>
      <w:r>
        <w:rPr>
          <w:rFonts w:ascii="Segoe UI"/>
          <w:color w:val="231F20"/>
          <w:spacing w:val="-5"/>
        </w:rPr>
        <w:t>York</w:t>
      </w:r>
      <w:r>
        <w:rPr>
          <w:rFonts w:ascii="Segoe UI"/>
          <w:color w:val="231F20"/>
        </w:rPr>
        <w:t> communities</w:t>
      </w:r>
      <w:r>
        <w:rPr>
          <w:rFonts w:ascii="Segoe UI"/>
          <w:color w:val="231F20"/>
          <w:spacing w:val="22"/>
        </w:rPr>
        <w:t> </w:t>
      </w:r>
      <w:r>
        <w:rPr>
          <w:color w:val="231F20"/>
        </w:rPr>
        <w:t>(Cooktown,</w:t>
      </w:r>
      <w:r>
        <w:rPr>
          <w:color w:val="231F20"/>
          <w:spacing w:val="-7"/>
        </w:rPr>
        <w:t> </w:t>
      </w:r>
      <w:r>
        <w:rPr>
          <w:color w:val="231F20"/>
          <w:spacing w:val="-1"/>
        </w:rPr>
        <w:t>Pormpuraaw,</w:t>
      </w:r>
      <w:r>
        <w:rPr>
          <w:color w:val="231F20"/>
          <w:spacing w:val="-6"/>
        </w:rPr>
        <w:t> </w:t>
      </w:r>
      <w:r>
        <w:rPr>
          <w:color w:val="231F20"/>
        </w:rPr>
        <w:t>and</w:t>
      </w:r>
      <w:r>
        <w:rPr>
          <w:color w:val="231F20"/>
          <w:spacing w:val="-6"/>
        </w:rPr>
        <w:t> </w:t>
      </w:r>
      <w:r>
        <w:rPr>
          <w:color w:val="231F20"/>
          <w:spacing w:val="-1"/>
        </w:rPr>
        <w:t>soon</w:t>
      </w:r>
      <w:r>
        <w:rPr>
          <w:color w:val="231F20"/>
          <w:spacing w:val="-6"/>
        </w:rPr>
        <w:t> </w:t>
      </w:r>
      <w:r>
        <w:rPr>
          <w:color w:val="231F20"/>
        </w:rPr>
        <w:t>to</w:t>
      </w:r>
      <w:r>
        <w:rPr>
          <w:color w:val="231F20"/>
          <w:spacing w:val="-5"/>
        </w:rPr>
        <w:t> </w:t>
      </w:r>
      <w:r>
        <w:rPr>
          <w:color w:val="231F20"/>
        </w:rPr>
        <w:t>be</w:t>
      </w:r>
      <w:r>
        <w:rPr>
          <w:color w:val="231F20"/>
          <w:spacing w:val="25"/>
          <w:w w:val="99"/>
        </w:rPr>
        <w:t> </w:t>
      </w:r>
      <w:r>
        <w:rPr>
          <w:color w:val="231F20"/>
        </w:rPr>
        <w:t>added</w:t>
      </w:r>
      <w:r>
        <w:rPr>
          <w:color w:val="231F20"/>
          <w:spacing w:val="-11"/>
        </w:rPr>
        <w:t> </w:t>
      </w:r>
      <w:r>
        <w:rPr>
          <w:color w:val="231F20"/>
          <w:spacing w:val="-1"/>
        </w:rPr>
        <w:t>Doomadgee</w:t>
      </w:r>
      <w:r>
        <w:rPr>
          <w:color w:val="231F20"/>
          <w:spacing w:val="-9"/>
        </w:rPr>
        <w:t> </w:t>
      </w:r>
      <w:r>
        <w:rPr>
          <w:color w:val="231F20"/>
        </w:rPr>
        <w:t>and</w:t>
      </w:r>
      <w:r>
        <w:rPr>
          <w:color w:val="231F20"/>
          <w:spacing w:val="-10"/>
        </w:rPr>
        <w:t> </w:t>
      </w:r>
      <w:r>
        <w:rPr>
          <w:color w:val="231F20"/>
        </w:rPr>
        <w:t>Mornington</w:t>
      </w:r>
      <w:r>
        <w:rPr>
          <w:color w:val="231F20"/>
          <w:spacing w:val="-9"/>
        </w:rPr>
        <w:t> </w:t>
      </w:r>
      <w:r>
        <w:rPr>
          <w:color w:val="231F20"/>
          <w:spacing w:val="-1"/>
        </w:rPr>
        <w:t>Island),</w:t>
      </w:r>
      <w:r>
        <w:rPr>
          <w:color w:val="231F20"/>
          <w:spacing w:val="21"/>
          <w:w w:val="99"/>
        </w:rPr>
        <w:t> </w:t>
      </w:r>
      <w:r>
        <w:rPr>
          <w:color w:val="231F20"/>
          <w:spacing w:val="-2"/>
        </w:rPr>
        <w:t>Townsville</w:t>
      </w:r>
      <w:r>
        <w:rPr>
          <w:color w:val="231F20"/>
          <w:spacing w:val="-6"/>
        </w:rPr>
        <w:t> </w:t>
      </w:r>
      <w:r>
        <w:rPr>
          <w:color w:val="231F20"/>
        </w:rPr>
        <w:t>and</w:t>
      </w:r>
      <w:r>
        <w:rPr>
          <w:color w:val="231F20"/>
          <w:spacing w:val="-5"/>
        </w:rPr>
        <w:t> </w:t>
      </w:r>
      <w:r>
        <w:rPr>
          <w:color w:val="231F20"/>
          <w:spacing w:val="-2"/>
        </w:rPr>
        <w:t>Toowoomba.</w:t>
      </w:r>
      <w:r>
        <w:rPr>
          <w:color w:val="231F20"/>
          <w:spacing w:val="-5"/>
        </w:rPr>
        <w:t> </w:t>
      </w:r>
      <w:r>
        <w:rPr>
          <w:color w:val="231F20"/>
          <w:spacing w:val="-2"/>
        </w:rPr>
        <w:t>TSS</w:t>
      </w:r>
      <w:r>
        <w:rPr>
          <w:color w:val="231F20"/>
          <w:spacing w:val="-4"/>
        </w:rPr>
        <w:t> </w:t>
      </w:r>
      <w:r>
        <w:rPr>
          <w:color w:val="231F20"/>
        </w:rPr>
        <w:t>assists</w:t>
      </w:r>
      <w:r>
        <w:rPr>
          <w:color w:val="231F20"/>
          <w:spacing w:val="20"/>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5"/>
        </w:rPr>
        <w:t> </w:t>
      </w:r>
      <w:r>
        <w:rPr>
          <w:color w:val="231F20"/>
          <w:spacing w:val="-1"/>
        </w:rPr>
        <w:t>Islander</w:t>
      </w:r>
      <w:r>
        <w:rPr>
          <w:color w:val="231F20"/>
          <w:spacing w:val="-5"/>
        </w:rPr>
        <w:t> </w:t>
      </w:r>
      <w:r>
        <w:rPr>
          <w:color w:val="231F20"/>
          <w:spacing w:val="-1"/>
        </w:rPr>
        <w:t>students</w:t>
      </w:r>
      <w:r>
        <w:rPr>
          <w:color w:val="231F20"/>
          <w:spacing w:val="20"/>
        </w:rPr>
        <w:t> </w:t>
      </w:r>
      <w:r>
        <w:rPr>
          <w:color w:val="231F20"/>
        </w:rPr>
        <w:t>attending</w:t>
      </w:r>
      <w:r>
        <w:rPr>
          <w:color w:val="231F20"/>
          <w:spacing w:val="-9"/>
        </w:rPr>
        <w:t> </w:t>
      </w:r>
      <w:r>
        <w:rPr>
          <w:color w:val="231F20"/>
        </w:rPr>
        <w:t>boarding</w:t>
      </w:r>
      <w:r>
        <w:rPr>
          <w:color w:val="231F20"/>
          <w:spacing w:val="-9"/>
        </w:rPr>
        <w:t> </w:t>
      </w:r>
      <w:r>
        <w:rPr>
          <w:color w:val="231F20"/>
          <w:spacing w:val="-1"/>
        </w:rPr>
        <w:t>schools.</w:t>
      </w:r>
      <w:r>
        <w:rPr>
          <w:color w:val="231F20"/>
          <w:spacing w:val="-7"/>
        </w:rPr>
        <w:t> </w:t>
      </w:r>
      <w:r>
        <w:rPr>
          <w:color w:val="231F20"/>
          <w:spacing w:val="-1"/>
        </w:rPr>
        <w:t>It</w:t>
      </w:r>
      <w:r>
        <w:rPr>
          <w:color w:val="231F20"/>
          <w:spacing w:val="-8"/>
        </w:rPr>
        <w:t> </w:t>
      </w:r>
      <w:r>
        <w:rPr>
          <w:color w:val="231F20"/>
        </w:rPr>
        <w:t>predominately</w:t>
      </w:r>
      <w:r>
        <w:rPr>
          <w:color w:val="231F20"/>
          <w:spacing w:val="23"/>
          <w:w w:val="99"/>
        </w:rPr>
        <w:t> </w:t>
      </w:r>
      <w:r>
        <w:rPr>
          <w:color w:val="231F20"/>
        </w:rPr>
        <w:t>assists</w:t>
      </w:r>
      <w:r>
        <w:rPr>
          <w:color w:val="231F20"/>
          <w:spacing w:val="-3"/>
        </w:rPr>
        <w:t> </w:t>
      </w:r>
      <w:r>
        <w:rPr>
          <w:color w:val="231F20"/>
          <w:spacing w:val="-1"/>
        </w:rPr>
        <w:t>students</w:t>
      </w:r>
      <w:r>
        <w:rPr>
          <w:color w:val="231F20"/>
          <w:spacing w:val="-2"/>
        </w:rPr>
        <w:t> </w:t>
      </w:r>
      <w:r>
        <w:rPr>
          <w:color w:val="231F20"/>
        </w:rPr>
        <w:t>from</w:t>
      </w:r>
      <w:r>
        <w:rPr>
          <w:color w:val="231F20"/>
          <w:spacing w:val="-2"/>
        </w:rPr>
        <w:t> </w:t>
      </w:r>
      <w:r>
        <w:rPr>
          <w:color w:val="231F20"/>
          <w:spacing w:val="-1"/>
        </w:rPr>
        <w:t>Cape</w:t>
      </w:r>
      <w:r>
        <w:rPr>
          <w:color w:val="231F20"/>
          <w:spacing w:val="-2"/>
        </w:rPr>
        <w:t> </w:t>
      </w:r>
      <w:r>
        <w:rPr>
          <w:color w:val="231F20"/>
          <w:spacing w:val="-6"/>
        </w:rPr>
        <w:t>York</w:t>
      </w:r>
      <w:r>
        <w:rPr>
          <w:color w:val="231F20"/>
          <w:spacing w:val="-2"/>
        </w:rPr>
        <w:t> </w:t>
      </w:r>
      <w:r>
        <w:rPr>
          <w:color w:val="231F20"/>
        </w:rPr>
        <w:t>and</w:t>
      </w:r>
      <w:r>
        <w:rPr>
          <w:color w:val="231F20"/>
          <w:spacing w:val="-3"/>
        </w:rPr>
        <w:t> </w:t>
      </w:r>
      <w:r>
        <w:rPr>
          <w:color w:val="231F20"/>
          <w:spacing w:val="-2"/>
        </w:rPr>
        <w:t>Palm</w:t>
      </w:r>
      <w:r>
        <w:rPr/>
      </w:r>
    </w:p>
    <w:p>
      <w:pPr>
        <w:pStyle w:val="BodyText"/>
        <w:spacing w:line="250" w:lineRule="exact"/>
        <w:ind w:left="100" w:right="14"/>
        <w:jc w:val="both"/>
      </w:pPr>
      <w:r>
        <w:rPr>
          <w:color w:val="231F20"/>
          <w:spacing w:val="-1"/>
        </w:rPr>
        <w:t>Island</w:t>
      </w:r>
      <w:r>
        <w:rPr>
          <w:color w:val="231F20"/>
          <w:spacing w:val="-3"/>
        </w:rPr>
        <w:t> </w:t>
      </w:r>
      <w:r>
        <w:rPr>
          <w:color w:val="231F20"/>
        </w:rPr>
        <w:t>but</w:t>
      </w:r>
      <w:r>
        <w:rPr>
          <w:color w:val="231F20"/>
          <w:spacing w:val="-3"/>
        </w:rPr>
        <w:t> </w:t>
      </w:r>
      <w:r>
        <w:rPr>
          <w:color w:val="231F20"/>
        </w:rPr>
        <w:t>also</w:t>
      </w:r>
      <w:r>
        <w:rPr>
          <w:color w:val="231F20"/>
          <w:spacing w:val="-4"/>
        </w:rPr>
        <w:t> </w:t>
      </w:r>
      <w:r>
        <w:rPr>
          <w:color w:val="231F20"/>
        </w:rPr>
        <w:t>assists</w:t>
      </w:r>
      <w:r>
        <w:rPr>
          <w:color w:val="231F20"/>
          <w:spacing w:val="-3"/>
        </w:rPr>
        <w:t> </w:t>
      </w:r>
      <w:r>
        <w:rPr>
          <w:color w:val="231F20"/>
        </w:rPr>
        <w:t>Aboriginal</w:t>
      </w:r>
      <w:r>
        <w:rPr>
          <w:color w:val="231F20"/>
          <w:spacing w:val="-3"/>
        </w:rPr>
        <w:t> </w:t>
      </w:r>
      <w:r>
        <w:rPr>
          <w:color w:val="231F20"/>
          <w:spacing w:val="-1"/>
        </w:rPr>
        <w:t>students</w:t>
      </w:r>
      <w:r>
        <w:rPr>
          <w:color w:val="231F20"/>
          <w:spacing w:val="-2"/>
        </w:rPr>
        <w:t> </w:t>
      </w:r>
      <w:r>
        <w:rPr>
          <w:color w:val="231F20"/>
        </w:rPr>
        <w:t>from</w:t>
      </w:r>
      <w:r>
        <w:rPr>
          <w:color w:val="231F20"/>
          <w:spacing w:val="23"/>
          <w:w w:val="99"/>
        </w:rPr>
        <w:t> </w:t>
      </w:r>
      <w:r>
        <w:rPr>
          <w:color w:val="231F20"/>
        </w:rPr>
        <w:t>other</w:t>
      </w:r>
      <w:r>
        <w:rPr>
          <w:color w:val="231F20"/>
          <w:spacing w:val="-5"/>
        </w:rPr>
        <w:t> </w:t>
      </w:r>
      <w:r>
        <w:rPr>
          <w:color w:val="231F20"/>
          <w:spacing w:val="-1"/>
        </w:rPr>
        <w:t>jurisdictions</w:t>
      </w:r>
      <w:r>
        <w:rPr>
          <w:color w:val="231F20"/>
          <w:spacing w:val="-4"/>
        </w:rPr>
        <w:t> </w:t>
      </w:r>
      <w:r>
        <w:rPr>
          <w:color w:val="231F20"/>
        </w:rPr>
        <w:t>that</w:t>
      </w:r>
      <w:r>
        <w:rPr>
          <w:color w:val="231F20"/>
          <w:spacing w:val="-4"/>
        </w:rPr>
        <w:t> </w:t>
      </w:r>
      <w:r>
        <w:rPr>
          <w:color w:val="231F20"/>
        </w:rPr>
        <w:t>are</w:t>
      </w:r>
      <w:r>
        <w:rPr>
          <w:color w:val="231F20"/>
          <w:spacing w:val="-5"/>
        </w:rPr>
        <w:t> </w:t>
      </w:r>
      <w:r>
        <w:rPr>
          <w:color w:val="231F20"/>
        </w:rPr>
        <w:t>attending</w:t>
      </w:r>
      <w:r>
        <w:rPr>
          <w:color w:val="231F20"/>
          <w:spacing w:val="-5"/>
        </w:rPr>
        <w:t> </w:t>
      </w:r>
      <w:r>
        <w:rPr>
          <w:color w:val="231F20"/>
        </w:rPr>
        <w:t>boarding</w:t>
      </w:r>
      <w:r>
        <w:rPr>
          <w:color w:val="231F20"/>
          <w:spacing w:val="22"/>
          <w:w w:val="99"/>
        </w:rPr>
        <w:t> </w:t>
      </w:r>
      <w:r>
        <w:rPr>
          <w:color w:val="231F20"/>
          <w:spacing w:val="-1"/>
        </w:rPr>
        <w:t>schools</w:t>
      </w:r>
      <w:r>
        <w:rPr>
          <w:color w:val="231F20"/>
          <w:spacing w:val="-6"/>
        </w:rPr>
        <w:t> </w:t>
      </w:r>
      <w:r>
        <w:rPr>
          <w:color w:val="231F20"/>
          <w:spacing w:val="-1"/>
        </w:rPr>
        <w:t>in</w:t>
      </w:r>
      <w:r>
        <w:rPr>
          <w:color w:val="231F20"/>
          <w:spacing w:val="-5"/>
        </w:rPr>
        <w:t> </w:t>
      </w:r>
      <w:r>
        <w:rPr>
          <w:color w:val="231F20"/>
        </w:rPr>
        <w:t>Queensland.</w:t>
      </w:r>
      <w:r>
        <w:rPr/>
      </w:r>
    </w:p>
    <w:p>
      <w:pPr>
        <w:pStyle w:val="BodyText"/>
        <w:spacing w:line="258" w:lineRule="exact" w:before="97"/>
        <w:ind w:left="100" w:right="0"/>
        <w:jc w:val="left"/>
        <w:rPr>
          <w:rFonts w:ascii="Segoe UI" w:hAnsi="Segoe UI" w:cs="Segoe UI" w:eastAsia="Segoe UI"/>
        </w:rPr>
      </w:pPr>
      <w:r>
        <w:rPr>
          <w:rFonts w:ascii="Segoe UI"/>
          <w:color w:val="231F20"/>
        </w:rPr>
        <w:t>The</w:t>
      </w:r>
      <w:r>
        <w:rPr>
          <w:rFonts w:ascii="Segoe UI"/>
          <w:color w:val="231F20"/>
          <w:spacing w:val="-1"/>
        </w:rPr>
        <w:t> </w:t>
      </w:r>
      <w:r>
        <w:rPr>
          <w:rFonts w:ascii="Segoe UI"/>
          <w:color w:val="231F20"/>
          <w:spacing w:val="-2"/>
        </w:rPr>
        <w:t>TSS</w:t>
      </w:r>
      <w:r>
        <w:rPr>
          <w:rFonts w:ascii="Segoe UI"/>
          <w:color w:val="231F20"/>
        </w:rPr>
        <w:t> has</w:t>
      </w:r>
      <w:r>
        <w:rPr>
          <w:rFonts w:ascii="Segoe UI"/>
          <w:color w:val="231F20"/>
          <w:spacing w:val="-1"/>
        </w:rPr>
        <w:t> </w:t>
      </w:r>
      <w:r>
        <w:rPr>
          <w:rFonts w:ascii="Segoe UI"/>
          <w:color w:val="231F20"/>
        </w:rPr>
        <w:t>12.3 full</w:t>
      </w:r>
      <w:r>
        <w:rPr>
          <w:rFonts w:ascii="Segoe UI"/>
          <w:color w:val="231F20"/>
          <w:spacing w:val="-1"/>
        </w:rPr>
        <w:t> </w:t>
      </w:r>
      <w:r>
        <w:rPr>
          <w:rFonts w:ascii="Segoe UI"/>
          <w:color w:val="231F20"/>
        </w:rPr>
        <w:t>time equivalent</w:t>
      </w:r>
      <w:r>
        <w:rPr>
          <w:rFonts w:ascii="Segoe UI"/>
          <w:color w:val="231F20"/>
          <w:spacing w:val="-1"/>
        </w:rPr>
        <w:t> </w:t>
      </w:r>
      <w:r>
        <w:rPr>
          <w:rFonts w:ascii="Segoe UI"/>
          <w:color w:val="231F20"/>
        </w:rPr>
        <w:t>staff and</w:t>
      </w:r>
      <w:r>
        <w:rPr>
          <w:rFonts w:ascii="Segoe UI"/>
        </w:rPr>
      </w:r>
    </w:p>
    <w:p>
      <w:pPr>
        <w:pStyle w:val="BodyText"/>
        <w:spacing w:line="258" w:lineRule="exact"/>
        <w:ind w:left="100" w:right="0"/>
        <w:jc w:val="left"/>
      </w:pPr>
      <w:r>
        <w:rPr>
          <w:color w:val="231F20"/>
        </w:rPr>
        <w:t>an</w:t>
      </w:r>
      <w:r>
        <w:rPr>
          <w:color w:val="231F20"/>
          <w:spacing w:val="-5"/>
        </w:rPr>
        <w:t> </w:t>
      </w:r>
      <w:r>
        <w:rPr>
          <w:color w:val="231F20"/>
        </w:rPr>
        <w:t>annual</w:t>
      </w:r>
      <w:r>
        <w:rPr>
          <w:color w:val="231F20"/>
          <w:spacing w:val="-5"/>
        </w:rPr>
        <w:t> </w:t>
      </w:r>
      <w:r>
        <w:rPr>
          <w:color w:val="231F20"/>
        </w:rPr>
        <w:t>budget</w:t>
      </w:r>
      <w:r>
        <w:rPr>
          <w:color w:val="231F20"/>
          <w:spacing w:val="-5"/>
        </w:rPr>
        <w:t> </w:t>
      </w:r>
      <w:r>
        <w:rPr>
          <w:color w:val="231F20"/>
        </w:rPr>
        <w:t>of</w:t>
      </w:r>
      <w:r>
        <w:rPr>
          <w:color w:val="231F20"/>
          <w:spacing w:val="-4"/>
        </w:rPr>
        <w:t> </w:t>
      </w:r>
      <w:r>
        <w:rPr>
          <w:color w:val="231F20"/>
          <w:spacing w:val="-1"/>
        </w:rPr>
        <w:t>$1.3</w:t>
      </w:r>
      <w:r>
        <w:rPr>
          <w:color w:val="231F20"/>
          <w:spacing w:val="-4"/>
        </w:rPr>
        <w:t> </w:t>
      </w:r>
      <w:r>
        <w:rPr>
          <w:color w:val="231F20"/>
          <w:spacing w:val="-1"/>
        </w:rPr>
        <w:t>million.</w:t>
      </w:r>
      <w:r>
        <w:rPr/>
      </w:r>
    </w:p>
    <w:p>
      <w:pPr>
        <w:pStyle w:val="BodyText"/>
        <w:spacing w:line="250" w:lineRule="exact" w:before="113"/>
        <w:ind w:left="100" w:right="116"/>
        <w:jc w:val="left"/>
      </w:pPr>
      <w:r>
        <w:rPr>
          <w:color w:val="231F20"/>
          <w:spacing w:val="-1"/>
        </w:rPr>
        <w:t>Since</w:t>
      </w:r>
      <w:r>
        <w:rPr>
          <w:color w:val="231F20"/>
          <w:spacing w:val="-5"/>
        </w:rPr>
        <w:t> </w:t>
      </w:r>
      <w:r>
        <w:rPr>
          <w:color w:val="231F20"/>
          <w:spacing w:val="-1"/>
        </w:rPr>
        <w:t>2008</w:t>
      </w:r>
      <w:r>
        <w:rPr>
          <w:color w:val="231F20"/>
          <w:spacing w:val="-5"/>
        </w:rPr>
        <w:t> </w:t>
      </w:r>
      <w:r>
        <w:rPr>
          <w:color w:val="231F20"/>
          <w:spacing w:val="-2"/>
        </w:rPr>
        <w:t>TSS</w:t>
      </w:r>
      <w:r>
        <w:rPr>
          <w:color w:val="231F20"/>
          <w:spacing w:val="-4"/>
        </w:rPr>
        <w:t> </w:t>
      </w:r>
      <w:r>
        <w:rPr>
          <w:color w:val="231F20"/>
        </w:rPr>
        <w:t>has</w:t>
      </w:r>
      <w:r>
        <w:rPr>
          <w:color w:val="231F20"/>
          <w:spacing w:val="-6"/>
        </w:rPr>
        <w:t> </w:t>
      </w:r>
      <w:r>
        <w:rPr>
          <w:color w:val="231F20"/>
          <w:spacing w:val="-1"/>
        </w:rPr>
        <w:t>supported</w:t>
      </w:r>
      <w:r>
        <w:rPr>
          <w:color w:val="231F20"/>
          <w:spacing w:val="-3"/>
        </w:rPr>
        <w:t> </w:t>
      </w:r>
      <w:r>
        <w:rPr>
          <w:color w:val="231F20"/>
        </w:rPr>
        <w:t>approximately</w:t>
      </w:r>
      <w:r>
        <w:rPr>
          <w:color w:val="231F20"/>
          <w:spacing w:val="25"/>
          <w:w w:val="99"/>
        </w:rPr>
        <w:t> </w:t>
      </w:r>
      <w:r>
        <w:rPr>
          <w:color w:val="231F20"/>
          <w:spacing w:val="-1"/>
        </w:rPr>
        <w:t>1,500</w:t>
      </w:r>
      <w:r>
        <w:rPr>
          <w:color w:val="231F20"/>
          <w:spacing w:val="-3"/>
        </w:rPr>
        <w:t> </w:t>
      </w:r>
      <w:r>
        <w:rPr>
          <w:color w:val="231F20"/>
          <w:spacing w:val="-1"/>
        </w:rPr>
        <w:t>students.</w:t>
      </w:r>
      <w:r>
        <w:rPr>
          <w:color w:val="231F20"/>
          <w:spacing w:val="-3"/>
        </w:rPr>
        <w:t> </w:t>
      </w:r>
      <w:r>
        <w:rPr>
          <w:color w:val="231F20"/>
          <w:spacing w:val="-1"/>
        </w:rPr>
        <w:t>In</w:t>
      </w:r>
      <w:r>
        <w:rPr>
          <w:color w:val="231F20"/>
          <w:spacing w:val="-3"/>
        </w:rPr>
        <w:t> </w:t>
      </w:r>
      <w:r>
        <w:rPr>
          <w:color w:val="231F20"/>
          <w:spacing w:val="-1"/>
        </w:rPr>
        <w:t>2018</w:t>
      </w:r>
      <w:r>
        <w:rPr>
          <w:color w:val="231F20"/>
          <w:spacing w:val="-3"/>
        </w:rPr>
        <w:t> </w:t>
      </w:r>
      <w:r>
        <w:rPr>
          <w:color w:val="231F20"/>
          <w:spacing w:val="-2"/>
        </w:rPr>
        <w:t>TSS</w:t>
      </w:r>
      <w:r>
        <w:rPr>
          <w:color w:val="231F20"/>
          <w:spacing w:val="-3"/>
        </w:rPr>
        <w:t> </w:t>
      </w:r>
      <w:r>
        <w:rPr>
          <w:color w:val="231F20"/>
          <w:spacing w:val="-1"/>
        </w:rPr>
        <w:t>supported</w:t>
      </w:r>
      <w:r>
        <w:rPr>
          <w:color w:val="231F20"/>
          <w:spacing w:val="-2"/>
        </w:rPr>
        <w:t> </w:t>
      </w:r>
      <w:r>
        <w:rPr>
          <w:color w:val="231F20"/>
          <w:spacing w:val="-1"/>
        </w:rPr>
        <w:t>320</w:t>
      </w:r>
      <w:r>
        <w:rPr>
          <w:color w:val="231F20"/>
          <w:spacing w:val="26"/>
        </w:rPr>
        <w:t> </w:t>
      </w:r>
      <w:r>
        <w:rPr>
          <w:color w:val="231F20"/>
          <w:spacing w:val="-1"/>
        </w:rPr>
        <w:t>students</w:t>
      </w:r>
      <w:r>
        <w:rPr>
          <w:color w:val="231F20"/>
          <w:spacing w:val="-2"/>
        </w:rPr>
        <w:t> </w:t>
      </w:r>
      <w:r>
        <w:rPr>
          <w:color w:val="231F20"/>
          <w:spacing w:val="-1"/>
        </w:rPr>
        <w:t>in </w:t>
      </w:r>
      <w:r>
        <w:rPr>
          <w:color w:val="231F20"/>
        </w:rPr>
        <w:t>community</w:t>
      </w:r>
      <w:r>
        <w:rPr>
          <w:color w:val="231F20"/>
          <w:spacing w:val="-2"/>
        </w:rPr>
        <w:t> </w:t>
      </w:r>
      <w:r>
        <w:rPr>
          <w:color w:val="231F20"/>
        </w:rPr>
        <w:t>and</w:t>
      </w:r>
      <w:r>
        <w:rPr>
          <w:color w:val="231F20"/>
          <w:spacing w:val="-2"/>
        </w:rPr>
        <w:t> </w:t>
      </w:r>
      <w:r>
        <w:rPr>
          <w:color w:val="231F20"/>
          <w:spacing w:val="-1"/>
        </w:rPr>
        <w:t>in </w:t>
      </w:r>
      <w:r>
        <w:rPr>
          <w:color w:val="231F20"/>
        </w:rPr>
        <w:t>up</w:t>
      </w:r>
      <w:r>
        <w:rPr>
          <w:color w:val="231F20"/>
          <w:spacing w:val="-1"/>
        </w:rPr>
        <w:t> </w:t>
      </w:r>
      <w:r>
        <w:rPr>
          <w:color w:val="231F20"/>
        </w:rPr>
        <w:t>to</w:t>
      </w:r>
      <w:r>
        <w:rPr>
          <w:color w:val="231F20"/>
          <w:spacing w:val="-1"/>
        </w:rPr>
        <w:t> 30</w:t>
      </w:r>
      <w:r>
        <w:rPr>
          <w:color w:val="231F20"/>
          <w:spacing w:val="23"/>
        </w:rPr>
        <w:t> </w:t>
      </w:r>
      <w:r>
        <w:rPr>
          <w:color w:val="231F20"/>
        </w:rPr>
        <w:t>boarding</w:t>
      </w:r>
      <w:r>
        <w:rPr>
          <w:color w:val="231F20"/>
          <w:spacing w:val="-7"/>
        </w:rPr>
        <w:t> </w:t>
      </w:r>
      <w:r>
        <w:rPr>
          <w:color w:val="231F20"/>
        </w:rPr>
        <w:t>providers</w:t>
      </w:r>
      <w:r>
        <w:rPr>
          <w:color w:val="231F20"/>
          <w:spacing w:val="-6"/>
        </w:rPr>
        <w:t> </w:t>
      </w:r>
      <w:r>
        <w:rPr>
          <w:color w:val="231F20"/>
          <w:spacing w:val="-1"/>
        </w:rPr>
        <w:t>in</w:t>
      </w:r>
      <w:r>
        <w:rPr>
          <w:color w:val="231F20"/>
          <w:spacing w:val="-6"/>
        </w:rPr>
        <w:t> </w:t>
      </w:r>
      <w:r>
        <w:rPr>
          <w:color w:val="231F20"/>
          <w:spacing w:val="-1"/>
        </w:rPr>
        <w:t>Queensland.</w:t>
      </w:r>
      <w:r>
        <w:rPr>
          <w:rFonts w:ascii="Segoe UI Semibold"/>
          <w:b/>
          <w:color w:val="231F20"/>
          <w:spacing w:val="-1"/>
          <w:position w:val="7"/>
          <w:sz w:val="11"/>
        </w:rPr>
        <w:t>81</w:t>
      </w:r>
      <w:r>
        <w:rPr>
          <w:rFonts w:ascii="Segoe UI Semibold"/>
          <w:b/>
          <w:color w:val="231F20"/>
          <w:spacing w:val="19"/>
          <w:position w:val="7"/>
          <w:sz w:val="11"/>
        </w:rPr>
        <w:t> </w:t>
      </w:r>
      <w:r>
        <w:rPr>
          <w:color w:val="231F20"/>
        </w:rPr>
        <w:t>The</w:t>
      </w:r>
      <w:r>
        <w:rPr>
          <w:color w:val="231F20"/>
          <w:spacing w:val="-6"/>
        </w:rPr>
        <w:t> </w:t>
      </w:r>
      <w:r>
        <w:rPr>
          <w:color w:val="231F20"/>
        </w:rPr>
        <w:t>role</w:t>
      </w:r>
      <w:r>
        <w:rPr>
          <w:color w:val="231F20"/>
          <w:spacing w:val="25"/>
          <w:w w:val="99"/>
        </w:rPr>
        <w:t> </w:t>
      </w:r>
      <w:r>
        <w:rPr>
          <w:color w:val="231F20"/>
        </w:rPr>
        <w:t>of</w:t>
      </w:r>
      <w:r>
        <w:rPr>
          <w:color w:val="231F20"/>
          <w:spacing w:val="-2"/>
        </w:rPr>
        <w:t> TSS </w:t>
      </w:r>
      <w:r>
        <w:rPr>
          <w:color w:val="231F20"/>
          <w:spacing w:val="-1"/>
        </w:rPr>
        <w:t>is</w:t>
      </w:r>
      <w:r>
        <w:rPr>
          <w:color w:val="231F20"/>
          <w:spacing w:val="-3"/>
        </w:rPr>
        <w:t> </w:t>
      </w:r>
      <w:r>
        <w:rPr>
          <w:color w:val="231F20"/>
        </w:rPr>
        <w:t>to:</w:t>
      </w:r>
      <w:r>
        <w:rPr/>
      </w:r>
    </w:p>
    <w:p>
      <w:pPr>
        <w:pStyle w:val="BodyText"/>
        <w:spacing w:line="250" w:lineRule="exact" w:before="113"/>
        <w:ind w:left="327" w:right="0" w:hanging="227"/>
        <w:jc w:val="left"/>
      </w:pPr>
      <w:r>
        <w:rPr>
          <w:rFonts w:ascii="Century Gothic" w:hAnsi="Century Gothic" w:cs="Century Gothic" w:eastAsia="Century Gothic"/>
          <w:color w:val="231F20"/>
        </w:rPr>
        <w:t>» </w:t>
      </w:r>
      <w:r>
        <w:rPr>
          <w:rFonts w:ascii="Century Gothic" w:hAnsi="Century Gothic" w:cs="Century Gothic" w:eastAsia="Century Gothic"/>
          <w:color w:val="231F20"/>
          <w:spacing w:val="25"/>
        </w:rPr>
        <w:t> </w:t>
      </w:r>
      <w:r>
        <w:rPr>
          <w:color w:val="231F20"/>
        </w:rPr>
        <w:t>assist</w:t>
      </w:r>
      <w:r>
        <w:rPr>
          <w:color w:val="231F20"/>
          <w:spacing w:val="-3"/>
        </w:rPr>
        <w:t> </w:t>
      </w:r>
      <w:r>
        <w:rPr>
          <w:color w:val="231F20"/>
        </w:rPr>
        <w:t>families</w:t>
      </w:r>
      <w:r>
        <w:rPr>
          <w:color w:val="231F20"/>
          <w:spacing w:val="-3"/>
        </w:rPr>
        <w:t> </w:t>
      </w:r>
      <w:r>
        <w:rPr>
          <w:color w:val="231F20"/>
        </w:rPr>
        <w:t>to</w:t>
      </w:r>
      <w:r>
        <w:rPr>
          <w:color w:val="231F20"/>
          <w:spacing w:val="-3"/>
        </w:rPr>
        <w:t> </w:t>
      </w:r>
      <w:r>
        <w:rPr>
          <w:color w:val="231F20"/>
          <w:spacing w:val="-1"/>
        </w:rPr>
        <w:t>identify</w:t>
      </w:r>
      <w:r>
        <w:rPr>
          <w:color w:val="231F20"/>
          <w:spacing w:val="-2"/>
        </w:rPr>
        <w:t> </w:t>
      </w:r>
      <w:r>
        <w:rPr>
          <w:color w:val="231F20"/>
        </w:rPr>
        <w:t>a</w:t>
      </w:r>
      <w:r>
        <w:rPr>
          <w:color w:val="231F20"/>
          <w:spacing w:val="-2"/>
        </w:rPr>
        <w:t> </w:t>
      </w:r>
      <w:r>
        <w:rPr>
          <w:color w:val="231F20"/>
        </w:rPr>
        <w:t>boarding</w:t>
      </w:r>
      <w:r>
        <w:rPr>
          <w:color w:val="231F20"/>
          <w:spacing w:val="-3"/>
        </w:rPr>
        <w:t> </w:t>
      </w:r>
      <w:r>
        <w:rPr>
          <w:color w:val="231F20"/>
        </w:rPr>
        <w:t>facility</w:t>
      </w:r>
      <w:r>
        <w:rPr>
          <w:color w:val="231F20"/>
          <w:spacing w:val="22"/>
        </w:rPr>
        <w:t> </w:t>
      </w:r>
      <w:r>
        <w:rPr>
          <w:rFonts w:ascii="Segoe UI" w:hAnsi="Segoe UI" w:cs="Segoe UI" w:eastAsia="Segoe UI"/>
          <w:color w:val="231F20"/>
        </w:rPr>
        <w:t>that will be ‘best fit’ for each individual</w:t>
      </w:r>
      <w:r>
        <w:rPr>
          <w:rFonts w:ascii="Segoe UI" w:hAnsi="Segoe UI" w:cs="Segoe UI" w:eastAsia="Segoe UI"/>
          <w:color w:val="231F20"/>
        </w:rPr>
        <w:t> </w:t>
      </w:r>
      <w:r>
        <w:rPr>
          <w:color w:val="231F20"/>
          <w:spacing w:val="-1"/>
        </w:rPr>
        <w:t>student</w:t>
      </w:r>
      <w:r>
        <w:rPr/>
      </w:r>
    </w:p>
    <w:p>
      <w:pPr>
        <w:pStyle w:val="BodyText"/>
        <w:spacing w:line="250" w:lineRule="exact" w:before="113"/>
        <w:ind w:left="327" w:right="0" w:hanging="227"/>
        <w:jc w:val="left"/>
        <w:rPr>
          <w:rFonts w:ascii="Segoe UI Semibold" w:hAnsi="Segoe UI Semibold" w:cs="Segoe UI Semibold" w:eastAsia="Segoe UI Semibold"/>
          <w:sz w:val="11"/>
          <w:szCs w:val="11"/>
        </w:rPr>
      </w:pPr>
      <w:r>
        <w:rPr>
          <w:rFonts w:ascii="Century Gothic" w:hAnsi="Century Gothic"/>
          <w:color w:val="231F20"/>
        </w:rPr>
        <w:t>» </w:t>
      </w:r>
      <w:r>
        <w:rPr>
          <w:rFonts w:ascii="Century Gothic" w:hAnsi="Century Gothic"/>
          <w:color w:val="231F20"/>
          <w:spacing w:val="27"/>
        </w:rPr>
        <w:t> </w:t>
      </w:r>
      <w:r>
        <w:rPr>
          <w:color w:val="231F20"/>
        </w:rPr>
        <w:t>assist</w:t>
      </w:r>
      <w:r>
        <w:rPr>
          <w:color w:val="231F20"/>
          <w:spacing w:val="-3"/>
        </w:rPr>
        <w:t> </w:t>
      </w:r>
      <w:r>
        <w:rPr>
          <w:color w:val="231F20"/>
        </w:rPr>
        <w:t>families</w:t>
      </w:r>
      <w:r>
        <w:rPr>
          <w:color w:val="231F20"/>
          <w:spacing w:val="-3"/>
        </w:rPr>
        <w:t> </w:t>
      </w:r>
      <w:r>
        <w:rPr>
          <w:color w:val="231F20"/>
        </w:rPr>
        <w:t>to</w:t>
      </w:r>
      <w:r>
        <w:rPr>
          <w:color w:val="231F20"/>
          <w:spacing w:val="-1"/>
        </w:rPr>
        <w:t> </w:t>
      </w:r>
      <w:r>
        <w:rPr>
          <w:color w:val="231F20"/>
        </w:rPr>
        <w:t>apply</w:t>
      </w:r>
      <w:r>
        <w:rPr>
          <w:color w:val="231F20"/>
          <w:spacing w:val="-3"/>
        </w:rPr>
        <w:t> </w:t>
      </w:r>
      <w:r>
        <w:rPr>
          <w:color w:val="231F20"/>
        </w:rPr>
        <w:t>for</w:t>
      </w:r>
      <w:r>
        <w:rPr>
          <w:color w:val="231F20"/>
          <w:spacing w:val="-2"/>
        </w:rPr>
        <w:t> </w:t>
      </w:r>
      <w:r>
        <w:rPr>
          <w:color w:val="231F20"/>
        </w:rPr>
        <w:t>ABSTUDY</w:t>
      </w:r>
      <w:r>
        <w:rPr>
          <w:color w:val="231F20"/>
          <w:spacing w:val="-2"/>
        </w:rPr>
        <w:t> </w:t>
      </w:r>
      <w:r>
        <w:rPr>
          <w:color w:val="231F20"/>
        </w:rPr>
        <w:t>and</w:t>
      </w:r>
      <w:r>
        <w:rPr>
          <w:color w:val="231F20"/>
          <w:w w:val="99"/>
        </w:rPr>
        <w:t> </w:t>
      </w:r>
      <w:r>
        <w:rPr>
          <w:color w:val="231F20"/>
        </w:rPr>
        <w:t>ABSTUDY</w:t>
      </w:r>
      <w:r>
        <w:rPr>
          <w:color w:val="231F20"/>
          <w:spacing w:val="1"/>
        </w:rPr>
        <w:t> </w:t>
      </w:r>
      <w:r>
        <w:rPr>
          <w:color w:val="231F20"/>
          <w:spacing w:val="-1"/>
        </w:rPr>
        <w:t>travel</w:t>
      </w:r>
      <w:r>
        <w:rPr>
          <w:rFonts w:ascii="Segoe UI Semibold" w:hAnsi="Segoe UI Semibold"/>
          <w:b/>
          <w:color w:val="231F20"/>
          <w:spacing w:val="-1"/>
          <w:position w:val="7"/>
          <w:sz w:val="11"/>
        </w:rPr>
        <w:t>82</w:t>
      </w:r>
      <w:r>
        <w:rPr>
          <w:rFonts w:ascii="Segoe UI Semibold" w:hAnsi="Segoe UI Semibold"/>
          <w:sz w:val="11"/>
        </w:rPr>
      </w:r>
    </w:p>
    <w:p>
      <w:pPr>
        <w:pStyle w:val="BodyText"/>
        <w:spacing w:line="250" w:lineRule="exact" w:before="113"/>
        <w:ind w:left="327" w:right="0" w:hanging="227"/>
        <w:jc w:val="left"/>
      </w:pPr>
      <w:r>
        <w:rPr>
          <w:rFonts w:ascii="Century Gothic" w:hAnsi="Century Gothic"/>
          <w:color w:val="231F20"/>
        </w:rPr>
        <w:t>» </w:t>
      </w:r>
      <w:r>
        <w:rPr>
          <w:rFonts w:ascii="Century Gothic" w:hAnsi="Century Gothic"/>
          <w:color w:val="231F20"/>
          <w:spacing w:val="25"/>
        </w:rPr>
        <w:t> </w:t>
      </w:r>
      <w:r>
        <w:rPr>
          <w:color w:val="231F20"/>
        </w:rPr>
        <w:t>assist</w:t>
      </w:r>
      <w:r>
        <w:rPr>
          <w:color w:val="231F20"/>
          <w:spacing w:val="-3"/>
        </w:rPr>
        <w:t> </w:t>
      </w:r>
      <w:r>
        <w:rPr>
          <w:color w:val="231F20"/>
        </w:rPr>
        <w:t>with</w:t>
      </w:r>
      <w:r>
        <w:rPr>
          <w:color w:val="231F20"/>
          <w:spacing w:val="-4"/>
        </w:rPr>
        <w:t> </w:t>
      </w:r>
      <w:r>
        <w:rPr>
          <w:color w:val="231F20"/>
        </w:rPr>
        <w:t>the</w:t>
      </w:r>
      <w:r>
        <w:rPr>
          <w:color w:val="231F20"/>
          <w:spacing w:val="-3"/>
        </w:rPr>
        <w:t> </w:t>
      </w:r>
      <w:r>
        <w:rPr>
          <w:color w:val="231F20"/>
        </w:rPr>
        <w:t>travel</w:t>
      </w:r>
      <w:r>
        <w:rPr>
          <w:color w:val="231F20"/>
          <w:spacing w:val="-3"/>
        </w:rPr>
        <w:t> </w:t>
      </w:r>
      <w:r>
        <w:rPr>
          <w:color w:val="231F20"/>
        </w:rPr>
        <w:t>of</w:t>
      </w:r>
      <w:r>
        <w:rPr>
          <w:color w:val="231F20"/>
          <w:spacing w:val="-3"/>
        </w:rPr>
        <w:t> </w:t>
      </w:r>
      <w:r>
        <w:rPr>
          <w:color w:val="231F20"/>
          <w:spacing w:val="-1"/>
        </w:rPr>
        <w:t>students</w:t>
      </w:r>
      <w:r>
        <w:rPr>
          <w:color w:val="231F20"/>
          <w:spacing w:val="-2"/>
        </w:rPr>
        <w:t> </w:t>
      </w:r>
      <w:r>
        <w:rPr>
          <w:color w:val="231F20"/>
        </w:rPr>
        <w:t>to</w:t>
      </w:r>
      <w:r>
        <w:rPr>
          <w:color w:val="231F20"/>
          <w:spacing w:val="-2"/>
        </w:rPr>
        <w:t> </w:t>
      </w:r>
      <w:r>
        <w:rPr>
          <w:color w:val="231F20"/>
        </w:rPr>
        <w:t>and</w:t>
      </w:r>
      <w:r>
        <w:rPr>
          <w:color w:val="231F20"/>
          <w:spacing w:val="-3"/>
        </w:rPr>
        <w:t> </w:t>
      </w:r>
      <w:r>
        <w:rPr>
          <w:color w:val="231F20"/>
        </w:rPr>
        <w:t>from</w:t>
      </w:r>
      <w:r>
        <w:rPr>
          <w:color w:val="231F20"/>
          <w:spacing w:val="22"/>
          <w:w w:val="99"/>
        </w:rPr>
        <w:t> </w:t>
      </w:r>
      <w:r>
        <w:rPr>
          <w:color w:val="231F20"/>
        </w:rPr>
        <w:t>boarding,</w:t>
      </w:r>
      <w:r>
        <w:rPr>
          <w:color w:val="231F20"/>
          <w:spacing w:val="-10"/>
        </w:rPr>
        <w:t> </w:t>
      </w:r>
      <w:r>
        <w:rPr>
          <w:color w:val="231F20"/>
          <w:spacing w:val="-1"/>
        </w:rPr>
        <w:t>including</w:t>
      </w:r>
      <w:r>
        <w:rPr>
          <w:color w:val="231F20"/>
          <w:spacing w:val="-9"/>
        </w:rPr>
        <w:t> </w:t>
      </w:r>
      <w:r>
        <w:rPr>
          <w:color w:val="231F20"/>
        </w:rPr>
        <w:t>the</w:t>
      </w:r>
      <w:r>
        <w:rPr>
          <w:color w:val="231F20"/>
          <w:spacing w:val="-9"/>
        </w:rPr>
        <w:t> </w:t>
      </w:r>
      <w:r>
        <w:rPr>
          <w:color w:val="231F20"/>
        </w:rPr>
        <w:t>development</w:t>
      </w:r>
      <w:r>
        <w:rPr>
          <w:color w:val="231F20"/>
          <w:spacing w:val="-10"/>
        </w:rPr>
        <w:t> </w:t>
      </w:r>
      <w:r>
        <w:rPr>
          <w:color w:val="231F20"/>
        </w:rPr>
        <w:t>and</w:t>
      </w:r>
      <w:r>
        <w:rPr>
          <w:color w:val="231F20"/>
          <w:spacing w:val="22"/>
          <w:w w:val="99"/>
        </w:rPr>
        <w:t> </w:t>
      </w:r>
      <w:r>
        <w:rPr>
          <w:color w:val="231F20"/>
          <w:spacing w:val="-1"/>
        </w:rPr>
        <w:t>implementation</w:t>
      </w:r>
      <w:r>
        <w:rPr>
          <w:color w:val="231F20"/>
          <w:spacing w:val="-3"/>
        </w:rPr>
        <w:t> </w:t>
      </w:r>
      <w:r>
        <w:rPr>
          <w:color w:val="231F20"/>
        </w:rPr>
        <w:t>of</w:t>
      </w:r>
      <w:r>
        <w:rPr>
          <w:color w:val="231F20"/>
          <w:spacing w:val="-2"/>
        </w:rPr>
        <w:t> </w:t>
      </w:r>
      <w:r>
        <w:rPr>
          <w:color w:val="231F20"/>
          <w:spacing w:val="-1"/>
        </w:rPr>
        <w:t>safe</w:t>
      </w:r>
      <w:r>
        <w:rPr>
          <w:color w:val="231F20"/>
          <w:spacing w:val="-2"/>
        </w:rPr>
        <w:t> </w:t>
      </w:r>
      <w:r>
        <w:rPr>
          <w:color w:val="231F20"/>
        </w:rPr>
        <w:t>travel</w:t>
      </w:r>
      <w:r>
        <w:rPr>
          <w:color w:val="231F20"/>
          <w:spacing w:val="-3"/>
        </w:rPr>
        <w:t> </w:t>
      </w:r>
      <w:r>
        <w:rPr>
          <w:color w:val="231F20"/>
        </w:rPr>
        <w:t>plans</w:t>
      </w:r>
      <w:r>
        <w:rPr>
          <w:color w:val="231F20"/>
          <w:spacing w:val="-3"/>
        </w:rPr>
        <w:t> </w:t>
      </w:r>
      <w:r>
        <w:rPr>
          <w:color w:val="231F20"/>
        </w:rPr>
        <w:t>from</w:t>
      </w:r>
      <w:r>
        <w:rPr/>
      </w:r>
    </w:p>
    <w:p>
      <w:pPr>
        <w:pStyle w:val="BodyText"/>
        <w:spacing w:line="250" w:lineRule="exact"/>
        <w:ind w:left="327" w:right="0"/>
        <w:jc w:val="left"/>
      </w:pPr>
      <w:r>
        <w:rPr>
          <w:color w:val="231F20"/>
        </w:rPr>
        <w:t>1</w:t>
      </w:r>
      <w:r>
        <w:rPr>
          <w:color w:val="231F20"/>
          <w:spacing w:val="-4"/>
        </w:rPr>
        <w:t> </w:t>
      </w:r>
      <w:r>
        <w:rPr>
          <w:color w:val="231F20"/>
        </w:rPr>
        <w:t>January</w:t>
      </w:r>
      <w:r>
        <w:rPr>
          <w:color w:val="231F20"/>
          <w:spacing w:val="-3"/>
        </w:rPr>
        <w:t> </w:t>
      </w:r>
      <w:r>
        <w:rPr>
          <w:color w:val="231F20"/>
        </w:rPr>
        <w:t>2019</w:t>
      </w:r>
      <w:r>
        <w:rPr/>
      </w:r>
    </w:p>
    <w:p>
      <w:pPr>
        <w:pStyle w:val="BodyText"/>
        <w:spacing w:line="250" w:lineRule="exact" w:before="113"/>
        <w:ind w:left="327" w:right="0" w:hanging="227"/>
        <w:jc w:val="left"/>
      </w:pPr>
      <w:r>
        <w:rPr>
          <w:rFonts w:ascii="Century Gothic" w:hAnsi="Century Gothic"/>
          <w:color w:val="231F20"/>
        </w:rPr>
        <w:t>» </w:t>
      </w:r>
      <w:r>
        <w:rPr>
          <w:rFonts w:ascii="Century Gothic" w:hAnsi="Century Gothic"/>
          <w:color w:val="231F20"/>
          <w:spacing w:val="19"/>
        </w:rPr>
        <w:t> </w:t>
      </w:r>
      <w:r>
        <w:rPr>
          <w:color w:val="231F20"/>
          <w:spacing w:val="-1"/>
        </w:rPr>
        <w:t>support</w:t>
      </w:r>
      <w:r>
        <w:rPr>
          <w:color w:val="231F20"/>
          <w:spacing w:val="-4"/>
        </w:rPr>
        <w:t> </w:t>
      </w:r>
      <w:r>
        <w:rPr>
          <w:color w:val="231F20"/>
          <w:spacing w:val="-1"/>
        </w:rPr>
        <w:t>students</w:t>
      </w:r>
      <w:r>
        <w:rPr>
          <w:color w:val="231F20"/>
          <w:spacing w:val="-5"/>
        </w:rPr>
        <w:t> </w:t>
      </w:r>
      <w:r>
        <w:rPr>
          <w:color w:val="231F20"/>
        </w:rPr>
        <w:t>attending</w:t>
      </w:r>
      <w:r>
        <w:rPr>
          <w:color w:val="231F20"/>
          <w:spacing w:val="-5"/>
        </w:rPr>
        <w:t> </w:t>
      </w:r>
      <w:r>
        <w:rPr>
          <w:color w:val="231F20"/>
        </w:rPr>
        <w:t>boarding</w:t>
      </w:r>
      <w:r>
        <w:rPr>
          <w:color w:val="231F20"/>
          <w:spacing w:val="23"/>
          <w:w w:val="99"/>
        </w:rPr>
        <w:t> </w:t>
      </w:r>
      <w:r>
        <w:rPr>
          <w:color w:val="231F20"/>
        </w:rPr>
        <w:t>providers</w:t>
      </w:r>
      <w:r>
        <w:rPr>
          <w:color w:val="231F20"/>
          <w:spacing w:val="-8"/>
        </w:rPr>
        <w:t> </w:t>
      </w:r>
      <w:r>
        <w:rPr>
          <w:color w:val="231F20"/>
        </w:rPr>
        <w:t>through</w:t>
      </w:r>
      <w:r>
        <w:rPr>
          <w:color w:val="231F20"/>
          <w:spacing w:val="-7"/>
        </w:rPr>
        <w:t> </w:t>
      </w:r>
      <w:r>
        <w:rPr>
          <w:color w:val="231F20"/>
        </w:rPr>
        <w:t>visits</w:t>
      </w:r>
      <w:r>
        <w:rPr>
          <w:color w:val="231F20"/>
          <w:spacing w:val="-7"/>
        </w:rPr>
        <w:t> </w:t>
      </w:r>
      <w:r>
        <w:rPr>
          <w:color w:val="231F20"/>
        </w:rPr>
        <w:t>to</w:t>
      </w:r>
      <w:r>
        <w:rPr>
          <w:color w:val="231F20"/>
          <w:spacing w:val="-7"/>
        </w:rPr>
        <w:t> </w:t>
      </w:r>
      <w:r>
        <w:rPr>
          <w:color w:val="231F20"/>
        </w:rPr>
        <w:t>and</w:t>
      </w:r>
      <w:r>
        <w:rPr>
          <w:color w:val="231F20"/>
          <w:spacing w:val="-7"/>
        </w:rPr>
        <w:t> </w:t>
      </w:r>
      <w:r>
        <w:rPr>
          <w:color w:val="231F20"/>
        </w:rPr>
        <w:t>consultation</w:t>
      </w:r>
      <w:r>
        <w:rPr>
          <w:color w:val="231F20"/>
          <w:w w:val="99"/>
        </w:rPr>
        <w:t> </w:t>
      </w:r>
      <w:r>
        <w:rPr>
          <w:color w:val="231F20"/>
        </w:rPr>
        <w:t>with</w:t>
      </w:r>
      <w:r>
        <w:rPr>
          <w:color w:val="231F20"/>
          <w:spacing w:val="-5"/>
        </w:rPr>
        <w:t> </w:t>
      </w:r>
      <w:r>
        <w:rPr>
          <w:color w:val="231F20"/>
        </w:rPr>
        <w:t>communities,</w:t>
      </w:r>
      <w:r>
        <w:rPr>
          <w:color w:val="231F20"/>
          <w:spacing w:val="-5"/>
        </w:rPr>
        <w:t> </w:t>
      </w:r>
      <w:r>
        <w:rPr>
          <w:color w:val="231F20"/>
        </w:rPr>
        <w:t>families</w:t>
      </w:r>
      <w:r>
        <w:rPr>
          <w:color w:val="231F20"/>
          <w:spacing w:val="-5"/>
        </w:rPr>
        <w:t> </w:t>
      </w:r>
      <w:r>
        <w:rPr>
          <w:color w:val="231F20"/>
        </w:rPr>
        <w:t>and</w:t>
      </w:r>
      <w:r>
        <w:rPr>
          <w:color w:val="231F20"/>
          <w:spacing w:val="-5"/>
        </w:rPr>
        <w:t> </w:t>
      </w:r>
      <w:r>
        <w:rPr>
          <w:color w:val="231F20"/>
        </w:rPr>
        <w:t>boarding</w:t>
      </w:r>
      <w:r>
        <w:rPr>
          <w:color w:val="231F20"/>
          <w:w w:val="99"/>
        </w:rPr>
        <w:t> </w:t>
      </w:r>
      <w:r>
        <w:rPr>
          <w:color w:val="231F20"/>
        </w:rPr>
        <w:t>providers.</w:t>
      </w:r>
      <w:r>
        <w:rPr/>
      </w:r>
    </w:p>
    <w:p>
      <w:pPr>
        <w:pStyle w:val="BodyText"/>
        <w:spacing w:line="258" w:lineRule="exact" w:before="97"/>
        <w:ind w:left="100" w:right="0"/>
        <w:jc w:val="left"/>
      </w:pPr>
      <w:r>
        <w:rPr>
          <w:color w:val="231F20"/>
        </w:rPr>
        <w:t>The</w:t>
      </w:r>
      <w:r>
        <w:rPr>
          <w:color w:val="231F20"/>
          <w:spacing w:val="-6"/>
        </w:rPr>
        <w:t> </w:t>
      </w:r>
      <w:r>
        <w:rPr>
          <w:color w:val="231F20"/>
          <w:spacing w:val="-2"/>
        </w:rPr>
        <w:t>TSS</w:t>
      </w:r>
      <w:r>
        <w:rPr>
          <w:color w:val="231F20"/>
          <w:spacing w:val="-5"/>
        </w:rPr>
        <w:t> </w:t>
      </w:r>
      <w:r>
        <w:rPr>
          <w:color w:val="231F20"/>
        </w:rPr>
        <w:t>estimates</w:t>
      </w:r>
      <w:r>
        <w:rPr>
          <w:color w:val="231F20"/>
          <w:spacing w:val="-6"/>
        </w:rPr>
        <w:t> </w:t>
      </w:r>
      <w:r>
        <w:rPr>
          <w:color w:val="231F20"/>
        </w:rPr>
        <w:t>that</w:t>
      </w:r>
      <w:r>
        <w:rPr>
          <w:color w:val="231F20"/>
          <w:spacing w:val="-6"/>
        </w:rPr>
        <w:t> </w:t>
      </w:r>
      <w:r>
        <w:rPr>
          <w:color w:val="231F20"/>
        </w:rPr>
        <w:t>approximately</w:t>
      </w:r>
      <w:r>
        <w:rPr/>
      </w:r>
    </w:p>
    <w:p>
      <w:pPr>
        <w:pStyle w:val="BodyText"/>
        <w:spacing w:line="250" w:lineRule="exact" w:before="8"/>
        <w:ind w:left="100" w:right="0"/>
        <w:jc w:val="left"/>
      </w:pPr>
      <w:r>
        <w:rPr>
          <w:rFonts w:ascii="Segoe UI"/>
          <w:color w:val="231F20"/>
        </w:rPr>
        <w:t>40</w:t>
      </w:r>
      <w:r>
        <w:rPr>
          <w:rFonts w:ascii="Segoe UI"/>
          <w:color w:val="231F20"/>
          <w:spacing w:val="-1"/>
        </w:rPr>
        <w:t> </w:t>
      </w:r>
      <w:r>
        <w:rPr>
          <w:rFonts w:ascii="Segoe UI"/>
          <w:color w:val="231F20"/>
        </w:rPr>
        <w:t>per cent</w:t>
      </w:r>
      <w:r>
        <w:rPr>
          <w:rFonts w:ascii="Segoe UI"/>
          <w:color w:val="231F20"/>
          <w:spacing w:val="-1"/>
        </w:rPr>
        <w:t> </w:t>
      </w:r>
      <w:r>
        <w:rPr>
          <w:rFonts w:ascii="Segoe UI"/>
          <w:color w:val="231F20"/>
        </w:rPr>
        <w:t>of the time</w:t>
      </w:r>
      <w:r>
        <w:rPr>
          <w:rFonts w:ascii="Segoe UI"/>
          <w:color w:val="231F20"/>
          <w:spacing w:val="-1"/>
        </w:rPr>
        <w:t> </w:t>
      </w:r>
      <w:r>
        <w:rPr>
          <w:rFonts w:ascii="Segoe UI"/>
          <w:color w:val="231F20"/>
        </w:rPr>
        <w:t>of field</w:t>
      </w:r>
      <w:r>
        <w:rPr>
          <w:rFonts w:ascii="Segoe UI"/>
          <w:color w:val="231F20"/>
          <w:spacing w:val="-1"/>
        </w:rPr>
        <w:t> </w:t>
      </w:r>
      <w:r>
        <w:rPr>
          <w:rFonts w:ascii="Segoe UI"/>
          <w:color w:val="231F20"/>
        </w:rPr>
        <w:t>staff is devoted</w:t>
      </w:r>
      <w:r>
        <w:rPr>
          <w:rFonts w:ascii="Segoe UI"/>
          <w:color w:val="231F20"/>
        </w:rPr>
        <w:t> </w:t>
      </w:r>
      <w:r>
        <w:rPr>
          <w:color w:val="231F20"/>
        </w:rPr>
        <w:t>to</w:t>
      </w:r>
      <w:r>
        <w:rPr>
          <w:color w:val="231F20"/>
          <w:spacing w:val="-4"/>
        </w:rPr>
        <w:t> </w:t>
      </w:r>
      <w:r>
        <w:rPr>
          <w:color w:val="231F20"/>
        </w:rPr>
        <w:t>assisting</w:t>
      </w:r>
      <w:r>
        <w:rPr>
          <w:color w:val="231F20"/>
          <w:spacing w:val="-4"/>
        </w:rPr>
        <w:t> </w:t>
      </w:r>
      <w:r>
        <w:rPr>
          <w:color w:val="231F20"/>
        </w:rPr>
        <w:t>families</w:t>
      </w:r>
      <w:r>
        <w:rPr>
          <w:color w:val="231F20"/>
          <w:spacing w:val="-4"/>
        </w:rPr>
        <w:t> </w:t>
      </w:r>
      <w:r>
        <w:rPr>
          <w:color w:val="231F20"/>
        </w:rPr>
        <w:t>with</w:t>
      </w:r>
      <w:r>
        <w:rPr>
          <w:color w:val="231F20"/>
          <w:spacing w:val="-4"/>
        </w:rPr>
        <w:t> </w:t>
      </w:r>
      <w:r>
        <w:rPr>
          <w:color w:val="231F20"/>
        </w:rPr>
        <w:t>ABSTUDY</w:t>
      </w:r>
      <w:r>
        <w:rPr>
          <w:color w:val="231F20"/>
          <w:spacing w:val="-5"/>
        </w:rPr>
        <w:t> </w:t>
      </w:r>
      <w:r>
        <w:rPr>
          <w:color w:val="231F20"/>
        </w:rPr>
        <w:t>applications</w:t>
      </w:r>
      <w:r>
        <w:rPr>
          <w:color w:val="231F20"/>
          <w:w w:val="99"/>
        </w:rPr>
        <w:t> </w:t>
      </w:r>
      <w:r>
        <w:rPr>
          <w:color w:val="231F20"/>
        </w:rPr>
        <w:t>and</w:t>
      </w:r>
      <w:r>
        <w:rPr>
          <w:color w:val="231F20"/>
          <w:spacing w:val="-5"/>
        </w:rPr>
        <w:t> </w:t>
      </w:r>
      <w:r>
        <w:rPr>
          <w:color w:val="231F20"/>
        </w:rPr>
        <w:t>requisitions.</w:t>
      </w:r>
      <w:r>
        <w:rPr/>
      </w:r>
    </w:p>
    <w:p>
      <w:pPr>
        <w:pStyle w:val="BodyText"/>
        <w:spacing w:line="250" w:lineRule="exact" w:before="72"/>
        <w:ind w:left="100" w:right="374"/>
        <w:jc w:val="left"/>
      </w:pPr>
      <w:r>
        <w:rPr/>
        <w:br w:type="column"/>
      </w:r>
      <w:r>
        <w:rPr>
          <w:color w:val="231F20"/>
        </w:rPr>
        <w:t>The</w:t>
      </w:r>
      <w:r>
        <w:rPr>
          <w:color w:val="231F20"/>
          <w:spacing w:val="-8"/>
        </w:rPr>
        <w:t> </w:t>
      </w:r>
      <w:r>
        <w:rPr>
          <w:color w:val="231F20"/>
          <w:spacing w:val="-1"/>
        </w:rPr>
        <w:t>Department</w:t>
      </w:r>
      <w:r>
        <w:rPr>
          <w:color w:val="231F20"/>
          <w:spacing w:val="-7"/>
        </w:rPr>
        <w:t> </w:t>
      </w:r>
      <w:r>
        <w:rPr>
          <w:color w:val="231F20"/>
        </w:rPr>
        <w:t>of</w:t>
      </w:r>
      <w:r>
        <w:rPr>
          <w:color w:val="231F20"/>
          <w:spacing w:val="-7"/>
        </w:rPr>
        <w:t> </w:t>
      </w:r>
      <w:r>
        <w:rPr>
          <w:color w:val="231F20"/>
        </w:rPr>
        <w:t>Education</w:t>
      </w:r>
      <w:r>
        <w:rPr>
          <w:color w:val="231F20"/>
          <w:spacing w:val="-7"/>
        </w:rPr>
        <w:t> </w:t>
      </w:r>
      <w:r>
        <w:rPr>
          <w:color w:val="231F20"/>
        </w:rPr>
        <w:t>and</w:t>
      </w:r>
      <w:r>
        <w:rPr>
          <w:color w:val="231F20"/>
          <w:spacing w:val="-8"/>
        </w:rPr>
        <w:t> </w:t>
      </w:r>
      <w:r>
        <w:rPr>
          <w:color w:val="231F20"/>
          <w:spacing w:val="-3"/>
        </w:rPr>
        <w:t>Training</w:t>
      </w:r>
      <w:r>
        <w:rPr>
          <w:color w:val="231F20"/>
          <w:spacing w:val="28"/>
          <w:w w:val="99"/>
        </w:rPr>
        <w:t> </w:t>
      </w:r>
      <w:r>
        <w:rPr>
          <w:color w:val="231F20"/>
        </w:rPr>
        <w:t>(Qld)</w:t>
      </w:r>
      <w:r>
        <w:rPr>
          <w:color w:val="231F20"/>
          <w:spacing w:val="-5"/>
        </w:rPr>
        <w:t> </w:t>
      </w:r>
      <w:r>
        <w:rPr>
          <w:color w:val="231F20"/>
        </w:rPr>
        <w:t>commissioned</w:t>
      </w:r>
      <w:r>
        <w:rPr>
          <w:color w:val="231F20"/>
          <w:spacing w:val="-5"/>
        </w:rPr>
        <w:t> </w:t>
      </w:r>
      <w:r>
        <w:rPr>
          <w:color w:val="231F20"/>
        </w:rPr>
        <w:t>an</w:t>
      </w:r>
      <w:r>
        <w:rPr>
          <w:color w:val="231F20"/>
          <w:spacing w:val="-5"/>
        </w:rPr>
        <w:t> </w:t>
      </w:r>
      <w:r>
        <w:rPr>
          <w:color w:val="231F20"/>
        </w:rPr>
        <w:t>external</w:t>
      </w:r>
      <w:r>
        <w:rPr>
          <w:color w:val="231F20"/>
          <w:spacing w:val="-4"/>
        </w:rPr>
        <w:t> </w:t>
      </w:r>
      <w:r>
        <w:rPr>
          <w:color w:val="231F20"/>
        </w:rPr>
        <w:t>review</w:t>
      </w:r>
      <w:r>
        <w:rPr>
          <w:color w:val="231F20"/>
          <w:spacing w:val="-5"/>
        </w:rPr>
        <w:t> </w:t>
      </w:r>
      <w:r>
        <w:rPr>
          <w:color w:val="231F20"/>
        </w:rPr>
        <w:t>of</w:t>
      </w:r>
      <w:r>
        <w:rPr>
          <w:color w:val="231F20"/>
          <w:spacing w:val="-5"/>
        </w:rPr>
        <w:t> </w:t>
      </w:r>
      <w:r>
        <w:rPr>
          <w:color w:val="231F20"/>
          <w:spacing w:val="-5"/>
        </w:rPr>
      </w:r>
      <w:r>
        <w:rPr>
          <w:color w:val="231F20"/>
        </w:rPr>
        <w:t>the</w:t>
      </w:r>
      <w:r>
        <w:rPr>
          <w:color w:val="231F20"/>
          <w:spacing w:val="-1"/>
        </w:rPr>
        <w:t> </w:t>
      </w:r>
      <w:r>
        <w:rPr>
          <w:color w:val="231F20"/>
          <w:spacing w:val="-2"/>
        </w:rPr>
        <w:t>TSS</w:t>
      </w:r>
      <w:r>
        <w:rPr>
          <w:color w:val="231F20"/>
          <w:spacing w:val="-3"/>
        </w:rPr>
        <w:t> </w:t>
      </w:r>
      <w:r>
        <w:rPr>
          <w:color w:val="231F20"/>
          <w:spacing w:val="-1"/>
        </w:rPr>
        <w:t>in</w:t>
      </w:r>
      <w:r>
        <w:rPr>
          <w:color w:val="231F20"/>
          <w:spacing w:val="-2"/>
        </w:rPr>
        <w:t> </w:t>
      </w:r>
      <w:r>
        <w:rPr>
          <w:color w:val="231F20"/>
          <w:spacing w:val="-1"/>
        </w:rPr>
        <w:t>2017.</w:t>
      </w:r>
      <w:r>
        <w:rPr>
          <w:rFonts w:ascii="Segoe UI Semibold"/>
          <w:b/>
          <w:color w:val="231F20"/>
          <w:spacing w:val="-1"/>
          <w:position w:val="7"/>
          <w:sz w:val="11"/>
        </w:rPr>
        <w:t>83</w:t>
      </w:r>
      <w:r>
        <w:rPr>
          <w:rFonts w:ascii="Segoe UI Semibold"/>
          <w:b/>
          <w:color w:val="231F20"/>
          <w:spacing w:val="22"/>
          <w:position w:val="7"/>
          <w:sz w:val="11"/>
        </w:rPr>
        <w:t> </w:t>
      </w:r>
      <w:r>
        <w:rPr>
          <w:color w:val="231F20"/>
        </w:rPr>
        <w:t>The</w:t>
      </w:r>
      <w:r>
        <w:rPr>
          <w:color w:val="231F20"/>
          <w:spacing w:val="-2"/>
        </w:rPr>
        <w:t> </w:t>
      </w:r>
      <w:r>
        <w:rPr>
          <w:color w:val="231F20"/>
        </w:rPr>
        <w:t>review</w:t>
      </w:r>
      <w:r>
        <w:rPr>
          <w:color w:val="231F20"/>
          <w:spacing w:val="-3"/>
        </w:rPr>
        <w:t> </w:t>
      </w:r>
      <w:r>
        <w:rPr>
          <w:color w:val="231F20"/>
          <w:spacing w:val="-1"/>
        </w:rPr>
        <w:t>made</w:t>
      </w:r>
      <w:r>
        <w:rPr>
          <w:color w:val="231F20"/>
          <w:spacing w:val="-2"/>
        </w:rPr>
        <w:t> </w:t>
      </w:r>
      <w:r>
        <w:rPr>
          <w:color w:val="231F20"/>
        </w:rPr>
        <w:t>a</w:t>
      </w:r>
      <w:r>
        <w:rPr>
          <w:color w:val="231F20"/>
          <w:spacing w:val="-2"/>
        </w:rPr>
        <w:t> </w:t>
      </w:r>
      <w:r>
        <w:rPr>
          <w:color w:val="231F20"/>
        </w:rPr>
        <w:t>number</w:t>
      </w:r>
      <w:r>
        <w:rPr>
          <w:color w:val="231F20"/>
          <w:spacing w:val="-3"/>
        </w:rPr>
        <w:t> </w:t>
      </w:r>
      <w:r>
        <w:rPr>
          <w:color w:val="231F20"/>
          <w:spacing w:val="-3"/>
        </w:rPr>
      </w:r>
      <w:r>
        <w:rPr>
          <w:color w:val="231F20"/>
        </w:rPr>
        <w:t>of</w:t>
      </w:r>
      <w:r>
        <w:rPr>
          <w:color w:val="231F20"/>
          <w:spacing w:val="30"/>
        </w:rPr>
        <w:t> </w:t>
      </w:r>
      <w:r>
        <w:rPr>
          <w:color w:val="231F20"/>
        </w:rPr>
        <w:t>recommendations</w:t>
      </w:r>
      <w:r>
        <w:rPr>
          <w:color w:val="231F20"/>
          <w:spacing w:val="-20"/>
        </w:rPr>
        <w:t> </w:t>
      </w:r>
      <w:r>
        <w:rPr>
          <w:color w:val="231F20"/>
        </w:rPr>
        <w:t>regarding</w:t>
      </w:r>
      <w:r>
        <w:rPr>
          <w:color w:val="231F20"/>
          <w:spacing w:val="-19"/>
        </w:rPr>
        <w:t> </w:t>
      </w:r>
      <w:r>
        <w:rPr>
          <w:color w:val="231F20"/>
        </w:rPr>
        <w:t>governance,</w:t>
      </w:r>
      <w:r>
        <w:rPr>
          <w:color w:val="231F20"/>
          <w:w w:val="99"/>
        </w:rPr>
        <w:t> </w:t>
      </w:r>
      <w:r>
        <w:rPr>
          <w:color w:val="231F20"/>
        </w:rPr>
        <w:t>transition</w:t>
      </w:r>
      <w:r>
        <w:rPr>
          <w:color w:val="231F20"/>
          <w:spacing w:val="-10"/>
        </w:rPr>
        <w:t> </w:t>
      </w:r>
      <w:r>
        <w:rPr>
          <w:color w:val="231F20"/>
        </w:rPr>
        <w:t>readiness</w:t>
      </w:r>
      <w:r>
        <w:rPr>
          <w:color w:val="231F20"/>
          <w:spacing w:val="-11"/>
        </w:rPr>
        <w:t> </w:t>
      </w:r>
      <w:r>
        <w:rPr>
          <w:color w:val="231F20"/>
        </w:rPr>
        <w:t>for</w:t>
      </w:r>
      <w:r>
        <w:rPr>
          <w:color w:val="231F20"/>
          <w:spacing w:val="-9"/>
        </w:rPr>
        <w:t> </w:t>
      </w:r>
      <w:r>
        <w:rPr>
          <w:color w:val="231F20"/>
        </w:rPr>
        <w:t>potential</w:t>
      </w:r>
      <w:r>
        <w:rPr>
          <w:color w:val="231F20"/>
          <w:spacing w:val="-9"/>
        </w:rPr>
        <w:t> </w:t>
      </w:r>
      <w:r>
        <w:rPr>
          <w:color w:val="231F20"/>
        </w:rPr>
        <w:t>boarding</w:t>
      </w:r>
      <w:r>
        <w:rPr/>
      </w:r>
    </w:p>
    <w:p>
      <w:pPr>
        <w:pStyle w:val="BodyText"/>
        <w:spacing w:line="250" w:lineRule="exact"/>
        <w:ind w:left="100" w:right="124"/>
        <w:jc w:val="left"/>
      </w:pPr>
      <w:r>
        <w:rPr>
          <w:rFonts w:ascii="Segoe UI" w:hAnsi="Segoe UI" w:cs="Segoe UI" w:eastAsia="Segoe UI"/>
          <w:color w:val="231F20"/>
        </w:rPr>
        <w:t>students, data profiling and an expansion of the </w:t>
      </w:r>
      <w:r>
        <w:rPr>
          <w:color w:val="231F20"/>
          <w:spacing w:val="-2"/>
        </w:rPr>
        <w:t>TSS’</w:t>
      </w:r>
      <w:r>
        <w:rPr>
          <w:color w:val="231F20"/>
          <w:spacing w:val="-6"/>
        </w:rPr>
        <w:t> </w:t>
      </w:r>
      <w:r>
        <w:rPr>
          <w:color w:val="231F20"/>
        </w:rPr>
        <w:t>current</w:t>
      </w:r>
      <w:r>
        <w:rPr>
          <w:color w:val="231F20"/>
          <w:spacing w:val="-6"/>
        </w:rPr>
        <w:t> </w:t>
      </w:r>
      <w:r>
        <w:rPr>
          <w:color w:val="231F20"/>
        </w:rPr>
        <w:t>footprint</w:t>
      </w:r>
      <w:r>
        <w:rPr>
          <w:color w:val="231F20"/>
          <w:spacing w:val="-6"/>
        </w:rPr>
        <w:t> </w:t>
      </w:r>
      <w:r>
        <w:rPr>
          <w:color w:val="231F20"/>
        </w:rPr>
        <w:t>and</w:t>
      </w:r>
      <w:r>
        <w:rPr>
          <w:color w:val="231F20"/>
          <w:spacing w:val="-7"/>
        </w:rPr>
        <w:t> </w:t>
      </w:r>
      <w:r>
        <w:rPr>
          <w:color w:val="231F20"/>
          <w:spacing w:val="-1"/>
        </w:rPr>
        <w:t>services</w:t>
      </w:r>
      <w:r>
        <w:rPr>
          <w:color w:val="231F20"/>
          <w:spacing w:val="-5"/>
        </w:rPr>
        <w:t> </w:t>
      </w:r>
      <w:r>
        <w:rPr>
          <w:color w:val="231F20"/>
        </w:rPr>
        <w:t>(particularly</w:t>
      </w:r>
      <w:r>
        <w:rPr>
          <w:color w:val="231F20"/>
          <w:spacing w:val="24"/>
          <w:w w:val="99"/>
        </w:rPr>
        <w:t> </w:t>
      </w:r>
      <w:r>
        <w:rPr>
          <w:color w:val="231F20"/>
        </w:rPr>
        <w:t>around</w:t>
      </w:r>
      <w:r>
        <w:rPr>
          <w:color w:val="231F20"/>
          <w:spacing w:val="-11"/>
        </w:rPr>
        <w:t> </w:t>
      </w:r>
      <w:r>
        <w:rPr>
          <w:color w:val="231F20"/>
        </w:rPr>
        <w:t>post-secondary</w:t>
      </w:r>
      <w:r>
        <w:rPr>
          <w:color w:val="231F20"/>
          <w:spacing w:val="-11"/>
        </w:rPr>
        <w:t> </w:t>
      </w:r>
      <w:r>
        <w:rPr>
          <w:color w:val="231F20"/>
        </w:rPr>
        <w:t>placement</w:t>
      </w:r>
      <w:r>
        <w:rPr>
          <w:color w:val="231F20"/>
          <w:spacing w:val="-11"/>
        </w:rPr>
        <w:t> </w:t>
      </w:r>
      <w:r>
        <w:rPr>
          <w:color w:val="231F20"/>
        </w:rPr>
        <w:t>and</w:t>
      </w:r>
      <w:r>
        <w:rPr>
          <w:color w:val="231F20"/>
          <w:spacing w:val="-11"/>
        </w:rPr>
        <w:t> </w:t>
      </w:r>
      <w:r>
        <w:rPr>
          <w:color w:val="231F20"/>
        </w:rPr>
        <w:t>tracking</w:t>
      </w:r>
      <w:r>
        <w:rPr>
          <w:color w:val="231F20"/>
          <w:w w:val="99"/>
        </w:rPr>
        <w:t> </w:t>
      </w:r>
      <w:r>
        <w:rPr>
          <w:color w:val="231F20"/>
        </w:rPr>
        <w:t>of</w:t>
      </w:r>
      <w:r>
        <w:rPr>
          <w:color w:val="231F20"/>
          <w:spacing w:val="-7"/>
        </w:rPr>
        <w:t> </w:t>
      </w:r>
      <w:r>
        <w:rPr>
          <w:color w:val="231F20"/>
          <w:spacing w:val="-2"/>
        </w:rPr>
        <w:t>TSS</w:t>
      </w:r>
      <w:r>
        <w:rPr>
          <w:color w:val="231F20"/>
          <w:spacing w:val="-7"/>
        </w:rPr>
        <w:t> </w:t>
      </w:r>
      <w:r>
        <w:rPr>
          <w:color w:val="231F20"/>
          <w:spacing w:val="-1"/>
        </w:rPr>
        <w:t>supported</w:t>
      </w:r>
      <w:r>
        <w:rPr>
          <w:color w:val="231F20"/>
          <w:spacing w:val="-6"/>
        </w:rPr>
        <w:t> </w:t>
      </w:r>
      <w:r>
        <w:rPr>
          <w:color w:val="231F20"/>
          <w:spacing w:val="-1"/>
        </w:rPr>
        <w:t>students).</w:t>
      </w:r>
      <w:r>
        <w:rPr/>
      </w:r>
    </w:p>
    <w:p>
      <w:pPr>
        <w:pStyle w:val="BodyText"/>
        <w:spacing w:line="250" w:lineRule="exact" w:before="113"/>
        <w:ind w:left="554" w:right="390"/>
        <w:jc w:val="left"/>
        <w:rPr>
          <w:rFonts w:ascii="Segoe UI Semibold" w:hAnsi="Segoe UI Semibold" w:cs="Segoe UI Semibold" w:eastAsia="Segoe UI Semibold"/>
        </w:rPr>
      </w:pPr>
      <w:r>
        <w:rPr>
          <w:rFonts w:ascii="Segoe UI Semibold"/>
          <w:b/>
          <w:color w:val="00779B"/>
        </w:rPr>
        <w:t>A</w:t>
      </w:r>
      <w:r>
        <w:rPr>
          <w:rFonts w:ascii="Segoe UI Semibold"/>
          <w:b/>
          <w:color w:val="00779B"/>
          <w:spacing w:val="-2"/>
        </w:rPr>
        <w:t> </w:t>
      </w:r>
      <w:r>
        <w:rPr>
          <w:rFonts w:ascii="Segoe UI Semibold"/>
          <w:b/>
          <w:color w:val="00779B"/>
        </w:rPr>
        <w:t>significant</w:t>
      </w:r>
      <w:r>
        <w:rPr>
          <w:rFonts w:ascii="Segoe UI Semibold"/>
          <w:b/>
          <w:color w:val="00779B"/>
          <w:spacing w:val="-2"/>
        </w:rPr>
        <w:t> </w:t>
      </w:r>
      <w:r>
        <w:rPr>
          <w:rFonts w:ascii="Segoe UI Semibold"/>
          <w:b/>
          <w:color w:val="00779B"/>
        </w:rPr>
        <w:t>challenge</w:t>
      </w:r>
      <w:r>
        <w:rPr>
          <w:rFonts w:ascii="Segoe UI Semibold"/>
          <w:b/>
          <w:color w:val="00779B"/>
          <w:spacing w:val="-1"/>
        </w:rPr>
        <w:t> </w:t>
      </w:r>
      <w:r>
        <w:rPr>
          <w:rFonts w:ascii="Segoe UI Semibold"/>
          <w:b/>
          <w:color w:val="00779B"/>
        </w:rPr>
        <w:t>for</w:t>
      </w:r>
      <w:r>
        <w:rPr>
          <w:rFonts w:ascii="Segoe UI Semibold"/>
          <w:b/>
          <w:color w:val="00779B"/>
          <w:spacing w:val="-2"/>
        </w:rPr>
        <w:t> </w:t>
      </w:r>
      <w:r>
        <w:rPr>
          <w:rFonts w:ascii="Segoe UI Semibold"/>
          <w:b/>
          <w:color w:val="00779B"/>
        </w:rPr>
        <w:t>TSS</w:t>
      </w:r>
      <w:r>
        <w:rPr>
          <w:rFonts w:ascii="Segoe UI Semibold"/>
          <w:b/>
          <w:color w:val="00779B"/>
          <w:spacing w:val="-1"/>
        </w:rPr>
        <w:t> </w:t>
      </w:r>
      <w:r>
        <w:rPr>
          <w:rFonts w:ascii="Segoe UI Semibold"/>
          <w:b/>
          <w:color w:val="00779B"/>
        </w:rPr>
        <w:t>is</w:t>
      </w:r>
      <w:r>
        <w:rPr>
          <w:rFonts w:ascii="Segoe UI Semibold"/>
          <w:b/>
          <w:color w:val="00779B"/>
          <w:spacing w:val="-2"/>
        </w:rPr>
        <w:t> </w:t>
      </w:r>
      <w:r>
        <w:rPr>
          <w:rFonts w:ascii="Segoe UI Semibold"/>
          <w:b/>
          <w:color w:val="00779B"/>
          <w:spacing w:val="-1"/>
        </w:rPr>
        <w:t>to</w:t>
      </w:r>
      <w:r>
        <w:rPr>
          <w:rFonts w:ascii="Segoe UI Semibold"/>
          <w:b/>
          <w:color w:val="00779B"/>
          <w:spacing w:val="21"/>
        </w:rPr>
        <w:t> </w:t>
      </w:r>
      <w:r>
        <w:rPr>
          <w:rFonts w:ascii="Segoe UI Semibold"/>
          <w:b/>
          <w:color w:val="00779B"/>
          <w:spacing w:val="-2"/>
        </w:rPr>
        <w:t>create </w:t>
      </w:r>
      <w:r>
        <w:rPr>
          <w:rFonts w:ascii="Segoe UI Semibold"/>
          <w:b/>
          <w:color w:val="00779B"/>
        </w:rPr>
        <w:t>a</w:t>
      </w:r>
      <w:r>
        <w:rPr>
          <w:rFonts w:ascii="Segoe UI Semibold"/>
          <w:b/>
          <w:color w:val="00779B"/>
          <w:spacing w:val="-1"/>
        </w:rPr>
        <w:t> seamless transition</w:t>
      </w:r>
      <w:r>
        <w:rPr>
          <w:rFonts w:ascii="Segoe UI Semibold"/>
          <w:b/>
          <w:color w:val="00779B"/>
        </w:rPr>
        <w:t> </w:t>
      </w:r>
      <w:r>
        <w:rPr>
          <w:rFonts w:ascii="Segoe UI Semibold"/>
          <w:b/>
          <w:color w:val="00779B"/>
          <w:spacing w:val="-1"/>
        </w:rPr>
        <w:t>process</w:t>
      </w:r>
      <w:r>
        <w:rPr>
          <w:rFonts w:ascii="Segoe UI Semibold"/>
          <w:b/>
          <w:color w:val="00779B"/>
          <w:spacing w:val="-1"/>
        </w:rPr>
        <w:t> </w:t>
      </w:r>
      <w:r>
        <w:rPr>
          <w:rFonts w:ascii="Segoe UI Semibold"/>
          <w:b/>
          <w:color w:val="00779B"/>
          <w:spacing w:val="27"/>
        </w:rPr>
        <w:t> </w:t>
      </w:r>
      <w:r>
        <w:rPr>
          <w:rFonts w:ascii="Segoe UI Semibold"/>
          <w:b/>
          <w:color w:val="00779B"/>
        </w:rPr>
        <w:t>for</w:t>
      </w:r>
      <w:r>
        <w:rPr>
          <w:rFonts w:ascii="Segoe UI Semibold"/>
          <w:b/>
          <w:color w:val="00779B"/>
          <w:spacing w:val="-2"/>
        </w:rPr>
        <w:t> </w:t>
      </w:r>
      <w:r>
        <w:rPr>
          <w:rFonts w:ascii="Segoe UI Semibold"/>
          <w:b/>
          <w:color w:val="00779B"/>
        </w:rPr>
        <w:t>families.</w:t>
      </w:r>
      <w:r>
        <w:rPr>
          <w:rFonts w:ascii="Segoe UI Semibold"/>
          <w:b/>
          <w:color w:val="00779B"/>
          <w:spacing w:val="-2"/>
        </w:rPr>
        <w:t> </w:t>
      </w:r>
      <w:r>
        <w:rPr>
          <w:rFonts w:ascii="Segoe UI Semibold"/>
          <w:b/>
          <w:color w:val="00779B"/>
        </w:rPr>
        <w:t>One</w:t>
      </w:r>
      <w:r>
        <w:rPr>
          <w:rFonts w:ascii="Segoe UI Semibold"/>
          <w:b/>
          <w:color w:val="00779B"/>
          <w:spacing w:val="-1"/>
        </w:rPr>
        <w:t> </w:t>
      </w:r>
      <w:r>
        <w:rPr>
          <w:rFonts w:ascii="Segoe UI Semibold"/>
          <w:b/>
          <w:color w:val="00779B"/>
          <w:spacing w:val="-2"/>
        </w:rPr>
        <w:t>of</w:t>
      </w:r>
      <w:r>
        <w:rPr>
          <w:rFonts w:ascii="Segoe UI Semibold"/>
          <w:b/>
          <w:color w:val="00779B"/>
        </w:rPr>
        <w:t> </w:t>
      </w:r>
      <w:r>
        <w:rPr>
          <w:rFonts w:ascii="Segoe UI Semibold"/>
          <w:b/>
          <w:color w:val="00779B"/>
          <w:spacing w:val="-1"/>
        </w:rPr>
        <w:t>the</w:t>
      </w:r>
      <w:r>
        <w:rPr>
          <w:rFonts w:ascii="Segoe UI Semibold"/>
          <w:b/>
          <w:color w:val="00779B"/>
        </w:rPr>
        <w:t> </w:t>
      </w:r>
      <w:r>
        <w:rPr>
          <w:rFonts w:ascii="Segoe UI Semibold"/>
          <w:b/>
          <w:color w:val="00779B"/>
          <w:spacing w:val="-1"/>
        </w:rPr>
        <w:t>elements</w:t>
      </w:r>
      <w:r>
        <w:rPr>
          <w:rFonts w:ascii="Segoe UI Semibold"/>
          <w:b/>
          <w:color w:val="00779B"/>
          <w:spacing w:val="21"/>
        </w:rPr>
        <w:t> </w:t>
      </w:r>
      <w:r>
        <w:rPr>
          <w:rFonts w:ascii="Segoe UI Semibold"/>
          <w:b/>
          <w:color w:val="00779B"/>
          <w:spacing w:val="-1"/>
        </w:rPr>
        <w:t>preventing seamless</w:t>
      </w:r>
      <w:r>
        <w:rPr>
          <w:rFonts w:ascii="Segoe UI Semibold"/>
          <w:b/>
          <w:color w:val="00779B"/>
        </w:rPr>
        <w:t> </w:t>
      </w:r>
      <w:r>
        <w:rPr>
          <w:rFonts w:ascii="Segoe UI Semibold"/>
          <w:b/>
          <w:color w:val="00779B"/>
          <w:spacing w:val="-1"/>
        </w:rPr>
        <w:t>transition is</w:t>
      </w:r>
      <w:r>
        <w:rPr>
          <w:rFonts w:ascii="Segoe UI Semibold"/>
          <w:b/>
          <w:color w:val="00779B"/>
        </w:rPr>
        <w:t> </w:t>
      </w:r>
      <w:r>
        <w:rPr>
          <w:rFonts w:ascii="Segoe UI Semibold"/>
          <w:b/>
          <w:color w:val="00779B"/>
          <w:spacing w:val="-1"/>
        </w:rPr>
        <w:t>the</w:t>
      </w:r>
      <w:r>
        <w:rPr>
          <w:rFonts w:ascii="Segoe UI Semibold"/>
          <w:b/>
          <w:color w:val="00779B"/>
          <w:spacing w:val="23"/>
        </w:rPr>
        <w:t> </w:t>
      </w:r>
      <w:r>
        <w:rPr>
          <w:rFonts w:ascii="Segoe UI Semibold"/>
          <w:b/>
          <w:color w:val="00779B"/>
          <w:spacing w:val="-1"/>
        </w:rPr>
        <w:t>administrative</w:t>
      </w:r>
      <w:r>
        <w:rPr>
          <w:rFonts w:ascii="Segoe UI Semibold"/>
          <w:b/>
          <w:color w:val="00779B"/>
          <w:spacing w:val="-4"/>
        </w:rPr>
        <w:t> </w:t>
      </w:r>
      <w:r>
        <w:rPr>
          <w:rFonts w:ascii="Segoe UI Semibold"/>
          <w:b/>
          <w:color w:val="00779B"/>
          <w:spacing w:val="-1"/>
        </w:rPr>
        <w:t>processes</w:t>
      </w:r>
      <w:r>
        <w:rPr>
          <w:rFonts w:ascii="Segoe UI Semibold"/>
          <w:b/>
          <w:color w:val="00779B"/>
          <w:spacing w:val="-2"/>
        </w:rPr>
        <w:t> </w:t>
      </w:r>
      <w:r>
        <w:rPr>
          <w:rFonts w:ascii="Segoe UI Semibold"/>
          <w:b/>
          <w:color w:val="00779B"/>
          <w:spacing w:val="-1"/>
        </w:rPr>
        <w:t>associated</w:t>
      </w:r>
      <w:r>
        <w:rPr>
          <w:rFonts w:ascii="Segoe UI Semibold"/>
          <w:b/>
          <w:color w:val="00779B"/>
          <w:spacing w:val="40"/>
          <w:w w:val="99"/>
        </w:rPr>
        <w:t> </w:t>
      </w:r>
      <w:r>
        <w:rPr>
          <w:rFonts w:ascii="Segoe UI Semibold"/>
          <w:b/>
          <w:color w:val="00779B"/>
          <w:spacing w:val="-1"/>
        </w:rPr>
        <w:t>with</w:t>
      </w:r>
      <w:r>
        <w:rPr>
          <w:rFonts w:ascii="Segoe UI Semibold"/>
          <w:b/>
          <w:color w:val="00779B"/>
          <w:spacing w:val="-2"/>
        </w:rPr>
        <w:t> </w:t>
      </w:r>
      <w:r>
        <w:rPr>
          <w:rFonts w:ascii="Segoe UI Semibold"/>
          <w:b/>
          <w:color w:val="00779B"/>
          <w:spacing w:val="-1"/>
        </w:rPr>
        <w:t>transitioning</w:t>
      </w:r>
      <w:r>
        <w:rPr>
          <w:rFonts w:ascii="Segoe UI Semibold"/>
          <w:b/>
          <w:color w:val="00779B"/>
        </w:rPr>
        <w:t> </w:t>
      </w:r>
      <w:r>
        <w:rPr>
          <w:rFonts w:ascii="Segoe UI Semibold"/>
          <w:b/>
          <w:color w:val="00779B"/>
          <w:spacing w:val="-1"/>
        </w:rPr>
        <w:t>students</w:t>
      </w:r>
      <w:r>
        <w:rPr>
          <w:rFonts w:ascii="Segoe UI Semibold"/>
          <w:b/>
          <w:color w:val="00779B"/>
          <w:spacing w:val="-2"/>
        </w:rPr>
        <w:t> </w:t>
      </w:r>
      <w:r>
        <w:rPr>
          <w:rFonts w:ascii="Segoe UI Semibold"/>
          <w:b/>
          <w:color w:val="00779B"/>
          <w:spacing w:val="-1"/>
        </w:rPr>
        <w:t>from</w:t>
      </w:r>
      <w:r>
        <w:rPr>
          <w:rFonts w:ascii="Segoe UI Semibold"/>
          <w:b/>
          <w:color w:val="00779B"/>
          <w:spacing w:val="24"/>
          <w:w w:val="99"/>
        </w:rPr>
        <w:t> </w:t>
      </w:r>
      <w:r>
        <w:rPr>
          <w:rFonts w:ascii="Segoe UI Semibold"/>
          <w:b/>
          <w:color w:val="00779B"/>
          <w:spacing w:val="-1"/>
        </w:rPr>
        <w:t>remote communities</w:t>
      </w:r>
      <w:r>
        <w:rPr>
          <w:rFonts w:ascii="Segoe UI Semibold"/>
          <w:b/>
          <w:color w:val="00779B"/>
        </w:rPr>
        <w:t> </w:t>
      </w:r>
      <w:r>
        <w:rPr>
          <w:rFonts w:ascii="Segoe UI Semibold"/>
          <w:b/>
          <w:color w:val="00779B"/>
          <w:spacing w:val="-1"/>
        </w:rPr>
        <w:t>to </w:t>
      </w:r>
      <w:r>
        <w:rPr>
          <w:rFonts w:ascii="Segoe UI Semibold"/>
          <w:b/>
          <w:color w:val="00779B"/>
        </w:rPr>
        <w:t>secondary</w:t>
      </w:r>
      <w:r>
        <w:rPr>
          <w:rFonts w:ascii="Segoe UI Semibold"/>
          <w:b/>
          <w:color w:val="00779B"/>
          <w:spacing w:val="24"/>
        </w:rPr>
        <w:t> </w:t>
      </w:r>
      <w:r>
        <w:rPr>
          <w:rFonts w:ascii="Segoe UI Semibold"/>
          <w:b/>
          <w:color w:val="00779B"/>
          <w:spacing w:val="-1"/>
        </w:rPr>
        <w:t>boarding</w:t>
      </w:r>
      <w:r>
        <w:rPr>
          <w:rFonts w:ascii="Segoe UI Semibold"/>
          <w:b/>
          <w:color w:val="00779B"/>
          <w:spacing w:val="-3"/>
        </w:rPr>
        <w:t> </w:t>
      </w:r>
      <w:r>
        <w:rPr>
          <w:rFonts w:ascii="Segoe UI Semibold"/>
          <w:b/>
          <w:color w:val="00779B"/>
          <w:spacing w:val="-1"/>
        </w:rPr>
        <w:t>schools</w:t>
      </w:r>
      <w:r>
        <w:rPr>
          <w:rFonts w:ascii="Segoe UI Semibold"/>
          <w:b/>
          <w:color w:val="00779B"/>
          <w:spacing w:val="-2"/>
        </w:rPr>
        <w:t> </w:t>
      </w:r>
      <w:r>
        <w:rPr>
          <w:rFonts w:ascii="Segoe UI Semibold"/>
          <w:b/>
          <w:color w:val="00779B"/>
          <w:spacing w:val="-1"/>
        </w:rPr>
        <w:t>outside</w:t>
      </w:r>
      <w:r>
        <w:rPr>
          <w:rFonts w:ascii="Segoe UI Semibold"/>
          <w:b/>
          <w:color w:val="00779B"/>
          <w:spacing w:val="-2"/>
        </w:rPr>
        <w:t> of </w:t>
      </w:r>
      <w:r>
        <w:rPr>
          <w:rFonts w:ascii="Segoe UI Semibold"/>
          <w:b/>
          <w:color w:val="00779B"/>
          <w:spacing w:val="-1"/>
        </w:rPr>
        <w:t>their</w:t>
      </w:r>
      <w:r>
        <w:rPr>
          <w:rFonts w:ascii="Segoe UI Semibold"/>
          <w:b/>
          <w:color w:val="00779B"/>
          <w:spacing w:val="26"/>
        </w:rPr>
        <w:t> </w:t>
      </w:r>
      <w:r>
        <w:rPr>
          <w:rFonts w:ascii="Segoe UI Semibold"/>
          <w:b/>
          <w:color w:val="00779B"/>
          <w:spacing w:val="-1"/>
        </w:rPr>
        <w:t>communities.</w:t>
      </w:r>
      <w:r>
        <w:rPr>
          <w:rFonts w:ascii="Segoe UI Semibold"/>
          <w:b/>
          <w:color w:val="00779B"/>
        </w:rPr>
        <w:t> These</w:t>
      </w:r>
      <w:r>
        <w:rPr>
          <w:rFonts w:ascii="Segoe UI Semibold"/>
          <w:b/>
          <w:color w:val="00779B"/>
          <w:spacing w:val="-1"/>
        </w:rPr>
        <w:t> administrative</w:t>
      </w:r>
      <w:r>
        <w:rPr>
          <w:rFonts w:ascii="Segoe UI Semibold"/>
          <w:b/>
          <w:color w:val="00779B"/>
          <w:spacing w:val="27"/>
        </w:rPr>
        <w:t> </w:t>
      </w:r>
      <w:r>
        <w:rPr>
          <w:rFonts w:ascii="Segoe UI Semibold"/>
          <w:b/>
          <w:color w:val="00779B"/>
          <w:spacing w:val="-1"/>
        </w:rPr>
        <w:t>tasks</w:t>
      </w:r>
      <w:r>
        <w:rPr>
          <w:rFonts w:ascii="Segoe UI Semibold"/>
          <w:b/>
          <w:color w:val="00779B"/>
          <w:spacing w:val="-2"/>
        </w:rPr>
        <w:t> </w:t>
      </w:r>
      <w:r>
        <w:rPr>
          <w:rFonts w:ascii="Segoe UI Semibold"/>
          <w:b/>
          <w:color w:val="00779B"/>
          <w:spacing w:val="1"/>
        </w:rPr>
        <w:t>vary</w:t>
      </w:r>
      <w:r>
        <w:rPr>
          <w:rFonts w:ascii="Segoe UI Semibold"/>
          <w:b/>
          <w:color w:val="00779B"/>
          <w:spacing w:val="-2"/>
        </w:rPr>
        <w:t> </w:t>
      </w:r>
      <w:r>
        <w:rPr>
          <w:rFonts w:ascii="Segoe UI Semibold"/>
          <w:b/>
          <w:color w:val="00779B"/>
          <w:spacing w:val="-1"/>
        </w:rPr>
        <w:t>from completing </w:t>
      </w:r>
      <w:r>
        <w:rPr>
          <w:rFonts w:ascii="Segoe UI Semibold"/>
          <w:b/>
          <w:color w:val="00779B"/>
          <w:spacing w:val="-2"/>
        </w:rPr>
        <w:t>enrolment</w:t>
      </w:r>
      <w:r>
        <w:rPr>
          <w:rFonts w:ascii="Segoe UI Semibold"/>
          <w:b/>
          <w:color w:val="00779B"/>
          <w:spacing w:val="22"/>
        </w:rPr>
        <w:t> </w:t>
      </w:r>
      <w:r>
        <w:rPr>
          <w:rFonts w:ascii="Segoe UI Semibold"/>
          <w:b/>
          <w:color w:val="00779B"/>
        </w:rPr>
        <w:t>applications</w:t>
      </w:r>
      <w:r>
        <w:rPr>
          <w:rFonts w:ascii="Segoe UI Semibold"/>
          <w:b/>
          <w:color w:val="00779B"/>
          <w:spacing w:val="-4"/>
        </w:rPr>
        <w:t> </w:t>
      </w:r>
      <w:r>
        <w:rPr>
          <w:rFonts w:ascii="Segoe UI Semibold"/>
          <w:b/>
          <w:color w:val="00779B"/>
        </w:rPr>
        <w:t>for</w:t>
      </w:r>
      <w:r>
        <w:rPr>
          <w:rFonts w:ascii="Segoe UI Semibold"/>
          <w:b/>
          <w:color w:val="00779B"/>
          <w:spacing w:val="-3"/>
        </w:rPr>
        <w:t> </w:t>
      </w:r>
      <w:r>
        <w:rPr>
          <w:rFonts w:ascii="Segoe UI Semibold"/>
          <w:b/>
          <w:color w:val="00779B"/>
        </w:rPr>
        <w:t>secondary</w:t>
      </w:r>
      <w:r>
        <w:rPr>
          <w:rFonts w:ascii="Segoe UI Semibold"/>
          <w:b/>
          <w:color w:val="00779B"/>
          <w:spacing w:val="-3"/>
        </w:rPr>
        <w:t> </w:t>
      </w:r>
      <w:r>
        <w:rPr>
          <w:rFonts w:ascii="Segoe UI Semibold"/>
          <w:b/>
          <w:color w:val="00779B"/>
          <w:spacing w:val="-1"/>
        </w:rPr>
        <w:t>boarding</w:t>
      </w:r>
      <w:r>
        <w:rPr>
          <w:rFonts w:ascii="Segoe UI Semibold"/>
          <w:b/>
          <w:color w:val="00779B"/>
          <w:spacing w:val="25"/>
          <w:w w:val="99"/>
        </w:rPr>
        <w:t> </w:t>
      </w:r>
      <w:r>
        <w:rPr>
          <w:rFonts w:ascii="Segoe UI Semibold"/>
          <w:b/>
          <w:color w:val="00779B"/>
          <w:spacing w:val="-1"/>
        </w:rPr>
        <w:t>school</w:t>
      </w:r>
      <w:r>
        <w:rPr>
          <w:rFonts w:ascii="Segoe UI Semibold"/>
          <w:b/>
          <w:color w:val="00779B"/>
        </w:rPr>
        <w:t> and</w:t>
      </w:r>
      <w:r>
        <w:rPr>
          <w:rFonts w:ascii="Segoe UI Semibold"/>
          <w:b/>
          <w:color w:val="00779B"/>
          <w:spacing w:val="-1"/>
        </w:rPr>
        <w:t> ABSTUDY</w:t>
      </w:r>
      <w:r>
        <w:rPr>
          <w:rFonts w:ascii="Segoe UI Semibold"/>
          <w:b/>
          <w:color w:val="00779B"/>
        </w:rPr>
        <w:t> applications,</w:t>
      </w:r>
      <w:r>
        <w:rPr>
          <w:rFonts w:ascii="Segoe UI Semibold"/>
          <w:b/>
          <w:color w:val="00779B"/>
          <w:spacing w:val="-1"/>
        </w:rPr>
        <w:t> the</w:t>
      </w:r>
      <w:r>
        <w:rPr>
          <w:rFonts w:ascii="Segoe UI Semibold"/>
          <w:b/>
          <w:color w:val="00779B"/>
          <w:spacing w:val="22"/>
        </w:rPr>
        <w:t> </w:t>
      </w:r>
      <w:r>
        <w:rPr>
          <w:rFonts w:ascii="Segoe UI Semibold"/>
          <w:b/>
          <w:color w:val="00779B"/>
          <w:spacing w:val="-1"/>
        </w:rPr>
        <w:t>sourcing </w:t>
      </w:r>
      <w:r>
        <w:rPr>
          <w:rFonts w:ascii="Segoe UI Semibold"/>
          <w:b/>
          <w:color w:val="00779B"/>
          <w:spacing w:val="-2"/>
        </w:rPr>
        <w:t>of</w:t>
      </w:r>
      <w:r>
        <w:rPr>
          <w:rFonts w:ascii="Segoe UI Semibold"/>
          <w:b/>
          <w:color w:val="00779B"/>
        </w:rPr>
        <w:t> </w:t>
      </w:r>
      <w:r>
        <w:rPr>
          <w:rFonts w:ascii="Segoe UI Semibold"/>
          <w:b/>
          <w:color w:val="00779B"/>
          <w:spacing w:val="-1"/>
        </w:rPr>
        <w:t>supporting</w:t>
      </w:r>
      <w:r>
        <w:rPr>
          <w:rFonts w:ascii="Segoe UI Semibold"/>
          <w:b/>
          <w:color w:val="00779B"/>
        </w:rPr>
        <w:t> documentation</w:t>
      </w:r>
      <w:r>
        <w:rPr>
          <w:rFonts w:ascii="Segoe UI Semibold"/>
          <w:b/>
          <w:color w:val="00779B"/>
          <w:spacing w:val="28"/>
        </w:rPr>
        <w:t> </w:t>
      </w:r>
      <w:r>
        <w:rPr>
          <w:rFonts w:ascii="Segoe UI Semibold"/>
          <w:b/>
          <w:color w:val="00779B"/>
        </w:rPr>
        <w:t>(birth</w:t>
      </w:r>
      <w:r>
        <w:rPr>
          <w:rFonts w:ascii="Segoe UI Semibold"/>
          <w:b/>
          <w:color w:val="00779B"/>
          <w:spacing w:val="-2"/>
        </w:rPr>
        <w:t> </w:t>
      </w:r>
      <w:r>
        <w:rPr>
          <w:rFonts w:ascii="Segoe UI Semibold"/>
          <w:b/>
          <w:color w:val="00779B"/>
        </w:rPr>
        <w:t>certificate,</w:t>
      </w:r>
      <w:r>
        <w:rPr>
          <w:rFonts w:ascii="Segoe UI Semibold"/>
          <w:b/>
          <w:color w:val="00779B"/>
          <w:spacing w:val="-2"/>
        </w:rPr>
        <w:t> </w:t>
      </w:r>
      <w:r>
        <w:rPr>
          <w:rFonts w:ascii="Segoe UI Semibold"/>
          <w:b/>
          <w:color w:val="00779B"/>
        </w:rPr>
        <w:t>academic</w:t>
      </w:r>
      <w:r>
        <w:rPr>
          <w:rFonts w:ascii="Segoe UI Semibold"/>
          <w:b/>
          <w:color w:val="00779B"/>
          <w:spacing w:val="-2"/>
        </w:rPr>
        <w:t> </w:t>
      </w:r>
      <w:r>
        <w:rPr>
          <w:rFonts w:ascii="Segoe UI Semibold"/>
          <w:b/>
          <w:color w:val="00779B"/>
        </w:rPr>
        <w:t>transcripts</w:t>
      </w:r>
      <w:r>
        <w:rPr>
          <w:rFonts w:ascii="Segoe UI Semibold"/>
          <w:b/>
          <w:color w:val="00779B"/>
          <w:spacing w:val="29"/>
        </w:rPr>
        <w:t> </w:t>
      </w:r>
      <w:r>
        <w:rPr>
          <w:rFonts w:ascii="Segoe UI Semibold"/>
          <w:b/>
          <w:color w:val="00779B"/>
          <w:spacing w:val="-1"/>
        </w:rPr>
        <w:t>etc.)</w:t>
      </w:r>
      <w:r>
        <w:rPr>
          <w:rFonts w:ascii="Segoe UI Semibold"/>
          <w:b/>
          <w:color w:val="00779B"/>
          <w:spacing w:val="-2"/>
        </w:rPr>
        <w:t> </w:t>
      </w:r>
      <w:r>
        <w:rPr>
          <w:rFonts w:ascii="Segoe UI Semibold"/>
          <w:b/>
          <w:color w:val="00779B"/>
        </w:rPr>
        <w:t>and</w:t>
      </w:r>
      <w:r>
        <w:rPr>
          <w:rFonts w:ascii="Segoe UI Semibold"/>
          <w:b/>
          <w:color w:val="00779B"/>
          <w:spacing w:val="-3"/>
        </w:rPr>
        <w:t> </w:t>
      </w:r>
      <w:r>
        <w:rPr>
          <w:rFonts w:ascii="Segoe UI Semibold"/>
          <w:b/>
          <w:color w:val="00779B"/>
          <w:spacing w:val="-1"/>
        </w:rPr>
        <w:t>sharing </w:t>
      </w:r>
      <w:r>
        <w:rPr>
          <w:rFonts w:ascii="Segoe UI Semibold"/>
          <w:b/>
          <w:color w:val="00779B"/>
          <w:spacing w:val="-2"/>
        </w:rPr>
        <w:t>of </w:t>
      </w:r>
      <w:r>
        <w:rPr>
          <w:rFonts w:ascii="Segoe UI Semibold"/>
          <w:b/>
          <w:color w:val="00779B"/>
          <w:spacing w:val="-1"/>
        </w:rPr>
        <w:t>important</w:t>
      </w:r>
      <w:r>
        <w:rPr>
          <w:rFonts w:ascii="Segoe UI Semibold"/>
          <w:b/>
          <w:color w:val="00779B"/>
          <w:spacing w:val="27"/>
        </w:rPr>
        <w:t> </w:t>
      </w:r>
      <w:r>
        <w:rPr>
          <w:rFonts w:ascii="Segoe UI Semibold"/>
          <w:b/>
          <w:color w:val="00779B"/>
          <w:spacing w:val="-1"/>
        </w:rPr>
        <w:t>information</w:t>
      </w:r>
      <w:r>
        <w:rPr>
          <w:rFonts w:ascii="Segoe UI Semibold"/>
          <w:b/>
          <w:color w:val="00779B"/>
        </w:rPr>
        <w:t> </w:t>
      </w:r>
      <w:r>
        <w:rPr>
          <w:rFonts w:ascii="Segoe UI Semibold"/>
          <w:b/>
          <w:color w:val="00779B"/>
          <w:spacing w:val="-1"/>
        </w:rPr>
        <w:t>such</w:t>
      </w:r>
      <w:r>
        <w:rPr>
          <w:rFonts w:ascii="Segoe UI Semibold"/>
          <w:b/>
          <w:color w:val="00779B"/>
        </w:rPr>
        <w:t> as</w:t>
      </w:r>
      <w:r>
        <w:rPr>
          <w:rFonts w:ascii="Segoe UI Semibold"/>
          <w:b/>
          <w:color w:val="00779B"/>
          <w:spacing w:val="-1"/>
        </w:rPr>
        <w:t> travel</w:t>
      </w:r>
      <w:r>
        <w:rPr>
          <w:rFonts w:ascii="Segoe UI Semibold"/>
          <w:b/>
          <w:color w:val="00779B"/>
        </w:rPr>
        <w:t> details.</w:t>
      </w:r>
      <w:r>
        <w:rPr>
          <w:rFonts w:ascii="Segoe UI Semibold"/>
        </w:rPr>
      </w:r>
    </w:p>
    <w:p>
      <w:pPr>
        <w:pStyle w:val="BodyText"/>
        <w:spacing w:line="250" w:lineRule="exact"/>
        <w:ind w:left="554" w:right="567"/>
        <w:jc w:val="left"/>
        <w:rPr>
          <w:rFonts w:ascii="Segoe UI Semibold" w:hAnsi="Segoe UI Semibold" w:cs="Segoe UI Semibold" w:eastAsia="Segoe UI Semibold"/>
        </w:rPr>
      </w:pPr>
      <w:r>
        <w:rPr>
          <w:rFonts w:ascii="Segoe UI Semibold"/>
          <w:b/>
          <w:color w:val="00779B"/>
        </w:rPr>
        <w:t>A</w:t>
      </w:r>
      <w:r>
        <w:rPr>
          <w:rFonts w:ascii="Segoe UI Semibold"/>
          <w:b/>
          <w:color w:val="00779B"/>
          <w:spacing w:val="-1"/>
        </w:rPr>
        <w:t> </w:t>
      </w:r>
      <w:r>
        <w:rPr>
          <w:rFonts w:ascii="Segoe UI Semibold"/>
          <w:b/>
          <w:color w:val="00779B"/>
        </w:rPr>
        <w:t>further </w:t>
      </w:r>
      <w:r>
        <w:rPr>
          <w:rFonts w:ascii="Segoe UI Semibold"/>
          <w:b/>
          <w:color w:val="00779B"/>
          <w:spacing w:val="-1"/>
        </w:rPr>
        <w:t>complication</w:t>
      </w:r>
      <w:r>
        <w:rPr>
          <w:rFonts w:ascii="Segoe UI Semibold"/>
          <w:b/>
          <w:color w:val="00779B"/>
        </w:rPr>
        <w:t> </w:t>
      </w:r>
      <w:r>
        <w:rPr>
          <w:rFonts w:ascii="Segoe UI Semibold"/>
          <w:b/>
          <w:color w:val="00779B"/>
          <w:spacing w:val="-1"/>
        </w:rPr>
        <w:t>is</w:t>
      </w:r>
      <w:r>
        <w:rPr>
          <w:rFonts w:ascii="Segoe UI Semibold"/>
          <w:b/>
          <w:color w:val="00779B"/>
        </w:rPr>
        <w:t> </w:t>
      </w:r>
      <w:r>
        <w:rPr>
          <w:rFonts w:ascii="Segoe UI Semibold"/>
          <w:b/>
          <w:color w:val="00779B"/>
          <w:spacing w:val="-1"/>
        </w:rPr>
        <w:t>that</w:t>
      </w:r>
      <w:r>
        <w:rPr>
          <w:rFonts w:ascii="Segoe UI Semibold"/>
          <w:b/>
          <w:color w:val="00779B"/>
        </w:rPr>
        <w:t> </w:t>
      </w:r>
      <w:r>
        <w:rPr>
          <w:rFonts w:ascii="Segoe UI Semibold"/>
          <w:b/>
          <w:color w:val="00779B"/>
          <w:spacing w:val="-1"/>
        </w:rPr>
        <w:t>the</w:t>
      </w:r>
      <w:r>
        <w:rPr>
          <w:rFonts w:ascii="Segoe UI Semibold"/>
          <w:b/>
          <w:color w:val="00779B"/>
          <w:spacing w:val="25"/>
        </w:rPr>
        <w:t> </w:t>
      </w:r>
      <w:r>
        <w:rPr>
          <w:rFonts w:ascii="Segoe UI Semibold"/>
          <w:b/>
          <w:color w:val="00779B"/>
          <w:spacing w:val="-1"/>
        </w:rPr>
        <w:t>elements </w:t>
      </w:r>
      <w:r>
        <w:rPr>
          <w:rFonts w:ascii="Segoe UI Semibold"/>
          <w:b/>
          <w:color w:val="00779B"/>
          <w:spacing w:val="-2"/>
        </w:rPr>
        <w:t>required</w:t>
      </w:r>
      <w:r>
        <w:rPr>
          <w:rFonts w:ascii="Segoe UI Semibold"/>
          <w:b/>
          <w:color w:val="00779B"/>
          <w:spacing w:val="-1"/>
        </w:rPr>
        <w:t> to</w:t>
      </w:r>
      <w:r>
        <w:rPr>
          <w:rFonts w:ascii="Segoe UI Semibold"/>
          <w:b/>
          <w:color w:val="00779B"/>
          <w:spacing w:val="-2"/>
        </w:rPr>
        <w:t> </w:t>
      </w:r>
      <w:r>
        <w:rPr>
          <w:rFonts w:ascii="Segoe UI Semibold"/>
          <w:b/>
          <w:color w:val="00779B"/>
        </w:rPr>
        <w:t>support</w:t>
      </w:r>
      <w:r>
        <w:rPr>
          <w:rFonts w:ascii="Segoe UI Semibold"/>
          <w:b/>
          <w:color w:val="00779B"/>
          <w:spacing w:val="-2"/>
        </w:rPr>
        <w:t> </w:t>
      </w:r>
      <w:r>
        <w:rPr>
          <w:rFonts w:ascii="Segoe UI Semibold"/>
          <w:b/>
          <w:color w:val="00779B"/>
        </w:rPr>
        <w:t>a</w:t>
      </w:r>
      <w:r>
        <w:rPr>
          <w:rFonts w:ascii="Segoe UI Semibold"/>
          <w:b/>
          <w:color w:val="00779B"/>
          <w:spacing w:val="29"/>
          <w:w w:val="99"/>
        </w:rPr>
        <w:t> </w:t>
      </w:r>
      <w:r>
        <w:rPr>
          <w:rFonts w:ascii="Segoe UI Semibold"/>
          <w:b/>
          <w:color w:val="00779B"/>
          <w:spacing w:val="-1"/>
        </w:rPr>
        <w:t>successful</w:t>
      </w:r>
      <w:r>
        <w:rPr>
          <w:rFonts w:ascii="Segoe UI Semibold"/>
          <w:b/>
          <w:color w:val="00779B"/>
        </w:rPr>
        <w:t> </w:t>
      </w:r>
      <w:r>
        <w:rPr>
          <w:rFonts w:ascii="Segoe UI Semibold"/>
          <w:b/>
          <w:color w:val="00779B"/>
          <w:spacing w:val="-1"/>
        </w:rPr>
        <w:t>transition</w:t>
      </w:r>
      <w:r>
        <w:rPr>
          <w:rFonts w:ascii="Segoe UI Semibold"/>
          <w:b/>
          <w:color w:val="00779B"/>
        </w:rPr>
        <w:t> </w:t>
      </w:r>
      <w:r>
        <w:rPr>
          <w:rFonts w:ascii="Segoe UI Semibold"/>
          <w:b/>
          <w:color w:val="00779B"/>
          <w:spacing w:val="-1"/>
        </w:rPr>
        <w:t>are reliant</w:t>
      </w:r>
      <w:r>
        <w:rPr>
          <w:rFonts w:ascii="Segoe UI Semibold"/>
          <w:b/>
          <w:color w:val="00779B"/>
        </w:rPr>
        <w:t> </w:t>
      </w:r>
      <w:r>
        <w:rPr>
          <w:rFonts w:ascii="Segoe UI Semibold"/>
          <w:b/>
          <w:color w:val="00779B"/>
          <w:spacing w:val="-1"/>
        </w:rPr>
        <w:t>on</w:t>
      </w:r>
      <w:r>
        <w:rPr>
          <w:rFonts w:ascii="Segoe UI Semibold"/>
          <w:b/>
          <w:color w:val="00779B"/>
          <w:spacing w:val="24"/>
        </w:rPr>
        <w:t> </w:t>
      </w:r>
      <w:r>
        <w:rPr>
          <w:rFonts w:ascii="Segoe UI Semibold"/>
          <w:b/>
          <w:color w:val="00779B"/>
          <w:spacing w:val="-1"/>
        </w:rPr>
        <w:t>the structure</w:t>
      </w:r>
      <w:r>
        <w:rPr>
          <w:rFonts w:ascii="Segoe UI Semibold"/>
          <w:b/>
          <w:color w:val="00779B"/>
          <w:spacing w:val="-2"/>
        </w:rPr>
        <w:t> of</w:t>
      </w:r>
      <w:r>
        <w:rPr>
          <w:rFonts w:ascii="Segoe UI Semibold"/>
          <w:b/>
          <w:color w:val="00779B"/>
        </w:rPr>
        <w:t> </w:t>
      </w:r>
      <w:r>
        <w:rPr>
          <w:rFonts w:ascii="Segoe UI Semibold"/>
          <w:b/>
          <w:color w:val="00779B"/>
          <w:spacing w:val="-1"/>
        </w:rPr>
        <w:t>processes </w:t>
      </w:r>
      <w:r>
        <w:rPr>
          <w:rFonts w:ascii="Segoe UI Semibold"/>
          <w:b/>
          <w:color w:val="00779B"/>
        </w:rPr>
        <w:t>(i.e.</w:t>
      </w:r>
      <w:r>
        <w:rPr>
          <w:rFonts w:ascii="Segoe UI Semibold"/>
          <w:b/>
          <w:color w:val="00779B"/>
          <w:spacing w:val="-1"/>
        </w:rPr>
        <w:t> school</w:t>
      </w:r>
      <w:r>
        <w:rPr>
          <w:rFonts w:ascii="Segoe UI Semibold"/>
          <w:b/>
          <w:color w:val="00779B"/>
          <w:spacing w:val="22"/>
        </w:rPr>
        <w:t> </w:t>
      </w:r>
      <w:r>
        <w:rPr>
          <w:rFonts w:ascii="Segoe UI Semibold"/>
          <w:b/>
          <w:color w:val="00779B"/>
          <w:spacing w:val="-1"/>
        </w:rPr>
        <w:t>enrolments,</w:t>
      </w:r>
      <w:r>
        <w:rPr>
          <w:rFonts w:ascii="Segoe UI Semibold"/>
          <w:b/>
          <w:color w:val="00779B"/>
        </w:rPr>
        <w:t> </w:t>
      </w:r>
      <w:r>
        <w:rPr>
          <w:rFonts w:ascii="Segoe UI Semibold"/>
          <w:b/>
          <w:color w:val="00779B"/>
          <w:spacing w:val="-1"/>
        </w:rPr>
        <w:t>ABSTUDY</w:t>
      </w:r>
      <w:r>
        <w:rPr>
          <w:rFonts w:ascii="Segoe UI Semibold"/>
          <w:b/>
          <w:color w:val="00779B"/>
        </w:rPr>
        <w:t> applications).</w:t>
      </w:r>
      <w:r>
        <w:rPr>
          <w:rFonts w:ascii="Segoe UI Semibold"/>
        </w:rPr>
      </w:r>
    </w:p>
    <w:p>
      <w:pPr>
        <w:pStyle w:val="BodyText"/>
        <w:spacing w:line="250" w:lineRule="exact"/>
        <w:ind w:left="554" w:right="243"/>
        <w:jc w:val="left"/>
        <w:rPr>
          <w:rFonts w:ascii="Segoe UI Semibold" w:hAnsi="Segoe UI Semibold" w:cs="Segoe UI Semibold" w:eastAsia="Segoe UI Semibold"/>
        </w:rPr>
      </w:pPr>
      <w:r>
        <w:rPr>
          <w:rFonts w:ascii="Segoe UI Semibold"/>
          <w:b/>
          <w:color w:val="00779B"/>
        </w:rPr>
        <w:t>The</w:t>
      </w:r>
      <w:r>
        <w:rPr>
          <w:rFonts w:ascii="Segoe UI Semibold"/>
          <w:b/>
          <w:color w:val="00779B"/>
          <w:spacing w:val="-2"/>
        </w:rPr>
        <w:t> </w:t>
      </w:r>
      <w:r>
        <w:rPr>
          <w:rFonts w:ascii="Segoe UI Semibold"/>
          <w:b/>
          <w:color w:val="00779B"/>
          <w:spacing w:val="-1"/>
        </w:rPr>
        <w:t>tension is that </w:t>
      </w:r>
      <w:r>
        <w:rPr>
          <w:rFonts w:ascii="Segoe UI Semibold"/>
          <w:b/>
          <w:color w:val="00779B"/>
        </w:rPr>
        <w:t>for</w:t>
      </w:r>
      <w:r>
        <w:rPr>
          <w:rFonts w:ascii="Segoe UI Semibold"/>
          <w:b/>
          <w:color w:val="00779B"/>
          <w:spacing w:val="-2"/>
        </w:rPr>
        <w:t> </w:t>
      </w:r>
      <w:r>
        <w:rPr>
          <w:rFonts w:ascii="Segoe UI Semibold"/>
          <w:b/>
          <w:color w:val="00779B"/>
        </w:rPr>
        <w:t>people</w:t>
      </w:r>
      <w:r>
        <w:rPr>
          <w:rFonts w:ascii="Segoe UI Semibold"/>
          <w:b/>
          <w:color w:val="00779B"/>
          <w:spacing w:val="-2"/>
        </w:rPr>
        <w:t> </w:t>
      </w:r>
      <w:r>
        <w:rPr>
          <w:rFonts w:ascii="Segoe UI Semibold"/>
          <w:b/>
          <w:color w:val="00779B"/>
          <w:spacing w:val="-1"/>
        </w:rPr>
        <w:t>living in</w:t>
      </w:r>
      <w:r>
        <w:rPr>
          <w:rFonts w:ascii="Segoe UI Semibold"/>
          <w:b/>
          <w:color w:val="00779B"/>
          <w:spacing w:val="23"/>
        </w:rPr>
        <w:t> </w:t>
      </w:r>
      <w:r>
        <w:rPr>
          <w:rFonts w:ascii="Segoe UI Semibold"/>
          <w:b/>
          <w:color w:val="00779B"/>
          <w:spacing w:val="-1"/>
        </w:rPr>
        <w:t>remote</w:t>
      </w:r>
      <w:r>
        <w:rPr>
          <w:rFonts w:ascii="Segoe UI Semibold"/>
          <w:b/>
          <w:color w:val="00779B"/>
          <w:spacing w:val="-2"/>
        </w:rPr>
        <w:t> </w:t>
      </w:r>
      <w:r>
        <w:rPr>
          <w:rFonts w:ascii="Segoe UI Semibold"/>
          <w:b/>
          <w:color w:val="00779B"/>
          <w:spacing w:val="-1"/>
        </w:rPr>
        <w:t>communities</w:t>
      </w:r>
      <w:r>
        <w:rPr>
          <w:rFonts w:ascii="Segoe UI Semibold"/>
          <w:b/>
          <w:color w:val="00779B"/>
        </w:rPr>
        <w:t> </w:t>
      </w:r>
      <w:r>
        <w:rPr>
          <w:rFonts w:ascii="Segoe UI Semibold"/>
          <w:b/>
          <w:color w:val="00779B"/>
          <w:spacing w:val="-1"/>
        </w:rPr>
        <w:t>their lives</w:t>
      </w:r>
      <w:r>
        <w:rPr>
          <w:rFonts w:ascii="Segoe UI Semibold"/>
          <w:b/>
          <w:color w:val="00779B"/>
        </w:rPr>
        <w:t> do</w:t>
      </w:r>
      <w:r>
        <w:rPr>
          <w:rFonts w:ascii="Segoe UI Semibold"/>
          <w:b/>
          <w:color w:val="00779B"/>
          <w:spacing w:val="-2"/>
        </w:rPr>
        <w:t> </w:t>
      </w:r>
      <w:r>
        <w:rPr>
          <w:rFonts w:ascii="Segoe UI Semibold"/>
          <w:b/>
          <w:color w:val="00779B"/>
          <w:spacing w:val="-1"/>
        </w:rPr>
        <w:t>not</w:t>
      </w:r>
      <w:r>
        <w:rPr>
          <w:rFonts w:ascii="Segoe UI Semibold"/>
          <w:b/>
          <w:color w:val="00779B"/>
          <w:spacing w:val="23"/>
        </w:rPr>
        <w:t> </w:t>
      </w:r>
      <w:r>
        <w:rPr>
          <w:rFonts w:ascii="Segoe UI Semibold"/>
          <w:b/>
          <w:color w:val="00779B"/>
        </w:rPr>
        <w:t>always</w:t>
      </w:r>
      <w:r>
        <w:rPr>
          <w:rFonts w:ascii="Segoe UI Semibold"/>
          <w:b/>
          <w:color w:val="00779B"/>
          <w:spacing w:val="-1"/>
        </w:rPr>
        <w:t> </w:t>
      </w:r>
      <w:r>
        <w:rPr>
          <w:rFonts w:ascii="Segoe UI Semibold"/>
          <w:b/>
          <w:color w:val="00779B"/>
        </w:rPr>
        <w:t>fit </w:t>
      </w:r>
      <w:r>
        <w:rPr>
          <w:rFonts w:ascii="Segoe UI Semibold"/>
          <w:b/>
          <w:color w:val="00779B"/>
          <w:spacing w:val="-1"/>
        </w:rPr>
        <w:t>into </w:t>
      </w:r>
      <w:r>
        <w:rPr>
          <w:rFonts w:ascii="Segoe UI Semibold"/>
          <w:b/>
          <w:color w:val="00779B"/>
        </w:rPr>
        <w:t>these </w:t>
      </w:r>
      <w:r>
        <w:rPr>
          <w:rFonts w:ascii="Segoe UI Semibold"/>
          <w:b/>
          <w:color w:val="00779B"/>
          <w:spacing w:val="-1"/>
        </w:rPr>
        <w:t>structures.</w:t>
      </w:r>
      <w:r>
        <w:rPr>
          <w:rFonts w:ascii="Segoe UI Semibold"/>
          <w:b/>
          <w:color w:val="00779B"/>
        </w:rPr>
        <w:t> Their</w:t>
      </w:r>
      <w:r>
        <w:rPr>
          <w:rFonts w:ascii="Segoe UI Semibold"/>
          <w:b/>
          <w:color w:val="00779B"/>
          <w:spacing w:val="25"/>
        </w:rPr>
        <w:t> </w:t>
      </w:r>
      <w:r>
        <w:rPr>
          <w:rFonts w:ascii="Segoe UI Semibold"/>
          <w:b/>
          <w:color w:val="00779B"/>
          <w:spacing w:val="-1"/>
        </w:rPr>
        <w:t>lives are </w:t>
      </w:r>
      <w:r>
        <w:rPr>
          <w:rFonts w:ascii="Segoe UI Semibold"/>
          <w:b/>
          <w:color w:val="00779B"/>
          <w:spacing w:val="1"/>
        </w:rPr>
        <w:t>very</w:t>
      </w:r>
      <w:r>
        <w:rPr>
          <w:rFonts w:ascii="Segoe UI Semibold"/>
          <w:b/>
          <w:color w:val="00779B"/>
          <w:spacing w:val="-1"/>
        </w:rPr>
        <w:t> different to non-remote</w:t>
      </w:r>
      <w:r>
        <w:rPr>
          <w:rFonts w:ascii="Segoe UI Semibold"/>
          <w:b/>
          <w:color w:val="00779B"/>
          <w:spacing w:val="41"/>
        </w:rPr>
        <w:t> </w:t>
      </w:r>
      <w:r>
        <w:rPr>
          <w:rFonts w:ascii="Segoe UI Semibold"/>
          <w:b/>
          <w:color w:val="00779B"/>
          <w:spacing w:val="-1"/>
        </w:rPr>
        <w:t>areas</w:t>
      </w:r>
      <w:r>
        <w:rPr>
          <w:rFonts w:ascii="Segoe UI Semibold"/>
          <w:b/>
          <w:color w:val="00779B"/>
          <w:spacing w:val="-3"/>
        </w:rPr>
        <w:t> </w:t>
      </w:r>
      <w:r>
        <w:rPr>
          <w:rFonts w:ascii="Segoe UI Semibold"/>
          <w:b/>
          <w:color w:val="00779B"/>
        </w:rPr>
        <w:t>and</w:t>
      </w:r>
      <w:r>
        <w:rPr>
          <w:rFonts w:ascii="Segoe UI Semibold"/>
          <w:b/>
          <w:color w:val="00779B"/>
          <w:spacing w:val="-2"/>
        </w:rPr>
        <w:t> </w:t>
      </w:r>
      <w:r>
        <w:rPr>
          <w:rFonts w:ascii="Segoe UI Semibold"/>
          <w:b/>
          <w:color w:val="00779B"/>
        </w:rPr>
        <w:t>sometimes</w:t>
      </w:r>
      <w:r>
        <w:rPr>
          <w:rFonts w:ascii="Segoe UI Semibold"/>
          <w:b/>
          <w:color w:val="00779B"/>
          <w:spacing w:val="-2"/>
        </w:rPr>
        <w:t> </w:t>
      </w:r>
      <w:r>
        <w:rPr>
          <w:rFonts w:ascii="Segoe UI Semibold"/>
          <w:b/>
          <w:color w:val="00779B"/>
          <w:spacing w:val="-1"/>
        </w:rPr>
        <w:t>require</w:t>
      </w:r>
      <w:r>
        <w:rPr>
          <w:rFonts w:ascii="Segoe UI Semibold"/>
          <w:b/>
          <w:color w:val="00779B"/>
          <w:spacing w:val="-2"/>
        </w:rPr>
        <w:t> </w:t>
      </w:r>
      <w:r>
        <w:rPr>
          <w:rFonts w:ascii="Segoe UI Semibold"/>
          <w:b/>
          <w:color w:val="00779B"/>
          <w:spacing w:val="-1"/>
        </w:rPr>
        <w:t>flexibility.</w:t>
      </w:r>
      <w:r>
        <w:rPr>
          <w:rFonts w:ascii="Segoe UI Semibold"/>
        </w:rPr>
      </w:r>
    </w:p>
    <w:p>
      <w:pPr>
        <w:pStyle w:val="BodyText"/>
        <w:spacing w:line="250" w:lineRule="exact" w:before="113"/>
        <w:ind w:left="554" w:right="656"/>
        <w:jc w:val="both"/>
        <w:rPr>
          <w:rFonts w:ascii="Segoe UI Semibold" w:hAnsi="Segoe UI Semibold" w:cs="Segoe UI Semibold" w:eastAsia="Segoe UI Semibold"/>
        </w:rPr>
      </w:pPr>
      <w:r>
        <w:rPr>
          <w:rFonts w:ascii="Segoe UI Semibold"/>
          <w:b/>
          <w:color w:val="00779B"/>
          <w:spacing w:val="-2"/>
        </w:rPr>
        <w:t>At</w:t>
      </w:r>
      <w:r>
        <w:rPr>
          <w:rFonts w:ascii="Segoe UI Semibold"/>
          <w:b/>
          <w:color w:val="00779B"/>
          <w:spacing w:val="-1"/>
        </w:rPr>
        <w:t> the</w:t>
      </w:r>
      <w:r>
        <w:rPr>
          <w:rFonts w:ascii="Segoe UI Semibold"/>
          <w:b/>
          <w:color w:val="00779B"/>
        </w:rPr>
        <w:t> </w:t>
      </w:r>
      <w:r>
        <w:rPr>
          <w:rFonts w:ascii="Segoe UI Semibold"/>
          <w:b/>
          <w:color w:val="00779B"/>
          <w:spacing w:val="-1"/>
        </w:rPr>
        <w:t>current</w:t>
      </w:r>
      <w:r>
        <w:rPr>
          <w:rFonts w:ascii="Segoe UI Semibold"/>
          <w:b/>
          <w:color w:val="00779B"/>
        </w:rPr>
        <w:t> </w:t>
      </w:r>
      <w:r>
        <w:rPr>
          <w:rFonts w:ascii="Segoe UI Semibold"/>
          <w:b/>
          <w:color w:val="00779B"/>
          <w:spacing w:val="-1"/>
        </w:rPr>
        <w:t>time</w:t>
      </w:r>
      <w:r>
        <w:rPr>
          <w:rFonts w:ascii="Segoe UI Semibold"/>
          <w:b/>
          <w:color w:val="00779B"/>
        </w:rPr>
        <w:t> </w:t>
      </w:r>
      <w:r>
        <w:rPr>
          <w:rFonts w:ascii="Segoe UI Semibold"/>
          <w:b/>
          <w:color w:val="00779B"/>
          <w:spacing w:val="-1"/>
        </w:rPr>
        <w:t>these</w:t>
      </w:r>
      <w:r>
        <w:rPr>
          <w:rFonts w:ascii="Segoe UI Semibold"/>
          <w:b/>
          <w:color w:val="00779B"/>
        </w:rPr>
        <w:t> </w:t>
      </w:r>
      <w:r>
        <w:rPr>
          <w:rFonts w:ascii="Segoe UI Semibold"/>
          <w:b/>
          <w:color w:val="00779B"/>
          <w:spacing w:val="-1"/>
        </w:rPr>
        <w:t>roles</w:t>
      </w:r>
      <w:r>
        <w:rPr>
          <w:rFonts w:ascii="Segoe UI Semibold"/>
          <w:b/>
          <w:color w:val="00779B"/>
        </w:rPr>
        <w:t> and</w:t>
      </w:r>
      <w:r>
        <w:rPr>
          <w:rFonts w:ascii="Segoe UI Semibold"/>
          <w:b/>
          <w:color w:val="00779B"/>
          <w:spacing w:val="24"/>
        </w:rPr>
        <w:t> </w:t>
      </w:r>
      <w:r>
        <w:rPr>
          <w:rFonts w:ascii="Segoe UI Semibold"/>
          <w:b/>
          <w:color w:val="00779B"/>
        </w:rPr>
        <w:t>functions</w:t>
      </w:r>
      <w:r>
        <w:rPr>
          <w:rFonts w:ascii="Segoe UI Semibold"/>
          <w:b/>
          <w:color w:val="00779B"/>
          <w:spacing w:val="10"/>
        </w:rPr>
        <w:t> </w:t>
      </w:r>
      <w:r>
        <w:rPr>
          <w:rFonts w:ascii="Segoe UI Semibold"/>
          <w:b/>
          <w:color w:val="00779B"/>
          <w:spacing w:val="-1"/>
        </w:rPr>
        <w:t>are</w:t>
      </w:r>
      <w:r>
        <w:rPr>
          <w:rFonts w:ascii="Segoe UI Semibold"/>
          <w:b/>
          <w:color w:val="00779B"/>
          <w:spacing w:val="11"/>
        </w:rPr>
        <w:t> </w:t>
      </w:r>
      <w:r>
        <w:rPr>
          <w:rFonts w:ascii="Segoe UI Semibold"/>
          <w:b/>
          <w:color w:val="00779B"/>
        </w:rPr>
        <w:t>being</w:t>
      </w:r>
      <w:r>
        <w:rPr>
          <w:rFonts w:ascii="Segoe UI Semibold"/>
          <w:b/>
          <w:color w:val="00779B"/>
          <w:spacing w:val="11"/>
        </w:rPr>
        <w:t> </w:t>
      </w:r>
      <w:r>
        <w:rPr>
          <w:rFonts w:ascii="Segoe UI Semibold"/>
          <w:b/>
          <w:color w:val="00779B"/>
          <w:spacing w:val="-1"/>
        </w:rPr>
        <w:t>undertaken</w:t>
      </w:r>
      <w:r>
        <w:rPr>
          <w:rFonts w:ascii="Segoe UI Semibold"/>
          <w:b/>
          <w:color w:val="00779B"/>
          <w:spacing w:val="11"/>
        </w:rPr>
        <w:t> </w:t>
      </w:r>
      <w:r>
        <w:rPr>
          <w:rFonts w:ascii="Segoe UI Semibold"/>
          <w:b/>
          <w:color w:val="00779B"/>
        </w:rPr>
        <w:t>by</w:t>
      </w:r>
      <w:r>
        <w:rPr>
          <w:rFonts w:ascii="Segoe UI Semibold"/>
          <w:b/>
          <w:color w:val="00779B"/>
          <w:spacing w:val="27"/>
          <w:w w:val="99"/>
        </w:rPr>
        <w:t> </w:t>
      </w:r>
      <w:r>
        <w:rPr>
          <w:rFonts w:ascii="Segoe UI Semibold"/>
          <w:b/>
          <w:color w:val="00779B"/>
        </w:rPr>
        <w:t>a</w:t>
      </w:r>
      <w:r>
        <w:rPr>
          <w:rFonts w:ascii="Segoe UI Semibold"/>
          <w:b/>
          <w:color w:val="00779B"/>
          <w:spacing w:val="-1"/>
        </w:rPr>
        <w:t> number</w:t>
      </w:r>
      <w:r>
        <w:rPr>
          <w:rFonts w:ascii="Segoe UI Semibold"/>
          <w:b/>
          <w:color w:val="00779B"/>
        </w:rPr>
        <w:t> </w:t>
      </w:r>
      <w:r>
        <w:rPr>
          <w:rFonts w:ascii="Segoe UI Semibold"/>
          <w:b/>
          <w:color w:val="00779B"/>
          <w:spacing w:val="-2"/>
        </w:rPr>
        <w:t>of</w:t>
      </w:r>
      <w:r>
        <w:rPr>
          <w:rFonts w:ascii="Segoe UI Semibold"/>
          <w:b/>
          <w:color w:val="00779B"/>
          <w:spacing w:val="-1"/>
        </w:rPr>
        <w:t> stakeholders </w:t>
      </w:r>
      <w:r>
        <w:rPr>
          <w:rFonts w:ascii="Segoe UI Semibold"/>
          <w:b/>
          <w:color w:val="00779B"/>
        </w:rPr>
        <w:t>(elements</w:t>
      </w:r>
      <w:r>
        <w:rPr>
          <w:rFonts w:ascii="Segoe UI Semibold"/>
        </w:rPr>
      </w:r>
    </w:p>
    <w:p>
      <w:pPr>
        <w:pStyle w:val="BodyText"/>
        <w:spacing w:line="250" w:lineRule="exact"/>
        <w:ind w:left="554" w:right="351"/>
        <w:jc w:val="left"/>
        <w:rPr>
          <w:rFonts w:ascii="Segoe UI Semibold" w:hAnsi="Segoe UI Semibold" w:cs="Segoe UI Semibold" w:eastAsia="Segoe UI Semibold"/>
          <w:sz w:val="11"/>
          <w:szCs w:val="11"/>
        </w:rPr>
      </w:pPr>
      <w:r>
        <w:rPr>
          <w:rFonts w:ascii="Segoe UI Semibold"/>
          <w:b/>
          <w:color w:val="00779B"/>
        </w:rPr>
        <w:t>being</w:t>
      </w:r>
      <w:r>
        <w:rPr>
          <w:rFonts w:ascii="Segoe UI Semibold"/>
          <w:b/>
          <w:color w:val="00779B"/>
          <w:spacing w:val="-3"/>
        </w:rPr>
        <w:t> </w:t>
      </w:r>
      <w:r>
        <w:rPr>
          <w:rFonts w:ascii="Segoe UI Semibold"/>
          <w:b/>
          <w:color w:val="00779B"/>
          <w:spacing w:val="-1"/>
        </w:rPr>
        <w:t>completed </w:t>
      </w:r>
      <w:r>
        <w:rPr>
          <w:rFonts w:ascii="Segoe UI Semibold"/>
          <w:b/>
          <w:color w:val="00779B"/>
        </w:rPr>
        <w:t>[by]</w:t>
      </w:r>
      <w:r>
        <w:rPr>
          <w:rFonts w:ascii="Segoe UI Semibold"/>
          <w:b/>
          <w:color w:val="00779B"/>
          <w:spacing w:val="-2"/>
        </w:rPr>
        <w:t> </w:t>
      </w:r>
      <w:r>
        <w:rPr>
          <w:rFonts w:ascii="Segoe UI Semibold"/>
          <w:b/>
          <w:color w:val="00779B"/>
          <w:spacing w:val="-1"/>
        </w:rPr>
        <w:t>local </w:t>
      </w:r>
      <w:r>
        <w:rPr>
          <w:rFonts w:ascii="Segoe UI Semibold"/>
          <w:b/>
          <w:color w:val="00779B"/>
          <w:spacing w:val="-2"/>
        </w:rPr>
        <w:t>community,</w:t>
      </w:r>
      <w:r>
        <w:rPr>
          <w:rFonts w:ascii="Segoe UI Semibold"/>
          <w:b/>
          <w:color w:val="00779B"/>
          <w:spacing w:val="24"/>
        </w:rPr>
        <w:t> </w:t>
      </w:r>
      <w:r>
        <w:rPr>
          <w:rFonts w:ascii="Segoe UI Semibold"/>
          <w:b/>
          <w:color w:val="00779B"/>
        </w:rPr>
        <w:t>TSS</w:t>
      </w:r>
      <w:r>
        <w:rPr>
          <w:rFonts w:ascii="Segoe UI Semibold"/>
          <w:b/>
          <w:color w:val="00779B"/>
          <w:spacing w:val="-3"/>
        </w:rPr>
        <w:t> </w:t>
      </w:r>
      <w:r>
        <w:rPr>
          <w:rFonts w:ascii="Segoe UI Semibold"/>
          <w:b/>
          <w:color w:val="00779B"/>
        </w:rPr>
        <w:t>and</w:t>
      </w:r>
      <w:r>
        <w:rPr>
          <w:rFonts w:ascii="Segoe UI Semibold"/>
          <w:b/>
          <w:color w:val="00779B"/>
          <w:spacing w:val="-3"/>
        </w:rPr>
        <w:t> </w:t>
      </w:r>
      <w:r>
        <w:rPr>
          <w:rFonts w:ascii="Segoe UI Semibold"/>
          <w:b/>
          <w:color w:val="00779B"/>
        </w:rPr>
        <w:t>secondary</w:t>
      </w:r>
      <w:r>
        <w:rPr>
          <w:rFonts w:ascii="Segoe UI Semibold"/>
          <w:b/>
          <w:color w:val="00779B"/>
          <w:spacing w:val="-2"/>
        </w:rPr>
        <w:t> </w:t>
      </w:r>
      <w:r>
        <w:rPr>
          <w:rFonts w:ascii="Segoe UI Semibold"/>
          <w:b/>
          <w:color w:val="00779B"/>
          <w:spacing w:val="-1"/>
        </w:rPr>
        <w:t>boarding</w:t>
      </w:r>
      <w:r>
        <w:rPr>
          <w:rFonts w:ascii="Segoe UI Semibold"/>
          <w:b/>
          <w:color w:val="00779B"/>
          <w:spacing w:val="-3"/>
        </w:rPr>
        <w:t> </w:t>
      </w:r>
      <w:r>
        <w:rPr>
          <w:rFonts w:ascii="Segoe UI Semibold"/>
          <w:b/>
          <w:color w:val="00779B"/>
          <w:spacing w:val="-1"/>
        </w:rPr>
        <w:t>school).</w:t>
      </w:r>
      <w:r>
        <w:rPr>
          <w:rFonts w:ascii="Segoe UI Semibold"/>
          <w:b/>
          <w:color w:val="00779B"/>
          <w:spacing w:val="24"/>
        </w:rPr>
        <w:t> </w:t>
      </w:r>
      <w:r>
        <w:rPr>
          <w:rFonts w:ascii="Segoe UI Semibold"/>
          <w:b/>
          <w:color w:val="00779B"/>
        </w:rPr>
        <w:t>The</w:t>
      </w:r>
      <w:r>
        <w:rPr>
          <w:rFonts w:ascii="Segoe UI Semibold"/>
          <w:b/>
          <w:color w:val="00779B"/>
          <w:spacing w:val="-5"/>
        </w:rPr>
        <w:t> </w:t>
      </w:r>
      <w:r>
        <w:rPr>
          <w:rFonts w:ascii="Segoe UI Semibold"/>
          <w:b/>
          <w:color w:val="00779B"/>
          <w:spacing w:val="-1"/>
        </w:rPr>
        <w:t>result</w:t>
      </w:r>
      <w:r>
        <w:rPr>
          <w:rFonts w:ascii="Segoe UI Semibold"/>
          <w:b/>
          <w:color w:val="00779B"/>
          <w:spacing w:val="-3"/>
        </w:rPr>
        <w:t> </w:t>
      </w:r>
      <w:r>
        <w:rPr>
          <w:rFonts w:ascii="Segoe UI Semibold"/>
          <w:b/>
          <w:color w:val="00779B"/>
          <w:spacing w:val="-2"/>
        </w:rPr>
        <w:t>of</w:t>
      </w:r>
      <w:r>
        <w:rPr>
          <w:rFonts w:ascii="Segoe UI Semibold"/>
          <w:b/>
          <w:color w:val="00779B"/>
          <w:spacing w:val="-3"/>
        </w:rPr>
        <w:t> </w:t>
      </w:r>
      <w:r>
        <w:rPr>
          <w:rFonts w:ascii="Segoe UI Semibold"/>
          <w:b/>
          <w:color w:val="00779B"/>
          <w:spacing w:val="-1"/>
        </w:rPr>
        <w:t>several</w:t>
      </w:r>
      <w:r>
        <w:rPr>
          <w:rFonts w:ascii="Segoe UI Semibold"/>
          <w:b/>
          <w:color w:val="00779B"/>
          <w:spacing w:val="-3"/>
        </w:rPr>
        <w:t> </w:t>
      </w:r>
      <w:r>
        <w:rPr>
          <w:rFonts w:ascii="Segoe UI Semibold"/>
          <w:b/>
          <w:color w:val="00779B"/>
        </w:rPr>
        <w:t>people</w:t>
      </w:r>
      <w:r>
        <w:rPr>
          <w:rFonts w:ascii="Segoe UI Semibold"/>
          <w:b/>
          <w:color w:val="00779B"/>
          <w:spacing w:val="-5"/>
        </w:rPr>
        <w:t> </w:t>
      </w:r>
      <w:r>
        <w:rPr>
          <w:rFonts w:ascii="Segoe UI Semibold"/>
          <w:b/>
          <w:color w:val="00779B"/>
        </w:rPr>
        <w:t>managing</w:t>
      </w:r>
      <w:r>
        <w:rPr>
          <w:rFonts w:ascii="Segoe UI Semibold"/>
          <w:b/>
          <w:color w:val="00779B"/>
          <w:spacing w:val="21"/>
          <w:w w:val="99"/>
        </w:rPr>
        <w:t> </w:t>
      </w:r>
      <w:r>
        <w:rPr>
          <w:rFonts w:ascii="Segoe UI Semibold"/>
          <w:b/>
          <w:color w:val="00779B"/>
        </w:rPr>
        <w:t>and</w:t>
      </w:r>
      <w:r>
        <w:rPr>
          <w:rFonts w:ascii="Segoe UI Semibold"/>
          <w:b/>
          <w:color w:val="00779B"/>
          <w:spacing w:val="-2"/>
        </w:rPr>
        <w:t> </w:t>
      </w:r>
      <w:r>
        <w:rPr>
          <w:rFonts w:ascii="Segoe UI Semibold"/>
          <w:b/>
          <w:color w:val="00779B"/>
          <w:spacing w:val="-1"/>
        </w:rPr>
        <w:t>supporting</w:t>
      </w:r>
      <w:r>
        <w:rPr>
          <w:rFonts w:ascii="Segoe UI Semibold"/>
          <w:b/>
          <w:color w:val="00779B"/>
        </w:rPr>
        <w:t> </w:t>
      </w:r>
      <w:r>
        <w:rPr>
          <w:rFonts w:ascii="Segoe UI Semibold"/>
          <w:b/>
          <w:color w:val="00779B"/>
          <w:spacing w:val="-1"/>
        </w:rPr>
        <w:t>these processes</w:t>
      </w:r>
      <w:r>
        <w:rPr>
          <w:rFonts w:ascii="Segoe UI Semibold"/>
          <w:b/>
          <w:color w:val="00779B"/>
        </w:rPr>
        <w:t> </w:t>
      </w:r>
      <w:r>
        <w:rPr>
          <w:rFonts w:ascii="Segoe UI Semibold"/>
          <w:b/>
          <w:color w:val="00779B"/>
          <w:spacing w:val="-1"/>
        </w:rPr>
        <w:t>is</w:t>
      </w:r>
      <w:r>
        <w:rPr>
          <w:rFonts w:ascii="Segoe UI Semibold"/>
          <w:b/>
          <w:color w:val="00779B"/>
        </w:rPr>
        <w:t> </w:t>
      </w:r>
      <w:r>
        <w:rPr>
          <w:rFonts w:ascii="Segoe UI Semibold"/>
          <w:b/>
          <w:color w:val="00779B"/>
          <w:spacing w:val="-1"/>
        </w:rPr>
        <w:t>that</w:t>
      </w:r>
      <w:r>
        <w:rPr>
          <w:rFonts w:ascii="Segoe UI Semibold"/>
          <w:b/>
          <w:color w:val="00779B"/>
          <w:spacing w:val="20"/>
        </w:rPr>
        <w:t> </w:t>
      </w:r>
      <w:r>
        <w:rPr>
          <w:rFonts w:ascii="Segoe UI Semibold"/>
          <w:b/>
          <w:color w:val="00779B"/>
          <w:spacing w:val="-1"/>
        </w:rPr>
        <w:t>it can</w:t>
      </w:r>
      <w:r>
        <w:rPr>
          <w:rFonts w:ascii="Segoe UI Semibold"/>
          <w:b/>
          <w:color w:val="00779B"/>
        </w:rPr>
        <w:t> be</w:t>
      </w:r>
      <w:r>
        <w:rPr>
          <w:rFonts w:ascii="Segoe UI Semibold"/>
          <w:b/>
          <w:color w:val="00779B"/>
          <w:spacing w:val="-2"/>
        </w:rPr>
        <w:t> </w:t>
      </w:r>
      <w:r>
        <w:rPr>
          <w:rFonts w:ascii="Segoe UI Semibold"/>
          <w:b/>
          <w:color w:val="00779B"/>
          <w:spacing w:val="-3"/>
        </w:rPr>
        <w:t>clunky,</w:t>
      </w:r>
      <w:r>
        <w:rPr>
          <w:rFonts w:ascii="Segoe UI Semibold"/>
          <w:b/>
          <w:color w:val="00779B"/>
          <w:spacing w:val="-1"/>
        </w:rPr>
        <w:t> information</w:t>
      </w:r>
      <w:r>
        <w:rPr>
          <w:rFonts w:ascii="Segoe UI Semibold"/>
          <w:b/>
          <w:color w:val="00779B"/>
        </w:rPr>
        <w:t> </w:t>
      </w:r>
      <w:r>
        <w:rPr>
          <w:rFonts w:ascii="Segoe UI Semibold"/>
          <w:b/>
          <w:color w:val="00779B"/>
          <w:spacing w:val="-1"/>
        </w:rPr>
        <w:t>is </w:t>
      </w:r>
      <w:r>
        <w:rPr>
          <w:rFonts w:ascii="Segoe UI Semibold"/>
          <w:b/>
          <w:color w:val="00779B"/>
        </w:rPr>
        <w:t>double</w:t>
      </w:r>
      <w:r>
        <w:rPr>
          <w:rFonts w:ascii="Segoe UI Semibold"/>
          <w:b/>
          <w:color w:val="00779B"/>
          <w:spacing w:val="30"/>
        </w:rPr>
        <w:t> </w:t>
      </w:r>
      <w:r>
        <w:rPr>
          <w:rFonts w:ascii="Segoe UI Semibold"/>
          <w:b/>
          <w:color w:val="00779B"/>
        </w:rPr>
        <w:t>handled </w:t>
      </w:r>
      <w:r>
        <w:rPr>
          <w:rFonts w:ascii="Segoe UI Semibold"/>
          <w:b/>
          <w:color w:val="00779B"/>
          <w:spacing w:val="-1"/>
        </w:rPr>
        <w:t>in some</w:t>
      </w:r>
      <w:r>
        <w:rPr>
          <w:rFonts w:ascii="Segoe UI Semibold"/>
          <w:b/>
          <w:color w:val="00779B"/>
        </w:rPr>
        <w:t> </w:t>
      </w:r>
      <w:r>
        <w:rPr>
          <w:rFonts w:ascii="Segoe UI Semibold"/>
          <w:b/>
          <w:color w:val="00779B"/>
          <w:spacing w:val="-1"/>
        </w:rPr>
        <w:t>cases,</w:t>
      </w:r>
      <w:r>
        <w:rPr>
          <w:rFonts w:ascii="Segoe UI Semibold"/>
          <w:b/>
          <w:color w:val="00779B"/>
        </w:rPr>
        <w:t> and</w:t>
      </w:r>
      <w:r>
        <w:rPr>
          <w:rFonts w:ascii="Segoe UI Semibold"/>
          <w:b/>
          <w:color w:val="00779B"/>
          <w:spacing w:val="-1"/>
        </w:rPr>
        <w:t> critical</w:t>
      </w:r>
      <w:r>
        <w:rPr>
          <w:rFonts w:ascii="Segoe UI Semibold"/>
          <w:b/>
          <w:color w:val="00779B"/>
          <w:spacing w:val="23"/>
        </w:rPr>
        <w:t> </w:t>
      </w:r>
      <w:r>
        <w:rPr>
          <w:rFonts w:ascii="Segoe UI Semibold"/>
          <w:b/>
          <w:color w:val="00779B"/>
          <w:spacing w:val="-1"/>
        </w:rPr>
        <w:t>information is</w:t>
      </w:r>
      <w:r>
        <w:rPr>
          <w:rFonts w:ascii="Segoe UI Semibold"/>
          <w:b/>
          <w:color w:val="00779B"/>
        </w:rPr>
        <w:t> </w:t>
      </w:r>
      <w:r>
        <w:rPr>
          <w:rFonts w:ascii="Segoe UI Semibold"/>
          <w:b/>
          <w:color w:val="00779B"/>
          <w:spacing w:val="-1"/>
        </w:rPr>
        <w:t>not </w:t>
      </w:r>
      <w:r>
        <w:rPr>
          <w:rFonts w:ascii="Segoe UI Semibold"/>
          <w:b/>
          <w:color w:val="00779B"/>
        </w:rPr>
        <w:t>always</w:t>
      </w:r>
      <w:r>
        <w:rPr>
          <w:rFonts w:ascii="Segoe UI Semibold"/>
          <w:b/>
          <w:color w:val="00779B"/>
          <w:spacing w:val="-1"/>
        </w:rPr>
        <w:t> shared within</w:t>
      </w:r>
      <w:r>
        <w:rPr>
          <w:rFonts w:ascii="Segoe UI Semibold"/>
          <w:b/>
          <w:color w:val="00779B"/>
          <w:spacing w:val="24"/>
        </w:rPr>
        <w:t> </w:t>
      </w:r>
      <w:r>
        <w:rPr>
          <w:rFonts w:ascii="Segoe UI Semibold"/>
          <w:b/>
          <w:color w:val="00779B"/>
          <w:spacing w:val="-1"/>
        </w:rPr>
        <w:t>the</w:t>
      </w:r>
      <w:r>
        <w:rPr>
          <w:rFonts w:ascii="Segoe UI Semibold"/>
          <w:b/>
          <w:color w:val="00779B"/>
          <w:spacing w:val="1"/>
        </w:rPr>
        <w:t> </w:t>
      </w:r>
      <w:r>
        <w:rPr>
          <w:rFonts w:ascii="Segoe UI Semibold"/>
          <w:b/>
          <w:color w:val="00779B"/>
          <w:spacing w:val="-2"/>
        </w:rPr>
        <w:t>required</w:t>
      </w:r>
      <w:r>
        <w:rPr>
          <w:rFonts w:ascii="Segoe UI Semibold"/>
          <w:b/>
          <w:color w:val="00779B"/>
          <w:spacing w:val="2"/>
        </w:rPr>
        <w:t> </w:t>
      </w:r>
      <w:r>
        <w:rPr>
          <w:rFonts w:ascii="Segoe UI Semibold"/>
          <w:b/>
          <w:color w:val="00779B"/>
          <w:spacing w:val="-1"/>
        </w:rPr>
        <w:t>time</w:t>
      </w:r>
      <w:r>
        <w:rPr>
          <w:rFonts w:ascii="Segoe UI Semibold"/>
          <w:b/>
          <w:color w:val="00779B"/>
          <w:spacing w:val="2"/>
        </w:rPr>
        <w:t> </w:t>
      </w:r>
      <w:r>
        <w:rPr>
          <w:rFonts w:ascii="Segoe UI Semibold"/>
          <w:b/>
          <w:color w:val="00779B"/>
          <w:spacing w:val="-1"/>
        </w:rPr>
        <w:t>frames.</w:t>
      </w:r>
      <w:r>
        <w:rPr>
          <w:rFonts w:ascii="Segoe UI Semibold"/>
          <w:b/>
          <w:color w:val="00779B"/>
          <w:spacing w:val="-1"/>
          <w:position w:val="7"/>
          <w:sz w:val="11"/>
        </w:rPr>
        <w:t>84</w:t>
      </w:r>
      <w:r>
        <w:rPr>
          <w:rFonts w:ascii="Segoe UI Semibold"/>
          <w:sz w:val="11"/>
        </w:rPr>
      </w:r>
    </w:p>
    <w:p>
      <w:pPr>
        <w:spacing w:after="0" w:line="250" w:lineRule="exact"/>
        <w:jc w:val="left"/>
        <w:rPr>
          <w:rFonts w:ascii="Segoe UI Semibold" w:hAnsi="Segoe UI Semibold" w:cs="Segoe UI Semibold" w:eastAsia="Segoe UI Semibold"/>
          <w:sz w:val="11"/>
          <w:szCs w:val="11"/>
        </w:rPr>
        <w:sectPr>
          <w:type w:val="continuous"/>
          <w:pgSz w:w="11910" w:h="16840"/>
          <w:pgMar w:top="1580" w:bottom="280" w:left="1600" w:right="1300"/>
          <w:cols w:num="2" w:equalWidth="0">
            <w:col w:w="4260" w:space="275"/>
            <w:col w:w="4475"/>
          </w:cols>
        </w:sectPr>
      </w:pPr>
    </w:p>
    <w:p>
      <w:pPr>
        <w:spacing w:line="240" w:lineRule="auto" w:before="0"/>
        <w:rPr>
          <w:rFonts w:ascii="Segoe UI Semibold" w:hAnsi="Segoe UI Semibold" w:cs="Segoe UI Semibold" w:eastAsia="Segoe UI Semibold"/>
          <w:b/>
          <w:bCs/>
          <w:sz w:val="20"/>
          <w:szCs w:val="20"/>
        </w:rPr>
      </w:pPr>
    </w:p>
    <w:p>
      <w:pPr>
        <w:spacing w:line="240" w:lineRule="auto" w:before="11"/>
        <w:rPr>
          <w:rFonts w:ascii="Segoe UI Semibold" w:hAnsi="Segoe UI Semibold" w:cs="Segoe UI Semibold" w:eastAsia="Segoe UI Semibold"/>
          <w:b/>
          <w:bCs/>
          <w:sz w:val="20"/>
          <w:szCs w:val="20"/>
        </w:rPr>
      </w:pPr>
    </w:p>
    <w:p>
      <w:pPr>
        <w:spacing w:after="0" w:line="240" w:lineRule="auto"/>
        <w:rPr>
          <w:rFonts w:ascii="Segoe UI Semibold" w:hAnsi="Segoe UI Semibold" w:cs="Segoe UI Semibold" w:eastAsia="Segoe UI Semibold"/>
          <w:sz w:val="20"/>
          <w:szCs w:val="20"/>
        </w:rPr>
        <w:sectPr>
          <w:footerReference w:type="even" r:id="rId48"/>
          <w:footerReference w:type="default" r:id="rId49"/>
          <w:pgSz w:w="11910" w:h="16840"/>
          <w:pgMar w:footer="691" w:header="0" w:top="1580" w:bottom="880" w:left="1300" w:right="1640"/>
          <w:pgNumType w:start="52"/>
        </w:sectPr>
      </w:pPr>
    </w:p>
    <w:p>
      <w:pPr>
        <w:spacing w:line="360" w:lineRule="exact" w:before="71"/>
        <w:ind w:left="117" w:right="87" w:firstLine="0"/>
        <w:jc w:val="left"/>
        <w:rPr>
          <w:rFonts w:ascii="Segoe UI" w:hAnsi="Segoe UI" w:cs="Segoe UI" w:eastAsia="Segoe UI"/>
          <w:sz w:val="32"/>
          <w:szCs w:val="32"/>
        </w:rPr>
      </w:pPr>
      <w:r>
        <w:rPr>
          <w:rFonts w:ascii="Segoe UI"/>
          <w:b/>
          <w:color w:val="452A70"/>
          <w:spacing w:val="-26"/>
          <w:sz w:val="32"/>
        </w:rPr>
        <w:t>T</w:t>
      </w:r>
      <w:r>
        <w:rPr>
          <w:rFonts w:ascii="Segoe UI"/>
          <w:b/>
          <w:color w:val="452A70"/>
          <w:sz w:val="32"/>
        </w:rPr>
        <w:t>ransition</w:t>
      </w:r>
      <w:r>
        <w:rPr>
          <w:rFonts w:ascii="Segoe UI"/>
          <w:b/>
          <w:color w:val="452A70"/>
          <w:spacing w:val="-2"/>
          <w:sz w:val="32"/>
        </w:rPr>
        <w:t> </w:t>
      </w:r>
      <w:r>
        <w:rPr>
          <w:rFonts w:ascii="Segoe UI"/>
          <w:b/>
          <w:color w:val="452A70"/>
          <w:sz w:val="32"/>
        </w:rPr>
        <w:t>Suppo</w:t>
      </w:r>
      <w:r>
        <w:rPr>
          <w:rFonts w:ascii="Segoe UI"/>
          <w:b/>
          <w:color w:val="452A70"/>
          <w:spacing w:val="8"/>
          <w:sz w:val="32"/>
        </w:rPr>
        <w:t>r</w:t>
      </w:r>
      <w:r>
        <w:rPr>
          <w:rFonts w:ascii="Segoe UI"/>
          <w:b/>
          <w:color w:val="452A70"/>
          <w:sz w:val="32"/>
        </w:rPr>
        <w:t>t</w:t>
      </w:r>
      <w:r>
        <w:rPr>
          <w:rFonts w:ascii="Segoe UI"/>
          <w:b/>
          <w:color w:val="452A70"/>
          <w:spacing w:val="-1"/>
          <w:sz w:val="32"/>
        </w:rPr>
        <w:t> Unit</w:t>
      </w:r>
      <w:r>
        <w:rPr>
          <w:rFonts w:ascii="Segoe UI"/>
          <w:b/>
          <w:color w:val="452A70"/>
          <w:spacing w:val="-1"/>
          <w:sz w:val="32"/>
        </w:rPr>
        <w:t> (No</w:t>
      </w:r>
      <w:r>
        <w:rPr>
          <w:rFonts w:ascii="Segoe UI"/>
          <w:b/>
          <w:color w:val="452A70"/>
          <w:spacing w:val="9"/>
          <w:sz w:val="32"/>
        </w:rPr>
        <w:t>r</w:t>
      </w:r>
      <w:r>
        <w:rPr>
          <w:rFonts w:ascii="Segoe UI"/>
          <w:b/>
          <w:color w:val="452A70"/>
          <w:spacing w:val="-1"/>
          <w:sz w:val="32"/>
        </w:rPr>
        <w:t>the</w:t>
      </w:r>
      <w:r>
        <w:rPr>
          <w:rFonts w:ascii="Segoe UI"/>
          <w:b/>
          <w:color w:val="452A70"/>
          <w:spacing w:val="1"/>
          <w:sz w:val="32"/>
        </w:rPr>
        <w:t>r</w:t>
      </w:r>
      <w:r>
        <w:rPr>
          <w:rFonts w:ascii="Segoe UI"/>
          <w:b/>
          <w:color w:val="452A70"/>
          <w:sz w:val="32"/>
        </w:rPr>
        <w:t>n</w:t>
      </w:r>
      <w:r>
        <w:rPr>
          <w:rFonts w:ascii="Segoe UI"/>
          <w:b/>
          <w:color w:val="452A70"/>
          <w:spacing w:val="-8"/>
          <w:sz w:val="32"/>
        </w:rPr>
        <w:t> </w:t>
      </w:r>
      <w:r>
        <w:rPr>
          <w:rFonts w:ascii="Segoe UI"/>
          <w:b/>
          <w:color w:val="452A70"/>
          <w:spacing w:val="-30"/>
          <w:sz w:val="32"/>
        </w:rPr>
        <w:t>T</w:t>
      </w:r>
      <w:r>
        <w:rPr>
          <w:rFonts w:ascii="Segoe UI"/>
          <w:b/>
          <w:color w:val="452A70"/>
          <w:sz w:val="32"/>
        </w:rPr>
        <w:t>er</w:t>
      </w:r>
      <w:r>
        <w:rPr>
          <w:rFonts w:ascii="Segoe UI"/>
          <w:b/>
          <w:color w:val="452A70"/>
          <w:spacing w:val="1"/>
          <w:sz w:val="32"/>
        </w:rPr>
        <w:t>r</w:t>
      </w:r>
      <w:r>
        <w:rPr>
          <w:rFonts w:ascii="Segoe UI"/>
          <w:b/>
          <w:color w:val="452A70"/>
          <w:spacing w:val="-1"/>
          <w:sz w:val="32"/>
        </w:rPr>
        <w:t>i</w:t>
      </w:r>
      <w:r>
        <w:rPr>
          <w:rFonts w:ascii="Segoe UI"/>
          <w:b/>
          <w:color w:val="452A70"/>
          <w:spacing w:val="-2"/>
          <w:sz w:val="32"/>
        </w:rPr>
        <w:t>t</w:t>
      </w:r>
      <w:r>
        <w:rPr>
          <w:rFonts w:ascii="Segoe UI"/>
          <w:b/>
          <w:color w:val="452A70"/>
          <w:spacing w:val="-1"/>
          <w:sz w:val="32"/>
        </w:rPr>
        <w:t>o</w:t>
      </w:r>
      <w:r>
        <w:rPr>
          <w:rFonts w:ascii="Segoe UI"/>
          <w:b/>
          <w:color w:val="452A70"/>
          <w:spacing w:val="12"/>
          <w:sz w:val="32"/>
        </w:rPr>
        <w:t>r</w:t>
      </w:r>
      <w:r>
        <w:rPr>
          <w:rFonts w:ascii="Segoe UI"/>
          <w:b/>
          <w:color w:val="452A70"/>
          <w:spacing w:val="-1"/>
          <w:sz w:val="32"/>
        </w:rPr>
        <w:t>y)</w:t>
      </w:r>
      <w:r>
        <w:rPr>
          <w:rFonts w:ascii="Segoe UI"/>
          <w:sz w:val="32"/>
        </w:rPr>
      </w:r>
    </w:p>
    <w:p>
      <w:pPr>
        <w:pStyle w:val="BodyText"/>
        <w:spacing w:line="250" w:lineRule="exact" w:before="119"/>
        <w:ind w:right="87"/>
        <w:jc w:val="left"/>
      </w:pPr>
      <w:r>
        <w:rPr>
          <w:color w:val="231F20"/>
        </w:rPr>
        <w:t>Of</w:t>
      </w:r>
      <w:r>
        <w:rPr>
          <w:color w:val="231F20"/>
          <w:spacing w:val="-4"/>
        </w:rPr>
        <w:t> </w:t>
      </w:r>
      <w:r>
        <w:rPr>
          <w:color w:val="231F20"/>
        </w:rPr>
        <w:t>the</w:t>
      </w:r>
      <w:r>
        <w:rPr>
          <w:color w:val="231F20"/>
          <w:spacing w:val="-4"/>
        </w:rPr>
        <w:t> </w:t>
      </w:r>
      <w:r>
        <w:rPr>
          <w:color w:val="231F20"/>
          <w:spacing w:val="-1"/>
        </w:rPr>
        <w:t>5,200</w:t>
      </w:r>
      <w:r>
        <w:rPr>
          <w:color w:val="231F20"/>
          <w:spacing w:val="-4"/>
        </w:rPr>
        <w:t> </w:t>
      </w:r>
      <w:r>
        <w:rPr>
          <w:color w:val="231F20"/>
        </w:rPr>
        <w:t>Aboriginal</w:t>
      </w:r>
      <w:r>
        <w:rPr>
          <w:color w:val="231F20"/>
          <w:spacing w:val="-3"/>
        </w:rPr>
        <w:t> </w:t>
      </w:r>
      <w:r>
        <w:rPr>
          <w:color w:val="231F20"/>
        </w:rPr>
        <w:t>and</w:t>
      </w:r>
      <w:r>
        <w:rPr>
          <w:color w:val="231F20"/>
          <w:spacing w:val="-5"/>
        </w:rPr>
        <w:t> Torres</w:t>
      </w:r>
      <w:r>
        <w:rPr>
          <w:color w:val="231F20"/>
          <w:spacing w:val="-3"/>
        </w:rPr>
        <w:t> </w:t>
      </w:r>
      <w:r>
        <w:rPr>
          <w:color w:val="231F20"/>
          <w:spacing w:val="-2"/>
        </w:rPr>
        <w:t>Strait</w:t>
      </w:r>
      <w:r>
        <w:rPr>
          <w:color w:val="231F20"/>
          <w:spacing w:val="21"/>
          <w:w w:val="99"/>
        </w:rPr>
        <w:t> </w:t>
      </w:r>
      <w:r>
        <w:rPr>
          <w:color w:val="231F20"/>
          <w:spacing w:val="-1"/>
        </w:rPr>
        <w:t>Islander</w:t>
      </w:r>
      <w:r>
        <w:rPr>
          <w:color w:val="231F20"/>
          <w:spacing w:val="-7"/>
        </w:rPr>
        <w:t> </w:t>
      </w:r>
      <w:r>
        <w:rPr>
          <w:color w:val="231F20"/>
          <w:spacing w:val="-1"/>
        </w:rPr>
        <w:t>secondary</w:t>
      </w:r>
      <w:r>
        <w:rPr>
          <w:color w:val="231F20"/>
          <w:spacing w:val="-5"/>
        </w:rPr>
        <w:t> </w:t>
      </w:r>
      <w:r>
        <w:rPr>
          <w:color w:val="231F20"/>
          <w:spacing w:val="-1"/>
        </w:rPr>
        <w:t>students</w:t>
      </w:r>
      <w:r>
        <w:rPr>
          <w:color w:val="231F20"/>
          <w:spacing w:val="-6"/>
        </w:rPr>
        <w:t> </w:t>
      </w:r>
      <w:r>
        <w:rPr>
          <w:color w:val="231F20"/>
        </w:rPr>
        <w:t>that</w:t>
      </w:r>
      <w:r>
        <w:rPr>
          <w:color w:val="231F20"/>
          <w:spacing w:val="-8"/>
        </w:rPr>
        <w:t> </w:t>
      </w:r>
      <w:r>
        <w:rPr>
          <w:color w:val="231F20"/>
        </w:rPr>
        <w:t>are</w:t>
      </w:r>
      <w:r>
        <w:rPr>
          <w:color w:val="231F20"/>
          <w:spacing w:val="-7"/>
        </w:rPr>
        <w:t> </w:t>
      </w:r>
      <w:r>
        <w:rPr>
          <w:color w:val="231F20"/>
          <w:spacing w:val="-1"/>
        </w:rPr>
        <w:t>supported</w:t>
      </w:r>
      <w:r>
        <w:rPr>
          <w:color w:val="231F20"/>
          <w:spacing w:val="23"/>
          <w:w w:val="99"/>
        </w:rPr>
        <w:t> </w:t>
      </w:r>
      <w:r>
        <w:rPr>
          <w:color w:val="231F20"/>
          <w:spacing w:val="-1"/>
        </w:rPr>
        <w:t>in</w:t>
      </w:r>
      <w:r>
        <w:rPr>
          <w:color w:val="231F20"/>
          <w:spacing w:val="-7"/>
        </w:rPr>
        <w:t> </w:t>
      </w:r>
      <w:r>
        <w:rPr>
          <w:color w:val="231F20"/>
        </w:rPr>
        <w:t>boarding</w:t>
      </w:r>
      <w:r>
        <w:rPr>
          <w:color w:val="231F20"/>
          <w:spacing w:val="-8"/>
        </w:rPr>
        <w:t> </w:t>
      </w:r>
      <w:r>
        <w:rPr>
          <w:color w:val="231F20"/>
        </w:rPr>
        <w:t>through</w:t>
      </w:r>
      <w:r>
        <w:rPr>
          <w:color w:val="231F20"/>
          <w:spacing w:val="-8"/>
        </w:rPr>
        <w:t> </w:t>
      </w:r>
      <w:r>
        <w:rPr>
          <w:color w:val="231F20"/>
        </w:rPr>
        <w:t>ABSTUDY,</w:t>
      </w:r>
      <w:r>
        <w:rPr>
          <w:color w:val="231F20"/>
          <w:spacing w:val="-7"/>
        </w:rPr>
        <w:t> </w:t>
      </w:r>
      <w:r>
        <w:rPr>
          <w:color w:val="231F20"/>
        </w:rPr>
        <w:t>approximately</w:t>
      </w:r>
      <w:r>
        <w:rPr>
          <w:color w:val="231F20"/>
          <w:spacing w:val="21"/>
          <w:w w:val="99"/>
        </w:rPr>
        <w:t> </w:t>
      </w:r>
      <w:r>
        <w:rPr>
          <w:color w:val="231F20"/>
          <w:spacing w:val="-1"/>
        </w:rPr>
        <w:t>1,900</w:t>
      </w:r>
      <w:r>
        <w:rPr>
          <w:color w:val="231F20"/>
          <w:spacing w:val="-5"/>
        </w:rPr>
        <w:t> </w:t>
      </w:r>
      <w:r>
        <w:rPr>
          <w:color w:val="231F20"/>
        </w:rPr>
        <w:t>are</w:t>
      </w:r>
      <w:r>
        <w:rPr>
          <w:color w:val="231F20"/>
          <w:spacing w:val="-6"/>
        </w:rPr>
        <w:t> </w:t>
      </w:r>
      <w:r>
        <w:rPr>
          <w:color w:val="231F20"/>
        </w:rPr>
        <w:t>resident</w:t>
      </w:r>
      <w:r>
        <w:rPr>
          <w:color w:val="231F20"/>
          <w:spacing w:val="-6"/>
        </w:rPr>
        <w:t> </w:t>
      </w:r>
      <w:r>
        <w:rPr>
          <w:color w:val="231F20"/>
          <w:spacing w:val="-1"/>
        </w:rPr>
        <w:t>in</w:t>
      </w:r>
      <w:r>
        <w:rPr>
          <w:color w:val="231F20"/>
          <w:spacing w:val="-5"/>
        </w:rPr>
        <w:t> </w:t>
      </w:r>
      <w:r>
        <w:rPr>
          <w:color w:val="231F20"/>
        </w:rPr>
        <w:t>the</w:t>
      </w:r>
      <w:r>
        <w:rPr>
          <w:color w:val="231F20"/>
          <w:spacing w:val="-5"/>
        </w:rPr>
        <w:t> </w:t>
      </w:r>
      <w:r>
        <w:rPr>
          <w:color w:val="231F20"/>
        </w:rPr>
        <w:t>Northern</w:t>
      </w:r>
      <w:r>
        <w:rPr>
          <w:color w:val="231F20"/>
          <w:spacing w:val="-5"/>
        </w:rPr>
        <w:t> </w:t>
      </w:r>
      <w:r>
        <w:rPr>
          <w:color w:val="231F20"/>
          <w:spacing w:val="-3"/>
        </w:rPr>
        <w:t>Territory.</w:t>
      </w:r>
      <w:r>
        <w:rPr/>
      </w:r>
    </w:p>
    <w:p>
      <w:pPr>
        <w:pStyle w:val="BodyText"/>
        <w:spacing w:line="250" w:lineRule="exact"/>
        <w:ind w:right="222"/>
        <w:jc w:val="left"/>
        <w:rPr>
          <w:rFonts w:ascii="Segoe UI" w:hAnsi="Segoe UI" w:cs="Segoe UI" w:eastAsia="Segoe UI"/>
        </w:rPr>
      </w:pPr>
      <w:r>
        <w:rPr>
          <w:color w:val="231F20"/>
        </w:rPr>
        <w:t>The</w:t>
      </w:r>
      <w:r>
        <w:rPr>
          <w:color w:val="231F20"/>
          <w:spacing w:val="-5"/>
        </w:rPr>
        <w:t> </w:t>
      </w:r>
      <w:r>
        <w:rPr>
          <w:color w:val="231F20"/>
          <w:spacing w:val="-2"/>
        </w:rPr>
        <w:t>Transition</w:t>
      </w:r>
      <w:r>
        <w:rPr>
          <w:color w:val="231F20"/>
          <w:spacing w:val="-6"/>
        </w:rPr>
        <w:t> </w:t>
      </w:r>
      <w:r>
        <w:rPr>
          <w:color w:val="231F20"/>
          <w:spacing w:val="-1"/>
        </w:rPr>
        <w:t>Support</w:t>
      </w:r>
      <w:r>
        <w:rPr>
          <w:color w:val="231F20"/>
          <w:spacing w:val="-4"/>
        </w:rPr>
        <w:t> </w:t>
      </w:r>
      <w:r>
        <w:rPr>
          <w:color w:val="231F20"/>
        </w:rPr>
        <w:t>Unit</w:t>
      </w:r>
      <w:r>
        <w:rPr>
          <w:color w:val="231F20"/>
          <w:spacing w:val="-4"/>
        </w:rPr>
        <w:t> </w:t>
      </w:r>
      <w:r>
        <w:rPr>
          <w:color w:val="231F20"/>
          <w:spacing w:val="-2"/>
        </w:rPr>
        <w:t>(TSU)</w:t>
      </w:r>
      <w:r>
        <w:rPr>
          <w:color w:val="231F20"/>
          <w:spacing w:val="-5"/>
        </w:rPr>
        <w:t> </w:t>
      </w:r>
      <w:r>
        <w:rPr>
          <w:color w:val="231F20"/>
          <w:spacing w:val="-1"/>
        </w:rPr>
        <w:t>is</w:t>
      </w:r>
      <w:r>
        <w:rPr>
          <w:color w:val="231F20"/>
          <w:spacing w:val="-5"/>
        </w:rPr>
        <w:t> </w:t>
      </w:r>
      <w:r>
        <w:rPr>
          <w:color w:val="231F20"/>
        </w:rPr>
        <w:t>part</w:t>
      </w:r>
      <w:r>
        <w:rPr>
          <w:color w:val="231F20"/>
          <w:spacing w:val="-4"/>
        </w:rPr>
        <w:t> </w:t>
      </w:r>
      <w:r>
        <w:rPr>
          <w:color w:val="231F20"/>
        </w:rPr>
        <w:t>of</w:t>
      </w:r>
      <w:r>
        <w:rPr>
          <w:color w:val="231F20"/>
          <w:spacing w:val="28"/>
          <w:w w:val="99"/>
        </w:rPr>
        <w:t> </w:t>
      </w:r>
      <w:r>
        <w:rPr>
          <w:color w:val="231F20"/>
        </w:rPr>
        <w:t>the</w:t>
      </w:r>
      <w:r>
        <w:rPr>
          <w:color w:val="231F20"/>
          <w:spacing w:val="-7"/>
        </w:rPr>
        <w:t> </w:t>
      </w:r>
      <w:r>
        <w:rPr>
          <w:color w:val="231F20"/>
          <w:spacing w:val="-1"/>
        </w:rPr>
        <w:t>Department</w:t>
      </w:r>
      <w:r>
        <w:rPr>
          <w:color w:val="231F20"/>
          <w:spacing w:val="-5"/>
        </w:rPr>
        <w:t> </w:t>
      </w:r>
      <w:r>
        <w:rPr>
          <w:color w:val="231F20"/>
        </w:rPr>
        <w:t>of</w:t>
      </w:r>
      <w:r>
        <w:rPr>
          <w:color w:val="231F20"/>
          <w:spacing w:val="-5"/>
        </w:rPr>
        <w:t> </w:t>
      </w:r>
      <w:r>
        <w:rPr>
          <w:color w:val="231F20"/>
        </w:rPr>
        <w:t>Education</w:t>
      </w:r>
      <w:r>
        <w:rPr>
          <w:color w:val="231F20"/>
          <w:spacing w:val="-6"/>
        </w:rPr>
        <w:t> </w:t>
      </w:r>
      <w:r>
        <w:rPr>
          <w:color w:val="231F20"/>
        </w:rPr>
        <w:t>(NT)</w:t>
      </w:r>
      <w:r>
        <w:rPr>
          <w:color w:val="231F20"/>
          <w:spacing w:val="-6"/>
        </w:rPr>
        <w:t> </w:t>
      </w:r>
      <w:r>
        <w:rPr>
          <w:color w:val="231F20"/>
        </w:rPr>
        <w:t>and</w:t>
      </w:r>
      <w:r>
        <w:rPr>
          <w:color w:val="231F20"/>
          <w:spacing w:val="-7"/>
        </w:rPr>
        <w:t> </w:t>
      </w:r>
      <w:r>
        <w:rPr>
          <w:color w:val="231F20"/>
        </w:rPr>
        <w:t>assists</w:t>
      </w:r>
      <w:r>
        <w:rPr>
          <w:color w:val="231F20"/>
          <w:spacing w:val="22"/>
        </w:rPr>
        <w:t> </w:t>
      </w:r>
      <w:r>
        <w:rPr>
          <w:color w:val="231F20"/>
        </w:rPr>
        <w:t>Northern</w:t>
      </w:r>
      <w:r>
        <w:rPr>
          <w:color w:val="231F20"/>
          <w:spacing w:val="-8"/>
        </w:rPr>
        <w:t> </w:t>
      </w:r>
      <w:r>
        <w:rPr>
          <w:color w:val="231F20"/>
          <w:spacing w:val="-3"/>
        </w:rPr>
        <w:t>Territory</w:t>
      </w:r>
      <w:r>
        <w:rPr>
          <w:color w:val="231F20"/>
          <w:spacing w:val="-7"/>
        </w:rPr>
        <w:t> </w:t>
      </w:r>
      <w:r>
        <w:rPr>
          <w:color w:val="231F20"/>
          <w:spacing w:val="-1"/>
        </w:rPr>
        <w:t>students</w:t>
      </w:r>
      <w:r>
        <w:rPr>
          <w:color w:val="231F20"/>
          <w:spacing w:val="-7"/>
        </w:rPr>
        <w:t> </w:t>
      </w:r>
      <w:r>
        <w:rPr>
          <w:color w:val="231F20"/>
        </w:rPr>
        <w:t>with</w:t>
      </w:r>
      <w:r>
        <w:rPr>
          <w:color w:val="231F20"/>
          <w:spacing w:val="-9"/>
        </w:rPr>
        <w:t> </w:t>
      </w:r>
      <w:r>
        <w:rPr>
          <w:color w:val="231F20"/>
        </w:rPr>
        <w:t>attendance</w:t>
      </w:r>
      <w:r>
        <w:rPr>
          <w:color w:val="231F20"/>
          <w:spacing w:val="29"/>
          <w:w w:val="99"/>
        </w:rPr>
        <w:t> </w:t>
      </w:r>
      <w:r>
        <w:rPr>
          <w:color w:val="231F20"/>
        </w:rPr>
        <w:t>at</w:t>
      </w:r>
      <w:r>
        <w:rPr>
          <w:color w:val="231F20"/>
          <w:spacing w:val="-9"/>
        </w:rPr>
        <w:t> </w:t>
      </w:r>
      <w:r>
        <w:rPr>
          <w:color w:val="231F20"/>
        </w:rPr>
        <w:t>boarding</w:t>
      </w:r>
      <w:r>
        <w:rPr>
          <w:color w:val="231F20"/>
          <w:spacing w:val="-9"/>
        </w:rPr>
        <w:t> </w:t>
      </w:r>
      <w:r>
        <w:rPr>
          <w:color w:val="231F20"/>
        </w:rPr>
        <w:t>providers</w:t>
      </w:r>
      <w:r>
        <w:rPr>
          <w:color w:val="231F20"/>
          <w:spacing w:val="-9"/>
        </w:rPr>
        <w:t> </w:t>
      </w:r>
      <w:r>
        <w:rPr>
          <w:color w:val="231F20"/>
        </w:rPr>
        <w:t>around</w:t>
      </w:r>
      <w:r>
        <w:rPr>
          <w:color w:val="231F20"/>
          <w:spacing w:val="-9"/>
        </w:rPr>
        <w:t> </w:t>
      </w:r>
      <w:r>
        <w:rPr>
          <w:color w:val="231F20"/>
        </w:rPr>
        <w:t>Australia,</w:t>
      </w:r>
      <w:r>
        <w:rPr>
          <w:color w:val="231F20"/>
          <w:w w:val="99"/>
        </w:rPr>
        <w:t> </w:t>
      </w:r>
      <w:r>
        <w:rPr>
          <w:color w:val="231F20"/>
          <w:spacing w:val="-1"/>
        </w:rPr>
        <w:t>including</w:t>
      </w:r>
      <w:r>
        <w:rPr>
          <w:color w:val="231F20"/>
          <w:spacing w:val="-5"/>
        </w:rPr>
        <w:t> </w:t>
      </w:r>
      <w:r>
        <w:rPr>
          <w:color w:val="231F20"/>
          <w:spacing w:val="-1"/>
        </w:rPr>
        <w:t>in</w:t>
      </w:r>
      <w:r>
        <w:rPr>
          <w:color w:val="231F20"/>
          <w:spacing w:val="-4"/>
        </w:rPr>
        <w:t> </w:t>
      </w:r>
      <w:r>
        <w:rPr>
          <w:color w:val="231F20"/>
        </w:rPr>
        <w:t>the</w:t>
      </w:r>
      <w:r>
        <w:rPr>
          <w:color w:val="231F20"/>
          <w:spacing w:val="-6"/>
        </w:rPr>
        <w:t> </w:t>
      </w:r>
      <w:r>
        <w:rPr>
          <w:color w:val="231F20"/>
        </w:rPr>
        <w:t>Northern</w:t>
      </w:r>
      <w:r>
        <w:rPr>
          <w:color w:val="231F20"/>
          <w:spacing w:val="-4"/>
        </w:rPr>
        <w:t> </w:t>
      </w:r>
      <w:r>
        <w:rPr>
          <w:color w:val="231F20"/>
          <w:spacing w:val="-2"/>
        </w:rPr>
        <w:t>Territory.</w:t>
      </w:r>
      <w:r>
        <w:rPr>
          <w:color w:val="231F20"/>
          <w:spacing w:val="-5"/>
        </w:rPr>
        <w:t> </w:t>
      </w:r>
      <w:r>
        <w:rPr>
          <w:color w:val="231F20"/>
        </w:rPr>
        <w:t>The</w:t>
      </w:r>
      <w:r>
        <w:rPr>
          <w:color w:val="231F20"/>
          <w:spacing w:val="-4"/>
        </w:rPr>
        <w:t> </w:t>
      </w:r>
      <w:r>
        <w:rPr>
          <w:color w:val="231F20"/>
          <w:spacing w:val="-2"/>
        </w:rPr>
        <w:t>TSU</w:t>
      </w:r>
      <w:r>
        <w:rPr>
          <w:color w:val="231F20"/>
          <w:spacing w:val="-5"/>
        </w:rPr>
        <w:t> </w:t>
      </w:r>
      <w:r>
        <w:rPr>
          <w:color w:val="231F20"/>
          <w:spacing w:val="-1"/>
        </w:rPr>
        <w:t>is</w:t>
      </w:r>
      <w:r>
        <w:rPr>
          <w:color w:val="231F20"/>
          <w:spacing w:val="22"/>
        </w:rPr>
        <w:t> </w:t>
      </w:r>
      <w:r>
        <w:rPr>
          <w:color w:val="231F20"/>
        </w:rPr>
        <w:t>funded</w:t>
      </w:r>
      <w:r>
        <w:rPr>
          <w:color w:val="231F20"/>
          <w:spacing w:val="-10"/>
        </w:rPr>
        <w:t> </w:t>
      </w:r>
      <w:r>
        <w:rPr>
          <w:color w:val="231F20"/>
        </w:rPr>
        <w:t>by</w:t>
      </w:r>
      <w:r>
        <w:rPr>
          <w:color w:val="231F20"/>
          <w:spacing w:val="-9"/>
        </w:rPr>
        <w:t> </w:t>
      </w:r>
      <w:r>
        <w:rPr>
          <w:color w:val="231F20"/>
        </w:rPr>
        <w:t>the</w:t>
      </w:r>
      <w:r>
        <w:rPr>
          <w:color w:val="231F20"/>
          <w:spacing w:val="-10"/>
        </w:rPr>
        <w:t> </w:t>
      </w:r>
      <w:r>
        <w:rPr>
          <w:color w:val="231F20"/>
          <w:spacing w:val="-1"/>
        </w:rPr>
        <w:t>Commonwealth</w:t>
      </w:r>
      <w:r>
        <w:rPr>
          <w:color w:val="231F20"/>
          <w:spacing w:val="-9"/>
        </w:rPr>
        <w:t> </w:t>
      </w:r>
      <w:r>
        <w:rPr>
          <w:color w:val="231F20"/>
        </w:rPr>
        <w:t>Government</w:t>
      </w:r>
      <w:r>
        <w:rPr>
          <w:color w:val="231F20"/>
          <w:spacing w:val="22"/>
          <w:w w:val="99"/>
        </w:rPr>
        <w:t> </w:t>
      </w:r>
      <w:r>
        <w:rPr>
          <w:color w:val="231F20"/>
        </w:rPr>
        <w:t>through</w:t>
      </w:r>
      <w:r>
        <w:rPr>
          <w:color w:val="231F20"/>
          <w:spacing w:val="-6"/>
        </w:rPr>
        <w:t> </w:t>
      </w:r>
      <w:r>
        <w:rPr>
          <w:color w:val="231F20"/>
        </w:rPr>
        <w:t>the</w:t>
      </w:r>
      <w:r>
        <w:rPr>
          <w:color w:val="231F20"/>
          <w:spacing w:val="-6"/>
        </w:rPr>
        <w:t> </w:t>
      </w:r>
      <w:r>
        <w:rPr>
          <w:rFonts w:ascii="Segoe UI"/>
          <w:i/>
          <w:color w:val="231F20"/>
        </w:rPr>
        <w:t>National</w:t>
      </w:r>
      <w:r>
        <w:rPr>
          <w:rFonts w:ascii="Segoe UI"/>
          <w:i/>
          <w:color w:val="231F20"/>
          <w:spacing w:val="-5"/>
        </w:rPr>
        <w:t> </w:t>
      </w:r>
      <w:r>
        <w:rPr>
          <w:rFonts w:ascii="Segoe UI"/>
          <w:i/>
          <w:color w:val="231F20"/>
          <w:spacing w:val="-1"/>
        </w:rPr>
        <w:t>Partnership</w:t>
      </w:r>
      <w:r>
        <w:rPr>
          <w:rFonts w:ascii="Segoe UI"/>
          <w:i/>
          <w:color w:val="231F20"/>
          <w:spacing w:val="-5"/>
        </w:rPr>
        <w:t> </w:t>
      </w:r>
      <w:r>
        <w:rPr>
          <w:rFonts w:ascii="Segoe UI"/>
          <w:i/>
          <w:color w:val="231F20"/>
          <w:spacing w:val="-1"/>
        </w:rPr>
        <w:t>on</w:t>
      </w:r>
      <w:r>
        <w:rPr>
          <w:rFonts w:ascii="Segoe UI"/>
          <w:i/>
          <w:color w:val="231F20"/>
          <w:spacing w:val="-4"/>
        </w:rPr>
        <w:t> </w:t>
      </w:r>
      <w:r>
        <w:rPr>
          <w:rFonts w:ascii="Segoe UI"/>
          <w:i/>
          <w:color w:val="231F20"/>
        </w:rPr>
        <w:t>Northern</w:t>
      </w:r>
      <w:r>
        <w:rPr>
          <w:rFonts w:ascii="Segoe UI"/>
          <w:i/>
          <w:color w:val="231F20"/>
          <w:spacing w:val="22"/>
        </w:rPr>
        <w:t> </w:t>
      </w:r>
      <w:r>
        <w:rPr>
          <w:rFonts w:ascii="Segoe UI"/>
          <w:i/>
          <w:color w:val="231F20"/>
          <w:spacing w:val="-2"/>
        </w:rPr>
        <w:t>Territory</w:t>
      </w:r>
      <w:r>
        <w:rPr>
          <w:rFonts w:ascii="Segoe UI"/>
          <w:i/>
          <w:color w:val="231F20"/>
          <w:spacing w:val="-6"/>
        </w:rPr>
        <w:t> </w:t>
      </w:r>
      <w:r>
        <w:rPr>
          <w:rFonts w:ascii="Segoe UI"/>
          <w:i/>
          <w:color w:val="231F20"/>
          <w:spacing w:val="-1"/>
        </w:rPr>
        <w:t>Remote</w:t>
      </w:r>
      <w:r>
        <w:rPr>
          <w:rFonts w:ascii="Segoe UI"/>
          <w:i/>
          <w:color w:val="231F20"/>
          <w:spacing w:val="-5"/>
        </w:rPr>
        <w:t> </w:t>
      </w:r>
      <w:r>
        <w:rPr>
          <w:rFonts w:ascii="Segoe UI"/>
          <w:i/>
          <w:color w:val="231F20"/>
        </w:rPr>
        <w:t>Aboriginal</w:t>
      </w:r>
      <w:r>
        <w:rPr>
          <w:rFonts w:ascii="Segoe UI"/>
          <w:i/>
          <w:color w:val="231F20"/>
          <w:spacing w:val="-7"/>
        </w:rPr>
        <w:t> </w:t>
      </w:r>
      <w:r>
        <w:rPr>
          <w:rFonts w:ascii="Segoe UI"/>
          <w:i/>
          <w:color w:val="231F20"/>
          <w:spacing w:val="-1"/>
        </w:rPr>
        <w:t>Investment.</w:t>
      </w:r>
      <w:r>
        <w:rPr>
          <w:rFonts w:ascii="Segoe UI"/>
          <w:i/>
          <w:color w:val="231F20"/>
          <w:spacing w:val="-6"/>
        </w:rPr>
        <w:t> </w:t>
      </w:r>
      <w:r>
        <w:rPr>
          <w:color w:val="231F20"/>
          <w:spacing w:val="-1"/>
        </w:rPr>
        <w:t>Its</w:t>
      </w:r>
      <w:r>
        <w:rPr>
          <w:color w:val="231F20"/>
          <w:spacing w:val="29"/>
        </w:rPr>
        <w:t> </w:t>
      </w:r>
      <w:r>
        <w:rPr>
          <w:color w:val="231F20"/>
        </w:rPr>
        <w:t>current</w:t>
      </w:r>
      <w:r>
        <w:rPr>
          <w:color w:val="231F20"/>
          <w:spacing w:val="-4"/>
        </w:rPr>
        <w:t> </w:t>
      </w:r>
      <w:r>
        <w:rPr>
          <w:color w:val="231F20"/>
        </w:rPr>
        <w:t>budget</w:t>
      </w:r>
      <w:r>
        <w:rPr>
          <w:color w:val="231F20"/>
          <w:spacing w:val="-5"/>
        </w:rPr>
        <w:t> </w:t>
      </w:r>
      <w:r>
        <w:rPr>
          <w:color w:val="231F20"/>
          <w:spacing w:val="-1"/>
        </w:rPr>
        <w:t>is</w:t>
      </w:r>
      <w:r>
        <w:rPr>
          <w:color w:val="231F20"/>
          <w:spacing w:val="-5"/>
        </w:rPr>
        <w:t> </w:t>
      </w:r>
      <w:r>
        <w:rPr>
          <w:color w:val="231F20"/>
          <w:spacing w:val="-1"/>
        </w:rPr>
        <w:t>$3.8</w:t>
      </w:r>
      <w:r>
        <w:rPr>
          <w:color w:val="231F20"/>
          <w:spacing w:val="-4"/>
        </w:rPr>
        <w:t> </w:t>
      </w:r>
      <w:r>
        <w:rPr>
          <w:color w:val="231F20"/>
          <w:spacing w:val="-1"/>
        </w:rPr>
        <w:t>million</w:t>
      </w:r>
      <w:r>
        <w:rPr>
          <w:color w:val="231F20"/>
          <w:spacing w:val="-4"/>
        </w:rPr>
        <w:t> </w:t>
      </w:r>
      <w:r>
        <w:rPr>
          <w:color w:val="231F20"/>
        </w:rPr>
        <w:t>and</w:t>
      </w:r>
      <w:r>
        <w:rPr>
          <w:color w:val="231F20"/>
          <w:spacing w:val="-5"/>
        </w:rPr>
        <w:t> </w:t>
      </w:r>
      <w:r>
        <w:rPr>
          <w:color w:val="231F20"/>
          <w:spacing w:val="-1"/>
        </w:rPr>
        <w:t>it</w:t>
      </w:r>
      <w:r>
        <w:rPr>
          <w:color w:val="231F20"/>
          <w:spacing w:val="-4"/>
        </w:rPr>
        <w:t> </w:t>
      </w:r>
      <w:r>
        <w:rPr>
          <w:color w:val="231F20"/>
        </w:rPr>
        <w:t>currently</w:t>
      </w:r>
      <w:r>
        <w:rPr>
          <w:color w:val="231F20"/>
          <w:spacing w:val="25"/>
          <w:w w:val="99"/>
        </w:rPr>
        <w:t> </w:t>
      </w:r>
      <w:r>
        <w:rPr>
          <w:rFonts w:ascii="Segoe UI"/>
          <w:color w:val="231F20"/>
        </w:rPr>
        <w:t>has</w:t>
      </w:r>
      <w:r>
        <w:rPr>
          <w:rFonts w:ascii="Segoe UI"/>
          <w:color w:val="231F20"/>
          <w:spacing w:val="-1"/>
        </w:rPr>
        <w:t> </w:t>
      </w:r>
      <w:r>
        <w:rPr>
          <w:rFonts w:ascii="Segoe UI"/>
          <w:color w:val="231F20"/>
        </w:rPr>
        <w:t>19 FTE</w:t>
      </w:r>
      <w:r>
        <w:rPr>
          <w:rFonts w:ascii="Segoe UI"/>
          <w:color w:val="231F20"/>
          <w:spacing w:val="-1"/>
        </w:rPr>
        <w:t> </w:t>
      </w:r>
      <w:r>
        <w:rPr>
          <w:rFonts w:ascii="Segoe UI"/>
          <w:color w:val="231F20"/>
        </w:rPr>
        <w:t>staff (with</w:t>
      </w:r>
      <w:r>
        <w:rPr>
          <w:rFonts w:ascii="Segoe UI"/>
          <w:color w:val="231F20"/>
          <w:spacing w:val="-1"/>
        </w:rPr>
        <w:t> </w:t>
      </w:r>
      <w:r>
        <w:rPr>
          <w:rFonts w:ascii="Segoe UI"/>
          <w:color w:val="231F20"/>
        </w:rPr>
        <w:t>a number</w:t>
      </w:r>
      <w:r>
        <w:rPr>
          <w:rFonts w:ascii="Segoe UI"/>
          <w:color w:val="231F20"/>
          <w:spacing w:val="-1"/>
        </w:rPr>
        <w:t> </w:t>
      </w:r>
      <w:r>
        <w:rPr>
          <w:rFonts w:ascii="Segoe UI"/>
          <w:color w:val="231F20"/>
        </w:rPr>
        <w:t>of additional</w:t>
      </w:r>
      <w:r>
        <w:rPr>
          <w:rFonts w:ascii="Segoe UI"/>
        </w:rPr>
      </w:r>
    </w:p>
    <w:p>
      <w:pPr>
        <w:pStyle w:val="BodyText"/>
        <w:spacing w:line="250" w:lineRule="exact"/>
        <w:ind w:right="0"/>
        <w:jc w:val="left"/>
      </w:pPr>
      <w:r>
        <w:rPr>
          <w:color w:val="231F20"/>
        </w:rPr>
        <w:t>vacancies),</w:t>
      </w:r>
      <w:r>
        <w:rPr>
          <w:color w:val="231F20"/>
          <w:spacing w:val="-6"/>
        </w:rPr>
        <w:t> </w:t>
      </w:r>
      <w:r>
        <w:rPr>
          <w:color w:val="231F20"/>
          <w:spacing w:val="-1"/>
        </w:rPr>
        <w:t>located</w:t>
      </w:r>
      <w:r>
        <w:rPr>
          <w:color w:val="231F20"/>
          <w:spacing w:val="-5"/>
        </w:rPr>
        <w:t> </w:t>
      </w:r>
      <w:r>
        <w:rPr>
          <w:color w:val="231F20"/>
          <w:spacing w:val="-1"/>
        </w:rPr>
        <w:t>in</w:t>
      </w:r>
      <w:r>
        <w:rPr>
          <w:color w:val="231F20"/>
          <w:spacing w:val="-6"/>
        </w:rPr>
        <w:t> </w:t>
      </w:r>
      <w:r>
        <w:rPr>
          <w:color w:val="231F20"/>
          <w:spacing w:val="-1"/>
        </w:rPr>
        <w:t>Darwin</w:t>
      </w:r>
      <w:r>
        <w:rPr>
          <w:color w:val="231F20"/>
          <w:spacing w:val="-5"/>
        </w:rPr>
        <w:t> </w:t>
      </w:r>
      <w:r>
        <w:rPr>
          <w:color w:val="231F20"/>
        </w:rPr>
        <w:t>and</w:t>
      </w:r>
      <w:r>
        <w:rPr>
          <w:color w:val="231F20"/>
          <w:spacing w:val="-7"/>
        </w:rPr>
        <w:t> </w:t>
      </w:r>
      <w:r>
        <w:rPr>
          <w:color w:val="231F20"/>
        </w:rPr>
        <w:t>Alice</w:t>
      </w:r>
      <w:r>
        <w:rPr>
          <w:color w:val="231F20"/>
          <w:spacing w:val="-6"/>
        </w:rPr>
        <w:t> </w:t>
      </w:r>
      <w:r>
        <w:rPr>
          <w:color w:val="231F20"/>
          <w:spacing w:val="-1"/>
        </w:rPr>
        <w:t>Springs.</w:t>
      </w:r>
      <w:r>
        <w:rPr/>
      </w:r>
    </w:p>
    <w:p>
      <w:pPr>
        <w:pStyle w:val="BodyText"/>
        <w:spacing w:line="250" w:lineRule="exact" w:before="113"/>
        <w:ind w:right="0"/>
        <w:jc w:val="left"/>
      </w:pPr>
      <w:r>
        <w:rPr>
          <w:color w:val="231F20"/>
        </w:rPr>
        <w:t>Of</w:t>
      </w:r>
      <w:r>
        <w:rPr>
          <w:color w:val="231F20"/>
          <w:spacing w:val="-6"/>
        </w:rPr>
        <w:t> </w:t>
      </w:r>
      <w:r>
        <w:rPr>
          <w:color w:val="231F20"/>
        </w:rPr>
        <w:t>the</w:t>
      </w:r>
      <w:r>
        <w:rPr>
          <w:color w:val="231F20"/>
          <w:spacing w:val="-7"/>
        </w:rPr>
        <w:t> </w:t>
      </w:r>
      <w:r>
        <w:rPr>
          <w:color w:val="231F20"/>
          <w:spacing w:val="-1"/>
        </w:rPr>
        <w:t>1,900</w:t>
      </w:r>
      <w:r>
        <w:rPr>
          <w:color w:val="231F20"/>
          <w:spacing w:val="-6"/>
        </w:rPr>
        <w:t> </w:t>
      </w:r>
      <w:r>
        <w:rPr>
          <w:color w:val="231F20"/>
        </w:rPr>
        <w:t>Northern</w:t>
      </w:r>
      <w:r>
        <w:rPr>
          <w:color w:val="231F20"/>
          <w:spacing w:val="-6"/>
        </w:rPr>
        <w:t> </w:t>
      </w:r>
      <w:r>
        <w:rPr>
          <w:color w:val="231F20"/>
          <w:spacing w:val="-3"/>
        </w:rPr>
        <w:t>Territory</w:t>
      </w:r>
      <w:r>
        <w:rPr>
          <w:color w:val="231F20"/>
          <w:spacing w:val="-6"/>
        </w:rPr>
        <w:t> </w:t>
      </w:r>
      <w:r>
        <w:rPr>
          <w:color w:val="231F20"/>
          <w:spacing w:val="-1"/>
        </w:rPr>
        <w:t>secondary</w:t>
      </w:r>
      <w:r>
        <w:rPr>
          <w:color w:val="231F20"/>
          <w:spacing w:val="28"/>
          <w:w w:val="99"/>
        </w:rPr>
        <w:t> </w:t>
      </w:r>
      <w:r>
        <w:rPr>
          <w:color w:val="231F20"/>
        </w:rPr>
        <w:t>boarding</w:t>
      </w:r>
      <w:r>
        <w:rPr>
          <w:color w:val="231F20"/>
          <w:spacing w:val="-6"/>
        </w:rPr>
        <w:t> </w:t>
      </w:r>
      <w:r>
        <w:rPr>
          <w:color w:val="231F20"/>
          <w:spacing w:val="-1"/>
        </w:rPr>
        <w:t>students,</w:t>
      </w:r>
      <w:r>
        <w:rPr>
          <w:color w:val="231F20"/>
          <w:spacing w:val="-4"/>
        </w:rPr>
        <w:t> </w:t>
      </w:r>
      <w:r>
        <w:rPr>
          <w:color w:val="231F20"/>
        </w:rPr>
        <w:t>the</w:t>
      </w:r>
      <w:r>
        <w:rPr>
          <w:color w:val="231F20"/>
          <w:spacing w:val="-6"/>
        </w:rPr>
        <w:t> </w:t>
      </w:r>
      <w:r>
        <w:rPr>
          <w:color w:val="231F20"/>
          <w:spacing w:val="-2"/>
        </w:rPr>
        <w:t>TSU</w:t>
      </w:r>
      <w:r>
        <w:rPr>
          <w:color w:val="231F20"/>
          <w:spacing w:val="-4"/>
        </w:rPr>
        <w:t> </w:t>
      </w:r>
      <w:r>
        <w:rPr>
          <w:color w:val="231F20"/>
        </w:rPr>
        <w:t>estimates</w:t>
      </w:r>
      <w:r>
        <w:rPr>
          <w:color w:val="231F20"/>
          <w:spacing w:val="-6"/>
        </w:rPr>
        <w:t> </w:t>
      </w:r>
      <w:r>
        <w:rPr>
          <w:color w:val="231F20"/>
        </w:rPr>
        <w:t>that</w:t>
      </w:r>
      <w:r>
        <w:rPr>
          <w:color w:val="231F20"/>
          <w:spacing w:val="22"/>
          <w:w w:val="99"/>
        </w:rPr>
        <w:t> </w:t>
      </w:r>
      <w:r>
        <w:rPr>
          <w:color w:val="231F20"/>
        </w:rPr>
        <w:t>approximately</w:t>
      </w:r>
      <w:r>
        <w:rPr>
          <w:color w:val="231F20"/>
          <w:spacing w:val="-10"/>
        </w:rPr>
        <w:t> </w:t>
      </w:r>
      <w:r>
        <w:rPr>
          <w:color w:val="231F20"/>
          <w:spacing w:val="-1"/>
        </w:rPr>
        <w:t>1,100</w:t>
      </w:r>
      <w:r>
        <w:rPr>
          <w:color w:val="231F20"/>
          <w:spacing w:val="-9"/>
        </w:rPr>
        <w:t> </w:t>
      </w:r>
      <w:r>
        <w:rPr>
          <w:color w:val="231F20"/>
        </w:rPr>
        <w:t>attend</w:t>
      </w:r>
      <w:r>
        <w:rPr>
          <w:color w:val="231F20"/>
          <w:spacing w:val="-9"/>
        </w:rPr>
        <w:t> </w:t>
      </w:r>
      <w:r>
        <w:rPr>
          <w:color w:val="231F20"/>
        </w:rPr>
        <w:t>boarding</w:t>
      </w:r>
      <w:r>
        <w:rPr>
          <w:color w:val="231F20"/>
          <w:spacing w:val="-10"/>
        </w:rPr>
        <w:t> </w:t>
      </w:r>
      <w:r>
        <w:rPr>
          <w:color w:val="231F20"/>
        </w:rPr>
        <w:t>providers</w:t>
      </w:r>
      <w:r>
        <w:rPr>
          <w:color w:val="231F20"/>
          <w:spacing w:val="21"/>
          <w:w w:val="99"/>
        </w:rPr>
        <w:t> </w:t>
      </w:r>
      <w:r>
        <w:rPr>
          <w:color w:val="231F20"/>
          <w:spacing w:val="-1"/>
        </w:rPr>
        <w:t>in</w:t>
      </w:r>
      <w:r>
        <w:rPr>
          <w:color w:val="231F20"/>
          <w:spacing w:val="-5"/>
        </w:rPr>
        <w:t> </w:t>
      </w:r>
      <w:r>
        <w:rPr>
          <w:color w:val="231F20"/>
        </w:rPr>
        <w:t>the</w:t>
      </w:r>
      <w:r>
        <w:rPr>
          <w:color w:val="231F20"/>
          <w:spacing w:val="-5"/>
        </w:rPr>
        <w:t> </w:t>
      </w:r>
      <w:r>
        <w:rPr>
          <w:color w:val="231F20"/>
        </w:rPr>
        <w:t>Northern</w:t>
      </w:r>
      <w:r>
        <w:rPr>
          <w:color w:val="231F20"/>
          <w:spacing w:val="-5"/>
        </w:rPr>
        <w:t> </w:t>
      </w:r>
      <w:r>
        <w:rPr>
          <w:color w:val="231F20"/>
          <w:spacing w:val="-3"/>
        </w:rPr>
        <w:t>Territory</w:t>
      </w:r>
      <w:r>
        <w:rPr>
          <w:color w:val="231F20"/>
          <w:spacing w:val="-4"/>
        </w:rPr>
        <w:t> </w:t>
      </w:r>
      <w:r>
        <w:rPr>
          <w:color w:val="231F20"/>
        </w:rPr>
        <w:t>and</w:t>
      </w:r>
      <w:r>
        <w:rPr>
          <w:color w:val="231F20"/>
          <w:spacing w:val="-6"/>
        </w:rPr>
        <w:t> </w:t>
      </w:r>
      <w:r>
        <w:rPr>
          <w:color w:val="231F20"/>
          <w:spacing w:val="-1"/>
        </w:rPr>
        <w:t>800</w:t>
      </w:r>
      <w:r>
        <w:rPr>
          <w:color w:val="231F20"/>
          <w:spacing w:val="-4"/>
        </w:rPr>
        <w:t> </w:t>
      </w:r>
      <w:r>
        <w:rPr>
          <w:color w:val="231F20"/>
        </w:rPr>
        <w:t>board</w:t>
      </w:r>
      <w:r>
        <w:rPr>
          <w:color w:val="231F20"/>
          <w:spacing w:val="29"/>
          <w:w w:val="99"/>
        </w:rPr>
        <w:t> </w:t>
      </w:r>
      <w:r>
        <w:rPr>
          <w:color w:val="231F20"/>
          <w:spacing w:val="-1"/>
        </w:rPr>
        <w:t>interstate.</w:t>
      </w:r>
      <w:r>
        <w:rPr>
          <w:color w:val="231F20"/>
          <w:spacing w:val="-9"/>
        </w:rPr>
        <w:t> </w:t>
      </w:r>
      <w:r>
        <w:rPr>
          <w:color w:val="231F20"/>
        </w:rPr>
        <w:t>Northern</w:t>
      </w:r>
      <w:r>
        <w:rPr>
          <w:color w:val="231F20"/>
          <w:spacing w:val="-8"/>
        </w:rPr>
        <w:t> </w:t>
      </w:r>
      <w:r>
        <w:rPr>
          <w:color w:val="231F20"/>
          <w:spacing w:val="-3"/>
        </w:rPr>
        <w:t>Territory</w:t>
      </w:r>
      <w:r>
        <w:rPr>
          <w:color w:val="231F20"/>
          <w:spacing w:val="-8"/>
        </w:rPr>
        <w:t> </w:t>
      </w:r>
      <w:r>
        <w:rPr>
          <w:color w:val="231F20"/>
        </w:rPr>
        <w:t>boarding</w:t>
      </w:r>
      <w:r>
        <w:rPr>
          <w:color w:val="231F20"/>
          <w:spacing w:val="-9"/>
        </w:rPr>
        <w:t> </w:t>
      </w:r>
      <w:r>
        <w:rPr>
          <w:color w:val="231F20"/>
          <w:spacing w:val="-1"/>
        </w:rPr>
        <w:t>students</w:t>
      </w:r>
      <w:r>
        <w:rPr>
          <w:color w:val="231F20"/>
          <w:spacing w:val="28"/>
        </w:rPr>
        <w:t> </w:t>
      </w:r>
      <w:r>
        <w:rPr>
          <w:color w:val="231F20"/>
        </w:rPr>
        <w:t>come</w:t>
      </w:r>
      <w:r>
        <w:rPr>
          <w:color w:val="231F20"/>
          <w:spacing w:val="-4"/>
        </w:rPr>
        <w:t> </w:t>
      </w:r>
      <w:r>
        <w:rPr>
          <w:color w:val="231F20"/>
        </w:rPr>
        <w:t>from</w:t>
      </w:r>
      <w:r>
        <w:rPr>
          <w:color w:val="231F20"/>
          <w:spacing w:val="-2"/>
        </w:rPr>
        <w:t> </w:t>
      </w:r>
      <w:r>
        <w:rPr>
          <w:color w:val="231F20"/>
          <w:spacing w:val="-1"/>
        </w:rPr>
        <w:t>128</w:t>
      </w:r>
      <w:r>
        <w:rPr>
          <w:color w:val="231F20"/>
          <w:spacing w:val="-3"/>
        </w:rPr>
        <w:t> </w:t>
      </w:r>
      <w:r>
        <w:rPr>
          <w:color w:val="231F20"/>
          <w:spacing w:val="-1"/>
        </w:rPr>
        <w:t>locations</w:t>
      </w:r>
      <w:r>
        <w:rPr>
          <w:color w:val="231F20"/>
          <w:spacing w:val="-2"/>
        </w:rPr>
        <w:t> </w:t>
      </w:r>
      <w:r>
        <w:rPr>
          <w:color w:val="231F20"/>
          <w:spacing w:val="-1"/>
        </w:rPr>
        <w:t>in</w:t>
      </w:r>
      <w:r>
        <w:rPr>
          <w:color w:val="231F20"/>
          <w:spacing w:val="-2"/>
        </w:rPr>
        <w:t> </w:t>
      </w:r>
      <w:r>
        <w:rPr>
          <w:color w:val="231F20"/>
        </w:rPr>
        <w:t>the</w:t>
      </w:r>
      <w:r>
        <w:rPr>
          <w:color w:val="231F20"/>
          <w:spacing w:val="-4"/>
        </w:rPr>
        <w:t> </w:t>
      </w:r>
      <w:r>
        <w:rPr>
          <w:color w:val="231F20"/>
        </w:rPr>
        <w:t>territory</w:t>
      </w:r>
      <w:r>
        <w:rPr>
          <w:color w:val="231F20"/>
          <w:spacing w:val="24"/>
          <w:w w:val="99"/>
        </w:rPr>
        <w:t> </w:t>
      </w:r>
      <w:r>
        <w:rPr>
          <w:color w:val="231F20"/>
        </w:rPr>
        <w:t>(including</w:t>
      </w:r>
      <w:r>
        <w:rPr>
          <w:color w:val="231F20"/>
          <w:spacing w:val="-7"/>
        </w:rPr>
        <w:t> </w:t>
      </w:r>
      <w:r>
        <w:rPr>
          <w:color w:val="231F20"/>
          <w:spacing w:val="-1"/>
        </w:rPr>
        <w:t>Darwin</w:t>
      </w:r>
      <w:r>
        <w:rPr>
          <w:color w:val="231F20"/>
          <w:spacing w:val="-5"/>
        </w:rPr>
        <w:t> </w:t>
      </w:r>
      <w:r>
        <w:rPr>
          <w:color w:val="231F20"/>
        </w:rPr>
        <w:t>and</w:t>
      </w:r>
      <w:r>
        <w:rPr>
          <w:color w:val="231F20"/>
          <w:spacing w:val="-6"/>
        </w:rPr>
        <w:t> </w:t>
      </w:r>
      <w:r>
        <w:rPr>
          <w:color w:val="231F20"/>
        </w:rPr>
        <w:t>Alice</w:t>
      </w:r>
      <w:r>
        <w:rPr>
          <w:color w:val="231F20"/>
          <w:spacing w:val="-6"/>
        </w:rPr>
        <w:t> </w:t>
      </w:r>
      <w:r>
        <w:rPr>
          <w:color w:val="231F20"/>
          <w:spacing w:val="-1"/>
        </w:rPr>
        <w:t>Springs</w:t>
      </w:r>
      <w:r>
        <w:rPr>
          <w:color w:val="231F20"/>
          <w:spacing w:val="-6"/>
        </w:rPr>
        <w:t> </w:t>
      </w:r>
      <w:r>
        <w:rPr>
          <w:color w:val="231F20"/>
          <w:spacing w:val="-1"/>
        </w:rPr>
        <w:t>suburbs).</w:t>
      </w:r>
      <w:r>
        <w:rPr/>
      </w:r>
    </w:p>
    <w:p>
      <w:pPr>
        <w:pStyle w:val="BodyText"/>
        <w:spacing w:line="250" w:lineRule="exact"/>
        <w:ind w:right="301"/>
        <w:jc w:val="left"/>
      </w:pPr>
      <w:r>
        <w:rPr>
          <w:color w:val="231F20"/>
        </w:rPr>
        <w:t>The</w:t>
      </w:r>
      <w:r>
        <w:rPr>
          <w:color w:val="231F20"/>
          <w:spacing w:val="-4"/>
        </w:rPr>
        <w:t> </w:t>
      </w:r>
      <w:r>
        <w:rPr>
          <w:color w:val="231F20"/>
          <w:spacing w:val="-2"/>
        </w:rPr>
        <w:t>TSU</w:t>
      </w:r>
      <w:r>
        <w:rPr>
          <w:color w:val="231F20"/>
          <w:spacing w:val="-4"/>
        </w:rPr>
        <w:t> </w:t>
      </w:r>
      <w:r>
        <w:rPr>
          <w:color w:val="231F20"/>
        </w:rPr>
        <w:t>has</w:t>
      </w:r>
      <w:r>
        <w:rPr>
          <w:color w:val="231F20"/>
          <w:spacing w:val="-5"/>
        </w:rPr>
        <w:t> </w:t>
      </w:r>
      <w:r>
        <w:rPr>
          <w:color w:val="231F20"/>
        </w:rPr>
        <w:t>a</w:t>
      </w:r>
      <w:r>
        <w:rPr>
          <w:color w:val="231F20"/>
          <w:spacing w:val="-4"/>
        </w:rPr>
        <w:t> </w:t>
      </w:r>
      <w:r>
        <w:rPr>
          <w:color w:val="231F20"/>
        </w:rPr>
        <w:t>relationship</w:t>
      </w:r>
      <w:r>
        <w:rPr>
          <w:color w:val="231F20"/>
          <w:spacing w:val="-6"/>
        </w:rPr>
        <w:t> </w:t>
      </w:r>
      <w:r>
        <w:rPr>
          <w:color w:val="231F20"/>
        </w:rPr>
        <w:t>with</w:t>
      </w:r>
      <w:r>
        <w:rPr>
          <w:color w:val="231F20"/>
          <w:spacing w:val="-5"/>
        </w:rPr>
        <w:t> </w:t>
      </w:r>
      <w:r>
        <w:rPr>
          <w:color w:val="231F20"/>
          <w:spacing w:val="-1"/>
        </w:rPr>
        <w:t>48</w:t>
      </w:r>
      <w:r>
        <w:rPr>
          <w:color w:val="231F20"/>
          <w:spacing w:val="-4"/>
        </w:rPr>
        <w:t> </w:t>
      </w:r>
      <w:r>
        <w:rPr>
          <w:color w:val="231F20"/>
        </w:rPr>
        <w:t>boarding</w:t>
      </w:r>
      <w:r>
        <w:rPr>
          <w:color w:val="231F20"/>
          <w:spacing w:val="23"/>
          <w:w w:val="99"/>
        </w:rPr>
        <w:t> </w:t>
      </w:r>
      <w:r>
        <w:rPr>
          <w:color w:val="231F20"/>
        </w:rPr>
        <w:t>providers</w:t>
      </w:r>
      <w:r>
        <w:rPr>
          <w:color w:val="231F20"/>
          <w:spacing w:val="-7"/>
        </w:rPr>
        <w:t> </w:t>
      </w:r>
      <w:r>
        <w:rPr>
          <w:color w:val="231F20"/>
        </w:rPr>
        <w:t>(11</w:t>
      </w:r>
      <w:r>
        <w:rPr>
          <w:color w:val="231F20"/>
          <w:spacing w:val="-6"/>
        </w:rPr>
        <w:t> </w:t>
      </w:r>
      <w:r>
        <w:rPr>
          <w:color w:val="231F20"/>
          <w:spacing w:val="-1"/>
        </w:rPr>
        <w:t>in</w:t>
      </w:r>
      <w:r>
        <w:rPr>
          <w:color w:val="231F20"/>
          <w:spacing w:val="-6"/>
        </w:rPr>
        <w:t> </w:t>
      </w:r>
      <w:r>
        <w:rPr>
          <w:color w:val="231F20"/>
        </w:rPr>
        <w:t>the</w:t>
      </w:r>
      <w:r>
        <w:rPr>
          <w:color w:val="231F20"/>
          <w:spacing w:val="-7"/>
        </w:rPr>
        <w:t> </w:t>
      </w:r>
      <w:r>
        <w:rPr>
          <w:color w:val="231F20"/>
        </w:rPr>
        <w:t>Northern</w:t>
      </w:r>
      <w:r>
        <w:rPr>
          <w:color w:val="231F20"/>
          <w:spacing w:val="-5"/>
        </w:rPr>
        <w:t> </w:t>
      </w:r>
      <w:r>
        <w:rPr>
          <w:color w:val="231F20"/>
          <w:spacing w:val="-2"/>
        </w:rPr>
        <w:t>Territory)</w:t>
      </w:r>
      <w:r>
        <w:rPr>
          <w:color w:val="231F20"/>
          <w:spacing w:val="-6"/>
        </w:rPr>
        <w:t> </w:t>
      </w:r>
      <w:r>
        <w:rPr>
          <w:color w:val="231F20"/>
        </w:rPr>
        <w:t>and</w:t>
      </w:r>
      <w:r>
        <w:rPr>
          <w:color w:val="231F20"/>
          <w:spacing w:val="21"/>
          <w:w w:val="99"/>
        </w:rPr>
        <w:t> </w:t>
      </w:r>
      <w:r>
        <w:rPr>
          <w:color w:val="231F20"/>
          <w:spacing w:val="-1"/>
        </w:rPr>
        <w:t>in</w:t>
      </w:r>
      <w:r>
        <w:rPr>
          <w:color w:val="231F20"/>
          <w:spacing w:val="-5"/>
        </w:rPr>
        <w:t> </w:t>
      </w:r>
      <w:r>
        <w:rPr>
          <w:color w:val="231F20"/>
          <w:spacing w:val="-1"/>
        </w:rPr>
        <w:t>2018</w:t>
      </w:r>
      <w:r>
        <w:rPr>
          <w:color w:val="231F20"/>
          <w:spacing w:val="-4"/>
        </w:rPr>
        <w:t> </w:t>
      </w:r>
      <w:r>
        <w:rPr>
          <w:color w:val="231F20"/>
          <w:spacing w:val="-1"/>
        </w:rPr>
        <w:t>supported</w:t>
      </w:r>
      <w:r>
        <w:rPr>
          <w:color w:val="231F20"/>
          <w:spacing w:val="-4"/>
        </w:rPr>
        <w:t> </w:t>
      </w:r>
      <w:r>
        <w:rPr>
          <w:color w:val="231F20"/>
          <w:spacing w:val="-1"/>
        </w:rPr>
        <w:t>425</w:t>
      </w:r>
      <w:r>
        <w:rPr>
          <w:color w:val="231F20"/>
          <w:spacing w:val="-4"/>
        </w:rPr>
        <w:t> </w:t>
      </w:r>
      <w:r>
        <w:rPr>
          <w:color w:val="231F20"/>
        </w:rPr>
        <w:t>boarding</w:t>
      </w:r>
      <w:r>
        <w:rPr>
          <w:color w:val="231F20"/>
          <w:spacing w:val="-6"/>
        </w:rPr>
        <w:t> </w:t>
      </w:r>
      <w:r>
        <w:rPr>
          <w:color w:val="231F20"/>
          <w:spacing w:val="-1"/>
        </w:rPr>
        <w:t>students,</w:t>
      </w:r>
      <w:r>
        <w:rPr>
          <w:color w:val="231F20"/>
          <w:spacing w:val="-3"/>
        </w:rPr>
        <w:t> </w:t>
      </w:r>
      <w:r>
        <w:rPr>
          <w:color w:val="231F20"/>
        </w:rPr>
        <w:t>of</w:t>
      </w:r>
      <w:r>
        <w:rPr/>
      </w:r>
    </w:p>
    <w:p>
      <w:pPr>
        <w:pStyle w:val="BodyText"/>
        <w:spacing w:line="250" w:lineRule="exact"/>
        <w:ind w:right="87"/>
        <w:jc w:val="left"/>
      </w:pPr>
      <w:r>
        <w:rPr>
          <w:color w:val="231F20"/>
        </w:rPr>
        <w:t>which</w:t>
      </w:r>
      <w:r>
        <w:rPr>
          <w:color w:val="231F20"/>
          <w:spacing w:val="-6"/>
        </w:rPr>
        <w:t> </w:t>
      </w:r>
      <w:r>
        <w:rPr>
          <w:color w:val="231F20"/>
          <w:spacing w:val="-1"/>
        </w:rPr>
        <w:t>256</w:t>
      </w:r>
      <w:r>
        <w:rPr>
          <w:color w:val="231F20"/>
          <w:spacing w:val="-5"/>
        </w:rPr>
        <w:t> </w:t>
      </w:r>
      <w:r>
        <w:rPr>
          <w:color w:val="231F20"/>
        </w:rPr>
        <w:t>board</w:t>
      </w:r>
      <w:r>
        <w:rPr>
          <w:color w:val="231F20"/>
          <w:spacing w:val="-4"/>
        </w:rPr>
        <w:t> </w:t>
      </w:r>
      <w:r>
        <w:rPr>
          <w:color w:val="231F20"/>
          <w:spacing w:val="-1"/>
        </w:rPr>
        <w:t>in</w:t>
      </w:r>
      <w:r>
        <w:rPr>
          <w:color w:val="231F20"/>
          <w:spacing w:val="-5"/>
        </w:rPr>
        <w:t> </w:t>
      </w:r>
      <w:r>
        <w:rPr>
          <w:color w:val="231F20"/>
        </w:rPr>
        <w:t>the</w:t>
      </w:r>
      <w:r>
        <w:rPr>
          <w:color w:val="231F20"/>
          <w:spacing w:val="-5"/>
        </w:rPr>
        <w:t> </w:t>
      </w:r>
      <w:r>
        <w:rPr>
          <w:color w:val="231F20"/>
        </w:rPr>
        <w:t>Northern</w:t>
      </w:r>
      <w:r>
        <w:rPr>
          <w:color w:val="231F20"/>
          <w:spacing w:val="-5"/>
        </w:rPr>
        <w:t> </w:t>
      </w:r>
      <w:r>
        <w:rPr>
          <w:color w:val="231F20"/>
          <w:spacing w:val="-3"/>
        </w:rPr>
        <w:t>Territory</w:t>
      </w:r>
      <w:r>
        <w:rPr>
          <w:color w:val="231F20"/>
          <w:spacing w:val="-5"/>
        </w:rPr>
        <w:t> </w:t>
      </w:r>
      <w:r>
        <w:rPr>
          <w:color w:val="231F20"/>
        </w:rPr>
        <w:t>and</w:t>
      </w:r>
      <w:r>
        <w:rPr>
          <w:color w:val="231F20"/>
          <w:spacing w:val="28"/>
          <w:w w:val="99"/>
        </w:rPr>
        <w:t> </w:t>
      </w:r>
      <w:r>
        <w:rPr>
          <w:color w:val="231F20"/>
          <w:spacing w:val="-1"/>
        </w:rPr>
        <w:t>169</w:t>
      </w:r>
      <w:r>
        <w:rPr>
          <w:color w:val="231F20"/>
          <w:spacing w:val="-7"/>
        </w:rPr>
        <w:t> </w:t>
      </w:r>
      <w:r>
        <w:rPr>
          <w:color w:val="231F20"/>
        </w:rPr>
        <w:t>board</w:t>
      </w:r>
      <w:r>
        <w:rPr>
          <w:color w:val="231F20"/>
          <w:spacing w:val="-7"/>
        </w:rPr>
        <w:t> </w:t>
      </w:r>
      <w:r>
        <w:rPr>
          <w:color w:val="231F20"/>
          <w:spacing w:val="-1"/>
        </w:rPr>
        <w:t>interstate.</w:t>
      </w:r>
      <w:r>
        <w:rPr/>
      </w:r>
    </w:p>
    <w:p>
      <w:pPr>
        <w:pStyle w:val="BodyText"/>
        <w:spacing w:line="250" w:lineRule="exact" w:before="113"/>
        <w:ind w:right="87"/>
        <w:jc w:val="left"/>
        <w:rPr>
          <w:rFonts w:ascii="Segoe UI" w:hAnsi="Segoe UI" w:cs="Segoe UI" w:eastAsia="Segoe UI"/>
        </w:rPr>
      </w:pPr>
      <w:r>
        <w:rPr>
          <w:color w:val="231F20"/>
        </w:rPr>
        <w:t>A</w:t>
      </w:r>
      <w:r>
        <w:rPr>
          <w:color w:val="231F20"/>
          <w:spacing w:val="-3"/>
        </w:rPr>
        <w:t> </w:t>
      </w:r>
      <w:r>
        <w:rPr>
          <w:color w:val="231F20"/>
          <w:spacing w:val="-1"/>
        </w:rPr>
        <w:t>major</w:t>
      </w:r>
      <w:r>
        <w:rPr>
          <w:color w:val="231F20"/>
          <w:spacing w:val="-2"/>
        </w:rPr>
        <w:t> </w:t>
      </w:r>
      <w:r>
        <w:rPr>
          <w:color w:val="231F20"/>
        </w:rPr>
        <w:t>part</w:t>
      </w:r>
      <w:r>
        <w:rPr>
          <w:color w:val="231F20"/>
          <w:spacing w:val="-3"/>
        </w:rPr>
        <w:t> </w:t>
      </w:r>
      <w:r>
        <w:rPr>
          <w:color w:val="231F20"/>
        </w:rPr>
        <w:t>of</w:t>
      </w:r>
      <w:r>
        <w:rPr>
          <w:color w:val="231F20"/>
          <w:spacing w:val="-2"/>
        </w:rPr>
        <w:t> </w:t>
      </w:r>
      <w:r>
        <w:rPr>
          <w:color w:val="231F20"/>
        </w:rPr>
        <w:t>the</w:t>
      </w:r>
      <w:r>
        <w:rPr>
          <w:color w:val="231F20"/>
          <w:spacing w:val="-3"/>
        </w:rPr>
        <w:t> </w:t>
      </w:r>
      <w:r>
        <w:rPr>
          <w:color w:val="231F20"/>
        </w:rPr>
        <w:t>work</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spacing w:val="-2"/>
        </w:rPr>
        <w:t>TSU </w:t>
      </w:r>
      <w:r>
        <w:rPr>
          <w:color w:val="231F20"/>
          <w:spacing w:val="-1"/>
        </w:rPr>
        <w:t>is</w:t>
      </w:r>
      <w:r>
        <w:rPr>
          <w:color w:val="231F20"/>
          <w:spacing w:val="-4"/>
        </w:rPr>
        <w:t> </w:t>
      </w:r>
      <w:r>
        <w:rPr>
          <w:color w:val="231F20"/>
        </w:rPr>
        <w:t>assisting</w:t>
      </w:r>
      <w:r>
        <w:rPr>
          <w:color w:val="231F20"/>
          <w:spacing w:val="23"/>
        </w:rPr>
        <w:t> </w:t>
      </w:r>
      <w:r>
        <w:rPr>
          <w:color w:val="231F20"/>
          <w:spacing w:val="-1"/>
        </w:rPr>
        <w:t>students,</w:t>
      </w:r>
      <w:r>
        <w:rPr>
          <w:color w:val="231F20"/>
          <w:spacing w:val="-5"/>
        </w:rPr>
        <w:t> </w:t>
      </w:r>
      <w:r>
        <w:rPr>
          <w:color w:val="231F20"/>
        </w:rPr>
        <w:t>parents</w:t>
      </w:r>
      <w:r>
        <w:rPr>
          <w:color w:val="231F20"/>
          <w:spacing w:val="-7"/>
        </w:rPr>
        <w:t> </w:t>
      </w:r>
      <w:r>
        <w:rPr>
          <w:color w:val="231F20"/>
        </w:rPr>
        <w:t>and</w:t>
      </w:r>
      <w:r>
        <w:rPr>
          <w:color w:val="231F20"/>
          <w:spacing w:val="-6"/>
        </w:rPr>
        <w:t> </w:t>
      </w:r>
      <w:r>
        <w:rPr>
          <w:color w:val="231F20"/>
        </w:rPr>
        <w:t>careers</w:t>
      </w:r>
      <w:r>
        <w:rPr>
          <w:color w:val="231F20"/>
          <w:spacing w:val="-7"/>
        </w:rPr>
        <w:t> </w:t>
      </w:r>
      <w:r>
        <w:rPr>
          <w:color w:val="231F20"/>
        </w:rPr>
        <w:t>with</w:t>
      </w:r>
      <w:r>
        <w:rPr>
          <w:color w:val="231F20"/>
          <w:spacing w:val="-6"/>
        </w:rPr>
        <w:t> </w:t>
      </w:r>
      <w:r>
        <w:rPr>
          <w:color w:val="231F20"/>
        </w:rPr>
        <w:t>ABSTUDY</w:t>
      </w:r>
      <w:r>
        <w:rPr>
          <w:color w:val="231F20"/>
          <w:spacing w:val="22"/>
        </w:rPr>
        <w:t> </w:t>
      </w:r>
      <w:r>
        <w:rPr>
          <w:color w:val="231F20"/>
        </w:rPr>
        <w:t>administration</w:t>
      </w:r>
      <w:r>
        <w:rPr>
          <w:color w:val="231F20"/>
          <w:spacing w:val="-12"/>
        </w:rPr>
        <w:t> </w:t>
      </w:r>
      <w:r>
        <w:rPr>
          <w:color w:val="231F20"/>
        </w:rPr>
        <w:t>and</w:t>
      </w:r>
      <w:r>
        <w:rPr>
          <w:color w:val="231F20"/>
          <w:spacing w:val="-10"/>
        </w:rPr>
        <w:t> </w:t>
      </w:r>
      <w:r>
        <w:rPr>
          <w:color w:val="231F20"/>
        </w:rPr>
        <w:t>travel</w:t>
      </w:r>
      <w:r>
        <w:rPr>
          <w:color w:val="231F20"/>
          <w:spacing w:val="-10"/>
        </w:rPr>
        <w:t> </w:t>
      </w:r>
      <w:r>
        <w:rPr>
          <w:color w:val="231F20"/>
        </w:rPr>
        <w:t>arrangements.</w:t>
      </w:r>
      <w:r>
        <w:rPr>
          <w:color w:val="231F20"/>
          <w:spacing w:val="-10"/>
        </w:rPr>
        <w:t> </w:t>
      </w:r>
      <w:r>
        <w:rPr>
          <w:color w:val="231F20"/>
        </w:rPr>
        <w:t>The</w:t>
      </w:r>
      <w:r>
        <w:rPr>
          <w:color w:val="231F20"/>
          <w:w w:val="99"/>
        </w:rPr>
        <w:t> </w:t>
      </w:r>
      <w:r>
        <w:rPr>
          <w:color w:val="231F20"/>
          <w:spacing w:val="-2"/>
        </w:rPr>
        <w:t>TSU</w:t>
      </w:r>
      <w:r>
        <w:rPr>
          <w:color w:val="231F20"/>
          <w:spacing w:val="-5"/>
        </w:rPr>
        <w:t> </w:t>
      </w:r>
      <w:r>
        <w:rPr>
          <w:color w:val="231F20"/>
        </w:rPr>
        <w:t>estimate</w:t>
      </w:r>
      <w:r>
        <w:rPr>
          <w:color w:val="231F20"/>
          <w:spacing w:val="-6"/>
        </w:rPr>
        <w:t> </w:t>
      </w:r>
      <w:r>
        <w:rPr>
          <w:color w:val="231F20"/>
        </w:rPr>
        <w:t>this</w:t>
      </w:r>
      <w:r>
        <w:rPr>
          <w:color w:val="231F20"/>
          <w:spacing w:val="-6"/>
        </w:rPr>
        <w:t> </w:t>
      </w:r>
      <w:r>
        <w:rPr>
          <w:color w:val="231F20"/>
        </w:rPr>
        <w:t>accounts</w:t>
      </w:r>
      <w:r>
        <w:rPr>
          <w:color w:val="231F20"/>
          <w:spacing w:val="-6"/>
        </w:rPr>
        <w:t> </w:t>
      </w:r>
      <w:r>
        <w:rPr>
          <w:color w:val="231F20"/>
        </w:rPr>
        <w:t>for</w:t>
      </w:r>
      <w:r>
        <w:rPr>
          <w:color w:val="231F20"/>
          <w:spacing w:val="-4"/>
        </w:rPr>
        <w:t> </w:t>
      </w:r>
      <w:r>
        <w:rPr>
          <w:color w:val="231F20"/>
        </w:rPr>
        <w:t>approximately</w:t>
      </w:r>
      <w:r>
        <w:rPr>
          <w:color w:val="231F20"/>
          <w:spacing w:val="21"/>
          <w:w w:val="99"/>
        </w:rPr>
        <w:t> </w:t>
      </w:r>
      <w:r>
        <w:rPr>
          <w:rFonts w:ascii="Segoe UI"/>
          <w:color w:val="231F20"/>
        </w:rPr>
        <w:t>30</w:t>
      </w:r>
      <w:r>
        <w:rPr>
          <w:rFonts w:ascii="Segoe UI"/>
          <w:color w:val="231F20"/>
          <w:spacing w:val="-1"/>
        </w:rPr>
        <w:t> </w:t>
      </w:r>
      <w:r>
        <w:rPr>
          <w:rFonts w:ascii="Segoe UI"/>
          <w:color w:val="231F20"/>
        </w:rPr>
        <w:t>per</w:t>
      </w:r>
      <w:r>
        <w:rPr>
          <w:rFonts w:ascii="Segoe UI"/>
          <w:color w:val="231F20"/>
          <w:spacing w:val="-1"/>
        </w:rPr>
        <w:t> </w:t>
      </w:r>
      <w:r>
        <w:rPr>
          <w:rFonts w:ascii="Segoe UI"/>
          <w:color w:val="231F20"/>
        </w:rPr>
        <w:t>cent of</w:t>
      </w:r>
      <w:r>
        <w:rPr>
          <w:rFonts w:ascii="Segoe UI"/>
          <w:color w:val="231F20"/>
          <w:spacing w:val="-1"/>
        </w:rPr>
        <w:t> </w:t>
      </w:r>
      <w:r>
        <w:rPr>
          <w:rFonts w:ascii="Segoe UI"/>
          <w:color w:val="231F20"/>
        </w:rPr>
        <w:t>the time</w:t>
      </w:r>
      <w:r>
        <w:rPr>
          <w:rFonts w:ascii="Segoe UI"/>
          <w:color w:val="231F20"/>
          <w:spacing w:val="-1"/>
        </w:rPr>
        <w:t> </w:t>
      </w:r>
      <w:r>
        <w:rPr>
          <w:rFonts w:ascii="Segoe UI"/>
          <w:color w:val="231F20"/>
        </w:rPr>
        <w:t>of </w:t>
      </w:r>
      <w:r>
        <w:rPr>
          <w:rFonts w:ascii="Segoe UI"/>
          <w:color w:val="231F20"/>
          <w:spacing w:val="-2"/>
        </w:rPr>
        <w:t>TSU</w:t>
      </w:r>
      <w:r>
        <w:rPr>
          <w:rFonts w:ascii="Segoe UI"/>
          <w:color w:val="231F20"/>
          <w:spacing w:val="-1"/>
        </w:rPr>
        <w:t> </w:t>
      </w:r>
      <w:r>
        <w:rPr>
          <w:rFonts w:ascii="Segoe UI"/>
          <w:color w:val="231F20"/>
        </w:rPr>
        <w:t>staff.</w:t>
      </w:r>
      <w:r>
        <w:rPr>
          <w:rFonts w:ascii="Segoe UI"/>
        </w:rPr>
      </w:r>
    </w:p>
    <w:p>
      <w:pPr>
        <w:pStyle w:val="BodyText"/>
        <w:spacing w:line="250" w:lineRule="exact" w:before="113"/>
        <w:ind w:right="0"/>
        <w:jc w:val="left"/>
      </w:pPr>
      <w:r>
        <w:rPr>
          <w:color w:val="231F20"/>
        </w:rPr>
        <w:t>The</w:t>
      </w:r>
      <w:r>
        <w:rPr>
          <w:color w:val="231F20"/>
          <w:spacing w:val="-4"/>
        </w:rPr>
        <w:t> </w:t>
      </w:r>
      <w:r>
        <w:rPr>
          <w:color w:val="231F20"/>
          <w:spacing w:val="-2"/>
        </w:rPr>
        <w:t>TSU</w:t>
      </w:r>
      <w:r>
        <w:rPr>
          <w:color w:val="231F20"/>
          <w:spacing w:val="-4"/>
        </w:rPr>
        <w:t> </w:t>
      </w:r>
      <w:r>
        <w:rPr>
          <w:color w:val="231F20"/>
        </w:rPr>
        <w:t>has</w:t>
      </w:r>
      <w:r>
        <w:rPr>
          <w:color w:val="231F20"/>
          <w:spacing w:val="-5"/>
        </w:rPr>
        <w:t> </w:t>
      </w:r>
      <w:r>
        <w:rPr>
          <w:color w:val="231F20"/>
        </w:rPr>
        <w:t>a</w:t>
      </w:r>
      <w:r>
        <w:rPr>
          <w:color w:val="231F20"/>
          <w:spacing w:val="-4"/>
        </w:rPr>
        <w:t> </w:t>
      </w:r>
      <w:r>
        <w:rPr>
          <w:color w:val="231F20"/>
        </w:rPr>
        <w:t>number</w:t>
      </w:r>
      <w:r>
        <w:rPr>
          <w:color w:val="231F20"/>
          <w:spacing w:val="-5"/>
        </w:rPr>
        <w:t> </w:t>
      </w:r>
      <w:r>
        <w:rPr>
          <w:color w:val="231F20"/>
        </w:rPr>
        <w:t>of</w:t>
      </w:r>
      <w:r>
        <w:rPr>
          <w:color w:val="231F20"/>
          <w:spacing w:val="-4"/>
        </w:rPr>
        <w:t> </w:t>
      </w:r>
      <w:r>
        <w:rPr>
          <w:color w:val="231F20"/>
        </w:rPr>
        <w:t>programs</w:t>
      </w:r>
      <w:r>
        <w:rPr>
          <w:color w:val="231F20"/>
          <w:spacing w:val="-5"/>
        </w:rPr>
        <w:t> </w:t>
      </w:r>
      <w:r>
        <w:rPr>
          <w:color w:val="231F20"/>
        </w:rPr>
        <w:t>to</w:t>
      </w:r>
      <w:r>
        <w:rPr>
          <w:color w:val="231F20"/>
          <w:spacing w:val="-4"/>
        </w:rPr>
        <w:t> </w:t>
      </w:r>
      <w:r>
        <w:rPr>
          <w:color w:val="231F20"/>
          <w:spacing w:val="-1"/>
        </w:rPr>
        <w:t>support</w:t>
      </w:r>
      <w:r>
        <w:rPr>
          <w:color w:val="231F20"/>
          <w:spacing w:val="21"/>
          <w:w w:val="99"/>
        </w:rPr>
        <w:t> </w:t>
      </w:r>
      <w:r>
        <w:rPr>
          <w:color w:val="231F20"/>
        </w:rPr>
        <w:t>Aboriginal</w:t>
      </w:r>
      <w:r>
        <w:rPr>
          <w:color w:val="231F20"/>
          <w:spacing w:val="-5"/>
        </w:rPr>
        <w:t> </w:t>
      </w:r>
      <w:r>
        <w:rPr>
          <w:color w:val="231F20"/>
          <w:spacing w:val="-1"/>
        </w:rPr>
        <w:t>students</w:t>
      </w:r>
      <w:r>
        <w:rPr>
          <w:color w:val="231F20"/>
          <w:spacing w:val="-5"/>
        </w:rPr>
        <w:t> </w:t>
      </w:r>
      <w:r>
        <w:rPr>
          <w:color w:val="231F20"/>
          <w:spacing w:val="-1"/>
        </w:rPr>
        <w:t>in</w:t>
      </w:r>
      <w:r>
        <w:rPr>
          <w:color w:val="231F20"/>
          <w:spacing w:val="-5"/>
        </w:rPr>
        <w:t> </w:t>
      </w:r>
      <w:r>
        <w:rPr>
          <w:color w:val="231F20"/>
        </w:rPr>
        <w:t>the</w:t>
      </w:r>
      <w:r>
        <w:rPr>
          <w:color w:val="231F20"/>
          <w:spacing w:val="-6"/>
        </w:rPr>
        <w:t> </w:t>
      </w:r>
      <w:r>
        <w:rPr>
          <w:color w:val="231F20"/>
        </w:rPr>
        <w:t>Northern</w:t>
      </w:r>
      <w:r>
        <w:rPr>
          <w:color w:val="231F20"/>
          <w:spacing w:val="-5"/>
        </w:rPr>
        <w:t> </w:t>
      </w:r>
      <w:r>
        <w:rPr>
          <w:color w:val="231F20"/>
          <w:spacing w:val="-3"/>
        </w:rPr>
        <w:t>Territory</w:t>
      </w:r>
      <w:r>
        <w:rPr>
          <w:color w:val="231F20"/>
          <w:spacing w:val="-5"/>
        </w:rPr>
        <w:t> </w:t>
      </w:r>
      <w:r>
        <w:rPr>
          <w:color w:val="231F20"/>
        </w:rPr>
        <w:t>to</w:t>
      </w:r>
      <w:r>
        <w:rPr>
          <w:color w:val="231F20"/>
          <w:spacing w:val="30"/>
          <w:w w:val="99"/>
        </w:rPr>
        <w:t> </w:t>
      </w:r>
      <w:r>
        <w:rPr>
          <w:color w:val="231F20"/>
        </w:rPr>
        <w:t>transition</w:t>
      </w:r>
      <w:r>
        <w:rPr>
          <w:color w:val="231F20"/>
          <w:spacing w:val="-8"/>
        </w:rPr>
        <w:t> </w:t>
      </w:r>
      <w:r>
        <w:rPr>
          <w:color w:val="231F20"/>
        </w:rPr>
        <w:t>to</w:t>
      </w:r>
      <w:r>
        <w:rPr>
          <w:color w:val="231F20"/>
          <w:spacing w:val="-6"/>
        </w:rPr>
        <w:t> </w:t>
      </w:r>
      <w:r>
        <w:rPr>
          <w:color w:val="231F20"/>
        </w:rPr>
        <w:t>boarding,</w:t>
      </w:r>
      <w:r>
        <w:rPr>
          <w:color w:val="231F20"/>
          <w:spacing w:val="-7"/>
        </w:rPr>
        <w:t> </w:t>
      </w:r>
      <w:r>
        <w:rPr>
          <w:color w:val="231F20"/>
        </w:rPr>
        <w:t>enrol</w:t>
      </w:r>
      <w:r>
        <w:rPr>
          <w:color w:val="231F20"/>
          <w:spacing w:val="-6"/>
        </w:rPr>
        <w:t> </w:t>
      </w:r>
      <w:r>
        <w:rPr>
          <w:color w:val="231F20"/>
          <w:spacing w:val="-1"/>
        </w:rPr>
        <w:t>in</w:t>
      </w:r>
      <w:r>
        <w:rPr>
          <w:color w:val="231F20"/>
          <w:spacing w:val="-7"/>
        </w:rPr>
        <w:t> </w:t>
      </w:r>
      <w:r>
        <w:rPr>
          <w:color w:val="231F20"/>
        </w:rPr>
        <w:t>boarding,</w:t>
      </w:r>
      <w:r>
        <w:rPr>
          <w:color w:val="231F20"/>
          <w:spacing w:val="-7"/>
        </w:rPr>
        <w:t> </w:t>
      </w:r>
      <w:r>
        <w:rPr>
          <w:color w:val="231F20"/>
        </w:rPr>
        <w:t>attend</w:t>
      </w:r>
      <w:r>
        <w:rPr>
          <w:color w:val="231F20"/>
          <w:spacing w:val="21"/>
          <w:w w:val="99"/>
        </w:rPr>
        <w:t> </w:t>
      </w:r>
      <w:r>
        <w:rPr>
          <w:color w:val="231F20"/>
        </w:rPr>
        <w:t>boarding</w:t>
      </w:r>
      <w:r>
        <w:rPr>
          <w:color w:val="231F20"/>
          <w:spacing w:val="-8"/>
        </w:rPr>
        <w:t> </w:t>
      </w:r>
      <w:r>
        <w:rPr>
          <w:color w:val="231F20"/>
        </w:rPr>
        <w:t>and</w:t>
      </w:r>
      <w:r>
        <w:rPr>
          <w:color w:val="231F20"/>
          <w:spacing w:val="-7"/>
        </w:rPr>
        <w:t> </w:t>
      </w:r>
      <w:r>
        <w:rPr>
          <w:color w:val="231F20"/>
        </w:rPr>
        <w:t>remain</w:t>
      </w:r>
      <w:r>
        <w:rPr>
          <w:color w:val="231F20"/>
          <w:spacing w:val="-8"/>
        </w:rPr>
        <w:t> </w:t>
      </w:r>
      <w:r>
        <w:rPr>
          <w:color w:val="231F20"/>
          <w:spacing w:val="-1"/>
        </w:rPr>
        <w:t>in</w:t>
      </w:r>
      <w:r>
        <w:rPr>
          <w:color w:val="231F20"/>
          <w:spacing w:val="-6"/>
        </w:rPr>
        <w:t> </w:t>
      </w:r>
      <w:r>
        <w:rPr>
          <w:color w:val="231F20"/>
        </w:rPr>
        <w:t>boarding:</w:t>
      </w:r>
      <w:r>
        <w:rPr/>
      </w:r>
    </w:p>
    <w:p>
      <w:pPr>
        <w:pStyle w:val="BodyText"/>
        <w:spacing w:line="250" w:lineRule="exact" w:before="113"/>
        <w:ind w:right="87"/>
        <w:jc w:val="left"/>
      </w:pPr>
      <w:r>
        <w:rPr>
          <w:rFonts w:ascii="Segoe UI" w:hAnsi="Segoe UI" w:cs="Segoe UI" w:eastAsia="Segoe UI"/>
          <w:b/>
          <w:bCs/>
          <w:color w:val="231F20"/>
          <w:spacing w:val="-2"/>
        </w:rPr>
        <w:t>Transition </w:t>
      </w:r>
      <w:r>
        <w:rPr>
          <w:rFonts w:ascii="Segoe UI" w:hAnsi="Segoe UI" w:cs="Segoe UI" w:eastAsia="Segoe UI"/>
          <w:b/>
          <w:bCs/>
          <w:color w:val="231F20"/>
          <w:spacing w:val="-1"/>
        </w:rPr>
        <w:t>planning</w:t>
      </w:r>
      <w:r>
        <w:rPr>
          <w:rFonts w:ascii="Segoe UI" w:hAnsi="Segoe UI" w:cs="Segoe UI" w:eastAsia="Segoe UI"/>
          <w:color w:val="231F20"/>
          <w:spacing w:val="-1"/>
        </w:rPr>
        <w:t>—The</w:t>
      </w:r>
      <w:r>
        <w:rPr>
          <w:rFonts w:ascii="Segoe UI" w:hAnsi="Segoe UI" w:cs="Segoe UI" w:eastAsia="Segoe UI"/>
          <w:color w:val="231F20"/>
        </w:rPr>
        <w:t> </w:t>
      </w:r>
      <w:r>
        <w:rPr>
          <w:rFonts w:ascii="Segoe UI" w:hAnsi="Segoe UI" w:cs="Segoe UI" w:eastAsia="Segoe UI"/>
          <w:color w:val="231F20"/>
          <w:spacing w:val="-2"/>
        </w:rPr>
        <w:t>TSU</w:t>
      </w:r>
      <w:r>
        <w:rPr>
          <w:rFonts w:ascii="Segoe UI" w:hAnsi="Segoe UI" w:cs="Segoe UI" w:eastAsia="Segoe UI"/>
          <w:color w:val="231F20"/>
          <w:spacing w:val="-1"/>
        </w:rPr>
        <w:t> </w:t>
      </w:r>
      <w:r>
        <w:rPr>
          <w:rFonts w:ascii="Segoe UI" w:hAnsi="Segoe UI" w:cs="Segoe UI" w:eastAsia="Segoe UI"/>
          <w:color w:val="231F20"/>
        </w:rPr>
        <w:t>identifies</w:t>
      </w:r>
      <w:r>
        <w:rPr>
          <w:rFonts w:ascii="Segoe UI" w:hAnsi="Segoe UI" w:cs="Segoe UI" w:eastAsia="Segoe UI"/>
          <w:color w:val="231F20"/>
          <w:spacing w:val="23"/>
        </w:rPr>
        <w:t> </w:t>
      </w:r>
      <w:r>
        <w:rPr>
          <w:color w:val="231F20"/>
        </w:rPr>
        <w:t>remote</w:t>
      </w:r>
      <w:r>
        <w:rPr>
          <w:color w:val="231F20"/>
          <w:spacing w:val="-4"/>
        </w:rPr>
        <w:t> </w:t>
      </w:r>
      <w:r>
        <w:rPr>
          <w:color w:val="231F20"/>
          <w:spacing w:val="-1"/>
        </w:rPr>
        <w:t>students</w:t>
      </w:r>
      <w:r>
        <w:rPr>
          <w:color w:val="231F20"/>
          <w:spacing w:val="-3"/>
        </w:rPr>
        <w:t> </w:t>
      </w:r>
      <w:r>
        <w:rPr>
          <w:color w:val="231F20"/>
          <w:spacing w:val="-1"/>
        </w:rPr>
        <w:t>in</w:t>
      </w:r>
      <w:r>
        <w:rPr>
          <w:color w:val="231F20"/>
          <w:spacing w:val="-3"/>
        </w:rPr>
        <w:t> </w:t>
      </w:r>
      <w:r>
        <w:rPr>
          <w:color w:val="231F20"/>
        </w:rPr>
        <w:t>year</w:t>
      </w:r>
      <w:r>
        <w:rPr>
          <w:color w:val="231F20"/>
          <w:spacing w:val="-3"/>
        </w:rPr>
        <w:t> </w:t>
      </w:r>
      <w:r>
        <w:rPr>
          <w:color w:val="231F20"/>
        </w:rPr>
        <w:t>6</w:t>
      </w:r>
      <w:r>
        <w:rPr>
          <w:color w:val="231F20"/>
          <w:spacing w:val="-3"/>
        </w:rPr>
        <w:t> </w:t>
      </w:r>
      <w:r>
        <w:rPr>
          <w:color w:val="231F20"/>
        </w:rPr>
        <w:t>and</w:t>
      </w:r>
      <w:r>
        <w:rPr>
          <w:color w:val="231F20"/>
          <w:spacing w:val="-4"/>
        </w:rPr>
        <w:t> </w:t>
      </w:r>
      <w:r>
        <w:rPr>
          <w:color w:val="231F20"/>
        </w:rPr>
        <w:t>begins</w:t>
      </w:r>
      <w:r>
        <w:rPr>
          <w:color w:val="231F20"/>
          <w:spacing w:val="-4"/>
        </w:rPr>
        <w:t> </w:t>
      </w:r>
      <w:r>
        <w:rPr>
          <w:color w:val="231F20"/>
        </w:rPr>
        <w:t>working</w:t>
      </w:r>
      <w:r>
        <w:rPr>
          <w:color w:val="231F20"/>
          <w:spacing w:val="23"/>
          <w:w w:val="99"/>
        </w:rPr>
        <w:t> </w:t>
      </w:r>
      <w:r>
        <w:rPr>
          <w:color w:val="231F20"/>
        </w:rPr>
        <w:t>with</w:t>
      </w:r>
      <w:r>
        <w:rPr>
          <w:color w:val="231F20"/>
          <w:spacing w:val="-4"/>
        </w:rPr>
        <w:t> </w:t>
      </w:r>
      <w:r>
        <w:rPr>
          <w:color w:val="231F20"/>
        </w:rPr>
        <w:t>families</w:t>
      </w:r>
      <w:r>
        <w:rPr>
          <w:color w:val="231F20"/>
          <w:spacing w:val="-4"/>
        </w:rPr>
        <w:t> </w:t>
      </w:r>
      <w:r>
        <w:rPr>
          <w:color w:val="231F20"/>
        </w:rPr>
        <w:t>and</w:t>
      </w:r>
      <w:r>
        <w:rPr>
          <w:color w:val="231F20"/>
          <w:spacing w:val="-4"/>
        </w:rPr>
        <w:t> </w:t>
      </w:r>
      <w:r>
        <w:rPr>
          <w:color w:val="231F20"/>
          <w:spacing w:val="-1"/>
        </w:rPr>
        <w:t>students</w:t>
      </w:r>
      <w:r>
        <w:rPr>
          <w:color w:val="231F20"/>
          <w:spacing w:val="-3"/>
        </w:rPr>
        <w:t> </w:t>
      </w:r>
      <w:r>
        <w:rPr>
          <w:color w:val="231F20"/>
        </w:rPr>
        <w:t>prior</w:t>
      </w:r>
      <w:r>
        <w:rPr>
          <w:color w:val="231F20"/>
          <w:spacing w:val="-3"/>
        </w:rPr>
        <w:t> </w:t>
      </w:r>
      <w:r>
        <w:rPr>
          <w:color w:val="231F20"/>
        </w:rPr>
        <w:t>to</w:t>
      </w:r>
      <w:r>
        <w:rPr>
          <w:color w:val="231F20"/>
          <w:spacing w:val="-3"/>
        </w:rPr>
        <w:t> </w:t>
      </w:r>
      <w:r>
        <w:rPr>
          <w:color w:val="231F20"/>
        </w:rPr>
        <w:t>the</w:t>
      </w:r>
      <w:r>
        <w:rPr>
          <w:color w:val="231F20"/>
          <w:spacing w:val="-4"/>
        </w:rPr>
        <w:t> </w:t>
      </w:r>
      <w:r>
        <w:rPr>
          <w:color w:val="231F20"/>
        </w:rPr>
        <w:t>end</w:t>
      </w:r>
      <w:r>
        <w:rPr/>
      </w:r>
    </w:p>
    <w:p>
      <w:pPr>
        <w:pStyle w:val="BodyText"/>
        <w:spacing w:line="250" w:lineRule="exact"/>
        <w:ind w:right="0"/>
        <w:jc w:val="left"/>
      </w:pPr>
      <w:r>
        <w:rPr>
          <w:color w:val="231F20"/>
        </w:rPr>
        <w:t>of</w:t>
      </w:r>
      <w:r>
        <w:rPr>
          <w:color w:val="231F20"/>
          <w:spacing w:val="-6"/>
        </w:rPr>
        <w:t> </w:t>
      </w:r>
      <w:r>
        <w:rPr>
          <w:color w:val="231F20"/>
        </w:rPr>
        <w:t>primary</w:t>
      </w:r>
      <w:r>
        <w:rPr>
          <w:color w:val="231F20"/>
          <w:spacing w:val="-6"/>
        </w:rPr>
        <w:t> </w:t>
      </w:r>
      <w:r>
        <w:rPr>
          <w:color w:val="231F20"/>
          <w:spacing w:val="-1"/>
        </w:rPr>
        <w:t>schooling</w:t>
      </w:r>
      <w:r>
        <w:rPr>
          <w:color w:val="231F20"/>
          <w:spacing w:val="-5"/>
        </w:rPr>
        <w:t> </w:t>
      </w:r>
      <w:r>
        <w:rPr>
          <w:color w:val="231F20"/>
        </w:rPr>
        <w:t>to</w:t>
      </w:r>
      <w:r>
        <w:rPr>
          <w:color w:val="231F20"/>
          <w:spacing w:val="-5"/>
        </w:rPr>
        <w:t> </w:t>
      </w:r>
      <w:r>
        <w:rPr>
          <w:color w:val="231F20"/>
          <w:spacing w:val="-1"/>
        </w:rPr>
        <w:t>identify</w:t>
      </w:r>
      <w:r>
        <w:rPr>
          <w:color w:val="231F20"/>
          <w:spacing w:val="-5"/>
        </w:rPr>
        <w:t> </w:t>
      </w:r>
      <w:r>
        <w:rPr>
          <w:color w:val="231F20"/>
          <w:spacing w:val="-1"/>
        </w:rPr>
        <w:t>secondary</w:t>
      </w:r>
      <w:r>
        <w:rPr>
          <w:color w:val="231F20"/>
          <w:spacing w:val="22"/>
          <w:w w:val="99"/>
        </w:rPr>
        <w:t> </w:t>
      </w:r>
      <w:r>
        <w:rPr>
          <w:color w:val="231F20"/>
          <w:spacing w:val="-1"/>
        </w:rPr>
        <w:t>schooling</w:t>
      </w:r>
      <w:r>
        <w:rPr>
          <w:color w:val="231F20"/>
          <w:spacing w:val="-8"/>
        </w:rPr>
        <w:t> </w:t>
      </w:r>
      <w:r>
        <w:rPr>
          <w:color w:val="231F20"/>
        </w:rPr>
        <w:t>options,</w:t>
      </w:r>
      <w:r>
        <w:rPr>
          <w:color w:val="231F20"/>
          <w:spacing w:val="-9"/>
        </w:rPr>
        <w:t> </w:t>
      </w:r>
      <w:r>
        <w:rPr>
          <w:color w:val="231F20"/>
          <w:spacing w:val="-1"/>
        </w:rPr>
        <w:t>including</w:t>
      </w:r>
      <w:r>
        <w:rPr>
          <w:color w:val="231F20"/>
          <w:spacing w:val="-7"/>
        </w:rPr>
        <w:t> </w:t>
      </w:r>
      <w:r>
        <w:rPr>
          <w:color w:val="231F20"/>
        </w:rPr>
        <w:t>boarding</w:t>
      </w:r>
      <w:r>
        <w:rPr>
          <w:color w:val="231F20"/>
          <w:spacing w:val="-9"/>
        </w:rPr>
        <w:t> </w:t>
      </w:r>
      <w:r>
        <w:rPr>
          <w:color w:val="231F20"/>
        </w:rPr>
        <w:t>options.</w:t>
      </w:r>
      <w:r>
        <w:rPr>
          <w:color w:val="231F20"/>
          <w:spacing w:val="23"/>
          <w:w w:val="99"/>
        </w:rPr>
        <w:t> </w:t>
      </w:r>
      <w:r>
        <w:rPr>
          <w:color w:val="231F20"/>
          <w:spacing w:val="-2"/>
        </w:rPr>
        <w:t>Transition</w:t>
      </w:r>
      <w:r>
        <w:rPr>
          <w:color w:val="231F20"/>
          <w:spacing w:val="-8"/>
        </w:rPr>
        <w:t> </w:t>
      </w:r>
      <w:r>
        <w:rPr>
          <w:color w:val="231F20"/>
        </w:rPr>
        <w:t>planning</w:t>
      </w:r>
      <w:r>
        <w:rPr>
          <w:color w:val="231F20"/>
          <w:spacing w:val="-7"/>
        </w:rPr>
        <w:t> </w:t>
      </w:r>
      <w:r>
        <w:rPr>
          <w:color w:val="231F20"/>
        </w:rPr>
        <w:t>not</w:t>
      </w:r>
      <w:r>
        <w:rPr>
          <w:color w:val="231F20"/>
          <w:spacing w:val="-6"/>
        </w:rPr>
        <w:t> </w:t>
      </w:r>
      <w:r>
        <w:rPr>
          <w:color w:val="231F20"/>
        </w:rPr>
        <w:t>only</w:t>
      </w:r>
      <w:r>
        <w:rPr>
          <w:color w:val="231F20"/>
          <w:spacing w:val="-7"/>
        </w:rPr>
        <w:t> </w:t>
      </w:r>
      <w:r>
        <w:rPr>
          <w:color w:val="231F20"/>
        </w:rPr>
        <w:t>assists</w:t>
      </w:r>
      <w:r>
        <w:rPr>
          <w:color w:val="231F20"/>
          <w:spacing w:val="-7"/>
        </w:rPr>
        <w:t> </w:t>
      </w:r>
      <w:r>
        <w:rPr>
          <w:color w:val="231F20"/>
        </w:rPr>
        <w:t>primary</w:t>
      </w:r>
      <w:r>
        <w:rPr>
          <w:color w:val="231F20"/>
          <w:spacing w:val="22"/>
          <w:w w:val="99"/>
        </w:rPr>
        <w:t> </w:t>
      </w:r>
      <w:r>
        <w:rPr>
          <w:color w:val="231F20"/>
          <w:spacing w:val="-1"/>
        </w:rPr>
        <w:t>students</w:t>
      </w:r>
      <w:r>
        <w:rPr>
          <w:color w:val="231F20"/>
          <w:spacing w:val="-4"/>
        </w:rPr>
        <w:t> </w:t>
      </w:r>
      <w:r>
        <w:rPr>
          <w:color w:val="231F20"/>
        </w:rPr>
        <w:t>but</w:t>
      </w:r>
      <w:r>
        <w:rPr>
          <w:color w:val="231F20"/>
          <w:spacing w:val="-4"/>
        </w:rPr>
        <w:t> </w:t>
      </w:r>
      <w:r>
        <w:rPr>
          <w:color w:val="231F20"/>
        </w:rPr>
        <w:t>also</w:t>
      </w:r>
      <w:r>
        <w:rPr>
          <w:color w:val="231F20"/>
          <w:spacing w:val="-4"/>
        </w:rPr>
        <w:t> </w:t>
      </w:r>
      <w:r>
        <w:rPr>
          <w:color w:val="231F20"/>
          <w:spacing w:val="-1"/>
        </w:rPr>
        <w:t>secondary</w:t>
      </w:r>
      <w:r>
        <w:rPr>
          <w:color w:val="231F20"/>
          <w:spacing w:val="-3"/>
        </w:rPr>
        <w:t> </w:t>
      </w:r>
      <w:r>
        <w:rPr>
          <w:color w:val="231F20"/>
        </w:rPr>
        <w:t>aged</w:t>
      </w:r>
      <w:r>
        <w:rPr>
          <w:color w:val="231F20"/>
          <w:spacing w:val="-4"/>
        </w:rPr>
        <w:t> </w:t>
      </w:r>
      <w:r>
        <w:rPr>
          <w:color w:val="231F20"/>
          <w:spacing w:val="-1"/>
        </w:rPr>
        <w:t>students</w:t>
      </w:r>
      <w:r>
        <w:rPr>
          <w:color w:val="231F20"/>
          <w:spacing w:val="-3"/>
        </w:rPr>
        <w:t> </w:t>
      </w:r>
      <w:r>
        <w:rPr>
          <w:color w:val="231F20"/>
        </w:rPr>
        <w:t>that</w:t>
      </w:r>
      <w:r>
        <w:rPr>
          <w:color w:val="231F20"/>
          <w:spacing w:val="24"/>
          <w:w w:val="99"/>
        </w:rPr>
        <w:t> </w:t>
      </w:r>
      <w:r>
        <w:rPr>
          <w:rFonts w:ascii="Segoe UI"/>
          <w:color w:val="231F20"/>
        </w:rPr>
        <w:t>are considering boarding for the first time or</w:t>
      </w:r>
      <w:r>
        <w:rPr>
          <w:rFonts w:ascii="Segoe UI"/>
          <w:color w:val="231F20"/>
        </w:rPr>
        <w:t> </w:t>
      </w:r>
      <w:r>
        <w:rPr>
          <w:color w:val="231F20"/>
        </w:rPr>
        <w:t>have</w:t>
      </w:r>
      <w:r>
        <w:rPr>
          <w:color w:val="231F20"/>
          <w:spacing w:val="-7"/>
        </w:rPr>
        <w:t> </w:t>
      </w:r>
      <w:r>
        <w:rPr>
          <w:color w:val="231F20"/>
        </w:rPr>
        <w:t>been</w:t>
      </w:r>
      <w:r>
        <w:rPr>
          <w:color w:val="231F20"/>
          <w:spacing w:val="-6"/>
        </w:rPr>
        <w:t> </w:t>
      </w:r>
      <w:r>
        <w:rPr>
          <w:color w:val="231F20"/>
        </w:rPr>
        <w:t>excluded</w:t>
      </w:r>
      <w:r>
        <w:rPr>
          <w:color w:val="231F20"/>
          <w:spacing w:val="-6"/>
        </w:rPr>
        <w:t> </w:t>
      </w:r>
      <w:r>
        <w:rPr>
          <w:color w:val="231F20"/>
        </w:rPr>
        <w:t>from</w:t>
      </w:r>
      <w:r>
        <w:rPr>
          <w:color w:val="231F20"/>
          <w:spacing w:val="-5"/>
        </w:rPr>
        <w:t> </w:t>
      </w:r>
      <w:r>
        <w:rPr>
          <w:color w:val="231F20"/>
        </w:rPr>
        <w:t>a</w:t>
      </w:r>
      <w:r>
        <w:rPr>
          <w:color w:val="231F20"/>
          <w:spacing w:val="-5"/>
        </w:rPr>
        <w:t> </w:t>
      </w:r>
      <w:r>
        <w:rPr>
          <w:color w:val="231F20"/>
          <w:spacing w:val="-1"/>
        </w:rPr>
        <w:t>secondary</w:t>
      </w:r>
      <w:r>
        <w:rPr>
          <w:color w:val="231F20"/>
          <w:spacing w:val="-4"/>
        </w:rPr>
        <w:t> </w:t>
      </w:r>
      <w:r>
        <w:rPr>
          <w:color w:val="231F20"/>
          <w:spacing w:val="-1"/>
        </w:rPr>
        <w:t>school</w:t>
      </w:r>
      <w:r>
        <w:rPr>
          <w:color w:val="231F20"/>
          <w:spacing w:val="21"/>
        </w:rPr>
        <w:t> </w:t>
      </w:r>
      <w:r>
        <w:rPr>
          <w:color w:val="231F20"/>
        </w:rPr>
        <w:t>and</w:t>
      </w:r>
      <w:r>
        <w:rPr>
          <w:color w:val="231F20"/>
          <w:spacing w:val="-5"/>
        </w:rPr>
        <w:t> </w:t>
      </w:r>
      <w:r>
        <w:rPr>
          <w:color w:val="231F20"/>
        </w:rPr>
        <w:t>are</w:t>
      </w:r>
      <w:r>
        <w:rPr>
          <w:color w:val="231F20"/>
          <w:spacing w:val="-5"/>
        </w:rPr>
        <w:t> </w:t>
      </w:r>
      <w:r>
        <w:rPr>
          <w:color w:val="231F20"/>
          <w:spacing w:val="-1"/>
        </w:rPr>
        <w:t>looking</w:t>
      </w:r>
      <w:r>
        <w:rPr>
          <w:color w:val="231F20"/>
          <w:spacing w:val="-4"/>
        </w:rPr>
        <w:t> </w:t>
      </w:r>
      <w:r>
        <w:rPr>
          <w:color w:val="231F20"/>
        </w:rPr>
        <w:t>at</w:t>
      </w:r>
      <w:r>
        <w:rPr>
          <w:color w:val="231F20"/>
          <w:spacing w:val="-4"/>
        </w:rPr>
        <w:t> </w:t>
      </w:r>
      <w:r>
        <w:rPr>
          <w:color w:val="231F20"/>
        </w:rPr>
        <w:t>other</w:t>
      </w:r>
      <w:r>
        <w:rPr>
          <w:color w:val="231F20"/>
          <w:spacing w:val="-4"/>
        </w:rPr>
        <w:t> </w:t>
      </w:r>
      <w:r>
        <w:rPr>
          <w:color w:val="231F20"/>
        </w:rPr>
        <w:t>options.</w:t>
      </w:r>
      <w:r>
        <w:rPr/>
      </w:r>
    </w:p>
    <w:p>
      <w:pPr>
        <w:pStyle w:val="BodyText"/>
        <w:spacing w:line="250" w:lineRule="exact" w:before="72"/>
        <w:ind w:right="36"/>
        <w:jc w:val="left"/>
      </w:pPr>
      <w:r>
        <w:rPr/>
        <w:br w:type="column"/>
      </w:r>
      <w:r>
        <w:rPr>
          <w:color w:val="231F20"/>
        </w:rPr>
        <w:t>The</w:t>
      </w:r>
      <w:r>
        <w:rPr>
          <w:color w:val="231F20"/>
          <w:spacing w:val="-3"/>
        </w:rPr>
        <w:t> </w:t>
      </w:r>
      <w:r>
        <w:rPr>
          <w:color w:val="231F20"/>
          <w:spacing w:val="-2"/>
        </w:rPr>
        <w:t>TSU </w:t>
      </w:r>
      <w:r>
        <w:rPr>
          <w:color w:val="231F20"/>
          <w:spacing w:val="-1"/>
        </w:rPr>
        <w:t>is</w:t>
      </w:r>
      <w:r>
        <w:rPr>
          <w:color w:val="231F20"/>
          <w:spacing w:val="-3"/>
        </w:rPr>
        <w:t> </w:t>
      </w:r>
      <w:r>
        <w:rPr>
          <w:color w:val="231F20"/>
        </w:rPr>
        <w:t>currently</w:t>
      </w:r>
      <w:r>
        <w:rPr>
          <w:color w:val="231F20"/>
          <w:spacing w:val="-3"/>
        </w:rPr>
        <w:t> </w:t>
      </w:r>
      <w:r>
        <w:rPr>
          <w:color w:val="231F20"/>
        </w:rPr>
        <w:t>examining</w:t>
      </w:r>
      <w:r>
        <w:rPr>
          <w:color w:val="231F20"/>
          <w:spacing w:val="-4"/>
        </w:rPr>
        <w:t> </w:t>
      </w:r>
      <w:r>
        <w:rPr>
          <w:color w:val="231F20"/>
        </w:rPr>
        <w:t>options</w:t>
      </w:r>
      <w:r>
        <w:rPr>
          <w:color w:val="231F20"/>
          <w:spacing w:val="-3"/>
        </w:rPr>
        <w:t> </w:t>
      </w:r>
      <w:r>
        <w:rPr>
          <w:color w:val="231F20"/>
        </w:rPr>
        <w:t>for</w:t>
      </w:r>
      <w:r>
        <w:rPr>
          <w:color w:val="231F20"/>
          <w:spacing w:val="-2"/>
        </w:rPr>
        <w:t> </w:t>
      </w:r>
      <w:r>
        <w:rPr>
          <w:color w:val="231F20"/>
          <w:spacing w:val="-3"/>
        </w:rPr>
        <w:t>TSU</w:t>
      </w:r>
      <w:r>
        <w:rPr>
          <w:color w:val="231F20"/>
          <w:spacing w:val="24"/>
        </w:rPr>
        <w:t> </w:t>
      </w:r>
      <w:r>
        <w:rPr>
          <w:rFonts w:ascii="Segoe UI"/>
          <w:color w:val="231F20"/>
        </w:rPr>
        <w:t>staff</w:t>
      </w:r>
      <w:r>
        <w:rPr>
          <w:rFonts w:ascii="Segoe UI"/>
          <w:color w:val="231F20"/>
          <w:spacing w:val="-1"/>
        </w:rPr>
        <w:t> </w:t>
      </w:r>
      <w:r>
        <w:rPr>
          <w:rFonts w:ascii="Segoe UI"/>
          <w:color w:val="231F20"/>
        </w:rPr>
        <w:t>or</w:t>
      </w:r>
      <w:r>
        <w:rPr>
          <w:rFonts w:ascii="Segoe UI"/>
          <w:color w:val="231F20"/>
          <w:spacing w:val="-1"/>
        </w:rPr>
        <w:t> </w:t>
      </w:r>
      <w:r>
        <w:rPr>
          <w:rFonts w:ascii="Segoe UI"/>
          <w:color w:val="231F20"/>
          <w:spacing w:val="-2"/>
        </w:rPr>
        <w:t>TSU</w:t>
      </w:r>
      <w:r>
        <w:rPr>
          <w:rFonts w:ascii="Segoe UI"/>
          <w:color w:val="231F20"/>
          <w:spacing w:val="-1"/>
        </w:rPr>
        <w:t> </w:t>
      </w:r>
      <w:r>
        <w:rPr>
          <w:rFonts w:ascii="Segoe UI"/>
          <w:color w:val="231F20"/>
        </w:rPr>
        <w:t>funded</w:t>
      </w:r>
      <w:r>
        <w:rPr>
          <w:rFonts w:ascii="Segoe UI"/>
          <w:color w:val="231F20"/>
          <w:spacing w:val="-1"/>
        </w:rPr>
        <w:t> </w:t>
      </w:r>
      <w:r>
        <w:rPr>
          <w:rFonts w:ascii="Segoe UI"/>
          <w:color w:val="231F20"/>
        </w:rPr>
        <w:t>school</w:t>
      </w:r>
      <w:r>
        <w:rPr>
          <w:rFonts w:ascii="Segoe UI"/>
          <w:color w:val="231F20"/>
          <w:spacing w:val="-1"/>
        </w:rPr>
        <w:t> </w:t>
      </w:r>
      <w:r>
        <w:rPr>
          <w:rFonts w:ascii="Segoe UI"/>
          <w:color w:val="231F20"/>
        </w:rPr>
        <w:t>staff</w:t>
      </w:r>
      <w:r>
        <w:rPr>
          <w:rFonts w:ascii="Segoe UI"/>
          <w:color w:val="231F20"/>
          <w:spacing w:val="-1"/>
        </w:rPr>
        <w:t> </w:t>
      </w:r>
      <w:r>
        <w:rPr>
          <w:rFonts w:ascii="Segoe UI"/>
          <w:color w:val="231F20"/>
        </w:rPr>
        <w:t>to be</w:t>
      </w:r>
      <w:r>
        <w:rPr>
          <w:rFonts w:ascii="Segoe UI"/>
          <w:color w:val="231F20"/>
          <w:spacing w:val="-1"/>
        </w:rPr>
        <w:t> </w:t>
      </w:r>
      <w:r>
        <w:rPr>
          <w:rFonts w:ascii="Segoe UI"/>
          <w:color w:val="231F20"/>
        </w:rPr>
        <w:t>based</w:t>
      </w:r>
      <w:r>
        <w:rPr>
          <w:rFonts w:ascii="Segoe UI"/>
          <w:color w:val="231F20"/>
          <w:spacing w:val="-1"/>
        </w:rPr>
        <w:t> </w:t>
      </w:r>
      <w:r>
        <w:rPr>
          <w:rFonts w:ascii="Segoe UI"/>
          <w:color w:val="231F20"/>
        </w:rPr>
        <w:t>in</w:t>
      </w:r>
      <w:r>
        <w:rPr>
          <w:rFonts w:ascii="Segoe UI"/>
          <w:color w:val="231F20"/>
          <w:spacing w:val="21"/>
        </w:rPr>
        <w:t> </w:t>
      </w:r>
      <w:r>
        <w:rPr>
          <w:color w:val="231F20"/>
        </w:rPr>
        <w:t>remote</w:t>
      </w:r>
      <w:r>
        <w:rPr>
          <w:color w:val="231F20"/>
          <w:spacing w:val="-4"/>
        </w:rPr>
        <w:t> </w:t>
      </w:r>
      <w:r>
        <w:rPr>
          <w:color w:val="231F20"/>
        </w:rPr>
        <w:t>community</w:t>
      </w:r>
      <w:r>
        <w:rPr>
          <w:color w:val="231F20"/>
          <w:spacing w:val="-3"/>
        </w:rPr>
        <w:t> </w:t>
      </w:r>
      <w:r>
        <w:rPr>
          <w:color w:val="231F20"/>
          <w:spacing w:val="-1"/>
        </w:rPr>
        <w:t>schools</w:t>
      </w:r>
      <w:r>
        <w:rPr>
          <w:color w:val="231F20"/>
          <w:spacing w:val="-2"/>
        </w:rPr>
        <w:t> </w:t>
      </w:r>
      <w:r>
        <w:rPr>
          <w:color w:val="231F20"/>
        </w:rPr>
        <w:t>to</w:t>
      </w:r>
      <w:r>
        <w:rPr>
          <w:color w:val="231F20"/>
          <w:spacing w:val="-3"/>
        </w:rPr>
        <w:t> </w:t>
      </w:r>
      <w:r>
        <w:rPr>
          <w:color w:val="231F20"/>
        </w:rPr>
        <w:t>better</w:t>
      </w:r>
      <w:r>
        <w:rPr>
          <w:color w:val="231F20"/>
          <w:spacing w:val="-3"/>
        </w:rPr>
        <w:t> </w:t>
      </w:r>
      <w:r>
        <w:rPr>
          <w:color w:val="231F20"/>
        </w:rPr>
        <w:t>assist</w:t>
      </w:r>
      <w:r>
        <w:rPr>
          <w:color w:val="231F20"/>
          <w:spacing w:val="-3"/>
        </w:rPr>
        <w:t> </w:t>
      </w:r>
      <w:r>
        <w:rPr>
          <w:color w:val="231F20"/>
          <w:spacing w:val="-1"/>
        </w:rPr>
        <w:t>in</w:t>
      </w:r>
      <w:r>
        <w:rPr>
          <w:color w:val="231F20"/>
          <w:spacing w:val="21"/>
        </w:rPr>
        <w:t> </w:t>
      </w:r>
      <w:r>
        <w:rPr>
          <w:color w:val="231F20"/>
        </w:rPr>
        <w:t>preparing</w:t>
      </w:r>
      <w:r>
        <w:rPr>
          <w:color w:val="231F20"/>
          <w:spacing w:val="-8"/>
        </w:rPr>
        <w:t> </w:t>
      </w:r>
      <w:r>
        <w:rPr>
          <w:color w:val="231F20"/>
          <w:spacing w:val="-1"/>
        </w:rPr>
        <w:t>students</w:t>
      </w:r>
      <w:r>
        <w:rPr>
          <w:color w:val="231F20"/>
          <w:spacing w:val="-6"/>
        </w:rPr>
        <w:t> </w:t>
      </w:r>
      <w:r>
        <w:rPr>
          <w:color w:val="231F20"/>
        </w:rPr>
        <w:t>for</w:t>
      </w:r>
      <w:r>
        <w:rPr>
          <w:color w:val="231F20"/>
          <w:spacing w:val="-7"/>
        </w:rPr>
        <w:t> </w:t>
      </w:r>
      <w:r>
        <w:rPr>
          <w:color w:val="231F20"/>
        </w:rPr>
        <w:t>boarding</w:t>
      </w:r>
      <w:r>
        <w:rPr/>
      </w:r>
    </w:p>
    <w:p>
      <w:pPr>
        <w:pStyle w:val="BodyText"/>
        <w:spacing w:line="250" w:lineRule="exact" w:before="113"/>
        <w:ind w:right="36"/>
        <w:jc w:val="left"/>
      </w:pPr>
      <w:r>
        <w:rPr>
          <w:rFonts w:ascii="Segoe UI" w:hAnsi="Segoe UI" w:cs="Segoe UI" w:eastAsia="Segoe UI"/>
          <w:b/>
          <w:bCs/>
          <w:color w:val="231F20"/>
          <w:spacing w:val="-2"/>
        </w:rPr>
        <w:t>Transition</w:t>
      </w:r>
      <w:r>
        <w:rPr>
          <w:rFonts w:ascii="Segoe UI" w:hAnsi="Segoe UI" w:cs="Segoe UI" w:eastAsia="Segoe UI"/>
          <w:b/>
          <w:bCs/>
          <w:color w:val="231F20"/>
          <w:spacing w:val="-5"/>
        </w:rPr>
        <w:t> </w:t>
      </w:r>
      <w:r>
        <w:rPr>
          <w:rFonts w:ascii="Segoe UI" w:hAnsi="Segoe UI" w:cs="Segoe UI" w:eastAsia="Segoe UI"/>
          <w:b/>
          <w:bCs/>
          <w:color w:val="231F20"/>
          <w:spacing w:val="-1"/>
        </w:rPr>
        <w:t>plannin</w:t>
      </w:r>
      <w:r>
        <w:rPr>
          <w:color w:val="231F20"/>
          <w:spacing w:val="-1"/>
        </w:rPr>
        <w:t>g—TSU</w:t>
      </w:r>
      <w:r>
        <w:rPr>
          <w:color w:val="231F20"/>
          <w:spacing w:val="-4"/>
        </w:rPr>
        <w:t> </w:t>
      </w:r>
      <w:r>
        <w:rPr>
          <w:color w:val="231F20"/>
        </w:rPr>
        <w:t>works</w:t>
      </w:r>
      <w:r>
        <w:rPr>
          <w:color w:val="231F20"/>
          <w:spacing w:val="-4"/>
        </w:rPr>
        <w:t> </w:t>
      </w:r>
      <w:r>
        <w:rPr>
          <w:color w:val="231F20"/>
        </w:rPr>
        <w:t>with</w:t>
      </w:r>
      <w:r>
        <w:rPr>
          <w:color w:val="231F20"/>
          <w:spacing w:val="-5"/>
        </w:rPr>
        <w:t> </w:t>
      </w:r>
      <w:r>
        <w:rPr>
          <w:color w:val="231F20"/>
        </w:rPr>
        <w:t>families</w:t>
      </w:r>
      <w:r>
        <w:rPr>
          <w:color w:val="231F20"/>
          <w:spacing w:val="26"/>
        </w:rPr>
        <w:t> </w:t>
      </w:r>
      <w:r>
        <w:rPr>
          <w:color w:val="231F20"/>
        </w:rPr>
        <w:t>to</w:t>
      </w:r>
      <w:r>
        <w:rPr>
          <w:color w:val="231F20"/>
          <w:spacing w:val="-6"/>
        </w:rPr>
        <w:t> </w:t>
      </w:r>
      <w:r>
        <w:rPr>
          <w:color w:val="231F20"/>
          <w:spacing w:val="-1"/>
        </w:rPr>
        <w:t>identify</w:t>
      </w:r>
      <w:r>
        <w:rPr>
          <w:color w:val="231F20"/>
          <w:spacing w:val="-6"/>
        </w:rPr>
        <w:t> </w:t>
      </w:r>
      <w:r>
        <w:rPr>
          <w:color w:val="231F20"/>
        </w:rPr>
        <w:t>boarding</w:t>
      </w:r>
      <w:r>
        <w:rPr>
          <w:color w:val="231F20"/>
          <w:spacing w:val="-7"/>
        </w:rPr>
        <w:t> </w:t>
      </w:r>
      <w:r>
        <w:rPr>
          <w:color w:val="231F20"/>
        </w:rPr>
        <w:t>options,</w:t>
      </w:r>
      <w:r>
        <w:rPr>
          <w:color w:val="231F20"/>
          <w:spacing w:val="-7"/>
        </w:rPr>
        <w:t> </w:t>
      </w:r>
      <w:r>
        <w:rPr>
          <w:color w:val="231F20"/>
        </w:rPr>
        <w:t>complete</w:t>
      </w:r>
      <w:r>
        <w:rPr>
          <w:color w:val="231F20"/>
          <w:spacing w:val="22"/>
        </w:rPr>
        <w:t> </w:t>
      </w:r>
      <w:r>
        <w:rPr>
          <w:color w:val="231F20"/>
        </w:rPr>
        <w:t>enrolment</w:t>
      </w:r>
      <w:r>
        <w:rPr>
          <w:color w:val="231F20"/>
          <w:spacing w:val="-7"/>
        </w:rPr>
        <w:t> </w:t>
      </w:r>
      <w:r>
        <w:rPr>
          <w:color w:val="231F20"/>
        </w:rPr>
        <w:t>forms</w:t>
      </w:r>
      <w:r>
        <w:rPr>
          <w:color w:val="231F20"/>
          <w:spacing w:val="-7"/>
        </w:rPr>
        <w:t> </w:t>
      </w:r>
      <w:r>
        <w:rPr>
          <w:color w:val="231F20"/>
        </w:rPr>
        <w:t>and</w:t>
      </w:r>
      <w:r>
        <w:rPr>
          <w:color w:val="231F20"/>
          <w:spacing w:val="-6"/>
        </w:rPr>
        <w:t> </w:t>
      </w:r>
      <w:r>
        <w:rPr>
          <w:color w:val="231F20"/>
        </w:rPr>
        <w:t>ABSTUDY</w:t>
      </w:r>
      <w:r>
        <w:rPr>
          <w:color w:val="231F20"/>
          <w:spacing w:val="-7"/>
        </w:rPr>
        <w:t> </w:t>
      </w:r>
      <w:r>
        <w:rPr>
          <w:color w:val="231F20"/>
        </w:rPr>
        <w:t>application</w:t>
      </w:r>
      <w:r>
        <w:rPr>
          <w:color w:val="231F20"/>
          <w:w w:val="99"/>
        </w:rPr>
        <w:t> </w:t>
      </w:r>
      <w:r>
        <w:rPr>
          <w:color w:val="231F20"/>
        </w:rPr>
        <w:t>forms</w:t>
      </w:r>
      <w:r>
        <w:rPr>
          <w:color w:val="231F20"/>
          <w:spacing w:val="-5"/>
        </w:rPr>
        <w:t> </w:t>
      </w:r>
      <w:r>
        <w:rPr>
          <w:color w:val="231F20"/>
        </w:rPr>
        <w:t>and</w:t>
      </w:r>
      <w:r>
        <w:rPr>
          <w:color w:val="231F20"/>
          <w:spacing w:val="-4"/>
        </w:rPr>
        <w:t> </w:t>
      </w:r>
      <w:r>
        <w:rPr>
          <w:color w:val="231F20"/>
        </w:rPr>
        <w:t>assist</w:t>
      </w:r>
      <w:r>
        <w:rPr>
          <w:color w:val="231F20"/>
          <w:spacing w:val="-5"/>
        </w:rPr>
        <w:t> </w:t>
      </w:r>
      <w:r>
        <w:rPr>
          <w:color w:val="231F20"/>
        </w:rPr>
        <w:t>with</w:t>
      </w:r>
      <w:r>
        <w:rPr>
          <w:color w:val="231F20"/>
          <w:spacing w:val="-4"/>
        </w:rPr>
        <w:t> </w:t>
      </w:r>
      <w:r>
        <w:rPr>
          <w:color w:val="231F20"/>
        </w:rPr>
        <w:t>orientation</w:t>
      </w:r>
      <w:r>
        <w:rPr>
          <w:color w:val="231F20"/>
          <w:spacing w:val="-4"/>
        </w:rPr>
        <w:t> </w:t>
      </w:r>
      <w:r>
        <w:rPr>
          <w:color w:val="231F20"/>
        </w:rPr>
        <w:t>visits</w:t>
      </w:r>
      <w:r>
        <w:rPr>
          <w:color w:val="231F20"/>
          <w:spacing w:val="-5"/>
        </w:rPr>
        <w:t> </w:t>
      </w:r>
      <w:r>
        <w:rPr>
          <w:color w:val="231F20"/>
        </w:rPr>
        <w:t>and</w:t>
      </w:r>
      <w:r>
        <w:rPr>
          <w:color w:val="231F20"/>
          <w:w w:val="99"/>
        </w:rPr>
        <w:t> </w:t>
      </w:r>
      <w:r>
        <w:rPr>
          <w:color w:val="231F20"/>
        </w:rPr>
        <w:t>enrolment</w:t>
      </w:r>
      <w:r>
        <w:rPr>
          <w:color w:val="231F20"/>
          <w:spacing w:val="-12"/>
        </w:rPr>
        <w:t> </w:t>
      </w:r>
      <w:r>
        <w:rPr>
          <w:color w:val="231F20"/>
          <w:spacing w:val="-1"/>
        </w:rPr>
        <w:t>interviews,</w:t>
      </w:r>
      <w:r>
        <w:rPr>
          <w:color w:val="231F20"/>
          <w:spacing w:val="-11"/>
        </w:rPr>
        <w:t> </w:t>
      </w:r>
      <w:r>
        <w:rPr>
          <w:color w:val="231F20"/>
        </w:rPr>
        <w:t>where</w:t>
      </w:r>
      <w:r>
        <w:rPr>
          <w:color w:val="231F20"/>
          <w:spacing w:val="-12"/>
        </w:rPr>
        <w:t> </w:t>
      </w:r>
      <w:r>
        <w:rPr>
          <w:color w:val="231F20"/>
        </w:rPr>
        <w:t>applicable</w:t>
      </w:r>
      <w:r>
        <w:rPr/>
      </w:r>
    </w:p>
    <w:p>
      <w:pPr>
        <w:spacing w:line="250" w:lineRule="exact" w:before="113"/>
        <w:ind w:left="117" w:right="0" w:firstLine="0"/>
        <w:jc w:val="left"/>
        <w:rPr>
          <w:rFonts w:ascii="Segoe UI" w:hAnsi="Segoe UI" w:cs="Segoe UI" w:eastAsia="Segoe UI"/>
          <w:sz w:val="20"/>
          <w:szCs w:val="20"/>
        </w:rPr>
      </w:pPr>
      <w:r>
        <w:rPr>
          <w:rFonts w:ascii="Segoe UI" w:hAnsi="Segoe UI" w:cs="Segoe UI" w:eastAsia="Segoe UI"/>
          <w:b/>
          <w:bCs/>
          <w:color w:val="231F20"/>
          <w:spacing w:val="-2"/>
          <w:sz w:val="20"/>
          <w:szCs w:val="20"/>
        </w:rPr>
        <w:t>Student </w:t>
      </w:r>
      <w:r>
        <w:rPr>
          <w:rFonts w:ascii="Segoe UI" w:hAnsi="Segoe UI" w:cs="Segoe UI" w:eastAsia="Segoe UI"/>
          <w:b/>
          <w:bCs/>
          <w:color w:val="231F20"/>
          <w:spacing w:val="-1"/>
          <w:sz w:val="20"/>
          <w:szCs w:val="20"/>
        </w:rPr>
        <w:t>and</w:t>
      </w:r>
      <w:r>
        <w:rPr>
          <w:rFonts w:ascii="Segoe UI" w:hAnsi="Segoe UI" w:cs="Segoe UI" w:eastAsia="Segoe UI"/>
          <w:b/>
          <w:bCs/>
          <w:color w:val="231F20"/>
          <w:spacing w:val="-2"/>
          <w:sz w:val="20"/>
          <w:szCs w:val="20"/>
        </w:rPr>
        <w:t> </w:t>
      </w:r>
      <w:r>
        <w:rPr>
          <w:rFonts w:ascii="Segoe UI" w:hAnsi="Segoe UI" w:cs="Segoe UI" w:eastAsia="Segoe UI"/>
          <w:b/>
          <w:bCs/>
          <w:color w:val="231F20"/>
          <w:spacing w:val="-1"/>
          <w:sz w:val="20"/>
          <w:szCs w:val="20"/>
        </w:rPr>
        <w:t>family</w:t>
      </w:r>
      <w:r>
        <w:rPr>
          <w:rFonts w:ascii="Segoe UI" w:hAnsi="Segoe UI" w:cs="Segoe UI" w:eastAsia="Segoe UI"/>
          <w:b/>
          <w:bCs/>
          <w:color w:val="231F20"/>
          <w:spacing w:val="-2"/>
          <w:sz w:val="20"/>
          <w:szCs w:val="20"/>
        </w:rPr>
        <w:t> </w:t>
      </w:r>
      <w:r>
        <w:rPr>
          <w:rFonts w:ascii="Segoe UI" w:hAnsi="Segoe UI" w:cs="Segoe UI" w:eastAsia="Segoe UI"/>
          <w:b/>
          <w:bCs/>
          <w:color w:val="231F20"/>
          <w:sz w:val="20"/>
          <w:szCs w:val="20"/>
        </w:rPr>
        <w:t>support</w:t>
      </w:r>
      <w:r>
        <w:rPr>
          <w:rFonts w:ascii="Segoe UI" w:hAnsi="Segoe UI" w:cs="Segoe UI" w:eastAsia="Segoe UI"/>
          <w:color w:val="231F20"/>
          <w:sz w:val="20"/>
          <w:szCs w:val="20"/>
        </w:rPr>
        <w:t>—while</w:t>
      </w:r>
      <w:r>
        <w:rPr>
          <w:rFonts w:ascii="Segoe UI" w:hAnsi="Segoe UI" w:cs="Segoe UI" w:eastAsia="Segoe UI"/>
          <w:color w:val="231F20"/>
          <w:spacing w:val="-2"/>
          <w:sz w:val="20"/>
          <w:szCs w:val="20"/>
        </w:rPr>
        <w:t> </w:t>
      </w:r>
      <w:r>
        <w:rPr>
          <w:rFonts w:ascii="Segoe UI" w:hAnsi="Segoe UI" w:cs="Segoe UI" w:eastAsia="Segoe UI"/>
          <w:color w:val="231F20"/>
          <w:spacing w:val="-1"/>
          <w:sz w:val="20"/>
          <w:szCs w:val="20"/>
        </w:rPr>
        <w:t>students</w:t>
      </w:r>
      <w:r>
        <w:rPr>
          <w:rFonts w:ascii="Segoe UI" w:hAnsi="Segoe UI" w:cs="Segoe UI" w:eastAsia="Segoe UI"/>
          <w:color w:val="231F20"/>
          <w:spacing w:val="20"/>
          <w:sz w:val="20"/>
          <w:szCs w:val="20"/>
        </w:rPr>
        <w:t> </w:t>
      </w:r>
      <w:r>
        <w:rPr>
          <w:rFonts w:ascii="Segoe UI" w:hAnsi="Segoe UI" w:cs="Segoe UI" w:eastAsia="Segoe UI"/>
          <w:color w:val="231F20"/>
          <w:sz w:val="20"/>
          <w:szCs w:val="20"/>
        </w:rPr>
        <w:t>are</w:t>
      </w:r>
      <w:r>
        <w:rPr>
          <w:rFonts w:ascii="Segoe UI" w:hAnsi="Segoe UI" w:cs="Segoe UI" w:eastAsia="Segoe UI"/>
          <w:color w:val="231F20"/>
          <w:spacing w:val="-8"/>
          <w:sz w:val="20"/>
          <w:szCs w:val="20"/>
        </w:rPr>
        <w:t> </w:t>
      </w:r>
      <w:r>
        <w:rPr>
          <w:rFonts w:ascii="Segoe UI" w:hAnsi="Segoe UI" w:cs="Segoe UI" w:eastAsia="Segoe UI"/>
          <w:color w:val="231F20"/>
          <w:sz w:val="20"/>
          <w:szCs w:val="20"/>
        </w:rPr>
        <w:t>attending</w:t>
      </w:r>
      <w:r>
        <w:rPr>
          <w:rFonts w:ascii="Segoe UI" w:hAnsi="Segoe UI" w:cs="Segoe UI" w:eastAsia="Segoe UI"/>
          <w:color w:val="231F20"/>
          <w:spacing w:val="-7"/>
          <w:sz w:val="20"/>
          <w:szCs w:val="20"/>
        </w:rPr>
        <w:t> </w:t>
      </w:r>
      <w:r>
        <w:rPr>
          <w:rFonts w:ascii="Segoe UI" w:hAnsi="Segoe UI" w:cs="Segoe UI" w:eastAsia="Segoe UI"/>
          <w:color w:val="231F20"/>
          <w:sz w:val="20"/>
          <w:szCs w:val="20"/>
        </w:rPr>
        <w:t>boarding</w:t>
      </w:r>
      <w:r>
        <w:rPr>
          <w:rFonts w:ascii="Segoe UI" w:hAnsi="Segoe UI" w:cs="Segoe UI" w:eastAsia="Segoe UI"/>
          <w:color w:val="231F20"/>
          <w:spacing w:val="-7"/>
          <w:sz w:val="20"/>
          <w:szCs w:val="20"/>
        </w:rPr>
        <w:t> </w:t>
      </w:r>
      <w:r>
        <w:rPr>
          <w:rFonts w:ascii="Segoe UI" w:hAnsi="Segoe UI" w:cs="Segoe UI" w:eastAsia="Segoe UI"/>
          <w:color w:val="231F20"/>
          <w:sz w:val="20"/>
          <w:szCs w:val="20"/>
        </w:rPr>
        <w:t>the</w:t>
      </w:r>
      <w:r>
        <w:rPr>
          <w:rFonts w:ascii="Segoe UI" w:hAnsi="Segoe UI" w:cs="Segoe UI" w:eastAsia="Segoe UI"/>
          <w:color w:val="231F20"/>
          <w:spacing w:val="-7"/>
          <w:sz w:val="20"/>
          <w:szCs w:val="20"/>
        </w:rPr>
        <w:t> </w:t>
      </w:r>
      <w:r>
        <w:rPr>
          <w:rFonts w:ascii="Segoe UI" w:hAnsi="Segoe UI" w:cs="Segoe UI" w:eastAsia="Segoe UI"/>
          <w:color w:val="231F20"/>
          <w:spacing w:val="-2"/>
          <w:sz w:val="20"/>
          <w:szCs w:val="20"/>
        </w:rPr>
        <w:t>TSU</w:t>
      </w:r>
      <w:r>
        <w:rPr>
          <w:rFonts w:ascii="Segoe UI" w:hAnsi="Segoe UI" w:cs="Segoe UI" w:eastAsia="Segoe UI"/>
          <w:color w:val="231F20"/>
          <w:spacing w:val="-6"/>
          <w:sz w:val="20"/>
          <w:szCs w:val="20"/>
        </w:rPr>
        <w:t> </w:t>
      </w:r>
      <w:r>
        <w:rPr>
          <w:rFonts w:ascii="Segoe UI" w:hAnsi="Segoe UI" w:cs="Segoe UI" w:eastAsia="Segoe UI"/>
          <w:color w:val="231F20"/>
          <w:spacing w:val="-1"/>
          <w:sz w:val="20"/>
          <w:szCs w:val="20"/>
        </w:rPr>
        <w:t>supports</w:t>
      </w:r>
      <w:r>
        <w:rPr>
          <w:rFonts w:ascii="Segoe UI" w:hAnsi="Segoe UI" w:cs="Segoe UI" w:eastAsia="Segoe UI"/>
          <w:color w:val="231F20"/>
          <w:spacing w:val="20"/>
          <w:w w:val="99"/>
          <w:sz w:val="20"/>
          <w:szCs w:val="20"/>
        </w:rPr>
        <w:t> </w:t>
      </w:r>
      <w:r>
        <w:rPr>
          <w:rFonts w:ascii="Segoe UI" w:hAnsi="Segoe UI" w:cs="Segoe UI" w:eastAsia="Segoe UI"/>
          <w:color w:val="231F20"/>
          <w:spacing w:val="-1"/>
          <w:sz w:val="20"/>
          <w:szCs w:val="20"/>
        </w:rPr>
        <w:t>students</w:t>
      </w:r>
      <w:r>
        <w:rPr>
          <w:rFonts w:ascii="Segoe UI" w:hAnsi="Segoe UI" w:cs="Segoe UI" w:eastAsia="Segoe UI"/>
          <w:color w:val="231F20"/>
          <w:spacing w:val="-4"/>
          <w:sz w:val="20"/>
          <w:szCs w:val="20"/>
        </w:rPr>
        <w:t> </w:t>
      </w:r>
      <w:r>
        <w:rPr>
          <w:rFonts w:ascii="Segoe UI" w:hAnsi="Segoe UI" w:cs="Segoe UI" w:eastAsia="Segoe UI"/>
          <w:color w:val="231F20"/>
          <w:sz w:val="20"/>
          <w:szCs w:val="20"/>
        </w:rPr>
        <w:t>and</w:t>
      </w:r>
      <w:r>
        <w:rPr>
          <w:rFonts w:ascii="Segoe UI" w:hAnsi="Segoe UI" w:cs="Segoe UI" w:eastAsia="Segoe UI"/>
          <w:color w:val="231F20"/>
          <w:spacing w:val="-5"/>
          <w:sz w:val="20"/>
          <w:szCs w:val="20"/>
        </w:rPr>
        <w:t> </w:t>
      </w:r>
      <w:r>
        <w:rPr>
          <w:rFonts w:ascii="Segoe UI" w:hAnsi="Segoe UI" w:cs="Segoe UI" w:eastAsia="Segoe UI"/>
          <w:color w:val="231F20"/>
          <w:sz w:val="20"/>
          <w:szCs w:val="20"/>
        </w:rPr>
        <w:t>families.</w:t>
      </w:r>
      <w:r>
        <w:rPr>
          <w:rFonts w:ascii="Segoe UI" w:hAnsi="Segoe UI" w:cs="Segoe UI" w:eastAsia="Segoe UI"/>
          <w:color w:val="231F20"/>
          <w:spacing w:val="-5"/>
          <w:sz w:val="20"/>
          <w:szCs w:val="20"/>
        </w:rPr>
        <w:t> </w:t>
      </w:r>
      <w:r>
        <w:rPr>
          <w:rFonts w:ascii="Segoe UI" w:hAnsi="Segoe UI" w:cs="Segoe UI" w:eastAsia="Segoe UI"/>
          <w:color w:val="231F20"/>
          <w:sz w:val="20"/>
          <w:szCs w:val="20"/>
        </w:rPr>
        <w:t>A</w:t>
      </w:r>
      <w:r>
        <w:rPr>
          <w:rFonts w:ascii="Segoe UI" w:hAnsi="Segoe UI" w:cs="Segoe UI" w:eastAsia="Segoe UI"/>
          <w:color w:val="231F20"/>
          <w:spacing w:val="-3"/>
          <w:sz w:val="20"/>
          <w:szCs w:val="20"/>
        </w:rPr>
        <w:t> </w:t>
      </w:r>
      <w:r>
        <w:rPr>
          <w:rFonts w:ascii="Segoe UI" w:hAnsi="Segoe UI" w:cs="Segoe UI" w:eastAsia="Segoe UI"/>
          <w:color w:val="231F20"/>
          <w:spacing w:val="-1"/>
          <w:sz w:val="20"/>
          <w:szCs w:val="20"/>
        </w:rPr>
        <w:t>major</w:t>
      </w:r>
      <w:r>
        <w:rPr>
          <w:rFonts w:ascii="Segoe UI" w:hAnsi="Segoe UI" w:cs="Segoe UI" w:eastAsia="Segoe UI"/>
          <w:color w:val="231F20"/>
          <w:spacing w:val="-4"/>
          <w:sz w:val="20"/>
          <w:szCs w:val="20"/>
        </w:rPr>
        <w:t> </w:t>
      </w:r>
      <w:r>
        <w:rPr>
          <w:rFonts w:ascii="Segoe UI" w:hAnsi="Segoe UI" w:cs="Segoe UI" w:eastAsia="Segoe UI"/>
          <w:color w:val="231F20"/>
          <w:sz w:val="20"/>
          <w:szCs w:val="20"/>
        </w:rPr>
        <w:t>component</w:t>
      </w:r>
      <w:r>
        <w:rPr>
          <w:rFonts w:ascii="Segoe UI" w:hAnsi="Segoe UI" w:cs="Segoe UI" w:eastAsia="Segoe UI"/>
          <w:sz w:val="20"/>
          <w:szCs w:val="20"/>
        </w:rPr>
      </w:r>
    </w:p>
    <w:p>
      <w:pPr>
        <w:pStyle w:val="BodyText"/>
        <w:spacing w:line="250" w:lineRule="exact"/>
        <w:ind w:right="306"/>
        <w:jc w:val="left"/>
      </w:pPr>
      <w:r>
        <w:rPr>
          <w:color w:val="231F20"/>
        </w:rPr>
        <w:t>of</w:t>
      </w:r>
      <w:r>
        <w:rPr>
          <w:color w:val="231F20"/>
          <w:spacing w:val="-2"/>
        </w:rPr>
        <w:t> </w:t>
      </w:r>
      <w:r>
        <w:rPr>
          <w:color w:val="231F20"/>
        </w:rPr>
        <w:t>this</w:t>
      </w:r>
      <w:r>
        <w:rPr>
          <w:color w:val="231F20"/>
          <w:spacing w:val="-3"/>
        </w:rPr>
        <w:t> </w:t>
      </w:r>
      <w:r>
        <w:rPr>
          <w:color w:val="231F20"/>
          <w:spacing w:val="-1"/>
        </w:rPr>
        <w:t>support</w:t>
      </w:r>
      <w:r>
        <w:rPr>
          <w:color w:val="231F20"/>
          <w:spacing w:val="-2"/>
        </w:rPr>
        <w:t> </w:t>
      </w:r>
      <w:r>
        <w:rPr>
          <w:color w:val="231F20"/>
          <w:spacing w:val="-1"/>
        </w:rPr>
        <w:t>involves </w:t>
      </w:r>
      <w:r>
        <w:rPr>
          <w:color w:val="231F20"/>
        </w:rPr>
        <w:t>assisting</w:t>
      </w:r>
      <w:r>
        <w:rPr>
          <w:color w:val="231F20"/>
          <w:spacing w:val="-3"/>
        </w:rPr>
        <w:t> </w:t>
      </w:r>
      <w:r>
        <w:rPr>
          <w:color w:val="231F20"/>
          <w:spacing w:val="-1"/>
        </w:rPr>
        <w:t>students</w:t>
      </w:r>
      <w:r>
        <w:rPr>
          <w:color w:val="231F20"/>
          <w:spacing w:val="22"/>
        </w:rPr>
        <w:t> </w:t>
      </w:r>
      <w:r>
        <w:rPr>
          <w:color w:val="231F20"/>
        </w:rPr>
        <w:t>and</w:t>
      </w:r>
      <w:r>
        <w:rPr>
          <w:color w:val="231F20"/>
          <w:spacing w:val="-6"/>
        </w:rPr>
        <w:t> </w:t>
      </w:r>
      <w:r>
        <w:rPr>
          <w:color w:val="231F20"/>
        </w:rPr>
        <w:t>families</w:t>
      </w:r>
      <w:r>
        <w:rPr>
          <w:color w:val="231F20"/>
          <w:spacing w:val="-6"/>
        </w:rPr>
        <w:t> </w:t>
      </w:r>
      <w:r>
        <w:rPr>
          <w:color w:val="231F20"/>
        </w:rPr>
        <w:t>travelling</w:t>
      </w:r>
      <w:r>
        <w:rPr>
          <w:color w:val="231F20"/>
          <w:spacing w:val="-6"/>
        </w:rPr>
        <w:t> </w:t>
      </w:r>
      <w:r>
        <w:rPr>
          <w:color w:val="231F20"/>
        </w:rPr>
        <w:t>to</w:t>
      </w:r>
      <w:r>
        <w:rPr>
          <w:color w:val="231F20"/>
          <w:spacing w:val="-5"/>
        </w:rPr>
        <w:t> </w:t>
      </w:r>
      <w:r>
        <w:rPr>
          <w:color w:val="231F20"/>
        </w:rPr>
        <w:t>and</w:t>
      </w:r>
      <w:r>
        <w:rPr>
          <w:color w:val="231F20"/>
          <w:spacing w:val="-6"/>
        </w:rPr>
        <w:t> </w:t>
      </w:r>
      <w:r>
        <w:rPr>
          <w:color w:val="231F20"/>
        </w:rPr>
        <w:t>from</w:t>
      </w:r>
      <w:r>
        <w:rPr>
          <w:color w:val="231F20"/>
          <w:spacing w:val="-4"/>
        </w:rPr>
        <w:t> </w:t>
      </w:r>
      <w:r>
        <w:rPr>
          <w:color w:val="231F20"/>
        </w:rPr>
        <w:t>boarding</w:t>
      </w:r>
      <w:r>
        <w:rPr>
          <w:color w:val="231F20"/>
          <w:w w:val="99"/>
        </w:rPr>
        <w:t> </w:t>
      </w:r>
      <w:r>
        <w:rPr>
          <w:color w:val="231F20"/>
        </w:rPr>
        <w:t>at</w:t>
      </w:r>
      <w:r>
        <w:rPr>
          <w:color w:val="231F20"/>
          <w:spacing w:val="-5"/>
        </w:rPr>
        <w:t> </w:t>
      </w:r>
      <w:r>
        <w:rPr>
          <w:color w:val="231F20"/>
        </w:rPr>
        <w:t>the</w:t>
      </w:r>
      <w:r>
        <w:rPr>
          <w:color w:val="231F20"/>
          <w:spacing w:val="-5"/>
        </w:rPr>
        <w:t> </w:t>
      </w:r>
      <w:r>
        <w:rPr>
          <w:color w:val="231F20"/>
        </w:rPr>
        <w:t>beginning</w:t>
      </w:r>
      <w:r>
        <w:rPr>
          <w:color w:val="231F20"/>
          <w:spacing w:val="-5"/>
        </w:rPr>
        <w:t> </w:t>
      </w:r>
      <w:r>
        <w:rPr>
          <w:color w:val="231F20"/>
        </w:rPr>
        <w:t>and</w:t>
      </w:r>
      <w:r>
        <w:rPr>
          <w:color w:val="231F20"/>
          <w:spacing w:val="-5"/>
        </w:rPr>
        <w:t> </w:t>
      </w:r>
      <w:r>
        <w:rPr>
          <w:color w:val="231F20"/>
        </w:rPr>
        <w:t>end</w:t>
      </w:r>
      <w:r>
        <w:rPr>
          <w:color w:val="231F20"/>
          <w:spacing w:val="-5"/>
        </w:rPr>
        <w:t> </w:t>
      </w:r>
      <w:r>
        <w:rPr>
          <w:color w:val="231F20"/>
        </w:rPr>
        <w:t>of</w:t>
      </w:r>
      <w:r>
        <w:rPr>
          <w:color w:val="231F20"/>
          <w:spacing w:val="-4"/>
        </w:rPr>
        <w:t> </w:t>
      </w:r>
      <w:r>
        <w:rPr>
          <w:color w:val="231F20"/>
        </w:rPr>
        <w:t>term</w:t>
      </w:r>
      <w:r>
        <w:rPr>
          <w:color w:val="231F20"/>
          <w:spacing w:val="-5"/>
        </w:rPr>
        <w:t> </w:t>
      </w:r>
      <w:r>
        <w:rPr>
          <w:color w:val="231F20"/>
        </w:rPr>
        <w:t>and</w:t>
      </w:r>
      <w:r>
        <w:rPr/>
      </w:r>
    </w:p>
    <w:p>
      <w:pPr>
        <w:pStyle w:val="BodyText"/>
        <w:spacing w:line="250" w:lineRule="exact"/>
        <w:ind w:right="493"/>
        <w:jc w:val="left"/>
      </w:pPr>
      <w:r>
        <w:rPr>
          <w:rFonts w:ascii="Segoe UI"/>
          <w:color w:val="231F20"/>
        </w:rPr>
        <w:t>for</w:t>
      </w:r>
      <w:r>
        <w:rPr>
          <w:rFonts w:ascii="Segoe UI"/>
          <w:color w:val="231F20"/>
          <w:spacing w:val="-1"/>
        </w:rPr>
        <w:t> </w:t>
      </w:r>
      <w:r>
        <w:rPr>
          <w:rFonts w:ascii="Segoe UI"/>
          <w:color w:val="231F20"/>
        </w:rPr>
        <w:t>compassionate</w:t>
      </w:r>
      <w:r>
        <w:rPr>
          <w:rFonts w:ascii="Segoe UI"/>
          <w:color w:val="231F20"/>
          <w:spacing w:val="-1"/>
        </w:rPr>
        <w:t> </w:t>
      </w:r>
      <w:r>
        <w:rPr>
          <w:rFonts w:ascii="Segoe UI"/>
          <w:color w:val="231F20"/>
        </w:rPr>
        <w:t>reasons.</w:t>
      </w:r>
      <w:r>
        <w:rPr>
          <w:rFonts w:ascii="Segoe UI"/>
          <w:color w:val="231F20"/>
          <w:spacing w:val="-1"/>
        </w:rPr>
        <w:t> </w:t>
      </w:r>
      <w:r>
        <w:rPr>
          <w:rFonts w:ascii="Segoe UI"/>
          <w:color w:val="231F20"/>
          <w:spacing w:val="-2"/>
        </w:rPr>
        <w:t>TSU</w:t>
      </w:r>
      <w:r>
        <w:rPr>
          <w:rFonts w:ascii="Segoe UI"/>
          <w:color w:val="231F20"/>
          <w:spacing w:val="-1"/>
        </w:rPr>
        <w:t> </w:t>
      </w:r>
      <w:r>
        <w:rPr>
          <w:rFonts w:ascii="Segoe UI"/>
          <w:color w:val="231F20"/>
        </w:rPr>
        <w:t>staff will</w:t>
      </w:r>
      <w:r>
        <w:rPr>
          <w:rFonts w:ascii="Segoe UI"/>
          <w:color w:val="231F20"/>
          <w:spacing w:val="21"/>
        </w:rPr>
        <w:t> </w:t>
      </w:r>
      <w:r>
        <w:rPr>
          <w:color w:val="231F20"/>
        </w:rPr>
        <w:t>chaperone</w:t>
      </w:r>
      <w:r>
        <w:rPr>
          <w:color w:val="231F20"/>
          <w:spacing w:val="-8"/>
        </w:rPr>
        <w:t> </w:t>
      </w:r>
      <w:r>
        <w:rPr>
          <w:color w:val="231F20"/>
          <w:spacing w:val="-1"/>
        </w:rPr>
        <w:t>students</w:t>
      </w:r>
      <w:r>
        <w:rPr>
          <w:color w:val="231F20"/>
          <w:spacing w:val="-7"/>
        </w:rPr>
        <w:t> </w:t>
      </w:r>
      <w:r>
        <w:rPr>
          <w:color w:val="231F20"/>
        </w:rPr>
        <w:t>while</w:t>
      </w:r>
      <w:r>
        <w:rPr>
          <w:color w:val="231F20"/>
          <w:spacing w:val="-8"/>
        </w:rPr>
        <w:t> </w:t>
      </w:r>
      <w:r>
        <w:rPr>
          <w:color w:val="231F20"/>
        </w:rPr>
        <w:t>travelling</w:t>
      </w:r>
      <w:r>
        <w:rPr>
          <w:color w:val="231F20"/>
          <w:spacing w:val="-8"/>
        </w:rPr>
        <w:t> </w:t>
      </w:r>
      <w:r>
        <w:rPr>
          <w:color w:val="231F20"/>
        </w:rPr>
        <w:t>where</w:t>
      </w:r>
      <w:r>
        <w:rPr>
          <w:color w:val="231F20"/>
          <w:spacing w:val="22"/>
          <w:w w:val="99"/>
        </w:rPr>
        <w:t> </w:t>
      </w:r>
      <w:r>
        <w:rPr>
          <w:rFonts w:ascii="Segoe UI"/>
          <w:color w:val="231F20"/>
        </w:rPr>
        <w:t>a</w:t>
      </w:r>
      <w:r>
        <w:rPr>
          <w:rFonts w:ascii="Segoe UI"/>
          <w:color w:val="231F20"/>
          <w:spacing w:val="-1"/>
        </w:rPr>
        <w:t> </w:t>
      </w:r>
      <w:r>
        <w:rPr>
          <w:rFonts w:ascii="Segoe UI"/>
          <w:color w:val="231F20"/>
        </w:rPr>
        <w:t>family</w:t>
      </w:r>
      <w:r>
        <w:rPr>
          <w:rFonts w:ascii="Segoe UI"/>
          <w:color w:val="231F20"/>
          <w:spacing w:val="-1"/>
        </w:rPr>
        <w:t> </w:t>
      </w:r>
      <w:r>
        <w:rPr>
          <w:rFonts w:ascii="Segoe UI"/>
          <w:color w:val="231F20"/>
        </w:rPr>
        <w:t>member or</w:t>
      </w:r>
      <w:r>
        <w:rPr>
          <w:rFonts w:ascii="Segoe UI"/>
          <w:color w:val="231F20"/>
          <w:spacing w:val="-1"/>
        </w:rPr>
        <w:t> </w:t>
      </w:r>
      <w:r>
        <w:rPr>
          <w:rFonts w:ascii="Segoe UI"/>
          <w:color w:val="231F20"/>
        </w:rPr>
        <w:t>staff member</w:t>
      </w:r>
      <w:r>
        <w:rPr>
          <w:rFonts w:ascii="Segoe UI"/>
          <w:color w:val="231F20"/>
          <w:spacing w:val="-1"/>
        </w:rPr>
        <w:t> </w:t>
      </w:r>
      <w:r>
        <w:rPr>
          <w:rFonts w:ascii="Segoe UI"/>
          <w:color w:val="231F20"/>
        </w:rPr>
        <w:t>of the</w:t>
      </w:r>
      <w:r>
        <w:rPr>
          <w:rFonts w:ascii="Segoe UI"/>
          <w:color w:val="231F20"/>
        </w:rPr>
        <w:t> </w:t>
      </w:r>
      <w:r>
        <w:rPr>
          <w:color w:val="231F20"/>
        </w:rPr>
        <w:t>boarding</w:t>
      </w:r>
      <w:r>
        <w:rPr>
          <w:color w:val="231F20"/>
          <w:spacing w:val="-8"/>
        </w:rPr>
        <w:t> </w:t>
      </w:r>
      <w:r>
        <w:rPr>
          <w:color w:val="231F20"/>
        </w:rPr>
        <w:t>provider</w:t>
      </w:r>
      <w:r>
        <w:rPr>
          <w:color w:val="231F20"/>
          <w:spacing w:val="-8"/>
        </w:rPr>
        <w:t> </w:t>
      </w:r>
      <w:r>
        <w:rPr>
          <w:color w:val="231F20"/>
          <w:spacing w:val="-1"/>
        </w:rPr>
        <w:t>is</w:t>
      </w:r>
      <w:r>
        <w:rPr>
          <w:color w:val="231F20"/>
          <w:spacing w:val="-7"/>
        </w:rPr>
        <w:t> </w:t>
      </w:r>
      <w:r>
        <w:rPr>
          <w:color w:val="231F20"/>
        </w:rPr>
        <w:t>unable</w:t>
      </w:r>
      <w:r>
        <w:rPr>
          <w:color w:val="231F20"/>
          <w:spacing w:val="-8"/>
        </w:rPr>
        <w:t> </w:t>
      </w:r>
      <w:r>
        <w:rPr>
          <w:color w:val="231F20"/>
        </w:rPr>
        <w:t>to</w:t>
      </w:r>
      <w:r>
        <w:rPr>
          <w:color w:val="231F20"/>
          <w:spacing w:val="-7"/>
        </w:rPr>
        <w:t> </w:t>
      </w:r>
      <w:r>
        <w:rPr>
          <w:color w:val="231F20"/>
        </w:rPr>
        <w:t>accompany</w:t>
      </w:r>
      <w:r>
        <w:rPr>
          <w:color w:val="231F20"/>
          <w:spacing w:val="21"/>
          <w:w w:val="99"/>
        </w:rPr>
        <w:t> </w:t>
      </w:r>
      <w:r>
        <w:rPr>
          <w:rFonts w:ascii="Segoe UI"/>
          <w:color w:val="231F20"/>
        </w:rPr>
        <w:t>the</w:t>
      </w:r>
      <w:r>
        <w:rPr>
          <w:rFonts w:ascii="Segoe UI"/>
          <w:color w:val="231F20"/>
          <w:spacing w:val="-1"/>
        </w:rPr>
        <w:t> </w:t>
      </w:r>
      <w:r>
        <w:rPr>
          <w:rFonts w:ascii="Segoe UI"/>
          <w:color w:val="231F20"/>
        </w:rPr>
        <w:t>student.</w:t>
      </w:r>
      <w:r>
        <w:rPr>
          <w:rFonts w:ascii="Segoe UI"/>
          <w:color w:val="231F20"/>
          <w:spacing w:val="-1"/>
        </w:rPr>
        <w:t> </w:t>
      </w:r>
      <w:r>
        <w:rPr>
          <w:rFonts w:ascii="Segoe UI"/>
          <w:color w:val="231F20"/>
          <w:spacing w:val="-2"/>
        </w:rPr>
        <w:t>TSU</w:t>
      </w:r>
      <w:r>
        <w:rPr>
          <w:rFonts w:ascii="Segoe UI"/>
          <w:color w:val="231F20"/>
          <w:spacing w:val="-1"/>
        </w:rPr>
        <w:t> </w:t>
      </w:r>
      <w:r>
        <w:rPr>
          <w:rFonts w:ascii="Segoe UI"/>
          <w:color w:val="231F20"/>
        </w:rPr>
        <w:t>staff</w:t>
      </w:r>
      <w:r>
        <w:rPr>
          <w:rFonts w:ascii="Segoe UI"/>
          <w:color w:val="231F20"/>
          <w:spacing w:val="-1"/>
        </w:rPr>
        <w:t> </w:t>
      </w:r>
      <w:r>
        <w:rPr>
          <w:rFonts w:ascii="Segoe UI"/>
          <w:color w:val="231F20"/>
        </w:rPr>
        <w:t>use chaperoning</w:t>
      </w:r>
      <w:r>
        <w:rPr>
          <w:rFonts w:ascii="Segoe UI"/>
          <w:color w:val="231F20"/>
          <w:spacing w:val="21"/>
        </w:rPr>
        <w:t> </w:t>
      </w:r>
      <w:r>
        <w:rPr>
          <w:color w:val="231F20"/>
        </w:rPr>
        <w:t>opportunities</w:t>
      </w:r>
      <w:r>
        <w:rPr>
          <w:color w:val="231F20"/>
          <w:spacing w:val="-7"/>
        </w:rPr>
        <w:t> </w:t>
      </w:r>
      <w:r>
        <w:rPr>
          <w:color w:val="231F20"/>
        </w:rPr>
        <w:t>to</w:t>
      </w:r>
      <w:r>
        <w:rPr>
          <w:color w:val="231F20"/>
          <w:spacing w:val="-5"/>
        </w:rPr>
        <w:t> </w:t>
      </w:r>
      <w:r>
        <w:rPr>
          <w:color w:val="231F20"/>
        </w:rPr>
        <w:t>engage</w:t>
      </w:r>
      <w:r>
        <w:rPr>
          <w:color w:val="231F20"/>
          <w:spacing w:val="-6"/>
        </w:rPr>
        <w:t> </w:t>
      </w:r>
      <w:r>
        <w:rPr>
          <w:color w:val="231F20"/>
        </w:rPr>
        <w:t>with</w:t>
      </w:r>
      <w:r>
        <w:rPr>
          <w:color w:val="231F20"/>
          <w:spacing w:val="-6"/>
        </w:rPr>
        <w:t> </w:t>
      </w:r>
      <w:r>
        <w:rPr>
          <w:color w:val="231F20"/>
        </w:rPr>
        <w:t>families</w:t>
      </w:r>
      <w:r>
        <w:rPr>
          <w:color w:val="231F20"/>
          <w:spacing w:val="-7"/>
        </w:rPr>
        <w:t> </w:t>
      </w:r>
      <w:r>
        <w:rPr>
          <w:color w:val="231F20"/>
        </w:rPr>
        <w:t>and</w:t>
      </w:r>
      <w:r>
        <w:rPr>
          <w:color w:val="231F20"/>
          <w:w w:val="99"/>
        </w:rPr>
        <w:t> </w:t>
      </w:r>
      <w:r>
        <w:rPr>
          <w:color w:val="231F20"/>
        </w:rPr>
        <w:t>communities</w:t>
      </w:r>
      <w:r>
        <w:rPr/>
      </w:r>
    </w:p>
    <w:p>
      <w:pPr>
        <w:pStyle w:val="BodyText"/>
        <w:spacing w:line="250" w:lineRule="exact" w:before="113"/>
        <w:ind w:right="378"/>
        <w:jc w:val="left"/>
      </w:pPr>
      <w:r>
        <w:rPr>
          <w:rFonts w:ascii="Segoe UI" w:hAnsi="Segoe UI" w:cs="Segoe UI" w:eastAsia="Segoe UI"/>
          <w:b/>
          <w:bCs/>
          <w:color w:val="231F20"/>
          <w:spacing w:val="-2"/>
        </w:rPr>
        <w:t>Student</w:t>
      </w:r>
      <w:r>
        <w:rPr>
          <w:rFonts w:ascii="Segoe UI" w:hAnsi="Segoe UI" w:cs="Segoe UI" w:eastAsia="Segoe UI"/>
          <w:b/>
          <w:bCs/>
          <w:color w:val="231F20"/>
          <w:spacing w:val="-6"/>
        </w:rPr>
        <w:t> </w:t>
      </w:r>
      <w:r>
        <w:rPr>
          <w:rFonts w:ascii="Segoe UI" w:hAnsi="Segoe UI" w:cs="Segoe UI" w:eastAsia="Segoe UI"/>
          <w:b/>
          <w:bCs/>
          <w:color w:val="231F20"/>
          <w:spacing w:val="-1"/>
        </w:rPr>
        <w:t>re-engagement</w:t>
      </w:r>
      <w:r>
        <w:rPr>
          <w:color w:val="231F20"/>
          <w:spacing w:val="-1"/>
        </w:rPr>
        <w:t>—when</w:t>
      </w:r>
      <w:r>
        <w:rPr>
          <w:color w:val="231F20"/>
          <w:spacing w:val="-5"/>
        </w:rPr>
        <w:t> </w:t>
      </w:r>
      <w:r>
        <w:rPr>
          <w:color w:val="231F20"/>
        </w:rPr>
        <w:t>a</w:t>
      </w:r>
      <w:r>
        <w:rPr>
          <w:color w:val="231F20"/>
          <w:spacing w:val="-6"/>
        </w:rPr>
        <w:t> </w:t>
      </w:r>
      <w:r>
        <w:rPr>
          <w:color w:val="231F20"/>
          <w:spacing w:val="-1"/>
        </w:rPr>
        <w:t>student</w:t>
      </w:r>
      <w:r>
        <w:rPr>
          <w:color w:val="231F20"/>
          <w:spacing w:val="42"/>
          <w:w w:val="99"/>
        </w:rPr>
        <w:t> </w:t>
      </w:r>
      <w:r>
        <w:rPr>
          <w:color w:val="231F20"/>
          <w:spacing w:val="-1"/>
        </w:rPr>
        <w:t>is</w:t>
      </w:r>
      <w:r>
        <w:rPr>
          <w:color w:val="231F20"/>
          <w:spacing w:val="-6"/>
        </w:rPr>
        <w:t> </w:t>
      </w:r>
      <w:r>
        <w:rPr>
          <w:color w:val="231F20"/>
        </w:rPr>
        <w:t>at</w:t>
      </w:r>
      <w:r>
        <w:rPr>
          <w:color w:val="231F20"/>
          <w:spacing w:val="-5"/>
        </w:rPr>
        <w:t> </w:t>
      </w:r>
      <w:r>
        <w:rPr>
          <w:color w:val="231F20"/>
        </w:rPr>
        <w:t>risk</w:t>
      </w:r>
      <w:r>
        <w:rPr>
          <w:color w:val="231F20"/>
          <w:spacing w:val="-5"/>
        </w:rPr>
        <w:t> </w:t>
      </w:r>
      <w:r>
        <w:rPr>
          <w:color w:val="231F20"/>
        </w:rPr>
        <w:t>of</w:t>
      </w:r>
      <w:r>
        <w:rPr>
          <w:color w:val="231F20"/>
          <w:spacing w:val="-5"/>
        </w:rPr>
        <w:t> </w:t>
      </w:r>
      <w:r>
        <w:rPr>
          <w:color w:val="231F20"/>
        </w:rPr>
        <w:t>withdrawing</w:t>
      </w:r>
      <w:r>
        <w:rPr>
          <w:color w:val="231F20"/>
          <w:spacing w:val="-6"/>
        </w:rPr>
        <w:t> </w:t>
      </w:r>
      <w:r>
        <w:rPr>
          <w:color w:val="231F20"/>
        </w:rPr>
        <w:t>from</w:t>
      </w:r>
      <w:r>
        <w:rPr>
          <w:color w:val="231F20"/>
          <w:spacing w:val="-5"/>
        </w:rPr>
        <w:t> </w:t>
      </w:r>
      <w:r>
        <w:rPr>
          <w:color w:val="231F20"/>
        </w:rPr>
        <w:t>boarding,</w:t>
      </w:r>
      <w:r>
        <w:rPr>
          <w:color w:val="231F20"/>
          <w:spacing w:val="21"/>
          <w:w w:val="99"/>
        </w:rPr>
        <w:t> </w:t>
      </w:r>
      <w:r>
        <w:rPr>
          <w:color w:val="231F20"/>
        </w:rPr>
        <w:t>particularly</w:t>
      </w:r>
      <w:r>
        <w:rPr>
          <w:color w:val="231F20"/>
          <w:spacing w:val="-5"/>
        </w:rPr>
        <w:t> </w:t>
      </w:r>
      <w:r>
        <w:rPr>
          <w:color w:val="231F20"/>
        </w:rPr>
        <w:t>as</w:t>
      </w:r>
      <w:r>
        <w:rPr>
          <w:color w:val="231F20"/>
          <w:spacing w:val="-4"/>
        </w:rPr>
        <w:t> </w:t>
      </w:r>
      <w:r>
        <w:rPr>
          <w:color w:val="231F20"/>
        </w:rPr>
        <w:t>a</w:t>
      </w:r>
      <w:r>
        <w:rPr>
          <w:color w:val="231F20"/>
          <w:spacing w:val="-3"/>
        </w:rPr>
        <w:t> </w:t>
      </w:r>
      <w:r>
        <w:rPr>
          <w:color w:val="231F20"/>
        </w:rPr>
        <w:t>result</w:t>
      </w:r>
      <w:r>
        <w:rPr>
          <w:color w:val="231F20"/>
          <w:spacing w:val="-4"/>
        </w:rPr>
        <w:t> </w:t>
      </w:r>
      <w:r>
        <w:rPr>
          <w:color w:val="231F20"/>
        </w:rPr>
        <w:t>of</w:t>
      </w:r>
      <w:r>
        <w:rPr>
          <w:color w:val="231F20"/>
          <w:spacing w:val="-4"/>
        </w:rPr>
        <w:t> </w:t>
      </w:r>
      <w:r>
        <w:rPr>
          <w:color w:val="231F20"/>
        </w:rPr>
        <w:t>homesickness,</w:t>
      </w:r>
      <w:r>
        <w:rPr>
          <w:color w:val="231F20"/>
          <w:spacing w:val="-4"/>
        </w:rPr>
        <w:t> </w:t>
      </w:r>
      <w:r>
        <w:rPr>
          <w:color w:val="231F20"/>
        </w:rPr>
        <w:t>or</w:t>
      </w:r>
      <w:r>
        <w:rPr>
          <w:color w:val="231F20"/>
          <w:w w:val="99"/>
        </w:rPr>
        <w:t> </w:t>
      </w:r>
      <w:r>
        <w:rPr>
          <w:color w:val="231F20"/>
        </w:rPr>
        <w:t>being</w:t>
      </w:r>
      <w:r>
        <w:rPr>
          <w:color w:val="231F20"/>
          <w:spacing w:val="-7"/>
        </w:rPr>
        <w:t> </w:t>
      </w:r>
      <w:r>
        <w:rPr>
          <w:color w:val="231F20"/>
        </w:rPr>
        <w:t>expelled</w:t>
      </w:r>
      <w:r>
        <w:rPr>
          <w:color w:val="231F20"/>
          <w:spacing w:val="-6"/>
        </w:rPr>
        <w:t> </w:t>
      </w:r>
      <w:r>
        <w:rPr>
          <w:color w:val="231F20"/>
        </w:rPr>
        <w:t>or</w:t>
      </w:r>
      <w:r>
        <w:rPr>
          <w:color w:val="231F20"/>
          <w:spacing w:val="-6"/>
        </w:rPr>
        <w:t> </w:t>
      </w:r>
      <w:r>
        <w:rPr>
          <w:color w:val="231F20"/>
        </w:rPr>
        <w:t>excluded,</w:t>
      </w:r>
      <w:r>
        <w:rPr>
          <w:color w:val="231F20"/>
          <w:spacing w:val="-6"/>
        </w:rPr>
        <w:t> </w:t>
      </w:r>
      <w:r>
        <w:rPr>
          <w:color w:val="231F20"/>
        </w:rPr>
        <w:t>the</w:t>
      </w:r>
      <w:r>
        <w:rPr>
          <w:color w:val="231F20"/>
          <w:spacing w:val="-7"/>
        </w:rPr>
        <w:t> </w:t>
      </w:r>
      <w:r>
        <w:rPr>
          <w:color w:val="231F20"/>
          <w:spacing w:val="-2"/>
        </w:rPr>
        <w:t>TSU</w:t>
      </w:r>
      <w:r>
        <w:rPr>
          <w:color w:val="231F20"/>
          <w:spacing w:val="-6"/>
        </w:rPr>
        <w:t> </w:t>
      </w:r>
      <w:r>
        <w:rPr>
          <w:color w:val="231F20"/>
        </w:rPr>
        <w:t>actively</w:t>
      </w:r>
      <w:r>
        <w:rPr/>
      </w:r>
    </w:p>
    <w:p>
      <w:pPr>
        <w:pStyle w:val="BodyText"/>
        <w:spacing w:line="250" w:lineRule="exact"/>
        <w:ind w:right="126"/>
        <w:jc w:val="left"/>
      </w:pPr>
      <w:r>
        <w:rPr>
          <w:color w:val="231F20"/>
        </w:rPr>
        <w:t>engages</w:t>
      </w:r>
      <w:r>
        <w:rPr>
          <w:color w:val="231F20"/>
          <w:spacing w:val="-7"/>
        </w:rPr>
        <w:t> </w:t>
      </w:r>
      <w:r>
        <w:rPr>
          <w:color w:val="231F20"/>
        </w:rPr>
        <w:t>with</w:t>
      </w:r>
      <w:r>
        <w:rPr>
          <w:color w:val="231F20"/>
          <w:spacing w:val="-6"/>
        </w:rPr>
        <w:t> </w:t>
      </w:r>
      <w:r>
        <w:rPr>
          <w:color w:val="231F20"/>
          <w:spacing w:val="-1"/>
        </w:rPr>
        <w:t>students.</w:t>
      </w:r>
      <w:r>
        <w:rPr>
          <w:color w:val="231F20"/>
          <w:spacing w:val="-5"/>
        </w:rPr>
        <w:t> </w:t>
      </w:r>
      <w:r>
        <w:rPr>
          <w:color w:val="231F20"/>
          <w:spacing w:val="-1"/>
        </w:rPr>
        <w:t>During</w:t>
      </w:r>
      <w:r>
        <w:rPr>
          <w:color w:val="231F20"/>
          <w:spacing w:val="-5"/>
        </w:rPr>
        <w:t> </w:t>
      </w:r>
      <w:r>
        <w:rPr>
          <w:color w:val="231F20"/>
        </w:rPr>
        <w:t>the</w:t>
      </w:r>
      <w:r>
        <w:rPr>
          <w:color w:val="231F20"/>
          <w:spacing w:val="-6"/>
        </w:rPr>
        <w:t> </w:t>
      </w:r>
      <w:r>
        <w:rPr>
          <w:color w:val="231F20"/>
          <w:spacing w:val="-1"/>
        </w:rPr>
        <w:t>school</w:t>
      </w:r>
      <w:r>
        <w:rPr>
          <w:color w:val="231F20"/>
          <w:spacing w:val="-6"/>
        </w:rPr>
        <w:t> </w:t>
      </w:r>
      <w:r>
        <w:rPr>
          <w:color w:val="231F20"/>
        </w:rPr>
        <w:t>term</w:t>
      </w:r>
      <w:r>
        <w:rPr>
          <w:color w:val="231F20"/>
          <w:spacing w:val="24"/>
          <w:w w:val="99"/>
        </w:rPr>
        <w:t> </w:t>
      </w:r>
      <w:r>
        <w:rPr>
          <w:rFonts w:ascii="Segoe UI"/>
          <w:color w:val="231F20"/>
          <w:spacing w:val="-2"/>
        </w:rPr>
        <w:t>TSU</w:t>
      </w:r>
      <w:r>
        <w:rPr>
          <w:rFonts w:ascii="Segoe UI"/>
          <w:color w:val="231F20"/>
          <w:spacing w:val="-1"/>
        </w:rPr>
        <w:t> </w:t>
      </w:r>
      <w:r>
        <w:rPr>
          <w:rFonts w:ascii="Segoe UI"/>
          <w:color w:val="231F20"/>
        </w:rPr>
        <w:t>staff</w:t>
      </w:r>
      <w:r>
        <w:rPr>
          <w:rFonts w:ascii="Segoe UI"/>
          <w:color w:val="231F20"/>
          <w:spacing w:val="-1"/>
        </w:rPr>
        <w:t> </w:t>
      </w:r>
      <w:r>
        <w:rPr>
          <w:rFonts w:ascii="Segoe UI"/>
          <w:color w:val="231F20"/>
        </w:rPr>
        <w:t>regularly travel</w:t>
      </w:r>
      <w:r>
        <w:rPr>
          <w:rFonts w:ascii="Segoe UI"/>
          <w:color w:val="231F20"/>
          <w:spacing w:val="-1"/>
        </w:rPr>
        <w:t> </w:t>
      </w:r>
      <w:r>
        <w:rPr>
          <w:rFonts w:ascii="Segoe UI"/>
          <w:color w:val="231F20"/>
        </w:rPr>
        <w:t>to</w:t>
      </w:r>
      <w:r>
        <w:rPr>
          <w:rFonts w:ascii="Segoe UI"/>
          <w:color w:val="231F20"/>
          <w:spacing w:val="-1"/>
        </w:rPr>
        <w:t> </w:t>
      </w:r>
      <w:r>
        <w:rPr>
          <w:rFonts w:ascii="Segoe UI"/>
          <w:color w:val="231F20"/>
        </w:rPr>
        <w:t>interstate boarding</w:t>
      </w:r>
      <w:r>
        <w:rPr>
          <w:rFonts w:ascii="Segoe UI"/>
          <w:color w:val="231F20"/>
          <w:spacing w:val="22"/>
        </w:rPr>
        <w:t> </w:t>
      </w:r>
      <w:r>
        <w:rPr>
          <w:color w:val="231F20"/>
        </w:rPr>
        <w:t>providers</w:t>
      </w:r>
      <w:r>
        <w:rPr>
          <w:color w:val="231F20"/>
          <w:spacing w:val="-9"/>
        </w:rPr>
        <w:t> </w:t>
      </w:r>
      <w:r>
        <w:rPr>
          <w:color w:val="231F20"/>
        </w:rPr>
        <w:t>to</w:t>
      </w:r>
      <w:r>
        <w:rPr>
          <w:color w:val="231F20"/>
          <w:spacing w:val="-9"/>
        </w:rPr>
        <w:t> </w:t>
      </w:r>
      <w:r>
        <w:rPr>
          <w:color w:val="231F20"/>
          <w:spacing w:val="-1"/>
        </w:rPr>
        <w:t>support</w:t>
      </w:r>
      <w:r>
        <w:rPr>
          <w:color w:val="231F20"/>
          <w:spacing w:val="-8"/>
        </w:rPr>
        <w:t> </w:t>
      </w:r>
      <w:r>
        <w:rPr>
          <w:color w:val="231F20"/>
        </w:rPr>
        <w:t>Northern</w:t>
      </w:r>
      <w:r>
        <w:rPr>
          <w:color w:val="231F20"/>
          <w:spacing w:val="-8"/>
        </w:rPr>
        <w:t> </w:t>
      </w:r>
      <w:r>
        <w:rPr>
          <w:color w:val="231F20"/>
          <w:spacing w:val="-3"/>
        </w:rPr>
        <w:t>Territory</w:t>
      </w:r>
      <w:r>
        <w:rPr>
          <w:color w:val="231F20"/>
          <w:spacing w:val="28"/>
          <w:w w:val="99"/>
        </w:rPr>
        <w:t> </w:t>
      </w:r>
      <w:r>
        <w:rPr>
          <w:color w:val="231F20"/>
          <w:spacing w:val="-1"/>
        </w:rPr>
        <w:t>students</w:t>
      </w:r>
      <w:r>
        <w:rPr>
          <w:color w:val="231F20"/>
          <w:spacing w:val="-5"/>
        </w:rPr>
        <w:t> </w:t>
      </w:r>
      <w:r>
        <w:rPr>
          <w:color w:val="231F20"/>
        </w:rPr>
        <w:t>to</w:t>
      </w:r>
      <w:r>
        <w:rPr>
          <w:color w:val="231F20"/>
          <w:spacing w:val="-5"/>
        </w:rPr>
        <w:t> </w:t>
      </w:r>
      <w:r>
        <w:rPr>
          <w:color w:val="231F20"/>
        </w:rPr>
        <w:t>remain</w:t>
      </w:r>
      <w:r>
        <w:rPr>
          <w:color w:val="231F20"/>
          <w:spacing w:val="-6"/>
        </w:rPr>
        <w:t> </w:t>
      </w:r>
      <w:r>
        <w:rPr>
          <w:color w:val="231F20"/>
        </w:rPr>
        <w:t>engaged</w:t>
      </w:r>
      <w:r>
        <w:rPr>
          <w:color w:val="231F20"/>
          <w:spacing w:val="-5"/>
        </w:rPr>
        <w:t> </w:t>
      </w:r>
      <w:r>
        <w:rPr>
          <w:color w:val="231F20"/>
          <w:spacing w:val="-1"/>
        </w:rPr>
        <w:t>in</w:t>
      </w:r>
      <w:r>
        <w:rPr>
          <w:color w:val="231F20"/>
          <w:spacing w:val="-5"/>
        </w:rPr>
        <w:t> </w:t>
      </w:r>
      <w:r>
        <w:rPr>
          <w:color w:val="231F20"/>
        </w:rPr>
        <w:t>boarding.</w:t>
      </w:r>
      <w:r>
        <w:rPr/>
      </w:r>
    </w:p>
    <w:p>
      <w:pPr>
        <w:pStyle w:val="BodyText"/>
        <w:spacing w:line="250" w:lineRule="exact" w:before="113"/>
        <w:ind w:right="104"/>
        <w:jc w:val="left"/>
      </w:pPr>
      <w:r>
        <w:rPr>
          <w:color w:val="231F20"/>
        </w:rPr>
        <w:t>The</w:t>
      </w:r>
      <w:r>
        <w:rPr>
          <w:color w:val="231F20"/>
          <w:spacing w:val="-3"/>
        </w:rPr>
        <w:t> </w:t>
      </w:r>
      <w:r>
        <w:rPr>
          <w:color w:val="231F20"/>
          <w:spacing w:val="-2"/>
        </w:rPr>
        <w:t>TSU </w:t>
      </w:r>
      <w:r>
        <w:rPr>
          <w:color w:val="231F20"/>
          <w:spacing w:val="-1"/>
        </w:rPr>
        <w:t>in</w:t>
      </w:r>
      <w:r>
        <w:rPr>
          <w:color w:val="231F20"/>
          <w:spacing w:val="-2"/>
        </w:rPr>
        <w:t> </w:t>
      </w:r>
      <w:r>
        <w:rPr>
          <w:color w:val="231F20"/>
          <w:spacing w:val="-1"/>
        </w:rPr>
        <w:t>2019</w:t>
      </w:r>
      <w:r>
        <w:rPr>
          <w:color w:val="231F20"/>
          <w:spacing w:val="-2"/>
        </w:rPr>
        <w:t> </w:t>
      </w:r>
      <w:r>
        <w:rPr>
          <w:color w:val="231F20"/>
        </w:rPr>
        <w:t>will</w:t>
      </w:r>
      <w:r>
        <w:rPr>
          <w:color w:val="231F20"/>
          <w:spacing w:val="-3"/>
        </w:rPr>
        <w:t> </w:t>
      </w:r>
      <w:r>
        <w:rPr>
          <w:color w:val="231F20"/>
        </w:rPr>
        <w:t>also</w:t>
      </w:r>
      <w:r>
        <w:rPr>
          <w:color w:val="231F20"/>
          <w:spacing w:val="-3"/>
        </w:rPr>
        <w:t> </w:t>
      </w:r>
      <w:r>
        <w:rPr>
          <w:color w:val="231F20"/>
          <w:spacing w:val="-1"/>
        </w:rPr>
        <w:t>introduce</w:t>
      </w:r>
      <w:r>
        <w:rPr>
          <w:color w:val="231F20"/>
          <w:spacing w:val="-3"/>
        </w:rPr>
        <w:t> </w:t>
      </w:r>
      <w:r>
        <w:rPr>
          <w:color w:val="231F20"/>
        </w:rPr>
        <w:t>a</w:t>
      </w:r>
      <w:r>
        <w:rPr>
          <w:color w:val="231F20"/>
          <w:spacing w:val="-2"/>
        </w:rPr>
        <w:t> </w:t>
      </w:r>
      <w:r>
        <w:rPr>
          <w:color w:val="231F20"/>
        </w:rPr>
        <w:t>new</w:t>
      </w:r>
      <w:r>
        <w:rPr>
          <w:color w:val="231F20"/>
          <w:spacing w:val="25"/>
          <w:w w:val="99"/>
        </w:rPr>
        <w:t> </w:t>
      </w:r>
      <w:r>
        <w:rPr>
          <w:color w:val="231F20"/>
        </w:rPr>
        <w:t>program</w:t>
      </w:r>
      <w:r>
        <w:rPr>
          <w:color w:val="231F20"/>
          <w:spacing w:val="-5"/>
        </w:rPr>
        <w:t> </w:t>
      </w:r>
      <w:r>
        <w:rPr>
          <w:color w:val="231F20"/>
        </w:rPr>
        <w:t>aimed</w:t>
      </w:r>
      <w:r>
        <w:rPr>
          <w:color w:val="231F20"/>
          <w:spacing w:val="-5"/>
        </w:rPr>
        <w:t> </w:t>
      </w:r>
      <w:r>
        <w:rPr>
          <w:color w:val="231F20"/>
        </w:rPr>
        <w:t>at</w:t>
      </w:r>
      <w:r>
        <w:rPr>
          <w:color w:val="231F20"/>
          <w:spacing w:val="-4"/>
        </w:rPr>
        <w:t> </w:t>
      </w:r>
      <w:r>
        <w:rPr>
          <w:color w:val="231F20"/>
          <w:spacing w:val="-1"/>
        </w:rPr>
        <w:t>supporting</w:t>
      </w:r>
      <w:r>
        <w:rPr>
          <w:color w:val="231F20"/>
          <w:spacing w:val="-3"/>
        </w:rPr>
        <w:t> </w:t>
      </w:r>
      <w:r>
        <w:rPr>
          <w:color w:val="231F20"/>
          <w:spacing w:val="-1"/>
        </w:rPr>
        <w:t>students</w:t>
      </w:r>
      <w:r>
        <w:rPr>
          <w:color w:val="231F20"/>
          <w:spacing w:val="-4"/>
        </w:rPr>
        <w:t> </w:t>
      </w:r>
      <w:r>
        <w:rPr>
          <w:color w:val="231F20"/>
          <w:spacing w:val="-1"/>
        </w:rPr>
        <w:t>in</w:t>
      </w:r>
      <w:r>
        <w:rPr>
          <w:color w:val="231F20"/>
          <w:spacing w:val="-4"/>
        </w:rPr>
        <w:t> </w:t>
      </w:r>
      <w:r>
        <w:rPr>
          <w:color w:val="231F20"/>
        </w:rPr>
        <w:t>years</w:t>
      </w:r>
      <w:r>
        <w:rPr>
          <w:color w:val="231F20"/>
          <w:spacing w:val="24"/>
          <w:w w:val="99"/>
        </w:rPr>
        <w:t> </w:t>
      </w:r>
      <w:r>
        <w:rPr>
          <w:color w:val="231F20"/>
          <w:spacing w:val="-1"/>
        </w:rPr>
        <w:t>10-12</w:t>
      </w:r>
      <w:r>
        <w:rPr>
          <w:color w:val="231F20"/>
          <w:spacing w:val="-6"/>
        </w:rPr>
        <w:t> </w:t>
      </w:r>
      <w:r>
        <w:rPr>
          <w:color w:val="231F20"/>
        </w:rPr>
        <w:t>to</w:t>
      </w:r>
      <w:r>
        <w:rPr>
          <w:color w:val="231F20"/>
          <w:spacing w:val="-5"/>
        </w:rPr>
        <w:t> </w:t>
      </w:r>
      <w:r>
        <w:rPr>
          <w:color w:val="231F20"/>
        </w:rPr>
        <w:t>transition</w:t>
      </w:r>
      <w:r>
        <w:rPr>
          <w:color w:val="231F20"/>
          <w:spacing w:val="-6"/>
        </w:rPr>
        <w:t> </w:t>
      </w:r>
      <w:r>
        <w:rPr>
          <w:color w:val="231F20"/>
        </w:rPr>
        <w:t>to</w:t>
      </w:r>
      <w:r>
        <w:rPr>
          <w:color w:val="231F20"/>
          <w:spacing w:val="-5"/>
        </w:rPr>
        <w:t> </w:t>
      </w:r>
      <w:r>
        <w:rPr>
          <w:color w:val="231F20"/>
        </w:rPr>
        <w:t>work,</w:t>
      </w:r>
      <w:r>
        <w:rPr>
          <w:color w:val="231F20"/>
          <w:spacing w:val="-7"/>
        </w:rPr>
        <w:t> </w:t>
      </w:r>
      <w:r>
        <w:rPr>
          <w:color w:val="231F20"/>
        </w:rPr>
        <w:t>higher</w:t>
      </w:r>
      <w:r>
        <w:rPr>
          <w:color w:val="231F20"/>
          <w:spacing w:val="-6"/>
        </w:rPr>
        <w:t> </w:t>
      </w:r>
      <w:r>
        <w:rPr>
          <w:color w:val="231F20"/>
        </w:rPr>
        <w:t>education</w:t>
      </w:r>
      <w:r>
        <w:rPr>
          <w:color w:val="231F20"/>
          <w:spacing w:val="21"/>
          <w:w w:val="99"/>
        </w:rPr>
        <w:t> </w:t>
      </w:r>
      <w:r>
        <w:rPr>
          <w:color w:val="231F20"/>
        </w:rPr>
        <w:t>or</w:t>
      </w:r>
      <w:r>
        <w:rPr>
          <w:color w:val="231F20"/>
          <w:spacing w:val="-3"/>
        </w:rPr>
        <w:t> </w:t>
      </w:r>
      <w:r>
        <w:rPr>
          <w:color w:val="231F20"/>
        </w:rPr>
        <w:t>a</w:t>
      </w:r>
      <w:r>
        <w:rPr>
          <w:color w:val="231F20"/>
          <w:spacing w:val="-3"/>
        </w:rPr>
        <w:t> </w:t>
      </w:r>
      <w:r>
        <w:rPr>
          <w:color w:val="231F20"/>
        </w:rPr>
        <w:t>post-school</w:t>
      </w:r>
      <w:r>
        <w:rPr>
          <w:color w:val="231F20"/>
          <w:spacing w:val="-3"/>
        </w:rPr>
        <w:t> </w:t>
      </w:r>
      <w:r>
        <w:rPr>
          <w:color w:val="231F20"/>
        </w:rPr>
        <w:t>trade.</w:t>
      </w:r>
      <w:r>
        <w:rPr/>
      </w:r>
    </w:p>
    <w:p>
      <w:pPr>
        <w:pStyle w:val="BodyText"/>
        <w:spacing w:line="250" w:lineRule="exact" w:before="113"/>
        <w:ind w:right="596"/>
        <w:jc w:val="left"/>
      </w:pPr>
      <w:r>
        <w:rPr>
          <w:color w:val="231F20"/>
        </w:rPr>
        <w:t>The</w:t>
      </w:r>
      <w:r>
        <w:rPr>
          <w:color w:val="231F20"/>
          <w:spacing w:val="-5"/>
        </w:rPr>
        <w:t> </w:t>
      </w:r>
      <w:r>
        <w:rPr>
          <w:color w:val="231F20"/>
          <w:spacing w:val="-1"/>
        </w:rPr>
        <w:t>majority</w:t>
      </w:r>
      <w:r>
        <w:rPr>
          <w:color w:val="231F20"/>
          <w:spacing w:val="-5"/>
        </w:rPr>
        <w:t> </w:t>
      </w:r>
      <w:r>
        <w:rPr>
          <w:color w:val="231F20"/>
        </w:rPr>
        <w:t>of</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w:t>
      </w:r>
      <w:r>
        <w:rPr>
          <w:color w:val="231F20"/>
          <w:spacing w:val="26"/>
          <w:w w:val="99"/>
        </w:rPr>
        <w:t> </w:t>
      </w:r>
      <w:r>
        <w:rPr>
          <w:color w:val="231F20"/>
          <w:spacing w:val="-2"/>
        </w:rPr>
        <w:t>Strait</w:t>
      </w:r>
      <w:r>
        <w:rPr>
          <w:color w:val="231F20"/>
          <w:spacing w:val="-8"/>
        </w:rPr>
        <w:t> </w:t>
      </w:r>
      <w:r>
        <w:rPr>
          <w:color w:val="231F20"/>
          <w:spacing w:val="-1"/>
        </w:rPr>
        <w:t>Islander</w:t>
      </w:r>
      <w:r>
        <w:rPr>
          <w:color w:val="231F20"/>
          <w:spacing w:val="-7"/>
        </w:rPr>
        <w:t> </w:t>
      </w:r>
      <w:r>
        <w:rPr>
          <w:color w:val="231F20"/>
        </w:rPr>
        <w:t>boarding</w:t>
      </w:r>
      <w:r>
        <w:rPr>
          <w:color w:val="231F20"/>
          <w:spacing w:val="-7"/>
        </w:rPr>
        <w:t> </w:t>
      </w:r>
      <w:r>
        <w:rPr>
          <w:color w:val="231F20"/>
        </w:rPr>
        <w:t>providers</w:t>
      </w:r>
      <w:r>
        <w:rPr>
          <w:color w:val="231F20"/>
          <w:spacing w:val="-8"/>
        </w:rPr>
        <w:t> </w:t>
      </w:r>
      <w:r>
        <w:rPr>
          <w:color w:val="231F20"/>
        </w:rPr>
        <w:t>were</w:t>
      </w:r>
      <w:r>
        <w:rPr>
          <w:color w:val="231F20"/>
          <w:spacing w:val="-7"/>
        </w:rPr>
        <w:t> </w:t>
      </w:r>
      <w:r>
        <w:rPr>
          <w:color w:val="231F20"/>
        </w:rPr>
        <w:t>of</w:t>
      </w:r>
      <w:r>
        <w:rPr>
          <w:color w:val="231F20"/>
          <w:spacing w:val="27"/>
          <w:w w:val="99"/>
        </w:rPr>
        <w:t> </w:t>
      </w:r>
      <w:r>
        <w:rPr>
          <w:color w:val="231F20"/>
        </w:rPr>
        <w:t>the</w:t>
      </w:r>
      <w:r>
        <w:rPr>
          <w:color w:val="231F20"/>
          <w:spacing w:val="-4"/>
        </w:rPr>
        <w:t> </w:t>
      </w:r>
      <w:r>
        <w:rPr>
          <w:color w:val="231F20"/>
        </w:rPr>
        <w:t>view</w:t>
      </w:r>
      <w:r>
        <w:rPr>
          <w:color w:val="231F20"/>
          <w:spacing w:val="-2"/>
        </w:rPr>
        <w:t> </w:t>
      </w:r>
      <w:r>
        <w:rPr>
          <w:color w:val="231F20"/>
        </w:rPr>
        <w:t>that</w:t>
      </w:r>
      <w:r>
        <w:rPr>
          <w:color w:val="231F20"/>
          <w:spacing w:val="-4"/>
        </w:rPr>
        <w:t> </w:t>
      </w:r>
      <w:r>
        <w:rPr>
          <w:color w:val="231F20"/>
        </w:rPr>
        <w:t>the</w:t>
      </w:r>
      <w:r>
        <w:rPr>
          <w:color w:val="231F20"/>
          <w:spacing w:val="-3"/>
        </w:rPr>
        <w:t> </w:t>
      </w:r>
      <w:r>
        <w:rPr>
          <w:color w:val="231F20"/>
          <w:spacing w:val="-1"/>
        </w:rPr>
        <w:t>investment</w:t>
      </w:r>
      <w:r>
        <w:rPr>
          <w:color w:val="231F20"/>
          <w:spacing w:val="-3"/>
        </w:rPr>
        <w:t> </w:t>
      </w:r>
      <w:r>
        <w:rPr>
          <w:color w:val="231F20"/>
          <w:spacing w:val="-1"/>
        </w:rPr>
        <w:t>in</w:t>
      </w:r>
      <w:r>
        <w:rPr>
          <w:color w:val="231F20"/>
          <w:spacing w:val="-2"/>
        </w:rPr>
        <w:t> TSU</w:t>
      </w:r>
      <w:r>
        <w:rPr>
          <w:color w:val="231F20"/>
          <w:spacing w:val="-3"/>
        </w:rPr>
        <w:t> </w:t>
      </w:r>
      <w:r>
        <w:rPr>
          <w:color w:val="231F20"/>
        </w:rPr>
        <w:t>and</w:t>
      </w:r>
      <w:r>
        <w:rPr>
          <w:color w:val="231F20"/>
          <w:spacing w:val="23"/>
          <w:w w:val="99"/>
        </w:rPr>
        <w:t> </w:t>
      </w:r>
      <w:r>
        <w:rPr>
          <w:color w:val="231F20"/>
          <w:spacing w:val="-2"/>
        </w:rPr>
        <w:t>TSS</w:t>
      </w:r>
      <w:r>
        <w:rPr>
          <w:color w:val="231F20"/>
          <w:spacing w:val="-3"/>
        </w:rPr>
        <w:t> </w:t>
      </w:r>
      <w:r>
        <w:rPr>
          <w:color w:val="231F20"/>
        </w:rPr>
        <w:t>has</w:t>
      </w:r>
      <w:r>
        <w:rPr>
          <w:color w:val="231F20"/>
          <w:spacing w:val="-4"/>
        </w:rPr>
        <w:t> </w:t>
      </w:r>
      <w:r>
        <w:rPr>
          <w:color w:val="231F20"/>
        </w:rPr>
        <w:t>contributed</w:t>
      </w:r>
      <w:r>
        <w:rPr>
          <w:color w:val="231F20"/>
          <w:spacing w:val="-3"/>
        </w:rPr>
        <w:t> </w:t>
      </w:r>
      <w:r>
        <w:rPr>
          <w:color w:val="231F20"/>
        </w:rPr>
        <w:t>to</w:t>
      </w:r>
      <w:r>
        <w:rPr>
          <w:color w:val="231F20"/>
          <w:spacing w:val="-3"/>
        </w:rPr>
        <w:t> </w:t>
      </w:r>
      <w:r>
        <w:rPr>
          <w:color w:val="231F20"/>
        </w:rPr>
        <w:t>positive</w:t>
      </w:r>
      <w:r>
        <w:rPr>
          <w:color w:val="231F20"/>
          <w:spacing w:val="-4"/>
        </w:rPr>
        <w:t> </w:t>
      </w:r>
      <w:r>
        <w:rPr>
          <w:color w:val="231F20"/>
        </w:rPr>
        <w:t>outcomes</w:t>
      </w:r>
      <w:r>
        <w:rPr>
          <w:color w:val="231F20"/>
          <w:spacing w:val="21"/>
        </w:rPr>
        <w:t> </w:t>
      </w:r>
      <w:r>
        <w:rPr>
          <w:color w:val="231F20"/>
        </w:rPr>
        <w:t>from</w:t>
      </w:r>
      <w:r>
        <w:rPr>
          <w:color w:val="231F20"/>
          <w:spacing w:val="-6"/>
        </w:rPr>
        <w:t> </w:t>
      </w:r>
      <w:r>
        <w:rPr>
          <w:color w:val="231F20"/>
        </w:rPr>
        <w:t>boarding</w:t>
      </w:r>
      <w:r>
        <w:rPr>
          <w:color w:val="231F20"/>
          <w:spacing w:val="-6"/>
        </w:rPr>
        <w:t> </w:t>
      </w:r>
      <w:r>
        <w:rPr>
          <w:color w:val="231F20"/>
        </w:rPr>
        <w:t>for</w:t>
      </w:r>
      <w:r>
        <w:rPr>
          <w:color w:val="231F20"/>
          <w:spacing w:val="-6"/>
        </w:rPr>
        <w:t> </w:t>
      </w:r>
      <w:r>
        <w:rPr>
          <w:color w:val="231F20"/>
        </w:rPr>
        <w:t>Aboriginal</w:t>
      </w:r>
      <w:r>
        <w:rPr>
          <w:color w:val="231F20"/>
          <w:spacing w:val="-5"/>
        </w:rPr>
        <w:t> </w:t>
      </w:r>
      <w:r>
        <w:rPr>
          <w:color w:val="231F20"/>
        </w:rPr>
        <w:t>and</w:t>
      </w:r>
      <w:r>
        <w:rPr>
          <w:color w:val="231F20"/>
          <w:spacing w:val="-6"/>
        </w:rPr>
        <w:t> </w:t>
      </w:r>
      <w:r>
        <w:rPr>
          <w:color w:val="231F20"/>
          <w:spacing w:val="-5"/>
        </w:rPr>
        <w:t>Torres</w:t>
      </w:r>
      <w:r>
        <w:rPr>
          <w:color w:val="231F20"/>
          <w:spacing w:val="23"/>
          <w:w w:val="99"/>
        </w:rPr>
        <w:t> </w:t>
      </w:r>
      <w:r>
        <w:rPr>
          <w:color w:val="231F20"/>
          <w:spacing w:val="-2"/>
        </w:rPr>
        <w:t>Strait</w:t>
      </w:r>
      <w:r>
        <w:rPr>
          <w:color w:val="231F20"/>
          <w:spacing w:val="-7"/>
        </w:rPr>
        <w:t> </w:t>
      </w:r>
      <w:r>
        <w:rPr>
          <w:color w:val="231F20"/>
          <w:spacing w:val="-1"/>
        </w:rPr>
        <w:t>Islander</w:t>
      </w:r>
      <w:r>
        <w:rPr>
          <w:color w:val="231F20"/>
          <w:spacing w:val="-5"/>
        </w:rPr>
        <w:t> </w:t>
      </w:r>
      <w:r>
        <w:rPr>
          <w:color w:val="231F20"/>
        </w:rPr>
        <w:t>boarders</w:t>
      </w:r>
      <w:r>
        <w:rPr>
          <w:color w:val="231F20"/>
          <w:spacing w:val="-6"/>
        </w:rPr>
        <w:t> </w:t>
      </w:r>
      <w:r>
        <w:rPr>
          <w:color w:val="231F20"/>
        </w:rPr>
        <w:t>and</w:t>
      </w:r>
      <w:r>
        <w:rPr>
          <w:color w:val="231F20"/>
          <w:spacing w:val="-6"/>
        </w:rPr>
        <w:t> </w:t>
      </w:r>
      <w:r>
        <w:rPr>
          <w:color w:val="231F20"/>
        </w:rPr>
        <w:t>their</w:t>
      </w:r>
      <w:r>
        <w:rPr>
          <w:color w:val="231F20"/>
          <w:spacing w:val="-6"/>
        </w:rPr>
        <w:t> </w:t>
      </w:r>
      <w:r>
        <w:rPr>
          <w:color w:val="231F20"/>
        </w:rPr>
        <w:t>families.</w:t>
      </w:r>
      <w:r>
        <w:rPr/>
      </w:r>
    </w:p>
    <w:p>
      <w:pPr>
        <w:pStyle w:val="BodyText"/>
        <w:spacing w:line="250" w:lineRule="exact"/>
        <w:ind w:right="104"/>
        <w:jc w:val="left"/>
      </w:pPr>
      <w:r>
        <w:rPr>
          <w:color w:val="231F20"/>
          <w:spacing w:val="-1"/>
        </w:rPr>
        <w:t>Consideration</w:t>
      </w:r>
      <w:r>
        <w:rPr>
          <w:color w:val="231F20"/>
          <w:spacing w:val="-5"/>
        </w:rPr>
        <w:t> </w:t>
      </w:r>
      <w:r>
        <w:rPr>
          <w:color w:val="231F20"/>
          <w:spacing w:val="-1"/>
        </w:rPr>
        <w:t>should</w:t>
      </w:r>
      <w:r>
        <w:rPr>
          <w:color w:val="231F20"/>
          <w:spacing w:val="-4"/>
        </w:rPr>
        <w:t> </w:t>
      </w:r>
      <w:r>
        <w:rPr>
          <w:color w:val="231F20"/>
        </w:rPr>
        <w:t>be</w:t>
      </w:r>
      <w:r>
        <w:rPr>
          <w:color w:val="231F20"/>
          <w:spacing w:val="-4"/>
        </w:rPr>
        <w:t> </w:t>
      </w:r>
      <w:r>
        <w:rPr>
          <w:color w:val="231F20"/>
        </w:rPr>
        <w:t>given</w:t>
      </w:r>
      <w:r>
        <w:rPr>
          <w:color w:val="231F20"/>
          <w:spacing w:val="-5"/>
        </w:rPr>
        <w:t> </w:t>
      </w:r>
      <w:r>
        <w:rPr>
          <w:color w:val="231F20"/>
        </w:rPr>
        <w:t>to</w:t>
      </w:r>
      <w:r>
        <w:rPr>
          <w:color w:val="231F20"/>
          <w:spacing w:val="-5"/>
        </w:rPr>
        <w:t> </w:t>
      </w:r>
      <w:r>
        <w:rPr>
          <w:color w:val="231F20"/>
        </w:rPr>
        <w:t>establishing</w:t>
      </w:r>
      <w:r>
        <w:rPr>
          <w:color w:val="231F20"/>
          <w:spacing w:val="23"/>
        </w:rPr>
        <w:t> </w:t>
      </w:r>
      <w:r>
        <w:rPr>
          <w:color w:val="231F20"/>
        </w:rPr>
        <w:t>transition</w:t>
      </w:r>
      <w:r>
        <w:rPr>
          <w:color w:val="231F20"/>
          <w:spacing w:val="-4"/>
        </w:rPr>
        <w:t> </w:t>
      </w:r>
      <w:r>
        <w:rPr>
          <w:color w:val="231F20"/>
          <w:spacing w:val="-1"/>
        </w:rPr>
        <w:t>support</w:t>
      </w:r>
      <w:r>
        <w:rPr>
          <w:color w:val="231F20"/>
          <w:spacing w:val="-4"/>
        </w:rPr>
        <w:t> </w:t>
      </w:r>
      <w:r>
        <w:rPr>
          <w:color w:val="231F20"/>
        </w:rPr>
        <w:t>units</w:t>
      </w:r>
      <w:r>
        <w:rPr>
          <w:color w:val="231F20"/>
          <w:spacing w:val="-4"/>
        </w:rPr>
        <w:t> </w:t>
      </w:r>
      <w:r>
        <w:rPr>
          <w:color w:val="231F20"/>
          <w:spacing w:val="-1"/>
        </w:rPr>
        <w:t>in</w:t>
      </w:r>
      <w:r>
        <w:rPr>
          <w:color w:val="231F20"/>
          <w:spacing w:val="-3"/>
        </w:rPr>
        <w:t> </w:t>
      </w:r>
      <w:r>
        <w:rPr>
          <w:color w:val="231F20"/>
          <w:spacing w:val="-1"/>
        </w:rPr>
        <w:t>jurisdictions</w:t>
      </w:r>
      <w:r>
        <w:rPr>
          <w:color w:val="231F20"/>
          <w:spacing w:val="-3"/>
        </w:rPr>
        <w:t> </w:t>
      </w:r>
      <w:r>
        <w:rPr>
          <w:color w:val="231F20"/>
        </w:rPr>
        <w:t>outside</w:t>
      </w:r>
      <w:r>
        <w:rPr>
          <w:color w:val="231F20"/>
          <w:spacing w:val="24"/>
        </w:rPr>
        <w:t> </w:t>
      </w:r>
      <w:r>
        <w:rPr>
          <w:color w:val="231F20"/>
        </w:rPr>
        <w:t>the</w:t>
      </w:r>
      <w:r>
        <w:rPr>
          <w:color w:val="231F20"/>
          <w:spacing w:val="-9"/>
        </w:rPr>
        <w:t> </w:t>
      </w:r>
      <w:r>
        <w:rPr>
          <w:color w:val="231F20"/>
        </w:rPr>
        <w:t>Northern</w:t>
      </w:r>
      <w:r>
        <w:rPr>
          <w:color w:val="231F20"/>
          <w:spacing w:val="-8"/>
        </w:rPr>
        <w:t> </w:t>
      </w:r>
      <w:r>
        <w:rPr>
          <w:color w:val="231F20"/>
          <w:spacing w:val="-3"/>
        </w:rPr>
        <w:t>Territory</w:t>
      </w:r>
      <w:r>
        <w:rPr>
          <w:color w:val="231F20"/>
          <w:spacing w:val="-7"/>
        </w:rPr>
        <w:t> </w:t>
      </w:r>
      <w:r>
        <w:rPr>
          <w:color w:val="231F20"/>
        </w:rPr>
        <w:t>and</w:t>
      </w:r>
      <w:r>
        <w:rPr>
          <w:color w:val="231F20"/>
          <w:spacing w:val="-9"/>
        </w:rPr>
        <w:t> </w:t>
      </w:r>
      <w:r>
        <w:rPr>
          <w:color w:val="231F20"/>
        </w:rPr>
        <w:t>Queensland</w:t>
      </w:r>
      <w:r>
        <w:rPr>
          <w:color w:val="231F20"/>
          <w:spacing w:val="-8"/>
        </w:rPr>
        <w:t> </w:t>
      </w:r>
      <w:r>
        <w:rPr>
          <w:color w:val="231F20"/>
        </w:rPr>
        <w:t>where</w:t>
      </w:r>
      <w:r>
        <w:rPr>
          <w:color w:val="231F20"/>
          <w:spacing w:val="27"/>
          <w:w w:val="99"/>
        </w:rPr>
        <w:t> </w:t>
      </w:r>
      <w:r>
        <w:rPr>
          <w:color w:val="231F20"/>
        </w:rPr>
        <w:t>there</w:t>
      </w:r>
      <w:r>
        <w:rPr>
          <w:color w:val="231F20"/>
          <w:spacing w:val="-7"/>
        </w:rPr>
        <w:t> </w:t>
      </w:r>
      <w:r>
        <w:rPr>
          <w:color w:val="231F20"/>
        </w:rPr>
        <w:t>are</w:t>
      </w:r>
      <w:r>
        <w:rPr>
          <w:color w:val="231F20"/>
          <w:spacing w:val="-7"/>
        </w:rPr>
        <w:t> </w:t>
      </w:r>
      <w:r>
        <w:rPr>
          <w:color w:val="231F20"/>
          <w:spacing w:val="-1"/>
        </w:rPr>
        <w:t>large</w:t>
      </w:r>
      <w:r>
        <w:rPr>
          <w:color w:val="231F20"/>
          <w:spacing w:val="-5"/>
        </w:rPr>
        <w:t> </w:t>
      </w:r>
      <w:r>
        <w:rPr>
          <w:color w:val="231F20"/>
        </w:rPr>
        <w:t>numbers</w:t>
      </w:r>
      <w:r>
        <w:rPr>
          <w:color w:val="231F20"/>
          <w:spacing w:val="-7"/>
        </w:rPr>
        <w:t> </w:t>
      </w:r>
      <w:r>
        <w:rPr>
          <w:color w:val="231F20"/>
        </w:rPr>
        <w:t>of</w:t>
      </w:r>
      <w:r>
        <w:rPr>
          <w:color w:val="231F20"/>
          <w:spacing w:val="-6"/>
        </w:rPr>
        <w:t> </w:t>
      </w:r>
      <w:r>
        <w:rPr>
          <w:color w:val="231F20"/>
        </w:rPr>
        <w:t>Aboriginal</w:t>
      </w:r>
      <w:r>
        <w:rPr>
          <w:color w:val="231F20"/>
          <w:spacing w:val="-5"/>
        </w:rPr>
        <w:t> </w:t>
      </w:r>
      <w:r>
        <w:rPr>
          <w:color w:val="231F20"/>
        </w:rPr>
        <w:t>and</w:t>
      </w:r>
      <w:r>
        <w:rPr>
          <w:color w:val="231F20"/>
          <w:spacing w:val="21"/>
          <w:w w:val="99"/>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4"/>
        </w:rPr>
        <w:t> </w:t>
      </w:r>
      <w:r>
        <w:rPr>
          <w:color w:val="231F20"/>
          <w:spacing w:val="-1"/>
        </w:rPr>
        <w:t>students</w:t>
      </w:r>
      <w:r>
        <w:rPr>
          <w:color w:val="231F20"/>
          <w:spacing w:val="-5"/>
        </w:rPr>
        <w:t> </w:t>
      </w:r>
      <w:r>
        <w:rPr>
          <w:color w:val="231F20"/>
        </w:rPr>
        <w:t>attending</w:t>
      </w:r>
      <w:r>
        <w:rPr>
          <w:color w:val="231F20"/>
          <w:spacing w:val="23"/>
          <w:w w:val="99"/>
        </w:rPr>
        <w:t> </w:t>
      </w:r>
      <w:r>
        <w:rPr>
          <w:color w:val="231F20"/>
        </w:rPr>
        <w:t>boarding.</w:t>
      </w:r>
      <w:r>
        <w:rPr>
          <w:color w:val="231F20"/>
          <w:spacing w:val="-6"/>
        </w:rPr>
        <w:t> </w:t>
      </w:r>
      <w:r>
        <w:rPr>
          <w:color w:val="231F20"/>
        </w:rPr>
        <w:t>The</w:t>
      </w:r>
      <w:r>
        <w:rPr>
          <w:color w:val="231F20"/>
          <w:spacing w:val="-4"/>
        </w:rPr>
        <w:t> </w:t>
      </w:r>
      <w:r>
        <w:rPr>
          <w:color w:val="231F20"/>
        </w:rPr>
        <w:t>role</w:t>
      </w:r>
      <w:r>
        <w:rPr>
          <w:color w:val="231F20"/>
          <w:spacing w:val="-5"/>
        </w:rPr>
        <w:t> </w:t>
      </w:r>
      <w:r>
        <w:rPr>
          <w:color w:val="231F20"/>
        </w:rPr>
        <w:t>and</w:t>
      </w:r>
      <w:r>
        <w:rPr>
          <w:color w:val="231F20"/>
          <w:spacing w:val="-6"/>
        </w:rPr>
        <w:t> </w:t>
      </w:r>
      <w:r>
        <w:rPr>
          <w:color w:val="231F20"/>
        </w:rPr>
        <w:t>function</w:t>
      </w:r>
      <w:r>
        <w:rPr>
          <w:color w:val="231F20"/>
          <w:spacing w:val="-4"/>
        </w:rPr>
        <w:t> </w:t>
      </w:r>
      <w:r>
        <w:rPr>
          <w:color w:val="231F20"/>
        </w:rPr>
        <w:t>of</w:t>
      </w:r>
      <w:r>
        <w:rPr>
          <w:color w:val="231F20"/>
          <w:spacing w:val="-5"/>
        </w:rPr>
        <w:t> </w:t>
      </w:r>
      <w:r>
        <w:rPr>
          <w:color w:val="231F20"/>
        </w:rPr>
        <w:t>the</w:t>
      </w:r>
      <w:r>
        <w:rPr>
          <w:color w:val="231F20"/>
          <w:spacing w:val="-5"/>
        </w:rPr>
        <w:t> </w:t>
      </w:r>
      <w:r>
        <w:rPr>
          <w:color w:val="231F20"/>
        </w:rPr>
        <w:t>units</w:t>
      </w:r>
      <w:r>
        <w:rPr>
          <w:color w:val="231F20"/>
        </w:rPr>
        <w:t> </w:t>
      </w:r>
      <w:r>
        <w:rPr>
          <w:color w:val="231F20"/>
          <w:spacing w:val="-1"/>
        </w:rPr>
        <w:t>should</w:t>
      </w:r>
      <w:r>
        <w:rPr>
          <w:color w:val="231F20"/>
          <w:spacing w:val="-5"/>
        </w:rPr>
        <w:t> </w:t>
      </w:r>
      <w:r>
        <w:rPr>
          <w:color w:val="231F20"/>
        </w:rPr>
        <w:t>be</w:t>
      </w:r>
      <w:r>
        <w:rPr>
          <w:color w:val="231F20"/>
          <w:spacing w:val="-5"/>
        </w:rPr>
        <w:t> </w:t>
      </w:r>
      <w:r>
        <w:rPr>
          <w:color w:val="231F20"/>
        </w:rPr>
        <w:t>expanded,</w:t>
      </w:r>
      <w:r>
        <w:rPr>
          <w:color w:val="231F20"/>
          <w:spacing w:val="-5"/>
        </w:rPr>
        <w:t> </w:t>
      </w:r>
      <w:r>
        <w:rPr>
          <w:color w:val="231F20"/>
        </w:rPr>
        <w:t>particularly</w:t>
      </w:r>
      <w:r>
        <w:rPr>
          <w:color w:val="231F20"/>
          <w:spacing w:val="-6"/>
        </w:rPr>
        <w:t> </w:t>
      </w:r>
      <w:r>
        <w:rPr>
          <w:color w:val="231F20"/>
          <w:spacing w:val="-1"/>
        </w:rPr>
        <w:t>in</w:t>
      </w:r>
      <w:r>
        <w:rPr>
          <w:color w:val="231F20"/>
          <w:spacing w:val="-5"/>
        </w:rPr>
        <w:t> </w:t>
      </w:r>
      <w:r>
        <w:rPr>
          <w:color w:val="231F20"/>
        </w:rPr>
        <w:t>relation</w:t>
      </w:r>
      <w:r>
        <w:rPr>
          <w:color w:val="231F20"/>
          <w:spacing w:val="-6"/>
        </w:rPr>
        <w:t> </w:t>
      </w:r>
      <w:r>
        <w:rPr>
          <w:color w:val="231F20"/>
        </w:rPr>
        <w:t>to</w:t>
      </w:r>
      <w:r>
        <w:rPr>
          <w:color w:val="231F20"/>
          <w:spacing w:val="23"/>
          <w:w w:val="99"/>
        </w:rPr>
        <w:t> </w:t>
      </w:r>
      <w:r>
        <w:rPr>
          <w:color w:val="231F20"/>
          <w:spacing w:val="-1"/>
        </w:rPr>
        <w:t>student</w:t>
      </w:r>
      <w:r>
        <w:rPr>
          <w:color w:val="231F20"/>
          <w:spacing w:val="-12"/>
        </w:rPr>
        <w:t> </w:t>
      </w:r>
      <w:r>
        <w:rPr>
          <w:color w:val="231F20"/>
        </w:rPr>
        <w:t>travel.</w:t>
      </w:r>
      <w:r>
        <w:rPr/>
      </w:r>
    </w:p>
    <w:p>
      <w:pPr>
        <w:spacing w:after="0" w:line="250" w:lineRule="exact"/>
        <w:jc w:val="left"/>
        <w:sectPr>
          <w:type w:val="continuous"/>
          <w:pgSz w:w="11910" w:h="16840"/>
          <w:pgMar w:top="1580" w:bottom="280" w:left="1300" w:right="1640"/>
          <w:cols w:num="2" w:equalWidth="0">
            <w:col w:w="4345" w:space="247"/>
            <w:col w:w="4378"/>
          </w:cols>
        </w:sectPr>
      </w:pPr>
    </w:p>
    <w:p>
      <w:pPr>
        <w:spacing w:line="240" w:lineRule="auto" w:before="0"/>
        <w:rPr>
          <w:rFonts w:ascii="Segoe UI" w:hAnsi="Segoe UI" w:cs="Segoe UI" w:eastAsia="Segoe UI"/>
          <w:sz w:val="20"/>
          <w:szCs w:val="20"/>
        </w:rPr>
      </w:pPr>
    </w:p>
    <w:p>
      <w:pPr>
        <w:spacing w:line="240" w:lineRule="auto" w:before="11"/>
        <w:rPr>
          <w:rFonts w:ascii="Segoe UI" w:hAnsi="Segoe UI" w:cs="Segoe UI" w:eastAsia="Segoe UI"/>
          <w:sz w:val="20"/>
          <w:szCs w:val="20"/>
        </w:rPr>
      </w:pPr>
    </w:p>
    <w:p>
      <w:pPr>
        <w:spacing w:after="0" w:line="240" w:lineRule="auto"/>
        <w:rPr>
          <w:rFonts w:ascii="Segoe UI" w:hAnsi="Segoe UI" w:cs="Segoe UI" w:eastAsia="Segoe UI"/>
          <w:sz w:val="20"/>
          <w:szCs w:val="20"/>
        </w:rPr>
        <w:sectPr>
          <w:pgSz w:w="11910" w:h="16840"/>
          <w:pgMar w:header="0" w:footer="691" w:top="1580" w:bottom="880" w:left="1600" w:right="1300"/>
        </w:sectPr>
      </w:pPr>
    </w:p>
    <w:p>
      <w:pPr>
        <w:spacing w:before="14"/>
        <w:ind w:left="100" w:right="0" w:firstLine="0"/>
        <w:jc w:val="left"/>
        <w:rPr>
          <w:rFonts w:ascii="Segoe UI" w:hAnsi="Segoe UI" w:cs="Segoe UI" w:eastAsia="Segoe UI"/>
          <w:sz w:val="32"/>
          <w:szCs w:val="32"/>
        </w:rPr>
      </w:pPr>
      <w:r>
        <w:rPr>
          <w:rFonts w:ascii="Segoe UI"/>
          <w:b/>
          <w:color w:val="452A70"/>
          <w:spacing w:val="-2"/>
          <w:sz w:val="32"/>
        </w:rPr>
        <w:t>S</w:t>
      </w:r>
      <w:r>
        <w:rPr>
          <w:rFonts w:ascii="Segoe UI"/>
          <w:b/>
          <w:color w:val="452A70"/>
          <w:spacing w:val="-3"/>
          <w:sz w:val="32"/>
        </w:rPr>
        <w:t>taffing</w:t>
      </w:r>
      <w:r>
        <w:rPr>
          <w:rFonts w:ascii="Segoe UI"/>
          <w:b/>
          <w:color w:val="452A70"/>
          <w:spacing w:val="-14"/>
          <w:sz w:val="32"/>
        </w:rPr>
        <w:t> </w:t>
      </w:r>
      <w:r>
        <w:rPr>
          <w:rFonts w:ascii="Segoe UI"/>
          <w:b/>
          <w:color w:val="452A70"/>
          <w:sz w:val="32"/>
        </w:rPr>
        <w:t>ratios</w:t>
      </w:r>
      <w:r>
        <w:rPr>
          <w:rFonts w:ascii="Segoe UI"/>
          <w:sz w:val="32"/>
        </w:rPr>
      </w:r>
    </w:p>
    <w:p>
      <w:pPr>
        <w:pStyle w:val="BodyText"/>
        <w:spacing w:line="250" w:lineRule="exact" w:before="111"/>
        <w:ind w:left="100" w:right="0"/>
        <w:jc w:val="left"/>
        <w:rPr>
          <w:rFonts w:ascii="Segoe UI" w:hAnsi="Segoe UI" w:cs="Segoe UI" w:eastAsia="Segoe UI"/>
        </w:rPr>
      </w:pPr>
      <w:r>
        <w:rPr>
          <w:color w:val="231F20"/>
        </w:rPr>
        <w:t>The</w:t>
      </w:r>
      <w:r>
        <w:rPr>
          <w:color w:val="231F20"/>
          <w:spacing w:val="-6"/>
        </w:rPr>
        <w:t> </w:t>
      </w:r>
      <w:r>
        <w:rPr>
          <w:color w:val="231F20"/>
        </w:rPr>
        <w:t>delivery</w:t>
      </w:r>
      <w:r>
        <w:rPr>
          <w:color w:val="231F20"/>
          <w:spacing w:val="-6"/>
        </w:rPr>
        <w:t> </w:t>
      </w:r>
      <w:r>
        <w:rPr>
          <w:color w:val="231F20"/>
        </w:rPr>
        <w:t>of</w:t>
      </w:r>
      <w:r>
        <w:rPr>
          <w:color w:val="231F20"/>
          <w:spacing w:val="-5"/>
        </w:rPr>
        <w:t> </w:t>
      </w:r>
      <w:r>
        <w:rPr>
          <w:color w:val="231F20"/>
        </w:rPr>
        <w:t>appropriate</w:t>
      </w:r>
      <w:r>
        <w:rPr>
          <w:color w:val="231F20"/>
          <w:spacing w:val="-6"/>
        </w:rPr>
        <w:t> </w:t>
      </w:r>
      <w:r>
        <w:rPr>
          <w:color w:val="231F20"/>
          <w:spacing w:val="-1"/>
        </w:rPr>
        <w:t>services</w:t>
      </w:r>
      <w:r>
        <w:rPr>
          <w:color w:val="231F20"/>
          <w:spacing w:val="-5"/>
        </w:rPr>
        <w:t> </w:t>
      </w:r>
      <w:r>
        <w:rPr>
          <w:color w:val="231F20"/>
        </w:rPr>
        <w:t>to</w:t>
      </w:r>
      <w:r>
        <w:rPr>
          <w:color w:val="231F20"/>
          <w:spacing w:val="-5"/>
        </w:rPr>
        <w:t> </w:t>
      </w:r>
      <w:r>
        <w:rPr>
          <w:color w:val="231F20"/>
          <w:spacing w:val="-1"/>
        </w:rPr>
        <w:t>support</w:t>
      </w:r>
      <w:r>
        <w:rPr>
          <w:color w:val="231F20"/>
          <w:spacing w:val="21"/>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boarders</w:t>
      </w:r>
      <w:r>
        <w:rPr>
          <w:color w:val="231F20"/>
          <w:spacing w:val="21"/>
          <w:w w:val="99"/>
        </w:rPr>
        <w:t> </w:t>
      </w:r>
      <w:r>
        <w:rPr>
          <w:rFonts w:ascii="Segoe UI"/>
          <w:color w:val="231F20"/>
        </w:rPr>
        <w:t>and their families requires adequate staffing</w:t>
      </w:r>
      <w:r>
        <w:rPr>
          <w:rFonts w:ascii="Segoe UI"/>
          <w:color w:val="231F20"/>
        </w:rPr>
        <w:t> numbers</w:t>
      </w:r>
      <w:r>
        <w:rPr>
          <w:rFonts w:ascii="Segoe UI"/>
          <w:color w:val="231F20"/>
          <w:spacing w:val="-1"/>
        </w:rPr>
        <w:t> </w:t>
      </w:r>
      <w:r>
        <w:rPr>
          <w:rFonts w:ascii="Segoe UI"/>
          <w:color w:val="231F20"/>
        </w:rPr>
        <w:t>and</w:t>
      </w:r>
      <w:r>
        <w:rPr>
          <w:rFonts w:ascii="Segoe UI"/>
          <w:color w:val="231F20"/>
          <w:spacing w:val="-1"/>
        </w:rPr>
        <w:t> </w:t>
      </w:r>
      <w:r>
        <w:rPr>
          <w:rFonts w:ascii="Segoe UI"/>
          <w:color w:val="231F20"/>
        </w:rPr>
        <w:t>the</w:t>
      </w:r>
      <w:r>
        <w:rPr>
          <w:rFonts w:ascii="Segoe UI"/>
          <w:color w:val="231F20"/>
          <w:spacing w:val="-1"/>
        </w:rPr>
        <w:t> </w:t>
      </w:r>
      <w:r>
        <w:rPr>
          <w:rFonts w:ascii="Segoe UI"/>
          <w:color w:val="231F20"/>
        </w:rPr>
        <w:t>right type</w:t>
      </w:r>
      <w:r>
        <w:rPr>
          <w:rFonts w:ascii="Segoe UI"/>
          <w:color w:val="231F20"/>
          <w:spacing w:val="-1"/>
        </w:rPr>
        <w:t> </w:t>
      </w:r>
      <w:r>
        <w:rPr>
          <w:rFonts w:ascii="Segoe UI"/>
          <w:color w:val="231F20"/>
        </w:rPr>
        <w:t>of</w:t>
      </w:r>
      <w:r>
        <w:rPr>
          <w:rFonts w:ascii="Segoe UI"/>
          <w:color w:val="231F20"/>
          <w:spacing w:val="-1"/>
        </w:rPr>
        <w:t> </w:t>
      </w:r>
      <w:r>
        <w:rPr>
          <w:rFonts w:ascii="Segoe UI"/>
          <w:color w:val="231F20"/>
        </w:rPr>
        <w:t>staff.</w:t>
      </w:r>
      <w:r>
        <w:rPr>
          <w:rFonts w:ascii="Segoe UI"/>
        </w:rPr>
      </w:r>
    </w:p>
    <w:p>
      <w:pPr>
        <w:pStyle w:val="BodyText"/>
        <w:spacing w:line="250" w:lineRule="exact" w:before="113"/>
        <w:ind w:left="100" w:right="92"/>
        <w:jc w:val="left"/>
      </w:pPr>
      <w:r>
        <w:rPr>
          <w:color w:val="231F20"/>
          <w:spacing w:val="-1"/>
        </w:rPr>
        <w:t>Section</w:t>
      </w:r>
      <w:r>
        <w:rPr>
          <w:color w:val="231F20"/>
          <w:spacing w:val="-3"/>
        </w:rPr>
        <w:t> </w:t>
      </w:r>
      <w:r>
        <w:rPr>
          <w:color w:val="231F20"/>
          <w:spacing w:val="-1"/>
        </w:rPr>
        <w:t>3.6</w:t>
      </w:r>
      <w:r>
        <w:rPr>
          <w:color w:val="231F20"/>
          <w:spacing w:val="-3"/>
        </w:rPr>
        <w:t> </w:t>
      </w:r>
      <w:r>
        <w:rPr>
          <w:color w:val="231F20"/>
        </w:rPr>
        <w:t>of</w:t>
      </w:r>
      <w:r>
        <w:rPr>
          <w:color w:val="231F20"/>
          <w:spacing w:val="-3"/>
        </w:rPr>
        <w:t> </w:t>
      </w:r>
      <w:r>
        <w:rPr>
          <w:color w:val="231F20"/>
        </w:rPr>
        <w:t>the</w:t>
      </w:r>
      <w:r>
        <w:rPr>
          <w:color w:val="231F20"/>
          <w:spacing w:val="-4"/>
        </w:rPr>
        <w:t> </w:t>
      </w:r>
      <w:r>
        <w:rPr>
          <w:color w:val="231F20"/>
          <w:spacing w:val="-1"/>
        </w:rPr>
        <w:t>Boarding</w:t>
      </w:r>
      <w:r>
        <w:rPr>
          <w:color w:val="231F20"/>
          <w:spacing w:val="-3"/>
        </w:rPr>
        <w:t> </w:t>
      </w:r>
      <w:r>
        <w:rPr>
          <w:color w:val="231F20"/>
          <w:spacing w:val="-1"/>
        </w:rPr>
        <w:t>Standard</w:t>
      </w:r>
      <w:r>
        <w:rPr>
          <w:rFonts w:ascii="Segoe UI Semibold"/>
          <w:b/>
          <w:color w:val="231F20"/>
          <w:spacing w:val="-1"/>
          <w:position w:val="7"/>
          <w:sz w:val="11"/>
        </w:rPr>
        <w:t>85</w:t>
      </w:r>
      <w:r>
        <w:rPr>
          <w:rFonts w:ascii="Segoe UI Semibold"/>
          <w:b/>
          <w:color w:val="231F20"/>
          <w:spacing w:val="23"/>
          <w:w w:val="106"/>
          <w:position w:val="7"/>
          <w:sz w:val="11"/>
        </w:rPr>
        <w:t> </w:t>
      </w:r>
      <w:r>
        <w:rPr>
          <w:color w:val="231F20"/>
          <w:spacing w:val="-1"/>
        </w:rPr>
        <w:t>stipulates</w:t>
      </w:r>
      <w:r>
        <w:rPr>
          <w:color w:val="231F20"/>
          <w:spacing w:val="-4"/>
        </w:rPr>
        <w:t> </w:t>
      </w:r>
      <w:r>
        <w:rPr>
          <w:color w:val="231F20"/>
        </w:rPr>
        <w:t>that</w:t>
      </w:r>
      <w:r>
        <w:rPr>
          <w:color w:val="231F20"/>
          <w:spacing w:val="-5"/>
        </w:rPr>
        <w:t> </w:t>
      </w:r>
      <w:r>
        <w:rPr>
          <w:color w:val="231F20"/>
        </w:rPr>
        <w:t>a</w:t>
      </w:r>
      <w:r>
        <w:rPr>
          <w:color w:val="231F20"/>
          <w:spacing w:val="-4"/>
        </w:rPr>
        <w:t> </w:t>
      </w:r>
      <w:r>
        <w:rPr>
          <w:color w:val="231F20"/>
        </w:rPr>
        <w:t>boarding</w:t>
      </w:r>
      <w:r>
        <w:rPr>
          <w:color w:val="231F20"/>
          <w:spacing w:val="-4"/>
        </w:rPr>
        <w:t> </w:t>
      </w:r>
      <w:r>
        <w:rPr>
          <w:color w:val="231F20"/>
        </w:rPr>
        <w:t>provider</w:t>
      </w:r>
      <w:r>
        <w:rPr>
          <w:color w:val="231F20"/>
          <w:spacing w:val="-5"/>
        </w:rPr>
        <w:t> </w:t>
      </w:r>
      <w:r>
        <w:rPr>
          <w:color w:val="231F20"/>
          <w:spacing w:val="-1"/>
        </w:rPr>
        <w:t>must</w:t>
      </w:r>
      <w:r>
        <w:rPr>
          <w:color w:val="231F20"/>
          <w:spacing w:val="-1"/>
        </w:rPr>
        <w:t> </w:t>
      </w:r>
      <w:r>
        <w:rPr>
          <w:color w:val="231F20"/>
          <w:spacing w:val="21"/>
        </w:rPr>
        <w:t> </w:t>
      </w:r>
      <w:r>
        <w:rPr>
          <w:color w:val="231F20"/>
        </w:rPr>
        <w:t>have</w:t>
      </w:r>
      <w:r>
        <w:rPr>
          <w:color w:val="231F20"/>
          <w:spacing w:val="-6"/>
        </w:rPr>
        <w:t> </w:t>
      </w:r>
      <w:r>
        <w:rPr>
          <w:color w:val="231F20"/>
        </w:rPr>
        <w:t>a</w:t>
      </w:r>
      <w:r>
        <w:rPr>
          <w:color w:val="231F20"/>
          <w:spacing w:val="-4"/>
        </w:rPr>
        <w:t> </w:t>
      </w:r>
      <w:r>
        <w:rPr>
          <w:color w:val="231F20"/>
        </w:rPr>
        <w:t>process</w:t>
      </w:r>
      <w:r>
        <w:rPr>
          <w:color w:val="231F20"/>
          <w:spacing w:val="-5"/>
        </w:rPr>
        <w:t> </w:t>
      </w:r>
      <w:r>
        <w:rPr>
          <w:color w:val="231F20"/>
          <w:spacing w:val="-1"/>
        </w:rPr>
        <w:t>in</w:t>
      </w:r>
      <w:r>
        <w:rPr>
          <w:color w:val="231F20"/>
          <w:spacing w:val="-5"/>
        </w:rPr>
        <w:t> </w:t>
      </w:r>
      <w:r>
        <w:rPr>
          <w:color w:val="231F20"/>
        </w:rPr>
        <w:t>place</w:t>
      </w:r>
      <w:r>
        <w:rPr>
          <w:color w:val="231F20"/>
          <w:spacing w:val="-5"/>
        </w:rPr>
        <w:t> </w:t>
      </w:r>
      <w:r>
        <w:rPr>
          <w:color w:val="231F20"/>
        </w:rPr>
        <w:t>to</w:t>
      </w:r>
      <w:r>
        <w:rPr>
          <w:color w:val="231F20"/>
          <w:spacing w:val="-4"/>
        </w:rPr>
        <w:t> </w:t>
      </w:r>
      <w:r>
        <w:rPr>
          <w:color w:val="231F20"/>
        </w:rPr>
        <w:t>determine</w:t>
      </w:r>
      <w:r>
        <w:rPr>
          <w:color w:val="231F20"/>
          <w:spacing w:val="-6"/>
        </w:rPr>
        <w:t> </w:t>
      </w:r>
      <w:r>
        <w:rPr>
          <w:color w:val="231F20"/>
        </w:rPr>
        <w:t>the</w:t>
      </w:r>
      <w:r>
        <w:rPr>
          <w:color w:val="231F20"/>
          <w:w w:val="99"/>
        </w:rPr>
        <w:t> </w:t>
      </w:r>
      <w:r>
        <w:rPr>
          <w:color w:val="231F20"/>
          <w:spacing w:val="21"/>
          <w:w w:val="99"/>
        </w:rPr>
        <w:t> </w:t>
      </w:r>
      <w:r>
        <w:rPr>
          <w:rFonts w:ascii="Segoe UI"/>
          <w:color w:val="231F20"/>
        </w:rPr>
        <w:t>ratio</w:t>
      </w:r>
      <w:r>
        <w:rPr>
          <w:rFonts w:ascii="Segoe UI"/>
          <w:color w:val="231F20"/>
          <w:spacing w:val="-1"/>
        </w:rPr>
        <w:t> </w:t>
      </w:r>
      <w:r>
        <w:rPr>
          <w:rFonts w:ascii="Segoe UI"/>
          <w:color w:val="231F20"/>
        </w:rPr>
        <w:t>of</w:t>
      </w:r>
      <w:r>
        <w:rPr>
          <w:rFonts w:ascii="Segoe UI"/>
          <w:color w:val="231F20"/>
          <w:spacing w:val="-1"/>
        </w:rPr>
        <w:t> </w:t>
      </w:r>
      <w:r>
        <w:rPr>
          <w:rFonts w:ascii="Segoe UI"/>
          <w:color w:val="231F20"/>
        </w:rPr>
        <w:t>trained staff</w:t>
      </w:r>
      <w:r>
        <w:rPr>
          <w:rFonts w:ascii="Segoe UI"/>
          <w:color w:val="231F20"/>
          <w:spacing w:val="-1"/>
        </w:rPr>
        <w:t> </w:t>
      </w:r>
      <w:r>
        <w:rPr>
          <w:rFonts w:ascii="Segoe UI"/>
          <w:color w:val="231F20"/>
        </w:rPr>
        <w:t>to boarders</w:t>
      </w:r>
      <w:r>
        <w:rPr>
          <w:rFonts w:ascii="Segoe UI"/>
          <w:color w:val="231F20"/>
          <w:spacing w:val="-1"/>
        </w:rPr>
        <w:t> </w:t>
      </w:r>
      <w:r>
        <w:rPr>
          <w:rFonts w:ascii="Segoe UI"/>
          <w:color w:val="231F20"/>
        </w:rPr>
        <w:t>for the</w:t>
      </w:r>
      <w:r>
        <w:rPr>
          <w:rFonts w:ascii="Segoe UI"/>
          <w:color w:val="231F20"/>
        </w:rPr>
        <w:t> </w:t>
      </w:r>
      <w:r>
        <w:rPr>
          <w:color w:val="231F20"/>
        </w:rPr>
        <w:t>appropriate</w:t>
      </w:r>
      <w:r>
        <w:rPr>
          <w:color w:val="231F20"/>
          <w:spacing w:val="-7"/>
        </w:rPr>
        <w:t> </w:t>
      </w:r>
      <w:r>
        <w:rPr>
          <w:color w:val="231F20"/>
        </w:rPr>
        <w:t>care</w:t>
      </w:r>
      <w:r>
        <w:rPr>
          <w:color w:val="231F20"/>
          <w:spacing w:val="-5"/>
        </w:rPr>
        <w:t> </w:t>
      </w:r>
      <w:r>
        <w:rPr>
          <w:color w:val="231F20"/>
        </w:rPr>
        <w:t>and</w:t>
      </w:r>
      <w:r>
        <w:rPr>
          <w:color w:val="231F20"/>
          <w:spacing w:val="-7"/>
        </w:rPr>
        <w:t> </w:t>
      </w:r>
      <w:r>
        <w:rPr>
          <w:color w:val="231F20"/>
          <w:spacing w:val="-1"/>
        </w:rPr>
        <w:t>supervision</w:t>
      </w:r>
      <w:r>
        <w:rPr>
          <w:color w:val="231F20"/>
          <w:spacing w:val="-4"/>
        </w:rPr>
        <w:t> </w:t>
      </w:r>
      <w:r>
        <w:rPr>
          <w:color w:val="231F20"/>
        </w:rPr>
        <w:t>of</w:t>
      </w:r>
      <w:r>
        <w:rPr>
          <w:color w:val="231F20"/>
          <w:spacing w:val="-6"/>
        </w:rPr>
        <w:t> </w:t>
      </w:r>
      <w:r>
        <w:rPr>
          <w:color w:val="231F20"/>
        </w:rPr>
        <w:t>boarders.</w:t>
      </w:r>
      <w:r>
        <w:rPr>
          <w:color w:val="231F20"/>
          <w:spacing w:val="22"/>
          <w:w w:val="99"/>
        </w:rPr>
        <w:t> </w:t>
      </w:r>
      <w:r>
        <w:rPr>
          <w:color w:val="231F20"/>
          <w:spacing w:val="-1"/>
        </w:rPr>
        <w:t>Section</w:t>
      </w:r>
      <w:r>
        <w:rPr>
          <w:color w:val="231F20"/>
          <w:spacing w:val="-4"/>
        </w:rPr>
        <w:t> </w:t>
      </w:r>
      <w:r>
        <w:rPr>
          <w:color w:val="231F20"/>
        </w:rPr>
        <w:t>3.7</w:t>
      </w:r>
      <w:r>
        <w:rPr>
          <w:color w:val="231F20"/>
          <w:spacing w:val="-3"/>
        </w:rPr>
        <w:t> </w:t>
      </w:r>
      <w:r>
        <w:rPr>
          <w:color w:val="231F20"/>
        </w:rPr>
        <w:t>has</w:t>
      </w:r>
      <w:r>
        <w:rPr>
          <w:color w:val="231F20"/>
          <w:spacing w:val="-5"/>
        </w:rPr>
        <w:t> </w:t>
      </w:r>
      <w:r>
        <w:rPr>
          <w:color w:val="231F20"/>
        </w:rPr>
        <w:t>requirements</w:t>
      </w:r>
      <w:r>
        <w:rPr>
          <w:color w:val="231F20"/>
          <w:spacing w:val="-5"/>
        </w:rPr>
        <w:t> </w:t>
      </w:r>
      <w:r>
        <w:rPr>
          <w:color w:val="231F20"/>
        </w:rPr>
        <w:t>for</w:t>
      </w:r>
      <w:r>
        <w:rPr>
          <w:color w:val="231F20"/>
          <w:spacing w:val="-3"/>
        </w:rPr>
        <w:t> </w:t>
      </w:r>
      <w:r>
        <w:rPr>
          <w:color w:val="231F20"/>
        </w:rPr>
        <w:t>policies</w:t>
      </w:r>
      <w:r>
        <w:rPr>
          <w:color w:val="231F20"/>
          <w:spacing w:val="-5"/>
        </w:rPr>
        <w:t> </w:t>
      </w:r>
      <w:r>
        <w:rPr>
          <w:color w:val="231F20"/>
        </w:rPr>
        <w:t>and</w:t>
      </w:r>
      <w:r>
        <w:rPr>
          <w:color w:val="231F20"/>
          <w:spacing w:val="22"/>
          <w:w w:val="99"/>
        </w:rPr>
        <w:t> </w:t>
      </w:r>
      <w:r>
        <w:rPr>
          <w:color w:val="231F20"/>
        </w:rPr>
        <w:t>procedures</w:t>
      </w:r>
      <w:r>
        <w:rPr>
          <w:color w:val="231F20"/>
          <w:spacing w:val="-14"/>
        </w:rPr>
        <w:t> </w:t>
      </w:r>
      <w:r>
        <w:rPr>
          <w:color w:val="231F20"/>
        </w:rPr>
        <w:t>for:</w:t>
      </w:r>
      <w:r>
        <w:rPr/>
      </w:r>
    </w:p>
    <w:p>
      <w:pPr>
        <w:pStyle w:val="BodyText"/>
        <w:spacing w:line="250" w:lineRule="exact" w:before="113"/>
        <w:ind w:left="327" w:right="92" w:hanging="227"/>
        <w:jc w:val="left"/>
      </w:pPr>
      <w:r>
        <w:rPr>
          <w:rFonts w:ascii="Century Gothic" w:hAnsi="Century Gothic"/>
          <w:color w:val="231F20"/>
        </w:rPr>
        <w:t>» </w:t>
      </w:r>
      <w:r>
        <w:rPr>
          <w:rFonts w:ascii="Century Gothic" w:hAnsi="Century Gothic"/>
          <w:color w:val="231F20"/>
          <w:spacing w:val="21"/>
        </w:rPr>
        <w:t> </w:t>
      </w:r>
      <w:r>
        <w:rPr>
          <w:color w:val="231F20"/>
        </w:rPr>
        <w:t>the</w:t>
      </w:r>
      <w:r>
        <w:rPr>
          <w:color w:val="231F20"/>
          <w:spacing w:val="-5"/>
        </w:rPr>
        <w:t> </w:t>
      </w:r>
      <w:r>
        <w:rPr>
          <w:color w:val="231F20"/>
          <w:spacing w:val="-1"/>
        </w:rPr>
        <w:t>induction</w:t>
      </w:r>
      <w:r>
        <w:rPr>
          <w:color w:val="231F20"/>
          <w:spacing w:val="-4"/>
        </w:rPr>
        <w:t> </w:t>
      </w:r>
      <w:r>
        <w:rPr>
          <w:color w:val="231F20"/>
        </w:rPr>
        <w:t>and</w:t>
      </w:r>
      <w:r>
        <w:rPr>
          <w:color w:val="231F20"/>
          <w:spacing w:val="-5"/>
        </w:rPr>
        <w:t> </w:t>
      </w:r>
      <w:r>
        <w:rPr>
          <w:color w:val="231F20"/>
        </w:rPr>
        <w:t>care</w:t>
      </w:r>
      <w:r>
        <w:rPr>
          <w:color w:val="231F20"/>
          <w:spacing w:val="-4"/>
        </w:rPr>
        <w:t> </w:t>
      </w:r>
      <w:r>
        <w:rPr>
          <w:color w:val="231F20"/>
        </w:rPr>
        <w:t>of</w:t>
      </w:r>
      <w:r>
        <w:rPr>
          <w:color w:val="231F20"/>
          <w:spacing w:val="-4"/>
        </w:rPr>
        <w:t> </w:t>
      </w:r>
      <w:r>
        <w:rPr>
          <w:color w:val="231F20"/>
        </w:rPr>
        <w:t>Aboriginal</w:t>
      </w:r>
      <w:r>
        <w:rPr>
          <w:color w:val="231F20"/>
          <w:spacing w:val="-4"/>
        </w:rPr>
        <w:t> </w:t>
      </w:r>
      <w:r>
        <w:rPr>
          <w:color w:val="231F20"/>
        </w:rPr>
        <w:t>and</w:t>
      </w:r>
      <w:r>
        <w:rPr>
          <w:color w:val="231F20"/>
          <w:spacing w:val="22"/>
          <w:w w:val="99"/>
        </w:rPr>
        <w:t> </w:t>
      </w:r>
      <w:r>
        <w:rPr>
          <w:color w:val="231F20"/>
          <w:spacing w:val="-5"/>
        </w:rPr>
        <w:t>Torres</w:t>
      </w:r>
      <w:r>
        <w:rPr>
          <w:color w:val="231F20"/>
          <w:spacing w:val="-7"/>
        </w:rPr>
        <w:t> </w:t>
      </w:r>
      <w:r>
        <w:rPr>
          <w:color w:val="231F20"/>
          <w:spacing w:val="-2"/>
        </w:rPr>
        <w:t>Strait</w:t>
      </w:r>
      <w:r>
        <w:rPr>
          <w:color w:val="231F20"/>
          <w:spacing w:val="-8"/>
        </w:rPr>
        <w:t> </w:t>
      </w:r>
      <w:r>
        <w:rPr>
          <w:color w:val="231F20"/>
          <w:spacing w:val="-1"/>
        </w:rPr>
        <w:t>Islander</w:t>
      </w:r>
      <w:r>
        <w:rPr>
          <w:color w:val="231F20"/>
          <w:spacing w:val="-6"/>
        </w:rPr>
        <w:t> </w:t>
      </w:r>
      <w:r>
        <w:rPr>
          <w:color w:val="231F20"/>
        </w:rPr>
        <w:t>boarders,</w:t>
      </w:r>
      <w:r>
        <w:rPr>
          <w:color w:val="231F20"/>
          <w:spacing w:val="-8"/>
        </w:rPr>
        <w:t> </w:t>
      </w:r>
      <w:r>
        <w:rPr>
          <w:color w:val="231F20"/>
          <w:spacing w:val="-1"/>
        </w:rPr>
        <w:t>including</w:t>
      </w:r>
      <w:r>
        <w:rPr>
          <w:color w:val="231F20"/>
          <w:spacing w:val="20"/>
          <w:w w:val="99"/>
        </w:rPr>
        <w:t> </w:t>
      </w:r>
      <w:r>
        <w:rPr>
          <w:color w:val="231F20"/>
        </w:rPr>
        <w:t>acknowledgement</w:t>
      </w:r>
      <w:r>
        <w:rPr>
          <w:color w:val="231F20"/>
          <w:spacing w:val="-9"/>
        </w:rPr>
        <w:t> </w:t>
      </w:r>
      <w:r>
        <w:rPr>
          <w:color w:val="231F20"/>
        </w:rPr>
        <w:t>of</w:t>
      </w:r>
      <w:r>
        <w:rPr>
          <w:color w:val="231F20"/>
          <w:spacing w:val="-8"/>
        </w:rPr>
        <w:t> </w:t>
      </w:r>
      <w:r>
        <w:rPr>
          <w:color w:val="231F20"/>
        </w:rPr>
        <w:t>their</w:t>
      </w:r>
      <w:r>
        <w:rPr>
          <w:color w:val="231F20"/>
          <w:spacing w:val="-9"/>
        </w:rPr>
        <w:t> </w:t>
      </w:r>
      <w:r>
        <w:rPr>
          <w:color w:val="231F20"/>
        </w:rPr>
        <w:t>culture</w:t>
      </w:r>
      <w:r>
        <w:rPr>
          <w:color w:val="231F20"/>
          <w:spacing w:val="-9"/>
        </w:rPr>
        <w:t> </w:t>
      </w:r>
      <w:r>
        <w:rPr>
          <w:color w:val="231F20"/>
        </w:rPr>
        <w:t>and</w:t>
      </w:r>
      <w:r>
        <w:rPr>
          <w:color w:val="231F20"/>
          <w:w w:val="99"/>
        </w:rPr>
        <w:t> </w:t>
      </w:r>
      <w:r>
        <w:rPr>
          <w:color w:val="231F20"/>
        </w:rPr>
        <w:t>heritage</w:t>
      </w:r>
      <w:r>
        <w:rPr/>
      </w:r>
    </w:p>
    <w:p>
      <w:pPr>
        <w:pStyle w:val="BodyText"/>
        <w:spacing w:line="250" w:lineRule="exact" w:before="113"/>
        <w:ind w:left="327" w:right="92" w:hanging="227"/>
        <w:jc w:val="left"/>
      </w:pPr>
      <w:r>
        <w:rPr>
          <w:rFonts w:ascii="Century Gothic" w:hAnsi="Century Gothic"/>
          <w:color w:val="231F20"/>
        </w:rPr>
        <w:t>» </w:t>
      </w:r>
      <w:r>
        <w:rPr>
          <w:rFonts w:ascii="Century Gothic" w:hAnsi="Century Gothic"/>
          <w:color w:val="231F20"/>
          <w:spacing w:val="23"/>
        </w:rPr>
        <w:t> </w:t>
      </w:r>
      <w:r>
        <w:rPr>
          <w:color w:val="231F20"/>
        </w:rPr>
        <w:t>the</w:t>
      </w:r>
      <w:r>
        <w:rPr>
          <w:color w:val="231F20"/>
          <w:spacing w:val="-4"/>
        </w:rPr>
        <w:t> </w:t>
      </w:r>
      <w:r>
        <w:rPr>
          <w:color w:val="231F20"/>
        </w:rPr>
        <w:t>access</w:t>
      </w:r>
      <w:r>
        <w:rPr>
          <w:color w:val="231F20"/>
          <w:spacing w:val="-3"/>
        </w:rPr>
        <w:t> </w:t>
      </w:r>
      <w:r>
        <w:rPr>
          <w:color w:val="231F20"/>
        </w:rPr>
        <w:t>and</w:t>
      </w:r>
      <w:r>
        <w:rPr>
          <w:color w:val="231F20"/>
          <w:spacing w:val="-4"/>
        </w:rPr>
        <w:t> </w:t>
      </w:r>
      <w:r>
        <w:rPr>
          <w:color w:val="231F20"/>
        </w:rPr>
        <w:t>care</w:t>
      </w:r>
      <w:r>
        <w:rPr>
          <w:color w:val="231F20"/>
          <w:spacing w:val="-3"/>
        </w:rPr>
        <w:t> </w:t>
      </w:r>
      <w:r>
        <w:rPr>
          <w:color w:val="231F20"/>
        </w:rPr>
        <w:t>of</w:t>
      </w:r>
      <w:r>
        <w:rPr>
          <w:color w:val="231F20"/>
          <w:spacing w:val="-3"/>
        </w:rPr>
        <w:t> </w:t>
      </w:r>
      <w:r>
        <w:rPr>
          <w:color w:val="231F20"/>
        </w:rPr>
        <w:t>boarders</w:t>
      </w:r>
      <w:r>
        <w:rPr>
          <w:color w:val="231F20"/>
          <w:spacing w:val="-4"/>
        </w:rPr>
        <w:t> </w:t>
      </w:r>
      <w:r>
        <w:rPr>
          <w:color w:val="231F20"/>
        </w:rPr>
        <w:t>with</w:t>
      </w:r>
      <w:r>
        <w:rPr>
          <w:color w:val="231F20"/>
          <w:w w:val="99"/>
        </w:rPr>
        <w:t> </w:t>
      </w:r>
      <w:r>
        <w:rPr>
          <w:color w:val="231F20"/>
        </w:rPr>
        <w:t>disabilities</w:t>
      </w:r>
      <w:r>
        <w:rPr/>
      </w:r>
    </w:p>
    <w:p>
      <w:pPr>
        <w:pStyle w:val="BodyText"/>
        <w:spacing w:line="258" w:lineRule="exact" w:before="97"/>
        <w:ind w:left="100" w:right="0"/>
        <w:jc w:val="left"/>
        <w:rPr>
          <w:rFonts w:ascii="Segoe UI" w:hAnsi="Segoe UI" w:cs="Segoe UI" w:eastAsia="Segoe UI"/>
        </w:rPr>
      </w:pPr>
      <w:r>
        <w:rPr>
          <w:rFonts w:ascii="Century Gothic" w:hAnsi="Century Gothic"/>
          <w:color w:val="231F20"/>
        </w:rPr>
        <w:t>» </w:t>
      </w:r>
      <w:r>
        <w:rPr>
          <w:rFonts w:ascii="Century Gothic" w:hAnsi="Century Gothic"/>
          <w:color w:val="231F20"/>
          <w:spacing w:val="30"/>
        </w:rPr>
        <w:t> </w:t>
      </w:r>
      <w:r>
        <w:rPr>
          <w:rFonts w:ascii="Segoe UI" w:hAnsi="Segoe UI"/>
          <w:color w:val="231F20"/>
        </w:rPr>
        <w:t>the support of boarders</w:t>
      </w:r>
      <w:r>
        <w:rPr>
          <w:rFonts w:ascii="Segoe UI" w:hAnsi="Segoe UI"/>
          <w:color w:val="231F20"/>
          <w:spacing w:val="-1"/>
        </w:rPr>
        <w:t> </w:t>
      </w:r>
      <w:r>
        <w:rPr>
          <w:rFonts w:ascii="Segoe UI" w:hAnsi="Segoe UI"/>
          <w:color w:val="231F20"/>
        </w:rPr>
        <w:t>with specific</w:t>
      </w:r>
      <w:r>
        <w:rPr>
          <w:rFonts w:ascii="Segoe UI" w:hAnsi="Segoe UI"/>
        </w:rPr>
      </w:r>
    </w:p>
    <w:p>
      <w:pPr>
        <w:pStyle w:val="BodyText"/>
        <w:spacing w:line="258" w:lineRule="exact"/>
        <w:ind w:left="0" w:right="2051"/>
        <w:jc w:val="center"/>
      </w:pPr>
      <w:r>
        <w:rPr>
          <w:color w:val="231F20"/>
        </w:rPr>
        <w:t>education</w:t>
      </w:r>
      <w:r>
        <w:rPr>
          <w:color w:val="231F20"/>
          <w:spacing w:val="-16"/>
        </w:rPr>
        <w:t> </w:t>
      </w:r>
      <w:r>
        <w:rPr>
          <w:color w:val="231F20"/>
        </w:rPr>
        <w:t>needs.</w:t>
      </w:r>
      <w:r>
        <w:rPr/>
      </w:r>
    </w:p>
    <w:p>
      <w:pPr>
        <w:pStyle w:val="BodyText"/>
        <w:spacing w:line="258" w:lineRule="exact" w:before="97"/>
        <w:ind w:left="100" w:right="0"/>
        <w:jc w:val="left"/>
      </w:pPr>
      <w:r>
        <w:rPr>
          <w:color w:val="231F20"/>
        </w:rPr>
        <w:t>The</w:t>
      </w:r>
      <w:r>
        <w:rPr>
          <w:color w:val="231F20"/>
          <w:spacing w:val="-5"/>
        </w:rPr>
        <w:t> </w:t>
      </w:r>
      <w:r>
        <w:rPr>
          <w:color w:val="231F20"/>
          <w:spacing w:val="-1"/>
        </w:rPr>
        <w:t>Boarding</w:t>
      </w:r>
      <w:r>
        <w:rPr>
          <w:color w:val="231F20"/>
          <w:spacing w:val="-5"/>
        </w:rPr>
        <w:t> </w:t>
      </w:r>
      <w:r>
        <w:rPr>
          <w:color w:val="231F20"/>
          <w:spacing w:val="-1"/>
        </w:rPr>
        <w:t>Standard</w:t>
      </w:r>
      <w:r>
        <w:rPr>
          <w:color w:val="231F20"/>
          <w:spacing w:val="-5"/>
        </w:rPr>
        <w:t> </w:t>
      </w:r>
      <w:r>
        <w:rPr>
          <w:color w:val="231F20"/>
        </w:rPr>
        <w:t>does</w:t>
      </w:r>
      <w:r>
        <w:rPr>
          <w:color w:val="231F20"/>
          <w:spacing w:val="-6"/>
        </w:rPr>
        <w:t> </w:t>
      </w:r>
      <w:r>
        <w:rPr>
          <w:color w:val="231F20"/>
        </w:rPr>
        <w:t>not</w:t>
      </w:r>
      <w:r>
        <w:rPr>
          <w:color w:val="231F20"/>
          <w:spacing w:val="-4"/>
        </w:rPr>
        <w:t> </w:t>
      </w:r>
      <w:r>
        <w:rPr>
          <w:color w:val="231F20"/>
        </w:rPr>
        <w:t>refer</w:t>
      </w:r>
      <w:r>
        <w:rPr>
          <w:color w:val="231F20"/>
          <w:spacing w:val="-6"/>
        </w:rPr>
        <w:t> </w:t>
      </w:r>
      <w:r>
        <w:rPr>
          <w:color w:val="231F20"/>
        </w:rPr>
        <w:t>to</w:t>
      </w:r>
      <w:r>
        <w:rPr/>
      </w:r>
    </w:p>
    <w:p>
      <w:pPr>
        <w:pStyle w:val="BodyText"/>
        <w:spacing w:line="258" w:lineRule="exact"/>
        <w:ind w:left="100" w:right="0"/>
        <w:jc w:val="left"/>
        <w:rPr>
          <w:rFonts w:ascii="Segoe UI" w:hAnsi="Segoe UI" w:cs="Segoe UI" w:eastAsia="Segoe UI"/>
        </w:rPr>
      </w:pPr>
      <w:r>
        <w:rPr/>
        <w:pict>
          <v:group style="position:absolute;margin-left:85.039001pt;margin-top:76.509315pt;width:439.4pt;height:279.9pt;mso-position-horizontal-relative:page;mso-position-vertical-relative:paragraph;z-index:3304" coordorigin="1701,1530" coordsize="8788,5598">
            <v:group style="position:absolute;left:9330;top:5779;width:582;height:2" coordorigin="9330,5779" coordsize="582,2">
              <v:shape style="position:absolute;left:9330;top:5779;width:582;height:2" coordorigin="9330,5779" coordsize="582,0" path="m9330,5779l9911,5779e" filled="false" stroked="true" strokeweight=".712pt" strokecolor="#dcddde">
                <v:path arrowok="t"/>
              </v:shape>
            </v:group>
            <v:group style="position:absolute;left:8655;top:5779;width:144;height:2" coordorigin="8655,5779" coordsize="144,2">
              <v:shape style="position:absolute;left:8655;top:5779;width:144;height:2" coordorigin="8655,5779" coordsize="144,0" path="m8655,5779l8799,5779e" filled="false" stroked="true" strokeweight=".712pt" strokecolor="#dcddde">
                <v:path arrowok="t"/>
              </v:shape>
            </v:group>
            <v:group style="position:absolute;left:6963;top:5779;width:1162;height:2" coordorigin="6963,5779" coordsize="1162,2">
              <v:shape style="position:absolute;left:6963;top:5779;width:1162;height:2" coordorigin="6963,5779" coordsize="1162,0" path="m6963,5779l8124,5779e" filled="false" stroked="true" strokeweight=".712pt" strokecolor="#dcddde">
                <v:path arrowok="t"/>
              </v:shape>
            </v:group>
            <v:group style="position:absolute;left:8655;top:5426;width:144;height:2" coordorigin="8655,5426" coordsize="144,2">
              <v:shape style="position:absolute;left:8655;top:5426;width:144;height:2" coordorigin="8655,5426" coordsize="144,0" path="m8655,5426l8799,5426e" filled="false" stroked="true" strokeweight=".712pt" strokecolor="#dcddde">
                <v:path arrowok="t"/>
              </v:shape>
            </v:group>
            <v:group style="position:absolute;left:6963;top:5426;width:1162;height:2" coordorigin="6963,5426" coordsize="1162,2">
              <v:shape style="position:absolute;left:6963;top:5426;width:1162;height:2" coordorigin="6963,5426" coordsize="1162,0" path="m6963,5426l8124,5426e" filled="false" stroked="true" strokeweight=".712pt" strokecolor="#dcddde">
                <v:path arrowok="t"/>
              </v:shape>
            </v:group>
            <v:group style="position:absolute;left:8655;top:5075;width:144;height:2" coordorigin="8655,5075" coordsize="144,2">
              <v:shape style="position:absolute;left:8655;top:5075;width:144;height:2" coordorigin="8655,5075" coordsize="144,0" path="m8655,5075l8799,5075e" filled="false" stroked="true" strokeweight=".712pt" strokecolor="#dcddde">
                <v:path arrowok="t"/>
              </v:shape>
            </v:group>
            <v:group style="position:absolute;left:6963;top:5075;width:1162;height:2" coordorigin="6963,5075" coordsize="1162,2">
              <v:shape style="position:absolute;left:6963;top:5075;width:1162;height:2" coordorigin="6963,5075" coordsize="1162,0" path="m6963,5075l8124,5075e" filled="false" stroked="true" strokeweight=".712pt" strokecolor="#dcddde">
                <v:path arrowok="t"/>
              </v:shape>
            </v:group>
            <v:group style="position:absolute;left:8655;top:4724;width:144;height:2" coordorigin="8655,4724" coordsize="144,2">
              <v:shape style="position:absolute;left:8655;top:4724;width:144;height:2" coordorigin="8655,4724" coordsize="144,0" path="m8655,4724l8799,4724e" filled="false" stroked="true" strokeweight=".712pt" strokecolor="#dcddde">
                <v:path arrowok="t"/>
              </v:shape>
            </v:group>
            <v:group style="position:absolute;left:6963;top:4724;width:1162;height:2" coordorigin="6963,4724" coordsize="1162,2">
              <v:shape style="position:absolute;left:6963;top:4724;width:1162;height:2" coordorigin="6963,4724" coordsize="1162,0" path="m6963,4724l8124,4724e" filled="false" stroked="true" strokeweight=".712pt" strokecolor="#dcddde">
                <v:path arrowok="t"/>
              </v:shape>
            </v:group>
            <v:group style="position:absolute;left:8655;top:4371;width:1256;height:2" coordorigin="8655,4371" coordsize="1256,2">
              <v:shape style="position:absolute;left:8655;top:4371;width:1256;height:2" coordorigin="8655,4371" coordsize="1256,0" path="m8655,4371l9911,4371e" filled="false" stroked="true" strokeweight=".712pt" strokecolor="#dcddde">
                <v:path arrowok="t"/>
              </v:shape>
            </v:group>
            <v:group style="position:absolute;left:6288;top:4371;width:1837;height:2" coordorigin="6288,4371" coordsize="1837,2">
              <v:shape style="position:absolute;left:6288;top:4371;width:1837;height:2" coordorigin="6288,4371" coordsize="1837,0" path="m6288,4371l8124,4371e" filled="false" stroked="true" strokeweight=".712pt" strokecolor="#dcddde">
                <v:path arrowok="t"/>
              </v:shape>
            </v:group>
            <v:group style="position:absolute;left:8655;top:4020;width:1256;height:2" coordorigin="8655,4020" coordsize="1256,2">
              <v:shape style="position:absolute;left:8655;top:4020;width:1256;height:2" coordorigin="8655,4020" coordsize="1256,0" path="m8655,4020l9911,4020e" filled="false" stroked="true" strokeweight=".712pt" strokecolor="#dcddde">
                <v:path arrowok="t"/>
              </v:shape>
            </v:group>
            <v:group style="position:absolute;left:2810;top:4020;width:5315;height:2" coordorigin="2810,4020" coordsize="5315,2">
              <v:shape style="position:absolute;left:2810;top:4020;width:5315;height:2" coordorigin="2810,4020" coordsize="5315,0" path="m2810,4020l8124,4020e" filled="false" stroked="true" strokeweight=".712pt" strokecolor="#dcddde">
                <v:path arrowok="t"/>
              </v:shape>
            </v:group>
            <v:group style="position:absolute;left:8655;top:3669;width:1256;height:2" coordorigin="8655,3669" coordsize="1256,2">
              <v:shape style="position:absolute;left:8655;top:3669;width:1256;height:2" coordorigin="8655,3669" coordsize="1256,0" path="m8655,3669l9911,3669e" filled="false" stroked="true" strokeweight=".712pt" strokecolor="#dcddde">
                <v:path arrowok="t"/>
              </v:shape>
            </v:group>
            <v:group style="position:absolute;left:2810;top:3669;width:5315;height:2" coordorigin="2810,3669" coordsize="5315,2">
              <v:shape style="position:absolute;left:2810;top:3669;width:5315;height:2" coordorigin="2810,3669" coordsize="5315,0" path="m2810,3669l8124,3669e" filled="false" stroked="true" strokeweight=".712pt" strokecolor="#dcddde">
                <v:path arrowok="t"/>
              </v:shape>
            </v:group>
            <v:group style="position:absolute;left:8655;top:3316;width:1256;height:2" coordorigin="8655,3316" coordsize="1256,2">
              <v:shape style="position:absolute;left:8655;top:3316;width:1256;height:2" coordorigin="8655,3316" coordsize="1256,0" path="m8655,3316l9911,3316e" filled="false" stroked="true" strokeweight=".712pt" strokecolor="#dcddde">
                <v:path arrowok="t"/>
              </v:shape>
            </v:group>
            <v:group style="position:absolute;left:2810;top:3316;width:5315;height:2" coordorigin="2810,3316" coordsize="5315,2">
              <v:shape style="position:absolute;left:2810;top:3316;width:5315;height:2" coordorigin="2810,3316" coordsize="5315,0" path="m2810,3316l8124,3316e" filled="false" stroked="true" strokeweight=".712pt" strokecolor="#dcddde">
                <v:path arrowok="t"/>
              </v:shape>
            </v:group>
            <v:group style="position:absolute;left:2810;top:2965;width:7101;height:2" coordorigin="2810,2965" coordsize="7101,2">
              <v:shape style="position:absolute;left:2810;top:2965;width:7101;height:2" coordorigin="2810,2965" coordsize="7101,0" path="m2810,2965l9911,2965e" filled="false" stroked="true" strokeweight=".712pt" strokecolor="#dcddde">
                <v:path arrowok="t"/>
              </v:shape>
            </v:group>
            <v:group style="position:absolute;left:8124;top:3020;width:531;height:3110" coordorigin="8124,3020" coordsize="531,3110">
              <v:shape style="position:absolute;left:8124;top:3020;width:531;height:3110" coordorigin="8124,3020" coordsize="531,3110" path="m8655,3020l8124,3020,8124,6130,8655,6130,8655,3020xe" filled="true" fillcolor="#71598f" stroked="false">
                <v:path arrowok="t"/>
                <v:fill type="solid"/>
              </v:shape>
            </v:group>
            <v:group style="position:absolute;left:6288;top:5779;width:144;height:2" coordorigin="6288,5779" coordsize="144,2">
              <v:shape style="position:absolute;left:6288;top:5779;width:144;height:2" coordorigin="6288,5779" coordsize="144,0" path="m6288,5779l6432,5779e" filled="false" stroked="true" strokeweight=".712pt" strokecolor="#dcddde">
                <v:path arrowok="t"/>
              </v:shape>
            </v:group>
            <v:group style="position:absolute;left:4596;top:5779;width:1162;height:2" coordorigin="4596,5779" coordsize="1162,2">
              <v:shape style="position:absolute;left:4596;top:5779;width:1162;height:2" coordorigin="4596,5779" coordsize="1162,0" path="m4596,5779l5758,5779e" filled="false" stroked="true" strokeweight=".712pt" strokecolor="#dcddde">
                <v:path arrowok="t"/>
              </v:shape>
            </v:group>
            <v:group style="position:absolute;left:6288;top:5426;width:144;height:2" coordorigin="6288,5426" coordsize="144,2">
              <v:shape style="position:absolute;left:6288;top:5426;width:144;height:2" coordorigin="6288,5426" coordsize="144,0" path="m6288,5426l6432,5426e" filled="false" stroked="true" strokeweight=".712pt" strokecolor="#dcddde">
                <v:path arrowok="t"/>
              </v:shape>
            </v:group>
            <v:group style="position:absolute;left:4596;top:5426;width:1162;height:2" coordorigin="4596,5426" coordsize="1162,2">
              <v:shape style="position:absolute;left:4596;top:5426;width:1162;height:2" coordorigin="4596,5426" coordsize="1162,0" path="m4596,5426l5758,5426e" filled="false" stroked="true" strokeweight=".712pt" strokecolor="#dcddde">
                <v:path arrowok="t"/>
              </v:shape>
            </v:group>
            <v:group style="position:absolute;left:6288;top:5075;width:144;height:2" coordorigin="6288,5075" coordsize="144,2">
              <v:shape style="position:absolute;left:6288;top:5075;width:144;height:2" coordorigin="6288,5075" coordsize="144,0" path="m6288,5075l6432,5075e" filled="false" stroked="true" strokeweight=".712pt" strokecolor="#dcddde">
                <v:path arrowok="t"/>
              </v:shape>
            </v:group>
            <v:group style="position:absolute;left:3921;top:5075;width:1837;height:2" coordorigin="3921,5075" coordsize="1837,2">
              <v:shape style="position:absolute;left:3921;top:5075;width:1837;height:2" coordorigin="3921,5075" coordsize="1837,0" path="m3921,5075l5758,5075e" filled="false" stroked="true" strokeweight=".712pt" strokecolor="#dcddde">
                <v:path arrowok="t"/>
              </v:shape>
            </v:group>
            <v:group style="position:absolute;left:6288;top:4724;width:144;height:2" coordorigin="6288,4724" coordsize="144,2">
              <v:shape style="position:absolute;left:6288;top:4724;width:144;height:2" coordorigin="6288,4724" coordsize="144,0" path="m6288,4724l6432,4724e" filled="false" stroked="true" strokeweight=".712pt" strokecolor="#dcddde">
                <v:path arrowok="t"/>
              </v:shape>
            </v:group>
            <v:group style="position:absolute;left:2810;top:4724;width:2948;height:2" coordorigin="2810,4724" coordsize="2948,2">
              <v:shape style="position:absolute;left:2810;top:4724;width:2948;height:2" coordorigin="2810,4724" coordsize="2948,0" path="m2810,4724l5758,4724e" filled="false" stroked="true" strokeweight=".712pt" strokecolor="#dcddde">
                <v:path arrowok="t"/>
              </v:shape>
            </v:group>
            <v:group style="position:absolute;left:2810;top:4371;width:2948;height:2" coordorigin="2810,4371" coordsize="2948,2">
              <v:shape style="position:absolute;left:2810;top:4371;width:2948;height:2" coordorigin="2810,4371" coordsize="2948,0" path="m2810,4371l5758,4371e" filled="false" stroked="true" strokeweight=".712pt" strokecolor="#dcddde">
                <v:path arrowok="t"/>
              </v:shape>
            </v:group>
            <v:group style="position:absolute;left:5758;top:4168;width:531;height:1962" coordorigin="5758,4168" coordsize="531,1962">
              <v:shape style="position:absolute;left:5758;top:4168;width:531;height:1962" coordorigin="5758,4168" coordsize="531,1962" path="m6288,4168l5758,4168,5758,6130,6288,6130,6288,4168xe" filled="true" fillcolor="#71598f" stroked="false">
                <v:path arrowok="t"/>
                <v:fill type="solid"/>
              </v:shape>
            </v:group>
            <v:group style="position:absolute;left:3921;top:5779;width:144;height:2" coordorigin="3921,5779" coordsize="144,2">
              <v:shape style="position:absolute;left:3921;top:5779;width:144;height:2" coordorigin="3921,5779" coordsize="144,0" path="m3921,5779l4065,5779e" filled="false" stroked="true" strokeweight=".712pt" strokecolor="#dcddde">
                <v:path arrowok="t"/>
              </v:shape>
            </v:group>
            <v:group style="position:absolute;left:2810;top:5779;width:581;height:2" coordorigin="2810,5779" coordsize="581,2">
              <v:shape style="position:absolute;left:2810;top:5779;width:581;height:2" coordorigin="2810,5779" coordsize="581,0" path="m2810,5779l3391,5779e" filled="false" stroked="true" strokeweight=".712pt" strokecolor="#dcddde">
                <v:path arrowok="t"/>
              </v:shape>
            </v:group>
            <v:group style="position:absolute;left:3921;top:5426;width:144;height:2" coordorigin="3921,5426" coordsize="144,2">
              <v:shape style="position:absolute;left:3921;top:5426;width:144;height:2" coordorigin="3921,5426" coordsize="144,0" path="m3921,5426l4065,5426e" filled="false" stroked="true" strokeweight=".712pt" strokecolor="#dcddde">
                <v:path arrowok="t"/>
              </v:shape>
            </v:group>
            <v:group style="position:absolute;left:2810;top:5426;width:581;height:2" coordorigin="2810,5426" coordsize="581,2">
              <v:shape style="position:absolute;left:2810;top:5426;width:581;height:2" coordorigin="2810,5426" coordsize="581,0" path="m2810,5426l3391,5426e" filled="false" stroked="true" strokeweight=".712pt" strokecolor="#dcddde">
                <v:path arrowok="t"/>
              </v:shape>
            </v:group>
            <v:group style="position:absolute;left:2810;top:5075;width:581;height:2" coordorigin="2810,5075" coordsize="581,2">
              <v:shape style="position:absolute;left:2810;top:5075;width:581;height:2" coordorigin="2810,5075" coordsize="581,0" path="m2810,5075l3391,5075e" filled="false" stroked="true" strokeweight=".712pt" strokecolor="#dcddde">
                <v:path arrowok="t"/>
              </v:shape>
            </v:group>
            <v:group style="position:absolute;left:3391;top:4954;width:531;height:1176" coordorigin="3391,4954" coordsize="531,1176">
              <v:shape style="position:absolute;left:3391;top:4954;width:531;height:1176" coordorigin="3391,4954" coordsize="531,1176" path="m3921,4954l3391,4954,3391,6130,3921,6130,3921,4954xe" filled="true" fillcolor="#71598f" stroked="false">
                <v:path arrowok="t"/>
                <v:fill type="solid"/>
              </v:shape>
            </v:group>
            <v:group style="position:absolute;left:9330;top:5426;width:582;height:2" coordorigin="9330,5426" coordsize="582,2">
              <v:shape style="position:absolute;left:9330;top:5426;width:582;height:2" coordorigin="9330,5426" coordsize="582,0" path="m9330,5426l9911,5426e" filled="false" stroked="true" strokeweight=".712pt" strokecolor="#dcddde">
                <v:path arrowok="t"/>
              </v:shape>
            </v:group>
            <v:group style="position:absolute;left:9330;top:5075;width:582;height:2" coordorigin="9330,5075" coordsize="582,2">
              <v:shape style="position:absolute;left:9330;top:5075;width:582;height:2" coordorigin="9330,5075" coordsize="582,0" path="m9330,5075l9911,5075e" filled="false" stroked="true" strokeweight=".712pt" strokecolor="#dcddde">
                <v:path arrowok="t"/>
              </v:shape>
            </v:group>
            <v:group style="position:absolute;left:9330;top:4724;width:582;height:2" coordorigin="9330,4724" coordsize="582,2">
              <v:shape style="position:absolute;left:9330;top:4724;width:582;height:2" coordorigin="9330,4724" coordsize="582,0" path="m9330,4724l9911,4724e" filled="false" stroked="true" strokeweight=".712pt" strokecolor="#dcddde">
                <v:path arrowok="t"/>
              </v:shape>
            </v:group>
            <v:group style="position:absolute;left:8799;top:4437;width:531;height:1693" coordorigin="8799,4437" coordsize="531,1693">
              <v:shape style="position:absolute;left:8799;top:4437;width:531;height:1693" coordorigin="8799,4437" coordsize="531,1693" path="m9330,4437l8799,4437,8799,6130,9330,6130,9330,4437xe" filled="true" fillcolor="#a99bbc" stroked="false">
                <v:path arrowok="t"/>
                <v:fill type="solid"/>
              </v:shape>
            </v:group>
            <v:group style="position:absolute;left:6432;top:4455;width:531;height:1675" coordorigin="6432,4455" coordsize="531,1675">
              <v:shape style="position:absolute;left:6432;top:4455;width:531;height:1675" coordorigin="6432,4455" coordsize="531,1675" path="m6963,4455l6432,4455,6432,6130,6963,6130,6963,4455xe" filled="true" fillcolor="#a99bbc" stroked="false">
                <v:path arrowok="t"/>
                <v:fill type="solid"/>
              </v:shape>
            </v:group>
            <v:group style="position:absolute;left:4065;top:5314;width:531;height:816" coordorigin="4065,5314" coordsize="531,816">
              <v:shape style="position:absolute;left:4065;top:5314;width:531;height:816" coordorigin="4065,5314" coordsize="531,816" path="m4596,5314l4065,5314,4065,6130,4596,6130,4596,5314xe" filled="true" fillcolor="#a99bbc" stroked="false">
                <v:path arrowok="t"/>
                <v:fill type="solid"/>
              </v:shape>
            </v:group>
            <v:group style="position:absolute;left:2810;top:6130;width:7101;height:2" coordorigin="2810,6130" coordsize="7101,2">
              <v:shape style="position:absolute;left:2810;top:6130;width:7101;height:2" coordorigin="2810,6130" coordsize="7101,0" path="m2810,6130l9911,6130e" filled="false" stroked="true" strokeweight=".712pt" strokecolor="#dcddde">
                <v:path arrowok="t"/>
              </v:shape>
            </v:group>
            <v:group style="position:absolute;left:2810;top:2614;width:7101;height:2" coordorigin="2810,2614" coordsize="7101,2">
              <v:shape style="position:absolute;left:2810;top:2614;width:7101;height:2" coordorigin="2810,2614" coordsize="7101,0" path="m2810,2614l9911,2614e" filled="false" stroked="true" strokeweight=".712pt" strokecolor="#dcddde">
                <v:path arrowok="t"/>
              </v:shape>
            </v:group>
            <v:group style="position:absolute;left:3537;top:6606;width:91;height:91" coordorigin="3537,6606" coordsize="91,91">
              <v:shape style="position:absolute;left:3537;top:6606;width:91;height:91" coordorigin="3537,6606" coordsize="91,91" path="m3537,6606l3628,6606,3628,6697,3537,6697,3537,6606xe" filled="true" fillcolor="#71598f" stroked="false">
                <v:path arrowok="t"/>
                <v:fill type="solid"/>
              </v:shape>
            </v:group>
            <v:group style="position:absolute;left:5498;top:6606;width:91;height:91" coordorigin="5498,6606" coordsize="91,91">
              <v:shape style="position:absolute;left:5498;top:6606;width:91;height:91" coordorigin="5498,6606" coordsize="91,91" path="m5498,6606l5589,6606,5589,6697,5498,6697,5498,6606xe" filled="true" fillcolor="#a99bbc" stroked="false">
                <v:path arrowok="t"/>
                <v:fill type="solid"/>
              </v:shape>
            </v:group>
            <v:group style="position:absolute;left:1801;top:1630;width:8588;height:5398" coordorigin="1801,1630" coordsize="8588,5398">
              <v:shape style="position:absolute;left:1801;top:1630;width:8588;height:5398" coordorigin="1801,1630" coordsize="8588,5398" path="m1801,7028l10388,7028,10388,1630,1801,1630,1801,7028xe" filled="false" stroked="true" strokeweight="10pt" strokecolor="#c1b5a9">
                <v:path arrowok="t"/>
              </v:shape>
              <v:shape style="position:absolute;left:1984;top:1841;width:8018;height:4377" type="#_x0000_t202" filled="false" stroked="false">
                <v:textbox inset="0,0,0,0">
                  <w:txbxContent>
                    <w:p>
                      <w:pPr>
                        <w:spacing w:line="172" w:lineRule="exact" w:before="0"/>
                        <w:ind w:left="2" w:right="0" w:firstLine="0"/>
                        <w:jc w:val="left"/>
                        <w:rPr>
                          <w:rFonts w:ascii="Segoe UI Semibold" w:hAnsi="Segoe UI Semibold" w:cs="Segoe UI Semibold" w:eastAsia="Segoe UI Semibold"/>
                          <w:sz w:val="16"/>
                          <w:szCs w:val="16"/>
                        </w:rPr>
                      </w:pPr>
                      <w:r>
                        <w:rPr>
                          <w:rFonts w:ascii="Segoe UI Semibold"/>
                          <w:b/>
                          <w:color w:val="666155"/>
                          <w:spacing w:val="4"/>
                          <w:sz w:val="16"/>
                        </w:rPr>
                        <w:t>GRAPH</w:t>
                      </w:r>
                      <w:r>
                        <w:rPr>
                          <w:rFonts w:ascii="Segoe UI Semibold"/>
                          <w:b/>
                          <w:color w:val="666155"/>
                          <w:spacing w:val="-1"/>
                          <w:sz w:val="16"/>
                        </w:rPr>
                        <w:t> </w:t>
                      </w:r>
                      <w:r>
                        <w:rPr>
                          <w:rFonts w:ascii="Segoe UI Semibold"/>
                          <w:b/>
                          <w:color w:val="666155"/>
                          <w:sz w:val="16"/>
                        </w:rPr>
                        <w:t>8: </w:t>
                      </w:r>
                      <w:r>
                        <w:rPr>
                          <w:rFonts w:ascii="Segoe UI Semibold"/>
                          <w:b/>
                          <w:color w:val="666155"/>
                          <w:spacing w:val="3"/>
                          <w:sz w:val="16"/>
                        </w:rPr>
                        <w:t>FIVE </w:t>
                      </w:r>
                      <w:r>
                        <w:rPr>
                          <w:rFonts w:ascii="Segoe UI Semibold"/>
                          <w:b/>
                          <w:color w:val="666155"/>
                          <w:spacing w:val="4"/>
                          <w:sz w:val="16"/>
                        </w:rPr>
                        <w:t>YEAR</w:t>
                      </w:r>
                      <w:r>
                        <w:rPr>
                          <w:rFonts w:ascii="Segoe UI Semibold"/>
                          <w:b/>
                          <w:color w:val="666155"/>
                          <w:spacing w:val="3"/>
                          <w:sz w:val="16"/>
                        </w:rPr>
                        <w:t> </w:t>
                      </w:r>
                      <w:r>
                        <w:rPr>
                          <w:rFonts w:ascii="Segoe UI Semibold"/>
                          <w:b/>
                          <w:color w:val="666155"/>
                          <w:spacing w:val="2"/>
                          <w:sz w:val="16"/>
                        </w:rPr>
                        <w:t>AVERAGE</w:t>
                      </w:r>
                      <w:r>
                        <w:rPr>
                          <w:rFonts w:ascii="Segoe UI Semibold"/>
                          <w:b/>
                          <w:color w:val="666155"/>
                          <w:spacing w:val="3"/>
                          <w:sz w:val="16"/>
                        </w:rPr>
                        <w:t> </w:t>
                      </w:r>
                      <w:r>
                        <w:rPr>
                          <w:rFonts w:ascii="Segoe UI Semibold"/>
                          <w:b/>
                          <w:color w:val="666155"/>
                          <w:spacing w:val="-1"/>
                          <w:sz w:val="16"/>
                        </w:rPr>
                        <w:t>TOTAL</w:t>
                      </w:r>
                      <w:r>
                        <w:rPr>
                          <w:rFonts w:ascii="Segoe UI Semibold"/>
                          <w:b/>
                          <w:color w:val="666155"/>
                          <w:spacing w:val="3"/>
                          <w:sz w:val="16"/>
                        </w:rPr>
                        <w:t> </w:t>
                      </w:r>
                      <w:r>
                        <w:rPr>
                          <w:rFonts w:ascii="Segoe UI Semibold"/>
                          <w:b/>
                          <w:color w:val="666155"/>
                          <w:spacing w:val="-1"/>
                          <w:sz w:val="16"/>
                        </w:rPr>
                        <w:t>STAFF,</w:t>
                      </w:r>
                      <w:r>
                        <w:rPr>
                          <w:rFonts w:ascii="Segoe UI Semibold"/>
                          <w:b/>
                          <w:color w:val="666155"/>
                          <w:sz w:val="16"/>
                        </w:rPr>
                        <w:t> </w:t>
                      </w:r>
                      <w:r>
                        <w:rPr>
                          <w:rFonts w:ascii="Segoe UI Semibold"/>
                          <w:b/>
                          <w:color w:val="666155"/>
                          <w:spacing w:val="4"/>
                          <w:sz w:val="16"/>
                        </w:rPr>
                        <w:t>TEACHING</w:t>
                      </w:r>
                      <w:r>
                        <w:rPr>
                          <w:rFonts w:ascii="Segoe UI Semibold"/>
                          <w:b/>
                          <w:color w:val="666155"/>
                          <w:spacing w:val="3"/>
                          <w:sz w:val="16"/>
                        </w:rPr>
                        <w:t> </w:t>
                      </w:r>
                      <w:r>
                        <w:rPr>
                          <w:rFonts w:ascii="Segoe UI Semibold"/>
                          <w:b/>
                          <w:color w:val="666155"/>
                          <w:spacing w:val="1"/>
                          <w:sz w:val="16"/>
                        </w:rPr>
                        <w:t>STAFF</w:t>
                      </w:r>
                      <w:r>
                        <w:rPr>
                          <w:rFonts w:ascii="Segoe UI Semibold"/>
                          <w:b/>
                          <w:color w:val="666155"/>
                          <w:spacing w:val="2"/>
                          <w:sz w:val="16"/>
                        </w:rPr>
                        <w:t> </w:t>
                      </w:r>
                      <w:r>
                        <w:rPr>
                          <w:rFonts w:ascii="Segoe UI Semibold"/>
                          <w:b/>
                          <w:color w:val="666155"/>
                          <w:spacing w:val="3"/>
                          <w:sz w:val="16"/>
                        </w:rPr>
                        <w:t>AND </w:t>
                      </w:r>
                      <w:r>
                        <w:rPr>
                          <w:rFonts w:ascii="Segoe UI Semibold"/>
                          <w:b/>
                          <w:color w:val="666155"/>
                          <w:spacing w:val="4"/>
                          <w:sz w:val="16"/>
                        </w:rPr>
                        <w:t>NON</w:t>
                      </w:r>
                      <w:r>
                        <w:rPr>
                          <w:rFonts w:ascii="Segoe UI Semibold"/>
                          <w:b/>
                          <w:color w:val="666155"/>
                          <w:spacing w:val="4"/>
                          <w:position w:val="1"/>
                          <w:sz w:val="16"/>
                        </w:rPr>
                        <w:t>-</w:t>
                      </w:r>
                      <w:r>
                        <w:rPr>
                          <w:rFonts w:ascii="Segoe UI Semibold"/>
                          <w:b/>
                          <w:color w:val="666155"/>
                          <w:spacing w:val="4"/>
                          <w:sz w:val="16"/>
                        </w:rPr>
                        <w:t>TEACHING</w:t>
                      </w:r>
                      <w:r>
                        <w:rPr>
                          <w:rFonts w:ascii="Segoe UI Semibold"/>
                          <w:b/>
                          <w:color w:val="666155"/>
                          <w:spacing w:val="3"/>
                          <w:sz w:val="16"/>
                        </w:rPr>
                        <w:t> </w:t>
                      </w:r>
                      <w:r>
                        <w:rPr>
                          <w:rFonts w:ascii="Segoe UI Semibold"/>
                          <w:b/>
                          <w:color w:val="666155"/>
                          <w:spacing w:val="1"/>
                          <w:sz w:val="16"/>
                        </w:rPr>
                        <w:t>STAFF</w:t>
                      </w:r>
                      <w:r>
                        <w:rPr>
                          <w:rFonts w:ascii="Segoe UI Semibold"/>
                          <w:b/>
                          <w:color w:val="666155"/>
                          <w:spacing w:val="3"/>
                          <w:sz w:val="16"/>
                        </w:rPr>
                        <w:t> </w:t>
                      </w:r>
                      <w:r>
                        <w:rPr>
                          <w:rFonts w:ascii="Segoe UI Semibold"/>
                          <w:b/>
                          <w:color w:val="666155"/>
                          <w:spacing w:val="-1"/>
                          <w:sz w:val="16"/>
                        </w:rPr>
                        <w:t>TO</w:t>
                      </w:r>
                      <w:r>
                        <w:rPr>
                          <w:rFonts w:ascii="Segoe UI Semibold"/>
                          <w:b/>
                          <w:color w:val="666155"/>
                          <w:spacing w:val="3"/>
                          <w:sz w:val="16"/>
                        </w:rPr>
                        <w:t> </w:t>
                      </w:r>
                      <w:r>
                        <w:rPr>
                          <w:rFonts w:ascii="Segoe UI Semibold"/>
                          <w:b/>
                          <w:color w:val="666155"/>
                          <w:spacing w:val="5"/>
                          <w:sz w:val="16"/>
                        </w:rPr>
                        <w:t>STUDENT</w:t>
                      </w:r>
                      <w:r>
                        <w:rPr>
                          <w:rFonts w:ascii="Segoe UI Semibold"/>
                          <w:sz w:val="16"/>
                        </w:rPr>
                      </w:r>
                    </w:p>
                    <w:p>
                      <w:pPr>
                        <w:spacing w:line="200" w:lineRule="exact" w:before="6"/>
                        <w:ind w:left="0" w:right="221" w:firstLine="2"/>
                        <w:jc w:val="left"/>
                        <w:rPr>
                          <w:rFonts w:ascii="Segoe UI Semibold" w:hAnsi="Segoe UI Semibold" w:cs="Segoe UI Semibold" w:eastAsia="Segoe UI Semibold"/>
                          <w:sz w:val="16"/>
                          <w:szCs w:val="16"/>
                        </w:rPr>
                      </w:pPr>
                      <w:r>
                        <w:rPr>
                          <w:rFonts w:ascii="Segoe UI Semibold" w:hAnsi="Segoe UI Semibold" w:cs="Segoe UI Semibold" w:eastAsia="Segoe UI Semibold"/>
                          <w:b/>
                          <w:bCs/>
                          <w:color w:val="666155"/>
                          <w:spacing w:val="1"/>
                          <w:sz w:val="16"/>
                          <w:szCs w:val="16"/>
                        </w:rPr>
                        <w:t>RATIO</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3"/>
                          <w:sz w:val="16"/>
                          <w:szCs w:val="16"/>
                        </w:rPr>
                        <w:t>FOR</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4"/>
                          <w:sz w:val="16"/>
                          <w:szCs w:val="16"/>
                        </w:rPr>
                        <w:t>ABORIGINAL</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3"/>
                          <w:sz w:val="16"/>
                          <w:szCs w:val="16"/>
                        </w:rPr>
                        <w:t>AND</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3"/>
                          <w:sz w:val="16"/>
                          <w:szCs w:val="16"/>
                        </w:rPr>
                        <w:t>TORRES</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4"/>
                          <w:sz w:val="16"/>
                          <w:szCs w:val="16"/>
                        </w:rPr>
                        <w:t>STRAIT</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4"/>
                          <w:sz w:val="16"/>
                          <w:szCs w:val="16"/>
                        </w:rPr>
                        <w:t>ISLANDER</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3"/>
                          <w:sz w:val="16"/>
                          <w:szCs w:val="16"/>
                        </w:rPr>
                        <w:t>AND</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4"/>
                          <w:sz w:val="16"/>
                          <w:szCs w:val="16"/>
                        </w:rPr>
                        <w:t>MAINSTREAM</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4"/>
                          <w:sz w:val="16"/>
                          <w:szCs w:val="16"/>
                        </w:rPr>
                        <w:t>BOARDING</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PROVIDERS,</w:t>
                      </w:r>
                      <w:r>
                        <w:rPr>
                          <w:rFonts w:ascii="Segoe UI Semibold" w:hAnsi="Segoe UI Semibold" w:cs="Segoe UI Semibold" w:eastAsia="Segoe UI Semibold"/>
                          <w:b/>
                          <w:bCs/>
                          <w:color w:val="666155"/>
                          <w:spacing w:val="60"/>
                          <w:sz w:val="16"/>
                          <w:szCs w:val="16"/>
                        </w:rPr>
                        <w:t> </w:t>
                      </w:r>
                      <w:r>
                        <w:rPr>
                          <w:rFonts w:ascii="Segoe UI Semibold" w:hAnsi="Segoe UI Semibold" w:cs="Segoe UI Semibold" w:eastAsia="Segoe UI Semibold"/>
                          <w:b/>
                          <w:bCs/>
                          <w:color w:val="666155"/>
                          <w:spacing w:val="-1"/>
                          <w:sz w:val="16"/>
                          <w:szCs w:val="16"/>
                        </w:rPr>
                        <w:t>2012</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position w:val="1"/>
                          <w:sz w:val="16"/>
                          <w:szCs w:val="16"/>
                        </w:rPr>
                        <w:t>— </w:t>
                      </w:r>
                      <w:r>
                        <w:rPr>
                          <w:rFonts w:ascii="Segoe UI Semibold" w:hAnsi="Segoe UI Semibold" w:cs="Segoe UI Semibold" w:eastAsia="Segoe UI Semibold"/>
                          <w:b/>
                          <w:bCs/>
                          <w:color w:val="666155"/>
                          <w:spacing w:val="-1"/>
                          <w:sz w:val="16"/>
                          <w:szCs w:val="16"/>
                        </w:rPr>
                        <w:t>2017</w:t>
                      </w:r>
                      <w:r>
                        <w:rPr>
                          <w:rFonts w:ascii="Segoe UI Semibold" w:hAnsi="Segoe UI Semibold" w:cs="Segoe UI Semibold" w:eastAsia="Segoe UI Semibold"/>
                          <w:sz w:val="16"/>
                          <w:szCs w:val="16"/>
                        </w:rPr>
                      </w:r>
                    </w:p>
                    <w:p>
                      <w:pPr>
                        <w:spacing w:before="83"/>
                        <w:ind w:left="506" w:right="0" w:firstLine="0"/>
                        <w:jc w:val="left"/>
                        <w:rPr>
                          <w:rFonts w:ascii="Segoe UI" w:hAnsi="Segoe UI" w:cs="Segoe UI" w:eastAsia="Segoe UI"/>
                          <w:sz w:val="15"/>
                          <w:szCs w:val="15"/>
                        </w:rPr>
                      </w:pPr>
                      <w:r>
                        <w:rPr>
                          <w:rFonts w:ascii="Segoe UI"/>
                          <w:color w:val="77787B"/>
                          <w:spacing w:val="-1"/>
                          <w:sz w:val="15"/>
                        </w:rPr>
                        <w:t>20</w:t>
                      </w:r>
                      <w:r>
                        <w:rPr>
                          <w:rFonts w:ascii="Segoe UI"/>
                          <w:sz w:val="15"/>
                        </w:rPr>
                      </w:r>
                    </w:p>
                    <w:p>
                      <w:pPr>
                        <w:spacing w:line="240" w:lineRule="auto" w:before="6"/>
                        <w:rPr>
                          <w:rFonts w:ascii="Segoe UI" w:hAnsi="Segoe UI" w:cs="Segoe UI" w:eastAsia="Segoe UI"/>
                          <w:sz w:val="11"/>
                          <w:szCs w:val="11"/>
                        </w:rPr>
                      </w:pPr>
                    </w:p>
                    <w:p>
                      <w:pPr>
                        <w:spacing w:before="0"/>
                        <w:ind w:left="506" w:right="0" w:firstLine="0"/>
                        <w:jc w:val="left"/>
                        <w:rPr>
                          <w:rFonts w:ascii="Segoe UI" w:hAnsi="Segoe UI" w:cs="Segoe UI" w:eastAsia="Segoe UI"/>
                          <w:sz w:val="15"/>
                          <w:szCs w:val="15"/>
                        </w:rPr>
                      </w:pPr>
                      <w:r>
                        <w:rPr>
                          <w:rFonts w:ascii="Segoe UI"/>
                          <w:color w:val="77787B"/>
                          <w:spacing w:val="-1"/>
                          <w:sz w:val="15"/>
                        </w:rPr>
                        <w:t>18</w:t>
                      </w:r>
                      <w:r>
                        <w:rPr>
                          <w:rFonts w:ascii="Segoe UI"/>
                          <w:sz w:val="15"/>
                        </w:rPr>
                      </w:r>
                    </w:p>
                    <w:p>
                      <w:pPr>
                        <w:spacing w:line="240" w:lineRule="auto" w:before="6"/>
                        <w:rPr>
                          <w:rFonts w:ascii="Segoe UI" w:hAnsi="Segoe UI" w:cs="Segoe UI" w:eastAsia="Segoe UI"/>
                          <w:sz w:val="11"/>
                          <w:szCs w:val="11"/>
                        </w:rPr>
                      </w:pPr>
                    </w:p>
                    <w:p>
                      <w:pPr>
                        <w:spacing w:before="0"/>
                        <w:ind w:left="506" w:right="0" w:firstLine="0"/>
                        <w:jc w:val="left"/>
                        <w:rPr>
                          <w:rFonts w:ascii="Segoe UI" w:hAnsi="Segoe UI" w:cs="Segoe UI" w:eastAsia="Segoe UI"/>
                          <w:sz w:val="15"/>
                          <w:szCs w:val="15"/>
                        </w:rPr>
                      </w:pPr>
                      <w:r>
                        <w:rPr>
                          <w:rFonts w:ascii="Segoe UI"/>
                          <w:color w:val="77787B"/>
                          <w:spacing w:val="-1"/>
                          <w:sz w:val="15"/>
                        </w:rPr>
                        <w:t>16</w:t>
                      </w:r>
                      <w:r>
                        <w:rPr>
                          <w:rFonts w:ascii="Segoe UI"/>
                          <w:sz w:val="15"/>
                        </w:rPr>
                      </w:r>
                    </w:p>
                    <w:p>
                      <w:pPr>
                        <w:spacing w:line="240" w:lineRule="auto" w:before="6"/>
                        <w:rPr>
                          <w:rFonts w:ascii="Segoe UI" w:hAnsi="Segoe UI" w:cs="Segoe UI" w:eastAsia="Segoe UI"/>
                          <w:sz w:val="11"/>
                          <w:szCs w:val="11"/>
                        </w:rPr>
                      </w:pPr>
                    </w:p>
                    <w:p>
                      <w:pPr>
                        <w:spacing w:before="0"/>
                        <w:ind w:left="506" w:right="0" w:firstLine="0"/>
                        <w:jc w:val="left"/>
                        <w:rPr>
                          <w:rFonts w:ascii="Segoe UI" w:hAnsi="Segoe UI" w:cs="Segoe UI" w:eastAsia="Segoe UI"/>
                          <w:sz w:val="15"/>
                          <w:szCs w:val="15"/>
                        </w:rPr>
                      </w:pPr>
                      <w:r>
                        <w:rPr>
                          <w:rFonts w:ascii="Segoe UI"/>
                          <w:color w:val="77787B"/>
                          <w:spacing w:val="-1"/>
                          <w:sz w:val="15"/>
                        </w:rPr>
                        <w:t>14</w:t>
                      </w:r>
                      <w:r>
                        <w:rPr>
                          <w:rFonts w:ascii="Segoe UI"/>
                          <w:sz w:val="15"/>
                        </w:rPr>
                      </w:r>
                    </w:p>
                    <w:p>
                      <w:pPr>
                        <w:spacing w:line="240" w:lineRule="auto" w:before="6"/>
                        <w:rPr>
                          <w:rFonts w:ascii="Segoe UI" w:hAnsi="Segoe UI" w:cs="Segoe UI" w:eastAsia="Segoe UI"/>
                          <w:sz w:val="11"/>
                          <w:szCs w:val="11"/>
                        </w:rPr>
                      </w:pPr>
                    </w:p>
                    <w:p>
                      <w:pPr>
                        <w:spacing w:before="0"/>
                        <w:ind w:left="506" w:right="0" w:firstLine="0"/>
                        <w:jc w:val="left"/>
                        <w:rPr>
                          <w:rFonts w:ascii="Segoe UI" w:hAnsi="Segoe UI" w:cs="Segoe UI" w:eastAsia="Segoe UI"/>
                          <w:sz w:val="15"/>
                          <w:szCs w:val="15"/>
                        </w:rPr>
                      </w:pPr>
                      <w:r>
                        <w:rPr>
                          <w:rFonts w:ascii="Segoe UI"/>
                          <w:color w:val="77787B"/>
                          <w:spacing w:val="-1"/>
                          <w:sz w:val="15"/>
                        </w:rPr>
                        <w:t>12</w:t>
                      </w:r>
                      <w:r>
                        <w:rPr>
                          <w:rFonts w:ascii="Segoe UI"/>
                          <w:sz w:val="15"/>
                        </w:rPr>
                      </w:r>
                    </w:p>
                    <w:p>
                      <w:pPr>
                        <w:spacing w:line="240" w:lineRule="auto" w:before="6"/>
                        <w:rPr>
                          <w:rFonts w:ascii="Segoe UI" w:hAnsi="Segoe UI" w:cs="Segoe UI" w:eastAsia="Segoe UI"/>
                          <w:sz w:val="11"/>
                          <w:szCs w:val="11"/>
                        </w:rPr>
                      </w:pPr>
                    </w:p>
                    <w:p>
                      <w:pPr>
                        <w:spacing w:before="0"/>
                        <w:ind w:left="506" w:right="0" w:firstLine="0"/>
                        <w:jc w:val="left"/>
                        <w:rPr>
                          <w:rFonts w:ascii="Segoe UI" w:hAnsi="Segoe UI" w:cs="Segoe UI" w:eastAsia="Segoe UI"/>
                          <w:sz w:val="15"/>
                          <w:szCs w:val="15"/>
                        </w:rPr>
                      </w:pPr>
                      <w:r>
                        <w:rPr>
                          <w:rFonts w:ascii="Segoe UI"/>
                          <w:color w:val="77787B"/>
                          <w:spacing w:val="-1"/>
                          <w:sz w:val="15"/>
                        </w:rPr>
                        <w:t>10</w:t>
                      </w:r>
                      <w:r>
                        <w:rPr>
                          <w:rFonts w:ascii="Segoe UI"/>
                          <w:sz w:val="15"/>
                        </w:rPr>
                      </w:r>
                    </w:p>
                    <w:p>
                      <w:pPr>
                        <w:spacing w:line="240" w:lineRule="auto" w:before="6"/>
                        <w:rPr>
                          <w:rFonts w:ascii="Segoe UI" w:hAnsi="Segoe UI" w:cs="Segoe UI" w:eastAsia="Segoe UI"/>
                          <w:sz w:val="11"/>
                          <w:szCs w:val="11"/>
                        </w:rPr>
                      </w:pPr>
                    </w:p>
                    <w:p>
                      <w:pPr>
                        <w:spacing w:before="0"/>
                        <w:ind w:left="588" w:right="0" w:firstLine="0"/>
                        <w:jc w:val="left"/>
                        <w:rPr>
                          <w:rFonts w:ascii="Segoe UI" w:hAnsi="Segoe UI" w:cs="Segoe UI" w:eastAsia="Segoe UI"/>
                          <w:sz w:val="15"/>
                          <w:szCs w:val="15"/>
                        </w:rPr>
                      </w:pPr>
                      <w:r>
                        <w:rPr>
                          <w:rFonts w:ascii="Segoe UI"/>
                          <w:color w:val="77787B"/>
                          <w:sz w:val="15"/>
                        </w:rPr>
                        <w:t>8</w:t>
                      </w:r>
                      <w:r>
                        <w:rPr>
                          <w:rFonts w:ascii="Segoe UI"/>
                          <w:sz w:val="15"/>
                        </w:rPr>
                      </w:r>
                    </w:p>
                    <w:p>
                      <w:pPr>
                        <w:spacing w:line="240" w:lineRule="auto" w:before="6"/>
                        <w:rPr>
                          <w:rFonts w:ascii="Segoe UI" w:hAnsi="Segoe UI" w:cs="Segoe UI" w:eastAsia="Segoe UI"/>
                          <w:sz w:val="11"/>
                          <w:szCs w:val="11"/>
                        </w:rPr>
                      </w:pPr>
                    </w:p>
                    <w:p>
                      <w:pPr>
                        <w:spacing w:before="0"/>
                        <w:ind w:left="588" w:right="0" w:firstLine="0"/>
                        <w:jc w:val="left"/>
                        <w:rPr>
                          <w:rFonts w:ascii="Segoe UI" w:hAnsi="Segoe UI" w:cs="Segoe UI" w:eastAsia="Segoe UI"/>
                          <w:sz w:val="15"/>
                          <w:szCs w:val="15"/>
                        </w:rPr>
                      </w:pPr>
                      <w:r>
                        <w:rPr>
                          <w:rFonts w:ascii="Segoe UI"/>
                          <w:color w:val="77787B"/>
                          <w:sz w:val="15"/>
                        </w:rPr>
                        <w:t>6</w:t>
                      </w:r>
                      <w:r>
                        <w:rPr>
                          <w:rFonts w:ascii="Segoe UI"/>
                          <w:sz w:val="15"/>
                        </w:rPr>
                      </w:r>
                    </w:p>
                    <w:p>
                      <w:pPr>
                        <w:spacing w:line="240" w:lineRule="auto" w:before="6"/>
                        <w:rPr>
                          <w:rFonts w:ascii="Segoe UI" w:hAnsi="Segoe UI" w:cs="Segoe UI" w:eastAsia="Segoe UI"/>
                          <w:sz w:val="11"/>
                          <w:szCs w:val="11"/>
                        </w:rPr>
                      </w:pPr>
                    </w:p>
                    <w:p>
                      <w:pPr>
                        <w:spacing w:before="0"/>
                        <w:ind w:left="588" w:right="0" w:firstLine="0"/>
                        <w:jc w:val="left"/>
                        <w:rPr>
                          <w:rFonts w:ascii="Segoe UI" w:hAnsi="Segoe UI" w:cs="Segoe UI" w:eastAsia="Segoe UI"/>
                          <w:sz w:val="15"/>
                          <w:szCs w:val="15"/>
                        </w:rPr>
                      </w:pPr>
                      <w:r>
                        <w:rPr>
                          <w:rFonts w:ascii="Segoe UI"/>
                          <w:color w:val="77787B"/>
                          <w:sz w:val="15"/>
                        </w:rPr>
                        <w:t>4</w:t>
                      </w:r>
                      <w:r>
                        <w:rPr>
                          <w:rFonts w:ascii="Segoe UI"/>
                          <w:sz w:val="15"/>
                        </w:rPr>
                      </w:r>
                    </w:p>
                    <w:p>
                      <w:pPr>
                        <w:spacing w:line="240" w:lineRule="auto" w:before="6"/>
                        <w:rPr>
                          <w:rFonts w:ascii="Segoe UI" w:hAnsi="Segoe UI" w:cs="Segoe UI" w:eastAsia="Segoe UI"/>
                          <w:sz w:val="11"/>
                          <w:szCs w:val="11"/>
                        </w:rPr>
                      </w:pPr>
                    </w:p>
                    <w:p>
                      <w:pPr>
                        <w:spacing w:before="0"/>
                        <w:ind w:left="588" w:right="0" w:firstLine="0"/>
                        <w:jc w:val="left"/>
                        <w:rPr>
                          <w:rFonts w:ascii="Segoe UI" w:hAnsi="Segoe UI" w:cs="Segoe UI" w:eastAsia="Segoe UI"/>
                          <w:sz w:val="15"/>
                          <w:szCs w:val="15"/>
                        </w:rPr>
                      </w:pPr>
                      <w:r>
                        <w:rPr>
                          <w:rFonts w:ascii="Segoe UI"/>
                          <w:color w:val="77787B"/>
                          <w:sz w:val="15"/>
                        </w:rPr>
                        <w:t>2</w:t>
                      </w:r>
                      <w:r>
                        <w:rPr>
                          <w:rFonts w:ascii="Segoe UI"/>
                          <w:sz w:val="15"/>
                        </w:rPr>
                      </w:r>
                    </w:p>
                    <w:p>
                      <w:pPr>
                        <w:spacing w:line="240" w:lineRule="auto" w:before="6"/>
                        <w:rPr>
                          <w:rFonts w:ascii="Segoe UI" w:hAnsi="Segoe UI" w:cs="Segoe UI" w:eastAsia="Segoe UI"/>
                          <w:sz w:val="11"/>
                          <w:szCs w:val="11"/>
                        </w:rPr>
                      </w:pPr>
                    </w:p>
                    <w:p>
                      <w:pPr>
                        <w:spacing w:line="199" w:lineRule="exact" w:before="0"/>
                        <w:ind w:left="588" w:right="0" w:firstLine="0"/>
                        <w:jc w:val="left"/>
                        <w:rPr>
                          <w:rFonts w:ascii="Segoe UI" w:hAnsi="Segoe UI" w:cs="Segoe UI" w:eastAsia="Segoe UI"/>
                          <w:sz w:val="15"/>
                          <w:szCs w:val="15"/>
                        </w:rPr>
                      </w:pPr>
                      <w:r>
                        <w:rPr>
                          <w:rFonts w:ascii="Segoe UI"/>
                          <w:color w:val="77787B"/>
                          <w:sz w:val="15"/>
                        </w:rPr>
                        <w:t>0</w:t>
                      </w:r>
                      <w:r>
                        <w:rPr>
                          <w:rFonts w:ascii="Segoe UI"/>
                          <w:sz w:val="15"/>
                        </w:rPr>
                      </w:r>
                    </w:p>
                  </w:txbxContent>
                </v:textbox>
                <w10:wrap type="none"/>
              </v:shape>
              <v:shape style="position:absolute;left:3662;top:6287;width:1467;height:451" type="#_x0000_t202" filled="false" stroked="false">
                <v:textbox inset="0,0,0,0">
                  <w:txbxContent>
                    <w:p>
                      <w:pPr>
                        <w:spacing w:line="154" w:lineRule="exact" w:before="0"/>
                        <w:ind w:left="4" w:right="0" w:hanging="5"/>
                        <w:jc w:val="left"/>
                        <w:rPr>
                          <w:rFonts w:ascii="Segoe UI" w:hAnsi="Segoe UI" w:cs="Segoe UI" w:eastAsia="Segoe UI"/>
                          <w:sz w:val="15"/>
                          <w:szCs w:val="15"/>
                        </w:rPr>
                      </w:pPr>
                      <w:r>
                        <w:rPr>
                          <w:rFonts w:ascii="Segoe UI"/>
                          <w:color w:val="77787B"/>
                          <w:spacing w:val="-1"/>
                          <w:sz w:val="15"/>
                        </w:rPr>
                        <w:t>Total</w:t>
                      </w:r>
                      <w:r>
                        <w:rPr>
                          <w:rFonts w:ascii="Segoe UI"/>
                          <w:color w:val="77787B"/>
                          <w:spacing w:val="6"/>
                          <w:sz w:val="15"/>
                        </w:rPr>
                        <w:t> </w:t>
                      </w:r>
                      <w:r>
                        <w:rPr>
                          <w:rFonts w:ascii="Segoe UI"/>
                          <w:color w:val="77787B"/>
                          <w:spacing w:val="-1"/>
                          <w:sz w:val="15"/>
                        </w:rPr>
                        <w:t>staff</w:t>
                      </w:r>
                      <w:r>
                        <w:rPr>
                          <w:rFonts w:ascii="Segoe UI"/>
                          <w:sz w:val="15"/>
                        </w:rPr>
                      </w:r>
                    </w:p>
                    <w:p>
                      <w:pPr>
                        <w:spacing w:line="199" w:lineRule="exact" w:before="98"/>
                        <w:ind w:left="4" w:right="0" w:firstLine="0"/>
                        <w:jc w:val="left"/>
                        <w:rPr>
                          <w:rFonts w:ascii="Segoe UI" w:hAnsi="Segoe UI" w:cs="Segoe UI" w:eastAsia="Segoe UI"/>
                          <w:sz w:val="15"/>
                          <w:szCs w:val="15"/>
                        </w:rPr>
                      </w:pPr>
                      <w:r>
                        <w:rPr>
                          <w:rFonts w:ascii="Segoe UI"/>
                          <w:color w:val="77787B"/>
                          <w:spacing w:val="-1"/>
                          <w:sz w:val="15"/>
                        </w:rPr>
                        <w:t>Mainstream</w:t>
                      </w:r>
                      <w:r>
                        <w:rPr>
                          <w:rFonts w:ascii="Segoe UI"/>
                          <w:color w:val="77787B"/>
                          <w:spacing w:val="13"/>
                          <w:sz w:val="15"/>
                        </w:rPr>
                        <w:t> </w:t>
                      </w:r>
                      <w:r>
                        <w:rPr>
                          <w:rFonts w:ascii="Segoe UI"/>
                          <w:color w:val="77787B"/>
                          <w:spacing w:val="-1"/>
                          <w:sz w:val="15"/>
                        </w:rPr>
                        <w:t>providers</w:t>
                      </w:r>
                      <w:r>
                        <w:rPr>
                          <w:rFonts w:ascii="Segoe UI"/>
                          <w:sz w:val="15"/>
                        </w:rPr>
                      </w:r>
                    </w:p>
                  </w:txbxContent>
                </v:textbox>
                <w10:wrap type="none"/>
              </v:shape>
              <v:shape style="position:absolute;left:5893;top:6287;width:935;height:153" type="#_x0000_t202" filled="false" stroked="false">
                <v:textbox inset="0,0,0,0">
                  <w:txbxContent>
                    <w:p>
                      <w:pPr>
                        <w:spacing w:line="153" w:lineRule="exact" w:before="0"/>
                        <w:ind w:left="0" w:right="0" w:firstLine="0"/>
                        <w:jc w:val="left"/>
                        <w:rPr>
                          <w:rFonts w:ascii="Segoe UI" w:hAnsi="Segoe UI" w:cs="Segoe UI" w:eastAsia="Segoe UI"/>
                          <w:sz w:val="15"/>
                          <w:szCs w:val="15"/>
                        </w:rPr>
                      </w:pPr>
                      <w:r>
                        <w:rPr>
                          <w:rFonts w:ascii="Segoe UI"/>
                          <w:color w:val="77787B"/>
                          <w:spacing w:val="-1"/>
                          <w:sz w:val="15"/>
                        </w:rPr>
                        <w:t>Teaching</w:t>
                      </w:r>
                      <w:r>
                        <w:rPr>
                          <w:rFonts w:ascii="Segoe UI"/>
                          <w:color w:val="77787B"/>
                          <w:spacing w:val="10"/>
                          <w:sz w:val="15"/>
                        </w:rPr>
                        <w:t> </w:t>
                      </w:r>
                      <w:r>
                        <w:rPr>
                          <w:rFonts w:ascii="Segoe UI"/>
                          <w:color w:val="77787B"/>
                          <w:spacing w:val="-1"/>
                          <w:sz w:val="15"/>
                        </w:rPr>
                        <w:t>staff</w:t>
                      </w:r>
                      <w:r>
                        <w:rPr>
                          <w:rFonts w:ascii="Segoe UI"/>
                          <w:sz w:val="15"/>
                        </w:rPr>
                      </w:r>
                    </w:p>
                  </w:txbxContent>
                </v:textbox>
                <w10:wrap type="none"/>
              </v:shape>
              <v:shape style="position:absolute;left:8100;top:6287;width:1256;height:153" type="#_x0000_t202" filled="false" stroked="false">
                <v:textbox inset="0,0,0,0">
                  <w:txbxContent>
                    <w:p>
                      <w:pPr>
                        <w:spacing w:line="153" w:lineRule="exact" w:before="0"/>
                        <w:ind w:left="0" w:right="0" w:firstLine="0"/>
                        <w:jc w:val="left"/>
                        <w:rPr>
                          <w:rFonts w:ascii="Segoe UI" w:hAnsi="Segoe UI" w:cs="Segoe UI" w:eastAsia="Segoe UI"/>
                          <w:sz w:val="15"/>
                          <w:szCs w:val="15"/>
                        </w:rPr>
                      </w:pPr>
                      <w:r>
                        <w:rPr>
                          <w:rFonts w:ascii="Segoe UI"/>
                          <w:color w:val="77787B"/>
                          <w:spacing w:val="-1"/>
                          <w:sz w:val="15"/>
                        </w:rPr>
                        <w:t>Non-teaching</w:t>
                      </w:r>
                      <w:r>
                        <w:rPr>
                          <w:rFonts w:ascii="Segoe UI"/>
                          <w:color w:val="77787B"/>
                          <w:spacing w:val="15"/>
                          <w:sz w:val="15"/>
                        </w:rPr>
                        <w:t> </w:t>
                      </w:r>
                      <w:r>
                        <w:rPr>
                          <w:rFonts w:ascii="Segoe UI"/>
                          <w:color w:val="77787B"/>
                          <w:spacing w:val="-1"/>
                          <w:sz w:val="15"/>
                        </w:rPr>
                        <w:t>staff</w:t>
                      </w:r>
                      <w:r>
                        <w:rPr>
                          <w:rFonts w:ascii="Segoe UI"/>
                          <w:sz w:val="15"/>
                        </w:rPr>
                      </w:r>
                    </w:p>
                  </w:txbxContent>
                </v:textbox>
                <w10:wrap type="none"/>
              </v:shape>
              <v:shape style="position:absolute;left:5627;top:6586;width:2947;height:153" type="#_x0000_t202" filled="false" stroked="false">
                <v:textbox inset="0,0,0,0">
                  <w:txbxContent>
                    <w:p>
                      <w:pPr>
                        <w:spacing w:line="153" w:lineRule="exact" w:before="0"/>
                        <w:ind w:left="0" w:right="0" w:firstLine="0"/>
                        <w:jc w:val="left"/>
                        <w:rPr>
                          <w:rFonts w:ascii="Segoe UI" w:hAnsi="Segoe UI" w:cs="Segoe UI" w:eastAsia="Segoe UI"/>
                          <w:sz w:val="15"/>
                          <w:szCs w:val="15"/>
                        </w:rPr>
                      </w:pPr>
                      <w:r>
                        <w:rPr>
                          <w:rFonts w:ascii="Segoe UI"/>
                          <w:color w:val="77787B"/>
                          <w:spacing w:val="-1"/>
                          <w:sz w:val="15"/>
                        </w:rPr>
                        <w:t>Aboriginal</w:t>
                      </w:r>
                      <w:r>
                        <w:rPr>
                          <w:rFonts w:ascii="Segoe UI"/>
                          <w:color w:val="77787B"/>
                          <w:spacing w:val="4"/>
                          <w:sz w:val="15"/>
                        </w:rPr>
                        <w:t> </w:t>
                      </w:r>
                      <w:r>
                        <w:rPr>
                          <w:rFonts w:ascii="Segoe UI"/>
                          <w:color w:val="77787B"/>
                          <w:sz w:val="15"/>
                        </w:rPr>
                        <w:t>&amp;</w:t>
                      </w:r>
                      <w:r>
                        <w:rPr>
                          <w:rFonts w:ascii="Segoe UI"/>
                          <w:color w:val="77787B"/>
                          <w:spacing w:val="7"/>
                          <w:sz w:val="15"/>
                        </w:rPr>
                        <w:t> </w:t>
                      </w:r>
                      <w:r>
                        <w:rPr>
                          <w:rFonts w:ascii="Segoe UI"/>
                          <w:color w:val="77787B"/>
                          <w:spacing w:val="-1"/>
                          <w:sz w:val="15"/>
                        </w:rPr>
                        <w:t>Torres</w:t>
                      </w:r>
                      <w:r>
                        <w:rPr>
                          <w:rFonts w:ascii="Segoe UI"/>
                          <w:color w:val="77787B"/>
                          <w:spacing w:val="6"/>
                          <w:sz w:val="15"/>
                        </w:rPr>
                        <w:t> </w:t>
                      </w:r>
                      <w:r>
                        <w:rPr>
                          <w:rFonts w:ascii="Segoe UI"/>
                          <w:color w:val="77787B"/>
                          <w:spacing w:val="-1"/>
                          <w:sz w:val="15"/>
                        </w:rPr>
                        <w:t>Strait</w:t>
                      </w:r>
                      <w:r>
                        <w:rPr>
                          <w:rFonts w:ascii="Segoe UI"/>
                          <w:color w:val="77787B"/>
                          <w:spacing w:val="5"/>
                          <w:sz w:val="15"/>
                        </w:rPr>
                        <w:t> </w:t>
                      </w:r>
                      <w:r>
                        <w:rPr>
                          <w:rFonts w:ascii="Segoe UI"/>
                          <w:color w:val="77787B"/>
                          <w:spacing w:val="-1"/>
                          <w:sz w:val="15"/>
                        </w:rPr>
                        <w:t>Islander</w:t>
                      </w:r>
                      <w:r>
                        <w:rPr>
                          <w:rFonts w:ascii="Segoe UI"/>
                          <w:color w:val="77787B"/>
                          <w:spacing w:val="7"/>
                          <w:sz w:val="15"/>
                        </w:rPr>
                        <w:t> </w:t>
                      </w:r>
                      <w:r>
                        <w:rPr>
                          <w:rFonts w:ascii="Segoe UI"/>
                          <w:color w:val="77787B"/>
                          <w:spacing w:val="-1"/>
                          <w:sz w:val="15"/>
                        </w:rPr>
                        <w:t>providers</w:t>
                      </w:r>
                      <w:r>
                        <w:rPr>
                          <w:rFonts w:ascii="Segoe UI"/>
                          <w:sz w:val="15"/>
                        </w:rPr>
                      </w:r>
                    </w:p>
                  </w:txbxContent>
                </v:textbox>
                <w10:wrap type="none"/>
              </v:shape>
            </v:group>
            <w10:wrap type="none"/>
          </v:group>
        </w:pict>
      </w:r>
      <w:r>
        <w:rPr>
          <w:rFonts w:ascii="Segoe UI"/>
          <w:color w:val="231F20"/>
        </w:rPr>
        <w:t>specific staffing ratios.</w:t>
      </w:r>
      <w:r>
        <w:rPr>
          <w:rFonts w:ascii="Segoe UI"/>
        </w:rPr>
      </w:r>
    </w:p>
    <w:p>
      <w:pPr>
        <w:pStyle w:val="BodyText"/>
        <w:spacing w:line="250" w:lineRule="exact" w:before="72"/>
        <w:ind w:left="100" w:right="466"/>
        <w:jc w:val="left"/>
      </w:pPr>
      <w:r>
        <w:rPr/>
        <w:br w:type="column"/>
      </w:r>
      <w:r>
        <w:rPr>
          <w:color w:val="231F20"/>
        </w:rPr>
        <w:t>HoRSCIA,</w:t>
      </w:r>
      <w:r>
        <w:rPr>
          <w:color w:val="231F20"/>
          <w:spacing w:val="-5"/>
        </w:rPr>
        <w:t> </w:t>
      </w:r>
      <w:r>
        <w:rPr>
          <w:color w:val="231F20"/>
          <w:spacing w:val="-1"/>
        </w:rPr>
        <w:t>2017</w:t>
      </w:r>
      <w:r>
        <w:rPr>
          <w:color w:val="231F20"/>
          <w:spacing w:val="-4"/>
        </w:rPr>
        <w:t> </w:t>
      </w:r>
      <w:r>
        <w:rPr>
          <w:color w:val="231F20"/>
        </w:rPr>
        <w:t>referenced</w:t>
      </w:r>
      <w:r>
        <w:rPr>
          <w:color w:val="231F20"/>
          <w:spacing w:val="-5"/>
        </w:rPr>
        <w:t> </w:t>
      </w:r>
      <w:r>
        <w:rPr>
          <w:color w:val="231F20"/>
        </w:rPr>
        <w:t>a</w:t>
      </w:r>
      <w:r>
        <w:rPr>
          <w:color w:val="231F20"/>
          <w:spacing w:val="-4"/>
        </w:rPr>
        <w:t> </w:t>
      </w:r>
      <w:r>
        <w:rPr>
          <w:color w:val="231F20"/>
        </w:rPr>
        <w:t>number</w:t>
      </w:r>
      <w:r>
        <w:rPr>
          <w:color w:val="231F20"/>
          <w:spacing w:val="-5"/>
        </w:rPr>
        <w:t> </w:t>
      </w:r>
      <w:r>
        <w:rPr>
          <w:color w:val="231F20"/>
        </w:rPr>
        <w:t>of</w:t>
      </w:r>
      <w:r>
        <w:rPr>
          <w:color w:val="231F20"/>
          <w:spacing w:val="21"/>
          <w:w w:val="99"/>
        </w:rPr>
        <w:t> </w:t>
      </w:r>
      <w:r>
        <w:rPr>
          <w:rFonts w:ascii="Segoe UI"/>
          <w:color w:val="231F20"/>
        </w:rPr>
        <w:t>submissions calling for lower staffing ratios</w:t>
      </w:r>
      <w:r>
        <w:rPr>
          <w:rFonts w:ascii="Segoe UI"/>
          <w:color w:val="231F20"/>
        </w:rPr>
        <w:t> </w:t>
      </w:r>
      <w:r>
        <w:rPr>
          <w:color w:val="231F20"/>
          <w:spacing w:val="-1"/>
        </w:rPr>
        <w:t>in</w:t>
      </w:r>
      <w:r>
        <w:rPr>
          <w:color w:val="231F20"/>
          <w:spacing w:val="-3"/>
        </w:rPr>
        <w:t> </w:t>
      </w:r>
      <w:r>
        <w:rPr>
          <w:color w:val="231F20"/>
        </w:rPr>
        <w:t>boarding</w:t>
      </w:r>
      <w:r>
        <w:rPr>
          <w:color w:val="231F20"/>
          <w:spacing w:val="-4"/>
        </w:rPr>
        <w:t> </w:t>
      </w:r>
      <w:r>
        <w:rPr>
          <w:color w:val="231F20"/>
        </w:rPr>
        <w:t>facilities</w:t>
      </w:r>
      <w:r>
        <w:rPr>
          <w:color w:val="231F20"/>
          <w:spacing w:val="-4"/>
        </w:rPr>
        <w:t> </w:t>
      </w:r>
      <w:r>
        <w:rPr>
          <w:color w:val="231F20"/>
        </w:rPr>
        <w:t>and</w:t>
      </w:r>
      <w:r>
        <w:rPr>
          <w:color w:val="231F20"/>
          <w:spacing w:val="-4"/>
        </w:rPr>
        <w:t> </w:t>
      </w:r>
      <w:r>
        <w:rPr>
          <w:color w:val="231F20"/>
        </w:rPr>
        <w:t>a</w:t>
      </w:r>
      <w:r>
        <w:rPr>
          <w:color w:val="231F20"/>
          <w:spacing w:val="-3"/>
        </w:rPr>
        <w:t> </w:t>
      </w:r>
      <w:r>
        <w:rPr>
          <w:color w:val="231F20"/>
        </w:rPr>
        <w:t>position</w:t>
      </w:r>
      <w:r>
        <w:rPr>
          <w:color w:val="231F20"/>
          <w:spacing w:val="-4"/>
        </w:rPr>
        <w:t> </w:t>
      </w:r>
      <w:r>
        <w:rPr>
          <w:color w:val="231F20"/>
        </w:rPr>
        <w:t>paper</w:t>
      </w:r>
      <w:r>
        <w:rPr>
          <w:color w:val="231F20"/>
          <w:spacing w:val="21"/>
          <w:w w:val="99"/>
        </w:rPr>
        <w:t> </w:t>
      </w:r>
      <w:r>
        <w:rPr>
          <w:color w:val="231F20"/>
        </w:rPr>
        <w:t>from</w:t>
      </w:r>
      <w:r>
        <w:rPr>
          <w:color w:val="231F20"/>
          <w:spacing w:val="-10"/>
        </w:rPr>
        <w:t> </w:t>
      </w:r>
      <w:r>
        <w:rPr>
          <w:color w:val="231F20"/>
        </w:rPr>
        <w:t>the</w:t>
      </w:r>
      <w:r>
        <w:rPr>
          <w:color w:val="231F20"/>
          <w:spacing w:val="-10"/>
        </w:rPr>
        <w:t> </w:t>
      </w:r>
      <w:r>
        <w:rPr>
          <w:color w:val="231F20"/>
        </w:rPr>
        <w:t>Queensland</w:t>
      </w:r>
      <w:r>
        <w:rPr>
          <w:color w:val="231F20"/>
          <w:spacing w:val="-10"/>
        </w:rPr>
        <w:t> </w:t>
      </w:r>
      <w:r>
        <w:rPr>
          <w:color w:val="231F20"/>
          <w:spacing w:val="-1"/>
        </w:rPr>
        <w:t>Indigenous</w:t>
      </w:r>
      <w:r>
        <w:rPr>
          <w:color w:val="231F20"/>
          <w:spacing w:val="-9"/>
        </w:rPr>
        <w:t> </w:t>
      </w:r>
      <w:r>
        <w:rPr>
          <w:color w:val="231F20"/>
        </w:rPr>
        <w:t>Education</w:t>
      </w:r>
      <w:r>
        <w:rPr>
          <w:color w:val="231F20"/>
          <w:spacing w:val="22"/>
          <w:w w:val="99"/>
        </w:rPr>
        <w:t> </w:t>
      </w:r>
      <w:r>
        <w:rPr>
          <w:color w:val="231F20"/>
          <w:spacing w:val="-1"/>
        </w:rPr>
        <w:t>Consultative</w:t>
      </w:r>
      <w:r>
        <w:rPr>
          <w:color w:val="231F20"/>
          <w:spacing w:val="2"/>
        </w:rPr>
        <w:t> </w:t>
      </w:r>
      <w:r>
        <w:rPr>
          <w:color w:val="231F20"/>
          <w:spacing w:val="-1"/>
        </w:rPr>
        <w:t>Body</w:t>
      </w:r>
      <w:r>
        <w:rPr>
          <w:rFonts w:ascii="Segoe UI Semibold"/>
          <w:b/>
          <w:color w:val="231F20"/>
          <w:spacing w:val="-1"/>
          <w:position w:val="7"/>
          <w:sz w:val="11"/>
        </w:rPr>
        <w:t>86</w:t>
      </w:r>
      <w:r>
        <w:rPr>
          <w:color w:val="231F20"/>
          <w:spacing w:val="-1"/>
        </w:rPr>
        <w:t>:</w:t>
      </w:r>
      <w:r>
        <w:rPr/>
      </w:r>
    </w:p>
    <w:p>
      <w:pPr>
        <w:pStyle w:val="BodyText"/>
        <w:spacing w:line="250" w:lineRule="exact" w:before="113"/>
        <w:ind w:left="554" w:right="435"/>
        <w:jc w:val="left"/>
        <w:rPr>
          <w:rFonts w:ascii="Segoe UI Semibold" w:hAnsi="Segoe UI Semibold" w:cs="Segoe UI Semibold" w:eastAsia="Segoe UI Semibold"/>
        </w:rPr>
      </w:pPr>
      <w:r>
        <w:rPr>
          <w:rFonts w:ascii="Segoe UI Semibold"/>
          <w:b/>
          <w:color w:val="00779B"/>
        </w:rPr>
        <w:t>The</w:t>
      </w:r>
      <w:r>
        <w:rPr>
          <w:rFonts w:ascii="Segoe UI Semibold"/>
          <w:b/>
          <w:color w:val="00779B"/>
          <w:spacing w:val="-1"/>
        </w:rPr>
        <w:t> student/houseparent</w:t>
      </w:r>
      <w:r>
        <w:rPr>
          <w:rFonts w:ascii="Segoe UI Semibold"/>
          <w:b/>
          <w:color w:val="00779B"/>
        </w:rPr>
        <w:t> </w:t>
      </w:r>
      <w:r>
        <w:rPr>
          <w:rFonts w:ascii="Segoe UI Semibold"/>
          <w:b/>
          <w:color w:val="00779B"/>
          <w:spacing w:val="-1"/>
        </w:rPr>
        <w:t>ratio</w:t>
      </w:r>
      <w:r>
        <w:rPr>
          <w:rFonts w:ascii="Segoe UI Semibold"/>
          <w:b/>
          <w:color w:val="00779B"/>
        </w:rPr>
        <w:t> for</w:t>
      </w:r>
      <w:r>
        <w:rPr>
          <w:rFonts w:ascii="Segoe UI Semibold"/>
          <w:b/>
          <w:color w:val="00779B"/>
          <w:spacing w:val="22"/>
        </w:rPr>
        <w:t> </w:t>
      </w:r>
      <w:r>
        <w:rPr>
          <w:rFonts w:ascii="Segoe UI Semibold"/>
          <w:b/>
          <w:color w:val="00779B"/>
        </w:rPr>
        <w:t>Indigenous</w:t>
      </w:r>
      <w:r>
        <w:rPr>
          <w:rFonts w:ascii="Segoe UI Semibold"/>
          <w:b/>
          <w:color w:val="00779B"/>
          <w:spacing w:val="-3"/>
        </w:rPr>
        <w:t> </w:t>
      </w:r>
      <w:r>
        <w:rPr>
          <w:rFonts w:ascii="Segoe UI Semibold"/>
          <w:b/>
          <w:color w:val="00779B"/>
          <w:spacing w:val="-1"/>
        </w:rPr>
        <w:t>students needs</w:t>
      </w:r>
      <w:r>
        <w:rPr>
          <w:rFonts w:ascii="Segoe UI Semibold"/>
          <w:b/>
          <w:color w:val="00779B"/>
        </w:rPr>
        <w:t> </w:t>
      </w:r>
      <w:r>
        <w:rPr>
          <w:rFonts w:ascii="Segoe UI Semibold"/>
          <w:b/>
          <w:color w:val="00779B"/>
          <w:spacing w:val="-1"/>
        </w:rPr>
        <w:t>to</w:t>
      </w:r>
      <w:r>
        <w:rPr>
          <w:rFonts w:ascii="Segoe UI Semibold"/>
          <w:b/>
          <w:color w:val="00779B"/>
          <w:spacing w:val="-2"/>
        </w:rPr>
        <w:t> </w:t>
      </w:r>
      <w:r>
        <w:rPr>
          <w:rFonts w:ascii="Segoe UI Semibold"/>
          <w:b/>
          <w:color w:val="00779B"/>
        </w:rPr>
        <w:t>be</w:t>
      </w:r>
      <w:r>
        <w:rPr>
          <w:rFonts w:ascii="Segoe UI Semibold"/>
          <w:b/>
          <w:color w:val="00779B"/>
          <w:spacing w:val="24"/>
          <w:w w:val="99"/>
        </w:rPr>
        <w:t> </w:t>
      </w:r>
      <w:r>
        <w:rPr>
          <w:rFonts w:ascii="Segoe UI Semibold"/>
          <w:b/>
          <w:color w:val="00779B"/>
        </w:rPr>
        <w:t>acknowledged</w:t>
      </w:r>
      <w:r>
        <w:rPr>
          <w:rFonts w:ascii="Segoe UI Semibold"/>
          <w:b/>
          <w:color w:val="00779B"/>
          <w:spacing w:val="-2"/>
        </w:rPr>
        <w:t> </w:t>
      </w:r>
      <w:r>
        <w:rPr>
          <w:rFonts w:ascii="Segoe UI Semibold"/>
          <w:b/>
          <w:color w:val="00779B"/>
        </w:rPr>
        <w:t>as</w:t>
      </w:r>
      <w:r>
        <w:rPr>
          <w:rFonts w:ascii="Segoe UI Semibold"/>
          <w:b/>
          <w:color w:val="00779B"/>
          <w:spacing w:val="-2"/>
        </w:rPr>
        <w:t> </w:t>
      </w:r>
      <w:r>
        <w:rPr>
          <w:rFonts w:ascii="Segoe UI Semibold"/>
          <w:b/>
          <w:color w:val="00779B"/>
          <w:spacing w:val="-1"/>
        </w:rPr>
        <w:t>requiring</w:t>
      </w:r>
      <w:r>
        <w:rPr>
          <w:rFonts w:ascii="Segoe UI Semibold"/>
          <w:b/>
          <w:color w:val="00779B"/>
        </w:rPr>
        <w:t> </w:t>
      </w:r>
      <w:r>
        <w:rPr>
          <w:rFonts w:ascii="Segoe UI Semibold"/>
          <w:b/>
          <w:color w:val="00779B"/>
          <w:spacing w:val="-1"/>
        </w:rPr>
        <w:t>to</w:t>
      </w:r>
      <w:r>
        <w:rPr>
          <w:rFonts w:ascii="Segoe UI Semibold"/>
          <w:b/>
          <w:color w:val="00779B"/>
          <w:spacing w:val="-2"/>
        </w:rPr>
        <w:t> </w:t>
      </w:r>
      <w:r>
        <w:rPr>
          <w:rFonts w:ascii="Segoe UI Semibold"/>
          <w:b/>
          <w:color w:val="00779B"/>
        </w:rPr>
        <w:t>be</w:t>
      </w:r>
      <w:r>
        <w:rPr>
          <w:rFonts w:ascii="Segoe UI Semibold"/>
          <w:b/>
          <w:color w:val="00779B"/>
          <w:spacing w:val="22"/>
          <w:w w:val="99"/>
        </w:rPr>
        <w:t> </w:t>
      </w:r>
      <w:r>
        <w:rPr>
          <w:rFonts w:ascii="Segoe UI Semibold"/>
          <w:b/>
          <w:color w:val="00779B"/>
        </w:rPr>
        <w:t>about</w:t>
      </w:r>
      <w:r>
        <w:rPr>
          <w:rFonts w:ascii="Segoe UI Semibold"/>
          <w:b/>
          <w:color w:val="00779B"/>
          <w:spacing w:val="-1"/>
        </w:rPr>
        <w:t> 8-10:1</w:t>
      </w:r>
      <w:r>
        <w:rPr>
          <w:rFonts w:ascii="Segoe UI Semibold"/>
          <w:b/>
          <w:color w:val="00779B"/>
        </w:rPr>
        <w:t> </w:t>
      </w:r>
      <w:r>
        <w:rPr>
          <w:rFonts w:ascii="Segoe UI Semibold"/>
          <w:b/>
          <w:color w:val="00779B"/>
          <w:spacing w:val="-1"/>
        </w:rPr>
        <w:t>rather</w:t>
      </w:r>
      <w:r>
        <w:rPr>
          <w:rFonts w:ascii="Segoe UI Semibold"/>
          <w:b/>
          <w:color w:val="00779B"/>
        </w:rPr>
        <w:t> </w:t>
      </w:r>
      <w:r>
        <w:rPr>
          <w:rFonts w:ascii="Segoe UI Semibold"/>
          <w:b/>
          <w:color w:val="00779B"/>
          <w:spacing w:val="-1"/>
        </w:rPr>
        <w:t>than</w:t>
      </w:r>
      <w:r>
        <w:rPr>
          <w:rFonts w:ascii="Segoe UI Semibold"/>
          <w:b/>
          <w:color w:val="00779B"/>
        </w:rPr>
        <w:t> </w:t>
      </w:r>
      <w:r>
        <w:rPr>
          <w:rFonts w:ascii="Segoe UI Semibold"/>
          <w:b/>
          <w:color w:val="00779B"/>
          <w:spacing w:val="-1"/>
        </w:rPr>
        <w:t>the</w:t>
      </w:r>
      <w:r>
        <w:rPr>
          <w:rFonts w:ascii="Segoe UI Semibold"/>
          <w:b/>
          <w:color w:val="00779B"/>
        </w:rPr>
        <w:t> </w:t>
      </w:r>
      <w:r>
        <w:rPr>
          <w:rFonts w:ascii="Segoe UI Semibold"/>
          <w:b/>
          <w:color w:val="00779B"/>
          <w:spacing w:val="-1"/>
        </w:rPr>
        <w:t>25:1</w:t>
      </w:r>
      <w:r>
        <w:rPr>
          <w:rFonts w:ascii="Segoe UI Semibold"/>
          <w:b/>
          <w:color w:val="00779B"/>
        </w:rPr>
        <w:t> </w:t>
      </w:r>
      <w:r>
        <w:rPr>
          <w:rFonts w:ascii="Segoe UI Semibold"/>
          <w:b/>
          <w:color w:val="00779B"/>
          <w:spacing w:val="-1"/>
        </w:rPr>
        <w:t>ratio</w:t>
      </w:r>
      <w:r>
        <w:rPr>
          <w:rFonts w:ascii="Segoe UI Semibold"/>
          <w:b/>
          <w:color w:val="00779B"/>
          <w:spacing w:val="25"/>
        </w:rPr>
        <w:t> </w:t>
      </w:r>
      <w:r>
        <w:rPr>
          <w:rFonts w:ascii="Segoe UI Semibold"/>
          <w:b/>
          <w:color w:val="00779B"/>
          <w:spacing w:val="-1"/>
        </w:rPr>
        <w:t>on</w:t>
      </w:r>
      <w:r>
        <w:rPr>
          <w:rFonts w:ascii="Segoe UI Semibold"/>
          <w:b/>
          <w:color w:val="00779B"/>
          <w:spacing w:val="-3"/>
        </w:rPr>
        <w:t> </w:t>
      </w:r>
      <w:r>
        <w:rPr>
          <w:rFonts w:ascii="Segoe UI Semibold"/>
          <w:b/>
          <w:color w:val="00779B"/>
          <w:spacing w:val="-1"/>
        </w:rPr>
        <w:t>which</w:t>
      </w:r>
      <w:r>
        <w:rPr>
          <w:rFonts w:ascii="Segoe UI Semibold"/>
          <w:b/>
          <w:color w:val="00779B"/>
          <w:spacing w:val="-2"/>
        </w:rPr>
        <w:t> </w:t>
      </w:r>
      <w:r>
        <w:rPr>
          <w:rFonts w:ascii="Segoe UI Semibold"/>
          <w:b/>
          <w:color w:val="00779B"/>
        </w:rPr>
        <w:t>most</w:t>
      </w:r>
      <w:r>
        <w:rPr>
          <w:rFonts w:ascii="Segoe UI Semibold"/>
          <w:b/>
          <w:color w:val="00779B"/>
          <w:spacing w:val="-2"/>
        </w:rPr>
        <w:t> </w:t>
      </w:r>
      <w:r>
        <w:rPr>
          <w:rFonts w:ascii="Segoe UI Semibold"/>
          <w:b/>
          <w:color w:val="00779B"/>
          <w:spacing w:val="-1"/>
        </w:rPr>
        <w:t>boarding</w:t>
      </w:r>
      <w:r>
        <w:rPr>
          <w:rFonts w:ascii="Segoe UI Semibold"/>
          <w:b/>
          <w:color w:val="00779B"/>
          <w:spacing w:val="-3"/>
        </w:rPr>
        <w:t> </w:t>
      </w:r>
      <w:r>
        <w:rPr>
          <w:rFonts w:ascii="Segoe UI Semibold"/>
          <w:b/>
          <w:color w:val="00779B"/>
          <w:spacing w:val="-1"/>
        </w:rPr>
        <w:t>schools</w:t>
      </w:r>
      <w:r>
        <w:rPr>
          <w:rFonts w:ascii="Segoe UI Semibold"/>
          <w:b/>
          <w:color w:val="00779B"/>
          <w:spacing w:val="25"/>
        </w:rPr>
        <w:t> </w:t>
      </w:r>
      <w:r>
        <w:rPr>
          <w:rFonts w:ascii="Segoe UI Semibold"/>
          <w:b/>
          <w:color w:val="00779B"/>
          <w:spacing w:val="-1"/>
        </w:rPr>
        <w:t>operate, in</w:t>
      </w:r>
      <w:r>
        <w:rPr>
          <w:rFonts w:ascii="Segoe UI Semibold"/>
          <w:b/>
          <w:color w:val="00779B"/>
          <w:spacing w:val="-2"/>
        </w:rPr>
        <w:t> </w:t>
      </w:r>
      <w:r>
        <w:rPr>
          <w:rFonts w:ascii="Segoe UI Semibold"/>
          <w:b/>
          <w:color w:val="00779B"/>
          <w:spacing w:val="-1"/>
        </w:rPr>
        <w:t>recognition </w:t>
      </w:r>
      <w:r>
        <w:rPr>
          <w:rFonts w:ascii="Segoe UI Semibold"/>
          <w:b/>
          <w:color w:val="00779B"/>
          <w:spacing w:val="-2"/>
        </w:rPr>
        <w:t>of</w:t>
      </w:r>
      <w:r>
        <w:rPr>
          <w:rFonts w:ascii="Segoe UI Semibold"/>
          <w:b/>
          <w:color w:val="00779B"/>
          <w:spacing w:val="-1"/>
        </w:rPr>
        <w:t> the </w:t>
      </w:r>
      <w:r>
        <w:rPr>
          <w:rFonts w:ascii="Segoe UI Semibold"/>
          <w:b/>
          <w:color w:val="00779B"/>
        </w:rPr>
        <w:t>high</w:t>
      </w:r>
      <w:r>
        <w:rPr>
          <w:rFonts w:ascii="Segoe UI Semibold"/>
          <w:b/>
          <w:color w:val="00779B"/>
          <w:spacing w:val="25"/>
          <w:w w:val="99"/>
        </w:rPr>
        <w:t> </w:t>
      </w:r>
      <w:r>
        <w:rPr>
          <w:rFonts w:ascii="Segoe UI Semibold"/>
          <w:b/>
          <w:color w:val="00779B"/>
        </w:rPr>
        <w:t>demand</w:t>
      </w:r>
      <w:r>
        <w:rPr>
          <w:rFonts w:ascii="Segoe UI Semibold"/>
          <w:b/>
          <w:color w:val="00779B"/>
          <w:spacing w:val="-3"/>
        </w:rPr>
        <w:t> </w:t>
      </w:r>
      <w:r>
        <w:rPr>
          <w:rFonts w:ascii="Segoe UI Semibold"/>
          <w:b/>
          <w:color w:val="00779B"/>
          <w:spacing w:val="-1"/>
        </w:rPr>
        <w:t>nature</w:t>
      </w:r>
      <w:r>
        <w:rPr>
          <w:rFonts w:ascii="Segoe UI Semibold"/>
          <w:b/>
          <w:color w:val="00779B"/>
          <w:spacing w:val="-2"/>
        </w:rPr>
        <w:t> of </w:t>
      </w:r>
      <w:r>
        <w:rPr>
          <w:rFonts w:ascii="Segoe UI Semibold"/>
          <w:b/>
          <w:color w:val="00779B"/>
          <w:spacing w:val="-1"/>
        </w:rPr>
        <w:t>the special care</w:t>
      </w:r>
      <w:r>
        <w:rPr>
          <w:rFonts w:ascii="Segoe UI Semibold"/>
          <w:b/>
          <w:color w:val="00779B"/>
          <w:spacing w:val="-3"/>
        </w:rPr>
        <w:t> </w:t>
      </w:r>
      <w:r>
        <w:rPr>
          <w:rFonts w:ascii="Segoe UI Semibold"/>
          <w:b/>
          <w:color w:val="00779B"/>
        </w:rPr>
        <w:t>and</w:t>
      </w:r>
      <w:r>
        <w:rPr>
          <w:rFonts w:ascii="Segoe UI Semibold"/>
          <w:b/>
          <w:color w:val="00779B"/>
          <w:spacing w:val="23"/>
        </w:rPr>
        <w:t> </w:t>
      </w:r>
      <w:r>
        <w:rPr>
          <w:rFonts w:ascii="Segoe UI Semibold"/>
          <w:b/>
          <w:color w:val="00779B"/>
          <w:spacing w:val="-1"/>
        </w:rPr>
        <w:t>interventions</w:t>
      </w:r>
      <w:r>
        <w:rPr>
          <w:rFonts w:ascii="Segoe UI Semibold"/>
          <w:b/>
          <w:color w:val="00779B"/>
        </w:rPr>
        <w:t> </w:t>
      </w:r>
      <w:r>
        <w:rPr>
          <w:rFonts w:ascii="Segoe UI Semibold"/>
          <w:b/>
          <w:color w:val="00779B"/>
          <w:spacing w:val="-1"/>
        </w:rPr>
        <w:t>needed</w:t>
      </w:r>
      <w:r>
        <w:rPr>
          <w:rFonts w:ascii="Segoe UI Semibold"/>
          <w:b/>
          <w:color w:val="00779B"/>
        </w:rPr>
        <w:t> </w:t>
      </w:r>
      <w:r>
        <w:rPr>
          <w:rFonts w:ascii="Segoe UI Semibold"/>
          <w:b/>
          <w:color w:val="00779B"/>
          <w:spacing w:val="-1"/>
        </w:rPr>
        <w:t>to successfully</w:t>
      </w:r>
      <w:r>
        <w:rPr>
          <w:rFonts w:ascii="Segoe UI Semibold"/>
          <w:b/>
          <w:color w:val="00779B"/>
          <w:spacing w:val="20"/>
        </w:rPr>
        <w:t> </w:t>
      </w:r>
      <w:r>
        <w:rPr>
          <w:rFonts w:ascii="Segoe UI Semibold"/>
          <w:b/>
          <w:color w:val="00779B"/>
          <w:spacing w:val="-1"/>
        </w:rPr>
        <w:t>transition</w:t>
      </w:r>
      <w:r>
        <w:rPr>
          <w:rFonts w:ascii="Segoe UI Semibold"/>
          <w:b/>
          <w:color w:val="00779B"/>
        </w:rPr>
        <w:t> </w:t>
      </w:r>
      <w:r>
        <w:rPr>
          <w:rFonts w:ascii="Segoe UI Semibold"/>
          <w:b/>
          <w:color w:val="00779B"/>
          <w:spacing w:val="-1"/>
        </w:rPr>
        <w:t>these</w:t>
      </w:r>
      <w:r>
        <w:rPr>
          <w:rFonts w:ascii="Segoe UI Semibold"/>
          <w:b/>
          <w:color w:val="00779B"/>
        </w:rPr>
        <w:t> </w:t>
      </w:r>
      <w:r>
        <w:rPr>
          <w:rFonts w:ascii="Segoe UI Semibold"/>
          <w:b/>
          <w:color w:val="00779B"/>
          <w:spacing w:val="-1"/>
        </w:rPr>
        <w:t>students.</w:t>
      </w:r>
      <w:r>
        <w:rPr>
          <w:rFonts w:ascii="Segoe UI Semibold"/>
        </w:rPr>
      </w:r>
    </w:p>
    <w:p>
      <w:pPr>
        <w:pStyle w:val="BodyText"/>
        <w:spacing w:line="250" w:lineRule="exact" w:before="113"/>
        <w:ind w:left="100" w:right="203"/>
        <w:jc w:val="left"/>
      </w:pPr>
      <w:r>
        <w:rPr>
          <w:color w:val="231F20"/>
        </w:rPr>
        <w:t>Grant</w:t>
      </w:r>
      <w:r>
        <w:rPr>
          <w:color w:val="231F20"/>
          <w:spacing w:val="-7"/>
        </w:rPr>
        <w:t> </w:t>
      </w:r>
      <w:r>
        <w:rPr>
          <w:color w:val="231F20"/>
        </w:rPr>
        <w:t>Thornton</w:t>
      </w:r>
      <w:r>
        <w:rPr>
          <w:color w:val="231F20"/>
          <w:spacing w:val="-7"/>
        </w:rPr>
        <w:t> </w:t>
      </w:r>
      <w:r>
        <w:rPr>
          <w:color w:val="231F20"/>
        </w:rPr>
        <w:t>reviewed</w:t>
      </w:r>
      <w:r>
        <w:rPr>
          <w:color w:val="231F20"/>
          <w:spacing w:val="-7"/>
        </w:rPr>
        <w:t> </w:t>
      </w:r>
      <w:r>
        <w:rPr>
          <w:color w:val="231F20"/>
        </w:rPr>
        <w:t>the</w:t>
      </w:r>
      <w:r>
        <w:rPr>
          <w:color w:val="231F20"/>
          <w:spacing w:val="-7"/>
        </w:rPr>
        <w:t> </w:t>
      </w:r>
      <w:r>
        <w:rPr>
          <w:color w:val="231F20"/>
        </w:rPr>
        <w:t>ratio</w:t>
      </w:r>
      <w:r>
        <w:rPr>
          <w:color w:val="231F20"/>
          <w:spacing w:val="-7"/>
        </w:rPr>
        <w:t> </w:t>
      </w:r>
      <w:r>
        <w:rPr>
          <w:color w:val="231F20"/>
        </w:rPr>
        <w:t>of</w:t>
      </w:r>
      <w:r>
        <w:rPr>
          <w:color w:val="231F20"/>
          <w:spacing w:val="-7"/>
        </w:rPr>
        <w:t> </w:t>
      </w:r>
      <w:r>
        <w:rPr>
          <w:color w:val="231F20"/>
        </w:rPr>
        <w:t>teaching</w:t>
      </w:r>
      <w:r>
        <w:rPr>
          <w:color w:val="231F20"/>
          <w:w w:val="99"/>
        </w:rPr>
        <w:t> </w:t>
      </w:r>
      <w:r>
        <w:rPr>
          <w:rFonts w:ascii="Segoe UI"/>
          <w:color w:val="231F20"/>
        </w:rPr>
        <w:t>and</w:t>
      </w:r>
      <w:r>
        <w:rPr>
          <w:rFonts w:ascii="Segoe UI"/>
          <w:color w:val="231F20"/>
          <w:spacing w:val="-1"/>
        </w:rPr>
        <w:t> </w:t>
      </w:r>
      <w:r>
        <w:rPr>
          <w:rFonts w:ascii="Segoe UI"/>
          <w:color w:val="231F20"/>
        </w:rPr>
        <w:t>non-teaching</w:t>
      </w:r>
      <w:r>
        <w:rPr>
          <w:rFonts w:ascii="Segoe UI"/>
          <w:color w:val="231F20"/>
          <w:spacing w:val="-1"/>
        </w:rPr>
        <w:t> </w:t>
      </w:r>
      <w:r>
        <w:rPr>
          <w:rFonts w:ascii="Segoe UI"/>
          <w:color w:val="231F20"/>
        </w:rPr>
        <w:t>staff to</w:t>
      </w:r>
      <w:r>
        <w:rPr>
          <w:rFonts w:ascii="Segoe UI"/>
          <w:color w:val="231F20"/>
          <w:spacing w:val="-1"/>
        </w:rPr>
        <w:t> </w:t>
      </w:r>
      <w:r>
        <w:rPr>
          <w:rFonts w:ascii="Segoe UI"/>
          <w:color w:val="231F20"/>
        </w:rPr>
        <w:t>total</w:t>
      </w:r>
      <w:r>
        <w:rPr>
          <w:rFonts w:ascii="Segoe UI"/>
          <w:color w:val="231F20"/>
          <w:spacing w:val="-1"/>
        </w:rPr>
        <w:t> </w:t>
      </w:r>
      <w:r>
        <w:rPr>
          <w:rFonts w:ascii="Segoe UI"/>
          <w:color w:val="231F20"/>
        </w:rPr>
        <w:t>students for</w:t>
      </w:r>
      <w:r>
        <w:rPr>
          <w:rFonts w:ascii="Segoe UI"/>
          <w:color w:val="231F20"/>
        </w:rPr>
        <w:t> </w:t>
      </w:r>
      <w:r>
        <w:rPr>
          <w:color w:val="231F20"/>
        </w:rPr>
        <w:t>each</w:t>
      </w:r>
      <w:r>
        <w:rPr>
          <w:color w:val="231F20"/>
          <w:spacing w:val="-6"/>
        </w:rPr>
        <w:t> </w:t>
      </w:r>
      <w:r>
        <w:rPr>
          <w:color w:val="231F20"/>
        </w:rPr>
        <w:t>Aboriginal</w:t>
      </w:r>
      <w:r>
        <w:rPr>
          <w:color w:val="231F20"/>
          <w:spacing w:val="-5"/>
        </w:rPr>
        <w:t> </w:t>
      </w:r>
      <w:r>
        <w:rPr>
          <w:color w:val="231F20"/>
        </w:rPr>
        <w:t>and</w:t>
      </w:r>
      <w:r>
        <w:rPr>
          <w:color w:val="231F20"/>
          <w:spacing w:val="-6"/>
        </w:rPr>
        <w:t> </w:t>
      </w:r>
      <w:r>
        <w:rPr>
          <w:color w:val="231F20"/>
          <w:spacing w:val="-5"/>
        </w:rPr>
        <w:t>Torres</w:t>
      </w:r>
      <w:r>
        <w:rPr>
          <w:color w:val="231F20"/>
          <w:spacing w:val="-6"/>
        </w:rPr>
        <w:t> </w:t>
      </w:r>
      <w:r>
        <w:rPr>
          <w:color w:val="231F20"/>
          <w:spacing w:val="-2"/>
        </w:rPr>
        <w:t>Strait</w:t>
      </w:r>
      <w:r>
        <w:rPr>
          <w:color w:val="231F20"/>
          <w:spacing w:val="-6"/>
        </w:rPr>
        <w:t> </w:t>
      </w:r>
      <w:r>
        <w:rPr>
          <w:color w:val="231F20"/>
          <w:spacing w:val="-1"/>
        </w:rPr>
        <w:t>Islander</w:t>
      </w:r>
      <w:r>
        <w:rPr/>
      </w:r>
    </w:p>
    <w:p>
      <w:pPr>
        <w:pStyle w:val="BodyText"/>
        <w:spacing w:line="250" w:lineRule="exact"/>
        <w:ind w:left="100" w:right="466"/>
        <w:jc w:val="left"/>
        <w:rPr>
          <w:rFonts w:ascii="Segoe UI" w:hAnsi="Segoe UI" w:cs="Segoe UI" w:eastAsia="Segoe UI"/>
        </w:rPr>
      </w:pPr>
      <w:r>
        <w:rPr>
          <w:color w:val="231F20"/>
        </w:rPr>
        <w:t>and</w:t>
      </w:r>
      <w:r>
        <w:rPr>
          <w:color w:val="231F20"/>
          <w:spacing w:val="-5"/>
        </w:rPr>
        <w:t> </w:t>
      </w:r>
      <w:r>
        <w:rPr>
          <w:color w:val="231F20"/>
          <w:spacing w:val="-1"/>
        </w:rPr>
        <w:t>mainstream</w:t>
      </w:r>
      <w:r>
        <w:rPr>
          <w:color w:val="231F20"/>
          <w:spacing w:val="-2"/>
        </w:rPr>
        <w:t> </w:t>
      </w:r>
      <w:r>
        <w:rPr>
          <w:color w:val="231F20"/>
        </w:rPr>
        <w:t>boarding</w:t>
      </w:r>
      <w:r>
        <w:rPr>
          <w:color w:val="231F20"/>
          <w:spacing w:val="-4"/>
        </w:rPr>
        <w:t> </w:t>
      </w:r>
      <w:r>
        <w:rPr>
          <w:color w:val="231F20"/>
          <w:spacing w:val="-1"/>
        </w:rPr>
        <w:t>school</w:t>
      </w:r>
      <w:r>
        <w:rPr>
          <w:color w:val="231F20"/>
          <w:spacing w:val="-3"/>
        </w:rPr>
        <w:t> </w:t>
      </w:r>
      <w:r>
        <w:rPr>
          <w:color w:val="231F20"/>
        </w:rPr>
        <w:t>from</w:t>
      </w:r>
      <w:r>
        <w:rPr>
          <w:color w:val="231F20"/>
          <w:spacing w:val="-3"/>
        </w:rPr>
        <w:t> </w:t>
      </w:r>
      <w:r>
        <w:rPr>
          <w:color w:val="231F20"/>
          <w:spacing w:val="-1"/>
        </w:rPr>
        <w:t>2012</w:t>
      </w:r>
      <w:r>
        <w:rPr>
          <w:color w:val="231F20"/>
          <w:spacing w:val="22"/>
        </w:rPr>
        <w:t> </w:t>
      </w:r>
      <w:r>
        <w:rPr>
          <w:color w:val="231F20"/>
        </w:rPr>
        <w:t>to </w:t>
      </w:r>
      <w:r>
        <w:rPr>
          <w:color w:val="231F20"/>
          <w:spacing w:val="-1"/>
        </w:rPr>
        <w:t>2017</w:t>
      </w:r>
      <w:r>
        <w:rPr>
          <w:rFonts w:ascii="Segoe UI Semibold"/>
          <w:b/>
          <w:color w:val="231F20"/>
          <w:spacing w:val="-1"/>
          <w:position w:val="7"/>
          <w:sz w:val="11"/>
        </w:rPr>
        <w:t>87</w:t>
      </w:r>
      <w:r>
        <w:rPr>
          <w:rFonts w:ascii="Segoe UI"/>
          <w:color w:val="231F20"/>
          <w:spacing w:val="-1"/>
        </w:rPr>
        <w:t>.</w:t>
      </w:r>
      <w:r>
        <w:rPr>
          <w:rFonts w:ascii="Segoe UI"/>
          <w:color w:val="231F20"/>
        </w:rPr>
        <w:t> The five year</w:t>
      </w:r>
      <w:r>
        <w:rPr>
          <w:rFonts w:ascii="Segoe UI"/>
          <w:color w:val="231F20"/>
          <w:spacing w:val="1"/>
        </w:rPr>
        <w:t> </w:t>
      </w:r>
      <w:r>
        <w:rPr>
          <w:rFonts w:ascii="Segoe UI"/>
          <w:color w:val="231F20"/>
        </w:rPr>
        <w:t>average total staff</w:t>
      </w:r>
      <w:r>
        <w:rPr>
          <w:rFonts w:ascii="Segoe UI"/>
        </w:rPr>
      </w:r>
    </w:p>
    <w:p>
      <w:pPr>
        <w:pStyle w:val="BodyText"/>
        <w:spacing w:line="250" w:lineRule="exact"/>
        <w:ind w:left="100" w:right="132"/>
        <w:jc w:val="left"/>
      </w:pPr>
      <w:r>
        <w:rPr>
          <w:color w:val="231F20"/>
        </w:rPr>
        <w:t>to</w:t>
      </w:r>
      <w:r>
        <w:rPr>
          <w:color w:val="231F20"/>
          <w:spacing w:val="-5"/>
        </w:rPr>
        <w:t> </w:t>
      </w:r>
      <w:r>
        <w:rPr>
          <w:color w:val="231F20"/>
          <w:spacing w:val="-1"/>
        </w:rPr>
        <w:t>student</w:t>
      </w:r>
      <w:r>
        <w:rPr>
          <w:color w:val="231F20"/>
          <w:spacing w:val="-5"/>
        </w:rPr>
        <w:t> </w:t>
      </w:r>
      <w:r>
        <w:rPr>
          <w:color w:val="231F20"/>
        </w:rPr>
        <w:t>ratio</w:t>
      </w:r>
      <w:r>
        <w:rPr>
          <w:color w:val="231F20"/>
          <w:spacing w:val="-5"/>
        </w:rPr>
        <w:t> </w:t>
      </w:r>
      <w:r>
        <w:rPr>
          <w:color w:val="231F20"/>
        </w:rPr>
        <w:t>for</w:t>
      </w:r>
      <w:r>
        <w:rPr>
          <w:color w:val="231F20"/>
          <w:spacing w:val="-5"/>
        </w:rPr>
        <w:t> </w:t>
      </w:r>
      <w:r>
        <w:rPr>
          <w:color w:val="231F20"/>
          <w:spacing w:val="-1"/>
        </w:rPr>
        <w:t>mainstream</w:t>
      </w:r>
      <w:r>
        <w:rPr>
          <w:color w:val="231F20"/>
          <w:spacing w:val="-4"/>
        </w:rPr>
        <w:t> </w:t>
      </w:r>
      <w:r>
        <w:rPr>
          <w:color w:val="231F20"/>
        </w:rPr>
        <w:t>boarding</w:t>
      </w:r>
      <w:r>
        <w:rPr>
          <w:color w:val="231F20"/>
          <w:spacing w:val="23"/>
          <w:w w:val="99"/>
        </w:rPr>
        <w:t> </w:t>
      </w:r>
      <w:r>
        <w:rPr>
          <w:color w:val="231F20"/>
        </w:rPr>
        <w:t>providers</w:t>
      </w:r>
      <w:r>
        <w:rPr>
          <w:color w:val="231F20"/>
          <w:spacing w:val="-5"/>
        </w:rPr>
        <w:t> </w:t>
      </w:r>
      <w:r>
        <w:rPr>
          <w:color w:val="231F20"/>
        </w:rPr>
        <w:t>was</w:t>
      </w:r>
      <w:r>
        <w:rPr>
          <w:color w:val="231F20"/>
          <w:spacing w:val="-5"/>
        </w:rPr>
        <w:t> </w:t>
      </w:r>
      <w:r>
        <w:rPr>
          <w:color w:val="231F20"/>
          <w:spacing w:val="-1"/>
        </w:rPr>
        <w:t>6.7</w:t>
      </w:r>
      <w:r>
        <w:rPr>
          <w:color w:val="231F20"/>
          <w:spacing w:val="-3"/>
        </w:rPr>
        <w:t> </w:t>
      </w:r>
      <w:r>
        <w:rPr>
          <w:color w:val="231F20"/>
        </w:rPr>
        <w:t>across</w:t>
      </w:r>
      <w:r>
        <w:rPr>
          <w:color w:val="231F20"/>
          <w:spacing w:val="-5"/>
        </w:rPr>
        <w:t> </w:t>
      </w:r>
      <w:r>
        <w:rPr>
          <w:color w:val="231F20"/>
          <w:spacing w:val="-1"/>
        </w:rPr>
        <w:t>2012</w:t>
      </w:r>
      <w:r>
        <w:rPr>
          <w:color w:val="231F20"/>
          <w:spacing w:val="-3"/>
        </w:rPr>
        <w:t> </w:t>
      </w:r>
      <w:r>
        <w:rPr>
          <w:color w:val="231F20"/>
        </w:rPr>
        <w:t>to</w:t>
      </w:r>
      <w:r>
        <w:rPr>
          <w:color w:val="231F20"/>
          <w:spacing w:val="-4"/>
        </w:rPr>
        <w:t> </w:t>
      </w:r>
      <w:r>
        <w:rPr>
          <w:color w:val="231F20"/>
          <w:spacing w:val="-1"/>
        </w:rPr>
        <w:t>2017,</w:t>
      </w:r>
      <w:r>
        <w:rPr>
          <w:color w:val="231F20"/>
          <w:spacing w:val="-3"/>
        </w:rPr>
        <w:t> </w:t>
      </w:r>
      <w:r>
        <w:rPr>
          <w:color w:val="231F20"/>
        </w:rPr>
        <w:t>and</w:t>
      </w:r>
      <w:r>
        <w:rPr/>
      </w:r>
    </w:p>
    <w:p>
      <w:pPr>
        <w:pStyle w:val="BodyText"/>
        <w:spacing w:line="250" w:lineRule="exact"/>
        <w:ind w:left="100" w:right="132"/>
        <w:jc w:val="left"/>
      </w:pPr>
      <w:r>
        <w:rPr>
          <w:color w:val="231F20"/>
          <w:spacing w:val="-1"/>
        </w:rPr>
        <w:t>4.6</w:t>
      </w:r>
      <w:r>
        <w:rPr>
          <w:color w:val="231F20"/>
          <w:spacing w:val="-5"/>
        </w:rPr>
        <w:t> </w:t>
      </w:r>
      <w:r>
        <w:rPr>
          <w:color w:val="231F20"/>
        </w:rPr>
        <w:t>for</w:t>
      </w:r>
      <w:r>
        <w:rPr>
          <w:color w:val="231F20"/>
          <w:spacing w:val="-5"/>
        </w:rPr>
        <w:t> </w:t>
      </w:r>
      <w:r>
        <w:rPr>
          <w:color w:val="231F20"/>
        </w:rPr>
        <w:t>Aboriginal</w:t>
      </w:r>
      <w:r>
        <w:rPr>
          <w:color w:val="231F20"/>
          <w:spacing w:val="-4"/>
        </w:rPr>
        <w:t> </w:t>
      </w:r>
      <w:r>
        <w:rPr>
          <w:color w:val="231F20"/>
        </w:rPr>
        <w:t>and</w:t>
      </w:r>
      <w:r>
        <w:rPr>
          <w:color w:val="231F20"/>
          <w:spacing w:val="-6"/>
        </w:rPr>
        <w:t> </w:t>
      </w:r>
      <w:r>
        <w:rPr>
          <w:color w:val="231F20"/>
          <w:spacing w:val="-5"/>
        </w:rPr>
        <w:t>Torres</w:t>
      </w:r>
      <w:r>
        <w:rPr>
          <w:color w:val="231F20"/>
          <w:spacing w:val="-4"/>
        </w:rPr>
        <w:t> </w:t>
      </w:r>
      <w:r>
        <w:rPr>
          <w:color w:val="231F20"/>
          <w:spacing w:val="-2"/>
        </w:rPr>
        <w:t>Strait</w:t>
      </w:r>
      <w:r>
        <w:rPr>
          <w:color w:val="231F20"/>
          <w:spacing w:val="-6"/>
        </w:rPr>
        <w:t> </w:t>
      </w:r>
      <w:r>
        <w:rPr>
          <w:color w:val="231F20"/>
          <w:spacing w:val="-1"/>
        </w:rPr>
        <w:t>Islander</w:t>
      </w:r>
      <w:r>
        <w:rPr>
          <w:color w:val="231F20"/>
          <w:spacing w:val="20"/>
          <w:w w:val="99"/>
        </w:rPr>
        <w:t> </w:t>
      </w:r>
      <w:r>
        <w:rPr>
          <w:color w:val="231F20"/>
        </w:rPr>
        <w:t>boarding</w:t>
      </w:r>
      <w:r>
        <w:rPr>
          <w:color w:val="231F20"/>
          <w:spacing w:val="-6"/>
        </w:rPr>
        <w:t> </w:t>
      </w:r>
      <w:r>
        <w:rPr>
          <w:color w:val="231F20"/>
          <w:spacing w:val="-1"/>
        </w:rPr>
        <w:t>providers</w:t>
      </w:r>
      <w:r>
        <w:rPr>
          <w:rFonts w:ascii="Segoe UI Semibold"/>
          <w:b/>
          <w:color w:val="231F20"/>
          <w:spacing w:val="-1"/>
          <w:position w:val="7"/>
          <w:sz w:val="11"/>
        </w:rPr>
        <w:t>88</w:t>
      </w:r>
      <w:r>
        <w:rPr>
          <w:color w:val="231F20"/>
          <w:spacing w:val="-1"/>
        </w:rPr>
        <w:t>.</w:t>
      </w:r>
      <w:r>
        <w:rPr>
          <w:color w:val="231F20"/>
          <w:spacing w:val="-4"/>
        </w:rPr>
        <w:t> </w:t>
      </w:r>
      <w:r>
        <w:rPr>
          <w:color w:val="231F20"/>
        </w:rPr>
        <w:t>The</w:t>
      </w:r>
      <w:r>
        <w:rPr>
          <w:color w:val="231F20"/>
          <w:spacing w:val="-5"/>
        </w:rPr>
        <w:t> </w:t>
      </w:r>
      <w:r>
        <w:rPr>
          <w:color w:val="231F20"/>
          <w:spacing w:val="-1"/>
        </w:rPr>
        <w:t>median</w:t>
      </w:r>
      <w:r>
        <w:rPr>
          <w:color w:val="231F20"/>
          <w:spacing w:val="-4"/>
        </w:rPr>
        <w:t> </w:t>
      </w:r>
      <w:r>
        <w:rPr>
          <w:color w:val="231F20"/>
        </w:rPr>
        <w:t>ratios</w:t>
      </w:r>
      <w:r>
        <w:rPr>
          <w:color w:val="231F20"/>
          <w:spacing w:val="-5"/>
        </w:rPr>
        <w:t> </w:t>
      </w:r>
      <w:r>
        <w:rPr>
          <w:color w:val="231F20"/>
        </w:rPr>
        <w:t>were</w:t>
      </w:r>
      <w:r>
        <w:rPr/>
      </w:r>
    </w:p>
    <w:p>
      <w:pPr>
        <w:pStyle w:val="BodyText"/>
        <w:spacing w:line="250" w:lineRule="exact"/>
        <w:ind w:left="100" w:right="0"/>
        <w:jc w:val="left"/>
      </w:pPr>
      <w:r>
        <w:rPr>
          <w:color w:val="231F20"/>
          <w:spacing w:val="-1"/>
        </w:rPr>
        <w:t>6.6</w:t>
      </w:r>
      <w:r>
        <w:rPr>
          <w:color w:val="231F20"/>
          <w:spacing w:val="-7"/>
        </w:rPr>
        <w:t> </w:t>
      </w:r>
      <w:r>
        <w:rPr>
          <w:color w:val="231F20"/>
        </w:rPr>
        <w:t>and</w:t>
      </w:r>
      <w:r>
        <w:rPr>
          <w:color w:val="231F20"/>
          <w:spacing w:val="-7"/>
        </w:rPr>
        <w:t> </w:t>
      </w:r>
      <w:r>
        <w:rPr>
          <w:color w:val="231F20"/>
          <w:spacing w:val="-1"/>
        </w:rPr>
        <w:t>4.9</w:t>
      </w:r>
      <w:r>
        <w:rPr>
          <w:color w:val="231F20"/>
          <w:spacing w:val="-7"/>
        </w:rPr>
        <w:t> </w:t>
      </w:r>
      <w:r>
        <w:rPr>
          <w:color w:val="231F20"/>
        </w:rPr>
        <w:t>respectively.</w:t>
      </w:r>
      <w:r>
        <w:rPr/>
      </w:r>
    </w:p>
    <w:p>
      <w:pPr>
        <w:spacing w:after="0" w:line="250" w:lineRule="exact"/>
        <w:jc w:val="left"/>
        <w:sectPr>
          <w:type w:val="continuous"/>
          <w:pgSz w:w="11910" w:h="16840"/>
          <w:pgMar w:top="1580" w:bottom="280" w:left="1600" w:right="1300"/>
          <w:cols w:num="2" w:equalWidth="0">
            <w:col w:w="4209" w:space="327"/>
            <w:col w:w="4474"/>
          </w:cols>
        </w:sectPr>
      </w:pPr>
    </w:p>
    <w:p>
      <w:pPr>
        <w:rPr>
          <w:sz w:val="2"/>
          <w:szCs w:val="2"/>
        </w:rPr>
      </w:pPr>
      <w:r>
        <w:rPr/>
        <w:pict>
          <v:shape style="position:absolute;margin-left:112.997032pt;margin-top:595.584778pt;width:9.65pt;height:71.350pt;mso-position-horizontal-relative:page;mso-position-vertical-relative:page;z-index:3328" type="#_x0000_t202" filled="false" stroked="false">
            <v:textbox inset="0,0,0,0" style="layout-flow:vertical;mso-layout-flow-alt:bottom-to-top">
              <w:txbxContent>
                <w:p>
                  <w:pPr>
                    <w:spacing w:line="174" w:lineRule="exact" w:before="0"/>
                    <w:ind w:left="20" w:right="0" w:firstLine="0"/>
                    <w:jc w:val="left"/>
                    <w:rPr>
                      <w:rFonts w:ascii="Segoe UI" w:hAnsi="Segoe UI" w:cs="Segoe UI" w:eastAsia="Segoe UI"/>
                      <w:sz w:val="15"/>
                      <w:szCs w:val="15"/>
                    </w:rPr>
                  </w:pPr>
                  <w:r>
                    <w:rPr>
                      <w:rFonts w:ascii="Segoe UI"/>
                      <w:color w:val="77787B"/>
                      <w:w w:val="101"/>
                      <w:sz w:val="15"/>
                    </w:rPr>
                    <w:t>Staff</w:t>
                  </w:r>
                  <w:r>
                    <w:rPr>
                      <w:rFonts w:ascii="Segoe UI"/>
                      <w:color w:val="77787B"/>
                      <w:spacing w:val="-3"/>
                      <w:sz w:val="15"/>
                    </w:rPr>
                    <w:t> </w:t>
                  </w:r>
                  <w:r>
                    <w:rPr>
                      <w:rFonts w:ascii="Segoe UI"/>
                      <w:color w:val="77787B"/>
                      <w:w w:val="101"/>
                      <w:sz w:val="15"/>
                    </w:rPr>
                    <w:t>to</w:t>
                  </w:r>
                  <w:r>
                    <w:rPr>
                      <w:rFonts w:ascii="Segoe UI"/>
                      <w:color w:val="77787B"/>
                      <w:spacing w:val="1"/>
                      <w:sz w:val="15"/>
                    </w:rPr>
                    <w:t> </w:t>
                  </w:r>
                  <w:r>
                    <w:rPr>
                      <w:rFonts w:ascii="Segoe UI"/>
                      <w:color w:val="77787B"/>
                      <w:w w:val="101"/>
                      <w:sz w:val="15"/>
                    </w:rPr>
                    <w:t>student</w:t>
                  </w:r>
                  <w:r>
                    <w:rPr>
                      <w:rFonts w:ascii="Segoe UI"/>
                      <w:color w:val="77787B"/>
                      <w:spacing w:val="-5"/>
                      <w:sz w:val="15"/>
                    </w:rPr>
                    <w:t> </w:t>
                  </w:r>
                  <w:r>
                    <w:rPr>
                      <w:rFonts w:ascii="Segoe UI"/>
                      <w:color w:val="77787B"/>
                      <w:spacing w:val="-1"/>
                      <w:w w:val="101"/>
                      <w:sz w:val="15"/>
                    </w:rPr>
                    <w:t>ratio</w:t>
                  </w:r>
                  <w:r>
                    <w:rPr>
                      <w:rFonts w:ascii="Segoe UI"/>
                      <w:sz w:val="15"/>
                    </w:rPr>
                  </w:r>
                </w:p>
              </w:txbxContent>
            </v:textbox>
            <w10:wrap type="none"/>
          </v:shape>
        </w:pict>
      </w:r>
    </w:p>
    <w:p>
      <w:pPr>
        <w:spacing w:after="0"/>
        <w:rPr>
          <w:sz w:val="2"/>
          <w:szCs w:val="2"/>
        </w:rPr>
        <w:sectPr>
          <w:type w:val="continuous"/>
          <w:pgSz w:w="11910" w:h="16840"/>
          <w:pgMar w:top="1580" w:bottom="280" w:left="1600" w:right="1300"/>
        </w:sectPr>
      </w:pPr>
    </w:p>
    <w:p>
      <w:pPr>
        <w:spacing w:line="240" w:lineRule="auto" w:before="0"/>
        <w:rPr>
          <w:rFonts w:ascii="Segoe UI" w:hAnsi="Segoe UI" w:cs="Segoe UI" w:eastAsia="Segoe UI"/>
          <w:sz w:val="20"/>
          <w:szCs w:val="20"/>
        </w:rPr>
      </w:pPr>
    </w:p>
    <w:p>
      <w:pPr>
        <w:spacing w:after="0" w:line="240" w:lineRule="auto"/>
        <w:rPr>
          <w:rFonts w:ascii="Segoe UI" w:hAnsi="Segoe UI" w:cs="Segoe UI" w:eastAsia="Segoe UI"/>
          <w:sz w:val="20"/>
          <w:szCs w:val="20"/>
        </w:rPr>
        <w:sectPr>
          <w:pgSz w:w="11910" w:h="16840"/>
          <w:pgMar w:header="0" w:footer="691" w:top="1580" w:bottom="880" w:left="1300" w:right="1560"/>
        </w:sectPr>
      </w:pPr>
    </w:p>
    <w:p>
      <w:pPr>
        <w:spacing w:line="240" w:lineRule="auto" w:before="8"/>
        <w:rPr>
          <w:rFonts w:ascii="Segoe UI" w:hAnsi="Segoe UI" w:cs="Segoe UI" w:eastAsia="Segoe UI"/>
          <w:sz w:val="15"/>
          <w:szCs w:val="15"/>
        </w:rPr>
      </w:pPr>
    </w:p>
    <w:p>
      <w:pPr>
        <w:pStyle w:val="BodyText"/>
        <w:spacing w:line="250" w:lineRule="exact"/>
        <w:ind w:right="379"/>
        <w:jc w:val="left"/>
      </w:pPr>
      <w:r>
        <w:rPr>
          <w:color w:val="231F20"/>
        </w:rPr>
        <w:t>The</w:t>
      </w:r>
      <w:r>
        <w:rPr>
          <w:color w:val="231F20"/>
          <w:spacing w:val="-5"/>
        </w:rPr>
        <w:t> </w:t>
      </w:r>
      <w:r>
        <w:rPr>
          <w:color w:val="231F20"/>
        </w:rPr>
        <w:t>data</w:t>
      </w:r>
      <w:r>
        <w:rPr>
          <w:color w:val="231F20"/>
          <w:spacing w:val="-6"/>
        </w:rPr>
        <w:t> </w:t>
      </w:r>
      <w:r>
        <w:rPr>
          <w:color w:val="231F20"/>
          <w:spacing w:val="-1"/>
        </w:rPr>
        <w:t>suggests</w:t>
      </w:r>
      <w:r>
        <w:rPr>
          <w:color w:val="231F20"/>
          <w:spacing w:val="-4"/>
        </w:rPr>
        <w:t> </w:t>
      </w:r>
      <w:r>
        <w:rPr>
          <w:color w:val="231F20"/>
        </w:rPr>
        <w:t>that</w:t>
      </w:r>
      <w:r>
        <w:rPr>
          <w:color w:val="231F20"/>
          <w:spacing w:val="-6"/>
        </w:rPr>
        <w:t> </w:t>
      </w:r>
      <w:r>
        <w:rPr>
          <w:color w:val="231F20"/>
        </w:rPr>
        <w:t>Aboriginal</w:t>
      </w:r>
      <w:r>
        <w:rPr>
          <w:color w:val="231F20"/>
          <w:spacing w:val="-5"/>
        </w:rPr>
        <w:t> </w:t>
      </w:r>
      <w:r>
        <w:rPr>
          <w:color w:val="231F20"/>
        </w:rPr>
        <w:t>and</w:t>
      </w:r>
      <w:r>
        <w:rPr>
          <w:color w:val="231F20"/>
          <w:spacing w:val="22"/>
          <w:w w:val="99"/>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7"/>
        </w:rPr>
        <w:t> </w:t>
      </w:r>
      <w:r>
        <w:rPr>
          <w:color w:val="231F20"/>
        </w:rPr>
        <w:t>providers</w:t>
      </w:r>
      <w:r>
        <w:rPr>
          <w:color w:val="231F20"/>
          <w:spacing w:val="-7"/>
        </w:rPr>
        <w:t> </w:t>
      </w:r>
      <w:r>
        <w:rPr>
          <w:color w:val="231F20"/>
        </w:rPr>
        <w:t>are</w:t>
      </w:r>
      <w:r>
        <w:rPr/>
      </w:r>
    </w:p>
    <w:p>
      <w:pPr>
        <w:pStyle w:val="BodyText"/>
        <w:spacing w:line="242" w:lineRule="exact"/>
        <w:ind w:right="0"/>
        <w:jc w:val="left"/>
        <w:rPr>
          <w:rFonts w:ascii="Segoe UI" w:hAnsi="Segoe UI" w:cs="Segoe UI" w:eastAsia="Segoe UI"/>
        </w:rPr>
      </w:pPr>
      <w:r>
        <w:rPr>
          <w:rFonts w:ascii="Segoe UI"/>
          <w:color w:val="231F20"/>
        </w:rPr>
        <w:t>employing</w:t>
      </w:r>
      <w:r>
        <w:rPr>
          <w:rFonts w:ascii="Segoe UI"/>
          <w:color w:val="231F20"/>
          <w:spacing w:val="-1"/>
        </w:rPr>
        <w:t> </w:t>
      </w:r>
      <w:r>
        <w:rPr>
          <w:rFonts w:ascii="Segoe UI"/>
          <w:color w:val="231F20"/>
        </w:rPr>
        <w:t>more</w:t>
      </w:r>
      <w:r>
        <w:rPr>
          <w:rFonts w:ascii="Segoe UI"/>
          <w:color w:val="231F20"/>
          <w:spacing w:val="-1"/>
        </w:rPr>
        <w:t> </w:t>
      </w:r>
      <w:r>
        <w:rPr>
          <w:rFonts w:ascii="Segoe UI"/>
          <w:color w:val="231F20"/>
        </w:rPr>
        <w:t>staff to</w:t>
      </w:r>
      <w:r>
        <w:rPr>
          <w:rFonts w:ascii="Segoe UI"/>
          <w:color w:val="231F20"/>
          <w:spacing w:val="-1"/>
        </w:rPr>
        <w:t> </w:t>
      </w:r>
      <w:r>
        <w:rPr>
          <w:rFonts w:ascii="Segoe UI"/>
          <w:color w:val="231F20"/>
        </w:rPr>
        <w:t>support</w:t>
      </w:r>
      <w:r>
        <w:rPr>
          <w:rFonts w:ascii="Segoe UI"/>
          <w:color w:val="231F20"/>
          <w:spacing w:val="-1"/>
        </w:rPr>
        <w:t> </w:t>
      </w:r>
      <w:r>
        <w:rPr>
          <w:rFonts w:ascii="Segoe UI"/>
          <w:color w:val="231F20"/>
        </w:rPr>
        <w:t>Aboriginal and</w:t>
      </w:r>
      <w:r>
        <w:rPr>
          <w:rFonts w:ascii="Segoe UI"/>
        </w:rPr>
      </w:r>
    </w:p>
    <w:p>
      <w:pPr>
        <w:pStyle w:val="BodyText"/>
        <w:spacing w:line="250" w:lineRule="exact"/>
        <w:ind w:right="0"/>
        <w:jc w:val="left"/>
      </w:pPr>
      <w:r>
        <w:rPr>
          <w:color w:val="231F20"/>
          <w:spacing w:val="-5"/>
        </w:rPr>
        <w:t>Torres</w:t>
      </w:r>
      <w:r>
        <w:rPr>
          <w:color w:val="231F20"/>
          <w:spacing w:val="-6"/>
        </w:rPr>
        <w:t> </w:t>
      </w:r>
      <w:r>
        <w:rPr>
          <w:color w:val="231F20"/>
          <w:spacing w:val="-2"/>
        </w:rPr>
        <w:t>Strait</w:t>
      </w:r>
      <w:r>
        <w:rPr>
          <w:color w:val="231F20"/>
          <w:spacing w:val="-6"/>
        </w:rPr>
        <w:t> </w:t>
      </w:r>
      <w:r>
        <w:rPr>
          <w:color w:val="231F20"/>
          <w:spacing w:val="-1"/>
        </w:rPr>
        <w:t>Islander</w:t>
      </w:r>
      <w:r>
        <w:rPr>
          <w:color w:val="231F20"/>
          <w:spacing w:val="-6"/>
        </w:rPr>
        <w:t> </w:t>
      </w:r>
      <w:r>
        <w:rPr>
          <w:color w:val="231F20"/>
        </w:rPr>
        <w:t>boarders.</w:t>
      </w:r>
      <w:r>
        <w:rPr>
          <w:color w:val="231F20"/>
          <w:spacing w:val="-6"/>
        </w:rPr>
        <w:t> </w:t>
      </w:r>
      <w:r>
        <w:rPr>
          <w:color w:val="231F20"/>
        </w:rPr>
        <w:t>As</w:t>
      </w:r>
      <w:r>
        <w:rPr>
          <w:color w:val="231F20"/>
          <w:spacing w:val="-6"/>
        </w:rPr>
        <w:t> </w:t>
      </w:r>
      <w:r>
        <w:rPr>
          <w:color w:val="231F20"/>
        </w:rPr>
        <w:t>expected,</w:t>
      </w:r>
      <w:r>
        <w:rPr/>
      </w:r>
    </w:p>
    <w:p>
      <w:pPr>
        <w:pStyle w:val="BodyText"/>
        <w:spacing w:line="250" w:lineRule="exact"/>
        <w:ind w:right="0"/>
        <w:jc w:val="left"/>
        <w:rPr>
          <w:rFonts w:ascii="Segoe UI" w:hAnsi="Segoe UI" w:cs="Segoe UI" w:eastAsia="Segoe UI"/>
        </w:rPr>
      </w:pPr>
      <w:r>
        <w:rPr>
          <w:rFonts w:ascii="Segoe UI"/>
          <w:color w:val="231F20"/>
        </w:rPr>
        <w:t>the</w:t>
      </w:r>
      <w:r>
        <w:rPr>
          <w:rFonts w:ascii="Segoe UI"/>
          <w:color w:val="231F20"/>
          <w:spacing w:val="-1"/>
        </w:rPr>
        <w:t> </w:t>
      </w:r>
      <w:r>
        <w:rPr>
          <w:rFonts w:ascii="Segoe UI"/>
          <w:color w:val="231F20"/>
        </w:rPr>
        <w:t>boarding</w:t>
      </w:r>
      <w:r>
        <w:rPr>
          <w:rFonts w:ascii="Segoe UI"/>
          <w:color w:val="231F20"/>
          <w:spacing w:val="-1"/>
        </w:rPr>
        <w:t> </w:t>
      </w:r>
      <w:r>
        <w:rPr>
          <w:rFonts w:ascii="Segoe UI"/>
          <w:color w:val="231F20"/>
        </w:rPr>
        <w:t>providers with</w:t>
      </w:r>
      <w:r>
        <w:rPr>
          <w:rFonts w:ascii="Segoe UI"/>
          <w:color w:val="231F20"/>
          <w:spacing w:val="-1"/>
        </w:rPr>
        <w:t> </w:t>
      </w:r>
      <w:r>
        <w:rPr>
          <w:rFonts w:ascii="Segoe UI"/>
          <w:color w:val="231F20"/>
        </w:rPr>
        <w:t>the</w:t>
      </w:r>
      <w:r>
        <w:rPr>
          <w:rFonts w:ascii="Segoe UI"/>
          <w:color w:val="231F20"/>
          <w:spacing w:val="-1"/>
        </w:rPr>
        <w:t> </w:t>
      </w:r>
      <w:r>
        <w:rPr>
          <w:rFonts w:ascii="Segoe UI"/>
          <w:color w:val="231F20"/>
        </w:rPr>
        <w:t>lowest staff</w:t>
      </w:r>
      <w:r>
        <w:rPr>
          <w:rFonts w:ascii="Segoe UI"/>
        </w:rPr>
      </w:r>
    </w:p>
    <w:p>
      <w:pPr>
        <w:pStyle w:val="BodyText"/>
        <w:spacing w:line="250" w:lineRule="exact" w:before="8"/>
        <w:ind w:right="50"/>
        <w:jc w:val="left"/>
      </w:pPr>
      <w:r>
        <w:rPr>
          <w:color w:val="231F20"/>
        </w:rPr>
        <w:t>to</w:t>
      </w:r>
      <w:r>
        <w:rPr>
          <w:color w:val="231F20"/>
          <w:spacing w:val="-5"/>
        </w:rPr>
        <w:t> </w:t>
      </w:r>
      <w:r>
        <w:rPr>
          <w:color w:val="231F20"/>
          <w:spacing w:val="-1"/>
        </w:rPr>
        <w:t>student</w:t>
      </w:r>
      <w:r>
        <w:rPr>
          <w:color w:val="231F20"/>
          <w:spacing w:val="-5"/>
        </w:rPr>
        <w:t> </w:t>
      </w:r>
      <w:r>
        <w:rPr>
          <w:color w:val="231F20"/>
        </w:rPr>
        <w:t>ratios</w:t>
      </w:r>
      <w:r>
        <w:rPr>
          <w:color w:val="231F20"/>
          <w:spacing w:val="-5"/>
        </w:rPr>
        <w:t> </w:t>
      </w:r>
      <w:r>
        <w:rPr>
          <w:color w:val="231F20"/>
        </w:rPr>
        <w:t>(ranging</w:t>
      </w:r>
      <w:r>
        <w:rPr>
          <w:color w:val="231F20"/>
          <w:spacing w:val="-5"/>
        </w:rPr>
        <w:t> </w:t>
      </w:r>
      <w:r>
        <w:rPr>
          <w:color w:val="231F20"/>
        </w:rPr>
        <w:t>from</w:t>
      </w:r>
      <w:r>
        <w:rPr>
          <w:color w:val="231F20"/>
          <w:spacing w:val="-5"/>
        </w:rPr>
        <w:t> </w:t>
      </w:r>
      <w:r>
        <w:rPr>
          <w:color w:val="231F20"/>
          <w:spacing w:val="-1"/>
        </w:rPr>
        <w:t>1.9</w:t>
      </w:r>
      <w:r>
        <w:rPr>
          <w:color w:val="231F20"/>
          <w:spacing w:val="-5"/>
        </w:rPr>
        <w:t> </w:t>
      </w:r>
      <w:r>
        <w:rPr>
          <w:color w:val="231F20"/>
        </w:rPr>
        <w:t>to</w:t>
      </w:r>
      <w:r>
        <w:rPr>
          <w:color w:val="231F20"/>
          <w:spacing w:val="-4"/>
        </w:rPr>
        <w:t> </w:t>
      </w:r>
      <w:r>
        <w:rPr>
          <w:color w:val="231F20"/>
        </w:rPr>
        <w:t>3.5</w:t>
      </w:r>
      <w:r>
        <w:rPr>
          <w:color w:val="231F20"/>
          <w:spacing w:val="-5"/>
        </w:rPr>
        <w:t> </w:t>
      </w:r>
      <w:r>
        <w:rPr>
          <w:color w:val="231F20"/>
        </w:rPr>
        <w:t>total</w:t>
      </w:r>
      <w:r>
        <w:rPr>
          <w:color w:val="231F20"/>
          <w:spacing w:val="23"/>
          <w:w w:val="99"/>
        </w:rPr>
        <w:t> </w:t>
      </w:r>
      <w:r>
        <w:rPr>
          <w:rFonts w:ascii="Segoe UI"/>
          <w:color w:val="231F20"/>
        </w:rPr>
        <w:t>staff</w:t>
      </w:r>
      <w:r>
        <w:rPr>
          <w:rFonts w:ascii="Segoe UI"/>
          <w:color w:val="231F20"/>
          <w:spacing w:val="-1"/>
        </w:rPr>
        <w:t> </w:t>
      </w:r>
      <w:r>
        <w:rPr>
          <w:rFonts w:ascii="Segoe UI"/>
          <w:color w:val="231F20"/>
        </w:rPr>
        <w:t>to students)</w:t>
      </w:r>
      <w:r>
        <w:rPr>
          <w:rFonts w:ascii="Segoe UI"/>
          <w:color w:val="231F20"/>
          <w:spacing w:val="-1"/>
        </w:rPr>
        <w:t> </w:t>
      </w:r>
      <w:r>
        <w:rPr>
          <w:rFonts w:ascii="Segoe UI"/>
          <w:color w:val="231F20"/>
        </w:rPr>
        <w:t>were all</w:t>
      </w:r>
      <w:r>
        <w:rPr>
          <w:rFonts w:ascii="Segoe UI"/>
          <w:color w:val="231F20"/>
          <w:spacing w:val="-1"/>
        </w:rPr>
        <w:t> </w:t>
      </w:r>
      <w:r>
        <w:rPr>
          <w:rFonts w:ascii="Segoe UI"/>
          <w:color w:val="231F20"/>
        </w:rPr>
        <w:t>small, very</w:t>
      </w:r>
      <w:r>
        <w:rPr>
          <w:rFonts w:ascii="Segoe UI"/>
          <w:color w:val="231F20"/>
          <w:spacing w:val="-1"/>
        </w:rPr>
        <w:t> </w:t>
      </w:r>
      <w:r>
        <w:rPr>
          <w:rFonts w:ascii="Segoe UI"/>
          <w:color w:val="231F20"/>
        </w:rPr>
        <w:t>small and/</w:t>
      </w:r>
      <w:r>
        <w:rPr>
          <w:rFonts w:ascii="Segoe UI"/>
          <w:color w:val="231F20"/>
        </w:rPr>
        <w:t> </w:t>
      </w:r>
      <w:r>
        <w:rPr>
          <w:color w:val="231F20"/>
        </w:rPr>
        <w:t>or</w:t>
      </w:r>
      <w:r>
        <w:rPr>
          <w:color w:val="231F20"/>
          <w:spacing w:val="-2"/>
        </w:rPr>
        <w:t> </w:t>
      </w:r>
      <w:r>
        <w:rPr>
          <w:color w:val="231F20"/>
          <w:spacing w:val="-1"/>
        </w:rPr>
        <w:t>special</w:t>
      </w:r>
      <w:r>
        <w:rPr>
          <w:color w:val="231F20"/>
          <w:spacing w:val="-2"/>
        </w:rPr>
        <w:t> </w:t>
      </w:r>
      <w:r>
        <w:rPr>
          <w:color w:val="231F20"/>
        </w:rPr>
        <w:t>assistance</w:t>
      </w:r>
      <w:r>
        <w:rPr>
          <w:color w:val="231F20"/>
          <w:spacing w:val="-3"/>
        </w:rPr>
        <w:t> </w:t>
      </w:r>
      <w:r>
        <w:rPr>
          <w:color w:val="231F20"/>
          <w:spacing w:val="-1"/>
        </w:rPr>
        <w:t>schools.</w:t>
      </w:r>
      <w:r>
        <w:rPr>
          <w:color w:val="231F20"/>
          <w:spacing w:val="-2"/>
        </w:rPr>
        <w:t> </w:t>
      </w:r>
      <w:r>
        <w:rPr>
          <w:color w:val="231F20"/>
        </w:rPr>
        <w:t>These</w:t>
      </w:r>
      <w:r>
        <w:rPr>
          <w:color w:val="231F20"/>
          <w:spacing w:val="-3"/>
        </w:rPr>
        <w:t> </w:t>
      </w:r>
      <w:r>
        <w:rPr>
          <w:color w:val="231F20"/>
        </w:rPr>
        <w:t>boarding</w:t>
      </w:r>
      <w:r>
        <w:rPr>
          <w:color w:val="231F20"/>
          <w:spacing w:val="23"/>
          <w:w w:val="99"/>
        </w:rPr>
        <w:t> </w:t>
      </w:r>
      <w:r>
        <w:rPr>
          <w:color w:val="231F20"/>
        </w:rPr>
        <w:t>providers</w:t>
      </w:r>
      <w:r>
        <w:rPr>
          <w:color w:val="231F20"/>
          <w:spacing w:val="-6"/>
        </w:rPr>
        <w:t> </w:t>
      </w:r>
      <w:r>
        <w:rPr>
          <w:color w:val="231F20"/>
        </w:rPr>
        <w:t>have</w:t>
      </w:r>
      <w:r>
        <w:rPr>
          <w:color w:val="231F20"/>
          <w:spacing w:val="-5"/>
        </w:rPr>
        <w:t> </w:t>
      </w:r>
      <w:r>
        <w:rPr>
          <w:color w:val="231F20"/>
        </w:rPr>
        <w:t>been</w:t>
      </w:r>
      <w:r>
        <w:rPr>
          <w:color w:val="231F20"/>
          <w:spacing w:val="-6"/>
        </w:rPr>
        <w:t> </w:t>
      </w:r>
      <w:r>
        <w:rPr>
          <w:color w:val="231F20"/>
        </w:rPr>
        <w:t>established</w:t>
      </w:r>
      <w:r>
        <w:rPr>
          <w:color w:val="231F20"/>
          <w:spacing w:val="-5"/>
        </w:rPr>
        <w:t> </w:t>
      </w:r>
      <w:r>
        <w:rPr>
          <w:color w:val="231F20"/>
        </w:rPr>
        <w:t>for</w:t>
      </w:r>
      <w:r>
        <w:rPr>
          <w:color w:val="231F20"/>
          <w:spacing w:val="-5"/>
        </w:rPr>
        <w:t> </w:t>
      </w:r>
      <w:r>
        <w:rPr>
          <w:color w:val="231F20"/>
        </w:rPr>
        <w:t>the</w:t>
      </w:r>
      <w:r>
        <w:rPr>
          <w:color w:val="231F20"/>
          <w:w w:val="99"/>
        </w:rPr>
        <w:t> </w:t>
      </w:r>
      <w:r>
        <w:rPr>
          <w:color w:val="231F20"/>
          <w:spacing w:val="-1"/>
        </w:rPr>
        <w:t>intended</w:t>
      </w:r>
      <w:r>
        <w:rPr>
          <w:color w:val="231F20"/>
          <w:spacing w:val="-5"/>
        </w:rPr>
        <w:t> </w:t>
      </w:r>
      <w:r>
        <w:rPr>
          <w:color w:val="231F20"/>
        </w:rPr>
        <w:t>purpose</w:t>
      </w:r>
      <w:r>
        <w:rPr>
          <w:color w:val="231F20"/>
          <w:spacing w:val="-6"/>
        </w:rPr>
        <w:t> </w:t>
      </w:r>
      <w:r>
        <w:rPr>
          <w:color w:val="231F20"/>
        </w:rPr>
        <w:t>of</w:t>
      </w:r>
      <w:r>
        <w:rPr>
          <w:color w:val="231F20"/>
          <w:spacing w:val="-5"/>
        </w:rPr>
        <w:t> </w:t>
      </w:r>
      <w:r>
        <w:rPr>
          <w:color w:val="231F20"/>
        </w:rPr>
        <w:t>providing</w:t>
      </w:r>
      <w:r>
        <w:rPr>
          <w:color w:val="231F20"/>
          <w:spacing w:val="-6"/>
        </w:rPr>
        <w:t> </w:t>
      </w:r>
      <w:r>
        <w:rPr>
          <w:color w:val="231F20"/>
        </w:rPr>
        <w:t>a</w:t>
      </w:r>
      <w:r>
        <w:rPr>
          <w:color w:val="231F20"/>
          <w:spacing w:val="-5"/>
        </w:rPr>
        <w:t> </w:t>
      </w:r>
      <w:r>
        <w:rPr>
          <w:color w:val="231F20"/>
        </w:rPr>
        <w:t>higher</w:t>
      </w:r>
      <w:r>
        <w:rPr>
          <w:color w:val="231F20"/>
          <w:spacing w:val="-5"/>
        </w:rPr>
        <w:t> </w:t>
      </w:r>
      <w:r>
        <w:rPr>
          <w:color w:val="231F20"/>
          <w:spacing w:val="-1"/>
        </w:rPr>
        <w:t>level</w:t>
      </w:r>
      <w:r>
        <w:rPr>
          <w:color w:val="231F20"/>
          <w:spacing w:val="-5"/>
        </w:rPr>
        <w:t> </w:t>
      </w:r>
      <w:r>
        <w:rPr>
          <w:color w:val="231F20"/>
        </w:rPr>
        <w:t>of</w:t>
      </w:r>
      <w:r>
        <w:rPr>
          <w:color w:val="231F20"/>
          <w:spacing w:val="23"/>
          <w:w w:val="99"/>
        </w:rPr>
        <w:t> </w:t>
      </w:r>
      <w:r>
        <w:rPr>
          <w:color w:val="231F20"/>
          <w:spacing w:val="-1"/>
        </w:rPr>
        <w:t>support</w:t>
      </w:r>
      <w:r>
        <w:rPr>
          <w:color w:val="231F20"/>
          <w:spacing w:val="-6"/>
        </w:rPr>
        <w:t> </w:t>
      </w:r>
      <w:r>
        <w:rPr>
          <w:color w:val="231F20"/>
        </w:rPr>
        <w:t>to</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w:t>
      </w:r>
      <w:r>
        <w:rPr>
          <w:color w:val="231F20"/>
          <w:spacing w:val="-6"/>
        </w:rPr>
        <w:t> </w:t>
      </w:r>
      <w:r>
        <w:rPr>
          <w:color w:val="231F20"/>
          <w:spacing w:val="-2"/>
        </w:rPr>
        <w:t>Strait</w:t>
      </w:r>
      <w:r>
        <w:rPr>
          <w:color w:val="231F20"/>
          <w:spacing w:val="-6"/>
        </w:rPr>
        <w:t> </w:t>
      </w:r>
      <w:r>
        <w:rPr>
          <w:color w:val="231F20"/>
          <w:spacing w:val="-1"/>
        </w:rPr>
        <w:t>Islander</w:t>
      </w:r>
      <w:r>
        <w:rPr>
          <w:color w:val="231F20"/>
          <w:spacing w:val="20"/>
          <w:w w:val="99"/>
        </w:rPr>
        <w:t> </w:t>
      </w:r>
      <w:r>
        <w:rPr>
          <w:color w:val="231F20"/>
        </w:rPr>
        <w:t>boarders.</w:t>
      </w:r>
      <w:r>
        <w:rPr>
          <w:color w:val="231F20"/>
          <w:spacing w:val="-6"/>
        </w:rPr>
        <w:t> </w:t>
      </w:r>
      <w:r>
        <w:rPr>
          <w:color w:val="231F20"/>
        </w:rPr>
        <w:t>That</w:t>
      </w:r>
      <w:r>
        <w:rPr>
          <w:color w:val="231F20"/>
          <w:spacing w:val="-4"/>
        </w:rPr>
        <w:t> </w:t>
      </w:r>
      <w:r>
        <w:rPr>
          <w:color w:val="231F20"/>
        </w:rPr>
        <w:t>higher</w:t>
      </w:r>
      <w:r>
        <w:rPr>
          <w:color w:val="231F20"/>
          <w:spacing w:val="-6"/>
        </w:rPr>
        <w:t> </w:t>
      </w:r>
      <w:r>
        <w:rPr>
          <w:color w:val="231F20"/>
          <w:spacing w:val="-1"/>
        </w:rPr>
        <w:t>level</w:t>
      </w:r>
      <w:r>
        <w:rPr>
          <w:color w:val="231F20"/>
          <w:spacing w:val="-4"/>
        </w:rPr>
        <w:t> </w:t>
      </w:r>
      <w:r>
        <w:rPr>
          <w:color w:val="231F20"/>
        </w:rPr>
        <w:t>of</w:t>
      </w:r>
      <w:r>
        <w:rPr>
          <w:color w:val="231F20"/>
          <w:spacing w:val="-5"/>
        </w:rPr>
        <w:t> </w:t>
      </w:r>
      <w:r>
        <w:rPr>
          <w:color w:val="231F20"/>
          <w:spacing w:val="-1"/>
        </w:rPr>
        <w:t>support</w:t>
      </w:r>
      <w:r>
        <w:rPr>
          <w:color w:val="231F20"/>
          <w:spacing w:val="-4"/>
        </w:rPr>
        <w:t> </w:t>
      </w:r>
      <w:r>
        <w:rPr>
          <w:color w:val="231F20"/>
        </w:rPr>
        <w:t>comes</w:t>
      </w:r>
      <w:r>
        <w:rPr>
          <w:color w:val="231F20"/>
        </w:rPr>
        <w:t> </w:t>
      </w:r>
      <w:r>
        <w:rPr>
          <w:color w:val="231F20"/>
          <w:spacing w:val="23"/>
        </w:rPr>
        <w:t> </w:t>
      </w:r>
      <w:r>
        <w:rPr>
          <w:color w:val="231F20"/>
        </w:rPr>
        <w:t>at</w:t>
      </w:r>
      <w:r>
        <w:rPr>
          <w:color w:val="231F20"/>
          <w:spacing w:val="-5"/>
        </w:rPr>
        <w:t> </w:t>
      </w:r>
      <w:r>
        <w:rPr>
          <w:color w:val="231F20"/>
        </w:rPr>
        <w:t>an</w:t>
      </w:r>
      <w:r>
        <w:rPr>
          <w:color w:val="231F20"/>
          <w:spacing w:val="-6"/>
        </w:rPr>
        <w:t> </w:t>
      </w:r>
      <w:r>
        <w:rPr>
          <w:color w:val="231F20"/>
          <w:spacing w:val="-1"/>
        </w:rPr>
        <w:t>increased</w:t>
      </w:r>
      <w:r>
        <w:rPr>
          <w:color w:val="231F20"/>
          <w:spacing w:val="-4"/>
        </w:rPr>
        <w:t> </w:t>
      </w:r>
      <w:r>
        <w:rPr>
          <w:color w:val="231F20"/>
        </w:rPr>
        <w:t>average</w:t>
      </w:r>
      <w:r>
        <w:rPr>
          <w:color w:val="231F20"/>
          <w:spacing w:val="-6"/>
        </w:rPr>
        <w:t> </w:t>
      </w:r>
      <w:r>
        <w:rPr>
          <w:color w:val="231F20"/>
        </w:rPr>
        <w:t>cost</w:t>
      </w:r>
      <w:r>
        <w:rPr>
          <w:color w:val="231F20"/>
          <w:spacing w:val="-5"/>
        </w:rPr>
        <w:t> </w:t>
      </w:r>
      <w:r>
        <w:rPr>
          <w:color w:val="231F20"/>
        </w:rPr>
        <w:t>per</w:t>
      </w:r>
      <w:r>
        <w:rPr>
          <w:color w:val="231F20"/>
          <w:spacing w:val="-5"/>
        </w:rPr>
        <w:t> </w:t>
      </w:r>
      <w:r>
        <w:rPr>
          <w:color w:val="231F20"/>
        </w:rPr>
        <w:t>boarder</w:t>
      </w:r>
      <w:r>
        <w:rPr>
          <w:color w:val="231F20"/>
          <w:spacing w:val="-5"/>
        </w:rPr>
        <w:t> </w:t>
      </w:r>
      <w:r>
        <w:rPr>
          <w:color w:val="231F20"/>
        </w:rPr>
        <w:t>but</w:t>
      </w:r>
      <w:r>
        <w:rPr>
          <w:color w:val="231F20"/>
          <w:spacing w:val="22"/>
          <w:w w:val="99"/>
        </w:rPr>
        <w:t> </w:t>
      </w:r>
      <w:r>
        <w:rPr>
          <w:color w:val="231F20"/>
        </w:rPr>
        <w:t>boarding</w:t>
      </w:r>
      <w:r>
        <w:rPr>
          <w:color w:val="231F20"/>
          <w:spacing w:val="-8"/>
        </w:rPr>
        <w:t> </w:t>
      </w:r>
      <w:r>
        <w:rPr>
          <w:color w:val="231F20"/>
        </w:rPr>
        <w:t>providers</w:t>
      </w:r>
      <w:r>
        <w:rPr>
          <w:color w:val="231F20"/>
          <w:spacing w:val="-8"/>
        </w:rPr>
        <w:t> </w:t>
      </w:r>
      <w:r>
        <w:rPr>
          <w:color w:val="231F20"/>
        </w:rPr>
        <w:t>have</w:t>
      </w:r>
      <w:r>
        <w:rPr>
          <w:color w:val="231F20"/>
          <w:spacing w:val="-8"/>
        </w:rPr>
        <w:t> </w:t>
      </w:r>
      <w:r>
        <w:rPr>
          <w:color w:val="231F20"/>
        </w:rPr>
        <w:t>pointed</w:t>
      </w:r>
      <w:r>
        <w:rPr>
          <w:color w:val="231F20"/>
          <w:spacing w:val="-8"/>
        </w:rPr>
        <w:t> </w:t>
      </w:r>
      <w:r>
        <w:rPr>
          <w:color w:val="231F20"/>
        </w:rPr>
        <w:t>to</w:t>
      </w:r>
      <w:r>
        <w:rPr>
          <w:color w:val="231F20"/>
          <w:spacing w:val="-7"/>
        </w:rPr>
        <w:t> </w:t>
      </w:r>
      <w:r>
        <w:rPr>
          <w:color w:val="231F20"/>
        </w:rPr>
        <w:t>better</w:t>
      </w:r>
      <w:r>
        <w:rPr>
          <w:color w:val="231F20"/>
          <w:w w:val="99"/>
        </w:rPr>
        <w:t> </w:t>
      </w:r>
      <w:r>
        <w:rPr>
          <w:color w:val="231F20"/>
        </w:rPr>
        <w:t>outcomes</w:t>
      </w:r>
      <w:r>
        <w:rPr>
          <w:color w:val="231F20"/>
          <w:spacing w:val="-5"/>
        </w:rPr>
        <w:t> </w:t>
      </w:r>
      <w:r>
        <w:rPr>
          <w:color w:val="231F20"/>
        </w:rPr>
        <w:t>from</w:t>
      </w:r>
      <w:r>
        <w:rPr>
          <w:color w:val="231F20"/>
          <w:spacing w:val="-4"/>
        </w:rPr>
        <w:t> </w:t>
      </w:r>
      <w:r>
        <w:rPr>
          <w:color w:val="231F20"/>
        </w:rPr>
        <w:t>the</w:t>
      </w:r>
      <w:r>
        <w:rPr>
          <w:color w:val="231F20"/>
          <w:spacing w:val="-4"/>
        </w:rPr>
        <w:t> </w:t>
      </w:r>
      <w:r>
        <w:rPr>
          <w:color w:val="231F20"/>
          <w:spacing w:val="-1"/>
        </w:rPr>
        <w:t>investment</w:t>
      </w:r>
      <w:r>
        <w:rPr>
          <w:color w:val="231F20"/>
          <w:spacing w:val="-4"/>
        </w:rPr>
        <w:t> </w:t>
      </w:r>
      <w:r>
        <w:rPr>
          <w:color w:val="231F20"/>
        </w:rPr>
        <w:t>for</w:t>
      </w:r>
      <w:r>
        <w:rPr>
          <w:color w:val="231F20"/>
          <w:spacing w:val="-3"/>
        </w:rPr>
        <w:t> </w:t>
      </w:r>
      <w:r>
        <w:rPr>
          <w:color w:val="231F20"/>
        </w:rPr>
        <w:t>boarders.</w:t>
      </w:r>
      <w:r>
        <w:rPr/>
      </w:r>
    </w:p>
    <w:p>
      <w:pPr>
        <w:pStyle w:val="BodyText"/>
        <w:spacing w:line="250" w:lineRule="exact" w:before="113"/>
        <w:ind w:left="570" w:right="353"/>
        <w:jc w:val="left"/>
        <w:rPr>
          <w:rFonts w:ascii="Segoe UI Semibold" w:hAnsi="Segoe UI Semibold" w:cs="Segoe UI Semibold" w:eastAsia="Segoe UI Semibold"/>
        </w:rPr>
      </w:pPr>
      <w:r>
        <w:rPr>
          <w:rFonts w:ascii="Segoe UI Semibold"/>
          <w:b/>
          <w:color w:val="00779B"/>
          <w:spacing w:val="-1"/>
        </w:rPr>
        <w:t>Most</w:t>
      </w:r>
      <w:r>
        <w:rPr>
          <w:rFonts w:ascii="Segoe UI Semibold"/>
          <w:b/>
          <w:color w:val="00779B"/>
          <w:spacing w:val="-2"/>
        </w:rPr>
        <w:t> of</w:t>
      </w:r>
      <w:r>
        <w:rPr>
          <w:rFonts w:ascii="Segoe UI Semibold"/>
          <w:b/>
          <w:color w:val="00779B"/>
          <w:spacing w:val="-1"/>
        </w:rPr>
        <w:t> our</w:t>
      </w:r>
      <w:r>
        <w:rPr>
          <w:rFonts w:ascii="Segoe UI Semibold"/>
          <w:b/>
          <w:color w:val="00779B"/>
          <w:spacing w:val="-2"/>
        </w:rPr>
        <w:t> </w:t>
      </w:r>
      <w:r>
        <w:rPr>
          <w:rFonts w:ascii="Segoe UI Semibold"/>
          <w:b/>
          <w:color w:val="00779B"/>
          <w:spacing w:val="-1"/>
        </w:rPr>
        <w:t>boarders</w:t>
      </w:r>
      <w:r>
        <w:rPr>
          <w:rFonts w:ascii="Segoe UI Semibold"/>
          <w:b/>
          <w:color w:val="00779B"/>
          <w:spacing w:val="-2"/>
        </w:rPr>
        <w:t> </w:t>
      </w:r>
      <w:r>
        <w:rPr>
          <w:rFonts w:ascii="Segoe UI Semibold"/>
          <w:b/>
          <w:color w:val="00779B"/>
          <w:spacing w:val="-1"/>
        </w:rPr>
        <w:t>have</w:t>
      </w:r>
      <w:r>
        <w:rPr>
          <w:rFonts w:ascii="Segoe UI Semibold"/>
          <w:b/>
          <w:color w:val="00779B"/>
          <w:spacing w:val="-3"/>
        </w:rPr>
        <w:t> </w:t>
      </w:r>
      <w:r>
        <w:rPr>
          <w:rFonts w:ascii="Segoe UI Semibold"/>
          <w:b/>
          <w:color w:val="00779B"/>
        </w:rPr>
        <w:t>been</w:t>
      </w:r>
      <w:r>
        <w:rPr>
          <w:rFonts w:ascii="Segoe UI Semibold"/>
          <w:b/>
          <w:color w:val="00779B"/>
          <w:spacing w:val="29"/>
        </w:rPr>
        <w:t> </w:t>
      </w:r>
      <w:r>
        <w:rPr>
          <w:rFonts w:ascii="Segoe UI Semibold"/>
          <w:b/>
          <w:color w:val="00779B"/>
        </w:rPr>
        <w:t>disengaged</w:t>
      </w:r>
      <w:r>
        <w:rPr>
          <w:rFonts w:ascii="Segoe UI Semibold"/>
          <w:b/>
          <w:color w:val="00779B"/>
          <w:spacing w:val="-7"/>
        </w:rPr>
        <w:t> </w:t>
      </w:r>
      <w:r>
        <w:rPr>
          <w:rFonts w:ascii="Segoe UI Semibold"/>
          <w:b/>
          <w:color w:val="00779B"/>
          <w:spacing w:val="-1"/>
        </w:rPr>
        <w:t>from</w:t>
      </w:r>
      <w:r>
        <w:rPr>
          <w:rFonts w:ascii="Segoe UI Semibold"/>
          <w:b/>
          <w:color w:val="00779B"/>
          <w:spacing w:val="-5"/>
        </w:rPr>
        <w:t> </w:t>
      </w:r>
      <w:r>
        <w:rPr>
          <w:rFonts w:ascii="Segoe UI Semibold"/>
          <w:b/>
          <w:color w:val="00779B"/>
          <w:spacing w:val="-1"/>
        </w:rPr>
        <w:t>education.</w:t>
      </w:r>
      <w:r>
        <w:rPr>
          <w:rFonts w:ascii="Segoe UI Semibold"/>
          <w:b/>
          <w:color w:val="00779B"/>
          <w:spacing w:val="-5"/>
        </w:rPr>
        <w:t> </w:t>
      </w:r>
      <w:r>
        <w:rPr>
          <w:rFonts w:ascii="Segoe UI Semibold"/>
          <w:b/>
          <w:color w:val="00779B"/>
        </w:rPr>
        <w:t>Eighty</w:t>
      </w:r>
      <w:r>
        <w:rPr>
          <w:rFonts w:ascii="Segoe UI Semibold"/>
          <w:b/>
          <w:color w:val="00779B"/>
          <w:spacing w:val="23"/>
        </w:rPr>
        <w:t> </w:t>
      </w:r>
      <w:r>
        <w:rPr>
          <w:rFonts w:ascii="Segoe UI Semibold"/>
          <w:b/>
          <w:color w:val="00779B"/>
        </w:rPr>
        <w:t>per</w:t>
      </w:r>
      <w:r>
        <w:rPr>
          <w:rFonts w:ascii="Segoe UI Semibold"/>
          <w:b/>
          <w:color w:val="00779B"/>
          <w:spacing w:val="-2"/>
        </w:rPr>
        <w:t> </w:t>
      </w:r>
      <w:r>
        <w:rPr>
          <w:rFonts w:ascii="Segoe UI Semibold"/>
          <w:b/>
          <w:color w:val="00779B"/>
          <w:spacing w:val="-1"/>
        </w:rPr>
        <w:t>cent have experienced or</w:t>
      </w:r>
      <w:r>
        <w:rPr>
          <w:rFonts w:ascii="Segoe UI Semibold"/>
          <w:b/>
          <w:color w:val="00779B"/>
        </w:rPr>
        <w:t> been</w:t>
      </w:r>
      <w:r>
        <w:rPr>
          <w:rFonts w:ascii="Segoe UI Semibold"/>
          <w:b/>
          <w:color w:val="00779B"/>
          <w:spacing w:val="26"/>
        </w:rPr>
        <w:t> </w:t>
      </w:r>
      <w:r>
        <w:rPr>
          <w:rFonts w:ascii="Segoe UI Semibold"/>
          <w:b/>
          <w:color w:val="00779B"/>
          <w:spacing w:val="-1"/>
        </w:rPr>
        <w:t>exposed</w:t>
      </w:r>
      <w:r>
        <w:rPr>
          <w:rFonts w:ascii="Segoe UI Semibold"/>
          <w:b/>
          <w:color w:val="00779B"/>
          <w:spacing w:val="-2"/>
        </w:rPr>
        <w:t> </w:t>
      </w:r>
      <w:r>
        <w:rPr>
          <w:rFonts w:ascii="Segoe UI Semibold"/>
          <w:b/>
          <w:color w:val="00779B"/>
          <w:spacing w:val="-1"/>
        </w:rPr>
        <w:t>to</w:t>
      </w:r>
      <w:r>
        <w:rPr>
          <w:rFonts w:ascii="Segoe UI Semibold"/>
          <w:b/>
          <w:color w:val="00779B"/>
          <w:spacing w:val="-3"/>
        </w:rPr>
        <w:t> </w:t>
      </w:r>
      <w:r>
        <w:rPr>
          <w:rFonts w:ascii="Segoe UI Semibold"/>
          <w:b/>
          <w:color w:val="00779B"/>
          <w:spacing w:val="-1"/>
        </w:rPr>
        <w:t>trauma</w:t>
      </w:r>
      <w:r>
        <w:rPr>
          <w:rFonts w:ascii="Segoe UI Semibold"/>
          <w:b/>
          <w:color w:val="00779B"/>
          <w:spacing w:val="-2"/>
        </w:rPr>
        <w:t> </w:t>
      </w:r>
      <w:r>
        <w:rPr>
          <w:rFonts w:ascii="Segoe UI Semibold"/>
          <w:b/>
          <w:color w:val="00779B"/>
        </w:rPr>
        <w:t>and</w:t>
      </w:r>
      <w:r>
        <w:rPr>
          <w:rFonts w:ascii="Segoe UI Semibold"/>
          <w:b/>
          <w:color w:val="00779B"/>
          <w:spacing w:val="-2"/>
        </w:rPr>
        <w:t> </w:t>
      </w:r>
      <w:r>
        <w:rPr>
          <w:rFonts w:ascii="Segoe UI Semibold"/>
          <w:b/>
          <w:color w:val="00779B"/>
        </w:rPr>
        <w:t>a</w:t>
      </w:r>
      <w:r>
        <w:rPr>
          <w:rFonts w:ascii="Segoe UI Semibold"/>
          <w:b/>
          <w:color w:val="00779B"/>
          <w:spacing w:val="-2"/>
        </w:rPr>
        <w:t> </w:t>
      </w:r>
      <w:r>
        <w:rPr>
          <w:rFonts w:ascii="Segoe UI Semibold"/>
          <w:b/>
          <w:color w:val="00779B"/>
          <w:spacing w:val="-1"/>
        </w:rPr>
        <w:t>number</w:t>
      </w:r>
      <w:r>
        <w:rPr>
          <w:rFonts w:ascii="Segoe UI Semibold"/>
          <w:b/>
          <w:color w:val="00779B"/>
          <w:spacing w:val="22"/>
        </w:rPr>
        <w:t> </w:t>
      </w:r>
      <w:r>
        <w:rPr>
          <w:rFonts w:ascii="Segoe UI Semibold"/>
          <w:b/>
          <w:color w:val="00779B"/>
          <w:spacing w:val="-1"/>
        </w:rPr>
        <w:t>have</w:t>
      </w:r>
      <w:r>
        <w:rPr>
          <w:rFonts w:ascii="Segoe UI Semibold"/>
          <w:b/>
          <w:color w:val="00779B"/>
          <w:spacing w:val="-2"/>
        </w:rPr>
        <w:t> </w:t>
      </w:r>
      <w:r>
        <w:rPr>
          <w:rFonts w:ascii="Segoe UI Semibold"/>
          <w:b/>
          <w:color w:val="00779B"/>
        </w:rPr>
        <w:t>mental</w:t>
      </w:r>
      <w:r>
        <w:rPr>
          <w:rFonts w:ascii="Segoe UI Semibold"/>
          <w:b/>
          <w:color w:val="00779B"/>
          <w:spacing w:val="-1"/>
        </w:rPr>
        <w:t> </w:t>
      </w:r>
      <w:r>
        <w:rPr>
          <w:rFonts w:ascii="Segoe UI Semibold"/>
          <w:b/>
          <w:color w:val="00779B"/>
        </w:rPr>
        <w:t>health</w:t>
      </w:r>
      <w:r>
        <w:rPr>
          <w:rFonts w:ascii="Segoe UI Semibold"/>
          <w:b/>
          <w:color w:val="00779B"/>
          <w:spacing w:val="-2"/>
        </w:rPr>
        <w:t> </w:t>
      </w:r>
      <w:r>
        <w:rPr>
          <w:rFonts w:ascii="Segoe UI Semibold"/>
          <w:b/>
          <w:color w:val="00779B"/>
          <w:spacing w:val="-1"/>
        </w:rPr>
        <w:t>conditions.</w:t>
      </w:r>
      <w:r>
        <w:rPr>
          <w:rFonts w:ascii="Segoe UI Semibold"/>
          <w:b/>
          <w:color w:val="00779B"/>
        </w:rPr>
        <w:t> </w:t>
      </w:r>
      <w:r>
        <w:rPr>
          <w:rFonts w:ascii="Segoe UI Semibold"/>
          <w:b/>
          <w:color w:val="00779B"/>
          <w:spacing w:val="-3"/>
        </w:rPr>
        <w:t>We</w:t>
      </w:r>
      <w:r>
        <w:rPr>
          <w:rFonts w:ascii="Segoe UI Semibold"/>
          <w:b/>
          <w:color w:val="00779B"/>
          <w:spacing w:val="25"/>
        </w:rPr>
        <w:t> </w:t>
      </w:r>
      <w:r>
        <w:rPr>
          <w:rFonts w:ascii="Segoe UI Semibold"/>
          <w:b/>
          <w:color w:val="00779B"/>
          <w:spacing w:val="-1"/>
        </w:rPr>
        <w:t>are</w:t>
      </w:r>
      <w:r>
        <w:rPr>
          <w:rFonts w:ascii="Segoe UI Semibold"/>
          <w:b/>
          <w:color w:val="00779B"/>
          <w:spacing w:val="-3"/>
        </w:rPr>
        <w:t> </w:t>
      </w:r>
      <w:r>
        <w:rPr>
          <w:rFonts w:ascii="Segoe UI Semibold"/>
          <w:b/>
          <w:color w:val="00779B"/>
        </w:rPr>
        <w:t>a</w:t>
      </w:r>
      <w:r>
        <w:rPr>
          <w:rFonts w:ascii="Segoe UI Semibold"/>
          <w:b/>
          <w:color w:val="00779B"/>
          <w:spacing w:val="-1"/>
        </w:rPr>
        <w:t> small boarding</w:t>
      </w:r>
      <w:r>
        <w:rPr>
          <w:rFonts w:ascii="Segoe UI Semibold"/>
          <w:b/>
          <w:color w:val="00779B"/>
          <w:spacing w:val="-3"/>
        </w:rPr>
        <w:t> </w:t>
      </w:r>
      <w:r>
        <w:rPr>
          <w:rFonts w:ascii="Segoe UI Semibold"/>
          <w:b/>
          <w:color w:val="00779B"/>
        </w:rPr>
        <w:t>house</w:t>
      </w:r>
      <w:r>
        <w:rPr>
          <w:rFonts w:ascii="Segoe UI Semibold"/>
          <w:b/>
          <w:color w:val="00779B"/>
          <w:spacing w:val="-2"/>
        </w:rPr>
        <w:t> </w:t>
      </w:r>
      <w:r>
        <w:rPr>
          <w:rFonts w:ascii="Segoe UI Semibold"/>
          <w:b/>
          <w:color w:val="00779B"/>
        </w:rPr>
        <w:t>and</w:t>
      </w:r>
      <w:r>
        <w:rPr>
          <w:rFonts w:ascii="Segoe UI Semibold"/>
          <w:b/>
          <w:color w:val="00779B"/>
          <w:spacing w:val="-2"/>
        </w:rPr>
        <w:t> </w:t>
      </w:r>
      <w:r>
        <w:rPr>
          <w:rFonts w:ascii="Segoe UI Semibold"/>
          <w:b/>
          <w:color w:val="00779B"/>
          <w:spacing w:val="-1"/>
        </w:rPr>
        <w:t>have</w:t>
      </w:r>
      <w:r>
        <w:rPr>
          <w:rFonts w:ascii="Segoe UI Semibold"/>
          <w:b/>
          <w:color w:val="00779B"/>
          <w:spacing w:val="28"/>
        </w:rPr>
        <w:t> </w:t>
      </w:r>
      <w:r>
        <w:rPr>
          <w:rFonts w:ascii="Segoe UI Semibold"/>
          <w:b/>
          <w:color w:val="00779B"/>
        </w:rPr>
        <w:t>staff</w:t>
      </w:r>
      <w:r>
        <w:rPr>
          <w:rFonts w:ascii="Segoe UI Semibold"/>
          <w:b/>
          <w:color w:val="00779B"/>
          <w:spacing w:val="-1"/>
        </w:rPr>
        <w:t> </w:t>
      </w:r>
      <w:r>
        <w:rPr>
          <w:rFonts w:ascii="Segoe UI Semibold"/>
          <w:b/>
          <w:color w:val="00779B"/>
        </w:rPr>
        <w:t>and</w:t>
      </w:r>
      <w:r>
        <w:rPr>
          <w:rFonts w:ascii="Segoe UI Semibold"/>
          <w:b/>
          <w:color w:val="00779B"/>
          <w:spacing w:val="-1"/>
        </w:rPr>
        <w:t> programs </w:t>
      </w:r>
      <w:r>
        <w:rPr>
          <w:rFonts w:ascii="Segoe UI Semibold"/>
          <w:b/>
          <w:color w:val="00779B"/>
        </w:rPr>
        <w:t>aimed</w:t>
      </w:r>
      <w:r>
        <w:rPr>
          <w:rFonts w:ascii="Segoe UI Semibold"/>
          <w:b/>
          <w:color w:val="00779B"/>
          <w:spacing w:val="-1"/>
        </w:rPr>
        <w:t> </w:t>
      </w:r>
      <w:r>
        <w:rPr>
          <w:rFonts w:ascii="Segoe UI Semibold"/>
          <w:b/>
          <w:color w:val="00779B"/>
        </w:rPr>
        <w:t>at ensuring</w:t>
      </w:r>
      <w:r>
        <w:rPr>
          <w:rFonts w:ascii="Segoe UI Semibold"/>
        </w:rPr>
      </w:r>
    </w:p>
    <w:p>
      <w:pPr>
        <w:pStyle w:val="BodyText"/>
        <w:spacing w:line="250" w:lineRule="exact"/>
        <w:ind w:left="570" w:right="128"/>
        <w:jc w:val="left"/>
        <w:rPr>
          <w:rFonts w:ascii="Segoe UI Semibold" w:hAnsi="Segoe UI Semibold" w:cs="Segoe UI Semibold" w:eastAsia="Segoe UI Semibold"/>
        </w:rPr>
      </w:pPr>
      <w:r>
        <w:rPr>
          <w:rFonts w:ascii="Segoe UI Semibold"/>
          <w:b/>
          <w:color w:val="00779B"/>
          <w:spacing w:val="-1"/>
        </w:rPr>
        <w:t>boarders</w:t>
      </w:r>
      <w:r>
        <w:rPr>
          <w:rFonts w:ascii="Segoe UI Semibold"/>
          <w:b/>
          <w:color w:val="00779B"/>
          <w:spacing w:val="-5"/>
        </w:rPr>
        <w:t> </w:t>
      </w:r>
      <w:r>
        <w:rPr>
          <w:rFonts w:ascii="Segoe UI Semibold"/>
          <w:b/>
          <w:color w:val="00779B"/>
          <w:spacing w:val="-1"/>
        </w:rPr>
        <w:t>are</w:t>
      </w:r>
      <w:r>
        <w:rPr>
          <w:rFonts w:ascii="Segoe UI Semibold"/>
          <w:b/>
          <w:color w:val="00779B"/>
          <w:spacing w:val="-5"/>
        </w:rPr>
        <w:t> </w:t>
      </w:r>
      <w:r>
        <w:rPr>
          <w:rFonts w:ascii="Segoe UI Semibold"/>
          <w:b/>
          <w:color w:val="00779B"/>
        </w:rPr>
        <w:t>happy</w:t>
      </w:r>
      <w:r>
        <w:rPr>
          <w:rFonts w:ascii="Segoe UI Semibold"/>
          <w:b/>
          <w:color w:val="00779B"/>
          <w:spacing w:val="-4"/>
        </w:rPr>
        <w:t> </w:t>
      </w:r>
      <w:r>
        <w:rPr>
          <w:rFonts w:ascii="Segoe UI Semibold"/>
          <w:b/>
          <w:color w:val="00779B"/>
        </w:rPr>
        <w:t>and</w:t>
      </w:r>
      <w:r>
        <w:rPr>
          <w:rFonts w:ascii="Segoe UI Semibold"/>
          <w:b/>
          <w:color w:val="00779B"/>
          <w:spacing w:val="-5"/>
        </w:rPr>
        <w:t> </w:t>
      </w:r>
      <w:r>
        <w:rPr>
          <w:rFonts w:ascii="Segoe UI Semibold"/>
          <w:b/>
          <w:color w:val="00779B"/>
          <w:spacing w:val="-1"/>
        </w:rPr>
        <w:t>engaged,</w:t>
      </w:r>
      <w:r>
        <w:rPr>
          <w:rFonts w:ascii="Segoe UI Semibold"/>
          <w:b/>
          <w:color w:val="00779B"/>
          <w:spacing w:val="-4"/>
        </w:rPr>
        <w:t> </w:t>
      </w:r>
      <w:r>
        <w:rPr>
          <w:rFonts w:ascii="Segoe UI Semibold"/>
          <w:b/>
          <w:color w:val="00779B"/>
          <w:spacing w:val="-1"/>
        </w:rPr>
        <w:t>such</w:t>
      </w:r>
      <w:r>
        <w:rPr>
          <w:rFonts w:ascii="Segoe UI Semibold"/>
          <w:b/>
          <w:color w:val="00779B"/>
          <w:spacing w:val="26"/>
        </w:rPr>
        <w:t> </w:t>
      </w:r>
      <w:r>
        <w:rPr>
          <w:rFonts w:ascii="Segoe UI Semibold"/>
          <w:b/>
          <w:color w:val="00779B"/>
        </w:rPr>
        <w:t>as</w:t>
      </w:r>
      <w:r>
        <w:rPr>
          <w:rFonts w:ascii="Segoe UI Semibold"/>
          <w:b/>
          <w:color w:val="00779B"/>
          <w:spacing w:val="-1"/>
        </w:rPr>
        <w:t> reading,</w:t>
      </w:r>
      <w:r>
        <w:rPr>
          <w:rFonts w:ascii="Segoe UI Semibold"/>
          <w:b/>
          <w:color w:val="00779B"/>
        </w:rPr>
        <w:t> </w:t>
      </w:r>
      <w:r>
        <w:rPr>
          <w:rFonts w:ascii="Segoe UI Semibold"/>
          <w:b/>
          <w:color w:val="00779B"/>
          <w:spacing w:val="-1"/>
        </w:rPr>
        <w:t>homework</w:t>
      </w:r>
      <w:r>
        <w:rPr>
          <w:rFonts w:ascii="Segoe UI Semibold"/>
          <w:b/>
          <w:color w:val="00779B"/>
        </w:rPr>
        <w:t> and</w:t>
      </w:r>
      <w:r>
        <w:rPr>
          <w:rFonts w:ascii="Segoe UI Semibold"/>
          <w:b/>
          <w:color w:val="00779B"/>
          <w:spacing w:val="-1"/>
        </w:rPr>
        <w:t> </w:t>
      </w:r>
      <w:r>
        <w:rPr>
          <w:rFonts w:ascii="Segoe UI Semibold"/>
          <w:b/>
          <w:color w:val="00779B"/>
          <w:spacing w:val="-2"/>
        </w:rPr>
        <w:t>recreational</w:t>
      </w:r>
      <w:r>
        <w:rPr>
          <w:rFonts w:ascii="Segoe UI Semibold"/>
          <w:b/>
          <w:color w:val="00779B"/>
          <w:spacing w:val="30"/>
        </w:rPr>
        <w:t> </w:t>
      </w:r>
      <w:r>
        <w:rPr>
          <w:rFonts w:ascii="Segoe UI Semibold"/>
          <w:b/>
          <w:color w:val="00779B"/>
          <w:spacing w:val="-1"/>
        </w:rPr>
        <w:t>programs,</w:t>
      </w:r>
      <w:r>
        <w:rPr>
          <w:rFonts w:ascii="Segoe UI Semibold"/>
          <w:b/>
          <w:color w:val="00779B"/>
          <w:spacing w:val="-3"/>
        </w:rPr>
        <w:t> </w:t>
      </w:r>
      <w:r>
        <w:rPr>
          <w:rFonts w:ascii="Segoe UI Semibold"/>
          <w:b/>
          <w:color w:val="00779B"/>
          <w:spacing w:val="-1"/>
        </w:rPr>
        <w:t>the</w:t>
      </w:r>
      <w:r>
        <w:rPr>
          <w:rFonts w:ascii="Segoe UI Semibold"/>
          <w:b/>
          <w:color w:val="00779B"/>
          <w:spacing w:val="-2"/>
        </w:rPr>
        <w:t> </w:t>
      </w:r>
      <w:r>
        <w:rPr>
          <w:rFonts w:ascii="Segoe UI Semibold"/>
          <w:b/>
          <w:color w:val="00779B"/>
        </w:rPr>
        <w:t>Clontarf</w:t>
      </w:r>
      <w:r>
        <w:rPr>
          <w:rFonts w:ascii="Segoe UI Semibold"/>
          <w:b/>
          <w:color w:val="00779B"/>
          <w:spacing w:val="-3"/>
        </w:rPr>
        <w:t> </w:t>
      </w:r>
      <w:r>
        <w:rPr>
          <w:rFonts w:ascii="Segoe UI Semibold"/>
          <w:b/>
          <w:color w:val="00779B"/>
        </w:rPr>
        <w:t>and</w:t>
      </w:r>
      <w:r>
        <w:rPr>
          <w:rFonts w:ascii="Segoe UI Semibold"/>
          <w:b/>
          <w:color w:val="00779B"/>
          <w:spacing w:val="-3"/>
        </w:rPr>
        <w:t> </w:t>
      </w:r>
      <w:r>
        <w:rPr>
          <w:rFonts w:ascii="Segoe UI Semibold"/>
          <w:b/>
          <w:color w:val="00779B"/>
          <w:spacing w:val="-2"/>
        </w:rPr>
        <w:t>Stars</w:t>
      </w:r>
      <w:r>
        <w:rPr>
          <w:rFonts w:ascii="Segoe UI Semibold"/>
          <w:b/>
          <w:color w:val="00779B"/>
          <w:spacing w:val="30"/>
        </w:rPr>
        <w:t> </w:t>
      </w:r>
      <w:r>
        <w:rPr>
          <w:rFonts w:ascii="Segoe UI Semibold"/>
          <w:b/>
          <w:color w:val="00779B"/>
          <w:spacing w:val="-1"/>
        </w:rPr>
        <w:t>programs,</w:t>
      </w:r>
      <w:r>
        <w:rPr>
          <w:rFonts w:ascii="Segoe UI Semibold"/>
          <w:b/>
          <w:color w:val="00779B"/>
          <w:spacing w:val="-4"/>
        </w:rPr>
        <w:t> </w:t>
      </w:r>
      <w:r>
        <w:rPr>
          <w:rFonts w:ascii="Segoe UI Semibold"/>
          <w:b/>
          <w:color w:val="00779B"/>
        </w:rPr>
        <w:t>and</w:t>
      </w:r>
      <w:r>
        <w:rPr>
          <w:rFonts w:ascii="Segoe UI Semibold"/>
          <w:b/>
          <w:color w:val="00779B"/>
          <w:spacing w:val="-4"/>
        </w:rPr>
        <w:t> </w:t>
      </w:r>
      <w:r>
        <w:rPr>
          <w:rFonts w:ascii="Segoe UI Semibold"/>
          <w:b/>
          <w:color w:val="00779B"/>
        </w:rPr>
        <w:t>as</w:t>
      </w:r>
      <w:r>
        <w:rPr>
          <w:rFonts w:ascii="Segoe UI Semibold"/>
          <w:b/>
          <w:color w:val="00779B"/>
          <w:spacing w:val="-4"/>
        </w:rPr>
        <w:t> </w:t>
      </w:r>
      <w:r>
        <w:rPr>
          <w:rFonts w:ascii="Segoe UI Semibold"/>
          <w:b/>
          <w:color w:val="00779B"/>
        </w:rPr>
        <w:t>most</w:t>
      </w:r>
      <w:r>
        <w:rPr>
          <w:rFonts w:ascii="Segoe UI Semibold"/>
          <w:b/>
          <w:color w:val="00779B"/>
          <w:spacing w:val="-4"/>
        </w:rPr>
        <w:t> </w:t>
      </w:r>
      <w:r>
        <w:rPr>
          <w:rFonts w:ascii="Segoe UI Semibold"/>
          <w:b/>
          <w:color w:val="00779B"/>
          <w:spacing w:val="-2"/>
        </w:rPr>
        <w:t>of</w:t>
      </w:r>
      <w:r>
        <w:rPr>
          <w:rFonts w:ascii="Segoe UI Semibold"/>
          <w:b/>
          <w:color w:val="00779B"/>
          <w:spacing w:val="-3"/>
        </w:rPr>
        <w:t> </w:t>
      </w:r>
      <w:r>
        <w:rPr>
          <w:rFonts w:ascii="Segoe UI Semibold"/>
          <w:b/>
          <w:color w:val="00779B"/>
          <w:spacing w:val="-1"/>
        </w:rPr>
        <w:t>boarders</w:t>
      </w:r>
      <w:r>
        <w:rPr>
          <w:rFonts w:ascii="Segoe UI Semibold"/>
        </w:rPr>
      </w:r>
    </w:p>
    <w:p>
      <w:pPr>
        <w:pStyle w:val="BodyText"/>
        <w:spacing w:line="250" w:lineRule="exact"/>
        <w:ind w:left="570" w:right="275"/>
        <w:jc w:val="left"/>
        <w:rPr>
          <w:rFonts w:ascii="Segoe UI Semibold" w:hAnsi="Segoe UI Semibold" w:cs="Segoe UI Semibold" w:eastAsia="Segoe UI Semibold"/>
        </w:rPr>
      </w:pPr>
      <w:r>
        <w:rPr>
          <w:rFonts w:ascii="Segoe UI Semibold" w:hAnsi="Segoe UI Semibold" w:cs="Segoe UI Semibold" w:eastAsia="Segoe UI Semibold"/>
          <w:b/>
          <w:bCs/>
          <w:color w:val="00779B"/>
          <w:spacing w:val="-1"/>
        </w:rPr>
        <w:t>are</w:t>
      </w:r>
      <w:r>
        <w:rPr>
          <w:rFonts w:ascii="Segoe UI Semibold" w:hAnsi="Segoe UI Semibold" w:cs="Segoe UI Semibold" w:eastAsia="Segoe UI Semibold"/>
          <w:b/>
          <w:bCs/>
          <w:color w:val="00779B"/>
          <w:spacing w:val="-5"/>
        </w:rPr>
        <w:t> </w:t>
      </w:r>
      <w:r>
        <w:rPr>
          <w:rFonts w:ascii="Segoe UI Semibold" w:hAnsi="Segoe UI Semibold" w:cs="Segoe UI Semibold" w:eastAsia="Segoe UI Semibold"/>
          <w:b/>
          <w:bCs/>
          <w:color w:val="00779B"/>
          <w:spacing w:val="-1"/>
        </w:rPr>
        <w:t>from</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sea</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communities,</w:t>
      </w:r>
      <w:r>
        <w:rPr>
          <w:rFonts w:ascii="Segoe UI Semibold" w:hAnsi="Segoe UI Semibold" w:cs="Segoe UI Semibold" w:eastAsia="Segoe UI Semibold"/>
          <w:b/>
          <w:bCs/>
          <w:color w:val="00779B"/>
          <w:spacing w:val="-4"/>
        </w:rPr>
        <w:t> </w:t>
      </w:r>
      <w:r>
        <w:rPr>
          <w:rFonts w:ascii="Segoe UI Semibold" w:hAnsi="Segoe UI Semibold" w:cs="Segoe UI Semibold" w:eastAsia="Segoe UI Semibold"/>
          <w:b/>
          <w:bCs/>
          <w:color w:val="00779B"/>
          <w:spacing w:val="-1"/>
        </w:rPr>
        <w:t>programs</w:t>
      </w:r>
      <w:r>
        <w:rPr>
          <w:rFonts w:ascii="Segoe UI Semibold" w:hAnsi="Segoe UI Semibold" w:cs="Segoe UI Semibold" w:eastAsia="Segoe UI Semibold"/>
          <w:b/>
          <w:bCs/>
          <w:color w:val="00779B"/>
          <w:spacing w:val="24"/>
          <w:w w:val="99"/>
        </w:rPr>
        <w:t> </w:t>
      </w:r>
      <w:r>
        <w:rPr>
          <w:rFonts w:ascii="Segoe UI Semibold" w:hAnsi="Segoe UI Semibold" w:cs="Segoe UI Semibold" w:eastAsia="Segoe UI Semibold"/>
          <w:b/>
          <w:bCs/>
          <w:color w:val="00779B"/>
        </w:rPr>
        <w:t>focussed</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on</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the</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sea;</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fishing,</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junior</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sea</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rangers</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and</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boat </w:t>
      </w:r>
      <w:r>
        <w:rPr>
          <w:rFonts w:ascii="Segoe UI Semibold" w:hAnsi="Segoe UI Semibold" w:cs="Segoe UI Semibold" w:eastAsia="Segoe UI Semibold"/>
          <w:b/>
          <w:bCs/>
          <w:color w:val="00779B"/>
        </w:rPr>
        <w:t>building.</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All</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2"/>
        </w:rPr>
        <w:t>of</w:t>
      </w:r>
      <w:r>
        <w:rPr>
          <w:rFonts w:ascii="Segoe UI Semibold" w:hAnsi="Segoe UI Semibold" w:cs="Segoe UI Semibold" w:eastAsia="Segoe UI Semibold"/>
          <w:b/>
          <w:bCs/>
          <w:color w:val="00779B"/>
          <w:spacing w:val="-1"/>
        </w:rPr>
        <w:t> our</w:t>
      </w:r>
      <w:r>
        <w:rPr>
          <w:rFonts w:ascii="Segoe UI Semibold" w:hAnsi="Segoe UI Semibold" w:cs="Segoe UI Semibold" w:eastAsia="Segoe UI Semibold"/>
          <w:b/>
          <w:bCs/>
          <w:color w:val="00779B"/>
          <w:spacing w:val="25"/>
        </w:rPr>
        <w:t> </w:t>
      </w:r>
      <w:r>
        <w:rPr>
          <w:rFonts w:ascii="Segoe UI Semibold" w:hAnsi="Segoe UI Semibold" w:cs="Segoe UI Semibold" w:eastAsia="Segoe UI Semibold"/>
          <w:b/>
          <w:bCs/>
          <w:color w:val="00779B"/>
          <w:spacing w:val="-1"/>
        </w:rPr>
        <w:t>boarders</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have</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intense</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in-class </w:t>
      </w:r>
      <w:r>
        <w:rPr>
          <w:rFonts w:ascii="Segoe UI Semibold" w:hAnsi="Segoe UI Semibold" w:cs="Segoe UI Semibold" w:eastAsia="Segoe UI Semibold"/>
          <w:b/>
          <w:bCs/>
          <w:color w:val="00779B"/>
        </w:rPr>
        <w:t>support</w:t>
      </w:r>
      <w:r>
        <w:rPr>
          <w:rFonts w:ascii="Segoe UI Semibold" w:hAnsi="Segoe UI Semibold" w:cs="Segoe UI Semibold" w:eastAsia="Segoe UI Semibold"/>
          <w:b/>
          <w:bCs/>
          <w:color w:val="00779B"/>
          <w:spacing w:val="29"/>
        </w:rPr>
        <w:t> </w:t>
      </w:r>
      <w:r>
        <w:rPr>
          <w:rFonts w:ascii="Segoe UI Semibold" w:hAnsi="Segoe UI Semibold" w:cs="Segoe UI Semibold" w:eastAsia="Segoe UI Semibold"/>
          <w:b/>
          <w:bCs/>
          <w:color w:val="00779B"/>
          <w:spacing w:val="-1"/>
        </w:rPr>
        <w:t>to </w:t>
      </w:r>
      <w:r>
        <w:rPr>
          <w:rFonts w:ascii="Segoe UI Semibold" w:hAnsi="Segoe UI Semibold" w:cs="Segoe UI Semibold" w:eastAsia="Segoe UI Semibold"/>
          <w:b/>
          <w:bCs/>
          <w:color w:val="00779B"/>
        </w:rPr>
        <w:t>support</w:t>
      </w:r>
      <w:r>
        <w:rPr>
          <w:rFonts w:ascii="Segoe UI Semibold" w:hAnsi="Segoe UI Semibold" w:cs="Segoe UI Semibold" w:eastAsia="Segoe UI Semibold"/>
          <w:b/>
          <w:bCs/>
          <w:color w:val="00779B"/>
          <w:spacing w:val="-1"/>
        </w:rPr>
        <w:t> their</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learning.</w:t>
      </w:r>
      <w:r>
        <w:rPr>
          <w:rFonts w:ascii="Segoe UI Semibold" w:hAnsi="Segoe UI Semibold" w:cs="Segoe UI Semibold" w:eastAsia="Segoe UI Semibold"/>
          <w:b/>
          <w:bCs/>
          <w:color w:val="00779B"/>
        </w:rPr>
        <w:t> In</w:t>
      </w:r>
      <w:r>
        <w:rPr>
          <w:rFonts w:ascii="Segoe UI Semibold" w:hAnsi="Segoe UI Semibold" w:cs="Segoe UI Semibold" w:eastAsia="Segoe UI Semibold"/>
          <w:b/>
          <w:bCs/>
          <w:color w:val="00779B"/>
          <w:spacing w:val="-1"/>
        </w:rPr>
        <w:t> the</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last</w:t>
      </w:r>
      <w:r>
        <w:rPr>
          <w:rFonts w:ascii="Segoe UI Semibold" w:hAnsi="Segoe UI Semibold" w:cs="Segoe UI Semibold" w:eastAsia="Segoe UI Semibold"/>
          <w:b/>
          <w:bCs/>
          <w:color w:val="00779B"/>
          <w:spacing w:val="23"/>
        </w:rPr>
        <w:t> </w:t>
      </w:r>
      <w:r>
        <w:rPr>
          <w:rFonts w:ascii="Segoe UI Semibold" w:hAnsi="Segoe UI Semibold" w:cs="Segoe UI Semibold" w:eastAsia="Segoe UI Semibold"/>
          <w:b/>
          <w:bCs/>
          <w:color w:val="00779B"/>
          <w:spacing w:val="-1"/>
        </w:rPr>
        <w:t>two</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years</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we have</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had </w:t>
      </w:r>
      <w:r>
        <w:rPr>
          <w:rFonts w:ascii="Segoe UI Semibold" w:hAnsi="Segoe UI Semibold" w:cs="Segoe UI Semibold" w:eastAsia="Segoe UI Semibold"/>
          <w:b/>
          <w:bCs/>
          <w:color w:val="00779B"/>
          <w:spacing w:val="-1"/>
        </w:rPr>
        <w:t>no incidences</w:t>
      </w:r>
      <w:r>
        <w:rPr>
          <w:rFonts w:ascii="Segoe UI Semibold" w:hAnsi="Segoe UI Semibold" w:cs="Segoe UI Semibold" w:eastAsia="Segoe UI Semibold"/>
          <w:b/>
          <w:bCs/>
          <w:color w:val="00779B"/>
          <w:spacing w:val="27"/>
        </w:rPr>
        <w:t> </w:t>
      </w:r>
      <w:r>
        <w:rPr>
          <w:rFonts w:ascii="Segoe UI Semibold" w:hAnsi="Segoe UI Semibold" w:cs="Segoe UI Semibold" w:eastAsia="Segoe UI Semibold"/>
          <w:b/>
          <w:bCs/>
          <w:color w:val="00779B"/>
          <w:spacing w:val="-2"/>
        </w:rPr>
        <w:t>of</w:t>
      </w:r>
      <w:r>
        <w:rPr>
          <w:rFonts w:ascii="Segoe UI Semibold" w:hAnsi="Segoe UI Semibold" w:cs="Segoe UI Semibold" w:eastAsia="Segoe UI Semibold"/>
          <w:b/>
          <w:bCs/>
          <w:color w:val="00779B"/>
          <w:spacing w:val="-1"/>
        </w:rPr>
        <w:t> vandalism or</w:t>
      </w:r>
      <w:r>
        <w:rPr>
          <w:rFonts w:ascii="Segoe UI Semibold" w:hAnsi="Segoe UI Semibold" w:cs="Segoe UI Semibold" w:eastAsia="Segoe UI Semibold"/>
          <w:b/>
          <w:bCs/>
          <w:color w:val="00779B"/>
        </w:rPr>
        <w:t> destruction—not</w:t>
      </w:r>
      <w:r>
        <w:rPr>
          <w:rFonts w:ascii="Segoe UI Semibold" w:hAnsi="Segoe UI Semibold" w:cs="Segoe UI Semibold" w:eastAsia="Segoe UI Semibold"/>
        </w:rPr>
      </w:r>
    </w:p>
    <w:p>
      <w:pPr>
        <w:pStyle w:val="BodyText"/>
        <w:spacing w:line="250" w:lineRule="exact"/>
        <w:ind w:left="570" w:right="284"/>
        <w:jc w:val="both"/>
        <w:rPr>
          <w:rFonts w:ascii="Segoe UI Semibold" w:hAnsi="Segoe UI Semibold" w:cs="Segoe UI Semibold" w:eastAsia="Segoe UI Semibold"/>
        </w:rPr>
      </w:pPr>
      <w:r>
        <w:rPr>
          <w:rFonts w:ascii="Segoe UI Semibold"/>
          <w:b/>
          <w:color w:val="00779B"/>
        </w:rPr>
        <w:t>had</w:t>
      </w:r>
      <w:r>
        <w:rPr>
          <w:rFonts w:ascii="Segoe UI Semibold"/>
          <w:b/>
          <w:color w:val="00779B"/>
          <w:spacing w:val="-1"/>
        </w:rPr>
        <w:t> </w:t>
      </w:r>
      <w:r>
        <w:rPr>
          <w:rFonts w:ascii="Segoe UI Semibold"/>
          <w:b/>
          <w:color w:val="00779B"/>
        </w:rPr>
        <w:t>a</w:t>
      </w:r>
      <w:r>
        <w:rPr>
          <w:rFonts w:ascii="Segoe UI Semibold"/>
          <w:b/>
          <w:color w:val="00779B"/>
          <w:spacing w:val="-1"/>
        </w:rPr>
        <w:t> single window </w:t>
      </w:r>
      <w:r>
        <w:rPr>
          <w:rFonts w:ascii="Segoe UI Semibold"/>
          <w:b/>
          <w:color w:val="00779B"/>
          <w:spacing w:val="-2"/>
        </w:rPr>
        <w:t>broken</w:t>
      </w:r>
      <w:r>
        <w:rPr>
          <w:rFonts w:ascii="Segoe UI Semibold"/>
          <w:b/>
          <w:color w:val="00779B"/>
          <w:spacing w:val="-1"/>
        </w:rPr>
        <w:t> </w:t>
      </w:r>
      <w:r>
        <w:rPr>
          <w:rFonts w:ascii="Segoe UI Semibold"/>
          <w:b/>
          <w:color w:val="00779B"/>
        </w:rPr>
        <w:t>and</w:t>
      </w:r>
      <w:r>
        <w:rPr>
          <w:rFonts w:ascii="Segoe UI Semibold"/>
          <w:b/>
          <w:color w:val="00779B"/>
          <w:spacing w:val="-2"/>
        </w:rPr>
        <w:t> </w:t>
      </w:r>
      <w:r>
        <w:rPr>
          <w:rFonts w:ascii="Segoe UI Semibold"/>
          <w:b/>
          <w:color w:val="00779B"/>
          <w:spacing w:val="-1"/>
        </w:rPr>
        <w:t>only</w:t>
      </w:r>
      <w:r>
        <w:rPr>
          <w:rFonts w:ascii="Segoe UI Semibold"/>
          <w:b/>
          <w:color w:val="00779B"/>
          <w:spacing w:val="26"/>
        </w:rPr>
        <w:t> </w:t>
      </w:r>
      <w:r>
        <w:rPr>
          <w:rFonts w:ascii="Segoe UI Semibold"/>
          <w:b/>
          <w:color w:val="00779B"/>
        </w:rPr>
        <w:t>one</w:t>
      </w:r>
      <w:r>
        <w:rPr>
          <w:rFonts w:ascii="Segoe UI Semibold"/>
          <w:b/>
          <w:color w:val="00779B"/>
          <w:spacing w:val="-1"/>
        </w:rPr>
        <w:t> </w:t>
      </w:r>
      <w:r>
        <w:rPr>
          <w:rFonts w:ascii="Segoe UI Semibold"/>
          <w:b/>
          <w:color w:val="00779B"/>
        </w:rPr>
        <w:t>fight</w:t>
      </w:r>
      <w:r>
        <w:rPr>
          <w:rFonts w:ascii="Segoe UI Semibold"/>
          <w:b/>
          <w:color w:val="00779B"/>
          <w:spacing w:val="-1"/>
        </w:rPr>
        <w:t> </w:t>
      </w:r>
      <w:r>
        <w:rPr>
          <w:rFonts w:ascii="Segoe UI Semibold"/>
          <w:b/>
          <w:color w:val="00779B"/>
        </w:rPr>
        <w:t>amongst</w:t>
      </w:r>
      <w:r>
        <w:rPr>
          <w:rFonts w:ascii="Segoe UI Semibold"/>
          <w:b/>
          <w:color w:val="00779B"/>
          <w:spacing w:val="-1"/>
        </w:rPr>
        <w:t> boarders.</w:t>
      </w:r>
      <w:r>
        <w:rPr>
          <w:rFonts w:ascii="Segoe UI Semibold"/>
          <w:b/>
          <w:color w:val="00779B"/>
        </w:rPr>
        <w:t> Without</w:t>
      </w:r>
      <w:r>
        <w:rPr>
          <w:rFonts w:ascii="Segoe UI Semibold"/>
          <w:b/>
          <w:color w:val="00779B"/>
          <w:spacing w:val="25"/>
        </w:rPr>
        <w:t> </w:t>
      </w:r>
      <w:r>
        <w:rPr>
          <w:rFonts w:ascii="Segoe UI Semibold"/>
          <w:b/>
          <w:color w:val="00779B"/>
        </w:rPr>
        <w:t>support</w:t>
      </w:r>
      <w:r>
        <w:rPr>
          <w:rFonts w:ascii="Segoe UI Semibold"/>
          <w:b/>
          <w:color w:val="00779B"/>
          <w:spacing w:val="-3"/>
        </w:rPr>
        <w:t> </w:t>
      </w:r>
      <w:r>
        <w:rPr>
          <w:rFonts w:ascii="Segoe UI Semibold"/>
          <w:b/>
          <w:color w:val="00779B"/>
        </w:rPr>
        <w:t>services</w:t>
      </w:r>
      <w:r>
        <w:rPr>
          <w:rFonts w:ascii="Segoe UI Semibold"/>
          <w:b/>
          <w:color w:val="00779B"/>
          <w:spacing w:val="-1"/>
        </w:rPr>
        <w:t> </w:t>
      </w:r>
      <w:r>
        <w:rPr>
          <w:rFonts w:ascii="Segoe UI Semibold"/>
          <w:b/>
          <w:color w:val="00779B"/>
        </w:rPr>
        <w:t>for</w:t>
      </w:r>
      <w:r>
        <w:rPr>
          <w:rFonts w:ascii="Segoe UI Semibold"/>
          <w:b/>
          <w:color w:val="00779B"/>
          <w:spacing w:val="-2"/>
        </w:rPr>
        <w:t> </w:t>
      </w:r>
      <w:r>
        <w:rPr>
          <w:rFonts w:ascii="Segoe UI Semibold"/>
          <w:b/>
          <w:color w:val="00779B"/>
          <w:spacing w:val="-1"/>
        </w:rPr>
        <w:t>boarders</w:t>
      </w:r>
      <w:r>
        <w:rPr>
          <w:rFonts w:ascii="Segoe UI Semibold"/>
          <w:b/>
          <w:color w:val="00779B"/>
          <w:spacing w:val="-2"/>
        </w:rPr>
        <w:t> </w:t>
      </w:r>
      <w:r>
        <w:rPr>
          <w:rFonts w:ascii="Segoe UI Semibold"/>
          <w:b/>
          <w:color w:val="00779B"/>
          <w:spacing w:val="-1"/>
        </w:rPr>
        <w:t>in</w:t>
      </w:r>
      <w:r>
        <w:rPr>
          <w:rFonts w:ascii="Segoe UI Semibold"/>
          <w:b/>
          <w:color w:val="00779B"/>
          <w:spacing w:val="-2"/>
        </w:rPr>
        <w:t> </w:t>
      </w:r>
      <w:r>
        <w:rPr>
          <w:rFonts w:ascii="Segoe UI Semibold"/>
          <w:b/>
          <w:color w:val="00779B"/>
        </w:rPr>
        <w:t>house</w:t>
      </w:r>
      <w:r>
        <w:rPr>
          <w:rFonts w:ascii="Segoe UI Semibold"/>
        </w:rPr>
      </w:r>
    </w:p>
    <w:p>
      <w:pPr>
        <w:spacing w:line="240" w:lineRule="auto" w:before="8"/>
        <w:rPr>
          <w:rFonts w:ascii="Segoe UI Semibold" w:hAnsi="Segoe UI Semibold" w:cs="Segoe UI Semibold" w:eastAsia="Segoe UI Semibold"/>
          <w:b/>
          <w:bCs/>
          <w:sz w:val="15"/>
          <w:szCs w:val="15"/>
        </w:rPr>
      </w:pPr>
      <w:r>
        <w:rPr/>
        <w:br w:type="column"/>
      </w:r>
      <w:r>
        <w:rPr>
          <w:rFonts w:ascii="Segoe UI Semibold"/>
          <w:b/>
          <w:sz w:val="15"/>
        </w:rPr>
      </w:r>
    </w:p>
    <w:p>
      <w:pPr>
        <w:pStyle w:val="BodyText"/>
        <w:spacing w:line="250" w:lineRule="exact"/>
        <w:ind w:left="570" w:right="377"/>
        <w:jc w:val="left"/>
        <w:rPr>
          <w:rFonts w:ascii="Segoe UI Semibold" w:hAnsi="Segoe UI Semibold" w:cs="Segoe UI Semibold" w:eastAsia="Segoe UI Semibold"/>
        </w:rPr>
      </w:pPr>
      <w:r>
        <w:rPr>
          <w:rFonts w:ascii="Segoe UI Semibold"/>
          <w:b/>
          <w:color w:val="00779B"/>
          <w:spacing w:val="-1"/>
        </w:rPr>
        <w:t>or locally</w:t>
      </w:r>
      <w:r>
        <w:rPr>
          <w:rFonts w:ascii="Segoe UI Semibold"/>
          <w:b/>
          <w:color w:val="00779B"/>
        </w:rPr>
        <w:t> </w:t>
      </w:r>
      <w:r>
        <w:rPr>
          <w:rFonts w:ascii="Segoe UI Semibold"/>
          <w:b/>
          <w:color w:val="00779B"/>
          <w:spacing w:val="-1"/>
        </w:rPr>
        <w:t>there is</w:t>
      </w:r>
      <w:r>
        <w:rPr>
          <w:rFonts w:ascii="Segoe UI Semibold"/>
          <w:b/>
          <w:color w:val="00779B"/>
        </w:rPr>
        <w:t> a </w:t>
      </w:r>
      <w:r>
        <w:rPr>
          <w:rFonts w:ascii="Segoe UI Semibold"/>
          <w:b/>
          <w:color w:val="00779B"/>
          <w:spacing w:val="-1"/>
        </w:rPr>
        <w:t>tendency </w:t>
      </w:r>
      <w:r>
        <w:rPr>
          <w:rFonts w:ascii="Segoe UI Semibold"/>
          <w:b/>
          <w:color w:val="00779B"/>
        </w:rPr>
        <w:t>for</w:t>
      </w:r>
      <w:r>
        <w:rPr>
          <w:rFonts w:ascii="Segoe UI Semibold"/>
          <w:b/>
          <w:color w:val="00779B"/>
          <w:spacing w:val="24"/>
        </w:rPr>
        <w:t> </w:t>
      </w:r>
      <w:r>
        <w:rPr>
          <w:rFonts w:ascii="Segoe UI Semibold"/>
          <w:b/>
          <w:color w:val="00779B"/>
          <w:spacing w:val="-2"/>
        </w:rPr>
        <w:t>parents </w:t>
      </w:r>
      <w:r>
        <w:rPr>
          <w:rFonts w:ascii="Segoe UI Semibold"/>
          <w:b/>
          <w:color w:val="00779B"/>
          <w:spacing w:val="-1"/>
        </w:rPr>
        <w:t>to</w:t>
      </w:r>
      <w:r>
        <w:rPr>
          <w:rFonts w:ascii="Segoe UI Semibold"/>
          <w:b/>
          <w:color w:val="00779B"/>
          <w:spacing w:val="-2"/>
        </w:rPr>
        <w:t> remove</w:t>
      </w:r>
      <w:r>
        <w:rPr>
          <w:rFonts w:ascii="Segoe UI Semibold"/>
          <w:b/>
          <w:color w:val="00779B"/>
          <w:spacing w:val="-3"/>
        </w:rPr>
        <w:t> </w:t>
      </w:r>
      <w:r>
        <w:rPr>
          <w:rFonts w:ascii="Segoe UI Semibold"/>
          <w:b/>
          <w:color w:val="00779B"/>
        </w:rPr>
        <w:t>a</w:t>
      </w:r>
      <w:r>
        <w:rPr>
          <w:rFonts w:ascii="Segoe UI Semibold"/>
          <w:b/>
          <w:color w:val="00779B"/>
          <w:spacing w:val="-1"/>
        </w:rPr>
        <w:t> boarder</w:t>
      </w:r>
      <w:r>
        <w:rPr>
          <w:rFonts w:ascii="Segoe UI Semibold"/>
          <w:b/>
          <w:color w:val="00779B"/>
          <w:spacing w:val="-3"/>
        </w:rPr>
        <w:t> </w:t>
      </w:r>
      <w:r>
        <w:rPr>
          <w:rFonts w:ascii="Segoe UI Semibold"/>
          <w:b/>
          <w:color w:val="00779B"/>
          <w:spacing w:val="-1"/>
        </w:rPr>
        <w:t>if </w:t>
      </w:r>
      <w:r>
        <w:rPr>
          <w:rFonts w:ascii="Segoe UI Semibold"/>
          <w:b/>
          <w:color w:val="00779B"/>
        </w:rPr>
        <w:t>an</w:t>
      </w:r>
      <w:r>
        <w:rPr>
          <w:rFonts w:ascii="Segoe UI Semibold"/>
          <w:b/>
          <w:color w:val="00779B"/>
          <w:spacing w:val="31"/>
        </w:rPr>
        <w:t> </w:t>
      </w:r>
      <w:r>
        <w:rPr>
          <w:rFonts w:ascii="Segoe UI Semibold"/>
          <w:b/>
          <w:color w:val="00779B"/>
          <w:spacing w:val="-1"/>
        </w:rPr>
        <w:t>issue</w:t>
      </w:r>
      <w:r>
        <w:rPr>
          <w:rFonts w:ascii="Segoe UI Semibold"/>
          <w:b/>
          <w:color w:val="00779B"/>
          <w:spacing w:val="-2"/>
        </w:rPr>
        <w:t> </w:t>
      </w:r>
      <w:r>
        <w:rPr>
          <w:rFonts w:ascii="Segoe UI Semibold"/>
          <w:b/>
          <w:color w:val="00779B"/>
        </w:rPr>
        <w:t>arises</w:t>
      </w:r>
      <w:r>
        <w:rPr>
          <w:rFonts w:ascii="Segoe UI Semibold"/>
          <w:b/>
          <w:color w:val="00779B"/>
          <w:spacing w:val="-2"/>
        </w:rPr>
        <w:t> </w:t>
      </w:r>
      <w:r>
        <w:rPr>
          <w:rFonts w:ascii="Segoe UI Semibold"/>
          <w:b/>
          <w:color w:val="00779B"/>
          <w:spacing w:val="-1"/>
        </w:rPr>
        <w:t>in</w:t>
      </w:r>
      <w:r>
        <w:rPr>
          <w:rFonts w:ascii="Segoe UI Semibold"/>
          <w:b/>
          <w:color w:val="00779B"/>
          <w:spacing w:val="-2"/>
        </w:rPr>
        <w:t> </w:t>
      </w:r>
      <w:r>
        <w:rPr>
          <w:rFonts w:ascii="Segoe UI Semibold"/>
          <w:b/>
          <w:color w:val="00779B"/>
          <w:spacing w:val="-1"/>
        </w:rPr>
        <w:t>the boarding</w:t>
      </w:r>
      <w:r>
        <w:rPr>
          <w:rFonts w:ascii="Segoe UI Semibold"/>
          <w:b/>
          <w:color w:val="00779B"/>
          <w:spacing w:val="-2"/>
        </w:rPr>
        <w:t> </w:t>
      </w:r>
      <w:r>
        <w:rPr>
          <w:rFonts w:ascii="Segoe UI Semibold"/>
          <w:b/>
          <w:color w:val="00779B"/>
        </w:rPr>
        <w:t>house.</w:t>
      </w:r>
      <w:r>
        <w:rPr>
          <w:rFonts w:ascii="Segoe UI Semibold"/>
          <w:b/>
          <w:color w:val="00779B"/>
          <w:spacing w:val="-1"/>
        </w:rPr>
        <w:t> </w:t>
      </w:r>
      <w:r>
        <w:rPr>
          <w:rFonts w:ascii="Segoe UI Semibold"/>
          <w:b/>
          <w:color w:val="00779B"/>
          <w:spacing w:val="-1"/>
        </w:rPr>
      </w:r>
      <w:r>
        <w:rPr>
          <w:rFonts w:ascii="Segoe UI Semibold"/>
          <w:b/>
          <w:color w:val="00779B"/>
        </w:rPr>
        <w:t>Our</w:t>
      </w:r>
      <w:r>
        <w:rPr>
          <w:rFonts w:ascii="Segoe UI Semibold"/>
          <w:b/>
          <w:color w:val="00779B"/>
          <w:spacing w:val="27"/>
        </w:rPr>
        <w:t> </w:t>
      </w:r>
      <w:r>
        <w:rPr>
          <w:rFonts w:ascii="Segoe UI Semibold"/>
          <w:b/>
          <w:color w:val="00779B"/>
          <w:spacing w:val="-1"/>
        </w:rPr>
        <w:t>boarders</w:t>
      </w:r>
      <w:r>
        <w:rPr>
          <w:rFonts w:ascii="Segoe UI Semibold"/>
          <w:b/>
          <w:color w:val="00779B"/>
          <w:spacing w:val="-3"/>
        </w:rPr>
        <w:t> </w:t>
      </w:r>
      <w:r>
        <w:rPr>
          <w:rFonts w:ascii="Segoe UI Semibold"/>
          <w:b/>
          <w:color w:val="00779B"/>
          <w:spacing w:val="-1"/>
        </w:rPr>
        <w:t>still</w:t>
      </w:r>
      <w:r>
        <w:rPr>
          <w:rFonts w:ascii="Segoe UI Semibold"/>
          <w:b/>
          <w:color w:val="00779B"/>
          <w:spacing w:val="-2"/>
        </w:rPr>
        <w:t> </w:t>
      </w:r>
      <w:r>
        <w:rPr>
          <w:rFonts w:ascii="Segoe UI Semibold"/>
          <w:b/>
          <w:color w:val="00779B"/>
        </w:rPr>
        <w:t>deal</w:t>
      </w:r>
      <w:r>
        <w:rPr>
          <w:rFonts w:ascii="Segoe UI Semibold"/>
          <w:b/>
          <w:color w:val="00779B"/>
          <w:spacing w:val="-3"/>
        </w:rPr>
        <w:t> </w:t>
      </w:r>
      <w:r>
        <w:rPr>
          <w:rFonts w:ascii="Segoe UI Semibold"/>
          <w:b/>
          <w:color w:val="00779B"/>
          <w:spacing w:val="-1"/>
        </w:rPr>
        <w:t>with</w:t>
      </w:r>
      <w:r>
        <w:rPr>
          <w:rFonts w:ascii="Segoe UI Semibold"/>
          <w:b/>
          <w:color w:val="00779B"/>
          <w:spacing w:val="-2"/>
        </w:rPr>
        <w:t> </w:t>
      </w:r>
      <w:r>
        <w:rPr>
          <w:rFonts w:ascii="Segoe UI Semibold"/>
          <w:b/>
          <w:color w:val="00779B"/>
          <w:spacing w:val="-1"/>
        </w:rPr>
        <w:t>issues</w:t>
      </w:r>
      <w:r>
        <w:rPr>
          <w:rFonts w:ascii="Segoe UI Semibold"/>
          <w:b/>
          <w:color w:val="00779B"/>
          <w:spacing w:val="-2"/>
        </w:rPr>
        <w:t> of</w:t>
      </w:r>
      <w:r>
        <w:rPr>
          <w:rFonts w:ascii="Segoe UI Semibold"/>
          <w:b/>
          <w:color w:val="00779B"/>
          <w:spacing w:val="29"/>
          <w:w w:val="99"/>
        </w:rPr>
        <w:t> </w:t>
      </w:r>
      <w:r>
        <w:rPr>
          <w:rFonts w:ascii="Segoe UI Semibold"/>
          <w:b/>
          <w:color w:val="00779B"/>
        </w:rPr>
        <w:t>homesickness</w:t>
      </w:r>
      <w:r>
        <w:rPr>
          <w:rFonts w:ascii="Segoe UI Semibold"/>
          <w:b/>
          <w:color w:val="00779B"/>
          <w:spacing w:val="-1"/>
        </w:rPr>
        <w:t> </w:t>
      </w:r>
      <w:r>
        <w:rPr>
          <w:rFonts w:ascii="Segoe UI Semibold"/>
          <w:b/>
          <w:color w:val="00779B"/>
        </w:rPr>
        <w:t>and</w:t>
      </w:r>
      <w:r>
        <w:rPr>
          <w:rFonts w:ascii="Segoe UI Semibold"/>
          <w:b/>
          <w:color w:val="00779B"/>
          <w:spacing w:val="-1"/>
        </w:rPr>
        <w:t> trauma</w:t>
      </w:r>
      <w:r>
        <w:rPr>
          <w:rFonts w:ascii="Segoe UI Semibold"/>
          <w:b/>
          <w:color w:val="00779B"/>
        </w:rPr>
        <w:t> and</w:t>
      </w:r>
      <w:r>
        <w:rPr>
          <w:rFonts w:ascii="Segoe UI Semibold"/>
          <w:b/>
          <w:color w:val="00779B"/>
          <w:spacing w:val="-1"/>
        </w:rPr>
        <w:t> some</w:t>
      </w:r>
      <w:r>
        <w:rPr>
          <w:rFonts w:ascii="Segoe UI Semibold"/>
          <w:b/>
          <w:color w:val="00779B"/>
          <w:spacing w:val="21"/>
        </w:rPr>
        <w:t> </w:t>
      </w:r>
      <w:r>
        <w:rPr>
          <w:rFonts w:ascii="Segoe UI Semibold"/>
          <w:b/>
          <w:color w:val="00779B"/>
          <w:spacing w:val="-1"/>
        </w:rPr>
        <w:t>boarders</w:t>
      </w:r>
      <w:r>
        <w:rPr>
          <w:rFonts w:ascii="Segoe UI Semibold"/>
          <w:b/>
          <w:color w:val="00779B"/>
          <w:spacing w:val="-3"/>
        </w:rPr>
        <w:t> </w:t>
      </w:r>
      <w:r>
        <w:rPr>
          <w:rFonts w:ascii="Segoe UI Semibold"/>
          <w:b/>
          <w:color w:val="00779B"/>
          <w:spacing w:val="-1"/>
        </w:rPr>
        <w:t>still withdraw to</w:t>
      </w:r>
      <w:r>
        <w:rPr>
          <w:rFonts w:ascii="Segoe UI Semibold"/>
          <w:b/>
          <w:color w:val="00779B"/>
          <w:spacing w:val="-2"/>
        </w:rPr>
        <w:t> </w:t>
      </w:r>
      <w:r>
        <w:rPr>
          <w:rFonts w:ascii="Segoe UI Semibold"/>
          <w:b/>
          <w:color w:val="00779B"/>
          <w:spacing w:val="-1"/>
        </w:rPr>
        <w:t>return </w:t>
      </w:r>
      <w:r>
        <w:rPr>
          <w:rFonts w:ascii="Segoe UI Semibold"/>
          <w:b/>
          <w:color w:val="00779B"/>
        </w:rPr>
        <w:t>home</w:t>
      </w:r>
      <w:r>
        <w:rPr>
          <w:rFonts w:ascii="Segoe UI Semibold"/>
          <w:b/>
          <w:color w:val="00779B"/>
          <w:spacing w:val="28"/>
        </w:rPr>
        <w:t> </w:t>
      </w:r>
      <w:r>
        <w:rPr>
          <w:rFonts w:ascii="Segoe UI Semibold"/>
          <w:b/>
          <w:color w:val="00779B"/>
        </w:rPr>
        <w:t>but</w:t>
      </w:r>
      <w:r>
        <w:rPr>
          <w:rFonts w:ascii="Segoe UI Semibold"/>
          <w:b/>
          <w:color w:val="00779B"/>
          <w:spacing w:val="-1"/>
        </w:rPr>
        <w:t> they</w:t>
      </w:r>
      <w:r>
        <w:rPr>
          <w:rFonts w:ascii="Segoe UI Semibold"/>
          <w:b/>
          <w:color w:val="00779B"/>
        </w:rPr>
        <w:t> feel</w:t>
      </w:r>
      <w:r>
        <w:rPr>
          <w:rFonts w:ascii="Segoe UI Semibold"/>
          <w:b/>
          <w:color w:val="00779B"/>
          <w:spacing w:val="-1"/>
        </w:rPr>
        <w:t> safe</w:t>
      </w:r>
      <w:r>
        <w:rPr>
          <w:rFonts w:ascii="Segoe UI Semibold"/>
          <w:b/>
          <w:color w:val="00779B"/>
        </w:rPr>
        <w:t> and</w:t>
      </w:r>
      <w:r>
        <w:rPr>
          <w:rFonts w:ascii="Segoe UI Semibold"/>
          <w:b/>
          <w:color w:val="00779B"/>
          <w:spacing w:val="-1"/>
        </w:rPr>
        <w:t> welcomed</w:t>
      </w:r>
      <w:r>
        <w:rPr>
          <w:rFonts w:ascii="Segoe UI Semibold"/>
          <w:b/>
          <w:color w:val="00779B"/>
        </w:rPr>
        <w:t> </w:t>
      </w:r>
      <w:r>
        <w:rPr>
          <w:rFonts w:ascii="Segoe UI Semibold"/>
          <w:b/>
          <w:color w:val="00779B"/>
          <w:spacing w:val="-1"/>
        </w:rPr>
        <w:t>while</w:t>
      </w:r>
      <w:r>
        <w:rPr>
          <w:rFonts w:ascii="Segoe UI Semibold"/>
          <w:b/>
          <w:color w:val="00779B"/>
          <w:spacing w:val="23"/>
        </w:rPr>
        <w:t> </w:t>
      </w:r>
      <w:r>
        <w:rPr>
          <w:rFonts w:ascii="Segoe UI Semibold"/>
          <w:b/>
          <w:color w:val="00779B"/>
          <w:spacing w:val="-1"/>
        </w:rPr>
        <w:t>they</w:t>
      </w:r>
      <w:r>
        <w:rPr>
          <w:rFonts w:ascii="Segoe UI Semibold"/>
          <w:b/>
          <w:color w:val="00779B"/>
          <w:spacing w:val="-2"/>
        </w:rPr>
        <w:t> </w:t>
      </w:r>
      <w:r>
        <w:rPr>
          <w:rFonts w:ascii="Segoe UI Semibold"/>
          <w:b/>
          <w:color w:val="00779B"/>
          <w:spacing w:val="-1"/>
        </w:rPr>
        <w:t>are</w:t>
      </w:r>
      <w:r>
        <w:rPr>
          <w:rFonts w:ascii="Segoe UI Semibold"/>
          <w:b/>
          <w:color w:val="00779B"/>
          <w:spacing w:val="-2"/>
        </w:rPr>
        <w:t> </w:t>
      </w:r>
      <w:r>
        <w:rPr>
          <w:rFonts w:ascii="Segoe UI Semibold"/>
          <w:b/>
          <w:color w:val="00779B"/>
        </w:rPr>
        <w:t>at</w:t>
      </w:r>
      <w:r>
        <w:rPr>
          <w:rFonts w:ascii="Segoe UI Semibold"/>
          <w:b/>
          <w:color w:val="00779B"/>
          <w:spacing w:val="-2"/>
        </w:rPr>
        <w:t> </w:t>
      </w:r>
      <w:r>
        <w:rPr>
          <w:rFonts w:ascii="Segoe UI Semibold"/>
          <w:b/>
          <w:color w:val="00779B"/>
          <w:spacing w:val="-1"/>
        </w:rPr>
        <w:t>the boarding</w:t>
      </w:r>
      <w:r>
        <w:rPr>
          <w:rFonts w:ascii="Segoe UI Semibold"/>
          <w:b/>
          <w:color w:val="00779B"/>
          <w:spacing w:val="-2"/>
        </w:rPr>
        <w:t> </w:t>
      </w:r>
      <w:r>
        <w:rPr>
          <w:rFonts w:ascii="Segoe UI Semibold"/>
          <w:b/>
          <w:color w:val="00779B"/>
        </w:rPr>
        <w:t>house</w:t>
      </w:r>
      <w:r>
        <w:rPr>
          <w:rFonts w:ascii="Segoe UI Semibold"/>
          <w:b/>
          <w:color w:val="00779B"/>
          <w:spacing w:val="-2"/>
        </w:rPr>
        <w:t> </w:t>
      </w:r>
      <w:r>
        <w:rPr>
          <w:rFonts w:ascii="Segoe UI Semibold"/>
          <w:b/>
          <w:color w:val="00779B"/>
        </w:rPr>
        <w:t>and</w:t>
      </w:r>
      <w:r>
        <w:rPr>
          <w:rFonts w:ascii="Segoe UI Semibold"/>
          <w:b/>
          <w:color w:val="00779B"/>
          <w:spacing w:val="27"/>
        </w:rPr>
        <w:t> </w:t>
      </w:r>
      <w:r>
        <w:rPr>
          <w:rFonts w:ascii="Segoe UI Semibold"/>
          <w:b/>
          <w:color w:val="00779B"/>
          <w:spacing w:val="-1"/>
        </w:rPr>
        <w:t>this</w:t>
      </w:r>
      <w:r>
        <w:rPr>
          <w:rFonts w:ascii="Segoe UI Semibold"/>
          <w:b/>
          <w:color w:val="00779B"/>
        </w:rPr>
        <w:t> </w:t>
      </w:r>
      <w:r>
        <w:rPr>
          <w:rFonts w:ascii="Segoe UI Semibold"/>
          <w:b/>
          <w:color w:val="00779B"/>
          <w:spacing w:val="-1"/>
        </w:rPr>
        <w:t>is</w:t>
      </w:r>
      <w:r>
        <w:rPr>
          <w:rFonts w:ascii="Segoe UI Semibold"/>
          <w:b/>
          <w:color w:val="00779B"/>
        </w:rPr>
        <w:t> </w:t>
      </w:r>
      <w:r>
        <w:rPr>
          <w:rFonts w:ascii="Segoe UI Semibold"/>
          <w:b/>
          <w:color w:val="00779B"/>
          <w:spacing w:val="-1"/>
        </w:rPr>
        <w:t>leading</w:t>
      </w:r>
      <w:r>
        <w:rPr>
          <w:rFonts w:ascii="Segoe UI Semibold"/>
          <w:b/>
          <w:color w:val="00779B"/>
        </w:rPr>
        <w:t> </w:t>
      </w:r>
      <w:r>
        <w:rPr>
          <w:rFonts w:ascii="Segoe UI Semibold"/>
          <w:b/>
          <w:color w:val="00779B"/>
          <w:spacing w:val="-1"/>
        </w:rPr>
        <w:t>to better</w:t>
      </w:r>
      <w:r>
        <w:rPr>
          <w:rFonts w:ascii="Segoe UI Semibold"/>
          <w:b/>
          <w:color w:val="00779B"/>
        </w:rPr>
        <w:t> </w:t>
      </w:r>
      <w:r>
        <w:rPr>
          <w:rFonts w:ascii="Segoe UI Semibold"/>
          <w:b/>
          <w:color w:val="00779B"/>
          <w:spacing w:val="-2"/>
        </w:rPr>
        <w:t>outcomes</w:t>
      </w:r>
      <w:r>
        <w:rPr>
          <w:rFonts w:ascii="Segoe UI Semibold"/>
        </w:rPr>
      </w:r>
    </w:p>
    <w:p>
      <w:pPr>
        <w:pStyle w:val="BodyText"/>
        <w:spacing w:line="250" w:lineRule="exact"/>
        <w:ind w:left="570" w:right="79"/>
        <w:jc w:val="left"/>
        <w:rPr>
          <w:rFonts w:ascii="Segoe UI Semibold" w:hAnsi="Segoe UI Semibold" w:cs="Segoe UI Semibold" w:eastAsia="Segoe UI Semibold"/>
        </w:rPr>
      </w:pPr>
      <w:r>
        <w:rPr>
          <w:rFonts w:ascii="Segoe UI Semibold"/>
          <w:b/>
          <w:color w:val="00779B"/>
        </w:rPr>
        <w:t>at</w:t>
      </w:r>
      <w:r>
        <w:rPr>
          <w:rFonts w:ascii="Segoe UI Semibold"/>
          <w:b/>
          <w:color w:val="00779B"/>
          <w:spacing w:val="-2"/>
        </w:rPr>
        <w:t> </w:t>
      </w:r>
      <w:r>
        <w:rPr>
          <w:rFonts w:ascii="Segoe UI Semibold"/>
          <w:b/>
          <w:color w:val="00779B"/>
          <w:spacing w:val="-1"/>
        </w:rPr>
        <w:t>school.</w:t>
      </w:r>
      <w:r>
        <w:rPr>
          <w:rFonts w:ascii="Segoe UI Semibold"/>
          <w:b/>
          <w:color w:val="00779B"/>
        </w:rPr>
        <w:t> In</w:t>
      </w:r>
      <w:r>
        <w:rPr>
          <w:rFonts w:ascii="Segoe UI Semibold"/>
          <w:b/>
          <w:color w:val="00779B"/>
          <w:spacing w:val="-1"/>
        </w:rPr>
        <w:t> 2018</w:t>
      </w:r>
      <w:r>
        <w:rPr>
          <w:rFonts w:ascii="Segoe UI Semibold"/>
          <w:b/>
          <w:color w:val="00779B"/>
        </w:rPr>
        <w:t> </w:t>
      </w:r>
      <w:r>
        <w:rPr>
          <w:rFonts w:ascii="Segoe UI Semibold"/>
          <w:b/>
          <w:color w:val="00779B"/>
          <w:spacing w:val="-1"/>
        </w:rPr>
        <w:t>attendance</w:t>
      </w:r>
      <w:r>
        <w:rPr>
          <w:rFonts w:ascii="Segoe UI Semibold"/>
          <w:b/>
          <w:color w:val="00779B"/>
        </w:rPr>
        <w:t> </w:t>
      </w:r>
      <w:r>
        <w:rPr>
          <w:rFonts w:ascii="Segoe UI Semibold"/>
          <w:b/>
          <w:color w:val="00779B"/>
          <w:spacing w:val="-2"/>
        </w:rPr>
        <w:t>of</w:t>
      </w:r>
      <w:r>
        <w:rPr>
          <w:rFonts w:ascii="Segoe UI Semibold"/>
          <w:b/>
          <w:color w:val="00779B"/>
        </w:rPr>
        <w:t> </w:t>
      </w:r>
      <w:r>
        <w:rPr>
          <w:rFonts w:ascii="Segoe UI Semibold"/>
          <w:b/>
          <w:color w:val="00779B"/>
          <w:spacing w:val="-1"/>
        </w:rPr>
        <w:t>the</w:t>
      </w:r>
      <w:r>
        <w:rPr>
          <w:rFonts w:ascii="Segoe UI Semibold"/>
          <w:b/>
          <w:color w:val="00779B"/>
          <w:spacing w:val="25"/>
        </w:rPr>
        <w:t> </w:t>
      </w:r>
      <w:r>
        <w:rPr>
          <w:rFonts w:ascii="Segoe UI Semibold"/>
          <w:b/>
          <w:color w:val="00779B"/>
          <w:spacing w:val="-1"/>
        </w:rPr>
        <w:t>boarders</w:t>
      </w:r>
      <w:r>
        <w:rPr>
          <w:rFonts w:ascii="Segoe UI Semibold"/>
          <w:b/>
          <w:color w:val="00779B"/>
          <w:spacing w:val="-3"/>
        </w:rPr>
        <w:t> </w:t>
      </w:r>
      <w:r>
        <w:rPr>
          <w:rFonts w:ascii="Segoe UI Semibold"/>
          <w:b/>
          <w:color w:val="00779B"/>
          <w:spacing w:val="-1"/>
        </w:rPr>
        <w:t>was</w:t>
      </w:r>
      <w:r>
        <w:rPr>
          <w:rFonts w:ascii="Segoe UI Semibold"/>
          <w:b/>
          <w:color w:val="00779B"/>
          <w:spacing w:val="-2"/>
        </w:rPr>
        <w:t> </w:t>
      </w:r>
      <w:r>
        <w:rPr>
          <w:rFonts w:ascii="Segoe UI Semibold"/>
          <w:b/>
          <w:color w:val="00779B"/>
        </w:rPr>
        <w:t>at</w:t>
      </w:r>
      <w:r>
        <w:rPr>
          <w:rFonts w:ascii="Segoe UI Semibold"/>
          <w:b/>
          <w:color w:val="00779B"/>
          <w:spacing w:val="-3"/>
        </w:rPr>
        <w:t> </w:t>
      </w:r>
      <w:r>
        <w:rPr>
          <w:rFonts w:ascii="Segoe UI Semibold"/>
          <w:b/>
          <w:color w:val="00779B"/>
          <w:spacing w:val="-1"/>
        </w:rPr>
        <w:t>98 </w:t>
      </w:r>
      <w:r>
        <w:rPr>
          <w:rFonts w:ascii="Segoe UI Semibold"/>
          <w:b/>
          <w:color w:val="00779B"/>
        </w:rPr>
        <w:t>per</w:t>
      </w:r>
      <w:r>
        <w:rPr>
          <w:rFonts w:ascii="Segoe UI Semibold"/>
          <w:b/>
          <w:color w:val="00779B"/>
          <w:spacing w:val="-3"/>
        </w:rPr>
        <w:t> </w:t>
      </w:r>
      <w:r>
        <w:rPr>
          <w:rFonts w:ascii="Segoe UI Semibold"/>
          <w:b/>
          <w:color w:val="00779B"/>
          <w:spacing w:val="-1"/>
        </w:rPr>
        <w:t>cent.</w:t>
      </w:r>
      <w:r>
        <w:rPr>
          <w:rFonts w:ascii="Segoe UI Semibold"/>
        </w:rPr>
      </w:r>
    </w:p>
    <w:p>
      <w:pPr>
        <w:pStyle w:val="BodyText"/>
        <w:spacing w:line="258" w:lineRule="exact" w:before="97"/>
        <w:ind w:right="0"/>
        <w:jc w:val="left"/>
      </w:pPr>
      <w:r>
        <w:rPr>
          <w:color w:val="231F20"/>
          <w:spacing w:val="-1"/>
        </w:rPr>
        <w:t>In</w:t>
      </w:r>
      <w:r>
        <w:rPr>
          <w:color w:val="231F20"/>
          <w:spacing w:val="-4"/>
        </w:rPr>
        <w:t> </w:t>
      </w:r>
      <w:r>
        <w:rPr>
          <w:color w:val="231F20"/>
          <w:spacing w:val="-1"/>
        </w:rPr>
        <w:t>2019</w:t>
      </w:r>
      <w:r>
        <w:rPr>
          <w:color w:val="231F20"/>
          <w:spacing w:val="-4"/>
        </w:rPr>
        <w:t> </w:t>
      </w:r>
      <w:r>
        <w:rPr>
          <w:color w:val="231F20"/>
        </w:rPr>
        <w:t>we</w:t>
      </w:r>
      <w:r>
        <w:rPr>
          <w:color w:val="231F20"/>
          <w:spacing w:val="-5"/>
        </w:rPr>
        <w:t> </w:t>
      </w:r>
      <w:r>
        <w:rPr>
          <w:color w:val="231F20"/>
        </w:rPr>
        <w:t>are</w:t>
      </w:r>
      <w:r>
        <w:rPr>
          <w:color w:val="231F20"/>
          <w:spacing w:val="-4"/>
        </w:rPr>
        <w:t> </w:t>
      </w:r>
      <w:r>
        <w:rPr>
          <w:color w:val="231F20"/>
        </w:rPr>
        <w:t>hoping</w:t>
      </w:r>
      <w:r>
        <w:rPr>
          <w:color w:val="231F20"/>
          <w:spacing w:val="-5"/>
        </w:rPr>
        <w:t> </w:t>
      </w:r>
      <w:r>
        <w:rPr>
          <w:color w:val="231F20"/>
        </w:rPr>
        <w:t>to</w:t>
      </w:r>
      <w:r>
        <w:rPr>
          <w:color w:val="231F20"/>
          <w:spacing w:val="-4"/>
        </w:rPr>
        <w:t> </w:t>
      </w:r>
      <w:r>
        <w:rPr>
          <w:color w:val="231F20"/>
        </w:rPr>
        <w:t>expand</w:t>
      </w:r>
      <w:r>
        <w:rPr>
          <w:color w:val="231F20"/>
          <w:spacing w:val="-3"/>
        </w:rPr>
        <w:t> </w:t>
      </w:r>
      <w:r>
        <w:rPr>
          <w:color w:val="231F20"/>
        </w:rPr>
        <w:t>our</w:t>
      </w:r>
      <w:r>
        <w:rPr>
          <w:color w:val="231F20"/>
          <w:spacing w:val="-4"/>
        </w:rPr>
        <w:t> </w:t>
      </w:r>
      <w:r>
        <w:rPr>
          <w:color w:val="231F20"/>
          <w:spacing w:val="-1"/>
        </w:rPr>
        <w:t>support</w:t>
      </w:r>
      <w:r>
        <w:rPr/>
      </w:r>
    </w:p>
    <w:p>
      <w:pPr>
        <w:pStyle w:val="BodyText"/>
        <w:spacing w:line="258" w:lineRule="exact"/>
        <w:ind w:right="0"/>
        <w:jc w:val="left"/>
        <w:rPr>
          <w:rFonts w:ascii="Segoe UI" w:hAnsi="Segoe UI" w:cs="Segoe UI" w:eastAsia="Segoe UI"/>
        </w:rPr>
      </w:pPr>
      <w:r>
        <w:rPr>
          <w:rFonts w:ascii="Segoe UI"/>
          <w:color w:val="231F20"/>
        </w:rPr>
        <w:t>service to include a Cultural Liaison Officer.</w:t>
      </w:r>
      <w:r>
        <w:rPr>
          <w:rFonts w:ascii="Segoe UI"/>
        </w:rPr>
      </w:r>
    </w:p>
    <w:p>
      <w:pPr>
        <w:pStyle w:val="BodyText"/>
        <w:spacing w:line="250" w:lineRule="exact" w:before="113"/>
        <w:ind w:right="79"/>
        <w:jc w:val="left"/>
      </w:pPr>
      <w:r>
        <w:rPr>
          <w:color w:val="231F20"/>
        </w:rPr>
        <w:t>The</w:t>
      </w:r>
      <w:r>
        <w:rPr>
          <w:color w:val="231F20"/>
          <w:spacing w:val="-2"/>
        </w:rPr>
        <w:t> </w:t>
      </w:r>
      <w:r>
        <w:rPr>
          <w:color w:val="231F20"/>
        </w:rPr>
        <w:t>next</w:t>
      </w:r>
      <w:r>
        <w:rPr>
          <w:color w:val="231F20"/>
          <w:spacing w:val="-3"/>
        </w:rPr>
        <w:t> </w:t>
      </w:r>
      <w:r>
        <w:rPr>
          <w:color w:val="231F20"/>
          <w:spacing w:val="-1"/>
        </w:rPr>
        <w:t>section</w:t>
      </w:r>
      <w:r>
        <w:rPr>
          <w:color w:val="231F20"/>
          <w:spacing w:val="-2"/>
        </w:rPr>
        <w:t> </w:t>
      </w:r>
      <w:r>
        <w:rPr>
          <w:color w:val="231F20"/>
        </w:rPr>
        <w:t>examines</w:t>
      </w:r>
      <w:r>
        <w:rPr>
          <w:color w:val="231F20"/>
          <w:spacing w:val="-3"/>
        </w:rPr>
        <w:t> </w:t>
      </w:r>
      <w:r>
        <w:rPr>
          <w:color w:val="231F20"/>
        </w:rPr>
        <w:t>the</w:t>
      </w:r>
      <w:r>
        <w:rPr>
          <w:color w:val="231F20"/>
          <w:spacing w:val="-3"/>
        </w:rPr>
        <w:t> </w:t>
      </w:r>
      <w:r>
        <w:rPr>
          <w:color w:val="231F20"/>
        </w:rPr>
        <w:t>empirical</w:t>
      </w:r>
      <w:r>
        <w:rPr>
          <w:color w:val="231F20"/>
          <w:spacing w:val="22"/>
        </w:rPr>
        <w:t> </w:t>
      </w:r>
      <w:r>
        <w:rPr>
          <w:color w:val="231F20"/>
        </w:rPr>
        <w:t>evidence</w:t>
      </w:r>
      <w:r>
        <w:rPr>
          <w:color w:val="231F20"/>
          <w:spacing w:val="-6"/>
        </w:rPr>
        <w:t> </w:t>
      </w:r>
      <w:r>
        <w:rPr>
          <w:color w:val="231F20"/>
        </w:rPr>
        <w:t>base</w:t>
      </w:r>
      <w:r>
        <w:rPr>
          <w:color w:val="231F20"/>
          <w:spacing w:val="-5"/>
        </w:rPr>
        <w:t> </w:t>
      </w:r>
      <w:r>
        <w:rPr>
          <w:color w:val="231F20"/>
        </w:rPr>
        <w:t>for</w:t>
      </w:r>
      <w:r>
        <w:rPr>
          <w:color w:val="231F20"/>
          <w:spacing w:val="-5"/>
        </w:rPr>
        <w:t> </w:t>
      </w:r>
      <w:r>
        <w:rPr>
          <w:color w:val="231F20"/>
          <w:spacing w:val="-1"/>
        </w:rPr>
        <w:t>increased</w:t>
      </w:r>
      <w:r>
        <w:rPr>
          <w:color w:val="231F20"/>
          <w:spacing w:val="-5"/>
        </w:rPr>
        <w:t> </w:t>
      </w:r>
      <w:r>
        <w:rPr>
          <w:color w:val="231F20"/>
          <w:spacing w:val="-1"/>
        </w:rPr>
        <w:t>investment</w:t>
      </w:r>
      <w:r>
        <w:rPr>
          <w:color w:val="231F20"/>
          <w:spacing w:val="-4"/>
        </w:rPr>
        <w:t> </w:t>
      </w:r>
      <w:r>
        <w:rPr>
          <w:color w:val="231F20"/>
          <w:spacing w:val="-1"/>
        </w:rPr>
        <w:t>in</w:t>
      </w:r>
      <w:r>
        <w:rPr>
          <w:color w:val="231F20"/>
          <w:spacing w:val="22"/>
        </w:rPr>
        <w:t> </w:t>
      </w:r>
      <w:r>
        <w:rPr>
          <w:color w:val="231F20"/>
          <w:spacing w:val="-1"/>
        </w:rPr>
        <w:t>support</w:t>
      </w:r>
      <w:r>
        <w:rPr>
          <w:color w:val="231F20"/>
          <w:spacing w:val="-3"/>
        </w:rPr>
        <w:t> </w:t>
      </w:r>
      <w:r>
        <w:rPr>
          <w:color w:val="231F20"/>
          <w:spacing w:val="-1"/>
        </w:rPr>
        <w:t>services, </w:t>
      </w:r>
      <w:r>
        <w:rPr>
          <w:color w:val="231F20"/>
        </w:rPr>
        <w:t>and</w:t>
      </w:r>
      <w:r>
        <w:rPr>
          <w:color w:val="231F20"/>
          <w:spacing w:val="-4"/>
        </w:rPr>
        <w:t> </w:t>
      </w:r>
      <w:r>
        <w:rPr>
          <w:color w:val="231F20"/>
        </w:rPr>
        <w:t>the</w:t>
      </w:r>
      <w:r>
        <w:rPr>
          <w:color w:val="231F20"/>
          <w:spacing w:val="-3"/>
        </w:rPr>
        <w:t> </w:t>
      </w:r>
      <w:r>
        <w:rPr>
          <w:color w:val="231F20"/>
          <w:spacing w:val="-1"/>
        </w:rPr>
        <w:t>model</w:t>
      </w:r>
      <w:r>
        <w:rPr>
          <w:color w:val="231F20"/>
          <w:spacing w:val="-3"/>
        </w:rPr>
        <w:t> </w:t>
      </w:r>
      <w:r>
        <w:rPr>
          <w:color w:val="231F20"/>
        </w:rPr>
        <w:t>of</w:t>
      </w:r>
      <w:r>
        <w:rPr>
          <w:color w:val="231F20"/>
          <w:spacing w:val="-2"/>
        </w:rPr>
        <w:t> </w:t>
      </w:r>
      <w:r>
        <w:rPr>
          <w:color w:val="231F20"/>
          <w:spacing w:val="-1"/>
        </w:rPr>
        <w:t>smaller</w:t>
      </w:r>
      <w:r>
        <w:rPr>
          <w:color w:val="231F20"/>
          <w:spacing w:val="23"/>
        </w:rPr>
        <w:t> </w:t>
      </w:r>
      <w:r>
        <w:rPr>
          <w:color w:val="231F20"/>
          <w:spacing w:val="-1"/>
        </w:rPr>
        <w:t>specialised</w:t>
      </w:r>
      <w:r>
        <w:rPr>
          <w:color w:val="231F20"/>
          <w:spacing w:val="-5"/>
        </w:rPr>
        <w:t> </w:t>
      </w:r>
      <w:r>
        <w:rPr>
          <w:color w:val="231F20"/>
        </w:rPr>
        <w:t>boarding</w:t>
      </w:r>
      <w:r>
        <w:rPr>
          <w:color w:val="231F20"/>
          <w:spacing w:val="-7"/>
        </w:rPr>
        <w:t> </w:t>
      </w:r>
      <w:r>
        <w:rPr>
          <w:color w:val="231F20"/>
        </w:rPr>
        <w:t>providers,</w:t>
      </w:r>
      <w:r>
        <w:rPr>
          <w:color w:val="231F20"/>
          <w:spacing w:val="-6"/>
        </w:rPr>
        <w:t> </w:t>
      </w:r>
      <w:r>
        <w:rPr>
          <w:color w:val="231F20"/>
        </w:rPr>
        <w:t>to</w:t>
      </w:r>
      <w:r>
        <w:rPr>
          <w:color w:val="231F20"/>
          <w:spacing w:val="-6"/>
        </w:rPr>
        <w:t> </w:t>
      </w:r>
      <w:r>
        <w:rPr>
          <w:color w:val="231F20"/>
        </w:rPr>
        <w:t>achieve</w:t>
      </w:r>
      <w:r>
        <w:rPr>
          <w:color w:val="231F20"/>
          <w:spacing w:val="-7"/>
        </w:rPr>
        <w:t> </w:t>
      </w:r>
      <w:r>
        <w:rPr>
          <w:color w:val="231F20"/>
        </w:rPr>
        <w:t>the</w:t>
      </w:r>
      <w:r>
        <w:rPr>
          <w:color w:val="231F20"/>
          <w:spacing w:val="22"/>
          <w:w w:val="99"/>
        </w:rPr>
        <w:t> </w:t>
      </w:r>
      <w:r>
        <w:rPr>
          <w:color w:val="231F20"/>
          <w:spacing w:val="-1"/>
        </w:rPr>
        <w:t>intended</w:t>
      </w:r>
      <w:r>
        <w:rPr>
          <w:color w:val="231F20"/>
          <w:spacing w:val="-5"/>
        </w:rPr>
        <w:t> </w:t>
      </w:r>
      <w:r>
        <w:rPr>
          <w:color w:val="231F20"/>
        </w:rPr>
        <w:t>and</w:t>
      </w:r>
      <w:r>
        <w:rPr>
          <w:color w:val="231F20"/>
          <w:spacing w:val="-6"/>
        </w:rPr>
        <w:t> </w:t>
      </w:r>
      <w:r>
        <w:rPr>
          <w:color w:val="231F20"/>
        </w:rPr>
        <w:t>desirable</w:t>
      </w:r>
      <w:r>
        <w:rPr>
          <w:color w:val="231F20"/>
          <w:spacing w:val="-5"/>
        </w:rPr>
        <w:t> </w:t>
      </w:r>
      <w:r>
        <w:rPr>
          <w:color w:val="231F20"/>
        </w:rPr>
        <w:t>outcomes</w:t>
      </w:r>
      <w:r>
        <w:rPr>
          <w:color w:val="231F20"/>
          <w:spacing w:val="-6"/>
        </w:rPr>
        <w:t> </w:t>
      </w:r>
      <w:r>
        <w:rPr>
          <w:color w:val="231F20"/>
          <w:spacing w:val="-1"/>
        </w:rPr>
        <w:t>in</w:t>
      </w:r>
      <w:r>
        <w:rPr>
          <w:color w:val="231F20"/>
          <w:spacing w:val="-5"/>
        </w:rPr>
        <w:t> </w:t>
      </w:r>
      <w:r>
        <w:rPr>
          <w:color w:val="231F20"/>
        </w:rPr>
        <w:t>our</w:t>
      </w:r>
      <w:r>
        <w:rPr>
          <w:color w:val="231F20"/>
          <w:spacing w:val="-4"/>
        </w:rPr>
        <w:t> </w:t>
      </w:r>
      <w:r>
        <w:rPr>
          <w:color w:val="231F20"/>
        </w:rPr>
        <w:t>theory</w:t>
      </w:r>
      <w:r>
        <w:rPr>
          <w:color w:val="231F20"/>
          <w:spacing w:val="23"/>
          <w:w w:val="99"/>
        </w:rPr>
        <w:t> </w:t>
      </w:r>
      <w:r>
        <w:rPr>
          <w:color w:val="231F20"/>
        </w:rPr>
        <w:t>of</w:t>
      </w:r>
      <w:r>
        <w:rPr>
          <w:color w:val="231F20"/>
          <w:spacing w:val="-6"/>
        </w:rPr>
        <w:t> </w:t>
      </w:r>
      <w:r>
        <w:rPr>
          <w:color w:val="231F20"/>
        </w:rPr>
        <w:t>change—equity</w:t>
      </w:r>
      <w:r>
        <w:rPr>
          <w:color w:val="231F20"/>
          <w:spacing w:val="-7"/>
        </w:rPr>
        <w:t> </w:t>
      </w:r>
      <w:r>
        <w:rPr>
          <w:color w:val="231F20"/>
          <w:spacing w:val="-1"/>
        </w:rPr>
        <w:t>in</w:t>
      </w:r>
      <w:r>
        <w:rPr>
          <w:color w:val="231F20"/>
          <w:spacing w:val="-6"/>
        </w:rPr>
        <w:t> </w:t>
      </w:r>
      <w:r>
        <w:rPr>
          <w:color w:val="231F20"/>
        </w:rPr>
        <w:t>educational</w:t>
      </w:r>
      <w:r>
        <w:rPr>
          <w:color w:val="231F20"/>
          <w:spacing w:val="-6"/>
        </w:rPr>
        <w:t> </w:t>
      </w:r>
      <w:r>
        <w:rPr>
          <w:color w:val="231F20"/>
        </w:rPr>
        <w:t>outcomes</w:t>
      </w:r>
      <w:r>
        <w:rPr>
          <w:color w:val="231F20"/>
          <w:spacing w:val="-7"/>
        </w:rPr>
        <w:t> </w:t>
      </w:r>
      <w:r>
        <w:rPr>
          <w:color w:val="231F20"/>
        </w:rPr>
        <w:t>for</w:t>
      </w:r>
      <w:r>
        <w:rPr>
          <w:color w:val="231F20"/>
          <w:spacing w:val="21"/>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8"/>
        </w:rPr>
        <w:t> </w:t>
      </w:r>
      <w:r>
        <w:rPr>
          <w:color w:val="231F20"/>
          <w:spacing w:val="-1"/>
        </w:rPr>
        <w:t>Islander</w:t>
      </w:r>
      <w:r>
        <w:rPr>
          <w:color w:val="231F20"/>
          <w:spacing w:val="-6"/>
        </w:rPr>
        <w:t> </w:t>
      </w:r>
      <w:r>
        <w:rPr>
          <w:color w:val="231F20"/>
          <w:spacing w:val="-1"/>
        </w:rPr>
        <w:t>secondary</w:t>
      </w:r>
      <w:r>
        <w:rPr>
          <w:color w:val="231F20"/>
          <w:spacing w:val="20"/>
          <w:w w:val="99"/>
        </w:rPr>
        <w:t> </w:t>
      </w:r>
      <w:r>
        <w:rPr>
          <w:color w:val="231F20"/>
          <w:spacing w:val="-1"/>
        </w:rPr>
        <w:t>students,</w:t>
      </w:r>
      <w:r>
        <w:rPr>
          <w:color w:val="231F20"/>
          <w:spacing w:val="-7"/>
        </w:rPr>
        <w:t> </w:t>
      </w:r>
      <w:r>
        <w:rPr>
          <w:color w:val="231F20"/>
          <w:spacing w:val="-1"/>
        </w:rPr>
        <w:t>increased</w:t>
      </w:r>
      <w:r>
        <w:rPr>
          <w:color w:val="231F20"/>
          <w:spacing w:val="-7"/>
        </w:rPr>
        <w:t> </w:t>
      </w:r>
      <w:r>
        <w:rPr>
          <w:color w:val="231F20"/>
        </w:rPr>
        <w:t>participation</w:t>
      </w:r>
      <w:r>
        <w:rPr>
          <w:color w:val="231F20"/>
          <w:spacing w:val="-9"/>
        </w:rPr>
        <w:t> </w:t>
      </w:r>
      <w:r>
        <w:rPr>
          <w:color w:val="231F20"/>
          <w:spacing w:val="-1"/>
        </w:rPr>
        <w:t>in</w:t>
      </w:r>
      <w:r>
        <w:rPr>
          <w:color w:val="231F20"/>
          <w:spacing w:val="-7"/>
        </w:rPr>
        <w:t> </w:t>
      </w:r>
      <w:r>
        <w:rPr>
          <w:color w:val="231F20"/>
        </w:rPr>
        <w:t>further</w:t>
      </w:r>
      <w:r>
        <w:rPr>
          <w:color w:val="231F20"/>
          <w:spacing w:val="-7"/>
        </w:rPr>
        <w:t> </w:t>
      </w:r>
      <w:r>
        <w:rPr>
          <w:color w:val="231F20"/>
        </w:rPr>
        <w:t>and</w:t>
      </w:r>
      <w:r>
        <w:rPr>
          <w:color w:val="231F20"/>
          <w:spacing w:val="24"/>
          <w:w w:val="99"/>
        </w:rPr>
        <w:t> </w:t>
      </w:r>
      <w:r>
        <w:rPr>
          <w:color w:val="231F20"/>
        </w:rPr>
        <w:t>higher</w:t>
      </w:r>
      <w:r>
        <w:rPr>
          <w:color w:val="231F20"/>
          <w:spacing w:val="-8"/>
        </w:rPr>
        <w:t> </w:t>
      </w:r>
      <w:r>
        <w:rPr>
          <w:color w:val="231F20"/>
        </w:rPr>
        <w:t>education</w:t>
      </w:r>
      <w:r>
        <w:rPr>
          <w:color w:val="231F20"/>
          <w:spacing w:val="-8"/>
        </w:rPr>
        <w:t> </w:t>
      </w:r>
      <w:r>
        <w:rPr>
          <w:color w:val="231F20"/>
        </w:rPr>
        <w:t>and</w:t>
      </w:r>
      <w:r>
        <w:rPr>
          <w:color w:val="231F20"/>
          <w:spacing w:val="-7"/>
        </w:rPr>
        <w:t> </w:t>
      </w:r>
      <w:r>
        <w:rPr>
          <w:color w:val="231F20"/>
          <w:spacing w:val="-1"/>
        </w:rPr>
        <w:t>improved</w:t>
      </w:r>
      <w:r>
        <w:rPr>
          <w:color w:val="231F20"/>
          <w:spacing w:val="-7"/>
        </w:rPr>
        <w:t> </w:t>
      </w:r>
      <w:r>
        <w:rPr>
          <w:color w:val="231F20"/>
        </w:rPr>
        <w:t>employment</w:t>
      </w:r>
      <w:r>
        <w:rPr>
          <w:color w:val="231F20"/>
          <w:spacing w:val="22"/>
        </w:rPr>
        <w:t> </w:t>
      </w:r>
      <w:r>
        <w:rPr>
          <w:color w:val="231F20"/>
        </w:rPr>
        <w:t>prospects.</w:t>
      </w:r>
      <w:r>
        <w:rPr/>
      </w:r>
    </w:p>
    <w:p>
      <w:pPr>
        <w:spacing w:line="240" w:lineRule="auto" w:before="1"/>
        <w:rPr>
          <w:rFonts w:ascii="Segoe UI" w:hAnsi="Segoe UI" w:cs="Segoe UI" w:eastAsia="Segoe UI"/>
          <w:sz w:val="25"/>
          <w:szCs w:val="25"/>
        </w:rPr>
      </w:pPr>
    </w:p>
    <w:p>
      <w:pPr>
        <w:spacing w:line="360" w:lineRule="exact" w:before="0"/>
        <w:ind w:left="117" w:right="79" w:firstLine="0"/>
        <w:jc w:val="left"/>
        <w:rPr>
          <w:rFonts w:ascii="Segoe UI" w:hAnsi="Segoe UI" w:cs="Segoe UI" w:eastAsia="Segoe UI"/>
          <w:sz w:val="32"/>
          <w:szCs w:val="32"/>
        </w:rPr>
      </w:pPr>
      <w:r>
        <w:rPr>
          <w:rFonts w:ascii="Segoe UI"/>
          <w:b/>
          <w:color w:val="452A70"/>
          <w:sz w:val="32"/>
        </w:rPr>
        <w:t>The</w:t>
      </w:r>
      <w:r>
        <w:rPr>
          <w:rFonts w:ascii="Segoe UI"/>
          <w:b/>
          <w:color w:val="452A70"/>
          <w:spacing w:val="-1"/>
          <w:sz w:val="32"/>
        </w:rPr>
        <w:t> </w:t>
      </w:r>
      <w:r>
        <w:rPr>
          <w:rFonts w:ascii="Segoe UI"/>
          <w:b/>
          <w:color w:val="452A70"/>
          <w:spacing w:val="-2"/>
          <w:sz w:val="32"/>
        </w:rPr>
        <w:t>impact</w:t>
      </w:r>
      <w:r>
        <w:rPr>
          <w:rFonts w:ascii="Segoe UI"/>
          <w:b/>
          <w:color w:val="452A70"/>
          <w:sz w:val="32"/>
        </w:rPr>
        <w:t> </w:t>
      </w:r>
      <w:r>
        <w:rPr>
          <w:rFonts w:ascii="Segoe UI"/>
          <w:b/>
          <w:color w:val="452A70"/>
          <w:spacing w:val="-3"/>
          <w:sz w:val="32"/>
        </w:rPr>
        <w:t>of</w:t>
      </w:r>
      <w:r>
        <w:rPr>
          <w:rFonts w:ascii="Segoe UI"/>
          <w:b/>
          <w:color w:val="452A70"/>
          <w:spacing w:val="-1"/>
          <w:sz w:val="32"/>
        </w:rPr>
        <w:t> </w:t>
      </w:r>
      <w:r>
        <w:rPr>
          <w:rFonts w:ascii="Segoe UI"/>
          <w:b/>
          <w:color w:val="452A70"/>
          <w:spacing w:val="1"/>
          <w:sz w:val="32"/>
        </w:rPr>
        <w:t>support</w:t>
      </w:r>
      <w:r>
        <w:rPr>
          <w:rFonts w:ascii="Segoe UI"/>
          <w:b/>
          <w:color w:val="452A70"/>
          <w:spacing w:val="27"/>
          <w:sz w:val="32"/>
        </w:rPr>
        <w:t> </w:t>
      </w:r>
      <w:r>
        <w:rPr>
          <w:rFonts w:ascii="Segoe UI"/>
          <w:b/>
          <w:color w:val="452A70"/>
          <w:spacing w:val="1"/>
          <w:sz w:val="32"/>
        </w:rPr>
        <w:t>services</w:t>
      </w:r>
      <w:r>
        <w:rPr>
          <w:rFonts w:ascii="Segoe UI"/>
          <w:sz w:val="32"/>
        </w:rPr>
      </w:r>
    </w:p>
    <w:p>
      <w:pPr>
        <w:pStyle w:val="BodyText"/>
        <w:spacing w:line="250" w:lineRule="exact" w:before="119"/>
        <w:ind w:right="332"/>
        <w:jc w:val="left"/>
      </w:pPr>
      <w:r>
        <w:rPr/>
        <w:pict>
          <v:group style="position:absolute;margin-left:511.236115pt;margin-top:134.13089pt;width:.1pt;height:.1pt;mso-position-horizontal-relative:page;mso-position-vertical-relative:paragraph;z-index:3424" coordorigin="10225,2683" coordsize="2,2">
            <v:shape style="position:absolute;left:10225;top:2683;width:2;height:2" coordorigin="10225,2683" coordsize="0,0" path="m10225,2683l10225,2683e" filled="false" stroked="true" strokeweight="2pt" strokecolor="#355f92">
              <v:path arrowok="t"/>
            </v:shape>
            <w10:wrap type="none"/>
          </v:group>
        </w:pict>
      </w:r>
      <w:r>
        <w:rPr/>
        <w:pict>
          <v:group style="position:absolute;margin-left:71.866096pt;margin-top:134.13089pt;width:.1pt;height:.1pt;mso-position-horizontal-relative:page;mso-position-vertical-relative:paragraph;z-index:3448" coordorigin="1437,2683" coordsize="2,2">
            <v:shape style="position:absolute;left:1437;top:2683;width:2;height:2" coordorigin="1437,2683" coordsize="0,0" path="m1437,2683l1437,2683e" filled="false" stroked="true" strokeweight="2pt" strokecolor="#355f92">
              <v:path arrowok="t"/>
            </v:shape>
            <w10:wrap type="none"/>
          </v:group>
        </w:pict>
      </w:r>
      <w:r>
        <w:rPr>
          <w:color w:val="231F20"/>
        </w:rPr>
        <w:t>The</w:t>
      </w:r>
      <w:r>
        <w:rPr>
          <w:color w:val="231F20"/>
          <w:spacing w:val="-7"/>
        </w:rPr>
        <w:t> </w:t>
      </w:r>
      <w:r>
        <w:rPr>
          <w:color w:val="231F20"/>
          <w:spacing w:val="-1"/>
        </w:rPr>
        <w:t>strength</w:t>
      </w:r>
      <w:r>
        <w:rPr>
          <w:color w:val="231F20"/>
          <w:spacing w:val="-5"/>
        </w:rPr>
        <w:t> </w:t>
      </w:r>
      <w:r>
        <w:rPr>
          <w:color w:val="231F20"/>
        </w:rPr>
        <w:t>of</w:t>
      </w:r>
      <w:r>
        <w:rPr>
          <w:color w:val="231F20"/>
          <w:spacing w:val="-7"/>
        </w:rPr>
        <w:t> </w:t>
      </w:r>
      <w:r>
        <w:rPr>
          <w:color w:val="231F20"/>
        </w:rPr>
        <w:t>evidence</w:t>
      </w:r>
      <w:r>
        <w:rPr>
          <w:color w:val="231F20"/>
          <w:spacing w:val="-7"/>
        </w:rPr>
        <w:t> </w:t>
      </w:r>
      <w:r>
        <w:rPr>
          <w:color w:val="231F20"/>
        </w:rPr>
        <w:t>regarding</w:t>
      </w:r>
      <w:r>
        <w:rPr>
          <w:color w:val="231F20"/>
          <w:spacing w:val="-7"/>
        </w:rPr>
        <w:t> </w:t>
      </w:r>
      <w:r>
        <w:rPr>
          <w:color w:val="231F20"/>
        </w:rPr>
        <w:t>the</w:t>
      </w:r>
      <w:r>
        <w:rPr>
          <w:color w:val="231F20"/>
          <w:spacing w:val="22"/>
          <w:w w:val="99"/>
        </w:rPr>
        <w:t> </w:t>
      </w:r>
      <w:r>
        <w:rPr>
          <w:color w:val="231F20"/>
          <w:spacing w:val="-1"/>
        </w:rPr>
        <w:t>impact</w:t>
      </w:r>
      <w:r>
        <w:rPr>
          <w:color w:val="231F20"/>
          <w:spacing w:val="-3"/>
        </w:rPr>
        <w:t> </w:t>
      </w:r>
      <w:r>
        <w:rPr>
          <w:color w:val="231F20"/>
        </w:rPr>
        <w:t>and</w:t>
      </w:r>
      <w:r>
        <w:rPr>
          <w:color w:val="231F20"/>
          <w:spacing w:val="-3"/>
        </w:rPr>
        <w:t> </w:t>
      </w:r>
      <w:r>
        <w:rPr>
          <w:color w:val="231F20"/>
        </w:rPr>
        <w:t>outcomes</w:t>
      </w:r>
      <w:r>
        <w:rPr>
          <w:color w:val="231F20"/>
          <w:spacing w:val="-3"/>
        </w:rPr>
        <w:t> </w:t>
      </w:r>
      <w:r>
        <w:rPr>
          <w:color w:val="231F20"/>
        </w:rPr>
        <w:t>of</w:t>
      </w:r>
      <w:r>
        <w:rPr>
          <w:color w:val="231F20"/>
          <w:spacing w:val="-2"/>
        </w:rPr>
        <w:t> </w:t>
      </w:r>
      <w:r>
        <w:rPr>
          <w:color w:val="231F20"/>
          <w:spacing w:val="-1"/>
        </w:rPr>
        <w:t>investment</w:t>
      </w:r>
      <w:r>
        <w:rPr>
          <w:color w:val="231F20"/>
          <w:spacing w:val="-3"/>
        </w:rPr>
        <w:t> </w:t>
      </w:r>
      <w:r>
        <w:rPr>
          <w:color w:val="231F20"/>
          <w:spacing w:val="-1"/>
        </w:rPr>
        <w:t>in</w:t>
      </w:r>
      <w:r>
        <w:rPr>
          <w:color w:val="231F20"/>
          <w:spacing w:val="22"/>
        </w:rPr>
        <w:t> </w:t>
      </w:r>
      <w:r>
        <w:rPr>
          <w:color w:val="231F20"/>
          <w:spacing w:val="-1"/>
        </w:rPr>
        <w:t>support</w:t>
      </w:r>
      <w:r>
        <w:rPr>
          <w:color w:val="231F20"/>
          <w:spacing w:val="-5"/>
        </w:rPr>
        <w:t> </w:t>
      </w:r>
      <w:r>
        <w:rPr>
          <w:color w:val="231F20"/>
          <w:spacing w:val="-1"/>
        </w:rPr>
        <w:t>services</w:t>
      </w:r>
      <w:r>
        <w:rPr>
          <w:color w:val="231F20"/>
          <w:spacing w:val="-4"/>
        </w:rPr>
        <w:t> </w:t>
      </w:r>
      <w:r>
        <w:rPr>
          <w:color w:val="231F20"/>
        </w:rPr>
        <w:t>for</w:t>
      </w:r>
      <w:r>
        <w:rPr>
          <w:color w:val="231F20"/>
          <w:spacing w:val="-5"/>
        </w:rPr>
        <w:t> </w:t>
      </w:r>
      <w:r>
        <w:rPr>
          <w:color w:val="231F20"/>
        </w:rPr>
        <w:t>boarders</w:t>
      </w:r>
      <w:r>
        <w:rPr>
          <w:color w:val="231F20"/>
          <w:spacing w:val="-5"/>
        </w:rPr>
        <w:t> </w:t>
      </w:r>
      <w:r>
        <w:rPr>
          <w:color w:val="231F20"/>
          <w:spacing w:val="-1"/>
        </w:rPr>
        <w:t>is</w:t>
      </w:r>
      <w:r>
        <w:rPr>
          <w:color w:val="231F20"/>
          <w:spacing w:val="-5"/>
        </w:rPr>
        <w:t> </w:t>
      </w:r>
      <w:r>
        <w:rPr>
          <w:color w:val="231F20"/>
          <w:spacing w:val="-1"/>
        </w:rPr>
        <w:t>sparse</w:t>
      </w:r>
      <w:r>
        <w:rPr>
          <w:color w:val="231F20"/>
          <w:spacing w:val="-5"/>
        </w:rPr>
        <w:t> </w:t>
      </w:r>
      <w:r>
        <w:rPr>
          <w:color w:val="231F20"/>
        </w:rPr>
        <w:t>and</w:t>
      </w:r>
      <w:r>
        <w:rPr>
          <w:color w:val="231F20"/>
          <w:spacing w:val="25"/>
          <w:w w:val="99"/>
        </w:rPr>
        <w:t> </w:t>
      </w:r>
      <w:r>
        <w:rPr>
          <w:color w:val="231F20"/>
          <w:spacing w:val="-1"/>
        </w:rPr>
        <w:t>largely</w:t>
      </w:r>
      <w:r>
        <w:rPr>
          <w:color w:val="231F20"/>
          <w:spacing w:val="-4"/>
        </w:rPr>
        <w:t> </w:t>
      </w:r>
      <w:r>
        <w:rPr>
          <w:color w:val="231F20"/>
          <w:spacing w:val="-1"/>
        </w:rPr>
        <w:t>anecdotal</w:t>
      </w:r>
      <w:r>
        <w:rPr>
          <w:rFonts w:ascii="Segoe UI Semibold"/>
          <w:b/>
          <w:color w:val="231F20"/>
          <w:spacing w:val="-1"/>
          <w:position w:val="7"/>
          <w:sz w:val="11"/>
        </w:rPr>
        <w:t>89</w:t>
      </w:r>
      <w:r>
        <w:rPr>
          <w:color w:val="231F20"/>
          <w:spacing w:val="-1"/>
        </w:rPr>
        <w:t>.</w:t>
      </w:r>
      <w:r>
        <w:rPr>
          <w:color w:val="231F20"/>
          <w:spacing w:val="-4"/>
        </w:rPr>
        <w:t> </w:t>
      </w:r>
      <w:r>
        <w:rPr>
          <w:color w:val="231F20"/>
        </w:rPr>
        <w:t>There</w:t>
      </w:r>
      <w:r>
        <w:rPr>
          <w:color w:val="231F20"/>
          <w:spacing w:val="-4"/>
        </w:rPr>
        <w:t> </w:t>
      </w:r>
      <w:r>
        <w:rPr>
          <w:color w:val="231F20"/>
          <w:spacing w:val="-1"/>
        </w:rPr>
        <w:t>is</w:t>
      </w:r>
      <w:r>
        <w:rPr>
          <w:color w:val="231F20"/>
          <w:spacing w:val="-5"/>
        </w:rPr>
        <w:t> </w:t>
      </w:r>
      <w:r>
        <w:rPr>
          <w:color w:val="231F20"/>
        </w:rPr>
        <w:t>a</w:t>
      </w:r>
      <w:r>
        <w:rPr>
          <w:color w:val="231F20"/>
          <w:spacing w:val="-3"/>
        </w:rPr>
        <w:t> </w:t>
      </w:r>
      <w:r>
        <w:rPr>
          <w:color w:val="231F20"/>
        </w:rPr>
        <w:t>need</w:t>
      </w:r>
      <w:r>
        <w:rPr>
          <w:color w:val="231F20"/>
          <w:spacing w:val="-5"/>
        </w:rPr>
        <w:t> </w:t>
      </w:r>
      <w:r>
        <w:rPr>
          <w:color w:val="231F20"/>
        </w:rPr>
        <w:t>for</w:t>
      </w:r>
      <w:r>
        <w:rPr>
          <w:color w:val="231F20"/>
          <w:spacing w:val="-4"/>
        </w:rPr>
        <w:t> </w:t>
      </w:r>
      <w:r>
        <w:rPr>
          <w:color w:val="231F20"/>
        </w:rPr>
        <w:t>further</w:t>
      </w:r>
      <w:r>
        <w:rPr>
          <w:color w:val="231F20"/>
          <w:spacing w:val="25"/>
          <w:w w:val="99"/>
        </w:rPr>
        <w:t> </w:t>
      </w:r>
      <w:r>
        <w:rPr>
          <w:color w:val="231F20"/>
        </w:rPr>
        <w:t>research</w:t>
      </w:r>
      <w:r>
        <w:rPr>
          <w:color w:val="231F20"/>
          <w:spacing w:val="-6"/>
        </w:rPr>
        <w:t> </w:t>
      </w:r>
      <w:r>
        <w:rPr>
          <w:color w:val="231F20"/>
          <w:spacing w:val="-1"/>
        </w:rPr>
        <w:t>into</w:t>
      </w:r>
      <w:r>
        <w:rPr>
          <w:color w:val="231F20"/>
          <w:spacing w:val="-6"/>
        </w:rPr>
        <w:t> </w:t>
      </w:r>
      <w:r>
        <w:rPr>
          <w:color w:val="231F20"/>
        </w:rPr>
        <w:t>the</w:t>
      </w:r>
      <w:r>
        <w:rPr>
          <w:color w:val="231F20"/>
          <w:spacing w:val="-6"/>
        </w:rPr>
        <w:t> </w:t>
      </w:r>
      <w:r>
        <w:rPr>
          <w:color w:val="231F20"/>
          <w:spacing w:val="-1"/>
        </w:rPr>
        <w:t>support</w:t>
      </w:r>
      <w:r>
        <w:rPr>
          <w:color w:val="231F20"/>
          <w:spacing w:val="-5"/>
        </w:rPr>
        <w:t> </w:t>
      </w:r>
      <w:r>
        <w:rPr>
          <w:color w:val="231F20"/>
          <w:spacing w:val="-1"/>
        </w:rPr>
        <w:t>services</w:t>
      </w:r>
      <w:r>
        <w:rPr>
          <w:color w:val="231F20"/>
          <w:spacing w:val="-5"/>
        </w:rPr>
        <w:t> </w:t>
      </w:r>
      <w:r>
        <w:rPr>
          <w:color w:val="231F20"/>
        </w:rPr>
        <w:t>required</w:t>
      </w:r>
      <w:r>
        <w:rPr>
          <w:color w:val="231F20"/>
          <w:spacing w:val="-6"/>
        </w:rPr>
        <w:t> </w:t>
      </w:r>
      <w:r>
        <w:rPr>
          <w:color w:val="231F20"/>
        </w:rPr>
        <w:t>by</w:t>
      </w:r>
      <w:r>
        <w:rPr>
          <w:color w:val="231F20"/>
          <w:spacing w:val="24"/>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boarders</w:t>
      </w:r>
      <w:r>
        <w:rPr>
          <w:color w:val="231F20"/>
          <w:spacing w:val="21"/>
          <w:w w:val="99"/>
        </w:rPr>
        <w:t> </w:t>
      </w:r>
      <w:r>
        <w:rPr>
          <w:color w:val="231F20"/>
        </w:rPr>
        <w:t>and</w:t>
      </w:r>
      <w:r>
        <w:rPr>
          <w:color w:val="231F20"/>
          <w:spacing w:val="-5"/>
        </w:rPr>
        <w:t> </w:t>
      </w:r>
      <w:r>
        <w:rPr>
          <w:color w:val="231F20"/>
        </w:rPr>
        <w:t>to</w:t>
      </w:r>
      <w:r>
        <w:rPr>
          <w:color w:val="231F20"/>
          <w:spacing w:val="-4"/>
        </w:rPr>
        <w:t> </w:t>
      </w:r>
      <w:r>
        <w:rPr>
          <w:color w:val="231F20"/>
          <w:spacing w:val="-1"/>
        </w:rPr>
        <w:t>measure</w:t>
      </w:r>
      <w:r>
        <w:rPr>
          <w:color w:val="231F20"/>
          <w:spacing w:val="-4"/>
        </w:rPr>
        <w:t> </w:t>
      </w:r>
      <w:r>
        <w:rPr>
          <w:color w:val="231F20"/>
        </w:rPr>
        <w:t>the</w:t>
      </w:r>
      <w:r>
        <w:rPr>
          <w:color w:val="231F20"/>
          <w:spacing w:val="-4"/>
        </w:rPr>
        <w:t> </w:t>
      </w:r>
      <w:r>
        <w:rPr>
          <w:color w:val="231F20"/>
          <w:spacing w:val="-1"/>
        </w:rPr>
        <w:t>impact</w:t>
      </w:r>
      <w:r>
        <w:rPr>
          <w:color w:val="231F20"/>
          <w:spacing w:val="-4"/>
        </w:rPr>
        <w:t> </w:t>
      </w:r>
      <w:r>
        <w:rPr>
          <w:color w:val="231F20"/>
        </w:rPr>
        <w:t>of</w:t>
      </w:r>
      <w:r>
        <w:rPr>
          <w:color w:val="231F20"/>
          <w:spacing w:val="-4"/>
        </w:rPr>
        <w:t> </w:t>
      </w:r>
      <w:r>
        <w:rPr>
          <w:color w:val="231F20"/>
        </w:rPr>
        <w:t>the</w:t>
      </w:r>
      <w:r>
        <w:rPr>
          <w:color w:val="231F20"/>
          <w:spacing w:val="-5"/>
        </w:rPr>
        <w:t> </w:t>
      </w:r>
      <w:r>
        <w:rPr>
          <w:color w:val="231F20"/>
          <w:spacing w:val="-1"/>
        </w:rPr>
        <w:t>investment</w:t>
      </w:r>
      <w:r>
        <w:rPr>
          <w:color w:val="231F20"/>
          <w:spacing w:val="22"/>
        </w:rPr>
        <w:t> </w:t>
      </w:r>
      <w:r>
        <w:rPr>
          <w:color w:val="231F20"/>
          <w:spacing w:val="-1"/>
        </w:rPr>
        <w:t>in</w:t>
      </w:r>
      <w:r>
        <w:rPr>
          <w:color w:val="231F20"/>
          <w:spacing w:val="-5"/>
        </w:rPr>
        <w:t> </w:t>
      </w:r>
      <w:r>
        <w:rPr>
          <w:color w:val="231F20"/>
          <w:spacing w:val="-1"/>
        </w:rPr>
        <w:t>support</w:t>
      </w:r>
      <w:r>
        <w:rPr>
          <w:color w:val="231F20"/>
          <w:spacing w:val="-4"/>
        </w:rPr>
        <w:t> </w:t>
      </w:r>
      <w:r>
        <w:rPr>
          <w:color w:val="231F20"/>
          <w:spacing w:val="-1"/>
        </w:rPr>
        <w:t>services</w:t>
      </w:r>
      <w:r>
        <w:rPr>
          <w:color w:val="231F20"/>
          <w:spacing w:val="-5"/>
        </w:rPr>
        <w:t> </w:t>
      </w:r>
      <w:r>
        <w:rPr>
          <w:color w:val="231F20"/>
          <w:spacing w:val="-1"/>
        </w:rPr>
        <w:t>in</w:t>
      </w:r>
      <w:r>
        <w:rPr>
          <w:color w:val="231F20"/>
          <w:spacing w:val="-4"/>
        </w:rPr>
        <w:t> </w:t>
      </w:r>
      <w:r>
        <w:rPr>
          <w:color w:val="231F20"/>
        </w:rPr>
        <w:t>delivering</w:t>
      </w:r>
      <w:r>
        <w:rPr>
          <w:color w:val="231F20"/>
          <w:spacing w:val="-5"/>
        </w:rPr>
        <w:t> </w:t>
      </w:r>
      <w:r>
        <w:rPr>
          <w:color w:val="231F20"/>
        </w:rPr>
        <w:t>the</w:t>
      </w:r>
      <w:r>
        <w:rPr>
          <w:color w:val="231F20"/>
          <w:spacing w:val="-6"/>
        </w:rPr>
        <w:t> </w:t>
      </w:r>
      <w:r>
        <w:rPr>
          <w:color w:val="231F20"/>
          <w:spacing w:val="-1"/>
        </w:rPr>
        <w:t>intended</w:t>
      </w:r>
      <w:r>
        <w:rPr>
          <w:color w:val="231F20"/>
          <w:spacing w:val="24"/>
          <w:w w:val="99"/>
        </w:rPr>
        <w:t> </w:t>
      </w:r>
      <w:r>
        <w:rPr>
          <w:color w:val="231F20"/>
        </w:rPr>
        <w:t>objectives</w:t>
      </w:r>
      <w:r>
        <w:rPr>
          <w:color w:val="231F20"/>
          <w:spacing w:val="-7"/>
        </w:rPr>
        <w:t> </w:t>
      </w:r>
      <w:r>
        <w:rPr>
          <w:color w:val="231F20"/>
        </w:rPr>
        <w:t>of</w:t>
      </w:r>
      <w:r>
        <w:rPr>
          <w:color w:val="231F20"/>
          <w:spacing w:val="-5"/>
        </w:rPr>
        <w:t> </w:t>
      </w:r>
      <w:r>
        <w:rPr>
          <w:color w:val="231F20"/>
        </w:rPr>
        <w:t>boarding.</w:t>
      </w:r>
      <w:r>
        <w:rPr/>
      </w:r>
    </w:p>
    <w:p>
      <w:pPr>
        <w:spacing w:after="0" w:line="250" w:lineRule="exact"/>
        <w:jc w:val="left"/>
        <w:sectPr>
          <w:type w:val="continuous"/>
          <w:pgSz w:w="11910" w:h="16840"/>
          <w:pgMar w:top="1580" w:bottom="280" w:left="1300" w:right="1560"/>
          <w:cols w:num="2" w:equalWidth="0">
            <w:col w:w="4342" w:space="250"/>
            <w:col w:w="4458"/>
          </w:cols>
        </w:sectPr>
      </w:pPr>
    </w:p>
    <w:p>
      <w:pPr>
        <w:spacing w:line="240" w:lineRule="auto" w:before="8"/>
        <w:rPr>
          <w:rFonts w:ascii="Segoe UI" w:hAnsi="Segoe UI" w:cs="Segoe UI" w:eastAsia="Segoe UI"/>
          <w:sz w:val="23"/>
          <w:szCs w:val="23"/>
        </w:rPr>
      </w:pPr>
      <w:r>
        <w:rPr/>
        <w:pict>
          <v:group style="position:absolute;margin-left:71.866096pt;margin-top:719.087341pt;width:.1pt;height:.1pt;mso-position-horizontal-relative:page;mso-position-vertical-relative:page;z-index:-226816" coordorigin="1437,14382" coordsize="2,2">
            <v:shape style="position:absolute;left:1437;top:14382;width:2;height:2" coordorigin="1437,14382" coordsize="0,0" path="m1437,14382l1437,14382e" filled="false" stroked="true" strokeweight="2pt" strokecolor="#355f92">
              <v:path arrowok="t"/>
            </v:shape>
            <w10:wrap type="none"/>
          </v:group>
        </w:pict>
      </w:r>
      <w:r>
        <w:rPr/>
        <w:pict>
          <v:group style="position:absolute;margin-left:511.236115pt;margin-top:719.087341pt;width:.1pt;height:.1pt;mso-position-horizontal-relative:page;mso-position-vertical-relative:page;z-index:-226792" coordorigin="10225,14382" coordsize="2,2">
            <v:shape style="position:absolute;left:10225;top:14382;width:2;height:2" coordorigin="10225,14382" coordsize="0,0" path="m10225,14382l10225,14382e" filled="false" stroked="true" strokeweight="2pt" strokecolor="#355f92">
              <v:path arrowok="t"/>
            </v:shape>
            <w10:wrap type="none"/>
          </v:group>
        </w:pict>
      </w:r>
    </w:p>
    <w:p>
      <w:pPr>
        <w:spacing w:line="200" w:lineRule="atLeast"/>
        <w:ind w:left="137" w:right="0" w:firstLine="0"/>
        <w:rPr>
          <w:rFonts w:ascii="Segoe UI" w:hAnsi="Segoe UI" w:cs="Segoe UI" w:eastAsia="Segoe UI"/>
          <w:sz w:val="20"/>
          <w:szCs w:val="20"/>
        </w:rPr>
      </w:pPr>
      <w:r>
        <w:rPr>
          <w:rFonts w:ascii="Segoe UI" w:hAnsi="Segoe UI" w:cs="Segoe UI" w:eastAsia="Segoe UI"/>
          <w:sz w:val="20"/>
          <w:szCs w:val="20"/>
        </w:rPr>
        <w:pict>
          <v:shape style="width:439.4pt;height:129.85pt;mso-position-horizontal-relative:char;mso-position-vertical-relative:line" type="#_x0000_t202" filled="true" fillcolor="#ecf1f5" stroked="true" strokeweight="2.0pt" strokecolor="#355f92">
            <v:textbox inset="0,0,0,0">
              <w:txbxContent>
                <w:p>
                  <w:pPr>
                    <w:spacing w:before="157"/>
                    <w:ind w:left="243" w:right="0" w:firstLine="0"/>
                    <w:jc w:val="left"/>
                    <w:rPr>
                      <w:rFonts w:ascii="Segoe UI Semibold" w:hAnsi="Segoe UI Semibold" w:cs="Segoe UI Semibold" w:eastAsia="Segoe UI Semibold"/>
                      <w:sz w:val="24"/>
                      <w:szCs w:val="24"/>
                    </w:rPr>
                  </w:pPr>
                  <w:r>
                    <w:rPr>
                      <w:rFonts w:ascii="Segoe UI Semibold"/>
                      <w:b/>
                      <w:color w:val="452A70"/>
                      <w:spacing w:val="-2"/>
                      <w:sz w:val="24"/>
                    </w:rPr>
                    <w:t>RECOMMENDATION</w:t>
                  </w:r>
                  <w:r>
                    <w:rPr>
                      <w:rFonts w:ascii="Segoe UI Semibold"/>
                      <w:b/>
                      <w:color w:val="452A70"/>
                      <w:spacing w:val="-9"/>
                      <w:sz w:val="24"/>
                    </w:rPr>
                    <w:t> </w:t>
                  </w:r>
                  <w:r>
                    <w:rPr>
                      <w:rFonts w:ascii="Segoe UI Semibold"/>
                      <w:b/>
                      <w:color w:val="452A70"/>
                      <w:spacing w:val="-1"/>
                      <w:sz w:val="24"/>
                    </w:rPr>
                    <w:t>1:</w:t>
                  </w:r>
                  <w:r>
                    <w:rPr>
                      <w:rFonts w:ascii="Segoe UI Semibold"/>
                      <w:b/>
                      <w:color w:val="452A70"/>
                      <w:spacing w:val="-8"/>
                      <w:sz w:val="24"/>
                    </w:rPr>
                    <w:t> </w:t>
                  </w:r>
                  <w:r>
                    <w:rPr>
                      <w:rFonts w:ascii="Segoe UI Semibold"/>
                      <w:b/>
                      <w:color w:val="452A70"/>
                      <w:spacing w:val="-10"/>
                      <w:sz w:val="24"/>
                    </w:rPr>
                    <w:t>DA</w:t>
                  </w:r>
                  <w:r>
                    <w:rPr>
                      <w:rFonts w:ascii="Segoe UI Semibold"/>
                      <w:b/>
                      <w:color w:val="452A70"/>
                      <w:spacing w:val="-11"/>
                      <w:sz w:val="24"/>
                    </w:rPr>
                    <w:t>T</w:t>
                  </w:r>
                  <w:r>
                    <w:rPr>
                      <w:rFonts w:ascii="Segoe UI Semibold"/>
                      <w:b/>
                      <w:color w:val="452A70"/>
                      <w:spacing w:val="-10"/>
                      <w:sz w:val="24"/>
                    </w:rPr>
                    <w:t>A</w:t>
                  </w:r>
                  <w:r>
                    <w:rPr>
                      <w:rFonts w:ascii="Segoe UI Semibold"/>
                      <w:b/>
                      <w:color w:val="452A70"/>
                      <w:spacing w:val="-9"/>
                      <w:sz w:val="24"/>
                    </w:rPr>
                    <w:t> </w:t>
                  </w:r>
                  <w:r>
                    <w:rPr>
                      <w:rFonts w:ascii="Segoe UI Semibold"/>
                      <w:b/>
                      <w:color w:val="452A70"/>
                      <w:spacing w:val="-1"/>
                      <w:sz w:val="24"/>
                    </w:rPr>
                    <w:t>RECORDING</w:t>
                  </w:r>
                  <w:r>
                    <w:rPr>
                      <w:rFonts w:ascii="Segoe UI Semibold"/>
                      <w:sz w:val="24"/>
                    </w:rPr>
                  </w:r>
                </w:p>
                <w:p>
                  <w:pPr>
                    <w:spacing w:line="250" w:lineRule="exact" w:before="131"/>
                    <w:ind w:left="243" w:right="426" w:firstLine="0"/>
                    <w:jc w:val="left"/>
                    <w:rPr>
                      <w:rFonts w:ascii="Segoe UI" w:hAnsi="Segoe UI" w:cs="Segoe UI" w:eastAsia="Segoe UI"/>
                      <w:sz w:val="20"/>
                      <w:szCs w:val="20"/>
                    </w:rPr>
                  </w:pPr>
                  <w:r>
                    <w:rPr>
                      <w:rFonts w:ascii="Segoe UI"/>
                      <w:color w:val="452A70"/>
                      <w:sz w:val="20"/>
                    </w:rPr>
                    <w:t>Improve and refine data collection by boarding providers for Aboriginal and </w:t>
                  </w:r>
                  <w:r>
                    <w:rPr>
                      <w:rFonts w:ascii="Segoe UI"/>
                      <w:color w:val="452A70"/>
                      <w:spacing w:val="-4"/>
                      <w:sz w:val="20"/>
                    </w:rPr>
                    <w:t>Torres</w:t>
                  </w:r>
                  <w:r>
                    <w:rPr>
                      <w:rFonts w:ascii="Segoe UI"/>
                      <w:color w:val="452A70"/>
                      <w:sz w:val="20"/>
                    </w:rPr>
                    <w:t> </w:t>
                  </w:r>
                  <w:r>
                    <w:rPr>
                      <w:rFonts w:ascii="Segoe UI"/>
                      <w:color w:val="452A70"/>
                      <w:spacing w:val="-2"/>
                      <w:sz w:val="20"/>
                    </w:rPr>
                    <w:t>Strait</w:t>
                  </w:r>
                  <w:r>
                    <w:rPr>
                      <w:rFonts w:ascii="Segoe UI"/>
                      <w:color w:val="452A70"/>
                      <w:spacing w:val="28"/>
                      <w:sz w:val="20"/>
                    </w:rPr>
                    <w:t> </w:t>
                  </w:r>
                  <w:r>
                    <w:rPr>
                      <w:rFonts w:ascii="Segoe UI"/>
                      <w:color w:val="452A70"/>
                      <w:spacing w:val="-1"/>
                      <w:sz w:val="20"/>
                    </w:rPr>
                    <w:t>Islander</w:t>
                  </w:r>
                  <w:r>
                    <w:rPr>
                      <w:rFonts w:ascii="Segoe UI"/>
                      <w:color w:val="452A70"/>
                      <w:spacing w:val="-5"/>
                      <w:sz w:val="20"/>
                    </w:rPr>
                    <w:t> </w:t>
                  </w:r>
                  <w:r>
                    <w:rPr>
                      <w:rFonts w:ascii="Segoe UI"/>
                      <w:color w:val="452A70"/>
                      <w:spacing w:val="-1"/>
                      <w:sz w:val="20"/>
                    </w:rPr>
                    <w:t>students</w:t>
                  </w:r>
                  <w:r>
                    <w:rPr>
                      <w:rFonts w:ascii="Segoe UI"/>
                      <w:color w:val="452A70"/>
                      <w:spacing w:val="-4"/>
                      <w:sz w:val="20"/>
                    </w:rPr>
                    <w:t> </w:t>
                  </w:r>
                  <w:r>
                    <w:rPr>
                      <w:rFonts w:ascii="Segoe UI"/>
                      <w:color w:val="452A70"/>
                      <w:sz w:val="20"/>
                    </w:rPr>
                    <w:t>to</w:t>
                  </w:r>
                  <w:r>
                    <w:rPr>
                      <w:rFonts w:ascii="Segoe UI"/>
                      <w:color w:val="452A70"/>
                      <w:spacing w:val="-5"/>
                      <w:sz w:val="20"/>
                    </w:rPr>
                    <w:t> </w:t>
                  </w:r>
                  <w:r>
                    <w:rPr>
                      <w:rFonts w:ascii="Segoe UI"/>
                      <w:color w:val="452A70"/>
                      <w:sz w:val="20"/>
                    </w:rPr>
                    <w:t>assist</w:t>
                  </w:r>
                  <w:r>
                    <w:rPr>
                      <w:rFonts w:ascii="Segoe UI"/>
                      <w:color w:val="452A70"/>
                      <w:spacing w:val="-5"/>
                      <w:sz w:val="20"/>
                    </w:rPr>
                    <w:t> </w:t>
                  </w:r>
                  <w:r>
                    <w:rPr>
                      <w:rFonts w:ascii="Segoe UI"/>
                      <w:color w:val="452A70"/>
                      <w:sz w:val="20"/>
                    </w:rPr>
                    <w:t>government</w:t>
                  </w:r>
                  <w:r>
                    <w:rPr>
                      <w:rFonts w:ascii="Segoe UI"/>
                      <w:color w:val="452A70"/>
                      <w:spacing w:val="-6"/>
                      <w:sz w:val="20"/>
                    </w:rPr>
                    <w:t> </w:t>
                  </w:r>
                  <w:r>
                    <w:rPr>
                      <w:rFonts w:ascii="Segoe UI"/>
                      <w:color w:val="452A70"/>
                      <w:sz w:val="20"/>
                    </w:rPr>
                    <w:t>and</w:t>
                  </w:r>
                  <w:r>
                    <w:rPr>
                      <w:rFonts w:ascii="Segoe UI"/>
                      <w:color w:val="452A70"/>
                      <w:spacing w:val="-5"/>
                      <w:sz w:val="20"/>
                    </w:rPr>
                    <w:t> </w:t>
                  </w:r>
                  <w:r>
                    <w:rPr>
                      <w:rFonts w:ascii="Segoe UI"/>
                      <w:color w:val="452A70"/>
                      <w:sz w:val="20"/>
                    </w:rPr>
                    <w:t>boarding</w:t>
                  </w:r>
                  <w:r>
                    <w:rPr>
                      <w:rFonts w:ascii="Segoe UI"/>
                      <w:color w:val="452A70"/>
                      <w:spacing w:val="-6"/>
                      <w:sz w:val="20"/>
                    </w:rPr>
                    <w:t> </w:t>
                  </w:r>
                  <w:r>
                    <w:rPr>
                      <w:rFonts w:ascii="Segoe UI"/>
                      <w:color w:val="452A70"/>
                      <w:sz w:val="20"/>
                    </w:rPr>
                    <w:t>providers</w:t>
                  </w:r>
                  <w:r>
                    <w:rPr>
                      <w:rFonts w:ascii="Segoe UI"/>
                      <w:color w:val="452A70"/>
                      <w:spacing w:val="-5"/>
                      <w:sz w:val="20"/>
                    </w:rPr>
                    <w:t> </w:t>
                  </w:r>
                  <w:r>
                    <w:rPr>
                      <w:rFonts w:ascii="Segoe UI"/>
                      <w:color w:val="452A70"/>
                      <w:sz w:val="20"/>
                    </w:rPr>
                    <w:t>to</w:t>
                  </w:r>
                  <w:r>
                    <w:rPr>
                      <w:rFonts w:ascii="Segoe UI"/>
                      <w:color w:val="452A70"/>
                      <w:spacing w:val="-5"/>
                      <w:sz w:val="20"/>
                    </w:rPr>
                    <w:t> </w:t>
                  </w:r>
                  <w:r>
                    <w:rPr>
                      <w:rFonts w:ascii="Segoe UI"/>
                      <w:color w:val="452A70"/>
                      <w:spacing w:val="-1"/>
                      <w:sz w:val="20"/>
                    </w:rPr>
                    <w:t>make</w:t>
                  </w:r>
                  <w:r>
                    <w:rPr>
                      <w:rFonts w:ascii="Segoe UI"/>
                      <w:color w:val="452A70"/>
                      <w:spacing w:val="-4"/>
                      <w:sz w:val="20"/>
                    </w:rPr>
                    <w:t> </w:t>
                  </w:r>
                  <w:r>
                    <w:rPr>
                      <w:rFonts w:ascii="Segoe UI"/>
                      <w:color w:val="452A70"/>
                      <w:spacing w:val="-1"/>
                      <w:sz w:val="20"/>
                    </w:rPr>
                    <w:t>informed</w:t>
                  </w:r>
                  <w:r>
                    <w:rPr>
                      <w:rFonts w:ascii="Segoe UI"/>
                      <w:color w:val="452A70"/>
                      <w:spacing w:val="-5"/>
                      <w:sz w:val="20"/>
                    </w:rPr>
                    <w:t> </w:t>
                  </w:r>
                  <w:r>
                    <w:rPr>
                      <w:rFonts w:ascii="Segoe UI"/>
                      <w:color w:val="452A70"/>
                      <w:sz w:val="20"/>
                    </w:rPr>
                    <w:t>decisions</w:t>
                  </w:r>
                  <w:r>
                    <w:rPr>
                      <w:rFonts w:ascii="Segoe UI"/>
                      <w:color w:val="452A70"/>
                      <w:spacing w:val="25"/>
                      <w:sz w:val="20"/>
                    </w:rPr>
                    <w:t> </w:t>
                  </w:r>
                  <w:r>
                    <w:rPr>
                      <w:rFonts w:ascii="Segoe UI"/>
                      <w:color w:val="452A70"/>
                      <w:sz w:val="20"/>
                    </w:rPr>
                    <w:t>about</w:t>
                  </w:r>
                  <w:r>
                    <w:rPr>
                      <w:rFonts w:ascii="Segoe UI"/>
                      <w:color w:val="452A70"/>
                      <w:spacing w:val="-6"/>
                      <w:sz w:val="20"/>
                    </w:rPr>
                    <w:t> </w:t>
                  </w:r>
                  <w:r>
                    <w:rPr>
                      <w:rFonts w:ascii="Segoe UI"/>
                      <w:color w:val="452A70"/>
                      <w:sz w:val="20"/>
                    </w:rPr>
                    <w:t>boarding,</w:t>
                  </w:r>
                  <w:r>
                    <w:rPr>
                      <w:rFonts w:ascii="Segoe UI"/>
                      <w:color w:val="452A70"/>
                      <w:spacing w:val="-5"/>
                      <w:sz w:val="20"/>
                    </w:rPr>
                    <w:t> </w:t>
                  </w:r>
                  <w:r>
                    <w:rPr>
                      <w:rFonts w:ascii="Segoe UI"/>
                      <w:color w:val="452A70"/>
                      <w:sz w:val="20"/>
                    </w:rPr>
                    <w:t>funding</w:t>
                  </w:r>
                  <w:r>
                    <w:rPr>
                      <w:rFonts w:ascii="Segoe UI"/>
                      <w:color w:val="452A70"/>
                      <w:spacing w:val="-4"/>
                      <w:sz w:val="20"/>
                    </w:rPr>
                    <w:t> </w:t>
                  </w:r>
                  <w:r>
                    <w:rPr>
                      <w:rFonts w:ascii="Segoe UI"/>
                      <w:color w:val="452A70"/>
                      <w:sz w:val="20"/>
                    </w:rPr>
                    <w:t>and</w:t>
                  </w:r>
                  <w:r>
                    <w:rPr>
                      <w:rFonts w:ascii="Segoe UI"/>
                      <w:color w:val="452A70"/>
                      <w:spacing w:val="-5"/>
                      <w:sz w:val="20"/>
                    </w:rPr>
                    <w:t> </w:t>
                  </w:r>
                  <w:r>
                    <w:rPr>
                      <w:rFonts w:ascii="Segoe UI"/>
                      <w:color w:val="452A70"/>
                      <w:sz w:val="20"/>
                    </w:rPr>
                    <w:t>policy,</w:t>
                  </w:r>
                  <w:r>
                    <w:rPr>
                      <w:rFonts w:ascii="Segoe UI"/>
                      <w:color w:val="452A70"/>
                      <w:spacing w:val="-5"/>
                      <w:sz w:val="20"/>
                    </w:rPr>
                    <w:t> </w:t>
                  </w:r>
                  <w:r>
                    <w:rPr>
                      <w:rFonts w:ascii="Segoe UI"/>
                      <w:color w:val="452A70"/>
                      <w:spacing w:val="-1"/>
                      <w:sz w:val="20"/>
                    </w:rPr>
                    <w:t>including</w:t>
                  </w:r>
                  <w:r>
                    <w:rPr>
                      <w:rFonts w:ascii="Segoe UI"/>
                      <w:color w:val="452A70"/>
                      <w:spacing w:val="-4"/>
                      <w:sz w:val="20"/>
                    </w:rPr>
                    <w:t> </w:t>
                  </w:r>
                  <w:r>
                    <w:rPr>
                      <w:rFonts w:ascii="Segoe UI"/>
                      <w:color w:val="452A70"/>
                      <w:sz w:val="20"/>
                    </w:rPr>
                    <w:t>but</w:t>
                  </w:r>
                  <w:r>
                    <w:rPr>
                      <w:rFonts w:ascii="Segoe UI"/>
                      <w:color w:val="452A70"/>
                      <w:spacing w:val="-5"/>
                      <w:sz w:val="20"/>
                    </w:rPr>
                    <w:t> </w:t>
                  </w:r>
                  <w:r>
                    <w:rPr>
                      <w:rFonts w:ascii="Segoe UI"/>
                      <w:color w:val="452A70"/>
                      <w:sz w:val="20"/>
                    </w:rPr>
                    <w:t>not</w:t>
                  </w:r>
                  <w:r>
                    <w:rPr>
                      <w:rFonts w:ascii="Segoe UI"/>
                      <w:color w:val="452A70"/>
                      <w:spacing w:val="-4"/>
                      <w:sz w:val="20"/>
                    </w:rPr>
                    <w:t> </w:t>
                  </w:r>
                  <w:r>
                    <w:rPr>
                      <w:rFonts w:ascii="Segoe UI"/>
                      <w:color w:val="452A70"/>
                      <w:spacing w:val="-1"/>
                      <w:sz w:val="20"/>
                    </w:rPr>
                    <w:t>limited</w:t>
                  </w:r>
                  <w:r>
                    <w:rPr>
                      <w:rFonts w:ascii="Segoe UI"/>
                      <w:color w:val="452A70"/>
                      <w:spacing w:val="-4"/>
                      <w:sz w:val="20"/>
                    </w:rPr>
                    <w:t> </w:t>
                  </w:r>
                  <w:r>
                    <w:rPr>
                      <w:rFonts w:ascii="Segoe UI"/>
                      <w:color w:val="452A70"/>
                      <w:sz w:val="20"/>
                    </w:rPr>
                    <w:t>to</w:t>
                  </w:r>
                  <w:r>
                    <w:rPr>
                      <w:rFonts w:ascii="Segoe UI"/>
                      <w:color w:val="452A70"/>
                      <w:spacing w:val="-4"/>
                      <w:sz w:val="20"/>
                    </w:rPr>
                    <w:t> </w:t>
                  </w:r>
                  <w:r>
                    <w:rPr>
                      <w:rFonts w:ascii="Segoe UI"/>
                      <w:color w:val="452A70"/>
                      <w:sz w:val="20"/>
                    </w:rPr>
                    <w:t>expulsion,</w:t>
                  </w:r>
                  <w:r>
                    <w:rPr>
                      <w:rFonts w:ascii="Segoe UI"/>
                      <w:color w:val="452A70"/>
                      <w:spacing w:val="-5"/>
                      <w:sz w:val="20"/>
                    </w:rPr>
                    <w:t> </w:t>
                  </w:r>
                  <w:r>
                    <w:rPr>
                      <w:rFonts w:ascii="Segoe UI"/>
                      <w:color w:val="452A70"/>
                      <w:sz w:val="20"/>
                    </w:rPr>
                    <w:t>exclusion</w:t>
                  </w:r>
                  <w:r>
                    <w:rPr>
                      <w:rFonts w:ascii="Segoe UI"/>
                      <w:color w:val="452A70"/>
                      <w:spacing w:val="-5"/>
                      <w:sz w:val="20"/>
                    </w:rPr>
                    <w:t> </w:t>
                  </w:r>
                  <w:r>
                    <w:rPr>
                      <w:rFonts w:ascii="Segoe UI"/>
                      <w:color w:val="452A70"/>
                      <w:sz w:val="20"/>
                    </w:rPr>
                    <w:t>and</w:t>
                  </w:r>
                  <w:r>
                    <w:rPr>
                      <w:rFonts w:ascii="Segoe UI"/>
                      <w:color w:val="452A70"/>
                      <w:spacing w:val="23"/>
                      <w:w w:val="99"/>
                      <w:sz w:val="20"/>
                    </w:rPr>
                    <w:t> </w:t>
                  </w:r>
                  <w:r>
                    <w:rPr>
                      <w:rFonts w:ascii="Segoe UI"/>
                      <w:color w:val="452A70"/>
                      <w:spacing w:val="-1"/>
                      <w:sz w:val="20"/>
                    </w:rPr>
                    <w:t>suspension</w:t>
                  </w:r>
                  <w:r>
                    <w:rPr>
                      <w:rFonts w:ascii="Segoe UI"/>
                      <w:color w:val="452A70"/>
                      <w:spacing w:val="-4"/>
                      <w:sz w:val="20"/>
                    </w:rPr>
                    <w:t> </w:t>
                  </w:r>
                  <w:r>
                    <w:rPr>
                      <w:rFonts w:ascii="Segoe UI"/>
                      <w:color w:val="452A70"/>
                      <w:sz w:val="20"/>
                    </w:rPr>
                    <w:t>data</w:t>
                  </w:r>
                  <w:r>
                    <w:rPr>
                      <w:rFonts w:ascii="Segoe UI"/>
                      <w:color w:val="452A70"/>
                      <w:spacing w:val="-6"/>
                      <w:sz w:val="20"/>
                    </w:rPr>
                    <w:t> </w:t>
                  </w:r>
                  <w:r>
                    <w:rPr>
                      <w:rFonts w:ascii="Segoe UI"/>
                      <w:color w:val="452A70"/>
                      <w:sz w:val="20"/>
                    </w:rPr>
                    <w:t>and</w:t>
                  </w:r>
                  <w:r>
                    <w:rPr>
                      <w:rFonts w:ascii="Segoe UI"/>
                      <w:color w:val="452A70"/>
                      <w:spacing w:val="-5"/>
                      <w:sz w:val="20"/>
                    </w:rPr>
                    <w:t> </w:t>
                  </w:r>
                  <w:r>
                    <w:rPr>
                      <w:rFonts w:ascii="Segoe UI"/>
                      <w:color w:val="452A70"/>
                      <w:sz w:val="20"/>
                    </w:rPr>
                    <w:t>the</w:t>
                  </w:r>
                  <w:r>
                    <w:rPr>
                      <w:rFonts w:ascii="Segoe UI"/>
                      <w:color w:val="452A70"/>
                      <w:spacing w:val="-6"/>
                      <w:sz w:val="20"/>
                    </w:rPr>
                    <w:t> </w:t>
                  </w:r>
                  <w:r>
                    <w:rPr>
                      <w:rFonts w:ascii="Segoe UI"/>
                      <w:color w:val="452A70"/>
                      <w:spacing w:val="-1"/>
                      <w:sz w:val="20"/>
                    </w:rPr>
                    <w:t>separate</w:t>
                  </w:r>
                  <w:r>
                    <w:rPr>
                      <w:rFonts w:ascii="Segoe UI"/>
                      <w:color w:val="452A70"/>
                      <w:spacing w:val="-3"/>
                      <w:sz w:val="20"/>
                    </w:rPr>
                    <w:t> </w:t>
                  </w:r>
                  <w:r>
                    <w:rPr>
                      <w:rFonts w:ascii="Segoe UI"/>
                      <w:color w:val="452A70"/>
                      <w:sz w:val="20"/>
                    </w:rPr>
                    <w:t>reporting</w:t>
                  </w:r>
                  <w:r>
                    <w:rPr>
                      <w:rFonts w:ascii="Segoe UI"/>
                      <w:color w:val="452A70"/>
                      <w:spacing w:val="-6"/>
                      <w:sz w:val="20"/>
                    </w:rPr>
                    <w:t> </w:t>
                  </w:r>
                  <w:r>
                    <w:rPr>
                      <w:rFonts w:ascii="Segoe UI"/>
                      <w:color w:val="452A70"/>
                      <w:sz w:val="20"/>
                    </w:rPr>
                    <w:t>of</w:t>
                  </w:r>
                  <w:r>
                    <w:rPr>
                      <w:rFonts w:ascii="Segoe UI"/>
                      <w:color w:val="452A70"/>
                      <w:spacing w:val="-5"/>
                      <w:sz w:val="20"/>
                    </w:rPr>
                    <w:t> </w:t>
                  </w:r>
                  <w:r>
                    <w:rPr>
                      <w:rFonts w:ascii="Segoe UI"/>
                      <w:color w:val="452A70"/>
                      <w:sz w:val="20"/>
                    </w:rPr>
                    <w:t>direct</w:t>
                  </w:r>
                  <w:r>
                    <w:rPr>
                      <w:rFonts w:ascii="Segoe UI"/>
                      <w:color w:val="452A70"/>
                      <w:spacing w:val="-5"/>
                      <w:sz w:val="20"/>
                    </w:rPr>
                    <w:t> </w:t>
                  </w:r>
                  <w:r>
                    <w:rPr>
                      <w:rFonts w:ascii="Segoe UI"/>
                      <w:color w:val="452A70"/>
                      <w:sz w:val="20"/>
                    </w:rPr>
                    <w:t>and</w:t>
                  </w:r>
                  <w:r>
                    <w:rPr>
                      <w:rFonts w:ascii="Segoe UI"/>
                      <w:color w:val="452A70"/>
                      <w:spacing w:val="-6"/>
                      <w:sz w:val="20"/>
                    </w:rPr>
                    <w:t> </w:t>
                  </w:r>
                  <w:r>
                    <w:rPr>
                      <w:rFonts w:ascii="Segoe UI"/>
                      <w:color w:val="452A70"/>
                      <w:sz w:val="20"/>
                    </w:rPr>
                    <w:t>attributable</w:t>
                  </w:r>
                  <w:r>
                    <w:rPr>
                      <w:rFonts w:ascii="Segoe UI"/>
                      <w:color w:val="452A70"/>
                      <w:spacing w:val="-5"/>
                      <w:sz w:val="20"/>
                    </w:rPr>
                    <w:t> </w:t>
                  </w:r>
                  <w:r>
                    <w:rPr>
                      <w:rFonts w:ascii="Segoe UI"/>
                      <w:color w:val="452A70"/>
                      <w:sz w:val="20"/>
                    </w:rPr>
                    <w:t>costs</w:t>
                  </w:r>
                  <w:r>
                    <w:rPr>
                      <w:rFonts w:ascii="Segoe UI"/>
                      <w:color w:val="452A70"/>
                      <w:spacing w:val="-6"/>
                      <w:sz w:val="20"/>
                    </w:rPr>
                    <w:t> </w:t>
                  </w:r>
                  <w:r>
                    <w:rPr>
                      <w:rFonts w:ascii="Segoe UI"/>
                      <w:color w:val="452A70"/>
                      <w:sz w:val="20"/>
                    </w:rPr>
                    <w:t>of</w:t>
                  </w:r>
                  <w:r>
                    <w:rPr>
                      <w:rFonts w:ascii="Segoe UI"/>
                      <w:color w:val="452A70"/>
                      <w:spacing w:val="-4"/>
                      <w:sz w:val="20"/>
                    </w:rPr>
                    <w:t> </w:t>
                  </w:r>
                  <w:r>
                    <w:rPr>
                      <w:rFonts w:ascii="Segoe UI"/>
                      <w:color w:val="452A70"/>
                      <w:sz w:val="20"/>
                    </w:rPr>
                    <w:t>boarding</w:t>
                  </w:r>
                  <w:r>
                    <w:rPr>
                      <w:rFonts w:ascii="Segoe UI"/>
                      <w:color w:val="452A70"/>
                      <w:spacing w:val="-5"/>
                      <w:sz w:val="20"/>
                    </w:rPr>
                    <w:t> </w:t>
                  </w:r>
                  <w:r>
                    <w:rPr>
                      <w:rFonts w:ascii="Segoe UI"/>
                      <w:color w:val="452A70"/>
                      <w:spacing w:val="-5"/>
                      <w:sz w:val="20"/>
                    </w:rPr>
                  </w:r>
                  <w:r>
                    <w:rPr>
                      <w:rFonts w:ascii="Segoe UI"/>
                      <w:color w:val="452A70"/>
                      <w:sz w:val="20"/>
                    </w:rPr>
                    <w:t>and</w:t>
                  </w:r>
                  <w:r>
                    <w:rPr>
                      <w:rFonts w:ascii="Segoe UI"/>
                      <w:color w:val="452A70"/>
                      <w:spacing w:val="22"/>
                      <w:sz w:val="20"/>
                    </w:rPr>
                    <w:t> </w:t>
                  </w:r>
                  <w:r>
                    <w:rPr>
                      <w:rFonts w:ascii="Segoe UI"/>
                      <w:color w:val="452A70"/>
                      <w:spacing w:val="-1"/>
                      <w:sz w:val="20"/>
                    </w:rPr>
                    <w:t>support</w:t>
                  </w:r>
                  <w:r>
                    <w:rPr>
                      <w:rFonts w:ascii="Segoe UI"/>
                      <w:color w:val="452A70"/>
                      <w:spacing w:val="-6"/>
                      <w:sz w:val="20"/>
                    </w:rPr>
                    <w:t> </w:t>
                  </w:r>
                  <w:r>
                    <w:rPr>
                      <w:rFonts w:ascii="Segoe UI"/>
                      <w:color w:val="452A70"/>
                      <w:spacing w:val="-1"/>
                      <w:sz w:val="20"/>
                    </w:rPr>
                    <w:t>services.</w:t>
                  </w:r>
                  <w:r>
                    <w:rPr>
                      <w:rFonts w:ascii="Segoe UI"/>
                      <w:color w:val="452A70"/>
                      <w:spacing w:val="-4"/>
                      <w:sz w:val="20"/>
                    </w:rPr>
                    <w:t> </w:t>
                  </w:r>
                  <w:r>
                    <w:rPr>
                      <w:rFonts w:ascii="Segoe UI"/>
                      <w:color w:val="452A70"/>
                      <w:spacing w:val="-1"/>
                      <w:sz w:val="20"/>
                    </w:rPr>
                    <w:t>For</w:t>
                  </w:r>
                  <w:r>
                    <w:rPr>
                      <w:rFonts w:ascii="Segoe UI"/>
                      <w:color w:val="452A70"/>
                      <w:spacing w:val="-6"/>
                      <w:sz w:val="20"/>
                    </w:rPr>
                    <w:t> </w:t>
                  </w:r>
                  <w:r>
                    <w:rPr>
                      <w:rFonts w:ascii="Segoe UI"/>
                      <w:color w:val="452A70"/>
                      <w:sz w:val="20"/>
                    </w:rPr>
                    <w:t>consistency</w:t>
                  </w:r>
                  <w:r>
                    <w:rPr>
                      <w:rFonts w:ascii="Segoe UI"/>
                      <w:color w:val="452A70"/>
                      <w:spacing w:val="-6"/>
                      <w:sz w:val="20"/>
                    </w:rPr>
                    <w:t> </w:t>
                  </w:r>
                  <w:r>
                    <w:rPr>
                      <w:rFonts w:ascii="Segoe UI"/>
                      <w:color w:val="452A70"/>
                      <w:sz w:val="20"/>
                    </w:rPr>
                    <w:t>the</w:t>
                  </w:r>
                  <w:r>
                    <w:rPr>
                      <w:rFonts w:ascii="Segoe UI"/>
                      <w:color w:val="452A70"/>
                      <w:spacing w:val="-6"/>
                      <w:sz w:val="20"/>
                    </w:rPr>
                    <w:t> </w:t>
                  </w:r>
                  <w:r>
                    <w:rPr>
                      <w:rFonts w:ascii="Segoe UI"/>
                      <w:color w:val="452A70"/>
                      <w:sz w:val="20"/>
                    </w:rPr>
                    <w:t>data,</w:t>
                  </w:r>
                  <w:r>
                    <w:rPr>
                      <w:rFonts w:ascii="Segoe UI"/>
                      <w:color w:val="452A70"/>
                      <w:spacing w:val="-7"/>
                      <w:sz w:val="20"/>
                    </w:rPr>
                    <w:t> </w:t>
                  </w:r>
                  <w:r>
                    <w:rPr>
                      <w:rFonts w:ascii="Segoe UI"/>
                      <w:color w:val="452A70"/>
                      <w:spacing w:val="-1"/>
                      <w:sz w:val="20"/>
                    </w:rPr>
                    <w:t>including</w:t>
                  </w:r>
                  <w:r>
                    <w:rPr>
                      <w:rFonts w:ascii="Segoe UI"/>
                      <w:color w:val="452A70"/>
                      <w:spacing w:val="-5"/>
                      <w:sz w:val="20"/>
                    </w:rPr>
                    <w:t> </w:t>
                  </w:r>
                  <w:r>
                    <w:rPr>
                      <w:rFonts w:ascii="Segoe UI"/>
                      <w:color w:val="452A70"/>
                      <w:sz w:val="20"/>
                    </w:rPr>
                    <w:t>for</w:t>
                  </w:r>
                  <w:r>
                    <w:rPr>
                      <w:rFonts w:ascii="Segoe UI"/>
                      <w:color w:val="452A70"/>
                      <w:spacing w:val="-6"/>
                      <w:sz w:val="20"/>
                    </w:rPr>
                    <w:t> </w:t>
                  </w:r>
                  <w:r>
                    <w:rPr>
                      <w:rFonts w:ascii="Segoe UI"/>
                      <w:color w:val="452A70"/>
                      <w:spacing w:val="-1"/>
                      <w:sz w:val="20"/>
                    </w:rPr>
                    <w:t>standalone</w:t>
                  </w:r>
                  <w:r>
                    <w:rPr>
                      <w:rFonts w:ascii="Segoe UI"/>
                      <w:color w:val="452A70"/>
                      <w:spacing w:val="-4"/>
                      <w:sz w:val="20"/>
                    </w:rPr>
                    <w:t> </w:t>
                  </w:r>
                  <w:r>
                    <w:rPr>
                      <w:rFonts w:ascii="Segoe UI"/>
                      <w:color w:val="452A70"/>
                      <w:sz w:val="20"/>
                    </w:rPr>
                    <w:t>boarding</w:t>
                  </w:r>
                  <w:r>
                    <w:rPr>
                      <w:rFonts w:ascii="Segoe UI"/>
                      <w:color w:val="452A70"/>
                      <w:spacing w:val="-6"/>
                      <w:sz w:val="20"/>
                    </w:rPr>
                    <w:t> </w:t>
                  </w:r>
                  <w:r>
                    <w:rPr>
                      <w:rFonts w:ascii="Segoe UI"/>
                      <w:color w:val="452A70"/>
                      <w:sz w:val="20"/>
                    </w:rPr>
                    <w:t>providers,</w:t>
                  </w:r>
                  <w:r>
                    <w:rPr>
                      <w:rFonts w:ascii="Segoe UI"/>
                      <w:color w:val="452A70"/>
                      <w:spacing w:val="26"/>
                      <w:w w:val="99"/>
                      <w:sz w:val="20"/>
                    </w:rPr>
                    <w:t> </w:t>
                  </w:r>
                  <w:r>
                    <w:rPr>
                      <w:rFonts w:ascii="Segoe UI"/>
                      <w:color w:val="452A70"/>
                      <w:spacing w:val="-1"/>
                      <w:sz w:val="20"/>
                    </w:rPr>
                    <w:t>should</w:t>
                  </w:r>
                  <w:r>
                    <w:rPr>
                      <w:rFonts w:ascii="Segoe UI"/>
                      <w:color w:val="452A70"/>
                      <w:spacing w:val="-5"/>
                      <w:sz w:val="20"/>
                    </w:rPr>
                    <w:t> </w:t>
                  </w:r>
                  <w:r>
                    <w:rPr>
                      <w:rFonts w:ascii="Segoe UI"/>
                      <w:color w:val="452A70"/>
                      <w:sz w:val="20"/>
                    </w:rPr>
                    <w:t>be</w:t>
                  </w:r>
                  <w:r>
                    <w:rPr>
                      <w:rFonts w:ascii="Segoe UI"/>
                      <w:color w:val="452A70"/>
                      <w:spacing w:val="-5"/>
                      <w:sz w:val="20"/>
                    </w:rPr>
                    <w:t> </w:t>
                  </w:r>
                  <w:r>
                    <w:rPr>
                      <w:rFonts w:ascii="Segoe UI"/>
                      <w:color w:val="452A70"/>
                      <w:sz w:val="20"/>
                    </w:rPr>
                    <w:t>provided</w:t>
                  </w:r>
                  <w:r>
                    <w:rPr>
                      <w:rFonts w:ascii="Segoe UI"/>
                      <w:color w:val="452A70"/>
                      <w:spacing w:val="-6"/>
                      <w:sz w:val="20"/>
                    </w:rPr>
                    <w:t> </w:t>
                  </w:r>
                  <w:r>
                    <w:rPr>
                      <w:rFonts w:ascii="Segoe UI"/>
                      <w:color w:val="452A70"/>
                      <w:sz w:val="20"/>
                    </w:rPr>
                    <w:t>to</w:t>
                  </w:r>
                  <w:r>
                    <w:rPr>
                      <w:rFonts w:ascii="Segoe UI"/>
                      <w:color w:val="452A70"/>
                      <w:spacing w:val="-5"/>
                      <w:sz w:val="20"/>
                    </w:rPr>
                    <w:t> </w:t>
                  </w:r>
                  <w:r>
                    <w:rPr>
                      <w:rFonts w:ascii="Segoe UI"/>
                      <w:color w:val="452A70"/>
                      <w:sz w:val="20"/>
                    </w:rPr>
                    <w:t>the</w:t>
                  </w:r>
                  <w:r>
                    <w:rPr>
                      <w:rFonts w:ascii="Segoe UI"/>
                      <w:color w:val="452A70"/>
                      <w:spacing w:val="-5"/>
                      <w:sz w:val="20"/>
                    </w:rPr>
                    <w:t> </w:t>
                  </w:r>
                  <w:r>
                    <w:rPr>
                      <w:rFonts w:ascii="Segoe UI"/>
                      <w:color w:val="452A70"/>
                      <w:spacing w:val="-1"/>
                      <w:sz w:val="20"/>
                    </w:rPr>
                    <w:t>Department</w:t>
                  </w:r>
                  <w:r>
                    <w:rPr>
                      <w:rFonts w:ascii="Segoe UI"/>
                      <w:color w:val="452A70"/>
                      <w:spacing w:val="-5"/>
                      <w:sz w:val="20"/>
                    </w:rPr>
                    <w:t> </w:t>
                  </w:r>
                  <w:r>
                    <w:rPr>
                      <w:rFonts w:ascii="Segoe UI"/>
                      <w:color w:val="452A70"/>
                      <w:sz w:val="20"/>
                    </w:rPr>
                    <w:t>of</w:t>
                  </w:r>
                  <w:r>
                    <w:rPr>
                      <w:rFonts w:ascii="Segoe UI"/>
                      <w:color w:val="452A70"/>
                      <w:spacing w:val="-5"/>
                      <w:sz w:val="20"/>
                    </w:rPr>
                    <w:t> </w:t>
                  </w:r>
                  <w:r>
                    <w:rPr>
                      <w:rFonts w:ascii="Segoe UI"/>
                      <w:color w:val="452A70"/>
                      <w:sz w:val="20"/>
                    </w:rPr>
                    <w:t>Education</w:t>
                  </w:r>
                  <w:r>
                    <w:rPr>
                      <w:rFonts w:ascii="Segoe UI"/>
                      <w:color w:val="452A70"/>
                      <w:spacing w:val="-6"/>
                      <w:sz w:val="20"/>
                    </w:rPr>
                    <w:t> </w:t>
                  </w:r>
                  <w:r>
                    <w:rPr>
                      <w:rFonts w:ascii="Segoe UI"/>
                      <w:color w:val="452A70"/>
                      <w:sz w:val="20"/>
                    </w:rPr>
                    <w:t>and</w:t>
                  </w:r>
                  <w:r>
                    <w:rPr>
                      <w:rFonts w:ascii="Segoe UI"/>
                      <w:color w:val="452A70"/>
                      <w:spacing w:val="-6"/>
                      <w:sz w:val="20"/>
                    </w:rPr>
                    <w:t> </w:t>
                  </w:r>
                  <w:r>
                    <w:rPr>
                      <w:rFonts w:ascii="Segoe UI"/>
                      <w:color w:val="452A70"/>
                      <w:spacing w:val="-3"/>
                      <w:sz w:val="20"/>
                    </w:rPr>
                    <w:t>Training</w:t>
                  </w:r>
                  <w:r>
                    <w:rPr>
                      <w:rFonts w:ascii="Segoe UI"/>
                      <w:color w:val="452A70"/>
                      <w:spacing w:val="-5"/>
                      <w:sz w:val="20"/>
                    </w:rPr>
                    <w:t> </w:t>
                  </w:r>
                  <w:r>
                    <w:rPr>
                      <w:rFonts w:ascii="Segoe UI"/>
                      <w:color w:val="452A70"/>
                      <w:sz w:val="20"/>
                    </w:rPr>
                    <w:t>to</w:t>
                  </w:r>
                  <w:r>
                    <w:rPr>
                      <w:rFonts w:ascii="Segoe UI"/>
                      <w:color w:val="452A70"/>
                      <w:spacing w:val="-5"/>
                      <w:sz w:val="20"/>
                    </w:rPr>
                    <w:t> </w:t>
                  </w:r>
                  <w:r>
                    <w:rPr>
                      <w:rFonts w:ascii="Segoe UI"/>
                      <w:color w:val="452A70"/>
                      <w:sz w:val="20"/>
                    </w:rPr>
                    <w:t>develop</w:t>
                  </w:r>
                  <w:r>
                    <w:rPr>
                      <w:rFonts w:ascii="Segoe UI"/>
                      <w:color w:val="452A70"/>
                      <w:spacing w:val="-6"/>
                      <w:sz w:val="20"/>
                    </w:rPr>
                    <w:t> </w:t>
                  </w:r>
                  <w:r>
                    <w:rPr>
                      <w:rFonts w:ascii="Segoe UI"/>
                      <w:color w:val="452A70"/>
                      <w:sz w:val="20"/>
                    </w:rPr>
                    <w:t>a</w:t>
                  </w:r>
                  <w:r>
                    <w:rPr>
                      <w:rFonts w:ascii="Segoe UI"/>
                      <w:color w:val="452A70"/>
                      <w:spacing w:val="-5"/>
                      <w:sz w:val="20"/>
                    </w:rPr>
                    <w:t> </w:t>
                  </w:r>
                  <w:r>
                    <w:rPr>
                      <w:rFonts w:ascii="Segoe UI"/>
                      <w:color w:val="452A70"/>
                      <w:sz w:val="20"/>
                    </w:rPr>
                    <w:t>central</w:t>
                  </w:r>
                  <w:r>
                    <w:rPr>
                      <w:rFonts w:ascii="Segoe UI"/>
                      <w:color w:val="452A70"/>
                      <w:spacing w:val="28"/>
                      <w:w w:val="99"/>
                      <w:sz w:val="20"/>
                    </w:rPr>
                    <w:t> </w:t>
                  </w:r>
                  <w:r>
                    <w:rPr>
                      <w:rFonts w:ascii="Segoe UI"/>
                      <w:color w:val="452A70"/>
                      <w:sz w:val="20"/>
                    </w:rPr>
                    <w:t>repository</w:t>
                  </w:r>
                  <w:r>
                    <w:rPr>
                      <w:rFonts w:ascii="Segoe UI"/>
                      <w:color w:val="452A70"/>
                      <w:spacing w:val="-9"/>
                      <w:sz w:val="20"/>
                    </w:rPr>
                    <w:t> </w:t>
                  </w:r>
                  <w:r>
                    <w:rPr>
                      <w:rFonts w:ascii="Segoe UI"/>
                      <w:color w:val="452A70"/>
                      <w:sz w:val="20"/>
                    </w:rPr>
                    <w:t>of</w:t>
                  </w:r>
                  <w:r>
                    <w:rPr>
                      <w:rFonts w:ascii="Segoe UI"/>
                      <w:color w:val="452A70"/>
                      <w:spacing w:val="-8"/>
                      <w:sz w:val="20"/>
                    </w:rPr>
                    <w:t> </w:t>
                  </w:r>
                  <w:r>
                    <w:rPr>
                      <w:rFonts w:ascii="Segoe UI"/>
                      <w:color w:val="452A70"/>
                      <w:sz w:val="20"/>
                    </w:rPr>
                    <w:t>data</w:t>
                  </w:r>
                  <w:r>
                    <w:rPr>
                      <w:rFonts w:ascii="Segoe UI"/>
                      <w:color w:val="452A70"/>
                      <w:spacing w:val="-8"/>
                      <w:sz w:val="20"/>
                    </w:rPr>
                    <w:t> </w:t>
                  </w:r>
                  <w:r>
                    <w:rPr>
                      <w:rFonts w:ascii="Segoe UI"/>
                      <w:color w:val="452A70"/>
                      <w:sz w:val="20"/>
                    </w:rPr>
                    <w:t>regarding</w:t>
                  </w:r>
                  <w:r>
                    <w:rPr>
                      <w:rFonts w:ascii="Segoe UI"/>
                      <w:color w:val="452A70"/>
                      <w:spacing w:val="-8"/>
                      <w:sz w:val="20"/>
                    </w:rPr>
                    <w:t> </w:t>
                  </w:r>
                  <w:r>
                    <w:rPr>
                      <w:rFonts w:ascii="Segoe UI"/>
                      <w:color w:val="452A70"/>
                      <w:sz w:val="20"/>
                    </w:rPr>
                    <w:t>boarders</w:t>
                  </w:r>
                  <w:r>
                    <w:rPr>
                      <w:rFonts w:ascii="Segoe UI"/>
                      <w:color w:val="452A70"/>
                      <w:spacing w:val="-8"/>
                      <w:sz w:val="20"/>
                    </w:rPr>
                    <w:t> </w:t>
                  </w:r>
                  <w:r>
                    <w:rPr>
                      <w:rFonts w:ascii="Segoe UI"/>
                      <w:color w:val="452A70"/>
                      <w:sz w:val="20"/>
                    </w:rPr>
                    <w:t>and</w:t>
                  </w:r>
                  <w:r>
                    <w:rPr>
                      <w:rFonts w:ascii="Segoe UI"/>
                      <w:color w:val="452A70"/>
                      <w:spacing w:val="-8"/>
                      <w:sz w:val="20"/>
                    </w:rPr>
                    <w:t> </w:t>
                  </w:r>
                  <w:r>
                    <w:rPr>
                      <w:rFonts w:ascii="Segoe UI"/>
                      <w:color w:val="452A70"/>
                      <w:sz w:val="20"/>
                    </w:rPr>
                    <w:t>boarding.</w:t>
                  </w:r>
                  <w:r>
                    <w:rPr>
                      <w:rFonts w:ascii="Segoe UI"/>
                      <w:sz w:val="20"/>
                    </w:rPr>
                  </w:r>
                </w:p>
              </w:txbxContent>
            </v:textbox>
            <v:fill type="solid"/>
            <v:stroke dashstyle="dash"/>
            <w10:wrap type="none"/>
          </v:shape>
        </w:pict>
      </w:r>
      <w:r>
        <w:rPr>
          <w:rFonts w:ascii="Segoe UI" w:hAnsi="Segoe UI" w:cs="Segoe UI" w:eastAsia="Segoe UI"/>
          <w:sz w:val="20"/>
          <w:szCs w:val="20"/>
        </w:rPr>
      </w:r>
    </w:p>
    <w:p>
      <w:pPr>
        <w:spacing w:after="0" w:line="200" w:lineRule="atLeast"/>
        <w:rPr>
          <w:rFonts w:ascii="Segoe UI" w:hAnsi="Segoe UI" w:cs="Segoe UI" w:eastAsia="Segoe UI"/>
          <w:sz w:val="20"/>
          <w:szCs w:val="20"/>
        </w:rPr>
        <w:sectPr>
          <w:type w:val="continuous"/>
          <w:pgSz w:w="11910" w:h="16840"/>
          <w:pgMar w:top="1580" w:bottom="280" w:left="1300" w:right="1560"/>
        </w:sectPr>
      </w:pPr>
    </w:p>
    <w:p>
      <w:pPr>
        <w:spacing w:line="240" w:lineRule="auto" w:before="0"/>
        <w:rPr>
          <w:rFonts w:ascii="Segoe UI" w:hAnsi="Segoe UI" w:cs="Segoe UI" w:eastAsia="Segoe UI"/>
          <w:sz w:val="20"/>
          <w:szCs w:val="20"/>
        </w:rPr>
      </w:pPr>
    </w:p>
    <w:p>
      <w:pPr>
        <w:spacing w:after="0" w:line="240" w:lineRule="auto"/>
        <w:rPr>
          <w:rFonts w:ascii="Segoe UI" w:hAnsi="Segoe UI" w:cs="Segoe UI" w:eastAsia="Segoe UI"/>
          <w:sz w:val="20"/>
          <w:szCs w:val="20"/>
        </w:rPr>
        <w:sectPr>
          <w:pgSz w:w="11910" w:h="16840"/>
          <w:pgMar w:header="0" w:footer="691" w:top="1580" w:bottom="880" w:left="1600" w:right="1260"/>
        </w:sectPr>
      </w:pPr>
    </w:p>
    <w:p>
      <w:pPr>
        <w:spacing w:line="240" w:lineRule="auto" w:before="8"/>
        <w:rPr>
          <w:rFonts w:ascii="Segoe UI" w:hAnsi="Segoe UI" w:cs="Segoe UI" w:eastAsia="Segoe UI"/>
          <w:sz w:val="15"/>
          <w:szCs w:val="15"/>
        </w:rPr>
      </w:pPr>
    </w:p>
    <w:p>
      <w:pPr>
        <w:pStyle w:val="BodyText"/>
        <w:spacing w:line="250" w:lineRule="exact"/>
        <w:ind w:left="100" w:right="31"/>
        <w:jc w:val="left"/>
      </w:pPr>
      <w:r>
        <w:rPr>
          <w:color w:val="231F20"/>
          <w:spacing w:val="-1"/>
        </w:rPr>
        <w:t>From</w:t>
      </w:r>
      <w:r>
        <w:rPr>
          <w:color w:val="231F20"/>
          <w:spacing w:val="-7"/>
        </w:rPr>
        <w:t> </w:t>
      </w:r>
      <w:r>
        <w:rPr>
          <w:color w:val="231F20"/>
        </w:rPr>
        <w:t>the</w:t>
      </w:r>
      <w:r>
        <w:rPr>
          <w:color w:val="231F20"/>
          <w:spacing w:val="-7"/>
        </w:rPr>
        <w:t> </w:t>
      </w:r>
      <w:r>
        <w:rPr>
          <w:color w:val="231F20"/>
        </w:rPr>
        <w:t>perspective</w:t>
      </w:r>
      <w:r>
        <w:rPr>
          <w:color w:val="231F20"/>
          <w:spacing w:val="-7"/>
        </w:rPr>
        <w:t> </w:t>
      </w:r>
      <w:r>
        <w:rPr>
          <w:color w:val="231F20"/>
        </w:rPr>
        <w:t>of</w:t>
      </w:r>
      <w:r>
        <w:rPr>
          <w:color w:val="231F20"/>
          <w:spacing w:val="-7"/>
        </w:rPr>
        <w:t> </w:t>
      </w:r>
      <w:r>
        <w:rPr>
          <w:color w:val="231F20"/>
        </w:rPr>
        <w:t>boarding</w:t>
      </w:r>
      <w:r>
        <w:rPr>
          <w:color w:val="231F20"/>
          <w:spacing w:val="-7"/>
        </w:rPr>
        <w:t> </w:t>
      </w:r>
      <w:r>
        <w:rPr>
          <w:color w:val="231F20"/>
        </w:rPr>
        <w:t>providers,</w:t>
      </w:r>
      <w:r>
        <w:rPr>
          <w:color w:val="231F20"/>
          <w:spacing w:val="21"/>
          <w:w w:val="99"/>
        </w:rPr>
        <w:t> </w:t>
      </w:r>
      <w:r>
        <w:rPr>
          <w:color w:val="231F20"/>
        </w:rPr>
        <w:t>the</w:t>
      </w:r>
      <w:r>
        <w:rPr>
          <w:color w:val="231F20"/>
          <w:spacing w:val="-6"/>
        </w:rPr>
        <w:t> </w:t>
      </w:r>
      <w:r>
        <w:rPr>
          <w:color w:val="231F20"/>
        </w:rPr>
        <w:t>objective</w:t>
      </w:r>
      <w:r>
        <w:rPr>
          <w:color w:val="231F20"/>
          <w:spacing w:val="-5"/>
        </w:rPr>
        <w:t> </w:t>
      </w:r>
      <w:r>
        <w:rPr>
          <w:color w:val="231F20"/>
        </w:rPr>
        <w:t>of</w:t>
      </w:r>
      <w:r>
        <w:rPr>
          <w:color w:val="231F20"/>
          <w:spacing w:val="-4"/>
        </w:rPr>
        <w:t> </w:t>
      </w:r>
      <w:r>
        <w:rPr>
          <w:color w:val="231F20"/>
        </w:rPr>
        <w:t>boarding</w:t>
      </w:r>
      <w:r>
        <w:rPr>
          <w:color w:val="231F20"/>
          <w:spacing w:val="-5"/>
        </w:rPr>
        <w:t> </w:t>
      </w:r>
      <w:r>
        <w:rPr>
          <w:color w:val="231F20"/>
          <w:spacing w:val="-1"/>
        </w:rPr>
        <w:t>is</w:t>
      </w:r>
      <w:r>
        <w:rPr>
          <w:color w:val="231F20"/>
          <w:spacing w:val="-5"/>
        </w:rPr>
        <w:t> </w:t>
      </w:r>
      <w:r>
        <w:rPr>
          <w:color w:val="231F20"/>
        </w:rPr>
        <w:t>not</w:t>
      </w:r>
      <w:r>
        <w:rPr>
          <w:color w:val="231F20"/>
          <w:spacing w:val="-4"/>
        </w:rPr>
        <w:t> </w:t>
      </w:r>
      <w:r>
        <w:rPr>
          <w:color w:val="231F20"/>
          <w:spacing w:val="-1"/>
        </w:rPr>
        <w:t>just</w:t>
      </w:r>
      <w:r>
        <w:rPr>
          <w:color w:val="231F20"/>
          <w:spacing w:val="-4"/>
        </w:rPr>
        <w:t> </w:t>
      </w:r>
      <w:r>
        <w:rPr>
          <w:color w:val="231F20"/>
        </w:rPr>
        <w:t>about</w:t>
      </w:r>
      <w:r>
        <w:rPr>
          <w:color w:val="231F20"/>
          <w:spacing w:val="22"/>
          <w:w w:val="99"/>
        </w:rPr>
        <w:t> </w:t>
      </w:r>
      <w:r>
        <w:rPr>
          <w:color w:val="231F20"/>
        </w:rPr>
        <w:t>achieving</w:t>
      </w:r>
      <w:r>
        <w:rPr>
          <w:color w:val="231F20"/>
          <w:spacing w:val="-7"/>
        </w:rPr>
        <w:t> </w:t>
      </w:r>
      <w:r>
        <w:rPr>
          <w:color w:val="231F20"/>
        </w:rPr>
        <w:t>equity</w:t>
      </w:r>
      <w:r>
        <w:rPr>
          <w:color w:val="231F20"/>
          <w:spacing w:val="-6"/>
        </w:rPr>
        <w:t> </w:t>
      </w:r>
      <w:r>
        <w:rPr>
          <w:color w:val="231F20"/>
          <w:spacing w:val="-1"/>
        </w:rPr>
        <w:t>in</w:t>
      </w:r>
      <w:r>
        <w:rPr>
          <w:color w:val="231F20"/>
          <w:spacing w:val="-5"/>
        </w:rPr>
        <w:t> </w:t>
      </w:r>
      <w:r>
        <w:rPr>
          <w:color w:val="231F20"/>
        </w:rPr>
        <w:t>educational</w:t>
      </w:r>
      <w:r>
        <w:rPr>
          <w:color w:val="231F20"/>
          <w:spacing w:val="-7"/>
        </w:rPr>
        <w:t> </w:t>
      </w:r>
      <w:r>
        <w:rPr>
          <w:color w:val="231F20"/>
        </w:rPr>
        <w:t>outcomes</w:t>
      </w:r>
      <w:r>
        <w:rPr>
          <w:color w:val="231F20"/>
          <w:spacing w:val="-6"/>
        </w:rPr>
        <w:t> </w:t>
      </w:r>
      <w:r>
        <w:rPr>
          <w:color w:val="231F20"/>
        </w:rPr>
        <w:t>for</w:t>
      </w:r>
      <w:r>
        <w:rPr>
          <w:color w:val="231F20"/>
          <w:spacing w:val="21"/>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8"/>
        </w:rPr>
        <w:t> </w:t>
      </w:r>
      <w:r>
        <w:rPr>
          <w:color w:val="231F20"/>
          <w:spacing w:val="-1"/>
        </w:rPr>
        <w:t>Islander</w:t>
      </w:r>
      <w:r>
        <w:rPr>
          <w:color w:val="231F20"/>
          <w:spacing w:val="-6"/>
        </w:rPr>
        <w:t> </w:t>
      </w:r>
      <w:r>
        <w:rPr>
          <w:color w:val="231F20"/>
          <w:spacing w:val="-1"/>
        </w:rPr>
        <w:t>secondary</w:t>
      </w:r>
      <w:r>
        <w:rPr>
          <w:color w:val="231F20"/>
          <w:spacing w:val="20"/>
          <w:w w:val="99"/>
        </w:rPr>
        <w:t> </w:t>
      </w:r>
      <w:r>
        <w:rPr>
          <w:color w:val="231F20"/>
          <w:spacing w:val="-1"/>
        </w:rPr>
        <w:t>students.</w:t>
      </w:r>
      <w:r>
        <w:rPr>
          <w:color w:val="231F20"/>
          <w:spacing w:val="-3"/>
        </w:rPr>
        <w:t> </w:t>
      </w:r>
      <w:r>
        <w:rPr>
          <w:color w:val="231F20"/>
          <w:spacing w:val="-1"/>
        </w:rPr>
        <w:t>It</w:t>
      </w:r>
      <w:r>
        <w:rPr>
          <w:color w:val="231F20"/>
          <w:spacing w:val="-4"/>
        </w:rPr>
        <w:t> </w:t>
      </w:r>
      <w:r>
        <w:rPr>
          <w:color w:val="231F20"/>
          <w:spacing w:val="-1"/>
        </w:rPr>
        <w:t>is</w:t>
      </w:r>
      <w:r>
        <w:rPr>
          <w:color w:val="231F20"/>
          <w:spacing w:val="-4"/>
        </w:rPr>
        <w:t> </w:t>
      </w:r>
      <w:r>
        <w:rPr>
          <w:color w:val="231F20"/>
        </w:rPr>
        <w:t>also</w:t>
      </w:r>
      <w:r>
        <w:rPr>
          <w:color w:val="231F20"/>
          <w:spacing w:val="-5"/>
        </w:rPr>
        <w:t> </w:t>
      </w:r>
      <w:r>
        <w:rPr>
          <w:color w:val="231F20"/>
        </w:rPr>
        <w:t>about</w:t>
      </w:r>
      <w:r>
        <w:rPr>
          <w:color w:val="231F20"/>
          <w:spacing w:val="-5"/>
        </w:rPr>
        <w:t> </w:t>
      </w:r>
      <w:r>
        <w:rPr>
          <w:color w:val="231F20"/>
        </w:rPr>
        <w:t>preparing</w:t>
      </w:r>
      <w:r>
        <w:rPr>
          <w:color w:val="231F20"/>
          <w:spacing w:val="-4"/>
        </w:rPr>
        <w:t> </w:t>
      </w:r>
      <w:r>
        <w:rPr>
          <w:color w:val="231F20"/>
          <w:spacing w:val="-1"/>
        </w:rPr>
        <w:t>students</w:t>
      </w:r>
      <w:r>
        <w:rPr>
          <w:color w:val="231F20"/>
          <w:spacing w:val="-4"/>
        </w:rPr>
        <w:t> </w:t>
      </w:r>
      <w:r>
        <w:rPr>
          <w:color w:val="231F20"/>
        </w:rPr>
        <w:t>for</w:t>
      </w:r>
      <w:r>
        <w:rPr>
          <w:color w:val="231F20"/>
          <w:spacing w:val="25"/>
          <w:w w:val="99"/>
        </w:rPr>
        <w:t> </w:t>
      </w:r>
      <w:r>
        <w:rPr>
          <w:color w:val="231F20"/>
          <w:spacing w:val="-1"/>
        </w:rPr>
        <w:t>life</w:t>
      </w:r>
      <w:r>
        <w:rPr>
          <w:color w:val="231F20"/>
          <w:spacing w:val="-3"/>
        </w:rPr>
        <w:t> </w:t>
      </w:r>
      <w:r>
        <w:rPr>
          <w:color w:val="231F20"/>
        </w:rPr>
        <w:t>after</w:t>
      </w:r>
      <w:r>
        <w:rPr>
          <w:color w:val="231F20"/>
          <w:spacing w:val="-3"/>
        </w:rPr>
        <w:t> </w:t>
      </w:r>
      <w:r>
        <w:rPr>
          <w:color w:val="231F20"/>
          <w:spacing w:val="-1"/>
        </w:rPr>
        <w:t>school.</w:t>
      </w:r>
      <w:r>
        <w:rPr/>
      </w:r>
    </w:p>
    <w:p>
      <w:pPr>
        <w:pStyle w:val="BodyText"/>
        <w:spacing w:line="250" w:lineRule="exact" w:before="113"/>
        <w:ind w:left="554" w:right="254"/>
        <w:jc w:val="left"/>
        <w:rPr>
          <w:rFonts w:ascii="Segoe UI Semibold" w:hAnsi="Segoe UI Semibold" w:cs="Segoe UI Semibold" w:eastAsia="Segoe UI Semibold"/>
        </w:rPr>
      </w:pPr>
      <w:r>
        <w:rPr>
          <w:rFonts w:ascii="Segoe UI Semibold" w:hAnsi="Segoe UI Semibold" w:cs="Segoe UI Semibold" w:eastAsia="Segoe UI Semibold"/>
          <w:b/>
          <w:bCs/>
          <w:color w:val="00779B"/>
        </w:rPr>
        <w:t>The</w:t>
      </w:r>
      <w:r>
        <w:rPr>
          <w:rFonts w:ascii="Segoe UI Semibold" w:hAnsi="Segoe UI Semibold" w:cs="Segoe UI Semibold" w:eastAsia="Segoe UI Semibold"/>
          <w:b/>
          <w:bCs/>
          <w:color w:val="00779B"/>
          <w:spacing w:val="-1"/>
        </w:rPr>
        <w:t> school</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motto is</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“Because</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we</w:t>
      </w:r>
      <w:r>
        <w:rPr>
          <w:rFonts w:ascii="Segoe UI Semibold" w:hAnsi="Segoe UI Semibold" w:cs="Segoe UI Semibold" w:eastAsia="Segoe UI Semibold"/>
          <w:b/>
          <w:bCs/>
          <w:color w:val="00779B"/>
          <w:spacing w:val="28"/>
        </w:rPr>
        <w:t> </w:t>
      </w:r>
      <w:r>
        <w:rPr>
          <w:rFonts w:ascii="Segoe UI Semibold" w:hAnsi="Segoe UI Semibold" w:cs="Segoe UI Semibold" w:eastAsia="Segoe UI Semibold"/>
          <w:b/>
          <w:bCs/>
          <w:color w:val="00779B"/>
          <w:spacing w:val="-3"/>
        </w:rPr>
        <w:t>care”.</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3"/>
        </w:rPr>
        <w:t>We</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spacing w:val="2"/>
        </w:rPr>
        <w:t>try</w:t>
      </w:r>
      <w:r>
        <w:rPr>
          <w:rFonts w:ascii="Segoe UI Semibold" w:hAnsi="Segoe UI Semibold" w:cs="Segoe UI Semibold" w:eastAsia="Segoe UI Semibold"/>
          <w:b/>
          <w:bCs/>
          <w:color w:val="00779B"/>
          <w:spacing w:val="-1"/>
        </w:rPr>
        <w:t> to</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implement</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this</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in</w:t>
      </w:r>
      <w:r>
        <w:rPr>
          <w:rFonts w:ascii="Segoe UI Semibold" w:hAnsi="Segoe UI Semibold" w:cs="Segoe UI Semibold" w:eastAsia="Segoe UI Semibold"/>
          <w:b/>
          <w:bCs/>
          <w:color w:val="00779B"/>
          <w:spacing w:val="26"/>
        </w:rPr>
        <w:t> </w:t>
      </w:r>
      <w:r>
        <w:rPr>
          <w:rFonts w:ascii="Segoe UI Semibold" w:hAnsi="Segoe UI Semibold" w:cs="Segoe UI Semibold" w:eastAsia="Segoe UI Semibold"/>
          <w:b/>
          <w:bCs/>
          <w:color w:val="00779B"/>
        </w:rPr>
        <w:t>everything</w:t>
      </w:r>
      <w:r>
        <w:rPr>
          <w:rFonts w:ascii="Segoe UI Semibold" w:hAnsi="Segoe UI Semibold" w:cs="Segoe UI Semibold" w:eastAsia="Segoe UI Semibold"/>
          <w:b/>
          <w:bCs/>
          <w:color w:val="00779B"/>
          <w:spacing w:val="-1"/>
        </w:rPr>
        <w:t> we</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do</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at</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Marrara </w:t>
      </w:r>
      <w:r>
        <w:rPr>
          <w:rFonts w:ascii="Segoe UI Semibold" w:hAnsi="Segoe UI Semibold" w:cs="Segoe UI Semibold" w:eastAsia="Segoe UI Semibold"/>
          <w:b/>
          <w:bCs/>
          <w:color w:val="00779B"/>
        </w:rPr>
        <w:t>and</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NT</w:t>
      </w:r>
      <w:r>
        <w:rPr>
          <w:rFonts w:ascii="Segoe UI Semibold" w:hAnsi="Segoe UI Semibold" w:cs="Segoe UI Semibold" w:eastAsia="Segoe UI Semibold"/>
          <w:b/>
          <w:bCs/>
          <w:color w:val="00779B"/>
          <w:spacing w:val="22"/>
          <w:w w:val="99"/>
        </w:rPr>
        <w:t> </w:t>
      </w:r>
      <w:r>
        <w:rPr>
          <w:rFonts w:ascii="Segoe UI Semibold" w:hAnsi="Segoe UI Semibold" w:cs="Segoe UI Semibold" w:eastAsia="Segoe UI Semibold"/>
          <w:b/>
          <w:bCs/>
          <w:color w:val="00779B"/>
        </w:rPr>
        <w:t>Christian College. It is not just about</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rPr>
        <w:t>academic</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results.</w:t>
      </w:r>
      <w:r>
        <w:rPr>
          <w:rFonts w:ascii="Segoe UI Semibold" w:hAnsi="Segoe UI Semibold" w:cs="Segoe UI Semibold" w:eastAsia="Segoe UI Semibold"/>
          <w:b/>
          <w:bCs/>
          <w:color w:val="00779B"/>
        </w:rPr>
        <w:t> It</w:t>
      </w:r>
      <w:r>
        <w:rPr>
          <w:rFonts w:ascii="Segoe UI Semibold" w:hAnsi="Segoe UI Semibold" w:cs="Segoe UI Semibold" w:eastAsia="Segoe UI Semibold"/>
          <w:b/>
          <w:bCs/>
          <w:color w:val="00779B"/>
          <w:spacing w:val="-1"/>
        </w:rPr>
        <w:t> is more </w:t>
      </w:r>
      <w:r>
        <w:rPr>
          <w:rFonts w:ascii="Segoe UI Semibold" w:hAnsi="Segoe UI Semibold" w:cs="Segoe UI Semibold" w:eastAsia="Segoe UI Semibold"/>
          <w:b/>
          <w:bCs/>
          <w:color w:val="00779B"/>
        </w:rPr>
        <w:t>about</w:t>
      </w:r>
      <w:r>
        <w:rPr>
          <w:rFonts w:ascii="Segoe UI Semibold" w:hAnsi="Segoe UI Semibold" w:cs="Segoe UI Semibold" w:eastAsia="Segoe UI Semibold"/>
          <w:b/>
          <w:bCs/>
          <w:color w:val="00779B"/>
          <w:spacing w:val="24"/>
        </w:rPr>
        <w:t> </w:t>
      </w:r>
      <w:r>
        <w:rPr>
          <w:rFonts w:ascii="Segoe UI Semibold" w:hAnsi="Segoe UI Semibold" w:cs="Segoe UI Semibold" w:eastAsia="Segoe UI Semibold"/>
          <w:b/>
          <w:bCs/>
          <w:color w:val="00779B"/>
        </w:rPr>
        <w:t>being</w:t>
      </w:r>
      <w:r>
        <w:rPr>
          <w:rFonts w:ascii="Segoe UI Semibold" w:hAnsi="Segoe UI Semibold" w:cs="Segoe UI Semibold" w:eastAsia="Segoe UI Semibold"/>
          <w:b/>
          <w:bCs/>
          <w:color w:val="00779B"/>
          <w:spacing w:val="-1"/>
        </w:rPr>
        <w:t> successful</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in integrating</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2"/>
        </w:rPr>
        <w:t>remote</w:t>
      </w:r>
      <w:r>
        <w:rPr>
          <w:rFonts w:ascii="Segoe UI Semibold" w:hAnsi="Segoe UI Semibold" w:cs="Segoe UI Semibold" w:eastAsia="Segoe UI Semibold"/>
          <w:b/>
          <w:bCs/>
          <w:color w:val="00779B"/>
          <w:spacing w:val="29"/>
        </w:rPr>
        <w:t> </w:t>
      </w:r>
      <w:r>
        <w:rPr>
          <w:rFonts w:ascii="Segoe UI Semibold" w:hAnsi="Segoe UI Semibold" w:cs="Segoe UI Semibold" w:eastAsia="Segoe UI Semibold"/>
          <w:b/>
          <w:bCs/>
          <w:color w:val="00779B"/>
          <w:spacing w:val="-1"/>
        </w:rPr>
        <w:t>Aboriginal</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kids</w:t>
      </w:r>
      <w:r>
        <w:rPr>
          <w:rFonts w:ascii="Segoe UI Semibold" w:hAnsi="Segoe UI Semibold" w:cs="Segoe UI Semibold" w:eastAsia="Segoe UI Semibold"/>
          <w:b/>
          <w:bCs/>
          <w:color w:val="00779B"/>
          <w:spacing w:val="-4"/>
        </w:rPr>
        <w:t> </w:t>
      </w:r>
      <w:r>
        <w:rPr>
          <w:rFonts w:ascii="Segoe UI Semibold" w:hAnsi="Segoe UI Semibold" w:cs="Segoe UI Semibold" w:eastAsia="Segoe UI Semibold"/>
          <w:b/>
          <w:bCs/>
          <w:color w:val="00779B"/>
          <w:spacing w:val="-1"/>
        </w:rPr>
        <w:t>into</w:t>
      </w:r>
      <w:r>
        <w:rPr>
          <w:rFonts w:ascii="Segoe UI Semibold" w:hAnsi="Segoe UI Semibold" w:cs="Segoe UI Semibold" w:eastAsia="Segoe UI Semibold"/>
          <w:b/>
          <w:bCs/>
          <w:color w:val="00779B"/>
          <w:spacing w:val="-4"/>
        </w:rPr>
        <w:t> </w:t>
      </w:r>
      <w:r>
        <w:rPr>
          <w:rFonts w:ascii="Segoe UI Semibold" w:hAnsi="Segoe UI Semibold" w:cs="Segoe UI Semibold" w:eastAsia="Segoe UI Semibold"/>
          <w:b/>
          <w:bCs/>
          <w:color w:val="00779B"/>
          <w:spacing w:val="-1"/>
        </w:rPr>
        <w:t>mainstream/</w:t>
      </w:r>
      <w:r>
        <w:rPr>
          <w:rFonts w:ascii="Segoe UI Semibold" w:hAnsi="Segoe UI Semibold" w:cs="Segoe UI Semibold" w:eastAsia="Segoe UI Semibold"/>
        </w:rPr>
      </w:r>
    </w:p>
    <w:p>
      <w:pPr>
        <w:pStyle w:val="BodyText"/>
        <w:spacing w:line="250" w:lineRule="exact"/>
        <w:ind w:left="554" w:right="496"/>
        <w:jc w:val="left"/>
        <w:rPr>
          <w:rFonts w:ascii="Segoe UI Semibold" w:hAnsi="Segoe UI Semibold" w:cs="Segoe UI Semibold" w:eastAsia="Segoe UI Semibold"/>
        </w:rPr>
      </w:pPr>
      <w:r>
        <w:rPr>
          <w:rFonts w:ascii="Segoe UI Semibold"/>
          <w:b/>
          <w:color w:val="00779B"/>
          <w:spacing w:val="-1"/>
        </w:rPr>
        <w:t>city</w:t>
      </w:r>
      <w:r>
        <w:rPr>
          <w:rFonts w:ascii="Segoe UI Semibold"/>
          <w:b/>
          <w:color w:val="00779B"/>
          <w:spacing w:val="-2"/>
        </w:rPr>
        <w:t> </w:t>
      </w:r>
      <w:r>
        <w:rPr>
          <w:rFonts w:ascii="Segoe UI Semibold"/>
          <w:b/>
          <w:color w:val="00779B"/>
          <w:spacing w:val="-1"/>
        </w:rPr>
        <w:t>living</w:t>
      </w:r>
      <w:r>
        <w:rPr>
          <w:rFonts w:ascii="Segoe UI Semibold"/>
          <w:b/>
          <w:color w:val="00779B"/>
          <w:spacing w:val="-2"/>
        </w:rPr>
        <w:t> </w:t>
      </w:r>
      <w:r>
        <w:rPr>
          <w:rFonts w:ascii="Segoe UI Semibold"/>
          <w:b/>
          <w:color w:val="00779B"/>
        </w:rPr>
        <w:t>and</w:t>
      </w:r>
      <w:r>
        <w:rPr>
          <w:rFonts w:ascii="Segoe UI Semibold"/>
          <w:b/>
          <w:color w:val="00779B"/>
          <w:spacing w:val="-3"/>
        </w:rPr>
        <w:t> </w:t>
      </w:r>
      <w:r>
        <w:rPr>
          <w:rFonts w:ascii="Segoe UI Semibold"/>
          <w:b/>
          <w:color w:val="00779B"/>
          <w:spacing w:val="-1"/>
        </w:rPr>
        <w:t>equipping</w:t>
      </w:r>
      <w:r>
        <w:rPr>
          <w:rFonts w:ascii="Segoe UI Semibold"/>
          <w:b/>
          <w:color w:val="00779B"/>
          <w:spacing w:val="-2"/>
        </w:rPr>
        <w:t> </w:t>
      </w:r>
      <w:r>
        <w:rPr>
          <w:rFonts w:ascii="Segoe UI Semibold"/>
          <w:b/>
          <w:color w:val="00779B"/>
          <w:spacing w:val="-1"/>
        </w:rPr>
        <w:t>them</w:t>
      </w:r>
      <w:r>
        <w:rPr>
          <w:rFonts w:ascii="Segoe UI Semibold"/>
          <w:b/>
          <w:color w:val="00779B"/>
          <w:spacing w:val="-2"/>
        </w:rPr>
        <w:t> </w:t>
      </w:r>
      <w:r>
        <w:rPr>
          <w:rFonts w:ascii="Segoe UI Semibold"/>
          <w:b/>
          <w:color w:val="00779B"/>
        </w:rPr>
        <w:t>for</w:t>
      </w:r>
      <w:r>
        <w:rPr>
          <w:rFonts w:ascii="Segoe UI Semibold"/>
          <w:b/>
          <w:color w:val="00779B"/>
          <w:spacing w:val="25"/>
        </w:rPr>
        <w:t> </w:t>
      </w:r>
      <w:r>
        <w:rPr>
          <w:rFonts w:ascii="Segoe UI Semibold"/>
          <w:b/>
          <w:color w:val="00779B"/>
        </w:rPr>
        <w:t>their </w:t>
      </w:r>
      <w:r>
        <w:rPr>
          <w:rFonts w:ascii="Segoe UI Semibold"/>
          <w:b/>
          <w:color w:val="00779B"/>
          <w:spacing w:val="-1"/>
        </w:rPr>
        <w:t>future</w:t>
      </w:r>
      <w:r>
        <w:rPr>
          <w:rFonts w:ascii="Segoe UI Semibold"/>
          <w:b/>
          <w:color w:val="00779B"/>
        </w:rPr>
        <w:t> journey in life. </w:t>
      </w:r>
      <w:r>
        <w:rPr>
          <w:rFonts w:ascii="Segoe UI Semibold"/>
          <w:b/>
          <w:color w:val="00779B"/>
          <w:spacing w:val="-3"/>
        </w:rPr>
        <w:t>We</w:t>
      </w:r>
      <w:r>
        <w:rPr>
          <w:rFonts w:ascii="Segoe UI Semibold"/>
          <w:b/>
          <w:color w:val="00779B"/>
        </w:rPr>
        <w:t> </w:t>
      </w:r>
      <w:r>
        <w:rPr>
          <w:rFonts w:ascii="Segoe UI Semibold"/>
          <w:b/>
          <w:color w:val="00779B"/>
          <w:spacing w:val="2"/>
        </w:rPr>
        <w:t>try</w:t>
      </w:r>
      <w:r>
        <w:rPr>
          <w:rFonts w:ascii="Segoe UI Semibold"/>
          <w:b/>
          <w:color w:val="00779B"/>
          <w:spacing w:val="27"/>
        </w:rPr>
        <w:t> </w:t>
      </w:r>
      <w:r>
        <w:rPr>
          <w:rFonts w:ascii="Segoe UI Semibold"/>
          <w:b/>
          <w:color w:val="00779B"/>
          <w:spacing w:val="-1"/>
        </w:rPr>
        <w:t>to</w:t>
      </w:r>
      <w:r>
        <w:rPr>
          <w:rFonts w:ascii="Segoe UI Semibold"/>
          <w:b/>
          <w:color w:val="00779B"/>
          <w:spacing w:val="-2"/>
        </w:rPr>
        <w:t> </w:t>
      </w:r>
      <w:r>
        <w:rPr>
          <w:rFonts w:ascii="Segoe UI Semibold"/>
          <w:b/>
          <w:color w:val="00779B"/>
          <w:spacing w:val="-1"/>
        </w:rPr>
        <w:t>provide</w:t>
      </w:r>
      <w:r>
        <w:rPr>
          <w:rFonts w:ascii="Segoe UI Semibold"/>
          <w:b/>
          <w:color w:val="00779B"/>
        </w:rPr>
        <w:t> </w:t>
      </w:r>
      <w:r>
        <w:rPr>
          <w:rFonts w:ascii="Segoe UI Semibold"/>
          <w:b/>
          <w:color w:val="00779B"/>
          <w:spacing w:val="-1"/>
        </w:rPr>
        <w:t>them</w:t>
      </w:r>
      <w:r>
        <w:rPr>
          <w:rFonts w:ascii="Segoe UI Semibold"/>
          <w:b/>
          <w:color w:val="00779B"/>
        </w:rPr>
        <w:t> </w:t>
      </w:r>
      <w:r>
        <w:rPr>
          <w:rFonts w:ascii="Segoe UI Semibold"/>
          <w:b/>
          <w:color w:val="00779B"/>
          <w:spacing w:val="-1"/>
        </w:rPr>
        <w:t>with the</w:t>
      </w:r>
      <w:r>
        <w:rPr>
          <w:rFonts w:ascii="Segoe UI Semibold"/>
          <w:b/>
          <w:color w:val="00779B"/>
        </w:rPr>
        <w:t> </w:t>
      </w:r>
      <w:r>
        <w:rPr>
          <w:rFonts w:ascii="Segoe UI Semibold"/>
          <w:b/>
          <w:color w:val="00779B"/>
          <w:spacing w:val="-1"/>
        </w:rPr>
        <w:t>tools</w:t>
      </w:r>
      <w:r>
        <w:rPr>
          <w:rFonts w:ascii="Segoe UI Semibold"/>
          <w:b/>
          <w:color w:val="00779B"/>
        </w:rPr>
        <w:t> </w:t>
      </w:r>
      <w:r>
        <w:rPr>
          <w:rFonts w:ascii="Segoe UI Semibold"/>
          <w:b/>
          <w:color w:val="00779B"/>
          <w:spacing w:val="-1"/>
        </w:rPr>
        <w:t>they</w:t>
      </w:r>
      <w:r>
        <w:rPr>
          <w:rFonts w:ascii="Segoe UI Semibold"/>
          <w:b/>
          <w:color w:val="00779B"/>
          <w:spacing w:val="25"/>
        </w:rPr>
        <w:t> </w:t>
      </w:r>
      <w:r>
        <w:rPr>
          <w:rFonts w:ascii="Segoe UI Semibold"/>
          <w:b/>
          <w:color w:val="00779B"/>
          <w:spacing w:val="-1"/>
        </w:rPr>
        <w:t>will need so that</w:t>
      </w:r>
      <w:r>
        <w:rPr>
          <w:rFonts w:ascii="Segoe UI Semibold"/>
          <w:b/>
          <w:color w:val="00779B"/>
        </w:rPr>
        <w:t> </w:t>
      </w:r>
      <w:r>
        <w:rPr>
          <w:rFonts w:ascii="Segoe UI Semibold"/>
          <w:b/>
          <w:color w:val="00779B"/>
          <w:spacing w:val="-1"/>
        </w:rPr>
        <w:t>they can make </w:t>
      </w:r>
      <w:r>
        <w:rPr>
          <w:rFonts w:ascii="Segoe UI Semibold"/>
          <w:b/>
          <w:color w:val="00779B"/>
        </w:rPr>
        <w:t>a</w:t>
      </w:r>
      <w:r>
        <w:rPr>
          <w:rFonts w:ascii="Segoe UI Semibold"/>
        </w:rPr>
      </w:r>
    </w:p>
    <w:p>
      <w:pPr>
        <w:pStyle w:val="BodyText"/>
        <w:spacing w:line="250" w:lineRule="exact"/>
        <w:ind w:left="554" w:right="133"/>
        <w:jc w:val="left"/>
        <w:rPr>
          <w:rFonts w:ascii="Segoe UI Semibold" w:hAnsi="Segoe UI Semibold" w:cs="Segoe UI Semibold" w:eastAsia="Segoe UI Semibold"/>
          <w:sz w:val="11"/>
          <w:szCs w:val="11"/>
        </w:rPr>
      </w:pPr>
      <w:r>
        <w:rPr>
          <w:rFonts w:ascii="Segoe UI Semibold"/>
          <w:b/>
          <w:color w:val="00779B"/>
          <w:spacing w:val="-1"/>
        </w:rPr>
        <w:t>difference </w:t>
      </w:r>
      <w:r>
        <w:rPr>
          <w:rFonts w:ascii="Segoe UI Semibold"/>
          <w:b/>
          <w:color w:val="00779B"/>
        </w:rPr>
        <w:t>when</w:t>
      </w:r>
      <w:r>
        <w:rPr>
          <w:rFonts w:ascii="Segoe UI Semibold"/>
          <w:b/>
          <w:color w:val="00779B"/>
          <w:spacing w:val="-1"/>
        </w:rPr>
        <w:t> </w:t>
      </w:r>
      <w:r>
        <w:rPr>
          <w:rFonts w:ascii="Segoe UI Semibold"/>
          <w:b/>
          <w:color w:val="00779B"/>
        </w:rPr>
        <w:t>they</w:t>
      </w:r>
      <w:r>
        <w:rPr>
          <w:rFonts w:ascii="Segoe UI Semibold"/>
          <w:b/>
          <w:color w:val="00779B"/>
          <w:spacing w:val="-1"/>
        </w:rPr>
        <w:t> return to </w:t>
      </w:r>
      <w:r>
        <w:rPr>
          <w:rFonts w:ascii="Segoe UI Semibold"/>
          <w:b/>
          <w:color w:val="00779B"/>
        </w:rPr>
        <w:t>their</w:t>
      </w:r>
      <w:r>
        <w:rPr>
          <w:rFonts w:ascii="Segoe UI Semibold"/>
          <w:b/>
          <w:color w:val="00779B"/>
          <w:spacing w:val="27"/>
        </w:rPr>
        <w:t> </w:t>
      </w:r>
      <w:r>
        <w:rPr>
          <w:rFonts w:ascii="Segoe UI Semibold"/>
          <w:b/>
          <w:color w:val="00779B"/>
          <w:spacing w:val="-1"/>
        </w:rPr>
        <w:t>communities. There is</w:t>
      </w:r>
      <w:r>
        <w:rPr>
          <w:rFonts w:ascii="Segoe UI Semibold"/>
          <w:b/>
          <w:color w:val="00779B"/>
        </w:rPr>
        <w:t> a </w:t>
      </w:r>
      <w:r>
        <w:rPr>
          <w:rFonts w:ascii="Segoe UI Semibold"/>
          <w:b/>
          <w:color w:val="00779B"/>
          <w:spacing w:val="-1"/>
        </w:rPr>
        <w:t>need to</w:t>
      </w:r>
      <w:r>
        <w:rPr>
          <w:rFonts w:ascii="Segoe UI Semibold"/>
          <w:b/>
          <w:color w:val="00779B"/>
          <w:spacing w:val="28"/>
        </w:rPr>
        <w:t> </w:t>
      </w:r>
      <w:r>
        <w:rPr>
          <w:rFonts w:ascii="Segoe UI Semibold"/>
          <w:b/>
          <w:color w:val="00779B"/>
          <w:spacing w:val="-1"/>
        </w:rPr>
        <w:t>measure the</w:t>
      </w:r>
      <w:r>
        <w:rPr>
          <w:rFonts w:ascii="Segoe UI Semibold"/>
          <w:b/>
          <w:color w:val="00779B"/>
        </w:rPr>
        <w:t> </w:t>
      </w:r>
      <w:r>
        <w:rPr>
          <w:rFonts w:ascii="Segoe UI Semibold"/>
          <w:b/>
          <w:color w:val="00779B"/>
          <w:spacing w:val="-1"/>
        </w:rPr>
        <w:t>social</w:t>
      </w:r>
      <w:r>
        <w:rPr>
          <w:rFonts w:ascii="Segoe UI Semibold"/>
          <w:b/>
          <w:color w:val="00779B"/>
        </w:rPr>
        <w:t> </w:t>
      </w:r>
      <w:r>
        <w:rPr>
          <w:rFonts w:ascii="Segoe UI Semibold"/>
          <w:b/>
          <w:color w:val="00779B"/>
          <w:spacing w:val="-1"/>
        </w:rPr>
        <w:t>capital</w:t>
      </w:r>
      <w:r>
        <w:rPr>
          <w:rFonts w:ascii="Segoe UI Semibold"/>
          <w:b/>
          <w:color w:val="00779B"/>
        </w:rPr>
        <w:t> </w:t>
      </w:r>
      <w:r>
        <w:rPr>
          <w:rFonts w:ascii="Segoe UI Semibold"/>
          <w:b/>
          <w:color w:val="00779B"/>
          <w:spacing w:val="-2"/>
        </w:rPr>
        <w:t>outcomes,</w:t>
      </w:r>
      <w:r>
        <w:rPr>
          <w:rFonts w:ascii="Segoe UI Semibold"/>
          <w:b/>
          <w:color w:val="00779B"/>
          <w:spacing w:val="30"/>
        </w:rPr>
        <w:t> </w:t>
      </w:r>
      <w:r>
        <w:rPr>
          <w:rFonts w:ascii="Segoe UI Semibold"/>
          <w:b/>
          <w:color w:val="00779B"/>
        </w:rPr>
        <w:t>not just the academic </w:t>
      </w:r>
      <w:r>
        <w:rPr>
          <w:rFonts w:ascii="Segoe UI Semibold"/>
          <w:b/>
          <w:color w:val="00779B"/>
          <w:spacing w:val="-1"/>
        </w:rPr>
        <w:t>results</w:t>
      </w:r>
      <w:r>
        <w:rPr>
          <w:rFonts w:ascii="Segoe UI Semibold"/>
          <w:b/>
          <w:color w:val="00779B"/>
        </w:rPr>
        <w:t> and the</w:t>
      </w:r>
      <w:r>
        <w:rPr>
          <w:rFonts w:ascii="Segoe UI Semibold"/>
          <w:b/>
          <w:color w:val="00779B"/>
          <w:spacing w:val="25"/>
        </w:rPr>
        <w:t> </w:t>
      </w:r>
      <w:r>
        <w:rPr>
          <w:rFonts w:ascii="Segoe UI Semibold"/>
          <w:b/>
          <w:color w:val="00779B"/>
        </w:rPr>
        <w:t>financial</w:t>
      </w:r>
      <w:r>
        <w:rPr>
          <w:rFonts w:ascii="Segoe UI Semibold"/>
          <w:b/>
          <w:color w:val="00779B"/>
          <w:spacing w:val="-1"/>
        </w:rPr>
        <w:t> </w:t>
      </w:r>
      <w:r>
        <w:rPr>
          <w:rFonts w:ascii="Segoe UI Semibold"/>
          <w:b/>
          <w:color w:val="00779B"/>
        </w:rPr>
        <w:t>inputs.</w:t>
      </w:r>
      <w:r>
        <w:rPr>
          <w:rFonts w:ascii="Segoe UI Semibold"/>
          <w:b/>
          <w:color w:val="00779B"/>
          <w:position w:val="7"/>
          <w:sz w:val="11"/>
        </w:rPr>
        <w:t>90</w:t>
      </w:r>
      <w:r>
        <w:rPr>
          <w:rFonts w:ascii="Segoe UI Semibold"/>
          <w:sz w:val="11"/>
        </w:rPr>
      </w:r>
    </w:p>
    <w:p>
      <w:pPr>
        <w:pStyle w:val="BodyText"/>
        <w:spacing w:line="250" w:lineRule="exact" w:before="113"/>
        <w:ind w:left="100" w:right="95" w:hanging="1"/>
        <w:jc w:val="left"/>
      </w:pPr>
      <w:r>
        <w:rPr>
          <w:color w:val="231F20"/>
        </w:rPr>
        <w:t>O’Bryan,</w:t>
      </w:r>
      <w:r>
        <w:rPr>
          <w:color w:val="231F20"/>
          <w:spacing w:val="-7"/>
        </w:rPr>
        <w:t> </w:t>
      </w:r>
      <w:r>
        <w:rPr>
          <w:color w:val="231F20"/>
          <w:spacing w:val="-1"/>
        </w:rPr>
        <w:t>2016</w:t>
      </w:r>
      <w:r>
        <w:rPr>
          <w:rFonts w:ascii="Segoe UI Semibold" w:hAnsi="Segoe UI Semibold" w:cs="Segoe UI Semibold" w:eastAsia="Segoe UI Semibold"/>
          <w:b/>
          <w:bCs/>
          <w:color w:val="231F20"/>
          <w:spacing w:val="-1"/>
          <w:position w:val="7"/>
          <w:sz w:val="11"/>
          <w:szCs w:val="11"/>
        </w:rPr>
        <w:t>91</w:t>
      </w:r>
      <w:r>
        <w:rPr>
          <w:rFonts w:ascii="Segoe UI Semibold" w:hAnsi="Segoe UI Semibold" w:cs="Segoe UI Semibold" w:eastAsia="Segoe UI Semibold"/>
          <w:b/>
          <w:bCs/>
          <w:color w:val="231F20"/>
          <w:spacing w:val="19"/>
          <w:position w:val="7"/>
          <w:sz w:val="11"/>
          <w:szCs w:val="11"/>
        </w:rPr>
        <w:t> </w:t>
      </w:r>
      <w:r>
        <w:rPr>
          <w:color w:val="231F20"/>
        </w:rPr>
        <w:t>reviewed</w:t>
      </w:r>
      <w:r>
        <w:rPr>
          <w:color w:val="231F20"/>
          <w:spacing w:val="-6"/>
        </w:rPr>
        <w:t> </w:t>
      </w:r>
      <w:r>
        <w:rPr>
          <w:color w:val="231F20"/>
        </w:rPr>
        <w:t>attempts</w:t>
      </w:r>
      <w:r>
        <w:rPr>
          <w:color w:val="231F20"/>
          <w:spacing w:val="-6"/>
        </w:rPr>
        <w:t> </w:t>
      </w:r>
      <w:r>
        <w:rPr>
          <w:color w:val="231F20"/>
        </w:rPr>
        <w:t>to</w:t>
      </w:r>
      <w:r>
        <w:rPr>
          <w:color w:val="231F20"/>
          <w:spacing w:val="-5"/>
        </w:rPr>
        <w:t> </w:t>
      </w:r>
      <w:r>
        <w:rPr>
          <w:color w:val="231F20"/>
          <w:spacing w:val="-1"/>
        </w:rPr>
        <w:t>measure</w:t>
      </w:r>
      <w:r>
        <w:rPr>
          <w:color w:val="231F20"/>
          <w:spacing w:val="25"/>
          <w:w w:val="99"/>
        </w:rPr>
        <w:t> </w:t>
      </w:r>
      <w:r>
        <w:rPr>
          <w:color w:val="231F20"/>
        </w:rPr>
        <w:t>the</w:t>
      </w:r>
      <w:r>
        <w:rPr>
          <w:color w:val="231F20"/>
          <w:spacing w:val="-6"/>
        </w:rPr>
        <w:t> </w:t>
      </w:r>
      <w:r>
        <w:rPr>
          <w:color w:val="231F20"/>
          <w:spacing w:val="-1"/>
        </w:rPr>
        <w:t>impact</w:t>
      </w:r>
      <w:r>
        <w:rPr>
          <w:color w:val="231F20"/>
          <w:spacing w:val="-4"/>
        </w:rPr>
        <w:t> </w:t>
      </w:r>
      <w:r>
        <w:rPr>
          <w:color w:val="231F20"/>
        </w:rPr>
        <w:t>of</w:t>
      </w:r>
      <w:r>
        <w:rPr>
          <w:color w:val="231F20"/>
          <w:spacing w:val="-5"/>
        </w:rPr>
        <w:t> </w:t>
      </w:r>
      <w:r>
        <w:rPr>
          <w:color w:val="231F20"/>
          <w:spacing w:val="-1"/>
        </w:rPr>
        <w:t>support</w:t>
      </w:r>
      <w:r>
        <w:rPr>
          <w:color w:val="231F20"/>
          <w:spacing w:val="-4"/>
        </w:rPr>
        <w:t> </w:t>
      </w:r>
      <w:r>
        <w:rPr>
          <w:color w:val="231F20"/>
          <w:spacing w:val="-1"/>
        </w:rPr>
        <w:t>services</w:t>
      </w:r>
      <w:r>
        <w:rPr>
          <w:color w:val="231F20"/>
          <w:spacing w:val="-4"/>
        </w:rPr>
        <w:t> </w:t>
      </w:r>
      <w:r>
        <w:rPr>
          <w:color w:val="231F20"/>
        </w:rPr>
        <w:t>and</w:t>
      </w:r>
      <w:r>
        <w:rPr>
          <w:color w:val="231F20"/>
          <w:spacing w:val="-6"/>
        </w:rPr>
        <w:t> </w:t>
      </w:r>
      <w:r>
        <w:rPr>
          <w:color w:val="231F20"/>
        </w:rPr>
        <w:t>raised</w:t>
      </w:r>
      <w:r>
        <w:rPr>
          <w:color w:val="231F20"/>
          <w:spacing w:val="24"/>
          <w:w w:val="99"/>
        </w:rPr>
        <w:t> </w:t>
      </w:r>
      <w:r>
        <w:rPr>
          <w:color w:val="231F20"/>
        </w:rPr>
        <w:t>concerns</w:t>
      </w:r>
      <w:r>
        <w:rPr>
          <w:color w:val="231F20"/>
          <w:spacing w:val="-7"/>
        </w:rPr>
        <w:t> </w:t>
      </w:r>
      <w:r>
        <w:rPr>
          <w:color w:val="231F20"/>
        </w:rPr>
        <w:t>about</w:t>
      </w:r>
      <w:r>
        <w:rPr>
          <w:color w:val="231F20"/>
          <w:spacing w:val="-6"/>
        </w:rPr>
        <w:t> </w:t>
      </w:r>
      <w:r>
        <w:rPr>
          <w:color w:val="231F20"/>
        </w:rPr>
        <w:t>‘a</w:t>
      </w:r>
      <w:r>
        <w:rPr>
          <w:color w:val="231F20"/>
          <w:spacing w:val="-5"/>
        </w:rPr>
        <w:t> </w:t>
      </w:r>
      <w:r>
        <w:rPr>
          <w:color w:val="231F20"/>
          <w:spacing w:val="-1"/>
        </w:rPr>
        <w:t>lack</w:t>
      </w:r>
      <w:r>
        <w:rPr>
          <w:color w:val="231F20"/>
          <w:spacing w:val="-5"/>
        </w:rPr>
        <w:t> </w:t>
      </w:r>
      <w:r>
        <w:rPr>
          <w:color w:val="231F20"/>
        </w:rPr>
        <w:t>of</w:t>
      </w:r>
      <w:r>
        <w:rPr>
          <w:color w:val="231F20"/>
          <w:spacing w:val="-5"/>
        </w:rPr>
        <w:t> </w:t>
      </w:r>
      <w:r>
        <w:rPr>
          <w:color w:val="231F20"/>
        </w:rPr>
        <w:t>research</w:t>
      </w:r>
      <w:r>
        <w:rPr>
          <w:color w:val="231F20"/>
          <w:spacing w:val="-6"/>
        </w:rPr>
        <w:t> </w:t>
      </w:r>
      <w:r>
        <w:rPr>
          <w:color w:val="231F20"/>
        </w:rPr>
        <w:t>and</w:t>
      </w:r>
      <w:r>
        <w:rPr>
          <w:color w:val="231F20"/>
          <w:spacing w:val="21"/>
          <w:w w:val="99"/>
        </w:rPr>
        <w:t> </w:t>
      </w:r>
      <w:r>
        <w:rPr>
          <w:color w:val="231F20"/>
          <w:spacing w:val="-1"/>
        </w:rPr>
        <w:t>independent</w:t>
      </w:r>
      <w:r>
        <w:rPr>
          <w:color w:val="231F20"/>
          <w:spacing w:val="-5"/>
        </w:rPr>
        <w:t> </w:t>
      </w:r>
      <w:r>
        <w:rPr>
          <w:color w:val="231F20"/>
        </w:rPr>
        <w:t>evaluations</w:t>
      </w:r>
      <w:r>
        <w:rPr>
          <w:color w:val="231F20"/>
          <w:spacing w:val="-6"/>
        </w:rPr>
        <w:t> </w:t>
      </w:r>
      <w:r>
        <w:rPr>
          <w:color w:val="231F20"/>
        </w:rPr>
        <w:t>to</w:t>
      </w:r>
      <w:r>
        <w:rPr>
          <w:color w:val="231F20"/>
          <w:spacing w:val="-5"/>
        </w:rPr>
        <w:t> </w:t>
      </w:r>
      <w:r>
        <w:rPr>
          <w:color w:val="231F20"/>
          <w:spacing w:val="-1"/>
        </w:rPr>
        <w:t>justify</w:t>
      </w:r>
      <w:r>
        <w:rPr>
          <w:color w:val="231F20"/>
          <w:spacing w:val="-5"/>
        </w:rPr>
        <w:t> </w:t>
      </w:r>
      <w:r>
        <w:rPr>
          <w:color w:val="231F20"/>
        </w:rPr>
        <w:t>claims</w:t>
      </w:r>
      <w:r>
        <w:rPr>
          <w:color w:val="231F20"/>
          <w:spacing w:val="-6"/>
        </w:rPr>
        <w:t> </w:t>
      </w:r>
      <w:r>
        <w:rPr>
          <w:color w:val="231F20"/>
        </w:rPr>
        <w:t>of</w:t>
      </w:r>
      <w:r>
        <w:rPr>
          <w:color w:val="231F20"/>
          <w:spacing w:val="23"/>
          <w:w w:val="99"/>
        </w:rPr>
        <w:t> </w:t>
      </w:r>
      <w:r>
        <w:rPr>
          <w:color w:val="231F20"/>
        </w:rPr>
        <w:t>how</w:t>
      </w:r>
      <w:r>
        <w:rPr>
          <w:color w:val="231F20"/>
          <w:spacing w:val="-7"/>
        </w:rPr>
        <w:t> </w:t>
      </w:r>
      <w:r>
        <w:rPr>
          <w:color w:val="231F20"/>
          <w:spacing w:val="-1"/>
        </w:rPr>
        <w:t>strategies</w:t>
      </w:r>
      <w:r>
        <w:rPr>
          <w:color w:val="231F20"/>
          <w:spacing w:val="-5"/>
        </w:rPr>
        <w:t> </w:t>
      </w:r>
      <w:r>
        <w:rPr>
          <w:color w:val="231F20"/>
        </w:rPr>
        <w:t>work</w:t>
      </w:r>
      <w:r>
        <w:rPr>
          <w:color w:val="231F20"/>
          <w:spacing w:val="-7"/>
        </w:rPr>
        <w:t> </w:t>
      </w:r>
      <w:r>
        <w:rPr>
          <w:color w:val="231F20"/>
        </w:rPr>
        <w:t>to</w:t>
      </w:r>
      <w:r>
        <w:rPr>
          <w:color w:val="231F20"/>
          <w:spacing w:val="-7"/>
        </w:rPr>
        <w:t> </w:t>
      </w:r>
      <w:r>
        <w:rPr>
          <w:color w:val="231F20"/>
          <w:spacing w:val="-1"/>
        </w:rPr>
        <w:t>support</w:t>
      </w:r>
      <w:r>
        <w:rPr>
          <w:color w:val="231F20"/>
          <w:spacing w:val="-6"/>
        </w:rPr>
        <w:t> </w:t>
      </w:r>
      <w:r>
        <w:rPr>
          <w:color w:val="231F20"/>
        </w:rPr>
        <w:t>Aboriginal</w:t>
      </w:r>
      <w:r>
        <w:rPr>
          <w:color w:val="231F20"/>
          <w:spacing w:val="-7"/>
        </w:rPr>
        <w:t> </w:t>
      </w:r>
      <w:r>
        <w:rPr>
          <w:color w:val="231F20"/>
          <w:spacing w:val="-7"/>
        </w:rPr>
      </w:r>
      <w:r>
        <w:rPr>
          <w:color w:val="231F20"/>
        </w:rPr>
        <w:t>and</w:t>
      </w:r>
      <w:r>
        <w:rPr>
          <w:color w:val="231F20"/>
          <w:spacing w:val="22"/>
        </w:rPr>
        <w:t> </w:t>
      </w:r>
      <w:r>
        <w:rPr>
          <w:color w:val="231F20"/>
          <w:spacing w:val="-5"/>
        </w:rPr>
        <w:t>Torres</w:t>
      </w:r>
      <w:r>
        <w:rPr>
          <w:color w:val="231F20"/>
          <w:spacing w:val="-6"/>
        </w:rPr>
        <w:t> </w:t>
      </w:r>
      <w:r>
        <w:rPr>
          <w:color w:val="231F20"/>
          <w:spacing w:val="-2"/>
        </w:rPr>
        <w:t>Strait</w:t>
      </w:r>
      <w:r>
        <w:rPr>
          <w:color w:val="231F20"/>
          <w:spacing w:val="-6"/>
        </w:rPr>
        <w:t> </w:t>
      </w:r>
      <w:r>
        <w:rPr>
          <w:color w:val="231F20"/>
          <w:spacing w:val="-1"/>
        </w:rPr>
        <w:t>Islander</w:t>
      </w:r>
      <w:r>
        <w:rPr>
          <w:color w:val="231F20"/>
          <w:spacing w:val="-5"/>
        </w:rPr>
        <w:t> </w:t>
      </w:r>
      <w:r>
        <w:rPr>
          <w:color w:val="231F20"/>
        </w:rPr>
        <w:t>boarders</w:t>
      </w:r>
      <w:r>
        <w:rPr>
          <w:color w:val="231F20"/>
          <w:spacing w:val="-6"/>
        </w:rPr>
        <w:t> </w:t>
      </w:r>
      <w:r>
        <w:rPr>
          <w:color w:val="231F20"/>
        </w:rPr>
        <w:t>and</w:t>
      </w:r>
      <w:r>
        <w:rPr>
          <w:color w:val="231F20"/>
          <w:spacing w:val="-6"/>
        </w:rPr>
        <w:t> </w:t>
      </w:r>
      <w:r>
        <w:rPr>
          <w:color w:val="231F20"/>
        </w:rPr>
        <w:t>their</w:t>
      </w:r>
      <w:r>
        <w:rPr>
          <w:color w:val="231F20"/>
          <w:spacing w:val="21"/>
          <w:w w:val="99"/>
        </w:rPr>
        <w:t> </w:t>
      </w:r>
      <w:r>
        <w:rPr>
          <w:color w:val="231F20"/>
        </w:rPr>
        <w:t>families</w:t>
      </w:r>
      <w:r>
        <w:rPr>
          <w:color w:val="231F20"/>
          <w:spacing w:val="-4"/>
        </w:rPr>
        <w:t> </w:t>
      </w:r>
      <w:r>
        <w:rPr>
          <w:color w:val="231F20"/>
        </w:rPr>
        <w:t>and</w:t>
      </w:r>
      <w:r>
        <w:rPr>
          <w:color w:val="231F20"/>
          <w:spacing w:val="-4"/>
        </w:rPr>
        <w:t> </w:t>
      </w:r>
      <w:r>
        <w:rPr>
          <w:color w:val="231F20"/>
        </w:rPr>
        <w:t>home</w:t>
      </w:r>
      <w:r>
        <w:rPr>
          <w:color w:val="231F20"/>
          <w:spacing w:val="-3"/>
        </w:rPr>
        <w:t> </w:t>
      </w:r>
      <w:r>
        <w:rPr>
          <w:color w:val="231F20"/>
        </w:rPr>
        <w:t>communities’.</w:t>
      </w:r>
      <w:r>
        <w:rPr>
          <w:color w:val="231F20"/>
          <w:spacing w:val="-4"/>
        </w:rPr>
        <w:t> </w:t>
      </w:r>
      <w:r>
        <w:rPr>
          <w:color w:val="231F20"/>
        </w:rPr>
        <w:t>O’Bryan,</w:t>
      </w:r>
      <w:r>
        <w:rPr>
          <w:color w:val="231F20"/>
          <w:w w:val="99"/>
        </w:rPr>
        <w:t> </w:t>
      </w:r>
      <w:r>
        <w:rPr>
          <w:color w:val="231F20"/>
          <w:spacing w:val="-1"/>
        </w:rPr>
        <w:t>2016</w:t>
      </w:r>
      <w:r>
        <w:rPr>
          <w:color w:val="231F20"/>
          <w:spacing w:val="-5"/>
        </w:rPr>
        <w:t> </w:t>
      </w:r>
      <w:r>
        <w:rPr>
          <w:color w:val="231F20"/>
        </w:rPr>
        <w:t>went</w:t>
      </w:r>
      <w:r>
        <w:rPr>
          <w:color w:val="231F20"/>
          <w:spacing w:val="-5"/>
        </w:rPr>
        <w:t> </w:t>
      </w:r>
      <w:r>
        <w:rPr>
          <w:color w:val="231F20"/>
        </w:rPr>
        <w:t>on</w:t>
      </w:r>
      <w:r>
        <w:rPr>
          <w:color w:val="231F20"/>
          <w:spacing w:val="-4"/>
        </w:rPr>
        <w:t> </w:t>
      </w:r>
      <w:r>
        <w:rPr>
          <w:color w:val="231F20"/>
        </w:rPr>
        <w:t>to</w:t>
      </w:r>
      <w:r>
        <w:rPr>
          <w:color w:val="231F20"/>
          <w:spacing w:val="-5"/>
        </w:rPr>
        <w:t> </w:t>
      </w:r>
      <w:r>
        <w:rPr>
          <w:color w:val="231F20"/>
        </w:rPr>
        <w:t>develop</w:t>
      </w:r>
      <w:r>
        <w:rPr>
          <w:color w:val="231F20"/>
          <w:spacing w:val="-5"/>
        </w:rPr>
        <w:t> </w:t>
      </w:r>
      <w:r>
        <w:rPr>
          <w:color w:val="231F20"/>
        </w:rPr>
        <w:t>a</w:t>
      </w:r>
      <w:r>
        <w:rPr>
          <w:color w:val="231F20"/>
          <w:spacing w:val="-4"/>
        </w:rPr>
        <w:t> </w:t>
      </w:r>
      <w:r>
        <w:rPr>
          <w:color w:val="231F20"/>
        </w:rPr>
        <w:t>theoretical</w:t>
      </w:r>
      <w:r>
        <w:rPr>
          <w:color w:val="231F20"/>
          <w:spacing w:val="21"/>
          <w:w w:val="99"/>
        </w:rPr>
        <w:t> </w:t>
      </w:r>
      <w:r>
        <w:rPr>
          <w:color w:val="231F20"/>
        </w:rPr>
        <w:t>framework</w:t>
      </w:r>
      <w:r>
        <w:rPr>
          <w:color w:val="231F20"/>
          <w:spacing w:val="-7"/>
        </w:rPr>
        <w:t> </w:t>
      </w:r>
      <w:r>
        <w:rPr>
          <w:color w:val="231F20"/>
        </w:rPr>
        <w:t>for</w:t>
      </w:r>
      <w:r>
        <w:rPr>
          <w:color w:val="231F20"/>
          <w:spacing w:val="-6"/>
        </w:rPr>
        <w:t> </w:t>
      </w:r>
      <w:r>
        <w:rPr>
          <w:color w:val="231F20"/>
        </w:rPr>
        <w:t>research</w:t>
      </w:r>
      <w:r>
        <w:rPr>
          <w:color w:val="231F20"/>
          <w:spacing w:val="-7"/>
        </w:rPr>
        <w:t> </w:t>
      </w:r>
      <w:r>
        <w:rPr>
          <w:color w:val="231F20"/>
        </w:rPr>
        <w:t>to</w:t>
      </w:r>
      <w:r>
        <w:rPr>
          <w:color w:val="231F20"/>
          <w:spacing w:val="-6"/>
        </w:rPr>
        <w:t> </w:t>
      </w:r>
      <w:r>
        <w:rPr>
          <w:color w:val="231F20"/>
        </w:rPr>
        <w:t>gather</w:t>
      </w:r>
      <w:r>
        <w:rPr>
          <w:color w:val="231F20"/>
          <w:spacing w:val="-7"/>
        </w:rPr>
        <w:t> </w:t>
      </w:r>
      <w:r>
        <w:rPr>
          <w:color w:val="231F20"/>
        </w:rPr>
        <w:t>and</w:t>
      </w:r>
      <w:r>
        <w:rPr/>
      </w:r>
    </w:p>
    <w:p>
      <w:pPr>
        <w:pStyle w:val="BodyText"/>
        <w:spacing w:line="250" w:lineRule="exact"/>
        <w:ind w:left="100" w:right="0"/>
        <w:jc w:val="left"/>
      </w:pPr>
      <w:r>
        <w:rPr>
          <w:color w:val="231F20"/>
        </w:rPr>
        <w:t>analyse</w:t>
      </w:r>
      <w:r>
        <w:rPr>
          <w:color w:val="231F20"/>
          <w:spacing w:val="-7"/>
        </w:rPr>
        <w:t> </w:t>
      </w:r>
      <w:r>
        <w:rPr>
          <w:color w:val="231F20"/>
        </w:rPr>
        <w:t>the</w:t>
      </w:r>
      <w:r>
        <w:rPr>
          <w:color w:val="231F20"/>
          <w:spacing w:val="-7"/>
        </w:rPr>
        <w:t> </w:t>
      </w:r>
      <w:r>
        <w:rPr>
          <w:color w:val="231F20"/>
        </w:rPr>
        <w:t>necessary</w:t>
      </w:r>
      <w:r>
        <w:rPr>
          <w:color w:val="231F20"/>
          <w:spacing w:val="-7"/>
        </w:rPr>
        <w:t> </w:t>
      </w:r>
      <w:r>
        <w:rPr>
          <w:color w:val="231F20"/>
        </w:rPr>
        <w:t>data</w:t>
      </w:r>
      <w:r>
        <w:rPr>
          <w:color w:val="231F20"/>
          <w:spacing w:val="-7"/>
        </w:rPr>
        <w:t> </w:t>
      </w:r>
      <w:r>
        <w:rPr>
          <w:color w:val="231F20"/>
        </w:rPr>
        <w:t>to</w:t>
      </w:r>
      <w:r>
        <w:rPr>
          <w:color w:val="231F20"/>
          <w:spacing w:val="-6"/>
        </w:rPr>
        <w:t> </w:t>
      </w:r>
      <w:r>
        <w:rPr>
          <w:color w:val="231F20"/>
        </w:rPr>
        <w:t>determine</w:t>
      </w:r>
      <w:r>
        <w:rPr>
          <w:color w:val="231F20"/>
          <w:spacing w:val="-7"/>
        </w:rPr>
        <w:t> </w:t>
      </w:r>
      <w:r>
        <w:rPr>
          <w:color w:val="231F20"/>
        </w:rPr>
        <w:t>the</w:t>
      </w:r>
      <w:r>
        <w:rPr>
          <w:color w:val="231F20"/>
          <w:w w:val="99"/>
        </w:rPr>
        <w:t> </w:t>
      </w:r>
      <w:r>
        <w:rPr>
          <w:color w:val="231F20"/>
        </w:rPr>
        <w:t>causal</w:t>
      </w:r>
      <w:r>
        <w:rPr>
          <w:color w:val="231F20"/>
          <w:spacing w:val="-4"/>
        </w:rPr>
        <w:t> </w:t>
      </w:r>
      <w:r>
        <w:rPr>
          <w:color w:val="231F20"/>
          <w:spacing w:val="-1"/>
        </w:rPr>
        <w:t>impact</w:t>
      </w:r>
      <w:r>
        <w:rPr>
          <w:color w:val="231F20"/>
          <w:spacing w:val="-3"/>
        </w:rPr>
        <w:t> </w:t>
      </w:r>
      <w:r>
        <w:rPr>
          <w:color w:val="231F20"/>
        </w:rPr>
        <w:t>of</w:t>
      </w:r>
      <w:r>
        <w:rPr>
          <w:color w:val="231F20"/>
          <w:spacing w:val="-3"/>
        </w:rPr>
        <w:t> </w:t>
      </w:r>
      <w:r>
        <w:rPr>
          <w:color w:val="231F20"/>
          <w:spacing w:val="-1"/>
        </w:rPr>
        <w:t>investment</w:t>
      </w:r>
      <w:r>
        <w:rPr>
          <w:color w:val="231F20"/>
          <w:spacing w:val="-3"/>
        </w:rPr>
        <w:t> </w:t>
      </w:r>
      <w:r>
        <w:rPr>
          <w:color w:val="231F20"/>
          <w:spacing w:val="-1"/>
        </w:rPr>
        <w:t>in</w:t>
      </w:r>
      <w:r>
        <w:rPr>
          <w:color w:val="231F20"/>
          <w:spacing w:val="-2"/>
        </w:rPr>
        <w:t> </w:t>
      </w:r>
      <w:r>
        <w:rPr>
          <w:color w:val="231F20"/>
        </w:rPr>
        <w:t>family</w:t>
      </w:r>
      <w:r>
        <w:rPr>
          <w:color w:val="231F20"/>
          <w:spacing w:val="-4"/>
        </w:rPr>
        <w:t> </w:t>
      </w:r>
      <w:r>
        <w:rPr>
          <w:color w:val="231F20"/>
        </w:rPr>
        <w:t>and</w:t>
      </w:r>
      <w:r>
        <w:rPr>
          <w:color w:val="231F20"/>
          <w:spacing w:val="24"/>
          <w:w w:val="99"/>
        </w:rPr>
        <w:t> </w:t>
      </w:r>
      <w:r>
        <w:rPr>
          <w:color w:val="231F20"/>
        </w:rPr>
        <w:t>community</w:t>
      </w:r>
      <w:r>
        <w:rPr>
          <w:color w:val="231F20"/>
          <w:spacing w:val="-6"/>
        </w:rPr>
        <w:t> </w:t>
      </w:r>
      <w:r>
        <w:rPr>
          <w:color w:val="231F20"/>
        </w:rPr>
        <w:t>engagement</w:t>
      </w:r>
      <w:r>
        <w:rPr>
          <w:color w:val="231F20"/>
          <w:spacing w:val="-5"/>
        </w:rPr>
        <w:t> </w:t>
      </w:r>
      <w:r>
        <w:rPr>
          <w:color w:val="231F20"/>
        </w:rPr>
        <w:t>and</w:t>
      </w:r>
      <w:r>
        <w:rPr>
          <w:color w:val="231F20"/>
          <w:spacing w:val="-6"/>
        </w:rPr>
        <w:t> </w:t>
      </w:r>
      <w:r>
        <w:rPr>
          <w:color w:val="231F20"/>
          <w:spacing w:val="-1"/>
        </w:rPr>
        <w:t>in-school</w:t>
      </w:r>
      <w:r>
        <w:rPr>
          <w:color w:val="231F20"/>
          <w:spacing w:val="-4"/>
        </w:rPr>
        <w:t> </w:t>
      </w:r>
      <w:r>
        <w:rPr>
          <w:color w:val="231F20"/>
        </w:rPr>
        <w:t>and</w:t>
      </w:r>
      <w:r>
        <w:rPr>
          <w:color w:val="231F20"/>
          <w:spacing w:val="22"/>
          <w:w w:val="99"/>
        </w:rPr>
        <w:t> </w:t>
      </w:r>
      <w:r>
        <w:rPr>
          <w:color w:val="231F20"/>
        </w:rPr>
        <w:t>accommodation</w:t>
      </w:r>
      <w:r>
        <w:rPr>
          <w:color w:val="231F20"/>
          <w:spacing w:val="-23"/>
        </w:rPr>
        <w:t> </w:t>
      </w:r>
      <w:r>
        <w:rPr>
          <w:color w:val="231F20"/>
          <w:spacing w:val="-1"/>
        </w:rPr>
        <w:t>support.</w:t>
      </w:r>
      <w:r>
        <w:rPr/>
      </w:r>
    </w:p>
    <w:p>
      <w:pPr>
        <w:spacing w:line="240" w:lineRule="auto" w:before="8"/>
        <w:rPr>
          <w:rFonts w:ascii="Segoe UI" w:hAnsi="Segoe UI" w:cs="Segoe UI" w:eastAsia="Segoe UI"/>
          <w:sz w:val="15"/>
          <w:szCs w:val="15"/>
        </w:rPr>
      </w:pPr>
      <w:r>
        <w:rPr/>
        <w:br w:type="column"/>
      </w:r>
      <w:r>
        <w:rPr>
          <w:rFonts w:ascii="Segoe UI"/>
          <w:sz w:val="15"/>
        </w:rPr>
      </w:r>
    </w:p>
    <w:p>
      <w:pPr>
        <w:pStyle w:val="BodyText"/>
        <w:spacing w:line="250" w:lineRule="exact"/>
        <w:ind w:left="100" w:right="202"/>
        <w:jc w:val="left"/>
      </w:pPr>
      <w:r>
        <w:rPr>
          <w:color w:val="231F20"/>
        </w:rPr>
        <w:t>A</w:t>
      </w:r>
      <w:r>
        <w:rPr>
          <w:color w:val="231F20"/>
          <w:spacing w:val="-6"/>
        </w:rPr>
        <w:t> </w:t>
      </w:r>
      <w:r>
        <w:rPr>
          <w:color w:val="231F20"/>
        </w:rPr>
        <w:t>comprehensive</w:t>
      </w:r>
      <w:r>
        <w:rPr>
          <w:color w:val="231F20"/>
          <w:spacing w:val="-7"/>
        </w:rPr>
        <w:t> </w:t>
      </w:r>
      <w:r>
        <w:rPr>
          <w:color w:val="231F20"/>
        </w:rPr>
        <w:t>evaluation</w:t>
      </w:r>
      <w:r>
        <w:rPr>
          <w:color w:val="231F20"/>
          <w:spacing w:val="-7"/>
        </w:rPr>
        <w:t> </w:t>
      </w:r>
      <w:r>
        <w:rPr>
          <w:color w:val="231F20"/>
        </w:rPr>
        <w:t>of</w:t>
      </w:r>
      <w:r>
        <w:rPr>
          <w:color w:val="231F20"/>
          <w:spacing w:val="-6"/>
        </w:rPr>
        <w:t> </w:t>
      </w:r>
      <w:r>
        <w:rPr>
          <w:color w:val="231F20"/>
        </w:rPr>
        <w:t>the</w:t>
      </w:r>
      <w:r>
        <w:rPr>
          <w:color w:val="231F20"/>
          <w:spacing w:val="-7"/>
        </w:rPr>
        <w:t> </w:t>
      </w:r>
      <w:r>
        <w:rPr>
          <w:color w:val="231F20"/>
        </w:rPr>
        <w:t>value</w:t>
      </w:r>
      <w:r>
        <w:rPr>
          <w:color w:val="231F20"/>
          <w:spacing w:val="-6"/>
        </w:rPr>
        <w:t> </w:t>
      </w:r>
      <w:r>
        <w:rPr>
          <w:color w:val="231F20"/>
        </w:rPr>
        <w:t>and</w:t>
      </w:r>
      <w:r>
        <w:rPr>
          <w:color w:val="231F20"/>
          <w:w w:val="99"/>
        </w:rPr>
        <w:t> </w:t>
      </w:r>
      <w:r>
        <w:rPr>
          <w:color w:val="231F20"/>
          <w:spacing w:val="-1"/>
        </w:rPr>
        <w:t>impact</w:t>
      </w:r>
      <w:r>
        <w:rPr>
          <w:color w:val="231F20"/>
          <w:spacing w:val="-5"/>
        </w:rPr>
        <w:t> </w:t>
      </w:r>
      <w:r>
        <w:rPr>
          <w:color w:val="231F20"/>
        </w:rPr>
        <w:t>of</w:t>
      </w:r>
      <w:r>
        <w:rPr>
          <w:color w:val="231F20"/>
          <w:spacing w:val="-4"/>
        </w:rPr>
        <w:t> </w:t>
      </w:r>
      <w:r>
        <w:rPr>
          <w:color w:val="231F20"/>
        </w:rPr>
        <w:t>all</w:t>
      </w:r>
      <w:r>
        <w:rPr>
          <w:color w:val="231F20"/>
          <w:spacing w:val="-5"/>
        </w:rPr>
        <w:t> </w:t>
      </w:r>
      <w:r>
        <w:rPr>
          <w:color w:val="231F20"/>
          <w:spacing w:val="-1"/>
        </w:rPr>
        <w:t>support</w:t>
      </w:r>
      <w:r>
        <w:rPr>
          <w:color w:val="231F20"/>
          <w:spacing w:val="-4"/>
        </w:rPr>
        <w:t> </w:t>
      </w:r>
      <w:r>
        <w:rPr>
          <w:color w:val="231F20"/>
          <w:spacing w:val="-1"/>
        </w:rPr>
        <w:t>services</w:t>
      </w:r>
      <w:r>
        <w:rPr>
          <w:color w:val="231F20"/>
          <w:spacing w:val="-5"/>
        </w:rPr>
        <w:t> </w:t>
      </w:r>
      <w:r>
        <w:rPr>
          <w:color w:val="231F20"/>
        </w:rPr>
        <w:t>for</w:t>
      </w:r>
      <w:r>
        <w:rPr>
          <w:color w:val="231F20"/>
          <w:spacing w:val="-4"/>
        </w:rPr>
        <w:t> </w:t>
      </w:r>
      <w:r>
        <w:rPr>
          <w:color w:val="231F20"/>
        </w:rPr>
        <w:t>Aboriginal</w:t>
      </w:r>
      <w:r>
        <w:rPr>
          <w:color w:val="231F20"/>
          <w:spacing w:val="-5"/>
        </w:rPr>
        <w:t> </w:t>
      </w:r>
      <w:r>
        <w:rPr>
          <w:color w:val="231F20"/>
          <w:spacing w:val="-5"/>
        </w:rPr>
      </w:r>
      <w:r>
        <w:rPr>
          <w:color w:val="231F20"/>
        </w:rPr>
        <w:t>and</w:t>
      </w:r>
      <w:r>
        <w:rPr>
          <w:color w:val="231F20"/>
          <w:spacing w:val="23"/>
        </w:rPr>
        <w:t> </w:t>
      </w:r>
      <w:r>
        <w:rPr>
          <w:color w:val="231F20"/>
          <w:spacing w:val="-5"/>
        </w:rPr>
        <w:t>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3"/>
        </w:rPr>
        <w:t> </w:t>
      </w:r>
      <w:r>
        <w:rPr>
          <w:color w:val="231F20"/>
        </w:rPr>
        <w:t>boarders</w:t>
      </w:r>
      <w:r>
        <w:rPr>
          <w:color w:val="231F20"/>
          <w:spacing w:val="-5"/>
        </w:rPr>
        <w:t> </w:t>
      </w:r>
      <w:r>
        <w:rPr>
          <w:color w:val="231F20"/>
          <w:spacing w:val="-1"/>
        </w:rPr>
        <w:t>is</w:t>
      </w:r>
      <w:r>
        <w:rPr>
          <w:color w:val="231F20"/>
          <w:spacing w:val="-4"/>
        </w:rPr>
        <w:t> </w:t>
      </w:r>
      <w:r>
        <w:rPr>
          <w:color w:val="231F20"/>
        </w:rPr>
        <w:t>outside</w:t>
      </w:r>
      <w:r>
        <w:rPr>
          <w:color w:val="231F20"/>
        </w:rPr>
        <w:t> </w:t>
      </w:r>
      <w:r>
        <w:rPr>
          <w:color w:val="231F20"/>
          <w:spacing w:val="4"/>
        </w:rPr>
        <w:t>       </w:t>
      </w:r>
      <w:r>
        <w:rPr>
          <w:rFonts w:ascii="Segoe UI"/>
          <w:color w:val="231F20"/>
        </w:rPr>
        <w:t>the scope of this report but sufficient data and</w:t>
      </w:r>
      <w:r>
        <w:rPr>
          <w:rFonts w:ascii="Segoe UI"/>
          <w:color w:val="231F20"/>
        </w:rPr>
        <w:t> </w:t>
      </w:r>
      <w:r>
        <w:rPr>
          <w:color w:val="231F20"/>
          <w:spacing w:val="-1"/>
        </w:rPr>
        <w:t>information</w:t>
      </w:r>
      <w:r>
        <w:rPr>
          <w:color w:val="231F20"/>
          <w:spacing w:val="-6"/>
        </w:rPr>
        <w:t> </w:t>
      </w:r>
      <w:r>
        <w:rPr>
          <w:color w:val="231F20"/>
        </w:rPr>
        <w:t>from</w:t>
      </w:r>
      <w:r>
        <w:rPr>
          <w:color w:val="231F20"/>
          <w:spacing w:val="-5"/>
        </w:rPr>
        <w:t> </w:t>
      </w:r>
      <w:r>
        <w:rPr>
          <w:color w:val="231F20"/>
        </w:rPr>
        <w:t>consultations</w:t>
      </w:r>
      <w:r>
        <w:rPr>
          <w:color w:val="231F20"/>
          <w:spacing w:val="-6"/>
        </w:rPr>
        <w:t> </w:t>
      </w:r>
      <w:r>
        <w:rPr>
          <w:color w:val="231F20"/>
        </w:rPr>
        <w:t>and</w:t>
      </w:r>
      <w:r>
        <w:rPr>
          <w:color w:val="231F20"/>
          <w:spacing w:val="-6"/>
        </w:rPr>
        <w:t> </w:t>
      </w:r>
      <w:r>
        <w:rPr>
          <w:color w:val="231F20"/>
        </w:rPr>
        <w:t>the</w:t>
      </w:r>
      <w:r>
        <w:rPr>
          <w:color w:val="231F20"/>
          <w:spacing w:val="-6"/>
        </w:rPr>
        <w:t> </w:t>
      </w:r>
      <w:r>
        <w:rPr>
          <w:color w:val="231F20"/>
        </w:rPr>
        <w:t>three</w:t>
      </w:r>
      <w:r>
        <w:rPr>
          <w:color w:val="231F20"/>
          <w:spacing w:val="22"/>
          <w:w w:val="99"/>
        </w:rPr>
        <w:t> </w:t>
      </w:r>
      <w:r>
        <w:rPr>
          <w:rFonts w:ascii="Segoe UI"/>
          <w:color w:val="231F20"/>
        </w:rPr>
        <w:t>year financial trend was available to reach some</w:t>
      </w:r>
      <w:r>
        <w:rPr>
          <w:rFonts w:ascii="Segoe UI"/>
          <w:color w:val="231F20"/>
        </w:rPr>
        <w:t> </w:t>
      </w:r>
      <w:r>
        <w:rPr>
          <w:color w:val="231F20"/>
        </w:rPr>
        <w:t>conclusions:</w:t>
      </w:r>
      <w:r>
        <w:rPr/>
      </w:r>
    </w:p>
    <w:p>
      <w:pPr>
        <w:pStyle w:val="BodyText"/>
        <w:spacing w:line="250" w:lineRule="exact" w:before="113"/>
        <w:ind w:left="327" w:right="162" w:hanging="227"/>
        <w:jc w:val="left"/>
      </w:pPr>
      <w:r>
        <w:rPr>
          <w:rFonts w:ascii="Century Gothic" w:hAnsi="Century Gothic" w:cs="Century Gothic" w:eastAsia="Century Gothic"/>
          <w:color w:val="231F20"/>
        </w:rPr>
        <w:t>» </w:t>
      </w:r>
      <w:r>
        <w:rPr>
          <w:rFonts w:ascii="Century Gothic" w:hAnsi="Century Gothic" w:cs="Century Gothic" w:eastAsia="Century Gothic"/>
          <w:color w:val="231F20"/>
          <w:spacing w:val="23"/>
        </w:rPr>
        <w:t> </w:t>
      </w:r>
      <w:r>
        <w:rPr>
          <w:color w:val="231F20"/>
          <w:spacing w:val="-1"/>
        </w:rPr>
        <w:t>Support</w:t>
      </w:r>
      <w:r>
        <w:rPr>
          <w:color w:val="231F20"/>
          <w:spacing w:val="-3"/>
        </w:rPr>
        <w:t> </w:t>
      </w:r>
      <w:r>
        <w:rPr>
          <w:color w:val="231F20"/>
          <w:spacing w:val="-1"/>
        </w:rPr>
        <w:t>services</w:t>
      </w:r>
      <w:r>
        <w:rPr>
          <w:color w:val="231F20"/>
          <w:spacing w:val="-3"/>
        </w:rPr>
        <w:t> </w:t>
      </w:r>
      <w:r>
        <w:rPr>
          <w:color w:val="231F20"/>
        </w:rPr>
        <w:t>are</w:t>
      </w:r>
      <w:r>
        <w:rPr>
          <w:color w:val="231F20"/>
          <w:spacing w:val="-4"/>
        </w:rPr>
        <w:t> </w:t>
      </w:r>
      <w:r>
        <w:rPr>
          <w:color w:val="231F20"/>
        </w:rPr>
        <w:t>essential</w:t>
      </w:r>
      <w:r>
        <w:rPr>
          <w:color w:val="231F20"/>
          <w:spacing w:val="-4"/>
        </w:rPr>
        <w:t> </w:t>
      </w:r>
      <w:r>
        <w:rPr>
          <w:color w:val="231F20"/>
        </w:rPr>
        <w:t>for</w:t>
      </w:r>
      <w:r>
        <w:rPr>
          <w:color w:val="231F20"/>
          <w:spacing w:val="-2"/>
        </w:rPr>
        <w:t> </w:t>
      </w:r>
      <w:r>
        <w:rPr>
          <w:color w:val="231F20"/>
        </w:rPr>
        <w:t>achieving</w:t>
      </w:r>
      <w:r>
        <w:rPr>
          <w:color w:val="231F20"/>
          <w:spacing w:val="23"/>
          <w:w w:val="99"/>
        </w:rPr>
        <w:t> </w:t>
      </w:r>
      <w:r>
        <w:rPr>
          <w:color w:val="231F20"/>
        </w:rPr>
        <w:t>positive</w:t>
      </w:r>
      <w:r>
        <w:rPr>
          <w:color w:val="231F20"/>
          <w:spacing w:val="-5"/>
        </w:rPr>
        <w:t> </w:t>
      </w:r>
      <w:r>
        <w:rPr>
          <w:color w:val="231F20"/>
        </w:rPr>
        <w:t>outcomes</w:t>
      </w:r>
      <w:r>
        <w:rPr>
          <w:color w:val="231F20"/>
          <w:spacing w:val="-5"/>
        </w:rPr>
        <w:t> </w:t>
      </w:r>
      <w:r>
        <w:rPr>
          <w:color w:val="231F20"/>
        </w:rPr>
        <w:t>for</w:t>
      </w:r>
      <w:r>
        <w:rPr>
          <w:color w:val="231F20"/>
          <w:spacing w:val="-3"/>
        </w:rPr>
        <w:t> </w:t>
      </w:r>
      <w:r>
        <w:rPr>
          <w:color w:val="231F20"/>
        </w:rPr>
        <w:t>boarders</w:t>
      </w:r>
      <w:r>
        <w:rPr>
          <w:color w:val="231F20"/>
          <w:spacing w:val="-5"/>
        </w:rPr>
        <w:t> </w:t>
      </w:r>
      <w:r>
        <w:rPr>
          <w:color w:val="231F20"/>
        </w:rPr>
        <w:t>and</w:t>
      </w:r>
      <w:r>
        <w:rPr>
          <w:color w:val="231F20"/>
          <w:spacing w:val="-4"/>
        </w:rPr>
        <w:t> </w:t>
      </w:r>
      <w:r>
        <w:rPr>
          <w:color w:val="231F20"/>
        </w:rPr>
        <w:t>their</w:t>
      </w:r>
      <w:r>
        <w:rPr>
          <w:color w:val="231F20"/>
          <w:w w:val="99"/>
        </w:rPr>
        <w:t> </w:t>
      </w:r>
      <w:r>
        <w:rPr>
          <w:color w:val="231F20"/>
        </w:rPr>
        <w:t>families</w:t>
      </w:r>
      <w:r>
        <w:rPr>
          <w:color w:val="231F20"/>
          <w:spacing w:val="-2"/>
        </w:rPr>
        <w:t> </w:t>
      </w:r>
      <w:r>
        <w:rPr>
          <w:color w:val="231F20"/>
        </w:rPr>
        <w:t>and</w:t>
      </w:r>
      <w:r>
        <w:rPr>
          <w:color w:val="231F20"/>
          <w:spacing w:val="-2"/>
        </w:rPr>
        <w:t> </w:t>
      </w:r>
      <w:r>
        <w:rPr>
          <w:color w:val="231F20"/>
        </w:rPr>
        <w:t>communities—the</w:t>
      </w:r>
      <w:r>
        <w:rPr>
          <w:color w:val="231F20"/>
          <w:spacing w:val="-2"/>
        </w:rPr>
        <w:t> </w:t>
      </w:r>
      <w:r>
        <w:rPr>
          <w:color w:val="231F20"/>
          <w:spacing w:val="-1"/>
        </w:rPr>
        <w:t>services </w:t>
      </w:r>
      <w:r>
        <w:rPr>
          <w:color w:val="231F20"/>
        </w:rPr>
        <w:t>assist</w:t>
      </w:r>
      <w:r>
        <w:rPr>
          <w:color w:val="231F20"/>
          <w:spacing w:val="22"/>
        </w:rPr>
        <w:t> </w:t>
      </w:r>
      <w:r>
        <w:rPr>
          <w:color w:val="231F20"/>
        </w:rPr>
        <w:t>families</w:t>
      </w:r>
      <w:r>
        <w:rPr>
          <w:color w:val="231F20"/>
          <w:spacing w:val="-6"/>
        </w:rPr>
        <w:t> </w:t>
      </w:r>
      <w:r>
        <w:rPr>
          <w:color w:val="231F20"/>
          <w:spacing w:val="-1"/>
        </w:rPr>
        <w:t>in</w:t>
      </w:r>
      <w:r>
        <w:rPr>
          <w:color w:val="231F20"/>
          <w:spacing w:val="-5"/>
        </w:rPr>
        <w:t> </w:t>
      </w:r>
      <w:r>
        <w:rPr>
          <w:color w:val="231F20"/>
          <w:spacing w:val="-1"/>
        </w:rPr>
        <w:t>identifying</w:t>
      </w:r>
      <w:r>
        <w:rPr>
          <w:color w:val="231F20"/>
          <w:spacing w:val="-5"/>
        </w:rPr>
        <w:t> </w:t>
      </w:r>
      <w:r>
        <w:rPr>
          <w:color w:val="231F20"/>
        </w:rPr>
        <w:t>the</w:t>
      </w:r>
      <w:r>
        <w:rPr>
          <w:color w:val="231F20"/>
          <w:spacing w:val="-6"/>
        </w:rPr>
        <w:t> </w:t>
      </w:r>
      <w:r>
        <w:rPr>
          <w:color w:val="231F20"/>
        </w:rPr>
        <w:t>right</w:t>
      </w:r>
      <w:r>
        <w:rPr>
          <w:color w:val="231F20"/>
          <w:spacing w:val="-6"/>
        </w:rPr>
        <w:t> </w:t>
      </w:r>
      <w:r>
        <w:rPr>
          <w:color w:val="231F20"/>
        </w:rPr>
        <w:t>boarding</w:t>
      </w:r>
      <w:r>
        <w:rPr>
          <w:color w:val="231F20"/>
          <w:spacing w:val="23"/>
          <w:w w:val="99"/>
        </w:rPr>
        <w:t> </w:t>
      </w:r>
      <w:r>
        <w:rPr>
          <w:color w:val="231F20"/>
        </w:rPr>
        <w:t>option,</w:t>
      </w:r>
      <w:r>
        <w:rPr>
          <w:color w:val="231F20"/>
          <w:spacing w:val="-7"/>
        </w:rPr>
        <w:t> </w:t>
      </w:r>
      <w:r>
        <w:rPr>
          <w:color w:val="231F20"/>
        </w:rPr>
        <w:t>preparing</w:t>
      </w:r>
      <w:r>
        <w:rPr>
          <w:color w:val="231F20"/>
          <w:spacing w:val="-6"/>
        </w:rPr>
        <w:t> </w:t>
      </w:r>
      <w:r>
        <w:rPr>
          <w:color w:val="231F20"/>
        </w:rPr>
        <w:t>a</w:t>
      </w:r>
      <w:r>
        <w:rPr>
          <w:color w:val="231F20"/>
          <w:spacing w:val="-5"/>
        </w:rPr>
        <w:t> </w:t>
      </w:r>
      <w:r>
        <w:rPr>
          <w:color w:val="231F20"/>
          <w:spacing w:val="-1"/>
        </w:rPr>
        <w:t>student</w:t>
      </w:r>
      <w:r>
        <w:rPr>
          <w:color w:val="231F20"/>
          <w:spacing w:val="-5"/>
        </w:rPr>
        <w:t> </w:t>
      </w:r>
      <w:r>
        <w:rPr>
          <w:color w:val="231F20"/>
        </w:rPr>
        <w:t>and</w:t>
      </w:r>
      <w:r>
        <w:rPr>
          <w:color w:val="231F20"/>
          <w:spacing w:val="-6"/>
        </w:rPr>
        <w:t> </w:t>
      </w:r>
      <w:r>
        <w:rPr>
          <w:color w:val="231F20"/>
        </w:rPr>
        <w:t>families</w:t>
      </w:r>
      <w:r>
        <w:rPr/>
      </w:r>
    </w:p>
    <w:p>
      <w:pPr>
        <w:pStyle w:val="BodyText"/>
        <w:spacing w:line="250" w:lineRule="exact"/>
        <w:ind w:left="327" w:right="295"/>
        <w:jc w:val="left"/>
      </w:pPr>
      <w:r>
        <w:rPr>
          <w:color w:val="231F20"/>
        </w:rPr>
        <w:t>for</w:t>
      </w:r>
      <w:r>
        <w:rPr>
          <w:color w:val="231F20"/>
          <w:spacing w:val="-8"/>
        </w:rPr>
        <w:t> </w:t>
      </w:r>
      <w:r>
        <w:rPr>
          <w:color w:val="231F20"/>
        </w:rPr>
        <w:t>boarding,</w:t>
      </w:r>
      <w:r>
        <w:rPr>
          <w:color w:val="231F20"/>
          <w:spacing w:val="-8"/>
        </w:rPr>
        <w:t> </w:t>
      </w:r>
      <w:r>
        <w:rPr>
          <w:color w:val="231F20"/>
        </w:rPr>
        <w:t>and</w:t>
      </w:r>
      <w:r>
        <w:rPr>
          <w:color w:val="231F20"/>
          <w:spacing w:val="-7"/>
        </w:rPr>
        <w:t> </w:t>
      </w:r>
      <w:r>
        <w:rPr>
          <w:color w:val="231F20"/>
          <w:spacing w:val="-1"/>
        </w:rPr>
        <w:t>supporting</w:t>
      </w:r>
      <w:r>
        <w:rPr>
          <w:color w:val="231F20"/>
          <w:spacing w:val="-7"/>
        </w:rPr>
        <w:t> </w:t>
      </w:r>
      <w:r>
        <w:rPr>
          <w:color w:val="231F20"/>
        </w:rPr>
        <w:t>boarders</w:t>
      </w:r>
      <w:r>
        <w:rPr>
          <w:color w:val="231F20"/>
          <w:spacing w:val="-8"/>
        </w:rPr>
        <w:t> </w:t>
      </w:r>
      <w:r>
        <w:rPr>
          <w:color w:val="231F20"/>
        </w:rPr>
        <w:t>and</w:t>
      </w:r>
      <w:r>
        <w:rPr>
          <w:color w:val="231F20"/>
          <w:spacing w:val="22"/>
          <w:w w:val="99"/>
        </w:rPr>
        <w:t> </w:t>
      </w:r>
      <w:r>
        <w:rPr>
          <w:color w:val="231F20"/>
        </w:rPr>
        <w:t>families</w:t>
      </w:r>
      <w:r>
        <w:rPr>
          <w:color w:val="231F20"/>
          <w:spacing w:val="-4"/>
        </w:rPr>
        <w:t> </w:t>
      </w:r>
      <w:r>
        <w:rPr>
          <w:color w:val="231F20"/>
        </w:rPr>
        <w:t>while</w:t>
      </w:r>
      <w:r>
        <w:rPr>
          <w:color w:val="231F20"/>
          <w:spacing w:val="-5"/>
        </w:rPr>
        <w:t> </w:t>
      </w:r>
      <w:r>
        <w:rPr>
          <w:color w:val="231F20"/>
        </w:rPr>
        <w:t>a</w:t>
      </w:r>
      <w:r>
        <w:rPr>
          <w:color w:val="231F20"/>
          <w:spacing w:val="-3"/>
        </w:rPr>
        <w:t> </w:t>
      </w:r>
      <w:r>
        <w:rPr>
          <w:color w:val="231F20"/>
        </w:rPr>
        <w:t>boarder</w:t>
      </w:r>
      <w:r>
        <w:rPr>
          <w:color w:val="231F20"/>
          <w:spacing w:val="-3"/>
        </w:rPr>
        <w:t> </w:t>
      </w:r>
      <w:r>
        <w:rPr>
          <w:color w:val="231F20"/>
          <w:spacing w:val="-1"/>
        </w:rPr>
        <w:t>is</w:t>
      </w:r>
      <w:r>
        <w:rPr>
          <w:color w:val="231F20"/>
          <w:spacing w:val="-4"/>
        </w:rPr>
        <w:t> </w:t>
      </w:r>
      <w:r>
        <w:rPr>
          <w:color w:val="231F20"/>
        </w:rPr>
        <w:t>away</w:t>
      </w:r>
      <w:r>
        <w:rPr>
          <w:color w:val="231F20"/>
          <w:spacing w:val="-4"/>
        </w:rPr>
        <w:t> </w:t>
      </w:r>
      <w:r>
        <w:rPr>
          <w:color w:val="231F20"/>
        </w:rPr>
        <w:t>from</w:t>
      </w:r>
      <w:r>
        <w:rPr>
          <w:color w:val="231F20"/>
          <w:spacing w:val="-3"/>
        </w:rPr>
        <w:t> </w:t>
      </w:r>
      <w:r>
        <w:rPr>
          <w:color w:val="231F20"/>
        </w:rPr>
        <w:t>home</w:t>
      </w:r>
      <w:r>
        <w:rPr/>
      </w:r>
    </w:p>
    <w:p>
      <w:pPr>
        <w:pStyle w:val="BodyText"/>
        <w:spacing w:line="250" w:lineRule="exact" w:before="113"/>
        <w:ind w:left="327" w:right="131" w:hanging="227"/>
        <w:jc w:val="left"/>
      </w:pPr>
      <w:r>
        <w:rPr>
          <w:rFonts w:ascii="Century Gothic" w:hAnsi="Century Gothic"/>
          <w:color w:val="231F20"/>
        </w:rPr>
        <w:t>» </w:t>
      </w:r>
      <w:r>
        <w:rPr>
          <w:rFonts w:ascii="Century Gothic" w:hAnsi="Century Gothic"/>
          <w:color w:val="231F20"/>
          <w:spacing w:val="23"/>
        </w:rPr>
        <w:t> </w:t>
      </w:r>
      <w:r>
        <w:rPr>
          <w:color w:val="231F20"/>
          <w:spacing w:val="-1"/>
        </w:rPr>
        <w:t>Support</w:t>
      </w:r>
      <w:r>
        <w:rPr>
          <w:color w:val="231F20"/>
          <w:spacing w:val="-2"/>
        </w:rPr>
        <w:t> </w:t>
      </w:r>
      <w:r>
        <w:rPr>
          <w:color w:val="231F20"/>
          <w:spacing w:val="-1"/>
        </w:rPr>
        <w:t>services</w:t>
      </w:r>
      <w:r>
        <w:rPr>
          <w:color w:val="231F20"/>
          <w:spacing w:val="-3"/>
        </w:rPr>
        <w:t> </w:t>
      </w:r>
      <w:r>
        <w:rPr>
          <w:color w:val="231F20"/>
          <w:spacing w:val="-1"/>
        </w:rPr>
        <w:t>must</w:t>
      </w:r>
      <w:r>
        <w:rPr>
          <w:color w:val="231F20"/>
          <w:spacing w:val="-3"/>
        </w:rPr>
        <w:t> </w:t>
      </w:r>
      <w:r>
        <w:rPr>
          <w:color w:val="231F20"/>
        </w:rPr>
        <w:t>be</w:t>
      </w:r>
      <w:r>
        <w:rPr>
          <w:color w:val="231F20"/>
          <w:spacing w:val="-3"/>
        </w:rPr>
        <w:t> </w:t>
      </w:r>
      <w:r>
        <w:rPr>
          <w:color w:val="231F20"/>
        </w:rPr>
        <w:t>culturally</w:t>
      </w:r>
      <w:r>
        <w:rPr>
          <w:color w:val="231F20"/>
          <w:spacing w:val="24"/>
          <w:w w:val="99"/>
        </w:rPr>
        <w:t> </w:t>
      </w:r>
      <w:r>
        <w:rPr>
          <w:color w:val="231F20"/>
        </w:rPr>
        <w:t>appropriate</w:t>
      </w:r>
      <w:r>
        <w:rPr/>
      </w:r>
    </w:p>
    <w:p>
      <w:pPr>
        <w:pStyle w:val="BodyText"/>
        <w:spacing w:line="250" w:lineRule="exact" w:before="113"/>
        <w:ind w:left="327" w:right="337" w:hanging="227"/>
        <w:jc w:val="left"/>
      </w:pPr>
      <w:r>
        <w:rPr>
          <w:rFonts w:ascii="Century Gothic" w:hAnsi="Century Gothic"/>
          <w:color w:val="231F20"/>
        </w:rPr>
        <w:t>» </w:t>
      </w:r>
      <w:r>
        <w:rPr>
          <w:rFonts w:ascii="Century Gothic" w:hAnsi="Century Gothic"/>
          <w:color w:val="231F20"/>
          <w:spacing w:val="21"/>
        </w:rPr>
        <w:t> </w:t>
      </w:r>
      <w:r>
        <w:rPr>
          <w:color w:val="231F20"/>
        </w:rPr>
        <w:t>Health</w:t>
      </w:r>
      <w:r>
        <w:rPr>
          <w:color w:val="231F20"/>
          <w:spacing w:val="-4"/>
        </w:rPr>
        <w:t> </w:t>
      </w:r>
      <w:r>
        <w:rPr>
          <w:color w:val="231F20"/>
        </w:rPr>
        <w:t>and</w:t>
      </w:r>
      <w:r>
        <w:rPr>
          <w:color w:val="231F20"/>
          <w:spacing w:val="-5"/>
        </w:rPr>
        <w:t> </w:t>
      </w:r>
      <w:r>
        <w:rPr>
          <w:color w:val="231F20"/>
        </w:rPr>
        <w:t>well-being</w:t>
      </w:r>
      <w:r>
        <w:rPr>
          <w:color w:val="231F20"/>
          <w:spacing w:val="-6"/>
        </w:rPr>
        <w:t> </w:t>
      </w:r>
      <w:r>
        <w:rPr>
          <w:color w:val="231F20"/>
          <w:spacing w:val="-1"/>
        </w:rPr>
        <w:t>support</w:t>
      </w:r>
      <w:r>
        <w:rPr>
          <w:color w:val="231F20"/>
          <w:spacing w:val="-4"/>
        </w:rPr>
        <w:t> </w:t>
      </w:r>
      <w:r>
        <w:rPr>
          <w:color w:val="231F20"/>
          <w:spacing w:val="-1"/>
        </w:rPr>
        <w:t>services</w:t>
      </w:r>
      <w:r>
        <w:rPr>
          <w:color w:val="231F20"/>
          <w:spacing w:val="-4"/>
        </w:rPr>
        <w:t> </w:t>
      </w:r>
      <w:r>
        <w:rPr>
          <w:color w:val="231F20"/>
        </w:rPr>
        <w:t>are</w:t>
      </w:r>
      <w:r>
        <w:rPr>
          <w:color w:val="231F20"/>
          <w:spacing w:val="23"/>
          <w:w w:val="99"/>
        </w:rPr>
        <w:t> </w:t>
      </w:r>
      <w:r>
        <w:rPr>
          <w:color w:val="231F20"/>
        </w:rPr>
        <w:t>a</w:t>
      </w:r>
      <w:r>
        <w:rPr>
          <w:color w:val="231F20"/>
          <w:spacing w:val="-5"/>
        </w:rPr>
        <w:t> </w:t>
      </w:r>
      <w:r>
        <w:rPr>
          <w:color w:val="231F20"/>
          <w:spacing w:val="-1"/>
        </w:rPr>
        <w:t>major</w:t>
      </w:r>
      <w:r>
        <w:rPr>
          <w:color w:val="231F20"/>
          <w:spacing w:val="-5"/>
        </w:rPr>
        <w:t> </w:t>
      </w:r>
      <w:r>
        <w:rPr>
          <w:color w:val="231F20"/>
        </w:rPr>
        <w:t>component</w:t>
      </w:r>
      <w:r>
        <w:rPr>
          <w:color w:val="231F20"/>
          <w:spacing w:val="-5"/>
        </w:rPr>
        <w:t> </w:t>
      </w:r>
      <w:r>
        <w:rPr>
          <w:color w:val="231F20"/>
        </w:rPr>
        <w:t>of</w:t>
      </w:r>
      <w:r>
        <w:rPr>
          <w:color w:val="231F20"/>
          <w:spacing w:val="-5"/>
        </w:rPr>
        <w:t> </w:t>
      </w:r>
      <w:r>
        <w:rPr>
          <w:color w:val="231F20"/>
        </w:rPr>
        <w:t>the</w:t>
      </w:r>
      <w:r>
        <w:rPr>
          <w:color w:val="231F20"/>
          <w:spacing w:val="-6"/>
        </w:rPr>
        <w:t> </w:t>
      </w:r>
      <w:r>
        <w:rPr>
          <w:color w:val="231F20"/>
          <w:spacing w:val="-1"/>
        </w:rPr>
        <w:t>support</w:t>
      </w:r>
      <w:r>
        <w:rPr>
          <w:color w:val="231F20"/>
          <w:spacing w:val="-4"/>
        </w:rPr>
        <w:t> </w:t>
      </w:r>
      <w:r>
        <w:rPr>
          <w:color w:val="231F20"/>
          <w:spacing w:val="-1"/>
        </w:rPr>
        <w:t>services.</w:t>
      </w:r>
      <w:r>
        <w:rPr>
          <w:color w:val="231F20"/>
          <w:spacing w:val="22"/>
        </w:rPr>
        <w:t> </w:t>
      </w:r>
      <w:r>
        <w:rPr>
          <w:color w:val="231F20"/>
          <w:spacing w:val="-1"/>
        </w:rPr>
        <w:t>Demand</w:t>
      </w:r>
      <w:r>
        <w:rPr>
          <w:color w:val="231F20"/>
          <w:spacing w:val="-3"/>
        </w:rPr>
        <w:t> </w:t>
      </w:r>
      <w:r>
        <w:rPr>
          <w:color w:val="231F20"/>
        </w:rPr>
        <w:t>for</w:t>
      </w:r>
      <w:r>
        <w:rPr>
          <w:color w:val="231F20"/>
          <w:spacing w:val="-2"/>
        </w:rPr>
        <w:t> </w:t>
      </w:r>
      <w:r>
        <w:rPr>
          <w:color w:val="231F20"/>
        </w:rPr>
        <w:t>these</w:t>
      </w:r>
      <w:r>
        <w:rPr>
          <w:color w:val="231F20"/>
          <w:spacing w:val="-3"/>
        </w:rPr>
        <w:t> </w:t>
      </w:r>
      <w:r>
        <w:rPr>
          <w:color w:val="231F20"/>
          <w:spacing w:val="-1"/>
        </w:rPr>
        <w:t>services</w:t>
      </w:r>
      <w:r>
        <w:rPr>
          <w:color w:val="231F20"/>
          <w:spacing w:val="-2"/>
        </w:rPr>
        <w:t> </w:t>
      </w:r>
      <w:r>
        <w:rPr>
          <w:color w:val="231F20"/>
        </w:rPr>
        <w:t>are</w:t>
      </w:r>
      <w:r>
        <w:rPr>
          <w:color w:val="231F20"/>
          <w:spacing w:val="-4"/>
        </w:rPr>
        <w:t> </w:t>
      </w:r>
      <w:r>
        <w:rPr>
          <w:color w:val="231F20"/>
        </w:rPr>
        <w:t>higher</w:t>
      </w:r>
      <w:r>
        <w:rPr>
          <w:color w:val="231F20"/>
          <w:spacing w:val="-3"/>
        </w:rPr>
        <w:t> </w:t>
      </w:r>
      <w:r>
        <w:rPr>
          <w:color w:val="231F20"/>
        </w:rPr>
        <w:t>at</w:t>
      </w:r>
      <w:r>
        <w:rPr>
          <w:color w:val="231F20"/>
          <w:spacing w:val="-2"/>
        </w:rPr>
        <w:t> </w:t>
      </w:r>
      <w:r>
        <w:rPr>
          <w:color w:val="231F20"/>
        </w:rPr>
        <w:t>the</w:t>
      </w:r>
      <w:r>
        <w:rPr>
          <w:color w:val="231F20"/>
          <w:spacing w:val="23"/>
          <w:w w:val="99"/>
        </w:rPr>
        <w:t> </w:t>
      </w:r>
      <w:r>
        <w:rPr>
          <w:color w:val="231F20"/>
        </w:rPr>
        <w:t>commencement</w:t>
      </w:r>
      <w:r>
        <w:rPr>
          <w:color w:val="231F20"/>
          <w:spacing w:val="-6"/>
        </w:rPr>
        <w:t> </w:t>
      </w:r>
      <w:r>
        <w:rPr>
          <w:color w:val="231F20"/>
        </w:rPr>
        <w:t>of</w:t>
      </w:r>
      <w:r>
        <w:rPr>
          <w:color w:val="231F20"/>
          <w:spacing w:val="-4"/>
        </w:rPr>
        <w:t> </w:t>
      </w:r>
      <w:r>
        <w:rPr>
          <w:color w:val="231F20"/>
        </w:rPr>
        <w:t>boarding</w:t>
      </w:r>
      <w:r>
        <w:rPr>
          <w:color w:val="231F20"/>
          <w:spacing w:val="-5"/>
        </w:rPr>
        <w:t> </w:t>
      </w:r>
      <w:r>
        <w:rPr>
          <w:color w:val="231F20"/>
        </w:rPr>
        <w:t>and</w:t>
      </w:r>
      <w:r>
        <w:rPr>
          <w:color w:val="231F20"/>
          <w:spacing w:val="-6"/>
        </w:rPr>
        <w:t> </w:t>
      </w:r>
      <w:r>
        <w:rPr>
          <w:color w:val="231F20"/>
        </w:rPr>
        <w:t>each</w:t>
      </w:r>
      <w:r>
        <w:rPr>
          <w:color w:val="231F20"/>
          <w:spacing w:val="-4"/>
        </w:rPr>
        <w:t> </w:t>
      </w:r>
      <w:r>
        <w:rPr>
          <w:color w:val="231F20"/>
        </w:rPr>
        <w:t>term</w:t>
      </w:r>
      <w:r>
        <w:rPr/>
      </w:r>
    </w:p>
    <w:p>
      <w:pPr>
        <w:pStyle w:val="BodyText"/>
        <w:spacing w:line="250" w:lineRule="exact" w:before="113"/>
        <w:ind w:left="327" w:right="190" w:hanging="227"/>
        <w:jc w:val="left"/>
      </w:pPr>
      <w:r>
        <w:rPr>
          <w:rFonts w:ascii="Century Gothic" w:hAnsi="Century Gothic"/>
          <w:color w:val="231F20"/>
        </w:rPr>
        <w:t>» </w:t>
      </w:r>
      <w:r>
        <w:rPr>
          <w:rFonts w:ascii="Century Gothic" w:hAnsi="Century Gothic"/>
          <w:color w:val="231F20"/>
          <w:spacing w:val="24"/>
        </w:rPr>
        <w:t> </w:t>
      </w:r>
      <w:r>
        <w:rPr>
          <w:color w:val="231F20"/>
          <w:spacing w:val="-1"/>
        </w:rPr>
        <w:t>Support</w:t>
      </w:r>
      <w:r>
        <w:rPr>
          <w:color w:val="231F20"/>
          <w:spacing w:val="-3"/>
        </w:rPr>
        <w:t> </w:t>
      </w:r>
      <w:r>
        <w:rPr>
          <w:color w:val="231F20"/>
          <w:spacing w:val="-1"/>
        </w:rPr>
        <w:t>services</w:t>
      </w:r>
      <w:r>
        <w:rPr>
          <w:color w:val="231F20"/>
          <w:spacing w:val="-3"/>
        </w:rPr>
        <w:t> </w:t>
      </w:r>
      <w:r>
        <w:rPr>
          <w:color w:val="231F20"/>
        </w:rPr>
        <w:t>add</w:t>
      </w:r>
      <w:r>
        <w:rPr>
          <w:color w:val="231F20"/>
          <w:spacing w:val="-4"/>
        </w:rPr>
        <w:t> </w:t>
      </w:r>
      <w:r>
        <w:rPr>
          <w:color w:val="231F20"/>
        </w:rPr>
        <w:t>to</w:t>
      </w:r>
      <w:r>
        <w:rPr>
          <w:color w:val="231F20"/>
          <w:spacing w:val="-2"/>
        </w:rPr>
        <w:t> </w:t>
      </w:r>
      <w:r>
        <w:rPr>
          <w:color w:val="231F20"/>
        </w:rPr>
        <w:t>the</w:t>
      </w:r>
      <w:r>
        <w:rPr>
          <w:color w:val="231F20"/>
          <w:spacing w:val="-4"/>
        </w:rPr>
        <w:t> </w:t>
      </w:r>
      <w:r>
        <w:rPr>
          <w:color w:val="231F20"/>
        </w:rPr>
        <w:t>cost</w:t>
      </w:r>
      <w:r>
        <w:rPr>
          <w:color w:val="231F20"/>
          <w:spacing w:val="-4"/>
        </w:rPr>
        <w:t> </w:t>
      </w:r>
      <w:r>
        <w:rPr>
          <w:color w:val="231F20"/>
        </w:rPr>
        <w:t>of</w:t>
      </w:r>
      <w:r>
        <w:rPr>
          <w:color w:val="231F20"/>
          <w:spacing w:val="-3"/>
        </w:rPr>
        <w:t> </w:t>
      </w:r>
      <w:r>
        <w:rPr>
          <w:color w:val="231F20"/>
        </w:rPr>
        <w:t>boarding</w:t>
      </w:r>
      <w:r>
        <w:rPr>
          <w:color w:val="231F20"/>
          <w:spacing w:val="23"/>
          <w:w w:val="99"/>
        </w:rPr>
        <w:t> </w:t>
      </w:r>
      <w:r>
        <w:rPr>
          <w:rFonts w:ascii="Segoe UI" w:hAnsi="Segoe UI"/>
          <w:color w:val="231F20"/>
        </w:rPr>
        <w:t>delivery</w:t>
      </w:r>
      <w:r>
        <w:rPr>
          <w:rFonts w:ascii="Segoe UI" w:hAnsi="Segoe UI"/>
          <w:color w:val="231F20"/>
          <w:spacing w:val="-1"/>
        </w:rPr>
        <w:t> </w:t>
      </w:r>
      <w:r>
        <w:rPr>
          <w:rFonts w:ascii="Segoe UI" w:hAnsi="Segoe UI"/>
          <w:color w:val="231F20"/>
        </w:rPr>
        <w:t>and</w:t>
      </w:r>
      <w:r>
        <w:rPr>
          <w:rFonts w:ascii="Segoe UI" w:hAnsi="Segoe UI"/>
          <w:color w:val="231F20"/>
          <w:spacing w:val="-1"/>
        </w:rPr>
        <w:t> </w:t>
      </w:r>
      <w:r>
        <w:rPr>
          <w:rFonts w:ascii="Segoe UI" w:hAnsi="Segoe UI"/>
          <w:color w:val="231F20"/>
        </w:rPr>
        <w:t>require lower</w:t>
      </w:r>
      <w:r>
        <w:rPr>
          <w:rFonts w:ascii="Segoe UI" w:hAnsi="Segoe UI"/>
          <w:color w:val="231F20"/>
          <w:spacing w:val="-1"/>
        </w:rPr>
        <w:t> </w:t>
      </w:r>
      <w:r>
        <w:rPr>
          <w:rFonts w:ascii="Segoe UI" w:hAnsi="Segoe UI"/>
          <w:color w:val="231F20"/>
        </w:rPr>
        <w:t>staff</w:t>
      </w:r>
      <w:r>
        <w:rPr>
          <w:rFonts w:ascii="Segoe UI" w:hAnsi="Segoe UI"/>
          <w:color w:val="231F20"/>
          <w:spacing w:val="-1"/>
        </w:rPr>
        <w:t> </w:t>
      </w:r>
      <w:r>
        <w:rPr>
          <w:rFonts w:ascii="Segoe UI" w:hAnsi="Segoe UI"/>
          <w:color w:val="231F20"/>
        </w:rPr>
        <w:t>to student</w:t>
      </w:r>
      <w:r>
        <w:rPr>
          <w:rFonts w:ascii="Segoe UI" w:hAnsi="Segoe UI"/>
          <w:color w:val="231F20"/>
        </w:rPr>
        <w:t> </w:t>
      </w:r>
      <w:r>
        <w:rPr>
          <w:color w:val="231F20"/>
        </w:rPr>
        <w:t>ratios.</w:t>
      </w:r>
      <w:r>
        <w:rPr>
          <w:color w:val="231F20"/>
          <w:spacing w:val="-5"/>
        </w:rPr>
        <w:t> </w:t>
      </w:r>
      <w:r>
        <w:rPr>
          <w:color w:val="231F20"/>
        </w:rPr>
        <w:t>There</w:t>
      </w:r>
      <w:r>
        <w:rPr>
          <w:color w:val="231F20"/>
          <w:spacing w:val="-4"/>
        </w:rPr>
        <w:t> </w:t>
      </w:r>
      <w:r>
        <w:rPr>
          <w:color w:val="231F20"/>
          <w:spacing w:val="-1"/>
        </w:rPr>
        <w:t>is</w:t>
      </w:r>
      <w:r>
        <w:rPr>
          <w:color w:val="231F20"/>
          <w:spacing w:val="-4"/>
        </w:rPr>
        <w:t> </w:t>
      </w:r>
      <w:r>
        <w:rPr>
          <w:color w:val="231F20"/>
        </w:rPr>
        <w:t>no</w:t>
      </w:r>
      <w:r>
        <w:rPr>
          <w:color w:val="231F20"/>
          <w:spacing w:val="-4"/>
        </w:rPr>
        <w:t> </w:t>
      </w:r>
      <w:r>
        <w:rPr>
          <w:color w:val="231F20"/>
        </w:rPr>
        <w:t>unit</w:t>
      </w:r>
      <w:r>
        <w:rPr>
          <w:color w:val="231F20"/>
          <w:spacing w:val="-5"/>
        </w:rPr>
        <w:t> </w:t>
      </w:r>
      <w:r>
        <w:rPr>
          <w:color w:val="231F20"/>
        </w:rPr>
        <w:t>cost</w:t>
      </w:r>
      <w:r>
        <w:rPr>
          <w:color w:val="231F20"/>
          <w:spacing w:val="-4"/>
        </w:rPr>
        <w:t> </w:t>
      </w:r>
      <w:r>
        <w:rPr>
          <w:color w:val="231F20"/>
        </w:rPr>
        <w:t>for</w:t>
      </w:r>
      <w:r>
        <w:rPr>
          <w:color w:val="231F20"/>
          <w:spacing w:val="-4"/>
        </w:rPr>
        <w:t> </w:t>
      </w:r>
      <w:r>
        <w:rPr>
          <w:color w:val="231F20"/>
          <w:spacing w:val="-1"/>
        </w:rPr>
        <w:t>support</w:t>
      </w:r>
      <w:r>
        <w:rPr>
          <w:color w:val="231F20"/>
          <w:spacing w:val="21"/>
          <w:w w:val="99"/>
        </w:rPr>
        <w:t> </w:t>
      </w:r>
      <w:r>
        <w:rPr>
          <w:color w:val="231F20"/>
          <w:spacing w:val="-1"/>
        </w:rPr>
        <w:t>services</w:t>
      </w:r>
      <w:r>
        <w:rPr>
          <w:color w:val="231F20"/>
          <w:spacing w:val="-3"/>
        </w:rPr>
        <w:t> </w:t>
      </w:r>
      <w:r>
        <w:rPr>
          <w:color w:val="231F20"/>
        </w:rPr>
        <w:t>as</w:t>
      </w:r>
      <w:r>
        <w:rPr>
          <w:color w:val="231F20"/>
          <w:spacing w:val="-3"/>
        </w:rPr>
        <w:t> </w:t>
      </w:r>
      <w:r>
        <w:rPr>
          <w:color w:val="231F20"/>
        </w:rPr>
        <w:t>the</w:t>
      </w:r>
      <w:r>
        <w:rPr>
          <w:color w:val="231F20"/>
          <w:spacing w:val="-4"/>
        </w:rPr>
        <w:t> </w:t>
      </w:r>
      <w:r>
        <w:rPr>
          <w:color w:val="231F20"/>
        </w:rPr>
        <w:t>nature</w:t>
      </w:r>
      <w:r>
        <w:rPr>
          <w:color w:val="231F20"/>
          <w:spacing w:val="-2"/>
        </w:rPr>
        <w:t> </w:t>
      </w:r>
      <w:r>
        <w:rPr>
          <w:color w:val="231F20"/>
        </w:rPr>
        <w:t>of</w:t>
      </w:r>
      <w:r>
        <w:rPr>
          <w:color w:val="231F20"/>
          <w:spacing w:val="-3"/>
        </w:rPr>
        <w:t> </w:t>
      </w:r>
      <w:r>
        <w:rPr>
          <w:color w:val="231F20"/>
        </w:rPr>
        <w:t>the</w:t>
      </w:r>
      <w:r>
        <w:rPr>
          <w:color w:val="231F20"/>
          <w:spacing w:val="-3"/>
        </w:rPr>
        <w:t> </w:t>
      </w:r>
      <w:r>
        <w:rPr>
          <w:color w:val="231F20"/>
          <w:spacing w:val="-1"/>
        </w:rPr>
        <w:t>services</w:t>
      </w:r>
      <w:r>
        <w:rPr>
          <w:color w:val="231F20"/>
          <w:spacing w:val="-2"/>
        </w:rPr>
        <w:t> </w:t>
      </w:r>
      <w:r>
        <w:rPr>
          <w:color w:val="231F20"/>
        </w:rPr>
        <w:t>and</w:t>
      </w:r>
      <w:r>
        <w:rPr>
          <w:color w:val="231F20"/>
          <w:spacing w:val="-4"/>
        </w:rPr>
        <w:t> </w:t>
      </w:r>
      <w:r>
        <w:rPr>
          <w:color w:val="231F20"/>
        </w:rPr>
        <w:t>the</w:t>
      </w:r>
      <w:r>
        <w:rPr>
          <w:color w:val="231F20"/>
          <w:spacing w:val="23"/>
          <w:w w:val="99"/>
        </w:rPr>
        <w:t> </w:t>
      </w:r>
      <w:r>
        <w:rPr>
          <w:color w:val="231F20"/>
        </w:rPr>
        <w:t>cost</w:t>
      </w:r>
      <w:r>
        <w:rPr>
          <w:color w:val="231F20"/>
          <w:spacing w:val="-8"/>
        </w:rPr>
        <w:t> </w:t>
      </w:r>
      <w:r>
        <w:rPr>
          <w:color w:val="231F20"/>
        </w:rPr>
        <w:t>varies</w:t>
      </w:r>
      <w:r>
        <w:rPr>
          <w:color w:val="231F20"/>
          <w:spacing w:val="-6"/>
        </w:rPr>
        <w:t> </w:t>
      </w:r>
      <w:r>
        <w:rPr>
          <w:color w:val="231F20"/>
        </w:rPr>
        <w:t>depending</w:t>
      </w:r>
      <w:r>
        <w:rPr>
          <w:color w:val="231F20"/>
          <w:spacing w:val="-8"/>
        </w:rPr>
        <w:t> </w:t>
      </w:r>
      <w:r>
        <w:rPr>
          <w:color w:val="231F20"/>
        </w:rPr>
        <w:t>on</w:t>
      </w:r>
      <w:r>
        <w:rPr>
          <w:color w:val="231F20"/>
          <w:spacing w:val="-6"/>
        </w:rPr>
        <w:t> </w:t>
      </w:r>
      <w:r>
        <w:rPr>
          <w:color w:val="231F20"/>
        </w:rPr>
        <w:t>the</w:t>
      </w:r>
      <w:r>
        <w:rPr>
          <w:color w:val="231F20"/>
          <w:spacing w:val="-8"/>
        </w:rPr>
        <w:t> </w:t>
      </w:r>
      <w:r>
        <w:rPr>
          <w:color w:val="231F20"/>
        </w:rPr>
        <w:t>circumstances</w:t>
      </w:r>
      <w:r>
        <w:rPr>
          <w:color w:val="231F20"/>
          <w:w w:val="99"/>
        </w:rPr>
        <w:t> </w:t>
      </w:r>
      <w:r>
        <w:rPr>
          <w:color w:val="231F20"/>
        </w:rPr>
        <w:t>of</w:t>
      </w:r>
      <w:r>
        <w:rPr>
          <w:color w:val="231F20"/>
          <w:spacing w:val="-7"/>
        </w:rPr>
        <w:t> </w:t>
      </w:r>
      <w:r>
        <w:rPr>
          <w:color w:val="231F20"/>
        </w:rPr>
        <w:t>boarding</w:t>
      </w:r>
      <w:r>
        <w:rPr>
          <w:color w:val="231F20"/>
          <w:spacing w:val="-7"/>
        </w:rPr>
        <w:t> </w:t>
      </w:r>
      <w:r>
        <w:rPr>
          <w:color w:val="231F20"/>
        </w:rPr>
        <w:t>providers</w:t>
      </w:r>
      <w:r>
        <w:rPr>
          <w:color w:val="231F20"/>
          <w:spacing w:val="-7"/>
        </w:rPr>
        <w:t> </w:t>
      </w:r>
      <w:r>
        <w:rPr>
          <w:color w:val="231F20"/>
        </w:rPr>
        <w:t>and</w:t>
      </w:r>
      <w:r>
        <w:rPr>
          <w:color w:val="231F20"/>
          <w:spacing w:val="-7"/>
        </w:rPr>
        <w:t> </w:t>
      </w:r>
      <w:r>
        <w:rPr>
          <w:color w:val="231F20"/>
        </w:rPr>
        <w:t>boarders</w:t>
      </w:r>
      <w:r>
        <w:rPr>
          <w:color w:val="231F20"/>
          <w:spacing w:val="-7"/>
        </w:rPr>
        <w:t> </w:t>
      </w:r>
      <w:r>
        <w:rPr>
          <w:color w:val="231F20"/>
        </w:rPr>
        <w:t>and</w:t>
      </w:r>
      <w:r>
        <w:rPr>
          <w:color w:val="231F20"/>
          <w:spacing w:val="-7"/>
        </w:rPr>
        <w:t> </w:t>
      </w:r>
      <w:r>
        <w:rPr>
          <w:color w:val="231F20"/>
        </w:rPr>
        <w:t>their</w:t>
      </w:r>
      <w:r>
        <w:rPr>
          <w:color w:val="231F20"/>
          <w:w w:val="99"/>
        </w:rPr>
        <w:t> </w:t>
      </w:r>
      <w:r>
        <w:rPr>
          <w:color w:val="231F20"/>
        </w:rPr>
        <w:t>families</w:t>
      </w:r>
      <w:r>
        <w:rPr/>
      </w:r>
    </w:p>
    <w:p>
      <w:pPr>
        <w:pStyle w:val="BodyText"/>
        <w:spacing w:line="250" w:lineRule="exact" w:before="113"/>
        <w:ind w:left="327" w:right="162" w:hanging="227"/>
        <w:jc w:val="left"/>
      </w:pPr>
      <w:r>
        <w:rPr>
          <w:rFonts w:ascii="Century Gothic" w:hAnsi="Century Gothic"/>
          <w:color w:val="231F20"/>
        </w:rPr>
        <w:t>» </w:t>
      </w:r>
      <w:r>
        <w:rPr>
          <w:rFonts w:ascii="Century Gothic" w:hAnsi="Century Gothic"/>
          <w:color w:val="231F20"/>
          <w:spacing w:val="24"/>
        </w:rPr>
        <w:t> </w:t>
      </w:r>
      <w:r>
        <w:rPr>
          <w:color w:val="231F20"/>
          <w:spacing w:val="-1"/>
        </w:rPr>
        <w:t>Current</w:t>
      </w:r>
      <w:r>
        <w:rPr>
          <w:color w:val="231F20"/>
          <w:spacing w:val="-3"/>
        </w:rPr>
        <w:t> </w:t>
      </w:r>
      <w:r>
        <w:rPr>
          <w:color w:val="231F20"/>
          <w:spacing w:val="-1"/>
        </w:rPr>
        <w:t>support</w:t>
      </w:r>
      <w:r>
        <w:rPr>
          <w:color w:val="231F20"/>
          <w:spacing w:val="-3"/>
        </w:rPr>
        <w:t> </w:t>
      </w:r>
      <w:r>
        <w:rPr>
          <w:color w:val="231F20"/>
          <w:spacing w:val="-1"/>
        </w:rPr>
        <w:t>services</w:t>
      </w:r>
      <w:r>
        <w:rPr>
          <w:color w:val="231F20"/>
          <w:spacing w:val="-3"/>
        </w:rPr>
        <w:t> </w:t>
      </w:r>
      <w:r>
        <w:rPr>
          <w:color w:val="231F20"/>
        </w:rPr>
        <w:t>for</w:t>
      </w:r>
      <w:r>
        <w:rPr>
          <w:color w:val="231F20"/>
          <w:spacing w:val="-2"/>
        </w:rPr>
        <w:t> </w:t>
      </w:r>
      <w:r>
        <w:rPr>
          <w:color w:val="231F20"/>
          <w:spacing w:val="-1"/>
        </w:rPr>
        <w:t>students</w:t>
      </w:r>
      <w:r>
        <w:rPr>
          <w:color w:val="231F20"/>
          <w:spacing w:val="-3"/>
        </w:rPr>
        <w:t> </w:t>
      </w:r>
      <w:r>
        <w:rPr>
          <w:color w:val="231F20"/>
        </w:rPr>
        <w:t>and</w:t>
      </w:r>
      <w:r>
        <w:rPr>
          <w:color w:val="231F20"/>
          <w:spacing w:val="25"/>
          <w:w w:val="99"/>
        </w:rPr>
        <w:t> </w:t>
      </w:r>
      <w:r>
        <w:rPr>
          <w:color w:val="231F20"/>
        </w:rPr>
        <w:t>families</w:t>
      </w:r>
      <w:r>
        <w:rPr>
          <w:color w:val="231F20"/>
          <w:spacing w:val="-7"/>
        </w:rPr>
        <w:t> </w:t>
      </w:r>
      <w:r>
        <w:rPr>
          <w:color w:val="231F20"/>
        </w:rPr>
        <w:t>(both</w:t>
      </w:r>
      <w:r>
        <w:rPr>
          <w:color w:val="231F20"/>
          <w:spacing w:val="-6"/>
        </w:rPr>
        <w:t> </w:t>
      </w:r>
      <w:r>
        <w:rPr>
          <w:color w:val="231F20"/>
          <w:spacing w:val="-1"/>
        </w:rPr>
        <w:t>internal</w:t>
      </w:r>
      <w:r>
        <w:rPr>
          <w:color w:val="231F20"/>
          <w:spacing w:val="-6"/>
        </w:rPr>
        <w:t> </w:t>
      </w:r>
      <w:r>
        <w:rPr>
          <w:color w:val="231F20"/>
        </w:rPr>
        <w:t>and</w:t>
      </w:r>
      <w:r>
        <w:rPr>
          <w:color w:val="231F20"/>
          <w:spacing w:val="-6"/>
        </w:rPr>
        <w:t> </w:t>
      </w:r>
      <w:r>
        <w:rPr>
          <w:color w:val="231F20"/>
        </w:rPr>
        <w:t>external),</w:t>
      </w:r>
      <w:r>
        <w:rPr>
          <w:color w:val="231F20"/>
          <w:spacing w:val="-6"/>
        </w:rPr>
        <w:t> </w:t>
      </w:r>
      <w:r>
        <w:rPr>
          <w:color w:val="231F20"/>
        </w:rPr>
        <w:t>while</w:t>
      </w:r>
      <w:r>
        <w:rPr>
          <w:color w:val="231F20"/>
          <w:spacing w:val="22"/>
          <w:w w:val="99"/>
        </w:rPr>
        <w:t> </w:t>
      </w:r>
      <w:r>
        <w:rPr>
          <w:color w:val="231F20"/>
          <w:spacing w:val="-1"/>
        </w:rPr>
        <w:t>important,</w:t>
      </w:r>
      <w:r>
        <w:rPr>
          <w:color w:val="231F20"/>
          <w:spacing w:val="-4"/>
        </w:rPr>
        <w:t> </w:t>
      </w:r>
      <w:r>
        <w:rPr>
          <w:color w:val="231F20"/>
        </w:rPr>
        <w:t>can</w:t>
      </w:r>
      <w:r>
        <w:rPr>
          <w:color w:val="231F20"/>
          <w:spacing w:val="-4"/>
        </w:rPr>
        <w:t> </w:t>
      </w:r>
      <w:r>
        <w:rPr>
          <w:color w:val="231F20"/>
        </w:rPr>
        <w:t>be</w:t>
      </w:r>
      <w:r>
        <w:rPr>
          <w:color w:val="231F20"/>
          <w:spacing w:val="-3"/>
        </w:rPr>
        <w:t> </w:t>
      </w:r>
      <w:r>
        <w:rPr>
          <w:color w:val="231F20"/>
          <w:spacing w:val="-1"/>
        </w:rPr>
        <w:t>inconsistent,</w:t>
      </w:r>
      <w:r>
        <w:rPr>
          <w:color w:val="231F20"/>
          <w:spacing w:val="-4"/>
        </w:rPr>
        <w:t> </w:t>
      </w:r>
      <w:r>
        <w:rPr>
          <w:color w:val="231F20"/>
        </w:rPr>
        <w:t>disjointed</w:t>
      </w:r>
      <w:r>
        <w:rPr>
          <w:color w:val="231F20"/>
          <w:spacing w:val="-4"/>
        </w:rPr>
        <w:t> </w:t>
      </w:r>
      <w:r>
        <w:rPr>
          <w:color w:val="231F20"/>
        </w:rPr>
        <w:t>and</w:t>
      </w:r>
      <w:r>
        <w:rPr>
          <w:color w:val="231F20"/>
          <w:spacing w:val="23"/>
          <w:w w:val="99"/>
        </w:rPr>
        <w:t> </w:t>
      </w:r>
      <w:r>
        <w:rPr>
          <w:color w:val="231F20"/>
        </w:rPr>
        <w:t>confusing</w:t>
      </w:r>
      <w:r>
        <w:rPr/>
      </w:r>
    </w:p>
    <w:p>
      <w:pPr>
        <w:pStyle w:val="BodyText"/>
        <w:spacing w:line="250" w:lineRule="exact" w:before="113"/>
        <w:ind w:left="327" w:right="202" w:hanging="227"/>
        <w:jc w:val="left"/>
      </w:pPr>
      <w:r>
        <w:rPr/>
        <w:pict>
          <v:group style="position:absolute;margin-left:525.409424pt;margin-top:110.846489pt;width:.1pt;height:.1pt;mso-position-horizontal-relative:page;mso-position-vertical-relative:paragraph;z-index:3544" coordorigin="10508,2217" coordsize="2,2">
            <v:shape style="position:absolute;left:10508;top:2217;width:2;height:2" coordorigin="10508,2217" coordsize="0,0" path="m10508,2217l10508,2217e" filled="false" stroked="true" strokeweight="2pt" strokecolor="#355f92">
              <v:path arrowok="t"/>
            </v:shape>
            <w10:wrap type="none"/>
          </v:group>
        </w:pict>
      </w:r>
      <w:r>
        <w:rPr/>
        <w:pict>
          <v:group style="position:absolute;margin-left:86.039398pt;margin-top:110.846489pt;width:.1pt;height:.1pt;mso-position-horizontal-relative:page;mso-position-vertical-relative:paragraph;z-index:3568" coordorigin="1721,2217" coordsize="2,2">
            <v:shape style="position:absolute;left:1721;top:2217;width:2;height:2" coordorigin="1721,2217" coordsize="0,0" path="m1721,2217l1721,2217e" filled="false" stroked="true" strokeweight="2pt" strokecolor="#355f92">
              <v:path arrowok="t"/>
            </v:shape>
            <w10:wrap type="none"/>
          </v:group>
        </w:pict>
      </w:r>
      <w:r>
        <w:rPr>
          <w:rFonts w:ascii="Century Gothic" w:hAnsi="Century Gothic"/>
          <w:color w:val="231F20"/>
        </w:rPr>
        <w:t>» </w:t>
      </w:r>
      <w:r>
        <w:rPr>
          <w:rFonts w:ascii="Century Gothic" w:hAnsi="Century Gothic"/>
          <w:color w:val="231F20"/>
          <w:spacing w:val="20"/>
        </w:rPr>
        <w:t> </w:t>
      </w:r>
      <w:r>
        <w:rPr>
          <w:color w:val="231F20"/>
        </w:rPr>
        <w:t>The</w:t>
      </w:r>
      <w:r>
        <w:rPr>
          <w:color w:val="231F20"/>
          <w:spacing w:val="-4"/>
        </w:rPr>
        <w:t> </w:t>
      </w:r>
      <w:r>
        <w:rPr>
          <w:color w:val="231F20"/>
          <w:spacing w:val="-2"/>
        </w:rPr>
        <w:t>Transition</w:t>
      </w:r>
      <w:r>
        <w:rPr>
          <w:color w:val="231F20"/>
          <w:spacing w:val="-6"/>
        </w:rPr>
        <w:t> </w:t>
      </w:r>
      <w:r>
        <w:rPr>
          <w:color w:val="231F20"/>
          <w:spacing w:val="-1"/>
        </w:rPr>
        <w:t>Support</w:t>
      </w:r>
      <w:r>
        <w:rPr>
          <w:color w:val="231F20"/>
          <w:spacing w:val="-4"/>
        </w:rPr>
        <w:t> </w:t>
      </w:r>
      <w:r>
        <w:rPr>
          <w:color w:val="231F20"/>
        </w:rPr>
        <w:t>Unit</w:t>
      </w:r>
      <w:r>
        <w:rPr>
          <w:color w:val="231F20"/>
          <w:spacing w:val="-4"/>
        </w:rPr>
        <w:t> </w:t>
      </w:r>
      <w:r>
        <w:rPr>
          <w:color w:val="231F20"/>
        </w:rPr>
        <w:t>(NT)</w:t>
      </w:r>
      <w:r>
        <w:rPr>
          <w:color w:val="231F20"/>
          <w:spacing w:val="-6"/>
        </w:rPr>
        <w:t> </w:t>
      </w:r>
      <w:r>
        <w:rPr>
          <w:color w:val="231F20"/>
        </w:rPr>
        <w:t>and</w:t>
      </w:r>
      <w:r>
        <w:rPr>
          <w:color w:val="231F20"/>
          <w:spacing w:val="24"/>
          <w:w w:val="99"/>
        </w:rPr>
        <w:t> </w:t>
      </w:r>
      <w:r>
        <w:rPr>
          <w:color w:val="231F20"/>
          <w:spacing w:val="-2"/>
        </w:rPr>
        <w:t>Transition</w:t>
      </w:r>
      <w:r>
        <w:rPr>
          <w:color w:val="231F20"/>
          <w:spacing w:val="-9"/>
        </w:rPr>
        <w:t> </w:t>
      </w:r>
      <w:r>
        <w:rPr>
          <w:color w:val="231F20"/>
          <w:spacing w:val="-1"/>
        </w:rPr>
        <w:t>Support</w:t>
      </w:r>
      <w:r>
        <w:rPr>
          <w:color w:val="231F20"/>
          <w:spacing w:val="-7"/>
        </w:rPr>
        <w:t> </w:t>
      </w:r>
      <w:r>
        <w:rPr>
          <w:color w:val="231F20"/>
          <w:spacing w:val="-1"/>
        </w:rPr>
        <w:t>Services</w:t>
      </w:r>
      <w:r>
        <w:rPr>
          <w:color w:val="231F20"/>
          <w:spacing w:val="-7"/>
        </w:rPr>
        <w:t> </w:t>
      </w:r>
      <w:r>
        <w:rPr>
          <w:color w:val="231F20"/>
        </w:rPr>
        <w:t>(Qld)</w:t>
      </w:r>
      <w:r>
        <w:rPr>
          <w:color w:val="231F20"/>
          <w:spacing w:val="-7"/>
        </w:rPr>
        <w:t> </w:t>
      </w:r>
      <w:r>
        <w:rPr>
          <w:color w:val="231F20"/>
        </w:rPr>
        <w:t>provide</w:t>
      </w:r>
      <w:r>
        <w:rPr>
          <w:color w:val="231F20"/>
          <w:spacing w:val="25"/>
          <w:w w:val="99"/>
        </w:rPr>
        <w:t> </w:t>
      </w:r>
      <w:r>
        <w:rPr>
          <w:color w:val="231F20"/>
        </w:rPr>
        <w:t>consistent</w:t>
      </w:r>
      <w:r>
        <w:rPr>
          <w:color w:val="231F20"/>
          <w:spacing w:val="-6"/>
        </w:rPr>
        <w:t> </w:t>
      </w:r>
      <w:r>
        <w:rPr>
          <w:color w:val="231F20"/>
          <w:spacing w:val="-1"/>
        </w:rPr>
        <w:t>support</w:t>
      </w:r>
      <w:r>
        <w:rPr>
          <w:color w:val="231F20"/>
          <w:spacing w:val="-4"/>
        </w:rPr>
        <w:t> </w:t>
      </w:r>
      <w:r>
        <w:rPr>
          <w:color w:val="231F20"/>
          <w:spacing w:val="-1"/>
        </w:rPr>
        <w:t>services</w:t>
      </w:r>
      <w:r>
        <w:rPr>
          <w:color w:val="231F20"/>
          <w:spacing w:val="-4"/>
        </w:rPr>
        <w:t> </w:t>
      </w:r>
      <w:r>
        <w:rPr>
          <w:color w:val="231F20"/>
        </w:rPr>
        <w:t>for</w:t>
      </w:r>
      <w:r>
        <w:rPr>
          <w:color w:val="231F20"/>
          <w:spacing w:val="-4"/>
        </w:rPr>
        <w:t> </w:t>
      </w:r>
      <w:r>
        <w:rPr>
          <w:color w:val="231F20"/>
        </w:rPr>
        <w:t>boarding</w:t>
      </w:r>
      <w:r>
        <w:rPr>
          <w:color w:val="231F20"/>
          <w:spacing w:val="-5"/>
        </w:rPr>
        <w:t> </w:t>
      </w:r>
      <w:r>
        <w:rPr>
          <w:color w:val="231F20"/>
        </w:rPr>
        <w:t>that</w:t>
      </w:r>
      <w:r>
        <w:rPr>
          <w:color w:val="231F20"/>
          <w:spacing w:val="23"/>
          <w:w w:val="99"/>
        </w:rPr>
        <w:t> </w:t>
      </w:r>
      <w:r>
        <w:rPr>
          <w:color w:val="231F20"/>
        </w:rPr>
        <w:t>augment</w:t>
      </w:r>
      <w:r>
        <w:rPr>
          <w:color w:val="231F20"/>
          <w:spacing w:val="-7"/>
        </w:rPr>
        <w:t> </w:t>
      </w:r>
      <w:r>
        <w:rPr>
          <w:color w:val="231F20"/>
        </w:rPr>
        <w:t>the</w:t>
      </w:r>
      <w:r>
        <w:rPr>
          <w:color w:val="231F20"/>
          <w:spacing w:val="-7"/>
        </w:rPr>
        <w:t> </w:t>
      </w:r>
      <w:r>
        <w:rPr>
          <w:color w:val="231F20"/>
          <w:spacing w:val="-1"/>
        </w:rPr>
        <w:t>services</w:t>
      </w:r>
      <w:r>
        <w:rPr>
          <w:color w:val="231F20"/>
          <w:spacing w:val="-6"/>
        </w:rPr>
        <w:t> </w:t>
      </w:r>
      <w:r>
        <w:rPr>
          <w:color w:val="231F20"/>
        </w:rPr>
        <w:t>provided</w:t>
      </w:r>
      <w:r>
        <w:rPr>
          <w:color w:val="231F20"/>
          <w:spacing w:val="-6"/>
        </w:rPr>
        <w:t> </w:t>
      </w:r>
      <w:r>
        <w:rPr>
          <w:color w:val="231F20"/>
        </w:rPr>
        <w:t>by</w:t>
      </w:r>
      <w:r>
        <w:rPr>
          <w:color w:val="231F20"/>
          <w:spacing w:val="-6"/>
        </w:rPr>
        <w:t> </w:t>
      </w:r>
      <w:r>
        <w:rPr>
          <w:color w:val="231F20"/>
        </w:rPr>
        <w:t>boarding</w:t>
      </w:r>
      <w:r>
        <w:rPr>
          <w:color w:val="231F20"/>
          <w:spacing w:val="22"/>
          <w:w w:val="99"/>
        </w:rPr>
        <w:t> </w:t>
      </w:r>
      <w:r>
        <w:rPr>
          <w:color w:val="231F20"/>
        </w:rPr>
        <w:t>providers.</w:t>
      </w:r>
      <w:r>
        <w:rPr>
          <w:color w:val="231F20"/>
          <w:spacing w:val="-4"/>
        </w:rPr>
        <w:t> </w:t>
      </w:r>
      <w:r>
        <w:rPr>
          <w:color w:val="231F20"/>
        </w:rPr>
        <w:t>The</w:t>
      </w:r>
      <w:r>
        <w:rPr>
          <w:color w:val="231F20"/>
          <w:spacing w:val="-3"/>
        </w:rPr>
        <w:t> </w:t>
      </w:r>
      <w:r>
        <w:rPr>
          <w:color w:val="231F20"/>
          <w:spacing w:val="-1"/>
        </w:rPr>
        <w:t>investment</w:t>
      </w:r>
      <w:r>
        <w:rPr>
          <w:color w:val="231F20"/>
          <w:spacing w:val="-3"/>
        </w:rPr>
        <w:t> </w:t>
      </w:r>
      <w:r>
        <w:rPr>
          <w:color w:val="231F20"/>
          <w:spacing w:val="-1"/>
        </w:rPr>
        <w:t>in</w:t>
      </w:r>
      <w:r>
        <w:rPr>
          <w:color w:val="231F20"/>
          <w:spacing w:val="-3"/>
        </w:rPr>
        <w:t> </w:t>
      </w:r>
      <w:r>
        <w:rPr>
          <w:color w:val="231F20"/>
        </w:rPr>
        <w:t>the</w:t>
      </w:r>
      <w:r>
        <w:rPr>
          <w:color w:val="231F20"/>
          <w:spacing w:val="-4"/>
        </w:rPr>
        <w:t> </w:t>
      </w:r>
      <w:r>
        <w:rPr>
          <w:color w:val="231F20"/>
          <w:spacing w:val="-1"/>
        </w:rPr>
        <w:t>services</w:t>
      </w:r>
      <w:r>
        <w:rPr>
          <w:color w:val="231F20"/>
          <w:spacing w:val="22"/>
        </w:rPr>
        <w:t> </w:t>
      </w:r>
      <w:r>
        <w:rPr>
          <w:color w:val="231F20"/>
        </w:rPr>
        <w:t>deliver</w:t>
      </w:r>
      <w:r>
        <w:rPr>
          <w:color w:val="231F20"/>
          <w:spacing w:val="-5"/>
        </w:rPr>
        <w:t> </w:t>
      </w:r>
      <w:r>
        <w:rPr>
          <w:color w:val="231F20"/>
        </w:rPr>
        <w:t>positive</w:t>
      </w:r>
      <w:r>
        <w:rPr>
          <w:color w:val="231F20"/>
          <w:spacing w:val="-5"/>
        </w:rPr>
        <w:t> </w:t>
      </w:r>
      <w:r>
        <w:rPr>
          <w:color w:val="231F20"/>
        </w:rPr>
        <w:t>outcomes</w:t>
      </w:r>
      <w:r>
        <w:rPr>
          <w:color w:val="231F20"/>
          <w:spacing w:val="-5"/>
        </w:rPr>
        <w:t> </w:t>
      </w:r>
      <w:r>
        <w:rPr>
          <w:color w:val="231F20"/>
        </w:rPr>
        <w:t>for</w:t>
      </w:r>
      <w:r>
        <w:rPr>
          <w:color w:val="231F20"/>
          <w:spacing w:val="-4"/>
        </w:rPr>
        <w:t> </w:t>
      </w:r>
      <w:r>
        <w:rPr>
          <w:color w:val="231F20"/>
        </w:rPr>
        <w:t>boarders</w:t>
      </w:r>
      <w:r>
        <w:rPr>
          <w:color w:val="231F20"/>
          <w:spacing w:val="-5"/>
        </w:rPr>
        <w:t> </w:t>
      </w:r>
      <w:r>
        <w:rPr>
          <w:color w:val="231F20"/>
        </w:rPr>
        <w:t>and</w:t>
      </w:r>
      <w:r>
        <w:rPr>
          <w:color w:val="231F20"/>
          <w:w w:val="99"/>
        </w:rPr>
        <w:t> </w:t>
      </w:r>
      <w:r>
        <w:rPr>
          <w:color w:val="231F20"/>
        </w:rPr>
        <w:t>their</w:t>
      </w:r>
      <w:r>
        <w:rPr>
          <w:color w:val="231F20"/>
          <w:spacing w:val="-4"/>
        </w:rPr>
        <w:t> </w:t>
      </w:r>
      <w:r>
        <w:rPr>
          <w:color w:val="231F20"/>
        </w:rPr>
        <w:t>families</w:t>
      </w:r>
      <w:r>
        <w:rPr>
          <w:color w:val="231F20"/>
          <w:spacing w:val="-3"/>
        </w:rPr>
        <w:t> </w:t>
      </w:r>
      <w:r>
        <w:rPr>
          <w:color w:val="231F20"/>
        </w:rPr>
        <w:t>and</w:t>
      </w:r>
      <w:r>
        <w:rPr>
          <w:color w:val="231F20"/>
          <w:spacing w:val="-4"/>
        </w:rPr>
        <w:t> </w:t>
      </w:r>
      <w:r>
        <w:rPr>
          <w:color w:val="231F20"/>
        </w:rPr>
        <w:t>communities.</w:t>
      </w:r>
      <w:r>
        <w:rPr/>
      </w:r>
    </w:p>
    <w:p>
      <w:pPr>
        <w:spacing w:after="0" w:line="250" w:lineRule="exact"/>
        <w:jc w:val="left"/>
        <w:sectPr>
          <w:type w:val="continuous"/>
          <w:pgSz w:w="11910" w:h="16840"/>
          <w:pgMar w:top="1580" w:bottom="280" w:left="1600" w:right="1260"/>
          <w:cols w:num="2" w:equalWidth="0">
            <w:col w:w="4270" w:space="266"/>
            <w:col w:w="4514"/>
          </w:cols>
        </w:sectPr>
      </w:pPr>
    </w:p>
    <w:p>
      <w:pPr>
        <w:spacing w:line="240" w:lineRule="auto" w:before="8"/>
        <w:rPr>
          <w:rFonts w:ascii="Segoe UI" w:hAnsi="Segoe UI" w:cs="Segoe UI" w:eastAsia="Segoe UI"/>
          <w:sz w:val="26"/>
          <w:szCs w:val="26"/>
        </w:rPr>
      </w:pPr>
      <w:r>
        <w:rPr/>
        <w:pict>
          <v:group style="position:absolute;margin-left:86.039398pt;margin-top:760.102905pt;width:.1pt;height:.1pt;mso-position-horizontal-relative:page;mso-position-vertical-relative:page;z-index:-226696" coordorigin="1721,15202" coordsize="2,2">
            <v:shape style="position:absolute;left:1721;top:15202;width:2;height:2" coordorigin="1721,15202" coordsize="0,0" path="m1721,15202l1721,15202e" filled="false" stroked="true" strokeweight="2pt" strokecolor="#355f92">
              <v:path arrowok="t"/>
            </v:shape>
            <w10:wrap type="none"/>
          </v:group>
        </w:pict>
      </w:r>
      <w:r>
        <w:rPr/>
        <w:pict>
          <v:group style="position:absolute;margin-left:525.409424pt;margin-top:760.102905pt;width:.1pt;height:.1pt;mso-position-horizontal-relative:page;mso-position-vertical-relative:page;z-index:-226672" coordorigin="10508,15202" coordsize="2,2">
            <v:shape style="position:absolute;left:10508;top:15202;width:2;height:2" coordorigin="10508,15202" coordsize="0,0" path="m10508,15202l10508,15202e" filled="false" stroked="true" strokeweight="2pt" strokecolor="#355f92">
              <v:path arrowok="t"/>
            </v:shape>
            <w10:wrap type="none"/>
          </v:group>
        </w:pict>
      </w:r>
    </w:p>
    <w:p>
      <w:pPr>
        <w:spacing w:line="200" w:lineRule="atLeast"/>
        <w:ind w:left="120" w:right="0" w:firstLine="0"/>
        <w:rPr>
          <w:rFonts w:ascii="Segoe UI" w:hAnsi="Segoe UI" w:cs="Segoe UI" w:eastAsia="Segoe UI"/>
          <w:sz w:val="20"/>
          <w:szCs w:val="20"/>
        </w:rPr>
      </w:pPr>
      <w:r>
        <w:rPr>
          <w:rFonts w:ascii="Segoe UI" w:hAnsi="Segoe UI" w:cs="Segoe UI" w:eastAsia="Segoe UI"/>
          <w:sz w:val="20"/>
          <w:szCs w:val="20"/>
        </w:rPr>
        <w:pict>
          <v:shape style="width:439.4pt;height:129.85pt;mso-position-horizontal-relative:char;mso-position-vertical-relative:line" type="#_x0000_t202" filled="true" fillcolor="#ecf1f5" stroked="true" strokeweight="2pt" strokecolor="#355f92">
            <v:textbox inset="0,0,0,0">
              <w:txbxContent>
                <w:p>
                  <w:pPr>
                    <w:spacing w:line="240" w:lineRule="auto" w:before="6"/>
                    <w:rPr>
                      <w:rFonts w:ascii="Segoe UI" w:hAnsi="Segoe UI" w:cs="Segoe UI" w:eastAsia="Segoe UI"/>
                      <w:sz w:val="16"/>
                      <w:szCs w:val="16"/>
                    </w:rPr>
                  </w:pPr>
                </w:p>
                <w:p>
                  <w:pPr>
                    <w:spacing w:before="0"/>
                    <w:ind w:left="243" w:right="0" w:firstLine="0"/>
                    <w:jc w:val="left"/>
                    <w:rPr>
                      <w:rFonts w:ascii="Segoe UI Semibold" w:hAnsi="Segoe UI Semibold" w:cs="Segoe UI Semibold" w:eastAsia="Segoe UI Semibold"/>
                      <w:sz w:val="24"/>
                      <w:szCs w:val="24"/>
                    </w:rPr>
                  </w:pPr>
                  <w:r>
                    <w:rPr>
                      <w:rFonts w:ascii="Segoe UI Semibold"/>
                      <w:b/>
                      <w:color w:val="452A70"/>
                      <w:spacing w:val="-2"/>
                      <w:sz w:val="24"/>
                    </w:rPr>
                    <w:t>RECOMMENDATION</w:t>
                  </w:r>
                  <w:r>
                    <w:rPr>
                      <w:rFonts w:ascii="Segoe UI Semibold"/>
                      <w:b/>
                      <w:color w:val="452A70"/>
                      <w:spacing w:val="-10"/>
                      <w:sz w:val="24"/>
                    </w:rPr>
                    <w:t> </w:t>
                  </w:r>
                  <w:r>
                    <w:rPr>
                      <w:rFonts w:ascii="Segoe UI Semibold"/>
                      <w:b/>
                      <w:color w:val="452A70"/>
                      <w:spacing w:val="-1"/>
                      <w:sz w:val="24"/>
                    </w:rPr>
                    <w:t>3:</w:t>
                  </w:r>
                  <w:r>
                    <w:rPr>
                      <w:rFonts w:ascii="Segoe UI Semibold"/>
                      <w:b/>
                      <w:color w:val="452A70"/>
                      <w:spacing w:val="-8"/>
                      <w:sz w:val="24"/>
                    </w:rPr>
                    <w:t> </w:t>
                  </w:r>
                  <w:r>
                    <w:rPr>
                      <w:rFonts w:ascii="Segoe UI Semibold"/>
                      <w:b/>
                      <w:color w:val="452A70"/>
                      <w:sz w:val="24"/>
                    </w:rPr>
                    <w:t>TRANSITION</w:t>
                  </w:r>
                  <w:r>
                    <w:rPr>
                      <w:rFonts w:ascii="Segoe UI Semibold"/>
                      <w:b/>
                      <w:color w:val="452A70"/>
                      <w:spacing w:val="-10"/>
                      <w:sz w:val="24"/>
                    </w:rPr>
                    <w:t> </w:t>
                  </w:r>
                  <w:r>
                    <w:rPr>
                      <w:rFonts w:ascii="Segoe UI Semibold"/>
                      <w:b/>
                      <w:color w:val="452A70"/>
                      <w:spacing w:val="-2"/>
                      <w:sz w:val="24"/>
                    </w:rPr>
                    <w:t>SUPPORT</w:t>
                  </w:r>
                  <w:r>
                    <w:rPr>
                      <w:rFonts w:ascii="Segoe UI Semibold"/>
                      <w:sz w:val="24"/>
                    </w:rPr>
                  </w:r>
                </w:p>
                <w:p>
                  <w:pPr>
                    <w:spacing w:line="250" w:lineRule="exact" w:before="131"/>
                    <w:ind w:left="243" w:right="503" w:firstLine="0"/>
                    <w:jc w:val="left"/>
                    <w:rPr>
                      <w:rFonts w:ascii="Segoe UI" w:hAnsi="Segoe UI" w:cs="Segoe UI" w:eastAsia="Segoe UI"/>
                      <w:sz w:val="20"/>
                      <w:szCs w:val="20"/>
                    </w:rPr>
                  </w:pPr>
                  <w:r>
                    <w:rPr>
                      <w:rFonts w:ascii="Segoe UI"/>
                      <w:color w:val="452A70"/>
                      <w:spacing w:val="-1"/>
                      <w:sz w:val="20"/>
                    </w:rPr>
                    <w:t>Increase</w:t>
                  </w:r>
                  <w:r>
                    <w:rPr>
                      <w:rFonts w:ascii="Segoe UI"/>
                      <w:color w:val="452A70"/>
                      <w:spacing w:val="-5"/>
                      <w:sz w:val="20"/>
                    </w:rPr>
                    <w:t> </w:t>
                  </w:r>
                  <w:r>
                    <w:rPr>
                      <w:rFonts w:ascii="Segoe UI"/>
                      <w:color w:val="452A70"/>
                      <w:spacing w:val="-1"/>
                      <w:sz w:val="20"/>
                    </w:rPr>
                    <w:t>support</w:t>
                  </w:r>
                  <w:r>
                    <w:rPr>
                      <w:rFonts w:ascii="Segoe UI"/>
                      <w:color w:val="452A70"/>
                      <w:spacing w:val="-4"/>
                      <w:sz w:val="20"/>
                    </w:rPr>
                    <w:t> </w:t>
                  </w:r>
                  <w:r>
                    <w:rPr>
                      <w:rFonts w:ascii="Segoe UI"/>
                      <w:color w:val="452A70"/>
                      <w:sz w:val="20"/>
                    </w:rPr>
                    <w:t>for</w:t>
                  </w:r>
                  <w:r>
                    <w:rPr>
                      <w:rFonts w:ascii="Segoe UI"/>
                      <w:color w:val="452A70"/>
                      <w:spacing w:val="-5"/>
                      <w:sz w:val="20"/>
                    </w:rPr>
                    <w:t> </w:t>
                  </w:r>
                  <w:r>
                    <w:rPr>
                      <w:rFonts w:ascii="Segoe UI"/>
                      <w:color w:val="452A70"/>
                      <w:sz w:val="20"/>
                    </w:rPr>
                    <w:t>Aboriginal</w:t>
                  </w:r>
                  <w:r>
                    <w:rPr>
                      <w:rFonts w:ascii="Segoe UI"/>
                      <w:color w:val="452A70"/>
                      <w:spacing w:val="-4"/>
                      <w:sz w:val="20"/>
                    </w:rPr>
                    <w:t> </w:t>
                  </w:r>
                  <w:r>
                    <w:rPr>
                      <w:rFonts w:ascii="Segoe UI"/>
                      <w:color w:val="452A70"/>
                      <w:sz w:val="20"/>
                    </w:rPr>
                    <w:t>and</w:t>
                  </w:r>
                  <w:r>
                    <w:rPr>
                      <w:rFonts w:ascii="Segoe UI"/>
                      <w:color w:val="452A70"/>
                      <w:spacing w:val="-6"/>
                      <w:sz w:val="20"/>
                    </w:rPr>
                    <w:t> </w:t>
                  </w:r>
                  <w:r>
                    <w:rPr>
                      <w:rFonts w:ascii="Segoe UI"/>
                      <w:color w:val="452A70"/>
                      <w:spacing w:val="-5"/>
                      <w:sz w:val="20"/>
                    </w:rPr>
                    <w:t>Torres</w:t>
                  </w:r>
                  <w:r>
                    <w:rPr>
                      <w:rFonts w:ascii="Segoe UI"/>
                      <w:color w:val="452A70"/>
                      <w:spacing w:val="-4"/>
                      <w:sz w:val="20"/>
                    </w:rPr>
                    <w:t> </w:t>
                  </w:r>
                  <w:r>
                    <w:rPr>
                      <w:rFonts w:ascii="Segoe UI"/>
                      <w:color w:val="452A70"/>
                      <w:spacing w:val="-2"/>
                      <w:sz w:val="20"/>
                    </w:rPr>
                    <w:t>Strait</w:t>
                  </w:r>
                  <w:r>
                    <w:rPr>
                      <w:rFonts w:ascii="Segoe UI"/>
                      <w:color w:val="452A70"/>
                      <w:spacing w:val="-6"/>
                      <w:sz w:val="20"/>
                    </w:rPr>
                    <w:t> </w:t>
                  </w:r>
                  <w:r>
                    <w:rPr>
                      <w:rFonts w:ascii="Segoe UI"/>
                      <w:color w:val="452A70"/>
                      <w:spacing w:val="-1"/>
                      <w:sz w:val="20"/>
                    </w:rPr>
                    <w:t>Islander</w:t>
                  </w:r>
                  <w:r>
                    <w:rPr>
                      <w:rFonts w:ascii="Segoe UI"/>
                      <w:color w:val="452A70"/>
                      <w:spacing w:val="-4"/>
                      <w:sz w:val="20"/>
                    </w:rPr>
                    <w:t> </w:t>
                  </w:r>
                  <w:r>
                    <w:rPr>
                      <w:rFonts w:ascii="Segoe UI"/>
                      <w:color w:val="452A70"/>
                      <w:spacing w:val="-1"/>
                      <w:sz w:val="20"/>
                    </w:rPr>
                    <w:t>students</w:t>
                  </w:r>
                  <w:r>
                    <w:rPr>
                      <w:rFonts w:ascii="Segoe UI"/>
                      <w:color w:val="452A70"/>
                      <w:spacing w:val="-5"/>
                      <w:sz w:val="20"/>
                    </w:rPr>
                    <w:t> </w:t>
                  </w:r>
                  <w:r>
                    <w:rPr>
                      <w:rFonts w:ascii="Segoe UI"/>
                      <w:color w:val="452A70"/>
                      <w:sz w:val="20"/>
                    </w:rPr>
                    <w:t>to</w:t>
                  </w:r>
                  <w:r>
                    <w:rPr>
                      <w:rFonts w:ascii="Segoe UI"/>
                      <w:color w:val="452A70"/>
                      <w:spacing w:val="-4"/>
                      <w:sz w:val="20"/>
                    </w:rPr>
                    <w:t> </w:t>
                  </w:r>
                  <w:r>
                    <w:rPr>
                      <w:rFonts w:ascii="Segoe UI"/>
                      <w:color w:val="452A70"/>
                      <w:sz w:val="20"/>
                    </w:rPr>
                    <w:t>prepare</w:t>
                  </w:r>
                  <w:r>
                    <w:rPr>
                      <w:rFonts w:ascii="Segoe UI"/>
                      <w:color w:val="452A70"/>
                      <w:spacing w:val="-5"/>
                      <w:sz w:val="20"/>
                    </w:rPr>
                    <w:t> </w:t>
                  </w:r>
                  <w:r>
                    <w:rPr>
                      <w:rFonts w:ascii="Segoe UI"/>
                      <w:color w:val="452A70"/>
                      <w:sz w:val="20"/>
                    </w:rPr>
                    <w:t>for</w:t>
                  </w:r>
                  <w:r>
                    <w:rPr>
                      <w:rFonts w:ascii="Segoe UI"/>
                      <w:color w:val="452A70"/>
                      <w:spacing w:val="-4"/>
                      <w:sz w:val="20"/>
                    </w:rPr>
                    <w:t> </w:t>
                  </w:r>
                  <w:r>
                    <w:rPr>
                      <w:rFonts w:ascii="Segoe UI"/>
                      <w:color w:val="452A70"/>
                      <w:sz w:val="20"/>
                    </w:rPr>
                    <w:t>and</w:t>
                  </w:r>
                  <w:r>
                    <w:rPr>
                      <w:rFonts w:ascii="Segoe UI"/>
                      <w:color w:val="452A70"/>
                      <w:spacing w:val="25"/>
                      <w:w w:val="99"/>
                      <w:sz w:val="20"/>
                    </w:rPr>
                    <w:t> </w:t>
                  </w:r>
                  <w:r>
                    <w:rPr>
                      <w:rFonts w:ascii="Segoe UI"/>
                      <w:color w:val="452A70"/>
                      <w:sz w:val="20"/>
                    </w:rPr>
                    <w:t>transition</w:t>
                  </w:r>
                  <w:r>
                    <w:rPr>
                      <w:rFonts w:ascii="Segoe UI"/>
                      <w:color w:val="452A70"/>
                      <w:spacing w:val="-7"/>
                      <w:sz w:val="20"/>
                    </w:rPr>
                    <w:t> </w:t>
                  </w:r>
                  <w:r>
                    <w:rPr>
                      <w:rFonts w:ascii="Segoe UI"/>
                      <w:color w:val="452A70"/>
                      <w:sz w:val="20"/>
                    </w:rPr>
                    <w:t>to</w:t>
                  </w:r>
                  <w:r>
                    <w:rPr>
                      <w:rFonts w:ascii="Segoe UI"/>
                      <w:color w:val="452A70"/>
                      <w:spacing w:val="-6"/>
                      <w:sz w:val="20"/>
                    </w:rPr>
                    <w:t> </w:t>
                  </w:r>
                  <w:r>
                    <w:rPr>
                      <w:rFonts w:ascii="Segoe UI"/>
                      <w:color w:val="452A70"/>
                      <w:sz w:val="20"/>
                    </w:rPr>
                    <w:t>boarding</w:t>
                  </w:r>
                  <w:r>
                    <w:rPr>
                      <w:rFonts w:ascii="Segoe UI"/>
                      <w:color w:val="452A70"/>
                      <w:spacing w:val="-7"/>
                      <w:sz w:val="20"/>
                    </w:rPr>
                    <w:t> </w:t>
                  </w:r>
                  <w:r>
                    <w:rPr>
                      <w:rFonts w:ascii="Segoe UI"/>
                      <w:color w:val="452A70"/>
                      <w:sz w:val="20"/>
                    </w:rPr>
                    <w:t>through</w:t>
                  </w:r>
                  <w:r>
                    <w:rPr>
                      <w:rFonts w:ascii="Segoe UI"/>
                      <w:color w:val="452A70"/>
                      <w:spacing w:val="-7"/>
                      <w:sz w:val="20"/>
                    </w:rPr>
                    <w:t> </w:t>
                  </w:r>
                  <w:r>
                    <w:rPr>
                      <w:rFonts w:ascii="Segoe UI"/>
                      <w:color w:val="452A70"/>
                      <w:sz w:val="20"/>
                    </w:rPr>
                    <w:t>direct</w:t>
                  </w:r>
                  <w:r>
                    <w:rPr>
                      <w:rFonts w:ascii="Segoe UI"/>
                      <w:color w:val="452A70"/>
                      <w:spacing w:val="-7"/>
                      <w:sz w:val="20"/>
                    </w:rPr>
                    <w:t> </w:t>
                  </w:r>
                  <w:r>
                    <w:rPr>
                      <w:rFonts w:ascii="Segoe UI"/>
                      <w:color w:val="452A70"/>
                      <w:sz w:val="20"/>
                    </w:rPr>
                    <w:t>funding</w:t>
                  </w:r>
                  <w:r>
                    <w:rPr>
                      <w:rFonts w:ascii="Segoe UI"/>
                      <w:color w:val="452A70"/>
                      <w:spacing w:val="-6"/>
                      <w:sz w:val="20"/>
                    </w:rPr>
                    <w:t> </w:t>
                  </w:r>
                  <w:r>
                    <w:rPr>
                      <w:rFonts w:ascii="Segoe UI"/>
                      <w:color w:val="452A70"/>
                      <w:sz w:val="20"/>
                    </w:rPr>
                    <w:t>to</w:t>
                  </w:r>
                  <w:r>
                    <w:rPr>
                      <w:rFonts w:ascii="Segoe UI"/>
                      <w:color w:val="452A70"/>
                      <w:spacing w:val="-6"/>
                      <w:sz w:val="20"/>
                    </w:rPr>
                    <w:t> </w:t>
                  </w:r>
                  <w:r>
                    <w:rPr>
                      <w:rFonts w:ascii="Segoe UI"/>
                      <w:color w:val="452A70"/>
                      <w:sz w:val="20"/>
                    </w:rPr>
                    <w:t>boarding</w:t>
                  </w:r>
                  <w:r>
                    <w:rPr>
                      <w:rFonts w:ascii="Segoe UI"/>
                      <w:color w:val="452A70"/>
                      <w:spacing w:val="-6"/>
                      <w:sz w:val="20"/>
                    </w:rPr>
                    <w:t> </w:t>
                  </w:r>
                  <w:r>
                    <w:rPr>
                      <w:rFonts w:ascii="Segoe UI"/>
                      <w:color w:val="452A70"/>
                      <w:sz w:val="20"/>
                    </w:rPr>
                    <w:t>providers</w:t>
                  </w:r>
                  <w:r>
                    <w:rPr>
                      <w:rFonts w:ascii="Segoe UI"/>
                      <w:color w:val="452A70"/>
                      <w:spacing w:val="-7"/>
                      <w:sz w:val="20"/>
                    </w:rPr>
                    <w:t> </w:t>
                  </w:r>
                  <w:r>
                    <w:rPr>
                      <w:rFonts w:ascii="Segoe UI"/>
                      <w:color w:val="452A70"/>
                      <w:sz w:val="20"/>
                    </w:rPr>
                    <w:t>for</w:t>
                  </w:r>
                  <w:r>
                    <w:rPr>
                      <w:rFonts w:ascii="Segoe UI"/>
                      <w:color w:val="452A70"/>
                      <w:spacing w:val="-6"/>
                      <w:sz w:val="20"/>
                    </w:rPr>
                    <w:t> </w:t>
                  </w:r>
                  <w:r>
                    <w:rPr>
                      <w:rFonts w:ascii="Segoe UI"/>
                      <w:color w:val="452A70"/>
                      <w:spacing w:val="-1"/>
                      <w:sz w:val="20"/>
                    </w:rPr>
                    <w:t>support</w:t>
                  </w:r>
                  <w:r>
                    <w:rPr>
                      <w:rFonts w:ascii="Segoe UI"/>
                      <w:color w:val="452A70"/>
                      <w:spacing w:val="-6"/>
                      <w:sz w:val="20"/>
                    </w:rPr>
                    <w:t> </w:t>
                  </w:r>
                  <w:r>
                    <w:rPr>
                      <w:rFonts w:ascii="Segoe UI"/>
                      <w:color w:val="452A70"/>
                      <w:spacing w:val="-1"/>
                      <w:sz w:val="20"/>
                    </w:rPr>
                    <w:t>services.</w:t>
                  </w:r>
                  <w:r>
                    <w:rPr>
                      <w:rFonts w:ascii="Segoe UI"/>
                      <w:sz w:val="20"/>
                    </w:rPr>
                  </w:r>
                </w:p>
                <w:p>
                  <w:pPr>
                    <w:spacing w:line="250" w:lineRule="exact" w:before="113"/>
                    <w:ind w:left="243" w:right="244" w:firstLine="0"/>
                    <w:jc w:val="left"/>
                    <w:rPr>
                      <w:rFonts w:ascii="Segoe UI" w:hAnsi="Segoe UI" w:cs="Segoe UI" w:eastAsia="Segoe UI"/>
                      <w:sz w:val="20"/>
                      <w:szCs w:val="20"/>
                    </w:rPr>
                  </w:pPr>
                  <w:r>
                    <w:rPr>
                      <w:rFonts w:ascii="Segoe UI"/>
                      <w:color w:val="452A70"/>
                      <w:spacing w:val="-1"/>
                      <w:sz w:val="20"/>
                    </w:rPr>
                    <w:t>Identify</w:t>
                  </w:r>
                  <w:r>
                    <w:rPr>
                      <w:rFonts w:ascii="Segoe UI"/>
                      <w:color w:val="452A70"/>
                      <w:spacing w:val="-7"/>
                      <w:sz w:val="20"/>
                    </w:rPr>
                    <w:t> </w:t>
                  </w:r>
                  <w:r>
                    <w:rPr>
                      <w:rFonts w:ascii="Segoe UI"/>
                      <w:color w:val="452A70"/>
                      <w:spacing w:val="-1"/>
                      <w:sz w:val="20"/>
                    </w:rPr>
                    <w:t>Commonwealth</w:t>
                  </w:r>
                  <w:r>
                    <w:rPr>
                      <w:rFonts w:ascii="Segoe UI"/>
                      <w:color w:val="452A70"/>
                      <w:spacing w:val="-6"/>
                      <w:sz w:val="20"/>
                    </w:rPr>
                    <w:t> </w:t>
                  </w:r>
                  <w:r>
                    <w:rPr>
                      <w:rFonts w:ascii="Segoe UI"/>
                      <w:color w:val="452A70"/>
                      <w:sz w:val="20"/>
                    </w:rPr>
                    <w:t>and</w:t>
                  </w:r>
                  <w:r>
                    <w:rPr>
                      <w:rFonts w:ascii="Segoe UI"/>
                      <w:color w:val="452A70"/>
                      <w:spacing w:val="-7"/>
                      <w:sz w:val="20"/>
                    </w:rPr>
                    <w:t> </w:t>
                  </w:r>
                  <w:r>
                    <w:rPr>
                      <w:rFonts w:ascii="Segoe UI"/>
                      <w:color w:val="452A70"/>
                      <w:spacing w:val="-1"/>
                      <w:sz w:val="20"/>
                    </w:rPr>
                    <w:t>state</w:t>
                  </w:r>
                  <w:r>
                    <w:rPr>
                      <w:rFonts w:ascii="Segoe UI"/>
                      <w:color w:val="452A70"/>
                      <w:spacing w:val="-6"/>
                      <w:sz w:val="20"/>
                    </w:rPr>
                    <w:t> </w:t>
                  </w:r>
                  <w:r>
                    <w:rPr>
                      <w:rFonts w:ascii="Segoe UI"/>
                      <w:color w:val="452A70"/>
                      <w:sz w:val="20"/>
                    </w:rPr>
                    <w:t>funding</w:t>
                  </w:r>
                  <w:r>
                    <w:rPr>
                      <w:rFonts w:ascii="Segoe UI"/>
                      <w:color w:val="452A70"/>
                      <w:spacing w:val="-6"/>
                      <w:sz w:val="20"/>
                    </w:rPr>
                    <w:t> </w:t>
                  </w:r>
                  <w:r>
                    <w:rPr>
                      <w:rFonts w:ascii="Segoe UI"/>
                      <w:color w:val="452A70"/>
                      <w:sz w:val="20"/>
                    </w:rPr>
                    <w:t>for</w:t>
                  </w:r>
                  <w:r>
                    <w:rPr>
                      <w:rFonts w:ascii="Segoe UI"/>
                      <w:color w:val="452A70"/>
                      <w:spacing w:val="-6"/>
                      <w:sz w:val="20"/>
                    </w:rPr>
                    <w:t> </w:t>
                  </w:r>
                  <w:r>
                    <w:rPr>
                      <w:rFonts w:ascii="Segoe UI"/>
                      <w:color w:val="452A70"/>
                      <w:sz w:val="20"/>
                    </w:rPr>
                    <w:t>transition</w:t>
                  </w:r>
                  <w:r>
                    <w:rPr>
                      <w:rFonts w:ascii="Segoe UI"/>
                      <w:color w:val="452A70"/>
                      <w:spacing w:val="-7"/>
                      <w:sz w:val="20"/>
                    </w:rPr>
                    <w:t> </w:t>
                  </w:r>
                  <w:r>
                    <w:rPr>
                      <w:rFonts w:ascii="Segoe UI"/>
                      <w:color w:val="452A70"/>
                      <w:spacing w:val="-1"/>
                      <w:sz w:val="20"/>
                    </w:rPr>
                    <w:t>support</w:t>
                  </w:r>
                  <w:r>
                    <w:rPr>
                      <w:rFonts w:ascii="Segoe UI"/>
                      <w:color w:val="452A70"/>
                      <w:spacing w:val="-6"/>
                      <w:sz w:val="20"/>
                    </w:rPr>
                    <w:t> </w:t>
                  </w:r>
                  <w:r>
                    <w:rPr>
                      <w:rFonts w:ascii="Segoe UI"/>
                      <w:color w:val="452A70"/>
                      <w:sz w:val="20"/>
                    </w:rPr>
                    <w:t>units</w:t>
                  </w:r>
                  <w:r>
                    <w:rPr>
                      <w:rFonts w:ascii="Segoe UI"/>
                      <w:color w:val="452A70"/>
                      <w:spacing w:val="-7"/>
                      <w:sz w:val="20"/>
                    </w:rPr>
                    <w:t> </w:t>
                  </w:r>
                  <w:r>
                    <w:rPr>
                      <w:rFonts w:ascii="Segoe UI"/>
                      <w:color w:val="452A70"/>
                      <w:spacing w:val="-1"/>
                      <w:sz w:val="20"/>
                    </w:rPr>
                    <w:t>in</w:t>
                  </w:r>
                  <w:r>
                    <w:rPr>
                      <w:rFonts w:ascii="Segoe UI"/>
                      <w:color w:val="452A70"/>
                      <w:spacing w:val="-6"/>
                      <w:sz w:val="20"/>
                    </w:rPr>
                    <w:t> </w:t>
                  </w:r>
                  <w:r>
                    <w:rPr>
                      <w:rFonts w:ascii="Segoe UI"/>
                      <w:color w:val="452A70"/>
                      <w:spacing w:val="-2"/>
                      <w:sz w:val="20"/>
                    </w:rPr>
                    <w:t>Western</w:t>
                  </w:r>
                  <w:r>
                    <w:rPr>
                      <w:rFonts w:ascii="Segoe UI"/>
                      <w:color w:val="452A70"/>
                      <w:spacing w:val="-7"/>
                      <w:sz w:val="20"/>
                    </w:rPr>
                    <w:t> </w:t>
                  </w:r>
                  <w:r>
                    <w:rPr>
                      <w:rFonts w:ascii="Segoe UI"/>
                      <w:color w:val="452A70"/>
                      <w:sz w:val="20"/>
                    </w:rPr>
                    <w:t>Australia,</w:t>
                  </w:r>
                  <w:r>
                    <w:rPr>
                      <w:rFonts w:ascii="Segoe UI"/>
                      <w:color w:val="452A70"/>
                      <w:spacing w:val="21"/>
                      <w:w w:val="99"/>
                      <w:sz w:val="20"/>
                    </w:rPr>
                    <w:t> </w:t>
                  </w:r>
                  <w:r>
                    <w:rPr>
                      <w:rFonts w:ascii="Segoe UI"/>
                      <w:color w:val="452A70"/>
                      <w:sz w:val="20"/>
                    </w:rPr>
                    <w:t>New</w:t>
                  </w:r>
                  <w:r>
                    <w:rPr>
                      <w:rFonts w:ascii="Segoe UI"/>
                      <w:color w:val="452A70"/>
                      <w:spacing w:val="-5"/>
                      <w:sz w:val="20"/>
                    </w:rPr>
                    <w:t> </w:t>
                  </w:r>
                  <w:r>
                    <w:rPr>
                      <w:rFonts w:ascii="Segoe UI"/>
                      <w:color w:val="452A70"/>
                      <w:spacing w:val="-1"/>
                      <w:sz w:val="20"/>
                    </w:rPr>
                    <w:t>South</w:t>
                  </w:r>
                  <w:r>
                    <w:rPr>
                      <w:rFonts w:ascii="Segoe UI"/>
                      <w:color w:val="452A70"/>
                      <w:spacing w:val="-5"/>
                      <w:sz w:val="20"/>
                    </w:rPr>
                    <w:t> </w:t>
                  </w:r>
                  <w:r>
                    <w:rPr>
                      <w:rFonts w:ascii="Segoe UI"/>
                      <w:color w:val="452A70"/>
                      <w:spacing w:val="-2"/>
                      <w:sz w:val="20"/>
                    </w:rPr>
                    <w:t>Wales</w:t>
                  </w:r>
                  <w:r>
                    <w:rPr>
                      <w:rFonts w:ascii="Segoe UI"/>
                      <w:color w:val="452A70"/>
                      <w:spacing w:val="-6"/>
                      <w:sz w:val="20"/>
                    </w:rPr>
                    <w:t> </w:t>
                  </w:r>
                  <w:r>
                    <w:rPr>
                      <w:rFonts w:ascii="Segoe UI"/>
                      <w:color w:val="452A70"/>
                      <w:sz w:val="20"/>
                    </w:rPr>
                    <w:t>and</w:t>
                  </w:r>
                  <w:r>
                    <w:rPr>
                      <w:rFonts w:ascii="Segoe UI"/>
                      <w:color w:val="452A70"/>
                      <w:spacing w:val="-6"/>
                      <w:sz w:val="20"/>
                    </w:rPr>
                    <w:t> </w:t>
                  </w:r>
                  <w:r>
                    <w:rPr>
                      <w:rFonts w:ascii="Segoe UI"/>
                      <w:color w:val="452A70"/>
                      <w:spacing w:val="-1"/>
                      <w:sz w:val="20"/>
                    </w:rPr>
                    <w:t>South</w:t>
                  </w:r>
                  <w:r>
                    <w:rPr>
                      <w:rFonts w:ascii="Segoe UI"/>
                      <w:color w:val="452A70"/>
                      <w:spacing w:val="-5"/>
                      <w:sz w:val="20"/>
                    </w:rPr>
                    <w:t> </w:t>
                  </w:r>
                  <w:r>
                    <w:rPr>
                      <w:rFonts w:ascii="Segoe UI"/>
                      <w:color w:val="452A70"/>
                      <w:sz w:val="20"/>
                    </w:rPr>
                    <w:t>Australia</w:t>
                  </w:r>
                  <w:r>
                    <w:rPr>
                      <w:rFonts w:ascii="Segoe UI"/>
                      <w:color w:val="452A70"/>
                      <w:spacing w:val="-5"/>
                      <w:sz w:val="20"/>
                    </w:rPr>
                    <w:t> </w:t>
                  </w:r>
                  <w:r>
                    <w:rPr>
                      <w:rFonts w:ascii="Segoe UI"/>
                      <w:color w:val="452A70"/>
                      <w:sz w:val="20"/>
                    </w:rPr>
                    <w:t>based</w:t>
                  </w:r>
                  <w:r>
                    <w:rPr>
                      <w:rFonts w:ascii="Segoe UI"/>
                      <w:color w:val="452A70"/>
                      <w:spacing w:val="-6"/>
                      <w:sz w:val="20"/>
                    </w:rPr>
                    <w:t> </w:t>
                  </w:r>
                  <w:r>
                    <w:rPr>
                      <w:rFonts w:ascii="Segoe UI"/>
                      <w:color w:val="452A70"/>
                      <w:sz w:val="20"/>
                    </w:rPr>
                    <w:t>on</w:t>
                  </w:r>
                  <w:r>
                    <w:rPr>
                      <w:rFonts w:ascii="Segoe UI"/>
                      <w:color w:val="452A70"/>
                      <w:spacing w:val="-5"/>
                      <w:sz w:val="20"/>
                    </w:rPr>
                    <w:t> </w:t>
                  </w:r>
                  <w:r>
                    <w:rPr>
                      <w:rFonts w:ascii="Segoe UI"/>
                      <w:color w:val="452A70"/>
                      <w:sz w:val="20"/>
                    </w:rPr>
                    <w:t>the</w:t>
                  </w:r>
                  <w:r>
                    <w:rPr>
                      <w:rFonts w:ascii="Segoe UI"/>
                      <w:color w:val="452A70"/>
                      <w:spacing w:val="-6"/>
                      <w:sz w:val="20"/>
                    </w:rPr>
                    <w:t> </w:t>
                  </w:r>
                  <w:r>
                    <w:rPr>
                      <w:rFonts w:ascii="Segoe UI"/>
                      <w:color w:val="452A70"/>
                      <w:spacing w:val="-2"/>
                      <w:sz w:val="20"/>
                    </w:rPr>
                    <w:t>Transition</w:t>
                  </w:r>
                  <w:r>
                    <w:rPr>
                      <w:rFonts w:ascii="Segoe UI"/>
                      <w:color w:val="452A70"/>
                      <w:spacing w:val="-6"/>
                      <w:sz w:val="20"/>
                    </w:rPr>
                    <w:t> </w:t>
                  </w:r>
                  <w:r>
                    <w:rPr>
                      <w:rFonts w:ascii="Segoe UI"/>
                      <w:color w:val="452A70"/>
                      <w:spacing w:val="-1"/>
                      <w:sz w:val="20"/>
                    </w:rPr>
                    <w:t>Support</w:t>
                  </w:r>
                  <w:r>
                    <w:rPr>
                      <w:rFonts w:ascii="Segoe UI"/>
                      <w:color w:val="452A70"/>
                      <w:spacing w:val="-5"/>
                      <w:sz w:val="20"/>
                    </w:rPr>
                    <w:t> </w:t>
                  </w:r>
                  <w:r>
                    <w:rPr>
                      <w:rFonts w:ascii="Segoe UI"/>
                      <w:color w:val="452A70"/>
                      <w:spacing w:val="-1"/>
                      <w:sz w:val="20"/>
                    </w:rPr>
                    <w:t>Services</w:t>
                  </w:r>
                  <w:r>
                    <w:rPr>
                      <w:rFonts w:ascii="Segoe UI"/>
                      <w:color w:val="452A70"/>
                      <w:spacing w:val="-5"/>
                      <w:sz w:val="20"/>
                    </w:rPr>
                    <w:t> </w:t>
                  </w:r>
                  <w:r>
                    <w:rPr>
                      <w:rFonts w:ascii="Segoe UI"/>
                      <w:color w:val="452A70"/>
                      <w:sz w:val="20"/>
                    </w:rPr>
                    <w:t>and</w:t>
                  </w:r>
                  <w:r>
                    <w:rPr>
                      <w:rFonts w:ascii="Segoe UI"/>
                      <w:color w:val="452A70"/>
                      <w:spacing w:val="-6"/>
                      <w:sz w:val="20"/>
                    </w:rPr>
                    <w:t> </w:t>
                  </w:r>
                  <w:r>
                    <w:rPr>
                      <w:rFonts w:ascii="Segoe UI"/>
                      <w:color w:val="452A70"/>
                      <w:spacing w:val="-2"/>
                      <w:sz w:val="20"/>
                    </w:rPr>
                    <w:t>Transition</w:t>
                  </w:r>
                  <w:r>
                    <w:rPr>
                      <w:rFonts w:ascii="Segoe UI"/>
                      <w:color w:val="452A70"/>
                      <w:spacing w:val="21"/>
                      <w:w w:val="99"/>
                      <w:sz w:val="20"/>
                    </w:rPr>
                    <w:t> </w:t>
                  </w:r>
                  <w:r>
                    <w:rPr>
                      <w:rFonts w:ascii="Segoe UI"/>
                      <w:color w:val="452A70"/>
                      <w:spacing w:val="-1"/>
                      <w:sz w:val="20"/>
                    </w:rPr>
                    <w:t>Support</w:t>
                  </w:r>
                  <w:r>
                    <w:rPr>
                      <w:rFonts w:ascii="Segoe UI"/>
                      <w:color w:val="452A70"/>
                      <w:spacing w:val="-6"/>
                      <w:sz w:val="20"/>
                    </w:rPr>
                    <w:t> </w:t>
                  </w:r>
                  <w:r>
                    <w:rPr>
                      <w:rFonts w:ascii="Segoe UI"/>
                      <w:color w:val="452A70"/>
                      <w:sz w:val="20"/>
                    </w:rPr>
                    <w:t>Unit</w:t>
                  </w:r>
                  <w:r>
                    <w:rPr>
                      <w:rFonts w:ascii="Segoe UI"/>
                      <w:color w:val="452A70"/>
                      <w:spacing w:val="-5"/>
                      <w:sz w:val="20"/>
                    </w:rPr>
                    <w:t> </w:t>
                  </w:r>
                  <w:r>
                    <w:rPr>
                      <w:rFonts w:ascii="Segoe UI"/>
                      <w:color w:val="452A70"/>
                      <w:spacing w:val="-1"/>
                      <w:sz w:val="20"/>
                    </w:rPr>
                    <w:t>models</w:t>
                  </w:r>
                  <w:r>
                    <w:rPr>
                      <w:rFonts w:ascii="Segoe UI"/>
                      <w:color w:val="452A70"/>
                      <w:spacing w:val="-5"/>
                      <w:sz w:val="20"/>
                    </w:rPr>
                    <w:t> </w:t>
                  </w:r>
                  <w:r>
                    <w:rPr>
                      <w:rFonts w:ascii="Segoe UI"/>
                      <w:color w:val="452A70"/>
                      <w:spacing w:val="-1"/>
                      <w:sz w:val="20"/>
                    </w:rPr>
                    <w:t>in</w:t>
                  </w:r>
                  <w:r>
                    <w:rPr>
                      <w:rFonts w:ascii="Segoe UI"/>
                      <w:color w:val="452A70"/>
                      <w:spacing w:val="-5"/>
                      <w:sz w:val="20"/>
                    </w:rPr>
                    <w:t> </w:t>
                  </w:r>
                  <w:r>
                    <w:rPr>
                      <w:rFonts w:ascii="Segoe UI"/>
                      <w:color w:val="452A70"/>
                      <w:sz w:val="20"/>
                    </w:rPr>
                    <w:t>Queensland</w:t>
                  </w:r>
                  <w:r>
                    <w:rPr>
                      <w:rFonts w:ascii="Segoe UI"/>
                      <w:color w:val="452A70"/>
                      <w:spacing w:val="-7"/>
                      <w:sz w:val="20"/>
                    </w:rPr>
                    <w:t> </w:t>
                  </w:r>
                  <w:r>
                    <w:rPr>
                      <w:rFonts w:ascii="Segoe UI"/>
                      <w:color w:val="452A70"/>
                      <w:sz w:val="20"/>
                    </w:rPr>
                    <w:t>and</w:t>
                  </w:r>
                  <w:r>
                    <w:rPr>
                      <w:rFonts w:ascii="Segoe UI"/>
                      <w:color w:val="452A70"/>
                      <w:spacing w:val="-6"/>
                      <w:sz w:val="20"/>
                    </w:rPr>
                    <w:t> </w:t>
                  </w:r>
                  <w:r>
                    <w:rPr>
                      <w:rFonts w:ascii="Segoe UI"/>
                      <w:color w:val="452A70"/>
                      <w:sz w:val="20"/>
                    </w:rPr>
                    <w:t>the</w:t>
                  </w:r>
                  <w:r>
                    <w:rPr>
                      <w:rFonts w:ascii="Segoe UI"/>
                      <w:color w:val="452A70"/>
                      <w:spacing w:val="-6"/>
                      <w:sz w:val="20"/>
                    </w:rPr>
                    <w:t> </w:t>
                  </w:r>
                  <w:r>
                    <w:rPr>
                      <w:rFonts w:ascii="Segoe UI"/>
                      <w:color w:val="452A70"/>
                      <w:sz w:val="20"/>
                    </w:rPr>
                    <w:t>Northern</w:t>
                  </w:r>
                  <w:r>
                    <w:rPr>
                      <w:rFonts w:ascii="Segoe UI"/>
                      <w:color w:val="452A70"/>
                      <w:spacing w:val="-5"/>
                      <w:sz w:val="20"/>
                    </w:rPr>
                    <w:t> </w:t>
                  </w:r>
                  <w:r>
                    <w:rPr>
                      <w:rFonts w:ascii="Segoe UI"/>
                      <w:color w:val="452A70"/>
                      <w:spacing w:val="-3"/>
                      <w:sz w:val="20"/>
                    </w:rPr>
                    <w:t>Territory</w:t>
                  </w:r>
                  <w:r>
                    <w:rPr>
                      <w:rFonts w:ascii="Segoe UI"/>
                      <w:color w:val="452A70"/>
                      <w:spacing w:val="-5"/>
                      <w:sz w:val="20"/>
                    </w:rPr>
                    <w:t> </w:t>
                  </w:r>
                  <w:r>
                    <w:rPr>
                      <w:rFonts w:ascii="Segoe UI"/>
                      <w:color w:val="452A70"/>
                      <w:sz w:val="20"/>
                    </w:rPr>
                    <w:t>to</w:t>
                  </w:r>
                  <w:r>
                    <w:rPr>
                      <w:rFonts w:ascii="Segoe UI"/>
                      <w:color w:val="452A70"/>
                      <w:spacing w:val="-6"/>
                      <w:sz w:val="20"/>
                    </w:rPr>
                    <w:t> </w:t>
                  </w:r>
                  <w:r>
                    <w:rPr>
                      <w:rFonts w:ascii="Segoe UI"/>
                      <w:color w:val="452A70"/>
                      <w:sz w:val="20"/>
                    </w:rPr>
                    <w:t>augment</w:t>
                  </w:r>
                  <w:r>
                    <w:rPr>
                      <w:rFonts w:ascii="Segoe UI"/>
                      <w:color w:val="452A70"/>
                      <w:spacing w:val="-6"/>
                      <w:sz w:val="20"/>
                    </w:rPr>
                    <w:t> </w:t>
                  </w:r>
                  <w:r>
                    <w:rPr>
                      <w:rFonts w:ascii="Segoe UI"/>
                      <w:color w:val="452A70"/>
                      <w:sz w:val="20"/>
                    </w:rPr>
                    <w:t>the</w:t>
                  </w:r>
                  <w:r>
                    <w:rPr>
                      <w:rFonts w:ascii="Segoe UI"/>
                      <w:color w:val="452A70"/>
                      <w:spacing w:val="-6"/>
                      <w:sz w:val="20"/>
                    </w:rPr>
                    <w:t> </w:t>
                  </w:r>
                  <w:r>
                    <w:rPr>
                      <w:rFonts w:ascii="Segoe UI"/>
                      <w:color w:val="452A70"/>
                      <w:spacing w:val="-1"/>
                      <w:sz w:val="20"/>
                    </w:rPr>
                    <w:t>support</w:t>
                  </w:r>
                  <w:r>
                    <w:rPr>
                      <w:rFonts w:ascii="Segoe UI"/>
                      <w:color w:val="452A70"/>
                      <w:spacing w:val="29"/>
                      <w:w w:val="99"/>
                      <w:sz w:val="20"/>
                    </w:rPr>
                    <w:t> </w:t>
                  </w:r>
                  <w:r>
                    <w:rPr>
                      <w:rFonts w:ascii="Segoe UI"/>
                      <w:color w:val="452A70"/>
                      <w:spacing w:val="-1"/>
                      <w:sz w:val="20"/>
                    </w:rPr>
                    <w:t>services</w:t>
                  </w:r>
                  <w:r>
                    <w:rPr>
                      <w:rFonts w:ascii="Segoe UI"/>
                      <w:color w:val="452A70"/>
                      <w:spacing w:val="-7"/>
                      <w:sz w:val="20"/>
                    </w:rPr>
                    <w:t> </w:t>
                  </w:r>
                  <w:r>
                    <w:rPr>
                      <w:rFonts w:ascii="Segoe UI"/>
                      <w:color w:val="452A70"/>
                      <w:sz w:val="20"/>
                    </w:rPr>
                    <w:t>provided</w:t>
                  </w:r>
                  <w:r>
                    <w:rPr>
                      <w:rFonts w:ascii="Segoe UI"/>
                      <w:color w:val="452A70"/>
                      <w:spacing w:val="-8"/>
                      <w:sz w:val="20"/>
                    </w:rPr>
                    <w:t> </w:t>
                  </w:r>
                  <w:r>
                    <w:rPr>
                      <w:rFonts w:ascii="Segoe UI"/>
                      <w:color w:val="452A70"/>
                      <w:sz w:val="20"/>
                    </w:rPr>
                    <w:t>by</w:t>
                  </w:r>
                  <w:r>
                    <w:rPr>
                      <w:rFonts w:ascii="Segoe UI"/>
                      <w:color w:val="452A70"/>
                      <w:spacing w:val="-7"/>
                      <w:sz w:val="20"/>
                    </w:rPr>
                    <w:t> </w:t>
                  </w:r>
                  <w:r>
                    <w:rPr>
                      <w:rFonts w:ascii="Segoe UI"/>
                      <w:color w:val="452A70"/>
                      <w:sz w:val="20"/>
                    </w:rPr>
                    <w:t>boarding</w:t>
                  </w:r>
                  <w:r>
                    <w:rPr>
                      <w:rFonts w:ascii="Segoe UI"/>
                      <w:color w:val="452A70"/>
                      <w:spacing w:val="-7"/>
                      <w:sz w:val="20"/>
                    </w:rPr>
                    <w:t> </w:t>
                  </w:r>
                  <w:r>
                    <w:rPr>
                      <w:rFonts w:ascii="Segoe UI"/>
                      <w:color w:val="452A70"/>
                      <w:sz w:val="20"/>
                    </w:rPr>
                    <w:t>providers.</w:t>
                  </w:r>
                  <w:r>
                    <w:rPr>
                      <w:rFonts w:ascii="Segoe UI"/>
                      <w:sz w:val="20"/>
                    </w:rPr>
                  </w:r>
                </w:p>
              </w:txbxContent>
            </v:textbox>
            <v:fill type="solid"/>
            <v:stroke dashstyle="dash"/>
            <w10:wrap type="none"/>
          </v:shape>
        </w:pict>
      </w:r>
      <w:r>
        <w:rPr>
          <w:rFonts w:ascii="Segoe UI" w:hAnsi="Segoe UI" w:cs="Segoe UI" w:eastAsia="Segoe UI"/>
          <w:sz w:val="20"/>
          <w:szCs w:val="20"/>
        </w:rPr>
      </w:r>
    </w:p>
    <w:p>
      <w:pPr>
        <w:spacing w:after="0" w:line="200" w:lineRule="atLeast"/>
        <w:rPr>
          <w:rFonts w:ascii="Segoe UI" w:hAnsi="Segoe UI" w:cs="Segoe UI" w:eastAsia="Segoe UI"/>
          <w:sz w:val="20"/>
          <w:szCs w:val="20"/>
        </w:rPr>
        <w:sectPr>
          <w:type w:val="continuous"/>
          <w:pgSz w:w="11910" w:h="16840"/>
          <w:pgMar w:top="1580" w:bottom="280" w:left="1600" w:right="1260"/>
        </w:sectPr>
      </w:pPr>
    </w:p>
    <w:p>
      <w:pPr>
        <w:spacing w:line="240" w:lineRule="auto" w:before="0"/>
        <w:rPr>
          <w:rFonts w:ascii="Segoe UI" w:hAnsi="Segoe UI" w:cs="Segoe UI" w:eastAsia="Segoe UI"/>
          <w:sz w:val="20"/>
          <w:szCs w:val="20"/>
        </w:rPr>
      </w:pPr>
    </w:p>
    <w:p>
      <w:pPr>
        <w:spacing w:line="240" w:lineRule="auto" w:before="1"/>
        <w:rPr>
          <w:rFonts w:ascii="Segoe UI" w:hAnsi="Segoe UI" w:cs="Segoe UI" w:eastAsia="Segoe UI"/>
          <w:sz w:val="20"/>
          <w:szCs w:val="20"/>
        </w:rPr>
      </w:pPr>
    </w:p>
    <w:p>
      <w:pPr>
        <w:pStyle w:val="Heading1"/>
        <w:numPr>
          <w:ilvl w:val="0"/>
          <w:numId w:val="4"/>
        </w:numPr>
        <w:tabs>
          <w:tab w:pos="838" w:val="left" w:leader="none"/>
        </w:tabs>
        <w:spacing w:line="567" w:lineRule="exact" w:before="0" w:after="0"/>
        <w:ind w:left="837" w:right="0" w:hanging="720"/>
        <w:jc w:val="left"/>
      </w:pPr>
      <w:bookmarkStart w:name="_TOC_250035" w:id="1"/>
      <w:r>
        <w:rPr>
          <w:color w:val="67973F"/>
          <w:spacing w:val="-1"/>
        </w:rPr>
        <w:t>Funding</w:t>
      </w:r>
      <w:r>
        <w:rPr>
          <w:color w:val="67973F"/>
          <w:spacing w:val="-11"/>
        </w:rPr>
        <w:t> </w:t>
      </w:r>
      <w:r>
        <w:rPr>
          <w:color w:val="67973F"/>
          <w:spacing w:val="-1"/>
        </w:rPr>
        <w:t>investment</w:t>
      </w:r>
      <w:r>
        <w:rPr>
          <w:color w:val="67973F"/>
          <w:spacing w:val="-10"/>
        </w:rPr>
        <w:t> </w:t>
      </w:r>
      <w:r>
        <w:rPr>
          <w:color w:val="67973F"/>
          <w:spacing w:val="-1"/>
        </w:rPr>
        <w:t>in</w:t>
      </w:r>
      <w:r>
        <w:rPr>
          <w:color w:val="67973F"/>
          <w:spacing w:val="-11"/>
        </w:rPr>
        <w:t> </w:t>
      </w:r>
      <w:r>
        <w:rPr>
          <w:color w:val="67973F"/>
        </w:rPr>
        <w:t>boarding</w:t>
      </w:r>
      <w:bookmarkEnd w:id="1"/>
      <w:r>
        <w:rPr/>
      </w:r>
    </w:p>
    <w:p>
      <w:pPr>
        <w:pStyle w:val="Heading4"/>
        <w:spacing w:line="240" w:lineRule="auto" w:before="129"/>
        <w:ind w:left="117" w:right="0"/>
        <w:jc w:val="left"/>
      </w:pPr>
      <w:r>
        <w:rPr>
          <w:color w:val="666155"/>
        </w:rPr>
        <w:t>The</w:t>
      </w:r>
      <w:r>
        <w:rPr>
          <w:color w:val="666155"/>
          <w:spacing w:val="-6"/>
        </w:rPr>
        <w:t> </w:t>
      </w:r>
      <w:r>
        <w:rPr>
          <w:color w:val="666155"/>
          <w:spacing w:val="-1"/>
        </w:rPr>
        <w:t>main</w:t>
      </w:r>
      <w:r>
        <w:rPr>
          <w:color w:val="666155"/>
          <w:spacing w:val="-5"/>
        </w:rPr>
        <w:t> </w:t>
      </w:r>
      <w:r>
        <w:rPr>
          <w:color w:val="666155"/>
          <w:spacing w:val="-1"/>
        </w:rPr>
        <w:t>sources</w:t>
      </w:r>
      <w:r>
        <w:rPr>
          <w:color w:val="666155"/>
          <w:spacing w:val="-4"/>
        </w:rPr>
        <w:t> </w:t>
      </w:r>
      <w:r>
        <w:rPr>
          <w:color w:val="666155"/>
        </w:rPr>
        <w:t>of</w:t>
      </w:r>
      <w:r>
        <w:rPr>
          <w:color w:val="666155"/>
          <w:spacing w:val="-5"/>
        </w:rPr>
        <w:t> </w:t>
      </w:r>
      <w:r>
        <w:rPr>
          <w:color w:val="666155"/>
        </w:rPr>
        <w:t>funding</w:t>
      </w:r>
      <w:r>
        <w:rPr>
          <w:color w:val="666155"/>
          <w:spacing w:val="-5"/>
        </w:rPr>
        <w:t> </w:t>
      </w:r>
      <w:r>
        <w:rPr>
          <w:color w:val="666155"/>
        </w:rPr>
        <w:t>for</w:t>
      </w:r>
      <w:r>
        <w:rPr>
          <w:color w:val="666155"/>
          <w:spacing w:val="-4"/>
        </w:rPr>
        <w:t> </w:t>
      </w:r>
      <w:r>
        <w:rPr>
          <w:color w:val="666155"/>
        </w:rPr>
        <w:t>boarding</w:t>
      </w:r>
      <w:r>
        <w:rPr>
          <w:color w:val="666155"/>
          <w:spacing w:val="-6"/>
        </w:rPr>
        <w:t> </w:t>
      </w:r>
      <w:r>
        <w:rPr>
          <w:color w:val="666155"/>
        </w:rPr>
        <w:t>providers</w:t>
      </w:r>
      <w:r>
        <w:rPr>
          <w:color w:val="666155"/>
          <w:spacing w:val="-5"/>
        </w:rPr>
        <w:t> </w:t>
      </w:r>
      <w:r>
        <w:rPr>
          <w:color w:val="666155"/>
        </w:rPr>
        <w:t>are</w:t>
      </w:r>
      <w:r>
        <w:rPr>
          <w:color w:val="666155"/>
          <w:spacing w:val="-6"/>
        </w:rPr>
        <w:t> </w:t>
      </w:r>
      <w:r>
        <w:rPr>
          <w:color w:val="666155"/>
          <w:spacing w:val="-1"/>
        </w:rPr>
        <w:t>set</w:t>
      </w:r>
      <w:r>
        <w:rPr>
          <w:color w:val="666155"/>
          <w:spacing w:val="-4"/>
        </w:rPr>
        <w:t> </w:t>
      </w:r>
      <w:r>
        <w:rPr>
          <w:color w:val="666155"/>
        </w:rPr>
        <w:t>out</w:t>
      </w:r>
      <w:r>
        <w:rPr>
          <w:color w:val="666155"/>
          <w:spacing w:val="-5"/>
        </w:rPr>
        <w:t> </w:t>
      </w:r>
      <w:r>
        <w:rPr>
          <w:color w:val="666155"/>
        </w:rPr>
        <w:t>below.</w:t>
      </w:r>
      <w:r>
        <w:rPr/>
      </w:r>
    </w:p>
    <w:p>
      <w:pPr>
        <w:spacing w:line="240" w:lineRule="auto" w:before="9"/>
        <w:rPr>
          <w:rFonts w:ascii="Segoe UI" w:hAnsi="Segoe UI" w:cs="Segoe UI" w:eastAsia="Segoe UI"/>
          <w:sz w:val="9"/>
          <w:szCs w:val="9"/>
        </w:rPr>
      </w:pPr>
    </w:p>
    <w:p>
      <w:pPr>
        <w:spacing w:after="0" w:line="240" w:lineRule="auto"/>
        <w:rPr>
          <w:rFonts w:ascii="Segoe UI" w:hAnsi="Segoe UI" w:cs="Segoe UI" w:eastAsia="Segoe UI"/>
          <w:sz w:val="9"/>
          <w:szCs w:val="9"/>
        </w:rPr>
        <w:sectPr>
          <w:pgSz w:w="11910" w:h="16840"/>
          <w:pgMar w:header="0" w:footer="691" w:top="1580" w:bottom="880" w:left="1300" w:right="1620"/>
        </w:sectPr>
      </w:pPr>
    </w:p>
    <w:p>
      <w:pPr>
        <w:pStyle w:val="Heading2"/>
        <w:spacing w:line="240" w:lineRule="auto"/>
        <w:ind w:right="0"/>
        <w:jc w:val="left"/>
        <w:rPr>
          <w:b w:val="0"/>
          <w:bCs w:val="0"/>
        </w:rPr>
      </w:pPr>
      <w:bookmarkStart w:name="_TOC_250034" w:id="2"/>
      <w:r>
        <w:rPr>
          <w:color w:val="452A70"/>
          <w:spacing w:val="-1"/>
        </w:rPr>
        <w:t>ABSTUDY</w:t>
      </w:r>
      <w:bookmarkEnd w:id="2"/>
      <w:r>
        <w:rPr>
          <w:b w:val="0"/>
        </w:rPr>
      </w:r>
    </w:p>
    <w:p>
      <w:pPr>
        <w:pStyle w:val="BodyText"/>
        <w:spacing w:line="250" w:lineRule="exact" w:before="111"/>
        <w:ind w:right="0"/>
        <w:jc w:val="left"/>
      </w:pPr>
      <w:r>
        <w:rPr>
          <w:color w:val="231F20"/>
        </w:rPr>
        <w:t>ABSTUDY</w:t>
      </w:r>
      <w:r>
        <w:rPr>
          <w:color w:val="231F20"/>
          <w:spacing w:val="-6"/>
        </w:rPr>
        <w:t> </w:t>
      </w:r>
      <w:r>
        <w:rPr>
          <w:color w:val="231F20"/>
          <w:spacing w:val="-1"/>
        </w:rPr>
        <w:t>is</w:t>
      </w:r>
      <w:r>
        <w:rPr>
          <w:color w:val="231F20"/>
          <w:spacing w:val="-5"/>
        </w:rPr>
        <w:t> </w:t>
      </w:r>
      <w:r>
        <w:rPr>
          <w:color w:val="231F20"/>
        </w:rPr>
        <w:t>a</w:t>
      </w:r>
      <w:r>
        <w:rPr>
          <w:color w:val="231F20"/>
          <w:spacing w:val="-4"/>
        </w:rPr>
        <w:t> </w:t>
      </w:r>
      <w:r>
        <w:rPr>
          <w:color w:val="231F20"/>
          <w:spacing w:val="-1"/>
        </w:rPr>
        <w:t>means</w:t>
      </w:r>
      <w:r>
        <w:rPr>
          <w:color w:val="231F20"/>
          <w:spacing w:val="-4"/>
        </w:rPr>
        <w:t> </w:t>
      </w:r>
      <w:r>
        <w:rPr>
          <w:color w:val="231F20"/>
        </w:rPr>
        <w:t>tested</w:t>
      </w:r>
      <w:r>
        <w:rPr>
          <w:color w:val="231F20"/>
          <w:spacing w:val="-5"/>
        </w:rPr>
        <w:t> </w:t>
      </w:r>
      <w:r>
        <w:rPr>
          <w:color w:val="231F20"/>
          <w:spacing w:val="-1"/>
        </w:rPr>
        <w:t>Commonwealth</w:t>
      </w:r>
      <w:r>
        <w:rPr>
          <w:color w:val="231F20"/>
          <w:spacing w:val="22"/>
          <w:w w:val="99"/>
        </w:rPr>
        <w:t> </w:t>
      </w:r>
      <w:r>
        <w:rPr>
          <w:rFonts w:ascii="Segoe UI"/>
          <w:color w:val="231F20"/>
        </w:rPr>
        <w:t>Government program that provides financial</w:t>
      </w:r>
      <w:r>
        <w:rPr>
          <w:rFonts w:ascii="Segoe UI"/>
          <w:color w:val="231F20"/>
        </w:rPr>
        <w:t> </w:t>
      </w:r>
      <w:r>
        <w:rPr>
          <w:color w:val="231F20"/>
        </w:rPr>
        <w:t>assistance</w:t>
      </w:r>
      <w:r>
        <w:rPr>
          <w:color w:val="231F20"/>
          <w:spacing w:val="-5"/>
        </w:rPr>
        <w:t> </w:t>
      </w:r>
      <w:r>
        <w:rPr>
          <w:color w:val="231F20"/>
        </w:rPr>
        <w:t>to</w:t>
      </w:r>
      <w:r>
        <w:rPr>
          <w:color w:val="231F20"/>
          <w:spacing w:val="-3"/>
        </w:rPr>
        <w:t> </w:t>
      </w:r>
      <w:r>
        <w:rPr>
          <w:color w:val="231F20"/>
          <w:spacing w:val="-1"/>
        </w:rPr>
        <w:t>increase</w:t>
      </w:r>
      <w:r>
        <w:rPr>
          <w:color w:val="231F20"/>
          <w:spacing w:val="-3"/>
        </w:rPr>
        <w:t> </w:t>
      </w:r>
      <w:r>
        <w:rPr>
          <w:color w:val="231F20"/>
        </w:rPr>
        <w:t>the</w:t>
      </w:r>
      <w:r>
        <w:rPr>
          <w:color w:val="231F20"/>
          <w:spacing w:val="-4"/>
        </w:rPr>
        <w:t> </w:t>
      </w:r>
      <w:r>
        <w:rPr>
          <w:color w:val="231F20"/>
        </w:rPr>
        <w:t>access</w:t>
      </w:r>
      <w:r>
        <w:rPr>
          <w:color w:val="231F20"/>
          <w:spacing w:val="-4"/>
        </w:rPr>
        <w:t> </w:t>
      </w:r>
      <w:r>
        <w:rPr>
          <w:color w:val="231F20"/>
        </w:rPr>
        <w:t>and</w:t>
      </w:r>
      <w:r>
        <w:rPr>
          <w:color w:val="231F20"/>
          <w:spacing w:val="22"/>
          <w:w w:val="99"/>
        </w:rPr>
        <w:t> </w:t>
      </w:r>
      <w:r>
        <w:rPr>
          <w:color w:val="231F20"/>
        </w:rPr>
        <w:t>participation</w:t>
      </w:r>
      <w:r>
        <w:rPr>
          <w:color w:val="231F20"/>
          <w:spacing w:val="-7"/>
        </w:rPr>
        <w:t> </w:t>
      </w:r>
      <w:r>
        <w:rPr>
          <w:color w:val="231F20"/>
        </w:rPr>
        <w:t>of</w:t>
      </w:r>
      <w:r>
        <w:rPr>
          <w:color w:val="231F20"/>
          <w:spacing w:val="-6"/>
        </w:rPr>
        <w:t> </w:t>
      </w:r>
      <w:r>
        <w:rPr>
          <w:color w:val="231F20"/>
        </w:rPr>
        <w:t>Aboriginal</w:t>
      </w:r>
      <w:r>
        <w:rPr>
          <w:color w:val="231F20"/>
          <w:spacing w:val="-6"/>
        </w:rPr>
        <w:t> </w:t>
      </w:r>
      <w:r>
        <w:rPr>
          <w:color w:val="231F20"/>
        </w:rPr>
        <w:t>and</w:t>
      </w:r>
      <w:r>
        <w:rPr>
          <w:color w:val="231F20"/>
          <w:spacing w:val="-6"/>
        </w:rPr>
        <w:t> </w:t>
      </w:r>
      <w:r>
        <w:rPr>
          <w:color w:val="231F20"/>
          <w:spacing w:val="-5"/>
        </w:rPr>
        <w:t>Torres</w:t>
      </w:r>
      <w:r>
        <w:rPr>
          <w:color w:val="231F20"/>
          <w:spacing w:val="-6"/>
        </w:rPr>
        <w:t> </w:t>
      </w:r>
      <w:r>
        <w:rPr>
          <w:color w:val="231F20"/>
          <w:spacing w:val="-2"/>
        </w:rPr>
        <w:t>Strait</w:t>
      </w:r>
      <w:r>
        <w:rPr>
          <w:color w:val="231F20"/>
          <w:spacing w:val="29"/>
          <w:w w:val="99"/>
        </w:rPr>
        <w:t> </w:t>
      </w:r>
      <w:r>
        <w:rPr>
          <w:color w:val="231F20"/>
          <w:spacing w:val="-1"/>
        </w:rPr>
        <w:t>Islander</w:t>
      </w:r>
      <w:r>
        <w:rPr>
          <w:color w:val="231F20"/>
          <w:spacing w:val="-7"/>
        </w:rPr>
        <w:t> </w:t>
      </w:r>
      <w:r>
        <w:rPr>
          <w:color w:val="231F20"/>
          <w:spacing w:val="-1"/>
        </w:rPr>
        <w:t>students</w:t>
      </w:r>
      <w:r>
        <w:rPr>
          <w:color w:val="231F20"/>
          <w:spacing w:val="-6"/>
        </w:rPr>
        <w:t> </w:t>
      </w:r>
      <w:r>
        <w:rPr>
          <w:color w:val="231F20"/>
          <w:spacing w:val="-1"/>
        </w:rPr>
        <w:t>in</w:t>
      </w:r>
      <w:r>
        <w:rPr>
          <w:color w:val="231F20"/>
          <w:spacing w:val="-6"/>
        </w:rPr>
        <w:t> </w:t>
      </w:r>
      <w:r>
        <w:rPr>
          <w:color w:val="231F20"/>
          <w:spacing w:val="-1"/>
        </w:rPr>
        <w:t>schooling,</w:t>
      </w:r>
      <w:r>
        <w:rPr>
          <w:color w:val="231F20"/>
          <w:spacing w:val="-5"/>
        </w:rPr>
        <w:t> </w:t>
      </w:r>
      <w:r>
        <w:rPr>
          <w:color w:val="231F20"/>
        </w:rPr>
        <w:t>higher</w:t>
      </w:r>
      <w:r>
        <w:rPr>
          <w:color w:val="231F20"/>
          <w:spacing w:val="-7"/>
        </w:rPr>
        <w:t> </w:t>
      </w:r>
      <w:r>
        <w:rPr>
          <w:color w:val="231F20"/>
        </w:rPr>
        <w:t>education</w:t>
      </w:r>
      <w:r>
        <w:rPr>
          <w:color w:val="231F20"/>
          <w:spacing w:val="25"/>
          <w:w w:val="99"/>
        </w:rPr>
        <w:t> </w:t>
      </w:r>
      <w:r>
        <w:rPr>
          <w:color w:val="231F20"/>
        </w:rPr>
        <w:t>and</w:t>
      </w:r>
      <w:r>
        <w:rPr>
          <w:color w:val="231F20"/>
          <w:spacing w:val="-9"/>
        </w:rPr>
        <w:t> </w:t>
      </w:r>
      <w:r>
        <w:rPr>
          <w:color w:val="231F20"/>
        </w:rPr>
        <w:t>vocational</w:t>
      </w:r>
      <w:r>
        <w:rPr>
          <w:color w:val="231F20"/>
          <w:spacing w:val="-8"/>
        </w:rPr>
        <w:t> </w:t>
      </w:r>
      <w:r>
        <w:rPr>
          <w:color w:val="231F20"/>
        </w:rPr>
        <w:t>education</w:t>
      </w:r>
      <w:r>
        <w:rPr>
          <w:color w:val="231F20"/>
          <w:spacing w:val="-9"/>
        </w:rPr>
        <w:t> </w:t>
      </w:r>
      <w:r>
        <w:rPr>
          <w:color w:val="231F20"/>
        </w:rPr>
        <w:t>and</w:t>
      </w:r>
      <w:r>
        <w:rPr>
          <w:color w:val="231F20"/>
          <w:spacing w:val="-9"/>
        </w:rPr>
        <w:t> </w:t>
      </w:r>
      <w:r>
        <w:rPr>
          <w:color w:val="231F20"/>
        </w:rPr>
        <w:t>training.</w:t>
      </w:r>
      <w:r>
        <w:rPr/>
      </w:r>
    </w:p>
    <w:p>
      <w:pPr>
        <w:pStyle w:val="BodyText"/>
        <w:spacing w:line="250" w:lineRule="exact"/>
        <w:ind w:right="11"/>
        <w:jc w:val="left"/>
        <w:rPr>
          <w:rFonts w:ascii="Segoe UI Semibold" w:hAnsi="Segoe UI Semibold" w:cs="Segoe UI Semibold" w:eastAsia="Segoe UI Semibold"/>
          <w:sz w:val="11"/>
          <w:szCs w:val="11"/>
        </w:rPr>
      </w:pPr>
      <w:r>
        <w:rPr>
          <w:color w:val="231F20"/>
        </w:rPr>
        <w:t>ABSTUDY</w:t>
      </w:r>
      <w:r>
        <w:rPr>
          <w:color w:val="231F20"/>
          <w:spacing w:val="-6"/>
        </w:rPr>
        <w:t> </w:t>
      </w:r>
      <w:r>
        <w:rPr>
          <w:color w:val="231F20"/>
        </w:rPr>
        <w:t>celebrated</w:t>
      </w:r>
      <w:r>
        <w:rPr>
          <w:color w:val="231F20"/>
          <w:spacing w:val="-6"/>
        </w:rPr>
        <w:t> </w:t>
      </w:r>
      <w:r>
        <w:rPr>
          <w:color w:val="231F20"/>
          <w:spacing w:val="-1"/>
        </w:rPr>
        <w:t>its</w:t>
      </w:r>
      <w:r>
        <w:rPr>
          <w:color w:val="231F20"/>
          <w:spacing w:val="-4"/>
        </w:rPr>
        <w:t> </w:t>
      </w:r>
      <w:r>
        <w:rPr>
          <w:color w:val="231F20"/>
          <w:spacing w:val="-1"/>
        </w:rPr>
        <w:t>50th</w:t>
      </w:r>
      <w:r>
        <w:rPr>
          <w:color w:val="231F20"/>
          <w:spacing w:val="-5"/>
        </w:rPr>
        <w:t> </w:t>
      </w:r>
      <w:r>
        <w:rPr>
          <w:color w:val="231F20"/>
        </w:rPr>
        <w:t>anniversary</w:t>
      </w:r>
      <w:r>
        <w:rPr>
          <w:color w:val="231F20"/>
          <w:spacing w:val="-6"/>
        </w:rPr>
        <w:t> </w:t>
      </w:r>
      <w:r>
        <w:rPr>
          <w:color w:val="231F20"/>
          <w:spacing w:val="-1"/>
        </w:rPr>
        <w:t>in</w:t>
      </w:r>
      <w:r>
        <w:rPr>
          <w:color w:val="231F20"/>
          <w:spacing w:val="22"/>
        </w:rPr>
        <w:t> </w:t>
      </w:r>
      <w:r>
        <w:rPr>
          <w:color w:val="231F20"/>
          <w:spacing w:val="-1"/>
        </w:rPr>
        <w:t>2018.</w:t>
      </w:r>
      <w:r>
        <w:rPr>
          <w:color w:val="231F20"/>
          <w:spacing w:val="-4"/>
        </w:rPr>
        <w:t> </w:t>
      </w:r>
      <w:r>
        <w:rPr>
          <w:color w:val="231F20"/>
        </w:rPr>
        <w:t>ABSTUDY</w:t>
      </w:r>
      <w:r>
        <w:rPr>
          <w:color w:val="231F20"/>
          <w:spacing w:val="-4"/>
        </w:rPr>
        <w:t> </w:t>
      </w:r>
      <w:r>
        <w:rPr>
          <w:color w:val="231F20"/>
        </w:rPr>
        <w:t>provides</w:t>
      </w:r>
      <w:r>
        <w:rPr>
          <w:color w:val="231F20"/>
          <w:spacing w:val="-5"/>
        </w:rPr>
        <w:t> </w:t>
      </w:r>
      <w:r>
        <w:rPr>
          <w:color w:val="231F20"/>
        </w:rPr>
        <w:t>a</w:t>
      </w:r>
      <w:r>
        <w:rPr>
          <w:color w:val="231F20"/>
          <w:spacing w:val="-3"/>
        </w:rPr>
        <w:t> </w:t>
      </w:r>
      <w:r>
        <w:rPr>
          <w:color w:val="231F20"/>
          <w:spacing w:val="-1"/>
        </w:rPr>
        <w:t>living</w:t>
      </w:r>
      <w:r>
        <w:rPr>
          <w:color w:val="231F20"/>
          <w:spacing w:val="-4"/>
        </w:rPr>
        <w:t> </w:t>
      </w:r>
      <w:r>
        <w:rPr>
          <w:color w:val="231F20"/>
        </w:rPr>
        <w:t>allowance</w:t>
      </w:r>
      <w:r>
        <w:rPr>
          <w:color w:val="231F20"/>
          <w:spacing w:val="-4"/>
        </w:rPr>
        <w:t> </w:t>
      </w:r>
      <w:r>
        <w:rPr>
          <w:color w:val="231F20"/>
        </w:rPr>
        <w:t>and</w:t>
      </w:r>
      <w:r>
        <w:rPr>
          <w:color w:val="231F20"/>
          <w:spacing w:val="23"/>
          <w:w w:val="99"/>
        </w:rPr>
        <w:t> </w:t>
      </w:r>
      <w:r>
        <w:rPr>
          <w:color w:val="231F20"/>
        </w:rPr>
        <w:t>other</w:t>
      </w:r>
      <w:r>
        <w:rPr>
          <w:color w:val="231F20"/>
          <w:spacing w:val="-8"/>
        </w:rPr>
        <w:t> </w:t>
      </w:r>
      <w:r>
        <w:rPr>
          <w:color w:val="231F20"/>
          <w:spacing w:val="-1"/>
        </w:rPr>
        <w:t>supplementary</w:t>
      </w:r>
      <w:r>
        <w:rPr>
          <w:color w:val="231F20"/>
          <w:spacing w:val="-6"/>
        </w:rPr>
        <w:t> </w:t>
      </w:r>
      <w:r>
        <w:rPr>
          <w:color w:val="231F20"/>
        </w:rPr>
        <w:t>assistance</w:t>
      </w:r>
      <w:r>
        <w:rPr>
          <w:color w:val="231F20"/>
          <w:spacing w:val="-8"/>
        </w:rPr>
        <w:t> </w:t>
      </w:r>
      <w:r>
        <w:rPr>
          <w:color w:val="231F20"/>
        </w:rPr>
        <w:t>for</w:t>
      </w:r>
      <w:r>
        <w:rPr>
          <w:color w:val="231F20"/>
          <w:spacing w:val="-8"/>
        </w:rPr>
        <w:t> </w:t>
      </w:r>
      <w:r>
        <w:rPr>
          <w:color w:val="231F20"/>
          <w:spacing w:val="-1"/>
        </w:rPr>
        <w:t>secondary</w:t>
      </w:r>
      <w:r>
        <w:rPr>
          <w:color w:val="231F20"/>
          <w:spacing w:val="21"/>
          <w:w w:val="99"/>
        </w:rPr>
        <w:t> </w:t>
      </w:r>
      <w:r>
        <w:rPr>
          <w:color w:val="231F20"/>
          <w:spacing w:val="-1"/>
        </w:rPr>
        <w:t>students,</w:t>
      </w:r>
      <w:r>
        <w:rPr>
          <w:color w:val="231F20"/>
          <w:spacing w:val="-7"/>
        </w:rPr>
        <w:t> </w:t>
      </w:r>
      <w:r>
        <w:rPr>
          <w:color w:val="231F20"/>
          <w:spacing w:val="-1"/>
        </w:rPr>
        <w:t>including</w:t>
      </w:r>
      <w:r>
        <w:rPr>
          <w:color w:val="231F20"/>
          <w:spacing w:val="-7"/>
        </w:rPr>
        <w:t> </w:t>
      </w:r>
      <w:r>
        <w:rPr>
          <w:color w:val="231F20"/>
        </w:rPr>
        <w:t>those</w:t>
      </w:r>
      <w:r>
        <w:rPr>
          <w:color w:val="231F20"/>
          <w:spacing w:val="-8"/>
        </w:rPr>
        <w:t> </w:t>
      </w:r>
      <w:r>
        <w:rPr>
          <w:color w:val="231F20"/>
          <w:spacing w:val="-1"/>
        </w:rPr>
        <w:t>in</w:t>
      </w:r>
      <w:r>
        <w:rPr>
          <w:color w:val="231F20"/>
          <w:spacing w:val="-7"/>
        </w:rPr>
        <w:t> </w:t>
      </w:r>
      <w:r>
        <w:rPr>
          <w:color w:val="231F20"/>
        </w:rPr>
        <w:t>remote</w:t>
      </w:r>
      <w:r>
        <w:rPr>
          <w:color w:val="231F20"/>
          <w:spacing w:val="-8"/>
        </w:rPr>
        <w:t> </w:t>
      </w:r>
      <w:r>
        <w:rPr>
          <w:color w:val="231F20"/>
          <w:spacing w:val="-1"/>
        </w:rPr>
        <w:t>locations,</w:t>
      </w:r>
      <w:r>
        <w:rPr>
          <w:color w:val="231F20"/>
          <w:spacing w:val="23"/>
          <w:w w:val="99"/>
        </w:rPr>
        <w:t> </w:t>
      </w:r>
      <w:r>
        <w:rPr>
          <w:color w:val="231F20"/>
          <w:spacing w:val="-1"/>
        </w:rPr>
        <w:t>support</w:t>
      </w:r>
      <w:r>
        <w:rPr>
          <w:color w:val="231F20"/>
          <w:spacing w:val="-5"/>
        </w:rPr>
        <w:t> </w:t>
      </w:r>
      <w:r>
        <w:rPr>
          <w:color w:val="231F20"/>
        </w:rPr>
        <w:t>for</w:t>
      </w:r>
      <w:r>
        <w:rPr>
          <w:color w:val="231F20"/>
          <w:spacing w:val="-4"/>
        </w:rPr>
        <w:t> </w:t>
      </w:r>
      <w:r>
        <w:rPr>
          <w:color w:val="231F20"/>
        </w:rPr>
        <w:t>tuition</w:t>
      </w:r>
      <w:r>
        <w:rPr>
          <w:color w:val="231F20"/>
          <w:spacing w:val="-5"/>
        </w:rPr>
        <w:t> </w:t>
      </w:r>
      <w:r>
        <w:rPr>
          <w:color w:val="231F20"/>
        </w:rPr>
        <w:t>and</w:t>
      </w:r>
      <w:r>
        <w:rPr>
          <w:color w:val="231F20"/>
          <w:spacing w:val="-6"/>
        </w:rPr>
        <w:t> </w:t>
      </w:r>
      <w:r>
        <w:rPr>
          <w:color w:val="231F20"/>
        </w:rPr>
        <w:t>boarding</w:t>
      </w:r>
      <w:r>
        <w:rPr>
          <w:color w:val="231F20"/>
          <w:spacing w:val="-5"/>
        </w:rPr>
        <w:t> </w:t>
      </w:r>
      <w:r>
        <w:rPr>
          <w:color w:val="231F20"/>
        </w:rPr>
        <w:t>fees,</w:t>
      </w:r>
      <w:r>
        <w:rPr>
          <w:color w:val="231F20"/>
          <w:spacing w:val="-4"/>
        </w:rPr>
        <w:t> </w:t>
      </w:r>
      <w:r>
        <w:rPr>
          <w:color w:val="231F20"/>
        </w:rPr>
        <w:t>and</w:t>
      </w:r>
      <w:r>
        <w:rPr>
          <w:color w:val="231F20"/>
          <w:spacing w:val="-5"/>
        </w:rPr>
        <w:t> </w:t>
      </w:r>
      <w:r>
        <w:rPr>
          <w:color w:val="231F20"/>
        </w:rPr>
        <w:t>gives</w:t>
      </w:r>
      <w:r>
        <w:rPr>
          <w:color w:val="231F20"/>
          <w:spacing w:val="22"/>
        </w:rPr>
        <w:t> </w:t>
      </w:r>
      <w:r>
        <w:rPr>
          <w:color w:val="231F20"/>
          <w:spacing w:val="-1"/>
        </w:rPr>
        <w:t>students</w:t>
      </w:r>
      <w:r>
        <w:rPr>
          <w:color w:val="231F20"/>
          <w:spacing w:val="-4"/>
        </w:rPr>
        <w:t> </w:t>
      </w:r>
      <w:r>
        <w:rPr>
          <w:color w:val="231F20"/>
        </w:rPr>
        <w:t>access</w:t>
      </w:r>
      <w:r>
        <w:rPr>
          <w:color w:val="231F20"/>
          <w:spacing w:val="-4"/>
        </w:rPr>
        <w:t> </w:t>
      </w:r>
      <w:r>
        <w:rPr>
          <w:color w:val="231F20"/>
        </w:rPr>
        <w:t>to</w:t>
      </w:r>
      <w:r>
        <w:rPr>
          <w:color w:val="231F20"/>
          <w:spacing w:val="-4"/>
        </w:rPr>
        <w:t> </w:t>
      </w:r>
      <w:r>
        <w:rPr>
          <w:color w:val="231F20"/>
        </w:rPr>
        <w:t>quality</w:t>
      </w:r>
      <w:r>
        <w:rPr>
          <w:color w:val="231F20"/>
          <w:spacing w:val="-4"/>
        </w:rPr>
        <w:t> </w:t>
      </w:r>
      <w:r>
        <w:rPr>
          <w:color w:val="231F20"/>
          <w:spacing w:val="-1"/>
        </w:rPr>
        <w:t>secondary</w:t>
      </w:r>
      <w:r>
        <w:rPr>
          <w:color w:val="231F20"/>
          <w:spacing w:val="-2"/>
        </w:rPr>
        <w:t> </w:t>
      </w:r>
      <w:r>
        <w:rPr>
          <w:color w:val="231F20"/>
          <w:spacing w:val="-1"/>
        </w:rPr>
        <w:t>schooling</w:t>
      </w:r>
      <w:r>
        <w:rPr>
          <w:color w:val="231F20"/>
          <w:spacing w:val="22"/>
        </w:rPr>
        <w:t> </w:t>
      </w:r>
      <w:r>
        <w:rPr>
          <w:color w:val="231F20"/>
        </w:rPr>
        <w:t>opportunities</w:t>
      </w:r>
      <w:r>
        <w:rPr>
          <w:color w:val="231F20"/>
          <w:spacing w:val="-9"/>
        </w:rPr>
        <w:t> </w:t>
      </w:r>
      <w:r>
        <w:rPr>
          <w:color w:val="231F20"/>
        </w:rPr>
        <w:t>for</w:t>
      </w:r>
      <w:r>
        <w:rPr>
          <w:color w:val="231F20"/>
          <w:spacing w:val="-7"/>
        </w:rPr>
        <w:t> </w:t>
      </w:r>
      <w:r>
        <w:rPr>
          <w:color w:val="231F20"/>
          <w:spacing w:val="-1"/>
        </w:rPr>
        <w:t>secondary</w:t>
      </w:r>
      <w:r>
        <w:rPr>
          <w:color w:val="231F20"/>
          <w:spacing w:val="-6"/>
        </w:rPr>
        <w:t> </w:t>
      </w:r>
      <w:r>
        <w:rPr>
          <w:color w:val="231F20"/>
        </w:rPr>
        <w:t>education</w:t>
      </w:r>
      <w:r>
        <w:rPr>
          <w:color w:val="231F20"/>
          <w:spacing w:val="-8"/>
        </w:rPr>
        <w:t> </w:t>
      </w:r>
      <w:r>
        <w:rPr>
          <w:color w:val="231F20"/>
        </w:rPr>
        <w:t>that</w:t>
      </w:r>
      <w:r>
        <w:rPr>
          <w:color w:val="231F20"/>
          <w:spacing w:val="-8"/>
        </w:rPr>
        <w:t> </w:t>
      </w:r>
      <w:r>
        <w:rPr>
          <w:color w:val="231F20"/>
          <w:spacing w:val="-1"/>
        </w:rPr>
        <w:t>may</w:t>
      </w:r>
      <w:r>
        <w:rPr>
          <w:color w:val="231F20"/>
          <w:spacing w:val="21"/>
        </w:rPr>
        <w:t> </w:t>
      </w:r>
      <w:r>
        <w:rPr>
          <w:color w:val="231F20"/>
        </w:rPr>
        <w:t>not</w:t>
      </w:r>
      <w:r>
        <w:rPr>
          <w:color w:val="231F20"/>
          <w:spacing w:val="-5"/>
        </w:rPr>
        <w:t> </w:t>
      </w:r>
      <w:r>
        <w:rPr>
          <w:color w:val="231F20"/>
        </w:rPr>
        <w:t>otherwise</w:t>
      </w:r>
      <w:r>
        <w:rPr>
          <w:color w:val="231F20"/>
          <w:spacing w:val="-6"/>
        </w:rPr>
        <w:t> </w:t>
      </w:r>
      <w:r>
        <w:rPr>
          <w:color w:val="231F20"/>
        </w:rPr>
        <w:t>be</w:t>
      </w:r>
      <w:r>
        <w:rPr>
          <w:color w:val="231F20"/>
          <w:spacing w:val="-5"/>
        </w:rPr>
        <w:t> </w:t>
      </w:r>
      <w:r>
        <w:rPr>
          <w:color w:val="231F20"/>
          <w:spacing w:val="-1"/>
        </w:rPr>
        <w:t>available.</w:t>
      </w:r>
      <w:r>
        <w:rPr>
          <w:rFonts w:ascii="Segoe UI Semibold"/>
          <w:b/>
          <w:color w:val="231F20"/>
          <w:spacing w:val="-1"/>
          <w:position w:val="7"/>
          <w:sz w:val="11"/>
        </w:rPr>
        <w:t>92</w:t>
      </w:r>
      <w:r>
        <w:rPr>
          <w:rFonts w:ascii="Segoe UI Semibold"/>
          <w:sz w:val="11"/>
        </w:rPr>
      </w:r>
    </w:p>
    <w:p>
      <w:pPr>
        <w:pStyle w:val="BodyText"/>
        <w:spacing w:line="250" w:lineRule="exact" w:before="113"/>
        <w:ind w:right="0"/>
        <w:jc w:val="left"/>
      </w:pPr>
      <w:r>
        <w:rPr>
          <w:color w:val="231F20"/>
        </w:rPr>
        <w:t>The</w:t>
      </w:r>
      <w:r>
        <w:rPr>
          <w:color w:val="231F20"/>
          <w:spacing w:val="-4"/>
        </w:rPr>
        <w:t> </w:t>
      </w:r>
      <w:r>
        <w:rPr>
          <w:color w:val="231F20"/>
        </w:rPr>
        <w:t>delivery</w:t>
      </w:r>
      <w:r>
        <w:rPr>
          <w:color w:val="231F20"/>
          <w:spacing w:val="-5"/>
        </w:rPr>
        <w:t> </w:t>
      </w:r>
      <w:r>
        <w:rPr>
          <w:color w:val="231F20"/>
        </w:rPr>
        <w:t>agency</w:t>
      </w:r>
      <w:r>
        <w:rPr>
          <w:color w:val="231F20"/>
          <w:spacing w:val="-5"/>
        </w:rPr>
        <w:t> </w:t>
      </w:r>
      <w:r>
        <w:rPr>
          <w:color w:val="231F20"/>
        </w:rPr>
        <w:t>for</w:t>
      </w:r>
      <w:r>
        <w:rPr>
          <w:color w:val="231F20"/>
          <w:spacing w:val="-3"/>
        </w:rPr>
        <w:t> </w:t>
      </w:r>
      <w:r>
        <w:rPr>
          <w:color w:val="231F20"/>
        </w:rPr>
        <w:t>ABSTUDY</w:t>
      </w:r>
      <w:r>
        <w:rPr>
          <w:color w:val="231F20"/>
          <w:spacing w:val="-5"/>
        </w:rPr>
        <w:t> </w:t>
      </w:r>
      <w:r>
        <w:rPr>
          <w:color w:val="231F20"/>
        </w:rPr>
        <w:t>and</w:t>
      </w:r>
      <w:r>
        <w:rPr>
          <w:color w:val="231F20"/>
          <w:spacing w:val="-5"/>
        </w:rPr>
        <w:t> </w:t>
      </w:r>
      <w:r>
        <w:rPr>
          <w:color w:val="231F20"/>
        </w:rPr>
        <w:t>ABSTUDY</w:t>
      </w:r>
      <w:r>
        <w:rPr>
          <w:color w:val="231F20"/>
        </w:rPr>
        <w:t> travel</w:t>
      </w:r>
      <w:r>
        <w:rPr>
          <w:color w:val="231F20"/>
          <w:spacing w:val="-6"/>
        </w:rPr>
        <w:t> </w:t>
      </w:r>
      <w:r>
        <w:rPr>
          <w:color w:val="231F20"/>
          <w:spacing w:val="-1"/>
        </w:rPr>
        <w:t>is</w:t>
      </w:r>
      <w:r>
        <w:rPr>
          <w:color w:val="231F20"/>
          <w:spacing w:val="-5"/>
        </w:rPr>
        <w:t> </w:t>
      </w:r>
      <w:r>
        <w:rPr>
          <w:color w:val="231F20"/>
        </w:rPr>
        <w:t>the</w:t>
      </w:r>
      <w:r>
        <w:rPr>
          <w:color w:val="231F20"/>
          <w:spacing w:val="-5"/>
        </w:rPr>
        <w:t> </w:t>
      </w:r>
      <w:r>
        <w:rPr>
          <w:color w:val="231F20"/>
          <w:spacing w:val="-1"/>
        </w:rPr>
        <w:t>Department</w:t>
      </w:r>
      <w:r>
        <w:rPr>
          <w:color w:val="231F20"/>
          <w:spacing w:val="-4"/>
        </w:rPr>
        <w:t> </w:t>
      </w:r>
      <w:r>
        <w:rPr>
          <w:color w:val="231F20"/>
        </w:rPr>
        <w:t>of</w:t>
      </w:r>
      <w:r>
        <w:rPr>
          <w:color w:val="231F20"/>
          <w:spacing w:val="-5"/>
        </w:rPr>
        <w:t> </w:t>
      </w:r>
      <w:r>
        <w:rPr>
          <w:color w:val="231F20"/>
        </w:rPr>
        <w:t>Human</w:t>
      </w:r>
      <w:r>
        <w:rPr>
          <w:color w:val="231F20"/>
          <w:spacing w:val="-5"/>
        </w:rPr>
        <w:t> </w:t>
      </w:r>
      <w:r>
        <w:rPr>
          <w:color w:val="231F20"/>
          <w:spacing w:val="-1"/>
        </w:rPr>
        <w:t>Services</w:t>
      </w:r>
      <w:r>
        <w:rPr>
          <w:color w:val="231F20"/>
          <w:spacing w:val="-4"/>
        </w:rPr>
        <w:t> </w:t>
      </w:r>
      <w:r>
        <w:rPr>
          <w:color w:val="231F20"/>
        </w:rPr>
        <w:t>and</w:t>
      </w:r>
      <w:r>
        <w:rPr>
          <w:color w:val="231F20"/>
          <w:spacing w:val="24"/>
          <w:w w:val="99"/>
        </w:rPr>
        <w:t> </w:t>
      </w:r>
      <w:r>
        <w:rPr>
          <w:color w:val="231F20"/>
        </w:rPr>
        <w:t>the</w:t>
      </w:r>
      <w:r>
        <w:rPr>
          <w:color w:val="231F20"/>
          <w:spacing w:val="-5"/>
        </w:rPr>
        <w:t> </w:t>
      </w:r>
      <w:r>
        <w:rPr>
          <w:color w:val="231F20"/>
          <w:spacing w:val="-1"/>
        </w:rPr>
        <w:t>lead</w:t>
      </w:r>
      <w:r>
        <w:rPr>
          <w:color w:val="231F20"/>
          <w:spacing w:val="-5"/>
        </w:rPr>
        <w:t> </w:t>
      </w:r>
      <w:r>
        <w:rPr>
          <w:color w:val="231F20"/>
        </w:rPr>
        <w:t>policy</w:t>
      </w:r>
      <w:r>
        <w:rPr>
          <w:color w:val="231F20"/>
          <w:spacing w:val="-5"/>
        </w:rPr>
        <w:t> </w:t>
      </w:r>
      <w:r>
        <w:rPr>
          <w:color w:val="231F20"/>
        </w:rPr>
        <w:t>agency</w:t>
      </w:r>
      <w:r>
        <w:rPr>
          <w:color w:val="231F20"/>
          <w:spacing w:val="-5"/>
        </w:rPr>
        <w:t> </w:t>
      </w:r>
      <w:r>
        <w:rPr>
          <w:color w:val="231F20"/>
          <w:spacing w:val="-1"/>
        </w:rPr>
        <w:t>is</w:t>
      </w:r>
      <w:r>
        <w:rPr>
          <w:color w:val="231F20"/>
          <w:spacing w:val="-5"/>
        </w:rPr>
        <w:t> </w:t>
      </w:r>
      <w:r>
        <w:rPr>
          <w:color w:val="231F20"/>
        </w:rPr>
        <w:t>the</w:t>
      </w:r>
      <w:r>
        <w:rPr>
          <w:color w:val="231F20"/>
          <w:spacing w:val="-5"/>
        </w:rPr>
        <w:t> </w:t>
      </w:r>
      <w:r>
        <w:rPr>
          <w:color w:val="231F20"/>
          <w:spacing w:val="-1"/>
        </w:rPr>
        <w:t>Department</w:t>
      </w:r>
      <w:r>
        <w:rPr>
          <w:color w:val="231F20"/>
          <w:spacing w:val="-4"/>
        </w:rPr>
        <w:t> </w:t>
      </w:r>
      <w:r>
        <w:rPr>
          <w:color w:val="231F20"/>
        </w:rPr>
        <w:t>of</w:t>
      </w:r>
      <w:r>
        <w:rPr>
          <w:color w:val="231F20"/>
          <w:spacing w:val="24"/>
          <w:w w:val="99"/>
        </w:rPr>
        <w:t> </w:t>
      </w:r>
      <w:r>
        <w:rPr>
          <w:color w:val="231F20"/>
          <w:spacing w:val="-1"/>
        </w:rPr>
        <w:t>Social</w:t>
      </w:r>
      <w:r>
        <w:rPr>
          <w:color w:val="231F20"/>
        </w:rPr>
        <w:t> </w:t>
      </w:r>
      <w:r>
        <w:rPr>
          <w:color w:val="231F20"/>
          <w:spacing w:val="-1"/>
        </w:rPr>
        <w:t>Services.</w:t>
      </w:r>
      <w:r>
        <w:rPr/>
      </w:r>
    </w:p>
    <w:p>
      <w:pPr>
        <w:pStyle w:val="BodyText"/>
        <w:spacing w:line="250" w:lineRule="exact" w:before="113"/>
        <w:ind w:right="0"/>
        <w:jc w:val="left"/>
      </w:pPr>
      <w:r>
        <w:rPr>
          <w:color w:val="231F20"/>
        </w:rPr>
        <w:t>ABSTUDY</w:t>
      </w:r>
      <w:r>
        <w:rPr>
          <w:color w:val="231F20"/>
          <w:spacing w:val="-7"/>
        </w:rPr>
        <w:t> </w:t>
      </w:r>
      <w:r>
        <w:rPr>
          <w:color w:val="231F20"/>
        </w:rPr>
        <w:t>provided</w:t>
      </w:r>
      <w:r>
        <w:rPr>
          <w:color w:val="231F20"/>
          <w:spacing w:val="-7"/>
        </w:rPr>
        <w:t> </w:t>
      </w:r>
      <w:r>
        <w:rPr>
          <w:color w:val="231F20"/>
          <w:spacing w:val="-1"/>
        </w:rPr>
        <w:t>secondary</w:t>
      </w:r>
      <w:r>
        <w:rPr>
          <w:color w:val="231F20"/>
          <w:spacing w:val="-4"/>
        </w:rPr>
        <w:t> </w:t>
      </w:r>
      <w:r>
        <w:rPr>
          <w:color w:val="231F20"/>
          <w:spacing w:val="-1"/>
        </w:rPr>
        <w:t>schooling</w:t>
      </w:r>
      <w:r>
        <w:rPr>
          <w:color w:val="231F20"/>
          <w:spacing w:val="21"/>
        </w:rPr>
        <w:t> </w:t>
      </w:r>
      <w:r>
        <w:rPr>
          <w:color w:val="231F20"/>
        </w:rPr>
        <w:t>payments</w:t>
      </w:r>
      <w:r>
        <w:rPr>
          <w:color w:val="231F20"/>
          <w:spacing w:val="-3"/>
        </w:rPr>
        <w:t> </w:t>
      </w:r>
      <w:r>
        <w:rPr>
          <w:color w:val="231F20"/>
          <w:spacing w:val="-1"/>
        </w:rPr>
        <w:t>in</w:t>
      </w:r>
      <w:r>
        <w:rPr>
          <w:color w:val="231F20"/>
          <w:spacing w:val="-3"/>
        </w:rPr>
        <w:t> </w:t>
      </w:r>
      <w:r>
        <w:rPr>
          <w:color w:val="231F20"/>
          <w:spacing w:val="-1"/>
        </w:rPr>
        <w:t>2017-18</w:t>
      </w:r>
      <w:r>
        <w:rPr>
          <w:color w:val="231F20"/>
          <w:spacing w:val="-2"/>
        </w:rPr>
        <w:t> </w:t>
      </w:r>
      <w:r>
        <w:rPr>
          <w:color w:val="231F20"/>
        </w:rPr>
        <w:t>of</w:t>
      </w:r>
      <w:r>
        <w:rPr>
          <w:color w:val="231F20"/>
          <w:spacing w:val="-2"/>
        </w:rPr>
        <w:t> </w:t>
      </w:r>
      <w:r>
        <w:rPr>
          <w:color w:val="231F20"/>
          <w:spacing w:val="-1"/>
        </w:rPr>
        <w:t>$152.68</w:t>
      </w:r>
      <w:r>
        <w:rPr>
          <w:color w:val="231F20"/>
          <w:spacing w:val="-2"/>
        </w:rPr>
        <w:t> </w:t>
      </w:r>
      <w:r>
        <w:rPr>
          <w:color w:val="231F20"/>
          <w:spacing w:val="-1"/>
        </w:rPr>
        <w:t>million</w:t>
      </w:r>
      <w:r>
        <w:rPr>
          <w:color w:val="231F20"/>
          <w:spacing w:val="-2"/>
        </w:rPr>
        <w:t> </w:t>
      </w:r>
      <w:r>
        <w:rPr>
          <w:color w:val="231F20"/>
        </w:rPr>
        <w:t>to</w:t>
      </w:r>
      <w:r>
        <w:rPr>
          <w:color w:val="231F20"/>
          <w:spacing w:val="25"/>
          <w:w w:val="99"/>
        </w:rPr>
        <w:t> </w:t>
      </w:r>
      <w:r>
        <w:rPr>
          <w:color w:val="231F20"/>
          <w:spacing w:val="-1"/>
        </w:rPr>
        <w:t>18,984</w:t>
      </w:r>
      <w:r>
        <w:rPr>
          <w:color w:val="231F20"/>
          <w:spacing w:val="-3"/>
        </w:rPr>
        <w:t> </w:t>
      </w:r>
      <w:r>
        <w:rPr>
          <w:color w:val="231F20"/>
          <w:spacing w:val="-1"/>
        </w:rPr>
        <w:t>students</w:t>
      </w:r>
      <w:r>
        <w:rPr>
          <w:color w:val="231F20"/>
          <w:spacing w:val="-3"/>
        </w:rPr>
        <w:t> </w:t>
      </w:r>
      <w:r>
        <w:rPr>
          <w:color w:val="231F20"/>
        </w:rPr>
        <w:t>and</w:t>
      </w:r>
      <w:r>
        <w:rPr>
          <w:color w:val="231F20"/>
          <w:spacing w:val="-3"/>
        </w:rPr>
        <w:t> </w:t>
      </w:r>
      <w:r>
        <w:rPr>
          <w:color w:val="231F20"/>
        </w:rPr>
        <w:t>these</w:t>
      </w:r>
      <w:r>
        <w:rPr>
          <w:color w:val="231F20"/>
          <w:spacing w:val="-4"/>
        </w:rPr>
        <w:t> </w:t>
      </w:r>
      <w:r>
        <w:rPr>
          <w:color w:val="231F20"/>
        </w:rPr>
        <w:t>are</w:t>
      </w:r>
      <w:r>
        <w:rPr>
          <w:color w:val="231F20"/>
          <w:spacing w:val="-4"/>
        </w:rPr>
        <w:t> </w:t>
      </w:r>
      <w:r>
        <w:rPr>
          <w:color w:val="231F20"/>
        </w:rPr>
        <w:t>projected</w:t>
      </w:r>
      <w:r>
        <w:rPr>
          <w:color w:val="231F20"/>
          <w:spacing w:val="-3"/>
        </w:rPr>
        <w:t> </w:t>
      </w:r>
      <w:r>
        <w:rPr>
          <w:color w:val="231F20"/>
        </w:rPr>
        <w:t>to</w:t>
      </w:r>
      <w:r>
        <w:rPr>
          <w:color w:val="231F20"/>
          <w:spacing w:val="-3"/>
        </w:rPr>
        <w:t> </w:t>
      </w:r>
      <w:r>
        <w:rPr>
          <w:color w:val="231F20"/>
        </w:rPr>
        <w:t>be</w:t>
      </w:r>
      <w:r>
        <w:rPr/>
      </w:r>
    </w:p>
    <w:p>
      <w:pPr>
        <w:pStyle w:val="BodyText"/>
        <w:spacing w:line="250" w:lineRule="exact"/>
        <w:ind w:right="27"/>
        <w:jc w:val="left"/>
      </w:pPr>
      <w:r>
        <w:rPr>
          <w:color w:val="231F20"/>
          <w:spacing w:val="-1"/>
        </w:rPr>
        <w:t>$159 million</w:t>
      </w:r>
      <w:r>
        <w:rPr>
          <w:color w:val="231F20"/>
        </w:rPr>
        <w:t> </w:t>
      </w:r>
      <w:r>
        <w:rPr>
          <w:color w:val="231F20"/>
          <w:spacing w:val="-1"/>
        </w:rPr>
        <w:t>in</w:t>
      </w:r>
      <w:r>
        <w:rPr>
          <w:color w:val="231F20"/>
        </w:rPr>
        <w:t> 2019-20.</w:t>
      </w:r>
      <w:r>
        <w:rPr>
          <w:rFonts w:ascii="Segoe UI Semibold"/>
          <w:b/>
          <w:color w:val="231F20"/>
          <w:position w:val="7"/>
          <w:sz w:val="11"/>
        </w:rPr>
        <w:t>93</w:t>
      </w:r>
      <w:r>
        <w:rPr>
          <w:rFonts w:ascii="Segoe UI Semibold"/>
          <w:b/>
          <w:color w:val="231F20"/>
          <w:spacing w:val="24"/>
          <w:position w:val="7"/>
          <w:sz w:val="11"/>
        </w:rPr>
        <w:t> </w:t>
      </w:r>
      <w:r>
        <w:rPr>
          <w:color w:val="231F20"/>
          <w:spacing w:val="-1"/>
        </w:rPr>
        <w:t>In </w:t>
      </w:r>
      <w:r>
        <w:rPr>
          <w:color w:val="231F20"/>
        </w:rPr>
        <w:t>the</w:t>
      </w:r>
      <w:r>
        <w:rPr>
          <w:color w:val="231F20"/>
          <w:spacing w:val="-1"/>
        </w:rPr>
        <w:t> 2018</w:t>
      </w:r>
      <w:r>
        <w:rPr>
          <w:color w:val="231F20"/>
        </w:rPr>
        <w:t> budget</w:t>
      </w:r>
      <w:r>
        <w:rPr>
          <w:color w:val="231F20"/>
          <w:spacing w:val="26"/>
          <w:w w:val="99"/>
        </w:rPr>
        <w:t> </w:t>
      </w:r>
      <w:r>
        <w:rPr>
          <w:color w:val="231F20"/>
        </w:rPr>
        <w:t>the</w:t>
      </w:r>
      <w:r>
        <w:rPr>
          <w:color w:val="231F20"/>
          <w:spacing w:val="-11"/>
        </w:rPr>
        <w:t> </w:t>
      </w:r>
      <w:r>
        <w:rPr>
          <w:color w:val="231F20"/>
          <w:spacing w:val="-1"/>
        </w:rPr>
        <w:t>Commonwealth</w:t>
      </w:r>
      <w:r>
        <w:rPr>
          <w:color w:val="231F20"/>
          <w:spacing w:val="-10"/>
        </w:rPr>
        <w:t> </w:t>
      </w:r>
      <w:r>
        <w:rPr>
          <w:color w:val="231F20"/>
        </w:rPr>
        <w:t>Government</w:t>
      </w:r>
      <w:r>
        <w:rPr>
          <w:color w:val="231F20"/>
          <w:spacing w:val="-10"/>
        </w:rPr>
        <w:t> </w:t>
      </w:r>
      <w:r>
        <w:rPr>
          <w:color w:val="231F20"/>
        </w:rPr>
        <w:t>announced</w:t>
      </w:r>
      <w:r>
        <w:rPr>
          <w:color w:val="231F20"/>
          <w:spacing w:val="-11"/>
        </w:rPr>
        <w:t> </w:t>
      </w:r>
      <w:r>
        <w:rPr>
          <w:color w:val="231F20"/>
          <w:spacing w:val="-11"/>
        </w:rPr>
      </w:r>
      <w:r>
        <w:rPr>
          <w:color w:val="231F20"/>
        </w:rPr>
        <w:t>an</w:t>
      </w:r>
      <w:r>
        <w:rPr>
          <w:color w:val="231F20"/>
          <w:spacing w:val="21"/>
        </w:rPr>
        <w:t> </w:t>
      </w:r>
      <w:r>
        <w:rPr>
          <w:color w:val="231F20"/>
        </w:rPr>
        <w:t>additional</w:t>
      </w:r>
      <w:r>
        <w:rPr>
          <w:color w:val="231F20"/>
          <w:spacing w:val="-5"/>
        </w:rPr>
        <w:t> </w:t>
      </w:r>
      <w:r>
        <w:rPr>
          <w:color w:val="231F20"/>
          <w:spacing w:val="-1"/>
        </w:rPr>
        <w:t>$38.1</w:t>
      </w:r>
      <w:r>
        <w:rPr>
          <w:color w:val="231F20"/>
          <w:spacing w:val="-3"/>
        </w:rPr>
        <w:t> </w:t>
      </w:r>
      <w:r>
        <w:rPr>
          <w:color w:val="231F20"/>
          <w:spacing w:val="-1"/>
        </w:rPr>
        <w:t>million</w:t>
      </w:r>
      <w:r>
        <w:rPr>
          <w:color w:val="231F20"/>
          <w:spacing w:val="-3"/>
        </w:rPr>
        <w:t> </w:t>
      </w:r>
      <w:r>
        <w:rPr>
          <w:color w:val="231F20"/>
          <w:spacing w:val="-1"/>
        </w:rPr>
        <w:t>in</w:t>
      </w:r>
      <w:r>
        <w:rPr>
          <w:color w:val="231F20"/>
          <w:spacing w:val="-3"/>
        </w:rPr>
        <w:t> </w:t>
      </w:r>
      <w:r>
        <w:rPr>
          <w:color w:val="231F20"/>
        </w:rPr>
        <w:t>ABSTUDY</w:t>
      </w:r>
      <w:r>
        <w:rPr>
          <w:color w:val="231F20"/>
          <w:spacing w:val="-4"/>
        </w:rPr>
        <w:t> </w:t>
      </w:r>
      <w:r>
        <w:rPr>
          <w:color w:val="231F20"/>
        </w:rPr>
        <w:t>funding</w:t>
      </w:r>
      <w:r>
        <w:rPr>
          <w:color w:val="231F20"/>
          <w:spacing w:val="24"/>
          <w:w w:val="99"/>
        </w:rPr>
        <w:t> </w:t>
      </w:r>
      <w:r>
        <w:rPr>
          <w:rFonts w:ascii="Segoe UI"/>
          <w:color w:val="231F20"/>
        </w:rPr>
        <w:t>over five years (2018-19 ABSTUDY budget</w:t>
      </w:r>
      <w:r>
        <w:rPr>
          <w:rFonts w:ascii="Segoe UI"/>
          <w:color w:val="231F20"/>
        </w:rPr>
        <w:t> </w:t>
      </w:r>
      <w:r>
        <w:rPr>
          <w:color w:val="231F20"/>
          <w:spacing w:val="-1"/>
        </w:rPr>
        <w:t>measure)</w:t>
      </w:r>
      <w:r>
        <w:rPr>
          <w:color w:val="231F20"/>
          <w:spacing w:val="-7"/>
        </w:rPr>
        <w:t> </w:t>
      </w:r>
      <w:r>
        <w:rPr>
          <w:color w:val="231F20"/>
        </w:rPr>
        <w:t>to</w:t>
      </w:r>
      <w:r>
        <w:rPr>
          <w:color w:val="231F20"/>
          <w:spacing w:val="-6"/>
        </w:rPr>
        <w:t> </w:t>
      </w:r>
      <w:r>
        <w:rPr>
          <w:color w:val="231F20"/>
          <w:spacing w:val="-1"/>
        </w:rPr>
        <w:t>improve</w:t>
      </w:r>
      <w:r>
        <w:rPr>
          <w:color w:val="231F20"/>
          <w:spacing w:val="-7"/>
        </w:rPr>
        <w:t> </w:t>
      </w:r>
      <w:r>
        <w:rPr>
          <w:color w:val="231F20"/>
          <w:spacing w:val="-1"/>
        </w:rPr>
        <w:t>support</w:t>
      </w:r>
      <w:r>
        <w:rPr>
          <w:color w:val="231F20"/>
          <w:spacing w:val="-7"/>
        </w:rPr>
        <w:t> </w:t>
      </w:r>
      <w:r>
        <w:rPr>
          <w:color w:val="231F20"/>
        </w:rPr>
        <w:t>for</w:t>
      </w:r>
      <w:r>
        <w:rPr>
          <w:color w:val="231F20"/>
          <w:spacing w:val="-7"/>
        </w:rPr>
        <w:t> </w:t>
      </w:r>
      <w:r>
        <w:rPr>
          <w:color w:val="231F20"/>
        </w:rPr>
        <w:t>boarding</w:t>
      </w:r>
      <w:r>
        <w:rPr>
          <w:color w:val="231F20"/>
          <w:spacing w:val="24"/>
          <w:w w:val="99"/>
        </w:rPr>
        <w:t> </w:t>
      </w:r>
      <w:r>
        <w:rPr>
          <w:color w:val="231F20"/>
          <w:spacing w:val="-1"/>
        </w:rPr>
        <w:t>students,</w:t>
      </w:r>
      <w:r>
        <w:rPr>
          <w:color w:val="231F20"/>
          <w:spacing w:val="-5"/>
        </w:rPr>
        <w:t> </w:t>
      </w:r>
      <w:r>
        <w:rPr>
          <w:color w:val="231F20"/>
        </w:rPr>
        <w:t>followed</w:t>
      </w:r>
      <w:r>
        <w:rPr>
          <w:color w:val="231F20"/>
          <w:spacing w:val="-5"/>
        </w:rPr>
        <w:t> </w:t>
      </w:r>
      <w:r>
        <w:rPr>
          <w:color w:val="231F20"/>
        </w:rPr>
        <w:t>by</w:t>
      </w:r>
      <w:r>
        <w:rPr>
          <w:color w:val="231F20"/>
          <w:spacing w:val="-5"/>
        </w:rPr>
        <w:t> </w:t>
      </w:r>
      <w:r>
        <w:rPr>
          <w:color w:val="231F20"/>
        </w:rPr>
        <w:t>a</w:t>
      </w:r>
      <w:r>
        <w:rPr>
          <w:color w:val="231F20"/>
          <w:spacing w:val="-5"/>
        </w:rPr>
        <w:t> </w:t>
      </w:r>
      <w:r>
        <w:rPr>
          <w:color w:val="231F20"/>
          <w:spacing w:val="-1"/>
        </w:rPr>
        <w:t>2019-20</w:t>
      </w:r>
      <w:r>
        <w:rPr>
          <w:color w:val="231F20"/>
          <w:spacing w:val="-5"/>
        </w:rPr>
        <w:t> </w:t>
      </w:r>
      <w:r>
        <w:rPr>
          <w:color w:val="231F20"/>
        </w:rPr>
        <w:t>budget</w:t>
      </w:r>
      <w:r>
        <w:rPr>
          <w:color w:val="231F20"/>
          <w:spacing w:val="23"/>
          <w:w w:val="99"/>
        </w:rPr>
        <w:t> </w:t>
      </w:r>
      <w:r>
        <w:rPr>
          <w:rFonts w:ascii="Segoe UI"/>
          <w:color w:val="231F20"/>
        </w:rPr>
        <w:t>measure to extend family tax benefits to</w:t>
      </w:r>
      <w:r>
        <w:rPr>
          <w:rFonts w:ascii="Segoe UI"/>
          <w:color w:val="231F20"/>
        </w:rPr>
        <w:t> </w:t>
      </w:r>
      <w:r>
        <w:rPr>
          <w:color w:val="231F20"/>
        </w:rPr>
        <w:t>ABSTUDY</w:t>
      </w:r>
      <w:r>
        <w:rPr>
          <w:color w:val="231F20"/>
          <w:spacing w:val="-6"/>
        </w:rPr>
        <w:t> </w:t>
      </w:r>
      <w:r>
        <w:rPr>
          <w:color w:val="231F20"/>
        </w:rPr>
        <w:t>recipients</w:t>
      </w:r>
      <w:r>
        <w:rPr>
          <w:color w:val="231F20"/>
          <w:spacing w:val="-6"/>
        </w:rPr>
        <w:t> </w:t>
      </w:r>
      <w:r>
        <w:rPr>
          <w:color w:val="231F20"/>
        </w:rPr>
        <w:t>aged</w:t>
      </w:r>
      <w:r>
        <w:rPr>
          <w:color w:val="231F20"/>
          <w:spacing w:val="-5"/>
        </w:rPr>
        <w:t> </w:t>
      </w:r>
      <w:r>
        <w:rPr>
          <w:color w:val="231F20"/>
          <w:spacing w:val="-1"/>
        </w:rPr>
        <w:t>16</w:t>
      </w:r>
      <w:r>
        <w:rPr>
          <w:color w:val="231F20"/>
          <w:spacing w:val="-4"/>
        </w:rPr>
        <w:t> </w:t>
      </w:r>
      <w:r>
        <w:rPr>
          <w:color w:val="231F20"/>
        </w:rPr>
        <w:t>years</w:t>
      </w:r>
      <w:r>
        <w:rPr>
          <w:color w:val="231F20"/>
          <w:spacing w:val="-5"/>
        </w:rPr>
        <w:t> </w:t>
      </w:r>
      <w:r>
        <w:rPr>
          <w:color w:val="231F20"/>
        </w:rPr>
        <w:t>and</w:t>
      </w:r>
      <w:r>
        <w:rPr>
          <w:color w:val="231F20"/>
          <w:spacing w:val="-6"/>
        </w:rPr>
        <w:t> </w:t>
      </w:r>
      <w:r>
        <w:rPr>
          <w:color w:val="231F20"/>
        </w:rPr>
        <w:t>over,</w:t>
      </w:r>
      <w:r>
        <w:rPr>
          <w:color w:val="231F20"/>
          <w:spacing w:val="21"/>
          <w:w w:val="99"/>
        </w:rPr>
        <w:t> </w:t>
      </w:r>
      <w:r>
        <w:rPr>
          <w:color w:val="231F20"/>
        </w:rPr>
        <w:t>which</w:t>
      </w:r>
      <w:r>
        <w:rPr>
          <w:color w:val="231F20"/>
          <w:spacing w:val="-5"/>
        </w:rPr>
        <w:t> </w:t>
      </w:r>
      <w:r>
        <w:rPr>
          <w:color w:val="231F20"/>
        </w:rPr>
        <w:t>aims</w:t>
      </w:r>
      <w:r>
        <w:rPr>
          <w:color w:val="231F20"/>
          <w:spacing w:val="-4"/>
        </w:rPr>
        <w:t> </w:t>
      </w:r>
      <w:r>
        <w:rPr>
          <w:color w:val="231F20"/>
        </w:rPr>
        <w:t>to</w:t>
      </w:r>
      <w:r>
        <w:rPr>
          <w:color w:val="231F20"/>
          <w:spacing w:val="-4"/>
        </w:rPr>
        <w:t> </w:t>
      </w:r>
      <w:r>
        <w:rPr>
          <w:color w:val="231F20"/>
          <w:spacing w:val="-1"/>
        </w:rPr>
        <w:t>keep</w:t>
      </w:r>
      <w:r>
        <w:rPr>
          <w:color w:val="231F20"/>
          <w:spacing w:val="-3"/>
        </w:rPr>
        <w:t> </w:t>
      </w:r>
      <w:r>
        <w:rPr>
          <w:color w:val="231F20"/>
          <w:spacing w:val="-1"/>
        </w:rPr>
        <w:t>students</w:t>
      </w:r>
      <w:r>
        <w:rPr>
          <w:color w:val="231F20"/>
          <w:spacing w:val="-4"/>
        </w:rPr>
        <w:t> </w:t>
      </w:r>
      <w:r>
        <w:rPr>
          <w:color w:val="231F20"/>
        </w:rPr>
        <w:t>who</w:t>
      </w:r>
      <w:r>
        <w:rPr>
          <w:color w:val="231F20"/>
          <w:spacing w:val="-4"/>
        </w:rPr>
        <w:t> </w:t>
      </w:r>
      <w:r>
        <w:rPr>
          <w:color w:val="231F20"/>
          <w:spacing w:val="-1"/>
        </w:rPr>
        <w:t>study</w:t>
      </w:r>
      <w:r>
        <w:rPr>
          <w:color w:val="231F20"/>
          <w:spacing w:val="-4"/>
        </w:rPr>
        <w:t> </w:t>
      </w:r>
      <w:r>
        <w:rPr>
          <w:color w:val="231F20"/>
        </w:rPr>
        <w:t>away</w:t>
      </w:r>
      <w:r>
        <w:rPr>
          <w:color w:val="231F20"/>
          <w:spacing w:val="24"/>
          <w:w w:val="99"/>
        </w:rPr>
        <w:t> </w:t>
      </w:r>
      <w:r>
        <w:rPr>
          <w:color w:val="231F20"/>
        </w:rPr>
        <w:t>from</w:t>
      </w:r>
      <w:r>
        <w:rPr>
          <w:color w:val="231F20"/>
          <w:spacing w:val="-3"/>
        </w:rPr>
        <w:t> </w:t>
      </w:r>
      <w:r>
        <w:rPr>
          <w:color w:val="231F20"/>
        </w:rPr>
        <w:t>home</w:t>
      </w:r>
      <w:r>
        <w:rPr>
          <w:color w:val="231F20"/>
          <w:spacing w:val="-4"/>
        </w:rPr>
        <w:t> </w:t>
      </w:r>
      <w:r>
        <w:rPr>
          <w:color w:val="231F20"/>
        </w:rPr>
        <w:t>engaged</w:t>
      </w:r>
      <w:r>
        <w:rPr>
          <w:color w:val="231F20"/>
          <w:spacing w:val="-3"/>
        </w:rPr>
        <w:t> </w:t>
      </w:r>
      <w:r>
        <w:rPr>
          <w:color w:val="231F20"/>
          <w:spacing w:val="-1"/>
        </w:rPr>
        <w:t>in</w:t>
      </w:r>
      <w:r>
        <w:rPr>
          <w:color w:val="231F20"/>
          <w:spacing w:val="-3"/>
        </w:rPr>
        <w:t> </w:t>
      </w:r>
      <w:r>
        <w:rPr>
          <w:color w:val="231F20"/>
          <w:spacing w:val="-1"/>
        </w:rPr>
        <w:t>school.</w:t>
      </w:r>
      <w:r>
        <w:rPr/>
      </w:r>
    </w:p>
    <w:p>
      <w:pPr>
        <w:pStyle w:val="BodyText"/>
        <w:spacing w:line="250" w:lineRule="exact" w:before="113"/>
        <w:ind w:right="476"/>
        <w:jc w:val="left"/>
      </w:pPr>
      <w:r>
        <w:rPr>
          <w:color w:val="231F20"/>
        </w:rPr>
        <w:t>ABSTUDY</w:t>
      </w:r>
      <w:r>
        <w:rPr>
          <w:color w:val="231F20"/>
          <w:spacing w:val="-5"/>
        </w:rPr>
        <w:t> </w:t>
      </w:r>
      <w:r>
        <w:rPr>
          <w:color w:val="231F20"/>
          <w:spacing w:val="-1"/>
        </w:rPr>
        <w:t>is</w:t>
      </w:r>
      <w:r>
        <w:rPr>
          <w:color w:val="231F20"/>
          <w:spacing w:val="-5"/>
        </w:rPr>
        <w:t> </w:t>
      </w:r>
      <w:r>
        <w:rPr>
          <w:color w:val="231F20"/>
        </w:rPr>
        <w:t>not</w:t>
      </w:r>
      <w:r>
        <w:rPr>
          <w:color w:val="231F20"/>
          <w:spacing w:val="-3"/>
        </w:rPr>
        <w:t> </w:t>
      </w:r>
      <w:r>
        <w:rPr>
          <w:color w:val="231F20"/>
        </w:rPr>
        <w:t>direct</w:t>
      </w:r>
      <w:r>
        <w:rPr>
          <w:color w:val="231F20"/>
          <w:spacing w:val="-5"/>
        </w:rPr>
        <w:t> </w:t>
      </w:r>
      <w:r>
        <w:rPr>
          <w:color w:val="231F20"/>
        </w:rPr>
        <w:t>funding</w:t>
      </w:r>
      <w:r>
        <w:rPr>
          <w:color w:val="231F20"/>
          <w:spacing w:val="-4"/>
        </w:rPr>
        <w:t> </w:t>
      </w:r>
      <w:r>
        <w:rPr>
          <w:color w:val="231F20"/>
        </w:rPr>
        <w:t>from</w:t>
      </w:r>
      <w:r>
        <w:rPr>
          <w:color w:val="231F20"/>
          <w:spacing w:val="-3"/>
        </w:rPr>
        <w:t> </w:t>
      </w:r>
      <w:r>
        <w:rPr>
          <w:color w:val="231F20"/>
        </w:rPr>
        <w:t>the</w:t>
      </w:r>
      <w:r>
        <w:rPr>
          <w:color w:val="231F20"/>
          <w:spacing w:val="21"/>
          <w:w w:val="99"/>
        </w:rPr>
        <w:t> </w:t>
      </w:r>
      <w:r>
        <w:rPr>
          <w:color w:val="231F20"/>
          <w:spacing w:val="-1"/>
        </w:rPr>
        <w:t>Commonwealth</w:t>
      </w:r>
      <w:r>
        <w:rPr>
          <w:color w:val="231F20"/>
          <w:spacing w:val="-7"/>
        </w:rPr>
        <w:t> </w:t>
      </w:r>
      <w:r>
        <w:rPr>
          <w:color w:val="231F20"/>
        </w:rPr>
        <w:t>to</w:t>
      </w:r>
      <w:r>
        <w:rPr>
          <w:color w:val="231F20"/>
          <w:spacing w:val="-7"/>
        </w:rPr>
        <w:t> </w:t>
      </w:r>
      <w:r>
        <w:rPr>
          <w:color w:val="231F20"/>
        </w:rPr>
        <w:t>a</w:t>
      </w:r>
      <w:r>
        <w:rPr>
          <w:color w:val="231F20"/>
          <w:spacing w:val="-7"/>
        </w:rPr>
        <w:t> </w:t>
      </w:r>
      <w:r>
        <w:rPr>
          <w:color w:val="231F20"/>
        </w:rPr>
        <w:t>boarding</w:t>
      </w:r>
      <w:r>
        <w:rPr>
          <w:color w:val="231F20"/>
          <w:spacing w:val="-8"/>
        </w:rPr>
        <w:t> </w:t>
      </w:r>
      <w:r>
        <w:rPr>
          <w:color w:val="231F20"/>
        </w:rPr>
        <w:t>provider.</w:t>
      </w:r>
      <w:r>
        <w:rPr>
          <w:color w:val="231F20"/>
          <w:spacing w:val="-7"/>
        </w:rPr>
        <w:t> </w:t>
      </w:r>
      <w:r>
        <w:rPr>
          <w:color w:val="231F20"/>
          <w:spacing w:val="-1"/>
        </w:rPr>
        <w:t>It</w:t>
      </w:r>
      <w:r>
        <w:rPr>
          <w:color w:val="231F20"/>
          <w:spacing w:val="21"/>
          <w:w w:val="99"/>
        </w:rPr>
        <w:t> </w:t>
      </w:r>
      <w:r>
        <w:rPr>
          <w:color w:val="231F20"/>
          <w:spacing w:val="-1"/>
        </w:rPr>
        <w:t>is</w:t>
      </w:r>
      <w:r>
        <w:rPr>
          <w:color w:val="231F20"/>
          <w:spacing w:val="-6"/>
        </w:rPr>
        <w:t> </w:t>
      </w:r>
      <w:r>
        <w:rPr>
          <w:color w:val="231F20"/>
        </w:rPr>
        <w:t>an</w:t>
      </w:r>
      <w:r>
        <w:rPr>
          <w:color w:val="231F20"/>
          <w:spacing w:val="-5"/>
        </w:rPr>
        <w:t> </w:t>
      </w:r>
      <w:r>
        <w:rPr>
          <w:color w:val="231F20"/>
          <w:spacing w:val="-1"/>
        </w:rPr>
        <w:t>individual</w:t>
      </w:r>
      <w:r>
        <w:rPr>
          <w:color w:val="231F20"/>
          <w:spacing w:val="-4"/>
        </w:rPr>
        <w:t> </w:t>
      </w:r>
      <w:r>
        <w:rPr>
          <w:color w:val="231F20"/>
          <w:spacing w:val="-1"/>
        </w:rPr>
        <w:t>student</w:t>
      </w:r>
      <w:r>
        <w:rPr>
          <w:color w:val="231F20"/>
          <w:spacing w:val="-4"/>
        </w:rPr>
        <w:t> </w:t>
      </w:r>
      <w:r>
        <w:rPr>
          <w:color w:val="231F20"/>
        </w:rPr>
        <w:t>entitlement</w:t>
      </w:r>
      <w:r>
        <w:rPr>
          <w:color w:val="231F20"/>
          <w:spacing w:val="-5"/>
        </w:rPr>
        <w:t> </w:t>
      </w:r>
      <w:r>
        <w:rPr>
          <w:color w:val="231F20"/>
        </w:rPr>
        <w:t>to</w:t>
      </w:r>
      <w:r>
        <w:rPr>
          <w:color w:val="231F20"/>
          <w:spacing w:val="-4"/>
        </w:rPr>
        <w:t> </w:t>
      </w:r>
      <w:r>
        <w:rPr>
          <w:color w:val="231F20"/>
        </w:rPr>
        <w:t>help</w:t>
      </w:r>
      <w:r>
        <w:rPr/>
      </w:r>
    </w:p>
    <w:p>
      <w:pPr>
        <w:pStyle w:val="BodyText"/>
        <w:spacing w:line="250" w:lineRule="exact"/>
        <w:ind w:right="0"/>
        <w:jc w:val="left"/>
      </w:pPr>
      <w:r>
        <w:rPr>
          <w:color w:val="231F20"/>
        </w:rPr>
        <w:t>pay</w:t>
      </w:r>
      <w:r>
        <w:rPr>
          <w:color w:val="231F20"/>
          <w:spacing w:val="-4"/>
        </w:rPr>
        <w:t> </w:t>
      </w:r>
      <w:r>
        <w:rPr>
          <w:color w:val="231F20"/>
        </w:rPr>
        <w:t>tuition</w:t>
      </w:r>
      <w:r>
        <w:rPr>
          <w:color w:val="231F20"/>
          <w:spacing w:val="-5"/>
        </w:rPr>
        <w:t> </w:t>
      </w:r>
      <w:r>
        <w:rPr>
          <w:color w:val="231F20"/>
        </w:rPr>
        <w:t>and</w:t>
      </w:r>
      <w:r>
        <w:rPr>
          <w:color w:val="231F20"/>
          <w:spacing w:val="-5"/>
        </w:rPr>
        <w:t> </w:t>
      </w:r>
      <w:r>
        <w:rPr>
          <w:color w:val="231F20"/>
        </w:rPr>
        <w:t>boarding</w:t>
      </w:r>
      <w:r>
        <w:rPr>
          <w:color w:val="231F20"/>
          <w:spacing w:val="-5"/>
        </w:rPr>
        <w:t> </w:t>
      </w:r>
      <w:r>
        <w:rPr>
          <w:color w:val="231F20"/>
        </w:rPr>
        <w:t>fees</w:t>
      </w:r>
      <w:r>
        <w:rPr>
          <w:color w:val="231F20"/>
          <w:spacing w:val="-5"/>
        </w:rPr>
        <w:t> </w:t>
      </w:r>
      <w:r>
        <w:rPr>
          <w:color w:val="231F20"/>
        </w:rPr>
        <w:t>up</w:t>
      </w:r>
      <w:r>
        <w:rPr>
          <w:color w:val="231F20"/>
          <w:spacing w:val="-4"/>
        </w:rPr>
        <w:t> </w:t>
      </w:r>
      <w:r>
        <w:rPr>
          <w:color w:val="231F20"/>
        </w:rPr>
        <w:t>to</w:t>
      </w:r>
      <w:r>
        <w:rPr>
          <w:color w:val="231F20"/>
          <w:spacing w:val="-4"/>
        </w:rPr>
        <w:t> </w:t>
      </w:r>
      <w:r>
        <w:rPr>
          <w:color w:val="231F20"/>
        </w:rPr>
        <w:t>a</w:t>
      </w:r>
      <w:r>
        <w:rPr>
          <w:color w:val="231F20"/>
          <w:spacing w:val="-4"/>
        </w:rPr>
        <w:t> </w:t>
      </w:r>
      <w:r>
        <w:rPr>
          <w:color w:val="231F20"/>
        </w:rPr>
        <w:t>certain</w:t>
      </w:r>
      <w:r>
        <w:rPr>
          <w:color w:val="231F20"/>
          <w:w w:val="99"/>
        </w:rPr>
        <w:t> </w:t>
      </w:r>
      <w:r>
        <w:rPr>
          <w:color w:val="231F20"/>
        </w:rPr>
        <w:t>amount.</w:t>
      </w:r>
      <w:r>
        <w:rPr>
          <w:color w:val="231F20"/>
          <w:spacing w:val="-5"/>
        </w:rPr>
        <w:t> </w:t>
      </w:r>
      <w:r>
        <w:rPr>
          <w:color w:val="231F20"/>
          <w:spacing w:val="-1"/>
        </w:rPr>
        <w:t>It</w:t>
      </w:r>
      <w:r>
        <w:rPr>
          <w:color w:val="231F20"/>
          <w:spacing w:val="-4"/>
        </w:rPr>
        <w:t> </w:t>
      </w:r>
      <w:r>
        <w:rPr>
          <w:color w:val="231F20"/>
          <w:spacing w:val="-1"/>
        </w:rPr>
        <w:t>is</w:t>
      </w:r>
      <w:r>
        <w:rPr>
          <w:color w:val="231F20"/>
          <w:spacing w:val="-5"/>
        </w:rPr>
        <w:t> </w:t>
      </w:r>
      <w:r>
        <w:rPr>
          <w:color w:val="231F20"/>
        </w:rPr>
        <w:t>paid</w:t>
      </w:r>
      <w:r>
        <w:rPr>
          <w:color w:val="231F20"/>
          <w:spacing w:val="-5"/>
        </w:rPr>
        <w:t> </w:t>
      </w:r>
      <w:r>
        <w:rPr>
          <w:color w:val="231F20"/>
        </w:rPr>
        <w:t>to</w:t>
      </w:r>
      <w:r>
        <w:rPr>
          <w:color w:val="231F20"/>
          <w:spacing w:val="-4"/>
        </w:rPr>
        <w:t> </w:t>
      </w:r>
      <w:r>
        <w:rPr>
          <w:color w:val="231F20"/>
        </w:rPr>
        <w:t>a</w:t>
      </w:r>
      <w:r>
        <w:rPr>
          <w:color w:val="231F20"/>
          <w:spacing w:val="-4"/>
        </w:rPr>
        <w:t> </w:t>
      </w:r>
      <w:r>
        <w:rPr>
          <w:color w:val="231F20"/>
        </w:rPr>
        <w:t>boarding</w:t>
      </w:r>
      <w:r>
        <w:rPr>
          <w:color w:val="231F20"/>
          <w:spacing w:val="-5"/>
        </w:rPr>
        <w:t> </w:t>
      </w:r>
      <w:r>
        <w:rPr>
          <w:color w:val="231F20"/>
        </w:rPr>
        <w:t>provider</w:t>
      </w:r>
      <w:r>
        <w:rPr>
          <w:color w:val="231F20"/>
          <w:spacing w:val="-5"/>
        </w:rPr>
        <w:t> </w:t>
      </w:r>
      <w:r>
        <w:rPr>
          <w:color w:val="231F20"/>
        </w:rPr>
        <w:t>on</w:t>
      </w:r>
      <w:r>
        <w:rPr>
          <w:color w:val="231F20"/>
          <w:spacing w:val="-4"/>
        </w:rPr>
        <w:t> </w:t>
      </w:r>
      <w:r>
        <w:rPr>
          <w:color w:val="231F20"/>
        </w:rPr>
        <w:t>the</w:t>
      </w:r>
      <w:r>
        <w:rPr>
          <w:color w:val="231F20"/>
          <w:spacing w:val="22"/>
          <w:w w:val="99"/>
        </w:rPr>
        <w:t> </w:t>
      </w:r>
      <w:r>
        <w:rPr>
          <w:color w:val="231F20"/>
          <w:spacing w:val="-1"/>
        </w:rPr>
        <w:t>student's</w:t>
      </w:r>
      <w:r>
        <w:rPr>
          <w:color w:val="231F20"/>
          <w:spacing w:val="-5"/>
        </w:rPr>
        <w:t> </w:t>
      </w:r>
      <w:r>
        <w:rPr>
          <w:color w:val="231F20"/>
        </w:rPr>
        <w:t>behalf.</w:t>
      </w:r>
      <w:r>
        <w:rPr/>
      </w:r>
    </w:p>
    <w:p>
      <w:pPr>
        <w:pStyle w:val="BodyText"/>
        <w:spacing w:line="250" w:lineRule="exact" w:before="72"/>
        <w:ind w:right="137"/>
        <w:jc w:val="left"/>
      </w:pPr>
      <w:r>
        <w:rPr/>
        <w:br w:type="column"/>
      </w:r>
      <w:r>
        <w:rPr>
          <w:color w:val="231F20"/>
        </w:rPr>
        <w:t>The</w:t>
      </w:r>
      <w:r>
        <w:rPr>
          <w:color w:val="231F20"/>
          <w:spacing w:val="-8"/>
        </w:rPr>
        <w:t> </w:t>
      </w:r>
      <w:r>
        <w:rPr>
          <w:color w:val="231F20"/>
          <w:spacing w:val="-1"/>
        </w:rPr>
        <w:t>majority</w:t>
      </w:r>
      <w:r>
        <w:rPr>
          <w:color w:val="231F20"/>
          <w:spacing w:val="-7"/>
        </w:rPr>
        <w:t> </w:t>
      </w:r>
      <w:r>
        <w:rPr>
          <w:color w:val="231F20"/>
        </w:rPr>
        <w:t>of</w:t>
      </w:r>
      <w:r>
        <w:rPr>
          <w:color w:val="231F20"/>
          <w:spacing w:val="-8"/>
        </w:rPr>
        <w:t> </w:t>
      </w:r>
      <w:r>
        <w:rPr>
          <w:color w:val="231F20"/>
        </w:rPr>
        <w:t>boarding</w:t>
      </w:r>
      <w:r>
        <w:rPr>
          <w:color w:val="231F20"/>
          <w:spacing w:val="-8"/>
        </w:rPr>
        <w:t> </w:t>
      </w:r>
      <w:r>
        <w:rPr>
          <w:color w:val="231F20"/>
        </w:rPr>
        <w:t>providers</w:t>
      </w:r>
      <w:r>
        <w:rPr>
          <w:color w:val="231F20"/>
          <w:spacing w:val="-9"/>
        </w:rPr>
        <w:t> </w:t>
      </w:r>
      <w:r>
        <w:rPr>
          <w:color w:val="231F20"/>
        </w:rPr>
        <w:t>consulted</w:t>
      </w:r>
      <w:r>
        <w:rPr>
          <w:color w:val="231F20"/>
          <w:spacing w:val="22"/>
          <w:w w:val="99"/>
        </w:rPr>
        <w:t> </w:t>
      </w:r>
      <w:r>
        <w:rPr>
          <w:rFonts w:ascii="Segoe UI"/>
          <w:color w:val="231F20"/>
        </w:rPr>
        <w:t>for this report identified concerns and issues</w:t>
      </w:r>
      <w:r>
        <w:rPr>
          <w:rFonts w:ascii="Segoe UI"/>
          <w:color w:val="231F20"/>
        </w:rPr>
        <w:t> </w:t>
      </w:r>
      <w:r>
        <w:rPr>
          <w:color w:val="231F20"/>
        </w:rPr>
        <w:t>regarding</w:t>
      </w:r>
      <w:r>
        <w:rPr>
          <w:color w:val="231F20"/>
          <w:spacing w:val="-9"/>
        </w:rPr>
        <w:t> </w:t>
      </w:r>
      <w:r>
        <w:rPr>
          <w:color w:val="231F20"/>
        </w:rPr>
        <w:t>ABSTUDY,</w:t>
      </w:r>
      <w:r>
        <w:rPr>
          <w:color w:val="231F20"/>
          <w:spacing w:val="-7"/>
        </w:rPr>
        <w:t> </w:t>
      </w:r>
      <w:r>
        <w:rPr>
          <w:color w:val="231F20"/>
          <w:spacing w:val="-1"/>
        </w:rPr>
        <w:t>including</w:t>
      </w:r>
      <w:r>
        <w:rPr>
          <w:color w:val="231F20"/>
          <w:spacing w:val="-8"/>
        </w:rPr>
        <w:t> </w:t>
      </w:r>
      <w:r>
        <w:rPr>
          <w:color w:val="231F20"/>
        </w:rPr>
        <w:t>the</w:t>
      </w:r>
      <w:r>
        <w:rPr>
          <w:color w:val="231F20"/>
          <w:spacing w:val="-8"/>
        </w:rPr>
        <w:t> </w:t>
      </w:r>
      <w:r>
        <w:rPr>
          <w:color w:val="231F20"/>
          <w:spacing w:val="-1"/>
        </w:rPr>
        <w:t>inadequacy</w:t>
      </w:r>
      <w:r>
        <w:rPr>
          <w:color w:val="231F20"/>
          <w:spacing w:val="21"/>
          <w:w w:val="99"/>
        </w:rPr>
        <w:t> </w:t>
      </w:r>
      <w:r>
        <w:rPr>
          <w:color w:val="231F20"/>
        </w:rPr>
        <w:t>of</w:t>
      </w:r>
      <w:r>
        <w:rPr>
          <w:color w:val="231F20"/>
          <w:spacing w:val="-3"/>
        </w:rPr>
        <w:t> </w:t>
      </w:r>
      <w:r>
        <w:rPr>
          <w:color w:val="231F20"/>
        </w:rPr>
        <w:t>ABSTUDY</w:t>
      </w:r>
      <w:r>
        <w:rPr>
          <w:color w:val="231F20"/>
          <w:spacing w:val="-4"/>
        </w:rPr>
        <w:t> </w:t>
      </w:r>
      <w:r>
        <w:rPr>
          <w:color w:val="231F20"/>
        </w:rPr>
        <w:t>to</w:t>
      </w:r>
      <w:r>
        <w:rPr>
          <w:color w:val="231F20"/>
          <w:spacing w:val="-2"/>
        </w:rPr>
        <w:t> </w:t>
      </w:r>
      <w:r>
        <w:rPr>
          <w:color w:val="231F20"/>
          <w:spacing w:val="-1"/>
        </w:rPr>
        <w:t>meet</w:t>
      </w:r>
      <w:r>
        <w:rPr>
          <w:color w:val="231F20"/>
          <w:spacing w:val="-3"/>
        </w:rPr>
        <w:t> </w:t>
      </w:r>
      <w:r>
        <w:rPr>
          <w:color w:val="231F20"/>
        </w:rPr>
        <w:t>the</w:t>
      </w:r>
      <w:r>
        <w:rPr>
          <w:color w:val="231F20"/>
          <w:spacing w:val="-3"/>
        </w:rPr>
        <w:t> </w:t>
      </w:r>
      <w:r>
        <w:rPr>
          <w:color w:val="231F20"/>
        </w:rPr>
        <w:t>true</w:t>
      </w:r>
      <w:r>
        <w:rPr>
          <w:color w:val="231F20"/>
          <w:spacing w:val="-4"/>
        </w:rPr>
        <w:t> </w:t>
      </w:r>
      <w:r>
        <w:rPr>
          <w:color w:val="231F20"/>
        </w:rPr>
        <w:t>cost</w:t>
      </w:r>
      <w:r>
        <w:rPr>
          <w:color w:val="231F20"/>
          <w:spacing w:val="-3"/>
        </w:rPr>
        <w:t> </w:t>
      </w:r>
      <w:r>
        <w:rPr>
          <w:color w:val="231F20"/>
        </w:rPr>
        <w:t>of</w:t>
      </w:r>
      <w:r>
        <w:rPr>
          <w:color w:val="231F20"/>
          <w:spacing w:val="-3"/>
        </w:rPr>
        <w:t> </w:t>
      </w:r>
      <w:r>
        <w:rPr>
          <w:color w:val="231F20"/>
        </w:rPr>
        <w:t>boarding,</w:t>
      </w:r>
      <w:r>
        <w:rPr>
          <w:color w:val="231F20"/>
          <w:spacing w:val="21"/>
          <w:w w:val="99"/>
        </w:rPr>
        <w:t> </w:t>
      </w:r>
      <w:r>
        <w:rPr>
          <w:rFonts w:ascii="Segoe UI"/>
          <w:color w:val="231F20"/>
        </w:rPr>
        <w:t>complex and inflexible administration and</w:t>
      </w:r>
      <w:r>
        <w:rPr>
          <w:rFonts w:ascii="Segoe UI"/>
          <w:color w:val="231F20"/>
        </w:rPr>
        <w:t> </w:t>
      </w:r>
      <w:r>
        <w:rPr>
          <w:color w:val="231F20"/>
        </w:rPr>
        <w:t>challenges</w:t>
      </w:r>
      <w:r>
        <w:rPr>
          <w:color w:val="231F20"/>
          <w:spacing w:val="-6"/>
        </w:rPr>
        <w:t> </w:t>
      </w:r>
      <w:r>
        <w:rPr>
          <w:color w:val="231F20"/>
        </w:rPr>
        <w:t>communicating</w:t>
      </w:r>
      <w:r>
        <w:rPr>
          <w:color w:val="231F20"/>
          <w:spacing w:val="-5"/>
        </w:rPr>
        <w:t> </w:t>
      </w:r>
      <w:r>
        <w:rPr>
          <w:color w:val="231F20"/>
        </w:rPr>
        <w:t>with</w:t>
      </w:r>
      <w:r>
        <w:rPr>
          <w:color w:val="231F20"/>
          <w:spacing w:val="-6"/>
        </w:rPr>
        <w:t> </w:t>
      </w:r>
      <w:r>
        <w:rPr>
          <w:color w:val="231F20"/>
        </w:rPr>
        <w:t>ABSTUDY.</w:t>
      </w:r>
      <w:r>
        <w:rPr>
          <w:color w:val="231F20"/>
        </w:rPr>
        <w:t> </w:t>
      </w:r>
      <w:r>
        <w:rPr>
          <w:rFonts w:ascii="Segoe UI"/>
          <w:color w:val="231F20"/>
        </w:rPr>
        <w:t>These issues have been identified in a number</w:t>
      </w:r>
      <w:r>
        <w:rPr>
          <w:rFonts w:ascii="Segoe UI"/>
          <w:color w:val="231F20"/>
        </w:rPr>
        <w:t> </w:t>
      </w:r>
      <w:r>
        <w:rPr>
          <w:color w:val="231F20"/>
        </w:rPr>
        <w:t>of</w:t>
      </w:r>
      <w:r>
        <w:rPr>
          <w:color w:val="231F20"/>
          <w:spacing w:val="-5"/>
        </w:rPr>
        <w:t> </w:t>
      </w:r>
      <w:r>
        <w:rPr>
          <w:color w:val="231F20"/>
        </w:rPr>
        <w:t>previous</w:t>
      </w:r>
      <w:r>
        <w:rPr>
          <w:color w:val="231F20"/>
          <w:spacing w:val="-5"/>
        </w:rPr>
        <w:t> </w:t>
      </w:r>
      <w:r>
        <w:rPr>
          <w:color w:val="231F20"/>
        </w:rPr>
        <w:t>reviews</w:t>
      </w:r>
      <w:r>
        <w:rPr>
          <w:color w:val="231F20"/>
          <w:spacing w:val="-5"/>
        </w:rPr>
        <w:t> </w:t>
      </w:r>
      <w:r>
        <w:rPr>
          <w:color w:val="231F20"/>
        </w:rPr>
        <w:t>and</w:t>
      </w:r>
      <w:r>
        <w:rPr>
          <w:color w:val="231F20"/>
          <w:spacing w:val="-6"/>
        </w:rPr>
        <w:t> </w:t>
      </w:r>
      <w:r>
        <w:rPr>
          <w:color w:val="231F20"/>
        </w:rPr>
        <w:t>reports,</w:t>
      </w:r>
      <w:r>
        <w:rPr>
          <w:color w:val="231F20"/>
          <w:spacing w:val="-5"/>
        </w:rPr>
        <w:t> </w:t>
      </w:r>
      <w:r>
        <w:rPr>
          <w:color w:val="231F20"/>
          <w:spacing w:val="-1"/>
        </w:rPr>
        <w:t>such</w:t>
      </w:r>
      <w:r>
        <w:rPr>
          <w:color w:val="231F20"/>
          <w:spacing w:val="-4"/>
        </w:rPr>
        <w:t> </w:t>
      </w:r>
      <w:r>
        <w:rPr>
          <w:color w:val="231F20"/>
        </w:rPr>
        <w:t>as</w:t>
      </w:r>
      <w:r>
        <w:rPr>
          <w:color w:val="231F20"/>
          <w:spacing w:val="21"/>
        </w:rPr>
        <w:t> </w:t>
      </w:r>
      <w:r>
        <w:rPr>
          <w:rFonts w:ascii="Segoe UI"/>
          <w:i/>
          <w:color w:val="231F20"/>
        </w:rPr>
        <w:t>Barriers</w:t>
      </w:r>
      <w:r>
        <w:rPr>
          <w:rFonts w:ascii="Segoe UI"/>
          <w:i/>
          <w:color w:val="231F20"/>
          <w:spacing w:val="-4"/>
        </w:rPr>
        <w:t> </w:t>
      </w:r>
      <w:r>
        <w:rPr>
          <w:rFonts w:ascii="Segoe UI"/>
          <w:i/>
          <w:color w:val="231F20"/>
        </w:rPr>
        <w:t>and</w:t>
      </w:r>
      <w:r>
        <w:rPr>
          <w:rFonts w:ascii="Segoe UI"/>
          <w:i/>
          <w:color w:val="231F20"/>
          <w:spacing w:val="-4"/>
        </w:rPr>
        <w:t> </w:t>
      </w:r>
      <w:r>
        <w:rPr>
          <w:rFonts w:ascii="Segoe UI"/>
          <w:i/>
          <w:color w:val="231F20"/>
          <w:spacing w:val="-2"/>
        </w:rPr>
        <w:t>Bureaucracy,</w:t>
      </w:r>
      <w:r>
        <w:rPr>
          <w:rFonts w:ascii="Segoe UI"/>
          <w:i/>
          <w:color w:val="231F20"/>
          <w:spacing w:val="-4"/>
        </w:rPr>
        <w:t> </w:t>
      </w:r>
      <w:r>
        <w:rPr>
          <w:rFonts w:ascii="Segoe UI"/>
          <w:i/>
          <w:color w:val="231F20"/>
          <w:spacing w:val="-1"/>
        </w:rPr>
        <w:t>Bridges</w:t>
      </w:r>
      <w:r>
        <w:rPr>
          <w:rFonts w:ascii="Segoe UI"/>
          <w:i/>
          <w:color w:val="231F20"/>
          <w:spacing w:val="-4"/>
        </w:rPr>
        <w:t> </w:t>
      </w:r>
      <w:r>
        <w:rPr>
          <w:rFonts w:ascii="Segoe UI"/>
          <w:i/>
          <w:color w:val="231F20"/>
        </w:rPr>
        <w:t>and</w:t>
      </w:r>
      <w:r>
        <w:rPr>
          <w:rFonts w:ascii="Segoe UI"/>
          <w:i/>
          <w:color w:val="231F20"/>
          <w:spacing w:val="-4"/>
        </w:rPr>
        <w:t> </w:t>
      </w:r>
      <w:r>
        <w:rPr>
          <w:rFonts w:ascii="Segoe UI"/>
          <w:i/>
          <w:color w:val="231F20"/>
          <w:spacing w:val="-1"/>
        </w:rPr>
        <w:t>Brokers</w:t>
      </w:r>
      <w:r>
        <w:rPr>
          <w:rFonts w:ascii="Segoe UI Semibold"/>
          <w:b/>
          <w:color w:val="231F20"/>
          <w:spacing w:val="-1"/>
          <w:position w:val="7"/>
          <w:sz w:val="11"/>
        </w:rPr>
        <w:t>94</w:t>
      </w:r>
      <w:r>
        <w:rPr>
          <w:color w:val="231F20"/>
          <w:spacing w:val="-1"/>
        </w:rPr>
        <w:t>,</w:t>
      </w:r>
      <w:r>
        <w:rPr>
          <w:color w:val="231F20"/>
          <w:spacing w:val="33"/>
          <w:w w:val="99"/>
        </w:rPr>
        <w:t> </w:t>
      </w:r>
      <w:r>
        <w:rPr>
          <w:rFonts w:ascii="Segoe UI"/>
          <w:color w:val="231F20"/>
        </w:rPr>
        <w:t>and previous findings and recommendations</w:t>
      </w:r>
      <w:r>
        <w:rPr>
          <w:rFonts w:ascii="Segoe UI"/>
          <w:color w:val="231F20"/>
        </w:rPr>
        <w:t> </w:t>
      </w:r>
      <w:r>
        <w:rPr>
          <w:color w:val="231F20"/>
        </w:rPr>
        <w:t>can</w:t>
      </w:r>
      <w:r>
        <w:rPr>
          <w:color w:val="231F20"/>
          <w:spacing w:val="-5"/>
        </w:rPr>
        <w:t> </w:t>
      </w:r>
      <w:r>
        <w:rPr>
          <w:color w:val="231F20"/>
        </w:rPr>
        <w:t>be</w:t>
      </w:r>
      <w:r>
        <w:rPr>
          <w:color w:val="231F20"/>
          <w:spacing w:val="-4"/>
        </w:rPr>
        <w:t> </w:t>
      </w:r>
      <w:r>
        <w:rPr>
          <w:color w:val="231F20"/>
        </w:rPr>
        <w:t>categorised</w:t>
      </w:r>
      <w:r>
        <w:rPr>
          <w:color w:val="231F20"/>
          <w:spacing w:val="-5"/>
        </w:rPr>
        <w:t> </w:t>
      </w:r>
      <w:r>
        <w:rPr>
          <w:color w:val="231F20"/>
          <w:spacing w:val="-1"/>
        </w:rPr>
        <w:t>into</w:t>
      </w:r>
      <w:r>
        <w:rPr>
          <w:color w:val="231F20"/>
          <w:spacing w:val="-4"/>
        </w:rPr>
        <w:t> </w:t>
      </w:r>
      <w:r>
        <w:rPr>
          <w:color w:val="231F20"/>
        </w:rPr>
        <w:t>a</w:t>
      </w:r>
      <w:r>
        <w:rPr>
          <w:color w:val="231F20"/>
          <w:spacing w:val="-4"/>
        </w:rPr>
        <w:t> </w:t>
      </w:r>
      <w:r>
        <w:rPr>
          <w:color w:val="231F20"/>
        </w:rPr>
        <w:t>number</w:t>
      </w:r>
      <w:r>
        <w:rPr>
          <w:color w:val="231F20"/>
          <w:spacing w:val="-5"/>
        </w:rPr>
        <w:t> </w:t>
      </w:r>
      <w:r>
        <w:rPr>
          <w:color w:val="231F20"/>
        </w:rPr>
        <w:t>of</w:t>
      </w:r>
      <w:r>
        <w:rPr>
          <w:color w:val="231F20"/>
          <w:spacing w:val="-4"/>
        </w:rPr>
        <w:t> </w:t>
      </w:r>
      <w:r>
        <w:rPr>
          <w:color w:val="231F20"/>
        </w:rPr>
        <w:t>themes:</w:t>
      </w:r>
      <w:r>
        <w:rPr/>
      </w:r>
    </w:p>
    <w:p>
      <w:pPr>
        <w:pStyle w:val="BodyText"/>
        <w:spacing w:line="250" w:lineRule="exact" w:before="113"/>
        <w:ind w:left="344" w:right="164" w:hanging="227"/>
        <w:jc w:val="left"/>
      </w:pPr>
      <w:r>
        <w:rPr>
          <w:rFonts w:ascii="Century Gothic" w:hAnsi="Century Gothic"/>
          <w:color w:val="231F20"/>
        </w:rPr>
        <w:t>» </w:t>
      </w:r>
      <w:r>
        <w:rPr>
          <w:rFonts w:ascii="Century Gothic" w:hAnsi="Century Gothic"/>
          <w:color w:val="231F20"/>
          <w:spacing w:val="25"/>
        </w:rPr>
        <w:t> </w:t>
      </w:r>
      <w:r>
        <w:rPr>
          <w:color w:val="231F20"/>
        </w:rPr>
        <w:t>ABSTUDY</w:t>
      </w:r>
      <w:r>
        <w:rPr>
          <w:color w:val="231F20"/>
          <w:spacing w:val="-3"/>
        </w:rPr>
        <w:t> </w:t>
      </w:r>
      <w:r>
        <w:rPr>
          <w:color w:val="231F20"/>
          <w:spacing w:val="-1"/>
        </w:rPr>
        <w:t>is</w:t>
      </w:r>
      <w:r>
        <w:rPr>
          <w:color w:val="231F20"/>
          <w:spacing w:val="-4"/>
        </w:rPr>
        <w:t> </w:t>
      </w:r>
      <w:r>
        <w:rPr>
          <w:color w:val="231F20"/>
        </w:rPr>
        <w:t>a</w:t>
      </w:r>
      <w:r>
        <w:rPr>
          <w:color w:val="231F20"/>
          <w:spacing w:val="-2"/>
        </w:rPr>
        <w:t> </w:t>
      </w:r>
      <w:r>
        <w:rPr>
          <w:color w:val="231F20"/>
        </w:rPr>
        <w:t>welfare</w:t>
      </w:r>
      <w:r>
        <w:rPr>
          <w:color w:val="231F20"/>
          <w:spacing w:val="-3"/>
        </w:rPr>
        <w:t> </w:t>
      </w:r>
      <w:r>
        <w:rPr>
          <w:color w:val="231F20"/>
          <w:spacing w:val="-1"/>
        </w:rPr>
        <w:t>measure</w:t>
      </w:r>
      <w:r>
        <w:rPr>
          <w:color w:val="231F20"/>
          <w:spacing w:val="-3"/>
        </w:rPr>
        <w:t> </w:t>
      </w:r>
      <w:r>
        <w:rPr>
          <w:color w:val="231F20"/>
        </w:rPr>
        <w:t>and</w:t>
      </w:r>
      <w:r>
        <w:rPr>
          <w:color w:val="231F20"/>
          <w:spacing w:val="-3"/>
        </w:rPr>
        <w:t> </w:t>
      </w:r>
      <w:r>
        <w:rPr>
          <w:color w:val="231F20"/>
          <w:spacing w:val="-1"/>
        </w:rPr>
        <w:t>should</w:t>
      </w:r>
      <w:r>
        <w:rPr>
          <w:color w:val="231F20"/>
          <w:spacing w:val="22"/>
        </w:rPr>
        <w:t> </w:t>
      </w:r>
      <w:r>
        <w:rPr>
          <w:color w:val="231F20"/>
        </w:rPr>
        <w:t>be</w:t>
      </w:r>
      <w:r>
        <w:rPr>
          <w:color w:val="231F20"/>
          <w:spacing w:val="-7"/>
        </w:rPr>
        <w:t> </w:t>
      </w:r>
      <w:r>
        <w:rPr>
          <w:color w:val="231F20"/>
        </w:rPr>
        <w:t>administered</w:t>
      </w:r>
      <w:r>
        <w:rPr>
          <w:color w:val="231F20"/>
          <w:spacing w:val="-8"/>
        </w:rPr>
        <w:t> </w:t>
      </w:r>
      <w:r>
        <w:rPr>
          <w:color w:val="231F20"/>
        </w:rPr>
        <w:t>as</w:t>
      </w:r>
      <w:r>
        <w:rPr>
          <w:color w:val="231F20"/>
          <w:spacing w:val="-8"/>
        </w:rPr>
        <w:t> </w:t>
      </w:r>
      <w:r>
        <w:rPr>
          <w:color w:val="231F20"/>
        </w:rPr>
        <w:t>an</w:t>
      </w:r>
      <w:r>
        <w:rPr>
          <w:color w:val="231F20"/>
          <w:spacing w:val="-8"/>
        </w:rPr>
        <w:t> </w:t>
      </w:r>
      <w:r>
        <w:rPr>
          <w:color w:val="231F20"/>
        </w:rPr>
        <w:t>educational</w:t>
      </w:r>
      <w:r>
        <w:rPr>
          <w:color w:val="231F20"/>
          <w:spacing w:val="-8"/>
        </w:rPr>
        <w:t> </w:t>
      </w:r>
      <w:r>
        <w:rPr>
          <w:color w:val="231F20"/>
          <w:spacing w:val="-1"/>
        </w:rPr>
        <w:t>measure:</w:t>
      </w:r>
      <w:r>
        <w:rPr/>
      </w:r>
    </w:p>
    <w:p>
      <w:pPr>
        <w:pStyle w:val="BodyText"/>
        <w:spacing w:line="250" w:lineRule="exact" w:before="113"/>
        <w:ind w:left="570" w:right="98" w:hanging="227"/>
        <w:jc w:val="left"/>
        <w:rPr>
          <w:rFonts w:ascii="Segoe UI" w:hAnsi="Segoe UI" w:cs="Segoe UI" w:eastAsia="Segoe UI"/>
        </w:rPr>
      </w:pPr>
      <w:r>
        <w:rPr>
          <w:rFonts w:ascii="Century Gothic" w:hAnsi="Century Gothic"/>
          <w:color w:val="231F20"/>
        </w:rPr>
        <w:t>» </w:t>
      </w:r>
      <w:r>
        <w:rPr>
          <w:rFonts w:ascii="Century Gothic" w:hAnsi="Century Gothic"/>
          <w:color w:val="231F20"/>
          <w:spacing w:val="20"/>
        </w:rPr>
        <w:t> </w:t>
      </w:r>
      <w:r>
        <w:rPr>
          <w:color w:val="231F20"/>
        </w:rPr>
        <w:t>transfer</w:t>
      </w:r>
      <w:r>
        <w:rPr>
          <w:color w:val="231F20"/>
          <w:spacing w:val="-5"/>
        </w:rPr>
        <w:t> </w:t>
      </w:r>
      <w:r>
        <w:rPr>
          <w:color w:val="231F20"/>
        </w:rPr>
        <w:t>administration</w:t>
      </w:r>
      <w:r>
        <w:rPr>
          <w:color w:val="231F20"/>
          <w:spacing w:val="-6"/>
        </w:rPr>
        <w:t> </w:t>
      </w:r>
      <w:r>
        <w:rPr>
          <w:color w:val="231F20"/>
        </w:rPr>
        <w:t>for</w:t>
      </w:r>
      <w:r>
        <w:rPr>
          <w:color w:val="231F20"/>
          <w:spacing w:val="-5"/>
        </w:rPr>
        <w:t> </w:t>
      </w:r>
      <w:r>
        <w:rPr>
          <w:color w:val="231F20"/>
        </w:rPr>
        <w:t>ABSTUDY</w:t>
      </w:r>
      <w:r>
        <w:rPr>
          <w:color w:val="231F20"/>
          <w:spacing w:val="-5"/>
        </w:rPr>
        <w:t> </w:t>
      </w:r>
      <w:r>
        <w:rPr>
          <w:color w:val="231F20"/>
        </w:rPr>
        <w:t>from</w:t>
      </w:r>
      <w:r>
        <w:rPr>
          <w:color w:val="231F20"/>
          <w:w w:val="99"/>
        </w:rPr>
        <w:t> </w:t>
      </w:r>
      <w:r>
        <w:rPr>
          <w:color w:val="231F20"/>
        </w:rPr>
        <w:t>the</w:t>
      </w:r>
      <w:r>
        <w:rPr>
          <w:color w:val="231F20"/>
          <w:spacing w:val="-6"/>
        </w:rPr>
        <w:t> </w:t>
      </w:r>
      <w:r>
        <w:rPr>
          <w:color w:val="231F20"/>
          <w:spacing w:val="-1"/>
        </w:rPr>
        <w:t>Department</w:t>
      </w:r>
      <w:r>
        <w:rPr>
          <w:color w:val="231F20"/>
          <w:spacing w:val="-4"/>
        </w:rPr>
        <w:t> </w:t>
      </w:r>
      <w:r>
        <w:rPr>
          <w:color w:val="231F20"/>
        </w:rPr>
        <w:t>of</w:t>
      </w:r>
      <w:r>
        <w:rPr>
          <w:color w:val="231F20"/>
          <w:spacing w:val="-4"/>
        </w:rPr>
        <w:t> </w:t>
      </w:r>
      <w:r>
        <w:rPr>
          <w:color w:val="231F20"/>
        </w:rPr>
        <w:t>Human</w:t>
      </w:r>
      <w:r>
        <w:rPr>
          <w:color w:val="231F20"/>
          <w:spacing w:val="-6"/>
        </w:rPr>
        <w:t> </w:t>
      </w:r>
      <w:r>
        <w:rPr>
          <w:color w:val="231F20"/>
          <w:spacing w:val="-1"/>
        </w:rPr>
        <w:t>Services</w:t>
      </w:r>
      <w:r>
        <w:rPr>
          <w:color w:val="231F20"/>
          <w:spacing w:val="-4"/>
        </w:rPr>
        <w:t> </w:t>
      </w:r>
      <w:r>
        <w:rPr>
          <w:color w:val="231F20"/>
        </w:rPr>
        <w:t>to</w:t>
      </w:r>
      <w:r>
        <w:rPr>
          <w:color w:val="231F20"/>
          <w:spacing w:val="-4"/>
        </w:rPr>
        <w:t> </w:t>
      </w:r>
      <w:r>
        <w:rPr>
          <w:color w:val="231F20"/>
        </w:rPr>
        <w:t>an</w:t>
      </w:r>
      <w:r>
        <w:rPr>
          <w:color w:val="231F20"/>
          <w:spacing w:val="23"/>
          <w:w w:val="99"/>
        </w:rPr>
        <w:t> </w:t>
      </w:r>
      <w:r>
        <w:rPr>
          <w:rFonts w:ascii="Segoe UI" w:hAnsi="Segoe UI"/>
          <w:color w:val="231F20"/>
        </w:rPr>
        <w:t>education</w:t>
      </w:r>
      <w:r>
        <w:rPr>
          <w:rFonts w:ascii="Segoe UI" w:hAnsi="Segoe UI"/>
          <w:color w:val="231F20"/>
          <w:spacing w:val="-2"/>
        </w:rPr>
        <w:t> </w:t>
      </w:r>
      <w:r>
        <w:rPr>
          <w:rFonts w:ascii="Segoe UI" w:hAnsi="Segoe UI"/>
          <w:color w:val="231F20"/>
        </w:rPr>
        <w:t>or</w:t>
      </w:r>
      <w:r>
        <w:rPr>
          <w:rFonts w:ascii="Segoe UI" w:hAnsi="Segoe UI"/>
          <w:color w:val="231F20"/>
          <w:spacing w:val="-1"/>
        </w:rPr>
        <w:t> </w:t>
      </w:r>
      <w:r>
        <w:rPr>
          <w:rFonts w:ascii="Segoe UI" w:hAnsi="Segoe UI"/>
          <w:color w:val="231F20"/>
        </w:rPr>
        <w:t>Indigenous</w:t>
      </w:r>
      <w:r>
        <w:rPr>
          <w:rFonts w:ascii="Segoe UI" w:hAnsi="Segoe UI"/>
          <w:color w:val="231F20"/>
          <w:spacing w:val="-1"/>
        </w:rPr>
        <w:t> </w:t>
      </w:r>
      <w:r>
        <w:rPr>
          <w:rFonts w:ascii="Segoe UI" w:hAnsi="Segoe UI"/>
          <w:color w:val="231F20"/>
        </w:rPr>
        <w:t>affairs</w:t>
      </w:r>
      <w:r>
        <w:rPr>
          <w:rFonts w:ascii="Segoe UI" w:hAnsi="Segoe UI"/>
          <w:color w:val="231F20"/>
          <w:spacing w:val="-2"/>
        </w:rPr>
        <w:t> </w:t>
      </w:r>
      <w:r>
        <w:rPr>
          <w:rFonts w:ascii="Segoe UI" w:hAnsi="Segoe UI"/>
          <w:color w:val="231F20"/>
        </w:rPr>
        <w:t>portfolio</w:t>
      </w:r>
      <w:r>
        <w:rPr>
          <w:rFonts w:ascii="Segoe UI" w:hAnsi="Segoe UI"/>
        </w:rPr>
      </w:r>
    </w:p>
    <w:p>
      <w:pPr>
        <w:pStyle w:val="BodyText"/>
        <w:spacing w:line="250" w:lineRule="exact" w:before="113"/>
        <w:ind w:left="570" w:right="121" w:hanging="227"/>
        <w:jc w:val="left"/>
      </w:pPr>
      <w:r>
        <w:rPr>
          <w:rFonts w:ascii="Century Gothic" w:hAnsi="Century Gothic" w:cs="Century Gothic" w:eastAsia="Century Gothic"/>
          <w:color w:val="231F20"/>
        </w:rPr>
        <w:t>» </w:t>
      </w:r>
      <w:r>
        <w:rPr>
          <w:rFonts w:ascii="Century Gothic" w:hAnsi="Century Gothic" w:cs="Century Gothic" w:eastAsia="Century Gothic"/>
          <w:color w:val="231F20"/>
          <w:spacing w:val="27"/>
        </w:rPr>
        <w:t> </w:t>
      </w:r>
      <w:r>
        <w:rPr>
          <w:color w:val="231F20"/>
        </w:rPr>
        <w:t>remove</w:t>
      </w:r>
      <w:r>
        <w:rPr>
          <w:color w:val="231F20"/>
          <w:spacing w:val="-3"/>
        </w:rPr>
        <w:t> </w:t>
      </w:r>
      <w:r>
        <w:rPr>
          <w:color w:val="231F20"/>
        </w:rPr>
        <w:t>the</w:t>
      </w:r>
      <w:r>
        <w:rPr>
          <w:color w:val="231F20"/>
          <w:spacing w:val="-2"/>
        </w:rPr>
        <w:t> </w:t>
      </w:r>
      <w:r>
        <w:rPr>
          <w:color w:val="231F20"/>
          <w:spacing w:val="-1"/>
        </w:rPr>
        <w:t>means</w:t>
      </w:r>
      <w:r>
        <w:rPr>
          <w:color w:val="231F20"/>
          <w:spacing w:val="-2"/>
        </w:rPr>
        <w:t> </w:t>
      </w:r>
      <w:r>
        <w:rPr>
          <w:color w:val="231F20"/>
        </w:rPr>
        <w:t>test</w:t>
      </w:r>
      <w:r>
        <w:rPr>
          <w:color w:val="231F20"/>
          <w:spacing w:val="-2"/>
        </w:rPr>
        <w:t> </w:t>
      </w:r>
      <w:r>
        <w:rPr>
          <w:color w:val="231F20"/>
        </w:rPr>
        <w:t>on</w:t>
      </w:r>
      <w:r>
        <w:rPr>
          <w:color w:val="231F20"/>
          <w:spacing w:val="-2"/>
        </w:rPr>
        <w:t> </w:t>
      </w:r>
      <w:r>
        <w:rPr>
          <w:color w:val="231F20"/>
        </w:rPr>
        <w:t>all</w:t>
      </w:r>
      <w:r>
        <w:rPr>
          <w:color w:val="231F20"/>
          <w:spacing w:val="-3"/>
        </w:rPr>
        <w:t> </w:t>
      </w:r>
      <w:r>
        <w:rPr>
          <w:color w:val="231F20"/>
        </w:rPr>
        <w:t>ABSTUDY</w:t>
      </w:r>
      <w:r>
        <w:rPr>
          <w:color w:val="231F20"/>
          <w:spacing w:val="21"/>
        </w:rPr>
        <w:t> </w:t>
      </w:r>
      <w:r>
        <w:rPr>
          <w:color w:val="231F20"/>
        </w:rPr>
        <w:t>boarding</w:t>
      </w:r>
      <w:r>
        <w:rPr>
          <w:color w:val="231F20"/>
          <w:spacing w:val="-10"/>
        </w:rPr>
        <w:t> </w:t>
      </w:r>
      <w:r>
        <w:rPr>
          <w:color w:val="231F20"/>
        </w:rPr>
        <w:t>related</w:t>
      </w:r>
      <w:r>
        <w:rPr>
          <w:color w:val="231F20"/>
          <w:spacing w:val="-9"/>
        </w:rPr>
        <w:t> </w:t>
      </w:r>
      <w:r>
        <w:rPr>
          <w:color w:val="231F20"/>
        </w:rPr>
        <w:t>payments</w:t>
      </w:r>
      <w:r>
        <w:rPr>
          <w:color w:val="231F20"/>
          <w:spacing w:val="-9"/>
        </w:rPr>
        <w:t> </w:t>
      </w:r>
      <w:r>
        <w:rPr>
          <w:color w:val="231F20"/>
        </w:rPr>
        <w:t>and</w:t>
      </w:r>
      <w:r>
        <w:rPr>
          <w:color w:val="231F20"/>
          <w:spacing w:val="-9"/>
        </w:rPr>
        <w:t> </w:t>
      </w:r>
      <w:r>
        <w:rPr>
          <w:color w:val="231F20"/>
        </w:rPr>
        <w:t>restrict</w:t>
      </w:r>
      <w:r>
        <w:rPr>
          <w:color w:val="231F20"/>
          <w:w w:val="99"/>
        </w:rPr>
        <w:t> </w:t>
      </w:r>
      <w:r>
        <w:rPr>
          <w:color w:val="231F20"/>
        </w:rPr>
        <w:t>eligibility</w:t>
      </w:r>
      <w:r>
        <w:rPr>
          <w:color w:val="231F20"/>
          <w:spacing w:val="-8"/>
        </w:rPr>
        <w:t> </w:t>
      </w:r>
      <w:r>
        <w:rPr>
          <w:color w:val="231F20"/>
        </w:rPr>
        <w:t>requirements</w:t>
      </w:r>
      <w:r>
        <w:rPr>
          <w:color w:val="231F20"/>
          <w:spacing w:val="-9"/>
        </w:rPr>
        <w:t> </w:t>
      </w:r>
      <w:r>
        <w:rPr>
          <w:color w:val="231F20"/>
        </w:rPr>
        <w:t>to</w:t>
      </w:r>
      <w:r>
        <w:rPr>
          <w:color w:val="231F20"/>
          <w:spacing w:val="-6"/>
        </w:rPr>
        <w:t> </w:t>
      </w:r>
      <w:r>
        <w:rPr>
          <w:color w:val="231F20"/>
          <w:spacing w:val="-1"/>
        </w:rPr>
        <w:t>Indigeneity</w:t>
      </w:r>
      <w:r>
        <w:rPr>
          <w:color w:val="231F20"/>
          <w:spacing w:val="-7"/>
        </w:rPr>
        <w:t> </w:t>
      </w:r>
      <w:r>
        <w:rPr>
          <w:color w:val="231F20"/>
        </w:rPr>
        <w:t>and</w:t>
      </w:r>
      <w:r>
        <w:rPr>
          <w:color w:val="231F20"/>
          <w:spacing w:val="22"/>
          <w:w w:val="99"/>
        </w:rPr>
        <w:t> </w:t>
      </w:r>
      <w:r>
        <w:rPr>
          <w:color w:val="231F20"/>
        </w:rPr>
        <w:t>an</w:t>
      </w:r>
      <w:r>
        <w:rPr>
          <w:color w:val="231F20"/>
          <w:spacing w:val="-4"/>
        </w:rPr>
        <w:t> </w:t>
      </w:r>
      <w:r>
        <w:rPr>
          <w:color w:val="231F20"/>
          <w:spacing w:val="-1"/>
        </w:rPr>
        <w:t>inability</w:t>
      </w:r>
      <w:r>
        <w:rPr>
          <w:color w:val="231F20"/>
          <w:spacing w:val="-2"/>
        </w:rPr>
        <w:t> </w:t>
      </w:r>
      <w:r>
        <w:rPr>
          <w:color w:val="231F20"/>
        </w:rPr>
        <w:t>to</w:t>
      </w:r>
      <w:r>
        <w:rPr>
          <w:color w:val="231F20"/>
          <w:spacing w:val="-2"/>
        </w:rPr>
        <w:t> </w:t>
      </w:r>
      <w:r>
        <w:rPr>
          <w:color w:val="231F20"/>
        </w:rPr>
        <w:t>access</w:t>
      </w:r>
      <w:r>
        <w:rPr>
          <w:color w:val="231F20"/>
          <w:spacing w:val="-4"/>
        </w:rPr>
        <w:t> </w:t>
      </w:r>
      <w:r>
        <w:rPr>
          <w:color w:val="231F20"/>
        </w:rPr>
        <w:t>a</w:t>
      </w:r>
      <w:r>
        <w:rPr>
          <w:color w:val="231F20"/>
          <w:spacing w:val="-2"/>
        </w:rPr>
        <w:t> </w:t>
      </w:r>
      <w:r>
        <w:rPr>
          <w:color w:val="231F20"/>
          <w:spacing w:val="-1"/>
        </w:rPr>
        <w:t>local</w:t>
      </w:r>
      <w:r>
        <w:rPr>
          <w:color w:val="231F20"/>
          <w:spacing w:val="-2"/>
        </w:rPr>
        <w:t> </w:t>
      </w:r>
      <w:r>
        <w:rPr>
          <w:color w:val="231F20"/>
          <w:spacing w:val="-1"/>
        </w:rPr>
        <w:t>secondary</w:t>
      </w:r>
      <w:r>
        <w:rPr>
          <w:color w:val="231F20"/>
          <w:spacing w:val="22"/>
          <w:w w:val="99"/>
        </w:rPr>
        <w:t> </w:t>
      </w:r>
      <w:r>
        <w:rPr>
          <w:color w:val="231F20"/>
          <w:spacing w:val="-1"/>
        </w:rPr>
        <w:t>schooling</w:t>
      </w:r>
      <w:r>
        <w:rPr>
          <w:color w:val="231F20"/>
          <w:spacing w:val="-9"/>
        </w:rPr>
        <w:t> </w:t>
      </w:r>
      <w:r>
        <w:rPr>
          <w:color w:val="231F20"/>
        </w:rPr>
        <w:t>option.</w:t>
      </w:r>
      <w:r>
        <w:rPr>
          <w:color w:val="231F20"/>
          <w:spacing w:val="-10"/>
        </w:rPr>
        <w:t> </w:t>
      </w:r>
      <w:r>
        <w:rPr>
          <w:color w:val="231F20"/>
        </w:rPr>
        <w:t>Alternatively,</w:t>
      </w:r>
      <w:r>
        <w:rPr>
          <w:color w:val="231F20"/>
          <w:spacing w:val="-9"/>
        </w:rPr>
        <w:t> </w:t>
      </w:r>
      <w:r>
        <w:rPr>
          <w:color w:val="231F20"/>
          <w:spacing w:val="-1"/>
        </w:rPr>
        <w:t>introduce</w:t>
      </w:r>
      <w:r>
        <w:rPr>
          <w:color w:val="231F20"/>
          <w:spacing w:val="21"/>
          <w:w w:val="99"/>
        </w:rPr>
        <w:t> </w:t>
      </w:r>
      <w:r>
        <w:rPr>
          <w:color w:val="231F20"/>
        </w:rPr>
        <w:t>a</w:t>
      </w:r>
      <w:r>
        <w:rPr>
          <w:color w:val="231F20"/>
          <w:spacing w:val="-5"/>
        </w:rPr>
        <w:t> </w:t>
      </w:r>
      <w:r>
        <w:rPr>
          <w:color w:val="231F20"/>
        </w:rPr>
        <w:t>base</w:t>
      </w:r>
      <w:r>
        <w:rPr>
          <w:color w:val="231F20"/>
          <w:spacing w:val="-5"/>
        </w:rPr>
        <w:t> </w:t>
      </w:r>
      <w:r>
        <w:rPr>
          <w:color w:val="231F20"/>
        </w:rPr>
        <w:t>amount</w:t>
      </w:r>
      <w:r>
        <w:rPr>
          <w:color w:val="231F20"/>
          <w:spacing w:val="-5"/>
        </w:rPr>
        <w:t> </w:t>
      </w:r>
      <w:r>
        <w:rPr>
          <w:color w:val="231F20"/>
        </w:rPr>
        <w:t>of</w:t>
      </w:r>
      <w:r>
        <w:rPr>
          <w:color w:val="231F20"/>
          <w:spacing w:val="-4"/>
        </w:rPr>
        <w:t> </w:t>
      </w:r>
      <w:r>
        <w:rPr>
          <w:color w:val="231F20"/>
        </w:rPr>
        <w:t>ABSTUDY</w:t>
      </w:r>
      <w:r>
        <w:rPr>
          <w:color w:val="231F20"/>
          <w:spacing w:val="-6"/>
        </w:rPr>
        <w:t> </w:t>
      </w:r>
      <w:r>
        <w:rPr>
          <w:color w:val="231F20"/>
        </w:rPr>
        <w:t>for</w:t>
      </w:r>
      <w:r>
        <w:rPr>
          <w:color w:val="231F20"/>
          <w:spacing w:val="-4"/>
        </w:rPr>
        <w:t> </w:t>
      </w:r>
      <w:r>
        <w:rPr>
          <w:color w:val="231F20"/>
        </w:rPr>
        <w:t>Aboriginal</w:t>
      </w:r>
      <w:r>
        <w:rPr>
          <w:color w:val="231F20"/>
          <w:w w:val="99"/>
        </w:rPr>
        <w:t> </w:t>
      </w:r>
      <w:r>
        <w:rPr>
          <w:color w:val="231F20"/>
        </w:rPr>
        <w:t>and</w:t>
      </w:r>
      <w:r>
        <w:rPr>
          <w:color w:val="231F20"/>
          <w:spacing w:val="-5"/>
        </w:rPr>
        <w:t> Torres</w:t>
      </w:r>
      <w:r>
        <w:rPr>
          <w:color w:val="231F20"/>
          <w:spacing w:val="-3"/>
        </w:rPr>
        <w:t> </w:t>
      </w:r>
      <w:r>
        <w:rPr>
          <w:color w:val="231F20"/>
          <w:spacing w:val="-2"/>
        </w:rPr>
        <w:t>Strait</w:t>
      </w:r>
      <w:r>
        <w:rPr>
          <w:color w:val="231F20"/>
          <w:spacing w:val="-5"/>
        </w:rPr>
        <w:t> </w:t>
      </w:r>
      <w:r>
        <w:rPr>
          <w:color w:val="231F20"/>
          <w:spacing w:val="-1"/>
        </w:rPr>
        <w:t>Islander</w:t>
      </w:r>
      <w:r>
        <w:rPr>
          <w:color w:val="231F20"/>
          <w:spacing w:val="-3"/>
        </w:rPr>
        <w:t> </w:t>
      </w:r>
      <w:r>
        <w:rPr>
          <w:color w:val="231F20"/>
          <w:spacing w:val="-1"/>
        </w:rPr>
        <w:t>students</w:t>
      </w:r>
      <w:r>
        <w:rPr>
          <w:color w:val="231F20"/>
          <w:spacing w:val="-4"/>
        </w:rPr>
        <w:t> </w:t>
      </w:r>
      <w:r>
        <w:rPr>
          <w:color w:val="231F20"/>
        </w:rPr>
        <w:t>with</w:t>
      </w:r>
      <w:r>
        <w:rPr>
          <w:color w:val="231F20"/>
          <w:spacing w:val="23"/>
          <w:w w:val="99"/>
        </w:rPr>
        <w:t> </w:t>
      </w:r>
      <w:r>
        <w:rPr>
          <w:color w:val="231F20"/>
          <w:spacing w:val="-1"/>
        </w:rPr>
        <w:t>loadings</w:t>
      </w:r>
      <w:r>
        <w:rPr>
          <w:color w:val="231F20"/>
          <w:spacing w:val="-6"/>
        </w:rPr>
        <w:t> </w:t>
      </w:r>
      <w:r>
        <w:rPr>
          <w:color w:val="231F20"/>
        </w:rPr>
        <w:t>for</w:t>
      </w:r>
      <w:r>
        <w:rPr>
          <w:color w:val="231F20"/>
          <w:spacing w:val="-6"/>
        </w:rPr>
        <w:t> </w:t>
      </w:r>
      <w:r>
        <w:rPr>
          <w:color w:val="231F20"/>
        </w:rPr>
        <w:t>disadvantage</w:t>
      </w:r>
      <w:r>
        <w:rPr>
          <w:color w:val="231F20"/>
          <w:spacing w:val="-6"/>
        </w:rPr>
        <w:t> </w:t>
      </w:r>
      <w:r>
        <w:rPr>
          <w:color w:val="231F20"/>
        </w:rPr>
        <w:t>and</w:t>
      </w:r>
      <w:r>
        <w:rPr>
          <w:color w:val="231F20"/>
          <w:spacing w:val="-6"/>
        </w:rPr>
        <w:t> </w:t>
      </w:r>
      <w:r>
        <w:rPr>
          <w:color w:val="231F20"/>
        </w:rPr>
        <w:t>need</w:t>
      </w:r>
      <w:r>
        <w:rPr>
          <w:color w:val="231F20"/>
          <w:spacing w:val="22"/>
          <w:w w:val="99"/>
        </w:rPr>
        <w:t> </w:t>
      </w:r>
      <w:r>
        <w:rPr>
          <w:color w:val="231F20"/>
          <w:spacing w:val="-1"/>
        </w:rPr>
        <w:t>similar</w:t>
      </w:r>
      <w:r>
        <w:rPr>
          <w:color w:val="231F20"/>
          <w:spacing w:val="-2"/>
        </w:rPr>
        <w:t> </w:t>
      </w:r>
      <w:r>
        <w:rPr>
          <w:color w:val="231F20"/>
        </w:rPr>
        <w:t>to</w:t>
      </w:r>
      <w:r>
        <w:rPr>
          <w:color w:val="231F20"/>
          <w:spacing w:val="-1"/>
        </w:rPr>
        <w:t> </w:t>
      </w:r>
      <w:r>
        <w:rPr>
          <w:color w:val="231F20"/>
        </w:rPr>
        <w:t>the</w:t>
      </w:r>
      <w:r>
        <w:rPr>
          <w:color w:val="231F20"/>
          <w:spacing w:val="-2"/>
        </w:rPr>
        <w:t> </w:t>
      </w:r>
      <w:r>
        <w:rPr>
          <w:color w:val="231F20"/>
          <w:spacing w:val="-1"/>
        </w:rPr>
        <w:t>loadings</w:t>
      </w:r>
      <w:r>
        <w:rPr>
          <w:color w:val="231F20"/>
          <w:spacing w:val="-2"/>
        </w:rPr>
        <w:t> </w:t>
      </w:r>
      <w:r>
        <w:rPr>
          <w:color w:val="231F20"/>
        </w:rPr>
        <w:t>utilised</w:t>
      </w:r>
      <w:r>
        <w:rPr>
          <w:color w:val="231F20"/>
          <w:spacing w:val="-2"/>
        </w:rPr>
        <w:t> </w:t>
      </w:r>
      <w:r>
        <w:rPr>
          <w:color w:val="231F20"/>
          <w:spacing w:val="-1"/>
        </w:rPr>
        <w:t>in </w:t>
      </w:r>
      <w:r>
        <w:rPr>
          <w:color w:val="231F20"/>
        </w:rPr>
        <w:t>the</w:t>
      </w:r>
      <w:r>
        <w:rPr>
          <w:color w:val="231F20"/>
          <w:spacing w:val="24"/>
          <w:w w:val="99"/>
        </w:rPr>
        <w:t> </w:t>
      </w:r>
      <w:r>
        <w:rPr>
          <w:color w:val="231F20"/>
          <w:spacing w:val="-1"/>
        </w:rPr>
        <w:t>Commonwealth’s</w:t>
      </w:r>
      <w:r>
        <w:rPr>
          <w:color w:val="231F20"/>
          <w:spacing w:val="-4"/>
        </w:rPr>
        <w:t> </w:t>
      </w:r>
      <w:r>
        <w:rPr>
          <w:color w:val="231F20"/>
          <w:spacing w:val="-1"/>
        </w:rPr>
        <w:t>Schooling</w:t>
      </w:r>
      <w:r>
        <w:rPr>
          <w:color w:val="231F20"/>
          <w:spacing w:val="-3"/>
        </w:rPr>
        <w:t> </w:t>
      </w:r>
      <w:r>
        <w:rPr>
          <w:color w:val="231F20"/>
          <w:spacing w:val="-1"/>
        </w:rPr>
        <w:t>Resource</w:t>
      </w:r>
      <w:r>
        <w:rPr>
          <w:color w:val="231F20"/>
          <w:spacing w:val="25"/>
          <w:w w:val="99"/>
        </w:rPr>
        <w:t> </w:t>
      </w:r>
      <w:r>
        <w:rPr>
          <w:color w:val="231F20"/>
          <w:spacing w:val="-1"/>
        </w:rPr>
        <w:t>Standard</w:t>
      </w:r>
      <w:r>
        <w:rPr>
          <w:color w:val="231F20"/>
          <w:spacing w:val="-7"/>
        </w:rPr>
        <w:t> </w:t>
      </w:r>
      <w:r>
        <w:rPr>
          <w:color w:val="231F20"/>
        </w:rPr>
        <w:t>funding</w:t>
      </w:r>
      <w:r>
        <w:rPr>
          <w:color w:val="231F20"/>
          <w:spacing w:val="-7"/>
        </w:rPr>
        <w:t> </w:t>
      </w:r>
      <w:r>
        <w:rPr>
          <w:color w:val="231F20"/>
          <w:spacing w:val="-1"/>
        </w:rPr>
        <w:t>model</w:t>
      </w:r>
      <w:r>
        <w:rPr>
          <w:color w:val="231F20"/>
          <w:spacing w:val="-6"/>
        </w:rPr>
        <w:t> </w:t>
      </w:r>
      <w:r>
        <w:rPr>
          <w:color w:val="231F20"/>
        </w:rPr>
        <w:t>for</w:t>
      </w:r>
      <w:r>
        <w:rPr>
          <w:color w:val="231F20"/>
          <w:spacing w:val="-6"/>
        </w:rPr>
        <w:t> </w:t>
      </w:r>
      <w:r>
        <w:rPr>
          <w:color w:val="231F20"/>
        </w:rPr>
        <w:t>recurrent</w:t>
      </w:r>
      <w:r>
        <w:rPr>
          <w:color w:val="231F20"/>
          <w:spacing w:val="23"/>
          <w:w w:val="99"/>
        </w:rPr>
        <w:t> </w:t>
      </w:r>
      <w:r>
        <w:rPr>
          <w:color w:val="231F20"/>
          <w:spacing w:val="-1"/>
        </w:rPr>
        <w:t>school</w:t>
      </w:r>
      <w:r>
        <w:rPr>
          <w:color w:val="231F20"/>
          <w:spacing w:val="-5"/>
        </w:rPr>
        <w:t> </w:t>
      </w:r>
      <w:r>
        <w:rPr>
          <w:color w:val="231F20"/>
        </w:rPr>
        <w:t>funding.</w:t>
      </w:r>
      <w:r>
        <w:rPr>
          <w:color w:val="231F20"/>
          <w:spacing w:val="-5"/>
        </w:rPr>
        <w:t> </w:t>
      </w:r>
      <w:r>
        <w:rPr>
          <w:color w:val="231F20"/>
        </w:rPr>
        <w:t>The</w:t>
      </w:r>
      <w:r>
        <w:rPr>
          <w:color w:val="231F20"/>
          <w:spacing w:val="-5"/>
        </w:rPr>
        <w:t> </w:t>
      </w:r>
      <w:r>
        <w:rPr>
          <w:color w:val="231F20"/>
        </w:rPr>
        <w:t>following</w:t>
      </w:r>
      <w:r>
        <w:rPr>
          <w:color w:val="231F20"/>
          <w:spacing w:val="-4"/>
        </w:rPr>
        <w:t> </w:t>
      </w:r>
      <w:r>
        <w:rPr>
          <w:color w:val="231F20"/>
        </w:rPr>
        <w:t>comment</w:t>
      </w:r>
      <w:r>
        <w:rPr>
          <w:color w:val="231F20"/>
          <w:spacing w:val="21"/>
        </w:rPr>
        <w:t> </w:t>
      </w:r>
      <w:r>
        <w:rPr>
          <w:color w:val="231F20"/>
        </w:rPr>
        <w:t>was</w:t>
      </w:r>
      <w:r>
        <w:rPr>
          <w:color w:val="231F20"/>
          <w:spacing w:val="-5"/>
        </w:rPr>
        <w:t> </w:t>
      </w:r>
      <w:r>
        <w:rPr>
          <w:color w:val="231F20"/>
          <w:spacing w:val="-1"/>
        </w:rPr>
        <w:t>made</w:t>
      </w:r>
      <w:r>
        <w:rPr>
          <w:color w:val="231F20"/>
          <w:spacing w:val="-3"/>
        </w:rPr>
        <w:t> </w:t>
      </w:r>
      <w:r>
        <w:rPr>
          <w:color w:val="231F20"/>
          <w:spacing w:val="-1"/>
        </w:rPr>
        <w:t>in</w:t>
      </w:r>
      <w:r>
        <w:rPr>
          <w:color w:val="231F20"/>
          <w:spacing w:val="-3"/>
        </w:rPr>
        <w:t> </w:t>
      </w:r>
      <w:r>
        <w:rPr>
          <w:color w:val="231F20"/>
          <w:spacing w:val="-1"/>
        </w:rPr>
        <w:t>support</w:t>
      </w:r>
      <w:r>
        <w:rPr>
          <w:color w:val="231F20"/>
          <w:spacing w:val="-4"/>
        </w:rPr>
        <w:t> </w:t>
      </w:r>
      <w:r>
        <w:rPr>
          <w:color w:val="231F20"/>
        </w:rPr>
        <w:t>of</w:t>
      </w:r>
      <w:r>
        <w:rPr>
          <w:color w:val="231F20"/>
          <w:spacing w:val="-3"/>
        </w:rPr>
        <w:t> </w:t>
      </w:r>
      <w:r>
        <w:rPr>
          <w:color w:val="231F20"/>
        </w:rPr>
        <w:t>a</w:t>
      </w:r>
      <w:r>
        <w:rPr>
          <w:color w:val="231F20"/>
          <w:spacing w:val="-3"/>
        </w:rPr>
        <w:t> </w:t>
      </w:r>
      <w:r>
        <w:rPr>
          <w:color w:val="231F20"/>
        </w:rPr>
        <w:t>needs</w:t>
      </w:r>
      <w:r>
        <w:rPr>
          <w:color w:val="231F20"/>
          <w:spacing w:val="-5"/>
        </w:rPr>
        <w:t> </w:t>
      </w:r>
      <w:r>
        <w:rPr>
          <w:color w:val="231F20"/>
        </w:rPr>
        <w:t>based</w:t>
      </w:r>
      <w:r>
        <w:rPr>
          <w:color w:val="231F20"/>
          <w:spacing w:val="24"/>
          <w:w w:val="99"/>
        </w:rPr>
        <w:t> </w:t>
      </w:r>
      <w:r>
        <w:rPr>
          <w:color w:val="231F20"/>
          <w:spacing w:val="-1"/>
        </w:rPr>
        <w:t>model</w:t>
      </w:r>
      <w:r>
        <w:rPr>
          <w:color w:val="231F20"/>
          <w:spacing w:val="-5"/>
        </w:rPr>
        <w:t> </w:t>
      </w:r>
      <w:r>
        <w:rPr>
          <w:color w:val="231F20"/>
        </w:rPr>
        <w:t>of</w:t>
      </w:r>
      <w:r>
        <w:rPr>
          <w:color w:val="231F20"/>
          <w:spacing w:val="-5"/>
        </w:rPr>
        <w:t> </w:t>
      </w:r>
      <w:r>
        <w:rPr>
          <w:color w:val="231F20"/>
        </w:rPr>
        <w:t>funding</w:t>
      </w:r>
      <w:r>
        <w:rPr>
          <w:color w:val="231F20"/>
          <w:spacing w:val="-5"/>
        </w:rPr>
        <w:t> </w:t>
      </w:r>
      <w:r>
        <w:rPr>
          <w:color w:val="231F20"/>
        </w:rPr>
        <w:t>for</w:t>
      </w:r>
      <w:r>
        <w:rPr>
          <w:color w:val="231F20"/>
          <w:spacing w:val="-5"/>
        </w:rPr>
        <w:t> </w:t>
      </w:r>
      <w:r>
        <w:rPr>
          <w:color w:val="231F20"/>
        </w:rPr>
        <w:t>boarding:</w:t>
      </w:r>
      <w:r>
        <w:rPr/>
      </w:r>
    </w:p>
    <w:p>
      <w:pPr>
        <w:pStyle w:val="BodyText"/>
        <w:spacing w:line="250" w:lineRule="exact" w:before="113"/>
        <w:ind w:left="570" w:right="222"/>
        <w:jc w:val="left"/>
        <w:rPr>
          <w:rFonts w:ascii="Segoe UI Semibold" w:hAnsi="Segoe UI Semibold" w:cs="Segoe UI Semibold" w:eastAsia="Segoe UI Semibold"/>
        </w:rPr>
      </w:pPr>
      <w:r>
        <w:rPr>
          <w:rFonts w:ascii="Segoe UI Semibold" w:hAnsi="Segoe UI Semibold" w:cs="Segoe UI Semibold" w:eastAsia="Segoe UI Semibold"/>
          <w:b/>
          <w:bCs/>
          <w:color w:val="00779B"/>
        </w:rPr>
        <w:t>The</w:t>
      </w:r>
      <w:r>
        <w:rPr>
          <w:rFonts w:ascii="Segoe UI Semibold" w:hAnsi="Segoe UI Semibold" w:cs="Segoe UI Semibold" w:eastAsia="Segoe UI Semibold"/>
          <w:b/>
          <w:bCs/>
          <w:color w:val="00779B"/>
          <w:spacing w:val="-1"/>
        </w:rPr>
        <w:t> school</w:t>
      </w:r>
      <w:r>
        <w:rPr>
          <w:rFonts w:ascii="Segoe UI Semibold" w:hAnsi="Segoe UI Semibold" w:cs="Segoe UI Semibold" w:eastAsia="Segoe UI Semibold"/>
          <w:b/>
          <w:bCs/>
          <w:color w:val="00779B"/>
        </w:rPr>
        <w:t> gets</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additional</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funding</w:t>
      </w:r>
      <w:r>
        <w:rPr>
          <w:rFonts w:ascii="Segoe UI Semibold" w:hAnsi="Segoe UI Semibold" w:cs="Segoe UI Semibold" w:eastAsia="Segoe UI Semibold"/>
          <w:b/>
          <w:bCs/>
          <w:color w:val="00779B"/>
          <w:spacing w:val="21"/>
        </w:rPr>
        <w:t> </w:t>
      </w:r>
      <w:r>
        <w:rPr>
          <w:rFonts w:ascii="Segoe UI Semibold" w:hAnsi="Segoe UI Semibold" w:cs="Segoe UI Semibold" w:eastAsia="Segoe UI Semibold"/>
          <w:b/>
          <w:bCs/>
          <w:color w:val="00779B"/>
          <w:spacing w:val="-1"/>
        </w:rPr>
        <w:t>under Gonski</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to </w:t>
      </w:r>
      <w:r>
        <w:rPr>
          <w:rFonts w:ascii="Segoe UI Semibold" w:hAnsi="Segoe UI Semibold" w:cs="Segoe UI Semibold" w:eastAsia="Segoe UI Semibold"/>
          <w:b/>
          <w:bCs/>
          <w:color w:val="00779B"/>
        </w:rPr>
        <w:t>meet</w:t>
      </w:r>
      <w:r>
        <w:rPr>
          <w:rFonts w:ascii="Segoe UI Semibold" w:hAnsi="Segoe UI Semibold" w:cs="Segoe UI Semibold" w:eastAsia="Segoe UI Semibold"/>
          <w:b/>
          <w:bCs/>
          <w:color w:val="00779B"/>
          <w:spacing w:val="-1"/>
        </w:rPr>
        <w:t> the</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needs</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2"/>
        </w:rPr>
        <w:t>of</w:t>
      </w:r>
      <w:r>
        <w:rPr>
          <w:rFonts w:ascii="Segoe UI Semibold" w:hAnsi="Segoe UI Semibold" w:cs="Segoe UI Semibold" w:eastAsia="Segoe UI Semibold"/>
          <w:b/>
          <w:bCs/>
          <w:color w:val="00779B"/>
          <w:spacing w:val="27"/>
          <w:w w:val="99"/>
        </w:rPr>
        <w:t> </w:t>
      </w:r>
      <w:r>
        <w:rPr>
          <w:rFonts w:ascii="Segoe UI Semibold" w:hAnsi="Segoe UI Semibold" w:cs="Segoe UI Semibold" w:eastAsia="Segoe UI Semibold"/>
          <w:b/>
          <w:bCs/>
          <w:color w:val="00779B"/>
          <w:spacing w:val="-1"/>
        </w:rPr>
        <w:t>disadvantaged</w:t>
      </w:r>
      <w:r>
        <w:rPr>
          <w:rFonts w:ascii="Segoe UI Semibold" w:hAnsi="Segoe UI Semibold" w:cs="Segoe UI Semibold" w:eastAsia="Segoe UI Semibold"/>
          <w:b/>
          <w:bCs/>
          <w:color w:val="00779B"/>
          <w:spacing w:val="-4"/>
        </w:rPr>
        <w:t> </w:t>
      </w:r>
      <w:r>
        <w:rPr>
          <w:rFonts w:ascii="Segoe UI Semibold" w:hAnsi="Segoe UI Semibold" w:cs="Segoe UI Semibold" w:eastAsia="Segoe UI Semibold"/>
          <w:b/>
          <w:bCs/>
          <w:color w:val="00779B"/>
          <w:spacing w:val="-1"/>
        </w:rPr>
        <w:t>or</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high</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needs</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students</w:t>
      </w:r>
      <w:r>
        <w:rPr>
          <w:rFonts w:ascii="Segoe UI Semibold" w:hAnsi="Segoe UI Semibold" w:cs="Segoe UI Semibold" w:eastAsia="Segoe UI Semibold"/>
          <w:b/>
          <w:bCs/>
          <w:color w:val="00779B"/>
          <w:spacing w:val="22"/>
        </w:rPr>
        <w:t> </w:t>
      </w:r>
      <w:r>
        <w:rPr>
          <w:rFonts w:ascii="Segoe UI Semibold" w:hAnsi="Segoe UI Semibold" w:cs="Segoe UI Semibold" w:eastAsia="Segoe UI Semibold"/>
          <w:b/>
          <w:bCs/>
          <w:color w:val="00779B"/>
          <w:spacing w:val="-1"/>
        </w:rPr>
        <w:t>while</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they</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are </w:t>
      </w:r>
      <w:r>
        <w:rPr>
          <w:rFonts w:ascii="Segoe UI Semibold" w:hAnsi="Segoe UI Semibold" w:cs="Segoe UI Semibold" w:eastAsia="Segoe UI Semibold"/>
          <w:b/>
          <w:bCs/>
          <w:color w:val="00779B"/>
        </w:rPr>
        <w:t>at</w:t>
      </w:r>
      <w:r>
        <w:rPr>
          <w:rFonts w:ascii="Segoe UI Semibold" w:hAnsi="Segoe UI Semibold" w:cs="Segoe UI Semibold" w:eastAsia="Segoe UI Semibold"/>
          <w:b/>
          <w:bCs/>
          <w:color w:val="00779B"/>
          <w:spacing w:val="-1"/>
        </w:rPr>
        <w:t> school,</w:t>
      </w:r>
      <w:r>
        <w:rPr>
          <w:rFonts w:ascii="Segoe UI Semibold" w:hAnsi="Segoe UI Semibold" w:cs="Segoe UI Semibold" w:eastAsia="Segoe UI Semibold"/>
          <w:b/>
          <w:bCs/>
          <w:color w:val="00779B"/>
        </w:rPr>
        <w:t> but</w:t>
      </w:r>
      <w:r>
        <w:rPr>
          <w:rFonts w:ascii="Segoe UI Semibold" w:hAnsi="Segoe UI Semibold" w:cs="Segoe UI Semibold" w:eastAsia="Segoe UI Semibold"/>
          <w:b/>
          <w:bCs/>
          <w:color w:val="00779B"/>
          <w:spacing w:val="-1"/>
        </w:rPr>
        <w:t> the</w:t>
      </w:r>
      <w:r>
        <w:rPr>
          <w:rFonts w:ascii="Segoe UI Semibold" w:hAnsi="Segoe UI Semibold" w:cs="Segoe UI Semibold" w:eastAsia="Segoe UI Semibold"/>
          <w:b/>
          <w:bCs/>
          <w:color w:val="00779B"/>
          <w:spacing w:val="24"/>
        </w:rPr>
        <w:t> </w:t>
      </w:r>
      <w:r>
        <w:rPr>
          <w:rFonts w:ascii="Segoe UI Semibold" w:hAnsi="Segoe UI Semibold" w:cs="Segoe UI Semibold" w:eastAsia="Segoe UI Semibold"/>
          <w:b/>
          <w:bCs/>
          <w:color w:val="00779B"/>
          <w:spacing w:val="-1"/>
        </w:rPr>
        <w:t>boarding</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rPr>
        <w:t>house</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rPr>
        <w:t>doesn’t</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2"/>
        </w:rPr>
        <w:t>receive</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rPr>
        <w:t>any</w:t>
      </w:r>
      <w:r>
        <w:rPr>
          <w:rFonts w:ascii="Segoe UI Semibold" w:hAnsi="Segoe UI Semibold" w:cs="Segoe UI Semibold" w:eastAsia="Segoe UI Semibold"/>
          <w:b/>
          <w:bCs/>
          <w:color w:val="00779B"/>
          <w:spacing w:val="30"/>
        </w:rPr>
        <w:t> </w:t>
      </w:r>
      <w:r>
        <w:rPr>
          <w:rFonts w:ascii="Segoe UI Semibold" w:hAnsi="Segoe UI Semibold" w:cs="Segoe UI Semibold" w:eastAsia="Segoe UI Semibold"/>
          <w:b/>
          <w:bCs/>
          <w:color w:val="00779B"/>
        </w:rPr>
        <w:t>additional</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funding</w:t>
      </w:r>
      <w:r>
        <w:rPr>
          <w:rFonts w:ascii="Segoe UI Semibold" w:hAnsi="Segoe UI Semibold" w:cs="Segoe UI Semibold" w:eastAsia="Segoe UI Semibold"/>
          <w:b/>
          <w:bCs/>
          <w:color w:val="00779B"/>
          <w:spacing w:val="-1"/>
        </w:rPr>
        <w:t> to </w:t>
      </w:r>
      <w:r>
        <w:rPr>
          <w:rFonts w:ascii="Segoe UI Semibold" w:hAnsi="Segoe UI Semibold" w:cs="Segoe UI Semibold" w:eastAsia="Segoe UI Semibold"/>
          <w:b/>
          <w:bCs/>
          <w:color w:val="00779B"/>
        </w:rPr>
        <w:t>support</w:t>
      </w:r>
      <w:r>
        <w:rPr>
          <w:rFonts w:ascii="Segoe UI Semibold" w:hAnsi="Segoe UI Semibold" w:cs="Segoe UI Semibold" w:eastAsia="Segoe UI Semibold"/>
          <w:b/>
          <w:bCs/>
          <w:color w:val="00779B"/>
          <w:spacing w:val="-1"/>
        </w:rPr>
        <w:t> that</w:t>
      </w:r>
      <w:r>
        <w:rPr>
          <w:rFonts w:ascii="Segoe UI Semibold" w:hAnsi="Segoe UI Semibold" w:cs="Segoe UI Semibold" w:eastAsia="Segoe UI Semibold"/>
          <w:b/>
          <w:bCs/>
          <w:color w:val="00779B"/>
          <w:spacing w:val="21"/>
        </w:rPr>
        <w:t> </w:t>
      </w:r>
      <w:r>
        <w:rPr>
          <w:rFonts w:ascii="Segoe UI Semibold" w:hAnsi="Segoe UI Semibold" w:cs="Segoe UI Semibold" w:eastAsia="Segoe UI Semibold"/>
          <w:b/>
          <w:bCs/>
          <w:color w:val="00779B"/>
          <w:spacing w:val="-1"/>
        </w:rPr>
        <w:t>student.</w:t>
      </w:r>
      <w:r>
        <w:rPr>
          <w:rFonts w:ascii="Segoe UI Semibold" w:hAnsi="Segoe UI Semibold" w:cs="Segoe UI Semibold" w:eastAsia="Segoe UI Semibold"/>
          <w:b/>
          <w:bCs/>
          <w:color w:val="00779B"/>
        </w:rPr>
        <w:t> The</w:t>
      </w:r>
      <w:r>
        <w:rPr>
          <w:rFonts w:ascii="Segoe UI Semibold" w:hAnsi="Segoe UI Semibold" w:cs="Segoe UI Semibold" w:eastAsia="Segoe UI Semibold"/>
          <w:b/>
          <w:bCs/>
          <w:color w:val="00779B"/>
          <w:spacing w:val="-1"/>
        </w:rPr>
        <w:t> student</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is</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only </w:t>
      </w:r>
      <w:r>
        <w:rPr>
          <w:rFonts w:ascii="Segoe UI Semibold" w:hAnsi="Segoe UI Semibold" w:cs="Segoe UI Semibold" w:eastAsia="Segoe UI Semibold"/>
          <w:b/>
          <w:bCs/>
          <w:color w:val="00779B"/>
        </w:rPr>
        <w:t>at</w:t>
      </w:r>
      <w:r>
        <w:rPr>
          <w:rFonts w:ascii="Segoe UI Semibold" w:hAnsi="Segoe UI Semibold" w:cs="Segoe UI Semibold" w:eastAsia="Segoe UI Semibold"/>
          <w:b/>
          <w:bCs/>
          <w:color w:val="00779B"/>
          <w:spacing w:val="-1"/>
        </w:rPr>
        <w:t> school</w:t>
      </w:r>
      <w:r>
        <w:rPr>
          <w:rFonts w:ascii="Segoe UI Semibold" w:hAnsi="Segoe UI Semibold" w:cs="Segoe UI Semibold" w:eastAsia="Segoe UI Semibold"/>
          <w:b/>
          <w:bCs/>
          <w:color w:val="00779B"/>
          <w:spacing w:val="24"/>
        </w:rPr>
        <w:t> </w:t>
      </w:r>
      <w:r>
        <w:rPr>
          <w:rFonts w:ascii="Segoe UI Semibold" w:hAnsi="Segoe UI Semibold" w:cs="Segoe UI Semibold" w:eastAsia="Segoe UI Semibold"/>
          <w:b/>
          <w:bCs/>
          <w:color w:val="00779B"/>
        </w:rPr>
        <w:t>for</w:t>
      </w:r>
      <w:r>
        <w:rPr>
          <w:rFonts w:ascii="Segoe UI Semibold" w:hAnsi="Segoe UI Semibold" w:cs="Segoe UI Semibold" w:eastAsia="Segoe UI Semibold"/>
          <w:b/>
          <w:bCs/>
          <w:color w:val="00779B"/>
          <w:spacing w:val="-1"/>
        </w:rPr>
        <w:t> seven </w:t>
      </w:r>
      <w:r>
        <w:rPr>
          <w:rFonts w:ascii="Segoe UI Semibold" w:hAnsi="Segoe UI Semibold" w:cs="Segoe UI Semibold" w:eastAsia="Segoe UI Semibold"/>
          <w:b/>
          <w:bCs/>
          <w:color w:val="00779B"/>
        </w:rPr>
        <w:t>hours. They</w:t>
      </w:r>
      <w:r>
        <w:rPr>
          <w:rFonts w:ascii="Segoe UI Semibold" w:hAnsi="Segoe UI Semibold" w:cs="Segoe UI Semibold" w:eastAsia="Segoe UI Semibold"/>
          <w:b/>
          <w:bCs/>
          <w:color w:val="00779B"/>
          <w:spacing w:val="-1"/>
        </w:rPr>
        <w:t> are with</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the</w:t>
      </w:r>
      <w:r>
        <w:rPr>
          <w:rFonts w:ascii="Segoe UI Semibold" w:hAnsi="Segoe UI Semibold" w:cs="Segoe UI Semibold" w:eastAsia="Segoe UI Semibold"/>
          <w:b/>
          <w:bCs/>
          <w:color w:val="00779B"/>
          <w:spacing w:val="22"/>
        </w:rPr>
        <w:t> </w:t>
      </w:r>
      <w:r>
        <w:rPr>
          <w:rFonts w:ascii="Segoe UI Semibold" w:hAnsi="Segoe UI Semibold" w:cs="Segoe UI Semibold" w:eastAsia="Segoe UI Semibold"/>
          <w:b/>
          <w:bCs/>
          <w:color w:val="00779B"/>
          <w:spacing w:val="-1"/>
        </w:rPr>
        <w:t>boarding</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rPr>
        <w:t>house</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rPr>
        <w:t>for</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the</w:t>
      </w:r>
      <w:r>
        <w:rPr>
          <w:rFonts w:ascii="Segoe UI Semibold" w:hAnsi="Segoe UI Semibold" w:cs="Segoe UI Semibold" w:eastAsia="Segoe UI Semibold"/>
          <w:b/>
          <w:bCs/>
          <w:color w:val="00779B"/>
          <w:spacing w:val="-2"/>
        </w:rPr>
        <w:t> remaining</w:t>
      </w:r>
      <w:r>
        <w:rPr>
          <w:rFonts w:ascii="Segoe UI Semibold" w:hAnsi="Segoe UI Semibold" w:cs="Segoe UI Semibold" w:eastAsia="Segoe UI Semibold"/>
        </w:rPr>
      </w:r>
    </w:p>
    <w:p>
      <w:pPr>
        <w:pStyle w:val="BodyText"/>
        <w:spacing w:line="250" w:lineRule="exact"/>
        <w:ind w:left="570" w:right="462" w:hanging="1"/>
        <w:jc w:val="left"/>
        <w:rPr>
          <w:rFonts w:ascii="Segoe UI Semibold" w:hAnsi="Segoe UI Semibold" w:cs="Segoe UI Semibold" w:eastAsia="Segoe UI Semibold"/>
          <w:sz w:val="11"/>
          <w:szCs w:val="11"/>
        </w:rPr>
      </w:pPr>
      <w:r>
        <w:rPr>
          <w:rFonts w:ascii="Segoe UI Semibold" w:hAnsi="Segoe UI Semibold" w:cs="Segoe UI Semibold" w:eastAsia="Segoe UI Semibold"/>
          <w:b/>
          <w:bCs/>
          <w:color w:val="00779B"/>
          <w:spacing w:val="-1"/>
        </w:rPr>
        <w:t>17</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rPr>
        <w:t>hours</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per</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day</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plus</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2"/>
        </w:rPr>
        <w:t>weekends.</w:t>
      </w:r>
      <w:r>
        <w:rPr>
          <w:rFonts w:ascii="Segoe UI Semibold" w:hAnsi="Segoe UI Semibold" w:cs="Segoe UI Semibold" w:eastAsia="Segoe UI Semibold"/>
          <w:b/>
          <w:bCs/>
          <w:color w:val="00779B"/>
          <w:spacing w:val="28"/>
        </w:rPr>
        <w:t> </w:t>
      </w:r>
      <w:r>
        <w:rPr>
          <w:rFonts w:ascii="Segoe UI Semibold" w:hAnsi="Segoe UI Semibold" w:cs="Segoe UI Semibold" w:eastAsia="Segoe UI Semibold"/>
          <w:b/>
          <w:bCs/>
          <w:color w:val="00779B"/>
        </w:rPr>
        <w:t>Their</w:t>
      </w:r>
      <w:r>
        <w:rPr>
          <w:rFonts w:ascii="Segoe UI Semibold" w:hAnsi="Segoe UI Semibold" w:cs="Segoe UI Semibold" w:eastAsia="Segoe UI Semibold"/>
          <w:b/>
          <w:bCs/>
          <w:color w:val="00779B"/>
          <w:spacing w:val="-1"/>
        </w:rPr>
        <w:t> needs</w:t>
      </w:r>
      <w:r>
        <w:rPr>
          <w:rFonts w:ascii="Segoe UI Semibold" w:hAnsi="Segoe UI Semibold" w:cs="Segoe UI Semibold" w:eastAsia="Segoe UI Semibold"/>
          <w:b/>
          <w:bCs/>
          <w:color w:val="00779B"/>
        </w:rPr>
        <w:t> don’t</w:t>
      </w:r>
      <w:r>
        <w:rPr>
          <w:rFonts w:ascii="Segoe UI Semibold" w:hAnsi="Segoe UI Semibold" w:cs="Segoe UI Semibold" w:eastAsia="Segoe UI Semibold"/>
          <w:b/>
          <w:bCs/>
          <w:color w:val="00779B"/>
          <w:spacing w:val="-1"/>
        </w:rPr>
        <w:t> change</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when</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they</w:t>
      </w:r>
      <w:r>
        <w:rPr>
          <w:rFonts w:ascii="Segoe UI Semibold" w:hAnsi="Segoe UI Semibold" w:cs="Segoe UI Semibold" w:eastAsia="Segoe UI Semibold"/>
          <w:b/>
          <w:bCs/>
          <w:color w:val="00779B"/>
          <w:spacing w:val="23"/>
        </w:rPr>
        <w:t> </w:t>
      </w:r>
      <w:r>
        <w:rPr>
          <w:rFonts w:ascii="Segoe UI Semibold" w:hAnsi="Segoe UI Semibold" w:cs="Segoe UI Semibold" w:eastAsia="Segoe UI Semibold"/>
          <w:b/>
          <w:bCs/>
          <w:color w:val="00779B"/>
          <w:spacing w:val="-1"/>
        </w:rPr>
        <w:t>walk</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from</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the</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school</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to</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the boarding</w:t>
      </w:r>
      <w:r>
        <w:rPr>
          <w:rFonts w:ascii="Segoe UI Semibold" w:hAnsi="Segoe UI Semibold" w:cs="Segoe UI Semibold" w:eastAsia="Segoe UI Semibold"/>
          <w:b/>
          <w:bCs/>
          <w:color w:val="00779B"/>
          <w:spacing w:val="30"/>
          <w:w w:val="99"/>
        </w:rPr>
        <w:t> </w:t>
      </w:r>
      <w:r>
        <w:rPr>
          <w:rFonts w:ascii="Segoe UI Semibold" w:hAnsi="Segoe UI Semibold" w:cs="Segoe UI Semibold" w:eastAsia="Segoe UI Semibold"/>
          <w:b/>
          <w:bCs/>
          <w:color w:val="00779B"/>
          <w:spacing w:val="-1"/>
        </w:rPr>
        <w:t>house.</w:t>
      </w:r>
      <w:r>
        <w:rPr>
          <w:rFonts w:ascii="Segoe UI Semibold" w:hAnsi="Segoe UI Semibold" w:cs="Segoe UI Semibold" w:eastAsia="Segoe UI Semibold"/>
          <w:b/>
          <w:bCs/>
          <w:color w:val="00779B"/>
          <w:spacing w:val="-1"/>
          <w:position w:val="7"/>
          <w:sz w:val="11"/>
          <w:szCs w:val="11"/>
        </w:rPr>
        <w:t>95</w:t>
      </w:r>
      <w:r>
        <w:rPr>
          <w:rFonts w:ascii="Segoe UI Semibold" w:hAnsi="Segoe UI Semibold" w:cs="Segoe UI Semibold" w:eastAsia="Segoe UI Semibold"/>
          <w:sz w:val="11"/>
          <w:szCs w:val="11"/>
        </w:rPr>
      </w:r>
    </w:p>
    <w:p>
      <w:pPr>
        <w:spacing w:after="0" w:line="250" w:lineRule="exact"/>
        <w:jc w:val="left"/>
        <w:rPr>
          <w:rFonts w:ascii="Segoe UI Semibold" w:hAnsi="Segoe UI Semibold" w:cs="Segoe UI Semibold" w:eastAsia="Segoe UI Semibold"/>
          <w:sz w:val="11"/>
          <w:szCs w:val="11"/>
        </w:rPr>
        <w:sectPr>
          <w:type w:val="continuous"/>
          <w:pgSz w:w="11910" w:h="16840"/>
          <w:pgMar w:top="1580" w:bottom="280" w:left="1300" w:right="1620"/>
          <w:cols w:num="2" w:equalWidth="0">
            <w:col w:w="4350" w:space="242"/>
            <w:col w:w="4398"/>
          </w:cols>
        </w:sectPr>
      </w:pPr>
    </w:p>
    <w:p>
      <w:pPr>
        <w:spacing w:line="240" w:lineRule="auto" w:before="0"/>
        <w:rPr>
          <w:rFonts w:ascii="Segoe UI Semibold" w:hAnsi="Segoe UI Semibold" w:cs="Segoe UI Semibold" w:eastAsia="Segoe UI Semibold"/>
          <w:b/>
          <w:bCs/>
          <w:sz w:val="20"/>
          <w:szCs w:val="20"/>
        </w:rPr>
      </w:pPr>
    </w:p>
    <w:p>
      <w:pPr>
        <w:spacing w:line="240" w:lineRule="auto" w:before="8"/>
        <w:rPr>
          <w:rFonts w:ascii="Segoe UI Semibold" w:hAnsi="Segoe UI Semibold" w:cs="Segoe UI Semibold" w:eastAsia="Segoe UI Semibold"/>
          <w:b/>
          <w:bCs/>
          <w:sz w:val="21"/>
          <w:szCs w:val="21"/>
        </w:rPr>
      </w:pPr>
    </w:p>
    <w:p>
      <w:pPr>
        <w:spacing w:after="0" w:line="240" w:lineRule="auto"/>
        <w:rPr>
          <w:rFonts w:ascii="Segoe UI Semibold" w:hAnsi="Segoe UI Semibold" w:cs="Segoe UI Semibold" w:eastAsia="Segoe UI Semibold"/>
          <w:sz w:val="21"/>
          <w:szCs w:val="21"/>
        </w:rPr>
        <w:sectPr>
          <w:pgSz w:w="11910" w:h="16840"/>
          <w:pgMar w:header="0" w:footer="691" w:top="1580" w:bottom="880" w:left="1600" w:right="1260"/>
        </w:sectPr>
      </w:pPr>
    </w:p>
    <w:p>
      <w:pPr>
        <w:pStyle w:val="BodyText"/>
        <w:spacing w:line="250" w:lineRule="exact" w:before="62"/>
        <w:ind w:left="327" w:right="219" w:hanging="227"/>
        <w:jc w:val="left"/>
      </w:pPr>
      <w:r>
        <w:rPr>
          <w:rFonts w:ascii="Century Gothic" w:hAnsi="Century Gothic"/>
          <w:color w:val="231F20"/>
        </w:rPr>
        <w:t>» </w:t>
      </w:r>
      <w:r>
        <w:rPr>
          <w:rFonts w:ascii="Century Gothic" w:hAnsi="Century Gothic"/>
          <w:color w:val="231F20"/>
          <w:spacing w:val="26"/>
        </w:rPr>
        <w:t> </w:t>
      </w:r>
      <w:r>
        <w:rPr>
          <w:color w:val="231F20"/>
          <w:spacing w:val="-1"/>
        </w:rPr>
        <w:t>simplify</w:t>
      </w:r>
      <w:r>
        <w:rPr>
          <w:color w:val="231F20"/>
          <w:spacing w:val="-2"/>
        </w:rPr>
        <w:t> </w:t>
      </w:r>
      <w:r>
        <w:rPr>
          <w:color w:val="231F20"/>
        </w:rPr>
        <w:t>the</w:t>
      </w:r>
      <w:r>
        <w:rPr>
          <w:color w:val="231F20"/>
          <w:spacing w:val="-2"/>
        </w:rPr>
        <w:t> </w:t>
      </w:r>
      <w:r>
        <w:rPr>
          <w:color w:val="231F20"/>
        </w:rPr>
        <w:t>administration</w:t>
      </w:r>
      <w:r>
        <w:rPr>
          <w:color w:val="231F20"/>
          <w:spacing w:val="-4"/>
        </w:rPr>
        <w:t> </w:t>
      </w:r>
      <w:r>
        <w:rPr>
          <w:color w:val="231F20"/>
        </w:rPr>
        <w:t>of</w:t>
      </w:r>
      <w:r>
        <w:rPr>
          <w:color w:val="231F20"/>
          <w:spacing w:val="-2"/>
        </w:rPr>
        <w:t> </w:t>
      </w:r>
      <w:r>
        <w:rPr>
          <w:color w:val="231F20"/>
        </w:rPr>
        <w:t>ABSTUDY</w:t>
      </w:r>
      <w:r>
        <w:rPr>
          <w:rFonts w:ascii="Segoe UI Semibold" w:hAnsi="Segoe UI Semibold"/>
          <w:b/>
          <w:color w:val="231F20"/>
          <w:position w:val="7"/>
          <w:sz w:val="11"/>
        </w:rPr>
        <w:t>96</w:t>
      </w:r>
      <w:r>
        <w:rPr>
          <w:rFonts w:ascii="Segoe UI Semibold" w:hAnsi="Segoe UI Semibold"/>
          <w:b/>
          <w:color w:val="231F20"/>
          <w:spacing w:val="22"/>
          <w:w w:val="106"/>
          <w:position w:val="7"/>
          <w:sz w:val="11"/>
        </w:rPr>
        <w:t> </w:t>
      </w:r>
      <w:r>
        <w:rPr>
          <w:color w:val="231F20"/>
        </w:rPr>
        <w:t>and</w:t>
      </w:r>
      <w:r>
        <w:rPr>
          <w:color w:val="231F20"/>
          <w:spacing w:val="-5"/>
        </w:rPr>
        <w:t> </w:t>
      </w:r>
      <w:r>
        <w:rPr>
          <w:color w:val="231F20"/>
          <w:spacing w:val="-1"/>
        </w:rPr>
        <w:t>improve</w:t>
      </w:r>
      <w:r>
        <w:rPr>
          <w:color w:val="231F20"/>
          <w:spacing w:val="-4"/>
        </w:rPr>
        <w:t> </w:t>
      </w:r>
      <w:r>
        <w:rPr>
          <w:color w:val="231F20"/>
        </w:rPr>
        <w:t>the</w:t>
      </w:r>
      <w:r>
        <w:rPr>
          <w:color w:val="231F20"/>
          <w:spacing w:val="-4"/>
        </w:rPr>
        <w:t> </w:t>
      </w:r>
      <w:r>
        <w:rPr>
          <w:color w:val="231F20"/>
        </w:rPr>
        <w:t>consistency</w:t>
      </w:r>
      <w:r>
        <w:rPr>
          <w:color w:val="231F20"/>
          <w:spacing w:val="-5"/>
        </w:rPr>
        <w:t> </w:t>
      </w:r>
      <w:r>
        <w:rPr>
          <w:color w:val="231F20"/>
        </w:rPr>
        <w:t>of</w:t>
      </w:r>
      <w:r>
        <w:rPr>
          <w:color w:val="231F20"/>
          <w:spacing w:val="-4"/>
        </w:rPr>
        <w:t> </w:t>
      </w:r>
      <w:r>
        <w:rPr>
          <w:color w:val="231F20"/>
        </w:rPr>
        <w:t>the</w:t>
      </w:r>
      <w:r>
        <w:rPr>
          <w:color w:val="231F20"/>
          <w:spacing w:val="22"/>
          <w:w w:val="99"/>
        </w:rPr>
        <w:t> </w:t>
      </w:r>
      <w:r>
        <w:rPr>
          <w:color w:val="231F20"/>
        </w:rPr>
        <w:t>application</w:t>
      </w:r>
      <w:r>
        <w:rPr>
          <w:color w:val="231F20"/>
          <w:spacing w:val="-6"/>
        </w:rPr>
        <w:t> </w:t>
      </w:r>
      <w:r>
        <w:rPr>
          <w:color w:val="231F20"/>
        </w:rPr>
        <w:t>of</w:t>
      </w:r>
      <w:r>
        <w:rPr>
          <w:color w:val="231F20"/>
          <w:spacing w:val="-4"/>
        </w:rPr>
        <w:t> </w:t>
      </w:r>
      <w:r>
        <w:rPr>
          <w:color w:val="231F20"/>
        </w:rPr>
        <w:t>the</w:t>
      </w:r>
      <w:r>
        <w:rPr>
          <w:color w:val="231F20"/>
          <w:spacing w:val="-5"/>
        </w:rPr>
        <w:t> </w:t>
      </w:r>
      <w:r>
        <w:rPr>
          <w:color w:val="231F20"/>
        </w:rPr>
        <w:t>ABSTUDY</w:t>
      </w:r>
      <w:r>
        <w:rPr>
          <w:color w:val="231F20"/>
          <w:spacing w:val="-5"/>
        </w:rPr>
        <w:t> </w:t>
      </w:r>
      <w:r>
        <w:rPr>
          <w:color w:val="231F20"/>
        </w:rPr>
        <w:t>policy</w:t>
      </w:r>
      <w:r>
        <w:rPr>
          <w:color w:val="231F20"/>
          <w:spacing w:val="-5"/>
        </w:rPr>
        <w:t> </w:t>
      </w:r>
      <w:r>
        <w:rPr>
          <w:color w:val="231F20"/>
          <w:spacing w:val="-1"/>
        </w:rPr>
        <w:t>manual</w:t>
      </w:r>
      <w:r>
        <w:rPr/>
      </w:r>
    </w:p>
    <w:p>
      <w:pPr>
        <w:pStyle w:val="BodyText"/>
        <w:spacing w:line="250" w:lineRule="exact" w:before="113"/>
        <w:ind w:left="327" w:right="33" w:hanging="227"/>
        <w:jc w:val="left"/>
      </w:pPr>
      <w:r>
        <w:rPr>
          <w:rFonts w:ascii="Century Gothic" w:hAnsi="Century Gothic"/>
          <w:color w:val="231F20"/>
        </w:rPr>
        <w:t>» </w:t>
      </w:r>
      <w:r>
        <w:rPr>
          <w:rFonts w:ascii="Century Gothic" w:hAnsi="Century Gothic"/>
          <w:color w:val="231F20"/>
          <w:spacing w:val="22"/>
        </w:rPr>
        <w:t> </w:t>
      </w:r>
      <w:r>
        <w:rPr>
          <w:color w:val="231F20"/>
        </w:rPr>
        <w:t>reduce</w:t>
      </w:r>
      <w:r>
        <w:rPr>
          <w:color w:val="231F20"/>
          <w:spacing w:val="-5"/>
        </w:rPr>
        <w:t> </w:t>
      </w:r>
      <w:r>
        <w:rPr>
          <w:color w:val="231F20"/>
          <w:spacing w:val="-1"/>
        </w:rPr>
        <w:t>long</w:t>
      </w:r>
      <w:r>
        <w:rPr>
          <w:color w:val="231F20"/>
          <w:spacing w:val="-4"/>
        </w:rPr>
        <w:t> </w:t>
      </w:r>
      <w:r>
        <w:rPr>
          <w:color w:val="231F20"/>
        </w:rPr>
        <w:t>waiting</w:t>
      </w:r>
      <w:r>
        <w:rPr>
          <w:color w:val="231F20"/>
          <w:spacing w:val="-4"/>
        </w:rPr>
        <w:t> </w:t>
      </w:r>
      <w:r>
        <w:rPr>
          <w:color w:val="231F20"/>
        </w:rPr>
        <w:t>times</w:t>
      </w:r>
      <w:r>
        <w:rPr>
          <w:color w:val="231F20"/>
          <w:spacing w:val="-5"/>
        </w:rPr>
        <w:t> </w:t>
      </w:r>
      <w:r>
        <w:rPr>
          <w:color w:val="231F20"/>
        </w:rPr>
        <w:t>for</w:t>
      </w:r>
      <w:r>
        <w:rPr>
          <w:color w:val="231F20"/>
          <w:spacing w:val="-3"/>
        </w:rPr>
        <w:t> </w:t>
      </w:r>
      <w:r>
        <w:rPr>
          <w:color w:val="231F20"/>
        </w:rPr>
        <w:t>contact</w:t>
      </w:r>
      <w:r>
        <w:rPr>
          <w:color w:val="231F20"/>
          <w:spacing w:val="-5"/>
        </w:rPr>
        <w:t> </w:t>
      </w:r>
      <w:r>
        <w:rPr>
          <w:color w:val="231F20"/>
        </w:rPr>
        <w:t>with</w:t>
      </w:r>
      <w:r>
        <w:rPr>
          <w:color w:val="231F20"/>
          <w:spacing w:val="21"/>
          <w:w w:val="99"/>
        </w:rPr>
        <w:t> </w:t>
      </w:r>
      <w:r>
        <w:rPr>
          <w:color w:val="231F20"/>
        </w:rPr>
        <w:t>the</w:t>
      </w:r>
      <w:r>
        <w:rPr>
          <w:color w:val="231F20"/>
          <w:spacing w:val="-5"/>
        </w:rPr>
        <w:t> </w:t>
      </w:r>
      <w:r>
        <w:rPr>
          <w:color w:val="231F20"/>
        </w:rPr>
        <w:t>call</w:t>
      </w:r>
      <w:r>
        <w:rPr>
          <w:color w:val="231F20"/>
          <w:spacing w:val="-4"/>
        </w:rPr>
        <w:t> </w:t>
      </w:r>
      <w:r>
        <w:rPr>
          <w:color w:val="231F20"/>
        </w:rPr>
        <w:t>centre</w:t>
      </w:r>
      <w:r>
        <w:rPr>
          <w:color w:val="231F20"/>
          <w:spacing w:val="-4"/>
        </w:rPr>
        <w:t> </w:t>
      </w:r>
      <w:r>
        <w:rPr>
          <w:color w:val="231F20"/>
        </w:rPr>
        <w:t>and</w:t>
      </w:r>
      <w:r>
        <w:rPr>
          <w:color w:val="231F20"/>
          <w:spacing w:val="-5"/>
        </w:rPr>
        <w:t> </w:t>
      </w:r>
      <w:r>
        <w:rPr>
          <w:color w:val="231F20"/>
        </w:rPr>
        <w:t>responses</w:t>
      </w:r>
      <w:r>
        <w:rPr>
          <w:color w:val="231F20"/>
          <w:spacing w:val="-5"/>
        </w:rPr>
        <w:t> </w:t>
      </w:r>
      <w:r>
        <w:rPr>
          <w:color w:val="231F20"/>
        </w:rPr>
        <w:t>to</w:t>
      </w:r>
      <w:r>
        <w:rPr>
          <w:color w:val="231F20"/>
          <w:spacing w:val="-3"/>
        </w:rPr>
        <w:t> </w:t>
      </w:r>
      <w:r>
        <w:rPr>
          <w:color w:val="231F20"/>
        </w:rPr>
        <w:t>queries</w:t>
      </w:r>
      <w:r>
        <w:rPr/>
      </w:r>
    </w:p>
    <w:p>
      <w:pPr>
        <w:pStyle w:val="BodyText"/>
        <w:spacing w:line="250" w:lineRule="exact" w:before="113"/>
        <w:ind w:left="327" w:right="85" w:hanging="227"/>
        <w:jc w:val="left"/>
      </w:pPr>
      <w:r>
        <w:rPr>
          <w:rFonts w:ascii="Century Gothic" w:hAnsi="Century Gothic"/>
          <w:color w:val="231F20"/>
        </w:rPr>
        <w:t>» </w:t>
      </w:r>
      <w:r>
        <w:rPr>
          <w:rFonts w:ascii="Century Gothic" w:hAnsi="Century Gothic"/>
          <w:color w:val="231F20"/>
          <w:spacing w:val="25"/>
        </w:rPr>
        <w:t> </w:t>
      </w:r>
      <w:r>
        <w:rPr>
          <w:color w:val="231F20"/>
          <w:spacing w:val="-1"/>
        </w:rPr>
        <w:t>improve</w:t>
      </w:r>
      <w:r>
        <w:rPr>
          <w:color w:val="231F20"/>
          <w:spacing w:val="-2"/>
        </w:rPr>
        <w:t> </w:t>
      </w:r>
      <w:r>
        <w:rPr>
          <w:color w:val="231F20"/>
        </w:rPr>
        <w:t>communication</w:t>
      </w:r>
      <w:r>
        <w:rPr>
          <w:color w:val="231F20"/>
          <w:spacing w:val="-4"/>
        </w:rPr>
        <w:t> </w:t>
      </w:r>
      <w:r>
        <w:rPr>
          <w:color w:val="231F20"/>
        </w:rPr>
        <w:t>with</w:t>
      </w:r>
      <w:r>
        <w:rPr>
          <w:color w:val="231F20"/>
          <w:spacing w:val="-3"/>
        </w:rPr>
        <w:t> </w:t>
      </w:r>
      <w:r>
        <w:rPr>
          <w:color w:val="231F20"/>
        </w:rPr>
        <w:t>ABSTUDY,</w:t>
      </w:r>
      <w:r>
        <w:rPr>
          <w:color w:val="231F20"/>
          <w:spacing w:val="22"/>
        </w:rPr>
        <w:t> </w:t>
      </w:r>
      <w:r>
        <w:rPr>
          <w:color w:val="231F20"/>
          <w:spacing w:val="-1"/>
        </w:rPr>
        <w:t>including</w:t>
      </w:r>
      <w:r>
        <w:rPr>
          <w:color w:val="231F20"/>
          <w:spacing w:val="-9"/>
        </w:rPr>
        <w:t> </w:t>
      </w:r>
      <w:r>
        <w:rPr>
          <w:color w:val="231F20"/>
        </w:rPr>
        <w:t>the</w:t>
      </w:r>
      <w:r>
        <w:rPr>
          <w:color w:val="231F20"/>
          <w:spacing w:val="-10"/>
        </w:rPr>
        <w:t> </w:t>
      </w:r>
      <w:r>
        <w:rPr>
          <w:color w:val="231F20"/>
        </w:rPr>
        <w:t>re-introduction</w:t>
      </w:r>
      <w:r>
        <w:rPr>
          <w:color w:val="231F20"/>
          <w:spacing w:val="-11"/>
        </w:rPr>
        <w:t> </w:t>
      </w:r>
      <w:r>
        <w:rPr>
          <w:color w:val="231F20"/>
        </w:rPr>
        <w:t>of</w:t>
      </w:r>
      <w:r>
        <w:rPr>
          <w:color w:val="231F20"/>
          <w:spacing w:val="-8"/>
        </w:rPr>
        <w:t> </w:t>
      </w:r>
      <w:r>
        <w:rPr>
          <w:color w:val="231F20"/>
        </w:rPr>
        <w:t>dedicated</w:t>
      </w:r>
      <w:r>
        <w:rPr>
          <w:color w:val="231F20"/>
          <w:spacing w:val="22"/>
          <w:w w:val="99"/>
        </w:rPr>
        <w:t> </w:t>
      </w:r>
      <w:r>
        <w:rPr>
          <w:rFonts w:ascii="Segoe UI" w:hAnsi="Segoe UI"/>
          <w:color w:val="231F20"/>
        </w:rPr>
        <w:t>staff</w:t>
      </w:r>
      <w:r>
        <w:rPr>
          <w:rFonts w:ascii="Segoe UI" w:hAnsi="Segoe UI"/>
          <w:color w:val="231F20"/>
          <w:spacing w:val="-1"/>
        </w:rPr>
        <w:t> </w:t>
      </w:r>
      <w:r>
        <w:rPr>
          <w:rFonts w:ascii="Segoe UI" w:hAnsi="Segoe UI"/>
          <w:color w:val="231F20"/>
        </w:rPr>
        <w:t>with</w:t>
      </w:r>
      <w:r>
        <w:rPr>
          <w:rFonts w:ascii="Segoe UI" w:hAnsi="Segoe UI"/>
          <w:color w:val="231F20"/>
          <w:spacing w:val="-1"/>
        </w:rPr>
        <w:t> </w:t>
      </w:r>
      <w:r>
        <w:rPr>
          <w:rFonts w:ascii="Segoe UI" w:hAnsi="Segoe UI"/>
          <w:color w:val="231F20"/>
        </w:rPr>
        <w:t>responsibility</w:t>
      </w:r>
      <w:r>
        <w:rPr>
          <w:rFonts w:ascii="Segoe UI" w:hAnsi="Segoe UI"/>
          <w:color w:val="231F20"/>
          <w:spacing w:val="-1"/>
        </w:rPr>
        <w:t> </w:t>
      </w:r>
      <w:r>
        <w:rPr>
          <w:rFonts w:ascii="Segoe UI" w:hAnsi="Segoe UI"/>
          <w:color w:val="231F20"/>
        </w:rPr>
        <w:t>for</w:t>
      </w:r>
      <w:r>
        <w:rPr>
          <w:rFonts w:ascii="Segoe UI" w:hAnsi="Segoe UI"/>
          <w:color w:val="231F20"/>
          <w:spacing w:val="-1"/>
        </w:rPr>
        <w:t> </w:t>
      </w:r>
      <w:r>
        <w:rPr>
          <w:rFonts w:ascii="Segoe UI" w:hAnsi="Segoe UI"/>
          <w:color w:val="231F20"/>
        </w:rPr>
        <w:t>certain boarding</w:t>
      </w:r>
      <w:r>
        <w:rPr>
          <w:rFonts w:ascii="Segoe UI" w:hAnsi="Segoe UI"/>
          <w:color w:val="231F20"/>
        </w:rPr>
        <w:t> </w:t>
      </w:r>
      <w:r>
        <w:rPr>
          <w:color w:val="231F20"/>
        </w:rPr>
        <w:t>providers</w:t>
      </w:r>
      <w:r>
        <w:rPr>
          <w:color w:val="231F20"/>
          <w:spacing w:val="-7"/>
        </w:rPr>
        <w:t> </w:t>
      </w:r>
      <w:r>
        <w:rPr>
          <w:color w:val="231F20"/>
        </w:rPr>
        <w:t>that</w:t>
      </w:r>
      <w:r>
        <w:rPr>
          <w:color w:val="231F20"/>
          <w:spacing w:val="-7"/>
        </w:rPr>
        <w:t> </w:t>
      </w:r>
      <w:r>
        <w:rPr>
          <w:color w:val="231F20"/>
        </w:rPr>
        <w:t>can</w:t>
      </w:r>
      <w:r>
        <w:rPr>
          <w:color w:val="231F20"/>
          <w:spacing w:val="-6"/>
        </w:rPr>
        <w:t> </w:t>
      </w:r>
      <w:r>
        <w:rPr>
          <w:color w:val="231F20"/>
        </w:rPr>
        <w:t>be</w:t>
      </w:r>
      <w:r>
        <w:rPr>
          <w:color w:val="231F20"/>
          <w:spacing w:val="-5"/>
        </w:rPr>
        <w:t> </w:t>
      </w:r>
      <w:r>
        <w:rPr>
          <w:color w:val="231F20"/>
        </w:rPr>
        <w:t>contacted</w:t>
      </w:r>
      <w:r>
        <w:rPr>
          <w:color w:val="231F20"/>
          <w:spacing w:val="-7"/>
        </w:rPr>
        <w:t> </w:t>
      </w:r>
      <w:r>
        <w:rPr>
          <w:color w:val="231F20"/>
        </w:rPr>
        <w:t>directly</w:t>
      </w:r>
      <w:r>
        <w:rPr>
          <w:color w:val="231F20"/>
          <w:spacing w:val="-7"/>
        </w:rPr>
        <w:t> </w:t>
      </w:r>
      <w:r>
        <w:rPr>
          <w:color w:val="231F20"/>
        </w:rPr>
        <w:t>by</w:t>
      </w:r>
      <w:r>
        <w:rPr>
          <w:color w:val="231F20"/>
          <w:w w:val="99"/>
        </w:rPr>
        <w:t> </w:t>
      </w:r>
      <w:r>
        <w:rPr>
          <w:color w:val="231F20"/>
        </w:rPr>
        <w:t>boarding</w:t>
      </w:r>
      <w:r>
        <w:rPr>
          <w:color w:val="231F20"/>
          <w:spacing w:val="-6"/>
        </w:rPr>
        <w:t> </w:t>
      </w:r>
      <w:r>
        <w:rPr>
          <w:color w:val="231F20"/>
        </w:rPr>
        <w:t>providers</w:t>
      </w:r>
      <w:r>
        <w:rPr>
          <w:color w:val="231F20"/>
          <w:spacing w:val="-6"/>
        </w:rPr>
        <w:t> </w:t>
      </w:r>
      <w:r>
        <w:rPr>
          <w:color w:val="231F20"/>
        </w:rPr>
        <w:t>as</w:t>
      </w:r>
      <w:r>
        <w:rPr>
          <w:color w:val="231F20"/>
          <w:spacing w:val="-6"/>
        </w:rPr>
        <w:t> </w:t>
      </w:r>
      <w:r>
        <w:rPr>
          <w:color w:val="231F20"/>
        </w:rPr>
        <w:t>well</w:t>
      </w:r>
      <w:r>
        <w:rPr>
          <w:color w:val="231F20"/>
          <w:spacing w:val="-6"/>
        </w:rPr>
        <w:t> </w:t>
      </w:r>
      <w:r>
        <w:rPr>
          <w:color w:val="231F20"/>
        </w:rPr>
        <w:t>as</w:t>
      </w:r>
      <w:r>
        <w:rPr>
          <w:color w:val="231F20"/>
          <w:spacing w:val="-6"/>
        </w:rPr>
        <w:t> </w:t>
      </w:r>
      <w:r>
        <w:rPr>
          <w:color w:val="231F20"/>
        </w:rPr>
        <w:t>the</w:t>
      </w:r>
      <w:r>
        <w:rPr>
          <w:color w:val="231F20"/>
          <w:spacing w:val="-6"/>
        </w:rPr>
        <w:t> </w:t>
      </w:r>
      <w:r>
        <w:rPr>
          <w:color w:val="231F20"/>
        </w:rPr>
        <w:t>parents</w:t>
      </w:r>
      <w:r>
        <w:rPr>
          <w:color w:val="231F20"/>
          <w:w w:val="99"/>
        </w:rPr>
        <w:t> </w:t>
      </w:r>
      <w:r>
        <w:rPr>
          <w:color w:val="231F20"/>
        </w:rPr>
        <w:t>and</w:t>
      </w:r>
      <w:r>
        <w:rPr>
          <w:color w:val="231F20"/>
          <w:spacing w:val="-6"/>
        </w:rPr>
        <w:t> </w:t>
      </w:r>
      <w:r>
        <w:rPr>
          <w:color w:val="231F20"/>
        </w:rPr>
        <w:t>carers</w:t>
      </w:r>
      <w:r>
        <w:rPr>
          <w:color w:val="231F20"/>
          <w:spacing w:val="-6"/>
        </w:rPr>
        <w:t> </w:t>
      </w:r>
      <w:r>
        <w:rPr>
          <w:color w:val="231F20"/>
        </w:rPr>
        <w:t>of</w:t>
      </w:r>
      <w:r>
        <w:rPr>
          <w:color w:val="231F20"/>
          <w:spacing w:val="-5"/>
        </w:rPr>
        <w:t> </w:t>
      </w:r>
      <w:r>
        <w:rPr>
          <w:color w:val="231F20"/>
          <w:spacing w:val="-1"/>
        </w:rPr>
        <w:t>students</w:t>
      </w:r>
      <w:r>
        <w:rPr>
          <w:color w:val="231F20"/>
          <w:spacing w:val="-5"/>
        </w:rPr>
        <w:t> </w:t>
      </w:r>
      <w:r>
        <w:rPr>
          <w:color w:val="231F20"/>
        </w:rPr>
        <w:t>attending</w:t>
      </w:r>
      <w:r>
        <w:rPr>
          <w:color w:val="231F20"/>
          <w:spacing w:val="-5"/>
        </w:rPr>
        <w:t> </w:t>
      </w:r>
      <w:r>
        <w:rPr>
          <w:color w:val="231F20"/>
        </w:rPr>
        <w:t>those</w:t>
      </w:r>
      <w:r>
        <w:rPr>
          <w:color w:val="231F20"/>
          <w:spacing w:val="22"/>
          <w:w w:val="99"/>
        </w:rPr>
        <w:t> </w:t>
      </w:r>
      <w:r>
        <w:rPr>
          <w:color w:val="231F20"/>
        </w:rPr>
        <w:t>boarding</w:t>
      </w:r>
      <w:r>
        <w:rPr>
          <w:color w:val="231F20"/>
          <w:spacing w:val="-18"/>
        </w:rPr>
        <w:t> </w:t>
      </w:r>
      <w:r>
        <w:rPr>
          <w:color w:val="231F20"/>
        </w:rPr>
        <w:t>providers</w:t>
      </w:r>
      <w:r>
        <w:rPr/>
      </w:r>
    </w:p>
    <w:p>
      <w:pPr>
        <w:pStyle w:val="BodyText"/>
        <w:spacing w:line="250" w:lineRule="exact" w:before="113"/>
        <w:ind w:left="327" w:right="114" w:hanging="227"/>
        <w:jc w:val="left"/>
      </w:pPr>
      <w:r>
        <w:rPr>
          <w:rFonts w:ascii="Century Gothic" w:hAnsi="Century Gothic"/>
          <w:color w:val="231F20"/>
        </w:rPr>
        <w:t>» </w:t>
      </w:r>
      <w:r>
        <w:rPr>
          <w:rFonts w:ascii="Century Gothic" w:hAnsi="Century Gothic"/>
          <w:color w:val="231F20"/>
          <w:spacing w:val="24"/>
        </w:rPr>
        <w:t> </w:t>
      </w:r>
      <w:r>
        <w:rPr>
          <w:color w:val="231F20"/>
          <w:spacing w:val="-1"/>
        </w:rPr>
        <w:t>increase</w:t>
      </w:r>
      <w:r>
        <w:rPr>
          <w:color w:val="231F20"/>
          <w:spacing w:val="-3"/>
        </w:rPr>
        <w:t> </w:t>
      </w:r>
      <w:r>
        <w:rPr>
          <w:color w:val="231F20"/>
        </w:rPr>
        <w:t>the</w:t>
      </w:r>
      <w:r>
        <w:rPr>
          <w:color w:val="231F20"/>
          <w:spacing w:val="-4"/>
        </w:rPr>
        <w:t> </w:t>
      </w:r>
      <w:r>
        <w:rPr>
          <w:color w:val="231F20"/>
        </w:rPr>
        <w:t>quantum</w:t>
      </w:r>
      <w:r>
        <w:rPr>
          <w:color w:val="231F20"/>
          <w:spacing w:val="-3"/>
        </w:rPr>
        <w:t> </w:t>
      </w:r>
      <w:r>
        <w:rPr>
          <w:color w:val="231F20"/>
        </w:rPr>
        <w:t>of</w:t>
      </w:r>
      <w:r>
        <w:rPr>
          <w:color w:val="231F20"/>
          <w:spacing w:val="-3"/>
        </w:rPr>
        <w:t> </w:t>
      </w:r>
      <w:r>
        <w:rPr>
          <w:color w:val="231F20"/>
        </w:rPr>
        <w:t>ABSTUDY</w:t>
      </w:r>
      <w:r>
        <w:rPr>
          <w:color w:val="231F20"/>
          <w:spacing w:val="-4"/>
        </w:rPr>
        <w:t> </w:t>
      </w:r>
      <w:r>
        <w:rPr>
          <w:color w:val="231F20"/>
        </w:rPr>
        <w:t>to</w:t>
      </w:r>
      <w:r>
        <w:rPr>
          <w:color w:val="231F20"/>
          <w:spacing w:val="-2"/>
        </w:rPr>
        <w:t> </w:t>
      </w:r>
      <w:r>
        <w:rPr>
          <w:color w:val="231F20"/>
          <w:spacing w:val="-1"/>
        </w:rPr>
        <w:t>meet</w:t>
      </w:r>
      <w:r>
        <w:rPr>
          <w:color w:val="231F20"/>
          <w:spacing w:val="21"/>
        </w:rPr>
        <w:t> </w:t>
      </w:r>
      <w:r>
        <w:rPr>
          <w:color w:val="231F20"/>
        </w:rPr>
        <w:t>the</w:t>
      </w:r>
      <w:r>
        <w:rPr>
          <w:color w:val="231F20"/>
          <w:spacing w:val="-5"/>
        </w:rPr>
        <w:t> </w:t>
      </w:r>
      <w:r>
        <w:rPr>
          <w:color w:val="231F20"/>
        </w:rPr>
        <w:t>full</w:t>
      </w:r>
      <w:r>
        <w:rPr>
          <w:color w:val="231F20"/>
          <w:spacing w:val="-5"/>
        </w:rPr>
        <w:t> </w:t>
      </w:r>
      <w:r>
        <w:rPr>
          <w:color w:val="231F20"/>
        </w:rPr>
        <w:t>cost</w:t>
      </w:r>
      <w:r>
        <w:rPr>
          <w:color w:val="231F20"/>
          <w:spacing w:val="-5"/>
        </w:rPr>
        <w:t> </w:t>
      </w:r>
      <w:r>
        <w:rPr>
          <w:color w:val="231F20"/>
        </w:rPr>
        <w:t>of</w:t>
      </w:r>
      <w:r>
        <w:rPr>
          <w:color w:val="231F20"/>
          <w:spacing w:val="-4"/>
        </w:rPr>
        <w:t> </w:t>
      </w:r>
      <w:r>
        <w:rPr>
          <w:color w:val="231F20"/>
        </w:rPr>
        <w:t>boarding</w:t>
      </w:r>
      <w:r>
        <w:rPr>
          <w:color w:val="231F20"/>
          <w:spacing w:val="-5"/>
        </w:rPr>
        <w:t> </w:t>
      </w:r>
      <w:r>
        <w:rPr>
          <w:color w:val="231F20"/>
        </w:rPr>
        <w:t>for</w:t>
      </w:r>
      <w:r>
        <w:rPr>
          <w:color w:val="231F20"/>
          <w:spacing w:val="-4"/>
        </w:rPr>
        <w:t> </w:t>
      </w:r>
      <w:r>
        <w:rPr>
          <w:color w:val="231F20"/>
        </w:rPr>
        <w:t>Aboriginal</w:t>
      </w:r>
      <w:r>
        <w:rPr>
          <w:color w:val="231F20"/>
          <w:spacing w:val="-4"/>
        </w:rPr>
        <w:t> </w:t>
      </w:r>
      <w:r>
        <w:rPr>
          <w:color w:val="231F20"/>
        </w:rPr>
        <w:t>and</w:t>
      </w:r>
      <w:r>
        <w:rPr>
          <w:color w:val="231F20"/>
          <w:w w:val="99"/>
        </w:rPr>
        <w:t> </w:t>
      </w:r>
      <w:r>
        <w:rPr>
          <w:color w:val="231F20"/>
          <w:spacing w:val="-5"/>
        </w:rPr>
        <w:t>Torres</w:t>
      </w:r>
      <w:r>
        <w:rPr>
          <w:color w:val="231F20"/>
          <w:spacing w:val="-7"/>
        </w:rPr>
        <w:t> </w:t>
      </w:r>
      <w:r>
        <w:rPr>
          <w:color w:val="231F20"/>
          <w:spacing w:val="-2"/>
        </w:rPr>
        <w:t>Strait</w:t>
      </w:r>
      <w:r>
        <w:rPr>
          <w:color w:val="231F20"/>
          <w:spacing w:val="-8"/>
        </w:rPr>
        <w:t> </w:t>
      </w:r>
      <w:r>
        <w:rPr>
          <w:color w:val="231F20"/>
          <w:spacing w:val="-1"/>
        </w:rPr>
        <w:t>Islander</w:t>
      </w:r>
      <w:r>
        <w:rPr>
          <w:color w:val="231F20"/>
          <w:spacing w:val="-7"/>
        </w:rPr>
        <w:t> </w:t>
      </w:r>
      <w:r>
        <w:rPr>
          <w:color w:val="231F20"/>
          <w:spacing w:val="-1"/>
        </w:rPr>
        <w:t>students,</w:t>
      </w:r>
      <w:r>
        <w:rPr>
          <w:color w:val="231F20"/>
          <w:spacing w:val="-6"/>
        </w:rPr>
        <w:t> </w:t>
      </w:r>
      <w:r>
        <w:rPr>
          <w:color w:val="231F20"/>
        </w:rPr>
        <w:t>particularly</w:t>
      </w:r>
      <w:r>
        <w:rPr>
          <w:color w:val="231F20"/>
          <w:spacing w:val="23"/>
          <w:w w:val="99"/>
        </w:rPr>
        <w:t> </w:t>
      </w:r>
      <w:r>
        <w:rPr>
          <w:color w:val="231F20"/>
        </w:rPr>
        <w:t>for</w:t>
      </w:r>
      <w:r>
        <w:rPr>
          <w:color w:val="231F20"/>
          <w:spacing w:val="-6"/>
        </w:rPr>
        <w:t> </w:t>
      </w:r>
      <w:r>
        <w:rPr>
          <w:color w:val="231F20"/>
        </w:rPr>
        <w:t>remote</w:t>
      </w:r>
      <w:r>
        <w:rPr>
          <w:color w:val="231F20"/>
          <w:spacing w:val="-7"/>
        </w:rPr>
        <w:t> </w:t>
      </w:r>
      <w:r>
        <w:rPr>
          <w:color w:val="231F20"/>
          <w:spacing w:val="-1"/>
        </w:rPr>
        <w:t>students.</w:t>
      </w:r>
      <w:r>
        <w:rPr>
          <w:color w:val="231F20"/>
          <w:spacing w:val="-5"/>
        </w:rPr>
        <w:t> </w:t>
      </w:r>
      <w:r>
        <w:rPr>
          <w:color w:val="231F20"/>
        </w:rPr>
        <w:t>The</w:t>
      </w:r>
      <w:r>
        <w:rPr>
          <w:color w:val="231F20"/>
          <w:spacing w:val="-6"/>
        </w:rPr>
        <w:t> </w:t>
      </w:r>
      <w:r>
        <w:rPr>
          <w:color w:val="231F20"/>
        </w:rPr>
        <w:t>quantum</w:t>
      </w:r>
      <w:r>
        <w:rPr>
          <w:color w:val="231F20"/>
          <w:spacing w:val="-7"/>
        </w:rPr>
        <w:t> </w:t>
      </w:r>
      <w:r>
        <w:rPr>
          <w:color w:val="231F20"/>
        </w:rPr>
        <w:t>of</w:t>
      </w:r>
      <w:r>
        <w:rPr>
          <w:color w:val="231F20"/>
          <w:spacing w:val="22"/>
          <w:w w:val="99"/>
        </w:rPr>
        <w:t> </w:t>
      </w:r>
      <w:r>
        <w:rPr>
          <w:color w:val="231F20"/>
        </w:rPr>
        <w:t>ABSTUDY</w:t>
      </w:r>
      <w:r>
        <w:rPr>
          <w:color w:val="231F20"/>
          <w:spacing w:val="-5"/>
        </w:rPr>
        <w:t> </w:t>
      </w:r>
      <w:r>
        <w:rPr>
          <w:color w:val="231F20"/>
          <w:spacing w:val="-1"/>
        </w:rPr>
        <w:t>should</w:t>
      </w:r>
      <w:r>
        <w:rPr>
          <w:color w:val="231F20"/>
          <w:spacing w:val="-4"/>
        </w:rPr>
        <w:t> </w:t>
      </w:r>
      <w:r>
        <w:rPr>
          <w:color w:val="231F20"/>
        </w:rPr>
        <w:t>be</w:t>
      </w:r>
      <w:r>
        <w:rPr>
          <w:color w:val="231F20"/>
          <w:spacing w:val="-4"/>
        </w:rPr>
        <w:t> </w:t>
      </w:r>
      <w:r>
        <w:rPr>
          <w:color w:val="231F20"/>
          <w:spacing w:val="-1"/>
        </w:rPr>
        <w:t>increased</w:t>
      </w:r>
      <w:r>
        <w:rPr>
          <w:color w:val="231F20"/>
          <w:spacing w:val="-4"/>
        </w:rPr>
        <w:t> </w:t>
      </w:r>
      <w:r>
        <w:rPr>
          <w:color w:val="231F20"/>
        </w:rPr>
        <w:t>or</w:t>
      </w:r>
      <w:r>
        <w:rPr>
          <w:color w:val="231F20"/>
          <w:spacing w:val="-5"/>
        </w:rPr>
        <w:t> </w:t>
      </w:r>
      <w:r>
        <w:rPr>
          <w:color w:val="231F20"/>
        </w:rPr>
        <w:t>replaced</w:t>
      </w:r>
      <w:r>
        <w:rPr>
          <w:color w:val="231F20"/>
          <w:spacing w:val="23"/>
          <w:w w:val="99"/>
        </w:rPr>
        <w:t> </w:t>
      </w:r>
      <w:r>
        <w:rPr>
          <w:color w:val="231F20"/>
        </w:rPr>
        <w:t>or</w:t>
      </w:r>
      <w:r>
        <w:rPr>
          <w:color w:val="231F20"/>
          <w:spacing w:val="-7"/>
        </w:rPr>
        <w:t> </w:t>
      </w:r>
      <w:r>
        <w:rPr>
          <w:color w:val="231F20"/>
        </w:rPr>
        <w:t>augmented</w:t>
      </w:r>
      <w:r>
        <w:rPr>
          <w:color w:val="231F20"/>
          <w:spacing w:val="-7"/>
        </w:rPr>
        <w:t> </w:t>
      </w:r>
      <w:r>
        <w:rPr>
          <w:color w:val="231F20"/>
        </w:rPr>
        <w:t>with</w:t>
      </w:r>
      <w:r>
        <w:rPr>
          <w:color w:val="231F20"/>
          <w:spacing w:val="-8"/>
        </w:rPr>
        <w:t> </w:t>
      </w:r>
      <w:r>
        <w:rPr>
          <w:color w:val="231F20"/>
        </w:rPr>
        <w:t>another</w:t>
      </w:r>
      <w:r>
        <w:rPr>
          <w:color w:val="231F20"/>
          <w:spacing w:val="-7"/>
        </w:rPr>
        <w:t> </w:t>
      </w:r>
      <w:r>
        <w:rPr>
          <w:color w:val="231F20"/>
        </w:rPr>
        <w:t>payment</w:t>
      </w:r>
      <w:r>
        <w:rPr>
          <w:color w:val="231F20"/>
          <w:spacing w:val="-8"/>
        </w:rPr>
        <w:t> </w:t>
      </w:r>
      <w:r>
        <w:rPr>
          <w:color w:val="231F20"/>
        </w:rPr>
        <w:t>or</w:t>
      </w:r>
      <w:r>
        <w:rPr>
          <w:color w:val="231F20"/>
          <w:w w:val="99"/>
        </w:rPr>
        <w:t> </w:t>
      </w:r>
      <w:r>
        <w:rPr>
          <w:color w:val="231F20"/>
        </w:rPr>
        <w:t>funding</w:t>
      </w:r>
      <w:r>
        <w:rPr>
          <w:color w:val="231F20"/>
          <w:spacing w:val="-4"/>
        </w:rPr>
        <w:t> </w:t>
      </w:r>
      <w:r>
        <w:rPr>
          <w:color w:val="231F20"/>
        </w:rPr>
        <w:t>that</w:t>
      </w:r>
      <w:r>
        <w:rPr>
          <w:color w:val="231F20"/>
          <w:spacing w:val="-4"/>
        </w:rPr>
        <w:t> </w:t>
      </w:r>
      <w:r>
        <w:rPr>
          <w:color w:val="231F20"/>
          <w:spacing w:val="-1"/>
        </w:rPr>
        <w:t>it</w:t>
      </w:r>
      <w:r>
        <w:rPr>
          <w:color w:val="231F20"/>
          <w:spacing w:val="-4"/>
        </w:rPr>
        <w:t> </w:t>
      </w:r>
      <w:r>
        <w:rPr>
          <w:color w:val="231F20"/>
        </w:rPr>
        <w:t>covers</w:t>
      </w:r>
      <w:r>
        <w:rPr>
          <w:color w:val="231F20"/>
          <w:spacing w:val="-4"/>
        </w:rPr>
        <w:t> </w:t>
      </w:r>
      <w:r>
        <w:rPr>
          <w:color w:val="231F20"/>
        </w:rPr>
        <w:t>the</w:t>
      </w:r>
      <w:r>
        <w:rPr>
          <w:color w:val="231F20"/>
          <w:spacing w:val="-5"/>
        </w:rPr>
        <w:t> </w:t>
      </w:r>
      <w:r>
        <w:rPr>
          <w:color w:val="231F20"/>
        </w:rPr>
        <w:t>true</w:t>
      </w:r>
      <w:r>
        <w:rPr>
          <w:color w:val="231F20"/>
          <w:spacing w:val="-4"/>
        </w:rPr>
        <w:t> </w:t>
      </w:r>
      <w:r>
        <w:rPr>
          <w:color w:val="231F20"/>
        </w:rPr>
        <w:t>cost</w:t>
      </w:r>
      <w:r>
        <w:rPr>
          <w:color w:val="231F20"/>
          <w:spacing w:val="-5"/>
        </w:rPr>
        <w:t> </w:t>
      </w:r>
      <w:r>
        <w:rPr>
          <w:color w:val="231F20"/>
        </w:rPr>
        <w:t>of</w:t>
      </w:r>
      <w:r>
        <w:rPr>
          <w:color w:val="231F20"/>
          <w:spacing w:val="21"/>
          <w:w w:val="99"/>
        </w:rPr>
        <w:t> </w:t>
      </w:r>
      <w:r>
        <w:rPr>
          <w:color w:val="231F20"/>
        </w:rPr>
        <w:t>boarding,</w:t>
      </w:r>
      <w:r>
        <w:rPr>
          <w:color w:val="231F20"/>
          <w:spacing w:val="-8"/>
        </w:rPr>
        <w:t> </w:t>
      </w:r>
      <w:r>
        <w:rPr>
          <w:color w:val="231F20"/>
          <w:spacing w:val="-1"/>
        </w:rPr>
        <w:t>including</w:t>
      </w:r>
      <w:r>
        <w:rPr>
          <w:color w:val="231F20"/>
          <w:spacing w:val="-7"/>
        </w:rPr>
        <w:t> </w:t>
      </w:r>
      <w:r>
        <w:rPr>
          <w:color w:val="231F20"/>
          <w:spacing w:val="-1"/>
        </w:rPr>
        <w:t>support</w:t>
      </w:r>
      <w:r>
        <w:rPr>
          <w:color w:val="231F20"/>
          <w:spacing w:val="-7"/>
        </w:rPr>
        <w:t> </w:t>
      </w:r>
      <w:r>
        <w:rPr>
          <w:color w:val="231F20"/>
          <w:spacing w:val="-1"/>
        </w:rPr>
        <w:t>services</w:t>
      </w:r>
      <w:r>
        <w:rPr>
          <w:color w:val="231F20"/>
          <w:spacing w:val="-6"/>
        </w:rPr>
        <w:t> </w:t>
      </w:r>
      <w:r>
        <w:rPr>
          <w:color w:val="231F20"/>
        </w:rPr>
        <w:t>that</w:t>
      </w:r>
      <w:r>
        <w:rPr>
          <w:color w:val="231F20"/>
          <w:spacing w:val="24"/>
          <w:w w:val="99"/>
        </w:rPr>
        <w:t> </w:t>
      </w:r>
      <w:r>
        <w:rPr>
          <w:color w:val="231F20"/>
        </w:rPr>
        <w:t>are</w:t>
      </w:r>
      <w:r>
        <w:rPr>
          <w:color w:val="231F20"/>
          <w:spacing w:val="-7"/>
        </w:rPr>
        <w:t> </w:t>
      </w:r>
      <w:r>
        <w:rPr>
          <w:color w:val="231F20"/>
        </w:rPr>
        <w:t>required</w:t>
      </w:r>
      <w:r>
        <w:rPr>
          <w:color w:val="231F20"/>
          <w:spacing w:val="-7"/>
        </w:rPr>
        <w:t> </w:t>
      </w:r>
      <w:r>
        <w:rPr>
          <w:color w:val="231F20"/>
        </w:rPr>
        <w:t>to</w:t>
      </w:r>
      <w:r>
        <w:rPr>
          <w:color w:val="231F20"/>
          <w:spacing w:val="-6"/>
        </w:rPr>
        <w:t> </w:t>
      </w:r>
      <w:r>
        <w:rPr>
          <w:color w:val="231F20"/>
        </w:rPr>
        <w:t>address</w:t>
      </w:r>
      <w:r>
        <w:rPr>
          <w:color w:val="231F20"/>
          <w:spacing w:val="-7"/>
        </w:rPr>
        <w:t> </w:t>
      </w:r>
      <w:r>
        <w:rPr>
          <w:color w:val="231F20"/>
        </w:rPr>
        <w:t>the</w:t>
      </w:r>
      <w:r>
        <w:rPr>
          <w:color w:val="231F20"/>
          <w:spacing w:val="-7"/>
        </w:rPr>
        <w:t> </w:t>
      </w:r>
      <w:r>
        <w:rPr>
          <w:color w:val="231F20"/>
        </w:rPr>
        <w:t>disadvantage</w:t>
      </w:r>
      <w:r>
        <w:rPr>
          <w:color w:val="231F20"/>
          <w:spacing w:val="-7"/>
        </w:rPr>
        <w:t> </w:t>
      </w:r>
      <w:r>
        <w:rPr>
          <w:color w:val="231F20"/>
        </w:rPr>
        <w:t>of</w:t>
      </w:r>
      <w:r>
        <w:rPr/>
      </w:r>
    </w:p>
    <w:p>
      <w:pPr>
        <w:pStyle w:val="BodyText"/>
        <w:spacing w:line="242" w:lineRule="exact"/>
        <w:ind w:left="327" w:right="0"/>
        <w:jc w:val="left"/>
      </w:pP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5"/>
        </w:rPr>
        <w:t> </w:t>
      </w:r>
      <w:r>
        <w:rPr>
          <w:color w:val="231F20"/>
          <w:spacing w:val="-1"/>
        </w:rPr>
        <w:t>Islander</w:t>
      </w:r>
      <w:r>
        <w:rPr>
          <w:color w:val="231F20"/>
          <w:spacing w:val="-5"/>
        </w:rPr>
        <w:t> </w:t>
      </w:r>
      <w:r>
        <w:rPr>
          <w:color w:val="231F20"/>
          <w:spacing w:val="-1"/>
        </w:rPr>
        <w:t>students</w:t>
      </w:r>
      <w:r>
        <w:rPr/>
      </w:r>
    </w:p>
    <w:p>
      <w:pPr>
        <w:pStyle w:val="BodyText"/>
        <w:spacing w:line="250" w:lineRule="exact"/>
        <w:ind w:left="327" w:right="0"/>
        <w:jc w:val="left"/>
        <w:rPr>
          <w:rFonts w:ascii="Segoe UI" w:hAnsi="Segoe UI" w:cs="Segoe UI" w:eastAsia="Segoe UI"/>
        </w:rPr>
      </w:pPr>
      <w:r>
        <w:rPr>
          <w:rFonts w:ascii="Segoe UI"/>
          <w:color w:val="231F20"/>
        </w:rPr>
        <w:t>and</w:t>
      </w:r>
      <w:r>
        <w:rPr>
          <w:rFonts w:ascii="Segoe UI"/>
          <w:color w:val="231F20"/>
          <w:spacing w:val="-3"/>
        </w:rPr>
        <w:t> </w:t>
      </w:r>
      <w:r>
        <w:rPr>
          <w:rFonts w:ascii="Segoe UI"/>
          <w:color w:val="231F20"/>
        </w:rPr>
        <w:t>effectively</w:t>
      </w:r>
      <w:r>
        <w:rPr>
          <w:rFonts w:ascii="Segoe UI"/>
          <w:color w:val="231F20"/>
          <w:spacing w:val="-2"/>
        </w:rPr>
        <w:t> </w:t>
      </w:r>
      <w:r>
        <w:rPr>
          <w:rFonts w:ascii="Segoe UI"/>
          <w:color w:val="231F20"/>
        </w:rPr>
        <w:t>engage</w:t>
      </w:r>
      <w:r>
        <w:rPr>
          <w:rFonts w:ascii="Segoe UI"/>
          <w:color w:val="231F20"/>
          <w:spacing w:val="-2"/>
        </w:rPr>
        <w:t> </w:t>
      </w:r>
      <w:r>
        <w:rPr>
          <w:rFonts w:ascii="Segoe UI"/>
          <w:color w:val="231F20"/>
        </w:rPr>
        <w:t>with</w:t>
      </w:r>
      <w:r>
        <w:rPr>
          <w:rFonts w:ascii="Segoe UI"/>
          <w:color w:val="231F20"/>
          <w:spacing w:val="-2"/>
        </w:rPr>
        <w:t> </w:t>
      </w:r>
      <w:r>
        <w:rPr>
          <w:rFonts w:ascii="Segoe UI"/>
          <w:color w:val="231F20"/>
        </w:rPr>
        <w:t>students,</w:t>
      </w:r>
      <w:r>
        <w:rPr>
          <w:rFonts w:ascii="Segoe UI"/>
        </w:rPr>
      </w:r>
    </w:p>
    <w:p>
      <w:pPr>
        <w:pStyle w:val="BodyText"/>
        <w:spacing w:line="258" w:lineRule="exact"/>
        <w:ind w:left="327" w:right="0"/>
        <w:jc w:val="left"/>
      </w:pPr>
      <w:r>
        <w:rPr>
          <w:color w:val="231F20"/>
        </w:rPr>
        <w:t>families</w:t>
      </w:r>
      <w:r>
        <w:rPr>
          <w:color w:val="231F20"/>
          <w:spacing w:val="-3"/>
        </w:rPr>
        <w:t> </w:t>
      </w:r>
      <w:r>
        <w:rPr>
          <w:color w:val="231F20"/>
        </w:rPr>
        <w:t>and</w:t>
      </w:r>
      <w:r>
        <w:rPr>
          <w:color w:val="231F20"/>
          <w:spacing w:val="-3"/>
        </w:rPr>
        <w:t> </w:t>
      </w:r>
      <w:r>
        <w:rPr>
          <w:color w:val="231F20"/>
        </w:rPr>
        <w:t>communities</w:t>
      </w:r>
      <w:r>
        <w:rPr/>
      </w:r>
    </w:p>
    <w:p>
      <w:pPr>
        <w:pStyle w:val="BodyText"/>
        <w:spacing w:line="250" w:lineRule="exact" w:before="113"/>
        <w:ind w:left="327" w:right="85" w:hanging="227"/>
        <w:jc w:val="left"/>
      </w:pPr>
      <w:r>
        <w:rPr>
          <w:rFonts w:ascii="Century Gothic" w:hAnsi="Century Gothic" w:cs="Century Gothic" w:eastAsia="Century Gothic"/>
          <w:color w:val="231F20"/>
        </w:rPr>
        <w:t>» </w:t>
      </w:r>
      <w:r>
        <w:rPr>
          <w:rFonts w:ascii="Century Gothic" w:hAnsi="Century Gothic" w:cs="Century Gothic" w:eastAsia="Century Gothic"/>
          <w:color w:val="231F20"/>
          <w:spacing w:val="23"/>
        </w:rPr>
        <w:t> </w:t>
      </w:r>
      <w:r>
        <w:rPr>
          <w:color w:val="231F20"/>
        </w:rPr>
        <w:t>eliminate</w:t>
      </w:r>
      <w:r>
        <w:rPr>
          <w:color w:val="231F20"/>
          <w:spacing w:val="-5"/>
        </w:rPr>
        <w:t> </w:t>
      </w:r>
      <w:r>
        <w:rPr>
          <w:color w:val="231F20"/>
        </w:rPr>
        <w:t>the</w:t>
      </w:r>
      <w:r>
        <w:rPr>
          <w:color w:val="231F20"/>
          <w:spacing w:val="-4"/>
        </w:rPr>
        <w:t> </w:t>
      </w:r>
      <w:r>
        <w:rPr>
          <w:color w:val="231F20"/>
        </w:rPr>
        <w:t>uncertainty</w:t>
      </w:r>
      <w:r>
        <w:rPr>
          <w:color w:val="231F20"/>
          <w:spacing w:val="-4"/>
        </w:rPr>
        <w:t> </w:t>
      </w:r>
      <w:r>
        <w:rPr>
          <w:color w:val="231F20"/>
        </w:rPr>
        <w:t>and</w:t>
      </w:r>
      <w:r>
        <w:rPr>
          <w:color w:val="231F20"/>
          <w:w w:val="99"/>
        </w:rPr>
        <w:t> </w:t>
      </w:r>
      <w:r>
        <w:rPr>
          <w:color w:val="231F20"/>
        </w:rPr>
        <w:t>unpredictability</w:t>
      </w:r>
      <w:r>
        <w:rPr>
          <w:color w:val="231F20"/>
          <w:spacing w:val="-9"/>
        </w:rPr>
        <w:t> </w:t>
      </w:r>
      <w:r>
        <w:rPr>
          <w:color w:val="231F20"/>
        </w:rPr>
        <w:t>of</w:t>
      </w:r>
      <w:r>
        <w:rPr>
          <w:color w:val="231F20"/>
          <w:spacing w:val="-7"/>
        </w:rPr>
        <w:t> </w:t>
      </w:r>
      <w:r>
        <w:rPr>
          <w:color w:val="231F20"/>
        </w:rPr>
        <w:t>ABSTUDY</w:t>
      </w:r>
      <w:r>
        <w:rPr>
          <w:color w:val="231F20"/>
          <w:spacing w:val="-9"/>
        </w:rPr>
        <w:t> </w:t>
      </w:r>
      <w:r>
        <w:rPr>
          <w:color w:val="231F20"/>
        </w:rPr>
        <w:t>receipts</w:t>
      </w:r>
      <w:r>
        <w:rPr>
          <w:color w:val="231F20"/>
          <w:w w:val="99"/>
        </w:rPr>
        <w:t> </w:t>
      </w:r>
      <w:r>
        <w:rPr>
          <w:color w:val="231F20"/>
        </w:rPr>
        <w:t>funding—the</w:t>
      </w:r>
      <w:r>
        <w:rPr>
          <w:color w:val="231F20"/>
          <w:spacing w:val="-6"/>
        </w:rPr>
        <w:t> </w:t>
      </w:r>
      <w:r>
        <w:rPr>
          <w:color w:val="231F20"/>
        </w:rPr>
        <w:t>amount</w:t>
      </w:r>
      <w:r>
        <w:rPr>
          <w:color w:val="231F20"/>
          <w:spacing w:val="-6"/>
        </w:rPr>
        <w:t> </w:t>
      </w:r>
      <w:r>
        <w:rPr>
          <w:color w:val="231F20"/>
        </w:rPr>
        <w:t>of</w:t>
      </w:r>
      <w:r>
        <w:rPr>
          <w:color w:val="231F20"/>
          <w:spacing w:val="-6"/>
        </w:rPr>
        <w:t> </w:t>
      </w:r>
      <w:r>
        <w:rPr>
          <w:color w:val="231F20"/>
        </w:rPr>
        <w:t>ABSTUDY</w:t>
      </w:r>
      <w:r>
        <w:rPr>
          <w:color w:val="231F20"/>
          <w:spacing w:val="-6"/>
        </w:rPr>
        <w:t> </w:t>
      </w:r>
      <w:r>
        <w:rPr>
          <w:color w:val="231F20"/>
        </w:rPr>
        <w:t>a</w:t>
      </w:r>
      <w:r>
        <w:rPr>
          <w:color w:val="231F20"/>
          <w:w w:val="99"/>
        </w:rPr>
        <w:t> </w:t>
      </w:r>
      <w:r>
        <w:rPr>
          <w:color w:val="231F20"/>
        </w:rPr>
        <w:t>boarding</w:t>
      </w:r>
      <w:r>
        <w:rPr>
          <w:color w:val="231F20"/>
          <w:spacing w:val="-7"/>
        </w:rPr>
        <w:t> </w:t>
      </w:r>
      <w:r>
        <w:rPr>
          <w:color w:val="231F20"/>
        </w:rPr>
        <w:t>provider</w:t>
      </w:r>
      <w:r>
        <w:rPr>
          <w:color w:val="231F20"/>
          <w:spacing w:val="-6"/>
        </w:rPr>
        <w:t> </w:t>
      </w:r>
      <w:r>
        <w:rPr>
          <w:color w:val="231F20"/>
        </w:rPr>
        <w:t>will</w:t>
      </w:r>
      <w:r>
        <w:rPr>
          <w:color w:val="231F20"/>
          <w:spacing w:val="-6"/>
        </w:rPr>
        <w:t> </w:t>
      </w:r>
      <w:r>
        <w:rPr>
          <w:color w:val="231F20"/>
        </w:rPr>
        <w:t>receive</w:t>
      </w:r>
      <w:r>
        <w:rPr>
          <w:color w:val="231F20"/>
          <w:spacing w:val="-7"/>
        </w:rPr>
        <w:t> </w:t>
      </w:r>
      <w:r>
        <w:rPr>
          <w:color w:val="231F20"/>
        </w:rPr>
        <w:t>for</w:t>
      </w:r>
      <w:r>
        <w:rPr>
          <w:color w:val="231F20"/>
          <w:spacing w:val="-5"/>
        </w:rPr>
        <w:t> </w:t>
      </w:r>
      <w:r>
        <w:rPr>
          <w:color w:val="231F20"/>
        </w:rPr>
        <w:t>a</w:t>
      </w:r>
      <w:r>
        <w:rPr>
          <w:color w:val="231F20"/>
          <w:spacing w:val="-5"/>
        </w:rPr>
        <w:t> </w:t>
      </w:r>
      <w:r>
        <w:rPr>
          <w:color w:val="231F20"/>
          <w:spacing w:val="-1"/>
        </w:rPr>
        <w:t>student</w:t>
      </w:r>
      <w:r>
        <w:rPr>
          <w:color w:val="231F20"/>
          <w:spacing w:val="20"/>
          <w:w w:val="99"/>
        </w:rPr>
        <w:t> </w:t>
      </w:r>
      <w:r>
        <w:rPr>
          <w:color w:val="231F20"/>
          <w:spacing w:val="-1"/>
        </w:rPr>
        <w:t>is</w:t>
      </w:r>
      <w:r>
        <w:rPr>
          <w:color w:val="231F20"/>
          <w:spacing w:val="-5"/>
        </w:rPr>
        <w:t> </w:t>
      </w:r>
      <w:r>
        <w:rPr>
          <w:color w:val="231F20"/>
        </w:rPr>
        <w:t>not</w:t>
      </w:r>
      <w:r>
        <w:rPr>
          <w:color w:val="231F20"/>
          <w:spacing w:val="-3"/>
        </w:rPr>
        <w:t> </w:t>
      </w:r>
      <w:r>
        <w:rPr>
          <w:color w:val="231F20"/>
          <w:spacing w:val="-1"/>
        </w:rPr>
        <w:t>known</w:t>
      </w:r>
      <w:r>
        <w:rPr>
          <w:color w:val="231F20"/>
          <w:spacing w:val="-3"/>
        </w:rPr>
        <w:t> </w:t>
      </w:r>
      <w:r>
        <w:rPr>
          <w:color w:val="231F20"/>
        </w:rPr>
        <w:t>until</w:t>
      </w:r>
      <w:r>
        <w:rPr>
          <w:color w:val="231F20"/>
          <w:spacing w:val="-4"/>
        </w:rPr>
        <w:t> </w:t>
      </w:r>
      <w:r>
        <w:rPr>
          <w:color w:val="231F20"/>
        </w:rPr>
        <w:t>after</w:t>
      </w:r>
      <w:r>
        <w:rPr>
          <w:color w:val="231F20"/>
          <w:spacing w:val="-5"/>
        </w:rPr>
        <w:t> </w:t>
      </w:r>
      <w:r>
        <w:rPr>
          <w:color w:val="231F20"/>
        </w:rPr>
        <w:t>the</w:t>
      </w:r>
      <w:r>
        <w:rPr>
          <w:color w:val="231F20"/>
          <w:spacing w:val="-4"/>
        </w:rPr>
        <w:t> </w:t>
      </w:r>
      <w:r>
        <w:rPr>
          <w:color w:val="231F20"/>
          <w:spacing w:val="-1"/>
        </w:rPr>
        <w:t>student</w:t>
      </w:r>
      <w:r>
        <w:rPr>
          <w:color w:val="231F20"/>
          <w:spacing w:val="-3"/>
        </w:rPr>
        <w:t> </w:t>
      </w:r>
      <w:r>
        <w:rPr>
          <w:color w:val="231F20"/>
        </w:rPr>
        <w:t>has</w:t>
      </w:r>
      <w:r>
        <w:rPr>
          <w:color w:val="231F20"/>
          <w:spacing w:val="24"/>
        </w:rPr>
        <w:t> </w:t>
      </w:r>
      <w:r>
        <w:rPr>
          <w:color w:val="231F20"/>
        </w:rPr>
        <w:t>commenced.</w:t>
      </w:r>
      <w:r>
        <w:rPr>
          <w:color w:val="231F20"/>
          <w:spacing w:val="-8"/>
        </w:rPr>
        <w:t> </w:t>
      </w:r>
      <w:r>
        <w:rPr>
          <w:color w:val="231F20"/>
        </w:rPr>
        <w:t>The</w:t>
      </w:r>
      <w:r>
        <w:rPr>
          <w:color w:val="231F20"/>
          <w:spacing w:val="-7"/>
        </w:rPr>
        <w:t> </w:t>
      </w:r>
      <w:r>
        <w:rPr>
          <w:color w:val="231F20"/>
        </w:rPr>
        <w:t>amount</w:t>
      </w:r>
      <w:r>
        <w:rPr>
          <w:color w:val="231F20"/>
          <w:spacing w:val="-7"/>
        </w:rPr>
        <w:t> </w:t>
      </w:r>
      <w:r>
        <w:rPr>
          <w:color w:val="231F20"/>
        </w:rPr>
        <w:t>of</w:t>
      </w:r>
      <w:r>
        <w:rPr>
          <w:color w:val="231F20"/>
          <w:spacing w:val="-7"/>
        </w:rPr>
        <w:t> </w:t>
      </w:r>
      <w:r>
        <w:rPr>
          <w:color w:val="231F20"/>
        </w:rPr>
        <w:t>funding</w:t>
      </w:r>
      <w:r>
        <w:rPr>
          <w:color w:val="231F20"/>
          <w:spacing w:val="-7"/>
        </w:rPr>
        <w:t> </w:t>
      </w:r>
      <w:r>
        <w:rPr>
          <w:color w:val="231F20"/>
        </w:rPr>
        <w:t>can</w:t>
      </w:r>
      <w:r>
        <w:rPr>
          <w:color w:val="231F20"/>
          <w:w w:val="99"/>
        </w:rPr>
        <w:t> </w:t>
      </w:r>
      <w:r>
        <w:rPr>
          <w:color w:val="231F20"/>
        </w:rPr>
        <w:t>also</w:t>
      </w:r>
      <w:r>
        <w:rPr>
          <w:color w:val="231F20"/>
          <w:spacing w:val="-6"/>
        </w:rPr>
        <w:t> </w:t>
      </w:r>
      <w:r>
        <w:rPr>
          <w:color w:val="231F20"/>
        </w:rPr>
        <w:t>can</w:t>
      </w:r>
      <w:r>
        <w:rPr>
          <w:color w:val="231F20"/>
          <w:spacing w:val="-4"/>
        </w:rPr>
        <w:t> </w:t>
      </w:r>
      <w:r>
        <w:rPr>
          <w:color w:val="231F20"/>
        </w:rPr>
        <w:t>change</w:t>
      </w:r>
      <w:r>
        <w:rPr>
          <w:color w:val="231F20"/>
          <w:spacing w:val="-6"/>
        </w:rPr>
        <w:t> </w:t>
      </w:r>
      <w:r>
        <w:rPr>
          <w:color w:val="231F20"/>
        </w:rPr>
        <w:t>without</w:t>
      </w:r>
      <w:r>
        <w:rPr>
          <w:color w:val="231F20"/>
          <w:spacing w:val="-5"/>
        </w:rPr>
        <w:t> </w:t>
      </w:r>
      <w:r>
        <w:rPr>
          <w:color w:val="231F20"/>
        </w:rPr>
        <w:t>notice</w:t>
      </w:r>
      <w:r>
        <w:rPr>
          <w:color w:val="231F20"/>
          <w:spacing w:val="-5"/>
        </w:rPr>
        <w:t> </w:t>
      </w:r>
      <w:r>
        <w:rPr>
          <w:color w:val="231F20"/>
        </w:rPr>
        <w:t>to</w:t>
      </w:r>
      <w:r>
        <w:rPr>
          <w:color w:val="231F20"/>
          <w:spacing w:val="-5"/>
        </w:rPr>
        <w:t> </w:t>
      </w:r>
      <w:r>
        <w:rPr>
          <w:color w:val="231F20"/>
        </w:rPr>
        <w:t>the</w:t>
      </w:r>
      <w:r>
        <w:rPr>
          <w:color w:val="231F20"/>
          <w:w w:val="99"/>
        </w:rPr>
        <w:t> </w:t>
      </w:r>
      <w:r>
        <w:rPr>
          <w:color w:val="231F20"/>
        </w:rPr>
        <w:t>boarding</w:t>
      </w:r>
      <w:r>
        <w:rPr>
          <w:color w:val="231F20"/>
          <w:spacing w:val="-7"/>
        </w:rPr>
        <w:t> </w:t>
      </w:r>
      <w:r>
        <w:rPr>
          <w:color w:val="231F20"/>
        </w:rPr>
        <w:t>provider</w:t>
      </w:r>
      <w:r>
        <w:rPr>
          <w:color w:val="231F20"/>
          <w:spacing w:val="-7"/>
        </w:rPr>
        <w:t> </w:t>
      </w:r>
      <w:r>
        <w:rPr>
          <w:color w:val="231F20"/>
        </w:rPr>
        <w:t>during</w:t>
      </w:r>
      <w:r>
        <w:rPr>
          <w:color w:val="231F20"/>
          <w:spacing w:val="-7"/>
        </w:rPr>
        <w:t> </w:t>
      </w:r>
      <w:r>
        <w:rPr>
          <w:color w:val="231F20"/>
        </w:rPr>
        <w:t>the</w:t>
      </w:r>
      <w:r>
        <w:rPr>
          <w:color w:val="231F20"/>
          <w:spacing w:val="-6"/>
        </w:rPr>
        <w:t> </w:t>
      </w:r>
      <w:r>
        <w:rPr>
          <w:color w:val="231F20"/>
        </w:rPr>
        <w:t>course</w:t>
      </w:r>
      <w:r>
        <w:rPr>
          <w:color w:val="231F20"/>
          <w:spacing w:val="-7"/>
        </w:rPr>
        <w:t> </w:t>
      </w:r>
      <w:r>
        <w:rPr>
          <w:color w:val="231F20"/>
        </w:rPr>
        <w:t>of</w:t>
      </w:r>
      <w:r>
        <w:rPr>
          <w:color w:val="231F20"/>
          <w:spacing w:val="-6"/>
        </w:rPr>
        <w:t> </w:t>
      </w:r>
      <w:r>
        <w:rPr>
          <w:color w:val="231F20"/>
        </w:rPr>
        <w:t>the</w:t>
      </w:r>
      <w:r>
        <w:rPr>
          <w:color w:val="231F20"/>
          <w:w w:val="99"/>
        </w:rPr>
        <w:t> </w:t>
      </w:r>
      <w:r>
        <w:rPr>
          <w:color w:val="231F20"/>
        </w:rPr>
        <w:t>academic</w:t>
      </w:r>
      <w:r>
        <w:rPr>
          <w:color w:val="231F20"/>
          <w:spacing w:val="-7"/>
        </w:rPr>
        <w:t> </w:t>
      </w:r>
      <w:r>
        <w:rPr>
          <w:color w:val="231F20"/>
        </w:rPr>
        <w:t>year</w:t>
      </w:r>
      <w:r>
        <w:rPr>
          <w:color w:val="231F20"/>
          <w:spacing w:val="-5"/>
        </w:rPr>
        <w:t> </w:t>
      </w:r>
      <w:r>
        <w:rPr>
          <w:color w:val="231F20"/>
          <w:spacing w:val="-1"/>
        </w:rPr>
        <w:t>if</w:t>
      </w:r>
      <w:r>
        <w:rPr>
          <w:color w:val="231F20"/>
          <w:spacing w:val="-5"/>
        </w:rPr>
        <w:t> </w:t>
      </w:r>
      <w:r>
        <w:rPr>
          <w:color w:val="231F20"/>
        </w:rPr>
        <w:t>the</w:t>
      </w:r>
      <w:r>
        <w:rPr>
          <w:color w:val="231F20"/>
          <w:spacing w:val="-7"/>
        </w:rPr>
        <w:t> </w:t>
      </w:r>
      <w:r>
        <w:rPr>
          <w:color w:val="231F20"/>
        </w:rPr>
        <w:t>circumstances</w:t>
      </w:r>
      <w:r>
        <w:rPr>
          <w:color w:val="231F20"/>
          <w:spacing w:val="-6"/>
        </w:rPr>
        <w:t> </w:t>
      </w:r>
      <w:r>
        <w:rPr>
          <w:color w:val="231F20"/>
        </w:rPr>
        <w:t>of</w:t>
      </w:r>
      <w:r>
        <w:rPr>
          <w:color w:val="231F20"/>
          <w:spacing w:val="-5"/>
        </w:rPr>
        <w:t> </w:t>
      </w:r>
      <w:r>
        <w:rPr>
          <w:color w:val="231F20"/>
        </w:rPr>
        <w:t>the</w:t>
      </w:r>
      <w:r>
        <w:rPr>
          <w:color w:val="231F20"/>
          <w:spacing w:val="21"/>
          <w:w w:val="99"/>
        </w:rPr>
        <w:t> </w:t>
      </w:r>
      <w:r>
        <w:rPr>
          <w:color w:val="231F20"/>
          <w:spacing w:val="-1"/>
        </w:rPr>
        <w:t>student</w:t>
      </w:r>
      <w:r>
        <w:rPr>
          <w:color w:val="231F20"/>
          <w:spacing w:val="-6"/>
        </w:rPr>
        <w:t> </w:t>
      </w:r>
      <w:r>
        <w:rPr>
          <w:color w:val="231F20"/>
        </w:rPr>
        <w:t>or</w:t>
      </w:r>
      <w:r>
        <w:rPr>
          <w:color w:val="231F20"/>
          <w:spacing w:val="-5"/>
        </w:rPr>
        <w:t> </w:t>
      </w:r>
      <w:r>
        <w:rPr>
          <w:color w:val="231F20"/>
        </w:rPr>
        <w:t>their</w:t>
      </w:r>
      <w:r>
        <w:rPr>
          <w:color w:val="231F20"/>
          <w:spacing w:val="-6"/>
        </w:rPr>
        <w:t> </w:t>
      </w:r>
      <w:r>
        <w:rPr>
          <w:color w:val="231F20"/>
        </w:rPr>
        <w:t>parent</w:t>
      </w:r>
      <w:r>
        <w:rPr>
          <w:color w:val="231F20"/>
          <w:spacing w:val="-6"/>
        </w:rPr>
        <w:t> </w:t>
      </w:r>
      <w:r>
        <w:rPr>
          <w:color w:val="231F20"/>
        </w:rPr>
        <w:t>or</w:t>
      </w:r>
      <w:r>
        <w:rPr>
          <w:color w:val="231F20"/>
          <w:spacing w:val="-5"/>
        </w:rPr>
        <w:t> </w:t>
      </w:r>
      <w:r>
        <w:rPr>
          <w:color w:val="231F20"/>
        </w:rPr>
        <w:t>carer</w:t>
      </w:r>
      <w:r>
        <w:rPr>
          <w:color w:val="231F20"/>
          <w:spacing w:val="-6"/>
        </w:rPr>
        <w:t> </w:t>
      </w:r>
      <w:r>
        <w:rPr>
          <w:color w:val="231F20"/>
        </w:rPr>
        <w:t>change</w:t>
      </w:r>
      <w:r>
        <w:rPr/>
      </w:r>
    </w:p>
    <w:p>
      <w:pPr>
        <w:pStyle w:val="BodyText"/>
        <w:spacing w:line="250" w:lineRule="exact" w:before="62"/>
        <w:ind w:left="327" w:right="220" w:hanging="227"/>
        <w:jc w:val="left"/>
        <w:rPr>
          <w:rFonts w:ascii="Segoe UI Semibold" w:hAnsi="Segoe UI Semibold" w:cs="Segoe UI Semibold" w:eastAsia="Segoe UI Semibold"/>
          <w:sz w:val="11"/>
          <w:szCs w:val="11"/>
        </w:rPr>
      </w:pPr>
      <w:r>
        <w:rPr/>
        <w:br w:type="column"/>
      </w:r>
      <w:r>
        <w:rPr>
          <w:rFonts w:ascii="Century Gothic" w:hAnsi="Century Gothic"/>
          <w:color w:val="231F20"/>
        </w:rPr>
        <w:t>» </w:t>
      </w:r>
      <w:r>
        <w:rPr>
          <w:rFonts w:ascii="Century Gothic" w:hAnsi="Century Gothic"/>
          <w:color w:val="231F20"/>
          <w:spacing w:val="24"/>
        </w:rPr>
        <w:t> </w:t>
      </w:r>
      <w:r>
        <w:rPr>
          <w:color w:val="231F20"/>
        </w:rPr>
        <w:t>reduce</w:t>
      </w:r>
      <w:r>
        <w:rPr>
          <w:color w:val="231F20"/>
          <w:spacing w:val="-3"/>
        </w:rPr>
        <w:t> </w:t>
      </w:r>
      <w:r>
        <w:rPr>
          <w:color w:val="231F20"/>
        </w:rPr>
        <w:t>delays</w:t>
      </w:r>
      <w:r>
        <w:rPr>
          <w:color w:val="231F20"/>
          <w:spacing w:val="-4"/>
        </w:rPr>
        <w:t> </w:t>
      </w:r>
      <w:r>
        <w:rPr>
          <w:color w:val="231F20"/>
        </w:rPr>
        <w:t>and</w:t>
      </w:r>
      <w:r>
        <w:rPr>
          <w:color w:val="231F20"/>
          <w:spacing w:val="-3"/>
        </w:rPr>
        <w:t> </w:t>
      </w:r>
      <w:r>
        <w:rPr>
          <w:color w:val="231F20"/>
        </w:rPr>
        <w:t>eliminate</w:t>
      </w:r>
      <w:r>
        <w:rPr>
          <w:color w:val="231F20"/>
          <w:spacing w:val="-4"/>
        </w:rPr>
        <w:t> </w:t>
      </w:r>
      <w:r>
        <w:rPr>
          <w:color w:val="231F20"/>
          <w:spacing w:val="-1"/>
        </w:rPr>
        <w:t>inconsistencies</w:t>
      </w:r>
      <w:r>
        <w:rPr>
          <w:color w:val="231F20"/>
          <w:spacing w:val="20"/>
        </w:rPr>
        <w:t> </w:t>
      </w:r>
      <w:r>
        <w:rPr>
          <w:color w:val="231F20"/>
          <w:spacing w:val="-1"/>
        </w:rPr>
        <w:t>in</w:t>
      </w:r>
      <w:r>
        <w:rPr>
          <w:color w:val="231F20"/>
          <w:spacing w:val="-6"/>
        </w:rPr>
        <w:t> </w:t>
      </w:r>
      <w:r>
        <w:rPr>
          <w:color w:val="231F20"/>
        </w:rPr>
        <w:t>arranging</w:t>
      </w:r>
      <w:r>
        <w:rPr>
          <w:color w:val="231F20"/>
          <w:spacing w:val="-6"/>
        </w:rPr>
        <w:t> </w:t>
      </w:r>
      <w:r>
        <w:rPr>
          <w:color w:val="231F20"/>
        </w:rPr>
        <w:t>and</w:t>
      </w:r>
      <w:r>
        <w:rPr>
          <w:color w:val="231F20"/>
          <w:spacing w:val="-6"/>
        </w:rPr>
        <w:t> </w:t>
      </w:r>
      <w:r>
        <w:rPr>
          <w:color w:val="231F20"/>
        </w:rPr>
        <w:t>approving</w:t>
      </w:r>
      <w:r>
        <w:rPr>
          <w:color w:val="231F20"/>
          <w:spacing w:val="-6"/>
        </w:rPr>
        <w:t> </w:t>
      </w:r>
      <w:r>
        <w:rPr>
          <w:color w:val="231F20"/>
        </w:rPr>
        <w:t>ABSTUDY</w:t>
      </w:r>
      <w:r>
        <w:rPr>
          <w:color w:val="231F20"/>
          <w:spacing w:val="-6"/>
        </w:rPr>
        <w:t> </w:t>
      </w:r>
      <w:r>
        <w:rPr>
          <w:color w:val="231F20"/>
        </w:rPr>
        <w:t>travel</w:t>
      </w:r>
      <w:r>
        <w:rPr>
          <w:color w:val="231F20"/>
          <w:spacing w:val="21"/>
          <w:w w:val="99"/>
        </w:rPr>
        <w:t> </w:t>
      </w:r>
      <w:r>
        <w:rPr>
          <w:color w:val="231F20"/>
        </w:rPr>
        <w:t>or</w:t>
      </w:r>
      <w:r>
        <w:rPr>
          <w:color w:val="231F20"/>
          <w:spacing w:val="-7"/>
        </w:rPr>
        <w:t> </w:t>
      </w:r>
      <w:r>
        <w:rPr>
          <w:color w:val="231F20"/>
        </w:rPr>
        <w:t>reimbursement</w:t>
      </w:r>
      <w:r>
        <w:rPr>
          <w:color w:val="231F20"/>
          <w:spacing w:val="-8"/>
        </w:rPr>
        <w:t> </w:t>
      </w:r>
      <w:r>
        <w:rPr>
          <w:color w:val="231F20"/>
        </w:rPr>
        <w:t>for</w:t>
      </w:r>
      <w:r>
        <w:rPr>
          <w:color w:val="231F20"/>
          <w:spacing w:val="-6"/>
        </w:rPr>
        <w:t> </w:t>
      </w:r>
      <w:r>
        <w:rPr>
          <w:color w:val="231F20"/>
        </w:rPr>
        <w:t>travel,</w:t>
      </w:r>
      <w:r>
        <w:rPr>
          <w:color w:val="231F20"/>
          <w:spacing w:val="-7"/>
        </w:rPr>
        <w:t> </w:t>
      </w:r>
      <w:r>
        <w:rPr>
          <w:color w:val="231F20"/>
        </w:rPr>
        <w:t>and</w:t>
      </w:r>
      <w:r>
        <w:rPr>
          <w:color w:val="231F20"/>
          <w:spacing w:val="-7"/>
        </w:rPr>
        <w:t> </w:t>
      </w:r>
      <w:r>
        <w:rPr>
          <w:color w:val="231F20"/>
          <w:spacing w:val="-1"/>
        </w:rPr>
        <w:t>improve</w:t>
      </w:r>
      <w:r>
        <w:rPr>
          <w:color w:val="231F20"/>
          <w:spacing w:val="-6"/>
        </w:rPr>
        <w:t> </w:t>
      </w:r>
      <w:r>
        <w:rPr>
          <w:color w:val="231F20"/>
        </w:rPr>
        <w:t>the</w:t>
      </w:r>
      <w:r>
        <w:rPr>
          <w:color w:val="231F20"/>
          <w:spacing w:val="22"/>
          <w:w w:val="99"/>
        </w:rPr>
        <w:t> </w:t>
      </w:r>
      <w:r>
        <w:rPr>
          <w:rFonts w:ascii="Segoe UI" w:hAnsi="Segoe UI"/>
          <w:color w:val="231F20"/>
        </w:rPr>
        <w:t>flexibility of travel, including allowing travel</w:t>
      </w:r>
      <w:r>
        <w:rPr>
          <w:rFonts w:ascii="Segoe UI" w:hAnsi="Segoe UI"/>
          <w:color w:val="231F20"/>
        </w:rPr>
        <w:t> </w:t>
      </w:r>
      <w:r>
        <w:rPr>
          <w:color w:val="231F20"/>
        </w:rPr>
        <w:t>for </w:t>
      </w:r>
      <w:r>
        <w:rPr>
          <w:color w:val="231F20"/>
          <w:spacing w:val="-1"/>
        </w:rPr>
        <w:t>suspensions</w:t>
      </w:r>
      <w:r>
        <w:rPr>
          <w:color w:val="231F20"/>
          <w:spacing w:val="2"/>
        </w:rPr>
        <w:t> </w:t>
      </w:r>
      <w:r>
        <w:rPr>
          <w:color w:val="231F20"/>
        </w:rPr>
        <w:t>or</w:t>
      </w:r>
      <w:r>
        <w:rPr>
          <w:color w:val="231F20"/>
          <w:spacing w:val="1"/>
        </w:rPr>
        <w:t> </w:t>
      </w:r>
      <w:r>
        <w:rPr>
          <w:color w:val="231F20"/>
          <w:spacing w:val="-1"/>
        </w:rPr>
        <w:t>exclusions</w:t>
      </w:r>
      <w:r>
        <w:rPr>
          <w:rFonts w:ascii="Segoe UI Semibold" w:hAnsi="Segoe UI Semibold"/>
          <w:b/>
          <w:color w:val="231F20"/>
          <w:spacing w:val="-1"/>
          <w:position w:val="7"/>
          <w:sz w:val="11"/>
        </w:rPr>
        <w:t>97</w:t>
      </w:r>
      <w:r>
        <w:rPr>
          <w:rFonts w:ascii="Segoe UI Semibold" w:hAnsi="Segoe UI Semibold"/>
          <w:sz w:val="11"/>
        </w:rPr>
      </w:r>
    </w:p>
    <w:p>
      <w:pPr>
        <w:pStyle w:val="BodyText"/>
        <w:spacing w:line="250" w:lineRule="exact" w:before="113"/>
        <w:ind w:left="327" w:right="162" w:hanging="227"/>
        <w:jc w:val="left"/>
      </w:pPr>
      <w:r>
        <w:rPr>
          <w:rFonts w:ascii="Century Gothic" w:hAnsi="Century Gothic"/>
          <w:color w:val="231F20"/>
        </w:rPr>
        <w:t>» </w:t>
      </w:r>
      <w:r>
        <w:rPr>
          <w:rFonts w:ascii="Century Gothic" w:hAnsi="Century Gothic"/>
          <w:color w:val="231F20"/>
          <w:spacing w:val="19"/>
        </w:rPr>
        <w:t> </w:t>
      </w:r>
      <w:r>
        <w:rPr>
          <w:color w:val="231F20"/>
          <w:spacing w:val="-1"/>
        </w:rPr>
        <w:t>improve</w:t>
      </w:r>
      <w:r>
        <w:rPr>
          <w:color w:val="231F20"/>
          <w:spacing w:val="-5"/>
        </w:rPr>
        <w:t> </w:t>
      </w:r>
      <w:r>
        <w:rPr>
          <w:color w:val="231F20"/>
        </w:rPr>
        <w:t>coordination</w:t>
      </w:r>
      <w:r>
        <w:rPr>
          <w:color w:val="231F20"/>
          <w:spacing w:val="-6"/>
        </w:rPr>
        <w:t> </w:t>
      </w:r>
      <w:r>
        <w:rPr>
          <w:color w:val="231F20"/>
        </w:rPr>
        <w:t>between</w:t>
      </w:r>
      <w:r>
        <w:rPr>
          <w:color w:val="231F20"/>
          <w:spacing w:val="-6"/>
        </w:rPr>
        <w:t> </w:t>
      </w:r>
      <w:r>
        <w:rPr>
          <w:color w:val="231F20"/>
        </w:rPr>
        <w:t>ABSTUDY</w:t>
      </w:r>
      <w:r>
        <w:rPr>
          <w:color w:val="231F20"/>
          <w:spacing w:val="-5"/>
        </w:rPr>
        <w:t> </w:t>
      </w:r>
      <w:r>
        <w:rPr>
          <w:color w:val="231F20"/>
        </w:rPr>
        <w:t>and</w:t>
      </w:r>
      <w:r>
        <w:rPr>
          <w:color w:val="231F20"/>
          <w:spacing w:val="22"/>
          <w:w w:val="99"/>
        </w:rPr>
        <w:t> </w:t>
      </w:r>
      <w:r>
        <w:rPr>
          <w:rFonts w:ascii="Segoe UI" w:hAnsi="Segoe UI"/>
          <w:color w:val="231F20"/>
        </w:rPr>
        <w:t>the Australian </w:t>
      </w:r>
      <w:r>
        <w:rPr>
          <w:rFonts w:ascii="Segoe UI" w:hAnsi="Segoe UI"/>
          <w:color w:val="231F20"/>
          <w:spacing w:val="-3"/>
        </w:rPr>
        <w:t>Taxation</w:t>
      </w:r>
      <w:r>
        <w:rPr>
          <w:rFonts w:ascii="Segoe UI" w:hAnsi="Segoe UI"/>
          <w:color w:val="231F20"/>
        </w:rPr>
        <w:t> Office to simplify the</w:t>
      </w:r>
      <w:r>
        <w:rPr>
          <w:rFonts w:ascii="Segoe UI" w:hAnsi="Segoe UI"/>
          <w:color w:val="231F20"/>
          <w:spacing w:val="21"/>
        </w:rPr>
        <w:t> </w:t>
      </w:r>
      <w:r>
        <w:rPr>
          <w:rFonts w:ascii="Segoe UI" w:hAnsi="Segoe UI"/>
          <w:color w:val="231F20"/>
        </w:rPr>
        <w:t>process for obtaining tax file numbers for</w:t>
      </w:r>
      <w:r>
        <w:rPr>
          <w:rFonts w:ascii="Segoe UI" w:hAnsi="Segoe UI"/>
          <w:color w:val="231F20"/>
        </w:rPr>
        <w:t> </w:t>
      </w:r>
      <w:r>
        <w:rPr>
          <w:color w:val="231F20"/>
          <w:spacing w:val="-1"/>
        </w:rPr>
        <w:t>students</w:t>
      </w:r>
      <w:r>
        <w:rPr>
          <w:color w:val="231F20"/>
          <w:spacing w:val="-3"/>
        </w:rPr>
        <w:t> </w:t>
      </w:r>
      <w:r>
        <w:rPr>
          <w:color w:val="231F20"/>
        </w:rPr>
        <w:t>over</w:t>
      </w:r>
      <w:r>
        <w:rPr>
          <w:color w:val="231F20"/>
          <w:spacing w:val="-3"/>
        </w:rPr>
        <w:t> </w:t>
      </w:r>
      <w:r>
        <w:rPr>
          <w:color w:val="231F20"/>
        </w:rPr>
        <w:t>the</w:t>
      </w:r>
      <w:r>
        <w:rPr>
          <w:color w:val="231F20"/>
          <w:spacing w:val="-4"/>
        </w:rPr>
        <w:t> </w:t>
      </w:r>
      <w:r>
        <w:rPr>
          <w:color w:val="231F20"/>
        </w:rPr>
        <w:t>age</w:t>
      </w:r>
      <w:r>
        <w:rPr>
          <w:color w:val="231F20"/>
          <w:spacing w:val="-4"/>
        </w:rPr>
        <w:t> </w:t>
      </w:r>
      <w:r>
        <w:rPr>
          <w:color w:val="231F20"/>
        </w:rPr>
        <w:t>of</w:t>
      </w:r>
      <w:r>
        <w:rPr>
          <w:color w:val="231F20"/>
          <w:spacing w:val="-2"/>
        </w:rPr>
        <w:t> </w:t>
      </w:r>
      <w:r>
        <w:rPr>
          <w:color w:val="231F20"/>
          <w:spacing w:val="-1"/>
        </w:rPr>
        <w:t>16</w:t>
      </w:r>
      <w:r>
        <w:rPr>
          <w:color w:val="231F20"/>
          <w:spacing w:val="-3"/>
        </w:rPr>
        <w:t> </w:t>
      </w:r>
      <w:r>
        <w:rPr>
          <w:color w:val="231F20"/>
        </w:rPr>
        <w:t>years.</w:t>
      </w:r>
      <w:r>
        <w:rPr/>
      </w:r>
    </w:p>
    <w:p>
      <w:pPr>
        <w:pStyle w:val="BodyText"/>
        <w:spacing w:line="250" w:lineRule="exact" w:before="113"/>
        <w:ind w:left="100" w:right="430"/>
        <w:jc w:val="left"/>
      </w:pPr>
      <w:r>
        <w:rPr>
          <w:color w:val="231F20"/>
          <w:spacing w:val="-1"/>
        </w:rPr>
        <w:t>Positive</w:t>
      </w:r>
      <w:r>
        <w:rPr>
          <w:color w:val="231F20"/>
          <w:spacing w:val="-6"/>
        </w:rPr>
        <w:t> </w:t>
      </w:r>
      <w:r>
        <w:rPr>
          <w:color w:val="231F20"/>
        </w:rPr>
        <w:t>changes</w:t>
      </w:r>
      <w:r>
        <w:rPr>
          <w:color w:val="231F20"/>
          <w:spacing w:val="-6"/>
        </w:rPr>
        <w:t> </w:t>
      </w:r>
      <w:r>
        <w:rPr>
          <w:color w:val="231F20"/>
          <w:spacing w:val="-1"/>
        </w:rPr>
        <w:t>in</w:t>
      </w:r>
      <w:r>
        <w:rPr>
          <w:color w:val="231F20"/>
          <w:spacing w:val="-5"/>
        </w:rPr>
        <w:t> </w:t>
      </w:r>
      <w:r>
        <w:rPr>
          <w:color w:val="231F20"/>
        </w:rPr>
        <w:t>the</w:t>
      </w:r>
      <w:r>
        <w:rPr>
          <w:color w:val="231F20"/>
          <w:spacing w:val="-6"/>
        </w:rPr>
        <w:t> </w:t>
      </w:r>
      <w:r>
        <w:rPr>
          <w:color w:val="231F20"/>
        </w:rPr>
        <w:t>administration</w:t>
      </w:r>
      <w:r>
        <w:rPr>
          <w:color w:val="231F20"/>
          <w:spacing w:val="-7"/>
        </w:rPr>
        <w:t> </w:t>
      </w:r>
      <w:r>
        <w:rPr>
          <w:color w:val="231F20"/>
        </w:rPr>
        <w:t>of</w:t>
      </w:r>
      <w:r>
        <w:rPr>
          <w:color w:val="231F20"/>
          <w:spacing w:val="21"/>
          <w:w w:val="99"/>
        </w:rPr>
        <w:t> </w:t>
      </w:r>
      <w:r>
        <w:rPr>
          <w:rFonts w:ascii="Segoe UI"/>
          <w:color w:val="231F20"/>
        </w:rPr>
        <w:t>ABSTUDY were identified by Grant Thornton</w:t>
      </w:r>
      <w:r>
        <w:rPr>
          <w:rFonts w:ascii="Segoe UI"/>
          <w:color w:val="231F20"/>
        </w:rPr>
        <w:t> </w:t>
      </w:r>
      <w:r>
        <w:rPr>
          <w:color w:val="231F20"/>
        </w:rPr>
        <w:t>and</w:t>
      </w:r>
      <w:r>
        <w:rPr>
          <w:color w:val="231F20"/>
          <w:spacing w:val="-8"/>
        </w:rPr>
        <w:t> </w:t>
      </w:r>
      <w:r>
        <w:rPr>
          <w:color w:val="231F20"/>
        </w:rPr>
        <w:t>highlighted</w:t>
      </w:r>
      <w:r>
        <w:rPr>
          <w:color w:val="231F20"/>
          <w:spacing w:val="-7"/>
        </w:rPr>
        <w:t> </w:t>
      </w:r>
      <w:r>
        <w:rPr>
          <w:color w:val="231F20"/>
        </w:rPr>
        <w:t>by</w:t>
      </w:r>
      <w:r>
        <w:rPr>
          <w:color w:val="231F20"/>
          <w:spacing w:val="-7"/>
        </w:rPr>
        <w:t> </w:t>
      </w:r>
      <w:r>
        <w:rPr>
          <w:color w:val="231F20"/>
        </w:rPr>
        <w:t>boarding</w:t>
      </w:r>
      <w:r>
        <w:rPr>
          <w:color w:val="231F20"/>
          <w:spacing w:val="-7"/>
        </w:rPr>
        <w:t> </w:t>
      </w:r>
      <w:r>
        <w:rPr>
          <w:color w:val="231F20"/>
        </w:rPr>
        <w:t>providers,</w:t>
      </w:r>
      <w:r>
        <w:rPr>
          <w:color w:val="231F20"/>
          <w:spacing w:val="-8"/>
        </w:rPr>
        <w:t> </w:t>
      </w:r>
      <w:r>
        <w:rPr>
          <w:color w:val="231F20"/>
          <w:spacing w:val="-1"/>
        </w:rPr>
        <w:t>such</w:t>
      </w:r>
      <w:r>
        <w:rPr>
          <w:color w:val="231F20"/>
          <w:spacing w:val="19"/>
        </w:rPr>
        <w:t> </w:t>
      </w:r>
      <w:r>
        <w:rPr>
          <w:color w:val="231F20"/>
        </w:rPr>
        <w:t>as</w:t>
      </w:r>
      <w:r>
        <w:rPr>
          <w:color w:val="231F20"/>
          <w:spacing w:val="-7"/>
        </w:rPr>
        <w:t> </w:t>
      </w:r>
      <w:r>
        <w:rPr>
          <w:color w:val="231F20"/>
        </w:rPr>
        <w:t>the</w:t>
      </w:r>
      <w:r>
        <w:rPr>
          <w:color w:val="231F20"/>
          <w:spacing w:val="-6"/>
        </w:rPr>
        <w:t> </w:t>
      </w:r>
      <w:r>
        <w:rPr>
          <w:color w:val="231F20"/>
          <w:spacing w:val="-1"/>
        </w:rPr>
        <w:t>introduction</w:t>
      </w:r>
      <w:r>
        <w:rPr>
          <w:color w:val="231F20"/>
          <w:spacing w:val="-4"/>
        </w:rPr>
        <w:t> </w:t>
      </w:r>
      <w:r>
        <w:rPr>
          <w:color w:val="231F20"/>
        </w:rPr>
        <w:t>by</w:t>
      </w:r>
      <w:r>
        <w:rPr>
          <w:color w:val="231F20"/>
          <w:spacing w:val="-5"/>
        </w:rPr>
        <w:t> </w:t>
      </w:r>
      <w:r>
        <w:rPr>
          <w:color w:val="231F20"/>
        </w:rPr>
        <w:t>the</w:t>
      </w:r>
      <w:r>
        <w:rPr>
          <w:color w:val="231F20"/>
          <w:spacing w:val="-6"/>
        </w:rPr>
        <w:t> </w:t>
      </w:r>
      <w:r>
        <w:rPr>
          <w:color w:val="231F20"/>
          <w:spacing w:val="-1"/>
        </w:rPr>
        <w:t>Department</w:t>
      </w:r>
      <w:r>
        <w:rPr>
          <w:color w:val="231F20"/>
          <w:spacing w:val="-6"/>
        </w:rPr>
        <w:t> </w:t>
      </w:r>
      <w:r>
        <w:rPr>
          <w:color w:val="231F20"/>
        </w:rPr>
        <w:t>of</w:t>
      </w:r>
      <w:r>
        <w:rPr/>
      </w:r>
    </w:p>
    <w:p>
      <w:pPr>
        <w:pStyle w:val="BodyText"/>
        <w:spacing w:line="250" w:lineRule="exact"/>
        <w:ind w:left="100" w:right="200"/>
        <w:jc w:val="left"/>
      </w:pPr>
      <w:r>
        <w:rPr>
          <w:color w:val="231F20"/>
        </w:rPr>
        <w:t>Human</w:t>
      </w:r>
      <w:r>
        <w:rPr>
          <w:color w:val="231F20"/>
          <w:spacing w:val="-8"/>
        </w:rPr>
        <w:t> </w:t>
      </w:r>
      <w:r>
        <w:rPr>
          <w:color w:val="231F20"/>
          <w:spacing w:val="-1"/>
        </w:rPr>
        <w:t>Services</w:t>
      </w:r>
      <w:r>
        <w:rPr>
          <w:color w:val="231F20"/>
          <w:spacing w:val="-6"/>
        </w:rPr>
        <w:t> </w:t>
      </w:r>
      <w:r>
        <w:rPr>
          <w:color w:val="231F20"/>
        </w:rPr>
        <w:t>of</w:t>
      </w:r>
      <w:r>
        <w:rPr>
          <w:color w:val="231F20"/>
          <w:spacing w:val="-7"/>
        </w:rPr>
        <w:t> </w:t>
      </w:r>
      <w:r>
        <w:rPr>
          <w:color w:val="231F20"/>
        </w:rPr>
        <w:t>verbal</w:t>
      </w:r>
      <w:r>
        <w:rPr>
          <w:color w:val="231F20"/>
          <w:spacing w:val="-7"/>
        </w:rPr>
        <w:t> </w:t>
      </w:r>
      <w:r>
        <w:rPr>
          <w:color w:val="231F20"/>
        </w:rPr>
        <w:t>customer</w:t>
      </w:r>
      <w:r>
        <w:rPr>
          <w:color w:val="231F20"/>
          <w:spacing w:val="-7"/>
        </w:rPr>
        <w:t> </w:t>
      </w:r>
      <w:r>
        <w:rPr>
          <w:color w:val="231F20"/>
        </w:rPr>
        <w:t>declarations</w:t>
      </w:r>
      <w:r>
        <w:rPr>
          <w:color w:val="231F20"/>
          <w:spacing w:val="22"/>
          <w:w w:val="99"/>
        </w:rPr>
        <w:t> </w:t>
      </w:r>
      <w:r>
        <w:rPr>
          <w:color w:val="231F20"/>
          <w:spacing w:val="-1"/>
        </w:rPr>
        <w:t>in</w:t>
      </w:r>
      <w:r>
        <w:rPr>
          <w:color w:val="231F20"/>
          <w:spacing w:val="-3"/>
        </w:rPr>
        <w:t> </w:t>
      </w:r>
      <w:r>
        <w:rPr>
          <w:color w:val="231F20"/>
        </w:rPr>
        <w:t>November</w:t>
      </w:r>
      <w:r>
        <w:rPr>
          <w:color w:val="231F20"/>
          <w:spacing w:val="-2"/>
        </w:rPr>
        <w:t> </w:t>
      </w:r>
      <w:r>
        <w:rPr>
          <w:color w:val="231F20"/>
          <w:spacing w:val="-1"/>
        </w:rPr>
        <w:t>2016,</w:t>
      </w:r>
      <w:r>
        <w:rPr>
          <w:color w:val="231F20"/>
          <w:spacing w:val="-3"/>
        </w:rPr>
        <w:t> </w:t>
      </w:r>
      <w:r>
        <w:rPr>
          <w:color w:val="231F20"/>
          <w:spacing w:val="-1"/>
        </w:rPr>
        <w:t>improvements</w:t>
      </w:r>
      <w:r>
        <w:rPr>
          <w:color w:val="231F20"/>
          <w:spacing w:val="-2"/>
        </w:rPr>
        <w:t> </w:t>
      </w:r>
      <w:r>
        <w:rPr>
          <w:color w:val="231F20"/>
          <w:spacing w:val="-1"/>
        </w:rPr>
        <w:t>in</w:t>
      </w:r>
      <w:r>
        <w:rPr>
          <w:color w:val="231F20"/>
          <w:spacing w:val="-3"/>
        </w:rPr>
        <w:t> </w:t>
      </w:r>
      <w:r>
        <w:rPr>
          <w:color w:val="231F20"/>
        </w:rPr>
        <w:t>the</w:t>
      </w:r>
      <w:r>
        <w:rPr>
          <w:color w:val="231F20"/>
          <w:spacing w:val="25"/>
          <w:w w:val="99"/>
        </w:rPr>
        <w:t> </w:t>
      </w:r>
      <w:r>
        <w:rPr>
          <w:color w:val="231F20"/>
        </w:rPr>
        <w:t>administration</w:t>
      </w:r>
      <w:r>
        <w:rPr>
          <w:color w:val="231F20"/>
          <w:spacing w:val="-7"/>
        </w:rPr>
        <w:t> </w:t>
      </w:r>
      <w:r>
        <w:rPr>
          <w:color w:val="231F20"/>
        </w:rPr>
        <w:t>of</w:t>
      </w:r>
      <w:r>
        <w:rPr>
          <w:color w:val="231F20"/>
          <w:spacing w:val="-5"/>
        </w:rPr>
        <w:t> </w:t>
      </w:r>
      <w:r>
        <w:rPr>
          <w:color w:val="231F20"/>
        </w:rPr>
        <w:t>ABSTUDY</w:t>
      </w:r>
      <w:r>
        <w:rPr>
          <w:color w:val="231F20"/>
          <w:spacing w:val="-6"/>
        </w:rPr>
        <w:t> </w:t>
      </w:r>
      <w:r>
        <w:rPr>
          <w:color w:val="231F20"/>
        </w:rPr>
        <w:t>travel</w:t>
      </w:r>
      <w:r>
        <w:rPr>
          <w:color w:val="231F20"/>
          <w:spacing w:val="-6"/>
        </w:rPr>
        <w:t> </w:t>
      </w:r>
      <w:r>
        <w:rPr>
          <w:color w:val="231F20"/>
          <w:spacing w:val="-1"/>
        </w:rPr>
        <w:t>in</w:t>
      </w:r>
      <w:r>
        <w:rPr>
          <w:color w:val="231F20"/>
          <w:spacing w:val="-5"/>
        </w:rPr>
        <w:t> </w:t>
      </w:r>
      <w:r>
        <w:rPr>
          <w:color w:val="231F20"/>
        </w:rPr>
        <w:t>recent</w:t>
      </w:r>
      <w:r>
        <w:rPr>
          <w:color w:val="231F20"/>
          <w:spacing w:val="21"/>
          <w:w w:val="99"/>
        </w:rPr>
        <w:t> </w:t>
      </w:r>
      <w:r>
        <w:rPr>
          <w:color w:val="231F20"/>
        </w:rPr>
        <w:t>years</w:t>
      </w:r>
      <w:r>
        <w:rPr>
          <w:color w:val="231F20"/>
          <w:spacing w:val="-5"/>
        </w:rPr>
        <w:t> </w:t>
      </w:r>
      <w:r>
        <w:rPr>
          <w:color w:val="231F20"/>
        </w:rPr>
        <w:t>and</w:t>
      </w:r>
      <w:r>
        <w:rPr>
          <w:color w:val="231F20"/>
          <w:spacing w:val="-4"/>
        </w:rPr>
        <w:t> </w:t>
      </w:r>
      <w:r>
        <w:rPr>
          <w:color w:val="231F20"/>
        </w:rPr>
        <w:t>the</w:t>
      </w:r>
      <w:r>
        <w:rPr>
          <w:color w:val="231F20"/>
          <w:spacing w:val="-5"/>
        </w:rPr>
        <w:t> </w:t>
      </w:r>
      <w:r>
        <w:rPr>
          <w:color w:val="231F20"/>
          <w:spacing w:val="-1"/>
        </w:rPr>
        <w:t>2018</w:t>
      </w:r>
      <w:r>
        <w:rPr>
          <w:color w:val="231F20"/>
          <w:spacing w:val="-3"/>
        </w:rPr>
        <w:t> </w:t>
      </w:r>
      <w:r>
        <w:rPr>
          <w:color w:val="231F20"/>
        </w:rPr>
        <w:t>budget</w:t>
      </w:r>
      <w:r>
        <w:rPr>
          <w:color w:val="231F20"/>
          <w:spacing w:val="-5"/>
        </w:rPr>
        <w:t> </w:t>
      </w:r>
      <w:r>
        <w:rPr>
          <w:color w:val="231F20"/>
          <w:spacing w:val="-1"/>
        </w:rPr>
        <w:t>measure</w:t>
      </w:r>
      <w:r>
        <w:rPr>
          <w:rFonts w:ascii="Segoe UI Semibold"/>
          <w:b/>
          <w:color w:val="231F20"/>
          <w:spacing w:val="-1"/>
          <w:position w:val="7"/>
          <w:sz w:val="11"/>
        </w:rPr>
        <w:t>98</w:t>
      </w:r>
      <w:r>
        <w:rPr>
          <w:rFonts w:ascii="Segoe UI Semibold"/>
          <w:b/>
          <w:color w:val="231F20"/>
          <w:spacing w:val="21"/>
          <w:position w:val="7"/>
          <w:sz w:val="11"/>
        </w:rPr>
        <w:t> </w:t>
      </w:r>
      <w:r>
        <w:rPr>
          <w:color w:val="231F20"/>
        </w:rPr>
        <w:t>that</w:t>
      </w:r>
      <w:r>
        <w:rPr>
          <w:color w:val="231F20"/>
          <w:spacing w:val="25"/>
          <w:w w:val="99"/>
        </w:rPr>
        <w:t> </w:t>
      </w:r>
      <w:r>
        <w:rPr>
          <w:color w:val="231F20"/>
        </w:rPr>
        <w:t>commenced</w:t>
      </w:r>
      <w:r>
        <w:rPr>
          <w:color w:val="231F20"/>
          <w:spacing w:val="-5"/>
        </w:rPr>
        <w:t> </w:t>
      </w:r>
      <w:r>
        <w:rPr>
          <w:color w:val="231F20"/>
        </w:rPr>
        <w:t>on</w:t>
      </w:r>
      <w:r>
        <w:rPr>
          <w:color w:val="231F20"/>
          <w:spacing w:val="-3"/>
        </w:rPr>
        <w:t> </w:t>
      </w:r>
      <w:r>
        <w:rPr>
          <w:color w:val="231F20"/>
        </w:rPr>
        <w:t>1</w:t>
      </w:r>
      <w:r>
        <w:rPr>
          <w:color w:val="231F20"/>
          <w:spacing w:val="-4"/>
        </w:rPr>
        <w:t> </w:t>
      </w:r>
      <w:r>
        <w:rPr>
          <w:color w:val="231F20"/>
        </w:rPr>
        <w:t>January</w:t>
      </w:r>
      <w:r>
        <w:rPr>
          <w:color w:val="231F20"/>
          <w:spacing w:val="-3"/>
        </w:rPr>
        <w:t> </w:t>
      </w:r>
      <w:r>
        <w:rPr>
          <w:color w:val="231F20"/>
          <w:spacing w:val="-1"/>
        </w:rPr>
        <w:t>2019.</w:t>
      </w:r>
      <w:r>
        <w:rPr>
          <w:color w:val="231F20"/>
          <w:spacing w:val="-3"/>
        </w:rPr>
        <w:t> </w:t>
      </w:r>
      <w:r>
        <w:rPr>
          <w:color w:val="231F20"/>
          <w:spacing w:val="-1"/>
        </w:rPr>
        <w:t>Boarding</w:t>
      </w:r>
      <w:r>
        <w:rPr>
          <w:color w:val="231F20"/>
          <w:spacing w:val="21"/>
          <w:w w:val="99"/>
        </w:rPr>
        <w:t> </w:t>
      </w:r>
      <w:r>
        <w:rPr>
          <w:color w:val="231F20"/>
        </w:rPr>
        <w:t>providers</w:t>
      </w:r>
      <w:r>
        <w:rPr>
          <w:color w:val="231F20"/>
          <w:spacing w:val="-6"/>
        </w:rPr>
        <w:t> </w:t>
      </w:r>
      <w:r>
        <w:rPr>
          <w:color w:val="231F20"/>
        </w:rPr>
        <w:t>and</w:t>
      </w:r>
      <w:r>
        <w:rPr>
          <w:color w:val="231F20"/>
          <w:spacing w:val="-5"/>
        </w:rPr>
        <w:t> </w:t>
      </w:r>
      <w:r>
        <w:rPr>
          <w:color w:val="231F20"/>
        </w:rPr>
        <w:t>peak</w:t>
      </w:r>
      <w:r>
        <w:rPr>
          <w:color w:val="231F20"/>
          <w:spacing w:val="-6"/>
        </w:rPr>
        <w:t> </w:t>
      </w:r>
      <w:r>
        <w:rPr>
          <w:color w:val="231F20"/>
        </w:rPr>
        <w:t>bodies</w:t>
      </w:r>
      <w:r>
        <w:rPr>
          <w:color w:val="231F20"/>
          <w:spacing w:val="-5"/>
        </w:rPr>
        <w:t> </w:t>
      </w:r>
      <w:r>
        <w:rPr>
          <w:color w:val="231F20"/>
        </w:rPr>
        <w:t>though</w:t>
      </w:r>
      <w:r>
        <w:rPr>
          <w:color w:val="231F20"/>
          <w:spacing w:val="-6"/>
        </w:rPr>
        <w:t> </w:t>
      </w:r>
      <w:r>
        <w:rPr>
          <w:color w:val="231F20"/>
        </w:rPr>
        <w:t>consistently</w:t>
      </w:r>
      <w:r>
        <w:rPr>
          <w:color w:val="231F20"/>
        </w:rPr>
        <w:t> </w:t>
      </w:r>
      <w:r>
        <w:rPr>
          <w:color w:val="231F20"/>
          <w:spacing w:val="-1"/>
        </w:rPr>
        <w:t>suggested</w:t>
      </w:r>
      <w:r>
        <w:rPr>
          <w:color w:val="231F20"/>
          <w:spacing w:val="-4"/>
        </w:rPr>
        <w:t> </w:t>
      </w:r>
      <w:r>
        <w:rPr>
          <w:color w:val="231F20"/>
        </w:rPr>
        <w:t>that</w:t>
      </w:r>
      <w:r>
        <w:rPr>
          <w:color w:val="231F20"/>
          <w:spacing w:val="-4"/>
        </w:rPr>
        <w:t> </w:t>
      </w:r>
      <w:r>
        <w:rPr>
          <w:color w:val="231F20"/>
          <w:spacing w:val="-1"/>
        </w:rPr>
        <w:t>more</w:t>
      </w:r>
      <w:r>
        <w:rPr>
          <w:color w:val="231F20"/>
          <w:spacing w:val="-4"/>
        </w:rPr>
        <w:t> </w:t>
      </w:r>
      <w:r>
        <w:rPr>
          <w:color w:val="231F20"/>
        </w:rPr>
        <w:t>needs</w:t>
      </w:r>
      <w:r>
        <w:rPr>
          <w:color w:val="231F20"/>
          <w:spacing w:val="-5"/>
        </w:rPr>
        <w:t> </w:t>
      </w:r>
      <w:r>
        <w:rPr>
          <w:color w:val="231F20"/>
        </w:rPr>
        <w:t>to</w:t>
      </w:r>
      <w:r>
        <w:rPr>
          <w:color w:val="231F20"/>
          <w:spacing w:val="-4"/>
        </w:rPr>
        <w:t> </w:t>
      </w:r>
      <w:r>
        <w:rPr>
          <w:color w:val="231F20"/>
        </w:rPr>
        <w:t>be</w:t>
      </w:r>
      <w:r>
        <w:rPr>
          <w:color w:val="231F20"/>
          <w:spacing w:val="-4"/>
        </w:rPr>
        <w:t> </w:t>
      </w:r>
      <w:r>
        <w:rPr>
          <w:color w:val="231F20"/>
        </w:rPr>
        <w:t>done</w:t>
      </w:r>
      <w:r>
        <w:rPr>
          <w:color w:val="231F20"/>
          <w:spacing w:val="-5"/>
        </w:rPr>
        <w:t> </w:t>
      </w:r>
      <w:r>
        <w:rPr>
          <w:color w:val="231F20"/>
        </w:rPr>
        <w:t>to</w:t>
      </w:r>
      <w:r>
        <w:rPr>
          <w:color w:val="231F20"/>
          <w:spacing w:val="23"/>
          <w:w w:val="99"/>
        </w:rPr>
        <w:t> </w:t>
      </w:r>
      <w:r>
        <w:rPr>
          <w:color w:val="231F20"/>
          <w:spacing w:val="-1"/>
        </w:rPr>
        <w:t>improve</w:t>
      </w:r>
      <w:r>
        <w:rPr>
          <w:color w:val="231F20"/>
          <w:spacing w:val="-7"/>
        </w:rPr>
        <w:t> </w:t>
      </w:r>
      <w:r>
        <w:rPr>
          <w:color w:val="231F20"/>
        </w:rPr>
        <w:t>and</w:t>
      </w:r>
      <w:r>
        <w:rPr>
          <w:color w:val="231F20"/>
          <w:spacing w:val="-8"/>
        </w:rPr>
        <w:t> </w:t>
      </w:r>
      <w:r>
        <w:rPr>
          <w:color w:val="231F20"/>
        </w:rPr>
        <w:t>reduce</w:t>
      </w:r>
      <w:r>
        <w:rPr>
          <w:color w:val="231F20"/>
          <w:spacing w:val="-8"/>
        </w:rPr>
        <w:t> </w:t>
      </w:r>
      <w:r>
        <w:rPr>
          <w:color w:val="231F20"/>
        </w:rPr>
        <w:t>the</w:t>
      </w:r>
      <w:r>
        <w:rPr>
          <w:color w:val="231F20"/>
          <w:spacing w:val="-8"/>
        </w:rPr>
        <w:t> </w:t>
      </w:r>
      <w:r>
        <w:rPr>
          <w:color w:val="231F20"/>
        </w:rPr>
        <w:t>administration</w:t>
      </w:r>
      <w:r>
        <w:rPr>
          <w:color w:val="231F20"/>
          <w:spacing w:val="-8"/>
        </w:rPr>
        <w:t> </w:t>
      </w:r>
      <w:r>
        <w:rPr>
          <w:color w:val="231F20"/>
        </w:rPr>
        <w:t>of</w:t>
      </w:r>
      <w:r>
        <w:rPr>
          <w:color w:val="231F20"/>
          <w:spacing w:val="22"/>
          <w:w w:val="99"/>
        </w:rPr>
        <w:t> </w:t>
      </w:r>
      <w:r>
        <w:rPr>
          <w:color w:val="231F20"/>
        </w:rPr>
        <w:t>ABSTUDY</w:t>
      </w:r>
      <w:r>
        <w:rPr>
          <w:color w:val="231F20"/>
          <w:spacing w:val="-6"/>
        </w:rPr>
        <w:t> </w:t>
      </w:r>
      <w:r>
        <w:rPr>
          <w:color w:val="231F20"/>
        </w:rPr>
        <w:t>to</w:t>
      </w:r>
      <w:r>
        <w:rPr>
          <w:color w:val="231F20"/>
          <w:spacing w:val="-4"/>
        </w:rPr>
        <w:t> </w:t>
      </w:r>
      <w:r>
        <w:rPr>
          <w:color w:val="231F20"/>
        </w:rPr>
        <w:t>ensure</w:t>
      </w:r>
      <w:r>
        <w:rPr>
          <w:color w:val="231F20"/>
          <w:spacing w:val="-5"/>
        </w:rPr>
        <w:t> </w:t>
      </w:r>
      <w:r>
        <w:rPr>
          <w:color w:val="231F20"/>
        </w:rPr>
        <w:t>that</w:t>
      </w:r>
      <w:r>
        <w:rPr>
          <w:color w:val="231F20"/>
          <w:spacing w:val="-6"/>
        </w:rPr>
        <w:t> </w:t>
      </w:r>
      <w:r>
        <w:rPr>
          <w:color w:val="231F20"/>
          <w:spacing w:val="-1"/>
        </w:rPr>
        <w:t>more</w:t>
      </w:r>
      <w:r>
        <w:rPr>
          <w:color w:val="231F20"/>
          <w:spacing w:val="-4"/>
        </w:rPr>
        <w:t> </w:t>
      </w:r>
      <w:r>
        <w:rPr>
          <w:color w:val="231F20"/>
        </w:rPr>
        <w:t>of</w:t>
      </w:r>
      <w:r>
        <w:rPr>
          <w:color w:val="231F20"/>
          <w:spacing w:val="-4"/>
        </w:rPr>
        <w:t> </w:t>
      </w:r>
      <w:r>
        <w:rPr>
          <w:color w:val="231F20"/>
        </w:rPr>
        <w:t>boarding</w:t>
      </w:r>
      <w:r>
        <w:rPr>
          <w:color w:val="231F20"/>
          <w:spacing w:val="21"/>
          <w:w w:val="99"/>
        </w:rPr>
        <w:t> </w:t>
      </w:r>
      <w:r>
        <w:rPr>
          <w:color w:val="231F20"/>
        </w:rPr>
        <w:t>funding</w:t>
      </w:r>
      <w:r>
        <w:rPr>
          <w:color w:val="231F20"/>
          <w:spacing w:val="-7"/>
        </w:rPr>
        <w:t> </w:t>
      </w:r>
      <w:r>
        <w:rPr>
          <w:color w:val="231F20"/>
        </w:rPr>
        <w:t>and</w:t>
      </w:r>
      <w:r>
        <w:rPr>
          <w:color w:val="231F20"/>
          <w:spacing w:val="-7"/>
        </w:rPr>
        <w:t> </w:t>
      </w:r>
      <w:r>
        <w:rPr>
          <w:color w:val="231F20"/>
        </w:rPr>
        <w:t>resources</w:t>
      </w:r>
      <w:r>
        <w:rPr>
          <w:color w:val="231F20"/>
          <w:spacing w:val="-8"/>
        </w:rPr>
        <w:t> </w:t>
      </w:r>
      <w:r>
        <w:rPr>
          <w:color w:val="231F20"/>
        </w:rPr>
        <w:t>are</w:t>
      </w:r>
      <w:r>
        <w:rPr>
          <w:color w:val="231F20"/>
          <w:spacing w:val="-7"/>
        </w:rPr>
        <w:t> </w:t>
      </w:r>
      <w:r>
        <w:rPr>
          <w:color w:val="231F20"/>
        </w:rPr>
        <w:t>directed</w:t>
      </w:r>
      <w:r>
        <w:rPr>
          <w:color w:val="231F20"/>
          <w:spacing w:val="-7"/>
        </w:rPr>
        <w:t> </w:t>
      </w:r>
      <w:r>
        <w:rPr>
          <w:color w:val="231F20"/>
        </w:rPr>
        <w:t>to</w:t>
      </w:r>
      <w:r>
        <w:rPr/>
      </w:r>
    </w:p>
    <w:p>
      <w:pPr>
        <w:pStyle w:val="BodyText"/>
        <w:spacing w:line="250" w:lineRule="exact"/>
        <w:ind w:left="100" w:right="295"/>
        <w:jc w:val="left"/>
      </w:pPr>
      <w:r>
        <w:rPr>
          <w:color w:val="231F20"/>
        </w:rPr>
        <w:t>providing</w:t>
      </w:r>
      <w:r>
        <w:rPr>
          <w:color w:val="231F20"/>
          <w:spacing w:val="-6"/>
        </w:rPr>
        <w:t> </w:t>
      </w:r>
      <w:r>
        <w:rPr>
          <w:color w:val="231F20"/>
          <w:spacing w:val="-1"/>
        </w:rPr>
        <w:t>services</w:t>
      </w:r>
      <w:r>
        <w:rPr>
          <w:color w:val="231F20"/>
          <w:spacing w:val="-6"/>
        </w:rPr>
        <w:t> </w:t>
      </w:r>
      <w:r>
        <w:rPr>
          <w:color w:val="231F20"/>
        </w:rPr>
        <w:t>to</w:t>
      </w:r>
      <w:r>
        <w:rPr>
          <w:color w:val="231F20"/>
          <w:spacing w:val="-5"/>
        </w:rPr>
        <w:t> </w:t>
      </w:r>
      <w:r>
        <w:rPr>
          <w:color w:val="231F20"/>
        </w:rPr>
        <w:t>boarders</w:t>
      </w:r>
      <w:r>
        <w:rPr>
          <w:color w:val="231F20"/>
          <w:spacing w:val="-6"/>
        </w:rPr>
        <w:t> </w:t>
      </w:r>
      <w:r>
        <w:rPr>
          <w:color w:val="231F20"/>
        </w:rPr>
        <w:t>rather</w:t>
      </w:r>
      <w:r>
        <w:rPr>
          <w:color w:val="231F20"/>
          <w:spacing w:val="-6"/>
        </w:rPr>
        <w:t> </w:t>
      </w:r>
      <w:r>
        <w:rPr>
          <w:color w:val="231F20"/>
        </w:rPr>
        <w:t>than</w:t>
      </w:r>
      <w:r>
        <w:rPr>
          <w:color w:val="231F20"/>
          <w:spacing w:val="-6"/>
        </w:rPr>
        <w:t> </w:t>
      </w:r>
      <w:r>
        <w:rPr>
          <w:color w:val="231F20"/>
        </w:rPr>
        <w:t>the</w:t>
      </w:r>
      <w:r>
        <w:rPr>
          <w:color w:val="231F20"/>
          <w:spacing w:val="22"/>
          <w:w w:val="99"/>
        </w:rPr>
        <w:t> </w:t>
      </w:r>
      <w:r>
        <w:rPr>
          <w:color w:val="231F20"/>
        </w:rPr>
        <w:t>administration</w:t>
      </w:r>
      <w:r>
        <w:rPr>
          <w:color w:val="231F20"/>
          <w:spacing w:val="-10"/>
        </w:rPr>
        <w:t> </w:t>
      </w:r>
      <w:r>
        <w:rPr>
          <w:color w:val="231F20"/>
        </w:rPr>
        <w:t>of</w:t>
      </w:r>
      <w:r>
        <w:rPr>
          <w:color w:val="231F20"/>
          <w:spacing w:val="-7"/>
        </w:rPr>
        <w:t> </w:t>
      </w:r>
      <w:r>
        <w:rPr>
          <w:color w:val="231F20"/>
        </w:rPr>
        <w:t>ABSTUDY.</w:t>
      </w:r>
      <w:r>
        <w:rPr/>
      </w:r>
    </w:p>
    <w:p>
      <w:pPr>
        <w:pStyle w:val="BodyText"/>
        <w:spacing w:line="250" w:lineRule="exact" w:before="113"/>
        <w:ind w:left="100" w:right="296"/>
        <w:jc w:val="left"/>
      </w:pPr>
      <w:r>
        <w:rPr>
          <w:color w:val="231F20"/>
          <w:spacing w:val="-1"/>
        </w:rPr>
        <w:t>Recommended</w:t>
      </w:r>
      <w:r>
        <w:rPr>
          <w:color w:val="231F20"/>
          <w:spacing w:val="-4"/>
        </w:rPr>
        <w:t> </w:t>
      </w:r>
      <w:r>
        <w:rPr>
          <w:color w:val="231F20"/>
        </w:rPr>
        <w:t>changes</w:t>
      </w:r>
      <w:r>
        <w:rPr>
          <w:color w:val="231F20"/>
          <w:spacing w:val="-4"/>
        </w:rPr>
        <w:t> </w:t>
      </w:r>
      <w:r>
        <w:rPr>
          <w:color w:val="231F20"/>
        </w:rPr>
        <w:t>to</w:t>
      </w:r>
      <w:r>
        <w:rPr>
          <w:color w:val="231F20"/>
          <w:spacing w:val="-3"/>
        </w:rPr>
        <w:t> </w:t>
      </w:r>
      <w:r>
        <w:rPr>
          <w:color w:val="231F20"/>
        </w:rPr>
        <w:t>ABSTUDY</w:t>
      </w:r>
      <w:r>
        <w:rPr>
          <w:color w:val="231F20"/>
          <w:spacing w:val="-4"/>
        </w:rPr>
        <w:t> </w:t>
      </w:r>
      <w:r>
        <w:rPr>
          <w:color w:val="231F20"/>
        </w:rPr>
        <w:t>are</w:t>
      </w:r>
      <w:r>
        <w:rPr>
          <w:color w:val="231F20"/>
          <w:spacing w:val="25"/>
          <w:w w:val="99"/>
        </w:rPr>
        <w:t> </w:t>
      </w:r>
      <w:r>
        <w:rPr>
          <w:color w:val="231F20"/>
          <w:spacing w:val="-1"/>
        </w:rPr>
        <w:t>largely</w:t>
      </w:r>
      <w:r>
        <w:rPr>
          <w:color w:val="231F20"/>
          <w:spacing w:val="-3"/>
        </w:rPr>
        <w:t> </w:t>
      </w:r>
      <w:r>
        <w:rPr>
          <w:color w:val="231F20"/>
        </w:rPr>
        <w:t>outside</w:t>
      </w:r>
      <w:r>
        <w:rPr>
          <w:color w:val="231F20"/>
          <w:spacing w:val="-4"/>
        </w:rPr>
        <w:t> </w:t>
      </w:r>
      <w:r>
        <w:rPr>
          <w:color w:val="231F20"/>
        </w:rPr>
        <w:t>the</w:t>
      </w:r>
      <w:r>
        <w:rPr>
          <w:color w:val="231F20"/>
          <w:spacing w:val="-4"/>
        </w:rPr>
        <w:t> </w:t>
      </w:r>
      <w:r>
        <w:rPr>
          <w:color w:val="231F20"/>
          <w:spacing w:val="-1"/>
        </w:rPr>
        <w:t>scope</w:t>
      </w:r>
      <w:r>
        <w:rPr>
          <w:color w:val="231F20"/>
          <w:spacing w:val="-3"/>
        </w:rPr>
        <w:t> </w:t>
      </w:r>
      <w:r>
        <w:rPr>
          <w:color w:val="231F20"/>
        </w:rPr>
        <w:t>of</w:t>
      </w:r>
      <w:r>
        <w:rPr>
          <w:color w:val="231F20"/>
          <w:spacing w:val="-2"/>
        </w:rPr>
        <w:t> </w:t>
      </w:r>
      <w:r>
        <w:rPr>
          <w:color w:val="231F20"/>
        </w:rPr>
        <w:t>this</w:t>
      </w:r>
      <w:r>
        <w:rPr>
          <w:color w:val="231F20"/>
          <w:spacing w:val="-4"/>
        </w:rPr>
        <w:t> </w:t>
      </w:r>
      <w:r>
        <w:rPr>
          <w:color w:val="231F20"/>
        </w:rPr>
        <w:t>report</w:t>
      </w:r>
      <w:r>
        <w:rPr>
          <w:color w:val="231F20"/>
          <w:spacing w:val="-4"/>
        </w:rPr>
        <w:t> </w:t>
      </w:r>
      <w:r>
        <w:rPr>
          <w:color w:val="231F20"/>
        </w:rPr>
        <w:t>and</w:t>
      </w:r>
      <w:r>
        <w:rPr>
          <w:color w:val="231F20"/>
          <w:spacing w:val="-3"/>
        </w:rPr>
        <w:t> </w:t>
      </w:r>
      <w:r>
        <w:rPr>
          <w:color w:val="231F20"/>
          <w:spacing w:val="-3"/>
        </w:rPr>
      </w:r>
      <w:r>
        <w:rPr>
          <w:color w:val="231F20"/>
        </w:rPr>
        <w:t>are</w:t>
      </w:r>
      <w:r>
        <w:rPr>
          <w:color w:val="231F20"/>
          <w:spacing w:val="22"/>
        </w:rPr>
        <w:t> </w:t>
      </w:r>
      <w:r>
        <w:rPr>
          <w:color w:val="231F20"/>
        </w:rPr>
        <w:t>therefore</w:t>
      </w:r>
      <w:r>
        <w:rPr>
          <w:color w:val="231F20"/>
          <w:spacing w:val="-6"/>
        </w:rPr>
        <w:t> </w:t>
      </w:r>
      <w:r>
        <w:rPr>
          <w:color w:val="231F20"/>
        </w:rPr>
        <w:t>not</w:t>
      </w:r>
      <w:r>
        <w:rPr>
          <w:color w:val="231F20"/>
          <w:spacing w:val="-5"/>
        </w:rPr>
        <w:t> </w:t>
      </w:r>
      <w:r>
        <w:rPr>
          <w:color w:val="231F20"/>
        </w:rPr>
        <w:t>dealt</w:t>
      </w:r>
      <w:r>
        <w:rPr>
          <w:color w:val="231F20"/>
          <w:spacing w:val="-5"/>
        </w:rPr>
        <w:t> </w:t>
      </w:r>
      <w:r>
        <w:rPr>
          <w:color w:val="231F20"/>
        </w:rPr>
        <w:t>with</w:t>
      </w:r>
      <w:r>
        <w:rPr>
          <w:color w:val="231F20"/>
          <w:spacing w:val="-6"/>
        </w:rPr>
        <w:t> </w:t>
      </w:r>
      <w:r>
        <w:rPr>
          <w:color w:val="231F20"/>
          <w:spacing w:val="-1"/>
        </w:rPr>
        <w:t>in</w:t>
      </w:r>
      <w:r>
        <w:rPr>
          <w:color w:val="231F20"/>
          <w:spacing w:val="-5"/>
        </w:rPr>
        <w:t> </w:t>
      </w:r>
      <w:r>
        <w:rPr>
          <w:color w:val="231F20"/>
        </w:rPr>
        <w:t>any</w:t>
      </w:r>
      <w:r>
        <w:rPr>
          <w:color w:val="231F20"/>
          <w:spacing w:val="-6"/>
        </w:rPr>
        <w:t> </w:t>
      </w:r>
      <w:r>
        <w:rPr>
          <w:color w:val="231F20"/>
        </w:rPr>
        <w:t>depth.</w:t>
      </w:r>
      <w:r>
        <w:rPr>
          <w:color w:val="231F20"/>
          <w:spacing w:val="21"/>
          <w:w w:val="99"/>
        </w:rPr>
        <w:t> </w:t>
      </w:r>
      <w:r>
        <w:rPr>
          <w:color w:val="231F20"/>
        </w:rPr>
        <w:t>However,</w:t>
      </w:r>
      <w:r>
        <w:rPr>
          <w:color w:val="231F20"/>
          <w:spacing w:val="-6"/>
        </w:rPr>
        <w:t> </w:t>
      </w:r>
      <w:r>
        <w:rPr>
          <w:color w:val="231F20"/>
        </w:rPr>
        <w:t>they</w:t>
      </w:r>
      <w:r>
        <w:rPr>
          <w:color w:val="231F20"/>
          <w:spacing w:val="-6"/>
        </w:rPr>
        <w:t> </w:t>
      </w:r>
      <w:r>
        <w:rPr>
          <w:color w:val="231F20"/>
        </w:rPr>
        <w:t>are</w:t>
      </w:r>
      <w:r>
        <w:rPr>
          <w:color w:val="231F20"/>
          <w:spacing w:val="-6"/>
        </w:rPr>
        <w:t> </w:t>
      </w:r>
      <w:r>
        <w:rPr>
          <w:color w:val="231F20"/>
        </w:rPr>
        <w:t>noted</w:t>
      </w:r>
      <w:r>
        <w:rPr>
          <w:color w:val="231F20"/>
          <w:spacing w:val="-6"/>
        </w:rPr>
        <w:t> </w:t>
      </w:r>
      <w:r>
        <w:rPr>
          <w:color w:val="231F20"/>
        </w:rPr>
        <w:t>as</w:t>
      </w:r>
      <w:r>
        <w:rPr>
          <w:color w:val="231F20"/>
          <w:spacing w:val="-6"/>
        </w:rPr>
        <w:t> </w:t>
      </w:r>
      <w:r>
        <w:rPr>
          <w:color w:val="231F20"/>
        </w:rPr>
        <w:t>they</w:t>
      </w:r>
      <w:r>
        <w:rPr>
          <w:color w:val="231F20"/>
          <w:spacing w:val="-6"/>
        </w:rPr>
        <w:t> </w:t>
      </w:r>
      <w:r>
        <w:rPr>
          <w:color w:val="231F20"/>
        </w:rPr>
        <w:t>represented</w:t>
      </w:r>
      <w:r>
        <w:rPr>
          <w:color w:val="231F20"/>
          <w:spacing w:val="-7"/>
        </w:rPr>
        <w:t> </w:t>
      </w:r>
      <w:r>
        <w:rPr>
          <w:color w:val="231F20"/>
        </w:rPr>
        <w:t>a</w:t>
      </w:r>
      <w:r>
        <w:rPr>
          <w:color w:val="231F20"/>
          <w:w w:val="99"/>
        </w:rPr>
        <w:t> </w:t>
      </w:r>
      <w:r>
        <w:rPr>
          <w:color w:val="231F20"/>
          <w:spacing w:val="-1"/>
        </w:rPr>
        <w:t>strong</w:t>
      </w:r>
      <w:r>
        <w:rPr>
          <w:color w:val="231F20"/>
          <w:spacing w:val="-6"/>
        </w:rPr>
        <w:t> </w:t>
      </w:r>
      <w:r>
        <w:rPr>
          <w:color w:val="231F20"/>
        </w:rPr>
        <w:t>theme</w:t>
      </w:r>
      <w:r>
        <w:rPr>
          <w:color w:val="231F20"/>
          <w:spacing w:val="-6"/>
        </w:rPr>
        <w:t> </w:t>
      </w:r>
      <w:r>
        <w:rPr>
          <w:color w:val="231F20"/>
        </w:rPr>
        <w:t>of</w:t>
      </w:r>
      <w:r>
        <w:rPr>
          <w:color w:val="231F20"/>
          <w:spacing w:val="-5"/>
        </w:rPr>
        <w:t> </w:t>
      </w:r>
      <w:r>
        <w:rPr>
          <w:color w:val="231F20"/>
        </w:rPr>
        <w:t>the</w:t>
      </w:r>
      <w:r>
        <w:rPr>
          <w:color w:val="231F20"/>
          <w:spacing w:val="-7"/>
        </w:rPr>
        <w:t> </w:t>
      </w:r>
      <w:r>
        <w:rPr>
          <w:color w:val="231F20"/>
        </w:rPr>
        <w:t>feedback</w:t>
      </w:r>
      <w:r>
        <w:rPr>
          <w:color w:val="231F20"/>
          <w:spacing w:val="-5"/>
        </w:rPr>
        <w:t> </w:t>
      </w:r>
      <w:r>
        <w:rPr>
          <w:color w:val="231F20"/>
        </w:rPr>
        <w:t>received</w:t>
      </w:r>
      <w:r>
        <w:rPr>
          <w:color w:val="231F20"/>
          <w:spacing w:val="-6"/>
        </w:rPr>
        <w:t> </w:t>
      </w:r>
      <w:r>
        <w:rPr>
          <w:color w:val="231F20"/>
        </w:rPr>
        <w:t>during</w:t>
      </w:r>
      <w:r>
        <w:rPr>
          <w:color w:val="231F20"/>
          <w:spacing w:val="21"/>
          <w:w w:val="99"/>
        </w:rPr>
        <w:t> </w:t>
      </w:r>
      <w:r>
        <w:rPr>
          <w:color w:val="231F20"/>
        </w:rPr>
        <w:t>the</w:t>
      </w:r>
      <w:r>
        <w:rPr>
          <w:color w:val="231F20"/>
          <w:spacing w:val="-4"/>
        </w:rPr>
        <w:t> </w:t>
      </w:r>
      <w:r>
        <w:rPr>
          <w:color w:val="231F20"/>
        </w:rPr>
        <w:t>consultations</w:t>
      </w:r>
      <w:r>
        <w:rPr>
          <w:color w:val="231F20"/>
          <w:spacing w:val="-4"/>
        </w:rPr>
        <w:t> </w:t>
      </w:r>
      <w:r>
        <w:rPr>
          <w:color w:val="231F20"/>
        </w:rPr>
        <w:t>and</w:t>
      </w:r>
      <w:r>
        <w:rPr>
          <w:color w:val="231F20"/>
          <w:spacing w:val="-3"/>
        </w:rPr>
        <w:t> </w:t>
      </w:r>
      <w:r>
        <w:rPr>
          <w:color w:val="231F20"/>
        </w:rPr>
        <w:t>a</w:t>
      </w:r>
      <w:r>
        <w:rPr>
          <w:color w:val="231F20"/>
          <w:spacing w:val="-3"/>
        </w:rPr>
        <w:t> </w:t>
      </w:r>
      <w:r>
        <w:rPr>
          <w:color w:val="231F20"/>
        </w:rPr>
        <w:t>number</w:t>
      </w:r>
      <w:r>
        <w:rPr>
          <w:color w:val="231F20"/>
          <w:spacing w:val="-4"/>
        </w:rPr>
        <w:t> </w:t>
      </w:r>
      <w:r>
        <w:rPr>
          <w:color w:val="231F20"/>
        </w:rPr>
        <w:t>of</w:t>
      </w:r>
      <w:r>
        <w:rPr>
          <w:color w:val="231F20"/>
          <w:spacing w:val="-2"/>
        </w:rPr>
        <w:t> </w:t>
      </w:r>
      <w:r>
        <w:rPr>
          <w:color w:val="231F20"/>
        </w:rPr>
        <w:t>ABSTUDY</w:t>
      </w:r>
      <w:r>
        <w:rPr/>
      </w:r>
    </w:p>
    <w:p>
      <w:pPr>
        <w:pStyle w:val="BodyText"/>
        <w:spacing w:line="250" w:lineRule="exact"/>
        <w:ind w:left="100" w:right="183"/>
        <w:jc w:val="left"/>
      </w:pPr>
      <w:r>
        <w:rPr/>
        <w:pict>
          <v:group style="position:absolute;margin-left:525.409424pt;margin-top:112.281288pt;width:.1pt;height:.1pt;mso-position-horizontal-relative:page;mso-position-vertical-relative:paragraph;z-index:3664" coordorigin="10508,2246" coordsize="2,2">
            <v:shape style="position:absolute;left:10508;top:2246;width:2;height:2" coordorigin="10508,2246" coordsize="0,0" path="m10508,2246l10508,2246e" filled="false" stroked="true" strokeweight="2pt" strokecolor="#355f92">
              <v:path arrowok="t"/>
            </v:shape>
            <w10:wrap type="none"/>
          </v:group>
        </w:pict>
      </w:r>
      <w:r>
        <w:rPr/>
        <w:pict>
          <v:group style="position:absolute;margin-left:86.039398pt;margin-top:112.281288pt;width:.1pt;height:.1pt;mso-position-horizontal-relative:page;mso-position-vertical-relative:paragraph;z-index:3688" coordorigin="1721,2246" coordsize="2,2">
            <v:shape style="position:absolute;left:1721;top:2246;width:2;height:2" coordorigin="1721,2246" coordsize="0,0" path="m1721,2246l1721,2246e" filled="false" stroked="true" strokeweight="2pt" strokecolor="#355f92">
              <v:path arrowok="t"/>
            </v:shape>
            <w10:wrap type="none"/>
          </v:group>
        </w:pict>
      </w:r>
      <w:r>
        <w:rPr>
          <w:color w:val="231F20"/>
        </w:rPr>
        <w:t>related</w:t>
      </w:r>
      <w:r>
        <w:rPr>
          <w:color w:val="231F20"/>
          <w:spacing w:val="-11"/>
        </w:rPr>
        <w:t> </w:t>
      </w:r>
      <w:r>
        <w:rPr>
          <w:color w:val="231F20"/>
        </w:rPr>
        <w:t>recommendations</w:t>
      </w:r>
      <w:r>
        <w:rPr>
          <w:color w:val="231F20"/>
          <w:spacing w:val="-12"/>
        </w:rPr>
        <w:t> </w:t>
      </w:r>
      <w:r>
        <w:rPr>
          <w:color w:val="231F20"/>
        </w:rPr>
        <w:t>are</w:t>
      </w:r>
      <w:r>
        <w:rPr>
          <w:color w:val="231F20"/>
          <w:spacing w:val="-11"/>
        </w:rPr>
        <w:t> </w:t>
      </w:r>
      <w:r>
        <w:rPr>
          <w:color w:val="231F20"/>
          <w:spacing w:val="-1"/>
        </w:rPr>
        <w:t>made</w:t>
      </w:r>
      <w:r>
        <w:rPr>
          <w:color w:val="231F20"/>
          <w:spacing w:val="-10"/>
        </w:rPr>
        <w:t> </w:t>
      </w:r>
      <w:r>
        <w:rPr>
          <w:color w:val="231F20"/>
        </w:rPr>
        <w:t>throughout</w:t>
      </w:r>
      <w:r>
        <w:rPr>
          <w:color w:val="231F20"/>
          <w:spacing w:val="21"/>
          <w:w w:val="99"/>
        </w:rPr>
        <w:t> </w:t>
      </w:r>
      <w:r>
        <w:rPr>
          <w:rFonts w:ascii="Segoe UI"/>
          <w:color w:val="231F20"/>
        </w:rPr>
        <w:t>this report. Some of the issues identified above</w:t>
      </w:r>
      <w:r>
        <w:rPr>
          <w:rFonts w:ascii="Segoe UI"/>
          <w:color w:val="231F20"/>
        </w:rPr>
        <w:t> </w:t>
      </w:r>
      <w:r>
        <w:rPr>
          <w:color w:val="231F20"/>
        </w:rPr>
        <w:t>could</w:t>
      </w:r>
      <w:r>
        <w:rPr>
          <w:color w:val="231F20"/>
          <w:spacing w:val="-6"/>
        </w:rPr>
        <w:t> </w:t>
      </w:r>
      <w:r>
        <w:rPr>
          <w:color w:val="231F20"/>
        </w:rPr>
        <w:t>be</w:t>
      </w:r>
      <w:r>
        <w:rPr>
          <w:color w:val="231F20"/>
          <w:spacing w:val="-6"/>
        </w:rPr>
        <w:t> </w:t>
      </w:r>
      <w:r>
        <w:rPr>
          <w:color w:val="231F20"/>
        </w:rPr>
        <w:t>addressed</w:t>
      </w:r>
      <w:r>
        <w:rPr>
          <w:color w:val="231F20"/>
          <w:spacing w:val="-6"/>
        </w:rPr>
        <w:t> </w:t>
      </w:r>
      <w:r>
        <w:rPr>
          <w:color w:val="231F20"/>
        </w:rPr>
        <w:t>by</w:t>
      </w:r>
      <w:r>
        <w:rPr>
          <w:color w:val="231F20"/>
          <w:spacing w:val="-5"/>
        </w:rPr>
        <w:t> </w:t>
      </w:r>
      <w:r>
        <w:rPr>
          <w:color w:val="231F20"/>
          <w:spacing w:val="-1"/>
        </w:rPr>
        <w:t>improving</w:t>
      </w:r>
      <w:r>
        <w:rPr>
          <w:color w:val="231F20"/>
          <w:spacing w:val="-5"/>
        </w:rPr>
        <w:t> </w:t>
      </w:r>
      <w:r>
        <w:rPr>
          <w:color w:val="231F20"/>
        </w:rPr>
        <w:t>the</w:t>
      </w:r>
      <w:r>
        <w:rPr>
          <w:color w:val="231F20"/>
          <w:spacing w:val="-6"/>
        </w:rPr>
        <w:t> </w:t>
      </w:r>
      <w:r>
        <w:rPr>
          <w:color w:val="231F20"/>
        </w:rPr>
        <w:t>processes</w:t>
      </w:r>
      <w:r>
        <w:rPr>
          <w:color w:val="231F20"/>
          <w:spacing w:val="22"/>
        </w:rPr>
        <w:t> </w:t>
      </w:r>
      <w:r>
        <w:rPr>
          <w:color w:val="231F20"/>
          <w:spacing w:val="-1"/>
        </w:rPr>
        <w:t>surrounding</w:t>
      </w:r>
      <w:r>
        <w:rPr>
          <w:color w:val="231F20"/>
          <w:spacing w:val="-10"/>
        </w:rPr>
        <w:t> </w:t>
      </w:r>
      <w:r>
        <w:rPr>
          <w:color w:val="231F20"/>
        </w:rPr>
        <w:t>ABSTUDY</w:t>
      </w:r>
      <w:r>
        <w:rPr>
          <w:color w:val="231F20"/>
          <w:spacing w:val="-11"/>
        </w:rPr>
        <w:t> </w:t>
      </w:r>
      <w:r>
        <w:rPr>
          <w:color w:val="231F20"/>
        </w:rPr>
        <w:t>payments,</w:t>
      </w:r>
      <w:r>
        <w:rPr>
          <w:color w:val="231F20"/>
          <w:spacing w:val="-11"/>
        </w:rPr>
        <w:t> </w:t>
      </w:r>
      <w:r>
        <w:rPr>
          <w:color w:val="231F20"/>
        </w:rPr>
        <w:t>remittances</w:t>
      </w:r>
      <w:r>
        <w:rPr>
          <w:color w:val="231F20"/>
          <w:spacing w:val="22"/>
          <w:w w:val="99"/>
        </w:rPr>
        <w:t> </w:t>
      </w:r>
      <w:r>
        <w:rPr>
          <w:color w:val="231F20"/>
        </w:rPr>
        <w:t>and</w:t>
      </w:r>
      <w:r>
        <w:rPr>
          <w:color w:val="231F20"/>
          <w:spacing w:val="-7"/>
        </w:rPr>
        <w:t> </w:t>
      </w:r>
      <w:r>
        <w:rPr>
          <w:color w:val="231F20"/>
        </w:rPr>
        <w:t>travel.</w:t>
      </w:r>
      <w:r>
        <w:rPr>
          <w:color w:val="231F20"/>
          <w:spacing w:val="-7"/>
        </w:rPr>
        <w:t> </w:t>
      </w:r>
      <w:r>
        <w:rPr>
          <w:color w:val="231F20"/>
        </w:rPr>
        <w:t>This</w:t>
      </w:r>
      <w:r>
        <w:rPr>
          <w:color w:val="231F20"/>
          <w:spacing w:val="-7"/>
        </w:rPr>
        <w:t> </w:t>
      </w:r>
      <w:r>
        <w:rPr>
          <w:color w:val="231F20"/>
        </w:rPr>
        <w:t>would</w:t>
      </w:r>
      <w:r>
        <w:rPr>
          <w:color w:val="231F20"/>
          <w:spacing w:val="-7"/>
        </w:rPr>
        <w:t> </w:t>
      </w:r>
      <w:r>
        <w:rPr>
          <w:color w:val="231F20"/>
        </w:rPr>
        <w:t>reduce</w:t>
      </w:r>
      <w:r>
        <w:rPr>
          <w:color w:val="231F20"/>
          <w:spacing w:val="-7"/>
        </w:rPr>
        <w:t> </w:t>
      </w:r>
      <w:r>
        <w:rPr>
          <w:color w:val="231F20"/>
        </w:rPr>
        <w:t>the</w:t>
      </w:r>
      <w:r>
        <w:rPr>
          <w:color w:val="231F20"/>
          <w:spacing w:val="-7"/>
        </w:rPr>
        <w:t> </w:t>
      </w:r>
      <w:r>
        <w:rPr>
          <w:color w:val="231F20"/>
        </w:rPr>
        <w:t>administration</w:t>
      </w:r>
      <w:r>
        <w:rPr>
          <w:color w:val="231F20"/>
          <w:w w:val="99"/>
        </w:rPr>
        <w:t> </w:t>
      </w:r>
      <w:r>
        <w:rPr>
          <w:color w:val="231F20"/>
        </w:rPr>
        <w:t>costs</w:t>
      </w:r>
      <w:r>
        <w:rPr>
          <w:color w:val="231F20"/>
          <w:spacing w:val="-5"/>
        </w:rPr>
        <w:t> </w:t>
      </w:r>
      <w:r>
        <w:rPr>
          <w:color w:val="231F20"/>
        </w:rPr>
        <w:t>of</w:t>
      </w:r>
      <w:r>
        <w:rPr>
          <w:color w:val="231F20"/>
          <w:spacing w:val="-5"/>
        </w:rPr>
        <w:t> </w:t>
      </w:r>
      <w:r>
        <w:rPr>
          <w:color w:val="231F20"/>
        </w:rPr>
        <w:t>boarding</w:t>
      </w:r>
      <w:r>
        <w:rPr>
          <w:color w:val="231F20"/>
          <w:spacing w:val="-5"/>
        </w:rPr>
        <w:t> </w:t>
      </w:r>
      <w:r>
        <w:rPr>
          <w:color w:val="231F20"/>
        </w:rPr>
        <w:t>for</w:t>
      </w:r>
      <w:r>
        <w:rPr>
          <w:color w:val="231F20"/>
          <w:spacing w:val="-4"/>
        </w:rPr>
        <w:t> </w:t>
      </w:r>
      <w:r>
        <w:rPr>
          <w:color w:val="231F20"/>
        </w:rPr>
        <w:t>Aboriginal</w:t>
      </w:r>
      <w:r>
        <w:rPr>
          <w:color w:val="231F20"/>
          <w:spacing w:val="-4"/>
        </w:rPr>
        <w:t> </w:t>
      </w:r>
      <w:r>
        <w:rPr>
          <w:color w:val="231F20"/>
        </w:rPr>
        <w:t>and</w:t>
      </w:r>
      <w:r>
        <w:rPr>
          <w:color w:val="231F20"/>
          <w:spacing w:val="-5"/>
        </w:rPr>
        <w:t> Torres</w:t>
      </w:r>
      <w:r>
        <w:rPr>
          <w:color w:val="231F20"/>
          <w:spacing w:val="24"/>
          <w:w w:val="99"/>
        </w:rPr>
        <w:t> </w:t>
      </w:r>
      <w:r>
        <w:rPr>
          <w:color w:val="231F20"/>
          <w:spacing w:val="-2"/>
        </w:rPr>
        <w:t>Strait</w:t>
      </w:r>
      <w:r>
        <w:rPr>
          <w:color w:val="231F20"/>
          <w:spacing w:val="-10"/>
        </w:rPr>
        <w:t> </w:t>
      </w:r>
      <w:r>
        <w:rPr>
          <w:color w:val="231F20"/>
          <w:spacing w:val="-1"/>
        </w:rPr>
        <w:t>Islander</w:t>
      </w:r>
      <w:r>
        <w:rPr>
          <w:color w:val="231F20"/>
          <w:spacing w:val="-10"/>
        </w:rPr>
        <w:t> </w:t>
      </w:r>
      <w:r>
        <w:rPr>
          <w:color w:val="231F20"/>
        </w:rPr>
        <w:t>boarding</w:t>
      </w:r>
      <w:r>
        <w:rPr>
          <w:color w:val="231F20"/>
          <w:spacing w:val="-10"/>
        </w:rPr>
        <w:t> </w:t>
      </w:r>
      <w:r>
        <w:rPr>
          <w:color w:val="231F20"/>
        </w:rPr>
        <w:t>providers.</w:t>
      </w:r>
      <w:r>
        <w:rPr/>
      </w:r>
    </w:p>
    <w:p>
      <w:pPr>
        <w:spacing w:after="0" w:line="250" w:lineRule="exact"/>
        <w:jc w:val="left"/>
        <w:sectPr>
          <w:type w:val="continuous"/>
          <w:pgSz w:w="11910" w:h="16840"/>
          <w:pgMar w:top="1580" w:bottom="280" w:left="1600" w:right="1260"/>
          <w:cols w:num="2" w:equalWidth="0">
            <w:col w:w="4279" w:space="256"/>
            <w:col w:w="4515"/>
          </w:cols>
        </w:sectPr>
      </w:pPr>
    </w:p>
    <w:p>
      <w:pPr>
        <w:spacing w:line="240" w:lineRule="auto" w:before="0"/>
        <w:rPr>
          <w:rFonts w:ascii="Segoe UI" w:hAnsi="Segoe UI" w:cs="Segoe UI" w:eastAsia="Segoe UI"/>
          <w:sz w:val="20"/>
          <w:szCs w:val="20"/>
        </w:rPr>
      </w:pPr>
      <w:r>
        <w:rPr/>
        <w:pict>
          <v:group style="position:absolute;margin-left:86.039398pt;margin-top:733.173218pt;width:.1pt;height:.1pt;mso-position-horizontal-relative:page;mso-position-vertical-relative:page;z-index:-226576" coordorigin="1721,14663" coordsize="2,2">
            <v:shape style="position:absolute;left:1721;top:14663;width:2;height:2" coordorigin="1721,14663" coordsize="0,0" path="m1721,14663l1721,14663e" filled="false" stroked="true" strokeweight="2pt" strokecolor="#355f92">
              <v:path arrowok="t"/>
            </v:shape>
            <w10:wrap type="none"/>
          </v:group>
        </w:pict>
      </w:r>
      <w:r>
        <w:rPr/>
        <w:pict>
          <v:group style="position:absolute;margin-left:525.409424pt;margin-top:733.173218pt;width:.1pt;height:.1pt;mso-position-horizontal-relative:page;mso-position-vertical-relative:page;z-index:-226552" coordorigin="10508,14663" coordsize="2,2">
            <v:shape style="position:absolute;left:10508;top:14663;width:2;height:2" coordorigin="10508,14663" coordsize="0,0" path="m10508,14663l10508,14663e" filled="false" stroked="true" strokeweight="2pt" strokecolor="#355f92">
              <v:path arrowok="t"/>
            </v:shape>
            <w10:wrap type="none"/>
          </v:group>
        </w:pict>
      </w:r>
    </w:p>
    <w:p>
      <w:pPr>
        <w:spacing w:line="240" w:lineRule="auto" w:before="4"/>
        <w:rPr>
          <w:rFonts w:ascii="Segoe UI" w:hAnsi="Segoe UI" w:cs="Segoe UI" w:eastAsia="Segoe UI"/>
          <w:sz w:val="17"/>
          <w:szCs w:val="17"/>
        </w:rPr>
      </w:pPr>
    </w:p>
    <w:p>
      <w:pPr>
        <w:spacing w:line="200" w:lineRule="atLeast"/>
        <w:ind w:left="120" w:right="0" w:firstLine="0"/>
        <w:rPr>
          <w:rFonts w:ascii="Segoe UI" w:hAnsi="Segoe UI" w:cs="Segoe UI" w:eastAsia="Segoe UI"/>
          <w:sz w:val="20"/>
          <w:szCs w:val="20"/>
        </w:rPr>
      </w:pPr>
      <w:r>
        <w:rPr>
          <w:rFonts w:ascii="Segoe UI" w:hAnsi="Segoe UI" w:cs="Segoe UI" w:eastAsia="Segoe UI"/>
          <w:sz w:val="20"/>
          <w:szCs w:val="20"/>
        </w:rPr>
        <w:pict>
          <v:shape style="width:439.4pt;height:105.75pt;mso-position-horizontal-relative:char;mso-position-vertical-relative:line" type="#_x0000_t202" filled="true" fillcolor="#ecf1f5" stroked="true" strokeweight="2pt" strokecolor="#355f92">
            <v:textbox inset="0,0,0,0">
              <w:txbxContent>
                <w:p>
                  <w:pPr>
                    <w:spacing w:before="139"/>
                    <w:ind w:left="243" w:right="0" w:firstLine="0"/>
                    <w:jc w:val="left"/>
                    <w:rPr>
                      <w:rFonts w:ascii="Segoe UI Semibold" w:hAnsi="Segoe UI Semibold" w:cs="Segoe UI Semibold" w:eastAsia="Segoe UI Semibold"/>
                      <w:sz w:val="24"/>
                      <w:szCs w:val="24"/>
                    </w:rPr>
                  </w:pPr>
                  <w:r>
                    <w:rPr>
                      <w:rFonts w:ascii="Segoe UI Semibold"/>
                      <w:b/>
                      <w:color w:val="452A70"/>
                      <w:spacing w:val="-2"/>
                      <w:sz w:val="24"/>
                    </w:rPr>
                    <w:t>RECOMMENDATION</w:t>
                  </w:r>
                  <w:r>
                    <w:rPr>
                      <w:rFonts w:ascii="Segoe UI Semibold"/>
                      <w:b/>
                      <w:color w:val="452A70"/>
                      <w:spacing w:val="-8"/>
                      <w:sz w:val="24"/>
                    </w:rPr>
                    <w:t> </w:t>
                  </w:r>
                  <w:r>
                    <w:rPr>
                      <w:rFonts w:ascii="Segoe UI Semibold"/>
                      <w:b/>
                      <w:color w:val="452A70"/>
                      <w:spacing w:val="-1"/>
                      <w:sz w:val="24"/>
                    </w:rPr>
                    <w:t>5:</w:t>
                  </w:r>
                  <w:r>
                    <w:rPr>
                      <w:rFonts w:ascii="Segoe UI Semibold"/>
                      <w:b/>
                      <w:color w:val="452A70"/>
                      <w:spacing w:val="-7"/>
                      <w:sz w:val="24"/>
                    </w:rPr>
                    <w:t> </w:t>
                  </w:r>
                  <w:r>
                    <w:rPr>
                      <w:rFonts w:ascii="Segoe UI Semibold"/>
                      <w:b/>
                      <w:color w:val="452A70"/>
                      <w:spacing w:val="-1"/>
                      <w:sz w:val="24"/>
                    </w:rPr>
                    <w:t>ABSTUDY</w:t>
                  </w:r>
                  <w:r>
                    <w:rPr>
                      <w:rFonts w:ascii="Segoe UI Semibold"/>
                      <w:b/>
                      <w:color w:val="452A70"/>
                      <w:spacing w:val="-6"/>
                      <w:sz w:val="24"/>
                    </w:rPr>
                    <w:t> </w:t>
                  </w:r>
                  <w:r>
                    <w:rPr>
                      <w:rFonts w:ascii="Segoe UI Semibold"/>
                      <w:b/>
                      <w:color w:val="452A70"/>
                      <w:spacing w:val="-2"/>
                      <w:sz w:val="24"/>
                    </w:rPr>
                    <w:t>REMITTANCE</w:t>
                  </w:r>
                  <w:r>
                    <w:rPr>
                      <w:rFonts w:ascii="Segoe UI Semibold"/>
                      <w:b/>
                      <w:color w:val="452A70"/>
                      <w:spacing w:val="-7"/>
                      <w:sz w:val="24"/>
                    </w:rPr>
                    <w:t> </w:t>
                  </w:r>
                  <w:r>
                    <w:rPr>
                      <w:rFonts w:ascii="Segoe UI Semibold"/>
                      <w:b/>
                      <w:color w:val="452A70"/>
                      <w:spacing w:val="-1"/>
                      <w:sz w:val="24"/>
                    </w:rPr>
                    <w:t>ADVICE</w:t>
                  </w:r>
                  <w:r>
                    <w:rPr>
                      <w:rFonts w:ascii="Segoe UI Semibold"/>
                      <w:sz w:val="24"/>
                    </w:rPr>
                  </w:r>
                </w:p>
                <w:p>
                  <w:pPr>
                    <w:spacing w:line="250" w:lineRule="exact" w:before="131"/>
                    <w:ind w:left="243" w:right="486" w:firstLine="0"/>
                    <w:jc w:val="left"/>
                    <w:rPr>
                      <w:rFonts w:ascii="Segoe UI" w:hAnsi="Segoe UI" w:cs="Segoe UI" w:eastAsia="Segoe UI"/>
                      <w:sz w:val="20"/>
                      <w:szCs w:val="20"/>
                    </w:rPr>
                  </w:pPr>
                  <w:r>
                    <w:rPr>
                      <w:rFonts w:ascii="Segoe UI"/>
                      <w:color w:val="452A70"/>
                      <w:spacing w:val="-1"/>
                      <w:sz w:val="20"/>
                    </w:rPr>
                    <w:t>Reduce</w:t>
                  </w:r>
                  <w:r>
                    <w:rPr>
                      <w:rFonts w:ascii="Segoe UI"/>
                      <w:color w:val="452A70"/>
                      <w:spacing w:val="-6"/>
                      <w:sz w:val="20"/>
                    </w:rPr>
                    <w:t> </w:t>
                  </w:r>
                  <w:r>
                    <w:rPr>
                      <w:rFonts w:ascii="Segoe UI"/>
                      <w:color w:val="452A70"/>
                      <w:sz w:val="20"/>
                    </w:rPr>
                    <w:t>the</w:t>
                  </w:r>
                  <w:r>
                    <w:rPr>
                      <w:rFonts w:ascii="Segoe UI"/>
                      <w:color w:val="452A70"/>
                      <w:spacing w:val="-7"/>
                      <w:sz w:val="20"/>
                    </w:rPr>
                    <w:t> </w:t>
                  </w:r>
                  <w:r>
                    <w:rPr>
                      <w:rFonts w:ascii="Segoe UI"/>
                      <w:color w:val="452A70"/>
                      <w:sz w:val="20"/>
                    </w:rPr>
                    <w:t>administrative</w:t>
                  </w:r>
                  <w:r>
                    <w:rPr>
                      <w:rFonts w:ascii="Segoe UI"/>
                      <w:color w:val="452A70"/>
                      <w:spacing w:val="-8"/>
                      <w:sz w:val="20"/>
                    </w:rPr>
                    <w:t> </w:t>
                  </w:r>
                  <w:r>
                    <w:rPr>
                      <w:rFonts w:ascii="Segoe UI"/>
                      <w:color w:val="452A70"/>
                      <w:sz w:val="20"/>
                    </w:rPr>
                    <w:t>cost</w:t>
                  </w:r>
                  <w:r>
                    <w:rPr>
                      <w:rFonts w:ascii="Segoe UI"/>
                      <w:color w:val="452A70"/>
                      <w:spacing w:val="-7"/>
                      <w:sz w:val="20"/>
                    </w:rPr>
                    <w:t> </w:t>
                  </w:r>
                  <w:r>
                    <w:rPr>
                      <w:rFonts w:ascii="Segoe UI"/>
                      <w:color w:val="452A70"/>
                      <w:sz w:val="20"/>
                    </w:rPr>
                    <w:t>to</w:t>
                  </w:r>
                  <w:r>
                    <w:rPr>
                      <w:rFonts w:ascii="Segoe UI"/>
                      <w:color w:val="452A70"/>
                      <w:spacing w:val="-6"/>
                      <w:sz w:val="20"/>
                    </w:rPr>
                    <w:t> </w:t>
                  </w:r>
                  <w:r>
                    <w:rPr>
                      <w:rFonts w:ascii="Segoe UI"/>
                      <w:color w:val="452A70"/>
                      <w:sz w:val="20"/>
                    </w:rPr>
                    <w:t>boarding</w:t>
                  </w:r>
                  <w:r>
                    <w:rPr>
                      <w:rFonts w:ascii="Segoe UI"/>
                      <w:color w:val="452A70"/>
                      <w:spacing w:val="-7"/>
                      <w:sz w:val="20"/>
                    </w:rPr>
                    <w:t> </w:t>
                  </w:r>
                  <w:r>
                    <w:rPr>
                      <w:rFonts w:ascii="Segoe UI"/>
                      <w:color w:val="452A70"/>
                      <w:sz w:val="20"/>
                    </w:rPr>
                    <w:t>providers</w:t>
                  </w:r>
                  <w:r>
                    <w:rPr>
                      <w:rFonts w:ascii="Segoe UI"/>
                      <w:color w:val="452A70"/>
                      <w:spacing w:val="-6"/>
                      <w:sz w:val="20"/>
                    </w:rPr>
                    <w:t> </w:t>
                  </w:r>
                  <w:r>
                    <w:rPr>
                      <w:rFonts w:ascii="Segoe UI"/>
                      <w:color w:val="452A70"/>
                      <w:sz w:val="20"/>
                    </w:rPr>
                    <w:t>by</w:t>
                  </w:r>
                  <w:r>
                    <w:rPr>
                      <w:rFonts w:ascii="Segoe UI"/>
                      <w:color w:val="452A70"/>
                      <w:spacing w:val="-6"/>
                      <w:sz w:val="20"/>
                    </w:rPr>
                    <w:t> </w:t>
                  </w:r>
                  <w:r>
                    <w:rPr>
                      <w:rFonts w:ascii="Segoe UI"/>
                      <w:color w:val="452A70"/>
                      <w:sz w:val="20"/>
                    </w:rPr>
                    <w:t>providing</w:t>
                  </w:r>
                  <w:r>
                    <w:rPr>
                      <w:rFonts w:ascii="Segoe UI"/>
                      <w:color w:val="452A70"/>
                      <w:spacing w:val="-7"/>
                      <w:sz w:val="20"/>
                    </w:rPr>
                    <w:t> </w:t>
                  </w:r>
                  <w:r>
                    <w:rPr>
                      <w:rFonts w:ascii="Segoe UI"/>
                      <w:color w:val="452A70"/>
                      <w:sz w:val="20"/>
                    </w:rPr>
                    <w:t>clear,</w:t>
                  </w:r>
                  <w:r>
                    <w:rPr>
                      <w:rFonts w:ascii="Segoe UI"/>
                      <w:color w:val="452A70"/>
                      <w:spacing w:val="-7"/>
                      <w:sz w:val="20"/>
                    </w:rPr>
                    <w:t> </w:t>
                  </w:r>
                  <w:r>
                    <w:rPr>
                      <w:rFonts w:ascii="Segoe UI"/>
                      <w:color w:val="452A70"/>
                      <w:sz w:val="20"/>
                    </w:rPr>
                    <w:t>relevant</w:t>
                  </w:r>
                  <w:r>
                    <w:rPr>
                      <w:rFonts w:ascii="Segoe UI"/>
                      <w:color w:val="452A70"/>
                      <w:spacing w:val="-7"/>
                      <w:sz w:val="20"/>
                    </w:rPr>
                    <w:t> </w:t>
                  </w:r>
                  <w:r>
                    <w:rPr>
                      <w:rFonts w:ascii="Segoe UI"/>
                      <w:color w:val="452A70"/>
                      <w:sz w:val="20"/>
                    </w:rPr>
                    <w:t>and</w:t>
                  </w:r>
                  <w:r>
                    <w:rPr>
                      <w:rFonts w:ascii="Segoe UI"/>
                      <w:color w:val="452A70"/>
                      <w:spacing w:val="20"/>
                      <w:w w:val="99"/>
                      <w:sz w:val="20"/>
                    </w:rPr>
                    <w:t> </w:t>
                  </w:r>
                  <w:r>
                    <w:rPr>
                      <w:rFonts w:ascii="Segoe UI"/>
                      <w:color w:val="452A70"/>
                      <w:sz w:val="20"/>
                    </w:rPr>
                    <w:t>timely</w:t>
                  </w:r>
                  <w:r>
                    <w:rPr>
                      <w:rFonts w:ascii="Segoe UI"/>
                      <w:color w:val="452A70"/>
                      <w:spacing w:val="-7"/>
                      <w:sz w:val="20"/>
                    </w:rPr>
                    <w:t> </w:t>
                  </w:r>
                  <w:r>
                    <w:rPr>
                      <w:rFonts w:ascii="Segoe UI"/>
                      <w:color w:val="452A70"/>
                      <w:sz w:val="20"/>
                    </w:rPr>
                    <w:t>payment</w:t>
                  </w:r>
                  <w:r>
                    <w:rPr>
                      <w:rFonts w:ascii="Segoe UI"/>
                      <w:color w:val="452A70"/>
                      <w:spacing w:val="-6"/>
                      <w:sz w:val="20"/>
                    </w:rPr>
                    <w:t> </w:t>
                  </w:r>
                  <w:r>
                    <w:rPr>
                      <w:rFonts w:ascii="Segoe UI"/>
                      <w:color w:val="452A70"/>
                      <w:sz w:val="20"/>
                    </w:rPr>
                    <w:t>and</w:t>
                  </w:r>
                  <w:r>
                    <w:rPr>
                      <w:rFonts w:ascii="Segoe UI"/>
                      <w:color w:val="452A70"/>
                      <w:spacing w:val="-6"/>
                      <w:sz w:val="20"/>
                    </w:rPr>
                    <w:t> </w:t>
                  </w:r>
                  <w:r>
                    <w:rPr>
                      <w:rFonts w:ascii="Segoe UI"/>
                      <w:color w:val="452A70"/>
                      <w:sz w:val="20"/>
                    </w:rPr>
                    <w:t>remittance</w:t>
                  </w:r>
                  <w:r>
                    <w:rPr>
                      <w:rFonts w:ascii="Segoe UI"/>
                      <w:color w:val="452A70"/>
                      <w:spacing w:val="-7"/>
                      <w:sz w:val="20"/>
                    </w:rPr>
                    <w:t> </w:t>
                  </w:r>
                  <w:r>
                    <w:rPr>
                      <w:rFonts w:ascii="Segoe UI"/>
                      <w:color w:val="452A70"/>
                      <w:sz w:val="20"/>
                    </w:rPr>
                    <w:t>advice</w:t>
                  </w:r>
                  <w:r>
                    <w:rPr>
                      <w:rFonts w:ascii="Segoe UI"/>
                      <w:color w:val="452A70"/>
                      <w:spacing w:val="-6"/>
                      <w:sz w:val="20"/>
                    </w:rPr>
                    <w:t> </w:t>
                  </w:r>
                  <w:r>
                    <w:rPr>
                      <w:rFonts w:ascii="Segoe UI"/>
                      <w:color w:val="452A70"/>
                      <w:sz w:val="20"/>
                    </w:rPr>
                    <w:t>for</w:t>
                  </w:r>
                  <w:r>
                    <w:rPr>
                      <w:rFonts w:ascii="Segoe UI"/>
                      <w:color w:val="452A70"/>
                      <w:spacing w:val="-5"/>
                      <w:sz w:val="20"/>
                    </w:rPr>
                    <w:t> </w:t>
                  </w:r>
                  <w:r>
                    <w:rPr>
                      <w:rFonts w:ascii="Segoe UI"/>
                      <w:color w:val="452A70"/>
                      <w:sz w:val="20"/>
                    </w:rPr>
                    <w:t>ABSTUDY</w:t>
                  </w:r>
                  <w:r>
                    <w:rPr>
                      <w:rFonts w:ascii="Segoe UI"/>
                      <w:color w:val="452A70"/>
                      <w:spacing w:val="-6"/>
                      <w:sz w:val="20"/>
                    </w:rPr>
                    <w:t> </w:t>
                  </w:r>
                  <w:r>
                    <w:rPr>
                      <w:rFonts w:ascii="Segoe UI"/>
                      <w:color w:val="452A70"/>
                      <w:sz w:val="20"/>
                    </w:rPr>
                    <w:t>payments.</w:t>
                  </w:r>
                  <w:r>
                    <w:rPr>
                      <w:rFonts w:ascii="Segoe UI"/>
                      <w:color w:val="452A70"/>
                      <w:spacing w:val="-7"/>
                      <w:sz w:val="20"/>
                    </w:rPr>
                    <w:t> </w:t>
                  </w:r>
                  <w:r>
                    <w:rPr>
                      <w:rFonts w:ascii="Segoe UI"/>
                      <w:color w:val="452A70"/>
                      <w:spacing w:val="-2"/>
                      <w:sz w:val="20"/>
                    </w:rPr>
                    <w:t>Review</w:t>
                  </w:r>
                  <w:r>
                    <w:rPr>
                      <w:rFonts w:ascii="Segoe UI"/>
                      <w:color w:val="452A70"/>
                      <w:spacing w:val="-6"/>
                      <w:sz w:val="20"/>
                    </w:rPr>
                    <w:t> </w:t>
                  </w:r>
                  <w:r>
                    <w:rPr>
                      <w:rFonts w:ascii="Segoe UI"/>
                      <w:color w:val="452A70"/>
                      <w:sz w:val="20"/>
                    </w:rPr>
                    <w:t>the</w:t>
                  </w:r>
                  <w:r>
                    <w:rPr>
                      <w:rFonts w:ascii="Segoe UI"/>
                      <w:color w:val="452A70"/>
                      <w:spacing w:val="-6"/>
                      <w:sz w:val="20"/>
                    </w:rPr>
                    <w:t> </w:t>
                  </w:r>
                  <w:r>
                    <w:rPr>
                      <w:rFonts w:ascii="Segoe UI"/>
                      <w:color w:val="452A70"/>
                      <w:spacing w:val="-1"/>
                      <w:sz w:val="20"/>
                    </w:rPr>
                    <w:t>structure</w:t>
                  </w:r>
                  <w:r>
                    <w:rPr>
                      <w:rFonts w:ascii="Segoe UI"/>
                      <w:color w:val="452A70"/>
                      <w:spacing w:val="-4"/>
                      <w:sz w:val="20"/>
                    </w:rPr>
                    <w:t> </w:t>
                  </w:r>
                  <w:r>
                    <w:rPr>
                      <w:rFonts w:ascii="Segoe UI"/>
                      <w:color w:val="452A70"/>
                      <w:sz w:val="20"/>
                    </w:rPr>
                    <w:t>and</w:t>
                  </w:r>
                  <w:r>
                    <w:rPr>
                      <w:rFonts w:ascii="Segoe UI"/>
                      <w:color w:val="452A70"/>
                      <w:spacing w:val="27"/>
                      <w:w w:val="99"/>
                      <w:sz w:val="20"/>
                    </w:rPr>
                    <w:t> </w:t>
                  </w:r>
                  <w:r>
                    <w:rPr>
                      <w:rFonts w:ascii="Segoe UI"/>
                      <w:color w:val="452A70"/>
                      <w:sz w:val="20"/>
                    </w:rPr>
                    <w:t>timing</w:t>
                  </w:r>
                  <w:r>
                    <w:rPr>
                      <w:rFonts w:ascii="Segoe UI"/>
                      <w:color w:val="452A70"/>
                      <w:spacing w:val="-6"/>
                      <w:sz w:val="20"/>
                    </w:rPr>
                    <w:t> </w:t>
                  </w:r>
                  <w:r>
                    <w:rPr>
                      <w:rFonts w:ascii="Segoe UI"/>
                      <w:color w:val="452A70"/>
                      <w:sz w:val="20"/>
                    </w:rPr>
                    <w:t>of</w:t>
                  </w:r>
                  <w:r>
                    <w:rPr>
                      <w:rFonts w:ascii="Segoe UI"/>
                      <w:color w:val="452A70"/>
                      <w:spacing w:val="-5"/>
                      <w:sz w:val="20"/>
                    </w:rPr>
                    <w:t> </w:t>
                  </w:r>
                  <w:r>
                    <w:rPr>
                      <w:rFonts w:ascii="Segoe UI"/>
                      <w:color w:val="452A70"/>
                      <w:sz w:val="20"/>
                    </w:rPr>
                    <w:t>payments</w:t>
                  </w:r>
                  <w:r>
                    <w:rPr>
                      <w:rFonts w:ascii="Segoe UI"/>
                      <w:color w:val="452A70"/>
                      <w:spacing w:val="-6"/>
                      <w:sz w:val="20"/>
                    </w:rPr>
                    <w:t> </w:t>
                  </w:r>
                  <w:r>
                    <w:rPr>
                      <w:rFonts w:ascii="Segoe UI"/>
                      <w:color w:val="452A70"/>
                      <w:spacing w:val="-1"/>
                      <w:sz w:val="20"/>
                    </w:rPr>
                    <w:t>supporting</w:t>
                  </w:r>
                  <w:r>
                    <w:rPr>
                      <w:rFonts w:ascii="Segoe UI"/>
                      <w:color w:val="452A70"/>
                      <w:spacing w:val="-4"/>
                      <w:sz w:val="20"/>
                    </w:rPr>
                    <w:t> </w:t>
                  </w:r>
                  <w:r>
                    <w:rPr>
                      <w:rFonts w:ascii="Segoe UI"/>
                      <w:color w:val="452A70"/>
                      <w:sz w:val="20"/>
                    </w:rPr>
                    <w:t>Aboriginal</w:t>
                  </w:r>
                  <w:r>
                    <w:rPr>
                      <w:rFonts w:ascii="Segoe UI"/>
                      <w:color w:val="452A70"/>
                      <w:spacing w:val="-4"/>
                      <w:sz w:val="20"/>
                    </w:rPr>
                    <w:t> </w:t>
                  </w:r>
                  <w:r>
                    <w:rPr>
                      <w:rFonts w:ascii="Segoe UI"/>
                      <w:color w:val="452A70"/>
                      <w:sz w:val="20"/>
                    </w:rPr>
                    <w:t>and</w:t>
                  </w:r>
                  <w:r>
                    <w:rPr>
                      <w:rFonts w:ascii="Segoe UI"/>
                      <w:color w:val="452A70"/>
                      <w:spacing w:val="-6"/>
                      <w:sz w:val="20"/>
                    </w:rPr>
                    <w:t> </w:t>
                  </w:r>
                  <w:r>
                    <w:rPr>
                      <w:rFonts w:ascii="Segoe UI"/>
                      <w:color w:val="452A70"/>
                      <w:spacing w:val="-5"/>
                      <w:sz w:val="20"/>
                    </w:rPr>
                    <w:t>Torres </w:t>
                  </w:r>
                  <w:r>
                    <w:rPr>
                      <w:rFonts w:ascii="Segoe UI"/>
                      <w:color w:val="452A70"/>
                      <w:spacing w:val="-2"/>
                      <w:sz w:val="20"/>
                    </w:rPr>
                    <w:t>Strait</w:t>
                  </w:r>
                  <w:r>
                    <w:rPr>
                      <w:rFonts w:ascii="Segoe UI"/>
                      <w:color w:val="452A70"/>
                      <w:spacing w:val="-6"/>
                      <w:sz w:val="20"/>
                    </w:rPr>
                    <w:t> </w:t>
                  </w:r>
                  <w:r>
                    <w:rPr>
                      <w:rFonts w:ascii="Segoe UI"/>
                      <w:color w:val="452A70"/>
                      <w:spacing w:val="-1"/>
                      <w:sz w:val="20"/>
                    </w:rPr>
                    <w:t>Islander</w:t>
                  </w:r>
                  <w:r>
                    <w:rPr>
                      <w:rFonts w:ascii="Segoe UI"/>
                      <w:color w:val="452A70"/>
                      <w:spacing w:val="-4"/>
                      <w:sz w:val="20"/>
                    </w:rPr>
                    <w:t> </w:t>
                  </w:r>
                  <w:r>
                    <w:rPr>
                      <w:rFonts w:ascii="Segoe UI"/>
                      <w:color w:val="452A70"/>
                      <w:sz w:val="20"/>
                    </w:rPr>
                    <w:t>boarding</w:t>
                  </w:r>
                  <w:r>
                    <w:rPr>
                      <w:rFonts w:ascii="Segoe UI"/>
                      <w:color w:val="452A70"/>
                      <w:spacing w:val="-6"/>
                      <w:sz w:val="20"/>
                    </w:rPr>
                    <w:t> </w:t>
                  </w:r>
                  <w:r>
                    <w:rPr>
                      <w:rFonts w:ascii="Segoe UI"/>
                      <w:color w:val="452A70"/>
                      <w:spacing w:val="-1"/>
                      <w:sz w:val="20"/>
                    </w:rPr>
                    <w:t>students</w:t>
                  </w:r>
                  <w:r>
                    <w:rPr>
                      <w:rFonts w:ascii="Segoe UI"/>
                      <w:color w:val="452A70"/>
                      <w:spacing w:val="-5"/>
                      <w:sz w:val="20"/>
                    </w:rPr>
                    <w:t> </w:t>
                  </w:r>
                  <w:r>
                    <w:rPr>
                      <w:rFonts w:ascii="Segoe UI"/>
                      <w:color w:val="452A70"/>
                      <w:sz w:val="20"/>
                    </w:rPr>
                    <w:t>to</w:t>
                  </w:r>
                  <w:r>
                    <w:rPr>
                      <w:rFonts w:ascii="Segoe UI"/>
                      <w:color w:val="452A70"/>
                      <w:spacing w:val="25"/>
                      <w:w w:val="99"/>
                      <w:sz w:val="20"/>
                    </w:rPr>
                    <w:t> </w:t>
                  </w:r>
                  <w:r>
                    <w:rPr>
                      <w:rFonts w:ascii="Segoe UI"/>
                      <w:color w:val="452A70"/>
                      <w:sz w:val="20"/>
                    </w:rPr>
                    <w:t>better</w:t>
                  </w:r>
                  <w:r>
                    <w:rPr>
                      <w:rFonts w:ascii="Segoe UI"/>
                      <w:color w:val="452A70"/>
                      <w:spacing w:val="-6"/>
                      <w:sz w:val="20"/>
                    </w:rPr>
                    <w:t> </w:t>
                  </w:r>
                  <w:r>
                    <w:rPr>
                      <w:rFonts w:ascii="Segoe UI"/>
                      <w:color w:val="452A70"/>
                      <w:sz w:val="20"/>
                    </w:rPr>
                    <w:t>address</w:t>
                  </w:r>
                  <w:r>
                    <w:rPr>
                      <w:rFonts w:ascii="Segoe UI"/>
                      <w:color w:val="452A70"/>
                      <w:spacing w:val="-6"/>
                      <w:sz w:val="20"/>
                    </w:rPr>
                    <w:t> </w:t>
                  </w:r>
                  <w:r>
                    <w:rPr>
                      <w:rFonts w:ascii="Segoe UI"/>
                      <w:color w:val="452A70"/>
                      <w:sz w:val="20"/>
                    </w:rPr>
                    <w:t>the</w:t>
                  </w:r>
                  <w:r>
                    <w:rPr>
                      <w:rFonts w:ascii="Segoe UI"/>
                      <w:color w:val="452A70"/>
                      <w:spacing w:val="-5"/>
                      <w:sz w:val="20"/>
                    </w:rPr>
                    <w:t> </w:t>
                  </w:r>
                  <w:r>
                    <w:rPr>
                      <w:rFonts w:ascii="Segoe UI"/>
                      <w:color w:val="452A70"/>
                      <w:sz w:val="20"/>
                    </w:rPr>
                    <w:t>needs</w:t>
                  </w:r>
                  <w:r>
                    <w:rPr>
                      <w:rFonts w:ascii="Segoe UI"/>
                      <w:color w:val="452A70"/>
                      <w:spacing w:val="-6"/>
                      <w:sz w:val="20"/>
                    </w:rPr>
                    <w:t> </w:t>
                  </w:r>
                  <w:r>
                    <w:rPr>
                      <w:rFonts w:ascii="Segoe UI"/>
                      <w:color w:val="452A70"/>
                      <w:sz w:val="20"/>
                    </w:rPr>
                    <w:t>of</w:t>
                  </w:r>
                  <w:r>
                    <w:rPr>
                      <w:rFonts w:ascii="Segoe UI"/>
                      <w:color w:val="452A70"/>
                      <w:spacing w:val="-5"/>
                      <w:sz w:val="20"/>
                    </w:rPr>
                    <w:t> </w:t>
                  </w:r>
                  <w:r>
                    <w:rPr>
                      <w:rFonts w:ascii="Segoe UI"/>
                      <w:color w:val="452A70"/>
                      <w:spacing w:val="-1"/>
                      <w:sz w:val="20"/>
                    </w:rPr>
                    <w:t>students</w:t>
                  </w:r>
                  <w:r>
                    <w:rPr>
                      <w:rFonts w:ascii="Segoe UI"/>
                      <w:color w:val="452A70"/>
                      <w:spacing w:val="-4"/>
                      <w:sz w:val="20"/>
                    </w:rPr>
                    <w:t> </w:t>
                  </w:r>
                  <w:r>
                    <w:rPr>
                      <w:rFonts w:ascii="Segoe UI"/>
                      <w:color w:val="452A70"/>
                      <w:sz w:val="20"/>
                    </w:rPr>
                    <w:t>and</w:t>
                  </w:r>
                  <w:r>
                    <w:rPr>
                      <w:rFonts w:ascii="Segoe UI"/>
                      <w:color w:val="452A70"/>
                      <w:spacing w:val="-6"/>
                      <w:sz w:val="20"/>
                    </w:rPr>
                    <w:t> </w:t>
                  </w:r>
                  <w:r>
                    <w:rPr>
                      <w:rFonts w:ascii="Segoe UI"/>
                      <w:color w:val="452A70"/>
                      <w:sz w:val="20"/>
                    </w:rPr>
                    <w:t>to</w:t>
                  </w:r>
                  <w:r>
                    <w:rPr>
                      <w:rFonts w:ascii="Segoe UI"/>
                      <w:color w:val="452A70"/>
                      <w:spacing w:val="-5"/>
                      <w:sz w:val="20"/>
                    </w:rPr>
                    <w:t> </w:t>
                  </w:r>
                  <w:r>
                    <w:rPr>
                      <w:rFonts w:ascii="Segoe UI"/>
                      <w:color w:val="452A70"/>
                      <w:sz w:val="20"/>
                    </w:rPr>
                    <w:t>provide</w:t>
                  </w:r>
                  <w:r>
                    <w:rPr>
                      <w:rFonts w:ascii="Segoe UI"/>
                      <w:color w:val="452A70"/>
                      <w:spacing w:val="-5"/>
                      <w:sz w:val="20"/>
                    </w:rPr>
                    <w:t> </w:t>
                  </w:r>
                  <w:r>
                    <w:rPr>
                      <w:rFonts w:ascii="Segoe UI"/>
                      <w:color w:val="452A70"/>
                      <w:sz w:val="20"/>
                    </w:rPr>
                    <w:t>greater</w:t>
                  </w:r>
                  <w:r>
                    <w:rPr>
                      <w:rFonts w:ascii="Segoe UI"/>
                      <w:color w:val="452A70"/>
                      <w:spacing w:val="-6"/>
                      <w:sz w:val="20"/>
                    </w:rPr>
                    <w:t> </w:t>
                  </w:r>
                  <w:r>
                    <w:rPr>
                      <w:rFonts w:ascii="Segoe UI"/>
                      <w:color w:val="452A70"/>
                      <w:sz w:val="20"/>
                    </w:rPr>
                    <w:t>revenue</w:t>
                  </w:r>
                  <w:r>
                    <w:rPr>
                      <w:rFonts w:ascii="Segoe UI"/>
                      <w:color w:val="452A70"/>
                      <w:spacing w:val="-5"/>
                      <w:sz w:val="20"/>
                    </w:rPr>
                    <w:t> </w:t>
                  </w:r>
                  <w:r>
                    <w:rPr>
                      <w:rFonts w:ascii="Segoe UI"/>
                      <w:color w:val="452A70"/>
                      <w:sz w:val="20"/>
                    </w:rPr>
                    <w:t>certainty</w:t>
                  </w:r>
                  <w:r>
                    <w:rPr>
                      <w:rFonts w:ascii="Segoe UI"/>
                      <w:color w:val="452A70"/>
                      <w:spacing w:val="-6"/>
                      <w:sz w:val="20"/>
                    </w:rPr>
                    <w:t> </w:t>
                  </w:r>
                  <w:r>
                    <w:rPr>
                      <w:rFonts w:ascii="Segoe UI"/>
                      <w:color w:val="452A70"/>
                      <w:sz w:val="20"/>
                    </w:rPr>
                    <w:t>for</w:t>
                  </w:r>
                  <w:r>
                    <w:rPr>
                      <w:rFonts w:ascii="Segoe UI"/>
                      <w:color w:val="452A70"/>
                      <w:spacing w:val="-5"/>
                      <w:sz w:val="20"/>
                    </w:rPr>
                    <w:t> </w:t>
                  </w:r>
                  <w:r>
                    <w:rPr>
                      <w:rFonts w:ascii="Segoe UI"/>
                      <w:color w:val="452A70"/>
                      <w:sz w:val="20"/>
                    </w:rPr>
                    <w:t>boarding</w:t>
                  </w:r>
                  <w:r>
                    <w:rPr>
                      <w:rFonts w:ascii="Segoe UI"/>
                      <w:color w:val="452A70"/>
                      <w:spacing w:val="22"/>
                      <w:w w:val="99"/>
                      <w:sz w:val="20"/>
                    </w:rPr>
                    <w:t> </w:t>
                  </w:r>
                  <w:r>
                    <w:rPr>
                      <w:rFonts w:ascii="Segoe UI"/>
                      <w:color w:val="452A70"/>
                      <w:sz w:val="20"/>
                    </w:rPr>
                    <w:t>providers</w:t>
                  </w:r>
                  <w:r>
                    <w:rPr>
                      <w:rFonts w:ascii="Segoe UI"/>
                      <w:color w:val="452A70"/>
                      <w:spacing w:val="-8"/>
                      <w:sz w:val="20"/>
                    </w:rPr>
                    <w:t> </w:t>
                  </w:r>
                  <w:r>
                    <w:rPr>
                      <w:rFonts w:ascii="Segoe UI"/>
                      <w:color w:val="452A70"/>
                      <w:sz w:val="20"/>
                    </w:rPr>
                    <w:t>to</w:t>
                  </w:r>
                  <w:r>
                    <w:rPr>
                      <w:rFonts w:ascii="Segoe UI"/>
                      <w:color w:val="452A70"/>
                      <w:spacing w:val="-7"/>
                      <w:sz w:val="20"/>
                    </w:rPr>
                    <w:t> </w:t>
                  </w:r>
                  <w:r>
                    <w:rPr>
                      <w:rFonts w:ascii="Segoe UI"/>
                      <w:color w:val="452A70"/>
                      <w:sz w:val="20"/>
                    </w:rPr>
                    <w:t>address</w:t>
                  </w:r>
                  <w:r>
                    <w:rPr>
                      <w:rFonts w:ascii="Segoe UI"/>
                      <w:color w:val="452A70"/>
                      <w:spacing w:val="-8"/>
                      <w:sz w:val="20"/>
                    </w:rPr>
                    <w:t> </w:t>
                  </w:r>
                  <w:r>
                    <w:rPr>
                      <w:rFonts w:ascii="Segoe UI"/>
                      <w:color w:val="452A70"/>
                      <w:sz w:val="20"/>
                    </w:rPr>
                    <w:t>those</w:t>
                  </w:r>
                  <w:r>
                    <w:rPr>
                      <w:rFonts w:ascii="Segoe UI"/>
                      <w:color w:val="452A70"/>
                      <w:spacing w:val="-8"/>
                      <w:sz w:val="20"/>
                    </w:rPr>
                    <w:t> </w:t>
                  </w:r>
                  <w:r>
                    <w:rPr>
                      <w:rFonts w:ascii="Segoe UI"/>
                      <w:color w:val="452A70"/>
                      <w:sz w:val="20"/>
                    </w:rPr>
                    <w:t>needs.</w:t>
                  </w:r>
                  <w:r>
                    <w:rPr>
                      <w:rFonts w:ascii="Segoe UI"/>
                      <w:sz w:val="20"/>
                    </w:rPr>
                  </w:r>
                </w:p>
              </w:txbxContent>
            </v:textbox>
            <v:fill type="solid"/>
            <v:stroke dashstyle="dash"/>
            <w10:wrap type="none"/>
          </v:shape>
        </w:pict>
      </w:r>
      <w:r>
        <w:rPr>
          <w:rFonts w:ascii="Segoe UI" w:hAnsi="Segoe UI" w:cs="Segoe UI" w:eastAsia="Segoe UI"/>
          <w:sz w:val="20"/>
          <w:szCs w:val="20"/>
        </w:rPr>
      </w:r>
    </w:p>
    <w:p>
      <w:pPr>
        <w:spacing w:after="0" w:line="200" w:lineRule="atLeast"/>
        <w:rPr>
          <w:rFonts w:ascii="Segoe UI" w:hAnsi="Segoe UI" w:cs="Segoe UI" w:eastAsia="Segoe UI"/>
          <w:sz w:val="20"/>
          <w:szCs w:val="20"/>
        </w:rPr>
        <w:sectPr>
          <w:type w:val="continuous"/>
          <w:pgSz w:w="11910" w:h="16840"/>
          <w:pgMar w:top="1580" w:bottom="280" w:left="1600" w:right="1260"/>
        </w:sectPr>
      </w:pPr>
    </w:p>
    <w:p>
      <w:pPr>
        <w:spacing w:line="240" w:lineRule="auto" w:before="0"/>
        <w:rPr>
          <w:rFonts w:ascii="Segoe UI" w:hAnsi="Segoe UI" w:cs="Segoe UI" w:eastAsia="Segoe UI"/>
          <w:sz w:val="20"/>
          <w:szCs w:val="20"/>
        </w:rPr>
      </w:pPr>
    </w:p>
    <w:p>
      <w:pPr>
        <w:spacing w:line="240" w:lineRule="auto" w:before="1"/>
        <w:rPr>
          <w:rFonts w:ascii="Segoe UI" w:hAnsi="Segoe UI" w:cs="Segoe UI" w:eastAsia="Segoe UI"/>
          <w:sz w:val="21"/>
          <w:szCs w:val="21"/>
        </w:rPr>
      </w:pPr>
    </w:p>
    <w:p>
      <w:pPr>
        <w:spacing w:after="0" w:line="240" w:lineRule="auto"/>
        <w:rPr>
          <w:rFonts w:ascii="Segoe UI" w:hAnsi="Segoe UI" w:cs="Segoe UI" w:eastAsia="Segoe UI"/>
          <w:sz w:val="21"/>
          <w:szCs w:val="21"/>
        </w:rPr>
        <w:sectPr>
          <w:pgSz w:w="11910" w:h="16840"/>
          <w:pgMar w:header="0" w:footer="691" w:top="1580" w:bottom="880" w:left="1300" w:right="1500"/>
        </w:sectPr>
      </w:pPr>
    </w:p>
    <w:p>
      <w:pPr>
        <w:pStyle w:val="Heading3"/>
        <w:spacing w:line="240" w:lineRule="auto" w:before="25"/>
        <w:ind w:right="0"/>
        <w:jc w:val="left"/>
      </w:pPr>
      <w:r>
        <w:rPr>
          <w:b/>
          <w:color w:val="00779B"/>
          <w:spacing w:val="-1"/>
        </w:rPr>
        <w:t>ABSTUDY</w:t>
      </w:r>
      <w:r>
        <w:rPr>
          <w:b/>
          <w:color w:val="00779B"/>
          <w:spacing w:val="1"/>
        </w:rPr>
        <w:t> </w:t>
      </w:r>
      <w:r>
        <w:rPr>
          <w:b/>
          <w:color w:val="00779B"/>
          <w:spacing w:val="-1"/>
        </w:rPr>
        <w:t>entitlement</w:t>
      </w:r>
      <w:r>
        <w:rPr/>
      </w:r>
    </w:p>
    <w:p>
      <w:pPr>
        <w:pStyle w:val="BodyText"/>
        <w:spacing w:line="250" w:lineRule="exact" w:before="64"/>
        <w:ind w:right="61"/>
        <w:jc w:val="left"/>
      </w:pPr>
      <w:r>
        <w:rPr>
          <w:color w:val="231F20"/>
        </w:rPr>
        <w:t>The</w:t>
      </w:r>
      <w:r>
        <w:rPr>
          <w:color w:val="231F20"/>
          <w:spacing w:val="-3"/>
        </w:rPr>
        <w:t> </w:t>
      </w:r>
      <w:r>
        <w:rPr>
          <w:color w:val="231F20"/>
          <w:spacing w:val="-1"/>
        </w:rPr>
        <w:t>maximum</w:t>
      </w:r>
      <w:r>
        <w:rPr>
          <w:color w:val="231F20"/>
          <w:spacing w:val="-2"/>
        </w:rPr>
        <w:t> </w:t>
      </w:r>
      <w:r>
        <w:rPr>
          <w:color w:val="231F20"/>
        </w:rPr>
        <w:t>possible</w:t>
      </w:r>
      <w:r>
        <w:rPr>
          <w:color w:val="231F20"/>
          <w:spacing w:val="-3"/>
        </w:rPr>
        <w:t> </w:t>
      </w:r>
      <w:r>
        <w:rPr>
          <w:color w:val="231F20"/>
        </w:rPr>
        <w:t>annual</w:t>
      </w:r>
      <w:r>
        <w:rPr>
          <w:color w:val="231F20"/>
          <w:spacing w:val="-4"/>
        </w:rPr>
        <w:t> </w:t>
      </w:r>
      <w:r>
        <w:rPr>
          <w:color w:val="231F20"/>
        </w:rPr>
        <w:t>ABSTUDY</w:t>
      </w:r>
      <w:r>
        <w:rPr>
          <w:color w:val="231F20"/>
          <w:spacing w:val="22"/>
        </w:rPr>
        <w:t> </w:t>
      </w:r>
      <w:r>
        <w:rPr>
          <w:color w:val="231F20"/>
        </w:rPr>
        <w:t>payment</w:t>
      </w:r>
      <w:r>
        <w:rPr>
          <w:color w:val="231F20"/>
          <w:spacing w:val="-5"/>
        </w:rPr>
        <w:t> </w:t>
      </w:r>
      <w:r>
        <w:rPr>
          <w:color w:val="231F20"/>
        </w:rPr>
        <w:t>to</w:t>
      </w:r>
      <w:r>
        <w:rPr>
          <w:color w:val="231F20"/>
          <w:spacing w:val="-3"/>
        </w:rPr>
        <w:t> </w:t>
      </w:r>
      <w:r>
        <w:rPr>
          <w:color w:val="231F20"/>
        </w:rPr>
        <w:t>a</w:t>
      </w:r>
      <w:r>
        <w:rPr>
          <w:color w:val="231F20"/>
          <w:spacing w:val="-4"/>
        </w:rPr>
        <w:t> </w:t>
      </w:r>
      <w:r>
        <w:rPr>
          <w:color w:val="231F20"/>
        </w:rPr>
        <w:t>boarding</w:t>
      </w:r>
      <w:r>
        <w:rPr>
          <w:color w:val="231F20"/>
          <w:spacing w:val="-4"/>
        </w:rPr>
        <w:t> </w:t>
      </w:r>
      <w:r>
        <w:rPr>
          <w:color w:val="231F20"/>
        </w:rPr>
        <w:t>facility</w:t>
      </w:r>
      <w:r>
        <w:rPr>
          <w:color w:val="231F20"/>
          <w:spacing w:val="-4"/>
        </w:rPr>
        <w:t> </w:t>
      </w:r>
      <w:r>
        <w:rPr>
          <w:color w:val="231F20"/>
        </w:rPr>
        <w:t>as</w:t>
      </w:r>
      <w:r>
        <w:rPr>
          <w:color w:val="231F20"/>
          <w:spacing w:val="-5"/>
        </w:rPr>
        <w:t> </w:t>
      </w:r>
      <w:r>
        <w:rPr>
          <w:color w:val="231F20"/>
        </w:rPr>
        <w:t>at</w:t>
      </w:r>
      <w:r>
        <w:rPr>
          <w:color w:val="231F20"/>
          <w:spacing w:val="-3"/>
        </w:rPr>
        <w:t> </w:t>
      </w:r>
      <w:r>
        <w:rPr>
          <w:color w:val="231F20"/>
        </w:rPr>
        <w:t>1</w:t>
      </w:r>
      <w:r>
        <w:rPr>
          <w:color w:val="231F20"/>
          <w:spacing w:val="-3"/>
        </w:rPr>
        <w:t> </w:t>
      </w:r>
      <w:r>
        <w:rPr>
          <w:color w:val="231F20"/>
        </w:rPr>
        <w:t>January</w:t>
      </w:r>
      <w:r>
        <w:rPr>
          <w:color w:val="231F20"/>
          <w:w w:val="99"/>
        </w:rPr>
        <w:t> </w:t>
      </w:r>
      <w:r>
        <w:rPr>
          <w:color w:val="231F20"/>
          <w:spacing w:val="-1"/>
        </w:rPr>
        <w:t>2019</w:t>
      </w:r>
      <w:r>
        <w:rPr>
          <w:color w:val="231F20"/>
          <w:spacing w:val="-5"/>
        </w:rPr>
        <w:t> </w:t>
      </w:r>
      <w:r>
        <w:rPr>
          <w:color w:val="231F20"/>
        </w:rPr>
        <w:t>was</w:t>
      </w:r>
      <w:r>
        <w:rPr>
          <w:color w:val="231F20"/>
          <w:spacing w:val="-5"/>
        </w:rPr>
        <w:t> </w:t>
      </w:r>
      <w:r>
        <w:rPr>
          <w:color w:val="231F20"/>
          <w:spacing w:val="-1"/>
        </w:rPr>
        <w:t>$26,903.21</w:t>
      </w:r>
      <w:r>
        <w:rPr>
          <w:color w:val="231F20"/>
          <w:spacing w:val="-5"/>
        </w:rPr>
        <w:t> </w:t>
      </w:r>
      <w:r>
        <w:rPr>
          <w:color w:val="231F20"/>
        </w:rPr>
        <w:t>per</w:t>
      </w:r>
      <w:r>
        <w:rPr>
          <w:color w:val="231F20"/>
          <w:spacing w:val="-4"/>
        </w:rPr>
        <w:t> </w:t>
      </w:r>
      <w:r>
        <w:rPr>
          <w:color w:val="231F20"/>
          <w:spacing w:val="-1"/>
        </w:rPr>
        <w:t>student</w:t>
      </w:r>
      <w:r>
        <w:rPr>
          <w:color w:val="231F20"/>
          <w:spacing w:val="-4"/>
        </w:rPr>
        <w:t> </w:t>
      </w:r>
      <w:r>
        <w:rPr>
          <w:color w:val="231F20"/>
        </w:rPr>
        <w:t>(excluding</w:t>
      </w:r>
      <w:r>
        <w:rPr>
          <w:color w:val="231F20"/>
          <w:spacing w:val="24"/>
          <w:w w:val="99"/>
        </w:rPr>
        <w:t> </w:t>
      </w:r>
      <w:r>
        <w:rPr>
          <w:color w:val="231F20"/>
        </w:rPr>
        <w:t>ABSTUDY</w:t>
      </w:r>
      <w:r>
        <w:rPr>
          <w:color w:val="231F20"/>
          <w:spacing w:val="-6"/>
        </w:rPr>
        <w:t> </w:t>
      </w:r>
      <w:r>
        <w:rPr>
          <w:color w:val="231F20"/>
        </w:rPr>
        <w:t>travel</w:t>
      </w:r>
      <w:r>
        <w:rPr>
          <w:color w:val="231F20"/>
          <w:spacing w:val="-6"/>
        </w:rPr>
        <w:t> </w:t>
      </w:r>
      <w:r>
        <w:rPr>
          <w:color w:val="231F20"/>
        </w:rPr>
        <w:t>allowances),</w:t>
      </w:r>
      <w:r>
        <w:rPr>
          <w:color w:val="231F20"/>
          <w:spacing w:val="-5"/>
        </w:rPr>
        <w:t> </w:t>
      </w:r>
      <w:r>
        <w:rPr>
          <w:color w:val="231F20"/>
        </w:rPr>
        <w:t>which</w:t>
      </w:r>
      <w:r>
        <w:rPr>
          <w:color w:val="231F20"/>
          <w:spacing w:val="-6"/>
        </w:rPr>
        <w:t> </w:t>
      </w:r>
      <w:r>
        <w:rPr>
          <w:color w:val="231F20"/>
          <w:spacing w:val="-1"/>
        </w:rPr>
        <w:t>is</w:t>
      </w:r>
      <w:r>
        <w:rPr>
          <w:color w:val="231F20"/>
          <w:spacing w:val="-5"/>
        </w:rPr>
        <w:t> </w:t>
      </w:r>
      <w:r>
        <w:rPr>
          <w:color w:val="231F20"/>
        </w:rPr>
        <w:t>an</w:t>
      </w:r>
      <w:r>
        <w:rPr>
          <w:color w:val="231F20"/>
          <w:spacing w:val="21"/>
          <w:w w:val="99"/>
        </w:rPr>
        <w:t> </w:t>
      </w:r>
      <w:r>
        <w:rPr>
          <w:color w:val="231F20"/>
          <w:spacing w:val="-1"/>
        </w:rPr>
        <w:t>increase</w:t>
      </w:r>
      <w:r>
        <w:rPr>
          <w:color w:val="231F20"/>
          <w:spacing w:val="-4"/>
        </w:rPr>
        <w:t> </w:t>
      </w:r>
      <w:r>
        <w:rPr>
          <w:color w:val="231F20"/>
        </w:rPr>
        <w:t>of</w:t>
      </w:r>
      <w:r>
        <w:rPr>
          <w:color w:val="231F20"/>
          <w:spacing w:val="-3"/>
        </w:rPr>
        <w:t> </w:t>
      </w:r>
      <w:r>
        <w:rPr>
          <w:color w:val="231F20"/>
          <w:spacing w:val="-1"/>
        </w:rPr>
        <w:t>$976.32</w:t>
      </w:r>
      <w:r>
        <w:rPr>
          <w:color w:val="231F20"/>
          <w:spacing w:val="-3"/>
        </w:rPr>
        <w:t> </w:t>
      </w:r>
      <w:r>
        <w:rPr>
          <w:color w:val="231F20"/>
        </w:rPr>
        <w:t>from</w:t>
      </w:r>
      <w:r>
        <w:rPr>
          <w:color w:val="231F20"/>
          <w:spacing w:val="-4"/>
        </w:rPr>
        <w:t> </w:t>
      </w:r>
      <w:r>
        <w:rPr>
          <w:color w:val="231F20"/>
        </w:rPr>
        <w:t>the</w:t>
      </w:r>
      <w:r>
        <w:rPr>
          <w:color w:val="231F20"/>
          <w:spacing w:val="-4"/>
        </w:rPr>
        <w:t> </w:t>
      </w:r>
      <w:r>
        <w:rPr>
          <w:color w:val="231F20"/>
        </w:rPr>
        <w:t>1</w:t>
      </w:r>
      <w:r>
        <w:rPr>
          <w:color w:val="231F20"/>
          <w:spacing w:val="-3"/>
        </w:rPr>
        <w:t> </w:t>
      </w:r>
      <w:r>
        <w:rPr>
          <w:color w:val="231F20"/>
        </w:rPr>
        <w:t>January</w:t>
      </w:r>
      <w:r>
        <w:rPr>
          <w:color w:val="231F20"/>
          <w:spacing w:val="-3"/>
        </w:rPr>
        <w:t> </w:t>
      </w:r>
      <w:r>
        <w:rPr>
          <w:color w:val="231F20"/>
          <w:spacing w:val="-1"/>
        </w:rPr>
        <w:t>2017</w:t>
      </w:r>
      <w:r>
        <w:rPr>
          <w:color w:val="231F20"/>
          <w:spacing w:val="22"/>
        </w:rPr>
        <w:t> </w:t>
      </w:r>
      <w:r>
        <w:rPr>
          <w:color w:val="231F20"/>
          <w:spacing w:val="-1"/>
        </w:rPr>
        <w:t>payment</w:t>
      </w:r>
      <w:r>
        <w:rPr>
          <w:rFonts w:ascii="Segoe UI Semibold"/>
          <w:b/>
          <w:color w:val="231F20"/>
          <w:spacing w:val="-1"/>
          <w:position w:val="7"/>
          <w:sz w:val="11"/>
        </w:rPr>
        <w:t>99</w:t>
      </w:r>
      <w:r>
        <w:rPr>
          <w:color w:val="231F20"/>
          <w:spacing w:val="-1"/>
        </w:rPr>
        <w:t>.</w:t>
      </w:r>
      <w:r>
        <w:rPr>
          <w:color w:val="231F20"/>
          <w:spacing w:val="-3"/>
        </w:rPr>
        <w:t> </w:t>
      </w:r>
      <w:r>
        <w:rPr>
          <w:color w:val="231F20"/>
        </w:rPr>
        <w:t>This</w:t>
      </w:r>
      <w:r>
        <w:rPr>
          <w:color w:val="231F20"/>
          <w:spacing w:val="-4"/>
        </w:rPr>
        <w:t> </w:t>
      </w:r>
      <w:r>
        <w:rPr>
          <w:color w:val="231F20"/>
        </w:rPr>
        <w:t>amount</w:t>
      </w:r>
      <w:r>
        <w:rPr>
          <w:color w:val="231F20"/>
          <w:spacing w:val="-3"/>
        </w:rPr>
        <w:t> </w:t>
      </w:r>
      <w:r>
        <w:rPr>
          <w:color w:val="231F20"/>
          <w:spacing w:val="-1"/>
        </w:rPr>
        <w:t>is</w:t>
      </w:r>
      <w:r>
        <w:rPr>
          <w:color w:val="231F20"/>
          <w:spacing w:val="-4"/>
        </w:rPr>
        <w:t> </w:t>
      </w:r>
      <w:r>
        <w:rPr>
          <w:color w:val="231F20"/>
          <w:spacing w:val="-1"/>
        </w:rPr>
        <w:t>made</w:t>
      </w:r>
      <w:r>
        <w:rPr>
          <w:color w:val="231F20"/>
          <w:spacing w:val="-2"/>
        </w:rPr>
        <w:t> </w:t>
      </w:r>
      <w:r>
        <w:rPr>
          <w:color w:val="231F20"/>
        </w:rPr>
        <w:t>up</w:t>
      </w:r>
      <w:r>
        <w:rPr>
          <w:color w:val="231F20"/>
          <w:spacing w:val="-3"/>
        </w:rPr>
        <w:t> </w:t>
      </w:r>
      <w:r>
        <w:rPr>
          <w:color w:val="231F20"/>
        </w:rPr>
        <w:t>of</w:t>
      </w:r>
      <w:r>
        <w:rPr>
          <w:color w:val="231F20"/>
          <w:spacing w:val="-2"/>
        </w:rPr>
        <w:t> </w:t>
      </w:r>
      <w:r>
        <w:rPr>
          <w:color w:val="231F20"/>
        </w:rPr>
        <w:t>a</w:t>
      </w:r>
      <w:r>
        <w:rPr>
          <w:color w:val="231F20"/>
          <w:spacing w:val="23"/>
          <w:w w:val="99"/>
        </w:rPr>
        <w:t> </w:t>
      </w:r>
      <w:r>
        <w:rPr>
          <w:color w:val="231F20"/>
        </w:rPr>
        <w:t>number</w:t>
      </w:r>
      <w:r>
        <w:rPr>
          <w:color w:val="231F20"/>
          <w:spacing w:val="-7"/>
        </w:rPr>
        <w:t> </w:t>
      </w:r>
      <w:r>
        <w:rPr>
          <w:color w:val="231F20"/>
        </w:rPr>
        <w:t>of</w:t>
      </w:r>
      <w:r>
        <w:rPr>
          <w:color w:val="231F20"/>
          <w:spacing w:val="-6"/>
        </w:rPr>
        <w:t> </w:t>
      </w:r>
      <w:r>
        <w:rPr>
          <w:color w:val="231F20"/>
        </w:rPr>
        <w:t>components</w:t>
      </w:r>
      <w:r>
        <w:rPr>
          <w:color w:val="231F20"/>
          <w:spacing w:val="-7"/>
        </w:rPr>
        <w:t> </w:t>
      </w:r>
      <w:r>
        <w:rPr>
          <w:color w:val="231F20"/>
        </w:rPr>
        <w:t>that</w:t>
      </w:r>
      <w:r>
        <w:rPr>
          <w:color w:val="231F20"/>
          <w:spacing w:val="-7"/>
        </w:rPr>
        <w:t> </w:t>
      </w:r>
      <w:r>
        <w:rPr>
          <w:color w:val="231F20"/>
        </w:rPr>
        <w:t>depend</w:t>
      </w:r>
      <w:r>
        <w:rPr>
          <w:color w:val="231F20"/>
          <w:spacing w:val="-7"/>
        </w:rPr>
        <w:t> </w:t>
      </w:r>
      <w:r>
        <w:rPr>
          <w:color w:val="231F20"/>
        </w:rPr>
        <w:t>on</w:t>
      </w:r>
      <w:r>
        <w:rPr>
          <w:color w:val="231F20"/>
          <w:spacing w:val="-6"/>
        </w:rPr>
        <w:t> </w:t>
      </w:r>
      <w:r>
        <w:rPr>
          <w:color w:val="231F20"/>
        </w:rPr>
        <w:t>the</w:t>
      </w:r>
      <w:r>
        <w:rPr>
          <w:color w:val="231F20"/>
          <w:w w:val="99"/>
        </w:rPr>
        <w:t> </w:t>
      </w:r>
      <w:r>
        <w:rPr>
          <w:color w:val="231F20"/>
        </w:rPr>
        <w:t>circumstances</w:t>
      </w:r>
      <w:r>
        <w:rPr>
          <w:color w:val="231F20"/>
          <w:spacing w:val="-8"/>
        </w:rPr>
        <w:t> </w:t>
      </w:r>
      <w:r>
        <w:rPr>
          <w:color w:val="231F20"/>
        </w:rPr>
        <w:t>of</w:t>
      </w:r>
      <w:r>
        <w:rPr>
          <w:color w:val="231F20"/>
          <w:spacing w:val="-6"/>
        </w:rPr>
        <w:t> </w:t>
      </w:r>
      <w:r>
        <w:rPr>
          <w:color w:val="231F20"/>
        </w:rPr>
        <w:t>the</w:t>
      </w:r>
      <w:r>
        <w:rPr>
          <w:color w:val="231F20"/>
          <w:spacing w:val="-7"/>
        </w:rPr>
        <w:t> </w:t>
      </w:r>
      <w:r>
        <w:rPr>
          <w:color w:val="231F20"/>
          <w:spacing w:val="-1"/>
        </w:rPr>
        <w:t>student</w:t>
      </w:r>
      <w:r>
        <w:rPr>
          <w:color w:val="231F20"/>
          <w:spacing w:val="-7"/>
        </w:rPr>
        <w:t> </w:t>
      </w:r>
      <w:r>
        <w:rPr>
          <w:color w:val="231F20"/>
        </w:rPr>
        <w:t>and</w:t>
      </w:r>
      <w:r>
        <w:rPr>
          <w:color w:val="231F20"/>
          <w:spacing w:val="-7"/>
        </w:rPr>
        <w:t> </w:t>
      </w:r>
      <w:r>
        <w:rPr>
          <w:color w:val="231F20"/>
        </w:rPr>
        <w:t>their</w:t>
      </w:r>
      <w:r>
        <w:rPr>
          <w:color w:val="231F20"/>
          <w:spacing w:val="-7"/>
        </w:rPr>
        <w:t> </w:t>
      </w:r>
      <w:r>
        <w:rPr>
          <w:color w:val="231F20"/>
        </w:rPr>
        <w:t>parents</w:t>
      </w:r>
      <w:r>
        <w:rPr>
          <w:color w:val="231F20"/>
          <w:spacing w:val="22"/>
          <w:w w:val="99"/>
        </w:rPr>
        <w:t> </w:t>
      </w:r>
      <w:r>
        <w:rPr>
          <w:color w:val="231F20"/>
        </w:rPr>
        <w:t>or</w:t>
      </w:r>
      <w:r>
        <w:rPr>
          <w:color w:val="231F20"/>
          <w:spacing w:val="-4"/>
        </w:rPr>
        <w:t> </w:t>
      </w:r>
      <w:r>
        <w:rPr>
          <w:color w:val="231F20"/>
        </w:rPr>
        <w:t>carers.</w:t>
      </w:r>
      <w:r>
        <w:rPr>
          <w:color w:val="231F20"/>
          <w:spacing w:val="-5"/>
        </w:rPr>
        <w:t> </w:t>
      </w:r>
      <w:r>
        <w:rPr>
          <w:color w:val="231F20"/>
        </w:rPr>
        <w:t>The</w:t>
      </w:r>
      <w:r>
        <w:rPr>
          <w:color w:val="231F20"/>
          <w:spacing w:val="-4"/>
        </w:rPr>
        <w:t> </w:t>
      </w:r>
      <w:r>
        <w:rPr>
          <w:color w:val="231F20"/>
        </w:rPr>
        <w:t>total</w:t>
      </w:r>
      <w:r>
        <w:rPr>
          <w:color w:val="231F20"/>
          <w:spacing w:val="-5"/>
        </w:rPr>
        <w:t> </w:t>
      </w:r>
      <w:r>
        <w:rPr>
          <w:color w:val="231F20"/>
        </w:rPr>
        <w:t>payment</w:t>
      </w:r>
      <w:r>
        <w:rPr>
          <w:color w:val="231F20"/>
          <w:spacing w:val="-4"/>
        </w:rPr>
        <w:t> </w:t>
      </w:r>
      <w:r>
        <w:rPr>
          <w:color w:val="231F20"/>
          <w:spacing w:val="-1"/>
        </w:rPr>
        <w:t>includes</w:t>
      </w:r>
      <w:r>
        <w:rPr>
          <w:color w:val="231F20"/>
          <w:spacing w:val="-4"/>
        </w:rPr>
        <w:t> </w:t>
      </w:r>
      <w:r>
        <w:rPr>
          <w:color w:val="231F20"/>
        </w:rPr>
        <w:t>up</w:t>
      </w:r>
      <w:r>
        <w:rPr>
          <w:color w:val="231F20"/>
          <w:spacing w:val="-4"/>
        </w:rPr>
        <w:t> </w:t>
      </w:r>
      <w:r>
        <w:rPr>
          <w:color w:val="231F20"/>
        </w:rPr>
        <w:t>to</w:t>
      </w:r>
      <w:r>
        <w:rPr/>
      </w:r>
    </w:p>
    <w:p>
      <w:pPr>
        <w:pStyle w:val="BodyText"/>
        <w:spacing w:line="250" w:lineRule="exact"/>
        <w:ind w:right="61"/>
        <w:jc w:val="left"/>
        <w:rPr>
          <w:rFonts w:ascii="Segoe UI Semibold" w:hAnsi="Segoe UI Semibold" w:cs="Segoe UI Semibold" w:eastAsia="Segoe UI Semibold"/>
          <w:sz w:val="11"/>
          <w:szCs w:val="11"/>
        </w:rPr>
      </w:pPr>
      <w:r>
        <w:rPr>
          <w:color w:val="231F20"/>
          <w:spacing w:val="-1"/>
        </w:rPr>
        <w:t>$16,065.21</w:t>
      </w:r>
      <w:r>
        <w:rPr>
          <w:color w:val="231F20"/>
          <w:spacing w:val="-5"/>
        </w:rPr>
        <w:t> </w:t>
      </w:r>
      <w:r>
        <w:rPr>
          <w:color w:val="231F20"/>
        </w:rPr>
        <w:t>a</w:t>
      </w:r>
      <w:r>
        <w:rPr>
          <w:color w:val="231F20"/>
          <w:spacing w:val="-4"/>
        </w:rPr>
        <w:t> </w:t>
      </w:r>
      <w:r>
        <w:rPr>
          <w:color w:val="231F20"/>
        </w:rPr>
        <w:t>year</w:t>
      </w:r>
      <w:r>
        <w:rPr>
          <w:color w:val="231F20"/>
          <w:spacing w:val="-4"/>
        </w:rPr>
        <w:t> </w:t>
      </w:r>
      <w:r>
        <w:rPr>
          <w:color w:val="231F20"/>
        </w:rPr>
        <w:t>for</w:t>
      </w:r>
      <w:r>
        <w:rPr>
          <w:color w:val="231F20"/>
          <w:spacing w:val="-4"/>
        </w:rPr>
        <w:t> </w:t>
      </w:r>
      <w:r>
        <w:rPr>
          <w:color w:val="231F20"/>
        </w:rPr>
        <w:t>boarding</w:t>
      </w:r>
      <w:r>
        <w:rPr>
          <w:color w:val="231F20"/>
          <w:spacing w:val="-5"/>
        </w:rPr>
        <w:t> </w:t>
      </w:r>
      <w:r>
        <w:rPr>
          <w:color w:val="231F20"/>
        </w:rPr>
        <w:t>fees</w:t>
      </w:r>
      <w:r>
        <w:rPr>
          <w:color w:val="231F20"/>
          <w:spacing w:val="-4"/>
        </w:rPr>
        <w:t> </w:t>
      </w:r>
      <w:r>
        <w:rPr>
          <w:color w:val="231F20"/>
        </w:rPr>
        <w:t>(including</w:t>
      </w:r>
      <w:r>
        <w:rPr>
          <w:color w:val="231F20"/>
          <w:spacing w:val="22"/>
          <w:w w:val="99"/>
        </w:rPr>
        <w:t> </w:t>
      </w:r>
      <w:r>
        <w:rPr>
          <w:color w:val="231F20"/>
          <w:spacing w:val="-1"/>
        </w:rPr>
        <w:t>living</w:t>
      </w:r>
      <w:r>
        <w:rPr>
          <w:color w:val="231F20"/>
          <w:spacing w:val="-5"/>
        </w:rPr>
        <w:t> </w:t>
      </w:r>
      <w:r>
        <w:rPr>
          <w:color w:val="231F20"/>
        </w:rPr>
        <w:t>allowance,</w:t>
      </w:r>
      <w:r>
        <w:rPr>
          <w:color w:val="231F20"/>
          <w:spacing w:val="-5"/>
        </w:rPr>
        <w:t> </w:t>
      </w:r>
      <w:r>
        <w:rPr>
          <w:color w:val="231F20"/>
        </w:rPr>
        <w:t>rent</w:t>
      </w:r>
      <w:r>
        <w:rPr>
          <w:color w:val="231F20"/>
          <w:spacing w:val="-6"/>
        </w:rPr>
        <w:t> </w:t>
      </w:r>
      <w:r>
        <w:rPr>
          <w:color w:val="231F20"/>
        </w:rPr>
        <w:t>assistance</w:t>
      </w:r>
      <w:r>
        <w:rPr>
          <w:color w:val="231F20"/>
          <w:spacing w:val="-5"/>
        </w:rPr>
        <w:t> </w:t>
      </w:r>
      <w:r>
        <w:rPr>
          <w:color w:val="231F20"/>
        </w:rPr>
        <w:t>and</w:t>
      </w:r>
      <w:r>
        <w:rPr>
          <w:color w:val="231F20"/>
          <w:spacing w:val="-6"/>
        </w:rPr>
        <w:t> </w:t>
      </w:r>
      <w:r>
        <w:rPr>
          <w:color w:val="231F20"/>
        </w:rPr>
        <w:t>remote</w:t>
      </w:r>
      <w:r>
        <w:rPr>
          <w:color w:val="231F20"/>
          <w:spacing w:val="21"/>
          <w:w w:val="99"/>
        </w:rPr>
        <w:t> </w:t>
      </w:r>
      <w:r>
        <w:rPr>
          <w:color w:val="231F20"/>
        </w:rPr>
        <w:t>area</w:t>
      </w:r>
      <w:r>
        <w:rPr>
          <w:color w:val="231F20"/>
          <w:spacing w:val="-6"/>
        </w:rPr>
        <w:t> </w:t>
      </w:r>
      <w:r>
        <w:rPr>
          <w:color w:val="231F20"/>
        </w:rPr>
        <w:t>allowance)</w:t>
      </w:r>
      <w:r>
        <w:rPr>
          <w:color w:val="231F20"/>
          <w:spacing w:val="-5"/>
        </w:rPr>
        <w:t> </w:t>
      </w:r>
      <w:r>
        <w:rPr>
          <w:color w:val="231F20"/>
        </w:rPr>
        <w:t>and</w:t>
      </w:r>
      <w:r>
        <w:rPr>
          <w:color w:val="231F20"/>
          <w:spacing w:val="-5"/>
        </w:rPr>
        <w:t> </w:t>
      </w:r>
      <w:r>
        <w:rPr>
          <w:color w:val="231F20"/>
        </w:rPr>
        <w:t>up</w:t>
      </w:r>
      <w:r>
        <w:rPr>
          <w:color w:val="231F20"/>
          <w:spacing w:val="-4"/>
        </w:rPr>
        <w:t> </w:t>
      </w:r>
      <w:r>
        <w:rPr>
          <w:color w:val="231F20"/>
        </w:rPr>
        <w:t>to</w:t>
      </w:r>
      <w:r>
        <w:rPr>
          <w:color w:val="231F20"/>
          <w:spacing w:val="-4"/>
        </w:rPr>
        <w:t> </w:t>
      </w:r>
      <w:r>
        <w:rPr>
          <w:color w:val="231F20"/>
          <w:spacing w:val="-1"/>
        </w:rPr>
        <w:t>$10,838</w:t>
      </w:r>
      <w:r>
        <w:rPr>
          <w:color w:val="231F20"/>
          <w:spacing w:val="-4"/>
        </w:rPr>
        <w:t> </w:t>
      </w:r>
      <w:r>
        <w:rPr>
          <w:color w:val="231F20"/>
        </w:rPr>
        <w:t>for</w:t>
      </w:r>
      <w:r>
        <w:rPr>
          <w:color w:val="231F20"/>
          <w:spacing w:val="-4"/>
        </w:rPr>
        <w:t> </w:t>
      </w:r>
      <w:r>
        <w:rPr>
          <w:color w:val="231F20"/>
        </w:rPr>
        <w:t>tuition</w:t>
      </w:r>
      <w:r>
        <w:rPr>
          <w:color w:val="231F20"/>
          <w:spacing w:val="22"/>
          <w:w w:val="99"/>
        </w:rPr>
        <w:t> </w:t>
      </w:r>
      <w:r>
        <w:rPr>
          <w:color w:val="231F20"/>
        </w:rPr>
        <w:t>fees</w:t>
      </w:r>
      <w:r>
        <w:rPr>
          <w:color w:val="231F20"/>
          <w:spacing w:val="-4"/>
        </w:rPr>
        <w:t> </w:t>
      </w:r>
      <w:r>
        <w:rPr>
          <w:color w:val="231F20"/>
        </w:rPr>
        <w:t>(school</w:t>
      </w:r>
      <w:r>
        <w:rPr>
          <w:color w:val="231F20"/>
          <w:spacing w:val="-3"/>
        </w:rPr>
        <w:t> </w:t>
      </w:r>
      <w:r>
        <w:rPr>
          <w:color w:val="231F20"/>
        </w:rPr>
        <w:t>fees</w:t>
      </w:r>
      <w:r>
        <w:rPr>
          <w:color w:val="231F20"/>
          <w:spacing w:val="-3"/>
        </w:rPr>
        <w:t> </w:t>
      </w:r>
      <w:r>
        <w:rPr>
          <w:color w:val="231F20"/>
          <w:spacing w:val="-1"/>
        </w:rPr>
        <w:t>allowance).</w:t>
      </w:r>
      <w:r>
        <w:rPr>
          <w:rFonts w:ascii="Segoe UI Semibold"/>
          <w:b/>
          <w:color w:val="231F20"/>
          <w:spacing w:val="-1"/>
          <w:position w:val="7"/>
          <w:sz w:val="11"/>
        </w:rPr>
        <w:t>100</w:t>
      </w:r>
      <w:r>
        <w:rPr>
          <w:rFonts w:ascii="Segoe UI Semibold"/>
          <w:sz w:val="11"/>
        </w:rPr>
      </w:r>
    </w:p>
    <w:p>
      <w:pPr>
        <w:pStyle w:val="BodyText"/>
        <w:spacing w:line="250" w:lineRule="exact" w:before="113"/>
        <w:ind w:right="479"/>
        <w:jc w:val="left"/>
      </w:pPr>
      <w:r>
        <w:rPr>
          <w:color w:val="231F20"/>
        </w:rPr>
        <w:t>ABSTUDY</w:t>
      </w:r>
      <w:r>
        <w:rPr>
          <w:color w:val="231F20"/>
          <w:spacing w:val="-4"/>
        </w:rPr>
        <w:t> </w:t>
      </w:r>
      <w:r>
        <w:rPr>
          <w:color w:val="231F20"/>
          <w:spacing w:val="-1"/>
        </w:rPr>
        <w:t>is</w:t>
      </w:r>
      <w:r>
        <w:rPr>
          <w:color w:val="231F20"/>
          <w:spacing w:val="-4"/>
        </w:rPr>
        <w:t> </w:t>
      </w:r>
      <w:r>
        <w:rPr>
          <w:color w:val="231F20"/>
        </w:rPr>
        <w:t>a</w:t>
      </w:r>
      <w:r>
        <w:rPr>
          <w:color w:val="231F20"/>
          <w:spacing w:val="-3"/>
        </w:rPr>
        <w:t> </w:t>
      </w:r>
      <w:r>
        <w:rPr>
          <w:color w:val="231F20"/>
          <w:spacing w:val="-1"/>
        </w:rPr>
        <w:t>means</w:t>
      </w:r>
      <w:r>
        <w:rPr>
          <w:color w:val="231F20"/>
          <w:spacing w:val="-3"/>
        </w:rPr>
        <w:t> </w:t>
      </w:r>
      <w:r>
        <w:rPr>
          <w:color w:val="231F20"/>
        </w:rPr>
        <w:t>tested</w:t>
      </w:r>
      <w:r>
        <w:rPr>
          <w:color w:val="231F20"/>
          <w:spacing w:val="-4"/>
        </w:rPr>
        <w:t> </w:t>
      </w:r>
      <w:r>
        <w:rPr>
          <w:color w:val="231F20"/>
        </w:rPr>
        <w:t>payment</w:t>
      </w:r>
      <w:r>
        <w:rPr>
          <w:color w:val="231F20"/>
          <w:spacing w:val="-4"/>
        </w:rPr>
        <w:t> </w:t>
      </w:r>
      <w:r>
        <w:rPr>
          <w:color w:val="231F20"/>
        </w:rPr>
        <w:t>and</w:t>
      </w:r>
      <w:r>
        <w:rPr>
          <w:color w:val="231F20"/>
          <w:spacing w:val="22"/>
          <w:w w:val="99"/>
        </w:rPr>
        <w:t> </w:t>
      </w:r>
      <w:r>
        <w:rPr>
          <w:color w:val="231F20"/>
        </w:rPr>
        <w:t>a</w:t>
      </w:r>
      <w:r>
        <w:rPr>
          <w:color w:val="231F20"/>
          <w:spacing w:val="-7"/>
        </w:rPr>
        <w:t> </w:t>
      </w:r>
      <w:r>
        <w:rPr>
          <w:color w:val="231F20"/>
        </w:rPr>
        <w:t>number</w:t>
      </w:r>
      <w:r>
        <w:rPr>
          <w:color w:val="231F20"/>
          <w:spacing w:val="-8"/>
        </w:rPr>
        <w:t> </w:t>
      </w:r>
      <w:r>
        <w:rPr>
          <w:color w:val="231F20"/>
        </w:rPr>
        <w:t>of</w:t>
      </w:r>
      <w:r>
        <w:rPr>
          <w:color w:val="231F20"/>
          <w:spacing w:val="-7"/>
        </w:rPr>
        <w:t> </w:t>
      </w:r>
      <w:r>
        <w:rPr>
          <w:color w:val="231F20"/>
        </w:rPr>
        <w:t>boarding</w:t>
      </w:r>
      <w:r>
        <w:rPr>
          <w:color w:val="231F20"/>
          <w:spacing w:val="-8"/>
        </w:rPr>
        <w:t> </w:t>
      </w:r>
      <w:r>
        <w:rPr>
          <w:color w:val="231F20"/>
        </w:rPr>
        <w:t>providers</w:t>
      </w:r>
      <w:r>
        <w:rPr>
          <w:color w:val="231F20"/>
          <w:spacing w:val="-8"/>
        </w:rPr>
        <w:t> </w:t>
      </w:r>
      <w:r>
        <w:rPr>
          <w:color w:val="231F20"/>
        </w:rPr>
        <w:t>consulted</w:t>
      </w:r>
      <w:r>
        <w:rPr>
          <w:color w:val="231F20"/>
          <w:w w:val="99"/>
        </w:rPr>
        <w:t> </w:t>
      </w:r>
      <w:r>
        <w:rPr>
          <w:color w:val="231F20"/>
        </w:rPr>
        <w:t>referred</w:t>
      </w:r>
      <w:r>
        <w:rPr>
          <w:color w:val="231F20"/>
          <w:spacing w:val="-7"/>
        </w:rPr>
        <w:t> </w:t>
      </w:r>
      <w:r>
        <w:rPr>
          <w:color w:val="231F20"/>
        </w:rPr>
        <w:t>to</w:t>
      </w:r>
      <w:r>
        <w:rPr>
          <w:color w:val="231F20"/>
          <w:spacing w:val="-6"/>
        </w:rPr>
        <w:t> </w:t>
      </w:r>
      <w:r>
        <w:rPr>
          <w:color w:val="231F20"/>
        </w:rPr>
        <w:t>parents</w:t>
      </w:r>
      <w:r>
        <w:rPr>
          <w:color w:val="231F20"/>
          <w:spacing w:val="-6"/>
        </w:rPr>
        <w:t> </w:t>
      </w:r>
      <w:r>
        <w:rPr>
          <w:color w:val="231F20"/>
        </w:rPr>
        <w:t>and</w:t>
      </w:r>
      <w:r>
        <w:rPr>
          <w:color w:val="231F20"/>
          <w:spacing w:val="-6"/>
        </w:rPr>
        <w:t> </w:t>
      </w:r>
      <w:r>
        <w:rPr>
          <w:color w:val="231F20"/>
        </w:rPr>
        <w:t>guardians</w:t>
      </w:r>
      <w:r>
        <w:rPr>
          <w:color w:val="231F20"/>
          <w:spacing w:val="-7"/>
        </w:rPr>
        <w:t> </w:t>
      </w:r>
      <w:r>
        <w:rPr>
          <w:color w:val="231F20"/>
        </w:rPr>
        <w:t>utilising</w:t>
      </w:r>
      <w:r>
        <w:rPr>
          <w:color w:val="231F20"/>
        </w:rPr>
        <w:t> cultural</w:t>
      </w:r>
      <w:r>
        <w:rPr>
          <w:color w:val="231F20"/>
          <w:spacing w:val="-8"/>
        </w:rPr>
        <w:t> </w:t>
      </w:r>
      <w:r>
        <w:rPr>
          <w:color w:val="231F20"/>
        </w:rPr>
        <w:t>family</w:t>
      </w:r>
      <w:r>
        <w:rPr>
          <w:color w:val="231F20"/>
          <w:spacing w:val="-8"/>
        </w:rPr>
        <w:t> </w:t>
      </w:r>
      <w:r>
        <w:rPr>
          <w:color w:val="231F20"/>
        </w:rPr>
        <w:t>caring</w:t>
      </w:r>
      <w:r>
        <w:rPr>
          <w:color w:val="231F20"/>
          <w:spacing w:val="-7"/>
        </w:rPr>
        <w:t> </w:t>
      </w:r>
      <w:r>
        <w:rPr>
          <w:color w:val="231F20"/>
        </w:rPr>
        <w:t>arrangements</w:t>
      </w:r>
      <w:r>
        <w:rPr>
          <w:color w:val="231F20"/>
          <w:spacing w:val="-8"/>
        </w:rPr>
        <w:t> </w:t>
      </w:r>
      <w:r>
        <w:rPr>
          <w:color w:val="231F20"/>
        </w:rPr>
        <w:t>for</w:t>
      </w:r>
      <w:r>
        <w:rPr>
          <w:color w:val="231F20"/>
          <w:w w:val="99"/>
        </w:rPr>
        <w:t> </w:t>
      </w:r>
      <w:r>
        <w:rPr>
          <w:color w:val="231F20"/>
        </w:rPr>
        <w:t>children</w:t>
      </w:r>
      <w:r>
        <w:rPr>
          <w:color w:val="231F20"/>
          <w:spacing w:val="-6"/>
        </w:rPr>
        <w:t> </w:t>
      </w:r>
      <w:r>
        <w:rPr>
          <w:color w:val="231F20"/>
        </w:rPr>
        <w:t>to</w:t>
      </w:r>
      <w:r>
        <w:rPr>
          <w:color w:val="231F20"/>
          <w:spacing w:val="-4"/>
        </w:rPr>
        <w:t> </w:t>
      </w:r>
      <w:r>
        <w:rPr>
          <w:color w:val="231F20"/>
        </w:rPr>
        <w:t>eliminate</w:t>
      </w:r>
      <w:r>
        <w:rPr>
          <w:color w:val="231F20"/>
          <w:spacing w:val="-5"/>
        </w:rPr>
        <w:t> </w:t>
      </w:r>
      <w:r>
        <w:rPr>
          <w:color w:val="231F20"/>
        </w:rPr>
        <w:t>or</w:t>
      </w:r>
      <w:r>
        <w:rPr>
          <w:color w:val="231F20"/>
          <w:spacing w:val="-5"/>
        </w:rPr>
        <w:t> </w:t>
      </w:r>
      <w:r>
        <w:rPr>
          <w:color w:val="231F20"/>
        </w:rPr>
        <w:t>reduce</w:t>
      </w:r>
      <w:r>
        <w:rPr>
          <w:color w:val="231F20"/>
          <w:spacing w:val="-5"/>
        </w:rPr>
        <w:t> </w:t>
      </w:r>
      <w:r>
        <w:rPr>
          <w:color w:val="231F20"/>
        </w:rPr>
        <w:t>the</w:t>
      </w:r>
      <w:r>
        <w:rPr>
          <w:color w:val="231F20"/>
          <w:spacing w:val="-5"/>
        </w:rPr>
        <w:t> </w:t>
      </w:r>
      <w:r>
        <w:rPr>
          <w:color w:val="231F20"/>
          <w:spacing w:val="-1"/>
        </w:rPr>
        <w:t>impact</w:t>
      </w:r>
      <w:r>
        <w:rPr/>
      </w:r>
    </w:p>
    <w:p>
      <w:pPr>
        <w:spacing w:line="250" w:lineRule="exact" w:before="0"/>
        <w:ind w:left="117" w:right="221" w:firstLine="0"/>
        <w:jc w:val="left"/>
        <w:rPr>
          <w:rFonts w:ascii="Segoe UI" w:hAnsi="Segoe UI" w:cs="Segoe UI" w:eastAsia="Segoe UI"/>
          <w:sz w:val="20"/>
          <w:szCs w:val="20"/>
        </w:rPr>
      </w:pPr>
      <w:r>
        <w:rPr>
          <w:rFonts w:ascii="Segoe UI"/>
          <w:color w:val="231F20"/>
          <w:sz w:val="20"/>
        </w:rPr>
        <w:t>of</w:t>
      </w:r>
      <w:r>
        <w:rPr>
          <w:rFonts w:ascii="Segoe UI"/>
          <w:color w:val="231F20"/>
          <w:spacing w:val="-4"/>
          <w:sz w:val="20"/>
        </w:rPr>
        <w:t> </w:t>
      </w:r>
      <w:r>
        <w:rPr>
          <w:rFonts w:ascii="Segoe UI"/>
          <w:color w:val="231F20"/>
          <w:sz w:val="20"/>
        </w:rPr>
        <w:t>ABSTUDY</w:t>
      </w:r>
      <w:r>
        <w:rPr>
          <w:rFonts w:ascii="Segoe UI"/>
          <w:color w:val="231F20"/>
          <w:spacing w:val="-4"/>
          <w:sz w:val="20"/>
        </w:rPr>
        <w:t> </w:t>
      </w:r>
      <w:r>
        <w:rPr>
          <w:rFonts w:ascii="Segoe UI"/>
          <w:color w:val="231F20"/>
          <w:spacing w:val="-1"/>
          <w:sz w:val="20"/>
        </w:rPr>
        <w:t>means</w:t>
      </w:r>
      <w:r>
        <w:rPr>
          <w:rFonts w:ascii="Segoe UI"/>
          <w:color w:val="231F20"/>
          <w:spacing w:val="-4"/>
          <w:sz w:val="20"/>
        </w:rPr>
        <w:t> </w:t>
      </w:r>
      <w:r>
        <w:rPr>
          <w:rFonts w:ascii="Segoe UI"/>
          <w:color w:val="231F20"/>
          <w:sz w:val="20"/>
        </w:rPr>
        <w:t>testing.</w:t>
      </w:r>
      <w:r>
        <w:rPr>
          <w:rFonts w:ascii="Segoe UI"/>
          <w:color w:val="231F20"/>
          <w:spacing w:val="-4"/>
          <w:sz w:val="20"/>
        </w:rPr>
        <w:t> </w:t>
      </w:r>
      <w:r>
        <w:rPr>
          <w:rFonts w:ascii="Segoe UI"/>
          <w:color w:val="231F20"/>
          <w:sz w:val="20"/>
        </w:rPr>
        <w:t>Means</w:t>
      </w:r>
      <w:r>
        <w:rPr>
          <w:rFonts w:ascii="Segoe UI"/>
          <w:color w:val="231F20"/>
          <w:spacing w:val="-4"/>
          <w:sz w:val="20"/>
        </w:rPr>
        <w:t> </w:t>
      </w:r>
      <w:r>
        <w:rPr>
          <w:rFonts w:ascii="Segoe UI"/>
          <w:color w:val="231F20"/>
          <w:sz w:val="20"/>
        </w:rPr>
        <w:t>testing</w:t>
      </w:r>
      <w:r>
        <w:rPr>
          <w:rFonts w:ascii="Segoe UI"/>
          <w:color w:val="231F20"/>
          <w:spacing w:val="-5"/>
          <w:sz w:val="20"/>
        </w:rPr>
        <w:t> </w:t>
      </w:r>
      <w:r>
        <w:rPr>
          <w:rFonts w:ascii="Segoe UI"/>
          <w:color w:val="231F20"/>
          <w:spacing w:val="-1"/>
          <w:sz w:val="20"/>
        </w:rPr>
        <w:t>is</w:t>
      </w:r>
      <w:r>
        <w:rPr>
          <w:rFonts w:ascii="Segoe UI"/>
          <w:color w:val="231F20"/>
          <w:spacing w:val="21"/>
          <w:sz w:val="20"/>
        </w:rPr>
        <w:t> </w:t>
      </w:r>
      <w:r>
        <w:rPr>
          <w:rFonts w:ascii="Segoe UI"/>
          <w:color w:val="231F20"/>
          <w:sz w:val="20"/>
        </w:rPr>
        <w:t>addressed</w:t>
      </w:r>
      <w:r>
        <w:rPr>
          <w:rFonts w:ascii="Segoe UI"/>
          <w:color w:val="231F20"/>
          <w:spacing w:val="-6"/>
          <w:sz w:val="20"/>
        </w:rPr>
        <w:t> </w:t>
      </w:r>
      <w:r>
        <w:rPr>
          <w:rFonts w:ascii="Segoe UI"/>
          <w:color w:val="231F20"/>
          <w:spacing w:val="-1"/>
          <w:sz w:val="20"/>
        </w:rPr>
        <w:t>in</w:t>
      </w:r>
      <w:r>
        <w:rPr>
          <w:rFonts w:ascii="Segoe UI"/>
          <w:color w:val="231F20"/>
          <w:spacing w:val="-5"/>
          <w:sz w:val="20"/>
        </w:rPr>
        <w:t> </w:t>
      </w:r>
      <w:r>
        <w:rPr>
          <w:rFonts w:ascii="Segoe UI"/>
          <w:color w:val="231F20"/>
          <w:spacing w:val="-1"/>
          <w:sz w:val="20"/>
        </w:rPr>
        <w:t>more</w:t>
      </w:r>
      <w:r>
        <w:rPr>
          <w:rFonts w:ascii="Segoe UI"/>
          <w:color w:val="231F20"/>
          <w:spacing w:val="-5"/>
          <w:sz w:val="20"/>
        </w:rPr>
        <w:t> </w:t>
      </w:r>
      <w:r>
        <w:rPr>
          <w:rFonts w:ascii="Segoe UI"/>
          <w:color w:val="231F20"/>
          <w:sz w:val="20"/>
        </w:rPr>
        <w:t>detail</w:t>
      </w:r>
      <w:r>
        <w:rPr>
          <w:rFonts w:ascii="Segoe UI"/>
          <w:color w:val="231F20"/>
          <w:spacing w:val="-6"/>
          <w:sz w:val="20"/>
        </w:rPr>
        <w:t> </w:t>
      </w:r>
      <w:r>
        <w:rPr>
          <w:rFonts w:ascii="Segoe UI"/>
          <w:color w:val="231F20"/>
          <w:sz w:val="20"/>
        </w:rPr>
        <w:t>under</w:t>
      </w:r>
      <w:r>
        <w:rPr>
          <w:rFonts w:ascii="Segoe UI"/>
          <w:color w:val="231F20"/>
          <w:spacing w:val="-6"/>
          <w:sz w:val="20"/>
        </w:rPr>
        <w:t> </w:t>
      </w:r>
      <w:r>
        <w:rPr>
          <w:rFonts w:ascii="Segoe UI"/>
          <w:i/>
          <w:color w:val="231F20"/>
          <w:spacing w:val="-1"/>
          <w:sz w:val="20"/>
        </w:rPr>
        <w:t>Private</w:t>
      </w:r>
      <w:r>
        <w:rPr>
          <w:rFonts w:ascii="Segoe UI"/>
          <w:i/>
          <w:color w:val="231F20"/>
          <w:spacing w:val="-5"/>
          <w:sz w:val="20"/>
        </w:rPr>
        <w:t> </w:t>
      </w:r>
      <w:r>
        <w:rPr>
          <w:rFonts w:ascii="Segoe UI"/>
          <w:i/>
          <w:color w:val="231F20"/>
          <w:sz w:val="20"/>
        </w:rPr>
        <w:t>fees</w:t>
      </w:r>
      <w:r>
        <w:rPr>
          <w:rFonts w:ascii="Segoe UI"/>
          <w:i/>
          <w:color w:val="231F20"/>
          <w:spacing w:val="28"/>
          <w:w w:val="99"/>
          <w:sz w:val="20"/>
        </w:rPr>
        <w:t> </w:t>
      </w:r>
      <w:r>
        <w:rPr>
          <w:rFonts w:ascii="Segoe UI"/>
          <w:i/>
          <w:color w:val="231F20"/>
          <w:sz w:val="20"/>
        </w:rPr>
        <w:t>and</w:t>
      </w:r>
      <w:r>
        <w:rPr>
          <w:rFonts w:ascii="Segoe UI"/>
          <w:i/>
          <w:color w:val="231F20"/>
          <w:spacing w:val="-3"/>
          <w:sz w:val="20"/>
        </w:rPr>
        <w:t> </w:t>
      </w:r>
      <w:r>
        <w:rPr>
          <w:rFonts w:ascii="Segoe UI"/>
          <w:i/>
          <w:color w:val="231F20"/>
          <w:spacing w:val="-1"/>
          <w:sz w:val="20"/>
        </w:rPr>
        <w:t>parental</w:t>
      </w:r>
      <w:r>
        <w:rPr>
          <w:rFonts w:ascii="Segoe UI"/>
          <w:i/>
          <w:color w:val="231F20"/>
          <w:spacing w:val="-4"/>
          <w:sz w:val="20"/>
        </w:rPr>
        <w:t> </w:t>
      </w:r>
      <w:r>
        <w:rPr>
          <w:rFonts w:ascii="Segoe UI"/>
          <w:i/>
          <w:color w:val="231F20"/>
          <w:spacing w:val="-1"/>
          <w:sz w:val="20"/>
        </w:rPr>
        <w:t>contributions</w:t>
      </w:r>
      <w:r>
        <w:rPr>
          <w:rFonts w:ascii="Segoe UI"/>
          <w:color w:val="231F20"/>
          <w:spacing w:val="-1"/>
          <w:sz w:val="20"/>
        </w:rPr>
        <w:t>.</w:t>
      </w:r>
      <w:r>
        <w:rPr>
          <w:rFonts w:ascii="Segoe UI"/>
          <w:color w:val="231F20"/>
          <w:spacing w:val="-3"/>
          <w:sz w:val="20"/>
        </w:rPr>
        <w:t> </w:t>
      </w:r>
      <w:r>
        <w:rPr>
          <w:rFonts w:ascii="Segoe UI"/>
          <w:color w:val="231F20"/>
          <w:sz w:val="20"/>
        </w:rPr>
        <w:t>Other</w:t>
      </w:r>
      <w:r>
        <w:rPr>
          <w:rFonts w:ascii="Segoe UI"/>
          <w:color w:val="231F20"/>
          <w:spacing w:val="-3"/>
          <w:sz w:val="20"/>
        </w:rPr>
        <w:t> </w:t>
      </w:r>
      <w:r>
        <w:rPr>
          <w:rFonts w:ascii="Segoe UI"/>
          <w:color w:val="231F20"/>
          <w:spacing w:val="-1"/>
          <w:sz w:val="20"/>
        </w:rPr>
        <w:t>models</w:t>
      </w:r>
      <w:r>
        <w:rPr>
          <w:rFonts w:ascii="Segoe UI"/>
          <w:color w:val="231F20"/>
          <w:spacing w:val="-3"/>
          <w:sz w:val="20"/>
        </w:rPr>
        <w:t> </w:t>
      </w:r>
      <w:r>
        <w:rPr>
          <w:rFonts w:ascii="Segoe UI"/>
          <w:color w:val="231F20"/>
          <w:sz w:val="20"/>
        </w:rPr>
        <w:t>of</w:t>
      </w:r>
      <w:r>
        <w:rPr>
          <w:rFonts w:ascii="Segoe UI"/>
          <w:color w:val="231F20"/>
          <w:spacing w:val="31"/>
          <w:w w:val="99"/>
          <w:sz w:val="20"/>
        </w:rPr>
        <w:t> </w:t>
      </w:r>
      <w:r>
        <w:rPr>
          <w:rFonts w:ascii="Segoe UI"/>
          <w:color w:val="231F20"/>
          <w:sz w:val="20"/>
        </w:rPr>
        <w:t>eligibility</w:t>
      </w:r>
      <w:r>
        <w:rPr>
          <w:rFonts w:ascii="Segoe UI"/>
          <w:color w:val="231F20"/>
          <w:spacing w:val="-5"/>
          <w:sz w:val="20"/>
        </w:rPr>
        <w:t> </w:t>
      </w:r>
      <w:r>
        <w:rPr>
          <w:rFonts w:ascii="Segoe UI"/>
          <w:color w:val="231F20"/>
          <w:sz w:val="20"/>
        </w:rPr>
        <w:t>to</w:t>
      </w:r>
      <w:r>
        <w:rPr>
          <w:rFonts w:ascii="Segoe UI"/>
          <w:color w:val="231F20"/>
          <w:spacing w:val="-4"/>
          <w:sz w:val="20"/>
        </w:rPr>
        <w:t> </w:t>
      </w:r>
      <w:r>
        <w:rPr>
          <w:rFonts w:ascii="Segoe UI"/>
          <w:color w:val="231F20"/>
          <w:sz w:val="20"/>
        </w:rPr>
        <w:t>replace</w:t>
      </w:r>
      <w:r>
        <w:rPr>
          <w:rFonts w:ascii="Segoe UI"/>
          <w:color w:val="231F20"/>
          <w:spacing w:val="-5"/>
          <w:sz w:val="20"/>
        </w:rPr>
        <w:t> </w:t>
      </w:r>
      <w:r>
        <w:rPr>
          <w:rFonts w:ascii="Segoe UI"/>
          <w:color w:val="231F20"/>
          <w:spacing w:val="-1"/>
          <w:sz w:val="20"/>
        </w:rPr>
        <w:t>means</w:t>
      </w:r>
      <w:r>
        <w:rPr>
          <w:rFonts w:ascii="Segoe UI"/>
          <w:color w:val="231F20"/>
          <w:spacing w:val="-4"/>
          <w:sz w:val="20"/>
        </w:rPr>
        <w:t> </w:t>
      </w:r>
      <w:r>
        <w:rPr>
          <w:rFonts w:ascii="Segoe UI"/>
          <w:color w:val="231F20"/>
          <w:sz w:val="20"/>
        </w:rPr>
        <w:t>testing</w:t>
      </w:r>
      <w:r>
        <w:rPr>
          <w:rFonts w:ascii="Segoe UI"/>
          <w:color w:val="231F20"/>
          <w:spacing w:val="-5"/>
          <w:sz w:val="20"/>
        </w:rPr>
        <w:t> </w:t>
      </w:r>
      <w:r>
        <w:rPr>
          <w:rFonts w:ascii="Segoe UI"/>
          <w:color w:val="231F20"/>
          <w:sz w:val="20"/>
        </w:rPr>
        <w:t>have</w:t>
      </w:r>
      <w:r>
        <w:rPr>
          <w:rFonts w:ascii="Segoe UI"/>
          <w:color w:val="231F20"/>
          <w:spacing w:val="-4"/>
          <w:sz w:val="20"/>
        </w:rPr>
        <w:t> </w:t>
      </w:r>
      <w:r>
        <w:rPr>
          <w:rFonts w:ascii="Segoe UI"/>
          <w:color w:val="231F20"/>
          <w:sz w:val="20"/>
        </w:rPr>
        <w:t>been</w:t>
      </w:r>
      <w:r>
        <w:rPr>
          <w:rFonts w:ascii="Segoe UI"/>
          <w:sz w:val="20"/>
        </w:rPr>
      </w:r>
    </w:p>
    <w:p>
      <w:pPr>
        <w:pStyle w:val="BodyText"/>
        <w:spacing w:line="250" w:lineRule="exact"/>
        <w:ind w:right="0"/>
        <w:jc w:val="left"/>
      </w:pPr>
      <w:r>
        <w:rPr>
          <w:color w:val="231F20"/>
        </w:rPr>
        <w:t>recommended</w:t>
      </w:r>
      <w:r>
        <w:rPr>
          <w:color w:val="231F20"/>
          <w:spacing w:val="-9"/>
        </w:rPr>
        <w:t> </w:t>
      </w:r>
      <w:r>
        <w:rPr>
          <w:color w:val="231F20"/>
          <w:spacing w:val="-1"/>
        </w:rPr>
        <w:t>in</w:t>
      </w:r>
      <w:r>
        <w:rPr>
          <w:color w:val="231F20"/>
          <w:spacing w:val="-6"/>
        </w:rPr>
        <w:t> </w:t>
      </w:r>
      <w:r>
        <w:rPr>
          <w:color w:val="231F20"/>
        </w:rPr>
        <w:t>other</w:t>
      </w:r>
      <w:r>
        <w:rPr>
          <w:color w:val="231F20"/>
          <w:spacing w:val="-6"/>
        </w:rPr>
        <w:t> </w:t>
      </w:r>
      <w:r>
        <w:rPr>
          <w:color w:val="231F20"/>
        </w:rPr>
        <w:t>reports</w:t>
      </w:r>
      <w:r>
        <w:rPr>
          <w:color w:val="231F20"/>
          <w:spacing w:val="-7"/>
        </w:rPr>
        <w:t> </w:t>
      </w:r>
      <w:r>
        <w:rPr>
          <w:color w:val="231F20"/>
        </w:rPr>
        <w:t>and</w:t>
      </w:r>
      <w:r>
        <w:rPr>
          <w:color w:val="231F20"/>
          <w:spacing w:val="-7"/>
        </w:rPr>
        <w:t> </w:t>
      </w:r>
      <w:r>
        <w:rPr>
          <w:color w:val="231F20"/>
        </w:rPr>
        <w:t>reviews</w:t>
      </w:r>
      <w:r>
        <w:rPr>
          <w:color w:val="231F20"/>
          <w:spacing w:val="-8"/>
        </w:rPr>
        <w:t> </w:t>
      </w:r>
      <w:r>
        <w:rPr>
          <w:color w:val="231F20"/>
        </w:rPr>
        <w:t>and</w:t>
      </w:r>
      <w:r>
        <w:rPr>
          <w:color w:val="231F20"/>
          <w:spacing w:val="21"/>
          <w:w w:val="99"/>
        </w:rPr>
        <w:t> </w:t>
      </w:r>
      <w:r>
        <w:rPr>
          <w:color w:val="231F20"/>
          <w:spacing w:val="-1"/>
        </w:rPr>
        <w:t>in</w:t>
      </w:r>
      <w:r>
        <w:rPr>
          <w:color w:val="231F20"/>
          <w:spacing w:val="-3"/>
        </w:rPr>
        <w:t> </w:t>
      </w:r>
      <w:r>
        <w:rPr>
          <w:color w:val="231F20"/>
        </w:rPr>
        <w:t>consultations</w:t>
      </w:r>
      <w:r>
        <w:rPr>
          <w:color w:val="231F20"/>
          <w:spacing w:val="-3"/>
        </w:rPr>
        <w:t> </w:t>
      </w:r>
      <w:r>
        <w:rPr>
          <w:color w:val="231F20"/>
        </w:rPr>
        <w:t>for</w:t>
      </w:r>
      <w:r>
        <w:rPr>
          <w:color w:val="231F20"/>
          <w:spacing w:val="-2"/>
        </w:rPr>
        <w:t> </w:t>
      </w:r>
      <w:r>
        <w:rPr>
          <w:color w:val="231F20"/>
        </w:rPr>
        <w:t>this</w:t>
      </w:r>
      <w:r>
        <w:rPr>
          <w:color w:val="231F20"/>
          <w:spacing w:val="-3"/>
        </w:rPr>
        <w:t> </w:t>
      </w:r>
      <w:r>
        <w:rPr>
          <w:color w:val="231F20"/>
        </w:rPr>
        <w:t>report.</w:t>
      </w:r>
      <w:r>
        <w:rPr/>
      </w:r>
    </w:p>
    <w:p>
      <w:pPr>
        <w:pStyle w:val="BodyText"/>
        <w:spacing w:line="250" w:lineRule="exact" w:before="69"/>
        <w:ind w:right="212"/>
        <w:jc w:val="left"/>
      </w:pPr>
      <w:r>
        <w:rPr/>
        <w:br w:type="column"/>
      </w:r>
      <w:r>
        <w:rPr>
          <w:color w:val="231F20"/>
          <w:spacing w:val="-1"/>
        </w:rPr>
        <w:t>In </w:t>
      </w:r>
      <w:r>
        <w:rPr>
          <w:color w:val="231F20"/>
        </w:rPr>
        <w:t>a</w:t>
      </w:r>
      <w:r>
        <w:rPr>
          <w:color w:val="231F20"/>
          <w:spacing w:val="-1"/>
        </w:rPr>
        <w:t> submission </w:t>
      </w:r>
      <w:r>
        <w:rPr>
          <w:color w:val="231F20"/>
        </w:rPr>
        <w:t>to</w:t>
      </w:r>
      <w:r>
        <w:rPr>
          <w:color w:val="231F20"/>
          <w:spacing w:val="-1"/>
        </w:rPr>
        <w:t> </w:t>
      </w:r>
      <w:r>
        <w:rPr>
          <w:color w:val="231F20"/>
        </w:rPr>
        <w:t>the</w:t>
      </w:r>
      <w:r>
        <w:rPr>
          <w:color w:val="231F20"/>
          <w:spacing w:val="-2"/>
        </w:rPr>
        <w:t> </w:t>
      </w:r>
      <w:r>
        <w:rPr>
          <w:color w:val="231F20"/>
        </w:rPr>
        <w:t>HoRSCIA</w:t>
      </w:r>
      <w:r>
        <w:rPr>
          <w:color w:val="231F20"/>
          <w:spacing w:val="-2"/>
        </w:rPr>
        <w:t> </w:t>
      </w:r>
      <w:r>
        <w:rPr>
          <w:color w:val="231F20"/>
          <w:spacing w:val="-1"/>
        </w:rPr>
        <w:t>inquiry,</w:t>
      </w:r>
      <w:r>
        <w:rPr>
          <w:rFonts w:ascii="Segoe UI Semibold"/>
          <w:b/>
          <w:color w:val="231F20"/>
          <w:spacing w:val="-1"/>
          <w:position w:val="7"/>
          <w:sz w:val="11"/>
        </w:rPr>
        <w:t>101</w:t>
      </w:r>
      <w:r>
        <w:rPr>
          <w:rFonts w:ascii="Segoe UI Semibold"/>
          <w:b/>
          <w:color w:val="231F20"/>
          <w:spacing w:val="24"/>
          <w:position w:val="7"/>
          <w:sz w:val="11"/>
        </w:rPr>
        <w:t> </w:t>
      </w:r>
      <w:r>
        <w:rPr>
          <w:color w:val="231F20"/>
        </w:rPr>
        <w:t>the</w:t>
      </w:r>
      <w:r>
        <w:rPr>
          <w:color w:val="231F20"/>
          <w:spacing w:val="26"/>
          <w:w w:val="99"/>
        </w:rPr>
        <w:t> </w:t>
      </w:r>
      <w:r>
        <w:rPr>
          <w:rFonts w:ascii="Segoe UI"/>
          <w:color w:val="231F20"/>
        </w:rPr>
        <w:t>Department of Social Services identified that</w:t>
      </w:r>
      <w:r>
        <w:rPr>
          <w:rFonts w:ascii="Segoe UI"/>
          <w:color w:val="231F20"/>
        </w:rPr>
        <w:t> </w:t>
      </w:r>
      <w:r>
        <w:rPr>
          <w:color w:val="231F20"/>
        </w:rPr>
        <w:t>the</w:t>
      </w:r>
      <w:r>
        <w:rPr>
          <w:color w:val="231F20"/>
          <w:spacing w:val="-6"/>
        </w:rPr>
        <w:t> </w:t>
      </w:r>
      <w:r>
        <w:rPr>
          <w:color w:val="231F20"/>
        </w:rPr>
        <w:t>average</w:t>
      </w:r>
      <w:r>
        <w:rPr>
          <w:color w:val="231F20"/>
          <w:spacing w:val="-5"/>
        </w:rPr>
        <w:t> </w:t>
      </w:r>
      <w:r>
        <w:rPr>
          <w:color w:val="231F20"/>
        </w:rPr>
        <w:t>and</w:t>
      </w:r>
      <w:r>
        <w:rPr>
          <w:color w:val="231F20"/>
          <w:spacing w:val="-6"/>
        </w:rPr>
        <w:t> </w:t>
      </w:r>
      <w:r>
        <w:rPr>
          <w:color w:val="231F20"/>
          <w:spacing w:val="-1"/>
        </w:rPr>
        <w:t>mean</w:t>
      </w:r>
      <w:r>
        <w:rPr>
          <w:color w:val="231F20"/>
          <w:spacing w:val="-4"/>
        </w:rPr>
        <w:t> </w:t>
      </w:r>
      <w:r>
        <w:rPr>
          <w:color w:val="231F20"/>
        </w:rPr>
        <w:t>ABSTUDY</w:t>
      </w:r>
      <w:r>
        <w:rPr>
          <w:color w:val="231F20"/>
          <w:spacing w:val="-6"/>
        </w:rPr>
        <w:t> </w:t>
      </w:r>
      <w:r>
        <w:rPr>
          <w:color w:val="231F20"/>
        </w:rPr>
        <w:t>payments</w:t>
      </w:r>
      <w:r>
        <w:rPr>
          <w:color w:val="231F20"/>
          <w:spacing w:val="-5"/>
        </w:rPr>
        <w:t> </w:t>
      </w:r>
      <w:r>
        <w:rPr>
          <w:color w:val="231F20"/>
          <w:spacing w:val="-1"/>
        </w:rPr>
        <w:t>in</w:t>
      </w:r>
      <w:r>
        <w:rPr>
          <w:color w:val="231F20"/>
          <w:spacing w:val="21"/>
        </w:rPr>
        <w:t> </w:t>
      </w:r>
      <w:r>
        <w:rPr>
          <w:color w:val="231F20"/>
          <w:spacing w:val="-1"/>
        </w:rPr>
        <w:t>2016</w:t>
      </w:r>
      <w:r>
        <w:rPr>
          <w:color w:val="231F20"/>
          <w:spacing w:val="-5"/>
        </w:rPr>
        <w:t> </w:t>
      </w:r>
      <w:r>
        <w:rPr>
          <w:color w:val="231F20"/>
        </w:rPr>
        <w:t>for</w:t>
      </w:r>
      <w:r>
        <w:rPr>
          <w:color w:val="231F20"/>
          <w:spacing w:val="-4"/>
        </w:rPr>
        <w:t> </w:t>
      </w:r>
      <w:r>
        <w:rPr>
          <w:color w:val="231F20"/>
        </w:rPr>
        <w:t>Aboriginal</w:t>
      </w:r>
      <w:r>
        <w:rPr>
          <w:color w:val="231F20"/>
          <w:spacing w:val="-4"/>
        </w:rPr>
        <w:t> </w:t>
      </w:r>
      <w:r>
        <w:rPr>
          <w:color w:val="231F20"/>
        </w:rPr>
        <w:t>and</w:t>
      </w:r>
      <w:r>
        <w:rPr>
          <w:color w:val="231F20"/>
          <w:spacing w:val="-5"/>
        </w:rPr>
        <w:t> 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20"/>
          <w:w w:val="99"/>
        </w:rPr>
        <w:t> </w:t>
      </w:r>
      <w:r>
        <w:rPr>
          <w:color w:val="231F20"/>
          <w:spacing w:val="-1"/>
        </w:rPr>
        <w:t>students</w:t>
      </w:r>
      <w:r>
        <w:rPr>
          <w:color w:val="231F20"/>
          <w:spacing w:val="-6"/>
        </w:rPr>
        <w:t> </w:t>
      </w:r>
      <w:r>
        <w:rPr>
          <w:color w:val="231F20"/>
        </w:rPr>
        <w:t>attending</w:t>
      </w:r>
      <w:r>
        <w:rPr>
          <w:color w:val="231F20"/>
          <w:spacing w:val="-7"/>
        </w:rPr>
        <w:t> </w:t>
      </w:r>
      <w:r>
        <w:rPr>
          <w:color w:val="231F20"/>
        </w:rPr>
        <w:t>boarding</w:t>
      </w:r>
      <w:r>
        <w:rPr>
          <w:color w:val="231F20"/>
          <w:spacing w:val="-7"/>
        </w:rPr>
        <w:t> </w:t>
      </w:r>
      <w:r>
        <w:rPr>
          <w:color w:val="231F20"/>
        </w:rPr>
        <w:t>were</w:t>
      </w:r>
      <w:r>
        <w:rPr>
          <w:color w:val="231F20"/>
          <w:spacing w:val="-7"/>
        </w:rPr>
        <w:t> </w:t>
      </w:r>
      <w:r>
        <w:rPr>
          <w:color w:val="231F20"/>
        </w:rPr>
        <w:t>well</w:t>
      </w:r>
      <w:r>
        <w:rPr>
          <w:color w:val="231F20"/>
          <w:spacing w:val="-7"/>
        </w:rPr>
        <w:t> </w:t>
      </w:r>
      <w:r>
        <w:rPr>
          <w:color w:val="231F20"/>
        </w:rPr>
        <w:t>below</w:t>
      </w:r>
      <w:r>
        <w:rPr>
          <w:color w:val="231F20"/>
          <w:spacing w:val="22"/>
          <w:w w:val="99"/>
        </w:rPr>
        <w:t> </w:t>
      </w:r>
      <w:r>
        <w:rPr>
          <w:color w:val="231F20"/>
        </w:rPr>
        <w:t>the</w:t>
      </w:r>
      <w:r>
        <w:rPr>
          <w:color w:val="231F20"/>
          <w:spacing w:val="-6"/>
        </w:rPr>
        <w:t> </w:t>
      </w:r>
      <w:r>
        <w:rPr>
          <w:color w:val="231F20"/>
          <w:spacing w:val="-1"/>
        </w:rPr>
        <w:t>maximum</w:t>
      </w:r>
      <w:r>
        <w:rPr>
          <w:color w:val="231F20"/>
          <w:spacing w:val="-4"/>
        </w:rPr>
        <w:t> </w:t>
      </w:r>
      <w:r>
        <w:rPr>
          <w:color w:val="231F20"/>
        </w:rPr>
        <w:t>ABSTUDY</w:t>
      </w:r>
      <w:r>
        <w:rPr>
          <w:color w:val="231F20"/>
          <w:spacing w:val="-6"/>
        </w:rPr>
        <w:t> </w:t>
      </w:r>
      <w:r>
        <w:rPr>
          <w:color w:val="231F20"/>
        </w:rPr>
        <w:t>entitlement.</w:t>
      </w:r>
      <w:r>
        <w:rPr/>
      </w:r>
    </w:p>
    <w:p>
      <w:pPr>
        <w:pStyle w:val="BodyText"/>
        <w:spacing w:line="250" w:lineRule="exact" w:before="113"/>
        <w:ind w:right="448"/>
        <w:jc w:val="left"/>
      </w:pPr>
      <w:r>
        <w:rPr>
          <w:color w:val="231F20"/>
        </w:rPr>
        <w:t>The</w:t>
      </w:r>
      <w:r>
        <w:rPr>
          <w:color w:val="231F20"/>
          <w:spacing w:val="-5"/>
        </w:rPr>
        <w:t> </w:t>
      </w:r>
      <w:r>
        <w:rPr>
          <w:color w:val="231F20"/>
          <w:spacing w:val="-1"/>
        </w:rPr>
        <w:t>majority</w:t>
      </w:r>
      <w:r>
        <w:rPr>
          <w:color w:val="231F20"/>
          <w:spacing w:val="-5"/>
        </w:rPr>
        <w:t> </w:t>
      </w:r>
      <w:r>
        <w:rPr>
          <w:color w:val="231F20"/>
        </w:rPr>
        <w:t>of</w:t>
      </w:r>
      <w:r>
        <w:rPr>
          <w:color w:val="231F20"/>
          <w:spacing w:val="-4"/>
        </w:rPr>
        <w:t> </w:t>
      </w:r>
      <w:r>
        <w:rPr>
          <w:color w:val="231F20"/>
        </w:rPr>
        <w:t>the</w:t>
      </w:r>
      <w:r>
        <w:rPr>
          <w:color w:val="231F20"/>
          <w:spacing w:val="-6"/>
        </w:rPr>
        <w:t> </w:t>
      </w:r>
      <w:r>
        <w:rPr>
          <w:color w:val="231F20"/>
        </w:rPr>
        <w:t>Aboriginal</w:t>
      </w:r>
      <w:r>
        <w:rPr>
          <w:color w:val="231F20"/>
          <w:spacing w:val="-4"/>
        </w:rPr>
        <w:t> </w:t>
      </w:r>
      <w:r>
        <w:rPr>
          <w:color w:val="231F20"/>
        </w:rPr>
        <w:t>and</w:t>
      </w:r>
      <w:r>
        <w:rPr>
          <w:color w:val="231F20"/>
          <w:spacing w:val="-6"/>
        </w:rPr>
        <w:t> </w:t>
      </w:r>
      <w:r>
        <w:rPr>
          <w:color w:val="231F20"/>
          <w:spacing w:val="-5"/>
        </w:rPr>
        <w:t>Torres</w:t>
      </w:r>
      <w:r>
        <w:rPr>
          <w:color w:val="231F20"/>
          <w:spacing w:val="26"/>
          <w:w w:val="99"/>
        </w:rPr>
        <w:t> </w:t>
      </w:r>
      <w:r>
        <w:rPr>
          <w:color w:val="231F20"/>
          <w:spacing w:val="-2"/>
        </w:rPr>
        <w:t>Strait</w:t>
      </w:r>
      <w:r>
        <w:rPr>
          <w:color w:val="231F20"/>
          <w:spacing w:val="-9"/>
        </w:rPr>
        <w:t> </w:t>
      </w:r>
      <w:r>
        <w:rPr>
          <w:color w:val="231F20"/>
          <w:spacing w:val="-1"/>
        </w:rPr>
        <w:t>Islander</w:t>
      </w:r>
      <w:r>
        <w:rPr>
          <w:color w:val="231F20"/>
          <w:spacing w:val="-7"/>
        </w:rPr>
        <w:t> </w:t>
      </w:r>
      <w:r>
        <w:rPr>
          <w:color w:val="231F20"/>
        </w:rPr>
        <w:t>boarding</w:t>
      </w:r>
      <w:r>
        <w:rPr>
          <w:color w:val="231F20"/>
          <w:spacing w:val="-8"/>
        </w:rPr>
        <w:t> </w:t>
      </w:r>
      <w:r>
        <w:rPr>
          <w:color w:val="231F20"/>
        </w:rPr>
        <w:t>providers</w:t>
      </w:r>
      <w:r>
        <w:rPr>
          <w:color w:val="231F20"/>
          <w:spacing w:val="-8"/>
        </w:rPr>
        <w:t> </w:t>
      </w:r>
      <w:r>
        <w:rPr>
          <w:color w:val="231F20"/>
        </w:rPr>
        <w:t>are</w:t>
      </w:r>
      <w:r>
        <w:rPr>
          <w:color w:val="231F20"/>
          <w:spacing w:val="-8"/>
        </w:rPr>
        <w:t> </w:t>
      </w:r>
      <w:r>
        <w:rPr>
          <w:color w:val="231F20"/>
        </w:rPr>
        <w:t>heavily</w:t>
      </w:r>
      <w:r>
        <w:rPr>
          <w:color w:val="231F20"/>
          <w:spacing w:val="27"/>
          <w:w w:val="99"/>
        </w:rPr>
        <w:t> </w:t>
      </w:r>
      <w:r>
        <w:rPr>
          <w:color w:val="231F20"/>
        </w:rPr>
        <w:t>reliant</w:t>
      </w:r>
      <w:r>
        <w:rPr>
          <w:color w:val="231F20"/>
          <w:spacing w:val="-5"/>
        </w:rPr>
        <w:t> </w:t>
      </w:r>
      <w:r>
        <w:rPr>
          <w:color w:val="231F20"/>
        </w:rPr>
        <w:t>on</w:t>
      </w:r>
      <w:r>
        <w:rPr>
          <w:color w:val="231F20"/>
          <w:spacing w:val="-5"/>
        </w:rPr>
        <w:t> </w:t>
      </w:r>
      <w:r>
        <w:rPr>
          <w:color w:val="231F20"/>
        </w:rPr>
        <w:t>ABSTUDY</w:t>
      </w:r>
      <w:r>
        <w:rPr>
          <w:color w:val="231F20"/>
          <w:spacing w:val="-5"/>
        </w:rPr>
        <w:t> </w:t>
      </w:r>
      <w:r>
        <w:rPr>
          <w:color w:val="231F20"/>
        </w:rPr>
        <w:t>for</w:t>
      </w:r>
      <w:r>
        <w:rPr>
          <w:color w:val="231F20"/>
          <w:spacing w:val="-4"/>
        </w:rPr>
        <w:t> </w:t>
      </w:r>
      <w:r>
        <w:rPr>
          <w:color w:val="231F20"/>
        </w:rPr>
        <w:t>their</w:t>
      </w:r>
      <w:r>
        <w:rPr>
          <w:color w:val="231F20"/>
          <w:spacing w:val="-5"/>
        </w:rPr>
        <w:t> </w:t>
      </w:r>
      <w:r>
        <w:rPr>
          <w:color w:val="231F20"/>
        </w:rPr>
        <w:t>operations.</w:t>
      </w:r>
      <w:r>
        <w:rPr>
          <w:color w:val="231F20"/>
          <w:spacing w:val="-5"/>
        </w:rPr>
        <w:t> </w:t>
      </w:r>
      <w:r>
        <w:rPr>
          <w:color w:val="231F20"/>
        </w:rPr>
        <w:t>This</w:t>
      </w:r>
      <w:r>
        <w:rPr>
          <w:color w:val="231F20"/>
        </w:rPr>
        <w:t> </w:t>
      </w:r>
      <w:r>
        <w:rPr>
          <w:rFonts w:ascii="Segoe UI"/>
          <w:color w:val="231F20"/>
        </w:rPr>
        <w:t>has been the findings of previous reviews</w:t>
      </w:r>
      <w:r>
        <w:rPr>
          <w:rFonts w:ascii="Segoe UI"/>
          <w:color w:val="231F20"/>
        </w:rPr>
        <w:t> and reports and was also confirmed by this report. Grant Thornton also confirmed that </w:t>
      </w:r>
      <w:r>
        <w:rPr>
          <w:color w:val="231F20"/>
        </w:rPr>
        <w:t>additional</w:t>
      </w:r>
      <w:r>
        <w:rPr>
          <w:color w:val="231F20"/>
          <w:spacing w:val="-6"/>
        </w:rPr>
        <w:t> </w:t>
      </w:r>
      <w:r>
        <w:rPr>
          <w:color w:val="231F20"/>
        </w:rPr>
        <w:t>funding</w:t>
      </w:r>
      <w:r>
        <w:rPr>
          <w:color w:val="231F20"/>
          <w:spacing w:val="-4"/>
        </w:rPr>
        <w:t> </w:t>
      </w:r>
      <w:r>
        <w:rPr>
          <w:color w:val="231F20"/>
        </w:rPr>
        <w:t>to</w:t>
      </w:r>
      <w:r>
        <w:rPr>
          <w:color w:val="231F20"/>
          <w:spacing w:val="-5"/>
        </w:rPr>
        <w:t> </w:t>
      </w:r>
      <w:r>
        <w:rPr>
          <w:color w:val="231F20"/>
          <w:spacing w:val="-1"/>
        </w:rPr>
        <w:t>supplement</w:t>
      </w:r>
      <w:r>
        <w:rPr>
          <w:color w:val="231F20"/>
          <w:spacing w:val="-3"/>
        </w:rPr>
        <w:t> </w:t>
      </w:r>
      <w:r>
        <w:rPr>
          <w:color w:val="231F20"/>
        </w:rPr>
        <w:t>ABSTUDY</w:t>
      </w:r>
      <w:r>
        <w:rPr>
          <w:color w:val="231F20"/>
          <w:spacing w:val="22"/>
        </w:rPr>
        <w:t> </w:t>
      </w:r>
      <w:r>
        <w:rPr>
          <w:color w:val="231F20"/>
          <w:spacing w:val="-1"/>
        </w:rPr>
        <w:t>is</w:t>
      </w:r>
      <w:r>
        <w:rPr>
          <w:color w:val="231F20"/>
          <w:spacing w:val="-4"/>
        </w:rPr>
        <w:t> </w:t>
      </w:r>
      <w:r>
        <w:rPr>
          <w:color w:val="231F20"/>
        </w:rPr>
        <w:t>required</w:t>
      </w:r>
      <w:r>
        <w:rPr>
          <w:color w:val="231F20"/>
          <w:spacing w:val="-4"/>
        </w:rPr>
        <w:t> </w:t>
      </w:r>
      <w:r>
        <w:rPr>
          <w:color w:val="231F20"/>
        </w:rPr>
        <w:t>to</w:t>
      </w:r>
      <w:r>
        <w:rPr>
          <w:color w:val="231F20"/>
          <w:spacing w:val="-3"/>
        </w:rPr>
        <w:t> </w:t>
      </w:r>
      <w:r>
        <w:rPr>
          <w:color w:val="231F20"/>
          <w:spacing w:val="-1"/>
        </w:rPr>
        <w:t>meet</w:t>
      </w:r>
      <w:r>
        <w:rPr>
          <w:color w:val="231F20"/>
          <w:spacing w:val="-3"/>
        </w:rPr>
        <w:t> </w:t>
      </w:r>
      <w:r>
        <w:rPr>
          <w:color w:val="231F20"/>
        </w:rPr>
        <w:t>the</w:t>
      </w:r>
      <w:r>
        <w:rPr>
          <w:color w:val="231F20"/>
          <w:spacing w:val="-3"/>
        </w:rPr>
        <w:t> </w:t>
      </w:r>
      <w:r>
        <w:rPr>
          <w:color w:val="231F20"/>
        </w:rPr>
        <w:t>full</w:t>
      </w:r>
      <w:r>
        <w:rPr>
          <w:color w:val="231F20"/>
          <w:spacing w:val="-4"/>
        </w:rPr>
        <w:t> </w:t>
      </w:r>
      <w:r>
        <w:rPr>
          <w:color w:val="231F20"/>
        </w:rPr>
        <w:t>costs</w:t>
      </w:r>
      <w:r>
        <w:rPr>
          <w:color w:val="231F20"/>
          <w:spacing w:val="-4"/>
        </w:rPr>
        <w:t> </w:t>
      </w:r>
      <w:r>
        <w:rPr>
          <w:color w:val="231F20"/>
        </w:rPr>
        <w:t>of</w:t>
      </w:r>
      <w:r>
        <w:rPr>
          <w:color w:val="231F20"/>
          <w:spacing w:val="-2"/>
        </w:rPr>
        <w:t> </w:t>
      </w:r>
      <w:r>
        <w:rPr>
          <w:color w:val="231F20"/>
        </w:rPr>
        <w:t>boarding</w:t>
      </w:r>
      <w:r>
        <w:rPr>
          <w:color w:val="231F20"/>
          <w:spacing w:val="22"/>
          <w:w w:val="99"/>
        </w:rPr>
        <w:t> </w:t>
      </w:r>
      <w:r>
        <w:rPr>
          <w:color w:val="231F20"/>
        </w:rPr>
        <w:t>for</w:t>
      </w:r>
      <w:r>
        <w:rPr>
          <w:color w:val="231F20"/>
          <w:spacing w:val="-6"/>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6"/>
        </w:rPr>
        <w:t> </w:t>
      </w:r>
      <w:r>
        <w:rPr>
          <w:color w:val="231F20"/>
          <w:spacing w:val="-1"/>
        </w:rPr>
        <w:t>Islander</w:t>
      </w:r>
      <w:r>
        <w:rPr/>
      </w:r>
    </w:p>
    <w:p>
      <w:pPr>
        <w:pStyle w:val="BodyText"/>
        <w:spacing w:line="250" w:lineRule="exact"/>
        <w:ind w:right="362"/>
        <w:jc w:val="left"/>
        <w:rPr>
          <w:rFonts w:ascii="Segoe UI" w:hAnsi="Segoe UI" w:cs="Segoe UI" w:eastAsia="Segoe UI"/>
        </w:rPr>
      </w:pPr>
      <w:r>
        <w:rPr>
          <w:color w:val="231F20"/>
        </w:rPr>
        <w:t>boarding</w:t>
      </w:r>
      <w:r>
        <w:rPr>
          <w:color w:val="231F20"/>
          <w:spacing w:val="-4"/>
        </w:rPr>
        <w:t> </w:t>
      </w:r>
      <w:r>
        <w:rPr>
          <w:color w:val="231F20"/>
          <w:spacing w:val="-1"/>
        </w:rPr>
        <w:t>students—see </w:t>
      </w:r>
      <w:r>
        <w:rPr>
          <w:color w:val="231F20"/>
        </w:rPr>
        <w:t>the</w:t>
      </w:r>
      <w:r>
        <w:rPr>
          <w:color w:val="231F20"/>
          <w:spacing w:val="-3"/>
        </w:rPr>
        <w:t> </w:t>
      </w:r>
      <w:r>
        <w:rPr>
          <w:color w:val="231F20"/>
        </w:rPr>
        <w:t>discussion</w:t>
      </w:r>
      <w:r>
        <w:rPr>
          <w:color w:val="231F20"/>
          <w:spacing w:val="-3"/>
        </w:rPr>
        <w:t> </w:t>
      </w:r>
      <w:r>
        <w:rPr>
          <w:color w:val="231F20"/>
          <w:spacing w:val="-1"/>
        </w:rPr>
        <w:t>in</w:t>
      </w:r>
      <w:r>
        <w:rPr>
          <w:color w:val="231F20"/>
          <w:spacing w:val="-2"/>
        </w:rPr>
        <w:t> </w:t>
      </w:r>
      <w:r>
        <w:rPr>
          <w:color w:val="231F20"/>
        </w:rPr>
        <w:t>this</w:t>
      </w:r>
      <w:r>
        <w:rPr>
          <w:color w:val="231F20"/>
          <w:spacing w:val="23"/>
        </w:rPr>
        <w:t> </w:t>
      </w:r>
      <w:r>
        <w:rPr>
          <w:color w:val="231F20"/>
        </w:rPr>
        <w:t>report</w:t>
      </w:r>
      <w:r>
        <w:rPr>
          <w:color w:val="231F20"/>
          <w:spacing w:val="-5"/>
        </w:rPr>
        <w:t> </w:t>
      </w:r>
      <w:r>
        <w:rPr>
          <w:color w:val="231F20"/>
          <w:spacing w:val="-1"/>
        </w:rPr>
        <w:t>in</w:t>
      </w:r>
      <w:r>
        <w:rPr>
          <w:color w:val="231F20"/>
          <w:spacing w:val="-4"/>
        </w:rPr>
        <w:t> </w:t>
      </w:r>
      <w:r>
        <w:rPr>
          <w:color w:val="231F20"/>
        </w:rPr>
        <w:t>the</w:t>
      </w:r>
      <w:r>
        <w:rPr>
          <w:color w:val="231F20"/>
          <w:spacing w:val="-5"/>
        </w:rPr>
        <w:t> </w:t>
      </w:r>
      <w:r>
        <w:rPr>
          <w:color w:val="231F20"/>
          <w:spacing w:val="-1"/>
        </w:rPr>
        <w:t>sections,</w:t>
      </w:r>
      <w:r>
        <w:rPr>
          <w:color w:val="231F20"/>
          <w:spacing w:val="-4"/>
        </w:rPr>
        <w:t> </w:t>
      </w:r>
      <w:r>
        <w:rPr>
          <w:rFonts w:ascii="Segoe UI" w:hAnsi="Segoe UI" w:cs="Segoe UI" w:eastAsia="Segoe UI"/>
          <w:i/>
          <w:color w:val="231F20"/>
          <w:spacing w:val="-1"/>
        </w:rPr>
        <w:t>Boarding</w:t>
      </w:r>
      <w:r>
        <w:rPr>
          <w:rFonts w:ascii="Segoe UI" w:hAnsi="Segoe UI" w:cs="Segoe UI" w:eastAsia="Segoe UI"/>
          <w:i/>
          <w:color w:val="231F20"/>
          <w:spacing w:val="-5"/>
        </w:rPr>
        <w:t> </w:t>
      </w:r>
      <w:r>
        <w:rPr>
          <w:rFonts w:ascii="Segoe UI" w:hAnsi="Segoe UI" w:cs="Segoe UI" w:eastAsia="Segoe UI"/>
          <w:i/>
          <w:color w:val="231F20"/>
          <w:spacing w:val="-1"/>
        </w:rPr>
        <w:t>revenue</w:t>
      </w:r>
      <w:r>
        <w:rPr>
          <w:rFonts w:ascii="Segoe UI" w:hAnsi="Segoe UI" w:cs="Segoe UI" w:eastAsia="Segoe UI"/>
          <w:i/>
          <w:color w:val="231F20"/>
          <w:spacing w:val="-5"/>
        </w:rPr>
        <w:t> </w:t>
      </w:r>
      <w:r>
        <w:rPr>
          <w:rFonts w:ascii="Segoe UI" w:hAnsi="Segoe UI" w:cs="Segoe UI" w:eastAsia="Segoe UI"/>
          <w:i/>
          <w:color w:val="231F20"/>
        </w:rPr>
        <w:t>and</w:t>
      </w:r>
      <w:r>
        <w:rPr>
          <w:rFonts w:ascii="Segoe UI" w:hAnsi="Segoe UI" w:cs="Segoe UI" w:eastAsia="Segoe UI"/>
          <w:i/>
          <w:color w:val="231F20"/>
          <w:spacing w:val="29"/>
          <w:w w:val="99"/>
        </w:rPr>
        <w:t> </w:t>
      </w:r>
      <w:r>
        <w:rPr>
          <w:rFonts w:ascii="Segoe UI" w:hAnsi="Segoe UI" w:cs="Segoe UI" w:eastAsia="Segoe UI"/>
          <w:i/>
          <w:color w:val="231F20"/>
          <w:spacing w:val="-1"/>
        </w:rPr>
        <w:t>Boarding</w:t>
      </w:r>
      <w:r>
        <w:rPr>
          <w:rFonts w:ascii="Segoe UI" w:hAnsi="Segoe UI" w:cs="Segoe UI" w:eastAsia="Segoe UI"/>
          <w:i/>
          <w:color w:val="231F20"/>
          <w:spacing w:val="-4"/>
        </w:rPr>
        <w:t> </w:t>
      </w:r>
      <w:r>
        <w:rPr>
          <w:rFonts w:ascii="Segoe UI" w:hAnsi="Segoe UI" w:cs="Segoe UI" w:eastAsia="Segoe UI"/>
          <w:i/>
          <w:color w:val="231F20"/>
          <w:spacing w:val="-1"/>
        </w:rPr>
        <w:t>costs</w:t>
      </w:r>
      <w:r>
        <w:rPr>
          <w:color w:val="231F20"/>
          <w:spacing w:val="-1"/>
        </w:rPr>
        <w:t>.</w:t>
      </w:r>
      <w:r>
        <w:rPr>
          <w:color w:val="231F20"/>
          <w:spacing w:val="-3"/>
        </w:rPr>
        <w:t> </w:t>
      </w:r>
      <w:r>
        <w:rPr>
          <w:color w:val="231F20"/>
          <w:spacing w:val="-1"/>
        </w:rPr>
        <w:t>In</w:t>
      </w:r>
      <w:r>
        <w:rPr>
          <w:color w:val="231F20"/>
          <w:spacing w:val="-4"/>
        </w:rPr>
        <w:t> </w:t>
      </w:r>
      <w:r>
        <w:rPr>
          <w:color w:val="231F20"/>
        </w:rPr>
        <w:t>a</w:t>
      </w:r>
      <w:r>
        <w:rPr>
          <w:color w:val="231F20"/>
          <w:spacing w:val="-3"/>
        </w:rPr>
        <w:t> </w:t>
      </w:r>
      <w:r>
        <w:rPr>
          <w:color w:val="231F20"/>
          <w:spacing w:val="-1"/>
        </w:rPr>
        <w:t>December</w:t>
      </w:r>
      <w:r>
        <w:rPr>
          <w:color w:val="231F20"/>
          <w:spacing w:val="-4"/>
        </w:rPr>
        <w:t> </w:t>
      </w:r>
      <w:r>
        <w:rPr>
          <w:color w:val="231F20"/>
          <w:spacing w:val="-1"/>
        </w:rPr>
        <w:t>2017</w:t>
      </w:r>
      <w:r>
        <w:rPr>
          <w:color w:val="231F20"/>
          <w:spacing w:val="-3"/>
        </w:rPr>
        <w:t> </w:t>
      </w:r>
      <w:r>
        <w:rPr>
          <w:color w:val="231F20"/>
          <w:spacing w:val="-1"/>
        </w:rPr>
        <w:t>survey</w:t>
      </w:r>
      <w:r>
        <w:rPr>
          <w:color w:val="231F20"/>
          <w:spacing w:val="-3"/>
        </w:rPr>
        <w:t> </w:t>
      </w:r>
      <w:r>
        <w:rPr>
          <w:color w:val="231F20"/>
        </w:rPr>
        <w:t>by</w:t>
      </w:r>
      <w:r>
        <w:rPr>
          <w:color w:val="231F20"/>
          <w:spacing w:val="23"/>
          <w:w w:val="99"/>
        </w:rPr>
        <w:t> </w:t>
      </w:r>
      <w:r>
        <w:rPr>
          <w:color w:val="231F20"/>
          <w:spacing w:val="-1"/>
        </w:rPr>
        <w:t>Indigenous</w:t>
      </w:r>
      <w:r>
        <w:rPr>
          <w:color w:val="231F20"/>
          <w:spacing w:val="-10"/>
        </w:rPr>
        <w:t> </w:t>
      </w:r>
      <w:r>
        <w:rPr>
          <w:color w:val="231F20"/>
        </w:rPr>
        <w:t>Education</w:t>
      </w:r>
      <w:r>
        <w:rPr>
          <w:color w:val="231F20"/>
          <w:spacing w:val="-10"/>
        </w:rPr>
        <w:t> </w:t>
      </w:r>
      <w:r>
        <w:rPr>
          <w:color w:val="231F20"/>
        </w:rPr>
        <w:t>and</w:t>
      </w:r>
      <w:r>
        <w:rPr>
          <w:color w:val="231F20"/>
          <w:spacing w:val="-11"/>
        </w:rPr>
        <w:t> </w:t>
      </w:r>
      <w:r>
        <w:rPr>
          <w:color w:val="231F20"/>
          <w:spacing w:val="-1"/>
        </w:rPr>
        <w:t>Boarding</w:t>
      </w:r>
      <w:r>
        <w:rPr>
          <w:color w:val="231F20"/>
          <w:spacing w:val="-9"/>
        </w:rPr>
        <w:t> </w:t>
      </w:r>
      <w:r>
        <w:rPr>
          <w:color w:val="231F20"/>
        </w:rPr>
        <w:t>Australia</w:t>
      </w:r>
      <w:r>
        <w:rPr>
          <w:color w:val="231F20"/>
          <w:spacing w:val="23"/>
          <w:w w:val="99"/>
        </w:rPr>
        <w:t> </w:t>
      </w:r>
      <w:r>
        <w:rPr>
          <w:color w:val="231F20"/>
        </w:rPr>
        <w:t>of</w:t>
      </w:r>
      <w:r>
        <w:rPr>
          <w:color w:val="231F20"/>
          <w:spacing w:val="-4"/>
        </w:rPr>
        <w:t> </w:t>
      </w:r>
      <w:r>
        <w:rPr>
          <w:color w:val="231F20"/>
          <w:spacing w:val="-1"/>
        </w:rPr>
        <w:t>its</w:t>
      </w:r>
      <w:r>
        <w:rPr>
          <w:color w:val="231F20"/>
          <w:spacing w:val="-3"/>
        </w:rPr>
        <w:t> </w:t>
      </w:r>
      <w:r>
        <w:rPr>
          <w:color w:val="231F20"/>
          <w:spacing w:val="-1"/>
        </w:rPr>
        <w:t>members,</w:t>
      </w:r>
      <w:r>
        <w:rPr>
          <w:color w:val="231F20"/>
          <w:spacing w:val="-3"/>
        </w:rPr>
        <w:t> </w:t>
      </w:r>
      <w:r>
        <w:rPr>
          <w:color w:val="231F20"/>
          <w:spacing w:val="-1"/>
        </w:rPr>
        <w:t>100</w:t>
      </w:r>
      <w:r>
        <w:rPr>
          <w:color w:val="231F20"/>
          <w:spacing w:val="-3"/>
        </w:rPr>
        <w:t> </w:t>
      </w:r>
      <w:r>
        <w:rPr>
          <w:color w:val="231F20"/>
        </w:rPr>
        <w:t>per</w:t>
      </w:r>
      <w:r>
        <w:rPr>
          <w:color w:val="231F20"/>
          <w:spacing w:val="-3"/>
        </w:rPr>
        <w:t> </w:t>
      </w:r>
      <w:r>
        <w:rPr>
          <w:color w:val="231F20"/>
        </w:rPr>
        <w:t>cent</w:t>
      </w:r>
      <w:r>
        <w:rPr>
          <w:color w:val="231F20"/>
          <w:spacing w:val="-4"/>
        </w:rPr>
        <w:t> </w:t>
      </w:r>
      <w:r>
        <w:rPr>
          <w:color w:val="231F20"/>
        </w:rPr>
        <w:t>of</w:t>
      </w:r>
      <w:r>
        <w:rPr>
          <w:color w:val="231F20"/>
          <w:spacing w:val="-3"/>
        </w:rPr>
        <w:t> </w:t>
      </w:r>
      <w:r>
        <w:rPr>
          <w:color w:val="231F20"/>
        </w:rPr>
        <w:t>respondents</w:t>
      </w:r>
      <w:r>
        <w:rPr>
          <w:color w:val="231F20"/>
          <w:spacing w:val="24"/>
          <w:w w:val="99"/>
        </w:rPr>
        <w:t> </w:t>
      </w:r>
      <w:r>
        <w:rPr>
          <w:color w:val="231F20"/>
          <w:spacing w:val="-1"/>
        </w:rPr>
        <w:t>indicated</w:t>
      </w:r>
      <w:r>
        <w:rPr>
          <w:color w:val="231F20"/>
          <w:spacing w:val="-6"/>
        </w:rPr>
        <w:t> </w:t>
      </w:r>
      <w:r>
        <w:rPr>
          <w:color w:val="231F20"/>
        </w:rPr>
        <w:t>that</w:t>
      </w:r>
      <w:r>
        <w:rPr>
          <w:color w:val="231F20"/>
          <w:spacing w:val="-6"/>
        </w:rPr>
        <w:t> </w:t>
      </w:r>
      <w:r>
        <w:rPr>
          <w:color w:val="231F20"/>
        </w:rPr>
        <w:t>their</w:t>
      </w:r>
      <w:r>
        <w:rPr>
          <w:color w:val="231F20"/>
          <w:spacing w:val="-6"/>
        </w:rPr>
        <w:t> </w:t>
      </w:r>
      <w:r>
        <w:rPr>
          <w:color w:val="231F20"/>
        </w:rPr>
        <w:t>boarding</w:t>
      </w:r>
      <w:r>
        <w:rPr>
          <w:color w:val="231F20"/>
          <w:spacing w:val="-7"/>
        </w:rPr>
        <w:t> </w:t>
      </w:r>
      <w:r>
        <w:rPr>
          <w:color w:val="231F20"/>
        </w:rPr>
        <w:t>facility</w:t>
      </w:r>
      <w:r>
        <w:rPr>
          <w:color w:val="231F20"/>
          <w:spacing w:val="-6"/>
        </w:rPr>
        <w:t> </w:t>
      </w:r>
      <w:r>
        <w:rPr>
          <w:color w:val="231F20"/>
        </w:rPr>
        <w:t>could</w:t>
      </w:r>
      <w:r>
        <w:rPr>
          <w:color w:val="231F20"/>
          <w:spacing w:val="-6"/>
        </w:rPr>
        <w:t> </w:t>
      </w:r>
      <w:r>
        <w:rPr>
          <w:color w:val="231F20"/>
        </w:rPr>
        <w:t>not</w:t>
      </w:r>
      <w:r>
        <w:rPr>
          <w:color w:val="231F20"/>
          <w:spacing w:val="22"/>
          <w:w w:val="99"/>
        </w:rPr>
        <w:t> </w:t>
      </w:r>
      <w:r>
        <w:rPr>
          <w:rFonts w:ascii="Segoe UI" w:hAnsi="Segoe UI" w:cs="Segoe UI" w:eastAsia="Segoe UI"/>
          <w:color w:val="231F20"/>
        </w:rPr>
        <w:t>run ‘financially on ABSTUDY alone’.</w:t>
      </w:r>
      <w:r>
        <w:rPr>
          <w:rFonts w:ascii="Segoe UI" w:hAnsi="Segoe UI" w:cs="Segoe UI" w:eastAsia="Segoe UI"/>
        </w:rPr>
      </w:r>
    </w:p>
    <w:p>
      <w:pPr>
        <w:pStyle w:val="BodyText"/>
        <w:spacing w:line="250" w:lineRule="exact" w:before="113"/>
        <w:ind w:right="550"/>
        <w:jc w:val="left"/>
      </w:pPr>
      <w:r>
        <w:rPr>
          <w:color w:val="231F20"/>
          <w:spacing w:val="-1"/>
        </w:rPr>
        <w:t>Due</w:t>
      </w:r>
      <w:r>
        <w:rPr>
          <w:color w:val="231F20"/>
          <w:spacing w:val="-4"/>
        </w:rPr>
        <w:t> </w:t>
      </w:r>
      <w:r>
        <w:rPr>
          <w:color w:val="231F20"/>
        </w:rPr>
        <w:t>to</w:t>
      </w:r>
      <w:r>
        <w:rPr>
          <w:color w:val="231F20"/>
          <w:spacing w:val="-3"/>
        </w:rPr>
        <w:t> </w:t>
      </w:r>
      <w:r>
        <w:rPr>
          <w:color w:val="231F20"/>
        </w:rPr>
        <w:t>reporting</w:t>
      </w:r>
      <w:r>
        <w:rPr>
          <w:color w:val="231F20"/>
          <w:spacing w:val="-5"/>
        </w:rPr>
        <w:t> </w:t>
      </w:r>
      <w:r>
        <w:rPr>
          <w:color w:val="231F20"/>
          <w:spacing w:val="-1"/>
        </w:rPr>
        <w:t>inconsistencies</w:t>
      </w:r>
      <w:r>
        <w:rPr>
          <w:color w:val="231F20"/>
          <w:spacing w:val="-3"/>
        </w:rPr>
        <w:t> </w:t>
      </w:r>
      <w:r>
        <w:rPr>
          <w:color w:val="231F20"/>
        </w:rPr>
        <w:t>and</w:t>
      </w:r>
      <w:r>
        <w:rPr>
          <w:color w:val="231F20"/>
          <w:spacing w:val="-5"/>
        </w:rPr>
        <w:t> </w:t>
      </w:r>
      <w:r>
        <w:rPr>
          <w:color w:val="231F20"/>
        </w:rPr>
        <w:t>data</w:t>
      </w:r>
      <w:r>
        <w:rPr>
          <w:color w:val="231F20"/>
          <w:spacing w:val="23"/>
          <w:w w:val="99"/>
        </w:rPr>
        <w:t> </w:t>
      </w:r>
      <w:r>
        <w:rPr>
          <w:color w:val="231F20"/>
          <w:spacing w:val="-1"/>
        </w:rPr>
        <w:t>limitations</w:t>
      </w:r>
      <w:r>
        <w:rPr>
          <w:color w:val="231F20"/>
          <w:spacing w:val="-3"/>
        </w:rPr>
        <w:t> </w:t>
      </w:r>
      <w:r>
        <w:rPr>
          <w:color w:val="231F20"/>
          <w:spacing w:val="-1"/>
        </w:rPr>
        <w:t>it</w:t>
      </w:r>
      <w:r>
        <w:rPr>
          <w:color w:val="231F20"/>
          <w:spacing w:val="-2"/>
        </w:rPr>
        <w:t> </w:t>
      </w:r>
      <w:r>
        <w:rPr>
          <w:color w:val="231F20"/>
          <w:spacing w:val="-1"/>
        </w:rPr>
        <w:t>is</w:t>
      </w:r>
      <w:r>
        <w:rPr>
          <w:color w:val="231F20"/>
          <w:spacing w:val="-3"/>
        </w:rPr>
        <w:t> </w:t>
      </w:r>
      <w:r>
        <w:rPr>
          <w:color w:val="231F20"/>
        </w:rPr>
        <w:t>not</w:t>
      </w:r>
      <w:r>
        <w:rPr>
          <w:color w:val="231F20"/>
          <w:spacing w:val="-3"/>
        </w:rPr>
        <w:t> </w:t>
      </w:r>
      <w:r>
        <w:rPr>
          <w:color w:val="231F20"/>
        </w:rPr>
        <w:t>possible</w:t>
      </w:r>
      <w:r>
        <w:rPr>
          <w:color w:val="231F20"/>
          <w:spacing w:val="-3"/>
        </w:rPr>
        <w:t> </w:t>
      </w:r>
      <w:r>
        <w:rPr>
          <w:color w:val="231F20"/>
        </w:rPr>
        <w:t>to</w:t>
      </w:r>
      <w:r>
        <w:rPr>
          <w:color w:val="231F20"/>
          <w:spacing w:val="-2"/>
        </w:rPr>
        <w:t> </w:t>
      </w:r>
      <w:r>
        <w:rPr>
          <w:color w:val="231F20"/>
        </w:rPr>
        <w:t>determine</w:t>
      </w:r>
      <w:r>
        <w:rPr>
          <w:color w:val="231F20"/>
          <w:spacing w:val="24"/>
          <w:w w:val="99"/>
        </w:rPr>
        <w:t> </w:t>
      </w:r>
      <w:r>
        <w:rPr>
          <w:color w:val="231F20"/>
        </w:rPr>
        <w:t>the</w:t>
      </w:r>
      <w:r>
        <w:rPr>
          <w:color w:val="231F20"/>
          <w:spacing w:val="-5"/>
        </w:rPr>
        <w:t> </w:t>
      </w:r>
      <w:r>
        <w:rPr>
          <w:color w:val="231F20"/>
        </w:rPr>
        <w:t>precise</w:t>
      </w:r>
      <w:r>
        <w:rPr>
          <w:color w:val="231F20"/>
          <w:spacing w:val="-4"/>
        </w:rPr>
        <w:t> </w:t>
      </w:r>
      <w:r>
        <w:rPr>
          <w:color w:val="231F20"/>
          <w:spacing w:val="-1"/>
        </w:rPr>
        <w:t>level</w:t>
      </w:r>
      <w:r>
        <w:rPr>
          <w:color w:val="231F20"/>
          <w:spacing w:val="-3"/>
        </w:rPr>
        <w:t> </w:t>
      </w:r>
      <w:r>
        <w:rPr>
          <w:color w:val="231F20"/>
        </w:rPr>
        <w:t>of</w:t>
      </w:r>
      <w:r>
        <w:rPr>
          <w:color w:val="231F20"/>
          <w:spacing w:val="-3"/>
        </w:rPr>
        <w:t> </w:t>
      </w:r>
      <w:r>
        <w:rPr>
          <w:color w:val="231F20"/>
        </w:rPr>
        <w:t>reliance</w:t>
      </w:r>
      <w:r>
        <w:rPr>
          <w:color w:val="231F20"/>
          <w:spacing w:val="-4"/>
        </w:rPr>
        <w:t> </w:t>
      </w:r>
      <w:r>
        <w:rPr>
          <w:color w:val="231F20"/>
        </w:rPr>
        <w:t>on</w:t>
      </w:r>
      <w:r>
        <w:rPr>
          <w:color w:val="231F20"/>
          <w:spacing w:val="-3"/>
        </w:rPr>
        <w:t> </w:t>
      </w:r>
      <w:r>
        <w:rPr>
          <w:color w:val="231F20"/>
        </w:rPr>
        <w:t>ABSTUDY</w:t>
      </w:r>
      <w:r>
        <w:rPr>
          <w:color w:val="231F20"/>
          <w:spacing w:val="-5"/>
        </w:rPr>
        <w:t> </w:t>
      </w:r>
      <w:r>
        <w:rPr>
          <w:color w:val="231F20"/>
        </w:rPr>
        <w:t>by</w:t>
      </w:r>
      <w:r>
        <w:rPr>
          <w:color w:val="231F20"/>
          <w:spacing w:val="21"/>
          <w:w w:val="99"/>
        </w:rPr>
        <w:t> </w:t>
      </w:r>
      <w:r>
        <w:rPr>
          <w:color w:val="231F20"/>
        </w:rPr>
        <w:t>the</w:t>
      </w:r>
      <w:r>
        <w:rPr>
          <w:color w:val="231F20"/>
          <w:spacing w:val="-6"/>
        </w:rPr>
        <w:t> </w:t>
      </w:r>
      <w:r>
        <w:rPr>
          <w:color w:val="231F20"/>
          <w:spacing w:val="-1"/>
        </w:rPr>
        <w:t>27</w:t>
      </w:r>
      <w:r>
        <w:rPr>
          <w:color w:val="231F20"/>
          <w:spacing w:val="-4"/>
        </w:rPr>
        <w:t> </w:t>
      </w:r>
      <w:r>
        <w:rPr>
          <w:color w:val="231F20"/>
        </w:rPr>
        <w:t>Aboriginal</w:t>
      </w:r>
      <w:r>
        <w:rPr>
          <w:color w:val="231F20"/>
          <w:spacing w:val="-4"/>
        </w:rPr>
        <w:t> </w:t>
      </w:r>
      <w:r>
        <w:rPr>
          <w:color w:val="231F20"/>
        </w:rPr>
        <w:t>and</w:t>
      </w:r>
      <w:r>
        <w:rPr>
          <w:color w:val="231F20"/>
          <w:spacing w:val="-5"/>
        </w:rPr>
        <w:t> Torres </w:t>
      </w:r>
      <w:r>
        <w:rPr>
          <w:color w:val="231F20"/>
          <w:spacing w:val="-2"/>
        </w:rPr>
        <w:t>Strait</w:t>
      </w:r>
      <w:r>
        <w:rPr>
          <w:color w:val="231F20"/>
          <w:spacing w:val="-5"/>
        </w:rPr>
        <w:t> </w:t>
      </w:r>
      <w:r>
        <w:rPr>
          <w:color w:val="231F20"/>
          <w:spacing w:val="-1"/>
        </w:rPr>
        <w:t>Islander</w:t>
      </w:r>
      <w:r>
        <w:rPr/>
      </w:r>
    </w:p>
    <w:p>
      <w:pPr>
        <w:pStyle w:val="BodyText"/>
        <w:spacing w:line="250" w:lineRule="exact"/>
        <w:ind w:right="189"/>
        <w:jc w:val="left"/>
      </w:pPr>
      <w:r>
        <w:rPr>
          <w:color w:val="231F20"/>
        </w:rPr>
        <w:t>boarding</w:t>
      </w:r>
      <w:r>
        <w:rPr>
          <w:color w:val="231F20"/>
          <w:spacing w:val="-6"/>
        </w:rPr>
        <w:t> </w:t>
      </w:r>
      <w:r>
        <w:rPr>
          <w:color w:val="231F20"/>
        </w:rPr>
        <w:t>providers</w:t>
      </w:r>
      <w:r>
        <w:rPr>
          <w:color w:val="231F20"/>
          <w:spacing w:val="-6"/>
        </w:rPr>
        <w:t> </w:t>
      </w:r>
      <w:r>
        <w:rPr>
          <w:color w:val="231F20"/>
          <w:spacing w:val="-1"/>
        </w:rPr>
        <w:t>included</w:t>
      </w:r>
      <w:r>
        <w:rPr>
          <w:color w:val="231F20"/>
          <w:spacing w:val="-5"/>
        </w:rPr>
        <w:t> </w:t>
      </w:r>
      <w:r>
        <w:rPr>
          <w:color w:val="231F20"/>
          <w:spacing w:val="-1"/>
        </w:rPr>
        <w:t>in</w:t>
      </w:r>
      <w:r>
        <w:rPr>
          <w:color w:val="231F20"/>
          <w:spacing w:val="-5"/>
        </w:rPr>
        <w:t> </w:t>
      </w:r>
      <w:r>
        <w:rPr>
          <w:color w:val="231F20"/>
        </w:rPr>
        <w:t>the</w:t>
      </w:r>
      <w:r>
        <w:rPr>
          <w:color w:val="231F20"/>
          <w:spacing w:val="-6"/>
        </w:rPr>
        <w:t> </w:t>
      </w:r>
      <w:r>
        <w:rPr>
          <w:color w:val="231F20"/>
        </w:rPr>
        <w:t>analysis</w:t>
      </w:r>
      <w:r>
        <w:rPr>
          <w:color w:val="231F20"/>
          <w:spacing w:val="-6"/>
        </w:rPr>
        <w:t> </w:t>
      </w:r>
      <w:r>
        <w:rPr>
          <w:color w:val="231F20"/>
        </w:rPr>
        <w:t>for</w:t>
      </w:r>
      <w:r>
        <w:rPr>
          <w:color w:val="231F20"/>
          <w:spacing w:val="23"/>
          <w:w w:val="99"/>
        </w:rPr>
        <w:t> </w:t>
      </w:r>
      <w:r>
        <w:rPr>
          <w:color w:val="231F20"/>
        </w:rPr>
        <w:t>this</w:t>
      </w:r>
      <w:r>
        <w:rPr>
          <w:color w:val="231F20"/>
          <w:spacing w:val="-5"/>
        </w:rPr>
        <w:t> </w:t>
      </w:r>
      <w:r>
        <w:rPr>
          <w:color w:val="231F20"/>
        </w:rPr>
        <w:t>report.</w:t>
      </w:r>
      <w:r>
        <w:rPr>
          <w:color w:val="231F20"/>
          <w:spacing w:val="-5"/>
        </w:rPr>
        <w:t> </w:t>
      </w:r>
      <w:r>
        <w:rPr>
          <w:color w:val="231F20"/>
          <w:spacing w:val="-1"/>
        </w:rPr>
        <w:t>Some</w:t>
      </w:r>
      <w:r>
        <w:rPr>
          <w:color w:val="231F20"/>
          <w:spacing w:val="-4"/>
        </w:rPr>
        <w:t> </w:t>
      </w:r>
      <w:r>
        <w:rPr>
          <w:color w:val="231F20"/>
        </w:rPr>
        <w:t>case</w:t>
      </w:r>
      <w:r>
        <w:rPr>
          <w:color w:val="231F20"/>
          <w:spacing w:val="-4"/>
        </w:rPr>
        <w:t> </w:t>
      </w:r>
      <w:r>
        <w:rPr>
          <w:color w:val="231F20"/>
          <w:spacing w:val="-1"/>
        </w:rPr>
        <w:t>studies</w:t>
      </w:r>
      <w:r>
        <w:rPr>
          <w:color w:val="231F20"/>
          <w:spacing w:val="-4"/>
        </w:rPr>
        <w:t> </w:t>
      </w:r>
      <w:r>
        <w:rPr>
          <w:color w:val="231F20"/>
        </w:rPr>
        <w:t>where</w:t>
      </w:r>
      <w:r>
        <w:rPr>
          <w:color w:val="231F20"/>
          <w:spacing w:val="-5"/>
        </w:rPr>
        <w:t> </w:t>
      </w:r>
      <w:r>
        <w:rPr>
          <w:color w:val="231F20"/>
        </w:rPr>
        <w:t>detailed</w:t>
      </w:r>
      <w:r>
        <w:rPr>
          <w:color w:val="231F20"/>
          <w:spacing w:val="23"/>
          <w:w w:val="99"/>
        </w:rPr>
        <w:t> </w:t>
      </w:r>
      <w:r>
        <w:rPr>
          <w:color w:val="231F20"/>
        </w:rPr>
        <w:t>reliable</w:t>
      </w:r>
      <w:r>
        <w:rPr>
          <w:color w:val="231F20"/>
          <w:spacing w:val="-6"/>
        </w:rPr>
        <w:t> </w:t>
      </w:r>
      <w:r>
        <w:rPr>
          <w:color w:val="231F20"/>
        </w:rPr>
        <w:t>data</w:t>
      </w:r>
      <w:r>
        <w:rPr>
          <w:color w:val="231F20"/>
          <w:spacing w:val="-6"/>
        </w:rPr>
        <w:t> </w:t>
      </w:r>
      <w:r>
        <w:rPr>
          <w:color w:val="231F20"/>
        </w:rPr>
        <w:t>was</w:t>
      </w:r>
      <w:r>
        <w:rPr>
          <w:color w:val="231F20"/>
          <w:spacing w:val="-6"/>
        </w:rPr>
        <w:t> </w:t>
      </w:r>
      <w:r>
        <w:rPr>
          <w:color w:val="231F20"/>
        </w:rPr>
        <w:t>available</w:t>
      </w:r>
      <w:r>
        <w:rPr>
          <w:color w:val="231F20"/>
          <w:spacing w:val="-6"/>
        </w:rPr>
        <w:t> </w:t>
      </w:r>
      <w:r>
        <w:rPr>
          <w:color w:val="231F20"/>
        </w:rPr>
        <w:t>are</w:t>
      </w:r>
      <w:r>
        <w:rPr>
          <w:color w:val="231F20"/>
          <w:spacing w:val="-6"/>
        </w:rPr>
        <w:t> </w:t>
      </w:r>
      <w:r>
        <w:rPr>
          <w:color w:val="231F20"/>
          <w:spacing w:val="-1"/>
        </w:rPr>
        <w:t>illustrative</w:t>
      </w:r>
      <w:r>
        <w:rPr>
          <w:color w:val="231F20"/>
          <w:spacing w:val="20"/>
        </w:rPr>
        <w:t> </w:t>
      </w:r>
      <w:r>
        <w:rPr>
          <w:color w:val="231F20"/>
        </w:rPr>
        <w:t>though.</w:t>
      </w:r>
      <w:r>
        <w:rPr/>
      </w:r>
    </w:p>
    <w:p>
      <w:pPr>
        <w:spacing w:after="0" w:line="250" w:lineRule="exact"/>
        <w:jc w:val="left"/>
        <w:sectPr>
          <w:type w:val="continuous"/>
          <w:pgSz w:w="11910" w:h="16840"/>
          <w:pgMar w:top="1580" w:bottom="280" w:left="1300" w:right="1500"/>
          <w:cols w:num="2" w:equalWidth="0">
            <w:col w:w="4316" w:space="276"/>
            <w:col w:w="4518"/>
          </w:cols>
        </w:sectPr>
      </w:pPr>
    </w:p>
    <w:p>
      <w:pPr>
        <w:spacing w:line="240" w:lineRule="auto" w:before="0"/>
        <w:rPr>
          <w:rFonts w:ascii="Segoe UI" w:hAnsi="Segoe UI" w:cs="Segoe UI" w:eastAsia="Segoe UI"/>
          <w:sz w:val="20"/>
          <w:szCs w:val="20"/>
        </w:rPr>
      </w:pPr>
    </w:p>
    <w:p>
      <w:pPr>
        <w:spacing w:line="240" w:lineRule="auto" w:before="11"/>
        <w:rPr>
          <w:rFonts w:ascii="Segoe UI" w:hAnsi="Segoe UI" w:cs="Segoe UI" w:eastAsia="Segoe UI"/>
          <w:sz w:val="14"/>
          <w:szCs w:val="14"/>
        </w:rPr>
      </w:pPr>
    </w:p>
    <w:p>
      <w:pPr>
        <w:spacing w:before="57"/>
        <w:ind w:left="120" w:right="0" w:firstLine="0"/>
        <w:jc w:val="left"/>
        <w:rPr>
          <w:rFonts w:ascii="Segoe UI Semibold" w:hAnsi="Segoe UI Semibold" w:cs="Segoe UI Semibold" w:eastAsia="Segoe UI Semibold"/>
          <w:sz w:val="16"/>
          <w:szCs w:val="16"/>
        </w:rPr>
      </w:pPr>
      <w:r>
        <w:rPr>
          <w:rFonts w:ascii="Segoe UI Semibold"/>
          <w:b/>
          <w:color w:val="666155"/>
          <w:sz w:val="16"/>
        </w:rPr>
        <w:t>TABLE</w:t>
      </w:r>
      <w:r>
        <w:rPr>
          <w:rFonts w:ascii="Segoe UI Semibold"/>
          <w:b/>
          <w:color w:val="666155"/>
          <w:spacing w:val="-4"/>
          <w:sz w:val="16"/>
        </w:rPr>
        <w:t> </w:t>
      </w:r>
      <w:r>
        <w:rPr>
          <w:rFonts w:ascii="Segoe UI Semibold"/>
          <w:b/>
          <w:color w:val="666155"/>
          <w:spacing w:val="-2"/>
          <w:sz w:val="16"/>
        </w:rPr>
        <w:t>6:</w:t>
      </w:r>
      <w:r>
        <w:rPr>
          <w:rFonts w:ascii="Segoe UI Semibold"/>
          <w:b/>
          <w:color w:val="666155"/>
          <w:spacing w:val="-4"/>
          <w:sz w:val="16"/>
        </w:rPr>
        <w:t> </w:t>
      </w:r>
      <w:r>
        <w:rPr>
          <w:rFonts w:ascii="Segoe UI Semibold"/>
          <w:b/>
          <w:color w:val="666155"/>
          <w:spacing w:val="2"/>
          <w:sz w:val="16"/>
        </w:rPr>
        <w:t>MAXIMUM</w:t>
      </w:r>
      <w:r>
        <w:rPr>
          <w:rFonts w:ascii="Segoe UI Semibold"/>
          <w:b/>
          <w:color w:val="666155"/>
          <w:sz w:val="16"/>
        </w:rPr>
        <w:t> </w:t>
      </w:r>
      <w:r>
        <w:rPr>
          <w:rFonts w:ascii="Segoe UI Semibold"/>
          <w:b/>
          <w:color w:val="666155"/>
          <w:spacing w:val="2"/>
          <w:sz w:val="16"/>
        </w:rPr>
        <w:t>ABSTUDY</w:t>
      </w:r>
      <w:r>
        <w:rPr>
          <w:rFonts w:ascii="Segoe UI Semibold"/>
          <w:b/>
          <w:color w:val="666155"/>
          <w:spacing w:val="-2"/>
          <w:sz w:val="16"/>
        </w:rPr>
        <w:t> </w:t>
      </w:r>
      <w:r>
        <w:rPr>
          <w:rFonts w:ascii="Segoe UI Semibold"/>
          <w:b/>
          <w:color w:val="666155"/>
          <w:spacing w:val="2"/>
          <w:sz w:val="16"/>
        </w:rPr>
        <w:t>ENTITLEMENTS</w:t>
      </w:r>
      <w:r>
        <w:rPr>
          <w:rFonts w:ascii="Segoe UI Semibold"/>
          <w:b/>
          <w:color w:val="666155"/>
          <w:spacing w:val="-2"/>
          <w:sz w:val="16"/>
        </w:rPr>
        <w:t> </w:t>
      </w:r>
      <w:r>
        <w:rPr>
          <w:rFonts w:ascii="Segoe UI Semibold"/>
          <w:b/>
          <w:color w:val="666155"/>
          <w:spacing w:val="2"/>
          <w:sz w:val="16"/>
        </w:rPr>
        <w:t>FOR</w:t>
      </w:r>
      <w:r>
        <w:rPr>
          <w:rFonts w:ascii="Segoe UI Semibold"/>
          <w:b/>
          <w:color w:val="666155"/>
          <w:spacing w:val="-1"/>
          <w:sz w:val="16"/>
        </w:rPr>
        <w:t> </w:t>
      </w:r>
      <w:r>
        <w:rPr>
          <w:rFonts w:ascii="Segoe UI Semibold"/>
          <w:b/>
          <w:color w:val="666155"/>
          <w:spacing w:val="-4"/>
          <w:sz w:val="16"/>
        </w:rPr>
        <w:t>A</w:t>
      </w:r>
      <w:r>
        <w:rPr>
          <w:rFonts w:ascii="Segoe UI Semibold"/>
          <w:b/>
          <w:color w:val="666155"/>
          <w:spacing w:val="-5"/>
          <w:sz w:val="16"/>
        </w:rPr>
        <w:t>W</w:t>
      </w:r>
      <w:r>
        <w:rPr>
          <w:rFonts w:ascii="Segoe UI Semibold"/>
          <w:b/>
          <w:color w:val="666155"/>
          <w:spacing w:val="-4"/>
          <w:sz w:val="16"/>
        </w:rPr>
        <w:t>AY</w:t>
      </w:r>
      <w:r>
        <w:rPr>
          <w:rFonts w:ascii="Segoe UI Semibold"/>
          <w:b/>
          <w:color w:val="666155"/>
          <w:spacing w:val="-2"/>
          <w:sz w:val="16"/>
        </w:rPr>
        <w:t> </w:t>
      </w:r>
      <w:r>
        <w:rPr>
          <w:rFonts w:ascii="Segoe UI Semibold"/>
          <w:b/>
          <w:color w:val="666155"/>
          <w:spacing w:val="1"/>
          <w:sz w:val="16"/>
        </w:rPr>
        <w:t>FROM</w:t>
      </w:r>
      <w:r>
        <w:rPr>
          <w:rFonts w:ascii="Segoe UI Semibold"/>
          <w:b/>
          <w:color w:val="666155"/>
          <w:spacing w:val="-2"/>
          <w:sz w:val="16"/>
        </w:rPr>
        <w:t> </w:t>
      </w:r>
      <w:r>
        <w:rPr>
          <w:rFonts w:ascii="Segoe UI Semibold"/>
          <w:b/>
          <w:color w:val="666155"/>
          <w:spacing w:val="2"/>
          <w:sz w:val="16"/>
        </w:rPr>
        <w:t>HOME</w:t>
      </w:r>
      <w:r>
        <w:rPr>
          <w:rFonts w:ascii="Segoe UI Semibold"/>
          <w:b/>
          <w:color w:val="666155"/>
          <w:spacing w:val="-1"/>
          <w:sz w:val="16"/>
        </w:rPr>
        <w:t> </w:t>
      </w:r>
      <w:r>
        <w:rPr>
          <w:rFonts w:ascii="Segoe UI Semibold"/>
          <w:b/>
          <w:color w:val="666155"/>
          <w:spacing w:val="1"/>
          <w:sz w:val="16"/>
        </w:rPr>
        <w:t>SECONDARY</w:t>
      </w:r>
      <w:r>
        <w:rPr>
          <w:rFonts w:ascii="Segoe UI Semibold"/>
          <w:b/>
          <w:color w:val="666155"/>
          <w:spacing w:val="-2"/>
          <w:sz w:val="16"/>
        </w:rPr>
        <w:t> </w:t>
      </w:r>
      <w:r>
        <w:rPr>
          <w:rFonts w:ascii="Segoe UI Semibold"/>
          <w:b/>
          <w:color w:val="666155"/>
          <w:spacing w:val="2"/>
          <w:sz w:val="16"/>
        </w:rPr>
        <w:t>STUDENTS</w:t>
      </w:r>
      <w:r>
        <w:rPr>
          <w:rFonts w:ascii="Segoe UI Semibold"/>
          <w:b/>
          <w:color w:val="666155"/>
          <w:spacing w:val="-1"/>
          <w:sz w:val="16"/>
        </w:rPr>
        <w:t> </w:t>
      </w:r>
      <w:r>
        <w:rPr>
          <w:rFonts w:ascii="Segoe UI Semibold"/>
          <w:b/>
          <w:color w:val="666155"/>
          <w:spacing w:val="1"/>
          <w:sz w:val="16"/>
        </w:rPr>
        <w:t>AS</w:t>
      </w:r>
      <w:r>
        <w:rPr>
          <w:rFonts w:ascii="Segoe UI Semibold"/>
          <w:b/>
          <w:color w:val="666155"/>
          <w:spacing w:val="-2"/>
          <w:sz w:val="16"/>
        </w:rPr>
        <w:t> </w:t>
      </w:r>
      <w:r>
        <w:rPr>
          <w:rFonts w:ascii="Segoe UI Semibold"/>
          <w:b/>
          <w:color w:val="666155"/>
          <w:spacing w:val="-5"/>
          <w:sz w:val="16"/>
        </w:rPr>
        <w:t>A</w:t>
      </w:r>
      <w:r>
        <w:rPr>
          <w:rFonts w:ascii="Segoe UI Semibold"/>
          <w:b/>
          <w:color w:val="666155"/>
          <w:spacing w:val="-6"/>
          <w:sz w:val="16"/>
        </w:rPr>
        <w:t>T</w:t>
      </w:r>
      <w:r>
        <w:rPr>
          <w:rFonts w:ascii="Segoe UI Semibold"/>
          <w:b/>
          <w:color w:val="666155"/>
          <w:spacing w:val="-4"/>
          <w:sz w:val="16"/>
        </w:rPr>
        <w:t> </w:t>
      </w:r>
      <w:r>
        <w:rPr>
          <w:rFonts w:ascii="Segoe UI Semibold"/>
          <w:b/>
          <w:color w:val="666155"/>
          <w:sz w:val="16"/>
        </w:rPr>
        <w:t>1</w:t>
      </w:r>
      <w:r>
        <w:rPr>
          <w:rFonts w:ascii="Segoe UI Semibold"/>
          <w:b/>
          <w:color w:val="666155"/>
          <w:spacing w:val="-3"/>
          <w:sz w:val="16"/>
        </w:rPr>
        <w:t> </w:t>
      </w:r>
      <w:r>
        <w:rPr>
          <w:rFonts w:ascii="Segoe UI Semibold"/>
          <w:b/>
          <w:color w:val="666155"/>
          <w:spacing w:val="1"/>
          <w:sz w:val="16"/>
        </w:rPr>
        <w:t>JANUARY</w:t>
      </w:r>
      <w:r>
        <w:rPr>
          <w:rFonts w:ascii="Segoe UI Semibold"/>
          <w:b/>
          <w:color w:val="666155"/>
          <w:spacing w:val="-4"/>
          <w:sz w:val="16"/>
        </w:rPr>
        <w:t> </w:t>
      </w:r>
      <w:r>
        <w:rPr>
          <w:rFonts w:ascii="Segoe UI Semibold"/>
          <w:b/>
          <w:color w:val="666155"/>
          <w:spacing w:val="-3"/>
          <w:sz w:val="16"/>
        </w:rPr>
        <w:t>2019</w:t>
      </w:r>
      <w:r>
        <w:rPr>
          <w:rFonts w:ascii="Segoe UI Semibold"/>
          <w:sz w:val="16"/>
        </w:rPr>
      </w:r>
    </w:p>
    <w:p>
      <w:pPr>
        <w:spacing w:line="240" w:lineRule="auto" w:before="12"/>
        <w:rPr>
          <w:rFonts w:ascii="Segoe UI Semibold" w:hAnsi="Segoe UI Semibold" w:cs="Segoe UI Semibold" w:eastAsia="Segoe UI Semibold"/>
          <w:b/>
          <w:bCs/>
          <w:sz w:val="11"/>
          <w:szCs w:val="11"/>
        </w:rPr>
      </w:pPr>
    </w:p>
    <w:tbl>
      <w:tblPr>
        <w:tblW w:w="0" w:type="auto"/>
        <w:jc w:val="left"/>
        <w:tblInd w:w="117" w:type="dxa"/>
        <w:tblLayout w:type="fixed"/>
        <w:tblCellMar>
          <w:top w:w="0" w:type="dxa"/>
          <w:left w:w="0" w:type="dxa"/>
          <w:bottom w:w="0" w:type="dxa"/>
          <w:right w:w="0" w:type="dxa"/>
        </w:tblCellMar>
        <w:tblLook w:val="01E0"/>
      </w:tblPr>
      <w:tblGrid>
        <w:gridCol w:w="6883"/>
        <w:gridCol w:w="1894"/>
      </w:tblGrid>
      <w:tr>
        <w:trPr>
          <w:trHeight w:val="315" w:hRule="exact"/>
        </w:trPr>
        <w:tc>
          <w:tcPr>
            <w:tcW w:w="6883"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38"/>
              <w:ind w:left="108" w:right="0"/>
              <w:jc w:val="left"/>
              <w:rPr>
                <w:rFonts w:ascii="Segoe UI" w:hAnsi="Segoe UI" w:cs="Segoe UI" w:eastAsia="Segoe UI"/>
                <w:sz w:val="16"/>
                <w:szCs w:val="16"/>
              </w:rPr>
            </w:pPr>
            <w:r>
              <w:rPr>
                <w:rFonts w:ascii="Segoe UI"/>
                <w:color w:val="231F20"/>
                <w:sz w:val="16"/>
              </w:rPr>
              <w:t>ABSTUDY</w:t>
            </w:r>
            <w:r>
              <w:rPr>
                <w:rFonts w:ascii="Segoe UI"/>
                <w:color w:val="231F20"/>
                <w:spacing w:val="-5"/>
                <w:sz w:val="16"/>
              </w:rPr>
              <w:t> </w:t>
            </w:r>
            <w:r>
              <w:rPr>
                <w:rFonts w:ascii="Segoe UI"/>
                <w:color w:val="231F20"/>
                <w:sz w:val="16"/>
              </w:rPr>
              <w:t>payments</w:t>
            </w:r>
            <w:r>
              <w:rPr>
                <w:rFonts w:ascii="Segoe UI"/>
                <w:color w:val="231F20"/>
                <w:spacing w:val="-5"/>
                <w:sz w:val="16"/>
              </w:rPr>
              <w:t> </w:t>
            </w:r>
            <w:r>
              <w:rPr>
                <w:rFonts w:ascii="Segoe UI"/>
                <w:color w:val="231F20"/>
                <w:sz w:val="16"/>
              </w:rPr>
              <w:t>($)</w:t>
            </w:r>
            <w:r>
              <w:rPr>
                <w:rFonts w:ascii="Segoe UI"/>
                <w:sz w:val="16"/>
              </w:rPr>
            </w:r>
          </w:p>
        </w:tc>
        <w:tc>
          <w:tcPr>
            <w:tcW w:w="1894"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38"/>
              <w:ind w:left="722" w:right="0"/>
              <w:jc w:val="left"/>
              <w:rPr>
                <w:rFonts w:ascii="Segoe UI" w:hAnsi="Segoe UI" w:cs="Segoe UI" w:eastAsia="Segoe UI"/>
                <w:sz w:val="16"/>
                <w:szCs w:val="16"/>
              </w:rPr>
            </w:pPr>
            <w:r>
              <w:rPr>
                <w:rFonts w:ascii="Segoe UI"/>
                <w:color w:val="231F20"/>
                <w:sz w:val="16"/>
              </w:rPr>
              <w:t>1</w:t>
            </w:r>
            <w:r>
              <w:rPr>
                <w:rFonts w:ascii="Segoe UI"/>
                <w:color w:val="231F20"/>
                <w:spacing w:val="-3"/>
                <w:sz w:val="16"/>
              </w:rPr>
              <w:t> </w:t>
            </w:r>
            <w:r>
              <w:rPr>
                <w:rFonts w:ascii="Segoe UI"/>
                <w:color w:val="231F20"/>
                <w:sz w:val="16"/>
              </w:rPr>
              <w:t>January</w:t>
            </w:r>
            <w:r>
              <w:rPr>
                <w:rFonts w:ascii="Segoe UI"/>
                <w:color w:val="231F20"/>
                <w:spacing w:val="-3"/>
                <w:sz w:val="16"/>
              </w:rPr>
              <w:t> </w:t>
            </w:r>
            <w:r>
              <w:rPr>
                <w:rFonts w:ascii="Segoe UI"/>
                <w:color w:val="231F20"/>
                <w:sz w:val="16"/>
              </w:rPr>
              <w:t>2019</w:t>
            </w:r>
            <w:r>
              <w:rPr>
                <w:rFonts w:ascii="Segoe UI"/>
                <w:sz w:val="16"/>
              </w:rPr>
            </w:r>
          </w:p>
        </w:tc>
      </w:tr>
      <w:tr>
        <w:trPr>
          <w:trHeight w:val="492" w:hRule="exact"/>
        </w:trPr>
        <w:tc>
          <w:tcPr>
            <w:tcW w:w="6883" w:type="dxa"/>
            <w:tcBorders>
              <w:top w:val="single" w:sz="4" w:space="0" w:color="C1B5A9"/>
              <w:left w:val="single" w:sz="4" w:space="0" w:color="C1B5A9"/>
              <w:bottom w:val="single" w:sz="4" w:space="0" w:color="C1B5A9"/>
              <w:right w:val="single" w:sz="4" w:space="0" w:color="C1B5A9"/>
            </w:tcBorders>
          </w:tcPr>
          <w:p>
            <w:pPr>
              <w:pStyle w:val="TableParagraph"/>
              <w:spacing w:line="200" w:lineRule="exact" w:before="36"/>
              <w:ind w:left="108" w:right="277"/>
              <w:jc w:val="left"/>
              <w:rPr>
                <w:rFonts w:ascii="Segoe UI" w:hAnsi="Segoe UI" w:cs="Segoe UI" w:eastAsia="Segoe UI"/>
                <w:sz w:val="16"/>
                <w:szCs w:val="16"/>
              </w:rPr>
            </w:pPr>
            <w:r>
              <w:rPr>
                <w:rFonts w:ascii="Segoe UI"/>
                <w:color w:val="231F20"/>
                <w:sz w:val="16"/>
              </w:rPr>
              <w:t>Maximum</w:t>
            </w:r>
            <w:r>
              <w:rPr>
                <w:rFonts w:ascii="Segoe UI"/>
                <w:color w:val="231F20"/>
                <w:spacing w:val="-4"/>
                <w:sz w:val="16"/>
              </w:rPr>
              <w:t> </w:t>
            </w:r>
            <w:r>
              <w:rPr>
                <w:rFonts w:ascii="Segoe UI"/>
                <w:color w:val="231F20"/>
                <w:sz w:val="16"/>
              </w:rPr>
              <w:t>annual</w:t>
            </w:r>
            <w:r>
              <w:rPr>
                <w:rFonts w:ascii="Segoe UI"/>
                <w:color w:val="231F20"/>
                <w:spacing w:val="-4"/>
                <w:sz w:val="16"/>
              </w:rPr>
              <w:t> </w:t>
            </w:r>
            <w:r>
              <w:rPr>
                <w:rFonts w:ascii="Segoe UI"/>
                <w:color w:val="231F20"/>
                <w:sz w:val="16"/>
              </w:rPr>
              <w:t>amount</w:t>
            </w:r>
            <w:r>
              <w:rPr>
                <w:rFonts w:ascii="Segoe UI"/>
                <w:color w:val="231F20"/>
                <w:spacing w:val="-4"/>
                <w:sz w:val="16"/>
              </w:rPr>
              <w:t> </w:t>
            </w:r>
            <w:r>
              <w:rPr>
                <w:rFonts w:ascii="Segoe UI"/>
                <w:color w:val="231F20"/>
                <w:sz w:val="16"/>
              </w:rPr>
              <w:t>of</w:t>
            </w:r>
            <w:r>
              <w:rPr>
                <w:rFonts w:ascii="Segoe UI"/>
                <w:color w:val="231F20"/>
                <w:spacing w:val="-3"/>
                <w:sz w:val="16"/>
              </w:rPr>
              <w:t> </w:t>
            </w:r>
            <w:r>
              <w:rPr>
                <w:rFonts w:ascii="Segoe UI"/>
                <w:color w:val="231F20"/>
                <w:sz w:val="16"/>
              </w:rPr>
              <w:t>ABSTUDY</w:t>
            </w:r>
            <w:r>
              <w:rPr>
                <w:rFonts w:ascii="Segoe UI"/>
                <w:color w:val="231F20"/>
                <w:spacing w:val="-3"/>
                <w:sz w:val="16"/>
              </w:rPr>
              <w:t> </w:t>
            </w:r>
            <w:r>
              <w:rPr>
                <w:rFonts w:ascii="Segoe UI"/>
                <w:color w:val="231F20"/>
                <w:sz w:val="16"/>
              </w:rPr>
              <w:t>for</w:t>
            </w:r>
            <w:r>
              <w:rPr>
                <w:rFonts w:ascii="Segoe UI"/>
                <w:color w:val="231F20"/>
                <w:spacing w:val="-4"/>
                <w:sz w:val="16"/>
              </w:rPr>
              <w:t> </w:t>
            </w:r>
            <w:r>
              <w:rPr>
                <w:rFonts w:ascii="Segoe UI"/>
                <w:color w:val="231F20"/>
                <w:sz w:val="16"/>
              </w:rPr>
              <w:t>an</w:t>
            </w:r>
            <w:r>
              <w:rPr>
                <w:rFonts w:ascii="Segoe UI"/>
                <w:color w:val="231F20"/>
                <w:spacing w:val="-4"/>
                <w:sz w:val="16"/>
              </w:rPr>
              <w:t> </w:t>
            </w:r>
            <w:r>
              <w:rPr>
                <w:rFonts w:ascii="Segoe UI"/>
                <w:color w:val="231F20"/>
                <w:sz w:val="16"/>
              </w:rPr>
              <w:t>eligible</w:t>
            </w:r>
            <w:r>
              <w:rPr>
                <w:rFonts w:ascii="Segoe UI"/>
                <w:color w:val="231F20"/>
                <w:spacing w:val="-3"/>
                <w:sz w:val="16"/>
              </w:rPr>
              <w:t> </w:t>
            </w:r>
            <w:r>
              <w:rPr>
                <w:rFonts w:ascii="Segoe UI"/>
                <w:color w:val="231F20"/>
                <w:spacing w:val="-1"/>
                <w:sz w:val="16"/>
              </w:rPr>
              <w:t>secondary</w:t>
            </w:r>
            <w:r>
              <w:rPr>
                <w:rFonts w:ascii="Segoe UI"/>
                <w:color w:val="231F20"/>
                <w:spacing w:val="-4"/>
                <w:sz w:val="16"/>
              </w:rPr>
              <w:t> </w:t>
            </w:r>
            <w:r>
              <w:rPr>
                <w:rFonts w:ascii="Segoe UI"/>
                <w:color w:val="231F20"/>
                <w:spacing w:val="-1"/>
                <w:sz w:val="16"/>
              </w:rPr>
              <w:t>school</w:t>
            </w:r>
            <w:r>
              <w:rPr>
                <w:rFonts w:ascii="Segoe UI"/>
                <w:color w:val="231F20"/>
                <w:spacing w:val="-3"/>
                <w:sz w:val="16"/>
              </w:rPr>
              <w:t> </w:t>
            </w:r>
            <w:r>
              <w:rPr>
                <w:rFonts w:ascii="Segoe UI"/>
                <w:color w:val="231F20"/>
                <w:spacing w:val="-1"/>
                <w:sz w:val="16"/>
              </w:rPr>
              <w:t>student</w:t>
            </w:r>
            <w:r>
              <w:rPr>
                <w:rFonts w:ascii="Segoe UI"/>
                <w:color w:val="231F20"/>
                <w:spacing w:val="-3"/>
                <w:sz w:val="16"/>
              </w:rPr>
              <w:t> </w:t>
            </w:r>
            <w:r>
              <w:rPr>
                <w:rFonts w:ascii="Segoe UI"/>
                <w:color w:val="231F20"/>
                <w:sz w:val="16"/>
              </w:rPr>
              <w:t>approved</w:t>
            </w:r>
            <w:r>
              <w:rPr>
                <w:rFonts w:ascii="Segoe UI"/>
                <w:color w:val="231F20"/>
                <w:spacing w:val="-4"/>
                <w:sz w:val="16"/>
              </w:rPr>
              <w:t> </w:t>
            </w:r>
            <w:r>
              <w:rPr>
                <w:rFonts w:ascii="Segoe UI"/>
                <w:color w:val="231F20"/>
                <w:sz w:val="16"/>
              </w:rPr>
              <w:t>to</w:t>
            </w:r>
            <w:r>
              <w:rPr>
                <w:rFonts w:ascii="Segoe UI"/>
                <w:color w:val="231F20"/>
                <w:spacing w:val="24"/>
                <w:w w:val="99"/>
                <w:sz w:val="16"/>
              </w:rPr>
              <w:t> </w:t>
            </w:r>
            <w:r>
              <w:rPr>
                <w:rFonts w:ascii="Segoe UI"/>
                <w:color w:val="231F20"/>
                <w:spacing w:val="-1"/>
                <w:sz w:val="16"/>
              </w:rPr>
              <w:t>live</w:t>
            </w:r>
            <w:r>
              <w:rPr>
                <w:rFonts w:ascii="Segoe UI"/>
                <w:color w:val="231F20"/>
                <w:spacing w:val="-3"/>
                <w:sz w:val="16"/>
              </w:rPr>
              <w:t> </w:t>
            </w:r>
            <w:r>
              <w:rPr>
                <w:rFonts w:ascii="Segoe UI"/>
                <w:color w:val="231F20"/>
                <w:sz w:val="16"/>
              </w:rPr>
              <w:t>away</w:t>
            </w:r>
            <w:r>
              <w:rPr>
                <w:rFonts w:ascii="Segoe UI"/>
                <w:color w:val="231F20"/>
                <w:spacing w:val="-3"/>
                <w:sz w:val="16"/>
              </w:rPr>
              <w:t> </w:t>
            </w:r>
            <w:r>
              <w:rPr>
                <w:rFonts w:ascii="Segoe UI"/>
                <w:color w:val="231F20"/>
                <w:sz w:val="16"/>
              </w:rPr>
              <w:t>from</w:t>
            </w:r>
            <w:r>
              <w:rPr>
                <w:rFonts w:ascii="Segoe UI"/>
                <w:color w:val="231F20"/>
                <w:spacing w:val="-2"/>
                <w:sz w:val="16"/>
              </w:rPr>
              <w:t> </w:t>
            </w:r>
            <w:r>
              <w:rPr>
                <w:rFonts w:ascii="Segoe UI"/>
                <w:color w:val="231F20"/>
                <w:sz w:val="16"/>
              </w:rPr>
              <w:t>home</w:t>
            </w:r>
            <w:r>
              <w:rPr>
                <w:rFonts w:ascii="Segoe UI"/>
                <w:color w:val="231F20"/>
                <w:spacing w:val="-3"/>
                <w:sz w:val="16"/>
              </w:rPr>
              <w:t> </w:t>
            </w:r>
            <w:r>
              <w:rPr>
                <w:rFonts w:ascii="Segoe UI"/>
                <w:color w:val="231F20"/>
                <w:sz w:val="16"/>
              </w:rPr>
              <w:t>to</w:t>
            </w:r>
            <w:r>
              <w:rPr>
                <w:rFonts w:ascii="Segoe UI"/>
                <w:color w:val="231F20"/>
                <w:spacing w:val="-2"/>
                <w:sz w:val="16"/>
              </w:rPr>
              <w:t> </w:t>
            </w:r>
            <w:r>
              <w:rPr>
                <w:rFonts w:ascii="Segoe UI"/>
                <w:color w:val="231F20"/>
                <w:sz w:val="16"/>
              </w:rPr>
              <w:t>attend</w:t>
            </w:r>
            <w:r>
              <w:rPr>
                <w:rFonts w:ascii="Segoe UI"/>
                <w:color w:val="231F20"/>
                <w:spacing w:val="-3"/>
                <w:sz w:val="16"/>
              </w:rPr>
              <w:t> </w:t>
            </w:r>
            <w:r>
              <w:rPr>
                <w:rFonts w:ascii="Segoe UI"/>
                <w:color w:val="231F20"/>
                <w:spacing w:val="-1"/>
                <w:sz w:val="16"/>
              </w:rPr>
              <w:t>school</w:t>
            </w:r>
            <w:r>
              <w:rPr>
                <w:rFonts w:ascii="Segoe UI"/>
                <w:sz w:val="16"/>
              </w:rPr>
            </w:r>
          </w:p>
        </w:tc>
        <w:tc>
          <w:tcPr>
            <w:tcW w:w="1894"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11"/>
              <w:ind w:right="0"/>
              <w:jc w:val="left"/>
              <w:rPr>
                <w:rFonts w:ascii="Segoe UI Semibold" w:hAnsi="Segoe UI Semibold" w:cs="Segoe UI Semibold" w:eastAsia="Segoe UI Semibold"/>
                <w:b/>
                <w:bCs/>
                <w:sz w:val="16"/>
                <w:szCs w:val="16"/>
              </w:rPr>
            </w:pPr>
          </w:p>
          <w:p>
            <w:pPr>
              <w:pStyle w:val="TableParagraph"/>
              <w:spacing w:line="240" w:lineRule="auto"/>
              <w:ind w:left="1102" w:right="0"/>
              <w:jc w:val="left"/>
              <w:rPr>
                <w:rFonts w:ascii="Segoe UI" w:hAnsi="Segoe UI" w:cs="Segoe UI" w:eastAsia="Segoe UI"/>
                <w:sz w:val="16"/>
                <w:szCs w:val="16"/>
              </w:rPr>
            </w:pPr>
            <w:r>
              <w:rPr>
                <w:rFonts w:ascii="Segoe UI"/>
                <w:color w:val="231F20"/>
                <w:sz w:val="16"/>
              </w:rPr>
              <w:t>26,903.21</w:t>
            </w:r>
            <w:r>
              <w:rPr>
                <w:rFonts w:ascii="Segoe UI"/>
                <w:sz w:val="16"/>
              </w:rPr>
            </w:r>
          </w:p>
        </w:tc>
      </w:tr>
      <w:tr>
        <w:trPr>
          <w:trHeight w:val="287" w:hRule="exact"/>
        </w:trPr>
        <w:tc>
          <w:tcPr>
            <w:tcW w:w="6883"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4"/>
              <w:ind w:left="108" w:right="0"/>
              <w:jc w:val="left"/>
              <w:rPr>
                <w:rFonts w:ascii="Segoe UI" w:hAnsi="Segoe UI" w:cs="Segoe UI" w:eastAsia="Segoe UI"/>
                <w:sz w:val="16"/>
                <w:szCs w:val="16"/>
              </w:rPr>
            </w:pPr>
            <w:r>
              <w:rPr>
                <w:rFonts w:ascii="Segoe UI"/>
                <w:color w:val="231F20"/>
                <w:spacing w:val="-1"/>
                <w:sz w:val="16"/>
              </w:rPr>
              <w:t>Includes</w:t>
            </w:r>
            <w:r>
              <w:rPr>
                <w:rFonts w:ascii="Segoe UI"/>
                <w:color w:val="231F20"/>
                <w:spacing w:val="-5"/>
                <w:sz w:val="16"/>
              </w:rPr>
              <w:t> </w:t>
            </w:r>
            <w:r>
              <w:rPr>
                <w:rFonts w:ascii="Segoe UI"/>
                <w:color w:val="231F20"/>
                <w:sz w:val="16"/>
              </w:rPr>
              <w:t>the</w:t>
            </w:r>
            <w:r>
              <w:rPr>
                <w:rFonts w:ascii="Segoe UI"/>
                <w:color w:val="231F20"/>
                <w:spacing w:val="-5"/>
                <w:sz w:val="16"/>
              </w:rPr>
              <w:t> </w:t>
            </w:r>
            <w:r>
              <w:rPr>
                <w:rFonts w:ascii="Segoe UI"/>
                <w:color w:val="231F20"/>
                <w:sz w:val="16"/>
              </w:rPr>
              <w:t>following</w:t>
            </w:r>
            <w:r>
              <w:rPr>
                <w:rFonts w:ascii="Segoe UI"/>
                <w:color w:val="231F20"/>
                <w:spacing w:val="-4"/>
                <w:sz w:val="16"/>
              </w:rPr>
              <w:t> </w:t>
            </w:r>
            <w:r>
              <w:rPr>
                <w:rFonts w:ascii="Segoe UI"/>
                <w:color w:val="231F20"/>
                <w:sz w:val="16"/>
              </w:rPr>
              <w:t>payments</w:t>
            </w:r>
            <w:r>
              <w:rPr>
                <w:rFonts w:ascii="Segoe UI"/>
                <w:color w:val="231F20"/>
                <w:spacing w:val="-5"/>
                <w:sz w:val="16"/>
              </w:rPr>
              <w:t> </w:t>
            </w:r>
            <w:r>
              <w:rPr>
                <w:rFonts w:ascii="Segoe UI"/>
                <w:color w:val="231F20"/>
                <w:sz w:val="16"/>
              </w:rPr>
              <w:t>for</w:t>
            </w:r>
            <w:r>
              <w:rPr>
                <w:rFonts w:ascii="Segoe UI"/>
                <w:color w:val="231F20"/>
                <w:spacing w:val="-4"/>
                <w:sz w:val="16"/>
              </w:rPr>
              <w:t> </w:t>
            </w:r>
            <w:r>
              <w:rPr>
                <w:rFonts w:ascii="Segoe UI"/>
                <w:color w:val="231F20"/>
                <w:sz w:val="16"/>
              </w:rPr>
              <w:t>tuition</w:t>
            </w:r>
            <w:r>
              <w:rPr>
                <w:rFonts w:ascii="Segoe UI"/>
                <w:color w:val="231F20"/>
                <w:spacing w:val="-5"/>
                <w:sz w:val="16"/>
              </w:rPr>
              <w:t> </w:t>
            </w:r>
            <w:r>
              <w:rPr>
                <w:rFonts w:ascii="Segoe UI"/>
                <w:color w:val="231F20"/>
                <w:sz w:val="16"/>
              </w:rPr>
              <w:t>and</w:t>
            </w:r>
            <w:r>
              <w:rPr>
                <w:rFonts w:ascii="Segoe UI"/>
                <w:color w:val="231F20"/>
                <w:spacing w:val="-5"/>
                <w:sz w:val="16"/>
              </w:rPr>
              <w:t> </w:t>
            </w:r>
            <w:r>
              <w:rPr>
                <w:rFonts w:ascii="Segoe UI"/>
                <w:color w:val="231F20"/>
                <w:sz w:val="16"/>
              </w:rPr>
              <w:t>board,</w:t>
            </w:r>
            <w:r>
              <w:rPr>
                <w:rFonts w:ascii="Segoe UI"/>
                <w:color w:val="231F20"/>
                <w:spacing w:val="-4"/>
                <w:sz w:val="16"/>
              </w:rPr>
              <w:t> </w:t>
            </w:r>
            <w:r>
              <w:rPr>
                <w:rFonts w:ascii="Segoe UI"/>
                <w:color w:val="231F20"/>
                <w:sz w:val="16"/>
              </w:rPr>
              <w:t>paid</w:t>
            </w:r>
            <w:r>
              <w:rPr>
                <w:rFonts w:ascii="Segoe UI"/>
                <w:color w:val="231F20"/>
                <w:spacing w:val="-5"/>
                <w:sz w:val="16"/>
              </w:rPr>
              <w:t> </w:t>
            </w:r>
            <w:r>
              <w:rPr>
                <w:rFonts w:ascii="Segoe UI"/>
                <w:color w:val="231F20"/>
                <w:sz w:val="16"/>
              </w:rPr>
              <w:t>directly</w:t>
            </w:r>
            <w:r>
              <w:rPr>
                <w:rFonts w:ascii="Segoe UI"/>
                <w:color w:val="231F20"/>
                <w:spacing w:val="-5"/>
                <w:sz w:val="16"/>
              </w:rPr>
              <w:t> </w:t>
            </w:r>
            <w:r>
              <w:rPr>
                <w:rFonts w:ascii="Segoe UI"/>
                <w:color w:val="231F20"/>
                <w:sz w:val="16"/>
              </w:rPr>
              <w:t>to</w:t>
            </w:r>
            <w:r>
              <w:rPr>
                <w:rFonts w:ascii="Segoe UI"/>
                <w:color w:val="231F20"/>
                <w:spacing w:val="-5"/>
                <w:sz w:val="16"/>
              </w:rPr>
              <w:t> </w:t>
            </w:r>
            <w:r>
              <w:rPr>
                <w:rFonts w:ascii="Segoe UI"/>
                <w:color w:val="231F20"/>
                <w:sz w:val="16"/>
              </w:rPr>
              <w:t>provider</w:t>
            </w:r>
            <w:r>
              <w:rPr>
                <w:rFonts w:ascii="Segoe UI"/>
                <w:sz w:val="16"/>
              </w:rPr>
            </w:r>
          </w:p>
        </w:tc>
        <w:tc>
          <w:tcPr>
            <w:tcW w:w="1894" w:type="dxa"/>
            <w:tcBorders>
              <w:top w:val="single" w:sz="4" w:space="0" w:color="C1B5A9"/>
              <w:left w:val="single" w:sz="4" w:space="0" w:color="C1B5A9"/>
              <w:bottom w:val="single" w:sz="4" w:space="0" w:color="C1B5A9"/>
              <w:right w:val="single" w:sz="4" w:space="0" w:color="C1B5A9"/>
            </w:tcBorders>
          </w:tcPr>
          <w:p>
            <w:pPr/>
          </w:p>
        </w:tc>
      </w:tr>
      <w:tr>
        <w:trPr>
          <w:trHeight w:val="287" w:hRule="exact"/>
        </w:trPr>
        <w:tc>
          <w:tcPr>
            <w:tcW w:w="6883"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4"/>
              <w:ind w:left="136" w:right="0"/>
              <w:jc w:val="left"/>
              <w:rPr>
                <w:rFonts w:ascii="Segoe UI" w:hAnsi="Segoe UI" w:cs="Segoe UI" w:eastAsia="Segoe UI"/>
                <w:sz w:val="16"/>
                <w:szCs w:val="16"/>
              </w:rPr>
            </w:pPr>
            <w:r>
              <w:rPr>
                <w:rFonts w:ascii="Segoe UI"/>
                <w:color w:val="231F20"/>
                <w:sz w:val="16"/>
              </w:rPr>
              <w:t>Living</w:t>
            </w:r>
            <w:r>
              <w:rPr>
                <w:rFonts w:ascii="Segoe UI"/>
                <w:color w:val="231F20"/>
                <w:spacing w:val="-13"/>
                <w:sz w:val="16"/>
              </w:rPr>
              <w:t> </w:t>
            </w:r>
            <w:r>
              <w:rPr>
                <w:rFonts w:ascii="Segoe UI"/>
                <w:color w:val="231F20"/>
                <w:sz w:val="16"/>
              </w:rPr>
              <w:t>Allowance*</w:t>
            </w:r>
            <w:r>
              <w:rPr>
                <w:rFonts w:ascii="Segoe UI"/>
                <w:color w:val="231F20"/>
                <w:spacing w:val="-11"/>
                <w:sz w:val="16"/>
              </w:rPr>
              <w:t> </w:t>
            </w:r>
            <w:r>
              <w:rPr>
                <w:rFonts w:ascii="Segoe UI"/>
                <w:color w:val="231F20"/>
                <w:sz w:val="16"/>
              </w:rPr>
              <w:t>(means-tested)</w:t>
            </w:r>
            <w:r>
              <w:rPr>
                <w:rFonts w:ascii="Segoe UI"/>
                <w:sz w:val="16"/>
              </w:rPr>
            </w:r>
          </w:p>
        </w:tc>
        <w:tc>
          <w:tcPr>
            <w:tcW w:w="1894"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4"/>
              <w:ind w:left="1102" w:right="0"/>
              <w:jc w:val="left"/>
              <w:rPr>
                <w:rFonts w:ascii="Segoe UI" w:hAnsi="Segoe UI" w:cs="Segoe UI" w:eastAsia="Segoe UI"/>
                <w:sz w:val="16"/>
                <w:szCs w:val="16"/>
              </w:rPr>
            </w:pPr>
            <w:r>
              <w:rPr>
                <w:rFonts w:ascii="Segoe UI"/>
                <w:color w:val="231F20"/>
                <w:sz w:val="16"/>
              </w:rPr>
              <w:t>12,050.21</w:t>
            </w:r>
            <w:r>
              <w:rPr>
                <w:rFonts w:ascii="Segoe UI"/>
                <w:sz w:val="16"/>
              </w:rPr>
            </w:r>
          </w:p>
        </w:tc>
      </w:tr>
      <w:tr>
        <w:trPr>
          <w:trHeight w:val="287" w:hRule="exact"/>
        </w:trPr>
        <w:tc>
          <w:tcPr>
            <w:tcW w:w="6883"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4"/>
              <w:ind w:left="419" w:right="0"/>
              <w:jc w:val="left"/>
              <w:rPr>
                <w:rFonts w:ascii="Segoe UI" w:hAnsi="Segoe UI" w:cs="Segoe UI" w:eastAsia="Segoe UI"/>
                <w:sz w:val="16"/>
                <w:szCs w:val="16"/>
              </w:rPr>
            </w:pPr>
            <w:r>
              <w:rPr>
                <w:rFonts w:ascii="Segoe UI"/>
                <w:i/>
                <w:color w:val="231F20"/>
                <w:sz w:val="16"/>
              </w:rPr>
              <w:t>Maximum</w:t>
            </w:r>
            <w:r>
              <w:rPr>
                <w:rFonts w:ascii="Segoe UI"/>
                <w:i/>
                <w:color w:val="231F20"/>
                <w:spacing w:val="-2"/>
                <w:sz w:val="16"/>
              </w:rPr>
              <w:t> </w:t>
            </w:r>
            <w:r>
              <w:rPr>
                <w:rFonts w:ascii="Segoe UI"/>
                <w:i/>
                <w:color w:val="231F20"/>
                <w:sz w:val="16"/>
              </w:rPr>
              <w:t>for</w:t>
            </w:r>
            <w:r>
              <w:rPr>
                <w:rFonts w:ascii="Segoe UI"/>
                <w:i/>
                <w:color w:val="231F20"/>
                <w:spacing w:val="-2"/>
                <w:sz w:val="16"/>
              </w:rPr>
              <w:t> </w:t>
            </w:r>
            <w:r>
              <w:rPr>
                <w:rFonts w:ascii="Segoe UI"/>
                <w:i/>
                <w:color w:val="231F20"/>
                <w:sz w:val="16"/>
              </w:rPr>
              <w:t>students</w:t>
            </w:r>
            <w:r>
              <w:rPr>
                <w:rFonts w:ascii="Segoe UI"/>
                <w:i/>
                <w:color w:val="231F20"/>
                <w:spacing w:val="-3"/>
                <w:sz w:val="16"/>
              </w:rPr>
              <w:t> </w:t>
            </w:r>
            <w:r>
              <w:rPr>
                <w:rFonts w:ascii="Segoe UI"/>
                <w:i/>
                <w:color w:val="231F20"/>
                <w:spacing w:val="-1"/>
                <w:sz w:val="16"/>
              </w:rPr>
              <w:t>up </w:t>
            </w:r>
            <w:r>
              <w:rPr>
                <w:rFonts w:ascii="Segoe UI"/>
                <w:i/>
                <w:color w:val="231F20"/>
                <w:sz w:val="16"/>
              </w:rPr>
              <w:t>to</w:t>
            </w:r>
            <w:r>
              <w:rPr>
                <w:rFonts w:ascii="Segoe UI"/>
                <w:i/>
                <w:color w:val="231F20"/>
                <w:spacing w:val="-2"/>
                <w:sz w:val="16"/>
              </w:rPr>
              <w:t> </w:t>
            </w:r>
            <w:r>
              <w:rPr>
                <w:rFonts w:ascii="Segoe UI"/>
                <w:i/>
                <w:color w:val="231F20"/>
                <w:spacing w:val="-1"/>
                <w:sz w:val="16"/>
              </w:rPr>
              <w:t>21 </w:t>
            </w:r>
            <w:r>
              <w:rPr>
                <w:rFonts w:ascii="Segoe UI"/>
                <w:i/>
                <w:color w:val="231F20"/>
                <w:sz w:val="16"/>
              </w:rPr>
              <w:t>y/o</w:t>
            </w:r>
            <w:r>
              <w:rPr>
                <w:rFonts w:ascii="Segoe UI"/>
                <w:i/>
                <w:color w:val="231F20"/>
                <w:spacing w:val="-2"/>
                <w:sz w:val="16"/>
              </w:rPr>
              <w:t> </w:t>
            </w:r>
            <w:r>
              <w:rPr>
                <w:rFonts w:ascii="Segoe UI"/>
                <w:i/>
                <w:color w:val="231F20"/>
                <w:spacing w:val="-1"/>
                <w:sz w:val="16"/>
              </w:rPr>
              <w:t>($455.20 </w:t>
            </w:r>
            <w:r>
              <w:rPr>
                <w:rFonts w:ascii="Segoe UI"/>
                <w:i/>
                <w:color w:val="231F20"/>
                <w:sz w:val="16"/>
              </w:rPr>
              <w:t>per</w:t>
            </w:r>
            <w:r>
              <w:rPr>
                <w:rFonts w:ascii="Segoe UI"/>
                <w:i/>
                <w:color w:val="231F20"/>
                <w:spacing w:val="-1"/>
                <w:sz w:val="16"/>
              </w:rPr>
              <w:t> fortnight)</w:t>
            </w:r>
            <w:r>
              <w:rPr>
                <w:rFonts w:ascii="Segoe UI"/>
                <w:sz w:val="16"/>
              </w:rPr>
            </w:r>
          </w:p>
        </w:tc>
        <w:tc>
          <w:tcPr>
            <w:tcW w:w="1894"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4"/>
              <w:ind w:left="1102" w:right="0"/>
              <w:jc w:val="left"/>
              <w:rPr>
                <w:rFonts w:ascii="Segoe UI" w:hAnsi="Segoe UI" w:cs="Segoe UI" w:eastAsia="Segoe UI"/>
                <w:sz w:val="16"/>
                <w:szCs w:val="16"/>
              </w:rPr>
            </w:pPr>
            <w:r>
              <w:rPr>
                <w:rFonts w:ascii="Segoe UI"/>
                <w:i/>
                <w:color w:val="231F20"/>
                <w:sz w:val="16"/>
              </w:rPr>
              <w:t>11,867.71</w:t>
            </w:r>
            <w:r>
              <w:rPr>
                <w:rFonts w:ascii="Segoe UI"/>
                <w:sz w:val="16"/>
              </w:rPr>
            </w:r>
          </w:p>
        </w:tc>
      </w:tr>
      <w:tr>
        <w:trPr>
          <w:trHeight w:val="287" w:hRule="exact"/>
        </w:trPr>
        <w:tc>
          <w:tcPr>
            <w:tcW w:w="6883"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4"/>
              <w:ind w:left="419" w:right="0"/>
              <w:jc w:val="left"/>
              <w:rPr>
                <w:rFonts w:ascii="Segoe UI" w:hAnsi="Segoe UI" w:cs="Segoe UI" w:eastAsia="Segoe UI"/>
                <w:sz w:val="16"/>
                <w:szCs w:val="16"/>
              </w:rPr>
            </w:pPr>
            <w:r>
              <w:rPr>
                <w:rFonts w:ascii="Segoe UI"/>
                <w:i/>
                <w:color w:val="231F20"/>
                <w:sz w:val="16"/>
              </w:rPr>
              <w:t>plus</w:t>
            </w:r>
            <w:r>
              <w:rPr>
                <w:rFonts w:ascii="Segoe UI"/>
                <w:i/>
                <w:color w:val="231F20"/>
                <w:spacing w:val="-8"/>
                <w:sz w:val="16"/>
              </w:rPr>
              <w:t> </w:t>
            </w:r>
            <w:r>
              <w:rPr>
                <w:rFonts w:ascii="Segoe UI"/>
                <w:i/>
                <w:color w:val="231F20"/>
                <w:spacing w:val="-1"/>
                <w:sz w:val="16"/>
              </w:rPr>
              <w:t>Energy</w:t>
            </w:r>
            <w:r>
              <w:rPr>
                <w:rFonts w:ascii="Segoe UI"/>
                <w:i/>
                <w:color w:val="231F20"/>
                <w:spacing w:val="-8"/>
                <w:sz w:val="16"/>
              </w:rPr>
              <w:t> </w:t>
            </w:r>
            <w:r>
              <w:rPr>
                <w:rFonts w:ascii="Segoe UI"/>
                <w:i/>
                <w:color w:val="231F20"/>
                <w:sz w:val="16"/>
              </w:rPr>
              <w:t>Supplement</w:t>
            </w:r>
            <w:r>
              <w:rPr>
                <w:rFonts w:ascii="Segoe UI"/>
                <w:sz w:val="16"/>
              </w:rPr>
            </w:r>
          </w:p>
        </w:tc>
        <w:tc>
          <w:tcPr>
            <w:tcW w:w="1894"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4"/>
              <w:ind w:right="106"/>
              <w:jc w:val="right"/>
              <w:rPr>
                <w:rFonts w:ascii="Segoe UI" w:hAnsi="Segoe UI" w:cs="Segoe UI" w:eastAsia="Segoe UI"/>
                <w:sz w:val="16"/>
                <w:szCs w:val="16"/>
              </w:rPr>
            </w:pPr>
            <w:r>
              <w:rPr>
                <w:rFonts w:ascii="Segoe UI"/>
                <w:i/>
                <w:color w:val="231F20"/>
                <w:sz w:val="16"/>
              </w:rPr>
              <w:t>182.50</w:t>
            </w:r>
            <w:r>
              <w:rPr>
                <w:rFonts w:ascii="Segoe UI"/>
                <w:sz w:val="16"/>
              </w:rPr>
            </w:r>
          </w:p>
        </w:tc>
      </w:tr>
      <w:tr>
        <w:trPr>
          <w:trHeight w:val="287" w:hRule="exact"/>
        </w:trPr>
        <w:tc>
          <w:tcPr>
            <w:tcW w:w="6883"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4"/>
              <w:ind w:left="136" w:right="0"/>
              <w:jc w:val="left"/>
              <w:rPr>
                <w:rFonts w:ascii="Segoe UI" w:hAnsi="Segoe UI" w:cs="Segoe UI" w:eastAsia="Segoe UI"/>
                <w:sz w:val="16"/>
                <w:szCs w:val="16"/>
              </w:rPr>
            </w:pPr>
            <w:r>
              <w:rPr>
                <w:rFonts w:ascii="Segoe UI"/>
                <w:color w:val="231F20"/>
                <w:spacing w:val="-1"/>
                <w:sz w:val="16"/>
              </w:rPr>
              <w:t>School</w:t>
            </w:r>
            <w:r>
              <w:rPr>
                <w:rFonts w:ascii="Segoe UI"/>
                <w:color w:val="231F20"/>
                <w:spacing w:val="-5"/>
                <w:sz w:val="16"/>
              </w:rPr>
              <w:t> </w:t>
            </w:r>
            <w:r>
              <w:rPr>
                <w:rFonts w:ascii="Segoe UI"/>
                <w:color w:val="231F20"/>
                <w:spacing w:val="-1"/>
                <w:sz w:val="16"/>
              </w:rPr>
              <w:t>Fees</w:t>
            </w:r>
            <w:r>
              <w:rPr>
                <w:rFonts w:ascii="Segoe UI"/>
                <w:color w:val="231F20"/>
                <w:spacing w:val="-4"/>
                <w:sz w:val="16"/>
              </w:rPr>
              <w:t> </w:t>
            </w:r>
            <w:r>
              <w:rPr>
                <w:rFonts w:ascii="Segoe UI"/>
                <w:color w:val="231F20"/>
                <w:sz w:val="16"/>
              </w:rPr>
              <w:t>Allowance</w:t>
            </w:r>
            <w:r>
              <w:rPr>
                <w:rFonts w:ascii="Segoe UI"/>
                <w:color w:val="231F20"/>
                <w:spacing w:val="-5"/>
                <w:sz w:val="16"/>
              </w:rPr>
              <w:t> </w:t>
            </w:r>
            <w:r>
              <w:rPr>
                <w:rFonts w:ascii="Segoe UI"/>
                <w:color w:val="231F20"/>
                <w:sz w:val="16"/>
              </w:rPr>
              <w:t>(boarding</w:t>
            </w:r>
            <w:r>
              <w:rPr>
                <w:rFonts w:ascii="Segoe UI"/>
                <w:color w:val="231F20"/>
                <w:spacing w:val="-5"/>
                <w:sz w:val="16"/>
              </w:rPr>
              <w:t> </w:t>
            </w:r>
            <w:r>
              <w:rPr>
                <w:rFonts w:ascii="Segoe UI"/>
                <w:color w:val="231F20"/>
                <w:sz w:val="16"/>
              </w:rPr>
              <w:t>rate)</w:t>
            </w:r>
            <w:r>
              <w:rPr>
                <w:rFonts w:ascii="Segoe UI"/>
                <w:sz w:val="16"/>
              </w:rPr>
            </w:r>
          </w:p>
        </w:tc>
        <w:tc>
          <w:tcPr>
            <w:tcW w:w="1894"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4"/>
              <w:ind w:left="1102" w:right="0"/>
              <w:jc w:val="left"/>
              <w:rPr>
                <w:rFonts w:ascii="Segoe UI" w:hAnsi="Segoe UI" w:cs="Segoe UI" w:eastAsia="Segoe UI"/>
                <w:sz w:val="16"/>
                <w:szCs w:val="16"/>
              </w:rPr>
            </w:pPr>
            <w:r>
              <w:rPr>
                <w:rFonts w:ascii="Segoe UI"/>
                <w:color w:val="231F20"/>
                <w:sz w:val="16"/>
              </w:rPr>
              <w:t>10,838.00</w:t>
            </w:r>
            <w:r>
              <w:rPr>
                <w:rFonts w:ascii="Segoe UI"/>
                <w:sz w:val="16"/>
              </w:rPr>
            </w:r>
          </w:p>
        </w:tc>
      </w:tr>
      <w:tr>
        <w:trPr>
          <w:trHeight w:val="287" w:hRule="exact"/>
        </w:trPr>
        <w:tc>
          <w:tcPr>
            <w:tcW w:w="6883"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4"/>
              <w:ind w:left="419" w:right="0"/>
              <w:jc w:val="left"/>
              <w:rPr>
                <w:rFonts w:ascii="Segoe UI" w:hAnsi="Segoe UI" w:cs="Segoe UI" w:eastAsia="Segoe UI"/>
                <w:sz w:val="16"/>
                <w:szCs w:val="16"/>
              </w:rPr>
            </w:pPr>
            <w:r>
              <w:rPr>
                <w:rFonts w:ascii="Segoe UI"/>
                <w:i/>
                <w:color w:val="231F20"/>
                <w:sz w:val="16"/>
              </w:rPr>
              <w:t>Non-means-tested</w:t>
            </w:r>
            <w:r>
              <w:rPr>
                <w:rFonts w:ascii="Segoe UI"/>
                <w:i/>
                <w:color w:val="231F20"/>
                <w:spacing w:val="-12"/>
                <w:sz w:val="16"/>
              </w:rPr>
              <w:t> </w:t>
            </w:r>
            <w:r>
              <w:rPr>
                <w:rFonts w:ascii="Segoe UI"/>
                <w:i/>
                <w:color w:val="231F20"/>
                <w:spacing w:val="-2"/>
                <w:sz w:val="16"/>
              </w:rPr>
              <w:t>component</w:t>
            </w:r>
            <w:r>
              <w:rPr>
                <w:rFonts w:ascii="Segoe UI"/>
                <w:sz w:val="16"/>
              </w:rPr>
            </w:r>
          </w:p>
        </w:tc>
        <w:tc>
          <w:tcPr>
            <w:tcW w:w="1894"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4"/>
              <w:ind w:left="1188" w:right="0"/>
              <w:jc w:val="left"/>
              <w:rPr>
                <w:rFonts w:ascii="Segoe UI" w:hAnsi="Segoe UI" w:cs="Segoe UI" w:eastAsia="Segoe UI"/>
                <w:sz w:val="16"/>
                <w:szCs w:val="16"/>
              </w:rPr>
            </w:pPr>
            <w:r>
              <w:rPr>
                <w:rFonts w:ascii="Segoe UI"/>
                <w:i/>
                <w:color w:val="231F20"/>
                <w:sz w:val="16"/>
              </w:rPr>
              <w:t>8,422.00</w:t>
            </w:r>
            <w:r>
              <w:rPr>
                <w:rFonts w:ascii="Segoe UI"/>
                <w:sz w:val="16"/>
              </w:rPr>
            </w:r>
          </w:p>
        </w:tc>
      </w:tr>
      <w:tr>
        <w:trPr>
          <w:trHeight w:val="287" w:hRule="exact"/>
        </w:trPr>
        <w:tc>
          <w:tcPr>
            <w:tcW w:w="6883"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4"/>
              <w:ind w:left="419" w:right="0"/>
              <w:jc w:val="left"/>
              <w:rPr>
                <w:rFonts w:ascii="Segoe UI" w:hAnsi="Segoe UI" w:cs="Segoe UI" w:eastAsia="Segoe UI"/>
                <w:sz w:val="16"/>
                <w:szCs w:val="16"/>
              </w:rPr>
            </w:pPr>
            <w:r>
              <w:rPr>
                <w:rFonts w:ascii="Segoe UI"/>
                <w:i/>
                <w:color w:val="231F20"/>
                <w:sz w:val="16"/>
              </w:rPr>
              <w:t>Means</w:t>
            </w:r>
            <w:r>
              <w:rPr>
                <w:rFonts w:ascii="Segoe UI"/>
                <w:i/>
                <w:color w:val="231F20"/>
                <w:spacing w:val="-5"/>
                <w:sz w:val="16"/>
              </w:rPr>
              <w:t> </w:t>
            </w:r>
            <w:r>
              <w:rPr>
                <w:rFonts w:ascii="Segoe UI"/>
                <w:i/>
                <w:color w:val="231F20"/>
                <w:sz w:val="16"/>
              </w:rPr>
              <w:t>tested</w:t>
            </w:r>
            <w:r>
              <w:rPr>
                <w:rFonts w:ascii="Segoe UI"/>
                <w:i/>
                <w:color w:val="231F20"/>
                <w:spacing w:val="-4"/>
                <w:sz w:val="16"/>
              </w:rPr>
              <w:t> </w:t>
            </w:r>
            <w:r>
              <w:rPr>
                <w:rFonts w:ascii="Segoe UI"/>
                <w:i/>
                <w:color w:val="231F20"/>
                <w:spacing w:val="-2"/>
                <w:sz w:val="16"/>
              </w:rPr>
              <w:t>component</w:t>
            </w:r>
            <w:r>
              <w:rPr>
                <w:rFonts w:ascii="Segoe UI"/>
                <w:sz w:val="16"/>
              </w:rPr>
            </w:r>
          </w:p>
        </w:tc>
        <w:tc>
          <w:tcPr>
            <w:tcW w:w="1894"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4"/>
              <w:ind w:left="1188" w:right="0"/>
              <w:jc w:val="left"/>
              <w:rPr>
                <w:rFonts w:ascii="Segoe UI" w:hAnsi="Segoe UI" w:cs="Segoe UI" w:eastAsia="Segoe UI"/>
                <w:sz w:val="16"/>
                <w:szCs w:val="16"/>
              </w:rPr>
            </w:pPr>
            <w:r>
              <w:rPr>
                <w:rFonts w:ascii="Segoe UI"/>
                <w:i/>
                <w:color w:val="231F20"/>
                <w:sz w:val="16"/>
              </w:rPr>
              <w:t>2,416.00</w:t>
            </w:r>
            <w:r>
              <w:rPr>
                <w:rFonts w:ascii="Segoe UI"/>
                <w:sz w:val="16"/>
              </w:rPr>
            </w:r>
          </w:p>
        </w:tc>
      </w:tr>
      <w:tr>
        <w:trPr>
          <w:trHeight w:val="287" w:hRule="exact"/>
        </w:trPr>
        <w:tc>
          <w:tcPr>
            <w:tcW w:w="6883"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4"/>
              <w:ind w:left="136" w:right="0"/>
              <w:jc w:val="left"/>
              <w:rPr>
                <w:rFonts w:ascii="Segoe UI" w:hAnsi="Segoe UI" w:cs="Segoe UI" w:eastAsia="Segoe UI"/>
                <w:sz w:val="16"/>
                <w:szCs w:val="16"/>
              </w:rPr>
            </w:pPr>
            <w:r>
              <w:rPr>
                <w:rFonts w:ascii="Segoe UI"/>
                <w:color w:val="231F20"/>
                <w:spacing w:val="-2"/>
                <w:sz w:val="16"/>
              </w:rPr>
              <w:t>Rent</w:t>
            </w:r>
            <w:r>
              <w:rPr>
                <w:rFonts w:ascii="Segoe UI"/>
                <w:color w:val="231F20"/>
                <w:spacing w:val="-7"/>
                <w:sz w:val="16"/>
              </w:rPr>
              <w:t> </w:t>
            </w:r>
            <w:r>
              <w:rPr>
                <w:rFonts w:ascii="Segoe UI"/>
                <w:color w:val="231F20"/>
                <w:sz w:val="16"/>
              </w:rPr>
              <w:t>Assistance</w:t>
            </w:r>
            <w:r>
              <w:rPr>
                <w:rFonts w:ascii="Segoe UI"/>
                <w:color w:val="231F20"/>
                <w:spacing w:val="-7"/>
                <w:sz w:val="16"/>
              </w:rPr>
              <w:t> </w:t>
            </w:r>
            <w:r>
              <w:rPr>
                <w:rFonts w:ascii="Segoe UI"/>
                <w:color w:val="231F20"/>
                <w:sz w:val="16"/>
              </w:rPr>
              <w:t>(means-tested)</w:t>
            </w:r>
            <w:r>
              <w:rPr>
                <w:rFonts w:ascii="Segoe UI"/>
                <w:sz w:val="16"/>
              </w:rPr>
            </w:r>
          </w:p>
        </w:tc>
        <w:tc>
          <w:tcPr>
            <w:tcW w:w="1894"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4"/>
              <w:ind w:left="1188" w:right="0"/>
              <w:jc w:val="left"/>
              <w:rPr>
                <w:rFonts w:ascii="Segoe UI" w:hAnsi="Segoe UI" w:cs="Segoe UI" w:eastAsia="Segoe UI"/>
                <w:sz w:val="16"/>
                <w:szCs w:val="16"/>
              </w:rPr>
            </w:pPr>
            <w:r>
              <w:rPr>
                <w:rFonts w:ascii="Segoe UI"/>
                <w:color w:val="231F20"/>
                <w:sz w:val="16"/>
              </w:rPr>
              <w:t>3,540.50</w:t>
            </w:r>
            <w:r>
              <w:rPr>
                <w:rFonts w:ascii="Segoe UI"/>
                <w:sz w:val="16"/>
              </w:rPr>
            </w:r>
          </w:p>
        </w:tc>
      </w:tr>
      <w:tr>
        <w:trPr>
          <w:trHeight w:val="287" w:hRule="exact"/>
        </w:trPr>
        <w:tc>
          <w:tcPr>
            <w:tcW w:w="6883"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4"/>
              <w:ind w:left="136" w:right="0"/>
              <w:jc w:val="left"/>
              <w:rPr>
                <w:rFonts w:ascii="Segoe UI" w:hAnsi="Segoe UI" w:cs="Segoe UI" w:eastAsia="Segoe UI"/>
                <w:sz w:val="16"/>
                <w:szCs w:val="16"/>
              </w:rPr>
            </w:pPr>
            <w:r>
              <w:rPr>
                <w:rFonts w:ascii="Segoe UI"/>
                <w:color w:val="231F20"/>
                <w:spacing w:val="-1"/>
                <w:sz w:val="16"/>
              </w:rPr>
              <w:t>Remote</w:t>
            </w:r>
            <w:r>
              <w:rPr>
                <w:rFonts w:ascii="Segoe UI"/>
                <w:color w:val="231F20"/>
                <w:spacing w:val="-7"/>
                <w:sz w:val="16"/>
              </w:rPr>
              <w:t> </w:t>
            </w:r>
            <w:r>
              <w:rPr>
                <w:rFonts w:ascii="Segoe UI"/>
                <w:color w:val="231F20"/>
                <w:sz w:val="16"/>
              </w:rPr>
              <w:t>Area</w:t>
            </w:r>
            <w:r>
              <w:rPr>
                <w:rFonts w:ascii="Segoe UI"/>
                <w:color w:val="231F20"/>
                <w:spacing w:val="-5"/>
                <w:sz w:val="16"/>
              </w:rPr>
              <w:t> </w:t>
            </w:r>
            <w:r>
              <w:rPr>
                <w:rFonts w:ascii="Segoe UI"/>
                <w:color w:val="231F20"/>
                <w:sz w:val="16"/>
              </w:rPr>
              <w:t>Allowance</w:t>
            </w:r>
            <w:r>
              <w:rPr>
                <w:rFonts w:ascii="Segoe UI"/>
                <w:sz w:val="16"/>
              </w:rPr>
            </w:r>
          </w:p>
        </w:tc>
        <w:tc>
          <w:tcPr>
            <w:tcW w:w="1894"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24"/>
              <w:ind w:right="106"/>
              <w:jc w:val="right"/>
              <w:rPr>
                <w:rFonts w:ascii="Segoe UI" w:hAnsi="Segoe UI" w:cs="Segoe UI" w:eastAsia="Segoe UI"/>
                <w:sz w:val="16"/>
                <w:szCs w:val="16"/>
              </w:rPr>
            </w:pPr>
            <w:r>
              <w:rPr>
                <w:rFonts w:ascii="Segoe UI"/>
                <w:color w:val="231F20"/>
                <w:sz w:val="16"/>
              </w:rPr>
              <w:t>474.50</w:t>
            </w:r>
            <w:r>
              <w:rPr>
                <w:rFonts w:ascii="Segoe UI"/>
                <w:sz w:val="16"/>
              </w:rPr>
            </w:r>
          </w:p>
        </w:tc>
      </w:tr>
    </w:tbl>
    <w:p>
      <w:pPr>
        <w:spacing w:line="240" w:lineRule="auto" w:before="2"/>
        <w:rPr>
          <w:rFonts w:ascii="Segoe UI Semibold" w:hAnsi="Segoe UI Semibold" w:cs="Segoe UI Semibold" w:eastAsia="Segoe UI Semibold"/>
          <w:b/>
          <w:bCs/>
          <w:sz w:val="12"/>
          <w:szCs w:val="12"/>
        </w:rPr>
      </w:pPr>
    </w:p>
    <w:p>
      <w:pPr>
        <w:spacing w:line="257" w:lineRule="auto" w:before="62"/>
        <w:ind w:left="117" w:right="222" w:firstLine="0"/>
        <w:jc w:val="left"/>
        <w:rPr>
          <w:rFonts w:ascii="Segoe UI" w:hAnsi="Segoe UI" w:cs="Segoe UI" w:eastAsia="Segoe UI"/>
          <w:sz w:val="14"/>
          <w:szCs w:val="14"/>
        </w:rPr>
      </w:pPr>
      <w:r>
        <w:rPr>
          <w:rFonts w:ascii="Segoe UI"/>
          <w:i/>
          <w:color w:val="231F20"/>
          <w:sz w:val="14"/>
        </w:rPr>
        <w:t>*Living</w:t>
      </w:r>
      <w:r>
        <w:rPr>
          <w:rFonts w:ascii="Segoe UI"/>
          <w:i/>
          <w:color w:val="231F20"/>
          <w:spacing w:val="-3"/>
          <w:sz w:val="14"/>
        </w:rPr>
        <w:t> </w:t>
      </w:r>
      <w:r>
        <w:rPr>
          <w:rFonts w:ascii="Segoe UI"/>
          <w:i/>
          <w:color w:val="231F20"/>
          <w:spacing w:val="-1"/>
          <w:sz w:val="14"/>
        </w:rPr>
        <w:t>Allowance</w:t>
      </w:r>
      <w:r>
        <w:rPr>
          <w:rFonts w:ascii="Segoe UI"/>
          <w:i/>
          <w:color w:val="231F20"/>
          <w:spacing w:val="-2"/>
          <w:sz w:val="14"/>
        </w:rPr>
        <w:t> </w:t>
      </w:r>
      <w:r>
        <w:rPr>
          <w:rFonts w:ascii="Segoe UI"/>
          <w:i/>
          <w:color w:val="231F20"/>
          <w:sz w:val="14"/>
        </w:rPr>
        <w:t>eligibility</w:t>
      </w:r>
      <w:r>
        <w:rPr>
          <w:rFonts w:ascii="Segoe UI"/>
          <w:i/>
          <w:color w:val="231F20"/>
          <w:spacing w:val="-4"/>
          <w:sz w:val="14"/>
        </w:rPr>
        <w:t> </w:t>
      </w:r>
      <w:r>
        <w:rPr>
          <w:rFonts w:ascii="Segoe UI"/>
          <w:i/>
          <w:color w:val="231F20"/>
          <w:sz w:val="14"/>
        </w:rPr>
        <w:t>and</w:t>
      </w:r>
      <w:r>
        <w:rPr>
          <w:rFonts w:ascii="Segoe UI"/>
          <w:i/>
          <w:color w:val="231F20"/>
          <w:spacing w:val="-2"/>
          <w:sz w:val="14"/>
        </w:rPr>
        <w:t> </w:t>
      </w:r>
      <w:r>
        <w:rPr>
          <w:rFonts w:ascii="Segoe UI"/>
          <w:i/>
          <w:color w:val="231F20"/>
          <w:sz w:val="14"/>
        </w:rPr>
        <w:t>payment</w:t>
      </w:r>
      <w:r>
        <w:rPr>
          <w:rFonts w:ascii="Segoe UI"/>
          <w:i/>
          <w:color w:val="231F20"/>
          <w:spacing w:val="-3"/>
          <w:sz w:val="14"/>
        </w:rPr>
        <w:t> </w:t>
      </w:r>
      <w:r>
        <w:rPr>
          <w:rFonts w:ascii="Segoe UI"/>
          <w:i/>
          <w:color w:val="231F20"/>
          <w:spacing w:val="-1"/>
          <w:sz w:val="14"/>
        </w:rPr>
        <w:t>rates</w:t>
      </w:r>
      <w:r>
        <w:rPr>
          <w:rFonts w:ascii="Segoe UI"/>
          <w:i/>
          <w:color w:val="231F20"/>
          <w:spacing w:val="-3"/>
          <w:sz w:val="14"/>
        </w:rPr>
        <w:t> </w:t>
      </w:r>
      <w:r>
        <w:rPr>
          <w:rFonts w:ascii="Segoe UI"/>
          <w:i/>
          <w:color w:val="231F20"/>
          <w:sz w:val="14"/>
        </w:rPr>
        <w:t>are</w:t>
      </w:r>
      <w:r>
        <w:rPr>
          <w:rFonts w:ascii="Segoe UI"/>
          <w:i/>
          <w:color w:val="231F20"/>
          <w:spacing w:val="-3"/>
          <w:sz w:val="14"/>
        </w:rPr>
        <w:t> </w:t>
      </w:r>
      <w:r>
        <w:rPr>
          <w:rFonts w:ascii="Segoe UI"/>
          <w:i/>
          <w:color w:val="231F20"/>
          <w:sz w:val="14"/>
        </w:rPr>
        <w:t>subject</w:t>
      </w:r>
      <w:r>
        <w:rPr>
          <w:rFonts w:ascii="Segoe UI"/>
          <w:i/>
          <w:color w:val="231F20"/>
          <w:spacing w:val="-3"/>
          <w:sz w:val="14"/>
        </w:rPr>
        <w:t> </w:t>
      </w:r>
      <w:r>
        <w:rPr>
          <w:rFonts w:ascii="Segoe UI"/>
          <w:i/>
          <w:color w:val="231F20"/>
          <w:sz w:val="14"/>
        </w:rPr>
        <w:t>to</w:t>
      </w:r>
      <w:r>
        <w:rPr>
          <w:rFonts w:ascii="Segoe UI"/>
          <w:i/>
          <w:color w:val="231F20"/>
          <w:spacing w:val="-4"/>
          <w:sz w:val="14"/>
        </w:rPr>
        <w:t> </w:t>
      </w:r>
      <w:r>
        <w:rPr>
          <w:rFonts w:ascii="Segoe UI"/>
          <w:i/>
          <w:color w:val="231F20"/>
          <w:spacing w:val="-1"/>
          <w:sz w:val="14"/>
        </w:rPr>
        <w:t>income</w:t>
      </w:r>
      <w:r>
        <w:rPr>
          <w:rFonts w:ascii="Segoe UI"/>
          <w:i/>
          <w:color w:val="231F20"/>
          <w:spacing w:val="-2"/>
          <w:sz w:val="14"/>
        </w:rPr>
        <w:t> </w:t>
      </w:r>
      <w:r>
        <w:rPr>
          <w:rFonts w:ascii="Segoe UI"/>
          <w:i/>
          <w:color w:val="231F20"/>
          <w:sz w:val="14"/>
        </w:rPr>
        <w:t>tests.</w:t>
      </w:r>
      <w:r>
        <w:rPr>
          <w:rFonts w:ascii="Segoe UI"/>
          <w:i/>
          <w:color w:val="231F20"/>
          <w:spacing w:val="-4"/>
          <w:sz w:val="14"/>
        </w:rPr>
        <w:t> </w:t>
      </w:r>
      <w:r>
        <w:rPr>
          <w:rFonts w:ascii="Segoe UI"/>
          <w:i/>
          <w:color w:val="231F20"/>
          <w:sz w:val="14"/>
        </w:rPr>
        <w:t>Some</w:t>
      </w:r>
      <w:r>
        <w:rPr>
          <w:rFonts w:ascii="Segoe UI"/>
          <w:i/>
          <w:color w:val="231F20"/>
          <w:spacing w:val="-2"/>
          <w:sz w:val="14"/>
        </w:rPr>
        <w:t> </w:t>
      </w:r>
      <w:r>
        <w:rPr>
          <w:rFonts w:ascii="Segoe UI"/>
          <w:i/>
          <w:color w:val="231F20"/>
          <w:sz w:val="14"/>
        </w:rPr>
        <w:t>students</w:t>
      </w:r>
      <w:r>
        <w:rPr>
          <w:rFonts w:ascii="Segoe UI"/>
          <w:i/>
          <w:color w:val="231F20"/>
          <w:spacing w:val="-4"/>
          <w:sz w:val="14"/>
        </w:rPr>
        <w:t> </w:t>
      </w:r>
      <w:r>
        <w:rPr>
          <w:rFonts w:ascii="Segoe UI"/>
          <w:i/>
          <w:color w:val="231F20"/>
          <w:sz w:val="14"/>
        </w:rPr>
        <w:t>may</w:t>
      </w:r>
      <w:r>
        <w:rPr>
          <w:rFonts w:ascii="Segoe UI"/>
          <w:i/>
          <w:color w:val="231F20"/>
          <w:spacing w:val="-3"/>
          <w:sz w:val="14"/>
        </w:rPr>
        <w:t> </w:t>
      </w:r>
      <w:r>
        <w:rPr>
          <w:rFonts w:ascii="Segoe UI"/>
          <w:i/>
          <w:color w:val="231F20"/>
          <w:spacing w:val="-1"/>
          <w:sz w:val="14"/>
        </w:rPr>
        <w:t>have</w:t>
      </w:r>
      <w:r>
        <w:rPr>
          <w:rFonts w:ascii="Segoe UI"/>
          <w:i/>
          <w:color w:val="231F20"/>
          <w:spacing w:val="-3"/>
          <w:sz w:val="14"/>
        </w:rPr>
        <w:t> </w:t>
      </w:r>
      <w:r>
        <w:rPr>
          <w:rFonts w:ascii="Segoe UI"/>
          <w:i/>
          <w:color w:val="231F20"/>
          <w:sz w:val="14"/>
        </w:rPr>
        <w:t>no</w:t>
      </w:r>
      <w:r>
        <w:rPr>
          <w:rFonts w:ascii="Segoe UI"/>
          <w:i/>
          <w:color w:val="231F20"/>
          <w:spacing w:val="-3"/>
          <w:sz w:val="14"/>
        </w:rPr>
        <w:t> </w:t>
      </w:r>
      <w:r>
        <w:rPr>
          <w:rFonts w:ascii="Segoe UI"/>
          <w:i/>
          <w:color w:val="231F20"/>
          <w:sz w:val="14"/>
        </w:rPr>
        <w:t>entitlement</w:t>
      </w:r>
      <w:r>
        <w:rPr>
          <w:rFonts w:ascii="Segoe UI"/>
          <w:i/>
          <w:color w:val="231F20"/>
          <w:spacing w:val="-3"/>
          <w:sz w:val="14"/>
        </w:rPr>
        <w:t> </w:t>
      </w:r>
      <w:r>
        <w:rPr>
          <w:rFonts w:ascii="Segoe UI"/>
          <w:i/>
          <w:color w:val="231F20"/>
          <w:spacing w:val="-1"/>
          <w:sz w:val="14"/>
        </w:rPr>
        <w:t>or</w:t>
      </w:r>
      <w:r>
        <w:rPr>
          <w:rFonts w:ascii="Segoe UI"/>
          <w:i/>
          <w:color w:val="231F20"/>
          <w:spacing w:val="-3"/>
          <w:sz w:val="14"/>
        </w:rPr>
        <w:t> </w:t>
      </w:r>
      <w:r>
        <w:rPr>
          <w:rFonts w:ascii="Segoe UI"/>
          <w:i/>
          <w:color w:val="231F20"/>
          <w:spacing w:val="-1"/>
          <w:sz w:val="14"/>
        </w:rPr>
        <w:t>receive</w:t>
      </w:r>
      <w:r>
        <w:rPr>
          <w:rFonts w:ascii="Segoe UI"/>
          <w:i/>
          <w:color w:val="231F20"/>
          <w:spacing w:val="-2"/>
          <w:sz w:val="14"/>
        </w:rPr>
        <w:t> </w:t>
      </w:r>
      <w:r>
        <w:rPr>
          <w:rFonts w:ascii="Segoe UI"/>
          <w:i/>
          <w:color w:val="231F20"/>
          <w:sz w:val="14"/>
        </w:rPr>
        <w:t>less</w:t>
      </w:r>
      <w:r>
        <w:rPr>
          <w:rFonts w:ascii="Segoe UI"/>
          <w:i/>
          <w:color w:val="231F20"/>
          <w:spacing w:val="-4"/>
          <w:sz w:val="14"/>
        </w:rPr>
        <w:t> </w:t>
      </w:r>
      <w:r>
        <w:rPr>
          <w:rFonts w:ascii="Segoe UI"/>
          <w:i/>
          <w:color w:val="231F20"/>
          <w:spacing w:val="-1"/>
          <w:sz w:val="14"/>
        </w:rPr>
        <w:t>than</w:t>
      </w:r>
      <w:r>
        <w:rPr>
          <w:rFonts w:ascii="Segoe UI"/>
          <w:i/>
          <w:color w:val="231F20"/>
          <w:spacing w:val="-2"/>
          <w:sz w:val="14"/>
        </w:rPr>
        <w:t> </w:t>
      </w:r>
      <w:r>
        <w:rPr>
          <w:rFonts w:ascii="Segoe UI"/>
          <w:i/>
          <w:color w:val="231F20"/>
          <w:spacing w:val="-1"/>
          <w:sz w:val="14"/>
        </w:rPr>
        <w:t>the</w:t>
      </w:r>
      <w:r>
        <w:rPr>
          <w:rFonts w:ascii="Segoe UI"/>
          <w:i/>
          <w:color w:val="231F20"/>
          <w:spacing w:val="-3"/>
          <w:sz w:val="14"/>
        </w:rPr>
        <w:t> </w:t>
      </w:r>
      <w:r>
        <w:rPr>
          <w:rFonts w:ascii="Segoe UI"/>
          <w:i/>
          <w:color w:val="231F20"/>
          <w:sz w:val="14"/>
        </w:rPr>
        <w:t>maxi-</w:t>
      </w:r>
      <w:r>
        <w:rPr>
          <w:rFonts w:ascii="Segoe UI"/>
          <w:i/>
          <w:color w:val="231F20"/>
          <w:spacing w:val="37"/>
          <w:w w:val="99"/>
          <w:sz w:val="14"/>
        </w:rPr>
        <w:t> </w:t>
      </w:r>
      <w:r>
        <w:rPr>
          <w:rFonts w:ascii="Segoe UI"/>
          <w:i/>
          <w:color w:val="231F20"/>
          <w:sz w:val="14"/>
        </w:rPr>
        <w:t>mum</w:t>
      </w:r>
      <w:r>
        <w:rPr>
          <w:rFonts w:ascii="Segoe UI"/>
          <w:i/>
          <w:color w:val="231F20"/>
          <w:spacing w:val="-3"/>
          <w:sz w:val="14"/>
        </w:rPr>
        <w:t> </w:t>
      </w:r>
      <w:r>
        <w:rPr>
          <w:rFonts w:ascii="Segoe UI"/>
          <w:i/>
          <w:color w:val="231F20"/>
          <w:sz w:val="14"/>
        </w:rPr>
        <w:t>amounts</w:t>
      </w:r>
      <w:r>
        <w:rPr>
          <w:rFonts w:ascii="Segoe UI"/>
          <w:i/>
          <w:color w:val="231F20"/>
          <w:spacing w:val="-3"/>
          <w:sz w:val="14"/>
        </w:rPr>
        <w:t> </w:t>
      </w:r>
      <w:r>
        <w:rPr>
          <w:rFonts w:ascii="Segoe UI"/>
          <w:i/>
          <w:color w:val="231F20"/>
          <w:sz w:val="14"/>
        </w:rPr>
        <w:t>due</w:t>
      </w:r>
      <w:r>
        <w:rPr>
          <w:rFonts w:ascii="Segoe UI"/>
          <w:i/>
          <w:color w:val="231F20"/>
          <w:spacing w:val="-2"/>
          <w:sz w:val="14"/>
        </w:rPr>
        <w:t> </w:t>
      </w:r>
      <w:r>
        <w:rPr>
          <w:rFonts w:ascii="Segoe UI"/>
          <w:i/>
          <w:color w:val="231F20"/>
          <w:sz w:val="14"/>
        </w:rPr>
        <w:t>to</w:t>
      </w:r>
      <w:r>
        <w:rPr>
          <w:rFonts w:ascii="Segoe UI"/>
          <w:i/>
          <w:color w:val="231F20"/>
          <w:spacing w:val="-3"/>
          <w:sz w:val="14"/>
        </w:rPr>
        <w:t> </w:t>
      </w:r>
      <w:r>
        <w:rPr>
          <w:rFonts w:ascii="Segoe UI"/>
          <w:i/>
          <w:color w:val="231F20"/>
          <w:sz w:val="14"/>
        </w:rPr>
        <w:t>not</w:t>
      </w:r>
      <w:r>
        <w:rPr>
          <w:rFonts w:ascii="Segoe UI"/>
          <w:i/>
          <w:color w:val="231F20"/>
          <w:spacing w:val="-2"/>
          <w:sz w:val="14"/>
        </w:rPr>
        <w:t> </w:t>
      </w:r>
      <w:r>
        <w:rPr>
          <w:rFonts w:ascii="Segoe UI"/>
          <w:i/>
          <w:color w:val="231F20"/>
          <w:sz w:val="14"/>
        </w:rPr>
        <w:t>meeting</w:t>
      </w:r>
      <w:r>
        <w:rPr>
          <w:rFonts w:ascii="Segoe UI"/>
          <w:i/>
          <w:color w:val="231F20"/>
          <w:spacing w:val="-3"/>
          <w:sz w:val="14"/>
        </w:rPr>
        <w:t> </w:t>
      </w:r>
      <w:r>
        <w:rPr>
          <w:rFonts w:ascii="Segoe UI"/>
          <w:i/>
          <w:color w:val="231F20"/>
          <w:spacing w:val="-1"/>
          <w:sz w:val="14"/>
        </w:rPr>
        <w:t>one</w:t>
      </w:r>
      <w:r>
        <w:rPr>
          <w:rFonts w:ascii="Segoe UI"/>
          <w:i/>
          <w:color w:val="231F20"/>
          <w:spacing w:val="-2"/>
          <w:sz w:val="14"/>
        </w:rPr>
        <w:t> of </w:t>
      </w:r>
      <w:r>
        <w:rPr>
          <w:rFonts w:ascii="Segoe UI"/>
          <w:i/>
          <w:color w:val="231F20"/>
          <w:spacing w:val="-1"/>
          <w:sz w:val="14"/>
        </w:rPr>
        <w:t>the</w:t>
      </w:r>
      <w:r>
        <w:rPr>
          <w:rFonts w:ascii="Segoe UI"/>
          <w:i/>
          <w:color w:val="231F20"/>
          <w:spacing w:val="-2"/>
          <w:sz w:val="14"/>
        </w:rPr>
        <w:t> </w:t>
      </w:r>
      <w:r>
        <w:rPr>
          <w:rFonts w:ascii="Segoe UI"/>
          <w:i/>
          <w:color w:val="231F20"/>
          <w:spacing w:val="-1"/>
          <w:sz w:val="14"/>
        </w:rPr>
        <w:t>approved</w:t>
      </w:r>
      <w:r>
        <w:rPr>
          <w:rFonts w:ascii="Segoe UI"/>
          <w:i/>
          <w:color w:val="231F20"/>
          <w:spacing w:val="-2"/>
          <w:sz w:val="14"/>
        </w:rPr>
        <w:t> </w:t>
      </w:r>
      <w:r>
        <w:rPr>
          <w:rFonts w:ascii="Segoe UI"/>
          <w:i/>
          <w:color w:val="231F20"/>
          <w:sz w:val="14"/>
        </w:rPr>
        <w:t>away</w:t>
      </w:r>
      <w:r>
        <w:rPr>
          <w:rFonts w:ascii="Segoe UI"/>
          <w:i/>
          <w:color w:val="231F20"/>
          <w:spacing w:val="-2"/>
          <w:sz w:val="14"/>
        </w:rPr>
        <w:t> </w:t>
      </w:r>
      <w:r>
        <w:rPr>
          <w:rFonts w:ascii="Segoe UI"/>
          <w:i/>
          <w:color w:val="231F20"/>
          <w:spacing w:val="-1"/>
          <w:sz w:val="14"/>
        </w:rPr>
        <w:t>from</w:t>
      </w:r>
      <w:r>
        <w:rPr>
          <w:rFonts w:ascii="Segoe UI"/>
          <w:i/>
          <w:color w:val="231F20"/>
          <w:spacing w:val="-2"/>
          <w:sz w:val="14"/>
        </w:rPr>
        <w:t> </w:t>
      </w:r>
      <w:r>
        <w:rPr>
          <w:rFonts w:ascii="Segoe UI"/>
          <w:i/>
          <w:color w:val="231F20"/>
          <w:spacing w:val="-1"/>
          <w:sz w:val="14"/>
        </w:rPr>
        <w:t>home</w:t>
      </w:r>
      <w:r>
        <w:rPr>
          <w:rFonts w:ascii="Segoe UI"/>
          <w:i/>
          <w:color w:val="231F20"/>
          <w:spacing w:val="-2"/>
          <w:sz w:val="14"/>
        </w:rPr>
        <w:t> provisions</w:t>
      </w:r>
      <w:r>
        <w:rPr>
          <w:rFonts w:ascii="Segoe UI"/>
          <w:sz w:val="14"/>
        </w:rPr>
      </w:r>
    </w:p>
    <w:p>
      <w:pPr>
        <w:spacing w:after="0" w:line="257" w:lineRule="auto"/>
        <w:jc w:val="left"/>
        <w:rPr>
          <w:rFonts w:ascii="Segoe UI" w:hAnsi="Segoe UI" w:cs="Segoe UI" w:eastAsia="Segoe UI"/>
          <w:sz w:val="14"/>
          <w:szCs w:val="14"/>
        </w:rPr>
        <w:sectPr>
          <w:type w:val="continuous"/>
          <w:pgSz w:w="11910" w:h="16840"/>
          <w:pgMar w:top="1580" w:bottom="280" w:left="1300" w:right="1500"/>
        </w:sectPr>
      </w:pPr>
    </w:p>
    <w:p>
      <w:pPr>
        <w:spacing w:line="240" w:lineRule="auto" w:before="0"/>
        <w:rPr>
          <w:rFonts w:ascii="Segoe UI" w:hAnsi="Segoe UI" w:cs="Segoe UI" w:eastAsia="Segoe UI"/>
          <w:i/>
          <w:sz w:val="20"/>
          <w:szCs w:val="20"/>
        </w:rPr>
      </w:pPr>
    </w:p>
    <w:p>
      <w:pPr>
        <w:spacing w:line="240" w:lineRule="auto" w:before="0"/>
        <w:rPr>
          <w:rFonts w:ascii="Segoe UI" w:hAnsi="Segoe UI" w:cs="Segoe UI" w:eastAsia="Segoe UI"/>
          <w:i/>
          <w:sz w:val="21"/>
          <w:szCs w:val="21"/>
        </w:rPr>
      </w:pPr>
    </w:p>
    <w:p>
      <w:pPr>
        <w:spacing w:line="200" w:lineRule="exact" w:before="80"/>
        <w:ind w:left="103" w:right="156" w:firstLine="0"/>
        <w:jc w:val="left"/>
        <w:rPr>
          <w:rFonts w:ascii="Segoe UI Semibold" w:hAnsi="Segoe UI Semibold" w:cs="Segoe UI Semibold" w:eastAsia="Segoe UI Semibold"/>
          <w:sz w:val="16"/>
          <w:szCs w:val="16"/>
        </w:rPr>
      </w:pPr>
      <w:r>
        <w:rPr>
          <w:rFonts w:ascii="Segoe UI Semibold"/>
          <w:b/>
          <w:color w:val="666155"/>
          <w:spacing w:val="1"/>
          <w:sz w:val="16"/>
        </w:rPr>
        <w:t>TABLE</w:t>
      </w:r>
      <w:r>
        <w:rPr>
          <w:rFonts w:ascii="Segoe UI Semibold"/>
          <w:b/>
          <w:color w:val="666155"/>
          <w:spacing w:val="-1"/>
          <w:sz w:val="16"/>
        </w:rPr>
        <w:t> </w:t>
      </w:r>
      <w:r>
        <w:rPr>
          <w:rFonts w:ascii="Segoe UI Semibold"/>
          <w:b/>
          <w:color w:val="666155"/>
          <w:sz w:val="16"/>
        </w:rPr>
        <w:t>7: </w:t>
      </w:r>
      <w:r>
        <w:rPr>
          <w:rFonts w:ascii="Segoe UI Semibold"/>
          <w:b/>
          <w:color w:val="666155"/>
          <w:spacing w:val="4"/>
          <w:sz w:val="16"/>
        </w:rPr>
        <w:t>ABSTUDY</w:t>
      </w:r>
      <w:r>
        <w:rPr>
          <w:rFonts w:ascii="Segoe UI Semibold"/>
          <w:b/>
          <w:color w:val="666155"/>
          <w:spacing w:val="3"/>
          <w:sz w:val="16"/>
        </w:rPr>
        <w:t> </w:t>
      </w:r>
      <w:r>
        <w:rPr>
          <w:rFonts w:ascii="Segoe UI Semibold"/>
          <w:b/>
          <w:color w:val="666155"/>
          <w:spacing w:val="4"/>
          <w:sz w:val="16"/>
        </w:rPr>
        <w:t>BOARDING</w:t>
      </w:r>
      <w:r>
        <w:rPr>
          <w:rFonts w:ascii="Segoe UI Semibold"/>
          <w:b/>
          <w:color w:val="666155"/>
          <w:spacing w:val="3"/>
          <w:sz w:val="16"/>
        </w:rPr>
        <w:t> RELATED</w:t>
      </w:r>
      <w:r>
        <w:rPr>
          <w:rFonts w:ascii="Segoe UI Semibold"/>
          <w:b/>
          <w:color w:val="666155"/>
          <w:spacing w:val="2"/>
          <w:sz w:val="16"/>
        </w:rPr>
        <w:t> </w:t>
      </w:r>
      <w:r>
        <w:rPr>
          <w:rFonts w:ascii="Segoe UI Semibold"/>
          <w:b/>
          <w:color w:val="666155"/>
          <w:spacing w:val="1"/>
          <w:sz w:val="16"/>
        </w:rPr>
        <w:t>PAYMENTS,</w:t>
      </w:r>
      <w:r>
        <w:rPr>
          <w:rFonts w:ascii="Segoe UI Semibold"/>
          <w:b/>
          <w:color w:val="666155"/>
          <w:sz w:val="16"/>
        </w:rPr>
        <w:t> </w:t>
      </w:r>
      <w:r>
        <w:rPr>
          <w:rFonts w:ascii="Segoe UI Semibold"/>
          <w:b/>
          <w:color w:val="666155"/>
          <w:spacing w:val="4"/>
          <w:sz w:val="16"/>
        </w:rPr>
        <w:t>MEAN</w:t>
      </w:r>
      <w:r>
        <w:rPr>
          <w:rFonts w:ascii="Segoe UI Semibold"/>
          <w:b/>
          <w:color w:val="666155"/>
          <w:spacing w:val="3"/>
          <w:sz w:val="16"/>
        </w:rPr>
        <w:t> AND</w:t>
      </w:r>
      <w:r>
        <w:rPr>
          <w:rFonts w:ascii="Segoe UI Semibold"/>
          <w:b/>
          <w:color w:val="666155"/>
          <w:spacing w:val="2"/>
          <w:sz w:val="16"/>
        </w:rPr>
        <w:t> </w:t>
      </w:r>
      <w:r>
        <w:rPr>
          <w:rFonts w:ascii="Segoe UI Semibold"/>
          <w:b/>
          <w:color w:val="666155"/>
          <w:spacing w:val="4"/>
          <w:sz w:val="16"/>
        </w:rPr>
        <w:t>MEDIAN</w:t>
      </w:r>
      <w:r>
        <w:rPr>
          <w:rFonts w:ascii="Segoe UI Semibold"/>
          <w:b/>
          <w:color w:val="666155"/>
          <w:spacing w:val="3"/>
          <w:sz w:val="16"/>
        </w:rPr>
        <w:t> </w:t>
      </w:r>
      <w:r>
        <w:rPr>
          <w:rFonts w:ascii="Segoe UI Semibold"/>
          <w:b/>
          <w:color w:val="666155"/>
          <w:spacing w:val="2"/>
          <w:sz w:val="16"/>
        </w:rPr>
        <w:t>IN</w:t>
      </w:r>
      <w:r>
        <w:rPr>
          <w:rFonts w:ascii="Segoe UI Semibold"/>
          <w:b/>
          <w:color w:val="666155"/>
          <w:sz w:val="16"/>
        </w:rPr>
        <w:t> 2016</w:t>
      </w:r>
      <w:r>
        <w:rPr>
          <w:rFonts w:ascii="Segoe UI Semibold"/>
          <w:b/>
          <w:color w:val="666155"/>
          <w:spacing w:val="-2"/>
          <w:sz w:val="16"/>
        </w:rPr>
        <w:t> </w:t>
      </w:r>
      <w:r>
        <w:rPr>
          <w:rFonts w:ascii="Segoe UI Semibold"/>
          <w:b/>
          <w:color w:val="666155"/>
          <w:spacing w:val="3"/>
          <w:position w:val="1"/>
          <w:sz w:val="16"/>
        </w:rPr>
        <w:t>(</w:t>
      </w:r>
      <w:r>
        <w:rPr>
          <w:rFonts w:ascii="Segoe UI Semibold"/>
          <w:b/>
          <w:color w:val="666155"/>
          <w:spacing w:val="3"/>
          <w:sz w:val="16"/>
        </w:rPr>
        <w:t>EXCLUDING </w:t>
      </w:r>
      <w:r>
        <w:rPr>
          <w:rFonts w:ascii="Segoe UI Semibold"/>
          <w:b/>
          <w:color w:val="666155"/>
          <w:spacing w:val="4"/>
          <w:sz w:val="16"/>
        </w:rPr>
        <w:t>UNDER</w:t>
      </w:r>
      <w:r>
        <w:rPr>
          <w:rFonts w:ascii="Segoe UI Semibold"/>
          <w:b/>
          <w:color w:val="666155"/>
          <w:spacing w:val="-1"/>
          <w:sz w:val="16"/>
        </w:rPr>
        <w:t> </w:t>
      </w:r>
      <w:r>
        <w:rPr>
          <w:rFonts w:ascii="Segoe UI Semibold"/>
          <w:b/>
          <w:color w:val="666155"/>
          <w:sz w:val="16"/>
        </w:rPr>
        <w:t>16</w:t>
      </w:r>
      <w:r>
        <w:rPr>
          <w:rFonts w:ascii="Segoe UI Semibold"/>
          <w:b/>
          <w:color w:val="666155"/>
          <w:spacing w:val="54"/>
          <w:sz w:val="16"/>
        </w:rPr>
        <w:t> </w:t>
      </w:r>
      <w:r>
        <w:rPr>
          <w:rFonts w:ascii="Segoe UI Semibold"/>
          <w:b/>
          <w:color w:val="666155"/>
          <w:spacing w:val="4"/>
          <w:sz w:val="16"/>
        </w:rPr>
        <w:t>BOARDING</w:t>
      </w:r>
      <w:r>
        <w:rPr>
          <w:rFonts w:ascii="Segoe UI Semibold"/>
          <w:b/>
          <w:color w:val="666155"/>
          <w:sz w:val="16"/>
        </w:rPr>
        <w:t> </w:t>
      </w:r>
      <w:r>
        <w:rPr>
          <w:rFonts w:ascii="Segoe UI Semibold"/>
          <w:b/>
          <w:color w:val="666155"/>
          <w:spacing w:val="3"/>
          <w:sz w:val="16"/>
        </w:rPr>
        <w:t>SUPPLEMENT</w:t>
      </w:r>
      <w:r>
        <w:rPr>
          <w:rFonts w:ascii="Segoe UI Semibold"/>
          <w:b/>
          <w:color w:val="666155"/>
          <w:spacing w:val="3"/>
          <w:position w:val="1"/>
          <w:sz w:val="16"/>
        </w:rPr>
        <w:t>)</w:t>
      </w:r>
      <w:r>
        <w:rPr>
          <w:rFonts w:ascii="Segoe UI Semibold"/>
          <w:b/>
          <w:color w:val="666155"/>
          <w:spacing w:val="3"/>
          <w:sz w:val="16"/>
        </w:rPr>
        <w:t>,</w:t>
      </w:r>
      <w:r>
        <w:rPr>
          <w:rFonts w:ascii="Segoe UI Semibold"/>
          <w:b/>
          <w:color w:val="666155"/>
          <w:spacing w:val="-2"/>
          <w:sz w:val="16"/>
        </w:rPr>
        <w:t> </w:t>
      </w:r>
      <w:r>
        <w:rPr>
          <w:rFonts w:ascii="Segoe UI Semibold"/>
          <w:b/>
          <w:color w:val="666155"/>
          <w:spacing w:val="3"/>
          <w:sz w:val="16"/>
        </w:rPr>
        <w:t>DEPARTMENT</w:t>
      </w:r>
      <w:r>
        <w:rPr>
          <w:rFonts w:ascii="Segoe UI Semibold"/>
          <w:b/>
          <w:color w:val="666155"/>
          <w:spacing w:val="1"/>
          <w:sz w:val="16"/>
        </w:rPr>
        <w:t> </w:t>
      </w:r>
      <w:r>
        <w:rPr>
          <w:rFonts w:ascii="Segoe UI Semibold"/>
          <w:b/>
          <w:color w:val="666155"/>
          <w:spacing w:val="2"/>
          <w:sz w:val="16"/>
        </w:rPr>
        <w:t>OF</w:t>
      </w:r>
      <w:r>
        <w:rPr>
          <w:rFonts w:ascii="Segoe UI Semibold"/>
          <w:b/>
          <w:color w:val="666155"/>
          <w:spacing w:val="1"/>
          <w:sz w:val="16"/>
        </w:rPr>
        <w:t> </w:t>
      </w:r>
      <w:r>
        <w:rPr>
          <w:rFonts w:ascii="Segoe UI Semibold"/>
          <w:b/>
          <w:color w:val="666155"/>
          <w:spacing w:val="4"/>
          <w:sz w:val="16"/>
        </w:rPr>
        <w:t>SOCIAL</w:t>
      </w:r>
      <w:r>
        <w:rPr>
          <w:rFonts w:ascii="Segoe UI Semibold"/>
          <w:b/>
          <w:color w:val="666155"/>
          <w:spacing w:val="1"/>
          <w:sz w:val="16"/>
        </w:rPr>
        <w:t> </w:t>
      </w:r>
      <w:r>
        <w:rPr>
          <w:rFonts w:ascii="Segoe UI Semibold"/>
          <w:b/>
          <w:color w:val="666155"/>
          <w:spacing w:val="4"/>
          <w:sz w:val="16"/>
        </w:rPr>
        <w:t>SERVICES</w:t>
      </w:r>
      <w:r>
        <w:rPr>
          <w:rFonts w:ascii="Segoe UI Semibold"/>
          <w:b/>
          <w:color w:val="666155"/>
          <w:sz w:val="16"/>
        </w:rPr>
        <w:t> </w:t>
      </w:r>
      <w:r>
        <w:rPr>
          <w:rFonts w:ascii="Segoe UI Semibold"/>
          <w:b/>
          <w:color w:val="666155"/>
          <w:spacing w:val="4"/>
          <w:sz w:val="16"/>
        </w:rPr>
        <w:t>SUBMISSION</w:t>
      </w:r>
      <w:r>
        <w:rPr>
          <w:rFonts w:ascii="Segoe UI Semibold"/>
          <w:b/>
          <w:color w:val="666155"/>
          <w:spacing w:val="1"/>
          <w:sz w:val="16"/>
        </w:rPr>
        <w:t> </w:t>
      </w:r>
      <w:r>
        <w:rPr>
          <w:rFonts w:ascii="Segoe UI Semibold"/>
          <w:b/>
          <w:color w:val="666155"/>
          <w:spacing w:val="-1"/>
          <w:sz w:val="16"/>
        </w:rPr>
        <w:t>TO</w:t>
      </w:r>
      <w:r>
        <w:rPr>
          <w:rFonts w:ascii="Segoe UI Semibold"/>
          <w:b/>
          <w:color w:val="666155"/>
          <w:spacing w:val="1"/>
          <w:sz w:val="16"/>
        </w:rPr>
        <w:t> </w:t>
      </w:r>
      <w:r>
        <w:rPr>
          <w:rFonts w:ascii="Segoe UI Semibold"/>
          <w:b/>
          <w:color w:val="666155"/>
          <w:spacing w:val="4"/>
          <w:sz w:val="16"/>
        </w:rPr>
        <w:t>HORSCIA,</w:t>
      </w:r>
      <w:r>
        <w:rPr>
          <w:rFonts w:ascii="Segoe UI Semibold"/>
          <w:b/>
          <w:color w:val="666155"/>
          <w:spacing w:val="-4"/>
          <w:sz w:val="16"/>
        </w:rPr>
        <w:t> </w:t>
      </w:r>
      <w:r>
        <w:rPr>
          <w:rFonts w:ascii="Segoe UI Semibold"/>
          <w:b/>
          <w:color w:val="666155"/>
          <w:sz w:val="16"/>
        </w:rPr>
        <w:t>2017</w:t>
      </w:r>
      <w:r>
        <w:rPr>
          <w:rFonts w:ascii="Segoe UI Semibold"/>
          <w:sz w:val="16"/>
        </w:rPr>
      </w:r>
    </w:p>
    <w:p>
      <w:pPr>
        <w:spacing w:line="240" w:lineRule="auto" w:before="3"/>
        <w:rPr>
          <w:rFonts w:ascii="Segoe UI Semibold" w:hAnsi="Segoe UI Semibold" w:cs="Segoe UI Semibold" w:eastAsia="Segoe UI Semibold"/>
          <w:b/>
          <w:bCs/>
          <w:sz w:val="16"/>
          <w:szCs w:val="16"/>
        </w:rPr>
      </w:pPr>
    </w:p>
    <w:tbl>
      <w:tblPr>
        <w:tblW w:w="0" w:type="auto"/>
        <w:jc w:val="left"/>
        <w:tblInd w:w="100" w:type="dxa"/>
        <w:tblLayout w:type="fixed"/>
        <w:tblCellMar>
          <w:top w:w="0" w:type="dxa"/>
          <w:left w:w="0" w:type="dxa"/>
          <w:bottom w:w="0" w:type="dxa"/>
          <w:right w:w="0" w:type="dxa"/>
        </w:tblCellMar>
        <w:tblLook w:val="01E0"/>
      </w:tblPr>
      <w:tblGrid>
        <w:gridCol w:w="4185"/>
        <w:gridCol w:w="2291"/>
        <w:gridCol w:w="2291"/>
      </w:tblGrid>
      <w:tr>
        <w:trPr>
          <w:trHeight w:val="383" w:hRule="exact"/>
        </w:trPr>
        <w:tc>
          <w:tcPr>
            <w:tcW w:w="4185" w:type="dxa"/>
            <w:tcBorders>
              <w:top w:val="single" w:sz="4" w:space="0" w:color="C1B5A9"/>
              <w:left w:val="single" w:sz="4" w:space="0" w:color="C1B5A9"/>
              <w:bottom w:val="nil" w:sz="6" w:space="0" w:color="auto"/>
              <w:right w:val="single" w:sz="4" w:space="0" w:color="C1B5A9"/>
            </w:tcBorders>
            <w:shd w:val="clear" w:color="auto" w:fill="C1B5A9"/>
          </w:tcPr>
          <w:p>
            <w:pPr/>
          </w:p>
        </w:tc>
        <w:tc>
          <w:tcPr>
            <w:tcW w:w="2291" w:type="dxa"/>
            <w:tcBorders>
              <w:top w:val="single" w:sz="4" w:space="0" w:color="C1B5A9"/>
              <w:left w:val="single" w:sz="4" w:space="0" w:color="C1B5A9"/>
              <w:bottom w:val="nil" w:sz="6" w:space="0" w:color="auto"/>
              <w:right w:val="single" w:sz="4" w:space="0" w:color="C1B5A9"/>
            </w:tcBorders>
            <w:shd w:val="clear" w:color="auto" w:fill="C1B5A9"/>
          </w:tcPr>
          <w:p>
            <w:pPr>
              <w:pStyle w:val="TableParagraph"/>
              <w:spacing w:line="240" w:lineRule="auto" w:before="38"/>
              <w:ind w:left="494" w:right="0"/>
              <w:jc w:val="left"/>
              <w:rPr>
                <w:rFonts w:ascii="Segoe UI Semibold" w:hAnsi="Segoe UI Semibold" w:cs="Segoe UI Semibold" w:eastAsia="Segoe UI Semibold"/>
                <w:sz w:val="20"/>
                <w:szCs w:val="20"/>
              </w:rPr>
            </w:pPr>
            <w:r>
              <w:rPr>
                <w:rFonts w:ascii="Segoe UI Semibold"/>
                <w:b/>
                <w:color w:val="231F20"/>
                <w:spacing w:val="-1"/>
                <w:sz w:val="20"/>
              </w:rPr>
              <w:t>Under</w:t>
            </w:r>
            <w:r>
              <w:rPr>
                <w:rFonts w:ascii="Segoe UI Semibold"/>
                <w:b/>
                <w:color w:val="231F20"/>
                <w:sz w:val="20"/>
              </w:rPr>
              <w:t> </w:t>
            </w:r>
            <w:r>
              <w:rPr>
                <w:rFonts w:ascii="Segoe UI Semibold"/>
                <w:b/>
                <w:color w:val="231F20"/>
                <w:spacing w:val="-1"/>
                <w:sz w:val="20"/>
              </w:rPr>
              <w:t>16</w:t>
            </w:r>
            <w:r>
              <w:rPr>
                <w:rFonts w:ascii="Segoe UI Semibold"/>
                <w:b/>
                <w:color w:val="231F20"/>
                <w:sz w:val="20"/>
              </w:rPr>
              <w:t> </w:t>
            </w:r>
            <w:r>
              <w:rPr>
                <w:rFonts w:ascii="Segoe UI Semibold"/>
                <w:b/>
                <w:color w:val="231F20"/>
                <w:spacing w:val="-1"/>
                <w:sz w:val="20"/>
              </w:rPr>
              <w:t>year</w:t>
            </w:r>
            <w:r>
              <w:rPr>
                <w:rFonts w:ascii="Segoe UI Semibold"/>
                <w:b/>
                <w:color w:val="231F20"/>
                <w:sz w:val="20"/>
              </w:rPr>
              <w:t> </w:t>
            </w:r>
            <w:r>
              <w:rPr>
                <w:rFonts w:ascii="Segoe UI Semibold"/>
                <w:b/>
                <w:color w:val="231F20"/>
                <w:spacing w:val="-1"/>
                <w:sz w:val="20"/>
              </w:rPr>
              <w:t>olds</w:t>
            </w:r>
            <w:r>
              <w:rPr>
                <w:rFonts w:ascii="Segoe UI Semibold"/>
                <w:sz w:val="20"/>
              </w:rPr>
            </w:r>
          </w:p>
        </w:tc>
        <w:tc>
          <w:tcPr>
            <w:tcW w:w="2291" w:type="dxa"/>
            <w:tcBorders>
              <w:top w:val="single" w:sz="4" w:space="0" w:color="C1B5A9"/>
              <w:left w:val="single" w:sz="4" w:space="0" w:color="C1B5A9"/>
              <w:bottom w:val="nil" w:sz="6" w:space="0" w:color="auto"/>
              <w:right w:val="single" w:sz="4" w:space="0" w:color="C1B5A9"/>
            </w:tcBorders>
            <w:shd w:val="clear" w:color="auto" w:fill="C1B5A9"/>
          </w:tcPr>
          <w:p>
            <w:pPr>
              <w:pStyle w:val="TableParagraph"/>
              <w:spacing w:line="240" w:lineRule="auto" w:before="38"/>
              <w:ind w:left="256" w:right="0"/>
              <w:jc w:val="left"/>
              <w:rPr>
                <w:rFonts w:ascii="Segoe UI Semibold" w:hAnsi="Segoe UI Semibold" w:cs="Segoe UI Semibold" w:eastAsia="Segoe UI Semibold"/>
                <w:sz w:val="20"/>
                <w:szCs w:val="20"/>
              </w:rPr>
            </w:pPr>
            <w:r>
              <w:rPr>
                <w:rFonts w:ascii="Segoe UI Semibold"/>
                <w:b/>
                <w:color w:val="231F20"/>
                <w:spacing w:val="-1"/>
                <w:sz w:val="20"/>
              </w:rPr>
              <w:t>16</w:t>
            </w:r>
            <w:r>
              <w:rPr>
                <w:rFonts w:ascii="Segoe UI Semibold"/>
                <w:b/>
                <w:color w:val="231F20"/>
                <w:sz w:val="20"/>
              </w:rPr>
              <w:t> </w:t>
            </w:r>
            <w:r>
              <w:rPr>
                <w:rFonts w:ascii="Segoe UI Semibold"/>
                <w:b/>
                <w:color w:val="231F20"/>
                <w:spacing w:val="-1"/>
                <w:sz w:val="20"/>
              </w:rPr>
              <w:t>year</w:t>
            </w:r>
            <w:r>
              <w:rPr>
                <w:rFonts w:ascii="Segoe UI Semibold"/>
                <w:b/>
                <w:color w:val="231F20"/>
                <w:sz w:val="20"/>
              </w:rPr>
              <w:t> </w:t>
            </w:r>
            <w:r>
              <w:rPr>
                <w:rFonts w:ascii="Segoe UI Semibold"/>
                <w:b/>
                <w:color w:val="231F20"/>
                <w:spacing w:val="-1"/>
                <w:sz w:val="20"/>
              </w:rPr>
              <w:t>olds</w:t>
            </w:r>
            <w:r>
              <w:rPr>
                <w:rFonts w:ascii="Segoe UI Semibold"/>
                <w:b/>
                <w:color w:val="231F20"/>
                <w:sz w:val="20"/>
              </w:rPr>
              <w:t> and</w:t>
            </w:r>
            <w:r>
              <w:rPr>
                <w:rFonts w:ascii="Segoe UI Semibold"/>
                <w:b/>
                <w:color w:val="231F20"/>
                <w:spacing w:val="-1"/>
                <w:sz w:val="20"/>
              </w:rPr>
              <w:t> </w:t>
            </w:r>
            <w:r>
              <w:rPr>
                <w:rFonts w:ascii="Segoe UI Semibold"/>
                <w:b/>
                <w:color w:val="231F20"/>
                <w:spacing w:val="-2"/>
                <w:sz w:val="20"/>
              </w:rPr>
              <w:t>over</w:t>
            </w:r>
            <w:r>
              <w:rPr>
                <w:rFonts w:ascii="Segoe UI Semibold"/>
                <w:sz w:val="20"/>
              </w:rPr>
            </w:r>
          </w:p>
        </w:tc>
      </w:tr>
      <w:tr>
        <w:trPr>
          <w:trHeight w:val="362" w:hRule="exact"/>
        </w:trPr>
        <w:tc>
          <w:tcPr>
            <w:tcW w:w="4185" w:type="dxa"/>
            <w:tcBorders>
              <w:top w:val="nil" w:sz="6" w:space="0" w:color="auto"/>
              <w:left w:val="single" w:sz="4" w:space="0" w:color="C1B5A9"/>
              <w:bottom w:val="single" w:sz="4" w:space="0" w:color="C1B5A9"/>
              <w:right w:val="single" w:sz="4" w:space="0" w:color="C1B5A9"/>
            </w:tcBorders>
            <w:shd w:val="clear" w:color="auto" w:fill="C1B5A9"/>
          </w:tcPr>
          <w:p>
            <w:pPr/>
          </w:p>
        </w:tc>
        <w:tc>
          <w:tcPr>
            <w:tcW w:w="2291" w:type="dxa"/>
            <w:tcBorders>
              <w:top w:val="nil" w:sz="6" w:space="0" w:color="auto"/>
              <w:left w:val="single" w:sz="4" w:space="0" w:color="C1B5A9"/>
              <w:bottom w:val="single" w:sz="4" w:space="0" w:color="C1B5A9"/>
              <w:right w:val="single" w:sz="4" w:space="0" w:color="C1B5A9"/>
            </w:tcBorders>
            <w:shd w:val="clear" w:color="auto" w:fill="C1B5A9"/>
          </w:tcPr>
          <w:p>
            <w:pPr>
              <w:pStyle w:val="TableParagraph"/>
              <w:spacing w:line="240" w:lineRule="auto" w:before="32"/>
              <w:ind w:left="1327" w:right="0"/>
              <w:jc w:val="left"/>
              <w:rPr>
                <w:rFonts w:ascii="Segoe UI" w:hAnsi="Segoe UI" w:cs="Segoe UI" w:eastAsia="Segoe UI"/>
                <w:sz w:val="20"/>
                <w:szCs w:val="20"/>
              </w:rPr>
            </w:pPr>
            <w:r>
              <w:rPr>
                <w:rFonts w:ascii="Segoe UI"/>
                <w:color w:val="231F20"/>
                <w:sz w:val="20"/>
              </w:rPr>
              <w:t>(n=4,182)</w:t>
            </w:r>
            <w:r>
              <w:rPr>
                <w:rFonts w:ascii="Segoe UI"/>
                <w:sz w:val="20"/>
              </w:rPr>
            </w:r>
          </w:p>
        </w:tc>
        <w:tc>
          <w:tcPr>
            <w:tcW w:w="2291" w:type="dxa"/>
            <w:tcBorders>
              <w:top w:val="nil" w:sz="6" w:space="0" w:color="auto"/>
              <w:left w:val="single" w:sz="4" w:space="0" w:color="C1B5A9"/>
              <w:bottom w:val="single" w:sz="4" w:space="0" w:color="C1B5A9"/>
              <w:right w:val="single" w:sz="4" w:space="0" w:color="C1B5A9"/>
            </w:tcBorders>
            <w:shd w:val="clear" w:color="auto" w:fill="C1B5A9"/>
          </w:tcPr>
          <w:p>
            <w:pPr>
              <w:pStyle w:val="TableParagraph"/>
              <w:spacing w:line="240" w:lineRule="auto" w:before="32"/>
              <w:ind w:left="1327" w:right="0"/>
              <w:jc w:val="left"/>
              <w:rPr>
                <w:rFonts w:ascii="Segoe UI" w:hAnsi="Segoe UI" w:cs="Segoe UI" w:eastAsia="Segoe UI"/>
                <w:sz w:val="20"/>
                <w:szCs w:val="20"/>
              </w:rPr>
            </w:pPr>
            <w:r>
              <w:rPr>
                <w:rFonts w:ascii="Segoe UI"/>
                <w:color w:val="231F20"/>
                <w:sz w:val="20"/>
              </w:rPr>
              <w:t>(n=1,085)</w:t>
            </w:r>
            <w:r>
              <w:rPr>
                <w:rFonts w:ascii="Segoe UI"/>
                <w:sz w:val="20"/>
              </w:rPr>
            </w:r>
          </w:p>
        </w:tc>
      </w:tr>
      <w:tr>
        <w:trPr>
          <w:trHeight w:val="348" w:hRule="exact"/>
        </w:trPr>
        <w:tc>
          <w:tcPr>
            <w:tcW w:w="4185"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08" w:right="0"/>
              <w:jc w:val="left"/>
              <w:rPr>
                <w:rFonts w:ascii="Segoe UI" w:hAnsi="Segoe UI" w:cs="Segoe UI" w:eastAsia="Segoe UI"/>
                <w:sz w:val="16"/>
                <w:szCs w:val="16"/>
              </w:rPr>
            </w:pPr>
            <w:r>
              <w:rPr>
                <w:rFonts w:ascii="Segoe UI"/>
                <w:color w:val="231F20"/>
                <w:sz w:val="16"/>
              </w:rPr>
              <w:t>Mean</w:t>
            </w:r>
            <w:r>
              <w:rPr>
                <w:rFonts w:ascii="Segoe UI"/>
                <w:sz w:val="16"/>
              </w:rPr>
            </w:r>
          </w:p>
        </w:tc>
        <w:tc>
          <w:tcPr>
            <w:tcW w:w="2291"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right="106"/>
              <w:jc w:val="right"/>
              <w:rPr>
                <w:rFonts w:ascii="Segoe UI" w:hAnsi="Segoe UI" w:cs="Segoe UI" w:eastAsia="Segoe UI"/>
                <w:sz w:val="16"/>
                <w:szCs w:val="16"/>
              </w:rPr>
            </w:pPr>
            <w:r>
              <w:rPr>
                <w:rFonts w:ascii="Segoe UI"/>
                <w:color w:val="231F20"/>
                <w:sz w:val="16"/>
              </w:rPr>
              <w:t>$13,370</w:t>
            </w:r>
            <w:r>
              <w:rPr>
                <w:rFonts w:ascii="Segoe UI"/>
                <w:sz w:val="16"/>
              </w:rPr>
            </w:r>
          </w:p>
        </w:tc>
        <w:tc>
          <w:tcPr>
            <w:tcW w:w="2291"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right="106"/>
              <w:jc w:val="right"/>
              <w:rPr>
                <w:rFonts w:ascii="Segoe UI" w:hAnsi="Segoe UI" w:cs="Segoe UI" w:eastAsia="Segoe UI"/>
                <w:sz w:val="16"/>
                <w:szCs w:val="16"/>
              </w:rPr>
            </w:pPr>
            <w:r>
              <w:rPr>
                <w:rFonts w:ascii="Segoe UI"/>
                <w:color w:val="231F20"/>
                <w:sz w:val="16"/>
              </w:rPr>
              <w:t>$17,450</w:t>
            </w:r>
            <w:r>
              <w:rPr>
                <w:rFonts w:ascii="Segoe UI"/>
                <w:sz w:val="16"/>
              </w:rPr>
            </w:r>
          </w:p>
        </w:tc>
      </w:tr>
      <w:tr>
        <w:trPr>
          <w:trHeight w:val="343" w:hRule="exact"/>
        </w:trPr>
        <w:tc>
          <w:tcPr>
            <w:tcW w:w="4185"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08" w:right="0"/>
              <w:jc w:val="left"/>
              <w:rPr>
                <w:rFonts w:ascii="Segoe UI" w:hAnsi="Segoe UI" w:cs="Segoe UI" w:eastAsia="Segoe UI"/>
                <w:sz w:val="16"/>
                <w:szCs w:val="16"/>
              </w:rPr>
            </w:pPr>
            <w:r>
              <w:rPr>
                <w:rFonts w:ascii="Segoe UI"/>
                <w:color w:val="231F20"/>
                <w:sz w:val="16"/>
              </w:rPr>
              <w:t>Median</w:t>
            </w:r>
            <w:r>
              <w:rPr>
                <w:rFonts w:ascii="Segoe UI"/>
                <w:sz w:val="16"/>
              </w:rPr>
            </w:r>
          </w:p>
        </w:tc>
        <w:tc>
          <w:tcPr>
            <w:tcW w:w="2291"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right="106"/>
              <w:jc w:val="right"/>
              <w:rPr>
                <w:rFonts w:ascii="Segoe UI" w:hAnsi="Segoe UI" w:cs="Segoe UI" w:eastAsia="Segoe UI"/>
                <w:sz w:val="16"/>
                <w:szCs w:val="16"/>
              </w:rPr>
            </w:pPr>
            <w:r>
              <w:rPr>
                <w:rFonts w:ascii="Segoe UI"/>
                <w:color w:val="231F20"/>
                <w:sz w:val="16"/>
              </w:rPr>
              <w:t>$14,630</w:t>
            </w:r>
            <w:r>
              <w:rPr>
                <w:rFonts w:ascii="Segoe UI"/>
                <w:sz w:val="16"/>
              </w:rPr>
            </w:r>
          </w:p>
        </w:tc>
        <w:tc>
          <w:tcPr>
            <w:tcW w:w="2291"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right="106"/>
              <w:jc w:val="right"/>
              <w:rPr>
                <w:rFonts w:ascii="Segoe UI" w:hAnsi="Segoe UI" w:cs="Segoe UI" w:eastAsia="Segoe UI"/>
                <w:sz w:val="16"/>
                <w:szCs w:val="16"/>
              </w:rPr>
            </w:pPr>
            <w:r>
              <w:rPr>
                <w:rFonts w:ascii="Segoe UI"/>
                <w:color w:val="231F20"/>
                <w:sz w:val="16"/>
              </w:rPr>
              <w:t>$19,200</w:t>
            </w:r>
            <w:r>
              <w:rPr>
                <w:rFonts w:ascii="Segoe UI"/>
                <w:sz w:val="16"/>
              </w:rPr>
            </w:r>
          </w:p>
        </w:tc>
      </w:tr>
    </w:tbl>
    <w:p>
      <w:pPr>
        <w:pStyle w:val="BodyText"/>
        <w:spacing w:line="240" w:lineRule="auto" w:before="91"/>
        <w:ind w:left="100" w:right="0"/>
        <w:jc w:val="left"/>
        <w:rPr>
          <w:rFonts w:ascii="Segoe UI" w:hAnsi="Segoe UI" w:cs="Segoe UI" w:eastAsia="Segoe UI"/>
        </w:rPr>
      </w:pPr>
      <w:r>
        <w:rPr>
          <w:rFonts w:ascii="Segoe UI"/>
          <w:color w:val="231F20"/>
        </w:rPr>
        <w:t>The figures in the table above:</w:t>
      </w:r>
      <w:r>
        <w:rPr>
          <w:rFonts w:ascii="Segoe UI"/>
        </w:rPr>
      </w:r>
    </w:p>
    <w:p>
      <w:pPr>
        <w:pStyle w:val="BodyText"/>
        <w:spacing w:line="250" w:lineRule="exact" w:before="85"/>
        <w:ind w:left="327" w:right="632" w:hanging="227"/>
        <w:jc w:val="left"/>
      </w:pPr>
      <w:r>
        <w:rPr>
          <w:rFonts w:ascii="Century Gothic" w:hAnsi="Century Gothic"/>
          <w:color w:val="231F20"/>
        </w:rPr>
        <w:t>» </w:t>
      </w:r>
      <w:r>
        <w:rPr>
          <w:rFonts w:ascii="Century Gothic" w:hAnsi="Century Gothic"/>
          <w:color w:val="231F20"/>
          <w:spacing w:val="18"/>
        </w:rPr>
        <w:t> </w:t>
      </w:r>
      <w:r>
        <w:rPr>
          <w:color w:val="231F20"/>
          <w:spacing w:val="-1"/>
        </w:rPr>
        <w:t>include</w:t>
      </w:r>
      <w:r>
        <w:rPr>
          <w:color w:val="231F20"/>
          <w:spacing w:val="-4"/>
        </w:rPr>
        <w:t> </w:t>
      </w:r>
      <w:r>
        <w:rPr>
          <w:color w:val="231F20"/>
        </w:rPr>
        <w:t>entitlements</w:t>
      </w:r>
      <w:r>
        <w:rPr>
          <w:color w:val="231F20"/>
          <w:spacing w:val="-6"/>
        </w:rPr>
        <w:t> </w:t>
      </w:r>
      <w:r>
        <w:rPr>
          <w:color w:val="231F20"/>
        </w:rPr>
        <w:t>paid</w:t>
      </w:r>
      <w:r>
        <w:rPr>
          <w:color w:val="231F20"/>
          <w:spacing w:val="-6"/>
        </w:rPr>
        <w:t> </w:t>
      </w:r>
      <w:r>
        <w:rPr>
          <w:color w:val="231F20"/>
        </w:rPr>
        <w:t>directly</w:t>
      </w:r>
      <w:r>
        <w:rPr>
          <w:color w:val="231F20"/>
          <w:spacing w:val="-6"/>
        </w:rPr>
        <w:t> </w:t>
      </w:r>
      <w:r>
        <w:rPr>
          <w:color w:val="231F20"/>
        </w:rPr>
        <w:t>to</w:t>
      </w:r>
      <w:r>
        <w:rPr>
          <w:color w:val="231F20"/>
          <w:spacing w:val="-5"/>
        </w:rPr>
        <w:t> </w:t>
      </w:r>
      <w:r>
        <w:rPr>
          <w:color w:val="231F20"/>
        </w:rPr>
        <w:t>a</w:t>
      </w:r>
      <w:r>
        <w:rPr>
          <w:color w:val="231F20"/>
          <w:spacing w:val="-4"/>
        </w:rPr>
        <w:t> </w:t>
      </w:r>
      <w:r>
        <w:rPr>
          <w:color w:val="231F20"/>
        </w:rPr>
        <w:t>boarding</w:t>
      </w:r>
      <w:r>
        <w:rPr>
          <w:color w:val="231F20"/>
          <w:spacing w:val="-6"/>
        </w:rPr>
        <w:t> </w:t>
      </w:r>
      <w:r>
        <w:rPr>
          <w:color w:val="231F20"/>
          <w:spacing w:val="-1"/>
        </w:rPr>
        <w:t>school/board</w:t>
      </w:r>
      <w:r>
        <w:rPr>
          <w:color w:val="231F20"/>
          <w:spacing w:val="-4"/>
        </w:rPr>
        <w:t> </w:t>
      </w:r>
      <w:r>
        <w:rPr>
          <w:color w:val="231F20"/>
        </w:rPr>
        <w:t>provider</w:t>
      </w:r>
      <w:r>
        <w:rPr>
          <w:color w:val="231F20"/>
          <w:spacing w:val="-6"/>
        </w:rPr>
        <w:t> </w:t>
      </w:r>
      <w:r>
        <w:rPr>
          <w:color w:val="231F20"/>
        </w:rPr>
        <w:t>and</w:t>
      </w:r>
      <w:r>
        <w:rPr>
          <w:color w:val="231F20"/>
          <w:spacing w:val="-6"/>
        </w:rPr>
        <w:t> </w:t>
      </w:r>
      <w:r>
        <w:rPr>
          <w:color w:val="231F20"/>
        </w:rPr>
        <w:t>payments</w:t>
      </w:r>
      <w:r>
        <w:rPr>
          <w:color w:val="231F20"/>
          <w:spacing w:val="-5"/>
        </w:rPr>
        <w:t> </w:t>
      </w:r>
      <w:r>
        <w:rPr>
          <w:color w:val="231F20"/>
          <w:spacing w:val="-1"/>
        </w:rPr>
        <w:t>made</w:t>
      </w:r>
      <w:r>
        <w:rPr>
          <w:color w:val="231F20"/>
          <w:spacing w:val="22"/>
          <w:w w:val="99"/>
        </w:rPr>
        <w:t> </w:t>
      </w:r>
      <w:r>
        <w:rPr>
          <w:color w:val="231F20"/>
        </w:rPr>
        <w:t>to</w:t>
      </w:r>
      <w:r>
        <w:rPr>
          <w:color w:val="231F20"/>
          <w:spacing w:val="-5"/>
        </w:rPr>
        <w:t> </w:t>
      </w:r>
      <w:r>
        <w:rPr>
          <w:color w:val="231F20"/>
          <w:spacing w:val="-1"/>
        </w:rPr>
        <w:t>individuals</w:t>
      </w:r>
      <w:r>
        <w:rPr>
          <w:color w:val="231F20"/>
          <w:spacing w:val="-4"/>
        </w:rPr>
        <w:t> </w:t>
      </w:r>
      <w:r>
        <w:rPr>
          <w:color w:val="231F20"/>
        </w:rPr>
        <w:t>or</w:t>
      </w:r>
      <w:r>
        <w:rPr>
          <w:color w:val="231F20"/>
          <w:spacing w:val="-4"/>
        </w:rPr>
        <w:t> </w:t>
      </w:r>
      <w:r>
        <w:rPr>
          <w:color w:val="231F20"/>
        </w:rPr>
        <w:t>third-parties</w:t>
      </w:r>
      <w:r>
        <w:rPr>
          <w:color w:val="231F20"/>
          <w:spacing w:val="-5"/>
        </w:rPr>
        <w:t> </w:t>
      </w:r>
      <w:r>
        <w:rPr>
          <w:color w:val="231F20"/>
        </w:rPr>
        <w:t>on</w:t>
      </w:r>
      <w:r>
        <w:rPr>
          <w:color w:val="231F20"/>
          <w:spacing w:val="-5"/>
        </w:rPr>
        <w:t> </w:t>
      </w:r>
      <w:r>
        <w:rPr>
          <w:color w:val="231F20"/>
        </w:rPr>
        <w:t>behalf</w:t>
      </w:r>
      <w:r>
        <w:rPr>
          <w:color w:val="231F20"/>
          <w:spacing w:val="-5"/>
        </w:rPr>
        <w:t> </w:t>
      </w:r>
      <w:r>
        <w:rPr>
          <w:color w:val="231F20"/>
        </w:rPr>
        <w:t>of</w:t>
      </w:r>
      <w:r>
        <w:rPr>
          <w:color w:val="231F20"/>
          <w:spacing w:val="-4"/>
        </w:rPr>
        <w:t> </w:t>
      </w:r>
      <w:r>
        <w:rPr>
          <w:color w:val="231F20"/>
        </w:rPr>
        <w:t>the</w:t>
      </w:r>
      <w:r>
        <w:rPr>
          <w:color w:val="231F20"/>
          <w:spacing w:val="-5"/>
        </w:rPr>
        <w:t> </w:t>
      </w:r>
      <w:r>
        <w:rPr>
          <w:color w:val="231F20"/>
        </w:rPr>
        <w:t>ABSTUDY</w:t>
      </w:r>
      <w:r>
        <w:rPr>
          <w:color w:val="231F20"/>
          <w:spacing w:val="-6"/>
        </w:rPr>
        <w:t> </w:t>
      </w:r>
      <w:r>
        <w:rPr>
          <w:color w:val="231F20"/>
        </w:rPr>
        <w:t>recipient</w:t>
      </w:r>
      <w:r>
        <w:rPr>
          <w:color w:val="231F20"/>
          <w:spacing w:val="-5"/>
        </w:rPr>
        <w:t> </w:t>
      </w:r>
      <w:r>
        <w:rPr>
          <w:color w:val="231F20"/>
        </w:rPr>
        <w:t>(e.g.</w:t>
      </w:r>
      <w:r>
        <w:rPr>
          <w:color w:val="231F20"/>
          <w:spacing w:val="-5"/>
        </w:rPr>
        <w:t> </w:t>
      </w:r>
      <w:r>
        <w:rPr>
          <w:color w:val="231F20"/>
        </w:rPr>
        <w:t>for</w:t>
      </w:r>
      <w:r>
        <w:rPr>
          <w:color w:val="231F20"/>
          <w:spacing w:val="-4"/>
        </w:rPr>
        <w:t> </w:t>
      </w:r>
      <w:r>
        <w:rPr>
          <w:color w:val="231F20"/>
        </w:rPr>
        <w:t>private</w:t>
      </w:r>
      <w:r>
        <w:rPr>
          <w:color w:val="231F20"/>
          <w:spacing w:val="-5"/>
        </w:rPr>
        <w:t> </w:t>
      </w:r>
      <w:r>
        <w:rPr>
          <w:color w:val="231F20"/>
        </w:rPr>
        <w:t>boarding</w:t>
      </w:r>
      <w:r>
        <w:rPr>
          <w:color w:val="231F20"/>
          <w:spacing w:val="22"/>
          <w:w w:val="99"/>
        </w:rPr>
        <w:t> </w:t>
      </w:r>
      <w:r>
        <w:rPr>
          <w:color w:val="231F20"/>
        </w:rPr>
        <w:t>arrangements).</w:t>
      </w:r>
      <w:r>
        <w:rPr/>
      </w:r>
    </w:p>
    <w:p>
      <w:pPr>
        <w:pStyle w:val="BodyText"/>
        <w:spacing w:line="240" w:lineRule="auto" w:before="69"/>
        <w:ind w:left="100" w:right="0"/>
        <w:jc w:val="left"/>
      </w:pPr>
      <w:r>
        <w:rPr>
          <w:rFonts w:ascii="Century Gothic" w:hAnsi="Century Gothic"/>
          <w:color w:val="231F20"/>
        </w:rPr>
        <w:t>» </w:t>
      </w:r>
      <w:r>
        <w:rPr>
          <w:rFonts w:ascii="Century Gothic" w:hAnsi="Century Gothic"/>
          <w:color w:val="231F20"/>
          <w:spacing w:val="23"/>
        </w:rPr>
        <w:t> </w:t>
      </w:r>
      <w:r>
        <w:rPr>
          <w:color w:val="231F20"/>
        </w:rPr>
        <w:t>are</w:t>
      </w:r>
      <w:r>
        <w:rPr>
          <w:color w:val="231F20"/>
          <w:spacing w:val="-4"/>
        </w:rPr>
        <w:t> </w:t>
      </w:r>
      <w:r>
        <w:rPr>
          <w:color w:val="231F20"/>
          <w:spacing w:val="-1"/>
        </w:rPr>
        <w:t>subject</w:t>
      </w:r>
      <w:r>
        <w:rPr>
          <w:color w:val="231F20"/>
          <w:spacing w:val="-3"/>
        </w:rPr>
        <w:t> </w:t>
      </w:r>
      <w:r>
        <w:rPr>
          <w:color w:val="231F20"/>
        </w:rPr>
        <w:t>to</w:t>
      </w:r>
      <w:r>
        <w:rPr>
          <w:color w:val="231F20"/>
          <w:spacing w:val="-4"/>
        </w:rPr>
        <w:t> </w:t>
      </w:r>
      <w:r>
        <w:rPr>
          <w:color w:val="231F20"/>
        </w:rPr>
        <w:t>data</w:t>
      </w:r>
      <w:r>
        <w:rPr>
          <w:color w:val="231F20"/>
          <w:spacing w:val="-4"/>
        </w:rPr>
        <w:t> </w:t>
      </w:r>
      <w:r>
        <w:rPr>
          <w:color w:val="231F20"/>
          <w:spacing w:val="-1"/>
        </w:rPr>
        <w:t>maturity</w:t>
      </w:r>
      <w:r>
        <w:rPr>
          <w:color w:val="231F20"/>
          <w:spacing w:val="-2"/>
        </w:rPr>
        <w:t> </w:t>
      </w:r>
      <w:r>
        <w:rPr>
          <w:color w:val="231F20"/>
          <w:spacing w:val="-1"/>
        </w:rPr>
        <w:t>issues</w:t>
      </w:r>
      <w:r>
        <w:rPr>
          <w:color w:val="231F20"/>
          <w:spacing w:val="-3"/>
        </w:rPr>
        <w:t> </w:t>
      </w:r>
      <w:r>
        <w:rPr>
          <w:color w:val="231F20"/>
        </w:rPr>
        <w:t>(e.g.</w:t>
      </w:r>
      <w:r>
        <w:rPr>
          <w:color w:val="231F20"/>
          <w:spacing w:val="-4"/>
        </w:rPr>
        <w:t> </w:t>
      </w:r>
      <w:r>
        <w:rPr>
          <w:color w:val="231F20"/>
        </w:rPr>
        <w:t>eligibility</w:t>
      </w:r>
      <w:r>
        <w:rPr>
          <w:color w:val="231F20"/>
          <w:spacing w:val="-4"/>
        </w:rPr>
        <w:t> </w:t>
      </w:r>
      <w:r>
        <w:rPr>
          <w:color w:val="231F20"/>
        </w:rPr>
        <w:t>change</w:t>
      </w:r>
      <w:r>
        <w:rPr>
          <w:color w:val="231F20"/>
          <w:spacing w:val="-4"/>
        </w:rPr>
        <w:t> </w:t>
      </w:r>
      <w:r>
        <w:rPr>
          <w:color w:val="231F20"/>
        </w:rPr>
        <w:t>resulting</w:t>
      </w:r>
      <w:r>
        <w:rPr>
          <w:color w:val="231F20"/>
          <w:spacing w:val="-5"/>
        </w:rPr>
        <w:t> </w:t>
      </w:r>
      <w:r>
        <w:rPr>
          <w:color w:val="231F20"/>
        </w:rPr>
        <w:t>from</w:t>
      </w:r>
      <w:r>
        <w:rPr>
          <w:color w:val="231F20"/>
          <w:spacing w:val="-3"/>
        </w:rPr>
        <w:t> </w:t>
      </w:r>
      <w:r>
        <w:rPr>
          <w:color w:val="231F20"/>
        </w:rPr>
        <w:t>review</w:t>
      </w:r>
      <w:r>
        <w:rPr>
          <w:color w:val="231F20"/>
          <w:spacing w:val="-4"/>
        </w:rPr>
        <w:t> </w:t>
      </w:r>
      <w:r>
        <w:rPr>
          <w:color w:val="231F20"/>
        </w:rPr>
        <w:t>decisions).</w:t>
      </w:r>
      <w:r>
        <w:rPr/>
      </w:r>
    </w:p>
    <w:p>
      <w:pPr>
        <w:pStyle w:val="BodyText"/>
        <w:spacing w:line="258" w:lineRule="exact" w:before="69"/>
        <w:ind w:left="100" w:right="0"/>
        <w:jc w:val="left"/>
      </w:pPr>
      <w:r>
        <w:rPr>
          <w:rFonts w:ascii="Century Gothic" w:hAnsi="Century Gothic"/>
          <w:color w:val="231F20"/>
        </w:rPr>
        <w:t>» </w:t>
      </w:r>
      <w:r>
        <w:rPr>
          <w:rFonts w:ascii="Century Gothic" w:hAnsi="Century Gothic"/>
          <w:color w:val="231F20"/>
          <w:spacing w:val="24"/>
        </w:rPr>
        <w:t> </w:t>
      </w:r>
      <w:r>
        <w:rPr>
          <w:color w:val="231F20"/>
        </w:rPr>
        <w:t>relate</w:t>
      </w:r>
      <w:r>
        <w:rPr>
          <w:color w:val="231F20"/>
          <w:spacing w:val="-3"/>
        </w:rPr>
        <w:t> </w:t>
      </w:r>
      <w:r>
        <w:rPr>
          <w:color w:val="231F20"/>
        </w:rPr>
        <w:t>only</w:t>
      </w:r>
      <w:r>
        <w:rPr>
          <w:color w:val="231F20"/>
          <w:spacing w:val="-4"/>
        </w:rPr>
        <w:t> </w:t>
      </w:r>
      <w:r>
        <w:rPr>
          <w:color w:val="231F20"/>
        </w:rPr>
        <w:t>to</w:t>
      </w:r>
      <w:r>
        <w:rPr>
          <w:color w:val="231F20"/>
          <w:spacing w:val="-3"/>
        </w:rPr>
        <w:t> </w:t>
      </w:r>
      <w:r>
        <w:rPr>
          <w:color w:val="231F20"/>
        </w:rPr>
        <w:t>ABSTUDY</w:t>
      </w:r>
      <w:r>
        <w:rPr>
          <w:color w:val="231F20"/>
          <w:spacing w:val="-3"/>
        </w:rPr>
        <w:t> </w:t>
      </w:r>
      <w:r>
        <w:rPr>
          <w:color w:val="231F20"/>
        </w:rPr>
        <w:t>entitlements,</w:t>
      </w:r>
      <w:r>
        <w:rPr>
          <w:color w:val="231F20"/>
          <w:spacing w:val="-4"/>
        </w:rPr>
        <w:t> </w:t>
      </w:r>
      <w:r>
        <w:rPr>
          <w:color w:val="231F20"/>
        </w:rPr>
        <w:t>and</w:t>
      </w:r>
      <w:r>
        <w:rPr>
          <w:color w:val="231F20"/>
          <w:spacing w:val="-3"/>
        </w:rPr>
        <w:t> </w:t>
      </w:r>
      <w:r>
        <w:rPr>
          <w:color w:val="231F20"/>
        </w:rPr>
        <w:t>do</w:t>
      </w:r>
      <w:r>
        <w:rPr>
          <w:color w:val="231F20"/>
          <w:spacing w:val="-3"/>
        </w:rPr>
        <w:t> </w:t>
      </w:r>
      <w:r>
        <w:rPr>
          <w:color w:val="231F20"/>
        </w:rPr>
        <w:t>not</w:t>
      </w:r>
      <w:r>
        <w:rPr>
          <w:color w:val="231F20"/>
          <w:spacing w:val="-3"/>
        </w:rPr>
        <w:t> </w:t>
      </w:r>
      <w:r>
        <w:rPr>
          <w:color w:val="231F20"/>
          <w:spacing w:val="-1"/>
        </w:rPr>
        <w:t>include</w:t>
      </w:r>
      <w:r>
        <w:rPr>
          <w:color w:val="231F20"/>
          <w:spacing w:val="-2"/>
        </w:rPr>
        <w:t> </w:t>
      </w:r>
      <w:r>
        <w:rPr>
          <w:color w:val="231F20"/>
        </w:rPr>
        <w:t>other</w:t>
      </w:r>
      <w:r>
        <w:rPr>
          <w:color w:val="231F20"/>
          <w:spacing w:val="-3"/>
        </w:rPr>
        <w:t> </w:t>
      </w:r>
      <w:r>
        <w:rPr>
          <w:color w:val="231F20"/>
        </w:rPr>
        <w:t>payments</w:t>
      </w:r>
      <w:r>
        <w:rPr>
          <w:color w:val="231F20"/>
          <w:spacing w:val="-4"/>
        </w:rPr>
        <w:t> </w:t>
      </w:r>
      <w:r>
        <w:rPr>
          <w:color w:val="231F20"/>
          <w:spacing w:val="-1"/>
        </w:rPr>
        <w:t>such</w:t>
      </w:r>
      <w:r>
        <w:rPr>
          <w:color w:val="231F20"/>
          <w:spacing w:val="-2"/>
        </w:rPr>
        <w:t> </w:t>
      </w:r>
      <w:r>
        <w:rPr>
          <w:color w:val="231F20"/>
        </w:rPr>
        <w:t>as</w:t>
      </w:r>
      <w:r>
        <w:rPr>
          <w:color w:val="231F20"/>
          <w:spacing w:val="-4"/>
        </w:rPr>
        <w:t> </w:t>
      </w:r>
      <w:r>
        <w:rPr>
          <w:color w:val="231F20"/>
          <w:spacing w:val="-2"/>
        </w:rPr>
        <w:t>Family</w:t>
      </w:r>
      <w:r>
        <w:rPr/>
      </w:r>
    </w:p>
    <w:p>
      <w:pPr>
        <w:pStyle w:val="BodyText"/>
        <w:spacing w:line="258" w:lineRule="exact"/>
        <w:ind w:left="327" w:right="0"/>
        <w:jc w:val="left"/>
        <w:rPr>
          <w:rFonts w:ascii="Segoe UI" w:hAnsi="Segoe UI" w:cs="Segoe UI" w:eastAsia="Segoe UI"/>
        </w:rPr>
      </w:pPr>
      <w:r>
        <w:rPr>
          <w:rFonts w:ascii="Segoe UI"/>
          <w:color w:val="231F20"/>
          <w:spacing w:val="-8"/>
        </w:rPr>
        <w:t>Tax</w:t>
      </w:r>
      <w:r>
        <w:rPr>
          <w:rFonts w:ascii="Segoe UI"/>
          <w:color w:val="231F20"/>
        </w:rPr>
        <w:t> Benefit.</w:t>
      </w:r>
      <w:r>
        <w:rPr>
          <w:rFonts w:ascii="Segoe UI"/>
        </w:rPr>
      </w:r>
    </w:p>
    <w:p>
      <w:pPr>
        <w:pStyle w:val="BodyText"/>
        <w:spacing w:line="240" w:lineRule="auto" w:before="69"/>
        <w:ind w:left="100" w:right="0"/>
        <w:jc w:val="left"/>
      </w:pPr>
      <w:r>
        <w:rPr>
          <w:rFonts w:ascii="Century Gothic" w:hAnsi="Century Gothic"/>
          <w:color w:val="231F20"/>
        </w:rPr>
        <w:t>» </w:t>
      </w:r>
      <w:r>
        <w:rPr>
          <w:rFonts w:ascii="Century Gothic" w:hAnsi="Century Gothic"/>
          <w:color w:val="231F20"/>
          <w:spacing w:val="21"/>
        </w:rPr>
        <w:t> </w:t>
      </w:r>
      <w:r>
        <w:rPr>
          <w:color w:val="231F20"/>
        </w:rPr>
        <w:t>exclude</w:t>
      </w:r>
      <w:r>
        <w:rPr>
          <w:color w:val="231F20"/>
          <w:spacing w:val="-5"/>
        </w:rPr>
        <w:t> </w:t>
      </w:r>
      <w:r>
        <w:rPr>
          <w:color w:val="231F20"/>
          <w:spacing w:val="-2"/>
        </w:rPr>
        <w:t>Fares</w:t>
      </w:r>
      <w:r>
        <w:rPr>
          <w:color w:val="231F20"/>
          <w:spacing w:val="-4"/>
        </w:rPr>
        <w:t> </w:t>
      </w:r>
      <w:r>
        <w:rPr>
          <w:color w:val="231F20"/>
        </w:rPr>
        <w:t>Allowance</w:t>
      </w:r>
      <w:r>
        <w:rPr>
          <w:color w:val="231F20"/>
          <w:spacing w:val="-4"/>
        </w:rPr>
        <w:t> </w:t>
      </w:r>
      <w:r>
        <w:rPr>
          <w:color w:val="231F20"/>
        </w:rPr>
        <w:t>entitlements.</w:t>
      </w:r>
      <w:r>
        <w:rPr/>
      </w:r>
    </w:p>
    <w:p>
      <w:pPr>
        <w:spacing w:line="240" w:lineRule="auto" w:before="9"/>
        <w:rPr>
          <w:rFonts w:ascii="Segoe UI" w:hAnsi="Segoe UI" w:cs="Segoe UI" w:eastAsia="Segoe UI"/>
          <w:sz w:val="25"/>
          <w:szCs w:val="25"/>
        </w:rPr>
      </w:pPr>
    </w:p>
    <w:p>
      <w:pPr>
        <w:spacing w:after="0" w:line="240" w:lineRule="auto"/>
        <w:rPr>
          <w:rFonts w:ascii="Segoe UI" w:hAnsi="Segoe UI" w:cs="Segoe UI" w:eastAsia="Segoe UI"/>
          <w:sz w:val="25"/>
          <w:szCs w:val="25"/>
        </w:rPr>
        <w:sectPr>
          <w:pgSz w:w="11910" w:h="16840"/>
          <w:pgMar w:header="0" w:footer="691" w:top="1580" w:bottom="880" w:left="1600" w:right="1280"/>
        </w:sectPr>
      </w:pPr>
    </w:p>
    <w:p>
      <w:pPr>
        <w:pStyle w:val="BodyText"/>
        <w:spacing w:line="250" w:lineRule="exact" w:before="62"/>
        <w:ind w:left="100" w:right="0"/>
        <w:jc w:val="left"/>
      </w:pPr>
      <w:r>
        <w:rPr>
          <w:color w:val="231F20"/>
        </w:rPr>
        <w:t>The</w:t>
      </w:r>
      <w:r>
        <w:rPr>
          <w:color w:val="231F20"/>
          <w:spacing w:val="-5"/>
        </w:rPr>
        <w:t> </w:t>
      </w:r>
      <w:r>
        <w:rPr>
          <w:color w:val="231F20"/>
        </w:rPr>
        <w:t>ABSTUDY</w:t>
      </w:r>
      <w:r>
        <w:rPr>
          <w:color w:val="231F20"/>
          <w:spacing w:val="-6"/>
        </w:rPr>
        <w:t> </w:t>
      </w:r>
      <w:r>
        <w:rPr>
          <w:color w:val="231F20"/>
        </w:rPr>
        <w:t>revenue</w:t>
      </w:r>
      <w:r>
        <w:rPr>
          <w:color w:val="231F20"/>
          <w:spacing w:val="-6"/>
        </w:rPr>
        <w:t> </w:t>
      </w:r>
      <w:r>
        <w:rPr>
          <w:color w:val="231F20"/>
        </w:rPr>
        <w:t>data</w:t>
      </w:r>
      <w:r>
        <w:rPr>
          <w:color w:val="231F20"/>
          <w:spacing w:val="-5"/>
        </w:rPr>
        <w:t> </w:t>
      </w:r>
      <w:r>
        <w:rPr>
          <w:color w:val="231F20"/>
        </w:rPr>
        <w:t>for</w:t>
      </w:r>
      <w:r>
        <w:rPr>
          <w:color w:val="231F20"/>
          <w:spacing w:val="-5"/>
        </w:rPr>
        <w:t> </w:t>
      </w:r>
      <w:r>
        <w:rPr>
          <w:color w:val="231F20"/>
        </w:rPr>
        <w:t>four</w:t>
      </w:r>
      <w:r>
        <w:rPr>
          <w:color w:val="231F20"/>
          <w:spacing w:val="-5"/>
        </w:rPr>
        <w:t> </w:t>
      </w:r>
      <w:r>
        <w:rPr>
          <w:color w:val="231F20"/>
        </w:rPr>
        <w:t>boarding</w:t>
      </w:r>
      <w:r>
        <w:rPr>
          <w:color w:val="231F20"/>
          <w:w w:val="99"/>
        </w:rPr>
        <w:t> </w:t>
      </w:r>
      <w:r>
        <w:rPr>
          <w:color w:val="231F20"/>
          <w:spacing w:val="-1"/>
        </w:rPr>
        <w:t>schools</w:t>
      </w:r>
      <w:r>
        <w:rPr>
          <w:color w:val="231F20"/>
          <w:spacing w:val="-6"/>
        </w:rPr>
        <w:t> </w:t>
      </w:r>
      <w:r>
        <w:rPr>
          <w:color w:val="231F20"/>
        </w:rPr>
        <w:t>(combined</w:t>
      </w:r>
      <w:r>
        <w:rPr>
          <w:color w:val="231F20"/>
          <w:spacing w:val="-6"/>
        </w:rPr>
        <w:t> </w:t>
      </w:r>
      <w:r>
        <w:rPr>
          <w:color w:val="231F20"/>
          <w:spacing w:val="-1"/>
        </w:rPr>
        <w:t>school</w:t>
      </w:r>
      <w:r>
        <w:rPr>
          <w:color w:val="231F20"/>
          <w:spacing w:val="-5"/>
        </w:rPr>
        <w:t> </w:t>
      </w:r>
      <w:r>
        <w:rPr>
          <w:color w:val="231F20"/>
        </w:rPr>
        <w:t>and</w:t>
      </w:r>
      <w:r>
        <w:rPr>
          <w:color w:val="231F20"/>
          <w:spacing w:val="-6"/>
        </w:rPr>
        <w:t> </w:t>
      </w:r>
      <w:r>
        <w:rPr>
          <w:color w:val="231F20"/>
        </w:rPr>
        <w:t>boarding</w:t>
      </w:r>
      <w:r>
        <w:rPr>
          <w:color w:val="231F20"/>
          <w:spacing w:val="23"/>
          <w:w w:val="99"/>
        </w:rPr>
        <w:t> </w:t>
      </w:r>
      <w:r>
        <w:rPr>
          <w:color w:val="231F20"/>
        </w:rPr>
        <w:t>residences)</w:t>
      </w:r>
      <w:r>
        <w:rPr>
          <w:color w:val="231F20"/>
          <w:spacing w:val="-6"/>
        </w:rPr>
        <w:t> </w:t>
      </w:r>
      <w:r>
        <w:rPr>
          <w:color w:val="231F20"/>
          <w:spacing w:val="-1"/>
        </w:rPr>
        <w:t>is</w:t>
      </w:r>
      <w:r>
        <w:rPr>
          <w:color w:val="231F20"/>
          <w:spacing w:val="-4"/>
        </w:rPr>
        <w:t> </w:t>
      </w:r>
      <w:r>
        <w:rPr>
          <w:color w:val="231F20"/>
          <w:spacing w:val="-1"/>
        </w:rPr>
        <w:t>set</w:t>
      </w:r>
      <w:r>
        <w:rPr>
          <w:color w:val="231F20"/>
          <w:spacing w:val="-3"/>
        </w:rPr>
        <w:t> </w:t>
      </w:r>
      <w:r>
        <w:rPr>
          <w:color w:val="231F20"/>
        </w:rPr>
        <w:t>out</w:t>
      </w:r>
      <w:r>
        <w:rPr>
          <w:color w:val="231F20"/>
          <w:spacing w:val="-3"/>
        </w:rPr>
        <w:t> </w:t>
      </w:r>
      <w:r>
        <w:rPr>
          <w:color w:val="231F20"/>
          <w:spacing w:val="-1"/>
        </w:rPr>
        <w:t>in</w:t>
      </w:r>
      <w:r>
        <w:rPr>
          <w:color w:val="231F20"/>
          <w:spacing w:val="-3"/>
        </w:rPr>
        <w:t> </w:t>
      </w:r>
      <w:r>
        <w:rPr>
          <w:color w:val="231F20"/>
        </w:rPr>
        <w:t>the</w:t>
      </w:r>
      <w:r>
        <w:rPr>
          <w:color w:val="231F20"/>
          <w:spacing w:val="-4"/>
        </w:rPr>
        <w:t> </w:t>
      </w:r>
      <w:r>
        <w:rPr>
          <w:color w:val="231F20"/>
        </w:rPr>
        <w:t>table</w:t>
      </w:r>
      <w:r>
        <w:rPr>
          <w:color w:val="231F20"/>
          <w:spacing w:val="-4"/>
        </w:rPr>
        <w:t> </w:t>
      </w:r>
      <w:r>
        <w:rPr>
          <w:color w:val="231F20"/>
          <w:spacing w:val="-1"/>
        </w:rPr>
        <w:t>8.</w:t>
      </w:r>
      <w:r>
        <w:rPr>
          <w:color w:val="231F20"/>
          <w:spacing w:val="-3"/>
        </w:rPr>
        <w:t> </w:t>
      </w:r>
      <w:r>
        <w:rPr>
          <w:color w:val="231F20"/>
        </w:rPr>
        <w:t>The</w:t>
      </w:r>
      <w:r>
        <w:rPr/>
      </w:r>
    </w:p>
    <w:p>
      <w:pPr>
        <w:pStyle w:val="BodyText"/>
        <w:spacing w:line="250" w:lineRule="exact"/>
        <w:ind w:left="100" w:right="149"/>
        <w:jc w:val="left"/>
      </w:pPr>
      <w:r>
        <w:rPr>
          <w:color w:val="231F20"/>
        </w:rPr>
        <w:t>data</w:t>
      </w:r>
      <w:r>
        <w:rPr>
          <w:color w:val="231F20"/>
          <w:spacing w:val="-5"/>
        </w:rPr>
        <w:t> </w:t>
      </w:r>
      <w:r>
        <w:rPr>
          <w:color w:val="231F20"/>
          <w:spacing w:val="-1"/>
        </w:rPr>
        <w:t>indicates</w:t>
      </w:r>
      <w:r>
        <w:rPr>
          <w:color w:val="231F20"/>
          <w:spacing w:val="-4"/>
        </w:rPr>
        <w:t> </w:t>
      </w:r>
      <w:r>
        <w:rPr>
          <w:color w:val="231F20"/>
        </w:rPr>
        <w:t>that</w:t>
      </w:r>
      <w:r>
        <w:rPr>
          <w:color w:val="231F20"/>
          <w:spacing w:val="-5"/>
        </w:rPr>
        <w:t> </w:t>
      </w:r>
      <w:r>
        <w:rPr>
          <w:color w:val="231F20"/>
          <w:spacing w:val="-1"/>
        </w:rPr>
        <w:t>90</w:t>
      </w:r>
      <w:r>
        <w:rPr>
          <w:color w:val="231F20"/>
          <w:spacing w:val="-4"/>
        </w:rPr>
        <w:t> </w:t>
      </w:r>
      <w:r>
        <w:rPr>
          <w:color w:val="231F20"/>
        </w:rPr>
        <w:t>per</w:t>
      </w:r>
      <w:r>
        <w:rPr>
          <w:color w:val="231F20"/>
          <w:spacing w:val="-3"/>
        </w:rPr>
        <w:t> </w:t>
      </w:r>
      <w:r>
        <w:rPr>
          <w:color w:val="231F20"/>
        </w:rPr>
        <w:t>cent</w:t>
      </w:r>
      <w:r>
        <w:rPr>
          <w:color w:val="231F20"/>
          <w:spacing w:val="-5"/>
        </w:rPr>
        <w:t> </w:t>
      </w:r>
      <w:r>
        <w:rPr>
          <w:color w:val="231F20"/>
        </w:rPr>
        <w:t>or</w:t>
      </w:r>
      <w:r>
        <w:rPr>
          <w:color w:val="231F20"/>
          <w:spacing w:val="-4"/>
        </w:rPr>
        <w:t> </w:t>
      </w:r>
      <w:r>
        <w:rPr>
          <w:color w:val="231F20"/>
          <w:spacing w:val="-1"/>
        </w:rPr>
        <w:t>more</w:t>
      </w:r>
      <w:r>
        <w:rPr>
          <w:color w:val="231F20"/>
          <w:spacing w:val="-4"/>
        </w:rPr>
        <w:t> </w:t>
      </w:r>
      <w:r>
        <w:rPr>
          <w:color w:val="231F20"/>
        </w:rPr>
        <w:t>of</w:t>
      </w:r>
      <w:r>
        <w:rPr>
          <w:color w:val="231F20"/>
          <w:spacing w:val="24"/>
          <w:w w:val="99"/>
        </w:rPr>
        <w:t> </w:t>
      </w:r>
      <w:r>
        <w:rPr>
          <w:color w:val="231F20"/>
        </w:rPr>
        <w:t>the</w:t>
      </w:r>
      <w:r>
        <w:rPr>
          <w:color w:val="231F20"/>
          <w:spacing w:val="-5"/>
        </w:rPr>
        <w:t> </w:t>
      </w:r>
      <w:r>
        <w:rPr>
          <w:color w:val="231F20"/>
        </w:rPr>
        <w:t>boarding</w:t>
      </w:r>
      <w:r>
        <w:rPr>
          <w:color w:val="231F20"/>
          <w:spacing w:val="-5"/>
        </w:rPr>
        <w:t> </w:t>
      </w:r>
      <w:r>
        <w:rPr>
          <w:color w:val="231F20"/>
        </w:rPr>
        <w:t>revenue</w:t>
      </w:r>
      <w:r>
        <w:rPr>
          <w:color w:val="231F20"/>
          <w:spacing w:val="-5"/>
        </w:rPr>
        <w:t> </w:t>
      </w:r>
      <w:r>
        <w:rPr>
          <w:color w:val="231F20"/>
        </w:rPr>
        <w:t>of</w:t>
      </w:r>
      <w:r>
        <w:rPr>
          <w:color w:val="231F20"/>
          <w:spacing w:val="-3"/>
        </w:rPr>
        <w:t> </w:t>
      </w:r>
      <w:r>
        <w:rPr>
          <w:color w:val="231F20"/>
        </w:rPr>
        <w:t>the</w:t>
      </w:r>
      <w:r>
        <w:rPr>
          <w:color w:val="231F20"/>
          <w:spacing w:val="-5"/>
        </w:rPr>
        <w:t> </w:t>
      </w:r>
      <w:r>
        <w:rPr>
          <w:color w:val="231F20"/>
        </w:rPr>
        <w:t>four</w:t>
      </w:r>
      <w:r>
        <w:rPr>
          <w:color w:val="231F20"/>
          <w:spacing w:val="-4"/>
        </w:rPr>
        <w:t> </w:t>
      </w:r>
      <w:r>
        <w:rPr>
          <w:color w:val="231F20"/>
          <w:spacing w:val="-1"/>
        </w:rPr>
        <w:t>schools</w:t>
      </w:r>
      <w:r>
        <w:rPr>
          <w:color w:val="231F20"/>
          <w:spacing w:val="-4"/>
        </w:rPr>
        <w:t> </w:t>
      </w:r>
      <w:r>
        <w:rPr>
          <w:color w:val="231F20"/>
          <w:spacing w:val="-1"/>
        </w:rPr>
        <w:t>is</w:t>
      </w:r>
      <w:r>
        <w:rPr>
          <w:color w:val="231F20"/>
          <w:spacing w:val="21"/>
        </w:rPr>
        <w:t> </w:t>
      </w:r>
      <w:r>
        <w:rPr>
          <w:color w:val="231F20"/>
          <w:spacing w:val="-1"/>
        </w:rPr>
        <w:t>sourced</w:t>
      </w:r>
      <w:r>
        <w:rPr>
          <w:color w:val="231F20"/>
          <w:spacing w:val="-4"/>
        </w:rPr>
        <w:t> </w:t>
      </w:r>
      <w:r>
        <w:rPr>
          <w:color w:val="231F20"/>
        </w:rPr>
        <w:t>from</w:t>
      </w:r>
      <w:r>
        <w:rPr>
          <w:color w:val="231F20"/>
          <w:spacing w:val="-4"/>
        </w:rPr>
        <w:t> </w:t>
      </w:r>
      <w:r>
        <w:rPr>
          <w:color w:val="231F20"/>
        </w:rPr>
        <w:t>ABSTUDY,</w:t>
      </w:r>
      <w:r>
        <w:rPr>
          <w:color w:val="231F20"/>
          <w:spacing w:val="-4"/>
        </w:rPr>
        <w:t> </w:t>
      </w:r>
      <w:r>
        <w:rPr>
          <w:color w:val="231F20"/>
        </w:rPr>
        <w:t>whereas</w:t>
      </w:r>
      <w:r>
        <w:rPr>
          <w:color w:val="231F20"/>
          <w:spacing w:val="-4"/>
        </w:rPr>
        <w:t> </w:t>
      </w:r>
      <w:r>
        <w:rPr>
          <w:color w:val="231F20"/>
        </w:rPr>
        <w:t>only</w:t>
      </w:r>
      <w:r>
        <w:rPr>
          <w:color w:val="231F20"/>
          <w:spacing w:val="-5"/>
        </w:rPr>
        <w:t> </w:t>
      </w:r>
      <w:r>
        <w:rPr>
          <w:color w:val="231F20"/>
        </w:rPr>
        <w:t>8</w:t>
      </w:r>
      <w:r>
        <w:rPr>
          <w:color w:val="231F20"/>
          <w:spacing w:val="-4"/>
        </w:rPr>
        <w:t> </w:t>
      </w:r>
      <w:r>
        <w:rPr>
          <w:color w:val="231F20"/>
        </w:rPr>
        <w:t>–</w:t>
      </w:r>
      <w:r>
        <w:rPr/>
      </w:r>
    </w:p>
    <w:p>
      <w:pPr>
        <w:pStyle w:val="BodyText"/>
        <w:spacing w:line="250" w:lineRule="exact"/>
        <w:ind w:left="100" w:right="0"/>
        <w:jc w:val="left"/>
      </w:pPr>
      <w:r>
        <w:rPr>
          <w:color w:val="231F20"/>
        </w:rPr>
        <w:t>23</w:t>
      </w:r>
      <w:r>
        <w:rPr>
          <w:color w:val="231F20"/>
          <w:spacing w:val="-5"/>
        </w:rPr>
        <w:t> </w:t>
      </w:r>
      <w:r>
        <w:rPr>
          <w:color w:val="231F20"/>
        </w:rPr>
        <w:t>per</w:t>
      </w:r>
      <w:r>
        <w:rPr>
          <w:color w:val="231F20"/>
          <w:spacing w:val="-4"/>
        </w:rPr>
        <w:t> </w:t>
      </w:r>
      <w:r>
        <w:rPr>
          <w:color w:val="231F20"/>
        </w:rPr>
        <w:t>cent</w:t>
      </w:r>
      <w:r>
        <w:rPr>
          <w:color w:val="231F20"/>
          <w:spacing w:val="-5"/>
        </w:rPr>
        <w:t> </w:t>
      </w:r>
      <w:r>
        <w:rPr>
          <w:color w:val="231F20"/>
        </w:rPr>
        <w:t>of</w:t>
      </w:r>
      <w:r>
        <w:rPr>
          <w:color w:val="231F20"/>
          <w:spacing w:val="-4"/>
        </w:rPr>
        <w:t> </w:t>
      </w:r>
      <w:r>
        <w:rPr>
          <w:color w:val="231F20"/>
        </w:rPr>
        <w:t>tuition</w:t>
      </w:r>
      <w:r>
        <w:rPr>
          <w:color w:val="231F20"/>
          <w:spacing w:val="-5"/>
        </w:rPr>
        <w:t> </w:t>
      </w:r>
      <w:r>
        <w:rPr>
          <w:color w:val="231F20"/>
        </w:rPr>
        <w:t>revenue</w:t>
      </w:r>
      <w:r>
        <w:rPr>
          <w:color w:val="231F20"/>
          <w:spacing w:val="-5"/>
        </w:rPr>
        <w:t> </w:t>
      </w:r>
      <w:r>
        <w:rPr>
          <w:color w:val="231F20"/>
          <w:spacing w:val="-1"/>
        </w:rPr>
        <w:t>is</w:t>
      </w:r>
      <w:r>
        <w:rPr>
          <w:color w:val="231F20"/>
          <w:spacing w:val="-5"/>
        </w:rPr>
        <w:t> </w:t>
      </w:r>
      <w:r>
        <w:rPr>
          <w:color w:val="231F20"/>
          <w:spacing w:val="-1"/>
        </w:rPr>
        <w:t>sourced</w:t>
      </w:r>
      <w:r>
        <w:rPr>
          <w:color w:val="231F20"/>
          <w:spacing w:val="-4"/>
        </w:rPr>
        <w:t> </w:t>
      </w:r>
      <w:r>
        <w:rPr>
          <w:color w:val="231F20"/>
        </w:rPr>
        <w:t>from</w:t>
      </w:r>
      <w:r>
        <w:rPr>
          <w:color w:val="231F20"/>
          <w:spacing w:val="23"/>
          <w:w w:val="99"/>
        </w:rPr>
        <w:t> </w:t>
      </w:r>
      <w:r>
        <w:rPr>
          <w:color w:val="231F20"/>
        </w:rPr>
        <w:t>ABSTUDY.</w:t>
      </w:r>
      <w:r>
        <w:rPr>
          <w:color w:val="231F20"/>
          <w:spacing w:val="-5"/>
        </w:rPr>
        <w:t> </w:t>
      </w:r>
      <w:r>
        <w:rPr>
          <w:color w:val="231F20"/>
        </w:rPr>
        <w:t>The</w:t>
      </w:r>
      <w:r>
        <w:rPr>
          <w:color w:val="231F20"/>
          <w:spacing w:val="-4"/>
        </w:rPr>
        <w:t> </w:t>
      </w:r>
      <w:r>
        <w:rPr>
          <w:color w:val="231F20"/>
          <w:spacing w:val="-1"/>
        </w:rPr>
        <w:t>largest</w:t>
      </w:r>
      <w:r>
        <w:rPr>
          <w:color w:val="231F20"/>
          <w:spacing w:val="-5"/>
        </w:rPr>
        <w:t> </w:t>
      </w:r>
      <w:r>
        <w:rPr>
          <w:color w:val="231F20"/>
          <w:spacing w:val="-1"/>
        </w:rPr>
        <w:t>source</w:t>
      </w:r>
      <w:r>
        <w:rPr>
          <w:color w:val="231F20"/>
          <w:spacing w:val="-4"/>
        </w:rPr>
        <w:t> </w:t>
      </w:r>
      <w:r>
        <w:rPr>
          <w:color w:val="231F20"/>
        </w:rPr>
        <w:t>of</w:t>
      </w:r>
      <w:r>
        <w:rPr>
          <w:color w:val="231F20"/>
          <w:spacing w:val="-4"/>
        </w:rPr>
        <w:t> </w:t>
      </w:r>
      <w:r>
        <w:rPr>
          <w:color w:val="231F20"/>
        </w:rPr>
        <w:t>revenue</w:t>
      </w:r>
      <w:r>
        <w:rPr>
          <w:color w:val="231F20"/>
          <w:spacing w:val="-6"/>
        </w:rPr>
        <w:t> </w:t>
      </w:r>
      <w:r>
        <w:rPr>
          <w:color w:val="231F20"/>
        </w:rPr>
        <w:t>for</w:t>
      </w:r>
      <w:r>
        <w:rPr>
          <w:color w:val="231F20"/>
          <w:spacing w:val="23"/>
          <w:w w:val="99"/>
        </w:rPr>
        <w:t> </w:t>
      </w:r>
      <w:r>
        <w:rPr>
          <w:color w:val="231F20"/>
        </w:rPr>
        <w:t>all</w:t>
      </w:r>
      <w:r>
        <w:rPr>
          <w:color w:val="231F20"/>
          <w:spacing w:val="-7"/>
        </w:rPr>
        <w:t> </w:t>
      </w:r>
      <w:r>
        <w:rPr>
          <w:color w:val="231F20"/>
        </w:rPr>
        <w:t>four</w:t>
      </w:r>
      <w:r>
        <w:rPr>
          <w:color w:val="231F20"/>
          <w:spacing w:val="-6"/>
        </w:rPr>
        <w:t> </w:t>
      </w:r>
      <w:r>
        <w:rPr>
          <w:color w:val="231F20"/>
        </w:rPr>
        <w:t>boarding</w:t>
      </w:r>
      <w:r>
        <w:rPr>
          <w:color w:val="231F20"/>
          <w:spacing w:val="-7"/>
        </w:rPr>
        <w:t> </w:t>
      </w:r>
      <w:r>
        <w:rPr>
          <w:color w:val="231F20"/>
          <w:spacing w:val="-1"/>
        </w:rPr>
        <w:t>schools</w:t>
      </w:r>
      <w:r>
        <w:rPr>
          <w:color w:val="231F20"/>
          <w:spacing w:val="-6"/>
        </w:rPr>
        <w:t> </w:t>
      </w:r>
      <w:r>
        <w:rPr>
          <w:color w:val="231F20"/>
        </w:rPr>
        <w:t>was</w:t>
      </w:r>
      <w:r>
        <w:rPr>
          <w:color w:val="231F20"/>
          <w:spacing w:val="-6"/>
        </w:rPr>
        <w:t> </w:t>
      </w:r>
      <w:r>
        <w:rPr>
          <w:color w:val="231F20"/>
          <w:spacing w:val="-1"/>
        </w:rPr>
        <w:t>Commonwealth</w:t>
      </w:r>
      <w:r>
        <w:rPr>
          <w:color w:val="231F20"/>
          <w:spacing w:val="21"/>
          <w:w w:val="99"/>
        </w:rPr>
        <w:t> </w:t>
      </w:r>
      <w:r>
        <w:rPr>
          <w:color w:val="231F20"/>
        </w:rPr>
        <w:t>recurrent</w:t>
      </w:r>
      <w:r>
        <w:rPr>
          <w:color w:val="231F20"/>
          <w:spacing w:val="-9"/>
        </w:rPr>
        <w:t> </w:t>
      </w:r>
      <w:r>
        <w:rPr>
          <w:color w:val="231F20"/>
          <w:spacing w:val="-1"/>
        </w:rPr>
        <w:t>school</w:t>
      </w:r>
      <w:r>
        <w:rPr>
          <w:color w:val="231F20"/>
          <w:spacing w:val="-8"/>
        </w:rPr>
        <w:t> </w:t>
      </w:r>
      <w:r>
        <w:rPr>
          <w:color w:val="231F20"/>
        </w:rPr>
        <w:t>funding.</w:t>
      </w:r>
      <w:r>
        <w:rPr/>
      </w:r>
    </w:p>
    <w:p>
      <w:pPr>
        <w:pStyle w:val="BodyText"/>
        <w:spacing w:line="250" w:lineRule="exact" w:before="62"/>
        <w:ind w:left="100" w:right="243"/>
        <w:jc w:val="left"/>
      </w:pPr>
      <w:r>
        <w:rPr/>
        <w:br w:type="column"/>
      </w:r>
      <w:r>
        <w:rPr>
          <w:color w:val="231F20"/>
        </w:rPr>
        <w:t>All</w:t>
      </w:r>
      <w:r>
        <w:rPr>
          <w:color w:val="231F20"/>
          <w:spacing w:val="-6"/>
        </w:rPr>
        <w:t> </w:t>
      </w:r>
      <w:r>
        <w:rPr>
          <w:color w:val="231F20"/>
          <w:spacing w:val="-1"/>
        </w:rPr>
        <w:t>schools</w:t>
      </w:r>
      <w:r>
        <w:rPr>
          <w:color w:val="231F20"/>
          <w:spacing w:val="-4"/>
        </w:rPr>
        <w:t> </w:t>
      </w:r>
      <w:r>
        <w:rPr>
          <w:color w:val="231F20"/>
        </w:rPr>
        <w:t>have</w:t>
      </w:r>
      <w:r>
        <w:rPr>
          <w:color w:val="231F20"/>
          <w:spacing w:val="-5"/>
        </w:rPr>
        <w:t> </w:t>
      </w:r>
      <w:r>
        <w:rPr>
          <w:color w:val="231F20"/>
        </w:rPr>
        <w:t>a</w:t>
      </w:r>
      <w:r>
        <w:rPr>
          <w:color w:val="231F20"/>
          <w:spacing w:val="-4"/>
        </w:rPr>
        <w:t> </w:t>
      </w:r>
      <w:r>
        <w:rPr>
          <w:color w:val="231F20"/>
        </w:rPr>
        <w:t>proportion</w:t>
      </w:r>
      <w:r>
        <w:rPr>
          <w:color w:val="231F20"/>
          <w:spacing w:val="-5"/>
        </w:rPr>
        <w:t> </w:t>
      </w:r>
      <w:r>
        <w:rPr>
          <w:color w:val="231F20"/>
        </w:rPr>
        <w:t>of</w:t>
      </w:r>
      <w:r>
        <w:rPr>
          <w:color w:val="231F20"/>
          <w:spacing w:val="-4"/>
        </w:rPr>
        <w:t> </w:t>
      </w:r>
      <w:r>
        <w:rPr>
          <w:color w:val="231F20"/>
        </w:rPr>
        <w:t>Aboriginal</w:t>
      </w:r>
      <w:r>
        <w:rPr>
          <w:color w:val="231F20"/>
          <w:spacing w:val="-4"/>
        </w:rPr>
        <w:t> </w:t>
      </w:r>
      <w:r>
        <w:rPr>
          <w:color w:val="231F20"/>
        </w:rPr>
        <w:t>and</w:t>
      </w:r>
      <w:r>
        <w:rPr>
          <w:color w:val="231F20"/>
          <w:spacing w:val="22"/>
          <w:w w:val="99"/>
        </w:rPr>
        <w:t> </w:t>
      </w:r>
      <w:r>
        <w:rPr>
          <w:color w:val="231F20"/>
          <w:spacing w:val="-5"/>
        </w:rPr>
        <w:t>Torres</w:t>
      </w:r>
      <w:r>
        <w:rPr>
          <w:color w:val="231F20"/>
          <w:spacing w:val="-3"/>
        </w:rPr>
        <w:t> </w:t>
      </w:r>
      <w:r>
        <w:rPr>
          <w:color w:val="231F20"/>
          <w:spacing w:val="-2"/>
        </w:rPr>
        <w:t>Strait</w:t>
      </w:r>
      <w:r>
        <w:rPr>
          <w:color w:val="231F20"/>
          <w:spacing w:val="-4"/>
        </w:rPr>
        <w:t> </w:t>
      </w:r>
      <w:r>
        <w:rPr>
          <w:color w:val="231F20"/>
          <w:spacing w:val="-1"/>
        </w:rPr>
        <w:t>Islander</w:t>
      </w:r>
      <w:r>
        <w:rPr>
          <w:color w:val="231F20"/>
          <w:spacing w:val="-2"/>
        </w:rPr>
        <w:t> </w:t>
      </w:r>
      <w:r>
        <w:rPr>
          <w:color w:val="231F20"/>
          <w:spacing w:val="-1"/>
        </w:rPr>
        <w:t>students</w:t>
      </w:r>
      <w:r>
        <w:rPr>
          <w:color w:val="231F20"/>
          <w:spacing w:val="-3"/>
        </w:rPr>
        <w:t> </w:t>
      </w:r>
      <w:r>
        <w:rPr>
          <w:color w:val="231F20"/>
        </w:rPr>
        <w:t>to</w:t>
      </w:r>
      <w:r>
        <w:rPr>
          <w:color w:val="231F20"/>
          <w:spacing w:val="-3"/>
        </w:rPr>
        <w:t> </w:t>
      </w:r>
      <w:r>
        <w:rPr>
          <w:color w:val="231F20"/>
        </w:rPr>
        <w:t>total</w:t>
      </w:r>
      <w:r>
        <w:rPr>
          <w:color w:val="231F20"/>
          <w:spacing w:val="-3"/>
        </w:rPr>
        <w:t> </w:t>
      </w:r>
      <w:r>
        <w:rPr>
          <w:color w:val="231F20"/>
          <w:spacing w:val="-1"/>
        </w:rPr>
        <w:t>students</w:t>
      </w:r>
      <w:r>
        <w:rPr>
          <w:color w:val="231F20"/>
          <w:spacing w:val="22"/>
        </w:rPr>
        <w:t> </w:t>
      </w:r>
      <w:r>
        <w:rPr>
          <w:color w:val="231F20"/>
          <w:spacing w:val="-1"/>
        </w:rPr>
        <w:t>in</w:t>
      </w:r>
      <w:r>
        <w:rPr>
          <w:color w:val="231F20"/>
          <w:spacing w:val="-2"/>
        </w:rPr>
        <w:t> </w:t>
      </w:r>
      <w:r>
        <w:rPr>
          <w:color w:val="231F20"/>
        </w:rPr>
        <w:t>excess</w:t>
      </w:r>
      <w:r>
        <w:rPr>
          <w:color w:val="231F20"/>
          <w:spacing w:val="-2"/>
        </w:rPr>
        <w:t> </w:t>
      </w:r>
      <w:r>
        <w:rPr>
          <w:color w:val="231F20"/>
        </w:rPr>
        <w:t>of</w:t>
      </w:r>
      <w:r>
        <w:rPr>
          <w:color w:val="231F20"/>
          <w:spacing w:val="-2"/>
        </w:rPr>
        <w:t> </w:t>
      </w:r>
      <w:r>
        <w:rPr>
          <w:color w:val="231F20"/>
          <w:spacing w:val="-1"/>
        </w:rPr>
        <w:t>98 </w:t>
      </w:r>
      <w:r>
        <w:rPr>
          <w:color w:val="231F20"/>
        </w:rPr>
        <w:t>per</w:t>
      </w:r>
      <w:r>
        <w:rPr>
          <w:color w:val="231F20"/>
          <w:spacing w:val="-2"/>
        </w:rPr>
        <w:t> </w:t>
      </w:r>
      <w:r>
        <w:rPr>
          <w:color w:val="231F20"/>
        </w:rPr>
        <w:t>cent</w:t>
      </w:r>
      <w:r>
        <w:rPr>
          <w:color w:val="231F20"/>
          <w:spacing w:val="-2"/>
        </w:rPr>
        <w:t> </w:t>
      </w:r>
      <w:r>
        <w:rPr>
          <w:color w:val="231F20"/>
        </w:rPr>
        <w:t>and</w:t>
      </w:r>
      <w:r>
        <w:rPr>
          <w:color w:val="231F20"/>
          <w:spacing w:val="-3"/>
        </w:rPr>
        <w:t> </w:t>
      </w:r>
      <w:r>
        <w:rPr>
          <w:color w:val="231F20"/>
          <w:spacing w:val="-1"/>
        </w:rPr>
        <w:t>ICSEA scores</w:t>
      </w:r>
      <w:r>
        <w:rPr>
          <w:color w:val="231F20"/>
          <w:spacing w:val="23"/>
        </w:rPr>
        <w:t> </w:t>
      </w:r>
      <w:r>
        <w:rPr>
          <w:color w:val="231F20"/>
        </w:rPr>
        <w:t>below</w:t>
      </w:r>
      <w:r>
        <w:rPr>
          <w:color w:val="231F20"/>
          <w:spacing w:val="-9"/>
        </w:rPr>
        <w:t> </w:t>
      </w:r>
      <w:r>
        <w:rPr>
          <w:color w:val="231F20"/>
          <w:spacing w:val="-1"/>
        </w:rPr>
        <w:t>690</w:t>
      </w:r>
      <w:r>
        <w:rPr>
          <w:color w:val="231F20"/>
          <w:spacing w:val="-8"/>
        </w:rPr>
        <w:t> </w:t>
      </w:r>
      <w:r>
        <w:rPr>
          <w:color w:val="231F20"/>
        </w:rPr>
        <w:t>(extremely</w:t>
      </w:r>
      <w:r>
        <w:rPr>
          <w:color w:val="231F20"/>
          <w:spacing w:val="-9"/>
        </w:rPr>
        <w:t> </w:t>
      </w:r>
      <w:r>
        <w:rPr>
          <w:color w:val="231F20"/>
        </w:rPr>
        <w:t>disadvantaged).</w:t>
      </w:r>
      <w:r>
        <w:rPr>
          <w:color w:val="231F20"/>
          <w:spacing w:val="-9"/>
        </w:rPr>
        <w:t> </w:t>
      </w:r>
      <w:r>
        <w:rPr>
          <w:color w:val="231F20"/>
        </w:rPr>
        <w:t>The</w:t>
      </w:r>
      <w:r>
        <w:rPr>
          <w:color w:val="231F20"/>
          <w:spacing w:val="21"/>
          <w:w w:val="99"/>
        </w:rPr>
        <w:t> </w:t>
      </w:r>
      <w:r>
        <w:rPr>
          <w:color w:val="231F20"/>
          <w:spacing w:val="-1"/>
        </w:rPr>
        <w:t>ICSEA</w:t>
      </w:r>
      <w:r>
        <w:rPr>
          <w:color w:val="231F20"/>
          <w:spacing w:val="-3"/>
        </w:rPr>
        <w:t> </w:t>
      </w:r>
      <w:r>
        <w:rPr>
          <w:color w:val="231F20"/>
          <w:spacing w:val="-1"/>
        </w:rPr>
        <w:t>scores</w:t>
      </w:r>
      <w:r>
        <w:rPr>
          <w:color w:val="231F20"/>
          <w:spacing w:val="-3"/>
        </w:rPr>
        <w:t> </w:t>
      </w:r>
      <w:r>
        <w:rPr>
          <w:color w:val="231F20"/>
        </w:rPr>
        <w:t>of</w:t>
      </w:r>
      <w:r>
        <w:rPr>
          <w:color w:val="231F20"/>
          <w:spacing w:val="-3"/>
        </w:rPr>
        <w:t> </w:t>
      </w:r>
      <w:r>
        <w:rPr>
          <w:color w:val="231F20"/>
        </w:rPr>
        <w:t>the</w:t>
      </w:r>
      <w:r>
        <w:rPr>
          <w:color w:val="231F20"/>
          <w:spacing w:val="-4"/>
        </w:rPr>
        <w:t> </w:t>
      </w:r>
      <w:r>
        <w:rPr>
          <w:color w:val="231F20"/>
        </w:rPr>
        <w:t>four</w:t>
      </w:r>
      <w:r>
        <w:rPr>
          <w:color w:val="231F20"/>
          <w:spacing w:val="-2"/>
        </w:rPr>
        <w:t> </w:t>
      </w:r>
      <w:r>
        <w:rPr>
          <w:color w:val="231F20"/>
          <w:spacing w:val="-1"/>
        </w:rPr>
        <w:t>schools</w:t>
      </w:r>
      <w:r>
        <w:rPr>
          <w:color w:val="231F20"/>
          <w:spacing w:val="-3"/>
        </w:rPr>
        <w:t> </w:t>
      </w:r>
      <w:r>
        <w:rPr>
          <w:color w:val="231F20"/>
        </w:rPr>
        <w:t>are</w:t>
      </w:r>
      <w:r>
        <w:rPr>
          <w:color w:val="231F20"/>
          <w:spacing w:val="-4"/>
        </w:rPr>
        <w:t> </w:t>
      </w:r>
      <w:r>
        <w:rPr>
          <w:color w:val="231F20"/>
          <w:spacing w:val="-1"/>
        </w:rPr>
        <w:t>indicative</w:t>
      </w:r>
      <w:r>
        <w:rPr>
          <w:color w:val="231F20"/>
          <w:spacing w:val="23"/>
          <w:w w:val="99"/>
        </w:rPr>
        <w:t> </w:t>
      </w:r>
      <w:r>
        <w:rPr>
          <w:color w:val="231F20"/>
        </w:rPr>
        <w:t>of</w:t>
      </w:r>
      <w:r>
        <w:rPr>
          <w:color w:val="231F20"/>
          <w:spacing w:val="-4"/>
        </w:rPr>
        <w:t> </w:t>
      </w:r>
      <w:r>
        <w:rPr>
          <w:color w:val="231F20"/>
          <w:spacing w:val="-1"/>
        </w:rPr>
        <w:t>limited</w:t>
      </w:r>
      <w:r>
        <w:rPr>
          <w:color w:val="231F20"/>
          <w:spacing w:val="-3"/>
        </w:rPr>
        <w:t> </w:t>
      </w:r>
      <w:r>
        <w:rPr>
          <w:color w:val="231F20"/>
        </w:rPr>
        <w:t>or</w:t>
      </w:r>
      <w:r>
        <w:rPr>
          <w:color w:val="231F20"/>
          <w:spacing w:val="-3"/>
        </w:rPr>
        <w:t> </w:t>
      </w:r>
      <w:r>
        <w:rPr>
          <w:color w:val="231F20"/>
        </w:rPr>
        <w:t>no</w:t>
      </w:r>
      <w:r>
        <w:rPr>
          <w:color w:val="231F20"/>
          <w:spacing w:val="-4"/>
        </w:rPr>
        <w:t> </w:t>
      </w:r>
      <w:r>
        <w:rPr>
          <w:color w:val="231F20"/>
        </w:rPr>
        <w:t>capacity</w:t>
      </w:r>
      <w:r>
        <w:rPr>
          <w:color w:val="231F20"/>
          <w:spacing w:val="-4"/>
        </w:rPr>
        <w:t> </w:t>
      </w:r>
      <w:r>
        <w:rPr>
          <w:color w:val="231F20"/>
        </w:rPr>
        <w:t>of</w:t>
      </w:r>
      <w:r>
        <w:rPr>
          <w:color w:val="231F20"/>
          <w:spacing w:val="-3"/>
        </w:rPr>
        <w:t> </w:t>
      </w:r>
      <w:r>
        <w:rPr>
          <w:color w:val="231F20"/>
        </w:rPr>
        <w:t>parents</w:t>
      </w:r>
      <w:r>
        <w:rPr>
          <w:color w:val="231F20"/>
          <w:spacing w:val="-5"/>
        </w:rPr>
        <w:t> </w:t>
      </w:r>
      <w:r>
        <w:rPr>
          <w:color w:val="231F20"/>
        </w:rPr>
        <w:t>to</w:t>
      </w:r>
      <w:r>
        <w:rPr>
          <w:color w:val="231F20"/>
          <w:spacing w:val="-3"/>
        </w:rPr>
        <w:t> </w:t>
      </w:r>
      <w:r>
        <w:rPr>
          <w:color w:val="231F20"/>
        </w:rPr>
        <w:t>pay</w:t>
      </w:r>
      <w:r>
        <w:rPr/>
      </w:r>
    </w:p>
    <w:p>
      <w:pPr>
        <w:pStyle w:val="BodyText"/>
        <w:spacing w:line="250" w:lineRule="exact"/>
        <w:ind w:left="100" w:right="193"/>
        <w:jc w:val="left"/>
      </w:pPr>
      <w:r>
        <w:rPr>
          <w:color w:val="231F20"/>
        </w:rPr>
        <w:t>fees</w:t>
      </w:r>
      <w:r>
        <w:rPr>
          <w:color w:val="231F20"/>
          <w:spacing w:val="-2"/>
        </w:rPr>
        <w:t> </w:t>
      </w:r>
      <w:r>
        <w:rPr>
          <w:color w:val="231F20"/>
          <w:spacing w:val="-1"/>
        </w:rPr>
        <w:t>in</w:t>
      </w:r>
      <w:r>
        <w:rPr>
          <w:color w:val="231F20"/>
        </w:rPr>
        <w:t> excess</w:t>
      </w:r>
      <w:r>
        <w:rPr>
          <w:color w:val="231F20"/>
          <w:spacing w:val="-1"/>
        </w:rPr>
        <w:t> </w:t>
      </w:r>
      <w:r>
        <w:rPr>
          <w:color w:val="231F20"/>
        </w:rPr>
        <w:t>of ABSTUDY</w:t>
      </w:r>
      <w:r>
        <w:rPr>
          <w:color w:val="231F20"/>
          <w:spacing w:val="-1"/>
        </w:rPr>
        <w:t> </w:t>
      </w:r>
      <w:r>
        <w:rPr>
          <w:color w:val="231F20"/>
        </w:rPr>
        <w:t>entitlements.</w:t>
      </w:r>
      <w:r>
        <w:rPr>
          <w:color w:val="231F20"/>
          <w:spacing w:val="-2"/>
        </w:rPr>
        <w:t> </w:t>
      </w:r>
      <w:r>
        <w:rPr>
          <w:color w:val="231F20"/>
          <w:spacing w:val="-5"/>
        </w:rPr>
        <w:t>Total</w:t>
      </w:r>
      <w:r>
        <w:rPr>
          <w:color w:val="231F20"/>
          <w:spacing w:val="21"/>
          <w:w w:val="99"/>
        </w:rPr>
        <w:t> </w:t>
      </w:r>
      <w:r>
        <w:rPr>
          <w:color w:val="231F20"/>
        </w:rPr>
        <w:t>private</w:t>
      </w:r>
      <w:r>
        <w:rPr>
          <w:color w:val="231F20"/>
          <w:spacing w:val="-6"/>
        </w:rPr>
        <w:t> </w:t>
      </w:r>
      <w:r>
        <w:rPr>
          <w:color w:val="231F20"/>
          <w:spacing w:val="-1"/>
        </w:rPr>
        <w:t>income,</w:t>
      </w:r>
      <w:r>
        <w:rPr>
          <w:color w:val="231F20"/>
          <w:spacing w:val="-5"/>
        </w:rPr>
        <w:t> </w:t>
      </w:r>
      <w:r>
        <w:rPr>
          <w:color w:val="231F20"/>
          <w:spacing w:val="-1"/>
        </w:rPr>
        <w:t>such</w:t>
      </w:r>
      <w:r>
        <w:rPr>
          <w:color w:val="231F20"/>
          <w:spacing w:val="-4"/>
        </w:rPr>
        <w:t> </w:t>
      </w:r>
      <w:r>
        <w:rPr>
          <w:color w:val="231F20"/>
        </w:rPr>
        <w:t>as</w:t>
      </w:r>
      <w:r>
        <w:rPr>
          <w:color w:val="231F20"/>
          <w:spacing w:val="-6"/>
        </w:rPr>
        <w:t> </w:t>
      </w:r>
      <w:r>
        <w:rPr>
          <w:color w:val="231F20"/>
        </w:rPr>
        <w:t>donations,</w:t>
      </w:r>
      <w:r>
        <w:rPr>
          <w:color w:val="231F20"/>
          <w:spacing w:val="-5"/>
        </w:rPr>
        <w:t> </w:t>
      </w:r>
      <w:r>
        <w:rPr>
          <w:color w:val="231F20"/>
        </w:rPr>
        <w:t>parental</w:t>
      </w:r>
      <w:r>
        <w:rPr>
          <w:color w:val="231F20"/>
          <w:spacing w:val="23"/>
          <w:w w:val="99"/>
        </w:rPr>
        <w:t> </w:t>
      </w:r>
      <w:r>
        <w:rPr>
          <w:color w:val="231F20"/>
        </w:rPr>
        <w:t>contributions</w:t>
      </w:r>
      <w:r>
        <w:rPr>
          <w:color w:val="231F20"/>
          <w:spacing w:val="-10"/>
        </w:rPr>
        <w:t> </w:t>
      </w:r>
      <w:r>
        <w:rPr>
          <w:color w:val="231F20"/>
        </w:rPr>
        <w:t>and</w:t>
      </w:r>
      <w:r>
        <w:rPr>
          <w:color w:val="231F20"/>
          <w:spacing w:val="-10"/>
        </w:rPr>
        <w:t> </w:t>
      </w:r>
      <w:r>
        <w:rPr>
          <w:color w:val="231F20"/>
        </w:rPr>
        <w:t>government</w:t>
      </w:r>
      <w:r>
        <w:rPr>
          <w:color w:val="231F20"/>
          <w:spacing w:val="-10"/>
        </w:rPr>
        <w:t> </w:t>
      </w:r>
      <w:r>
        <w:rPr>
          <w:color w:val="231F20"/>
        </w:rPr>
        <w:t>funding</w:t>
      </w:r>
      <w:r>
        <w:rPr>
          <w:color w:val="231F20"/>
          <w:spacing w:val="-9"/>
        </w:rPr>
        <w:t> </w:t>
      </w:r>
      <w:r>
        <w:rPr>
          <w:color w:val="231F20"/>
        </w:rPr>
        <w:t>for</w:t>
      </w:r>
      <w:r>
        <w:rPr>
          <w:color w:val="231F20"/>
          <w:w w:val="99"/>
        </w:rPr>
        <w:t> </w:t>
      </w:r>
      <w:r>
        <w:rPr>
          <w:color w:val="231F20"/>
        </w:rPr>
        <w:t>boarding</w:t>
      </w:r>
      <w:r>
        <w:rPr>
          <w:color w:val="231F20"/>
          <w:spacing w:val="-4"/>
        </w:rPr>
        <w:t> </w:t>
      </w:r>
      <w:r>
        <w:rPr>
          <w:color w:val="231F20"/>
          <w:spacing w:val="-1"/>
        </w:rPr>
        <w:t>is</w:t>
      </w:r>
      <w:r>
        <w:rPr>
          <w:color w:val="231F20"/>
          <w:spacing w:val="-3"/>
        </w:rPr>
        <w:t> </w:t>
      </w:r>
      <w:r>
        <w:rPr>
          <w:color w:val="231F20"/>
          <w:spacing w:val="-1"/>
        </w:rPr>
        <w:t>limited</w:t>
      </w:r>
      <w:r>
        <w:rPr>
          <w:color w:val="231F20"/>
          <w:spacing w:val="-3"/>
        </w:rPr>
        <w:t> </w:t>
      </w:r>
      <w:r>
        <w:rPr>
          <w:color w:val="231F20"/>
        </w:rPr>
        <w:t>to</w:t>
      </w:r>
      <w:r>
        <w:rPr>
          <w:color w:val="231F20"/>
          <w:spacing w:val="-2"/>
        </w:rPr>
        <w:t> </w:t>
      </w:r>
      <w:r>
        <w:rPr>
          <w:color w:val="231F20"/>
          <w:spacing w:val="-1"/>
        </w:rPr>
        <w:t>less</w:t>
      </w:r>
      <w:r>
        <w:rPr>
          <w:color w:val="231F20"/>
          <w:spacing w:val="-3"/>
        </w:rPr>
        <w:t> </w:t>
      </w:r>
      <w:r>
        <w:rPr>
          <w:color w:val="231F20"/>
        </w:rPr>
        <w:t>9</w:t>
      </w:r>
      <w:r>
        <w:rPr>
          <w:color w:val="231F20"/>
          <w:spacing w:val="-2"/>
        </w:rPr>
        <w:t> </w:t>
      </w:r>
      <w:r>
        <w:rPr>
          <w:color w:val="231F20"/>
        </w:rPr>
        <w:t>per</w:t>
      </w:r>
      <w:r>
        <w:rPr>
          <w:color w:val="231F20"/>
          <w:spacing w:val="-3"/>
        </w:rPr>
        <w:t> </w:t>
      </w:r>
      <w:r>
        <w:rPr>
          <w:color w:val="231F20"/>
        </w:rPr>
        <w:t>cent</w:t>
      </w:r>
      <w:r>
        <w:rPr>
          <w:color w:val="231F20"/>
          <w:spacing w:val="-3"/>
        </w:rPr>
        <w:t> </w:t>
      </w:r>
      <w:r>
        <w:rPr>
          <w:color w:val="231F20"/>
        </w:rPr>
        <w:t>of</w:t>
      </w:r>
      <w:r>
        <w:rPr>
          <w:color w:val="231F20"/>
          <w:spacing w:val="-3"/>
        </w:rPr>
        <w:t> </w:t>
      </w:r>
      <w:r>
        <w:rPr>
          <w:color w:val="231F20"/>
        </w:rPr>
        <w:t>total</w:t>
      </w:r>
      <w:r>
        <w:rPr>
          <w:color w:val="231F20"/>
          <w:spacing w:val="24"/>
          <w:w w:val="99"/>
        </w:rPr>
        <w:t> </w:t>
      </w:r>
      <w:r>
        <w:rPr>
          <w:color w:val="231F20"/>
        </w:rPr>
        <w:t>boarding</w:t>
      </w:r>
      <w:r>
        <w:rPr>
          <w:color w:val="231F20"/>
          <w:spacing w:val="-10"/>
        </w:rPr>
        <w:t> </w:t>
      </w:r>
      <w:r>
        <w:rPr>
          <w:color w:val="231F20"/>
          <w:spacing w:val="-1"/>
        </w:rPr>
        <w:t>income.</w:t>
      </w:r>
      <w:r>
        <w:rPr/>
      </w:r>
    </w:p>
    <w:p>
      <w:pPr>
        <w:spacing w:after="0" w:line="250" w:lineRule="exact"/>
        <w:jc w:val="left"/>
        <w:sectPr>
          <w:type w:val="continuous"/>
          <w:pgSz w:w="11910" w:h="16840"/>
          <w:pgMar w:top="1580" w:bottom="280" w:left="1600" w:right="1280"/>
          <w:cols w:num="2" w:equalWidth="0">
            <w:col w:w="4141" w:space="395"/>
            <w:col w:w="4494"/>
          </w:cols>
        </w:sectPr>
      </w:pPr>
    </w:p>
    <w:p>
      <w:pPr>
        <w:spacing w:line="240" w:lineRule="auto" w:before="9"/>
        <w:rPr>
          <w:rFonts w:ascii="Segoe UI" w:hAnsi="Segoe UI" w:cs="Segoe UI" w:eastAsia="Segoe UI"/>
          <w:sz w:val="28"/>
          <w:szCs w:val="28"/>
        </w:rPr>
      </w:pPr>
    </w:p>
    <w:p>
      <w:pPr>
        <w:spacing w:before="57"/>
        <w:ind w:left="103" w:right="0" w:firstLine="0"/>
        <w:jc w:val="left"/>
        <w:rPr>
          <w:rFonts w:ascii="Segoe UI Semibold" w:hAnsi="Segoe UI Semibold" w:cs="Segoe UI Semibold" w:eastAsia="Segoe UI Semibold"/>
          <w:sz w:val="16"/>
          <w:szCs w:val="16"/>
        </w:rPr>
      </w:pPr>
      <w:r>
        <w:rPr>
          <w:rFonts w:ascii="Segoe UI Semibold"/>
          <w:b/>
          <w:color w:val="666155"/>
          <w:spacing w:val="-1"/>
          <w:sz w:val="16"/>
        </w:rPr>
        <w:t>TABLE</w:t>
      </w:r>
      <w:r>
        <w:rPr>
          <w:rFonts w:ascii="Segoe UI Semibold"/>
          <w:b/>
          <w:color w:val="666155"/>
          <w:spacing w:val="-9"/>
          <w:sz w:val="16"/>
        </w:rPr>
        <w:t> </w:t>
      </w:r>
      <w:r>
        <w:rPr>
          <w:rFonts w:ascii="Segoe UI Semibold"/>
          <w:b/>
          <w:color w:val="666155"/>
          <w:spacing w:val="-2"/>
          <w:sz w:val="16"/>
        </w:rPr>
        <w:t>8:</w:t>
      </w:r>
      <w:r>
        <w:rPr>
          <w:rFonts w:ascii="Segoe UI Semibold"/>
          <w:b/>
          <w:color w:val="666155"/>
          <w:spacing w:val="-8"/>
          <w:sz w:val="16"/>
        </w:rPr>
        <w:t> </w:t>
      </w:r>
      <w:r>
        <w:rPr>
          <w:rFonts w:ascii="Segoe UI Semibold"/>
          <w:b/>
          <w:color w:val="666155"/>
          <w:spacing w:val="1"/>
          <w:sz w:val="16"/>
        </w:rPr>
        <w:t>RELIANCE</w:t>
      </w:r>
      <w:r>
        <w:rPr>
          <w:rFonts w:ascii="Segoe UI Semibold"/>
          <w:b/>
          <w:color w:val="666155"/>
          <w:spacing w:val="-6"/>
          <w:sz w:val="16"/>
        </w:rPr>
        <w:t> </w:t>
      </w:r>
      <w:r>
        <w:rPr>
          <w:rFonts w:ascii="Segoe UI Semibold"/>
          <w:b/>
          <w:color w:val="666155"/>
          <w:spacing w:val="1"/>
          <w:sz w:val="16"/>
        </w:rPr>
        <w:t>ON</w:t>
      </w:r>
      <w:r>
        <w:rPr>
          <w:rFonts w:ascii="Segoe UI Semibold"/>
          <w:b/>
          <w:color w:val="666155"/>
          <w:spacing w:val="-6"/>
          <w:sz w:val="16"/>
        </w:rPr>
        <w:t> </w:t>
      </w:r>
      <w:r>
        <w:rPr>
          <w:rFonts w:ascii="Segoe UI Semibold"/>
          <w:b/>
          <w:color w:val="666155"/>
          <w:spacing w:val="-1"/>
          <w:sz w:val="16"/>
        </w:rPr>
        <w:t>ABSTUDY,</w:t>
      </w:r>
      <w:r>
        <w:rPr>
          <w:rFonts w:ascii="Segoe UI Semibold"/>
          <w:b/>
          <w:color w:val="666155"/>
          <w:spacing w:val="-8"/>
          <w:sz w:val="16"/>
        </w:rPr>
        <w:t> </w:t>
      </w:r>
      <w:r>
        <w:rPr>
          <w:rFonts w:ascii="Segoe UI Semibold"/>
          <w:b/>
          <w:color w:val="666155"/>
          <w:spacing w:val="1"/>
          <w:sz w:val="16"/>
        </w:rPr>
        <w:t>SELECTED</w:t>
      </w:r>
      <w:r>
        <w:rPr>
          <w:rFonts w:ascii="Segoe UI Semibold"/>
          <w:b/>
          <w:color w:val="666155"/>
          <w:spacing w:val="-6"/>
          <w:sz w:val="16"/>
        </w:rPr>
        <w:t> </w:t>
      </w:r>
      <w:r>
        <w:rPr>
          <w:rFonts w:ascii="Segoe UI Semibold"/>
          <w:b/>
          <w:color w:val="666155"/>
          <w:spacing w:val="1"/>
          <w:sz w:val="16"/>
        </w:rPr>
        <w:t>ABORIGINAL</w:t>
      </w:r>
      <w:r>
        <w:rPr>
          <w:rFonts w:ascii="Segoe UI Semibold"/>
          <w:b/>
          <w:color w:val="666155"/>
          <w:spacing w:val="-6"/>
          <w:sz w:val="16"/>
        </w:rPr>
        <w:t> </w:t>
      </w:r>
      <w:r>
        <w:rPr>
          <w:rFonts w:ascii="Segoe UI Semibold"/>
          <w:b/>
          <w:color w:val="666155"/>
          <w:spacing w:val="1"/>
          <w:sz w:val="16"/>
        </w:rPr>
        <w:t>AND</w:t>
      </w:r>
      <w:r>
        <w:rPr>
          <w:rFonts w:ascii="Segoe UI Semibold"/>
          <w:b/>
          <w:color w:val="666155"/>
          <w:spacing w:val="-5"/>
          <w:sz w:val="16"/>
        </w:rPr>
        <w:t> </w:t>
      </w:r>
      <w:r>
        <w:rPr>
          <w:rFonts w:ascii="Segoe UI Semibold"/>
          <w:b/>
          <w:color w:val="666155"/>
          <w:sz w:val="16"/>
        </w:rPr>
        <w:t>TORRES</w:t>
      </w:r>
      <w:r>
        <w:rPr>
          <w:rFonts w:ascii="Segoe UI Semibold"/>
          <w:b/>
          <w:color w:val="666155"/>
          <w:spacing w:val="-6"/>
          <w:sz w:val="16"/>
        </w:rPr>
        <w:t> </w:t>
      </w:r>
      <w:r>
        <w:rPr>
          <w:rFonts w:ascii="Segoe UI Semibold"/>
          <w:b/>
          <w:color w:val="666155"/>
          <w:spacing w:val="1"/>
          <w:sz w:val="16"/>
        </w:rPr>
        <w:t>STRAIT</w:t>
      </w:r>
      <w:r>
        <w:rPr>
          <w:rFonts w:ascii="Segoe UI Semibold"/>
          <w:b/>
          <w:color w:val="666155"/>
          <w:spacing w:val="-6"/>
          <w:sz w:val="16"/>
        </w:rPr>
        <w:t> </w:t>
      </w:r>
      <w:r>
        <w:rPr>
          <w:rFonts w:ascii="Segoe UI Semibold"/>
          <w:b/>
          <w:color w:val="666155"/>
          <w:spacing w:val="2"/>
          <w:sz w:val="16"/>
        </w:rPr>
        <w:t>ISLANDER</w:t>
      </w:r>
      <w:r>
        <w:rPr>
          <w:rFonts w:ascii="Segoe UI Semibold"/>
          <w:b/>
          <w:color w:val="666155"/>
          <w:spacing w:val="-6"/>
          <w:sz w:val="16"/>
        </w:rPr>
        <w:t> </w:t>
      </w:r>
      <w:r>
        <w:rPr>
          <w:rFonts w:ascii="Segoe UI Semibold"/>
          <w:b/>
          <w:color w:val="666155"/>
          <w:spacing w:val="1"/>
          <w:sz w:val="16"/>
        </w:rPr>
        <w:t>BOARDING</w:t>
      </w:r>
      <w:r>
        <w:rPr>
          <w:rFonts w:ascii="Segoe UI Semibold"/>
          <w:b/>
          <w:color w:val="666155"/>
          <w:spacing w:val="-5"/>
          <w:sz w:val="16"/>
        </w:rPr>
        <w:t> </w:t>
      </w:r>
      <w:r>
        <w:rPr>
          <w:rFonts w:ascii="Segoe UI Semibold"/>
          <w:b/>
          <w:color w:val="666155"/>
          <w:spacing w:val="1"/>
          <w:sz w:val="16"/>
        </w:rPr>
        <w:t>PROVIDERS,</w:t>
      </w:r>
      <w:r>
        <w:rPr>
          <w:rFonts w:ascii="Segoe UI Semibold"/>
          <w:b/>
          <w:color w:val="666155"/>
          <w:spacing w:val="-11"/>
          <w:sz w:val="16"/>
        </w:rPr>
        <w:t> </w:t>
      </w:r>
      <w:r>
        <w:rPr>
          <w:rFonts w:ascii="Segoe UI Semibold"/>
          <w:b/>
          <w:color w:val="666155"/>
          <w:spacing w:val="-3"/>
          <w:sz w:val="16"/>
        </w:rPr>
        <w:t>2017</w:t>
      </w:r>
      <w:r>
        <w:rPr>
          <w:rFonts w:ascii="Segoe UI Semibold"/>
          <w:sz w:val="16"/>
        </w:rPr>
      </w:r>
    </w:p>
    <w:p>
      <w:pPr>
        <w:spacing w:line="240" w:lineRule="auto" w:before="12"/>
        <w:rPr>
          <w:rFonts w:ascii="Segoe UI Semibold" w:hAnsi="Segoe UI Semibold" w:cs="Segoe UI Semibold" w:eastAsia="Segoe UI Semibold"/>
          <w:b/>
          <w:bCs/>
          <w:sz w:val="11"/>
          <w:szCs w:val="11"/>
        </w:rPr>
      </w:pPr>
    </w:p>
    <w:tbl>
      <w:tblPr>
        <w:tblW w:w="0" w:type="auto"/>
        <w:jc w:val="left"/>
        <w:tblInd w:w="100" w:type="dxa"/>
        <w:tblLayout w:type="fixed"/>
        <w:tblCellMar>
          <w:top w:w="0" w:type="dxa"/>
          <w:left w:w="0" w:type="dxa"/>
          <w:bottom w:w="0" w:type="dxa"/>
          <w:right w:w="0" w:type="dxa"/>
        </w:tblCellMar>
        <w:tblLook w:val="01E0"/>
      </w:tblPr>
      <w:tblGrid>
        <w:gridCol w:w="3261"/>
        <w:gridCol w:w="1379"/>
        <w:gridCol w:w="1379"/>
        <w:gridCol w:w="1379"/>
        <w:gridCol w:w="1379"/>
      </w:tblGrid>
      <w:tr>
        <w:trPr>
          <w:trHeight w:val="543" w:hRule="exact"/>
        </w:trPr>
        <w:tc>
          <w:tcPr>
            <w:tcW w:w="3261" w:type="dxa"/>
            <w:tcBorders>
              <w:top w:val="single" w:sz="4" w:space="0" w:color="C1B5A9"/>
              <w:left w:val="single" w:sz="4" w:space="0" w:color="C1B5A9"/>
              <w:bottom w:val="single" w:sz="4" w:space="0" w:color="C1B5A9"/>
              <w:right w:val="single" w:sz="4" w:space="0" w:color="C1B5A9"/>
            </w:tcBorders>
            <w:shd w:val="clear" w:color="auto" w:fill="C1B5A9"/>
          </w:tcPr>
          <w:p>
            <w:pPr/>
          </w:p>
        </w:tc>
        <w:tc>
          <w:tcPr>
            <w:tcW w:w="1379"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00" w:lineRule="exact" w:before="65"/>
              <w:ind w:left="144" w:right="106" w:firstLine="476"/>
              <w:jc w:val="left"/>
              <w:rPr>
                <w:rFonts w:ascii="Segoe UI" w:hAnsi="Segoe UI" w:cs="Segoe UI" w:eastAsia="Segoe UI"/>
                <w:sz w:val="16"/>
                <w:szCs w:val="16"/>
              </w:rPr>
            </w:pPr>
            <w:r>
              <w:rPr>
                <w:rFonts w:ascii="Segoe UI"/>
                <w:color w:val="231F20"/>
                <w:spacing w:val="-1"/>
                <w:sz w:val="16"/>
              </w:rPr>
              <w:t>Boarding</w:t>
            </w:r>
            <w:r>
              <w:rPr>
                <w:rFonts w:ascii="Segoe UI"/>
                <w:color w:val="231F20"/>
                <w:spacing w:val="20"/>
                <w:w w:val="99"/>
                <w:sz w:val="16"/>
              </w:rPr>
              <w:t> </w:t>
            </w:r>
            <w:r>
              <w:rPr>
                <w:rFonts w:ascii="Segoe UI"/>
                <w:color w:val="231F20"/>
                <w:sz w:val="16"/>
              </w:rPr>
              <w:t>provider</w:t>
            </w:r>
            <w:r>
              <w:rPr>
                <w:rFonts w:ascii="Segoe UI"/>
                <w:color w:val="231F20"/>
                <w:spacing w:val="-6"/>
                <w:sz w:val="16"/>
              </w:rPr>
              <w:t> </w:t>
            </w:r>
            <w:r>
              <w:rPr>
                <w:rFonts w:ascii="Segoe UI"/>
                <w:color w:val="231F20"/>
                <w:sz w:val="16"/>
              </w:rPr>
              <w:t>1</w:t>
            </w:r>
            <w:r>
              <w:rPr>
                <w:rFonts w:ascii="Segoe UI"/>
                <w:color w:val="231F20"/>
                <w:spacing w:val="-5"/>
                <w:sz w:val="16"/>
              </w:rPr>
              <w:t> </w:t>
            </w:r>
            <w:r>
              <w:rPr>
                <w:rFonts w:ascii="Segoe UI"/>
                <w:color w:val="231F20"/>
                <w:sz w:val="16"/>
              </w:rPr>
              <w:t>(Qld)</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00" w:lineRule="exact" w:before="65"/>
              <w:ind w:left="144" w:right="106" w:firstLine="476"/>
              <w:jc w:val="left"/>
              <w:rPr>
                <w:rFonts w:ascii="Segoe UI" w:hAnsi="Segoe UI" w:cs="Segoe UI" w:eastAsia="Segoe UI"/>
                <w:sz w:val="16"/>
                <w:szCs w:val="16"/>
              </w:rPr>
            </w:pPr>
            <w:r>
              <w:rPr>
                <w:rFonts w:ascii="Segoe UI"/>
                <w:color w:val="231F20"/>
                <w:spacing w:val="-1"/>
                <w:sz w:val="16"/>
              </w:rPr>
              <w:t>Boarding</w:t>
            </w:r>
            <w:r>
              <w:rPr>
                <w:rFonts w:ascii="Segoe UI"/>
                <w:color w:val="231F20"/>
                <w:spacing w:val="20"/>
                <w:w w:val="99"/>
                <w:sz w:val="16"/>
              </w:rPr>
              <w:t> </w:t>
            </w:r>
            <w:r>
              <w:rPr>
                <w:rFonts w:ascii="Segoe UI"/>
                <w:color w:val="231F20"/>
                <w:sz w:val="16"/>
              </w:rPr>
              <w:t>provider</w:t>
            </w:r>
            <w:r>
              <w:rPr>
                <w:rFonts w:ascii="Segoe UI"/>
                <w:color w:val="231F20"/>
                <w:spacing w:val="-6"/>
                <w:sz w:val="16"/>
              </w:rPr>
              <w:t> </w:t>
            </w:r>
            <w:r>
              <w:rPr>
                <w:rFonts w:ascii="Segoe UI"/>
                <w:color w:val="231F20"/>
                <w:sz w:val="16"/>
              </w:rPr>
              <w:t>2</w:t>
            </w:r>
            <w:r>
              <w:rPr>
                <w:rFonts w:ascii="Segoe UI"/>
                <w:color w:val="231F20"/>
                <w:spacing w:val="-5"/>
                <w:sz w:val="16"/>
              </w:rPr>
              <w:t> </w:t>
            </w:r>
            <w:r>
              <w:rPr>
                <w:rFonts w:ascii="Segoe UI"/>
                <w:color w:val="231F20"/>
                <w:sz w:val="16"/>
              </w:rPr>
              <w:t>(Qld)</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00" w:lineRule="exact" w:before="65"/>
              <w:ind w:left="185" w:right="106" w:firstLine="434"/>
              <w:jc w:val="left"/>
              <w:rPr>
                <w:rFonts w:ascii="Segoe UI" w:hAnsi="Segoe UI" w:cs="Segoe UI" w:eastAsia="Segoe UI"/>
                <w:sz w:val="16"/>
                <w:szCs w:val="16"/>
              </w:rPr>
            </w:pPr>
            <w:r>
              <w:rPr>
                <w:rFonts w:ascii="Segoe UI"/>
                <w:color w:val="231F20"/>
                <w:spacing w:val="-1"/>
                <w:sz w:val="16"/>
              </w:rPr>
              <w:t>Boarding</w:t>
            </w:r>
            <w:r>
              <w:rPr>
                <w:rFonts w:ascii="Segoe UI"/>
                <w:color w:val="231F20"/>
                <w:spacing w:val="20"/>
                <w:w w:val="99"/>
                <w:sz w:val="16"/>
              </w:rPr>
              <w:t> </w:t>
            </w:r>
            <w:r>
              <w:rPr>
                <w:rFonts w:ascii="Segoe UI"/>
                <w:color w:val="231F20"/>
                <w:sz w:val="16"/>
              </w:rPr>
              <w:t>provider</w:t>
            </w:r>
            <w:r>
              <w:rPr>
                <w:rFonts w:ascii="Segoe UI"/>
                <w:color w:val="231F20"/>
                <w:spacing w:val="-6"/>
                <w:sz w:val="16"/>
              </w:rPr>
              <w:t> </w:t>
            </w:r>
            <w:r>
              <w:rPr>
                <w:rFonts w:ascii="Segoe UI"/>
                <w:color w:val="231F20"/>
                <w:sz w:val="16"/>
              </w:rPr>
              <w:t>3</w:t>
            </w:r>
            <w:r>
              <w:rPr>
                <w:rFonts w:ascii="Segoe UI"/>
                <w:color w:val="231F20"/>
                <w:spacing w:val="-4"/>
                <w:sz w:val="16"/>
              </w:rPr>
              <w:t> </w:t>
            </w:r>
            <w:r>
              <w:rPr>
                <w:rFonts w:ascii="Segoe UI"/>
                <w:color w:val="231F20"/>
                <w:sz w:val="16"/>
              </w:rPr>
              <w:t>(Vic)</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00" w:lineRule="exact" w:before="65"/>
              <w:ind w:left="150" w:right="107" w:firstLine="469"/>
              <w:jc w:val="left"/>
              <w:rPr>
                <w:rFonts w:ascii="Segoe UI" w:hAnsi="Segoe UI" w:cs="Segoe UI" w:eastAsia="Segoe UI"/>
                <w:sz w:val="16"/>
                <w:szCs w:val="16"/>
              </w:rPr>
            </w:pPr>
            <w:r>
              <w:rPr>
                <w:rFonts w:ascii="Segoe UI"/>
                <w:color w:val="231F20"/>
                <w:spacing w:val="-1"/>
                <w:sz w:val="16"/>
              </w:rPr>
              <w:t>Boarding</w:t>
            </w:r>
            <w:r>
              <w:rPr>
                <w:rFonts w:ascii="Segoe UI"/>
                <w:color w:val="231F20"/>
                <w:spacing w:val="20"/>
                <w:w w:val="99"/>
                <w:sz w:val="16"/>
              </w:rPr>
              <w:t> </w:t>
            </w:r>
            <w:r>
              <w:rPr>
                <w:rFonts w:ascii="Segoe UI"/>
                <w:color w:val="231F20"/>
                <w:sz w:val="16"/>
              </w:rPr>
              <w:t>provider</w:t>
            </w:r>
            <w:r>
              <w:rPr>
                <w:rFonts w:ascii="Segoe UI"/>
                <w:color w:val="231F20"/>
                <w:spacing w:val="-6"/>
                <w:sz w:val="16"/>
              </w:rPr>
              <w:t> </w:t>
            </w:r>
            <w:r>
              <w:rPr>
                <w:rFonts w:ascii="Segoe UI"/>
                <w:color w:val="231F20"/>
                <w:sz w:val="16"/>
              </w:rPr>
              <w:t>4</w:t>
            </w:r>
            <w:r>
              <w:rPr>
                <w:rFonts w:ascii="Segoe UI"/>
                <w:color w:val="231F20"/>
                <w:spacing w:val="-5"/>
                <w:sz w:val="16"/>
              </w:rPr>
              <w:t> </w:t>
            </w:r>
            <w:r>
              <w:rPr>
                <w:rFonts w:ascii="Segoe UI"/>
                <w:color w:val="231F20"/>
                <w:spacing w:val="-2"/>
                <w:sz w:val="16"/>
              </w:rPr>
              <w:t>(WA)</w:t>
            </w:r>
            <w:r>
              <w:rPr>
                <w:rFonts w:ascii="Segoe UI"/>
                <w:sz w:val="16"/>
              </w:rPr>
            </w:r>
          </w:p>
        </w:tc>
      </w:tr>
      <w:tr>
        <w:trPr>
          <w:trHeight w:val="367" w:hRule="exact"/>
        </w:trPr>
        <w:tc>
          <w:tcPr>
            <w:tcW w:w="3261"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71"/>
              <w:ind w:left="107" w:right="0"/>
              <w:jc w:val="left"/>
              <w:rPr>
                <w:rFonts w:ascii="Segoe UI" w:hAnsi="Segoe UI" w:cs="Segoe UI" w:eastAsia="Segoe UI"/>
                <w:sz w:val="16"/>
                <w:szCs w:val="16"/>
              </w:rPr>
            </w:pPr>
            <w:r>
              <w:rPr>
                <w:rFonts w:ascii="Segoe UI"/>
                <w:color w:val="231F20"/>
                <w:spacing w:val="-5"/>
                <w:sz w:val="16"/>
              </w:rPr>
              <w:t>Total</w:t>
            </w:r>
            <w:r>
              <w:rPr>
                <w:rFonts w:ascii="Segoe UI"/>
                <w:color w:val="231F20"/>
                <w:spacing w:val="-4"/>
                <w:sz w:val="16"/>
              </w:rPr>
              <w:t> </w:t>
            </w:r>
            <w:r>
              <w:rPr>
                <w:rFonts w:ascii="Segoe UI"/>
                <w:color w:val="231F20"/>
                <w:sz w:val="16"/>
              </w:rPr>
              <w:t>revenue</w:t>
            </w:r>
            <w:r>
              <w:rPr>
                <w:rFonts w:ascii="Segoe UI"/>
                <w:color w:val="231F20"/>
                <w:spacing w:val="-4"/>
                <w:sz w:val="16"/>
              </w:rPr>
              <w:t> </w:t>
            </w:r>
            <w:r>
              <w:rPr>
                <w:rFonts w:ascii="Segoe UI"/>
                <w:color w:val="231F20"/>
                <w:sz w:val="16"/>
              </w:rPr>
              <w:t>($)</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71"/>
              <w:ind w:left="500" w:right="0"/>
              <w:jc w:val="left"/>
              <w:rPr>
                <w:rFonts w:ascii="Segoe UI" w:hAnsi="Segoe UI" w:cs="Segoe UI" w:eastAsia="Segoe UI"/>
                <w:sz w:val="16"/>
                <w:szCs w:val="16"/>
              </w:rPr>
            </w:pPr>
            <w:r>
              <w:rPr>
                <w:rFonts w:ascii="Segoe UI"/>
                <w:color w:val="231F20"/>
                <w:sz w:val="16"/>
              </w:rPr>
              <w:t>10,769,564</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71"/>
              <w:ind w:left="500" w:right="0"/>
              <w:jc w:val="left"/>
              <w:rPr>
                <w:rFonts w:ascii="Segoe UI" w:hAnsi="Segoe UI" w:cs="Segoe UI" w:eastAsia="Segoe UI"/>
                <w:sz w:val="16"/>
                <w:szCs w:val="16"/>
              </w:rPr>
            </w:pPr>
            <w:r>
              <w:rPr>
                <w:rFonts w:ascii="Segoe UI"/>
                <w:color w:val="231F20"/>
                <w:sz w:val="16"/>
              </w:rPr>
              <w:t>12,642,854</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71"/>
              <w:ind w:left="586" w:right="0"/>
              <w:jc w:val="left"/>
              <w:rPr>
                <w:rFonts w:ascii="Segoe UI" w:hAnsi="Segoe UI" w:cs="Segoe UI" w:eastAsia="Segoe UI"/>
                <w:sz w:val="16"/>
                <w:szCs w:val="16"/>
              </w:rPr>
            </w:pPr>
            <w:r>
              <w:rPr>
                <w:rFonts w:ascii="Segoe UI"/>
                <w:color w:val="231F20"/>
                <w:sz w:val="16"/>
              </w:rPr>
              <w:t>4,214,825</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586" w:right="0"/>
              <w:jc w:val="left"/>
              <w:rPr>
                <w:rFonts w:ascii="Segoe UI" w:hAnsi="Segoe UI" w:cs="Segoe UI" w:eastAsia="Segoe UI"/>
                <w:sz w:val="16"/>
                <w:szCs w:val="16"/>
              </w:rPr>
            </w:pPr>
            <w:r>
              <w:rPr>
                <w:rFonts w:ascii="Segoe UI"/>
                <w:color w:val="231F20"/>
                <w:sz w:val="16"/>
              </w:rPr>
              <w:t>3,728,459</w:t>
            </w:r>
            <w:r>
              <w:rPr>
                <w:rFonts w:ascii="Segoe UI"/>
                <w:sz w:val="16"/>
              </w:rPr>
            </w:r>
          </w:p>
        </w:tc>
      </w:tr>
      <w:tr>
        <w:trPr>
          <w:trHeight w:val="343" w:hRule="exact"/>
        </w:trPr>
        <w:tc>
          <w:tcPr>
            <w:tcW w:w="3261"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07" w:right="0"/>
              <w:jc w:val="left"/>
              <w:rPr>
                <w:rFonts w:ascii="Segoe UI" w:hAnsi="Segoe UI" w:cs="Segoe UI" w:eastAsia="Segoe UI"/>
                <w:sz w:val="16"/>
                <w:szCs w:val="16"/>
              </w:rPr>
            </w:pPr>
            <w:r>
              <w:rPr>
                <w:rFonts w:ascii="Segoe UI"/>
                <w:color w:val="231F20"/>
                <w:spacing w:val="-5"/>
                <w:sz w:val="16"/>
              </w:rPr>
              <w:t>Total</w:t>
            </w:r>
            <w:r>
              <w:rPr>
                <w:rFonts w:ascii="Segoe UI"/>
                <w:color w:val="231F20"/>
                <w:spacing w:val="-4"/>
                <w:sz w:val="16"/>
              </w:rPr>
              <w:t> </w:t>
            </w:r>
            <w:r>
              <w:rPr>
                <w:rFonts w:ascii="Segoe UI"/>
                <w:color w:val="231F20"/>
                <w:sz w:val="16"/>
              </w:rPr>
              <w:t>tuition</w:t>
            </w:r>
            <w:r>
              <w:rPr>
                <w:rFonts w:ascii="Segoe UI"/>
                <w:color w:val="231F20"/>
                <w:spacing w:val="-3"/>
                <w:sz w:val="16"/>
              </w:rPr>
              <w:t> </w:t>
            </w:r>
            <w:r>
              <w:rPr>
                <w:rFonts w:ascii="Segoe UI"/>
                <w:color w:val="231F20"/>
                <w:sz w:val="16"/>
              </w:rPr>
              <w:t>revenue</w:t>
            </w:r>
            <w:r>
              <w:rPr>
                <w:rFonts w:ascii="Segoe UI"/>
                <w:color w:val="231F20"/>
                <w:spacing w:val="-3"/>
                <w:sz w:val="16"/>
              </w:rPr>
              <w:t> </w:t>
            </w:r>
            <w:r>
              <w:rPr>
                <w:rFonts w:ascii="Segoe UI"/>
                <w:color w:val="231F20"/>
                <w:sz w:val="16"/>
              </w:rPr>
              <w:t>from</w:t>
            </w:r>
            <w:r>
              <w:rPr>
                <w:rFonts w:ascii="Segoe UI"/>
                <w:color w:val="231F20"/>
                <w:spacing w:val="-3"/>
                <w:sz w:val="16"/>
              </w:rPr>
              <w:t> </w:t>
            </w:r>
            <w:r>
              <w:rPr>
                <w:rFonts w:ascii="Segoe UI"/>
                <w:color w:val="231F20"/>
                <w:sz w:val="16"/>
              </w:rPr>
              <w:t>all</w:t>
            </w:r>
            <w:r>
              <w:rPr>
                <w:rFonts w:ascii="Segoe UI"/>
                <w:color w:val="231F20"/>
                <w:spacing w:val="-3"/>
                <w:sz w:val="16"/>
              </w:rPr>
              <w:t> </w:t>
            </w:r>
            <w:r>
              <w:rPr>
                <w:rFonts w:ascii="Segoe UI"/>
                <w:color w:val="231F20"/>
                <w:spacing w:val="-1"/>
                <w:sz w:val="16"/>
              </w:rPr>
              <w:t>sources</w:t>
            </w:r>
            <w:r>
              <w:rPr>
                <w:rFonts w:ascii="Segoe UI"/>
                <w:color w:val="231F20"/>
                <w:spacing w:val="-2"/>
                <w:sz w:val="16"/>
              </w:rPr>
              <w:t> </w:t>
            </w:r>
            <w:r>
              <w:rPr>
                <w:rFonts w:ascii="Segoe UI"/>
                <w:color w:val="231F20"/>
                <w:sz w:val="16"/>
              </w:rPr>
              <w:t>($)</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587" w:right="0"/>
              <w:jc w:val="left"/>
              <w:rPr>
                <w:rFonts w:ascii="Segoe UI" w:hAnsi="Segoe UI" w:cs="Segoe UI" w:eastAsia="Segoe UI"/>
                <w:sz w:val="16"/>
                <w:szCs w:val="16"/>
              </w:rPr>
            </w:pPr>
            <w:r>
              <w:rPr>
                <w:rFonts w:ascii="Segoe UI"/>
                <w:color w:val="231F20"/>
                <w:sz w:val="16"/>
              </w:rPr>
              <w:t>9,762,161</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500" w:right="0"/>
              <w:jc w:val="left"/>
              <w:rPr>
                <w:rFonts w:ascii="Segoe UI" w:hAnsi="Segoe UI" w:cs="Segoe UI" w:eastAsia="Segoe UI"/>
                <w:sz w:val="16"/>
                <w:szCs w:val="16"/>
              </w:rPr>
            </w:pPr>
            <w:r>
              <w:rPr>
                <w:rFonts w:ascii="Segoe UI"/>
                <w:color w:val="231F20"/>
                <w:sz w:val="16"/>
              </w:rPr>
              <w:t>10,279,762</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586" w:right="0"/>
              <w:jc w:val="left"/>
              <w:rPr>
                <w:rFonts w:ascii="Segoe UI" w:hAnsi="Segoe UI" w:cs="Segoe UI" w:eastAsia="Segoe UI"/>
                <w:sz w:val="16"/>
                <w:szCs w:val="16"/>
              </w:rPr>
            </w:pPr>
            <w:r>
              <w:rPr>
                <w:rFonts w:ascii="Segoe UI"/>
                <w:color w:val="231F20"/>
                <w:sz w:val="16"/>
              </w:rPr>
              <w:t>3,294,492</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586" w:right="0"/>
              <w:jc w:val="left"/>
              <w:rPr>
                <w:rFonts w:ascii="Segoe UI" w:hAnsi="Segoe UI" w:cs="Segoe UI" w:eastAsia="Segoe UI"/>
                <w:sz w:val="16"/>
                <w:szCs w:val="16"/>
              </w:rPr>
            </w:pPr>
            <w:r>
              <w:rPr>
                <w:rFonts w:ascii="Segoe UI"/>
                <w:color w:val="231F20"/>
                <w:sz w:val="16"/>
              </w:rPr>
              <w:t>2,927,871</w:t>
            </w:r>
            <w:r>
              <w:rPr>
                <w:rFonts w:ascii="Segoe UI"/>
                <w:sz w:val="16"/>
              </w:rPr>
            </w:r>
          </w:p>
        </w:tc>
      </w:tr>
      <w:tr>
        <w:trPr>
          <w:trHeight w:val="543" w:hRule="exact"/>
        </w:trPr>
        <w:tc>
          <w:tcPr>
            <w:tcW w:w="3261" w:type="dxa"/>
            <w:tcBorders>
              <w:top w:val="single" w:sz="4" w:space="0" w:color="C1B5A9"/>
              <w:left w:val="single" w:sz="4" w:space="0" w:color="C1B5A9"/>
              <w:bottom w:val="single" w:sz="4" w:space="0" w:color="C1B5A9"/>
              <w:right w:val="single" w:sz="4" w:space="0" w:color="C1B5A9"/>
            </w:tcBorders>
          </w:tcPr>
          <w:p>
            <w:pPr>
              <w:pStyle w:val="TableParagraph"/>
              <w:spacing w:line="200" w:lineRule="exact" w:before="65"/>
              <w:ind w:left="418" w:right="323"/>
              <w:jc w:val="left"/>
              <w:rPr>
                <w:rFonts w:ascii="Segoe UI" w:hAnsi="Segoe UI" w:cs="Segoe UI" w:eastAsia="Segoe UI"/>
                <w:sz w:val="16"/>
                <w:szCs w:val="16"/>
              </w:rPr>
            </w:pPr>
            <w:r>
              <w:rPr>
                <w:rFonts w:ascii="Segoe UI"/>
                <w:i/>
                <w:color w:val="231F20"/>
                <w:spacing w:val="-1"/>
                <w:sz w:val="16"/>
              </w:rPr>
              <w:t>ABSTUDY</w:t>
            </w:r>
            <w:r>
              <w:rPr>
                <w:rFonts w:ascii="Segoe UI"/>
                <w:i/>
                <w:color w:val="231F20"/>
                <w:spacing w:val="-4"/>
                <w:sz w:val="16"/>
              </w:rPr>
              <w:t> </w:t>
            </w:r>
            <w:r>
              <w:rPr>
                <w:rFonts w:ascii="Segoe UI"/>
                <w:i/>
                <w:color w:val="231F20"/>
                <w:spacing w:val="-1"/>
                <w:sz w:val="16"/>
              </w:rPr>
              <w:t>tuition</w:t>
            </w:r>
            <w:r>
              <w:rPr>
                <w:rFonts w:ascii="Segoe UI"/>
                <w:i/>
                <w:color w:val="231F20"/>
                <w:spacing w:val="-3"/>
                <w:sz w:val="16"/>
              </w:rPr>
              <w:t> </w:t>
            </w:r>
            <w:r>
              <w:rPr>
                <w:rFonts w:ascii="Segoe UI"/>
                <w:i/>
                <w:color w:val="231F20"/>
                <w:spacing w:val="-1"/>
                <w:sz w:val="16"/>
              </w:rPr>
              <w:t>revenue</w:t>
            </w:r>
            <w:r>
              <w:rPr>
                <w:rFonts w:ascii="Segoe UI"/>
                <w:i/>
                <w:color w:val="231F20"/>
                <w:spacing w:val="-3"/>
                <w:sz w:val="16"/>
              </w:rPr>
              <w:t> </w:t>
            </w:r>
            <w:r>
              <w:rPr>
                <w:rFonts w:ascii="Segoe UI"/>
                <w:i/>
                <w:color w:val="231F20"/>
                <w:spacing w:val="-1"/>
                <w:sz w:val="16"/>
              </w:rPr>
              <w:t>(%</w:t>
            </w:r>
            <w:r>
              <w:rPr>
                <w:rFonts w:ascii="Segoe UI"/>
                <w:i/>
                <w:color w:val="231F20"/>
                <w:spacing w:val="-3"/>
                <w:sz w:val="16"/>
              </w:rPr>
              <w:t> </w:t>
            </w:r>
            <w:r>
              <w:rPr>
                <w:rFonts w:ascii="Segoe UI"/>
                <w:i/>
                <w:color w:val="231F20"/>
                <w:spacing w:val="-2"/>
                <w:sz w:val="16"/>
              </w:rPr>
              <w:t>of </w:t>
            </w:r>
            <w:r>
              <w:rPr>
                <w:rFonts w:ascii="Segoe UI"/>
                <w:i/>
                <w:color w:val="231F20"/>
                <w:spacing w:val="-1"/>
                <w:sz w:val="16"/>
              </w:rPr>
              <w:t>total</w:t>
            </w:r>
            <w:r>
              <w:rPr>
                <w:rFonts w:ascii="Segoe UI"/>
                <w:i/>
                <w:color w:val="231F20"/>
                <w:spacing w:val="25"/>
                <w:w w:val="99"/>
                <w:sz w:val="16"/>
              </w:rPr>
              <w:t> </w:t>
            </w:r>
            <w:r>
              <w:rPr>
                <w:rFonts w:ascii="Segoe UI"/>
                <w:i/>
                <w:color w:val="231F20"/>
                <w:spacing w:val="-1"/>
                <w:sz w:val="16"/>
              </w:rPr>
              <w:t>tuition</w:t>
            </w:r>
            <w:r>
              <w:rPr>
                <w:rFonts w:ascii="Segoe UI"/>
                <w:i/>
                <w:color w:val="231F20"/>
                <w:spacing w:val="-3"/>
                <w:sz w:val="16"/>
              </w:rPr>
              <w:t> </w:t>
            </w:r>
            <w:r>
              <w:rPr>
                <w:rFonts w:ascii="Segoe UI"/>
                <w:i/>
                <w:color w:val="231F20"/>
                <w:spacing w:val="-1"/>
                <w:sz w:val="16"/>
              </w:rPr>
              <w:t>revenue)</w:t>
            </w:r>
            <w:r>
              <w:rPr>
                <w:rFonts w:ascii="Segoe UI"/>
                <w:i/>
                <w:color w:val="231F20"/>
                <w:spacing w:val="-4"/>
                <w:sz w:val="16"/>
              </w:rPr>
              <w:t> </w:t>
            </w:r>
            <w:r>
              <w:rPr>
                <w:rFonts w:ascii="Segoe UI"/>
                <w:i/>
                <w:color w:val="231F20"/>
                <w:spacing w:val="-1"/>
                <w:sz w:val="16"/>
              </w:rPr>
              <w:t>($)</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13"/>
              <w:ind w:right="0"/>
              <w:jc w:val="left"/>
              <w:rPr>
                <w:rFonts w:ascii="Segoe UI Semibold" w:hAnsi="Segoe UI Semibold" w:cs="Segoe UI Semibold" w:eastAsia="Segoe UI Semibold"/>
                <w:b/>
                <w:bCs/>
                <w:sz w:val="18"/>
                <w:szCs w:val="18"/>
              </w:rPr>
            </w:pPr>
          </w:p>
          <w:p>
            <w:pPr>
              <w:pStyle w:val="TableParagraph"/>
              <w:spacing w:line="240" w:lineRule="auto"/>
              <w:ind w:left="348" w:right="0"/>
              <w:jc w:val="left"/>
              <w:rPr>
                <w:rFonts w:ascii="Segoe UI" w:hAnsi="Segoe UI" w:cs="Segoe UI" w:eastAsia="Segoe UI"/>
                <w:sz w:val="16"/>
                <w:szCs w:val="16"/>
              </w:rPr>
            </w:pPr>
            <w:r>
              <w:rPr>
                <w:rFonts w:ascii="Segoe UI"/>
                <w:i/>
                <w:color w:val="231F20"/>
                <w:spacing w:val="-1"/>
                <w:sz w:val="16"/>
              </w:rPr>
              <w:t>778,957</w:t>
            </w:r>
            <w:r>
              <w:rPr>
                <w:rFonts w:ascii="Segoe UI"/>
                <w:i/>
                <w:color w:val="231F20"/>
                <w:sz w:val="16"/>
              </w:rPr>
              <w:t> </w:t>
            </w:r>
            <w:r>
              <w:rPr>
                <w:rFonts w:ascii="Segoe UI"/>
                <w:i/>
                <w:color w:val="231F20"/>
                <w:spacing w:val="-1"/>
                <w:sz w:val="16"/>
              </w:rPr>
              <w:t>(8%)</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13"/>
              <w:ind w:right="0"/>
              <w:jc w:val="left"/>
              <w:rPr>
                <w:rFonts w:ascii="Segoe UI Semibold" w:hAnsi="Segoe UI Semibold" w:cs="Segoe UI Semibold" w:eastAsia="Segoe UI Semibold"/>
                <w:b/>
                <w:bCs/>
                <w:sz w:val="18"/>
                <w:szCs w:val="18"/>
              </w:rPr>
            </w:pPr>
          </w:p>
          <w:p>
            <w:pPr>
              <w:pStyle w:val="TableParagraph"/>
              <w:spacing w:line="240" w:lineRule="auto"/>
              <w:ind w:left="140" w:right="0"/>
              <w:jc w:val="left"/>
              <w:rPr>
                <w:rFonts w:ascii="Segoe UI" w:hAnsi="Segoe UI" w:cs="Segoe UI" w:eastAsia="Segoe UI"/>
                <w:sz w:val="16"/>
                <w:szCs w:val="16"/>
              </w:rPr>
            </w:pPr>
            <w:r>
              <w:rPr>
                <w:rFonts w:ascii="Segoe UI"/>
                <w:i/>
                <w:color w:val="231F20"/>
                <w:spacing w:val="-1"/>
                <w:sz w:val="16"/>
              </w:rPr>
              <w:t>2,367,872</w:t>
            </w:r>
            <w:r>
              <w:rPr>
                <w:rFonts w:ascii="Segoe UI"/>
                <w:i/>
                <w:color w:val="231F20"/>
                <w:spacing w:val="-7"/>
                <w:sz w:val="16"/>
              </w:rPr>
              <w:t> </w:t>
            </w:r>
            <w:r>
              <w:rPr>
                <w:rFonts w:ascii="Segoe UI"/>
                <w:i/>
                <w:color w:val="231F20"/>
                <w:spacing w:val="-1"/>
                <w:sz w:val="16"/>
              </w:rPr>
              <w:t>(23%)</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13"/>
              <w:ind w:right="0"/>
              <w:jc w:val="left"/>
              <w:rPr>
                <w:rFonts w:ascii="Segoe UI Semibold" w:hAnsi="Segoe UI Semibold" w:cs="Segoe UI Semibold" w:eastAsia="Segoe UI Semibold"/>
                <w:b/>
                <w:bCs/>
                <w:sz w:val="18"/>
                <w:szCs w:val="18"/>
              </w:rPr>
            </w:pPr>
          </w:p>
          <w:p>
            <w:pPr>
              <w:pStyle w:val="TableParagraph"/>
              <w:spacing w:line="240" w:lineRule="auto"/>
              <w:ind w:left="261" w:right="0"/>
              <w:jc w:val="left"/>
              <w:rPr>
                <w:rFonts w:ascii="Segoe UI" w:hAnsi="Segoe UI" w:cs="Segoe UI" w:eastAsia="Segoe UI"/>
                <w:sz w:val="16"/>
                <w:szCs w:val="16"/>
              </w:rPr>
            </w:pPr>
            <w:r>
              <w:rPr>
                <w:rFonts w:ascii="Segoe UI"/>
                <w:i/>
                <w:color w:val="231F20"/>
                <w:spacing w:val="-1"/>
                <w:sz w:val="16"/>
              </w:rPr>
              <w:t>580,666</w:t>
            </w:r>
            <w:r>
              <w:rPr>
                <w:rFonts w:ascii="Segoe UI"/>
                <w:i/>
                <w:color w:val="231F20"/>
                <w:sz w:val="16"/>
              </w:rPr>
              <w:t> </w:t>
            </w:r>
            <w:r>
              <w:rPr>
                <w:rFonts w:ascii="Segoe UI"/>
                <w:i/>
                <w:color w:val="231F20"/>
                <w:spacing w:val="-1"/>
                <w:sz w:val="16"/>
              </w:rPr>
              <w:t>(18%)</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13"/>
              <w:ind w:right="0"/>
              <w:jc w:val="left"/>
              <w:rPr>
                <w:rFonts w:ascii="Segoe UI Semibold" w:hAnsi="Segoe UI Semibold" w:cs="Segoe UI Semibold" w:eastAsia="Segoe UI Semibold"/>
                <w:b/>
                <w:bCs/>
                <w:sz w:val="18"/>
                <w:szCs w:val="18"/>
              </w:rPr>
            </w:pPr>
          </w:p>
          <w:p>
            <w:pPr>
              <w:pStyle w:val="TableParagraph"/>
              <w:spacing w:line="240" w:lineRule="auto"/>
              <w:ind w:left="261" w:right="0"/>
              <w:jc w:val="left"/>
              <w:rPr>
                <w:rFonts w:ascii="Segoe UI" w:hAnsi="Segoe UI" w:cs="Segoe UI" w:eastAsia="Segoe UI"/>
                <w:sz w:val="16"/>
                <w:szCs w:val="16"/>
              </w:rPr>
            </w:pPr>
            <w:r>
              <w:rPr>
                <w:rFonts w:ascii="Segoe UI"/>
                <w:i/>
                <w:color w:val="231F20"/>
                <w:spacing w:val="-1"/>
                <w:sz w:val="16"/>
              </w:rPr>
              <w:t>403,918</w:t>
            </w:r>
            <w:r>
              <w:rPr>
                <w:rFonts w:ascii="Segoe UI"/>
                <w:i/>
                <w:color w:val="231F20"/>
                <w:sz w:val="16"/>
              </w:rPr>
              <w:t> </w:t>
            </w:r>
            <w:r>
              <w:rPr>
                <w:rFonts w:ascii="Segoe UI"/>
                <w:i/>
                <w:color w:val="231F20"/>
                <w:spacing w:val="-1"/>
                <w:sz w:val="16"/>
              </w:rPr>
              <w:t>(14%)</w:t>
            </w:r>
            <w:r>
              <w:rPr>
                <w:rFonts w:ascii="Segoe UI"/>
                <w:sz w:val="16"/>
              </w:rPr>
            </w:r>
          </w:p>
        </w:tc>
      </w:tr>
      <w:tr>
        <w:trPr>
          <w:trHeight w:val="343" w:hRule="exact"/>
        </w:trPr>
        <w:tc>
          <w:tcPr>
            <w:tcW w:w="3261"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07" w:right="0"/>
              <w:jc w:val="left"/>
              <w:rPr>
                <w:rFonts w:ascii="Segoe UI" w:hAnsi="Segoe UI" w:cs="Segoe UI" w:eastAsia="Segoe UI"/>
                <w:sz w:val="16"/>
                <w:szCs w:val="16"/>
              </w:rPr>
            </w:pPr>
            <w:r>
              <w:rPr>
                <w:rFonts w:ascii="Segoe UI"/>
                <w:color w:val="231F20"/>
                <w:spacing w:val="-5"/>
                <w:sz w:val="16"/>
              </w:rPr>
              <w:t>Total</w:t>
            </w:r>
            <w:r>
              <w:rPr>
                <w:rFonts w:ascii="Segoe UI"/>
                <w:color w:val="231F20"/>
                <w:spacing w:val="-4"/>
                <w:sz w:val="16"/>
              </w:rPr>
              <w:t> </w:t>
            </w:r>
            <w:r>
              <w:rPr>
                <w:rFonts w:ascii="Segoe UI"/>
                <w:color w:val="231F20"/>
                <w:sz w:val="16"/>
              </w:rPr>
              <w:t>boarding</w:t>
            </w:r>
            <w:r>
              <w:rPr>
                <w:rFonts w:ascii="Segoe UI"/>
                <w:color w:val="231F20"/>
                <w:spacing w:val="-4"/>
                <w:sz w:val="16"/>
              </w:rPr>
              <w:t> </w:t>
            </w:r>
            <w:r>
              <w:rPr>
                <w:rFonts w:ascii="Segoe UI"/>
                <w:color w:val="231F20"/>
                <w:sz w:val="16"/>
              </w:rPr>
              <w:t>revenue</w:t>
            </w:r>
            <w:r>
              <w:rPr>
                <w:rFonts w:ascii="Segoe UI"/>
                <w:color w:val="231F20"/>
                <w:spacing w:val="-3"/>
                <w:sz w:val="16"/>
              </w:rPr>
              <w:t> </w:t>
            </w:r>
            <w:r>
              <w:rPr>
                <w:rFonts w:ascii="Segoe UI"/>
                <w:color w:val="231F20"/>
                <w:sz w:val="16"/>
              </w:rPr>
              <w:t>from</w:t>
            </w:r>
            <w:r>
              <w:rPr>
                <w:rFonts w:ascii="Segoe UI"/>
                <w:color w:val="231F20"/>
                <w:spacing w:val="-3"/>
                <w:sz w:val="16"/>
              </w:rPr>
              <w:t> </w:t>
            </w:r>
            <w:r>
              <w:rPr>
                <w:rFonts w:ascii="Segoe UI"/>
                <w:color w:val="231F20"/>
                <w:sz w:val="16"/>
              </w:rPr>
              <w:t>all</w:t>
            </w:r>
            <w:r>
              <w:rPr>
                <w:rFonts w:ascii="Segoe UI"/>
                <w:color w:val="231F20"/>
                <w:spacing w:val="-4"/>
                <w:sz w:val="16"/>
              </w:rPr>
              <w:t> </w:t>
            </w:r>
            <w:r>
              <w:rPr>
                <w:rFonts w:ascii="Segoe UI"/>
                <w:color w:val="231F20"/>
                <w:spacing w:val="-1"/>
                <w:sz w:val="16"/>
              </w:rPr>
              <w:t>sources</w:t>
            </w:r>
            <w:r>
              <w:rPr>
                <w:rFonts w:ascii="Segoe UI"/>
                <w:color w:val="231F20"/>
                <w:spacing w:val="-2"/>
                <w:sz w:val="16"/>
              </w:rPr>
              <w:t> </w:t>
            </w:r>
            <w:r>
              <w:rPr>
                <w:rFonts w:ascii="Segoe UI"/>
                <w:color w:val="231F20"/>
                <w:sz w:val="16"/>
              </w:rPr>
              <w:t>($)</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586" w:right="0"/>
              <w:jc w:val="left"/>
              <w:rPr>
                <w:rFonts w:ascii="Segoe UI" w:hAnsi="Segoe UI" w:cs="Segoe UI" w:eastAsia="Segoe UI"/>
                <w:sz w:val="16"/>
                <w:szCs w:val="16"/>
              </w:rPr>
            </w:pPr>
            <w:r>
              <w:rPr>
                <w:rFonts w:ascii="Segoe UI"/>
                <w:color w:val="231F20"/>
                <w:sz w:val="16"/>
              </w:rPr>
              <w:t>1,007,404</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586" w:right="0"/>
              <w:jc w:val="left"/>
              <w:rPr>
                <w:rFonts w:ascii="Segoe UI" w:hAnsi="Segoe UI" w:cs="Segoe UI" w:eastAsia="Segoe UI"/>
                <w:sz w:val="16"/>
                <w:szCs w:val="16"/>
              </w:rPr>
            </w:pPr>
            <w:r>
              <w:rPr>
                <w:rFonts w:ascii="Segoe UI"/>
                <w:color w:val="231F20"/>
                <w:sz w:val="16"/>
              </w:rPr>
              <w:t>2,363,092</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707" w:right="0"/>
              <w:jc w:val="left"/>
              <w:rPr>
                <w:rFonts w:ascii="Segoe UI" w:hAnsi="Segoe UI" w:cs="Segoe UI" w:eastAsia="Segoe UI"/>
                <w:sz w:val="16"/>
                <w:szCs w:val="16"/>
              </w:rPr>
            </w:pPr>
            <w:r>
              <w:rPr>
                <w:rFonts w:ascii="Segoe UI"/>
                <w:color w:val="231F20"/>
                <w:sz w:val="16"/>
              </w:rPr>
              <w:t>920,333</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707" w:right="0"/>
              <w:jc w:val="left"/>
              <w:rPr>
                <w:rFonts w:ascii="Segoe UI" w:hAnsi="Segoe UI" w:cs="Segoe UI" w:eastAsia="Segoe UI"/>
                <w:sz w:val="16"/>
                <w:szCs w:val="16"/>
              </w:rPr>
            </w:pPr>
            <w:r>
              <w:rPr>
                <w:rFonts w:ascii="Segoe UI"/>
                <w:color w:val="231F20"/>
                <w:sz w:val="16"/>
              </w:rPr>
              <w:t>800,588</w:t>
            </w:r>
            <w:r>
              <w:rPr>
                <w:rFonts w:ascii="Segoe UI"/>
                <w:sz w:val="16"/>
              </w:rPr>
            </w:r>
          </w:p>
        </w:tc>
      </w:tr>
      <w:tr>
        <w:trPr>
          <w:trHeight w:val="343" w:hRule="exact"/>
        </w:trPr>
        <w:tc>
          <w:tcPr>
            <w:tcW w:w="3261"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418" w:right="0"/>
              <w:jc w:val="left"/>
              <w:rPr>
                <w:rFonts w:ascii="Segoe UI" w:hAnsi="Segoe UI" w:cs="Segoe UI" w:eastAsia="Segoe UI"/>
                <w:sz w:val="16"/>
                <w:szCs w:val="16"/>
              </w:rPr>
            </w:pPr>
            <w:r>
              <w:rPr>
                <w:rFonts w:ascii="Segoe UI"/>
                <w:i/>
                <w:color w:val="231F20"/>
                <w:spacing w:val="-1"/>
                <w:sz w:val="16"/>
              </w:rPr>
              <w:t>ABSTUDY</w:t>
            </w:r>
            <w:r>
              <w:rPr>
                <w:rFonts w:ascii="Segoe UI"/>
                <w:i/>
                <w:color w:val="231F20"/>
                <w:spacing w:val="-7"/>
                <w:sz w:val="16"/>
              </w:rPr>
              <w:t> </w:t>
            </w:r>
            <w:r>
              <w:rPr>
                <w:rFonts w:ascii="Segoe UI"/>
                <w:i/>
                <w:color w:val="231F20"/>
                <w:spacing w:val="-1"/>
                <w:sz w:val="16"/>
              </w:rPr>
              <w:t>boarding</w:t>
            </w:r>
            <w:r>
              <w:rPr>
                <w:rFonts w:ascii="Segoe UI"/>
                <w:i/>
                <w:color w:val="231F20"/>
                <w:spacing w:val="-5"/>
                <w:sz w:val="16"/>
              </w:rPr>
              <w:t> </w:t>
            </w:r>
            <w:r>
              <w:rPr>
                <w:rFonts w:ascii="Segoe UI"/>
                <w:i/>
                <w:color w:val="231F20"/>
                <w:spacing w:val="-1"/>
                <w:sz w:val="16"/>
              </w:rPr>
              <w:t>revenue</w:t>
            </w:r>
            <w:r>
              <w:rPr>
                <w:rFonts w:ascii="Segoe UI"/>
                <w:i/>
                <w:color w:val="231F20"/>
                <w:spacing w:val="-6"/>
                <w:sz w:val="16"/>
              </w:rPr>
              <w:t> </w:t>
            </w:r>
            <w:r>
              <w:rPr>
                <w:rFonts w:ascii="Segoe UI"/>
                <w:i/>
                <w:color w:val="231F20"/>
                <w:spacing w:val="-1"/>
                <w:sz w:val="16"/>
              </w:rPr>
              <w:t>($)</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61" w:right="0"/>
              <w:jc w:val="left"/>
              <w:rPr>
                <w:rFonts w:ascii="Segoe UI" w:hAnsi="Segoe UI" w:cs="Segoe UI" w:eastAsia="Segoe UI"/>
                <w:sz w:val="16"/>
                <w:szCs w:val="16"/>
              </w:rPr>
            </w:pPr>
            <w:r>
              <w:rPr>
                <w:rFonts w:ascii="Segoe UI"/>
                <w:i/>
                <w:color w:val="231F20"/>
                <w:spacing w:val="-1"/>
                <w:sz w:val="16"/>
              </w:rPr>
              <w:t>914,427</w:t>
            </w:r>
            <w:r>
              <w:rPr>
                <w:rFonts w:ascii="Segoe UI"/>
                <w:i/>
                <w:color w:val="231F20"/>
                <w:sz w:val="16"/>
              </w:rPr>
              <w:t> </w:t>
            </w:r>
            <w:r>
              <w:rPr>
                <w:rFonts w:ascii="Segoe UI"/>
                <w:i/>
                <w:color w:val="231F20"/>
                <w:spacing w:val="-1"/>
                <w:sz w:val="16"/>
              </w:rPr>
              <w:t>(91%)</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40" w:right="0"/>
              <w:jc w:val="left"/>
              <w:rPr>
                <w:rFonts w:ascii="Segoe UI" w:hAnsi="Segoe UI" w:cs="Segoe UI" w:eastAsia="Segoe UI"/>
                <w:sz w:val="16"/>
                <w:szCs w:val="16"/>
              </w:rPr>
            </w:pPr>
            <w:r>
              <w:rPr>
                <w:rFonts w:ascii="Segoe UI"/>
                <w:i/>
                <w:color w:val="231F20"/>
                <w:spacing w:val="-1"/>
                <w:sz w:val="16"/>
              </w:rPr>
              <w:t>2,275,014</w:t>
            </w:r>
            <w:r>
              <w:rPr>
                <w:rFonts w:ascii="Segoe UI"/>
                <w:i/>
                <w:color w:val="231F20"/>
                <w:spacing w:val="-7"/>
                <w:sz w:val="16"/>
              </w:rPr>
              <w:t> </w:t>
            </w:r>
            <w:r>
              <w:rPr>
                <w:rFonts w:ascii="Segoe UI"/>
                <w:i/>
                <w:color w:val="231F20"/>
                <w:spacing w:val="-1"/>
                <w:sz w:val="16"/>
              </w:rPr>
              <w:t>(96%)</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61" w:right="0"/>
              <w:jc w:val="left"/>
              <w:rPr>
                <w:rFonts w:ascii="Segoe UI" w:hAnsi="Segoe UI" w:cs="Segoe UI" w:eastAsia="Segoe UI"/>
                <w:sz w:val="16"/>
                <w:szCs w:val="16"/>
              </w:rPr>
            </w:pPr>
            <w:r>
              <w:rPr>
                <w:rFonts w:ascii="Segoe UI"/>
                <w:i/>
                <w:color w:val="231F20"/>
                <w:spacing w:val="-1"/>
                <w:sz w:val="16"/>
              </w:rPr>
              <w:t>835,593</w:t>
            </w:r>
            <w:r>
              <w:rPr>
                <w:rFonts w:ascii="Segoe UI"/>
                <w:i/>
                <w:color w:val="231F20"/>
                <w:sz w:val="16"/>
              </w:rPr>
              <w:t> </w:t>
            </w:r>
            <w:r>
              <w:rPr>
                <w:rFonts w:ascii="Segoe UI"/>
                <w:i/>
                <w:color w:val="231F20"/>
                <w:spacing w:val="-1"/>
                <w:sz w:val="16"/>
              </w:rPr>
              <w:t>(91%)</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61" w:right="0"/>
              <w:jc w:val="left"/>
              <w:rPr>
                <w:rFonts w:ascii="Segoe UI" w:hAnsi="Segoe UI" w:cs="Segoe UI" w:eastAsia="Segoe UI"/>
                <w:sz w:val="16"/>
                <w:szCs w:val="16"/>
              </w:rPr>
            </w:pPr>
            <w:r>
              <w:rPr>
                <w:rFonts w:ascii="Segoe UI"/>
                <w:i/>
                <w:color w:val="231F20"/>
                <w:spacing w:val="-1"/>
                <w:sz w:val="16"/>
              </w:rPr>
              <w:t>784,075</w:t>
            </w:r>
            <w:r>
              <w:rPr>
                <w:rFonts w:ascii="Segoe UI"/>
                <w:i/>
                <w:color w:val="231F20"/>
                <w:sz w:val="16"/>
              </w:rPr>
              <w:t> </w:t>
            </w:r>
            <w:r>
              <w:rPr>
                <w:rFonts w:ascii="Segoe UI"/>
                <w:i/>
                <w:color w:val="231F20"/>
                <w:spacing w:val="-1"/>
                <w:sz w:val="16"/>
              </w:rPr>
              <w:t>(96%)</w:t>
            </w:r>
            <w:r>
              <w:rPr>
                <w:rFonts w:ascii="Segoe UI"/>
                <w:sz w:val="16"/>
              </w:rPr>
            </w:r>
          </w:p>
        </w:tc>
      </w:tr>
      <w:tr>
        <w:trPr>
          <w:trHeight w:val="543" w:hRule="exact"/>
        </w:trPr>
        <w:tc>
          <w:tcPr>
            <w:tcW w:w="3261" w:type="dxa"/>
            <w:tcBorders>
              <w:top w:val="single" w:sz="4" w:space="0" w:color="C1B5A9"/>
              <w:left w:val="single" w:sz="4" w:space="0" w:color="C1B5A9"/>
              <w:bottom w:val="single" w:sz="4" w:space="0" w:color="C1B5A9"/>
              <w:right w:val="single" w:sz="4" w:space="0" w:color="C1B5A9"/>
            </w:tcBorders>
            <w:shd w:val="clear" w:color="auto" w:fill="EFECE8"/>
          </w:tcPr>
          <w:p>
            <w:pPr>
              <w:pStyle w:val="TableParagraph"/>
              <w:spacing w:line="200" w:lineRule="exact" w:before="65"/>
              <w:ind w:left="107" w:right="265"/>
              <w:jc w:val="left"/>
              <w:rPr>
                <w:rFonts w:ascii="Segoe UI" w:hAnsi="Segoe UI" w:cs="Segoe UI" w:eastAsia="Segoe UI"/>
                <w:sz w:val="16"/>
                <w:szCs w:val="16"/>
              </w:rPr>
            </w:pPr>
            <w:r>
              <w:rPr>
                <w:rFonts w:ascii="Segoe UI"/>
                <w:color w:val="231F20"/>
                <w:sz w:val="16"/>
              </w:rPr>
              <w:t>%</w:t>
            </w:r>
            <w:r>
              <w:rPr>
                <w:rFonts w:ascii="Segoe UI"/>
                <w:color w:val="231F20"/>
                <w:spacing w:val="-5"/>
                <w:sz w:val="16"/>
              </w:rPr>
              <w:t> </w:t>
            </w:r>
            <w:r>
              <w:rPr>
                <w:rFonts w:ascii="Segoe UI"/>
                <w:color w:val="231F20"/>
                <w:sz w:val="16"/>
              </w:rPr>
              <w:t>of</w:t>
            </w:r>
            <w:r>
              <w:rPr>
                <w:rFonts w:ascii="Segoe UI"/>
                <w:color w:val="231F20"/>
                <w:spacing w:val="-5"/>
                <w:sz w:val="16"/>
              </w:rPr>
              <w:t> </w:t>
            </w:r>
            <w:r>
              <w:rPr>
                <w:rFonts w:ascii="Segoe UI"/>
                <w:color w:val="231F20"/>
                <w:sz w:val="16"/>
              </w:rPr>
              <w:t>Aboriginal</w:t>
            </w:r>
            <w:r>
              <w:rPr>
                <w:rFonts w:ascii="Segoe UI"/>
                <w:color w:val="231F20"/>
                <w:spacing w:val="-4"/>
                <w:sz w:val="16"/>
              </w:rPr>
              <w:t> </w:t>
            </w:r>
            <w:r>
              <w:rPr>
                <w:rFonts w:ascii="Segoe UI"/>
                <w:color w:val="231F20"/>
                <w:sz w:val="16"/>
              </w:rPr>
              <w:t>and</w:t>
            </w:r>
            <w:r>
              <w:rPr>
                <w:rFonts w:ascii="Segoe UI"/>
                <w:color w:val="231F20"/>
                <w:spacing w:val="-5"/>
                <w:sz w:val="16"/>
              </w:rPr>
              <w:t> </w:t>
            </w:r>
            <w:r>
              <w:rPr>
                <w:rFonts w:ascii="Segoe UI"/>
                <w:color w:val="231F20"/>
                <w:spacing w:val="-3"/>
                <w:sz w:val="16"/>
              </w:rPr>
              <w:t>Torres</w:t>
            </w:r>
            <w:r>
              <w:rPr>
                <w:rFonts w:ascii="Segoe UI"/>
                <w:color w:val="231F20"/>
                <w:spacing w:val="-4"/>
                <w:sz w:val="16"/>
              </w:rPr>
              <w:t> </w:t>
            </w:r>
            <w:r>
              <w:rPr>
                <w:rFonts w:ascii="Segoe UI"/>
                <w:color w:val="231F20"/>
                <w:spacing w:val="-1"/>
                <w:sz w:val="16"/>
              </w:rPr>
              <w:t>Strait</w:t>
            </w:r>
            <w:r>
              <w:rPr>
                <w:rFonts w:ascii="Segoe UI"/>
                <w:color w:val="231F20"/>
                <w:spacing w:val="-5"/>
                <w:sz w:val="16"/>
              </w:rPr>
              <w:t> </w:t>
            </w:r>
            <w:r>
              <w:rPr>
                <w:rFonts w:ascii="Segoe UI"/>
                <w:color w:val="231F20"/>
                <w:spacing w:val="-1"/>
                <w:sz w:val="16"/>
              </w:rPr>
              <w:t>Islander</w:t>
            </w:r>
            <w:r>
              <w:rPr>
                <w:rFonts w:ascii="Segoe UI"/>
                <w:color w:val="231F20"/>
                <w:spacing w:val="22"/>
                <w:w w:val="99"/>
                <w:sz w:val="16"/>
              </w:rPr>
              <w:t> </w:t>
            </w:r>
            <w:r>
              <w:rPr>
                <w:rFonts w:ascii="Segoe UI"/>
                <w:color w:val="231F20"/>
                <w:spacing w:val="-1"/>
                <w:sz w:val="16"/>
              </w:rPr>
              <w:t>students</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shd w:val="clear" w:color="auto" w:fill="EFECE8"/>
          </w:tcPr>
          <w:p>
            <w:pPr>
              <w:pStyle w:val="TableParagraph"/>
              <w:spacing w:line="240" w:lineRule="auto" w:before="13"/>
              <w:ind w:right="0"/>
              <w:jc w:val="left"/>
              <w:rPr>
                <w:rFonts w:ascii="Segoe UI Semibold" w:hAnsi="Segoe UI Semibold" w:cs="Segoe UI Semibold" w:eastAsia="Segoe UI Semibold"/>
                <w:b/>
                <w:bCs/>
                <w:sz w:val="18"/>
                <w:szCs w:val="18"/>
              </w:rPr>
            </w:pPr>
          </w:p>
          <w:p>
            <w:pPr>
              <w:pStyle w:val="TableParagraph"/>
              <w:spacing w:line="240" w:lineRule="auto"/>
              <w:ind w:right="107"/>
              <w:jc w:val="right"/>
              <w:rPr>
                <w:rFonts w:ascii="Segoe UI" w:hAnsi="Segoe UI" w:cs="Segoe UI" w:eastAsia="Segoe UI"/>
                <w:sz w:val="16"/>
                <w:szCs w:val="16"/>
              </w:rPr>
            </w:pPr>
            <w:r>
              <w:rPr>
                <w:rFonts w:ascii="Segoe UI"/>
                <w:color w:val="231F20"/>
                <w:sz w:val="16"/>
              </w:rPr>
              <w:t>98%</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shd w:val="clear" w:color="auto" w:fill="EFECE8"/>
          </w:tcPr>
          <w:p>
            <w:pPr>
              <w:pStyle w:val="TableParagraph"/>
              <w:spacing w:line="240" w:lineRule="auto" w:before="13"/>
              <w:ind w:right="0"/>
              <w:jc w:val="left"/>
              <w:rPr>
                <w:rFonts w:ascii="Segoe UI Semibold" w:hAnsi="Segoe UI Semibold" w:cs="Segoe UI Semibold" w:eastAsia="Segoe UI Semibold"/>
                <w:b/>
                <w:bCs/>
                <w:sz w:val="18"/>
                <w:szCs w:val="18"/>
              </w:rPr>
            </w:pPr>
          </w:p>
          <w:p>
            <w:pPr>
              <w:pStyle w:val="TableParagraph"/>
              <w:spacing w:line="240" w:lineRule="auto"/>
              <w:ind w:left="869" w:right="0"/>
              <w:jc w:val="left"/>
              <w:rPr>
                <w:rFonts w:ascii="Segoe UI" w:hAnsi="Segoe UI" w:cs="Segoe UI" w:eastAsia="Segoe UI"/>
                <w:sz w:val="16"/>
                <w:szCs w:val="16"/>
              </w:rPr>
            </w:pPr>
            <w:r>
              <w:rPr>
                <w:rFonts w:ascii="Segoe UI"/>
                <w:color w:val="231F20"/>
                <w:sz w:val="16"/>
              </w:rPr>
              <w:t>100%</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shd w:val="clear" w:color="auto" w:fill="EFECE8"/>
          </w:tcPr>
          <w:p>
            <w:pPr>
              <w:pStyle w:val="TableParagraph"/>
              <w:spacing w:line="240" w:lineRule="auto" w:before="13"/>
              <w:ind w:right="0"/>
              <w:jc w:val="left"/>
              <w:rPr>
                <w:rFonts w:ascii="Segoe UI Semibold" w:hAnsi="Segoe UI Semibold" w:cs="Segoe UI Semibold" w:eastAsia="Segoe UI Semibold"/>
                <w:b/>
                <w:bCs/>
                <w:sz w:val="18"/>
                <w:szCs w:val="18"/>
              </w:rPr>
            </w:pPr>
          </w:p>
          <w:p>
            <w:pPr>
              <w:pStyle w:val="TableParagraph"/>
              <w:spacing w:line="240" w:lineRule="auto"/>
              <w:ind w:left="869" w:right="0"/>
              <w:jc w:val="left"/>
              <w:rPr>
                <w:rFonts w:ascii="Segoe UI" w:hAnsi="Segoe UI" w:cs="Segoe UI" w:eastAsia="Segoe UI"/>
                <w:sz w:val="16"/>
                <w:szCs w:val="16"/>
              </w:rPr>
            </w:pPr>
            <w:r>
              <w:rPr>
                <w:rFonts w:ascii="Segoe UI"/>
                <w:color w:val="231F20"/>
                <w:sz w:val="16"/>
              </w:rPr>
              <w:t>100%</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shd w:val="clear" w:color="auto" w:fill="EFECE8"/>
          </w:tcPr>
          <w:p>
            <w:pPr>
              <w:pStyle w:val="TableParagraph"/>
              <w:spacing w:line="240" w:lineRule="auto" w:before="13"/>
              <w:ind w:right="0"/>
              <w:jc w:val="left"/>
              <w:rPr>
                <w:rFonts w:ascii="Segoe UI Semibold" w:hAnsi="Segoe UI Semibold" w:cs="Segoe UI Semibold" w:eastAsia="Segoe UI Semibold"/>
                <w:b/>
                <w:bCs/>
                <w:sz w:val="18"/>
                <w:szCs w:val="18"/>
              </w:rPr>
            </w:pPr>
          </w:p>
          <w:p>
            <w:pPr>
              <w:pStyle w:val="TableParagraph"/>
              <w:spacing w:line="240" w:lineRule="auto"/>
              <w:ind w:left="869" w:right="0"/>
              <w:jc w:val="left"/>
              <w:rPr>
                <w:rFonts w:ascii="Segoe UI" w:hAnsi="Segoe UI" w:cs="Segoe UI" w:eastAsia="Segoe UI"/>
                <w:sz w:val="16"/>
                <w:szCs w:val="16"/>
              </w:rPr>
            </w:pPr>
            <w:r>
              <w:rPr>
                <w:rFonts w:ascii="Segoe UI"/>
                <w:color w:val="231F20"/>
                <w:sz w:val="16"/>
              </w:rPr>
              <w:t>100%</w:t>
            </w:r>
            <w:r>
              <w:rPr>
                <w:rFonts w:ascii="Segoe UI"/>
                <w:sz w:val="16"/>
              </w:rPr>
            </w:r>
          </w:p>
        </w:tc>
      </w:tr>
      <w:tr>
        <w:trPr>
          <w:trHeight w:val="343" w:hRule="exact"/>
        </w:trPr>
        <w:tc>
          <w:tcPr>
            <w:tcW w:w="3261" w:type="dxa"/>
            <w:tcBorders>
              <w:top w:val="single" w:sz="4" w:space="0" w:color="C1B5A9"/>
              <w:left w:val="single" w:sz="4" w:space="0" w:color="C1B5A9"/>
              <w:bottom w:val="single" w:sz="4" w:space="0" w:color="C1B5A9"/>
              <w:right w:val="single" w:sz="4" w:space="0" w:color="C1B5A9"/>
            </w:tcBorders>
            <w:shd w:val="clear" w:color="auto" w:fill="EFECE8"/>
          </w:tcPr>
          <w:p>
            <w:pPr>
              <w:pStyle w:val="TableParagraph"/>
              <w:spacing w:line="240" w:lineRule="auto" w:before="52"/>
              <w:ind w:left="107" w:right="0"/>
              <w:jc w:val="left"/>
              <w:rPr>
                <w:rFonts w:ascii="Segoe UI" w:hAnsi="Segoe UI" w:cs="Segoe UI" w:eastAsia="Segoe UI"/>
                <w:sz w:val="16"/>
                <w:szCs w:val="16"/>
              </w:rPr>
            </w:pPr>
            <w:r>
              <w:rPr>
                <w:rFonts w:ascii="Segoe UI"/>
                <w:color w:val="231F20"/>
                <w:spacing w:val="-1"/>
                <w:sz w:val="16"/>
              </w:rPr>
              <w:t>ICSEA</w:t>
            </w:r>
            <w:r>
              <w:rPr>
                <w:rFonts w:ascii="Segoe UI"/>
                <w:color w:val="231F20"/>
                <w:spacing w:val="-4"/>
                <w:sz w:val="16"/>
              </w:rPr>
              <w:t> </w:t>
            </w:r>
            <w:r>
              <w:rPr>
                <w:rFonts w:ascii="Segoe UI"/>
                <w:color w:val="231F20"/>
                <w:spacing w:val="-1"/>
                <w:sz w:val="16"/>
              </w:rPr>
              <w:t>score</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shd w:val="clear" w:color="auto" w:fill="EFECE8"/>
          </w:tcPr>
          <w:p>
            <w:pPr>
              <w:pStyle w:val="TableParagraph"/>
              <w:spacing w:line="240" w:lineRule="auto" w:before="52"/>
              <w:ind w:right="107"/>
              <w:jc w:val="right"/>
              <w:rPr>
                <w:rFonts w:ascii="Segoe UI" w:hAnsi="Segoe UI" w:cs="Segoe UI" w:eastAsia="Segoe UI"/>
                <w:sz w:val="16"/>
                <w:szCs w:val="16"/>
              </w:rPr>
            </w:pPr>
            <w:r>
              <w:rPr>
                <w:rFonts w:ascii="Segoe UI"/>
                <w:color w:val="231F20"/>
                <w:sz w:val="16"/>
              </w:rPr>
              <w:t>689</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shd w:val="clear" w:color="auto" w:fill="EFECE8"/>
          </w:tcPr>
          <w:p>
            <w:pPr>
              <w:pStyle w:val="TableParagraph"/>
              <w:spacing w:line="240" w:lineRule="auto" w:before="52"/>
              <w:ind w:right="107"/>
              <w:jc w:val="right"/>
              <w:rPr>
                <w:rFonts w:ascii="Segoe UI" w:hAnsi="Segoe UI" w:cs="Segoe UI" w:eastAsia="Segoe UI"/>
                <w:sz w:val="16"/>
                <w:szCs w:val="16"/>
              </w:rPr>
            </w:pPr>
            <w:r>
              <w:rPr>
                <w:rFonts w:ascii="Segoe UI"/>
                <w:color w:val="231F20"/>
                <w:sz w:val="16"/>
              </w:rPr>
              <w:t>649</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shd w:val="clear" w:color="auto" w:fill="EFECE8"/>
          </w:tcPr>
          <w:p>
            <w:pPr>
              <w:pStyle w:val="TableParagraph"/>
              <w:spacing w:line="240" w:lineRule="auto" w:before="52"/>
              <w:ind w:right="107"/>
              <w:jc w:val="right"/>
              <w:rPr>
                <w:rFonts w:ascii="Segoe UI" w:hAnsi="Segoe UI" w:cs="Segoe UI" w:eastAsia="Segoe UI"/>
                <w:sz w:val="16"/>
                <w:szCs w:val="16"/>
              </w:rPr>
            </w:pPr>
            <w:r>
              <w:rPr>
                <w:rFonts w:ascii="Segoe UI"/>
                <w:color w:val="231F20"/>
                <w:w w:val="95"/>
                <w:sz w:val="16"/>
              </w:rPr>
              <w:t>N/A</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shd w:val="clear" w:color="auto" w:fill="EFECE8"/>
          </w:tcPr>
          <w:p>
            <w:pPr>
              <w:pStyle w:val="TableParagraph"/>
              <w:spacing w:line="240" w:lineRule="auto" w:before="49"/>
              <w:ind w:left="849" w:right="0"/>
              <w:jc w:val="left"/>
              <w:rPr>
                <w:rFonts w:ascii="Segoe UI" w:hAnsi="Segoe UI" w:cs="Segoe UI" w:eastAsia="Segoe UI"/>
                <w:sz w:val="9"/>
                <w:szCs w:val="9"/>
              </w:rPr>
            </w:pPr>
            <w:r>
              <w:rPr>
                <w:rFonts w:ascii="Segoe UI"/>
                <w:color w:val="231F20"/>
                <w:position w:val="-4"/>
                <w:sz w:val="16"/>
              </w:rPr>
              <w:t>603</w:t>
            </w:r>
            <w:r>
              <w:rPr>
                <w:rFonts w:ascii="Segoe UI"/>
                <w:color w:val="231F20"/>
                <w:sz w:val="9"/>
              </w:rPr>
              <w:t>102</w:t>
            </w:r>
            <w:r>
              <w:rPr>
                <w:rFonts w:ascii="Segoe UI"/>
                <w:sz w:val="9"/>
              </w:rPr>
            </w:r>
          </w:p>
        </w:tc>
      </w:tr>
      <w:tr>
        <w:trPr>
          <w:trHeight w:val="543" w:hRule="exact"/>
        </w:trPr>
        <w:tc>
          <w:tcPr>
            <w:tcW w:w="3261" w:type="dxa"/>
            <w:tcBorders>
              <w:top w:val="single" w:sz="4" w:space="0" w:color="C1B5A9"/>
              <w:left w:val="single" w:sz="4" w:space="0" w:color="C1B5A9"/>
              <w:bottom w:val="single" w:sz="4" w:space="0" w:color="C1B5A9"/>
              <w:right w:val="single" w:sz="4" w:space="0" w:color="C1B5A9"/>
            </w:tcBorders>
            <w:shd w:val="clear" w:color="auto" w:fill="EFECE8"/>
          </w:tcPr>
          <w:p>
            <w:pPr>
              <w:pStyle w:val="TableParagraph"/>
              <w:spacing w:line="200" w:lineRule="exact" w:before="65"/>
              <w:ind w:left="108" w:right="133"/>
              <w:jc w:val="left"/>
              <w:rPr>
                <w:rFonts w:ascii="Segoe UI" w:hAnsi="Segoe UI" w:cs="Segoe UI" w:eastAsia="Segoe UI"/>
                <w:sz w:val="16"/>
                <w:szCs w:val="16"/>
              </w:rPr>
            </w:pPr>
            <w:r>
              <w:rPr>
                <w:rFonts w:ascii="Segoe UI"/>
                <w:color w:val="231F20"/>
                <w:spacing w:val="-1"/>
                <w:sz w:val="16"/>
              </w:rPr>
              <w:t>Average</w:t>
            </w:r>
            <w:r>
              <w:rPr>
                <w:rFonts w:ascii="Segoe UI"/>
                <w:color w:val="231F20"/>
                <w:spacing w:val="-6"/>
                <w:sz w:val="16"/>
              </w:rPr>
              <w:t> </w:t>
            </w:r>
            <w:r>
              <w:rPr>
                <w:rFonts w:ascii="Segoe UI"/>
                <w:color w:val="231F20"/>
                <w:sz w:val="16"/>
              </w:rPr>
              <w:t>ABSTUDY</w:t>
            </w:r>
            <w:r>
              <w:rPr>
                <w:rFonts w:ascii="Segoe UI"/>
                <w:color w:val="231F20"/>
                <w:spacing w:val="-5"/>
                <w:sz w:val="16"/>
              </w:rPr>
              <w:t> </w:t>
            </w:r>
            <w:r>
              <w:rPr>
                <w:rFonts w:ascii="Segoe UI"/>
                <w:color w:val="231F20"/>
                <w:sz w:val="16"/>
              </w:rPr>
              <w:t>payment</w:t>
            </w:r>
            <w:r>
              <w:rPr>
                <w:rFonts w:ascii="Segoe UI"/>
                <w:color w:val="231F20"/>
                <w:spacing w:val="-6"/>
                <w:sz w:val="16"/>
              </w:rPr>
              <w:t> </w:t>
            </w:r>
            <w:r>
              <w:rPr>
                <w:rFonts w:ascii="Segoe UI"/>
                <w:color w:val="231F20"/>
                <w:sz w:val="16"/>
              </w:rPr>
              <w:t>per</w:t>
            </w:r>
            <w:r>
              <w:rPr>
                <w:rFonts w:ascii="Segoe UI"/>
                <w:color w:val="231F20"/>
                <w:spacing w:val="-5"/>
                <w:sz w:val="16"/>
              </w:rPr>
              <w:t> </w:t>
            </w:r>
            <w:r>
              <w:rPr>
                <w:rFonts w:ascii="Segoe UI"/>
                <w:color w:val="231F20"/>
                <w:sz w:val="16"/>
              </w:rPr>
              <w:t>Aboriginal</w:t>
            </w:r>
            <w:r>
              <w:rPr>
                <w:rFonts w:ascii="Segoe UI"/>
                <w:color w:val="231F20"/>
                <w:spacing w:val="23"/>
                <w:w w:val="99"/>
                <w:sz w:val="16"/>
              </w:rPr>
              <w:t> </w:t>
            </w:r>
            <w:r>
              <w:rPr>
                <w:rFonts w:ascii="Segoe UI"/>
                <w:color w:val="231F20"/>
                <w:sz w:val="16"/>
              </w:rPr>
              <w:t>and</w:t>
            </w:r>
            <w:r>
              <w:rPr>
                <w:rFonts w:ascii="Segoe UI"/>
                <w:color w:val="231F20"/>
                <w:spacing w:val="-6"/>
                <w:sz w:val="16"/>
              </w:rPr>
              <w:t> </w:t>
            </w:r>
            <w:r>
              <w:rPr>
                <w:rFonts w:ascii="Segoe UI"/>
                <w:color w:val="231F20"/>
                <w:spacing w:val="-3"/>
                <w:sz w:val="16"/>
              </w:rPr>
              <w:t>Torres</w:t>
            </w:r>
            <w:r>
              <w:rPr>
                <w:rFonts w:ascii="Segoe UI"/>
                <w:color w:val="231F20"/>
                <w:spacing w:val="-5"/>
                <w:sz w:val="16"/>
              </w:rPr>
              <w:t> </w:t>
            </w:r>
            <w:r>
              <w:rPr>
                <w:rFonts w:ascii="Segoe UI"/>
                <w:color w:val="231F20"/>
                <w:spacing w:val="-1"/>
                <w:sz w:val="16"/>
              </w:rPr>
              <w:t>Strait</w:t>
            </w:r>
            <w:r>
              <w:rPr>
                <w:rFonts w:ascii="Segoe UI"/>
                <w:color w:val="231F20"/>
                <w:spacing w:val="-5"/>
                <w:sz w:val="16"/>
              </w:rPr>
              <w:t> </w:t>
            </w:r>
            <w:r>
              <w:rPr>
                <w:rFonts w:ascii="Segoe UI"/>
                <w:color w:val="231F20"/>
                <w:spacing w:val="-1"/>
                <w:sz w:val="16"/>
              </w:rPr>
              <w:t>Islander</w:t>
            </w:r>
            <w:r>
              <w:rPr>
                <w:rFonts w:ascii="Segoe UI"/>
                <w:color w:val="231F20"/>
                <w:spacing w:val="-5"/>
                <w:sz w:val="16"/>
              </w:rPr>
              <w:t> </w:t>
            </w:r>
            <w:r>
              <w:rPr>
                <w:rFonts w:ascii="Segoe UI"/>
                <w:color w:val="231F20"/>
                <w:sz w:val="16"/>
              </w:rPr>
              <w:t>boarder</w:t>
            </w:r>
            <w:r>
              <w:rPr>
                <w:rFonts w:ascii="Segoe UI"/>
                <w:color w:val="231F20"/>
                <w:spacing w:val="-4"/>
                <w:sz w:val="16"/>
              </w:rPr>
              <w:t> </w:t>
            </w:r>
            <w:r>
              <w:rPr>
                <w:rFonts w:ascii="Segoe UI"/>
                <w:color w:val="231F20"/>
                <w:sz w:val="16"/>
              </w:rPr>
              <w:t>($)</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shd w:val="clear" w:color="auto" w:fill="EFECE8"/>
          </w:tcPr>
          <w:p>
            <w:pPr>
              <w:pStyle w:val="TableParagraph"/>
              <w:spacing w:line="240" w:lineRule="auto" w:before="6"/>
              <w:ind w:right="0"/>
              <w:jc w:val="left"/>
              <w:rPr>
                <w:rFonts w:ascii="Segoe UI Semibold" w:hAnsi="Segoe UI Semibold" w:cs="Segoe UI Semibold" w:eastAsia="Segoe UI Semibold"/>
                <w:b/>
                <w:bCs/>
                <w:sz w:val="11"/>
                <w:szCs w:val="11"/>
              </w:rPr>
            </w:pPr>
          </w:p>
          <w:p>
            <w:pPr>
              <w:pStyle w:val="TableParagraph"/>
              <w:spacing w:line="240" w:lineRule="auto"/>
              <w:ind w:left="587" w:right="0"/>
              <w:jc w:val="left"/>
              <w:rPr>
                <w:rFonts w:ascii="Segoe UI" w:hAnsi="Segoe UI" w:cs="Segoe UI" w:eastAsia="Segoe UI"/>
                <w:sz w:val="16"/>
                <w:szCs w:val="16"/>
              </w:rPr>
            </w:pPr>
            <w:r>
              <w:rPr>
                <w:rFonts w:ascii="Segoe UI"/>
                <w:color w:val="231F20"/>
                <w:sz w:val="16"/>
              </w:rPr>
              <w:t>22,578.45</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shd w:val="clear" w:color="auto" w:fill="EFECE8"/>
          </w:tcPr>
          <w:p>
            <w:pPr>
              <w:pStyle w:val="TableParagraph"/>
              <w:spacing w:line="240" w:lineRule="auto" w:before="6"/>
              <w:ind w:right="0"/>
              <w:jc w:val="left"/>
              <w:rPr>
                <w:rFonts w:ascii="Segoe UI Semibold" w:hAnsi="Segoe UI Semibold" w:cs="Segoe UI Semibold" w:eastAsia="Segoe UI Semibold"/>
                <w:b/>
                <w:bCs/>
                <w:sz w:val="11"/>
                <w:szCs w:val="11"/>
              </w:rPr>
            </w:pPr>
          </w:p>
          <w:p>
            <w:pPr>
              <w:pStyle w:val="TableParagraph"/>
              <w:spacing w:line="240" w:lineRule="auto"/>
              <w:ind w:left="587" w:right="0"/>
              <w:jc w:val="left"/>
              <w:rPr>
                <w:rFonts w:ascii="Segoe UI" w:hAnsi="Segoe UI" w:cs="Segoe UI" w:eastAsia="Segoe UI"/>
                <w:sz w:val="16"/>
                <w:szCs w:val="16"/>
              </w:rPr>
            </w:pPr>
            <w:r>
              <w:rPr>
                <w:rFonts w:ascii="Segoe UI"/>
                <w:color w:val="231F20"/>
                <w:sz w:val="16"/>
              </w:rPr>
              <w:t>23,809.67</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shd w:val="clear" w:color="auto" w:fill="EFECE8"/>
          </w:tcPr>
          <w:p>
            <w:pPr>
              <w:pStyle w:val="TableParagraph"/>
              <w:spacing w:line="240" w:lineRule="auto" w:before="6"/>
              <w:ind w:right="0"/>
              <w:jc w:val="left"/>
              <w:rPr>
                <w:rFonts w:ascii="Segoe UI Semibold" w:hAnsi="Segoe UI Semibold" w:cs="Segoe UI Semibold" w:eastAsia="Segoe UI Semibold"/>
                <w:b/>
                <w:bCs/>
                <w:sz w:val="11"/>
                <w:szCs w:val="11"/>
              </w:rPr>
            </w:pPr>
          </w:p>
          <w:p>
            <w:pPr>
              <w:pStyle w:val="TableParagraph"/>
              <w:spacing w:line="240" w:lineRule="auto"/>
              <w:ind w:left="587" w:right="0"/>
              <w:jc w:val="left"/>
              <w:rPr>
                <w:rFonts w:ascii="Segoe UI" w:hAnsi="Segoe UI" w:cs="Segoe UI" w:eastAsia="Segoe UI"/>
                <w:sz w:val="16"/>
                <w:szCs w:val="16"/>
              </w:rPr>
            </w:pPr>
            <w:r>
              <w:rPr>
                <w:rFonts w:ascii="Segoe UI"/>
                <w:color w:val="231F20"/>
                <w:sz w:val="16"/>
              </w:rPr>
              <w:t>21,788.60</w:t>
            </w:r>
            <w:r>
              <w:rPr>
                <w:rFonts w:ascii="Segoe UI"/>
                <w:sz w:val="16"/>
              </w:rPr>
            </w:r>
          </w:p>
        </w:tc>
        <w:tc>
          <w:tcPr>
            <w:tcW w:w="1379" w:type="dxa"/>
            <w:tcBorders>
              <w:top w:val="single" w:sz="4" w:space="0" w:color="C1B5A9"/>
              <w:left w:val="single" w:sz="4" w:space="0" w:color="C1B5A9"/>
              <w:bottom w:val="single" w:sz="4" w:space="0" w:color="C1B5A9"/>
              <w:right w:val="single" w:sz="4" w:space="0" w:color="C1B5A9"/>
            </w:tcBorders>
            <w:shd w:val="clear" w:color="auto" w:fill="EFECE8"/>
          </w:tcPr>
          <w:p>
            <w:pPr>
              <w:pStyle w:val="TableParagraph"/>
              <w:spacing w:line="240" w:lineRule="auto" w:before="6"/>
              <w:ind w:right="0"/>
              <w:jc w:val="left"/>
              <w:rPr>
                <w:rFonts w:ascii="Segoe UI Semibold" w:hAnsi="Segoe UI Semibold" w:cs="Segoe UI Semibold" w:eastAsia="Segoe UI Semibold"/>
                <w:b/>
                <w:bCs/>
                <w:sz w:val="11"/>
                <w:szCs w:val="11"/>
              </w:rPr>
            </w:pPr>
          </w:p>
          <w:p>
            <w:pPr>
              <w:pStyle w:val="TableParagraph"/>
              <w:spacing w:line="240" w:lineRule="auto"/>
              <w:ind w:left="587" w:right="0"/>
              <w:jc w:val="left"/>
              <w:rPr>
                <w:rFonts w:ascii="Segoe UI" w:hAnsi="Segoe UI" w:cs="Segoe UI" w:eastAsia="Segoe UI"/>
                <w:sz w:val="16"/>
                <w:szCs w:val="16"/>
              </w:rPr>
            </w:pPr>
            <w:r>
              <w:rPr>
                <w:rFonts w:ascii="Segoe UI"/>
                <w:color w:val="231F20"/>
                <w:sz w:val="16"/>
              </w:rPr>
              <w:t>16,971.33</w:t>
            </w:r>
            <w:r>
              <w:rPr>
                <w:rFonts w:ascii="Segoe UI"/>
                <w:sz w:val="16"/>
              </w:rPr>
            </w:r>
          </w:p>
        </w:tc>
      </w:tr>
    </w:tbl>
    <w:p>
      <w:pPr>
        <w:spacing w:after="0" w:line="240" w:lineRule="auto"/>
        <w:jc w:val="left"/>
        <w:rPr>
          <w:rFonts w:ascii="Segoe UI" w:hAnsi="Segoe UI" w:cs="Segoe UI" w:eastAsia="Segoe UI"/>
          <w:sz w:val="16"/>
          <w:szCs w:val="16"/>
        </w:rPr>
        <w:sectPr>
          <w:type w:val="continuous"/>
          <w:pgSz w:w="11910" w:h="16840"/>
          <w:pgMar w:top="1580" w:bottom="280" w:left="1600" w:right="1280"/>
        </w:sectPr>
      </w:pPr>
    </w:p>
    <w:p>
      <w:pPr>
        <w:spacing w:line="240" w:lineRule="auto" w:before="0"/>
        <w:rPr>
          <w:rFonts w:ascii="Segoe UI Semibold" w:hAnsi="Segoe UI Semibold" w:cs="Segoe UI Semibold" w:eastAsia="Segoe UI Semibold"/>
          <w:b/>
          <w:bCs/>
          <w:sz w:val="20"/>
          <w:szCs w:val="20"/>
        </w:rPr>
      </w:pPr>
    </w:p>
    <w:p>
      <w:pPr>
        <w:spacing w:line="240" w:lineRule="auto" w:before="8"/>
        <w:rPr>
          <w:rFonts w:ascii="Segoe UI Semibold" w:hAnsi="Segoe UI Semibold" w:cs="Segoe UI Semibold" w:eastAsia="Segoe UI Semibold"/>
          <w:b/>
          <w:bCs/>
          <w:sz w:val="21"/>
          <w:szCs w:val="21"/>
        </w:rPr>
      </w:pPr>
    </w:p>
    <w:p>
      <w:pPr>
        <w:spacing w:after="0" w:line="240" w:lineRule="auto"/>
        <w:rPr>
          <w:rFonts w:ascii="Segoe UI Semibold" w:hAnsi="Segoe UI Semibold" w:cs="Segoe UI Semibold" w:eastAsia="Segoe UI Semibold"/>
          <w:sz w:val="21"/>
          <w:szCs w:val="21"/>
        </w:rPr>
        <w:sectPr>
          <w:footerReference w:type="even" r:id="rId50"/>
          <w:footerReference w:type="default" r:id="rId51"/>
          <w:pgSz w:w="11910" w:h="16840"/>
          <w:pgMar w:footer="691" w:header="0" w:top="1580" w:bottom="880" w:left="1300" w:right="1600"/>
        </w:sectPr>
      </w:pPr>
    </w:p>
    <w:p>
      <w:pPr>
        <w:pStyle w:val="BodyText"/>
        <w:spacing w:line="250" w:lineRule="exact" w:before="62"/>
        <w:ind w:right="0"/>
        <w:jc w:val="left"/>
      </w:pPr>
      <w:r>
        <w:rPr>
          <w:color w:val="231F20"/>
          <w:spacing w:val="-1"/>
        </w:rPr>
        <w:t>Without</w:t>
      </w:r>
      <w:r>
        <w:rPr>
          <w:color w:val="231F20"/>
          <w:spacing w:val="-6"/>
        </w:rPr>
        <w:t> </w:t>
      </w:r>
      <w:r>
        <w:rPr>
          <w:color w:val="231F20"/>
        </w:rPr>
        <w:t>ABSTUDY</w:t>
      </w:r>
      <w:r>
        <w:rPr>
          <w:color w:val="231F20"/>
          <w:spacing w:val="-7"/>
        </w:rPr>
        <w:t> </w:t>
      </w:r>
      <w:r>
        <w:rPr>
          <w:color w:val="231F20"/>
        </w:rPr>
        <w:t>the</w:t>
      </w:r>
      <w:r>
        <w:rPr>
          <w:color w:val="231F20"/>
          <w:spacing w:val="-7"/>
        </w:rPr>
        <w:t> </w:t>
      </w:r>
      <w:r>
        <w:rPr>
          <w:color w:val="231F20"/>
        </w:rPr>
        <w:t>boarding</w:t>
      </w:r>
      <w:r>
        <w:rPr>
          <w:color w:val="231F20"/>
          <w:spacing w:val="-7"/>
        </w:rPr>
        <w:t> </w:t>
      </w:r>
      <w:r>
        <w:rPr>
          <w:color w:val="231F20"/>
        </w:rPr>
        <w:t>operations</w:t>
      </w:r>
      <w:r>
        <w:rPr>
          <w:color w:val="231F20"/>
          <w:spacing w:val="-7"/>
        </w:rPr>
        <w:t> </w:t>
      </w:r>
      <w:r>
        <w:rPr>
          <w:color w:val="231F20"/>
        </w:rPr>
        <w:t>at</w:t>
      </w:r>
      <w:r>
        <w:rPr>
          <w:color w:val="231F20"/>
          <w:spacing w:val="22"/>
          <w:w w:val="99"/>
        </w:rPr>
        <w:t> </w:t>
      </w:r>
      <w:r>
        <w:rPr>
          <w:color w:val="231F20"/>
        </w:rPr>
        <w:t>these</w:t>
      </w:r>
      <w:r>
        <w:rPr>
          <w:color w:val="231F20"/>
          <w:spacing w:val="-5"/>
        </w:rPr>
        <w:t> </w:t>
      </w:r>
      <w:r>
        <w:rPr>
          <w:color w:val="231F20"/>
        </w:rPr>
        <w:t>boarding</w:t>
      </w:r>
      <w:r>
        <w:rPr>
          <w:color w:val="231F20"/>
          <w:spacing w:val="-4"/>
        </w:rPr>
        <w:t> </w:t>
      </w:r>
      <w:r>
        <w:rPr>
          <w:color w:val="231F20"/>
          <w:spacing w:val="-1"/>
        </w:rPr>
        <w:t>schools</w:t>
      </w:r>
      <w:r>
        <w:rPr>
          <w:color w:val="231F20"/>
          <w:spacing w:val="-3"/>
        </w:rPr>
        <w:t> </w:t>
      </w:r>
      <w:r>
        <w:rPr>
          <w:color w:val="231F20"/>
        </w:rPr>
        <w:t>would</w:t>
      </w:r>
      <w:r>
        <w:rPr>
          <w:color w:val="231F20"/>
          <w:spacing w:val="-4"/>
        </w:rPr>
        <w:t> </w:t>
      </w:r>
      <w:r>
        <w:rPr>
          <w:color w:val="231F20"/>
        </w:rPr>
        <w:t>not</w:t>
      </w:r>
      <w:r>
        <w:rPr>
          <w:color w:val="231F20"/>
          <w:spacing w:val="-3"/>
        </w:rPr>
        <w:t> </w:t>
      </w:r>
      <w:r>
        <w:rPr>
          <w:color w:val="231F20"/>
        </w:rPr>
        <w:t>be</w:t>
      </w:r>
      <w:r>
        <w:rPr>
          <w:color w:val="231F20"/>
          <w:spacing w:val="-3"/>
        </w:rPr>
        <w:t> </w:t>
      </w:r>
      <w:r>
        <w:rPr>
          <w:color w:val="231F20"/>
        </w:rPr>
        <w:t>viable</w:t>
      </w:r>
      <w:r>
        <w:rPr>
          <w:color w:val="231F20"/>
          <w:spacing w:val="22"/>
        </w:rPr>
        <w:t> </w:t>
      </w:r>
      <w:r>
        <w:rPr>
          <w:color w:val="231F20"/>
        </w:rPr>
        <w:t>without</w:t>
      </w:r>
      <w:r>
        <w:rPr>
          <w:color w:val="231F20"/>
          <w:spacing w:val="-8"/>
        </w:rPr>
        <w:t> </w:t>
      </w:r>
      <w:r>
        <w:rPr>
          <w:color w:val="231F20"/>
        </w:rPr>
        <w:t>a</w:t>
      </w:r>
      <w:r>
        <w:rPr>
          <w:color w:val="231F20"/>
          <w:spacing w:val="-7"/>
        </w:rPr>
        <w:t> </w:t>
      </w:r>
      <w:r>
        <w:rPr>
          <w:color w:val="231F20"/>
        </w:rPr>
        <w:t>replacement</w:t>
      </w:r>
      <w:r>
        <w:rPr>
          <w:color w:val="231F20"/>
          <w:spacing w:val="-9"/>
        </w:rPr>
        <w:t> </w:t>
      </w:r>
      <w:r>
        <w:rPr>
          <w:color w:val="231F20"/>
          <w:spacing w:val="-1"/>
        </w:rPr>
        <w:t>source</w:t>
      </w:r>
      <w:r>
        <w:rPr>
          <w:color w:val="231F20"/>
          <w:spacing w:val="-6"/>
        </w:rPr>
        <w:t> </w:t>
      </w:r>
      <w:r>
        <w:rPr>
          <w:color w:val="231F20"/>
        </w:rPr>
        <w:t>of</w:t>
      </w:r>
      <w:r>
        <w:rPr>
          <w:color w:val="231F20"/>
          <w:spacing w:val="-7"/>
        </w:rPr>
        <w:t> </w:t>
      </w:r>
      <w:r>
        <w:rPr>
          <w:color w:val="231F20"/>
        </w:rPr>
        <w:t>revenue.</w:t>
      </w:r>
      <w:r>
        <w:rPr/>
      </w:r>
    </w:p>
    <w:p>
      <w:pPr>
        <w:pStyle w:val="BodyText"/>
        <w:spacing w:line="250" w:lineRule="exact" w:before="113"/>
        <w:ind w:right="112"/>
        <w:jc w:val="left"/>
      </w:pPr>
      <w:r>
        <w:rPr>
          <w:color w:val="231F20"/>
          <w:spacing w:val="-1"/>
        </w:rPr>
        <w:t>Reliable</w:t>
      </w:r>
      <w:r>
        <w:rPr>
          <w:color w:val="231F20"/>
          <w:spacing w:val="-6"/>
        </w:rPr>
        <w:t> </w:t>
      </w:r>
      <w:r>
        <w:rPr>
          <w:color w:val="231F20"/>
        </w:rPr>
        <w:t>ABSTUDY</w:t>
      </w:r>
      <w:r>
        <w:rPr>
          <w:color w:val="231F20"/>
          <w:spacing w:val="-5"/>
        </w:rPr>
        <w:t> </w:t>
      </w:r>
      <w:r>
        <w:rPr>
          <w:color w:val="231F20"/>
        </w:rPr>
        <w:t>revenue</w:t>
      </w:r>
      <w:r>
        <w:rPr>
          <w:color w:val="231F20"/>
          <w:spacing w:val="-6"/>
        </w:rPr>
        <w:t> </w:t>
      </w:r>
      <w:r>
        <w:rPr>
          <w:color w:val="231F20"/>
        </w:rPr>
        <w:t>data</w:t>
      </w:r>
      <w:r>
        <w:rPr>
          <w:color w:val="231F20"/>
          <w:spacing w:val="-5"/>
        </w:rPr>
        <w:t> </w:t>
      </w:r>
      <w:r>
        <w:rPr>
          <w:color w:val="231F20"/>
        </w:rPr>
        <w:t>was</w:t>
      </w:r>
      <w:r>
        <w:rPr>
          <w:color w:val="231F20"/>
          <w:spacing w:val="-5"/>
        </w:rPr>
        <w:t> </w:t>
      </w:r>
      <w:r>
        <w:rPr>
          <w:color w:val="231F20"/>
        </w:rPr>
        <w:t>available</w:t>
      </w:r>
      <w:r>
        <w:rPr>
          <w:color w:val="231F20"/>
          <w:spacing w:val="22"/>
          <w:w w:val="99"/>
        </w:rPr>
        <w:t> </w:t>
      </w:r>
      <w:r>
        <w:rPr>
          <w:color w:val="231F20"/>
        </w:rPr>
        <w:t>for</w:t>
      </w:r>
      <w:r>
        <w:rPr>
          <w:color w:val="231F20"/>
          <w:spacing w:val="-6"/>
        </w:rPr>
        <w:t> </w:t>
      </w:r>
      <w:r>
        <w:rPr>
          <w:color w:val="231F20"/>
        </w:rPr>
        <w:t>other</w:t>
      </w:r>
      <w:r>
        <w:rPr>
          <w:color w:val="231F20"/>
          <w:spacing w:val="-6"/>
        </w:rPr>
        <w:t> </w:t>
      </w:r>
      <w:r>
        <w:rPr>
          <w:color w:val="231F20"/>
        </w:rPr>
        <w:t>boarding</w:t>
      </w:r>
      <w:r>
        <w:rPr>
          <w:color w:val="231F20"/>
          <w:spacing w:val="-7"/>
        </w:rPr>
        <w:t> </w:t>
      </w:r>
      <w:r>
        <w:rPr>
          <w:color w:val="231F20"/>
        </w:rPr>
        <w:t>providers</w:t>
      </w:r>
      <w:r>
        <w:rPr>
          <w:color w:val="231F20"/>
          <w:spacing w:val="-7"/>
        </w:rPr>
        <w:t> </w:t>
      </w:r>
      <w:r>
        <w:rPr>
          <w:color w:val="231F20"/>
        </w:rPr>
        <w:t>but</w:t>
      </w:r>
      <w:r>
        <w:rPr>
          <w:color w:val="231F20"/>
          <w:spacing w:val="-7"/>
        </w:rPr>
        <w:t> </w:t>
      </w:r>
      <w:r>
        <w:rPr>
          <w:color w:val="231F20"/>
        </w:rPr>
        <w:t>while</w:t>
      </w:r>
      <w:r>
        <w:rPr>
          <w:color w:val="231F20"/>
          <w:spacing w:val="-6"/>
        </w:rPr>
        <w:t> </w:t>
      </w:r>
      <w:r>
        <w:rPr>
          <w:color w:val="231F20"/>
        </w:rPr>
        <w:t>they</w:t>
      </w:r>
      <w:r>
        <w:rPr>
          <w:color w:val="231F20"/>
          <w:w w:val="99"/>
        </w:rPr>
        <w:t> </w:t>
      </w:r>
      <w:r>
        <w:rPr>
          <w:color w:val="231F20"/>
        </w:rPr>
        <w:t>had</w:t>
      </w:r>
      <w:r>
        <w:rPr>
          <w:color w:val="231F20"/>
          <w:spacing w:val="-5"/>
        </w:rPr>
        <w:t> </w:t>
      </w:r>
      <w:r>
        <w:rPr>
          <w:color w:val="231F20"/>
        </w:rPr>
        <w:t>a</w:t>
      </w:r>
      <w:r>
        <w:rPr>
          <w:color w:val="231F20"/>
          <w:spacing w:val="-5"/>
        </w:rPr>
        <w:t> </w:t>
      </w:r>
      <w:r>
        <w:rPr>
          <w:color w:val="231F20"/>
        </w:rPr>
        <w:t>heavy</w:t>
      </w:r>
      <w:r>
        <w:rPr>
          <w:color w:val="231F20"/>
          <w:spacing w:val="-5"/>
        </w:rPr>
        <w:t> </w:t>
      </w:r>
      <w:r>
        <w:rPr>
          <w:color w:val="231F20"/>
        </w:rPr>
        <w:t>reliance</w:t>
      </w:r>
      <w:r>
        <w:rPr>
          <w:color w:val="231F20"/>
          <w:spacing w:val="-6"/>
        </w:rPr>
        <w:t> </w:t>
      </w:r>
      <w:r>
        <w:rPr>
          <w:color w:val="231F20"/>
        </w:rPr>
        <w:t>on</w:t>
      </w:r>
      <w:r>
        <w:rPr>
          <w:color w:val="231F20"/>
          <w:spacing w:val="-4"/>
        </w:rPr>
        <w:t> </w:t>
      </w:r>
      <w:r>
        <w:rPr>
          <w:color w:val="231F20"/>
        </w:rPr>
        <w:t>ABSTUDY</w:t>
      </w:r>
      <w:r>
        <w:rPr>
          <w:color w:val="231F20"/>
          <w:spacing w:val="-6"/>
        </w:rPr>
        <w:t> </w:t>
      </w:r>
      <w:r>
        <w:rPr>
          <w:color w:val="231F20"/>
        </w:rPr>
        <w:t>payments</w:t>
      </w:r>
      <w:r>
        <w:rPr>
          <w:color w:val="231F20"/>
          <w:w w:val="99"/>
        </w:rPr>
        <w:t> </w:t>
      </w:r>
      <w:r>
        <w:rPr>
          <w:color w:val="231F20"/>
        </w:rPr>
        <w:t>to</w:t>
      </w:r>
      <w:r>
        <w:rPr>
          <w:color w:val="231F20"/>
          <w:spacing w:val="-8"/>
        </w:rPr>
        <w:t> </w:t>
      </w:r>
      <w:r>
        <w:rPr>
          <w:color w:val="231F20"/>
          <w:spacing w:val="-1"/>
        </w:rPr>
        <w:t>support</w:t>
      </w:r>
      <w:r>
        <w:rPr>
          <w:color w:val="231F20"/>
          <w:spacing w:val="-7"/>
        </w:rPr>
        <w:t> </w:t>
      </w:r>
      <w:r>
        <w:rPr>
          <w:color w:val="231F20"/>
        </w:rPr>
        <w:t>boarding</w:t>
      </w:r>
      <w:r>
        <w:rPr>
          <w:color w:val="231F20"/>
          <w:spacing w:val="-8"/>
        </w:rPr>
        <w:t> </w:t>
      </w:r>
      <w:r>
        <w:rPr>
          <w:color w:val="231F20"/>
        </w:rPr>
        <w:t>their</w:t>
      </w:r>
      <w:r>
        <w:rPr>
          <w:color w:val="231F20"/>
          <w:spacing w:val="-8"/>
        </w:rPr>
        <w:t> </w:t>
      </w:r>
      <w:r>
        <w:rPr>
          <w:color w:val="231F20"/>
        </w:rPr>
        <w:t>boarding</w:t>
      </w:r>
      <w:r>
        <w:rPr>
          <w:color w:val="231F20"/>
          <w:spacing w:val="-8"/>
        </w:rPr>
        <w:t> </w:t>
      </w:r>
      <w:r>
        <w:rPr>
          <w:color w:val="231F20"/>
        </w:rPr>
        <w:t>revenue</w:t>
      </w:r>
      <w:r>
        <w:rPr>
          <w:color w:val="231F20"/>
          <w:spacing w:val="22"/>
          <w:w w:val="99"/>
        </w:rPr>
        <w:t> </w:t>
      </w:r>
      <w:r>
        <w:rPr>
          <w:color w:val="231F20"/>
        </w:rPr>
        <w:t>was</w:t>
      </w:r>
      <w:r>
        <w:rPr>
          <w:color w:val="231F20"/>
          <w:spacing w:val="-6"/>
        </w:rPr>
        <w:t> </w:t>
      </w:r>
      <w:r>
        <w:rPr>
          <w:color w:val="231F20"/>
        </w:rPr>
        <w:t>also</w:t>
      </w:r>
      <w:r>
        <w:rPr>
          <w:color w:val="231F20"/>
          <w:spacing w:val="-5"/>
        </w:rPr>
        <w:t> </w:t>
      </w:r>
      <w:r>
        <w:rPr>
          <w:color w:val="231F20"/>
          <w:spacing w:val="-1"/>
        </w:rPr>
        <w:t>supplemented</w:t>
      </w:r>
      <w:r>
        <w:rPr>
          <w:color w:val="231F20"/>
          <w:spacing w:val="-3"/>
        </w:rPr>
        <w:t> </w:t>
      </w:r>
      <w:r>
        <w:rPr>
          <w:color w:val="231F20"/>
        </w:rPr>
        <w:t>by</w:t>
      </w:r>
      <w:r>
        <w:rPr>
          <w:color w:val="231F20"/>
          <w:spacing w:val="-4"/>
        </w:rPr>
        <w:t> </w:t>
      </w:r>
      <w:r>
        <w:rPr>
          <w:color w:val="231F20"/>
        </w:rPr>
        <w:t>Northern</w:t>
      </w:r>
      <w:r>
        <w:rPr>
          <w:color w:val="231F20"/>
          <w:spacing w:val="-4"/>
        </w:rPr>
        <w:t> </w:t>
      </w:r>
      <w:r>
        <w:rPr>
          <w:color w:val="231F20"/>
          <w:spacing w:val="-3"/>
        </w:rPr>
        <w:t>Territory</w:t>
      </w:r>
      <w:r>
        <w:rPr>
          <w:color w:val="231F20"/>
          <w:spacing w:val="29"/>
          <w:w w:val="99"/>
        </w:rPr>
        <w:t> </w:t>
      </w:r>
      <w:r>
        <w:rPr>
          <w:color w:val="231F20"/>
        </w:rPr>
        <w:t>or</w:t>
      </w:r>
      <w:r>
        <w:rPr>
          <w:color w:val="231F20"/>
          <w:spacing w:val="-9"/>
        </w:rPr>
        <w:t> </w:t>
      </w:r>
      <w:r>
        <w:rPr>
          <w:color w:val="231F20"/>
          <w:spacing w:val="-1"/>
        </w:rPr>
        <w:t>state</w:t>
      </w:r>
      <w:r>
        <w:rPr>
          <w:color w:val="231F20"/>
          <w:spacing w:val="-8"/>
        </w:rPr>
        <w:t> </w:t>
      </w:r>
      <w:r>
        <w:rPr>
          <w:color w:val="231F20"/>
        </w:rPr>
        <w:t>boarding</w:t>
      </w:r>
      <w:r>
        <w:rPr>
          <w:color w:val="231F20"/>
          <w:spacing w:val="-9"/>
        </w:rPr>
        <w:t> </w:t>
      </w:r>
      <w:r>
        <w:rPr>
          <w:color w:val="231F20"/>
        </w:rPr>
        <w:t>payments,</w:t>
      </w:r>
      <w:r>
        <w:rPr>
          <w:color w:val="231F20"/>
          <w:spacing w:val="-10"/>
        </w:rPr>
        <w:t> </w:t>
      </w:r>
      <w:r>
        <w:rPr>
          <w:color w:val="231F20"/>
          <w:spacing w:val="-1"/>
        </w:rPr>
        <w:t>Indigenous</w:t>
      </w:r>
      <w:r>
        <w:rPr>
          <w:color w:val="231F20"/>
          <w:spacing w:val="21"/>
          <w:w w:val="99"/>
        </w:rPr>
        <w:t> </w:t>
      </w:r>
      <w:r>
        <w:rPr>
          <w:color w:val="231F20"/>
        </w:rPr>
        <w:t>Advancement</w:t>
      </w:r>
      <w:r>
        <w:rPr>
          <w:color w:val="231F20"/>
          <w:spacing w:val="-9"/>
        </w:rPr>
        <w:t> </w:t>
      </w:r>
      <w:r>
        <w:rPr>
          <w:color w:val="231F20"/>
          <w:spacing w:val="-1"/>
        </w:rPr>
        <w:t>Strategy</w:t>
      </w:r>
      <w:r>
        <w:rPr>
          <w:color w:val="231F20"/>
          <w:spacing w:val="-9"/>
        </w:rPr>
        <w:t> </w:t>
      </w:r>
      <w:r>
        <w:rPr>
          <w:color w:val="231F20"/>
        </w:rPr>
        <w:t>funding</w:t>
      </w:r>
      <w:r>
        <w:rPr>
          <w:color w:val="231F20"/>
          <w:spacing w:val="-8"/>
        </w:rPr>
        <w:t> </w:t>
      </w:r>
      <w:r>
        <w:rPr>
          <w:color w:val="231F20"/>
        </w:rPr>
        <w:t>or</w:t>
      </w:r>
      <w:r>
        <w:rPr>
          <w:color w:val="231F20"/>
          <w:spacing w:val="-9"/>
        </w:rPr>
        <w:t> </w:t>
      </w:r>
      <w:r>
        <w:rPr>
          <w:color w:val="231F20"/>
        </w:rPr>
        <w:t>private</w:t>
      </w:r>
      <w:r>
        <w:rPr>
          <w:color w:val="231F20"/>
          <w:spacing w:val="21"/>
          <w:w w:val="99"/>
        </w:rPr>
        <w:t> </w:t>
      </w:r>
      <w:r>
        <w:rPr>
          <w:color w:val="231F20"/>
        </w:rPr>
        <w:t>donations.</w:t>
      </w:r>
      <w:r>
        <w:rPr/>
      </w:r>
    </w:p>
    <w:p>
      <w:pPr>
        <w:pStyle w:val="BodyText"/>
        <w:spacing w:line="250" w:lineRule="exact" w:before="113"/>
        <w:ind w:right="34"/>
        <w:jc w:val="left"/>
      </w:pPr>
      <w:r>
        <w:rPr>
          <w:color w:val="231F20"/>
        </w:rPr>
        <w:t>The</w:t>
      </w:r>
      <w:r>
        <w:rPr>
          <w:color w:val="231F20"/>
          <w:spacing w:val="-6"/>
        </w:rPr>
        <w:t> </w:t>
      </w:r>
      <w:r>
        <w:rPr>
          <w:color w:val="231F20"/>
        </w:rPr>
        <w:t>case</w:t>
      </w:r>
      <w:r>
        <w:rPr>
          <w:color w:val="231F20"/>
          <w:spacing w:val="-6"/>
        </w:rPr>
        <w:t> </w:t>
      </w:r>
      <w:r>
        <w:rPr>
          <w:color w:val="231F20"/>
          <w:spacing w:val="-1"/>
        </w:rPr>
        <w:t>studies</w:t>
      </w:r>
      <w:r>
        <w:rPr>
          <w:color w:val="231F20"/>
          <w:spacing w:val="-5"/>
        </w:rPr>
        <w:t> </w:t>
      </w:r>
      <w:r>
        <w:rPr>
          <w:color w:val="231F20"/>
        </w:rPr>
        <w:t>highlight</w:t>
      </w:r>
      <w:r>
        <w:rPr>
          <w:color w:val="231F20"/>
          <w:spacing w:val="-6"/>
        </w:rPr>
        <w:t> </w:t>
      </w:r>
      <w:r>
        <w:rPr>
          <w:color w:val="231F20"/>
        </w:rPr>
        <w:t>the</w:t>
      </w:r>
      <w:r>
        <w:rPr>
          <w:color w:val="231F20"/>
          <w:spacing w:val="-7"/>
        </w:rPr>
        <w:t> </w:t>
      </w:r>
      <w:r>
        <w:rPr>
          <w:color w:val="231F20"/>
          <w:spacing w:val="-1"/>
        </w:rPr>
        <w:t>structural</w:t>
      </w:r>
      <w:r>
        <w:rPr>
          <w:color w:val="231F20"/>
          <w:spacing w:val="21"/>
          <w:w w:val="99"/>
        </w:rPr>
        <w:t> </w:t>
      </w:r>
      <w:r>
        <w:rPr>
          <w:rFonts w:ascii="Segoe UI" w:hAnsi="Segoe UI" w:cs="Segoe UI" w:eastAsia="Segoe UI"/>
          <w:color w:val="231F20"/>
        </w:rPr>
        <w:t>differences</w:t>
      </w:r>
      <w:r>
        <w:rPr>
          <w:rFonts w:ascii="Segoe UI" w:hAnsi="Segoe UI" w:cs="Segoe UI" w:eastAsia="Segoe UI"/>
          <w:color w:val="231F20"/>
          <w:spacing w:val="-2"/>
        </w:rPr>
        <w:t> </w:t>
      </w:r>
      <w:r>
        <w:rPr>
          <w:rFonts w:ascii="Segoe UI" w:hAnsi="Segoe UI" w:cs="Segoe UI" w:eastAsia="Segoe UI"/>
          <w:color w:val="231F20"/>
        </w:rPr>
        <w:t>in</w:t>
      </w:r>
      <w:r>
        <w:rPr>
          <w:rFonts w:ascii="Segoe UI" w:hAnsi="Segoe UI" w:cs="Segoe UI" w:eastAsia="Segoe UI"/>
          <w:color w:val="231F20"/>
          <w:spacing w:val="-2"/>
        </w:rPr>
        <w:t> </w:t>
      </w:r>
      <w:r>
        <w:rPr>
          <w:rFonts w:ascii="Segoe UI" w:hAnsi="Segoe UI" w:cs="Segoe UI" w:eastAsia="Segoe UI"/>
          <w:color w:val="231F20"/>
        </w:rPr>
        <w:t>funding</w:t>
      </w:r>
      <w:r>
        <w:rPr>
          <w:rFonts w:ascii="Segoe UI" w:hAnsi="Segoe UI" w:cs="Segoe UI" w:eastAsia="Segoe UI"/>
          <w:color w:val="231F20"/>
          <w:spacing w:val="-2"/>
        </w:rPr>
        <w:t> </w:t>
      </w:r>
      <w:r>
        <w:rPr>
          <w:rFonts w:ascii="Segoe UI" w:hAnsi="Segoe UI" w:cs="Segoe UI" w:eastAsia="Segoe UI"/>
          <w:color w:val="231F20"/>
        </w:rPr>
        <w:t>and</w:t>
      </w:r>
      <w:r>
        <w:rPr>
          <w:rFonts w:ascii="Segoe UI" w:hAnsi="Segoe UI" w:cs="Segoe UI" w:eastAsia="Segoe UI"/>
          <w:color w:val="231F20"/>
          <w:spacing w:val="-2"/>
        </w:rPr>
        <w:t> </w:t>
      </w:r>
      <w:r>
        <w:rPr>
          <w:rFonts w:ascii="Segoe UI" w:hAnsi="Segoe UI" w:cs="Segoe UI" w:eastAsia="Segoe UI"/>
          <w:color w:val="231F20"/>
        </w:rPr>
        <w:t>financial</w:t>
      </w:r>
      <w:r>
        <w:rPr>
          <w:rFonts w:ascii="Segoe UI" w:hAnsi="Segoe UI" w:cs="Segoe UI" w:eastAsia="Segoe UI"/>
          <w:color w:val="231F20"/>
          <w:spacing w:val="-2"/>
        </w:rPr>
        <w:t> </w:t>
      </w:r>
      <w:r>
        <w:rPr>
          <w:rFonts w:ascii="Segoe UI" w:hAnsi="Segoe UI" w:cs="Segoe UI" w:eastAsia="Segoe UI"/>
          <w:color w:val="231F20"/>
        </w:rPr>
        <w:t>support</w:t>
      </w:r>
      <w:r>
        <w:rPr>
          <w:rFonts w:ascii="Segoe UI" w:hAnsi="Segoe UI" w:cs="Segoe UI" w:eastAsia="Segoe UI"/>
          <w:color w:val="231F20"/>
        </w:rPr>
        <w:t> </w:t>
      </w:r>
      <w:r>
        <w:rPr>
          <w:color w:val="231F20"/>
        </w:rPr>
        <w:t>for</w:t>
      </w:r>
      <w:r>
        <w:rPr>
          <w:color w:val="231F20"/>
          <w:spacing w:val="-8"/>
        </w:rPr>
        <w:t> </w:t>
      </w:r>
      <w:r>
        <w:rPr>
          <w:color w:val="231F20"/>
        </w:rPr>
        <w:t>tuition</w:t>
      </w:r>
      <w:r>
        <w:rPr>
          <w:color w:val="231F20"/>
          <w:spacing w:val="-9"/>
        </w:rPr>
        <w:t> </w:t>
      </w:r>
      <w:r>
        <w:rPr>
          <w:color w:val="231F20"/>
        </w:rPr>
        <w:t>and</w:t>
      </w:r>
      <w:r>
        <w:rPr>
          <w:color w:val="231F20"/>
          <w:spacing w:val="-8"/>
        </w:rPr>
        <w:t> </w:t>
      </w:r>
      <w:r>
        <w:rPr>
          <w:color w:val="231F20"/>
        </w:rPr>
        <w:t>boarding—tuition</w:t>
      </w:r>
      <w:r>
        <w:rPr>
          <w:color w:val="231F20"/>
          <w:spacing w:val="-9"/>
        </w:rPr>
        <w:t> </w:t>
      </w:r>
      <w:r>
        <w:rPr>
          <w:color w:val="231F20"/>
        </w:rPr>
        <w:t>attracts</w:t>
      </w:r>
      <w:r>
        <w:rPr>
          <w:color w:val="231F20"/>
          <w:spacing w:val="-9"/>
        </w:rPr>
        <w:t> </w:t>
      </w:r>
      <w:r>
        <w:rPr>
          <w:color w:val="231F20"/>
        </w:rPr>
        <w:t>both</w:t>
      </w:r>
      <w:r>
        <w:rPr>
          <w:color w:val="231F20"/>
          <w:w w:val="99"/>
        </w:rPr>
        <w:t> </w:t>
      </w:r>
      <w:r>
        <w:rPr>
          <w:color w:val="231F20"/>
        </w:rPr>
        <w:t>ABSTUDY</w:t>
      </w:r>
      <w:r>
        <w:rPr>
          <w:color w:val="231F20"/>
          <w:spacing w:val="-9"/>
        </w:rPr>
        <w:t> </w:t>
      </w:r>
      <w:r>
        <w:rPr>
          <w:color w:val="231F20"/>
        </w:rPr>
        <w:t>and</w:t>
      </w:r>
      <w:r>
        <w:rPr>
          <w:color w:val="231F20"/>
          <w:spacing w:val="-8"/>
        </w:rPr>
        <w:t> </w:t>
      </w:r>
      <w:r>
        <w:rPr>
          <w:color w:val="231F20"/>
          <w:spacing w:val="-1"/>
        </w:rPr>
        <w:t>Commonwealth</w:t>
      </w:r>
      <w:r>
        <w:rPr>
          <w:color w:val="231F20"/>
          <w:spacing w:val="-7"/>
        </w:rPr>
        <w:t> </w:t>
      </w:r>
      <w:r>
        <w:rPr>
          <w:color w:val="231F20"/>
        </w:rPr>
        <w:t>funding,</w:t>
      </w:r>
      <w:r>
        <w:rPr>
          <w:color w:val="231F20"/>
          <w:spacing w:val="-8"/>
        </w:rPr>
        <w:t> </w:t>
      </w:r>
      <w:r>
        <w:rPr>
          <w:color w:val="231F20"/>
        </w:rPr>
        <w:t>while</w:t>
      </w:r>
      <w:r>
        <w:rPr/>
      </w:r>
    </w:p>
    <w:p>
      <w:pPr>
        <w:pStyle w:val="BodyText"/>
        <w:spacing w:line="250" w:lineRule="exact"/>
        <w:ind w:right="0"/>
        <w:jc w:val="left"/>
      </w:pPr>
      <w:r>
        <w:rPr>
          <w:color w:val="231F20"/>
        </w:rPr>
        <w:t>boarding</w:t>
      </w:r>
      <w:r>
        <w:rPr>
          <w:color w:val="231F20"/>
          <w:spacing w:val="-7"/>
        </w:rPr>
        <w:t> </w:t>
      </w:r>
      <w:r>
        <w:rPr>
          <w:color w:val="231F20"/>
        </w:rPr>
        <w:t>attracts</w:t>
      </w:r>
      <w:r>
        <w:rPr>
          <w:color w:val="231F20"/>
          <w:spacing w:val="-7"/>
        </w:rPr>
        <w:t> </w:t>
      </w:r>
      <w:r>
        <w:rPr>
          <w:color w:val="231F20"/>
        </w:rPr>
        <w:t>ABSTUDY</w:t>
      </w:r>
      <w:r>
        <w:rPr>
          <w:color w:val="231F20"/>
          <w:spacing w:val="-7"/>
        </w:rPr>
        <w:t> </w:t>
      </w:r>
      <w:r>
        <w:rPr>
          <w:color w:val="231F20"/>
        </w:rPr>
        <w:t>but</w:t>
      </w:r>
      <w:r>
        <w:rPr>
          <w:color w:val="231F20"/>
          <w:spacing w:val="-7"/>
        </w:rPr>
        <w:t> </w:t>
      </w:r>
      <w:r>
        <w:rPr>
          <w:color w:val="231F20"/>
        </w:rPr>
        <w:t>not</w:t>
      </w:r>
      <w:r>
        <w:rPr>
          <w:color w:val="231F20"/>
          <w:spacing w:val="-6"/>
        </w:rPr>
        <w:t> </w:t>
      </w:r>
      <w:r>
        <w:rPr>
          <w:color w:val="231F20"/>
        </w:rPr>
        <w:t>underlying</w:t>
      </w:r>
      <w:r>
        <w:rPr>
          <w:color w:val="231F20"/>
          <w:w w:val="99"/>
        </w:rPr>
        <w:t> </w:t>
      </w:r>
      <w:r>
        <w:rPr>
          <w:color w:val="231F20"/>
        </w:rPr>
        <w:t>broad</w:t>
      </w:r>
      <w:r>
        <w:rPr>
          <w:color w:val="231F20"/>
          <w:spacing w:val="-8"/>
        </w:rPr>
        <w:t> </w:t>
      </w:r>
      <w:r>
        <w:rPr>
          <w:color w:val="231F20"/>
        </w:rPr>
        <w:t>based</w:t>
      </w:r>
      <w:r>
        <w:rPr>
          <w:color w:val="231F20"/>
          <w:spacing w:val="-9"/>
        </w:rPr>
        <w:t> </w:t>
      </w:r>
      <w:r>
        <w:rPr>
          <w:color w:val="231F20"/>
          <w:spacing w:val="-1"/>
        </w:rPr>
        <w:t>Commonwealth</w:t>
      </w:r>
      <w:r>
        <w:rPr>
          <w:color w:val="231F20"/>
          <w:spacing w:val="-8"/>
        </w:rPr>
        <w:t> </w:t>
      </w:r>
      <w:r>
        <w:rPr>
          <w:color w:val="231F20"/>
        </w:rPr>
        <w:t>funding.</w:t>
      </w:r>
      <w:r>
        <w:rPr>
          <w:color w:val="231F20"/>
          <w:spacing w:val="-8"/>
        </w:rPr>
        <w:t> </w:t>
      </w:r>
      <w:r>
        <w:rPr>
          <w:color w:val="231F20"/>
        </w:rPr>
        <w:t>Given</w:t>
      </w:r>
      <w:r>
        <w:rPr>
          <w:color w:val="231F20"/>
          <w:spacing w:val="22"/>
        </w:rPr>
        <w:t> </w:t>
      </w:r>
      <w:r>
        <w:rPr>
          <w:rFonts w:ascii="Segoe UI"/>
          <w:color w:val="231F20"/>
        </w:rPr>
        <w:t>the</w:t>
      </w:r>
      <w:r>
        <w:rPr>
          <w:rFonts w:ascii="Segoe UI"/>
          <w:color w:val="231F20"/>
          <w:spacing w:val="-2"/>
        </w:rPr>
        <w:t> </w:t>
      </w:r>
      <w:r>
        <w:rPr>
          <w:rFonts w:ascii="Segoe UI"/>
          <w:color w:val="231F20"/>
        </w:rPr>
        <w:t>structural</w:t>
      </w:r>
      <w:r>
        <w:rPr>
          <w:rFonts w:ascii="Segoe UI"/>
          <w:color w:val="231F20"/>
          <w:spacing w:val="-2"/>
        </w:rPr>
        <w:t> </w:t>
      </w:r>
      <w:r>
        <w:rPr>
          <w:rFonts w:ascii="Segoe UI"/>
          <w:color w:val="231F20"/>
        </w:rPr>
        <w:t>differences</w:t>
      </w:r>
      <w:r>
        <w:rPr>
          <w:rFonts w:ascii="Segoe UI"/>
          <w:color w:val="231F20"/>
          <w:spacing w:val="-1"/>
        </w:rPr>
        <w:t> </w:t>
      </w:r>
      <w:r>
        <w:rPr>
          <w:rFonts w:ascii="Segoe UI"/>
          <w:color w:val="231F20"/>
        </w:rPr>
        <w:t>it</w:t>
      </w:r>
      <w:r>
        <w:rPr>
          <w:rFonts w:ascii="Segoe UI"/>
          <w:color w:val="231F20"/>
          <w:spacing w:val="-2"/>
        </w:rPr>
        <w:t> </w:t>
      </w:r>
      <w:r>
        <w:rPr>
          <w:rFonts w:ascii="Segoe UI"/>
          <w:color w:val="231F20"/>
        </w:rPr>
        <w:t>is</w:t>
      </w:r>
      <w:r>
        <w:rPr>
          <w:rFonts w:ascii="Segoe UI"/>
          <w:color w:val="231F20"/>
          <w:spacing w:val="-2"/>
        </w:rPr>
        <w:t> </w:t>
      </w:r>
      <w:r>
        <w:rPr>
          <w:rFonts w:ascii="Segoe UI"/>
          <w:color w:val="231F20"/>
        </w:rPr>
        <w:t>important</w:t>
      </w:r>
      <w:r>
        <w:rPr>
          <w:rFonts w:ascii="Segoe UI"/>
          <w:color w:val="231F20"/>
          <w:spacing w:val="-1"/>
        </w:rPr>
        <w:t> </w:t>
      </w:r>
      <w:r>
        <w:rPr>
          <w:rFonts w:ascii="Segoe UI"/>
          <w:color w:val="231F20"/>
        </w:rPr>
        <w:t>for</w:t>
      </w:r>
      <w:r>
        <w:rPr>
          <w:rFonts w:ascii="Segoe UI"/>
          <w:color w:val="231F20"/>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6"/>
        </w:rPr>
        <w:t> </w:t>
      </w:r>
      <w:r>
        <w:rPr>
          <w:color w:val="231F20"/>
        </w:rPr>
        <w:t>to</w:t>
      </w:r>
      <w:r>
        <w:rPr>
          <w:color w:val="231F20"/>
          <w:spacing w:val="-5"/>
        </w:rPr>
        <w:t> </w:t>
      </w:r>
      <w:r>
        <w:rPr>
          <w:color w:val="231F20"/>
          <w:spacing w:val="-1"/>
        </w:rPr>
        <w:t>implement</w:t>
      </w:r>
      <w:r>
        <w:rPr>
          <w:color w:val="231F20"/>
          <w:spacing w:val="-5"/>
        </w:rPr>
        <w:t> </w:t>
      </w:r>
      <w:r>
        <w:rPr>
          <w:color w:val="231F20"/>
        </w:rPr>
        <w:t>fee</w:t>
      </w:r>
      <w:r>
        <w:rPr>
          <w:color w:val="231F20"/>
          <w:spacing w:val="-5"/>
        </w:rPr>
        <w:t> </w:t>
      </w:r>
      <w:r>
        <w:rPr>
          <w:color w:val="231F20"/>
          <w:spacing w:val="-1"/>
        </w:rPr>
        <w:t>structures</w:t>
      </w:r>
      <w:r>
        <w:rPr>
          <w:color w:val="231F20"/>
          <w:spacing w:val="-4"/>
        </w:rPr>
        <w:t> </w:t>
      </w:r>
      <w:r>
        <w:rPr>
          <w:color w:val="231F20"/>
        </w:rPr>
        <w:t>and</w:t>
      </w:r>
      <w:r>
        <w:rPr>
          <w:color w:val="231F20"/>
          <w:spacing w:val="23"/>
          <w:w w:val="99"/>
        </w:rPr>
        <w:t> </w:t>
      </w:r>
      <w:r>
        <w:rPr>
          <w:color w:val="231F20"/>
          <w:spacing w:val="-1"/>
        </w:rPr>
        <w:t>monitoring</w:t>
      </w:r>
      <w:r>
        <w:rPr>
          <w:color w:val="231F20"/>
          <w:spacing w:val="-2"/>
        </w:rPr>
        <w:t> </w:t>
      </w:r>
      <w:r>
        <w:rPr>
          <w:color w:val="231F20"/>
        </w:rPr>
        <w:t>processes</w:t>
      </w:r>
      <w:r>
        <w:rPr>
          <w:color w:val="231F20"/>
          <w:spacing w:val="-4"/>
        </w:rPr>
        <w:t> </w:t>
      </w:r>
      <w:r>
        <w:rPr>
          <w:color w:val="231F20"/>
        </w:rPr>
        <w:t>to</w:t>
      </w:r>
      <w:r>
        <w:rPr>
          <w:color w:val="231F20"/>
          <w:spacing w:val="-3"/>
        </w:rPr>
        <w:t> </w:t>
      </w:r>
      <w:r>
        <w:rPr>
          <w:color w:val="231F20"/>
          <w:spacing w:val="-1"/>
        </w:rPr>
        <w:t>maximise</w:t>
      </w:r>
      <w:r>
        <w:rPr>
          <w:color w:val="231F20"/>
          <w:spacing w:val="-3"/>
        </w:rPr>
        <w:t> </w:t>
      </w:r>
      <w:r>
        <w:rPr>
          <w:color w:val="231F20"/>
        </w:rPr>
        <w:t>ABSTUDY</w:t>
      </w:r>
      <w:r>
        <w:rPr>
          <w:color w:val="231F20"/>
          <w:spacing w:val="23"/>
        </w:rPr>
        <w:t> </w:t>
      </w:r>
      <w:r>
        <w:rPr>
          <w:color w:val="231F20"/>
        </w:rPr>
        <w:t>receipts.</w:t>
      </w:r>
      <w:r>
        <w:rPr/>
      </w:r>
    </w:p>
    <w:p>
      <w:pPr>
        <w:pStyle w:val="BodyText"/>
        <w:spacing w:line="250" w:lineRule="exact" w:before="62"/>
        <w:ind w:right="204"/>
        <w:jc w:val="left"/>
        <w:rPr>
          <w:rFonts w:ascii="Segoe UI" w:hAnsi="Segoe UI" w:cs="Segoe UI" w:eastAsia="Segoe UI"/>
        </w:rPr>
      </w:pPr>
      <w:r>
        <w:rPr/>
        <w:br w:type="column"/>
      </w:r>
      <w:r>
        <w:rPr>
          <w:color w:val="231F20"/>
        </w:rPr>
        <w:t>Major</w:t>
      </w:r>
      <w:r>
        <w:rPr>
          <w:color w:val="231F20"/>
          <w:spacing w:val="-6"/>
        </w:rPr>
        <w:t> </w:t>
      </w:r>
      <w:r>
        <w:rPr>
          <w:color w:val="231F20"/>
        </w:rPr>
        <w:t>components</w:t>
      </w:r>
      <w:r>
        <w:rPr>
          <w:color w:val="231F20"/>
          <w:spacing w:val="-7"/>
        </w:rPr>
        <w:t> </w:t>
      </w:r>
      <w:r>
        <w:rPr>
          <w:color w:val="231F20"/>
        </w:rPr>
        <w:t>of</w:t>
      </w:r>
      <w:r>
        <w:rPr>
          <w:color w:val="231F20"/>
          <w:spacing w:val="-6"/>
        </w:rPr>
        <w:t> </w:t>
      </w:r>
      <w:r>
        <w:rPr>
          <w:color w:val="231F20"/>
        </w:rPr>
        <w:t>ABSTUDY</w:t>
      </w:r>
      <w:r>
        <w:rPr>
          <w:color w:val="231F20"/>
          <w:spacing w:val="-7"/>
        </w:rPr>
        <w:t> </w:t>
      </w:r>
      <w:r>
        <w:rPr>
          <w:color w:val="231F20"/>
        </w:rPr>
        <w:t>payments</w:t>
      </w:r>
      <w:r>
        <w:rPr>
          <w:color w:val="231F20"/>
          <w:spacing w:val="-7"/>
        </w:rPr>
        <w:t> </w:t>
      </w:r>
      <w:r>
        <w:rPr>
          <w:color w:val="231F20"/>
        </w:rPr>
        <w:t>are</w:t>
      </w:r>
      <w:r>
        <w:rPr>
          <w:color w:val="231F20"/>
          <w:w w:val="99"/>
        </w:rPr>
        <w:t> </w:t>
      </w:r>
      <w:r>
        <w:rPr>
          <w:color w:val="231F20"/>
          <w:spacing w:val="-1"/>
        </w:rPr>
        <w:t>subject </w:t>
      </w:r>
      <w:r>
        <w:rPr>
          <w:color w:val="231F20"/>
        </w:rPr>
        <w:t>to an</w:t>
      </w:r>
      <w:r>
        <w:rPr>
          <w:color w:val="231F20"/>
          <w:spacing w:val="-2"/>
        </w:rPr>
        <w:t> </w:t>
      </w:r>
      <w:r>
        <w:rPr>
          <w:color w:val="231F20"/>
        </w:rPr>
        <w:t>asset</w:t>
      </w:r>
      <w:r>
        <w:rPr>
          <w:color w:val="231F20"/>
          <w:spacing w:val="-1"/>
        </w:rPr>
        <w:t> </w:t>
      </w:r>
      <w:r>
        <w:rPr>
          <w:color w:val="231F20"/>
        </w:rPr>
        <w:t>test</w:t>
      </w:r>
      <w:r>
        <w:rPr>
          <w:color w:val="231F20"/>
          <w:spacing w:val="-2"/>
        </w:rPr>
        <w:t> </w:t>
      </w:r>
      <w:r>
        <w:rPr>
          <w:color w:val="231F20"/>
        </w:rPr>
        <w:t>and</w:t>
      </w:r>
      <w:r>
        <w:rPr>
          <w:color w:val="231F20"/>
          <w:spacing w:val="-1"/>
        </w:rPr>
        <w:t> means testing</w:t>
      </w:r>
      <w:r>
        <w:rPr>
          <w:rFonts w:ascii="Segoe UI Semibold"/>
          <w:b/>
          <w:color w:val="231F20"/>
          <w:spacing w:val="-1"/>
          <w:position w:val="7"/>
          <w:sz w:val="11"/>
        </w:rPr>
        <w:t>103</w:t>
      </w:r>
      <w:r>
        <w:rPr>
          <w:rFonts w:ascii="Segoe UI Semibold"/>
          <w:b/>
          <w:color w:val="231F20"/>
          <w:spacing w:val="28"/>
          <w:w w:val="106"/>
          <w:position w:val="7"/>
          <w:sz w:val="11"/>
        </w:rPr>
        <w:t> </w:t>
      </w:r>
      <w:r>
        <w:rPr>
          <w:color w:val="231F20"/>
        </w:rPr>
        <w:t>under</w:t>
      </w:r>
      <w:r>
        <w:rPr>
          <w:color w:val="231F20"/>
          <w:spacing w:val="-3"/>
        </w:rPr>
        <w:t> </w:t>
      </w:r>
      <w:r>
        <w:rPr>
          <w:color w:val="231F20"/>
        </w:rPr>
        <w:t>chapter</w:t>
      </w:r>
      <w:r>
        <w:rPr>
          <w:color w:val="231F20"/>
          <w:spacing w:val="-3"/>
        </w:rPr>
        <w:t> </w:t>
      </w:r>
      <w:r>
        <w:rPr>
          <w:color w:val="231F20"/>
          <w:spacing w:val="-1"/>
        </w:rPr>
        <w:t>56</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ABSTUDY</w:t>
      </w:r>
      <w:r>
        <w:rPr>
          <w:color w:val="231F20"/>
          <w:spacing w:val="-4"/>
        </w:rPr>
        <w:t> </w:t>
      </w:r>
      <w:r>
        <w:rPr>
          <w:color w:val="231F20"/>
        </w:rPr>
        <w:t>policy</w:t>
      </w:r>
      <w:r>
        <w:rPr>
          <w:color w:val="231F20"/>
          <w:spacing w:val="21"/>
        </w:rPr>
        <w:t> </w:t>
      </w:r>
      <w:r>
        <w:rPr>
          <w:color w:val="231F20"/>
          <w:spacing w:val="-1"/>
        </w:rPr>
        <w:t>manual.</w:t>
      </w:r>
      <w:r>
        <w:rPr>
          <w:color w:val="231F20"/>
          <w:spacing w:val="-5"/>
        </w:rPr>
        <w:t> </w:t>
      </w:r>
      <w:r>
        <w:rPr>
          <w:color w:val="231F20"/>
        </w:rPr>
        <w:t>Under</w:t>
      </w:r>
      <w:r>
        <w:rPr>
          <w:color w:val="231F20"/>
          <w:spacing w:val="-4"/>
        </w:rPr>
        <w:t> </w:t>
      </w:r>
      <w:r>
        <w:rPr>
          <w:color w:val="231F20"/>
        </w:rPr>
        <w:t>the</w:t>
      </w:r>
      <w:r>
        <w:rPr>
          <w:color w:val="231F20"/>
          <w:spacing w:val="-5"/>
        </w:rPr>
        <w:t> </w:t>
      </w:r>
      <w:r>
        <w:rPr>
          <w:color w:val="231F20"/>
          <w:spacing w:val="-1"/>
        </w:rPr>
        <w:t>2018-19</w:t>
      </w:r>
      <w:r>
        <w:rPr>
          <w:color w:val="231F20"/>
          <w:spacing w:val="-5"/>
        </w:rPr>
        <w:t> </w:t>
      </w:r>
      <w:r>
        <w:rPr>
          <w:color w:val="231F20"/>
        </w:rPr>
        <w:t>ABSTUDY</w:t>
      </w:r>
      <w:r>
        <w:rPr>
          <w:color w:val="231F20"/>
          <w:spacing w:val="-5"/>
        </w:rPr>
        <w:t> </w:t>
      </w:r>
      <w:r>
        <w:rPr>
          <w:color w:val="231F20"/>
        </w:rPr>
        <w:t>budget</w:t>
      </w:r>
      <w:r>
        <w:rPr>
          <w:color w:val="231F20"/>
          <w:spacing w:val="23"/>
          <w:w w:val="99"/>
        </w:rPr>
        <w:t> </w:t>
      </w:r>
      <w:r>
        <w:rPr>
          <w:color w:val="231F20"/>
          <w:spacing w:val="-1"/>
        </w:rPr>
        <w:t>measure</w:t>
      </w:r>
      <w:r>
        <w:rPr>
          <w:color w:val="231F20"/>
          <w:spacing w:val="-6"/>
        </w:rPr>
        <w:t> </w:t>
      </w:r>
      <w:r>
        <w:rPr>
          <w:color w:val="231F20"/>
        </w:rPr>
        <w:t>the</w:t>
      </w:r>
      <w:r>
        <w:rPr>
          <w:color w:val="231F20"/>
          <w:spacing w:val="-7"/>
        </w:rPr>
        <w:t> </w:t>
      </w:r>
      <w:r>
        <w:rPr>
          <w:color w:val="231F20"/>
        </w:rPr>
        <w:t>previously</w:t>
      </w:r>
      <w:r>
        <w:rPr>
          <w:color w:val="231F20"/>
          <w:spacing w:val="-6"/>
        </w:rPr>
        <w:t> </w:t>
      </w:r>
      <w:r>
        <w:rPr>
          <w:color w:val="231F20"/>
        </w:rPr>
        <w:t>non</w:t>
      </w:r>
      <w:r>
        <w:rPr>
          <w:color w:val="231F20"/>
          <w:spacing w:val="-7"/>
        </w:rPr>
        <w:t> </w:t>
      </w:r>
      <w:r>
        <w:rPr>
          <w:color w:val="231F20"/>
          <w:spacing w:val="-1"/>
        </w:rPr>
        <w:t>means</w:t>
      </w:r>
      <w:r>
        <w:rPr>
          <w:color w:val="231F20"/>
          <w:spacing w:val="-6"/>
        </w:rPr>
        <w:t> </w:t>
      </w:r>
      <w:r>
        <w:rPr>
          <w:color w:val="231F20"/>
        </w:rPr>
        <w:t>tested</w:t>
      </w:r>
      <w:r>
        <w:rPr>
          <w:color w:val="231F20"/>
          <w:spacing w:val="23"/>
          <w:w w:val="99"/>
        </w:rPr>
        <w:t> </w:t>
      </w:r>
      <w:r>
        <w:rPr>
          <w:color w:val="231F20"/>
        </w:rPr>
        <w:t>under</w:t>
      </w:r>
      <w:r>
        <w:rPr>
          <w:color w:val="231F20"/>
          <w:spacing w:val="-6"/>
        </w:rPr>
        <w:t> </w:t>
      </w:r>
      <w:r>
        <w:rPr>
          <w:color w:val="231F20"/>
          <w:spacing w:val="-1"/>
        </w:rPr>
        <w:t>16</w:t>
      </w:r>
      <w:r>
        <w:rPr>
          <w:color w:val="231F20"/>
          <w:spacing w:val="-5"/>
        </w:rPr>
        <w:t> </w:t>
      </w:r>
      <w:r>
        <w:rPr>
          <w:color w:val="231F20"/>
        </w:rPr>
        <w:t>boarding</w:t>
      </w:r>
      <w:r>
        <w:rPr>
          <w:color w:val="231F20"/>
          <w:spacing w:val="-6"/>
        </w:rPr>
        <w:t> </w:t>
      </w:r>
      <w:r>
        <w:rPr>
          <w:color w:val="231F20"/>
          <w:spacing w:val="-1"/>
        </w:rPr>
        <w:t>supplement</w:t>
      </w:r>
      <w:r>
        <w:rPr>
          <w:color w:val="231F20"/>
          <w:spacing w:val="-4"/>
        </w:rPr>
        <w:t> </w:t>
      </w:r>
      <w:r>
        <w:rPr>
          <w:color w:val="231F20"/>
        </w:rPr>
        <w:t>was</w:t>
      </w:r>
      <w:r>
        <w:rPr>
          <w:color w:val="231F20"/>
          <w:spacing w:val="-6"/>
        </w:rPr>
        <w:t> </w:t>
      </w:r>
      <w:r>
        <w:rPr>
          <w:color w:val="231F20"/>
        </w:rPr>
        <w:t>combined</w:t>
      </w:r>
      <w:r>
        <w:rPr>
          <w:color w:val="231F20"/>
          <w:spacing w:val="23"/>
          <w:w w:val="99"/>
        </w:rPr>
        <w:t> </w:t>
      </w:r>
      <w:r>
        <w:rPr>
          <w:color w:val="231F20"/>
        </w:rPr>
        <w:t>with</w:t>
      </w:r>
      <w:r>
        <w:rPr>
          <w:color w:val="231F20"/>
          <w:spacing w:val="-6"/>
        </w:rPr>
        <w:t> </w:t>
      </w:r>
      <w:r>
        <w:rPr>
          <w:color w:val="231F20"/>
        </w:rPr>
        <w:t>the</w:t>
      </w:r>
      <w:r>
        <w:rPr>
          <w:color w:val="231F20"/>
          <w:spacing w:val="-5"/>
        </w:rPr>
        <w:t> </w:t>
      </w:r>
      <w:r>
        <w:rPr>
          <w:color w:val="231F20"/>
          <w:spacing w:val="-1"/>
        </w:rPr>
        <w:t>means</w:t>
      </w:r>
      <w:r>
        <w:rPr>
          <w:color w:val="231F20"/>
          <w:spacing w:val="-4"/>
        </w:rPr>
        <w:t> </w:t>
      </w:r>
      <w:r>
        <w:rPr>
          <w:color w:val="231F20"/>
        </w:rPr>
        <w:t>tested</w:t>
      </w:r>
      <w:r>
        <w:rPr>
          <w:color w:val="231F20"/>
          <w:spacing w:val="-5"/>
        </w:rPr>
        <w:t> </w:t>
      </w:r>
      <w:r>
        <w:rPr>
          <w:color w:val="231F20"/>
          <w:spacing w:val="-1"/>
        </w:rPr>
        <w:t>living</w:t>
      </w:r>
      <w:r>
        <w:rPr>
          <w:color w:val="231F20"/>
          <w:spacing w:val="-4"/>
        </w:rPr>
        <w:t> </w:t>
      </w:r>
      <w:r>
        <w:rPr>
          <w:color w:val="231F20"/>
        </w:rPr>
        <w:t>allowance.</w:t>
      </w:r>
      <w:r>
        <w:rPr>
          <w:color w:val="231F20"/>
          <w:spacing w:val="-5"/>
        </w:rPr>
        <w:t> </w:t>
      </w:r>
      <w:r>
        <w:rPr>
          <w:color w:val="231F20"/>
        </w:rPr>
        <w:t>The</w:t>
      </w:r>
      <w:r>
        <w:rPr>
          <w:color w:val="231F20"/>
          <w:spacing w:val="23"/>
          <w:w w:val="99"/>
        </w:rPr>
        <w:t> </w:t>
      </w:r>
      <w:r>
        <w:rPr>
          <w:color w:val="231F20"/>
        </w:rPr>
        <w:t>combination</w:t>
      </w:r>
      <w:r>
        <w:rPr>
          <w:color w:val="231F20"/>
          <w:spacing w:val="-7"/>
        </w:rPr>
        <w:t> </w:t>
      </w:r>
      <w:r>
        <w:rPr>
          <w:color w:val="231F20"/>
        </w:rPr>
        <w:t>of</w:t>
      </w:r>
      <w:r>
        <w:rPr>
          <w:color w:val="231F20"/>
          <w:spacing w:val="-5"/>
        </w:rPr>
        <w:t> </w:t>
      </w:r>
      <w:r>
        <w:rPr>
          <w:color w:val="231F20"/>
        </w:rPr>
        <w:t>the</w:t>
      </w:r>
      <w:r>
        <w:rPr>
          <w:color w:val="231F20"/>
          <w:spacing w:val="-6"/>
        </w:rPr>
        <w:t> </w:t>
      </w:r>
      <w:r>
        <w:rPr>
          <w:color w:val="231F20"/>
        </w:rPr>
        <w:t>two</w:t>
      </w:r>
      <w:r>
        <w:rPr>
          <w:color w:val="231F20"/>
          <w:spacing w:val="-5"/>
        </w:rPr>
        <w:t> </w:t>
      </w:r>
      <w:r>
        <w:rPr>
          <w:color w:val="231F20"/>
        </w:rPr>
        <w:t>payments</w:t>
      </w:r>
      <w:r>
        <w:rPr>
          <w:color w:val="231F20"/>
          <w:spacing w:val="-7"/>
        </w:rPr>
        <w:t> </w:t>
      </w:r>
      <w:r>
        <w:rPr>
          <w:color w:val="231F20"/>
        </w:rPr>
        <w:t>on</w:t>
      </w:r>
      <w:r>
        <w:rPr>
          <w:color w:val="231F20"/>
          <w:spacing w:val="-5"/>
        </w:rPr>
        <w:t> </w:t>
      </w:r>
      <w:r>
        <w:rPr>
          <w:color w:val="231F20"/>
        </w:rPr>
        <w:t>1</w:t>
      </w:r>
      <w:r>
        <w:rPr>
          <w:color w:val="231F20"/>
          <w:spacing w:val="-5"/>
        </w:rPr>
        <w:t> </w:t>
      </w:r>
      <w:r>
        <w:rPr>
          <w:color w:val="231F20"/>
        </w:rPr>
        <w:t>January</w:t>
      </w:r>
      <w:r>
        <w:rPr>
          <w:color w:val="231F20"/>
          <w:w w:val="99"/>
        </w:rPr>
        <w:t> </w:t>
      </w:r>
      <w:r>
        <w:rPr>
          <w:rFonts w:ascii="Segoe UI"/>
          <w:color w:val="231F20"/>
        </w:rPr>
        <w:t>2019 has benefitted students that have</w:t>
      </w:r>
      <w:r>
        <w:rPr>
          <w:rFonts w:ascii="Segoe UI"/>
        </w:rPr>
      </w:r>
    </w:p>
    <w:p>
      <w:pPr>
        <w:pStyle w:val="BodyText"/>
        <w:spacing w:line="250" w:lineRule="exact"/>
        <w:ind w:right="235"/>
        <w:jc w:val="left"/>
      </w:pPr>
      <w:r>
        <w:rPr>
          <w:color w:val="231F20"/>
        </w:rPr>
        <w:t>their</w:t>
      </w:r>
      <w:r>
        <w:rPr>
          <w:color w:val="231F20"/>
          <w:spacing w:val="-6"/>
        </w:rPr>
        <w:t> </w:t>
      </w:r>
      <w:r>
        <w:rPr>
          <w:color w:val="231F20"/>
        </w:rPr>
        <w:t>ABSTUDY</w:t>
      </w:r>
      <w:r>
        <w:rPr>
          <w:color w:val="231F20"/>
          <w:spacing w:val="-5"/>
        </w:rPr>
        <w:t> </w:t>
      </w:r>
      <w:r>
        <w:rPr>
          <w:color w:val="231F20"/>
        </w:rPr>
        <w:t>payments</w:t>
      </w:r>
      <w:r>
        <w:rPr>
          <w:color w:val="231F20"/>
          <w:spacing w:val="-6"/>
        </w:rPr>
        <w:t> </w:t>
      </w:r>
      <w:r>
        <w:rPr>
          <w:color w:val="231F20"/>
        </w:rPr>
        <w:t>reduced</w:t>
      </w:r>
      <w:r>
        <w:rPr>
          <w:color w:val="231F20"/>
          <w:spacing w:val="-5"/>
        </w:rPr>
        <w:t> </w:t>
      </w:r>
      <w:r>
        <w:rPr>
          <w:color w:val="231F20"/>
        </w:rPr>
        <w:t>by</w:t>
      </w:r>
      <w:r>
        <w:rPr>
          <w:color w:val="231F20"/>
          <w:spacing w:val="-4"/>
        </w:rPr>
        <w:t> </w:t>
      </w:r>
      <w:r>
        <w:rPr>
          <w:color w:val="231F20"/>
          <w:spacing w:val="-1"/>
        </w:rPr>
        <w:t>means</w:t>
      </w:r>
      <w:r>
        <w:rPr>
          <w:color w:val="231F20"/>
          <w:spacing w:val="20"/>
        </w:rPr>
        <w:t> </w:t>
      </w:r>
      <w:r>
        <w:rPr>
          <w:color w:val="231F20"/>
        </w:rPr>
        <w:t>testing</w:t>
      </w:r>
      <w:r>
        <w:rPr>
          <w:color w:val="231F20"/>
          <w:spacing w:val="-5"/>
        </w:rPr>
        <w:t> </w:t>
      </w:r>
      <w:r>
        <w:rPr>
          <w:color w:val="231F20"/>
        </w:rPr>
        <w:t>under</w:t>
      </w:r>
      <w:r>
        <w:rPr>
          <w:color w:val="231F20"/>
          <w:spacing w:val="-4"/>
        </w:rPr>
        <w:t> </w:t>
      </w:r>
      <w:r>
        <w:rPr>
          <w:color w:val="231F20"/>
        </w:rPr>
        <w:t>chapter</w:t>
      </w:r>
      <w:r>
        <w:rPr>
          <w:color w:val="231F20"/>
          <w:spacing w:val="-4"/>
        </w:rPr>
        <w:t> </w:t>
      </w:r>
      <w:r>
        <w:rPr>
          <w:color w:val="231F20"/>
          <w:spacing w:val="-1"/>
        </w:rPr>
        <w:t>56</w:t>
      </w:r>
      <w:r>
        <w:rPr>
          <w:color w:val="231F20"/>
          <w:spacing w:val="-4"/>
        </w:rPr>
        <w:t> </w:t>
      </w:r>
      <w:r>
        <w:rPr>
          <w:color w:val="231F20"/>
        </w:rPr>
        <w:t>of</w:t>
      </w:r>
      <w:r>
        <w:rPr>
          <w:color w:val="231F20"/>
          <w:spacing w:val="-3"/>
        </w:rPr>
        <w:t> </w:t>
      </w:r>
      <w:r>
        <w:rPr>
          <w:color w:val="231F20"/>
        </w:rPr>
        <w:t>the</w:t>
      </w:r>
      <w:r>
        <w:rPr>
          <w:color w:val="231F20"/>
          <w:spacing w:val="-5"/>
        </w:rPr>
        <w:t> </w:t>
      </w:r>
      <w:r>
        <w:rPr>
          <w:color w:val="231F20"/>
        </w:rPr>
        <w:t>ABSTUDY</w:t>
      </w:r>
      <w:r>
        <w:rPr>
          <w:color w:val="231F20"/>
          <w:spacing w:val="21"/>
        </w:rPr>
        <w:t> </w:t>
      </w:r>
      <w:r>
        <w:rPr>
          <w:color w:val="231F20"/>
        </w:rPr>
        <w:t>policy</w:t>
      </w:r>
      <w:r>
        <w:rPr>
          <w:color w:val="231F20"/>
          <w:spacing w:val="-4"/>
        </w:rPr>
        <w:t> </w:t>
      </w:r>
      <w:r>
        <w:rPr>
          <w:color w:val="231F20"/>
          <w:spacing w:val="-1"/>
        </w:rPr>
        <w:t>manual</w:t>
      </w:r>
      <w:r>
        <w:rPr>
          <w:color w:val="231F20"/>
          <w:spacing w:val="-3"/>
        </w:rPr>
        <w:t> </w:t>
      </w:r>
      <w:r>
        <w:rPr>
          <w:color w:val="231F20"/>
        </w:rPr>
        <w:t>as</w:t>
      </w:r>
      <w:r>
        <w:rPr>
          <w:color w:val="231F20"/>
          <w:spacing w:val="-4"/>
        </w:rPr>
        <w:t> </w:t>
      </w:r>
      <w:r>
        <w:rPr>
          <w:color w:val="231F20"/>
        </w:rPr>
        <w:t>the</w:t>
      </w:r>
      <w:r>
        <w:rPr>
          <w:color w:val="231F20"/>
          <w:spacing w:val="-4"/>
        </w:rPr>
        <w:t> </w:t>
      </w:r>
      <w:r>
        <w:rPr>
          <w:color w:val="231F20"/>
        </w:rPr>
        <w:t>point</w:t>
      </w:r>
      <w:r>
        <w:rPr>
          <w:color w:val="231F20"/>
          <w:spacing w:val="-4"/>
        </w:rPr>
        <w:t> </w:t>
      </w:r>
      <w:r>
        <w:rPr>
          <w:color w:val="231F20"/>
        </w:rPr>
        <w:t>at</w:t>
      </w:r>
      <w:r>
        <w:rPr>
          <w:color w:val="231F20"/>
          <w:spacing w:val="-3"/>
        </w:rPr>
        <w:t> </w:t>
      </w:r>
      <w:r>
        <w:rPr>
          <w:color w:val="231F20"/>
        </w:rPr>
        <w:t>which</w:t>
      </w:r>
      <w:r>
        <w:rPr>
          <w:color w:val="231F20"/>
          <w:spacing w:val="-4"/>
        </w:rPr>
        <w:t> </w:t>
      </w:r>
      <w:r>
        <w:rPr>
          <w:color w:val="231F20"/>
        </w:rPr>
        <w:t>ABSTUDY</w:t>
      </w:r>
      <w:r>
        <w:rPr>
          <w:color w:val="231F20"/>
          <w:spacing w:val="21"/>
        </w:rPr>
        <w:t> </w:t>
      </w:r>
      <w:r>
        <w:rPr>
          <w:color w:val="231F20"/>
        </w:rPr>
        <w:t>payments</w:t>
      </w:r>
      <w:r>
        <w:rPr>
          <w:color w:val="231F20"/>
          <w:spacing w:val="-6"/>
        </w:rPr>
        <w:t> </w:t>
      </w:r>
      <w:r>
        <w:rPr>
          <w:color w:val="231F20"/>
        </w:rPr>
        <w:t>reduce</w:t>
      </w:r>
      <w:r>
        <w:rPr>
          <w:color w:val="231F20"/>
          <w:spacing w:val="-5"/>
        </w:rPr>
        <w:t> </w:t>
      </w:r>
      <w:r>
        <w:rPr>
          <w:color w:val="231F20"/>
        </w:rPr>
        <w:t>to</w:t>
      </w:r>
      <w:r>
        <w:rPr>
          <w:color w:val="231F20"/>
          <w:spacing w:val="-5"/>
        </w:rPr>
        <w:t> </w:t>
      </w:r>
      <w:r>
        <w:rPr>
          <w:color w:val="231F20"/>
          <w:spacing w:val="-1"/>
        </w:rPr>
        <w:t>zero</w:t>
      </w:r>
      <w:r>
        <w:rPr>
          <w:color w:val="231F20"/>
          <w:spacing w:val="-4"/>
        </w:rPr>
        <w:t> </w:t>
      </w:r>
      <w:r>
        <w:rPr>
          <w:color w:val="231F20"/>
        </w:rPr>
        <w:t>due</w:t>
      </w:r>
      <w:r>
        <w:rPr>
          <w:color w:val="231F20"/>
          <w:spacing w:val="-6"/>
        </w:rPr>
        <w:t> </w:t>
      </w:r>
      <w:r>
        <w:rPr>
          <w:color w:val="231F20"/>
        </w:rPr>
        <w:t>to</w:t>
      </w:r>
      <w:r>
        <w:rPr>
          <w:color w:val="231F20"/>
          <w:spacing w:val="-4"/>
        </w:rPr>
        <w:t> </w:t>
      </w:r>
      <w:r>
        <w:rPr>
          <w:color w:val="231F20"/>
          <w:spacing w:val="-1"/>
        </w:rPr>
        <w:t>means</w:t>
      </w:r>
      <w:r>
        <w:rPr>
          <w:color w:val="231F20"/>
          <w:spacing w:val="-5"/>
        </w:rPr>
        <w:t> </w:t>
      </w:r>
      <w:r>
        <w:rPr>
          <w:color w:val="231F20"/>
        </w:rPr>
        <w:t>testing</w:t>
      </w:r>
      <w:r>
        <w:rPr>
          <w:color w:val="231F20"/>
          <w:spacing w:val="23"/>
          <w:w w:val="99"/>
        </w:rPr>
        <w:t> </w:t>
      </w:r>
      <w:r>
        <w:rPr>
          <w:color w:val="231F20"/>
          <w:spacing w:val="-1"/>
        </w:rPr>
        <w:t>is</w:t>
      </w:r>
      <w:r>
        <w:rPr>
          <w:color w:val="231F20"/>
          <w:spacing w:val="-5"/>
        </w:rPr>
        <w:t> </w:t>
      </w:r>
      <w:r>
        <w:rPr>
          <w:color w:val="231F20"/>
        </w:rPr>
        <w:t>now</w:t>
      </w:r>
      <w:r>
        <w:rPr>
          <w:color w:val="231F20"/>
          <w:spacing w:val="-4"/>
        </w:rPr>
        <w:t> </w:t>
      </w:r>
      <w:r>
        <w:rPr>
          <w:color w:val="231F20"/>
        </w:rPr>
        <w:t>extended,</w:t>
      </w:r>
      <w:r>
        <w:rPr>
          <w:color w:val="231F20"/>
          <w:spacing w:val="-4"/>
        </w:rPr>
        <w:t> </w:t>
      </w:r>
      <w:r>
        <w:rPr>
          <w:color w:val="231F20"/>
        </w:rPr>
        <w:t>as</w:t>
      </w:r>
      <w:r>
        <w:rPr>
          <w:color w:val="231F20"/>
          <w:spacing w:val="-5"/>
        </w:rPr>
        <w:t> </w:t>
      </w:r>
      <w:r>
        <w:rPr>
          <w:color w:val="231F20"/>
        </w:rPr>
        <w:t>displayed</w:t>
      </w:r>
      <w:r>
        <w:rPr>
          <w:color w:val="231F20"/>
          <w:spacing w:val="-4"/>
        </w:rPr>
        <w:t> </w:t>
      </w:r>
      <w:r>
        <w:rPr>
          <w:color w:val="231F20"/>
          <w:spacing w:val="-1"/>
        </w:rPr>
        <w:t>in</w:t>
      </w:r>
      <w:r>
        <w:rPr>
          <w:color w:val="231F20"/>
          <w:spacing w:val="-4"/>
        </w:rPr>
        <w:t> </w:t>
      </w:r>
      <w:r>
        <w:rPr>
          <w:color w:val="231F20"/>
        </w:rPr>
        <w:t>the</w:t>
      </w:r>
      <w:r>
        <w:rPr>
          <w:color w:val="231F20"/>
          <w:spacing w:val="-5"/>
        </w:rPr>
        <w:t> </w:t>
      </w:r>
      <w:r>
        <w:rPr>
          <w:color w:val="231F20"/>
        </w:rPr>
        <w:t>graph</w:t>
      </w:r>
      <w:r>
        <w:rPr>
          <w:color w:val="231F20"/>
          <w:spacing w:val="-5"/>
        </w:rPr>
        <w:t> </w:t>
      </w:r>
      <w:r>
        <w:rPr>
          <w:color w:val="231F20"/>
        </w:rPr>
        <w:t>9.</w:t>
      </w:r>
      <w:r>
        <w:rPr/>
      </w:r>
    </w:p>
    <w:p>
      <w:pPr>
        <w:spacing w:after="0" w:line="250" w:lineRule="exact"/>
        <w:jc w:val="left"/>
        <w:sectPr>
          <w:type w:val="continuous"/>
          <w:pgSz w:w="11910" w:h="16840"/>
          <w:pgMar w:top="1580" w:bottom="280" w:left="1300" w:right="1600"/>
          <w:cols w:num="2" w:equalWidth="0">
            <w:col w:w="4232" w:space="304"/>
            <w:col w:w="4474"/>
          </w:cols>
        </w:sectPr>
      </w:pPr>
    </w:p>
    <w:p>
      <w:pPr>
        <w:spacing w:line="240" w:lineRule="auto" w:before="4"/>
        <w:rPr>
          <w:rFonts w:ascii="Segoe UI" w:hAnsi="Segoe UI" w:cs="Segoe UI" w:eastAsia="Segoe UI"/>
          <w:sz w:val="25"/>
          <w:szCs w:val="25"/>
        </w:rPr>
      </w:pPr>
    </w:p>
    <w:p>
      <w:pPr>
        <w:spacing w:line="200" w:lineRule="atLeast"/>
        <w:ind w:left="117" w:right="0" w:firstLine="0"/>
        <w:rPr>
          <w:rFonts w:ascii="Segoe UI" w:hAnsi="Segoe UI" w:cs="Segoe UI" w:eastAsia="Segoe UI"/>
          <w:sz w:val="20"/>
          <w:szCs w:val="20"/>
        </w:rPr>
      </w:pPr>
      <w:r>
        <w:rPr>
          <w:rFonts w:ascii="Segoe UI" w:hAnsi="Segoe UI" w:cs="Segoe UI" w:eastAsia="Segoe UI"/>
          <w:sz w:val="20"/>
          <w:szCs w:val="20"/>
        </w:rPr>
        <w:pict>
          <v:group style="width:439.4pt;height:247.3pt;mso-position-horizontal-relative:char;mso-position-vertical-relative:line" coordorigin="0,0" coordsize="8788,4946">
            <v:group style="position:absolute;left:100;top:100;width:8588;height:4746" coordorigin="100,100" coordsize="8588,4746">
              <v:shape style="position:absolute;left:100;top:100;width:8588;height:4746" coordorigin="100,100" coordsize="8588,4746" path="m100,4846l8687,4846,8687,100,100,100,100,4846xe" filled="false" stroked="true" strokeweight="10pt" strokecolor="#c1b5a9">
                <v:path arrowok="t"/>
              </v:shape>
            </v:group>
            <v:group style="position:absolute;left:534;top:2729;width:2280;height:735" coordorigin="534,2729" coordsize="2280,735">
              <v:shape style="position:absolute;left:534;top:2729;width:2280;height:735" coordorigin="534,2729" coordsize="2280,735" path="m2798,2729l534,2729,536,3462,2813,3463,2810,3139,923,3139,923,2900,2807,2900,2805,2733,2798,2729xe" filled="true" fillcolor="#e7eaee" stroked="false">
                <v:path arrowok="t"/>
                <v:fill type="solid"/>
              </v:shape>
              <v:shape style="position:absolute;left:534;top:2729;width:2280;height:735" coordorigin="534,2729" coordsize="2280,735" path="m2807,2900l2409,2900,2409,3139,2810,3139,2807,2900xe" filled="true" fillcolor="#e7eaee" stroked="false">
                <v:path arrowok="t"/>
                <v:fill type="solid"/>
              </v:shape>
            </v:group>
            <v:group style="position:absolute;left:492;top:1799;width:2362;height:1704" coordorigin="492,1799" coordsize="2362,1704">
              <v:shape style="position:absolute;left:492;top:1799;width:2362;height:1704" coordorigin="492,1799" coordsize="2362,1704" path="m1493,1799l492,1814,497,3502,2853,3502,2853,3483,2814,3483,2814,3482,516,3482,516,3462,536,3462,532,1853,512,1853,512,1833,1544,1833,1493,1799xe" filled="true" fillcolor="#8497b0" stroked="false">
                <v:path arrowok="t"/>
                <v:fill type="solid"/>
              </v:shape>
              <v:shape style="position:absolute;left:492;top:1799;width:2362;height:1704" coordorigin="492,1799" coordsize="2362,1704" path="m2844,2723l2825,2723,2814,2739,2805,2739,2814,3483,2833,3482,2833,3463,2853,3463,2845,2739,2814,2739,2805,2733,2845,2733,2844,2723xe" filled="true" fillcolor="#8497b0" stroked="false">
                <v:path arrowok="t"/>
                <v:fill type="solid"/>
              </v:shape>
              <v:shape style="position:absolute;left:492;top:1799;width:2362;height:1704" coordorigin="492,1799" coordsize="2362,1704" path="m2853,3482l2814,3483,2853,3483,2853,3482xe" filled="true" fillcolor="#8497b0" stroked="false">
                <v:path arrowok="t"/>
                <v:fill type="solid"/>
              </v:shape>
              <v:shape style="position:absolute;left:492;top:1799;width:2362;height:1704" coordorigin="492,1799" coordsize="2362,1704" path="m2853,3463l2813,3463,2833,3463,2833,3482,2853,3482,2853,3463xe" filled="true" fillcolor="#8497b0" stroked="false">
                <v:path arrowok="t"/>
                <v:fill type="solid"/>
              </v:shape>
              <v:shape style="position:absolute;left:492;top:1799;width:2362;height:1704" coordorigin="492,1799" coordsize="2362,1704" path="m516,3462l516,3482,536,3482,536,3462,516,3462xe" filled="true" fillcolor="#8497b0" stroked="false">
                <v:path arrowok="t"/>
                <v:fill type="solid"/>
              </v:shape>
              <v:shape style="position:absolute;left:492;top:1799;width:2362;height:1704" coordorigin="492,1799" coordsize="2362,1704" path="m536,3462l536,3482,516,3482,2814,3482,2813,3463,536,3462xe" filled="true" fillcolor="#8497b0" stroked="false">
                <v:path arrowok="t"/>
                <v:fill type="solid"/>
              </v:shape>
              <v:shape style="position:absolute;left:492;top:1799;width:2362;height:1704" coordorigin="492,1799" coordsize="2362,1704" path="m536,3462l516,3462,536,3462xe" filled="true" fillcolor="#8497b0" stroked="false">
                <v:path arrowok="t"/>
                <v:fill type="solid"/>
              </v:shape>
              <v:shape style="position:absolute;left:492;top:1799;width:2362;height:1704" coordorigin="492,1799" coordsize="2362,1704" path="m2825,2723l2805,2723,2805,2733,2814,2739,2825,2723xe" filled="true" fillcolor="#8497b0" stroked="false">
                <v:path arrowok="t"/>
                <v:fill type="solid"/>
              </v:shape>
              <v:shape style="position:absolute;left:492;top:1799;width:2362;height:1704" coordorigin="492,1799" coordsize="2362,1704" path="m1552,1838l1481,1838,2805,2733,2805,2723,2825,2723,2844,2723,2844,2712,1552,1838xe" filled="true" fillcolor="#8497b0" stroked="false">
                <v:path arrowok="t"/>
                <v:fill type="solid"/>
              </v:shape>
              <v:shape style="position:absolute;left:492;top:1799;width:2362;height:1704" coordorigin="492,1799" coordsize="2362,1704" path="m532,1833l512,1833,512,1853,532,1853,532,1833xe" filled="true" fillcolor="#8497b0" stroked="false">
                <v:path arrowok="t"/>
                <v:fill type="solid"/>
              </v:shape>
              <v:shape style="position:absolute;left:492;top:1799;width:2362;height:1704" coordorigin="492,1799" coordsize="2362,1704" path="m532,1853l512,1853,532,1853,532,1853xe" filled="true" fillcolor="#8497b0" stroked="false">
                <v:path arrowok="t"/>
                <v:fill type="solid"/>
              </v:shape>
              <v:shape style="position:absolute;left:492;top:1799;width:2362;height:1704" coordorigin="492,1799" coordsize="2362,1704" path="m1544,1833l532,1833,532,1853,1481,1838,1552,1838,1544,1833xe" filled="true" fillcolor="#8497b0" stroked="false">
                <v:path arrowok="t"/>
                <v:fill type="solid"/>
              </v:shape>
            </v:group>
            <v:group style="position:absolute;left:1452;top:1571;width:80;height:213" coordorigin="1452,1571" coordsize="80,213">
              <v:shape style="position:absolute;left:1452;top:1571;width:80;height:213" coordorigin="1452,1571" coordsize="80,213" path="m1478,1704l1452,1704,1492,1784,1525,1718,1478,1718,1478,1704xe" filled="true" fillcolor="#333f50" stroked="false">
                <v:path arrowok="t"/>
                <v:fill type="solid"/>
              </v:shape>
              <v:shape style="position:absolute;left:1452;top:1571;width:80;height:213" coordorigin="1452,1571" coordsize="80,213" path="m1505,1571l1478,1571,1478,1718,1505,1718,1505,1571xe" filled="true" fillcolor="#333f50" stroked="false">
                <v:path arrowok="t"/>
                <v:fill type="solid"/>
              </v:shape>
              <v:shape style="position:absolute;left:1452;top:1571;width:80;height:213" coordorigin="1452,1571" coordsize="80,213" path="m1531,1704l1505,1704,1505,1718,1525,1718,1531,1704xe" filled="true" fillcolor="#333f50" stroked="false">
                <v:path arrowok="t"/>
                <v:fill type="solid"/>
              </v:shape>
              <v:shape style="position:absolute;left:280;top:1100;width:704;height:500" type="#_x0000_t75" stroked="false">
                <v:imagedata r:id="rId52" o:title=""/>
              </v:shape>
              <v:shape style="position:absolute;left:1081;top:978;width:1160;height:622" type="#_x0000_t75" stroked="false">
                <v:imagedata r:id="rId53" o:title=""/>
              </v:shape>
            </v:group>
            <v:group style="position:absolute;left:453;top:1621;width:119;height:1861" coordorigin="453,1621" coordsize="119,1861">
              <v:shape style="position:absolute;left:453;top:1621;width:119;height:1861" coordorigin="453,1621" coordsize="119,1861" path="m532,1720l492,1720,492,3482,532,3482,532,1720xe" filled="true" fillcolor="#231f20" stroked="false">
                <v:path arrowok="t"/>
                <v:fill type="solid"/>
              </v:shape>
              <v:shape style="position:absolute;left:453;top:1621;width:119;height:1861" coordorigin="453,1621" coordsize="119,1861" path="m512,1621l453,1739,492,1739,492,1720,562,1720,512,1621xe" filled="true" fillcolor="#231f20" stroked="false">
                <v:path arrowok="t"/>
                <v:fill type="solid"/>
              </v:shape>
              <v:shape style="position:absolute;left:453;top:1621;width:119;height:1861" coordorigin="453,1621" coordsize="119,1861" path="m562,1720l532,1720,532,1739,572,1739,562,1720xe" filled="true" fillcolor="#231f20" stroked="false">
                <v:path arrowok="t"/>
                <v:fill type="solid"/>
              </v:shape>
              <v:shape style="position:absolute;left:636;top:2080;width:1328;height:524" type="#_x0000_t75" stroked="false">
                <v:imagedata r:id="rId54" o:title=""/>
              </v:shape>
            </v:group>
            <v:group style="position:absolute;left:2787;top:2452;width:80;height:213" coordorigin="2787,2452" coordsize="80,213">
              <v:shape style="position:absolute;left:2787;top:2452;width:80;height:213" coordorigin="2787,2452" coordsize="80,213" path="m2814,2585l2787,2585,2827,2664,2860,2598,2814,2598,2814,2585xe" filled="true" fillcolor="#333f50" stroked="false">
                <v:path arrowok="t"/>
                <v:fill type="solid"/>
              </v:shape>
              <v:shape style="position:absolute;left:2787;top:2452;width:80;height:213" coordorigin="2787,2452" coordsize="80,213" path="m2840,2452l2814,2452,2814,2598,2840,2598,2840,2452xe" filled="true" fillcolor="#333f50" stroked="false">
                <v:path arrowok="t"/>
                <v:fill type="solid"/>
              </v:shape>
              <v:shape style="position:absolute;left:2787;top:2452;width:80;height:213" coordorigin="2787,2452" coordsize="80,213" path="m2867,2585l2840,2585,2840,2598,2860,2598,2867,2585xe" filled="true" fillcolor="#333f50" stroked="false">
                <v:path arrowok="t"/>
                <v:fill type="solid"/>
              </v:shape>
              <v:shape style="position:absolute;left:923;top:2900;width:1486;height:239" type="#_x0000_t75" stroked="false">
                <v:imagedata r:id="rId55" o:title=""/>
              </v:shape>
              <v:shape style="position:absolute;left:3248;top:3295;width:693;height:332" type="#_x0000_t75" stroked="false">
                <v:imagedata r:id="rId56" o:title=""/>
              </v:shape>
              <v:shape style="position:absolute;left:597;top:3659;width:2350;height:244" type="#_x0000_t75" stroked="false">
                <v:imagedata r:id="rId57" o:title=""/>
              </v:shape>
            </v:group>
            <v:group style="position:absolute;left:502;top:3791;width:136;height:2" coordorigin="502,3791" coordsize="136,2">
              <v:shape style="position:absolute;left:502;top:3791;width:136;height:2" coordorigin="502,3791" coordsize="136,0" path="m502,3791l638,3791e" filled="false" stroked="true" strokeweight="1.749pt" strokecolor="#8497b0">
                <v:path arrowok="t"/>
              </v:shape>
            </v:group>
            <v:group style="position:absolute;left:502;top:3421;width:2778;height:119" coordorigin="502,3421" coordsize="2778,119">
              <v:shape style="position:absolute;left:502;top:3421;width:2778;height:119" coordorigin="502,3421" coordsize="2778,119" path="m3161,3421l3161,3540,3240,3500,3181,3500,3181,3461,3240,3461,3161,3421xe" filled="true" fillcolor="#231f20" stroked="false">
                <v:path arrowok="t"/>
                <v:fill type="solid"/>
              </v:shape>
              <v:shape style="position:absolute;left:502;top:3421;width:2778;height:119" coordorigin="502,3421" coordsize="2778,119" path="m3161,3461l502,3461,502,3500,3161,3500,3161,3461xe" filled="true" fillcolor="#231f20" stroked="false">
                <v:path arrowok="t"/>
                <v:fill type="solid"/>
              </v:shape>
              <v:shape style="position:absolute;left:502;top:3421;width:2778;height:119" coordorigin="502,3421" coordsize="2778,119" path="m3240,3461l3181,3461,3181,3500,3240,3500,3280,3480,3240,3461xe" filled="true" fillcolor="#231f20" stroked="false">
                <v:path arrowok="t"/>
                <v:fill type="solid"/>
              </v:shape>
              <v:shape style="position:absolute;left:2406;top:1494;width:1160;height:981" type="#_x0000_t75" stroked="false">
                <v:imagedata r:id="rId58" o:title=""/>
              </v:shape>
            </v:group>
            <v:group style="position:absolute;left:4054;top:1826;width:3552;height:1674" coordorigin="4054,1826" coordsize="3552,1674">
              <v:shape style="position:absolute;left:4054;top:1826;width:3552;height:1674" coordorigin="4054,1826" coordsize="3552,1674" path="m4059,1826l4054,3500,7605,3494,7026,3124,4176,3124,4176,2710,6377,2710,5020,1842,4059,1826xe" filled="true" fillcolor="#e7eaee" stroked="false">
                <v:path arrowok="t"/>
                <v:fill type="solid"/>
              </v:shape>
              <v:shape style="position:absolute;left:4054;top:1826;width:3552;height:1674" coordorigin="4054,1826" coordsize="3552,1674" path="m6377,2710l5506,2710,5506,3124,7026,3124,6377,2710xe" filled="true" fillcolor="#e7eaee" stroked="false">
                <v:path arrowok="t"/>
                <v:fill type="solid"/>
              </v:shape>
            </v:group>
            <v:group style="position:absolute;left:4993;top:1588;width:80;height:213" coordorigin="4993,1588" coordsize="80,213">
              <v:shape style="position:absolute;left:4993;top:1588;width:80;height:213" coordorigin="4993,1588" coordsize="80,213" path="m5020,1721l4993,1721,5033,1801,5066,1735,5020,1735,5020,1721xe" filled="true" fillcolor="#333f50" stroked="false">
                <v:path arrowok="t"/>
                <v:fill type="solid"/>
              </v:shape>
              <v:shape style="position:absolute;left:4993;top:1588;width:80;height:213" coordorigin="4993,1588" coordsize="80,213" path="m5046,1588l5020,1588,5020,1735,5046,1735,5046,1588xe" filled="true" fillcolor="#333f50" stroked="false">
                <v:path arrowok="t"/>
                <v:fill type="solid"/>
              </v:shape>
              <v:shape style="position:absolute;left:4993;top:1588;width:80;height:213" coordorigin="4993,1588" coordsize="80,213" path="m5073,1721l5046,1721,5046,1735,5066,1735,5073,1721xe" filled="true" fillcolor="#333f50" stroked="false">
                <v:path arrowok="t"/>
                <v:fill type="solid"/>
              </v:shape>
              <v:shape style="position:absolute;left:4623;top:1019;width:1160;height:608" type="#_x0000_t75" stroked="false">
                <v:imagedata r:id="rId59" o:title=""/>
              </v:shape>
              <v:shape style="position:absolute;left:3822;top:1127;width:694;height:478" type="#_x0000_t75" stroked="false">
                <v:imagedata r:id="rId60" o:title=""/>
              </v:shape>
              <v:shape style="position:absolute;left:4176;top:2710;width:1330;height:415" type="#_x0000_t75" stroked="false">
                <v:imagedata r:id="rId61" o:title=""/>
              </v:shape>
              <v:shape style="position:absolute;left:7798;top:3314;width:755;height:331" type="#_x0000_t75" stroked="false">
                <v:imagedata r:id="rId62" o:title=""/>
              </v:shape>
              <v:shape style="position:absolute;left:4137;top:3670;width:2352;height:253" type="#_x0000_t75" stroked="false">
                <v:imagedata r:id="rId63" o:title=""/>
              </v:shape>
              <v:shape style="position:absolute;left:7293;top:3750;width:1294;height:614" type="#_x0000_t75" stroked="false">
                <v:imagedata r:id="rId64" o:title=""/>
              </v:shape>
              <v:shape style="position:absolute;left:6358;top:2706;width:1268;height:803" type="#_x0000_t75" stroked="false">
                <v:imagedata r:id="rId65" o:title=""/>
              </v:shape>
            </v:group>
            <v:group style="position:absolute;left:4034;top:1815;width:3645;height:1709" coordorigin="4034,1815" coordsize="3645,1709">
              <v:shape style="position:absolute;left:4034;top:1815;width:3645;height:1709" coordorigin="4034,1815" coordsize="3645,1709" path="m4054,3501l4054,3520,7679,3524,7643,3501,4074,3501,4054,3501xe" filled="true" fillcolor="#8497b0" stroked="false">
                <v:path arrowok="t"/>
                <v:fill type="solid"/>
              </v:shape>
              <v:shape style="position:absolute;left:4034;top:1815;width:3645;height:1709" coordorigin="4034,1815" coordsize="3645,1709" path="m4035,1815l4034,1872,4034,2304,4034,2532,4034,3320,4034,3481,4034,3520,4054,3520,4054,3481,4074,3481,4074,3420,4074,2666,4074,2532,4074,1896,4074,1856,4054,1855,4054,1836,5037,1836,5032,1832,4035,1815xe" filled="true" fillcolor="#8497b0" stroked="false">
                <v:path arrowok="t"/>
                <v:fill type="solid"/>
              </v:shape>
              <v:shape style="position:absolute;left:4034;top:1815;width:3645;height:1709" coordorigin="4034,1815" coordsize="3645,1709" path="m4054,3481l4054,3501,4074,3501,4074,3481,4054,3481xe" filled="true" fillcolor="#8497b0" stroked="false">
                <v:path arrowok="t"/>
                <v:fill type="solid"/>
              </v:shape>
              <v:shape style="position:absolute;left:4034;top:1815;width:3645;height:1709" coordorigin="4034,1815" coordsize="3645,1709" path="m4074,3481l4074,3501,7643,3501,7617,3484,7543,3484,4074,3481xe" filled="true" fillcolor="#8497b0" stroked="false">
                <v:path arrowok="t"/>
                <v:fill type="solid"/>
              </v:shape>
              <v:shape style="position:absolute;left:4034;top:1815;width:3645;height:1709" coordorigin="4034,1815" coordsize="3645,1709" path="m5037,1836l4054,1836,4074,1853,4074,1856,5020,1872,7543,3484,7617,3484,5037,1836xe" filled="true" fillcolor="#8497b0" stroked="false">
                <v:path arrowok="t"/>
                <v:fill type="solid"/>
              </v:shape>
              <v:shape style="position:absolute;left:4034;top:1815;width:3645;height:1709" coordorigin="4034,1815" coordsize="3645,1709" path="m4054,1836l4054,1855,4074,1856,4074,1853,4054,1836xe" filled="true" fillcolor="#8497b0" stroked="false">
                <v:path arrowok="t"/>
                <v:fill type="solid"/>
              </v:shape>
            </v:group>
            <v:group style="position:absolute;left:3994;top:1638;width:119;height:1861" coordorigin="3994,1638" coordsize="119,1861">
              <v:shape style="position:absolute;left:3994;top:1638;width:119;height:1861" coordorigin="3994,1638" coordsize="119,1861" path="m4074,1737l4034,1737,4034,3498,4074,3498,4074,1737xe" filled="true" fillcolor="#231f20" stroked="false">
                <v:path arrowok="t"/>
                <v:fill type="solid"/>
              </v:shape>
              <v:shape style="position:absolute;left:3994;top:1638;width:119;height:1861" coordorigin="3994,1638" coordsize="119,1861" path="m4054,1638l3994,1756,4034,1756,4034,1737,4103,1737,4054,1638xe" filled="true" fillcolor="#231f20" stroked="false">
                <v:path arrowok="t"/>
                <v:fill type="solid"/>
              </v:shape>
              <v:shape style="position:absolute;left:3994;top:1638;width:119;height:1861" coordorigin="3994,1638" coordsize="119,1861" path="m4103,1737l4074,1737,4074,1756,4113,1756,4103,1737xe" filled="true" fillcolor="#231f20" stroked="false">
                <v:path arrowok="t"/>
                <v:fill type="solid"/>
              </v:shape>
            </v:group>
            <v:group style="position:absolute;left:4034;top:3443;width:3821;height:119" coordorigin="4034,3443" coordsize="3821,119">
              <v:shape style="position:absolute;left:4034;top:3443;width:3821;height:119" coordorigin="4034,3443" coordsize="3821,119" path="m7735,3522l7735,3562,7815,3522,7755,3522,7735,3522xe" filled="true" fillcolor="#231f20" stroked="false">
                <v:path arrowok="t"/>
                <v:fill type="solid"/>
              </v:shape>
              <v:shape style="position:absolute;left:4034;top:3443;width:3821;height:119" coordorigin="4034,3443" coordsize="3821,119" path="m7736,3483l7735,3522,7755,3522,7755,3483,7736,3483xe" filled="true" fillcolor="#231f20" stroked="false">
                <v:path arrowok="t"/>
                <v:fill type="solid"/>
              </v:shape>
              <v:shape style="position:absolute;left:4034;top:3443;width:3821;height:119" coordorigin="4034,3443" coordsize="3821,119" path="m7736,3443l7736,3483,7755,3483,7755,3522,7815,3522,7854,3503,7736,3443xe" filled="true" fillcolor="#231f20" stroked="false">
                <v:path arrowok="t"/>
                <v:fill type="solid"/>
              </v:shape>
              <v:shape style="position:absolute;left:4034;top:3443;width:3821;height:119" coordorigin="4034,3443" coordsize="3821,119" path="m4034,3477l4034,3517,7735,3522,7736,3483,4034,3477xe" filled="true" fillcolor="#231f20" stroked="false">
                <v:path arrowok="t"/>
                <v:fill type="solid"/>
              </v:shape>
            </v:group>
            <v:group style="position:absolute;left:7585;top:3543;width:80;height:251" coordorigin="7585,3543" coordsize="80,251">
              <v:shape style="position:absolute;left:7585;top:3543;width:80;height:251" coordorigin="7585,3543" coordsize="80,251" path="m7638,3608l7611,3608,7611,3793,7638,3793,7638,3608xe" filled="true" fillcolor="#231f20" stroked="false">
                <v:path arrowok="t"/>
                <v:fill type="solid"/>
              </v:shape>
              <v:shape style="position:absolute;left:7585;top:3543;width:80;height:251" coordorigin="7585,3543" coordsize="80,251" path="m7625,3542l7585,3622,7611,3622,7611,3608,7658,3608,7625,3542xe" filled="true" fillcolor="#231f20" stroked="false">
                <v:path arrowok="t"/>
                <v:fill type="solid"/>
              </v:shape>
              <v:shape style="position:absolute;left:7585;top:3543;width:80;height:251" coordorigin="7585,3543" coordsize="80,251" path="m7658,3608l7638,3608,7638,3622,7664,3622,7658,3608xe" filled="true" fillcolor="#231f20" stroked="false">
                <v:path arrowok="t"/>
                <v:fill type="solid"/>
              </v:shape>
            </v:group>
            <v:group style="position:absolute;left:6329;top:2478;width:80;height:213" coordorigin="6329,2478" coordsize="80,213">
              <v:shape style="position:absolute;left:6329;top:2478;width:80;height:213" coordorigin="6329,2478" coordsize="80,213" path="m6355,2612l6329,2612,6368,2691,6401,2625,6355,2625,6355,2612xe" filled="true" fillcolor="#333f50" stroked="false">
                <v:path arrowok="t"/>
                <v:fill type="solid"/>
              </v:shape>
              <v:shape style="position:absolute;left:6329;top:2478;width:80;height:213" coordorigin="6329,2478" coordsize="80,213" path="m6382,2478l6355,2478,6355,2625,6382,2625,6382,2478xe" filled="true" fillcolor="#333f50" stroked="false">
                <v:path arrowok="t"/>
                <v:fill type="solid"/>
              </v:shape>
              <v:shape style="position:absolute;left:6329;top:2478;width:80;height:213" coordorigin="6329,2478" coordsize="80,213" path="m6408,2612l6382,2612,6382,2625,6401,2625,6408,2612xe" filled="true" fillcolor="#333f50" stroked="false">
                <v:path arrowok="t"/>
                <v:fill type="solid"/>
              </v:shape>
              <v:shape style="position:absolute;left:6224;top:1525;width:1160;height:981" type="#_x0000_t75" stroked="false">
                <v:imagedata r:id="rId66" o:title=""/>
              </v:shape>
              <v:shape style="position:absolute;left:286;top:362;width:7741;height:160" type="#_x0000_t202" filled="false" stroked="false">
                <v:textbox inset="0,0,0,0">
                  <w:txbxContent>
                    <w:p>
                      <w:pPr>
                        <w:spacing w:line="160" w:lineRule="exact" w:before="0"/>
                        <w:ind w:left="0" w:right="0" w:firstLine="0"/>
                        <w:jc w:val="left"/>
                        <w:rPr>
                          <w:rFonts w:ascii="Segoe UI Semibold" w:hAnsi="Segoe UI Semibold" w:cs="Segoe UI Semibold" w:eastAsia="Segoe UI Semibold"/>
                          <w:sz w:val="9"/>
                          <w:szCs w:val="9"/>
                        </w:rPr>
                      </w:pPr>
                      <w:r>
                        <w:rPr>
                          <w:rFonts w:ascii="Segoe UI Semibold"/>
                          <w:b/>
                          <w:color w:val="666155"/>
                          <w:spacing w:val="4"/>
                          <w:sz w:val="16"/>
                        </w:rPr>
                        <w:t>GRAPH</w:t>
                      </w:r>
                      <w:r>
                        <w:rPr>
                          <w:rFonts w:ascii="Segoe UI Semibold"/>
                          <w:b/>
                          <w:color w:val="666155"/>
                          <w:spacing w:val="-1"/>
                          <w:sz w:val="16"/>
                        </w:rPr>
                        <w:t> </w:t>
                      </w:r>
                      <w:r>
                        <w:rPr>
                          <w:rFonts w:ascii="Segoe UI Semibold"/>
                          <w:b/>
                          <w:color w:val="666155"/>
                          <w:sz w:val="16"/>
                        </w:rPr>
                        <w:t>9: </w:t>
                      </w:r>
                      <w:r>
                        <w:rPr>
                          <w:rFonts w:ascii="Segoe UI Semibold"/>
                          <w:b/>
                          <w:color w:val="666155"/>
                          <w:spacing w:val="4"/>
                          <w:sz w:val="16"/>
                        </w:rPr>
                        <w:t>EFFECT</w:t>
                      </w:r>
                      <w:r>
                        <w:rPr>
                          <w:rFonts w:ascii="Segoe UI Semibold"/>
                          <w:b/>
                          <w:color w:val="666155"/>
                          <w:spacing w:val="3"/>
                          <w:sz w:val="16"/>
                        </w:rPr>
                        <w:t> </w:t>
                      </w:r>
                      <w:r>
                        <w:rPr>
                          <w:rFonts w:ascii="Segoe UI Semibold"/>
                          <w:b/>
                          <w:color w:val="666155"/>
                          <w:spacing w:val="2"/>
                          <w:sz w:val="16"/>
                        </w:rPr>
                        <w:t>OF</w:t>
                      </w:r>
                      <w:r>
                        <w:rPr>
                          <w:rFonts w:ascii="Segoe UI Semibold"/>
                          <w:b/>
                          <w:color w:val="666155"/>
                          <w:spacing w:val="3"/>
                          <w:sz w:val="16"/>
                        </w:rPr>
                        <w:t> </w:t>
                      </w:r>
                      <w:r>
                        <w:rPr>
                          <w:rFonts w:ascii="Segoe UI Semibold"/>
                          <w:b/>
                          <w:color w:val="666155"/>
                          <w:spacing w:val="1"/>
                          <w:sz w:val="16"/>
                        </w:rPr>
                        <w:t>PARENTAL</w:t>
                      </w:r>
                      <w:r>
                        <w:rPr>
                          <w:rFonts w:ascii="Segoe UI Semibold"/>
                          <w:b/>
                          <w:color w:val="666155"/>
                          <w:spacing w:val="2"/>
                          <w:sz w:val="16"/>
                        </w:rPr>
                        <w:t> </w:t>
                      </w:r>
                      <w:r>
                        <w:rPr>
                          <w:rFonts w:ascii="Segoe UI Semibold"/>
                          <w:b/>
                          <w:color w:val="666155"/>
                          <w:spacing w:val="3"/>
                          <w:sz w:val="16"/>
                        </w:rPr>
                        <w:t>INCOME </w:t>
                      </w:r>
                      <w:r>
                        <w:rPr>
                          <w:rFonts w:ascii="Segoe UI Semibold"/>
                          <w:b/>
                          <w:color w:val="666155"/>
                          <w:spacing w:val="2"/>
                          <w:sz w:val="16"/>
                        </w:rPr>
                        <w:t>ON</w:t>
                      </w:r>
                      <w:r>
                        <w:rPr>
                          <w:rFonts w:ascii="Segoe UI Semibold"/>
                          <w:b/>
                          <w:color w:val="666155"/>
                          <w:spacing w:val="3"/>
                          <w:sz w:val="16"/>
                        </w:rPr>
                        <w:t> </w:t>
                      </w:r>
                      <w:r>
                        <w:rPr>
                          <w:rFonts w:ascii="Segoe UI Semibold"/>
                          <w:b/>
                          <w:color w:val="666155"/>
                          <w:spacing w:val="4"/>
                          <w:sz w:val="16"/>
                        </w:rPr>
                        <w:t>ABSTUDY</w:t>
                      </w:r>
                      <w:r>
                        <w:rPr>
                          <w:rFonts w:ascii="Segoe UI Semibold"/>
                          <w:b/>
                          <w:color w:val="666155"/>
                          <w:spacing w:val="3"/>
                          <w:sz w:val="16"/>
                        </w:rPr>
                        <w:t> </w:t>
                      </w:r>
                      <w:r>
                        <w:rPr>
                          <w:rFonts w:ascii="Segoe UI Semibold"/>
                          <w:b/>
                          <w:color w:val="666155"/>
                          <w:spacing w:val="4"/>
                          <w:sz w:val="16"/>
                        </w:rPr>
                        <w:t>LIVING</w:t>
                      </w:r>
                      <w:r>
                        <w:rPr>
                          <w:rFonts w:ascii="Segoe UI Semibold"/>
                          <w:b/>
                          <w:color w:val="666155"/>
                          <w:spacing w:val="2"/>
                          <w:sz w:val="16"/>
                        </w:rPr>
                        <w:t> </w:t>
                      </w:r>
                      <w:r>
                        <w:rPr>
                          <w:rFonts w:ascii="Segoe UI Semibold"/>
                          <w:b/>
                          <w:color w:val="666155"/>
                          <w:spacing w:val="3"/>
                          <w:sz w:val="16"/>
                        </w:rPr>
                        <w:t>ALLOWANCE FROM</w:t>
                      </w:r>
                      <w:r>
                        <w:rPr>
                          <w:rFonts w:ascii="Segoe UI Semibold"/>
                          <w:b/>
                          <w:color w:val="666155"/>
                          <w:sz w:val="16"/>
                        </w:rPr>
                        <w:t> 1 </w:t>
                      </w:r>
                      <w:r>
                        <w:rPr>
                          <w:rFonts w:ascii="Segoe UI Semibold"/>
                          <w:b/>
                          <w:color w:val="666155"/>
                          <w:spacing w:val="3"/>
                          <w:sz w:val="16"/>
                        </w:rPr>
                        <w:t>JANUARY</w:t>
                      </w:r>
                      <w:r>
                        <w:rPr>
                          <w:rFonts w:ascii="Segoe UI Semibold"/>
                          <w:b/>
                          <w:color w:val="666155"/>
                          <w:sz w:val="16"/>
                        </w:rPr>
                        <w:t> </w:t>
                      </w:r>
                      <w:r>
                        <w:rPr>
                          <w:rFonts w:ascii="Segoe UI Semibold"/>
                          <w:b/>
                          <w:color w:val="666155"/>
                          <w:spacing w:val="-1"/>
                          <w:sz w:val="16"/>
                        </w:rPr>
                        <w:t>2019</w:t>
                      </w:r>
                      <w:r>
                        <w:rPr>
                          <w:rFonts w:ascii="Segoe UI Semibold"/>
                          <w:b/>
                          <w:color w:val="666155"/>
                          <w:spacing w:val="-1"/>
                          <w:position w:val="5"/>
                          <w:sz w:val="9"/>
                        </w:rPr>
                        <w:t>104</w:t>
                      </w:r>
                      <w:r>
                        <w:rPr>
                          <w:rFonts w:ascii="Segoe UI Semibold"/>
                          <w:sz w:val="9"/>
                        </w:rPr>
                      </w:r>
                    </w:p>
                  </w:txbxContent>
                </v:textbox>
                <w10:wrap type="none"/>
              </v:shape>
              <v:shape style="position:absolute;left:375;top:1072;width:1580;height:461" type="#_x0000_t202" filled="false" stroked="false">
                <v:textbox inset="0,0,0,0">
                  <w:txbxContent>
                    <w:p>
                      <w:pPr>
                        <w:spacing w:line="100" w:lineRule="exact" w:before="0"/>
                        <w:ind w:left="800" w:right="0" w:firstLine="0"/>
                        <w:jc w:val="left"/>
                        <w:rPr>
                          <w:rFonts w:ascii="Segoe UI" w:hAnsi="Segoe UI" w:cs="Segoe UI" w:eastAsia="Segoe UI"/>
                          <w:sz w:val="10"/>
                          <w:szCs w:val="10"/>
                        </w:rPr>
                      </w:pPr>
                      <w:r>
                        <w:rPr>
                          <w:rFonts w:ascii="Segoe UI"/>
                          <w:color w:val="4F2D7F"/>
                          <w:w w:val="105"/>
                          <w:sz w:val="10"/>
                        </w:rPr>
                        <w:t>Point</w:t>
                      </w:r>
                      <w:r>
                        <w:rPr>
                          <w:rFonts w:ascii="Segoe UI"/>
                          <w:color w:val="4F2D7F"/>
                          <w:spacing w:val="2"/>
                          <w:w w:val="105"/>
                          <w:sz w:val="10"/>
                        </w:rPr>
                        <w:t> </w:t>
                      </w:r>
                      <w:r>
                        <w:rPr>
                          <w:rFonts w:ascii="Segoe UI"/>
                          <w:color w:val="4F2D7F"/>
                          <w:w w:val="105"/>
                          <w:sz w:val="10"/>
                        </w:rPr>
                        <w:t>at</w:t>
                      </w:r>
                      <w:r>
                        <w:rPr>
                          <w:rFonts w:ascii="Segoe UI"/>
                          <w:color w:val="4F2D7F"/>
                          <w:spacing w:val="2"/>
                          <w:w w:val="105"/>
                          <w:sz w:val="10"/>
                        </w:rPr>
                        <w:t> </w:t>
                      </w:r>
                      <w:r>
                        <w:rPr>
                          <w:rFonts w:ascii="Segoe UI"/>
                          <w:color w:val="4F2D7F"/>
                          <w:spacing w:val="-1"/>
                          <w:w w:val="105"/>
                          <w:sz w:val="10"/>
                        </w:rPr>
                        <w:t>which</w:t>
                      </w:r>
                      <w:r>
                        <w:rPr>
                          <w:rFonts w:ascii="Segoe UI"/>
                          <w:sz w:val="10"/>
                        </w:rPr>
                      </w:r>
                    </w:p>
                    <w:p>
                      <w:pPr>
                        <w:tabs>
                          <w:tab w:pos="800" w:val="left" w:leader="none"/>
                        </w:tabs>
                        <w:spacing w:line="120" w:lineRule="exact" w:before="0"/>
                        <w:ind w:left="0" w:right="0" w:firstLine="0"/>
                        <w:jc w:val="left"/>
                        <w:rPr>
                          <w:rFonts w:ascii="Segoe UI" w:hAnsi="Segoe UI" w:cs="Segoe UI" w:eastAsia="Segoe UI"/>
                          <w:sz w:val="10"/>
                          <w:szCs w:val="10"/>
                        </w:rPr>
                      </w:pPr>
                      <w:r>
                        <w:rPr>
                          <w:rFonts w:ascii="Segoe UI"/>
                          <w:b/>
                          <w:color w:val="231F20"/>
                          <w:spacing w:val="-1"/>
                          <w:w w:val="105"/>
                          <w:sz w:val="10"/>
                        </w:rPr>
                        <w:t>TOTAL</w:t>
                        <w:tab/>
                      </w:r>
                      <w:r>
                        <w:rPr>
                          <w:rFonts w:ascii="Segoe UI"/>
                          <w:color w:val="4F2D7F"/>
                          <w:spacing w:val="-1"/>
                          <w:w w:val="105"/>
                          <w:sz w:val="10"/>
                        </w:rPr>
                        <w:t>parental</w:t>
                      </w:r>
                      <w:r>
                        <w:rPr>
                          <w:rFonts w:ascii="Segoe UI"/>
                          <w:color w:val="4F2D7F"/>
                          <w:spacing w:val="6"/>
                          <w:w w:val="105"/>
                          <w:sz w:val="10"/>
                        </w:rPr>
                        <w:t> </w:t>
                      </w:r>
                      <w:r>
                        <w:rPr>
                          <w:rFonts w:ascii="Segoe UI"/>
                          <w:color w:val="4F2D7F"/>
                          <w:spacing w:val="-1"/>
                          <w:w w:val="105"/>
                          <w:sz w:val="10"/>
                        </w:rPr>
                        <w:t>income</w:t>
                      </w:r>
                      <w:r>
                        <w:rPr>
                          <w:rFonts w:ascii="Segoe UI"/>
                          <w:sz w:val="10"/>
                        </w:rPr>
                      </w:r>
                    </w:p>
                    <w:p>
                      <w:pPr>
                        <w:tabs>
                          <w:tab w:pos="800" w:val="left" w:leader="none"/>
                        </w:tabs>
                        <w:spacing w:line="118" w:lineRule="exact" w:before="0"/>
                        <w:ind w:left="0" w:right="0" w:firstLine="0"/>
                        <w:jc w:val="left"/>
                        <w:rPr>
                          <w:rFonts w:ascii="Segoe UI" w:hAnsi="Segoe UI" w:cs="Segoe UI" w:eastAsia="Segoe UI"/>
                          <w:sz w:val="10"/>
                          <w:szCs w:val="10"/>
                        </w:rPr>
                      </w:pPr>
                      <w:r>
                        <w:rPr>
                          <w:rFonts w:ascii="Segoe UI"/>
                          <w:b/>
                          <w:color w:val="231F20"/>
                          <w:spacing w:val="-1"/>
                          <w:w w:val="105"/>
                          <w:sz w:val="10"/>
                        </w:rPr>
                        <w:t>ABSTUDY</w:t>
                        <w:tab/>
                      </w:r>
                      <w:r>
                        <w:rPr>
                          <w:rFonts w:ascii="Segoe UI"/>
                          <w:color w:val="4F2D7F"/>
                          <w:spacing w:val="-1"/>
                          <w:w w:val="105"/>
                          <w:sz w:val="10"/>
                        </w:rPr>
                        <w:t>starts</w:t>
                      </w:r>
                      <w:r>
                        <w:rPr>
                          <w:rFonts w:ascii="Segoe UI"/>
                          <w:color w:val="4F2D7F"/>
                          <w:spacing w:val="2"/>
                          <w:w w:val="105"/>
                          <w:sz w:val="10"/>
                        </w:rPr>
                        <w:t> </w:t>
                      </w:r>
                      <w:r>
                        <w:rPr>
                          <w:rFonts w:ascii="Segoe UI"/>
                          <w:color w:val="4F2D7F"/>
                          <w:spacing w:val="-1"/>
                          <w:w w:val="105"/>
                          <w:sz w:val="10"/>
                        </w:rPr>
                        <w:t>to</w:t>
                      </w:r>
                      <w:r>
                        <w:rPr>
                          <w:rFonts w:ascii="Segoe UI"/>
                          <w:color w:val="4F2D7F"/>
                          <w:spacing w:val="3"/>
                          <w:w w:val="105"/>
                          <w:sz w:val="10"/>
                        </w:rPr>
                        <w:t> </w:t>
                      </w:r>
                      <w:r>
                        <w:rPr>
                          <w:rFonts w:ascii="Segoe UI"/>
                          <w:color w:val="4F2D7F"/>
                          <w:spacing w:val="-1"/>
                          <w:w w:val="105"/>
                          <w:sz w:val="10"/>
                        </w:rPr>
                        <w:t>reduce</w:t>
                      </w:r>
                      <w:r>
                        <w:rPr>
                          <w:rFonts w:ascii="Segoe UI"/>
                          <w:sz w:val="10"/>
                        </w:rPr>
                      </w:r>
                    </w:p>
                    <w:p>
                      <w:pPr>
                        <w:tabs>
                          <w:tab w:pos="800" w:val="left" w:leader="none"/>
                        </w:tabs>
                        <w:spacing w:line="122" w:lineRule="exact" w:before="0"/>
                        <w:ind w:left="0" w:right="0" w:firstLine="0"/>
                        <w:jc w:val="left"/>
                        <w:rPr>
                          <w:rFonts w:ascii="Segoe UI" w:hAnsi="Segoe UI" w:cs="Segoe UI" w:eastAsia="Segoe UI"/>
                          <w:sz w:val="10"/>
                          <w:szCs w:val="10"/>
                        </w:rPr>
                      </w:pPr>
                      <w:r>
                        <w:rPr>
                          <w:rFonts w:ascii="Segoe UI"/>
                          <w:b/>
                          <w:color w:val="231F20"/>
                          <w:spacing w:val="-1"/>
                          <w:w w:val="105"/>
                          <w:sz w:val="10"/>
                        </w:rPr>
                        <w:t>PAID</w:t>
                        <w:tab/>
                      </w:r>
                      <w:r>
                        <w:rPr>
                          <w:rFonts w:ascii="Segoe UI"/>
                          <w:color w:val="4F2D7F"/>
                          <w:spacing w:val="-1"/>
                          <w:w w:val="105"/>
                          <w:sz w:val="10"/>
                        </w:rPr>
                        <w:t>Living</w:t>
                      </w:r>
                      <w:r>
                        <w:rPr>
                          <w:rFonts w:ascii="Segoe UI"/>
                          <w:color w:val="4F2D7F"/>
                          <w:spacing w:val="6"/>
                          <w:w w:val="105"/>
                          <w:sz w:val="10"/>
                        </w:rPr>
                        <w:t> </w:t>
                      </w:r>
                      <w:r>
                        <w:rPr>
                          <w:rFonts w:ascii="Segoe UI"/>
                          <w:color w:val="4F2D7F"/>
                          <w:spacing w:val="-1"/>
                          <w:w w:val="105"/>
                          <w:sz w:val="10"/>
                        </w:rPr>
                        <w:t>Allowance</w:t>
                      </w:r>
                      <w:r>
                        <w:rPr>
                          <w:rFonts w:ascii="Segoe UI"/>
                          <w:sz w:val="10"/>
                        </w:rPr>
                      </w:r>
                    </w:p>
                  </w:txbxContent>
                </v:textbox>
                <w10:wrap type="none"/>
              </v:shape>
              <v:shape style="position:absolute;left:3906;top:1113;width:1592;height:461" type="#_x0000_t202" filled="false" stroked="false">
                <v:textbox inset="0,0,0,0">
                  <w:txbxContent>
                    <w:p>
                      <w:pPr>
                        <w:spacing w:line="93" w:lineRule="exact" w:before="0"/>
                        <w:ind w:left="812" w:right="0" w:firstLine="0"/>
                        <w:jc w:val="left"/>
                        <w:rPr>
                          <w:rFonts w:ascii="Segoe UI" w:hAnsi="Segoe UI" w:cs="Segoe UI" w:eastAsia="Segoe UI"/>
                          <w:sz w:val="10"/>
                          <w:szCs w:val="10"/>
                        </w:rPr>
                      </w:pPr>
                      <w:r>
                        <w:rPr>
                          <w:rFonts w:ascii="Segoe UI"/>
                          <w:color w:val="4F2D7F"/>
                          <w:w w:val="105"/>
                          <w:sz w:val="10"/>
                        </w:rPr>
                        <w:t>Point</w:t>
                      </w:r>
                      <w:r>
                        <w:rPr>
                          <w:rFonts w:ascii="Segoe UI"/>
                          <w:color w:val="4F2D7F"/>
                          <w:spacing w:val="2"/>
                          <w:w w:val="105"/>
                          <w:sz w:val="10"/>
                        </w:rPr>
                        <w:t> </w:t>
                      </w:r>
                      <w:r>
                        <w:rPr>
                          <w:rFonts w:ascii="Segoe UI"/>
                          <w:color w:val="4F2D7F"/>
                          <w:w w:val="105"/>
                          <w:sz w:val="10"/>
                        </w:rPr>
                        <w:t>at</w:t>
                      </w:r>
                      <w:r>
                        <w:rPr>
                          <w:rFonts w:ascii="Segoe UI"/>
                          <w:color w:val="4F2D7F"/>
                          <w:spacing w:val="2"/>
                          <w:w w:val="105"/>
                          <w:sz w:val="10"/>
                        </w:rPr>
                        <w:t> </w:t>
                      </w:r>
                      <w:r>
                        <w:rPr>
                          <w:rFonts w:ascii="Segoe UI"/>
                          <w:color w:val="4F2D7F"/>
                          <w:spacing w:val="-1"/>
                          <w:w w:val="105"/>
                          <w:sz w:val="10"/>
                        </w:rPr>
                        <w:t>which</w:t>
                      </w:r>
                      <w:r>
                        <w:rPr>
                          <w:rFonts w:ascii="Segoe UI"/>
                          <w:sz w:val="10"/>
                        </w:rPr>
                      </w:r>
                    </w:p>
                    <w:p>
                      <w:pPr>
                        <w:tabs>
                          <w:tab w:pos="812" w:val="left" w:leader="none"/>
                        </w:tabs>
                        <w:spacing w:line="119" w:lineRule="exact" w:before="0"/>
                        <w:ind w:left="0" w:right="0" w:firstLine="0"/>
                        <w:jc w:val="left"/>
                        <w:rPr>
                          <w:rFonts w:ascii="Segoe UI" w:hAnsi="Segoe UI" w:cs="Segoe UI" w:eastAsia="Segoe UI"/>
                          <w:sz w:val="10"/>
                          <w:szCs w:val="10"/>
                        </w:rPr>
                      </w:pPr>
                      <w:r>
                        <w:rPr>
                          <w:rFonts w:ascii="Segoe UI"/>
                          <w:b/>
                          <w:color w:val="231F20"/>
                          <w:spacing w:val="-1"/>
                          <w:w w:val="105"/>
                          <w:position w:val="1"/>
                          <w:sz w:val="10"/>
                        </w:rPr>
                        <w:t>TOTAL</w:t>
                        <w:tab/>
                      </w:r>
                      <w:r>
                        <w:rPr>
                          <w:rFonts w:ascii="Segoe UI"/>
                          <w:color w:val="4F2D7F"/>
                          <w:spacing w:val="-1"/>
                          <w:w w:val="105"/>
                          <w:sz w:val="10"/>
                        </w:rPr>
                        <w:t>parental</w:t>
                      </w:r>
                      <w:r>
                        <w:rPr>
                          <w:rFonts w:ascii="Segoe UI"/>
                          <w:color w:val="4F2D7F"/>
                          <w:spacing w:val="6"/>
                          <w:w w:val="105"/>
                          <w:sz w:val="10"/>
                        </w:rPr>
                        <w:t> </w:t>
                      </w:r>
                      <w:r>
                        <w:rPr>
                          <w:rFonts w:ascii="Segoe UI"/>
                          <w:color w:val="4F2D7F"/>
                          <w:spacing w:val="-1"/>
                          <w:w w:val="105"/>
                          <w:sz w:val="10"/>
                        </w:rPr>
                        <w:t>income</w:t>
                      </w:r>
                      <w:r>
                        <w:rPr>
                          <w:rFonts w:ascii="Segoe UI"/>
                          <w:sz w:val="10"/>
                        </w:rPr>
                      </w:r>
                    </w:p>
                    <w:p>
                      <w:pPr>
                        <w:tabs>
                          <w:tab w:pos="812" w:val="left" w:leader="none"/>
                        </w:tabs>
                        <w:spacing w:line="118" w:lineRule="exact" w:before="0"/>
                        <w:ind w:left="0" w:right="0" w:firstLine="0"/>
                        <w:jc w:val="left"/>
                        <w:rPr>
                          <w:rFonts w:ascii="Segoe UI" w:hAnsi="Segoe UI" w:cs="Segoe UI" w:eastAsia="Segoe UI"/>
                          <w:sz w:val="10"/>
                          <w:szCs w:val="10"/>
                        </w:rPr>
                      </w:pPr>
                      <w:r>
                        <w:rPr>
                          <w:rFonts w:ascii="Segoe UI"/>
                          <w:b/>
                          <w:color w:val="231F20"/>
                          <w:spacing w:val="-1"/>
                          <w:w w:val="105"/>
                          <w:position w:val="1"/>
                          <w:sz w:val="10"/>
                        </w:rPr>
                        <w:t>ABSTUDY</w:t>
                        <w:tab/>
                      </w:r>
                      <w:r>
                        <w:rPr>
                          <w:rFonts w:ascii="Segoe UI"/>
                          <w:color w:val="4F2D7F"/>
                          <w:spacing w:val="-1"/>
                          <w:w w:val="105"/>
                          <w:sz w:val="10"/>
                        </w:rPr>
                        <w:t>starts</w:t>
                      </w:r>
                      <w:r>
                        <w:rPr>
                          <w:rFonts w:ascii="Segoe UI"/>
                          <w:color w:val="4F2D7F"/>
                          <w:spacing w:val="2"/>
                          <w:w w:val="105"/>
                          <w:sz w:val="10"/>
                        </w:rPr>
                        <w:t> </w:t>
                      </w:r>
                      <w:r>
                        <w:rPr>
                          <w:rFonts w:ascii="Segoe UI"/>
                          <w:color w:val="4F2D7F"/>
                          <w:spacing w:val="-1"/>
                          <w:w w:val="105"/>
                          <w:sz w:val="10"/>
                        </w:rPr>
                        <w:t>to</w:t>
                      </w:r>
                      <w:r>
                        <w:rPr>
                          <w:rFonts w:ascii="Segoe UI"/>
                          <w:color w:val="4F2D7F"/>
                          <w:spacing w:val="3"/>
                          <w:w w:val="105"/>
                          <w:sz w:val="10"/>
                        </w:rPr>
                        <w:t> </w:t>
                      </w:r>
                      <w:r>
                        <w:rPr>
                          <w:rFonts w:ascii="Segoe UI"/>
                          <w:color w:val="4F2D7F"/>
                          <w:spacing w:val="-1"/>
                          <w:w w:val="105"/>
                          <w:sz w:val="10"/>
                        </w:rPr>
                        <w:t>reduce</w:t>
                      </w:r>
                      <w:r>
                        <w:rPr>
                          <w:rFonts w:ascii="Segoe UI"/>
                          <w:sz w:val="10"/>
                        </w:rPr>
                      </w:r>
                    </w:p>
                    <w:p>
                      <w:pPr>
                        <w:tabs>
                          <w:tab w:pos="812" w:val="left" w:leader="none"/>
                        </w:tabs>
                        <w:spacing w:line="130" w:lineRule="exact" w:before="0"/>
                        <w:ind w:left="0" w:right="0" w:firstLine="0"/>
                        <w:jc w:val="left"/>
                        <w:rPr>
                          <w:rFonts w:ascii="Segoe UI" w:hAnsi="Segoe UI" w:cs="Segoe UI" w:eastAsia="Segoe UI"/>
                          <w:sz w:val="10"/>
                          <w:szCs w:val="10"/>
                        </w:rPr>
                      </w:pPr>
                      <w:r>
                        <w:rPr>
                          <w:rFonts w:ascii="Segoe UI"/>
                          <w:b/>
                          <w:color w:val="231F20"/>
                          <w:spacing w:val="-1"/>
                          <w:w w:val="105"/>
                          <w:position w:val="1"/>
                          <w:sz w:val="10"/>
                        </w:rPr>
                        <w:t>PAID</w:t>
                        <w:tab/>
                      </w:r>
                      <w:r>
                        <w:rPr>
                          <w:rFonts w:ascii="Segoe UI"/>
                          <w:color w:val="4F2D7F"/>
                          <w:spacing w:val="-1"/>
                          <w:w w:val="105"/>
                          <w:sz w:val="10"/>
                        </w:rPr>
                        <w:t>Living</w:t>
                      </w:r>
                      <w:r>
                        <w:rPr>
                          <w:rFonts w:ascii="Segoe UI"/>
                          <w:color w:val="4F2D7F"/>
                          <w:spacing w:val="6"/>
                          <w:w w:val="105"/>
                          <w:sz w:val="10"/>
                        </w:rPr>
                        <w:t> </w:t>
                      </w:r>
                      <w:r>
                        <w:rPr>
                          <w:rFonts w:ascii="Segoe UI"/>
                          <w:color w:val="4F2D7F"/>
                          <w:spacing w:val="-1"/>
                          <w:w w:val="105"/>
                          <w:sz w:val="10"/>
                        </w:rPr>
                        <w:t>Allowance</w:t>
                      </w:r>
                      <w:r>
                        <w:rPr>
                          <w:rFonts w:ascii="Segoe UI"/>
                          <w:sz w:val="10"/>
                        </w:rPr>
                      </w:r>
                    </w:p>
                  </w:txbxContent>
                </v:textbox>
                <w10:wrap type="none"/>
              </v:shape>
              <v:shape style="position:absolute;left:731;top:2174;width:1114;height:342" type="#_x0000_t202" filled="false" stroked="false">
                <v:textbox inset="0,0,0,0">
                  <w:txbxContent>
                    <w:p>
                      <w:pPr>
                        <w:spacing w:line="98" w:lineRule="exact" w:before="0"/>
                        <w:ind w:left="0" w:right="0" w:firstLine="0"/>
                        <w:jc w:val="left"/>
                        <w:rPr>
                          <w:rFonts w:ascii="Segoe UI" w:hAnsi="Segoe UI" w:cs="Segoe UI" w:eastAsia="Segoe UI"/>
                          <w:sz w:val="10"/>
                          <w:szCs w:val="10"/>
                        </w:rPr>
                      </w:pPr>
                      <w:r>
                        <w:rPr>
                          <w:rFonts w:ascii="Segoe UI" w:hAnsi="Segoe UI" w:cs="Segoe UI" w:eastAsia="Segoe UI"/>
                          <w:color w:val="4F2D7F"/>
                          <w:spacing w:val="-1"/>
                          <w:w w:val="105"/>
                          <w:sz w:val="10"/>
                          <w:szCs w:val="10"/>
                        </w:rPr>
                        <w:t>Student’s</w:t>
                      </w:r>
                      <w:r>
                        <w:rPr>
                          <w:rFonts w:ascii="Segoe UI" w:hAnsi="Segoe UI" w:cs="Segoe UI" w:eastAsia="Segoe UI"/>
                          <w:color w:val="4F2D7F"/>
                          <w:spacing w:val="6"/>
                          <w:w w:val="105"/>
                          <w:sz w:val="10"/>
                          <w:szCs w:val="10"/>
                        </w:rPr>
                        <w:t> </w:t>
                      </w:r>
                      <w:r>
                        <w:rPr>
                          <w:rFonts w:ascii="Segoe UI" w:hAnsi="Segoe UI" w:cs="Segoe UI" w:eastAsia="Segoe UI"/>
                          <w:color w:val="4F2D7F"/>
                          <w:w w:val="105"/>
                          <w:sz w:val="10"/>
                          <w:szCs w:val="10"/>
                        </w:rPr>
                        <w:t>Living</w:t>
                      </w:r>
                      <w:r>
                        <w:rPr>
                          <w:rFonts w:ascii="Segoe UI" w:hAnsi="Segoe UI" w:cs="Segoe UI" w:eastAsia="Segoe UI"/>
                          <w:sz w:val="10"/>
                          <w:szCs w:val="10"/>
                        </w:rPr>
                      </w:r>
                    </w:p>
                    <w:p>
                      <w:pPr>
                        <w:spacing w:line="118" w:lineRule="exact" w:before="6"/>
                        <w:ind w:left="0" w:right="0" w:firstLine="0"/>
                        <w:jc w:val="left"/>
                        <w:rPr>
                          <w:rFonts w:ascii="Segoe UI" w:hAnsi="Segoe UI" w:cs="Segoe UI" w:eastAsia="Segoe UI"/>
                          <w:sz w:val="10"/>
                          <w:szCs w:val="10"/>
                        </w:rPr>
                      </w:pPr>
                      <w:r>
                        <w:rPr>
                          <w:rFonts w:ascii="Segoe UI"/>
                          <w:color w:val="4F2D7F"/>
                          <w:spacing w:val="-1"/>
                          <w:w w:val="105"/>
                          <w:sz w:val="10"/>
                        </w:rPr>
                        <w:t>Allowance</w:t>
                      </w:r>
                      <w:r>
                        <w:rPr>
                          <w:rFonts w:ascii="Segoe UI"/>
                          <w:color w:val="4F2D7F"/>
                          <w:spacing w:val="9"/>
                          <w:w w:val="105"/>
                          <w:sz w:val="10"/>
                        </w:rPr>
                        <w:t> </w:t>
                      </w:r>
                      <w:r>
                        <w:rPr>
                          <w:rFonts w:ascii="Segoe UI"/>
                          <w:color w:val="4F2D7F"/>
                          <w:spacing w:val="-1"/>
                          <w:w w:val="105"/>
                          <w:sz w:val="10"/>
                        </w:rPr>
                        <w:t>entitlement</w:t>
                      </w:r>
                      <w:r>
                        <w:rPr>
                          <w:rFonts w:ascii="Segoe UI"/>
                          <w:color w:val="4F2D7F"/>
                          <w:spacing w:val="24"/>
                          <w:w w:val="106"/>
                          <w:sz w:val="10"/>
                        </w:rPr>
                        <w:t> </w:t>
                      </w:r>
                      <w:r>
                        <w:rPr>
                          <w:rFonts w:ascii="Segoe UI"/>
                          <w:color w:val="4F2D7F"/>
                          <w:spacing w:val="-1"/>
                          <w:w w:val="105"/>
                          <w:sz w:val="10"/>
                        </w:rPr>
                        <w:t>paid</w:t>
                      </w:r>
                      <w:r>
                        <w:rPr>
                          <w:rFonts w:ascii="Segoe UI"/>
                          <w:color w:val="4F2D7F"/>
                          <w:spacing w:val="2"/>
                          <w:w w:val="105"/>
                          <w:sz w:val="10"/>
                        </w:rPr>
                        <w:t> </w:t>
                      </w:r>
                      <w:r>
                        <w:rPr>
                          <w:rFonts w:ascii="Segoe UI"/>
                          <w:color w:val="4F2D7F"/>
                          <w:spacing w:val="-1"/>
                          <w:w w:val="105"/>
                          <w:sz w:val="10"/>
                        </w:rPr>
                        <w:t>to</w:t>
                      </w:r>
                      <w:r>
                        <w:rPr>
                          <w:rFonts w:ascii="Segoe UI"/>
                          <w:color w:val="4F2D7F"/>
                          <w:spacing w:val="3"/>
                          <w:w w:val="105"/>
                          <w:sz w:val="10"/>
                        </w:rPr>
                        <w:t> </w:t>
                      </w:r>
                      <w:r>
                        <w:rPr>
                          <w:rFonts w:ascii="Segoe UI"/>
                          <w:color w:val="4F2D7F"/>
                          <w:spacing w:val="-1"/>
                          <w:w w:val="105"/>
                          <w:sz w:val="10"/>
                        </w:rPr>
                        <w:t>boarding</w:t>
                      </w:r>
                      <w:r>
                        <w:rPr>
                          <w:rFonts w:ascii="Segoe UI"/>
                          <w:color w:val="4F2D7F"/>
                          <w:spacing w:val="3"/>
                          <w:w w:val="105"/>
                          <w:sz w:val="10"/>
                        </w:rPr>
                        <w:t> </w:t>
                      </w:r>
                      <w:r>
                        <w:rPr>
                          <w:rFonts w:ascii="Segoe UI"/>
                          <w:color w:val="4F2D7F"/>
                          <w:spacing w:val="-1"/>
                          <w:w w:val="105"/>
                          <w:sz w:val="10"/>
                        </w:rPr>
                        <w:t>school</w:t>
                      </w:r>
                      <w:r>
                        <w:rPr>
                          <w:rFonts w:ascii="Segoe UI"/>
                          <w:sz w:val="10"/>
                        </w:rPr>
                      </w:r>
                    </w:p>
                  </w:txbxContent>
                </v:textbox>
                <w10:wrap type="none"/>
              </v:shape>
              <v:shape style="position:absolute;left:2501;top:1456;width:818;height:935" type="#_x0000_t202" filled="false" stroked="false">
                <v:textbox inset="0,0,0,0">
                  <w:txbxContent>
                    <w:p>
                      <w:pPr>
                        <w:spacing w:line="98" w:lineRule="exact" w:before="0"/>
                        <w:ind w:left="0" w:right="0" w:firstLine="0"/>
                        <w:jc w:val="left"/>
                        <w:rPr>
                          <w:rFonts w:ascii="Segoe UI" w:hAnsi="Segoe UI" w:cs="Segoe UI" w:eastAsia="Segoe UI"/>
                          <w:sz w:val="10"/>
                          <w:szCs w:val="10"/>
                        </w:rPr>
                      </w:pPr>
                      <w:r>
                        <w:rPr>
                          <w:rFonts w:ascii="Segoe UI"/>
                          <w:color w:val="4F2D7F"/>
                          <w:w w:val="105"/>
                          <w:sz w:val="10"/>
                        </w:rPr>
                        <w:t>Point</w:t>
                      </w:r>
                      <w:r>
                        <w:rPr>
                          <w:rFonts w:ascii="Segoe UI"/>
                          <w:color w:val="4F2D7F"/>
                          <w:spacing w:val="3"/>
                          <w:w w:val="105"/>
                          <w:sz w:val="10"/>
                        </w:rPr>
                        <w:t> </w:t>
                      </w:r>
                      <w:r>
                        <w:rPr>
                          <w:rFonts w:ascii="Segoe UI"/>
                          <w:color w:val="4F2D7F"/>
                          <w:w w:val="105"/>
                          <w:sz w:val="10"/>
                        </w:rPr>
                        <w:t>at</w:t>
                      </w:r>
                      <w:r>
                        <w:rPr>
                          <w:rFonts w:ascii="Segoe UI"/>
                          <w:color w:val="4F2D7F"/>
                          <w:spacing w:val="3"/>
                          <w:w w:val="105"/>
                          <w:sz w:val="10"/>
                        </w:rPr>
                        <w:t> </w:t>
                      </w:r>
                      <w:r>
                        <w:rPr>
                          <w:rFonts w:ascii="Segoe UI"/>
                          <w:color w:val="4F2D7F"/>
                          <w:spacing w:val="-1"/>
                          <w:w w:val="105"/>
                          <w:sz w:val="10"/>
                        </w:rPr>
                        <w:t>which</w:t>
                      </w:r>
                      <w:r>
                        <w:rPr>
                          <w:rFonts w:ascii="Segoe UI"/>
                          <w:sz w:val="10"/>
                        </w:rPr>
                      </w:r>
                    </w:p>
                    <w:p>
                      <w:pPr>
                        <w:spacing w:line="214" w:lineRule="auto" w:before="4"/>
                        <w:ind w:left="0" w:right="0" w:firstLine="0"/>
                        <w:jc w:val="left"/>
                        <w:rPr>
                          <w:rFonts w:ascii="Segoe UI" w:hAnsi="Segoe UI" w:cs="Segoe UI" w:eastAsia="Segoe UI"/>
                          <w:sz w:val="10"/>
                          <w:szCs w:val="10"/>
                        </w:rPr>
                      </w:pPr>
                      <w:r>
                        <w:rPr>
                          <w:rFonts w:ascii="Segoe UI"/>
                          <w:color w:val="4F2D7F"/>
                          <w:spacing w:val="-1"/>
                          <w:w w:val="105"/>
                          <w:sz w:val="10"/>
                        </w:rPr>
                        <w:t>parental</w:t>
                      </w:r>
                      <w:r>
                        <w:rPr>
                          <w:rFonts w:ascii="Segoe UI"/>
                          <w:color w:val="4F2D7F"/>
                          <w:spacing w:val="6"/>
                          <w:w w:val="105"/>
                          <w:sz w:val="10"/>
                        </w:rPr>
                        <w:t> </w:t>
                      </w:r>
                      <w:r>
                        <w:rPr>
                          <w:rFonts w:ascii="Segoe UI"/>
                          <w:color w:val="4F2D7F"/>
                          <w:spacing w:val="-1"/>
                          <w:w w:val="105"/>
                          <w:sz w:val="10"/>
                        </w:rPr>
                        <w:t>income</w:t>
                      </w:r>
                      <w:r>
                        <w:rPr>
                          <w:rFonts w:ascii="Segoe UI"/>
                          <w:color w:val="4F2D7F"/>
                          <w:spacing w:val="21"/>
                          <w:w w:val="106"/>
                          <w:sz w:val="10"/>
                        </w:rPr>
                        <w:t> </w:t>
                      </w:r>
                      <w:r>
                        <w:rPr>
                          <w:rFonts w:ascii="Segoe UI"/>
                          <w:color w:val="4F2D7F"/>
                          <w:spacing w:val="-1"/>
                          <w:w w:val="105"/>
                          <w:sz w:val="10"/>
                        </w:rPr>
                        <w:t>reduces</w:t>
                      </w:r>
                      <w:r>
                        <w:rPr>
                          <w:rFonts w:ascii="Segoe UI"/>
                          <w:color w:val="4F2D7F"/>
                          <w:spacing w:val="4"/>
                          <w:w w:val="105"/>
                          <w:sz w:val="10"/>
                        </w:rPr>
                        <w:t> </w:t>
                      </w:r>
                      <w:r>
                        <w:rPr>
                          <w:rFonts w:ascii="Segoe UI"/>
                          <w:color w:val="4F2D7F"/>
                          <w:spacing w:val="-1"/>
                          <w:w w:val="105"/>
                          <w:sz w:val="10"/>
                        </w:rPr>
                        <w:t>Living</w:t>
                      </w:r>
                      <w:r>
                        <w:rPr>
                          <w:rFonts w:ascii="Segoe UI"/>
                          <w:color w:val="4F2D7F"/>
                          <w:spacing w:val="21"/>
                          <w:w w:val="106"/>
                          <w:sz w:val="10"/>
                        </w:rPr>
                        <w:t> </w:t>
                      </w:r>
                      <w:r>
                        <w:rPr>
                          <w:rFonts w:ascii="Segoe UI"/>
                          <w:color w:val="4F2D7F"/>
                          <w:w w:val="105"/>
                          <w:sz w:val="10"/>
                        </w:rPr>
                        <w:t>Allowance</w:t>
                      </w:r>
                      <w:r>
                        <w:rPr>
                          <w:rFonts w:ascii="Segoe UI"/>
                          <w:color w:val="4F2D7F"/>
                          <w:spacing w:val="2"/>
                          <w:w w:val="105"/>
                          <w:sz w:val="10"/>
                        </w:rPr>
                        <w:t> </w:t>
                      </w:r>
                      <w:r>
                        <w:rPr>
                          <w:rFonts w:ascii="Segoe UI"/>
                          <w:color w:val="4F2D7F"/>
                          <w:w w:val="105"/>
                          <w:sz w:val="10"/>
                        </w:rPr>
                        <w:t>to</w:t>
                      </w:r>
                      <w:r>
                        <w:rPr>
                          <w:rFonts w:ascii="Segoe UI"/>
                          <w:color w:val="4F2D7F"/>
                          <w:spacing w:val="3"/>
                          <w:w w:val="105"/>
                          <w:sz w:val="10"/>
                        </w:rPr>
                        <w:t> </w:t>
                      </w:r>
                      <w:r>
                        <w:rPr>
                          <w:rFonts w:ascii="Segoe UI"/>
                          <w:color w:val="4F2D7F"/>
                          <w:w w:val="105"/>
                          <w:sz w:val="10"/>
                        </w:rPr>
                        <w:t>$0</w:t>
                      </w:r>
                      <w:r>
                        <w:rPr>
                          <w:rFonts w:ascii="Segoe UI"/>
                          <w:color w:val="4F2D7F"/>
                          <w:w w:val="106"/>
                          <w:sz w:val="10"/>
                        </w:rPr>
                        <w:t> </w:t>
                      </w:r>
                      <w:r>
                        <w:rPr>
                          <w:rFonts w:ascii="Segoe UI"/>
                          <w:color w:val="4F2D7F"/>
                          <w:spacing w:val="-1"/>
                          <w:w w:val="105"/>
                          <w:sz w:val="10"/>
                        </w:rPr>
                        <w:t>and</w:t>
                      </w:r>
                      <w:r>
                        <w:rPr>
                          <w:rFonts w:ascii="Segoe UI"/>
                          <w:color w:val="4F2D7F"/>
                          <w:spacing w:val="3"/>
                          <w:w w:val="105"/>
                          <w:sz w:val="10"/>
                        </w:rPr>
                        <w:t> </w:t>
                      </w:r>
                      <w:r>
                        <w:rPr>
                          <w:rFonts w:ascii="Segoe UI"/>
                          <w:color w:val="4F2D7F"/>
                          <w:spacing w:val="-1"/>
                          <w:w w:val="105"/>
                          <w:sz w:val="10"/>
                        </w:rPr>
                        <w:t>student</w:t>
                      </w:r>
                      <w:r>
                        <w:rPr>
                          <w:rFonts w:ascii="Segoe UI"/>
                          <w:color w:val="4F2D7F"/>
                          <w:spacing w:val="3"/>
                          <w:w w:val="105"/>
                          <w:sz w:val="10"/>
                        </w:rPr>
                        <w:t> </w:t>
                      </w:r>
                      <w:r>
                        <w:rPr>
                          <w:rFonts w:ascii="Segoe UI"/>
                          <w:color w:val="4F2D7F"/>
                          <w:spacing w:val="-1"/>
                          <w:w w:val="105"/>
                          <w:sz w:val="10"/>
                        </w:rPr>
                        <w:t>loses</w:t>
                      </w:r>
                      <w:r>
                        <w:rPr>
                          <w:rFonts w:ascii="Segoe UI"/>
                          <w:color w:val="4F2D7F"/>
                          <w:spacing w:val="22"/>
                          <w:w w:val="106"/>
                          <w:sz w:val="10"/>
                        </w:rPr>
                        <w:t> </w:t>
                      </w:r>
                      <w:r>
                        <w:rPr>
                          <w:rFonts w:ascii="Segoe UI"/>
                          <w:color w:val="4F2D7F"/>
                          <w:spacing w:val="-1"/>
                          <w:w w:val="105"/>
                          <w:sz w:val="10"/>
                        </w:rPr>
                        <w:t>eligibility</w:t>
                      </w:r>
                      <w:r>
                        <w:rPr>
                          <w:rFonts w:ascii="Segoe UI"/>
                          <w:color w:val="4F2D7F"/>
                          <w:spacing w:val="4"/>
                          <w:w w:val="105"/>
                          <w:sz w:val="10"/>
                        </w:rPr>
                        <w:t> </w:t>
                      </w:r>
                      <w:r>
                        <w:rPr>
                          <w:rFonts w:ascii="Segoe UI"/>
                          <w:color w:val="4F2D7F"/>
                          <w:spacing w:val="-1"/>
                          <w:w w:val="105"/>
                          <w:sz w:val="10"/>
                        </w:rPr>
                        <w:t>for</w:t>
                      </w:r>
                      <w:r>
                        <w:rPr>
                          <w:rFonts w:ascii="Segoe UI"/>
                          <w:sz w:val="10"/>
                        </w:rPr>
                      </w:r>
                    </w:p>
                    <w:p>
                      <w:pPr>
                        <w:spacing w:line="118" w:lineRule="exact" w:before="0"/>
                        <w:ind w:left="3" w:right="182" w:hanging="4"/>
                        <w:jc w:val="left"/>
                        <w:rPr>
                          <w:rFonts w:ascii="Segoe UI" w:hAnsi="Segoe UI" w:cs="Segoe UI" w:eastAsia="Segoe UI"/>
                          <w:sz w:val="10"/>
                          <w:szCs w:val="10"/>
                        </w:rPr>
                      </w:pPr>
                      <w:r>
                        <w:rPr>
                          <w:rFonts w:ascii="Segoe UI"/>
                          <w:color w:val="4F2D7F"/>
                          <w:w w:val="105"/>
                          <w:sz w:val="10"/>
                        </w:rPr>
                        <w:t>u16</w:t>
                      </w:r>
                      <w:r>
                        <w:rPr>
                          <w:rFonts w:ascii="Segoe UI"/>
                          <w:color w:val="4F2D7F"/>
                          <w:spacing w:val="6"/>
                          <w:w w:val="105"/>
                          <w:sz w:val="10"/>
                        </w:rPr>
                        <w:t> </w:t>
                      </w:r>
                      <w:r>
                        <w:rPr>
                          <w:rFonts w:ascii="Segoe UI"/>
                          <w:color w:val="4F2D7F"/>
                          <w:w w:val="105"/>
                          <w:sz w:val="10"/>
                        </w:rPr>
                        <w:t>Boarding</w:t>
                      </w:r>
                      <w:r>
                        <w:rPr>
                          <w:rFonts w:ascii="Segoe UI"/>
                          <w:color w:val="4F2D7F"/>
                          <w:w w:val="106"/>
                          <w:sz w:val="10"/>
                        </w:rPr>
                        <w:t> </w:t>
                      </w:r>
                      <w:r>
                        <w:rPr>
                          <w:rFonts w:ascii="Segoe UI"/>
                          <w:color w:val="4F2D7F"/>
                          <w:spacing w:val="-1"/>
                          <w:w w:val="105"/>
                          <w:sz w:val="10"/>
                        </w:rPr>
                        <w:t>Supplement</w:t>
                      </w:r>
                      <w:r>
                        <w:rPr>
                          <w:rFonts w:ascii="Segoe UI"/>
                          <w:sz w:val="10"/>
                        </w:rPr>
                      </w:r>
                    </w:p>
                  </w:txbxContent>
                </v:textbox>
                <w10:wrap type="none"/>
              </v:shape>
              <v:shape style="position:absolute;left:6320;top:1352;width:818;height:1069" type="#_x0000_t202" filled="false" stroked="false">
                <v:textbox inset="0,0,0,0">
                  <w:txbxContent>
                    <w:p>
                      <w:pPr>
                        <w:spacing w:line="118" w:lineRule="exact" w:before="0"/>
                        <w:ind w:left="0" w:right="0" w:firstLine="0"/>
                        <w:jc w:val="left"/>
                        <w:rPr>
                          <w:rFonts w:ascii="Segoe UI" w:hAnsi="Segoe UI" w:cs="Segoe UI" w:eastAsia="Segoe UI"/>
                          <w:sz w:val="10"/>
                          <w:szCs w:val="10"/>
                        </w:rPr>
                      </w:pPr>
                      <w:r>
                        <w:rPr>
                          <w:rFonts w:ascii="Segoe UI"/>
                          <w:b/>
                          <w:color w:val="4F2D7F"/>
                          <w:spacing w:val="-1"/>
                          <w:w w:val="105"/>
                          <w:sz w:val="10"/>
                        </w:rPr>
                        <w:t>OLD</w:t>
                      </w:r>
                      <w:r>
                        <w:rPr>
                          <w:rFonts w:ascii="Segoe UI"/>
                          <w:b/>
                          <w:color w:val="4F2D7F"/>
                          <w:spacing w:val="4"/>
                          <w:w w:val="105"/>
                          <w:sz w:val="10"/>
                        </w:rPr>
                        <w:t> </w:t>
                      </w:r>
                      <w:r>
                        <w:rPr>
                          <w:rFonts w:ascii="Segoe UI"/>
                          <w:b/>
                          <w:color w:val="4F2D7F"/>
                          <w:spacing w:val="-1"/>
                          <w:w w:val="105"/>
                          <w:sz w:val="10"/>
                        </w:rPr>
                        <w:t>RULES</w:t>
                      </w:r>
                      <w:r>
                        <w:rPr>
                          <w:rFonts w:ascii="Segoe UI"/>
                          <w:sz w:val="10"/>
                        </w:rPr>
                      </w:r>
                    </w:p>
                    <w:p>
                      <w:pPr>
                        <w:spacing w:line="214" w:lineRule="auto" w:before="0"/>
                        <w:ind w:left="0" w:right="0" w:firstLine="0"/>
                        <w:jc w:val="left"/>
                        <w:rPr>
                          <w:rFonts w:ascii="Segoe UI" w:hAnsi="Segoe UI" w:cs="Segoe UI" w:eastAsia="Segoe UI"/>
                          <w:sz w:val="10"/>
                          <w:szCs w:val="10"/>
                        </w:rPr>
                      </w:pPr>
                      <w:r>
                        <w:rPr>
                          <w:rFonts w:ascii="Segoe UI"/>
                          <w:color w:val="4F2D7F"/>
                          <w:w w:val="105"/>
                          <w:sz w:val="10"/>
                        </w:rPr>
                        <w:t>Point</w:t>
                      </w:r>
                      <w:r>
                        <w:rPr>
                          <w:rFonts w:ascii="Segoe UI"/>
                          <w:color w:val="4F2D7F"/>
                          <w:spacing w:val="3"/>
                          <w:w w:val="105"/>
                          <w:sz w:val="10"/>
                        </w:rPr>
                        <w:t> </w:t>
                      </w:r>
                      <w:r>
                        <w:rPr>
                          <w:rFonts w:ascii="Segoe UI"/>
                          <w:color w:val="4F2D7F"/>
                          <w:w w:val="105"/>
                          <w:sz w:val="10"/>
                        </w:rPr>
                        <w:t>at</w:t>
                      </w:r>
                      <w:r>
                        <w:rPr>
                          <w:rFonts w:ascii="Segoe UI"/>
                          <w:color w:val="4F2D7F"/>
                          <w:spacing w:val="3"/>
                          <w:w w:val="105"/>
                          <w:sz w:val="10"/>
                        </w:rPr>
                        <w:t> </w:t>
                      </w:r>
                      <w:r>
                        <w:rPr>
                          <w:rFonts w:ascii="Segoe UI"/>
                          <w:color w:val="4F2D7F"/>
                          <w:spacing w:val="-1"/>
                          <w:w w:val="105"/>
                          <w:sz w:val="10"/>
                        </w:rPr>
                        <w:t>which</w:t>
                      </w:r>
                      <w:r>
                        <w:rPr>
                          <w:rFonts w:ascii="Segoe UI"/>
                          <w:color w:val="4F2D7F"/>
                          <w:spacing w:val="22"/>
                          <w:w w:val="106"/>
                          <w:sz w:val="10"/>
                        </w:rPr>
                        <w:t> </w:t>
                      </w:r>
                      <w:r>
                        <w:rPr>
                          <w:rFonts w:ascii="Segoe UI"/>
                          <w:color w:val="4F2D7F"/>
                          <w:spacing w:val="-1"/>
                          <w:w w:val="105"/>
                          <w:sz w:val="10"/>
                        </w:rPr>
                        <w:t>parental</w:t>
                      </w:r>
                      <w:r>
                        <w:rPr>
                          <w:rFonts w:ascii="Segoe UI"/>
                          <w:color w:val="4F2D7F"/>
                          <w:spacing w:val="6"/>
                          <w:w w:val="105"/>
                          <w:sz w:val="10"/>
                        </w:rPr>
                        <w:t> </w:t>
                      </w:r>
                      <w:r>
                        <w:rPr>
                          <w:rFonts w:ascii="Segoe UI"/>
                          <w:color w:val="4F2D7F"/>
                          <w:spacing w:val="-1"/>
                          <w:w w:val="105"/>
                          <w:sz w:val="10"/>
                        </w:rPr>
                        <w:t>income</w:t>
                      </w:r>
                      <w:r>
                        <w:rPr>
                          <w:rFonts w:ascii="Segoe UI"/>
                          <w:color w:val="4F2D7F"/>
                          <w:spacing w:val="21"/>
                          <w:w w:val="106"/>
                          <w:sz w:val="10"/>
                        </w:rPr>
                        <w:t> </w:t>
                      </w:r>
                      <w:r>
                        <w:rPr>
                          <w:rFonts w:ascii="Segoe UI"/>
                          <w:color w:val="4F2D7F"/>
                          <w:spacing w:val="-1"/>
                          <w:w w:val="105"/>
                          <w:sz w:val="10"/>
                        </w:rPr>
                        <w:t>reduces</w:t>
                      </w:r>
                      <w:r>
                        <w:rPr>
                          <w:rFonts w:ascii="Segoe UI"/>
                          <w:color w:val="4F2D7F"/>
                          <w:spacing w:val="4"/>
                          <w:w w:val="105"/>
                          <w:sz w:val="10"/>
                        </w:rPr>
                        <w:t> </w:t>
                      </w:r>
                      <w:r>
                        <w:rPr>
                          <w:rFonts w:ascii="Segoe UI"/>
                          <w:color w:val="4F2D7F"/>
                          <w:spacing w:val="-1"/>
                          <w:w w:val="105"/>
                          <w:sz w:val="10"/>
                        </w:rPr>
                        <w:t>Living</w:t>
                      </w:r>
                      <w:r>
                        <w:rPr>
                          <w:rFonts w:ascii="Segoe UI"/>
                          <w:color w:val="4F2D7F"/>
                          <w:spacing w:val="21"/>
                          <w:w w:val="106"/>
                          <w:sz w:val="10"/>
                        </w:rPr>
                        <w:t> </w:t>
                      </w:r>
                      <w:r>
                        <w:rPr>
                          <w:rFonts w:ascii="Segoe UI"/>
                          <w:color w:val="4F2D7F"/>
                          <w:w w:val="105"/>
                          <w:sz w:val="10"/>
                        </w:rPr>
                        <w:t>Allowance</w:t>
                      </w:r>
                      <w:r>
                        <w:rPr>
                          <w:rFonts w:ascii="Segoe UI"/>
                          <w:color w:val="4F2D7F"/>
                          <w:spacing w:val="2"/>
                          <w:w w:val="105"/>
                          <w:sz w:val="10"/>
                        </w:rPr>
                        <w:t> </w:t>
                      </w:r>
                      <w:r>
                        <w:rPr>
                          <w:rFonts w:ascii="Segoe UI"/>
                          <w:color w:val="4F2D7F"/>
                          <w:w w:val="105"/>
                          <w:sz w:val="10"/>
                        </w:rPr>
                        <w:t>to</w:t>
                      </w:r>
                      <w:r>
                        <w:rPr>
                          <w:rFonts w:ascii="Segoe UI"/>
                          <w:color w:val="4F2D7F"/>
                          <w:spacing w:val="3"/>
                          <w:w w:val="105"/>
                          <w:sz w:val="10"/>
                        </w:rPr>
                        <w:t> </w:t>
                      </w:r>
                      <w:r>
                        <w:rPr>
                          <w:rFonts w:ascii="Segoe UI"/>
                          <w:color w:val="4F2D7F"/>
                          <w:w w:val="105"/>
                          <w:sz w:val="10"/>
                        </w:rPr>
                        <w:t>$0</w:t>
                      </w:r>
                      <w:r>
                        <w:rPr>
                          <w:rFonts w:ascii="Segoe UI"/>
                          <w:color w:val="4F2D7F"/>
                          <w:w w:val="106"/>
                          <w:sz w:val="10"/>
                        </w:rPr>
                        <w:t> </w:t>
                      </w:r>
                      <w:r>
                        <w:rPr>
                          <w:rFonts w:ascii="Segoe UI"/>
                          <w:color w:val="4F2D7F"/>
                          <w:spacing w:val="-1"/>
                          <w:w w:val="105"/>
                          <w:sz w:val="10"/>
                        </w:rPr>
                        <w:t>and</w:t>
                      </w:r>
                      <w:r>
                        <w:rPr>
                          <w:rFonts w:ascii="Segoe UI"/>
                          <w:color w:val="4F2D7F"/>
                          <w:spacing w:val="3"/>
                          <w:w w:val="105"/>
                          <w:sz w:val="10"/>
                        </w:rPr>
                        <w:t> </w:t>
                      </w:r>
                      <w:r>
                        <w:rPr>
                          <w:rFonts w:ascii="Segoe UI"/>
                          <w:color w:val="4F2D7F"/>
                          <w:spacing w:val="-1"/>
                          <w:w w:val="105"/>
                          <w:sz w:val="10"/>
                        </w:rPr>
                        <w:t>student</w:t>
                      </w:r>
                      <w:r>
                        <w:rPr>
                          <w:rFonts w:ascii="Segoe UI"/>
                          <w:color w:val="4F2D7F"/>
                          <w:spacing w:val="3"/>
                          <w:w w:val="105"/>
                          <w:sz w:val="10"/>
                        </w:rPr>
                        <w:t> </w:t>
                      </w:r>
                      <w:r>
                        <w:rPr>
                          <w:rFonts w:ascii="Segoe UI"/>
                          <w:color w:val="4F2D7F"/>
                          <w:spacing w:val="-1"/>
                          <w:w w:val="105"/>
                          <w:sz w:val="10"/>
                        </w:rPr>
                        <w:t>loses</w:t>
                      </w:r>
                      <w:r>
                        <w:rPr>
                          <w:rFonts w:ascii="Segoe UI"/>
                          <w:color w:val="4F2D7F"/>
                          <w:spacing w:val="22"/>
                          <w:w w:val="106"/>
                          <w:sz w:val="10"/>
                        </w:rPr>
                        <w:t> </w:t>
                      </w:r>
                      <w:r>
                        <w:rPr>
                          <w:rFonts w:ascii="Segoe UI"/>
                          <w:color w:val="4F2D7F"/>
                          <w:spacing w:val="-1"/>
                          <w:w w:val="105"/>
                          <w:sz w:val="10"/>
                        </w:rPr>
                        <w:t>eligibility</w:t>
                      </w:r>
                      <w:r>
                        <w:rPr>
                          <w:rFonts w:ascii="Segoe UI"/>
                          <w:color w:val="4F2D7F"/>
                          <w:spacing w:val="4"/>
                          <w:w w:val="105"/>
                          <w:sz w:val="10"/>
                        </w:rPr>
                        <w:t> </w:t>
                      </w:r>
                      <w:r>
                        <w:rPr>
                          <w:rFonts w:ascii="Segoe UI"/>
                          <w:color w:val="4F2D7F"/>
                          <w:spacing w:val="-1"/>
                          <w:w w:val="105"/>
                          <w:sz w:val="10"/>
                        </w:rPr>
                        <w:t>for</w:t>
                      </w:r>
                      <w:r>
                        <w:rPr>
                          <w:rFonts w:ascii="Segoe UI"/>
                          <w:sz w:val="10"/>
                        </w:rPr>
                      </w:r>
                    </w:p>
                    <w:p>
                      <w:pPr>
                        <w:spacing w:line="118" w:lineRule="exact" w:before="0"/>
                        <w:ind w:left="3" w:right="182" w:hanging="4"/>
                        <w:jc w:val="left"/>
                        <w:rPr>
                          <w:rFonts w:ascii="Segoe UI" w:hAnsi="Segoe UI" w:cs="Segoe UI" w:eastAsia="Segoe UI"/>
                          <w:sz w:val="10"/>
                          <w:szCs w:val="10"/>
                        </w:rPr>
                      </w:pPr>
                      <w:r>
                        <w:rPr>
                          <w:rFonts w:ascii="Segoe UI"/>
                          <w:color w:val="4F2D7F"/>
                          <w:w w:val="105"/>
                          <w:sz w:val="10"/>
                        </w:rPr>
                        <w:t>u16</w:t>
                      </w:r>
                      <w:r>
                        <w:rPr>
                          <w:rFonts w:ascii="Segoe UI"/>
                          <w:color w:val="4F2D7F"/>
                          <w:spacing w:val="6"/>
                          <w:w w:val="105"/>
                          <w:sz w:val="10"/>
                        </w:rPr>
                        <w:t> </w:t>
                      </w:r>
                      <w:r>
                        <w:rPr>
                          <w:rFonts w:ascii="Segoe UI"/>
                          <w:color w:val="4F2D7F"/>
                          <w:w w:val="105"/>
                          <w:sz w:val="10"/>
                        </w:rPr>
                        <w:t>Boarding</w:t>
                      </w:r>
                      <w:r>
                        <w:rPr>
                          <w:rFonts w:ascii="Segoe UI"/>
                          <w:color w:val="4F2D7F"/>
                          <w:w w:val="106"/>
                          <w:sz w:val="10"/>
                        </w:rPr>
                        <w:t> </w:t>
                      </w:r>
                      <w:r>
                        <w:rPr>
                          <w:rFonts w:ascii="Segoe UI"/>
                          <w:color w:val="4F2D7F"/>
                          <w:spacing w:val="-1"/>
                          <w:w w:val="105"/>
                          <w:sz w:val="10"/>
                        </w:rPr>
                        <w:t>Supplement</w:t>
                      </w:r>
                      <w:r>
                        <w:rPr>
                          <w:rFonts w:ascii="Segoe UI"/>
                          <w:sz w:val="10"/>
                        </w:rPr>
                      </w:r>
                    </w:p>
                  </w:txbxContent>
                </v:textbox>
                <w10:wrap type="none"/>
              </v:shape>
              <v:shape style="position:absolute;left:1018;top:2992;width:1230;height:107" type="#_x0000_t202" filled="false" stroked="false">
                <v:textbox inset="0,0,0,0">
                  <w:txbxContent>
                    <w:p>
                      <w:pPr>
                        <w:spacing w:line="106" w:lineRule="exact" w:before="0"/>
                        <w:ind w:left="0" w:right="0" w:firstLine="0"/>
                        <w:jc w:val="left"/>
                        <w:rPr>
                          <w:rFonts w:ascii="Segoe UI" w:hAnsi="Segoe UI" w:cs="Segoe UI" w:eastAsia="Segoe UI"/>
                          <w:sz w:val="10"/>
                          <w:szCs w:val="10"/>
                        </w:rPr>
                      </w:pPr>
                      <w:r>
                        <w:rPr>
                          <w:rFonts w:ascii="Segoe UI"/>
                          <w:color w:val="4F2D7F"/>
                          <w:spacing w:val="-1"/>
                          <w:w w:val="105"/>
                          <w:sz w:val="10"/>
                        </w:rPr>
                        <w:t>U16</w:t>
                      </w:r>
                      <w:r>
                        <w:rPr>
                          <w:rFonts w:ascii="Segoe UI"/>
                          <w:color w:val="4F2D7F"/>
                          <w:spacing w:val="5"/>
                          <w:w w:val="105"/>
                          <w:sz w:val="10"/>
                        </w:rPr>
                        <w:t> </w:t>
                      </w:r>
                      <w:r>
                        <w:rPr>
                          <w:rFonts w:ascii="Segoe UI"/>
                          <w:color w:val="4F2D7F"/>
                          <w:spacing w:val="-1"/>
                          <w:w w:val="105"/>
                          <w:sz w:val="10"/>
                        </w:rPr>
                        <w:t>Boarding</w:t>
                      </w:r>
                      <w:r>
                        <w:rPr>
                          <w:rFonts w:ascii="Segoe UI"/>
                          <w:color w:val="4F2D7F"/>
                          <w:spacing w:val="5"/>
                          <w:w w:val="105"/>
                          <w:sz w:val="10"/>
                        </w:rPr>
                        <w:t> </w:t>
                      </w:r>
                      <w:r>
                        <w:rPr>
                          <w:rFonts w:ascii="Segoe UI"/>
                          <w:color w:val="4F2D7F"/>
                          <w:spacing w:val="-1"/>
                          <w:w w:val="105"/>
                          <w:sz w:val="10"/>
                        </w:rPr>
                        <w:t>Supplement</w:t>
                      </w:r>
                      <w:r>
                        <w:rPr>
                          <w:rFonts w:ascii="Segoe UI"/>
                          <w:sz w:val="10"/>
                        </w:rPr>
                      </w:r>
                    </w:p>
                  </w:txbxContent>
                </v:textbox>
                <w10:wrap type="none"/>
              </v:shape>
              <v:shape style="position:absolute;left:4272;top:2804;width:1114;height:344" type="#_x0000_t202" filled="false" stroked="false">
                <v:textbox inset="0,0,0,0">
                  <w:txbxContent>
                    <w:p>
                      <w:pPr>
                        <w:spacing w:line="98" w:lineRule="exact" w:before="0"/>
                        <w:ind w:left="0" w:right="0" w:hanging="1"/>
                        <w:jc w:val="left"/>
                        <w:rPr>
                          <w:rFonts w:ascii="Segoe UI" w:hAnsi="Segoe UI" w:cs="Segoe UI" w:eastAsia="Segoe UI"/>
                          <w:sz w:val="10"/>
                          <w:szCs w:val="10"/>
                        </w:rPr>
                      </w:pPr>
                      <w:r>
                        <w:rPr>
                          <w:rFonts w:ascii="Segoe UI" w:hAnsi="Segoe UI" w:cs="Segoe UI" w:eastAsia="Segoe UI"/>
                          <w:color w:val="4F2D7F"/>
                          <w:spacing w:val="-1"/>
                          <w:w w:val="105"/>
                          <w:sz w:val="10"/>
                          <w:szCs w:val="10"/>
                        </w:rPr>
                        <w:t>Student’s</w:t>
                      </w:r>
                      <w:r>
                        <w:rPr>
                          <w:rFonts w:ascii="Segoe UI" w:hAnsi="Segoe UI" w:cs="Segoe UI" w:eastAsia="Segoe UI"/>
                          <w:color w:val="4F2D7F"/>
                          <w:spacing w:val="6"/>
                          <w:w w:val="105"/>
                          <w:sz w:val="10"/>
                          <w:szCs w:val="10"/>
                        </w:rPr>
                        <w:t> </w:t>
                      </w:r>
                      <w:r>
                        <w:rPr>
                          <w:rFonts w:ascii="Segoe UI" w:hAnsi="Segoe UI" w:cs="Segoe UI" w:eastAsia="Segoe UI"/>
                          <w:color w:val="4F2D7F"/>
                          <w:w w:val="105"/>
                          <w:sz w:val="10"/>
                          <w:szCs w:val="10"/>
                        </w:rPr>
                        <w:t>Living</w:t>
                      </w:r>
                      <w:r>
                        <w:rPr>
                          <w:rFonts w:ascii="Segoe UI" w:hAnsi="Segoe UI" w:cs="Segoe UI" w:eastAsia="Segoe UI"/>
                          <w:sz w:val="10"/>
                          <w:szCs w:val="10"/>
                        </w:rPr>
                      </w:r>
                    </w:p>
                    <w:p>
                      <w:pPr>
                        <w:spacing w:line="118" w:lineRule="exact" w:before="6"/>
                        <w:ind w:left="0" w:right="0" w:firstLine="0"/>
                        <w:jc w:val="left"/>
                        <w:rPr>
                          <w:rFonts w:ascii="Segoe UI" w:hAnsi="Segoe UI" w:cs="Segoe UI" w:eastAsia="Segoe UI"/>
                          <w:sz w:val="10"/>
                          <w:szCs w:val="10"/>
                        </w:rPr>
                      </w:pPr>
                      <w:r>
                        <w:rPr>
                          <w:rFonts w:ascii="Segoe UI"/>
                          <w:color w:val="4F2D7F"/>
                          <w:spacing w:val="-1"/>
                          <w:w w:val="105"/>
                          <w:sz w:val="10"/>
                        </w:rPr>
                        <w:t>Allowance</w:t>
                      </w:r>
                      <w:r>
                        <w:rPr>
                          <w:rFonts w:ascii="Segoe UI"/>
                          <w:color w:val="4F2D7F"/>
                          <w:spacing w:val="9"/>
                          <w:w w:val="105"/>
                          <w:sz w:val="10"/>
                        </w:rPr>
                        <w:t> </w:t>
                      </w:r>
                      <w:r>
                        <w:rPr>
                          <w:rFonts w:ascii="Segoe UI"/>
                          <w:color w:val="4F2D7F"/>
                          <w:spacing w:val="-1"/>
                          <w:w w:val="105"/>
                          <w:sz w:val="10"/>
                        </w:rPr>
                        <w:t>entitlement</w:t>
                      </w:r>
                      <w:r>
                        <w:rPr>
                          <w:rFonts w:ascii="Segoe UI"/>
                          <w:color w:val="4F2D7F"/>
                          <w:spacing w:val="24"/>
                          <w:w w:val="106"/>
                          <w:sz w:val="10"/>
                        </w:rPr>
                        <w:t> </w:t>
                      </w:r>
                      <w:r>
                        <w:rPr>
                          <w:rFonts w:ascii="Segoe UI"/>
                          <w:color w:val="4F2D7F"/>
                          <w:spacing w:val="-1"/>
                          <w:w w:val="105"/>
                          <w:sz w:val="10"/>
                        </w:rPr>
                        <w:t>paid</w:t>
                      </w:r>
                      <w:r>
                        <w:rPr>
                          <w:rFonts w:ascii="Segoe UI"/>
                          <w:color w:val="4F2D7F"/>
                          <w:spacing w:val="2"/>
                          <w:w w:val="105"/>
                          <w:sz w:val="10"/>
                        </w:rPr>
                        <w:t> </w:t>
                      </w:r>
                      <w:r>
                        <w:rPr>
                          <w:rFonts w:ascii="Segoe UI"/>
                          <w:color w:val="4F2D7F"/>
                          <w:spacing w:val="-1"/>
                          <w:w w:val="105"/>
                          <w:sz w:val="10"/>
                        </w:rPr>
                        <w:t>to</w:t>
                      </w:r>
                      <w:r>
                        <w:rPr>
                          <w:rFonts w:ascii="Segoe UI"/>
                          <w:color w:val="4F2D7F"/>
                          <w:spacing w:val="3"/>
                          <w:w w:val="105"/>
                          <w:sz w:val="10"/>
                        </w:rPr>
                        <w:t> </w:t>
                      </w:r>
                      <w:r>
                        <w:rPr>
                          <w:rFonts w:ascii="Segoe UI"/>
                          <w:color w:val="4F2D7F"/>
                          <w:spacing w:val="-1"/>
                          <w:w w:val="105"/>
                          <w:sz w:val="10"/>
                        </w:rPr>
                        <w:t>boarding</w:t>
                      </w:r>
                      <w:r>
                        <w:rPr>
                          <w:rFonts w:ascii="Segoe UI"/>
                          <w:color w:val="4F2D7F"/>
                          <w:spacing w:val="4"/>
                          <w:w w:val="105"/>
                          <w:sz w:val="10"/>
                        </w:rPr>
                        <w:t> </w:t>
                      </w:r>
                      <w:r>
                        <w:rPr>
                          <w:rFonts w:ascii="Segoe UI"/>
                          <w:color w:val="4F2D7F"/>
                          <w:spacing w:val="-1"/>
                          <w:w w:val="105"/>
                          <w:sz w:val="10"/>
                        </w:rPr>
                        <w:t>school</w:t>
                      </w:r>
                      <w:r>
                        <w:rPr>
                          <w:rFonts w:ascii="Segoe UI"/>
                          <w:sz w:val="10"/>
                        </w:rPr>
                      </w:r>
                    </w:p>
                  </w:txbxContent>
                </v:textbox>
                <w10:wrap type="none"/>
              </v:shape>
              <v:shape style="position:absolute;left:3343;top:3366;width:539;height:225" type="#_x0000_t202" filled="false" stroked="false">
                <v:textbox inset="0,0,0,0">
                  <w:txbxContent>
                    <w:p>
                      <w:pPr>
                        <w:spacing w:line="118" w:lineRule="exact" w:before="10"/>
                        <w:ind w:left="0" w:right="0" w:firstLine="0"/>
                        <w:jc w:val="left"/>
                        <w:rPr>
                          <w:rFonts w:ascii="Segoe UI" w:hAnsi="Segoe UI" w:cs="Segoe UI" w:eastAsia="Segoe UI"/>
                          <w:sz w:val="10"/>
                          <w:szCs w:val="10"/>
                        </w:rPr>
                      </w:pPr>
                      <w:r>
                        <w:rPr>
                          <w:rFonts w:ascii="Segoe UI"/>
                          <w:b/>
                          <w:color w:val="231F20"/>
                          <w:spacing w:val="-1"/>
                          <w:w w:val="105"/>
                          <w:sz w:val="10"/>
                        </w:rPr>
                        <w:t>PARENTAL</w:t>
                      </w:r>
                      <w:r>
                        <w:rPr>
                          <w:rFonts w:ascii="Segoe UI"/>
                          <w:b/>
                          <w:color w:val="231F20"/>
                          <w:spacing w:val="25"/>
                          <w:w w:val="106"/>
                          <w:sz w:val="10"/>
                        </w:rPr>
                        <w:t> </w:t>
                      </w:r>
                      <w:r>
                        <w:rPr>
                          <w:rFonts w:ascii="Segoe UI"/>
                          <w:b/>
                          <w:color w:val="231F20"/>
                          <w:spacing w:val="-2"/>
                          <w:w w:val="105"/>
                          <w:sz w:val="10"/>
                        </w:rPr>
                        <w:t>INCOME</w:t>
                      </w:r>
                      <w:r>
                        <w:rPr>
                          <w:rFonts w:ascii="Segoe UI"/>
                          <w:sz w:val="10"/>
                        </w:rPr>
                      </w:r>
                    </w:p>
                  </w:txbxContent>
                </v:textbox>
                <w10:wrap type="none"/>
              </v:shape>
              <v:shape style="position:absolute;left:7894;top:3385;width:539;height:225" type="#_x0000_t202" filled="false" stroked="false">
                <v:textbox inset="0,0,0,0">
                  <w:txbxContent>
                    <w:p>
                      <w:pPr>
                        <w:spacing w:line="118" w:lineRule="exact" w:before="10"/>
                        <w:ind w:left="0" w:right="0" w:firstLine="0"/>
                        <w:jc w:val="left"/>
                        <w:rPr>
                          <w:rFonts w:ascii="Segoe UI" w:hAnsi="Segoe UI" w:cs="Segoe UI" w:eastAsia="Segoe UI"/>
                          <w:sz w:val="10"/>
                          <w:szCs w:val="10"/>
                        </w:rPr>
                      </w:pPr>
                      <w:r>
                        <w:rPr>
                          <w:rFonts w:ascii="Segoe UI"/>
                          <w:b/>
                          <w:color w:val="231F20"/>
                          <w:spacing w:val="-1"/>
                          <w:w w:val="105"/>
                          <w:sz w:val="10"/>
                        </w:rPr>
                        <w:t>PARENTAL</w:t>
                      </w:r>
                      <w:r>
                        <w:rPr>
                          <w:rFonts w:ascii="Segoe UI"/>
                          <w:b/>
                          <w:color w:val="231F20"/>
                          <w:spacing w:val="26"/>
                          <w:w w:val="106"/>
                          <w:sz w:val="10"/>
                        </w:rPr>
                        <w:t> </w:t>
                      </w:r>
                      <w:r>
                        <w:rPr>
                          <w:rFonts w:ascii="Segoe UI"/>
                          <w:b/>
                          <w:color w:val="231F20"/>
                          <w:spacing w:val="-2"/>
                          <w:w w:val="105"/>
                          <w:sz w:val="10"/>
                        </w:rPr>
                        <w:t>INCOME</w:t>
                      </w:r>
                      <w:r>
                        <w:rPr>
                          <w:rFonts w:ascii="Segoe UI"/>
                          <w:sz w:val="10"/>
                        </w:rPr>
                      </w:r>
                    </w:p>
                  </w:txbxContent>
                </v:textbox>
                <w10:wrap type="none"/>
              </v:shape>
              <v:shape style="position:absolute;left:692;top:3752;width:1852;height:107" type="#_x0000_t202" filled="false" stroked="false">
                <v:textbox inset="0,0,0,0">
                  <w:txbxContent>
                    <w:p>
                      <w:pPr>
                        <w:spacing w:line="106" w:lineRule="exact" w:before="0"/>
                        <w:ind w:left="0" w:right="0" w:firstLine="0"/>
                        <w:jc w:val="left"/>
                        <w:rPr>
                          <w:rFonts w:ascii="Segoe UI" w:hAnsi="Segoe UI" w:cs="Segoe UI" w:eastAsia="Segoe UI"/>
                          <w:sz w:val="10"/>
                          <w:szCs w:val="10"/>
                        </w:rPr>
                      </w:pPr>
                      <w:r>
                        <w:rPr>
                          <w:rFonts w:ascii="Segoe UI"/>
                          <w:color w:val="231F20"/>
                          <w:w w:val="105"/>
                          <w:sz w:val="10"/>
                        </w:rPr>
                        <w:t>ABSTUDY</w:t>
                      </w:r>
                      <w:r>
                        <w:rPr>
                          <w:rFonts w:ascii="Segoe UI"/>
                          <w:color w:val="231F20"/>
                          <w:spacing w:val="3"/>
                          <w:w w:val="105"/>
                          <w:sz w:val="10"/>
                        </w:rPr>
                        <w:t> </w:t>
                      </w:r>
                      <w:r>
                        <w:rPr>
                          <w:rFonts w:ascii="Segoe UI"/>
                          <w:color w:val="231F20"/>
                          <w:spacing w:val="-1"/>
                          <w:w w:val="105"/>
                          <w:sz w:val="10"/>
                        </w:rPr>
                        <w:t>PAID</w:t>
                      </w:r>
                      <w:r>
                        <w:rPr>
                          <w:rFonts w:ascii="Segoe UI"/>
                          <w:color w:val="231F20"/>
                          <w:spacing w:val="4"/>
                          <w:w w:val="105"/>
                          <w:sz w:val="10"/>
                        </w:rPr>
                        <w:t> </w:t>
                      </w:r>
                      <w:r>
                        <w:rPr>
                          <w:rFonts w:ascii="Segoe UI"/>
                          <w:color w:val="231F20"/>
                          <w:w w:val="105"/>
                          <w:sz w:val="10"/>
                        </w:rPr>
                        <w:t>TO</w:t>
                      </w:r>
                      <w:r>
                        <w:rPr>
                          <w:rFonts w:ascii="Segoe UI"/>
                          <w:color w:val="231F20"/>
                          <w:spacing w:val="4"/>
                          <w:w w:val="105"/>
                          <w:sz w:val="10"/>
                        </w:rPr>
                        <w:t> </w:t>
                      </w:r>
                      <w:r>
                        <w:rPr>
                          <w:rFonts w:ascii="Segoe UI"/>
                          <w:color w:val="231F20"/>
                          <w:spacing w:val="-1"/>
                          <w:w w:val="105"/>
                          <w:sz w:val="10"/>
                        </w:rPr>
                        <w:t>BOARDING</w:t>
                      </w:r>
                      <w:r>
                        <w:rPr>
                          <w:rFonts w:ascii="Segoe UI"/>
                          <w:color w:val="231F20"/>
                          <w:spacing w:val="5"/>
                          <w:w w:val="105"/>
                          <w:sz w:val="10"/>
                        </w:rPr>
                        <w:t> </w:t>
                      </w:r>
                      <w:r>
                        <w:rPr>
                          <w:rFonts w:ascii="Segoe UI"/>
                          <w:color w:val="231F20"/>
                          <w:spacing w:val="-2"/>
                          <w:w w:val="105"/>
                          <w:sz w:val="10"/>
                        </w:rPr>
                        <w:t>SCHOOL</w:t>
                      </w:r>
                      <w:r>
                        <w:rPr>
                          <w:rFonts w:ascii="Segoe UI"/>
                          <w:sz w:val="10"/>
                        </w:rPr>
                      </w:r>
                    </w:p>
                  </w:txbxContent>
                </v:textbox>
                <w10:wrap type="none"/>
              </v:shape>
              <v:shape style="position:absolute;left:4044;top:3763;width:2042;height:107" type="#_x0000_t202" filled="false" stroked="false">
                <v:textbox inset="0,0,0,0">
                  <w:txbxContent>
                    <w:p>
                      <w:pPr>
                        <w:spacing w:line="106" w:lineRule="exact" w:before="0"/>
                        <w:ind w:left="0" w:right="0" w:firstLine="0"/>
                        <w:jc w:val="left"/>
                        <w:rPr>
                          <w:rFonts w:ascii="Segoe UI" w:hAnsi="Segoe UI" w:cs="Segoe UI" w:eastAsia="Segoe UI"/>
                          <w:sz w:val="10"/>
                          <w:szCs w:val="10"/>
                        </w:rPr>
                      </w:pPr>
                      <w:r>
                        <w:rPr>
                          <w:rFonts w:ascii="Segoe UI"/>
                          <w:color w:val="231F20"/>
                          <w:w w:val="106"/>
                          <w:sz w:val="10"/>
                        </w:rPr>
                      </w:r>
                      <w:r>
                        <w:rPr>
                          <w:rFonts w:ascii="Segoe UI"/>
                          <w:color w:val="231F20"/>
                          <w:w w:val="106"/>
                          <w:sz w:val="10"/>
                          <w:u w:val="thick" w:color="8497B0"/>
                        </w:rPr>
                        <w:t> </w:t>
                      </w:r>
                      <w:r>
                        <w:rPr>
                          <w:rFonts w:ascii="Segoe UI"/>
                          <w:color w:val="231F20"/>
                          <w:sz w:val="10"/>
                          <w:u w:val="thick" w:color="8497B0"/>
                        </w:rPr>
                        <w:t>   </w:t>
                      </w:r>
                      <w:r>
                        <w:rPr>
                          <w:rFonts w:ascii="Segoe UI"/>
                          <w:color w:val="231F20"/>
                          <w:spacing w:val="-4"/>
                          <w:sz w:val="10"/>
                          <w:u w:val="thick" w:color="8497B0"/>
                        </w:rPr>
                        <w:t> </w:t>
                      </w:r>
                      <w:r>
                        <w:rPr>
                          <w:rFonts w:ascii="Segoe UI"/>
                          <w:color w:val="231F20"/>
                          <w:spacing w:val="-4"/>
                          <w:sz w:val="10"/>
                        </w:rPr>
                      </w:r>
                      <w:r>
                        <w:rPr>
                          <w:rFonts w:ascii="Segoe UI"/>
                          <w:color w:val="231F20"/>
                          <w:sz w:val="10"/>
                        </w:rPr>
                        <w:t> </w:t>
                      </w:r>
                      <w:r>
                        <w:rPr>
                          <w:rFonts w:ascii="Segoe UI"/>
                          <w:color w:val="231F20"/>
                          <w:spacing w:val="-2"/>
                          <w:sz w:val="10"/>
                        </w:rPr>
                        <w:t> </w:t>
                      </w:r>
                      <w:r>
                        <w:rPr>
                          <w:rFonts w:ascii="Segoe UI"/>
                          <w:color w:val="231F20"/>
                          <w:w w:val="105"/>
                          <w:sz w:val="10"/>
                        </w:rPr>
                        <w:t>ABSTUDY</w:t>
                      </w:r>
                      <w:r>
                        <w:rPr>
                          <w:rFonts w:ascii="Segoe UI"/>
                          <w:color w:val="231F20"/>
                          <w:spacing w:val="3"/>
                          <w:w w:val="105"/>
                          <w:sz w:val="10"/>
                        </w:rPr>
                        <w:t> </w:t>
                      </w:r>
                      <w:r>
                        <w:rPr>
                          <w:rFonts w:ascii="Segoe UI"/>
                          <w:color w:val="231F20"/>
                          <w:spacing w:val="-1"/>
                          <w:w w:val="105"/>
                          <w:sz w:val="10"/>
                        </w:rPr>
                        <w:t>PAID</w:t>
                      </w:r>
                      <w:r>
                        <w:rPr>
                          <w:rFonts w:ascii="Segoe UI"/>
                          <w:color w:val="231F20"/>
                          <w:spacing w:val="4"/>
                          <w:w w:val="105"/>
                          <w:sz w:val="10"/>
                        </w:rPr>
                        <w:t> </w:t>
                      </w:r>
                      <w:r>
                        <w:rPr>
                          <w:rFonts w:ascii="Segoe UI"/>
                          <w:color w:val="231F20"/>
                          <w:w w:val="105"/>
                          <w:sz w:val="10"/>
                        </w:rPr>
                        <w:t>TO</w:t>
                      </w:r>
                      <w:r>
                        <w:rPr>
                          <w:rFonts w:ascii="Segoe UI"/>
                          <w:color w:val="231F20"/>
                          <w:spacing w:val="4"/>
                          <w:w w:val="105"/>
                          <w:sz w:val="10"/>
                        </w:rPr>
                        <w:t> </w:t>
                      </w:r>
                      <w:r>
                        <w:rPr>
                          <w:rFonts w:ascii="Segoe UI"/>
                          <w:color w:val="231F20"/>
                          <w:spacing w:val="-1"/>
                          <w:w w:val="105"/>
                          <w:sz w:val="10"/>
                        </w:rPr>
                        <w:t>BOARDING</w:t>
                      </w:r>
                      <w:r>
                        <w:rPr>
                          <w:rFonts w:ascii="Segoe UI"/>
                          <w:color w:val="231F20"/>
                          <w:spacing w:val="5"/>
                          <w:w w:val="105"/>
                          <w:sz w:val="10"/>
                        </w:rPr>
                        <w:t> </w:t>
                      </w:r>
                      <w:r>
                        <w:rPr>
                          <w:rFonts w:ascii="Segoe UI"/>
                          <w:color w:val="231F20"/>
                          <w:spacing w:val="-2"/>
                          <w:w w:val="105"/>
                          <w:sz w:val="10"/>
                        </w:rPr>
                        <w:t>SCHOOL</w:t>
                      </w:r>
                      <w:r>
                        <w:rPr>
                          <w:rFonts w:ascii="Segoe UI"/>
                          <w:sz w:val="10"/>
                        </w:rPr>
                      </w:r>
                    </w:p>
                  </w:txbxContent>
                </v:textbox>
                <w10:wrap type="none"/>
              </v:shape>
              <v:shape style="position:absolute;left:7389;top:3820;width:1073;height:485" type="#_x0000_t202" filled="false" stroked="false">
                <v:textbox inset="0,0,0,0">
                  <w:txbxContent>
                    <w:p>
                      <w:pPr>
                        <w:spacing w:line="122" w:lineRule="exact" w:before="0"/>
                        <w:ind w:left="0" w:right="0" w:firstLine="0"/>
                        <w:jc w:val="both"/>
                        <w:rPr>
                          <w:rFonts w:ascii="Segoe UI" w:hAnsi="Segoe UI" w:cs="Segoe UI" w:eastAsia="Segoe UI"/>
                          <w:sz w:val="10"/>
                          <w:szCs w:val="10"/>
                        </w:rPr>
                      </w:pPr>
                      <w:r>
                        <w:rPr>
                          <w:rFonts w:ascii="Segoe UI"/>
                          <w:b/>
                          <w:color w:val="231F20"/>
                          <w:spacing w:val="-1"/>
                          <w:w w:val="105"/>
                          <w:sz w:val="10"/>
                        </w:rPr>
                        <w:t>NEW</w:t>
                      </w:r>
                      <w:r>
                        <w:rPr>
                          <w:rFonts w:ascii="Segoe UI"/>
                          <w:b/>
                          <w:color w:val="231F20"/>
                          <w:spacing w:val="4"/>
                          <w:w w:val="105"/>
                          <w:sz w:val="10"/>
                        </w:rPr>
                        <w:t> </w:t>
                      </w:r>
                      <w:r>
                        <w:rPr>
                          <w:rFonts w:ascii="Segoe UI"/>
                          <w:b/>
                          <w:color w:val="231F20"/>
                          <w:spacing w:val="-1"/>
                          <w:w w:val="105"/>
                          <w:sz w:val="10"/>
                        </w:rPr>
                        <w:t>RULES</w:t>
                      </w:r>
                      <w:r>
                        <w:rPr>
                          <w:rFonts w:ascii="Segoe UI"/>
                          <w:sz w:val="10"/>
                        </w:rPr>
                      </w:r>
                    </w:p>
                    <w:p>
                      <w:pPr>
                        <w:spacing w:line="212" w:lineRule="auto" w:before="5"/>
                        <w:ind w:left="0" w:right="0" w:firstLine="0"/>
                        <w:jc w:val="both"/>
                        <w:rPr>
                          <w:rFonts w:ascii="Segoe UI" w:hAnsi="Segoe UI" w:cs="Segoe UI" w:eastAsia="Segoe UI"/>
                          <w:sz w:val="10"/>
                          <w:szCs w:val="10"/>
                        </w:rPr>
                      </w:pPr>
                      <w:r>
                        <w:rPr>
                          <w:rFonts w:ascii="Segoe UI"/>
                          <w:color w:val="231F20"/>
                          <w:w w:val="105"/>
                          <w:sz w:val="10"/>
                        </w:rPr>
                        <w:t>Point</w:t>
                      </w:r>
                      <w:r>
                        <w:rPr>
                          <w:rFonts w:ascii="Segoe UI"/>
                          <w:color w:val="231F20"/>
                          <w:spacing w:val="2"/>
                          <w:w w:val="105"/>
                          <w:sz w:val="10"/>
                        </w:rPr>
                        <w:t> </w:t>
                      </w:r>
                      <w:r>
                        <w:rPr>
                          <w:rFonts w:ascii="Segoe UI"/>
                          <w:color w:val="231F20"/>
                          <w:w w:val="105"/>
                          <w:sz w:val="10"/>
                        </w:rPr>
                        <w:t>at</w:t>
                      </w:r>
                      <w:r>
                        <w:rPr>
                          <w:rFonts w:ascii="Segoe UI"/>
                          <w:color w:val="231F20"/>
                          <w:spacing w:val="2"/>
                          <w:w w:val="105"/>
                          <w:sz w:val="10"/>
                        </w:rPr>
                        <w:t> </w:t>
                      </w:r>
                      <w:r>
                        <w:rPr>
                          <w:rFonts w:ascii="Segoe UI"/>
                          <w:color w:val="231F20"/>
                          <w:spacing w:val="-1"/>
                          <w:w w:val="105"/>
                          <w:sz w:val="10"/>
                        </w:rPr>
                        <w:t>which</w:t>
                      </w:r>
                      <w:r>
                        <w:rPr>
                          <w:rFonts w:ascii="Segoe UI"/>
                          <w:color w:val="231F20"/>
                          <w:spacing w:val="3"/>
                          <w:w w:val="105"/>
                          <w:sz w:val="10"/>
                        </w:rPr>
                        <w:t> </w:t>
                      </w:r>
                      <w:r>
                        <w:rPr>
                          <w:rFonts w:ascii="Segoe UI"/>
                          <w:color w:val="231F20"/>
                          <w:spacing w:val="-1"/>
                          <w:w w:val="105"/>
                          <w:sz w:val="10"/>
                        </w:rPr>
                        <w:t>parental</w:t>
                      </w:r>
                      <w:r>
                        <w:rPr>
                          <w:rFonts w:ascii="Segoe UI"/>
                          <w:color w:val="231F20"/>
                          <w:spacing w:val="24"/>
                          <w:w w:val="106"/>
                          <w:sz w:val="10"/>
                        </w:rPr>
                        <w:t> </w:t>
                      </w:r>
                      <w:r>
                        <w:rPr>
                          <w:rFonts w:ascii="Segoe UI"/>
                          <w:color w:val="231F20"/>
                          <w:w w:val="105"/>
                          <w:sz w:val="10"/>
                        </w:rPr>
                        <w:t>income</w:t>
                      </w:r>
                      <w:r>
                        <w:rPr>
                          <w:rFonts w:ascii="Segoe UI"/>
                          <w:color w:val="231F20"/>
                          <w:spacing w:val="2"/>
                          <w:w w:val="105"/>
                          <w:sz w:val="10"/>
                        </w:rPr>
                        <w:t> </w:t>
                      </w:r>
                      <w:r>
                        <w:rPr>
                          <w:rFonts w:ascii="Segoe UI"/>
                          <w:color w:val="231F20"/>
                          <w:w w:val="105"/>
                          <w:sz w:val="10"/>
                        </w:rPr>
                        <w:t>reduces</w:t>
                      </w:r>
                      <w:r>
                        <w:rPr>
                          <w:rFonts w:ascii="Segoe UI"/>
                          <w:color w:val="231F20"/>
                          <w:spacing w:val="3"/>
                          <w:w w:val="105"/>
                          <w:sz w:val="10"/>
                        </w:rPr>
                        <w:t> </w:t>
                      </w:r>
                      <w:r>
                        <w:rPr>
                          <w:rFonts w:ascii="Segoe UI"/>
                          <w:color w:val="231F20"/>
                          <w:w w:val="105"/>
                          <w:sz w:val="10"/>
                        </w:rPr>
                        <w:t>Living</w:t>
                      </w:r>
                      <w:r>
                        <w:rPr>
                          <w:rFonts w:ascii="Segoe UI"/>
                          <w:color w:val="231F20"/>
                          <w:w w:val="106"/>
                          <w:sz w:val="10"/>
                        </w:rPr>
                        <w:t> </w:t>
                      </w:r>
                      <w:r>
                        <w:rPr>
                          <w:rFonts w:ascii="Segoe UI"/>
                          <w:color w:val="231F20"/>
                          <w:w w:val="105"/>
                          <w:sz w:val="10"/>
                        </w:rPr>
                        <w:t>Allowance</w:t>
                      </w:r>
                      <w:r>
                        <w:rPr>
                          <w:rFonts w:ascii="Segoe UI"/>
                          <w:color w:val="231F20"/>
                          <w:spacing w:val="2"/>
                          <w:w w:val="105"/>
                          <w:sz w:val="10"/>
                        </w:rPr>
                        <w:t> </w:t>
                      </w:r>
                      <w:r>
                        <w:rPr>
                          <w:rFonts w:ascii="Segoe UI"/>
                          <w:color w:val="231F20"/>
                          <w:w w:val="105"/>
                          <w:sz w:val="10"/>
                        </w:rPr>
                        <w:t>to</w:t>
                      </w:r>
                      <w:r>
                        <w:rPr>
                          <w:rFonts w:ascii="Segoe UI"/>
                          <w:color w:val="231F20"/>
                          <w:spacing w:val="3"/>
                          <w:w w:val="105"/>
                          <w:sz w:val="10"/>
                        </w:rPr>
                        <w:t> </w:t>
                      </w:r>
                      <w:r>
                        <w:rPr>
                          <w:rFonts w:ascii="Segoe UI"/>
                          <w:color w:val="231F20"/>
                          <w:w w:val="105"/>
                          <w:sz w:val="10"/>
                        </w:rPr>
                        <w:t>$0</w:t>
                      </w:r>
                      <w:r>
                        <w:rPr>
                          <w:rFonts w:ascii="Segoe UI"/>
                          <w:sz w:val="10"/>
                        </w:rPr>
                      </w:r>
                    </w:p>
                  </w:txbxContent>
                </v:textbox>
                <w10:wrap type="none"/>
              </v:shape>
            </v:group>
          </v:group>
        </w:pict>
      </w:r>
      <w:r>
        <w:rPr>
          <w:rFonts w:ascii="Segoe UI" w:hAnsi="Segoe UI" w:cs="Segoe UI" w:eastAsia="Segoe UI"/>
          <w:sz w:val="20"/>
          <w:szCs w:val="20"/>
        </w:rPr>
      </w:r>
    </w:p>
    <w:p>
      <w:pPr>
        <w:spacing w:after="0" w:line="200" w:lineRule="atLeast"/>
        <w:rPr>
          <w:rFonts w:ascii="Segoe UI" w:hAnsi="Segoe UI" w:cs="Segoe UI" w:eastAsia="Segoe UI"/>
          <w:sz w:val="20"/>
          <w:szCs w:val="20"/>
        </w:rPr>
        <w:sectPr>
          <w:type w:val="continuous"/>
          <w:pgSz w:w="11910" w:h="16840"/>
          <w:pgMar w:top="1580" w:bottom="280" w:left="1300" w:right="1600"/>
        </w:sectPr>
      </w:pPr>
    </w:p>
    <w:p>
      <w:pPr>
        <w:spacing w:line="240" w:lineRule="auto" w:before="0"/>
        <w:rPr>
          <w:rFonts w:ascii="Segoe UI" w:hAnsi="Segoe UI" w:cs="Segoe UI" w:eastAsia="Segoe UI"/>
          <w:sz w:val="20"/>
          <w:szCs w:val="20"/>
        </w:rPr>
      </w:pPr>
    </w:p>
    <w:p>
      <w:pPr>
        <w:spacing w:line="240" w:lineRule="auto" w:before="8"/>
        <w:rPr>
          <w:rFonts w:ascii="Segoe UI" w:hAnsi="Segoe UI" w:cs="Segoe UI" w:eastAsia="Segoe UI"/>
          <w:sz w:val="21"/>
          <w:szCs w:val="21"/>
        </w:rPr>
      </w:pPr>
    </w:p>
    <w:p>
      <w:pPr>
        <w:spacing w:after="0" w:line="240" w:lineRule="auto"/>
        <w:rPr>
          <w:rFonts w:ascii="Segoe UI" w:hAnsi="Segoe UI" w:cs="Segoe UI" w:eastAsia="Segoe UI"/>
          <w:sz w:val="21"/>
          <w:szCs w:val="21"/>
        </w:rPr>
        <w:sectPr>
          <w:pgSz w:w="11910" w:h="16840"/>
          <w:pgMar w:header="0" w:footer="691" w:top="1580" w:bottom="880" w:left="1600" w:right="1260"/>
        </w:sectPr>
      </w:pPr>
    </w:p>
    <w:p>
      <w:pPr>
        <w:pStyle w:val="BodyText"/>
        <w:spacing w:line="250" w:lineRule="exact" w:before="62"/>
        <w:ind w:left="100" w:right="0"/>
        <w:jc w:val="left"/>
      </w:pPr>
      <w:r>
        <w:rPr>
          <w:color w:val="231F20"/>
        </w:rPr>
        <w:t>Each</w:t>
      </w:r>
      <w:r>
        <w:rPr>
          <w:color w:val="231F20"/>
          <w:spacing w:val="-7"/>
        </w:rPr>
        <w:t> </w:t>
      </w:r>
      <w:r>
        <w:rPr>
          <w:color w:val="231F20"/>
        </w:rPr>
        <w:t>year</w:t>
      </w:r>
      <w:r>
        <w:rPr>
          <w:color w:val="231F20"/>
          <w:spacing w:val="-6"/>
        </w:rPr>
        <w:t> </w:t>
      </w:r>
      <w:r>
        <w:rPr>
          <w:color w:val="231F20"/>
          <w:spacing w:val="-1"/>
        </w:rPr>
        <w:t>in</w:t>
      </w:r>
      <w:r>
        <w:rPr>
          <w:color w:val="231F20"/>
          <w:spacing w:val="-6"/>
        </w:rPr>
        <w:t> </w:t>
      </w:r>
      <w:r>
        <w:rPr>
          <w:color w:val="231F20"/>
          <w:spacing w:val="-1"/>
        </w:rPr>
        <w:t>December</w:t>
      </w:r>
      <w:r>
        <w:rPr>
          <w:color w:val="231F20"/>
          <w:spacing w:val="-7"/>
        </w:rPr>
        <w:t> </w:t>
      </w:r>
      <w:r>
        <w:rPr>
          <w:color w:val="231F20"/>
        </w:rPr>
        <w:t>boarding</w:t>
      </w:r>
      <w:r>
        <w:rPr>
          <w:color w:val="231F20"/>
          <w:spacing w:val="-6"/>
        </w:rPr>
        <w:t> </w:t>
      </w:r>
      <w:r>
        <w:rPr>
          <w:color w:val="231F20"/>
        </w:rPr>
        <w:t>providers</w:t>
      </w:r>
      <w:r>
        <w:rPr>
          <w:color w:val="231F20"/>
          <w:spacing w:val="-7"/>
        </w:rPr>
        <w:t> </w:t>
      </w:r>
      <w:r>
        <w:rPr>
          <w:color w:val="231F20"/>
        </w:rPr>
        <w:t>are</w:t>
      </w:r>
      <w:r>
        <w:rPr>
          <w:color w:val="231F20"/>
          <w:spacing w:val="23"/>
          <w:w w:val="99"/>
        </w:rPr>
        <w:t> </w:t>
      </w:r>
      <w:r>
        <w:rPr>
          <w:color w:val="231F20"/>
        </w:rPr>
        <w:t>required</w:t>
      </w:r>
      <w:r>
        <w:rPr>
          <w:color w:val="231F20"/>
          <w:spacing w:val="-6"/>
        </w:rPr>
        <w:t> </w:t>
      </w:r>
      <w:r>
        <w:rPr>
          <w:color w:val="231F20"/>
        </w:rPr>
        <w:t>to</w:t>
      </w:r>
      <w:r>
        <w:rPr>
          <w:color w:val="231F20"/>
          <w:spacing w:val="-4"/>
        </w:rPr>
        <w:t> </w:t>
      </w:r>
      <w:r>
        <w:rPr>
          <w:color w:val="231F20"/>
        </w:rPr>
        <w:t>report</w:t>
      </w:r>
      <w:r>
        <w:rPr>
          <w:color w:val="231F20"/>
          <w:spacing w:val="-6"/>
        </w:rPr>
        <w:t> </w:t>
      </w:r>
      <w:r>
        <w:rPr>
          <w:color w:val="231F20"/>
        </w:rPr>
        <w:t>the</w:t>
      </w:r>
      <w:r>
        <w:rPr>
          <w:color w:val="231F20"/>
          <w:spacing w:val="-5"/>
        </w:rPr>
        <w:t> </w:t>
      </w:r>
      <w:r>
        <w:rPr>
          <w:color w:val="231F20"/>
          <w:spacing w:val="-1"/>
        </w:rPr>
        <w:t>level</w:t>
      </w:r>
      <w:r>
        <w:rPr>
          <w:color w:val="231F20"/>
          <w:spacing w:val="-5"/>
        </w:rPr>
        <w:t> </w:t>
      </w:r>
      <w:r>
        <w:rPr>
          <w:color w:val="231F20"/>
        </w:rPr>
        <w:t>of</w:t>
      </w:r>
      <w:r>
        <w:rPr>
          <w:color w:val="231F20"/>
          <w:spacing w:val="-5"/>
        </w:rPr>
        <w:t> </w:t>
      </w:r>
      <w:r>
        <w:rPr>
          <w:color w:val="231F20"/>
        </w:rPr>
        <w:t>their</w:t>
      </w:r>
      <w:r>
        <w:rPr>
          <w:color w:val="231F20"/>
          <w:spacing w:val="-5"/>
        </w:rPr>
        <w:t> </w:t>
      </w:r>
      <w:r>
        <w:rPr>
          <w:color w:val="231F20"/>
        </w:rPr>
        <w:t>boarding</w:t>
      </w:r>
      <w:r>
        <w:rPr>
          <w:color w:val="231F20"/>
          <w:spacing w:val="21"/>
          <w:w w:val="99"/>
        </w:rPr>
        <w:t> </w:t>
      </w:r>
      <w:r>
        <w:rPr>
          <w:color w:val="231F20"/>
        </w:rPr>
        <w:t>and</w:t>
      </w:r>
      <w:r>
        <w:rPr>
          <w:color w:val="231F20"/>
          <w:spacing w:val="-6"/>
        </w:rPr>
        <w:t> </w:t>
      </w:r>
      <w:r>
        <w:rPr>
          <w:color w:val="231F20"/>
        </w:rPr>
        <w:t>tuition</w:t>
      </w:r>
      <w:r>
        <w:rPr>
          <w:color w:val="231F20"/>
          <w:spacing w:val="-6"/>
        </w:rPr>
        <w:t> </w:t>
      </w:r>
      <w:r>
        <w:rPr>
          <w:color w:val="231F20"/>
        </w:rPr>
        <w:t>fees</w:t>
      </w:r>
      <w:r>
        <w:rPr>
          <w:color w:val="231F20"/>
          <w:spacing w:val="-6"/>
        </w:rPr>
        <w:t> </w:t>
      </w:r>
      <w:r>
        <w:rPr>
          <w:color w:val="231F20"/>
        </w:rPr>
        <w:t>for</w:t>
      </w:r>
      <w:r>
        <w:rPr>
          <w:color w:val="231F20"/>
          <w:spacing w:val="-5"/>
        </w:rPr>
        <w:t> </w:t>
      </w:r>
      <w:r>
        <w:rPr>
          <w:color w:val="231F20"/>
        </w:rPr>
        <w:t>the</w:t>
      </w:r>
      <w:r>
        <w:rPr>
          <w:color w:val="231F20"/>
          <w:spacing w:val="-6"/>
        </w:rPr>
        <w:t> </w:t>
      </w:r>
      <w:r>
        <w:rPr>
          <w:color w:val="231F20"/>
        </w:rPr>
        <w:t>following</w:t>
      </w:r>
      <w:r>
        <w:rPr>
          <w:color w:val="231F20"/>
          <w:spacing w:val="-5"/>
        </w:rPr>
        <w:t> </w:t>
      </w:r>
      <w:r>
        <w:rPr>
          <w:color w:val="231F20"/>
        </w:rPr>
        <w:t>calendar</w:t>
      </w:r>
      <w:r>
        <w:rPr>
          <w:color w:val="231F20"/>
          <w:spacing w:val="-5"/>
        </w:rPr>
        <w:t> </w:t>
      </w:r>
      <w:r>
        <w:rPr>
          <w:color w:val="231F20"/>
        </w:rPr>
        <w:t>year</w:t>
      </w:r>
      <w:r>
        <w:rPr>
          <w:color w:val="231F20"/>
          <w:w w:val="99"/>
        </w:rPr>
        <w:t> </w:t>
      </w:r>
      <w:r>
        <w:rPr>
          <w:color w:val="231F20"/>
        </w:rPr>
        <w:t>to</w:t>
      </w:r>
      <w:r>
        <w:rPr>
          <w:color w:val="231F20"/>
          <w:spacing w:val="-5"/>
        </w:rPr>
        <w:t> </w:t>
      </w:r>
      <w:r>
        <w:rPr>
          <w:color w:val="231F20"/>
        </w:rPr>
        <w:t>the</w:t>
      </w:r>
      <w:r>
        <w:rPr>
          <w:color w:val="231F20"/>
          <w:spacing w:val="-5"/>
        </w:rPr>
        <w:t> </w:t>
      </w:r>
      <w:r>
        <w:rPr>
          <w:color w:val="231F20"/>
          <w:spacing w:val="-1"/>
        </w:rPr>
        <w:t>Department</w:t>
      </w:r>
      <w:r>
        <w:rPr>
          <w:color w:val="231F20"/>
          <w:spacing w:val="-5"/>
        </w:rPr>
        <w:t> </w:t>
      </w:r>
      <w:r>
        <w:rPr>
          <w:color w:val="231F20"/>
        </w:rPr>
        <w:t>of</w:t>
      </w:r>
      <w:r>
        <w:rPr>
          <w:color w:val="231F20"/>
          <w:spacing w:val="-4"/>
        </w:rPr>
        <w:t> </w:t>
      </w:r>
      <w:r>
        <w:rPr>
          <w:color w:val="231F20"/>
        </w:rPr>
        <w:t>Human</w:t>
      </w:r>
      <w:r>
        <w:rPr>
          <w:color w:val="231F20"/>
          <w:spacing w:val="-6"/>
        </w:rPr>
        <w:t> </w:t>
      </w:r>
      <w:r>
        <w:rPr>
          <w:color w:val="231F20"/>
          <w:spacing w:val="-1"/>
        </w:rPr>
        <w:t>Services.</w:t>
      </w:r>
      <w:r>
        <w:rPr>
          <w:color w:val="231F20"/>
          <w:spacing w:val="-4"/>
        </w:rPr>
        <w:t> </w:t>
      </w:r>
      <w:r>
        <w:rPr>
          <w:color w:val="231F20"/>
        </w:rPr>
        <w:t>The</w:t>
      </w:r>
      <w:r>
        <w:rPr>
          <w:color w:val="231F20"/>
          <w:spacing w:val="23"/>
          <w:w w:val="99"/>
        </w:rPr>
        <w:t> </w:t>
      </w:r>
      <w:r>
        <w:rPr>
          <w:color w:val="231F20"/>
        </w:rPr>
        <w:t>ABSTUDY</w:t>
      </w:r>
      <w:r>
        <w:rPr>
          <w:color w:val="231F20"/>
          <w:spacing w:val="-5"/>
        </w:rPr>
        <w:t> </w:t>
      </w:r>
      <w:r>
        <w:rPr>
          <w:color w:val="231F20"/>
        </w:rPr>
        <w:t>payment</w:t>
      </w:r>
      <w:r>
        <w:rPr>
          <w:color w:val="231F20"/>
          <w:spacing w:val="-4"/>
        </w:rPr>
        <w:t> </w:t>
      </w:r>
      <w:r>
        <w:rPr>
          <w:color w:val="231F20"/>
        </w:rPr>
        <w:t>to</w:t>
      </w:r>
      <w:r>
        <w:rPr>
          <w:color w:val="231F20"/>
          <w:spacing w:val="-4"/>
        </w:rPr>
        <w:t> </w:t>
      </w:r>
      <w:r>
        <w:rPr>
          <w:color w:val="231F20"/>
        </w:rPr>
        <w:t>a</w:t>
      </w:r>
      <w:r>
        <w:rPr>
          <w:color w:val="231F20"/>
          <w:spacing w:val="-4"/>
        </w:rPr>
        <w:t> </w:t>
      </w:r>
      <w:r>
        <w:rPr>
          <w:color w:val="231F20"/>
        </w:rPr>
        <w:t>boarding</w:t>
      </w:r>
      <w:r>
        <w:rPr>
          <w:color w:val="231F20"/>
          <w:spacing w:val="-4"/>
        </w:rPr>
        <w:t> </w:t>
      </w:r>
      <w:r>
        <w:rPr>
          <w:color w:val="231F20"/>
          <w:spacing w:val="-1"/>
        </w:rPr>
        <w:t>school</w:t>
      </w:r>
      <w:r>
        <w:rPr>
          <w:color w:val="231F20"/>
          <w:spacing w:val="-4"/>
        </w:rPr>
        <w:t> </w:t>
      </w:r>
      <w:r>
        <w:rPr>
          <w:color w:val="231F20"/>
        </w:rPr>
        <w:t>for</w:t>
      </w:r>
      <w:r>
        <w:rPr/>
      </w:r>
    </w:p>
    <w:p>
      <w:pPr>
        <w:pStyle w:val="BodyText"/>
        <w:spacing w:line="250" w:lineRule="exact"/>
        <w:ind w:left="100" w:right="1"/>
        <w:jc w:val="left"/>
      </w:pPr>
      <w:r>
        <w:rPr>
          <w:color w:val="231F20"/>
        </w:rPr>
        <w:t>a</w:t>
      </w:r>
      <w:r>
        <w:rPr>
          <w:color w:val="231F20"/>
          <w:spacing w:val="-7"/>
        </w:rPr>
        <w:t> </w:t>
      </w:r>
      <w:r>
        <w:rPr>
          <w:color w:val="231F20"/>
          <w:spacing w:val="-1"/>
        </w:rPr>
        <w:t>student</w:t>
      </w:r>
      <w:r>
        <w:rPr>
          <w:color w:val="231F20"/>
          <w:spacing w:val="-6"/>
        </w:rPr>
        <w:t> </w:t>
      </w:r>
      <w:r>
        <w:rPr>
          <w:color w:val="231F20"/>
        </w:rPr>
        <w:t>cannot</w:t>
      </w:r>
      <w:r>
        <w:rPr>
          <w:color w:val="231F20"/>
          <w:spacing w:val="-7"/>
        </w:rPr>
        <w:t> </w:t>
      </w:r>
      <w:r>
        <w:rPr>
          <w:color w:val="231F20"/>
        </w:rPr>
        <w:t>exceed</w:t>
      </w:r>
      <w:r>
        <w:rPr>
          <w:color w:val="231F20"/>
          <w:spacing w:val="-7"/>
        </w:rPr>
        <w:t> </w:t>
      </w:r>
      <w:r>
        <w:rPr>
          <w:color w:val="231F20"/>
        </w:rPr>
        <w:t>the</w:t>
      </w:r>
      <w:r>
        <w:rPr>
          <w:color w:val="231F20"/>
          <w:spacing w:val="-7"/>
        </w:rPr>
        <w:t> </w:t>
      </w:r>
      <w:r>
        <w:rPr>
          <w:color w:val="231F20"/>
        </w:rPr>
        <w:t>actual</w:t>
      </w:r>
      <w:r>
        <w:rPr>
          <w:color w:val="231F20"/>
          <w:spacing w:val="-7"/>
        </w:rPr>
        <w:t> </w:t>
      </w:r>
      <w:r>
        <w:rPr>
          <w:color w:val="231F20"/>
        </w:rPr>
        <w:t>boarding</w:t>
      </w:r>
      <w:r>
        <w:rPr>
          <w:color w:val="231F20"/>
          <w:spacing w:val="22"/>
          <w:w w:val="99"/>
        </w:rPr>
        <w:t> </w:t>
      </w:r>
      <w:r>
        <w:rPr>
          <w:color w:val="231F20"/>
        </w:rPr>
        <w:t>and</w:t>
      </w:r>
      <w:r>
        <w:rPr>
          <w:color w:val="231F20"/>
          <w:spacing w:val="-6"/>
        </w:rPr>
        <w:t> </w:t>
      </w:r>
      <w:r>
        <w:rPr>
          <w:color w:val="231F20"/>
        </w:rPr>
        <w:t>tuition</w:t>
      </w:r>
      <w:r>
        <w:rPr>
          <w:color w:val="231F20"/>
          <w:spacing w:val="-6"/>
        </w:rPr>
        <w:t> </w:t>
      </w:r>
      <w:r>
        <w:rPr>
          <w:color w:val="231F20"/>
        </w:rPr>
        <w:t>fees</w:t>
      </w:r>
      <w:r>
        <w:rPr>
          <w:color w:val="231F20"/>
          <w:spacing w:val="-6"/>
        </w:rPr>
        <w:t> </w:t>
      </w:r>
      <w:r>
        <w:rPr>
          <w:color w:val="231F20"/>
        </w:rPr>
        <w:t>charged</w:t>
      </w:r>
      <w:r>
        <w:rPr>
          <w:color w:val="231F20"/>
          <w:spacing w:val="-5"/>
        </w:rPr>
        <w:t> </w:t>
      </w:r>
      <w:r>
        <w:rPr>
          <w:color w:val="231F20"/>
        </w:rPr>
        <w:t>by</w:t>
      </w:r>
      <w:r>
        <w:rPr>
          <w:color w:val="231F20"/>
          <w:spacing w:val="-4"/>
        </w:rPr>
        <w:t> </w:t>
      </w:r>
      <w:r>
        <w:rPr>
          <w:color w:val="231F20"/>
        </w:rPr>
        <w:t>a</w:t>
      </w:r>
      <w:r>
        <w:rPr>
          <w:color w:val="231F20"/>
          <w:spacing w:val="-5"/>
        </w:rPr>
        <w:t> </w:t>
      </w:r>
      <w:r>
        <w:rPr>
          <w:color w:val="231F20"/>
        </w:rPr>
        <w:t>boarding</w:t>
      </w:r>
      <w:r>
        <w:rPr>
          <w:color w:val="231F20"/>
          <w:spacing w:val="-6"/>
        </w:rPr>
        <w:t> </w:t>
      </w:r>
      <w:r>
        <w:rPr>
          <w:color w:val="231F20"/>
        </w:rPr>
        <w:t>facility.</w:t>
      </w:r>
      <w:r>
        <w:rPr>
          <w:color w:val="231F20"/>
          <w:w w:val="99"/>
        </w:rPr>
        <w:t> </w:t>
      </w:r>
      <w:r>
        <w:rPr>
          <w:color w:val="231F20"/>
        </w:rPr>
        <w:t>A</w:t>
      </w:r>
      <w:r>
        <w:rPr>
          <w:color w:val="231F20"/>
          <w:spacing w:val="-4"/>
        </w:rPr>
        <w:t> </w:t>
      </w:r>
      <w:r>
        <w:rPr>
          <w:color w:val="231F20"/>
        </w:rPr>
        <w:t>boarding</w:t>
      </w:r>
      <w:r>
        <w:rPr>
          <w:color w:val="231F20"/>
          <w:spacing w:val="-4"/>
        </w:rPr>
        <w:t> </w:t>
      </w:r>
      <w:r>
        <w:rPr>
          <w:color w:val="231F20"/>
        </w:rPr>
        <w:t>facility</w:t>
      </w:r>
      <w:r>
        <w:rPr>
          <w:color w:val="231F20"/>
          <w:spacing w:val="-4"/>
        </w:rPr>
        <w:t> </w:t>
      </w:r>
      <w:r>
        <w:rPr>
          <w:color w:val="231F20"/>
          <w:spacing w:val="-1"/>
        </w:rPr>
        <w:t>is</w:t>
      </w:r>
      <w:r>
        <w:rPr>
          <w:color w:val="231F20"/>
          <w:spacing w:val="-4"/>
        </w:rPr>
        <w:t> </w:t>
      </w:r>
      <w:r>
        <w:rPr>
          <w:color w:val="231F20"/>
        </w:rPr>
        <w:t>also</w:t>
      </w:r>
      <w:r>
        <w:rPr>
          <w:color w:val="231F20"/>
          <w:spacing w:val="-4"/>
        </w:rPr>
        <w:t> </w:t>
      </w:r>
      <w:r>
        <w:rPr>
          <w:color w:val="231F20"/>
        </w:rPr>
        <w:t>not</w:t>
      </w:r>
      <w:r>
        <w:rPr>
          <w:color w:val="231F20"/>
          <w:spacing w:val="-3"/>
        </w:rPr>
        <w:t> </w:t>
      </w:r>
      <w:r>
        <w:rPr>
          <w:color w:val="231F20"/>
        </w:rPr>
        <w:t>permitted</w:t>
      </w:r>
      <w:r>
        <w:rPr>
          <w:color w:val="231F20"/>
          <w:spacing w:val="-4"/>
        </w:rPr>
        <w:t> </w:t>
      </w:r>
      <w:r>
        <w:rPr>
          <w:color w:val="231F20"/>
        </w:rPr>
        <w:t>to</w:t>
      </w:r>
      <w:r>
        <w:rPr>
          <w:color w:val="231F20"/>
          <w:spacing w:val="21"/>
          <w:w w:val="99"/>
        </w:rPr>
        <w:t> </w:t>
      </w:r>
      <w:r>
        <w:rPr>
          <w:rFonts w:ascii="Segoe UI"/>
          <w:color w:val="231F20"/>
        </w:rPr>
        <w:t>charge</w:t>
      </w:r>
      <w:r>
        <w:rPr>
          <w:rFonts w:ascii="Segoe UI"/>
          <w:color w:val="231F20"/>
          <w:spacing w:val="-2"/>
        </w:rPr>
        <w:t> </w:t>
      </w:r>
      <w:r>
        <w:rPr>
          <w:rFonts w:ascii="Segoe UI"/>
          <w:color w:val="231F20"/>
        </w:rPr>
        <w:t>differential</w:t>
      </w:r>
      <w:r>
        <w:rPr>
          <w:rFonts w:ascii="Segoe UI"/>
          <w:color w:val="231F20"/>
          <w:spacing w:val="-2"/>
        </w:rPr>
        <w:t> </w:t>
      </w:r>
      <w:r>
        <w:rPr>
          <w:rFonts w:ascii="Segoe UI"/>
          <w:color w:val="231F20"/>
        </w:rPr>
        <w:t>fees</w:t>
      </w:r>
      <w:r>
        <w:rPr>
          <w:rFonts w:ascii="Segoe UI"/>
          <w:color w:val="231F20"/>
          <w:spacing w:val="-2"/>
        </w:rPr>
        <w:t> </w:t>
      </w:r>
      <w:r>
        <w:rPr>
          <w:rFonts w:ascii="Segoe UI"/>
          <w:color w:val="231F20"/>
        </w:rPr>
        <w:t>for</w:t>
      </w:r>
      <w:r>
        <w:rPr>
          <w:rFonts w:ascii="Segoe UI"/>
          <w:color w:val="231F20"/>
          <w:spacing w:val="-2"/>
        </w:rPr>
        <w:t> </w:t>
      </w:r>
      <w:r>
        <w:rPr>
          <w:rFonts w:ascii="Segoe UI"/>
          <w:color w:val="231F20"/>
        </w:rPr>
        <w:t>ABSTUDY</w:t>
      </w:r>
      <w:r>
        <w:rPr>
          <w:rFonts w:ascii="Segoe UI"/>
          <w:color w:val="231F20"/>
          <w:spacing w:val="-2"/>
        </w:rPr>
        <w:t> </w:t>
      </w:r>
      <w:r>
        <w:rPr>
          <w:rFonts w:ascii="Segoe UI"/>
          <w:color w:val="231F20"/>
        </w:rPr>
        <w:t>recipients</w:t>
      </w:r>
      <w:r>
        <w:rPr>
          <w:rFonts w:ascii="Segoe UI"/>
          <w:color w:val="231F20"/>
        </w:rPr>
        <w:t> </w:t>
      </w:r>
      <w:r>
        <w:rPr>
          <w:color w:val="231F20"/>
        </w:rPr>
        <w:t>and</w:t>
      </w:r>
      <w:r>
        <w:rPr>
          <w:color w:val="231F20"/>
          <w:spacing w:val="-7"/>
        </w:rPr>
        <w:t> </w:t>
      </w:r>
      <w:r>
        <w:rPr>
          <w:color w:val="231F20"/>
        </w:rPr>
        <w:t>non</w:t>
      </w:r>
      <w:r>
        <w:rPr>
          <w:color w:val="231F20"/>
          <w:spacing w:val="-7"/>
        </w:rPr>
        <w:t> </w:t>
      </w:r>
      <w:r>
        <w:rPr>
          <w:color w:val="231F20"/>
        </w:rPr>
        <w:t>ABSTUDY</w:t>
      </w:r>
      <w:r>
        <w:rPr>
          <w:color w:val="231F20"/>
          <w:spacing w:val="-6"/>
        </w:rPr>
        <w:t> </w:t>
      </w:r>
      <w:r>
        <w:rPr>
          <w:color w:val="231F20"/>
        </w:rPr>
        <w:t>recipients.</w:t>
      </w:r>
      <w:r>
        <w:rPr>
          <w:color w:val="231F20"/>
          <w:spacing w:val="-8"/>
        </w:rPr>
        <w:t> </w:t>
      </w:r>
      <w:r>
        <w:rPr>
          <w:color w:val="231F20"/>
          <w:spacing w:val="-1"/>
        </w:rPr>
        <w:t>Department</w:t>
      </w:r>
      <w:r>
        <w:rPr>
          <w:color w:val="231F20"/>
          <w:spacing w:val="-6"/>
        </w:rPr>
        <w:t> </w:t>
      </w:r>
      <w:r>
        <w:rPr>
          <w:color w:val="231F20"/>
        </w:rPr>
        <w:t>of</w:t>
      </w:r>
      <w:r>
        <w:rPr>
          <w:color w:val="231F20"/>
          <w:spacing w:val="22"/>
          <w:w w:val="99"/>
        </w:rPr>
        <w:t> </w:t>
      </w:r>
      <w:r>
        <w:rPr>
          <w:color w:val="231F20"/>
        </w:rPr>
        <w:t>Human</w:t>
      </w:r>
      <w:r>
        <w:rPr>
          <w:color w:val="231F20"/>
          <w:spacing w:val="-7"/>
        </w:rPr>
        <w:t> </w:t>
      </w:r>
      <w:r>
        <w:rPr>
          <w:color w:val="231F20"/>
          <w:spacing w:val="-1"/>
        </w:rPr>
        <w:t>Services</w:t>
      </w:r>
      <w:r>
        <w:rPr>
          <w:color w:val="231F20"/>
          <w:spacing w:val="-5"/>
        </w:rPr>
        <w:t> </w:t>
      </w:r>
      <w:r>
        <w:rPr>
          <w:color w:val="231F20"/>
        </w:rPr>
        <w:t>data</w:t>
      </w:r>
      <w:r>
        <w:rPr>
          <w:color w:val="231F20"/>
          <w:spacing w:val="-6"/>
        </w:rPr>
        <w:t> </w:t>
      </w:r>
      <w:r>
        <w:rPr>
          <w:color w:val="231F20"/>
        </w:rPr>
        <w:t>reveals</w:t>
      </w:r>
      <w:r>
        <w:rPr>
          <w:color w:val="231F20"/>
          <w:spacing w:val="-6"/>
        </w:rPr>
        <w:t> </w:t>
      </w:r>
      <w:r>
        <w:rPr>
          <w:color w:val="231F20"/>
        </w:rPr>
        <w:t>that</w:t>
      </w:r>
      <w:r>
        <w:rPr>
          <w:color w:val="231F20"/>
          <w:spacing w:val="-6"/>
        </w:rPr>
        <w:t> </w:t>
      </w:r>
      <w:r>
        <w:rPr>
          <w:color w:val="231F20"/>
        </w:rPr>
        <w:t>the</w:t>
      </w:r>
      <w:r>
        <w:rPr>
          <w:color w:val="231F20"/>
          <w:spacing w:val="-6"/>
        </w:rPr>
        <w:t> </w:t>
      </w:r>
      <w:r>
        <w:rPr>
          <w:color w:val="231F20"/>
        </w:rPr>
        <w:t>declared</w:t>
      </w:r>
      <w:r>
        <w:rPr>
          <w:color w:val="231F20"/>
          <w:spacing w:val="22"/>
          <w:w w:val="99"/>
        </w:rPr>
        <w:t> </w:t>
      </w:r>
      <w:r>
        <w:rPr>
          <w:color w:val="231F20"/>
        </w:rPr>
        <w:t>full</w:t>
      </w:r>
      <w:r>
        <w:rPr>
          <w:color w:val="231F20"/>
          <w:spacing w:val="-7"/>
        </w:rPr>
        <w:t> </w:t>
      </w:r>
      <w:r>
        <w:rPr>
          <w:color w:val="231F20"/>
        </w:rPr>
        <w:t>time</w:t>
      </w:r>
      <w:r>
        <w:rPr>
          <w:color w:val="231F20"/>
          <w:spacing w:val="-6"/>
        </w:rPr>
        <w:t> </w:t>
      </w:r>
      <w:r>
        <w:rPr>
          <w:color w:val="231F20"/>
        </w:rPr>
        <w:t>boarding</w:t>
      </w:r>
      <w:r>
        <w:rPr>
          <w:color w:val="231F20"/>
          <w:spacing w:val="-6"/>
        </w:rPr>
        <w:t> </w:t>
      </w:r>
      <w:r>
        <w:rPr>
          <w:color w:val="231F20"/>
        </w:rPr>
        <w:t>fee</w:t>
      </w:r>
      <w:r>
        <w:rPr>
          <w:color w:val="231F20"/>
          <w:spacing w:val="-5"/>
        </w:rPr>
        <w:t> </w:t>
      </w:r>
      <w:r>
        <w:rPr>
          <w:color w:val="231F20"/>
        </w:rPr>
        <w:t>(excluding</w:t>
      </w:r>
      <w:r>
        <w:rPr>
          <w:color w:val="231F20"/>
          <w:spacing w:val="-7"/>
        </w:rPr>
        <w:t> </w:t>
      </w:r>
      <w:r>
        <w:rPr>
          <w:color w:val="231F20"/>
        </w:rPr>
        <w:t>tuition)</w:t>
      </w:r>
      <w:r>
        <w:rPr>
          <w:color w:val="231F20"/>
          <w:w w:val="99"/>
        </w:rPr>
        <w:t> </w:t>
      </w:r>
      <w:r>
        <w:rPr>
          <w:color w:val="231F20"/>
        </w:rPr>
        <w:t>charged</w:t>
      </w:r>
      <w:r>
        <w:rPr>
          <w:color w:val="231F20"/>
          <w:spacing w:val="-7"/>
        </w:rPr>
        <w:t> </w:t>
      </w:r>
      <w:r>
        <w:rPr>
          <w:color w:val="231F20"/>
        </w:rPr>
        <w:t>by</w:t>
      </w:r>
      <w:r>
        <w:rPr>
          <w:color w:val="231F20"/>
          <w:spacing w:val="-7"/>
        </w:rPr>
        <w:t> </w:t>
      </w:r>
      <w:r>
        <w:rPr>
          <w:color w:val="231F20"/>
        </w:rPr>
        <w:t>all</w:t>
      </w:r>
      <w:r>
        <w:rPr>
          <w:color w:val="231F20"/>
          <w:spacing w:val="-8"/>
        </w:rPr>
        <w:t> </w:t>
      </w:r>
      <w:r>
        <w:rPr>
          <w:color w:val="231F20"/>
        </w:rPr>
        <w:t>boarding</w:t>
      </w:r>
      <w:r>
        <w:rPr>
          <w:color w:val="231F20"/>
          <w:spacing w:val="-7"/>
        </w:rPr>
        <w:t> </w:t>
      </w:r>
      <w:r>
        <w:rPr>
          <w:color w:val="231F20"/>
        </w:rPr>
        <w:t>providers</w:t>
      </w:r>
      <w:r>
        <w:rPr>
          <w:color w:val="231F20"/>
          <w:spacing w:val="-8"/>
        </w:rPr>
        <w:t> </w:t>
      </w:r>
      <w:r>
        <w:rPr>
          <w:color w:val="231F20"/>
        </w:rPr>
        <w:t>receiving</w:t>
      </w:r>
      <w:r>
        <w:rPr>
          <w:color w:val="231F20"/>
          <w:w w:val="99"/>
        </w:rPr>
        <w:t> </w:t>
      </w:r>
      <w:r>
        <w:rPr>
          <w:color w:val="231F20"/>
        </w:rPr>
        <w:t>ABSTUDY</w:t>
      </w:r>
      <w:r>
        <w:rPr>
          <w:color w:val="231F20"/>
          <w:spacing w:val="-5"/>
        </w:rPr>
        <w:t> </w:t>
      </w:r>
      <w:r>
        <w:rPr>
          <w:color w:val="231F20"/>
        </w:rPr>
        <w:t>payments</w:t>
      </w:r>
      <w:r>
        <w:rPr>
          <w:color w:val="231F20"/>
          <w:spacing w:val="-5"/>
        </w:rPr>
        <w:t> </w:t>
      </w:r>
      <w:r>
        <w:rPr>
          <w:color w:val="231F20"/>
          <w:spacing w:val="-1"/>
        </w:rPr>
        <w:t>in</w:t>
      </w:r>
      <w:r>
        <w:rPr>
          <w:color w:val="231F20"/>
          <w:spacing w:val="-4"/>
        </w:rPr>
        <w:t> </w:t>
      </w:r>
      <w:r>
        <w:rPr>
          <w:color w:val="231F20"/>
          <w:spacing w:val="-1"/>
        </w:rPr>
        <w:t>2018</w:t>
      </w:r>
      <w:r>
        <w:rPr>
          <w:color w:val="231F20"/>
          <w:spacing w:val="-4"/>
        </w:rPr>
        <w:t> </w:t>
      </w:r>
      <w:r>
        <w:rPr>
          <w:color w:val="231F20"/>
        </w:rPr>
        <w:t>was</w:t>
      </w:r>
      <w:r>
        <w:rPr>
          <w:color w:val="231F20"/>
          <w:spacing w:val="-5"/>
        </w:rPr>
        <w:t> </w:t>
      </w:r>
      <w:r>
        <w:rPr>
          <w:color w:val="231F20"/>
          <w:spacing w:val="-1"/>
        </w:rPr>
        <w:t>$21,227,</w:t>
      </w:r>
      <w:r>
        <w:rPr>
          <w:color w:val="231F20"/>
          <w:spacing w:val="22"/>
          <w:w w:val="99"/>
        </w:rPr>
        <w:t> </w:t>
      </w:r>
      <w:r>
        <w:rPr>
          <w:color w:val="231F20"/>
        </w:rPr>
        <w:t>exceeding</w:t>
      </w:r>
      <w:r>
        <w:rPr>
          <w:color w:val="231F20"/>
          <w:spacing w:val="-6"/>
        </w:rPr>
        <w:t> </w:t>
      </w:r>
      <w:r>
        <w:rPr>
          <w:color w:val="231F20"/>
        </w:rPr>
        <w:t>the</w:t>
      </w:r>
      <w:r>
        <w:rPr>
          <w:color w:val="231F20"/>
          <w:spacing w:val="-6"/>
        </w:rPr>
        <w:t> </w:t>
      </w:r>
      <w:r>
        <w:rPr>
          <w:color w:val="231F20"/>
          <w:spacing w:val="-1"/>
        </w:rPr>
        <w:t>maximum</w:t>
      </w:r>
      <w:r>
        <w:rPr>
          <w:color w:val="231F20"/>
          <w:spacing w:val="-5"/>
        </w:rPr>
        <w:t> </w:t>
      </w:r>
      <w:r>
        <w:rPr>
          <w:color w:val="231F20"/>
        </w:rPr>
        <w:t>ABSTUDY</w:t>
      </w:r>
      <w:r>
        <w:rPr>
          <w:color w:val="231F20"/>
          <w:spacing w:val="-6"/>
        </w:rPr>
        <w:t> </w:t>
      </w:r>
      <w:r>
        <w:rPr>
          <w:color w:val="231F20"/>
        </w:rPr>
        <w:t>boarding</w:t>
      </w:r>
      <w:r>
        <w:rPr>
          <w:color w:val="231F20"/>
          <w:spacing w:val="22"/>
          <w:w w:val="99"/>
        </w:rPr>
        <w:t> </w:t>
      </w:r>
      <w:r>
        <w:rPr>
          <w:color w:val="231F20"/>
          <w:spacing w:val="-1"/>
        </w:rPr>
        <w:t>entitlement</w:t>
      </w:r>
      <w:r>
        <w:rPr>
          <w:rFonts w:ascii="Segoe UI Semibold"/>
          <w:b/>
          <w:color w:val="231F20"/>
          <w:spacing w:val="-1"/>
          <w:position w:val="7"/>
          <w:sz w:val="11"/>
        </w:rPr>
        <w:t>105</w:t>
      </w:r>
      <w:r>
        <w:rPr>
          <w:color w:val="231F20"/>
          <w:spacing w:val="-1"/>
        </w:rPr>
        <w:t>.</w:t>
      </w:r>
      <w:r>
        <w:rPr/>
      </w:r>
    </w:p>
    <w:p>
      <w:pPr>
        <w:pStyle w:val="BodyText"/>
        <w:spacing w:line="250" w:lineRule="exact" w:before="113"/>
        <w:ind w:left="100" w:right="22"/>
        <w:jc w:val="left"/>
      </w:pPr>
      <w:r>
        <w:rPr>
          <w:color w:val="231F20"/>
        </w:rPr>
        <w:t>Grant</w:t>
      </w:r>
      <w:r>
        <w:rPr>
          <w:color w:val="231F20"/>
          <w:spacing w:val="-4"/>
        </w:rPr>
        <w:t> </w:t>
      </w:r>
      <w:r>
        <w:rPr>
          <w:color w:val="231F20"/>
        </w:rPr>
        <w:t>Thornton’s</w:t>
      </w:r>
      <w:r>
        <w:rPr>
          <w:color w:val="231F20"/>
          <w:spacing w:val="-5"/>
        </w:rPr>
        <w:t> </w:t>
      </w:r>
      <w:r>
        <w:rPr>
          <w:color w:val="231F20"/>
        </w:rPr>
        <w:t>analysis</w:t>
      </w:r>
      <w:r>
        <w:rPr>
          <w:color w:val="231F20"/>
          <w:spacing w:val="-5"/>
        </w:rPr>
        <w:t> </w:t>
      </w:r>
      <w:r>
        <w:rPr>
          <w:color w:val="231F20"/>
        </w:rPr>
        <w:t>found</w:t>
      </w:r>
      <w:r>
        <w:rPr>
          <w:color w:val="231F20"/>
          <w:spacing w:val="-4"/>
        </w:rPr>
        <w:t> </w:t>
      </w:r>
      <w:r>
        <w:rPr>
          <w:color w:val="231F20"/>
        </w:rPr>
        <w:t>that</w:t>
      </w:r>
      <w:r>
        <w:rPr>
          <w:color w:val="231F20"/>
          <w:spacing w:val="-5"/>
        </w:rPr>
        <w:t> </w:t>
      </w:r>
      <w:r>
        <w:rPr>
          <w:color w:val="231F20"/>
          <w:spacing w:val="-1"/>
        </w:rPr>
        <w:t>in</w:t>
      </w:r>
      <w:r>
        <w:rPr>
          <w:color w:val="231F20"/>
          <w:spacing w:val="-4"/>
        </w:rPr>
        <w:t> </w:t>
      </w:r>
      <w:r>
        <w:rPr>
          <w:color w:val="231F20"/>
          <w:spacing w:val="-1"/>
        </w:rPr>
        <w:t>2018</w:t>
      </w:r>
      <w:r>
        <w:rPr>
          <w:color w:val="231F20"/>
          <w:spacing w:val="21"/>
        </w:rPr>
        <w:t> </w:t>
      </w:r>
      <w:r>
        <w:rPr>
          <w:color w:val="231F20"/>
        </w:rPr>
        <w:t>there</w:t>
      </w:r>
      <w:r>
        <w:rPr>
          <w:color w:val="231F20"/>
          <w:spacing w:val="-8"/>
        </w:rPr>
        <w:t> </w:t>
      </w:r>
      <w:r>
        <w:rPr>
          <w:color w:val="231F20"/>
        </w:rPr>
        <w:t>were</w:t>
      </w:r>
      <w:r>
        <w:rPr>
          <w:color w:val="231F20"/>
          <w:spacing w:val="-8"/>
        </w:rPr>
        <w:t> </w:t>
      </w:r>
      <w:r>
        <w:rPr>
          <w:color w:val="231F20"/>
          <w:spacing w:val="-1"/>
        </w:rPr>
        <w:t>41</w:t>
      </w:r>
      <w:r>
        <w:rPr>
          <w:color w:val="231F20"/>
          <w:spacing w:val="-6"/>
        </w:rPr>
        <w:t> </w:t>
      </w:r>
      <w:r>
        <w:rPr>
          <w:color w:val="231F20"/>
        </w:rPr>
        <w:t>boarding</w:t>
      </w:r>
      <w:r>
        <w:rPr>
          <w:color w:val="231F20"/>
          <w:spacing w:val="-8"/>
        </w:rPr>
        <w:t> </w:t>
      </w:r>
      <w:r>
        <w:rPr>
          <w:color w:val="231F20"/>
        </w:rPr>
        <w:t>providers</w:t>
      </w:r>
      <w:r>
        <w:rPr>
          <w:color w:val="231F20"/>
          <w:spacing w:val="-7"/>
        </w:rPr>
        <w:t> </w:t>
      </w:r>
      <w:r>
        <w:rPr>
          <w:color w:val="231F20"/>
        </w:rPr>
        <w:t>charging</w:t>
      </w:r>
      <w:r>
        <w:rPr>
          <w:color w:val="231F20"/>
          <w:spacing w:val="21"/>
          <w:w w:val="99"/>
        </w:rPr>
        <w:t> </w:t>
      </w:r>
      <w:r>
        <w:rPr>
          <w:color w:val="231F20"/>
        </w:rPr>
        <w:t>boarding</w:t>
      </w:r>
      <w:r>
        <w:rPr>
          <w:color w:val="231F20"/>
          <w:spacing w:val="-6"/>
        </w:rPr>
        <w:t> </w:t>
      </w:r>
      <w:r>
        <w:rPr>
          <w:color w:val="231F20"/>
        </w:rPr>
        <w:t>and</w:t>
      </w:r>
      <w:r>
        <w:rPr>
          <w:color w:val="231F20"/>
          <w:spacing w:val="-5"/>
        </w:rPr>
        <w:t> </w:t>
      </w:r>
      <w:r>
        <w:rPr>
          <w:color w:val="231F20"/>
        </w:rPr>
        <w:t>tuition</w:t>
      </w:r>
      <w:r>
        <w:rPr>
          <w:color w:val="231F20"/>
          <w:spacing w:val="-5"/>
        </w:rPr>
        <w:t> </w:t>
      </w:r>
      <w:r>
        <w:rPr>
          <w:color w:val="231F20"/>
        </w:rPr>
        <w:t>fees</w:t>
      </w:r>
      <w:r>
        <w:rPr>
          <w:color w:val="231F20"/>
          <w:spacing w:val="-5"/>
        </w:rPr>
        <w:t> </w:t>
      </w:r>
      <w:r>
        <w:rPr>
          <w:color w:val="231F20"/>
        </w:rPr>
        <w:t>below</w:t>
      </w:r>
      <w:r>
        <w:rPr>
          <w:color w:val="231F20"/>
          <w:spacing w:val="-6"/>
        </w:rPr>
        <w:t> </w:t>
      </w:r>
      <w:r>
        <w:rPr>
          <w:color w:val="231F20"/>
        </w:rPr>
        <w:t>the</w:t>
      </w:r>
      <w:r>
        <w:rPr>
          <w:color w:val="231F20"/>
          <w:spacing w:val="-5"/>
        </w:rPr>
        <w:t> </w:t>
      </w:r>
      <w:r>
        <w:rPr>
          <w:color w:val="231F20"/>
          <w:spacing w:val="-1"/>
        </w:rPr>
        <w:t>maximum</w:t>
      </w:r>
      <w:r>
        <w:rPr>
          <w:color w:val="231F20"/>
          <w:spacing w:val="20"/>
        </w:rPr>
        <w:t> </w:t>
      </w:r>
      <w:r>
        <w:rPr>
          <w:color w:val="231F20"/>
        </w:rPr>
        <w:t>ABSTUDY</w:t>
      </w:r>
      <w:r>
        <w:rPr>
          <w:color w:val="231F20"/>
          <w:spacing w:val="-6"/>
        </w:rPr>
        <w:t> </w:t>
      </w:r>
      <w:r>
        <w:rPr>
          <w:color w:val="231F20"/>
        </w:rPr>
        <w:t>payment</w:t>
      </w:r>
      <w:r>
        <w:rPr>
          <w:color w:val="231F20"/>
          <w:spacing w:val="-6"/>
        </w:rPr>
        <w:t> </w:t>
      </w:r>
      <w:r>
        <w:rPr>
          <w:color w:val="231F20"/>
        </w:rPr>
        <w:t>and</w:t>
      </w:r>
      <w:r>
        <w:rPr>
          <w:color w:val="231F20"/>
          <w:spacing w:val="-6"/>
        </w:rPr>
        <w:t> </w:t>
      </w:r>
      <w:r>
        <w:rPr>
          <w:color w:val="231F20"/>
        </w:rPr>
        <w:t>are</w:t>
      </w:r>
      <w:r>
        <w:rPr>
          <w:color w:val="231F20"/>
          <w:spacing w:val="-6"/>
        </w:rPr>
        <w:t> </w:t>
      </w:r>
      <w:r>
        <w:rPr>
          <w:color w:val="231F20"/>
        </w:rPr>
        <w:t>therefore</w:t>
      </w:r>
      <w:r>
        <w:rPr>
          <w:color w:val="231F20"/>
          <w:spacing w:val="-6"/>
        </w:rPr>
        <w:t> </w:t>
      </w:r>
      <w:r>
        <w:rPr>
          <w:color w:val="231F20"/>
        </w:rPr>
        <w:t>not</w:t>
      </w:r>
      <w:r>
        <w:rPr>
          <w:color w:val="231F20"/>
          <w:w w:val="99"/>
        </w:rPr>
        <w:t> </w:t>
      </w:r>
      <w:r>
        <w:rPr>
          <w:color w:val="231F20"/>
        </w:rPr>
        <w:t>entitled</w:t>
      </w:r>
      <w:r>
        <w:rPr>
          <w:color w:val="231F20"/>
          <w:spacing w:val="-7"/>
        </w:rPr>
        <w:t> </w:t>
      </w:r>
      <w:r>
        <w:rPr>
          <w:color w:val="231F20"/>
        </w:rPr>
        <w:t>to</w:t>
      </w:r>
      <w:r>
        <w:rPr>
          <w:color w:val="231F20"/>
          <w:spacing w:val="-5"/>
        </w:rPr>
        <w:t> </w:t>
      </w:r>
      <w:r>
        <w:rPr>
          <w:color w:val="231F20"/>
        </w:rPr>
        <w:t>receive</w:t>
      </w:r>
      <w:r>
        <w:rPr>
          <w:color w:val="231F20"/>
          <w:spacing w:val="-6"/>
        </w:rPr>
        <w:t> </w:t>
      </w:r>
      <w:r>
        <w:rPr>
          <w:color w:val="231F20"/>
        </w:rPr>
        <w:t>the</w:t>
      </w:r>
      <w:r>
        <w:rPr>
          <w:color w:val="231F20"/>
          <w:spacing w:val="-6"/>
        </w:rPr>
        <w:t> </w:t>
      </w:r>
      <w:r>
        <w:rPr>
          <w:color w:val="231F20"/>
          <w:spacing w:val="-1"/>
        </w:rPr>
        <w:t>maximum</w:t>
      </w:r>
      <w:r>
        <w:rPr>
          <w:color w:val="231F20"/>
          <w:spacing w:val="-5"/>
        </w:rPr>
        <w:t> </w:t>
      </w:r>
      <w:r>
        <w:rPr>
          <w:color w:val="231F20"/>
        </w:rPr>
        <w:t>available</w:t>
      </w:r>
      <w:r>
        <w:rPr>
          <w:color w:val="231F20"/>
          <w:spacing w:val="22"/>
          <w:w w:val="99"/>
        </w:rPr>
        <w:t> </w:t>
      </w:r>
      <w:r>
        <w:rPr>
          <w:color w:val="231F20"/>
        </w:rPr>
        <w:t>payment</w:t>
      </w:r>
      <w:r>
        <w:rPr>
          <w:color w:val="231F20"/>
          <w:spacing w:val="-7"/>
        </w:rPr>
        <w:t> </w:t>
      </w:r>
      <w:r>
        <w:rPr>
          <w:color w:val="231F20"/>
        </w:rPr>
        <w:t>for</w:t>
      </w:r>
      <w:r>
        <w:rPr>
          <w:color w:val="231F20"/>
          <w:spacing w:val="-5"/>
        </w:rPr>
        <w:t> </w:t>
      </w:r>
      <w:r>
        <w:rPr>
          <w:color w:val="231F20"/>
          <w:spacing w:val="-1"/>
        </w:rPr>
        <w:t>students</w:t>
      </w:r>
      <w:r>
        <w:rPr>
          <w:color w:val="231F20"/>
          <w:spacing w:val="-6"/>
        </w:rPr>
        <w:t> </w:t>
      </w:r>
      <w:r>
        <w:rPr>
          <w:color w:val="231F20"/>
        </w:rPr>
        <w:t>approved</w:t>
      </w:r>
      <w:r>
        <w:rPr>
          <w:color w:val="231F20"/>
          <w:spacing w:val="-6"/>
        </w:rPr>
        <w:t> </w:t>
      </w:r>
      <w:r>
        <w:rPr>
          <w:color w:val="231F20"/>
        </w:rPr>
        <w:t>to</w:t>
      </w:r>
      <w:r>
        <w:rPr>
          <w:color w:val="231F20"/>
          <w:spacing w:val="-5"/>
        </w:rPr>
        <w:t> </w:t>
      </w:r>
      <w:r>
        <w:rPr>
          <w:color w:val="231F20"/>
        </w:rPr>
        <w:t>receive</w:t>
      </w:r>
      <w:r>
        <w:rPr/>
      </w:r>
    </w:p>
    <w:p>
      <w:pPr>
        <w:pStyle w:val="BodyText"/>
        <w:spacing w:line="250" w:lineRule="exact"/>
        <w:ind w:left="100" w:right="22"/>
        <w:jc w:val="left"/>
      </w:pPr>
      <w:r>
        <w:rPr>
          <w:color w:val="231F20"/>
        </w:rPr>
        <w:t>the</w:t>
      </w:r>
      <w:r>
        <w:rPr>
          <w:color w:val="231F20"/>
          <w:spacing w:val="-2"/>
        </w:rPr>
        <w:t> </w:t>
      </w:r>
      <w:r>
        <w:rPr>
          <w:color w:val="231F20"/>
          <w:spacing w:val="-1"/>
        </w:rPr>
        <w:t>maximum</w:t>
      </w:r>
      <w:r>
        <w:rPr>
          <w:color w:val="231F20"/>
        </w:rPr>
        <w:t> ABSTUDY</w:t>
      </w:r>
      <w:r>
        <w:rPr>
          <w:color w:val="231F20"/>
          <w:spacing w:val="-1"/>
        </w:rPr>
        <w:t> payment.</w:t>
      </w:r>
      <w:r>
        <w:rPr>
          <w:rFonts w:ascii="Segoe UI Semibold"/>
          <w:b/>
          <w:color w:val="231F20"/>
          <w:spacing w:val="-1"/>
          <w:position w:val="7"/>
          <w:sz w:val="11"/>
        </w:rPr>
        <w:t>106</w:t>
      </w:r>
      <w:r>
        <w:rPr>
          <w:rFonts w:ascii="Segoe UI Semibold"/>
          <w:b/>
          <w:color w:val="231F20"/>
          <w:spacing w:val="24"/>
          <w:position w:val="7"/>
          <w:sz w:val="11"/>
        </w:rPr>
        <w:t> </w:t>
      </w:r>
      <w:r>
        <w:rPr>
          <w:color w:val="231F20"/>
          <w:spacing w:val="-1"/>
        </w:rPr>
        <w:t>Some</w:t>
      </w:r>
      <w:r>
        <w:rPr>
          <w:color w:val="231F20"/>
          <w:spacing w:val="20"/>
        </w:rPr>
        <w:t> </w:t>
      </w:r>
      <w:r>
        <w:rPr>
          <w:color w:val="231F20"/>
        </w:rPr>
        <w:t>boarding</w:t>
      </w:r>
      <w:r>
        <w:rPr>
          <w:color w:val="231F20"/>
          <w:spacing w:val="-9"/>
        </w:rPr>
        <w:t> </w:t>
      </w:r>
      <w:r>
        <w:rPr>
          <w:color w:val="231F20"/>
        </w:rPr>
        <w:t>providers</w:t>
      </w:r>
      <w:r>
        <w:rPr>
          <w:color w:val="231F20"/>
          <w:spacing w:val="-8"/>
        </w:rPr>
        <w:t> </w:t>
      </w:r>
      <w:r>
        <w:rPr>
          <w:color w:val="231F20"/>
          <w:spacing w:val="-1"/>
        </w:rPr>
        <w:t>indicated</w:t>
      </w:r>
      <w:r>
        <w:rPr>
          <w:color w:val="231F20"/>
          <w:spacing w:val="-7"/>
        </w:rPr>
        <w:t> </w:t>
      </w:r>
      <w:r>
        <w:rPr>
          <w:color w:val="231F20"/>
        </w:rPr>
        <w:t>that</w:t>
      </w:r>
      <w:r>
        <w:rPr>
          <w:color w:val="231F20"/>
          <w:spacing w:val="-8"/>
        </w:rPr>
        <w:t> </w:t>
      </w:r>
      <w:r>
        <w:rPr>
          <w:color w:val="231F20"/>
        </w:rPr>
        <w:t>they</w:t>
      </w:r>
      <w:r>
        <w:rPr>
          <w:color w:val="231F20"/>
          <w:spacing w:val="-8"/>
        </w:rPr>
        <w:t> </w:t>
      </w:r>
      <w:r>
        <w:rPr>
          <w:color w:val="231F20"/>
        </w:rPr>
        <w:t>have</w:t>
      </w:r>
      <w:r>
        <w:rPr>
          <w:color w:val="231F20"/>
          <w:spacing w:val="22"/>
          <w:w w:val="99"/>
        </w:rPr>
        <w:t> </w:t>
      </w:r>
      <w:r>
        <w:rPr>
          <w:color w:val="231F20"/>
        </w:rPr>
        <w:t>taken</w:t>
      </w:r>
      <w:r>
        <w:rPr>
          <w:color w:val="231F20"/>
          <w:spacing w:val="-4"/>
        </w:rPr>
        <w:t> </w:t>
      </w:r>
      <w:r>
        <w:rPr>
          <w:color w:val="231F20"/>
        </w:rPr>
        <w:t>a</w:t>
      </w:r>
      <w:r>
        <w:rPr>
          <w:color w:val="231F20"/>
          <w:spacing w:val="-3"/>
        </w:rPr>
        <w:t> </w:t>
      </w:r>
      <w:r>
        <w:rPr>
          <w:color w:val="231F20"/>
        </w:rPr>
        <w:t>business</w:t>
      </w:r>
      <w:r>
        <w:rPr>
          <w:color w:val="231F20"/>
          <w:spacing w:val="-4"/>
        </w:rPr>
        <w:t> </w:t>
      </w:r>
      <w:r>
        <w:rPr>
          <w:color w:val="231F20"/>
        </w:rPr>
        <w:t>decision</w:t>
      </w:r>
      <w:r>
        <w:rPr>
          <w:color w:val="231F20"/>
          <w:spacing w:val="-4"/>
        </w:rPr>
        <w:t> </w:t>
      </w:r>
      <w:r>
        <w:rPr>
          <w:color w:val="231F20"/>
        </w:rPr>
        <w:t>to</w:t>
      </w:r>
      <w:r>
        <w:rPr>
          <w:color w:val="231F20"/>
          <w:spacing w:val="-3"/>
        </w:rPr>
        <w:t> </w:t>
      </w:r>
      <w:r>
        <w:rPr>
          <w:color w:val="231F20"/>
          <w:spacing w:val="-1"/>
        </w:rPr>
        <w:t>set</w:t>
      </w:r>
      <w:r>
        <w:rPr>
          <w:color w:val="231F20"/>
          <w:spacing w:val="-2"/>
        </w:rPr>
        <w:t> </w:t>
      </w:r>
      <w:r>
        <w:rPr>
          <w:color w:val="231F20"/>
        </w:rPr>
        <w:t>their</w:t>
      </w:r>
      <w:r>
        <w:rPr>
          <w:color w:val="231F20"/>
          <w:spacing w:val="-4"/>
        </w:rPr>
        <w:t> </w:t>
      </w:r>
      <w:r>
        <w:rPr>
          <w:color w:val="231F20"/>
        </w:rPr>
        <w:t>boarding</w:t>
      </w:r>
      <w:r>
        <w:rPr>
          <w:color w:val="231F20"/>
          <w:spacing w:val="21"/>
          <w:w w:val="99"/>
        </w:rPr>
        <w:t> </w:t>
      </w:r>
      <w:r>
        <w:rPr>
          <w:color w:val="231F20"/>
        </w:rPr>
        <w:t>fees</w:t>
      </w:r>
      <w:r>
        <w:rPr>
          <w:color w:val="231F20"/>
          <w:spacing w:val="-4"/>
        </w:rPr>
        <w:t> </w:t>
      </w:r>
      <w:r>
        <w:rPr>
          <w:color w:val="231F20"/>
        </w:rPr>
        <w:t>below</w:t>
      </w:r>
      <w:r>
        <w:rPr>
          <w:color w:val="231F20"/>
          <w:spacing w:val="-4"/>
        </w:rPr>
        <w:t> </w:t>
      </w:r>
      <w:r>
        <w:rPr>
          <w:color w:val="231F20"/>
        </w:rPr>
        <w:t>the</w:t>
      </w:r>
      <w:r>
        <w:rPr>
          <w:color w:val="231F20"/>
          <w:spacing w:val="-3"/>
        </w:rPr>
        <w:t> </w:t>
      </w:r>
      <w:r>
        <w:rPr>
          <w:color w:val="231F20"/>
          <w:spacing w:val="-1"/>
        </w:rPr>
        <w:t>maximum</w:t>
      </w:r>
      <w:r>
        <w:rPr>
          <w:color w:val="231F20"/>
          <w:spacing w:val="-3"/>
        </w:rPr>
        <w:t> </w:t>
      </w:r>
      <w:r>
        <w:rPr>
          <w:color w:val="231F20"/>
        </w:rPr>
        <w:t>ABSTUDY</w:t>
      </w:r>
      <w:r>
        <w:rPr>
          <w:color w:val="231F20"/>
          <w:spacing w:val="-4"/>
        </w:rPr>
        <w:t> </w:t>
      </w:r>
      <w:r>
        <w:rPr>
          <w:color w:val="231F20"/>
        </w:rPr>
        <w:t>based</w:t>
      </w:r>
      <w:r>
        <w:rPr>
          <w:color w:val="231F20"/>
          <w:spacing w:val="-3"/>
        </w:rPr>
        <w:t> </w:t>
      </w:r>
      <w:r>
        <w:rPr>
          <w:color w:val="231F20"/>
        </w:rPr>
        <w:t>on</w:t>
      </w:r>
      <w:r>
        <w:rPr>
          <w:color w:val="231F20"/>
          <w:spacing w:val="22"/>
          <w:w w:val="99"/>
        </w:rPr>
        <w:t> </w:t>
      </w:r>
      <w:r>
        <w:rPr>
          <w:color w:val="231F20"/>
        </w:rPr>
        <w:t>an</w:t>
      </w:r>
      <w:r>
        <w:rPr>
          <w:color w:val="231F20"/>
          <w:spacing w:val="-5"/>
        </w:rPr>
        <w:t> </w:t>
      </w:r>
      <w:r>
        <w:rPr>
          <w:color w:val="231F20"/>
        </w:rPr>
        <w:t>assessment</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capacity</w:t>
      </w:r>
      <w:r>
        <w:rPr>
          <w:color w:val="231F20"/>
          <w:spacing w:val="-5"/>
        </w:rPr>
        <w:t> </w:t>
      </w:r>
      <w:r>
        <w:rPr>
          <w:color w:val="231F20"/>
        </w:rPr>
        <w:t>of</w:t>
      </w:r>
      <w:r>
        <w:rPr>
          <w:color w:val="231F20"/>
          <w:spacing w:val="-3"/>
        </w:rPr>
        <w:t> </w:t>
      </w:r>
      <w:r>
        <w:rPr>
          <w:color w:val="231F20"/>
        </w:rPr>
        <w:t>parents</w:t>
      </w:r>
      <w:r>
        <w:rPr>
          <w:color w:val="231F20"/>
          <w:spacing w:val="-5"/>
        </w:rPr>
        <w:t> </w:t>
      </w:r>
      <w:r>
        <w:rPr>
          <w:color w:val="231F20"/>
        </w:rPr>
        <w:t>of</w:t>
      </w:r>
      <w:r>
        <w:rPr>
          <w:color w:val="231F20"/>
          <w:w w:val="99"/>
        </w:rPr>
        <w:t> </w:t>
      </w:r>
      <w:r>
        <w:rPr>
          <w:color w:val="231F20"/>
        </w:rPr>
        <w:t>non-ABSTUDY</w:t>
      </w:r>
      <w:r>
        <w:rPr>
          <w:color w:val="231F20"/>
          <w:spacing w:val="-4"/>
        </w:rPr>
        <w:t> </w:t>
      </w:r>
      <w:r>
        <w:rPr>
          <w:color w:val="231F20"/>
        </w:rPr>
        <w:t>funded</w:t>
      </w:r>
      <w:r>
        <w:rPr>
          <w:color w:val="231F20"/>
          <w:spacing w:val="-3"/>
        </w:rPr>
        <w:t> </w:t>
      </w:r>
      <w:r>
        <w:rPr>
          <w:color w:val="231F20"/>
          <w:spacing w:val="-1"/>
        </w:rPr>
        <w:t>students</w:t>
      </w:r>
      <w:r>
        <w:rPr>
          <w:color w:val="231F20"/>
          <w:spacing w:val="-3"/>
        </w:rPr>
        <w:t> </w:t>
      </w:r>
      <w:r>
        <w:rPr>
          <w:color w:val="231F20"/>
        </w:rPr>
        <w:t>to</w:t>
      </w:r>
      <w:r>
        <w:rPr>
          <w:color w:val="231F20"/>
          <w:spacing w:val="-3"/>
        </w:rPr>
        <w:t> </w:t>
      </w:r>
      <w:r>
        <w:rPr>
          <w:color w:val="231F20"/>
        </w:rPr>
        <w:t>pay.</w:t>
      </w:r>
      <w:r>
        <w:rPr>
          <w:color w:val="231F20"/>
          <w:spacing w:val="-3"/>
        </w:rPr>
        <w:t> </w:t>
      </w:r>
      <w:r>
        <w:rPr>
          <w:color w:val="231F20"/>
        </w:rPr>
        <w:t>The</w:t>
      </w:r>
      <w:r>
        <w:rPr>
          <w:color w:val="231F20"/>
          <w:spacing w:val="22"/>
          <w:w w:val="99"/>
        </w:rPr>
        <w:t> </w:t>
      </w:r>
      <w:r>
        <w:rPr>
          <w:color w:val="231F20"/>
        </w:rPr>
        <w:t>argument</w:t>
      </w:r>
      <w:r>
        <w:rPr>
          <w:color w:val="231F20"/>
          <w:spacing w:val="-9"/>
        </w:rPr>
        <w:t> </w:t>
      </w:r>
      <w:r>
        <w:rPr>
          <w:color w:val="231F20"/>
        </w:rPr>
        <w:t>advanced</w:t>
      </w:r>
      <w:r>
        <w:rPr>
          <w:color w:val="231F20"/>
          <w:spacing w:val="-9"/>
        </w:rPr>
        <w:t> </w:t>
      </w:r>
      <w:r>
        <w:rPr>
          <w:color w:val="231F20"/>
        </w:rPr>
        <w:t>was</w:t>
      </w:r>
      <w:r>
        <w:rPr>
          <w:color w:val="231F20"/>
          <w:spacing w:val="-8"/>
        </w:rPr>
        <w:t> </w:t>
      </w:r>
      <w:r>
        <w:rPr>
          <w:color w:val="231F20"/>
        </w:rPr>
        <w:t>that</w:t>
      </w:r>
      <w:r>
        <w:rPr>
          <w:color w:val="231F20"/>
          <w:spacing w:val="-9"/>
        </w:rPr>
        <w:t> </w:t>
      </w:r>
      <w:r>
        <w:rPr>
          <w:color w:val="231F20"/>
        </w:rPr>
        <w:t>raising</w:t>
      </w:r>
      <w:r>
        <w:rPr>
          <w:color w:val="231F20"/>
          <w:spacing w:val="-8"/>
        </w:rPr>
        <w:t> </w:t>
      </w:r>
      <w:r>
        <w:rPr>
          <w:color w:val="231F20"/>
        </w:rPr>
        <w:t>boarding</w:t>
      </w:r>
      <w:r>
        <w:rPr>
          <w:color w:val="231F20"/>
          <w:w w:val="99"/>
        </w:rPr>
        <w:t> </w:t>
      </w:r>
      <w:r>
        <w:rPr>
          <w:color w:val="231F20"/>
        </w:rPr>
        <w:t>fees</w:t>
      </w:r>
      <w:r>
        <w:rPr>
          <w:color w:val="231F20"/>
          <w:spacing w:val="-3"/>
        </w:rPr>
        <w:t> </w:t>
      </w:r>
      <w:r>
        <w:rPr>
          <w:color w:val="231F20"/>
        </w:rPr>
        <w:t>to</w:t>
      </w:r>
      <w:r>
        <w:rPr>
          <w:color w:val="231F20"/>
          <w:spacing w:val="-2"/>
        </w:rPr>
        <w:t> </w:t>
      </w:r>
      <w:r>
        <w:rPr>
          <w:color w:val="231F20"/>
        </w:rPr>
        <w:t>the</w:t>
      </w:r>
      <w:r>
        <w:rPr>
          <w:color w:val="231F20"/>
          <w:spacing w:val="-3"/>
        </w:rPr>
        <w:t> </w:t>
      </w:r>
      <w:r>
        <w:rPr>
          <w:color w:val="231F20"/>
          <w:spacing w:val="-1"/>
        </w:rPr>
        <w:t>maximum level</w:t>
      </w:r>
      <w:r>
        <w:rPr>
          <w:color w:val="231F20"/>
          <w:spacing w:val="-2"/>
        </w:rPr>
        <w:t> </w:t>
      </w:r>
      <w:r>
        <w:rPr>
          <w:color w:val="231F20"/>
        </w:rPr>
        <w:t>of</w:t>
      </w:r>
      <w:r>
        <w:rPr>
          <w:color w:val="231F20"/>
          <w:spacing w:val="-2"/>
        </w:rPr>
        <w:t> </w:t>
      </w:r>
      <w:r>
        <w:rPr>
          <w:color w:val="231F20"/>
        </w:rPr>
        <w:t>ABSTUDY</w:t>
      </w:r>
      <w:r>
        <w:rPr>
          <w:color w:val="231F20"/>
          <w:spacing w:val="-2"/>
        </w:rPr>
        <w:t> </w:t>
      </w:r>
      <w:r>
        <w:rPr>
          <w:color w:val="231F20"/>
        </w:rPr>
        <w:t>would</w:t>
      </w:r>
      <w:r>
        <w:rPr>
          <w:color w:val="231F20"/>
          <w:spacing w:val="23"/>
          <w:w w:val="99"/>
        </w:rPr>
        <w:t> </w:t>
      </w:r>
      <w:r>
        <w:rPr>
          <w:color w:val="231F20"/>
        </w:rPr>
        <w:t>reduce</w:t>
      </w:r>
      <w:r>
        <w:rPr>
          <w:color w:val="231F20"/>
          <w:spacing w:val="-6"/>
        </w:rPr>
        <w:t> </w:t>
      </w:r>
      <w:r>
        <w:rPr>
          <w:color w:val="231F20"/>
        </w:rPr>
        <w:t>the</w:t>
      </w:r>
      <w:r>
        <w:rPr>
          <w:color w:val="231F20"/>
          <w:spacing w:val="-5"/>
        </w:rPr>
        <w:t> </w:t>
      </w:r>
      <w:r>
        <w:rPr>
          <w:color w:val="231F20"/>
        </w:rPr>
        <w:t>ability</w:t>
      </w:r>
      <w:r>
        <w:rPr>
          <w:color w:val="231F20"/>
          <w:spacing w:val="-5"/>
        </w:rPr>
        <w:t> </w:t>
      </w:r>
      <w:r>
        <w:rPr>
          <w:color w:val="231F20"/>
        </w:rPr>
        <w:t>of</w:t>
      </w:r>
      <w:r>
        <w:rPr>
          <w:color w:val="231F20"/>
          <w:spacing w:val="-4"/>
        </w:rPr>
        <w:t> </w:t>
      </w:r>
      <w:r>
        <w:rPr>
          <w:color w:val="231F20"/>
          <w:spacing w:val="-1"/>
        </w:rPr>
        <w:t>some</w:t>
      </w:r>
      <w:r>
        <w:rPr>
          <w:color w:val="231F20"/>
          <w:spacing w:val="-4"/>
        </w:rPr>
        <w:t> </w:t>
      </w:r>
      <w:r>
        <w:rPr>
          <w:color w:val="231F20"/>
        </w:rPr>
        <w:t>parents</w:t>
      </w:r>
      <w:r>
        <w:rPr>
          <w:color w:val="231F20"/>
          <w:spacing w:val="-5"/>
        </w:rPr>
        <w:t> </w:t>
      </w:r>
      <w:r>
        <w:rPr>
          <w:color w:val="231F20"/>
        </w:rPr>
        <w:t>of</w:t>
      </w:r>
      <w:r>
        <w:rPr>
          <w:color w:val="231F20"/>
          <w:spacing w:val="-4"/>
        </w:rPr>
        <w:t> </w:t>
      </w:r>
      <w:r>
        <w:rPr>
          <w:color w:val="231F20"/>
        </w:rPr>
        <w:t>non-</w:t>
      </w:r>
      <w:r>
        <w:rPr>
          <w:color w:val="231F20"/>
          <w:spacing w:val="21"/>
          <w:w w:val="99"/>
        </w:rPr>
        <w:t> </w:t>
      </w:r>
      <w:r>
        <w:rPr>
          <w:rFonts w:ascii="Segoe UI"/>
          <w:color w:val="231F20"/>
        </w:rPr>
        <w:t>ABSTUDY</w:t>
      </w:r>
      <w:r>
        <w:rPr>
          <w:rFonts w:ascii="Segoe UI"/>
          <w:color w:val="231F20"/>
          <w:spacing w:val="-1"/>
        </w:rPr>
        <w:t> </w:t>
      </w:r>
      <w:r>
        <w:rPr>
          <w:rFonts w:ascii="Segoe UI"/>
          <w:color w:val="231F20"/>
        </w:rPr>
        <w:t>funded</w:t>
      </w:r>
      <w:r>
        <w:rPr>
          <w:rFonts w:ascii="Segoe UI"/>
          <w:color w:val="231F20"/>
          <w:spacing w:val="-1"/>
        </w:rPr>
        <w:t> </w:t>
      </w:r>
      <w:r>
        <w:rPr>
          <w:rFonts w:ascii="Segoe UI"/>
          <w:color w:val="231F20"/>
        </w:rPr>
        <w:t>students</w:t>
      </w:r>
      <w:r>
        <w:rPr>
          <w:rFonts w:ascii="Segoe UI"/>
          <w:color w:val="231F20"/>
          <w:spacing w:val="-1"/>
        </w:rPr>
        <w:t> </w:t>
      </w:r>
      <w:r>
        <w:rPr>
          <w:rFonts w:ascii="Segoe UI"/>
          <w:color w:val="231F20"/>
        </w:rPr>
        <w:t>to</w:t>
      </w:r>
      <w:r>
        <w:rPr>
          <w:rFonts w:ascii="Segoe UI"/>
          <w:color w:val="231F20"/>
          <w:spacing w:val="-1"/>
        </w:rPr>
        <w:t> </w:t>
      </w:r>
      <w:r>
        <w:rPr>
          <w:rFonts w:ascii="Segoe UI"/>
          <w:color w:val="231F20"/>
        </w:rPr>
        <w:t>afford</w:t>
      </w:r>
      <w:r>
        <w:rPr>
          <w:rFonts w:ascii="Segoe UI"/>
          <w:color w:val="231F20"/>
          <w:spacing w:val="-1"/>
        </w:rPr>
        <w:t> </w:t>
      </w:r>
      <w:r>
        <w:rPr>
          <w:rFonts w:ascii="Segoe UI"/>
          <w:color w:val="231F20"/>
        </w:rPr>
        <w:t>to</w:t>
      </w:r>
      <w:r>
        <w:rPr>
          <w:rFonts w:ascii="Segoe UI"/>
          <w:color w:val="231F20"/>
          <w:spacing w:val="-1"/>
        </w:rPr>
        <w:t> </w:t>
      </w:r>
      <w:r>
        <w:rPr>
          <w:rFonts w:ascii="Segoe UI"/>
          <w:color w:val="231F20"/>
        </w:rPr>
        <w:t>enrol</w:t>
      </w:r>
      <w:r>
        <w:rPr>
          <w:rFonts w:ascii="Segoe UI"/>
          <w:color w:val="231F20"/>
        </w:rPr>
        <w:t> </w:t>
      </w:r>
      <w:r>
        <w:rPr>
          <w:color w:val="231F20"/>
        </w:rPr>
        <w:t>their</w:t>
      </w:r>
      <w:r>
        <w:rPr>
          <w:color w:val="231F20"/>
          <w:spacing w:val="-6"/>
        </w:rPr>
        <w:t> </w:t>
      </w:r>
      <w:r>
        <w:rPr>
          <w:color w:val="231F20"/>
        </w:rPr>
        <w:t>child</w:t>
      </w:r>
      <w:r>
        <w:rPr>
          <w:color w:val="231F20"/>
          <w:spacing w:val="-5"/>
        </w:rPr>
        <w:t> </w:t>
      </w:r>
      <w:r>
        <w:rPr>
          <w:color w:val="231F20"/>
          <w:spacing w:val="-1"/>
        </w:rPr>
        <w:t>in</w:t>
      </w:r>
      <w:r>
        <w:rPr>
          <w:color w:val="231F20"/>
          <w:spacing w:val="-4"/>
        </w:rPr>
        <w:t> </w:t>
      </w:r>
      <w:r>
        <w:rPr>
          <w:color w:val="231F20"/>
        </w:rPr>
        <w:t>the</w:t>
      </w:r>
      <w:r>
        <w:rPr>
          <w:color w:val="231F20"/>
          <w:spacing w:val="-5"/>
        </w:rPr>
        <w:t> </w:t>
      </w:r>
      <w:r>
        <w:rPr>
          <w:color w:val="231F20"/>
        </w:rPr>
        <w:t>boarding</w:t>
      </w:r>
      <w:r>
        <w:rPr>
          <w:color w:val="231F20"/>
          <w:spacing w:val="-6"/>
        </w:rPr>
        <w:t> </w:t>
      </w:r>
      <w:r>
        <w:rPr>
          <w:color w:val="231F20"/>
        </w:rPr>
        <w:t>facility.</w:t>
      </w:r>
      <w:r>
        <w:rPr/>
      </w:r>
    </w:p>
    <w:p>
      <w:pPr>
        <w:pStyle w:val="BodyText"/>
        <w:spacing w:line="250" w:lineRule="exact" w:before="62"/>
        <w:ind w:left="100" w:right="484"/>
        <w:jc w:val="left"/>
      </w:pPr>
      <w:r>
        <w:rPr/>
        <w:br w:type="column"/>
      </w:r>
      <w:r>
        <w:rPr>
          <w:rFonts w:ascii="Segoe UI"/>
          <w:color w:val="231F20"/>
        </w:rPr>
        <w:t>In some cases this argument was justified</w:t>
      </w:r>
      <w:r>
        <w:rPr>
          <w:rFonts w:ascii="Segoe UI"/>
          <w:color w:val="231F20"/>
        </w:rPr>
        <w:t> </w:t>
      </w:r>
      <w:r>
        <w:rPr>
          <w:color w:val="231F20"/>
        </w:rPr>
        <w:t>but</w:t>
      </w:r>
      <w:r>
        <w:rPr>
          <w:color w:val="231F20"/>
          <w:spacing w:val="-6"/>
        </w:rPr>
        <w:t> </w:t>
      </w:r>
      <w:r>
        <w:rPr>
          <w:color w:val="231F20"/>
        </w:rPr>
        <w:t>where</w:t>
      </w:r>
      <w:r>
        <w:rPr>
          <w:color w:val="231F20"/>
          <w:spacing w:val="-6"/>
        </w:rPr>
        <w:t> </w:t>
      </w:r>
      <w:r>
        <w:rPr>
          <w:color w:val="231F20"/>
        </w:rPr>
        <w:t>the</w:t>
      </w:r>
      <w:r>
        <w:rPr>
          <w:color w:val="231F20"/>
          <w:spacing w:val="-6"/>
        </w:rPr>
        <w:t> </w:t>
      </w:r>
      <w:r>
        <w:rPr>
          <w:color w:val="231F20"/>
        </w:rPr>
        <w:t>boarding</w:t>
      </w:r>
      <w:r>
        <w:rPr>
          <w:color w:val="231F20"/>
          <w:spacing w:val="-6"/>
        </w:rPr>
        <w:t> </w:t>
      </w:r>
      <w:r>
        <w:rPr>
          <w:color w:val="231F20"/>
        </w:rPr>
        <w:t>provider</w:t>
      </w:r>
      <w:r>
        <w:rPr>
          <w:color w:val="231F20"/>
          <w:spacing w:val="-6"/>
        </w:rPr>
        <w:t> </w:t>
      </w:r>
      <w:r>
        <w:rPr>
          <w:color w:val="231F20"/>
        </w:rPr>
        <w:t>had</w:t>
      </w:r>
      <w:r>
        <w:rPr>
          <w:color w:val="231F20"/>
          <w:spacing w:val="-5"/>
        </w:rPr>
        <w:t> </w:t>
      </w:r>
      <w:r>
        <w:rPr>
          <w:color w:val="231F20"/>
        </w:rPr>
        <w:t>a</w:t>
      </w:r>
      <w:r>
        <w:rPr>
          <w:color w:val="231F20"/>
          <w:spacing w:val="-5"/>
        </w:rPr>
        <w:t> </w:t>
      </w:r>
      <w:r>
        <w:rPr>
          <w:color w:val="231F20"/>
        </w:rPr>
        <w:t>high</w:t>
      </w:r>
      <w:r>
        <w:rPr>
          <w:color w:val="231F20"/>
          <w:w w:val="99"/>
        </w:rPr>
        <w:t> </w:t>
      </w:r>
      <w:r>
        <w:rPr>
          <w:color w:val="231F20"/>
        </w:rPr>
        <w:t>proportion</w:t>
      </w:r>
      <w:r>
        <w:rPr>
          <w:color w:val="231F20"/>
          <w:spacing w:val="-7"/>
        </w:rPr>
        <w:t> </w:t>
      </w:r>
      <w:r>
        <w:rPr>
          <w:color w:val="231F20"/>
        </w:rPr>
        <w:t>of</w:t>
      </w:r>
      <w:r>
        <w:rPr>
          <w:color w:val="231F20"/>
          <w:spacing w:val="-5"/>
        </w:rPr>
        <w:t> </w:t>
      </w:r>
      <w:r>
        <w:rPr>
          <w:color w:val="231F20"/>
        </w:rPr>
        <w:t>Aboriginal</w:t>
      </w:r>
      <w:r>
        <w:rPr>
          <w:color w:val="231F20"/>
          <w:spacing w:val="-6"/>
        </w:rPr>
        <w:t> </w:t>
      </w:r>
      <w:r>
        <w:rPr>
          <w:color w:val="231F20"/>
        </w:rPr>
        <w:t>and</w:t>
      </w:r>
      <w:r>
        <w:rPr>
          <w:color w:val="231F20"/>
          <w:spacing w:val="-6"/>
        </w:rPr>
        <w:t> </w:t>
      </w:r>
      <w:r>
        <w:rPr>
          <w:color w:val="231F20"/>
          <w:spacing w:val="-5"/>
        </w:rPr>
        <w:t>Torres </w:t>
      </w:r>
      <w:r>
        <w:rPr>
          <w:color w:val="231F20"/>
          <w:spacing w:val="-2"/>
        </w:rPr>
        <w:t>Strait</w:t>
      </w:r>
      <w:r>
        <w:rPr/>
      </w:r>
    </w:p>
    <w:p>
      <w:pPr>
        <w:pStyle w:val="BodyText"/>
        <w:spacing w:line="250" w:lineRule="exact"/>
        <w:ind w:left="100" w:right="162"/>
        <w:jc w:val="left"/>
      </w:pPr>
      <w:r>
        <w:rPr>
          <w:color w:val="231F20"/>
          <w:spacing w:val="-1"/>
        </w:rPr>
        <w:t>Islander</w:t>
      </w:r>
      <w:r>
        <w:rPr>
          <w:color w:val="231F20"/>
          <w:spacing w:val="-4"/>
        </w:rPr>
        <w:t> </w:t>
      </w:r>
      <w:r>
        <w:rPr>
          <w:color w:val="231F20"/>
        </w:rPr>
        <w:t>boarders,</w:t>
      </w:r>
      <w:r>
        <w:rPr>
          <w:color w:val="231F20"/>
          <w:spacing w:val="-5"/>
        </w:rPr>
        <w:t> </w:t>
      </w:r>
      <w:r>
        <w:rPr>
          <w:color w:val="231F20"/>
        </w:rPr>
        <w:t>the</w:t>
      </w:r>
      <w:r>
        <w:rPr>
          <w:color w:val="231F20"/>
          <w:spacing w:val="-4"/>
        </w:rPr>
        <w:t> </w:t>
      </w:r>
      <w:r>
        <w:rPr>
          <w:color w:val="231F20"/>
          <w:spacing w:val="-1"/>
        </w:rPr>
        <w:t>loss</w:t>
      </w:r>
      <w:r>
        <w:rPr>
          <w:color w:val="231F20"/>
          <w:spacing w:val="-4"/>
        </w:rPr>
        <w:t> </w:t>
      </w:r>
      <w:r>
        <w:rPr>
          <w:color w:val="231F20"/>
        </w:rPr>
        <w:t>of</w:t>
      </w:r>
      <w:r>
        <w:rPr>
          <w:color w:val="231F20"/>
          <w:spacing w:val="-3"/>
        </w:rPr>
        <w:t> </w:t>
      </w:r>
      <w:r>
        <w:rPr>
          <w:color w:val="231F20"/>
        </w:rPr>
        <w:t>even</w:t>
      </w:r>
      <w:r>
        <w:rPr>
          <w:color w:val="231F20"/>
          <w:spacing w:val="-5"/>
        </w:rPr>
        <w:t> </w:t>
      </w:r>
      <w:r>
        <w:rPr>
          <w:color w:val="231F20"/>
        </w:rPr>
        <w:t>all</w:t>
      </w:r>
      <w:r>
        <w:rPr>
          <w:color w:val="231F20"/>
          <w:spacing w:val="-4"/>
        </w:rPr>
        <w:t> </w:t>
      </w:r>
      <w:r>
        <w:rPr>
          <w:color w:val="231F20"/>
        </w:rPr>
        <w:t>fees</w:t>
      </w:r>
      <w:r>
        <w:rPr>
          <w:color w:val="231F20"/>
          <w:spacing w:val="-5"/>
        </w:rPr>
        <w:t> </w:t>
      </w:r>
      <w:r>
        <w:rPr>
          <w:color w:val="231F20"/>
        </w:rPr>
        <w:t>from</w:t>
      </w:r>
      <w:r>
        <w:rPr>
          <w:color w:val="231F20"/>
          <w:spacing w:val="23"/>
          <w:w w:val="99"/>
        </w:rPr>
        <w:t> </w:t>
      </w:r>
      <w:r>
        <w:rPr>
          <w:color w:val="231F20"/>
        </w:rPr>
        <w:t>all</w:t>
      </w:r>
      <w:r>
        <w:rPr>
          <w:color w:val="231F20"/>
          <w:spacing w:val="-6"/>
        </w:rPr>
        <w:t> </w:t>
      </w:r>
      <w:r>
        <w:rPr>
          <w:color w:val="231F20"/>
        </w:rPr>
        <w:t>non</w:t>
      </w:r>
      <w:r>
        <w:rPr>
          <w:color w:val="231F20"/>
          <w:spacing w:val="-5"/>
        </w:rPr>
        <w:t> </w:t>
      </w:r>
      <w:r>
        <w:rPr>
          <w:color w:val="231F20"/>
        </w:rPr>
        <w:t>ABSTUDY</w:t>
      </w:r>
      <w:r>
        <w:rPr>
          <w:color w:val="231F20"/>
          <w:spacing w:val="-5"/>
        </w:rPr>
        <w:t> </w:t>
      </w:r>
      <w:r>
        <w:rPr>
          <w:color w:val="231F20"/>
        </w:rPr>
        <w:t>funded</w:t>
      </w:r>
      <w:r>
        <w:rPr>
          <w:color w:val="231F20"/>
          <w:spacing w:val="-4"/>
        </w:rPr>
        <w:t> </w:t>
      </w:r>
      <w:r>
        <w:rPr>
          <w:color w:val="231F20"/>
        </w:rPr>
        <w:t>boarders</w:t>
      </w:r>
      <w:r>
        <w:rPr>
          <w:color w:val="231F20"/>
          <w:spacing w:val="-5"/>
        </w:rPr>
        <w:t> </w:t>
      </w:r>
      <w:r>
        <w:rPr>
          <w:color w:val="231F20"/>
        </w:rPr>
        <w:t>would</w:t>
      </w:r>
      <w:r>
        <w:rPr>
          <w:color w:val="231F20"/>
          <w:spacing w:val="-6"/>
        </w:rPr>
        <w:t> </w:t>
      </w:r>
      <w:r>
        <w:rPr>
          <w:color w:val="231F20"/>
        </w:rPr>
        <w:t>be</w:t>
      </w:r>
      <w:r>
        <w:rPr>
          <w:color w:val="231F20"/>
          <w:w w:val="99"/>
        </w:rPr>
        <w:t> </w:t>
      </w:r>
      <w:r>
        <w:rPr>
          <w:rFonts w:ascii="Segoe UI"/>
          <w:color w:val="231F20"/>
        </w:rPr>
        <w:t>offset</w:t>
      </w:r>
      <w:r>
        <w:rPr>
          <w:rFonts w:ascii="Segoe UI"/>
          <w:color w:val="231F20"/>
          <w:spacing w:val="-1"/>
        </w:rPr>
        <w:t> </w:t>
      </w:r>
      <w:r>
        <w:rPr>
          <w:rFonts w:ascii="Segoe UI"/>
          <w:color w:val="231F20"/>
        </w:rPr>
        <w:t>by</w:t>
      </w:r>
      <w:r>
        <w:rPr>
          <w:rFonts w:ascii="Segoe UI"/>
          <w:color w:val="231F20"/>
          <w:spacing w:val="-1"/>
        </w:rPr>
        <w:t> </w:t>
      </w:r>
      <w:r>
        <w:rPr>
          <w:rFonts w:ascii="Segoe UI"/>
          <w:color w:val="231F20"/>
        </w:rPr>
        <w:t>increased</w:t>
      </w:r>
      <w:r>
        <w:rPr>
          <w:rFonts w:ascii="Segoe UI"/>
          <w:color w:val="231F20"/>
          <w:spacing w:val="-1"/>
        </w:rPr>
        <w:t> </w:t>
      </w:r>
      <w:r>
        <w:rPr>
          <w:rFonts w:ascii="Segoe UI"/>
          <w:color w:val="231F20"/>
        </w:rPr>
        <w:t>ABSTUDY</w:t>
      </w:r>
      <w:r>
        <w:rPr>
          <w:rFonts w:ascii="Segoe UI"/>
          <w:color w:val="231F20"/>
          <w:spacing w:val="-1"/>
        </w:rPr>
        <w:t> </w:t>
      </w:r>
      <w:r>
        <w:rPr>
          <w:rFonts w:ascii="Segoe UI"/>
          <w:color w:val="231F20"/>
        </w:rPr>
        <w:t>receipts.</w:t>
      </w:r>
      <w:r>
        <w:rPr>
          <w:rFonts w:ascii="Segoe UI"/>
          <w:color w:val="231F20"/>
          <w:spacing w:val="-1"/>
        </w:rPr>
        <w:t> </w:t>
      </w:r>
      <w:r>
        <w:rPr>
          <w:rFonts w:ascii="Segoe UI"/>
          <w:color w:val="231F20"/>
        </w:rPr>
        <w:t>For those</w:t>
      </w:r>
      <w:r>
        <w:rPr>
          <w:rFonts w:ascii="Segoe UI"/>
          <w:color w:val="231F20"/>
        </w:rPr>
        <w:t> </w:t>
      </w:r>
      <w:r>
        <w:rPr>
          <w:color w:val="231F20"/>
        </w:rPr>
        <w:t>boarding</w:t>
      </w:r>
      <w:r>
        <w:rPr>
          <w:color w:val="231F20"/>
          <w:spacing w:val="-9"/>
        </w:rPr>
        <w:t> </w:t>
      </w:r>
      <w:r>
        <w:rPr>
          <w:color w:val="231F20"/>
        </w:rPr>
        <w:t>providers</w:t>
      </w:r>
      <w:r>
        <w:rPr>
          <w:color w:val="231F20"/>
          <w:spacing w:val="-9"/>
        </w:rPr>
        <w:t> </w:t>
      </w:r>
      <w:r>
        <w:rPr>
          <w:color w:val="231F20"/>
        </w:rPr>
        <w:t>that</w:t>
      </w:r>
      <w:r>
        <w:rPr>
          <w:color w:val="231F20"/>
          <w:spacing w:val="-8"/>
        </w:rPr>
        <w:t> </w:t>
      </w:r>
      <w:r>
        <w:rPr>
          <w:color w:val="231F20"/>
        </w:rPr>
        <w:t>are</w:t>
      </w:r>
      <w:r>
        <w:rPr>
          <w:color w:val="231F20"/>
          <w:spacing w:val="-9"/>
        </w:rPr>
        <w:t> </w:t>
      </w:r>
      <w:r>
        <w:rPr>
          <w:color w:val="231F20"/>
          <w:spacing w:val="-1"/>
        </w:rPr>
        <w:t>incurring</w:t>
      </w:r>
      <w:r>
        <w:rPr>
          <w:color w:val="231F20"/>
          <w:spacing w:val="-8"/>
        </w:rPr>
        <w:t> </w:t>
      </w:r>
      <w:r>
        <w:rPr>
          <w:color w:val="231F20"/>
        </w:rPr>
        <w:t>boarding</w:t>
      </w:r>
      <w:r>
        <w:rPr>
          <w:color w:val="231F20"/>
          <w:spacing w:val="22"/>
          <w:w w:val="99"/>
        </w:rPr>
        <w:t> </w:t>
      </w:r>
      <w:r>
        <w:rPr>
          <w:color w:val="231F20"/>
          <w:spacing w:val="-1"/>
        </w:rPr>
        <w:t>losses</w:t>
      </w:r>
      <w:r>
        <w:rPr>
          <w:color w:val="231F20"/>
          <w:spacing w:val="-3"/>
        </w:rPr>
        <w:t> </w:t>
      </w:r>
      <w:r>
        <w:rPr>
          <w:color w:val="231F20"/>
        </w:rPr>
        <w:t>and</w:t>
      </w:r>
      <w:r>
        <w:rPr>
          <w:color w:val="231F20"/>
          <w:spacing w:val="-3"/>
        </w:rPr>
        <w:t> </w:t>
      </w:r>
      <w:r>
        <w:rPr>
          <w:color w:val="231F20"/>
        </w:rPr>
        <w:t>do</w:t>
      </w:r>
      <w:r>
        <w:rPr>
          <w:color w:val="231F20"/>
          <w:spacing w:val="-3"/>
        </w:rPr>
        <w:t> </w:t>
      </w:r>
      <w:r>
        <w:rPr>
          <w:color w:val="231F20"/>
        </w:rPr>
        <w:t>not</w:t>
      </w:r>
      <w:r>
        <w:rPr>
          <w:color w:val="231F20"/>
          <w:spacing w:val="-2"/>
        </w:rPr>
        <w:t> </w:t>
      </w:r>
      <w:r>
        <w:rPr>
          <w:color w:val="231F20"/>
        </w:rPr>
        <w:t>have</w:t>
      </w:r>
      <w:r>
        <w:rPr>
          <w:color w:val="231F20"/>
          <w:spacing w:val="-4"/>
        </w:rPr>
        <w:t> </w:t>
      </w:r>
      <w:r>
        <w:rPr>
          <w:color w:val="231F20"/>
        </w:rPr>
        <w:t>other</w:t>
      </w:r>
      <w:r>
        <w:rPr>
          <w:color w:val="231F20"/>
          <w:spacing w:val="-2"/>
        </w:rPr>
        <w:t> </w:t>
      </w:r>
      <w:r>
        <w:rPr>
          <w:color w:val="231F20"/>
          <w:spacing w:val="-1"/>
        </w:rPr>
        <w:t>sources</w:t>
      </w:r>
      <w:r>
        <w:rPr>
          <w:color w:val="231F20"/>
          <w:spacing w:val="-2"/>
        </w:rPr>
        <w:t> </w:t>
      </w:r>
      <w:r>
        <w:rPr>
          <w:color w:val="231F20"/>
        </w:rPr>
        <w:t>of</w:t>
      </w:r>
      <w:r>
        <w:rPr>
          <w:color w:val="231F20"/>
          <w:spacing w:val="-3"/>
        </w:rPr>
        <w:t> </w:t>
      </w:r>
      <w:r>
        <w:rPr>
          <w:color w:val="231F20"/>
          <w:spacing w:val="-1"/>
        </w:rPr>
        <w:t>income</w:t>
      </w:r>
      <w:r>
        <w:rPr>
          <w:color w:val="231F20"/>
          <w:spacing w:val="22"/>
        </w:rPr>
        <w:t> </w:t>
      </w:r>
      <w:r>
        <w:rPr>
          <w:color w:val="231F20"/>
        </w:rPr>
        <w:t>to</w:t>
      </w:r>
      <w:r>
        <w:rPr>
          <w:color w:val="231F20"/>
          <w:spacing w:val="-6"/>
        </w:rPr>
        <w:t> </w:t>
      </w:r>
      <w:r>
        <w:rPr>
          <w:color w:val="231F20"/>
          <w:spacing w:val="-1"/>
        </w:rPr>
        <w:t>support</w:t>
      </w:r>
      <w:r>
        <w:rPr>
          <w:color w:val="231F20"/>
          <w:spacing w:val="-5"/>
        </w:rPr>
        <w:t> </w:t>
      </w:r>
      <w:r>
        <w:rPr>
          <w:color w:val="231F20"/>
        </w:rPr>
        <w:t>boarding,</w:t>
      </w:r>
      <w:r>
        <w:rPr>
          <w:color w:val="231F20"/>
          <w:spacing w:val="-7"/>
        </w:rPr>
        <w:t> </w:t>
      </w:r>
      <w:r>
        <w:rPr>
          <w:color w:val="231F20"/>
          <w:spacing w:val="-1"/>
        </w:rPr>
        <w:t>such</w:t>
      </w:r>
      <w:r>
        <w:rPr>
          <w:color w:val="231F20"/>
          <w:spacing w:val="-5"/>
        </w:rPr>
        <w:t> </w:t>
      </w:r>
      <w:r>
        <w:rPr>
          <w:color w:val="231F20"/>
        </w:rPr>
        <w:t>as</w:t>
      </w:r>
      <w:r>
        <w:rPr>
          <w:color w:val="231F20"/>
          <w:spacing w:val="-6"/>
        </w:rPr>
        <w:t> </w:t>
      </w:r>
      <w:r>
        <w:rPr>
          <w:color w:val="231F20"/>
        </w:rPr>
        <w:t>private</w:t>
      </w:r>
      <w:r>
        <w:rPr>
          <w:color w:val="231F20"/>
          <w:spacing w:val="-7"/>
        </w:rPr>
        <w:t> </w:t>
      </w:r>
      <w:r>
        <w:rPr>
          <w:color w:val="231F20"/>
        </w:rPr>
        <w:t>donations</w:t>
      </w:r>
      <w:r>
        <w:rPr>
          <w:color w:val="231F20"/>
          <w:spacing w:val="23"/>
          <w:w w:val="99"/>
        </w:rPr>
        <w:t> </w:t>
      </w:r>
      <w:r>
        <w:rPr>
          <w:color w:val="231F20"/>
        </w:rPr>
        <w:t>or</w:t>
      </w:r>
      <w:r>
        <w:rPr>
          <w:color w:val="231F20"/>
          <w:spacing w:val="-6"/>
        </w:rPr>
        <w:t> </w:t>
      </w:r>
      <w:r>
        <w:rPr>
          <w:color w:val="231F20"/>
          <w:spacing w:val="-1"/>
        </w:rPr>
        <w:t>state</w:t>
      </w:r>
      <w:r>
        <w:rPr>
          <w:color w:val="231F20"/>
          <w:spacing w:val="-5"/>
        </w:rPr>
        <w:t> </w:t>
      </w:r>
      <w:r>
        <w:rPr>
          <w:color w:val="231F20"/>
        </w:rPr>
        <w:t>or</w:t>
      </w:r>
      <w:r>
        <w:rPr>
          <w:color w:val="231F20"/>
          <w:spacing w:val="-5"/>
        </w:rPr>
        <w:t> </w:t>
      </w:r>
      <w:r>
        <w:rPr>
          <w:color w:val="231F20"/>
        </w:rPr>
        <w:t>territory</w:t>
      </w:r>
      <w:r>
        <w:rPr>
          <w:color w:val="231F20"/>
          <w:spacing w:val="-6"/>
        </w:rPr>
        <w:t> </w:t>
      </w:r>
      <w:r>
        <w:rPr>
          <w:color w:val="231F20"/>
        </w:rPr>
        <w:t>funding</w:t>
      </w:r>
      <w:r>
        <w:rPr>
          <w:color w:val="231F20"/>
          <w:spacing w:val="-5"/>
        </w:rPr>
        <w:t> </w:t>
      </w:r>
      <w:r>
        <w:rPr>
          <w:color w:val="231F20"/>
        </w:rPr>
        <w:t>for</w:t>
      </w:r>
      <w:r>
        <w:rPr>
          <w:color w:val="231F20"/>
          <w:spacing w:val="-5"/>
        </w:rPr>
        <w:t> </w:t>
      </w:r>
      <w:r>
        <w:rPr>
          <w:color w:val="231F20"/>
        </w:rPr>
        <w:t>boarding,</w:t>
      </w:r>
      <w:r>
        <w:rPr>
          <w:color w:val="231F20"/>
          <w:spacing w:val="-6"/>
        </w:rPr>
        <w:t> </w:t>
      </w:r>
      <w:r>
        <w:rPr>
          <w:color w:val="231F20"/>
        </w:rPr>
        <w:t>the</w:t>
      </w:r>
      <w:r>
        <w:rPr>
          <w:color w:val="231F20"/>
          <w:spacing w:val="21"/>
          <w:w w:val="99"/>
        </w:rPr>
        <w:t> </w:t>
      </w:r>
      <w:r>
        <w:rPr>
          <w:color w:val="231F20"/>
          <w:spacing w:val="-1"/>
        </w:rPr>
        <w:t>setting</w:t>
      </w:r>
      <w:r>
        <w:rPr>
          <w:color w:val="231F20"/>
          <w:spacing w:val="-5"/>
        </w:rPr>
        <w:t> </w:t>
      </w:r>
      <w:r>
        <w:rPr>
          <w:color w:val="231F20"/>
        </w:rPr>
        <w:t>of</w:t>
      </w:r>
      <w:r>
        <w:rPr>
          <w:color w:val="231F20"/>
          <w:spacing w:val="-4"/>
        </w:rPr>
        <w:t> </w:t>
      </w:r>
      <w:r>
        <w:rPr>
          <w:color w:val="231F20"/>
        </w:rPr>
        <w:t>boarding</w:t>
      </w:r>
      <w:r>
        <w:rPr>
          <w:color w:val="231F20"/>
          <w:spacing w:val="-5"/>
        </w:rPr>
        <w:t> </w:t>
      </w:r>
      <w:r>
        <w:rPr>
          <w:color w:val="231F20"/>
        </w:rPr>
        <w:t>fees</w:t>
      </w:r>
      <w:r>
        <w:rPr>
          <w:color w:val="231F20"/>
          <w:spacing w:val="-5"/>
        </w:rPr>
        <w:t> </w:t>
      </w:r>
      <w:r>
        <w:rPr>
          <w:color w:val="231F20"/>
        </w:rPr>
        <w:t>below</w:t>
      </w:r>
      <w:r>
        <w:rPr>
          <w:color w:val="231F20"/>
          <w:spacing w:val="-5"/>
        </w:rPr>
        <w:t> </w:t>
      </w:r>
      <w:r>
        <w:rPr>
          <w:color w:val="231F20"/>
        </w:rPr>
        <w:t>the</w:t>
      </w:r>
      <w:r>
        <w:rPr>
          <w:color w:val="231F20"/>
          <w:spacing w:val="-5"/>
        </w:rPr>
        <w:t> </w:t>
      </w:r>
      <w:r>
        <w:rPr>
          <w:color w:val="231F20"/>
          <w:spacing w:val="-1"/>
        </w:rPr>
        <w:t>maximum</w:t>
      </w:r>
      <w:r>
        <w:rPr>
          <w:color w:val="231F20"/>
          <w:spacing w:val="21"/>
        </w:rPr>
        <w:t> </w:t>
      </w:r>
      <w:r>
        <w:rPr>
          <w:rFonts w:ascii="Segoe UI"/>
          <w:color w:val="231F20"/>
        </w:rPr>
        <w:t>ABSTUDY entitlement may not be financially</w:t>
      </w:r>
      <w:r>
        <w:rPr>
          <w:rFonts w:ascii="Segoe UI"/>
          <w:color w:val="231F20"/>
        </w:rPr>
        <w:t> </w:t>
      </w:r>
      <w:r>
        <w:rPr>
          <w:color w:val="231F20"/>
        </w:rPr>
        <w:t>viable</w:t>
      </w:r>
      <w:r>
        <w:rPr>
          <w:color w:val="231F20"/>
          <w:spacing w:val="-3"/>
        </w:rPr>
        <w:t> </w:t>
      </w:r>
      <w:r>
        <w:rPr>
          <w:color w:val="231F20"/>
          <w:spacing w:val="-1"/>
        </w:rPr>
        <w:t>in</w:t>
      </w:r>
      <w:r>
        <w:rPr>
          <w:color w:val="231F20"/>
          <w:spacing w:val="-3"/>
        </w:rPr>
        <w:t> </w:t>
      </w:r>
      <w:r>
        <w:rPr>
          <w:color w:val="231F20"/>
        </w:rPr>
        <w:t>the</w:t>
      </w:r>
      <w:r>
        <w:rPr>
          <w:color w:val="231F20"/>
          <w:spacing w:val="-3"/>
        </w:rPr>
        <w:t> </w:t>
      </w:r>
      <w:r>
        <w:rPr>
          <w:color w:val="231F20"/>
          <w:spacing w:val="-1"/>
        </w:rPr>
        <w:t>long</w:t>
      </w:r>
      <w:r>
        <w:rPr>
          <w:color w:val="231F20"/>
          <w:spacing w:val="-3"/>
        </w:rPr>
        <w:t> </w:t>
      </w:r>
      <w:r>
        <w:rPr>
          <w:color w:val="231F20"/>
        </w:rPr>
        <w:t>term.</w:t>
      </w:r>
      <w:r>
        <w:rPr>
          <w:color w:val="231F20"/>
          <w:spacing w:val="-3"/>
        </w:rPr>
        <w:t> </w:t>
      </w:r>
      <w:r>
        <w:rPr>
          <w:color w:val="231F20"/>
          <w:spacing w:val="-1"/>
        </w:rPr>
        <w:t>It</w:t>
      </w:r>
      <w:r>
        <w:rPr>
          <w:color w:val="231F20"/>
          <w:spacing w:val="-3"/>
        </w:rPr>
        <w:t> </w:t>
      </w:r>
      <w:r>
        <w:rPr>
          <w:color w:val="231F20"/>
        </w:rPr>
        <w:t>would</w:t>
      </w:r>
      <w:r>
        <w:rPr>
          <w:color w:val="231F20"/>
          <w:spacing w:val="-3"/>
        </w:rPr>
        <w:t> </w:t>
      </w:r>
      <w:r>
        <w:rPr>
          <w:color w:val="231F20"/>
        </w:rPr>
        <w:t>also</w:t>
      </w:r>
      <w:r>
        <w:rPr>
          <w:color w:val="231F20"/>
          <w:spacing w:val="-4"/>
        </w:rPr>
        <w:t> </w:t>
      </w:r>
      <w:r>
        <w:rPr>
          <w:color w:val="231F20"/>
        </w:rPr>
        <w:t>be</w:t>
      </w:r>
      <w:r>
        <w:rPr/>
      </w:r>
    </w:p>
    <w:p>
      <w:pPr>
        <w:pStyle w:val="BodyText"/>
        <w:spacing w:line="250" w:lineRule="exact"/>
        <w:ind w:left="100" w:right="295"/>
        <w:jc w:val="left"/>
      </w:pPr>
      <w:r>
        <w:rPr>
          <w:rFonts w:ascii="Segoe UI"/>
          <w:color w:val="231F20"/>
        </w:rPr>
        <w:t>difficult to support calls for increased funding </w:t>
      </w:r>
      <w:r>
        <w:rPr>
          <w:color w:val="231F20"/>
        </w:rPr>
        <w:t>from</w:t>
      </w:r>
      <w:r>
        <w:rPr>
          <w:color w:val="231F20"/>
          <w:spacing w:val="-6"/>
        </w:rPr>
        <w:t> </w:t>
      </w:r>
      <w:r>
        <w:rPr>
          <w:color w:val="231F20"/>
        </w:rPr>
        <w:t>government</w:t>
      </w:r>
      <w:r>
        <w:rPr>
          <w:color w:val="231F20"/>
          <w:spacing w:val="-7"/>
        </w:rPr>
        <w:t> </w:t>
      </w:r>
      <w:r>
        <w:rPr>
          <w:color w:val="231F20"/>
        </w:rPr>
        <w:t>for</w:t>
      </w:r>
      <w:r>
        <w:rPr>
          <w:color w:val="231F20"/>
          <w:spacing w:val="-6"/>
        </w:rPr>
        <w:t> </w:t>
      </w:r>
      <w:r>
        <w:rPr>
          <w:color w:val="231F20"/>
        </w:rPr>
        <w:t>Aboriginal</w:t>
      </w:r>
      <w:r>
        <w:rPr>
          <w:color w:val="231F20"/>
          <w:spacing w:val="-6"/>
        </w:rPr>
        <w:t> </w:t>
      </w:r>
      <w:r>
        <w:rPr>
          <w:color w:val="231F20"/>
        </w:rPr>
        <w:t>and</w:t>
      </w:r>
      <w:r>
        <w:rPr>
          <w:color w:val="231F20"/>
          <w:spacing w:val="-7"/>
        </w:rPr>
        <w:t> </w:t>
      </w:r>
      <w:r>
        <w:rPr>
          <w:color w:val="231F20"/>
          <w:spacing w:val="-5"/>
        </w:rPr>
        <w:t>Torres</w:t>
      </w:r>
      <w:r>
        <w:rPr>
          <w:color w:val="231F20"/>
          <w:spacing w:val="24"/>
          <w:w w:val="99"/>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6"/>
        </w:rPr>
        <w:t> </w:t>
      </w:r>
      <w:r>
        <w:rPr>
          <w:color w:val="231F20"/>
          <w:spacing w:val="-1"/>
        </w:rPr>
        <w:t>if</w:t>
      </w:r>
      <w:r>
        <w:rPr>
          <w:color w:val="231F20"/>
          <w:spacing w:val="-6"/>
        </w:rPr>
        <w:t> </w:t>
      </w:r>
      <w:r>
        <w:rPr>
          <w:color w:val="231F20"/>
        </w:rPr>
        <w:t>providers</w:t>
      </w:r>
      <w:r>
        <w:rPr>
          <w:color w:val="231F20"/>
          <w:spacing w:val="-7"/>
        </w:rPr>
        <w:t> </w:t>
      </w:r>
      <w:r>
        <w:rPr>
          <w:color w:val="231F20"/>
        </w:rPr>
        <w:t>were</w:t>
      </w:r>
      <w:r>
        <w:rPr>
          <w:color w:val="231F20"/>
          <w:spacing w:val="-6"/>
        </w:rPr>
        <w:t> </w:t>
      </w:r>
      <w:r>
        <w:rPr>
          <w:color w:val="231F20"/>
        </w:rPr>
        <w:t>not</w:t>
      </w:r>
      <w:r>
        <w:rPr>
          <w:color w:val="231F20"/>
          <w:spacing w:val="28"/>
          <w:w w:val="99"/>
        </w:rPr>
        <w:t> </w:t>
      </w:r>
      <w:r>
        <w:rPr>
          <w:color w:val="231F20"/>
          <w:spacing w:val="-1"/>
        </w:rPr>
        <w:t>maximising</w:t>
      </w:r>
      <w:r>
        <w:rPr>
          <w:color w:val="231F20"/>
          <w:spacing w:val="-7"/>
        </w:rPr>
        <w:t> </w:t>
      </w:r>
      <w:r>
        <w:rPr>
          <w:color w:val="231F20"/>
        </w:rPr>
        <w:t>existing</w:t>
      </w:r>
      <w:r>
        <w:rPr>
          <w:color w:val="231F20"/>
          <w:spacing w:val="-7"/>
        </w:rPr>
        <w:t> </w:t>
      </w:r>
      <w:r>
        <w:rPr>
          <w:color w:val="231F20"/>
        </w:rPr>
        <w:t>revenue</w:t>
      </w:r>
      <w:r>
        <w:rPr>
          <w:color w:val="231F20"/>
          <w:spacing w:val="-8"/>
        </w:rPr>
        <w:t> </w:t>
      </w:r>
      <w:r>
        <w:rPr>
          <w:color w:val="231F20"/>
        </w:rPr>
        <w:t>opportunities.</w:t>
      </w:r>
      <w:r>
        <w:rPr/>
      </w:r>
    </w:p>
    <w:p>
      <w:pPr>
        <w:pStyle w:val="BodyText"/>
        <w:spacing w:line="250" w:lineRule="exact" w:before="113"/>
        <w:ind w:left="100" w:right="430"/>
        <w:jc w:val="left"/>
      </w:pPr>
      <w:r>
        <w:rPr>
          <w:color w:val="231F20"/>
        </w:rPr>
        <w:t>Grant</w:t>
      </w:r>
      <w:r>
        <w:rPr>
          <w:color w:val="231F20"/>
          <w:spacing w:val="-7"/>
        </w:rPr>
        <w:t> </w:t>
      </w:r>
      <w:r>
        <w:rPr>
          <w:color w:val="231F20"/>
        </w:rPr>
        <w:t>Thornton</w:t>
      </w:r>
      <w:r>
        <w:rPr>
          <w:color w:val="231F20"/>
          <w:spacing w:val="-7"/>
        </w:rPr>
        <w:t> </w:t>
      </w:r>
      <w:r>
        <w:rPr>
          <w:color w:val="231F20"/>
        </w:rPr>
        <w:t>found</w:t>
      </w:r>
      <w:r>
        <w:rPr>
          <w:color w:val="231F20"/>
          <w:spacing w:val="-6"/>
        </w:rPr>
        <w:t> </w:t>
      </w:r>
      <w:r>
        <w:rPr>
          <w:color w:val="231F20"/>
        </w:rPr>
        <w:t>that</w:t>
      </w:r>
      <w:r>
        <w:rPr>
          <w:color w:val="231F20"/>
          <w:spacing w:val="-7"/>
        </w:rPr>
        <w:t> </w:t>
      </w:r>
      <w:r>
        <w:rPr>
          <w:color w:val="231F20"/>
        </w:rPr>
        <w:t>high</w:t>
      </w:r>
      <w:r>
        <w:rPr>
          <w:color w:val="231F20"/>
          <w:spacing w:val="-7"/>
        </w:rPr>
        <w:t> </w:t>
      </w:r>
      <w:r>
        <w:rPr>
          <w:color w:val="231F20"/>
        </w:rPr>
        <w:t>fee</w:t>
      </w:r>
      <w:r>
        <w:rPr>
          <w:color w:val="231F20"/>
          <w:spacing w:val="-6"/>
        </w:rPr>
        <w:t> </w:t>
      </w:r>
      <w:r>
        <w:rPr>
          <w:color w:val="231F20"/>
        </w:rPr>
        <w:t>boarding</w:t>
      </w:r>
      <w:r>
        <w:rPr>
          <w:color w:val="231F20"/>
          <w:w w:val="99"/>
        </w:rPr>
        <w:t> </w:t>
      </w:r>
      <w:r>
        <w:rPr>
          <w:color w:val="231F20"/>
        </w:rPr>
        <w:t>providers,</w:t>
      </w:r>
      <w:r>
        <w:rPr>
          <w:color w:val="231F20"/>
          <w:spacing w:val="-7"/>
        </w:rPr>
        <w:t> </w:t>
      </w:r>
      <w:r>
        <w:rPr>
          <w:color w:val="231F20"/>
          <w:spacing w:val="-1"/>
        </w:rPr>
        <w:t>such</w:t>
      </w:r>
      <w:r>
        <w:rPr>
          <w:color w:val="231F20"/>
          <w:spacing w:val="-5"/>
        </w:rPr>
        <w:t> </w:t>
      </w:r>
      <w:r>
        <w:rPr>
          <w:color w:val="231F20"/>
        </w:rPr>
        <w:t>as</w:t>
      </w:r>
      <w:r>
        <w:rPr>
          <w:color w:val="231F20"/>
          <w:spacing w:val="-6"/>
        </w:rPr>
        <w:t> </w:t>
      </w:r>
      <w:r>
        <w:rPr>
          <w:color w:val="231F20"/>
        </w:rPr>
        <w:t>the</w:t>
      </w:r>
      <w:r>
        <w:rPr>
          <w:color w:val="231F20"/>
          <w:spacing w:val="-6"/>
        </w:rPr>
        <w:t> </w:t>
      </w:r>
      <w:r>
        <w:rPr>
          <w:color w:val="231F20"/>
          <w:spacing w:val="-1"/>
        </w:rPr>
        <w:t>leading</w:t>
      </w:r>
      <w:r>
        <w:rPr>
          <w:color w:val="231F20"/>
          <w:spacing w:val="-6"/>
        </w:rPr>
        <w:t> </w:t>
      </w:r>
      <w:r>
        <w:rPr>
          <w:color w:val="231F20"/>
        </w:rPr>
        <w:t>boarding</w:t>
      </w:r>
      <w:r>
        <w:rPr>
          <w:color w:val="231F20"/>
          <w:spacing w:val="23"/>
          <w:w w:val="99"/>
        </w:rPr>
        <w:t> </w:t>
      </w:r>
      <w:r>
        <w:rPr>
          <w:color w:val="231F20"/>
          <w:spacing w:val="-1"/>
        </w:rPr>
        <w:t>schools</w:t>
      </w:r>
      <w:r>
        <w:rPr>
          <w:color w:val="231F20"/>
          <w:spacing w:val="-4"/>
        </w:rPr>
        <w:t> </w:t>
      </w:r>
      <w:r>
        <w:rPr>
          <w:color w:val="231F20"/>
          <w:spacing w:val="-1"/>
        </w:rPr>
        <w:t>in</w:t>
      </w:r>
      <w:r>
        <w:rPr>
          <w:color w:val="231F20"/>
          <w:spacing w:val="-4"/>
        </w:rPr>
        <w:t> </w:t>
      </w:r>
      <w:r>
        <w:rPr>
          <w:color w:val="231F20"/>
        </w:rPr>
        <w:t>capital</w:t>
      </w:r>
      <w:r>
        <w:rPr>
          <w:color w:val="231F20"/>
          <w:spacing w:val="-5"/>
        </w:rPr>
        <w:t> </w:t>
      </w:r>
      <w:r>
        <w:rPr>
          <w:color w:val="231F20"/>
        </w:rPr>
        <w:t>cities,</w:t>
      </w:r>
      <w:r>
        <w:rPr>
          <w:color w:val="231F20"/>
          <w:spacing w:val="-4"/>
        </w:rPr>
        <w:t> </w:t>
      </w:r>
      <w:r>
        <w:rPr>
          <w:color w:val="231F20"/>
        </w:rPr>
        <w:t>and</w:t>
      </w:r>
      <w:r>
        <w:rPr>
          <w:color w:val="231F20"/>
          <w:spacing w:val="-5"/>
        </w:rPr>
        <w:t> </w:t>
      </w:r>
      <w:r>
        <w:rPr>
          <w:color w:val="231F20"/>
        </w:rPr>
        <w:t>those</w:t>
      </w:r>
      <w:r>
        <w:rPr>
          <w:color w:val="231F20"/>
          <w:spacing w:val="-4"/>
        </w:rPr>
        <w:t> </w:t>
      </w:r>
      <w:r>
        <w:rPr>
          <w:color w:val="231F20"/>
        </w:rPr>
        <w:t>boarding</w:t>
      </w:r>
      <w:r>
        <w:rPr>
          <w:color w:val="231F20"/>
          <w:spacing w:val="23"/>
          <w:w w:val="99"/>
        </w:rPr>
        <w:t> </w:t>
      </w:r>
      <w:r>
        <w:rPr>
          <w:color w:val="231F20"/>
        </w:rPr>
        <w:t>providers</w:t>
      </w:r>
      <w:r>
        <w:rPr>
          <w:color w:val="231F20"/>
          <w:spacing w:val="-5"/>
        </w:rPr>
        <w:t> </w:t>
      </w:r>
      <w:r>
        <w:rPr>
          <w:color w:val="231F20"/>
        </w:rPr>
        <w:t>with</w:t>
      </w:r>
      <w:r>
        <w:rPr>
          <w:color w:val="231F20"/>
          <w:spacing w:val="-5"/>
        </w:rPr>
        <w:t> </w:t>
      </w:r>
      <w:r>
        <w:rPr>
          <w:color w:val="231F20"/>
          <w:spacing w:val="-1"/>
        </w:rPr>
        <w:t>students</w:t>
      </w:r>
      <w:r>
        <w:rPr>
          <w:color w:val="231F20"/>
          <w:spacing w:val="-3"/>
        </w:rPr>
        <w:t> </w:t>
      </w:r>
      <w:r>
        <w:rPr>
          <w:color w:val="231F20"/>
        </w:rPr>
        <w:t>that</w:t>
      </w:r>
      <w:r>
        <w:rPr>
          <w:color w:val="231F20"/>
          <w:spacing w:val="-5"/>
        </w:rPr>
        <w:t> </w:t>
      </w:r>
      <w:r>
        <w:rPr>
          <w:color w:val="231F20"/>
        </w:rPr>
        <w:t>are</w:t>
      </w:r>
      <w:r>
        <w:rPr>
          <w:color w:val="231F20"/>
          <w:spacing w:val="-5"/>
        </w:rPr>
        <w:t> </w:t>
      </w:r>
      <w:r>
        <w:rPr>
          <w:color w:val="231F20"/>
        </w:rPr>
        <w:t>completely</w:t>
      </w:r>
      <w:r>
        <w:rPr>
          <w:color w:val="231F20"/>
          <w:spacing w:val="22"/>
        </w:rPr>
        <w:t> </w:t>
      </w:r>
      <w:r>
        <w:rPr>
          <w:color w:val="231F20"/>
        </w:rPr>
        <w:t>or</w:t>
      </w:r>
      <w:r>
        <w:rPr>
          <w:color w:val="231F20"/>
          <w:spacing w:val="-3"/>
        </w:rPr>
        <w:t> </w:t>
      </w:r>
      <w:r>
        <w:rPr>
          <w:color w:val="231F20"/>
          <w:spacing w:val="-1"/>
        </w:rPr>
        <w:t>substantially </w:t>
      </w:r>
      <w:r>
        <w:rPr>
          <w:color w:val="231F20"/>
        </w:rPr>
        <w:t>ABSTUDY</w:t>
      </w:r>
      <w:r>
        <w:rPr>
          <w:color w:val="231F20"/>
          <w:spacing w:val="-3"/>
        </w:rPr>
        <w:t> </w:t>
      </w:r>
      <w:r>
        <w:rPr>
          <w:color w:val="231F20"/>
        </w:rPr>
        <w:t>funded</w:t>
      </w:r>
      <w:r>
        <w:rPr>
          <w:color w:val="231F20"/>
          <w:spacing w:val="-2"/>
        </w:rPr>
        <w:t> </w:t>
      </w:r>
      <w:r>
        <w:rPr>
          <w:color w:val="231F20"/>
        </w:rPr>
        <w:t>are</w:t>
      </w:r>
      <w:r>
        <w:rPr>
          <w:color w:val="231F20"/>
          <w:spacing w:val="-3"/>
        </w:rPr>
        <w:t> </w:t>
      </w:r>
      <w:r>
        <w:rPr>
          <w:color w:val="231F20"/>
          <w:spacing w:val="-1"/>
        </w:rPr>
        <w:t>less</w:t>
      </w:r>
      <w:r>
        <w:rPr/>
      </w:r>
    </w:p>
    <w:p>
      <w:pPr>
        <w:pStyle w:val="BodyText"/>
        <w:spacing w:line="250" w:lineRule="exact"/>
        <w:ind w:left="100" w:right="202"/>
        <w:jc w:val="left"/>
      </w:pPr>
      <w:r>
        <w:rPr>
          <w:color w:val="231F20"/>
        </w:rPr>
        <w:t>challenged</w:t>
      </w:r>
      <w:r>
        <w:rPr>
          <w:color w:val="231F20"/>
          <w:spacing w:val="-4"/>
        </w:rPr>
        <w:t> </w:t>
      </w:r>
      <w:r>
        <w:rPr>
          <w:color w:val="231F20"/>
        </w:rPr>
        <w:t>by</w:t>
      </w:r>
      <w:r>
        <w:rPr>
          <w:color w:val="231F20"/>
          <w:spacing w:val="-3"/>
        </w:rPr>
        <w:t> </w:t>
      </w:r>
      <w:r>
        <w:rPr>
          <w:color w:val="231F20"/>
        </w:rPr>
        <w:t>the</w:t>
      </w:r>
      <w:r>
        <w:rPr>
          <w:color w:val="231F20"/>
          <w:spacing w:val="-4"/>
        </w:rPr>
        <w:t> </w:t>
      </w:r>
      <w:r>
        <w:rPr>
          <w:color w:val="231F20"/>
          <w:spacing w:val="-1"/>
        </w:rPr>
        <w:t>issue</w:t>
      </w:r>
      <w:r>
        <w:rPr>
          <w:color w:val="231F20"/>
          <w:spacing w:val="-3"/>
        </w:rPr>
        <w:t> </w:t>
      </w:r>
      <w:r>
        <w:rPr>
          <w:color w:val="231F20"/>
        </w:rPr>
        <w:t>of</w:t>
      </w:r>
      <w:r>
        <w:rPr>
          <w:color w:val="231F20"/>
          <w:spacing w:val="-3"/>
        </w:rPr>
        <w:t> </w:t>
      </w:r>
      <w:r>
        <w:rPr>
          <w:color w:val="231F20"/>
        </w:rPr>
        <w:t>and</w:t>
      </w:r>
      <w:r>
        <w:rPr>
          <w:color w:val="231F20"/>
          <w:spacing w:val="-4"/>
        </w:rPr>
        <w:t> </w:t>
      </w:r>
      <w:r>
        <w:rPr>
          <w:color w:val="231F20"/>
        </w:rPr>
        <w:t>their</w:t>
      </w:r>
      <w:r>
        <w:rPr>
          <w:color w:val="231F20"/>
          <w:spacing w:val="-4"/>
        </w:rPr>
        <w:t> </w:t>
      </w:r>
      <w:r>
        <w:rPr>
          <w:color w:val="231F20"/>
        </w:rPr>
        <w:t>fees</w:t>
      </w:r>
      <w:r>
        <w:rPr>
          <w:color w:val="231F20"/>
          <w:spacing w:val="-4"/>
        </w:rPr>
        <w:t> </w:t>
      </w:r>
      <w:r>
        <w:rPr>
          <w:color w:val="231F20"/>
        </w:rPr>
        <w:t>are</w:t>
      </w:r>
      <w:r>
        <w:rPr>
          <w:color w:val="231F20"/>
          <w:spacing w:val="-4"/>
        </w:rPr>
        <w:t> </w:t>
      </w:r>
      <w:r>
        <w:rPr>
          <w:color w:val="231F20"/>
          <w:spacing w:val="-1"/>
        </w:rPr>
        <w:t>set</w:t>
      </w:r>
      <w:r>
        <w:rPr>
          <w:color w:val="231F20"/>
          <w:spacing w:val="21"/>
        </w:rPr>
        <w:t> </w:t>
      </w:r>
      <w:r>
        <w:rPr>
          <w:color w:val="231F20"/>
        </w:rPr>
        <w:t>at</w:t>
      </w:r>
      <w:r>
        <w:rPr>
          <w:color w:val="231F20"/>
          <w:spacing w:val="-3"/>
        </w:rPr>
        <w:t> </w:t>
      </w:r>
      <w:r>
        <w:rPr>
          <w:color w:val="231F20"/>
        </w:rPr>
        <w:t>or</w:t>
      </w:r>
      <w:r>
        <w:rPr>
          <w:color w:val="231F20"/>
          <w:spacing w:val="-3"/>
        </w:rPr>
        <w:t> </w:t>
      </w:r>
      <w:r>
        <w:rPr>
          <w:color w:val="231F20"/>
        </w:rPr>
        <w:t>above</w:t>
      </w:r>
      <w:r>
        <w:rPr>
          <w:color w:val="231F20"/>
          <w:spacing w:val="-4"/>
        </w:rPr>
        <w:t> </w:t>
      </w:r>
      <w:r>
        <w:rPr>
          <w:color w:val="231F20"/>
        </w:rPr>
        <w:t>the</w:t>
      </w:r>
      <w:r>
        <w:rPr>
          <w:color w:val="231F20"/>
          <w:spacing w:val="-4"/>
        </w:rPr>
        <w:t> </w:t>
      </w:r>
      <w:r>
        <w:rPr>
          <w:color w:val="231F20"/>
          <w:spacing w:val="-1"/>
        </w:rPr>
        <w:t>maximum</w:t>
      </w:r>
      <w:r>
        <w:rPr>
          <w:color w:val="231F20"/>
          <w:spacing w:val="-3"/>
        </w:rPr>
        <w:t> </w:t>
      </w:r>
      <w:r>
        <w:rPr>
          <w:color w:val="231F20"/>
        </w:rPr>
        <w:t>amount</w:t>
      </w:r>
      <w:r>
        <w:rPr>
          <w:color w:val="231F20"/>
          <w:spacing w:val="-4"/>
        </w:rPr>
        <w:t> </w:t>
      </w:r>
      <w:r>
        <w:rPr>
          <w:color w:val="231F20"/>
        </w:rPr>
        <w:t>of</w:t>
      </w:r>
      <w:r>
        <w:rPr>
          <w:color w:val="231F20"/>
          <w:spacing w:val="-3"/>
        </w:rPr>
        <w:t> </w:t>
      </w:r>
      <w:r>
        <w:rPr>
          <w:color w:val="231F20"/>
        </w:rPr>
        <w:t>ABSTUDY</w:t>
      </w:r>
      <w:r>
        <w:rPr>
          <w:color w:val="231F20"/>
          <w:spacing w:val="22"/>
        </w:rPr>
        <w:t> </w:t>
      </w:r>
      <w:r>
        <w:rPr>
          <w:rFonts w:ascii="Segoe UI"/>
          <w:color w:val="231F20"/>
        </w:rPr>
        <w:t>for</w:t>
      </w:r>
      <w:r>
        <w:rPr>
          <w:rFonts w:ascii="Segoe UI"/>
          <w:color w:val="231F20"/>
          <w:spacing w:val="-2"/>
        </w:rPr>
        <w:t> </w:t>
      </w:r>
      <w:r>
        <w:rPr>
          <w:rFonts w:ascii="Segoe UI"/>
          <w:color w:val="231F20"/>
        </w:rPr>
        <w:t>differing</w:t>
      </w:r>
      <w:r>
        <w:rPr>
          <w:rFonts w:ascii="Segoe UI"/>
          <w:color w:val="231F20"/>
          <w:spacing w:val="-1"/>
        </w:rPr>
        <w:t> </w:t>
      </w:r>
      <w:r>
        <w:rPr>
          <w:rFonts w:ascii="Segoe UI"/>
          <w:color w:val="231F20"/>
        </w:rPr>
        <w:t>reasons.</w:t>
      </w:r>
      <w:r>
        <w:rPr>
          <w:rFonts w:ascii="Segoe UI"/>
          <w:color w:val="231F20"/>
          <w:spacing w:val="-2"/>
        </w:rPr>
        <w:t> </w:t>
      </w:r>
      <w:r>
        <w:rPr>
          <w:rFonts w:ascii="Segoe UI"/>
          <w:color w:val="231F20"/>
        </w:rPr>
        <w:t>Those</w:t>
      </w:r>
      <w:r>
        <w:rPr>
          <w:rFonts w:ascii="Segoe UI"/>
          <w:color w:val="231F20"/>
          <w:spacing w:val="-1"/>
        </w:rPr>
        <w:t> </w:t>
      </w:r>
      <w:r>
        <w:rPr>
          <w:rFonts w:ascii="Segoe UI"/>
          <w:color w:val="231F20"/>
        </w:rPr>
        <w:t>boarding</w:t>
      </w:r>
      <w:r>
        <w:rPr>
          <w:rFonts w:ascii="Segoe UI"/>
          <w:color w:val="231F20"/>
          <w:spacing w:val="-2"/>
        </w:rPr>
        <w:t> </w:t>
      </w:r>
      <w:r>
        <w:rPr>
          <w:rFonts w:ascii="Segoe UI"/>
          <w:color w:val="231F20"/>
        </w:rPr>
        <w:t>providers</w:t>
      </w:r>
      <w:r>
        <w:rPr>
          <w:rFonts w:ascii="Segoe UI"/>
          <w:color w:val="231F20"/>
        </w:rPr>
        <w:t> </w:t>
      </w:r>
      <w:r>
        <w:rPr>
          <w:color w:val="231F20"/>
        </w:rPr>
        <w:t>between</w:t>
      </w:r>
      <w:r>
        <w:rPr>
          <w:color w:val="231F20"/>
          <w:spacing w:val="-6"/>
        </w:rPr>
        <w:t> </w:t>
      </w:r>
      <w:r>
        <w:rPr>
          <w:color w:val="231F20"/>
        </w:rPr>
        <w:t>the</w:t>
      </w:r>
      <w:r>
        <w:rPr>
          <w:color w:val="231F20"/>
          <w:spacing w:val="-5"/>
        </w:rPr>
        <w:t> </w:t>
      </w:r>
      <w:r>
        <w:rPr>
          <w:color w:val="231F20"/>
        </w:rPr>
        <w:t>top</w:t>
      </w:r>
      <w:r>
        <w:rPr>
          <w:color w:val="231F20"/>
          <w:spacing w:val="-6"/>
        </w:rPr>
        <w:t> </w:t>
      </w:r>
      <w:r>
        <w:rPr>
          <w:color w:val="231F20"/>
        </w:rPr>
        <w:t>and</w:t>
      </w:r>
      <w:r>
        <w:rPr>
          <w:color w:val="231F20"/>
          <w:spacing w:val="-5"/>
        </w:rPr>
        <w:t> </w:t>
      </w:r>
      <w:r>
        <w:rPr>
          <w:color w:val="231F20"/>
          <w:spacing w:val="-1"/>
        </w:rPr>
        <w:t>lower</w:t>
      </w:r>
      <w:r>
        <w:rPr>
          <w:color w:val="231F20"/>
          <w:spacing w:val="-5"/>
        </w:rPr>
        <w:t> </w:t>
      </w:r>
      <w:r>
        <w:rPr>
          <w:color w:val="231F20"/>
        </w:rPr>
        <w:t>end</w:t>
      </w:r>
      <w:r>
        <w:rPr>
          <w:color w:val="231F20"/>
          <w:spacing w:val="-4"/>
        </w:rPr>
        <w:t> </w:t>
      </w:r>
      <w:r>
        <w:rPr>
          <w:color w:val="231F20"/>
        </w:rPr>
        <w:t>of</w:t>
      </w:r>
      <w:r>
        <w:rPr>
          <w:color w:val="231F20"/>
          <w:spacing w:val="-5"/>
        </w:rPr>
        <w:t> </w:t>
      </w:r>
      <w:r>
        <w:rPr>
          <w:color w:val="231F20"/>
        </w:rPr>
        <w:t>the</w:t>
      </w:r>
      <w:r>
        <w:rPr>
          <w:color w:val="231F20"/>
          <w:spacing w:val="-5"/>
        </w:rPr>
        <w:t> </w:t>
      </w:r>
      <w:r>
        <w:rPr>
          <w:color w:val="231F20"/>
          <w:spacing w:val="-1"/>
        </w:rPr>
        <w:t>market</w:t>
      </w:r>
      <w:r>
        <w:rPr>
          <w:color w:val="231F20"/>
          <w:spacing w:val="21"/>
          <w:w w:val="99"/>
        </w:rPr>
        <w:t> </w:t>
      </w:r>
      <w:r>
        <w:rPr>
          <w:color w:val="231F20"/>
        </w:rPr>
        <w:t>appear</w:t>
      </w:r>
      <w:r>
        <w:rPr>
          <w:color w:val="231F20"/>
          <w:spacing w:val="-6"/>
        </w:rPr>
        <w:t> </w:t>
      </w:r>
      <w:r>
        <w:rPr>
          <w:color w:val="231F20"/>
        </w:rPr>
        <w:t>to</w:t>
      </w:r>
      <w:r>
        <w:rPr>
          <w:color w:val="231F20"/>
          <w:spacing w:val="-4"/>
        </w:rPr>
        <w:t> </w:t>
      </w:r>
      <w:r>
        <w:rPr>
          <w:color w:val="231F20"/>
          <w:spacing w:val="-1"/>
        </w:rPr>
        <w:t>struggle</w:t>
      </w:r>
      <w:r>
        <w:rPr>
          <w:color w:val="231F20"/>
          <w:spacing w:val="-5"/>
        </w:rPr>
        <w:t> </w:t>
      </w:r>
      <w:r>
        <w:rPr>
          <w:color w:val="231F20"/>
        </w:rPr>
        <w:t>the</w:t>
      </w:r>
      <w:r>
        <w:rPr>
          <w:color w:val="231F20"/>
          <w:spacing w:val="-5"/>
        </w:rPr>
        <w:t> </w:t>
      </w:r>
      <w:r>
        <w:rPr>
          <w:color w:val="231F20"/>
          <w:spacing w:val="-1"/>
        </w:rPr>
        <w:t>most</w:t>
      </w:r>
      <w:r>
        <w:rPr>
          <w:color w:val="231F20"/>
          <w:spacing w:val="-4"/>
        </w:rPr>
        <w:t> </w:t>
      </w:r>
      <w:r>
        <w:rPr>
          <w:color w:val="231F20"/>
        </w:rPr>
        <w:t>with</w:t>
      </w:r>
      <w:r>
        <w:rPr>
          <w:color w:val="231F20"/>
          <w:spacing w:val="-6"/>
        </w:rPr>
        <w:t> </w:t>
      </w:r>
      <w:r>
        <w:rPr>
          <w:color w:val="231F20"/>
        </w:rPr>
        <w:t>the</w:t>
      </w:r>
      <w:r>
        <w:rPr>
          <w:color w:val="231F20"/>
          <w:spacing w:val="-5"/>
        </w:rPr>
        <w:t> </w:t>
      </w:r>
      <w:r>
        <w:rPr>
          <w:color w:val="231F20"/>
          <w:spacing w:val="-1"/>
        </w:rPr>
        <w:t>setting</w:t>
      </w:r>
      <w:r>
        <w:rPr/>
      </w:r>
    </w:p>
    <w:p>
      <w:pPr>
        <w:pStyle w:val="BodyText"/>
        <w:spacing w:line="250" w:lineRule="exact"/>
        <w:ind w:left="100" w:right="202"/>
        <w:jc w:val="left"/>
      </w:pPr>
      <w:r>
        <w:rPr>
          <w:color w:val="231F20"/>
        </w:rPr>
        <w:t>of</w:t>
      </w:r>
      <w:r>
        <w:rPr>
          <w:color w:val="231F20"/>
          <w:spacing w:val="-4"/>
        </w:rPr>
        <w:t> </w:t>
      </w:r>
      <w:r>
        <w:rPr>
          <w:color w:val="231F20"/>
        </w:rPr>
        <w:t>fees</w:t>
      </w:r>
      <w:r>
        <w:rPr>
          <w:color w:val="231F20"/>
          <w:spacing w:val="-5"/>
        </w:rPr>
        <w:t> </w:t>
      </w:r>
      <w:r>
        <w:rPr>
          <w:color w:val="231F20"/>
        </w:rPr>
        <w:t>as</w:t>
      </w:r>
      <w:r>
        <w:rPr>
          <w:color w:val="231F20"/>
          <w:spacing w:val="-5"/>
        </w:rPr>
        <w:t> </w:t>
      </w:r>
      <w:r>
        <w:rPr>
          <w:color w:val="231F20"/>
        </w:rPr>
        <w:t>their</w:t>
      </w:r>
      <w:r>
        <w:rPr>
          <w:color w:val="231F20"/>
          <w:spacing w:val="-5"/>
        </w:rPr>
        <w:t> </w:t>
      </w:r>
      <w:r>
        <w:rPr>
          <w:color w:val="231F20"/>
        </w:rPr>
        <w:t>target</w:t>
      </w:r>
      <w:r>
        <w:rPr>
          <w:color w:val="231F20"/>
          <w:spacing w:val="-5"/>
        </w:rPr>
        <w:t> </w:t>
      </w:r>
      <w:r>
        <w:rPr>
          <w:color w:val="231F20"/>
          <w:spacing w:val="-1"/>
        </w:rPr>
        <w:t>student</w:t>
      </w:r>
      <w:r>
        <w:rPr>
          <w:color w:val="231F20"/>
          <w:spacing w:val="-4"/>
        </w:rPr>
        <w:t> </w:t>
      </w:r>
      <w:r>
        <w:rPr>
          <w:color w:val="231F20"/>
          <w:spacing w:val="-1"/>
        </w:rPr>
        <w:t>market</w:t>
      </w:r>
      <w:r>
        <w:rPr>
          <w:color w:val="231F20"/>
          <w:spacing w:val="-4"/>
        </w:rPr>
        <w:t> </w:t>
      </w:r>
      <w:r>
        <w:rPr>
          <w:color w:val="231F20"/>
        </w:rPr>
        <w:t>are</w:t>
      </w:r>
      <w:r>
        <w:rPr>
          <w:color w:val="231F20"/>
          <w:spacing w:val="-5"/>
        </w:rPr>
        <w:t> </w:t>
      </w:r>
      <w:r>
        <w:rPr>
          <w:color w:val="231F20"/>
          <w:spacing w:val="-1"/>
        </w:rPr>
        <w:t>more</w:t>
      </w:r>
      <w:r>
        <w:rPr>
          <w:color w:val="231F20"/>
          <w:spacing w:val="22"/>
          <w:w w:val="99"/>
        </w:rPr>
        <w:t> </w:t>
      </w:r>
      <w:r>
        <w:rPr>
          <w:color w:val="231F20"/>
        </w:rPr>
        <w:t>price</w:t>
      </w:r>
      <w:r>
        <w:rPr>
          <w:color w:val="231F20"/>
          <w:spacing w:val="-4"/>
        </w:rPr>
        <w:t> </w:t>
      </w:r>
      <w:r>
        <w:rPr>
          <w:color w:val="231F20"/>
          <w:spacing w:val="-1"/>
        </w:rPr>
        <w:t>sensitive</w:t>
      </w:r>
      <w:r>
        <w:rPr>
          <w:color w:val="231F20"/>
          <w:spacing w:val="-2"/>
        </w:rPr>
        <w:t> </w:t>
      </w:r>
      <w:r>
        <w:rPr>
          <w:color w:val="231F20"/>
        </w:rPr>
        <w:t>than</w:t>
      </w:r>
      <w:r>
        <w:rPr>
          <w:color w:val="231F20"/>
          <w:spacing w:val="-4"/>
        </w:rPr>
        <w:t> </w:t>
      </w:r>
      <w:r>
        <w:rPr>
          <w:color w:val="231F20"/>
        </w:rPr>
        <w:t>the</w:t>
      </w:r>
      <w:r>
        <w:rPr>
          <w:color w:val="231F20"/>
          <w:spacing w:val="-3"/>
        </w:rPr>
        <w:t> </w:t>
      </w:r>
      <w:r>
        <w:rPr>
          <w:color w:val="231F20"/>
          <w:spacing w:val="-1"/>
        </w:rPr>
        <w:t>students</w:t>
      </w:r>
      <w:r>
        <w:rPr>
          <w:color w:val="231F20"/>
          <w:spacing w:val="-3"/>
        </w:rPr>
        <w:t> </w:t>
      </w:r>
      <w:r>
        <w:rPr>
          <w:color w:val="231F20"/>
        </w:rPr>
        <w:t>of</w:t>
      </w:r>
      <w:r>
        <w:rPr>
          <w:color w:val="231F20"/>
          <w:spacing w:val="-2"/>
        </w:rPr>
        <w:t> </w:t>
      </w:r>
      <w:r>
        <w:rPr>
          <w:color w:val="231F20"/>
        </w:rPr>
        <w:t>high</w:t>
      </w:r>
      <w:r>
        <w:rPr>
          <w:color w:val="231F20"/>
          <w:spacing w:val="-3"/>
        </w:rPr>
        <w:t> </w:t>
      </w:r>
      <w:r>
        <w:rPr>
          <w:color w:val="231F20"/>
          <w:spacing w:val="-1"/>
        </w:rPr>
        <w:t>income</w:t>
      </w:r>
      <w:r>
        <w:rPr>
          <w:color w:val="231F20"/>
          <w:spacing w:val="22"/>
        </w:rPr>
        <w:t> </w:t>
      </w:r>
      <w:r>
        <w:rPr>
          <w:color w:val="231F20"/>
        </w:rPr>
        <w:t>parents</w:t>
      </w:r>
      <w:r>
        <w:rPr>
          <w:color w:val="231F20"/>
          <w:spacing w:val="-6"/>
        </w:rPr>
        <w:t> </w:t>
      </w:r>
      <w:r>
        <w:rPr>
          <w:color w:val="231F20"/>
        </w:rPr>
        <w:t>/</w:t>
      </w:r>
      <w:r>
        <w:rPr>
          <w:color w:val="231F20"/>
          <w:spacing w:val="-4"/>
        </w:rPr>
        <w:t> </w:t>
      </w:r>
      <w:r>
        <w:rPr>
          <w:color w:val="231F20"/>
        </w:rPr>
        <w:t>carers</w:t>
      </w:r>
      <w:r>
        <w:rPr>
          <w:color w:val="231F20"/>
          <w:spacing w:val="-6"/>
        </w:rPr>
        <w:t> </w:t>
      </w:r>
      <w:r>
        <w:rPr>
          <w:color w:val="231F20"/>
        </w:rPr>
        <w:t>or</w:t>
      </w:r>
      <w:r>
        <w:rPr>
          <w:color w:val="231F20"/>
          <w:spacing w:val="-4"/>
        </w:rPr>
        <w:t> </w:t>
      </w:r>
      <w:r>
        <w:rPr>
          <w:color w:val="231F20"/>
        </w:rPr>
        <w:t>parents</w:t>
      </w:r>
      <w:r>
        <w:rPr>
          <w:color w:val="231F20"/>
          <w:spacing w:val="-6"/>
        </w:rPr>
        <w:t> </w:t>
      </w:r>
      <w:r>
        <w:rPr>
          <w:color w:val="231F20"/>
        </w:rPr>
        <w:t>/</w:t>
      </w:r>
      <w:r>
        <w:rPr>
          <w:color w:val="231F20"/>
          <w:spacing w:val="-4"/>
        </w:rPr>
        <w:t> </w:t>
      </w:r>
      <w:r>
        <w:rPr>
          <w:color w:val="231F20"/>
        </w:rPr>
        <w:t>carers</w:t>
      </w:r>
      <w:r>
        <w:rPr>
          <w:color w:val="231F20"/>
          <w:spacing w:val="-6"/>
        </w:rPr>
        <w:t> </w:t>
      </w:r>
      <w:r>
        <w:rPr>
          <w:color w:val="231F20"/>
        </w:rPr>
        <w:t>entitled</w:t>
      </w:r>
      <w:r>
        <w:rPr>
          <w:color w:val="231F20"/>
          <w:spacing w:val="-5"/>
        </w:rPr>
        <w:t> </w:t>
      </w:r>
      <w:r>
        <w:rPr>
          <w:color w:val="231F20"/>
        </w:rPr>
        <w:t>to</w:t>
      </w:r>
      <w:r>
        <w:rPr>
          <w:color w:val="231F20"/>
          <w:w w:val="99"/>
        </w:rPr>
        <w:t> </w:t>
      </w:r>
      <w:r>
        <w:rPr>
          <w:color w:val="231F20"/>
        </w:rPr>
        <w:t>full</w:t>
      </w:r>
      <w:r>
        <w:rPr>
          <w:color w:val="231F20"/>
          <w:spacing w:val="-5"/>
        </w:rPr>
        <w:t> </w:t>
      </w:r>
      <w:r>
        <w:rPr>
          <w:color w:val="231F20"/>
        </w:rPr>
        <w:t>ABSTUDY</w:t>
      </w:r>
      <w:r>
        <w:rPr>
          <w:color w:val="231F20"/>
          <w:spacing w:val="-5"/>
        </w:rPr>
        <w:t> </w:t>
      </w:r>
      <w:r>
        <w:rPr>
          <w:color w:val="231F20"/>
          <w:spacing w:val="-1"/>
        </w:rPr>
        <w:t>support.</w:t>
      </w:r>
      <w:r>
        <w:rPr/>
      </w:r>
    </w:p>
    <w:p>
      <w:pPr>
        <w:pStyle w:val="BodyText"/>
        <w:spacing w:line="250" w:lineRule="exact" w:before="113"/>
        <w:ind w:left="100" w:right="295"/>
        <w:jc w:val="left"/>
      </w:pPr>
      <w:r>
        <w:rPr/>
        <w:pict>
          <v:group style="position:absolute;margin-left:86.039398pt;margin-top:156.238708pt;width:.1pt;height:.1pt;mso-position-horizontal-relative:page;mso-position-vertical-relative:paragraph;z-index:-226120" coordorigin="1721,3125" coordsize="2,2">
            <v:shape style="position:absolute;left:1721;top:3125;width:2;height:2" coordorigin="1721,3125" coordsize="0,0" path="m1721,3125l1721,3125e" filled="false" stroked="true" strokeweight="2pt" strokecolor="#355f92">
              <v:path arrowok="t"/>
            </v:shape>
            <w10:wrap type="none"/>
          </v:group>
        </w:pict>
      </w:r>
      <w:r>
        <w:rPr/>
        <w:pict>
          <v:group style="position:absolute;margin-left:525.409424pt;margin-top:156.238708pt;width:.1pt;height:.1pt;mso-position-horizontal-relative:page;mso-position-vertical-relative:paragraph;z-index:-226096" coordorigin="10508,3125" coordsize="2,2">
            <v:shape style="position:absolute;left:10508;top:3125;width:2;height:2" coordorigin="10508,3125" coordsize="0,0" path="m10508,3125l10508,3125e" filled="false" stroked="true" strokeweight="2pt" strokecolor="#355f92">
              <v:path arrowok="t"/>
            </v:shape>
            <w10:wrap type="none"/>
          </v:group>
        </w:pict>
      </w:r>
      <w:r>
        <w:rPr/>
        <w:pict>
          <v:group style="position:absolute;margin-left:525.409424pt;margin-top:86.75071pt;width:.1pt;height:.1pt;mso-position-horizontal-relative:page;mso-position-vertical-relative:paragraph;z-index:-226072" coordorigin="10508,1735" coordsize="2,2">
            <v:shape style="position:absolute;left:10508;top:1735;width:2;height:2" coordorigin="10508,1735" coordsize="0,0" path="m10508,1735l10508,1735e" filled="false" stroked="true" strokeweight="2pt" strokecolor="#355f92">
              <v:path arrowok="t"/>
            </v:shape>
            <w10:wrap type="none"/>
          </v:group>
        </w:pict>
      </w:r>
      <w:r>
        <w:rPr/>
        <w:pict>
          <v:group style="position:absolute;margin-left:86.039398pt;margin-top:86.75071pt;width:.1pt;height:.1pt;mso-position-horizontal-relative:page;mso-position-vertical-relative:paragraph;z-index:-226048" coordorigin="1721,1735" coordsize="2,2">
            <v:shape style="position:absolute;left:1721;top:1735;width:2;height:2" coordorigin="1721,1735" coordsize="0,0" path="m1721,1735l1721,1735e" filled="false" stroked="true" strokeweight="2pt" strokecolor="#355f92">
              <v:path arrowok="t"/>
            </v:shape>
            <w10:wrap type="none"/>
          </v:group>
        </w:pict>
      </w:r>
      <w:r>
        <w:rPr>
          <w:color w:val="231F20"/>
        </w:rPr>
        <w:t>There</w:t>
      </w:r>
      <w:r>
        <w:rPr>
          <w:color w:val="231F20"/>
          <w:spacing w:val="-7"/>
        </w:rPr>
        <w:t> </w:t>
      </w:r>
      <w:r>
        <w:rPr>
          <w:color w:val="231F20"/>
        </w:rPr>
        <w:t>are</w:t>
      </w:r>
      <w:r>
        <w:rPr>
          <w:color w:val="231F20"/>
          <w:spacing w:val="-7"/>
        </w:rPr>
        <w:t> </w:t>
      </w:r>
      <w:r>
        <w:rPr>
          <w:color w:val="231F20"/>
        </w:rPr>
        <w:t>opportunities</w:t>
      </w:r>
      <w:r>
        <w:rPr>
          <w:color w:val="231F20"/>
          <w:spacing w:val="-6"/>
        </w:rPr>
        <w:t> </w:t>
      </w:r>
      <w:r>
        <w:rPr>
          <w:color w:val="231F20"/>
        </w:rPr>
        <w:t>for</w:t>
      </w:r>
      <w:r>
        <w:rPr>
          <w:color w:val="231F20"/>
          <w:spacing w:val="-7"/>
        </w:rPr>
        <w:t> </w:t>
      </w:r>
      <w:r>
        <w:rPr>
          <w:color w:val="231F20"/>
          <w:spacing w:val="-1"/>
        </w:rPr>
        <w:t>some</w:t>
      </w:r>
      <w:r>
        <w:rPr>
          <w:color w:val="231F20"/>
          <w:spacing w:val="-6"/>
        </w:rPr>
        <w:t> </w:t>
      </w:r>
      <w:r>
        <w:rPr>
          <w:color w:val="231F20"/>
        </w:rPr>
        <w:t>boarding</w:t>
      </w:r>
      <w:r>
        <w:rPr>
          <w:color w:val="231F20"/>
          <w:spacing w:val="21"/>
          <w:w w:val="99"/>
        </w:rPr>
        <w:t> </w:t>
      </w:r>
      <w:r>
        <w:rPr>
          <w:color w:val="231F20"/>
        </w:rPr>
        <w:t>providers</w:t>
      </w:r>
      <w:r>
        <w:rPr>
          <w:color w:val="231F20"/>
          <w:spacing w:val="-8"/>
        </w:rPr>
        <w:t> </w:t>
      </w:r>
      <w:r>
        <w:rPr>
          <w:color w:val="231F20"/>
        </w:rPr>
        <w:t>to</w:t>
      </w:r>
      <w:r>
        <w:rPr>
          <w:color w:val="231F20"/>
          <w:spacing w:val="-6"/>
        </w:rPr>
        <w:t> </w:t>
      </w:r>
      <w:r>
        <w:rPr>
          <w:color w:val="231F20"/>
        </w:rPr>
        <w:t>review</w:t>
      </w:r>
      <w:r>
        <w:rPr>
          <w:color w:val="231F20"/>
          <w:spacing w:val="-7"/>
        </w:rPr>
        <w:t> </w:t>
      </w:r>
      <w:r>
        <w:rPr>
          <w:color w:val="231F20"/>
        </w:rPr>
        <w:t>their</w:t>
      </w:r>
      <w:r>
        <w:rPr>
          <w:color w:val="231F20"/>
          <w:spacing w:val="-7"/>
        </w:rPr>
        <w:t> </w:t>
      </w:r>
      <w:r>
        <w:rPr>
          <w:color w:val="231F20"/>
        </w:rPr>
        <w:t>boarding</w:t>
      </w:r>
      <w:r>
        <w:rPr>
          <w:color w:val="231F20"/>
          <w:spacing w:val="-7"/>
        </w:rPr>
        <w:t> </w:t>
      </w:r>
      <w:r>
        <w:rPr>
          <w:color w:val="231F20"/>
        </w:rPr>
        <w:t>and</w:t>
      </w:r>
      <w:r>
        <w:rPr>
          <w:color w:val="231F20"/>
          <w:spacing w:val="-7"/>
        </w:rPr>
        <w:t> </w:t>
      </w:r>
      <w:r>
        <w:rPr>
          <w:color w:val="231F20"/>
        </w:rPr>
        <w:t>tuition</w:t>
      </w:r>
      <w:r>
        <w:rPr>
          <w:color w:val="231F20"/>
          <w:w w:val="99"/>
        </w:rPr>
        <w:t> </w:t>
      </w:r>
      <w:r>
        <w:rPr>
          <w:color w:val="231F20"/>
        </w:rPr>
        <w:t>fees</w:t>
      </w:r>
      <w:r>
        <w:rPr>
          <w:color w:val="231F20"/>
          <w:spacing w:val="-5"/>
        </w:rPr>
        <w:t> </w:t>
      </w:r>
      <w:r>
        <w:rPr>
          <w:color w:val="231F20"/>
        </w:rPr>
        <w:t>to</w:t>
      </w:r>
      <w:r>
        <w:rPr>
          <w:color w:val="231F20"/>
          <w:spacing w:val="-4"/>
        </w:rPr>
        <w:t> </w:t>
      </w:r>
      <w:r>
        <w:rPr>
          <w:color w:val="231F20"/>
          <w:spacing w:val="-1"/>
        </w:rPr>
        <w:t>increase</w:t>
      </w:r>
      <w:r>
        <w:rPr>
          <w:color w:val="231F20"/>
          <w:spacing w:val="-3"/>
        </w:rPr>
        <w:t> </w:t>
      </w:r>
      <w:r>
        <w:rPr>
          <w:color w:val="231F20"/>
        </w:rPr>
        <w:t>their</w:t>
      </w:r>
      <w:r>
        <w:rPr>
          <w:color w:val="231F20"/>
          <w:spacing w:val="-5"/>
        </w:rPr>
        <w:t> </w:t>
      </w:r>
      <w:r>
        <w:rPr>
          <w:color w:val="231F20"/>
        </w:rPr>
        <w:t>ABSTUDY</w:t>
      </w:r>
      <w:r>
        <w:rPr>
          <w:color w:val="231F20"/>
          <w:spacing w:val="-5"/>
        </w:rPr>
        <w:t> </w:t>
      </w:r>
      <w:r>
        <w:rPr>
          <w:color w:val="231F20"/>
        </w:rPr>
        <w:t>receipts</w:t>
      </w:r>
      <w:r>
        <w:rPr>
          <w:color w:val="231F20"/>
          <w:spacing w:val="-4"/>
        </w:rPr>
        <w:t> </w:t>
      </w:r>
      <w:r>
        <w:rPr>
          <w:color w:val="231F20"/>
        </w:rPr>
        <w:t>to</w:t>
      </w:r>
      <w:r>
        <w:rPr>
          <w:color w:val="231F20"/>
          <w:spacing w:val="22"/>
          <w:w w:val="99"/>
        </w:rPr>
        <w:t> </w:t>
      </w:r>
      <w:r>
        <w:rPr>
          <w:rFonts w:ascii="Segoe UI"/>
          <w:color w:val="231F20"/>
        </w:rPr>
        <w:t>better reflect the actual cost of delivering</w:t>
      </w:r>
      <w:r>
        <w:rPr>
          <w:rFonts w:ascii="Segoe UI"/>
          <w:color w:val="231F20"/>
        </w:rPr>
        <w:t> </w:t>
      </w:r>
      <w:r>
        <w:rPr>
          <w:color w:val="231F20"/>
        </w:rPr>
        <w:t>boarding.</w:t>
      </w:r>
      <w:r>
        <w:rPr/>
      </w:r>
    </w:p>
    <w:p>
      <w:pPr>
        <w:spacing w:after="0" w:line="250" w:lineRule="exact"/>
        <w:jc w:val="left"/>
        <w:sectPr>
          <w:type w:val="continuous"/>
          <w:pgSz w:w="11910" w:h="16840"/>
          <w:pgMar w:top="1580" w:bottom="280" w:left="1600" w:right="1260"/>
          <w:cols w:num="2" w:equalWidth="0">
            <w:col w:w="4226" w:space="310"/>
            <w:col w:w="4514"/>
          </w:cols>
        </w:sectPr>
      </w:pPr>
    </w:p>
    <w:p>
      <w:pPr>
        <w:spacing w:line="240" w:lineRule="auto" w:before="13"/>
        <w:rPr>
          <w:rFonts w:ascii="Segoe UI" w:hAnsi="Segoe UI" w:cs="Segoe UI" w:eastAsia="Segoe UI"/>
          <w:sz w:val="27"/>
          <w:szCs w:val="27"/>
        </w:rPr>
      </w:pPr>
    </w:p>
    <w:p>
      <w:pPr>
        <w:spacing w:line="200" w:lineRule="atLeast"/>
        <w:ind w:left="120" w:right="0" w:firstLine="0"/>
        <w:rPr>
          <w:rFonts w:ascii="Segoe UI" w:hAnsi="Segoe UI" w:cs="Segoe UI" w:eastAsia="Segoe UI"/>
          <w:sz w:val="20"/>
          <w:szCs w:val="20"/>
        </w:rPr>
      </w:pPr>
      <w:r>
        <w:rPr>
          <w:rFonts w:ascii="Segoe UI" w:hAnsi="Segoe UI" w:cs="Segoe UI" w:eastAsia="Segoe UI"/>
          <w:sz w:val="20"/>
          <w:szCs w:val="20"/>
        </w:rPr>
        <w:pict>
          <v:shape style="width:439.4pt;height:69.5pt;mso-position-horizontal-relative:char;mso-position-vertical-relative:line" type="#_x0000_t202" filled="true" fillcolor="#ecf1f5" stroked="true" strokeweight="2pt" strokecolor="#355f92">
            <v:textbox inset="0,0,0,0">
              <w:txbxContent>
                <w:p>
                  <w:pPr>
                    <w:spacing w:before="148"/>
                    <w:ind w:left="243" w:right="0" w:firstLine="0"/>
                    <w:jc w:val="left"/>
                    <w:rPr>
                      <w:rFonts w:ascii="Segoe UI Semibold" w:hAnsi="Segoe UI Semibold" w:cs="Segoe UI Semibold" w:eastAsia="Segoe UI Semibold"/>
                      <w:sz w:val="24"/>
                      <w:szCs w:val="24"/>
                    </w:rPr>
                  </w:pPr>
                  <w:r>
                    <w:rPr>
                      <w:rFonts w:ascii="Segoe UI Semibold"/>
                      <w:b/>
                      <w:color w:val="452A70"/>
                      <w:spacing w:val="-2"/>
                      <w:sz w:val="24"/>
                    </w:rPr>
                    <w:t>RECOMMENDATION</w:t>
                  </w:r>
                  <w:r>
                    <w:rPr>
                      <w:rFonts w:ascii="Segoe UI Semibold"/>
                      <w:b/>
                      <w:color w:val="452A70"/>
                      <w:spacing w:val="-11"/>
                      <w:sz w:val="24"/>
                    </w:rPr>
                    <w:t> </w:t>
                  </w:r>
                  <w:r>
                    <w:rPr>
                      <w:rFonts w:ascii="Segoe UI Semibold"/>
                      <w:b/>
                      <w:color w:val="452A70"/>
                      <w:spacing w:val="-1"/>
                      <w:sz w:val="24"/>
                    </w:rPr>
                    <w:t>6:</w:t>
                  </w:r>
                  <w:r>
                    <w:rPr>
                      <w:rFonts w:ascii="Segoe UI Semibold"/>
                      <w:b/>
                      <w:color w:val="452A70"/>
                      <w:spacing w:val="-10"/>
                      <w:sz w:val="24"/>
                    </w:rPr>
                    <w:t> </w:t>
                  </w:r>
                  <w:r>
                    <w:rPr>
                      <w:rFonts w:ascii="Segoe UI Semibold"/>
                      <w:b/>
                      <w:color w:val="452A70"/>
                      <w:spacing w:val="-1"/>
                      <w:sz w:val="24"/>
                    </w:rPr>
                    <w:t>FEE</w:t>
                  </w:r>
                  <w:r>
                    <w:rPr>
                      <w:rFonts w:ascii="Segoe UI Semibold"/>
                      <w:b/>
                      <w:color w:val="452A70"/>
                      <w:spacing w:val="-9"/>
                      <w:sz w:val="24"/>
                    </w:rPr>
                    <w:t> </w:t>
                  </w:r>
                  <w:r>
                    <w:rPr>
                      <w:rFonts w:ascii="Segoe UI Semibold"/>
                      <w:b/>
                      <w:color w:val="452A70"/>
                      <w:spacing w:val="-1"/>
                      <w:sz w:val="24"/>
                    </w:rPr>
                    <w:t>STRUCTURES</w:t>
                  </w:r>
                  <w:r>
                    <w:rPr>
                      <w:rFonts w:ascii="Segoe UI Semibold"/>
                      <w:sz w:val="24"/>
                    </w:rPr>
                  </w:r>
                </w:p>
                <w:p>
                  <w:pPr>
                    <w:spacing w:line="250" w:lineRule="exact" w:before="131"/>
                    <w:ind w:left="243" w:right="648" w:firstLine="0"/>
                    <w:jc w:val="left"/>
                    <w:rPr>
                      <w:rFonts w:ascii="Segoe UI" w:hAnsi="Segoe UI" w:cs="Segoe UI" w:eastAsia="Segoe UI"/>
                      <w:sz w:val="20"/>
                      <w:szCs w:val="20"/>
                    </w:rPr>
                  </w:pPr>
                  <w:r>
                    <w:rPr>
                      <w:rFonts w:ascii="Segoe UI"/>
                      <w:color w:val="452A70"/>
                      <w:spacing w:val="-1"/>
                      <w:sz w:val="20"/>
                    </w:rPr>
                    <w:t>Provide</w:t>
                  </w:r>
                  <w:r>
                    <w:rPr>
                      <w:rFonts w:ascii="Segoe UI"/>
                      <w:color w:val="452A70"/>
                      <w:spacing w:val="-6"/>
                      <w:sz w:val="20"/>
                    </w:rPr>
                    <w:t> </w:t>
                  </w:r>
                  <w:r>
                    <w:rPr>
                      <w:rFonts w:ascii="Segoe UI"/>
                      <w:color w:val="452A70"/>
                      <w:sz w:val="20"/>
                    </w:rPr>
                    <w:t>assistance</w:t>
                  </w:r>
                  <w:r>
                    <w:rPr>
                      <w:rFonts w:ascii="Segoe UI"/>
                      <w:color w:val="452A70"/>
                      <w:spacing w:val="-7"/>
                      <w:sz w:val="20"/>
                    </w:rPr>
                    <w:t> </w:t>
                  </w:r>
                  <w:r>
                    <w:rPr>
                      <w:rFonts w:ascii="Segoe UI"/>
                      <w:color w:val="452A70"/>
                      <w:sz w:val="20"/>
                    </w:rPr>
                    <w:t>to</w:t>
                  </w:r>
                  <w:r>
                    <w:rPr>
                      <w:rFonts w:ascii="Segoe UI"/>
                      <w:color w:val="452A70"/>
                      <w:spacing w:val="-6"/>
                      <w:sz w:val="20"/>
                    </w:rPr>
                    <w:t> </w:t>
                  </w:r>
                  <w:r>
                    <w:rPr>
                      <w:rFonts w:ascii="Segoe UI"/>
                      <w:color w:val="452A70"/>
                      <w:sz w:val="20"/>
                    </w:rPr>
                    <w:t>boarding</w:t>
                  </w:r>
                  <w:r>
                    <w:rPr>
                      <w:rFonts w:ascii="Segoe UI"/>
                      <w:color w:val="452A70"/>
                      <w:spacing w:val="-7"/>
                      <w:sz w:val="20"/>
                    </w:rPr>
                    <w:t> </w:t>
                  </w:r>
                  <w:r>
                    <w:rPr>
                      <w:rFonts w:ascii="Segoe UI"/>
                      <w:color w:val="452A70"/>
                      <w:sz w:val="20"/>
                    </w:rPr>
                    <w:t>providers</w:t>
                  </w:r>
                  <w:r>
                    <w:rPr>
                      <w:rFonts w:ascii="Segoe UI"/>
                      <w:color w:val="452A70"/>
                      <w:spacing w:val="-6"/>
                      <w:sz w:val="20"/>
                    </w:rPr>
                    <w:t> </w:t>
                  </w:r>
                  <w:r>
                    <w:rPr>
                      <w:rFonts w:ascii="Segoe UI"/>
                      <w:color w:val="452A70"/>
                      <w:sz w:val="20"/>
                    </w:rPr>
                    <w:t>to</w:t>
                  </w:r>
                  <w:r>
                    <w:rPr>
                      <w:rFonts w:ascii="Segoe UI"/>
                      <w:color w:val="452A70"/>
                      <w:spacing w:val="-6"/>
                      <w:sz w:val="20"/>
                    </w:rPr>
                    <w:t> </w:t>
                  </w:r>
                  <w:r>
                    <w:rPr>
                      <w:rFonts w:ascii="Segoe UI"/>
                      <w:color w:val="452A70"/>
                      <w:spacing w:val="-1"/>
                      <w:sz w:val="20"/>
                    </w:rPr>
                    <w:t>improve</w:t>
                  </w:r>
                  <w:r>
                    <w:rPr>
                      <w:rFonts w:ascii="Segoe UI"/>
                      <w:color w:val="452A70"/>
                      <w:spacing w:val="-6"/>
                      <w:sz w:val="20"/>
                    </w:rPr>
                    <w:t> </w:t>
                  </w:r>
                  <w:r>
                    <w:rPr>
                      <w:rFonts w:ascii="Segoe UI"/>
                      <w:color w:val="452A70"/>
                      <w:sz w:val="20"/>
                    </w:rPr>
                    <w:t>understanding</w:t>
                  </w:r>
                  <w:r>
                    <w:rPr>
                      <w:rFonts w:ascii="Segoe UI"/>
                      <w:color w:val="452A70"/>
                      <w:spacing w:val="-7"/>
                      <w:sz w:val="20"/>
                    </w:rPr>
                    <w:t> </w:t>
                  </w:r>
                  <w:r>
                    <w:rPr>
                      <w:rFonts w:ascii="Segoe UI"/>
                      <w:color w:val="452A70"/>
                      <w:sz w:val="20"/>
                    </w:rPr>
                    <w:t>of</w:t>
                  </w:r>
                  <w:r>
                    <w:rPr>
                      <w:rFonts w:ascii="Segoe UI"/>
                      <w:color w:val="452A70"/>
                      <w:spacing w:val="-5"/>
                      <w:sz w:val="20"/>
                    </w:rPr>
                    <w:t> </w:t>
                  </w:r>
                  <w:r>
                    <w:rPr>
                      <w:rFonts w:ascii="Segoe UI"/>
                      <w:color w:val="452A70"/>
                      <w:sz w:val="20"/>
                    </w:rPr>
                    <w:t>how</w:t>
                  </w:r>
                  <w:r>
                    <w:rPr>
                      <w:rFonts w:ascii="Segoe UI"/>
                      <w:color w:val="452A70"/>
                      <w:spacing w:val="-6"/>
                      <w:sz w:val="20"/>
                    </w:rPr>
                    <w:t> </w:t>
                  </w:r>
                  <w:r>
                    <w:rPr>
                      <w:rFonts w:ascii="Segoe UI"/>
                      <w:color w:val="452A70"/>
                      <w:sz w:val="20"/>
                    </w:rPr>
                    <w:t>fee</w:t>
                  </w:r>
                  <w:r>
                    <w:rPr>
                      <w:rFonts w:ascii="Segoe UI"/>
                      <w:color w:val="452A70"/>
                      <w:spacing w:val="-6"/>
                      <w:sz w:val="20"/>
                    </w:rPr>
                    <w:t> </w:t>
                  </w:r>
                  <w:r>
                    <w:rPr>
                      <w:rFonts w:ascii="Segoe UI"/>
                      <w:color w:val="452A70"/>
                      <w:spacing w:val="-1"/>
                      <w:sz w:val="20"/>
                    </w:rPr>
                    <w:t>structures</w:t>
                  </w:r>
                  <w:r>
                    <w:rPr>
                      <w:rFonts w:ascii="Segoe UI"/>
                      <w:color w:val="452A70"/>
                      <w:spacing w:val="22"/>
                      <w:w w:val="99"/>
                      <w:sz w:val="20"/>
                    </w:rPr>
                    <w:t> </w:t>
                  </w:r>
                  <w:r>
                    <w:rPr>
                      <w:rFonts w:ascii="Segoe UI"/>
                      <w:color w:val="452A70"/>
                      <w:spacing w:val="-1"/>
                      <w:sz w:val="20"/>
                    </w:rPr>
                    <w:t>interact</w:t>
                  </w:r>
                  <w:r>
                    <w:rPr>
                      <w:rFonts w:ascii="Segoe UI"/>
                      <w:color w:val="452A70"/>
                      <w:spacing w:val="-7"/>
                      <w:sz w:val="20"/>
                    </w:rPr>
                    <w:t> </w:t>
                  </w:r>
                  <w:r>
                    <w:rPr>
                      <w:rFonts w:ascii="Segoe UI"/>
                      <w:color w:val="452A70"/>
                      <w:sz w:val="20"/>
                    </w:rPr>
                    <w:t>with</w:t>
                  </w:r>
                  <w:r>
                    <w:rPr>
                      <w:rFonts w:ascii="Segoe UI"/>
                      <w:color w:val="452A70"/>
                      <w:spacing w:val="-8"/>
                      <w:sz w:val="20"/>
                    </w:rPr>
                    <w:t> </w:t>
                  </w:r>
                  <w:r>
                    <w:rPr>
                      <w:rFonts w:ascii="Segoe UI"/>
                      <w:color w:val="452A70"/>
                      <w:sz w:val="20"/>
                    </w:rPr>
                    <w:t>ABSTUDY</w:t>
                  </w:r>
                  <w:r>
                    <w:rPr>
                      <w:rFonts w:ascii="Segoe UI"/>
                      <w:color w:val="452A70"/>
                      <w:spacing w:val="-7"/>
                      <w:sz w:val="20"/>
                    </w:rPr>
                    <w:t> </w:t>
                  </w:r>
                  <w:r>
                    <w:rPr>
                      <w:rFonts w:ascii="Segoe UI"/>
                      <w:color w:val="452A70"/>
                      <w:sz w:val="20"/>
                    </w:rPr>
                    <w:t>and</w:t>
                  </w:r>
                  <w:r>
                    <w:rPr>
                      <w:rFonts w:ascii="Segoe UI"/>
                      <w:color w:val="452A70"/>
                      <w:spacing w:val="-8"/>
                      <w:sz w:val="20"/>
                    </w:rPr>
                    <w:t> </w:t>
                  </w:r>
                  <w:r>
                    <w:rPr>
                      <w:rFonts w:ascii="Segoe UI"/>
                      <w:color w:val="452A70"/>
                      <w:sz w:val="20"/>
                    </w:rPr>
                    <w:t>parental</w:t>
                  </w:r>
                  <w:r>
                    <w:rPr>
                      <w:rFonts w:ascii="Segoe UI"/>
                      <w:color w:val="452A70"/>
                      <w:spacing w:val="-8"/>
                      <w:sz w:val="20"/>
                    </w:rPr>
                    <w:t> </w:t>
                  </w:r>
                  <w:r>
                    <w:rPr>
                      <w:rFonts w:ascii="Segoe UI"/>
                      <w:color w:val="452A70"/>
                      <w:sz w:val="20"/>
                    </w:rPr>
                    <w:t>contributions.</w:t>
                  </w:r>
                  <w:r>
                    <w:rPr>
                      <w:rFonts w:ascii="Segoe UI"/>
                      <w:sz w:val="20"/>
                    </w:rPr>
                  </w:r>
                </w:p>
              </w:txbxContent>
            </v:textbox>
            <v:fill type="solid"/>
            <v:stroke dashstyle="dash"/>
            <w10:wrap type="none"/>
          </v:shape>
        </w:pict>
      </w:r>
      <w:r>
        <w:rPr>
          <w:rFonts w:ascii="Segoe UI" w:hAnsi="Segoe UI" w:cs="Segoe UI" w:eastAsia="Segoe UI"/>
          <w:sz w:val="20"/>
          <w:szCs w:val="20"/>
        </w:rPr>
      </w:r>
    </w:p>
    <w:p>
      <w:pPr>
        <w:spacing w:after="0" w:line="200" w:lineRule="atLeast"/>
        <w:rPr>
          <w:rFonts w:ascii="Segoe UI" w:hAnsi="Segoe UI" w:cs="Segoe UI" w:eastAsia="Segoe UI"/>
          <w:sz w:val="20"/>
          <w:szCs w:val="20"/>
        </w:rPr>
        <w:sectPr>
          <w:type w:val="continuous"/>
          <w:pgSz w:w="11910" w:h="16840"/>
          <w:pgMar w:top="1580" w:bottom="280" w:left="1600" w:right="1260"/>
        </w:sectPr>
      </w:pPr>
    </w:p>
    <w:p>
      <w:pPr>
        <w:spacing w:line="240" w:lineRule="auto" w:before="0"/>
        <w:rPr>
          <w:rFonts w:ascii="Segoe UI" w:hAnsi="Segoe UI" w:cs="Segoe UI" w:eastAsia="Segoe UI"/>
          <w:sz w:val="20"/>
          <w:szCs w:val="20"/>
        </w:rPr>
      </w:pPr>
    </w:p>
    <w:p>
      <w:pPr>
        <w:spacing w:line="240" w:lineRule="auto" w:before="8"/>
        <w:rPr>
          <w:rFonts w:ascii="Segoe UI" w:hAnsi="Segoe UI" w:cs="Segoe UI" w:eastAsia="Segoe UI"/>
          <w:sz w:val="21"/>
          <w:szCs w:val="21"/>
        </w:rPr>
      </w:pPr>
    </w:p>
    <w:p>
      <w:pPr>
        <w:spacing w:after="0" w:line="240" w:lineRule="auto"/>
        <w:rPr>
          <w:rFonts w:ascii="Segoe UI" w:hAnsi="Segoe UI" w:cs="Segoe UI" w:eastAsia="Segoe UI"/>
          <w:sz w:val="21"/>
          <w:szCs w:val="21"/>
        </w:rPr>
        <w:sectPr>
          <w:footerReference w:type="even" r:id="rId67"/>
          <w:footerReference w:type="default" r:id="rId68"/>
          <w:pgSz w:w="11910" w:h="16840"/>
          <w:pgMar w:footer="691" w:header="0" w:top="1580" w:bottom="880" w:left="1300" w:right="1620"/>
          <w:pgNumType w:start="62"/>
        </w:sectPr>
      </w:pPr>
    </w:p>
    <w:p>
      <w:pPr>
        <w:pStyle w:val="BodyText"/>
        <w:spacing w:line="250" w:lineRule="exact" w:before="62"/>
        <w:ind w:right="97"/>
        <w:jc w:val="left"/>
      </w:pP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6"/>
        </w:rPr>
        <w:t> </w:t>
      </w:r>
      <w:r>
        <w:rPr>
          <w:color w:val="231F20"/>
        </w:rPr>
        <w:t>referred</w:t>
      </w:r>
      <w:r>
        <w:rPr>
          <w:color w:val="231F20"/>
          <w:spacing w:val="-6"/>
        </w:rPr>
        <w:t> </w:t>
      </w:r>
      <w:r>
        <w:rPr>
          <w:color w:val="231F20"/>
        </w:rPr>
        <w:t>to</w:t>
      </w:r>
      <w:r>
        <w:rPr>
          <w:color w:val="231F20"/>
          <w:spacing w:val="-5"/>
        </w:rPr>
        <w:t> </w:t>
      </w:r>
      <w:r>
        <w:rPr>
          <w:color w:val="231F20"/>
        </w:rPr>
        <w:t>the</w:t>
      </w:r>
      <w:r>
        <w:rPr>
          <w:color w:val="231F20"/>
          <w:spacing w:val="-6"/>
        </w:rPr>
        <w:t> </w:t>
      </w:r>
      <w:r>
        <w:rPr>
          <w:color w:val="231F20"/>
        </w:rPr>
        <w:t>complex</w:t>
      </w:r>
      <w:r>
        <w:rPr>
          <w:color w:val="231F20"/>
          <w:spacing w:val="-6"/>
        </w:rPr>
        <w:t> </w:t>
      </w:r>
      <w:r>
        <w:rPr>
          <w:color w:val="231F20"/>
          <w:spacing w:val="-1"/>
        </w:rPr>
        <w:t>structure</w:t>
      </w:r>
      <w:r>
        <w:rPr>
          <w:color w:val="231F20"/>
          <w:spacing w:val="-4"/>
        </w:rPr>
        <w:t> </w:t>
      </w:r>
      <w:r>
        <w:rPr>
          <w:color w:val="231F20"/>
        </w:rPr>
        <w:t>of</w:t>
      </w:r>
      <w:r>
        <w:rPr>
          <w:color w:val="231F20"/>
          <w:spacing w:val="22"/>
          <w:w w:val="99"/>
        </w:rPr>
        <w:t> </w:t>
      </w:r>
      <w:r>
        <w:rPr>
          <w:color w:val="231F20"/>
        </w:rPr>
        <w:t>ABSTUDY</w:t>
      </w:r>
      <w:r>
        <w:rPr>
          <w:color w:val="231F20"/>
          <w:spacing w:val="-7"/>
        </w:rPr>
        <w:t> </w:t>
      </w:r>
      <w:r>
        <w:rPr>
          <w:color w:val="231F20"/>
        </w:rPr>
        <w:t>payments</w:t>
      </w:r>
      <w:r>
        <w:rPr>
          <w:color w:val="231F20"/>
          <w:spacing w:val="-7"/>
        </w:rPr>
        <w:t> </w:t>
      </w:r>
      <w:r>
        <w:rPr>
          <w:color w:val="231F20"/>
        </w:rPr>
        <w:t>and</w:t>
      </w:r>
      <w:r>
        <w:rPr>
          <w:color w:val="231F20"/>
          <w:spacing w:val="-7"/>
        </w:rPr>
        <w:t> </w:t>
      </w:r>
      <w:r>
        <w:rPr>
          <w:color w:val="231F20"/>
        </w:rPr>
        <w:t>a</w:t>
      </w:r>
      <w:r>
        <w:rPr>
          <w:color w:val="231F20"/>
          <w:spacing w:val="-6"/>
        </w:rPr>
        <w:t> </w:t>
      </w:r>
      <w:r>
        <w:rPr>
          <w:color w:val="231F20"/>
        </w:rPr>
        <w:t>number</w:t>
      </w:r>
      <w:r>
        <w:rPr>
          <w:color w:val="231F20"/>
          <w:spacing w:val="-7"/>
        </w:rPr>
        <w:t> </w:t>
      </w:r>
      <w:r>
        <w:rPr>
          <w:color w:val="231F20"/>
        </w:rPr>
        <w:t>highlighted</w:t>
      </w:r>
      <w:r>
        <w:rPr>
          <w:color w:val="231F20"/>
          <w:w w:val="99"/>
        </w:rPr>
        <w:t> </w:t>
      </w:r>
      <w:r>
        <w:rPr>
          <w:color w:val="231F20"/>
        </w:rPr>
        <w:t>the</w:t>
      </w:r>
      <w:r>
        <w:rPr>
          <w:color w:val="231F20"/>
          <w:spacing w:val="-10"/>
        </w:rPr>
        <w:t> </w:t>
      </w:r>
      <w:r>
        <w:rPr>
          <w:color w:val="231F20"/>
          <w:spacing w:val="-1"/>
        </w:rPr>
        <w:t>importance</w:t>
      </w:r>
      <w:r>
        <w:rPr>
          <w:color w:val="231F20"/>
          <w:spacing w:val="-8"/>
        </w:rPr>
        <w:t> </w:t>
      </w:r>
      <w:r>
        <w:rPr>
          <w:color w:val="231F20"/>
        </w:rPr>
        <w:t>of</w:t>
      </w:r>
      <w:r>
        <w:rPr>
          <w:color w:val="231F20"/>
          <w:spacing w:val="-9"/>
        </w:rPr>
        <w:t> </w:t>
      </w:r>
      <w:r>
        <w:rPr>
          <w:color w:val="231F20"/>
        </w:rPr>
        <w:t>engaging</w:t>
      </w:r>
      <w:r>
        <w:rPr>
          <w:color w:val="231F20"/>
          <w:spacing w:val="-8"/>
        </w:rPr>
        <w:t> </w:t>
      </w:r>
      <w:r>
        <w:rPr>
          <w:color w:val="231F20"/>
        </w:rPr>
        <w:t>experienced</w:t>
      </w:r>
      <w:r>
        <w:rPr>
          <w:color w:val="231F20"/>
          <w:spacing w:val="22"/>
          <w:w w:val="99"/>
        </w:rPr>
        <w:t> </w:t>
      </w:r>
      <w:r>
        <w:rPr>
          <w:color w:val="231F20"/>
        </w:rPr>
        <w:t>business</w:t>
      </w:r>
      <w:r>
        <w:rPr>
          <w:color w:val="231F20"/>
          <w:spacing w:val="-6"/>
        </w:rPr>
        <w:t> </w:t>
      </w:r>
      <w:r>
        <w:rPr>
          <w:color w:val="231F20"/>
          <w:spacing w:val="-1"/>
        </w:rPr>
        <w:t>managers</w:t>
      </w:r>
      <w:r>
        <w:rPr>
          <w:color w:val="231F20"/>
          <w:spacing w:val="-3"/>
        </w:rPr>
        <w:t> </w:t>
      </w:r>
      <w:r>
        <w:rPr>
          <w:color w:val="231F20"/>
        </w:rPr>
        <w:t>to</w:t>
      </w:r>
      <w:r>
        <w:rPr>
          <w:color w:val="231F20"/>
          <w:spacing w:val="-5"/>
        </w:rPr>
        <w:t> </w:t>
      </w:r>
      <w:r>
        <w:rPr>
          <w:color w:val="231F20"/>
          <w:spacing w:val="-1"/>
        </w:rPr>
        <w:t>manage</w:t>
      </w:r>
      <w:r>
        <w:rPr>
          <w:color w:val="231F20"/>
          <w:spacing w:val="-4"/>
        </w:rPr>
        <w:t> </w:t>
      </w:r>
      <w:r>
        <w:rPr>
          <w:color w:val="231F20"/>
        </w:rPr>
        <w:t>ABSTUDY</w:t>
      </w:r>
      <w:r>
        <w:rPr>
          <w:color w:val="231F20"/>
          <w:spacing w:val="23"/>
        </w:rPr>
        <w:t> </w:t>
      </w:r>
      <w:r>
        <w:rPr>
          <w:color w:val="231F20"/>
        </w:rPr>
        <w:t>claims,</w:t>
      </w:r>
      <w:r>
        <w:rPr>
          <w:color w:val="231F20"/>
          <w:spacing w:val="-7"/>
        </w:rPr>
        <w:t> </w:t>
      </w:r>
      <w:r>
        <w:rPr>
          <w:color w:val="231F20"/>
        </w:rPr>
        <w:t>reconciliation</w:t>
      </w:r>
      <w:r>
        <w:rPr>
          <w:color w:val="231F20"/>
          <w:spacing w:val="-8"/>
        </w:rPr>
        <w:t> </w:t>
      </w:r>
      <w:r>
        <w:rPr>
          <w:color w:val="231F20"/>
        </w:rPr>
        <w:t>and</w:t>
      </w:r>
      <w:r>
        <w:rPr>
          <w:color w:val="231F20"/>
          <w:spacing w:val="-7"/>
        </w:rPr>
        <w:t> </w:t>
      </w:r>
      <w:r>
        <w:rPr>
          <w:color w:val="231F20"/>
        </w:rPr>
        <w:t>payment</w:t>
      </w:r>
      <w:r>
        <w:rPr>
          <w:color w:val="231F20"/>
          <w:spacing w:val="-6"/>
        </w:rPr>
        <w:t> </w:t>
      </w:r>
      <w:r>
        <w:rPr>
          <w:color w:val="231F20"/>
        </w:rPr>
        <w:t>processes</w:t>
      </w:r>
      <w:r>
        <w:rPr>
          <w:color w:val="231F20"/>
        </w:rPr>
        <w:t> and</w:t>
      </w:r>
      <w:r>
        <w:rPr>
          <w:color w:val="231F20"/>
          <w:spacing w:val="-5"/>
        </w:rPr>
        <w:t> </w:t>
      </w:r>
      <w:r>
        <w:rPr>
          <w:color w:val="231F20"/>
        </w:rPr>
        <w:t>fee</w:t>
      </w:r>
      <w:r>
        <w:rPr>
          <w:color w:val="231F20"/>
          <w:spacing w:val="-4"/>
        </w:rPr>
        <w:t> </w:t>
      </w:r>
      <w:r>
        <w:rPr>
          <w:color w:val="231F20"/>
          <w:spacing w:val="-1"/>
        </w:rPr>
        <w:t>setting</w:t>
      </w:r>
      <w:r>
        <w:rPr>
          <w:color w:val="231F20"/>
          <w:spacing w:val="-3"/>
        </w:rPr>
        <w:t> </w:t>
      </w:r>
      <w:r>
        <w:rPr>
          <w:color w:val="231F20"/>
        </w:rPr>
        <w:t>to</w:t>
      </w:r>
      <w:r>
        <w:rPr>
          <w:color w:val="231F20"/>
          <w:spacing w:val="-4"/>
        </w:rPr>
        <w:t> </w:t>
      </w:r>
      <w:r>
        <w:rPr>
          <w:color w:val="231F20"/>
          <w:spacing w:val="-1"/>
        </w:rPr>
        <w:t>maximise</w:t>
      </w:r>
      <w:r>
        <w:rPr>
          <w:color w:val="231F20"/>
          <w:spacing w:val="-3"/>
        </w:rPr>
        <w:t> </w:t>
      </w:r>
      <w:r>
        <w:rPr>
          <w:color w:val="231F20"/>
        </w:rPr>
        <w:t>ABSTUDY</w:t>
      </w:r>
      <w:r>
        <w:rPr>
          <w:color w:val="231F20"/>
          <w:spacing w:val="-5"/>
        </w:rPr>
        <w:t> </w:t>
      </w:r>
      <w:r>
        <w:rPr>
          <w:color w:val="231F20"/>
        </w:rPr>
        <w:t>receipts,</w:t>
      </w:r>
      <w:r>
        <w:rPr>
          <w:color w:val="231F20"/>
          <w:spacing w:val="23"/>
          <w:w w:val="99"/>
        </w:rPr>
        <w:t> </w:t>
      </w:r>
      <w:r>
        <w:rPr>
          <w:color w:val="231F20"/>
        </w:rPr>
        <w:t>particularly</w:t>
      </w:r>
      <w:r>
        <w:rPr>
          <w:color w:val="231F20"/>
          <w:spacing w:val="-6"/>
        </w:rPr>
        <w:t> </w:t>
      </w:r>
      <w:r>
        <w:rPr>
          <w:color w:val="231F20"/>
          <w:spacing w:val="-1"/>
        </w:rPr>
        <w:t>if</w:t>
      </w:r>
      <w:r>
        <w:rPr>
          <w:color w:val="231F20"/>
          <w:spacing w:val="-5"/>
        </w:rPr>
        <w:t> </w:t>
      </w:r>
      <w:r>
        <w:rPr>
          <w:color w:val="231F20"/>
        </w:rPr>
        <w:t>the</w:t>
      </w:r>
      <w:r>
        <w:rPr>
          <w:color w:val="231F20"/>
          <w:spacing w:val="-6"/>
        </w:rPr>
        <w:t> </w:t>
      </w:r>
      <w:r>
        <w:rPr>
          <w:color w:val="231F20"/>
        </w:rPr>
        <w:t>provider</w:t>
      </w:r>
      <w:r>
        <w:rPr>
          <w:color w:val="231F20"/>
          <w:spacing w:val="-6"/>
        </w:rPr>
        <w:t> </w:t>
      </w:r>
      <w:r>
        <w:rPr>
          <w:color w:val="231F20"/>
          <w:spacing w:val="-1"/>
        </w:rPr>
        <w:t>is</w:t>
      </w:r>
      <w:r>
        <w:rPr>
          <w:color w:val="231F20"/>
          <w:spacing w:val="-6"/>
        </w:rPr>
        <w:t> </w:t>
      </w:r>
      <w:r>
        <w:rPr>
          <w:color w:val="231F20"/>
        </w:rPr>
        <w:t>heavily</w:t>
      </w:r>
      <w:r>
        <w:rPr>
          <w:color w:val="231F20"/>
          <w:spacing w:val="-6"/>
        </w:rPr>
        <w:t> </w:t>
      </w:r>
      <w:r>
        <w:rPr>
          <w:color w:val="231F20"/>
        </w:rPr>
        <w:t>reliant</w:t>
      </w:r>
      <w:r>
        <w:rPr>
          <w:color w:val="231F20"/>
          <w:spacing w:val="-5"/>
        </w:rPr>
        <w:t> </w:t>
      </w:r>
      <w:r>
        <w:rPr>
          <w:color w:val="231F20"/>
        </w:rPr>
        <w:t>on</w:t>
      </w:r>
      <w:r>
        <w:rPr>
          <w:color w:val="231F20"/>
          <w:spacing w:val="22"/>
          <w:w w:val="99"/>
        </w:rPr>
        <w:t> </w:t>
      </w:r>
      <w:r>
        <w:rPr>
          <w:color w:val="231F20"/>
        </w:rPr>
        <w:t>ABSTUDY.</w:t>
      </w:r>
      <w:r>
        <w:rPr/>
      </w:r>
    </w:p>
    <w:p>
      <w:pPr>
        <w:spacing w:line="240" w:lineRule="auto" w:before="11"/>
        <w:rPr>
          <w:rFonts w:ascii="Segoe UI" w:hAnsi="Segoe UI" w:cs="Segoe UI" w:eastAsia="Segoe UI"/>
          <w:sz w:val="28"/>
          <w:szCs w:val="28"/>
        </w:rPr>
      </w:pPr>
    </w:p>
    <w:p>
      <w:pPr>
        <w:spacing w:line="200" w:lineRule="atLeast"/>
        <w:ind w:left="117" w:right="0" w:firstLine="0"/>
        <w:rPr>
          <w:rFonts w:ascii="Segoe UI" w:hAnsi="Segoe UI" w:cs="Segoe UI" w:eastAsia="Segoe UI"/>
          <w:sz w:val="20"/>
          <w:szCs w:val="20"/>
        </w:rPr>
      </w:pPr>
      <w:r>
        <w:rPr>
          <w:rFonts w:ascii="Segoe UI" w:hAnsi="Segoe UI" w:cs="Segoe UI" w:eastAsia="Segoe UI"/>
          <w:sz w:val="20"/>
          <w:szCs w:val="20"/>
        </w:rPr>
        <w:pict>
          <v:group style="width:209.8pt;height:14.2pt;mso-position-horizontal-relative:char;mso-position-vertical-relative:line" coordorigin="0,0" coordsize="4196,284">
            <v:group style="position:absolute;left:283;top:0;width:3912;height:284" coordorigin="283,0" coordsize="3912,284">
              <v:shape style="position:absolute;left:283;top:0;width:3912;height:284" coordorigin="283,0" coordsize="3912,284" path="m283,283l4195,283,4195,0,283,0,283,283xe" filled="true" fillcolor="#97bf3d" stroked="false">
                <v:path arrowok="t"/>
                <v:fill type="solid"/>
              </v:shape>
            </v:group>
            <v:group style="position:absolute;left:0;top:0;width:284;height:284" coordorigin="0,0" coordsize="284,284">
              <v:shape style="position:absolute;left:0;top:0;width:284;height:284" coordorigin="0,0" coordsize="284,284" path="m0,283l283,283,283,0,0,0,0,283xe" filled="true" fillcolor="#67973f" stroked="false">
                <v:path arrowok="t"/>
                <v:fill type="solid"/>
              </v:shape>
              <v:shape style="position:absolute;left:0;top:0;width:4196;height:284" type="#_x0000_t202" filled="false" stroked="false">
                <v:textbox inset="0,0,0,0">
                  <w:txbxContent>
                    <w:p>
                      <w:pPr>
                        <w:spacing w:before="5"/>
                        <w:ind w:left="368" w:right="0" w:firstLine="0"/>
                        <w:jc w:val="left"/>
                        <w:rPr>
                          <w:rFonts w:ascii="Segoe UI" w:hAnsi="Segoe UI" w:cs="Segoe UI" w:eastAsia="Segoe UI"/>
                          <w:sz w:val="18"/>
                          <w:szCs w:val="18"/>
                        </w:rPr>
                      </w:pPr>
                      <w:r>
                        <w:rPr>
                          <w:rFonts w:ascii="Segoe UI"/>
                          <w:b/>
                          <w:i/>
                          <w:color w:val="FFFFFF"/>
                          <w:spacing w:val="-1"/>
                          <w:sz w:val="18"/>
                        </w:rPr>
                        <w:t>Case</w:t>
                      </w:r>
                      <w:r>
                        <w:rPr>
                          <w:rFonts w:ascii="Segoe UI"/>
                          <w:b/>
                          <w:i/>
                          <w:color w:val="FFFFFF"/>
                          <w:spacing w:val="-4"/>
                          <w:sz w:val="18"/>
                        </w:rPr>
                        <w:t> </w:t>
                      </w:r>
                      <w:r>
                        <w:rPr>
                          <w:rFonts w:ascii="Segoe UI"/>
                          <w:b/>
                          <w:i/>
                          <w:color w:val="FFFFFF"/>
                          <w:sz w:val="18"/>
                        </w:rPr>
                        <w:t>study</w:t>
                      </w:r>
                      <w:r>
                        <w:rPr>
                          <w:rFonts w:ascii="Segoe UI"/>
                          <w:b/>
                          <w:i/>
                          <w:color w:val="FFFFFF"/>
                          <w:spacing w:val="-5"/>
                          <w:sz w:val="18"/>
                        </w:rPr>
                        <w:t> </w:t>
                      </w:r>
                      <w:r>
                        <w:rPr>
                          <w:rFonts w:ascii="Segoe UI"/>
                          <w:b/>
                          <w:i/>
                          <w:color w:val="FFFFFF"/>
                          <w:sz w:val="18"/>
                        </w:rPr>
                        <w:t>6</w:t>
                      </w:r>
                      <w:r>
                        <w:rPr>
                          <w:rFonts w:ascii="Segoe UI"/>
                          <w:sz w:val="18"/>
                        </w:rPr>
                      </w:r>
                    </w:p>
                  </w:txbxContent>
                </v:textbox>
                <w10:wrap type="none"/>
              </v:shape>
            </v:group>
          </v:group>
        </w:pict>
      </w:r>
      <w:r>
        <w:rPr>
          <w:rFonts w:ascii="Segoe UI" w:hAnsi="Segoe UI" w:cs="Segoe UI" w:eastAsia="Segoe UI"/>
          <w:sz w:val="20"/>
          <w:szCs w:val="20"/>
        </w:rPr>
      </w:r>
    </w:p>
    <w:p>
      <w:pPr>
        <w:pStyle w:val="Heading6"/>
        <w:spacing w:line="240" w:lineRule="auto" w:before="124"/>
        <w:ind w:left="117" w:right="0"/>
        <w:jc w:val="left"/>
        <w:rPr>
          <w:b w:val="0"/>
          <w:bCs w:val="0"/>
        </w:rPr>
      </w:pPr>
      <w:r>
        <w:rPr>
          <w:color w:val="67973F"/>
        </w:rPr>
        <w:t>Managing</w:t>
      </w:r>
      <w:r>
        <w:rPr>
          <w:color w:val="67973F"/>
          <w:spacing w:val="-2"/>
        </w:rPr>
        <w:t> </w:t>
      </w:r>
      <w:r>
        <w:rPr>
          <w:color w:val="67973F"/>
          <w:spacing w:val="-1"/>
        </w:rPr>
        <w:t>ABSTUDY</w:t>
      </w:r>
      <w:r>
        <w:rPr>
          <w:color w:val="67973F"/>
        </w:rPr>
        <w:t> </w:t>
      </w:r>
      <w:r>
        <w:rPr>
          <w:color w:val="67973F"/>
          <w:spacing w:val="-1"/>
        </w:rPr>
        <w:t>receipts</w:t>
      </w:r>
      <w:r>
        <w:rPr>
          <w:b w:val="0"/>
        </w:rPr>
      </w:r>
    </w:p>
    <w:p>
      <w:pPr>
        <w:spacing w:line="265" w:lineRule="auto" w:before="138"/>
        <w:ind w:left="117" w:right="97" w:firstLine="0"/>
        <w:jc w:val="left"/>
        <w:rPr>
          <w:rFonts w:ascii="Segoe UI" w:hAnsi="Segoe UI" w:cs="Segoe UI" w:eastAsia="Segoe UI"/>
          <w:sz w:val="19"/>
          <w:szCs w:val="19"/>
        </w:rPr>
      </w:pPr>
      <w:r>
        <w:rPr>
          <w:rFonts w:ascii="Segoe UI" w:hAnsi="Segoe UI" w:cs="Segoe UI" w:eastAsia="Segoe UI"/>
          <w:color w:val="67973F"/>
          <w:sz w:val="19"/>
          <w:szCs w:val="19"/>
        </w:rPr>
        <w:t>A</w:t>
      </w:r>
      <w:r>
        <w:rPr>
          <w:rFonts w:ascii="Segoe UI" w:hAnsi="Segoe UI" w:cs="Segoe UI" w:eastAsia="Segoe UI"/>
          <w:color w:val="67973F"/>
          <w:spacing w:val="-6"/>
          <w:sz w:val="19"/>
          <w:szCs w:val="19"/>
        </w:rPr>
        <w:t> </w:t>
      </w:r>
      <w:r>
        <w:rPr>
          <w:rFonts w:ascii="Segoe UI" w:hAnsi="Segoe UI" w:cs="Segoe UI" w:eastAsia="Segoe UI"/>
          <w:color w:val="67973F"/>
          <w:spacing w:val="-1"/>
          <w:sz w:val="19"/>
          <w:szCs w:val="19"/>
        </w:rPr>
        <w:t>large</w:t>
      </w:r>
      <w:r>
        <w:rPr>
          <w:rFonts w:ascii="Segoe UI" w:hAnsi="Segoe UI" w:cs="Segoe UI" w:eastAsia="Segoe UI"/>
          <w:color w:val="67973F"/>
          <w:spacing w:val="-6"/>
          <w:sz w:val="19"/>
          <w:szCs w:val="19"/>
        </w:rPr>
        <w:t> </w:t>
      </w:r>
      <w:r>
        <w:rPr>
          <w:rFonts w:ascii="Segoe UI" w:hAnsi="Segoe UI" w:cs="Segoe UI" w:eastAsia="Segoe UI"/>
          <w:color w:val="67973F"/>
          <w:sz w:val="19"/>
          <w:szCs w:val="19"/>
        </w:rPr>
        <w:t>boarding</w:t>
      </w:r>
      <w:r>
        <w:rPr>
          <w:rFonts w:ascii="Segoe UI" w:hAnsi="Segoe UI" w:cs="Segoe UI" w:eastAsia="Segoe UI"/>
          <w:color w:val="67973F"/>
          <w:spacing w:val="-7"/>
          <w:sz w:val="19"/>
          <w:szCs w:val="19"/>
        </w:rPr>
        <w:t> </w:t>
      </w:r>
      <w:r>
        <w:rPr>
          <w:rFonts w:ascii="Segoe UI" w:hAnsi="Segoe UI" w:cs="Segoe UI" w:eastAsia="Segoe UI"/>
          <w:color w:val="67973F"/>
          <w:sz w:val="19"/>
          <w:szCs w:val="19"/>
        </w:rPr>
        <w:t>provider</w:t>
      </w:r>
      <w:r>
        <w:rPr>
          <w:rFonts w:ascii="Segoe UI" w:hAnsi="Segoe UI" w:cs="Segoe UI" w:eastAsia="Segoe UI"/>
          <w:color w:val="67973F"/>
          <w:spacing w:val="-7"/>
          <w:sz w:val="19"/>
          <w:szCs w:val="19"/>
        </w:rPr>
        <w:t> </w:t>
      </w:r>
      <w:r>
        <w:rPr>
          <w:rFonts w:ascii="Segoe UI" w:hAnsi="Segoe UI" w:cs="Segoe UI" w:eastAsia="Segoe UI"/>
          <w:color w:val="67973F"/>
          <w:sz w:val="19"/>
          <w:szCs w:val="19"/>
        </w:rPr>
        <w:t>explained</w:t>
      </w:r>
      <w:r>
        <w:rPr>
          <w:rFonts w:ascii="Segoe UI" w:hAnsi="Segoe UI" w:cs="Segoe UI" w:eastAsia="Segoe UI"/>
          <w:color w:val="67973F"/>
          <w:spacing w:val="-7"/>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21"/>
          <w:w w:val="99"/>
          <w:sz w:val="19"/>
          <w:szCs w:val="19"/>
        </w:rPr>
        <w:t> </w:t>
      </w:r>
      <w:r>
        <w:rPr>
          <w:rFonts w:ascii="Segoe UI" w:hAnsi="Segoe UI" w:cs="Segoe UI" w:eastAsia="Segoe UI"/>
          <w:color w:val="67973F"/>
          <w:spacing w:val="-1"/>
          <w:sz w:val="19"/>
          <w:szCs w:val="19"/>
        </w:rPr>
        <w:t>importance</w:t>
      </w:r>
      <w:r>
        <w:rPr>
          <w:rFonts w:ascii="Segoe UI" w:hAnsi="Segoe UI" w:cs="Segoe UI" w:eastAsia="Segoe UI"/>
          <w:color w:val="67973F"/>
          <w:spacing w:val="-9"/>
          <w:sz w:val="19"/>
          <w:szCs w:val="19"/>
        </w:rPr>
        <w:t> </w:t>
      </w:r>
      <w:r>
        <w:rPr>
          <w:rFonts w:ascii="Segoe UI" w:hAnsi="Segoe UI" w:cs="Segoe UI" w:eastAsia="Segoe UI"/>
          <w:color w:val="67973F"/>
          <w:sz w:val="19"/>
          <w:szCs w:val="19"/>
        </w:rPr>
        <w:t>of</w:t>
      </w:r>
      <w:r>
        <w:rPr>
          <w:rFonts w:ascii="Segoe UI" w:hAnsi="Segoe UI" w:cs="Segoe UI" w:eastAsia="Segoe UI"/>
          <w:color w:val="67973F"/>
          <w:spacing w:val="-8"/>
          <w:sz w:val="19"/>
          <w:szCs w:val="19"/>
        </w:rPr>
        <w:t> </w:t>
      </w:r>
      <w:r>
        <w:rPr>
          <w:rFonts w:ascii="Segoe UI" w:hAnsi="Segoe UI" w:cs="Segoe UI" w:eastAsia="Segoe UI"/>
          <w:color w:val="67973F"/>
          <w:spacing w:val="-1"/>
          <w:sz w:val="19"/>
          <w:szCs w:val="19"/>
        </w:rPr>
        <w:t>monitoring</w:t>
      </w:r>
      <w:r>
        <w:rPr>
          <w:rFonts w:ascii="Segoe UI" w:hAnsi="Segoe UI" w:cs="Segoe UI" w:eastAsia="Segoe UI"/>
          <w:color w:val="67973F"/>
          <w:spacing w:val="-7"/>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9"/>
          <w:sz w:val="19"/>
          <w:szCs w:val="19"/>
        </w:rPr>
        <w:t> </w:t>
      </w:r>
      <w:r>
        <w:rPr>
          <w:rFonts w:ascii="Segoe UI" w:hAnsi="Segoe UI" w:cs="Segoe UI" w:eastAsia="Segoe UI"/>
          <w:color w:val="67973F"/>
          <w:spacing w:val="-1"/>
          <w:sz w:val="19"/>
          <w:szCs w:val="19"/>
        </w:rPr>
        <w:t>managing</w:t>
      </w:r>
      <w:r>
        <w:rPr>
          <w:rFonts w:ascii="Segoe UI" w:hAnsi="Segoe UI" w:cs="Segoe UI" w:eastAsia="Segoe UI"/>
          <w:color w:val="67973F"/>
          <w:spacing w:val="22"/>
          <w:w w:val="99"/>
          <w:sz w:val="19"/>
          <w:szCs w:val="19"/>
        </w:rPr>
        <w:t> </w:t>
      </w:r>
      <w:r>
        <w:rPr>
          <w:rFonts w:ascii="Segoe UI" w:hAnsi="Segoe UI" w:cs="Segoe UI" w:eastAsia="Segoe UI"/>
          <w:color w:val="67973F"/>
          <w:sz w:val="19"/>
          <w:szCs w:val="19"/>
        </w:rPr>
        <w:t>ABSTUDY receipts. It had experienced difficulties</w:t>
      </w:r>
      <w:r>
        <w:rPr>
          <w:rFonts w:ascii="Segoe UI" w:hAnsi="Segoe UI" w:cs="Segoe UI" w:eastAsia="Segoe UI"/>
          <w:color w:val="67973F"/>
          <w:sz w:val="19"/>
          <w:szCs w:val="19"/>
        </w:rPr>
        <w:t> </w:t>
      </w:r>
      <w:r>
        <w:rPr>
          <w:rFonts w:ascii="Segoe UI" w:hAnsi="Segoe UI" w:cs="Segoe UI" w:eastAsia="Segoe UI"/>
          <w:color w:val="67973F"/>
          <w:sz w:val="19"/>
          <w:szCs w:val="19"/>
        </w:rPr>
        <w:t>with</w:t>
      </w:r>
      <w:r>
        <w:rPr>
          <w:rFonts w:ascii="Segoe UI" w:hAnsi="Segoe UI" w:cs="Segoe UI" w:eastAsia="Segoe UI"/>
          <w:color w:val="67973F"/>
          <w:spacing w:val="-8"/>
          <w:sz w:val="19"/>
          <w:szCs w:val="19"/>
        </w:rPr>
        <w:t> </w:t>
      </w:r>
      <w:r>
        <w:rPr>
          <w:rFonts w:ascii="Segoe UI" w:hAnsi="Segoe UI" w:cs="Segoe UI" w:eastAsia="Segoe UI"/>
          <w:color w:val="67973F"/>
          <w:sz w:val="19"/>
          <w:szCs w:val="19"/>
        </w:rPr>
        <w:t>unprocessed</w:t>
      </w:r>
      <w:r>
        <w:rPr>
          <w:rFonts w:ascii="Segoe UI" w:hAnsi="Segoe UI" w:cs="Segoe UI" w:eastAsia="Segoe UI"/>
          <w:color w:val="67973F"/>
          <w:spacing w:val="-7"/>
          <w:sz w:val="19"/>
          <w:szCs w:val="19"/>
        </w:rPr>
        <w:t> </w:t>
      </w:r>
      <w:r>
        <w:rPr>
          <w:rFonts w:ascii="Segoe UI" w:hAnsi="Segoe UI" w:cs="Segoe UI" w:eastAsia="Segoe UI"/>
          <w:color w:val="67973F"/>
          <w:sz w:val="19"/>
          <w:szCs w:val="19"/>
        </w:rPr>
        <w:t>claims</w:t>
      </w:r>
      <w:r>
        <w:rPr>
          <w:rFonts w:ascii="Segoe UI" w:hAnsi="Segoe UI" w:cs="Segoe UI" w:eastAsia="Segoe UI"/>
          <w:color w:val="67973F"/>
          <w:spacing w:val="-7"/>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7"/>
          <w:sz w:val="19"/>
          <w:szCs w:val="19"/>
        </w:rPr>
        <w:t> </w:t>
      </w:r>
      <w:r>
        <w:rPr>
          <w:rFonts w:ascii="Segoe UI" w:hAnsi="Segoe UI" w:cs="Segoe UI" w:eastAsia="Segoe UI"/>
          <w:color w:val="67973F"/>
          <w:sz w:val="19"/>
          <w:szCs w:val="19"/>
        </w:rPr>
        <w:t>under</w:t>
      </w:r>
      <w:r>
        <w:rPr>
          <w:rFonts w:ascii="Segoe UI" w:hAnsi="Segoe UI" w:cs="Segoe UI" w:eastAsia="Segoe UI"/>
          <w:color w:val="67973F"/>
          <w:spacing w:val="-6"/>
          <w:sz w:val="19"/>
          <w:szCs w:val="19"/>
        </w:rPr>
        <w:t> </w:t>
      </w:r>
      <w:r>
        <w:rPr>
          <w:rFonts w:ascii="Segoe UI" w:hAnsi="Segoe UI" w:cs="Segoe UI" w:eastAsia="Segoe UI"/>
          <w:color w:val="67973F"/>
          <w:sz w:val="19"/>
          <w:szCs w:val="19"/>
        </w:rPr>
        <w:t>payments.</w:t>
      </w:r>
      <w:r>
        <w:rPr>
          <w:rFonts w:ascii="Segoe UI" w:hAnsi="Segoe UI" w:cs="Segoe UI" w:eastAsia="Segoe UI"/>
          <w:color w:val="67973F"/>
          <w:w w:val="99"/>
          <w:sz w:val="19"/>
          <w:szCs w:val="19"/>
        </w:rPr>
        <w:t> </w:t>
      </w:r>
      <w:r>
        <w:rPr>
          <w:rFonts w:ascii="Segoe UI" w:hAnsi="Segoe UI" w:cs="Segoe UI" w:eastAsia="Segoe UI"/>
          <w:color w:val="67973F"/>
          <w:sz w:val="19"/>
          <w:szCs w:val="19"/>
        </w:rPr>
        <w:t>This</w:t>
      </w:r>
      <w:r>
        <w:rPr>
          <w:rFonts w:ascii="Segoe UI" w:hAnsi="Segoe UI" w:cs="Segoe UI" w:eastAsia="Segoe UI"/>
          <w:color w:val="67973F"/>
          <w:spacing w:val="-5"/>
          <w:sz w:val="19"/>
          <w:szCs w:val="19"/>
        </w:rPr>
        <w:t> </w:t>
      </w:r>
      <w:r>
        <w:rPr>
          <w:rFonts w:ascii="Segoe UI" w:hAnsi="Segoe UI" w:cs="Segoe UI" w:eastAsia="Segoe UI"/>
          <w:color w:val="67973F"/>
          <w:sz w:val="19"/>
          <w:szCs w:val="19"/>
        </w:rPr>
        <w:t>had</w:t>
      </w:r>
      <w:r>
        <w:rPr>
          <w:rFonts w:ascii="Segoe UI" w:hAnsi="Segoe UI" w:cs="Segoe UI" w:eastAsia="Segoe UI"/>
          <w:color w:val="67973F"/>
          <w:spacing w:val="-3"/>
          <w:sz w:val="19"/>
          <w:szCs w:val="19"/>
        </w:rPr>
        <w:t> </w:t>
      </w:r>
      <w:r>
        <w:rPr>
          <w:rFonts w:ascii="Segoe UI" w:hAnsi="Segoe UI" w:cs="Segoe UI" w:eastAsia="Segoe UI"/>
          <w:color w:val="67973F"/>
          <w:sz w:val="19"/>
          <w:szCs w:val="19"/>
        </w:rPr>
        <w:t>reduced</w:t>
      </w:r>
      <w:r>
        <w:rPr>
          <w:rFonts w:ascii="Segoe UI" w:hAnsi="Segoe UI" w:cs="Segoe UI" w:eastAsia="Segoe UI"/>
          <w:color w:val="67973F"/>
          <w:spacing w:val="-5"/>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income</w:t>
      </w:r>
      <w:r>
        <w:rPr>
          <w:rFonts w:ascii="Segoe UI" w:hAnsi="Segoe UI" w:cs="Segoe UI" w:eastAsia="Segoe UI"/>
          <w:color w:val="67973F"/>
          <w:spacing w:val="-4"/>
          <w:sz w:val="19"/>
          <w:szCs w:val="19"/>
        </w:rPr>
        <w:t> </w:t>
      </w:r>
      <w:r>
        <w:rPr>
          <w:rFonts w:ascii="Segoe UI" w:hAnsi="Segoe UI" w:cs="Segoe UI" w:eastAsia="Segoe UI"/>
          <w:color w:val="67973F"/>
          <w:sz w:val="19"/>
          <w:szCs w:val="19"/>
        </w:rPr>
        <w:t>of</w:t>
      </w:r>
      <w:r>
        <w:rPr>
          <w:rFonts w:ascii="Segoe UI" w:hAnsi="Segoe UI" w:cs="Segoe UI" w:eastAsia="Segoe UI"/>
          <w:color w:val="67973F"/>
          <w:spacing w:val="-3"/>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4"/>
          <w:sz w:val="19"/>
          <w:szCs w:val="19"/>
        </w:rPr>
        <w:t> </w:t>
      </w:r>
      <w:r>
        <w:rPr>
          <w:rFonts w:ascii="Segoe UI" w:hAnsi="Segoe UI" w:cs="Segoe UI" w:eastAsia="Segoe UI"/>
          <w:color w:val="67973F"/>
          <w:sz w:val="19"/>
          <w:szCs w:val="19"/>
        </w:rPr>
        <w:t>provider</w:t>
      </w:r>
      <w:r>
        <w:rPr>
          <w:rFonts w:ascii="Segoe UI" w:hAnsi="Segoe UI" w:cs="Segoe UI" w:eastAsia="Segoe UI"/>
          <w:color w:val="67973F"/>
          <w:spacing w:val="-5"/>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21"/>
          <w:w w:val="99"/>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6"/>
          <w:sz w:val="19"/>
          <w:szCs w:val="19"/>
        </w:rPr>
        <w:t> </w:t>
      </w:r>
      <w:r>
        <w:rPr>
          <w:rFonts w:ascii="Segoe UI" w:hAnsi="Segoe UI" w:cs="Segoe UI" w:eastAsia="Segoe UI"/>
          <w:color w:val="67973F"/>
          <w:spacing w:val="-1"/>
          <w:sz w:val="19"/>
          <w:szCs w:val="19"/>
        </w:rPr>
        <w:t>services</w:t>
      </w:r>
      <w:r>
        <w:rPr>
          <w:rFonts w:ascii="Segoe UI" w:hAnsi="Segoe UI" w:cs="Segoe UI" w:eastAsia="Segoe UI"/>
          <w:color w:val="67973F"/>
          <w:spacing w:val="-4"/>
          <w:sz w:val="19"/>
          <w:szCs w:val="19"/>
        </w:rPr>
        <w:t> </w:t>
      </w:r>
      <w:r>
        <w:rPr>
          <w:rFonts w:ascii="Segoe UI" w:hAnsi="Segoe UI" w:cs="Segoe UI" w:eastAsia="Segoe UI"/>
          <w:color w:val="67973F"/>
          <w:sz w:val="19"/>
          <w:szCs w:val="19"/>
        </w:rPr>
        <w:t>that</w:t>
      </w:r>
      <w:r>
        <w:rPr>
          <w:rFonts w:ascii="Segoe UI" w:hAnsi="Segoe UI" w:cs="Segoe UI" w:eastAsia="Segoe UI"/>
          <w:color w:val="67973F"/>
          <w:spacing w:val="-5"/>
          <w:sz w:val="19"/>
          <w:szCs w:val="19"/>
        </w:rPr>
        <w:t> </w:t>
      </w:r>
      <w:r>
        <w:rPr>
          <w:rFonts w:ascii="Segoe UI" w:hAnsi="Segoe UI" w:cs="Segoe UI" w:eastAsia="Segoe UI"/>
          <w:color w:val="67973F"/>
          <w:sz w:val="19"/>
          <w:szCs w:val="19"/>
        </w:rPr>
        <w:t>could</w:t>
      </w:r>
      <w:r>
        <w:rPr>
          <w:rFonts w:ascii="Segoe UI" w:hAnsi="Segoe UI" w:cs="Segoe UI" w:eastAsia="Segoe UI"/>
          <w:color w:val="67973F"/>
          <w:spacing w:val="-6"/>
          <w:sz w:val="19"/>
          <w:szCs w:val="19"/>
        </w:rPr>
        <w:t> </w:t>
      </w:r>
      <w:r>
        <w:rPr>
          <w:rFonts w:ascii="Segoe UI" w:hAnsi="Segoe UI" w:cs="Segoe UI" w:eastAsia="Segoe UI"/>
          <w:color w:val="67973F"/>
          <w:sz w:val="19"/>
          <w:szCs w:val="19"/>
        </w:rPr>
        <w:t>be</w:t>
      </w:r>
      <w:r>
        <w:rPr>
          <w:rFonts w:ascii="Segoe UI" w:hAnsi="Segoe UI" w:cs="Segoe UI" w:eastAsia="Segoe UI"/>
          <w:color w:val="67973F"/>
          <w:spacing w:val="-4"/>
          <w:sz w:val="19"/>
          <w:szCs w:val="19"/>
        </w:rPr>
        <w:t> </w:t>
      </w:r>
      <w:r>
        <w:rPr>
          <w:rFonts w:ascii="Segoe UI" w:hAnsi="Segoe UI" w:cs="Segoe UI" w:eastAsia="Segoe UI"/>
          <w:color w:val="67973F"/>
          <w:sz w:val="19"/>
          <w:szCs w:val="19"/>
        </w:rPr>
        <w:t>provided</w:t>
      </w:r>
      <w:r>
        <w:rPr>
          <w:rFonts w:ascii="Segoe UI" w:hAnsi="Segoe UI" w:cs="Segoe UI" w:eastAsia="Segoe UI"/>
          <w:color w:val="67973F"/>
          <w:spacing w:val="-5"/>
          <w:sz w:val="19"/>
          <w:szCs w:val="19"/>
        </w:rPr>
        <w:t> </w:t>
      </w:r>
      <w:r>
        <w:rPr>
          <w:rFonts w:ascii="Segoe UI" w:hAnsi="Segoe UI" w:cs="Segoe UI" w:eastAsia="Segoe UI"/>
          <w:color w:val="67973F"/>
          <w:sz w:val="19"/>
          <w:szCs w:val="19"/>
        </w:rPr>
        <w:t>to</w:t>
      </w:r>
      <w:r>
        <w:rPr>
          <w:rFonts w:ascii="Segoe UI" w:hAnsi="Segoe UI" w:cs="Segoe UI" w:eastAsia="Segoe UI"/>
          <w:color w:val="67973F"/>
          <w:spacing w:val="-4"/>
          <w:sz w:val="19"/>
          <w:szCs w:val="19"/>
        </w:rPr>
        <w:t> </w:t>
      </w:r>
      <w:r>
        <w:rPr>
          <w:rFonts w:ascii="Segoe UI" w:hAnsi="Segoe UI" w:cs="Segoe UI" w:eastAsia="Segoe UI"/>
          <w:color w:val="67973F"/>
          <w:sz w:val="19"/>
          <w:szCs w:val="19"/>
        </w:rPr>
        <w:t>boarders.</w:t>
      </w:r>
      <w:r>
        <w:rPr>
          <w:rFonts w:ascii="Segoe UI" w:hAnsi="Segoe UI" w:cs="Segoe UI" w:eastAsia="Segoe UI"/>
          <w:color w:val="67973F"/>
          <w:spacing w:val="22"/>
          <w:w w:val="99"/>
          <w:sz w:val="19"/>
          <w:szCs w:val="19"/>
        </w:rPr>
        <w:t> </w:t>
      </w:r>
      <w:r>
        <w:rPr>
          <w:rFonts w:ascii="Segoe UI" w:hAnsi="Segoe UI" w:cs="Segoe UI" w:eastAsia="Segoe UI"/>
          <w:color w:val="67973F"/>
          <w:sz w:val="19"/>
          <w:szCs w:val="19"/>
        </w:rPr>
        <w:t>An</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internal</w:t>
      </w:r>
      <w:r>
        <w:rPr>
          <w:rFonts w:ascii="Segoe UI" w:hAnsi="Segoe UI" w:cs="Segoe UI" w:eastAsia="Segoe UI"/>
          <w:color w:val="67973F"/>
          <w:spacing w:val="-4"/>
          <w:sz w:val="19"/>
          <w:szCs w:val="19"/>
        </w:rPr>
        <w:t> </w:t>
      </w:r>
      <w:r>
        <w:rPr>
          <w:rFonts w:ascii="Segoe UI" w:hAnsi="Segoe UI" w:cs="Segoe UI" w:eastAsia="Segoe UI"/>
          <w:color w:val="67973F"/>
          <w:sz w:val="19"/>
          <w:szCs w:val="19"/>
        </w:rPr>
        <w:t>audit</w:t>
      </w:r>
      <w:r>
        <w:rPr>
          <w:rFonts w:ascii="Segoe UI" w:hAnsi="Segoe UI" w:cs="Segoe UI" w:eastAsia="Segoe UI"/>
          <w:color w:val="67973F"/>
          <w:spacing w:val="-5"/>
          <w:sz w:val="19"/>
          <w:szCs w:val="19"/>
        </w:rPr>
        <w:t> </w:t>
      </w:r>
      <w:r>
        <w:rPr>
          <w:rFonts w:ascii="Segoe UI" w:hAnsi="Segoe UI" w:cs="Segoe UI" w:eastAsia="Segoe UI"/>
          <w:color w:val="67973F"/>
          <w:sz w:val="19"/>
          <w:szCs w:val="19"/>
        </w:rPr>
        <w:t>of</w:t>
      </w:r>
      <w:r>
        <w:rPr>
          <w:rFonts w:ascii="Segoe UI" w:hAnsi="Segoe UI" w:cs="Segoe UI" w:eastAsia="Segoe UI"/>
          <w:color w:val="67973F"/>
          <w:spacing w:val="-5"/>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5"/>
          <w:sz w:val="19"/>
          <w:szCs w:val="19"/>
        </w:rPr>
        <w:t> </w:t>
      </w:r>
      <w:r>
        <w:rPr>
          <w:rFonts w:ascii="Segoe UI" w:hAnsi="Segoe UI" w:cs="Segoe UI" w:eastAsia="Segoe UI"/>
          <w:color w:val="67973F"/>
          <w:sz w:val="19"/>
          <w:szCs w:val="19"/>
        </w:rPr>
        <w:t>provider’s</w:t>
      </w:r>
      <w:r>
        <w:rPr>
          <w:rFonts w:ascii="Segoe UI" w:hAnsi="Segoe UI" w:cs="Segoe UI" w:eastAsia="Segoe UI"/>
          <w:color w:val="67973F"/>
          <w:spacing w:val="-5"/>
          <w:sz w:val="19"/>
          <w:szCs w:val="19"/>
        </w:rPr>
        <w:t> </w:t>
      </w:r>
      <w:r>
        <w:rPr>
          <w:rFonts w:ascii="Segoe UI" w:hAnsi="Segoe UI" w:cs="Segoe UI" w:eastAsia="Segoe UI"/>
          <w:color w:val="67973F"/>
          <w:sz w:val="19"/>
          <w:szCs w:val="19"/>
        </w:rPr>
        <w:t>ABSTUDY</w:t>
      </w:r>
      <w:r>
        <w:rPr>
          <w:rFonts w:ascii="Segoe UI" w:hAnsi="Segoe UI" w:cs="Segoe UI" w:eastAsia="Segoe UI"/>
          <w:color w:val="67973F"/>
          <w:spacing w:val="22"/>
          <w:sz w:val="19"/>
          <w:szCs w:val="19"/>
        </w:rPr>
        <w:t> </w:t>
      </w:r>
      <w:r>
        <w:rPr>
          <w:rFonts w:ascii="Segoe UI" w:hAnsi="Segoe UI" w:cs="Segoe UI" w:eastAsia="Segoe UI"/>
          <w:color w:val="67973F"/>
          <w:sz w:val="19"/>
          <w:szCs w:val="19"/>
        </w:rPr>
        <w:t>claims</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in</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2016</w:t>
      </w:r>
      <w:r>
        <w:rPr>
          <w:rFonts w:ascii="Segoe UI" w:hAnsi="Segoe UI" w:cs="Segoe UI" w:eastAsia="Segoe UI"/>
          <w:color w:val="67973F"/>
          <w:spacing w:val="-4"/>
          <w:sz w:val="19"/>
          <w:szCs w:val="19"/>
        </w:rPr>
        <w:t> </w:t>
      </w:r>
      <w:r>
        <w:rPr>
          <w:rFonts w:ascii="Segoe UI" w:hAnsi="Segoe UI" w:cs="Segoe UI" w:eastAsia="Segoe UI"/>
          <w:color w:val="67973F"/>
          <w:sz w:val="19"/>
          <w:szCs w:val="19"/>
        </w:rPr>
        <w:t>revealed</w:t>
      </w:r>
      <w:r>
        <w:rPr>
          <w:rFonts w:ascii="Segoe UI" w:hAnsi="Segoe UI" w:cs="Segoe UI" w:eastAsia="Segoe UI"/>
          <w:color w:val="67973F"/>
          <w:spacing w:val="-4"/>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5"/>
          <w:sz w:val="19"/>
          <w:szCs w:val="19"/>
        </w:rPr>
        <w:t> </w:t>
      </w:r>
      <w:r>
        <w:rPr>
          <w:rFonts w:ascii="Segoe UI" w:hAnsi="Segoe UI" w:cs="Segoe UI" w:eastAsia="Segoe UI"/>
          <w:color w:val="67973F"/>
          <w:sz w:val="19"/>
          <w:szCs w:val="19"/>
        </w:rPr>
        <w:t>unprocessed</w:t>
      </w:r>
      <w:r>
        <w:rPr>
          <w:rFonts w:ascii="Segoe UI" w:hAnsi="Segoe UI" w:cs="Segoe UI" w:eastAsia="Segoe UI"/>
          <w:color w:val="67973F"/>
          <w:spacing w:val="-4"/>
          <w:sz w:val="19"/>
          <w:szCs w:val="19"/>
        </w:rPr>
        <w:t> </w:t>
      </w:r>
      <w:r>
        <w:rPr>
          <w:rFonts w:ascii="Segoe UI" w:hAnsi="Segoe UI" w:cs="Segoe UI" w:eastAsia="Segoe UI"/>
          <w:color w:val="67973F"/>
          <w:sz w:val="19"/>
          <w:szCs w:val="19"/>
        </w:rPr>
        <w:t>claims</w:t>
      </w:r>
      <w:r>
        <w:rPr>
          <w:rFonts w:ascii="Segoe UI" w:hAnsi="Segoe UI" w:cs="Segoe UI" w:eastAsia="Segoe UI"/>
          <w:color w:val="67973F"/>
          <w:spacing w:val="22"/>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9"/>
          <w:sz w:val="19"/>
          <w:szCs w:val="19"/>
        </w:rPr>
        <w:t> </w:t>
      </w:r>
      <w:r>
        <w:rPr>
          <w:rFonts w:ascii="Segoe UI" w:hAnsi="Segoe UI" w:cs="Segoe UI" w:eastAsia="Segoe UI"/>
          <w:color w:val="67973F"/>
          <w:sz w:val="19"/>
          <w:szCs w:val="19"/>
        </w:rPr>
        <w:t>under-payments</w:t>
      </w:r>
      <w:r>
        <w:rPr>
          <w:rFonts w:ascii="Segoe UI" w:hAnsi="Segoe UI" w:cs="Segoe UI" w:eastAsia="Segoe UI"/>
          <w:color w:val="67973F"/>
          <w:spacing w:val="-9"/>
          <w:sz w:val="19"/>
          <w:szCs w:val="19"/>
        </w:rPr>
        <w:t> </w:t>
      </w:r>
      <w:r>
        <w:rPr>
          <w:rFonts w:ascii="Segoe UI" w:hAnsi="Segoe UI" w:cs="Segoe UI" w:eastAsia="Segoe UI"/>
          <w:color w:val="67973F"/>
          <w:sz w:val="19"/>
          <w:szCs w:val="19"/>
        </w:rPr>
        <w:t>across</w:t>
      </w:r>
      <w:r>
        <w:rPr>
          <w:rFonts w:ascii="Segoe UI" w:hAnsi="Segoe UI" w:cs="Segoe UI" w:eastAsia="Segoe UI"/>
          <w:color w:val="67973F"/>
          <w:spacing w:val="-9"/>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9"/>
          <w:sz w:val="19"/>
          <w:szCs w:val="19"/>
        </w:rPr>
        <w:t> </w:t>
      </w:r>
      <w:r>
        <w:rPr>
          <w:rFonts w:ascii="Segoe UI" w:hAnsi="Segoe UI" w:cs="Segoe UI" w:eastAsia="Segoe UI"/>
          <w:color w:val="67973F"/>
          <w:sz w:val="19"/>
          <w:szCs w:val="19"/>
        </w:rPr>
        <w:t>three</w:t>
      </w:r>
      <w:r>
        <w:rPr>
          <w:rFonts w:ascii="Segoe UI" w:hAnsi="Segoe UI" w:cs="Segoe UI" w:eastAsia="Segoe UI"/>
          <w:color w:val="67973F"/>
          <w:spacing w:val="-8"/>
          <w:sz w:val="19"/>
          <w:szCs w:val="19"/>
        </w:rPr>
        <w:t> </w:t>
      </w:r>
      <w:r>
        <w:rPr>
          <w:rFonts w:ascii="Segoe UI" w:hAnsi="Segoe UI" w:cs="Segoe UI" w:eastAsia="Segoe UI"/>
          <w:color w:val="67973F"/>
          <w:sz w:val="19"/>
          <w:szCs w:val="19"/>
        </w:rPr>
        <w:t>proceeding</w:t>
      </w:r>
      <w:r>
        <w:rPr>
          <w:rFonts w:ascii="Segoe UI" w:hAnsi="Segoe UI" w:cs="Segoe UI" w:eastAsia="Segoe UI"/>
          <w:color w:val="67973F"/>
          <w:w w:val="99"/>
          <w:sz w:val="19"/>
          <w:szCs w:val="19"/>
        </w:rPr>
        <w:t> </w:t>
      </w:r>
      <w:r>
        <w:rPr>
          <w:rFonts w:ascii="Segoe UI" w:hAnsi="Segoe UI" w:cs="Segoe UI" w:eastAsia="Segoe UI"/>
          <w:color w:val="67973F"/>
          <w:sz w:val="19"/>
          <w:szCs w:val="19"/>
        </w:rPr>
        <w:t>years.</w:t>
      </w:r>
      <w:r>
        <w:rPr>
          <w:rFonts w:ascii="Segoe UI" w:hAnsi="Segoe UI" w:cs="Segoe UI" w:eastAsia="Segoe UI"/>
          <w:color w:val="67973F"/>
          <w:spacing w:val="-10"/>
          <w:sz w:val="19"/>
          <w:szCs w:val="19"/>
        </w:rPr>
        <w:t> </w:t>
      </w:r>
      <w:r>
        <w:rPr>
          <w:rFonts w:ascii="Segoe UI" w:hAnsi="Segoe UI" w:cs="Segoe UI" w:eastAsia="Segoe UI"/>
          <w:color w:val="67973F"/>
          <w:sz w:val="19"/>
          <w:szCs w:val="19"/>
        </w:rPr>
        <w:t>Outstanding</w:t>
      </w:r>
      <w:r>
        <w:rPr>
          <w:rFonts w:ascii="Segoe UI" w:hAnsi="Segoe UI" w:cs="Segoe UI" w:eastAsia="Segoe UI"/>
          <w:color w:val="67973F"/>
          <w:spacing w:val="-9"/>
          <w:sz w:val="19"/>
          <w:szCs w:val="19"/>
        </w:rPr>
        <w:t> </w:t>
      </w:r>
      <w:r>
        <w:rPr>
          <w:rFonts w:ascii="Segoe UI" w:hAnsi="Segoe UI" w:cs="Segoe UI" w:eastAsia="Segoe UI"/>
          <w:color w:val="67973F"/>
          <w:sz w:val="19"/>
          <w:szCs w:val="19"/>
        </w:rPr>
        <w:t>ABSTUDY</w:t>
      </w:r>
      <w:r>
        <w:rPr>
          <w:rFonts w:ascii="Segoe UI" w:hAnsi="Segoe UI" w:cs="Segoe UI" w:eastAsia="Segoe UI"/>
          <w:color w:val="67973F"/>
          <w:spacing w:val="-9"/>
          <w:sz w:val="19"/>
          <w:szCs w:val="19"/>
        </w:rPr>
        <w:t> </w:t>
      </w:r>
      <w:r>
        <w:rPr>
          <w:rFonts w:ascii="Segoe UI" w:hAnsi="Segoe UI" w:cs="Segoe UI" w:eastAsia="Segoe UI"/>
          <w:color w:val="67973F"/>
          <w:sz w:val="19"/>
          <w:szCs w:val="19"/>
        </w:rPr>
        <w:t>paperwork</w:t>
      </w:r>
      <w:r>
        <w:rPr>
          <w:rFonts w:ascii="Segoe UI" w:hAnsi="Segoe UI" w:cs="Segoe UI" w:eastAsia="Segoe UI"/>
          <w:sz w:val="19"/>
          <w:szCs w:val="19"/>
        </w:rPr>
      </w:r>
    </w:p>
    <w:p>
      <w:pPr>
        <w:spacing w:line="265" w:lineRule="auto" w:before="0"/>
        <w:ind w:left="117" w:right="327" w:firstLine="0"/>
        <w:jc w:val="left"/>
        <w:rPr>
          <w:rFonts w:ascii="Segoe UI" w:hAnsi="Segoe UI" w:cs="Segoe UI" w:eastAsia="Segoe UI"/>
          <w:sz w:val="19"/>
          <w:szCs w:val="19"/>
        </w:rPr>
      </w:pPr>
      <w:r>
        <w:rPr>
          <w:rFonts w:ascii="Segoe UI"/>
          <w:color w:val="67973F"/>
          <w:sz w:val="19"/>
        </w:rPr>
        <w:t>was</w:t>
      </w:r>
      <w:r>
        <w:rPr>
          <w:rFonts w:ascii="Segoe UI"/>
          <w:color w:val="67973F"/>
          <w:spacing w:val="-6"/>
          <w:sz w:val="19"/>
        </w:rPr>
        <w:t> </w:t>
      </w:r>
      <w:r>
        <w:rPr>
          <w:rFonts w:ascii="Segoe UI"/>
          <w:color w:val="67973F"/>
          <w:spacing w:val="-1"/>
          <w:sz w:val="19"/>
        </w:rPr>
        <w:t>submitted</w:t>
      </w:r>
      <w:r>
        <w:rPr>
          <w:rFonts w:ascii="Segoe UI"/>
          <w:color w:val="67973F"/>
          <w:spacing w:val="-4"/>
          <w:sz w:val="19"/>
        </w:rPr>
        <w:t> </w:t>
      </w:r>
      <w:r>
        <w:rPr>
          <w:rFonts w:ascii="Segoe UI"/>
          <w:color w:val="67973F"/>
          <w:sz w:val="19"/>
        </w:rPr>
        <w:t>to</w:t>
      </w:r>
      <w:r>
        <w:rPr>
          <w:rFonts w:ascii="Segoe UI"/>
          <w:color w:val="67973F"/>
          <w:spacing w:val="-4"/>
          <w:sz w:val="19"/>
        </w:rPr>
        <w:t> </w:t>
      </w:r>
      <w:r>
        <w:rPr>
          <w:rFonts w:ascii="Segoe UI"/>
          <w:color w:val="67973F"/>
          <w:sz w:val="19"/>
        </w:rPr>
        <w:t>the</w:t>
      </w:r>
      <w:r>
        <w:rPr>
          <w:rFonts w:ascii="Segoe UI"/>
          <w:color w:val="67973F"/>
          <w:spacing w:val="-5"/>
          <w:sz w:val="19"/>
        </w:rPr>
        <w:t> </w:t>
      </w:r>
      <w:r>
        <w:rPr>
          <w:rFonts w:ascii="Segoe UI"/>
          <w:color w:val="67973F"/>
          <w:spacing w:val="-1"/>
          <w:sz w:val="19"/>
        </w:rPr>
        <w:t>Department</w:t>
      </w:r>
      <w:r>
        <w:rPr>
          <w:rFonts w:ascii="Segoe UI"/>
          <w:color w:val="67973F"/>
          <w:spacing w:val="-5"/>
          <w:sz w:val="19"/>
        </w:rPr>
        <w:t> </w:t>
      </w:r>
      <w:r>
        <w:rPr>
          <w:rFonts w:ascii="Segoe UI"/>
          <w:color w:val="67973F"/>
          <w:sz w:val="19"/>
        </w:rPr>
        <w:t>of</w:t>
      </w:r>
      <w:r>
        <w:rPr>
          <w:rFonts w:ascii="Segoe UI"/>
          <w:color w:val="67973F"/>
          <w:spacing w:val="-4"/>
          <w:sz w:val="19"/>
        </w:rPr>
        <w:t> </w:t>
      </w:r>
      <w:r>
        <w:rPr>
          <w:rFonts w:ascii="Segoe UI"/>
          <w:color w:val="67973F"/>
          <w:sz w:val="19"/>
        </w:rPr>
        <w:t>Human</w:t>
      </w:r>
      <w:r>
        <w:rPr>
          <w:rFonts w:ascii="Segoe UI"/>
          <w:color w:val="67973F"/>
          <w:spacing w:val="23"/>
          <w:w w:val="99"/>
          <w:sz w:val="19"/>
        </w:rPr>
        <w:t> </w:t>
      </w:r>
      <w:r>
        <w:rPr>
          <w:rFonts w:ascii="Segoe UI"/>
          <w:color w:val="67973F"/>
          <w:spacing w:val="-1"/>
          <w:sz w:val="19"/>
        </w:rPr>
        <w:t>Services</w:t>
      </w:r>
      <w:r>
        <w:rPr>
          <w:rFonts w:ascii="Segoe UI"/>
          <w:color w:val="67973F"/>
          <w:spacing w:val="-5"/>
          <w:sz w:val="19"/>
        </w:rPr>
        <w:t> </w:t>
      </w:r>
      <w:r>
        <w:rPr>
          <w:rFonts w:ascii="Segoe UI"/>
          <w:color w:val="67973F"/>
          <w:spacing w:val="-1"/>
          <w:sz w:val="19"/>
        </w:rPr>
        <w:t>in</w:t>
      </w:r>
      <w:r>
        <w:rPr>
          <w:rFonts w:ascii="Segoe UI"/>
          <w:color w:val="67973F"/>
          <w:spacing w:val="-5"/>
          <w:sz w:val="19"/>
        </w:rPr>
        <w:t> </w:t>
      </w:r>
      <w:r>
        <w:rPr>
          <w:rFonts w:ascii="Segoe UI"/>
          <w:color w:val="67973F"/>
          <w:sz w:val="19"/>
        </w:rPr>
        <w:t>conjunction</w:t>
      </w:r>
      <w:r>
        <w:rPr>
          <w:rFonts w:ascii="Segoe UI"/>
          <w:color w:val="67973F"/>
          <w:spacing w:val="-5"/>
          <w:sz w:val="19"/>
        </w:rPr>
        <w:t> </w:t>
      </w:r>
      <w:r>
        <w:rPr>
          <w:rFonts w:ascii="Segoe UI"/>
          <w:color w:val="67973F"/>
          <w:sz w:val="19"/>
        </w:rPr>
        <w:t>with</w:t>
      </w:r>
      <w:r>
        <w:rPr>
          <w:rFonts w:ascii="Segoe UI"/>
          <w:color w:val="67973F"/>
          <w:spacing w:val="-6"/>
          <w:sz w:val="19"/>
        </w:rPr>
        <w:t> </w:t>
      </w:r>
      <w:r>
        <w:rPr>
          <w:rFonts w:ascii="Segoe UI"/>
          <w:color w:val="67973F"/>
          <w:sz w:val="19"/>
        </w:rPr>
        <w:t>parents</w:t>
      </w:r>
      <w:r>
        <w:rPr>
          <w:rFonts w:ascii="Segoe UI"/>
          <w:color w:val="67973F"/>
          <w:spacing w:val="-6"/>
          <w:sz w:val="19"/>
        </w:rPr>
        <w:t> </w:t>
      </w:r>
      <w:r>
        <w:rPr>
          <w:rFonts w:ascii="Segoe UI"/>
          <w:color w:val="67973F"/>
          <w:sz w:val="19"/>
        </w:rPr>
        <w:t>and</w:t>
      </w:r>
      <w:r>
        <w:rPr>
          <w:rFonts w:ascii="Segoe UI"/>
          <w:color w:val="67973F"/>
          <w:spacing w:val="-5"/>
          <w:sz w:val="19"/>
        </w:rPr>
        <w:t> </w:t>
      </w:r>
      <w:r>
        <w:rPr>
          <w:rFonts w:ascii="Segoe UI"/>
          <w:color w:val="67973F"/>
          <w:sz w:val="19"/>
        </w:rPr>
        <w:t>carers</w:t>
      </w:r>
      <w:r>
        <w:rPr>
          <w:rFonts w:ascii="Segoe UI"/>
          <w:color w:val="67973F"/>
          <w:spacing w:val="23"/>
          <w:w w:val="99"/>
          <w:sz w:val="19"/>
        </w:rPr>
        <w:t> </w:t>
      </w:r>
      <w:r>
        <w:rPr>
          <w:rFonts w:ascii="Segoe UI"/>
          <w:color w:val="67973F"/>
          <w:sz w:val="19"/>
        </w:rPr>
        <w:t>and</w:t>
      </w:r>
      <w:r>
        <w:rPr>
          <w:rFonts w:ascii="Segoe UI"/>
          <w:color w:val="67973F"/>
          <w:spacing w:val="-5"/>
          <w:sz w:val="19"/>
        </w:rPr>
        <w:t> </w:t>
      </w:r>
      <w:r>
        <w:rPr>
          <w:rFonts w:ascii="Segoe UI"/>
          <w:color w:val="67973F"/>
          <w:sz w:val="19"/>
        </w:rPr>
        <w:t>the</w:t>
      </w:r>
      <w:r>
        <w:rPr>
          <w:rFonts w:ascii="Segoe UI"/>
          <w:color w:val="67973F"/>
          <w:spacing w:val="-5"/>
          <w:sz w:val="19"/>
        </w:rPr>
        <w:t> </w:t>
      </w:r>
      <w:r>
        <w:rPr>
          <w:rFonts w:ascii="Segoe UI"/>
          <w:color w:val="67973F"/>
          <w:sz w:val="19"/>
        </w:rPr>
        <w:t>department</w:t>
      </w:r>
      <w:r>
        <w:rPr>
          <w:rFonts w:ascii="Segoe UI"/>
          <w:color w:val="67973F"/>
          <w:spacing w:val="-5"/>
          <w:sz w:val="19"/>
        </w:rPr>
        <w:t> </w:t>
      </w:r>
      <w:r>
        <w:rPr>
          <w:rFonts w:ascii="Segoe UI"/>
          <w:color w:val="67973F"/>
          <w:sz w:val="19"/>
        </w:rPr>
        <w:t>paid</w:t>
      </w:r>
      <w:r>
        <w:rPr>
          <w:rFonts w:ascii="Segoe UI"/>
          <w:color w:val="67973F"/>
          <w:spacing w:val="-4"/>
          <w:sz w:val="19"/>
        </w:rPr>
        <w:t> </w:t>
      </w:r>
      <w:r>
        <w:rPr>
          <w:rFonts w:ascii="Segoe UI"/>
          <w:color w:val="67973F"/>
          <w:sz w:val="19"/>
        </w:rPr>
        <w:t>a</w:t>
      </w:r>
      <w:r>
        <w:rPr>
          <w:rFonts w:ascii="Segoe UI"/>
          <w:color w:val="67973F"/>
          <w:spacing w:val="-4"/>
          <w:sz w:val="19"/>
        </w:rPr>
        <w:t> </w:t>
      </w:r>
      <w:r>
        <w:rPr>
          <w:rFonts w:ascii="Segoe UI"/>
          <w:color w:val="67973F"/>
          <w:sz w:val="19"/>
        </w:rPr>
        <w:t>total</w:t>
      </w:r>
      <w:r>
        <w:rPr>
          <w:rFonts w:ascii="Segoe UI"/>
          <w:color w:val="67973F"/>
          <w:spacing w:val="-5"/>
          <w:sz w:val="19"/>
        </w:rPr>
        <w:t> </w:t>
      </w:r>
      <w:r>
        <w:rPr>
          <w:rFonts w:ascii="Segoe UI"/>
          <w:color w:val="67973F"/>
          <w:sz w:val="19"/>
        </w:rPr>
        <w:t>of</w:t>
      </w:r>
      <w:r>
        <w:rPr>
          <w:rFonts w:ascii="Segoe UI"/>
          <w:color w:val="67973F"/>
          <w:spacing w:val="-3"/>
          <w:sz w:val="19"/>
        </w:rPr>
        <w:t> </w:t>
      </w:r>
      <w:r>
        <w:rPr>
          <w:rFonts w:ascii="Segoe UI"/>
          <w:color w:val="67973F"/>
          <w:spacing w:val="-1"/>
          <w:sz w:val="19"/>
        </w:rPr>
        <w:t>$843,000</w:t>
      </w:r>
      <w:r>
        <w:rPr>
          <w:rFonts w:ascii="Segoe UI"/>
          <w:color w:val="67973F"/>
          <w:spacing w:val="-1"/>
          <w:sz w:val="19"/>
        </w:rPr>
        <w:t> </w:t>
      </w:r>
      <w:r>
        <w:rPr>
          <w:rFonts w:ascii="Segoe UI"/>
          <w:color w:val="67973F"/>
          <w:spacing w:val="20"/>
          <w:sz w:val="19"/>
        </w:rPr>
        <w:t> </w:t>
      </w:r>
      <w:r>
        <w:rPr>
          <w:rFonts w:ascii="Segoe UI"/>
          <w:color w:val="67973F"/>
          <w:sz w:val="19"/>
        </w:rPr>
        <w:t>to</w:t>
      </w:r>
      <w:r>
        <w:rPr>
          <w:rFonts w:ascii="Segoe UI"/>
          <w:color w:val="67973F"/>
          <w:spacing w:val="-5"/>
          <w:sz w:val="19"/>
        </w:rPr>
        <w:t> </w:t>
      </w:r>
      <w:r>
        <w:rPr>
          <w:rFonts w:ascii="Segoe UI"/>
          <w:color w:val="67973F"/>
          <w:sz w:val="19"/>
        </w:rPr>
        <w:t>the</w:t>
      </w:r>
      <w:r>
        <w:rPr>
          <w:rFonts w:ascii="Segoe UI"/>
          <w:color w:val="67973F"/>
          <w:spacing w:val="-5"/>
          <w:sz w:val="19"/>
        </w:rPr>
        <w:t> </w:t>
      </w:r>
      <w:r>
        <w:rPr>
          <w:rFonts w:ascii="Segoe UI"/>
          <w:color w:val="67973F"/>
          <w:sz w:val="19"/>
        </w:rPr>
        <w:t>provider</w:t>
      </w:r>
      <w:r>
        <w:rPr>
          <w:rFonts w:ascii="Segoe UI"/>
          <w:color w:val="67973F"/>
          <w:spacing w:val="-5"/>
          <w:sz w:val="19"/>
        </w:rPr>
        <w:t> </w:t>
      </w:r>
      <w:r>
        <w:rPr>
          <w:rFonts w:ascii="Segoe UI"/>
          <w:color w:val="67973F"/>
          <w:sz w:val="19"/>
        </w:rPr>
        <w:t>for</w:t>
      </w:r>
      <w:r>
        <w:rPr>
          <w:rFonts w:ascii="Segoe UI"/>
          <w:color w:val="67973F"/>
          <w:spacing w:val="-4"/>
          <w:sz w:val="19"/>
        </w:rPr>
        <w:t> </w:t>
      </w:r>
      <w:r>
        <w:rPr>
          <w:rFonts w:ascii="Segoe UI"/>
          <w:color w:val="67973F"/>
          <w:sz w:val="19"/>
        </w:rPr>
        <w:t>previously</w:t>
      </w:r>
      <w:r>
        <w:rPr>
          <w:rFonts w:ascii="Segoe UI"/>
          <w:color w:val="67973F"/>
          <w:spacing w:val="-5"/>
          <w:sz w:val="19"/>
        </w:rPr>
        <w:t> </w:t>
      </w:r>
      <w:r>
        <w:rPr>
          <w:rFonts w:ascii="Segoe UI"/>
          <w:color w:val="67973F"/>
          <w:sz w:val="19"/>
        </w:rPr>
        <w:t>unclaimed</w:t>
      </w:r>
      <w:r>
        <w:rPr>
          <w:rFonts w:ascii="Segoe UI"/>
          <w:color w:val="67973F"/>
          <w:spacing w:val="-5"/>
          <w:sz w:val="19"/>
        </w:rPr>
        <w:t> </w:t>
      </w:r>
      <w:r>
        <w:rPr>
          <w:rFonts w:ascii="Segoe UI"/>
          <w:color w:val="67973F"/>
          <w:sz w:val="19"/>
        </w:rPr>
        <w:t>or</w:t>
      </w:r>
      <w:r>
        <w:rPr>
          <w:rFonts w:ascii="Segoe UI"/>
          <w:color w:val="67973F"/>
          <w:w w:val="99"/>
          <w:sz w:val="19"/>
        </w:rPr>
        <w:t> </w:t>
      </w:r>
      <w:r>
        <w:rPr>
          <w:rFonts w:ascii="Segoe UI"/>
          <w:color w:val="67973F"/>
          <w:sz w:val="19"/>
        </w:rPr>
        <w:t>paid</w:t>
      </w:r>
      <w:r>
        <w:rPr>
          <w:rFonts w:ascii="Segoe UI"/>
          <w:color w:val="67973F"/>
          <w:spacing w:val="-4"/>
          <w:sz w:val="19"/>
        </w:rPr>
        <w:t> </w:t>
      </w:r>
      <w:r>
        <w:rPr>
          <w:rFonts w:ascii="Segoe UI"/>
          <w:color w:val="67973F"/>
          <w:sz w:val="19"/>
        </w:rPr>
        <w:t>entitlements.</w:t>
      </w:r>
      <w:r>
        <w:rPr>
          <w:rFonts w:ascii="Segoe UI"/>
          <w:color w:val="67973F"/>
          <w:spacing w:val="-4"/>
          <w:sz w:val="19"/>
        </w:rPr>
        <w:t> </w:t>
      </w:r>
      <w:r>
        <w:rPr>
          <w:rFonts w:ascii="Segoe UI"/>
          <w:color w:val="67973F"/>
          <w:spacing w:val="-1"/>
          <w:sz w:val="19"/>
        </w:rPr>
        <w:t>While</w:t>
      </w:r>
      <w:r>
        <w:rPr>
          <w:rFonts w:ascii="Segoe UI"/>
          <w:color w:val="67973F"/>
          <w:spacing w:val="-3"/>
          <w:sz w:val="19"/>
        </w:rPr>
        <w:t> </w:t>
      </w:r>
      <w:r>
        <w:rPr>
          <w:rFonts w:ascii="Segoe UI"/>
          <w:color w:val="67973F"/>
          <w:sz w:val="19"/>
        </w:rPr>
        <w:t>enrolments</w:t>
      </w:r>
      <w:r>
        <w:rPr>
          <w:rFonts w:ascii="Segoe UI"/>
          <w:color w:val="67973F"/>
          <w:spacing w:val="-3"/>
          <w:sz w:val="19"/>
        </w:rPr>
        <w:t> </w:t>
      </w:r>
      <w:r>
        <w:rPr>
          <w:rFonts w:ascii="Segoe UI"/>
          <w:color w:val="67973F"/>
          <w:sz w:val="19"/>
        </w:rPr>
        <w:t>declined</w:t>
      </w:r>
      <w:r>
        <w:rPr>
          <w:rFonts w:ascii="Segoe UI"/>
          <w:color w:val="67973F"/>
          <w:spacing w:val="21"/>
          <w:w w:val="99"/>
          <w:sz w:val="19"/>
        </w:rPr>
        <w:t> </w:t>
      </w:r>
      <w:r>
        <w:rPr>
          <w:rFonts w:ascii="Segoe UI"/>
          <w:color w:val="67973F"/>
          <w:sz w:val="19"/>
        </w:rPr>
        <w:t>from</w:t>
      </w:r>
      <w:r>
        <w:rPr>
          <w:rFonts w:ascii="Segoe UI"/>
          <w:color w:val="67973F"/>
          <w:spacing w:val="-4"/>
          <w:sz w:val="19"/>
        </w:rPr>
        <w:t> </w:t>
      </w:r>
      <w:r>
        <w:rPr>
          <w:rFonts w:ascii="Segoe UI"/>
          <w:color w:val="67973F"/>
          <w:spacing w:val="-1"/>
          <w:sz w:val="19"/>
        </w:rPr>
        <w:t>2015</w:t>
      </w:r>
      <w:r>
        <w:rPr>
          <w:rFonts w:ascii="Segoe UI"/>
          <w:color w:val="67973F"/>
          <w:spacing w:val="-3"/>
          <w:sz w:val="19"/>
        </w:rPr>
        <w:t> </w:t>
      </w:r>
      <w:r>
        <w:rPr>
          <w:rFonts w:ascii="Segoe UI"/>
          <w:color w:val="67973F"/>
          <w:sz w:val="19"/>
        </w:rPr>
        <w:t>to</w:t>
      </w:r>
      <w:r>
        <w:rPr>
          <w:rFonts w:ascii="Segoe UI"/>
          <w:color w:val="67973F"/>
          <w:spacing w:val="-3"/>
          <w:sz w:val="19"/>
        </w:rPr>
        <w:t> </w:t>
      </w:r>
      <w:r>
        <w:rPr>
          <w:rFonts w:ascii="Segoe UI"/>
          <w:color w:val="67973F"/>
          <w:spacing w:val="-1"/>
          <w:sz w:val="19"/>
        </w:rPr>
        <w:t>2016,</w:t>
      </w:r>
      <w:r>
        <w:rPr>
          <w:rFonts w:ascii="Segoe UI"/>
          <w:color w:val="67973F"/>
          <w:spacing w:val="-3"/>
          <w:sz w:val="19"/>
        </w:rPr>
        <w:t> </w:t>
      </w:r>
      <w:r>
        <w:rPr>
          <w:rFonts w:ascii="Segoe UI"/>
          <w:color w:val="67973F"/>
          <w:sz w:val="19"/>
        </w:rPr>
        <w:t>ABSTUDY</w:t>
      </w:r>
      <w:r>
        <w:rPr>
          <w:rFonts w:ascii="Segoe UI"/>
          <w:color w:val="67973F"/>
          <w:spacing w:val="-4"/>
          <w:sz w:val="19"/>
        </w:rPr>
        <w:t> </w:t>
      </w:r>
      <w:r>
        <w:rPr>
          <w:rFonts w:ascii="Segoe UI"/>
          <w:color w:val="67973F"/>
          <w:sz w:val="19"/>
        </w:rPr>
        <w:t>receipts</w:t>
      </w:r>
      <w:r>
        <w:rPr>
          <w:rFonts w:ascii="Segoe UI"/>
          <w:color w:val="67973F"/>
          <w:spacing w:val="-4"/>
          <w:sz w:val="19"/>
        </w:rPr>
        <w:t> </w:t>
      </w:r>
      <w:r>
        <w:rPr>
          <w:rFonts w:ascii="Segoe UI"/>
          <w:color w:val="67973F"/>
          <w:sz w:val="19"/>
        </w:rPr>
        <w:t>actually</w:t>
      </w:r>
      <w:r>
        <w:rPr>
          <w:rFonts w:ascii="Segoe UI"/>
          <w:color w:val="67973F"/>
          <w:spacing w:val="23"/>
          <w:w w:val="99"/>
          <w:sz w:val="19"/>
        </w:rPr>
        <w:t> </w:t>
      </w:r>
      <w:r>
        <w:rPr>
          <w:rFonts w:ascii="Segoe UI"/>
          <w:color w:val="67973F"/>
          <w:spacing w:val="-1"/>
          <w:sz w:val="19"/>
        </w:rPr>
        <w:t>increased</w:t>
      </w:r>
      <w:r>
        <w:rPr>
          <w:rFonts w:ascii="Segoe UI"/>
          <w:color w:val="67973F"/>
          <w:spacing w:val="-3"/>
          <w:sz w:val="19"/>
        </w:rPr>
        <w:t> </w:t>
      </w:r>
      <w:r>
        <w:rPr>
          <w:rFonts w:ascii="Segoe UI"/>
          <w:color w:val="67973F"/>
          <w:sz w:val="19"/>
        </w:rPr>
        <w:t>from</w:t>
      </w:r>
      <w:r>
        <w:rPr>
          <w:rFonts w:ascii="Segoe UI"/>
          <w:color w:val="67973F"/>
          <w:spacing w:val="-3"/>
          <w:sz w:val="19"/>
        </w:rPr>
        <w:t> </w:t>
      </w:r>
      <w:r>
        <w:rPr>
          <w:rFonts w:ascii="Segoe UI"/>
          <w:color w:val="67973F"/>
          <w:spacing w:val="-1"/>
          <w:sz w:val="19"/>
        </w:rPr>
        <w:t>$3.1</w:t>
      </w:r>
      <w:r>
        <w:rPr>
          <w:rFonts w:ascii="Segoe UI"/>
          <w:color w:val="67973F"/>
          <w:spacing w:val="-3"/>
          <w:sz w:val="19"/>
        </w:rPr>
        <w:t> </w:t>
      </w:r>
      <w:r>
        <w:rPr>
          <w:rFonts w:ascii="Segoe UI"/>
          <w:color w:val="67973F"/>
          <w:spacing w:val="-1"/>
          <w:sz w:val="19"/>
        </w:rPr>
        <w:t>million</w:t>
      </w:r>
      <w:r>
        <w:rPr>
          <w:rFonts w:ascii="Segoe UI"/>
          <w:color w:val="67973F"/>
          <w:spacing w:val="-2"/>
          <w:sz w:val="19"/>
        </w:rPr>
        <w:t> </w:t>
      </w:r>
      <w:r>
        <w:rPr>
          <w:rFonts w:ascii="Segoe UI"/>
          <w:color w:val="67973F"/>
          <w:sz w:val="19"/>
        </w:rPr>
        <w:t>to</w:t>
      </w:r>
      <w:r>
        <w:rPr>
          <w:rFonts w:ascii="Segoe UI"/>
          <w:color w:val="67973F"/>
          <w:spacing w:val="-3"/>
          <w:sz w:val="19"/>
        </w:rPr>
        <w:t> </w:t>
      </w:r>
      <w:r>
        <w:rPr>
          <w:rFonts w:ascii="Segoe UI"/>
          <w:color w:val="67973F"/>
          <w:spacing w:val="-1"/>
          <w:sz w:val="19"/>
        </w:rPr>
        <w:t>$3.8</w:t>
      </w:r>
      <w:r>
        <w:rPr>
          <w:rFonts w:ascii="Segoe UI"/>
          <w:color w:val="67973F"/>
          <w:spacing w:val="-3"/>
          <w:sz w:val="19"/>
        </w:rPr>
        <w:t> </w:t>
      </w:r>
      <w:r>
        <w:rPr>
          <w:rFonts w:ascii="Segoe UI"/>
          <w:color w:val="67973F"/>
          <w:spacing w:val="-1"/>
          <w:sz w:val="19"/>
        </w:rPr>
        <w:t>million</w:t>
      </w:r>
      <w:r>
        <w:rPr>
          <w:rFonts w:ascii="Segoe UI"/>
          <w:color w:val="67973F"/>
          <w:spacing w:val="-2"/>
          <w:sz w:val="19"/>
        </w:rPr>
        <w:t> </w:t>
      </w:r>
      <w:r>
        <w:rPr>
          <w:rFonts w:ascii="Segoe UI"/>
          <w:color w:val="67973F"/>
          <w:sz w:val="19"/>
        </w:rPr>
        <w:t>as</w:t>
      </w:r>
      <w:r>
        <w:rPr>
          <w:rFonts w:ascii="Segoe UI"/>
          <w:color w:val="67973F"/>
          <w:spacing w:val="-4"/>
          <w:sz w:val="19"/>
        </w:rPr>
        <w:t> </w:t>
      </w:r>
      <w:r>
        <w:rPr>
          <w:rFonts w:ascii="Segoe UI"/>
          <w:color w:val="67973F"/>
          <w:sz w:val="19"/>
        </w:rPr>
        <w:t>a</w:t>
      </w:r>
      <w:r>
        <w:rPr>
          <w:rFonts w:ascii="Segoe UI"/>
          <w:color w:val="67973F"/>
          <w:spacing w:val="26"/>
          <w:w w:val="99"/>
          <w:sz w:val="19"/>
        </w:rPr>
        <w:t> </w:t>
      </w:r>
      <w:r>
        <w:rPr>
          <w:rFonts w:ascii="Segoe UI"/>
          <w:color w:val="67973F"/>
          <w:sz w:val="19"/>
        </w:rPr>
        <w:t>result</w:t>
      </w:r>
      <w:r>
        <w:rPr>
          <w:rFonts w:ascii="Segoe UI"/>
          <w:color w:val="67973F"/>
          <w:spacing w:val="-7"/>
          <w:sz w:val="19"/>
        </w:rPr>
        <w:t> </w:t>
      </w:r>
      <w:r>
        <w:rPr>
          <w:rFonts w:ascii="Segoe UI"/>
          <w:color w:val="67973F"/>
          <w:sz w:val="19"/>
        </w:rPr>
        <w:t>of</w:t>
      </w:r>
      <w:r>
        <w:rPr>
          <w:rFonts w:ascii="Segoe UI"/>
          <w:color w:val="67973F"/>
          <w:spacing w:val="-5"/>
          <w:sz w:val="19"/>
        </w:rPr>
        <w:t> </w:t>
      </w:r>
      <w:r>
        <w:rPr>
          <w:rFonts w:ascii="Segoe UI"/>
          <w:color w:val="67973F"/>
          <w:sz w:val="19"/>
        </w:rPr>
        <w:t>the</w:t>
      </w:r>
      <w:r>
        <w:rPr>
          <w:rFonts w:ascii="Segoe UI"/>
          <w:color w:val="67973F"/>
          <w:spacing w:val="-6"/>
          <w:sz w:val="19"/>
        </w:rPr>
        <w:t> </w:t>
      </w:r>
      <w:r>
        <w:rPr>
          <w:rFonts w:ascii="Segoe UI"/>
          <w:color w:val="67973F"/>
          <w:sz w:val="19"/>
        </w:rPr>
        <w:t>back</w:t>
      </w:r>
      <w:r>
        <w:rPr>
          <w:rFonts w:ascii="Segoe UI"/>
          <w:color w:val="67973F"/>
          <w:spacing w:val="-6"/>
          <w:sz w:val="19"/>
        </w:rPr>
        <w:t> </w:t>
      </w:r>
      <w:r>
        <w:rPr>
          <w:rFonts w:ascii="Segoe UI"/>
          <w:color w:val="67973F"/>
          <w:sz w:val="19"/>
        </w:rPr>
        <w:t>payment.</w:t>
      </w:r>
      <w:r>
        <w:rPr>
          <w:rFonts w:ascii="Segoe UI"/>
          <w:sz w:val="19"/>
        </w:rPr>
      </w:r>
    </w:p>
    <w:p>
      <w:pPr>
        <w:spacing w:line="240" w:lineRule="auto" w:before="6"/>
        <w:rPr>
          <w:rFonts w:ascii="Segoe UI" w:hAnsi="Segoe UI" w:cs="Segoe UI" w:eastAsia="Segoe UI"/>
          <w:sz w:val="19"/>
          <w:szCs w:val="19"/>
        </w:rPr>
      </w:pPr>
    </w:p>
    <w:p>
      <w:pPr>
        <w:spacing w:line="40" w:lineRule="atLeast"/>
        <w:ind w:left="117" w:right="0" w:firstLine="0"/>
        <w:rPr>
          <w:rFonts w:ascii="Segoe UI" w:hAnsi="Segoe UI" w:cs="Segoe UI" w:eastAsia="Segoe UI"/>
          <w:sz w:val="4"/>
          <w:szCs w:val="4"/>
        </w:rPr>
      </w:pPr>
      <w:r>
        <w:rPr>
          <w:rFonts w:ascii="Segoe UI" w:hAnsi="Segoe UI" w:cs="Segoe UI" w:eastAsia="Segoe UI"/>
          <w:sz w:val="4"/>
          <w:szCs w:val="4"/>
        </w:rPr>
        <w:pict>
          <v:group style="width:209.8pt;height:2pt;mso-position-horizontal-relative:char;mso-position-vertical-relative:line" coordorigin="0,0" coordsize="4196,40">
            <v:group style="position:absolute;left:100;top:20;width:4036;height:2" coordorigin="100,20" coordsize="4036,2">
              <v:shape style="position:absolute;left:100;top:20;width:4036;height:2" coordorigin="100,20" coordsize="4036,0" path="m100,20l4135,20e" filled="false" stroked="true" strokeweight="2pt" strokecolor="#67973f">
                <v:path arrowok="t"/>
                <v:stroke dashstyle="dash"/>
              </v:shape>
            </v:group>
            <v:group style="position:absolute;left:20;top:20;width:2;height:2" coordorigin="20,20" coordsize="2,2">
              <v:shape style="position:absolute;left:20;top:20;width:2;height:2" coordorigin="20,20" coordsize="0,0" path="m20,20l20,20e" filled="false" stroked="true" strokeweight="2pt" strokecolor="#67973f">
                <v:path arrowok="t"/>
              </v:shape>
            </v:group>
            <v:group style="position:absolute;left:4175;top:20;width:2;height:2" coordorigin="4175,20" coordsize="2,2">
              <v:shape style="position:absolute;left:4175;top:20;width:2;height:2" coordorigin="4175,20" coordsize="0,0" path="m4175,20l4175,20e" filled="false" stroked="true" strokeweight="2pt" strokecolor="#67973f">
                <v:path arrowok="t"/>
              </v:shape>
            </v:group>
          </v:group>
        </w:pict>
      </w:r>
      <w:r>
        <w:rPr>
          <w:rFonts w:ascii="Segoe UI" w:hAnsi="Segoe UI" w:cs="Segoe UI" w:eastAsia="Segoe UI"/>
          <w:sz w:val="4"/>
          <w:szCs w:val="4"/>
        </w:rPr>
      </w:r>
    </w:p>
    <w:p>
      <w:pPr>
        <w:spacing w:line="240" w:lineRule="auto" w:before="0"/>
        <w:rPr>
          <w:rFonts w:ascii="Segoe UI" w:hAnsi="Segoe UI" w:cs="Segoe UI" w:eastAsia="Segoe UI"/>
          <w:sz w:val="18"/>
          <w:szCs w:val="18"/>
        </w:rPr>
      </w:pPr>
    </w:p>
    <w:p>
      <w:pPr>
        <w:spacing w:line="240" w:lineRule="auto" w:before="2"/>
        <w:rPr>
          <w:rFonts w:ascii="Segoe UI" w:hAnsi="Segoe UI" w:cs="Segoe UI" w:eastAsia="Segoe UI"/>
          <w:sz w:val="17"/>
          <w:szCs w:val="17"/>
        </w:rPr>
      </w:pPr>
    </w:p>
    <w:p>
      <w:pPr>
        <w:pStyle w:val="BodyText"/>
        <w:spacing w:line="250" w:lineRule="exact"/>
        <w:ind w:right="0"/>
        <w:jc w:val="left"/>
      </w:pPr>
      <w:r>
        <w:rPr>
          <w:color w:val="231F20"/>
        </w:rPr>
        <w:t>As</w:t>
      </w:r>
      <w:r>
        <w:rPr>
          <w:color w:val="231F20"/>
          <w:spacing w:val="-6"/>
        </w:rPr>
        <w:t> </w:t>
      </w:r>
      <w:r>
        <w:rPr>
          <w:color w:val="231F20"/>
        </w:rPr>
        <w:t>previously</w:t>
      </w:r>
      <w:r>
        <w:rPr>
          <w:color w:val="231F20"/>
          <w:spacing w:val="-5"/>
        </w:rPr>
        <w:t> </w:t>
      </w:r>
      <w:r>
        <w:rPr>
          <w:color w:val="231F20"/>
        </w:rPr>
        <w:t>discussed,</w:t>
      </w:r>
      <w:r>
        <w:rPr>
          <w:color w:val="231F20"/>
          <w:spacing w:val="-6"/>
        </w:rPr>
        <w:t> </w:t>
      </w:r>
      <w:r>
        <w:rPr>
          <w:color w:val="231F20"/>
        </w:rPr>
        <w:t>there</w:t>
      </w:r>
      <w:r>
        <w:rPr>
          <w:color w:val="231F20"/>
          <w:spacing w:val="-5"/>
        </w:rPr>
        <w:t> </w:t>
      </w:r>
      <w:r>
        <w:rPr>
          <w:color w:val="231F20"/>
        </w:rPr>
        <w:t>have</w:t>
      </w:r>
      <w:r>
        <w:rPr>
          <w:color w:val="231F20"/>
          <w:spacing w:val="-6"/>
        </w:rPr>
        <w:t> </w:t>
      </w:r>
      <w:r>
        <w:rPr>
          <w:color w:val="231F20"/>
        </w:rPr>
        <w:t>been</w:t>
      </w:r>
      <w:r>
        <w:rPr>
          <w:color w:val="231F20"/>
          <w:w w:val="99"/>
        </w:rPr>
        <w:t> </w:t>
      </w:r>
      <w:r>
        <w:rPr>
          <w:color w:val="231F20"/>
        </w:rPr>
        <w:t>positive</w:t>
      </w:r>
      <w:r>
        <w:rPr>
          <w:color w:val="231F20"/>
          <w:spacing w:val="-8"/>
        </w:rPr>
        <w:t> </w:t>
      </w:r>
      <w:r>
        <w:rPr>
          <w:color w:val="231F20"/>
        </w:rPr>
        <w:t>changes</w:t>
      </w:r>
      <w:r>
        <w:rPr>
          <w:color w:val="231F20"/>
          <w:spacing w:val="-7"/>
        </w:rPr>
        <w:t> </w:t>
      </w:r>
      <w:r>
        <w:rPr>
          <w:color w:val="231F20"/>
        </w:rPr>
        <w:t>noted</w:t>
      </w:r>
      <w:r>
        <w:rPr>
          <w:color w:val="231F20"/>
          <w:spacing w:val="-7"/>
        </w:rPr>
        <w:t> </w:t>
      </w:r>
      <w:r>
        <w:rPr>
          <w:color w:val="231F20"/>
        </w:rPr>
        <w:t>by</w:t>
      </w:r>
      <w:r>
        <w:rPr>
          <w:color w:val="231F20"/>
          <w:spacing w:val="-6"/>
        </w:rPr>
        <w:t> </w:t>
      </w:r>
      <w:r>
        <w:rPr>
          <w:color w:val="231F20"/>
        </w:rPr>
        <w:t>boarding</w:t>
      </w:r>
      <w:r>
        <w:rPr>
          <w:color w:val="231F20"/>
          <w:spacing w:val="-7"/>
        </w:rPr>
        <w:t> </w:t>
      </w:r>
      <w:r>
        <w:rPr>
          <w:color w:val="231F20"/>
        </w:rPr>
        <w:t>providers</w:t>
      </w:r>
      <w:r>
        <w:rPr>
          <w:color w:val="231F20"/>
          <w:w w:val="99"/>
        </w:rPr>
        <w:t> </w:t>
      </w:r>
      <w:r>
        <w:rPr>
          <w:color w:val="231F20"/>
          <w:spacing w:val="-1"/>
        </w:rPr>
        <w:t>in</w:t>
      </w:r>
      <w:r>
        <w:rPr>
          <w:color w:val="231F20"/>
          <w:spacing w:val="-3"/>
        </w:rPr>
        <w:t> </w:t>
      </w:r>
      <w:r>
        <w:rPr>
          <w:color w:val="231F20"/>
        </w:rPr>
        <w:t>the</w:t>
      </w:r>
      <w:r>
        <w:rPr>
          <w:color w:val="231F20"/>
          <w:spacing w:val="-4"/>
        </w:rPr>
        <w:t> </w:t>
      </w:r>
      <w:r>
        <w:rPr>
          <w:color w:val="231F20"/>
        </w:rPr>
        <w:t>administration</w:t>
      </w:r>
      <w:r>
        <w:rPr>
          <w:color w:val="231F20"/>
          <w:spacing w:val="-5"/>
        </w:rPr>
        <w:t> </w:t>
      </w:r>
      <w:r>
        <w:rPr>
          <w:color w:val="231F20"/>
        </w:rPr>
        <w:t>of</w:t>
      </w:r>
      <w:r>
        <w:rPr>
          <w:color w:val="231F20"/>
          <w:spacing w:val="-3"/>
        </w:rPr>
        <w:t> </w:t>
      </w:r>
      <w:r>
        <w:rPr>
          <w:color w:val="231F20"/>
        </w:rPr>
        <w:t>ABSTUDY.</w:t>
      </w:r>
      <w:r>
        <w:rPr>
          <w:color w:val="231F20"/>
          <w:spacing w:val="-3"/>
        </w:rPr>
        <w:t> </w:t>
      </w:r>
      <w:r>
        <w:rPr>
          <w:color w:val="231F20"/>
          <w:spacing w:val="-1"/>
        </w:rPr>
        <w:t>In</w:t>
      </w:r>
      <w:r>
        <w:rPr>
          <w:color w:val="231F20"/>
          <w:spacing w:val="-3"/>
        </w:rPr>
        <w:t> </w:t>
      </w:r>
      <w:r>
        <w:rPr>
          <w:color w:val="231F20"/>
          <w:spacing w:val="-1"/>
        </w:rPr>
        <w:t>2016–17,</w:t>
      </w:r>
      <w:r>
        <w:rPr>
          <w:color w:val="231F20"/>
          <w:spacing w:val="22"/>
        </w:rPr>
        <w:t> </w:t>
      </w:r>
      <w:r>
        <w:rPr>
          <w:color w:val="231F20"/>
        </w:rPr>
        <w:t>the</w:t>
      </w:r>
      <w:r>
        <w:rPr>
          <w:color w:val="231F20"/>
          <w:spacing w:val="-6"/>
        </w:rPr>
        <w:t> </w:t>
      </w:r>
      <w:r>
        <w:rPr>
          <w:color w:val="231F20"/>
        </w:rPr>
        <w:t>average</w:t>
      </w:r>
      <w:r>
        <w:rPr>
          <w:color w:val="231F20"/>
          <w:spacing w:val="-5"/>
        </w:rPr>
        <w:t> </w:t>
      </w:r>
      <w:r>
        <w:rPr>
          <w:color w:val="231F20"/>
          <w:spacing w:val="-1"/>
        </w:rPr>
        <w:t>speed</w:t>
      </w:r>
      <w:r>
        <w:rPr>
          <w:color w:val="231F20"/>
          <w:spacing w:val="-4"/>
        </w:rPr>
        <w:t> </w:t>
      </w:r>
      <w:r>
        <w:rPr>
          <w:color w:val="231F20"/>
        </w:rPr>
        <w:t>of</w:t>
      </w:r>
      <w:r>
        <w:rPr>
          <w:color w:val="231F20"/>
          <w:spacing w:val="-4"/>
        </w:rPr>
        <w:t> </w:t>
      </w:r>
      <w:r>
        <w:rPr>
          <w:color w:val="231F20"/>
        </w:rPr>
        <w:t>answer</w:t>
      </w:r>
      <w:r>
        <w:rPr>
          <w:color w:val="231F20"/>
          <w:spacing w:val="-5"/>
        </w:rPr>
        <w:t> </w:t>
      </w:r>
      <w:r>
        <w:rPr>
          <w:color w:val="231F20"/>
        </w:rPr>
        <w:t>for</w:t>
      </w:r>
      <w:r>
        <w:rPr>
          <w:color w:val="231F20"/>
          <w:spacing w:val="-4"/>
        </w:rPr>
        <w:t> </w:t>
      </w:r>
      <w:r>
        <w:rPr>
          <w:color w:val="231F20"/>
        </w:rPr>
        <w:t>the</w:t>
      </w:r>
      <w:r>
        <w:rPr>
          <w:color w:val="231F20"/>
          <w:spacing w:val="-5"/>
        </w:rPr>
        <w:t> </w:t>
      </w:r>
      <w:r>
        <w:rPr>
          <w:color w:val="231F20"/>
        </w:rPr>
        <w:t>ABSTUDY</w:t>
      </w:r>
      <w:r>
        <w:rPr>
          <w:color w:val="231F20"/>
          <w:spacing w:val="21"/>
        </w:rPr>
        <w:t> </w:t>
      </w:r>
      <w:r>
        <w:rPr>
          <w:color w:val="231F20"/>
          <w:spacing w:val="-1"/>
        </w:rPr>
        <w:t>line </w:t>
      </w:r>
      <w:r>
        <w:rPr>
          <w:color w:val="231F20"/>
        </w:rPr>
        <w:t>was</w:t>
      </w:r>
      <w:r>
        <w:rPr>
          <w:color w:val="231F20"/>
          <w:spacing w:val="-2"/>
        </w:rPr>
        <w:t> </w:t>
      </w:r>
      <w:r>
        <w:rPr>
          <w:color w:val="231F20"/>
          <w:spacing w:val="-1"/>
        </w:rPr>
        <w:t>15 minutes </w:t>
      </w:r>
      <w:r>
        <w:rPr>
          <w:color w:val="231F20"/>
        </w:rPr>
        <w:t>and</w:t>
      </w:r>
      <w:r>
        <w:rPr>
          <w:color w:val="231F20"/>
          <w:spacing w:val="-2"/>
        </w:rPr>
        <w:t> </w:t>
      </w:r>
      <w:r>
        <w:rPr>
          <w:color w:val="231F20"/>
          <w:spacing w:val="-1"/>
        </w:rPr>
        <w:t>59</w:t>
      </w:r>
      <w:r>
        <w:rPr>
          <w:color w:val="231F20"/>
        </w:rPr>
        <w:t> </w:t>
      </w:r>
      <w:r>
        <w:rPr>
          <w:color w:val="231F20"/>
          <w:spacing w:val="-1"/>
        </w:rPr>
        <w:t>seconds. In 2017–18</w:t>
      </w:r>
      <w:r>
        <w:rPr>
          <w:color w:val="231F20"/>
          <w:spacing w:val="26"/>
        </w:rPr>
        <w:t> </w:t>
      </w:r>
      <w:r>
        <w:rPr>
          <w:color w:val="231F20"/>
        </w:rPr>
        <w:t>(until</w:t>
      </w:r>
      <w:r>
        <w:rPr>
          <w:color w:val="231F20"/>
          <w:spacing w:val="-6"/>
        </w:rPr>
        <w:t> </w:t>
      </w:r>
      <w:r>
        <w:rPr>
          <w:color w:val="231F20"/>
          <w:spacing w:val="-1"/>
        </w:rPr>
        <w:t>13</w:t>
      </w:r>
      <w:r>
        <w:rPr>
          <w:color w:val="231F20"/>
          <w:spacing w:val="-5"/>
        </w:rPr>
        <w:t> </w:t>
      </w:r>
      <w:r>
        <w:rPr>
          <w:color w:val="231F20"/>
        </w:rPr>
        <w:t>October</w:t>
      </w:r>
      <w:r>
        <w:rPr>
          <w:color w:val="231F20"/>
          <w:spacing w:val="-6"/>
        </w:rPr>
        <w:t> </w:t>
      </w:r>
      <w:r>
        <w:rPr>
          <w:color w:val="231F20"/>
          <w:spacing w:val="-1"/>
        </w:rPr>
        <w:t>2017),</w:t>
      </w:r>
      <w:r>
        <w:rPr>
          <w:color w:val="231F20"/>
          <w:spacing w:val="-5"/>
        </w:rPr>
        <w:t> </w:t>
      </w:r>
      <w:r>
        <w:rPr>
          <w:color w:val="231F20"/>
        </w:rPr>
        <w:t>the</w:t>
      </w:r>
      <w:r>
        <w:rPr>
          <w:color w:val="231F20"/>
          <w:spacing w:val="-6"/>
        </w:rPr>
        <w:t> </w:t>
      </w:r>
      <w:r>
        <w:rPr>
          <w:color w:val="231F20"/>
        </w:rPr>
        <w:t>average</w:t>
      </w:r>
      <w:r>
        <w:rPr>
          <w:color w:val="231F20"/>
          <w:spacing w:val="-6"/>
        </w:rPr>
        <w:t> </w:t>
      </w:r>
      <w:r>
        <w:rPr>
          <w:color w:val="231F20"/>
          <w:spacing w:val="-1"/>
        </w:rPr>
        <w:t>speed</w:t>
      </w:r>
      <w:r>
        <w:rPr>
          <w:color w:val="231F20"/>
          <w:spacing w:val="-4"/>
        </w:rPr>
        <w:t> </w:t>
      </w:r>
      <w:r>
        <w:rPr>
          <w:color w:val="231F20"/>
        </w:rPr>
        <w:t>of</w:t>
      </w:r>
      <w:r>
        <w:rPr>
          <w:color w:val="231F20"/>
          <w:spacing w:val="24"/>
          <w:w w:val="99"/>
        </w:rPr>
        <w:t> </w:t>
      </w:r>
      <w:r>
        <w:rPr>
          <w:color w:val="231F20"/>
        </w:rPr>
        <w:t>answer</w:t>
      </w:r>
      <w:r>
        <w:rPr>
          <w:color w:val="231F20"/>
          <w:spacing w:val="-4"/>
        </w:rPr>
        <w:t> </w:t>
      </w:r>
      <w:r>
        <w:rPr>
          <w:color w:val="231F20"/>
        </w:rPr>
        <w:t>was</w:t>
      </w:r>
      <w:r>
        <w:rPr>
          <w:color w:val="231F20"/>
          <w:spacing w:val="-3"/>
        </w:rPr>
        <w:t> </w:t>
      </w:r>
      <w:r>
        <w:rPr>
          <w:color w:val="231F20"/>
          <w:spacing w:val="-1"/>
        </w:rPr>
        <w:t>13</w:t>
      </w:r>
      <w:r>
        <w:rPr>
          <w:color w:val="231F20"/>
          <w:spacing w:val="-3"/>
        </w:rPr>
        <w:t> </w:t>
      </w:r>
      <w:r>
        <w:rPr>
          <w:color w:val="231F20"/>
          <w:spacing w:val="-1"/>
        </w:rPr>
        <w:t>minutes</w:t>
      </w:r>
      <w:r>
        <w:rPr>
          <w:color w:val="231F20"/>
          <w:spacing w:val="-3"/>
        </w:rPr>
        <w:t> </w:t>
      </w:r>
      <w:r>
        <w:rPr>
          <w:color w:val="231F20"/>
        </w:rPr>
        <w:t>and</w:t>
      </w:r>
      <w:r>
        <w:rPr>
          <w:color w:val="231F20"/>
          <w:spacing w:val="-3"/>
        </w:rPr>
        <w:t> </w:t>
      </w:r>
      <w:r>
        <w:rPr>
          <w:color w:val="231F20"/>
          <w:spacing w:val="-1"/>
        </w:rPr>
        <w:t>34</w:t>
      </w:r>
      <w:r>
        <w:rPr>
          <w:color w:val="231F20"/>
          <w:spacing w:val="-3"/>
        </w:rPr>
        <w:t> </w:t>
      </w:r>
      <w:r>
        <w:rPr>
          <w:color w:val="231F20"/>
          <w:spacing w:val="-1"/>
        </w:rPr>
        <w:t>seconds.</w:t>
      </w:r>
      <w:r>
        <w:rPr>
          <w:color w:val="231F20"/>
          <w:spacing w:val="-2"/>
        </w:rPr>
        <w:t> Recent</w:t>
      </w:r>
      <w:r>
        <w:rPr>
          <w:color w:val="231F20"/>
          <w:spacing w:val="30"/>
          <w:w w:val="99"/>
        </w:rPr>
        <w:t> </w:t>
      </w:r>
      <w:r>
        <w:rPr>
          <w:rFonts w:ascii="Segoe UI" w:hAnsi="Segoe UI" w:cs="Segoe UI" w:eastAsia="Segoe UI"/>
          <w:color w:val="231F20"/>
        </w:rPr>
        <w:t>refinement of the telephony system means that</w:t>
      </w:r>
      <w:r>
        <w:rPr>
          <w:rFonts w:ascii="Segoe UI" w:hAnsi="Segoe UI" w:cs="Segoe UI" w:eastAsia="Segoe UI"/>
          <w:color w:val="231F20"/>
        </w:rPr>
        <w:t> </w:t>
      </w:r>
      <w:r>
        <w:rPr>
          <w:color w:val="231F20"/>
        </w:rPr>
        <w:t>no</w:t>
      </w:r>
      <w:r>
        <w:rPr>
          <w:color w:val="231F20"/>
          <w:spacing w:val="-5"/>
        </w:rPr>
        <w:t> </w:t>
      </w:r>
      <w:r>
        <w:rPr>
          <w:color w:val="231F20"/>
        </w:rPr>
        <w:t>calls</w:t>
      </w:r>
      <w:r>
        <w:rPr>
          <w:color w:val="231F20"/>
          <w:spacing w:val="-5"/>
        </w:rPr>
        <w:t> </w:t>
      </w:r>
      <w:r>
        <w:rPr>
          <w:color w:val="231F20"/>
        </w:rPr>
        <w:t>wait</w:t>
      </w:r>
      <w:r>
        <w:rPr>
          <w:color w:val="231F20"/>
          <w:spacing w:val="-5"/>
        </w:rPr>
        <w:t> </w:t>
      </w:r>
      <w:r>
        <w:rPr>
          <w:color w:val="231F20"/>
          <w:spacing w:val="-1"/>
        </w:rPr>
        <w:t>longer</w:t>
      </w:r>
      <w:r>
        <w:rPr>
          <w:color w:val="231F20"/>
          <w:spacing w:val="-4"/>
        </w:rPr>
        <w:t> </w:t>
      </w:r>
      <w:r>
        <w:rPr>
          <w:color w:val="231F20"/>
        </w:rPr>
        <w:t>than</w:t>
      </w:r>
      <w:r>
        <w:rPr>
          <w:color w:val="231F20"/>
          <w:spacing w:val="-5"/>
        </w:rPr>
        <w:t> </w:t>
      </w:r>
      <w:r>
        <w:rPr>
          <w:color w:val="231F20"/>
        </w:rPr>
        <w:t>around</w:t>
      </w:r>
      <w:r>
        <w:rPr>
          <w:color w:val="231F20"/>
          <w:spacing w:val="-5"/>
        </w:rPr>
        <w:t> </w:t>
      </w:r>
      <w:r>
        <w:rPr>
          <w:color w:val="231F20"/>
        </w:rPr>
        <w:t>one</w:t>
      </w:r>
      <w:r>
        <w:rPr>
          <w:color w:val="231F20"/>
          <w:spacing w:val="-4"/>
        </w:rPr>
        <w:t> </w:t>
      </w:r>
      <w:r>
        <w:rPr>
          <w:color w:val="231F20"/>
        </w:rPr>
        <w:t>hour,</w:t>
      </w:r>
      <w:r>
        <w:rPr>
          <w:color w:val="231F20"/>
          <w:spacing w:val="-5"/>
        </w:rPr>
        <w:t> </w:t>
      </w:r>
      <w:r>
        <w:rPr>
          <w:color w:val="231F20"/>
        </w:rPr>
        <w:t>and</w:t>
      </w:r>
      <w:r>
        <w:rPr>
          <w:color w:val="231F20"/>
          <w:spacing w:val="21"/>
          <w:w w:val="99"/>
        </w:rPr>
        <w:t> </w:t>
      </w:r>
      <w:r>
        <w:rPr>
          <w:color w:val="231F20"/>
        </w:rPr>
        <w:t>the</w:t>
      </w:r>
      <w:r>
        <w:rPr>
          <w:color w:val="231F20"/>
          <w:spacing w:val="-4"/>
        </w:rPr>
        <w:t> </w:t>
      </w:r>
      <w:r>
        <w:rPr>
          <w:color w:val="231F20"/>
        </w:rPr>
        <w:t>average</w:t>
      </w:r>
      <w:r>
        <w:rPr>
          <w:color w:val="231F20"/>
          <w:spacing w:val="-3"/>
        </w:rPr>
        <w:t> </w:t>
      </w:r>
      <w:r>
        <w:rPr>
          <w:color w:val="231F20"/>
        </w:rPr>
        <w:t>wait</w:t>
      </w:r>
      <w:r>
        <w:rPr>
          <w:color w:val="231F20"/>
          <w:spacing w:val="-3"/>
        </w:rPr>
        <w:t> </w:t>
      </w:r>
      <w:r>
        <w:rPr>
          <w:color w:val="231F20"/>
        </w:rPr>
        <w:t>time</w:t>
      </w:r>
      <w:r>
        <w:rPr>
          <w:color w:val="231F20"/>
          <w:spacing w:val="-3"/>
        </w:rPr>
        <w:t> </w:t>
      </w:r>
      <w:r>
        <w:rPr>
          <w:color w:val="231F20"/>
          <w:spacing w:val="-1"/>
        </w:rPr>
        <w:t>is</w:t>
      </w:r>
      <w:r>
        <w:rPr>
          <w:color w:val="231F20"/>
          <w:spacing w:val="-3"/>
        </w:rPr>
        <w:t> </w:t>
      </w:r>
      <w:r>
        <w:rPr>
          <w:color w:val="231F20"/>
          <w:spacing w:val="-1"/>
        </w:rPr>
        <w:t>less</w:t>
      </w:r>
      <w:r>
        <w:rPr>
          <w:color w:val="231F20"/>
          <w:spacing w:val="-3"/>
        </w:rPr>
        <w:t> </w:t>
      </w:r>
      <w:r>
        <w:rPr>
          <w:color w:val="231F20"/>
        </w:rPr>
        <w:t>than</w:t>
      </w:r>
      <w:r>
        <w:rPr>
          <w:color w:val="231F20"/>
          <w:spacing w:val="-3"/>
        </w:rPr>
        <w:t> </w:t>
      </w:r>
      <w:r>
        <w:rPr>
          <w:color w:val="231F20"/>
          <w:spacing w:val="-1"/>
        </w:rPr>
        <w:t>16</w:t>
      </w:r>
      <w:r>
        <w:rPr>
          <w:color w:val="231F20"/>
          <w:spacing w:val="-2"/>
        </w:rPr>
        <w:t> </w:t>
      </w:r>
      <w:r>
        <w:rPr>
          <w:color w:val="231F20"/>
          <w:spacing w:val="-1"/>
        </w:rPr>
        <w:t>minutes.</w:t>
      </w:r>
      <w:r>
        <w:rPr/>
      </w:r>
    </w:p>
    <w:p>
      <w:pPr>
        <w:pStyle w:val="BodyText"/>
        <w:spacing w:line="250" w:lineRule="exact"/>
        <w:ind w:right="97"/>
        <w:jc w:val="left"/>
        <w:rPr>
          <w:rFonts w:ascii="Segoe UI Semibold" w:hAnsi="Segoe UI Semibold" w:cs="Segoe UI Semibold" w:eastAsia="Segoe UI Semibold"/>
          <w:sz w:val="11"/>
          <w:szCs w:val="11"/>
        </w:rPr>
      </w:pPr>
      <w:r>
        <w:rPr>
          <w:color w:val="231F20"/>
          <w:spacing w:val="-1"/>
        </w:rPr>
        <w:t>In</w:t>
      </w:r>
      <w:r>
        <w:rPr>
          <w:color w:val="231F20"/>
          <w:spacing w:val="-3"/>
        </w:rPr>
        <w:t> </w:t>
      </w:r>
      <w:r>
        <w:rPr>
          <w:color w:val="231F20"/>
        </w:rPr>
        <w:t>the</w:t>
      </w:r>
      <w:r>
        <w:rPr>
          <w:color w:val="231F20"/>
          <w:spacing w:val="-3"/>
        </w:rPr>
        <w:t> </w:t>
      </w:r>
      <w:r>
        <w:rPr>
          <w:color w:val="231F20"/>
        </w:rPr>
        <w:t>past</w:t>
      </w:r>
      <w:r>
        <w:rPr>
          <w:color w:val="231F20"/>
          <w:spacing w:val="-3"/>
        </w:rPr>
        <w:t> </w:t>
      </w:r>
      <w:r>
        <w:rPr>
          <w:color w:val="231F20"/>
        </w:rPr>
        <w:t>there</w:t>
      </w:r>
      <w:r>
        <w:rPr>
          <w:color w:val="231F20"/>
          <w:spacing w:val="-4"/>
        </w:rPr>
        <w:t> </w:t>
      </w:r>
      <w:r>
        <w:rPr>
          <w:color w:val="231F20"/>
        </w:rPr>
        <w:t>was,</w:t>
      </w:r>
      <w:r>
        <w:rPr>
          <w:color w:val="231F20"/>
          <w:spacing w:val="-3"/>
        </w:rPr>
        <w:t> </w:t>
      </w:r>
      <w:r>
        <w:rPr>
          <w:color w:val="231F20"/>
          <w:spacing w:val="-1"/>
        </w:rPr>
        <w:t>in</w:t>
      </w:r>
      <w:r>
        <w:rPr>
          <w:color w:val="231F20"/>
          <w:spacing w:val="-2"/>
        </w:rPr>
        <w:t> </w:t>
      </w:r>
      <w:r>
        <w:rPr>
          <w:color w:val="231F20"/>
          <w:spacing w:val="-1"/>
        </w:rPr>
        <w:t>2016</w:t>
      </w:r>
      <w:r>
        <w:rPr>
          <w:color w:val="231F20"/>
          <w:spacing w:val="-3"/>
        </w:rPr>
        <w:t> </w:t>
      </w:r>
      <w:r>
        <w:rPr>
          <w:color w:val="231F20"/>
          <w:spacing w:val="-1"/>
        </w:rPr>
        <w:t>17,</w:t>
      </w:r>
      <w:r>
        <w:rPr>
          <w:color w:val="231F20"/>
          <w:spacing w:val="-2"/>
        </w:rPr>
        <w:t> </w:t>
      </w:r>
      <w:r>
        <w:rPr>
          <w:color w:val="231F20"/>
        </w:rPr>
        <w:t>one</w:t>
      </w:r>
      <w:r>
        <w:rPr>
          <w:color w:val="231F20"/>
          <w:spacing w:val="-2"/>
        </w:rPr>
        <w:t> </w:t>
      </w:r>
      <w:r>
        <w:rPr>
          <w:color w:val="231F20"/>
          <w:spacing w:val="-1"/>
        </w:rPr>
        <w:t>isolated</w:t>
      </w:r>
      <w:r>
        <w:rPr>
          <w:color w:val="231F20"/>
          <w:spacing w:val="24"/>
        </w:rPr>
        <w:t> </w:t>
      </w:r>
      <w:r>
        <w:rPr>
          <w:color w:val="231F20"/>
          <w:spacing w:val="-1"/>
        </w:rPr>
        <w:t>instance</w:t>
      </w:r>
      <w:r>
        <w:rPr>
          <w:color w:val="231F20"/>
          <w:spacing w:val="-4"/>
        </w:rPr>
        <w:t> </w:t>
      </w:r>
      <w:r>
        <w:rPr>
          <w:color w:val="231F20"/>
        </w:rPr>
        <w:t>of</w:t>
      </w:r>
      <w:r>
        <w:rPr>
          <w:color w:val="231F20"/>
          <w:spacing w:val="-3"/>
        </w:rPr>
        <w:t> </w:t>
      </w:r>
      <w:r>
        <w:rPr>
          <w:color w:val="231F20"/>
        </w:rPr>
        <w:t>a</w:t>
      </w:r>
      <w:r>
        <w:rPr>
          <w:color w:val="231F20"/>
          <w:spacing w:val="-3"/>
        </w:rPr>
        <w:t> </w:t>
      </w:r>
      <w:r>
        <w:rPr>
          <w:color w:val="231F20"/>
        </w:rPr>
        <w:t>call</w:t>
      </w:r>
      <w:r>
        <w:rPr>
          <w:color w:val="231F20"/>
          <w:spacing w:val="-4"/>
        </w:rPr>
        <w:t> </w:t>
      </w:r>
      <w:r>
        <w:rPr>
          <w:color w:val="231F20"/>
        </w:rPr>
        <w:t>that</w:t>
      </w:r>
      <w:r>
        <w:rPr>
          <w:color w:val="231F20"/>
          <w:spacing w:val="-4"/>
        </w:rPr>
        <w:t> </w:t>
      </w:r>
      <w:r>
        <w:rPr>
          <w:color w:val="231F20"/>
        </w:rPr>
        <w:t>waited</w:t>
      </w:r>
      <w:r>
        <w:rPr>
          <w:color w:val="231F20"/>
          <w:spacing w:val="-4"/>
        </w:rPr>
        <w:t> </w:t>
      </w:r>
      <w:r>
        <w:rPr>
          <w:color w:val="231F20"/>
        </w:rPr>
        <w:t>2</w:t>
      </w:r>
      <w:r>
        <w:rPr>
          <w:color w:val="231F20"/>
          <w:spacing w:val="-3"/>
        </w:rPr>
        <w:t> </w:t>
      </w:r>
      <w:r>
        <w:rPr>
          <w:color w:val="231F20"/>
        </w:rPr>
        <w:t>hours</w:t>
      </w:r>
      <w:r>
        <w:rPr>
          <w:color w:val="231F20"/>
          <w:spacing w:val="-4"/>
        </w:rPr>
        <w:t> </w:t>
      </w:r>
      <w:r>
        <w:rPr>
          <w:color w:val="231F20"/>
        </w:rPr>
        <w:t>and</w:t>
      </w:r>
      <w:r>
        <w:rPr>
          <w:color w:val="231F20"/>
          <w:spacing w:val="-4"/>
        </w:rPr>
        <w:t> </w:t>
      </w:r>
      <w:r>
        <w:rPr>
          <w:color w:val="231F20"/>
        </w:rPr>
        <w:t>6</w:t>
      </w:r>
      <w:r>
        <w:rPr>
          <w:color w:val="231F20"/>
          <w:spacing w:val="22"/>
        </w:rPr>
        <w:t> </w:t>
      </w:r>
      <w:r>
        <w:rPr>
          <w:color w:val="231F20"/>
          <w:spacing w:val="-1"/>
        </w:rPr>
        <w:t>minutes,</w:t>
      </w:r>
      <w:r>
        <w:rPr>
          <w:color w:val="231F20"/>
          <w:spacing w:val="-3"/>
        </w:rPr>
        <w:t> </w:t>
      </w:r>
      <w:r>
        <w:rPr>
          <w:color w:val="231F20"/>
        </w:rPr>
        <w:t>and</w:t>
      </w:r>
      <w:r>
        <w:rPr>
          <w:color w:val="231F20"/>
          <w:spacing w:val="-3"/>
        </w:rPr>
        <w:t> </w:t>
      </w:r>
      <w:r>
        <w:rPr>
          <w:color w:val="231F20"/>
          <w:spacing w:val="-1"/>
        </w:rPr>
        <w:t>in</w:t>
      </w:r>
      <w:r>
        <w:rPr>
          <w:color w:val="231F20"/>
          <w:spacing w:val="-3"/>
        </w:rPr>
        <w:t> </w:t>
      </w:r>
      <w:r>
        <w:rPr>
          <w:color w:val="231F20"/>
        </w:rPr>
        <w:t>the</w:t>
      </w:r>
      <w:r>
        <w:rPr>
          <w:color w:val="231F20"/>
          <w:spacing w:val="-3"/>
        </w:rPr>
        <w:t> </w:t>
      </w:r>
      <w:r>
        <w:rPr>
          <w:color w:val="231F20"/>
          <w:spacing w:val="-1"/>
        </w:rPr>
        <w:t>2017-18</w:t>
      </w:r>
      <w:r>
        <w:rPr>
          <w:color w:val="231F20"/>
          <w:spacing w:val="-3"/>
        </w:rPr>
        <w:t> </w:t>
      </w:r>
      <w:r>
        <w:rPr>
          <w:color w:val="231F20"/>
        </w:rPr>
        <w:t>there</w:t>
      </w:r>
      <w:r>
        <w:rPr>
          <w:color w:val="231F20"/>
          <w:spacing w:val="-3"/>
        </w:rPr>
        <w:t> </w:t>
      </w:r>
      <w:r>
        <w:rPr>
          <w:color w:val="231F20"/>
        </w:rPr>
        <w:t>was</w:t>
      </w:r>
      <w:r>
        <w:rPr>
          <w:color w:val="231F20"/>
          <w:spacing w:val="-4"/>
        </w:rPr>
        <w:t> </w:t>
      </w:r>
      <w:r>
        <w:rPr>
          <w:color w:val="231F20"/>
        </w:rPr>
        <w:t>one</w:t>
      </w:r>
      <w:r>
        <w:rPr>
          <w:color w:val="231F20"/>
          <w:spacing w:val="24"/>
          <w:w w:val="99"/>
        </w:rPr>
        <w:t> </w:t>
      </w:r>
      <w:r>
        <w:rPr>
          <w:color w:val="231F20"/>
          <w:spacing w:val="-1"/>
        </w:rPr>
        <w:t>isolated</w:t>
      </w:r>
      <w:r>
        <w:rPr>
          <w:color w:val="231F20"/>
          <w:spacing w:val="-3"/>
        </w:rPr>
        <w:t> </w:t>
      </w:r>
      <w:r>
        <w:rPr>
          <w:color w:val="231F20"/>
          <w:spacing w:val="-1"/>
        </w:rPr>
        <w:t>instance</w:t>
      </w:r>
      <w:r>
        <w:rPr>
          <w:color w:val="231F20"/>
          <w:spacing w:val="-3"/>
        </w:rPr>
        <w:t> </w:t>
      </w:r>
      <w:r>
        <w:rPr>
          <w:color w:val="231F20"/>
        </w:rPr>
        <w:t>of</w:t>
      </w:r>
      <w:r>
        <w:rPr>
          <w:color w:val="231F20"/>
          <w:spacing w:val="-3"/>
        </w:rPr>
        <w:t> </w:t>
      </w:r>
      <w:r>
        <w:rPr>
          <w:color w:val="231F20"/>
        </w:rPr>
        <w:t>a</w:t>
      </w:r>
      <w:r>
        <w:rPr>
          <w:color w:val="231F20"/>
          <w:spacing w:val="-3"/>
        </w:rPr>
        <w:t> </w:t>
      </w:r>
      <w:r>
        <w:rPr>
          <w:color w:val="231F20"/>
        </w:rPr>
        <w:t>call</w:t>
      </w:r>
      <w:r>
        <w:rPr>
          <w:color w:val="231F20"/>
          <w:spacing w:val="-4"/>
        </w:rPr>
        <w:t> </w:t>
      </w:r>
      <w:r>
        <w:rPr>
          <w:color w:val="231F20"/>
        </w:rPr>
        <w:t>that</w:t>
      </w:r>
      <w:r>
        <w:rPr>
          <w:color w:val="231F20"/>
          <w:spacing w:val="-4"/>
        </w:rPr>
        <w:t> </w:t>
      </w:r>
      <w:r>
        <w:rPr>
          <w:color w:val="231F20"/>
        </w:rPr>
        <w:t>waited</w:t>
      </w:r>
      <w:r>
        <w:rPr>
          <w:color w:val="231F20"/>
          <w:spacing w:val="-4"/>
        </w:rPr>
        <w:t> </w:t>
      </w:r>
      <w:r>
        <w:rPr>
          <w:color w:val="231F20"/>
        </w:rPr>
        <w:t>1</w:t>
      </w:r>
      <w:r>
        <w:rPr>
          <w:color w:val="231F20"/>
          <w:spacing w:val="-3"/>
        </w:rPr>
        <w:t> </w:t>
      </w:r>
      <w:r>
        <w:rPr>
          <w:color w:val="231F20"/>
        </w:rPr>
        <w:t>hour</w:t>
      </w:r>
      <w:r>
        <w:rPr>
          <w:color w:val="231F20"/>
          <w:spacing w:val="23"/>
          <w:w w:val="99"/>
        </w:rPr>
        <w:t> </w:t>
      </w:r>
      <w:r>
        <w:rPr>
          <w:color w:val="231F20"/>
        </w:rPr>
        <w:t>and</w:t>
      </w:r>
      <w:r>
        <w:rPr>
          <w:color w:val="231F20"/>
          <w:spacing w:val="2"/>
        </w:rPr>
        <w:t> </w:t>
      </w:r>
      <w:r>
        <w:rPr>
          <w:color w:val="231F20"/>
          <w:spacing w:val="-1"/>
        </w:rPr>
        <w:t>17</w:t>
      </w:r>
      <w:r>
        <w:rPr>
          <w:color w:val="231F20"/>
          <w:spacing w:val="3"/>
        </w:rPr>
        <w:t> </w:t>
      </w:r>
      <w:r>
        <w:rPr>
          <w:color w:val="231F20"/>
          <w:spacing w:val="-1"/>
        </w:rPr>
        <w:t>minutes.</w:t>
      </w:r>
      <w:r>
        <w:rPr>
          <w:rFonts w:ascii="Segoe UI Semibold"/>
          <w:b/>
          <w:color w:val="231F20"/>
          <w:spacing w:val="-1"/>
          <w:position w:val="7"/>
          <w:sz w:val="11"/>
        </w:rPr>
        <w:t>107</w:t>
      </w:r>
      <w:r>
        <w:rPr>
          <w:rFonts w:ascii="Segoe UI Semibold"/>
          <w:sz w:val="11"/>
        </w:rPr>
      </w:r>
    </w:p>
    <w:p>
      <w:pPr>
        <w:pStyle w:val="BodyText"/>
        <w:spacing w:line="250" w:lineRule="exact" w:before="62"/>
        <w:ind w:right="98"/>
        <w:jc w:val="left"/>
      </w:pPr>
      <w:r>
        <w:rPr/>
        <w:br w:type="column"/>
      </w:r>
      <w:r>
        <w:rPr>
          <w:color w:val="231F20"/>
        </w:rPr>
        <w:t>On</w:t>
      </w:r>
      <w:r>
        <w:rPr>
          <w:color w:val="231F20"/>
          <w:spacing w:val="-5"/>
        </w:rPr>
        <w:t> </w:t>
      </w:r>
      <w:r>
        <w:rPr>
          <w:color w:val="231F20"/>
          <w:spacing w:val="-1"/>
        </w:rPr>
        <w:t>28</w:t>
      </w:r>
      <w:r>
        <w:rPr>
          <w:color w:val="231F20"/>
          <w:spacing w:val="-5"/>
        </w:rPr>
        <w:t> </w:t>
      </w:r>
      <w:r>
        <w:rPr>
          <w:color w:val="231F20"/>
        </w:rPr>
        <w:t>November</w:t>
      </w:r>
      <w:r>
        <w:rPr>
          <w:color w:val="231F20"/>
          <w:spacing w:val="-4"/>
        </w:rPr>
        <w:t> </w:t>
      </w:r>
      <w:r>
        <w:rPr>
          <w:color w:val="231F20"/>
          <w:spacing w:val="-1"/>
        </w:rPr>
        <w:t>2016,</w:t>
      </w:r>
      <w:r>
        <w:rPr>
          <w:color w:val="231F20"/>
          <w:spacing w:val="-5"/>
        </w:rPr>
        <w:t> </w:t>
      </w:r>
      <w:r>
        <w:rPr>
          <w:color w:val="231F20"/>
        </w:rPr>
        <w:t>the</w:t>
      </w:r>
      <w:r>
        <w:rPr>
          <w:color w:val="231F20"/>
          <w:spacing w:val="-5"/>
        </w:rPr>
        <w:t> </w:t>
      </w:r>
      <w:r>
        <w:rPr>
          <w:color w:val="231F20"/>
          <w:spacing w:val="-1"/>
        </w:rPr>
        <w:t>Department</w:t>
      </w:r>
      <w:r>
        <w:rPr>
          <w:color w:val="231F20"/>
          <w:spacing w:val="-5"/>
        </w:rPr>
        <w:t> </w:t>
      </w:r>
      <w:r>
        <w:rPr>
          <w:color w:val="231F20"/>
        </w:rPr>
        <w:t>of</w:t>
      </w:r>
      <w:r>
        <w:rPr>
          <w:color w:val="231F20"/>
          <w:spacing w:val="24"/>
          <w:w w:val="99"/>
        </w:rPr>
        <w:t> </w:t>
      </w:r>
      <w:r>
        <w:rPr>
          <w:color w:val="231F20"/>
        </w:rPr>
        <w:t>Human</w:t>
      </w:r>
      <w:r>
        <w:rPr>
          <w:color w:val="231F20"/>
          <w:spacing w:val="-4"/>
        </w:rPr>
        <w:t> </w:t>
      </w:r>
      <w:r>
        <w:rPr>
          <w:color w:val="231F20"/>
          <w:spacing w:val="-1"/>
        </w:rPr>
        <w:t>Services</w:t>
      </w:r>
      <w:r>
        <w:rPr>
          <w:color w:val="231F20"/>
          <w:spacing w:val="-3"/>
        </w:rPr>
        <w:t> </w:t>
      </w:r>
      <w:r>
        <w:rPr>
          <w:color w:val="231F20"/>
        </w:rPr>
        <w:t>commenced</w:t>
      </w:r>
      <w:r>
        <w:rPr>
          <w:color w:val="231F20"/>
          <w:spacing w:val="-4"/>
        </w:rPr>
        <w:t> </w:t>
      </w:r>
      <w:r>
        <w:rPr>
          <w:color w:val="231F20"/>
        </w:rPr>
        <w:t>a</w:t>
      </w:r>
      <w:r>
        <w:rPr>
          <w:color w:val="231F20"/>
          <w:spacing w:val="-3"/>
        </w:rPr>
        <w:t> </w:t>
      </w:r>
      <w:r>
        <w:rPr>
          <w:color w:val="231F20"/>
        </w:rPr>
        <w:t>trial</w:t>
      </w:r>
      <w:r>
        <w:rPr>
          <w:color w:val="231F20"/>
          <w:spacing w:val="-4"/>
        </w:rPr>
        <w:t> </w:t>
      </w:r>
      <w:r>
        <w:rPr>
          <w:color w:val="231F20"/>
        </w:rPr>
        <w:t>of</w:t>
      </w:r>
      <w:r>
        <w:rPr>
          <w:color w:val="231F20"/>
          <w:spacing w:val="-3"/>
        </w:rPr>
        <w:t> </w:t>
      </w:r>
      <w:r>
        <w:rPr>
          <w:color w:val="231F20"/>
        </w:rPr>
        <w:t>verbal</w:t>
      </w:r>
      <w:r>
        <w:rPr>
          <w:color w:val="231F20"/>
          <w:spacing w:val="22"/>
          <w:w w:val="99"/>
        </w:rPr>
        <w:t> </w:t>
      </w:r>
      <w:r>
        <w:rPr>
          <w:color w:val="231F20"/>
        </w:rPr>
        <w:t>customer</w:t>
      </w:r>
      <w:r>
        <w:rPr>
          <w:color w:val="231F20"/>
          <w:spacing w:val="-10"/>
        </w:rPr>
        <w:t> </w:t>
      </w:r>
      <w:r>
        <w:rPr>
          <w:color w:val="231F20"/>
        </w:rPr>
        <w:t>declarations,</w:t>
      </w:r>
      <w:r>
        <w:rPr>
          <w:color w:val="231F20"/>
          <w:spacing w:val="-10"/>
        </w:rPr>
        <w:t> </w:t>
      </w:r>
      <w:r>
        <w:rPr>
          <w:color w:val="231F20"/>
        </w:rPr>
        <w:t>which</w:t>
      </w:r>
      <w:r>
        <w:rPr>
          <w:color w:val="231F20"/>
          <w:spacing w:val="-10"/>
        </w:rPr>
        <w:t> </w:t>
      </w:r>
      <w:r>
        <w:rPr>
          <w:color w:val="231F20"/>
        </w:rPr>
        <w:t>removed</w:t>
      </w:r>
      <w:r>
        <w:rPr>
          <w:color w:val="231F20"/>
          <w:spacing w:val="-10"/>
        </w:rPr>
        <w:t> </w:t>
      </w:r>
      <w:r>
        <w:rPr>
          <w:color w:val="231F20"/>
        </w:rPr>
        <w:t>the</w:t>
      </w:r>
      <w:r>
        <w:rPr>
          <w:color w:val="231F20"/>
          <w:w w:val="99"/>
        </w:rPr>
        <w:t> </w:t>
      </w:r>
      <w:r>
        <w:rPr>
          <w:color w:val="231F20"/>
        </w:rPr>
        <w:t>need</w:t>
      </w:r>
      <w:r>
        <w:rPr>
          <w:color w:val="231F20"/>
          <w:spacing w:val="-6"/>
        </w:rPr>
        <w:t> </w:t>
      </w:r>
      <w:r>
        <w:rPr>
          <w:color w:val="231F20"/>
        </w:rPr>
        <w:t>for</w:t>
      </w:r>
      <w:r>
        <w:rPr>
          <w:color w:val="231F20"/>
          <w:spacing w:val="-4"/>
        </w:rPr>
        <w:t> </w:t>
      </w:r>
      <w:r>
        <w:rPr>
          <w:color w:val="231F20"/>
        </w:rPr>
        <w:t>parents</w:t>
      </w:r>
      <w:r>
        <w:rPr>
          <w:color w:val="231F20"/>
          <w:spacing w:val="-5"/>
        </w:rPr>
        <w:t> </w:t>
      </w:r>
      <w:r>
        <w:rPr>
          <w:color w:val="231F20"/>
        </w:rPr>
        <w:t>to</w:t>
      </w:r>
      <w:r>
        <w:rPr>
          <w:color w:val="231F20"/>
          <w:spacing w:val="-4"/>
        </w:rPr>
        <w:t> </w:t>
      </w:r>
      <w:r>
        <w:rPr>
          <w:color w:val="231F20"/>
          <w:spacing w:val="-1"/>
        </w:rPr>
        <w:t>submit</w:t>
      </w:r>
      <w:r>
        <w:rPr>
          <w:color w:val="231F20"/>
          <w:spacing w:val="-4"/>
        </w:rPr>
        <w:t> </w:t>
      </w:r>
      <w:r>
        <w:rPr>
          <w:color w:val="231F20"/>
          <w:spacing w:val="-1"/>
        </w:rPr>
        <w:t>signed</w:t>
      </w:r>
      <w:r>
        <w:rPr>
          <w:color w:val="231F20"/>
          <w:spacing w:val="-5"/>
        </w:rPr>
        <w:t> </w:t>
      </w:r>
      <w:r>
        <w:rPr>
          <w:color w:val="231F20"/>
        </w:rPr>
        <w:t>declaration</w:t>
      </w:r>
      <w:r>
        <w:rPr>
          <w:color w:val="231F20"/>
          <w:spacing w:val="23"/>
          <w:w w:val="99"/>
        </w:rPr>
        <w:t> </w:t>
      </w:r>
      <w:r>
        <w:rPr>
          <w:color w:val="231F20"/>
        </w:rPr>
        <w:t>forms</w:t>
      </w:r>
      <w:r>
        <w:rPr>
          <w:color w:val="231F20"/>
          <w:spacing w:val="-7"/>
        </w:rPr>
        <w:t> </w:t>
      </w:r>
      <w:r>
        <w:rPr>
          <w:color w:val="231F20"/>
        </w:rPr>
        <w:t>to</w:t>
      </w:r>
      <w:r>
        <w:rPr>
          <w:color w:val="231F20"/>
          <w:spacing w:val="-5"/>
        </w:rPr>
        <w:t> </w:t>
      </w:r>
      <w:r>
        <w:rPr>
          <w:color w:val="231F20"/>
          <w:spacing w:val="-1"/>
        </w:rPr>
        <w:t>Centrelink</w:t>
      </w:r>
      <w:r>
        <w:rPr>
          <w:color w:val="231F20"/>
          <w:spacing w:val="-5"/>
        </w:rPr>
        <w:t> </w:t>
      </w:r>
      <w:r>
        <w:rPr>
          <w:color w:val="231F20"/>
        </w:rPr>
        <w:t>after</w:t>
      </w:r>
      <w:r>
        <w:rPr>
          <w:color w:val="231F20"/>
          <w:spacing w:val="-6"/>
        </w:rPr>
        <w:t> </w:t>
      </w:r>
      <w:r>
        <w:rPr>
          <w:color w:val="231F20"/>
        </w:rPr>
        <w:t>a</w:t>
      </w:r>
      <w:r>
        <w:rPr>
          <w:color w:val="231F20"/>
          <w:spacing w:val="-5"/>
        </w:rPr>
        <w:t> </w:t>
      </w:r>
      <w:r>
        <w:rPr>
          <w:color w:val="231F20"/>
        </w:rPr>
        <w:t>telephone</w:t>
      </w:r>
      <w:r>
        <w:rPr>
          <w:color w:val="231F20"/>
          <w:spacing w:val="-6"/>
        </w:rPr>
        <w:t> </w:t>
      </w:r>
      <w:r>
        <w:rPr>
          <w:color w:val="231F20"/>
          <w:spacing w:val="-1"/>
        </w:rPr>
        <w:t>inquiry</w:t>
      </w:r>
      <w:r>
        <w:rPr>
          <w:color w:val="231F20"/>
          <w:spacing w:val="21"/>
          <w:w w:val="99"/>
        </w:rPr>
        <w:t> </w:t>
      </w:r>
      <w:r>
        <w:rPr>
          <w:rFonts w:ascii="Segoe UI" w:hAnsi="Segoe UI" w:cs="Segoe UI" w:eastAsia="Segoe UI"/>
          <w:color w:val="231F20"/>
        </w:rPr>
        <w:t>requiring information or confirmation of</w:t>
      </w:r>
      <w:r>
        <w:rPr>
          <w:rFonts w:ascii="Segoe UI" w:hAnsi="Segoe UI" w:cs="Segoe UI" w:eastAsia="Segoe UI"/>
          <w:color w:val="231F20"/>
        </w:rPr>
        <w:t> </w:t>
      </w:r>
      <w:r>
        <w:rPr>
          <w:color w:val="231F20"/>
          <w:spacing w:val="-1"/>
        </w:rPr>
        <w:t>information</w:t>
      </w:r>
      <w:r>
        <w:rPr>
          <w:color w:val="231F20"/>
          <w:spacing w:val="-10"/>
        </w:rPr>
        <w:t> </w:t>
      </w:r>
      <w:r>
        <w:rPr>
          <w:color w:val="231F20"/>
        </w:rPr>
        <w:t>about</w:t>
      </w:r>
      <w:r>
        <w:rPr>
          <w:color w:val="231F20"/>
          <w:spacing w:val="-10"/>
        </w:rPr>
        <w:t> </w:t>
      </w:r>
      <w:r>
        <w:rPr>
          <w:color w:val="231F20"/>
        </w:rPr>
        <w:t>a</w:t>
      </w:r>
      <w:r>
        <w:rPr>
          <w:color w:val="231F20"/>
          <w:spacing w:val="-9"/>
        </w:rPr>
        <w:t> </w:t>
      </w:r>
      <w:r>
        <w:rPr>
          <w:color w:val="231F20"/>
        </w:rPr>
        <w:t>parent’s</w:t>
      </w:r>
      <w:r>
        <w:rPr>
          <w:color w:val="231F20"/>
          <w:spacing w:val="-10"/>
        </w:rPr>
        <w:t> </w:t>
      </w:r>
      <w:r>
        <w:rPr>
          <w:color w:val="231F20"/>
        </w:rPr>
        <w:t>circumstances.</w:t>
      </w:r>
      <w:r>
        <w:rPr>
          <w:color w:val="231F20"/>
          <w:spacing w:val="22"/>
          <w:w w:val="99"/>
        </w:rPr>
        <w:t> </w:t>
      </w:r>
      <w:r>
        <w:rPr>
          <w:color w:val="231F20"/>
        </w:rPr>
        <w:t>The</w:t>
      </w:r>
      <w:r>
        <w:rPr>
          <w:color w:val="231F20"/>
          <w:spacing w:val="-6"/>
        </w:rPr>
        <w:t> </w:t>
      </w:r>
      <w:r>
        <w:rPr>
          <w:color w:val="231F20"/>
        </w:rPr>
        <w:t>department</w:t>
      </w:r>
      <w:r>
        <w:rPr>
          <w:color w:val="231F20"/>
          <w:spacing w:val="-5"/>
        </w:rPr>
        <w:t> </w:t>
      </w:r>
      <w:r>
        <w:rPr>
          <w:color w:val="231F20"/>
        </w:rPr>
        <w:t>reported</w:t>
      </w:r>
      <w:r>
        <w:rPr>
          <w:color w:val="231F20"/>
          <w:spacing w:val="-6"/>
        </w:rPr>
        <w:t> </w:t>
      </w:r>
      <w:r>
        <w:rPr>
          <w:color w:val="231F20"/>
        </w:rPr>
        <w:t>that</w:t>
      </w:r>
      <w:r>
        <w:rPr>
          <w:color w:val="231F20"/>
          <w:spacing w:val="-6"/>
        </w:rPr>
        <w:t> </w:t>
      </w:r>
      <w:r>
        <w:rPr>
          <w:color w:val="231F20"/>
        </w:rPr>
        <w:t>ABSTUDY</w:t>
      </w:r>
      <w:r>
        <w:rPr>
          <w:color w:val="231F20"/>
          <w:spacing w:val="-6"/>
        </w:rPr>
        <w:t> </w:t>
      </w:r>
      <w:r>
        <w:rPr>
          <w:color w:val="231F20"/>
        </w:rPr>
        <w:t>claims</w:t>
      </w:r>
      <w:r>
        <w:rPr>
          <w:color w:val="231F20"/>
        </w:rPr>
        <w:t> </w:t>
      </w:r>
      <w:r>
        <w:rPr>
          <w:rFonts w:ascii="Segoe UI" w:hAnsi="Segoe UI" w:cs="Segoe UI" w:eastAsia="Segoe UI"/>
          <w:color w:val="231F20"/>
        </w:rPr>
        <w:t>were finalised 50 per cent faster when the</w:t>
      </w:r>
      <w:r>
        <w:rPr>
          <w:rFonts w:ascii="Segoe UI" w:hAnsi="Segoe UI" w:cs="Segoe UI" w:eastAsia="Segoe UI"/>
          <w:color w:val="231F20"/>
        </w:rPr>
        <w:t> </w:t>
      </w:r>
      <w:r>
        <w:rPr>
          <w:color w:val="231F20"/>
        </w:rPr>
        <w:t>verbal</w:t>
      </w:r>
      <w:r>
        <w:rPr>
          <w:color w:val="231F20"/>
          <w:spacing w:val="-6"/>
        </w:rPr>
        <w:t> </w:t>
      </w:r>
      <w:r>
        <w:rPr>
          <w:color w:val="231F20"/>
        </w:rPr>
        <w:t>declaration</w:t>
      </w:r>
      <w:r>
        <w:rPr>
          <w:color w:val="231F20"/>
          <w:spacing w:val="-6"/>
        </w:rPr>
        <w:t> </w:t>
      </w:r>
      <w:r>
        <w:rPr>
          <w:color w:val="231F20"/>
        </w:rPr>
        <w:t>process</w:t>
      </w:r>
      <w:r>
        <w:rPr>
          <w:color w:val="231F20"/>
          <w:spacing w:val="-6"/>
        </w:rPr>
        <w:t> </w:t>
      </w:r>
      <w:r>
        <w:rPr>
          <w:color w:val="231F20"/>
        </w:rPr>
        <w:t>was</w:t>
      </w:r>
      <w:r>
        <w:rPr>
          <w:color w:val="231F20"/>
          <w:spacing w:val="-6"/>
        </w:rPr>
        <w:t> </w:t>
      </w:r>
      <w:r>
        <w:rPr>
          <w:color w:val="231F20"/>
        </w:rPr>
        <w:t>used.</w:t>
      </w:r>
      <w:r>
        <w:rPr>
          <w:color w:val="231F20"/>
          <w:spacing w:val="-6"/>
        </w:rPr>
        <w:t> </w:t>
      </w:r>
      <w:r>
        <w:rPr>
          <w:color w:val="231F20"/>
        </w:rPr>
        <w:t>As</w:t>
      </w:r>
      <w:r>
        <w:rPr>
          <w:color w:val="231F20"/>
          <w:spacing w:val="-6"/>
        </w:rPr>
        <w:t> </w:t>
      </w:r>
      <w:r>
        <w:rPr>
          <w:color w:val="231F20"/>
        </w:rPr>
        <w:t>a</w:t>
      </w:r>
      <w:r>
        <w:rPr>
          <w:color w:val="231F20"/>
          <w:spacing w:val="-5"/>
        </w:rPr>
        <w:t> </w:t>
      </w:r>
      <w:r>
        <w:rPr>
          <w:color w:val="231F20"/>
        </w:rPr>
        <w:t>result</w:t>
      </w:r>
      <w:r>
        <w:rPr>
          <w:color w:val="231F20"/>
          <w:w w:val="99"/>
        </w:rPr>
        <w:t> </w:t>
      </w:r>
      <w:r>
        <w:rPr>
          <w:color w:val="231F20"/>
        </w:rPr>
        <w:t>of</w:t>
      </w:r>
      <w:r>
        <w:rPr>
          <w:color w:val="231F20"/>
          <w:spacing w:val="-3"/>
        </w:rPr>
        <w:t> </w:t>
      </w:r>
      <w:r>
        <w:rPr>
          <w:color w:val="231F20"/>
        </w:rPr>
        <w:t>the</w:t>
      </w:r>
      <w:r>
        <w:rPr>
          <w:color w:val="231F20"/>
          <w:spacing w:val="-4"/>
        </w:rPr>
        <w:t> </w:t>
      </w:r>
      <w:r>
        <w:rPr>
          <w:color w:val="231F20"/>
          <w:spacing w:val="-1"/>
        </w:rPr>
        <w:t>success</w:t>
      </w:r>
      <w:r>
        <w:rPr>
          <w:color w:val="231F20"/>
          <w:spacing w:val="-3"/>
        </w:rPr>
        <w:t> </w:t>
      </w:r>
      <w:r>
        <w:rPr>
          <w:color w:val="231F20"/>
        </w:rPr>
        <w:t>of</w:t>
      </w:r>
      <w:r>
        <w:rPr>
          <w:color w:val="231F20"/>
          <w:spacing w:val="-3"/>
        </w:rPr>
        <w:t> </w:t>
      </w:r>
      <w:r>
        <w:rPr>
          <w:color w:val="231F20"/>
        </w:rPr>
        <w:t>the</w:t>
      </w:r>
      <w:r>
        <w:rPr>
          <w:color w:val="231F20"/>
          <w:spacing w:val="-4"/>
        </w:rPr>
        <w:t> </w:t>
      </w:r>
      <w:r>
        <w:rPr>
          <w:color w:val="231F20"/>
        </w:rPr>
        <w:t>trial</w:t>
      </w:r>
      <w:r>
        <w:rPr>
          <w:color w:val="231F20"/>
          <w:spacing w:val="-4"/>
        </w:rPr>
        <w:t> </w:t>
      </w:r>
      <w:r>
        <w:rPr>
          <w:color w:val="231F20"/>
        </w:rPr>
        <w:t>the</w:t>
      </w:r>
      <w:r>
        <w:rPr>
          <w:color w:val="231F20"/>
          <w:spacing w:val="-4"/>
        </w:rPr>
        <w:t> </w:t>
      </w:r>
      <w:r>
        <w:rPr>
          <w:color w:val="231F20"/>
        </w:rPr>
        <w:t>process</w:t>
      </w:r>
      <w:r>
        <w:rPr>
          <w:color w:val="231F20"/>
          <w:spacing w:val="-4"/>
        </w:rPr>
        <w:t> </w:t>
      </w:r>
      <w:r>
        <w:rPr>
          <w:color w:val="231F20"/>
          <w:spacing w:val="-1"/>
        </w:rPr>
        <w:t>is</w:t>
      </w:r>
      <w:r>
        <w:rPr>
          <w:color w:val="231F20"/>
          <w:spacing w:val="-3"/>
        </w:rPr>
        <w:t> </w:t>
      </w:r>
      <w:r>
        <w:rPr>
          <w:color w:val="231F20"/>
        </w:rPr>
        <w:t>now</w:t>
      </w:r>
      <w:r>
        <w:rPr/>
      </w:r>
    </w:p>
    <w:p>
      <w:pPr>
        <w:pStyle w:val="BodyText"/>
        <w:spacing w:line="250" w:lineRule="exact"/>
        <w:ind w:right="234"/>
        <w:jc w:val="left"/>
      </w:pPr>
      <w:r>
        <w:rPr>
          <w:color w:val="231F20"/>
        </w:rPr>
        <w:t>an</w:t>
      </w:r>
      <w:r>
        <w:rPr>
          <w:color w:val="231F20"/>
          <w:spacing w:val="-7"/>
        </w:rPr>
        <w:t> </w:t>
      </w:r>
      <w:r>
        <w:rPr>
          <w:color w:val="231F20"/>
        </w:rPr>
        <w:t>ongoing</w:t>
      </w:r>
      <w:r>
        <w:rPr>
          <w:color w:val="231F20"/>
          <w:spacing w:val="-7"/>
        </w:rPr>
        <w:t> </w:t>
      </w:r>
      <w:r>
        <w:rPr>
          <w:color w:val="231F20"/>
        </w:rPr>
        <w:t>process.</w:t>
      </w:r>
      <w:r>
        <w:rPr>
          <w:color w:val="231F20"/>
          <w:spacing w:val="-6"/>
        </w:rPr>
        <w:t> </w:t>
      </w:r>
      <w:r>
        <w:rPr>
          <w:color w:val="231F20"/>
        </w:rPr>
        <w:t>A</w:t>
      </w:r>
      <w:r>
        <w:rPr>
          <w:color w:val="231F20"/>
          <w:spacing w:val="-6"/>
        </w:rPr>
        <w:t> </w:t>
      </w:r>
      <w:r>
        <w:rPr>
          <w:color w:val="231F20"/>
        </w:rPr>
        <w:t>number</w:t>
      </w:r>
      <w:r>
        <w:rPr>
          <w:color w:val="231F20"/>
          <w:spacing w:val="-6"/>
        </w:rPr>
        <w:t> </w:t>
      </w:r>
      <w:r>
        <w:rPr>
          <w:color w:val="231F20"/>
        </w:rPr>
        <w:t>of</w:t>
      </w:r>
      <w:r>
        <w:rPr>
          <w:color w:val="231F20"/>
          <w:spacing w:val="-6"/>
        </w:rPr>
        <w:t> </w:t>
      </w:r>
      <w:r>
        <w:rPr>
          <w:color w:val="231F20"/>
        </w:rPr>
        <w:t>boarding</w:t>
      </w:r>
      <w:r>
        <w:rPr>
          <w:color w:val="231F20"/>
          <w:w w:val="99"/>
        </w:rPr>
        <w:t> </w:t>
      </w:r>
      <w:r>
        <w:rPr>
          <w:color w:val="231F20"/>
        </w:rPr>
        <w:t>providers</w:t>
      </w:r>
      <w:r>
        <w:rPr>
          <w:color w:val="231F20"/>
          <w:spacing w:val="-8"/>
        </w:rPr>
        <w:t> </w:t>
      </w:r>
      <w:r>
        <w:rPr>
          <w:color w:val="231F20"/>
          <w:spacing w:val="-1"/>
        </w:rPr>
        <w:t>indicated</w:t>
      </w:r>
      <w:r>
        <w:rPr>
          <w:color w:val="231F20"/>
          <w:spacing w:val="-8"/>
        </w:rPr>
        <w:t> </w:t>
      </w:r>
      <w:r>
        <w:rPr>
          <w:color w:val="231F20"/>
        </w:rPr>
        <w:t>that</w:t>
      </w:r>
      <w:r>
        <w:rPr>
          <w:color w:val="231F20"/>
          <w:spacing w:val="-8"/>
        </w:rPr>
        <w:t> </w:t>
      </w:r>
      <w:r>
        <w:rPr>
          <w:color w:val="231F20"/>
        </w:rPr>
        <w:t>the</w:t>
      </w:r>
      <w:r>
        <w:rPr>
          <w:color w:val="231F20"/>
          <w:spacing w:val="-8"/>
        </w:rPr>
        <w:t> </w:t>
      </w:r>
      <w:r>
        <w:rPr>
          <w:color w:val="231F20"/>
          <w:spacing w:val="-1"/>
        </w:rPr>
        <w:t>introduction</w:t>
      </w:r>
      <w:r>
        <w:rPr>
          <w:color w:val="231F20"/>
          <w:spacing w:val="-6"/>
        </w:rPr>
        <w:t> </w:t>
      </w:r>
      <w:r>
        <w:rPr>
          <w:color w:val="231F20"/>
        </w:rPr>
        <w:t>of</w:t>
      </w:r>
      <w:r>
        <w:rPr>
          <w:color w:val="231F20"/>
          <w:spacing w:val="23"/>
          <w:w w:val="99"/>
        </w:rPr>
        <w:t> </w:t>
      </w:r>
      <w:r>
        <w:rPr>
          <w:color w:val="231F20"/>
        </w:rPr>
        <w:t>the</w:t>
      </w:r>
      <w:r>
        <w:rPr>
          <w:color w:val="231F20"/>
          <w:spacing w:val="-6"/>
        </w:rPr>
        <w:t> </w:t>
      </w:r>
      <w:r>
        <w:rPr>
          <w:color w:val="231F20"/>
        </w:rPr>
        <w:t>verbal</w:t>
      </w:r>
      <w:r>
        <w:rPr>
          <w:color w:val="231F20"/>
          <w:spacing w:val="-4"/>
        </w:rPr>
        <w:t> </w:t>
      </w:r>
      <w:r>
        <w:rPr>
          <w:color w:val="231F20"/>
        </w:rPr>
        <w:t>declaration</w:t>
      </w:r>
      <w:r>
        <w:rPr>
          <w:color w:val="231F20"/>
          <w:spacing w:val="-6"/>
        </w:rPr>
        <w:t> </w:t>
      </w:r>
      <w:r>
        <w:rPr>
          <w:color w:val="231F20"/>
        </w:rPr>
        <w:t>process</w:t>
      </w:r>
      <w:r>
        <w:rPr>
          <w:color w:val="231F20"/>
          <w:spacing w:val="-5"/>
        </w:rPr>
        <w:t> </w:t>
      </w:r>
      <w:r>
        <w:rPr>
          <w:color w:val="231F20"/>
        </w:rPr>
        <w:t>had</w:t>
      </w:r>
      <w:r>
        <w:rPr>
          <w:color w:val="231F20"/>
          <w:spacing w:val="-5"/>
        </w:rPr>
        <w:t> </w:t>
      </w:r>
      <w:r>
        <w:rPr>
          <w:color w:val="231F20"/>
          <w:spacing w:val="-1"/>
        </w:rPr>
        <w:t>led</w:t>
      </w:r>
      <w:r>
        <w:rPr>
          <w:color w:val="231F20"/>
          <w:spacing w:val="-4"/>
        </w:rPr>
        <w:t> </w:t>
      </w:r>
      <w:r>
        <w:rPr>
          <w:color w:val="231F20"/>
        </w:rPr>
        <w:t>to</w:t>
      </w:r>
      <w:r>
        <w:rPr>
          <w:color w:val="231F20"/>
          <w:spacing w:val="-4"/>
        </w:rPr>
        <w:t> </w:t>
      </w:r>
      <w:r>
        <w:rPr>
          <w:color w:val="231F20"/>
        </w:rPr>
        <w:t>a</w:t>
      </w:r>
      <w:r>
        <w:rPr>
          <w:color w:val="231F20"/>
          <w:spacing w:val="21"/>
          <w:w w:val="99"/>
        </w:rPr>
        <w:t> </w:t>
      </w:r>
      <w:r>
        <w:rPr>
          <w:color w:val="231F20"/>
        </w:rPr>
        <w:t>noticeable</w:t>
      </w:r>
      <w:r>
        <w:rPr>
          <w:color w:val="231F20"/>
          <w:spacing w:val="-8"/>
        </w:rPr>
        <w:t> </w:t>
      </w:r>
      <w:r>
        <w:rPr>
          <w:color w:val="231F20"/>
        </w:rPr>
        <w:t>reduction</w:t>
      </w:r>
      <w:r>
        <w:rPr>
          <w:color w:val="231F20"/>
          <w:spacing w:val="-8"/>
        </w:rPr>
        <w:t> </w:t>
      </w:r>
      <w:r>
        <w:rPr>
          <w:color w:val="231F20"/>
          <w:spacing w:val="-1"/>
        </w:rPr>
        <w:t>in</w:t>
      </w:r>
      <w:r>
        <w:rPr>
          <w:color w:val="231F20"/>
          <w:spacing w:val="-7"/>
        </w:rPr>
        <w:t> </w:t>
      </w:r>
      <w:r>
        <w:rPr>
          <w:color w:val="231F20"/>
        </w:rPr>
        <w:t>ABSTUDY</w:t>
      </w:r>
      <w:r>
        <w:rPr>
          <w:color w:val="231F20"/>
          <w:spacing w:val="-8"/>
        </w:rPr>
        <w:t> </w:t>
      </w:r>
      <w:r>
        <w:rPr>
          <w:color w:val="231F20"/>
        </w:rPr>
        <w:t>processing</w:t>
      </w:r>
      <w:r>
        <w:rPr>
          <w:color w:val="231F20"/>
          <w:spacing w:val="21"/>
          <w:w w:val="99"/>
        </w:rPr>
        <w:t> </w:t>
      </w:r>
      <w:r>
        <w:rPr>
          <w:color w:val="231F20"/>
        </w:rPr>
        <w:t>times.</w:t>
      </w:r>
      <w:r>
        <w:rPr>
          <w:color w:val="231F20"/>
          <w:spacing w:val="-6"/>
        </w:rPr>
        <w:t> </w:t>
      </w:r>
      <w:r>
        <w:rPr>
          <w:color w:val="231F20"/>
        </w:rPr>
        <w:t>Those</w:t>
      </w:r>
      <w:r>
        <w:rPr>
          <w:color w:val="231F20"/>
          <w:spacing w:val="-6"/>
        </w:rPr>
        <w:t> </w:t>
      </w:r>
      <w:r>
        <w:rPr>
          <w:color w:val="231F20"/>
        </w:rPr>
        <w:t>boarding</w:t>
      </w:r>
      <w:r>
        <w:rPr>
          <w:color w:val="231F20"/>
          <w:spacing w:val="-7"/>
        </w:rPr>
        <w:t> </w:t>
      </w:r>
      <w:r>
        <w:rPr>
          <w:color w:val="231F20"/>
        </w:rPr>
        <w:t>providers</w:t>
      </w:r>
      <w:r>
        <w:rPr>
          <w:color w:val="231F20"/>
          <w:spacing w:val="-6"/>
        </w:rPr>
        <w:t> </w:t>
      </w:r>
      <w:r>
        <w:rPr>
          <w:color w:val="231F20"/>
        </w:rPr>
        <w:t>now</w:t>
      </w:r>
      <w:r>
        <w:rPr>
          <w:color w:val="231F20"/>
          <w:w w:val="99"/>
        </w:rPr>
        <w:t> </w:t>
      </w:r>
      <w:r>
        <w:rPr>
          <w:color w:val="231F20"/>
        </w:rPr>
        <w:t>recommend</w:t>
      </w:r>
      <w:r>
        <w:rPr>
          <w:color w:val="231F20"/>
          <w:spacing w:val="-7"/>
        </w:rPr>
        <w:t> </w:t>
      </w:r>
      <w:r>
        <w:rPr>
          <w:color w:val="231F20"/>
        </w:rPr>
        <w:t>the</w:t>
      </w:r>
      <w:r>
        <w:rPr>
          <w:color w:val="231F20"/>
          <w:spacing w:val="-6"/>
        </w:rPr>
        <w:t> </w:t>
      </w:r>
      <w:r>
        <w:rPr>
          <w:color w:val="231F20"/>
        </w:rPr>
        <w:t>use</w:t>
      </w:r>
      <w:r>
        <w:rPr>
          <w:color w:val="231F20"/>
          <w:spacing w:val="-6"/>
        </w:rPr>
        <w:t> </w:t>
      </w:r>
      <w:r>
        <w:rPr>
          <w:color w:val="231F20"/>
        </w:rPr>
        <w:t>of</w:t>
      </w:r>
      <w:r>
        <w:rPr>
          <w:color w:val="231F20"/>
          <w:spacing w:val="-5"/>
        </w:rPr>
        <w:t> </w:t>
      </w:r>
      <w:r>
        <w:rPr>
          <w:color w:val="231F20"/>
        </w:rPr>
        <w:t>the</w:t>
      </w:r>
      <w:r>
        <w:rPr>
          <w:color w:val="231F20"/>
          <w:spacing w:val="-5"/>
        </w:rPr>
        <w:t> </w:t>
      </w:r>
      <w:r>
        <w:rPr>
          <w:color w:val="231F20"/>
        </w:rPr>
        <w:t>process</w:t>
      </w:r>
      <w:r>
        <w:rPr>
          <w:color w:val="231F20"/>
          <w:spacing w:val="-6"/>
        </w:rPr>
        <w:t> </w:t>
      </w:r>
      <w:r>
        <w:rPr>
          <w:color w:val="231F20"/>
        </w:rPr>
        <w:t>by</w:t>
      </w:r>
      <w:r>
        <w:rPr>
          <w:color w:val="231F20"/>
          <w:spacing w:val="-5"/>
        </w:rPr>
        <w:t> </w:t>
      </w:r>
      <w:r>
        <w:rPr>
          <w:color w:val="231F20"/>
        </w:rPr>
        <w:t>parents</w:t>
      </w:r>
      <w:r>
        <w:rPr>
          <w:color w:val="231F20"/>
          <w:w w:val="99"/>
        </w:rPr>
        <w:t> </w:t>
      </w:r>
      <w:r>
        <w:rPr>
          <w:color w:val="231F20"/>
        </w:rPr>
        <w:t>when</w:t>
      </w:r>
      <w:r>
        <w:rPr>
          <w:color w:val="231F20"/>
          <w:spacing w:val="-4"/>
        </w:rPr>
        <w:t> </w:t>
      </w:r>
      <w:r>
        <w:rPr>
          <w:color w:val="231F20"/>
        </w:rPr>
        <w:t>there</w:t>
      </w:r>
      <w:r>
        <w:rPr>
          <w:color w:val="231F20"/>
          <w:spacing w:val="-3"/>
        </w:rPr>
        <w:t> </w:t>
      </w:r>
      <w:r>
        <w:rPr>
          <w:color w:val="231F20"/>
          <w:spacing w:val="-1"/>
        </w:rPr>
        <w:t>is</w:t>
      </w:r>
      <w:r>
        <w:rPr>
          <w:color w:val="231F20"/>
          <w:spacing w:val="-4"/>
        </w:rPr>
        <w:t> </w:t>
      </w:r>
      <w:r>
        <w:rPr>
          <w:color w:val="231F20"/>
        </w:rPr>
        <w:t>an</w:t>
      </w:r>
      <w:r>
        <w:rPr>
          <w:color w:val="231F20"/>
          <w:spacing w:val="-3"/>
        </w:rPr>
        <w:t> </w:t>
      </w:r>
      <w:r>
        <w:rPr>
          <w:color w:val="231F20"/>
          <w:spacing w:val="-1"/>
        </w:rPr>
        <w:t>issue</w:t>
      </w:r>
      <w:r>
        <w:rPr>
          <w:color w:val="231F20"/>
          <w:spacing w:val="-3"/>
        </w:rPr>
        <w:t> </w:t>
      </w:r>
      <w:r>
        <w:rPr>
          <w:color w:val="231F20"/>
        </w:rPr>
        <w:t>with</w:t>
      </w:r>
      <w:r>
        <w:rPr>
          <w:color w:val="231F20"/>
          <w:spacing w:val="-3"/>
        </w:rPr>
        <w:t> </w:t>
      </w:r>
      <w:r>
        <w:rPr>
          <w:color w:val="231F20"/>
        </w:rPr>
        <w:t>an</w:t>
      </w:r>
      <w:r>
        <w:rPr>
          <w:color w:val="231F20"/>
          <w:spacing w:val="-4"/>
        </w:rPr>
        <w:t> </w:t>
      </w:r>
      <w:r>
        <w:rPr>
          <w:color w:val="231F20"/>
        </w:rPr>
        <w:t>ABSTUDY</w:t>
      </w:r>
      <w:r>
        <w:rPr/>
      </w:r>
    </w:p>
    <w:p>
      <w:pPr>
        <w:pStyle w:val="BodyText"/>
        <w:spacing w:line="242" w:lineRule="exact"/>
        <w:ind w:right="0"/>
        <w:jc w:val="left"/>
      </w:pPr>
      <w:r>
        <w:rPr>
          <w:color w:val="231F20"/>
        </w:rPr>
        <w:t>application</w:t>
      </w:r>
      <w:r>
        <w:rPr>
          <w:color w:val="231F20"/>
          <w:spacing w:val="-9"/>
        </w:rPr>
        <w:t> </w:t>
      </w:r>
      <w:r>
        <w:rPr>
          <w:color w:val="231F20"/>
        </w:rPr>
        <w:t>or</w:t>
      </w:r>
      <w:r>
        <w:rPr>
          <w:color w:val="231F20"/>
          <w:spacing w:val="-8"/>
        </w:rPr>
        <w:t> </w:t>
      </w:r>
      <w:r>
        <w:rPr>
          <w:color w:val="231F20"/>
        </w:rPr>
        <w:t>payment.</w:t>
      </w:r>
      <w:r>
        <w:rPr>
          <w:color w:val="231F20"/>
          <w:spacing w:val="-9"/>
        </w:rPr>
        <w:t> </w:t>
      </w:r>
      <w:r>
        <w:rPr>
          <w:color w:val="231F20"/>
        </w:rPr>
        <w:t>One</w:t>
      </w:r>
      <w:r>
        <w:rPr>
          <w:color w:val="231F20"/>
          <w:spacing w:val="-9"/>
        </w:rPr>
        <w:t> </w:t>
      </w:r>
      <w:r>
        <w:rPr>
          <w:color w:val="231F20"/>
        </w:rPr>
        <w:t>boarding</w:t>
      </w:r>
      <w:r>
        <w:rPr>
          <w:color w:val="231F20"/>
          <w:spacing w:val="-8"/>
        </w:rPr>
        <w:t> </w:t>
      </w:r>
      <w:r>
        <w:rPr>
          <w:color w:val="231F20"/>
        </w:rPr>
        <w:t>provider</w:t>
      </w:r>
      <w:r>
        <w:rPr/>
      </w:r>
    </w:p>
    <w:p>
      <w:pPr>
        <w:pStyle w:val="BodyText"/>
        <w:spacing w:line="250" w:lineRule="exact" w:before="8"/>
        <w:ind w:right="182"/>
        <w:jc w:val="left"/>
        <w:rPr>
          <w:rFonts w:ascii="Segoe UI Semibold" w:hAnsi="Segoe UI Semibold" w:cs="Segoe UI Semibold" w:eastAsia="Segoe UI Semibold"/>
          <w:sz w:val="11"/>
          <w:szCs w:val="11"/>
        </w:rPr>
      </w:pPr>
      <w:r>
        <w:rPr>
          <w:rFonts w:ascii="Segoe UI"/>
          <w:color w:val="231F20"/>
        </w:rPr>
        <w:t>indicated</w:t>
      </w:r>
      <w:r>
        <w:rPr>
          <w:rFonts w:ascii="Segoe UI"/>
          <w:color w:val="231F20"/>
          <w:spacing w:val="-1"/>
        </w:rPr>
        <w:t> </w:t>
      </w:r>
      <w:r>
        <w:rPr>
          <w:rFonts w:ascii="Segoe UI"/>
          <w:color w:val="231F20"/>
        </w:rPr>
        <w:t>that</w:t>
      </w:r>
      <w:r>
        <w:rPr>
          <w:rFonts w:ascii="Segoe UI"/>
          <w:color w:val="231F20"/>
          <w:spacing w:val="-1"/>
        </w:rPr>
        <w:t> </w:t>
      </w:r>
      <w:r>
        <w:rPr>
          <w:rFonts w:ascii="Segoe UI"/>
          <w:color w:val="231F20"/>
        </w:rPr>
        <w:t>their staff</w:t>
      </w:r>
      <w:r>
        <w:rPr>
          <w:rFonts w:ascii="Segoe UI"/>
          <w:color w:val="231F20"/>
          <w:spacing w:val="-1"/>
        </w:rPr>
        <w:t> </w:t>
      </w:r>
      <w:r>
        <w:rPr>
          <w:rFonts w:ascii="Segoe UI"/>
          <w:color w:val="231F20"/>
        </w:rPr>
        <w:t>sit with</w:t>
      </w:r>
      <w:r>
        <w:rPr>
          <w:rFonts w:ascii="Segoe UI"/>
          <w:color w:val="231F20"/>
          <w:spacing w:val="-1"/>
        </w:rPr>
        <w:t> </w:t>
      </w:r>
      <w:r>
        <w:rPr>
          <w:rFonts w:ascii="Segoe UI"/>
          <w:color w:val="231F20"/>
        </w:rPr>
        <w:t>a parent</w:t>
      </w:r>
      <w:r>
        <w:rPr>
          <w:rFonts w:ascii="Segoe UI"/>
          <w:color w:val="231F20"/>
        </w:rPr>
        <w:t> </w:t>
      </w:r>
      <w:r>
        <w:rPr>
          <w:color w:val="231F20"/>
        </w:rPr>
        <w:t>during</w:t>
      </w:r>
      <w:r>
        <w:rPr>
          <w:color w:val="231F20"/>
          <w:spacing w:val="-7"/>
        </w:rPr>
        <w:t> </w:t>
      </w:r>
      <w:r>
        <w:rPr>
          <w:color w:val="231F20"/>
        </w:rPr>
        <w:t>telephone</w:t>
      </w:r>
      <w:r>
        <w:rPr>
          <w:color w:val="231F20"/>
          <w:spacing w:val="-7"/>
        </w:rPr>
        <w:t> </w:t>
      </w:r>
      <w:r>
        <w:rPr>
          <w:color w:val="231F20"/>
        </w:rPr>
        <w:t>calls</w:t>
      </w:r>
      <w:r>
        <w:rPr>
          <w:color w:val="231F20"/>
          <w:spacing w:val="-6"/>
        </w:rPr>
        <w:t> </w:t>
      </w:r>
      <w:r>
        <w:rPr>
          <w:color w:val="231F20"/>
        </w:rPr>
        <w:t>to</w:t>
      </w:r>
      <w:r>
        <w:rPr>
          <w:color w:val="231F20"/>
          <w:spacing w:val="-6"/>
        </w:rPr>
        <w:t> </w:t>
      </w:r>
      <w:r>
        <w:rPr>
          <w:color w:val="231F20"/>
          <w:spacing w:val="-1"/>
        </w:rPr>
        <w:t>Centrelink</w:t>
      </w:r>
      <w:r>
        <w:rPr>
          <w:color w:val="231F20"/>
          <w:spacing w:val="-6"/>
        </w:rPr>
        <w:t> </w:t>
      </w:r>
      <w:r>
        <w:rPr>
          <w:color w:val="231F20"/>
        </w:rPr>
        <w:t>where</w:t>
      </w:r>
      <w:r>
        <w:rPr>
          <w:color w:val="231F20"/>
          <w:spacing w:val="-6"/>
        </w:rPr>
        <w:t> </w:t>
      </w:r>
      <w:r>
        <w:rPr>
          <w:color w:val="231F20"/>
        </w:rPr>
        <w:t>the</w:t>
      </w:r>
      <w:r>
        <w:rPr>
          <w:color w:val="231F20"/>
          <w:spacing w:val="22"/>
          <w:w w:val="99"/>
        </w:rPr>
        <w:t> </w:t>
      </w:r>
      <w:r>
        <w:rPr>
          <w:rFonts w:ascii="Segoe UI"/>
          <w:color w:val="231F20"/>
        </w:rPr>
        <w:t>parent</w:t>
      </w:r>
      <w:r>
        <w:rPr>
          <w:rFonts w:ascii="Segoe UI"/>
          <w:color w:val="231F20"/>
          <w:spacing w:val="2"/>
        </w:rPr>
        <w:t> </w:t>
      </w:r>
      <w:r>
        <w:rPr>
          <w:rFonts w:ascii="Segoe UI"/>
          <w:color w:val="231F20"/>
        </w:rPr>
        <w:t>has</w:t>
      </w:r>
      <w:r>
        <w:rPr>
          <w:rFonts w:ascii="Segoe UI"/>
          <w:color w:val="231F20"/>
          <w:spacing w:val="3"/>
        </w:rPr>
        <w:t> </w:t>
      </w:r>
      <w:r>
        <w:rPr>
          <w:rFonts w:ascii="Segoe UI"/>
          <w:color w:val="231F20"/>
        </w:rPr>
        <w:t>difficulties</w:t>
      </w:r>
      <w:r>
        <w:rPr>
          <w:rFonts w:ascii="Segoe UI"/>
          <w:color w:val="231F20"/>
          <w:spacing w:val="2"/>
        </w:rPr>
        <w:t> </w:t>
      </w:r>
      <w:r>
        <w:rPr>
          <w:rFonts w:ascii="Segoe UI"/>
          <w:color w:val="231F20"/>
        </w:rPr>
        <w:t>with</w:t>
      </w:r>
      <w:r>
        <w:rPr>
          <w:rFonts w:ascii="Segoe UI"/>
          <w:color w:val="231F20"/>
          <w:spacing w:val="2"/>
        </w:rPr>
        <w:t> </w:t>
      </w:r>
      <w:r>
        <w:rPr>
          <w:rFonts w:ascii="Segoe UI"/>
          <w:color w:val="231F20"/>
          <w:spacing w:val="-1"/>
        </w:rPr>
        <w:t>English.</w:t>
      </w:r>
      <w:r>
        <w:rPr>
          <w:rFonts w:ascii="Segoe UI Semibold"/>
          <w:b/>
          <w:color w:val="231F20"/>
          <w:spacing w:val="-1"/>
          <w:position w:val="7"/>
          <w:sz w:val="11"/>
        </w:rPr>
        <w:t>108</w:t>
      </w:r>
      <w:r>
        <w:rPr>
          <w:rFonts w:ascii="Segoe UI Semibold"/>
          <w:sz w:val="11"/>
        </w:rPr>
      </w:r>
    </w:p>
    <w:p>
      <w:pPr>
        <w:pStyle w:val="BodyText"/>
        <w:spacing w:line="250" w:lineRule="exact" w:before="113"/>
        <w:ind w:right="428"/>
        <w:jc w:val="left"/>
        <w:rPr>
          <w:rFonts w:ascii="Segoe UI" w:hAnsi="Segoe UI" w:cs="Segoe UI" w:eastAsia="Segoe UI"/>
        </w:rPr>
      </w:pPr>
      <w:r>
        <w:rPr>
          <w:color w:val="231F20"/>
          <w:spacing w:val="-1"/>
        </w:rPr>
        <w:t>Centrelink’s</w:t>
      </w:r>
      <w:r>
        <w:rPr>
          <w:color w:val="231F20"/>
          <w:spacing w:val="-2"/>
        </w:rPr>
        <w:t> </w:t>
      </w:r>
      <w:r>
        <w:rPr>
          <w:color w:val="231F20"/>
          <w:spacing w:val="-1"/>
        </w:rPr>
        <w:t>Remote</w:t>
      </w:r>
      <w:r>
        <w:rPr>
          <w:color w:val="231F20"/>
          <w:spacing w:val="-3"/>
        </w:rPr>
        <w:t> </w:t>
      </w:r>
      <w:r>
        <w:rPr>
          <w:color w:val="231F20"/>
          <w:spacing w:val="-1"/>
        </w:rPr>
        <w:t>Serving </w:t>
      </w:r>
      <w:r>
        <w:rPr>
          <w:color w:val="231F20"/>
          <w:spacing w:val="-5"/>
        </w:rPr>
        <w:t>T</w:t>
      </w:r>
      <w:r>
        <w:rPr>
          <w:color w:val="231F20"/>
          <w:spacing w:val="-4"/>
        </w:rPr>
        <w:t>eams</w:t>
      </w:r>
      <w:r>
        <w:rPr>
          <w:color w:val="231F20"/>
          <w:spacing w:val="-3"/>
        </w:rPr>
        <w:t> </w:t>
      </w:r>
      <w:r>
        <w:rPr>
          <w:color w:val="231F20"/>
        </w:rPr>
        <w:t>also</w:t>
      </w:r>
      <w:r>
        <w:rPr>
          <w:color w:val="231F20"/>
          <w:spacing w:val="23"/>
        </w:rPr>
        <w:t> </w:t>
      </w:r>
      <w:r>
        <w:rPr>
          <w:color w:val="231F20"/>
        </w:rPr>
        <w:t>provide</w:t>
      </w:r>
      <w:r>
        <w:rPr>
          <w:color w:val="231F20"/>
          <w:spacing w:val="-6"/>
        </w:rPr>
        <w:t> </w:t>
      </w:r>
      <w:r>
        <w:rPr>
          <w:color w:val="231F20"/>
        </w:rPr>
        <w:t>face-to</w:t>
      </w:r>
      <w:r>
        <w:rPr>
          <w:color w:val="231F20"/>
          <w:spacing w:val="-6"/>
        </w:rPr>
        <w:t> </w:t>
      </w:r>
      <w:r>
        <w:rPr>
          <w:color w:val="231F20"/>
        </w:rPr>
        <w:t>face</w:t>
      </w:r>
      <w:r>
        <w:rPr>
          <w:color w:val="231F20"/>
          <w:spacing w:val="-5"/>
        </w:rPr>
        <w:t> </w:t>
      </w:r>
      <w:r>
        <w:rPr>
          <w:color w:val="231F20"/>
          <w:spacing w:val="-1"/>
        </w:rPr>
        <w:t>support</w:t>
      </w:r>
      <w:r>
        <w:rPr>
          <w:color w:val="231F20"/>
          <w:spacing w:val="-5"/>
        </w:rPr>
        <w:t> </w:t>
      </w:r>
      <w:r>
        <w:rPr>
          <w:color w:val="231F20"/>
        </w:rPr>
        <w:t>to</w:t>
      </w:r>
      <w:r>
        <w:rPr>
          <w:color w:val="231F20"/>
          <w:spacing w:val="-5"/>
        </w:rPr>
        <w:t> </w:t>
      </w:r>
      <w:r>
        <w:rPr>
          <w:color w:val="231F20"/>
        </w:rPr>
        <w:t>families</w:t>
      </w:r>
      <w:r>
        <w:rPr>
          <w:color w:val="231F20"/>
          <w:spacing w:val="22"/>
        </w:rPr>
        <w:t> </w:t>
      </w:r>
      <w:r>
        <w:rPr>
          <w:rFonts w:ascii="Segoe UI" w:hAnsi="Segoe UI" w:cs="Segoe UI" w:eastAsia="Segoe UI"/>
          <w:color w:val="231F20"/>
        </w:rPr>
        <w:t>with ABSTUDY. In the 2016 17 financial year</w:t>
      </w:r>
      <w:r>
        <w:rPr>
          <w:rFonts w:ascii="Segoe UI" w:hAnsi="Segoe UI" w:cs="Segoe UI" w:eastAsia="Segoe UI"/>
        </w:rPr>
      </w:r>
    </w:p>
    <w:p>
      <w:pPr>
        <w:pStyle w:val="BodyText"/>
        <w:spacing w:line="250" w:lineRule="exact"/>
        <w:ind w:right="182"/>
        <w:jc w:val="left"/>
      </w:pPr>
      <w:r>
        <w:rPr>
          <w:color w:val="231F20"/>
          <w:spacing w:val="-1"/>
        </w:rPr>
        <w:t>Centrelink</w:t>
      </w:r>
      <w:r>
        <w:rPr>
          <w:color w:val="231F20"/>
          <w:spacing w:val="-5"/>
        </w:rPr>
        <w:t> </w:t>
      </w:r>
      <w:r>
        <w:rPr>
          <w:color w:val="231F20"/>
        </w:rPr>
        <w:t>reported</w:t>
      </w:r>
      <w:r>
        <w:rPr>
          <w:color w:val="231F20"/>
          <w:spacing w:val="-5"/>
        </w:rPr>
        <w:t> </w:t>
      </w:r>
      <w:r>
        <w:rPr>
          <w:color w:val="231F20"/>
        </w:rPr>
        <w:t>that</w:t>
      </w:r>
      <w:r>
        <w:rPr>
          <w:color w:val="231F20"/>
          <w:spacing w:val="-6"/>
        </w:rPr>
        <w:t> </w:t>
      </w:r>
      <w:r>
        <w:rPr>
          <w:color w:val="231F20"/>
        </w:rPr>
        <w:t>the</w:t>
      </w:r>
      <w:r>
        <w:rPr>
          <w:color w:val="231F20"/>
          <w:spacing w:val="-5"/>
        </w:rPr>
        <w:t> </w:t>
      </w:r>
      <w:r>
        <w:rPr>
          <w:color w:val="231F20"/>
        </w:rPr>
        <w:t>teams</w:t>
      </w:r>
      <w:r>
        <w:rPr>
          <w:color w:val="231F20"/>
          <w:spacing w:val="-5"/>
        </w:rPr>
        <w:t> </w:t>
      </w:r>
      <w:r>
        <w:rPr>
          <w:color w:val="231F20"/>
        </w:rPr>
        <w:t>had</w:t>
      </w:r>
      <w:r>
        <w:rPr>
          <w:color w:val="231F20"/>
          <w:spacing w:val="-5"/>
        </w:rPr>
        <w:t> </w:t>
      </w:r>
      <w:r>
        <w:rPr>
          <w:color w:val="231F20"/>
        </w:rPr>
        <w:t>visited</w:t>
      </w:r>
      <w:r>
        <w:rPr>
          <w:color w:val="231F20"/>
          <w:spacing w:val="22"/>
        </w:rPr>
        <w:t> </w:t>
      </w:r>
      <w:r>
        <w:rPr>
          <w:color w:val="231F20"/>
          <w:spacing w:val="-1"/>
        </w:rPr>
        <w:t>more</w:t>
      </w:r>
      <w:r>
        <w:rPr>
          <w:color w:val="231F20"/>
          <w:spacing w:val="-3"/>
        </w:rPr>
        <w:t> </w:t>
      </w:r>
      <w:r>
        <w:rPr>
          <w:color w:val="231F20"/>
        </w:rPr>
        <w:t>than</w:t>
      </w:r>
      <w:r>
        <w:rPr>
          <w:color w:val="231F20"/>
          <w:spacing w:val="-3"/>
        </w:rPr>
        <w:t> </w:t>
      </w:r>
      <w:r>
        <w:rPr>
          <w:color w:val="231F20"/>
          <w:spacing w:val="-1"/>
        </w:rPr>
        <w:t>300</w:t>
      </w:r>
      <w:r>
        <w:rPr>
          <w:color w:val="231F20"/>
          <w:spacing w:val="-2"/>
        </w:rPr>
        <w:t> </w:t>
      </w:r>
      <w:r>
        <w:rPr>
          <w:color w:val="231F20"/>
        </w:rPr>
        <w:t>communities</w:t>
      </w:r>
      <w:r>
        <w:rPr>
          <w:color w:val="231F20"/>
          <w:spacing w:val="-3"/>
        </w:rPr>
        <w:t> </w:t>
      </w:r>
      <w:r>
        <w:rPr>
          <w:color w:val="231F20"/>
        </w:rPr>
        <w:t>a</w:t>
      </w:r>
      <w:r>
        <w:rPr>
          <w:color w:val="231F20"/>
          <w:spacing w:val="-3"/>
        </w:rPr>
        <w:t> </w:t>
      </w:r>
      <w:r>
        <w:rPr>
          <w:color w:val="231F20"/>
        </w:rPr>
        <w:t>total</w:t>
      </w:r>
      <w:r>
        <w:rPr>
          <w:color w:val="231F20"/>
          <w:spacing w:val="-3"/>
        </w:rPr>
        <w:t> </w:t>
      </w:r>
      <w:r>
        <w:rPr>
          <w:color w:val="231F20"/>
        </w:rPr>
        <w:t>of</w:t>
      </w:r>
      <w:r>
        <w:rPr>
          <w:color w:val="231F20"/>
          <w:spacing w:val="-2"/>
        </w:rPr>
        <w:t> </w:t>
      </w:r>
      <w:r>
        <w:rPr>
          <w:color w:val="231F20"/>
          <w:spacing w:val="-1"/>
        </w:rPr>
        <w:t>1,521</w:t>
      </w:r>
      <w:r>
        <w:rPr>
          <w:color w:val="231F20"/>
          <w:spacing w:val="22"/>
        </w:rPr>
        <w:t> </w:t>
      </w:r>
      <w:r>
        <w:rPr>
          <w:color w:val="231F20"/>
          <w:spacing w:val="-1"/>
        </w:rPr>
        <w:t>times.</w:t>
      </w:r>
      <w:r>
        <w:rPr>
          <w:rFonts w:ascii="Segoe UI Semibold"/>
          <w:b/>
          <w:color w:val="231F20"/>
          <w:spacing w:val="-1"/>
          <w:position w:val="7"/>
          <w:sz w:val="11"/>
        </w:rPr>
        <w:t>109</w:t>
      </w:r>
      <w:r>
        <w:rPr>
          <w:rFonts w:ascii="Segoe UI Semibold"/>
          <w:b/>
          <w:color w:val="231F20"/>
          <w:spacing w:val="23"/>
          <w:position w:val="7"/>
          <w:sz w:val="11"/>
        </w:rPr>
        <w:t> </w:t>
      </w:r>
      <w:r>
        <w:rPr>
          <w:color w:val="231F20"/>
        </w:rPr>
        <w:t>The agency</w:t>
      </w:r>
      <w:r>
        <w:rPr>
          <w:color w:val="231F20"/>
          <w:spacing w:val="-2"/>
        </w:rPr>
        <w:t> </w:t>
      </w:r>
      <w:r>
        <w:rPr>
          <w:color w:val="231F20"/>
        </w:rPr>
        <w:t>also</w:t>
      </w:r>
      <w:r>
        <w:rPr>
          <w:color w:val="231F20"/>
          <w:spacing w:val="-1"/>
        </w:rPr>
        <w:t> </w:t>
      </w:r>
      <w:r>
        <w:rPr>
          <w:color w:val="231F20"/>
        </w:rPr>
        <w:t>uses</w:t>
      </w:r>
      <w:r>
        <w:rPr>
          <w:color w:val="231F20"/>
          <w:spacing w:val="-2"/>
        </w:rPr>
        <w:t> </w:t>
      </w:r>
      <w:r>
        <w:rPr>
          <w:color w:val="231F20"/>
          <w:spacing w:val="-1"/>
        </w:rPr>
        <w:t>Remote </w:t>
      </w:r>
      <w:r>
        <w:rPr>
          <w:color w:val="231F20"/>
        </w:rPr>
        <w:t>and</w:t>
      </w:r>
      <w:r>
        <w:rPr>
          <w:color w:val="231F20"/>
          <w:spacing w:val="26"/>
          <w:w w:val="99"/>
        </w:rPr>
        <w:t> </w:t>
      </w:r>
      <w:r>
        <w:rPr>
          <w:color w:val="231F20"/>
        </w:rPr>
        <w:t>ABSTUDY</w:t>
      </w:r>
      <w:r>
        <w:rPr>
          <w:color w:val="231F20"/>
          <w:spacing w:val="-6"/>
        </w:rPr>
        <w:t> </w:t>
      </w:r>
      <w:r>
        <w:rPr>
          <w:color w:val="231F20"/>
          <w:spacing w:val="-1"/>
        </w:rPr>
        <w:t>Smart</w:t>
      </w:r>
      <w:r>
        <w:rPr>
          <w:color w:val="231F20"/>
          <w:spacing w:val="-5"/>
        </w:rPr>
        <w:t> </w:t>
      </w:r>
      <w:r>
        <w:rPr>
          <w:color w:val="231F20"/>
          <w:spacing w:val="-1"/>
        </w:rPr>
        <w:t>Centres</w:t>
      </w:r>
      <w:r>
        <w:rPr>
          <w:color w:val="231F20"/>
          <w:spacing w:val="-5"/>
        </w:rPr>
        <w:t> </w:t>
      </w:r>
      <w:r>
        <w:rPr>
          <w:color w:val="231F20"/>
        </w:rPr>
        <w:t>to</w:t>
      </w:r>
      <w:r>
        <w:rPr>
          <w:color w:val="231F20"/>
          <w:spacing w:val="-5"/>
        </w:rPr>
        <w:t> </w:t>
      </w:r>
      <w:r>
        <w:rPr>
          <w:color w:val="231F20"/>
        </w:rPr>
        <w:t>reduce</w:t>
      </w:r>
      <w:r>
        <w:rPr>
          <w:color w:val="231F20"/>
          <w:spacing w:val="-6"/>
        </w:rPr>
        <w:t> </w:t>
      </w:r>
      <w:r>
        <w:rPr>
          <w:color w:val="231F20"/>
        </w:rPr>
        <w:t>barriers</w:t>
      </w:r>
      <w:r>
        <w:rPr>
          <w:color w:val="231F20"/>
          <w:spacing w:val="-5"/>
        </w:rPr>
        <w:t> </w:t>
      </w:r>
      <w:r>
        <w:rPr>
          <w:color w:val="231F20"/>
        </w:rPr>
        <w:t>for</w:t>
      </w:r>
      <w:r>
        <w:rPr>
          <w:color w:val="231F20"/>
          <w:spacing w:val="23"/>
          <w:w w:val="99"/>
        </w:rPr>
        <w:t> </w:t>
      </w:r>
      <w:r>
        <w:rPr>
          <w:color w:val="231F20"/>
        </w:rPr>
        <w:t>Aboriginal</w:t>
      </w:r>
      <w:r>
        <w:rPr>
          <w:color w:val="231F20"/>
          <w:spacing w:val="-5"/>
        </w:rPr>
        <w:t> </w:t>
      </w:r>
      <w:r>
        <w:rPr>
          <w:color w:val="231F20"/>
        </w:rPr>
        <w:t>and</w:t>
      </w:r>
      <w:r>
        <w:rPr>
          <w:color w:val="231F20"/>
          <w:spacing w:val="-6"/>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4"/>
        </w:rPr>
        <w:t> </w:t>
      </w:r>
      <w:r>
        <w:rPr>
          <w:color w:val="231F20"/>
        </w:rPr>
        <w:t>people</w:t>
      </w:r>
      <w:r>
        <w:rPr>
          <w:color w:val="231F20"/>
          <w:spacing w:val="-6"/>
        </w:rPr>
        <w:t> </w:t>
      </w:r>
      <w:r>
        <w:rPr>
          <w:color w:val="231F20"/>
          <w:spacing w:val="-1"/>
        </w:rPr>
        <w:t>in</w:t>
      </w:r>
      <w:r>
        <w:rPr>
          <w:color w:val="231F20"/>
          <w:spacing w:val="20"/>
        </w:rPr>
        <w:t> </w:t>
      </w:r>
      <w:r>
        <w:rPr>
          <w:color w:val="231F20"/>
        </w:rPr>
        <w:t>remote</w:t>
      </w:r>
      <w:r>
        <w:rPr>
          <w:color w:val="231F20"/>
          <w:spacing w:val="-6"/>
        </w:rPr>
        <w:t> </w:t>
      </w:r>
      <w:r>
        <w:rPr>
          <w:color w:val="231F20"/>
        </w:rPr>
        <w:t>and</w:t>
      </w:r>
      <w:r>
        <w:rPr>
          <w:color w:val="231F20"/>
          <w:spacing w:val="-6"/>
        </w:rPr>
        <w:t> </w:t>
      </w:r>
      <w:r>
        <w:rPr>
          <w:color w:val="231F20"/>
        </w:rPr>
        <w:t>very</w:t>
      </w:r>
      <w:r>
        <w:rPr>
          <w:color w:val="231F20"/>
          <w:spacing w:val="-5"/>
        </w:rPr>
        <w:t> </w:t>
      </w:r>
      <w:r>
        <w:rPr>
          <w:color w:val="231F20"/>
        </w:rPr>
        <w:t>remote</w:t>
      </w:r>
      <w:r>
        <w:rPr>
          <w:color w:val="231F20"/>
          <w:spacing w:val="-6"/>
        </w:rPr>
        <w:t> </w:t>
      </w:r>
      <w:r>
        <w:rPr>
          <w:color w:val="231F20"/>
        </w:rPr>
        <w:t>communities.</w:t>
      </w:r>
      <w:r>
        <w:rPr/>
      </w:r>
    </w:p>
    <w:p>
      <w:pPr>
        <w:pStyle w:val="BodyText"/>
        <w:spacing w:line="250" w:lineRule="exact" w:before="113"/>
        <w:ind w:right="182"/>
        <w:jc w:val="left"/>
      </w:pPr>
      <w:r>
        <w:rPr>
          <w:color w:val="231F20"/>
        </w:rPr>
        <w:t>However,</w:t>
      </w:r>
      <w:r>
        <w:rPr>
          <w:color w:val="231F20"/>
          <w:spacing w:val="-10"/>
        </w:rPr>
        <w:t> </w:t>
      </w:r>
      <w:r>
        <w:rPr>
          <w:color w:val="231F20"/>
        </w:rPr>
        <w:t>boarding</w:t>
      </w:r>
      <w:r>
        <w:rPr>
          <w:color w:val="231F20"/>
          <w:spacing w:val="-10"/>
        </w:rPr>
        <w:t> </w:t>
      </w:r>
      <w:r>
        <w:rPr>
          <w:color w:val="231F20"/>
        </w:rPr>
        <w:t>providers</w:t>
      </w:r>
      <w:r>
        <w:rPr>
          <w:color w:val="231F20"/>
          <w:spacing w:val="-11"/>
        </w:rPr>
        <w:t> </w:t>
      </w:r>
      <w:r>
        <w:rPr>
          <w:color w:val="231F20"/>
        </w:rPr>
        <w:t>raised</w:t>
      </w:r>
      <w:r>
        <w:rPr>
          <w:color w:val="231F20"/>
          <w:spacing w:val="-10"/>
        </w:rPr>
        <w:t> </w:t>
      </w:r>
      <w:r>
        <w:rPr>
          <w:color w:val="231F20"/>
        </w:rPr>
        <w:t>concerns</w:t>
      </w:r>
      <w:r>
        <w:rPr>
          <w:color w:val="231F20"/>
          <w:w w:val="99"/>
        </w:rPr>
        <w:t> </w:t>
      </w:r>
      <w:r>
        <w:rPr>
          <w:rFonts w:ascii="Segoe UI"/>
          <w:color w:val="231F20"/>
        </w:rPr>
        <w:t>that many of the issues identified regarding</w:t>
      </w:r>
      <w:r>
        <w:rPr>
          <w:rFonts w:ascii="Segoe UI"/>
          <w:color w:val="231F20"/>
        </w:rPr>
        <w:t> </w:t>
      </w:r>
      <w:r>
        <w:rPr>
          <w:color w:val="231F20"/>
        </w:rPr>
        <w:t>ABSTUDY</w:t>
      </w:r>
      <w:r>
        <w:rPr>
          <w:color w:val="231F20"/>
          <w:spacing w:val="-5"/>
        </w:rPr>
        <w:t> </w:t>
      </w:r>
      <w:r>
        <w:rPr>
          <w:color w:val="231F20"/>
          <w:spacing w:val="-1"/>
        </w:rPr>
        <w:t>in</w:t>
      </w:r>
      <w:r>
        <w:rPr>
          <w:color w:val="231F20"/>
          <w:spacing w:val="-4"/>
        </w:rPr>
        <w:t> </w:t>
      </w:r>
      <w:r>
        <w:rPr>
          <w:color w:val="231F20"/>
        </w:rPr>
        <w:t>previous</w:t>
      </w:r>
      <w:r>
        <w:rPr>
          <w:color w:val="231F20"/>
          <w:spacing w:val="-5"/>
        </w:rPr>
        <w:t> </w:t>
      </w:r>
      <w:r>
        <w:rPr>
          <w:color w:val="231F20"/>
        </w:rPr>
        <w:t>reviews</w:t>
      </w:r>
      <w:r>
        <w:rPr>
          <w:color w:val="231F20"/>
          <w:spacing w:val="-5"/>
        </w:rPr>
        <w:t> </w:t>
      </w:r>
      <w:r>
        <w:rPr>
          <w:color w:val="231F20"/>
        </w:rPr>
        <w:t>and</w:t>
      </w:r>
      <w:r>
        <w:rPr>
          <w:color w:val="231F20"/>
          <w:spacing w:val="-5"/>
        </w:rPr>
        <w:t> </w:t>
      </w:r>
      <w:r>
        <w:rPr>
          <w:color w:val="231F20"/>
        </w:rPr>
        <w:t>reports</w:t>
      </w:r>
      <w:r>
        <w:rPr>
          <w:color w:val="231F20"/>
          <w:spacing w:val="-5"/>
        </w:rPr>
        <w:t> </w:t>
      </w:r>
      <w:r>
        <w:rPr>
          <w:color w:val="231F20"/>
          <w:spacing w:val="-1"/>
        </w:rPr>
        <w:t>still</w:t>
      </w:r>
      <w:r>
        <w:rPr>
          <w:color w:val="231F20"/>
          <w:spacing w:val="21"/>
        </w:rPr>
        <w:t> </w:t>
      </w:r>
      <w:r>
        <w:rPr>
          <w:color w:val="231F20"/>
        </w:rPr>
        <w:t>remain</w:t>
      </w:r>
      <w:r>
        <w:rPr>
          <w:color w:val="231F20"/>
          <w:spacing w:val="-7"/>
        </w:rPr>
        <w:t> </w:t>
      </w:r>
      <w:r>
        <w:rPr>
          <w:color w:val="231F20"/>
        </w:rPr>
        <w:t>unresolved</w:t>
      </w:r>
      <w:r>
        <w:rPr>
          <w:color w:val="231F20"/>
          <w:spacing w:val="-6"/>
        </w:rPr>
        <w:t> </w:t>
      </w:r>
      <w:r>
        <w:rPr>
          <w:color w:val="231F20"/>
        </w:rPr>
        <w:t>and</w:t>
      </w:r>
      <w:r>
        <w:rPr>
          <w:color w:val="231F20"/>
          <w:spacing w:val="-6"/>
        </w:rPr>
        <w:t> </w:t>
      </w:r>
      <w:r>
        <w:rPr>
          <w:color w:val="231F20"/>
        </w:rPr>
        <w:t>this</w:t>
      </w:r>
      <w:r>
        <w:rPr>
          <w:color w:val="231F20"/>
          <w:spacing w:val="-6"/>
        </w:rPr>
        <w:t> </w:t>
      </w:r>
      <w:r>
        <w:rPr>
          <w:color w:val="231F20"/>
          <w:spacing w:val="-1"/>
        </w:rPr>
        <w:t>is</w:t>
      </w:r>
      <w:r>
        <w:rPr>
          <w:color w:val="231F20"/>
          <w:spacing w:val="-6"/>
        </w:rPr>
        <w:t> </w:t>
      </w:r>
      <w:r>
        <w:rPr>
          <w:color w:val="231F20"/>
          <w:spacing w:val="-1"/>
        </w:rPr>
        <w:t>impacting</w:t>
      </w:r>
      <w:r>
        <w:rPr>
          <w:color w:val="231F20"/>
          <w:spacing w:val="-5"/>
        </w:rPr>
        <w:t> </w:t>
      </w:r>
      <w:r>
        <w:rPr>
          <w:color w:val="231F20"/>
        </w:rPr>
        <w:t>on</w:t>
      </w:r>
      <w:r>
        <w:rPr>
          <w:color w:val="231F20"/>
          <w:spacing w:val="23"/>
          <w:w w:val="99"/>
        </w:rPr>
        <w:t> </w:t>
      </w:r>
      <w:r>
        <w:rPr>
          <w:rFonts w:ascii="Segoe UI"/>
          <w:color w:val="231F20"/>
        </w:rPr>
        <w:t>their</w:t>
      </w:r>
      <w:r>
        <w:rPr>
          <w:rFonts w:ascii="Segoe UI"/>
          <w:color w:val="231F20"/>
          <w:spacing w:val="-2"/>
        </w:rPr>
        <w:t> </w:t>
      </w:r>
      <w:r>
        <w:rPr>
          <w:rFonts w:ascii="Segoe UI"/>
          <w:color w:val="231F20"/>
        </w:rPr>
        <w:t>operations,</w:t>
      </w:r>
      <w:r>
        <w:rPr>
          <w:rFonts w:ascii="Segoe UI"/>
          <w:color w:val="231F20"/>
          <w:spacing w:val="-1"/>
        </w:rPr>
        <w:t> </w:t>
      </w:r>
      <w:r>
        <w:rPr>
          <w:rFonts w:ascii="Segoe UI"/>
          <w:color w:val="231F20"/>
        </w:rPr>
        <w:t>and</w:t>
      </w:r>
      <w:r>
        <w:rPr>
          <w:rFonts w:ascii="Segoe UI"/>
          <w:color w:val="231F20"/>
          <w:spacing w:val="-1"/>
        </w:rPr>
        <w:t> </w:t>
      </w:r>
      <w:r>
        <w:rPr>
          <w:rFonts w:ascii="Segoe UI"/>
          <w:color w:val="231F20"/>
        </w:rPr>
        <w:t>in</w:t>
      </w:r>
      <w:r>
        <w:rPr>
          <w:rFonts w:ascii="Segoe UI"/>
          <w:color w:val="231F20"/>
          <w:spacing w:val="-2"/>
        </w:rPr>
        <w:t> </w:t>
      </w:r>
      <w:r>
        <w:rPr>
          <w:rFonts w:ascii="Segoe UI"/>
          <w:color w:val="231F20"/>
        </w:rPr>
        <w:t>some</w:t>
      </w:r>
      <w:r>
        <w:rPr>
          <w:rFonts w:ascii="Segoe UI"/>
          <w:color w:val="231F20"/>
          <w:spacing w:val="-1"/>
        </w:rPr>
        <w:t> </w:t>
      </w:r>
      <w:r>
        <w:rPr>
          <w:rFonts w:ascii="Segoe UI"/>
          <w:color w:val="231F20"/>
        </w:rPr>
        <w:t>cases</w:t>
      </w:r>
      <w:r>
        <w:rPr>
          <w:rFonts w:ascii="Segoe UI"/>
          <w:color w:val="231F20"/>
          <w:spacing w:val="-1"/>
        </w:rPr>
        <w:t> </w:t>
      </w:r>
      <w:r>
        <w:rPr>
          <w:rFonts w:ascii="Segoe UI"/>
          <w:color w:val="231F20"/>
        </w:rPr>
        <w:t>affecting</w:t>
      </w:r>
      <w:r>
        <w:rPr>
          <w:rFonts w:ascii="Segoe UI"/>
          <w:color w:val="231F20"/>
          <w:w w:val="99"/>
        </w:rPr>
        <w:t> </w:t>
      </w:r>
      <w:r>
        <w:rPr>
          <w:color w:val="231F20"/>
        </w:rPr>
        <w:t>the</w:t>
      </w:r>
      <w:r>
        <w:rPr>
          <w:color w:val="231F20"/>
          <w:spacing w:val="-6"/>
        </w:rPr>
        <w:t> </w:t>
      </w:r>
      <w:r>
        <w:rPr>
          <w:color w:val="231F20"/>
        </w:rPr>
        <w:t>viability</w:t>
      </w:r>
      <w:r>
        <w:rPr>
          <w:color w:val="231F20"/>
          <w:spacing w:val="-5"/>
        </w:rPr>
        <w:t> </w:t>
      </w:r>
      <w:r>
        <w:rPr>
          <w:color w:val="231F20"/>
        </w:rPr>
        <w:t>of</w:t>
      </w:r>
      <w:r>
        <w:rPr>
          <w:color w:val="231F20"/>
          <w:spacing w:val="-4"/>
        </w:rPr>
        <w:t> </w:t>
      </w:r>
      <w:r>
        <w:rPr>
          <w:color w:val="231F20"/>
        </w:rPr>
        <w:t>the</w:t>
      </w:r>
      <w:r>
        <w:rPr>
          <w:color w:val="231F20"/>
          <w:spacing w:val="-5"/>
        </w:rPr>
        <w:t> </w:t>
      </w:r>
      <w:r>
        <w:rPr>
          <w:color w:val="231F20"/>
        </w:rPr>
        <w:t>boarding</w:t>
      </w:r>
      <w:r>
        <w:rPr>
          <w:color w:val="231F20"/>
          <w:spacing w:val="-6"/>
        </w:rPr>
        <w:t> </w:t>
      </w:r>
      <w:r>
        <w:rPr>
          <w:color w:val="231F20"/>
        </w:rPr>
        <w:t>operations.</w:t>
      </w:r>
      <w:r>
        <w:rPr>
          <w:color w:val="231F20"/>
          <w:spacing w:val="-5"/>
        </w:rPr>
        <w:t> </w:t>
      </w:r>
      <w:r>
        <w:rPr>
          <w:color w:val="231F20"/>
          <w:spacing w:val="-1"/>
        </w:rPr>
        <w:t>With</w:t>
      </w:r>
      <w:r>
        <w:rPr>
          <w:color w:val="231F20"/>
          <w:spacing w:val="19"/>
        </w:rPr>
        <w:t> </w:t>
      </w:r>
      <w:r>
        <w:rPr>
          <w:color w:val="231F20"/>
        </w:rPr>
        <w:t>the</w:t>
      </w:r>
      <w:r>
        <w:rPr>
          <w:color w:val="231F20"/>
          <w:spacing w:val="-8"/>
        </w:rPr>
        <w:t> </w:t>
      </w:r>
      <w:r>
        <w:rPr>
          <w:color w:val="231F20"/>
        </w:rPr>
        <w:t>exception</w:t>
      </w:r>
      <w:r>
        <w:rPr>
          <w:color w:val="231F20"/>
          <w:spacing w:val="-8"/>
        </w:rPr>
        <w:t> </w:t>
      </w:r>
      <w:r>
        <w:rPr>
          <w:color w:val="231F20"/>
        </w:rPr>
        <w:t>of</w:t>
      </w:r>
      <w:r>
        <w:rPr>
          <w:color w:val="231F20"/>
          <w:spacing w:val="-6"/>
        </w:rPr>
        <w:t> </w:t>
      </w:r>
      <w:r>
        <w:rPr>
          <w:color w:val="231F20"/>
        </w:rPr>
        <w:t>two</w:t>
      </w:r>
      <w:r>
        <w:rPr>
          <w:color w:val="231F20"/>
          <w:spacing w:val="-7"/>
        </w:rPr>
        <w:t> </w:t>
      </w:r>
      <w:r>
        <w:rPr>
          <w:color w:val="231F20"/>
        </w:rPr>
        <w:t>boarding</w:t>
      </w:r>
      <w:r>
        <w:rPr>
          <w:color w:val="231F20"/>
          <w:spacing w:val="-8"/>
        </w:rPr>
        <w:t> </w:t>
      </w:r>
      <w:r>
        <w:rPr>
          <w:color w:val="231F20"/>
        </w:rPr>
        <w:t>providers,</w:t>
      </w:r>
      <w:r>
        <w:rPr>
          <w:color w:val="231F20"/>
          <w:w w:val="99"/>
        </w:rPr>
        <w:t> </w:t>
      </w:r>
      <w:r>
        <w:rPr>
          <w:color w:val="231F20"/>
        </w:rPr>
        <w:t>boarding</w:t>
      </w:r>
      <w:r>
        <w:rPr>
          <w:color w:val="231F20"/>
          <w:spacing w:val="-8"/>
        </w:rPr>
        <w:t> </w:t>
      </w:r>
      <w:r>
        <w:rPr>
          <w:color w:val="231F20"/>
        </w:rPr>
        <w:t>providers</w:t>
      </w:r>
      <w:r>
        <w:rPr>
          <w:color w:val="231F20"/>
          <w:spacing w:val="-7"/>
        </w:rPr>
        <w:t> </w:t>
      </w:r>
      <w:r>
        <w:rPr>
          <w:color w:val="231F20"/>
        </w:rPr>
        <w:t>and</w:t>
      </w:r>
      <w:r>
        <w:rPr>
          <w:color w:val="231F20"/>
          <w:spacing w:val="-8"/>
        </w:rPr>
        <w:t> </w:t>
      </w:r>
      <w:r>
        <w:rPr>
          <w:color w:val="231F20"/>
        </w:rPr>
        <w:t>peak</w:t>
      </w:r>
      <w:r>
        <w:rPr>
          <w:color w:val="231F20"/>
          <w:spacing w:val="-7"/>
        </w:rPr>
        <w:t> </w:t>
      </w:r>
      <w:r>
        <w:rPr>
          <w:color w:val="231F20"/>
        </w:rPr>
        <w:t>bodies</w:t>
      </w:r>
      <w:r>
        <w:rPr>
          <w:color w:val="231F20"/>
          <w:spacing w:val="-8"/>
        </w:rPr>
        <w:t> </w:t>
      </w:r>
      <w:r>
        <w:rPr>
          <w:color w:val="231F20"/>
        </w:rPr>
        <w:t>consulted</w:t>
      </w:r>
      <w:r>
        <w:rPr>
          <w:color w:val="231F20"/>
          <w:w w:val="99"/>
        </w:rPr>
        <w:t> </w:t>
      </w:r>
      <w:r>
        <w:rPr>
          <w:color w:val="231F20"/>
          <w:spacing w:val="-1"/>
        </w:rPr>
        <w:t>indicated</w:t>
      </w:r>
      <w:r>
        <w:rPr>
          <w:color w:val="231F20"/>
          <w:spacing w:val="-8"/>
        </w:rPr>
        <w:t> </w:t>
      </w:r>
      <w:r>
        <w:rPr>
          <w:color w:val="231F20"/>
        </w:rPr>
        <w:t>that</w:t>
      </w:r>
      <w:r>
        <w:rPr>
          <w:color w:val="231F20"/>
          <w:spacing w:val="-8"/>
        </w:rPr>
        <w:t> </w:t>
      </w:r>
      <w:r>
        <w:rPr>
          <w:color w:val="231F20"/>
        </w:rPr>
        <w:t>the</w:t>
      </w:r>
      <w:r>
        <w:rPr>
          <w:color w:val="231F20"/>
          <w:spacing w:val="-8"/>
        </w:rPr>
        <w:t> </w:t>
      </w:r>
      <w:r>
        <w:rPr>
          <w:color w:val="231F20"/>
        </w:rPr>
        <w:t>current</w:t>
      </w:r>
      <w:r>
        <w:rPr>
          <w:color w:val="231F20"/>
          <w:spacing w:val="-7"/>
        </w:rPr>
        <w:t> </w:t>
      </w:r>
      <w:r>
        <w:rPr>
          <w:color w:val="231F20"/>
        </w:rPr>
        <w:t>administration</w:t>
      </w:r>
      <w:r>
        <w:rPr>
          <w:color w:val="231F20"/>
          <w:spacing w:val="-9"/>
        </w:rPr>
        <w:t> </w:t>
      </w:r>
      <w:r>
        <w:rPr>
          <w:color w:val="231F20"/>
        </w:rPr>
        <w:t>of</w:t>
      </w:r>
      <w:r>
        <w:rPr>
          <w:color w:val="231F20"/>
          <w:spacing w:val="22"/>
          <w:w w:val="99"/>
        </w:rPr>
        <w:t> </w:t>
      </w:r>
      <w:r>
        <w:rPr>
          <w:color w:val="231F20"/>
        </w:rPr>
        <w:t>ABSTUDY</w:t>
      </w:r>
      <w:r>
        <w:rPr>
          <w:color w:val="231F20"/>
          <w:spacing w:val="-6"/>
        </w:rPr>
        <w:t> </w:t>
      </w:r>
      <w:r>
        <w:rPr>
          <w:color w:val="231F20"/>
          <w:spacing w:val="-1"/>
        </w:rPr>
        <w:t>impacts</w:t>
      </w:r>
      <w:r>
        <w:rPr>
          <w:color w:val="231F20"/>
          <w:spacing w:val="-4"/>
        </w:rPr>
        <w:t> </w:t>
      </w:r>
      <w:r>
        <w:rPr>
          <w:color w:val="231F20"/>
        </w:rPr>
        <w:t>negatively</w:t>
      </w:r>
      <w:r>
        <w:rPr>
          <w:color w:val="231F20"/>
          <w:spacing w:val="-5"/>
        </w:rPr>
        <w:t> </w:t>
      </w:r>
      <w:r>
        <w:rPr>
          <w:color w:val="231F20"/>
        </w:rPr>
        <w:t>on</w:t>
      </w:r>
      <w:r>
        <w:rPr>
          <w:color w:val="231F20"/>
          <w:spacing w:val="-4"/>
        </w:rPr>
        <w:t> </w:t>
      </w:r>
      <w:r>
        <w:rPr>
          <w:color w:val="231F20"/>
        </w:rPr>
        <w:t>the</w:t>
      </w:r>
      <w:r>
        <w:rPr>
          <w:color w:val="231F20"/>
          <w:spacing w:val="-6"/>
        </w:rPr>
        <w:t> </w:t>
      </w:r>
      <w:r>
        <w:rPr>
          <w:color w:val="231F20"/>
        </w:rPr>
        <w:t>revenue</w:t>
      </w:r>
      <w:r>
        <w:rPr>
          <w:color w:val="231F20"/>
          <w:spacing w:val="22"/>
          <w:w w:val="99"/>
        </w:rPr>
        <w:t> </w:t>
      </w:r>
      <w:r>
        <w:rPr>
          <w:rFonts w:ascii="Segoe UI"/>
          <w:color w:val="231F20"/>
        </w:rPr>
        <w:t>and costs of boarding, and significant</w:t>
      </w:r>
      <w:r>
        <w:rPr>
          <w:rFonts w:ascii="Segoe UI"/>
          <w:color w:val="231F20"/>
        </w:rPr>
        <w:t> efficiencies could be delivered for boarding </w:t>
      </w:r>
      <w:r>
        <w:rPr>
          <w:color w:val="231F20"/>
        </w:rPr>
        <w:t>providers</w:t>
      </w:r>
      <w:r>
        <w:rPr>
          <w:color w:val="231F20"/>
          <w:spacing w:val="-7"/>
        </w:rPr>
        <w:t> </w:t>
      </w:r>
      <w:r>
        <w:rPr>
          <w:color w:val="231F20"/>
        </w:rPr>
        <w:t>with</w:t>
      </w:r>
      <w:r>
        <w:rPr>
          <w:color w:val="231F20"/>
          <w:spacing w:val="-7"/>
        </w:rPr>
        <w:t> </w:t>
      </w:r>
      <w:r>
        <w:rPr>
          <w:color w:val="231F20"/>
        </w:rPr>
        <w:t>further</w:t>
      </w:r>
      <w:r>
        <w:rPr>
          <w:color w:val="231F20"/>
          <w:spacing w:val="-6"/>
        </w:rPr>
        <w:t> </w:t>
      </w:r>
      <w:r>
        <w:rPr>
          <w:color w:val="231F20"/>
        </w:rPr>
        <w:t>reforms</w:t>
      </w:r>
      <w:r>
        <w:rPr>
          <w:color w:val="231F20"/>
          <w:spacing w:val="-7"/>
        </w:rPr>
        <w:t> </w:t>
      </w:r>
      <w:r>
        <w:rPr>
          <w:color w:val="231F20"/>
        </w:rPr>
        <w:t>to</w:t>
      </w:r>
      <w:r>
        <w:rPr>
          <w:color w:val="231F20"/>
          <w:spacing w:val="-6"/>
        </w:rPr>
        <w:t> </w:t>
      </w:r>
      <w:r>
        <w:rPr>
          <w:color w:val="231F20"/>
        </w:rPr>
        <w:t>the</w:t>
      </w:r>
      <w:r>
        <w:rPr>
          <w:color w:val="231F20"/>
          <w:w w:val="99"/>
        </w:rPr>
        <w:t> </w:t>
      </w:r>
      <w:r>
        <w:rPr>
          <w:color w:val="231F20"/>
        </w:rPr>
        <w:t>administration</w:t>
      </w:r>
      <w:r>
        <w:rPr>
          <w:color w:val="231F20"/>
          <w:spacing w:val="-10"/>
        </w:rPr>
        <w:t> </w:t>
      </w:r>
      <w:r>
        <w:rPr>
          <w:color w:val="231F20"/>
        </w:rPr>
        <w:t>of</w:t>
      </w:r>
      <w:r>
        <w:rPr>
          <w:color w:val="231F20"/>
          <w:spacing w:val="-7"/>
        </w:rPr>
        <w:t> </w:t>
      </w:r>
      <w:r>
        <w:rPr>
          <w:color w:val="231F20"/>
        </w:rPr>
        <w:t>ABSTUDY.</w:t>
      </w:r>
      <w:r>
        <w:rPr/>
      </w:r>
    </w:p>
    <w:p>
      <w:pPr>
        <w:spacing w:after="0" w:line="250" w:lineRule="exact"/>
        <w:jc w:val="left"/>
        <w:sectPr>
          <w:type w:val="continuous"/>
          <w:pgSz w:w="11910" w:h="16840"/>
          <w:pgMar w:top="1580" w:bottom="280" w:left="1300" w:right="1620"/>
          <w:cols w:num="2" w:equalWidth="0">
            <w:col w:w="4341" w:space="251"/>
            <w:col w:w="4398"/>
          </w:cols>
        </w:sectPr>
      </w:pPr>
    </w:p>
    <w:p>
      <w:pPr>
        <w:spacing w:line="240" w:lineRule="auto" w:before="0"/>
        <w:rPr>
          <w:rFonts w:ascii="Segoe UI" w:hAnsi="Segoe UI" w:cs="Segoe UI" w:eastAsia="Segoe UI"/>
          <w:sz w:val="20"/>
          <w:szCs w:val="20"/>
        </w:rPr>
      </w:pPr>
    </w:p>
    <w:p>
      <w:pPr>
        <w:spacing w:line="240" w:lineRule="auto" w:before="1"/>
        <w:rPr>
          <w:rFonts w:ascii="Segoe UI" w:hAnsi="Segoe UI" w:cs="Segoe UI" w:eastAsia="Segoe UI"/>
          <w:sz w:val="21"/>
          <w:szCs w:val="21"/>
        </w:rPr>
      </w:pPr>
    </w:p>
    <w:p>
      <w:pPr>
        <w:spacing w:after="0" w:line="240" w:lineRule="auto"/>
        <w:rPr>
          <w:rFonts w:ascii="Segoe UI" w:hAnsi="Segoe UI" w:cs="Segoe UI" w:eastAsia="Segoe UI"/>
          <w:sz w:val="21"/>
          <w:szCs w:val="21"/>
        </w:rPr>
        <w:sectPr>
          <w:pgSz w:w="11910" w:h="16840"/>
          <w:pgMar w:header="0" w:footer="691" w:top="1580" w:bottom="880" w:left="1600" w:right="1300"/>
        </w:sectPr>
      </w:pPr>
    </w:p>
    <w:p>
      <w:pPr>
        <w:pStyle w:val="Heading3"/>
        <w:spacing w:line="300" w:lineRule="exact" w:before="87"/>
        <w:ind w:left="100" w:right="59"/>
        <w:jc w:val="left"/>
      </w:pPr>
      <w:r>
        <w:rPr>
          <w:b/>
          <w:bCs/>
          <w:color w:val="00779B"/>
          <w:spacing w:val="-3"/>
        </w:rPr>
        <w:t>Fares</w:t>
      </w:r>
      <w:r>
        <w:rPr>
          <w:b/>
          <w:bCs/>
          <w:color w:val="00779B"/>
        </w:rPr>
        <w:t> allowance—ABSTUDY</w:t>
      </w:r>
      <w:r>
        <w:rPr>
          <w:b/>
          <w:bCs/>
          <w:color w:val="00779B"/>
          <w:spacing w:val="21"/>
        </w:rPr>
        <w:t> </w:t>
      </w:r>
      <w:r>
        <w:rPr>
          <w:b/>
          <w:bCs/>
          <w:color w:val="00779B"/>
          <w:spacing w:val="-2"/>
        </w:rPr>
        <w:t>travel</w:t>
      </w:r>
      <w:r>
        <w:rPr/>
      </w:r>
    </w:p>
    <w:p>
      <w:pPr>
        <w:pStyle w:val="BodyText"/>
        <w:spacing w:line="250" w:lineRule="exact" w:before="75"/>
        <w:ind w:left="100" w:right="336"/>
        <w:jc w:val="left"/>
      </w:pPr>
      <w:r>
        <w:rPr>
          <w:color w:val="231F20"/>
        </w:rPr>
        <w:t>ABSTUDY</w:t>
      </w:r>
      <w:r>
        <w:rPr>
          <w:color w:val="231F20"/>
          <w:spacing w:val="-5"/>
        </w:rPr>
        <w:t> </w:t>
      </w:r>
      <w:r>
        <w:rPr>
          <w:color w:val="231F20"/>
        </w:rPr>
        <w:t>funds</w:t>
      </w:r>
      <w:r>
        <w:rPr>
          <w:color w:val="231F20"/>
          <w:spacing w:val="-5"/>
        </w:rPr>
        <w:t> </w:t>
      </w:r>
      <w:r>
        <w:rPr>
          <w:color w:val="231F20"/>
        </w:rPr>
        <w:t>the</w:t>
      </w:r>
      <w:r>
        <w:rPr>
          <w:color w:val="231F20"/>
          <w:spacing w:val="-4"/>
        </w:rPr>
        <w:t> </w:t>
      </w:r>
      <w:r>
        <w:rPr>
          <w:color w:val="231F20"/>
        </w:rPr>
        <w:t>travel</w:t>
      </w:r>
      <w:r>
        <w:rPr>
          <w:color w:val="231F20"/>
          <w:spacing w:val="-5"/>
        </w:rPr>
        <w:t> </w:t>
      </w:r>
      <w:r>
        <w:rPr>
          <w:color w:val="231F20"/>
        </w:rPr>
        <w:t>of</w:t>
      </w:r>
      <w:r>
        <w:rPr>
          <w:color w:val="231F20"/>
          <w:spacing w:val="-4"/>
        </w:rPr>
        <w:t> </w:t>
      </w:r>
      <w:r>
        <w:rPr>
          <w:color w:val="231F20"/>
        </w:rPr>
        <w:t>Aboriginal</w:t>
      </w:r>
      <w:r>
        <w:rPr>
          <w:color w:val="231F20"/>
          <w:spacing w:val="-4"/>
        </w:rPr>
        <w:t> </w:t>
      </w:r>
      <w:r>
        <w:rPr>
          <w:color w:val="231F20"/>
          <w:spacing w:val="-4"/>
        </w:rPr>
      </w:r>
      <w:r>
        <w:rPr>
          <w:color w:val="231F20"/>
        </w:rPr>
        <w:t>and</w:t>
      </w:r>
      <w:r>
        <w:rPr>
          <w:color w:val="231F20"/>
          <w:spacing w:val="-1"/>
        </w:rPr>
        <w:t> </w:t>
      </w:r>
      <w:r>
        <w:rPr>
          <w:color w:val="231F20"/>
          <w:spacing w:val="-5"/>
        </w:rPr>
        <w:t>Torres</w:t>
      </w:r>
      <w:r>
        <w:rPr>
          <w:color w:val="231F20"/>
          <w:spacing w:val="-7"/>
        </w:rPr>
        <w:t> </w:t>
      </w:r>
      <w:r>
        <w:rPr>
          <w:color w:val="231F20"/>
          <w:spacing w:val="-2"/>
        </w:rPr>
        <w:t>Strait</w:t>
      </w:r>
      <w:r>
        <w:rPr>
          <w:color w:val="231F20"/>
          <w:spacing w:val="-7"/>
        </w:rPr>
        <w:t> </w:t>
      </w:r>
      <w:r>
        <w:rPr>
          <w:color w:val="231F20"/>
          <w:spacing w:val="-1"/>
        </w:rPr>
        <w:t>Islander</w:t>
      </w:r>
      <w:r>
        <w:rPr>
          <w:color w:val="231F20"/>
          <w:spacing w:val="-7"/>
        </w:rPr>
        <w:t> </w:t>
      </w:r>
      <w:r>
        <w:rPr>
          <w:color w:val="231F20"/>
        </w:rPr>
        <w:t>boarding</w:t>
      </w:r>
      <w:r>
        <w:rPr>
          <w:color w:val="231F20"/>
          <w:spacing w:val="-7"/>
        </w:rPr>
        <w:t> </w:t>
      </w:r>
      <w:r>
        <w:rPr>
          <w:color w:val="231F20"/>
        </w:rPr>
        <w:t>between</w:t>
      </w:r>
      <w:r>
        <w:rPr>
          <w:color w:val="231F20"/>
          <w:spacing w:val="21"/>
          <w:w w:val="99"/>
        </w:rPr>
        <w:t> </w:t>
      </w:r>
      <w:r>
        <w:rPr>
          <w:color w:val="231F20"/>
        </w:rPr>
        <w:t>their</w:t>
      </w:r>
      <w:r>
        <w:rPr>
          <w:color w:val="231F20"/>
          <w:spacing w:val="-6"/>
        </w:rPr>
        <w:t> </w:t>
      </w:r>
      <w:r>
        <w:rPr>
          <w:color w:val="231F20"/>
        </w:rPr>
        <w:t>home</w:t>
      </w:r>
      <w:r>
        <w:rPr>
          <w:color w:val="231F20"/>
          <w:spacing w:val="-6"/>
        </w:rPr>
        <w:t> </w:t>
      </w:r>
      <w:r>
        <w:rPr>
          <w:color w:val="231F20"/>
        </w:rPr>
        <w:t>and</w:t>
      </w:r>
      <w:r>
        <w:rPr>
          <w:color w:val="231F20"/>
          <w:spacing w:val="-6"/>
        </w:rPr>
        <w:t> </w:t>
      </w:r>
      <w:r>
        <w:rPr>
          <w:color w:val="231F20"/>
        </w:rPr>
        <w:t>boarding</w:t>
      </w:r>
      <w:r>
        <w:rPr>
          <w:color w:val="231F20"/>
          <w:spacing w:val="-6"/>
        </w:rPr>
        <w:t> </w:t>
      </w:r>
      <w:r>
        <w:rPr>
          <w:color w:val="231F20"/>
        </w:rPr>
        <w:t>facility.</w:t>
      </w:r>
      <w:r>
        <w:rPr>
          <w:color w:val="231F20"/>
          <w:spacing w:val="-5"/>
        </w:rPr>
        <w:t> </w:t>
      </w:r>
      <w:r>
        <w:rPr>
          <w:color w:val="231F20"/>
          <w:spacing w:val="-3"/>
        </w:rPr>
        <w:t>Travel</w:t>
      </w:r>
      <w:r>
        <w:rPr>
          <w:color w:val="231F20"/>
          <w:spacing w:val="-6"/>
        </w:rPr>
        <w:t> </w:t>
      </w:r>
      <w:r>
        <w:rPr>
          <w:color w:val="231F20"/>
        </w:rPr>
        <w:t>for</w:t>
      </w:r>
      <w:r>
        <w:rPr/>
      </w:r>
    </w:p>
    <w:p>
      <w:pPr>
        <w:pStyle w:val="BodyText"/>
        <w:spacing w:line="250" w:lineRule="exact"/>
        <w:ind w:left="100" w:right="11"/>
        <w:jc w:val="left"/>
      </w:pPr>
      <w:r>
        <w:rPr>
          <w:color w:val="231F20"/>
        </w:rPr>
        <w:t>accompanying</w:t>
      </w:r>
      <w:r>
        <w:rPr>
          <w:color w:val="231F20"/>
          <w:spacing w:val="-6"/>
        </w:rPr>
        <w:t> </w:t>
      </w:r>
      <w:r>
        <w:rPr>
          <w:color w:val="231F20"/>
        </w:rPr>
        <w:t>family</w:t>
      </w:r>
      <w:r>
        <w:rPr>
          <w:color w:val="231F20"/>
          <w:spacing w:val="-5"/>
        </w:rPr>
        <w:t> </w:t>
      </w:r>
      <w:r>
        <w:rPr>
          <w:color w:val="231F20"/>
          <w:spacing w:val="-1"/>
        </w:rPr>
        <w:t>members</w:t>
      </w:r>
      <w:r>
        <w:rPr>
          <w:color w:val="231F20"/>
          <w:spacing w:val="-4"/>
        </w:rPr>
        <w:t> </w:t>
      </w:r>
      <w:r>
        <w:rPr>
          <w:color w:val="231F20"/>
        </w:rPr>
        <w:t>and</w:t>
      </w:r>
      <w:r>
        <w:rPr>
          <w:color w:val="231F20"/>
          <w:spacing w:val="-5"/>
        </w:rPr>
        <w:t> </w:t>
      </w:r>
      <w:r>
        <w:rPr>
          <w:color w:val="231F20"/>
          <w:spacing w:val="-1"/>
        </w:rPr>
        <w:t>supervisors</w:t>
      </w:r>
      <w:r>
        <w:rPr>
          <w:color w:val="231F20"/>
          <w:spacing w:val="21"/>
        </w:rPr>
        <w:t> </w:t>
      </w:r>
      <w:r>
        <w:rPr>
          <w:color w:val="231F20"/>
          <w:spacing w:val="-1"/>
        </w:rPr>
        <w:t>is</w:t>
      </w:r>
      <w:r>
        <w:rPr>
          <w:color w:val="231F20"/>
          <w:spacing w:val="-5"/>
        </w:rPr>
        <w:t> </w:t>
      </w:r>
      <w:r>
        <w:rPr>
          <w:color w:val="231F20"/>
        </w:rPr>
        <w:t>also</w:t>
      </w:r>
      <w:r>
        <w:rPr>
          <w:color w:val="231F20"/>
          <w:spacing w:val="-5"/>
        </w:rPr>
        <w:t> </w:t>
      </w:r>
      <w:r>
        <w:rPr>
          <w:color w:val="231F20"/>
        </w:rPr>
        <w:t>funded</w:t>
      </w:r>
      <w:r>
        <w:rPr>
          <w:color w:val="231F20"/>
          <w:spacing w:val="-4"/>
        </w:rPr>
        <w:t> </w:t>
      </w:r>
      <w:r>
        <w:rPr>
          <w:color w:val="231F20"/>
        </w:rPr>
        <w:t>by</w:t>
      </w:r>
      <w:r>
        <w:rPr>
          <w:color w:val="231F20"/>
          <w:spacing w:val="-3"/>
        </w:rPr>
        <w:t> </w:t>
      </w:r>
      <w:r>
        <w:rPr>
          <w:color w:val="231F20"/>
        </w:rPr>
        <w:t>ABSTUDY.</w:t>
      </w:r>
      <w:r>
        <w:rPr>
          <w:color w:val="231F20"/>
          <w:spacing w:val="-4"/>
        </w:rPr>
        <w:t> </w:t>
      </w:r>
      <w:r>
        <w:rPr>
          <w:color w:val="231F20"/>
        </w:rPr>
        <w:t>The</w:t>
      </w:r>
      <w:r>
        <w:rPr>
          <w:color w:val="231F20"/>
          <w:spacing w:val="-4"/>
        </w:rPr>
        <w:t> </w:t>
      </w:r>
      <w:r>
        <w:rPr>
          <w:color w:val="231F20"/>
          <w:spacing w:val="-1"/>
        </w:rPr>
        <w:t>Department</w:t>
      </w:r>
      <w:r>
        <w:rPr/>
      </w:r>
    </w:p>
    <w:p>
      <w:pPr>
        <w:pStyle w:val="BodyText"/>
        <w:spacing w:line="250" w:lineRule="exact"/>
        <w:ind w:left="100" w:right="42"/>
        <w:jc w:val="left"/>
      </w:pPr>
      <w:r>
        <w:rPr>
          <w:color w:val="231F20"/>
        </w:rPr>
        <w:t>of</w:t>
      </w:r>
      <w:r>
        <w:rPr>
          <w:color w:val="231F20"/>
          <w:spacing w:val="-4"/>
        </w:rPr>
        <w:t> </w:t>
      </w:r>
      <w:r>
        <w:rPr>
          <w:color w:val="231F20"/>
        </w:rPr>
        <w:t>Human</w:t>
      </w:r>
      <w:r>
        <w:rPr>
          <w:color w:val="231F20"/>
          <w:spacing w:val="-5"/>
        </w:rPr>
        <w:t> </w:t>
      </w:r>
      <w:r>
        <w:rPr>
          <w:color w:val="231F20"/>
          <w:spacing w:val="-1"/>
        </w:rPr>
        <w:t>Services</w:t>
      </w:r>
      <w:r>
        <w:rPr>
          <w:color w:val="231F20"/>
          <w:spacing w:val="-4"/>
        </w:rPr>
        <w:t> </w:t>
      </w:r>
      <w:r>
        <w:rPr>
          <w:color w:val="231F20"/>
        </w:rPr>
        <w:t>(DHS)</w:t>
      </w:r>
      <w:r>
        <w:rPr>
          <w:color w:val="231F20"/>
          <w:spacing w:val="-5"/>
        </w:rPr>
        <w:t> </w:t>
      </w:r>
      <w:r>
        <w:rPr>
          <w:color w:val="231F20"/>
        </w:rPr>
        <w:t>ABSTUDY</w:t>
      </w:r>
      <w:r>
        <w:rPr>
          <w:color w:val="231F20"/>
          <w:spacing w:val="-4"/>
        </w:rPr>
        <w:t> </w:t>
      </w:r>
      <w:r>
        <w:rPr>
          <w:color w:val="231F20"/>
        </w:rPr>
        <w:t>travel</w:t>
      </w:r>
      <w:r>
        <w:rPr>
          <w:color w:val="231F20"/>
          <w:spacing w:val="-5"/>
        </w:rPr>
        <w:t> </w:t>
      </w:r>
      <w:r>
        <w:rPr>
          <w:color w:val="231F20"/>
          <w:spacing w:val="-5"/>
        </w:rPr>
      </w:r>
      <w:r>
        <w:rPr>
          <w:color w:val="231F20"/>
        </w:rPr>
        <w:t>team</w:t>
      </w:r>
      <w:r>
        <w:rPr>
          <w:color w:val="231F20"/>
          <w:spacing w:val="21"/>
        </w:rPr>
        <w:t> </w:t>
      </w:r>
      <w:r>
        <w:rPr>
          <w:color w:val="231F20"/>
        </w:rPr>
        <w:t>will</w:t>
      </w:r>
      <w:r>
        <w:rPr>
          <w:color w:val="231F20"/>
          <w:spacing w:val="-6"/>
        </w:rPr>
        <w:t> </w:t>
      </w:r>
      <w:r>
        <w:rPr>
          <w:color w:val="231F20"/>
        </w:rPr>
        <w:t>book</w:t>
      </w:r>
      <w:r>
        <w:rPr>
          <w:color w:val="231F20"/>
          <w:spacing w:val="-6"/>
        </w:rPr>
        <w:t> </w:t>
      </w:r>
      <w:r>
        <w:rPr>
          <w:color w:val="231F20"/>
        </w:rPr>
        <w:t>travel</w:t>
      </w:r>
      <w:r>
        <w:rPr>
          <w:color w:val="231F20"/>
          <w:spacing w:val="-5"/>
        </w:rPr>
        <w:t> </w:t>
      </w:r>
      <w:r>
        <w:rPr>
          <w:color w:val="231F20"/>
        </w:rPr>
        <w:t>for</w:t>
      </w:r>
      <w:r>
        <w:rPr>
          <w:color w:val="231F20"/>
          <w:spacing w:val="-5"/>
        </w:rPr>
        <w:t> </w:t>
      </w:r>
      <w:r>
        <w:rPr>
          <w:color w:val="231F20"/>
          <w:spacing w:val="-1"/>
        </w:rPr>
        <w:t>students</w:t>
      </w:r>
      <w:r>
        <w:rPr>
          <w:color w:val="231F20"/>
          <w:spacing w:val="-5"/>
        </w:rPr>
        <w:t> </w:t>
      </w:r>
      <w:r>
        <w:rPr>
          <w:color w:val="231F20"/>
        </w:rPr>
        <w:t>and</w:t>
      </w:r>
      <w:r>
        <w:rPr>
          <w:color w:val="231F20"/>
          <w:spacing w:val="-5"/>
        </w:rPr>
        <w:t> </w:t>
      </w:r>
      <w:r>
        <w:rPr>
          <w:color w:val="231F20"/>
          <w:spacing w:val="-5"/>
        </w:rPr>
      </w:r>
      <w:r>
        <w:rPr>
          <w:color w:val="231F20"/>
        </w:rPr>
        <w:t>accompanying</w:t>
      </w:r>
      <w:r>
        <w:rPr>
          <w:color w:val="231F20"/>
          <w:spacing w:val="21"/>
        </w:rPr>
        <w:t> </w:t>
      </w:r>
      <w:r>
        <w:rPr>
          <w:color w:val="231F20"/>
        </w:rPr>
        <w:t>people</w:t>
      </w:r>
      <w:r>
        <w:rPr>
          <w:color w:val="231F20"/>
          <w:spacing w:val="-8"/>
        </w:rPr>
        <w:t> </w:t>
      </w:r>
      <w:r>
        <w:rPr>
          <w:color w:val="231F20"/>
        </w:rPr>
        <w:t>through</w:t>
      </w:r>
      <w:r>
        <w:rPr>
          <w:color w:val="231F20"/>
          <w:spacing w:val="-7"/>
        </w:rPr>
        <w:t> </w:t>
      </w:r>
      <w:r>
        <w:rPr>
          <w:color w:val="231F20"/>
        </w:rPr>
        <w:t>a</w:t>
      </w:r>
      <w:r>
        <w:rPr>
          <w:color w:val="231F20"/>
          <w:spacing w:val="-7"/>
        </w:rPr>
        <w:t> </w:t>
      </w:r>
      <w:r>
        <w:rPr>
          <w:color w:val="231F20"/>
        </w:rPr>
        <w:t>travel</w:t>
      </w:r>
      <w:r>
        <w:rPr>
          <w:color w:val="231F20"/>
          <w:spacing w:val="-7"/>
        </w:rPr>
        <w:t> </w:t>
      </w:r>
      <w:r>
        <w:rPr>
          <w:color w:val="231F20"/>
        </w:rPr>
        <w:t>agency,</w:t>
      </w:r>
      <w:r>
        <w:rPr>
          <w:color w:val="231F20"/>
          <w:w w:val="99"/>
        </w:rPr>
        <w:t> </w:t>
      </w:r>
      <w:r>
        <w:rPr>
          <w:color w:val="231F20"/>
          <w:w w:val="99"/>
        </w:rPr>
        <w:t>                 </w:t>
      </w:r>
      <w:r>
        <w:rPr>
          <w:color w:val="231F20"/>
          <w:spacing w:val="-3"/>
        </w:rPr>
        <w:t>QBT,</w:t>
      </w:r>
      <w:r>
        <w:rPr>
          <w:color w:val="231F20"/>
          <w:spacing w:val="-6"/>
        </w:rPr>
        <w:t> </w:t>
      </w:r>
      <w:r>
        <w:rPr>
          <w:color w:val="231F20"/>
        </w:rPr>
        <w:t>or</w:t>
      </w:r>
      <w:r>
        <w:rPr>
          <w:color w:val="231F20"/>
          <w:spacing w:val="-5"/>
        </w:rPr>
        <w:t> </w:t>
      </w:r>
      <w:r>
        <w:rPr>
          <w:color w:val="231F20"/>
        </w:rPr>
        <w:t>alternatively</w:t>
      </w:r>
      <w:r>
        <w:rPr>
          <w:color w:val="231F20"/>
          <w:spacing w:val="-6"/>
        </w:rPr>
        <w:t> </w:t>
      </w:r>
      <w:r>
        <w:rPr>
          <w:color w:val="231F20"/>
        </w:rPr>
        <w:t>a</w:t>
      </w:r>
      <w:r>
        <w:rPr>
          <w:color w:val="231F20"/>
          <w:spacing w:val="-5"/>
        </w:rPr>
        <w:t> </w:t>
      </w:r>
      <w:r>
        <w:rPr>
          <w:color w:val="231F20"/>
        </w:rPr>
        <w:t>boarding</w:t>
      </w:r>
      <w:r>
        <w:rPr>
          <w:color w:val="231F20"/>
          <w:spacing w:val="-6"/>
        </w:rPr>
        <w:t> </w:t>
      </w:r>
      <w:r>
        <w:rPr>
          <w:color w:val="231F20"/>
        </w:rPr>
        <w:t>provider</w:t>
      </w:r>
      <w:r>
        <w:rPr>
          <w:color w:val="231F20"/>
          <w:spacing w:val="-6"/>
        </w:rPr>
        <w:t> </w:t>
      </w:r>
      <w:r>
        <w:rPr>
          <w:color w:val="231F20"/>
          <w:spacing w:val="-1"/>
        </w:rPr>
        <w:t>is</w:t>
      </w:r>
      <w:r>
        <w:rPr>
          <w:color w:val="231F20"/>
          <w:spacing w:val="23"/>
        </w:rPr>
        <w:t> </w:t>
      </w:r>
      <w:r>
        <w:rPr>
          <w:color w:val="231F20"/>
        </w:rPr>
        <w:t>able</w:t>
      </w:r>
      <w:r>
        <w:rPr>
          <w:color w:val="231F20"/>
          <w:spacing w:val="-6"/>
        </w:rPr>
        <w:t> </w:t>
      </w:r>
      <w:r>
        <w:rPr>
          <w:color w:val="231F20"/>
        </w:rPr>
        <w:t>to</w:t>
      </w:r>
      <w:r>
        <w:rPr>
          <w:color w:val="231F20"/>
          <w:spacing w:val="-4"/>
        </w:rPr>
        <w:t> </w:t>
      </w:r>
      <w:r>
        <w:rPr>
          <w:color w:val="231F20"/>
        </w:rPr>
        <w:t>arrange</w:t>
      </w:r>
      <w:r>
        <w:rPr>
          <w:color w:val="231F20"/>
          <w:spacing w:val="-6"/>
        </w:rPr>
        <w:t> </w:t>
      </w:r>
      <w:r>
        <w:rPr>
          <w:color w:val="231F20"/>
        </w:rPr>
        <w:t>travel</w:t>
      </w:r>
      <w:r>
        <w:rPr>
          <w:color w:val="231F20"/>
          <w:spacing w:val="-5"/>
        </w:rPr>
        <w:t> </w:t>
      </w:r>
      <w:r>
        <w:rPr>
          <w:color w:val="231F20"/>
        </w:rPr>
        <w:t>directly</w:t>
      </w:r>
      <w:r>
        <w:rPr>
          <w:color w:val="231F20"/>
          <w:spacing w:val="-6"/>
        </w:rPr>
        <w:t> </w:t>
      </w:r>
      <w:r>
        <w:rPr>
          <w:color w:val="231F20"/>
        </w:rPr>
        <w:t>and</w:t>
      </w:r>
      <w:r>
        <w:rPr>
          <w:color w:val="231F20"/>
          <w:spacing w:val="-5"/>
        </w:rPr>
        <w:t> </w:t>
      </w:r>
      <w:r>
        <w:rPr>
          <w:color w:val="231F20"/>
        </w:rPr>
        <w:t>then</w:t>
      </w:r>
      <w:r>
        <w:rPr>
          <w:color w:val="231F20"/>
          <w:spacing w:val="-5"/>
        </w:rPr>
        <w:t> </w:t>
      </w:r>
      <w:r>
        <w:rPr>
          <w:color w:val="231F20"/>
          <w:spacing w:val="-1"/>
        </w:rPr>
        <w:t>seek</w:t>
      </w:r>
      <w:r>
        <w:rPr/>
      </w:r>
    </w:p>
    <w:p>
      <w:pPr>
        <w:pStyle w:val="BodyText"/>
        <w:spacing w:line="250" w:lineRule="exact"/>
        <w:ind w:left="100" w:right="0"/>
        <w:jc w:val="left"/>
      </w:pPr>
      <w:r>
        <w:rPr>
          <w:color w:val="231F20"/>
        </w:rPr>
        <w:t>reimbursement</w:t>
      </w:r>
      <w:r>
        <w:rPr>
          <w:color w:val="231F20"/>
          <w:spacing w:val="-9"/>
        </w:rPr>
        <w:t> </w:t>
      </w:r>
      <w:r>
        <w:rPr>
          <w:color w:val="231F20"/>
        </w:rPr>
        <w:t>from</w:t>
      </w:r>
      <w:r>
        <w:rPr>
          <w:color w:val="231F20"/>
          <w:spacing w:val="-7"/>
        </w:rPr>
        <w:t> </w:t>
      </w:r>
      <w:r>
        <w:rPr>
          <w:color w:val="231F20"/>
          <w:spacing w:val="-1"/>
        </w:rPr>
        <w:t>DHS.</w:t>
      </w:r>
      <w:r>
        <w:rPr>
          <w:color w:val="231F20"/>
          <w:spacing w:val="-7"/>
        </w:rPr>
        <w:t> </w:t>
      </w:r>
      <w:r>
        <w:rPr>
          <w:color w:val="231F20"/>
        </w:rPr>
        <w:t>The</w:t>
      </w:r>
      <w:r>
        <w:rPr>
          <w:color w:val="231F20"/>
          <w:spacing w:val="-7"/>
        </w:rPr>
        <w:t> </w:t>
      </w:r>
      <w:r>
        <w:rPr>
          <w:color w:val="231F20"/>
        </w:rPr>
        <w:t>fares</w:t>
      </w:r>
      <w:r>
        <w:rPr>
          <w:color w:val="231F20"/>
          <w:spacing w:val="-7"/>
        </w:rPr>
        <w:t> </w:t>
      </w:r>
      <w:r>
        <w:rPr>
          <w:color w:val="231F20"/>
        </w:rPr>
        <w:t>allowances</w:t>
      </w:r>
      <w:r>
        <w:rPr>
          <w:color w:val="231F20"/>
          <w:spacing w:val="21"/>
          <w:w w:val="99"/>
        </w:rPr>
        <w:t> </w:t>
      </w:r>
      <w:r>
        <w:rPr>
          <w:color w:val="231F20"/>
        </w:rPr>
        <w:t>are</w:t>
      </w:r>
      <w:r>
        <w:rPr>
          <w:color w:val="231F20"/>
          <w:spacing w:val="-5"/>
        </w:rPr>
        <w:t> </w:t>
      </w:r>
      <w:r>
        <w:rPr>
          <w:color w:val="231F20"/>
        </w:rPr>
        <w:t>an</w:t>
      </w:r>
      <w:r>
        <w:rPr>
          <w:color w:val="231F20"/>
          <w:spacing w:val="-4"/>
        </w:rPr>
        <w:t> </w:t>
      </w:r>
      <w:r>
        <w:rPr>
          <w:color w:val="231F20"/>
        </w:rPr>
        <w:t>essential</w:t>
      </w:r>
      <w:r>
        <w:rPr>
          <w:color w:val="231F20"/>
          <w:spacing w:val="-4"/>
        </w:rPr>
        <w:t> </w:t>
      </w:r>
      <w:r>
        <w:rPr>
          <w:color w:val="231F20"/>
          <w:spacing w:val="-1"/>
        </w:rPr>
        <w:t>investment</w:t>
      </w:r>
      <w:r>
        <w:rPr>
          <w:color w:val="231F20"/>
          <w:spacing w:val="-3"/>
        </w:rPr>
        <w:t> </w:t>
      </w:r>
      <w:r>
        <w:rPr>
          <w:color w:val="231F20"/>
          <w:spacing w:val="-1"/>
        </w:rPr>
        <w:t>in</w:t>
      </w:r>
      <w:r>
        <w:rPr>
          <w:color w:val="231F20"/>
          <w:spacing w:val="-3"/>
        </w:rPr>
        <w:t> </w:t>
      </w:r>
      <w:r>
        <w:rPr>
          <w:color w:val="231F20"/>
        </w:rPr>
        <w:t>the</w:t>
      </w:r>
      <w:r>
        <w:rPr>
          <w:color w:val="231F20"/>
          <w:spacing w:val="-4"/>
        </w:rPr>
        <w:t> </w:t>
      </w:r>
      <w:r>
        <w:rPr>
          <w:color w:val="231F20"/>
        </w:rPr>
        <w:t>participation</w:t>
      </w:r>
      <w:r>
        <w:rPr>
          <w:color w:val="231F20"/>
          <w:spacing w:val="23"/>
          <w:w w:val="99"/>
        </w:rPr>
        <w:t> </w:t>
      </w:r>
      <w:r>
        <w:rPr>
          <w:color w:val="231F20"/>
        </w:rPr>
        <w:t>of</w:t>
      </w:r>
      <w:r>
        <w:rPr>
          <w:color w:val="231F20"/>
          <w:spacing w:val="-5"/>
        </w:rPr>
        <w:t> </w:t>
      </w:r>
      <w:r>
        <w:rPr>
          <w:color w:val="231F20"/>
        </w:rPr>
        <w:t>Aboriginal</w:t>
      </w:r>
      <w:r>
        <w:rPr>
          <w:color w:val="231F20"/>
          <w:spacing w:val="-4"/>
        </w:rPr>
        <w:t> </w:t>
      </w:r>
      <w:r>
        <w:rPr>
          <w:color w:val="231F20"/>
        </w:rPr>
        <w:t>and</w:t>
      </w:r>
      <w:r>
        <w:rPr>
          <w:color w:val="231F20"/>
          <w:spacing w:val="-5"/>
        </w:rPr>
        <w:t> 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4"/>
        </w:rPr>
        <w:t> </w:t>
      </w:r>
      <w:r>
        <w:rPr>
          <w:color w:val="231F20"/>
          <w:spacing w:val="-1"/>
        </w:rPr>
        <w:t>students</w:t>
      </w:r>
      <w:r>
        <w:rPr>
          <w:color w:val="231F20"/>
          <w:spacing w:val="20"/>
        </w:rPr>
        <w:t> </w:t>
      </w:r>
      <w:r>
        <w:rPr>
          <w:color w:val="231F20"/>
          <w:spacing w:val="-1"/>
        </w:rPr>
        <w:t>in</w:t>
      </w:r>
      <w:r>
        <w:rPr>
          <w:color w:val="231F20"/>
          <w:spacing w:val="-6"/>
        </w:rPr>
        <w:t> </w:t>
      </w:r>
      <w:r>
        <w:rPr>
          <w:color w:val="231F20"/>
        </w:rPr>
        <w:t>boarding</w:t>
      </w:r>
      <w:r>
        <w:rPr>
          <w:color w:val="231F20"/>
          <w:spacing w:val="-7"/>
        </w:rPr>
        <w:t> </w:t>
      </w:r>
      <w:r>
        <w:rPr>
          <w:color w:val="231F20"/>
        </w:rPr>
        <w:t>and</w:t>
      </w:r>
      <w:r>
        <w:rPr>
          <w:color w:val="231F20"/>
          <w:spacing w:val="-7"/>
        </w:rPr>
        <w:t> </w:t>
      </w:r>
      <w:r>
        <w:rPr>
          <w:color w:val="231F20"/>
        </w:rPr>
        <w:t>the</w:t>
      </w:r>
      <w:r>
        <w:rPr>
          <w:color w:val="231F20"/>
          <w:spacing w:val="-7"/>
        </w:rPr>
        <w:t> </w:t>
      </w:r>
      <w:r>
        <w:rPr>
          <w:color w:val="231F20"/>
        </w:rPr>
        <w:t>engagement</w:t>
      </w:r>
      <w:r>
        <w:rPr>
          <w:color w:val="231F20"/>
          <w:spacing w:val="-7"/>
        </w:rPr>
        <w:t> </w:t>
      </w:r>
      <w:r>
        <w:rPr>
          <w:color w:val="231F20"/>
        </w:rPr>
        <w:t>by</w:t>
      </w:r>
      <w:r>
        <w:rPr>
          <w:color w:val="231F20"/>
          <w:spacing w:val="-6"/>
        </w:rPr>
        <w:t> </w:t>
      </w:r>
      <w:r>
        <w:rPr>
          <w:color w:val="231F20"/>
        </w:rPr>
        <w:t>boarding</w:t>
      </w:r>
      <w:r>
        <w:rPr>
          <w:color w:val="231F20"/>
          <w:spacing w:val="21"/>
          <w:w w:val="99"/>
        </w:rPr>
        <w:t> </w:t>
      </w:r>
      <w:r>
        <w:rPr>
          <w:color w:val="231F20"/>
        </w:rPr>
        <w:t>providers</w:t>
      </w:r>
      <w:r>
        <w:rPr>
          <w:color w:val="231F20"/>
          <w:spacing w:val="-8"/>
        </w:rPr>
        <w:t> </w:t>
      </w:r>
      <w:r>
        <w:rPr>
          <w:color w:val="231F20"/>
        </w:rPr>
        <w:t>and</w:t>
      </w:r>
      <w:r>
        <w:rPr>
          <w:color w:val="231F20"/>
          <w:spacing w:val="-7"/>
        </w:rPr>
        <w:t> </w:t>
      </w:r>
      <w:r>
        <w:rPr>
          <w:color w:val="231F20"/>
        </w:rPr>
        <w:t>transition</w:t>
      </w:r>
      <w:r>
        <w:rPr>
          <w:color w:val="231F20"/>
          <w:spacing w:val="-7"/>
        </w:rPr>
        <w:t> </w:t>
      </w:r>
      <w:r>
        <w:rPr>
          <w:color w:val="231F20"/>
          <w:spacing w:val="-1"/>
        </w:rPr>
        <w:t>support</w:t>
      </w:r>
      <w:r>
        <w:rPr>
          <w:color w:val="231F20"/>
          <w:spacing w:val="-6"/>
        </w:rPr>
        <w:t> </w:t>
      </w:r>
      <w:r>
        <w:rPr>
          <w:color w:val="231F20"/>
        </w:rPr>
        <w:t>units</w:t>
      </w:r>
      <w:r>
        <w:rPr>
          <w:color w:val="231F20"/>
          <w:spacing w:val="-7"/>
        </w:rPr>
        <w:t> </w:t>
      </w:r>
      <w:r>
        <w:rPr>
          <w:color w:val="231F20"/>
        </w:rPr>
        <w:t>with</w:t>
      </w:r>
      <w:r>
        <w:rPr>
          <w:color w:val="231F20"/>
          <w:spacing w:val="22"/>
          <w:w w:val="99"/>
        </w:rPr>
        <w:t> </w:t>
      </w:r>
      <w:r>
        <w:rPr>
          <w:color w:val="231F20"/>
        </w:rPr>
        <w:t>families</w:t>
      </w:r>
      <w:r>
        <w:rPr>
          <w:color w:val="231F20"/>
          <w:spacing w:val="-3"/>
        </w:rPr>
        <w:t> </w:t>
      </w:r>
      <w:r>
        <w:rPr>
          <w:color w:val="231F20"/>
        </w:rPr>
        <w:t>and</w:t>
      </w:r>
      <w:r>
        <w:rPr>
          <w:color w:val="231F20"/>
          <w:spacing w:val="-3"/>
        </w:rPr>
        <w:t> </w:t>
      </w:r>
      <w:r>
        <w:rPr>
          <w:color w:val="231F20"/>
        </w:rPr>
        <w:t>communities.</w:t>
      </w:r>
      <w:r>
        <w:rPr/>
      </w:r>
    </w:p>
    <w:p>
      <w:pPr>
        <w:pStyle w:val="BodyText"/>
        <w:spacing w:line="250" w:lineRule="exact" w:before="113"/>
        <w:ind w:left="100" w:right="353"/>
        <w:jc w:val="left"/>
      </w:pPr>
      <w:r>
        <w:rPr>
          <w:color w:val="231F20"/>
        </w:rPr>
        <w:t>Managing</w:t>
      </w:r>
      <w:r>
        <w:rPr>
          <w:color w:val="231F20"/>
          <w:spacing w:val="-6"/>
        </w:rPr>
        <w:t> </w:t>
      </w:r>
      <w:r>
        <w:rPr>
          <w:color w:val="231F20"/>
          <w:spacing w:val="-1"/>
        </w:rPr>
        <w:t>student</w:t>
      </w:r>
      <w:r>
        <w:rPr>
          <w:color w:val="231F20"/>
          <w:spacing w:val="-5"/>
        </w:rPr>
        <w:t> </w:t>
      </w:r>
      <w:r>
        <w:rPr>
          <w:color w:val="231F20"/>
        </w:rPr>
        <w:t>travel</w:t>
      </w:r>
      <w:r>
        <w:rPr>
          <w:color w:val="231F20"/>
          <w:spacing w:val="-6"/>
        </w:rPr>
        <w:t> </w:t>
      </w:r>
      <w:r>
        <w:rPr>
          <w:color w:val="231F20"/>
        </w:rPr>
        <w:t>at</w:t>
      </w:r>
      <w:r>
        <w:rPr>
          <w:color w:val="231F20"/>
          <w:spacing w:val="-5"/>
        </w:rPr>
        <w:t> </w:t>
      </w:r>
      <w:r>
        <w:rPr>
          <w:color w:val="231F20"/>
        </w:rPr>
        <w:t>a</w:t>
      </w:r>
      <w:r>
        <w:rPr>
          <w:color w:val="231F20"/>
          <w:spacing w:val="-5"/>
        </w:rPr>
        <w:t> </w:t>
      </w:r>
      <w:r>
        <w:rPr>
          <w:color w:val="231F20"/>
        </w:rPr>
        <w:t>national</w:t>
      </w:r>
      <w:r>
        <w:rPr>
          <w:color w:val="231F20"/>
          <w:spacing w:val="-6"/>
        </w:rPr>
        <w:t> </w:t>
      </w:r>
      <w:r>
        <w:rPr>
          <w:color w:val="231F20"/>
          <w:spacing w:val="-1"/>
        </w:rPr>
        <w:t>level</w:t>
      </w:r>
      <w:r>
        <w:rPr>
          <w:color w:val="231F20"/>
          <w:spacing w:val="21"/>
        </w:rPr>
        <w:t> </w:t>
      </w:r>
      <w:r>
        <w:rPr>
          <w:color w:val="231F20"/>
          <w:spacing w:val="-1"/>
        </w:rPr>
        <w:t>is</w:t>
      </w:r>
      <w:r>
        <w:rPr>
          <w:color w:val="231F20"/>
          <w:spacing w:val="-4"/>
        </w:rPr>
        <w:t> </w:t>
      </w:r>
      <w:r>
        <w:rPr>
          <w:color w:val="231F20"/>
        </w:rPr>
        <w:t>a</w:t>
      </w:r>
      <w:r>
        <w:rPr>
          <w:color w:val="231F20"/>
          <w:spacing w:val="-3"/>
        </w:rPr>
        <w:t> </w:t>
      </w:r>
      <w:r>
        <w:rPr>
          <w:color w:val="231F20"/>
        </w:rPr>
        <w:t>complex</w:t>
      </w:r>
      <w:r>
        <w:rPr>
          <w:color w:val="231F20"/>
          <w:spacing w:val="-4"/>
        </w:rPr>
        <w:t> </w:t>
      </w:r>
      <w:r>
        <w:rPr>
          <w:color w:val="231F20"/>
        </w:rPr>
        <w:t>exercise.</w:t>
      </w:r>
      <w:r>
        <w:rPr>
          <w:color w:val="231F20"/>
          <w:spacing w:val="-4"/>
        </w:rPr>
        <w:t> </w:t>
      </w:r>
      <w:r>
        <w:rPr>
          <w:color w:val="231F20"/>
        </w:rPr>
        <w:t>Each</w:t>
      </w:r>
      <w:r>
        <w:rPr>
          <w:color w:val="231F20"/>
          <w:spacing w:val="-4"/>
        </w:rPr>
        <w:t> </w:t>
      </w:r>
      <w:r>
        <w:rPr>
          <w:color w:val="231F20"/>
        </w:rPr>
        <w:t>term,</w:t>
      </w:r>
      <w:r>
        <w:rPr>
          <w:color w:val="231F20"/>
          <w:spacing w:val="-4"/>
        </w:rPr>
        <w:t> </w:t>
      </w:r>
      <w:r>
        <w:rPr>
          <w:color w:val="231F20"/>
        </w:rPr>
        <w:t>the</w:t>
      </w:r>
      <w:r>
        <w:rPr>
          <w:color w:val="231F20"/>
          <w:spacing w:val="-3"/>
        </w:rPr>
        <w:t> </w:t>
      </w:r>
      <w:r>
        <w:rPr>
          <w:color w:val="231F20"/>
          <w:spacing w:val="-1"/>
        </w:rPr>
        <w:t>DHS</w:t>
      </w:r>
      <w:r>
        <w:rPr>
          <w:color w:val="231F20"/>
          <w:spacing w:val="20"/>
        </w:rPr>
        <w:t> </w:t>
      </w:r>
      <w:r>
        <w:rPr>
          <w:color w:val="231F20"/>
        </w:rPr>
        <w:t>ABSTUDY</w:t>
      </w:r>
      <w:r>
        <w:rPr>
          <w:color w:val="231F20"/>
          <w:spacing w:val="-5"/>
        </w:rPr>
        <w:t> </w:t>
      </w:r>
      <w:r>
        <w:rPr>
          <w:color w:val="231F20"/>
        </w:rPr>
        <w:t>travel</w:t>
      </w:r>
      <w:r>
        <w:rPr>
          <w:color w:val="231F20"/>
          <w:spacing w:val="-5"/>
        </w:rPr>
        <w:t> </w:t>
      </w:r>
      <w:r>
        <w:rPr>
          <w:color w:val="231F20"/>
        </w:rPr>
        <w:t>team,</w:t>
      </w:r>
      <w:r>
        <w:rPr>
          <w:color w:val="231F20"/>
          <w:spacing w:val="-5"/>
        </w:rPr>
        <w:t> </w:t>
      </w:r>
      <w:r>
        <w:rPr>
          <w:color w:val="231F20"/>
        </w:rPr>
        <w:t>through</w:t>
      </w:r>
      <w:r>
        <w:rPr>
          <w:color w:val="231F20"/>
          <w:spacing w:val="-4"/>
        </w:rPr>
        <w:t> QB</w:t>
      </w:r>
      <w:r>
        <w:rPr>
          <w:color w:val="231F20"/>
          <w:spacing w:val="-5"/>
        </w:rPr>
        <w:t>T</w:t>
      </w:r>
      <w:r>
        <w:rPr>
          <w:color w:val="231F20"/>
          <w:spacing w:val="-4"/>
        </w:rPr>
        <w:t> </w:t>
      </w:r>
      <w:r>
        <w:rPr>
          <w:color w:val="231F20"/>
        </w:rPr>
        <w:t>or</w:t>
      </w:r>
      <w:r>
        <w:rPr/>
      </w:r>
    </w:p>
    <w:p>
      <w:pPr>
        <w:pStyle w:val="BodyText"/>
        <w:spacing w:line="250" w:lineRule="exact"/>
        <w:ind w:left="100" w:right="45"/>
        <w:jc w:val="left"/>
        <w:rPr>
          <w:rFonts w:ascii="Segoe UI" w:hAnsi="Segoe UI" w:cs="Segoe UI" w:eastAsia="Segoe UI"/>
        </w:rPr>
      </w:pPr>
      <w:r>
        <w:rPr>
          <w:color w:val="231F20"/>
        </w:rPr>
        <w:t>boarding</w:t>
      </w:r>
      <w:r>
        <w:rPr>
          <w:color w:val="231F20"/>
          <w:spacing w:val="-9"/>
        </w:rPr>
        <w:t> </w:t>
      </w:r>
      <w:r>
        <w:rPr>
          <w:color w:val="231F20"/>
        </w:rPr>
        <w:t>providers,</w:t>
      </w:r>
      <w:r>
        <w:rPr>
          <w:color w:val="231F20"/>
          <w:spacing w:val="-8"/>
        </w:rPr>
        <w:t> </w:t>
      </w:r>
      <w:r>
        <w:rPr>
          <w:color w:val="231F20"/>
        </w:rPr>
        <w:t>coordinates</w:t>
      </w:r>
      <w:r>
        <w:rPr>
          <w:color w:val="231F20"/>
          <w:spacing w:val="-9"/>
        </w:rPr>
        <w:t> </w:t>
      </w:r>
      <w:r>
        <w:rPr>
          <w:color w:val="231F20"/>
        </w:rPr>
        <w:t>the</w:t>
      </w:r>
      <w:r>
        <w:rPr>
          <w:color w:val="231F20"/>
          <w:spacing w:val="-8"/>
        </w:rPr>
        <w:t> </w:t>
      </w:r>
      <w:r>
        <w:rPr>
          <w:color w:val="231F20"/>
          <w:spacing w:val="-1"/>
        </w:rPr>
        <w:t>movement</w:t>
      </w:r>
      <w:r>
        <w:rPr>
          <w:color w:val="231F20"/>
          <w:spacing w:val="20"/>
        </w:rPr>
        <w:t> </w:t>
      </w:r>
      <w:r>
        <w:rPr>
          <w:color w:val="231F20"/>
        </w:rPr>
        <w:t>of</w:t>
      </w:r>
      <w:r>
        <w:rPr>
          <w:color w:val="231F20"/>
          <w:spacing w:val="-5"/>
        </w:rPr>
        <w:t> </w:t>
      </w:r>
      <w:r>
        <w:rPr>
          <w:color w:val="231F20"/>
          <w:spacing w:val="-1"/>
        </w:rPr>
        <w:t>more</w:t>
      </w:r>
      <w:r>
        <w:rPr>
          <w:color w:val="231F20"/>
          <w:spacing w:val="-4"/>
        </w:rPr>
        <w:t> </w:t>
      </w:r>
      <w:r>
        <w:rPr>
          <w:color w:val="231F20"/>
        </w:rPr>
        <w:t>than</w:t>
      </w:r>
      <w:r>
        <w:rPr>
          <w:color w:val="231F20"/>
          <w:spacing w:val="-6"/>
        </w:rPr>
        <w:t> </w:t>
      </w:r>
      <w:r>
        <w:rPr>
          <w:color w:val="231F20"/>
          <w:spacing w:val="-1"/>
        </w:rPr>
        <w:t>5,000</w:t>
      </w:r>
      <w:r>
        <w:rPr>
          <w:color w:val="231F20"/>
          <w:spacing w:val="-4"/>
        </w:rPr>
        <w:t> </w:t>
      </w:r>
      <w:r>
        <w:rPr>
          <w:color w:val="231F20"/>
        </w:rPr>
        <w:t>children</w:t>
      </w:r>
      <w:r>
        <w:rPr>
          <w:color w:val="231F20"/>
          <w:spacing w:val="-5"/>
        </w:rPr>
        <w:t> </w:t>
      </w:r>
      <w:r>
        <w:rPr>
          <w:color w:val="231F20"/>
        </w:rPr>
        <w:t>across</w:t>
      </w:r>
      <w:r>
        <w:rPr>
          <w:color w:val="231F20"/>
          <w:spacing w:val="-6"/>
        </w:rPr>
        <w:t> </w:t>
      </w:r>
      <w:r>
        <w:rPr>
          <w:color w:val="231F20"/>
        </w:rPr>
        <w:t>Australia</w:t>
      </w:r>
      <w:r>
        <w:rPr>
          <w:color w:val="231F20"/>
          <w:spacing w:val="-4"/>
        </w:rPr>
        <w:t> </w:t>
      </w:r>
      <w:r>
        <w:rPr>
          <w:color w:val="231F20"/>
          <w:spacing w:val="-1"/>
        </w:rPr>
        <w:t>in</w:t>
      </w:r>
      <w:r>
        <w:rPr>
          <w:color w:val="231F20"/>
          <w:spacing w:val="22"/>
        </w:rPr>
        <w:t> </w:t>
      </w:r>
      <w:r>
        <w:rPr>
          <w:color w:val="231F20"/>
        </w:rPr>
        <w:t>a</w:t>
      </w:r>
      <w:r>
        <w:rPr>
          <w:color w:val="231F20"/>
          <w:spacing w:val="-3"/>
        </w:rPr>
        <w:t> </w:t>
      </w:r>
      <w:r>
        <w:rPr>
          <w:color w:val="231F20"/>
          <w:spacing w:val="-1"/>
        </w:rPr>
        <w:t>small</w:t>
      </w:r>
      <w:r>
        <w:rPr>
          <w:color w:val="231F20"/>
          <w:spacing w:val="-2"/>
        </w:rPr>
        <w:t> </w:t>
      </w:r>
      <w:r>
        <w:rPr>
          <w:color w:val="231F20"/>
        </w:rPr>
        <w:t>window</w:t>
      </w:r>
      <w:r>
        <w:rPr>
          <w:color w:val="231F20"/>
          <w:spacing w:val="-4"/>
        </w:rPr>
        <w:t> </w:t>
      </w:r>
      <w:r>
        <w:rPr>
          <w:color w:val="231F20"/>
        </w:rPr>
        <w:t>of</w:t>
      </w:r>
      <w:r>
        <w:rPr>
          <w:color w:val="231F20"/>
          <w:spacing w:val="-2"/>
        </w:rPr>
        <w:t> </w:t>
      </w:r>
      <w:r>
        <w:rPr>
          <w:color w:val="231F20"/>
        </w:rPr>
        <w:t>time.</w:t>
      </w:r>
      <w:r>
        <w:rPr>
          <w:color w:val="231F20"/>
          <w:spacing w:val="-4"/>
        </w:rPr>
        <w:t> </w:t>
      </w:r>
      <w:r>
        <w:rPr>
          <w:color w:val="231F20"/>
          <w:spacing w:val="-1"/>
        </w:rPr>
        <w:t>For</w:t>
      </w:r>
      <w:r>
        <w:rPr>
          <w:color w:val="231F20"/>
          <w:spacing w:val="-2"/>
        </w:rPr>
        <w:t> </w:t>
      </w:r>
      <w:r>
        <w:rPr>
          <w:color w:val="231F20"/>
          <w:spacing w:val="-1"/>
        </w:rPr>
        <w:t>many</w:t>
      </w:r>
      <w:r>
        <w:rPr>
          <w:color w:val="231F20"/>
          <w:spacing w:val="-3"/>
        </w:rPr>
        <w:t> </w:t>
      </w:r>
      <w:r>
        <w:rPr>
          <w:color w:val="231F20"/>
        </w:rPr>
        <w:t>destinations</w:t>
      </w:r>
      <w:r>
        <w:rPr>
          <w:color w:val="231F20"/>
          <w:spacing w:val="24"/>
        </w:rPr>
        <w:t> </w:t>
      </w:r>
      <w:r>
        <w:rPr>
          <w:color w:val="231F20"/>
        </w:rPr>
        <w:t>there</w:t>
      </w:r>
      <w:r>
        <w:rPr>
          <w:color w:val="231F20"/>
          <w:spacing w:val="-5"/>
        </w:rPr>
        <w:t> </w:t>
      </w:r>
      <w:r>
        <w:rPr>
          <w:color w:val="231F20"/>
        </w:rPr>
        <w:t>are</w:t>
      </w:r>
      <w:r>
        <w:rPr>
          <w:color w:val="231F20"/>
          <w:spacing w:val="-5"/>
        </w:rPr>
        <w:t> </w:t>
      </w:r>
      <w:r>
        <w:rPr>
          <w:color w:val="231F20"/>
          <w:spacing w:val="-1"/>
        </w:rPr>
        <w:t>limited</w:t>
      </w:r>
      <w:r>
        <w:rPr>
          <w:color w:val="231F20"/>
          <w:spacing w:val="-3"/>
        </w:rPr>
        <w:t> </w:t>
      </w:r>
      <w:r>
        <w:rPr>
          <w:color w:val="231F20"/>
        </w:rPr>
        <w:t>transport</w:t>
      </w:r>
      <w:r>
        <w:rPr>
          <w:color w:val="231F20"/>
          <w:spacing w:val="-5"/>
        </w:rPr>
        <w:t> </w:t>
      </w:r>
      <w:r>
        <w:rPr>
          <w:color w:val="231F20"/>
        </w:rPr>
        <w:t>options,</w:t>
      </w:r>
      <w:r>
        <w:rPr>
          <w:color w:val="231F20"/>
          <w:spacing w:val="-4"/>
        </w:rPr>
        <w:t> </w:t>
      </w:r>
      <w:r>
        <w:rPr>
          <w:color w:val="231F20"/>
          <w:spacing w:val="-1"/>
        </w:rPr>
        <w:t>such</w:t>
      </w:r>
      <w:r>
        <w:rPr>
          <w:color w:val="231F20"/>
          <w:spacing w:val="-4"/>
        </w:rPr>
        <w:t> </w:t>
      </w:r>
      <w:r>
        <w:rPr>
          <w:color w:val="231F20"/>
        </w:rPr>
        <w:t>as</w:t>
      </w:r>
      <w:r>
        <w:rPr>
          <w:color w:val="231F20"/>
          <w:spacing w:val="-4"/>
        </w:rPr>
        <w:t> </w:t>
      </w:r>
      <w:r>
        <w:rPr>
          <w:color w:val="231F20"/>
        </w:rPr>
        <w:t>air</w:t>
      </w:r>
      <w:r>
        <w:rPr>
          <w:color w:val="231F20"/>
          <w:spacing w:val="23"/>
          <w:w w:val="99"/>
        </w:rPr>
        <w:t> </w:t>
      </w:r>
      <w:r>
        <w:rPr>
          <w:color w:val="231F20"/>
        </w:rPr>
        <w:t>charters</w:t>
      </w:r>
      <w:r>
        <w:rPr>
          <w:color w:val="231F20"/>
          <w:spacing w:val="-5"/>
        </w:rPr>
        <w:t> </w:t>
      </w:r>
      <w:r>
        <w:rPr>
          <w:color w:val="231F20"/>
        </w:rPr>
        <w:t>only,</w:t>
      </w:r>
      <w:r>
        <w:rPr>
          <w:color w:val="231F20"/>
          <w:spacing w:val="-4"/>
        </w:rPr>
        <w:t> </w:t>
      </w:r>
      <w:r>
        <w:rPr>
          <w:color w:val="231F20"/>
        </w:rPr>
        <w:t>and</w:t>
      </w:r>
      <w:r>
        <w:rPr>
          <w:color w:val="231F20"/>
          <w:spacing w:val="-5"/>
        </w:rPr>
        <w:t> </w:t>
      </w:r>
      <w:r>
        <w:rPr>
          <w:color w:val="231F20"/>
        </w:rPr>
        <w:t>ABSTUDY</w:t>
      </w:r>
      <w:r>
        <w:rPr>
          <w:color w:val="231F20"/>
          <w:spacing w:val="-4"/>
        </w:rPr>
        <w:t> </w:t>
      </w:r>
      <w:r>
        <w:rPr>
          <w:color w:val="231F20"/>
          <w:spacing w:val="-1"/>
        </w:rPr>
        <w:t>must</w:t>
      </w:r>
      <w:r>
        <w:rPr>
          <w:color w:val="231F20"/>
          <w:spacing w:val="-4"/>
        </w:rPr>
        <w:t> </w:t>
      </w:r>
      <w:r>
        <w:rPr>
          <w:color w:val="231F20"/>
          <w:spacing w:val="-1"/>
        </w:rPr>
        <w:t>in</w:t>
      </w:r>
      <w:r>
        <w:rPr>
          <w:color w:val="231F20"/>
          <w:spacing w:val="-3"/>
        </w:rPr>
        <w:t> </w:t>
      </w:r>
      <w:r>
        <w:rPr>
          <w:color w:val="231F20"/>
        </w:rPr>
        <w:t>certain</w:t>
      </w:r>
      <w:r>
        <w:rPr>
          <w:color w:val="231F20"/>
          <w:spacing w:val="22"/>
          <w:w w:val="99"/>
        </w:rPr>
        <w:t> </w:t>
      </w:r>
      <w:r>
        <w:rPr>
          <w:color w:val="231F20"/>
          <w:spacing w:val="-1"/>
        </w:rPr>
        <w:t>instances</w:t>
      </w:r>
      <w:r>
        <w:rPr>
          <w:color w:val="231F20"/>
          <w:spacing w:val="-5"/>
        </w:rPr>
        <w:t> </w:t>
      </w:r>
      <w:r>
        <w:rPr>
          <w:color w:val="231F20"/>
        </w:rPr>
        <w:t>coordinate</w:t>
      </w:r>
      <w:r>
        <w:rPr>
          <w:color w:val="231F20"/>
          <w:spacing w:val="-6"/>
        </w:rPr>
        <w:t> </w:t>
      </w:r>
      <w:r>
        <w:rPr>
          <w:color w:val="231F20"/>
          <w:spacing w:val="-1"/>
        </w:rPr>
        <w:t>students</w:t>
      </w:r>
      <w:r>
        <w:rPr>
          <w:color w:val="231F20"/>
          <w:spacing w:val="-5"/>
        </w:rPr>
        <w:t> </w:t>
      </w:r>
      <w:r>
        <w:rPr>
          <w:color w:val="231F20"/>
        </w:rPr>
        <w:t>travelling</w:t>
      </w:r>
      <w:r>
        <w:rPr>
          <w:color w:val="231F20"/>
          <w:spacing w:val="-6"/>
        </w:rPr>
        <w:t> </w:t>
      </w:r>
      <w:r>
        <w:rPr>
          <w:color w:val="231F20"/>
        </w:rPr>
        <w:t>to</w:t>
      </w:r>
      <w:r>
        <w:rPr>
          <w:color w:val="231F20"/>
          <w:spacing w:val="23"/>
          <w:w w:val="99"/>
        </w:rPr>
        <w:t> </w:t>
      </w:r>
      <w:r>
        <w:rPr>
          <w:color w:val="231F20"/>
          <w:spacing w:val="-1"/>
        </w:rPr>
        <w:t>multiple</w:t>
      </w:r>
      <w:r>
        <w:rPr>
          <w:color w:val="231F20"/>
          <w:spacing w:val="-5"/>
        </w:rPr>
        <w:t> </w:t>
      </w:r>
      <w:r>
        <w:rPr>
          <w:color w:val="231F20"/>
        </w:rPr>
        <w:t>boarding</w:t>
      </w:r>
      <w:r>
        <w:rPr>
          <w:color w:val="231F20"/>
          <w:spacing w:val="-6"/>
        </w:rPr>
        <w:t> </w:t>
      </w:r>
      <w:r>
        <w:rPr>
          <w:color w:val="231F20"/>
        </w:rPr>
        <w:t>providers</w:t>
      </w:r>
      <w:r>
        <w:rPr>
          <w:color w:val="231F20"/>
          <w:spacing w:val="-5"/>
        </w:rPr>
        <w:t> </w:t>
      </w:r>
      <w:r>
        <w:rPr>
          <w:color w:val="231F20"/>
        </w:rPr>
        <w:t>from</w:t>
      </w:r>
      <w:r>
        <w:rPr>
          <w:color w:val="231F20"/>
          <w:spacing w:val="-5"/>
        </w:rPr>
        <w:t> </w:t>
      </w:r>
      <w:r>
        <w:rPr>
          <w:color w:val="231F20"/>
        </w:rPr>
        <w:t>the</w:t>
      </w:r>
      <w:r>
        <w:rPr>
          <w:color w:val="231F20"/>
          <w:spacing w:val="-6"/>
        </w:rPr>
        <w:t> </w:t>
      </w:r>
      <w:r>
        <w:rPr>
          <w:color w:val="231F20"/>
          <w:spacing w:val="-1"/>
        </w:rPr>
        <w:t>same</w:t>
      </w:r>
      <w:r>
        <w:rPr>
          <w:color w:val="231F20"/>
          <w:spacing w:val="21"/>
        </w:rPr>
        <w:t> </w:t>
      </w:r>
      <w:r>
        <w:rPr>
          <w:rFonts w:ascii="Segoe UI"/>
          <w:color w:val="231F20"/>
        </w:rPr>
        <w:t>community. </w:t>
      </w:r>
      <w:r>
        <w:rPr>
          <w:rFonts w:ascii="Segoe UI"/>
          <w:color w:val="231F20"/>
          <w:spacing w:val="-10"/>
        </w:rPr>
        <w:t>To</w:t>
      </w:r>
      <w:r>
        <w:rPr>
          <w:rFonts w:ascii="Segoe UI"/>
          <w:color w:val="231F20"/>
        </w:rPr>
        <w:t> ensure the efficient use of</w:t>
      </w:r>
      <w:r>
        <w:rPr>
          <w:rFonts w:ascii="Segoe UI"/>
        </w:rPr>
      </w:r>
    </w:p>
    <w:p>
      <w:pPr>
        <w:pStyle w:val="BodyText"/>
        <w:spacing w:line="250" w:lineRule="exact"/>
        <w:ind w:left="100" w:right="59"/>
        <w:jc w:val="left"/>
      </w:pPr>
      <w:r>
        <w:rPr>
          <w:color w:val="231F20"/>
        </w:rPr>
        <w:t>the</w:t>
      </w:r>
      <w:r>
        <w:rPr>
          <w:color w:val="231F20"/>
          <w:spacing w:val="-4"/>
        </w:rPr>
        <w:t> </w:t>
      </w:r>
      <w:r>
        <w:rPr>
          <w:color w:val="231F20"/>
          <w:spacing w:val="-1"/>
        </w:rPr>
        <w:t>investment</w:t>
      </w:r>
      <w:r>
        <w:rPr>
          <w:color w:val="231F20"/>
          <w:spacing w:val="-3"/>
        </w:rPr>
        <w:t> </w:t>
      </w:r>
      <w:r>
        <w:rPr>
          <w:color w:val="231F20"/>
          <w:spacing w:val="-1"/>
        </w:rPr>
        <w:t>in</w:t>
      </w:r>
      <w:r>
        <w:rPr>
          <w:color w:val="231F20"/>
          <w:spacing w:val="-3"/>
        </w:rPr>
        <w:t> </w:t>
      </w:r>
      <w:r>
        <w:rPr>
          <w:color w:val="231F20"/>
          <w:spacing w:val="-1"/>
        </w:rPr>
        <w:t>student</w:t>
      </w:r>
      <w:r>
        <w:rPr>
          <w:color w:val="231F20"/>
          <w:spacing w:val="-3"/>
        </w:rPr>
        <w:t> </w:t>
      </w:r>
      <w:r>
        <w:rPr>
          <w:color w:val="231F20"/>
        </w:rPr>
        <w:t>travel,</w:t>
      </w:r>
      <w:r>
        <w:rPr>
          <w:color w:val="231F20"/>
          <w:spacing w:val="-4"/>
        </w:rPr>
        <w:t> </w:t>
      </w:r>
      <w:r>
        <w:rPr>
          <w:color w:val="231F20"/>
        </w:rPr>
        <w:t>concessions</w:t>
      </w:r>
      <w:r>
        <w:rPr>
          <w:color w:val="231F20"/>
          <w:spacing w:val="24"/>
        </w:rPr>
        <w:t> </w:t>
      </w:r>
      <w:r>
        <w:rPr>
          <w:color w:val="231F20"/>
        </w:rPr>
        <w:t>are</w:t>
      </w:r>
      <w:r>
        <w:rPr>
          <w:color w:val="231F20"/>
          <w:spacing w:val="-5"/>
        </w:rPr>
        <w:t> </w:t>
      </w:r>
      <w:r>
        <w:rPr>
          <w:color w:val="231F20"/>
          <w:spacing w:val="-1"/>
        </w:rPr>
        <w:t>made</w:t>
      </w:r>
      <w:r>
        <w:rPr>
          <w:color w:val="231F20"/>
          <w:spacing w:val="-3"/>
        </w:rPr>
        <w:t> </w:t>
      </w:r>
      <w:r>
        <w:rPr>
          <w:color w:val="231F20"/>
        </w:rPr>
        <w:t>by</w:t>
      </w:r>
      <w:r>
        <w:rPr>
          <w:color w:val="231F20"/>
          <w:spacing w:val="-3"/>
        </w:rPr>
        <w:t> </w:t>
      </w:r>
      <w:r>
        <w:rPr>
          <w:color w:val="231F20"/>
        </w:rPr>
        <w:t>ABSTUDY.</w:t>
      </w:r>
      <w:r>
        <w:rPr>
          <w:color w:val="231F20"/>
          <w:spacing w:val="-3"/>
        </w:rPr>
        <w:t> </w:t>
      </w:r>
      <w:r>
        <w:rPr>
          <w:color w:val="231F20"/>
          <w:spacing w:val="-1"/>
        </w:rPr>
        <w:t>For</w:t>
      </w:r>
      <w:r>
        <w:rPr>
          <w:color w:val="231F20"/>
          <w:spacing w:val="-3"/>
        </w:rPr>
        <w:t> </w:t>
      </w:r>
      <w:r>
        <w:rPr>
          <w:color w:val="231F20"/>
        </w:rPr>
        <w:t>example,</w:t>
      </w:r>
      <w:r>
        <w:rPr>
          <w:color w:val="231F20"/>
          <w:spacing w:val="-4"/>
        </w:rPr>
        <w:t> </w:t>
      </w:r>
      <w:r>
        <w:rPr>
          <w:color w:val="231F20"/>
        </w:rPr>
        <w:t>a</w:t>
      </w:r>
      <w:r>
        <w:rPr>
          <w:color w:val="231F20"/>
          <w:spacing w:val="-3"/>
        </w:rPr>
        <w:t> </w:t>
      </w:r>
      <w:r>
        <w:rPr>
          <w:color w:val="231F20"/>
          <w:spacing w:val="-1"/>
        </w:rPr>
        <w:t>single</w:t>
      </w:r>
      <w:r>
        <w:rPr>
          <w:color w:val="231F20"/>
          <w:spacing w:val="22"/>
        </w:rPr>
        <w:t> </w:t>
      </w:r>
      <w:r>
        <w:rPr>
          <w:rFonts w:ascii="Segoe UI"/>
          <w:color w:val="231F20"/>
        </w:rPr>
        <w:t>charter flight may be used to transport a</w:t>
      </w:r>
      <w:r>
        <w:rPr>
          <w:rFonts w:ascii="Segoe UI"/>
          <w:color w:val="231F20"/>
        </w:rPr>
        <w:t> </w:t>
      </w:r>
      <w:r>
        <w:rPr>
          <w:color w:val="231F20"/>
        </w:rPr>
        <w:t>number</w:t>
      </w:r>
      <w:r>
        <w:rPr>
          <w:color w:val="231F20"/>
          <w:spacing w:val="-4"/>
        </w:rPr>
        <w:t> </w:t>
      </w:r>
      <w:r>
        <w:rPr>
          <w:color w:val="231F20"/>
        </w:rPr>
        <w:t>of</w:t>
      </w:r>
      <w:r>
        <w:rPr>
          <w:color w:val="231F20"/>
          <w:spacing w:val="-2"/>
        </w:rPr>
        <w:t> </w:t>
      </w:r>
      <w:r>
        <w:rPr>
          <w:color w:val="231F20"/>
          <w:spacing w:val="-1"/>
        </w:rPr>
        <w:t>students</w:t>
      </w:r>
      <w:r>
        <w:rPr>
          <w:color w:val="231F20"/>
          <w:spacing w:val="-2"/>
        </w:rPr>
        <w:t> </w:t>
      </w:r>
      <w:r>
        <w:rPr>
          <w:color w:val="231F20"/>
        </w:rPr>
        <w:t>from</w:t>
      </w:r>
      <w:r>
        <w:rPr>
          <w:color w:val="231F20"/>
          <w:spacing w:val="-3"/>
        </w:rPr>
        <w:t> </w:t>
      </w:r>
      <w:r>
        <w:rPr>
          <w:color w:val="231F20"/>
        </w:rPr>
        <w:t>a</w:t>
      </w:r>
      <w:r>
        <w:rPr>
          <w:color w:val="231F20"/>
          <w:spacing w:val="-2"/>
        </w:rPr>
        <w:t> </w:t>
      </w:r>
      <w:r>
        <w:rPr>
          <w:color w:val="231F20"/>
          <w:spacing w:val="-1"/>
        </w:rPr>
        <w:t>single</w:t>
      </w:r>
      <w:r>
        <w:rPr>
          <w:color w:val="231F20"/>
          <w:spacing w:val="-2"/>
        </w:rPr>
        <w:t> </w:t>
      </w:r>
      <w:r>
        <w:rPr>
          <w:color w:val="231F20"/>
        </w:rPr>
        <w:t>community</w:t>
      </w:r>
      <w:r>
        <w:rPr>
          <w:color w:val="231F20"/>
          <w:spacing w:val="23"/>
        </w:rPr>
        <w:t> </w:t>
      </w:r>
      <w:r>
        <w:rPr>
          <w:color w:val="231F20"/>
        </w:rPr>
        <w:t>or</w:t>
      </w:r>
      <w:r>
        <w:rPr>
          <w:color w:val="231F20"/>
          <w:spacing w:val="-3"/>
        </w:rPr>
        <w:t> </w:t>
      </w:r>
      <w:r>
        <w:rPr>
          <w:color w:val="231F20"/>
          <w:spacing w:val="-1"/>
        </w:rPr>
        <w:t>series</w:t>
      </w:r>
      <w:r>
        <w:rPr>
          <w:color w:val="231F20"/>
          <w:spacing w:val="-3"/>
        </w:rPr>
        <w:t> </w:t>
      </w:r>
      <w:r>
        <w:rPr>
          <w:color w:val="231F20"/>
        </w:rPr>
        <w:t>of</w:t>
      </w:r>
      <w:r>
        <w:rPr>
          <w:color w:val="231F20"/>
          <w:spacing w:val="-3"/>
        </w:rPr>
        <w:t> </w:t>
      </w:r>
      <w:r>
        <w:rPr>
          <w:color w:val="231F20"/>
        </w:rPr>
        <w:t>nearby</w:t>
      </w:r>
      <w:r>
        <w:rPr>
          <w:color w:val="231F20"/>
          <w:spacing w:val="-3"/>
        </w:rPr>
        <w:t> </w:t>
      </w:r>
      <w:r>
        <w:rPr>
          <w:color w:val="231F20"/>
        </w:rPr>
        <w:t>communities</w:t>
      </w:r>
      <w:r>
        <w:rPr>
          <w:color w:val="231F20"/>
          <w:spacing w:val="-4"/>
        </w:rPr>
        <w:t> </w:t>
      </w:r>
      <w:r>
        <w:rPr>
          <w:color w:val="231F20"/>
        </w:rPr>
        <w:t>to</w:t>
      </w:r>
      <w:r>
        <w:rPr>
          <w:color w:val="231F20"/>
          <w:spacing w:val="-2"/>
        </w:rPr>
        <w:t> </w:t>
      </w:r>
      <w:r>
        <w:rPr>
          <w:color w:val="231F20"/>
        </w:rPr>
        <w:t>a</w:t>
      </w:r>
      <w:r>
        <w:rPr>
          <w:color w:val="231F20"/>
          <w:spacing w:val="-3"/>
        </w:rPr>
        <w:t> </w:t>
      </w:r>
      <w:r>
        <w:rPr>
          <w:color w:val="231F20"/>
        </w:rPr>
        <w:t>regional</w:t>
      </w:r>
      <w:r>
        <w:rPr>
          <w:color w:val="231F20"/>
          <w:spacing w:val="21"/>
          <w:w w:val="99"/>
        </w:rPr>
        <w:t> </w:t>
      </w:r>
      <w:r>
        <w:rPr>
          <w:color w:val="231F20"/>
        </w:rPr>
        <w:t>airport</w:t>
      </w:r>
      <w:r>
        <w:rPr>
          <w:color w:val="231F20"/>
          <w:spacing w:val="-5"/>
        </w:rPr>
        <w:t> </w:t>
      </w:r>
      <w:r>
        <w:rPr>
          <w:color w:val="231F20"/>
        </w:rPr>
        <w:t>hub.</w:t>
      </w:r>
      <w:r>
        <w:rPr>
          <w:color w:val="231F20"/>
          <w:spacing w:val="-3"/>
        </w:rPr>
        <w:t> </w:t>
      </w:r>
      <w:r>
        <w:rPr>
          <w:color w:val="231F20"/>
        </w:rPr>
        <w:t>As</w:t>
      </w:r>
      <w:r>
        <w:rPr>
          <w:color w:val="231F20"/>
          <w:spacing w:val="-5"/>
        </w:rPr>
        <w:t> </w:t>
      </w:r>
      <w:r>
        <w:rPr>
          <w:color w:val="231F20"/>
        </w:rPr>
        <w:t>a</w:t>
      </w:r>
      <w:r>
        <w:rPr>
          <w:color w:val="231F20"/>
          <w:spacing w:val="-3"/>
        </w:rPr>
        <w:t> </w:t>
      </w:r>
      <w:r>
        <w:rPr>
          <w:color w:val="231F20"/>
        </w:rPr>
        <w:t>result</w:t>
      </w:r>
      <w:r>
        <w:rPr>
          <w:color w:val="231F20"/>
          <w:spacing w:val="-4"/>
        </w:rPr>
        <w:t> </w:t>
      </w:r>
      <w:r>
        <w:rPr>
          <w:color w:val="231F20"/>
        </w:rPr>
        <w:t>not</w:t>
      </w:r>
      <w:r>
        <w:rPr>
          <w:color w:val="231F20"/>
          <w:spacing w:val="-4"/>
        </w:rPr>
        <w:t> </w:t>
      </w:r>
      <w:r>
        <w:rPr>
          <w:color w:val="231F20"/>
        </w:rPr>
        <w:t>all</w:t>
      </w:r>
      <w:r>
        <w:rPr>
          <w:color w:val="231F20"/>
          <w:spacing w:val="-4"/>
        </w:rPr>
        <w:t> </w:t>
      </w:r>
      <w:r>
        <w:rPr>
          <w:color w:val="231F20"/>
          <w:spacing w:val="-1"/>
        </w:rPr>
        <w:t>student</w:t>
      </w:r>
      <w:r>
        <w:rPr>
          <w:color w:val="231F20"/>
          <w:spacing w:val="-4"/>
        </w:rPr>
        <w:t> </w:t>
      </w:r>
      <w:r>
        <w:rPr>
          <w:color w:val="231F20"/>
        </w:rPr>
        <w:t>or</w:t>
      </w:r>
      <w:r>
        <w:rPr>
          <w:color w:val="231F20"/>
          <w:spacing w:val="22"/>
          <w:w w:val="99"/>
        </w:rPr>
        <w:t> </w:t>
      </w:r>
      <w:r>
        <w:rPr>
          <w:color w:val="231F20"/>
        </w:rPr>
        <w:t>boarding</w:t>
      </w:r>
      <w:r>
        <w:rPr>
          <w:color w:val="231F20"/>
          <w:spacing w:val="-7"/>
        </w:rPr>
        <w:t> </w:t>
      </w:r>
      <w:r>
        <w:rPr>
          <w:color w:val="231F20"/>
        </w:rPr>
        <w:t>provider</w:t>
      </w:r>
      <w:r>
        <w:rPr>
          <w:color w:val="231F20"/>
          <w:spacing w:val="-7"/>
        </w:rPr>
        <w:t> </w:t>
      </w:r>
      <w:r>
        <w:rPr>
          <w:color w:val="231F20"/>
        </w:rPr>
        <w:t>route</w:t>
      </w:r>
      <w:r>
        <w:rPr>
          <w:color w:val="231F20"/>
          <w:spacing w:val="-7"/>
        </w:rPr>
        <w:t> </w:t>
      </w:r>
      <w:r>
        <w:rPr>
          <w:color w:val="231F20"/>
        </w:rPr>
        <w:t>or</w:t>
      </w:r>
      <w:r>
        <w:rPr>
          <w:color w:val="231F20"/>
          <w:spacing w:val="-6"/>
        </w:rPr>
        <w:t> </w:t>
      </w:r>
      <w:r>
        <w:rPr>
          <w:color w:val="231F20"/>
          <w:spacing w:val="-1"/>
        </w:rPr>
        <w:t>schedule</w:t>
      </w:r>
      <w:r>
        <w:rPr>
          <w:color w:val="231F20"/>
          <w:spacing w:val="-6"/>
        </w:rPr>
        <w:t> </w:t>
      </w:r>
      <w:r>
        <w:rPr>
          <w:color w:val="231F20"/>
        </w:rPr>
        <w:t>requests</w:t>
      </w:r>
      <w:r>
        <w:rPr>
          <w:color w:val="231F20"/>
          <w:spacing w:val="22"/>
          <w:w w:val="99"/>
        </w:rPr>
        <w:t> </w:t>
      </w:r>
      <w:r>
        <w:rPr>
          <w:color w:val="231F20"/>
        </w:rPr>
        <w:t>can</w:t>
      </w:r>
      <w:r>
        <w:rPr>
          <w:color w:val="231F20"/>
          <w:spacing w:val="-10"/>
        </w:rPr>
        <w:t> </w:t>
      </w:r>
      <w:r>
        <w:rPr>
          <w:color w:val="231F20"/>
        </w:rPr>
        <w:t>be</w:t>
      </w:r>
      <w:r>
        <w:rPr>
          <w:color w:val="231F20"/>
          <w:spacing w:val="-10"/>
        </w:rPr>
        <w:t> </w:t>
      </w:r>
      <w:r>
        <w:rPr>
          <w:color w:val="231F20"/>
        </w:rPr>
        <w:t>accommodated.</w:t>
      </w:r>
      <w:r>
        <w:rPr/>
      </w:r>
    </w:p>
    <w:p>
      <w:pPr>
        <w:pStyle w:val="BodyText"/>
        <w:spacing w:line="250" w:lineRule="exact" w:before="113"/>
        <w:ind w:left="100" w:right="0"/>
        <w:jc w:val="left"/>
      </w:pP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9"/>
        </w:rPr>
        <w:t> </w:t>
      </w:r>
      <w:r>
        <w:rPr>
          <w:color w:val="231F20"/>
        </w:rPr>
        <w:t>and</w:t>
      </w:r>
      <w:r>
        <w:rPr>
          <w:color w:val="231F20"/>
          <w:spacing w:val="-8"/>
        </w:rPr>
        <w:t> </w:t>
      </w:r>
      <w:r>
        <w:rPr>
          <w:color w:val="231F20"/>
        </w:rPr>
        <w:t>the</w:t>
      </w:r>
      <w:r>
        <w:rPr>
          <w:color w:val="231F20"/>
          <w:spacing w:val="-9"/>
        </w:rPr>
        <w:t> </w:t>
      </w:r>
      <w:r>
        <w:rPr>
          <w:color w:val="231F20"/>
        </w:rPr>
        <w:t>transition</w:t>
      </w:r>
      <w:r>
        <w:rPr>
          <w:color w:val="231F20"/>
          <w:spacing w:val="-8"/>
        </w:rPr>
        <w:t> </w:t>
      </w:r>
      <w:r>
        <w:rPr>
          <w:color w:val="231F20"/>
          <w:spacing w:val="-1"/>
        </w:rPr>
        <w:t>support</w:t>
      </w:r>
      <w:r>
        <w:rPr/>
      </w:r>
    </w:p>
    <w:p>
      <w:pPr>
        <w:pStyle w:val="BodyText"/>
        <w:spacing w:line="250" w:lineRule="exact"/>
        <w:ind w:left="100" w:right="11"/>
        <w:jc w:val="left"/>
      </w:pPr>
      <w:r>
        <w:rPr>
          <w:color w:val="231F20"/>
        </w:rPr>
        <w:t>units</w:t>
      </w:r>
      <w:r>
        <w:rPr>
          <w:color w:val="231F20"/>
          <w:spacing w:val="-6"/>
        </w:rPr>
        <w:t> </w:t>
      </w:r>
      <w:r>
        <w:rPr>
          <w:color w:val="231F20"/>
        </w:rPr>
        <w:t>acknowledged</w:t>
      </w:r>
      <w:r>
        <w:rPr>
          <w:color w:val="231F20"/>
          <w:spacing w:val="-5"/>
        </w:rPr>
        <w:t> </w:t>
      </w:r>
      <w:r>
        <w:rPr>
          <w:color w:val="231F20"/>
        </w:rPr>
        <w:t>the</w:t>
      </w:r>
      <w:r>
        <w:rPr>
          <w:color w:val="231F20"/>
          <w:spacing w:val="-6"/>
        </w:rPr>
        <w:t> </w:t>
      </w:r>
      <w:r>
        <w:rPr>
          <w:color w:val="231F20"/>
        </w:rPr>
        <w:t>complexity</w:t>
      </w:r>
      <w:r>
        <w:rPr>
          <w:color w:val="231F20"/>
          <w:spacing w:val="-5"/>
        </w:rPr>
        <w:t> </w:t>
      </w:r>
      <w:r>
        <w:rPr>
          <w:color w:val="231F20"/>
        </w:rPr>
        <w:t>of</w:t>
      </w:r>
      <w:r>
        <w:rPr>
          <w:color w:val="231F20"/>
          <w:w w:val="99"/>
        </w:rPr>
        <w:t> </w:t>
      </w:r>
      <w:r>
        <w:rPr>
          <w:color w:val="231F20"/>
          <w:spacing w:val="-1"/>
        </w:rPr>
        <w:t>managing</w:t>
      </w:r>
      <w:r>
        <w:rPr>
          <w:color w:val="231F20"/>
          <w:spacing w:val="-5"/>
        </w:rPr>
        <w:t> </w:t>
      </w:r>
      <w:r>
        <w:rPr>
          <w:color w:val="231F20"/>
        </w:rPr>
        <w:t>travel</w:t>
      </w:r>
      <w:r>
        <w:rPr>
          <w:color w:val="231F20"/>
          <w:spacing w:val="-7"/>
        </w:rPr>
        <w:t> </w:t>
      </w:r>
      <w:r>
        <w:rPr>
          <w:color w:val="231F20"/>
        </w:rPr>
        <w:t>but</w:t>
      </w:r>
      <w:r>
        <w:rPr>
          <w:color w:val="231F20"/>
          <w:spacing w:val="-6"/>
        </w:rPr>
        <w:t> </w:t>
      </w:r>
      <w:r>
        <w:rPr>
          <w:color w:val="231F20"/>
          <w:spacing w:val="-1"/>
        </w:rPr>
        <w:t>indicated</w:t>
      </w:r>
      <w:r>
        <w:rPr>
          <w:color w:val="231F20"/>
          <w:spacing w:val="-6"/>
        </w:rPr>
        <w:t> </w:t>
      </w:r>
      <w:r>
        <w:rPr>
          <w:color w:val="231F20"/>
        </w:rPr>
        <w:t>there</w:t>
      </w:r>
      <w:r>
        <w:rPr>
          <w:color w:val="231F20"/>
          <w:spacing w:val="-7"/>
        </w:rPr>
        <w:t> </w:t>
      </w:r>
      <w:r>
        <w:rPr>
          <w:color w:val="231F20"/>
        </w:rPr>
        <w:t>was</w:t>
      </w:r>
      <w:r>
        <w:rPr>
          <w:color w:val="231F20"/>
          <w:spacing w:val="-6"/>
        </w:rPr>
        <w:t> </w:t>
      </w:r>
      <w:r>
        <w:rPr>
          <w:color w:val="231F20"/>
        </w:rPr>
        <w:t>a</w:t>
      </w:r>
      <w:r>
        <w:rPr>
          <w:color w:val="231F20"/>
          <w:w w:val="99"/>
        </w:rPr>
        <w:t> </w:t>
      </w:r>
      <w:r>
        <w:rPr>
          <w:color w:val="231F20"/>
          <w:spacing w:val="23"/>
          <w:w w:val="99"/>
        </w:rPr>
        <w:t> </w:t>
      </w:r>
      <w:r>
        <w:rPr>
          <w:rFonts w:ascii="Segoe UI"/>
          <w:color w:val="231F20"/>
        </w:rPr>
        <w:t>need for increased flexibility and improved</w:t>
      </w:r>
      <w:r>
        <w:rPr>
          <w:rFonts w:ascii="Segoe UI"/>
          <w:color w:val="231F20"/>
        </w:rPr>
        <w:t> </w:t>
      </w:r>
      <w:r>
        <w:rPr>
          <w:color w:val="231F20"/>
        </w:rPr>
        <w:t>communication.</w:t>
      </w:r>
      <w:r>
        <w:rPr>
          <w:color w:val="231F20"/>
          <w:spacing w:val="-8"/>
        </w:rPr>
        <w:t> </w:t>
      </w:r>
      <w:r>
        <w:rPr>
          <w:color w:val="231F20"/>
        </w:rPr>
        <w:t>Examples</w:t>
      </w:r>
      <w:r>
        <w:rPr>
          <w:color w:val="231F20"/>
          <w:spacing w:val="-9"/>
        </w:rPr>
        <w:t> </w:t>
      </w:r>
      <w:r>
        <w:rPr>
          <w:color w:val="231F20"/>
        </w:rPr>
        <w:t>were</w:t>
      </w:r>
      <w:r>
        <w:rPr>
          <w:color w:val="231F20"/>
          <w:spacing w:val="-8"/>
        </w:rPr>
        <w:t> </w:t>
      </w:r>
      <w:r>
        <w:rPr>
          <w:color w:val="231F20"/>
        </w:rPr>
        <w:t>provided</w:t>
      </w:r>
      <w:r>
        <w:rPr>
          <w:color w:val="231F20"/>
          <w:spacing w:val="-8"/>
        </w:rPr>
        <w:t> </w:t>
      </w:r>
      <w:r>
        <w:rPr>
          <w:color w:val="231F20"/>
        </w:rPr>
        <w:t>of</w:t>
      </w:r>
      <w:r>
        <w:rPr>
          <w:color w:val="231F20"/>
          <w:w w:val="99"/>
        </w:rPr>
        <w:t> </w:t>
      </w:r>
      <w:r>
        <w:rPr>
          <w:rFonts w:ascii="Segoe UI"/>
          <w:color w:val="231F20"/>
        </w:rPr>
        <w:t>unusual travel itineraries, inflexibility leading to</w:t>
      </w:r>
      <w:r>
        <w:rPr>
          <w:rFonts w:ascii="Segoe UI"/>
          <w:color w:val="231F20"/>
        </w:rPr>
        <w:t> missed flights and non-attendance at school, </w:t>
      </w:r>
      <w:r>
        <w:rPr>
          <w:color w:val="231F20"/>
        </w:rPr>
        <w:t>and</w:t>
      </w:r>
      <w:r>
        <w:rPr>
          <w:color w:val="231F20"/>
          <w:spacing w:val="-8"/>
        </w:rPr>
        <w:t> </w:t>
      </w:r>
      <w:r>
        <w:rPr>
          <w:color w:val="231F20"/>
        </w:rPr>
        <w:t>unnecessary</w:t>
      </w:r>
      <w:r>
        <w:rPr>
          <w:color w:val="231F20"/>
          <w:spacing w:val="-8"/>
        </w:rPr>
        <w:t> </w:t>
      </w:r>
      <w:r>
        <w:rPr>
          <w:color w:val="231F20"/>
        </w:rPr>
        <w:t>costs</w:t>
      </w:r>
      <w:r>
        <w:rPr>
          <w:color w:val="231F20"/>
          <w:spacing w:val="-8"/>
        </w:rPr>
        <w:t> </w:t>
      </w:r>
      <w:r>
        <w:rPr>
          <w:color w:val="231F20"/>
        </w:rPr>
        <w:t>associated</w:t>
      </w:r>
      <w:r>
        <w:rPr>
          <w:color w:val="231F20"/>
          <w:spacing w:val="-8"/>
        </w:rPr>
        <w:t> </w:t>
      </w:r>
      <w:r>
        <w:rPr>
          <w:color w:val="231F20"/>
        </w:rPr>
        <w:t>with</w:t>
      </w:r>
      <w:r>
        <w:rPr>
          <w:color w:val="231F20"/>
          <w:spacing w:val="-8"/>
        </w:rPr>
        <w:t> </w:t>
      </w:r>
      <w:r>
        <w:rPr>
          <w:color w:val="231F20"/>
        </w:rPr>
        <w:t>centrally</w:t>
      </w:r>
      <w:r>
        <w:rPr>
          <w:color w:val="231F20"/>
          <w:w w:val="99"/>
        </w:rPr>
        <w:t> </w:t>
      </w:r>
      <w:r>
        <w:rPr>
          <w:color w:val="231F20"/>
        </w:rPr>
        <w:t>organised</w:t>
      </w:r>
      <w:r>
        <w:rPr>
          <w:color w:val="231F20"/>
          <w:spacing w:val="-16"/>
        </w:rPr>
        <w:t> </w:t>
      </w:r>
      <w:r>
        <w:rPr>
          <w:color w:val="231F20"/>
        </w:rPr>
        <w:t>travel.</w:t>
      </w:r>
      <w:r>
        <w:rPr/>
      </w:r>
    </w:p>
    <w:p>
      <w:pPr>
        <w:pStyle w:val="BodyText"/>
        <w:spacing w:line="250" w:lineRule="exact" w:before="69"/>
        <w:ind w:left="100" w:right="406"/>
        <w:jc w:val="left"/>
      </w:pPr>
      <w:r>
        <w:rPr/>
        <w:br w:type="column"/>
      </w:r>
      <w:r>
        <w:rPr>
          <w:color w:val="231F20"/>
        </w:rPr>
        <w:t>The</w:t>
      </w:r>
      <w:r>
        <w:rPr>
          <w:color w:val="231F20"/>
          <w:spacing w:val="-8"/>
        </w:rPr>
        <w:t> </w:t>
      </w:r>
      <w:r>
        <w:rPr>
          <w:color w:val="231F20"/>
          <w:spacing w:val="-1"/>
        </w:rPr>
        <w:t>majority</w:t>
      </w:r>
      <w:r>
        <w:rPr>
          <w:color w:val="231F20"/>
          <w:spacing w:val="-7"/>
        </w:rPr>
        <w:t> </w:t>
      </w:r>
      <w:r>
        <w:rPr>
          <w:color w:val="231F20"/>
        </w:rPr>
        <w:t>of</w:t>
      </w:r>
      <w:r>
        <w:rPr>
          <w:color w:val="231F20"/>
          <w:spacing w:val="-8"/>
        </w:rPr>
        <w:t> </w:t>
      </w:r>
      <w:r>
        <w:rPr>
          <w:color w:val="231F20"/>
        </w:rPr>
        <w:t>boarding</w:t>
      </w:r>
      <w:r>
        <w:rPr>
          <w:color w:val="231F20"/>
          <w:spacing w:val="-8"/>
        </w:rPr>
        <w:t> </w:t>
      </w:r>
      <w:r>
        <w:rPr>
          <w:color w:val="231F20"/>
        </w:rPr>
        <w:t>providers</w:t>
      </w:r>
      <w:r>
        <w:rPr>
          <w:color w:val="231F20"/>
          <w:spacing w:val="-8"/>
        </w:rPr>
        <w:t> </w:t>
      </w:r>
      <w:r>
        <w:rPr>
          <w:color w:val="231F20"/>
        </w:rPr>
        <w:t>requiring</w:t>
      </w:r>
      <w:r>
        <w:rPr>
          <w:color w:val="231F20"/>
          <w:spacing w:val="22"/>
          <w:w w:val="99"/>
        </w:rPr>
        <w:t> </w:t>
      </w:r>
      <w:r>
        <w:rPr>
          <w:color w:val="231F20"/>
          <w:spacing w:val="-1"/>
        </w:rPr>
        <w:t>student</w:t>
      </w:r>
      <w:r>
        <w:rPr>
          <w:color w:val="231F20"/>
          <w:spacing w:val="-4"/>
        </w:rPr>
        <w:t> </w:t>
      </w:r>
      <w:r>
        <w:rPr>
          <w:color w:val="231F20"/>
        </w:rPr>
        <w:t>travel</w:t>
      </w:r>
      <w:r>
        <w:rPr>
          <w:color w:val="231F20"/>
          <w:spacing w:val="-4"/>
        </w:rPr>
        <w:t> </w:t>
      </w:r>
      <w:r>
        <w:rPr>
          <w:color w:val="231F20"/>
        </w:rPr>
        <w:t>use</w:t>
      </w:r>
      <w:r>
        <w:rPr>
          <w:color w:val="231F20"/>
          <w:spacing w:val="-4"/>
        </w:rPr>
        <w:t> </w:t>
      </w:r>
      <w:r>
        <w:rPr>
          <w:color w:val="231F20"/>
        </w:rPr>
        <w:t>the</w:t>
      </w:r>
      <w:r>
        <w:rPr>
          <w:color w:val="231F20"/>
          <w:spacing w:val="-4"/>
        </w:rPr>
        <w:t> </w:t>
      </w:r>
      <w:r>
        <w:rPr>
          <w:color w:val="231F20"/>
          <w:spacing w:val="-1"/>
        </w:rPr>
        <w:t>DHS</w:t>
      </w:r>
      <w:r>
        <w:rPr>
          <w:color w:val="231F20"/>
          <w:spacing w:val="-4"/>
        </w:rPr>
        <w:t> </w:t>
      </w:r>
      <w:r>
        <w:rPr>
          <w:color w:val="231F20"/>
        </w:rPr>
        <w:t>ABSTUDY</w:t>
      </w:r>
      <w:r>
        <w:rPr>
          <w:color w:val="231F20"/>
          <w:spacing w:val="-4"/>
        </w:rPr>
        <w:t> </w:t>
      </w:r>
      <w:r>
        <w:rPr>
          <w:color w:val="231F20"/>
        </w:rPr>
        <w:t>travel</w:t>
      </w:r>
      <w:r>
        <w:rPr>
          <w:color w:val="231F20"/>
          <w:spacing w:val="23"/>
          <w:w w:val="99"/>
        </w:rPr>
        <w:t> </w:t>
      </w:r>
      <w:r>
        <w:rPr>
          <w:color w:val="231F20"/>
        </w:rPr>
        <w:t>team</w:t>
      </w:r>
      <w:r>
        <w:rPr>
          <w:color w:val="231F20"/>
          <w:spacing w:val="-6"/>
        </w:rPr>
        <w:t> </w:t>
      </w:r>
      <w:r>
        <w:rPr>
          <w:color w:val="231F20"/>
        </w:rPr>
        <w:t>and</w:t>
      </w:r>
      <w:r>
        <w:rPr>
          <w:color w:val="231F20"/>
          <w:spacing w:val="-6"/>
        </w:rPr>
        <w:t> </w:t>
      </w:r>
      <w:r>
        <w:rPr>
          <w:color w:val="231F20"/>
          <w:spacing w:val="-4"/>
        </w:rPr>
        <w:t>QB</w:t>
      </w:r>
      <w:r>
        <w:rPr>
          <w:color w:val="231F20"/>
          <w:spacing w:val="-5"/>
        </w:rPr>
        <w:t>T</w:t>
      </w:r>
      <w:r>
        <w:rPr>
          <w:color w:val="231F20"/>
          <w:spacing w:val="-4"/>
        </w:rPr>
        <w:t> </w:t>
      </w:r>
      <w:r>
        <w:rPr>
          <w:color w:val="231F20"/>
        </w:rPr>
        <w:t>to</w:t>
      </w:r>
      <w:r>
        <w:rPr>
          <w:color w:val="231F20"/>
          <w:spacing w:val="-5"/>
        </w:rPr>
        <w:t> </w:t>
      </w:r>
      <w:r>
        <w:rPr>
          <w:color w:val="231F20"/>
        </w:rPr>
        <w:t>book</w:t>
      </w:r>
      <w:r>
        <w:rPr>
          <w:color w:val="231F20"/>
          <w:spacing w:val="-6"/>
        </w:rPr>
        <w:t> </w:t>
      </w:r>
      <w:r>
        <w:rPr>
          <w:color w:val="231F20"/>
        </w:rPr>
        <w:t>and</w:t>
      </w:r>
      <w:r>
        <w:rPr>
          <w:color w:val="231F20"/>
          <w:spacing w:val="-5"/>
        </w:rPr>
        <w:t> </w:t>
      </w:r>
      <w:r>
        <w:rPr>
          <w:color w:val="231F20"/>
        </w:rPr>
        <w:t>coordinate</w:t>
      </w:r>
      <w:r>
        <w:rPr>
          <w:color w:val="231F20"/>
          <w:spacing w:val="-6"/>
        </w:rPr>
        <w:t> </w:t>
      </w:r>
      <w:r>
        <w:rPr>
          <w:color w:val="231F20"/>
        </w:rPr>
        <w:t>travel.</w:t>
      </w:r>
      <w:r>
        <w:rPr>
          <w:color w:val="231F20"/>
          <w:spacing w:val="22"/>
          <w:w w:val="99"/>
        </w:rPr>
        <w:t> </w:t>
      </w:r>
      <w:r>
        <w:rPr>
          <w:color w:val="231F20"/>
        </w:rPr>
        <w:t>A</w:t>
      </w:r>
      <w:r>
        <w:rPr>
          <w:color w:val="231F20"/>
          <w:spacing w:val="-5"/>
        </w:rPr>
        <w:t> </w:t>
      </w:r>
      <w:r>
        <w:rPr>
          <w:color w:val="231F20"/>
          <w:spacing w:val="-1"/>
        </w:rPr>
        <w:t>small</w:t>
      </w:r>
      <w:r>
        <w:rPr>
          <w:color w:val="231F20"/>
          <w:spacing w:val="-4"/>
        </w:rPr>
        <w:t> </w:t>
      </w:r>
      <w:r>
        <w:rPr>
          <w:color w:val="231F20"/>
        </w:rPr>
        <w:t>number</w:t>
      </w:r>
      <w:r>
        <w:rPr>
          <w:color w:val="231F20"/>
          <w:spacing w:val="-5"/>
        </w:rPr>
        <w:t> </w:t>
      </w:r>
      <w:r>
        <w:rPr>
          <w:color w:val="231F20"/>
        </w:rPr>
        <w:t>of</w:t>
      </w:r>
      <w:r>
        <w:rPr>
          <w:color w:val="231F20"/>
          <w:spacing w:val="-5"/>
        </w:rPr>
        <w:t> </w:t>
      </w:r>
      <w:r>
        <w:rPr>
          <w:color w:val="231F20"/>
        </w:rPr>
        <w:t>providers</w:t>
      </w:r>
      <w:r>
        <w:rPr>
          <w:color w:val="231F20"/>
          <w:spacing w:val="-5"/>
        </w:rPr>
        <w:t> </w:t>
      </w:r>
      <w:r>
        <w:rPr>
          <w:color w:val="231F20"/>
        </w:rPr>
        <w:t>book</w:t>
      </w:r>
      <w:r>
        <w:rPr>
          <w:color w:val="231F20"/>
          <w:spacing w:val="-5"/>
        </w:rPr>
        <w:t> </w:t>
      </w:r>
      <w:r>
        <w:rPr>
          <w:color w:val="231F20"/>
        </w:rPr>
        <w:t>travel</w:t>
      </w:r>
      <w:r>
        <w:rPr>
          <w:color w:val="231F20"/>
          <w:spacing w:val="-5"/>
        </w:rPr>
        <w:t> </w:t>
      </w:r>
      <w:r>
        <w:rPr>
          <w:color w:val="231F20"/>
        </w:rPr>
        <w:t>and</w:t>
      </w:r>
      <w:r>
        <w:rPr>
          <w:color w:val="231F20"/>
          <w:spacing w:val="21"/>
          <w:w w:val="99"/>
        </w:rPr>
        <w:t> </w:t>
      </w:r>
      <w:r>
        <w:rPr>
          <w:color w:val="231F20"/>
          <w:spacing w:val="-1"/>
        </w:rPr>
        <w:t>seek</w:t>
      </w:r>
      <w:r>
        <w:rPr>
          <w:color w:val="231F20"/>
          <w:spacing w:val="-5"/>
        </w:rPr>
        <w:t> </w:t>
      </w:r>
      <w:r>
        <w:rPr>
          <w:color w:val="231F20"/>
        </w:rPr>
        <w:t>reimbursement</w:t>
      </w:r>
      <w:r>
        <w:rPr>
          <w:color w:val="231F20"/>
          <w:spacing w:val="-6"/>
        </w:rPr>
        <w:t> </w:t>
      </w:r>
      <w:r>
        <w:rPr>
          <w:color w:val="231F20"/>
        </w:rPr>
        <w:t>from</w:t>
      </w:r>
      <w:r>
        <w:rPr>
          <w:color w:val="231F20"/>
          <w:spacing w:val="-5"/>
        </w:rPr>
        <w:t> </w:t>
      </w:r>
      <w:r>
        <w:rPr>
          <w:color w:val="231F20"/>
          <w:spacing w:val="-1"/>
        </w:rPr>
        <w:t>DHS</w:t>
      </w:r>
      <w:r>
        <w:rPr>
          <w:color w:val="231F20"/>
          <w:spacing w:val="-5"/>
        </w:rPr>
        <w:t> </w:t>
      </w:r>
      <w:r>
        <w:rPr>
          <w:color w:val="231F20"/>
        </w:rPr>
        <w:t>for</w:t>
      </w:r>
      <w:r>
        <w:rPr>
          <w:color w:val="231F20"/>
          <w:spacing w:val="-4"/>
        </w:rPr>
        <w:t> </w:t>
      </w:r>
      <w:r>
        <w:rPr>
          <w:color w:val="231F20"/>
        </w:rPr>
        <w:t>the</w:t>
      </w:r>
      <w:r>
        <w:rPr>
          <w:color w:val="231F20"/>
          <w:spacing w:val="-6"/>
        </w:rPr>
        <w:t> </w:t>
      </w:r>
      <w:r>
        <w:rPr>
          <w:color w:val="231F20"/>
        </w:rPr>
        <w:t>cost.</w:t>
      </w:r>
      <w:r>
        <w:rPr/>
      </w:r>
    </w:p>
    <w:p>
      <w:pPr>
        <w:pStyle w:val="BodyText"/>
        <w:spacing w:line="250" w:lineRule="exact" w:before="113"/>
        <w:ind w:left="100" w:right="243"/>
        <w:jc w:val="left"/>
      </w:pPr>
      <w:r>
        <w:rPr>
          <w:color w:val="231F20"/>
          <w:spacing w:val="-1"/>
        </w:rPr>
        <w:t>Boarding</w:t>
      </w:r>
      <w:r>
        <w:rPr>
          <w:color w:val="231F20"/>
          <w:spacing w:val="-8"/>
        </w:rPr>
        <w:t> </w:t>
      </w:r>
      <w:r>
        <w:rPr>
          <w:color w:val="231F20"/>
        </w:rPr>
        <w:t>providers</w:t>
      </w:r>
      <w:r>
        <w:rPr>
          <w:color w:val="231F20"/>
          <w:spacing w:val="-7"/>
        </w:rPr>
        <w:t> </w:t>
      </w:r>
      <w:r>
        <w:rPr>
          <w:color w:val="231F20"/>
          <w:spacing w:val="-1"/>
        </w:rPr>
        <w:t>indicated</w:t>
      </w:r>
      <w:r>
        <w:rPr>
          <w:color w:val="231F20"/>
          <w:spacing w:val="-7"/>
        </w:rPr>
        <w:t> </w:t>
      </w:r>
      <w:r>
        <w:rPr>
          <w:color w:val="231F20"/>
        </w:rPr>
        <w:t>that</w:t>
      </w:r>
      <w:r>
        <w:rPr>
          <w:color w:val="231F20"/>
          <w:spacing w:val="-8"/>
        </w:rPr>
        <w:t> </w:t>
      </w:r>
      <w:r>
        <w:rPr>
          <w:color w:val="231F20"/>
        </w:rPr>
        <w:t>ABSTUDY</w:t>
      </w:r>
      <w:r>
        <w:rPr>
          <w:color w:val="231F20"/>
          <w:spacing w:val="23"/>
        </w:rPr>
        <w:t> </w:t>
      </w:r>
      <w:r>
        <w:rPr>
          <w:color w:val="231F20"/>
        </w:rPr>
        <w:t>travel</w:t>
      </w:r>
      <w:r>
        <w:rPr>
          <w:color w:val="231F20"/>
          <w:spacing w:val="-8"/>
        </w:rPr>
        <w:t> </w:t>
      </w:r>
      <w:r>
        <w:rPr>
          <w:color w:val="231F20"/>
          <w:spacing w:val="-1"/>
        </w:rPr>
        <w:t>is</w:t>
      </w:r>
      <w:r>
        <w:rPr>
          <w:color w:val="231F20"/>
          <w:spacing w:val="-7"/>
        </w:rPr>
        <w:t> </w:t>
      </w:r>
      <w:r>
        <w:rPr>
          <w:color w:val="231F20"/>
        </w:rPr>
        <w:t>complicated</w:t>
      </w:r>
      <w:r>
        <w:rPr>
          <w:color w:val="231F20"/>
          <w:spacing w:val="-8"/>
        </w:rPr>
        <w:t> </w:t>
      </w:r>
      <w:r>
        <w:rPr>
          <w:color w:val="231F20"/>
        </w:rPr>
        <w:t>and</w:t>
      </w:r>
      <w:r>
        <w:rPr>
          <w:color w:val="231F20"/>
          <w:spacing w:val="-7"/>
        </w:rPr>
        <w:t> </w:t>
      </w:r>
      <w:r>
        <w:rPr>
          <w:color w:val="231F20"/>
        </w:rPr>
        <w:t>overly</w:t>
      </w:r>
      <w:r>
        <w:rPr>
          <w:color w:val="231F20"/>
          <w:spacing w:val="-7"/>
        </w:rPr>
        <w:t> </w:t>
      </w:r>
      <w:r>
        <w:rPr>
          <w:color w:val="231F20"/>
        </w:rPr>
        <w:t>resource</w:t>
      </w:r>
      <w:r>
        <w:rPr>
          <w:color w:val="231F20"/>
          <w:spacing w:val="21"/>
          <w:w w:val="99"/>
        </w:rPr>
        <w:t> </w:t>
      </w:r>
      <w:r>
        <w:rPr>
          <w:color w:val="231F20"/>
          <w:spacing w:val="-1"/>
        </w:rPr>
        <w:t>intensive,</w:t>
      </w:r>
      <w:r>
        <w:rPr>
          <w:color w:val="231F20"/>
          <w:spacing w:val="-5"/>
        </w:rPr>
        <w:t> </w:t>
      </w:r>
      <w:r>
        <w:rPr>
          <w:color w:val="231F20"/>
        </w:rPr>
        <w:t>which</w:t>
      </w:r>
      <w:r>
        <w:rPr>
          <w:color w:val="231F20"/>
          <w:spacing w:val="-5"/>
        </w:rPr>
        <w:t> </w:t>
      </w:r>
      <w:r>
        <w:rPr>
          <w:color w:val="231F20"/>
        </w:rPr>
        <w:t>creates</w:t>
      </w:r>
      <w:r>
        <w:rPr>
          <w:color w:val="231F20"/>
          <w:spacing w:val="-5"/>
        </w:rPr>
        <w:t> </w:t>
      </w:r>
      <w:r>
        <w:rPr>
          <w:color w:val="231F20"/>
        </w:rPr>
        <w:t>an</w:t>
      </w:r>
      <w:r>
        <w:rPr>
          <w:color w:val="231F20"/>
          <w:spacing w:val="-6"/>
        </w:rPr>
        <w:t> </w:t>
      </w:r>
      <w:r>
        <w:rPr>
          <w:color w:val="231F20"/>
        </w:rPr>
        <w:t>additional</w:t>
      </w:r>
      <w:r>
        <w:rPr>
          <w:color w:val="231F20"/>
          <w:spacing w:val="-5"/>
        </w:rPr>
        <w:t> </w:t>
      </w:r>
      <w:r>
        <w:rPr>
          <w:color w:val="231F20"/>
        </w:rPr>
        <w:t>cost</w:t>
      </w:r>
      <w:r>
        <w:rPr>
          <w:color w:val="231F20"/>
          <w:spacing w:val="-5"/>
        </w:rPr>
        <w:t> </w:t>
      </w:r>
      <w:r>
        <w:rPr>
          <w:color w:val="231F20"/>
        </w:rPr>
        <w:t>that</w:t>
      </w:r>
      <w:r>
        <w:rPr>
          <w:color w:val="231F20"/>
          <w:spacing w:val="22"/>
          <w:w w:val="99"/>
        </w:rPr>
        <w:t> </w:t>
      </w:r>
      <w:r>
        <w:rPr>
          <w:color w:val="231F20"/>
          <w:spacing w:val="-1"/>
        </w:rPr>
        <w:t>is</w:t>
      </w:r>
      <w:r>
        <w:rPr>
          <w:color w:val="231F20"/>
          <w:spacing w:val="-7"/>
        </w:rPr>
        <w:t> </w:t>
      </w:r>
      <w:r>
        <w:rPr>
          <w:color w:val="231F20"/>
        </w:rPr>
        <w:t>borne</w:t>
      </w:r>
      <w:r>
        <w:rPr>
          <w:color w:val="231F20"/>
          <w:spacing w:val="-7"/>
        </w:rPr>
        <w:t> </w:t>
      </w:r>
      <w:r>
        <w:rPr>
          <w:color w:val="231F20"/>
        </w:rPr>
        <w:t>by</w:t>
      </w:r>
      <w:r>
        <w:rPr>
          <w:color w:val="231F20"/>
          <w:spacing w:val="-5"/>
        </w:rPr>
        <w:t> </w:t>
      </w:r>
      <w:r>
        <w:rPr>
          <w:color w:val="231F20"/>
        </w:rPr>
        <w:t>boarding</w:t>
      </w:r>
      <w:r>
        <w:rPr>
          <w:color w:val="231F20"/>
          <w:spacing w:val="-7"/>
        </w:rPr>
        <w:t> </w:t>
      </w:r>
      <w:r>
        <w:rPr>
          <w:color w:val="231F20"/>
        </w:rPr>
        <w:t>providers</w:t>
      </w:r>
      <w:r>
        <w:rPr>
          <w:color w:val="231F20"/>
          <w:spacing w:val="-7"/>
        </w:rPr>
        <w:t> </w:t>
      </w:r>
      <w:r>
        <w:rPr>
          <w:color w:val="231F20"/>
        </w:rPr>
        <w:t>or</w:t>
      </w:r>
      <w:r>
        <w:rPr>
          <w:color w:val="231F20"/>
          <w:spacing w:val="-5"/>
        </w:rPr>
        <w:t> </w:t>
      </w:r>
      <w:r>
        <w:rPr>
          <w:color w:val="231F20"/>
        </w:rPr>
        <w:t>transition</w:t>
      </w:r>
      <w:r>
        <w:rPr>
          <w:color w:val="231F20"/>
          <w:spacing w:val="21"/>
          <w:w w:val="99"/>
        </w:rPr>
        <w:t> </w:t>
      </w:r>
      <w:r>
        <w:rPr>
          <w:color w:val="231F20"/>
          <w:spacing w:val="-1"/>
        </w:rPr>
        <w:t>support</w:t>
      </w:r>
      <w:r>
        <w:rPr>
          <w:color w:val="231F20"/>
          <w:spacing w:val="-3"/>
        </w:rPr>
        <w:t> </w:t>
      </w:r>
      <w:r>
        <w:rPr>
          <w:color w:val="231F20"/>
          <w:spacing w:val="-1"/>
        </w:rPr>
        <w:t>units.</w:t>
      </w:r>
      <w:r>
        <w:rPr>
          <w:rFonts w:ascii="Segoe UI Semibold"/>
          <w:b/>
          <w:color w:val="231F20"/>
          <w:spacing w:val="-1"/>
          <w:position w:val="7"/>
          <w:sz w:val="11"/>
        </w:rPr>
        <w:t>110</w:t>
      </w:r>
      <w:r>
        <w:rPr>
          <w:rFonts w:ascii="Segoe UI Semibold"/>
          <w:b/>
          <w:color w:val="231F20"/>
          <w:spacing w:val="22"/>
          <w:position w:val="7"/>
          <w:sz w:val="11"/>
        </w:rPr>
        <w:t> </w:t>
      </w:r>
      <w:r>
        <w:rPr>
          <w:color w:val="231F20"/>
          <w:spacing w:val="-1"/>
        </w:rPr>
        <w:t>During</w:t>
      </w:r>
      <w:r>
        <w:rPr>
          <w:color w:val="231F20"/>
          <w:spacing w:val="-2"/>
        </w:rPr>
        <w:t> </w:t>
      </w:r>
      <w:r>
        <w:rPr>
          <w:color w:val="231F20"/>
        </w:rPr>
        <w:t>consultations</w:t>
      </w:r>
      <w:r>
        <w:rPr>
          <w:color w:val="231F20"/>
          <w:spacing w:val="-4"/>
        </w:rPr>
        <w:t> </w:t>
      </w:r>
      <w:r>
        <w:rPr>
          <w:color w:val="231F20"/>
        </w:rPr>
        <w:t>a</w:t>
      </w:r>
      <w:r>
        <w:rPr>
          <w:color w:val="231F20"/>
          <w:spacing w:val="-3"/>
        </w:rPr>
        <w:t> </w:t>
      </w:r>
      <w:r>
        <w:rPr>
          <w:color w:val="231F20"/>
          <w:spacing w:val="-3"/>
        </w:rPr>
      </w:r>
      <w:r>
        <w:rPr>
          <w:color w:val="231F20"/>
        </w:rPr>
        <w:t>number</w:t>
      </w:r>
      <w:r>
        <w:rPr>
          <w:color w:val="231F20"/>
          <w:spacing w:val="28"/>
        </w:rPr>
        <w:t> </w:t>
      </w:r>
      <w:r>
        <w:rPr>
          <w:color w:val="231F20"/>
        </w:rPr>
        <w:t>of</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29"/>
          <w:w w:val="99"/>
        </w:rPr>
        <w:t> </w:t>
      </w:r>
      <w:r>
        <w:rPr>
          <w:color w:val="231F20"/>
          <w:spacing w:val="-1"/>
        </w:rPr>
        <w:t>providers</w:t>
      </w:r>
      <w:r>
        <w:rPr>
          <w:rFonts w:ascii="Segoe UI Semibold"/>
          <w:b/>
          <w:color w:val="231F20"/>
          <w:spacing w:val="-1"/>
          <w:position w:val="7"/>
          <w:sz w:val="11"/>
        </w:rPr>
        <w:t>111</w:t>
      </w:r>
      <w:r>
        <w:rPr>
          <w:rFonts w:ascii="Segoe UI Semibold"/>
          <w:b/>
          <w:color w:val="231F20"/>
          <w:spacing w:val="18"/>
          <w:position w:val="7"/>
          <w:sz w:val="11"/>
        </w:rPr>
        <w:t> </w:t>
      </w:r>
      <w:r>
        <w:rPr>
          <w:color w:val="231F20"/>
          <w:spacing w:val="-1"/>
        </w:rPr>
        <w:t>indicated</w:t>
      </w:r>
      <w:r>
        <w:rPr>
          <w:color w:val="231F20"/>
          <w:spacing w:val="-6"/>
        </w:rPr>
        <w:t> </w:t>
      </w:r>
      <w:r>
        <w:rPr>
          <w:color w:val="231F20"/>
        </w:rPr>
        <w:t>a</w:t>
      </w:r>
      <w:r>
        <w:rPr>
          <w:color w:val="231F20"/>
          <w:spacing w:val="-5"/>
        </w:rPr>
        <w:t> </w:t>
      </w:r>
      <w:r>
        <w:rPr>
          <w:color w:val="231F20"/>
        </w:rPr>
        <w:t>preference</w:t>
      </w:r>
      <w:r>
        <w:rPr>
          <w:color w:val="231F20"/>
          <w:spacing w:val="-7"/>
        </w:rPr>
        <w:t> </w:t>
      </w:r>
      <w:r>
        <w:rPr>
          <w:color w:val="231F20"/>
        </w:rPr>
        <w:t>for</w:t>
      </w:r>
      <w:r>
        <w:rPr>
          <w:color w:val="231F20"/>
          <w:spacing w:val="-6"/>
        </w:rPr>
        <w:t> </w:t>
      </w:r>
      <w:r>
        <w:rPr>
          <w:color w:val="231F20"/>
        </w:rPr>
        <w:t>booking</w:t>
      </w:r>
      <w:r>
        <w:rPr>
          <w:color w:val="231F20"/>
          <w:spacing w:val="21"/>
          <w:w w:val="99"/>
        </w:rPr>
        <w:t> </w:t>
      </w:r>
      <w:r>
        <w:rPr>
          <w:color w:val="231F20"/>
        </w:rPr>
        <w:t>their</w:t>
      </w:r>
      <w:r>
        <w:rPr>
          <w:color w:val="231F20"/>
          <w:spacing w:val="-7"/>
        </w:rPr>
        <w:t> </w:t>
      </w:r>
      <w:r>
        <w:rPr>
          <w:color w:val="231F20"/>
        </w:rPr>
        <w:t>own</w:t>
      </w:r>
      <w:r>
        <w:rPr>
          <w:color w:val="231F20"/>
          <w:spacing w:val="-6"/>
        </w:rPr>
        <w:t> </w:t>
      </w:r>
      <w:r>
        <w:rPr>
          <w:color w:val="231F20"/>
          <w:spacing w:val="-1"/>
        </w:rPr>
        <w:t>student</w:t>
      </w:r>
      <w:r>
        <w:rPr>
          <w:color w:val="231F20"/>
          <w:spacing w:val="-5"/>
        </w:rPr>
        <w:t> </w:t>
      </w:r>
      <w:r>
        <w:rPr>
          <w:color w:val="231F20"/>
        </w:rPr>
        <w:t>travel,</w:t>
      </w:r>
      <w:r>
        <w:rPr>
          <w:color w:val="231F20"/>
          <w:spacing w:val="-7"/>
        </w:rPr>
        <w:t> </w:t>
      </w:r>
      <w:r>
        <w:rPr>
          <w:color w:val="231F20"/>
        </w:rPr>
        <w:t>for</w:t>
      </w:r>
      <w:r>
        <w:rPr>
          <w:color w:val="231F20"/>
          <w:spacing w:val="-5"/>
        </w:rPr>
        <w:t> </w:t>
      </w:r>
      <w:r>
        <w:rPr>
          <w:color w:val="231F20"/>
        </w:rPr>
        <w:t>the</w:t>
      </w:r>
      <w:r>
        <w:rPr>
          <w:color w:val="231F20"/>
          <w:spacing w:val="-7"/>
        </w:rPr>
        <w:t> </w:t>
      </w:r>
      <w:r>
        <w:rPr>
          <w:color w:val="231F20"/>
        </w:rPr>
        <w:t>following</w:t>
      </w:r>
      <w:r>
        <w:rPr>
          <w:color w:val="231F20"/>
          <w:spacing w:val="22"/>
          <w:w w:val="99"/>
        </w:rPr>
        <w:t> </w:t>
      </w:r>
      <w:r>
        <w:rPr>
          <w:color w:val="231F20"/>
        </w:rPr>
        <w:t>reasons:</w:t>
      </w:r>
      <w:r>
        <w:rPr/>
      </w:r>
    </w:p>
    <w:p>
      <w:pPr>
        <w:pStyle w:val="BodyText"/>
        <w:spacing w:line="250" w:lineRule="exact" w:before="113"/>
        <w:ind w:left="327" w:right="406" w:hanging="227"/>
        <w:jc w:val="left"/>
      </w:pPr>
      <w:r>
        <w:rPr>
          <w:rFonts w:ascii="Century Gothic" w:hAnsi="Century Gothic"/>
          <w:color w:val="231F20"/>
        </w:rPr>
        <w:t>» </w:t>
      </w:r>
      <w:r>
        <w:rPr>
          <w:rFonts w:ascii="Century Gothic" w:hAnsi="Century Gothic"/>
          <w:color w:val="231F20"/>
          <w:spacing w:val="22"/>
        </w:rPr>
        <w:t> </w:t>
      </w:r>
      <w:r>
        <w:rPr>
          <w:color w:val="231F20"/>
        </w:rPr>
        <w:t>preferred</w:t>
      </w:r>
      <w:r>
        <w:rPr>
          <w:color w:val="231F20"/>
          <w:spacing w:val="-4"/>
        </w:rPr>
        <w:t> </w:t>
      </w:r>
      <w:r>
        <w:rPr>
          <w:color w:val="231F20"/>
        </w:rPr>
        <w:t>routes,</w:t>
      </w:r>
      <w:r>
        <w:rPr>
          <w:color w:val="231F20"/>
          <w:spacing w:val="-5"/>
        </w:rPr>
        <w:t> </w:t>
      </w:r>
      <w:r>
        <w:rPr>
          <w:color w:val="231F20"/>
        </w:rPr>
        <w:t>dates</w:t>
      </w:r>
      <w:r>
        <w:rPr>
          <w:color w:val="231F20"/>
          <w:spacing w:val="-4"/>
        </w:rPr>
        <w:t> </w:t>
      </w:r>
      <w:r>
        <w:rPr>
          <w:color w:val="231F20"/>
        </w:rPr>
        <w:t>and</w:t>
      </w:r>
      <w:r>
        <w:rPr>
          <w:color w:val="231F20"/>
          <w:spacing w:val="-5"/>
        </w:rPr>
        <w:t> </w:t>
      </w:r>
      <w:r>
        <w:rPr>
          <w:color w:val="231F20"/>
        </w:rPr>
        <w:t>times</w:t>
      </w:r>
      <w:r>
        <w:rPr>
          <w:color w:val="231F20"/>
          <w:spacing w:val="-4"/>
        </w:rPr>
        <w:t> </w:t>
      </w:r>
      <w:r>
        <w:rPr>
          <w:color w:val="231F20"/>
        </w:rPr>
        <w:t>can</w:t>
      </w:r>
      <w:r>
        <w:rPr>
          <w:color w:val="231F20"/>
          <w:spacing w:val="-3"/>
        </w:rPr>
        <w:t> </w:t>
      </w:r>
      <w:r>
        <w:rPr>
          <w:color w:val="231F20"/>
        </w:rPr>
        <w:t>be</w:t>
      </w:r>
      <w:r>
        <w:rPr>
          <w:color w:val="231F20"/>
          <w:w w:val="99"/>
        </w:rPr>
        <w:t> </w:t>
      </w:r>
      <w:r>
        <w:rPr>
          <w:color w:val="231F20"/>
          <w:spacing w:val="-1"/>
        </w:rPr>
        <w:t>selected,</w:t>
      </w:r>
      <w:r>
        <w:rPr>
          <w:color w:val="231F20"/>
          <w:spacing w:val="-8"/>
        </w:rPr>
        <w:t> </w:t>
      </w:r>
      <w:r>
        <w:rPr>
          <w:color w:val="231F20"/>
          <w:spacing w:val="-1"/>
        </w:rPr>
        <w:t>including</w:t>
      </w:r>
      <w:r>
        <w:rPr>
          <w:color w:val="231F20"/>
          <w:spacing w:val="-9"/>
        </w:rPr>
        <w:t> </w:t>
      </w:r>
      <w:r>
        <w:rPr>
          <w:color w:val="231F20"/>
        </w:rPr>
        <w:t>weekend</w:t>
      </w:r>
      <w:r>
        <w:rPr>
          <w:color w:val="231F20"/>
          <w:spacing w:val="-9"/>
        </w:rPr>
        <w:t> </w:t>
      </w:r>
      <w:r>
        <w:rPr>
          <w:color w:val="231F20"/>
        </w:rPr>
        <w:t>travel,</w:t>
      </w:r>
      <w:r>
        <w:rPr>
          <w:color w:val="231F20"/>
          <w:spacing w:val="-10"/>
        </w:rPr>
        <w:t> </w:t>
      </w:r>
      <w:r>
        <w:rPr>
          <w:color w:val="231F20"/>
        </w:rPr>
        <w:t>which</w:t>
      </w:r>
      <w:r>
        <w:rPr>
          <w:color w:val="231F20"/>
          <w:spacing w:val="23"/>
          <w:w w:val="99"/>
        </w:rPr>
        <w:t> </w:t>
      </w:r>
      <w:r>
        <w:rPr>
          <w:color w:val="231F20"/>
        </w:rPr>
        <w:t>at</w:t>
      </w:r>
      <w:r>
        <w:rPr>
          <w:color w:val="231F20"/>
          <w:spacing w:val="-3"/>
        </w:rPr>
        <w:t> </w:t>
      </w:r>
      <w:r>
        <w:rPr>
          <w:color w:val="231F20"/>
        </w:rPr>
        <w:t>the</w:t>
      </w:r>
      <w:r>
        <w:rPr>
          <w:color w:val="231F20"/>
          <w:spacing w:val="-3"/>
        </w:rPr>
        <w:t> </w:t>
      </w:r>
      <w:r>
        <w:rPr>
          <w:color w:val="231F20"/>
          <w:spacing w:val="-1"/>
        </w:rPr>
        <w:t>moment</w:t>
      </w:r>
      <w:r>
        <w:rPr>
          <w:color w:val="231F20"/>
          <w:spacing w:val="-3"/>
        </w:rPr>
        <w:t> </w:t>
      </w:r>
      <w:r>
        <w:rPr>
          <w:color w:val="231F20"/>
          <w:spacing w:val="-1"/>
        </w:rPr>
        <w:t>is</w:t>
      </w:r>
      <w:r>
        <w:rPr>
          <w:color w:val="231F20"/>
          <w:spacing w:val="-3"/>
        </w:rPr>
        <w:t> </w:t>
      </w:r>
      <w:r>
        <w:rPr>
          <w:color w:val="231F20"/>
        </w:rPr>
        <w:t>only</w:t>
      </w:r>
      <w:r>
        <w:rPr>
          <w:color w:val="231F20"/>
          <w:spacing w:val="-4"/>
        </w:rPr>
        <w:t> </w:t>
      </w:r>
      <w:r>
        <w:rPr>
          <w:color w:val="231F20"/>
        </w:rPr>
        <w:t>permitted</w:t>
      </w:r>
      <w:r>
        <w:rPr>
          <w:color w:val="231F20"/>
          <w:spacing w:val="-3"/>
        </w:rPr>
        <w:t> </w:t>
      </w:r>
      <w:r>
        <w:rPr>
          <w:color w:val="231F20"/>
          <w:spacing w:val="-1"/>
        </w:rPr>
        <w:t>in</w:t>
      </w:r>
      <w:r>
        <w:rPr>
          <w:color w:val="231F20"/>
          <w:spacing w:val="-2"/>
        </w:rPr>
        <w:t> </w:t>
      </w:r>
      <w:r>
        <w:rPr>
          <w:color w:val="231F20"/>
          <w:spacing w:val="-1"/>
        </w:rPr>
        <w:t>limited</w:t>
      </w:r>
      <w:r>
        <w:rPr>
          <w:color w:val="231F20"/>
          <w:spacing w:val="23"/>
        </w:rPr>
        <w:t> </w:t>
      </w:r>
      <w:r>
        <w:rPr>
          <w:color w:val="231F20"/>
        </w:rPr>
        <w:t>circumstances</w:t>
      </w:r>
      <w:r>
        <w:rPr/>
      </w:r>
    </w:p>
    <w:p>
      <w:pPr>
        <w:pStyle w:val="BodyText"/>
        <w:spacing w:line="250" w:lineRule="exact" w:before="113"/>
        <w:ind w:left="327" w:right="243" w:hanging="227"/>
        <w:jc w:val="left"/>
      </w:pPr>
      <w:r>
        <w:rPr>
          <w:rFonts w:ascii="Century Gothic" w:hAnsi="Century Gothic"/>
          <w:color w:val="231F20"/>
        </w:rPr>
        <w:t>» </w:t>
      </w:r>
      <w:r>
        <w:rPr>
          <w:rFonts w:ascii="Century Gothic" w:hAnsi="Century Gothic"/>
          <w:color w:val="231F20"/>
          <w:spacing w:val="20"/>
        </w:rPr>
        <w:t> </w:t>
      </w:r>
      <w:r>
        <w:rPr>
          <w:color w:val="231F20"/>
          <w:spacing w:val="-1"/>
        </w:rPr>
        <w:t>itineraries</w:t>
      </w:r>
      <w:r>
        <w:rPr>
          <w:color w:val="231F20"/>
          <w:spacing w:val="-4"/>
        </w:rPr>
        <w:t> </w:t>
      </w:r>
      <w:r>
        <w:rPr>
          <w:color w:val="231F20"/>
        </w:rPr>
        <w:t>can</w:t>
      </w:r>
      <w:r>
        <w:rPr>
          <w:color w:val="231F20"/>
          <w:spacing w:val="-4"/>
        </w:rPr>
        <w:t> </w:t>
      </w:r>
      <w:r>
        <w:rPr>
          <w:color w:val="231F20"/>
        </w:rPr>
        <w:t>be</w:t>
      </w:r>
      <w:r>
        <w:rPr>
          <w:color w:val="231F20"/>
          <w:spacing w:val="-5"/>
        </w:rPr>
        <w:t> </w:t>
      </w:r>
      <w:r>
        <w:rPr>
          <w:color w:val="231F20"/>
        </w:rPr>
        <w:t>provided</w:t>
      </w:r>
      <w:r>
        <w:rPr>
          <w:color w:val="231F20"/>
          <w:spacing w:val="-5"/>
        </w:rPr>
        <w:t> </w:t>
      </w:r>
      <w:r>
        <w:rPr>
          <w:color w:val="231F20"/>
        </w:rPr>
        <w:t>directly</w:t>
      </w:r>
      <w:r>
        <w:rPr>
          <w:color w:val="231F20"/>
          <w:spacing w:val="-5"/>
        </w:rPr>
        <w:t> </w:t>
      </w:r>
      <w:r>
        <w:rPr>
          <w:color w:val="231F20"/>
        </w:rPr>
        <w:t>to</w:t>
      </w:r>
      <w:r>
        <w:rPr>
          <w:color w:val="231F20"/>
          <w:spacing w:val="22"/>
          <w:w w:val="99"/>
        </w:rPr>
        <w:t> </w:t>
      </w:r>
      <w:r>
        <w:rPr>
          <w:color w:val="231F20"/>
        </w:rPr>
        <w:t>transition</w:t>
      </w:r>
      <w:r>
        <w:rPr>
          <w:color w:val="231F20"/>
          <w:spacing w:val="-5"/>
        </w:rPr>
        <w:t> </w:t>
      </w:r>
      <w:r>
        <w:rPr>
          <w:color w:val="231F20"/>
          <w:spacing w:val="-1"/>
        </w:rPr>
        <w:t>support</w:t>
      </w:r>
      <w:r>
        <w:rPr>
          <w:color w:val="231F20"/>
          <w:spacing w:val="-3"/>
        </w:rPr>
        <w:t> </w:t>
      </w:r>
      <w:r>
        <w:rPr>
          <w:color w:val="231F20"/>
        </w:rPr>
        <w:t>units</w:t>
      </w:r>
      <w:r>
        <w:rPr>
          <w:color w:val="231F20"/>
          <w:spacing w:val="-4"/>
        </w:rPr>
        <w:t> </w:t>
      </w:r>
      <w:r>
        <w:rPr>
          <w:color w:val="231F20"/>
        </w:rPr>
        <w:t>to</w:t>
      </w:r>
      <w:r>
        <w:rPr>
          <w:color w:val="231F20"/>
          <w:spacing w:val="-4"/>
        </w:rPr>
        <w:t> </w:t>
      </w:r>
      <w:r>
        <w:rPr>
          <w:color w:val="231F20"/>
        </w:rPr>
        <w:t>assist</w:t>
      </w:r>
      <w:r>
        <w:rPr>
          <w:color w:val="231F20"/>
          <w:spacing w:val="-4"/>
        </w:rPr>
        <w:t> </w:t>
      </w:r>
      <w:r>
        <w:rPr>
          <w:color w:val="231F20"/>
          <w:spacing w:val="-1"/>
        </w:rPr>
        <w:t>in</w:t>
      </w:r>
      <w:r>
        <w:rPr>
          <w:color w:val="231F20"/>
          <w:spacing w:val="-3"/>
        </w:rPr>
        <w:t> </w:t>
      </w:r>
      <w:r>
        <w:rPr>
          <w:color w:val="231F20"/>
        </w:rPr>
        <w:t>the</w:t>
      </w:r>
      <w:r>
        <w:rPr>
          <w:color w:val="231F20"/>
          <w:spacing w:val="23"/>
          <w:w w:val="99"/>
        </w:rPr>
        <w:t> </w:t>
      </w:r>
      <w:r>
        <w:rPr>
          <w:color w:val="231F20"/>
        </w:rPr>
        <w:t>coordination</w:t>
      </w:r>
      <w:r>
        <w:rPr>
          <w:color w:val="231F20"/>
          <w:spacing w:val="-6"/>
        </w:rPr>
        <w:t> </w:t>
      </w:r>
      <w:r>
        <w:rPr>
          <w:color w:val="231F20"/>
        </w:rPr>
        <w:t>of</w:t>
      </w:r>
      <w:r>
        <w:rPr>
          <w:color w:val="231F20"/>
          <w:spacing w:val="-5"/>
        </w:rPr>
        <w:t> </w:t>
      </w:r>
      <w:r>
        <w:rPr>
          <w:color w:val="231F20"/>
        </w:rPr>
        <w:t>travel,</w:t>
      </w:r>
      <w:r>
        <w:rPr>
          <w:color w:val="231F20"/>
          <w:spacing w:val="-6"/>
        </w:rPr>
        <w:t> </w:t>
      </w:r>
      <w:r>
        <w:rPr>
          <w:color w:val="231F20"/>
        </w:rPr>
        <w:t>which</w:t>
      </w:r>
      <w:r>
        <w:rPr>
          <w:color w:val="231F20"/>
          <w:spacing w:val="-5"/>
        </w:rPr>
        <w:t> </w:t>
      </w:r>
      <w:r>
        <w:rPr>
          <w:color w:val="231F20"/>
          <w:spacing w:val="-1"/>
        </w:rPr>
        <w:t>is</w:t>
      </w:r>
      <w:r>
        <w:rPr>
          <w:color w:val="231F20"/>
          <w:spacing w:val="-6"/>
        </w:rPr>
        <w:t> </w:t>
      </w:r>
      <w:r>
        <w:rPr>
          <w:color w:val="231F20"/>
        </w:rPr>
        <w:t>not</w:t>
      </w:r>
      <w:r>
        <w:rPr>
          <w:color w:val="231F20"/>
          <w:spacing w:val="-5"/>
        </w:rPr>
        <w:t> </w:t>
      </w:r>
      <w:r>
        <w:rPr>
          <w:color w:val="231F20"/>
        </w:rPr>
        <w:t>the</w:t>
      </w:r>
      <w:r>
        <w:rPr>
          <w:color w:val="231F20"/>
          <w:spacing w:val="-6"/>
        </w:rPr>
        <w:t> </w:t>
      </w:r>
      <w:r>
        <w:rPr>
          <w:color w:val="231F20"/>
        </w:rPr>
        <w:t>case</w:t>
      </w:r>
      <w:r>
        <w:rPr>
          <w:color w:val="231F20"/>
          <w:spacing w:val="21"/>
          <w:w w:val="99"/>
        </w:rPr>
        <w:t> </w:t>
      </w:r>
      <w:r>
        <w:rPr>
          <w:color w:val="231F20"/>
        </w:rPr>
        <w:t>when</w:t>
      </w:r>
      <w:r>
        <w:rPr>
          <w:color w:val="231F20"/>
          <w:spacing w:val="-5"/>
        </w:rPr>
        <w:t> </w:t>
      </w:r>
      <w:r>
        <w:rPr>
          <w:color w:val="231F20"/>
        </w:rPr>
        <w:t>travel</w:t>
      </w:r>
      <w:r>
        <w:rPr>
          <w:color w:val="231F20"/>
          <w:spacing w:val="-4"/>
        </w:rPr>
        <w:t> </w:t>
      </w:r>
      <w:r>
        <w:rPr>
          <w:color w:val="231F20"/>
          <w:spacing w:val="-1"/>
        </w:rPr>
        <w:t>is</w:t>
      </w:r>
      <w:r>
        <w:rPr>
          <w:color w:val="231F20"/>
          <w:spacing w:val="-4"/>
        </w:rPr>
        <w:t> </w:t>
      </w:r>
      <w:r>
        <w:rPr>
          <w:color w:val="231F20"/>
        </w:rPr>
        <w:t>booked</w:t>
      </w:r>
      <w:r>
        <w:rPr>
          <w:color w:val="231F20"/>
          <w:spacing w:val="-4"/>
        </w:rPr>
        <w:t> </w:t>
      </w:r>
      <w:r>
        <w:rPr>
          <w:color w:val="231F20"/>
        </w:rPr>
        <w:t>by</w:t>
      </w:r>
      <w:r>
        <w:rPr>
          <w:color w:val="231F20"/>
          <w:spacing w:val="-3"/>
        </w:rPr>
        <w:t> </w:t>
      </w:r>
      <w:r>
        <w:rPr>
          <w:color w:val="231F20"/>
        </w:rPr>
        <w:t>the</w:t>
      </w:r>
      <w:r>
        <w:rPr>
          <w:color w:val="231F20"/>
          <w:spacing w:val="-4"/>
        </w:rPr>
        <w:t> </w:t>
      </w:r>
      <w:r>
        <w:rPr>
          <w:color w:val="231F20"/>
          <w:spacing w:val="-1"/>
        </w:rPr>
        <w:t>DHS</w:t>
      </w:r>
      <w:r>
        <w:rPr>
          <w:color w:val="231F20"/>
          <w:spacing w:val="-3"/>
        </w:rPr>
        <w:t> </w:t>
      </w:r>
      <w:r>
        <w:rPr>
          <w:color w:val="231F20"/>
        </w:rPr>
        <w:t>ABSTUDY</w:t>
      </w:r>
      <w:r>
        <w:rPr>
          <w:color w:val="231F20"/>
          <w:spacing w:val="22"/>
        </w:rPr>
        <w:t> </w:t>
      </w:r>
      <w:r>
        <w:rPr>
          <w:color w:val="231F20"/>
        </w:rPr>
        <w:t>travel</w:t>
      </w:r>
      <w:r>
        <w:rPr>
          <w:color w:val="231F20"/>
          <w:spacing w:val="-5"/>
        </w:rPr>
        <w:t> </w:t>
      </w:r>
      <w:r>
        <w:rPr>
          <w:color w:val="231F20"/>
        </w:rPr>
        <w:t>team,</w:t>
      </w:r>
      <w:r>
        <w:rPr>
          <w:color w:val="231F20"/>
          <w:spacing w:val="-5"/>
        </w:rPr>
        <w:t> </w:t>
      </w:r>
      <w:r>
        <w:rPr>
          <w:color w:val="231F20"/>
        </w:rPr>
        <w:t>due</w:t>
      </w:r>
      <w:r>
        <w:rPr>
          <w:color w:val="231F20"/>
          <w:spacing w:val="-5"/>
        </w:rPr>
        <w:t> </w:t>
      </w:r>
      <w:r>
        <w:rPr>
          <w:color w:val="231F20"/>
        </w:rPr>
        <w:t>to</w:t>
      </w:r>
      <w:r>
        <w:rPr>
          <w:color w:val="231F20"/>
          <w:spacing w:val="-4"/>
        </w:rPr>
        <w:t> </w:t>
      </w:r>
      <w:r>
        <w:rPr>
          <w:color w:val="231F20"/>
          <w:spacing w:val="-1"/>
        </w:rPr>
        <w:t>issues</w:t>
      </w:r>
      <w:r>
        <w:rPr>
          <w:color w:val="231F20"/>
          <w:spacing w:val="-4"/>
        </w:rPr>
        <w:t> </w:t>
      </w:r>
      <w:r>
        <w:rPr>
          <w:color w:val="231F20"/>
        </w:rPr>
        <w:t>of</w:t>
      </w:r>
      <w:r>
        <w:rPr>
          <w:color w:val="231F20"/>
          <w:spacing w:val="-3"/>
        </w:rPr>
        <w:t> </w:t>
      </w:r>
      <w:r>
        <w:rPr>
          <w:color w:val="231F20"/>
        </w:rPr>
        <w:t>privacy</w:t>
      </w:r>
      <w:r>
        <w:rPr/>
      </w:r>
    </w:p>
    <w:p>
      <w:pPr>
        <w:pStyle w:val="BodyText"/>
        <w:spacing w:line="250" w:lineRule="exact" w:before="113"/>
        <w:ind w:left="327" w:right="243" w:hanging="227"/>
        <w:jc w:val="left"/>
      </w:pPr>
      <w:r>
        <w:rPr>
          <w:rFonts w:ascii="Century Gothic" w:hAnsi="Century Gothic"/>
          <w:color w:val="231F20"/>
        </w:rPr>
        <w:t>» </w:t>
      </w:r>
      <w:r>
        <w:rPr>
          <w:rFonts w:ascii="Century Gothic" w:hAnsi="Century Gothic"/>
          <w:color w:val="231F20"/>
          <w:spacing w:val="23"/>
        </w:rPr>
        <w:t> </w:t>
      </w:r>
      <w:r>
        <w:rPr>
          <w:color w:val="231F20"/>
          <w:spacing w:val="-1"/>
        </w:rPr>
        <w:t>it</w:t>
      </w:r>
      <w:r>
        <w:rPr>
          <w:color w:val="231F20"/>
          <w:spacing w:val="-3"/>
        </w:rPr>
        <w:t> </w:t>
      </w:r>
      <w:r>
        <w:rPr>
          <w:color w:val="231F20"/>
        </w:rPr>
        <w:t>reduces</w:t>
      </w:r>
      <w:r>
        <w:rPr>
          <w:color w:val="231F20"/>
          <w:spacing w:val="-4"/>
        </w:rPr>
        <w:t> </w:t>
      </w:r>
      <w:r>
        <w:rPr>
          <w:color w:val="231F20"/>
        </w:rPr>
        <w:t>delays</w:t>
      </w:r>
      <w:r>
        <w:rPr>
          <w:color w:val="231F20"/>
          <w:spacing w:val="-4"/>
        </w:rPr>
        <w:t> </w:t>
      </w:r>
      <w:r>
        <w:rPr>
          <w:color w:val="231F20"/>
        </w:rPr>
        <w:t>and</w:t>
      </w:r>
      <w:r>
        <w:rPr>
          <w:color w:val="231F20"/>
          <w:spacing w:val="-4"/>
        </w:rPr>
        <w:t> </w:t>
      </w:r>
      <w:r>
        <w:rPr>
          <w:color w:val="231F20"/>
          <w:spacing w:val="-1"/>
        </w:rPr>
        <w:t>missed</w:t>
      </w:r>
      <w:r>
        <w:rPr>
          <w:color w:val="231F20"/>
          <w:spacing w:val="-3"/>
        </w:rPr>
        <w:t> </w:t>
      </w:r>
      <w:r>
        <w:rPr>
          <w:color w:val="231F20"/>
        </w:rPr>
        <w:t>travel,</w:t>
      </w:r>
      <w:r>
        <w:rPr>
          <w:color w:val="231F20"/>
          <w:spacing w:val="-4"/>
        </w:rPr>
        <w:t> </w:t>
      </w:r>
      <w:r>
        <w:rPr>
          <w:color w:val="231F20"/>
        </w:rPr>
        <w:t>and</w:t>
      </w:r>
      <w:r>
        <w:rPr>
          <w:color w:val="231F20"/>
          <w:spacing w:val="23"/>
          <w:w w:val="99"/>
        </w:rPr>
        <w:t> </w:t>
      </w:r>
      <w:r>
        <w:rPr>
          <w:color w:val="231F20"/>
          <w:spacing w:val="-1"/>
        </w:rPr>
        <w:t>increases</w:t>
      </w:r>
      <w:r>
        <w:rPr>
          <w:color w:val="231F20"/>
          <w:spacing w:val="-12"/>
        </w:rPr>
        <w:t> </w:t>
      </w:r>
      <w:r>
        <w:rPr>
          <w:color w:val="231F20"/>
        </w:rPr>
        <w:t>engagement</w:t>
      </w:r>
      <w:r>
        <w:rPr>
          <w:color w:val="231F20"/>
          <w:spacing w:val="-13"/>
        </w:rPr>
        <w:t> </w:t>
      </w:r>
      <w:r>
        <w:rPr>
          <w:color w:val="231F20"/>
        </w:rPr>
        <w:t>opportunities</w:t>
      </w:r>
      <w:r>
        <w:rPr>
          <w:color w:val="231F20"/>
          <w:spacing w:val="-12"/>
        </w:rPr>
        <w:t> </w:t>
      </w:r>
      <w:r>
        <w:rPr>
          <w:color w:val="231F20"/>
        </w:rPr>
        <w:t>with</w:t>
      </w:r>
      <w:r>
        <w:rPr>
          <w:color w:val="231F20"/>
          <w:spacing w:val="22"/>
          <w:w w:val="99"/>
        </w:rPr>
        <w:t> </w:t>
      </w:r>
      <w:r>
        <w:rPr>
          <w:color w:val="231F20"/>
        </w:rPr>
        <w:t>families</w:t>
      </w:r>
      <w:r>
        <w:rPr>
          <w:color w:val="231F20"/>
          <w:spacing w:val="-3"/>
        </w:rPr>
        <w:t> </w:t>
      </w:r>
      <w:r>
        <w:rPr>
          <w:color w:val="231F20"/>
        </w:rPr>
        <w:t>and</w:t>
      </w:r>
      <w:r>
        <w:rPr>
          <w:color w:val="231F20"/>
          <w:spacing w:val="-2"/>
        </w:rPr>
        <w:t> </w:t>
      </w:r>
      <w:r>
        <w:rPr>
          <w:color w:val="231F20"/>
        </w:rPr>
        <w:t>home</w:t>
      </w:r>
      <w:r>
        <w:rPr>
          <w:color w:val="231F20"/>
          <w:spacing w:val="-2"/>
        </w:rPr>
        <w:t> </w:t>
      </w:r>
      <w:r>
        <w:rPr>
          <w:color w:val="231F20"/>
        </w:rPr>
        <w:t>communities</w:t>
      </w:r>
      <w:r>
        <w:rPr/>
      </w:r>
    </w:p>
    <w:p>
      <w:pPr>
        <w:pStyle w:val="BodyText"/>
        <w:spacing w:line="240" w:lineRule="auto" w:before="97"/>
        <w:ind w:left="100" w:right="0"/>
        <w:jc w:val="left"/>
      </w:pPr>
      <w:r>
        <w:rPr>
          <w:rFonts w:ascii="Century Gothic" w:hAnsi="Century Gothic"/>
          <w:color w:val="231F20"/>
        </w:rPr>
        <w:t>» </w:t>
      </w:r>
      <w:r>
        <w:rPr>
          <w:rFonts w:ascii="Century Gothic" w:hAnsi="Century Gothic"/>
          <w:color w:val="231F20"/>
          <w:spacing w:val="24"/>
        </w:rPr>
        <w:t> </w:t>
      </w:r>
      <w:r>
        <w:rPr>
          <w:color w:val="231F20"/>
          <w:spacing w:val="-1"/>
        </w:rPr>
        <w:t>it</w:t>
      </w:r>
      <w:r>
        <w:rPr>
          <w:color w:val="231F20"/>
          <w:spacing w:val="-3"/>
        </w:rPr>
        <w:t> </w:t>
      </w:r>
      <w:r>
        <w:rPr>
          <w:color w:val="231F20"/>
          <w:spacing w:val="-1"/>
        </w:rPr>
        <w:t>is</w:t>
      </w:r>
      <w:r>
        <w:rPr>
          <w:color w:val="231F20"/>
          <w:spacing w:val="-3"/>
        </w:rPr>
        <w:t> </w:t>
      </w:r>
      <w:r>
        <w:rPr>
          <w:color w:val="231F20"/>
        </w:rPr>
        <w:t>easier</w:t>
      </w:r>
      <w:r>
        <w:rPr>
          <w:color w:val="231F20"/>
          <w:spacing w:val="-4"/>
        </w:rPr>
        <w:t> </w:t>
      </w:r>
      <w:r>
        <w:rPr>
          <w:color w:val="231F20"/>
        </w:rPr>
        <w:t>to</w:t>
      </w:r>
      <w:r>
        <w:rPr>
          <w:color w:val="231F20"/>
          <w:spacing w:val="-3"/>
        </w:rPr>
        <w:t> </w:t>
      </w:r>
      <w:r>
        <w:rPr>
          <w:color w:val="231F20"/>
          <w:spacing w:val="-1"/>
        </w:rPr>
        <w:t>manage</w:t>
      </w:r>
      <w:r>
        <w:rPr>
          <w:color w:val="231F20"/>
          <w:spacing w:val="-3"/>
        </w:rPr>
        <w:t> </w:t>
      </w:r>
      <w:r>
        <w:rPr>
          <w:color w:val="231F20"/>
          <w:spacing w:val="-1"/>
        </w:rPr>
        <w:t>safe</w:t>
      </w:r>
      <w:r>
        <w:rPr>
          <w:color w:val="231F20"/>
          <w:spacing w:val="-2"/>
        </w:rPr>
        <w:t> </w:t>
      </w:r>
      <w:r>
        <w:rPr>
          <w:color w:val="231F20"/>
        </w:rPr>
        <w:t>travel</w:t>
      </w:r>
      <w:r>
        <w:rPr>
          <w:color w:val="231F20"/>
          <w:spacing w:val="-4"/>
        </w:rPr>
        <w:t> </w:t>
      </w:r>
      <w:r>
        <w:rPr>
          <w:color w:val="231F20"/>
        </w:rPr>
        <w:t>plans.</w:t>
      </w:r>
      <w:r>
        <w:rPr/>
      </w:r>
    </w:p>
    <w:p>
      <w:pPr>
        <w:pStyle w:val="BodyText"/>
        <w:spacing w:line="250" w:lineRule="exact" w:before="113"/>
        <w:ind w:left="100" w:right="506"/>
        <w:jc w:val="left"/>
      </w:pPr>
      <w:r>
        <w:rPr>
          <w:color w:val="231F20"/>
        </w:rPr>
        <w:t>However,</w:t>
      </w:r>
      <w:r>
        <w:rPr>
          <w:color w:val="231F20"/>
          <w:spacing w:val="-7"/>
        </w:rPr>
        <w:t> </w:t>
      </w:r>
      <w:r>
        <w:rPr>
          <w:color w:val="231F20"/>
        </w:rPr>
        <w:t>a</w:t>
      </w:r>
      <w:r>
        <w:rPr>
          <w:color w:val="231F20"/>
          <w:spacing w:val="-7"/>
        </w:rPr>
        <w:t> </w:t>
      </w:r>
      <w:r>
        <w:rPr>
          <w:color w:val="231F20"/>
        </w:rPr>
        <w:t>number</w:t>
      </w:r>
      <w:r>
        <w:rPr>
          <w:color w:val="231F20"/>
          <w:spacing w:val="-8"/>
        </w:rPr>
        <w:t> </w:t>
      </w:r>
      <w:r>
        <w:rPr>
          <w:color w:val="231F20"/>
        </w:rPr>
        <w:t>of</w:t>
      </w:r>
      <w:r>
        <w:rPr>
          <w:color w:val="231F20"/>
          <w:spacing w:val="-7"/>
        </w:rPr>
        <w:t> </w:t>
      </w:r>
      <w:r>
        <w:rPr>
          <w:color w:val="231F20"/>
        </w:rPr>
        <w:t>providers</w:t>
      </w:r>
      <w:r>
        <w:rPr>
          <w:color w:val="231F20"/>
          <w:spacing w:val="-8"/>
        </w:rPr>
        <w:t> </w:t>
      </w:r>
      <w:r>
        <w:rPr>
          <w:color w:val="231F20"/>
          <w:spacing w:val="-1"/>
        </w:rPr>
        <w:t>indicated</w:t>
      </w:r>
      <w:r>
        <w:rPr>
          <w:color w:val="231F20"/>
          <w:spacing w:val="20"/>
          <w:w w:val="99"/>
        </w:rPr>
        <w:t> </w:t>
      </w:r>
      <w:r>
        <w:rPr>
          <w:color w:val="231F20"/>
        </w:rPr>
        <w:t>that</w:t>
      </w:r>
      <w:r>
        <w:rPr>
          <w:color w:val="231F20"/>
          <w:spacing w:val="-6"/>
        </w:rPr>
        <w:t> </w:t>
      </w:r>
      <w:r>
        <w:rPr>
          <w:color w:val="231F20"/>
        </w:rPr>
        <w:t>they</w:t>
      </w:r>
      <w:r>
        <w:rPr>
          <w:color w:val="231F20"/>
          <w:spacing w:val="-5"/>
        </w:rPr>
        <w:t> </w:t>
      </w:r>
      <w:r>
        <w:rPr>
          <w:color w:val="231F20"/>
        </w:rPr>
        <w:t>do</w:t>
      </w:r>
      <w:r>
        <w:rPr>
          <w:color w:val="231F20"/>
          <w:spacing w:val="-4"/>
        </w:rPr>
        <w:t> </w:t>
      </w:r>
      <w:r>
        <w:rPr>
          <w:color w:val="231F20"/>
        </w:rPr>
        <w:t>not</w:t>
      </w:r>
      <w:r>
        <w:rPr>
          <w:color w:val="231F20"/>
          <w:spacing w:val="-4"/>
        </w:rPr>
        <w:t> </w:t>
      </w:r>
      <w:r>
        <w:rPr>
          <w:color w:val="231F20"/>
        </w:rPr>
        <w:t>book</w:t>
      </w:r>
      <w:r>
        <w:rPr>
          <w:color w:val="231F20"/>
          <w:spacing w:val="-5"/>
        </w:rPr>
        <w:t> </w:t>
      </w:r>
      <w:r>
        <w:rPr>
          <w:color w:val="231F20"/>
        </w:rPr>
        <w:t>travel</w:t>
      </w:r>
      <w:r>
        <w:rPr>
          <w:color w:val="231F20"/>
          <w:spacing w:val="-5"/>
        </w:rPr>
        <w:t> </w:t>
      </w:r>
      <w:r>
        <w:rPr>
          <w:color w:val="231F20"/>
        </w:rPr>
        <w:t>due</w:t>
      </w:r>
      <w:r>
        <w:rPr>
          <w:color w:val="231F20"/>
          <w:spacing w:val="-5"/>
        </w:rPr>
        <w:t> </w:t>
      </w:r>
      <w:r>
        <w:rPr>
          <w:color w:val="231F20"/>
        </w:rPr>
        <w:t>to</w:t>
      </w:r>
      <w:r>
        <w:rPr>
          <w:color w:val="231F20"/>
          <w:spacing w:val="-4"/>
        </w:rPr>
        <w:t> </w:t>
      </w:r>
      <w:r>
        <w:rPr>
          <w:color w:val="231F20"/>
        </w:rPr>
        <w:t>delays</w:t>
      </w:r>
      <w:r>
        <w:rPr>
          <w:color w:val="231F20"/>
          <w:w w:val="99"/>
        </w:rPr>
        <w:t> </w:t>
      </w:r>
      <w:r>
        <w:rPr>
          <w:rFonts w:ascii="Segoe UI"/>
          <w:color w:val="231F20"/>
        </w:rPr>
        <w:t>in</w:t>
      </w:r>
      <w:r>
        <w:rPr>
          <w:rFonts w:ascii="Segoe UI"/>
          <w:color w:val="231F20"/>
          <w:spacing w:val="-2"/>
        </w:rPr>
        <w:t> </w:t>
      </w:r>
      <w:r>
        <w:rPr>
          <w:rFonts w:ascii="Segoe UI"/>
          <w:color w:val="231F20"/>
        </w:rPr>
        <w:t>reimbursement</w:t>
      </w:r>
      <w:r>
        <w:rPr>
          <w:rFonts w:ascii="Segoe UI"/>
          <w:color w:val="231F20"/>
          <w:spacing w:val="-2"/>
        </w:rPr>
        <w:t> </w:t>
      </w:r>
      <w:r>
        <w:rPr>
          <w:rFonts w:ascii="Segoe UI"/>
          <w:color w:val="231F20"/>
        </w:rPr>
        <w:t>from</w:t>
      </w:r>
      <w:r>
        <w:rPr>
          <w:rFonts w:ascii="Segoe UI"/>
          <w:color w:val="231F20"/>
          <w:spacing w:val="-1"/>
        </w:rPr>
        <w:t> </w:t>
      </w:r>
      <w:r>
        <w:rPr>
          <w:rFonts w:ascii="Segoe UI"/>
          <w:color w:val="231F20"/>
        </w:rPr>
        <w:t>DHS</w:t>
      </w:r>
      <w:r>
        <w:rPr>
          <w:rFonts w:ascii="Segoe UI"/>
          <w:color w:val="231F20"/>
          <w:spacing w:val="-2"/>
        </w:rPr>
        <w:t> </w:t>
      </w:r>
      <w:r>
        <w:rPr>
          <w:rFonts w:ascii="Segoe UI"/>
          <w:color w:val="231F20"/>
        </w:rPr>
        <w:t>affecting</w:t>
      </w:r>
      <w:r>
        <w:rPr>
          <w:rFonts w:ascii="Segoe UI"/>
          <w:color w:val="231F20"/>
          <w:spacing w:val="-1"/>
        </w:rPr>
        <w:t> </w:t>
      </w:r>
      <w:r>
        <w:rPr>
          <w:rFonts w:ascii="Segoe UI"/>
          <w:color w:val="231F20"/>
        </w:rPr>
        <w:t>cash</w:t>
      </w:r>
      <w:r>
        <w:rPr>
          <w:rFonts w:ascii="Segoe UI"/>
          <w:color w:val="231F20"/>
        </w:rPr>
        <w:t> flow, uncertainty as to whether the full cost </w:t>
      </w:r>
      <w:r>
        <w:rPr>
          <w:color w:val="231F20"/>
        </w:rPr>
        <w:t>of</w:t>
      </w:r>
      <w:r>
        <w:rPr>
          <w:color w:val="231F20"/>
          <w:spacing w:val="-4"/>
        </w:rPr>
        <w:t> </w:t>
      </w:r>
      <w:r>
        <w:rPr>
          <w:color w:val="231F20"/>
        </w:rPr>
        <w:t>travel</w:t>
      </w:r>
      <w:r>
        <w:rPr>
          <w:color w:val="231F20"/>
          <w:spacing w:val="-4"/>
        </w:rPr>
        <w:t> </w:t>
      </w:r>
      <w:r>
        <w:rPr>
          <w:color w:val="231F20"/>
        </w:rPr>
        <w:t>will</w:t>
      </w:r>
      <w:r>
        <w:rPr>
          <w:color w:val="231F20"/>
          <w:spacing w:val="-4"/>
        </w:rPr>
        <w:t> </w:t>
      </w:r>
      <w:r>
        <w:rPr>
          <w:color w:val="231F20"/>
        </w:rPr>
        <w:t>be</w:t>
      </w:r>
      <w:r>
        <w:rPr>
          <w:color w:val="231F20"/>
          <w:spacing w:val="-4"/>
        </w:rPr>
        <w:t> </w:t>
      </w:r>
      <w:r>
        <w:rPr>
          <w:color w:val="231F20"/>
        </w:rPr>
        <w:t>reimbursed</w:t>
      </w:r>
      <w:r>
        <w:rPr>
          <w:color w:val="231F20"/>
          <w:spacing w:val="-5"/>
        </w:rPr>
        <w:t> </w:t>
      </w:r>
      <w:r>
        <w:rPr>
          <w:color w:val="231F20"/>
        </w:rPr>
        <w:t>by</w:t>
      </w:r>
      <w:r>
        <w:rPr>
          <w:color w:val="231F20"/>
          <w:spacing w:val="-3"/>
        </w:rPr>
        <w:t> </w:t>
      </w:r>
      <w:r>
        <w:rPr>
          <w:color w:val="231F20"/>
          <w:spacing w:val="-1"/>
        </w:rPr>
        <w:t>DHS</w:t>
      </w:r>
      <w:r>
        <w:rPr>
          <w:color w:val="231F20"/>
          <w:spacing w:val="-3"/>
        </w:rPr>
        <w:t> </w:t>
      </w:r>
      <w:r>
        <w:rPr>
          <w:color w:val="231F20"/>
        </w:rPr>
        <w:t>due</w:t>
      </w:r>
      <w:r>
        <w:rPr>
          <w:color w:val="231F20"/>
          <w:spacing w:val="-5"/>
        </w:rPr>
        <w:t> </w:t>
      </w:r>
      <w:r>
        <w:rPr>
          <w:color w:val="231F20"/>
        </w:rPr>
        <w:t>to</w:t>
      </w:r>
      <w:r>
        <w:rPr>
          <w:color w:val="231F20"/>
          <w:spacing w:val="21"/>
          <w:w w:val="99"/>
        </w:rPr>
        <w:t> </w:t>
      </w:r>
      <w:r>
        <w:rPr>
          <w:color w:val="231F20"/>
        </w:rPr>
        <w:t>the</w:t>
      </w:r>
      <w:r>
        <w:rPr>
          <w:color w:val="231F20"/>
          <w:spacing w:val="-4"/>
        </w:rPr>
        <w:t> </w:t>
      </w:r>
      <w:r>
        <w:rPr>
          <w:color w:val="231F20"/>
        </w:rPr>
        <w:t>complexity</w:t>
      </w:r>
      <w:r>
        <w:rPr>
          <w:color w:val="231F20"/>
          <w:spacing w:val="-4"/>
        </w:rPr>
        <w:t> </w:t>
      </w:r>
      <w:r>
        <w:rPr>
          <w:color w:val="231F20"/>
        </w:rPr>
        <w:t>of</w:t>
      </w:r>
      <w:r>
        <w:rPr>
          <w:color w:val="231F20"/>
          <w:spacing w:val="-2"/>
        </w:rPr>
        <w:t> </w:t>
      </w:r>
      <w:r>
        <w:rPr>
          <w:color w:val="231F20"/>
        </w:rPr>
        <w:t>the</w:t>
      </w:r>
      <w:r>
        <w:rPr>
          <w:color w:val="231F20"/>
          <w:spacing w:val="-4"/>
        </w:rPr>
        <w:t> </w:t>
      </w:r>
      <w:r>
        <w:rPr>
          <w:color w:val="231F20"/>
        </w:rPr>
        <w:t>travel</w:t>
      </w:r>
      <w:r>
        <w:rPr>
          <w:color w:val="231F20"/>
          <w:spacing w:val="-4"/>
        </w:rPr>
        <w:t> </w:t>
      </w:r>
      <w:r>
        <w:rPr>
          <w:color w:val="231F20"/>
        </w:rPr>
        <w:t>rules</w:t>
      </w:r>
      <w:r>
        <w:rPr>
          <w:color w:val="231F20"/>
          <w:spacing w:val="-3"/>
        </w:rPr>
        <w:t> </w:t>
      </w:r>
      <w:r>
        <w:rPr>
          <w:color w:val="231F20"/>
        </w:rPr>
        <w:t>and</w:t>
      </w:r>
      <w:r>
        <w:rPr>
          <w:color w:val="231F20"/>
          <w:spacing w:val="-4"/>
        </w:rPr>
        <w:t> </w:t>
      </w:r>
      <w:r>
        <w:rPr>
          <w:color w:val="231F20"/>
        </w:rPr>
        <w:t>the</w:t>
      </w:r>
      <w:r>
        <w:rPr>
          <w:color w:val="231F20"/>
          <w:w w:val="99"/>
        </w:rPr>
        <w:t> </w:t>
      </w:r>
      <w:r>
        <w:rPr>
          <w:color w:val="231F20"/>
        </w:rPr>
        <w:t>administrative</w:t>
      </w:r>
      <w:r>
        <w:rPr>
          <w:color w:val="231F20"/>
          <w:spacing w:val="-9"/>
        </w:rPr>
        <w:t> </w:t>
      </w:r>
      <w:r>
        <w:rPr>
          <w:color w:val="231F20"/>
        </w:rPr>
        <w:t>cost</w:t>
      </w:r>
      <w:r>
        <w:rPr>
          <w:color w:val="231F20"/>
          <w:spacing w:val="-7"/>
        </w:rPr>
        <w:t> </w:t>
      </w:r>
      <w:r>
        <w:rPr>
          <w:color w:val="231F20"/>
        </w:rPr>
        <w:t>of</w:t>
      </w:r>
      <w:r>
        <w:rPr>
          <w:color w:val="231F20"/>
          <w:spacing w:val="-6"/>
        </w:rPr>
        <w:t> </w:t>
      </w:r>
      <w:r>
        <w:rPr>
          <w:color w:val="231F20"/>
          <w:spacing w:val="-1"/>
        </w:rPr>
        <w:t>managing</w:t>
      </w:r>
      <w:r>
        <w:rPr>
          <w:color w:val="231F20"/>
          <w:spacing w:val="-6"/>
        </w:rPr>
        <w:t> </w:t>
      </w:r>
      <w:r>
        <w:rPr>
          <w:color w:val="231F20"/>
        </w:rPr>
        <w:t>travel.</w:t>
      </w:r>
      <w:r>
        <w:rPr>
          <w:color w:val="231F20"/>
          <w:spacing w:val="-7"/>
        </w:rPr>
        <w:t> </w:t>
      </w:r>
      <w:r>
        <w:rPr>
          <w:color w:val="231F20"/>
        </w:rPr>
        <w:t>The</w:t>
      </w:r>
      <w:r>
        <w:rPr>
          <w:color w:val="231F20"/>
          <w:spacing w:val="22"/>
          <w:w w:val="99"/>
        </w:rPr>
        <w:t> </w:t>
      </w:r>
      <w:r>
        <w:rPr>
          <w:color w:val="231F20"/>
        </w:rPr>
        <w:t>boarding</w:t>
      </w:r>
      <w:r>
        <w:rPr>
          <w:color w:val="231F20"/>
          <w:spacing w:val="-9"/>
        </w:rPr>
        <w:t> </w:t>
      </w:r>
      <w:r>
        <w:rPr>
          <w:color w:val="231F20"/>
        </w:rPr>
        <w:t>providers</w:t>
      </w:r>
      <w:r>
        <w:rPr>
          <w:color w:val="231F20"/>
          <w:spacing w:val="-8"/>
        </w:rPr>
        <w:t> </w:t>
      </w:r>
      <w:r>
        <w:rPr>
          <w:color w:val="231F20"/>
        </w:rPr>
        <w:t>that</w:t>
      </w:r>
      <w:r>
        <w:rPr>
          <w:color w:val="231F20"/>
          <w:spacing w:val="-8"/>
        </w:rPr>
        <w:t> </w:t>
      </w:r>
      <w:r>
        <w:rPr>
          <w:color w:val="231F20"/>
        </w:rPr>
        <w:t>currently</w:t>
      </w:r>
      <w:r>
        <w:rPr>
          <w:color w:val="231F20"/>
          <w:spacing w:val="-8"/>
        </w:rPr>
        <w:t> </w:t>
      </w:r>
      <w:r>
        <w:rPr>
          <w:color w:val="231F20"/>
        </w:rPr>
        <w:t>book</w:t>
      </w:r>
      <w:r>
        <w:rPr>
          <w:color w:val="231F20"/>
          <w:spacing w:val="-9"/>
        </w:rPr>
        <w:t> </w:t>
      </w:r>
      <w:r>
        <w:rPr>
          <w:color w:val="231F20"/>
        </w:rPr>
        <w:t>their</w:t>
      </w:r>
      <w:r>
        <w:rPr/>
      </w:r>
    </w:p>
    <w:p>
      <w:pPr>
        <w:pStyle w:val="BodyText"/>
        <w:spacing w:line="250" w:lineRule="exact"/>
        <w:ind w:left="100" w:right="124"/>
        <w:jc w:val="left"/>
      </w:pPr>
      <w:r>
        <w:rPr>
          <w:color w:val="231F20"/>
        </w:rPr>
        <w:t>own</w:t>
      </w:r>
      <w:r>
        <w:rPr>
          <w:color w:val="231F20"/>
          <w:spacing w:val="-5"/>
        </w:rPr>
        <w:t> </w:t>
      </w:r>
      <w:r>
        <w:rPr>
          <w:color w:val="231F20"/>
        </w:rPr>
        <w:t>travel</w:t>
      </w:r>
      <w:r>
        <w:rPr>
          <w:color w:val="231F20"/>
          <w:spacing w:val="-5"/>
        </w:rPr>
        <w:t> </w:t>
      </w:r>
      <w:r>
        <w:rPr>
          <w:color w:val="231F20"/>
        </w:rPr>
        <w:t>have,</w:t>
      </w:r>
      <w:r>
        <w:rPr>
          <w:color w:val="231F20"/>
          <w:spacing w:val="-5"/>
        </w:rPr>
        <w:t> </w:t>
      </w:r>
      <w:r>
        <w:rPr>
          <w:color w:val="231F20"/>
          <w:spacing w:val="-1"/>
        </w:rPr>
        <w:t>in</w:t>
      </w:r>
      <w:r>
        <w:rPr>
          <w:color w:val="231F20"/>
          <w:spacing w:val="-4"/>
        </w:rPr>
        <w:t> </w:t>
      </w:r>
      <w:r>
        <w:rPr>
          <w:color w:val="231F20"/>
          <w:spacing w:val="-1"/>
        </w:rPr>
        <w:t>most</w:t>
      </w:r>
      <w:r>
        <w:rPr>
          <w:color w:val="231F20"/>
          <w:spacing w:val="-4"/>
        </w:rPr>
        <w:t> </w:t>
      </w:r>
      <w:r>
        <w:rPr>
          <w:color w:val="231F20"/>
        </w:rPr>
        <w:t>cases,</w:t>
      </w:r>
      <w:r>
        <w:rPr>
          <w:color w:val="231F20"/>
          <w:spacing w:val="-6"/>
        </w:rPr>
        <w:t> </w:t>
      </w:r>
      <w:r>
        <w:rPr>
          <w:color w:val="231F20"/>
        </w:rPr>
        <w:t>underpinning</w:t>
      </w:r>
      <w:r>
        <w:rPr>
          <w:color w:val="231F20"/>
          <w:spacing w:val="22"/>
          <w:w w:val="99"/>
        </w:rPr>
        <w:t> </w:t>
      </w:r>
      <w:r>
        <w:rPr>
          <w:color w:val="231F20"/>
        </w:rPr>
        <w:t>funding</w:t>
      </w:r>
      <w:r>
        <w:rPr>
          <w:color w:val="231F20"/>
          <w:spacing w:val="-6"/>
        </w:rPr>
        <w:t> </w:t>
      </w:r>
      <w:r>
        <w:rPr>
          <w:color w:val="231F20"/>
        </w:rPr>
        <w:t>from</w:t>
      </w:r>
      <w:r>
        <w:rPr>
          <w:color w:val="231F20"/>
          <w:spacing w:val="-5"/>
        </w:rPr>
        <w:t> </w:t>
      </w:r>
      <w:r>
        <w:rPr>
          <w:color w:val="231F20"/>
        </w:rPr>
        <w:t>government</w:t>
      </w:r>
      <w:r>
        <w:rPr>
          <w:color w:val="231F20"/>
          <w:spacing w:val="-7"/>
        </w:rPr>
        <w:t> </w:t>
      </w:r>
      <w:r>
        <w:rPr>
          <w:color w:val="231F20"/>
        </w:rPr>
        <w:t>or</w:t>
      </w:r>
      <w:r>
        <w:rPr>
          <w:color w:val="231F20"/>
          <w:spacing w:val="-5"/>
        </w:rPr>
        <w:t> </w:t>
      </w:r>
      <w:r>
        <w:rPr>
          <w:color w:val="231F20"/>
        </w:rPr>
        <w:t>a</w:t>
      </w:r>
      <w:r>
        <w:rPr>
          <w:color w:val="231F20"/>
          <w:spacing w:val="-6"/>
        </w:rPr>
        <w:t> </w:t>
      </w:r>
      <w:r>
        <w:rPr>
          <w:color w:val="231F20"/>
        </w:rPr>
        <w:t>donor/s,</w:t>
      </w:r>
      <w:r>
        <w:rPr>
          <w:color w:val="231F20"/>
          <w:spacing w:val="-6"/>
        </w:rPr>
        <w:t> </w:t>
      </w:r>
      <w:r>
        <w:rPr>
          <w:color w:val="231F20"/>
        </w:rPr>
        <w:t>and</w:t>
      </w:r>
      <w:r>
        <w:rPr>
          <w:color w:val="231F20"/>
          <w:spacing w:val="-6"/>
        </w:rPr>
        <w:t> </w:t>
      </w:r>
      <w:r>
        <w:rPr>
          <w:color w:val="231F20"/>
        </w:rPr>
        <w:t>do</w:t>
      </w:r>
      <w:r>
        <w:rPr>
          <w:color w:val="231F20"/>
          <w:w w:val="99"/>
        </w:rPr>
        <w:t> </w:t>
      </w:r>
      <w:r>
        <w:rPr>
          <w:color w:val="231F20"/>
        </w:rPr>
        <w:t>not</w:t>
      </w:r>
      <w:r>
        <w:rPr>
          <w:color w:val="231F20"/>
          <w:spacing w:val="-4"/>
        </w:rPr>
        <w:t> </w:t>
      </w:r>
      <w:r>
        <w:rPr>
          <w:color w:val="231F20"/>
        </w:rPr>
        <w:t>have</w:t>
      </w:r>
      <w:r>
        <w:rPr>
          <w:color w:val="231F20"/>
          <w:spacing w:val="-5"/>
        </w:rPr>
        <w:t> </w:t>
      </w:r>
      <w:r>
        <w:rPr>
          <w:color w:val="231F20"/>
        </w:rPr>
        <w:t>the</w:t>
      </w:r>
      <w:r>
        <w:rPr>
          <w:color w:val="231F20"/>
          <w:spacing w:val="-4"/>
        </w:rPr>
        <w:t> </w:t>
      </w:r>
      <w:r>
        <w:rPr>
          <w:color w:val="231F20"/>
          <w:spacing w:val="-1"/>
        </w:rPr>
        <w:t>same</w:t>
      </w:r>
      <w:r>
        <w:rPr>
          <w:color w:val="231F20"/>
          <w:spacing w:val="-4"/>
        </w:rPr>
        <w:t> </w:t>
      </w:r>
      <w:r>
        <w:rPr>
          <w:color w:val="231F20"/>
        </w:rPr>
        <w:t>funding</w:t>
      </w:r>
      <w:r>
        <w:rPr>
          <w:color w:val="231F20"/>
          <w:spacing w:val="-4"/>
        </w:rPr>
        <w:t> </w:t>
      </w:r>
      <w:r>
        <w:rPr>
          <w:color w:val="231F20"/>
        </w:rPr>
        <w:t>pressures</w:t>
      </w:r>
      <w:r>
        <w:rPr>
          <w:color w:val="231F20"/>
          <w:spacing w:val="-4"/>
        </w:rPr>
        <w:t> </w:t>
      </w:r>
      <w:r>
        <w:rPr>
          <w:color w:val="231F20"/>
        </w:rPr>
        <w:t>as</w:t>
      </w:r>
      <w:r>
        <w:rPr>
          <w:color w:val="231F20"/>
          <w:spacing w:val="-5"/>
        </w:rPr>
        <w:t> </w:t>
      </w:r>
      <w:r>
        <w:rPr>
          <w:color w:val="231F20"/>
          <w:spacing w:val="-1"/>
        </w:rPr>
        <w:t>some</w:t>
      </w:r>
      <w:r>
        <w:rPr>
          <w:color w:val="231F20"/>
          <w:spacing w:val="21"/>
        </w:rPr>
        <w:t> </w:t>
      </w:r>
      <w:r>
        <w:rPr>
          <w:color w:val="231F20"/>
        </w:rPr>
        <w:t>other</w:t>
      </w:r>
      <w:r>
        <w:rPr>
          <w:color w:val="231F20"/>
          <w:spacing w:val="-11"/>
        </w:rPr>
        <w:t> </w:t>
      </w:r>
      <w:r>
        <w:rPr>
          <w:color w:val="231F20"/>
        </w:rPr>
        <w:t>boarding</w:t>
      </w:r>
      <w:r>
        <w:rPr>
          <w:color w:val="231F20"/>
          <w:spacing w:val="-12"/>
        </w:rPr>
        <w:t> </w:t>
      </w:r>
      <w:r>
        <w:rPr>
          <w:color w:val="231F20"/>
        </w:rPr>
        <w:t>providers.</w:t>
      </w:r>
      <w:r>
        <w:rPr/>
      </w:r>
    </w:p>
    <w:p>
      <w:pPr>
        <w:spacing w:after="0" w:line="250" w:lineRule="exact"/>
        <w:jc w:val="left"/>
        <w:sectPr>
          <w:type w:val="continuous"/>
          <w:pgSz w:w="11910" w:h="16840"/>
          <w:pgMar w:top="1580" w:bottom="280" w:left="1600" w:right="1300"/>
          <w:cols w:num="2" w:equalWidth="0">
            <w:col w:w="4286" w:space="249"/>
            <w:col w:w="4475"/>
          </w:cols>
        </w:sectPr>
      </w:pPr>
    </w:p>
    <w:p>
      <w:pPr>
        <w:spacing w:line="240" w:lineRule="auto" w:before="0"/>
        <w:rPr>
          <w:rFonts w:ascii="Segoe UI" w:hAnsi="Segoe UI" w:cs="Segoe UI" w:eastAsia="Segoe UI"/>
          <w:sz w:val="20"/>
          <w:szCs w:val="20"/>
        </w:rPr>
      </w:pPr>
    </w:p>
    <w:p>
      <w:pPr>
        <w:spacing w:line="240" w:lineRule="auto" w:before="8"/>
        <w:rPr>
          <w:rFonts w:ascii="Segoe UI" w:hAnsi="Segoe UI" w:cs="Segoe UI" w:eastAsia="Segoe UI"/>
          <w:sz w:val="21"/>
          <w:szCs w:val="21"/>
        </w:rPr>
      </w:pPr>
    </w:p>
    <w:p>
      <w:pPr>
        <w:spacing w:after="0" w:line="240" w:lineRule="auto"/>
        <w:rPr>
          <w:rFonts w:ascii="Segoe UI" w:hAnsi="Segoe UI" w:cs="Segoe UI" w:eastAsia="Segoe UI"/>
          <w:sz w:val="21"/>
          <w:szCs w:val="21"/>
        </w:rPr>
        <w:sectPr>
          <w:pgSz w:w="11910" w:h="16840"/>
          <w:pgMar w:header="0" w:footer="691" w:top="1580" w:bottom="880" w:left="1260" w:right="1600"/>
        </w:sectPr>
      </w:pPr>
    </w:p>
    <w:p>
      <w:pPr>
        <w:pStyle w:val="BodyText"/>
        <w:spacing w:line="250" w:lineRule="exact" w:before="62"/>
        <w:ind w:left="157" w:right="86"/>
        <w:jc w:val="left"/>
      </w:pPr>
      <w:r>
        <w:rPr>
          <w:rFonts w:ascii="Segoe UI"/>
          <w:color w:val="231F20"/>
        </w:rPr>
        <w:t>While decentralising travel provides the benefit </w:t>
      </w:r>
      <w:r>
        <w:rPr>
          <w:color w:val="231F20"/>
        </w:rPr>
        <w:t>of</w:t>
      </w:r>
      <w:r>
        <w:rPr>
          <w:color w:val="231F20"/>
          <w:spacing w:val="-4"/>
        </w:rPr>
        <w:t> </w:t>
      </w:r>
      <w:r>
        <w:rPr>
          <w:color w:val="231F20"/>
          <w:spacing w:val="-1"/>
        </w:rPr>
        <w:t>local</w:t>
      </w:r>
      <w:r>
        <w:rPr>
          <w:color w:val="231F20"/>
          <w:spacing w:val="-4"/>
        </w:rPr>
        <w:t> </w:t>
      </w:r>
      <w:r>
        <w:rPr>
          <w:color w:val="231F20"/>
          <w:spacing w:val="-1"/>
        </w:rPr>
        <w:t>management,</w:t>
      </w:r>
      <w:r>
        <w:rPr>
          <w:color w:val="231F20"/>
          <w:spacing w:val="-2"/>
        </w:rPr>
        <w:t> </w:t>
      </w:r>
      <w:r>
        <w:rPr>
          <w:color w:val="231F20"/>
          <w:spacing w:val="-1"/>
        </w:rPr>
        <w:t>it</w:t>
      </w:r>
      <w:r>
        <w:rPr>
          <w:color w:val="231F20"/>
          <w:spacing w:val="-4"/>
        </w:rPr>
        <w:t> </w:t>
      </w:r>
      <w:r>
        <w:rPr>
          <w:color w:val="231F20"/>
        </w:rPr>
        <w:t>also</w:t>
      </w:r>
      <w:r>
        <w:rPr>
          <w:color w:val="231F20"/>
          <w:spacing w:val="-5"/>
        </w:rPr>
        <w:t> </w:t>
      </w:r>
      <w:r>
        <w:rPr>
          <w:color w:val="231F20"/>
        </w:rPr>
        <w:t>has</w:t>
      </w:r>
      <w:r>
        <w:rPr>
          <w:color w:val="231F20"/>
          <w:spacing w:val="-4"/>
        </w:rPr>
        <w:t> </w:t>
      </w:r>
      <w:r>
        <w:rPr>
          <w:color w:val="231F20"/>
        </w:rPr>
        <w:t>potential</w:t>
      </w:r>
      <w:r>
        <w:rPr>
          <w:color w:val="231F20"/>
          <w:spacing w:val="24"/>
          <w:w w:val="99"/>
        </w:rPr>
        <w:t> </w:t>
      </w:r>
      <w:r>
        <w:rPr>
          <w:color w:val="231F20"/>
        </w:rPr>
        <w:t>costs.</w:t>
      </w:r>
      <w:r>
        <w:rPr>
          <w:color w:val="231F20"/>
          <w:spacing w:val="-5"/>
        </w:rPr>
        <w:t> </w:t>
      </w:r>
      <w:r>
        <w:rPr>
          <w:color w:val="231F20"/>
          <w:spacing w:val="-1"/>
        </w:rPr>
        <w:t>Checks</w:t>
      </w:r>
      <w:r>
        <w:rPr>
          <w:color w:val="231F20"/>
          <w:spacing w:val="-4"/>
        </w:rPr>
        <w:t> </w:t>
      </w:r>
      <w:r>
        <w:rPr>
          <w:color w:val="231F20"/>
        </w:rPr>
        <w:t>and</w:t>
      </w:r>
      <w:r>
        <w:rPr>
          <w:color w:val="231F20"/>
          <w:spacing w:val="-5"/>
        </w:rPr>
        <w:t> </w:t>
      </w:r>
      <w:r>
        <w:rPr>
          <w:color w:val="231F20"/>
        </w:rPr>
        <w:t>balances</w:t>
      </w:r>
      <w:r>
        <w:rPr>
          <w:color w:val="231F20"/>
          <w:spacing w:val="-5"/>
        </w:rPr>
        <w:t> </w:t>
      </w:r>
      <w:r>
        <w:rPr>
          <w:color w:val="231F20"/>
        </w:rPr>
        <w:t>would</w:t>
      </w:r>
      <w:r>
        <w:rPr>
          <w:color w:val="231F20"/>
          <w:spacing w:val="-4"/>
        </w:rPr>
        <w:t> </w:t>
      </w:r>
      <w:r>
        <w:rPr>
          <w:color w:val="231F20"/>
        </w:rPr>
        <w:t>need</w:t>
      </w:r>
      <w:r>
        <w:rPr>
          <w:color w:val="231F20"/>
          <w:spacing w:val="-5"/>
        </w:rPr>
        <w:t> </w:t>
      </w:r>
      <w:r>
        <w:rPr>
          <w:color w:val="231F20"/>
        </w:rPr>
        <w:t>to</w:t>
      </w:r>
      <w:r>
        <w:rPr/>
      </w:r>
    </w:p>
    <w:p>
      <w:pPr>
        <w:pStyle w:val="BodyText"/>
        <w:spacing w:line="250" w:lineRule="exact"/>
        <w:ind w:left="157" w:right="253"/>
        <w:jc w:val="left"/>
      </w:pPr>
      <w:r>
        <w:rPr>
          <w:color w:val="231F20"/>
        </w:rPr>
        <w:t>be</w:t>
      </w:r>
      <w:r>
        <w:rPr>
          <w:color w:val="231F20"/>
          <w:spacing w:val="-5"/>
        </w:rPr>
        <w:t> </w:t>
      </w:r>
      <w:r>
        <w:rPr>
          <w:color w:val="231F20"/>
          <w:spacing w:val="-1"/>
        </w:rPr>
        <w:t>introduced</w:t>
      </w:r>
      <w:r>
        <w:rPr>
          <w:color w:val="231F20"/>
          <w:spacing w:val="-4"/>
        </w:rPr>
        <w:t> </w:t>
      </w:r>
      <w:r>
        <w:rPr>
          <w:color w:val="231F20"/>
        </w:rPr>
        <w:t>to</w:t>
      </w:r>
      <w:r>
        <w:rPr>
          <w:color w:val="231F20"/>
          <w:spacing w:val="-5"/>
        </w:rPr>
        <w:t> </w:t>
      </w:r>
      <w:r>
        <w:rPr>
          <w:color w:val="231F20"/>
        </w:rPr>
        <w:t>ensure</w:t>
      </w:r>
      <w:r>
        <w:rPr>
          <w:color w:val="231F20"/>
          <w:spacing w:val="-5"/>
        </w:rPr>
        <w:t> </w:t>
      </w:r>
      <w:r>
        <w:rPr>
          <w:color w:val="231F20"/>
        </w:rPr>
        <w:t>that</w:t>
      </w:r>
      <w:r>
        <w:rPr>
          <w:color w:val="231F20"/>
          <w:spacing w:val="-5"/>
        </w:rPr>
        <w:t> </w:t>
      </w:r>
      <w:r>
        <w:rPr>
          <w:color w:val="231F20"/>
        </w:rPr>
        <w:t>the</w:t>
      </w:r>
      <w:r>
        <w:rPr>
          <w:color w:val="231F20"/>
          <w:spacing w:val="-5"/>
        </w:rPr>
        <w:t> </w:t>
      </w:r>
      <w:r>
        <w:rPr>
          <w:color w:val="231F20"/>
          <w:spacing w:val="-1"/>
        </w:rPr>
        <w:t>investment</w:t>
      </w:r>
      <w:r>
        <w:rPr>
          <w:color w:val="231F20"/>
          <w:spacing w:val="21"/>
        </w:rPr>
        <w:t> </w:t>
      </w:r>
      <w:r>
        <w:rPr>
          <w:rFonts w:ascii="Segoe UI"/>
          <w:color w:val="231F20"/>
        </w:rPr>
        <w:t>in student travel remains an efficient use of</w:t>
      </w:r>
      <w:r>
        <w:rPr>
          <w:rFonts w:ascii="Segoe UI"/>
          <w:color w:val="231F20"/>
        </w:rPr>
        <w:t> </w:t>
      </w:r>
      <w:r>
        <w:rPr>
          <w:color w:val="231F20"/>
          <w:spacing w:val="-1"/>
        </w:rPr>
        <w:t>Commonwealth</w:t>
      </w:r>
      <w:r>
        <w:rPr>
          <w:color w:val="231F20"/>
          <w:spacing w:val="-9"/>
        </w:rPr>
        <w:t> </w:t>
      </w:r>
      <w:r>
        <w:rPr>
          <w:color w:val="231F20"/>
        </w:rPr>
        <w:t>resources.</w:t>
      </w:r>
      <w:r>
        <w:rPr>
          <w:color w:val="231F20"/>
          <w:spacing w:val="-11"/>
        </w:rPr>
        <w:t> </w:t>
      </w:r>
      <w:r>
        <w:rPr>
          <w:color w:val="231F20"/>
          <w:spacing w:val="-1"/>
        </w:rPr>
        <w:t>For</w:t>
      </w:r>
      <w:r>
        <w:rPr>
          <w:color w:val="231F20"/>
          <w:spacing w:val="-9"/>
        </w:rPr>
        <w:t> </w:t>
      </w:r>
      <w:r>
        <w:rPr>
          <w:color w:val="231F20"/>
          <w:spacing w:val="-1"/>
        </w:rPr>
        <w:t>instance,</w:t>
      </w:r>
      <w:r>
        <w:rPr>
          <w:color w:val="231F20"/>
          <w:spacing w:val="-9"/>
        </w:rPr>
        <w:t> </w:t>
      </w:r>
      <w:r>
        <w:rPr>
          <w:color w:val="231F20"/>
        </w:rPr>
        <w:t>to</w:t>
      </w:r>
      <w:r>
        <w:rPr>
          <w:color w:val="231F20"/>
          <w:spacing w:val="24"/>
          <w:w w:val="99"/>
        </w:rPr>
        <w:t> </w:t>
      </w:r>
      <w:r>
        <w:rPr>
          <w:color w:val="231F20"/>
        </w:rPr>
        <w:t>ensure</w:t>
      </w:r>
      <w:r>
        <w:rPr>
          <w:color w:val="231F20"/>
          <w:spacing w:val="-5"/>
        </w:rPr>
        <w:t> </w:t>
      </w:r>
      <w:r>
        <w:rPr>
          <w:color w:val="231F20"/>
        </w:rPr>
        <w:t>that</w:t>
      </w:r>
      <w:r>
        <w:rPr>
          <w:color w:val="231F20"/>
          <w:spacing w:val="-5"/>
        </w:rPr>
        <w:t> </w:t>
      </w:r>
      <w:r>
        <w:rPr>
          <w:color w:val="231F20"/>
          <w:spacing w:val="-1"/>
        </w:rPr>
        <w:t>multiple</w:t>
      </w:r>
      <w:r>
        <w:rPr>
          <w:color w:val="231F20"/>
          <w:spacing w:val="-3"/>
        </w:rPr>
        <w:t> </w:t>
      </w:r>
      <w:r>
        <w:rPr>
          <w:color w:val="231F20"/>
          <w:spacing w:val="-1"/>
        </w:rPr>
        <w:t>schools</w:t>
      </w:r>
      <w:r>
        <w:rPr>
          <w:color w:val="231F20"/>
          <w:spacing w:val="-4"/>
        </w:rPr>
        <w:t> </w:t>
      </w:r>
      <w:r>
        <w:rPr>
          <w:color w:val="231F20"/>
        </w:rPr>
        <w:t>did</w:t>
      </w:r>
      <w:r>
        <w:rPr>
          <w:color w:val="231F20"/>
          <w:spacing w:val="-4"/>
        </w:rPr>
        <w:t> </w:t>
      </w:r>
      <w:r>
        <w:rPr>
          <w:color w:val="231F20"/>
        </w:rPr>
        <w:t>not</w:t>
      </w:r>
      <w:r>
        <w:rPr>
          <w:color w:val="231F20"/>
          <w:spacing w:val="-4"/>
        </w:rPr>
        <w:t> </w:t>
      </w:r>
      <w:r>
        <w:rPr>
          <w:color w:val="231F20"/>
        </w:rPr>
        <w:t>charter</w:t>
      </w:r>
      <w:r>
        <w:rPr/>
      </w:r>
    </w:p>
    <w:p>
      <w:pPr>
        <w:pStyle w:val="BodyText"/>
        <w:spacing w:line="250" w:lineRule="exact"/>
        <w:ind w:left="157" w:right="37"/>
        <w:jc w:val="left"/>
        <w:rPr>
          <w:rFonts w:ascii="Segoe UI" w:hAnsi="Segoe UI" w:cs="Segoe UI" w:eastAsia="Segoe UI"/>
        </w:rPr>
      </w:pPr>
      <w:r>
        <w:rPr>
          <w:rFonts w:ascii="Segoe UI"/>
          <w:color w:val="231F20"/>
        </w:rPr>
        <w:t>individual flights to the same community at the same</w:t>
      </w:r>
      <w:r>
        <w:rPr>
          <w:rFonts w:ascii="Segoe UI"/>
          <w:color w:val="231F20"/>
          <w:spacing w:val="-2"/>
        </w:rPr>
        <w:t> </w:t>
      </w:r>
      <w:r>
        <w:rPr>
          <w:rFonts w:ascii="Segoe UI"/>
          <w:color w:val="231F20"/>
        </w:rPr>
        <w:t>time</w:t>
      </w:r>
      <w:r>
        <w:rPr>
          <w:rFonts w:ascii="Segoe UI"/>
          <w:color w:val="231F20"/>
          <w:spacing w:val="-1"/>
        </w:rPr>
        <w:t> </w:t>
      </w:r>
      <w:r>
        <w:rPr>
          <w:rFonts w:ascii="Segoe UI"/>
          <w:color w:val="231F20"/>
        </w:rPr>
        <w:t>for</w:t>
      </w:r>
      <w:r>
        <w:rPr>
          <w:rFonts w:ascii="Segoe UI"/>
          <w:color w:val="231F20"/>
          <w:spacing w:val="-2"/>
        </w:rPr>
        <w:t> </w:t>
      </w:r>
      <w:r>
        <w:rPr>
          <w:rFonts w:ascii="Segoe UI"/>
          <w:color w:val="231F20"/>
        </w:rPr>
        <w:t>different</w:t>
      </w:r>
      <w:r>
        <w:rPr>
          <w:rFonts w:ascii="Segoe UI"/>
          <w:color w:val="231F20"/>
          <w:spacing w:val="-1"/>
        </w:rPr>
        <w:t> </w:t>
      </w:r>
      <w:r>
        <w:rPr>
          <w:rFonts w:ascii="Segoe UI"/>
          <w:color w:val="231F20"/>
        </w:rPr>
        <w:t>students.</w:t>
      </w:r>
      <w:r>
        <w:rPr>
          <w:rFonts w:ascii="Segoe UI"/>
          <w:color w:val="231F20"/>
          <w:spacing w:val="-2"/>
        </w:rPr>
        <w:t> </w:t>
      </w:r>
      <w:r>
        <w:rPr>
          <w:rFonts w:ascii="Segoe UI"/>
          <w:color w:val="231F20"/>
        </w:rPr>
        <w:t>Expanding</w:t>
      </w:r>
      <w:r>
        <w:rPr>
          <w:rFonts w:ascii="Segoe UI"/>
        </w:rPr>
      </w:r>
    </w:p>
    <w:p>
      <w:pPr>
        <w:pStyle w:val="BodyText"/>
        <w:spacing w:line="250" w:lineRule="exact"/>
        <w:ind w:left="157" w:right="37"/>
        <w:jc w:val="left"/>
      </w:pPr>
      <w:r>
        <w:rPr>
          <w:color w:val="231F20"/>
        </w:rPr>
        <w:t>the</w:t>
      </w:r>
      <w:r>
        <w:rPr>
          <w:color w:val="231F20"/>
          <w:spacing w:val="-5"/>
        </w:rPr>
        <w:t> </w:t>
      </w:r>
      <w:r>
        <w:rPr>
          <w:color w:val="231F20"/>
        </w:rPr>
        <w:t>role</w:t>
      </w:r>
      <w:r>
        <w:rPr>
          <w:color w:val="231F20"/>
          <w:spacing w:val="-5"/>
        </w:rPr>
        <w:t> </w:t>
      </w:r>
      <w:r>
        <w:rPr>
          <w:color w:val="231F20"/>
        </w:rPr>
        <w:t>of</w:t>
      </w:r>
      <w:r>
        <w:rPr>
          <w:color w:val="231F20"/>
          <w:spacing w:val="-4"/>
        </w:rPr>
        <w:t> </w:t>
      </w:r>
      <w:r>
        <w:rPr>
          <w:color w:val="231F20"/>
        </w:rPr>
        <w:t>the</w:t>
      </w:r>
      <w:r>
        <w:rPr>
          <w:color w:val="231F20"/>
          <w:spacing w:val="-5"/>
        </w:rPr>
        <w:t> </w:t>
      </w:r>
      <w:r>
        <w:rPr>
          <w:color w:val="231F20"/>
        </w:rPr>
        <w:t>transition</w:t>
      </w:r>
      <w:r>
        <w:rPr>
          <w:color w:val="231F20"/>
          <w:spacing w:val="-5"/>
        </w:rPr>
        <w:t> </w:t>
      </w:r>
      <w:r>
        <w:rPr>
          <w:color w:val="231F20"/>
          <w:spacing w:val="-1"/>
        </w:rPr>
        <w:t>support</w:t>
      </w:r>
      <w:r>
        <w:rPr>
          <w:color w:val="231F20"/>
          <w:spacing w:val="-4"/>
        </w:rPr>
        <w:t> </w:t>
      </w:r>
      <w:r>
        <w:rPr>
          <w:color w:val="231F20"/>
        </w:rPr>
        <w:t>units</w:t>
      </w:r>
      <w:r>
        <w:rPr>
          <w:color w:val="231F20"/>
          <w:spacing w:val="-5"/>
        </w:rPr>
        <w:t> </w:t>
      </w:r>
      <w:r>
        <w:rPr>
          <w:color w:val="231F20"/>
        </w:rPr>
        <w:t>to</w:t>
      </w:r>
      <w:r>
        <w:rPr>
          <w:color w:val="231F20"/>
          <w:spacing w:val="22"/>
          <w:w w:val="99"/>
        </w:rPr>
        <w:t> </w:t>
      </w:r>
      <w:r>
        <w:rPr>
          <w:color w:val="231F20"/>
          <w:spacing w:val="-1"/>
        </w:rPr>
        <w:t>manage</w:t>
      </w:r>
      <w:r>
        <w:rPr>
          <w:color w:val="231F20"/>
          <w:spacing w:val="-8"/>
        </w:rPr>
        <w:t> </w:t>
      </w:r>
      <w:r>
        <w:rPr>
          <w:color w:val="231F20"/>
        </w:rPr>
        <w:t>and</w:t>
      </w:r>
      <w:r>
        <w:rPr>
          <w:color w:val="231F20"/>
          <w:spacing w:val="-8"/>
        </w:rPr>
        <w:t> </w:t>
      </w:r>
      <w:r>
        <w:rPr>
          <w:color w:val="231F20"/>
        </w:rPr>
        <w:t>coordinate</w:t>
      </w:r>
      <w:r>
        <w:rPr>
          <w:color w:val="231F20"/>
          <w:spacing w:val="-9"/>
        </w:rPr>
        <w:t> </w:t>
      </w:r>
      <w:r>
        <w:rPr>
          <w:color w:val="231F20"/>
        </w:rPr>
        <w:t>travel</w:t>
      </w:r>
      <w:r>
        <w:rPr>
          <w:color w:val="231F20"/>
          <w:spacing w:val="-8"/>
        </w:rPr>
        <w:t> </w:t>
      </w:r>
      <w:r>
        <w:rPr>
          <w:color w:val="231F20"/>
        </w:rPr>
        <w:t>would</w:t>
      </w:r>
      <w:r>
        <w:rPr>
          <w:color w:val="231F20"/>
          <w:spacing w:val="-8"/>
        </w:rPr>
        <w:t> </w:t>
      </w:r>
      <w:r>
        <w:rPr>
          <w:color w:val="231F20"/>
        </w:rPr>
        <w:t>provide</w:t>
      </w:r>
      <w:r>
        <w:rPr>
          <w:color w:val="231F20"/>
          <w:spacing w:val="21"/>
          <w:w w:val="99"/>
        </w:rPr>
        <w:t> </w:t>
      </w:r>
      <w:r>
        <w:rPr>
          <w:rFonts w:ascii="Segoe UI"/>
          <w:color w:val="231F20"/>
        </w:rPr>
        <w:t>the benefits of decentralisation to a local level,</w:t>
      </w:r>
      <w:r>
        <w:rPr>
          <w:rFonts w:ascii="Segoe UI"/>
          <w:color w:val="231F20"/>
        </w:rPr>
        <w:t> </w:t>
      </w:r>
      <w:r>
        <w:rPr>
          <w:color w:val="231F20"/>
        </w:rPr>
        <w:t>while</w:t>
      </w:r>
      <w:r>
        <w:rPr>
          <w:color w:val="231F20"/>
          <w:spacing w:val="-8"/>
        </w:rPr>
        <w:t> </w:t>
      </w:r>
      <w:r>
        <w:rPr>
          <w:color w:val="231F20"/>
        </w:rPr>
        <w:t>ensuring</w:t>
      </w:r>
      <w:r>
        <w:rPr>
          <w:color w:val="231F20"/>
          <w:spacing w:val="-7"/>
        </w:rPr>
        <w:t> </w:t>
      </w:r>
      <w:r>
        <w:rPr>
          <w:color w:val="231F20"/>
        </w:rPr>
        <w:t>a</w:t>
      </w:r>
      <w:r>
        <w:rPr>
          <w:color w:val="231F20"/>
          <w:spacing w:val="-7"/>
        </w:rPr>
        <w:t> </w:t>
      </w:r>
      <w:r>
        <w:rPr>
          <w:color w:val="231F20"/>
        </w:rPr>
        <w:t>coordinated</w:t>
      </w:r>
      <w:r>
        <w:rPr>
          <w:color w:val="231F20"/>
          <w:spacing w:val="-7"/>
        </w:rPr>
        <w:t> </w:t>
      </w:r>
      <w:r>
        <w:rPr>
          <w:color w:val="231F20"/>
        </w:rPr>
        <w:t>approach</w:t>
      </w:r>
      <w:r>
        <w:rPr>
          <w:color w:val="231F20"/>
          <w:spacing w:val="-8"/>
        </w:rPr>
        <w:t> </w:t>
      </w:r>
      <w:r>
        <w:rPr>
          <w:color w:val="231F20"/>
        </w:rPr>
        <w:t>to</w:t>
      </w:r>
      <w:r>
        <w:rPr>
          <w:color w:val="231F20"/>
          <w:spacing w:val="-6"/>
        </w:rPr>
        <w:t> </w:t>
      </w:r>
      <w:r>
        <w:rPr>
          <w:color w:val="231F20"/>
        </w:rPr>
        <w:t>travel</w:t>
      </w:r>
      <w:r>
        <w:rPr>
          <w:color w:val="231F20"/>
          <w:w w:val="99"/>
        </w:rPr>
        <w:t> </w:t>
      </w:r>
      <w:r>
        <w:rPr>
          <w:color w:val="231F20"/>
          <w:spacing w:val="-1"/>
        </w:rPr>
        <w:t>management.</w:t>
      </w:r>
      <w:r>
        <w:rPr>
          <w:color w:val="231F20"/>
          <w:spacing w:val="-8"/>
        </w:rPr>
        <w:t> </w:t>
      </w:r>
      <w:r>
        <w:rPr>
          <w:color w:val="231F20"/>
          <w:spacing w:val="-1"/>
        </w:rPr>
        <w:t>Both</w:t>
      </w:r>
      <w:r>
        <w:rPr>
          <w:color w:val="231F20"/>
          <w:spacing w:val="-9"/>
        </w:rPr>
        <w:t> </w:t>
      </w:r>
      <w:r>
        <w:rPr>
          <w:color w:val="231F20"/>
        </w:rPr>
        <w:t>the</w:t>
      </w:r>
      <w:r>
        <w:rPr>
          <w:color w:val="231F20"/>
          <w:spacing w:val="-10"/>
        </w:rPr>
        <w:t> </w:t>
      </w:r>
      <w:r>
        <w:rPr>
          <w:color w:val="231F20"/>
          <w:spacing w:val="-2"/>
        </w:rPr>
        <w:t>Transition</w:t>
      </w:r>
      <w:r>
        <w:rPr>
          <w:color w:val="231F20"/>
          <w:spacing w:val="-10"/>
        </w:rPr>
        <w:t> </w:t>
      </w:r>
      <w:r>
        <w:rPr>
          <w:color w:val="231F20"/>
          <w:spacing w:val="-1"/>
        </w:rPr>
        <w:t>Support</w:t>
      </w:r>
      <w:r>
        <w:rPr>
          <w:color w:val="231F20"/>
          <w:spacing w:val="24"/>
          <w:w w:val="99"/>
        </w:rPr>
        <w:t> </w:t>
      </w:r>
      <w:r>
        <w:rPr>
          <w:color w:val="231F20"/>
          <w:spacing w:val="-1"/>
        </w:rPr>
        <w:t>Services</w:t>
      </w:r>
      <w:r>
        <w:rPr>
          <w:color w:val="231F20"/>
          <w:spacing w:val="-6"/>
        </w:rPr>
        <w:t> </w:t>
      </w:r>
      <w:r>
        <w:rPr>
          <w:color w:val="231F20"/>
        </w:rPr>
        <w:t>(Qld)</w:t>
      </w:r>
      <w:r>
        <w:rPr>
          <w:color w:val="231F20"/>
          <w:spacing w:val="-6"/>
        </w:rPr>
        <w:t> </w:t>
      </w:r>
      <w:r>
        <w:rPr>
          <w:color w:val="231F20"/>
        </w:rPr>
        <w:t>and</w:t>
      </w:r>
      <w:r>
        <w:rPr>
          <w:color w:val="231F20"/>
          <w:spacing w:val="-6"/>
        </w:rPr>
        <w:t> </w:t>
      </w:r>
      <w:r>
        <w:rPr>
          <w:color w:val="231F20"/>
        </w:rPr>
        <w:t>the</w:t>
      </w:r>
      <w:r>
        <w:rPr>
          <w:color w:val="231F20"/>
          <w:spacing w:val="-6"/>
        </w:rPr>
        <w:t> </w:t>
      </w:r>
      <w:r>
        <w:rPr>
          <w:color w:val="231F20"/>
          <w:spacing w:val="-2"/>
        </w:rPr>
        <w:t>Transition</w:t>
      </w:r>
      <w:r>
        <w:rPr>
          <w:color w:val="231F20"/>
          <w:spacing w:val="-6"/>
        </w:rPr>
        <w:t> </w:t>
      </w:r>
      <w:r>
        <w:rPr>
          <w:color w:val="231F20"/>
          <w:spacing w:val="-1"/>
        </w:rPr>
        <w:t>Support</w:t>
      </w:r>
      <w:r>
        <w:rPr>
          <w:color w:val="231F20"/>
          <w:spacing w:val="-5"/>
        </w:rPr>
        <w:t> </w:t>
      </w:r>
      <w:r>
        <w:rPr>
          <w:color w:val="231F20"/>
        </w:rPr>
        <w:t>Unit</w:t>
      </w:r>
      <w:r>
        <w:rPr>
          <w:color w:val="231F20"/>
          <w:spacing w:val="25"/>
          <w:w w:val="99"/>
        </w:rPr>
        <w:t> </w:t>
      </w:r>
      <w:r>
        <w:rPr>
          <w:color w:val="231F20"/>
        </w:rPr>
        <w:t>(NT)</w:t>
      </w:r>
      <w:r>
        <w:rPr>
          <w:color w:val="231F20"/>
          <w:spacing w:val="-6"/>
        </w:rPr>
        <w:t> </w:t>
      </w:r>
      <w:r>
        <w:rPr>
          <w:color w:val="231F20"/>
        </w:rPr>
        <w:t>expressed</w:t>
      </w:r>
      <w:r>
        <w:rPr>
          <w:color w:val="231F20"/>
          <w:spacing w:val="-5"/>
        </w:rPr>
        <w:t> </w:t>
      </w:r>
      <w:r>
        <w:rPr>
          <w:color w:val="231F20"/>
        </w:rPr>
        <w:t>a</w:t>
      </w:r>
      <w:r>
        <w:rPr>
          <w:color w:val="231F20"/>
          <w:spacing w:val="-4"/>
        </w:rPr>
        <w:t> </w:t>
      </w:r>
      <w:r>
        <w:rPr>
          <w:color w:val="231F20"/>
        </w:rPr>
        <w:t>willingness</w:t>
      </w:r>
      <w:r>
        <w:rPr>
          <w:color w:val="231F20"/>
          <w:spacing w:val="-7"/>
        </w:rPr>
        <w:t> </w:t>
      </w:r>
      <w:r>
        <w:rPr>
          <w:color w:val="231F20"/>
        </w:rPr>
        <w:t>to</w:t>
      </w:r>
      <w:r>
        <w:rPr>
          <w:color w:val="231F20"/>
          <w:spacing w:val="-4"/>
        </w:rPr>
        <w:t> </w:t>
      </w:r>
      <w:r>
        <w:rPr>
          <w:color w:val="231F20"/>
        </w:rPr>
        <w:t>consider</w:t>
      </w:r>
      <w:r>
        <w:rPr>
          <w:color w:val="231F20"/>
          <w:spacing w:val="-5"/>
        </w:rPr>
        <w:t> </w:t>
      </w:r>
      <w:r>
        <w:rPr>
          <w:color w:val="231F20"/>
        </w:rPr>
        <w:t>the</w:t>
      </w:r>
      <w:r>
        <w:rPr>
          <w:color w:val="231F20"/>
          <w:w w:val="99"/>
        </w:rPr>
        <w:t> </w:t>
      </w:r>
      <w:r>
        <w:rPr>
          <w:color w:val="231F20"/>
          <w:spacing w:val="-1"/>
        </w:rPr>
        <w:t>management</w:t>
      </w:r>
      <w:r>
        <w:rPr>
          <w:color w:val="231F20"/>
          <w:spacing w:val="-7"/>
        </w:rPr>
        <w:t> </w:t>
      </w:r>
      <w:r>
        <w:rPr>
          <w:color w:val="231F20"/>
        </w:rPr>
        <w:t>of</w:t>
      </w:r>
      <w:r>
        <w:rPr>
          <w:color w:val="231F20"/>
          <w:spacing w:val="-7"/>
        </w:rPr>
        <w:t> </w:t>
      </w:r>
      <w:r>
        <w:rPr>
          <w:color w:val="231F20"/>
          <w:spacing w:val="-1"/>
        </w:rPr>
        <w:t>student</w:t>
      </w:r>
      <w:r>
        <w:rPr>
          <w:color w:val="231F20"/>
          <w:spacing w:val="-7"/>
        </w:rPr>
        <w:t> </w:t>
      </w:r>
      <w:r>
        <w:rPr>
          <w:color w:val="231F20"/>
        </w:rPr>
        <w:t>travel,</w:t>
      </w:r>
      <w:r>
        <w:rPr>
          <w:color w:val="231F20"/>
          <w:spacing w:val="-9"/>
        </w:rPr>
        <w:t> </w:t>
      </w:r>
      <w:r>
        <w:rPr>
          <w:color w:val="231F20"/>
        </w:rPr>
        <w:t>provided</w:t>
      </w:r>
      <w:r>
        <w:rPr>
          <w:color w:val="231F20"/>
          <w:spacing w:val="-8"/>
        </w:rPr>
        <w:t> </w:t>
      </w:r>
      <w:r>
        <w:rPr>
          <w:color w:val="231F20"/>
        </w:rPr>
        <w:t>the</w:t>
      </w:r>
      <w:r>
        <w:rPr>
          <w:color w:val="231F20"/>
          <w:spacing w:val="23"/>
          <w:w w:val="99"/>
        </w:rPr>
        <w:t> </w:t>
      </w:r>
      <w:r>
        <w:rPr>
          <w:color w:val="231F20"/>
        </w:rPr>
        <w:t>cost</w:t>
      </w:r>
      <w:r>
        <w:rPr>
          <w:color w:val="231F20"/>
          <w:spacing w:val="-5"/>
        </w:rPr>
        <w:t> </w:t>
      </w:r>
      <w:r>
        <w:rPr>
          <w:color w:val="231F20"/>
        </w:rPr>
        <w:t>of</w:t>
      </w:r>
      <w:r>
        <w:rPr>
          <w:color w:val="231F20"/>
          <w:spacing w:val="-3"/>
        </w:rPr>
        <w:t> </w:t>
      </w:r>
      <w:r>
        <w:rPr>
          <w:color w:val="231F20"/>
        </w:rPr>
        <w:t>administering</w:t>
      </w:r>
      <w:r>
        <w:rPr>
          <w:color w:val="231F20"/>
          <w:spacing w:val="-5"/>
        </w:rPr>
        <w:t> </w:t>
      </w:r>
      <w:r>
        <w:rPr>
          <w:color w:val="231F20"/>
        </w:rPr>
        <w:t>the</w:t>
      </w:r>
      <w:r>
        <w:rPr>
          <w:color w:val="231F20"/>
          <w:spacing w:val="-5"/>
        </w:rPr>
        <w:t> </w:t>
      </w:r>
      <w:r>
        <w:rPr>
          <w:color w:val="231F20"/>
        </w:rPr>
        <w:t>travel</w:t>
      </w:r>
      <w:r>
        <w:rPr>
          <w:color w:val="231F20"/>
          <w:spacing w:val="-4"/>
        </w:rPr>
        <w:t> </w:t>
      </w:r>
      <w:r>
        <w:rPr>
          <w:color w:val="231F20"/>
        </w:rPr>
        <w:t>was</w:t>
      </w:r>
      <w:r>
        <w:rPr>
          <w:color w:val="231F20"/>
          <w:spacing w:val="-4"/>
        </w:rPr>
        <w:t> </w:t>
      </w:r>
      <w:r>
        <w:rPr>
          <w:color w:val="231F20"/>
        </w:rPr>
        <w:t>funded.</w:t>
      </w:r>
      <w:r>
        <w:rPr/>
      </w:r>
    </w:p>
    <w:p>
      <w:pPr>
        <w:pStyle w:val="BodyText"/>
        <w:spacing w:line="250" w:lineRule="exact" w:before="113"/>
        <w:ind w:left="157" w:right="253"/>
        <w:jc w:val="left"/>
      </w:pPr>
      <w:r>
        <w:rPr>
          <w:color w:val="231F20"/>
        </w:rPr>
        <w:t>The</w:t>
      </w:r>
      <w:r>
        <w:rPr>
          <w:color w:val="231F20"/>
          <w:spacing w:val="-5"/>
        </w:rPr>
        <w:t> </w:t>
      </w:r>
      <w:r>
        <w:rPr>
          <w:color w:val="231F20"/>
          <w:spacing w:val="-2"/>
        </w:rPr>
        <w:t>Transition</w:t>
      </w:r>
      <w:r>
        <w:rPr>
          <w:color w:val="231F20"/>
          <w:spacing w:val="-7"/>
        </w:rPr>
        <w:t> </w:t>
      </w:r>
      <w:r>
        <w:rPr>
          <w:color w:val="231F20"/>
          <w:spacing w:val="-1"/>
        </w:rPr>
        <w:t>Support</w:t>
      </w:r>
      <w:r>
        <w:rPr>
          <w:color w:val="231F20"/>
          <w:spacing w:val="-5"/>
        </w:rPr>
        <w:t> </w:t>
      </w:r>
      <w:r>
        <w:rPr>
          <w:color w:val="231F20"/>
          <w:spacing w:val="-1"/>
        </w:rPr>
        <w:t>Services</w:t>
      </w:r>
      <w:r>
        <w:rPr>
          <w:color w:val="231F20"/>
          <w:spacing w:val="-5"/>
        </w:rPr>
        <w:t> </w:t>
      </w:r>
      <w:r>
        <w:rPr>
          <w:color w:val="231F20"/>
        </w:rPr>
        <w:t>(Qld)</w:t>
      </w:r>
      <w:r>
        <w:rPr>
          <w:color w:val="231F20"/>
          <w:spacing w:val="-6"/>
        </w:rPr>
        <w:t> </w:t>
      </w:r>
      <w:r>
        <w:rPr>
          <w:color w:val="231F20"/>
        </w:rPr>
        <w:t>and</w:t>
      </w:r>
      <w:r>
        <w:rPr>
          <w:color w:val="231F20"/>
          <w:spacing w:val="-6"/>
        </w:rPr>
        <w:t> </w:t>
      </w:r>
      <w:r>
        <w:rPr>
          <w:color w:val="231F20"/>
        </w:rPr>
        <w:t>the</w:t>
      </w:r>
      <w:r>
        <w:rPr>
          <w:color w:val="231F20"/>
          <w:spacing w:val="25"/>
          <w:w w:val="99"/>
        </w:rPr>
        <w:t> </w:t>
      </w:r>
      <w:r>
        <w:rPr>
          <w:color w:val="231F20"/>
          <w:spacing w:val="-2"/>
        </w:rPr>
        <w:t>Transition</w:t>
      </w:r>
      <w:r>
        <w:rPr>
          <w:color w:val="231F20"/>
          <w:spacing w:val="-8"/>
        </w:rPr>
        <w:t> </w:t>
      </w:r>
      <w:r>
        <w:rPr>
          <w:color w:val="231F20"/>
          <w:spacing w:val="-1"/>
        </w:rPr>
        <w:t>Support</w:t>
      </w:r>
      <w:r>
        <w:rPr>
          <w:color w:val="231F20"/>
          <w:spacing w:val="-7"/>
        </w:rPr>
        <w:t> </w:t>
      </w:r>
      <w:r>
        <w:rPr>
          <w:color w:val="231F20"/>
        </w:rPr>
        <w:t>Unit</w:t>
      </w:r>
      <w:r>
        <w:rPr>
          <w:color w:val="231F20"/>
          <w:spacing w:val="-6"/>
        </w:rPr>
        <w:t> </w:t>
      </w:r>
      <w:r>
        <w:rPr>
          <w:color w:val="231F20"/>
        </w:rPr>
        <w:t>(NT)</w:t>
      </w:r>
      <w:r>
        <w:rPr>
          <w:color w:val="231F20"/>
          <w:spacing w:val="-7"/>
        </w:rPr>
        <w:t> </w:t>
      </w:r>
      <w:r>
        <w:rPr>
          <w:color w:val="231F20"/>
        </w:rPr>
        <w:t>currently</w:t>
      </w:r>
      <w:r>
        <w:rPr>
          <w:color w:val="231F20"/>
          <w:spacing w:val="-7"/>
        </w:rPr>
        <w:t> </w:t>
      </w:r>
      <w:r>
        <w:rPr>
          <w:color w:val="231F20"/>
        </w:rPr>
        <w:t>play</w:t>
      </w:r>
      <w:r>
        <w:rPr>
          <w:color w:val="231F20"/>
          <w:spacing w:val="-7"/>
        </w:rPr>
        <w:t> </w:t>
      </w:r>
      <w:r>
        <w:rPr>
          <w:color w:val="231F20"/>
          <w:spacing w:val="-7"/>
        </w:rPr>
      </w:r>
      <w:r>
        <w:rPr>
          <w:color w:val="231F20"/>
        </w:rPr>
        <w:t>an</w:t>
      </w:r>
      <w:r>
        <w:rPr>
          <w:color w:val="231F20"/>
          <w:spacing w:val="23"/>
        </w:rPr>
        <w:t> </w:t>
      </w:r>
      <w:r>
        <w:rPr>
          <w:color w:val="231F20"/>
          <w:spacing w:val="-1"/>
        </w:rPr>
        <w:t>important</w:t>
      </w:r>
      <w:r>
        <w:rPr>
          <w:color w:val="231F20"/>
          <w:spacing w:val="-4"/>
        </w:rPr>
        <w:t> </w:t>
      </w:r>
      <w:r>
        <w:rPr>
          <w:color w:val="231F20"/>
        </w:rPr>
        <w:t>and</w:t>
      </w:r>
      <w:r>
        <w:rPr>
          <w:color w:val="231F20"/>
          <w:spacing w:val="-5"/>
        </w:rPr>
        <w:t> </w:t>
      </w:r>
      <w:r>
        <w:rPr>
          <w:color w:val="231F20"/>
        </w:rPr>
        <w:t>active</w:t>
      </w:r>
      <w:r>
        <w:rPr>
          <w:color w:val="231F20"/>
          <w:spacing w:val="-5"/>
        </w:rPr>
        <w:t> </w:t>
      </w:r>
      <w:r>
        <w:rPr>
          <w:color w:val="231F20"/>
        </w:rPr>
        <w:t>role</w:t>
      </w:r>
      <w:r>
        <w:rPr>
          <w:color w:val="231F20"/>
          <w:spacing w:val="-5"/>
        </w:rPr>
        <w:t> </w:t>
      </w:r>
      <w:r>
        <w:rPr>
          <w:color w:val="231F20"/>
          <w:spacing w:val="-1"/>
        </w:rPr>
        <w:t>in</w:t>
      </w:r>
      <w:r>
        <w:rPr>
          <w:color w:val="231F20"/>
          <w:spacing w:val="-4"/>
        </w:rPr>
        <w:t> </w:t>
      </w:r>
      <w:r>
        <w:rPr>
          <w:color w:val="231F20"/>
        </w:rPr>
        <w:t>assisting</w:t>
      </w:r>
      <w:r>
        <w:rPr>
          <w:color w:val="231F20"/>
          <w:spacing w:val="-5"/>
        </w:rPr>
        <w:t> </w:t>
      </w:r>
      <w:r>
        <w:rPr>
          <w:color w:val="231F20"/>
        </w:rPr>
        <w:t>with</w:t>
      </w:r>
      <w:r>
        <w:rPr>
          <w:color w:val="231F20"/>
          <w:spacing w:val="-4"/>
        </w:rPr>
        <w:t> </w:t>
      </w:r>
      <w:r>
        <w:rPr>
          <w:color w:val="231F20"/>
          <w:spacing w:val="-4"/>
        </w:rPr>
      </w:r>
      <w:r>
        <w:rPr>
          <w:color w:val="231F20"/>
        </w:rPr>
        <w:t>the</w:t>
      </w:r>
      <w:r>
        <w:rPr>
          <w:color w:val="231F20"/>
          <w:spacing w:val="22"/>
        </w:rPr>
        <w:t> </w:t>
      </w:r>
      <w:r>
        <w:rPr>
          <w:color w:val="231F20"/>
        </w:rPr>
        <w:t>travel</w:t>
      </w:r>
      <w:r>
        <w:rPr>
          <w:color w:val="231F20"/>
          <w:spacing w:val="-6"/>
        </w:rPr>
        <w:t> </w:t>
      </w:r>
      <w:r>
        <w:rPr>
          <w:color w:val="231F20"/>
        </w:rPr>
        <w:t>of</w:t>
      </w:r>
      <w:r>
        <w:rPr>
          <w:color w:val="231F20"/>
          <w:spacing w:val="-4"/>
        </w:rPr>
        <w:t> </w:t>
      </w:r>
      <w:r>
        <w:rPr>
          <w:color w:val="231F20"/>
          <w:spacing w:val="-1"/>
        </w:rPr>
        <w:t>students</w:t>
      </w:r>
      <w:r>
        <w:rPr>
          <w:color w:val="231F20"/>
          <w:spacing w:val="-4"/>
        </w:rPr>
        <w:t> </w:t>
      </w:r>
      <w:r>
        <w:rPr>
          <w:color w:val="231F20"/>
        </w:rPr>
        <w:t>to</w:t>
      </w:r>
      <w:r>
        <w:rPr>
          <w:color w:val="231F20"/>
          <w:spacing w:val="-4"/>
        </w:rPr>
        <w:t> </w:t>
      </w:r>
      <w:r>
        <w:rPr>
          <w:color w:val="231F20"/>
        </w:rPr>
        <w:t>and</w:t>
      </w:r>
      <w:r>
        <w:rPr>
          <w:color w:val="231F20"/>
          <w:spacing w:val="-5"/>
        </w:rPr>
        <w:t> </w:t>
      </w:r>
      <w:r>
        <w:rPr>
          <w:color w:val="231F20"/>
        </w:rPr>
        <w:t>from</w:t>
      </w:r>
      <w:r>
        <w:rPr>
          <w:color w:val="231F20"/>
          <w:spacing w:val="-4"/>
        </w:rPr>
        <w:t> </w:t>
      </w:r>
      <w:r>
        <w:rPr>
          <w:color w:val="231F20"/>
        </w:rPr>
        <w:t>boarding,</w:t>
      </w:r>
      <w:r>
        <w:rPr/>
      </w:r>
    </w:p>
    <w:p>
      <w:pPr>
        <w:pStyle w:val="BodyText"/>
        <w:spacing w:line="250" w:lineRule="exact"/>
        <w:ind w:left="157" w:right="0"/>
        <w:jc w:val="left"/>
      </w:pPr>
      <w:r>
        <w:rPr/>
        <w:pict>
          <v:group style="position:absolute;margin-left:508.818787pt;margin-top:135.526291pt;width:.1pt;height:.1pt;mso-position-horizontal-relative:page;mso-position-vertical-relative:paragraph;z-index:-225880" coordorigin="10176,2711" coordsize="2,2">
            <v:shape style="position:absolute;left:10176;top:2711;width:2;height:2" coordorigin="10176,2711" coordsize="0,0" path="m10176,2711l10176,2711e" filled="false" stroked="true" strokeweight="2pt" strokecolor="#355f92">
              <v:path arrowok="t"/>
            </v:shape>
            <w10:wrap type="none"/>
          </v:group>
        </w:pict>
      </w:r>
      <w:r>
        <w:rPr/>
        <w:pict>
          <v:group style="position:absolute;margin-left:69.448799pt;margin-top:135.526291pt;width:.1pt;height:.1pt;mso-position-horizontal-relative:page;mso-position-vertical-relative:paragraph;z-index:-225856" coordorigin="1389,2711" coordsize="2,2">
            <v:shape style="position:absolute;left:1389;top:2711;width:2;height:2" coordorigin="1389,2711" coordsize="0,0" path="m1389,2711l1389,2711e" filled="false" stroked="true" strokeweight="2pt" strokecolor="#355f92">
              <v:path arrowok="t"/>
            </v:shape>
            <w10:wrap type="none"/>
          </v:group>
        </w:pict>
      </w:r>
      <w:r>
        <w:rPr>
          <w:color w:val="231F20"/>
          <w:spacing w:val="-1"/>
        </w:rPr>
        <w:t>including</w:t>
      </w:r>
      <w:r>
        <w:rPr>
          <w:color w:val="231F20"/>
          <w:spacing w:val="-7"/>
        </w:rPr>
        <w:t> </w:t>
      </w:r>
      <w:r>
        <w:rPr>
          <w:color w:val="231F20"/>
        </w:rPr>
        <w:t>the</w:t>
      </w:r>
      <w:r>
        <w:rPr>
          <w:color w:val="231F20"/>
          <w:spacing w:val="-8"/>
        </w:rPr>
        <w:t> </w:t>
      </w:r>
      <w:r>
        <w:rPr>
          <w:color w:val="231F20"/>
        </w:rPr>
        <w:t>development</w:t>
      </w:r>
      <w:r>
        <w:rPr>
          <w:color w:val="231F20"/>
          <w:spacing w:val="-7"/>
        </w:rPr>
        <w:t> </w:t>
      </w:r>
      <w:r>
        <w:rPr>
          <w:color w:val="231F20"/>
        </w:rPr>
        <w:t>and</w:t>
      </w:r>
      <w:r>
        <w:rPr>
          <w:color w:val="231F20"/>
          <w:spacing w:val="-7"/>
        </w:rPr>
        <w:t> </w:t>
      </w:r>
      <w:r>
        <w:rPr>
          <w:color w:val="231F20"/>
          <w:spacing w:val="-1"/>
        </w:rPr>
        <w:t>implementation</w:t>
      </w:r>
      <w:r>
        <w:rPr>
          <w:color w:val="231F20"/>
          <w:spacing w:val="21"/>
        </w:rPr>
        <w:t> </w:t>
      </w:r>
      <w:r>
        <w:rPr>
          <w:color w:val="231F20"/>
        </w:rPr>
        <w:t>of</w:t>
      </w:r>
      <w:r>
        <w:rPr>
          <w:color w:val="231F20"/>
          <w:spacing w:val="-3"/>
        </w:rPr>
        <w:t> </w:t>
      </w:r>
      <w:r>
        <w:rPr>
          <w:color w:val="231F20"/>
          <w:spacing w:val="-1"/>
        </w:rPr>
        <w:t>safe</w:t>
      </w:r>
      <w:r>
        <w:rPr>
          <w:color w:val="231F20"/>
          <w:spacing w:val="-3"/>
        </w:rPr>
        <w:t> </w:t>
      </w:r>
      <w:r>
        <w:rPr>
          <w:color w:val="231F20"/>
        </w:rPr>
        <w:t>travel</w:t>
      </w:r>
      <w:r>
        <w:rPr>
          <w:color w:val="231F20"/>
          <w:spacing w:val="-3"/>
        </w:rPr>
        <w:t> </w:t>
      </w:r>
      <w:r>
        <w:rPr>
          <w:color w:val="231F20"/>
        </w:rPr>
        <w:t>plans</w:t>
      </w:r>
      <w:r>
        <w:rPr>
          <w:color w:val="231F20"/>
          <w:spacing w:val="-4"/>
        </w:rPr>
        <w:t> </w:t>
      </w:r>
      <w:r>
        <w:rPr>
          <w:color w:val="231F20"/>
        </w:rPr>
        <w:t>from</w:t>
      </w:r>
      <w:r>
        <w:rPr>
          <w:color w:val="231F20"/>
          <w:spacing w:val="-2"/>
        </w:rPr>
        <w:t> </w:t>
      </w:r>
      <w:r>
        <w:rPr>
          <w:color w:val="231F20"/>
        </w:rPr>
        <w:t>1</w:t>
      </w:r>
      <w:r>
        <w:rPr>
          <w:color w:val="231F20"/>
          <w:spacing w:val="-3"/>
        </w:rPr>
        <w:t> </w:t>
      </w:r>
      <w:r>
        <w:rPr>
          <w:color w:val="231F20"/>
        </w:rPr>
        <w:t>January</w:t>
      </w:r>
      <w:r>
        <w:rPr>
          <w:color w:val="231F20"/>
          <w:spacing w:val="-3"/>
        </w:rPr>
        <w:t> </w:t>
      </w:r>
      <w:r>
        <w:rPr>
          <w:color w:val="231F20"/>
          <w:spacing w:val="-1"/>
        </w:rPr>
        <w:t>2019.</w:t>
      </w:r>
      <w:r>
        <w:rPr>
          <w:color w:val="231F20"/>
          <w:spacing w:val="-2"/>
        </w:rPr>
        <w:t> </w:t>
      </w:r>
      <w:r>
        <w:rPr>
          <w:color w:val="231F20"/>
        </w:rPr>
        <w:t>The</w:t>
      </w:r>
      <w:r>
        <w:rPr>
          <w:color w:val="231F20"/>
          <w:spacing w:val="23"/>
          <w:w w:val="99"/>
        </w:rPr>
        <w:t> </w:t>
      </w:r>
      <w:r>
        <w:rPr>
          <w:color w:val="231F20"/>
          <w:spacing w:val="-1"/>
        </w:rPr>
        <w:t>services</w:t>
      </w:r>
      <w:r>
        <w:rPr>
          <w:color w:val="231F20"/>
          <w:spacing w:val="-4"/>
        </w:rPr>
        <w:t> </w:t>
      </w:r>
      <w:r>
        <w:rPr>
          <w:color w:val="231F20"/>
        </w:rPr>
        <w:t>have</w:t>
      </w:r>
      <w:r>
        <w:rPr>
          <w:color w:val="231F20"/>
          <w:spacing w:val="-4"/>
        </w:rPr>
        <w:t> </w:t>
      </w:r>
      <w:r>
        <w:rPr>
          <w:color w:val="231F20"/>
        </w:rPr>
        <w:t>developed</w:t>
      </w:r>
      <w:r>
        <w:rPr>
          <w:color w:val="231F20"/>
          <w:spacing w:val="-5"/>
        </w:rPr>
        <w:t> </w:t>
      </w:r>
      <w:r>
        <w:rPr>
          <w:color w:val="231F20"/>
        </w:rPr>
        <w:t>close</w:t>
      </w:r>
      <w:r>
        <w:rPr>
          <w:color w:val="231F20"/>
          <w:spacing w:val="-4"/>
        </w:rPr>
        <w:t> </w:t>
      </w:r>
      <w:r>
        <w:rPr>
          <w:color w:val="231F20"/>
        </w:rPr>
        <w:t>relationships</w:t>
      </w:r>
      <w:r>
        <w:rPr>
          <w:color w:val="231F20"/>
          <w:spacing w:val="-6"/>
        </w:rPr>
        <w:t> </w:t>
      </w:r>
      <w:r>
        <w:rPr>
          <w:color w:val="231F20"/>
        </w:rPr>
        <w:t>with</w:t>
      </w:r>
      <w:r>
        <w:rPr>
          <w:color w:val="231F20"/>
          <w:spacing w:val="22"/>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9"/>
        </w:rPr>
        <w:t> </w:t>
      </w:r>
      <w:r>
        <w:rPr>
          <w:color w:val="231F20"/>
        </w:rPr>
        <w:t>around</w:t>
      </w:r>
      <w:r>
        <w:rPr>
          <w:color w:val="231F20"/>
          <w:spacing w:val="-9"/>
        </w:rPr>
        <w:t> </w:t>
      </w:r>
      <w:r>
        <w:rPr>
          <w:color w:val="231F20"/>
        </w:rPr>
        <w:t>Australia</w:t>
      </w:r>
      <w:r>
        <w:rPr>
          <w:color w:val="231F20"/>
          <w:spacing w:val="-7"/>
        </w:rPr>
        <w:t> </w:t>
      </w:r>
      <w:r>
        <w:rPr>
          <w:color w:val="231F20"/>
        </w:rPr>
        <w:t>and</w:t>
      </w:r>
      <w:r>
        <w:rPr>
          <w:color w:val="231F20"/>
          <w:spacing w:val="-9"/>
        </w:rPr>
        <w:t> </w:t>
      </w:r>
      <w:r>
        <w:rPr>
          <w:color w:val="231F20"/>
        </w:rPr>
        <w:t>Aboriginal</w:t>
      </w:r>
      <w:r>
        <w:rPr>
          <w:color w:val="231F20"/>
          <w:spacing w:val="-7"/>
        </w:rPr>
        <w:t> </w:t>
      </w:r>
      <w:r>
        <w:rPr>
          <w:color w:val="231F20"/>
        </w:rPr>
        <w:t>and</w:t>
      </w:r>
      <w:r>
        <w:rPr>
          <w:color w:val="231F20"/>
          <w:w w:val="99"/>
        </w:rPr>
        <w:t> </w:t>
      </w:r>
      <w:r>
        <w:rPr>
          <w:color w:val="231F20"/>
          <w:spacing w:val="-5"/>
        </w:rPr>
        <w:t>Torres</w:t>
      </w:r>
      <w:r>
        <w:rPr>
          <w:color w:val="231F20"/>
          <w:spacing w:val="-3"/>
        </w:rPr>
        <w:t> </w:t>
      </w:r>
      <w:r>
        <w:rPr>
          <w:color w:val="231F20"/>
          <w:spacing w:val="-2"/>
        </w:rPr>
        <w:t>Strait</w:t>
      </w:r>
      <w:r>
        <w:rPr>
          <w:color w:val="231F20"/>
          <w:spacing w:val="-4"/>
        </w:rPr>
        <w:t> </w:t>
      </w:r>
      <w:r>
        <w:rPr>
          <w:color w:val="231F20"/>
          <w:spacing w:val="-1"/>
        </w:rPr>
        <w:t>Islander</w:t>
      </w:r>
      <w:r>
        <w:rPr>
          <w:color w:val="231F20"/>
          <w:spacing w:val="-3"/>
        </w:rPr>
        <w:t> </w:t>
      </w:r>
      <w:r>
        <w:rPr>
          <w:color w:val="231F20"/>
        </w:rPr>
        <w:t>communities</w:t>
      </w:r>
      <w:r>
        <w:rPr>
          <w:color w:val="231F20"/>
          <w:spacing w:val="-3"/>
        </w:rPr>
        <w:t> </w:t>
      </w:r>
      <w:r>
        <w:rPr>
          <w:color w:val="231F20"/>
        </w:rPr>
        <w:t>and</w:t>
      </w:r>
      <w:r>
        <w:rPr>
          <w:color w:val="231F20"/>
          <w:spacing w:val="-4"/>
        </w:rPr>
        <w:t> </w:t>
      </w:r>
      <w:r>
        <w:rPr>
          <w:color w:val="231F20"/>
        </w:rPr>
        <w:t>families</w:t>
      </w:r>
      <w:r>
        <w:rPr>
          <w:color w:val="231F20"/>
          <w:spacing w:val="21"/>
        </w:rPr>
        <w:t> </w:t>
      </w:r>
      <w:r>
        <w:rPr>
          <w:color w:val="231F20"/>
        </w:rPr>
        <w:t>throughout</w:t>
      </w:r>
      <w:r>
        <w:rPr>
          <w:color w:val="231F20"/>
          <w:spacing w:val="-10"/>
        </w:rPr>
        <w:t> </w:t>
      </w:r>
      <w:r>
        <w:rPr>
          <w:color w:val="231F20"/>
        </w:rPr>
        <w:t>Queensland</w:t>
      </w:r>
      <w:r>
        <w:rPr>
          <w:color w:val="231F20"/>
          <w:spacing w:val="-10"/>
        </w:rPr>
        <w:t> </w:t>
      </w:r>
      <w:r>
        <w:rPr>
          <w:color w:val="231F20"/>
        </w:rPr>
        <w:t>and</w:t>
      </w:r>
      <w:r>
        <w:rPr>
          <w:color w:val="231F20"/>
          <w:spacing w:val="-10"/>
        </w:rPr>
        <w:t> </w:t>
      </w:r>
      <w:r>
        <w:rPr>
          <w:color w:val="231F20"/>
        </w:rPr>
        <w:t>the</w:t>
      </w:r>
      <w:r>
        <w:rPr>
          <w:color w:val="231F20"/>
          <w:spacing w:val="-9"/>
        </w:rPr>
        <w:t> </w:t>
      </w:r>
      <w:r>
        <w:rPr>
          <w:color w:val="231F20"/>
        </w:rPr>
        <w:t>Northern</w:t>
      </w:r>
      <w:r>
        <w:rPr>
          <w:color w:val="231F20"/>
          <w:w w:val="99"/>
        </w:rPr>
        <w:t> </w:t>
      </w:r>
      <w:r>
        <w:rPr>
          <w:color w:val="231F20"/>
          <w:spacing w:val="-2"/>
        </w:rPr>
        <w:t>Territory.</w:t>
      </w:r>
      <w:r>
        <w:rPr>
          <w:color w:val="231F20"/>
          <w:spacing w:val="-5"/>
        </w:rPr>
        <w:t> </w:t>
      </w:r>
      <w:r>
        <w:rPr>
          <w:color w:val="231F20"/>
        </w:rPr>
        <w:t>These</w:t>
      </w:r>
      <w:r>
        <w:rPr>
          <w:color w:val="231F20"/>
          <w:spacing w:val="-5"/>
        </w:rPr>
        <w:t> </w:t>
      </w:r>
      <w:r>
        <w:rPr>
          <w:color w:val="231F20"/>
        </w:rPr>
        <w:t>relationships</w:t>
      </w:r>
      <w:r>
        <w:rPr>
          <w:color w:val="231F20"/>
          <w:spacing w:val="-7"/>
        </w:rPr>
        <w:t> </w:t>
      </w:r>
      <w:r>
        <w:rPr>
          <w:color w:val="231F20"/>
        </w:rPr>
        <w:t>can</w:t>
      </w:r>
      <w:r>
        <w:rPr>
          <w:color w:val="231F20"/>
          <w:spacing w:val="-4"/>
        </w:rPr>
        <w:t> </w:t>
      </w:r>
      <w:r>
        <w:rPr>
          <w:color w:val="231F20"/>
        </w:rPr>
        <w:t>be</w:t>
      </w:r>
      <w:r>
        <w:rPr>
          <w:color w:val="231F20"/>
          <w:spacing w:val="-4"/>
        </w:rPr>
        <w:t> </w:t>
      </w:r>
      <w:r>
        <w:rPr>
          <w:color w:val="231F20"/>
          <w:spacing w:val="-1"/>
        </w:rPr>
        <w:t>leveraged</w:t>
      </w:r>
      <w:r>
        <w:rPr>
          <w:color w:val="231F20"/>
          <w:spacing w:val="20"/>
          <w:w w:val="99"/>
        </w:rPr>
        <w:t> </w:t>
      </w:r>
      <w:r>
        <w:rPr>
          <w:color w:val="231F20"/>
        </w:rPr>
        <w:t>to</w:t>
      </w:r>
      <w:r>
        <w:rPr>
          <w:color w:val="231F20"/>
          <w:spacing w:val="-6"/>
        </w:rPr>
        <w:t> </w:t>
      </w:r>
      <w:r>
        <w:rPr>
          <w:color w:val="231F20"/>
          <w:spacing w:val="-1"/>
        </w:rPr>
        <w:t>improve</w:t>
      </w:r>
      <w:r>
        <w:rPr>
          <w:color w:val="231F20"/>
          <w:spacing w:val="-5"/>
        </w:rPr>
        <w:t> </w:t>
      </w:r>
      <w:r>
        <w:rPr>
          <w:color w:val="231F20"/>
        </w:rPr>
        <w:t>the</w:t>
      </w:r>
      <w:r>
        <w:rPr>
          <w:color w:val="231F20"/>
          <w:spacing w:val="-7"/>
        </w:rPr>
        <w:t> </w:t>
      </w:r>
      <w:r>
        <w:rPr>
          <w:color w:val="231F20"/>
        </w:rPr>
        <w:t>delivery</w:t>
      </w:r>
      <w:r>
        <w:rPr>
          <w:color w:val="231F20"/>
          <w:spacing w:val="-6"/>
        </w:rPr>
        <w:t> </w:t>
      </w:r>
      <w:r>
        <w:rPr>
          <w:color w:val="231F20"/>
        </w:rPr>
        <w:t>of</w:t>
      </w:r>
      <w:r>
        <w:rPr>
          <w:color w:val="231F20"/>
          <w:spacing w:val="-6"/>
        </w:rPr>
        <w:t> </w:t>
      </w:r>
      <w:r>
        <w:rPr>
          <w:color w:val="231F20"/>
          <w:spacing w:val="-1"/>
        </w:rPr>
        <w:t>student</w:t>
      </w:r>
      <w:r>
        <w:rPr>
          <w:color w:val="231F20"/>
          <w:spacing w:val="-5"/>
        </w:rPr>
        <w:t> </w:t>
      </w:r>
      <w:r>
        <w:rPr>
          <w:color w:val="231F20"/>
        </w:rPr>
        <w:t>travel.</w:t>
      </w:r>
      <w:r>
        <w:rPr/>
      </w:r>
    </w:p>
    <w:p>
      <w:pPr>
        <w:pStyle w:val="BodyText"/>
        <w:spacing w:line="250" w:lineRule="exact" w:before="62"/>
        <w:ind w:left="157" w:right="23"/>
        <w:jc w:val="left"/>
      </w:pPr>
      <w:r>
        <w:rPr/>
        <w:br w:type="column"/>
      </w:r>
      <w:r>
        <w:rPr>
          <w:color w:val="231F20"/>
          <w:spacing w:val="-1"/>
        </w:rPr>
        <w:t>While</w:t>
      </w:r>
      <w:r>
        <w:rPr>
          <w:color w:val="231F20"/>
          <w:spacing w:val="-5"/>
        </w:rPr>
        <w:t> </w:t>
      </w:r>
      <w:r>
        <w:rPr>
          <w:color w:val="231F20"/>
        </w:rPr>
        <w:t>the</w:t>
      </w:r>
      <w:r>
        <w:rPr>
          <w:color w:val="231F20"/>
          <w:spacing w:val="-5"/>
        </w:rPr>
        <w:t> </w:t>
      </w:r>
      <w:r>
        <w:rPr>
          <w:color w:val="231F20"/>
        </w:rPr>
        <w:t>transition</w:t>
      </w:r>
      <w:r>
        <w:rPr>
          <w:color w:val="231F20"/>
          <w:spacing w:val="-5"/>
        </w:rPr>
        <w:t> </w:t>
      </w:r>
      <w:r>
        <w:rPr>
          <w:color w:val="231F20"/>
        </w:rPr>
        <w:t>units</w:t>
      </w:r>
      <w:r>
        <w:rPr>
          <w:color w:val="231F20"/>
          <w:spacing w:val="-5"/>
        </w:rPr>
        <w:t> </w:t>
      </w:r>
      <w:r>
        <w:rPr>
          <w:color w:val="231F20"/>
        </w:rPr>
        <w:t>facilitate</w:t>
      </w:r>
      <w:r>
        <w:rPr>
          <w:color w:val="231F20"/>
          <w:spacing w:val="-4"/>
        </w:rPr>
        <w:t> </w:t>
      </w:r>
      <w:r>
        <w:rPr>
          <w:color w:val="231F20"/>
        </w:rPr>
        <w:t>the</w:t>
      </w:r>
      <w:r>
        <w:rPr>
          <w:color w:val="231F20"/>
          <w:spacing w:val="-5"/>
        </w:rPr>
        <w:t> </w:t>
      </w:r>
      <w:r>
        <w:rPr>
          <w:color w:val="231F20"/>
        </w:rPr>
        <w:t>travel</w:t>
      </w:r>
      <w:r>
        <w:rPr>
          <w:color w:val="231F20"/>
          <w:spacing w:val="-5"/>
        </w:rPr>
        <w:t> </w:t>
      </w:r>
      <w:r>
        <w:rPr>
          <w:color w:val="231F20"/>
        </w:rPr>
        <w:t>of</w:t>
      </w:r>
      <w:r>
        <w:rPr>
          <w:color w:val="231F20"/>
          <w:spacing w:val="22"/>
          <w:w w:val="99"/>
        </w:rPr>
        <w:t> </w:t>
      </w:r>
      <w:r>
        <w:rPr>
          <w:color w:val="231F20"/>
          <w:spacing w:val="-1"/>
        </w:rPr>
        <w:t>many</w:t>
      </w:r>
      <w:r>
        <w:rPr>
          <w:color w:val="231F20"/>
          <w:spacing w:val="-6"/>
        </w:rPr>
        <w:t> </w:t>
      </w:r>
      <w:r>
        <w:rPr>
          <w:color w:val="231F20"/>
          <w:spacing w:val="-1"/>
        </w:rPr>
        <w:t>students,</w:t>
      </w:r>
      <w:r>
        <w:rPr>
          <w:color w:val="231F20"/>
          <w:spacing w:val="-5"/>
        </w:rPr>
        <w:t> </w:t>
      </w:r>
      <w:r>
        <w:rPr>
          <w:color w:val="231F20"/>
        </w:rPr>
        <w:t>they</w:t>
      </w:r>
      <w:r>
        <w:rPr>
          <w:color w:val="231F20"/>
          <w:spacing w:val="-6"/>
        </w:rPr>
        <w:t> </w:t>
      </w:r>
      <w:r>
        <w:rPr>
          <w:color w:val="231F20"/>
        </w:rPr>
        <w:t>noted</w:t>
      </w:r>
      <w:r>
        <w:rPr>
          <w:color w:val="231F20"/>
          <w:spacing w:val="-6"/>
        </w:rPr>
        <w:t> </w:t>
      </w:r>
      <w:r>
        <w:rPr>
          <w:color w:val="231F20"/>
        </w:rPr>
        <w:t>that</w:t>
      </w:r>
      <w:r>
        <w:rPr>
          <w:color w:val="231F20"/>
          <w:spacing w:val="-7"/>
        </w:rPr>
        <w:t> </w:t>
      </w:r>
      <w:r>
        <w:rPr>
          <w:color w:val="231F20"/>
        </w:rPr>
        <w:t>they</w:t>
      </w:r>
      <w:r>
        <w:rPr>
          <w:color w:val="231F20"/>
          <w:spacing w:val="-6"/>
        </w:rPr>
        <w:t> </w:t>
      </w:r>
      <w:r>
        <w:rPr>
          <w:color w:val="231F20"/>
        </w:rPr>
        <w:t>are</w:t>
      </w:r>
      <w:r>
        <w:rPr>
          <w:color w:val="231F20"/>
          <w:spacing w:val="-6"/>
        </w:rPr>
        <w:t> </w:t>
      </w:r>
      <w:r>
        <w:rPr>
          <w:color w:val="231F20"/>
        </w:rPr>
        <w:t>unable</w:t>
      </w:r>
      <w:r>
        <w:rPr>
          <w:color w:val="231F20"/>
          <w:spacing w:val="23"/>
          <w:w w:val="99"/>
        </w:rPr>
        <w:t> </w:t>
      </w:r>
      <w:r>
        <w:rPr>
          <w:color w:val="231F20"/>
        </w:rPr>
        <w:t>to</w:t>
      </w:r>
      <w:r>
        <w:rPr>
          <w:color w:val="231F20"/>
          <w:spacing w:val="-2"/>
        </w:rPr>
        <w:t> </w:t>
      </w:r>
      <w:r>
        <w:rPr>
          <w:color w:val="231F20"/>
          <w:spacing w:val="-1"/>
        </w:rPr>
        <w:t>seek</w:t>
      </w:r>
      <w:r>
        <w:rPr>
          <w:color w:val="231F20"/>
          <w:spacing w:val="-2"/>
        </w:rPr>
        <w:t> </w:t>
      </w:r>
      <w:r>
        <w:rPr>
          <w:color w:val="231F20"/>
        </w:rPr>
        <w:t>travel</w:t>
      </w:r>
      <w:r>
        <w:rPr>
          <w:color w:val="231F20"/>
          <w:spacing w:val="-3"/>
        </w:rPr>
        <w:t> </w:t>
      </w:r>
      <w:r>
        <w:rPr>
          <w:color w:val="231F20"/>
        </w:rPr>
        <w:t>details</w:t>
      </w:r>
      <w:r>
        <w:rPr>
          <w:color w:val="231F20"/>
          <w:spacing w:val="-3"/>
        </w:rPr>
        <w:t> </w:t>
      </w:r>
      <w:r>
        <w:rPr>
          <w:color w:val="231F20"/>
        </w:rPr>
        <w:t>from</w:t>
      </w:r>
      <w:r>
        <w:rPr>
          <w:color w:val="231F20"/>
          <w:spacing w:val="-2"/>
        </w:rPr>
        <w:t> </w:t>
      </w:r>
      <w:r>
        <w:rPr>
          <w:color w:val="231F20"/>
        </w:rPr>
        <w:t>the</w:t>
      </w:r>
      <w:r>
        <w:rPr>
          <w:color w:val="231F20"/>
          <w:spacing w:val="-3"/>
        </w:rPr>
        <w:t> </w:t>
      </w:r>
      <w:r>
        <w:rPr>
          <w:color w:val="231F20"/>
          <w:spacing w:val="-1"/>
        </w:rPr>
        <w:t>DHS</w:t>
      </w:r>
      <w:r>
        <w:rPr>
          <w:color w:val="231F20"/>
          <w:spacing w:val="-2"/>
        </w:rPr>
        <w:t> </w:t>
      </w:r>
      <w:r>
        <w:rPr>
          <w:color w:val="231F20"/>
        </w:rPr>
        <w:t>ABSTUDY</w:t>
      </w:r>
      <w:r>
        <w:rPr>
          <w:color w:val="231F20"/>
          <w:spacing w:val="22"/>
        </w:rPr>
        <w:t> </w:t>
      </w:r>
      <w:r>
        <w:rPr>
          <w:color w:val="231F20"/>
        </w:rPr>
        <w:t>travel</w:t>
      </w:r>
      <w:r>
        <w:rPr>
          <w:color w:val="231F20"/>
          <w:spacing w:val="-5"/>
        </w:rPr>
        <w:t> </w:t>
      </w:r>
      <w:r>
        <w:rPr>
          <w:color w:val="231F20"/>
        </w:rPr>
        <w:t>team</w:t>
      </w:r>
      <w:r>
        <w:rPr>
          <w:color w:val="231F20"/>
          <w:spacing w:val="-5"/>
        </w:rPr>
        <w:t> </w:t>
      </w:r>
      <w:r>
        <w:rPr>
          <w:color w:val="231F20"/>
        </w:rPr>
        <w:t>or</w:t>
      </w:r>
      <w:r>
        <w:rPr>
          <w:color w:val="231F20"/>
          <w:spacing w:val="-3"/>
        </w:rPr>
        <w:t> </w:t>
      </w:r>
      <w:r>
        <w:rPr>
          <w:color w:val="231F20"/>
        </w:rPr>
        <w:t>the</w:t>
      </w:r>
      <w:r>
        <w:rPr>
          <w:color w:val="231F20"/>
          <w:spacing w:val="-5"/>
        </w:rPr>
        <w:t> </w:t>
      </w:r>
      <w:r>
        <w:rPr>
          <w:color w:val="231F20"/>
        </w:rPr>
        <w:t>travel</w:t>
      </w:r>
      <w:r>
        <w:rPr>
          <w:color w:val="231F20"/>
          <w:spacing w:val="-5"/>
        </w:rPr>
        <w:t> </w:t>
      </w:r>
      <w:r>
        <w:rPr>
          <w:color w:val="231F20"/>
        </w:rPr>
        <w:t>agency,</w:t>
      </w:r>
      <w:r>
        <w:rPr>
          <w:color w:val="231F20"/>
          <w:spacing w:val="-4"/>
        </w:rPr>
        <w:t> </w:t>
      </w:r>
      <w:r>
        <w:rPr>
          <w:color w:val="231F20"/>
          <w:spacing w:val="-3"/>
        </w:rPr>
        <w:t>QBT,</w:t>
      </w:r>
      <w:r>
        <w:rPr>
          <w:color w:val="231F20"/>
          <w:spacing w:val="-4"/>
        </w:rPr>
        <w:t> </w:t>
      </w:r>
      <w:r>
        <w:rPr>
          <w:color w:val="231F20"/>
        </w:rPr>
        <w:t>or</w:t>
      </w:r>
      <w:r>
        <w:rPr>
          <w:color w:val="231F20"/>
          <w:spacing w:val="-3"/>
        </w:rPr>
        <w:t> </w:t>
      </w:r>
      <w:r>
        <w:rPr>
          <w:color w:val="231F20"/>
          <w:spacing w:val="-1"/>
        </w:rPr>
        <w:t>make</w:t>
      </w:r>
      <w:r>
        <w:rPr>
          <w:color w:val="231F20"/>
          <w:spacing w:val="21"/>
        </w:rPr>
        <w:t> </w:t>
      </w:r>
      <w:r>
        <w:rPr>
          <w:color w:val="231F20"/>
        </w:rPr>
        <w:t>travel</w:t>
      </w:r>
      <w:r>
        <w:rPr>
          <w:color w:val="231F20"/>
          <w:spacing w:val="-6"/>
        </w:rPr>
        <w:t> </w:t>
      </w:r>
      <w:r>
        <w:rPr>
          <w:color w:val="231F20"/>
        </w:rPr>
        <w:t>changes</w:t>
      </w:r>
      <w:r>
        <w:rPr>
          <w:color w:val="231F20"/>
          <w:spacing w:val="-6"/>
        </w:rPr>
        <w:t> </w:t>
      </w:r>
      <w:r>
        <w:rPr>
          <w:color w:val="231F20"/>
        </w:rPr>
        <w:t>due</w:t>
      </w:r>
      <w:r>
        <w:rPr>
          <w:color w:val="231F20"/>
          <w:spacing w:val="-6"/>
        </w:rPr>
        <w:t> </w:t>
      </w:r>
      <w:r>
        <w:rPr>
          <w:color w:val="231F20"/>
        </w:rPr>
        <w:t>to</w:t>
      </w:r>
      <w:r>
        <w:rPr>
          <w:color w:val="231F20"/>
          <w:spacing w:val="-4"/>
        </w:rPr>
        <w:t> </w:t>
      </w:r>
      <w:r>
        <w:rPr>
          <w:color w:val="231F20"/>
        </w:rPr>
        <w:t>privacy</w:t>
      </w:r>
      <w:r>
        <w:rPr>
          <w:color w:val="231F20"/>
          <w:spacing w:val="-6"/>
        </w:rPr>
        <w:t> </w:t>
      </w:r>
      <w:r>
        <w:rPr>
          <w:color w:val="231F20"/>
          <w:spacing w:val="-1"/>
        </w:rPr>
        <w:t>limitations.</w:t>
      </w:r>
      <w:r>
        <w:rPr/>
      </w:r>
    </w:p>
    <w:p>
      <w:pPr>
        <w:pStyle w:val="BodyText"/>
        <w:spacing w:line="250" w:lineRule="exact"/>
        <w:ind w:left="157" w:right="193"/>
        <w:jc w:val="left"/>
      </w:pPr>
      <w:r>
        <w:rPr>
          <w:color w:val="231F20"/>
        </w:rPr>
        <w:t>The</w:t>
      </w:r>
      <w:r>
        <w:rPr>
          <w:color w:val="231F20"/>
          <w:spacing w:val="-4"/>
        </w:rPr>
        <w:t> </w:t>
      </w:r>
      <w:r>
        <w:rPr>
          <w:color w:val="231F20"/>
        </w:rPr>
        <w:t>units</w:t>
      </w:r>
      <w:r>
        <w:rPr>
          <w:color w:val="231F20"/>
          <w:spacing w:val="-5"/>
        </w:rPr>
        <w:t> </w:t>
      </w:r>
      <w:r>
        <w:rPr>
          <w:color w:val="231F20"/>
        </w:rPr>
        <w:t>are</w:t>
      </w:r>
      <w:r>
        <w:rPr>
          <w:color w:val="231F20"/>
          <w:spacing w:val="-5"/>
        </w:rPr>
        <w:t> </w:t>
      </w:r>
      <w:r>
        <w:rPr>
          <w:color w:val="231F20"/>
        </w:rPr>
        <w:t>required</w:t>
      </w:r>
      <w:r>
        <w:rPr>
          <w:color w:val="231F20"/>
          <w:spacing w:val="-4"/>
        </w:rPr>
        <w:t> </w:t>
      </w:r>
      <w:r>
        <w:rPr>
          <w:color w:val="231F20"/>
        </w:rPr>
        <w:t>to</w:t>
      </w:r>
      <w:r>
        <w:rPr>
          <w:color w:val="231F20"/>
          <w:spacing w:val="-4"/>
        </w:rPr>
        <w:t> </w:t>
      </w:r>
      <w:r>
        <w:rPr>
          <w:color w:val="231F20"/>
          <w:spacing w:val="-1"/>
        </w:rPr>
        <w:t>liaise</w:t>
      </w:r>
      <w:r>
        <w:rPr>
          <w:color w:val="231F20"/>
          <w:spacing w:val="-4"/>
        </w:rPr>
        <w:t> </w:t>
      </w:r>
      <w:r>
        <w:rPr>
          <w:color w:val="231F20"/>
        </w:rPr>
        <w:t>through</w:t>
      </w:r>
      <w:r>
        <w:rPr>
          <w:color w:val="231F20"/>
          <w:spacing w:val="21"/>
          <w:w w:val="99"/>
        </w:rPr>
        <w:t> </w:t>
      </w:r>
      <w:r>
        <w:rPr>
          <w:color w:val="231F20"/>
        </w:rPr>
        <w:t>boarding</w:t>
      </w:r>
      <w:r>
        <w:rPr>
          <w:color w:val="231F20"/>
          <w:spacing w:val="-8"/>
        </w:rPr>
        <w:t> </w:t>
      </w:r>
      <w:r>
        <w:rPr>
          <w:color w:val="231F20"/>
        </w:rPr>
        <w:t>providers.</w:t>
      </w:r>
      <w:r>
        <w:rPr>
          <w:color w:val="231F20"/>
          <w:spacing w:val="-7"/>
        </w:rPr>
        <w:t> </w:t>
      </w:r>
      <w:r>
        <w:rPr>
          <w:color w:val="231F20"/>
        </w:rPr>
        <w:t>This</w:t>
      </w:r>
      <w:r>
        <w:rPr>
          <w:color w:val="231F20"/>
          <w:spacing w:val="-8"/>
        </w:rPr>
        <w:t> </w:t>
      </w:r>
      <w:r>
        <w:rPr>
          <w:color w:val="231F20"/>
        </w:rPr>
        <w:t>adds</w:t>
      </w:r>
      <w:r>
        <w:rPr>
          <w:color w:val="231F20"/>
          <w:spacing w:val="-7"/>
        </w:rPr>
        <w:t> </w:t>
      </w:r>
      <w:r>
        <w:rPr>
          <w:color w:val="231F20"/>
        </w:rPr>
        <w:t>an</w:t>
      </w:r>
      <w:r>
        <w:rPr>
          <w:color w:val="231F20"/>
          <w:spacing w:val="-7"/>
        </w:rPr>
        <w:t> </w:t>
      </w:r>
      <w:r>
        <w:rPr>
          <w:color w:val="231F20"/>
        </w:rPr>
        <w:t>additional</w:t>
      </w:r>
      <w:r>
        <w:rPr>
          <w:color w:val="231F20"/>
          <w:w w:val="99"/>
        </w:rPr>
        <w:t> </w:t>
      </w:r>
      <w:r>
        <w:rPr>
          <w:color w:val="231F20"/>
        </w:rPr>
        <w:t>administrative</w:t>
      </w:r>
      <w:r>
        <w:rPr>
          <w:color w:val="231F20"/>
          <w:spacing w:val="-7"/>
        </w:rPr>
        <w:t> </w:t>
      </w:r>
      <w:r>
        <w:rPr>
          <w:color w:val="231F20"/>
        </w:rPr>
        <w:t>cost</w:t>
      </w:r>
      <w:r>
        <w:rPr>
          <w:color w:val="231F20"/>
          <w:spacing w:val="-6"/>
        </w:rPr>
        <w:t> </w:t>
      </w:r>
      <w:r>
        <w:rPr>
          <w:color w:val="231F20"/>
        </w:rPr>
        <w:t>and</w:t>
      </w:r>
      <w:r>
        <w:rPr>
          <w:color w:val="231F20"/>
          <w:spacing w:val="-5"/>
        </w:rPr>
        <w:t> </w:t>
      </w:r>
      <w:r>
        <w:rPr>
          <w:color w:val="231F20"/>
        </w:rPr>
        <w:t>time</w:t>
      </w:r>
      <w:r>
        <w:rPr>
          <w:color w:val="231F20"/>
          <w:spacing w:val="-6"/>
        </w:rPr>
        <w:t> </w:t>
      </w:r>
      <w:r>
        <w:rPr>
          <w:color w:val="231F20"/>
        </w:rPr>
        <w:t>to</w:t>
      </w:r>
      <w:r>
        <w:rPr>
          <w:color w:val="231F20"/>
          <w:spacing w:val="-4"/>
        </w:rPr>
        <w:t> </w:t>
      </w:r>
      <w:r>
        <w:rPr>
          <w:color w:val="231F20"/>
        </w:rPr>
        <w:t>the</w:t>
      </w:r>
      <w:r>
        <w:rPr>
          <w:color w:val="231F20"/>
          <w:spacing w:val="-6"/>
        </w:rPr>
        <w:t> </w:t>
      </w:r>
      <w:r>
        <w:rPr>
          <w:color w:val="231F20"/>
        </w:rPr>
        <w:t>process.</w:t>
      </w:r>
      <w:r>
        <w:rPr>
          <w:color w:val="231F20"/>
          <w:w w:val="99"/>
        </w:rPr>
        <w:t> </w:t>
      </w:r>
      <w:r>
        <w:rPr>
          <w:color w:val="231F20"/>
        </w:rPr>
        <w:t>Allowing</w:t>
      </w:r>
      <w:r>
        <w:rPr>
          <w:color w:val="231F20"/>
          <w:spacing w:val="-7"/>
        </w:rPr>
        <w:t> </w:t>
      </w:r>
      <w:r>
        <w:rPr>
          <w:color w:val="231F20"/>
        </w:rPr>
        <w:t>transition</w:t>
      </w:r>
      <w:r>
        <w:rPr>
          <w:color w:val="231F20"/>
          <w:spacing w:val="-7"/>
        </w:rPr>
        <w:t> </w:t>
      </w:r>
      <w:r>
        <w:rPr>
          <w:color w:val="231F20"/>
          <w:spacing w:val="-1"/>
        </w:rPr>
        <w:t>support</w:t>
      </w:r>
      <w:r>
        <w:rPr>
          <w:color w:val="231F20"/>
          <w:spacing w:val="-7"/>
        </w:rPr>
        <w:t> </w:t>
      </w:r>
      <w:r>
        <w:rPr>
          <w:color w:val="231F20"/>
        </w:rPr>
        <w:t>units</w:t>
      </w:r>
      <w:r>
        <w:rPr>
          <w:color w:val="231F20"/>
          <w:spacing w:val="-7"/>
        </w:rPr>
        <w:t> </w:t>
      </w:r>
      <w:r>
        <w:rPr>
          <w:color w:val="231F20"/>
        </w:rPr>
        <w:t>to</w:t>
      </w:r>
      <w:r>
        <w:rPr>
          <w:color w:val="231F20"/>
          <w:spacing w:val="-6"/>
        </w:rPr>
        <w:t> </w:t>
      </w:r>
      <w:r>
        <w:rPr>
          <w:color w:val="231F20"/>
          <w:spacing w:val="-1"/>
        </w:rPr>
        <w:t>manage</w:t>
      </w:r>
      <w:r>
        <w:rPr>
          <w:color w:val="231F20"/>
          <w:spacing w:val="21"/>
          <w:w w:val="99"/>
        </w:rPr>
        <w:t> </w:t>
      </w:r>
      <w:r>
        <w:rPr>
          <w:color w:val="231F20"/>
          <w:spacing w:val="-1"/>
        </w:rPr>
        <w:t>student</w:t>
      </w:r>
      <w:r>
        <w:rPr>
          <w:color w:val="231F20"/>
          <w:spacing w:val="-7"/>
        </w:rPr>
        <w:t> </w:t>
      </w:r>
      <w:r>
        <w:rPr>
          <w:color w:val="231F20"/>
        </w:rPr>
        <w:t>travel,</w:t>
      </w:r>
      <w:r>
        <w:rPr>
          <w:color w:val="231F20"/>
          <w:spacing w:val="-8"/>
        </w:rPr>
        <w:t> </w:t>
      </w:r>
      <w:r>
        <w:rPr>
          <w:color w:val="231F20"/>
        </w:rPr>
        <w:t>within</w:t>
      </w:r>
      <w:r>
        <w:rPr>
          <w:color w:val="231F20"/>
          <w:spacing w:val="-8"/>
        </w:rPr>
        <w:t> </w:t>
      </w:r>
      <w:r>
        <w:rPr>
          <w:color w:val="231F20"/>
        </w:rPr>
        <w:t>certain</w:t>
      </w:r>
      <w:r>
        <w:rPr>
          <w:color w:val="231F20"/>
          <w:spacing w:val="-7"/>
        </w:rPr>
        <w:t> </w:t>
      </w:r>
      <w:r>
        <w:rPr>
          <w:color w:val="231F20"/>
        </w:rPr>
        <w:t>parameters,</w:t>
      </w:r>
      <w:r>
        <w:rPr>
          <w:color w:val="231F20"/>
          <w:spacing w:val="-8"/>
        </w:rPr>
        <w:t> </w:t>
      </w:r>
      <w:r>
        <w:rPr>
          <w:color w:val="231F20"/>
          <w:spacing w:val="-1"/>
        </w:rPr>
        <w:t>is</w:t>
      </w:r>
      <w:r>
        <w:rPr>
          <w:color w:val="231F20"/>
          <w:spacing w:val="21"/>
        </w:rPr>
        <w:t> </w:t>
      </w:r>
      <w:r>
        <w:rPr>
          <w:color w:val="231F20"/>
          <w:spacing w:val="-1"/>
        </w:rPr>
        <w:t>likely</w:t>
      </w:r>
      <w:r>
        <w:rPr>
          <w:color w:val="231F20"/>
          <w:spacing w:val="-5"/>
        </w:rPr>
        <w:t> </w:t>
      </w:r>
      <w:r>
        <w:rPr>
          <w:color w:val="231F20"/>
        </w:rPr>
        <w:t>to</w:t>
      </w:r>
      <w:r>
        <w:rPr>
          <w:color w:val="231F20"/>
          <w:spacing w:val="-5"/>
        </w:rPr>
        <w:t> </w:t>
      </w:r>
      <w:r>
        <w:rPr>
          <w:color w:val="231F20"/>
        </w:rPr>
        <w:t>deliver</w:t>
      </w:r>
      <w:r>
        <w:rPr>
          <w:color w:val="231F20"/>
          <w:spacing w:val="-6"/>
        </w:rPr>
        <w:t> </w:t>
      </w:r>
      <w:r>
        <w:rPr>
          <w:color w:val="231F20"/>
        </w:rPr>
        <w:t>cost</w:t>
      </w:r>
      <w:r>
        <w:rPr>
          <w:color w:val="231F20"/>
          <w:spacing w:val="-6"/>
        </w:rPr>
        <w:t> </w:t>
      </w:r>
      <w:r>
        <w:rPr>
          <w:color w:val="231F20"/>
        </w:rPr>
        <w:t>reductions</w:t>
      </w:r>
      <w:r>
        <w:rPr>
          <w:color w:val="231F20"/>
          <w:spacing w:val="-7"/>
        </w:rPr>
        <w:t> </w:t>
      </w:r>
      <w:r>
        <w:rPr>
          <w:color w:val="231F20"/>
        </w:rPr>
        <w:t>to</w:t>
      </w:r>
      <w:r>
        <w:rPr>
          <w:color w:val="231F20"/>
          <w:spacing w:val="-5"/>
        </w:rPr>
        <w:t> </w:t>
      </w:r>
      <w:r>
        <w:rPr>
          <w:color w:val="231F20"/>
        </w:rPr>
        <w:t>government</w:t>
      </w:r>
      <w:r>
        <w:rPr>
          <w:color w:val="231F20"/>
          <w:spacing w:val="21"/>
          <w:w w:val="99"/>
        </w:rPr>
        <w:t> </w:t>
      </w:r>
      <w:r>
        <w:rPr>
          <w:color w:val="231F20"/>
        </w:rPr>
        <w:t>and</w:t>
      </w:r>
      <w:r>
        <w:rPr>
          <w:color w:val="231F20"/>
          <w:spacing w:val="-9"/>
        </w:rPr>
        <w:t> </w:t>
      </w:r>
      <w:r>
        <w:rPr>
          <w:color w:val="231F20"/>
        </w:rPr>
        <w:t>boarding</w:t>
      </w:r>
      <w:r>
        <w:rPr>
          <w:color w:val="231F20"/>
          <w:spacing w:val="-9"/>
        </w:rPr>
        <w:t> </w:t>
      </w:r>
      <w:r>
        <w:rPr>
          <w:color w:val="231F20"/>
        </w:rPr>
        <w:t>providers</w:t>
      </w:r>
      <w:r>
        <w:rPr>
          <w:color w:val="231F20"/>
          <w:spacing w:val="-8"/>
        </w:rPr>
        <w:t> </w:t>
      </w:r>
      <w:r>
        <w:rPr>
          <w:color w:val="231F20"/>
        </w:rPr>
        <w:t>and</w:t>
      </w:r>
      <w:r>
        <w:rPr>
          <w:color w:val="231F20"/>
          <w:spacing w:val="-9"/>
        </w:rPr>
        <w:t> </w:t>
      </w:r>
      <w:r>
        <w:rPr>
          <w:color w:val="231F20"/>
        </w:rPr>
        <w:t>provide</w:t>
      </w:r>
      <w:r>
        <w:rPr>
          <w:color w:val="231F20"/>
          <w:spacing w:val="-9"/>
        </w:rPr>
        <w:t> </w:t>
      </w:r>
      <w:r>
        <w:rPr>
          <w:color w:val="231F20"/>
          <w:spacing w:val="-1"/>
        </w:rPr>
        <w:t>improved</w:t>
      </w:r>
      <w:r>
        <w:rPr>
          <w:color w:val="231F20"/>
          <w:spacing w:val="20"/>
          <w:w w:val="99"/>
        </w:rPr>
        <w:t> </w:t>
      </w:r>
      <w:r>
        <w:rPr>
          <w:color w:val="231F20"/>
        </w:rPr>
        <w:t>outcomes</w:t>
      </w:r>
      <w:r>
        <w:rPr>
          <w:color w:val="231F20"/>
          <w:spacing w:val="-4"/>
        </w:rPr>
        <w:t> </w:t>
      </w:r>
      <w:r>
        <w:rPr>
          <w:color w:val="231F20"/>
        </w:rPr>
        <w:t>from</w:t>
      </w:r>
      <w:r>
        <w:rPr>
          <w:color w:val="231F20"/>
          <w:spacing w:val="-3"/>
        </w:rPr>
        <w:t> </w:t>
      </w:r>
      <w:r>
        <w:rPr>
          <w:color w:val="231F20"/>
        </w:rPr>
        <w:t>the</w:t>
      </w:r>
      <w:r>
        <w:rPr>
          <w:color w:val="231F20"/>
          <w:spacing w:val="-4"/>
        </w:rPr>
        <w:t> </w:t>
      </w:r>
      <w:r>
        <w:rPr>
          <w:color w:val="231F20"/>
          <w:spacing w:val="-1"/>
        </w:rPr>
        <w:t>investment</w:t>
      </w:r>
      <w:r>
        <w:rPr>
          <w:color w:val="231F20"/>
          <w:spacing w:val="-2"/>
        </w:rPr>
        <w:t> </w:t>
      </w:r>
      <w:r>
        <w:rPr>
          <w:color w:val="231F20"/>
          <w:spacing w:val="-1"/>
        </w:rPr>
        <w:t>in</w:t>
      </w:r>
      <w:r>
        <w:rPr>
          <w:color w:val="231F20"/>
          <w:spacing w:val="-3"/>
        </w:rPr>
        <w:t> </w:t>
      </w:r>
      <w:r>
        <w:rPr>
          <w:color w:val="231F20"/>
          <w:spacing w:val="-1"/>
        </w:rPr>
        <w:t>student</w:t>
      </w:r>
      <w:r>
        <w:rPr>
          <w:color w:val="231F20"/>
          <w:spacing w:val="22"/>
          <w:w w:val="99"/>
        </w:rPr>
        <w:t> </w:t>
      </w:r>
      <w:r>
        <w:rPr>
          <w:color w:val="231F20"/>
        </w:rPr>
        <w:t>travel.</w:t>
      </w:r>
      <w:r>
        <w:rPr/>
      </w:r>
    </w:p>
    <w:p>
      <w:pPr>
        <w:pStyle w:val="BodyText"/>
        <w:spacing w:line="250" w:lineRule="exact" w:before="113"/>
        <w:ind w:left="157" w:right="193"/>
        <w:jc w:val="left"/>
      </w:pPr>
      <w:r>
        <w:rPr>
          <w:color w:val="231F20"/>
          <w:spacing w:val="-1"/>
        </w:rPr>
        <w:t>In</w:t>
      </w:r>
      <w:r>
        <w:rPr>
          <w:color w:val="231F20"/>
          <w:spacing w:val="-5"/>
        </w:rPr>
        <w:t> </w:t>
      </w:r>
      <w:r>
        <w:rPr>
          <w:color w:val="231F20"/>
        </w:rPr>
        <w:t>the</w:t>
      </w:r>
      <w:r>
        <w:rPr>
          <w:color w:val="231F20"/>
          <w:spacing w:val="-6"/>
        </w:rPr>
        <w:t> </w:t>
      </w:r>
      <w:r>
        <w:rPr>
          <w:color w:val="231F20"/>
          <w:spacing w:val="-1"/>
        </w:rPr>
        <w:t>interim,</w:t>
      </w:r>
      <w:r>
        <w:rPr>
          <w:color w:val="231F20"/>
          <w:spacing w:val="-5"/>
        </w:rPr>
        <w:t> </w:t>
      </w:r>
      <w:r>
        <w:rPr>
          <w:color w:val="231F20"/>
        </w:rPr>
        <w:t>until</w:t>
      </w:r>
      <w:r>
        <w:rPr>
          <w:color w:val="231F20"/>
          <w:spacing w:val="-5"/>
        </w:rPr>
        <w:t> </w:t>
      </w:r>
      <w:r>
        <w:rPr>
          <w:color w:val="231F20"/>
        </w:rPr>
        <w:t>the</w:t>
      </w:r>
      <w:r>
        <w:rPr>
          <w:color w:val="231F20"/>
          <w:spacing w:val="-6"/>
        </w:rPr>
        <w:t> </w:t>
      </w:r>
      <w:r>
        <w:rPr>
          <w:color w:val="231F20"/>
        </w:rPr>
        <w:t>decentralisation</w:t>
      </w:r>
      <w:r>
        <w:rPr>
          <w:color w:val="231F20"/>
          <w:spacing w:val="-6"/>
        </w:rPr>
        <w:t> </w:t>
      </w:r>
      <w:r>
        <w:rPr>
          <w:color w:val="231F20"/>
        </w:rPr>
        <w:t>of</w:t>
      </w:r>
      <w:r>
        <w:rPr>
          <w:color w:val="231F20"/>
          <w:spacing w:val="23"/>
          <w:w w:val="99"/>
        </w:rPr>
        <w:t> </w:t>
      </w:r>
      <w:r>
        <w:rPr>
          <w:color w:val="231F20"/>
        </w:rPr>
        <w:t>ABSTUDY</w:t>
      </w:r>
      <w:r>
        <w:rPr>
          <w:color w:val="231F20"/>
          <w:spacing w:val="-4"/>
        </w:rPr>
        <w:t> </w:t>
      </w:r>
      <w:r>
        <w:rPr>
          <w:color w:val="231F20"/>
        </w:rPr>
        <w:t>travel</w:t>
      </w:r>
      <w:r>
        <w:rPr>
          <w:color w:val="231F20"/>
          <w:spacing w:val="-4"/>
        </w:rPr>
        <w:t> </w:t>
      </w:r>
      <w:r>
        <w:rPr>
          <w:color w:val="231F20"/>
        </w:rPr>
        <w:t>can</w:t>
      </w:r>
      <w:r>
        <w:rPr>
          <w:color w:val="231F20"/>
          <w:spacing w:val="-3"/>
        </w:rPr>
        <w:t> </w:t>
      </w:r>
      <w:r>
        <w:rPr>
          <w:color w:val="231F20"/>
        </w:rPr>
        <w:t>be</w:t>
      </w:r>
      <w:r>
        <w:rPr>
          <w:color w:val="231F20"/>
          <w:spacing w:val="-2"/>
        </w:rPr>
        <w:t> </w:t>
      </w:r>
      <w:r>
        <w:rPr>
          <w:color w:val="231F20"/>
        </w:rPr>
        <w:t>fully</w:t>
      </w:r>
      <w:r>
        <w:rPr>
          <w:color w:val="231F20"/>
          <w:spacing w:val="-4"/>
        </w:rPr>
        <w:t> </w:t>
      </w:r>
      <w:r>
        <w:rPr>
          <w:color w:val="231F20"/>
        </w:rPr>
        <w:t>evaluated,</w:t>
      </w:r>
      <w:r>
        <w:rPr>
          <w:color w:val="231F20"/>
          <w:spacing w:val="-3"/>
        </w:rPr>
        <w:t> </w:t>
      </w:r>
      <w:r>
        <w:rPr>
          <w:color w:val="231F20"/>
          <w:spacing w:val="-1"/>
        </w:rPr>
        <w:t>it</w:t>
      </w:r>
      <w:r>
        <w:rPr>
          <w:color w:val="231F20"/>
          <w:spacing w:val="-3"/>
        </w:rPr>
        <w:t> </w:t>
      </w:r>
      <w:r>
        <w:rPr>
          <w:color w:val="231F20"/>
          <w:spacing w:val="-1"/>
        </w:rPr>
        <w:t>is</w:t>
      </w:r>
      <w:r>
        <w:rPr>
          <w:color w:val="231F20"/>
          <w:spacing w:val="20"/>
        </w:rPr>
        <w:t> </w:t>
      </w:r>
      <w:r>
        <w:rPr>
          <w:color w:val="231F20"/>
        </w:rPr>
        <w:t>recommended</w:t>
      </w:r>
      <w:r>
        <w:rPr>
          <w:color w:val="231F20"/>
          <w:spacing w:val="-7"/>
        </w:rPr>
        <w:t> </w:t>
      </w:r>
      <w:r>
        <w:rPr>
          <w:color w:val="231F20"/>
        </w:rPr>
        <w:t>that</w:t>
      </w:r>
      <w:r>
        <w:rPr>
          <w:color w:val="231F20"/>
          <w:spacing w:val="-6"/>
        </w:rPr>
        <w:t> </w:t>
      </w:r>
      <w:r>
        <w:rPr>
          <w:color w:val="231F20"/>
        </w:rPr>
        <w:t>the</w:t>
      </w:r>
      <w:r>
        <w:rPr>
          <w:color w:val="231F20"/>
          <w:spacing w:val="-6"/>
        </w:rPr>
        <w:t> </w:t>
      </w:r>
      <w:r>
        <w:rPr>
          <w:color w:val="231F20"/>
          <w:spacing w:val="-1"/>
        </w:rPr>
        <w:t>DHS</w:t>
      </w:r>
      <w:r>
        <w:rPr>
          <w:color w:val="231F20"/>
          <w:spacing w:val="-5"/>
        </w:rPr>
        <w:t> </w:t>
      </w:r>
      <w:r>
        <w:rPr>
          <w:color w:val="231F20"/>
        </w:rPr>
        <w:t>ABSTUDY</w:t>
      </w:r>
      <w:r>
        <w:rPr>
          <w:color w:val="231F20"/>
          <w:spacing w:val="-6"/>
        </w:rPr>
        <w:t> </w:t>
      </w:r>
      <w:r>
        <w:rPr>
          <w:color w:val="231F20"/>
        </w:rPr>
        <w:t>travel</w:t>
      </w:r>
      <w:r>
        <w:rPr>
          <w:color w:val="231F20"/>
          <w:spacing w:val="21"/>
          <w:w w:val="99"/>
        </w:rPr>
        <w:t> </w:t>
      </w:r>
      <w:r>
        <w:rPr>
          <w:color w:val="231F20"/>
        </w:rPr>
        <w:t>team</w:t>
      </w:r>
      <w:r>
        <w:rPr>
          <w:color w:val="231F20"/>
          <w:spacing w:val="-7"/>
        </w:rPr>
        <w:t> </w:t>
      </w:r>
      <w:r>
        <w:rPr>
          <w:color w:val="231F20"/>
          <w:spacing w:val="-1"/>
        </w:rPr>
        <w:t>improve</w:t>
      </w:r>
      <w:r>
        <w:rPr>
          <w:color w:val="231F20"/>
          <w:spacing w:val="-5"/>
        </w:rPr>
        <w:t> </w:t>
      </w:r>
      <w:r>
        <w:rPr>
          <w:color w:val="231F20"/>
        </w:rPr>
        <w:t>communication</w:t>
      </w:r>
      <w:r>
        <w:rPr>
          <w:color w:val="231F20"/>
          <w:spacing w:val="-7"/>
        </w:rPr>
        <w:t> </w:t>
      </w:r>
      <w:r>
        <w:rPr>
          <w:color w:val="231F20"/>
        </w:rPr>
        <w:t>to</w:t>
      </w:r>
      <w:r>
        <w:rPr>
          <w:color w:val="231F20"/>
          <w:spacing w:val="-5"/>
        </w:rPr>
        <w:t> </w:t>
      </w:r>
      <w:r>
        <w:rPr>
          <w:color w:val="231F20"/>
        </w:rPr>
        <w:t>boarding</w:t>
      </w:r>
      <w:r>
        <w:rPr>
          <w:color w:val="231F20"/>
          <w:spacing w:val="22"/>
          <w:w w:val="99"/>
        </w:rPr>
        <w:t> </w:t>
      </w:r>
      <w:r>
        <w:rPr>
          <w:color w:val="231F20"/>
        </w:rPr>
        <w:t>providers</w:t>
      </w:r>
      <w:r>
        <w:rPr>
          <w:color w:val="231F20"/>
          <w:spacing w:val="-5"/>
        </w:rPr>
        <w:t> </w:t>
      </w:r>
      <w:r>
        <w:rPr>
          <w:color w:val="231F20"/>
        </w:rPr>
        <w:t>and</w:t>
      </w:r>
      <w:r>
        <w:rPr>
          <w:color w:val="231F20"/>
          <w:spacing w:val="-5"/>
        </w:rPr>
        <w:t> </w:t>
      </w:r>
      <w:r>
        <w:rPr>
          <w:color w:val="231F20"/>
        </w:rPr>
        <w:t>families</w:t>
      </w:r>
      <w:r>
        <w:rPr>
          <w:color w:val="231F20"/>
          <w:spacing w:val="-5"/>
        </w:rPr>
        <w:t> </w:t>
      </w:r>
      <w:r>
        <w:rPr>
          <w:color w:val="231F20"/>
        </w:rPr>
        <w:t>where</w:t>
      </w:r>
      <w:r>
        <w:rPr>
          <w:color w:val="231F20"/>
          <w:spacing w:val="-5"/>
        </w:rPr>
        <w:t> </w:t>
      </w:r>
      <w:r>
        <w:rPr>
          <w:color w:val="231F20"/>
        </w:rPr>
        <w:t>decisions</w:t>
      </w:r>
      <w:r>
        <w:rPr>
          <w:color w:val="231F20"/>
          <w:spacing w:val="-5"/>
        </w:rPr>
        <w:t> </w:t>
      </w:r>
      <w:r>
        <w:rPr>
          <w:color w:val="231F20"/>
        </w:rPr>
        <w:t>are</w:t>
      </w:r>
      <w:r>
        <w:rPr>
          <w:color w:val="231F20"/>
          <w:w w:val="99"/>
        </w:rPr>
        <w:t> </w:t>
      </w:r>
      <w:r>
        <w:rPr>
          <w:color w:val="231F20"/>
        </w:rPr>
        <w:t>taken</w:t>
      </w:r>
      <w:r>
        <w:rPr>
          <w:color w:val="231F20"/>
          <w:spacing w:val="-7"/>
        </w:rPr>
        <w:t> </w:t>
      </w:r>
      <w:r>
        <w:rPr>
          <w:color w:val="231F20"/>
        </w:rPr>
        <w:t>not</w:t>
      </w:r>
      <w:r>
        <w:rPr>
          <w:color w:val="231F20"/>
          <w:spacing w:val="-6"/>
        </w:rPr>
        <w:t> </w:t>
      </w:r>
      <w:r>
        <w:rPr>
          <w:color w:val="231F20"/>
        </w:rPr>
        <w:t>to</w:t>
      </w:r>
      <w:r>
        <w:rPr>
          <w:color w:val="231F20"/>
          <w:spacing w:val="-6"/>
        </w:rPr>
        <w:t> </w:t>
      </w:r>
      <w:r>
        <w:rPr>
          <w:color w:val="231F20"/>
        </w:rPr>
        <w:t>accommodate</w:t>
      </w:r>
      <w:r>
        <w:rPr>
          <w:color w:val="231F20"/>
          <w:spacing w:val="-6"/>
        </w:rPr>
        <w:t> </w:t>
      </w:r>
      <w:r>
        <w:rPr>
          <w:color w:val="231F20"/>
        </w:rPr>
        <w:t>certain</w:t>
      </w:r>
      <w:r>
        <w:rPr>
          <w:color w:val="231F20"/>
          <w:spacing w:val="-7"/>
        </w:rPr>
        <w:t> </w:t>
      </w:r>
      <w:r>
        <w:rPr>
          <w:color w:val="231F20"/>
        </w:rPr>
        <w:t>date</w:t>
      </w:r>
      <w:r>
        <w:rPr>
          <w:color w:val="231F20"/>
          <w:spacing w:val="-7"/>
        </w:rPr>
        <w:t> </w:t>
      </w:r>
      <w:r>
        <w:rPr>
          <w:color w:val="231F20"/>
        </w:rPr>
        <w:t>or</w:t>
      </w:r>
      <w:r>
        <w:rPr>
          <w:color w:val="231F20"/>
          <w:w w:val="99"/>
        </w:rPr>
        <w:t> </w:t>
      </w:r>
      <w:r>
        <w:rPr>
          <w:color w:val="231F20"/>
        </w:rPr>
        <w:t>routing</w:t>
      </w:r>
      <w:r>
        <w:rPr>
          <w:color w:val="231F20"/>
          <w:spacing w:val="-7"/>
        </w:rPr>
        <w:t> </w:t>
      </w:r>
      <w:r>
        <w:rPr>
          <w:color w:val="231F20"/>
        </w:rPr>
        <w:t>requests.</w:t>
      </w:r>
      <w:r>
        <w:rPr>
          <w:color w:val="231F20"/>
          <w:spacing w:val="-7"/>
        </w:rPr>
        <w:t> </w:t>
      </w:r>
      <w:r>
        <w:rPr>
          <w:color w:val="231F20"/>
          <w:spacing w:val="-1"/>
        </w:rPr>
        <w:t>It</w:t>
      </w:r>
      <w:r>
        <w:rPr>
          <w:color w:val="231F20"/>
          <w:spacing w:val="-5"/>
        </w:rPr>
        <w:t> </w:t>
      </w:r>
      <w:r>
        <w:rPr>
          <w:color w:val="231F20"/>
          <w:spacing w:val="-1"/>
        </w:rPr>
        <w:t>is</w:t>
      </w:r>
      <w:r>
        <w:rPr>
          <w:color w:val="231F20"/>
          <w:spacing w:val="-7"/>
        </w:rPr>
        <w:t> </w:t>
      </w:r>
      <w:r>
        <w:rPr>
          <w:color w:val="231F20"/>
        </w:rPr>
        <w:t>also</w:t>
      </w:r>
      <w:r>
        <w:rPr>
          <w:color w:val="231F20"/>
          <w:spacing w:val="-6"/>
        </w:rPr>
        <w:t> </w:t>
      </w:r>
      <w:r>
        <w:rPr>
          <w:color w:val="231F20"/>
        </w:rPr>
        <w:t>recommended</w:t>
      </w:r>
      <w:r>
        <w:rPr>
          <w:color w:val="231F20"/>
          <w:spacing w:val="-6"/>
        </w:rPr>
        <w:t> </w:t>
      </w:r>
      <w:r>
        <w:rPr>
          <w:color w:val="231F20"/>
          <w:spacing w:val="-6"/>
        </w:rPr>
      </w:r>
      <w:r>
        <w:rPr>
          <w:color w:val="231F20"/>
        </w:rPr>
        <w:t>that</w:t>
      </w:r>
      <w:r>
        <w:rPr>
          <w:color w:val="231F20"/>
          <w:spacing w:val="21"/>
        </w:rPr>
        <w:t> </w:t>
      </w:r>
      <w:r>
        <w:rPr>
          <w:color w:val="231F20"/>
        </w:rPr>
        <w:t>ABSTUDY</w:t>
      </w:r>
      <w:r>
        <w:rPr>
          <w:color w:val="231F20"/>
          <w:spacing w:val="-6"/>
        </w:rPr>
        <w:t> </w:t>
      </w:r>
      <w:r>
        <w:rPr>
          <w:color w:val="231F20"/>
          <w:spacing w:val="-1"/>
        </w:rPr>
        <w:t>investigate</w:t>
      </w:r>
      <w:r>
        <w:rPr>
          <w:color w:val="231F20"/>
          <w:spacing w:val="-4"/>
        </w:rPr>
        <w:t> </w:t>
      </w:r>
      <w:r>
        <w:rPr>
          <w:color w:val="231F20"/>
          <w:spacing w:val="-1"/>
        </w:rPr>
        <w:t>mechanisms</w:t>
      </w:r>
      <w:r>
        <w:rPr>
          <w:color w:val="231F20"/>
          <w:spacing w:val="-4"/>
        </w:rPr>
        <w:t> </w:t>
      </w:r>
      <w:r>
        <w:rPr>
          <w:color w:val="231F20"/>
        </w:rPr>
        <w:t>to</w:t>
      </w:r>
      <w:r>
        <w:rPr>
          <w:color w:val="231F20"/>
          <w:spacing w:val="-5"/>
        </w:rPr>
        <w:t> </w:t>
      </w:r>
      <w:r>
        <w:rPr>
          <w:color w:val="231F20"/>
          <w:spacing w:val="-5"/>
        </w:rPr>
      </w:r>
      <w:r>
        <w:rPr>
          <w:color w:val="231F20"/>
        </w:rPr>
        <w:t>permit,</w:t>
      </w:r>
      <w:r>
        <w:rPr>
          <w:color w:val="231F20"/>
          <w:spacing w:val="22"/>
        </w:rPr>
        <w:t> </w:t>
      </w:r>
      <w:r>
        <w:rPr>
          <w:color w:val="231F20"/>
        </w:rPr>
        <w:t>within</w:t>
      </w:r>
      <w:r>
        <w:rPr>
          <w:color w:val="231F20"/>
          <w:spacing w:val="-8"/>
        </w:rPr>
        <w:t> </w:t>
      </w:r>
      <w:r>
        <w:rPr>
          <w:color w:val="231F20"/>
        </w:rPr>
        <w:t>the</w:t>
      </w:r>
      <w:r>
        <w:rPr>
          <w:color w:val="231F20"/>
          <w:spacing w:val="-7"/>
        </w:rPr>
        <w:t> </w:t>
      </w:r>
      <w:r>
        <w:rPr>
          <w:color w:val="231F20"/>
        </w:rPr>
        <w:t>existing</w:t>
      </w:r>
      <w:r>
        <w:rPr>
          <w:color w:val="231F20"/>
          <w:spacing w:val="-7"/>
        </w:rPr>
        <w:t> </w:t>
      </w:r>
      <w:r>
        <w:rPr>
          <w:color w:val="231F20"/>
        </w:rPr>
        <w:t>privacy</w:t>
      </w:r>
      <w:r>
        <w:rPr>
          <w:color w:val="231F20"/>
          <w:spacing w:val="-7"/>
        </w:rPr>
        <w:t> </w:t>
      </w:r>
      <w:r>
        <w:rPr>
          <w:color w:val="231F20"/>
        </w:rPr>
        <w:t>framework,</w:t>
      </w:r>
      <w:r>
        <w:rPr>
          <w:color w:val="231F20"/>
          <w:w w:val="99"/>
        </w:rPr>
        <w:t> </w:t>
      </w:r>
      <w:r>
        <w:rPr>
          <w:color w:val="231F20"/>
        </w:rPr>
        <w:t>transition</w:t>
      </w:r>
      <w:r>
        <w:rPr>
          <w:color w:val="231F20"/>
          <w:spacing w:val="-6"/>
        </w:rPr>
        <w:t> </w:t>
      </w:r>
      <w:r>
        <w:rPr>
          <w:color w:val="231F20"/>
          <w:spacing w:val="-1"/>
        </w:rPr>
        <w:t>support</w:t>
      </w:r>
      <w:r>
        <w:rPr>
          <w:color w:val="231F20"/>
          <w:spacing w:val="-4"/>
        </w:rPr>
        <w:t> </w:t>
      </w:r>
      <w:r>
        <w:rPr>
          <w:color w:val="231F20"/>
        </w:rPr>
        <w:t>units</w:t>
      </w:r>
      <w:r>
        <w:rPr>
          <w:color w:val="231F20"/>
          <w:spacing w:val="-5"/>
        </w:rPr>
        <w:t> </w:t>
      </w:r>
      <w:r>
        <w:rPr>
          <w:color w:val="231F20"/>
        </w:rPr>
        <w:t>to</w:t>
      </w:r>
      <w:r>
        <w:rPr>
          <w:color w:val="231F20"/>
          <w:spacing w:val="-5"/>
        </w:rPr>
        <w:t> </w:t>
      </w:r>
      <w:r>
        <w:rPr>
          <w:color w:val="231F20"/>
        </w:rPr>
        <w:t>communicate</w:t>
      </w:r>
      <w:r>
        <w:rPr/>
      </w:r>
    </w:p>
    <w:p>
      <w:pPr>
        <w:pStyle w:val="BodyText"/>
        <w:spacing w:line="250" w:lineRule="exact"/>
        <w:ind w:left="157" w:right="178"/>
        <w:jc w:val="both"/>
      </w:pPr>
      <w:r>
        <w:rPr>
          <w:color w:val="231F20"/>
        </w:rPr>
        <w:t>directly</w:t>
      </w:r>
      <w:r>
        <w:rPr>
          <w:color w:val="231F20"/>
          <w:spacing w:val="-5"/>
        </w:rPr>
        <w:t> </w:t>
      </w:r>
      <w:r>
        <w:rPr>
          <w:color w:val="231F20"/>
        </w:rPr>
        <w:t>with</w:t>
      </w:r>
      <w:r>
        <w:rPr>
          <w:color w:val="231F20"/>
          <w:spacing w:val="-4"/>
        </w:rPr>
        <w:t> </w:t>
      </w:r>
      <w:r>
        <w:rPr>
          <w:color w:val="231F20"/>
        </w:rPr>
        <w:t>ABSTUDY</w:t>
      </w:r>
      <w:r>
        <w:rPr>
          <w:color w:val="231F20"/>
          <w:spacing w:val="-4"/>
        </w:rPr>
        <w:t> </w:t>
      </w:r>
      <w:r>
        <w:rPr>
          <w:color w:val="231F20"/>
        </w:rPr>
        <w:t>travel</w:t>
      </w:r>
      <w:r>
        <w:rPr>
          <w:color w:val="231F20"/>
          <w:spacing w:val="-4"/>
        </w:rPr>
        <w:t> </w:t>
      </w:r>
      <w:r>
        <w:rPr>
          <w:color w:val="231F20"/>
        </w:rPr>
        <w:t>or</w:t>
      </w:r>
      <w:r>
        <w:rPr>
          <w:color w:val="231F20"/>
          <w:spacing w:val="-3"/>
        </w:rPr>
        <w:t> </w:t>
      </w:r>
      <w:r>
        <w:rPr>
          <w:color w:val="231F20"/>
          <w:spacing w:val="-4"/>
        </w:rPr>
        <w:t>QB</w:t>
      </w:r>
      <w:r>
        <w:rPr>
          <w:color w:val="231F20"/>
          <w:spacing w:val="-5"/>
        </w:rPr>
        <w:t>T</w:t>
      </w:r>
      <w:r>
        <w:rPr>
          <w:color w:val="231F20"/>
          <w:spacing w:val="-3"/>
        </w:rPr>
        <w:t> </w:t>
      </w:r>
      <w:r>
        <w:rPr>
          <w:color w:val="231F20"/>
          <w:spacing w:val="-1"/>
        </w:rPr>
        <w:t>in</w:t>
      </w:r>
      <w:r>
        <w:rPr>
          <w:color w:val="231F20"/>
          <w:spacing w:val="-3"/>
        </w:rPr>
        <w:t> </w:t>
      </w:r>
      <w:r>
        <w:rPr>
          <w:color w:val="231F20"/>
        </w:rPr>
        <w:t>relation</w:t>
      </w:r>
      <w:r>
        <w:rPr>
          <w:color w:val="231F20"/>
          <w:spacing w:val="23"/>
          <w:w w:val="99"/>
        </w:rPr>
        <w:t> </w:t>
      </w:r>
      <w:r>
        <w:rPr>
          <w:color w:val="231F20"/>
        </w:rPr>
        <w:t>to</w:t>
      </w:r>
      <w:r>
        <w:rPr>
          <w:color w:val="231F20"/>
          <w:spacing w:val="-5"/>
        </w:rPr>
        <w:t> </w:t>
      </w:r>
      <w:r>
        <w:rPr>
          <w:color w:val="231F20"/>
        </w:rPr>
        <w:t>the</w:t>
      </w:r>
      <w:r>
        <w:rPr>
          <w:color w:val="231F20"/>
          <w:spacing w:val="-5"/>
        </w:rPr>
        <w:t> </w:t>
      </w:r>
      <w:r>
        <w:rPr>
          <w:color w:val="231F20"/>
        </w:rPr>
        <w:t>travel</w:t>
      </w:r>
      <w:r>
        <w:rPr>
          <w:color w:val="231F20"/>
          <w:spacing w:val="-6"/>
        </w:rPr>
        <w:t> </w:t>
      </w:r>
      <w:r>
        <w:rPr>
          <w:color w:val="231F20"/>
        </w:rPr>
        <w:t>arrangements</w:t>
      </w:r>
      <w:r>
        <w:rPr>
          <w:color w:val="231F20"/>
          <w:spacing w:val="-5"/>
        </w:rPr>
        <w:t> </w:t>
      </w:r>
      <w:r>
        <w:rPr>
          <w:color w:val="231F20"/>
        </w:rPr>
        <w:t>for</w:t>
      </w:r>
      <w:r>
        <w:rPr>
          <w:color w:val="231F20"/>
          <w:spacing w:val="-5"/>
        </w:rPr>
        <w:t> </w:t>
      </w:r>
      <w:r>
        <w:rPr>
          <w:color w:val="231F20"/>
        </w:rPr>
        <w:t>a</w:t>
      </w:r>
      <w:r>
        <w:rPr>
          <w:color w:val="231F20"/>
          <w:spacing w:val="-4"/>
        </w:rPr>
        <w:t> </w:t>
      </w:r>
      <w:r>
        <w:rPr>
          <w:color w:val="231F20"/>
        </w:rPr>
        <w:t>transition</w:t>
      </w:r>
      <w:r>
        <w:rPr>
          <w:color w:val="231F20"/>
          <w:spacing w:val="-6"/>
        </w:rPr>
        <w:t> </w:t>
      </w:r>
      <w:r>
        <w:rPr>
          <w:color w:val="231F20"/>
        </w:rPr>
        <w:t>unit</w:t>
      </w:r>
      <w:r>
        <w:rPr>
          <w:color w:val="231F20"/>
          <w:w w:val="99"/>
        </w:rPr>
        <w:t> </w:t>
      </w:r>
      <w:r>
        <w:rPr>
          <w:color w:val="231F20"/>
          <w:spacing w:val="-1"/>
        </w:rPr>
        <w:t>supported</w:t>
      </w:r>
      <w:r>
        <w:rPr>
          <w:color w:val="231F20"/>
          <w:spacing w:val="-16"/>
        </w:rPr>
        <w:t> </w:t>
      </w:r>
      <w:r>
        <w:rPr>
          <w:color w:val="231F20"/>
          <w:spacing w:val="-1"/>
        </w:rPr>
        <w:t>student.</w:t>
      </w:r>
      <w:r>
        <w:rPr/>
      </w:r>
    </w:p>
    <w:p>
      <w:pPr>
        <w:spacing w:after="0" w:line="250" w:lineRule="exact"/>
        <w:jc w:val="both"/>
        <w:sectPr>
          <w:type w:val="continuous"/>
          <w:pgSz w:w="11910" w:h="16840"/>
          <w:pgMar w:top="1580" w:bottom="280" w:left="1260" w:right="1600"/>
          <w:cols w:num="2" w:equalWidth="0">
            <w:col w:w="4402" w:space="190"/>
            <w:col w:w="4458"/>
          </w:cols>
        </w:sectPr>
      </w:pPr>
    </w:p>
    <w:p>
      <w:pPr>
        <w:spacing w:line="240" w:lineRule="auto" w:before="0"/>
        <w:rPr>
          <w:rFonts w:ascii="Segoe UI" w:hAnsi="Segoe UI" w:cs="Segoe UI" w:eastAsia="Segoe UI"/>
          <w:sz w:val="20"/>
          <w:szCs w:val="20"/>
        </w:rPr>
      </w:pPr>
      <w:r>
        <w:rPr/>
        <w:pict>
          <v:group style="position:absolute;margin-left:69.448799pt;margin-top:700.610718pt;width:.1pt;height:.1pt;mso-position-horizontal-relative:page;mso-position-vertical-relative:page;z-index:-225928" coordorigin="1389,14012" coordsize="2,2">
            <v:shape style="position:absolute;left:1389;top:14012;width:2;height:2" coordorigin="1389,14012" coordsize="0,0" path="m1389,14012l1389,14012e" filled="false" stroked="true" strokeweight="2pt" strokecolor="#355f92">
              <v:path arrowok="t"/>
            </v:shape>
            <w10:wrap type="none"/>
          </v:group>
        </w:pict>
      </w:r>
      <w:r>
        <w:rPr/>
        <w:pict>
          <v:group style="position:absolute;margin-left:508.818787pt;margin-top:700.610718pt;width:.1pt;height:.1pt;mso-position-horizontal-relative:page;mso-position-vertical-relative:page;z-index:-225904" coordorigin="10176,14012" coordsize="2,2">
            <v:shape style="position:absolute;left:10176;top:14012;width:2;height:2" coordorigin="10176,14012" coordsize="0,0" path="m10176,14012l10176,14012e" filled="false" stroked="true" strokeweight="2pt" strokecolor="#355f92">
              <v:path arrowok="t"/>
            </v:shape>
            <w10:wrap type="none"/>
          </v:group>
        </w:pict>
      </w:r>
    </w:p>
    <w:p>
      <w:pPr>
        <w:spacing w:line="240" w:lineRule="auto" w:before="8"/>
        <w:rPr>
          <w:rFonts w:ascii="Segoe UI" w:hAnsi="Segoe UI" w:cs="Segoe UI" w:eastAsia="Segoe UI"/>
          <w:sz w:val="14"/>
          <w:szCs w:val="14"/>
        </w:rPr>
      </w:pPr>
    </w:p>
    <w:p>
      <w:pPr>
        <w:spacing w:line="200" w:lineRule="atLeast"/>
        <w:ind w:left="128" w:right="0" w:firstLine="0"/>
        <w:rPr>
          <w:rFonts w:ascii="Segoe UI" w:hAnsi="Segoe UI" w:cs="Segoe UI" w:eastAsia="Segoe UI"/>
          <w:sz w:val="20"/>
          <w:szCs w:val="20"/>
        </w:rPr>
      </w:pPr>
      <w:r>
        <w:rPr>
          <w:rFonts w:ascii="Segoe UI" w:hAnsi="Segoe UI" w:cs="Segoe UI" w:eastAsia="Segoe UI"/>
          <w:sz w:val="20"/>
          <w:szCs w:val="20"/>
        </w:rPr>
        <w:pict>
          <v:shape style="width:439.4pt;height:173.75pt;mso-position-horizontal-relative:char;mso-position-vertical-relative:line" type="#_x0000_t202" filled="true" fillcolor="#ecf1f5" stroked="true" strokeweight="2pt" strokecolor="#355f92">
            <v:textbox inset="0,0,0,0">
              <w:txbxContent>
                <w:p>
                  <w:pPr>
                    <w:spacing w:before="216"/>
                    <w:ind w:left="291" w:right="0" w:firstLine="0"/>
                    <w:jc w:val="left"/>
                    <w:rPr>
                      <w:rFonts w:ascii="Segoe UI Semibold" w:hAnsi="Segoe UI Semibold" w:cs="Segoe UI Semibold" w:eastAsia="Segoe UI Semibold"/>
                      <w:sz w:val="24"/>
                      <w:szCs w:val="24"/>
                    </w:rPr>
                  </w:pPr>
                  <w:r>
                    <w:rPr>
                      <w:rFonts w:ascii="Segoe UI Semibold"/>
                      <w:b/>
                      <w:color w:val="452A70"/>
                      <w:spacing w:val="-2"/>
                      <w:sz w:val="24"/>
                    </w:rPr>
                    <w:t>RECOMMENDATION</w:t>
                  </w:r>
                  <w:r>
                    <w:rPr>
                      <w:rFonts w:ascii="Segoe UI Semibold"/>
                      <w:b/>
                      <w:color w:val="452A70"/>
                      <w:spacing w:val="-8"/>
                      <w:sz w:val="24"/>
                    </w:rPr>
                    <w:t> </w:t>
                  </w:r>
                  <w:r>
                    <w:rPr>
                      <w:rFonts w:ascii="Segoe UI Semibold"/>
                      <w:b/>
                      <w:color w:val="452A70"/>
                      <w:spacing w:val="-1"/>
                      <w:sz w:val="24"/>
                    </w:rPr>
                    <w:t>7:</w:t>
                  </w:r>
                  <w:r>
                    <w:rPr>
                      <w:rFonts w:ascii="Segoe UI Semibold"/>
                      <w:b/>
                      <w:color w:val="452A70"/>
                      <w:spacing w:val="-7"/>
                      <w:sz w:val="24"/>
                    </w:rPr>
                    <w:t> </w:t>
                  </w:r>
                  <w:r>
                    <w:rPr>
                      <w:rFonts w:ascii="Segoe UI Semibold"/>
                      <w:b/>
                      <w:color w:val="452A70"/>
                      <w:spacing w:val="-1"/>
                      <w:sz w:val="24"/>
                    </w:rPr>
                    <w:t>ABSTUDY</w:t>
                  </w:r>
                  <w:r>
                    <w:rPr>
                      <w:rFonts w:ascii="Segoe UI Semibold"/>
                      <w:b/>
                      <w:color w:val="452A70"/>
                      <w:spacing w:val="-7"/>
                      <w:sz w:val="24"/>
                    </w:rPr>
                    <w:t> </w:t>
                  </w:r>
                  <w:r>
                    <w:rPr>
                      <w:rFonts w:ascii="Segoe UI Semibold"/>
                      <w:b/>
                      <w:color w:val="452A70"/>
                      <w:spacing w:val="-3"/>
                      <w:sz w:val="24"/>
                    </w:rPr>
                    <w:t>TRAVEL</w:t>
                  </w:r>
                  <w:r>
                    <w:rPr>
                      <w:rFonts w:ascii="Segoe UI Semibold"/>
                      <w:b/>
                      <w:color w:val="452A70"/>
                      <w:spacing w:val="-8"/>
                      <w:sz w:val="24"/>
                    </w:rPr>
                    <w:t> </w:t>
                  </w:r>
                  <w:r>
                    <w:rPr>
                      <w:rFonts w:ascii="Segoe UI Semibold"/>
                      <w:b/>
                      <w:color w:val="452A70"/>
                      <w:spacing w:val="-2"/>
                      <w:sz w:val="24"/>
                    </w:rPr>
                    <w:t>MANAGEMENT</w:t>
                  </w:r>
                  <w:r>
                    <w:rPr>
                      <w:rFonts w:ascii="Segoe UI Semibold"/>
                      <w:sz w:val="24"/>
                    </w:rPr>
                  </w:r>
                </w:p>
                <w:p>
                  <w:pPr>
                    <w:spacing w:line="250" w:lineRule="exact" w:before="131"/>
                    <w:ind w:left="291" w:right="338" w:firstLine="0"/>
                    <w:jc w:val="left"/>
                    <w:rPr>
                      <w:rFonts w:ascii="Segoe UI" w:hAnsi="Segoe UI" w:cs="Segoe UI" w:eastAsia="Segoe UI"/>
                      <w:sz w:val="20"/>
                      <w:szCs w:val="20"/>
                    </w:rPr>
                  </w:pPr>
                  <w:r>
                    <w:rPr>
                      <w:rFonts w:ascii="Segoe UI"/>
                      <w:color w:val="452A70"/>
                      <w:spacing w:val="-1"/>
                      <w:sz w:val="20"/>
                    </w:rPr>
                    <w:t>Identify</w:t>
                  </w:r>
                  <w:r>
                    <w:rPr>
                      <w:rFonts w:ascii="Segoe UI"/>
                      <w:color w:val="452A70"/>
                      <w:spacing w:val="-6"/>
                      <w:sz w:val="20"/>
                    </w:rPr>
                    <w:t> </w:t>
                  </w:r>
                  <w:r>
                    <w:rPr>
                      <w:rFonts w:ascii="Segoe UI"/>
                      <w:color w:val="452A70"/>
                      <w:sz w:val="20"/>
                    </w:rPr>
                    <w:t>options</w:t>
                  </w:r>
                  <w:r>
                    <w:rPr>
                      <w:rFonts w:ascii="Segoe UI"/>
                      <w:color w:val="452A70"/>
                      <w:spacing w:val="-7"/>
                      <w:sz w:val="20"/>
                    </w:rPr>
                    <w:t> </w:t>
                  </w:r>
                  <w:r>
                    <w:rPr>
                      <w:rFonts w:ascii="Segoe UI"/>
                      <w:color w:val="452A70"/>
                      <w:sz w:val="20"/>
                    </w:rPr>
                    <w:t>for</w:t>
                  </w:r>
                  <w:r>
                    <w:rPr>
                      <w:rFonts w:ascii="Segoe UI"/>
                      <w:color w:val="452A70"/>
                      <w:spacing w:val="-6"/>
                      <w:sz w:val="20"/>
                    </w:rPr>
                    <w:t> </w:t>
                  </w:r>
                  <w:r>
                    <w:rPr>
                      <w:rFonts w:ascii="Segoe UI"/>
                      <w:color w:val="452A70"/>
                      <w:sz w:val="20"/>
                    </w:rPr>
                    <w:t>further</w:t>
                  </w:r>
                  <w:r>
                    <w:rPr>
                      <w:rFonts w:ascii="Segoe UI"/>
                      <w:color w:val="452A70"/>
                      <w:spacing w:val="-6"/>
                      <w:sz w:val="20"/>
                    </w:rPr>
                    <w:t> </w:t>
                  </w:r>
                  <w:r>
                    <w:rPr>
                      <w:rFonts w:ascii="Segoe UI"/>
                      <w:color w:val="452A70"/>
                      <w:sz w:val="20"/>
                    </w:rPr>
                    <w:t>decentralisation</w:t>
                  </w:r>
                  <w:r>
                    <w:rPr>
                      <w:rFonts w:ascii="Segoe UI"/>
                      <w:color w:val="452A70"/>
                      <w:spacing w:val="-7"/>
                      <w:sz w:val="20"/>
                    </w:rPr>
                    <w:t> </w:t>
                  </w:r>
                  <w:r>
                    <w:rPr>
                      <w:rFonts w:ascii="Segoe UI"/>
                      <w:color w:val="452A70"/>
                      <w:sz w:val="20"/>
                    </w:rPr>
                    <w:t>of</w:t>
                  </w:r>
                  <w:r>
                    <w:rPr>
                      <w:rFonts w:ascii="Segoe UI"/>
                      <w:color w:val="452A70"/>
                      <w:spacing w:val="-5"/>
                      <w:sz w:val="20"/>
                    </w:rPr>
                    <w:t> </w:t>
                  </w:r>
                  <w:r>
                    <w:rPr>
                      <w:rFonts w:ascii="Segoe UI"/>
                      <w:color w:val="452A70"/>
                      <w:sz w:val="20"/>
                    </w:rPr>
                    <w:t>ABSTUDY</w:t>
                  </w:r>
                  <w:r>
                    <w:rPr>
                      <w:rFonts w:ascii="Segoe UI"/>
                      <w:color w:val="452A70"/>
                      <w:spacing w:val="-7"/>
                      <w:sz w:val="20"/>
                    </w:rPr>
                    <w:t> </w:t>
                  </w:r>
                  <w:r>
                    <w:rPr>
                      <w:rFonts w:ascii="Segoe UI"/>
                      <w:color w:val="452A70"/>
                      <w:sz w:val="20"/>
                    </w:rPr>
                    <w:t>travel</w:t>
                  </w:r>
                  <w:r>
                    <w:rPr>
                      <w:rFonts w:ascii="Segoe UI"/>
                      <w:color w:val="452A70"/>
                      <w:spacing w:val="-7"/>
                      <w:sz w:val="20"/>
                    </w:rPr>
                    <w:t> </w:t>
                  </w:r>
                  <w:r>
                    <w:rPr>
                      <w:rFonts w:ascii="Segoe UI"/>
                      <w:color w:val="452A70"/>
                      <w:sz w:val="20"/>
                    </w:rPr>
                    <w:t>arrangements</w:t>
                  </w:r>
                  <w:r>
                    <w:rPr>
                      <w:rFonts w:ascii="Segoe UI"/>
                      <w:color w:val="452A70"/>
                      <w:spacing w:val="-7"/>
                      <w:sz w:val="20"/>
                    </w:rPr>
                    <w:t> </w:t>
                  </w:r>
                  <w:r>
                    <w:rPr>
                      <w:rFonts w:ascii="Segoe UI"/>
                      <w:color w:val="452A70"/>
                      <w:sz w:val="20"/>
                    </w:rPr>
                    <w:t>to</w:t>
                  </w:r>
                  <w:r>
                    <w:rPr>
                      <w:rFonts w:ascii="Segoe UI"/>
                      <w:color w:val="452A70"/>
                      <w:spacing w:val="-5"/>
                      <w:sz w:val="20"/>
                    </w:rPr>
                    <w:t> </w:t>
                  </w:r>
                  <w:r>
                    <w:rPr>
                      <w:rFonts w:ascii="Segoe UI"/>
                      <w:color w:val="452A70"/>
                      <w:sz w:val="20"/>
                    </w:rPr>
                    <w:t>boarding</w:t>
                  </w:r>
                  <w:r>
                    <w:rPr>
                      <w:rFonts w:ascii="Segoe UI"/>
                      <w:color w:val="452A70"/>
                      <w:spacing w:val="22"/>
                      <w:w w:val="99"/>
                      <w:sz w:val="20"/>
                    </w:rPr>
                    <w:t> </w:t>
                  </w:r>
                  <w:r>
                    <w:rPr>
                      <w:rFonts w:ascii="Segoe UI"/>
                      <w:color w:val="452A70"/>
                      <w:sz w:val="20"/>
                    </w:rPr>
                    <w:t>providers and transition support units to reduce costs and increase flexibility. Provide</w:t>
                  </w:r>
                  <w:r>
                    <w:rPr>
                      <w:rFonts w:ascii="Segoe UI"/>
                      <w:color w:val="452A70"/>
                      <w:sz w:val="20"/>
                    </w:rPr>
                    <w:t> </w:t>
                  </w:r>
                  <w:r>
                    <w:rPr>
                      <w:rFonts w:ascii="Segoe UI"/>
                      <w:color w:val="452A70"/>
                      <w:sz w:val="20"/>
                    </w:rPr>
                    <w:t>funding</w:t>
                  </w:r>
                  <w:r>
                    <w:rPr>
                      <w:rFonts w:ascii="Segoe UI"/>
                      <w:color w:val="452A70"/>
                      <w:spacing w:val="-6"/>
                      <w:sz w:val="20"/>
                    </w:rPr>
                    <w:t> </w:t>
                  </w:r>
                  <w:r>
                    <w:rPr>
                      <w:rFonts w:ascii="Segoe UI"/>
                      <w:color w:val="452A70"/>
                      <w:spacing w:val="-1"/>
                      <w:sz w:val="20"/>
                    </w:rPr>
                    <w:t>incentives</w:t>
                  </w:r>
                  <w:r>
                    <w:rPr>
                      <w:rFonts w:ascii="Segoe UI"/>
                      <w:color w:val="452A70"/>
                      <w:spacing w:val="-5"/>
                      <w:sz w:val="20"/>
                    </w:rPr>
                    <w:t> </w:t>
                  </w:r>
                  <w:r>
                    <w:rPr>
                      <w:rFonts w:ascii="Segoe UI"/>
                      <w:color w:val="452A70"/>
                      <w:sz w:val="20"/>
                    </w:rPr>
                    <w:t>to</w:t>
                  </w:r>
                  <w:r>
                    <w:rPr>
                      <w:rFonts w:ascii="Segoe UI"/>
                      <w:color w:val="452A70"/>
                      <w:spacing w:val="-6"/>
                      <w:sz w:val="20"/>
                    </w:rPr>
                    <w:t> </w:t>
                  </w:r>
                  <w:r>
                    <w:rPr>
                      <w:rFonts w:ascii="Segoe UI"/>
                      <w:color w:val="452A70"/>
                      <w:spacing w:val="-1"/>
                      <w:sz w:val="20"/>
                    </w:rPr>
                    <w:t>meet</w:t>
                  </w:r>
                  <w:r>
                    <w:rPr>
                      <w:rFonts w:ascii="Segoe UI"/>
                      <w:color w:val="452A70"/>
                      <w:spacing w:val="-5"/>
                      <w:sz w:val="20"/>
                    </w:rPr>
                    <w:t> </w:t>
                  </w:r>
                  <w:r>
                    <w:rPr>
                      <w:rFonts w:ascii="Segoe UI"/>
                      <w:color w:val="452A70"/>
                      <w:sz w:val="20"/>
                    </w:rPr>
                    <w:t>the</w:t>
                  </w:r>
                  <w:r>
                    <w:rPr>
                      <w:rFonts w:ascii="Segoe UI"/>
                      <w:color w:val="452A70"/>
                      <w:spacing w:val="-6"/>
                      <w:sz w:val="20"/>
                    </w:rPr>
                    <w:t> </w:t>
                  </w:r>
                  <w:r>
                    <w:rPr>
                      <w:rFonts w:ascii="Segoe UI"/>
                      <w:color w:val="452A70"/>
                      <w:sz w:val="20"/>
                    </w:rPr>
                    <w:t>cost</w:t>
                  </w:r>
                  <w:r>
                    <w:rPr>
                      <w:rFonts w:ascii="Segoe UI"/>
                      <w:color w:val="452A70"/>
                      <w:spacing w:val="-6"/>
                      <w:sz w:val="20"/>
                    </w:rPr>
                    <w:t> </w:t>
                  </w:r>
                  <w:r>
                    <w:rPr>
                      <w:rFonts w:ascii="Segoe UI"/>
                      <w:color w:val="452A70"/>
                      <w:sz w:val="20"/>
                    </w:rPr>
                    <w:t>of</w:t>
                  </w:r>
                  <w:r>
                    <w:rPr>
                      <w:rFonts w:ascii="Segoe UI"/>
                      <w:color w:val="452A70"/>
                      <w:spacing w:val="-6"/>
                      <w:sz w:val="20"/>
                    </w:rPr>
                    <w:t> </w:t>
                  </w:r>
                  <w:r>
                    <w:rPr>
                      <w:rFonts w:ascii="Segoe UI"/>
                      <w:color w:val="452A70"/>
                      <w:sz w:val="20"/>
                    </w:rPr>
                    <w:t>decentralised</w:t>
                  </w:r>
                  <w:r>
                    <w:rPr>
                      <w:rFonts w:ascii="Segoe UI"/>
                      <w:color w:val="452A70"/>
                      <w:spacing w:val="-6"/>
                      <w:sz w:val="20"/>
                    </w:rPr>
                    <w:t> </w:t>
                  </w:r>
                  <w:r>
                    <w:rPr>
                      <w:rFonts w:ascii="Segoe UI"/>
                      <w:color w:val="452A70"/>
                      <w:sz w:val="20"/>
                    </w:rPr>
                    <w:t>travel</w:t>
                  </w:r>
                  <w:r>
                    <w:rPr>
                      <w:rFonts w:ascii="Segoe UI"/>
                      <w:color w:val="452A70"/>
                      <w:spacing w:val="-6"/>
                      <w:sz w:val="20"/>
                    </w:rPr>
                    <w:t> </w:t>
                  </w:r>
                  <w:r>
                    <w:rPr>
                      <w:rFonts w:ascii="Segoe UI"/>
                      <w:color w:val="452A70"/>
                      <w:sz w:val="20"/>
                    </w:rPr>
                    <w:t>arrangements</w:t>
                  </w:r>
                  <w:r>
                    <w:rPr>
                      <w:rFonts w:ascii="Segoe UI"/>
                      <w:color w:val="452A70"/>
                      <w:spacing w:val="-6"/>
                      <w:sz w:val="20"/>
                    </w:rPr>
                    <w:t> </w:t>
                  </w:r>
                  <w:r>
                    <w:rPr>
                      <w:rFonts w:ascii="Segoe UI"/>
                      <w:color w:val="452A70"/>
                      <w:sz w:val="20"/>
                    </w:rPr>
                    <w:t>and</w:t>
                  </w:r>
                  <w:r>
                    <w:rPr>
                      <w:rFonts w:ascii="Segoe UI"/>
                      <w:color w:val="452A70"/>
                      <w:spacing w:val="-7"/>
                      <w:sz w:val="20"/>
                    </w:rPr>
                    <w:t> </w:t>
                  </w:r>
                  <w:r>
                    <w:rPr>
                      <w:rFonts w:ascii="Segoe UI"/>
                      <w:color w:val="452A70"/>
                      <w:sz w:val="20"/>
                    </w:rPr>
                    <w:t>administration</w:t>
                  </w:r>
                  <w:r>
                    <w:rPr>
                      <w:rFonts w:ascii="Segoe UI"/>
                      <w:color w:val="452A70"/>
                      <w:spacing w:val="23"/>
                      <w:w w:val="99"/>
                      <w:sz w:val="20"/>
                    </w:rPr>
                    <w:t> </w:t>
                  </w:r>
                  <w:r>
                    <w:rPr>
                      <w:rFonts w:ascii="Segoe UI"/>
                      <w:color w:val="452A70"/>
                      <w:sz w:val="20"/>
                    </w:rPr>
                    <w:t>of</w:t>
                  </w:r>
                  <w:r>
                    <w:rPr>
                      <w:rFonts w:ascii="Segoe UI"/>
                      <w:color w:val="452A70"/>
                      <w:spacing w:val="-4"/>
                      <w:sz w:val="20"/>
                    </w:rPr>
                    <w:t> </w:t>
                  </w:r>
                  <w:r>
                    <w:rPr>
                      <w:rFonts w:ascii="Segoe UI"/>
                      <w:color w:val="452A70"/>
                      <w:spacing w:val="-1"/>
                      <w:sz w:val="20"/>
                    </w:rPr>
                    <w:t>safe</w:t>
                  </w:r>
                  <w:r>
                    <w:rPr>
                      <w:rFonts w:ascii="Segoe UI"/>
                      <w:color w:val="452A70"/>
                      <w:spacing w:val="-4"/>
                      <w:sz w:val="20"/>
                    </w:rPr>
                    <w:t> </w:t>
                  </w:r>
                  <w:r>
                    <w:rPr>
                      <w:rFonts w:ascii="Segoe UI"/>
                      <w:color w:val="452A70"/>
                      <w:sz w:val="20"/>
                    </w:rPr>
                    <w:t>travel</w:t>
                  </w:r>
                  <w:r>
                    <w:rPr>
                      <w:rFonts w:ascii="Segoe UI"/>
                      <w:color w:val="452A70"/>
                      <w:spacing w:val="-5"/>
                      <w:sz w:val="20"/>
                    </w:rPr>
                    <w:t> </w:t>
                  </w:r>
                  <w:r>
                    <w:rPr>
                      <w:rFonts w:ascii="Segoe UI"/>
                      <w:color w:val="452A70"/>
                      <w:sz w:val="20"/>
                    </w:rPr>
                    <w:t>plans.</w:t>
                  </w:r>
                  <w:r>
                    <w:rPr>
                      <w:rFonts w:ascii="Segoe UI"/>
                      <w:sz w:val="20"/>
                    </w:rPr>
                  </w:r>
                </w:p>
                <w:p>
                  <w:pPr>
                    <w:spacing w:line="250" w:lineRule="exact" w:before="113"/>
                    <w:ind w:left="291" w:right="391" w:firstLine="0"/>
                    <w:jc w:val="left"/>
                    <w:rPr>
                      <w:rFonts w:ascii="Segoe UI" w:hAnsi="Segoe UI" w:cs="Segoe UI" w:eastAsia="Segoe UI"/>
                      <w:sz w:val="20"/>
                      <w:szCs w:val="20"/>
                    </w:rPr>
                  </w:pPr>
                  <w:r>
                    <w:rPr>
                      <w:rFonts w:ascii="Segoe UI"/>
                      <w:color w:val="452A70"/>
                      <w:spacing w:val="-1"/>
                      <w:sz w:val="20"/>
                    </w:rPr>
                    <w:t>Improve</w:t>
                  </w:r>
                  <w:r>
                    <w:rPr>
                      <w:rFonts w:ascii="Segoe UI"/>
                      <w:color w:val="452A70"/>
                      <w:spacing w:val="-4"/>
                      <w:sz w:val="20"/>
                    </w:rPr>
                    <w:t> </w:t>
                  </w:r>
                  <w:r>
                    <w:rPr>
                      <w:rFonts w:ascii="Segoe UI"/>
                      <w:color w:val="452A70"/>
                      <w:sz w:val="20"/>
                    </w:rPr>
                    <w:t>communication</w:t>
                  </w:r>
                  <w:r>
                    <w:rPr>
                      <w:rFonts w:ascii="Segoe UI"/>
                      <w:color w:val="452A70"/>
                      <w:spacing w:val="-5"/>
                      <w:sz w:val="20"/>
                    </w:rPr>
                    <w:t> </w:t>
                  </w:r>
                  <w:r>
                    <w:rPr>
                      <w:rFonts w:ascii="Segoe UI"/>
                      <w:color w:val="452A70"/>
                      <w:sz w:val="20"/>
                    </w:rPr>
                    <w:t>to</w:t>
                  </w:r>
                  <w:r>
                    <w:rPr>
                      <w:rFonts w:ascii="Segoe UI"/>
                      <w:color w:val="452A70"/>
                      <w:spacing w:val="-4"/>
                      <w:sz w:val="20"/>
                    </w:rPr>
                    <w:t> </w:t>
                  </w:r>
                  <w:r>
                    <w:rPr>
                      <w:rFonts w:ascii="Segoe UI"/>
                      <w:color w:val="452A70"/>
                      <w:sz w:val="20"/>
                    </w:rPr>
                    <w:t>boarding</w:t>
                  </w:r>
                  <w:r>
                    <w:rPr>
                      <w:rFonts w:ascii="Segoe UI"/>
                      <w:color w:val="452A70"/>
                      <w:spacing w:val="-5"/>
                      <w:sz w:val="20"/>
                    </w:rPr>
                    <w:t> </w:t>
                  </w:r>
                  <w:r>
                    <w:rPr>
                      <w:rFonts w:ascii="Segoe UI"/>
                      <w:color w:val="452A70"/>
                      <w:sz w:val="20"/>
                    </w:rPr>
                    <w:t>providers</w:t>
                  </w:r>
                  <w:r>
                    <w:rPr>
                      <w:rFonts w:ascii="Segoe UI"/>
                      <w:color w:val="452A70"/>
                      <w:spacing w:val="-5"/>
                      <w:sz w:val="20"/>
                    </w:rPr>
                    <w:t> </w:t>
                  </w:r>
                  <w:r>
                    <w:rPr>
                      <w:rFonts w:ascii="Segoe UI"/>
                      <w:color w:val="452A70"/>
                      <w:sz w:val="20"/>
                    </w:rPr>
                    <w:t>and</w:t>
                  </w:r>
                  <w:r>
                    <w:rPr>
                      <w:rFonts w:ascii="Segoe UI"/>
                      <w:color w:val="452A70"/>
                      <w:spacing w:val="-4"/>
                      <w:sz w:val="20"/>
                    </w:rPr>
                    <w:t> </w:t>
                  </w:r>
                  <w:r>
                    <w:rPr>
                      <w:rFonts w:ascii="Segoe UI"/>
                      <w:color w:val="452A70"/>
                      <w:sz w:val="20"/>
                    </w:rPr>
                    <w:t>families</w:t>
                  </w:r>
                  <w:r>
                    <w:rPr>
                      <w:rFonts w:ascii="Segoe UI"/>
                      <w:color w:val="452A70"/>
                      <w:spacing w:val="-5"/>
                      <w:sz w:val="20"/>
                    </w:rPr>
                    <w:t> </w:t>
                  </w:r>
                  <w:r>
                    <w:rPr>
                      <w:rFonts w:ascii="Segoe UI"/>
                      <w:color w:val="452A70"/>
                      <w:sz w:val="20"/>
                    </w:rPr>
                    <w:t>where</w:t>
                  </w:r>
                  <w:r>
                    <w:rPr>
                      <w:rFonts w:ascii="Segoe UI"/>
                      <w:color w:val="452A70"/>
                      <w:spacing w:val="-5"/>
                      <w:sz w:val="20"/>
                    </w:rPr>
                    <w:t> </w:t>
                  </w:r>
                  <w:r>
                    <w:rPr>
                      <w:rFonts w:ascii="Segoe UI"/>
                      <w:color w:val="452A70"/>
                      <w:sz w:val="20"/>
                    </w:rPr>
                    <w:t>the</w:t>
                  </w:r>
                  <w:r>
                    <w:rPr>
                      <w:rFonts w:ascii="Segoe UI"/>
                      <w:color w:val="452A70"/>
                      <w:spacing w:val="-5"/>
                      <w:sz w:val="20"/>
                    </w:rPr>
                    <w:t> </w:t>
                  </w:r>
                  <w:r>
                    <w:rPr>
                      <w:rFonts w:ascii="Segoe UI"/>
                      <w:color w:val="452A70"/>
                      <w:spacing w:val="-1"/>
                      <w:sz w:val="20"/>
                    </w:rPr>
                    <w:t>DHS</w:t>
                  </w:r>
                  <w:r>
                    <w:rPr>
                      <w:rFonts w:ascii="Segoe UI"/>
                      <w:color w:val="452A70"/>
                      <w:spacing w:val="-4"/>
                      <w:sz w:val="20"/>
                    </w:rPr>
                    <w:t> </w:t>
                  </w:r>
                  <w:r>
                    <w:rPr>
                      <w:rFonts w:ascii="Segoe UI"/>
                      <w:color w:val="452A70"/>
                      <w:sz w:val="20"/>
                    </w:rPr>
                    <w:t>ABSTUDY</w:t>
                  </w:r>
                  <w:r>
                    <w:rPr>
                      <w:rFonts w:ascii="Segoe UI"/>
                      <w:color w:val="452A70"/>
                      <w:spacing w:val="-4"/>
                      <w:sz w:val="20"/>
                    </w:rPr>
                    <w:t> </w:t>
                  </w:r>
                  <w:r>
                    <w:rPr>
                      <w:rFonts w:ascii="Segoe UI"/>
                      <w:color w:val="452A70"/>
                      <w:sz w:val="20"/>
                    </w:rPr>
                    <w:t>travel</w:t>
                  </w:r>
                  <w:r>
                    <w:rPr>
                      <w:rFonts w:ascii="Segoe UI"/>
                      <w:color w:val="452A70"/>
                      <w:spacing w:val="23"/>
                      <w:w w:val="99"/>
                      <w:sz w:val="20"/>
                    </w:rPr>
                    <w:t> </w:t>
                  </w:r>
                  <w:r>
                    <w:rPr>
                      <w:rFonts w:ascii="Segoe UI"/>
                      <w:color w:val="452A70"/>
                      <w:sz w:val="20"/>
                    </w:rPr>
                    <w:t>team</w:t>
                  </w:r>
                  <w:r>
                    <w:rPr>
                      <w:rFonts w:ascii="Segoe UI"/>
                      <w:color w:val="452A70"/>
                      <w:spacing w:val="-6"/>
                      <w:sz w:val="20"/>
                    </w:rPr>
                    <w:t> </w:t>
                  </w:r>
                  <w:r>
                    <w:rPr>
                      <w:rFonts w:ascii="Segoe UI"/>
                      <w:color w:val="452A70"/>
                      <w:sz w:val="20"/>
                    </w:rPr>
                    <w:t>declines</w:t>
                  </w:r>
                  <w:r>
                    <w:rPr>
                      <w:rFonts w:ascii="Segoe UI"/>
                      <w:color w:val="452A70"/>
                      <w:spacing w:val="-6"/>
                      <w:sz w:val="20"/>
                    </w:rPr>
                    <w:t> </w:t>
                  </w:r>
                  <w:r>
                    <w:rPr>
                      <w:rFonts w:ascii="Segoe UI"/>
                      <w:color w:val="452A70"/>
                      <w:sz w:val="20"/>
                    </w:rPr>
                    <w:t>a</w:t>
                  </w:r>
                  <w:r>
                    <w:rPr>
                      <w:rFonts w:ascii="Segoe UI"/>
                      <w:color w:val="452A70"/>
                      <w:spacing w:val="-5"/>
                      <w:sz w:val="20"/>
                    </w:rPr>
                    <w:t> </w:t>
                  </w:r>
                  <w:r>
                    <w:rPr>
                      <w:rFonts w:ascii="Segoe UI"/>
                      <w:color w:val="452A70"/>
                      <w:sz w:val="20"/>
                    </w:rPr>
                    <w:t>request</w:t>
                  </w:r>
                  <w:r>
                    <w:rPr>
                      <w:rFonts w:ascii="Segoe UI"/>
                      <w:color w:val="452A70"/>
                      <w:spacing w:val="-6"/>
                      <w:sz w:val="20"/>
                    </w:rPr>
                    <w:t> </w:t>
                  </w:r>
                  <w:r>
                    <w:rPr>
                      <w:rFonts w:ascii="Segoe UI"/>
                      <w:color w:val="452A70"/>
                      <w:sz w:val="20"/>
                    </w:rPr>
                    <w:t>for</w:t>
                  </w:r>
                  <w:r>
                    <w:rPr>
                      <w:rFonts w:ascii="Segoe UI"/>
                      <w:color w:val="452A70"/>
                      <w:spacing w:val="-5"/>
                      <w:sz w:val="20"/>
                    </w:rPr>
                    <w:t> </w:t>
                  </w:r>
                  <w:r>
                    <w:rPr>
                      <w:rFonts w:ascii="Segoe UI"/>
                      <w:color w:val="452A70"/>
                      <w:sz w:val="20"/>
                    </w:rPr>
                    <w:t>a</w:t>
                  </w:r>
                  <w:r>
                    <w:rPr>
                      <w:rFonts w:ascii="Segoe UI"/>
                      <w:color w:val="452A70"/>
                      <w:spacing w:val="-4"/>
                      <w:sz w:val="20"/>
                    </w:rPr>
                    <w:t> </w:t>
                  </w:r>
                  <w:r>
                    <w:rPr>
                      <w:rFonts w:ascii="Segoe UI"/>
                      <w:color w:val="452A70"/>
                      <w:sz w:val="20"/>
                    </w:rPr>
                    <w:t>travel</w:t>
                  </w:r>
                  <w:r>
                    <w:rPr>
                      <w:rFonts w:ascii="Segoe UI"/>
                      <w:color w:val="452A70"/>
                      <w:spacing w:val="-6"/>
                      <w:sz w:val="20"/>
                    </w:rPr>
                    <w:t> </w:t>
                  </w:r>
                  <w:r>
                    <w:rPr>
                      <w:rFonts w:ascii="Segoe UI"/>
                      <w:color w:val="452A70"/>
                      <w:sz w:val="20"/>
                    </w:rPr>
                    <w:t>booking,</w:t>
                  </w:r>
                  <w:r>
                    <w:rPr>
                      <w:rFonts w:ascii="Segoe UI"/>
                      <w:color w:val="452A70"/>
                      <w:spacing w:val="-6"/>
                      <w:sz w:val="20"/>
                    </w:rPr>
                    <w:t> </w:t>
                  </w:r>
                  <w:r>
                    <w:rPr>
                      <w:rFonts w:ascii="Segoe UI"/>
                      <w:color w:val="452A70"/>
                      <w:spacing w:val="-1"/>
                      <w:sz w:val="20"/>
                    </w:rPr>
                    <w:t>including</w:t>
                  </w:r>
                  <w:r>
                    <w:rPr>
                      <w:rFonts w:ascii="Segoe UI"/>
                      <w:color w:val="452A70"/>
                      <w:spacing w:val="-5"/>
                      <w:sz w:val="20"/>
                    </w:rPr>
                    <w:t> </w:t>
                  </w:r>
                  <w:r>
                    <w:rPr>
                      <w:rFonts w:ascii="Segoe UI"/>
                      <w:color w:val="452A70"/>
                      <w:sz w:val="20"/>
                    </w:rPr>
                    <w:t>requested</w:t>
                  </w:r>
                  <w:r>
                    <w:rPr>
                      <w:rFonts w:ascii="Segoe UI"/>
                      <w:color w:val="452A70"/>
                      <w:spacing w:val="-6"/>
                      <w:sz w:val="20"/>
                    </w:rPr>
                    <w:t> </w:t>
                  </w:r>
                  <w:r>
                    <w:rPr>
                      <w:rFonts w:ascii="Segoe UI"/>
                      <w:color w:val="452A70"/>
                      <w:sz w:val="20"/>
                    </w:rPr>
                    <w:t>travel</w:t>
                  </w:r>
                  <w:r>
                    <w:rPr>
                      <w:rFonts w:ascii="Segoe UI"/>
                      <w:color w:val="452A70"/>
                      <w:spacing w:val="-6"/>
                      <w:sz w:val="20"/>
                    </w:rPr>
                    <w:t> </w:t>
                  </w:r>
                  <w:r>
                    <w:rPr>
                      <w:rFonts w:ascii="Segoe UI"/>
                      <w:color w:val="452A70"/>
                      <w:sz w:val="20"/>
                    </w:rPr>
                    <w:t>dates</w:t>
                  </w:r>
                  <w:r>
                    <w:rPr>
                      <w:rFonts w:ascii="Segoe UI"/>
                      <w:color w:val="452A70"/>
                      <w:spacing w:val="-5"/>
                      <w:sz w:val="20"/>
                    </w:rPr>
                    <w:t> </w:t>
                  </w:r>
                  <w:r>
                    <w:rPr>
                      <w:rFonts w:ascii="Segoe UI"/>
                      <w:color w:val="452A70"/>
                      <w:sz w:val="20"/>
                    </w:rPr>
                    <w:t>or</w:t>
                  </w:r>
                  <w:r>
                    <w:rPr>
                      <w:rFonts w:ascii="Segoe UI"/>
                      <w:color w:val="452A70"/>
                      <w:spacing w:val="-5"/>
                      <w:sz w:val="20"/>
                    </w:rPr>
                    <w:t> </w:t>
                  </w:r>
                  <w:r>
                    <w:rPr>
                      <w:rFonts w:ascii="Segoe UI"/>
                      <w:color w:val="452A70"/>
                      <w:sz w:val="20"/>
                    </w:rPr>
                    <w:t>routes.</w:t>
                  </w:r>
                  <w:r>
                    <w:rPr>
                      <w:rFonts w:ascii="Segoe UI"/>
                      <w:sz w:val="20"/>
                    </w:rPr>
                  </w:r>
                </w:p>
                <w:p>
                  <w:pPr>
                    <w:spacing w:line="250" w:lineRule="exact" w:before="113"/>
                    <w:ind w:left="291" w:right="425" w:firstLine="0"/>
                    <w:jc w:val="left"/>
                    <w:rPr>
                      <w:rFonts w:ascii="Segoe UI" w:hAnsi="Segoe UI" w:cs="Segoe UI" w:eastAsia="Segoe UI"/>
                      <w:sz w:val="20"/>
                      <w:szCs w:val="20"/>
                    </w:rPr>
                  </w:pPr>
                  <w:r>
                    <w:rPr>
                      <w:rFonts w:ascii="Segoe UI"/>
                      <w:color w:val="452A70"/>
                      <w:spacing w:val="-1"/>
                      <w:sz w:val="20"/>
                    </w:rPr>
                    <w:t>Investigate</w:t>
                  </w:r>
                  <w:r>
                    <w:rPr>
                      <w:rFonts w:ascii="Segoe UI"/>
                      <w:color w:val="452A70"/>
                      <w:spacing w:val="-6"/>
                      <w:sz w:val="20"/>
                    </w:rPr>
                    <w:t> </w:t>
                  </w:r>
                  <w:r>
                    <w:rPr>
                      <w:rFonts w:ascii="Segoe UI"/>
                      <w:color w:val="452A70"/>
                      <w:spacing w:val="-1"/>
                      <w:sz w:val="20"/>
                    </w:rPr>
                    <w:t>mechanisms</w:t>
                  </w:r>
                  <w:r>
                    <w:rPr>
                      <w:rFonts w:ascii="Segoe UI"/>
                      <w:color w:val="452A70"/>
                      <w:spacing w:val="-5"/>
                      <w:sz w:val="20"/>
                    </w:rPr>
                    <w:t> </w:t>
                  </w:r>
                  <w:r>
                    <w:rPr>
                      <w:rFonts w:ascii="Segoe UI"/>
                      <w:color w:val="452A70"/>
                      <w:sz w:val="20"/>
                    </w:rPr>
                    <w:t>to</w:t>
                  </w:r>
                  <w:r>
                    <w:rPr>
                      <w:rFonts w:ascii="Segoe UI"/>
                      <w:color w:val="452A70"/>
                      <w:spacing w:val="-6"/>
                      <w:sz w:val="20"/>
                    </w:rPr>
                    <w:t> </w:t>
                  </w:r>
                  <w:r>
                    <w:rPr>
                      <w:rFonts w:ascii="Segoe UI"/>
                      <w:color w:val="452A70"/>
                      <w:sz w:val="20"/>
                    </w:rPr>
                    <w:t>permit,</w:t>
                  </w:r>
                  <w:r>
                    <w:rPr>
                      <w:rFonts w:ascii="Segoe UI"/>
                      <w:color w:val="452A70"/>
                      <w:spacing w:val="-7"/>
                      <w:sz w:val="20"/>
                    </w:rPr>
                    <w:t> </w:t>
                  </w:r>
                  <w:r>
                    <w:rPr>
                      <w:rFonts w:ascii="Segoe UI"/>
                      <w:color w:val="452A70"/>
                      <w:sz w:val="20"/>
                    </w:rPr>
                    <w:t>within</w:t>
                  </w:r>
                  <w:r>
                    <w:rPr>
                      <w:rFonts w:ascii="Segoe UI"/>
                      <w:color w:val="452A70"/>
                      <w:spacing w:val="-6"/>
                      <w:sz w:val="20"/>
                    </w:rPr>
                    <w:t> </w:t>
                  </w:r>
                  <w:r>
                    <w:rPr>
                      <w:rFonts w:ascii="Segoe UI"/>
                      <w:color w:val="452A70"/>
                      <w:sz w:val="20"/>
                    </w:rPr>
                    <w:t>the</w:t>
                  </w:r>
                  <w:r>
                    <w:rPr>
                      <w:rFonts w:ascii="Segoe UI"/>
                      <w:color w:val="452A70"/>
                      <w:spacing w:val="-7"/>
                      <w:sz w:val="20"/>
                    </w:rPr>
                    <w:t> </w:t>
                  </w:r>
                  <w:r>
                    <w:rPr>
                      <w:rFonts w:ascii="Segoe UI"/>
                      <w:color w:val="452A70"/>
                      <w:sz w:val="20"/>
                    </w:rPr>
                    <w:t>existing</w:t>
                  </w:r>
                  <w:r>
                    <w:rPr>
                      <w:rFonts w:ascii="Segoe UI"/>
                      <w:color w:val="452A70"/>
                      <w:spacing w:val="-7"/>
                      <w:sz w:val="20"/>
                    </w:rPr>
                    <w:t> </w:t>
                  </w:r>
                  <w:r>
                    <w:rPr>
                      <w:rFonts w:ascii="Segoe UI"/>
                      <w:color w:val="452A70"/>
                      <w:sz w:val="20"/>
                    </w:rPr>
                    <w:t>privacy</w:t>
                  </w:r>
                  <w:r>
                    <w:rPr>
                      <w:rFonts w:ascii="Segoe UI"/>
                      <w:color w:val="452A70"/>
                      <w:spacing w:val="-6"/>
                      <w:sz w:val="20"/>
                    </w:rPr>
                    <w:t> </w:t>
                  </w:r>
                  <w:r>
                    <w:rPr>
                      <w:rFonts w:ascii="Segoe UI"/>
                      <w:color w:val="452A70"/>
                      <w:sz w:val="20"/>
                    </w:rPr>
                    <w:t>framework,</w:t>
                  </w:r>
                  <w:r>
                    <w:rPr>
                      <w:rFonts w:ascii="Segoe UI"/>
                      <w:color w:val="452A70"/>
                      <w:spacing w:val="-6"/>
                      <w:sz w:val="20"/>
                    </w:rPr>
                    <w:t> </w:t>
                  </w:r>
                  <w:r>
                    <w:rPr>
                      <w:rFonts w:ascii="Segoe UI"/>
                      <w:color w:val="452A70"/>
                      <w:sz w:val="20"/>
                    </w:rPr>
                    <w:t>transition</w:t>
                  </w:r>
                  <w:r>
                    <w:rPr>
                      <w:rFonts w:ascii="Segoe UI"/>
                      <w:color w:val="452A70"/>
                      <w:spacing w:val="-7"/>
                      <w:sz w:val="20"/>
                    </w:rPr>
                    <w:t> </w:t>
                  </w:r>
                  <w:r>
                    <w:rPr>
                      <w:rFonts w:ascii="Segoe UI"/>
                      <w:color w:val="452A70"/>
                      <w:spacing w:val="-1"/>
                      <w:sz w:val="20"/>
                    </w:rPr>
                    <w:t>support</w:t>
                  </w:r>
                  <w:r>
                    <w:rPr>
                      <w:rFonts w:ascii="Segoe UI"/>
                      <w:color w:val="452A70"/>
                      <w:spacing w:val="22"/>
                      <w:w w:val="99"/>
                      <w:sz w:val="20"/>
                    </w:rPr>
                    <w:t> </w:t>
                  </w:r>
                  <w:r>
                    <w:rPr>
                      <w:rFonts w:ascii="Segoe UI"/>
                      <w:color w:val="452A70"/>
                      <w:sz w:val="20"/>
                    </w:rPr>
                    <w:t>units</w:t>
                  </w:r>
                  <w:r>
                    <w:rPr>
                      <w:rFonts w:ascii="Segoe UI"/>
                      <w:color w:val="452A70"/>
                      <w:spacing w:val="-4"/>
                      <w:sz w:val="20"/>
                    </w:rPr>
                    <w:t> </w:t>
                  </w:r>
                  <w:r>
                    <w:rPr>
                      <w:rFonts w:ascii="Segoe UI"/>
                      <w:color w:val="452A70"/>
                      <w:sz w:val="20"/>
                    </w:rPr>
                    <w:t>to</w:t>
                  </w:r>
                  <w:r>
                    <w:rPr>
                      <w:rFonts w:ascii="Segoe UI"/>
                      <w:color w:val="452A70"/>
                      <w:spacing w:val="-2"/>
                      <w:sz w:val="20"/>
                    </w:rPr>
                    <w:t> </w:t>
                  </w:r>
                  <w:r>
                    <w:rPr>
                      <w:rFonts w:ascii="Segoe UI"/>
                      <w:color w:val="452A70"/>
                      <w:sz w:val="20"/>
                    </w:rPr>
                    <w:t>communicate</w:t>
                  </w:r>
                  <w:r>
                    <w:rPr>
                      <w:rFonts w:ascii="Segoe UI"/>
                      <w:color w:val="452A70"/>
                      <w:spacing w:val="-4"/>
                      <w:sz w:val="20"/>
                    </w:rPr>
                    <w:t> </w:t>
                  </w:r>
                  <w:r>
                    <w:rPr>
                      <w:rFonts w:ascii="Segoe UI"/>
                      <w:color w:val="452A70"/>
                      <w:sz w:val="20"/>
                    </w:rPr>
                    <w:t>directly</w:t>
                  </w:r>
                  <w:r>
                    <w:rPr>
                      <w:rFonts w:ascii="Segoe UI"/>
                      <w:color w:val="452A70"/>
                      <w:spacing w:val="-3"/>
                      <w:sz w:val="20"/>
                    </w:rPr>
                    <w:t> </w:t>
                  </w:r>
                  <w:r>
                    <w:rPr>
                      <w:rFonts w:ascii="Segoe UI"/>
                      <w:color w:val="452A70"/>
                      <w:sz w:val="20"/>
                    </w:rPr>
                    <w:t>with</w:t>
                  </w:r>
                  <w:r>
                    <w:rPr>
                      <w:rFonts w:ascii="Segoe UI"/>
                      <w:color w:val="452A70"/>
                      <w:spacing w:val="-4"/>
                      <w:sz w:val="20"/>
                    </w:rPr>
                    <w:t> </w:t>
                  </w:r>
                  <w:r>
                    <w:rPr>
                      <w:rFonts w:ascii="Segoe UI"/>
                      <w:color w:val="452A70"/>
                      <w:sz w:val="20"/>
                    </w:rPr>
                    <w:t>the</w:t>
                  </w:r>
                  <w:r>
                    <w:rPr>
                      <w:rFonts w:ascii="Segoe UI"/>
                      <w:color w:val="452A70"/>
                      <w:spacing w:val="-3"/>
                      <w:sz w:val="20"/>
                    </w:rPr>
                    <w:t> </w:t>
                  </w:r>
                  <w:r>
                    <w:rPr>
                      <w:rFonts w:ascii="Segoe UI"/>
                      <w:color w:val="452A70"/>
                      <w:spacing w:val="-1"/>
                      <w:sz w:val="20"/>
                    </w:rPr>
                    <w:t>DHS</w:t>
                  </w:r>
                  <w:r>
                    <w:rPr>
                      <w:rFonts w:ascii="Segoe UI"/>
                      <w:color w:val="452A70"/>
                      <w:spacing w:val="-3"/>
                      <w:sz w:val="20"/>
                    </w:rPr>
                    <w:t> </w:t>
                  </w:r>
                  <w:r>
                    <w:rPr>
                      <w:rFonts w:ascii="Segoe UI"/>
                      <w:color w:val="452A70"/>
                      <w:sz w:val="20"/>
                    </w:rPr>
                    <w:t>ABSTUDY</w:t>
                  </w:r>
                  <w:r>
                    <w:rPr>
                      <w:rFonts w:ascii="Segoe UI"/>
                      <w:color w:val="452A70"/>
                      <w:spacing w:val="-3"/>
                      <w:sz w:val="20"/>
                    </w:rPr>
                    <w:t> </w:t>
                  </w:r>
                  <w:r>
                    <w:rPr>
                      <w:rFonts w:ascii="Segoe UI"/>
                      <w:color w:val="452A70"/>
                      <w:sz w:val="20"/>
                    </w:rPr>
                    <w:t>travel</w:t>
                  </w:r>
                  <w:r>
                    <w:rPr>
                      <w:rFonts w:ascii="Segoe UI"/>
                      <w:color w:val="452A70"/>
                      <w:spacing w:val="-4"/>
                      <w:sz w:val="20"/>
                    </w:rPr>
                    <w:t> </w:t>
                  </w:r>
                  <w:r>
                    <w:rPr>
                      <w:rFonts w:ascii="Segoe UI"/>
                      <w:color w:val="452A70"/>
                      <w:sz w:val="20"/>
                    </w:rPr>
                    <w:t>team</w:t>
                  </w:r>
                  <w:r>
                    <w:rPr>
                      <w:rFonts w:ascii="Segoe UI"/>
                      <w:color w:val="452A70"/>
                      <w:spacing w:val="-3"/>
                      <w:sz w:val="20"/>
                    </w:rPr>
                    <w:t> </w:t>
                  </w:r>
                  <w:r>
                    <w:rPr>
                      <w:rFonts w:ascii="Segoe UI"/>
                      <w:color w:val="452A70"/>
                      <w:sz w:val="20"/>
                    </w:rPr>
                    <w:t>or</w:t>
                  </w:r>
                  <w:r>
                    <w:rPr>
                      <w:rFonts w:ascii="Segoe UI"/>
                      <w:color w:val="452A70"/>
                      <w:spacing w:val="-3"/>
                      <w:sz w:val="20"/>
                    </w:rPr>
                    <w:t> </w:t>
                  </w:r>
                  <w:r>
                    <w:rPr>
                      <w:rFonts w:ascii="Segoe UI"/>
                      <w:color w:val="452A70"/>
                      <w:spacing w:val="-4"/>
                      <w:sz w:val="20"/>
                    </w:rPr>
                    <w:t>QB</w:t>
                  </w:r>
                  <w:r>
                    <w:rPr>
                      <w:rFonts w:ascii="Segoe UI"/>
                      <w:color w:val="452A70"/>
                      <w:spacing w:val="-5"/>
                      <w:sz w:val="20"/>
                    </w:rPr>
                    <w:t>T</w:t>
                  </w:r>
                  <w:r>
                    <w:rPr>
                      <w:rFonts w:ascii="Segoe UI"/>
                      <w:color w:val="452A70"/>
                      <w:spacing w:val="-3"/>
                      <w:sz w:val="20"/>
                    </w:rPr>
                    <w:t> </w:t>
                  </w:r>
                  <w:r>
                    <w:rPr>
                      <w:rFonts w:ascii="Segoe UI"/>
                      <w:color w:val="452A70"/>
                      <w:spacing w:val="-1"/>
                      <w:sz w:val="20"/>
                    </w:rPr>
                    <w:t>in</w:t>
                  </w:r>
                  <w:r>
                    <w:rPr>
                      <w:rFonts w:ascii="Segoe UI"/>
                      <w:color w:val="452A70"/>
                      <w:spacing w:val="-2"/>
                      <w:sz w:val="20"/>
                    </w:rPr>
                    <w:t> </w:t>
                  </w:r>
                  <w:r>
                    <w:rPr>
                      <w:rFonts w:ascii="Segoe UI"/>
                      <w:color w:val="452A70"/>
                      <w:sz w:val="20"/>
                    </w:rPr>
                    <w:t>relation</w:t>
                  </w:r>
                  <w:r>
                    <w:rPr>
                      <w:rFonts w:ascii="Segoe UI"/>
                      <w:color w:val="452A70"/>
                      <w:spacing w:val="-4"/>
                      <w:sz w:val="20"/>
                    </w:rPr>
                    <w:t> </w:t>
                  </w:r>
                  <w:r>
                    <w:rPr>
                      <w:rFonts w:ascii="Segoe UI"/>
                      <w:color w:val="452A70"/>
                      <w:sz w:val="20"/>
                    </w:rPr>
                    <w:t>to</w:t>
                  </w:r>
                  <w:r>
                    <w:rPr>
                      <w:rFonts w:ascii="Segoe UI"/>
                      <w:color w:val="452A70"/>
                      <w:spacing w:val="-2"/>
                      <w:sz w:val="20"/>
                    </w:rPr>
                    <w:t> </w:t>
                  </w:r>
                  <w:r>
                    <w:rPr>
                      <w:rFonts w:ascii="Segoe UI"/>
                      <w:color w:val="452A70"/>
                      <w:sz w:val="20"/>
                    </w:rPr>
                    <w:t>the</w:t>
                  </w:r>
                  <w:r>
                    <w:rPr>
                      <w:rFonts w:ascii="Segoe UI"/>
                      <w:color w:val="452A70"/>
                      <w:spacing w:val="24"/>
                      <w:w w:val="99"/>
                      <w:sz w:val="20"/>
                    </w:rPr>
                    <w:t> </w:t>
                  </w:r>
                  <w:r>
                    <w:rPr>
                      <w:rFonts w:ascii="Segoe UI"/>
                      <w:color w:val="452A70"/>
                      <w:sz w:val="20"/>
                    </w:rPr>
                    <w:t>travel</w:t>
                  </w:r>
                  <w:r>
                    <w:rPr>
                      <w:rFonts w:ascii="Segoe UI"/>
                      <w:color w:val="452A70"/>
                      <w:spacing w:val="-8"/>
                      <w:sz w:val="20"/>
                    </w:rPr>
                    <w:t> </w:t>
                  </w:r>
                  <w:r>
                    <w:rPr>
                      <w:rFonts w:ascii="Segoe UI"/>
                      <w:color w:val="452A70"/>
                      <w:sz w:val="20"/>
                    </w:rPr>
                    <w:t>arrangements</w:t>
                  </w:r>
                  <w:r>
                    <w:rPr>
                      <w:rFonts w:ascii="Segoe UI"/>
                      <w:color w:val="452A70"/>
                      <w:spacing w:val="-8"/>
                      <w:sz w:val="20"/>
                    </w:rPr>
                    <w:t> </w:t>
                  </w:r>
                  <w:r>
                    <w:rPr>
                      <w:rFonts w:ascii="Segoe UI"/>
                      <w:color w:val="452A70"/>
                      <w:sz w:val="20"/>
                    </w:rPr>
                    <w:t>for</w:t>
                  </w:r>
                  <w:r>
                    <w:rPr>
                      <w:rFonts w:ascii="Segoe UI"/>
                      <w:color w:val="452A70"/>
                      <w:spacing w:val="-7"/>
                      <w:sz w:val="20"/>
                    </w:rPr>
                    <w:t> </w:t>
                  </w:r>
                  <w:r>
                    <w:rPr>
                      <w:rFonts w:ascii="Segoe UI"/>
                      <w:color w:val="452A70"/>
                      <w:sz w:val="20"/>
                    </w:rPr>
                    <w:t>a</w:t>
                  </w:r>
                  <w:r>
                    <w:rPr>
                      <w:rFonts w:ascii="Segoe UI"/>
                      <w:color w:val="452A70"/>
                      <w:spacing w:val="-7"/>
                      <w:sz w:val="20"/>
                    </w:rPr>
                    <w:t> </w:t>
                  </w:r>
                  <w:r>
                    <w:rPr>
                      <w:rFonts w:ascii="Segoe UI"/>
                      <w:color w:val="452A70"/>
                      <w:sz w:val="20"/>
                    </w:rPr>
                    <w:t>transition</w:t>
                  </w:r>
                  <w:r>
                    <w:rPr>
                      <w:rFonts w:ascii="Segoe UI"/>
                      <w:color w:val="452A70"/>
                      <w:spacing w:val="-8"/>
                      <w:sz w:val="20"/>
                    </w:rPr>
                    <w:t> </w:t>
                  </w:r>
                  <w:r>
                    <w:rPr>
                      <w:rFonts w:ascii="Segoe UI"/>
                      <w:color w:val="452A70"/>
                      <w:sz w:val="20"/>
                    </w:rPr>
                    <w:t>unit</w:t>
                  </w:r>
                  <w:r>
                    <w:rPr>
                      <w:rFonts w:ascii="Segoe UI"/>
                      <w:color w:val="452A70"/>
                      <w:spacing w:val="-8"/>
                      <w:sz w:val="20"/>
                    </w:rPr>
                    <w:t> </w:t>
                  </w:r>
                  <w:r>
                    <w:rPr>
                      <w:rFonts w:ascii="Segoe UI"/>
                      <w:color w:val="452A70"/>
                      <w:spacing w:val="-1"/>
                      <w:sz w:val="20"/>
                    </w:rPr>
                    <w:t>supported</w:t>
                  </w:r>
                  <w:r>
                    <w:rPr>
                      <w:rFonts w:ascii="Segoe UI"/>
                      <w:color w:val="452A70"/>
                      <w:spacing w:val="-6"/>
                      <w:sz w:val="20"/>
                    </w:rPr>
                    <w:t> </w:t>
                  </w:r>
                  <w:r>
                    <w:rPr>
                      <w:rFonts w:ascii="Segoe UI"/>
                      <w:color w:val="452A70"/>
                      <w:spacing w:val="-1"/>
                      <w:sz w:val="20"/>
                    </w:rPr>
                    <w:t>student.</w:t>
                  </w:r>
                  <w:r>
                    <w:rPr>
                      <w:rFonts w:ascii="Segoe UI"/>
                      <w:sz w:val="20"/>
                    </w:rPr>
                  </w:r>
                </w:p>
              </w:txbxContent>
            </v:textbox>
            <v:fill type="solid"/>
            <v:stroke dashstyle="dash"/>
            <w10:wrap type="none"/>
          </v:shape>
        </w:pict>
      </w:r>
      <w:r>
        <w:rPr>
          <w:rFonts w:ascii="Segoe UI" w:hAnsi="Segoe UI" w:cs="Segoe UI" w:eastAsia="Segoe UI"/>
          <w:sz w:val="20"/>
          <w:szCs w:val="20"/>
        </w:rPr>
      </w:r>
    </w:p>
    <w:p>
      <w:pPr>
        <w:spacing w:after="0" w:line="200" w:lineRule="atLeast"/>
        <w:rPr>
          <w:rFonts w:ascii="Segoe UI" w:hAnsi="Segoe UI" w:cs="Segoe UI" w:eastAsia="Segoe UI"/>
          <w:sz w:val="20"/>
          <w:szCs w:val="20"/>
        </w:rPr>
        <w:sectPr>
          <w:type w:val="continuous"/>
          <w:pgSz w:w="11910" w:h="16840"/>
          <w:pgMar w:top="1580" w:bottom="280" w:left="1260" w:right="1600"/>
        </w:sectPr>
      </w:pPr>
    </w:p>
    <w:p>
      <w:pPr>
        <w:spacing w:line="240" w:lineRule="auto" w:before="0"/>
        <w:rPr>
          <w:rFonts w:ascii="Segoe UI" w:hAnsi="Segoe UI" w:cs="Segoe UI" w:eastAsia="Segoe UI"/>
          <w:sz w:val="20"/>
          <w:szCs w:val="20"/>
        </w:rPr>
      </w:pPr>
    </w:p>
    <w:p>
      <w:pPr>
        <w:spacing w:line="240" w:lineRule="auto" w:before="8"/>
        <w:rPr>
          <w:rFonts w:ascii="Segoe UI" w:hAnsi="Segoe UI" w:cs="Segoe UI" w:eastAsia="Segoe UI"/>
          <w:sz w:val="21"/>
          <w:szCs w:val="21"/>
        </w:rPr>
      </w:pPr>
    </w:p>
    <w:p>
      <w:pPr>
        <w:spacing w:after="0" w:line="240" w:lineRule="auto"/>
        <w:rPr>
          <w:rFonts w:ascii="Segoe UI" w:hAnsi="Segoe UI" w:cs="Segoe UI" w:eastAsia="Segoe UI"/>
          <w:sz w:val="21"/>
          <w:szCs w:val="21"/>
        </w:rPr>
        <w:sectPr>
          <w:pgSz w:w="11910" w:h="16840"/>
          <w:pgMar w:header="0" w:footer="691" w:top="1580" w:bottom="880" w:left="1420" w:right="1300"/>
        </w:sectPr>
      </w:pPr>
    </w:p>
    <w:p>
      <w:pPr>
        <w:pStyle w:val="BodyText"/>
        <w:spacing w:line="250" w:lineRule="exact" w:before="62"/>
        <w:ind w:left="280" w:right="0"/>
        <w:jc w:val="left"/>
      </w:pPr>
      <w:r>
        <w:rPr>
          <w:color w:val="231F20"/>
          <w:spacing w:val="-1"/>
        </w:rPr>
        <w:t>Boarding</w:t>
      </w:r>
      <w:r>
        <w:rPr>
          <w:color w:val="231F20"/>
          <w:spacing w:val="-10"/>
        </w:rPr>
        <w:t> </w:t>
      </w:r>
      <w:r>
        <w:rPr>
          <w:color w:val="231F20"/>
        </w:rPr>
        <w:t>providers</w:t>
      </w:r>
      <w:r>
        <w:rPr>
          <w:color w:val="231F20"/>
          <w:spacing w:val="-10"/>
        </w:rPr>
        <w:t> </w:t>
      </w:r>
      <w:r>
        <w:rPr>
          <w:color w:val="231F20"/>
        </w:rPr>
        <w:t>also</w:t>
      </w:r>
      <w:r>
        <w:rPr>
          <w:color w:val="231F20"/>
          <w:spacing w:val="-10"/>
        </w:rPr>
        <w:t> </w:t>
      </w:r>
      <w:r>
        <w:rPr>
          <w:color w:val="231F20"/>
        </w:rPr>
        <w:t>recommended</w:t>
      </w:r>
      <w:r>
        <w:rPr>
          <w:color w:val="231F20"/>
          <w:spacing w:val="-9"/>
        </w:rPr>
        <w:t> </w:t>
      </w:r>
      <w:r>
        <w:rPr>
          <w:color w:val="231F20"/>
          <w:spacing w:val="-9"/>
        </w:rPr>
      </w:r>
      <w:r>
        <w:rPr>
          <w:color w:val="231F20"/>
        </w:rPr>
        <w:t>changes</w:t>
      </w:r>
      <w:r>
        <w:rPr>
          <w:color w:val="231F20"/>
          <w:spacing w:val="21"/>
        </w:rPr>
        <w:t> </w:t>
      </w:r>
      <w:r>
        <w:rPr>
          <w:color w:val="231F20"/>
        </w:rPr>
        <w:t>to</w:t>
      </w:r>
      <w:r>
        <w:rPr>
          <w:color w:val="231F20"/>
          <w:spacing w:val="-3"/>
        </w:rPr>
        <w:t> </w:t>
      </w:r>
      <w:r>
        <w:rPr>
          <w:color w:val="231F20"/>
        </w:rPr>
        <w:t>ABSTUDY</w:t>
      </w:r>
      <w:r>
        <w:rPr>
          <w:color w:val="231F20"/>
          <w:spacing w:val="-4"/>
        </w:rPr>
        <w:t> </w:t>
      </w:r>
      <w:r>
        <w:rPr>
          <w:color w:val="231F20"/>
        </w:rPr>
        <w:t>travel</w:t>
      </w:r>
      <w:r>
        <w:rPr>
          <w:color w:val="231F20"/>
          <w:spacing w:val="-4"/>
        </w:rPr>
        <w:t> </w:t>
      </w:r>
      <w:r>
        <w:rPr>
          <w:color w:val="231F20"/>
        </w:rPr>
        <w:t>policy</w:t>
      </w:r>
      <w:r>
        <w:rPr>
          <w:color w:val="231F20"/>
          <w:spacing w:val="-4"/>
        </w:rPr>
        <w:t> </w:t>
      </w:r>
      <w:r>
        <w:rPr>
          <w:color w:val="231F20"/>
        </w:rPr>
        <w:t>to</w:t>
      </w:r>
      <w:r>
        <w:rPr>
          <w:color w:val="231F20"/>
          <w:spacing w:val="-3"/>
        </w:rPr>
        <w:t> </w:t>
      </w:r>
      <w:r>
        <w:rPr>
          <w:color w:val="231F20"/>
        </w:rPr>
        <w:t>permit</w:t>
      </w:r>
      <w:r>
        <w:rPr>
          <w:color w:val="231F20"/>
          <w:w w:val="99"/>
        </w:rPr>
        <w:t> </w:t>
      </w:r>
      <w:r>
        <w:rPr>
          <w:color w:val="231F20"/>
          <w:w w:val="99"/>
        </w:rPr>
        <w:t>     </w:t>
      </w:r>
      <w:r>
        <w:rPr>
          <w:rFonts w:ascii="Segoe UI"/>
          <w:color w:val="231F20"/>
        </w:rPr>
        <w:t>increased flexibility for weekend travel</w:t>
      </w:r>
      <w:r>
        <w:rPr>
          <w:rFonts w:ascii="Segoe UI"/>
          <w:color w:val="231F20"/>
        </w:rPr>
        <w:t> </w:t>
      </w:r>
      <w:r>
        <w:rPr>
          <w:color w:val="231F20"/>
        </w:rPr>
        <w:t>(currently</w:t>
      </w:r>
      <w:r>
        <w:rPr>
          <w:color w:val="231F20"/>
          <w:spacing w:val="-7"/>
        </w:rPr>
        <w:t> </w:t>
      </w:r>
      <w:r>
        <w:rPr>
          <w:color w:val="231F20"/>
        </w:rPr>
        <w:t>only</w:t>
      </w:r>
      <w:r>
        <w:rPr>
          <w:color w:val="231F20"/>
          <w:spacing w:val="-7"/>
        </w:rPr>
        <w:t> </w:t>
      </w:r>
      <w:r>
        <w:rPr>
          <w:color w:val="231F20"/>
          <w:spacing w:val="-1"/>
        </w:rPr>
        <w:t>in</w:t>
      </w:r>
      <w:r>
        <w:rPr>
          <w:color w:val="231F20"/>
          <w:spacing w:val="-6"/>
        </w:rPr>
        <w:t> </w:t>
      </w:r>
      <w:r>
        <w:rPr>
          <w:color w:val="231F20"/>
          <w:spacing w:val="-1"/>
        </w:rPr>
        <w:t>limited</w:t>
      </w:r>
      <w:r>
        <w:rPr>
          <w:color w:val="231F20"/>
          <w:spacing w:val="-5"/>
        </w:rPr>
        <w:t> </w:t>
      </w:r>
      <w:r>
        <w:rPr>
          <w:color w:val="231F20"/>
        </w:rPr>
        <w:t>circumstances)</w:t>
      </w:r>
      <w:r>
        <w:rPr>
          <w:color w:val="231F20"/>
          <w:spacing w:val="-7"/>
        </w:rPr>
        <w:t> </w:t>
      </w:r>
      <w:r>
        <w:rPr>
          <w:color w:val="231F20"/>
        </w:rPr>
        <w:t>and</w:t>
      </w:r>
      <w:r>
        <w:rPr>
          <w:color w:val="231F20"/>
          <w:spacing w:val="23"/>
          <w:w w:val="99"/>
        </w:rPr>
        <w:t> </w:t>
      </w:r>
      <w:r>
        <w:rPr>
          <w:color w:val="231F20"/>
        </w:rPr>
        <w:t>travel</w:t>
      </w:r>
      <w:r>
        <w:rPr>
          <w:color w:val="231F20"/>
          <w:spacing w:val="-5"/>
        </w:rPr>
        <w:t> </w:t>
      </w:r>
      <w:r>
        <w:rPr>
          <w:color w:val="231F20"/>
        </w:rPr>
        <w:t>home</w:t>
      </w:r>
      <w:r>
        <w:rPr>
          <w:color w:val="231F20"/>
          <w:spacing w:val="-4"/>
        </w:rPr>
        <w:t> </w:t>
      </w:r>
      <w:r>
        <w:rPr>
          <w:color w:val="231F20"/>
        </w:rPr>
        <w:t>when</w:t>
      </w:r>
      <w:r>
        <w:rPr>
          <w:color w:val="231F20"/>
          <w:spacing w:val="-4"/>
        </w:rPr>
        <w:t> </w:t>
      </w:r>
      <w:r>
        <w:rPr>
          <w:color w:val="231F20"/>
        </w:rPr>
        <w:t>a</w:t>
      </w:r>
      <w:r>
        <w:rPr>
          <w:color w:val="231F20"/>
          <w:spacing w:val="-3"/>
        </w:rPr>
        <w:t> </w:t>
      </w:r>
      <w:r>
        <w:rPr>
          <w:color w:val="231F20"/>
          <w:spacing w:val="-1"/>
        </w:rPr>
        <w:t>student</w:t>
      </w:r>
      <w:r>
        <w:rPr>
          <w:color w:val="231F20"/>
          <w:spacing w:val="-3"/>
        </w:rPr>
        <w:t> </w:t>
      </w:r>
      <w:r>
        <w:rPr>
          <w:color w:val="231F20"/>
          <w:spacing w:val="-1"/>
        </w:rPr>
        <w:t>is</w:t>
      </w:r>
      <w:r>
        <w:rPr>
          <w:color w:val="231F20"/>
          <w:spacing w:val="-4"/>
        </w:rPr>
        <w:t> </w:t>
      </w:r>
      <w:r>
        <w:rPr>
          <w:color w:val="231F20"/>
          <w:spacing w:val="-1"/>
        </w:rPr>
        <w:t>suspended.</w:t>
      </w:r>
      <w:r>
        <w:rPr>
          <w:rFonts w:ascii="Segoe UI Semibold"/>
          <w:b/>
          <w:color w:val="231F20"/>
          <w:spacing w:val="-1"/>
          <w:position w:val="7"/>
          <w:sz w:val="11"/>
        </w:rPr>
        <w:t>112</w:t>
      </w:r>
      <w:r>
        <w:rPr>
          <w:rFonts w:ascii="Segoe UI Semibold"/>
          <w:b/>
          <w:color w:val="231F20"/>
          <w:spacing w:val="23"/>
          <w:w w:val="106"/>
          <w:position w:val="7"/>
          <w:sz w:val="11"/>
        </w:rPr>
        <w:t> </w:t>
      </w:r>
      <w:r>
        <w:rPr>
          <w:color w:val="231F20"/>
          <w:spacing w:val="-1"/>
        </w:rPr>
        <w:t>Currently,</w:t>
      </w:r>
      <w:r>
        <w:rPr>
          <w:color w:val="231F20"/>
          <w:spacing w:val="-4"/>
        </w:rPr>
        <w:t> </w:t>
      </w:r>
      <w:r>
        <w:rPr>
          <w:color w:val="231F20"/>
        </w:rPr>
        <w:t>ABSTUDY</w:t>
      </w:r>
      <w:r>
        <w:rPr>
          <w:color w:val="231F20"/>
          <w:spacing w:val="-4"/>
        </w:rPr>
        <w:t> </w:t>
      </w:r>
      <w:r>
        <w:rPr>
          <w:color w:val="231F20"/>
        </w:rPr>
        <w:t>travel</w:t>
      </w:r>
      <w:r>
        <w:rPr>
          <w:color w:val="231F20"/>
          <w:spacing w:val="-4"/>
        </w:rPr>
        <w:t> </w:t>
      </w:r>
      <w:r>
        <w:rPr>
          <w:color w:val="231F20"/>
        </w:rPr>
        <w:t>for</w:t>
      </w:r>
      <w:r>
        <w:rPr>
          <w:color w:val="231F20"/>
          <w:spacing w:val="-3"/>
        </w:rPr>
        <w:t> </w:t>
      </w:r>
      <w:r>
        <w:rPr>
          <w:color w:val="231F20"/>
        </w:rPr>
        <w:t>exclusions</w:t>
      </w:r>
      <w:r>
        <w:rPr>
          <w:color w:val="231F20"/>
          <w:spacing w:val="-4"/>
        </w:rPr>
        <w:t> </w:t>
      </w:r>
      <w:r>
        <w:rPr>
          <w:color w:val="231F20"/>
          <w:spacing w:val="-1"/>
        </w:rPr>
        <w:t>is</w:t>
      </w:r>
      <w:r>
        <w:rPr>
          <w:color w:val="231F20"/>
          <w:spacing w:val="21"/>
        </w:rPr>
        <w:t> </w:t>
      </w:r>
      <w:r>
        <w:rPr>
          <w:color w:val="231F20"/>
          <w:spacing w:val="-1"/>
        </w:rPr>
        <w:t>limited</w:t>
      </w:r>
      <w:r>
        <w:rPr>
          <w:color w:val="231F20"/>
          <w:spacing w:val="-3"/>
        </w:rPr>
        <w:t> </w:t>
      </w:r>
      <w:r>
        <w:rPr>
          <w:color w:val="231F20"/>
        </w:rPr>
        <w:t>to</w:t>
      </w:r>
      <w:r>
        <w:rPr>
          <w:color w:val="231F20"/>
          <w:spacing w:val="-2"/>
        </w:rPr>
        <w:t> </w:t>
      </w:r>
      <w:r>
        <w:rPr>
          <w:color w:val="231F20"/>
        </w:rPr>
        <w:t>expulsions,</w:t>
      </w:r>
      <w:r>
        <w:rPr>
          <w:color w:val="231F20"/>
          <w:spacing w:val="-4"/>
        </w:rPr>
        <w:t> </w:t>
      </w:r>
      <w:r>
        <w:rPr>
          <w:color w:val="231F20"/>
        </w:rPr>
        <w:t>and</w:t>
      </w:r>
      <w:r>
        <w:rPr>
          <w:color w:val="231F20"/>
          <w:spacing w:val="-3"/>
        </w:rPr>
        <w:t> </w:t>
      </w:r>
      <w:r>
        <w:rPr>
          <w:color w:val="231F20"/>
        </w:rPr>
        <w:t>only</w:t>
      </w:r>
      <w:r>
        <w:rPr>
          <w:color w:val="231F20"/>
          <w:spacing w:val="-4"/>
        </w:rPr>
        <w:t> </w:t>
      </w:r>
      <w:r>
        <w:rPr>
          <w:color w:val="231F20"/>
          <w:spacing w:val="-1"/>
        </w:rPr>
        <w:t>in</w:t>
      </w:r>
      <w:r>
        <w:rPr>
          <w:color w:val="231F20"/>
          <w:spacing w:val="-2"/>
        </w:rPr>
        <w:t> </w:t>
      </w:r>
      <w:r>
        <w:rPr>
          <w:color w:val="231F20"/>
        </w:rPr>
        <w:t>certain</w:t>
      </w:r>
      <w:r>
        <w:rPr>
          <w:color w:val="231F20"/>
          <w:spacing w:val="23"/>
          <w:w w:val="99"/>
        </w:rPr>
        <w:t> </w:t>
      </w:r>
      <w:r>
        <w:rPr>
          <w:color w:val="231F20"/>
        </w:rPr>
        <w:t>circumstances.</w:t>
      </w:r>
      <w:r>
        <w:rPr>
          <w:color w:val="231F20"/>
          <w:spacing w:val="-5"/>
        </w:rPr>
        <w:t> </w:t>
      </w:r>
      <w:r>
        <w:rPr>
          <w:color w:val="231F20"/>
        </w:rPr>
        <w:t>This</w:t>
      </w:r>
      <w:r>
        <w:rPr>
          <w:color w:val="231F20"/>
          <w:spacing w:val="-5"/>
        </w:rPr>
        <w:t> </w:t>
      </w:r>
      <w:r>
        <w:rPr>
          <w:color w:val="231F20"/>
          <w:spacing w:val="-1"/>
        </w:rPr>
        <w:t>limits</w:t>
      </w:r>
      <w:r>
        <w:rPr>
          <w:color w:val="231F20"/>
          <w:spacing w:val="-4"/>
        </w:rPr>
        <w:t> </w:t>
      </w:r>
      <w:r>
        <w:rPr>
          <w:color w:val="231F20"/>
        </w:rPr>
        <w:t>the</w:t>
      </w:r>
      <w:r>
        <w:rPr>
          <w:color w:val="231F20"/>
          <w:spacing w:val="-5"/>
        </w:rPr>
        <w:t> </w:t>
      </w:r>
      <w:r>
        <w:rPr>
          <w:color w:val="231F20"/>
        </w:rPr>
        <w:t>ability</w:t>
      </w:r>
      <w:r>
        <w:rPr>
          <w:color w:val="231F20"/>
          <w:spacing w:val="-5"/>
        </w:rPr>
        <w:t> </w:t>
      </w:r>
      <w:r>
        <w:rPr>
          <w:color w:val="231F20"/>
        </w:rPr>
        <w:t>of</w:t>
      </w:r>
      <w:r>
        <w:rPr>
          <w:color w:val="231F20"/>
          <w:spacing w:val="-4"/>
        </w:rPr>
        <w:t> </w:t>
      </w:r>
      <w:r>
        <w:rPr>
          <w:color w:val="231F20"/>
        </w:rPr>
        <w:t>a</w:t>
      </w:r>
      <w:r>
        <w:rPr>
          <w:color w:val="231F20"/>
          <w:spacing w:val="21"/>
          <w:w w:val="99"/>
        </w:rPr>
        <w:t> </w:t>
      </w:r>
      <w:r>
        <w:rPr>
          <w:color w:val="231F20"/>
        </w:rPr>
        <w:t>boarding</w:t>
      </w:r>
      <w:r>
        <w:rPr>
          <w:color w:val="231F20"/>
          <w:spacing w:val="-6"/>
        </w:rPr>
        <w:t> </w:t>
      </w:r>
      <w:r>
        <w:rPr>
          <w:color w:val="231F20"/>
        </w:rPr>
        <w:t>provider</w:t>
      </w:r>
      <w:r>
        <w:rPr>
          <w:color w:val="231F20"/>
          <w:spacing w:val="-5"/>
        </w:rPr>
        <w:t> </w:t>
      </w:r>
      <w:r>
        <w:rPr>
          <w:color w:val="231F20"/>
        </w:rPr>
        <w:t>to</w:t>
      </w:r>
      <w:r>
        <w:rPr>
          <w:color w:val="231F20"/>
          <w:spacing w:val="-4"/>
        </w:rPr>
        <w:t> </w:t>
      </w:r>
      <w:r>
        <w:rPr>
          <w:color w:val="231F20"/>
          <w:spacing w:val="-1"/>
        </w:rPr>
        <w:t>suspend</w:t>
      </w:r>
      <w:r>
        <w:rPr>
          <w:color w:val="231F20"/>
          <w:spacing w:val="-4"/>
        </w:rPr>
        <w:t> </w:t>
      </w:r>
      <w:r>
        <w:rPr>
          <w:color w:val="231F20"/>
        </w:rPr>
        <w:t>a</w:t>
      </w:r>
      <w:r>
        <w:rPr>
          <w:color w:val="231F20"/>
          <w:spacing w:val="-4"/>
        </w:rPr>
        <w:t> </w:t>
      </w:r>
      <w:r>
        <w:rPr>
          <w:color w:val="231F20"/>
          <w:spacing w:val="-1"/>
        </w:rPr>
        <w:t>student</w:t>
      </w:r>
      <w:r>
        <w:rPr>
          <w:color w:val="231F20"/>
          <w:spacing w:val="-4"/>
        </w:rPr>
        <w:t> </w:t>
      </w:r>
      <w:r>
        <w:rPr>
          <w:color w:val="231F20"/>
        </w:rPr>
        <w:t>as</w:t>
      </w:r>
      <w:r>
        <w:rPr>
          <w:color w:val="231F20"/>
          <w:spacing w:val="23"/>
        </w:rPr>
        <w:t> </w:t>
      </w:r>
      <w:r>
        <w:rPr>
          <w:rFonts w:ascii="Segoe UI"/>
          <w:color w:val="231F20"/>
        </w:rPr>
        <w:t>most parents do not have the financial capacity</w:t>
      </w:r>
      <w:r>
        <w:rPr>
          <w:rFonts w:ascii="Segoe UI"/>
          <w:color w:val="231F20"/>
        </w:rPr>
        <w:t> </w:t>
      </w:r>
      <w:r>
        <w:rPr>
          <w:color w:val="231F20"/>
        </w:rPr>
        <w:t>to</w:t>
      </w:r>
      <w:r>
        <w:rPr>
          <w:color w:val="231F20"/>
          <w:spacing w:val="-5"/>
        </w:rPr>
        <w:t> </w:t>
      </w:r>
      <w:r>
        <w:rPr>
          <w:color w:val="231F20"/>
        </w:rPr>
        <w:t>retrieve</w:t>
      </w:r>
      <w:r>
        <w:rPr>
          <w:color w:val="231F20"/>
          <w:spacing w:val="-5"/>
        </w:rPr>
        <w:t> </w:t>
      </w:r>
      <w:r>
        <w:rPr>
          <w:color w:val="231F20"/>
        </w:rPr>
        <w:t>a</w:t>
      </w:r>
      <w:r>
        <w:rPr>
          <w:color w:val="231F20"/>
          <w:spacing w:val="-5"/>
        </w:rPr>
        <w:t> </w:t>
      </w:r>
      <w:r>
        <w:rPr>
          <w:color w:val="231F20"/>
          <w:spacing w:val="-1"/>
        </w:rPr>
        <w:t>suspended</w:t>
      </w:r>
      <w:r>
        <w:rPr>
          <w:color w:val="231F20"/>
          <w:spacing w:val="-4"/>
        </w:rPr>
        <w:t> </w:t>
      </w:r>
      <w:r>
        <w:rPr>
          <w:color w:val="231F20"/>
          <w:spacing w:val="-1"/>
        </w:rPr>
        <w:t>student</w:t>
      </w:r>
      <w:r>
        <w:rPr>
          <w:color w:val="231F20"/>
          <w:spacing w:val="-4"/>
        </w:rPr>
        <w:t> </w:t>
      </w:r>
      <w:r>
        <w:rPr>
          <w:color w:val="231F20"/>
        </w:rPr>
        <w:t>or</w:t>
      </w:r>
      <w:r>
        <w:rPr>
          <w:color w:val="231F20"/>
          <w:spacing w:val="-5"/>
        </w:rPr>
        <w:t> </w:t>
      </w:r>
      <w:r>
        <w:rPr>
          <w:color w:val="231F20"/>
        </w:rPr>
        <w:t>pay</w:t>
      </w:r>
      <w:r>
        <w:rPr>
          <w:color w:val="231F20"/>
          <w:spacing w:val="-4"/>
        </w:rPr>
        <w:t> </w:t>
      </w:r>
      <w:r>
        <w:rPr>
          <w:color w:val="231F20"/>
        </w:rPr>
        <w:t>for</w:t>
      </w:r>
      <w:r>
        <w:rPr>
          <w:color w:val="231F20"/>
          <w:spacing w:val="-5"/>
        </w:rPr>
        <w:t> </w:t>
      </w:r>
      <w:r>
        <w:rPr>
          <w:color w:val="231F20"/>
        </w:rPr>
        <w:t>the</w:t>
      </w:r>
      <w:r>
        <w:rPr>
          <w:color w:val="231F20"/>
          <w:spacing w:val="23"/>
          <w:w w:val="99"/>
        </w:rPr>
        <w:t> </w:t>
      </w:r>
      <w:r>
        <w:rPr>
          <w:rFonts w:ascii="Segoe UI"/>
          <w:color w:val="231F20"/>
        </w:rPr>
        <w:t>cost of flights. The boarding provider must</w:t>
      </w:r>
      <w:r>
        <w:rPr>
          <w:rFonts w:ascii="Segoe UI"/>
          <w:color w:val="231F20"/>
        </w:rPr>
        <w:t> </w:t>
      </w:r>
      <w:r>
        <w:rPr>
          <w:color w:val="231F20"/>
        </w:rPr>
        <w:t>therefore</w:t>
      </w:r>
      <w:r>
        <w:rPr>
          <w:color w:val="231F20"/>
          <w:spacing w:val="-5"/>
        </w:rPr>
        <w:t> </w:t>
      </w:r>
      <w:r>
        <w:rPr>
          <w:color w:val="231F20"/>
        </w:rPr>
        <w:t>pay</w:t>
      </w:r>
      <w:r>
        <w:rPr>
          <w:color w:val="231F20"/>
          <w:spacing w:val="-3"/>
        </w:rPr>
        <w:t> </w:t>
      </w:r>
      <w:r>
        <w:rPr>
          <w:color w:val="231F20"/>
        </w:rPr>
        <w:t>for</w:t>
      </w:r>
      <w:r>
        <w:rPr>
          <w:color w:val="231F20"/>
          <w:spacing w:val="-4"/>
        </w:rPr>
        <w:t> </w:t>
      </w:r>
      <w:r>
        <w:rPr>
          <w:color w:val="231F20"/>
        </w:rPr>
        <w:t>the</w:t>
      </w:r>
      <w:r>
        <w:rPr>
          <w:color w:val="231F20"/>
          <w:spacing w:val="-4"/>
        </w:rPr>
        <w:t> </w:t>
      </w:r>
      <w:r>
        <w:rPr>
          <w:color w:val="231F20"/>
        </w:rPr>
        <w:t>cost</w:t>
      </w:r>
      <w:r>
        <w:rPr>
          <w:color w:val="231F20"/>
          <w:spacing w:val="-4"/>
        </w:rPr>
        <w:t> </w:t>
      </w:r>
      <w:r>
        <w:rPr>
          <w:color w:val="231F20"/>
        </w:rPr>
        <w:t>of</w:t>
      </w:r>
      <w:r>
        <w:rPr>
          <w:color w:val="231F20"/>
          <w:spacing w:val="-3"/>
        </w:rPr>
        <w:t> </w:t>
      </w:r>
      <w:r>
        <w:rPr>
          <w:color w:val="231F20"/>
        </w:rPr>
        <w:t>the</w:t>
      </w:r>
      <w:r>
        <w:rPr>
          <w:color w:val="231F20"/>
          <w:spacing w:val="-5"/>
        </w:rPr>
        <w:t> </w:t>
      </w:r>
      <w:r>
        <w:rPr>
          <w:color w:val="231F20"/>
        </w:rPr>
        <w:t>home</w:t>
      </w:r>
      <w:r>
        <w:rPr>
          <w:color w:val="231F20"/>
          <w:spacing w:val="-4"/>
        </w:rPr>
        <w:t> </w:t>
      </w:r>
      <w:r>
        <w:rPr>
          <w:color w:val="231F20"/>
        </w:rPr>
        <w:t>travel,</w:t>
      </w:r>
      <w:r>
        <w:rPr>
          <w:color w:val="231F20"/>
          <w:w w:val="99"/>
        </w:rPr>
        <w:t> </w:t>
      </w:r>
      <w:r>
        <w:rPr>
          <w:color w:val="231F20"/>
        </w:rPr>
        <w:t>expel</w:t>
      </w:r>
      <w:r>
        <w:rPr>
          <w:color w:val="231F20"/>
          <w:spacing w:val="-5"/>
        </w:rPr>
        <w:t> </w:t>
      </w:r>
      <w:r>
        <w:rPr>
          <w:color w:val="231F20"/>
        </w:rPr>
        <w:t>the</w:t>
      </w:r>
      <w:r>
        <w:rPr>
          <w:color w:val="231F20"/>
          <w:spacing w:val="-4"/>
        </w:rPr>
        <w:t> </w:t>
      </w:r>
      <w:r>
        <w:rPr>
          <w:color w:val="231F20"/>
          <w:spacing w:val="-1"/>
        </w:rPr>
        <w:t>student</w:t>
      </w:r>
      <w:r>
        <w:rPr>
          <w:color w:val="231F20"/>
          <w:spacing w:val="-4"/>
        </w:rPr>
        <w:t> </w:t>
      </w:r>
      <w:r>
        <w:rPr>
          <w:color w:val="231F20"/>
        </w:rPr>
        <w:t>to</w:t>
      </w:r>
      <w:r>
        <w:rPr>
          <w:color w:val="231F20"/>
          <w:spacing w:val="-3"/>
        </w:rPr>
        <w:t> </w:t>
      </w:r>
      <w:r>
        <w:rPr>
          <w:color w:val="231F20"/>
        </w:rPr>
        <w:t>access</w:t>
      </w:r>
      <w:r>
        <w:rPr>
          <w:color w:val="231F20"/>
          <w:spacing w:val="-5"/>
        </w:rPr>
        <w:t> </w:t>
      </w:r>
      <w:r>
        <w:rPr>
          <w:color w:val="231F20"/>
        </w:rPr>
        <w:t>ABSTUDY</w:t>
      </w:r>
      <w:r>
        <w:rPr>
          <w:color w:val="231F20"/>
          <w:spacing w:val="-4"/>
        </w:rPr>
        <w:t> </w:t>
      </w:r>
      <w:r>
        <w:rPr>
          <w:color w:val="231F20"/>
        </w:rPr>
        <w:t>travel</w:t>
      </w:r>
      <w:r>
        <w:rPr/>
      </w:r>
    </w:p>
    <w:p>
      <w:pPr>
        <w:pStyle w:val="BodyText"/>
        <w:spacing w:line="250" w:lineRule="exact"/>
        <w:ind w:left="280" w:right="40"/>
        <w:jc w:val="left"/>
      </w:pPr>
      <w:r>
        <w:rPr>
          <w:color w:val="231F20"/>
        </w:rPr>
        <w:t>or</w:t>
      </w:r>
      <w:r>
        <w:rPr>
          <w:color w:val="231F20"/>
          <w:spacing w:val="-6"/>
        </w:rPr>
        <w:t> </w:t>
      </w:r>
      <w:r>
        <w:rPr>
          <w:color w:val="231F20"/>
        </w:rPr>
        <w:t>retain</w:t>
      </w:r>
      <w:r>
        <w:rPr>
          <w:color w:val="231F20"/>
          <w:spacing w:val="-6"/>
        </w:rPr>
        <w:t> </w:t>
      </w:r>
      <w:r>
        <w:rPr>
          <w:color w:val="231F20"/>
        </w:rPr>
        <w:t>the</w:t>
      </w:r>
      <w:r>
        <w:rPr>
          <w:color w:val="231F20"/>
          <w:spacing w:val="-6"/>
        </w:rPr>
        <w:t> </w:t>
      </w:r>
      <w:r>
        <w:rPr>
          <w:color w:val="231F20"/>
          <w:spacing w:val="-1"/>
        </w:rPr>
        <w:t>student</w:t>
      </w:r>
      <w:r>
        <w:rPr>
          <w:color w:val="231F20"/>
          <w:spacing w:val="-5"/>
        </w:rPr>
        <w:t> </w:t>
      </w:r>
      <w:r>
        <w:rPr>
          <w:color w:val="231F20"/>
        </w:rPr>
        <w:t>at</w:t>
      </w:r>
      <w:r>
        <w:rPr>
          <w:color w:val="231F20"/>
          <w:spacing w:val="-5"/>
        </w:rPr>
        <w:t> </w:t>
      </w:r>
      <w:r>
        <w:rPr>
          <w:color w:val="231F20"/>
        </w:rPr>
        <w:t>the</w:t>
      </w:r>
      <w:r>
        <w:rPr>
          <w:color w:val="231F20"/>
          <w:spacing w:val="-6"/>
        </w:rPr>
        <w:t> </w:t>
      </w:r>
      <w:r>
        <w:rPr>
          <w:color w:val="231F20"/>
        </w:rPr>
        <w:t>boarding</w:t>
      </w:r>
      <w:r>
        <w:rPr>
          <w:color w:val="231F20"/>
          <w:spacing w:val="-6"/>
        </w:rPr>
        <w:t> </w:t>
      </w:r>
      <w:r>
        <w:rPr>
          <w:color w:val="231F20"/>
        </w:rPr>
        <w:t>facility,</w:t>
      </w:r>
      <w:r>
        <w:rPr>
          <w:color w:val="231F20"/>
          <w:spacing w:val="22"/>
          <w:w w:val="99"/>
        </w:rPr>
        <w:t> </w:t>
      </w:r>
      <w:r>
        <w:rPr>
          <w:color w:val="231F20"/>
        </w:rPr>
        <w:t>which</w:t>
      </w:r>
      <w:r>
        <w:rPr>
          <w:color w:val="231F20"/>
          <w:spacing w:val="-5"/>
        </w:rPr>
        <w:t> </w:t>
      </w:r>
      <w:r>
        <w:rPr>
          <w:color w:val="231F20"/>
          <w:spacing w:val="-1"/>
        </w:rPr>
        <w:t>may</w:t>
      </w:r>
      <w:r>
        <w:rPr>
          <w:color w:val="231F20"/>
          <w:spacing w:val="-3"/>
        </w:rPr>
        <w:t> </w:t>
      </w:r>
      <w:r>
        <w:rPr>
          <w:color w:val="231F20"/>
        </w:rPr>
        <w:t>be</w:t>
      </w:r>
      <w:r>
        <w:rPr>
          <w:color w:val="231F20"/>
          <w:spacing w:val="-4"/>
        </w:rPr>
        <w:t> </w:t>
      </w:r>
      <w:r>
        <w:rPr>
          <w:color w:val="231F20"/>
        </w:rPr>
        <w:t>disruptive</w:t>
      </w:r>
      <w:r>
        <w:rPr>
          <w:color w:val="231F20"/>
          <w:spacing w:val="-4"/>
        </w:rPr>
        <w:t> </w:t>
      </w:r>
      <w:r>
        <w:rPr>
          <w:color w:val="231F20"/>
        </w:rPr>
        <w:t>to</w:t>
      </w:r>
      <w:r>
        <w:rPr>
          <w:color w:val="231F20"/>
          <w:spacing w:val="-4"/>
        </w:rPr>
        <w:t> </w:t>
      </w:r>
      <w:r>
        <w:rPr>
          <w:color w:val="231F20"/>
        </w:rPr>
        <w:t>other</w:t>
      </w:r>
      <w:r>
        <w:rPr>
          <w:color w:val="231F20"/>
          <w:spacing w:val="-3"/>
        </w:rPr>
        <w:t> </w:t>
      </w:r>
      <w:r>
        <w:rPr>
          <w:color w:val="231F20"/>
          <w:spacing w:val="-1"/>
        </w:rPr>
        <w:t>students</w:t>
      </w:r>
      <w:r>
        <w:rPr>
          <w:color w:val="231F20"/>
          <w:spacing w:val="-4"/>
        </w:rPr>
        <w:t> </w:t>
      </w:r>
      <w:r>
        <w:rPr>
          <w:color w:val="231F20"/>
        </w:rPr>
        <w:t>or</w:t>
      </w:r>
      <w:r>
        <w:rPr>
          <w:color w:val="231F20"/>
          <w:spacing w:val="23"/>
          <w:w w:val="99"/>
        </w:rPr>
        <w:t> </w:t>
      </w:r>
      <w:r>
        <w:rPr>
          <w:rFonts w:ascii="Segoe UI" w:hAnsi="Segoe UI" w:cs="Segoe UI" w:eastAsia="Segoe UI"/>
          <w:color w:val="231F20"/>
          <w:spacing w:val="-1"/>
        </w:rPr>
        <w:t>staff.</w:t>
      </w:r>
      <w:r>
        <w:rPr>
          <w:rFonts w:ascii="Segoe UI Semibold" w:hAnsi="Segoe UI Semibold" w:cs="Segoe UI Semibold" w:eastAsia="Segoe UI Semibold"/>
          <w:b/>
          <w:bCs/>
          <w:color w:val="231F20"/>
          <w:spacing w:val="-1"/>
          <w:position w:val="7"/>
          <w:sz w:val="11"/>
          <w:szCs w:val="11"/>
        </w:rPr>
        <w:t>113</w:t>
      </w:r>
      <w:r>
        <w:rPr>
          <w:rFonts w:ascii="Segoe UI Semibold" w:hAnsi="Segoe UI Semibold" w:cs="Segoe UI Semibold" w:eastAsia="Segoe UI Semibold"/>
          <w:b/>
          <w:bCs/>
          <w:color w:val="231F20"/>
          <w:spacing w:val="22"/>
          <w:position w:val="7"/>
          <w:sz w:val="11"/>
          <w:szCs w:val="11"/>
        </w:rPr>
        <w:t> </w:t>
      </w:r>
      <w:r>
        <w:rPr>
          <w:color w:val="231F20"/>
        </w:rPr>
        <w:t>The</w:t>
      </w:r>
      <w:r>
        <w:rPr>
          <w:color w:val="231F20"/>
          <w:spacing w:val="-2"/>
        </w:rPr>
        <w:t> </w:t>
      </w:r>
      <w:r>
        <w:rPr>
          <w:color w:val="231F20"/>
        </w:rPr>
        <w:t>current</w:t>
      </w:r>
      <w:r>
        <w:rPr>
          <w:color w:val="231F20"/>
          <w:spacing w:val="-2"/>
        </w:rPr>
        <w:t> </w:t>
      </w:r>
      <w:r>
        <w:rPr>
          <w:color w:val="231F20"/>
        </w:rPr>
        <w:t>rules</w:t>
      </w:r>
      <w:r>
        <w:rPr>
          <w:color w:val="231F20"/>
          <w:spacing w:val="-3"/>
        </w:rPr>
        <w:t> </w:t>
      </w:r>
      <w:r>
        <w:rPr>
          <w:color w:val="231F20"/>
        </w:rPr>
        <w:t>create</w:t>
      </w:r>
      <w:r>
        <w:rPr>
          <w:color w:val="231F20"/>
          <w:spacing w:val="-2"/>
        </w:rPr>
        <w:t> </w:t>
      </w:r>
      <w:r>
        <w:rPr>
          <w:color w:val="231F20"/>
        </w:rPr>
        <w:t>a</w:t>
      </w:r>
      <w:r>
        <w:rPr>
          <w:color w:val="231F20"/>
          <w:spacing w:val="-1"/>
        </w:rPr>
        <w:t> </w:t>
      </w:r>
      <w:r>
        <w:rPr>
          <w:color w:val="231F20"/>
        </w:rPr>
        <w:t>disincentive</w:t>
      </w:r>
      <w:r>
        <w:rPr>
          <w:color w:val="231F20"/>
          <w:spacing w:val="26"/>
        </w:rPr>
        <w:t> </w:t>
      </w:r>
      <w:r>
        <w:rPr>
          <w:color w:val="231F20"/>
        </w:rPr>
        <w:t>to</w:t>
      </w:r>
      <w:r>
        <w:rPr>
          <w:color w:val="231F20"/>
          <w:spacing w:val="-5"/>
        </w:rPr>
        <w:t> </w:t>
      </w:r>
      <w:r>
        <w:rPr>
          <w:color w:val="231F20"/>
          <w:spacing w:val="-1"/>
        </w:rPr>
        <w:t>suspend</w:t>
      </w:r>
      <w:r>
        <w:rPr>
          <w:color w:val="231F20"/>
          <w:spacing w:val="-5"/>
        </w:rPr>
        <w:t> </w:t>
      </w:r>
      <w:r>
        <w:rPr>
          <w:color w:val="231F20"/>
        </w:rPr>
        <w:t>a</w:t>
      </w:r>
      <w:r>
        <w:rPr>
          <w:color w:val="231F20"/>
          <w:spacing w:val="-5"/>
        </w:rPr>
        <w:t> </w:t>
      </w:r>
      <w:r>
        <w:rPr>
          <w:color w:val="231F20"/>
          <w:spacing w:val="-1"/>
        </w:rPr>
        <w:t>student.</w:t>
      </w:r>
      <w:r>
        <w:rPr>
          <w:color w:val="231F20"/>
          <w:spacing w:val="-4"/>
        </w:rPr>
        <w:t> </w:t>
      </w:r>
      <w:r>
        <w:rPr>
          <w:color w:val="231F20"/>
        </w:rPr>
        <w:t>One</w:t>
      </w:r>
      <w:r>
        <w:rPr>
          <w:color w:val="231F20"/>
          <w:spacing w:val="-6"/>
        </w:rPr>
        <w:t> </w:t>
      </w:r>
      <w:r>
        <w:rPr>
          <w:color w:val="231F20"/>
        </w:rPr>
        <w:t>boarding</w:t>
      </w:r>
      <w:r>
        <w:rPr>
          <w:color w:val="231F20"/>
          <w:spacing w:val="-6"/>
        </w:rPr>
        <w:t> </w:t>
      </w:r>
      <w:r>
        <w:rPr>
          <w:color w:val="231F20"/>
        </w:rPr>
        <w:t>provider</w:t>
      </w:r>
      <w:r>
        <w:rPr>
          <w:color w:val="231F20"/>
          <w:spacing w:val="23"/>
          <w:w w:val="99"/>
        </w:rPr>
        <w:t> </w:t>
      </w:r>
      <w:r>
        <w:rPr>
          <w:color w:val="231F20"/>
        </w:rPr>
        <w:t>has</w:t>
      </w:r>
      <w:r>
        <w:rPr>
          <w:color w:val="231F20"/>
          <w:spacing w:val="-4"/>
        </w:rPr>
        <w:t> </w:t>
      </w:r>
      <w:r>
        <w:rPr>
          <w:color w:val="231F20"/>
        </w:rPr>
        <w:t>renovated</w:t>
      </w:r>
      <w:r>
        <w:rPr>
          <w:color w:val="231F20"/>
          <w:spacing w:val="-3"/>
        </w:rPr>
        <w:t> </w:t>
      </w:r>
      <w:r>
        <w:rPr>
          <w:color w:val="231F20"/>
        </w:rPr>
        <w:t>an</w:t>
      </w:r>
      <w:r>
        <w:rPr>
          <w:color w:val="231F20"/>
          <w:spacing w:val="-3"/>
        </w:rPr>
        <w:t> </w:t>
      </w:r>
      <w:r>
        <w:rPr>
          <w:color w:val="231F20"/>
        </w:rPr>
        <w:t>on</w:t>
      </w:r>
      <w:r>
        <w:rPr>
          <w:color w:val="231F20"/>
          <w:spacing w:val="-2"/>
        </w:rPr>
        <w:t> </w:t>
      </w:r>
      <w:r>
        <w:rPr>
          <w:color w:val="231F20"/>
        </w:rPr>
        <w:t>campus</w:t>
      </w:r>
      <w:r>
        <w:rPr>
          <w:color w:val="231F20"/>
          <w:spacing w:val="-4"/>
        </w:rPr>
        <w:t> </w:t>
      </w:r>
      <w:r>
        <w:rPr>
          <w:color w:val="231F20"/>
        </w:rPr>
        <w:t>house</w:t>
      </w:r>
      <w:r>
        <w:rPr>
          <w:color w:val="231F20"/>
          <w:spacing w:val="-3"/>
        </w:rPr>
        <w:t> </w:t>
      </w:r>
      <w:r>
        <w:rPr>
          <w:color w:val="231F20"/>
        </w:rPr>
        <w:t>to</w:t>
      </w:r>
      <w:r>
        <w:rPr>
          <w:color w:val="231F20"/>
          <w:spacing w:val="-2"/>
        </w:rPr>
        <w:t> </w:t>
      </w:r>
      <w:r>
        <w:rPr>
          <w:color w:val="231F20"/>
        </w:rPr>
        <w:t>use</w:t>
      </w:r>
      <w:r>
        <w:rPr>
          <w:color w:val="231F20"/>
          <w:spacing w:val="-3"/>
        </w:rPr>
        <w:t> </w:t>
      </w:r>
      <w:r>
        <w:rPr>
          <w:color w:val="231F20"/>
        </w:rPr>
        <w:t>for</w:t>
      </w:r>
      <w:r>
        <w:rPr>
          <w:color w:val="231F20"/>
          <w:w w:val="99"/>
        </w:rPr>
        <w:t> </w:t>
      </w:r>
      <w:r>
        <w:rPr>
          <w:color w:val="231F20"/>
        </w:rPr>
        <w:t>the</w:t>
      </w:r>
      <w:r>
        <w:rPr>
          <w:color w:val="231F20"/>
          <w:spacing w:val="-6"/>
        </w:rPr>
        <w:t> </w:t>
      </w:r>
      <w:r>
        <w:rPr>
          <w:color w:val="231F20"/>
        </w:rPr>
        <w:t>‘internal</w:t>
      </w:r>
      <w:r>
        <w:rPr>
          <w:color w:val="231F20"/>
          <w:spacing w:val="-5"/>
        </w:rPr>
        <w:t> </w:t>
      </w:r>
      <w:r>
        <w:rPr>
          <w:color w:val="231F20"/>
        </w:rPr>
        <w:t>exclusion</w:t>
      </w:r>
      <w:r>
        <w:rPr>
          <w:color w:val="231F20"/>
          <w:spacing w:val="-6"/>
        </w:rPr>
        <w:t> </w:t>
      </w:r>
      <w:r>
        <w:rPr>
          <w:color w:val="231F20"/>
        </w:rPr>
        <w:t>of</w:t>
      </w:r>
      <w:r>
        <w:rPr>
          <w:color w:val="231F20"/>
          <w:spacing w:val="-5"/>
        </w:rPr>
        <w:t> </w:t>
      </w:r>
      <w:r>
        <w:rPr>
          <w:color w:val="231F20"/>
          <w:spacing w:val="-1"/>
        </w:rPr>
        <w:t>students’.</w:t>
      </w:r>
      <w:r>
        <w:rPr>
          <w:color w:val="231F20"/>
          <w:spacing w:val="-5"/>
        </w:rPr>
        <w:t> </w:t>
      </w:r>
      <w:r>
        <w:rPr>
          <w:color w:val="231F20"/>
        </w:rPr>
        <w:t>The</w:t>
      </w:r>
      <w:r>
        <w:rPr>
          <w:color w:val="231F20"/>
          <w:spacing w:val="-5"/>
        </w:rPr>
        <w:t> </w:t>
      </w:r>
      <w:r>
        <w:rPr>
          <w:color w:val="231F20"/>
          <w:spacing w:val="-1"/>
        </w:rPr>
        <w:t>student</w:t>
      </w:r>
      <w:r>
        <w:rPr>
          <w:color w:val="231F20"/>
          <w:spacing w:val="21"/>
          <w:w w:val="99"/>
        </w:rPr>
        <w:t> </w:t>
      </w:r>
      <w:r>
        <w:rPr>
          <w:color w:val="231F20"/>
          <w:spacing w:val="-1"/>
        </w:rPr>
        <w:t>is</w:t>
      </w:r>
      <w:r>
        <w:rPr>
          <w:color w:val="231F20"/>
          <w:spacing w:val="-4"/>
        </w:rPr>
        <w:t> </w:t>
      </w:r>
      <w:r>
        <w:rPr>
          <w:color w:val="231F20"/>
        </w:rPr>
        <w:t>excluded</w:t>
      </w:r>
      <w:r>
        <w:rPr>
          <w:color w:val="231F20"/>
          <w:spacing w:val="-4"/>
        </w:rPr>
        <w:t> </w:t>
      </w:r>
      <w:r>
        <w:rPr>
          <w:color w:val="231F20"/>
        </w:rPr>
        <w:t>from</w:t>
      </w:r>
      <w:r>
        <w:rPr>
          <w:color w:val="231F20"/>
          <w:spacing w:val="-3"/>
        </w:rPr>
        <w:t> </w:t>
      </w:r>
      <w:r>
        <w:rPr>
          <w:color w:val="231F20"/>
        </w:rPr>
        <w:t>other</w:t>
      </w:r>
      <w:r>
        <w:rPr>
          <w:color w:val="231F20"/>
          <w:spacing w:val="-3"/>
        </w:rPr>
        <w:t> </w:t>
      </w:r>
      <w:r>
        <w:rPr>
          <w:color w:val="231F20"/>
          <w:spacing w:val="-1"/>
        </w:rPr>
        <w:t>students</w:t>
      </w:r>
      <w:r>
        <w:rPr>
          <w:color w:val="231F20"/>
          <w:spacing w:val="-3"/>
        </w:rPr>
        <w:t> </w:t>
      </w:r>
      <w:r>
        <w:rPr>
          <w:color w:val="231F20"/>
        </w:rPr>
        <w:t>but</w:t>
      </w:r>
      <w:r>
        <w:rPr>
          <w:color w:val="231F20"/>
          <w:spacing w:val="-4"/>
        </w:rPr>
        <w:t> </w:t>
      </w:r>
      <w:r>
        <w:rPr>
          <w:color w:val="231F20"/>
        </w:rPr>
        <w:t>remains</w:t>
      </w:r>
      <w:r>
        <w:rPr>
          <w:color w:val="231F20"/>
          <w:spacing w:val="-3"/>
        </w:rPr>
        <w:t> </w:t>
      </w:r>
      <w:r>
        <w:rPr>
          <w:color w:val="231F20"/>
          <w:spacing w:val="-1"/>
        </w:rPr>
        <w:t>in</w:t>
      </w:r>
      <w:r>
        <w:rPr>
          <w:color w:val="231F20"/>
          <w:spacing w:val="22"/>
        </w:rPr>
        <w:t> </w:t>
      </w:r>
      <w:r>
        <w:rPr>
          <w:color w:val="231F20"/>
        </w:rPr>
        <w:t>a</w:t>
      </w:r>
      <w:r>
        <w:rPr>
          <w:color w:val="231F20"/>
          <w:spacing w:val="-6"/>
        </w:rPr>
        <w:t> </w:t>
      </w:r>
      <w:r>
        <w:rPr>
          <w:color w:val="231F20"/>
          <w:spacing w:val="-1"/>
        </w:rPr>
        <w:t>safe,</w:t>
      </w:r>
      <w:r>
        <w:rPr>
          <w:color w:val="231F20"/>
          <w:spacing w:val="-6"/>
        </w:rPr>
        <w:t> </w:t>
      </w:r>
      <w:r>
        <w:rPr>
          <w:color w:val="231F20"/>
        </w:rPr>
        <w:t>protected</w:t>
      </w:r>
      <w:r>
        <w:rPr>
          <w:color w:val="231F20"/>
          <w:spacing w:val="-6"/>
        </w:rPr>
        <w:t> </w:t>
      </w:r>
      <w:r>
        <w:rPr>
          <w:color w:val="231F20"/>
        </w:rPr>
        <w:t>and</w:t>
      </w:r>
      <w:r>
        <w:rPr>
          <w:color w:val="231F20"/>
          <w:spacing w:val="-7"/>
        </w:rPr>
        <w:t> </w:t>
      </w:r>
      <w:r>
        <w:rPr>
          <w:color w:val="231F20"/>
          <w:spacing w:val="-1"/>
        </w:rPr>
        <w:t>supervised</w:t>
      </w:r>
      <w:r>
        <w:rPr>
          <w:color w:val="231F20"/>
          <w:spacing w:val="-5"/>
        </w:rPr>
        <w:t> </w:t>
      </w:r>
      <w:r>
        <w:rPr>
          <w:color w:val="231F20"/>
        </w:rPr>
        <w:t>environment</w:t>
      </w:r>
      <w:r>
        <w:rPr>
          <w:color w:val="231F20"/>
          <w:spacing w:val="23"/>
          <w:w w:val="99"/>
        </w:rPr>
        <w:t> </w:t>
      </w:r>
      <w:r>
        <w:rPr>
          <w:color w:val="231F20"/>
        </w:rPr>
        <w:t>on</w:t>
      </w:r>
      <w:r>
        <w:rPr>
          <w:color w:val="231F20"/>
          <w:spacing w:val="-10"/>
        </w:rPr>
        <w:t> </w:t>
      </w:r>
      <w:r>
        <w:rPr>
          <w:color w:val="231F20"/>
        </w:rPr>
        <w:t>campus.</w:t>
      </w:r>
      <w:r>
        <w:rPr/>
      </w:r>
    </w:p>
    <w:p>
      <w:pPr>
        <w:pStyle w:val="BodyText"/>
        <w:spacing w:line="250" w:lineRule="exact" w:before="113"/>
        <w:ind w:left="280" w:right="29"/>
        <w:jc w:val="left"/>
      </w:pPr>
      <w:r>
        <w:rPr/>
        <w:pict>
          <v:group style="position:absolute;margin-left:77.952797pt;margin-top:128.675995pt;width:.1pt;height:.1pt;mso-position-horizontal-relative:page;mso-position-vertical-relative:paragraph;z-index:4456" coordorigin="1559,2574" coordsize="2,2">
            <v:shape style="position:absolute;left:1559;top:2574;width:2;height:2" coordorigin="1559,2574" coordsize="0,0" path="m1559,2574l1559,2574e" filled="false" stroked="true" strokeweight="2pt" strokecolor="#355f92">
              <v:path arrowok="t"/>
            </v:shape>
            <w10:wrap type="none"/>
          </v:group>
        </w:pict>
      </w:r>
      <w:r>
        <w:rPr>
          <w:color w:val="231F20"/>
        </w:rPr>
        <w:t>The</w:t>
      </w:r>
      <w:r>
        <w:rPr>
          <w:color w:val="231F20"/>
          <w:spacing w:val="-9"/>
        </w:rPr>
        <w:t> </w:t>
      </w:r>
      <w:r>
        <w:rPr>
          <w:color w:val="231F20"/>
        </w:rPr>
        <w:t>disadvantage</w:t>
      </w:r>
      <w:r>
        <w:rPr>
          <w:color w:val="231F20"/>
          <w:spacing w:val="-9"/>
        </w:rPr>
        <w:t> </w:t>
      </w:r>
      <w:r>
        <w:rPr>
          <w:color w:val="231F20"/>
        </w:rPr>
        <w:t>of</w:t>
      </w:r>
      <w:r>
        <w:rPr>
          <w:color w:val="231F20"/>
          <w:spacing w:val="-8"/>
        </w:rPr>
        <w:t> </w:t>
      </w:r>
      <w:r>
        <w:rPr>
          <w:color w:val="231F20"/>
          <w:spacing w:val="-1"/>
        </w:rPr>
        <w:t>introducing</w:t>
      </w:r>
      <w:r>
        <w:rPr>
          <w:color w:val="231F20"/>
          <w:spacing w:val="-9"/>
        </w:rPr>
        <w:t> </w:t>
      </w:r>
      <w:r>
        <w:rPr>
          <w:color w:val="231F20"/>
        </w:rPr>
        <w:t>greater</w:t>
      </w:r>
      <w:r>
        <w:rPr>
          <w:color w:val="231F20"/>
          <w:spacing w:val="22"/>
          <w:w w:val="99"/>
        </w:rPr>
        <w:t> </w:t>
      </w:r>
      <w:r>
        <w:rPr>
          <w:rFonts w:ascii="Segoe UI"/>
          <w:color w:val="231F20"/>
        </w:rPr>
        <w:t>flexibility for travel associated with the</w:t>
      </w:r>
      <w:r>
        <w:rPr>
          <w:rFonts w:ascii="Segoe UI"/>
          <w:color w:val="231F20"/>
        </w:rPr>
        <w:t> </w:t>
      </w:r>
      <w:r>
        <w:rPr>
          <w:color w:val="231F20"/>
          <w:spacing w:val="-1"/>
        </w:rPr>
        <w:t>suspension</w:t>
      </w:r>
      <w:r>
        <w:rPr>
          <w:color w:val="231F20"/>
          <w:spacing w:val="-2"/>
        </w:rPr>
        <w:t> </w:t>
      </w:r>
      <w:r>
        <w:rPr>
          <w:color w:val="231F20"/>
        </w:rPr>
        <w:t>of</w:t>
      </w:r>
      <w:r>
        <w:rPr>
          <w:color w:val="231F20"/>
          <w:spacing w:val="-2"/>
        </w:rPr>
        <w:t> </w:t>
      </w:r>
      <w:r>
        <w:rPr>
          <w:color w:val="231F20"/>
        </w:rPr>
        <w:t>a</w:t>
      </w:r>
      <w:r>
        <w:rPr>
          <w:color w:val="231F20"/>
          <w:spacing w:val="-3"/>
        </w:rPr>
        <w:t> </w:t>
      </w:r>
      <w:r>
        <w:rPr>
          <w:color w:val="231F20"/>
          <w:spacing w:val="-1"/>
        </w:rPr>
        <w:t>student</w:t>
      </w:r>
      <w:r>
        <w:rPr>
          <w:color w:val="231F20"/>
          <w:spacing w:val="-2"/>
        </w:rPr>
        <w:t> </w:t>
      </w:r>
      <w:r>
        <w:rPr>
          <w:color w:val="231F20"/>
          <w:spacing w:val="-1"/>
        </w:rPr>
        <w:t>is</w:t>
      </w:r>
      <w:r>
        <w:rPr>
          <w:color w:val="231F20"/>
          <w:spacing w:val="-4"/>
        </w:rPr>
        <w:t> </w:t>
      </w:r>
      <w:r>
        <w:rPr>
          <w:color w:val="231F20"/>
        </w:rPr>
        <w:t>that</w:t>
      </w:r>
      <w:r>
        <w:rPr>
          <w:color w:val="231F20"/>
          <w:spacing w:val="-3"/>
        </w:rPr>
        <w:t> </w:t>
      </w:r>
      <w:r>
        <w:rPr>
          <w:color w:val="231F20"/>
          <w:spacing w:val="-1"/>
        </w:rPr>
        <w:t>it</w:t>
      </w:r>
      <w:r>
        <w:rPr>
          <w:color w:val="231F20"/>
          <w:spacing w:val="-2"/>
        </w:rPr>
        <w:t> </w:t>
      </w:r>
      <w:r>
        <w:rPr>
          <w:color w:val="231F20"/>
        </w:rPr>
        <w:t>can</w:t>
      </w:r>
      <w:r>
        <w:rPr>
          <w:color w:val="231F20"/>
          <w:spacing w:val="-3"/>
        </w:rPr>
        <w:t> </w:t>
      </w:r>
      <w:r>
        <w:rPr>
          <w:color w:val="231F20"/>
          <w:spacing w:val="-1"/>
        </w:rPr>
        <w:t>lead</w:t>
      </w:r>
      <w:r>
        <w:rPr>
          <w:color w:val="231F20"/>
          <w:spacing w:val="-2"/>
        </w:rPr>
        <w:t> </w:t>
      </w:r>
      <w:r>
        <w:rPr>
          <w:color w:val="231F20"/>
        </w:rPr>
        <w:t>to</w:t>
      </w:r>
      <w:r>
        <w:rPr>
          <w:color w:val="231F20"/>
          <w:spacing w:val="26"/>
          <w:w w:val="99"/>
        </w:rPr>
        <w:t> </w:t>
      </w:r>
      <w:r>
        <w:rPr>
          <w:color w:val="231F20"/>
        </w:rPr>
        <w:t>the</w:t>
      </w:r>
      <w:r>
        <w:rPr>
          <w:color w:val="231F20"/>
          <w:spacing w:val="-8"/>
        </w:rPr>
        <w:t> </w:t>
      </w:r>
      <w:r>
        <w:rPr>
          <w:color w:val="231F20"/>
        </w:rPr>
        <w:t>disengagement</w:t>
      </w:r>
      <w:r>
        <w:rPr>
          <w:color w:val="231F20"/>
          <w:spacing w:val="-7"/>
        </w:rPr>
        <w:t> </w:t>
      </w:r>
      <w:r>
        <w:rPr>
          <w:color w:val="231F20"/>
        </w:rPr>
        <w:t>of</w:t>
      </w:r>
      <w:r>
        <w:rPr>
          <w:color w:val="231F20"/>
          <w:spacing w:val="-6"/>
        </w:rPr>
        <w:t> </w:t>
      </w:r>
      <w:r>
        <w:rPr>
          <w:color w:val="231F20"/>
          <w:spacing w:val="-1"/>
        </w:rPr>
        <w:t>students</w:t>
      </w:r>
      <w:r>
        <w:rPr>
          <w:color w:val="231F20"/>
          <w:spacing w:val="-6"/>
        </w:rPr>
        <w:t> </w:t>
      </w:r>
      <w:r>
        <w:rPr>
          <w:color w:val="231F20"/>
        </w:rPr>
        <w:t>from</w:t>
      </w:r>
      <w:r>
        <w:rPr>
          <w:color w:val="231F20"/>
          <w:spacing w:val="-7"/>
        </w:rPr>
        <w:t> </w:t>
      </w:r>
      <w:r>
        <w:rPr>
          <w:color w:val="231F20"/>
        </w:rPr>
        <w:t>education</w:t>
      </w:r>
      <w:r>
        <w:rPr>
          <w:color w:val="231F20"/>
          <w:spacing w:val="22"/>
          <w:w w:val="99"/>
        </w:rPr>
        <w:t> </w:t>
      </w:r>
      <w:r>
        <w:rPr>
          <w:rFonts w:ascii="Segoe UI"/>
          <w:color w:val="231F20"/>
        </w:rPr>
        <w:t>as it is difficult to re-engage a student in</w:t>
      </w:r>
      <w:r>
        <w:rPr>
          <w:rFonts w:ascii="Segoe UI"/>
          <w:color w:val="231F20"/>
        </w:rPr>
        <w:t> </w:t>
      </w:r>
      <w:r>
        <w:rPr>
          <w:color w:val="231F20"/>
          <w:spacing w:val="-1"/>
        </w:rPr>
        <w:t>schooling</w:t>
      </w:r>
      <w:r>
        <w:rPr>
          <w:color w:val="231F20"/>
          <w:spacing w:val="-4"/>
        </w:rPr>
        <w:t> </w:t>
      </w:r>
      <w:r>
        <w:rPr>
          <w:color w:val="231F20"/>
        </w:rPr>
        <w:t>once</w:t>
      </w:r>
      <w:r>
        <w:rPr>
          <w:color w:val="231F20"/>
          <w:spacing w:val="-5"/>
        </w:rPr>
        <w:t> </w:t>
      </w:r>
      <w:r>
        <w:rPr>
          <w:color w:val="231F20"/>
        </w:rPr>
        <w:t>they</w:t>
      </w:r>
      <w:r>
        <w:rPr>
          <w:color w:val="231F20"/>
          <w:spacing w:val="-4"/>
        </w:rPr>
        <w:t> </w:t>
      </w:r>
      <w:r>
        <w:rPr>
          <w:color w:val="231F20"/>
        </w:rPr>
        <w:t>have</w:t>
      </w:r>
      <w:r>
        <w:rPr>
          <w:color w:val="231F20"/>
          <w:spacing w:val="-5"/>
        </w:rPr>
        <w:t> </w:t>
      </w:r>
      <w:r>
        <w:rPr>
          <w:color w:val="231F20"/>
        </w:rPr>
        <w:t>returned</w:t>
      </w:r>
      <w:r>
        <w:rPr>
          <w:color w:val="231F20"/>
          <w:spacing w:val="-5"/>
        </w:rPr>
        <w:t> </w:t>
      </w:r>
      <w:r>
        <w:rPr>
          <w:color w:val="231F20"/>
        </w:rPr>
        <w:t>home</w:t>
      </w:r>
      <w:r>
        <w:rPr>
          <w:color w:val="231F20"/>
          <w:spacing w:val="22"/>
        </w:rPr>
        <w:t> </w:t>
      </w:r>
      <w:r>
        <w:rPr>
          <w:color w:val="231F20"/>
        </w:rPr>
        <w:t>during</w:t>
      </w:r>
      <w:r>
        <w:rPr>
          <w:color w:val="231F20"/>
          <w:spacing w:val="-5"/>
        </w:rPr>
        <w:t> </w:t>
      </w:r>
      <w:r>
        <w:rPr>
          <w:color w:val="231F20"/>
        </w:rPr>
        <w:t>a</w:t>
      </w:r>
      <w:r>
        <w:rPr>
          <w:color w:val="231F20"/>
          <w:spacing w:val="-4"/>
        </w:rPr>
        <w:t> </w:t>
      </w:r>
      <w:r>
        <w:rPr>
          <w:color w:val="231F20"/>
          <w:spacing w:val="-1"/>
        </w:rPr>
        <w:t>school</w:t>
      </w:r>
      <w:r>
        <w:rPr>
          <w:color w:val="231F20"/>
          <w:spacing w:val="-4"/>
        </w:rPr>
        <w:t> </w:t>
      </w:r>
      <w:r>
        <w:rPr>
          <w:color w:val="231F20"/>
        </w:rPr>
        <w:t>term.</w:t>
      </w:r>
      <w:r>
        <w:rPr/>
      </w:r>
    </w:p>
    <w:p>
      <w:pPr>
        <w:pStyle w:val="BodyText"/>
        <w:spacing w:line="250" w:lineRule="exact" w:before="62"/>
        <w:ind w:left="280" w:right="455"/>
        <w:jc w:val="left"/>
      </w:pPr>
      <w:r>
        <w:rPr/>
        <w:br w:type="column"/>
      </w:r>
      <w:r>
        <w:rPr>
          <w:color w:val="231F20"/>
          <w:spacing w:val="-1"/>
        </w:rPr>
        <w:t>Some</w:t>
      </w:r>
      <w:r>
        <w:rPr>
          <w:color w:val="231F20"/>
          <w:spacing w:val="-4"/>
        </w:rPr>
        <w:t> </w:t>
      </w:r>
      <w:r>
        <w:rPr>
          <w:color w:val="231F20"/>
          <w:spacing w:val="-1"/>
        </w:rPr>
        <w:t>schools</w:t>
      </w:r>
      <w:r>
        <w:rPr>
          <w:color w:val="231F20"/>
          <w:spacing w:val="-3"/>
        </w:rPr>
        <w:t> </w:t>
      </w:r>
      <w:r>
        <w:rPr>
          <w:color w:val="231F20"/>
        </w:rPr>
        <w:t>have</w:t>
      </w:r>
      <w:r>
        <w:rPr>
          <w:color w:val="231F20"/>
          <w:spacing w:val="-4"/>
        </w:rPr>
        <w:t> </w:t>
      </w:r>
      <w:r>
        <w:rPr>
          <w:color w:val="231F20"/>
        </w:rPr>
        <w:t>rules</w:t>
      </w:r>
      <w:r>
        <w:rPr>
          <w:color w:val="231F20"/>
          <w:spacing w:val="-5"/>
        </w:rPr>
        <w:t> </w:t>
      </w:r>
      <w:r>
        <w:rPr>
          <w:color w:val="231F20"/>
        </w:rPr>
        <w:t>preventing</w:t>
      </w:r>
      <w:r>
        <w:rPr>
          <w:color w:val="231F20"/>
          <w:spacing w:val="-4"/>
        </w:rPr>
        <w:t> </w:t>
      </w:r>
      <w:r>
        <w:rPr>
          <w:color w:val="231F20"/>
        </w:rPr>
        <w:t>the</w:t>
      </w:r>
      <w:r>
        <w:rPr>
          <w:color w:val="231F20"/>
          <w:spacing w:val="24"/>
          <w:w w:val="99"/>
        </w:rPr>
        <w:t> </w:t>
      </w:r>
      <w:r>
        <w:rPr>
          <w:color w:val="231F20"/>
          <w:spacing w:val="-1"/>
        </w:rPr>
        <w:t>suspension</w:t>
      </w:r>
      <w:r>
        <w:rPr>
          <w:color w:val="231F20"/>
          <w:spacing w:val="-3"/>
        </w:rPr>
        <w:t> </w:t>
      </w:r>
      <w:r>
        <w:rPr>
          <w:color w:val="231F20"/>
        </w:rPr>
        <w:t>of</w:t>
      </w:r>
      <w:r>
        <w:rPr>
          <w:color w:val="231F20"/>
          <w:spacing w:val="-3"/>
        </w:rPr>
        <w:t> </w:t>
      </w:r>
      <w:r>
        <w:rPr>
          <w:color w:val="231F20"/>
        </w:rPr>
        <w:t>a</w:t>
      </w:r>
      <w:r>
        <w:rPr>
          <w:color w:val="231F20"/>
          <w:spacing w:val="-4"/>
        </w:rPr>
        <w:t> </w:t>
      </w:r>
      <w:r>
        <w:rPr>
          <w:color w:val="231F20"/>
          <w:spacing w:val="-1"/>
        </w:rPr>
        <w:t>student</w:t>
      </w:r>
      <w:r>
        <w:rPr>
          <w:color w:val="231F20"/>
          <w:spacing w:val="-3"/>
        </w:rPr>
        <w:t> </w:t>
      </w:r>
      <w:r>
        <w:rPr>
          <w:color w:val="231F20"/>
        </w:rPr>
        <w:t>within</w:t>
      </w:r>
      <w:r>
        <w:rPr>
          <w:color w:val="231F20"/>
          <w:spacing w:val="-4"/>
        </w:rPr>
        <w:t> </w:t>
      </w:r>
      <w:r>
        <w:rPr>
          <w:color w:val="231F20"/>
        </w:rPr>
        <w:t>a</w:t>
      </w:r>
      <w:r>
        <w:rPr>
          <w:color w:val="231F20"/>
          <w:spacing w:val="-4"/>
        </w:rPr>
        <w:t> </w:t>
      </w:r>
      <w:r>
        <w:rPr>
          <w:color w:val="231F20"/>
        </w:rPr>
        <w:t>period</w:t>
      </w:r>
      <w:r>
        <w:rPr>
          <w:color w:val="231F20"/>
          <w:spacing w:val="-4"/>
        </w:rPr>
        <w:t> </w:t>
      </w:r>
      <w:r>
        <w:rPr>
          <w:color w:val="231F20"/>
        </w:rPr>
        <w:t>of</w:t>
      </w:r>
      <w:r>
        <w:rPr>
          <w:color w:val="231F20"/>
          <w:spacing w:val="23"/>
          <w:w w:val="99"/>
        </w:rPr>
        <w:t> </w:t>
      </w:r>
      <w:r>
        <w:rPr>
          <w:color w:val="231F20"/>
        </w:rPr>
        <w:t>time</w:t>
      </w:r>
      <w:r>
        <w:rPr>
          <w:color w:val="231F20"/>
          <w:spacing w:val="-5"/>
        </w:rPr>
        <w:t> </w:t>
      </w:r>
      <w:r>
        <w:rPr>
          <w:color w:val="231F20"/>
        </w:rPr>
        <w:t>after</w:t>
      </w:r>
      <w:r>
        <w:rPr>
          <w:color w:val="231F20"/>
          <w:spacing w:val="-4"/>
        </w:rPr>
        <w:t> </w:t>
      </w:r>
      <w:r>
        <w:rPr>
          <w:color w:val="231F20"/>
        </w:rPr>
        <w:t>the</w:t>
      </w:r>
      <w:r>
        <w:rPr>
          <w:color w:val="231F20"/>
          <w:spacing w:val="-4"/>
        </w:rPr>
        <w:t> </w:t>
      </w:r>
      <w:r>
        <w:rPr>
          <w:color w:val="231F20"/>
        </w:rPr>
        <w:t>commencement</w:t>
      </w:r>
      <w:r>
        <w:rPr>
          <w:color w:val="231F20"/>
          <w:spacing w:val="-5"/>
        </w:rPr>
        <w:t> </w:t>
      </w:r>
      <w:r>
        <w:rPr>
          <w:color w:val="231F20"/>
        </w:rPr>
        <w:t>of</w:t>
      </w:r>
      <w:r>
        <w:rPr>
          <w:color w:val="231F20"/>
          <w:spacing w:val="-3"/>
        </w:rPr>
        <w:t> </w:t>
      </w:r>
      <w:r>
        <w:rPr>
          <w:color w:val="231F20"/>
        </w:rPr>
        <w:t>boarding</w:t>
      </w:r>
      <w:r>
        <w:rPr>
          <w:color w:val="231F20"/>
          <w:w w:val="99"/>
        </w:rPr>
        <w:t> </w:t>
      </w:r>
      <w:r>
        <w:rPr>
          <w:color w:val="231F20"/>
        </w:rPr>
        <w:t>to</w:t>
      </w:r>
      <w:r>
        <w:rPr>
          <w:color w:val="231F20"/>
          <w:spacing w:val="-6"/>
        </w:rPr>
        <w:t> </w:t>
      </w:r>
      <w:r>
        <w:rPr>
          <w:color w:val="231F20"/>
          <w:spacing w:val="-1"/>
        </w:rPr>
        <w:t>support</w:t>
      </w:r>
      <w:r>
        <w:rPr>
          <w:color w:val="231F20"/>
          <w:spacing w:val="-6"/>
        </w:rPr>
        <w:t> </w:t>
      </w:r>
      <w:r>
        <w:rPr>
          <w:color w:val="231F20"/>
        </w:rPr>
        <w:t>the</w:t>
      </w:r>
      <w:r>
        <w:rPr>
          <w:color w:val="231F20"/>
          <w:spacing w:val="-6"/>
        </w:rPr>
        <w:t> </w:t>
      </w:r>
      <w:r>
        <w:rPr>
          <w:color w:val="231F20"/>
        </w:rPr>
        <w:t>transition</w:t>
      </w:r>
      <w:r>
        <w:rPr>
          <w:color w:val="231F20"/>
          <w:spacing w:val="-7"/>
        </w:rPr>
        <w:t> </w:t>
      </w:r>
      <w:r>
        <w:rPr>
          <w:color w:val="231F20"/>
        </w:rPr>
        <w:t>of</w:t>
      </w:r>
      <w:r>
        <w:rPr>
          <w:color w:val="231F20"/>
          <w:spacing w:val="-5"/>
        </w:rPr>
        <w:t> </w:t>
      </w:r>
      <w:r>
        <w:rPr>
          <w:color w:val="231F20"/>
        </w:rPr>
        <w:t>new</w:t>
      </w:r>
      <w:r>
        <w:rPr>
          <w:color w:val="231F20"/>
          <w:spacing w:val="-6"/>
        </w:rPr>
        <w:t> </w:t>
      </w:r>
      <w:r>
        <w:rPr>
          <w:color w:val="231F20"/>
        </w:rPr>
        <w:t>boarders</w:t>
      </w:r>
      <w:r>
        <w:rPr>
          <w:color w:val="231F20"/>
          <w:spacing w:val="22"/>
          <w:w w:val="99"/>
        </w:rPr>
        <w:t> </w:t>
      </w:r>
      <w:r>
        <w:rPr>
          <w:color w:val="231F20"/>
          <w:spacing w:val="-1"/>
        </w:rPr>
        <w:t>into</w:t>
      </w:r>
      <w:r>
        <w:rPr>
          <w:color w:val="231F20"/>
          <w:spacing w:val="-6"/>
        </w:rPr>
        <w:t> </w:t>
      </w:r>
      <w:r>
        <w:rPr>
          <w:color w:val="231F20"/>
        </w:rPr>
        <w:t>boarding.</w:t>
      </w:r>
      <w:r>
        <w:rPr>
          <w:color w:val="231F20"/>
          <w:spacing w:val="-7"/>
        </w:rPr>
        <w:t> </w:t>
      </w:r>
      <w:r>
        <w:rPr>
          <w:color w:val="231F20"/>
        </w:rPr>
        <w:t>Any</w:t>
      </w:r>
      <w:r>
        <w:rPr>
          <w:color w:val="231F20"/>
          <w:spacing w:val="-6"/>
        </w:rPr>
        <w:t> </w:t>
      </w:r>
      <w:r>
        <w:rPr>
          <w:color w:val="231F20"/>
        </w:rPr>
        <w:t>amendment</w:t>
      </w:r>
      <w:r>
        <w:rPr>
          <w:color w:val="231F20"/>
          <w:spacing w:val="-7"/>
        </w:rPr>
        <w:t> </w:t>
      </w:r>
      <w:r>
        <w:rPr>
          <w:color w:val="231F20"/>
        </w:rPr>
        <w:t>to</w:t>
      </w:r>
      <w:r>
        <w:rPr>
          <w:color w:val="231F20"/>
          <w:spacing w:val="-6"/>
        </w:rPr>
        <w:t> </w:t>
      </w:r>
      <w:r>
        <w:rPr>
          <w:color w:val="231F20"/>
        </w:rPr>
        <w:t>the</w:t>
      </w:r>
      <w:r>
        <w:rPr>
          <w:color w:val="231F20"/>
          <w:spacing w:val="-7"/>
        </w:rPr>
        <w:t> </w:t>
      </w:r>
      <w:r>
        <w:rPr>
          <w:color w:val="231F20"/>
        </w:rPr>
        <w:t>travel</w:t>
      </w:r>
      <w:r>
        <w:rPr>
          <w:color w:val="231F20"/>
          <w:spacing w:val="21"/>
          <w:w w:val="99"/>
        </w:rPr>
        <w:t> </w:t>
      </w:r>
      <w:r>
        <w:rPr>
          <w:color w:val="231F20"/>
        </w:rPr>
        <w:t>eligibility</w:t>
      </w:r>
      <w:r>
        <w:rPr>
          <w:color w:val="231F20"/>
          <w:spacing w:val="-5"/>
        </w:rPr>
        <w:t> </w:t>
      </w:r>
      <w:r>
        <w:rPr>
          <w:color w:val="231F20"/>
        </w:rPr>
        <w:t>rules</w:t>
      </w:r>
      <w:r>
        <w:rPr>
          <w:color w:val="231F20"/>
          <w:spacing w:val="-4"/>
        </w:rPr>
        <w:t> </w:t>
      </w:r>
      <w:r>
        <w:rPr>
          <w:color w:val="231F20"/>
        </w:rPr>
        <w:t>regarding</w:t>
      </w:r>
      <w:r>
        <w:rPr>
          <w:color w:val="231F20"/>
          <w:spacing w:val="-5"/>
        </w:rPr>
        <w:t> </w:t>
      </w:r>
      <w:r>
        <w:rPr>
          <w:color w:val="231F20"/>
          <w:spacing w:val="-1"/>
        </w:rPr>
        <w:t>suspensions</w:t>
      </w:r>
      <w:r>
        <w:rPr>
          <w:color w:val="231F20"/>
          <w:spacing w:val="-2"/>
        </w:rPr>
        <w:t> </w:t>
      </w:r>
      <w:r>
        <w:rPr>
          <w:color w:val="231F20"/>
        </w:rPr>
        <w:t>would</w:t>
      </w:r>
      <w:r>
        <w:rPr>
          <w:color w:val="231F20"/>
          <w:spacing w:val="22"/>
          <w:w w:val="99"/>
        </w:rPr>
        <w:t> </w:t>
      </w:r>
      <w:r>
        <w:rPr>
          <w:color w:val="231F20"/>
        </w:rPr>
        <w:t>need</w:t>
      </w:r>
      <w:r>
        <w:rPr>
          <w:color w:val="231F20"/>
          <w:spacing w:val="-4"/>
        </w:rPr>
        <w:t> </w:t>
      </w:r>
      <w:r>
        <w:rPr>
          <w:color w:val="231F20"/>
        </w:rPr>
        <w:t>to</w:t>
      </w:r>
      <w:r>
        <w:rPr>
          <w:color w:val="231F20"/>
          <w:spacing w:val="-3"/>
        </w:rPr>
        <w:t> </w:t>
      </w:r>
      <w:r>
        <w:rPr>
          <w:color w:val="231F20"/>
          <w:spacing w:val="-1"/>
        </w:rPr>
        <w:t>include</w:t>
      </w:r>
      <w:r>
        <w:rPr>
          <w:color w:val="231F20"/>
          <w:spacing w:val="-3"/>
        </w:rPr>
        <w:t> </w:t>
      </w:r>
      <w:r>
        <w:rPr>
          <w:color w:val="231F20"/>
          <w:spacing w:val="-1"/>
        </w:rPr>
        <w:t>mechanisms</w:t>
      </w:r>
      <w:r>
        <w:rPr>
          <w:color w:val="231F20"/>
          <w:spacing w:val="-2"/>
        </w:rPr>
        <w:t> </w:t>
      </w:r>
      <w:r>
        <w:rPr>
          <w:color w:val="231F20"/>
        </w:rPr>
        <w:t>to</w:t>
      </w:r>
      <w:r>
        <w:rPr>
          <w:color w:val="231F20"/>
          <w:spacing w:val="-3"/>
        </w:rPr>
        <w:t> </w:t>
      </w:r>
      <w:r>
        <w:rPr>
          <w:color w:val="231F20"/>
          <w:spacing w:val="-1"/>
        </w:rPr>
        <w:t>minimise</w:t>
      </w:r>
      <w:r>
        <w:rPr/>
      </w:r>
    </w:p>
    <w:p>
      <w:pPr>
        <w:pStyle w:val="BodyText"/>
        <w:spacing w:line="250" w:lineRule="exact"/>
        <w:ind w:left="280" w:right="0"/>
        <w:jc w:val="left"/>
      </w:pPr>
      <w:r>
        <w:rPr>
          <w:color w:val="231F20"/>
        </w:rPr>
        <w:t>disengagement</w:t>
      </w:r>
      <w:r>
        <w:rPr>
          <w:color w:val="231F20"/>
          <w:spacing w:val="-8"/>
        </w:rPr>
        <w:t> </w:t>
      </w:r>
      <w:r>
        <w:rPr>
          <w:color w:val="231F20"/>
        </w:rPr>
        <w:t>by</w:t>
      </w:r>
      <w:r>
        <w:rPr>
          <w:color w:val="231F20"/>
          <w:spacing w:val="-6"/>
        </w:rPr>
        <w:t> </w:t>
      </w:r>
      <w:r>
        <w:rPr>
          <w:color w:val="231F20"/>
        </w:rPr>
        <w:t>a</w:t>
      </w:r>
      <w:r>
        <w:rPr>
          <w:color w:val="231F20"/>
          <w:spacing w:val="-6"/>
        </w:rPr>
        <w:t> </w:t>
      </w:r>
      <w:r>
        <w:rPr>
          <w:color w:val="231F20"/>
          <w:spacing w:val="-1"/>
        </w:rPr>
        <w:t>suspended</w:t>
      </w:r>
      <w:r>
        <w:rPr>
          <w:color w:val="231F20"/>
          <w:spacing w:val="-5"/>
        </w:rPr>
        <w:t> </w:t>
      </w:r>
      <w:r>
        <w:rPr>
          <w:color w:val="231F20"/>
          <w:spacing w:val="-1"/>
        </w:rPr>
        <w:t>student</w:t>
      </w:r>
      <w:r>
        <w:rPr>
          <w:color w:val="231F20"/>
          <w:spacing w:val="-6"/>
        </w:rPr>
        <w:t> </w:t>
      </w:r>
      <w:r>
        <w:rPr>
          <w:color w:val="231F20"/>
          <w:spacing w:val="-1"/>
        </w:rPr>
        <w:t>if</w:t>
      </w:r>
      <w:r>
        <w:rPr>
          <w:color w:val="231F20"/>
          <w:spacing w:val="-6"/>
        </w:rPr>
        <w:t> </w:t>
      </w:r>
      <w:r>
        <w:rPr>
          <w:color w:val="231F20"/>
        </w:rPr>
        <w:t>they</w:t>
      </w:r>
      <w:r>
        <w:rPr>
          <w:color w:val="231F20"/>
          <w:spacing w:val="24"/>
          <w:w w:val="99"/>
        </w:rPr>
        <w:t> </w:t>
      </w:r>
      <w:r>
        <w:rPr>
          <w:color w:val="231F20"/>
        </w:rPr>
        <w:t>return</w:t>
      </w:r>
      <w:r>
        <w:rPr>
          <w:color w:val="231F20"/>
          <w:spacing w:val="-6"/>
        </w:rPr>
        <w:t> </w:t>
      </w:r>
      <w:r>
        <w:rPr>
          <w:color w:val="231F20"/>
        </w:rPr>
        <w:t>home.</w:t>
      </w:r>
      <w:r>
        <w:rPr>
          <w:color w:val="231F20"/>
          <w:spacing w:val="-6"/>
        </w:rPr>
        <w:t> </w:t>
      </w:r>
      <w:r>
        <w:rPr>
          <w:color w:val="231F20"/>
        </w:rPr>
        <w:t>One</w:t>
      </w:r>
      <w:r>
        <w:rPr>
          <w:color w:val="231F20"/>
          <w:spacing w:val="-6"/>
        </w:rPr>
        <w:t> </w:t>
      </w:r>
      <w:r>
        <w:rPr>
          <w:color w:val="231F20"/>
        </w:rPr>
        <w:t>Aboriginal</w:t>
      </w:r>
      <w:r>
        <w:rPr>
          <w:color w:val="231F20"/>
          <w:spacing w:val="-5"/>
        </w:rPr>
        <w:t> </w:t>
      </w:r>
      <w:r>
        <w:rPr>
          <w:color w:val="231F20"/>
        </w:rPr>
        <w:t>and</w:t>
      </w:r>
      <w:r>
        <w:rPr>
          <w:color w:val="231F20"/>
          <w:spacing w:val="-6"/>
        </w:rPr>
        <w:t> </w:t>
      </w:r>
      <w:r>
        <w:rPr>
          <w:color w:val="231F20"/>
          <w:spacing w:val="-5"/>
        </w:rPr>
        <w:t>Torres</w:t>
      </w:r>
      <w:r>
        <w:rPr>
          <w:color w:val="231F20"/>
          <w:spacing w:val="-6"/>
        </w:rPr>
        <w:t> </w:t>
      </w:r>
      <w:r>
        <w:rPr>
          <w:color w:val="231F20"/>
          <w:spacing w:val="-2"/>
        </w:rPr>
        <w:t>Strait</w:t>
      </w:r>
      <w:r>
        <w:rPr>
          <w:color w:val="231F20"/>
          <w:spacing w:val="28"/>
          <w:w w:val="99"/>
        </w:rPr>
        <w:t> </w:t>
      </w:r>
      <w:r>
        <w:rPr>
          <w:color w:val="231F20"/>
          <w:spacing w:val="-1"/>
        </w:rPr>
        <w:t>Islander</w:t>
      </w:r>
      <w:r>
        <w:rPr>
          <w:color w:val="231F20"/>
          <w:spacing w:val="-4"/>
        </w:rPr>
        <w:t> </w:t>
      </w:r>
      <w:r>
        <w:rPr>
          <w:color w:val="231F20"/>
        </w:rPr>
        <w:t>boarding</w:t>
      </w:r>
      <w:r>
        <w:rPr>
          <w:color w:val="231F20"/>
          <w:spacing w:val="-5"/>
        </w:rPr>
        <w:t> </w:t>
      </w:r>
      <w:r>
        <w:rPr>
          <w:color w:val="231F20"/>
        </w:rPr>
        <w:t>provider</w:t>
      </w:r>
      <w:r>
        <w:rPr>
          <w:color w:val="231F20"/>
          <w:spacing w:val="-4"/>
        </w:rPr>
        <w:t> </w:t>
      </w:r>
      <w:r>
        <w:rPr>
          <w:color w:val="231F20"/>
        </w:rPr>
        <w:t>has</w:t>
      </w:r>
      <w:r>
        <w:rPr>
          <w:color w:val="231F20"/>
          <w:spacing w:val="-5"/>
        </w:rPr>
        <w:t> </w:t>
      </w:r>
      <w:r>
        <w:rPr>
          <w:color w:val="231F20"/>
        </w:rPr>
        <w:t>a</w:t>
      </w:r>
      <w:r>
        <w:rPr>
          <w:color w:val="231F20"/>
          <w:spacing w:val="-3"/>
        </w:rPr>
        <w:t> </w:t>
      </w:r>
      <w:r>
        <w:rPr>
          <w:color w:val="231F20"/>
        </w:rPr>
        <w:t>policy</w:t>
      </w:r>
      <w:r>
        <w:rPr>
          <w:color w:val="231F20"/>
          <w:spacing w:val="-5"/>
        </w:rPr>
        <w:t> </w:t>
      </w:r>
      <w:r>
        <w:rPr>
          <w:color w:val="231F20"/>
        </w:rPr>
        <w:t>of</w:t>
      </w:r>
      <w:r>
        <w:rPr>
          <w:color w:val="231F20"/>
          <w:spacing w:val="-4"/>
        </w:rPr>
        <w:t> </w:t>
      </w:r>
      <w:r>
        <w:rPr>
          <w:color w:val="231F20"/>
        </w:rPr>
        <w:t>using</w:t>
      </w:r>
      <w:r>
        <w:rPr>
          <w:color w:val="231F20"/>
          <w:spacing w:val="22"/>
        </w:rPr>
        <w:t> </w:t>
      </w:r>
      <w:r>
        <w:rPr>
          <w:color w:val="231F20"/>
        </w:rPr>
        <w:t>expulsions</w:t>
      </w:r>
      <w:r>
        <w:rPr>
          <w:color w:val="231F20"/>
          <w:spacing w:val="-3"/>
        </w:rPr>
        <w:t> </w:t>
      </w:r>
      <w:r>
        <w:rPr>
          <w:color w:val="231F20"/>
        </w:rPr>
        <w:t>and</w:t>
      </w:r>
      <w:r>
        <w:rPr>
          <w:color w:val="231F20"/>
          <w:spacing w:val="-3"/>
        </w:rPr>
        <w:t> </w:t>
      </w:r>
      <w:r>
        <w:rPr>
          <w:color w:val="231F20"/>
          <w:spacing w:val="-1"/>
        </w:rPr>
        <w:t>suspensions</w:t>
      </w:r>
      <w:r>
        <w:rPr>
          <w:color w:val="231F20"/>
        </w:rPr>
        <w:t> as</w:t>
      </w:r>
      <w:r>
        <w:rPr>
          <w:color w:val="231F20"/>
          <w:spacing w:val="-3"/>
        </w:rPr>
        <w:t> </w:t>
      </w:r>
      <w:r>
        <w:rPr>
          <w:color w:val="231F20"/>
        </w:rPr>
        <w:t>a</w:t>
      </w:r>
      <w:r>
        <w:rPr>
          <w:color w:val="231F20"/>
          <w:spacing w:val="-2"/>
        </w:rPr>
        <w:t> </w:t>
      </w:r>
      <w:r>
        <w:rPr>
          <w:color w:val="231F20"/>
          <w:spacing w:val="-1"/>
        </w:rPr>
        <w:t>last </w:t>
      </w:r>
      <w:r>
        <w:rPr>
          <w:color w:val="231F20"/>
        </w:rPr>
        <w:t>resort.</w:t>
      </w:r>
      <w:r>
        <w:rPr/>
      </w:r>
    </w:p>
    <w:p>
      <w:pPr>
        <w:pStyle w:val="BodyText"/>
        <w:spacing w:line="250" w:lineRule="exact" w:before="113"/>
        <w:ind w:left="734" w:right="495"/>
        <w:jc w:val="left"/>
        <w:rPr>
          <w:rFonts w:ascii="Segoe UI Semibold" w:hAnsi="Segoe UI Semibold" w:cs="Segoe UI Semibold" w:eastAsia="Segoe UI Semibold"/>
        </w:rPr>
      </w:pPr>
      <w:r>
        <w:rPr>
          <w:rFonts w:ascii="Segoe UI Semibold"/>
          <w:b/>
          <w:color w:val="00779B"/>
          <w:spacing w:val="-3"/>
        </w:rPr>
        <w:t>We</w:t>
      </w:r>
      <w:r>
        <w:rPr>
          <w:rFonts w:ascii="Segoe UI Semibold"/>
          <w:b/>
          <w:color w:val="00779B"/>
          <w:spacing w:val="-4"/>
        </w:rPr>
        <w:t> </w:t>
      </w:r>
      <w:r>
        <w:rPr>
          <w:rFonts w:ascii="Segoe UI Semibold"/>
          <w:b/>
          <w:color w:val="00779B"/>
          <w:spacing w:val="-1"/>
        </w:rPr>
        <w:t>case</w:t>
      </w:r>
      <w:r>
        <w:rPr>
          <w:rFonts w:ascii="Segoe UI Semibold"/>
          <w:b/>
          <w:color w:val="00779B"/>
          <w:spacing w:val="-2"/>
        </w:rPr>
        <w:t> </w:t>
      </w:r>
      <w:r>
        <w:rPr>
          <w:rFonts w:ascii="Segoe UI Semibold"/>
          <w:b/>
          <w:color w:val="00779B"/>
        </w:rPr>
        <w:t>manage</w:t>
      </w:r>
      <w:r>
        <w:rPr>
          <w:rFonts w:ascii="Segoe UI Semibold"/>
          <w:b/>
          <w:color w:val="00779B"/>
          <w:spacing w:val="-3"/>
        </w:rPr>
        <w:t> </w:t>
      </w:r>
      <w:r>
        <w:rPr>
          <w:rFonts w:ascii="Segoe UI Semibold"/>
          <w:b/>
          <w:color w:val="00779B"/>
          <w:spacing w:val="-1"/>
        </w:rPr>
        <w:t>each</w:t>
      </w:r>
      <w:r>
        <w:rPr>
          <w:rFonts w:ascii="Segoe UI Semibold"/>
          <w:b/>
          <w:color w:val="00779B"/>
          <w:spacing w:val="-3"/>
        </w:rPr>
        <w:t> </w:t>
      </w:r>
      <w:r>
        <w:rPr>
          <w:rFonts w:ascii="Segoe UI Semibold"/>
          <w:b/>
          <w:color w:val="00779B"/>
        </w:rPr>
        <w:t>disciplinary</w:t>
      </w:r>
      <w:r>
        <w:rPr>
          <w:rFonts w:ascii="Segoe UI Semibold"/>
          <w:b/>
          <w:color w:val="00779B"/>
          <w:spacing w:val="29"/>
        </w:rPr>
        <w:t> </w:t>
      </w:r>
      <w:r>
        <w:rPr>
          <w:rFonts w:ascii="Segoe UI Semibold"/>
          <w:b/>
          <w:color w:val="00779B"/>
          <w:spacing w:val="-1"/>
        </w:rPr>
        <w:t>incident</w:t>
      </w:r>
      <w:r>
        <w:rPr>
          <w:rFonts w:ascii="Segoe UI Semibold"/>
          <w:b/>
          <w:color w:val="00779B"/>
        </w:rPr>
        <w:t> and</w:t>
      </w:r>
      <w:r>
        <w:rPr>
          <w:rFonts w:ascii="Segoe UI Semibold"/>
          <w:b/>
          <w:color w:val="00779B"/>
          <w:spacing w:val="-1"/>
        </w:rPr>
        <w:t> endeavour to implement</w:t>
      </w:r>
      <w:r>
        <w:rPr>
          <w:rFonts w:ascii="Segoe UI Semibold"/>
          <w:b/>
          <w:color w:val="00779B"/>
          <w:spacing w:val="22"/>
        </w:rPr>
        <w:t> </w:t>
      </w:r>
      <w:r>
        <w:rPr>
          <w:rFonts w:ascii="Segoe UI Semibold"/>
          <w:b/>
          <w:color w:val="00779B"/>
        </w:rPr>
        <w:t>individual</w:t>
      </w:r>
      <w:r>
        <w:rPr>
          <w:rFonts w:ascii="Segoe UI Semibold"/>
          <w:b/>
          <w:color w:val="00779B"/>
          <w:spacing w:val="-3"/>
        </w:rPr>
        <w:t> </w:t>
      </w:r>
      <w:r>
        <w:rPr>
          <w:rFonts w:ascii="Segoe UI Semibold"/>
          <w:b/>
          <w:color w:val="00779B"/>
        </w:rPr>
        <w:t>student</w:t>
      </w:r>
      <w:r>
        <w:rPr>
          <w:rFonts w:ascii="Segoe UI Semibold"/>
          <w:b/>
          <w:color w:val="00779B"/>
          <w:spacing w:val="-2"/>
        </w:rPr>
        <w:t> </w:t>
      </w:r>
      <w:r>
        <w:rPr>
          <w:rFonts w:ascii="Segoe UI Semibold"/>
          <w:b/>
          <w:color w:val="00779B"/>
        </w:rPr>
        <w:t>specific</w:t>
      </w:r>
      <w:r>
        <w:rPr>
          <w:rFonts w:ascii="Segoe UI Semibold"/>
          <w:b/>
          <w:color w:val="00779B"/>
          <w:spacing w:val="-2"/>
        </w:rPr>
        <w:t> </w:t>
      </w:r>
      <w:r>
        <w:rPr>
          <w:rFonts w:ascii="Segoe UI Semibold"/>
          <w:b/>
          <w:color w:val="00779B"/>
          <w:spacing w:val="-1"/>
        </w:rPr>
        <w:t>remedial</w:t>
      </w:r>
      <w:r>
        <w:rPr>
          <w:rFonts w:ascii="Segoe UI Semibold"/>
          <w:b/>
          <w:color w:val="00779B"/>
          <w:spacing w:val="26"/>
        </w:rPr>
        <w:t> </w:t>
      </w:r>
      <w:r>
        <w:rPr>
          <w:rFonts w:ascii="Segoe UI Semibold"/>
          <w:b/>
          <w:color w:val="00779B"/>
          <w:spacing w:val="-1"/>
        </w:rPr>
        <w:t>programs.</w:t>
      </w:r>
      <w:r>
        <w:rPr>
          <w:rFonts w:ascii="Segoe UI Semibold"/>
          <w:b/>
          <w:color w:val="00779B"/>
          <w:spacing w:val="-3"/>
        </w:rPr>
        <w:t> </w:t>
      </w:r>
      <w:r>
        <w:rPr>
          <w:rFonts w:ascii="Segoe UI Semibold"/>
          <w:b/>
          <w:color w:val="00779B"/>
        </w:rPr>
        <w:t>Expulsion</w:t>
      </w:r>
      <w:r>
        <w:rPr>
          <w:rFonts w:ascii="Segoe UI Semibold"/>
          <w:b/>
          <w:color w:val="00779B"/>
          <w:spacing w:val="-4"/>
        </w:rPr>
        <w:t> </w:t>
      </w:r>
      <w:r>
        <w:rPr>
          <w:rFonts w:ascii="Segoe UI Semibold"/>
          <w:b/>
          <w:color w:val="00779B"/>
          <w:spacing w:val="-1"/>
        </w:rPr>
        <w:t>is</w:t>
      </w:r>
      <w:r>
        <w:rPr>
          <w:rFonts w:ascii="Segoe UI Semibold"/>
          <w:b/>
          <w:color w:val="00779B"/>
          <w:spacing w:val="-2"/>
        </w:rPr>
        <w:t> </w:t>
      </w:r>
      <w:r>
        <w:rPr>
          <w:rFonts w:ascii="Segoe UI Semibold"/>
          <w:b/>
          <w:color w:val="00779B"/>
        </w:rPr>
        <w:t>a</w:t>
      </w:r>
      <w:r>
        <w:rPr>
          <w:rFonts w:ascii="Segoe UI Semibold"/>
          <w:b/>
          <w:color w:val="00779B"/>
          <w:spacing w:val="-2"/>
        </w:rPr>
        <w:t> </w:t>
      </w:r>
      <w:r>
        <w:rPr>
          <w:rFonts w:ascii="Segoe UI Semibold"/>
          <w:b/>
          <w:color w:val="00779B"/>
          <w:spacing w:val="-1"/>
        </w:rPr>
        <w:t>last</w:t>
      </w:r>
      <w:r>
        <w:rPr>
          <w:rFonts w:ascii="Segoe UI Semibold"/>
          <w:b/>
          <w:color w:val="00779B"/>
          <w:spacing w:val="-2"/>
        </w:rPr>
        <w:t> </w:t>
      </w:r>
      <w:r>
        <w:rPr>
          <w:rFonts w:ascii="Segoe UI Semibold"/>
          <w:b/>
          <w:color w:val="00779B"/>
        </w:rPr>
        <w:t>resort</w:t>
      </w:r>
      <w:r>
        <w:rPr>
          <w:rFonts w:ascii="Segoe UI Semibold"/>
          <w:b/>
          <w:color w:val="00779B"/>
          <w:spacing w:val="24"/>
        </w:rPr>
        <w:t> </w:t>
      </w:r>
      <w:r>
        <w:rPr>
          <w:rFonts w:ascii="Segoe UI Semibold"/>
          <w:b/>
          <w:color w:val="00779B"/>
        </w:rPr>
        <w:t>and</w:t>
      </w:r>
      <w:r>
        <w:rPr>
          <w:rFonts w:ascii="Segoe UI Semibold"/>
          <w:b/>
          <w:color w:val="00779B"/>
          <w:spacing w:val="-3"/>
        </w:rPr>
        <w:t> </w:t>
      </w:r>
      <w:r>
        <w:rPr>
          <w:rFonts w:ascii="Segoe UI Semibold"/>
          <w:b/>
          <w:color w:val="00779B"/>
          <w:spacing w:val="-1"/>
        </w:rPr>
        <w:t>suspensions</w:t>
      </w:r>
      <w:r>
        <w:rPr>
          <w:rFonts w:ascii="Segoe UI Semibold"/>
          <w:b/>
          <w:color w:val="00779B"/>
          <w:spacing w:val="-2"/>
        </w:rPr>
        <w:t> </w:t>
      </w:r>
      <w:r>
        <w:rPr>
          <w:rFonts w:ascii="Segoe UI Semibold"/>
          <w:b/>
          <w:color w:val="00779B"/>
          <w:spacing w:val="-1"/>
        </w:rPr>
        <w:t>are</w:t>
      </w:r>
      <w:r>
        <w:rPr>
          <w:rFonts w:ascii="Segoe UI Semibold"/>
          <w:b/>
          <w:color w:val="00779B"/>
          <w:spacing w:val="-3"/>
        </w:rPr>
        <w:t> </w:t>
      </w:r>
      <w:r>
        <w:rPr>
          <w:rFonts w:ascii="Segoe UI Semibold"/>
          <w:b/>
          <w:color w:val="00779B"/>
          <w:spacing w:val="-1"/>
        </w:rPr>
        <w:t>avoided</w:t>
      </w:r>
      <w:r>
        <w:rPr>
          <w:rFonts w:ascii="Segoe UI Semibold"/>
          <w:b/>
          <w:color w:val="00779B"/>
          <w:spacing w:val="22"/>
          <w:w w:val="99"/>
        </w:rPr>
        <w:t> </w:t>
      </w:r>
      <w:r>
        <w:rPr>
          <w:rFonts w:ascii="Segoe UI Semibold"/>
          <w:b/>
          <w:color w:val="00779B"/>
          <w:spacing w:val="-2"/>
        </w:rPr>
        <w:t>wherever</w:t>
      </w:r>
      <w:r>
        <w:rPr>
          <w:rFonts w:ascii="Segoe UI Semibold"/>
          <w:b/>
          <w:color w:val="00779B"/>
        </w:rPr>
        <w:t> possible.</w:t>
      </w:r>
      <w:r>
        <w:rPr>
          <w:rFonts w:ascii="Segoe UI Semibold"/>
          <w:b/>
          <w:color w:val="00779B"/>
          <w:spacing w:val="-2"/>
        </w:rPr>
        <w:t> </w:t>
      </w:r>
      <w:r>
        <w:rPr>
          <w:rFonts w:ascii="Segoe UI Semibold"/>
          <w:b/>
          <w:color w:val="00779B"/>
        </w:rPr>
        <w:t>The</w:t>
      </w:r>
      <w:r>
        <w:rPr>
          <w:rFonts w:ascii="Segoe UI Semibold"/>
          <w:b/>
          <w:color w:val="00779B"/>
          <w:spacing w:val="-1"/>
        </w:rPr>
        <w:t> school</w:t>
      </w:r>
      <w:r>
        <w:rPr>
          <w:rFonts w:ascii="Segoe UI Semibold"/>
          <w:b/>
          <w:color w:val="00779B"/>
        </w:rPr>
        <w:t> </w:t>
      </w:r>
      <w:r>
        <w:rPr>
          <w:rFonts w:ascii="Segoe UI Semibold"/>
          <w:b/>
          <w:color w:val="00779B"/>
          <w:spacing w:val="-1"/>
        </w:rPr>
        <w:t>looks</w:t>
      </w:r>
      <w:r>
        <w:rPr>
          <w:rFonts w:ascii="Segoe UI Semibold"/>
          <w:b/>
          <w:color w:val="00779B"/>
          <w:spacing w:val="28"/>
        </w:rPr>
        <w:t> </w:t>
      </w:r>
      <w:r>
        <w:rPr>
          <w:rFonts w:ascii="Segoe UI Semibold"/>
          <w:b/>
          <w:color w:val="00779B"/>
        </w:rPr>
        <w:t>for</w:t>
      </w:r>
      <w:r>
        <w:rPr>
          <w:rFonts w:ascii="Segoe UI Semibold"/>
          <w:b/>
          <w:color w:val="00779B"/>
          <w:spacing w:val="-1"/>
        </w:rPr>
        <w:t> alternative solutions</w:t>
      </w:r>
      <w:r>
        <w:rPr>
          <w:rFonts w:ascii="Segoe UI Semibold"/>
          <w:b/>
          <w:color w:val="00779B"/>
        </w:rPr>
        <w:t> and</w:t>
      </w:r>
      <w:r>
        <w:rPr>
          <w:rFonts w:ascii="Segoe UI Semibold"/>
          <w:b/>
          <w:color w:val="00779B"/>
          <w:spacing w:val="-1"/>
        </w:rPr>
        <w:t> seeks</w:t>
      </w:r>
      <w:r>
        <w:rPr>
          <w:rFonts w:ascii="Segoe UI Semibold"/>
          <w:b/>
          <w:color w:val="00779B"/>
        </w:rPr>
        <w:t> </w:t>
      </w:r>
      <w:r>
        <w:rPr>
          <w:rFonts w:ascii="Segoe UI Semibold"/>
          <w:b/>
          <w:color w:val="00779B"/>
          <w:spacing w:val="-1"/>
        </w:rPr>
        <w:t>to</w:t>
      </w:r>
      <w:r>
        <w:rPr>
          <w:rFonts w:ascii="Segoe UI Semibold"/>
        </w:rPr>
      </w:r>
    </w:p>
    <w:p>
      <w:pPr>
        <w:pStyle w:val="BodyText"/>
        <w:spacing w:line="250" w:lineRule="exact"/>
        <w:ind w:left="734" w:right="382"/>
        <w:jc w:val="left"/>
        <w:rPr>
          <w:rFonts w:ascii="Segoe UI Semibold" w:hAnsi="Segoe UI Semibold" w:cs="Segoe UI Semibold" w:eastAsia="Segoe UI Semibold"/>
        </w:rPr>
      </w:pPr>
      <w:r>
        <w:rPr>
          <w:rFonts w:ascii="Segoe UI Semibold"/>
          <w:b/>
          <w:color w:val="00779B"/>
          <w:spacing w:val="-1"/>
        </w:rPr>
        <w:t>establish the cause </w:t>
      </w:r>
      <w:r>
        <w:rPr>
          <w:rFonts w:ascii="Segoe UI Semibold"/>
          <w:b/>
          <w:color w:val="00779B"/>
        </w:rPr>
        <w:t>for</w:t>
      </w:r>
      <w:r>
        <w:rPr>
          <w:rFonts w:ascii="Segoe UI Semibold"/>
          <w:b/>
          <w:color w:val="00779B"/>
          <w:spacing w:val="-2"/>
        </w:rPr>
        <w:t> </w:t>
      </w:r>
      <w:r>
        <w:rPr>
          <w:rFonts w:ascii="Segoe UI Semibold"/>
          <w:b/>
          <w:color w:val="00779B"/>
        </w:rPr>
        <w:t>poor</w:t>
      </w:r>
      <w:r>
        <w:rPr>
          <w:rFonts w:ascii="Segoe UI Semibold"/>
          <w:b/>
          <w:color w:val="00779B"/>
          <w:spacing w:val="-2"/>
        </w:rPr>
        <w:t> behaviour.</w:t>
      </w:r>
      <w:r>
        <w:rPr>
          <w:rFonts w:ascii="Segoe UI Semibold"/>
          <w:b/>
          <w:color w:val="00779B"/>
          <w:spacing w:val="27"/>
        </w:rPr>
        <w:t> </w:t>
      </w:r>
      <w:r>
        <w:rPr>
          <w:rFonts w:ascii="Segoe UI Semibold"/>
          <w:b/>
          <w:color w:val="00779B"/>
        </w:rPr>
        <w:t>Bad</w:t>
      </w:r>
      <w:r>
        <w:rPr>
          <w:rFonts w:ascii="Segoe UI Semibold"/>
          <w:b/>
          <w:color w:val="00779B"/>
          <w:spacing w:val="-1"/>
        </w:rPr>
        <w:t> </w:t>
      </w:r>
      <w:r>
        <w:rPr>
          <w:rFonts w:ascii="Segoe UI Semibold"/>
          <w:b/>
          <w:color w:val="00779B"/>
        </w:rPr>
        <w:t>behaviour</w:t>
      </w:r>
      <w:r>
        <w:rPr>
          <w:rFonts w:ascii="Segoe UI Semibold"/>
          <w:b/>
          <w:color w:val="00779B"/>
          <w:spacing w:val="-3"/>
        </w:rPr>
        <w:t> </w:t>
      </w:r>
      <w:r>
        <w:rPr>
          <w:rFonts w:ascii="Segoe UI Semibold"/>
          <w:b/>
          <w:color w:val="00779B"/>
        </w:rPr>
        <w:t>has been</w:t>
      </w:r>
      <w:r>
        <w:rPr>
          <w:rFonts w:ascii="Segoe UI Semibold"/>
          <w:b/>
          <w:color w:val="00779B"/>
          <w:spacing w:val="-2"/>
        </w:rPr>
        <w:t> </w:t>
      </w:r>
      <w:r>
        <w:rPr>
          <w:rFonts w:ascii="Segoe UI Semibold"/>
          <w:b/>
          <w:color w:val="00779B"/>
          <w:spacing w:val="-1"/>
        </w:rPr>
        <w:t>used</w:t>
      </w:r>
      <w:r>
        <w:rPr>
          <w:rFonts w:ascii="Segoe UI Semibold"/>
          <w:b/>
          <w:color w:val="00779B"/>
        </w:rPr>
        <w:t> at</w:t>
      </w:r>
      <w:r>
        <w:rPr>
          <w:rFonts w:ascii="Segoe UI Semibold"/>
          <w:b/>
          <w:color w:val="00779B"/>
          <w:spacing w:val="-2"/>
        </w:rPr>
        <w:t> </w:t>
      </w:r>
      <w:r>
        <w:rPr>
          <w:rFonts w:ascii="Segoe UI Semibold"/>
          <w:b/>
          <w:color w:val="00779B"/>
          <w:spacing w:val="-1"/>
        </w:rPr>
        <w:t>times</w:t>
      </w:r>
      <w:r>
        <w:rPr>
          <w:rFonts w:ascii="Segoe UI Semibold"/>
          <w:b/>
          <w:color w:val="00779B"/>
          <w:spacing w:val="21"/>
        </w:rPr>
        <w:t> </w:t>
      </w:r>
      <w:r>
        <w:rPr>
          <w:rFonts w:ascii="Segoe UI Semibold"/>
          <w:b/>
          <w:color w:val="00779B"/>
          <w:spacing w:val="-1"/>
        </w:rPr>
        <w:t>in</w:t>
      </w:r>
      <w:r>
        <w:rPr>
          <w:rFonts w:ascii="Segoe UI Semibold"/>
          <w:b/>
          <w:color w:val="00779B"/>
          <w:spacing w:val="-3"/>
        </w:rPr>
        <w:t> </w:t>
      </w:r>
      <w:r>
        <w:rPr>
          <w:rFonts w:ascii="Segoe UI Semibold"/>
          <w:b/>
          <w:color w:val="00779B"/>
          <w:spacing w:val="-1"/>
        </w:rPr>
        <w:t>order</w:t>
      </w:r>
      <w:r>
        <w:rPr>
          <w:rFonts w:ascii="Segoe UI Semibold"/>
          <w:b/>
          <w:color w:val="00779B"/>
          <w:spacing w:val="-2"/>
        </w:rPr>
        <w:t> </w:t>
      </w:r>
      <w:r>
        <w:rPr>
          <w:rFonts w:ascii="Segoe UI Semibold"/>
          <w:b/>
          <w:color w:val="00779B"/>
          <w:spacing w:val="-1"/>
        </w:rPr>
        <w:t>to</w:t>
      </w:r>
      <w:r>
        <w:rPr>
          <w:rFonts w:ascii="Segoe UI Semibold"/>
          <w:b/>
          <w:color w:val="00779B"/>
          <w:spacing w:val="-2"/>
        </w:rPr>
        <w:t> </w:t>
      </w:r>
      <w:r>
        <w:rPr>
          <w:rFonts w:ascii="Segoe UI Semibold"/>
          <w:b/>
          <w:color w:val="00779B"/>
          <w:spacing w:val="-1"/>
        </w:rPr>
        <w:t>achieve</w:t>
      </w:r>
      <w:r>
        <w:rPr>
          <w:rFonts w:ascii="Segoe UI Semibold"/>
          <w:b/>
          <w:color w:val="00779B"/>
          <w:spacing w:val="-2"/>
        </w:rPr>
        <w:t> </w:t>
      </w:r>
      <w:r>
        <w:rPr>
          <w:rFonts w:ascii="Segoe UI Semibold"/>
          <w:b/>
          <w:color w:val="00779B"/>
        </w:rPr>
        <w:t>a</w:t>
      </w:r>
      <w:r>
        <w:rPr>
          <w:rFonts w:ascii="Segoe UI Semibold"/>
          <w:b/>
          <w:color w:val="00779B"/>
          <w:spacing w:val="-1"/>
        </w:rPr>
        <w:t> desired </w:t>
      </w:r>
      <w:r>
        <w:rPr>
          <w:rFonts w:ascii="Segoe UI Semibold"/>
          <w:b/>
          <w:color w:val="00779B"/>
          <w:spacing w:val="-2"/>
        </w:rPr>
        <w:t>result,</w:t>
      </w:r>
      <w:r>
        <w:rPr>
          <w:rFonts w:ascii="Segoe UI Semibold"/>
          <w:b/>
          <w:color w:val="00779B"/>
          <w:spacing w:val="34"/>
        </w:rPr>
        <w:t> </w:t>
      </w:r>
      <w:r>
        <w:rPr>
          <w:rFonts w:ascii="Segoe UI Semibold"/>
          <w:b/>
          <w:color w:val="00779B"/>
          <w:spacing w:val="-1"/>
        </w:rPr>
        <w:t>such </w:t>
      </w:r>
      <w:r>
        <w:rPr>
          <w:rFonts w:ascii="Segoe UI Semibold"/>
          <w:b/>
          <w:color w:val="00779B"/>
        </w:rPr>
        <w:t>as</w:t>
      </w:r>
      <w:r>
        <w:rPr>
          <w:rFonts w:ascii="Segoe UI Semibold"/>
          <w:b/>
          <w:color w:val="00779B"/>
          <w:spacing w:val="-1"/>
        </w:rPr>
        <w:t> where </w:t>
      </w:r>
      <w:r>
        <w:rPr>
          <w:rFonts w:ascii="Segoe UI Semibold"/>
          <w:b/>
          <w:color w:val="00779B"/>
        </w:rPr>
        <w:t>a </w:t>
      </w:r>
      <w:r>
        <w:rPr>
          <w:rFonts w:ascii="Segoe UI Semibold"/>
          <w:b/>
          <w:color w:val="00779B"/>
          <w:spacing w:val="-1"/>
        </w:rPr>
        <w:t>student desperately</w:t>
      </w:r>
      <w:r>
        <w:rPr>
          <w:rFonts w:ascii="Segoe UI Semibold"/>
          <w:b/>
          <w:color w:val="00779B"/>
          <w:spacing w:val="28"/>
        </w:rPr>
        <w:t> </w:t>
      </w:r>
      <w:r>
        <w:rPr>
          <w:rFonts w:ascii="Segoe UI Semibold"/>
          <w:b/>
          <w:color w:val="00779B"/>
          <w:spacing w:val="-1"/>
        </w:rPr>
        <w:t>wants to </w:t>
      </w:r>
      <w:r>
        <w:rPr>
          <w:rFonts w:ascii="Segoe UI Semibold"/>
          <w:b/>
          <w:color w:val="00779B"/>
        </w:rPr>
        <w:t>go</w:t>
      </w:r>
      <w:r>
        <w:rPr>
          <w:rFonts w:ascii="Segoe UI Semibold"/>
          <w:b/>
          <w:color w:val="00779B"/>
          <w:spacing w:val="-2"/>
        </w:rPr>
        <w:t> </w:t>
      </w:r>
      <w:r>
        <w:rPr>
          <w:rFonts w:ascii="Segoe UI Semibold"/>
          <w:b/>
          <w:color w:val="00779B"/>
        </w:rPr>
        <w:t>home,</w:t>
      </w:r>
      <w:r>
        <w:rPr>
          <w:rFonts w:ascii="Segoe UI Semibold"/>
          <w:b/>
          <w:color w:val="00779B"/>
          <w:spacing w:val="-1"/>
        </w:rPr>
        <w:t> so</w:t>
      </w:r>
      <w:r>
        <w:rPr>
          <w:rFonts w:ascii="Segoe UI Semibold"/>
          <w:b/>
          <w:color w:val="00779B"/>
        </w:rPr>
        <w:t> </w:t>
      </w:r>
      <w:r>
        <w:rPr>
          <w:rFonts w:ascii="Segoe UI Semibold"/>
          <w:b/>
          <w:color w:val="00779B"/>
          <w:spacing w:val="-1"/>
        </w:rPr>
        <w:t>they behave</w:t>
      </w:r>
      <w:r>
        <w:rPr>
          <w:rFonts w:ascii="Segoe UI Semibold"/>
        </w:rPr>
      </w:r>
    </w:p>
    <w:p>
      <w:pPr>
        <w:pStyle w:val="BodyText"/>
        <w:spacing w:line="250" w:lineRule="exact"/>
        <w:ind w:left="734" w:right="583"/>
        <w:jc w:val="left"/>
        <w:rPr>
          <w:rFonts w:ascii="Segoe UI Semibold" w:hAnsi="Segoe UI Semibold" w:cs="Segoe UI Semibold" w:eastAsia="Segoe UI Semibold"/>
        </w:rPr>
      </w:pPr>
      <w:r>
        <w:rPr>
          <w:rFonts w:ascii="Segoe UI Semibold"/>
          <w:b/>
          <w:color w:val="00779B"/>
          <w:spacing w:val="-1"/>
        </w:rPr>
        <w:t>in</w:t>
      </w:r>
      <w:r>
        <w:rPr>
          <w:rFonts w:ascii="Segoe UI Semibold"/>
          <w:b/>
          <w:color w:val="00779B"/>
          <w:spacing w:val="-2"/>
        </w:rPr>
        <w:t> </w:t>
      </w:r>
      <w:r>
        <w:rPr>
          <w:rFonts w:ascii="Segoe UI Semibold"/>
          <w:b/>
          <w:color w:val="00779B"/>
        </w:rPr>
        <w:t>a</w:t>
      </w:r>
      <w:r>
        <w:rPr>
          <w:rFonts w:ascii="Segoe UI Semibold"/>
          <w:b/>
          <w:color w:val="00779B"/>
          <w:spacing w:val="-1"/>
        </w:rPr>
        <w:t> way that</w:t>
      </w:r>
      <w:r>
        <w:rPr>
          <w:rFonts w:ascii="Segoe UI Semibold"/>
          <w:b/>
          <w:color w:val="00779B"/>
        </w:rPr>
        <w:t> </w:t>
      </w:r>
      <w:r>
        <w:rPr>
          <w:rFonts w:ascii="Segoe UI Semibold"/>
          <w:b/>
          <w:color w:val="00779B"/>
          <w:spacing w:val="-1"/>
        </w:rPr>
        <w:t>will lead to expulsion</w:t>
      </w:r>
      <w:r>
        <w:rPr>
          <w:rFonts w:ascii="Segoe UI Semibold"/>
          <w:b/>
          <w:color w:val="00779B"/>
          <w:spacing w:val="26"/>
        </w:rPr>
        <w:t> </w:t>
      </w:r>
      <w:r>
        <w:rPr>
          <w:rFonts w:ascii="Segoe UI Semibold"/>
          <w:b/>
          <w:color w:val="00779B"/>
          <w:spacing w:val="-1"/>
        </w:rPr>
        <w:t>or </w:t>
      </w:r>
      <w:r>
        <w:rPr>
          <w:rFonts w:ascii="Segoe UI Semibold"/>
          <w:b/>
          <w:color w:val="00779B"/>
        </w:rPr>
        <w:t>being</w:t>
      </w:r>
      <w:r>
        <w:rPr>
          <w:rFonts w:ascii="Segoe UI Semibold"/>
          <w:b/>
          <w:color w:val="00779B"/>
          <w:spacing w:val="-1"/>
        </w:rPr>
        <w:t> sent </w:t>
      </w:r>
      <w:r>
        <w:rPr>
          <w:rFonts w:ascii="Segoe UI Semibold"/>
          <w:b/>
          <w:color w:val="00779B"/>
        </w:rPr>
        <w:t>home.</w:t>
      </w:r>
      <w:r>
        <w:rPr>
          <w:rFonts w:ascii="Segoe UI Semibold"/>
          <w:b/>
          <w:color w:val="00779B"/>
          <w:spacing w:val="-1"/>
        </w:rPr>
        <w:t> </w:t>
      </w:r>
      <w:r>
        <w:rPr>
          <w:rFonts w:ascii="Segoe UI Semibold"/>
          <w:b/>
          <w:color w:val="00779B"/>
        </w:rPr>
        <w:t>By</w:t>
      </w:r>
      <w:r>
        <w:rPr>
          <w:rFonts w:ascii="Segoe UI Semibold"/>
          <w:b/>
          <w:color w:val="00779B"/>
          <w:spacing w:val="-1"/>
        </w:rPr>
        <w:t> developing </w:t>
      </w:r>
      <w:r>
        <w:rPr>
          <w:rFonts w:ascii="Segoe UI Semibold"/>
          <w:b/>
          <w:color w:val="00779B"/>
        </w:rPr>
        <w:t>a</w:t>
      </w:r>
      <w:r>
        <w:rPr>
          <w:rFonts w:ascii="Segoe UI Semibold"/>
          <w:b/>
          <w:color w:val="00779B"/>
          <w:spacing w:val="25"/>
          <w:w w:val="99"/>
        </w:rPr>
        <w:t> </w:t>
      </w:r>
      <w:r>
        <w:rPr>
          <w:rFonts w:ascii="Segoe UI Semibold"/>
          <w:b/>
          <w:color w:val="00779B"/>
          <w:spacing w:val="-1"/>
        </w:rPr>
        <w:t>close</w:t>
      </w:r>
      <w:r>
        <w:rPr>
          <w:rFonts w:ascii="Segoe UI Semibold"/>
          <w:b/>
          <w:color w:val="00779B"/>
        </w:rPr>
        <w:t> </w:t>
      </w:r>
      <w:r>
        <w:rPr>
          <w:rFonts w:ascii="Segoe UI Semibold"/>
          <w:b/>
          <w:color w:val="00779B"/>
          <w:spacing w:val="-1"/>
        </w:rPr>
        <w:t>working</w:t>
      </w:r>
      <w:r>
        <w:rPr>
          <w:rFonts w:ascii="Segoe UI Semibold"/>
          <w:b/>
          <w:color w:val="00779B"/>
        </w:rPr>
        <w:t> </w:t>
      </w:r>
      <w:r>
        <w:rPr>
          <w:rFonts w:ascii="Segoe UI Semibold"/>
          <w:b/>
          <w:color w:val="00779B"/>
          <w:spacing w:val="-1"/>
        </w:rPr>
        <w:t>relationship</w:t>
      </w:r>
      <w:r>
        <w:rPr>
          <w:rFonts w:ascii="Segoe UI Semibold"/>
          <w:b/>
          <w:color w:val="00779B"/>
        </w:rPr>
        <w:t> </w:t>
      </w:r>
      <w:r>
        <w:rPr>
          <w:rFonts w:ascii="Segoe UI Semibold"/>
          <w:b/>
          <w:color w:val="00779B"/>
          <w:spacing w:val="-1"/>
        </w:rPr>
        <w:t>with</w:t>
      </w:r>
      <w:r>
        <w:rPr>
          <w:rFonts w:ascii="Segoe UI Semibold"/>
          <w:b/>
          <w:color w:val="00779B"/>
        </w:rPr>
        <w:t> </w:t>
      </w:r>
      <w:r>
        <w:rPr>
          <w:rFonts w:ascii="Segoe UI Semibold"/>
          <w:b/>
          <w:color w:val="00779B"/>
          <w:spacing w:val="-1"/>
        </w:rPr>
        <w:t>each</w:t>
      </w:r>
      <w:r>
        <w:rPr>
          <w:rFonts w:ascii="Segoe UI Semibold"/>
        </w:rPr>
      </w:r>
    </w:p>
    <w:p>
      <w:pPr>
        <w:pStyle w:val="BodyText"/>
        <w:spacing w:line="250" w:lineRule="exact"/>
        <w:ind w:left="734" w:right="343"/>
        <w:jc w:val="left"/>
        <w:rPr>
          <w:rFonts w:ascii="Segoe UI Semibold" w:hAnsi="Segoe UI Semibold" w:cs="Segoe UI Semibold" w:eastAsia="Segoe UI Semibold"/>
        </w:rPr>
      </w:pPr>
      <w:r>
        <w:rPr/>
        <w:pict>
          <v:group style="position:absolute;margin-left:517.322815pt;margin-top:85.525986pt;width:.1pt;height:.1pt;mso-position-horizontal-relative:page;mso-position-vertical-relative:paragraph;z-index:4432" coordorigin="10346,1711" coordsize="2,2">
            <v:shape style="position:absolute;left:10346;top:1711;width:2;height:2" coordorigin="10346,1711" coordsize="0,0" path="m10346,1711l10346,1711e" filled="false" stroked="true" strokeweight="2pt" strokecolor="#355f92">
              <v:path arrowok="t"/>
            </v:shape>
            <w10:wrap type="none"/>
          </v:group>
        </w:pict>
      </w:r>
      <w:r>
        <w:rPr>
          <w:rFonts w:ascii="Segoe UI Semibold"/>
          <w:b/>
          <w:color w:val="00779B"/>
        </w:rPr>
        <w:t>student,</w:t>
      </w:r>
      <w:r>
        <w:rPr>
          <w:rFonts w:ascii="Segoe UI Semibold"/>
          <w:b/>
          <w:color w:val="00779B"/>
          <w:spacing w:val="-3"/>
        </w:rPr>
        <w:t> </w:t>
      </w:r>
      <w:r>
        <w:rPr>
          <w:rFonts w:ascii="Segoe UI Semibold"/>
          <w:b/>
          <w:color w:val="00779B"/>
        </w:rPr>
        <w:t>and</w:t>
      </w:r>
      <w:r>
        <w:rPr>
          <w:rFonts w:ascii="Segoe UI Semibold"/>
          <w:b/>
          <w:color w:val="00779B"/>
          <w:spacing w:val="-2"/>
        </w:rPr>
        <w:t> </w:t>
      </w:r>
      <w:r>
        <w:rPr>
          <w:rFonts w:ascii="Segoe UI Semibold"/>
          <w:b/>
          <w:color w:val="00779B"/>
        </w:rPr>
        <w:t>gaining</w:t>
      </w:r>
      <w:r>
        <w:rPr>
          <w:rFonts w:ascii="Segoe UI Semibold"/>
          <w:b/>
          <w:color w:val="00779B"/>
          <w:spacing w:val="-3"/>
        </w:rPr>
        <w:t> </w:t>
      </w:r>
      <w:r>
        <w:rPr>
          <w:rFonts w:ascii="Segoe UI Semibold"/>
          <w:b/>
          <w:color w:val="00779B"/>
        </w:rPr>
        <w:t>their</w:t>
      </w:r>
      <w:r>
        <w:rPr>
          <w:rFonts w:ascii="Segoe UI Semibold"/>
          <w:b/>
          <w:color w:val="00779B"/>
          <w:spacing w:val="-2"/>
        </w:rPr>
        <w:t> </w:t>
      </w:r>
      <w:r>
        <w:rPr>
          <w:rFonts w:ascii="Segoe UI Semibold"/>
          <w:b/>
          <w:color w:val="00779B"/>
        </w:rPr>
        <w:t>confidence</w:t>
      </w:r>
      <w:r>
        <w:rPr>
          <w:rFonts w:ascii="Segoe UI Semibold"/>
          <w:b/>
          <w:color w:val="00779B"/>
          <w:w w:val="99"/>
        </w:rPr>
        <w:t> </w:t>
      </w:r>
      <w:r>
        <w:rPr>
          <w:rFonts w:ascii="Segoe UI Semibold"/>
          <w:b/>
          <w:color w:val="00779B"/>
        </w:rPr>
        <w:t>and</w:t>
      </w:r>
      <w:r>
        <w:rPr>
          <w:rFonts w:ascii="Segoe UI Semibold"/>
          <w:b/>
          <w:color w:val="00779B"/>
          <w:spacing w:val="-2"/>
        </w:rPr>
        <w:t> </w:t>
      </w:r>
      <w:r>
        <w:rPr>
          <w:rFonts w:ascii="Segoe UI Semibold"/>
          <w:b/>
          <w:color w:val="00779B"/>
          <w:spacing w:val="-1"/>
        </w:rPr>
        <w:t>trust,</w:t>
      </w:r>
      <w:r>
        <w:rPr>
          <w:rFonts w:ascii="Segoe UI Semibold"/>
          <w:b/>
          <w:color w:val="00779B"/>
        </w:rPr>
        <w:t> </w:t>
      </w:r>
      <w:r>
        <w:rPr>
          <w:rFonts w:ascii="Segoe UI Semibold"/>
          <w:b/>
          <w:color w:val="00779B"/>
          <w:spacing w:val="-1"/>
        </w:rPr>
        <w:t>issues can</w:t>
      </w:r>
      <w:r>
        <w:rPr>
          <w:rFonts w:ascii="Segoe UI Semibold"/>
          <w:b/>
          <w:color w:val="00779B"/>
        </w:rPr>
        <w:t> </w:t>
      </w:r>
      <w:r>
        <w:rPr>
          <w:rFonts w:ascii="Segoe UI Semibold"/>
          <w:b/>
          <w:color w:val="00779B"/>
          <w:spacing w:val="-1"/>
        </w:rPr>
        <w:t>sometimes </w:t>
      </w:r>
      <w:r>
        <w:rPr>
          <w:rFonts w:ascii="Segoe UI Semibold"/>
          <w:b/>
          <w:color w:val="00779B"/>
        </w:rPr>
        <w:t>be</w:t>
      </w:r>
      <w:r>
        <w:rPr>
          <w:rFonts w:ascii="Segoe UI Semibold"/>
          <w:b/>
          <w:color w:val="00779B"/>
          <w:spacing w:val="25"/>
          <w:w w:val="99"/>
        </w:rPr>
        <w:t> </w:t>
      </w:r>
      <w:r>
        <w:rPr>
          <w:rFonts w:ascii="Segoe UI Semibold"/>
          <w:b/>
          <w:color w:val="00779B"/>
        </w:rPr>
        <w:t>dealt</w:t>
      </w:r>
      <w:r>
        <w:rPr>
          <w:rFonts w:ascii="Segoe UI Semibold"/>
          <w:b/>
          <w:color w:val="00779B"/>
          <w:spacing w:val="-4"/>
        </w:rPr>
        <w:t> </w:t>
      </w:r>
      <w:r>
        <w:rPr>
          <w:rFonts w:ascii="Segoe UI Semibold"/>
          <w:b/>
          <w:color w:val="00779B"/>
          <w:spacing w:val="-1"/>
        </w:rPr>
        <w:t>with</w:t>
      </w:r>
      <w:r>
        <w:rPr>
          <w:rFonts w:ascii="Segoe UI Semibold"/>
          <w:b/>
          <w:color w:val="00779B"/>
          <w:spacing w:val="-2"/>
        </w:rPr>
        <w:t> proactively,</w:t>
      </w:r>
      <w:r>
        <w:rPr>
          <w:rFonts w:ascii="Segoe UI Semibold"/>
          <w:b/>
          <w:color w:val="00779B"/>
          <w:spacing w:val="-4"/>
        </w:rPr>
        <w:t> </w:t>
      </w:r>
      <w:r>
        <w:rPr>
          <w:rFonts w:ascii="Segoe UI Semibold"/>
          <w:b/>
          <w:color w:val="00779B"/>
          <w:spacing w:val="-1"/>
        </w:rPr>
        <w:t>thereby</w:t>
      </w:r>
      <w:r>
        <w:rPr>
          <w:rFonts w:ascii="Segoe UI Semibold"/>
          <w:b/>
          <w:color w:val="00779B"/>
          <w:spacing w:val="-2"/>
        </w:rPr>
        <w:t> </w:t>
      </w:r>
      <w:r>
        <w:rPr>
          <w:rFonts w:ascii="Segoe UI Semibold"/>
          <w:b/>
          <w:color w:val="00779B"/>
          <w:spacing w:val="-1"/>
        </w:rPr>
        <w:t>avoiding</w:t>
      </w:r>
      <w:r>
        <w:rPr>
          <w:rFonts w:ascii="Segoe UI Semibold"/>
          <w:b/>
          <w:color w:val="00779B"/>
          <w:spacing w:val="25"/>
        </w:rPr>
        <w:t> </w:t>
      </w:r>
      <w:r>
        <w:rPr>
          <w:rFonts w:ascii="Segoe UI Semibold"/>
          <w:b/>
          <w:color w:val="00779B"/>
          <w:spacing w:val="-1"/>
        </w:rPr>
        <w:t>consequential</w:t>
      </w:r>
      <w:r>
        <w:rPr>
          <w:rFonts w:ascii="Segoe UI Semibold"/>
          <w:b/>
          <w:color w:val="00779B"/>
          <w:spacing w:val="-2"/>
        </w:rPr>
        <w:t> </w:t>
      </w:r>
      <w:r>
        <w:rPr>
          <w:rFonts w:ascii="Segoe UI Semibold"/>
          <w:b/>
          <w:color w:val="00779B"/>
          <w:spacing w:val="-1"/>
        </w:rPr>
        <w:t>bad</w:t>
      </w:r>
      <w:r>
        <w:rPr>
          <w:rFonts w:ascii="Segoe UI Semibold"/>
          <w:b/>
          <w:color w:val="00779B"/>
          <w:spacing w:val="-2"/>
        </w:rPr>
        <w:t> behaviour.</w:t>
      </w:r>
      <w:r>
        <w:rPr>
          <w:rFonts w:ascii="Segoe UI Semibold"/>
        </w:rPr>
      </w:r>
    </w:p>
    <w:p>
      <w:pPr>
        <w:spacing w:after="0" w:line="250" w:lineRule="exact"/>
        <w:jc w:val="left"/>
        <w:rPr>
          <w:rFonts w:ascii="Segoe UI Semibold" w:hAnsi="Segoe UI Semibold" w:cs="Segoe UI Semibold" w:eastAsia="Segoe UI Semibold"/>
        </w:rPr>
        <w:sectPr>
          <w:type w:val="continuous"/>
          <w:pgSz w:w="11910" w:h="16840"/>
          <w:pgMar w:top="1580" w:bottom="280" w:left="1420" w:right="1300"/>
          <w:cols w:num="2" w:equalWidth="0">
            <w:col w:w="4450" w:space="86"/>
            <w:col w:w="4654"/>
          </w:cols>
        </w:sectPr>
      </w:pPr>
    </w:p>
    <w:p>
      <w:pPr>
        <w:spacing w:line="240" w:lineRule="auto" w:before="0"/>
        <w:rPr>
          <w:rFonts w:ascii="Segoe UI Semibold" w:hAnsi="Segoe UI Semibold" w:cs="Segoe UI Semibold" w:eastAsia="Segoe UI Semibold"/>
          <w:b/>
          <w:bCs/>
          <w:sz w:val="20"/>
          <w:szCs w:val="20"/>
        </w:rPr>
      </w:pPr>
      <w:r>
        <w:rPr/>
        <w:pict>
          <v:group style="position:absolute;margin-left:77.952797pt;margin-top:635.413391pt;width:.1pt;height:.1pt;mso-position-horizontal-relative:page;mso-position-vertical-relative:page;z-index:-225808" coordorigin="1559,12708" coordsize="2,2">
            <v:shape style="position:absolute;left:1559;top:12708;width:2;height:2" coordorigin="1559,12708" coordsize="0,0" path="m1559,12708l1559,12708e" filled="false" stroked="true" strokeweight="2pt" strokecolor="#355f92">
              <v:path arrowok="t"/>
            </v:shape>
            <w10:wrap type="none"/>
          </v:group>
        </w:pict>
      </w:r>
      <w:r>
        <w:rPr/>
        <w:pict>
          <v:group style="position:absolute;margin-left:517.322815pt;margin-top:635.413391pt;width:.1pt;height:.1pt;mso-position-horizontal-relative:page;mso-position-vertical-relative:page;z-index:-225784" coordorigin="10346,12708" coordsize="2,2">
            <v:shape style="position:absolute;left:10346;top:12708;width:2;height:2" coordorigin="10346,12708" coordsize="0,0" path="m10346,12708l10346,12708e" filled="false" stroked="true" strokeweight="2pt" strokecolor="#355f92">
              <v:path arrowok="t"/>
            </v:shape>
            <w10:wrap type="none"/>
          </v:group>
        </w:pict>
      </w:r>
    </w:p>
    <w:p>
      <w:pPr>
        <w:spacing w:line="240" w:lineRule="auto" w:before="0"/>
        <w:rPr>
          <w:rFonts w:ascii="Segoe UI Semibold" w:hAnsi="Segoe UI Semibold" w:cs="Segoe UI Semibold" w:eastAsia="Segoe UI Semibold"/>
          <w:b/>
          <w:bCs/>
          <w:sz w:val="20"/>
          <w:szCs w:val="20"/>
        </w:rPr>
      </w:pPr>
    </w:p>
    <w:p>
      <w:pPr>
        <w:spacing w:line="240" w:lineRule="auto" w:before="6"/>
        <w:rPr>
          <w:rFonts w:ascii="Segoe UI Semibold" w:hAnsi="Segoe UI Semibold" w:cs="Segoe UI Semibold" w:eastAsia="Segoe UI Semibold"/>
          <w:b/>
          <w:bCs/>
          <w:sz w:val="13"/>
          <w:szCs w:val="13"/>
        </w:rPr>
      </w:pPr>
    </w:p>
    <w:p>
      <w:pPr>
        <w:spacing w:line="200" w:lineRule="atLeast"/>
        <w:ind w:left="139" w:right="0" w:firstLine="0"/>
        <w:rPr>
          <w:rFonts w:ascii="Segoe UI Semibold" w:hAnsi="Segoe UI Semibold" w:cs="Segoe UI Semibold" w:eastAsia="Segoe UI Semibold"/>
          <w:sz w:val="20"/>
          <w:szCs w:val="20"/>
        </w:rPr>
      </w:pPr>
      <w:r>
        <w:rPr>
          <w:rFonts w:ascii="Segoe UI Semibold" w:hAnsi="Segoe UI Semibold" w:cs="Segoe UI Semibold" w:eastAsia="Segoe UI Semibold"/>
          <w:sz w:val="20"/>
          <w:szCs w:val="20"/>
        </w:rPr>
        <w:pict>
          <v:shape style="width:439.4pt;height:108.55pt;mso-position-horizontal-relative:char;mso-position-vertical-relative:line" type="#_x0000_t202" filled="true" fillcolor="#ecf1f5" stroked="true" strokeweight="2pt" strokecolor="#355f92">
            <v:textbox inset="0,0,0,0">
              <w:txbxContent>
                <w:p>
                  <w:pPr>
                    <w:spacing w:before="216"/>
                    <w:ind w:left="298" w:right="0" w:firstLine="0"/>
                    <w:jc w:val="left"/>
                    <w:rPr>
                      <w:rFonts w:ascii="Segoe UI Semibold" w:hAnsi="Segoe UI Semibold" w:cs="Segoe UI Semibold" w:eastAsia="Segoe UI Semibold"/>
                      <w:sz w:val="24"/>
                      <w:szCs w:val="24"/>
                    </w:rPr>
                  </w:pPr>
                  <w:r>
                    <w:rPr>
                      <w:rFonts w:ascii="Segoe UI Semibold"/>
                      <w:b/>
                      <w:color w:val="452A70"/>
                      <w:spacing w:val="-2"/>
                      <w:sz w:val="24"/>
                    </w:rPr>
                    <w:t>RECOMMENDATION</w:t>
                  </w:r>
                  <w:r>
                    <w:rPr>
                      <w:rFonts w:ascii="Segoe UI Semibold"/>
                      <w:b/>
                      <w:color w:val="452A70"/>
                      <w:spacing w:val="-8"/>
                      <w:sz w:val="24"/>
                    </w:rPr>
                    <w:t> </w:t>
                  </w:r>
                  <w:r>
                    <w:rPr>
                      <w:rFonts w:ascii="Segoe UI Semibold"/>
                      <w:b/>
                      <w:color w:val="452A70"/>
                      <w:spacing w:val="-1"/>
                      <w:sz w:val="24"/>
                    </w:rPr>
                    <w:t>8:</w:t>
                  </w:r>
                  <w:r>
                    <w:rPr>
                      <w:rFonts w:ascii="Segoe UI Semibold"/>
                      <w:b/>
                      <w:color w:val="452A70"/>
                      <w:spacing w:val="-8"/>
                      <w:sz w:val="24"/>
                    </w:rPr>
                    <w:t> </w:t>
                  </w:r>
                  <w:r>
                    <w:rPr>
                      <w:rFonts w:ascii="Segoe UI Semibold"/>
                      <w:b/>
                      <w:color w:val="452A70"/>
                      <w:spacing w:val="-1"/>
                      <w:sz w:val="24"/>
                    </w:rPr>
                    <w:t>ABSTUDY</w:t>
                  </w:r>
                  <w:r>
                    <w:rPr>
                      <w:rFonts w:ascii="Segoe UI Semibold"/>
                      <w:b/>
                      <w:color w:val="452A70"/>
                      <w:spacing w:val="-7"/>
                      <w:sz w:val="24"/>
                    </w:rPr>
                    <w:t> </w:t>
                  </w:r>
                  <w:r>
                    <w:rPr>
                      <w:rFonts w:ascii="Segoe UI Semibold"/>
                      <w:b/>
                      <w:color w:val="452A70"/>
                      <w:spacing w:val="-3"/>
                      <w:sz w:val="24"/>
                    </w:rPr>
                    <w:t>TRAVEL</w:t>
                  </w:r>
                  <w:r>
                    <w:rPr>
                      <w:rFonts w:ascii="Segoe UI Semibold"/>
                      <w:b/>
                      <w:color w:val="452A70"/>
                      <w:spacing w:val="-8"/>
                      <w:sz w:val="24"/>
                    </w:rPr>
                    <w:t> </w:t>
                  </w:r>
                  <w:r>
                    <w:rPr>
                      <w:rFonts w:ascii="Segoe UI Semibold"/>
                      <w:b/>
                      <w:color w:val="452A70"/>
                      <w:spacing w:val="-1"/>
                      <w:sz w:val="24"/>
                    </w:rPr>
                    <w:t>POLICIES</w:t>
                  </w:r>
                  <w:r>
                    <w:rPr>
                      <w:rFonts w:ascii="Segoe UI Semibold"/>
                      <w:sz w:val="24"/>
                    </w:rPr>
                  </w:r>
                </w:p>
                <w:p>
                  <w:pPr>
                    <w:spacing w:line="250" w:lineRule="exact" w:before="131"/>
                    <w:ind w:left="298" w:right="234" w:firstLine="0"/>
                    <w:jc w:val="left"/>
                    <w:rPr>
                      <w:rFonts w:ascii="Segoe UI Semibold" w:hAnsi="Segoe UI Semibold" w:cs="Segoe UI Semibold" w:eastAsia="Segoe UI Semibold"/>
                      <w:sz w:val="11"/>
                      <w:szCs w:val="11"/>
                    </w:rPr>
                  </w:pPr>
                  <w:r>
                    <w:rPr>
                      <w:rFonts w:ascii="Segoe UI"/>
                      <w:color w:val="452A70"/>
                      <w:spacing w:val="-1"/>
                      <w:sz w:val="20"/>
                    </w:rPr>
                    <w:t>Review</w:t>
                  </w:r>
                  <w:r>
                    <w:rPr>
                      <w:rFonts w:ascii="Segoe UI"/>
                      <w:color w:val="452A70"/>
                      <w:sz w:val="20"/>
                    </w:rPr>
                    <w:t> ABSTUDY travel policy to provide greater flexibility for weekend travel, and for travel</w:t>
                  </w:r>
                  <w:r>
                    <w:rPr>
                      <w:rFonts w:ascii="Segoe UI"/>
                      <w:color w:val="452A70"/>
                      <w:spacing w:val="20"/>
                      <w:sz w:val="20"/>
                    </w:rPr>
                    <w:t> </w:t>
                  </w:r>
                  <w:r>
                    <w:rPr>
                      <w:rFonts w:ascii="Segoe UI"/>
                      <w:color w:val="452A70"/>
                      <w:sz w:val="20"/>
                    </w:rPr>
                    <w:t>assistance</w:t>
                  </w:r>
                  <w:r>
                    <w:rPr>
                      <w:rFonts w:ascii="Segoe UI"/>
                      <w:color w:val="452A70"/>
                      <w:spacing w:val="-5"/>
                      <w:sz w:val="20"/>
                    </w:rPr>
                    <w:t> </w:t>
                  </w:r>
                  <w:r>
                    <w:rPr>
                      <w:rFonts w:ascii="Segoe UI"/>
                      <w:color w:val="452A70"/>
                      <w:sz w:val="20"/>
                    </w:rPr>
                    <w:t>where</w:t>
                  </w:r>
                  <w:r>
                    <w:rPr>
                      <w:rFonts w:ascii="Segoe UI"/>
                      <w:color w:val="452A70"/>
                      <w:spacing w:val="-4"/>
                      <w:sz w:val="20"/>
                    </w:rPr>
                    <w:t> </w:t>
                  </w:r>
                  <w:r>
                    <w:rPr>
                      <w:rFonts w:ascii="Segoe UI"/>
                      <w:color w:val="452A70"/>
                      <w:spacing w:val="-1"/>
                      <w:sz w:val="20"/>
                    </w:rPr>
                    <w:t>it</w:t>
                  </w:r>
                  <w:r>
                    <w:rPr>
                      <w:rFonts w:ascii="Segoe UI"/>
                      <w:color w:val="452A70"/>
                      <w:spacing w:val="-3"/>
                      <w:sz w:val="20"/>
                    </w:rPr>
                    <w:t> </w:t>
                  </w:r>
                  <w:r>
                    <w:rPr>
                      <w:rFonts w:ascii="Segoe UI"/>
                      <w:color w:val="452A70"/>
                      <w:spacing w:val="-1"/>
                      <w:sz w:val="20"/>
                    </w:rPr>
                    <w:t>is</w:t>
                  </w:r>
                  <w:r>
                    <w:rPr>
                      <w:rFonts w:ascii="Segoe UI"/>
                      <w:color w:val="452A70"/>
                      <w:spacing w:val="-5"/>
                      <w:sz w:val="20"/>
                    </w:rPr>
                    <w:t> </w:t>
                  </w:r>
                  <w:r>
                    <w:rPr>
                      <w:rFonts w:ascii="Segoe UI"/>
                      <w:color w:val="452A70"/>
                      <w:sz w:val="20"/>
                    </w:rPr>
                    <w:t>required</w:t>
                  </w:r>
                  <w:r>
                    <w:rPr>
                      <w:rFonts w:ascii="Segoe UI"/>
                      <w:color w:val="452A70"/>
                      <w:spacing w:val="-4"/>
                      <w:sz w:val="20"/>
                    </w:rPr>
                    <w:t> </w:t>
                  </w:r>
                  <w:r>
                    <w:rPr>
                      <w:rFonts w:ascii="Segoe UI"/>
                      <w:color w:val="452A70"/>
                      <w:sz w:val="20"/>
                    </w:rPr>
                    <w:t>to</w:t>
                  </w:r>
                  <w:r>
                    <w:rPr>
                      <w:rFonts w:ascii="Segoe UI"/>
                      <w:color w:val="452A70"/>
                      <w:spacing w:val="-3"/>
                      <w:sz w:val="20"/>
                    </w:rPr>
                    <w:t> </w:t>
                  </w:r>
                  <w:r>
                    <w:rPr>
                      <w:rFonts w:ascii="Segoe UI"/>
                      <w:color w:val="452A70"/>
                      <w:spacing w:val="-1"/>
                      <w:sz w:val="20"/>
                    </w:rPr>
                    <w:t>manage</w:t>
                  </w:r>
                  <w:r>
                    <w:rPr>
                      <w:rFonts w:ascii="Segoe UI"/>
                      <w:color w:val="452A70"/>
                      <w:spacing w:val="-4"/>
                      <w:sz w:val="20"/>
                    </w:rPr>
                    <w:t> </w:t>
                  </w:r>
                  <w:r>
                    <w:rPr>
                      <w:rFonts w:ascii="Segoe UI"/>
                      <w:color w:val="452A70"/>
                      <w:spacing w:val="-1"/>
                      <w:sz w:val="20"/>
                    </w:rPr>
                    <w:t>student</w:t>
                  </w:r>
                  <w:r>
                    <w:rPr>
                      <w:rFonts w:ascii="Segoe UI"/>
                      <w:color w:val="452A70"/>
                      <w:spacing w:val="-3"/>
                      <w:sz w:val="20"/>
                    </w:rPr>
                    <w:t> </w:t>
                  </w:r>
                  <w:r>
                    <w:rPr>
                      <w:rFonts w:ascii="Segoe UI"/>
                      <w:color w:val="452A70"/>
                      <w:spacing w:val="-1"/>
                      <w:sz w:val="20"/>
                    </w:rPr>
                    <w:t>suspensions</w:t>
                  </w:r>
                  <w:r>
                    <w:rPr>
                      <w:rFonts w:ascii="Segoe UI"/>
                      <w:color w:val="452A70"/>
                      <w:spacing w:val="-2"/>
                      <w:sz w:val="20"/>
                    </w:rPr>
                    <w:t> </w:t>
                  </w:r>
                  <w:r>
                    <w:rPr>
                      <w:rFonts w:ascii="Segoe UI"/>
                      <w:color w:val="452A70"/>
                      <w:sz w:val="20"/>
                    </w:rPr>
                    <w:t>and</w:t>
                  </w:r>
                  <w:r>
                    <w:rPr>
                      <w:rFonts w:ascii="Segoe UI"/>
                      <w:color w:val="452A70"/>
                      <w:spacing w:val="-5"/>
                      <w:sz w:val="20"/>
                    </w:rPr>
                    <w:t> </w:t>
                  </w:r>
                  <w:r>
                    <w:rPr>
                      <w:rFonts w:ascii="Segoe UI"/>
                      <w:color w:val="452A70"/>
                      <w:sz w:val="20"/>
                    </w:rPr>
                    <w:t>exclusions,</w:t>
                  </w:r>
                  <w:r>
                    <w:rPr>
                      <w:rFonts w:ascii="Segoe UI"/>
                      <w:color w:val="452A70"/>
                      <w:spacing w:val="-4"/>
                      <w:sz w:val="20"/>
                    </w:rPr>
                    <w:t> </w:t>
                  </w:r>
                  <w:r>
                    <w:rPr>
                      <w:rFonts w:ascii="Segoe UI"/>
                      <w:color w:val="452A70"/>
                      <w:sz w:val="20"/>
                    </w:rPr>
                    <w:t>provided</w:t>
                  </w:r>
                  <w:r>
                    <w:rPr>
                      <w:rFonts w:ascii="Segoe UI"/>
                      <w:color w:val="452A70"/>
                      <w:spacing w:val="-4"/>
                      <w:sz w:val="20"/>
                    </w:rPr>
                    <w:t> </w:t>
                  </w:r>
                  <w:r>
                    <w:rPr>
                      <w:rFonts w:ascii="Segoe UI"/>
                      <w:color w:val="452A70"/>
                      <w:spacing w:val="-1"/>
                      <w:sz w:val="20"/>
                    </w:rPr>
                    <w:t>it</w:t>
                  </w:r>
                  <w:r>
                    <w:rPr>
                      <w:rFonts w:ascii="Segoe UI"/>
                      <w:color w:val="452A70"/>
                      <w:spacing w:val="25"/>
                      <w:sz w:val="20"/>
                    </w:rPr>
                    <w:t> </w:t>
                  </w:r>
                  <w:r>
                    <w:rPr>
                      <w:rFonts w:ascii="Segoe UI"/>
                      <w:color w:val="452A70"/>
                      <w:sz w:val="20"/>
                    </w:rPr>
                    <w:t>does</w:t>
                  </w:r>
                  <w:r>
                    <w:rPr>
                      <w:rFonts w:ascii="Segoe UI"/>
                      <w:color w:val="452A70"/>
                      <w:spacing w:val="-5"/>
                      <w:sz w:val="20"/>
                    </w:rPr>
                    <w:t> </w:t>
                  </w:r>
                  <w:r>
                    <w:rPr>
                      <w:rFonts w:ascii="Segoe UI"/>
                      <w:color w:val="452A70"/>
                      <w:sz w:val="20"/>
                    </w:rPr>
                    <w:t>not</w:t>
                  </w:r>
                  <w:r>
                    <w:rPr>
                      <w:rFonts w:ascii="Segoe UI"/>
                      <w:color w:val="452A70"/>
                      <w:spacing w:val="-3"/>
                      <w:sz w:val="20"/>
                    </w:rPr>
                    <w:t> </w:t>
                  </w:r>
                  <w:r>
                    <w:rPr>
                      <w:rFonts w:ascii="Segoe UI"/>
                      <w:color w:val="452A70"/>
                      <w:spacing w:val="-1"/>
                      <w:sz w:val="20"/>
                    </w:rPr>
                    <w:t>impact</w:t>
                  </w:r>
                  <w:r>
                    <w:rPr>
                      <w:rFonts w:ascii="Segoe UI"/>
                      <w:color w:val="452A70"/>
                      <w:spacing w:val="-4"/>
                      <w:sz w:val="20"/>
                    </w:rPr>
                    <w:t> </w:t>
                  </w:r>
                  <w:r>
                    <w:rPr>
                      <w:rFonts w:ascii="Segoe UI"/>
                      <w:color w:val="452A70"/>
                      <w:sz w:val="20"/>
                    </w:rPr>
                    <w:t>on</w:t>
                  </w:r>
                  <w:r>
                    <w:rPr>
                      <w:rFonts w:ascii="Segoe UI"/>
                      <w:color w:val="452A70"/>
                      <w:spacing w:val="-3"/>
                      <w:sz w:val="20"/>
                    </w:rPr>
                    <w:t> </w:t>
                  </w:r>
                  <w:r>
                    <w:rPr>
                      <w:rFonts w:ascii="Segoe UI"/>
                      <w:color w:val="452A70"/>
                      <w:sz w:val="20"/>
                    </w:rPr>
                    <w:t>engagement</w:t>
                  </w:r>
                  <w:r>
                    <w:rPr>
                      <w:rFonts w:ascii="Segoe UI"/>
                      <w:color w:val="452A70"/>
                      <w:spacing w:val="-5"/>
                      <w:sz w:val="20"/>
                    </w:rPr>
                    <w:t> </w:t>
                  </w:r>
                  <w:r>
                    <w:rPr>
                      <w:rFonts w:ascii="Segoe UI"/>
                      <w:color w:val="452A70"/>
                      <w:spacing w:val="-1"/>
                      <w:sz w:val="20"/>
                    </w:rPr>
                    <w:t>in</w:t>
                  </w:r>
                  <w:r>
                    <w:rPr>
                      <w:rFonts w:ascii="Segoe UI"/>
                      <w:color w:val="452A70"/>
                      <w:spacing w:val="-3"/>
                      <w:sz w:val="20"/>
                    </w:rPr>
                    <w:t> </w:t>
                  </w:r>
                  <w:r>
                    <w:rPr>
                      <w:rFonts w:ascii="Segoe UI"/>
                      <w:color w:val="452A70"/>
                      <w:sz w:val="20"/>
                    </w:rPr>
                    <w:t>education</w:t>
                  </w:r>
                  <w:r>
                    <w:rPr>
                      <w:rFonts w:ascii="Segoe UI"/>
                      <w:color w:val="452A70"/>
                      <w:spacing w:val="-5"/>
                      <w:sz w:val="20"/>
                    </w:rPr>
                    <w:t> </w:t>
                  </w:r>
                  <w:r>
                    <w:rPr>
                      <w:rFonts w:ascii="Segoe UI"/>
                      <w:color w:val="452A70"/>
                      <w:sz w:val="20"/>
                    </w:rPr>
                    <w:t>by</w:t>
                  </w:r>
                  <w:r>
                    <w:rPr>
                      <w:rFonts w:ascii="Segoe UI"/>
                      <w:color w:val="452A70"/>
                      <w:spacing w:val="-3"/>
                      <w:sz w:val="20"/>
                    </w:rPr>
                    <w:t> </w:t>
                  </w:r>
                  <w:r>
                    <w:rPr>
                      <w:rFonts w:ascii="Segoe UI"/>
                      <w:color w:val="452A70"/>
                      <w:spacing w:val="-1"/>
                      <w:sz w:val="20"/>
                    </w:rPr>
                    <w:t>students</w:t>
                  </w:r>
                  <w:r>
                    <w:rPr>
                      <w:rFonts w:ascii="Segoe UI"/>
                      <w:color w:val="452A70"/>
                      <w:spacing w:val="-4"/>
                      <w:sz w:val="20"/>
                    </w:rPr>
                    <w:t> </w:t>
                  </w:r>
                  <w:r>
                    <w:rPr>
                      <w:rFonts w:ascii="Segoe UI"/>
                      <w:color w:val="452A70"/>
                      <w:sz w:val="20"/>
                    </w:rPr>
                    <w:t>and</w:t>
                  </w:r>
                  <w:r>
                    <w:rPr>
                      <w:rFonts w:ascii="Segoe UI"/>
                      <w:color w:val="452A70"/>
                      <w:spacing w:val="-4"/>
                      <w:sz w:val="20"/>
                    </w:rPr>
                    <w:t> </w:t>
                  </w:r>
                  <w:r>
                    <w:rPr>
                      <w:rFonts w:ascii="Segoe UI"/>
                      <w:color w:val="452A70"/>
                      <w:sz w:val="20"/>
                    </w:rPr>
                    <w:t>their</w:t>
                  </w:r>
                  <w:r>
                    <w:rPr>
                      <w:rFonts w:ascii="Segoe UI"/>
                      <w:color w:val="452A70"/>
                      <w:spacing w:val="-5"/>
                      <w:sz w:val="20"/>
                    </w:rPr>
                    <w:t> </w:t>
                  </w:r>
                  <w:r>
                    <w:rPr>
                      <w:rFonts w:ascii="Segoe UI"/>
                      <w:color w:val="452A70"/>
                      <w:sz w:val="20"/>
                    </w:rPr>
                    <w:t>families.</w:t>
                  </w:r>
                  <w:r>
                    <w:rPr>
                      <w:rFonts w:ascii="Segoe UI"/>
                      <w:color w:val="452A70"/>
                      <w:spacing w:val="-4"/>
                      <w:sz w:val="20"/>
                    </w:rPr>
                    <w:t> </w:t>
                  </w:r>
                  <w:r>
                    <w:rPr>
                      <w:rFonts w:ascii="Segoe UI"/>
                      <w:color w:val="452A70"/>
                      <w:spacing w:val="-2"/>
                      <w:sz w:val="20"/>
                    </w:rPr>
                    <w:t>Review</w:t>
                  </w:r>
                  <w:r>
                    <w:rPr>
                      <w:rFonts w:ascii="Segoe UI"/>
                      <w:color w:val="452A70"/>
                      <w:spacing w:val="-5"/>
                      <w:sz w:val="20"/>
                    </w:rPr>
                    <w:t> </w:t>
                  </w:r>
                  <w:r>
                    <w:rPr>
                      <w:rFonts w:ascii="Segoe UI"/>
                      <w:color w:val="452A70"/>
                      <w:sz w:val="20"/>
                    </w:rPr>
                    <w:t>the</w:t>
                  </w:r>
                  <w:r>
                    <w:rPr>
                      <w:rFonts w:ascii="Segoe UI"/>
                      <w:color w:val="452A70"/>
                      <w:spacing w:val="-4"/>
                      <w:sz w:val="20"/>
                    </w:rPr>
                    <w:t> </w:t>
                  </w:r>
                  <w:r>
                    <w:rPr>
                      <w:rFonts w:ascii="Segoe UI"/>
                      <w:color w:val="452A70"/>
                      <w:sz w:val="20"/>
                    </w:rPr>
                    <w:t>rules</w:t>
                  </w:r>
                  <w:r>
                    <w:rPr>
                      <w:rFonts w:ascii="Segoe UI"/>
                      <w:color w:val="452A70"/>
                      <w:spacing w:val="29"/>
                      <w:sz w:val="20"/>
                    </w:rPr>
                    <w:t> </w:t>
                  </w:r>
                  <w:r>
                    <w:rPr>
                      <w:rFonts w:ascii="Segoe UI"/>
                      <w:color w:val="452A70"/>
                      <w:sz w:val="20"/>
                    </w:rPr>
                    <w:t>and</w:t>
                  </w:r>
                  <w:r>
                    <w:rPr>
                      <w:rFonts w:ascii="Segoe UI"/>
                      <w:color w:val="452A70"/>
                      <w:spacing w:val="-7"/>
                      <w:sz w:val="20"/>
                    </w:rPr>
                    <w:t> </w:t>
                  </w:r>
                  <w:r>
                    <w:rPr>
                      <w:rFonts w:ascii="Segoe UI"/>
                      <w:color w:val="452A70"/>
                      <w:sz w:val="20"/>
                    </w:rPr>
                    <w:t>processes</w:t>
                  </w:r>
                  <w:r>
                    <w:rPr>
                      <w:rFonts w:ascii="Segoe UI"/>
                      <w:color w:val="452A70"/>
                      <w:spacing w:val="-6"/>
                      <w:sz w:val="20"/>
                    </w:rPr>
                    <w:t> </w:t>
                  </w:r>
                  <w:r>
                    <w:rPr>
                      <w:rFonts w:ascii="Segoe UI"/>
                      <w:color w:val="452A70"/>
                      <w:sz w:val="20"/>
                    </w:rPr>
                    <w:t>for</w:t>
                  </w:r>
                  <w:r>
                    <w:rPr>
                      <w:rFonts w:ascii="Segoe UI"/>
                      <w:color w:val="452A70"/>
                      <w:spacing w:val="-5"/>
                      <w:sz w:val="20"/>
                    </w:rPr>
                    <w:t> </w:t>
                  </w:r>
                  <w:r>
                    <w:rPr>
                      <w:rFonts w:ascii="Segoe UI"/>
                      <w:color w:val="452A70"/>
                      <w:sz w:val="20"/>
                    </w:rPr>
                    <w:t>the</w:t>
                  </w:r>
                  <w:r>
                    <w:rPr>
                      <w:rFonts w:ascii="Segoe UI"/>
                      <w:color w:val="452A70"/>
                      <w:spacing w:val="-6"/>
                      <w:sz w:val="20"/>
                    </w:rPr>
                    <w:t> </w:t>
                  </w:r>
                  <w:r>
                    <w:rPr>
                      <w:rFonts w:ascii="Segoe UI"/>
                      <w:color w:val="452A70"/>
                      <w:sz w:val="20"/>
                    </w:rPr>
                    <w:t>reimbursement</w:t>
                  </w:r>
                  <w:r>
                    <w:rPr>
                      <w:rFonts w:ascii="Segoe UI"/>
                      <w:color w:val="452A70"/>
                      <w:spacing w:val="-7"/>
                      <w:sz w:val="20"/>
                    </w:rPr>
                    <w:t> </w:t>
                  </w:r>
                  <w:r>
                    <w:rPr>
                      <w:rFonts w:ascii="Segoe UI"/>
                      <w:color w:val="452A70"/>
                      <w:sz w:val="20"/>
                    </w:rPr>
                    <w:t>of</w:t>
                  </w:r>
                  <w:r>
                    <w:rPr>
                      <w:rFonts w:ascii="Segoe UI"/>
                      <w:color w:val="452A70"/>
                      <w:spacing w:val="-5"/>
                      <w:sz w:val="20"/>
                    </w:rPr>
                    <w:t> </w:t>
                  </w:r>
                  <w:r>
                    <w:rPr>
                      <w:rFonts w:ascii="Segoe UI"/>
                      <w:color w:val="452A70"/>
                      <w:sz w:val="20"/>
                    </w:rPr>
                    <w:t>travel</w:t>
                  </w:r>
                  <w:r>
                    <w:rPr>
                      <w:rFonts w:ascii="Segoe UI"/>
                      <w:color w:val="452A70"/>
                      <w:spacing w:val="-6"/>
                      <w:sz w:val="20"/>
                    </w:rPr>
                    <w:t> </w:t>
                  </w:r>
                  <w:r>
                    <w:rPr>
                      <w:rFonts w:ascii="Segoe UI"/>
                      <w:color w:val="452A70"/>
                      <w:sz w:val="20"/>
                    </w:rPr>
                    <w:t>paid</w:t>
                  </w:r>
                  <w:r>
                    <w:rPr>
                      <w:rFonts w:ascii="Segoe UI"/>
                      <w:color w:val="452A70"/>
                      <w:spacing w:val="-6"/>
                      <w:sz w:val="20"/>
                    </w:rPr>
                    <w:t> </w:t>
                  </w:r>
                  <w:r>
                    <w:rPr>
                      <w:rFonts w:ascii="Segoe UI"/>
                      <w:color w:val="452A70"/>
                      <w:sz w:val="20"/>
                    </w:rPr>
                    <w:t>by</w:t>
                  </w:r>
                  <w:r>
                    <w:rPr>
                      <w:rFonts w:ascii="Segoe UI"/>
                      <w:color w:val="452A70"/>
                      <w:spacing w:val="-5"/>
                      <w:sz w:val="20"/>
                    </w:rPr>
                    <w:t> </w:t>
                  </w:r>
                  <w:r>
                    <w:rPr>
                      <w:rFonts w:ascii="Segoe UI"/>
                      <w:color w:val="452A70"/>
                      <w:sz w:val="20"/>
                    </w:rPr>
                    <w:t>boarding</w:t>
                  </w:r>
                  <w:r>
                    <w:rPr>
                      <w:rFonts w:ascii="Segoe UI"/>
                      <w:color w:val="452A70"/>
                      <w:spacing w:val="-6"/>
                      <w:sz w:val="20"/>
                    </w:rPr>
                    <w:t> </w:t>
                  </w:r>
                  <w:r>
                    <w:rPr>
                      <w:rFonts w:ascii="Segoe UI"/>
                      <w:color w:val="452A70"/>
                      <w:sz w:val="20"/>
                    </w:rPr>
                    <w:t>providers</w:t>
                  </w:r>
                  <w:r>
                    <w:rPr>
                      <w:rFonts w:ascii="Segoe UI"/>
                      <w:color w:val="452A70"/>
                      <w:spacing w:val="-6"/>
                      <w:sz w:val="20"/>
                    </w:rPr>
                    <w:t> </w:t>
                  </w:r>
                  <w:r>
                    <w:rPr>
                      <w:rFonts w:ascii="Segoe UI"/>
                      <w:color w:val="452A70"/>
                      <w:sz w:val="20"/>
                    </w:rPr>
                    <w:t>to</w:t>
                  </w:r>
                  <w:r>
                    <w:rPr>
                      <w:rFonts w:ascii="Segoe UI"/>
                      <w:color w:val="452A70"/>
                      <w:spacing w:val="-5"/>
                      <w:sz w:val="20"/>
                    </w:rPr>
                    <w:t> </w:t>
                  </w:r>
                  <w:r>
                    <w:rPr>
                      <w:rFonts w:ascii="Segoe UI"/>
                      <w:color w:val="452A70"/>
                      <w:sz w:val="20"/>
                    </w:rPr>
                    <w:t>provide</w:t>
                  </w:r>
                  <w:r>
                    <w:rPr>
                      <w:rFonts w:ascii="Segoe UI"/>
                      <w:color w:val="452A70"/>
                      <w:spacing w:val="-6"/>
                      <w:sz w:val="20"/>
                    </w:rPr>
                    <w:t> </w:t>
                  </w:r>
                  <w:r>
                    <w:rPr>
                      <w:rFonts w:ascii="Segoe UI"/>
                      <w:color w:val="452A70"/>
                      <w:sz w:val="20"/>
                    </w:rPr>
                    <w:t>greater</w:t>
                  </w:r>
                  <w:r>
                    <w:rPr>
                      <w:rFonts w:ascii="Segoe UI"/>
                      <w:color w:val="452A70"/>
                      <w:w w:val="99"/>
                      <w:sz w:val="20"/>
                    </w:rPr>
                    <w:t> </w:t>
                  </w:r>
                  <w:r>
                    <w:rPr>
                      <w:rFonts w:ascii="Segoe UI"/>
                      <w:color w:val="452A70"/>
                      <w:sz w:val="20"/>
                    </w:rPr>
                    <w:t>certainty</w:t>
                  </w:r>
                  <w:r>
                    <w:rPr>
                      <w:rFonts w:ascii="Segoe UI"/>
                      <w:color w:val="452A70"/>
                      <w:spacing w:val="-7"/>
                      <w:sz w:val="20"/>
                    </w:rPr>
                    <w:t> </w:t>
                  </w:r>
                  <w:r>
                    <w:rPr>
                      <w:rFonts w:ascii="Segoe UI"/>
                      <w:color w:val="452A70"/>
                      <w:sz w:val="20"/>
                    </w:rPr>
                    <w:t>to</w:t>
                  </w:r>
                  <w:r>
                    <w:rPr>
                      <w:rFonts w:ascii="Segoe UI"/>
                      <w:color w:val="452A70"/>
                      <w:spacing w:val="-6"/>
                      <w:sz w:val="20"/>
                    </w:rPr>
                    <w:t> </w:t>
                  </w:r>
                  <w:r>
                    <w:rPr>
                      <w:rFonts w:ascii="Segoe UI"/>
                      <w:color w:val="452A70"/>
                      <w:sz w:val="20"/>
                    </w:rPr>
                    <w:t>boarding</w:t>
                  </w:r>
                  <w:r>
                    <w:rPr>
                      <w:rFonts w:ascii="Segoe UI"/>
                      <w:color w:val="452A70"/>
                      <w:spacing w:val="-7"/>
                      <w:sz w:val="20"/>
                    </w:rPr>
                    <w:t> </w:t>
                  </w:r>
                  <w:r>
                    <w:rPr>
                      <w:rFonts w:ascii="Segoe UI"/>
                      <w:color w:val="452A70"/>
                      <w:spacing w:val="-1"/>
                      <w:sz w:val="20"/>
                    </w:rPr>
                    <w:t>providers.</w:t>
                  </w:r>
                  <w:r>
                    <w:rPr>
                      <w:rFonts w:ascii="Segoe UI Semibold"/>
                      <w:b/>
                      <w:color w:val="452A70"/>
                      <w:spacing w:val="-1"/>
                      <w:position w:val="7"/>
                      <w:sz w:val="11"/>
                    </w:rPr>
                    <w:t>114</w:t>
                  </w:r>
                  <w:r>
                    <w:rPr>
                      <w:rFonts w:ascii="Segoe UI Semibold"/>
                      <w:sz w:val="11"/>
                    </w:rPr>
                  </w:r>
                </w:p>
              </w:txbxContent>
            </v:textbox>
            <v:fill type="solid"/>
            <v:stroke dashstyle="dash"/>
            <w10:wrap type="none"/>
          </v:shape>
        </w:pict>
      </w:r>
      <w:r>
        <w:rPr>
          <w:rFonts w:ascii="Segoe UI Semibold" w:hAnsi="Segoe UI Semibold" w:cs="Segoe UI Semibold" w:eastAsia="Segoe UI Semibold"/>
          <w:sz w:val="20"/>
          <w:szCs w:val="20"/>
        </w:rPr>
      </w:r>
    </w:p>
    <w:p>
      <w:pPr>
        <w:spacing w:after="0" w:line="200" w:lineRule="atLeast"/>
        <w:rPr>
          <w:rFonts w:ascii="Segoe UI Semibold" w:hAnsi="Segoe UI Semibold" w:cs="Segoe UI Semibold" w:eastAsia="Segoe UI Semibold"/>
          <w:sz w:val="20"/>
          <w:szCs w:val="20"/>
        </w:rPr>
        <w:sectPr>
          <w:type w:val="continuous"/>
          <w:pgSz w:w="11910" w:h="16840"/>
          <w:pgMar w:top="1580" w:bottom="280" w:left="1420" w:right="1300"/>
        </w:sectPr>
      </w:pPr>
    </w:p>
    <w:p>
      <w:pPr>
        <w:spacing w:line="240" w:lineRule="auto" w:before="0"/>
        <w:rPr>
          <w:rFonts w:ascii="Segoe UI Semibold" w:hAnsi="Segoe UI Semibold" w:cs="Segoe UI Semibold" w:eastAsia="Segoe UI Semibold"/>
          <w:b/>
          <w:bCs/>
          <w:sz w:val="20"/>
          <w:szCs w:val="20"/>
        </w:rPr>
      </w:pPr>
    </w:p>
    <w:p>
      <w:pPr>
        <w:spacing w:line="240" w:lineRule="auto" w:before="8"/>
        <w:rPr>
          <w:rFonts w:ascii="Segoe UI Semibold" w:hAnsi="Segoe UI Semibold" w:cs="Segoe UI Semibold" w:eastAsia="Segoe UI Semibold"/>
          <w:b/>
          <w:bCs/>
          <w:sz w:val="21"/>
          <w:szCs w:val="21"/>
        </w:rPr>
      </w:pPr>
    </w:p>
    <w:p>
      <w:pPr>
        <w:spacing w:after="0" w:line="240" w:lineRule="auto"/>
        <w:rPr>
          <w:rFonts w:ascii="Segoe UI Semibold" w:hAnsi="Segoe UI Semibold" w:cs="Segoe UI Semibold" w:eastAsia="Segoe UI Semibold"/>
          <w:sz w:val="21"/>
          <w:szCs w:val="21"/>
        </w:rPr>
        <w:sectPr>
          <w:pgSz w:w="11910" w:h="16840"/>
          <w:pgMar w:header="0" w:footer="691" w:top="1580" w:bottom="880" w:left="1300" w:right="1380"/>
        </w:sectPr>
      </w:pPr>
    </w:p>
    <w:p>
      <w:pPr>
        <w:pStyle w:val="BodyText"/>
        <w:spacing w:line="250" w:lineRule="exact" w:before="62"/>
        <w:ind w:right="39"/>
        <w:jc w:val="left"/>
        <w:rPr>
          <w:rFonts w:ascii="Segoe UI" w:hAnsi="Segoe UI" w:cs="Segoe UI" w:eastAsia="Segoe UI"/>
        </w:rPr>
      </w:pPr>
      <w:r>
        <w:rPr>
          <w:color w:val="231F20"/>
        </w:rPr>
        <w:t>The</w:t>
      </w:r>
      <w:r>
        <w:rPr>
          <w:color w:val="231F20"/>
          <w:spacing w:val="-13"/>
        </w:rPr>
        <w:t> </w:t>
      </w:r>
      <w:r>
        <w:rPr>
          <w:color w:val="231F20"/>
          <w:spacing w:val="-1"/>
        </w:rPr>
        <w:t>Commonwealth</w:t>
      </w:r>
      <w:r>
        <w:rPr>
          <w:color w:val="231F20"/>
          <w:spacing w:val="-13"/>
        </w:rPr>
        <w:t> </w:t>
      </w:r>
      <w:r>
        <w:rPr>
          <w:color w:val="231F20"/>
        </w:rPr>
        <w:t>Government</w:t>
      </w:r>
      <w:r>
        <w:rPr>
          <w:color w:val="231F20"/>
          <w:spacing w:val="-12"/>
        </w:rPr>
        <w:t> </w:t>
      </w:r>
      <w:r>
        <w:rPr>
          <w:color w:val="231F20"/>
          <w:spacing w:val="-1"/>
        </w:rPr>
        <w:t>introduced</w:t>
      </w:r>
      <w:r>
        <w:rPr>
          <w:color w:val="231F20"/>
          <w:spacing w:val="21"/>
          <w:w w:val="99"/>
        </w:rPr>
        <w:t> </w:t>
      </w:r>
      <w:r>
        <w:rPr>
          <w:color w:val="231F20"/>
        </w:rPr>
        <w:t>changes</w:t>
      </w:r>
      <w:r>
        <w:rPr>
          <w:color w:val="231F20"/>
          <w:spacing w:val="-6"/>
        </w:rPr>
        <w:t> </w:t>
      </w:r>
      <w:r>
        <w:rPr>
          <w:color w:val="231F20"/>
        </w:rPr>
        <w:t>to</w:t>
      </w:r>
      <w:r>
        <w:rPr>
          <w:color w:val="231F20"/>
          <w:spacing w:val="-6"/>
        </w:rPr>
        <w:t> </w:t>
      </w:r>
      <w:r>
        <w:rPr>
          <w:color w:val="231F20"/>
        </w:rPr>
        <w:t>ABSTUDY</w:t>
      </w:r>
      <w:r>
        <w:rPr>
          <w:color w:val="231F20"/>
          <w:spacing w:val="-6"/>
        </w:rPr>
        <w:t> </w:t>
      </w:r>
      <w:r>
        <w:rPr>
          <w:color w:val="231F20"/>
        </w:rPr>
        <w:t>travel</w:t>
      </w:r>
      <w:r>
        <w:rPr>
          <w:color w:val="231F20"/>
          <w:spacing w:val="-6"/>
        </w:rPr>
        <w:t> </w:t>
      </w:r>
      <w:r>
        <w:rPr>
          <w:color w:val="231F20"/>
        </w:rPr>
        <w:t>and</w:t>
      </w:r>
      <w:r>
        <w:rPr>
          <w:color w:val="231F20"/>
          <w:spacing w:val="-6"/>
        </w:rPr>
        <w:t> </w:t>
      </w:r>
      <w:r>
        <w:rPr>
          <w:color w:val="231F20"/>
        </w:rPr>
        <w:t>fares</w:t>
      </w:r>
      <w:r>
        <w:rPr>
          <w:color w:val="231F20"/>
          <w:spacing w:val="-5"/>
        </w:rPr>
        <w:t> </w:t>
      </w:r>
      <w:r>
        <w:rPr>
          <w:color w:val="231F20"/>
        </w:rPr>
        <w:t>allowance</w:t>
      </w:r>
      <w:r>
        <w:rPr>
          <w:color w:val="231F20"/>
          <w:w w:val="99"/>
        </w:rPr>
        <w:t> </w:t>
      </w:r>
      <w:r>
        <w:rPr>
          <w:color w:val="231F20"/>
        </w:rPr>
        <w:t>from</w:t>
      </w:r>
      <w:r>
        <w:rPr>
          <w:color w:val="231F20"/>
          <w:spacing w:val="-3"/>
        </w:rPr>
        <w:t> </w:t>
      </w:r>
      <w:r>
        <w:rPr>
          <w:color w:val="231F20"/>
        </w:rPr>
        <w:t>1</w:t>
      </w:r>
      <w:r>
        <w:rPr>
          <w:color w:val="231F20"/>
          <w:spacing w:val="-2"/>
        </w:rPr>
        <w:t> </w:t>
      </w:r>
      <w:r>
        <w:rPr>
          <w:color w:val="231F20"/>
        </w:rPr>
        <w:t>January</w:t>
      </w:r>
      <w:r>
        <w:rPr>
          <w:color w:val="231F20"/>
          <w:spacing w:val="-3"/>
        </w:rPr>
        <w:t> </w:t>
      </w:r>
      <w:r>
        <w:rPr>
          <w:color w:val="231F20"/>
          <w:spacing w:val="-1"/>
        </w:rPr>
        <w:t>2019</w:t>
      </w:r>
      <w:r>
        <w:rPr>
          <w:color w:val="231F20"/>
          <w:spacing w:val="-2"/>
        </w:rPr>
        <w:t> </w:t>
      </w:r>
      <w:r>
        <w:rPr>
          <w:color w:val="231F20"/>
        </w:rPr>
        <w:t>as</w:t>
      </w:r>
      <w:r>
        <w:rPr>
          <w:color w:val="231F20"/>
          <w:spacing w:val="-3"/>
        </w:rPr>
        <w:t> </w:t>
      </w:r>
      <w:r>
        <w:rPr>
          <w:color w:val="231F20"/>
        </w:rPr>
        <w:t>part</w:t>
      </w:r>
      <w:r>
        <w:rPr>
          <w:color w:val="231F20"/>
          <w:spacing w:val="-3"/>
        </w:rPr>
        <w:t> </w:t>
      </w:r>
      <w:r>
        <w:rPr>
          <w:color w:val="231F20"/>
        </w:rPr>
        <w:t>of</w:t>
      </w:r>
      <w:r>
        <w:rPr>
          <w:color w:val="231F20"/>
          <w:spacing w:val="-2"/>
        </w:rPr>
        <w:t> </w:t>
      </w:r>
      <w:r>
        <w:rPr>
          <w:color w:val="231F20"/>
        </w:rPr>
        <w:t>the</w:t>
      </w:r>
      <w:r>
        <w:rPr>
          <w:color w:val="231F20"/>
          <w:spacing w:val="-4"/>
        </w:rPr>
        <w:t> </w:t>
      </w:r>
      <w:r>
        <w:rPr>
          <w:color w:val="231F20"/>
          <w:spacing w:val="-1"/>
        </w:rPr>
        <w:t>2018-19</w:t>
      </w:r>
      <w:r>
        <w:rPr>
          <w:color w:val="231F20"/>
          <w:spacing w:val="21"/>
        </w:rPr>
        <w:t> </w:t>
      </w:r>
      <w:r>
        <w:rPr>
          <w:color w:val="231F20"/>
        </w:rPr>
        <w:t>ABSTUDY</w:t>
      </w:r>
      <w:r>
        <w:rPr>
          <w:color w:val="231F20"/>
          <w:spacing w:val="-7"/>
        </w:rPr>
        <w:t> </w:t>
      </w:r>
      <w:r>
        <w:rPr>
          <w:color w:val="231F20"/>
        </w:rPr>
        <w:t>budget</w:t>
      </w:r>
      <w:r>
        <w:rPr>
          <w:color w:val="231F20"/>
          <w:spacing w:val="-6"/>
        </w:rPr>
        <w:t> </w:t>
      </w:r>
      <w:r>
        <w:rPr>
          <w:color w:val="231F20"/>
          <w:spacing w:val="-1"/>
        </w:rPr>
        <w:t>measure.</w:t>
      </w:r>
      <w:r>
        <w:rPr>
          <w:color w:val="231F20"/>
          <w:spacing w:val="-6"/>
        </w:rPr>
        <w:t> </w:t>
      </w:r>
      <w:r>
        <w:rPr>
          <w:color w:val="231F20"/>
        </w:rPr>
        <w:t>The</w:t>
      </w:r>
      <w:r>
        <w:rPr>
          <w:color w:val="231F20"/>
          <w:spacing w:val="-6"/>
        </w:rPr>
        <w:t> </w:t>
      </w:r>
      <w:r>
        <w:rPr>
          <w:color w:val="231F20"/>
        </w:rPr>
        <w:t>changes</w:t>
      </w:r>
      <w:r>
        <w:rPr>
          <w:color w:val="231F20"/>
          <w:spacing w:val="-6"/>
        </w:rPr>
        <w:t> </w:t>
      </w:r>
      <w:r>
        <w:rPr>
          <w:color w:val="231F20"/>
        </w:rPr>
        <w:t>are</w:t>
      </w:r>
      <w:r>
        <w:rPr>
          <w:color w:val="231F20"/>
          <w:spacing w:val="22"/>
          <w:w w:val="99"/>
        </w:rPr>
        <w:t> </w:t>
      </w:r>
      <w:r>
        <w:rPr>
          <w:color w:val="231F20"/>
        </w:rPr>
        <w:t>aimed</w:t>
      </w:r>
      <w:r>
        <w:rPr>
          <w:color w:val="231F20"/>
          <w:spacing w:val="-5"/>
        </w:rPr>
        <w:t> </w:t>
      </w:r>
      <w:r>
        <w:rPr>
          <w:color w:val="231F20"/>
        </w:rPr>
        <w:t>at</w:t>
      </w:r>
      <w:r>
        <w:rPr>
          <w:color w:val="231F20"/>
          <w:spacing w:val="-4"/>
        </w:rPr>
        <w:t> </w:t>
      </w:r>
      <w:r>
        <w:rPr>
          <w:color w:val="231F20"/>
          <w:spacing w:val="-1"/>
        </w:rPr>
        <w:t>improving</w:t>
      </w:r>
      <w:r>
        <w:rPr>
          <w:color w:val="231F20"/>
          <w:spacing w:val="-4"/>
        </w:rPr>
        <w:t> </w:t>
      </w:r>
      <w:r>
        <w:rPr>
          <w:color w:val="231F20"/>
        </w:rPr>
        <w:t>the</w:t>
      </w:r>
      <w:r>
        <w:rPr>
          <w:color w:val="231F20"/>
          <w:spacing w:val="-4"/>
        </w:rPr>
        <w:t> </w:t>
      </w:r>
      <w:r>
        <w:rPr>
          <w:color w:val="231F20"/>
          <w:spacing w:val="-1"/>
        </w:rPr>
        <w:t>safety,</w:t>
      </w:r>
      <w:r>
        <w:rPr>
          <w:color w:val="231F20"/>
          <w:spacing w:val="-4"/>
        </w:rPr>
        <w:t> </w:t>
      </w:r>
      <w:r>
        <w:rPr>
          <w:color w:val="231F20"/>
        </w:rPr>
        <w:t>fairness</w:t>
      </w:r>
      <w:r>
        <w:rPr>
          <w:color w:val="231F20"/>
          <w:spacing w:val="-5"/>
        </w:rPr>
        <w:t> </w:t>
      </w:r>
      <w:r>
        <w:rPr>
          <w:color w:val="231F20"/>
        </w:rPr>
        <w:t>and</w:t>
      </w:r>
      <w:r>
        <w:rPr>
          <w:color w:val="231F20"/>
          <w:spacing w:val="23"/>
          <w:w w:val="99"/>
        </w:rPr>
        <w:t> </w:t>
      </w:r>
      <w:r>
        <w:rPr>
          <w:rFonts w:ascii="Segoe UI"/>
          <w:color w:val="231F20"/>
        </w:rPr>
        <w:t>flexibility for students, their parents or carers</w:t>
      </w:r>
      <w:r>
        <w:rPr>
          <w:rFonts w:ascii="Segoe UI"/>
          <w:color w:val="231F20"/>
        </w:rPr>
        <w:t> </w:t>
      </w:r>
      <w:r>
        <w:rPr>
          <w:color w:val="231F20"/>
        </w:rPr>
        <w:t>and</w:t>
      </w:r>
      <w:r>
        <w:rPr>
          <w:color w:val="231F20"/>
          <w:spacing w:val="-5"/>
        </w:rPr>
        <w:t> </w:t>
      </w:r>
      <w:r>
        <w:rPr>
          <w:color w:val="231F20"/>
          <w:spacing w:val="-1"/>
        </w:rPr>
        <w:t>support</w:t>
      </w:r>
      <w:r>
        <w:rPr>
          <w:color w:val="231F20"/>
          <w:spacing w:val="-4"/>
        </w:rPr>
        <w:t> </w:t>
      </w:r>
      <w:r>
        <w:rPr>
          <w:color w:val="231F20"/>
        </w:rPr>
        <w:t>personnel,</w:t>
      </w:r>
      <w:r>
        <w:rPr>
          <w:color w:val="231F20"/>
          <w:spacing w:val="-4"/>
        </w:rPr>
        <w:t> </w:t>
      </w:r>
      <w:r>
        <w:rPr>
          <w:color w:val="231F20"/>
          <w:spacing w:val="-1"/>
        </w:rPr>
        <w:t>such</w:t>
      </w:r>
      <w:r>
        <w:rPr>
          <w:color w:val="231F20"/>
          <w:spacing w:val="-4"/>
        </w:rPr>
        <w:t> </w:t>
      </w:r>
      <w:r>
        <w:rPr>
          <w:color w:val="231F20"/>
        </w:rPr>
        <w:t>as</w:t>
      </w:r>
      <w:r>
        <w:rPr>
          <w:color w:val="231F20"/>
          <w:spacing w:val="-4"/>
        </w:rPr>
        <w:t> </w:t>
      </w:r>
      <w:r>
        <w:rPr>
          <w:color w:val="231F20"/>
          <w:spacing w:val="-1"/>
        </w:rPr>
        <w:t>school</w:t>
      </w:r>
      <w:r>
        <w:rPr>
          <w:color w:val="231F20"/>
          <w:spacing w:val="-4"/>
        </w:rPr>
        <w:t> </w:t>
      </w:r>
      <w:r>
        <w:rPr>
          <w:color w:val="231F20"/>
        </w:rPr>
        <w:t>or</w:t>
      </w:r>
      <w:r>
        <w:rPr>
          <w:color w:val="231F20"/>
          <w:spacing w:val="24"/>
          <w:w w:val="99"/>
        </w:rPr>
        <w:t> </w:t>
      </w:r>
      <w:r>
        <w:rPr>
          <w:rFonts w:ascii="Segoe UI"/>
          <w:color w:val="231F20"/>
        </w:rPr>
        <w:t>transition</w:t>
      </w:r>
      <w:r>
        <w:rPr>
          <w:rFonts w:ascii="Segoe UI"/>
          <w:color w:val="231F20"/>
          <w:spacing w:val="-1"/>
        </w:rPr>
        <w:t> </w:t>
      </w:r>
      <w:r>
        <w:rPr>
          <w:rFonts w:ascii="Segoe UI"/>
          <w:color w:val="231F20"/>
        </w:rPr>
        <w:t>support</w:t>
      </w:r>
      <w:r>
        <w:rPr>
          <w:rFonts w:ascii="Segoe UI"/>
          <w:color w:val="231F20"/>
          <w:spacing w:val="-1"/>
        </w:rPr>
        <w:t> </w:t>
      </w:r>
      <w:r>
        <w:rPr>
          <w:rFonts w:ascii="Segoe UI"/>
          <w:color w:val="231F20"/>
        </w:rPr>
        <w:t>staff.</w:t>
      </w:r>
      <w:r>
        <w:rPr>
          <w:rFonts w:ascii="Segoe UI"/>
          <w:color w:val="231F20"/>
          <w:spacing w:val="-1"/>
        </w:rPr>
        <w:t> </w:t>
      </w:r>
      <w:r>
        <w:rPr>
          <w:rFonts w:ascii="Segoe UI"/>
          <w:color w:val="231F20"/>
        </w:rPr>
        <w:t>The</w:t>
      </w:r>
      <w:r>
        <w:rPr>
          <w:rFonts w:ascii="Segoe UI"/>
          <w:color w:val="231F20"/>
          <w:spacing w:val="-1"/>
        </w:rPr>
        <w:t> </w:t>
      </w:r>
      <w:r>
        <w:rPr>
          <w:rFonts w:ascii="Segoe UI"/>
          <w:color w:val="231F20"/>
        </w:rPr>
        <w:t>changes</w:t>
      </w:r>
      <w:r>
        <w:rPr>
          <w:rFonts w:ascii="Segoe UI"/>
          <w:color w:val="231F20"/>
          <w:spacing w:val="-1"/>
        </w:rPr>
        <w:t> </w:t>
      </w:r>
      <w:r>
        <w:rPr>
          <w:rFonts w:ascii="Segoe UI"/>
          <w:color w:val="231F20"/>
        </w:rPr>
        <w:t>include:</w:t>
      </w:r>
      <w:r>
        <w:rPr>
          <w:rFonts w:ascii="Segoe UI"/>
        </w:rPr>
      </w:r>
    </w:p>
    <w:p>
      <w:pPr>
        <w:pStyle w:val="BodyText"/>
        <w:spacing w:line="250" w:lineRule="exact" w:before="113"/>
        <w:ind w:left="344" w:right="104" w:hanging="227"/>
        <w:jc w:val="left"/>
        <w:rPr>
          <w:rFonts w:ascii="Segoe UI Semibold" w:hAnsi="Segoe UI Semibold" w:cs="Segoe UI Semibold" w:eastAsia="Segoe UI Semibold"/>
          <w:sz w:val="11"/>
          <w:szCs w:val="11"/>
        </w:rPr>
      </w:pPr>
      <w:r>
        <w:rPr>
          <w:rFonts w:ascii="Century Gothic" w:hAnsi="Century Gothic"/>
          <w:color w:val="231F20"/>
        </w:rPr>
        <w:t>» </w:t>
      </w:r>
      <w:r>
        <w:rPr>
          <w:rFonts w:ascii="Century Gothic" w:hAnsi="Century Gothic"/>
          <w:color w:val="231F20"/>
          <w:spacing w:val="23"/>
        </w:rPr>
        <w:t> </w:t>
      </w:r>
      <w:r>
        <w:rPr>
          <w:color w:val="231F20"/>
          <w:spacing w:val="-1"/>
        </w:rPr>
        <w:t>introducing</w:t>
      </w:r>
      <w:r>
        <w:rPr>
          <w:color w:val="231F20"/>
          <w:spacing w:val="-3"/>
        </w:rPr>
        <w:t> </w:t>
      </w:r>
      <w:r>
        <w:rPr>
          <w:color w:val="231F20"/>
          <w:spacing w:val="-1"/>
        </w:rPr>
        <w:t>Safe</w:t>
      </w:r>
      <w:r>
        <w:rPr>
          <w:color w:val="231F20"/>
          <w:spacing w:val="-3"/>
        </w:rPr>
        <w:t> Travel</w:t>
      </w:r>
      <w:r>
        <w:rPr>
          <w:color w:val="231F20"/>
          <w:spacing w:val="-4"/>
        </w:rPr>
        <w:t> </w:t>
      </w:r>
      <w:r>
        <w:rPr>
          <w:color w:val="231F20"/>
          <w:spacing w:val="-1"/>
        </w:rPr>
        <w:t>Plans</w:t>
      </w:r>
      <w:r>
        <w:rPr>
          <w:color w:val="231F20"/>
          <w:spacing w:val="-3"/>
        </w:rPr>
        <w:t> </w:t>
      </w:r>
      <w:r>
        <w:rPr>
          <w:color w:val="231F20"/>
        </w:rPr>
        <w:t>(STPs)</w:t>
      </w:r>
      <w:r>
        <w:rPr>
          <w:color w:val="231F20"/>
          <w:spacing w:val="-4"/>
        </w:rPr>
        <w:t> </w:t>
      </w:r>
      <w:r>
        <w:rPr>
          <w:color w:val="231F20"/>
        </w:rPr>
        <w:t>for</w:t>
      </w:r>
      <w:r>
        <w:rPr>
          <w:color w:val="231F20"/>
          <w:spacing w:val="24"/>
          <w:w w:val="99"/>
        </w:rPr>
        <w:t> </w:t>
      </w:r>
      <w:r>
        <w:rPr>
          <w:color w:val="231F20"/>
          <w:spacing w:val="-1"/>
        </w:rPr>
        <w:t>school</w:t>
      </w:r>
      <w:r>
        <w:rPr>
          <w:color w:val="231F20"/>
          <w:spacing w:val="-3"/>
        </w:rPr>
        <w:t> </w:t>
      </w:r>
      <w:r>
        <w:rPr>
          <w:color w:val="231F20"/>
          <w:spacing w:val="-1"/>
        </w:rPr>
        <w:t>student</w:t>
      </w:r>
      <w:r>
        <w:rPr>
          <w:color w:val="231F20"/>
          <w:spacing w:val="-3"/>
        </w:rPr>
        <w:t> </w:t>
      </w:r>
      <w:r>
        <w:rPr>
          <w:color w:val="231F20"/>
          <w:spacing w:val="-1"/>
        </w:rPr>
        <w:t>travellers</w:t>
      </w:r>
      <w:r>
        <w:rPr>
          <w:rFonts w:ascii="Segoe UI Semibold" w:hAnsi="Segoe UI Semibold"/>
          <w:b/>
          <w:color w:val="231F20"/>
          <w:spacing w:val="-1"/>
          <w:position w:val="7"/>
          <w:sz w:val="11"/>
        </w:rPr>
        <w:t>115</w:t>
      </w:r>
      <w:r>
        <w:rPr>
          <w:rFonts w:ascii="Segoe UI Semibold" w:hAnsi="Segoe UI Semibold"/>
          <w:sz w:val="11"/>
        </w:rPr>
      </w:r>
    </w:p>
    <w:p>
      <w:pPr>
        <w:pStyle w:val="BodyText"/>
        <w:spacing w:line="250" w:lineRule="exact" w:before="113"/>
        <w:ind w:left="344" w:right="39" w:hanging="227"/>
        <w:jc w:val="left"/>
        <w:rPr>
          <w:rFonts w:ascii="Segoe UI Semibold" w:hAnsi="Segoe UI Semibold" w:cs="Segoe UI Semibold" w:eastAsia="Segoe UI Semibold"/>
          <w:sz w:val="11"/>
          <w:szCs w:val="11"/>
        </w:rPr>
      </w:pPr>
      <w:r>
        <w:rPr>
          <w:rFonts w:ascii="Century Gothic" w:hAnsi="Century Gothic"/>
          <w:color w:val="231F20"/>
        </w:rPr>
        <w:t>» </w:t>
      </w:r>
      <w:r>
        <w:rPr>
          <w:rFonts w:ascii="Century Gothic" w:hAnsi="Century Gothic"/>
          <w:color w:val="231F20"/>
          <w:spacing w:val="22"/>
        </w:rPr>
        <w:t> </w:t>
      </w:r>
      <w:r>
        <w:rPr>
          <w:color w:val="231F20"/>
          <w:spacing w:val="-1"/>
        </w:rPr>
        <w:t>increasing</w:t>
      </w:r>
      <w:r>
        <w:rPr>
          <w:color w:val="231F20"/>
          <w:spacing w:val="-3"/>
        </w:rPr>
        <w:t> </w:t>
      </w:r>
      <w:r>
        <w:rPr>
          <w:color w:val="231F20"/>
        </w:rPr>
        <w:t>the</w:t>
      </w:r>
      <w:r>
        <w:rPr>
          <w:color w:val="231F20"/>
          <w:spacing w:val="-5"/>
        </w:rPr>
        <w:t> </w:t>
      </w:r>
      <w:r>
        <w:rPr>
          <w:color w:val="231F20"/>
          <w:spacing w:val="-1"/>
        </w:rPr>
        <w:t>maximum</w:t>
      </w:r>
      <w:r>
        <w:rPr>
          <w:color w:val="231F20"/>
          <w:spacing w:val="-3"/>
        </w:rPr>
        <w:t> </w:t>
      </w:r>
      <w:r>
        <w:rPr>
          <w:color w:val="231F20"/>
        </w:rPr>
        <w:t>number</w:t>
      </w:r>
      <w:r>
        <w:rPr>
          <w:color w:val="231F20"/>
          <w:spacing w:val="-4"/>
        </w:rPr>
        <w:t> </w:t>
      </w:r>
      <w:r>
        <w:rPr>
          <w:color w:val="231F20"/>
        </w:rPr>
        <w:t>of</w:t>
      </w:r>
      <w:r>
        <w:rPr>
          <w:color w:val="231F20"/>
          <w:spacing w:val="23"/>
          <w:w w:val="99"/>
        </w:rPr>
        <w:t> </w:t>
      </w:r>
      <w:r>
        <w:rPr>
          <w:color w:val="231F20"/>
          <w:spacing w:val="-1"/>
        </w:rPr>
        <w:t>supported</w:t>
      </w:r>
      <w:r>
        <w:rPr>
          <w:color w:val="231F20"/>
          <w:spacing w:val="-3"/>
        </w:rPr>
        <w:t> </w:t>
      </w:r>
      <w:r>
        <w:rPr>
          <w:color w:val="231F20"/>
        </w:rPr>
        <w:t>family</w:t>
      </w:r>
      <w:r>
        <w:rPr>
          <w:color w:val="231F20"/>
          <w:spacing w:val="-4"/>
        </w:rPr>
        <w:t> </w:t>
      </w:r>
      <w:r>
        <w:rPr>
          <w:color w:val="231F20"/>
        </w:rPr>
        <w:t>and</w:t>
      </w:r>
      <w:r>
        <w:rPr>
          <w:color w:val="231F20"/>
          <w:spacing w:val="-4"/>
        </w:rPr>
        <w:t> </w:t>
      </w:r>
      <w:r>
        <w:rPr>
          <w:color w:val="231F20"/>
        </w:rPr>
        <w:t>community</w:t>
      </w:r>
      <w:r>
        <w:rPr>
          <w:color w:val="231F20"/>
          <w:spacing w:val="-4"/>
        </w:rPr>
        <w:t> </w:t>
      </w:r>
      <w:r>
        <w:rPr>
          <w:color w:val="231F20"/>
          <w:spacing w:val="-1"/>
        </w:rPr>
        <w:t>member</w:t>
      </w:r>
      <w:r>
        <w:rPr>
          <w:color w:val="231F20"/>
          <w:spacing w:val="21"/>
        </w:rPr>
        <w:t> </w:t>
      </w:r>
      <w:r>
        <w:rPr>
          <w:color w:val="231F20"/>
        </w:rPr>
        <w:t>visits</w:t>
      </w:r>
      <w:r>
        <w:rPr>
          <w:color w:val="231F20"/>
          <w:spacing w:val="-4"/>
        </w:rPr>
        <w:t> </w:t>
      </w:r>
      <w:r>
        <w:rPr>
          <w:color w:val="231F20"/>
        </w:rPr>
        <w:t>for</w:t>
      </w:r>
      <w:r>
        <w:rPr>
          <w:color w:val="231F20"/>
          <w:spacing w:val="-2"/>
        </w:rPr>
        <w:t> </w:t>
      </w:r>
      <w:r>
        <w:rPr>
          <w:color w:val="231F20"/>
          <w:spacing w:val="-1"/>
        </w:rPr>
        <w:t>school</w:t>
      </w:r>
      <w:r>
        <w:rPr>
          <w:color w:val="231F20"/>
          <w:spacing w:val="-2"/>
        </w:rPr>
        <w:t> </w:t>
      </w:r>
      <w:r>
        <w:rPr>
          <w:color w:val="231F20"/>
        </w:rPr>
        <w:t>events</w:t>
      </w:r>
      <w:r>
        <w:rPr>
          <w:color w:val="231F20"/>
          <w:spacing w:val="-3"/>
        </w:rPr>
        <w:t> </w:t>
      </w:r>
      <w:r>
        <w:rPr>
          <w:color w:val="231F20"/>
        </w:rPr>
        <w:t>each</w:t>
      </w:r>
      <w:r>
        <w:rPr>
          <w:color w:val="231F20"/>
          <w:spacing w:val="-2"/>
        </w:rPr>
        <w:t> </w:t>
      </w:r>
      <w:r>
        <w:rPr>
          <w:color w:val="231F20"/>
        </w:rPr>
        <w:t>year</w:t>
      </w:r>
      <w:r>
        <w:rPr>
          <w:color w:val="231F20"/>
          <w:spacing w:val="-2"/>
        </w:rPr>
        <w:t> </w:t>
      </w:r>
      <w:r>
        <w:rPr>
          <w:color w:val="231F20"/>
        </w:rPr>
        <w:t>or</w:t>
      </w:r>
      <w:r>
        <w:rPr>
          <w:color w:val="231F20"/>
          <w:spacing w:val="-2"/>
        </w:rPr>
        <w:t> </w:t>
      </w:r>
      <w:r>
        <w:rPr>
          <w:color w:val="231F20"/>
        </w:rPr>
        <w:t>for</w:t>
      </w:r>
      <w:r>
        <w:rPr>
          <w:color w:val="231F20"/>
          <w:spacing w:val="21"/>
          <w:w w:val="99"/>
        </w:rPr>
        <w:t> </w:t>
      </w:r>
      <w:r>
        <w:rPr>
          <w:rFonts w:ascii="Segoe UI" w:hAnsi="Segoe UI"/>
          <w:color w:val="231F20"/>
        </w:rPr>
        <w:t>boarding</w:t>
      </w:r>
      <w:r>
        <w:rPr>
          <w:rFonts w:ascii="Segoe UI" w:hAnsi="Segoe UI"/>
          <w:color w:val="231F20"/>
          <w:spacing w:val="-1"/>
        </w:rPr>
        <w:t> </w:t>
      </w:r>
      <w:r>
        <w:rPr>
          <w:rFonts w:ascii="Segoe UI" w:hAnsi="Segoe UI"/>
          <w:color w:val="231F20"/>
        </w:rPr>
        <w:t>school</w:t>
      </w:r>
      <w:r>
        <w:rPr>
          <w:rFonts w:ascii="Segoe UI" w:hAnsi="Segoe UI"/>
          <w:color w:val="231F20"/>
          <w:spacing w:val="-1"/>
        </w:rPr>
        <w:t> </w:t>
      </w:r>
      <w:r>
        <w:rPr>
          <w:rFonts w:ascii="Segoe UI" w:hAnsi="Segoe UI"/>
          <w:color w:val="231F20"/>
        </w:rPr>
        <w:t>staff to</w:t>
      </w:r>
      <w:r>
        <w:rPr>
          <w:rFonts w:ascii="Segoe UI" w:hAnsi="Segoe UI"/>
          <w:color w:val="231F20"/>
          <w:spacing w:val="-1"/>
        </w:rPr>
        <w:t> </w:t>
      </w:r>
      <w:r>
        <w:rPr>
          <w:rFonts w:ascii="Segoe UI" w:hAnsi="Segoe UI"/>
          <w:color w:val="231F20"/>
        </w:rPr>
        <w:t>visit</w:t>
      </w:r>
      <w:r>
        <w:rPr>
          <w:rFonts w:ascii="Segoe UI" w:hAnsi="Segoe UI"/>
          <w:color w:val="231F20"/>
          <w:spacing w:val="-1"/>
        </w:rPr>
        <w:t> </w:t>
      </w:r>
      <w:r>
        <w:rPr>
          <w:rFonts w:ascii="Segoe UI" w:hAnsi="Segoe UI"/>
          <w:color w:val="231F20"/>
        </w:rPr>
        <w:t>families and</w:t>
      </w:r>
      <w:r>
        <w:rPr>
          <w:rFonts w:ascii="Segoe UI" w:hAnsi="Segoe UI"/>
          <w:color w:val="231F20"/>
        </w:rPr>
        <w:t> </w:t>
      </w:r>
      <w:r>
        <w:rPr>
          <w:color w:val="231F20"/>
        </w:rPr>
        <w:t>carers </w:t>
      </w:r>
      <w:r>
        <w:rPr>
          <w:color w:val="231F20"/>
          <w:spacing w:val="-1"/>
        </w:rPr>
        <w:t>in</w:t>
      </w:r>
      <w:r>
        <w:rPr>
          <w:color w:val="231F20"/>
          <w:spacing w:val="2"/>
        </w:rPr>
        <w:t> </w:t>
      </w:r>
      <w:r>
        <w:rPr>
          <w:color w:val="231F20"/>
          <w:spacing w:val="-1"/>
        </w:rPr>
        <w:t>community</w:t>
      </w:r>
      <w:r>
        <w:rPr>
          <w:rFonts w:ascii="Segoe UI Semibold" w:hAnsi="Segoe UI Semibold"/>
          <w:b/>
          <w:color w:val="231F20"/>
          <w:spacing w:val="-1"/>
          <w:position w:val="7"/>
          <w:sz w:val="11"/>
        </w:rPr>
        <w:t>116</w:t>
      </w:r>
      <w:r>
        <w:rPr>
          <w:rFonts w:ascii="Segoe UI Semibold" w:hAnsi="Segoe UI Semibold"/>
          <w:sz w:val="11"/>
        </w:rPr>
      </w:r>
    </w:p>
    <w:p>
      <w:pPr>
        <w:pStyle w:val="BodyText"/>
        <w:spacing w:line="258" w:lineRule="exact" w:before="97"/>
        <w:ind w:right="49"/>
        <w:jc w:val="left"/>
        <w:rPr>
          <w:rFonts w:ascii="Segoe UI" w:hAnsi="Segoe UI" w:cs="Segoe UI" w:eastAsia="Segoe UI"/>
        </w:rPr>
      </w:pPr>
      <w:r>
        <w:rPr>
          <w:rFonts w:ascii="Century Gothic" w:hAnsi="Century Gothic"/>
          <w:color w:val="231F20"/>
        </w:rPr>
        <w:t>» </w:t>
      </w:r>
      <w:r>
        <w:rPr>
          <w:rFonts w:ascii="Century Gothic" w:hAnsi="Century Gothic"/>
          <w:color w:val="231F20"/>
          <w:spacing w:val="30"/>
        </w:rPr>
        <w:t> </w:t>
      </w:r>
      <w:r>
        <w:rPr>
          <w:rFonts w:ascii="Segoe UI" w:hAnsi="Segoe UI"/>
          <w:color w:val="231F20"/>
        </w:rPr>
        <w:t>providing greater flexibility for</w:t>
      </w:r>
      <w:r>
        <w:rPr>
          <w:rFonts w:ascii="Segoe UI" w:hAnsi="Segoe UI"/>
          <w:color w:val="231F20"/>
          <w:spacing w:val="-1"/>
        </w:rPr>
        <w:t> </w:t>
      </w:r>
      <w:r>
        <w:rPr>
          <w:rFonts w:ascii="Segoe UI" w:hAnsi="Segoe UI"/>
          <w:color w:val="231F20"/>
        </w:rPr>
        <w:t>travel to</w:t>
      </w:r>
      <w:r>
        <w:rPr>
          <w:rFonts w:ascii="Segoe UI" w:hAnsi="Segoe UI"/>
        </w:rPr>
      </w:r>
    </w:p>
    <w:p>
      <w:pPr>
        <w:pStyle w:val="BodyText"/>
        <w:spacing w:line="250" w:lineRule="exact" w:before="8"/>
        <w:ind w:left="344" w:right="0"/>
        <w:jc w:val="left"/>
        <w:rPr>
          <w:rFonts w:ascii="Segoe UI Semibold" w:hAnsi="Segoe UI Semibold" w:cs="Segoe UI Semibold" w:eastAsia="Segoe UI Semibold"/>
          <w:sz w:val="11"/>
          <w:szCs w:val="11"/>
        </w:rPr>
      </w:pPr>
      <w:r>
        <w:rPr>
          <w:color w:val="231F20"/>
        </w:rPr>
        <w:t>or</w:t>
      </w:r>
      <w:r>
        <w:rPr>
          <w:color w:val="231F20"/>
          <w:spacing w:val="-3"/>
        </w:rPr>
        <w:t> </w:t>
      </w:r>
      <w:r>
        <w:rPr>
          <w:color w:val="231F20"/>
        </w:rPr>
        <w:t>from</w:t>
      </w:r>
      <w:r>
        <w:rPr>
          <w:color w:val="231F20"/>
          <w:spacing w:val="-3"/>
        </w:rPr>
        <w:t> </w:t>
      </w:r>
      <w:r>
        <w:rPr>
          <w:color w:val="231F20"/>
          <w:spacing w:val="-1"/>
        </w:rPr>
        <w:t>locations</w:t>
      </w:r>
      <w:r>
        <w:rPr>
          <w:color w:val="231F20"/>
          <w:spacing w:val="-3"/>
        </w:rPr>
        <w:t> </w:t>
      </w:r>
      <w:r>
        <w:rPr>
          <w:color w:val="231F20"/>
        </w:rPr>
        <w:t>other</w:t>
      </w:r>
      <w:r>
        <w:rPr>
          <w:color w:val="231F20"/>
          <w:spacing w:val="-3"/>
        </w:rPr>
        <w:t> </w:t>
      </w:r>
      <w:r>
        <w:rPr>
          <w:color w:val="231F20"/>
        </w:rPr>
        <w:t>than</w:t>
      </w:r>
      <w:r>
        <w:rPr>
          <w:color w:val="231F20"/>
          <w:spacing w:val="-4"/>
        </w:rPr>
        <w:t> </w:t>
      </w:r>
      <w:r>
        <w:rPr>
          <w:color w:val="231F20"/>
        </w:rPr>
        <w:t>the</w:t>
      </w:r>
      <w:r>
        <w:rPr>
          <w:color w:val="231F20"/>
          <w:spacing w:val="-4"/>
        </w:rPr>
        <w:t> </w:t>
      </w:r>
      <w:r>
        <w:rPr>
          <w:color w:val="231F20"/>
          <w:spacing w:val="-1"/>
        </w:rPr>
        <w:t>student’s</w:t>
      </w:r>
      <w:r>
        <w:rPr>
          <w:color w:val="231F20"/>
          <w:spacing w:val="21"/>
        </w:rPr>
        <w:t> </w:t>
      </w:r>
      <w:r>
        <w:rPr>
          <w:color w:val="231F20"/>
        </w:rPr>
        <w:t>home</w:t>
      </w:r>
      <w:r>
        <w:rPr>
          <w:color w:val="231F20"/>
          <w:spacing w:val="-4"/>
        </w:rPr>
        <w:t> </w:t>
      </w:r>
      <w:r>
        <w:rPr>
          <w:color w:val="231F20"/>
        </w:rPr>
        <w:t>and</w:t>
      </w:r>
      <w:r>
        <w:rPr>
          <w:color w:val="231F20"/>
          <w:spacing w:val="-3"/>
        </w:rPr>
        <w:t> </w:t>
      </w:r>
      <w:r>
        <w:rPr>
          <w:color w:val="231F20"/>
          <w:spacing w:val="-1"/>
        </w:rPr>
        <w:t>school</w:t>
      </w:r>
      <w:r>
        <w:rPr>
          <w:color w:val="231F20"/>
          <w:spacing w:val="-3"/>
        </w:rPr>
        <w:t> </w:t>
      </w:r>
      <w:r>
        <w:rPr>
          <w:color w:val="231F20"/>
        </w:rPr>
        <w:t>(includes</w:t>
      </w:r>
      <w:r>
        <w:rPr>
          <w:color w:val="231F20"/>
          <w:spacing w:val="-4"/>
        </w:rPr>
        <w:t> </w:t>
      </w:r>
      <w:r>
        <w:rPr>
          <w:color w:val="231F20"/>
        </w:rPr>
        <w:t>travel</w:t>
      </w:r>
      <w:r>
        <w:rPr>
          <w:color w:val="231F20"/>
          <w:spacing w:val="-3"/>
        </w:rPr>
        <w:t> </w:t>
      </w:r>
      <w:r>
        <w:rPr>
          <w:color w:val="231F20"/>
        </w:rPr>
        <w:t>to</w:t>
      </w:r>
      <w:r>
        <w:rPr>
          <w:color w:val="231F20"/>
          <w:spacing w:val="-3"/>
        </w:rPr>
        <w:t> </w:t>
      </w:r>
      <w:r>
        <w:rPr>
          <w:color w:val="231F20"/>
        </w:rPr>
        <w:t>and</w:t>
      </w:r>
      <w:r>
        <w:rPr>
          <w:color w:val="231F20"/>
          <w:spacing w:val="-3"/>
        </w:rPr>
        <w:t> </w:t>
      </w:r>
      <w:r>
        <w:rPr>
          <w:color w:val="231F20"/>
        </w:rPr>
        <w:t>from</w:t>
      </w:r>
      <w:r>
        <w:rPr>
          <w:color w:val="231F20"/>
          <w:spacing w:val="21"/>
          <w:w w:val="99"/>
        </w:rPr>
        <w:t> </w:t>
      </w:r>
      <w:r>
        <w:rPr>
          <w:color w:val="231F20"/>
        </w:rPr>
        <w:t>boarding</w:t>
      </w:r>
      <w:r>
        <w:rPr>
          <w:color w:val="231F20"/>
          <w:spacing w:val="-6"/>
        </w:rPr>
        <w:t> </w:t>
      </w:r>
      <w:r>
        <w:rPr>
          <w:color w:val="231F20"/>
        </w:rPr>
        <w:t>but</w:t>
      </w:r>
      <w:r>
        <w:rPr>
          <w:color w:val="231F20"/>
          <w:spacing w:val="-5"/>
        </w:rPr>
        <w:t> </w:t>
      </w:r>
      <w:r>
        <w:rPr>
          <w:color w:val="231F20"/>
        </w:rPr>
        <w:t>also</w:t>
      </w:r>
      <w:r>
        <w:rPr>
          <w:color w:val="231F20"/>
          <w:spacing w:val="-5"/>
        </w:rPr>
        <w:t> </w:t>
      </w:r>
      <w:r>
        <w:rPr>
          <w:color w:val="231F20"/>
        </w:rPr>
        <w:t>for</w:t>
      </w:r>
      <w:r>
        <w:rPr>
          <w:color w:val="231F20"/>
          <w:spacing w:val="-4"/>
        </w:rPr>
        <w:t> </w:t>
      </w:r>
      <w:r>
        <w:rPr>
          <w:color w:val="231F20"/>
        </w:rPr>
        <w:t>compassionate</w:t>
      </w:r>
      <w:r>
        <w:rPr>
          <w:color w:val="231F20"/>
          <w:spacing w:val="-5"/>
        </w:rPr>
        <w:t> </w:t>
      </w:r>
      <w:r>
        <w:rPr>
          <w:color w:val="231F20"/>
        </w:rPr>
        <w:t>reasons,</w:t>
      </w:r>
      <w:r>
        <w:rPr>
          <w:color w:val="231F20"/>
          <w:w w:val="99"/>
        </w:rPr>
        <w:t> </w:t>
      </w:r>
      <w:r>
        <w:rPr>
          <w:color w:val="231F20"/>
          <w:spacing w:val="-1"/>
        </w:rPr>
        <w:t>such</w:t>
      </w:r>
      <w:r>
        <w:rPr>
          <w:color w:val="231F20"/>
        </w:rPr>
        <w:t> as </w:t>
      </w:r>
      <w:r>
        <w:rPr>
          <w:color w:val="231F20"/>
          <w:spacing w:val="-1"/>
        </w:rPr>
        <w:t>funerals)</w:t>
      </w:r>
      <w:r>
        <w:rPr>
          <w:rFonts w:ascii="Segoe UI Semibold" w:hAnsi="Segoe UI Semibold" w:cs="Segoe UI Semibold" w:eastAsia="Segoe UI Semibold"/>
          <w:b/>
          <w:bCs/>
          <w:color w:val="231F20"/>
          <w:spacing w:val="-1"/>
          <w:position w:val="7"/>
          <w:sz w:val="11"/>
          <w:szCs w:val="11"/>
        </w:rPr>
        <w:t>117</w:t>
      </w:r>
      <w:r>
        <w:rPr>
          <w:rFonts w:ascii="Segoe UI Semibold" w:hAnsi="Segoe UI Semibold" w:cs="Segoe UI Semibold" w:eastAsia="Segoe UI Semibold"/>
          <w:sz w:val="11"/>
          <w:szCs w:val="11"/>
        </w:rPr>
      </w:r>
    </w:p>
    <w:p>
      <w:pPr>
        <w:pStyle w:val="BodyText"/>
        <w:spacing w:line="250" w:lineRule="exact" w:before="113"/>
        <w:ind w:left="344" w:right="39" w:hanging="227"/>
        <w:jc w:val="left"/>
        <w:rPr>
          <w:rFonts w:ascii="Segoe UI" w:hAnsi="Segoe UI" w:cs="Segoe UI" w:eastAsia="Segoe UI"/>
        </w:rPr>
      </w:pPr>
      <w:r>
        <w:rPr>
          <w:rFonts w:ascii="Century Gothic" w:hAnsi="Century Gothic"/>
          <w:color w:val="231F20"/>
        </w:rPr>
        <w:t>» </w:t>
      </w:r>
      <w:r>
        <w:rPr>
          <w:rFonts w:ascii="Century Gothic" w:hAnsi="Century Gothic"/>
          <w:color w:val="231F20"/>
          <w:spacing w:val="24"/>
        </w:rPr>
        <w:t> </w:t>
      </w:r>
      <w:r>
        <w:rPr>
          <w:color w:val="231F20"/>
        </w:rPr>
        <w:t>fairer</w:t>
      </w:r>
      <w:r>
        <w:rPr>
          <w:color w:val="231F20"/>
          <w:spacing w:val="-3"/>
        </w:rPr>
        <w:t> </w:t>
      </w:r>
      <w:r>
        <w:rPr>
          <w:color w:val="231F20"/>
        </w:rPr>
        <w:t>rules</w:t>
      </w:r>
      <w:r>
        <w:rPr>
          <w:color w:val="231F20"/>
          <w:spacing w:val="-4"/>
        </w:rPr>
        <w:t> </w:t>
      </w:r>
      <w:r>
        <w:rPr>
          <w:color w:val="231F20"/>
        </w:rPr>
        <w:t>for</w:t>
      </w:r>
      <w:r>
        <w:rPr>
          <w:color w:val="231F20"/>
          <w:spacing w:val="-3"/>
        </w:rPr>
        <w:t> </w:t>
      </w:r>
      <w:r>
        <w:rPr>
          <w:color w:val="231F20"/>
        </w:rPr>
        <w:t>travel</w:t>
      </w:r>
      <w:r>
        <w:rPr>
          <w:color w:val="231F20"/>
          <w:spacing w:val="-4"/>
        </w:rPr>
        <w:t> </w:t>
      </w:r>
      <w:r>
        <w:rPr>
          <w:color w:val="231F20"/>
        </w:rPr>
        <w:t>to</w:t>
      </w:r>
      <w:r>
        <w:rPr>
          <w:color w:val="231F20"/>
          <w:spacing w:val="-3"/>
        </w:rPr>
        <w:t> </w:t>
      </w:r>
      <w:r>
        <w:rPr>
          <w:color w:val="231F20"/>
          <w:spacing w:val="-1"/>
        </w:rPr>
        <w:t>interstate</w:t>
      </w:r>
      <w:r>
        <w:rPr>
          <w:color w:val="231F20"/>
          <w:spacing w:val="-2"/>
        </w:rPr>
        <w:t> </w:t>
      </w:r>
      <w:r>
        <w:rPr>
          <w:color w:val="231F20"/>
          <w:spacing w:val="-1"/>
        </w:rPr>
        <w:t>schools</w:t>
      </w:r>
      <w:r>
        <w:rPr>
          <w:color w:val="231F20"/>
          <w:spacing w:val="-3"/>
        </w:rPr>
        <w:t> </w:t>
      </w:r>
      <w:r>
        <w:rPr>
          <w:color w:val="231F20"/>
        </w:rPr>
        <w:t>and</w:t>
      </w:r>
      <w:r>
        <w:rPr>
          <w:color w:val="231F20"/>
          <w:spacing w:val="23"/>
          <w:w w:val="99"/>
        </w:rPr>
        <w:t> </w:t>
      </w:r>
      <w:r>
        <w:rPr>
          <w:color w:val="231F20"/>
          <w:spacing w:val="-1"/>
        </w:rPr>
        <w:t>streamlining</w:t>
      </w:r>
      <w:r>
        <w:rPr>
          <w:color w:val="231F20"/>
          <w:spacing w:val="-5"/>
        </w:rPr>
        <w:t> </w:t>
      </w:r>
      <w:r>
        <w:rPr>
          <w:color w:val="231F20"/>
        </w:rPr>
        <w:t>the</w:t>
      </w:r>
      <w:r>
        <w:rPr>
          <w:color w:val="231F20"/>
          <w:spacing w:val="-6"/>
        </w:rPr>
        <w:t> </w:t>
      </w:r>
      <w:r>
        <w:rPr>
          <w:color w:val="231F20"/>
        </w:rPr>
        <w:t>process</w:t>
      </w:r>
      <w:r>
        <w:rPr>
          <w:color w:val="231F20"/>
          <w:spacing w:val="-6"/>
        </w:rPr>
        <w:t> </w:t>
      </w:r>
      <w:r>
        <w:rPr>
          <w:color w:val="231F20"/>
        </w:rPr>
        <w:t>for</w:t>
      </w:r>
      <w:r>
        <w:rPr>
          <w:color w:val="231F20"/>
          <w:spacing w:val="-5"/>
        </w:rPr>
        <w:t> </w:t>
      </w:r>
      <w:r>
        <w:rPr>
          <w:color w:val="231F20"/>
        </w:rPr>
        <w:t>determining</w:t>
      </w:r>
      <w:r>
        <w:rPr>
          <w:color w:val="231F20"/>
          <w:spacing w:val="-6"/>
        </w:rPr>
        <w:t> </w:t>
      </w:r>
      <w:r>
        <w:rPr>
          <w:color w:val="231F20"/>
        </w:rPr>
        <w:t>the</w:t>
      </w:r>
      <w:r>
        <w:rPr>
          <w:color w:val="231F20"/>
          <w:spacing w:val="22"/>
          <w:w w:val="99"/>
        </w:rPr>
        <w:t> </w:t>
      </w:r>
      <w:r>
        <w:rPr>
          <w:rFonts w:ascii="Segoe UI" w:hAnsi="Segoe UI"/>
          <w:color w:val="231F20"/>
        </w:rPr>
        <w:t>cost</w:t>
      </w:r>
      <w:r>
        <w:rPr>
          <w:rFonts w:ascii="Segoe UI" w:hAnsi="Segoe UI"/>
          <w:color w:val="231F20"/>
          <w:spacing w:val="-3"/>
        </w:rPr>
        <w:t> </w:t>
      </w:r>
      <w:r>
        <w:rPr>
          <w:rFonts w:ascii="Segoe UI" w:hAnsi="Segoe UI"/>
          <w:color w:val="231F20"/>
        </w:rPr>
        <w:t>effectiveness</w:t>
      </w:r>
      <w:r>
        <w:rPr>
          <w:rFonts w:ascii="Segoe UI" w:hAnsi="Segoe UI"/>
          <w:color w:val="231F20"/>
          <w:spacing w:val="-3"/>
        </w:rPr>
        <w:t> </w:t>
      </w:r>
      <w:r>
        <w:rPr>
          <w:rFonts w:ascii="Segoe UI" w:hAnsi="Segoe UI"/>
          <w:color w:val="231F20"/>
        </w:rPr>
        <w:t>of</w:t>
      </w:r>
      <w:r>
        <w:rPr>
          <w:rFonts w:ascii="Segoe UI" w:hAnsi="Segoe UI"/>
          <w:color w:val="231F20"/>
          <w:spacing w:val="-3"/>
        </w:rPr>
        <w:t> </w:t>
      </w:r>
      <w:r>
        <w:rPr>
          <w:rFonts w:ascii="Segoe UI" w:hAnsi="Segoe UI"/>
          <w:color w:val="231F20"/>
        </w:rPr>
        <w:t>that</w:t>
      </w:r>
      <w:r>
        <w:rPr>
          <w:rFonts w:ascii="Segoe UI" w:hAnsi="Segoe UI"/>
          <w:color w:val="231F20"/>
          <w:spacing w:val="-3"/>
        </w:rPr>
        <w:t> </w:t>
      </w:r>
      <w:r>
        <w:rPr>
          <w:rFonts w:ascii="Segoe UI" w:hAnsi="Segoe UI"/>
          <w:color w:val="231F20"/>
        </w:rPr>
        <w:t>travel</w:t>
      </w:r>
      <w:r>
        <w:rPr>
          <w:rFonts w:ascii="Segoe UI" w:hAnsi="Segoe UI"/>
        </w:rPr>
      </w:r>
    </w:p>
    <w:p>
      <w:pPr>
        <w:pStyle w:val="BodyText"/>
        <w:spacing w:line="250" w:lineRule="exact" w:before="113"/>
        <w:ind w:left="344" w:right="104" w:hanging="227"/>
        <w:jc w:val="left"/>
        <w:rPr>
          <w:rFonts w:ascii="Segoe UI Semibold" w:hAnsi="Segoe UI Semibold" w:cs="Segoe UI Semibold" w:eastAsia="Segoe UI Semibold"/>
          <w:sz w:val="11"/>
          <w:szCs w:val="11"/>
        </w:rPr>
      </w:pPr>
      <w:r>
        <w:rPr>
          <w:rFonts w:ascii="Century Gothic" w:hAnsi="Century Gothic"/>
          <w:color w:val="231F20"/>
        </w:rPr>
        <w:t>» </w:t>
      </w:r>
      <w:r>
        <w:rPr>
          <w:rFonts w:ascii="Century Gothic" w:hAnsi="Century Gothic"/>
          <w:color w:val="231F20"/>
          <w:spacing w:val="27"/>
        </w:rPr>
        <w:t> </w:t>
      </w:r>
      <w:r>
        <w:rPr>
          <w:color w:val="231F20"/>
          <w:spacing w:val="-1"/>
        </w:rPr>
        <w:t>introducing</w:t>
      </w:r>
      <w:r>
        <w:rPr>
          <w:color w:val="231F20"/>
          <w:spacing w:val="-2"/>
        </w:rPr>
        <w:t> </w:t>
      </w:r>
      <w:r>
        <w:rPr>
          <w:color w:val="231F20"/>
        </w:rPr>
        <w:t>fairer</w:t>
      </w:r>
      <w:r>
        <w:rPr>
          <w:color w:val="231F20"/>
          <w:spacing w:val="-1"/>
        </w:rPr>
        <w:t> penalties</w:t>
      </w:r>
      <w:r>
        <w:rPr>
          <w:rFonts w:ascii="Segoe UI Semibold" w:hAnsi="Segoe UI Semibold"/>
          <w:b/>
          <w:color w:val="231F20"/>
          <w:spacing w:val="-1"/>
          <w:position w:val="7"/>
          <w:sz w:val="11"/>
        </w:rPr>
        <w:t>118</w:t>
      </w:r>
      <w:r>
        <w:rPr>
          <w:rFonts w:ascii="Segoe UI Semibold" w:hAnsi="Segoe UI Semibold"/>
          <w:b/>
          <w:color w:val="231F20"/>
          <w:spacing w:val="23"/>
          <w:position w:val="7"/>
          <w:sz w:val="11"/>
        </w:rPr>
        <w:t> </w:t>
      </w:r>
      <w:r>
        <w:rPr>
          <w:color w:val="231F20"/>
        </w:rPr>
        <w:t>for</w:t>
      </w:r>
      <w:r>
        <w:rPr>
          <w:color w:val="231F20"/>
          <w:spacing w:val="-2"/>
        </w:rPr>
        <w:t> </w:t>
      </w:r>
      <w:r>
        <w:rPr>
          <w:color w:val="231F20"/>
          <w:spacing w:val="-1"/>
        </w:rPr>
        <w:t>missed</w:t>
      </w:r>
      <w:r>
        <w:rPr>
          <w:color w:val="231F20"/>
          <w:spacing w:val="20"/>
        </w:rPr>
        <w:t> </w:t>
      </w:r>
      <w:r>
        <w:rPr>
          <w:color w:val="231F20"/>
        </w:rPr>
        <w:t>travel</w:t>
      </w:r>
      <w:r>
        <w:rPr>
          <w:color w:val="231F20"/>
          <w:spacing w:val="-10"/>
        </w:rPr>
        <w:t> </w:t>
      </w:r>
      <w:r>
        <w:rPr>
          <w:color w:val="231F20"/>
          <w:spacing w:val="-1"/>
        </w:rPr>
        <w:t>arrangements.</w:t>
      </w:r>
      <w:r>
        <w:rPr>
          <w:rFonts w:ascii="Segoe UI Semibold" w:hAnsi="Segoe UI Semibold"/>
          <w:b/>
          <w:color w:val="231F20"/>
          <w:spacing w:val="-1"/>
          <w:position w:val="7"/>
          <w:sz w:val="11"/>
        </w:rPr>
        <w:t>119</w:t>
      </w:r>
      <w:r>
        <w:rPr>
          <w:rFonts w:ascii="Segoe UI Semibold" w:hAnsi="Segoe UI Semibold"/>
          <w:sz w:val="11"/>
        </w:rPr>
      </w:r>
    </w:p>
    <w:p>
      <w:pPr>
        <w:pStyle w:val="BodyText"/>
        <w:spacing w:line="250" w:lineRule="exact" w:before="113"/>
        <w:ind w:right="104"/>
        <w:jc w:val="left"/>
      </w:pPr>
      <w:r>
        <w:rPr>
          <w:color w:val="231F20"/>
        </w:rPr>
        <w:t>The</w:t>
      </w:r>
      <w:r>
        <w:rPr>
          <w:color w:val="231F20"/>
          <w:spacing w:val="-4"/>
        </w:rPr>
        <w:t> </w:t>
      </w:r>
      <w:r>
        <w:rPr>
          <w:color w:val="231F20"/>
          <w:spacing w:val="-1"/>
        </w:rPr>
        <w:t>2018-19</w:t>
      </w:r>
      <w:r>
        <w:rPr>
          <w:color w:val="231F20"/>
          <w:spacing w:val="-3"/>
        </w:rPr>
        <w:t> </w:t>
      </w:r>
      <w:r>
        <w:rPr>
          <w:color w:val="231F20"/>
        </w:rPr>
        <w:t>ABSTUDY</w:t>
      </w:r>
      <w:r>
        <w:rPr>
          <w:color w:val="231F20"/>
          <w:spacing w:val="-5"/>
        </w:rPr>
        <w:t> </w:t>
      </w:r>
      <w:r>
        <w:rPr>
          <w:color w:val="231F20"/>
        </w:rPr>
        <w:t>budget</w:t>
      </w:r>
      <w:r>
        <w:rPr>
          <w:color w:val="231F20"/>
          <w:spacing w:val="-4"/>
        </w:rPr>
        <w:t> </w:t>
      </w:r>
      <w:r>
        <w:rPr>
          <w:color w:val="231F20"/>
          <w:spacing w:val="-1"/>
        </w:rPr>
        <w:t>measure</w:t>
      </w:r>
      <w:r>
        <w:rPr>
          <w:color w:val="231F20"/>
          <w:spacing w:val="-4"/>
        </w:rPr>
        <w:t> </w:t>
      </w:r>
      <w:r>
        <w:rPr>
          <w:color w:val="231F20"/>
        </w:rPr>
        <w:t>has</w:t>
      </w:r>
      <w:r>
        <w:rPr>
          <w:color w:val="231F20"/>
          <w:spacing w:val="23"/>
        </w:rPr>
        <w:t> </w:t>
      </w:r>
      <w:r>
        <w:rPr>
          <w:color w:val="231F20"/>
        </w:rPr>
        <w:t>been</w:t>
      </w:r>
      <w:r>
        <w:rPr>
          <w:color w:val="231F20"/>
          <w:spacing w:val="-7"/>
        </w:rPr>
        <w:t> </w:t>
      </w:r>
      <w:r>
        <w:rPr>
          <w:color w:val="231F20"/>
        </w:rPr>
        <w:t>welcomed</w:t>
      </w:r>
      <w:r>
        <w:rPr>
          <w:color w:val="231F20"/>
          <w:spacing w:val="-7"/>
        </w:rPr>
        <w:t> </w:t>
      </w:r>
      <w:r>
        <w:rPr>
          <w:color w:val="231F20"/>
        </w:rPr>
        <w:t>by</w:t>
      </w:r>
      <w:r>
        <w:rPr>
          <w:color w:val="231F20"/>
          <w:spacing w:val="-6"/>
        </w:rPr>
        <w:t> </w:t>
      </w:r>
      <w:r>
        <w:rPr>
          <w:color w:val="231F20"/>
        </w:rPr>
        <w:t>boarding</w:t>
      </w:r>
      <w:r>
        <w:rPr>
          <w:color w:val="231F20"/>
          <w:spacing w:val="-7"/>
        </w:rPr>
        <w:t> </w:t>
      </w:r>
      <w:r>
        <w:rPr>
          <w:color w:val="231F20"/>
        </w:rPr>
        <w:t>providers</w:t>
      </w:r>
      <w:r>
        <w:rPr>
          <w:color w:val="231F20"/>
          <w:spacing w:val="-7"/>
        </w:rPr>
        <w:t> </w:t>
      </w:r>
      <w:r>
        <w:rPr>
          <w:color w:val="231F20"/>
        </w:rPr>
        <w:t>and</w:t>
      </w:r>
      <w:r>
        <w:rPr>
          <w:color w:val="231F20"/>
          <w:spacing w:val="-7"/>
        </w:rPr>
        <w:t> </w:t>
      </w:r>
      <w:r>
        <w:rPr>
          <w:color w:val="231F20"/>
          <w:spacing w:val="-1"/>
        </w:rPr>
        <w:t>is</w:t>
      </w:r>
      <w:r>
        <w:rPr>
          <w:color w:val="231F20"/>
          <w:spacing w:val="19"/>
        </w:rPr>
        <w:t> </w:t>
      </w:r>
      <w:r>
        <w:rPr>
          <w:color w:val="231F20"/>
          <w:spacing w:val="-1"/>
        </w:rPr>
        <w:t>seen</w:t>
      </w:r>
      <w:r>
        <w:rPr>
          <w:color w:val="231F20"/>
          <w:spacing w:val="-2"/>
        </w:rPr>
        <w:t> </w:t>
      </w:r>
      <w:r>
        <w:rPr>
          <w:color w:val="231F20"/>
        </w:rPr>
        <w:t>as</w:t>
      </w:r>
      <w:r>
        <w:rPr>
          <w:color w:val="231F20"/>
          <w:spacing w:val="-3"/>
        </w:rPr>
        <w:t> </w:t>
      </w:r>
      <w:r>
        <w:rPr>
          <w:color w:val="231F20"/>
        </w:rPr>
        <w:t>delivering</w:t>
      </w:r>
      <w:r>
        <w:rPr>
          <w:color w:val="231F20"/>
          <w:spacing w:val="-3"/>
        </w:rPr>
        <w:t> </w:t>
      </w:r>
      <w:r>
        <w:rPr>
          <w:color w:val="231F20"/>
        </w:rPr>
        <w:t>positive</w:t>
      </w:r>
      <w:r>
        <w:rPr>
          <w:color w:val="231F20"/>
          <w:spacing w:val="-2"/>
        </w:rPr>
        <w:t> </w:t>
      </w:r>
      <w:r>
        <w:rPr>
          <w:color w:val="231F20"/>
          <w:spacing w:val="-1"/>
        </w:rPr>
        <w:t>improvements</w:t>
      </w:r>
      <w:r>
        <w:rPr>
          <w:color w:val="231F20"/>
          <w:spacing w:val="-2"/>
        </w:rPr>
        <w:t> </w:t>
      </w:r>
      <w:r>
        <w:rPr>
          <w:color w:val="231F20"/>
          <w:spacing w:val="-1"/>
        </w:rPr>
        <w:t>in</w:t>
      </w:r>
      <w:r>
        <w:rPr>
          <w:color w:val="231F20"/>
          <w:spacing w:val="22"/>
        </w:rPr>
        <w:t> </w:t>
      </w:r>
      <w:r>
        <w:rPr>
          <w:rFonts w:ascii="Segoe UI"/>
          <w:color w:val="231F20"/>
        </w:rPr>
        <w:t>reducing administration, increasing flexibility</w:t>
      </w:r>
      <w:r>
        <w:rPr>
          <w:rFonts w:ascii="Segoe UI"/>
          <w:color w:val="231F20"/>
        </w:rPr>
        <w:t> </w:t>
      </w:r>
      <w:r>
        <w:rPr>
          <w:color w:val="231F20"/>
        </w:rPr>
        <w:t>for</w:t>
      </w:r>
      <w:r>
        <w:rPr>
          <w:color w:val="231F20"/>
          <w:spacing w:val="-5"/>
        </w:rPr>
        <w:t> </w:t>
      </w:r>
      <w:r>
        <w:rPr>
          <w:color w:val="231F20"/>
        </w:rPr>
        <w:t>travel</w:t>
      </w:r>
      <w:r>
        <w:rPr>
          <w:color w:val="231F20"/>
          <w:spacing w:val="-5"/>
        </w:rPr>
        <w:t> </w:t>
      </w:r>
      <w:r>
        <w:rPr>
          <w:color w:val="231F20"/>
        </w:rPr>
        <w:t>and</w:t>
      </w:r>
      <w:r>
        <w:rPr>
          <w:color w:val="231F20"/>
          <w:spacing w:val="-5"/>
        </w:rPr>
        <w:t> </w:t>
      </w:r>
      <w:r>
        <w:rPr>
          <w:color w:val="231F20"/>
          <w:spacing w:val="-1"/>
        </w:rPr>
        <w:t>improving</w:t>
      </w:r>
      <w:r>
        <w:rPr>
          <w:color w:val="231F20"/>
          <w:spacing w:val="-4"/>
        </w:rPr>
        <w:t> </w:t>
      </w:r>
      <w:r>
        <w:rPr>
          <w:color w:val="231F20"/>
        </w:rPr>
        <w:t>the</w:t>
      </w:r>
      <w:r>
        <w:rPr>
          <w:color w:val="231F20"/>
          <w:spacing w:val="-6"/>
        </w:rPr>
        <w:t> </w:t>
      </w:r>
      <w:r>
        <w:rPr>
          <w:color w:val="231F20"/>
          <w:spacing w:val="-1"/>
        </w:rPr>
        <w:t>safety</w:t>
      </w:r>
      <w:r>
        <w:rPr>
          <w:color w:val="231F20"/>
          <w:spacing w:val="-4"/>
        </w:rPr>
        <w:t> </w:t>
      </w:r>
      <w:r>
        <w:rPr>
          <w:color w:val="231F20"/>
        </w:rPr>
        <w:t>of</w:t>
      </w:r>
      <w:r>
        <w:rPr>
          <w:color w:val="231F20"/>
          <w:spacing w:val="-4"/>
        </w:rPr>
        <w:t> </w:t>
      </w:r>
      <w:r>
        <w:rPr>
          <w:color w:val="231F20"/>
          <w:spacing w:val="-1"/>
        </w:rPr>
        <w:t>students</w:t>
      </w:r>
      <w:r>
        <w:rPr>
          <w:color w:val="231F20"/>
          <w:spacing w:val="22"/>
        </w:rPr>
        <w:t> </w:t>
      </w:r>
      <w:r>
        <w:rPr>
          <w:color w:val="231F20"/>
        </w:rPr>
        <w:t>while</w:t>
      </w:r>
      <w:r>
        <w:rPr>
          <w:color w:val="231F20"/>
          <w:spacing w:val="-7"/>
        </w:rPr>
        <w:t> </w:t>
      </w:r>
      <w:r>
        <w:rPr>
          <w:color w:val="231F20"/>
        </w:rPr>
        <w:t>travelling</w:t>
      </w:r>
      <w:r>
        <w:rPr>
          <w:color w:val="231F20"/>
          <w:spacing w:val="-6"/>
        </w:rPr>
        <w:t> </w:t>
      </w:r>
      <w:r>
        <w:rPr>
          <w:color w:val="231F20"/>
        </w:rPr>
        <w:t>to</w:t>
      </w:r>
      <w:r>
        <w:rPr>
          <w:color w:val="231F20"/>
          <w:spacing w:val="-5"/>
        </w:rPr>
        <w:t> </w:t>
      </w:r>
      <w:r>
        <w:rPr>
          <w:color w:val="231F20"/>
        </w:rPr>
        <w:t>and</w:t>
      </w:r>
      <w:r>
        <w:rPr>
          <w:color w:val="231F20"/>
          <w:spacing w:val="-6"/>
        </w:rPr>
        <w:t> </w:t>
      </w:r>
      <w:r>
        <w:rPr>
          <w:color w:val="231F20"/>
        </w:rPr>
        <w:t>from</w:t>
      </w:r>
      <w:r>
        <w:rPr>
          <w:color w:val="231F20"/>
          <w:spacing w:val="-5"/>
        </w:rPr>
        <w:t> </w:t>
      </w:r>
      <w:r>
        <w:rPr>
          <w:color w:val="231F20"/>
        </w:rPr>
        <w:t>boarding.</w:t>
      </w:r>
      <w:r>
        <w:rPr>
          <w:color w:val="231F20"/>
          <w:spacing w:val="-6"/>
        </w:rPr>
        <w:t> </w:t>
      </w:r>
      <w:r>
        <w:rPr>
          <w:color w:val="231F20"/>
          <w:spacing w:val="-1"/>
        </w:rPr>
        <w:t>Positive</w:t>
      </w:r>
      <w:r>
        <w:rPr>
          <w:color w:val="231F20"/>
          <w:spacing w:val="20"/>
        </w:rPr>
        <w:t> </w:t>
      </w:r>
      <w:r>
        <w:rPr>
          <w:color w:val="231F20"/>
        </w:rPr>
        <w:t>changes</w:t>
      </w:r>
      <w:r>
        <w:rPr>
          <w:color w:val="231F20"/>
          <w:spacing w:val="-6"/>
        </w:rPr>
        <w:t> </w:t>
      </w:r>
      <w:r>
        <w:rPr>
          <w:color w:val="231F20"/>
          <w:spacing w:val="-1"/>
        </w:rPr>
        <w:t>in</w:t>
      </w:r>
      <w:r>
        <w:rPr>
          <w:color w:val="231F20"/>
          <w:spacing w:val="-5"/>
        </w:rPr>
        <w:t> </w:t>
      </w:r>
      <w:r>
        <w:rPr>
          <w:color w:val="231F20"/>
        </w:rPr>
        <w:t>the</w:t>
      </w:r>
      <w:r>
        <w:rPr>
          <w:color w:val="231F20"/>
          <w:spacing w:val="-6"/>
        </w:rPr>
        <w:t> </w:t>
      </w:r>
      <w:r>
        <w:rPr>
          <w:color w:val="231F20"/>
        </w:rPr>
        <w:t>administration</w:t>
      </w:r>
      <w:r>
        <w:rPr>
          <w:color w:val="231F20"/>
          <w:spacing w:val="-7"/>
        </w:rPr>
        <w:t> </w:t>
      </w:r>
      <w:r>
        <w:rPr>
          <w:color w:val="231F20"/>
        </w:rPr>
        <w:t>of</w:t>
      </w:r>
      <w:r>
        <w:rPr>
          <w:color w:val="231F20"/>
          <w:spacing w:val="-5"/>
        </w:rPr>
        <w:t> </w:t>
      </w:r>
      <w:r>
        <w:rPr>
          <w:color w:val="231F20"/>
        </w:rPr>
        <w:t>ABSTUDY</w:t>
      </w:r>
      <w:r>
        <w:rPr/>
      </w:r>
    </w:p>
    <w:p>
      <w:pPr>
        <w:pStyle w:val="BodyText"/>
        <w:spacing w:line="250" w:lineRule="exact"/>
        <w:ind w:right="14"/>
        <w:jc w:val="left"/>
      </w:pPr>
      <w:r>
        <w:rPr>
          <w:rFonts w:ascii="Segoe UI"/>
          <w:color w:val="231F20"/>
        </w:rPr>
        <w:t>travel in recent years were also identified during </w:t>
      </w:r>
      <w:r>
        <w:rPr>
          <w:color w:val="231F20"/>
        </w:rPr>
        <w:t>consultations</w:t>
      </w:r>
      <w:r>
        <w:rPr>
          <w:color w:val="231F20"/>
          <w:spacing w:val="-7"/>
        </w:rPr>
        <w:t> </w:t>
      </w:r>
      <w:r>
        <w:rPr>
          <w:color w:val="231F20"/>
        </w:rPr>
        <w:t>with</w:t>
      </w:r>
      <w:r>
        <w:rPr>
          <w:color w:val="231F20"/>
          <w:spacing w:val="-6"/>
        </w:rPr>
        <w:t> </w:t>
      </w:r>
      <w:r>
        <w:rPr>
          <w:color w:val="231F20"/>
        </w:rPr>
        <w:t>boarding</w:t>
      </w:r>
      <w:r>
        <w:rPr>
          <w:color w:val="231F20"/>
          <w:spacing w:val="-6"/>
        </w:rPr>
        <w:t> </w:t>
      </w:r>
      <w:r>
        <w:rPr>
          <w:color w:val="231F20"/>
        </w:rPr>
        <w:t>providers.</w:t>
      </w:r>
      <w:r>
        <w:rPr>
          <w:color w:val="231F20"/>
          <w:spacing w:val="-6"/>
        </w:rPr>
        <w:t> </w:t>
      </w:r>
      <w:r>
        <w:rPr>
          <w:color w:val="231F20"/>
        </w:rPr>
        <w:t>These</w:t>
      </w:r>
      <w:r>
        <w:rPr>
          <w:color w:val="231F20"/>
        </w:rPr>
        <w:t> were</w:t>
      </w:r>
      <w:r>
        <w:rPr>
          <w:color w:val="231F20"/>
          <w:spacing w:val="-8"/>
        </w:rPr>
        <w:t> </w:t>
      </w:r>
      <w:r>
        <w:rPr>
          <w:color w:val="231F20"/>
        </w:rPr>
        <w:t>well</w:t>
      </w:r>
      <w:r>
        <w:rPr>
          <w:color w:val="231F20"/>
          <w:spacing w:val="-7"/>
        </w:rPr>
        <w:t> </w:t>
      </w:r>
      <w:r>
        <w:rPr>
          <w:color w:val="231F20"/>
        </w:rPr>
        <w:t>received</w:t>
      </w:r>
      <w:r>
        <w:rPr>
          <w:color w:val="231F20"/>
          <w:spacing w:val="-8"/>
        </w:rPr>
        <w:t> </w:t>
      </w:r>
      <w:r>
        <w:rPr>
          <w:color w:val="231F20"/>
        </w:rPr>
        <w:t>by</w:t>
      </w:r>
      <w:r>
        <w:rPr>
          <w:color w:val="231F20"/>
          <w:spacing w:val="-6"/>
        </w:rPr>
        <w:t> </w:t>
      </w:r>
      <w:r>
        <w:rPr>
          <w:color w:val="231F20"/>
        </w:rPr>
        <w:t>boarding</w:t>
      </w:r>
      <w:r>
        <w:rPr>
          <w:color w:val="231F20"/>
          <w:spacing w:val="-8"/>
        </w:rPr>
        <w:t> </w:t>
      </w:r>
      <w:r>
        <w:rPr>
          <w:color w:val="231F20"/>
        </w:rPr>
        <w:t>providers.</w:t>
      </w:r>
      <w:r>
        <w:rPr>
          <w:color w:val="231F20"/>
          <w:spacing w:val="-7"/>
        </w:rPr>
        <w:t> </w:t>
      </w:r>
      <w:r>
        <w:rPr>
          <w:color w:val="231F20"/>
        </w:rPr>
        <w:t>More</w:t>
      </w:r>
      <w:r>
        <w:rPr>
          <w:color w:val="231F20"/>
          <w:w w:val="99"/>
        </w:rPr>
        <w:t> </w:t>
      </w:r>
      <w:r>
        <w:rPr>
          <w:color w:val="231F20"/>
          <w:spacing w:val="-1"/>
        </w:rPr>
        <w:t>information</w:t>
      </w:r>
      <w:r>
        <w:rPr>
          <w:color w:val="231F20"/>
          <w:spacing w:val="-4"/>
        </w:rPr>
        <w:t> </w:t>
      </w:r>
      <w:r>
        <w:rPr>
          <w:color w:val="231F20"/>
        </w:rPr>
        <w:t>regarding</w:t>
      </w:r>
      <w:r>
        <w:rPr>
          <w:color w:val="231F20"/>
          <w:spacing w:val="-5"/>
        </w:rPr>
        <w:t> </w:t>
      </w:r>
      <w:r>
        <w:rPr>
          <w:color w:val="231F20"/>
          <w:spacing w:val="-1"/>
        </w:rPr>
        <w:t>safe</w:t>
      </w:r>
      <w:r>
        <w:rPr>
          <w:color w:val="231F20"/>
          <w:spacing w:val="-4"/>
        </w:rPr>
        <w:t> </w:t>
      </w:r>
      <w:r>
        <w:rPr>
          <w:color w:val="231F20"/>
        </w:rPr>
        <w:t>travel</w:t>
      </w:r>
      <w:r>
        <w:rPr>
          <w:color w:val="231F20"/>
          <w:spacing w:val="-5"/>
        </w:rPr>
        <w:t> </w:t>
      </w:r>
      <w:r>
        <w:rPr>
          <w:color w:val="231F20"/>
        </w:rPr>
        <w:t>plans</w:t>
      </w:r>
      <w:r>
        <w:rPr>
          <w:color w:val="231F20"/>
          <w:spacing w:val="-5"/>
        </w:rPr>
        <w:t> </w:t>
      </w:r>
      <w:r>
        <w:rPr>
          <w:color w:val="231F20"/>
          <w:spacing w:val="-1"/>
        </w:rPr>
        <w:t>is</w:t>
      </w:r>
      <w:r>
        <w:rPr>
          <w:color w:val="231F20"/>
          <w:spacing w:val="-5"/>
        </w:rPr>
        <w:t> </w:t>
      </w:r>
      <w:r>
        <w:rPr>
          <w:color w:val="231F20"/>
          <w:spacing w:val="-1"/>
        </w:rPr>
        <w:t>set</w:t>
      </w:r>
      <w:r>
        <w:rPr>
          <w:color w:val="231F20"/>
          <w:spacing w:val="-1"/>
        </w:rPr>
        <w:t> </w:t>
      </w:r>
      <w:r>
        <w:rPr>
          <w:color w:val="231F20"/>
          <w:spacing w:val="23"/>
        </w:rPr>
        <w:t> </w:t>
      </w:r>
      <w:r>
        <w:rPr>
          <w:color w:val="231F20"/>
        </w:rPr>
        <w:t>out</w:t>
      </w:r>
      <w:r>
        <w:rPr>
          <w:color w:val="231F20"/>
          <w:spacing w:val="-5"/>
        </w:rPr>
        <w:t> </w:t>
      </w:r>
      <w:r>
        <w:rPr>
          <w:color w:val="231F20"/>
          <w:spacing w:val="-1"/>
        </w:rPr>
        <w:t>in</w:t>
      </w:r>
      <w:r>
        <w:rPr>
          <w:color w:val="231F20"/>
          <w:spacing w:val="-4"/>
        </w:rPr>
        <w:t> </w:t>
      </w:r>
      <w:r>
        <w:rPr>
          <w:color w:val="231F20"/>
        </w:rPr>
        <w:t>Appendix</w:t>
      </w:r>
      <w:r>
        <w:rPr>
          <w:color w:val="231F20"/>
          <w:spacing w:val="-5"/>
        </w:rPr>
        <w:t> </w:t>
      </w:r>
      <w:r>
        <w:rPr>
          <w:color w:val="231F20"/>
          <w:spacing w:val="-1"/>
        </w:rPr>
        <w:t>C.</w:t>
      </w:r>
      <w:r>
        <w:rPr/>
      </w:r>
    </w:p>
    <w:p>
      <w:pPr>
        <w:pStyle w:val="BodyText"/>
        <w:spacing w:line="250" w:lineRule="exact" w:before="113"/>
        <w:ind w:right="71"/>
        <w:jc w:val="left"/>
      </w:pPr>
      <w:r>
        <w:rPr>
          <w:color w:val="231F20"/>
          <w:spacing w:val="-1"/>
        </w:rPr>
        <w:t>Support</w:t>
      </w:r>
      <w:r>
        <w:rPr>
          <w:color w:val="231F20"/>
          <w:spacing w:val="-5"/>
        </w:rPr>
        <w:t> </w:t>
      </w:r>
      <w:r>
        <w:rPr>
          <w:color w:val="231F20"/>
          <w:spacing w:val="-1"/>
        </w:rPr>
        <w:t>services</w:t>
      </w:r>
      <w:r>
        <w:rPr>
          <w:color w:val="231F20"/>
          <w:spacing w:val="-4"/>
        </w:rPr>
        <w:t> </w:t>
      </w:r>
      <w:r>
        <w:rPr>
          <w:color w:val="231F20"/>
          <w:spacing w:val="-1"/>
        </w:rPr>
        <w:t>such</w:t>
      </w:r>
      <w:r>
        <w:rPr>
          <w:color w:val="231F20"/>
          <w:spacing w:val="-5"/>
        </w:rPr>
        <w:t> </w:t>
      </w:r>
      <w:r>
        <w:rPr>
          <w:color w:val="231F20"/>
        </w:rPr>
        <w:t>as</w:t>
      </w:r>
      <w:r>
        <w:rPr>
          <w:color w:val="231F20"/>
          <w:spacing w:val="-5"/>
        </w:rPr>
        <w:t> </w:t>
      </w:r>
      <w:r>
        <w:rPr>
          <w:color w:val="231F20"/>
        </w:rPr>
        <w:t>the</w:t>
      </w:r>
      <w:r>
        <w:rPr>
          <w:color w:val="231F20"/>
          <w:spacing w:val="-5"/>
        </w:rPr>
        <w:t> </w:t>
      </w:r>
      <w:r>
        <w:rPr>
          <w:color w:val="231F20"/>
          <w:spacing w:val="-2"/>
        </w:rPr>
        <w:t>Transition</w:t>
      </w:r>
      <w:r>
        <w:rPr>
          <w:color w:val="231F20"/>
          <w:spacing w:val="-6"/>
        </w:rPr>
        <w:t> </w:t>
      </w:r>
      <w:r>
        <w:rPr>
          <w:color w:val="231F20"/>
          <w:spacing w:val="-1"/>
        </w:rPr>
        <w:t>Support</w:t>
      </w:r>
      <w:r>
        <w:rPr>
          <w:color w:val="231F20"/>
          <w:spacing w:val="25"/>
          <w:w w:val="99"/>
        </w:rPr>
        <w:t> </w:t>
      </w:r>
      <w:r>
        <w:rPr>
          <w:color w:val="231F20"/>
          <w:spacing w:val="-1"/>
        </w:rPr>
        <w:t>Services</w:t>
      </w:r>
      <w:r>
        <w:rPr>
          <w:color w:val="231F20"/>
          <w:spacing w:val="-5"/>
        </w:rPr>
        <w:t> </w:t>
      </w:r>
      <w:r>
        <w:rPr>
          <w:color w:val="231F20"/>
          <w:spacing w:val="-2"/>
        </w:rPr>
        <w:t>(TSS)</w:t>
      </w:r>
      <w:r>
        <w:rPr>
          <w:color w:val="231F20"/>
          <w:spacing w:val="-5"/>
        </w:rPr>
        <w:t> </w:t>
      </w:r>
      <w:r>
        <w:rPr>
          <w:color w:val="231F20"/>
        </w:rPr>
        <w:t>and</w:t>
      </w:r>
      <w:r>
        <w:rPr>
          <w:color w:val="231F20"/>
          <w:spacing w:val="-6"/>
        </w:rPr>
        <w:t> </w:t>
      </w:r>
      <w:r>
        <w:rPr>
          <w:color w:val="231F20"/>
          <w:spacing w:val="-2"/>
        </w:rPr>
        <w:t>Transition</w:t>
      </w:r>
      <w:r>
        <w:rPr>
          <w:color w:val="231F20"/>
          <w:spacing w:val="-7"/>
        </w:rPr>
        <w:t> </w:t>
      </w:r>
      <w:r>
        <w:rPr>
          <w:color w:val="231F20"/>
          <w:spacing w:val="-1"/>
        </w:rPr>
        <w:t>Support</w:t>
      </w:r>
      <w:r>
        <w:rPr>
          <w:color w:val="231F20"/>
          <w:spacing w:val="-5"/>
        </w:rPr>
        <w:t> </w:t>
      </w:r>
      <w:r>
        <w:rPr>
          <w:color w:val="231F20"/>
        </w:rPr>
        <w:t>Unit</w:t>
      </w:r>
      <w:r>
        <w:rPr>
          <w:color w:val="231F20"/>
          <w:spacing w:val="29"/>
          <w:w w:val="99"/>
        </w:rPr>
        <w:t> </w:t>
      </w:r>
      <w:r>
        <w:rPr>
          <w:color w:val="231F20"/>
          <w:spacing w:val="-1"/>
        </w:rPr>
        <w:t>(TSU)</w:t>
      </w:r>
      <w:r>
        <w:rPr>
          <w:rFonts w:ascii="Segoe UI Semibold"/>
          <w:b/>
          <w:color w:val="231F20"/>
          <w:spacing w:val="-1"/>
          <w:position w:val="7"/>
          <w:sz w:val="11"/>
        </w:rPr>
        <w:t>120</w:t>
      </w:r>
      <w:r>
        <w:rPr>
          <w:rFonts w:ascii="Segoe UI Semibold"/>
          <w:b/>
          <w:color w:val="231F20"/>
          <w:spacing w:val="21"/>
          <w:position w:val="7"/>
          <w:sz w:val="11"/>
        </w:rPr>
        <w:t> </w:t>
      </w:r>
      <w:r>
        <w:rPr>
          <w:color w:val="231F20"/>
        </w:rPr>
        <w:t>play</w:t>
      </w:r>
      <w:r>
        <w:rPr>
          <w:color w:val="231F20"/>
          <w:spacing w:val="-5"/>
        </w:rPr>
        <w:t> </w:t>
      </w:r>
      <w:r>
        <w:rPr>
          <w:color w:val="231F20"/>
        </w:rPr>
        <w:t>an</w:t>
      </w:r>
      <w:r>
        <w:rPr>
          <w:color w:val="231F20"/>
          <w:spacing w:val="-4"/>
        </w:rPr>
        <w:t> </w:t>
      </w:r>
      <w:r>
        <w:rPr>
          <w:color w:val="231F20"/>
          <w:spacing w:val="-1"/>
        </w:rPr>
        <w:t>important</w:t>
      </w:r>
      <w:r>
        <w:rPr>
          <w:color w:val="231F20"/>
          <w:spacing w:val="-3"/>
        </w:rPr>
        <w:t> </w:t>
      </w:r>
      <w:r>
        <w:rPr>
          <w:color w:val="231F20"/>
        </w:rPr>
        <w:t>role</w:t>
      </w:r>
      <w:r>
        <w:rPr>
          <w:color w:val="231F20"/>
          <w:spacing w:val="-4"/>
        </w:rPr>
        <w:t> </w:t>
      </w:r>
      <w:r>
        <w:rPr>
          <w:color w:val="231F20"/>
          <w:spacing w:val="-1"/>
        </w:rPr>
        <w:t>in</w:t>
      </w:r>
      <w:r>
        <w:rPr>
          <w:color w:val="231F20"/>
          <w:spacing w:val="-4"/>
        </w:rPr>
        <w:t> </w:t>
      </w:r>
      <w:r>
        <w:rPr>
          <w:color w:val="231F20"/>
          <w:spacing w:val="-1"/>
        </w:rPr>
        <w:t>supporting</w:t>
      </w:r>
      <w:r>
        <w:rPr>
          <w:color w:val="231F20"/>
          <w:spacing w:val="22"/>
          <w:w w:val="99"/>
        </w:rPr>
        <w:t> </w:t>
      </w:r>
      <w:r>
        <w:rPr>
          <w:color w:val="231F20"/>
          <w:spacing w:val="-1"/>
        </w:rPr>
        <w:t>student</w:t>
      </w:r>
      <w:r>
        <w:rPr>
          <w:color w:val="231F20"/>
          <w:spacing w:val="-7"/>
        </w:rPr>
        <w:t> </w:t>
      </w:r>
      <w:r>
        <w:rPr>
          <w:color w:val="231F20"/>
        </w:rPr>
        <w:t>travel</w:t>
      </w:r>
      <w:r>
        <w:rPr>
          <w:color w:val="231F20"/>
          <w:spacing w:val="-7"/>
        </w:rPr>
        <w:t> </w:t>
      </w:r>
      <w:r>
        <w:rPr>
          <w:color w:val="231F20"/>
        </w:rPr>
        <w:t>to</w:t>
      </w:r>
      <w:r>
        <w:rPr>
          <w:color w:val="231F20"/>
          <w:spacing w:val="-6"/>
        </w:rPr>
        <w:t> </w:t>
      </w:r>
      <w:r>
        <w:rPr>
          <w:color w:val="231F20"/>
        </w:rPr>
        <w:t>and</w:t>
      </w:r>
      <w:r>
        <w:rPr>
          <w:color w:val="231F20"/>
          <w:spacing w:val="-8"/>
        </w:rPr>
        <w:t> </w:t>
      </w:r>
      <w:r>
        <w:rPr>
          <w:color w:val="231F20"/>
        </w:rPr>
        <w:t>from</w:t>
      </w:r>
      <w:r>
        <w:rPr>
          <w:color w:val="231F20"/>
          <w:spacing w:val="-6"/>
        </w:rPr>
        <w:t> </w:t>
      </w:r>
      <w:r>
        <w:rPr>
          <w:color w:val="231F20"/>
        </w:rPr>
        <w:t>boarding</w:t>
      </w:r>
      <w:r>
        <w:rPr>
          <w:color w:val="231F20"/>
          <w:spacing w:val="-7"/>
        </w:rPr>
        <w:t> </w:t>
      </w:r>
      <w:r>
        <w:rPr>
          <w:color w:val="231F20"/>
        </w:rPr>
        <w:t>providers.</w:t>
      </w:r>
      <w:r>
        <w:rPr>
          <w:color w:val="231F20"/>
          <w:spacing w:val="22"/>
          <w:w w:val="99"/>
        </w:rPr>
        <w:t> </w:t>
      </w:r>
      <w:r>
        <w:rPr>
          <w:color w:val="231F20"/>
          <w:spacing w:val="-2"/>
        </w:rPr>
        <w:t>TSS</w:t>
      </w:r>
      <w:r>
        <w:rPr>
          <w:color w:val="231F20"/>
          <w:spacing w:val="-3"/>
        </w:rPr>
        <w:t> </w:t>
      </w:r>
      <w:r>
        <w:rPr>
          <w:color w:val="231F20"/>
        </w:rPr>
        <w:t>reported</w:t>
      </w:r>
      <w:r>
        <w:rPr>
          <w:color w:val="231F20"/>
          <w:spacing w:val="-4"/>
        </w:rPr>
        <w:t> </w:t>
      </w:r>
      <w:r>
        <w:rPr>
          <w:color w:val="231F20"/>
        </w:rPr>
        <w:t>that</w:t>
      </w:r>
      <w:r>
        <w:rPr>
          <w:color w:val="231F20"/>
          <w:spacing w:val="-4"/>
        </w:rPr>
        <w:t> </w:t>
      </w:r>
      <w:r>
        <w:rPr>
          <w:color w:val="231F20"/>
        </w:rPr>
        <w:t>at</w:t>
      </w:r>
      <w:r>
        <w:rPr>
          <w:color w:val="231F20"/>
          <w:spacing w:val="-2"/>
        </w:rPr>
        <w:t> </w:t>
      </w:r>
      <w:r>
        <w:rPr>
          <w:color w:val="231F20"/>
        </w:rPr>
        <w:t>the</w:t>
      </w:r>
      <w:r>
        <w:rPr>
          <w:color w:val="231F20"/>
          <w:spacing w:val="-4"/>
        </w:rPr>
        <w:t> </w:t>
      </w:r>
      <w:r>
        <w:rPr>
          <w:color w:val="231F20"/>
          <w:spacing w:val="-1"/>
        </w:rPr>
        <w:t>start</w:t>
      </w:r>
      <w:r>
        <w:rPr>
          <w:color w:val="231F20"/>
          <w:spacing w:val="-3"/>
        </w:rPr>
        <w:t> </w:t>
      </w:r>
      <w:r>
        <w:rPr>
          <w:color w:val="231F20"/>
        </w:rPr>
        <w:t>of</w:t>
      </w:r>
      <w:r>
        <w:rPr>
          <w:color w:val="231F20"/>
          <w:spacing w:val="-3"/>
        </w:rPr>
        <w:t> </w:t>
      </w:r>
      <w:r>
        <w:rPr>
          <w:color w:val="231F20"/>
          <w:spacing w:val="-7"/>
        </w:rPr>
        <w:t>Term</w:t>
      </w:r>
      <w:r>
        <w:rPr>
          <w:color w:val="231F20"/>
          <w:spacing w:val="-3"/>
        </w:rPr>
        <w:t> </w:t>
      </w:r>
      <w:r>
        <w:rPr>
          <w:color w:val="231F20"/>
          <w:spacing w:val="-1"/>
        </w:rPr>
        <w:t>2,</w:t>
      </w:r>
      <w:r>
        <w:rPr>
          <w:color w:val="231F20"/>
          <w:spacing w:val="-3"/>
        </w:rPr>
        <w:t> </w:t>
      </w:r>
      <w:r>
        <w:rPr>
          <w:color w:val="231F20"/>
          <w:spacing w:val="-1"/>
        </w:rPr>
        <w:t>2018,</w:t>
      </w:r>
      <w:r>
        <w:rPr>
          <w:color w:val="231F20"/>
          <w:spacing w:val="26"/>
        </w:rPr>
        <w:t> </w:t>
      </w:r>
      <w:r>
        <w:rPr>
          <w:rFonts w:ascii="Segoe UI"/>
          <w:color w:val="231F20"/>
        </w:rPr>
        <w:t>90 per cent of students took up their first</w:t>
      </w:r>
      <w:r>
        <w:rPr>
          <w:rFonts w:ascii="Segoe UI"/>
          <w:color w:val="231F20"/>
        </w:rPr>
        <w:t> ABSTUDY travel </w:t>
      </w:r>
      <w:r>
        <w:rPr>
          <w:rFonts w:ascii="Segoe UI"/>
          <w:color w:val="231F20"/>
          <w:spacing w:val="-1"/>
        </w:rPr>
        <w:t>flight.</w:t>
      </w:r>
      <w:r>
        <w:rPr>
          <w:rFonts w:ascii="Segoe UI Semibold"/>
          <w:b/>
          <w:color w:val="231F20"/>
          <w:spacing w:val="-1"/>
          <w:position w:val="7"/>
          <w:sz w:val="11"/>
        </w:rPr>
        <w:t>121</w:t>
      </w:r>
      <w:r>
        <w:rPr>
          <w:rFonts w:ascii="Segoe UI Semibold"/>
          <w:b/>
          <w:color w:val="231F20"/>
          <w:spacing w:val="25"/>
          <w:position w:val="7"/>
          <w:sz w:val="11"/>
        </w:rPr>
        <w:t> </w:t>
      </w:r>
      <w:r>
        <w:rPr>
          <w:color w:val="231F20"/>
        </w:rPr>
        <w:t>These</w:t>
      </w:r>
      <w:r>
        <w:rPr>
          <w:color w:val="231F20"/>
          <w:spacing w:val="-1"/>
        </w:rPr>
        <w:t> support</w:t>
      </w:r>
      <w:r>
        <w:rPr>
          <w:color w:val="231F20"/>
          <w:spacing w:val="1"/>
        </w:rPr>
        <w:t> </w:t>
      </w:r>
      <w:r>
        <w:rPr>
          <w:color w:val="231F20"/>
          <w:spacing w:val="-1"/>
        </w:rPr>
        <w:t>services</w:t>
      </w:r>
      <w:r>
        <w:rPr>
          <w:color w:val="231F20"/>
          <w:spacing w:val="28"/>
        </w:rPr>
        <w:t> </w:t>
      </w:r>
      <w:r>
        <w:rPr>
          <w:color w:val="231F20"/>
        </w:rPr>
        <w:t>will</w:t>
      </w:r>
      <w:r>
        <w:rPr>
          <w:color w:val="231F20"/>
          <w:spacing w:val="-5"/>
        </w:rPr>
        <w:t> </w:t>
      </w:r>
      <w:r>
        <w:rPr>
          <w:color w:val="231F20"/>
        </w:rPr>
        <w:t>also</w:t>
      </w:r>
      <w:r>
        <w:rPr>
          <w:color w:val="231F20"/>
          <w:spacing w:val="-5"/>
        </w:rPr>
        <w:t> </w:t>
      </w:r>
      <w:r>
        <w:rPr>
          <w:color w:val="231F20"/>
        </w:rPr>
        <w:t>play</w:t>
      </w:r>
      <w:r>
        <w:rPr>
          <w:color w:val="231F20"/>
          <w:spacing w:val="-5"/>
        </w:rPr>
        <w:t> </w:t>
      </w:r>
      <w:r>
        <w:rPr>
          <w:color w:val="231F20"/>
        </w:rPr>
        <w:t>an</w:t>
      </w:r>
      <w:r>
        <w:rPr>
          <w:color w:val="231F20"/>
          <w:spacing w:val="-5"/>
        </w:rPr>
        <w:t> </w:t>
      </w:r>
      <w:r>
        <w:rPr>
          <w:color w:val="231F20"/>
          <w:spacing w:val="-1"/>
        </w:rPr>
        <w:t>important</w:t>
      </w:r>
      <w:r>
        <w:rPr>
          <w:color w:val="231F20"/>
          <w:spacing w:val="-4"/>
        </w:rPr>
        <w:t> </w:t>
      </w:r>
      <w:r>
        <w:rPr>
          <w:color w:val="231F20"/>
        </w:rPr>
        <w:t>role</w:t>
      </w:r>
      <w:r>
        <w:rPr>
          <w:color w:val="231F20"/>
          <w:spacing w:val="-5"/>
        </w:rPr>
        <w:t> </w:t>
      </w:r>
      <w:r>
        <w:rPr>
          <w:color w:val="231F20"/>
          <w:spacing w:val="-1"/>
        </w:rPr>
        <w:t>in</w:t>
      </w:r>
      <w:r>
        <w:rPr>
          <w:color w:val="231F20"/>
          <w:spacing w:val="-4"/>
        </w:rPr>
        <w:t> </w:t>
      </w:r>
      <w:r>
        <w:rPr>
          <w:color w:val="231F20"/>
        </w:rPr>
        <w:t>developing</w:t>
      </w:r>
      <w:r>
        <w:rPr>
          <w:color w:val="231F20"/>
          <w:spacing w:val="23"/>
          <w:w w:val="99"/>
        </w:rPr>
        <w:t> </w:t>
      </w:r>
      <w:r>
        <w:rPr>
          <w:color w:val="231F20"/>
        </w:rPr>
        <w:t>and</w:t>
      </w:r>
      <w:r>
        <w:rPr>
          <w:color w:val="231F20"/>
          <w:spacing w:val="-4"/>
        </w:rPr>
        <w:t> </w:t>
      </w:r>
      <w:r>
        <w:rPr>
          <w:color w:val="231F20"/>
          <w:spacing w:val="-1"/>
        </w:rPr>
        <w:t>implementing</w:t>
      </w:r>
      <w:r>
        <w:rPr>
          <w:color w:val="231F20"/>
          <w:spacing w:val="-3"/>
        </w:rPr>
        <w:t> </w:t>
      </w:r>
      <w:r>
        <w:rPr>
          <w:color w:val="231F20"/>
          <w:spacing w:val="-1"/>
        </w:rPr>
        <w:t>safe</w:t>
      </w:r>
      <w:r>
        <w:rPr>
          <w:color w:val="231F20"/>
          <w:spacing w:val="-2"/>
        </w:rPr>
        <w:t> </w:t>
      </w:r>
      <w:r>
        <w:rPr>
          <w:color w:val="231F20"/>
        </w:rPr>
        <w:t>travel</w:t>
      </w:r>
      <w:r>
        <w:rPr>
          <w:color w:val="231F20"/>
          <w:spacing w:val="-4"/>
        </w:rPr>
        <w:t> </w:t>
      </w:r>
      <w:r>
        <w:rPr>
          <w:color w:val="231F20"/>
        </w:rPr>
        <w:t>pans</w:t>
      </w:r>
      <w:r>
        <w:rPr>
          <w:color w:val="231F20"/>
          <w:spacing w:val="-3"/>
        </w:rPr>
        <w:t> </w:t>
      </w:r>
      <w:r>
        <w:rPr>
          <w:color w:val="231F20"/>
        </w:rPr>
        <w:t>as</w:t>
      </w:r>
      <w:r>
        <w:rPr>
          <w:color w:val="231F20"/>
          <w:spacing w:val="-4"/>
        </w:rPr>
        <w:t> </w:t>
      </w:r>
      <w:r>
        <w:rPr>
          <w:color w:val="231F20"/>
        </w:rPr>
        <w:t>part</w:t>
      </w:r>
      <w:r>
        <w:rPr>
          <w:color w:val="231F20"/>
          <w:spacing w:val="-2"/>
        </w:rPr>
        <w:t> </w:t>
      </w:r>
      <w:r>
        <w:rPr>
          <w:color w:val="231F20"/>
        </w:rPr>
        <w:t>of</w:t>
      </w:r>
      <w:r>
        <w:rPr>
          <w:color w:val="231F20"/>
          <w:spacing w:val="23"/>
          <w:w w:val="99"/>
        </w:rPr>
        <w:t> </w:t>
      </w:r>
      <w:r>
        <w:rPr>
          <w:color w:val="231F20"/>
        </w:rPr>
        <w:t>the</w:t>
      </w:r>
      <w:r>
        <w:rPr>
          <w:color w:val="231F20"/>
          <w:spacing w:val="-4"/>
        </w:rPr>
        <w:t> </w:t>
      </w:r>
      <w:r>
        <w:rPr>
          <w:color w:val="231F20"/>
          <w:spacing w:val="-1"/>
        </w:rPr>
        <w:t>2018</w:t>
      </w:r>
      <w:r>
        <w:rPr>
          <w:color w:val="231F20"/>
          <w:spacing w:val="-3"/>
        </w:rPr>
        <w:t> </w:t>
      </w:r>
      <w:r>
        <w:rPr>
          <w:color w:val="231F20"/>
        </w:rPr>
        <w:t>budget</w:t>
      </w:r>
      <w:r>
        <w:rPr>
          <w:color w:val="231F20"/>
          <w:spacing w:val="-3"/>
        </w:rPr>
        <w:t> </w:t>
      </w:r>
      <w:r>
        <w:rPr>
          <w:color w:val="231F20"/>
          <w:spacing w:val="-1"/>
        </w:rPr>
        <w:t>measures</w:t>
      </w:r>
      <w:r>
        <w:rPr>
          <w:color w:val="231F20"/>
          <w:spacing w:val="-3"/>
        </w:rPr>
        <w:t> </w:t>
      </w:r>
      <w:r>
        <w:rPr>
          <w:color w:val="231F20"/>
        </w:rPr>
        <w:t>that</w:t>
      </w:r>
      <w:r>
        <w:rPr>
          <w:color w:val="231F20"/>
          <w:spacing w:val="-3"/>
        </w:rPr>
        <w:t> </w:t>
      </w:r>
      <w:r>
        <w:rPr>
          <w:color w:val="231F20"/>
        </w:rPr>
        <w:t>commenced</w:t>
      </w:r>
      <w:r>
        <w:rPr>
          <w:color w:val="231F20"/>
          <w:spacing w:val="-4"/>
        </w:rPr>
        <w:t> </w:t>
      </w:r>
      <w:r>
        <w:rPr>
          <w:color w:val="231F20"/>
        </w:rPr>
        <w:t>on</w:t>
      </w:r>
      <w:r>
        <w:rPr>
          <w:color w:val="231F20"/>
          <w:spacing w:val="23"/>
          <w:w w:val="99"/>
        </w:rPr>
        <w:t> </w:t>
      </w:r>
      <w:r>
        <w:rPr>
          <w:color w:val="231F20"/>
        </w:rPr>
        <w:t>1</w:t>
      </w:r>
      <w:r>
        <w:rPr>
          <w:color w:val="231F20"/>
          <w:spacing w:val="-4"/>
        </w:rPr>
        <w:t> </w:t>
      </w:r>
      <w:r>
        <w:rPr>
          <w:color w:val="231F20"/>
        </w:rPr>
        <w:t>January</w:t>
      </w:r>
      <w:r>
        <w:rPr>
          <w:color w:val="231F20"/>
          <w:spacing w:val="-3"/>
        </w:rPr>
        <w:t> </w:t>
      </w:r>
      <w:r>
        <w:rPr>
          <w:color w:val="231F20"/>
        </w:rPr>
        <w:t>2019.</w:t>
      </w:r>
      <w:r>
        <w:rPr/>
      </w:r>
    </w:p>
    <w:p>
      <w:pPr>
        <w:pStyle w:val="BodyText"/>
        <w:spacing w:line="250" w:lineRule="exact" w:before="62"/>
        <w:ind w:right="179"/>
        <w:jc w:val="left"/>
      </w:pPr>
      <w:r>
        <w:rPr/>
        <w:br w:type="column"/>
      </w:r>
      <w:r>
        <w:rPr>
          <w:color w:val="231F20"/>
        </w:rPr>
        <w:t>Adopting</w:t>
      </w:r>
      <w:r>
        <w:rPr>
          <w:color w:val="231F20"/>
          <w:spacing w:val="-10"/>
        </w:rPr>
        <w:t> </w:t>
      </w:r>
      <w:r>
        <w:rPr>
          <w:color w:val="231F20"/>
        </w:rPr>
        <w:t>the</w:t>
      </w:r>
      <w:r>
        <w:rPr>
          <w:color w:val="231F20"/>
          <w:spacing w:val="-11"/>
        </w:rPr>
        <w:t> </w:t>
      </w:r>
      <w:r>
        <w:rPr>
          <w:color w:val="231F20"/>
        </w:rPr>
        <w:t>recommendation</w:t>
      </w:r>
      <w:r>
        <w:rPr>
          <w:color w:val="231F20"/>
          <w:spacing w:val="-11"/>
        </w:rPr>
        <w:t> </w:t>
      </w:r>
      <w:r>
        <w:rPr>
          <w:color w:val="231F20"/>
        </w:rPr>
        <w:t>to</w:t>
      </w:r>
      <w:r>
        <w:rPr>
          <w:color w:val="231F20"/>
          <w:spacing w:val="-10"/>
        </w:rPr>
        <w:t> </w:t>
      </w:r>
      <w:r>
        <w:rPr>
          <w:color w:val="231F20"/>
        </w:rPr>
        <w:t>decentralise</w:t>
      </w:r>
      <w:r>
        <w:rPr>
          <w:color w:val="231F20"/>
          <w:w w:val="99"/>
        </w:rPr>
        <w:t> </w:t>
      </w:r>
      <w:r>
        <w:rPr>
          <w:color w:val="231F20"/>
        </w:rPr>
        <w:t>ABSTUDY</w:t>
      </w:r>
      <w:r>
        <w:rPr>
          <w:color w:val="231F20"/>
          <w:spacing w:val="-8"/>
        </w:rPr>
        <w:t> </w:t>
      </w:r>
      <w:r>
        <w:rPr>
          <w:color w:val="231F20"/>
        </w:rPr>
        <w:t>travel</w:t>
      </w:r>
      <w:r>
        <w:rPr>
          <w:color w:val="231F20"/>
          <w:spacing w:val="-8"/>
        </w:rPr>
        <w:t> </w:t>
      </w:r>
      <w:r>
        <w:rPr>
          <w:color w:val="231F20"/>
        </w:rPr>
        <w:t>arrangements</w:t>
      </w:r>
      <w:r>
        <w:rPr>
          <w:color w:val="231F20"/>
          <w:spacing w:val="-8"/>
        </w:rPr>
        <w:t> </w:t>
      </w:r>
      <w:r>
        <w:rPr>
          <w:color w:val="231F20"/>
        </w:rPr>
        <w:t>to</w:t>
      </w:r>
      <w:r>
        <w:rPr>
          <w:color w:val="231F20"/>
          <w:spacing w:val="-6"/>
        </w:rPr>
        <w:t> </w:t>
      </w:r>
      <w:r>
        <w:rPr>
          <w:color w:val="231F20"/>
        </w:rPr>
        <w:t>boarding</w:t>
      </w:r>
      <w:r>
        <w:rPr>
          <w:color w:val="231F20"/>
          <w:w w:val="99"/>
        </w:rPr>
        <w:t> </w:t>
      </w:r>
      <w:r>
        <w:rPr>
          <w:color w:val="231F20"/>
        </w:rPr>
        <w:t>providers</w:t>
      </w:r>
      <w:r>
        <w:rPr>
          <w:color w:val="231F20"/>
          <w:spacing w:val="-8"/>
        </w:rPr>
        <w:t> </w:t>
      </w:r>
      <w:r>
        <w:rPr>
          <w:color w:val="231F20"/>
        </w:rPr>
        <w:t>and</w:t>
      </w:r>
      <w:r>
        <w:rPr>
          <w:color w:val="231F20"/>
          <w:spacing w:val="-8"/>
        </w:rPr>
        <w:t> </w:t>
      </w:r>
      <w:r>
        <w:rPr>
          <w:color w:val="231F20"/>
        </w:rPr>
        <w:t>transition</w:t>
      </w:r>
      <w:r>
        <w:rPr>
          <w:color w:val="231F20"/>
          <w:spacing w:val="-8"/>
        </w:rPr>
        <w:t> </w:t>
      </w:r>
      <w:r>
        <w:rPr>
          <w:color w:val="231F20"/>
          <w:spacing w:val="-1"/>
        </w:rPr>
        <w:t>support</w:t>
      </w:r>
      <w:r>
        <w:rPr>
          <w:color w:val="231F20"/>
          <w:spacing w:val="-7"/>
        </w:rPr>
        <w:t> </w:t>
      </w:r>
      <w:r>
        <w:rPr>
          <w:color w:val="231F20"/>
        </w:rPr>
        <w:t>units</w:t>
      </w:r>
      <w:r>
        <w:rPr>
          <w:color w:val="231F20"/>
          <w:spacing w:val="-8"/>
        </w:rPr>
        <w:t> </w:t>
      </w:r>
      <w:r>
        <w:rPr>
          <w:color w:val="231F20"/>
        </w:rPr>
        <w:t>boarding</w:t>
      </w:r>
      <w:r>
        <w:rPr>
          <w:color w:val="231F20"/>
          <w:spacing w:val="22"/>
          <w:w w:val="99"/>
        </w:rPr>
        <w:t> </w:t>
      </w:r>
      <w:r>
        <w:rPr>
          <w:rFonts w:ascii="Segoe UI"/>
          <w:color w:val="231F20"/>
        </w:rPr>
        <w:t>providers</w:t>
      </w:r>
      <w:r>
        <w:rPr>
          <w:rFonts w:ascii="Segoe UI"/>
          <w:color w:val="231F20"/>
          <w:spacing w:val="-3"/>
        </w:rPr>
        <w:t> </w:t>
      </w:r>
      <w:r>
        <w:rPr>
          <w:rFonts w:ascii="Segoe UI"/>
          <w:color w:val="231F20"/>
        </w:rPr>
        <w:t>would</w:t>
      </w:r>
      <w:r>
        <w:rPr>
          <w:rFonts w:ascii="Segoe UI"/>
          <w:color w:val="231F20"/>
          <w:spacing w:val="-2"/>
        </w:rPr>
        <w:t> </w:t>
      </w:r>
      <w:r>
        <w:rPr>
          <w:rFonts w:ascii="Segoe UI"/>
          <w:color w:val="231F20"/>
        </w:rPr>
        <w:t>improve</w:t>
      </w:r>
      <w:r>
        <w:rPr>
          <w:rFonts w:ascii="Segoe UI"/>
          <w:color w:val="231F20"/>
          <w:spacing w:val="-2"/>
        </w:rPr>
        <w:t> </w:t>
      </w:r>
      <w:r>
        <w:rPr>
          <w:rFonts w:ascii="Segoe UI"/>
          <w:color w:val="231F20"/>
        </w:rPr>
        <w:t>the</w:t>
      </w:r>
      <w:r>
        <w:rPr>
          <w:rFonts w:ascii="Segoe UI"/>
          <w:color w:val="231F20"/>
          <w:spacing w:val="-3"/>
        </w:rPr>
        <w:t> </w:t>
      </w:r>
      <w:r>
        <w:rPr>
          <w:rFonts w:ascii="Segoe UI"/>
          <w:color w:val="231F20"/>
        </w:rPr>
        <w:t>effectiveness</w:t>
      </w:r>
      <w:r>
        <w:rPr>
          <w:rFonts w:ascii="Segoe UI"/>
          <w:color w:val="231F20"/>
          <w:spacing w:val="-2"/>
        </w:rPr>
        <w:t> </w:t>
      </w:r>
      <w:r>
        <w:rPr>
          <w:rFonts w:ascii="Segoe UI"/>
          <w:color w:val="231F20"/>
        </w:rPr>
        <w:t>and</w:t>
      </w:r>
      <w:r>
        <w:rPr>
          <w:rFonts w:ascii="Segoe UI"/>
          <w:color w:val="231F20"/>
        </w:rPr>
        <w:t> </w:t>
      </w:r>
      <w:r>
        <w:rPr>
          <w:color w:val="231F20"/>
          <w:spacing w:val="-1"/>
        </w:rPr>
        <w:t>implementation</w:t>
      </w:r>
      <w:r>
        <w:rPr>
          <w:color w:val="231F20"/>
          <w:spacing w:val="-3"/>
        </w:rPr>
        <w:t> </w:t>
      </w:r>
      <w:r>
        <w:rPr>
          <w:color w:val="231F20"/>
        </w:rPr>
        <w:t>of</w:t>
      </w:r>
      <w:r>
        <w:rPr>
          <w:color w:val="231F20"/>
          <w:spacing w:val="-3"/>
        </w:rPr>
        <w:t> </w:t>
      </w:r>
      <w:r>
        <w:rPr>
          <w:color w:val="231F20"/>
          <w:spacing w:val="-1"/>
        </w:rPr>
        <w:t>safe</w:t>
      </w:r>
      <w:r>
        <w:rPr>
          <w:color w:val="231F20"/>
          <w:spacing w:val="-3"/>
        </w:rPr>
        <w:t> </w:t>
      </w:r>
      <w:r>
        <w:rPr>
          <w:color w:val="231F20"/>
        </w:rPr>
        <w:t>travel</w:t>
      </w:r>
      <w:r>
        <w:rPr>
          <w:color w:val="231F20"/>
          <w:spacing w:val="-4"/>
        </w:rPr>
        <w:t> </w:t>
      </w:r>
      <w:r>
        <w:rPr>
          <w:color w:val="231F20"/>
        </w:rPr>
        <w:t>plans.</w:t>
      </w:r>
      <w:r>
        <w:rPr/>
      </w:r>
    </w:p>
    <w:p>
      <w:pPr>
        <w:spacing w:line="240" w:lineRule="auto" w:before="1"/>
        <w:rPr>
          <w:rFonts w:ascii="Segoe UI" w:hAnsi="Segoe UI" w:cs="Segoe UI" w:eastAsia="Segoe UI"/>
          <w:sz w:val="25"/>
          <w:szCs w:val="25"/>
        </w:rPr>
      </w:pPr>
    </w:p>
    <w:p>
      <w:pPr>
        <w:pStyle w:val="Heading2"/>
        <w:spacing w:line="360" w:lineRule="exact" w:before="0"/>
        <w:ind w:right="179"/>
        <w:jc w:val="left"/>
        <w:rPr>
          <w:b w:val="0"/>
          <w:bCs w:val="0"/>
        </w:rPr>
      </w:pPr>
      <w:bookmarkStart w:name="_TOC_250033" w:id="3"/>
      <w:r>
        <w:rPr>
          <w:color w:val="452A70"/>
          <w:spacing w:val="-1"/>
        </w:rPr>
        <w:t>Donations,</w:t>
      </w:r>
      <w:r>
        <w:rPr>
          <w:color w:val="452A70"/>
          <w:spacing w:val="1"/>
        </w:rPr>
        <w:t> </w:t>
      </w:r>
      <w:r>
        <w:rPr>
          <w:color w:val="452A70"/>
        </w:rPr>
        <w:t>scholarships</w:t>
      </w:r>
      <w:r>
        <w:rPr>
          <w:color w:val="452A70"/>
          <w:spacing w:val="-1"/>
        </w:rPr>
        <w:t> and</w:t>
      </w:r>
      <w:r>
        <w:rPr>
          <w:color w:val="452A70"/>
          <w:spacing w:val="23"/>
        </w:rPr>
        <w:t> </w:t>
      </w:r>
      <w:r>
        <w:rPr>
          <w:color w:val="452A70"/>
          <w:spacing w:val="-1"/>
        </w:rPr>
        <w:t>other</w:t>
      </w:r>
      <w:r>
        <w:rPr>
          <w:color w:val="452A70"/>
        </w:rPr>
        <w:t> </w:t>
      </w:r>
      <w:r>
        <w:rPr>
          <w:color w:val="452A70"/>
          <w:spacing w:val="-2"/>
        </w:rPr>
        <w:t>private</w:t>
      </w:r>
      <w:r>
        <w:rPr>
          <w:color w:val="452A70"/>
        </w:rPr>
        <w:t> </w:t>
      </w:r>
      <w:r>
        <w:rPr>
          <w:color w:val="452A70"/>
          <w:spacing w:val="-1"/>
        </w:rPr>
        <w:t>income</w:t>
      </w:r>
      <w:bookmarkEnd w:id="3"/>
      <w:r>
        <w:rPr>
          <w:b w:val="0"/>
        </w:rPr>
      </w:r>
    </w:p>
    <w:p>
      <w:pPr>
        <w:pStyle w:val="BodyText"/>
        <w:spacing w:line="250" w:lineRule="exact" w:before="119"/>
        <w:ind w:right="175"/>
        <w:jc w:val="left"/>
      </w:pPr>
      <w:r>
        <w:rPr>
          <w:rFonts w:ascii="Segoe UI"/>
          <w:color w:val="231F20"/>
        </w:rPr>
        <w:t>Boarding providers receive financial support </w:t>
      </w:r>
      <w:r>
        <w:rPr>
          <w:color w:val="231F20"/>
        </w:rPr>
        <w:t>through</w:t>
      </w:r>
      <w:r>
        <w:rPr>
          <w:color w:val="231F20"/>
          <w:spacing w:val="-11"/>
        </w:rPr>
        <w:t> </w:t>
      </w:r>
      <w:r>
        <w:rPr>
          <w:color w:val="231F20"/>
        </w:rPr>
        <w:t>donations,</w:t>
      </w:r>
      <w:r>
        <w:rPr>
          <w:color w:val="231F20"/>
          <w:spacing w:val="-10"/>
        </w:rPr>
        <w:t> </w:t>
      </w:r>
      <w:r>
        <w:rPr>
          <w:color w:val="231F20"/>
          <w:spacing w:val="-1"/>
        </w:rPr>
        <w:t>scholarships,</w:t>
      </w:r>
      <w:r>
        <w:rPr>
          <w:color w:val="231F20"/>
          <w:spacing w:val="-9"/>
        </w:rPr>
        <w:t> </w:t>
      </w:r>
      <w:r>
        <w:rPr>
          <w:color w:val="231F20"/>
        </w:rPr>
        <w:t>philanthropic</w:t>
      </w:r>
      <w:r>
        <w:rPr>
          <w:color w:val="231F20"/>
          <w:spacing w:val="22"/>
          <w:w w:val="99"/>
        </w:rPr>
        <w:t> </w:t>
      </w:r>
      <w:r>
        <w:rPr>
          <w:color w:val="231F20"/>
          <w:spacing w:val="-1"/>
        </w:rPr>
        <w:t>support</w:t>
      </w:r>
      <w:r>
        <w:rPr>
          <w:color w:val="231F20"/>
          <w:spacing w:val="-9"/>
        </w:rPr>
        <w:t> </w:t>
      </w:r>
      <w:r>
        <w:rPr>
          <w:color w:val="231F20"/>
        </w:rPr>
        <w:t>and</w:t>
      </w:r>
      <w:r>
        <w:rPr>
          <w:color w:val="231F20"/>
          <w:spacing w:val="-9"/>
        </w:rPr>
        <w:t> </w:t>
      </w:r>
      <w:r>
        <w:rPr>
          <w:color w:val="231F20"/>
        </w:rPr>
        <w:t>other</w:t>
      </w:r>
      <w:r>
        <w:rPr>
          <w:color w:val="231F20"/>
          <w:spacing w:val="-8"/>
        </w:rPr>
        <w:t> </w:t>
      </w:r>
      <w:r>
        <w:rPr>
          <w:color w:val="231F20"/>
        </w:rPr>
        <w:t>private</w:t>
      </w:r>
      <w:r>
        <w:rPr>
          <w:color w:val="231F20"/>
          <w:spacing w:val="-10"/>
        </w:rPr>
        <w:t> </w:t>
      </w:r>
      <w:r>
        <w:rPr>
          <w:color w:val="231F20"/>
        </w:rPr>
        <w:t>contributions.</w:t>
      </w:r>
      <w:r>
        <w:rPr/>
      </w:r>
    </w:p>
    <w:p>
      <w:pPr>
        <w:pStyle w:val="BodyText"/>
        <w:spacing w:line="250" w:lineRule="exact" w:before="113"/>
        <w:ind w:right="106"/>
        <w:jc w:val="both"/>
      </w:pPr>
      <w:r>
        <w:rPr>
          <w:color w:val="231F20"/>
        </w:rPr>
        <w:t>The</w:t>
      </w:r>
      <w:r>
        <w:rPr>
          <w:color w:val="231F20"/>
          <w:spacing w:val="-5"/>
        </w:rPr>
        <w:t> </w:t>
      </w:r>
      <w:r>
        <w:rPr>
          <w:color w:val="231F20"/>
        </w:rPr>
        <w:t>ability</w:t>
      </w:r>
      <w:r>
        <w:rPr>
          <w:color w:val="231F20"/>
          <w:spacing w:val="-5"/>
        </w:rPr>
        <w:t> </w:t>
      </w:r>
      <w:r>
        <w:rPr>
          <w:color w:val="231F20"/>
        </w:rPr>
        <w:t>for</w:t>
      </w:r>
      <w:r>
        <w:rPr>
          <w:color w:val="231F20"/>
          <w:spacing w:val="-4"/>
        </w:rPr>
        <w:t> </w:t>
      </w:r>
      <w:r>
        <w:rPr>
          <w:color w:val="231F20"/>
        </w:rPr>
        <w:t>Aboriginal</w:t>
      </w:r>
      <w:r>
        <w:rPr>
          <w:color w:val="231F20"/>
          <w:spacing w:val="-4"/>
        </w:rPr>
        <w:t> </w:t>
      </w:r>
      <w:r>
        <w:rPr>
          <w:color w:val="231F20"/>
        </w:rPr>
        <w:t>and</w:t>
      </w:r>
      <w:r>
        <w:rPr>
          <w:color w:val="231F20"/>
          <w:spacing w:val="-5"/>
        </w:rPr>
        <w:t> 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29"/>
          <w:w w:val="99"/>
        </w:rPr>
        <w:t> </w:t>
      </w:r>
      <w:r>
        <w:rPr>
          <w:color w:val="231F20"/>
        </w:rPr>
        <w:t>boarding</w:t>
      </w:r>
      <w:r>
        <w:rPr>
          <w:color w:val="231F20"/>
          <w:spacing w:val="-7"/>
        </w:rPr>
        <w:t> </w:t>
      </w:r>
      <w:r>
        <w:rPr>
          <w:color w:val="231F20"/>
        </w:rPr>
        <w:t>providers</w:t>
      </w:r>
      <w:r>
        <w:rPr>
          <w:color w:val="231F20"/>
          <w:spacing w:val="-6"/>
        </w:rPr>
        <w:t> </w:t>
      </w:r>
      <w:r>
        <w:rPr>
          <w:color w:val="231F20"/>
        </w:rPr>
        <w:t>to</w:t>
      </w:r>
      <w:r>
        <w:rPr>
          <w:color w:val="231F20"/>
          <w:spacing w:val="-5"/>
        </w:rPr>
        <w:t> </w:t>
      </w:r>
      <w:r>
        <w:rPr>
          <w:color w:val="231F20"/>
        </w:rPr>
        <w:t>raise</w:t>
      </w:r>
      <w:r>
        <w:rPr>
          <w:color w:val="231F20"/>
          <w:spacing w:val="-6"/>
        </w:rPr>
        <w:t> </w:t>
      </w:r>
      <w:r>
        <w:rPr>
          <w:color w:val="231F20"/>
        </w:rPr>
        <w:t>revenue</w:t>
      </w:r>
      <w:r>
        <w:rPr>
          <w:color w:val="231F20"/>
          <w:spacing w:val="-6"/>
        </w:rPr>
        <w:t> </w:t>
      </w:r>
      <w:r>
        <w:rPr>
          <w:color w:val="231F20"/>
        </w:rPr>
        <w:t>for</w:t>
      </w:r>
      <w:r>
        <w:rPr>
          <w:color w:val="231F20"/>
          <w:spacing w:val="-5"/>
        </w:rPr>
        <w:t> </w:t>
      </w:r>
      <w:r>
        <w:rPr>
          <w:color w:val="231F20"/>
        </w:rPr>
        <w:t>boarding,</w:t>
      </w:r>
      <w:r>
        <w:rPr>
          <w:color w:val="231F20"/>
          <w:w w:val="99"/>
        </w:rPr>
        <w:t> </w:t>
      </w:r>
      <w:r>
        <w:rPr>
          <w:color w:val="231F20"/>
        </w:rPr>
        <w:t>other</w:t>
      </w:r>
      <w:r>
        <w:rPr>
          <w:color w:val="231F20"/>
          <w:spacing w:val="-6"/>
        </w:rPr>
        <w:t> </w:t>
      </w:r>
      <w:r>
        <w:rPr>
          <w:color w:val="231F20"/>
        </w:rPr>
        <w:t>than</w:t>
      </w:r>
      <w:r>
        <w:rPr>
          <w:color w:val="231F20"/>
          <w:spacing w:val="-7"/>
        </w:rPr>
        <w:t> </w:t>
      </w:r>
      <w:r>
        <w:rPr>
          <w:color w:val="231F20"/>
        </w:rPr>
        <w:t>from</w:t>
      </w:r>
      <w:r>
        <w:rPr>
          <w:color w:val="231F20"/>
          <w:spacing w:val="-6"/>
        </w:rPr>
        <w:t> </w:t>
      </w:r>
      <w:r>
        <w:rPr>
          <w:color w:val="231F20"/>
        </w:rPr>
        <w:t>fees</w:t>
      </w:r>
      <w:r>
        <w:rPr>
          <w:color w:val="231F20"/>
          <w:spacing w:val="-6"/>
        </w:rPr>
        <w:t> </w:t>
      </w:r>
      <w:r>
        <w:rPr>
          <w:color w:val="231F20"/>
        </w:rPr>
        <w:t>and</w:t>
      </w:r>
      <w:r>
        <w:rPr>
          <w:color w:val="231F20"/>
          <w:spacing w:val="-7"/>
        </w:rPr>
        <w:t> </w:t>
      </w:r>
      <w:r>
        <w:rPr>
          <w:color w:val="231F20"/>
        </w:rPr>
        <w:t>government</w:t>
      </w:r>
      <w:r>
        <w:rPr>
          <w:color w:val="231F20"/>
          <w:spacing w:val="-7"/>
        </w:rPr>
        <w:t> </w:t>
      </w:r>
      <w:r>
        <w:rPr>
          <w:color w:val="231F20"/>
        </w:rPr>
        <w:t>funding,</w:t>
      </w:r>
      <w:r>
        <w:rPr/>
      </w:r>
    </w:p>
    <w:p>
      <w:pPr>
        <w:pStyle w:val="BodyText"/>
        <w:spacing w:line="242" w:lineRule="exact"/>
        <w:ind w:right="0"/>
        <w:jc w:val="left"/>
      </w:pPr>
      <w:r>
        <w:rPr>
          <w:color w:val="231F20"/>
          <w:spacing w:val="-1"/>
        </w:rPr>
        <w:t>is</w:t>
      </w:r>
      <w:r>
        <w:rPr>
          <w:color w:val="231F20"/>
          <w:spacing w:val="-7"/>
        </w:rPr>
        <w:t> </w:t>
      </w:r>
      <w:r>
        <w:rPr>
          <w:color w:val="231F20"/>
          <w:spacing w:val="-1"/>
        </w:rPr>
        <w:t>important</w:t>
      </w:r>
      <w:r>
        <w:rPr>
          <w:color w:val="231F20"/>
          <w:spacing w:val="-6"/>
        </w:rPr>
        <w:t> </w:t>
      </w:r>
      <w:r>
        <w:rPr>
          <w:color w:val="231F20"/>
          <w:spacing w:val="-1"/>
        </w:rPr>
        <w:t>in</w:t>
      </w:r>
      <w:r>
        <w:rPr>
          <w:color w:val="231F20"/>
          <w:spacing w:val="-6"/>
        </w:rPr>
        <w:t> </w:t>
      </w:r>
      <w:r>
        <w:rPr>
          <w:color w:val="231F20"/>
        </w:rPr>
        <w:t>addressing</w:t>
      </w:r>
      <w:r>
        <w:rPr>
          <w:color w:val="231F20"/>
          <w:spacing w:val="-7"/>
        </w:rPr>
        <w:t> </w:t>
      </w:r>
      <w:r>
        <w:rPr>
          <w:color w:val="231F20"/>
        </w:rPr>
        <w:t>the</w:t>
      </w:r>
      <w:r>
        <w:rPr>
          <w:color w:val="231F20"/>
          <w:spacing w:val="-7"/>
        </w:rPr>
        <w:t> </w:t>
      </w:r>
      <w:r>
        <w:rPr>
          <w:color w:val="231F20"/>
          <w:spacing w:val="-1"/>
        </w:rPr>
        <w:t>shortfall</w:t>
      </w:r>
      <w:r>
        <w:rPr>
          <w:color w:val="231F20"/>
          <w:spacing w:val="-5"/>
        </w:rPr>
        <w:t> </w:t>
      </w:r>
      <w:r>
        <w:rPr>
          <w:color w:val="231F20"/>
        </w:rPr>
        <w:t>between</w:t>
      </w:r>
      <w:r>
        <w:rPr/>
      </w:r>
    </w:p>
    <w:p>
      <w:pPr>
        <w:pStyle w:val="BodyText"/>
        <w:spacing w:line="258" w:lineRule="exact"/>
        <w:ind w:right="0"/>
        <w:jc w:val="left"/>
        <w:rPr>
          <w:rFonts w:ascii="Segoe UI" w:hAnsi="Segoe UI" w:cs="Segoe UI" w:eastAsia="Segoe UI"/>
        </w:rPr>
      </w:pPr>
      <w:r>
        <w:rPr>
          <w:rFonts w:ascii="Segoe UI"/>
          <w:color w:val="231F20"/>
        </w:rPr>
        <w:t>boarding revenue and costs identified in </w:t>
      </w:r>
      <w:r>
        <w:rPr>
          <w:rFonts w:ascii="Segoe UI"/>
          <w:color w:val="231F20"/>
          <w:spacing w:val="-5"/>
        </w:rPr>
        <w:t>Table</w:t>
      </w:r>
      <w:r>
        <w:rPr>
          <w:rFonts w:ascii="Segoe UI"/>
          <w:color w:val="231F20"/>
        </w:rPr>
        <w:t> 1.</w:t>
      </w:r>
      <w:r>
        <w:rPr>
          <w:rFonts w:ascii="Segoe UI"/>
        </w:rPr>
      </w:r>
    </w:p>
    <w:p>
      <w:pPr>
        <w:pStyle w:val="Heading3"/>
        <w:spacing w:line="240" w:lineRule="auto"/>
        <w:ind w:right="0"/>
        <w:jc w:val="left"/>
      </w:pPr>
      <w:r>
        <w:rPr>
          <w:b/>
          <w:color w:val="00779B"/>
          <w:spacing w:val="-1"/>
        </w:rPr>
        <w:t>Donations</w:t>
      </w:r>
      <w:r>
        <w:rPr/>
      </w:r>
    </w:p>
    <w:p>
      <w:pPr>
        <w:pStyle w:val="BodyText"/>
        <w:spacing w:line="250" w:lineRule="exact" w:before="64"/>
        <w:ind w:right="175"/>
        <w:jc w:val="left"/>
      </w:pPr>
      <w:r>
        <w:rPr>
          <w:color w:val="231F20"/>
        </w:rPr>
        <w:t>Accessing</w:t>
      </w:r>
      <w:r>
        <w:rPr>
          <w:color w:val="231F20"/>
          <w:spacing w:val="-4"/>
        </w:rPr>
        <w:t> </w:t>
      </w:r>
      <w:r>
        <w:rPr>
          <w:color w:val="231F20"/>
        </w:rPr>
        <w:t>donations</w:t>
      </w:r>
      <w:r>
        <w:rPr>
          <w:color w:val="231F20"/>
          <w:spacing w:val="-5"/>
        </w:rPr>
        <w:t> </w:t>
      </w:r>
      <w:r>
        <w:rPr>
          <w:color w:val="231F20"/>
        </w:rPr>
        <w:t>and</w:t>
      </w:r>
      <w:r>
        <w:rPr>
          <w:color w:val="231F20"/>
          <w:spacing w:val="-5"/>
        </w:rPr>
        <w:t> </w:t>
      </w:r>
      <w:r>
        <w:rPr>
          <w:color w:val="231F20"/>
        </w:rPr>
        <w:t>other</w:t>
      </w:r>
      <w:r>
        <w:rPr>
          <w:color w:val="231F20"/>
          <w:spacing w:val="-4"/>
        </w:rPr>
        <w:t> </w:t>
      </w:r>
      <w:r>
        <w:rPr>
          <w:color w:val="231F20"/>
        </w:rPr>
        <w:t>private</w:t>
      </w:r>
      <w:r>
        <w:rPr>
          <w:color w:val="231F20"/>
          <w:spacing w:val="-5"/>
        </w:rPr>
        <w:t> </w:t>
      </w:r>
      <w:r>
        <w:rPr>
          <w:color w:val="231F20"/>
          <w:spacing w:val="-1"/>
        </w:rPr>
        <w:t>income</w:t>
      </w:r>
      <w:r>
        <w:rPr>
          <w:color w:val="231F20"/>
          <w:spacing w:val="-4"/>
        </w:rPr>
        <w:t> </w:t>
      </w:r>
      <w:r>
        <w:rPr>
          <w:color w:val="231F20"/>
          <w:spacing w:val="-4"/>
        </w:rPr>
      </w:r>
      <w:r>
        <w:rPr>
          <w:color w:val="231F20"/>
          <w:spacing w:val="-1"/>
        </w:rPr>
        <w:t>is</w:t>
      </w:r>
      <w:r>
        <w:rPr>
          <w:color w:val="231F20"/>
          <w:spacing w:val="21"/>
        </w:rPr>
        <w:t> </w:t>
      </w:r>
      <w:r>
        <w:rPr>
          <w:color w:val="231F20"/>
          <w:spacing w:val="-1"/>
        </w:rPr>
        <w:t>increasingly</w:t>
      </w:r>
      <w:r>
        <w:rPr>
          <w:color w:val="231F20"/>
          <w:spacing w:val="-8"/>
        </w:rPr>
        <w:t> </w:t>
      </w:r>
      <w:r>
        <w:rPr>
          <w:color w:val="231F20"/>
        </w:rPr>
        <w:t>becoming</w:t>
      </w:r>
      <w:r>
        <w:rPr>
          <w:color w:val="231F20"/>
          <w:spacing w:val="-9"/>
        </w:rPr>
        <w:t> </w:t>
      </w:r>
      <w:r>
        <w:rPr>
          <w:color w:val="231F20"/>
        </w:rPr>
        <w:t>an</w:t>
      </w:r>
      <w:r>
        <w:rPr>
          <w:color w:val="231F20"/>
          <w:spacing w:val="-8"/>
        </w:rPr>
        <w:t> </w:t>
      </w:r>
      <w:r>
        <w:rPr>
          <w:color w:val="231F20"/>
          <w:spacing w:val="-1"/>
        </w:rPr>
        <w:t>important</w:t>
      </w:r>
      <w:r>
        <w:rPr>
          <w:color w:val="231F20"/>
          <w:spacing w:val="-8"/>
        </w:rPr>
        <w:t> </w:t>
      </w:r>
      <w:r>
        <w:rPr>
          <w:color w:val="231F20"/>
          <w:spacing w:val="-1"/>
        </w:rPr>
        <w:t>source</w:t>
      </w:r>
      <w:r>
        <w:rPr>
          <w:color w:val="231F20"/>
          <w:spacing w:val="-7"/>
        </w:rPr>
        <w:t> </w:t>
      </w:r>
      <w:r>
        <w:rPr>
          <w:color w:val="231F20"/>
        </w:rPr>
        <w:t>of</w:t>
      </w:r>
      <w:r>
        <w:rPr>
          <w:color w:val="231F20"/>
          <w:spacing w:val="24"/>
          <w:w w:val="99"/>
        </w:rPr>
        <w:t> </w:t>
      </w:r>
      <w:r>
        <w:rPr>
          <w:color w:val="231F20"/>
        </w:rPr>
        <w:t>funding</w:t>
      </w:r>
      <w:r>
        <w:rPr>
          <w:color w:val="231F20"/>
          <w:spacing w:val="-6"/>
        </w:rPr>
        <w:t> </w:t>
      </w:r>
      <w:r>
        <w:rPr>
          <w:color w:val="231F20"/>
        </w:rPr>
        <w:t>to</w:t>
      </w:r>
      <w:r>
        <w:rPr>
          <w:color w:val="231F20"/>
          <w:spacing w:val="-5"/>
        </w:rPr>
        <w:t> </w:t>
      </w:r>
      <w:r>
        <w:rPr>
          <w:color w:val="231F20"/>
          <w:spacing w:val="-1"/>
        </w:rPr>
        <w:t>support</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w:t>
      </w:r>
      <w:r>
        <w:rPr>
          <w:color w:val="231F20"/>
          <w:spacing w:val="-6"/>
        </w:rPr>
        <w:t> </w:t>
      </w:r>
      <w:r>
        <w:rPr>
          <w:color w:val="231F20"/>
          <w:spacing w:val="-2"/>
        </w:rPr>
        <w:t>Strait</w:t>
      </w:r>
      <w:r>
        <w:rPr>
          <w:color w:val="231F20"/>
          <w:spacing w:val="21"/>
          <w:w w:val="99"/>
        </w:rPr>
        <w:t> </w:t>
      </w:r>
      <w:r>
        <w:rPr>
          <w:color w:val="231F20"/>
          <w:spacing w:val="-1"/>
        </w:rPr>
        <w:t>Islander</w:t>
      </w:r>
      <w:r>
        <w:rPr>
          <w:color w:val="231F20"/>
          <w:spacing w:val="-16"/>
        </w:rPr>
        <w:t> </w:t>
      </w:r>
      <w:r>
        <w:rPr>
          <w:color w:val="231F20"/>
        </w:rPr>
        <w:t>boarding.</w:t>
      </w:r>
      <w:r>
        <w:rPr/>
      </w:r>
    </w:p>
    <w:p>
      <w:pPr>
        <w:pStyle w:val="BodyText"/>
        <w:spacing w:line="250" w:lineRule="exact" w:before="113"/>
        <w:ind w:right="175"/>
        <w:jc w:val="left"/>
      </w:pPr>
      <w:r>
        <w:rPr>
          <w:color w:val="231F20"/>
        </w:rPr>
        <w:t>A</w:t>
      </w:r>
      <w:r>
        <w:rPr>
          <w:color w:val="231F20"/>
          <w:spacing w:val="-5"/>
        </w:rPr>
        <w:t> </w:t>
      </w:r>
      <w:r>
        <w:rPr>
          <w:color w:val="231F20"/>
        </w:rPr>
        <w:t>number</w:t>
      </w:r>
      <w:r>
        <w:rPr>
          <w:color w:val="231F20"/>
          <w:spacing w:val="-6"/>
        </w:rPr>
        <w:t> </w:t>
      </w:r>
      <w:r>
        <w:rPr>
          <w:color w:val="231F20"/>
        </w:rPr>
        <w:t>of</w:t>
      </w:r>
      <w:r>
        <w:rPr>
          <w:color w:val="231F20"/>
          <w:spacing w:val="-5"/>
        </w:rPr>
        <w:t> </w:t>
      </w:r>
      <w:r>
        <w:rPr>
          <w:color w:val="231F20"/>
        </w:rPr>
        <w:t>the</w:t>
      </w:r>
      <w:r>
        <w:rPr>
          <w:color w:val="231F20"/>
          <w:spacing w:val="-6"/>
        </w:rPr>
        <w:t> </w:t>
      </w:r>
      <w:r>
        <w:rPr>
          <w:color w:val="231F20"/>
        </w:rPr>
        <w:t>boarding</w:t>
      </w:r>
      <w:r>
        <w:rPr>
          <w:color w:val="231F20"/>
          <w:spacing w:val="-5"/>
        </w:rPr>
        <w:t> </w:t>
      </w:r>
      <w:r>
        <w:rPr>
          <w:color w:val="231F20"/>
        </w:rPr>
        <w:t>providers</w:t>
      </w:r>
      <w:r>
        <w:rPr>
          <w:color w:val="231F20"/>
          <w:spacing w:val="-6"/>
        </w:rPr>
        <w:t> </w:t>
      </w:r>
      <w:r>
        <w:rPr>
          <w:color w:val="231F20"/>
        </w:rPr>
        <w:t>rely</w:t>
      </w:r>
      <w:r>
        <w:rPr>
          <w:color w:val="231F20"/>
          <w:spacing w:val="-6"/>
        </w:rPr>
        <w:t> </w:t>
      </w:r>
      <w:r>
        <w:rPr>
          <w:color w:val="231F20"/>
        </w:rPr>
        <w:t>on</w:t>
      </w:r>
      <w:r>
        <w:rPr>
          <w:color w:val="231F20"/>
          <w:w w:val="99"/>
        </w:rPr>
        <w:t> </w:t>
      </w:r>
      <w:r>
        <w:rPr>
          <w:color w:val="231F20"/>
        </w:rPr>
        <w:t>private</w:t>
      </w:r>
      <w:r>
        <w:rPr>
          <w:color w:val="231F20"/>
          <w:spacing w:val="-11"/>
        </w:rPr>
        <w:t> </w:t>
      </w:r>
      <w:r>
        <w:rPr>
          <w:color w:val="231F20"/>
        </w:rPr>
        <w:t>donations,</w:t>
      </w:r>
      <w:r>
        <w:rPr>
          <w:color w:val="231F20"/>
          <w:spacing w:val="-11"/>
        </w:rPr>
        <w:t> </w:t>
      </w:r>
      <w:r>
        <w:rPr>
          <w:color w:val="231F20"/>
        </w:rPr>
        <w:t>contributions</w:t>
      </w:r>
      <w:r>
        <w:rPr>
          <w:color w:val="231F20"/>
          <w:spacing w:val="-11"/>
        </w:rPr>
        <w:t> </w:t>
      </w:r>
      <w:r>
        <w:rPr>
          <w:color w:val="231F20"/>
        </w:rPr>
        <w:t>from</w:t>
      </w:r>
      <w:r>
        <w:rPr>
          <w:color w:val="231F20"/>
          <w:spacing w:val="-10"/>
        </w:rPr>
        <w:t> </w:t>
      </w:r>
      <w:r>
        <w:rPr>
          <w:color w:val="231F20"/>
        </w:rPr>
        <w:t>charitable</w:t>
      </w:r>
      <w:r>
        <w:rPr>
          <w:color w:val="231F20"/>
          <w:w w:val="99"/>
        </w:rPr>
        <w:t> </w:t>
      </w:r>
      <w:r>
        <w:rPr>
          <w:color w:val="231F20"/>
        </w:rPr>
        <w:t>trusts</w:t>
      </w:r>
      <w:r>
        <w:rPr>
          <w:color w:val="231F20"/>
          <w:spacing w:val="-5"/>
        </w:rPr>
        <w:t> </w:t>
      </w:r>
      <w:r>
        <w:rPr>
          <w:color w:val="231F20"/>
        </w:rPr>
        <w:t>and</w:t>
      </w:r>
      <w:r>
        <w:rPr>
          <w:color w:val="231F20"/>
          <w:spacing w:val="-4"/>
        </w:rPr>
        <w:t> </w:t>
      </w:r>
      <w:r>
        <w:rPr>
          <w:color w:val="231F20"/>
        </w:rPr>
        <w:t>philanthropic</w:t>
      </w:r>
      <w:r>
        <w:rPr>
          <w:color w:val="231F20"/>
          <w:spacing w:val="-5"/>
        </w:rPr>
        <w:t> </w:t>
      </w:r>
      <w:r>
        <w:rPr>
          <w:color w:val="231F20"/>
        </w:rPr>
        <w:t>gifts</w:t>
      </w:r>
      <w:r>
        <w:rPr>
          <w:color w:val="231F20"/>
          <w:spacing w:val="-4"/>
        </w:rPr>
        <w:t> </w:t>
      </w:r>
      <w:r>
        <w:rPr>
          <w:color w:val="231F20"/>
        </w:rPr>
        <w:t>to</w:t>
      </w:r>
      <w:r>
        <w:rPr>
          <w:color w:val="231F20"/>
          <w:spacing w:val="-4"/>
        </w:rPr>
        <w:t> </w:t>
      </w:r>
      <w:r>
        <w:rPr>
          <w:color w:val="231F20"/>
          <w:spacing w:val="-1"/>
        </w:rPr>
        <w:t>meet</w:t>
      </w:r>
      <w:r>
        <w:rPr>
          <w:color w:val="231F20"/>
          <w:spacing w:val="-4"/>
        </w:rPr>
        <w:t> </w:t>
      </w:r>
      <w:r>
        <w:rPr>
          <w:color w:val="231F20"/>
        </w:rPr>
        <w:t>the</w:t>
      </w:r>
      <w:r>
        <w:rPr>
          <w:color w:val="231F20"/>
          <w:spacing w:val="-4"/>
        </w:rPr>
        <w:t> </w:t>
      </w:r>
      <w:r>
        <w:rPr>
          <w:color w:val="231F20"/>
        </w:rPr>
        <w:t>full</w:t>
      </w:r>
      <w:r>
        <w:rPr>
          <w:color w:val="231F20"/>
          <w:spacing w:val="21"/>
        </w:rPr>
        <w:t> </w:t>
      </w:r>
      <w:r>
        <w:rPr>
          <w:color w:val="231F20"/>
        </w:rPr>
        <w:t>costs</w:t>
      </w:r>
      <w:r>
        <w:rPr>
          <w:color w:val="231F20"/>
          <w:spacing w:val="-4"/>
        </w:rPr>
        <w:t> </w:t>
      </w:r>
      <w:r>
        <w:rPr>
          <w:color w:val="231F20"/>
        </w:rPr>
        <w:t>of</w:t>
      </w:r>
      <w:r>
        <w:rPr>
          <w:color w:val="231F20"/>
          <w:spacing w:val="-3"/>
        </w:rPr>
        <w:t> </w:t>
      </w:r>
      <w:r>
        <w:rPr>
          <w:color w:val="231F20"/>
        </w:rPr>
        <w:t>their</w:t>
      </w:r>
      <w:r>
        <w:rPr>
          <w:color w:val="231F20"/>
          <w:spacing w:val="-4"/>
        </w:rPr>
        <w:t> </w:t>
      </w:r>
      <w:r>
        <w:rPr>
          <w:color w:val="231F20"/>
        </w:rPr>
        <w:t>operations.</w:t>
      </w:r>
      <w:r>
        <w:rPr>
          <w:color w:val="231F20"/>
          <w:spacing w:val="-4"/>
        </w:rPr>
        <w:t> </w:t>
      </w:r>
      <w:r>
        <w:rPr>
          <w:color w:val="231F20"/>
          <w:spacing w:val="-1"/>
        </w:rPr>
        <w:t>In</w:t>
      </w:r>
      <w:r>
        <w:rPr>
          <w:color w:val="231F20"/>
          <w:spacing w:val="-3"/>
        </w:rPr>
        <w:t> </w:t>
      </w:r>
      <w:r>
        <w:rPr>
          <w:color w:val="231F20"/>
          <w:spacing w:val="-1"/>
        </w:rPr>
        <w:t>2016</w:t>
      </w:r>
      <w:r>
        <w:rPr>
          <w:color w:val="231F20"/>
          <w:spacing w:val="-3"/>
        </w:rPr>
        <w:t> </w:t>
      </w:r>
      <w:r>
        <w:rPr>
          <w:color w:val="231F20"/>
        </w:rPr>
        <w:t>two</w:t>
      </w:r>
      <w:r>
        <w:rPr>
          <w:color w:val="231F20"/>
          <w:spacing w:val="-3"/>
        </w:rPr>
        <w:t> </w:t>
      </w:r>
      <w:r>
        <w:rPr>
          <w:color w:val="231F20"/>
        </w:rPr>
        <w:t>high</w:t>
      </w:r>
      <w:r>
        <w:rPr>
          <w:color w:val="231F20"/>
          <w:spacing w:val="-3"/>
        </w:rPr>
        <w:t> </w:t>
      </w:r>
      <w:r>
        <w:rPr>
          <w:color w:val="231F20"/>
        </w:rPr>
        <w:t>cost</w:t>
      </w:r>
      <w:r>
        <w:rPr>
          <w:color w:val="231F20"/>
          <w:spacing w:val="22"/>
        </w:rPr>
        <w:t> </w:t>
      </w:r>
      <w:r>
        <w:rPr>
          <w:color w:val="231F20"/>
        </w:rPr>
        <w:t>boarding</w:t>
      </w:r>
      <w:r>
        <w:rPr>
          <w:color w:val="231F20"/>
          <w:spacing w:val="-7"/>
        </w:rPr>
        <w:t> </w:t>
      </w:r>
      <w:r>
        <w:rPr>
          <w:color w:val="231F20"/>
        </w:rPr>
        <w:t>providers</w:t>
      </w:r>
      <w:r>
        <w:rPr>
          <w:color w:val="231F20"/>
          <w:spacing w:val="-6"/>
        </w:rPr>
        <w:t> </w:t>
      </w:r>
      <w:r>
        <w:rPr>
          <w:color w:val="231F20"/>
        </w:rPr>
        <w:t>each</w:t>
      </w:r>
      <w:r>
        <w:rPr>
          <w:color w:val="231F20"/>
          <w:spacing w:val="-5"/>
        </w:rPr>
        <w:t> </w:t>
      </w:r>
      <w:r>
        <w:rPr>
          <w:color w:val="231F20"/>
        </w:rPr>
        <w:t>received</w:t>
      </w:r>
      <w:r>
        <w:rPr>
          <w:color w:val="231F20"/>
          <w:spacing w:val="-6"/>
        </w:rPr>
        <w:t> </w:t>
      </w:r>
      <w:r>
        <w:rPr>
          <w:color w:val="231F20"/>
        </w:rPr>
        <w:t>over</w:t>
      </w:r>
      <w:r>
        <w:rPr>
          <w:color w:val="231F20"/>
          <w:spacing w:val="-6"/>
        </w:rPr>
        <w:t> </w:t>
      </w:r>
      <w:r>
        <w:rPr>
          <w:color w:val="231F20"/>
          <w:spacing w:val="-1"/>
        </w:rPr>
        <w:t>$1</w:t>
      </w:r>
      <w:r>
        <w:rPr>
          <w:color w:val="231F20"/>
          <w:spacing w:val="-5"/>
        </w:rPr>
        <w:t> </w:t>
      </w:r>
      <w:r>
        <w:rPr>
          <w:color w:val="231F20"/>
          <w:spacing w:val="-1"/>
        </w:rPr>
        <w:t>million</w:t>
      </w:r>
      <w:r>
        <w:rPr>
          <w:color w:val="231F20"/>
          <w:spacing w:val="21"/>
        </w:rPr>
        <w:t> </w:t>
      </w:r>
      <w:r>
        <w:rPr>
          <w:color w:val="231F20"/>
          <w:spacing w:val="-1"/>
        </w:rPr>
        <w:t>in</w:t>
      </w:r>
      <w:r>
        <w:rPr>
          <w:color w:val="231F20"/>
          <w:spacing w:val="-12"/>
        </w:rPr>
        <w:t> </w:t>
      </w:r>
      <w:r>
        <w:rPr>
          <w:color w:val="231F20"/>
        </w:rPr>
        <w:t>donations/philanthropic</w:t>
      </w:r>
      <w:r>
        <w:rPr>
          <w:color w:val="231F20"/>
          <w:spacing w:val="-12"/>
        </w:rPr>
        <w:t> </w:t>
      </w:r>
      <w:r>
        <w:rPr>
          <w:color w:val="231F20"/>
          <w:spacing w:val="-1"/>
        </w:rPr>
        <w:t>support,</w:t>
      </w:r>
      <w:r>
        <w:rPr>
          <w:color w:val="231F20"/>
          <w:spacing w:val="-10"/>
        </w:rPr>
        <w:t> </w:t>
      </w:r>
      <w:r>
        <w:rPr>
          <w:color w:val="231F20"/>
        </w:rPr>
        <w:t>which</w:t>
      </w:r>
      <w:r>
        <w:rPr>
          <w:color w:val="231F20"/>
          <w:spacing w:val="23"/>
          <w:w w:val="99"/>
        </w:rPr>
        <w:t> </w:t>
      </w:r>
      <w:r>
        <w:rPr>
          <w:color w:val="231F20"/>
        </w:rPr>
        <w:t>represented</w:t>
      </w:r>
      <w:r>
        <w:rPr>
          <w:color w:val="231F20"/>
          <w:spacing w:val="-6"/>
        </w:rPr>
        <w:t> </w:t>
      </w:r>
      <w:r>
        <w:rPr>
          <w:color w:val="231F20"/>
          <w:spacing w:val="-1"/>
        </w:rPr>
        <w:t>49</w:t>
      </w:r>
      <w:r>
        <w:rPr>
          <w:color w:val="231F20"/>
          <w:spacing w:val="-3"/>
        </w:rPr>
        <w:t> </w:t>
      </w:r>
      <w:r>
        <w:rPr>
          <w:color w:val="231F20"/>
        </w:rPr>
        <w:t>per</w:t>
      </w:r>
      <w:r>
        <w:rPr>
          <w:color w:val="231F20"/>
          <w:spacing w:val="-3"/>
        </w:rPr>
        <w:t> </w:t>
      </w:r>
      <w:r>
        <w:rPr>
          <w:color w:val="231F20"/>
        </w:rPr>
        <w:t>cent</w:t>
      </w:r>
      <w:r>
        <w:rPr>
          <w:color w:val="231F20"/>
          <w:spacing w:val="-4"/>
        </w:rPr>
        <w:t> </w:t>
      </w:r>
      <w:r>
        <w:rPr>
          <w:color w:val="231F20"/>
        </w:rPr>
        <w:t>of</w:t>
      </w:r>
      <w:r>
        <w:rPr>
          <w:color w:val="231F20"/>
          <w:spacing w:val="-3"/>
        </w:rPr>
        <w:t> </w:t>
      </w:r>
      <w:r>
        <w:rPr>
          <w:color w:val="231F20"/>
        </w:rPr>
        <w:t>the</w:t>
      </w:r>
      <w:r>
        <w:rPr>
          <w:color w:val="231F20"/>
          <w:spacing w:val="-5"/>
        </w:rPr>
        <w:t> </w:t>
      </w:r>
      <w:r>
        <w:rPr>
          <w:color w:val="231F20"/>
          <w:spacing w:val="-1"/>
        </w:rPr>
        <w:t>income</w:t>
      </w:r>
      <w:r>
        <w:rPr>
          <w:color w:val="231F20"/>
          <w:spacing w:val="-3"/>
        </w:rPr>
        <w:t> </w:t>
      </w:r>
      <w:r>
        <w:rPr>
          <w:color w:val="231F20"/>
        </w:rPr>
        <w:t>of</w:t>
      </w:r>
      <w:r>
        <w:rPr>
          <w:color w:val="231F20"/>
          <w:spacing w:val="-3"/>
        </w:rPr>
        <w:t> </w:t>
      </w:r>
      <w:r>
        <w:rPr>
          <w:color w:val="231F20"/>
        </w:rPr>
        <w:t>one</w:t>
      </w:r>
      <w:r>
        <w:rPr>
          <w:color w:val="231F20"/>
          <w:spacing w:val="-3"/>
        </w:rPr>
        <w:t> </w:t>
      </w:r>
      <w:r>
        <w:rPr>
          <w:color w:val="231F20"/>
        </w:rPr>
        <w:t>of</w:t>
      </w:r>
      <w:r>
        <w:rPr>
          <w:color w:val="231F20"/>
          <w:spacing w:val="23"/>
          <w:w w:val="99"/>
        </w:rPr>
        <w:t> </w:t>
      </w:r>
      <w:r>
        <w:rPr>
          <w:color w:val="231F20"/>
        </w:rPr>
        <w:t>the</w:t>
      </w:r>
      <w:r>
        <w:rPr>
          <w:color w:val="231F20"/>
          <w:spacing w:val="-13"/>
        </w:rPr>
        <w:t> </w:t>
      </w:r>
      <w:r>
        <w:rPr>
          <w:color w:val="231F20"/>
        </w:rPr>
        <w:t>providers.</w:t>
      </w:r>
      <w:r>
        <w:rPr/>
      </w:r>
    </w:p>
    <w:p>
      <w:pPr>
        <w:pStyle w:val="Heading3"/>
        <w:spacing w:line="240" w:lineRule="auto"/>
        <w:ind w:right="0"/>
        <w:jc w:val="left"/>
      </w:pPr>
      <w:r>
        <w:rPr>
          <w:b/>
          <w:color w:val="00779B"/>
          <w:spacing w:val="-1"/>
        </w:rPr>
        <w:t>Scholarships</w:t>
      </w:r>
      <w:r>
        <w:rPr/>
      </w:r>
    </w:p>
    <w:p>
      <w:pPr>
        <w:pStyle w:val="BodyText"/>
        <w:spacing w:line="250" w:lineRule="exact" w:before="64"/>
        <w:ind w:right="126"/>
        <w:jc w:val="left"/>
      </w:pPr>
      <w:r>
        <w:rPr>
          <w:color w:val="231F20"/>
          <w:spacing w:val="-1"/>
        </w:rPr>
        <w:t>Scholarship</w:t>
      </w:r>
      <w:r>
        <w:rPr>
          <w:color w:val="231F20"/>
          <w:spacing w:val="-6"/>
        </w:rPr>
        <w:t> </w:t>
      </w:r>
      <w:r>
        <w:rPr>
          <w:color w:val="231F20"/>
        </w:rPr>
        <w:t>programs</w:t>
      </w:r>
      <w:r>
        <w:rPr>
          <w:color w:val="231F20"/>
          <w:spacing w:val="-8"/>
        </w:rPr>
        <w:t> </w:t>
      </w:r>
      <w:r>
        <w:rPr>
          <w:color w:val="231F20"/>
        </w:rPr>
        <w:t>have</w:t>
      </w:r>
      <w:r>
        <w:rPr>
          <w:color w:val="231F20"/>
          <w:spacing w:val="-7"/>
        </w:rPr>
        <w:t> </w:t>
      </w:r>
      <w:r>
        <w:rPr>
          <w:color w:val="231F20"/>
          <w:spacing w:val="-1"/>
        </w:rPr>
        <w:t>led</w:t>
      </w:r>
      <w:r>
        <w:rPr>
          <w:color w:val="231F20"/>
          <w:spacing w:val="-7"/>
        </w:rPr>
        <w:t> </w:t>
      </w:r>
      <w:r>
        <w:rPr>
          <w:color w:val="231F20"/>
        </w:rPr>
        <w:t>to</w:t>
      </w:r>
      <w:r>
        <w:rPr>
          <w:color w:val="231F20"/>
          <w:spacing w:val="-6"/>
        </w:rPr>
        <w:t> </w:t>
      </w:r>
      <w:r>
        <w:rPr>
          <w:color w:val="231F20"/>
          <w:spacing w:val="-1"/>
        </w:rPr>
        <w:t>structural</w:t>
      </w:r>
      <w:r>
        <w:rPr>
          <w:color w:val="231F20"/>
          <w:spacing w:val="22"/>
          <w:w w:val="99"/>
        </w:rPr>
        <w:t> </w:t>
      </w:r>
      <w:r>
        <w:rPr>
          <w:color w:val="231F20"/>
        </w:rPr>
        <w:t>changes</w:t>
      </w:r>
      <w:r>
        <w:rPr>
          <w:color w:val="231F20"/>
          <w:spacing w:val="-6"/>
        </w:rPr>
        <w:t> </w:t>
      </w:r>
      <w:r>
        <w:rPr>
          <w:color w:val="231F20"/>
          <w:spacing w:val="-1"/>
        </w:rPr>
        <w:t>in</w:t>
      </w:r>
      <w:r>
        <w:rPr>
          <w:color w:val="231F20"/>
          <w:spacing w:val="-4"/>
        </w:rPr>
        <w:t> </w:t>
      </w:r>
      <w:r>
        <w:rPr>
          <w:color w:val="231F20"/>
        </w:rPr>
        <w:t>the</w:t>
      </w:r>
      <w:r>
        <w:rPr>
          <w:color w:val="231F20"/>
          <w:spacing w:val="-5"/>
        </w:rPr>
        <w:t> </w:t>
      </w:r>
      <w:r>
        <w:rPr>
          <w:color w:val="231F20"/>
        </w:rPr>
        <w:t>Aboriginal</w:t>
      </w:r>
      <w:r>
        <w:rPr>
          <w:color w:val="231F20"/>
          <w:spacing w:val="-5"/>
        </w:rPr>
        <w:t> </w:t>
      </w:r>
      <w:r>
        <w:rPr>
          <w:color w:val="231F20"/>
        </w:rPr>
        <w:t>and</w:t>
      </w:r>
      <w:r>
        <w:rPr>
          <w:color w:val="231F20"/>
          <w:spacing w:val="-5"/>
        </w:rPr>
        <w:t> Torres</w:t>
      </w:r>
      <w:r>
        <w:rPr>
          <w:color w:val="231F20"/>
          <w:spacing w:val="-4"/>
        </w:rPr>
        <w:t> </w:t>
      </w:r>
      <w:r>
        <w:rPr>
          <w:color w:val="231F20"/>
          <w:spacing w:val="-2"/>
        </w:rPr>
        <w:t>Strait</w:t>
      </w:r>
      <w:r>
        <w:rPr>
          <w:color w:val="231F20"/>
          <w:spacing w:val="21"/>
          <w:w w:val="99"/>
        </w:rPr>
        <w:t> </w:t>
      </w:r>
      <w:r>
        <w:rPr>
          <w:color w:val="231F20"/>
          <w:spacing w:val="-1"/>
        </w:rPr>
        <w:t>Islander</w:t>
      </w:r>
      <w:r>
        <w:rPr>
          <w:color w:val="231F20"/>
          <w:spacing w:val="-8"/>
        </w:rPr>
        <w:t> </w:t>
      </w:r>
      <w:r>
        <w:rPr>
          <w:color w:val="231F20"/>
        </w:rPr>
        <w:t>boarding</w:t>
      </w:r>
      <w:r>
        <w:rPr>
          <w:color w:val="231F20"/>
          <w:spacing w:val="-8"/>
        </w:rPr>
        <w:t> </w:t>
      </w:r>
      <w:r>
        <w:rPr>
          <w:color w:val="231F20"/>
          <w:spacing w:val="-1"/>
        </w:rPr>
        <w:t>sector.</w:t>
      </w:r>
      <w:r>
        <w:rPr>
          <w:color w:val="231F20"/>
          <w:spacing w:val="-8"/>
        </w:rPr>
        <w:t> </w:t>
      </w:r>
      <w:r>
        <w:rPr>
          <w:color w:val="231F20"/>
        </w:rPr>
        <w:t>Greater</w:t>
      </w:r>
      <w:r>
        <w:rPr>
          <w:color w:val="231F20"/>
          <w:spacing w:val="-7"/>
        </w:rPr>
        <w:t> </w:t>
      </w:r>
      <w:r>
        <w:rPr>
          <w:color w:val="231F20"/>
        </w:rPr>
        <w:t>numbers</w:t>
      </w:r>
      <w:r>
        <w:rPr>
          <w:color w:val="231F20"/>
          <w:spacing w:val="-8"/>
        </w:rPr>
        <w:t> </w:t>
      </w:r>
      <w:r>
        <w:rPr>
          <w:color w:val="231F20"/>
        </w:rPr>
        <w:t>of</w:t>
      </w:r>
      <w:r>
        <w:rPr>
          <w:color w:val="231F20"/>
          <w:spacing w:val="23"/>
          <w:w w:val="99"/>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5"/>
        </w:rPr>
        <w:t> </w:t>
      </w:r>
      <w:r>
        <w:rPr>
          <w:color w:val="231F20"/>
          <w:spacing w:val="-1"/>
        </w:rPr>
        <w:t>Islander</w:t>
      </w:r>
      <w:r>
        <w:rPr>
          <w:color w:val="231F20"/>
          <w:spacing w:val="-4"/>
        </w:rPr>
        <w:t> </w:t>
      </w:r>
      <w:r>
        <w:rPr>
          <w:color w:val="231F20"/>
          <w:spacing w:val="-1"/>
        </w:rPr>
        <w:t>students</w:t>
      </w:r>
      <w:r>
        <w:rPr>
          <w:color w:val="231F20"/>
          <w:spacing w:val="-5"/>
        </w:rPr>
        <w:t> </w:t>
      </w:r>
      <w:r>
        <w:rPr>
          <w:color w:val="231F20"/>
        </w:rPr>
        <w:t>now</w:t>
      </w:r>
      <w:r>
        <w:rPr>
          <w:color w:val="231F20"/>
          <w:spacing w:val="23"/>
          <w:w w:val="99"/>
        </w:rPr>
        <w:t> </w:t>
      </w:r>
      <w:r>
        <w:rPr>
          <w:color w:val="231F20"/>
        </w:rPr>
        <w:t>have</w:t>
      </w:r>
      <w:r>
        <w:rPr>
          <w:color w:val="231F20"/>
          <w:spacing w:val="-7"/>
        </w:rPr>
        <w:t> </w:t>
      </w:r>
      <w:r>
        <w:rPr>
          <w:color w:val="231F20"/>
        </w:rPr>
        <w:t>the</w:t>
      </w:r>
      <w:r>
        <w:rPr>
          <w:color w:val="231F20"/>
          <w:spacing w:val="-7"/>
        </w:rPr>
        <w:t> </w:t>
      </w:r>
      <w:r>
        <w:rPr>
          <w:color w:val="231F20"/>
        </w:rPr>
        <w:t>opportunity</w:t>
      </w:r>
      <w:r>
        <w:rPr>
          <w:color w:val="231F20"/>
          <w:spacing w:val="-7"/>
        </w:rPr>
        <w:t> </w:t>
      </w:r>
      <w:r>
        <w:rPr>
          <w:color w:val="231F20"/>
        </w:rPr>
        <w:t>to</w:t>
      </w:r>
      <w:r>
        <w:rPr>
          <w:color w:val="231F20"/>
          <w:spacing w:val="-6"/>
        </w:rPr>
        <w:t> </w:t>
      </w:r>
      <w:r>
        <w:rPr>
          <w:color w:val="231F20"/>
        </w:rPr>
        <w:t>access</w:t>
      </w:r>
      <w:r>
        <w:rPr>
          <w:color w:val="231F20"/>
          <w:spacing w:val="-6"/>
        </w:rPr>
        <w:t> </w:t>
      </w:r>
      <w:r>
        <w:rPr>
          <w:color w:val="231F20"/>
          <w:spacing w:val="-1"/>
        </w:rPr>
        <w:t>leading</w:t>
      </w:r>
      <w:r>
        <w:rPr>
          <w:color w:val="231F20"/>
          <w:spacing w:val="-6"/>
        </w:rPr>
        <w:t> </w:t>
      </w:r>
      <w:r>
        <w:rPr>
          <w:color w:val="231F20"/>
        </w:rPr>
        <w:t>Australian</w:t>
      </w:r>
      <w:r>
        <w:rPr>
          <w:color w:val="231F20"/>
          <w:spacing w:val="22"/>
          <w:w w:val="99"/>
        </w:rPr>
        <w:t> </w:t>
      </w:r>
      <w:r>
        <w:rPr>
          <w:color w:val="231F20"/>
          <w:spacing w:val="-1"/>
        </w:rPr>
        <w:t>schools</w:t>
      </w:r>
      <w:r>
        <w:rPr>
          <w:color w:val="231F20"/>
          <w:spacing w:val="-4"/>
        </w:rPr>
        <w:t> </w:t>
      </w:r>
      <w:r>
        <w:rPr>
          <w:color w:val="231F20"/>
          <w:spacing w:val="-1"/>
        </w:rPr>
        <w:t>in</w:t>
      </w:r>
      <w:r>
        <w:rPr>
          <w:color w:val="231F20"/>
          <w:spacing w:val="-4"/>
        </w:rPr>
        <w:t> </w:t>
      </w:r>
      <w:r>
        <w:rPr>
          <w:color w:val="231F20"/>
          <w:spacing w:val="-1"/>
        </w:rPr>
        <w:t>state</w:t>
      </w:r>
      <w:r>
        <w:rPr>
          <w:color w:val="231F20"/>
          <w:spacing w:val="-4"/>
        </w:rPr>
        <w:t> </w:t>
      </w:r>
      <w:r>
        <w:rPr>
          <w:color w:val="231F20"/>
        </w:rPr>
        <w:t>capital</w:t>
      </w:r>
      <w:r>
        <w:rPr>
          <w:color w:val="231F20"/>
          <w:spacing w:val="-4"/>
        </w:rPr>
        <w:t> </w:t>
      </w:r>
      <w:r>
        <w:rPr>
          <w:color w:val="231F20"/>
        </w:rPr>
        <w:t>cities</w:t>
      </w:r>
      <w:r>
        <w:rPr>
          <w:color w:val="231F20"/>
          <w:spacing w:val="-5"/>
        </w:rPr>
        <w:t> </w:t>
      </w:r>
      <w:r>
        <w:rPr>
          <w:color w:val="231F20"/>
        </w:rPr>
        <w:t>and</w:t>
      </w:r>
      <w:r>
        <w:rPr>
          <w:color w:val="231F20"/>
          <w:spacing w:val="-4"/>
        </w:rPr>
        <w:t> </w:t>
      </w:r>
      <w:r>
        <w:rPr>
          <w:color w:val="231F20"/>
          <w:spacing w:val="-1"/>
        </w:rPr>
        <w:t>major</w:t>
      </w:r>
      <w:r>
        <w:rPr>
          <w:color w:val="231F20"/>
          <w:spacing w:val="-4"/>
        </w:rPr>
        <w:t> </w:t>
      </w:r>
      <w:r>
        <w:rPr>
          <w:color w:val="231F20"/>
        </w:rPr>
        <w:t>regional</w:t>
      </w:r>
      <w:r>
        <w:rPr>
          <w:color w:val="231F20"/>
          <w:spacing w:val="25"/>
          <w:w w:val="99"/>
        </w:rPr>
        <w:t> </w:t>
      </w:r>
      <w:r>
        <w:rPr>
          <w:color w:val="231F20"/>
        </w:rPr>
        <w:t>centres</w:t>
      </w:r>
      <w:r>
        <w:rPr>
          <w:color w:val="231F20"/>
          <w:spacing w:val="-6"/>
        </w:rPr>
        <w:t> </w:t>
      </w:r>
      <w:r>
        <w:rPr>
          <w:color w:val="231F20"/>
        </w:rPr>
        <w:t>around</w:t>
      </w:r>
      <w:r>
        <w:rPr>
          <w:color w:val="231F20"/>
          <w:spacing w:val="-6"/>
        </w:rPr>
        <w:t> </w:t>
      </w:r>
      <w:r>
        <w:rPr>
          <w:color w:val="231F20"/>
        </w:rPr>
        <w:t>the</w:t>
      </w:r>
      <w:r>
        <w:rPr>
          <w:color w:val="231F20"/>
          <w:spacing w:val="-6"/>
        </w:rPr>
        <w:t> </w:t>
      </w:r>
      <w:r>
        <w:rPr>
          <w:color w:val="231F20"/>
        </w:rPr>
        <w:t>country.</w:t>
      </w:r>
      <w:r>
        <w:rPr>
          <w:color w:val="231F20"/>
          <w:spacing w:val="-5"/>
        </w:rPr>
        <w:t> </w:t>
      </w:r>
      <w:r>
        <w:rPr>
          <w:color w:val="231F20"/>
          <w:spacing w:val="-1"/>
        </w:rPr>
        <w:t>In</w:t>
      </w:r>
      <w:r>
        <w:rPr>
          <w:color w:val="231F20"/>
          <w:spacing w:val="-5"/>
        </w:rPr>
        <w:t> </w:t>
      </w:r>
      <w:r>
        <w:rPr>
          <w:color w:val="231F20"/>
          <w:spacing w:val="-1"/>
        </w:rPr>
        <w:t>2017</w:t>
      </w:r>
      <w:r>
        <w:rPr>
          <w:color w:val="231F20"/>
          <w:spacing w:val="-5"/>
        </w:rPr>
        <w:t> </w:t>
      </w:r>
      <w:r>
        <w:rPr>
          <w:color w:val="231F20"/>
        </w:rPr>
        <w:t>the</w:t>
      </w:r>
      <w:r>
        <w:rPr>
          <w:color w:val="231F20"/>
          <w:spacing w:val="-6"/>
        </w:rPr>
        <w:t> </w:t>
      </w:r>
      <w:r>
        <w:rPr>
          <w:color w:val="231F20"/>
        </w:rPr>
        <w:t>Australian</w:t>
      </w:r>
      <w:r>
        <w:rPr>
          <w:color w:val="231F20"/>
          <w:spacing w:val="22"/>
          <w:w w:val="99"/>
        </w:rPr>
        <w:t> </w:t>
      </w:r>
      <w:r>
        <w:rPr>
          <w:color w:val="231F20"/>
          <w:spacing w:val="-1"/>
        </w:rPr>
        <w:t>Indigenous</w:t>
      </w:r>
      <w:r>
        <w:rPr>
          <w:color w:val="231F20"/>
          <w:spacing w:val="-11"/>
        </w:rPr>
        <w:t> </w:t>
      </w:r>
      <w:r>
        <w:rPr>
          <w:color w:val="231F20"/>
        </w:rPr>
        <w:t>Education</w:t>
      </w:r>
      <w:r>
        <w:rPr>
          <w:color w:val="231F20"/>
          <w:spacing w:val="-11"/>
        </w:rPr>
        <w:t> </w:t>
      </w:r>
      <w:r>
        <w:rPr>
          <w:color w:val="231F20"/>
          <w:spacing w:val="-1"/>
        </w:rPr>
        <w:t>Foundation</w:t>
      </w:r>
      <w:r>
        <w:rPr>
          <w:color w:val="231F20"/>
          <w:spacing w:val="-10"/>
        </w:rPr>
        <w:t> </w:t>
      </w:r>
      <w:r>
        <w:rPr>
          <w:color w:val="231F20"/>
        </w:rPr>
        <w:t>(AIEF)</w:t>
      </w:r>
      <w:r>
        <w:rPr>
          <w:color w:val="231F20"/>
          <w:spacing w:val="-11"/>
        </w:rPr>
        <w:t> </w:t>
      </w:r>
      <w:r>
        <w:rPr>
          <w:color w:val="231F20"/>
        </w:rPr>
        <w:t>provided</w:t>
      </w:r>
      <w:r>
        <w:rPr>
          <w:color w:val="231F20"/>
          <w:spacing w:val="23"/>
          <w:w w:val="99"/>
        </w:rPr>
        <w:t> </w:t>
      </w:r>
      <w:r>
        <w:rPr>
          <w:color w:val="231F20"/>
          <w:spacing w:val="-1"/>
        </w:rPr>
        <w:t>scholarships</w:t>
      </w:r>
      <w:r>
        <w:rPr>
          <w:color w:val="231F20"/>
          <w:spacing w:val="-2"/>
        </w:rPr>
        <w:t> </w:t>
      </w:r>
      <w:r>
        <w:rPr>
          <w:color w:val="231F20"/>
        </w:rPr>
        <w:t>to</w:t>
      </w:r>
      <w:r>
        <w:rPr>
          <w:color w:val="231F20"/>
          <w:spacing w:val="-3"/>
        </w:rPr>
        <w:t> </w:t>
      </w:r>
      <w:r>
        <w:rPr>
          <w:color w:val="231F20"/>
          <w:spacing w:val="-1"/>
        </w:rPr>
        <w:t>436</w:t>
      </w:r>
      <w:r>
        <w:rPr>
          <w:color w:val="231F20"/>
          <w:spacing w:val="-3"/>
        </w:rPr>
        <w:t> </w:t>
      </w:r>
      <w:r>
        <w:rPr>
          <w:color w:val="231F20"/>
        </w:rPr>
        <w:t>Aboriginal</w:t>
      </w:r>
      <w:r>
        <w:rPr>
          <w:color w:val="231F20"/>
          <w:spacing w:val="-3"/>
        </w:rPr>
        <w:t> </w:t>
      </w:r>
      <w:r>
        <w:rPr>
          <w:color w:val="231F20"/>
        </w:rPr>
        <w:t>and</w:t>
      </w:r>
      <w:r>
        <w:rPr>
          <w:color w:val="231F20"/>
          <w:spacing w:val="-3"/>
        </w:rPr>
        <w:t> </w:t>
      </w:r>
      <w:r>
        <w:rPr>
          <w:color w:val="231F20"/>
          <w:spacing w:val="-5"/>
        </w:rPr>
        <w:t>Torres</w:t>
      </w:r>
      <w:r>
        <w:rPr/>
      </w:r>
    </w:p>
    <w:p>
      <w:pPr>
        <w:pStyle w:val="BodyText"/>
        <w:spacing w:line="250" w:lineRule="exact"/>
        <w:ind w:right="179"/>
        <w:jc w:val="left"/>
      </w:pPr>
      <w:r>
        <w:rPr>
          <w:color w:val="231F20"/>
          <w:spacing w:val="-2"/>
        </w:rPr>
        <w:t>Strait</w:t>
      </w:r>
      <w:r>
        <w:rPr>
          <w:color w:val="231F20"/>
          <w:spacing w:val="-4"/>
        </w:rPr>
        <w:t> </w:t>
      </w:r>
      <w:r>
        <w:rPr>
          <w:color w:val="231F20"/>
          <w:spacing w:val="-1"/>
        </w:rPr>
        <w:t>Islander</w:t>
      </w:r>
      <w:r>
        <w:rPr>
          <w:color w:val="231F20"/>
          <w:spacing w:val="-3"/>
        </w:rPr>
        <w:t> </w:t>
      </w:r>
      <w:r>
        <w:rPr>
          <w:color w:val="231F20"/>
          <w:spacing w:val="-1"/>
        </w:rPr>
        <w:t>students</w:t>
      </w:r>
      <w:r>
        <w:rPr>
          <w:color w:val="231F20"/>
          <w:spacing w:val="-3"/>
        </w:rPr>
        <w:t> </w:t>
      </w:r>
      <w:r>
        <w:rPr>
          <w:color w:val="231F20"/>
        </w:rPr>
        <w:t>from</w:t>
      </w:r>
      <w:r>
        <w:rPr>
          <w:color w:val="231F20"/>
          <w:spacing w:val="-3"/>
        </w:rPr>
        <w:t> </w:t>
      </w:r>
      <w:r>
        <w:rPr>
          <w:color w:val="231F20"/>
          <w:spacing w:val="-1"/>
        </w:rPr>
        <w:t>256</w:t>
      </w:r>
      <w:r>
        <w:rPr>
          <w:color w:val="231F20"/>
          <w:spacing w:val="-3"/>
        </w:rPr>
        <w:t> </w:t>
      </w:r>
      <w:r>
        <w:rPr>
          <w:color w:val="231F20"/>
        </w:rPr>
        <w:t>communities</w:t>
      </w:r>
      <w:r>
        <w:rPr>
          <w:color w:val="231F20"/>
          <w:spacing w:val="29"/>
        </w:rPr>
        <w:t> </w:t>
      </w:r>
      <w:r>
        <w:rPr>
          <w:color w:val="231F20"/>
        </w:rPr>
        <w:t>around</w:t>
      </w:r>
      <w:r>
        <w:rPr>
          <w:color w:val="231F20"/>
          <w:spacing w:val="-7"/>
        </w:rPr>
        <w:t> </w:t>
      </w:r>
      <w:r>
        <w:rPr>
          <w:color w:val="231F20"/>
        </w:rPr>
        <w:t>Australia</w:t>
      </w:r>
      <w:r>
        <w:rPr>
          <w:color w:val="231F20"/>
          <w:spacing w:val="-5"/>
        </w:rPr>
        <w:t> </w:t>
      </w:r>
      <w:r>
        <w:rPr>
          <w:color w:val="231F20"/>
        </w:rPr>
        <w:t>(41</w:t>
      </w:r>
      <w:r>
        <w:rPr>
          <w:color w:val="231F20"/>
          <w:spacing w:val="-6"/>
        </w:rPr>
        <w:t> </w:t>
      </w:r>
      <w:r>
        <w:rPr>
          <w:color w:val="231F20"/>
        </w:rPr>
        <w:t>per</w:t>
      </w:r>
      <w:r>
        <w:rPr>
          <w:color w:val="231F20"/>
          <w:spacing w:val="-6"/>
        </w:rPr>
        <w:t> </w:t>
      </w:r>
      <w:r>
        <w:rPr>
          <w:color w:val="231F20"/>
        </w:rPr>
        <w:t>cent</w:t>
      </w:r>
      <w:r>
        <w:rPr>
          <w:color w:val="231F20"/>
          <w:spacing w:val="-6"/>
        </w:rPr>
        <w:t> </w:t>
      </w:r>
      <w:r>
        <w:rPr>
          <w:color w:val="231F20"/>
        </w:rPr>
        <w:t>from</w:t>
      </w:r>
      <w:r>
        <w:rPr>
          <w:color w:val="231F20"/>
          <w:spacing w:val="-6"/>
        </w:rPr>
        <w:t> </w:t>
      </w:r>
      <w:r>
        <w:rPr>
          <w:color w:val="231F20"/>
        </w:rPr>
        <w:t>remote</w:t>
      </w:r>
      <w:r>
        <w:rPr>
          <w:color w:val="231F20"/>
          <w:spacing w:val="-6"/>
        </w:rPr>
        <w:t> </w:t>
      </w:r>
      <w:r>
        <w:rPr>
          <w:color w:val="231F20"/>
        </w:rPr>
        <w:t>and</w:t>
      </w:r>
      <w:r>
        <w:rPr>
          <w:color w:val="231F20"/>
          <w:w w:val="99"/>
        </w:rPr>
        <w:t> </w:t>
      </w:r>
      <w:r>
        <w:rPr>
          <w:color w:val="231F20"/>
        </w:rPr>
        <w:t>very</w:t>
      </w:r>
      <w:r>
        <w:rPr>
          <w:color w:val="231F20"/>
          <w:spacing w:val="-5"/>
        </w:rPr>
        <w:t> </w:t>
      </w:r>
      <w:r>
        <w:rPr>
          <w:color w:val="231F20"/>
        </w:rPr>
        <w:t>remote</w:t>
      </w:r>
      <w:r>
        <w:rPr>
          <w:color w:val="231F20"/>
          <w:spacing w:val="-6"/>
        </w:rPr>
        <w:t> </w:t>
      </w:r>
      <w:r>
        <w:rPr>
          <w:color w:val="231F20"/>
        </w:rPr>
        <w:t>communities)</w:t>
      </w:r>
      <w:r>
        <w:rPr>
          <w:color w:val="231F20"/>
          <w:spacing w:val="-6"/>
        </w:rPr>
        <w:t> </w:t>
      </w:r>
      <w:r>
        <w:rPr>
          <w:color w:val="231F20"/>
        </w:rPr>
        <w:t>to</w:t>
      </w:r>
      <w:r>
        <w:rPr>
          <w:color w:val="231F20"/>
          <w:spacing w:val="-5"/>
        </w:rPr>
        <w:t> </w:t>
      </w:r>
      <w:r>
        <w:rPr>
          <w:color w:val="231F20"/>
        </w:rPr>
        <w:t>attend</w:t>
      </w:r>
      <w:r>
        <w:rPr>
          <w:color w:val="231F20"/>
          <w:spacing w:val="-6"/>
        </w:rPr>
        <w:t> </w:t>
      </w:r>
      <w:r>
        <w:rPr>
          <w:color w:val="231F20"/>
          <w:spacing w:val="-1"/>
        </w:rPr>
        <w:t>leading</w:t>
      </w:r>
      <w:r>
        <w:rPr>
          <w:color w:val="231F20"/>
          <w:spacing w:val="20"/>
          <w:w w:val="99"/>
        </w:rPr>
        <w:t> </w:t>
      </w:r>
      <w:r>
        <w:rPr>
          <w:color w:val="231F20"/>
        </w:rPr>
        <w:t>Australian</w:t>
      </w:r>
      <w:r>
        <w:rPr>
          <w:color w:val="231F20"/>
          <w:spacing w:val="-9"/>
        </w:rPr>
        <w:t> </w:t>
      </w:r>
      <w:r>
        <w:rPr>
          <w:color w:val="231F20"/>
          <w:spacing w:val="-1"/>
        </w:rPr>
        <w:t>secondary</w:t>
      </w:r>
      <w:r>
        <w:rPr>
          <w:color w:val="231F20"/>
          <w:spacing w:val="-8"/>
        </w:rPr>
        <w:t> </w:t>
      </w:r>
      <w:r>
        <w:rPr>
          <w:color w:val="231F20"/>
          <w:spacing w:val="-1"/>
        </w:rPr>
        <w:t>schools,</w:t>
      </w:r>
      <w:r>
        <w:rPr>
          <w:color w:val="231F20"/>
          <w:spacing w:val="-8"/>
        </w:rPr>
        <w:t> </w:t>
      </w:r>
      <w:r>
        <w:rPr>
          <w:color w:val="231F20"/>
          <w:spacing w:val="-1"/>
        </w:rPr>
        <w:t>including</w:t>
      </w:r>
      <w:r>
        <w:rPr>
          <w:color w:val="231F20"/>
          <w:spacing w:val="-8"/>
        </w:rPr>
        <w:t> </w:t>
      </w:r>
      <w:r>
        <w:rPr>
          <w:color w:val="231F20"/>
        </w:rPr>
        <w:t>boarding</w:t>
      </w:r>
      <w:r>
        <w:rPr>
          <w:color w:val="231F20"/>
          <w:spacing w:val="24"/>
          <w:w w:val="99"/>
        </w:rPr>
        <w:t> </w:t>
      </w:r>
      <w:r>
        <w:rPr>
          <w:color w:val="231F20"/>
          <w:spacing w:val="-1"/>
        </w:rPr>
        <w:t>schools.</w:t>
      </w:r>
      <w:r>
        <w:rPr>
          <w:color w:val="231F20"/>
          <w:spacing w:val="-4"/>
        </w:rPr>
        <w:t> </w:t>
      </w:r>
      <w:r>
        <w:rPr>
          <w:color w:val="231F20"/>
        </w:rPr>
        <w:t>The</w:t>
      </w:r>
      <w:r>
        <w:rPr>
          <w:color w:val="231F20"/>
          <w:spacing w:val="-4"/>
        </w:rPr>
        <w:t> </w:t>
      </w:r>
      <w:r>
        <w:rPr>
          <w:color w:val="231F20"/>
        </w:rPr>
        <w:t>program</w:t>
      </w:r>
      <w:r>
        <w:rPr>
          <w:color w:val="231F20"/>
          <w:spacing w:val="-5"/>
        </w:rPr>
        <w:t> </w:t>
      </w:r>
      <w:r>
        <w:rPr>
          <w:color w:val="231F20"/>
        </w:rPr>
        <w:t>has</w:t>
      </w:r>
      <w:r>
        <w:rPr>
          <w:color w:val="231F20"/>
          <w:spacing w:val="-5"/>
        </w:rPr>
        <w:t> </w:t>
      </w:r>
      <w:r>
        <w:rPr>
          <w:color w:val="231F20"/>
        </w:rPr>
        <w:t>delivered</w:t>
      </w:r>
      <w:r>
        <w:rPr>
          <w:color w:val="231F20"/>
          <w:spacing w:val="-4"/>
        </w:rPr>
        <w:t> </w:t>
      </w:r>
      <w:r>
        <w:rPr>
          <w:color w:val="231F20"/>
          <w:spacing w:val="-1"/>
        </w:rPr>
        <w:t>successful</w:t>
      </w:r>
      <w:r>
        <w:rPr>
          <w:color w:val="231F20"/>
          <w:spacing w:val="21"/>
        </w:rPr>
        <w:t> </w:t>
      </w:r>
      <w:r>
        <w:rPr>
          <w:color w:val="231F20"/>
        </w:rPr>
        <w:t>outcomes</w:t>
      </w:r>
      <w:r>
        <w:rPr>
          <w:color w:val="231F20"/>
          <w:spacing w:val="-4"/>
        </w:rPr>
        <w:t> </w:t>
      </w:r>
      <w:r>
        <w:rPr>
          <w:color w:val="231F20"/>
        </w:rPr>
        <w:t>with</w:t>
      </w:r>
      <w:r>
        <w:rPr>
          <w:color w:val="231F20"/>
          <w:spacing w:val="-4"/>
        </w:rPr>
        <w:t> </w:t>
      </w:r>
      <w:r>
        <w:rPr>
          <w:color w:val="231F20"/>
        </w:rPr>
        <w:t>a</w:t>
      </w:r>
      <w:r>
        <w:rPr>
          <w:color w:val="231F20"/>
          <w:spacing w:val="-3"/>
        </w:rPr>
        <w:t> </w:t>
      </w:r>
      <w:r>
        <w:rPr>
          <w:color w:val="231F20"/>
          <w:spacing w:val="-1"/>
        </w:rPr>
        <w:t>94</w:t>
      </w:r>
      <w:r>
        <w:rPr>
          <w:color w:val="231F20"/>
          <w:spacing w:val="-3"/>
        </w:rPr>
        <w:t> </w:t>
      </w:r>
      <w:r>
        <w:rPr>
          <w:color w:val="231F20"/>
        </w:rPr>
        <w:t>per</w:t>
      </w:r>
      <w:r>
        <w:rPr>
          <w:color w:val="231F20"/>
          <w:spacing w:val="-3"/>
        </w:rPr>
        <w:t> </w:t>
      </w:r>
      <w:r>
        <w:rPr>
          <w:color w:val="231F20"/>
        </w:rPr>
        <w:t>cent</w:t>
      </w:r>
      <w:r>
        <w:rPr>
          <w:color w:val="231F20"/>
          <w:spacing w:val="-4"/>
        </w:rPr>
        <w:t> </w:t>
      </w:r>
      <w:r>
        <w:rPr>
          <w:color w:val="231F20"/>
        </w:rPr>
        <w:t>retention</w:t>
      </w:r>
      <w:r>
        <w:rPr>
          <w:color w:val="231F20"/>
          <w:spacing w:val="-3"/>
        </w:rPr>
        <w:t> </w:t>
      </w:r>
      <w:r>
        <w:rPr>
          <w:color w:val="231F20"/>
        </w:rPr>
        <w:t>and</w:t>
      </w:r>
      <w:r>
        <w:rPr>
          <w:color w:val="231F20"/>
          <w:spacing w:val="-4"/>
        </w:rPr>
        <w:t> </w:t>
      </w:r>
      <w:r>
        <w:rPr>
          <w:color w:val="231F20"/>
          <w:spacing w:val="-6"/>
        </w:rPr>
        <w:t>Year</w:t>
      </w:r>
      <w:r>
        <w:rPr>
          <w:color w:val="231F20"/>
          <w:spacing w:val="22"/>
          <w:w w:val="99"/>
        </w:rPr>
        <w:t> </w:t>
      </w:r>
      <w:r>
        <w:rPr>
          <w:color w:val="231F20"/>
          <w:spacing w:val="-1"/>
        </w:rPr>
        <w:t>12</w:t>
      </w:r>
      <w:r>
        <w:rPr>
          <w:color w:val="231F20"/>
          <w:spacing w:val="-3"/>
        </w:rPr>
        <w:t> </w:t>
      </w:r>
      <w:r>
        <w:rPr>
          <w:color w:val="231F20"/>
        </w:rPr>
        <w:t>completion</w:t>
      </w:r>
      <w:r>
        <w:rPr>
          <w:color w:val="231F20"/>
          <w:spacing w:val="-4"/>
        </w:rPr>
        <w:t> </w:t>
      </w:r>
      <w:r>
        <w:rPr>
          <w:color w:val="231F20"/>
        </w:rPr>
        <w:t>rate,</w:t>
      </w:r>
      <w:r>
        <w:rPr>
          <w:color w:val="231F20"/>
          <w:spacing w:val="-3"/>
        </w:rPr>
        <w:t> </w:t>
      </w:r>
      <w:r>
        <w:rPr>
          <w:color w:val="231F20"/>
        </w:rPr>
        <w:t>and</w:t>
      </w:r>
      <w:r>
        <w:rPr>
          <w:color w:val="231F20"/>
          <w:spacing w:val="-3"/>
        </w:rPr>
        <w:t> </w:t>
      </w:r>
      <w:r>
        <w:rPr>
          <w:color w:val="231F20"/>
          <w:spacing w:val="-1"/>
        </w:rPr>
        <w:t>94</w:t>
      </w:r>
      <w:r>
        <w:rPr>
          <w:color w:val="231F20"/>
          <w:spacing w:val="-3"/>
        </w:rPr>
        <w:t> </w:t>
      </w:r>
      <w:r>
        <w:rPr>
          <w:color w:val="231F20"/>
          <w:spacing w:val="-6"/>
        </w:rPr>
        <w:t>Year</w:t>
      </w:r>
      <w:r>
        <w:rPr>
          <w:color w:val="231F20"/>
          <w:spacing w:val="-3"/>
        </w:rPr>
        <w:t> </w:t>
      </w:r>
      <w:r>
        <w:rPr>
          <w:color w:val="231F20"/>
          <w:spacing w:val="-1"/>
        </w:rPr>
        <w:t>12</w:t>
      </w:r>
      <w:r>
        <w:rPr>
          <w:color w:val="231F20"/>
          <w:spacing w:val="-2"/>
        </w:rPr>
        <w:t> </w:t>
      </w:r>
      <w:r>
        <w:rPr>
          <w:color w:val="231F20"/>
        </w:rPr>
        <w:t>graduations</w:t>
      </w:r>
      <w:r>
        <w:rPr/>
      </w:r>
    </w:p>
    <w:p>
      <w:pPr>
        <w:spacing w:line="250" w:lineRule="exact" w:before="0"/>
        <w:ind w:left="117" w:right="0" w:firstLine="0"/>
        <w:jc w:val="left"/>
        <w:rPr>
          <w:rFonts w:ascii="Segoe UI Semibold" w:hAnsi="Segoe UI Semibold" w:cs="Segoe UI Semibold" w:eastAsia="Segoe UI Semibold"/>
          <w:sz w:val="11"/>
          <w:szCs w:val="11"/>
        </w:rPr>
      </w:pPr>
      <w:r>
        <w:rPr>
          <w:rFonts w:ascii="Segoe UI"/>
          <w:color w:val="231F20"/>
          <w:spacing w:val="-1"/>
          <w:sz w:val="20"/>
        </w:rPr>
        <w:t>in</w:t>
      </w:r>
      <w:r>
        <w:rPr>
          <w:rFonts w:ascii="Segoe UI"/>
          <w:color w:val="231F20"/>
          <w:spacing w:val="9"/>
          <w:sz w:val="20"/>
        </w:rPr>
        <w:t> </w:t>
      </w:r>
      <w:r>
        <w:rPr>
          <w:rFonts w:ascii="Segoe UI"/>
          <w:color w:val="231F20"/>
          <w:spacing w:val="-1"/>
          <w:sz w:val="20"/>
        </w:rPr>
        <w:t>2017.</w:t>
      </w:r>
      <w:r>
        <w:rPr>
          <w:rFonts w:ascii="Segoe UI Semibold"/>
          <w:b/>
          <w:color w:val="231F20"/>
          <w:spacing w:val="-1"/>
          <w:position w:val="7"/>
          <w:sz w:val="11"/>
        </w:rPr>
        <w:t>122</w:t>
      </w:r>
      <w:r>
        <w:rPr>
          <w:rFonts w:ascii="Segoe UI Semibold"/>
          <w:sz w:val="11"/>
        </w:rPr>
      </w:r>
    </w:p>
    <w:p>
      <w:pPr>
        <w:spacing w:after="0" w:line="250" w:lineRule="exact"/>
        <w:jc w:val="left"/>
        <w:rPr>
          <w:rFonts w:ascii="Segoe UI Semibold" w:hAnsi="Segoe UI Semibold" w:cs="Segoe UI Semibold" w:eastAsia="Segoe UI Semibold"/>
          <w:sz w:val="11"/>
          <w:szCs w:val="11"/>
        </w:rPr>
        <w:sectPr>
          <w:type w:val="continuous"/>
          <w:pgSz w:w="11910" w:h="16840"/>
          <w:pgMar w:top="1580" w:bottom="280" w:left="1300" w:right="1380"/>
          <w:cols w:num="2" w:equalWidth="0">
            <w:col w:w="4366" w:space="226"/>
            <w:col w:w="4638"/>
          </w:cols>
        </w:sectPr>
      </w:pPr>
    </w:p>
    <w:p>
      <w:pPr>
        <w:spacing w:line="240" w:lineRule="auto" w:before="0"/>
        <w:rPr>
          <w:rFonts w:ascii="Segoe UI Semibold" w:hAnsi="Segoe UI Semibold" w:cs="Segoe UI Semibold" w:eastAsia="Segoe UI Semibold"/>
          <w:b/>
          <w:bCs/>
          <w:sz w:val="20"/>
          <w:szCs w:val="20"/>
        </w:rPr>
      </w:pPr>
    </w:p>
    <w:p>
      <w:pPr>
        <w:spacing w:line="240" w:lineRule="auto" w:before="8"/>
        <w:rPr>
          <w:rFonts w:ascii="Segoe UI Semibold" w:hAnsi="Segoe UI Semibold" w:cs="Segoe UI Semibold" w:eastAsia="Segoe UI Semibold"/>
          <w:b/>
          <w:bCs/>
          <w:sz w:val="21"/>
          <w:szCs w:val="21"/>
        </w:rPr>
      </w:pPr>
    </w:p>
    <w:p>
      <w:pPr>
        <w:spacing w:after="0" w:line="240" w:lineRule="auto"/>
        <w:rPr>
          <w:rFonts w:ascii="Segoe UI Semibold" w:hAnsi="Segoe UI Semibold" w:cs="Segoe UI Semibold" w:eastAsia="Segoe UI Semibold"/>
          <w:sz w:val="21"/>
          <w:szCs w:val="21"/>
        </w:rPr>
        <w:sectPr>
          <w:pgSz w:w="11910" w:h="16840"/>
          <w:pgMar w:header="0" w:footer="691" w:top="1580" w:bottom="880" w:left="1600" w:right="1300"/>
        </w:sectPr>
      </w:pPr>
    </w:p>
    <w:p>
      <w:pPr>
        <w:pStyle w:val="BodyText"/>
        <w:spacing w:line="250" w:lineRule="exact" w:before="62"/>
        <w:ind w:left="100" w:right="24"/>
        <w:jc w:val="left"/>
      </w:pPr>
      <w:r>
        <w:rPr>
          <w:color w:val="231F20"/>
        </w:rPr>
        <w:t>Other</w:t>
      </w:r>
      <w:r>
        <w:rPr>
          <w:color w:val="231F20"/>
          <w:spacing w:val="-4"/>
        </w:rPr>
        <w:t> </w:t>
      </w:r>
      <w:r>
        <w:rPr>
          <w:color w:val="231F20"/>
          <w:spacing w:val="-1"/>
        </w:rPr>
        <w:t>important</w:t>
      </w:r>
      <w:r>
        <w:rPr>
          <w:color w:val="231F20"/>
          <w:spacing w:val="-4"/>
        </w:rPr>
        <w:t> </w:t>
      </w:r>
      <w:r>
        <w:rPr>
          <w:color w:val="231F20"/>
          <w:spacing w:val="-1"/>
        </w:rPr>
        <w:t>sources</w:t>
      </w:r>
      <w:r>
        <w:rPr>
          <w:color w:val="231F20"/>
          <w:spacing w:val="-3"/>
        </w:rPr>
        <w:t> </w:t>
      </w:r>
      <w:r>
        <w:rPr>
          <w:color w:val="231F20"/>
        </w:rPr>
        <w:t>of</w:t>
      </w:r>
      <w:r>
        <w:rPr>
          <w:color w:val="231F20"/>
          <w:spacing w:val="-4"/>
        </w:rPr>
        <w:t> </w:t>
      </w:r>
      <w:r>
        <w:rPr>
          <w:color w:val="231F20"/>
          <w:spacing w:val="-1"/>
        </w:rPr>
        <w:t>scholarships</w:t>
      </w:r>
      <w:r>
        <w:rPr>
          <w:color w:val="231F20"/>
          <w:spacing w:val="-3"/>
        </w:rPr>
        <w:t> </w:t>
      </w:r>
      <w:r>
        <w:rPr>
          <w:color w:val="231F20"/>
        </w:rPr>
        <w:t>for</w:t>
      </w:r>
      <w:r>
        <w:rPr>
          <w:color w:val="231F20"/>
          <w:spacing w:val="24"/>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boarders</w:t>
      </w:r>
      <w:r>
        <w:rPr>
          <w:color w:val="231F20"/>
          <w:spacing w:val="21"/>
          <w:w w:val="99"/>
        </w:rPr>
        <w:t> </w:t>
      </w:r>
      <w:r>
        <w:rPr>
          <w:color w:val="231F20"/>
        </w:rPr>
        <w:t>are</w:t>
      </w:r>
      <w:r>
        <w:rPr>
          <w:color w:val="231F20"/>
          <w:spacing w:val="-7"/>
        </w:rPr>
        <w:t> </w:t>
      </w:r>
      <w:r>
        <w:rPr>
          <w:color w:val="231F20"/>
          <w:spacing w:val="-1"/>
        </w:rPr>
        <w:t>scholarships</w:t>
      </w:r>
      <w:r>
        <w:rPr>
          <w:color w:val="231F20"/>
          <w:spacing w:val="-5"/>
        </w:rPr>
        <w:t> </w:t>
      </w:r>
      <w:r>
        <w:rPr>
          <w:color w:val="231F20"/>
        </w:rPr>
        <w:t>and</w:t>
      </w:r>
      <w:r>
        <w:rPr>
          <w:color w:val="231F20"/>
          <w:spacing w:val="-7"/>
        </w:rPr>
        <w:t> </w:t>
      </w:r>
      <w:r>
        <w:rPr>
          <w:color w:val="231F20"/>
        </w:rPr>
        <w:t>bursaries</w:t>
      </w:r>
      <w:r>
        <w:rPr>
          <w:color w:val="231F20"/>
          <w:spacing w:val="-6"/>
        </w:rPr>
        <w:t> </w:t>
      </w:r>
      <w:r>
        <w:rPr>
          <w:color w:val="231F20"/>
        </w:rPr>
        <w:t>provided</w:t>
      </w:r>
      <w:r>
        <w:rPr>
          <w:color w:val="231F20"/>
          <w:spacing w:val="-7"/>
        </w:rPr>
        <w:t> </w:t>
      </w:r>
      <w:r>
        <w:rPr>
          <w:color w:val="231F20"/>
        </w:rPr>
        <w:t>directly</w:t>
      </w:r>
      <w:r>
        <w:rPr>
          <w:color w:val="231F20"/>
          <w:spacing w:val="22"/>
          <w:w w:val="99"/>
        </w:rPr>
        <w:t> </w:t>
      </w:r>
      <w:r>
        <w:rPr>
          <w:color w:val="231F20"/>
        </w:rPr>
        <w:t>by</w:t>
      </w:r>
      <w:r>
        <w:rPr>
          <w:color w:val="231F20"/>
          <w:spacing w:val="-6"/>
        </w:rPr>
        <w:t> </w:t>
      </w:r>
      <w:r>
        <w:rPr>
          <w:color w:val="231F20"/>
          <w:spacing w:val="-1"/>
        </w:rPr>
        <w:t>schools</w:t>
      </w:r>
      <w:r>
        <w:rPr>
          <w:color w:val="231F20"/>
          <w:spacing w:val="-6"/>
        </w:rPr>
        <w:t> </w:t>
      </w:r>
      <w:r>
        <w:rPr>
          <w:color w:val="231F20"/>
        </w:rPr>
        <w:t>and</w:t>
      </w:r>
      <w:r>
        <w:rPr>
          <w:color w:val="231F20"/>
          <w:spacing w:val="-6"/>
        </w:rPr>
        <w:t> </w:t>
      </w:r>
      <w:r>
        <w:rPr>
          <w:color w:val="231F20"/>
        </w:rPr>
        <w:t>their</w:t>
      </w:r>
      <w:r>
        <w:rPr>
          <w:color w:val="231F20"/>
          <w:spacing w:val="-6"/>
        </w:rPr>
        <w:t> </w:t>
      </w:r>
      <w:r>
        <w:rPr>
          <w:color w:val="231F20"/>
        </w:rPr>
        <w:t>associated</w:t>
      </w:r>
      <w:r>
        <w:rPr>
          <w:color w:val="231F20"/>
          <w:spacing w:val="-7"/>
        </w:rPr>
        <w:t> </w:t>
      </w:r>
      <w:r>
        <w:rPr>
          <w:color w:val="231F20"/>
        </w:rPr>
        <w:t>charitable</w:t>
      </w:r>
      <w:r>
        <w:rPr>
          <w:color w:val="231F20"/>
          <w:spacing w:val="22"/>
          <w:w w:val="99"/>
        </w:rPr>
        <w:t> </w:t>
      </w:r>
      <w:r>
        <w:rPr>
          <w:color w:val="231F20"/>
        </w:rPr>
        <w:t>funds,</w:t>
      </w:r>
      <w:r>
        <w:rPr>
          <w:color w:val="231F20"/>
          <w:spacing w:val="-7"/>
        </w:rPr>
        <w:t> </w:t>
      </w:r>
      <w:r>
        <w:rPr>
          <w:color w:val="231F20"/>
        </w:rPr>
        <w:t>and</w:t>
      </w:r>
      <w:r>
        <w:rPr>
          <w:color w:val="231F20"/>
          <w:spacing w:val="-7"/>
        </w:rPr>
        <w:t> </w:t>
      </w:r>
      <w:r>
        <w:rPr>
          <w:color w:val="231F20"/>
        </w:rPr>
        <w:t>private</w:t>
      </w:r>
      <w:r>
        <w:rPr>
          <w:color w:val="231F20"/>
          <w:spacing w:val="-7"/>
        </w:rPr>
        <w:t> </w:t>
      </w:r>
      <w:r>
        <w:rPr>
          <w:color w:val="231F20"/>
        </w:rPr>
        <w:t>charitable</w:t>
      </w:r>
      <w:r>
        <w:rPr>
          <w:color w:val="231F20"/>
          <w:spacing w:val="-7"/>
        </w:rPr>
        <w:t> </w:t>
      </w:r>
      <w:r>
        <w:rPr>
          <w:color w:val="231F20"/>
        </w:rPr>
        <w:t>trusts</w:t>
      </w:r>
      <w:r>
        <w:rPr>
          <w:color w:val="231F20"/>
          <w:spacing w:val="-7"/>
        </w:rPr>
        <w:t> </w:t>
      </w:r>
      <w:r>
        <w:rPr>
          <w:color w:val="231F20"/>
        </w:rPr>
        <w:t>and</w:t>
      </w:r>
      <w:r>
        <w:rPr>
          <w:color w:val="231F20"/>
          <w:spacing w:val="-7"/>
        </w:rPr>
        <w:t> </w:t>
      </w:r>
      <w:r>
        <w:rPr>
          <w:color w:val="231F20"/>
        </w:rPr>
        <w:t>funds.</w:t>
      </w:r>
      <w:r>
        <w:rPr>
          <w:color w:val="231F20"/>
          <w:w w:val="99"/>
        </w:rPr>
        <w:t> </w:t>
      </w:r>
      <w:r>
        <w:rPr>
          <w:color w:val="231F20"/>
        </w:rPr>
        <w:t>Examples</w:t>
      </w:r>
      <w:r>
        <w:rPr>
          <w:color w:val="231F20"/>
          <w:spacing w:val="-5"/>
        </w:rPr>
        <w:t> </w:t>
      </w:r>
      <w:r>
        <w:rPr>
          <w:color w:val="231F20"/>
        </w:rPr>
        <w:t>are:</w:t>
      </w:r>
      <w:r>
        <w:rPr/>
      </w:r>
    </w:p>
    <w:p>
      <w:pPr>
        <w:pStyle w:val="BodyText"/>
        <w:spacing w:line="250" w:lineRule="exact" w:before="113"/>
        <w:ind w:left="327" w:right="12" w:hanging="227"/>
        <w:jc w:val="left"/>
        <w:rPr>
          <w:rFonts w:ascii="Segoe UI Semibold" w:hAnsi="Segoe UI Semibold" w:cs="Segoe UI Semibold" w:eastAsia="Segoe UI Semibold"/>
          <w:sz w:val="11"/>
          <w:szCs w:val="11"/>
        </w:rPr>
      </w:pPr>
      <w:r>
        <w:rPr>
          <w:rFonts w:ascii="Century Gothic" w:hAnsi="Century Gothic"/>
          <w:color w:val="231F20"/>
        </w:rPr>
        <w:t>» </w:t>
      </w:r>
      <w:r>
        <w:rPr>
          <w:rFonts w:ascii="Century Gothic" w:hAnsi="Century Gothic"/>
          <w:color w:val="231F20"/>
          <w:spacing w:val="29"/>
        </w:rPr>
        <w:t> </w:t>
      </w:r>
      <w:r>
        <w:rPr>
          <w:color w:val="231F20"/>
          <w:spacing w:val="-1"/>
        </w:rPr>
        <w:t>scholarships</w:t>
      </w:r>
      <w:r>
        <w:rPr>
          <w:color w:val="231F20"/>
        </w:rPr>
        <w:t> established</w:t>
      </w:r>
      <w:r>
        <w:rPr>
          <w:color w:val="231F20"/>
          <w:spacing w:val="-1"/>
        </w:rPr>
        <w:t> </w:t>
      </w:r>
      <w:r>
        <w:rPr>
          <w:color w:val="231F20"/>
        </w:rPr>
        <w:t>by</w:t>
      </w:r>
      <w:r>
        <w:rPr>
          <w:color w:val="231F20"/>
          <w:spacing w:val="-1"/>
        </w:rPr>
        <w:t> mining</w:t>
      </w:r>
      <w:r>
        <w:rPr>
          <w:color w:val="231F20"/>
          <w:spacing w:val="21"/>
        </w:rPr>
        <w:t> </w:t>
      </w:r>
      <w:r>
        <w:rPr>
          <w:color w:val="231F20"/>
        </w:rPr>
        <w:t>companies</w:t>
      </w:r>
      <w:r>
        <w:rPr>
          <w:color w:val="231F20"/>
          <w:spacing w:val="-5"/>
        </w:rPr>
        <w:t> </w:t>
      </w:r>
      <w:r>
        <w:rPr>
          <w:color w:val="231F20"/>
        </w:rPr>
        <w:t>as</w:t>
      </w:r>
      <w:r>
        <w:rPr>
          <w:color w:val="231F20"/>
          <w:spacing w:val="-5"/>
        </w:rPr>
        <w:t> </w:t>
      </w:r>
      <w:r>
        <w:rPr>
          <w:color w:val="231F20"/>
        </w:rPr>
        <w:t>compensation</w:t>
      </w:r>
      <w:r>
        <w:rPr>
          <w:color w:val="231F20"/>
          <w:spacing w:val="-5"/>
        </w:rPr>
        <w:t> </w:t>
      </w:r>
      <w:r>
        <w:rPr>
          <w:color w:val="231F20"/>
        </w:rPr>
        <w:t>for</w:t>
      </w:r>
      <w:r>
        <w:rPr>
          <w:color w:val="231F20"/>
          <w:spacing w:val="-3"/>
        </w:rPr>
        <w:t> </w:t>
      </w:r>
      <w:r>
        <w:rPr>
          <w:color w:val="231F20"/>
          <w:spacing w:val="-1"/>
        </w:rPr>
        <w:t>mining</w:t>
      </w:r>
      <w:r>
        <w:rPr>
          <w:color w:val="231F20"/>
          <w:spacing w:val="20"/>
        </w:rPr>
        <w:t> </w:t>
      </w:r>
      <w:r>
        <w:rPr>
          <w:color w:val="231F20"/>
        </w:rPr>
        <w:t>activities</w:t>
      </w:r>
      <w:r>
        <w:rPr>
          <w:color w:val="231F20"/>
          <w:spacing w:val="-7"/>
        </w:rPr>
        <w:t> </w:t>
      </w:r>
      <w:r>
        <w:rPr>
          <w:color w:val="231F20"/>
        </w:rPr>
        <w:t>on</w:t>
      </w:r>
      <w:r>
        <w:rPr>
          <w:color w:val="231F20"/>
          <w:spacing w:val="-5"/>
        </w:rPr>
        <w:t> </w:t>
      </w:r>
      <w:r>
        <w:rPr>
          <w:color w:val="231F20"/>
        </w:rPr>
        <w:t>Aboriginal</w:t>
      </w:r>
      <w:r>
        <w:rPr>
          <w:color w:val="231F20"/>
          <w:spacing w:val="-5"/>
        </w:rPr>
        <w:t> </w:t>
      </w:r>
      <w:r>
        <w:rPr>
          <w:color w:val="231F20"/>
          <w:spacing w:val="-1"/>
        </w:rPr>
        <w:t>land.</w:t>
      </w:r>
      <w:r>
        <w:rPr>
          <w:color w:val="231F20"/>
          <w:spacing w:val="-5"/>
        </w:rPr>
        <w:t> </w:t>
      </w:r>
      <w:r>
        <w:rPr>
          <w:color w:val="231F20"/>
          <w:spacing w:val="-1"/>
        </w:rPr>
        <w:t>In</w:t>
      </w:r>
      <w:r>
        <w:rPr>
          <w:color w:val="231F20"/>
          <w:spacing w:val="-6"/>
        </w:rPr>
        <w:t> </w:t>
      </w:r>
      <w:r>
        <w:rPr>
          <w:color w:val="231F20"/>
        </w:rPr>
        <w:t>Queensland</w:t>
      </w:r>
      <w:r>
        <w:rPr>
          <w:color w:val="231F20"/>
          <w:spacing w:val="22"/>
          <w:w w:val="99"/>
        </w:rPr>
        <w:t> </w:t>
      </w:r>
      <w:r>
        <w:rPr>
          <w:color w:val="231F20"/>
        </w:rPr>
        <w:t>the</w:t>
      </w:r>
      <w:r>
        <w:rPr>
          <w:color w:val="231F20"/>
          <w:spacing w:val="-6"/>
        </w:rPr>
        <w:t> </w:t>
      </w:r>
      <w:r>
        <w:rPr>
          <w:color w:val="231F20"/>
        </w:rPr>
        <w:t>Ely</w:t>
      </w:r>
      <w:r>
        <w:rPr>
          <w:color w:val="231F20"/>
          <w:spacing w:val="-5"/>
        </w:rPr>
        <w:t> </w:t>
      </w:r>
      <w:r>
        <w:rPr>
          <w:color w:val="231F20"/>
          <w:spacing w:val="-1"/>
        </w:rPr>
        <w:t>Bursary</w:t>
      </w:r>
      <w:r>
        <w:rPr>
          <w:color w:val="231F20"/>
          <w:spacing w:val="-4"/>
        </w:rPr>
        <w:t> </w:t>
      </w:r>
      <w:r>
        <w:rPr>
          <w:color w:val="231F20"/>
        </w:rPr>
        <w:t>Education</w:t>
      </w:r>
      <w:r>
        <w:rPr>
          <w:color w:val="231F20"/>
          <w:spacing w:val="-5"/>
        </w:rPr>
        <w:t> </w:t>
      </w:r>
      <w:r>
        <w:rPr>
          <w:color w:val="231F20"/>
        </w:rPr>
        <w:t>Assistance</w:t>
      </w:r>
      <w:r>
        <w:rPr>
          <w:color w:val="231F20"/>
          <w:spacing w:val="-5"/>
        </w:rPr>
        <w:t> </w:t>
      </w:r>
      <w:r>
        <w:rPr>
          <w:color w:val="231F20"/>
          <w:spacing w:val="-1"/>
        </w:rPr>
        <w:t>Scheme</w:t>
      </w:r>
      <w:r>
        <w:rPr>
          <w:color w:val="231F20"/>
          <w:spacing w:val="21"/>
        </w:rPr>
        <w:t> </w:t>
      </w:r>
      <w:r>
        <w:rPr>
          <w:color w:val="231F20"/>
        </w:rPr>
        <w:t>provides</w:t>
      </w:r>
      <w:r>
        <w:rPr>
          <w:color w:val="231F20"/>
          <w:spacing w:val="-6"/>
        </w:rPr>
        <w:t> </w:t>
      </w:r>
      <w:r>
        <w:rPr>
          <w:color w:val="231F20"/>
          <w:spacing w:val="-1"/>
        </w:rPr>
        <w:t>scholarships</w:t>
      </w:r>
      <w:r>
        <w:rPr>
          <w:color w:val="231F20"/>
          <w:spacing w:val="-4"/>
        </w:rPr>
        <w:t> </w:t>
      </w:r>
      <w:r>
        <w:rPr>
          <w:color w:val="231F20"/>
        </w:rPr>
        <w:t>for</w:t>
      </w:r>
      <w:r>
        <w:rPr>
          <w:color w:val="231F20"/>
          <w:spacing w:val="-5"/>
        </w:rPr>
        <w:t> </w:t>
      </w:r>
      <w:r>
        <w:rPr>
          <w:color w:val="231F20"/>
        </w:rPr>
        <w:t>Aboriginal</w:t>
      </w:r>
      <w:r>
        <w:rPr>
          <w:color w:val="231F20"/>
          <w:spacing w:val="-5"/>
        </w:rPr>
        <w:t> </w:t>
      </w:r>
      <w:r>
        <w:rPr>
          <w:color w:val="231F20"/>
          <w:spacing w:val="-1"/>
        </w:rPr>
        <w:t>students</w:t>
      </w:r>
      <w:r>
        <w:rPr>
          <w:color w:val="231F20"/>
          <w:spacing w:val="21"/>
        </w:rPr>
        <w:t> </w:t>
      </w:r>
      <w:r>
        <w:rPr>
          <w:color w:val="231F20"/>
        </w:rPr>
        <w:t>to</w:t>
      </w:r>
      <w:r>
        <w:rPr>
          <w:color w:val="231F20"/>
          <w:spacing w:val="-3"/>
        </w:rPr>
        <w:t> </w:t>
      </w:r>
      <w:r>
        <w:rPr>
          <w:color w:val="231F20"/>
        </w:rPr>
        <w:t>attend</w:t>
      </w:r>
      <w:r>
        <w:rPr>
          <w:color w:val="231F20"/>
          <w:spacing w:val="-4"/>
        </w:rPr>
        <w:t> </w:t>
      </w:r>
      <w:r>
        <w:rPr>
          <w:color w:val="231F20"/>
          <w:spacing w:val="-1"/>
        </w:rPr>
        <w:t>boarding</w:t>
      </w:r>
      <w:r>
        <w:rPr>
          <w:rFonts w:ascii="Segoe UI Semibold" w:hAnsi="Segoe UI Semibold"/>
          <w:b/>
          <w:color w:val="231F20"/>
          <w:spacing w:val="-1"/>
          <w:position w:val="7"/>
          <w:sz w:val="11"/>
        </w:rPr>
        <w:t>123</w:t>
      </w:r>
      <w:r>
        <w:rPr>
          <w:rFonts w:ascii="Segoe UI Semibold" w:hAnsi="Segoe UI Semibold"/>
          <w:sz w:val="11"/>
        </w:rPr>
      </w:r>
    </w:p>
    <w:p>
      <w:pPr>
        <w:pStyle w:val="BodyText"/>
        <w:spacing w:line="250" w:lineRule="exact" w:before="113"/>
        <w:ind w:left="327" w:right="0" w:hanging="227"/>
        <w:jc w:val="left"/>
      </w:pPr>
      <w:r>
        <w:rPr>
          <w:rFonts w:ascii="Century Gothic" w:hAnsi="Century Gothic"/>
          <w:color w:val="231F20"/>
        </w:rPr>
        <w:t>» </w:t>
      </w:r>
      <w:r>
        <w:rPr>
          <w:rFonts w:ascii="Century Gothic" w:hAnsi="Century Gothic"/>
          <w:color w:val="231F20"/>
          <w:spacing w:val="25"/>
        </w:rPr>
        <w:t> </w:t>
      </w:r>
      <w:r>
        <w:rPr>
          <w:color w:val="231F20"/>
          <w:spacing w:val="-1"/>
        </w:rPr>
        <w:t>scholarships </w:t>
      </w:r>
      <w:r>
        <w:rPr>
          <w:color w:val="231F20"/>
        </w:rPr>
        <w:t>funded</w:t>
      </w:r>
      <w:r>
        <w:rPr>
          <w:color w:val="231F20"/>
          <w:spacing w:val="-3"/>
        </w:rPr>
        <w:t> </w:t>
      </w:r>
      <w:r>
        <w:rPr>
          <w:color w:val="231F20"/>
        </w:rPr>
        <w:t>by</w:t>
      </w:r>
      <w:r>
        <w:rPr>
          <w:color w:val="231F20"/>
          <w:spacing w:val="-2"/>
        </w:rPr>
        <w:t> </w:t>
      </w:r>
      <w:r>
        <w:rPr>
          <w:color w:val="231F20"/>
          <w:spacing w:val="-1"/>
        </w:rPr>
        <w:t>land</w:t>
      </w:r>
      <w:r>
        <w:rPr>
          <w:color w:val="231F20"/>
          <w:spacing w:val="-2"/>
        </w:rPr>
        <w:t> </w:t>
      </w:r>
      <w:r>
        <w:rPr>
          <w:color w:val="231F20"/>
        </w:rPr>
        <w:t>councils</w:t>
      </w:r>
      <w:r>
        <w:rPr>
          <w:color w:val="231F20"/>
          <w:spacing w:val="-3"/>
        </w:rPr>
        <w:t> </w:t>
      </w:r>
      <w:r>
        <w:rPr>
          <w:color w:val="231F20"/>
        </w:rPr>
        <w:t>and</w:t>
      </w:r>
      <w:r>
        <w:rPr>
          <w:color w:val="231F20"/>
          <w:spacing w:val="23"/>
          <w:w w:val="99"/>
        </w:rPr>
        <w:t> </w:t>
      </w:r>
      <w:r>
        <w:rPr>
          <w:color w:val="231F20"/>
        </w:rPr>
        <w:t>native</w:t>
      </w:r>
      <w:r>
        <w:rPr>
          <w:color w:val="231F20"/>
          <w:spacing w:val="-7"/>
        </w:rPr>
        <w:t> </w:t>
      </w:r>
      <w:r>
        <w:rPr>
          <w:color w:val="231F20"/>
        </w:rPr>
        <w:t>title</w:t>
      </w:r>
      <w:r>
        <w:rPr>
          <w:color w:val="231F20"/>
          <w:spacing w:val="-7"/>
        </w:rPr>
        <w:t> </w:t>
      </w:r>
      <w:r>
        <w:rPr>
          <w:color w:val="231F20"/>
        </w:rPr>
        <w:t>bodies.</w:t>
      </w:r>
      <w:r>
        <w:rPr/>
      </w:r>
    </w:p>
    <w:p>
      <w:pPr>
        <w:spacing w:line="240" w:lineRule="auto" w:before="0"/>
        <w:rPr>
          <w:rFonts w:ascii="Segoe UI" w:hAnsi="Segoe UI" w:cs="Segoe UI" w:eastAsia="Segoe UI"/>
          <w:sz w:val="20"/>
          <w:szCs w:val="20"/>
        </w:rPr>
      </w:pPr>
    </w:p>
    <w:p>
      <w:pPr>
        <w:spacing w:line="240" w:lineRule="auto" w:before="6"/>
        <w:rPr>
          <w:rFonts w:ascii="Segoe UI" w:hAnsi="Segoe UI" w:cs="Segoe UI" w:eastAsia="Segoe UI"/>
          <w:sz w:val="21"/>
          <w:szCs w:val="21"/>
        </w:rPr>
      </w:pPr>
    </w:p>
    <w:p>
      <w:pPr>
        <w:spacing w:line="200" w:lineRule="atLeast"/>
        <w:ind w:left="100" w:right="0" w:firstLine="0"/>
        <w:rPr>
          <w:rFonts w:ascii="Segoe UI" w:hAnsi="Segoe UI" w:cs="Segoe UI" w:eastAsia="Segoe UI"/>
          <w:sz w:val="20"/>
          <w:szCs w:val="20"/>
        </w:rPr>
      </w:pPr>
      <w:r>
        <w:rPr>
          <w:rFonts w:ascii="Segoe UI" w:hAnsi="Segoe UI" w:cs="Segoe UI" w:eastAsia="Segoe UI"/>
          <w:sz w:val="20"/>
          <w:szCs w:val="20"/>
        </w:rPr>
        <w:pict>
          <v:group style="width:209.8pt;height:14.2pt;mso-position-horizontal-relative:char;mso-position-vertical-relative:line" coordorigin="0,0" coordsize="4196,284">
            <v:group style="position:absolute;left:283;top:0;width:3912;height:284" coordorigin="283,0" coordsize="3912,284">
              <v:shape style="position:absolute;left:283;top:0;width:3912;height:284" coordorigin="283,0" coordsize="3912,284" path="m283,283l4195,283,4195,0,283,0,283,283xe" filled="true" fillcolor="#97bf3d" stroked="false">
                <v:path arrowok="t"/>
                <v:fill type="solid"/>
              </v:shape>
            </v:group>
            <v:group style="position:absolute;left:0;top:0;width:284;height:284" coordorigin="0,0" coordsize="284,284">
              <v:shape style="position:absolute;left:0;top:0;width:284;height:284" coordorigin="0,0" coordsize="284,284" path="m0,283l283,283,283,0,0,0,0,283xe" filled="true" fillcolor="#67973f" stroked="false">
                <v:path arrowok="t"/>
                <v:fill type="solid"/>
              </v:shape>
              <v:shape style="position:absolute;left:0;top:0;width:4196;height:284" type="#_x0000_t202" filled="false" stroked="false">
                <v:textbox inset="0,0,0,0">
                  <w:txbxContent>
                    <w:p>
                      <w:pPr>
                        <w:spacing w:before="5"/>
                        <w:ind w:left="368" w:right="0" w:firstLine="0"/>
                        <w:jc w:val="left"/>
                        <w:rPr>
                          <w:rFonts w:ascii="Segoe UI" w:hAnsi="Segoe UI" w:cs="Segoe UI" w:eastAsia="Segoe UI"/>
                          <w:sz w:val="18"/>
                          <w:szCs w:val="18"/>
                        </w:rPr>
                      </w:pPr>
                      <w:r>
                        <w:rPr>
                          <w:rFonts w:ascii="Segoe UI"/>
                          <w:b/>
                          <w:i/>
                          <w:color w:val="FFFFFF"/>
                          <w:spacing w:val="-1"/>
                          <w:sz w:val="18"/>
                        </w:rPr>
                        <w:t>Case</w:t>
                      </w:r>
                      <w:r>
                        <w:rPr>
                          <w:rFonts w:ascii="Segoe UI"/>
                          <w:b/>
                          <w:i/>
                          <w:color w:val="FFFFFF"/>
                          <w:spacing w:val="-4"/>
                          <w:sz w:val="18"/>
                        </w:rPr>
                        <w:t> </w:t>
                      </w:r>
                      <w:r>
                        <w:rPr>
                          <w:rFonts w:ascii="Segoe UI"/>
                          <w:b/>
                          <w:i/>
                          <w:color w:val="FFFFFF"/>
                          <w:sz w:val="18"/>
                        </w:rPr>
                        <w:t>study</w:t>
                      </w:r>
                      <w:r>
                        <w:rPr>
                          <w:rFonts w:ascii="Segoe UI"/>
                          <w:b/>
                          <w:i/>
                          <w:color w:val="FFFFFF"/>
                          <w:spacing w:val="-5"/>
                          <w:sz w:val="18"/>
                        </w:rPr>
                        <w:t> </w:t>
                      </w:r>
                      <w:r>
                        <w:rPr>
                          <w:rFonts w:ascii="Segoe UI"/>
                          <w:b/>
                          <w:i/>
                          <w:color w:val="FFFFFF"/>
                          <w:sz w:val="18"/>
                        </w:rPr>
                        <w:t>7</w:t>
                      </w:r>
                      <w:r>
                        <w:rPr>
                          <w:rFonts w:ascii="Segoe UI"/>
                          <w:sz w:val="18"/>
                        </w:rPr>
                      </w:r>
                    </w:p>
                  </w:txbxContent>
                </v:textbox>
                <w10:wrap type="none"/>
              </v:shape>
            </v:group>
          </v:group>
        </w:pict>
      </w:r>
      <w:r>
        <w:rPr>
          <w:rFonts w:ascii="Segoe UI" w:hAnsi="Segoe UI" w:cs="Segoe UI" w:eastAsia="Segoe UI"/>
          <w:sz w:val="20"/>
          <w:szCs w:val="20"/>
        </w:rPr>
      </w:r>
    </w:p>
    <w:p>
      <w:pPr>
        <w:pStyle w:val="Heading6"/>
        <w:spacing w:line="240" w:lineRule="auto" w:before="124"/>
        <w:ind w:right="12"/>
        <w:jc w:val="left"/>
        <w:rPr>
          <w:b w:val="0"/>
          <w:bCs w:val="0"/>
        </w:rPr>
      </w:pPr>
      <w:r>
        <w:rPr>
          <w:color w:val="67973F"/>
          <w:spacing w:val="-1"/>
        </w:rPr>
        <w:t>Land</w:t>
      </w:r>
      <w:r>
        <w:rPr>
          <w:color w:val="67973F"/>
        </w:rPr>
        <w:t> council</w:t>
      </w:r>
      <w:r>
        <w:rPr>
          <w:color w:val="67973F"/>
          <w:spacing w:val="-1"/>
        </w:rPr>
        <w:t> </w:t>
      </w:r>
      <w:r>
        <w:rPr>
          <w:color w:val="67973F"/>
        </w:rPr>
        <w:t>scholarships</w:t>
      </w:r>
      <w:r>
        <w:rPr>
          <w:b w:val="0"/>
        </w:rPr>
      </w:r>
    </w:p>
    <w:p>
      <w:pPr>
        <w:spacing w:line="265" w:lineRule="auto" w:before="138"/>
        <w:ind w:left="100" w:right="66" w:firstLine="0"/>
        <w:jc w:val="left"/>
        <w:rPr>
          <w:rFonts w:ascii="Segoe UI" w:hAnsi="Segoe UI" w:cs="Segoe UI" w:eastAsia="Segoe UI"/>
          <w:sz w:val="19"/>
          <w:szCs w:val="19"/>
        </w:rPr>
      </w:pPr>
      <w:r>
        <w:rPr/>
        <w:pict>
          <v:group style="position:absolute;margin-left:85.039398pt;margin-top:209.127151pt;width:209.8pt;height:2pt;mso-position-horizontal-relative:page;mso-position-vertical-relative:paragraph;z-index:4528" coordorigin="1701,4183" coordsize="4196,40">
            <v:group style="position:absolute;left:1801;top:4203;width:4036;height:2" coordorigin="1801,4203" coordsize="4036,2">
              <v:shape style="position:absolute;left:1801;top:4203;width:4036;height:2" coordorigin="1801,4203" coordsize="4036,0" path="m1801,4203l5836,4203e" filled="false" stroked="true" strokeweight="2pt" strokecolor="#67973f">
                <v:path arrowok="t"/>
                <v:stroke dashstyle="dash"/>
              </v:shape>
            </v:group>
            <v:group style="position:absolute;left:1721;top:4203;width:2;height:2" coordorigin="1721,4203" coordsize="2,2">
              <v:shape style="position:absolute;left:1721;top:4203;width:2;height:2" coordorigin="1721,4203" coordsize="0,0" path="m1721,4203l1721,4203e" filled="false" stroked="true" strokeweight="2pt" strokecolor="#67973f">
                <v:path arrowok="t"/>
              </v:shape>
            </v:group>
            <v:group style="position:absolute;left:5876;top:4203;width:2;height:2" coordorigin="5876,4203" coordsize="2,2">
              <v:shape style="position:absolute;left:5876;top:4203;width:2;height:2" coordorigin="5876,4203" coordsize="0,0" path="m5876,4203l5876,4203e" filled="false" stroked="true" strokeweight="2pt" strokecolor="#67973f">
                <v:path arrowok="t"/>
              </v:shape>
            </v:group>
            <w10:wrap type="none"/>
          </v:group>
        </w:pict>
      </w:r>
      <w:r>
        <w:rPr>
          <w:rFonts w:ascii="Segoe UI" w:hAnsi="Segoe UI" w:cs="Segoe UI" w:eastAsia="Segoe UI"/>
          <w:color w:val="67973F"/>
          <w:sz w:val="19"/>
          <w:szCs w:val="19"/>
        </w:rPr>
        <w:t>The</w:t>
      </w:r>
      <w:r>
        <w:rPr>
          <w:rFonts w:ascii="Segoe UI" w:hAnsi="Segoe UI" w:cs="Segoe UI" w:eastAsia="Segoe UI"/>
          <w:color w:val="67973F"/>
          <w:spacing w:val="-7"/>
          <w:sz w:val="19"/>
          <w:szCs w:val="19"/>
        </w:rPr>
        <w:t> </w:t>
      </w:r>
      <w:r>
        <w:rPr>
          <w:rFonts w:ascii="Segoe UI" w:hAnsi="Segoe UI" w:cs="Segoe UI" w:eastAsia="Segoe UI"/>
          <w:color w:val="67973F"/>
          <w:spacing w:val="-1"/>
          <w:sz w:val="19"/>
          <w:szCs w:val="19"/>
        </w:rPr>
        <w:t>Central</w:t>
      </w:r>
      <w:r>
        <w:rPr>
          <w:rFonts w:ascii="Segoe UI" w:hAnsi="Segoe UI" w:cs="Segoe UI" w:eastAsia="Segoe UI"/>
          <w:color w:val="67973F"/>
          <w:spacing w:val="-6"/>
          <w:sz w:val="19"/>
          <w:szCs w:val="19"/>
        </w:rPr>
        <w:t> </w:t>
      </w:r>
      <w:r>
        <w:rPr>
          <w:rFonts w:ascii="Segoe UI" w:hAnsi="Segoe UI" w:cs="Segoe UI" w:eastAsia="Segoe UI"/>
          <w:color w:val="67973F"/>
          <w:sz w:val="19"/>
          <w:szCs w:val="19"/>
        </w:rPr>
        <w:t>Land</w:t>
      </w:r>
      <w:r>
        <w:rPr>
          <w:rFonts w:ascii="Segoe UI" w:hAnsi="Segoe UI" w:cs="Segoe UI" w:eastAsia="Segoe UI"/>
          <w:color w:val="67973F"/>
          <w:spacing w:val="-7"/>
          <w:sz w:val="19"/>
          <w:szCs w:val="19"/>
        </w:rPr>
        <w:t> </w:t>
      </w:r>
      <w:r>
        <w:rPr>
          <w:rFonts w:ascii="Segoe UI" w:hAnsi="Segoe UI" w:cs="Segoe UI" w:eastAsia="Segoe UI"/>
          <w:color w:val="67973F"/>
          <w:spacing w:val="-1"/>
          <w:sz w:val="19"/>
          <w:szCs w:val="19"/>
        </w:rPr>
        <w:t>Council’s</w:t>
      </w:r>
      <w:r>
        <w:rPr>
          <w:rFonts w:ascii="Segoe UI" w:hAnsi="Segoe UI" w:cs="Segoe UI" w:eastAsia="Segoe UI"/>
          <w:color w:val="67973F"/>
          <w:spacing w:val="-6"/>
          <w:sz w:val="19"/>
          <w:szCs w:val="19"/>
        </w:rPr>
        <w:t> </w:t>
      </w:r>
      <w:r>
        <w:rPr>
          <w:rFonts w:ascii="Segoe UI" w:hAnsi="Segoe UI" w:cs="Segoe UI" w:eastAsia="Segoe UI"/>
          <w:color w:val="67973F"/>
          <w:sz w:val="19"/>
          <w:szCs w:val="19"/>
        </w:rPr>
        <w:t>charitable</w:t>
      </w:r>
      <w:r>
        <w:rPr>
          <w:rFonts w:ascii="Segoe UI" w:hAnsi="Segoe UI" w:cs="Segoe UI" w:eastAsia="Segoe UI"/>
          <w:color w:val="67973F"/>
          <w:spacing w:val="-7"/>
          <w:sz w:val="19"/>
          <w:szCs w:val="19"/>
        </w:rPr>
        <w:t> </w:t>
      </w:r>
      <w:r>
        <w:rPr>
          <w:rFonts w:ascii="Segoe UI" w:hAnsi="Segoe UI" w:cs="Segoe UI" w:eastAsia="Segoe UI"/>
          <w:color w:val="67973F"/>
          <w:spacing w:val="-1"/>
          <w:sz w:val="19"/>
          <w:szCs w:val="19"/>
        </w:rPr>
        <w:t>Centrecorp</w:t>
      </w:r>
      <w:r>
        <w:rPr>
          <w:rFonts w:ascii="Segoe UI" w:hAnsi="Segoe UI" w:cs="Segoe UI" w:eastAsia="Segoe UI"/>
          <w:color w:val="67973F"/>
          <w:spacing w:val="22"/>
          <w:w w:val="99"/>
          <w:sz w:val="19"/>
          <w:szCs w:val="19"/>
        </w:rPr>
        <w:t> </w:t>
      </w:r>
      <w:r>
        <w:rPr>
          <w:rFonts w:ascii="Segoe UI" w:hAnsi="Segoe UI" w:cs="Segoe UI" w:eastAsia="Segoe UI"/>
          <w:color w:val="67973F"/>
          <w:spacing w:val="-1"/>
          <w:sz w:val="19"/>
          <w:szCs w:val="19"/>
        </w:rPr>
        <w:t>Foundation</w:t>
      </w:r>
      <w:r>
        <w:rPr>
          <w:rFonts w:ascii="Segoe UI" w:hAnsi="Segoe UI" w:cs="Segoe UI" w:eastAsia="Segoe UI"/>
          <w:color w:val="67973F"/>
          <w:spacing w:val="-5"/>
          <w:sz w:val="19"/>
          <w:szCs w:val="19"/>
        </w:rPr>
        <w:t> </w:t>
      </w:r>
      <w:r>
        <w:rPr>
          <w:rFonts w:ascii="Segoe UI" w:hAnsi="Segoe UI" w:cs="Segoe UI" w:eastAsia="Segoe UI"/>
          <w:color w:val="67973F"/>
          <w:sz w:val="19"/>
          <w:szCs w:val="19"/>
        </w:rPr>
        <w:t>has</w:t>
      </w:r>
      <w:r>
        <w:rPr>
          <w:rFonts w:ascii="Segoe UI" w:hAnsi="Segoe UI" w:cs="Segoe UI" w:eastAsia="Segoe UI"/>
          <w:color w:val="67973F"/>
          <w:spacing w:val="-6"/>
          <w:sz w:val="19"/>
          <w:szCs w:val="19"/>
        </w:rPr>
        <w:t> </w:t>
      </w:r>
      <w:r>
        <w:rPr>
          <w:rFonts w:ascii="Segoe UI" w:hAnsi="Segoe UI" w:cs="Segoe UI" w:eastAsia="Segoe UI"/>
          <w:color w:val="67973F"/>
          <w:sz w:val="19"/>
          <w:szCs w:val="19"/>
        </w:rPr>
        <w:t>a</w:t>
      </w:r>
      <w:r>
        <w:rPr>
          <w:rFonts w:ascii="Segoe UI" w:hAnsi="Segoe UI" w:cs="Segoe UI" w:eastAsia="Segoe UI"/>
          <w:color w:val="67973F"/>
          <w:spacing w:val="-6"/>
          <w:sz w:val="19"/>
          <w:szCs w:val="19"/>
        </w:rPr>
        <w:t> </w:t>
      </w:r>
      <w:r>
        <w:rPr>
          <w:rFonts w:ascii="Segoe UI" w:hAnsi="Segoe UI" w:cs="Segoe UI" w:eastAsia="Segoe UI"/>
          <w:color w:val="67973F"/>
          <w:sz w:val="19"/>
          <w:szCs w:val="19"/>
        </w:rPr>
        <w:t>community</w:t>
      </w:r>
      <w:r>
        <w:rPr>
          <w:rFonts w:ascii="Segoe UI" w:hAnsi="Segoe UI" w:cs="Segoe UI" w:eastAsia="Segoe UI"/>
          <w:color w:val="67973F"/>
          <w:spacing w:val="-6"/>
          <w:sz w:val="19"/>
          <w:szCs w:val="19"/>
        </w:rPr>
        <w:t> </w:t>
      </w:r>
      <w:r>
        <w:rPr>
          <w:rFonts w:ascii="Segoe UI" w:hAnsi="Segoe UI" w:cs="Segoe UI" w:eastAsia="Segoe UI"/>
          <w:color w:val="67973F"/>
          <w:sz w:val="19"/>
          <w:szCs w:val="19"/>
        </w:rPr>
        <w:t>development</w:t>
      </w:r>
      <w:r>
        <w:rPr>
          <w:rFonts w:ascii="Segoe UI" w:hAnsi="Segoe UI" w:cs="Segoe UI" w:eastAsia="Segoe UI"/>
          <w:color w:val="67973F"/>
          <w:spacing w:val="22"/>
          <w:w w:val="99"/>
          <w:sz w:val="19"/>
          <w:szCs w:val="19"/>
        </w:rPr>
        <w:t> </w:t>
      </w:r>
      <w:r>
        <w:rPr>
          <w:rFonts w:ascii="Segoe UI" w:hAnsi="Segoe UI" w:cs="Segoe UI" w:eastAsia="Segoe UI"/>
          <w:color w:val="67973F"/>
          <w:sz w:val="19"/>
          <w:szCs w:val="19"/>
        </w:rPr>
        <w:t>program</w:t>
      </w:r>
      <w:r>
        <w:rPr>
          <w:rFonts w:ascii="Segoe UI" w:hAnsi="Segoe UI" w:cs="Segoe UI" w:eastAsia="Segoe UI"/>
          <w:color w:val="67973F"/>
          <w:spacing w:val="-6"/>
          <w:sz w:val="19"/>
          <w:szCs w:val="19"/>
        </w:rPr>
        <w:t> </w:t>
      </w:r>
      <w:r>
        <w:rPr>
          <w:rFonts w:ascii="Segoe UI" w:hAnsi="Segoe UI" w:cs="Segoe UI" w:eastAsia="Segoe UI"/>
          <w:color w:val="67973F"/>
          <w:sz w:val="19"/>
          <w:szCs w:val="19"/>
        </w:rPr>
        <w:t>that</w:t>
      </w:r>
      <w:r>
        <w:rPr>
          <w:rFonts w:ascii="Segoe UI" w:hAnsi="Segoe UI" w:cs="Segoe UI" w:eastAsia="Segoe UI"/>
          <w:color w:val="67973F"/>
          <w:spacing w:val="-5"/>
          <w:sz w:val="19"/>
          <w:szCs w:val="19"/>
        </w:rPr>
        <w:t> </w:t>
      </w:r>
      <w:r>
        <w:rPr>
          <w:rFonts w:ascii="Segoe UI" w:hAnsi="Segoe UI" w:cs="Segoe UI" w:eastAsia="Segoe UI"/>
          <w:color w:val="67973F"/>
          <w:sz w:val="19"/>
          <w:szCs w:val="19"/>
        </w:rPr>
        <w:t>funds</w:t>
      </w:r>
      <w:r>
        <w:rPr>
          <w:rFonts w:ascii="Segoe UI" w:hAnsi="Segoe UI" w:cs="Segoe UI" w:eastAsia="Segoe UI"/>
          <w:color w:val="67973F"/>
          <w:spacing w:val="-4"/>
          <w:sz w:val="19"/>
          <w:szCs w:val="19"/>
        </w:rPr>
        <w:t> </w:t>
      </w:r>
      <w:r>
        <w:rPr>
          <w:rFonts w:ascii="Segoe UI" w:hAnsi="Segoe UI" w:cs="Segoe UI" w:eastAsia="Segoe UI"/>
          <w:color w:val="67973F"/>
          <w:sz w:val="19"/>
          <w:szCs w:val="19"/>
        </w:rPr>
        <w:t>education</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scholarships</w:t>
      </w:r>
      <w:r>
        <w:rPr>
          <w:rFonts w:ascii="Segoe UI" w:hAnsi="Segoe UI" w:cs="Segoe UI" w:eastAsia="Segoe UI"/>
          <w:color w:val="67973F"/>
          <w:spacing w:val="-4"/>
          <w:sz w:val="19"/>
          <w:szCs w:val="19"/>
        </w:rPr>
        <w:t> </w:t>
      </w:r>
      <w:r>
        <w:rPr>
          <w:rFonts w:ascii="Segoe UI" w:hAnsi="Segoe UI" w:cs="Segoe UI" w:eastAsia="Segoe UI"/>
          <w:color w:val="67973F"/>
          <w:sz w:val="19"/>
          <w:szCs w:val="19"/>
        </w:rPr>
        <w:t>for</w:t>
      </w:r>
      <w:r>
        <w:rPr>
          <w:rFonts w:ascii="Segoe UI" w:hAnsi="Segoe UI" w:cs="Segoe UI" w:eastAsia="Segoe UI"/>
          <w:color w:val="67973F"/>
          <w:spacing w:val="22"/>
          <w:w w:val="99"/>
          <w:sz w:val="19"/>
          <w:szCs w:val="19"/>
        </w:rPr>
        <w:t> </w:t>
      </w:r>
      <w:r>
        <w:rPr>
          <w:rFonts w:ascii="Segoe UI" w:hAnsi="Segoe UI" w:cs="Segoe UI" w:eastAsia="Segoe UI"/>
          <w:color w:val="67973F"/>
          <w:spacing w:val="-1"/>
          <w:sz w:val="19"/>
          <w:szCs w:val="19"/>
        </w:rPr>
        <w:t>Central</w:t>
      </w:r>
      <w:r>
        <w:rPr>
          <w:rFonts w:ascii="Segoe UI" w:hAnsi="Segoe UI" w:cs="Segoe UI" w:eastAsia="Segoe UI"/>
          <w:color w:val="67973F"/>
          <w:spacing w:val="-8"/>
          <w:sz w:val="19"/>
          <w:szCs w:val="19"/>
        </w:rPr>
        <w:t> </w:t>
      </w:r>
      <w:r>
        <w:rPr>
          <w:rFonts w:ascii="Segoe UI" w:hAnsi="Segoe UI" w:cs="Segoe UI" w:eastAsia="Segoe UI"/>
          <w:color w:val="67973F"/>
          <w:sz w:val="19"/>
          <w:szCs w:val="19"/>
        </w:rPr>
        <w:t>Australian</w:t>
      </w:r>
      <w:r>
        <w:rPr>
          <w:rFonts w:ascii="Segoe UI" w:hAnsi="Segoe UI" w:cs="Segoe UI" w:eastAsia="Segoe UI"/>
          <w:color w:val="67973F"/>
          <w:spacing w:val="-8"/>
          <w:sz w:val="19"/>
          <w:szCs w:val="19"/>
        </w:rPr>
        <w:t> </w:t>
      </w:r>
      <w:r>
        <w:rPr>
          <w:rFonts w:ascii="Segoe UI" w:hAnsi="Segoe UI" w:cs="Segoe UI" w:eastAsia="Segoe UI"/>
          <w:color w:val="67973F"/>
          <w:sz w:val="19"/>
          <w:szCs w:val="19"/>
        </w:rPr>
        <w:t>Aboriginal</w:t>
      </w:r>
      <w:r>
        <w:rPr>
          <w:rFonts w:ascii="Segoe UI" w:hAnsi="Segoe UI" w:cs="Segoe UI" w:eastAsia="Segoe UI"/>
          <w:color w:val="67973F"/>
          <w:spacing w:val="-7"/>
          <w:sz w:val="19"/>
          <w:szCs w:val="19"/>
        </w:rPr>
        <w:t> </w:t>
      </w:r>
      <w:r>
        <w:rPr>
          <w:rFonts w:ascii="Segoe UI" w:hAnsi="Segoe UI" w:cs="Segoe UI" w:eastAsia="Segoe UI"/>
          <w:color w:val="67973F"/>
          <w:sz w:val="19"/>
          <w:szCs w:val="19"/>
        </w:rPr>
        <w:t>people.</w:t>
      </w:r>
      <w:r>
        <w:rPr>
          <w:rFonts w:ascii="Segoe UI" w:hAnsi="Segoe UI" w:cs="Segoe UI" w:eastAsia="Segoe UI"/>
          <w:color w:val="67973F"/>
          <w:spacing w:val="-9"/>
          <w:sz w:val="19"/>
          <w:szCs w:val="19"/>
        </w:rPr>
        <w:t> </w:t>
      </w:r>
      <w:r>
        <w:rPr>
          <w:rFonts w:ascii="Segoe UI" w:hAnsi="Segoe UI" w:cs="Segoe UI" w:eastAsia="Segoe UI"/>
          <w:color w:val="67973F"/>
          <w:sz w:val="19"/>
          <w:szCs w:val="19"/>
        </w:rPr>
        <w:t>‘It</w:t>
      </w:r>
      <w:r>
        <w:rPr>
          <w:rFonts w:ascii="Segoe UI" w:hAnsi="Segoe UI" w:cs="Segoe UI" w:eastAsia="Segoe UI"/>
          <w:color w:val="67973F"/>
          <w:spacing w:val="-7"/>
          <w:sz w:val="19"/>
          <w:szCs w:val="19"/>
        </w:rPr>
        <w:t> </w:t>
      </w:r>
      <w:r>
        <w:rPr>
          <w:rFonts w:ascii="Segoe UI" w:hAnsi="Segoe UI" w:cs="Segoe UI" w:eastAsia="Segoe UI"/>
          <w:color w:val="67973F"/>
          <w:sz w:val="19"/>
          <w:szCs w:val="19"/>
        </w:rPr>
        <w:t>provides</w:t>
      </w:r>
      <w:r>
        <w:rPr>
          <w:rFonts w:ascii="Segoe UI" w:hAnsi="Segoe UI" w:cs="Segoe UI" w:eastAsia="Segoe UI"/>
          <w:color w:val="67973F"/>
          <w:spacing w:val="22"/>
          <w:w w:val="99"/>
          <w:sz w:val="19"/>
          <w:szCs w:val="19"/>
        </w:rPr>
        <w:t> </w:t>
      </w:r>
      <w:r>
        <w:rPr>
          <w:rFonts w:ascii="Segoe UI" w:hAnsi="Segoe UI" w:cs="Segoe UI" w:eastAsia="Segoe UI"/>
          <w:color w:val="67973F"/>
          <w:sz w:val="19"/>
          <w:szCs w:val="19"/>
        </w:rPr>
        <w:t>assistance</w:t>
      </w:r>
      <w:r>
        <w:rPr>
          <w:rFonts w:ascii="Segoe UI" w:hAnsi="Segoe UI" w:cs="Segoe UI" w:eastAsia="Segoe UI"/>
          <w:color w:val="67973F"/>
          <w:spacing w:val="-6"/>
          <w:sz w:val="19"/>
          <w:szCs w:val="19"/>
        </w:rPr>
        <w:t> </w:t>
      </w:r>
      <w:r>
        <w:rPr>
          <w:rFonts w:ascii="Segoe UI" w:hAnsi="Segoe UI" w:cs="Segoe UI" w:eastAsia="Segoe UI"/>
          <w:color w:val="67973F"/>
          <w:sz w:val="19"/>
          <w:szCs w:val="19"/>
        </w:rPr>
        <w:t>to</w:t>
      </w:r>
      <w:r>
        <w:rPr>
          <w:rFonts w:ascii="Segoe UI" w:hAnsi="Segoe UI" w:cs="Segoe UI" w:eastAsia="Segoe UI"/>
          <w:color w:val="67973F"/>
          <w:spacing w:val="-5"/>
          <w:sz w:val="19"/>
          <w:szCs w:val="19"/>
        </w:rPr>
        <w:t> </w:t>
      </w:r>
      <w:r>
        <w:rPr>
          <w:rFonts w:ascii="Segoe UI" w:hAnsi="Segoe UI" w:cs="Segoe UI" w:eastAsia="Segoe UI"/>
          <w:color w:val="67973F"/>
          <w:sz w:val="19"/>
          <w:szCs w:val="19"/>
        </w:rPr>
        <w:t>youths</w:t>
      </w:r>
      <w:r>
        <w:rPr>
          <w:rFonts w:ascii="Segoe UI" w:hAnsi="Segoe UI" w:cs="Segoe UI" w:eastAsia="Segoe UI"/>
          <w:color w:val="67973F"/>
          <w:spacing w:val="-6"/>
          <w:sz w:val="19"/>
          <w:szCs w:val="19"/>
        </w:rPr>
        <w:t> </w:t>
      </w:r>
      <w:r>
        <w:rPr>
          <w:rFonts w:ascii="Segoe UI" w:hAnsi="Segoe UI" w:cs="Segoe UI" w:eastAsia="Segoe UI"/>
          <w:color w:val="67973F"/>
          <w:sz w:val="19"/>
          <w:szCs w:val="19"/>
        </w:rPr>
        <w:t>from</w:t>
      </w:r>
      <w:r>
        <w:rPr>
          <w:rFonts w:ascii="Segoe UI" w:hAnsi="Segoe UI" w:cs="Segoe UI" w:eastAsia="Segoe UI"/>
          <w:color w:val="67973F"/>
          <w:spacing w:val="-4"/>
          <w:sz w:val="19"/>
          <w:szCs w:val="19"/>
        </w:rPr>
        <w:t> </w:t>
      </w:r>
      <w:r>
        <w:rPr>
          <w:rFonts w:ascii="Segoe UI" w:hAnsi="Segoe UI" w:cs="Segoe UI" w:eastAsia="Segoe UI"/>
          <w:color w:val="67973F"/>
          <w:sz w:val="19"/>
          <w:szCs w:val="19"/>
        </w:rPr>
        <w:t>disadvantaged</w:t>
      </w:r>
      <w:r>
        <w:rPr>
          <w:rFonts w:ascii="Segoe UI" w:hAnsi="Segoe UI" w:cs="Segoe UI" w:eastAsia="Segoe UI"/>
          <w:color w:val="67973F"/>
          <w:spacing w:val="-6"/>
          <w:sz w:val="19"/>
          <w:szCs w:val="19"/>
        </w:rPr>
        <w:t> </w:t>
      </w:r>
      <w:r>
        <w:rPr>
          <w:rFonts w:ascii="Segoe UI" w:hAnsi="Segoe UI" w:cs="Segoe UI" w:eastAsia="Segoe UI"/>
          <w:color w:val="67973F"/>
          <w:sz w:val="19"/>
          <w:szCs w:val="19"/>
        </w:rPr>
        <w:t>families</w:t>
      </w:r>
      <w:r>
        <w:rPr>
          <w:rFonts w:ascii="Segoe UI" w:hAnsi="Segoe UI" w:cs="Segoe UI" w:eastAsia="Segoe UI"/>
          <w:color w:val="67973F"/>
          <w:sz w:val="19"/>
          <w:szCs w:val="19"/>
        </w:rPr>
        <w:t> who</w:t>
      </w:r>
      <w:r>
        <w:rPr>
          <w:rFonts w:ascii="Segoe UI" w:hAnsi="Segoe UI" w:cs="Segoe UI" w:eastAsia="Segoe UI"/>
          <w:color w:val="67973F"/>
          <w:spacing w:val="-6"/>
          <w:sz w:val="19"/>
          <w:szCs w:val="19"/>
        </w:rPr>
        <w:t> </w:t>
      </w:r>
      <w:r>
        <w:rPr>
          <w:rFonts w:ascii="Segoe UI" w:hAnsi="Segoe UI" w:cs="Segoe UI" w:eastAsia="Segoe UI"/>
          <w:color w:val="67973F"/>
          <w:spacing w:val="-1"/>
          <w:sz w:val="19"/>
          <w:szCs w:val="19"/>
        </w:rPr>
        <w:t>might</w:t>
      </w:r>
      <w:r>
        <w:rPr>
          <w:rFonts w:ascii="Segoe UI" w:hAnsi="Segoe UI" w:cs="Segoe UI" w:eastAsia="Segoe UI"/>
          <w:color w:val="67973F"/>
          <w:spacing w:val="-4"/>
          <w:sz w:val="19"/>
          <w:szCs w:val="19"/>
        </w:rPr>
        <w:t> </w:t>
      </w:r>
      <w:r>
        <w:rPr>
          <w:rFonts w:ascii="Segoe UI" w:hAnsi="Segoe UI" w:cs="Segoe UI" w:eastAsia="Segoe UI"/>
          <w:color w:val="67973F"/>
          <w:sz w:val="19"/>
          <w:szCs w:val="19"/>
        </w:rPr>
        <w:t>otherwise</w:t>
      </w:r>
      <w:r>
        <w:rPr>
          <w:rFonts w:ascii="Segoe UI" w:hAnsi="Segoe UI" w:cs="Segoe UI" w:eastAsia="Segoe UI"/>
          <w:color w:val="67973F"/>
          <w:spacing w:val="-6"/>
          <w:sz w:val="19"/>
          <w:szCs w:val="19"/>
        </w:rPr>
        <w:t> </w:t>
      </w:r>
      <w:r>
        <w:rPr>
          <w:rFonts w:ascii="Segoe UI" w:hAnsi="Segoe UI" w:cs="Segoe UI" w:eastAsia="Segoe UI"/>
          <w:color w:val="67973F"/>
          <w:sz w:val="19"/>
          <w:szCs w:val="19"/>
        </w:rPr>
        <w:t>be</w:t>
      </w:r>
      <w:r>
        <w:rPr>
          <w:rFonts w:ascii="Segoe UI" w:hAnsi="Segoe UI" w:cs="Segoe UI" w:eastAsia="Segoe UI"/>
          <w:color w:val="67973F"/>
          <w:spacing w:val="-4"/>
          <w:sz w:val="19"/>
          <w:szCs w:val="19"/>
        </w:rPr>
        <w:t> </w:t>
      </w:r>
      <w:r>
        <w:rPr>
          <w:rFonts w:ascii="Segoe UI" w:hAnsi="Segoe UI" w:cs="Segoe UI" w:eastAsia="Segoe UI"/>
          <w:color w:val="67973F"/>
          <w:sz w:val="19"/>
          <w:szCs w:val="19"/>
        </w:rPr>
        <w:t>unable</w:t>
      </w:r>
      <w:r>
        <w:rPr>
          <w:rFonts w:ascii="Segoe UI" w:hAnsi="Segoe UI" w:cs="Segoe UI" w:eastAsia="Segoe UI"/>
          <w:color w:val="67973F"/>
          <w:spacing w:val="-5"/>
          <w:sz w:val="19"/>
          <w:szCs w:val="19"/>
        </w:rPr>
        <w:t> </w:t>
      </w:r>
      <w:r>
        <w:rPr>
          <w:rFonts w:ascii="Segoe UI" w:hAnsi="Segoe UI" w:cs="Segoe UI" w:eastAsia="Segoe UI"/>
          <w:color w:val="67973F"/>
          <w:sz w:val="19"/>
          <w:szCs w:val="19"/>
        </w:rPr>
        <w:t>to</w:t>
      </w:r>
      <w:r>
        <w:rPr>
          <w:rFonts w:ascii="Segoe UI" w:hAnsi="Segoe UI" w:cs="Segoe UI" w:eastAsia="Segoe UI"/>
          <w:color w:val="67973F"/>
          <w:spacing w:val="-5"/>
          <w:sz w:val="19"/>
          <w:szCs w:val="19"/>
        </w:rPr>
        <w:t> </w:t>
      </w:r>
      <w:r>
        <w:rPr>
          <w:rFonts w:ascii="Segoe UI" w:hAnsi="Segoe UI" w:cs="Segoe UI" w:eastAsia="Segoe UI"/>
          <w:color w:val="67973F"/>
          <w:sz w:val="19"/>
          <w:szCs w:val="19"/>
        </w:rPr>
        <w:t>pursue</w:t>
      </w:r>
      <w:r>
        <w:rPr>
          <w:rFonts w:ascii="Segoe UI" w:hAnsi="Segoe UI" w:cs="Segoe UI" w:eastAsia="Segoe UI"/>
          <w:color w:val="67973F"/>
          <w:spacing w:val="-5"/>
          <w:sz w:val="19"/>
          <w:szCs w:val="19"/>
        </w:rPr>
        <w:t> </w:t>
      </w:r>
      <w:r>
        <w:rPr>
          <w:rFonts w:ascii="Segoe UI" w:hAnsi="Segoe UI" w:cs="Segoe UI" w:eastAsia="Segoe UI"/>
          <w:color w:val="67973F"/>
          <w:sz w:val="19"/>
          <w:szCs w:val="19"/>
        </w:rPr>
        <w:t>their</w:t>
      </w:r>
      <w:r>
        <w:rPr>
          <w:rFonts w:ascii="Segoe UI" w:hAnsi="Segoe UI" w:cs="Segoe UI" w:eastAsia="Segoe UI"/>
          <w:color w:val="67973F"/>
          <w:spacing w:val="21"/>
          <w:w w:val="99"/>
          <w:sz w:val="19"/>
          <w:szCs w:val="19"/>
        </w:rPr>
        <w:t> </w:t>
      </w:r>
      <w:r>
        <w:rPr>
          <w:rFonts w:ascii="Segoe UI" w:hAnsi="Segoe UI" w:cs="Segoe UI" w:eastAsia="Segoe UI"/>
          <w:color w:val="67973F"/>
          <w:sz w:val="19"/>
          <w:szCs w:val="19"/>
        </w:rPr>
        <w:t>aspirations</w:t>
      </w:r>
      <w:r>
        <w:rPr>
          <w:rFonts w:ascii="Segoe UI" w:hAnsi="Segoe UI" w:cs="Segoe UI" w:eastAsia="Segoe UI"/>
          <w:color w:val="67973F"/>
          <w:spacing w:val="-7"/>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6"/>
          <w:sz w:val="19"/>
          <w:szCs w:val="19"/>
        </w:rPr>
        <w:t> </w:t>
      </w:r>
      <w:r>
        <w:rPr>
          <w:rFonts w:ascii="Segoe UI" w:hAnsi="Segoe UI" w:cs="Segoe UI" w:eastAsia="Segoe UI"/>
          <w:color w:val="67973F"/>
          <w:sz w:val="19"/>
          <w:szCs w:val="19"/>
        </w:rPr>
        <w:t>abilities</w:t>
      </w:r>
      <w:r>
        <w:rPr>
          <w:rFonts w:ascii="Segoe UI" w:hAnsi="Segoe UI" w:cs="Segoe UI" w:eastAsia="Segoe UI"/>
          <w:color w:val="67973F"/>
          <w:spacing w:val="-6"/>
          <w:sz w:val="19"/>
          <w:szCs w:val="19"/>
        </w:rPr>
        <w:t> </w:t>
      </w:r>
      <w:r>
        <w:rPr>
          <w:rFonts w:ascii="Segoe UI" w:hAnsi="Segoe UI" w:cs="Segoe UI" w:eastAsia="Segoe UI"/>
          <w:color w:val="67973F"/>
          <w:sz w:val="19"/>
          <w:szCs w:val="19"/>
        </w:rPr>
        <w:t>at</w:t>
      </w:r>
      <w:r>
        <w:rPr>
          <w:rFonts w:ascii="Segoe UI" w:hAnsi="Segoe UI" w:cs="Segoe UI" w:eastAsia="Segoe UI"/>
          <w:color w:val="67973F"/>
          <w:spacing w:val="-6"/>
          <w:sz w:val="19"/>
          <w:szCs w:val="19"/>
        </w:rPr>
        <w:t> </w:t>
      </w:r>
      <w:r>
        <w:rPr>
          <w:rFonts w:ascii="Segoe UI" w:hAnsi="Segoe UI" w:cs="Segoe UI" w:eastAsia="Segoe UI"/>
          <w:color w:val="67973F"/>
          <w:sz w:val="19"/>
          <w:szCs w:val="19"/>
        </w:rPr>
        <w:t>primary</w:t>
      </w:r>
      <w:r>
        <w:rPr>
          <w:rFonts w:ascii="Segoe UI" w:hAnsi="Segoe UI" w:cs="Segoe UI" w:eastAsia="Segoe UI"/>
          <w:color w:val="67973F"/>
          <w:spacing w:val="-6"/>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6"/>
          <w:sz w:val="19"/>
          <w:szCs w:val="19"/>
        </w:rPr>
        <w:t> </w:t>
      </w:r>
      <w:r>
        <w:rPr>
          <w:rFonts w:ascii="Segoe UI" w:hAnsi="Segoe UI" w:cs="Segoe UI" w:eastAsia="Segoe UI"/>
          <w:color w:val="67973F"/>
          <w:spacing w:val="-1"/>
          <w:sz w:val="19"/>
          <w:szCs w:val="19"/>
        </w:rPr>
        <w:t>secondary</w:t>
      </w:r>
      <w:r>
        <w:rPr>
          <w:rFonts w:ascii="Segoe UI" w:hAnsi="Segoe UI" w:cs="Segoe UI" w:eastAsia="Segoe UI"/>
          <w:color w:val="67973F"/>
          <w:spacing w:val="20"/>
          <w:w w:val="99"/>
          <w:sz w:val="19"/>
          <w:szCs w:val="19"/>
        </w:rPr>
        <w:t> </w:t>
      </w:r>
      <w:r>
        <w:rPr>
          <w:rFonts w:ascii="Segoe UI" w:hAnsi="Segoe UI" w:cs="Segoe UI" w:eastAsia="Segoe UI"/>
          <w:color w:val="67973F"/>
          <w:spacing w:val="-1"/>
          <w:sz w:val="19"/>
          <w:szCs w:val="19"/>
        </w:rPr>
        <w:t>school,</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including</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boarding.’</w:t>
      </w:r>
      <w:r>
        <w:rPr>
          <w:rFonts w:ascii="Segoe UI" w:hAnsi="Segoe UI" w:cs="Segoe UI" w:eastAsia="Segoe UI"/>
          <w:color w:val="67973F"/>
          <w:spacing w:val="-1"/>
          <w:position w:val="6"/>
          <w:sz w:val="11"/>
          <w:szCs w:val="11"/>
        </w:rPr>
        <w:t>124</w:t>
      </w:r>
      <w:r>
        <w:rPr>
          <w:rFonts w:ascii="Segoe UI" w:hAnsi="Segoe UI" w:cs="Segoe UI" w:eastAsia="Segoe UI"/>
          <w:color w:val="67973F"/>
          <w:spacing w:val="16"/>
          <w:position w:val="6"/>
          <w:sz w:val="11"/>
          <w:szCs w:val="11"/>
        </w:rPr>
        <w:t> </w:t>
      </w:r>
      <w:r>
        <w:rPr>
          <w:rFonts w:ascii="Segoe UI" w:hAnsi="Segoe UI" w:cs="Segoe UI" w:eastAsia="Segoe UI"/>
          <w:color w:val="67973F"/>
          <w:sz w:val="19"/>
          <w:szCs w:val="19"/>
        </w:rPr>
        <w:t>The</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maximum</w:t>
      </w:r>
      <w:r>
        <w:rPr>
          <w:rFonts w:ascii="Segoe UI" w:hAnsi="Segoe UI" w:cs="Segoe UI" w:eastAsia="Segoe UI"/>
          <w:color w:val="67973F"/>
          <w:spacing w:val="28"/>
          <w:sz w:val="19"/>
          <w:szCs w:val="19"/>
        </w:rPr>
        <w:t> </w:t>
      </w:r>
      <w:r>
        <w:rPr>
          <w:rFonts w:ascii="Segoe UI" w:hAnsi="Segoe UI" w:cs="Segoe UI" w:eastAsia="Segoe UI"/>
          <w:color w:val="67973F"/>
          <w:sz w:val="19"/>
          <w:szCs w:val="19"/>
        </w:rPr>
        <w:t>amount</w:t>
      </w:r>
      <w:r>
        <w:rPr>
          <w:rFonts w:ascii="Segoe UI" w:hAnsi="Segoe UI" w:cs="Segoe UI" w:eastAsia="Segoe UI"/>
          <w:color w:val="67973F"/>
          <w:spacing w:val="-7"/>
          <w:sz w:val="19"/>
          <w:szCs w:val="19"/>
        </w:rPr>
        <w:t> </w:t>
      </w:r>
      <w:r>
        <w:rPr>
          <w:rFonts w:ascii="Segoe UI" w:hAnsi="Segoe UI" w:cs="Segoe UI" w:eastAsia="Segoe UI"/>
          <w:color w:val="67973F"/>
          <w:sz w:val="19"/>
          <w:szCs w:val="19"/>
        </w:rPr>
        <w:t>of</w:t>
      </w:r>
      <w:r>
        <w:rPr>
          <w:rFonts w:ascii="Segoe UI" w:hAnsi="Segoe UI" w:cs="Segoe UI" w:eastAsia="Segoe UI"/>
          <w:color w:val="67973F"/>
          <w:spacing w:val="-5"/>
          <w:sz w:val="19"/>
          <w:szCs w:val="19"/>
        </w:rPr>
        <w:t> </w:t>
      </w:r>
      <w:r>
        <w:rPr>
          <w:rFonts w:ascii="Segoe UI" w:hAnsi="Segoe UI" w:cs="Segoe UI" w:eastAsia="Segoe UI"/>
          <w:color w:val="67973F"/>
          <w:sz w:val="19"/>
          <w:szCs w:val="19"/>
        </w:rPr>
        <w:t>funding</w:t>
      </w:r>
      <w:r>
        <w:rPr>
          <w:rFonts w:ascii="Segoe UI" w:hAnsi="Segoe UI" w:cs="Segoe UI" w:eastAsia="Segoe UI"/>
          <w:color w:val="67973F"/>
          <w:spacing w:val="-5"/>
          <w:sz w:val="19"/>
          <w:szCs w:val="19"/>
        </w:rPr>
        <w:t> </w:t>
      </w:r>
      <w:r>
        <w:rPr>
          <w:rFonts w:ascii="Segoe UI" w:hAnsi="Segoe UI" w:cs="Segoe UI" w:eastAsia="Segoe UI"/>
          <w:color w:val="67973F"/>
          <w:sz w:val="19"/>
          <w:szCs w:val="19"/>
        </w:rPr>
        <w:t>for</w:t>
      </w:r>
      <w:r>
        <w:rPr>
          <w:rFonts w:ascii="Segoe UI" w:hAnsi="Segoe UI" w:cs="Segoe UI" w:eastAsia="Segoe UI"/>
          <w:color w:val="67973F"/>
          <w:spacing w:val="-6"/>
          <w:sz w:val="19"/>
          <w:szCs w:val="19"/>
        </w:rPr>
        <w:t> </w:t>
      </w:r>
      <w:r>
        <w:rPr>
          <w:rFonts w:ascii="Segoe UI" w:hAnsi="Segoe UI" w:cs="Segoe UI" w:eastAsia="Segoe UI"/>
          <w:color w:val="67973F"/>
          <w:spacing w:val="-1"/>
          <w:sz w:val="19"/>
          <w:szCs w:val="19"/>
        </w:rPr>
        <w:t>inter</w:t>
      </w:r>
      <w:r>
        <w:rPr>
          <w:rFonts w:ascii="Segoe UI" w:hAnsi="Segoe UI" w:cs="Segoe UI" w:eastAsia="Segoe UI"/>
          <w:color w:val="67973F"/>
          <w:spacing w:val="-5"/>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6"/>
          <w:sz w:val="19"/>
          <w:szCs w:val="19"/>
        </w:rPr>
        <w:t> </w:t>
      </w:r>
      <w:r>
        <w:rPr>
          <w:rFonts w:ascii="Segoe UI" w:hAnsi="Segoe UI" w:cs="Segoe UI" w:eastAsia="Segoe UI"/>
          <w:color w:val="67973F"/>
          <w:spacing w:val="-1"/>
          <w:sz w:val="19"/>
          <w:szCs w:val="19"/>
        </w:rPr>
        <w:t>intrastate</w:t>
      </w:r>
      <w:r>
        <w:rPr>
          <w:rFonts w:ascii="Segoe UI" w:hAnsi="Segoe UI" w:cs="Segoe UI" w:eastAsia="Segoe UI"/>
          <w:color w:val="67973F"/>
          <w:spacing w:val="21"/>
          <w:w w:val="99"/>
          <w:sz w:val="19"/>
          <w:szCs w:val="19"/>
        </w:rPr>
        <w:t> </w:t>
      </w:r>
      <w:r>
        <w:rPr>
          <w:rFonts w:ascii="Segoe UI" w:hAnsi="Segoe UI" w:cs="Segoe UI" w:eastAsia="Segoe UI"/>
          <w:color w:val="67973F"/>
          <w:sz w:val="19"/>
          <w:szCs w:val="19"/>
        </w:rPr>
        <w:t>boarding</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is</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$10,000</w:t>
      </w:r>
      <w:r>
        <w:rPr>
          <w:rFonts w:ascii="Segoe UI" w:hAnsi="Segoe UI" w:cs="Segoe UI" w:eastAsia="Segoe UI"/>
          <w:color w:val="67973F"/>
          <w:spacing w:val="-3"/>
          <w:sz w:val="19"/>
          <w:szCs w:val="19"/>
        </w:rPr>
        <w:t> </w:t>
      </w:r>
      <w:r>
        <w:rPr>
          <w:rFonts w:ascii="Segoe UI" w:hAnsi="Segoe UI" w:cs="Segoe UI" w:eastAsia="Segoe UI"/>
          <w:color w:val="67973F"/>
          <w:sz w:val="19"/>
          <w:szCs w:val="19"/>
        </w:rPr>
        <w:t>per</w:t>
      </w:r>
      <w:r>
        <w:rPr>
          <w:rFonts w:ascii="Segoe UI" w:hAnsi="Segoe UI" w:cs="Segoe UI" w:eastAsia="Segoe UI"/>
          <w:color w:val="67973F"/>
          <w:spacing w:val="-2"/>
          <w:sz w:val="19"/>
          <w:szCs w:val="19"/>
        </w:rPr>
        <w:t> </w:t>
      </w:r>
      <w:r>
        <w:rPr>
          <w:rFonts w:ascii="Segoe UI" w:hAnsi="Segoe UI" w:cs="Segoe UI" w:eastAsia="Segoe UI"/>
          <w:color w:val="67973F"/>
          <w:spacing w:val="-1"/>
          <w:sz w:val="19"/>
          <w:szCs w:val="19"/>
        </w:rPr>
        <w:t>annum.</w:t>
      </w:r>
      <w:r>
        <w:rPr>
          <w:rFonts w:ascii="Segoe UI" w:hAnsi="Segoe UI" w:cs="Segoe UI" w:eastAsia="Segoe UI"/>
          <w:color w:val="67973F"/>
          <w:spacing w:val="-1"/>
          <w:position w:val="6"/>
          <w:sz w:val="11"/>
          <w:szCs w:val="11"/>
        </w:rPr>
        <w:t>125</w:t>
      </w:r>
      <w:r>
        <w:rPr>
          <w:rFonts w:ascii="Segoe UI" w:hAnsi="Segoe UI" w:cs="Segoe UI" w:eastAsia="Segoe UI"/>
          <w:color w:val="67973F"/>
          <w:spacing w:val="18"/>
          <w:position w:val="6"/>
          <w:sz w:val="11"/>
          <w:szCs w:val="11"/>
        </w:rPr>
        <w:t> </w:t>
      </w:r>
      <w:r>
        <w:rPr>
          <w:rFonts w:ascii="Segoe UI" w:hAnsi="Segoe UI" w:cs="Segoe UI" w:eastAsia="Segoe UI"/>
          <w:color w:val="67973F"/>
          <w:spacing w:val="-4"/>
          <w:sz w:val="19"/>
          <w:szCs w:val="19"/>
        </w:rPr>
        <w:t>S</w:t>
      </w:r>
      <w:r>
        <w:rPr>
          <w:rFonts w:ascii="Segoe UI" w:hAnsi="Segoe UI" w:cs="Segoe UI" w:eastAsia="Segoe UI"/>
          <w:color w:val="67973F"/>
          <w:spacing w:val="-5"/>
          <w:sz w:val="19"/>
          <w:szCs w:val="19"/>
        </w:rPr>
        <w:t>t</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Philips</w:t>
      </w:r>
      <w:r>
        <w:rPr>
          <w:rFonts w:ascii="Segoe UI" w:hAnsi="Segoe UI" w:cs="Segoe UI" w:eastAsia="Segoe UI"/>
          <w:color w:val="67973F"/>
          <w:spacing w:val="22"/>
          <w:sz w:val="19"/>
          <w:szCs w:val="19"/>
        </w:rPr>
        <w:t> </w:t>
      </w:r>
      <w:r>
        <w:rPr>
          <w:rFonts w:ascii="Segoe UI" w:hAnsi="Segoe UI" w:cs="Segoe UI" w:eastAsia="Segoe UI"/>
          <w:color w:val="67973F"/>
          <w:spacing w:val="-1"/>
          <w:sz w:val="19"/>
          <w:szCs w:val="19"/>
        </w:rPr>
        <w:t>College</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in</w:t>
      </w:r>
      <w:r>
        <w:rPr>
          <w:rFonts w:ascii="Segoe UI" w:hAnsi="Segoe UI" w:cs="Segoe UI" w:eastAsia="Segoe UI"/>
          <w:color w:val="67973F"/>
          <w:spacing w:val="-2"/>
          <w:sz w:val="19"/>
          <w:szCs w:val="19"/>
        </w:rPr>
        <w:t> </w:t>
      </w:r>
      <w:r>
        <w:rPr>
          <w:rFonts w:ascii="Segoe UI" w:hAnsi="Segoe UI" w:cs="Segoe UI" w:eastAsia="Segoe UI"/>
          <w:color w:val="67973F"/>
          <w:sz w:val="19"/>
          <w:szCs w:val="19"/>
        </w:rPr>
        <w:t>Alice</w:t>
      </w:r>
      <w:r>
        <w:rPr>
          <w:rFonts w:ascii="Segoe UI" w:hAnsi="Segoe UI" w:cs="Segoe UI" w:eastAsia="Segoe UI"/>
          <w:color w:val="67973F"/>
          <w:spacing w:val="-2"/>
          <w:sz w:val="19"/>
          <w:szCs w:val="19"/>
        </w:rPr>
        <w:t> </w:t>
      </w:r>
      <w:r>
        <w:rPr>
          <w:rFonts w:ascii="Segoe UI" w:hAnsi="Segoe UI" w:cs="Segoe UI" w:eastAsia="Segoe UI"/>
          <w:color w:val="67973F"/>
          <w:spacing w:val="-1"/>
          <w:sz w:val="19"/>
          <w:szCs w:val="19"/>
        </w:rPr>
        <w:t>Springs</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indicated</w:t>
      </w:r>
      <w:r>
        <w:rPr>
          <w:rFonts w:ascii="Segoe UI" w:hAnsi="Segoe UI" w:cs="Segoe UI" w:eastAsia="Segoe UI"/>
          <w:color w:val="67973F"/>
          <w:spacing w:val="-2"/>
          <w:sz w:val="19"/>
          <w:szCs w:val="19"/>
        </w:rPr>
        <w:t> </w:t>
      </w:r>
      <w:r>
        <w:rPr>
          <w:rFonts w:ascii="Segoe UI" w:hAnsi="Segoe UI" w:cs="Segoe UI" w:eastAsia="Segoe UI"/>
          <w:color w:val="67973F"/>
          <w:sz w:val="19"/>
          <w:szCs w:val="19"/>
        </w:rPr>
        <w:t>that</w:t>
      </w:r>
      <w:r>
        <w:rPr>
          <w:rFonts w:ascii="Segoe UI" w:hAnsi="Segoe UI" w:cs="Segoe UI" w:eastAsia="Segoe UI"/>
          <w:color w:val="67973F"/>
          <w:spacing w:val="-3"/>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25"/>
          <w:w w:val="99"/>
          <w:sz w:val="19"/>
          <w:szCs w:val="19"/>
        </w:rPr>
        <w:t> </w:t>
      </w:r>
      <w:r>
        <w:rPr>
          <w:rFonts w:ascii="Segoe UI" w:hAnsi="Segoe UI" w:cs="Segoe UI" w:eastAsia="Segoe UI"/>
          <w:color w:val="67973F"/>
          <w:spacing w:val="-1"/>
          <w:sz w:val="19"/>
          <w:szCs w:val="19"/>
        </w:rPr>
        <w:t>Centrecorp</w:t>
      </w:r>
      <w:r>
        <w:rPr>
          <w:rFonts w:ascii="Segoe UI" w:hAnsi="Segoe UI" w:cs="Segoe UI" w:eastAsia="Segoe UI"/>
          <w:color w:val="67973F"/>
          <w:spacing w:val="-6"/>
          <w:sz w:val="19"/>
          <w:szCs w:val="19"/>
        </w:rPr>
        <w:t> </w:t>
      </w:r>
      <w:r>
        <w:rPr>
          <w:rFonts w:ascii="Segoe UI" w:hAnsi="Segoe UI" w:cs="Segoe UI" w:eastAsia="Segoe UI"/>
          <w:color w:val="67973F"/>
          <w:spacing w:val="-1"/>
          <w:sz w:val="19"/>
          <w:szCs w:val="19"/>
        </w:rPr>
        <w:t>scholarships</w:t>
      </w:r>
      <w:r>
        <w:rPr>
          <w:rFonts w:ascii="Segoe UI" w:hAnsi="Segoe UI" w:cs="Segoe UI" w:eastAsia="Segoe UI"/>
          <w:color w:val="67973F"/>
          <w:spacing w:val="-5"/>
          <w:sz w:val="19"/>
          <w:szCs w:val="19"/>
        </w:rPr>
        <w:t> </w:t>
      </w:r>
      <w:r>
        <w:rPr>
          <w:rFonts w:ascii="Segoe UI" w:hAnsi="Segoe UI" w:cs="Segoe UI" w:eastAsia="Segoe UI"/>
          <w:color w:val="67973F"/>
          <w:sz w:val="19"/>
          <w:szCs w:val="19"/>
        </w:rPr>
        <w:t>are</w:t>
      </w:r>
      <w:r>
        <w:rPr>
          <w:rFonts w:ascii="Segoe UI" w:hAnsi="Segoe UI" w:cs="Segoe UI" w:eastAsia="Segoe UI"/>
          <w:color w:val="67973F"/>
          <w:spacing w:val="-7"/>
          <w:sz w:val="19"/>
          <w:szCs w:val="19"/>
        </w:rPr>
        <w:t> </w:t>
      </w:r>
      <w:r>
        <w:rPr>
          <w:rFonts w:ascii="Segoe UI" w:hAnsi="Segoe UI" w:cs="Segoe UI" w:eastAsia="Segoe UI"/>
          <w:color w:val="67973F"/>
          <w:sz w:val="19"/>
          <w:szCs w:val="19"/>
        </w:rPr>
        <w:t>an</w:t>
      </w:r>
      <w:r>
        <w:rPr>
          <w:rFonts w:ascii="Segoe UI" w:hAnsi="Segoe UI" w:cs="Segoe UI" w:eastAsia="Segoe UI"/>
          <w:color w:val="67973F"/>
          <w:spacing w:val="-7"/>
          <w:sz w:val="19"/>
          <w:szCs w:val="19"/>
        </w:rPr>
        <w:t> </w:t>
      </w:r>
      <w:r>
        <w:rPr>
          <w:rFonts w:ascii="Segoe UI" w:hAnsi="Segoe UI" w:cs="Segoe UI" w:eastAsia="Segoe UI"/>
          <w:color w:val="67973F"/>
          <w:spacing w:val="-1"/>
          <w:sz w:val="19"/>
          <w:szCs w:val="19"/>
        </w:rPr>
        <w:t>important</w:t>
      </w:r>
      <w:r>
        <w:rPr>
          <w:rFonts w:ascii="Segoe UI" w:hAnsi="Segoe UI" w:cs="Segoe UI" w:eastAsia="Segoe UI"/>
          <w:color w:val="67973F"/>
          <w:spacing w:val="-5"/>
          <w:sz w:val="19"/>
          <w:szCs w:val="19"/>
        </w:rPr>
        <w:t> </w:t>
      </w:r>
      <w:r>
        <w:rPr>
          <w:rFonts w:ascii="Segoe UI" w:hAnsi="Segoe UI" w:cs="Segoe UI" w:eastAsia="Segoe UI"/>
          <w:color w:val="67973F"/>
          <w:sz w:val="19"/>
          <w:szCs w:val="19"/>
        </w:rPr>
        <w:t>funding</w:t>
      </w:r>
      <w:r>
        <w:rPr>
          <w:rFonts w:ascii="Segoe UI" w:hAnsi="Segoe UI" w:cs="Segoe UI" w:eastAsia="Segoe UI"/>
          <w:color w:val="67973F"/>
          <w:spacing w:val="24"/>
          <w:w w:val="99"/>
          <w:sz w:val="19"/>
          <w:szCs w:val="19"/>
        </w:rPr>
        <w:t> </w:t>
      </w:r>
      <w:r>
        <w:rPr>
          <w:rFonts w:ascii="Segoe UI" w:hAnsi="Segoe UI" w:cs="Segoe UI" w:eastAsia="Segoe UI"/>
          <w:color w:val="67973F"/>
          <w:spacing w:val="-1"/>
          <w:sz w:val="19"/>
          <w:szCs w:val="19"/>
        </w:rPr>
        <w:t>source</w:t>
      </w:r>
      <w:r>
        <w:rPr>
          <w:rFonts w:ascii="Segoe UI" w:hAnsi="Segoe UI" w:cs="Segoe UI" w:eastAsia="Segoe UI"/>
          <w:color w:val="67973F"/>
          <w:spacing w:val="-4"/>
          <w:sz w:val="19"/>
          <w:szCs w:val="19"/>
        </w:rPr>
        <w:t> </w:t>
      </w:r>
      <w:r>
        <w:rPr>
          <w:rFonts w:ascii="Segoe UI" w:hAnsi="Segoe UI" w:cs="Segoe UI" w:eastAsia="Segoe UI"/>
          <w:color w:val="67973F"/>
          <w:sz w:val="19"/>
          <w:szCs w:val="19"/>
        </w:rPr>
        <w:t>for</w:t>
      </w:r>
      <w:r>
        <w:rPr>
          <w:rFonts w:ascii="Segoe UI" w:hAnsi="Segoe UI" w:cs="Segoe UI" w:eastAsia="Segoe UI"/>
          <w:color w:val="67973F"/>
          <w:spacing w:val="-4"/>
          <w:sz w:val="19"/>
          <w:szCs w:val="19"/>
        </w:rPr>
        <w:t> </w:t>
      </w:r>
      <w:r>
        <w:rPr>
          <w:rFonts w:ascii="Segoe UI" w:hAnsi="Segoe UI" w:cs="Segoe UI" w:eastAsia="Segoe UI"/>
          <w:color w:val="67973F"/>
          <w:sz w:val="19"/>
          <w:szCs w:val="19"/>
        </w:rPr>
        <w:t>Aboriginal</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students</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seeking</w:t>
      </w:r>
      <w:r>
        <w:rPr>
          <w:rFonts w:ascii="Segoe UI" w:hAnsi="Segoe UI" w:cs="Segoe UI" w:eastAsia="Segoe UI"/>
          <w:color w:val="67973F"/>
          <w:spacing w:val="-4"/>
          <w:sz w:val="19"/>
          <w:szCs w:val="19"/>
        </w:rPr>
        <w:t> </w:t>
      </w:r>
      <w:r>
        <w:rPr>
          <w:rFonts w:ascii="Segoe UI" w:hAnsi="Segoe UI" w:cs="Segoe UI" w:eastAsia="Segoe UI"/>
          <w:color w:val="67973F"/>
          <w:sz w:val="19"/>
          <w:szCs w:val="19"/>
        </w:rPr>
        <w:t>to</w:t>
      </w:r>
      <w:r>
        <w:rPr>
          <w:rFonts w:ascii="Segoe UI" w:hAnsi="Segoe UI" w:cs="Segoe UI" w:eastAsia="Segoe UI"/>
          <w:color w:val="67973F"/>
          <w:spacing w:val="-4"/>
          <w:sz w:val="19"/>
          <w:szCs w:val="19"/>
        </w:rPr>
        <w:t> </w:t>
      </w:r>
      <w:r>
        <w:rPr>
          <w:rFonts w:ascii="Segoe UI" w:hAnsi="Segoe UI" w:cs="Segoe UI" w:eastAsia="Segoe UI"/>
          <w:color w:val="67973F"/>
          <w:sz w:val="19"/>
          <w:szCs w:val="19"/>
        </w:rPr>
        <w:t>board</w:t>
      </w:r>
      <w:r>
        <w:rPr>
          <w:rFonts w:ascii="Segoe UI" w:hAnsi="Segoe UI" w:cs="Segoe UI" w:eastAsia="Segoe UI"/>
          <w:color w:val="67973F"/>
          <w:spacing w:val="24"/>
          <w:w w:val="99"/>
          <w:sz w:val="19"/>
          <w:szCs w:val="19"/>
        </w:rPr>
        <w:t> </w:t>
      </w:r>
      <w:r>
        <w:rPr>
          <w:rFonts w:ascii="Segoe UI" w:hAnsi="Segoe UI" w:cs="Segoe UI" w:eastAsia="Segoe UI"/>
          <w:color w:val="67973F"/>
          <w:sz w:val="19"/>
          <w:szCs w:val="19"/>
        </w:rPr>
        <w:t>at</w:t>
      </w:r>
      <w:r>
        <w:rPr>
          <w:rFonts w:ascii="Segoe UI" w:hAnsi="Segoe UI" w:cs="Segoe UI" w:eastAsia="Segoe UI"/>
          <w:color w:val="67973F"/>
          <w:spacing w:val="-6"/>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6"/>
          <w:sz w:val="19"/>
          <w:szCs w:val="19"/>
        </w:rPr>
        <w:t> </w:t>
      </w:r>
      <w:r>
        <w:rPr>
          <w:rFonts w:ascii="Segoe UI" w:hAnsi="Segoe UI" w:cs="Segoe UI" w:eastAsia="Segoe UI"/>
          <w:color w:val="67973F"/>
          <w:sz w:val="19"/>
          <w:szCs w:val="19"/>
        </w:rPr>
        <w:t>college.</w:t>
      </w:r>
      <w:r>
        <w:rPr>
          <w:rFonts w:ascii="Segoe UI" w:hAnsi="Segoe UI" w:cs="Segoe UI" w:eastAsia="Segoe UI"/>
          <w:sz w:val="19"/>
          <w:szCs w:val="19"/>
        </w:rPr>
      </w:r>
    </w:p>
    <w:p>
      <w:pPr>
        <w:pStyle w:val="BodyText"/>
        <w:spacing w:line="250" w:lineRule="exact" w:before="62"/>
        <w:ind w:left="100" w:right="132"/>
        <w:jc w:val="left"/>
      </w:pPr>
      <w:r>
        <w:rPr/>
        <w:br w:type="column"/>
      </w:r>
      <w:r>
        <w:rPr>
          <w:color w:val="231F20"/>
        </w:rPr>
        <w:t>The</w:t>
      </w:r>
      <w:r>
        <w:rPr>
          <w:color w:val="231F20"/>
          <w:spacing w:val="-4"/>
        </w:rPr>
        <w:t> </w:t>
      </w:r>
      <w:r>
        <w:rPr>
          <w:color w:val="231F20"/>
          <w:spacing w:val="-1"/>
        </w:rPr>
        <w:t>2018–19</w:t>
      </w:r>
      <w:r>
        <w:rPr>
          <w:color w:val="231F20"/>
          <w:spacing w:val="-4"/>
        </w:rPr>
        <w:t> </w:t>
      </w:r>
      <w:r>
        <w:rPr>
          <w:color w:val="231F20"/>
          <w:spacing w:val="-1"/>
        </w:rPr>
        <w:t>Budget</w:t>
      </w:r>
      <w:r>
        <w:rPr>
          <w:color w:val="231F20"/>
          <w:spacing w:val="-4"/>
        </w:rPr>
        <w:t> </w:t>
      </w:r>
      <w:r>
        <w:rPr>
          <w:color w:val="231F20"/>
        </w:rPr>
        <w:t>Measure</w:t>
      </w:r>
      <w:r>
        <w:rPr>
          <w:color w:val="231F20"/>
          <w:spacing w:val="-5"/>
        </w:rPr>
        <w:t> </w:t>
      </w:r>
      <w:r>
        <w:rPr>
          <w:color w:val="231F20"/>
        </w:rPr>
        <w:t>for</w:t>
      </w:r>
      <w:r>
        <w:rPr>
          <w:color w:val="231F20"/>
          <w:spacing w:val="-4"/>
        </w:rPr>
        <w:t> </w:t>
      </w:r>
      <w:r>
        <w:rPr>
          <w:color w:val="231F20"/>
        </w:rPr>
        <w:t>ABSTUDY</w:t>
      </w:r>
      <w:r>
        <w:rPr>
          <w:color w:val="231F20"/>
          <w:spacing w:val="23"/>
        </w:rPr>
        <w:t> </w:t>
      </w:r>
      <w:r>
        <w:rPr>
          <w:color w:val="231F20"/>
          <w:spacing w:val="-1"/>
        </w:rPr>
        <w:t>included</w:t>
      </w:r>
      <w:r>
        <w:rPr>
          <w:color w:val="231F20"/>
          <w:spacing w:val="-6"/>
        </w:rPr>
        <w:t> </w:t>
      </w:r>
      <w:r>
        <w:rPr>
          <w:color w:val="231F20"/>
        </w:rPr>
        <w:t>positive</w:t>
      </w:r>
      <w:r>
        <w:rPr>
          <w:color w:val="231F20"/>
          <w:spacing w:val="-7"/>
        </w:rPr>
        <w:t> </w:t>
      </w:r>
      <w:r>
        <w:rPr>
          <w:color w:val="231F20"/>
        </w:rPr>
        <w:t>changes</w:t>
      </w:r>
      <w:r>
        <w:rPr>
          <w:color w:val="231F20"/>
          <w:spacing w:val="-7"/>
        </w:rPr>
        <w:t> </w:t>
      </w:r>
      <w:r>
        <w:rPr>
          <w:color w:val="231F20"/>
        </w:rPr>
        <w:t>welcomed</w:t>
      </w:r>
      <w:r>
        <w:rPr>
          <w:color w:val="231F20"/>
          <w:spacing w:val="-6"/>
        </w:rPr>
        <w:t> </w:t>
      </w:r>
      <w:r>
        <w:rPr>
          <w:color w:val="231F20"/>
        </w:rPr>
        <w:t>by</w:t>
      </w:r>
      <w:r>
        <w:rPr>
          <w:color w:val="231F20"/>
          <w:spacing w:val="-6"/>
        </w:rPr>
        <w:t> </w:t>
      </w:r>
      <w:r>
        <w:rPr>
          <w:color w:val="231F20"/>
        </w:rPr>
        <w:t>the</w:t>
      </w:r>
      <w:r>
        <w:rPr>
          <w:color w:val="231F20"/>
          <w:spacing w:val="22"/>
          <w:w w:val="99"/>
        </w:rPr>
        <w:t> </w:t>
      </w:r>
      <w:r>
        <w:rPr>
          <w:color w:val="231F20"/>
          <w:spacing w:val="-1"/>
        </w:rPr>
        <w:t>sector</w:t>
      </w:r>
      <w:r>
        <w:rPr>
          <w:color w:val="231F20"/>
          <w:spacing w:val="-6"/>
        </w:rPr>
        <w:t> </w:t>
      </w:r>
      <w:r>
        <w:rPr>
          <w:color w:val="231F20"/>
        </w:rPr>
        <w:t>regarding</w:t>
      </w:r>
      <w:r>
        <w:rPr>
          <w:color w:val="231F20"/>
          <w:spacing w:val="-6"/>
        </w:rPr>
        <w:t> </w:t>
      </w:r>
      <w:r>
        <w:rPr>
          <w:color w:val="231F20"/>
        </w:rPr>
        <w:t>the</w:t>
      </w:r>
      <w:r>
        <w:rPr>
          <w:color w:val="231F20"/>
          <w:spacing w:val="-7"/>
        </w:rPr>
        <w:t> </w:t>
      </w:r>
      <w:r>
        <w:rPr>
          <w:color w:val="231F20"/>
        </w:rPr>
        <w:t>treatment</w:t>
      </w:r>
      <w:r>
        <w:rPr>
          <w:color w:val="231F20"/>
          <w:spacing w:val="-6"/>
        </w:rPr>
        <w:t> </w:t>
      </w:r>
      <w:r>
        <w:rPr>
          <w:color w:val="231F20"/>
        </w:rPr>
        <w:t>of</w:t>
      </w:r>
      <w:r>
        <w:rPr>
          <w:color w:val="231F20"/>
          <w:spacing w:val="-6"/>
        </w:rPr>
        <w:t> </w:t>
      </w:r>
      <w:r>
        <w:rPr>
          <w:color w:val="231F20"/>
          <w:spacing w:val="-1"/>
        </w:rPr>
        <w:t>scholarships:</w:t>
      </w:r>
      <w:r>
        <w:rPr/>
      </w:r>
    </w:p>
    <w:p>
      <w:pPr>
        <w:pStyle w:val="Heading6"/>
        <w:spacing w:line="250" w:lineRule="exact" w:before="113"/>
        <w:ind w:left="554" w:right="567"/>
        <w:jc w:val="left"/>
        <w:rPr>
          <w:b w:val="0"/>
          <w:bCs w:val="0"/>
        </w:rPr>
      </w:pPr>
      <w:r>
        <w:rPr>
          <w:rFonts w:ascii="Segoe UI"/>
          <w:color w:val="00779B"/>
        </w:rPr>
        <w:t>Simplified </w:t>
      </w:r>
      <w:r>
        <w:rPr>
          <w:rFonts w:ascii="Segoe UI"/>
          <w:color w:val="00779B"/>
          <w:spacing w:val="-1"/>
        </w:rPr>
        <w:t>criteria</w:t>
      </w:r>
      <w:r>
        <w:rPr>
          <w:rFonts w:ascii="Segoe UI"/>
          <w:color w:val="00779B"/>
        </w:rPr>
        <w:t> and guidelines</w:t>
      </w:r>
      <w:r>
        <w:rPr>
          <w:rFonts w:ascii="Segoe UI"/>
          <w:color w:val="00779B"/>
          <w:spacing w:val="27"/>
        </w:rPr>
        <w:t> </w:t>
      </w:r>
      <w:r>
        <w:rPr>
          <w:color w:val="00779B"/>
          <w:spacing w:val="-1"/>
        </w:rPr>
        <w:t>for</w:t>
      </w:r>
      <w:r>
        <w:rPr>
          <w:color w:val="00779B"/>
        </w:rPr>
        <w:t> </w:t>
      </w:r>
      <w:r>
        <w:rPr>
          <w:color w:val="00779B"/>
          <w:spacing w:val="-1"/>
        </w:rPr>
        <w:t>approval</w:t>
      </w:r>
      <w:r>
        <w:rPr>
          <w:color w:val="00779B"/>
        </w:rPr>
        <w:t> </w:t>
      </w:r>
      <w:r>
        <w:rPr>
          <w:color w:val="00779B"/>
          <w:spacing w:val="-2"/>
        </w:rPr>
        <w:t>of</w:t>
      </w:r>
      <w:r>
        <w:rPr>
          <w:color w:val="00779B"/>
          <w:spacing w:val="-1"/>
        </w:rPr>
        <w:t> </w:t>
      </w:r>
      <w:r>
        <w:rPr>
          <w:color w:val="00779B"/>
        </w:rPr>
        <w:t>scholarships</w:t>
      </w:r>
      <w:r>
        <w:rPr>
          <w:color w:val="00779B"/>
          <w:spacing w:val="-1"/>
        </w:rPr>
        <w:t> </w:t>
      </w:r>
      <w:r>
        <w:rPr>
          <w:color w:val="00779B"/>
        </w:rPr>
        <w:t>under</w:t>
      </w:r>
      <w:r>
        <w:rPr>
          <w:color w:val="00779B"/>
          <w:spacing w:val="26"/>
        </w:rPr>
        <w:t> </w:t>
      </w:r>
      <w:r>
        <w:rPr>
          <w:color w:val="00779B"/>
          <w:spacing w:val="-1"/>
        </w:rPr>
        <w:t>ABSTUDY</w:t>
      </w:r>
      <w:r>
        <w:rPr>
          <w:b w:val="0"/>
        </w:rPr>
      </w:r>
    </w:p>
    <w:p>
      <w:pPr>
        <w:pStyle w:val="BodyText"/>
        <w:spacing w:line="250" w:lineRule="exact" w:before="113"/>
        <w:ind w:left="554" w:right="517"/>
        <w:jc w:val="left"/>
        <w:rPr>
          <w:rFonts w:ascii="Segoe UI Semibold" w:hAnsi="Segoe UI Semibold" w:cs="Segoe UI Semibold" w:eastAsia="Segoe UI Semibold"/>
        </w:rPr>
      </w:pPr>
      <w:r>
        <w:rPr>
          <w:rFonts w:ascii="Segoe UI Semibold"/>
          <w:b/>
          <w:color w:val="00779B"/>
          <w:spacing w:val="-1"/>
        </w:rPr>
        <w:t>From </w:t>
      </w:r>
      <w:r>
        <w:rPr>
          <w:rFonts w:ascii="Segoe UI Semibold"/>
          <w:b/>
          <w:color w:val="00779B"/>
        </w:rPr>
        <w:t>1</w:t>
      </w:r>
      <w:r>
        <w:rPr>
          <w:rFonts w:ascii="Segoe UI Semibold"/>
          <w:b/>
          <w:color w:val="00779B"/>
          <w:spacing w:val="-2"/>
        </w:rPr>
        <w:t> </w:t>
      </w:r>
      <w:r>
        <w:rPr>
          <w:rFonts w:ascii="Segoe UI Semibold"/>
          <w:b/>
          <w:color w:val="00779B"/>
        </w:rPr>
        <w:t>January</w:t>
      </w:r>
      <w:r>
        <w:rPr>
          <w:rFonts w:ascii="Segoe UI Semibold"/>
          <w:b/>
          <w:color w:val="00779B"/>
          <w:spacing w:val="-1"/>
        </w:rPr>
        <w:t> 2019, the</w:t>
      </w:r>
      <w:r>
        <w:rPr>
          <w:rFonts w:ascii="Segoe UI Semibold"/>
          <w:b/>
          <w:color w:val="00779B"/>
        </w:rPr>
        <w:t> </w:t>
      </w:r>
      <w:r>
        <w:rPr>
          <w:rFonts w:ascii="Segoe UI Semibold"/>
          <w:b/>
          <w:color w:val="00779B"/>
          <w:spacing w:val="-2"/>
        </w:rPr>
        <w:t>Government</w:t>
      </w:r>
      <w:r>
        <w:rPr>
          <w:rFonts w:ascii="Segoe UI Semibold"/>
          <w:b/>
          <w:color w:val="00779B"/>
          <w:spacing w:val="32"/>
        </w:rPr>
        <w:t> </w:t>
      </w:r>
      <w:r>
        <w:rPr>
          <w:rFonts w:ascii="Segoe UI Semibold"/>
          <w:b/>
          <w:color w:val="00779B"/>
          <w:spacing w:val="-1"/>
        </w:rPr>
        <w:t>will</w:t>
      </w:r>
      <w:r>
        <w:rPr>
          <w:rFonts w:ascii="Segoe UI Semibold"/>
          <w:b/>
          <w:color w:val="00779B"/>
          <w:spacing w:val="-2"/>
        </w:rPr>
        <w:t> </w:t>
      </w:r>
      <w:r>
        <w:rPr>
          <w:rFonts w:ascii="Segoe UI Semibold"/>
          <w:b/>
          <w:color w:val="00779B"/>
          <w:spacing w:val="-1"/>
        </w:rPr>
        <w:t>streamline</w:t>
      </w:r>
      <w:r>
        <w:rPr>
          <w:rFonts w:ascii="Segoe UI Semibold"/>
          <w:b/>
          <w:color w:val="00779B"/>
          <w:spacing w:val="-2"/>
        </w:rPr>
        <w:t> </w:t>
      </w:r>
      <w:r>
        <w:rPr>
          <w:rFonts w:ascii="Segoe UI Semibold"/>
          <w:b/>
          <w:color w:val="00779B"/>
          <w:spacing w:val="-1"/>
        </w:rPr>
        <w:t>the approval</w:t>
      </w:r>
      <w:r>
        <w:rPr>
          <w:rFonts w:ascii="Segoe UI Semibold"/>
          <w:b/>
          <w:color w:val="00779B"/>
          <w:spacing w:val="-3"/>
        </w:rPr>
        <w:t> </w:t>
      </w:r>
      <w:r>
        <w:rPr>
          <w:rFonts w:ascii="Segoe UI Semibold"/>
          <w:b/>
          <w:color w:val="00779B"/>
          <w:spacing w:val="-1"/>
        </w:rPr>
        <w:t>process</w:t>
      </w:r>
      <w:r>
        <w:rPr>
          <w:rFonts w:ascii="Segoe UI Semibold"/>
          <w:b/>
          <w:color w:val="00779B"/>
          <w:spacing w:val="23"/>
        </w:rPr>
        <w:t> </w:t>
      </w:r>
      <w:r>
        <w:rPr>
          <w:rFonts w:ascii="Segoe UI Semibold"/>
          <w:b/>
          <w:color w:val="00779B"/>
          <w:spacing w:val="-2"/>
        </w:rPr>
        <w:t>of</w:t>
      </w:r>
      <w:r>
        <w:rPr>
          <w:rFonts w:ascii="Segoe UI Semibold"/>
          <w:b/>
          <w:color w:val="00779B"/>
          <w:spacing w:val="-1"/>
        </w:rPr>
        <w:t> </w:t>
      </w:r>
      <w:r>
        <w:rPr>
          <w:rFonts w:ascii="Segoe UI Semibold"/>
          <w:b/>
          <w:color w:val="00779B"/>
        </w:rPr>
        <w:t>secondary</w:t>
      </w:r>
      <w:r>
        <w:rPr>
          <w:rFonts w:ascii="Segoe UI Semibold"/>
          <w:b/>
          <w:color w:val="00779B"/>
          <w:spacing w:val="-1"/>
        </w:rPr>
        <w:t> school</w:t>
      </w:r>
      <w:r>
        <w:rPr>
          <w:rFonts w:ascii="Segoe UI Semibold"/>
          <w:b/>
          <w:color w:val="00779B"/>
        </w:rPr>
        <w:t> </w:t>
      </w:r>
      <w:r>
        <w:rPr>
          <w:rFonts w:ascii="Segoe UI Semibold"/>
          <w:b/>
          <w:color w:val="00779B"/>
          <w:spacing w:val="-1"/>
        </w:rPr>
        <w:t>scholarships</w:t>
      </w:r>
      <w:r>
        <w:rPr>
          <w:rFonts w:ascii="Segoe UI Semibold"/>
          <w:b/>
          <w:color w:val="00779B"/>
        </w:rPr>
        <w:t> for</w:t>
      </w:r>
      <w:r>
        <w:rPr>
          <w:rFonts w:ascii="Segoe UI Semibold"/>
          <w:b/>
          <w:color w:val="00779B"/>
          <w:spacing w:val="26"/>
        </w:rPr>
        <w:t> </w:t>
      </w:r>
      <w:r>
        <w:rPr>
          <w:rFonts w:ascii="Segoe UI Semibold"/>
          <w:b/>
          <w:color w:val="00779B"/>
          <w:spacing w:val="-1"/>
        </w:rPr>
        <w:t>ABSTUDY</w:t>
      </w:r>
      <w:r>
        <w:rPr>
          <w:rFonts w:ascii="Segoe UI Semibold"/>
          <w:b/>
          <w:color w:val="00779B"/>
        </w:rPr>
        <w:t> assistance.</w:t>
      </w:r>
      <w:r>
        <w:rPr>
          <w:rFonts w:ascii="Segoe UI Semibold"/>
        </w:rPr>
      </w:r>
    </w:p>
    <w:p>
      <w:pPr>
        <w:pStyle w:val="BodyText"/>
        <w:spacing w:line="250" w:lineRule="exact" w:before="113"/>
        <w:ind w:left="554" w:right="459"/>
        <w:jc w:val="left"/>
        <w:rPr>
          <w:rFonts w:ascii="Segoe UI Semibold" w:hAnsi="Segoe UI Semibold" w:cs="Segoe UI Semibold" w:eastAsia="Segoe UI Semibold"/>
        </w:rPr>
      </w:pPr>
      <w:r>
        <w:rPr>
          <w:rFonts w:ascii="Segoe UI Semibold"/>
          <w:b/>
          <w:color w:val="00779B"/>
        </w:rPr>
        <w:t>A</w:t>
      </w:r>
      <w:r>
        <w:rPr>
          <w:rFonts w:ascii="Segoe UI Semibold"/>
          <w:b/>
          <w:color w:val="00779B"/>
          <w:spacing w:val="-2"/>
        </w:rPr>
        <w:t> </w:t>
      </w:r>
      <w:r>
        <w:rPr>
          <w:rFonts w:ascii="Segoe UI Semibold"/>
          <w:b/>
          <w:color w:val="00779B"/>
        </w:rPr>
        <w:t>scholarship</w:t>
      </w:r>
      <w:r>
        <w:rPr>
          <w:rFonts w:ascii="Segoe UI Semibold"/>
          <w:b/>
          <w:color w:val="00779B"/>
          <w:spacing w:val="-2"/>
        </w:rPr>
        <w:t> </w:t>
      </w:r>
      <w:r>
        <w:rPr>
          <w:rFonts w:ascii="Segoe UI Semibold"/>
          <w:b/>
          <w:color w:val="00779B"/>
          <w:spacing w:val="-1"/>
        </w:rPr>
        <w:t>offered </w:t>
      </w:r>
      <w:r>
        <w:rPr>
          <w:rFonts w:ascii="Segoe UI Semibold"/>
          <w:b/>
          <w:color w:val="00779B"/>
        </w:rPr>
        <w:t>by</w:t>
      </w:r>
      <w:r>
        <w:rPr>
          <w:rFonts w:ascii="Segoe UI Semibold"/>
          <w:b/>
          <w:color w:val="00779B"/>
          <w:spacing w:val="-2"/>
        </w:rPr>
        <w:t> </w:t>
      </w:r>
      <w:r>
        <w:rPr>
          <w:rFonts w:ascii="Segoe UI Semibold"/>
          <w:b/>
          <w:color w:val="00779B"/>
        </w:rPr>
        <w:t>an</w:t>
      </w:r>
      <w:r>
        <w:rPr>
          <w:rFonts w:ascii="Segoe UI Semibold"/>
          <w:b/>
          <w:color w:val="00779B"/>
          <w:spacing w:val="22"/>
        </w:rPr>
        <w:t> </w:t>
      </w:r>
      <w:r>
        <w:rPr>
          <w:rFonts w:ascii="Segoe UI Semibold"/>
          <w:b/>
          <w:color w:val="00779B"/>
          <w:spacing w:val="-1"/>
        </w:rPr>
        <w:t>independent</w:t>
      </w:r>
      <w:r>
        <w:rPr>
          <w:rFonts w:ascii="Segoe UI Semibold"/>
          <w:b/>
          <w:color w:val="00779B"/>
          <w:spacing w:val="-3"/>
        </w:rPr>
        <w:t> </w:t>
      </w:r>
      <w:r>
        <w:rPr>
          <w:rFonts w:ascii="Segoe UI Semibold"/>
          <w:b/>
          <w:color w:val="00779B"/>
          <w:spacing w:val="-1"/>
        </w:rPr>
        <w:t>boarding</w:t>
      </w:r>
      <w:r>
        <w:rPr>
          <w:rFonts w:ascii="Segoe UI Semibold"/>
          <w:b/>
          <w:color w:val="00779B"/>
          <w:spacing w:val="-3"/>
        </w:rPr>
        <w:t> </w:t>
      </w:r>
      <w:r>
        <w:rPr>
          <w:rFonts w:ascii="Segoe UI Semibold"/>
          <w:b/>
          <w:color w:val="00779B"/>
          <w:spacing w:val="-1"/>
        </w:rPr>
        <w:t>school</w:t>
      </w:r>
      <w:r>
        <w:rPr>
          <w:rFonts w:ascii="Segoe UI Semibold"/>
          <w:b/>
          <w:color w:val="00779B"/>
          <w:spacing w:val="-2"/>
        </w:rPr>
        <w:t> </w:t>
      </w:r>
      <w:r>
        <w:rPr>
          <w:rFonts w:ascii="Segoe UI Semibold"/>
          <w:b/>
          <w:color w:val="00779B"/>
          <w:spacing w:val="-1"/>
        </w:rPr>
        <w:t>will</w:t>
      </w:r>
      <w:r>
        <w:rPr>
          <w:rFonts w:ascii="Segoe UI Semibold"/>
          <w:b/>
          <w:color w:val="00779B"/>
          <w:spacing w:val="-2"/>
        </w:rPr>
        <w:t> </w:t>
      </w:r>
      <w:r>
        <w:rPr>
          <w:rFonts w:ascii="Segoe UI Semibold"/>
          <w:b/>
          <w:color w:val="00779B"/>
        </w:rPr>
        <w:t>be</w:t>
      </w:r>
      <w:r>
        <w:rPr>
          <w:rFonts w:ascii="Segoe UI Semibold"/>
          <w:b/>
          <w:color w:val="00779B"/>
          <w:spacing w:val="27"/>
          <w:w w:val="99"/>
        </w:rPr>
        <w:t> </w:t>
      </w:r>
      <w:r>
        <w:rPr>
          <w:rFonts w:ascii="Segoe UI Semibold"/>
          <w:b/>
          <w:color w:val="00779B"/>
          <w:spacing w:val="-1"/>
        </w:rPr>
        <w:t>approved</w:t>
      </w:r>
      <w:r>
        <w:rPr>
          <w:rFonts w:ascii="Segoe UI Semibold"/>
          <w:b/>
          <w:color w:val="00779B"/>
          <w:spacing w:val="-2"/>
        </w:rPr>
        <w:t> </w:t>
      </w:r>
      <w:r>
        <w:rPr>
          <w:rFonts w:ascii="Segoe UI Semibold"/>
          <w:b/>
          <w:color w:val="00779B"/>
        </w:rPr>
        <w:t>for</w:t>
      </w:r>
      <w:r>
        <w:rPr>
          <w:rFonts w:ascii="Segoe UI Semibold"/>
          <w:b/>
          <w:color w:val="00779B"/>
          <w:spacing w:val="-3"/>
        </w:rPr>
        <w:t> </w:t>
      </w:r>
      <w:r>
        <w:rPr>
          <w:rFonts w:ascii="Segoe UI Semibold"/>
          <w:b/>
          <w:color w:val="00779B"/>
          <w:spacing w:val="-1"/>
        </w:rPr>
        <w:t>ABSTUDY</w:t>
      </w:r>
      <w:r>
        <w:rPr>
          <w:rFonts w:ascii="Segoe UI Semibold"/>
          <w:b/>
          <w:color w:val="00779B"/>
          <w:spacing w:val="-2"/>
        </w:rPr>
        <w:t> </w:t>
      </w:r>
      <w:r>
        <w:rPr>
          <w:rFonts w:ascii="Segoe UI Semibold"/>
          <w:b/>
          <w:color w:val="00779B"/>
        </w:rPr>
        <w:t>assistance</w:t>
      </w:r>
      <w:r>
        <w:rPr>
          <w:rFonts w:ascii="Segoe UI Semibold"/>
          <w:b/>
          <w:color w:val="00779B"/>
          <w:spacing w:val="-3"/>
        </w:rPr>
        <w:t> </w:t>
      </w:r>
      <w:r>
        <w:rPr>
          <w:rFonts w:ascii="Segoe UI Semibold"/>
          <w:b/>
          <w:color w:val="00779B"/>
          <w:spacing w:val="2"/>
        </w:rPr>
        <w:t>if:</w:t>
      </w:r>
      <w:r>
        <w:rPr>
          <w:rFonts w:ascii="Segoe UI Semibold"/>
        </w:rPr>
      </w:r>
    </w:p>
    <w:p>
      <w:pPr>
        <w:pStyle w:val="BodyText"/>
        <w:spacing w:line="258" w:lineRule="exact" w:before="97"/>
        <w:ind w:left="554" w:right="0"/>
        <w:jc w:val="left"/>
        <w:rPr>
          <w:rFonts w:ascii="Segoe UI Semibold" w:hAnsi="Segoe UI Semibold" w:cs="Segoe UI Semibold" w:eastAsia="Segoe UI Semibold"/>
        </w:rPr>
      </w:pPr>
      <w:r>
        <w:rPr>
          <w:rFonts w:ascii="Segoe UI Semibold"/>
          <w:b/>
          <w:color w:val="00779B"/>
        </w:rPr>
        <w:t>&gt;</w:t>
      </w:r>
      <w:r>
        <w:rPr>
          <w:rFonts w:ascii="Segoe UI Semibold"/>
          <w:b/>
          <w:color w:val="00779B"/>
          <w:spacing w:val="-2"/>
        </w:rPr>
        <w:t> </w:t>
      </w:r>
      <w:r>
        <w:rPr>
          <w:rFonts w:ascii="Segoe UI Semibold"/>
          <w:b/>
          <w:color w:val="00779B"/>
          <w:spacing w:val="-1"/>
        </w:rPr>
        <w:t>the </w:t>
      </w:r>
      <w:r>
        <w:rPr>
          <w:rFonts w:ascii="Segoe UI Semibold"/>
          <w:b/>
          <w:color w:val="00779B"/>
        </w:rPr>
        <w:t>minimum</w:t>
      </w:r>
      <w:r>
        <w:rPr>
          <w:rFonts w:ascii="Segoe UI Semibold"/>
          <w:b/>
          <w:color w:val="00779B"/>
          <w:spacing w:val="-2"/>
        </w:rPr>
        <w:t> </w:t>
      </w:r>
      <w:r>
        <w:rPr>
          <w:rFonts w:ascii="Segoe UI Semibold"/>
          <w:b/>
          <w:color w:val="00779B"/>
          <w:spacing w:val="-1"/>
        </w:rPr>
        <w:t>scholarship</w:t>
      </w:r>
      <w:r>
        <w:rPr>
          <w:rFonts w:ascii="Segoe UI Semibold"/>
          <w:b/>
          <w:color w:val="00779B"/>
        </w:rPr>
        <w:t> </w:t>
      </w:r>
      <w:r>
        <w:rPr>
          <w:rFonts w:ascii="Segoe UI Semibold"/>
          <w:b/>
          <w:color w:val="00779B"/>
          <w:spacing w:val="-1"/>
        </w:rPr>
        <w:t>value</w:t>
      </w:r>
      <w:r>
        <w:rPr>
          <w:rFonts w:ascii="Segoe UI Semibold"/>
          <w:b/>
          <w:color w:val="00779B"/>
          <w:spacing w:val="-2"/>
        </w:rPr>
        <w:t> </w:t>
      </w:r>
      <w:r>
        <w:rPr>
          <w:rFonts w:ascii="Segoe UI Semibold"/>
          <w:b/>
          <w:color w:val="00779B"/>
          <w:spacing w:val="-1"/>
        </w:rPr>
        <w:t>is</w:t>
      </w:r>
      <w:r>
        <w:rPr>
          <w:rFonts w:ascii="Segoe UI Semibold"/>
        </w:rPr>
      </w:r>
    </w:p>
    <w:p>
      <w:pPr>
        <w:pStyle w:val="BodyText"/>
        <w:spacing w:line="258" w:lineRule="exact"/>
        <w:ind w:left="0" w:right="2071"/>
        <w:jc w:val="center"/>
        <w:rPr>
          <w:rFonts w:ascii="Segoe UI Semibold" w:hAnsi="Segoe UI Semibold" w:cs="Segoe UI Semibold" w:eastAsia="Segoe UI Semibold"/>
        </w:rPr>
      </w:pPr>
      <w:r>
        <w:rPr>
          <w:rFonts w:ascii="Segoe UI Semibold"/>
          <w:b/>
          <w:color w:val="00779B"/>
          <w:spacing w:val="-1"/>
        </w:rPr>
        <w:t>$6,000,</w:t>
      </w:r>
      <w:r>
        <w:rPr>
          <w:rFonts w:ascii="Segoe UI Semibold"/>
          <w:b/>
          <w:color w:val="00779B"/>
        </w:rPr>
        <w:t> </w:t>
      </w:r>
      <w:r>
        <w:rPr>
          <w:rFonts w:ascii="Segoe UI Semibold"/>
          <w:b/>
          <w:color w:val="00779B"/>
          <w:spacing w:val="-1"/>
        </w:rPr>
        <w:t>or</w:t>
      </w:r>
      <w:r>
        <w:rPr>
          <w:rFonts w:ascii="Segoe UI Semibold"/>
        </w:rPr>
      </w:r>
    </w:p>
    <w:p>
      <w:pPr>
        <w:pStyle w:val="BodyText"/>
        <w:spacing w:line="250" w:lineRule="exact" w:before="113"/>
        <w:ind w:left="748" w:right="203" w:hanging="194"/>
        <w:jc w:val="left"/>
        <w:rPr>
          <w:rFonts w:ascii="Segoe UI Semibold" w:hAnsi="Segoe UI Semibold" w:cs="Segoe UI Semibold" w:eastAsia="Segoe UI Semibold"/>
        </w:rPr>
      </w:pPr>
      <w:r>
        <w:rPr>
          <w:rFonts w:ascii="Segoe UI Semibold" w:hAnsi="Segoe UI Semibold" w:cs="Segoe UI Semibold" w:eastAsia="Segoe UI Semibold"/>
          <w:b/>
          <w:bCs/>
          <w:color w:val="00779B"/>
        </w:rPr>
        <w:t>&gt;</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25 percent</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2"/>
        </w:rPr>
        <w:t>of</w:t>
      </w:r>
      <w:r>
        <w:rPr>
          <w:rFonts w:ascii="Segoe UI Semibold" w:hAnsi="Segoe UI Semibold" w:cs="Segoe UI Semibold" w:eastAsia="Segoe UI Semibold"/>
          <w:b/>
          <w:bCs/>
          <w:color w:val="00779B"/>
          <w:spacing w:val="-1"/>
        </w:rPr>
        <w:t> the </w:t>
      </w:r>
      <w:r>
        <w:rPr>
          <w:rFonts w:ascii="Segoe UI Semibold" w:hAnsi="Segoe UI Semibold" w:cs="Segoe UI Semibold" w:eastAsia="Segoe UI Semibold"/>
          <w:b/>
          <w:bCs/>
          <w:color w:val="00779B"/>
          <w:spacing w:val="-3"/>
        </w:rPr>
        <w:t>school’s</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annual</w:t>
      </w:r>
      <w:r>
        <w:rPr>
          <w:rFonts w:ascii="Segoe UI Semibold" w:hAnsi="Segoe UI Semibold" w:cs="Segoe UI Semibold" w:eastAsia="Segoe UI Semibold"/>
          <w:b/>
          <w:bCs/>
          <w:color w:val="00779B"/>
          <w:spacing w:val="29"/>
        </w:rPr>
        <w:t> </w:t>
      </w:r>
      <w:r>
        <w:rPr>
          <w:rFonts w:ascii="Segoe UI Semibold" w:hAnsi="Segoe UI Semibold" w:cs="Segoe UI Semibold" w:eastAsia="Segoe UI Semibold"/>
          <w:b/>
          <w:bCs/>
          <w:color w:val="00779B"/>
          <w:spacing w:val="-1"/>
        </w:rPr>
        <w:t>boarding</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rPr>
        <w:t>and</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tuition </w:t>
      </w:r>
      <w:r>
        <w:rPr>
          <w:rFonts w:ascii="Segoe UI Semibold" w:hAnsi="Segoe UI Semibold" w:cs="Segoe UI Semibold" w:eastAsia="Segoe UI Semibold"/>
          <w:b/>
          <w:bCs/>
          <w:color w:val="00779B"/>
        </w:rPr>
        <w:t>fees</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each </w:t>
      </w:r>
      <w:r>
        <w:rPr>
          <w:rFonts w:ascii="Segoe UI Semibold" w:hAnsi="Segoe UI Semibold" w:cs="Segoe UI Semibold" w:eastAsia="Segoe UI Semibold"/>
          <w:b/>
          <w:bCs/>
          <w:color w:val="00779B"/>
          <w:spacing w:val="-4"/>
        </w:rPr>
        <w:t>year,</w:t>
      </w:r>
      <w:r>
        <w:rPr>
          <w:rFonts w:ascii="Segoe UI Semibold" w:hAnsi="Segoe UI Semibold" w:cs="Segoe UI Semibold" w:eastAsia="Segoe UI Semibold"/>
          <w:b/>
          <w:bCs/>
          <w:color w:val="00779B"/>
          <w:spacing w:val="27"/>
        </w:rPr>
        <w:t> </w:t>
      </w:r>
      <w:r>
        <w:rPr>
          <w:rFonts w:ascii="Segoe UI Semibold" w:hAnsi="Segoe UI Semibold" w:cs="Segoe UI Semibold" w:eastAsia="Segoe UI Semibold"/>
          <w:b/>
          <w:bCs/>
          <w:color w:val="00779B"/>
          <w:spacing w:val="-1"/>
        </w:rPr>
        <w:t>whichever is the</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3"/>
        </w:rPr>
        <w:t>greater.</w:t>
      </w:r>
      <w:r>
        <w:rPr>
          <w:rFonts w:ascii="Segoe UI Semibold" w:hAnsi="Segoe UI Semibold" w:cs="Segoe UI Semibold" w:eastAsia="Segoe UI Semibold"/>
        </w:rPr>
      </w:r>
    </w:p>
    <w:p>
      <w:pPr>
        <w:pStyle w:val="BodyText"/>
        <w:spacing w:line="250" w:lineRule="exact" w:before="113"/>
        <w:ind w:left="554" w:right="459"/>
        <w:jc w:val="left"/>
        <w:rPr>
          <w:rFonts w:ascii="Segoe UI Semibold" w:hAnsi="Segoe UI Semibold" w:cs="Segoe UI Semibold" w:eastAsia="Segoe UI Semibold"/>
        </w:rPr>
      </w:pPr>
      <w:r>
        <w:rPr>
          <w:rFonts w:ascii="Segoe UI Semibold"/>
          <w:b/>
          <w:color w:val="00779B"/>
        </w:rPr>
        <w:t>Secondary</w:t>
      </w:r>
      <w:r>
        <w:rPr>
          <w:rFonts w:ascii="Segoe UI Semibold"/>
          <w:b/>
          <w:color w:val="00779B"/>
          <w:spacing w:val="-1"/>
        </w:rPr>
        <w:t> students</w:t>
      </w:r>
      <w:r>
        <w:rPr>
          <w:rFonts w:ascii="Segoe UI Semibold"/>
          <w:b/>
          <w:color w:val="00779B"/>
        </w:rPr>
        <w:t> </w:t>
      </w:r>
      <w:r>
        <w:rPr>
          <w:rFonts w:ascii="Segoe UI Semibold"/>
          <w:b/>
          <w:color w:val="00779B"/>
          <w:spacing w:val="-1"/>
        </w:rPr>
        <w:t>who</w:t>
      </w:r>
      <w:r>
        <w:rPr>
          <w:rFonts w:ascii="Segoe UI Semibold"/>
          <w:b/>
          <w:color w:val="00779B"/>
        </w:rPr>
        <w:t> </w:t>
      </w:r>
      <w:r>
        <w:rPr>
          <w:rFonts w:ascii="Segoe UI Semibold"/>
          <w:b/>
          <w:color w:val="00779B"/>
          <w:spacing w:val="-1"/>
        </w:rPr>
        <w:t>are already</w:t>
      </w:r>
      <w:r>
        <w:rPr>
          <w:rFonts w:ascii="Segoe UI Semibold"/>
          <w:b/>
          <w:color w:val="00779B"/>
          <w:spacing w:val="25"/>
        </w:rPr>
        <w:t> </w:t>
      </w:r>
      <w:r>
        <w:rPr>
          <w:rFonts w:ascii="Segoe UI Semibold"/>
          <w:b/>
          <w:color w:val="00779B"/>
          <w:spacing w:val="-1"/>
        </w:rPr>
        <w:t>approved</w:t>
      </w:r>
      <w:r>
        <w:rPr>
          <w:rFonts w:ascii="Segoe UI Semibold"/>
          <w:b/>
          <w:color w:val="00779B"/>
          <w:spacing w:val="-2"/>
        </w:rPr>
        <w:t> </w:t>
      </w:r>
      <w:r>
        <w:rPr>
          <w:rFonts w:ascii="Segoe UI Semibold"/>
          <w:b/>
          <w:color w:val="00779B"/>
        </w:rPr>
        <w:t>for</w:t>
      </w:r>
      <w:r>
        <w:rPr>
          <w:rFonts w:ascii="Segoe UI Semibold"/>
          <w:b/>
          <w:color w:val="00779B"/>
          <w:spacing w:val="-3"/>
        </w:rPr>
        <w:t> </w:t>
      </w:r>
      <w:r>
        <w:rPr>
          <w:rFonts w:ascii="Segoe UI Semibold"/>
          <w:b/>
          <w:color w:val="00779B"/>
          <w:spacing w:val="-1"/>
        </w:rPr>
        <w:t>ABSTUDY </w:t>
      </w:r>
      <w:r>
        <w:rPr>
          <w:rFonts w:ascii="Segoe UI Semibold"/>
          <w:b/>
          <w:color w:val="00779B"/>
        </w:rPr>
        <w:t>assistance</w:t>
      </w:r>
      <w:r>
        <w:rPr>
          <w:rFonts w:ascii="Segoe UI Semibold"/>
          <w:b/>
          <w:color w:val="00779B"/>
          <w:spacing w:val="-3"/>
        </w:rPr>
        <w:t> </w:t>
      </w:r>
      <w:r>
        <w:rPr>
          <w:rFonts w:ascii="Segoe UI Semibold"/>
          <w:b/>
          <w:color w:val="00779B"/>
        </w:rPr>
        <w:t>for</w:t>
      </w:r>
      <w:r>
        <w:rPr>
          <w:rFonts w:ascii="Segoe UI Semibold"/>
          <w:b/>
          <w:color w:val="00779B"/>
          <w:spacing w:val="24"/>
        </w:rPr>
        <w:t> </w:t>
      </w:r>
      <w:r>
        <w:rPr>
          <w:rFonts w:ascii="Segoe UI Semibold"/>
          <w:b/>
          <w:color w:val="00779B"/>
          <w:spacing w:val="-1"/>
        </w:rPr>
        <w:t>their</w:t>
      </w:r>
      <w:r>
        <w:rPr>
          <w:rFonts w:ascii="Segoe UI Semibold"/>
          <w:b/>
          <w:color w:val="00779B"/>
          <w:spacing w:val="-3"/>
        </w:rPr>
        <w:t> </w:t>
      </w:r>
      <w:r>
        <w:rPr>
          <w:rFonts w:ascii="Segoe UI Semibold"/>
          <w:b/>
          <w:color w:val="00779B"/>
          <w:spacing w:val="-1"/>
        </w:rPr>
        <w:t>scholarship</w:t>
      </w:r>
      <w:r>
        <w:rPr>
          <w:rFonts w:ascii="Segoe UI Semibold"/>
          <w:b/>
          <w:color w:val="00779B"/>
          <w:spacing w:val="-2"/>
        </w:rPr>
        <w:t> </w:t>
      </w:r>
      <w:r>
        <w:rPr>
          <w:rFonts w:ascii="Segoe UI Semibold"/>
          <w:b/>
          <w:color w:val="00779B"/>
          <w:spacing w:val="-1"/>
        </w:rPr>
        <w:t>will</w:t>
      </w:r>
      <w:r>
        <w:rPr>
          <w:rFonts w:ascii="Segoe UI Semibold"/>
          <w:b/>
          <w:color w:val="00779B"/>
          <w:spacing w:val="-3"/>
        </w:rPr>
        <w:t> </w:t>
      </w:r>
      <w:r>
        <w:rPr>
          <w:rFonts w:ascii="Segoe UI Semibold"/>
          <w:b/>
          <w:color w:val="00779B"/>
          <w:spacing w:val="-1"/>
        </w:rPr>
        <w:t>not</w:t>
      </w:r>
      <w:r>
        <w:rPr>
          <w:rFonts w:ascii="Segoe UI Semibold"/>
          <w:b/>
          <w:color w:val="00779B"/>
          <w:spacing w:val="-2"/>
        </w:rPr>
        <w:t> </w:t>
      </w:r>
      <w:r>
        <w:rPr>
          <w:rFonts w:ascii="Segoe UI Semibold"/>
          <w:b/>
          <w:color w:val="00779B"/>
        </w:rPr>
        <w:t>be</w:t>
      </w:r>
      <w:r>
        <w:rPr>
          <w:rFonts w:ascii="Segoe UI Semibold"/>
          <w:b/>
          <w:color w:val="00779B"/>
          <w:spacing w:val="-3"/>
        </w:rPr>
        <w:t> </w:t>
      </w:r>
      <w:r>
        <w:rPr>
          <w:rFonts w:ascii="Segoe UI Semibold"/>
          <w:b/>
          <w:color w:val="00779B"/>
          <w:spacing w:val="-1"/>
        </w:rPr>
        <w:t>impacted</w:t>
      </w:r>
      <w:r>
        <w:rPr>
          <w:rFonts w:ascii="Segoe UI Semibold"/>
          <w:b/>
          <w:color w:val="00779B"/>
          <w:spacing w:val="26"/>
          <w:w w:val="99"/>
        </w:rPr>
        <w:t> </w:t>
      </w:r>
      <w:r>
        <w:rPr>
          <w:rFonts w:ascii="Segoe UI Semibold"/>
          <w:b/>
          <w:color w:val="00779B"/>
        </w:rPr>
        <w:t>by</w:t>
      </w:r>
      <w:r>
        <w:rPr>
          <w:rFonts w:ascii="Segoe UI Semibold"/>
          <w:b/>
          <w:color w:val="00779B"/>
          <w:spacing w:val="-3"/>
        </w:rPr>
        <w:t> </w:t>
      </w:r>
      <w:r>
        <w:rPr>
          <w:rFonts w:ascii="Segoe UI Semibold"/>
          <w:b/>
          <w:color w:val="00779B"/>
          <w:spacing w:val="-1"/>
        </w:rPr>
        <w:t>the change.</w:t>
      </w:r>
      <w:r>
        <w:rPr>
          <w:rFonts w:ascii="Segoe UI Semibold"/>
        </w:rPr>
      </w:r>
    </w:p>
    <w:p>
      <w:pPr>
        <w:pStyle w:val="Heading6"/>
        <w:spacing w:line="240" w:lineRule="auto" w:before="97"/>
        <w:ind w:left="554" w:right="0"/>
        <w:jc w:val="left"/>
        <w:rPr>
          <w:b w:val="0"/>
          <w:bCs w:val="0"/>
        </w:rPr>
      </w:pPr>
      <w:r>
        <w:rPr>
          <w:color w:val="00779B"/>
        </w:rPr>
        <w:t>Who</w:t>
      </w:r>
      <w:r>
        <w:rPr>
          <w:color w:val="00779B"/>
          <w:spacing w:val="-1"/>
        </w:rPr>
        <w:t> is</w:t>
      </w:r>
      <w:r>
        <w:rPr>
          <w:color w:val="00779B"/>
        </w:rPr>
        <w:t> eligible?</w:t>
      </w:r>
      <w:r>
        <w:rPr>
          <w:b w:val="0"/>
        </w:rPr>
      </w:r>
    </w:p>
    <w:p>
      <w:pPr>
        <w:pStyle w:val="BodyText"/>
        <w:spacing w:line="250" w:lineRule="exact" w:before="113"/>
        <w:ind w:left="554" w:right="390"/>
        <w:jc w:val="left"/>
        <w:rPr>
          <w:rFonts w:ascii="Segoe UI Semibold" w:hAnsi="Segoe UI Semibold" w:cs="Segoe UI Semibold" w:eastAsia="Segoe UI Semibold"/>
        </w:rPr>
      </w:pPr>
      <w:r>
        <w:rPr>
          <w:rFonts w:ascii="Segoe UI Semibold"/>
          <w:b/>
          <w:color w:val="00779B"/>
        </w:rPr>
        <w:t>This</w:t>
      </w:r>
      <w:r>
        <w:rPr>
          <w:rFonts w:ascii="Segoe UI Semibold"/>
          <w:b/>
          <w:color w:val="00779B"/>
          <w:spacing w:val="-2"/>
        </w:rPr>
        <w:t> </w:t>
      </w:r>
      <w:r>
        <w:rPr>
          <w:rFonts w:ascii="Segoe UI Semibold"/>
          <w:b/>
          <w:color w:val="00779B"/>
        </w:rPr>
        <w:t>will</w:t>
      </w:r>
      <w:r>
        <w:rPr>
          <w:rFonts w:ascii="Segoe UI Semibold"/>
          <w:b/>
          <w:color w:val="00779B"/>
          <w:spacing w:val="-1"/>
        </w:rPr>
        <w:t> </w:t>
      </w:r>
      <w:r>
        <w:rPr>
          <w:rFonts w:ascii="Segoe UI Semibold"/>
          <w:b/>
          <w:color w:val="00779B"/>
        </w:rPr>
        <w:t>affect</w:t>
      </w:r>
      <w:r>
        <w:rPr>
          <w:rFonts w:ascii="Segoe UI Semibold"/>
          <w:b/>
          <w:color w:val="00779B"/>
          <w:spacing w:val="-1"/>
        </w:rPr>
        <w:t> </w:t>
      </w:r>
      <w:r>
        <w:rPr>
          <w:rFonts w:ascii="Segoe UI Semibold"/>
          <w:b/>
          <w:color w:val="00779B"/>
        </w:rPr>
        <w:t>Aboriginal</w:t>
      </w:r>
      <w:r>
        <w:rPr>
          <w:rFonts w:ascii="Segoe UI Semibold"/>
          <w:b/>
          <w:color w:val="00779B"/>
          <w:spacing w:val="-1"/>
        </w:rPr>
        <w:t> </w:t>
      </w:r>
      <w:r>
        <w:rPr>
          <w:rFonts w:ascii="Segoe UI Semibold"/>
          <w:b/>
          <w:color w:val="00779B"/>
        </w:rPr>
        <w:t>and</w:t>
      </w:r>
      <w:r>
        <w:rPr>
          <w:rFonts w:ascii="Segoe UI Semibold"/>
          <w:b/>
          <w:color w:val="00779B"/>
          <w:spacing w:val="-1"/>
        </w:rPr>
        <w:t> </w:t>
      </w:r>
      <w:r>
        <w:rPr>
          <w:rFonts w:ascii="Segoe UI Semibold"/>
          <w:b/>
          <w:color w:val="00779B"/>
          <w:spacing w:val="-4"/>
        </w:rPr>
        <w:t>Torres</w:t>
      </w:r>
      <w:r>
        <w:rPr>
          <w:rFonts w:ascii="Segoe UI Semibold"/>
          <w:b/>
          <w:color w:val="00779B"/>
          <w:spacing w:val="24"/>
        </w:rPr>
        <w:t> </w:t>
      </w:r>
      <w:r>
        <w:rPr>
          <w:rFonts w:ascii="Segoe UI Semibold"/>
          <w:b/>
          <w:color w:val="00779B"/>
          <w:spacing w:val="-2"/>
        </w:rPr>
        <w:t>Strait</w:t>
      </w:r>
      <w:r>
        <w:rPr>
          <w:rFonts w:ascii="Segoe UI Semibold"/>
          <w:b/>
          <w:color w:val="00779B"/>
        </w:rPr>
        <w:t> Islander</w:t>
      </w:r>
      <w:r>
        <w:rPr>
          <w:rFonts w:ascii="Segoe UI Semibold"/>
          <w:b/>
          <w:color w:val="00779B"/>
          <w:spacing w:val="-2"/>
        </w:rPr>
        <w:t> </w:t>
      </w:r>
      <w:r>
        <w:rPr>
          <w:rFonts w:ascii="Segoe UI Semibold"/>
          <w:b/>
          <w:color w:val="00779B"/>
        </w:rPr>
        <w:t>secondary</w:t>
      </w:r>
      <w:r>
        <w:rPr>
          <w:rFonts w:ascii="Segoe UI Semibold"/>
          <w:b/>
          <w:color w:val="00779B"/>
          <w:spacing w:val="-1"/>
        </w:rPr>
        <w:t> school</w:t>
      </w:r>
      <w:r>
        <w:rPr>
          <w:rFonts w:ascii="Segoe UI Semibold"/>
          <w:b/>
          <w:color w:val="00779B"/>
          <w:spacing w:val="23"/>
        </w:rPr>
        <w:t> </w:t>
      </w:r>
      <w:r>
        <w:rPr>
          <w:rFonts w:ascii="Segoe UI Semibold"/>
          <w:b/>
          <w:color w:val="00779B"/>
          <w:spacing w:val="-1"/>
        </w:rPr>
        <w:t>students who,</w:t>
      </w:r>
      <w:r>
        <w:rPr>
          <w:rFonts w:ascii="Segoe UI Semibold"/>
          <w:b/>
          <w:color w:val="00779B"/>
        </w:rPr>
        <w:t> after 1</w:t>
      </w:r>
      <w:r>
        <w:rPr>
          <w:rFonts w:ascii="Segoe UI Semibold"/>
          <w:b/>
          <w:color w:val="00779B"/>
          <w:spacing w:val="-2"/>
        </w:rPr>
        <w:t> </w:t>
      </w:r>
      <w:r>
        <w:rPr>
          <w:rFonts w:ascii="Segoe UI Semibold"/>
          <w:b/>
          <w:color w:val="00779B"/>
        </w:rPr>
        <w:t>January</w:t>
      </w:r>
      <w:r>
        <w:rPr>
          <w:rFonts w:ascii="Segoe UI Semibold"/>
          <w:b/>
          <w:color w:val="00779B"/>
          <w:spacing w:val="-1"/>
        </w:rPr>
        <w:t> 2019,</w:t>
      </w:r>
      <w:r>
        <w:rPr>
          <w:rFonts w:ascii="Segoe UI Semibold"/>
          <w:b/>
          <w:color w:val="00779B"/>
        </w:rPr>
        <w:t> </w:t>
      </w:r>
      <w:r>
        <w:rPr>
          <w:rFonts w:ascii="Segoe UI Semibold"/>
          <w:b/>
          <w:color w:val="00779B"/>
          <w:spacing w:val="-1"/>
        </w:rPr>
        <w:t>are</w:t>
      </w:r>
      <w:r>
        <w:rPr>
          <w:rFonts w:ascii="Segoe UI Semibold"/>
          <w:b/>
          <w:color w:val="00779B"/>
          <w:spacing w:val="21"/>
        </w:rPr>
        <w:t> </w:t>
      </w:r>
      <w:r>
        <w:rPr>
          <w:rFonts w:ascii="Segoe UI Semibold"/>
          <w:b/>
          <w:color w:val="00779B"/>
          <w:spacing w:val="-1"/>
        </w:rPr>
        <w:t>offered</w:t>
      </w:r>
      <w:r>
        <w:rPr>
          <w:rFonts w:ascii="Segoe UI Semibold"/>
          <w:b/>
          <w:color w:val="00779B"/>
          <w:spacing w:val="-2"/>
        </w:rPr>
        <w:t> </w:t>
      </w:r>
      <w:r>
        <w:rPr>
          <w:rFonts w:ascii="Segoe UI Semibold"/>
          <w:b/>
          <w:color w:val="00779B"/>
        </w:rPr>
        <w:t>an</w:t>
      </w:r>
      <w:r>
        <w:rPr>
          <w:rFonts w:ascii="Segoe UI Semibold"/>
          <w:b/>
          <w:color w:val="00779B"/>
          <w:spacing w:val="-1"/>
        </w:rPr>
        <w:t> approved </w:t>
      </w:r>
      <w:r>
        <w:rPr>
          <w:rFonts w:ascii="Segoe UI Semibold"/>
          <w:b/>
          <w:color w:val="00779B"/>
        </w:rPr>
        <w:t>scholarship</w:t>
      </w:r>
      <w:r>
        <w:rPr>
          <w:rFonts w:ascii="Segoe UI Semibold"/>
          <w:b/>
          <w:color w:val="00779B"/>
          <w:spacing w:val="-2"/>
        </w:rPr>
        <w:t> </w:t>
      </w:r>
      <w:r>
        <w:rPr>
          <w:rFonts w:ascii="Segoe UI Semibold"/>
          <w:b/>
          <w:color w:val="00779B"/>
        </w:rPr>
        <w:t>by</w:t>
      </w:r>
      <w:r>
        <w:rPr>
          <w:rFonts w:ascii="Segoe UI Semibold"/>
          <w:b/>
          <w:color w:val="00779B"/>
          <w:spacing w:val="-1"/>
        </w:rPr>
        <w:t> </w:t>
      </w:r>
      <w:r>
        <w:rPr>
          <w:rFonts w:ascii="Segoe UI Semibold"/>
          <w:b/>
          <w:color w:val="00779B"/>
        </w:rPr>
        <w:t>a</w:t>
      </w:r>
      <w:r>
        <w:rPr>
          <w:rFonts w:ascii="Segoe UI Semibold"/>
          <w:b/>
          <w:color w:val="00779B"/>
          <w:spacing w:val="27"/>
        </w:rPr>
        <w:t> </w:t>
      </w:r>
      <w:r>
        <w:rPr>
          <w:rFonts w:ascii="Segoe UI Semibold"/>
          <w:b/>
          <w:color w:val="00779B"/>
          <w:spacing w:val="-1"/>
        </w:rPr>
        <w:t>boarding</w:t>
      </w:r>
      <w:r>
        <w:rPr>
          <w:rFonts w:ascii="Segoe UI Semibold"/>
          <w:b/>
          <w:color w:val="00779B"/>
          <w:spacing w:val="-4"/>
        </w:rPr>
        <w:t> </w:t>
      </w:r>
      <w:r>
        <w:rPr>
          <w:rFonts w:ascii="Segoe UI Semibold"/>
          <w:b/>
          <w:color w:val="00779B"/>
          <w:spacing w:val="-1"/>
        </w:rPr>
        <w:t>school</w:t>
      </w:r>
      <w:r>
        <w:rPr>
          <w:rFonts w:ascii="Segoe UI Semibold"/>
          <w:b/>
          <w:color w:val="00779B"/>
          <w:spacing w:val="-2"/>
        </w:rPr>
        <w:t> </w:t>
      </w:r>
      <w:r>
        <w:rPr>
          <w:rFonts w:ascii="Segoe UI Semibold"/>
          <w:b/>
          <w:color w:val="00779B"/>
          <w:spacing w:val="-1"/>
        </w:rPr>
        <w:t>to</w:t>
      </w:r>
      <w:r>
        <w:rPr>
          <w:rFonts w:ascii="Segoe UI Semibold"/>
          <w:b/>
          <w:color w:val="00779B"/>
          <w:spacing w:val="-3"/>
        </w:rPr>
        <w:t> </w:t>
      </w:r>
      <w:r>
        <w:rPr>
          <w:rFonts w:ascii="Segoe UI Semibold"/>
          <w:b/>
          <w:color w:val="00779B"/>
          <w:spacing w:val="-1"/>
        </w:rPr>
        <w:t>study</w:t>
      </w:r>
      <w:r>
        <w:rPr>
          <w:rFonts w:ascii="Segoe UI Semibold"/>
          <w:b/>
          <w:color w:val="00779B"/>
          <w:spacing w:val="-2"/>
        </w:rPr>
        <w:t> </w:t>
      </w:r>
      <w:r>
        <w:rPr>
          <w:rFonts w:ascii="Segoe UI Semibold"/>
          <w:b/>
          <w:color w:val="00779B"/>
        </w:rPr>
        <w:t>away</w:t>
      </w:r>
      <w:r>
        <w:rPr>
          <w:rFonts w:ascii="Segoe UI Semibold"/>
          <w:b/>
          <w:color w:val="00779B"/>
          <w:spacing w:val="-3"/>
        </w:rPr>
        <w:t> </w:t>
      </w:r>
      <w:r>
        <w:rPr>
          <w:rFonts w:ascii="Segoe UI Semibold"/>
          <w:b/>
          <w:color w:val="00779B"/>
          <w:spacing w:val="-1"/>
        </w:rPr>
        <w:t>from</w:t>
      </w:r>
      <w:r>
        <w:rPr>
          <w:rFonts w:ascii="Segoe UI Semibold"/>
          <w:b/>
          <w:color w:val="00779B"/>
          <w:spacing w:val="25"/>
          <w:w w:val="99"/>
        </w:rPr>
        <w:t> </w:t>
      </w:r>
      <w:r>
        <w:rPr>
          <w:rFonts w:ascii="Segoe UI Semibold"/>
          <w:b/>
          <w:color w:val="00779B"/>
        </w:rPr>
        <w:t>home.</w:t>
      </w:r>
      <w:r>
        <w:rPr>
          <w:rFonts w:ascii="Segoe UI Semibold"/>
        </w:rPr>
      </w:r>
    </w:p>
    <w:p>
      <w:pPr>
        <w:pStyle w:val="BodyText"/>
        <w:spacing w:line="250" w:lineRule="exact" w:before="113"/>
        <w:ind w:left="100" w:right="579"/>
        <w:jc w:val="both"/>
      </w:pPr>
      <w:r>
        <w:rPr>
          <w:color w:val="231F20"/>
        </w:rPr>
        <w:t>The</w:t>
      </w:r>
      <w:r>
        <w:rPr>
          <w:color w:val="231F20"/>
          <w:spacing w:val="-6"/>
        </w:rPr>
        <w:t> </w:t>
      </w:r>
      <w:r>
        <w:rPr>
          <w:color w:val="231F20"/>
        </w:rPr>
        <w:t>Australian</w:t>
      </w:r>
      <w:r>
        <w:rPr>
          <w:color w:val="231F20"/>
          <w:spacing w:val="-6"/>
        </w:rPr>
        <w:t> </w:t>
      </w:r>
      <w:r>
        <w:rPr>
          <w:color w:val="231F20"/>
        </w:rPr>
        <w:t>Government</w:t>
      </w:r>
      <w:r>
        <w:rPr>
          <w:color w:val="231F20"/>
          <w:spacing w:val="-6"/>
        </w:rPr>
        <w:t> </w:t>
      </w:r>
      <w:r>
        <w:rPr>
          <w:color w:val="231F20"/>
          <w:spacing w:val="-1"/>
        </w:rPr>
        <w:t>is</w:t>
      </w:r>
      <w:r>
        <w:rPr>
          <w:color w:val="231F20"/>
          <w:spacing w:val="-7"/>
        </w:rPr>
        <w:t> </w:t>
      </w:r>
      <w:r>
        <w:rPr>
          <w:color w:val="231F20"/>
        </w:rPr>
        <w:t>working</w:t>
      </w:r>
      <w:r>
        <w:rPr>
          <w:color w:val="231F20"/>
          <w:spacing w:val="-7"/>
        </w:rPr>
        <w:t> </w:t>
      </w:r>
      <w:r>
        <w:rPr>
          <w:color w:val="231F20"/>
        </w:rPr>
        <w:t>with</w:t>
      </w:r>
      <w:r>
        <w:rPr>
          <w:color w:val="231F20"/>
          <w:spacing w:val="21"/>
          <w:w w:val="99"/>
        </w:rPr>
        <w:t> </w:t>
      </w:r>
      <w:r>
        <w:rPr>
          <w:color w:val="231F20"/>
        </w:rPr>
        <w:t>all</w:t>
      </w:r>
      <w:r>
        <w:rPr>
          <w:color w:val="231F20"/>
          <w:spacing w:val="-5"/>
        </w:rPr>
        <w:t> </w:t>
      </w:r>
      <w:r>
        <w:rPr>
          <w:color w:val="231F20"/>
          <w:spacing w:val="-1"/>
        </w:rPr>
        <w:t>scholarship</w:t>
      </w:r>
      <w:r>
        <w:rPr>
          <w:color w:val="231F20"/>
          <w:spacing w:val="-2"/>
        </w:rPr>
        <w:t> </w:t>
      </w:r>
      <w:r>
        <w:rPr>
          <w:color w:val="231F20"/>
        </w:rPr>
        <w:t>providers</w:t>
      </w:r>
      <w:r>
        <w:rPr>
          <w:color w:val="231F20"/>
          <w:spacing w:val="-4"/>
        </w:rPr>
        <w:t> </w:t>
      </w:r>
      <w:r>
        <w:rPr>
          <w:color w:val="231F20"/>
        </w:rPr>
        <w:t>funded</w:t>
      </w:r>
      <w:r>
        <w:rPr>
          <w:color w:val="231F20"/>
          <w:spacing w:val="-4"/>
        </w:rPr>
        <w:t> </w:t>
      </w:r>
      <w:r>
        <w:rPr>
          <w:color w:val="231F20"/>
        </w:rPr>
        <w:t>under</w:t>
      </w:r>
      <w:r>
        <w:rPr>
          <w:color w:val="231F20"/>
          <w:spacing w:val="-3"/>
        </w:rPr>
        <w:t> </w:t>
      </w:r>
      <w:r>
        <w:rPr>
          <w:color w:val="231F20"/>
        </w:rPr>
        <w:t>the</w:t>
      </w:r>
      <w:r>
        <w:rPr>
          <w:color w:val="231F20"/>
          <w:spacing w:val="22"/>
          <w:w w:val="99"/>
        </w:rPr>
        <w:t> </w:t>
      </w:r>
      <w:r>
        <w:rPr>
          <w:color w:val="231F20"/>
          <w:spacing w:val="-1"/>
        </w:rPr>
        <w:t>Indigenous</w:t>
      </w:r>
      <w:r>
        <w:rPr>
          <w:color w:val="231F20"/>
          <w:spacing w:val="-11"/>
        </w:rPr>
        <w:t> </w:t>
      </w:r>
      <w:r>
        <w:rPr>
          <w:color w:val="231F20"/>
        </w:rPr>
        <w:t>Advancement</w:t>
      </w:r>
      <w:r>
        <w:rPr>
          <w:color w:val="231F20"/>
          <w:spacing w:val="-11"/>
        </w:rPr>
        <w:t> </w:t>
      </w:r>
      <w:r>
        <w:rPr>
          <w:color w:val="231F20"/>
          <w:spacing w:val="-1"/>
        </w:rPr>
        <w:t>Strategy</w:t>
      </w:r>
      <w:r>
        <w:rPr>
          <w:color w:val="231F20"/>
          <w:spacing w:val="-12"/>
        </w:rPr>
        <w:t> </w:t>
      </w:r>
      <w:r>
        <w:rPr>
          <w:color w:val="231F20"/>
        </w:rPr>
        <w:t>(IAS),</w:t>
      </w:r>
      <w:r>
        <w:rPr/>
      </w:r>
    </w:p>
    <w:p>
      <w:pPr>
        <w:pStyle w:val="BodyText"/>
        <w:spacing w:line="250" w:lineRule="exact"/>
        <w:ind w:left="100" w:right="209"/>
        <w:jc w:val="left"/>
      </w:pPr>
      <w:r>
        <w:rPr>
          <w:rFonts w:ascii="Segoe UI"/>
          <w:color w:val="231F20"/>
        </w:rPr>
        <w:t>including</w:t>
      </w:r>
      <w:r>
        <w:rPr>
          <w:rFonts w:ascii="Segoe UI"/>
          <w:color w:val="231F20"/>
          <w:spacing w:val="-3"/>
        </w:rPr>
        <w:t> </w:t>
      </w:r>
      <w:r>
        <w:rPr>
          <w:rFonts w:ascii="Segoe UI"/>
          <w:color w:val="231F20"/>
        </w:rPr>
        <w:t>AIEF,</w:t>
      </w:r>
      <w:r>
        <w:rPr>
          <w:rFonts w:ascii="Segoe UI"/>
          <w:color w:val="231F20"/>
          <w:spacing w:val="-2"/>
        </w:rPr>
        <w:t> </w:t>
      </w:r>
      <w:r>
        <w:rPr>
          <w:rFonts w:ascii="Segoe UI"/>
          <w:color w:val="231F20"/>
        </w:rPr>
        <w:t>to</w:t>
      </w:r>
      <w:r>
        <w:rPr>
          <w:rFonts w:ascii="Segoe UI"/>
          <w:color w:val="231F20"/>
          <w:spacing w:val="-2"/>
        </w:rPr>
        <w:t> </w:t>
      </w:r>
      <w:r>
        <w:rPr>
          <w:rFonts w:ascii="Segoe UI"/>
          <w:color w:val="231F20"/>
        </w:rPr>
        <w:t>understand</w:t>
      </w:r>
      <w:r>
        <w:rPr>
          <w:rFonts w:ascii="Segoe UI"/>
          <w:color w:val="231F20"/>
          <w:spacing w:val="-3"/>
        </w:rPr>
        <w:t> </w:t>
      </w:r>
      <w:r>
        <w:rPr>
          <w:rFonts w:ascii="Segoe UI"/>
          <w:color w:val="231F20"/>
        </w:rPr>
        <w:t>the</w:t>
      </w:r>
      <w:r>
        <w:rPr>
          <w:rFonts w:ascii="Segoe UI"/>
          <w:color w:val="231F20"/>
          <w:spacing w:val="-2"/>
        </w:rPr>
        <w:t> </w:t>
      </w:r>
      <w:r>
        <w:rPr>
          <w:rFonts w:ascii="Segoe UI"/>
          <w:color w:val="231F20"/>
        </w:rPr>
        <w:t>effectiveness</w:t>
      </w:r>
      <w:r>
        <w:rPr>
          <w:rFonts w:ascii="Segoe UI"/>
          <w:color w:val="231F20"/>
          <w:w w:val="99"/>
        </w:rPr>
        <w:t> </w:t>
      </w:r>
      <w:r>
        <w:rPr>
          <w:color w:val="231F20"/>
        </w:rPr>
        <w:t>and</w:t>
      </w:r>
      <w:r>
        <w:rPr>
          <w:color w:val="231F20"/>
          <w:spacing w:val="-5"/>
        </w:rPr>
        <w:t> </w:t>
      </w:r>
      <w:r>
        <w:rPr>
          <w:color w:val="231F20"/>
          <w:spacing w:val="-1"/>
        </w:rPr>
        <w:t>impact</w:t>
      </w:r>
      <w:r>
        <w:rPr>
          <w:color w:val="231F20"/>
          <w:spacing w:val="-3"/>
        </w:rPr>
        <w:t> </w:t>
      </w:r>
      <w:r>
        <w:rPr>
          <w:color w:val="231F20"/>
        </w:rPr>
        <w:t>of</w:t>
      </w:r>
      <w:r>
        <w:rPr>
          <w:color w:val="231F20"/>
          <w:spacing w:val="-4"/>
        </w:rPr>
        <w:t> </w:t>
      </w:r>
      <w:r>
        <w:rPr>
          <w:color w:val="231F20"/>
        </w:rPr>
        <w:t>all</w:t>
      </w:r>
      <w:r>
        <w:rPr>
          <w:color w:val="231F20"/>
          <w:spacing w:val="-4"/>
        </w:rPr>
        <w:t> </w:t>
      </w:r>
      <w:r>
        <w:rPr>
          <w:color w:val="231F20"/>
          <w:spacing w:val="-1"/>
        </w:rPr>
        <w:t>scholarships</w:t>
      </w:r>
      <w:r>
        <w:rPr>
          <w:color w:val="231F20"/>
          <w:spacing w:val="-3"/>
        </w:rPr>
        <w:t> </w:t>
      </w:r>
      <w:r>
        <w:rPr>
          <w:color w:val="231F20"/>
        </w:rPr>
        <w:t>provided</w:t>
      </w:r>
      <w:r>
        <w:rPr>
          <w:color w:val="231F20"/>
          <w:spacing w:val="-4"/>
        </w:rPr>
        <w:t> </w:t>
      </w:r>
      <w:r>
        <w:rPr>
          <w:color w:val="231F20"/>
        </w:rPr>
        <w:t>to</w:t>
      </w:r>
      <w:r>
        <w:rPr>
          <w:color w:val="231F20"/>
          <w:spacing w:val="23"/>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spacing w:val="-1"/>
        </w:rPr>
        <w:t>students.</w:t>
      </w:r>
      <w:r>
        <w:rPr>
          <w:color w:val="231F20"/>
          <w:spacing w:val="20"/>
          <w:w w:val="99"/>
        </w:rPr>
        <w:t> </w:t>
      </w:r>
      <w:r>
        <w:rPr>
          <w:color w:val="231F20"/>
        </w:rPr>
        <w:t>The</w:t>
      </w:r>
      <w:r>
        <w:rPr>
          <w:color w:val="231F20"/>
          <w:spacing w:val="-4"/>
        </w:rPr>
        <w:t> </w:t>
      </w:r>
      <w:r>
        <w:rPr>
          <w:color w:val="231F20"/>
          <w:spacing w:val="-1"/>
        </w:rPr>
        <w:t>Department</w:t>
      </w:r>
      <w:r>
        <w:rPr>
          <w:color w:val="231F20"/>
          <w:spacing w:val="-4"/>
        </w:rPr>
        <w:t> </w:t>
      </w:r>
      <w:r>
        <w:rPr>
          <w:color w:val="231F20"/>
        </w:rPr>
        <w:t>of</w:t>
      </w:r>
      <w:r>
        <w:rPr>
          <w:color w:val="231F20"/>
          <w:spacing w:val="-3"/>
        </w:rPr>
        <w:t> </w:t>
      </w:r>
      <w:r>
        <w:rPr>
          <w:color w:val="231F20"/>
        </w:rPr>
        <w:t>the</w:t>
      </w:r>
      <w:r>
        <w:rPr>
          <w:color w:val="231F20"/>
          <w:spacing w:val="-5"/>
        </w:rPr>
        <w:t> </w:t>
      </w:r>
      <w:r>
        <w:rPr>
          <w:color w:val="231F20"/>
          <w:spacing w:val="-1"/>
        </w:rPr>
        <w:t>Prime</w:t>
      </w:r>
      <w:r>
        <w:rPr>
          <w:color w:val="231F20"/>
          <w:spacing w:val="-4"/>
        </w:rPr>
        <w:t> </w:t>
      </w:r>
      <w:r>
        <w:rPr>
          <w:color w:val="231F20"/>
        </w:rPr>
        <w:t>Minister</w:t>
      </w:r>
      <w:r>
        <w:rPr>
          <w:color w:val="231F20"/>
          <w:spacing w:val="-4"/>
        </w:rPr>
        <w:t> </w:t>
      </w:r>
      <w:r>
        <w:rPr>
          <w:color w:val="231F20"/>
        </w:rPr>
        <w:t>and</w:t>
      </w:r>
      <w:r>
        <w:rPr>
          <w:color w:val="231F20"/>
          <w:spacing w:val="23"/>
          <w:w w:val="99"/>
        </w:rPr>
        <w:t> </w:t>
      </w:r>
      <w:r>
        <w:rPr>
          <w:color w:val="231F20"/>
          <w:spacing w:val="-1"/>
        </w:rPr>
        <w:t>Cabinet</w:t>
      </w:r>
      <w:r>
        <w:rPr>
          <w:color w:val="231F20"/>
          <w:spacing w:val="-19"/>
        </w:rPr>
        <w:t> </w:t>
      </w:r>
      <w:r>
        <w:rPr>
          <w:color w:val="231F20"/>
        </w:rPr>
        <w:t>engaged</w:t>
      </w:r>
      <w:r>
        <w:rPr>
          <w:color w:val="231F20"/>
          <w:spacing w:val="-18"/>
        </w:rPr>
        <w:t> </w:t>
      </w:r>
      <w:r>
        <w:rPr>
          <w:color w:val="231F20"/>
          <w:spacing w:val="-1"/>
        </w:rPr>
        <w:t>PricewaterhouseCoopers</w:t>
      </w:r>
      <w:r>
        <w:rPr>
          <w:color w:val="231F20"/>
          <w:spacing w:val="21"/>
          <w:w w:val="99"/>
        </w:rPr>
        <w:t> </w:t>
      </w:r>
      <w:r>
        <w:rPr>
          <w:color w:val="231F20"/>
          <w:spacing w:val="-1"/>
        </w:rPr>
        <w:t>Indigenous</w:t>
      </w:r>
      <w:r>
        <w:rPr>
          <w:color w:val="231F20"/>
          <w:spacing w:val="-5"/>
        </w:rPr>
        <w:t> </w:t>
      </w:r>
      <w:r>
        <w:rPr>
          <w:color w:val="231F20"/>
          <w:spacing w:val="-1"/>
        </w:rPr>
        <w:t>Consulting</w:t>
      </w:r>
      <w:r>
        <w:rPr>
          <w:color w:val="231F20"/>
          <w:spacing w:val="-4"/>
        </w:rPr>
        <w:t> </w:t>
      </w:r>
      <w:r>
        <w:rPr>
          <w:color w:val="231F20"/>
          <w:spacing w:val="-1"/>
        </w:rPr>
        <w:t>in</w:t>
      </w:r>
      <w:r>
        <w:rPr>
          <w:color w:val="231F20"/>
          <w:spacing w:val="-4"/>
        </w:rPr>
        <w:t> </w:t>
      </w:r>
      <w:r>
        <w:rPr>
          <w:color w:val="231F20"/>
          <w:spacing w:val="-1"/>
        </w:rPr>
        <w:t>September</w:t>
      </w:r>
      <w:r>
        <w:rPr>
          <w:color w:val="231F20"/>
          <w:spacing w:val="-5"/>
        </w:rPr>
        <w:t> </w:t>
      </w:r>
      <w:r>
        <w:rPr>
          <w:color w:val="231F20"/>
          <w:spacing w:val="-1"/>
        </w:rPr>
        <w:t>2018</w:t>
      </w:r>
      <w:r>
        <w:rPr>
          <w:color w:val="231F20"/>
          <w:spacing w:val="-4"/>
        </w:rPr>
        <w:t> </w:t>
      </w:r>
      <w:r>
        <w:rPr>
          <w:color w:val="231F20"/>
        </w:rPr>
        <w:t>to</w:t>
      </w:r>
      <w:r>
        <w:rPr>
          <w:color w:val="231F20"/>
          <w:spacing w:val="26"/>
          <w:w w:val="99"/>
        </w:rPr>
        <w:t> </w:t>
      </w:r>
      <w:r>
        <w:rPr>
          <w:color w:val="231F20"/>
        </w:rPr>
        <w:t>develop</w:t>
      </w:r>
      <w:r>
        <w:rPr>
          <w:color w:val="231F20"/>
          <w:spacing w:val="-9"/>
        </w:rPr>
        <w:t> </w:t>
      </w:r>
      <w:r>
        <w:rPr>
          <w:color w:val="231F20"/>
        </w:rPr>
        <w:t>a</w:t>
      </w:r>
      <w:r>
        <w:rPr>
          <w:color w:val="231F20"/>
          <w:spacing w:val="-7"/>
        </w:rPr>
        <w:t> </w:t>
      </w:r>
      <w:r>
        <w:rPr>
          <w:color w:val="231F20"/>
        </w:rPr>
        <w:t>Monitoring</w:t>
      </w:r>
      <w:r>
        <w:rPr>
          <w:color w:val="231F20"/>
          <w:spacing w:val="-9"/>
        </w:rPr>
        <w:t> </w:t>
      </w:r>
      <w:r>
        <w:rPr>
          <w:color w:val="231F20"/>
        </w:rPr>
        <w:t>and</w:t>
      </w:r>
      <w:r>
        <w:rPr>
          <w:color w:val="231F20"/>
          <w:spacing w:val="-8"/>
        </w:rPr>
        <w:t> </w:t>
      </w:r>
      <w:r>
        <w:rPr>
          <w:color w:val="231F20"/>
        </w:rPr>
        <w:t>Evaluation</w:t>
      </w:r>
      <w:r>
        <w:rPr>
          <w:color w:val="231F20"/>
          <w:spacing w:val="-8"/>
        </w:rPr>
        <w:t> </w:t>
      </w:r>
      <w:r>
        <w:rPr>
          <w:color w:val="231F20"/>
          <w:spacing w:val="-1"/>
        </w:rPr>
        <w:t>Strategy</w:t>
      </w:r>
      <w:r>
        <w:rPr>
          <w:color w:val="231F20"/>
          <w:spacing w:val="21"/>
          <w:w w:val="99"/>
        </w:rPr>
        <w:t> </w:t>
      </w:r>
      <w:r>
        <w:rPr>
          <w:color w:val="231F20"/>
        </w:rPr>
        <w:t>for</w:t>
      </w:r>
      <w:r>
        <w:rPr>
          <w:color w:val="231F20"/>
          <w:spacing w:val="-2"/>
        </w:rPr>
        <w:t> </w:t>
      </w:r>
      <w:r>
        <w:rPr>
          <w:color w:val="231F20"/>
          <w:spacing w:val="-1"/>
        </w:rPr>
        <w:t>IAS</w:t>
      </w:r>
      <w:r>
        <w:rPr>
          <w:color w:val="231F20"/>
          <w:spacing w:val="-2"/>
        </w:rPr>
        <w:t> </w:t>
      </w:r>
      <w:r>
        <w:rPr>
          <w:color w:val="231F20"/>
          <w:spacing w:val="-1"/>
        </w:rPr>
        <w:t>scholarship</w:t>
      </w:r>
      <w:r>
        <w:rPr>
          <w:color w:val="231F20"/>
        </w:rPr>
        <w:t> activities,</w:t>
      </w:r>
      <w:r>
        <w:rPr>
          <w:color w:val="231F20"/>
          <w:spacing w:val="-3"/>
        </w:rPr>
        <w:t> </w:t>
      </w:r>
      <w:r>
        <w:rPr>
          <w:color w:val="231F20"/>
        </w:rPr>
        <w:t>which</w:t>
      </w:r>
      <w:r>
        <w:rPr>
          <w:color w:val="231F20"/>
          <w:spacing w:val="-2"/>
        </w:rPr>
        <w:t> </w:t>
      </w:r>
      <w:r>
        <w:rPr>
          <w:color w:val="231F20"/>
        </w:rPr>
        <w:t>will</w:t>
      </w:r>
      <w:r>
        <w:rPr>
          <w:color w:val="231F20"/>
          <w:spacing w:val="23"/>
        </w:rPr>
        <w:t> </w:t>
      </w:r>
      <w:r>
        <w:rPr>
          <w:color w:val="231F20"/>
        </w:rPr>
        <w:t>underpin</w:t>
      </w:r>
      <w:r>
        <w:rPr>
          <w:color w:val="231F20"/>
          <w:spacing w:val="-9"/>
        </w:rPr>
        <w:t> </w:t>
      </w:r>
      <w:r>
        <w:rPr>
          <w:color w:val="231F20"/>
        </w:rPr>
        <w:t>and</w:t>
      </w:r>
      <w:r>
        <w:rPr>
          <w:color w:val="231F20"/>
          <w:spacing w:val="-9"/>
        </w:rPr>
        <w:t> </w:t>
      </w:r>
      <w:r>
        <w:rPr>
          <w:color w:val="231F20"/>
          <w:spacing w:val="-1"/>
        </w:rPr>
        <w:t>support</w:t>
      </w:r>
      <w:r>
        <w:rPr>
          <w:color w:val="231F20"/>
          <w:spacing w:val="-7"/>
        </w:rPr>
        <w:t> </w:t>
      </w:r>
      <w:r>
        <w:rPr>
          <w:color w:val="231F20"/>
        </w:rPr>
        <w:t>future</w:t>
      </w:r>
      <w:r>
        <w:rPr>
          <w:color w:val="231F20"/>
          <w:spacing w:val="-8"/>
        </w:rPr>
        <w:t> </w:t>
      </w:r>
      <w:r>
        <w:rPr>
          <w:color w:val="231F20"/>
        </w:rPr>
        <w:t>evaluation</w:t>
      </w:r>
      <w:r>
        <w:rPr>
          <w:color w:val="231F20"/>
          <w:spacing w:val="-9"/>
        </w:rPr>
        <w:t> </w:t>
      </w:r>
      <w:r>
        <w:rPr>
          <w:color w:val="231F20"/>
        </w:rPr>
        <w:t>policy,</w:t>
      </w:r>
      <w:r>
        <w:rPr>
          <w:color w:val="231F20"/>
          <w:spacing w:val="22"/>
          <w:w w:val="99"/>
        </w:rPr>
        <w:t> </w:t>
      </w:r>
      <w:r>
        <w:rPr>
          <w:color w:val="231F20"/>
        </w:rPr>
        <w:t>prioritisation</w:t>
      </w:r>
      <w:r>
        <w:rPr>
          <w:color w:val="231F20"/>
          <w:spacing w:val="-9"/>
        </w:rPr>
        <w:t> </w:t>
      </w:r>
      <w:r>
        <w:rPr>
          <w:color w:val="231F20"/>
        </w:rPr>
        <w:t>and</w:t>
      </w:r>
      <w:r>
        <w:rPr>
          <w:color w:val="231F20"/>
          <w:spacing w:val="-8"/>
        </w:rPr>
        <w:t> </w:t>
      </w:r>
      <w:r>
        <w:rPr>
          <w:color w:val="231F20"/>
          <w:spacing w:val="-1"/>
        </w:rPr>
        <w:t>investment.</w:t>
      </w:r>
      <w:r>
        <w:rPr/>
      </w:r>
    </w:p>
    <w:p>
      <w:pPr>
        <w:pStyle w:val="BodyText"/>
        <w:spacing w:line="250" w:lineRule="exact" w:before="113"/>
        <w:ind w:left="100" w:right="243"/>
        <w:jc w:val="left"/>
      </w:pPr>
      <w:r>
        <w:rPr>
          <w:color w:val="231F20"/>
          <w:spacing w:val="-1"/>
        </w:rPr>
        <w:t>Scholarship</w:t>
      </w:r>
      <w:r>
        <w:rPr>
          <w:color w:val="231F20"/>
          <w:spacing w:val="-7"/>
        </w:rPr>
        <w:t> </w:t>
      </w:r>
      <w:r>
        <w:rPr>
          <w:color w:val="231F20"/>
        </w:rPr>
        <w:t>programs</w:t>
      </w:r>
      <w:r>
        <w:rPr>
          <w:color w:val="231F20"/>
          <w:spacing w:val="-8"/>
        </w:rPr>
        <w:t> </w:t>
      </w:r>
      <w:r>
        <w:rPr>
          <w:color w:val="231F20"/>
        </w:rPr>
        <w:t>usually</w:t>
      </w:r>
      <w:r>
        <w:rPr>
          <w:color w:val="231F20"/>
          <w:spacing w:val="-7"/>
        </w:rPr>
        <w:t> </w:t>
      </w:r>
      <w:r>
        <w:rPr>
          <w:color w:val="231F20"/>
        </w:rPr>
        <w:t>target</w:t>
      </w:r>
      <w:r>
        <w:rPr>
          <w:color w:val="231F20"/>
          <w:spacing w:val="-8"/>
        </w:rPr>
        <w:t> </w:t>
      </w:r>
      <w:r>
        <w:rPr>
          <w:color w:val="231F20"/>
        </w:rPr>
        <w:t>high</w:t>
      </w:r>
      <w:r>
        <w:rPr>
          <w:color w:val="231F20"/>
          <w:spacing w:val="22"/>
          <w:w w:val="99"/>
        </w:rPr>
        <w:t> </w:t>
      </w:r>
      <w:r>
        <w:rPr>
          <w:color w:val="231F20"/>
        </w:rPr>
        <w:t>performing</w:t>
      </w:r>
      <w:r>
        <w:rPr>
          <w:color w:val="231F20"/>
          <w:spacing w:val="-7"/>
        </w:rPr>
        <w:t> </w:t>
      </w:r>
      <w:r>
        <w:rPr>
          <w:color w:val="231F20"/>
          <w:spacing w:val="-1"/>
        </w:rPr>
        <w:t>students</w:t>
      </w:r>
      <w:r>
        <w:rPr>
          <w:color w:val="231F20"/>
          <w:spacing w:val="-7"/>
        </w:rPr>
        <w:t> </w:t>
      </w:r>
      <w:r>
        <w:rPr>
          <w:color w:val="231F20"/>
        </w:rPr>
        <w:t>and</w:t>
      </w:r>
      <w:r>
        <w:rPr>
          <w:color w:val="231F20"/>
          <w:spacing w:val="-7"/>
        </w:rPr>
        <w:t> </w:t>
      </w:r>
      <w:r>
        <w:rPr>
          <w:color w:val="231F20"/>
        </w:rPr>
        <w:t>have</w:t>
      </w:r>
      <w:r>
        <w:rPr>
          <w:color w:val="231F20"/>
          <w:spacing w:val="-7"/>
        </w:rPr>
        <w:t> </w:t>
      </w:r>
      <w:r>
        <w:rPr>
          <w:color w:val="231F20"/>
          <w:spacing w:val="-1"/>
        </w:rPr>
        <w:t>impacted</w:t>
      </w:r>
      <w:r>
        <w:rPr>
          <w:color w:val="231F20"/>
          <w:spacing w:val="-6"/>
        </w:rPr>
        <w:t> </w:t>
      </w:r>
      <w:r>
        <w:rPr>
          <w:color w:val="231F20"/>
        </w:rPr>
        <w:t>upon</w:t>
      </w:r>
      <w:r>
        <w:rPr>
          <w:color w:val="231F20"/>
          <w:spacing w:val="23"/>
          <w:w w:val="99"/>
        </w:rPr>
        <w:t> </w:t>
      </w:r>
      <w:r>
        <w:rPr>
          <w:color w:val="231F20"/>
        </w:rPr>
        <w:t>enrolments</w:t>
      </w:r>
      <w:r>
        <w:rPr>
          <w:color w:val="231F20"/>
          <w:spacing w:val="-5"/>
        </w:rPr>
        <w:t> </w:t>
      </w:r>
      <w:r>
        <w:rPr>
          <w:color w:val="231F20"/>
        </w:rPr>
        <w:t>at</w:t>
      </w:r>
      <w:r>
        <w:rPr>
          <w:color w:val="231F20"/>
          <w:spacing w:val="-4"/>
        </w:rPr>
        <w:t> </w:t>
      </w:r>
      <w:r>
        <w:rPr>
          <w:color w:val="231F20"/>
        </w:rPr>
        <w:t>the</w:t>
      </w:r>
      <w:r>
        <w:rPr>
          <w:color w:val="231F20"/>
          <w:spacing w:val="-4"/>
        </w:rPr>
        <w:t> </w:t>
      </w:r>
      <w:r>
        <w:rPr>
          <w:color w:val="231F20"/>
        </w:rPr>
        <w:t>traditional</w:t>
      </w:r>
      <w:r>
        <w:rPr>
          <w:color w:val="231F20"/>
          <w:spacing w:val="-4"/>
        </w:rPr>
        <w:t> </w:t>
      </w:r>
      <w:r>
        <w:rPr>
          <w:color w:val="231F20"/>
          <w:spacing w:val="-1"/>
        </w:rPr>
        <w:t>long</w:t>
      </w:r>
      <w:r>
        <w:rPr>
          <w:color w:val="231F20"/>
          <w:spacing w:val="-4"/>
        </w:rPr>
        <w:t> </w:t>
      </w:r>
      <w:r>
        <w:rPr>
          <w:color w:val="231F20"/>
        </w:rPr>
        <w:t>established</w:t>
      </w:r>
      <w:r>
        <w:rPr>
          <w:color w:val="231F20"/>
          <w:spacing w:val="21"/>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r>
    </w:p>
    <w:p>
      <w:pPr>
        <w:spacing w:after="0" w:line="250" w:lineRule="exact"/>
        <w:jc w:val="left"/>
        <w:sectPr>
          <w:type w:val="continuous"/>
          <w:pgSz w:w="11910" w:h="16840"/>
          <w:pgMar w:top="1580" w:bottom="280" w:left="1600" w:right="1300"/>
          <w:cols w:num="2" w:equalWidth="0">
            <w:col w:w="4293" w:space="242"/>
            <w:col w:w="4475"/>
          </w:cols>
        </w:sectPr>
      </w:pPr>
    </w:p>
    <w:p>
      <w:pPr>
        <w:spacing w:line="240" w:lineRule="auto" w:before="0"/>
        <w:rPr>
          <w:rFonts w:ascii="Segoe UI" w:hAnsi="Segoe UI" w:cs="Segoe UI" w:eastAsia="Segoe UI"/>
          <w:sz w:val="20"/>
          <w:szCs w:val="20"/>
        </w:rPr>
      </w:pPr>
    </w:p>
    <w:p>
      <w:pPr>
        <w:spacing w:line="240" w:lineRule="auto" w:before="8"/>
        <w:rPr>
          <w:rFonts w:ascii="Segoe UI" w:hAnsi="Segoe UI" w:cs="Segoe UI" w:eastAsia="Segoe UI"/>
          <w:sz w:val="21"/>
          <w:szCs w:val="21"/>
        </w:rPr>
      </w:pPr>
    </w:p>
    <w:p>
      <w:pPr>
        <w:spacing w:after="0" w:line="240" w:lineRule="auto"/>
        <w:rPr>
          <w:rFonts w:ascii="Segoe UI" w:hAnsi="Segoe UI" w:cs="Segoe UI" w:eastAsia="Segoe UI"/>
          <w:sz w:val="21"/>
          <w:szCs w:val="21"/>
        </w:rPr>
        <w:sectPr>
          <w:pgSz w:w="11910" w:h="16840"/>
          <w:pgMar w:header="0" w:footer="691" w:top="1580" w:bottom="880" w:left="1300" w:right="1680"/>
        </w:sectPr>
      </w:pPr>
    </w:p>
    <w:p>
      <w:pPr>
        <w:pStyle w:val="BodyText"/>
        <w:spacing w:line="250" w:lineRule="exact" w:before="62"/>
        <w:ind w:right="204"/>
        <w:jc w:val="left"/>
        <w:rPr>
          <w:rFonts w:ascii="Segoe UI" w:hAnsi="Segoe UI" w:cs="Segoe UI" w:eastAsia="Segoe UI"/>
        </w:rPr>
      </w:pPr>
      <w:r>
        <w:rPr>
          <w:color w:val="231F20"/>
          <w:spacing w:val="-1"/>
        </w:rPr>
        <w:t>During</w:t>
      </w:r>
      <w:r>
        <w:rPr>
          <w:color w:val="231F20"/>
          <w:spacing w:val="-3"/>
        </w:rPr>
        <w:t> </w:t>
      </w:r>
      <w:r>
        <w:rPr>
          <w:color w:val="231F20"/>
        </w:rPr>
        <w:t>consultations</w:t>
      </w:r>
      <w:r>
        <w:rPr>
          <w:color w:val="231F20"/>
          <w:spacing w:val="-4"/>
        </w:rPr>
        <w:t> </w:t>
      </w:r>
      <w:r>
        <w:rPr>
          <w:color w:val="231F20"/>
        </w:rPr>
        <w:t>for</w:t>
      </w:r>
      <w:r>
        <w:rPr>
          <w:color w:val="231F20"/>
          <w:spacing w:val="-3"/>
        </w:rPr>
        <w:t> </w:t>
      </w:r>
      <w:r>
        <w:rPr>
          <w:color w:val="231F20"/>
        </w:rPr>
        <w:t>this</w:t>
      </w:r>
      <w:r>
        <w:rPr>
          <w:color w:val="231F20"/>
          <w:spacing w:val="-4"/>
        </w:rPr>
        <w:t> </w:t>
      </w:r>
      <w:r>
        <w:rPr>
          <w:color w:val="231F20"/>
        </w:rPr>
        <w:t>report</w:t>
      </w:r>
      <w:r>
        <w:rPr>
          <w:color w:val="231F20"/>
          <w:spacing w:val="-3"/>
        </w:rPr>
        <w:t> </w:t>
      </w:r>
      <w:r>
        <w:rPr>
          <w:color w:val="231F20"/>
          <w:spacing w:val="-1"/>
        </w:rPr>
        <w:t>some</w:t>
      </w:r>
      <w:r>
        <w:rPr>
          <w:color w:val="231F20"/>
          <w:spacing w:val="21"/>
        </w:rPr>
        <w:t> </w:t>
      </w:r>
      <w:r>
        <w:rPr>
          <w:color w:val="231F20"/>
          <w:spacing w:val="-1"/>
        </w:rPr>
        <w:t>interviewees</w:t>
      </w:r>
      <w:r>
        <w:rPr>
          <w:color w:val="231F20"/>
          <w:spacing w:val="-8"/>
        </w:rPr>
        <w:t> </w:t>
      </w:r>
      <w:r>
        <w:rPr>
          <w:color w:val="231F20"/>
        </w:rPr>
        <w:t>raised</w:t>
      </w:r>
      <w:r>
        <w:rPr>
          <w:color w:val="231F20"/>
          <w:spacing w:val="-8"/>
        </w:rPr>
        <w:t> </w:t>
      </w:r>
      <w:r>
        <w:rPr>
          <w:color w:val="231F20"/>
        </w:rPr>
        <w:t>concerns</w:t>
      </w:r>
      <w:r>
        <w:rPr>
          <w:color w:val="231F20"/>
          <w:spacing w:val="-8"/>
        </w:rPr>
        <w:t> </w:t>
      </w:r>
      <w:r>
        <w:rPr>
          <w:color w:val="231F20"/>
        </w:rPr>
        <w:t>that</w:t>
      </w:r>
      <w:r>
        <w:rPr>
          <w:color w:val="231F20"/>
          <w:spacing w:val="-8"/>
        </w:rPr>
        <w:t> </w:t>
      </w:r>
      <w:r>
        <w:rPr>
          <w:color w:val="231F20"/>
        </w:rPr>
        <w:t>high</w:t>
      </w:r>
      <w:r>
        <w:rPr>
          <w:color w:val="231F20"/>
          <w:spacing w:val="-9"/>
        </w:rPr>
        <w:t> </w:t>
      </w:r>
      <w:r>
        <w:rPr>
          <w:color w:val="231F20"/>
        </w:rPr>
        <w:t>value</w:t>
      </w:r>
      <w:r>
        <w:rPr>
          <w:color w:val="231F20"/>
          <w:spacing w:val="22"/>
          <w:w w:val="99"/>
        </w:rPr>
        <w:t> </w:t>
      </w:r>
      <w:r>
        <w:rPr>
          <w:color w:val="231F20"/>
          <w:spacing w:val="-1"/>
        </w:rPr>
        <w:t>scholarships,</w:t>
      </w:r>
      <w:r>
        <w:rPr>
          <w:color w:val="231F20"/>
          <w:spacing w:val="-5"/>
        </w:rPr>
        <w:t> </w:t>
      </w:r>
      <w:r>
        <w:rPr>
          <w:color w:val="231F20"/>
        </w:rPr>
        <w:t>particularly</w:t>
      </w:r>
      <w:r>
        <w:rPr>
          <w:color w:val="231F20"/>
          <w:spacing w:val="-7"/>
        </w:rPr>
        <w:t> </w:t>
      </w:r>
      <w:r>
        <w:rPr>
          <w:color w:val="231F20"/>
        </w:rPr>
        <w:t>those</w:t>
      </w:r>
      <w:r>
        <w:rPr>
          <w:color w:val="231F20"/>
          <w:spacing w:val="-7"/>
        </w:rPr>
        <w:t> </w:t>
      </w:r>
      <w:r>
        <w:rPr>
          <w:color w:val="231F20"/>
        </w:rPr>
        <w:t>funded</w:t>
      </w:r>
      <w:r>
        <w:rPr>
          <w:color w:val="231F20"/>
          <w:spacing w:val="-6"/>
        </w:rPr>
        <w:t> </w:t>
      </w:r>
      <w:r>
        <w:rPr>
          <w:color w:val="231F20"/>
        </w:rPr>
        <w:t>by</w:t>
      </w:r>
      <w:r>
        <w:rPr>
          <w:color w:val="231F20"/>
          <w:spacing w:val="22"/>
          <w:w w:val="99"/>
        </w:rPr>
        <w:t> </w:t>
      </w:r>
      <w:r>
        <w:rPr>
          <w:color w:val="231F20"/>
        </w:rPr>
        <w:t>government,</w:t>
      </w:r>
      <w:r>
        <w:rPr>
          <w:color w:val="231F20"/>
          <w:spacing w:val="-6"/>
        </w:rPr>
        <w:t> </w:t>
      </w:r>
      <w:r>
        <w:rPr>
          <w:color w:val="231F20"/>
        </w:rPr>
        <w:t>are</w:t>
      </w:r>
      <w:r>
        <w:rPr>
          <w:color w:val="231F20"/>
          <w:spacing w:val="-5"/>
        </w:rPr>
        <w:t> </w:t>
      </w:r>
      <w:r>
        <w:rPr>
          <w:color w:val="231F20"/>
        </w:rPr>
        <w:t>only</w:t>
      </w:r>
      <w:r>
        <w:rPr>
          <w:color w:val="231F20"/>
          <w:spacing w:val="-5"/>
        </w:rPr>
        <w:t> </w:t>
      </w:r>
      <w:r>
        <w:rPr>
          <w:color w:val="231F20"/>
        </w:rPr>
        <w:t>being</w:t>
      </w:r>
      <w:r>
        <w:rPr>
          <w:color w:val="231F20"/>
          <w:spacing w:val="-5"/>
        </w:rPr>
        <w:t> </w:t>
      </w:r>
      <w:r>
        <w:rPr>
          <w:color w:val="231F20"/>
        </w:rPr>
        <w:t>used</w:t>
      </w:r>
      <w:r>
        <w:rPr>
          <w:color w:val="231F20"/>
          <w:spacing w:val="-5"/>
        </w:rPr>
        <w:t> </w:t>
      </w:r>
      <w:r>
        <w:rPr>
          <w:color w:val="231F20"/>
        </w:rPr>
        <w:t>for</w:t>
      </w:r>
      <w:r>
        <w:rPr>
          <w:color w:val="231F20"/>
          <w:spacing w:val="-5"/>
        </w:rPr>
        <w:t> </w:t>
      </w:r>
      <w:r>
        <w:rPr>
          <w:color w:val="231F20"/>
          <w:spacing w:val="-1"/>
        </w:rPr>
        <w:t>students</w:t>
      </w:r>
      <w:r>
        <w:rPr>
          <w:color w:val="231F20"/>
          <w:spacing w:val="20"/>
        </w:rPr>
        <w:t> </w:t>
      </w:r>
      <w:r>
        <w:rPr>
          <w:color w:val="231F20"/>
        </w:rPr>
        <w:t>to</w:t>
      </w:r>
      <w:r>
        <w:rPr>
          <w:color w:val="231F20"/>
          <w:spacing w:val="-7"/>
        </w:rPr>
        <w:t> </w:t>
      </w:r>
      <w:r>
        <w:rPr>
          <w:color w:val="231F20"/>
        </w:rPr>
        <w:t>attend</w:t>
      </w:r>
      <w:r>
        <w:rPr>
          <w:color w:val="231F20"/>
          <w:spacing w:val="-7"/>
        </w:rPr>
        <w:t> </w:t>
      </w:r>
      <w:r>
        <w:rPr>
          <w:color w:val="231F20"/>
        </w:rPr>
        <w:t>high</w:t>
      </w:r>
      <w:r>
        <w:rPr>
          <w:color w:val="231F20"/>
          <w:spacing w:val="-7"/>
        </w:rPr>
        <w:t> </w:t>
      </w:r>
      <w:r>
        <w:rPr>
          <w:color w:val="231F20"/>
        </w:rPr>
        <w:t>fee</w:t>
      </w:r>
      <w:r>
        <w:rPr>
          <w:color w:val="231F20"/>
          <w:spacing w:val="-6"/>
        </w:rPr>
        <w:t> </w:t>
      </w:r>
      <w:r>
        <w:rPr>
          <w:color w:val="231F20"/>
        </w:rPr>
        <w:t>paying</w:t>
      </w:r>
      <w:r>
        <w:rPr>
          <w:color w:val="231F20"/>
          <w:spacing w:val="-7"/>
        </w:rPr>
        <w:t> </w:t>
      </w:r>
      <w:r>
        <w:rPr>
          <w:color w:val="231F20"/>
        </w:rPr>
        <w:t>boarding</w:t>
      </w:r>
      <w:r>
        <w:rPr>
          <w:color w:val="231F20"/>
          <w:spacing w:val="-7"/>
        </w:rPr>
        <w:t> </w:t>
      </w:r>
      <w:r>
        <w:rPr>
          <w:color w:val="231F20"/>
        </w:rPr>
        <w:t>providers</w:t>
      </w:r>
      <w:r>
        <w:rPr>
          <w:color w:val="231F20"/>
          <w:w w:val="99"/>
        </w:rPr>
        <w:t> </w:t>
      </w:r>
      <w:r>
        <w:rPr>
          <w:color w:val="231F20"/>
        </w:rPr>
        <w:t>and</w:t>
      </w:r>
      <w:r>
        <w:rPr>
          <w:color w:val="231F20"/>
          <w:spacing w:val="-8"/>
        </w:rPr>
        <w:t> </w:t>
      </w:r>
      <w:r>
        <w:rPr>
          <w:color w:val="231F20"/>
        </w:rPr>
        <w:t>are</w:t>
      </w:r>
      <w:r>
        <w:rPr>
          <w:color w:val="231F20"/>
          <w:spacing w:val="-8"/>
        </w:rPr>
        <w:t> </w:t>
      </w:r>
      <w:r>
        <w:rPr>
          <w:color w:val="231F20"/>
        </w:rPr>
        <w:t>by-passing</w:t>
      </w:r>
      <w:r>
        <w:rPr>
          <w:color w:val="231F20"/>
          <w:spacing w:val="-8"/>
        </w:rPr>
        <w:t> </w:t>
      </w:r>
      <w:r>
        <w:rPr>
          <w:color w:val="231F20"/>
        </w:rPr>
        <w:t>the</w:t>
      </w:r>
      <w:r>
        <w:rPr>
          <w:color w:val="231F20"/>
          <w:spacing w:val="-8"/>
        </w:rPr>
        <w:t> </w:t>
      </w:r>
      <w:r>
        <w:rPr>
          <w:color w:val="231F20"/>
        </w:rPr>
        <w:t>boarding</w:t>
      </w:r>
      <w:r>
        <w:rPr>
          <w:color w:val="231F20"/>
          <w:spacing w:val="-8"/>
        </w:rPr>
        <w:t> </w:t>
      </w:r>
      <w:r>
        <w:rPr>
          <w:color w:val="231F20"/>
        </w:rPr>
        <w:t>providers</w:t>
      </w:r>
      <w:r>
        <w:rPr>
          <w:color w:val="231F20"/>
          <w:w w:val="99"/>
        </w:rPr>
        <w:t> </w:t>
      </w:r>
      <w:r>
        <w:rPr>
          <w:rFonts w:ascii="Segoe UI"/>
          <w:color w:val="231F20"/>
        </w:rPr>
        <w:t>that have traditionally focussed specifically</w:t>
      </w:r>
      <w:r>
        <w:rPr>
          <w:rFonts w:ascii="Segoe UI"/>
        </w:rPr>
      </w:r>
    </w:p>
    <w:p>
      <w:pPr>
        <w:pStyle w:val="BodyText"/>
        <w:spacing w:line="250" w:lineRule="exact"/>
        <w:ind w:right="505"/>
        <w:jc w:val="left"/>
      </w:pPr>
      <w:r>
        <w:rPr>
          <w:color w:val="231F20"/>
        </w:rPr>
        <w:t>on</w:t>
      </w:r>
      <w:r>
        <w:rPr>
          <w:color w:val="231F20"/>
          <w:spacing w:val="-5"/>
        </w:rPr>
        <w:t> </w:t>
      </w:r>
      <w:r>
        <w:rPr>
          <w:color w:val="231F20"/>
        </w:rPr>
        <w:t>boarding</w:t>
      </w:r>
      <w:r>
        <w:rPr>
          <w:color w:val="231F20"/>
          <w:spacing w:val="-6"/>
        </w:rPr>
        <w:t> </w:t>
      </w:r>
      <w:r>
        <w:rPr>
          <w:color w:val="231F20"/>
        </w:rPr>
        <w:t>for</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w:t>
      </w:r>
      <w:r>
        <w:rPr>
          <w:color w:val="231F20"/>
          <w:spacing w:val="23"/>
          <w:w w:val="99"/>
        </w:rPr>
        <w:t> </w:t>
      </w:r>
      <w:r>
        <w:rPr>
          <w:color w:val="231F20"/>
          <w:spacing w:val="-2"/>
        </w:rPr>
        <w:t>Strait</w:t>
      </w:r>
      <w:r>
        <w:rPr>
          <w:color w:val="231F20"/>
          <w:spacing w:val="-7"/>
        </w:rPr>
        <w:t> </w:t>
      </w:r>
      <w:r>
        <w:rPr>
          <w:color w:val="231F20"/>
          <w:spacing w:val="-1"/>
        </w:rPr>
        <w:t>Islander</w:t>
      </w:r>
      <w:r>
        <w:rPr>
          <w:color w:val="231F20"/>
          <w:spacing w:val="-5"/>
        </w:rPr>
        <w:t> </w:t>
      </w:r>
      <w:r>
        <w:rPr>
          <w:color w:val="231F20"/>
          <w:spacing w:val="-1"/>
        </w:rPr>
        <w:t>students.</w:t>
      </w:r>
      <w:r>
        <w:rPr>
          <w:color w:val="231F20"/>
          <w:spacing w:val="-5"/>
        </w:rPr>
        <w:t> </w:t>
      </w:r>
      <w:r>
        <w:rPr>
          <w:color w:val="231F20"/>
          <w:spacing w:val="-1"/>
        </w:rPr>
        <w:t>While</w:t>
      </w:r>
      <w:r>
        <w:rPr>
          <w:color w:val="231F20"/>
          <w:spacing w:val="-6"/>
        </w:rPr>
        <w:t> </w:t>
      </w:r>
      <w:r>
        <w:rPr>
          <w:color w:val="231F20"/>
        </w:rPr>
        <w:t>the</w:t>
      </w:r>
      <w:r>
        <w:rPr>
          <w:color w:val="231F20"/>
          <w:spacing w:val="-6"/>
        </w:rPr>
        <w:t> </w:t>
      </w:r>
      <w:r>
        <w:rPr>
          <w:color w:val="231F20"/>
        </w:rPr>
        <w:t>greater</w:t>
      </w:r>
      <w:r>
        <w:rPr/>
      </w:r>
    </w:p>
    <w:p>
      <w:pPr>
        <w:pStyle w:val="BodyText"/>
        <w:spacing w:line="250" w:lineRule="exact"/>
        <w:ind w:right="0"/>
        <w:jc w:val="left"/>
      </w:pPr>
      <w:r>
        <w:rPr>
          <w:color w:val="231F20"/>
        </w:rPr>
        <w:t>opportunities</w:t>
      </w:r>
      <w:r>
        <w:rPr>
          <w:color w:val="231F20"/>
          <w:spacing w:val="-7"/>
        </w:rPr>
        <w:t> </w:t>
      </w:r>
      <w:r>
        <w:rPr>
          <w:color w:val="231F20"/>
        </w:rPr>
        <w:t>for</w:t>
      </w:r>
      <w:r>
        <w:rPr>
          <w:color w:val="231F20"/>
          <w:spacing w:val="-6"/>
        </w:rPr>
        <w:t> </w:t>
      </w:r>
      <w:r>
        <w:rPr>
          <w:color w:val="231F20"/>
        </w:rPr>
        <w:t>Aboriginal</w:t>
      </w:r>
      <w:r>
        <w:rPr>
          <w:color w:val="231F20"/>
          <w:spacing w:val="-6"/>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29"/>
          <w:w w:val="99"/>
        </w:rPr>
        <w:t> </w:t>
      </w:r>
      <w:r>
        <w:rPr>
          <w:color w:val="231F20"/>
          <w:spacing w:val="-1"/>
        </w:rPr>
        <w:t>Islander</w:t>
      </w:r>
      <w:r>
        <w:rPr>
          <w:color w:val="231F20"/>
          <w:spacing w:val="-4"/>
        </w:rPr>
        <w:t> </w:t>
      </w:r>
      <w:r>
        <w:rPr>
          <w:color w:val="231F20"/>
          <w:spacing w:val="-1"/>
        </w:rPr>
        <w:t>students</w:t>
      </w:r>
      <w:r>
        <w:rPr>
          <w:color w:val="231F20"/>
          <w:spacing w:val="-4"/>
        </w:rPr>
        <w:t> </w:t>
      </w:r>
      <w:r>
        <w:rPr>
          <w:color w:val="231F20"/>
        </w:rPr>
        <w:t>are</w:t>
      </w:r>
      <w:r>
        <w:rPr>
          <w:color w:val="231F20"/>
          <w:spacing w:val="-5"/>
        </w:rPr>
        <w:t> </w:t>
      </w:r>
      <w:r>
        <w:rPr>
          <w:color w:val="231F20"/>
        </w:rPr>
        <w:t>welcomed</w:t>
      </w:r>
      <w:r>
        <w:rPr>
          <w:color w:val="231F20"/>
          <w:spacing w:val="-5"/>
        </w:rPr>
        <w:t> </w:t>
      </w:r>
      <w:r>
        <w:rPr>
          <w:color w:val="231F20"/>
        </w:rPr>
        <w:t>the</w:t>
      </w:r>
      <w:r>
        <w:rPr>
          <w:color w:val="231F20"/>
          <w:spacing w:val="-5"/>
        </w:rPr>
        <w:t> </w:t>
      </w:r>
      <w:r>
        <w:rPr>
          <w:color w:val="231F20"/>
          <w:spacing w:val="-1"/>
        </w:rPr>
        <w:t>loss</w:t>
      </w:r>
      <w:r>
        <w:rPr>
          <w:color w:val="231F20"/>
          <w:spacing w:val="-4"/>
        </w:rPr>
        <w:t> </w:t>
      </w:r>
      <w:r>
        <w:rPr>
          <w:color w:val="231F20"/>
        </w:rPr>
        <w:t>of</w:t>
      </w:r>
      <w:r>
        <w:rPr>
          <w:color w:val="231F20"/>
          <w:spacing w:val="24"/>
          <w:w w:val="99"/>
        </w:rPr>
        <w:t> </w:t>
      </w:r>
      <w:r>
        <w:rPr>
          <w:rFonts w:ascii="Segoe UI"/>
          <w:color w:val="231F20"/>
        </w:rPr>
        <w:t>potential income is putting further financial</w:t>
      </w:r>
      <w:r>
        <w:rPr>
          <w:rFonts w:ascii="Segoe UI"/>
          <w:color w:val="231F20"/>
        </w:rPr>
        <w:t> </w:t>
      </w:r>
      <w:r>
        <w:rPr>
          <w:color w:val="231F20"/>
        </w:rPr>
        <w:t>pressure</w:t>
      </w:r>
      <w:r>
        <w:rPr>
          <w:color w:val="231F20"/>
          <w:spacing w:val="-7"/>
        </w:rPr>
        <w:t> </w:t>
      </w:r>
      <w:r>
        <w:rPr>
          <w:color w:val="231F20"/>
        </w:rPr>
        <w:t>on</w:t>
      </w:r>
      <w:r>
        <w:rPr>
          <w:color w:val="231F20"/>
          <w:spacing w:val="-5"/>
        </w:rPr>
        <w:t> </w:t>
      </w:r>
      <w:r>
        <w:rPr>
          <w:color w:val="231F20"/>
        </w:rPr>
        <w:t>Aboriginal</w:t>
      </w:r>
      <w:r>
        <w:rPr>
          <w:color w:val="231F20"/>
          <w:spacing w:val="-6"/>
        </w:rPr>
        <w:t> </w:t>
      </w:r>
      <w:r>
        <w:rPr>
          <w:color w:val="231F20"/>
        </w:rPr>
        <w:t>and</w:t>
      </w:r>
      <w:r>
        <w:rPr>
          <w:color w:val="231F20"/>
          <w:spacing w:val="-6"/>
        </w:rPr>
        <w:t> </w:t>
      </w:r>
      <w:r>
        <w:rPr>
          <w:color w:val="231F20"/>
          <w:spacing w:val="-5"/>
        </w:rPr>
        <w:t>Torres </w:t>
      </w:r>
      <w:r>
        <w:rPr>
          <w:color w:val="231F20"/>
          <w:spacing w:val="-2"/>
        </w:rPr>
        <w:t>Strait</w:t>
      </w:r>
      <w:r>
        <w:rPr>
          <w:color w:val="231F20"/>
          <w:spacing w:val="-7"/>
        </w:rPr>
        <w:t> </w:t>
      </w:r>
      <w:r>
        <w:rPr>
          <w:color w:val="231F20"/>
          <w:spacing w:val="-1"/>
        </w:rPr>
        <w:t>Islander</w:t>
      </w:r>
      <w:r>
        <w:rPr>
          <w:color w:val="231F20"/>
          <w:spacing w:val="29"/>
          <w:w w:val="99"/>
        </w:rPr>
        <w:t> </w:t>
      </w:r>
      <w:r>
        <w:rPr>
          <w:color w:val="231F20"/>
        </w:rPr>
        <w:t>boarding</w:t>
      </w:r>
      <w:r>
        <w:rPr>
          <w:color w:val="231F20"/>
          <w:spacing w:val="-7"/>
        </w:rPr>
        <w:t> </w:t>
      </w:r>
      <w:r>
        <w:rPr>
          <w:color w:val="231F20"/>
        </w:rPr>
        <w:t>providers.</w:t>
      </w:r>
      <w:r>
        <w:rPr>
          <w:color w:val="231F20"/>
          <w:spacing w:val="-6"/>
        </w:rPr>
        <w:t> </w:t>
      </w:r>
      <w:r>
        <w:rPr>
          <w:color w:val="231F20"/>
          <w:spacing w:val="-1"/>
        </w:rPr>
        <w:t>In</w:t>
      </w:r>
      <w:r>
        <w:rPr>
          <w:color w:val="231F20"/>
          <w:spacing w:val="-6"/>
        </w:rPr>
        <w:t> </w:t>
      </w:r>
      <w:r>
        <w:rPr>
          <w:color w:val="231F20"/>
        </w:rPr>
        <w:t>addition,</w:t>
      </w:r>
      <w:r>
        <w:rPr>
          <w:color w:val="231F20"/>
          <w:spacing w:val="-6"/>
        </w:rPr>
        <w:t> </w:t>
      </w:r>
      <w:r>
        <w:rPr>
          <w:color w:val="231F20"/>
        </w:rPr>
        <w:t>the</w:t>
      </w:r>
      <w:r>
        <w:rPr>
          <w:color w:val="231F20"/>
          <w:spacing w:val="-7"/>
        </w:rPr>
        <w:t> </w:t>
      </w:r>
      <w:r>
        <w:rPr>
          <w:color w:val="231F20"/>
          <w:spacing w:val="-1"/>
        </w:rPr>
        <w:t>scholarship</w:t>
      </w:r>
      <w:r>
        <w:rPr>
          <w:color w:val="231F20"/>
          <w:spacing w:val="21"/>
        </w:rPr>
        <w:t> </w:t>
      </w:r>
      <w:r>
        <w:rPr>
          <w:color w:val="231F20"/>
        </w:rPr>
        <w:t>holders</w:t>
      </w:r>
      <w:r>
        <w:rPr>
          <w:color w:val="231F20"/>
          <w:spacing w:val="-7"/>
        </w:rPr>
        <w:t> </w:t>
      </w:r>
      <w:r>
        <w:rPr>
          <w:color w:val="231F20"/>
        </w:rPr>
        <w:t>are</w:t>
      </w:r>
      <w:r>
        <w:rPr>
          <w:color w:val="231F20"/>
          <w:spacing w:val="-7"/>
        </w:rPr>
        <w:t> </w:t>
      </w:r>
      <w:r>
        <w:rPr>
          <w:color w:val="231F20"/>
        </w:rPr>
        <w:t>usually</w:t>
      </w:r>
      <w:r>
        <w:rPr>
          <w:color w:val="231F20"/>
          <w:spacing w:val="-7"/>
        </w:rPr>
        <w:t> </w:t>
      </w:r>
      <w:r>
        <w:rPr>
          <w:color w:val="231F20"/>
        </w:rPr>
        <w:t>high</w:t>
      </w:r>
      <w:r>
        <w:rPr>
          <w:color w:val="231F20"/>
          <w:spacing w:val="-7"/>
        </w:rPr>
        <w:t> </w:t>
      </w:r>
      <w:r>
        <w:rPr>
          <w:color w:val="231F20"/>
        </w:rPr>
        <w:t>performing</w:t>
      </w:r>
      <w:r>
        <w:rPr>
          <w:color w:val="231F20"/>
          <w:spacing w:val="-7"/>
        </w:rPr>
        <w:t> </w:t>
      </w:r>
      <w:r>
        <w:rPr>
          <w:color w:val="231F20"/>
          <w:spacing w:val="-1"/>
        </w:rPr>
        <w:t>leaders</w:t>
      </w:r>
      <w:r>
        <w:rPr/>
      </w:r>
    </w:p>
    <w:p>
      <w:pPr>
        <w:pStyle w:val="BodyText"/>
        <w:spacing w:line="250" w:lineRule="exact"/>
        <w:ind w:right="0"/>
        <w:jc w:val="left"/>
      </w:pPr>
      <w:r>
        <w:rPr>
          <w:color w:val="231F20"/>
        </w:rPr>
        <w:t>or</w:t>
      </w:r>
      <w:r>
        <w:rPr>
          <w:color w:val="231F20"/>
          <w:spacing w:val="-5"/>
        </w:rPr>
        <w:t> </w:t>
      </w:r>
      <w:r>
        <w:rPr>
          <w:color w:val="231F20"/>
        </w:rPr>
        <w:t>potential</w:t>
      </w:r>
      <w:r>
        <w:rPr>
          <w:color w:val="231F20"/>
          <w:spacing w:val="-5"/>
        </w:rPr>
        <w:t> </w:t>
      </w:r>
      <w:r>
        <w:rPr>
          <w:color w:val="231F20"/>
          <w:spacing w:val="-1"/>
        </w:rPr>
        <w:t>leaders</w:t>
      </w:r>
      <w:r>
        <w:rPr>
          <w:color w:val="231F20"/>
          <w:spacing w:val="-4"/>
        </w:rPr>
        <w:t> </w:t>
      </w:r>
      <w:r>
        <w:rPr>
          <w:color w:val="231F20"/>
        </w:rPr>
        <w:t>from</w:t>
      </w:r>
      <w:r>
        <w:rPr>
          <w:color w:val="231F20"/>
          <w:spacing w:val="-4"/>
        </w:rPr>
        <w:t> </w:t>
      </w:r>
      <w:r>
        <w:rPr>
          <w:color w:val="231F20"/>
        </w:rPr>
        <w:t>communities.</w:t>
      </w:r>
      <w:r>
        <w:rPr>
          <w:color w:val="231F20"/>
          <w:spacing w:val="-5"/>
        </w:rPr>
        <w:t> </w:t>
      </w:r>
      <w:r>
        <w:rPr>
          <w:color w:val="231F20"/>
        </w:rPr>
        <w:t>These</w:t>
      </w:r>
      <w:r>
        <w:rPr>
          <w:color w:val="231F20"/>
          <w:spacing w:val="22"/>
        </w:rPr>
        <w:t> </w:t>
      </w:r>
      <w:r>
        <w:rPr>
          <w:color w:val="231F20"/>
          <w:spacing w:val="-1"/>
        </w:rPr>
        <w:t>students</w:t>
      </w:r>
      <w:r>
        <w:rPr>
          <w:color w:val="231F20"/>
          <w:spacing w:val="-6"/>
        </w:rPr>
        <w:t> </w:t>
      </w:r>
      <w:r>
        <w:rPr>
          <w:color w:val="231F20"/>
        </w:rPr>
        <w:t>would</w:t>
      </w:r>
      <w:r>
        <w:rPr>
          <w:color w:val="231F20"/>
          <w:spacing w:val="-7"/>
        </w:rPr>
        <w:t> </w:t>
      </w:r>
      <w:r>
        <w:rPr>
          <w:color w:val="231F20"/>
        </w:rPr>
        <w:t>have</w:t>
      </w:r>
      <w:r>
        <w:rPr>
          <w:color w:val="231F20"/>
          <w:spacing w:val="-6"/>
        </w:rPr>
        <w:t> </w:t>
      </w:r>
      <w:r>
        <w:rPr>
          <w:color w:val="231F20"/>
        </w:rPr>
        <w:t>traditionally</w:t>
      </w:r>
      <w:r>
        <w:rPr>
          <w:color w:val="231F20"/>
          <w:spacing w:val="-7"/>
        </w:rPr>
        <w:t> </w:t>
      </w:r>
      <w:r>
        <w:rPr>
          <w:color w:val="231F20"/>
        </w:rPr>
        <w:t>played</w:t>
      </w:r>
      <w:r>
        <w:rPr>
          <w:color w:val="231F20"/>
          <w:spacing w:val="-7"/>
        </w:rPr>
        <w:t> </w:t>
      </w:r>
      <w:r>
        <w:rPr>
          <w:color w:val="231F20"/>
        </w:rPr>
        <w:t>an</w:t>
      </w:r>
      <w:r>
        <w:rPr>
          <w:color w:val="231F20"/>
          <w:spacing w:val="22"/>
          <w:w w:val="99"/>
        </w:rPr>
        <w:t> </w:t>
      </w:r>
      <w:r>
        <w:rPr>
          <w:color w:val="231F20"/>
          <w:spacing w:val="-1"/>
        </w:rPr>
        <w:t>important</w:t>
      </w:r>
      <w:r>
        <w:rPr>
          <w:color w:val="231F20"/>
          <w:spacing w:val="-7"/>
        </w:rPr>
        <w:t> </w:t>
      </w:r>
      <w:r>
        <w:rPr>
          <w:color w:val="231F20"/>
          <w:spacing w:val="-1"/>
        </w:rPr>
        <w:t>leadership</w:t>
      </w:r>
      <w:r>
        <w:rPr>
          <w:color w:val="231F20"/>
          <w:spacing w:val="-6"/>
        </w:rPr>
        <w:t> </w:t>
      </w:r>
      <w:r>
        <w:rPr>
          <w:color w:val="231F20"/>
        </w:rPr>
        <w:t>role</w:t>
      </w:r>
      <w:r>
        <w:rPr>
          <w:color w:val="231F20"/>
          <w:spacing w:val="-8"/>
        </w:rPr>
        <w:t> </w:t>
      </w:r>
      <w:r>
        <w:rPr>
          <w:color w:val="231F20"/>
        </w:rPr>
        <w:t>at</w:t>
      </w:r>
      <w:r>
        <w:rPr>
          <w:color w:val="231F20"/>
          <w:spacing w:val="-6"/>
        </w:rPr>
        <w:t> </w:t>
      </w:r>
      <w:r>
        <w:rPr>
          <w:color w:val="231F20"/>
        </w:rPr>
        <w:t>the</w:t>
      </w:r>
      <w:r>
        <w:rPr>
          <w:color w:val="231F20"/>
          <w:spacing w:val="-7"/>
        </w:rPr>
        <w:t> </w:t>
      </w:r>
      <w:r>
        <w:rPr>
          <w:color w:val="231F20"/>
        </w:rPr>
        <w:t>Aboriginal</w:t>
      </w:r>
      <w:r>
        <w:rPr>
          <w:color w:val="231F20"/>
          <w:spacing w:val="-7"/>
        </w:rPr>
        <w:t> </w:t>
      </w:r>
      <w:r>
        <w:rPr>
          <w:color w:val="231F20"/>
        </w:rPr>
        <w:t>and</w:t>
      </w:r>
      <w:r>
        <w:rPr>
          <w:color w:val="231F20"/>
          <w:spacing w:val="23"/>
          <w:w w:val="99"/>
        </w:rPr>
        <w:t> </w:t>
      </w:r>
      <w:r>
        <w:rPr>
          <w:color w:val="231F20"/>
          <w:spacing w:val="-5"/>
        </w:rPr>
        <w:t>Torres</w:t>
      </w:r>
      <w:r>
        <w:rPr>
          <w:color w:val="231F20"/>
          <w:spacing w:val="-7"/>
        </w:rPr>
        <w:t> </w:t>
      </w:r>
      <w:r>
        <w:rPr>
          <w:color w:val="231F20"/>
          <w:spacing w:val="-2"/>
        </w:rPr>
        <w:t>Strait</w:t>
      </w:r>
      <w:r>
        <w:rPr>
          <w:color w:val="231F20"/>
          <w:spacing w:val="-8"/>
        </w:rPr>
        <w:t> </w:t>
      </w:r>
      <w:r>
        <w:rPr>
          <w:color w:val="231F20"/>
          <w:spacing w:val="-1"/>
        </w:rPr>
        <w:t>Islander</w:t>
      </w:r>
      <w:r>
        <w:rPr>
          <w:color w:val="231F20"/>
          <w:spacing w:val="-7"/>
        </w:rPr>
        <w:t> </w:t>
      </w:r>
      <w:r>
        <w:rPr>
          <w:color w:val="231F20"/>
        </w:rPr>
        <w:t>boarding</w:t>
      </w:r>
      <w:r>
        <w:rPr>
          <w:color w:val="231F20"/>
          <w:spacing w:val="-7"/>
        </w:rPr>
        <w:t> </w:t>
      </w:r>
      <w:r>
        <w:rPr>
          <w:color w:val="231F20"/>
        </w:rPr>
        <w:t>providers.</w:t>
      </w:r>
      <w:r>
        <w:rPr/>
      </w:r>
    </w:p>
    <w:p>
      <w:pPr>
        <w:pStyle w:val="BodyText"/>
        <w:spacing w:line="250" w:lineRule="exact" w:before="113"/>
        <w:ind w:right="0"/>
        <w:jc w:val="left"/>
      </w:pPr>
      <w:r>
        <w:rPr>
          <w:color w:val="231F20"/>
        </w:rPr>
        <w:t>The</w:t>
      </w:r>
      <w:r>
        <w:rPr>
          <w:color w:val="231F20"/>
          <w:spacing w:val="-7"/>
        </w:rPr>
        <w:t> </w:t>
      </w:r>
      <w:r>
        <w:rPr>
          <w:color w:val="231F20"/>
        </w:rPr>
        <w:t>House</w:t>
      </w:r>
      <w:r>
        <w:rPr>
          <w:color w:val="231F20"/>
          <w:spacing w:val="-7"/>
        </w:rPr>
        <w:t> </w:t>
      </w:r>
      <w:r>
        <w:rPr>
          <w:color w:val="231F20"/>
        </w:rPr>
        <w:t>of</w:t>
      </w:r>
      <w:r>
        <w:rPr>
          <w:color w:val="231F20"/>
          <w:spacing w:val="-6"/>
        </w:rPr>
        <w:t> </w:t>
      </w:r>
      <w:r>
        <w:rPr>
          <w:color w:val="231F20"/>
          <w:spacing w:val="-1"/>
        </w:rPr>
        <w:t>Representatives</w:t>
      </w:r>
      <w:r>
        <w:rPr>
          <w:color w:val="231F20"/>
          <w:spacing w:val="-7"/>
        </w:rPr>
        <w:t> </w:t>
      </w:r>
      <w:r>
        <w:rPr>
          <w:color w:val="231F20"/>
          <w:spacing w:val="-1"/>
        </w:rPr>
        <w:t>Standing</w:t>
      </w:r>
      <w:r>
        <w:rPr>
          <w:color w:val="231F20"/>
          <w:spacing w:val="21"/>
          <w:w w:val="99"/>
        </w:rPr>
        <w:t> </w:t>
      </w:r>
      <w:r>
        <w:rPr>
          <w:rFonts w:ascii="Segoe UI"/>
          <w:color w:val="231F20"/>
        </w:rPr>
        <w:t>Committee</w:t>
      </w:r>
      <w:r>
        <w:rPr>
          <w:rFonts w:ascii="Segoe UI"/>
          <w:color w:val="231F20"/>
          <w:spacing w:val="-2"/>
        </w:rPr>
        <w:t> </w:t>
      </w:r>
      <w:r>
        <w:rPr>
          <w:rFonts w:ascii="Segoe UI"/>
          <w:color w:val="231F20"/>
        </w:rPr>
        <w:t>on</w:t>
      </w:r>
      <w:r>
        <w:rPr>
          <w:rFonts w:ascii="Segoe UI"/>
          <w:color w:val="231F20"/>
          <w:spacing w:val="-1"/>
        </w:rPr>
        <w:t> </w:t>
      </w:r>
      <w:r>
        <w:rPr>
          <w:rFonts w:ascii="Segoe UI"/>
          <w:color w:val="231F20"/>
        </w:rPr>
        <w:t>Indigenous</w:t>
      </w:r>
      <w:r>
        <w:rPr>
          <w:rFonts w:ascii="Segoe UI"/>
          <w:color w:val="231F20"/>
          <w:spacing w:val="-1"/>
        </w:rPr>
        <w:t> Affairs</w:t>
      </w:r>
      <w:r>
        <w:rPr>
          <w:rFonts w:ascii="Segoe UI Semibold"/>
          <w:b/>
          <w:color w:val="231F20"/>
          <w:spacing w:val="-1"/>
          <w:position w:val="7"/>
          <w:sz w:val="11"/>
        </w:rPr>
        <w:t>126</w:t>
      </w:r>
      <w:r>
        <w:rPr>
          <w:rFonts w:ascii="Segoe UI Semibold"/>
          <w:b/>
          <w:color w:val="231F20"/>
          <w:spacing w:val="22"/>
          <w:position w:val="7"/>
          <w:sz w:val="11"/>
        </w:rPr>
        <w:t> </w:t>
      </w:r>
      <w:r>
        <w:rPr>
          <w:color w:val="231F20"/>
        </w:rPr>
        <w:t>considered</w:t>
      </w:r>
      <w:r>
        <w:rPr>
          <w:color w:val="231F20"/>
          <w:spacing w:val="28"/>
          <w:w w:val="99"/>
        </w:rPr>
        <w:t> </w:t>
      </w:r>
      <w:r>
        <w:rPr>
          <w:color w:val="231F20"/>
          <w:spacing w:val="-1"/>
        </w:rPr>
        <w:t>scholarships</w:t>
      </w:r>
      <w:r>
        <w:rPr>
          <w:color w:val="231F20"/>
          <w:spacing w:val="-4"/>
        </w:rPr>
        <w:t> </w:t>
      </w:r>
      <w:r>
        <w:rPr>
          <w:color w:val="231F20"/>
        </w:rPr>
        <w:t>that</w:t>
      </w:r>
      <w:r>
        <w:rPr>
          <w:color w:val="231F20"/>
          <w:spacing w:val="-5"/>
        </w:rPr>
        <w:t> </w:t>
      </w:r>
      <w:r>
        <w:rPr>
          <w:color w:val="231F20"/>
          <w:spacing w:val="-1"/>
        </w:rPr>
        <w:t>support</w:t>
      </w:r>
      <w:r>
        <w:rPr>
          <w:color w:val="231F20"/>
          <w:spacing w:val="-5"/>
        </w:rPr>
        <w:t> </w:t>
      </w:r>
      <w:r>
        <w:rPr>
          <w:color w:val="231F20"/>
        </w:rPr>
        <w:t>Aboriginal</w:t>
      </w:r>
      <w:r>
        <w:rPr>
          <w:color w:val="231F20"/>
          <w:spacing w:val="-4"/>
        </w:rPr>
        <w:t> </w:t>
      </w:r>
      <w:r>
        <w:rPr>
          <w:color w:val="231F20"/>
        </w:rPr>
        <w:t>and</w:t>
      </w:r>
      <w:r>
        <w:rPr>
          <w:color w:val="231F20"/>
          <w:spacing w:val="-6"/>
        </w:rPr>
        <w:t> </w:t>
      </w:r>
      <w:r>
        <w:rPr>
          <w:color w:val="231F20"/>
          <w:spacing w:val="-5"/>
        </w:rPr>
        <w:t>Torres</w:t>
      </w:r>
      <w:r>
        <w:rPr>
          <w:color w:val="231F20"/>
          <w:spacing w:val="27"/>
          <w:w w:val="99"/>
        </w:rPr>
        <w:t> </w:t>
      </w:r>
      <w:r>
        <w:rPr>
          <w:color w:val="231F20"/>
          <w:spacing w:val="-2"/>
        </w:rPr>
        <w:t>Strait</w:t>
      </w:r>
      <w:r>
        <w:rPr>
          <w:color w:val="231F20"/>
          <w:spacing w:val="-7"/>
        </w:rPr>
        <w:t> </w:t>
      </w:r>
      <w:r>
        <w:rPr>
          <w:color w:val="231F20"/>
          <w:spacing w:val="-1"/>
        </w:rPr>
        <w:t>Islander</w:t>
      </w:r>
      <w:r>
        <w:rPr>
          <w:color w:val="231F20"/>
          <w:spacing w:val="-6"/>
        </w:rPr>
        <w:t> </w:t>
      </w:r>
      <w:r>
        <w:rPr>
          <w:color w:val="231F20"/>
          <w:spacing w:val="-1"/>
        </w:rPr>
        <w:t>students</w:t>
      </w:r>
      <w:r>
        <w:rPr>
          <w:color w:val="231F20"/>
          <w:spacing w:val="-6"/>
        </w:rPr>
        <w:t> </w:t>
      </w:r>
      <w:r>
        <w:rPr>
          <w:color w:val="231F20"/>
        </w:rPr>
        <w:t>to</w:t>
      </w:r>
      <w:r>
        <w:rPr>
          <w:color w:val="231F20"/>
          <w:spacing w:val="-5"/>
        </w:rPr>
        <w:t> </w:t>
      </w:r>
      <w:r>
        <w:rPr>
          <w:color w:val="231F20"/>
        </w:rPr>
        <w:t>attend</w:t>
      </w:r>
      <w:r>
        <w:rPr>
          <w:color w:val="231F20"/>
          <w:spacing w:val="-7"/>
        </w:rPr>
        <w:t> </w:t>
      </w:r>
      <w:r>
        <w:rPr>
          <w:color w:val="231F20"/>
        </w:rPr>
        <w:t>educational</w:t>
      </w:r>
      <w:r>
        <w:rPr>
          <w:color w:val="231F20"/>
          <w:spacing w:val="28"/>
          <w:w w:val="99"/>
        </w:rPr>
        <w:t> </w:t>
      </w:r>
      <w:r>
        <w:rPr>
          <w:color w:val="231F20"/>
        </w:rPr>
        <w:t>establishments.</w:t>
      </w:r>
      <w:r>
        <w:rPr/>
      </w:r>
    </w:p>
    <w:p>
      <w:pPr>
        <w:pStyle w:val="BodyText"/>
        <w:spacing w:line="250" w:lineRule="exact" w:before="113"/>
        <w:ind w:left="570" w:right="184"/>
        <w:jc w:val="left"/>
        <w:rPr>
          <w:rFonts w:ascii="Segoe UI Semibold" w:hAnsi="Segoe UI Semibold" w:cs="Segoe UI Semibold" w:eastAsia="Segoe UI Semibold"/>
        </w:rPr>
      </w:pPr>
      <w:r>
        <w:rPr>
          <w:rFonts w:ascii="Segoe UI Semibold" w:hAnsi="Segoe UI Semibold" w:cs="Segoe UI Semibold" w:eastAsia="Segoe UI Semibold"/>
          <w:b/>
          <w:bCs/>
          <w:color w:val="00779B"/>
        </w:rPr>
        <w:t>The</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Federal</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Government</w:t>
      </w:r>
      <w:r>
        <w:rPr>
          <w:rFonts w:ascii="Segoe UI Semibold" w:hAnsi="Segoe UI Semibold" w:cs="Segoe UI Semibold" w:eastAsia="Segoe UI Semibold"/>
          <w:b/>
          <w:bCs/>
          <w:color w:val="00779B"/>
        </w:rPr>
        <w:t> funds</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a</w:t>
      </w:r>
      <w:r>
        <w:rPr>
          <w:rFonts w:ascii="Segoe UI Semibold" w:hAnsi="Segoe UI Semibold" w:cs="Segoe UI Semibold" w:eastAsia="Segoe UI Semibold"/>
          <w:b/>
          <w:bCs/>
          <w:color w:val="00779B"/>
          <w:spacing w:val="-1"/>
        </w:rPr>
        <w:t> range</w:t>
      </w:r>
      <w:r>
        <w:rPr>
          <w:rFonts w:ascii="Segoe UI Semibold" w:hAnsi="Segoe UI Semibold" w:cs="Segoe UI Semibold" w:eastAsia="Segoe UI Semibold"/>
          <w:b/>
          <w:bCs/>
          <w:color w:val="00779B"/>
          <w:spacing w:val="21"/>
        </w:rPr>
        <w:t> </w:t>
      </w:r>
      <w:r>
        <w:rPr>
          <w:rFonts w:ascii="Segoe UI Semibold" w:hAnsi="Segoe UI Semibold" w:cs="Segoe UI Semibold" w:eastAsia="Segoe UI Semibold"/>
          <w:b/>
          <w:bCs/>
          <w:color w:val="00779B"/>
          <w:spacing w:val="-2"/>
        </w:rPr>
        <w:t>of</w:t>
      </w:r>
      <w:r>
        <w:rPr>
          <w:rFonts w:ascii="Segoe UI Semibold" w:hAnsi="Segoe UI Semibold" w:cs="Segoe UI Semibold" w:eastAsia="Segoe UI Semibold"/>
          <w:b/>
          <w:bCs/>
          <w:color w:val="00779B"/>
        </w:rPr>
        <w:t> scholarship and mobility </w:t>
      </w:r>
      <w:r>
        <w:rPr>
          <w:rFonts w:ascii="Segoe UI Semibold" w:hAnsi="Segoe UI Semibold" w:cs="Segoe UI Semibold" w:eastAsia="Segoe UI Semibold"/>
          <w:b/>
          <w:bCs/>
          <w:color w:val="00779B"/>
          <w:spacing w:val="-1"/>
        </w:rPr>
        <w:t>projects</w:t>
      </w:r>
      <w:r>
        <w:rPr>
          <w:rFonts w:ascii="Segoe UI Semibold" w:hAnsi="Segoe UI Semibold" w:cs="Segoe UI Semibold" w:eastAsia="Segoe UI Semibold"/>
          <w:b/>
          <w:bCs/>
          <w:color w:val="00779B"/>
          <w:spacing w:val="27"/>
        </w:rPr>
        <w:t> </w:t>
      </w:r>
      <w:r>
        <w:rPr>
          <w:rFonts w:ascii="Segoe UI Semibold" w:hAnsi="Segoe UI Semibold" w:cs="Segoe UI Semibold" w:eastAsia="Segoe UI Semibold"/>
          <w:b/>
          <w:bCs/>
          <w:color w:val="00779B"/>
          <w:spacing w:val="-1"/>
        </w:rPr>
        <w:t>through</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the</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Children </w:t>
      </w:r>
      <w:r>
        <w:rPr>
          <w:rFonts w:ascii="Segoe UI Semibold" w:hAnsi="Segoe UI Semibold" w:cs="Segoe UI Semibold" w:eastAsia="Segoe UI Semibold"/>
          <w:b/>
          <w:bCs/>
          <w:color w:val="00779B"/>
        </w:rPr>
        <w:t>and</w:t>
      </w:r>
      <w:r>
        <w:rPr>
          <w:rFonts w:ascii="Segoe UI Semibold" w:hAnsi="Segoe UI Semibold" w:cs="Segoe UI Semibold" w:eastAsia="Segoe UI Semibold"/>
          <w:b/>
          <w:bCs/>
          <w:color w:val="00779B"/>
          <w:spacing w:val="-1"/>
        </w:rPr>
        <w:t> Schooling</w:t>
      </w:r>
      <w:r>
        <w:rPr>
          <w:rFonts w:ascii="Segoe UI Semibold" w:hAnsi="Segoe UI Semibold" w:cs="Segoe UI Semibold" w:eastAsia="Segoe UI Semibold"/>
          <w:b/>
          <w:bCs/>
          <w:color w:val="00779B"/>
          <w:spacing w:val="26"/>
        </w:rPr>
        <w:t> </w:t>
      </w:r>
      <w:r>
        <w:rPr>
          <w:rFonts w:ascii="Segoe UI Semibold" w:hAnsi="Segoe UI Semibold" w:cs="Segoe UI Semibold" w:eastAsia="Segoe UI Semibold"/>
          <w:b/>
          <w:bCs/>
          <w:color w:val="00779B"/>
          <w:spacing w:val="-1"/>
        </w:rPr>
        <w:t>Programme.</w:t>
      </w:r>
      <w:r>
        <w:rPr>
          <w:rFonts w:ascii="Segoe UI Semibold" w:hAnsi="Segoe UI Semibold" w:cs="Segoe UI Semibold" w:eastAsia="Segoe UI Semibold"/>
          <w:b/>
          <w:bCs/>
          <w:color w:val="00779B"/>
          <w:spacing w:val="-4"/>
        </w:rPr>
        <w:t> </w:t>
      </w:r>
      <w:r>
        <w:rPr>
          <w:rFonts w:ascii="Segoe UI Semibold" w:hAnsi="Segoe UI Semibold" w:cs="Segoe UI Semibold" w:eastAsia="Segoe UI Semibold"/>
          <w:b/>
          <w:bCs/>
          <w:color w:val="00779B"/>
          <w:spacing w:val="-1"/>
        </w:rPr>
        <w:t>PM&amp;C</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told</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the</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committee</w:t>
      </w:r>
      <w:r>
        <w:rPr>
          <w:rFonts w:ascii="Segoe UI Semibold" w:hAnsi="Segoe UI Semibold" w:cs="Segoe UI Semibold" w:eastAsia="Segoe UI Semibold"/>
          <w:b/>
          <w:bCs/>
          <w:color w:val="00779B"/>
          <w:spacing w:val="22"/>
        </w:rPr>
        <w:t> </w:t>
      </w:r>
      <w:r>
        <w:rPr>
          <w:rFonts w:ascii="Segoe UI Semibold" w:hAnsi="Segoe UI Semibold" w:cs="Segoe UI Semibold" w:eastAsia="Segoe UI Semibold"/>
          <w:b/>
          <w:bCs/>
          <w:color w:val="00779B"/>
          <w:spacing w:val="-1"/>
        </w:rPr>
        <w:t>that,</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in 2015,</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the</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Federal</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Government</w:t>
      </w:r>
      <w:r>
        <w:rPr>
          <w:rFonts w:ascii="Segoe UI Semibold" w:hAnsi="Segoe UI Semibold" w:cs="Segoe UI Semibold" w:eastAsia="Segoe UI Semibold"/>
          <w:b/>
          <w:bCs/>
          <w:color w:val="00779B"/>
          <w:spacing w:val="25"/>
        </w:rPr>
        <w:t> </w:t>
      </w:r>
      <w:r>
        <w:rPr>
          <w:rFonts w:ascii="Segoe UI Semibold" w:hAnsi="Segoe UI Semibold" w:cs="Segoe UI Semibold" w:eastAsia="Segoe UI Semibold"/>
          <w:b/>
          <w:bCs/>
          <w:color w:val="00779B"/>
          <w:spacing w:val="-1"/>
        </w:rPr>
        <w:t>‘will provide</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$15.2 </w:t>
      </w:r>
      <w:r>
        <w:rPr>
          <w:rFonts w:ascii="Segoe UI Semibold" w:hAnsi="Segoe UI Semibold" w:cs="Segoe UI Semibold" w:eastAsia="Segoe UI Semibold"/>
          <w:b/>
          <w:bCs/>
          <w:color w:val="00779B"/>
        </w:rPr>
        <w:t>million</w:t>
      </w:r>
      <w:r>
        <w:rPr>
          <w:rFonts w:ascii="Segoe UI Semibold" w:hAnsi="Segoe UI Semibold" w:cs="Segoe UI Semibold" w:eastAsia="Segoe UI Semibold"/>
          <w:b/>
          <w:bCs/>
          <w:color w:val="00779B"/>
          <w:spacing w:val="-1"/>
        </w:rPr>
        <w:t> to </w:t>
      </w:r>
      <w:r>
        <w:rPr>
          <w:rFonts w:ascii="Segoe UI Semibold" w:hAnsi="Segoe UI Semibold" w:cs="Segoe UI Semibold" w:eastAsia="Segoe UI Semibold"/>
          <w:b/>
          <w:bCs/>
          <w:color w:val="00779B"/>
        </w:rPr>
        <w:t>support</w:t>
      </w:r>
      <w:r>
        <w:rPr>
          <w:rFonts w:ascii="Segoe UI Semibold" w:hAnsi="Segoe UI Semibold" w:cs="Segoe UI Semibold" w:eastAsia="Segoe UI Semibold"/>
          <w:b/>
          <w:bCs/>
          <w:color w:val="00779B"/>
          <w:spacing w:val="25"/>
        </w:rPr>
        <w:t> </w:t>
      </w:r>
      <w:r>
        <w:rPr>
          <w:rFonts w:ascii="Segoe UI Semibold" w:hAnsi="Segoe UI Semibold" w:cs="Segoe UI Semibold" w:eastAsia="Segoe UI Semibold"/>
          <w:b/>
          <w:bCs/>
          <w:color w:val="00779B"/>
          <w:spacing w:val="-1"/>
        </w:rPr>
        <w:t>778</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secondary</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scholarship </w:t>
      </w:r>
      <w:r>
        <w:rPr>
          <w:rFonts w:ascii="Segoe UI Semibold" w:hAnsi="Segoe UI Semibold" w:cs="Segoe UI Semibold" w:eastAsia="Segoe UI Semibold"/>
          <w:b/>
          <w:bCs/>
          <w:color w:val="00779B"/>
        </w:rPr>
        <w:t>holders</w:t>
      </w:r>
      <w:r>
        <w:rPr>
          <w:rFonts w:ascii="Segoe UI Semibold" w:hAnsi="Segoe UI Semibold" w:cs="Segoe UI Semibold" w:eastAsia="Segoe UI Semibold"/>
          <w:b/>
          <w:bCs/>
          <w:color w:val="00779B"/>
          <w:spacing w:val="27"/>
        </w:rPr>
        <w:t> </w:t>
      </w:r>
      <w:r>
        <w:rPr>
          <w:rFonts w:ascii="Segoe UI Semibold" w:hAnsi="Segoe UI Semibold" w:cs="Segoe UI Semibold" w:eastAsia="Segoe UI Semibold"/>
          <w:b/>
          <w:bCs/>
          <w:color w:val="00779B"/>
          <w:spacing w:val="-1"/>
        </w:rPr>
        <w:t>across</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70</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2"/>
        </w:rPr>
        <w:t>schools’.</w:t>
      </w:r>
      <w:r>
        <w:rPr>
          <w:rFonts w:ascii="Segoe UI Semibold" w:hAnsi="Segoe UI Semibold" w:cs="Segoe UI Semibold" w:eastAsia="Segoe UI Semibold"/>
        </w:rPr>
      </w:r>
    </w:p>
    <w:p>
      <w:pPr>
        <w:pStyle w:val="BodyText"/>
        <w:spacing w:line="250" w:lineRule="exact" w:before="113"/>
        <w:ind w:left="570" w:right="204"/>
        <w:jc w:val="left"/>
        <w:rPr>
          <w:rFonts w:ascii="Segoe UI Semibold" w:hAnsi="Segoe UI Semibold" w:cs="Segoe UI Semibold" w:eastAsia="Segoe UI Semibold"/>
        </w:rPr>
      </w:pPr>
      <w:r>
        <w:rPr>
          <w:rFonts w:ascii="Segoe UI Semibold" w:hAnsi="Segoe UI Semibold" w:cs="Segoe UI Semibold" w:eastAsia="Segoe UI Semibold"/>
          <w:b/>
          <w:bCs/>
          <w:color w:val="00779B"/>
        </w:rPr>
        <w:t>…</w:t>
      </w:r>
      <w:r>
        <w:rPr>
          <w:rFonts w:ascii="Segoe UI Semibold" w:hAnsi="Segoe UI Semibold" w:cs="Segoe UI Semibold" w:eastAsia="Segoe UI Semibold"/>
          <w:b/>
          <w:bCs/>
          <w:color w:val="00779B"/>
          <w:spacing w:val="-1"/>
        </w:rPr>
        <w:t> the</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Federal</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Government</w:t>
      </w:r>
      <w:r>
        <w:rPr>
          <w:rFonts w:ascii="Segoe UI Semibold" w:hAnsi="Segoe UI Semibold" w:cs="Segoe UI Semibold" w:eastAsia="Segoe UI Semibold"/>
          <w:b/>
          <w:bCs/>
          <w:color w:val="00779B"/>
        </w:rPr>
        <w:t> has</w:t>
      </w:r>
      <w:r>
        <w:rPr>
          <w:rFonts w:ascii="Segoe UI Semibold" w:hAnsi="Segoe UI Semibold" w:cs="Segoe UI Semibold" w:eastAsia="Segoe UI Semibold"/>
          <w:b/>
          <w:bCs/>
          <w:color w:val="00779B"/>
          <w:spacing w:val="23"/>
        </w:rPr>
        <w:t> </w:t>
      </w:r>
      <w:r>
        <w:rPr>
          <w:rFonts w:ascii="Segoe UI Semibold" w:hAnsi="Segoe UI Semibold" w:cs="Segoe UI Semibold" w:eastAsia="Segoe UI Semibold"/>
          <w:b/>
          <w:bCs/>
          <w:color w:val="00779B"/>
          <w:spacing w:val="-1"/>
        </w:rPr>
        <w:t>‘provided </w:t>
      </w:r>
      <w:r>
        <w:rPr>
          <w:rFonts w:ascii="Segoe UI Semibold" w:hAnsi="Segoe UI Semibold" w:cs="Segoe UI Semibold" w:eastAsia="Segoe UI Semibold"/>
          <w:b/>
          <w:bCs/>
          <w:color w:val="00779B"/>
        </w:rPr>
        <w:t>a </w:t>
      </w:r>
      <w:r>
        <w:rPr>
          <w:rFonts w:ascii="Segoe UI Semibold" w:hAnsi="Segoe UI Semibold" w:cs="Segoe UI Semibold" w:eastAsia="Segoe UI Semibold"/>
          <w:b/>
          <w:bCs/>
          <w:color w:val="00779B"/>
          <w:spacing w:val="-1"/>
        </w:rPr>
        <w:t>total</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2"/>
        </w:rPr>
        <w:t>of</w:t>
      </w:r>
      <w:r>
        <w:rPr>
          <w:rFonts w:ascii="Segoe UI Semibold" w:hAnsi="Segoe UI Semibold" w:cs="Segoe UI Semibold" w:eastAsia="Segoe UI Semibold"/>
          <w:b/>
          <w:bCs/>
          <w:color w:val="00779B"/>
          <w:spacing w:val="-1"/>
        </w:rPr>
        <w:t> $38</w:t>
      </w:r>
      <w:r>
        <w:rPr>
          <w:rFonts w:ascii="Segoe UI Semibold" w:hAnsi="Segoe UI Semibold" w:cs="Segoe UI Semibold" w:eastAsia="Segoe UI Semibold"/>
          <w:b/>
          <w:bCs/>
          <w:color w:val="00779B"/>
        </w:rPr>
        <w:t> million</w:t>
      </w:r>
      <w:r>
        <w:rPr>
          <w:rFonts w:ascii="Segoe UI Semibold" w:hAnsi="Segoe UI Semibold" w:cs="Segoe UI Semibold" w:eastAsia="Segoe UI Semibold"/>
          <w:b/>
          <w:bCs/>
          <w:color w:val="00779B"/>
          <w:spacing w:val="-1"/>
        </w:rPr>
        <w:t> since</w:t>
      </w:r>
      <w:r>
        <w:rPr>
          <w:rFonts w:ascii="Segoe UI Semibold" w:hAnsi="Segoe UI Semibold" w:cs="Segoe UI Semibold" w:eastAsia="Segoe UI Semibold"/>
          <w:b/>
          <w:bCs/>
          <w:color w:val="00779B"/>
          <w:spacing w:val="21"/>
        </w:rPr>
        <w:t> </w:t>
      </w:r>
      <w:r>
        <w:rPr>
          <w:rFonts w:ascii="Segoe UI Semibold" w:hAnsi="Segoe UI Semibold" w:cs="Segoe UI Semibold" w:eastAsia="Segoe UI Semibold"/>
          <w:b/>
          <w:bCs/>
          <w:color w:val="00779B"/>
          <w:spacing w:val="-1"/>
        </w:rPr>
        <w:t>2009</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to the</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Australian</w:t>
      </w:r>
      <w:r>
        <w:rPr>
          <w:rFonts w:ascii="Segoe UI Semibold" w:hAnsi="Segoe UI Semibold" w:cs="Segoe UI Semibold" w:eastAsia="Segoe UI Semibold"/>
          <w:b/>
          <w:bCs/>
          <w:color w:val="00779B"/>
        </w:rPr>
        <w:t> Indigenous</w:t>
      </w:r>
      <w:r>
        <w:rPr>
          <w:rFonts w:ascii="Segoe UI Semibold" w:hAnsi="Segoe UI Semibold" w:cs="Segoe UI Semibold" w:eastAsia="Segoe UI Semibold"/>
          <w:b/>
          <w:bCs/>
          <w:color w:val="00779B"/>
          <w:spacing w:val="24"/>
        </w:rPr>
        <w:t> </w:t>
      </w:r>
      <w:r>
        <w:rPr>
          <w:rFonts w:ascii="Segoe UI Semibold" w:hAnsi="Segoe UI Semibold" w:cs="Segoe UI Semibold" w:eastAsia="Segoe UI Semibold"/>
          <w:b/>
          <w:bCs/>
          <w:color w:val="00779B"/>
        </w:rPr>
        <w:t>Education</w:t>
      </w:r>
      <w:r>
        <w:rPr>
          <w:rFonts w:ascii="Segoe UI Semibold" w:hAnsi="Segoe UI Semibold" w:cs="Segoe UI Semibold" w:eastAsia="Segoe UI Semibold"/>
          <w:b/>
          <w:bCs/>
          <w:color w:val="00779B"/>
          <w:spacing w:val="-4"/>
        </w:rPr>
        <w:t> </w:t>
      </w:r>
      <w:r>
        <w:rPr>
          <w:rFonts w:ascii="Segoe UI Semibold" w:hAnsi="Segoe UI Semibold" w:cs="Segoe UI Semibold" w:eastAsia="Segoe UI Semibold"/>
          <w:b/>
          <w:bCs/>
          <w:color w:val="00779B"/>
          <w:spacing w:val="-1"/>
        </w:rPr>
        <w:t>Foundation </w:t>
      </w:r>
      <w:r>
        <w:rPr>
          <w:rFonts w:ascii="Segoe UI Semibold" w:hAnsi="Segoe UI Semibold" w:cs="Segoe UI Semibold" w:eastAsia="Segoe UI Semibold"/>
          <w:b/>
          <w:bCs/>
          <w:color w:val="00779B"/>
        </w:rPr>
        <w:t>[AIEF]</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to</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provide</w:t>
      </w:r>
      <w:r>
        <w:rPr>
          <w:rFonts w:ascii="Segoe UI Semibold" w:hAnsi="Segoe UI Semibold" w:cs="Segoe UI Semibold" w:eastAsia="Segoe UI Semibold"/>
          <w:b/>
          <w:bCs/>
          <w:color w:val="00779B"/>
          <w:spacing w:val="22"/>
        </w:rPr>
        <w:t> </w:t>
      </w:r>
      <w:r>
        <w:rPr>
          <w:rFonts w:ascii="Segoe UI Semibold" w:hAnsi="Segoe UI Semibold" w:cs="Segoe UI Semibold" w:eastAsia="Segoe UI Semibold"/>
          <w:b/>
          <w:bCs/>
          <w:color w:val="00779B"/>
          <w:spacing w:val="-1"/>
        </w:rPr>
        <w:t>scholarships</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to </w:t>
      </w:r>
      <w:r>
        <w:rPr>
          <w:rFonts w:ascii="Segoe UI Semibold" w:hAnsi="Segoe UI Semibold" w:cs="Segoe UI Semibold" w:eastAsia="Segoe UI Semibold"/>
          <w:b/>
          <w:bCs/>
          <w:color w:val="00779B"/>
        </w:rPr>
        <w:t>support</w:t>
      </w:r>
      <w:r>
        <w:rPr>
          <w:rFonts w:ascii="Segoe UI Semibold" w:hAnsi="Segoe UI Semibold" w:cs="Segoe UI Semibold" w:eastAsia="Segoe UI Semibold"/>
          <w:b/>
          <w:bCs/>
          <w:color w:val="00779B"/>
          <w:spacing w:val="-1"/>
        </w:rPr>
        <w:t> Aboriginal</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and</w:t>
      </w:r>
      <w:r>
        <w:rPr>
          <w:rFonts w:ascii="Segoe UI Semibold" w:hAnsi="Segoe UI Semibold" w:cs="Segoe UI Semibold" w:eastAsia="Segoe UI Semibold"/>
          <w:b/>
          <w:bCs/>
          <w:color w:val="00779B"/>
          <w:spacing w:val="25"/>
        </w:rPr>
        <w:t> </w:t>
      </w:r>
      <w:r>
        <w:rPr>
          <w:rFonts w:ascii="Segoe UI Semibold" w:hAnsi="Segoe UI Semibold" w:cs="Segoe UI Semibold" w:eastAsia="Segoe UI Semibold"/>
          <w:b/>
          <w:bCs/>
          <w:color w:val="00779B"/>
          <w:spacing w:val="-6"/>
        </w:rPr>
        <w:t>T</w:t>
      </w:r>
      <w:r>
        <w:rPr>
          <w:rFonts w:ascii="Segoe UI Semibold" w:hAnsi="Segoe UI Semibold" w:cs="Segoe UI Semibold" w:eastAsia="Segoe UI Semibold"/>
          <w:b/>
          <w:bCs/>
          <w:color w:val="00779B"/>
          <w:spacing w:val="-5"/>
        </w:rPr>
        <w:t>orres</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spacing w:val="-2"/>
        </w:rPr>
        <w:t>Strait</w:t>
      </w:r>
      <w:r>
        <w:rPr>
          <w:rFonts w:ascii="Segoe UI Semibold" w:hAnsi="Segoe UI Semibold" w:cs="Segoe UI Semibold" w:eastAsia="Segoe UI Semibold"/>
          <w:b/>
          <w:bCs/>
          <w:color w:val="00779B"/>
        </w:rPr>
        <w:t> Islander</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students</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to </w:t>
      </w:r>
      <w:r>
        <w:rPr>
          <w:rFonts w:ascii="Segoe UI Semibold" w:hAnsi="Segoe UI Semibold" w:cs="Segoe UI Semibold" w:eastAsia="Segoe UI Semibold"/>
          <w:b/>
          <w:bCs/>
          <w:color w:val="00779B"/>
        </w:rPr>
        <w:t>assist</w:t>
      </w:r>
      <w:r>
        <w:rPr>
          <w:rFonts w:ascii="Segoe UI Semibold" w:hAnsi="Segoe UI Semibold" w:cs="Segoe UI Semibold" w:eastAsia="Segoe UI Semibold"/>
          <w:b/>
          <w:bCs/>
          <w:color w:val="00779B"/>
          <w:spacing w:val="30"/>
        </w:rPr>
        <w:t> </w:t>
      </w:r>
      <w:r>
        <w:rPr>
          <w:rFonts w:ascii="Segoe UI Semibold" w:hAnsi="Segoe UI Semibold" w:cs="Segoe UI Semibold" w:eastAsia="Segoe UI Semibold"/>
          <w:b/>
          <w:bCs/>
          <w:color w:val="00779B"/>
          <w:spacing w:val="-1"/>
        </w:rPr>
        <w:t>with pastoral</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care,</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tuition</w:t>
      </w:r>
      <w:r>
        <w:rPr>
          <w:rFonts w:ascii="Segoe UI Semibold" w:hAnsi="Segoe UI Semibold" w:cs="Segoe UI Semibold" w:eastAsia="Segoe UI Semibold"/>
          <w:b/>
          <w:bCs/>
          <w:color w:val="00779B"/>
        </w:rPr>
        <w:t> and</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other</w:t>
      </w:r>
      <w:r>
        <w:rPr>
          <w:rFonts w:ascii="Segoe UI Semibold" w:hAnsi="Segoe UI Semibold" w:cs="Segoe UI Semibold" w:eastAsia="Segoe UI Semibold"/>
          <w:b/>
          <w:bCs/>
          <w:color w:val="00779B"/>
          <w:spacing w:val="22"/>
        </w:rPr>
        <w:t> </w:t>
      </w:r>
      <w:r>
        <w:rPr>
          <w:rFonts w:ascii="Segoe UI Semibold" w:hAnsi="Segoe UI Semibold" w:cs="Segoe UI Semibold" w:eastAsia="Segoe UI Semibold"/>
          <w:b/>
          <w:bCs/>
          <w:color w:val="00779B"/>
          <w:spacing w:val="-1"/>
        </w:rPr>
        <w:t>boarding-related</w:t>
      </w:r>
      <w:r>
        <w:rPr>
          <w:rFonts w:ascii="Segoe UI Semibold" w:hAnsi="Segoe UI Semibold" w:cs="Segoe UI Semibold" w:eastAsia="Segoe UI Semibold"/>
          <w:b/>
          <w:bCs/>
          <w:color w:val="00779B"/>
          <w:spacing w:val="-11"/>
        </w:rPr>
        <w:t> </w:t>
      </w:r>
      <w:r>
        <w:rPr>
          <w:rFonts w:ascii="Segoe UI Semibold" w:hAnsi="Segoe UI Semibold" w:cs="Segoe UI Semibold" w:eastAsia="Segoe UI Semibold"/>
          <w:b/>
          <w:bCs/>
          <w:color w:val="00779B"/>
          <w:spacing w:val="-2"/>
        </w:rPr>
        <w:t>costs’.</w:t>
      </w:r>
      <w:r>
        <w:rPr>
          <w:rFonts w:ascii="Segoe UI Semibold" w:hAnsi="Segoe UI Semibold" w:cs="Segoe UI Semibold" w:eastAsia="Segoe UI Semibold"/>
        </w:rPr>
      </w:r>
    </w:p>
    <w:p>
      <w:pPr>
        <w:pStyle w:val="BodyText"/>
        <w:spacing w:line="250" w:lineRule="exact" w:before="113"/>
        <w:ind w:left="570" w:right="184"/>
        <w:jc w:val="left"/>
        <w:rPr>
          <w:rFonts w:ascii="Segoe UI Semibold" w:hAnsi="Segoe UI Semibold" w:cs="Segoe UI Semibold" w:eastAsia="Segoe UI Semibold"/>
        </w:rPr>
      </w:pPr>
      <w:r>
        <w:rPr>
          <w:rFonts w:ascii="Segoe UI Semibold" w:hAnsi="Segoe UI Semibold" w:cs="Segoe UI Semibold" w:eastAsia="Segoe UI Semibold"/>
          <w:b/>
          <w:bCs/>
          <w:color w:val="00779B"/>
          <w:spacing w:val="-1"/>
        </w:rPr>
        <w:t>Furthermore,</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in 2017</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the</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Federal</w:t>
      </w:r>
      <w:r>
        <w:rPr>
          <w:rFonts w:ascii="Segoe UI Semibold" w:hAnsi="Segoe UI Semibold" w:cs="Segoe UI Semibold" w:eastAsia="Segoe UI Semibold"/>
          <w:b/>
          <w:bCs/>
          <w:color w:val="00779B"/>
          <w:spacing w:val="29"/>
        </w:rPr>
        <w:t> </w:t>
      </w:r>
      <w:r>
        <w:rPr>
          <w:rFonts w:ascii="Segoe UI Semibold" w:hAnsi="Segoe UI Semibold" w:cs="Segoe UI Semibold" w:eastAsia="Segoe UI Semibold"/>
          <w:b/>
          <w:bCs/>
          <w:color w:val="00779B"/>
          <w:spacing w:val="-1"/>
        </w:rPr>
        <w:t>Government </w:t>
      </w:r>
      <w:r>
        <w:rPr>
          <w:rFonts w:ascii="Segoe UI Semibold" w:hAnsi="Segoe UI Semibold" w:cs="Segoe UI Semibold" w:eastAsia="Segoe UI Semibold"/>
          <w:b/>
          <w:bCs/>
          <w:color w:val="00779B"/>
        </w:rPr>
        <w:t>announced</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that the AIEF</w:t>
      </w:r>
      <w:r>
        <w:rPr>
          <w:rFonts w:ascii="Segoe UI Semibold" w:hAnsi="Segoe UI Semibold" w:cs="Segoe UI Semibold" w:eastAsia="Segoe UI Semibold"/>
          <w:b/>
          <w:bCs/>
          <w:color w:val="00779B"/>
          <w:spacing w:val="22"/>
          <w:w w:val="99"/>
        </w:rPr>
        <w:t> </w:t>
      </w:r>
      <w:r>
        <w:rPr>
          <w:rFonts w:ascii="Segoe UI Semibold" w:hAnsi="Segoe UI Semibold" w:cs="Segoe UI Semibold" w:eastAsia="Segoe UI Semibold"/>
          <w:b/>
          <w:bCs/>
          <w:color w:val="00779B"/>
          <w:spacing w:val="-1"/>
        </w:rPr>
        <w:t>will </w:t>
      </w:r>
      <w:r>
        <w:rPr>
          <w:rFonts w:ascii="Segoe UI Semibold" w:hAnsi="Segoe UI Semibold" w:cs="Segoe UI Semibold" w:eastAsia="Segoe UI Semibold"/>
          <w:b/>
          <w:bCs/>
          <w:color w:val="00779B"/>
        </w:rPr>
        <w:t>be</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provided with</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$30 </w:t>
      </w:r>
      <w:r>
        <w:rPr>
          <w:rFonts w:ascii="Segoe UI Semibold" w:hAnsi="Segoe UI Semibold" w:cs="Segoe UI Semibold" w:eastAsia="Segoe UI Semibold"/>
          <w:b/>
          <w:bCs/>
          <w:color w:val="00779B"/>
        </w:rPr>
        <w:t>million</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to</w:t>
      </w:r>
      <w:r>
        <w:rPr>
          <w:rFonts w:ascii="Segoe UI Semibold" w:hAnsi="Segoe UI Semibold" w:cs="Segoe UI Semibold" w:eastAsia="Segoe UI Semibold"/>
          <w:b/>
          <w:bCs/>
          <w:color w:val="00779B"/>
          <w:spacing w:val="26"/>
        </w:rPr>
        <w:t> </w:t>
      </w:r>
      <w:r>
        <w:rPr>
          <w:rFonts w:ascii="Segoe UI Semibold" w:hAnsi="Segoe UI Semibold" w:cs="Segoe UI Semibold" w:eastAsia="Segoe UI Semibold"/>
          <w:b/>
          <w:bCs/>
          <w:color w:val="00779B"/>
          <w:spacing w:val="-1"/>
        </w:rPr>
        <w:t>‘support up</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to 500</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students</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each</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year</w:t>
      </w:r>
      <w:r>
        <w:rPr>
          <w:rFonts w:ascii="Segoe UI Semibold" w:hAnsi="Segoe UI Semibold" w:cs="Segoe UI Semibold" w:eastAsia="Segoe UI Semibold"/>
          <w:b/>
          <w:bCs/>
          <w:color w:val="00779B"/>
          <w:spacing w:val="24"/>
        </w:rPr>
        <w:t> </w:t>
      </w:r>
      <w:r>
        <w:rPr>
          <w:rFonts w:ascii="Segoe UI Semibold" w:hAnsi="Segoe UI Semibold" w:cs="Segoe UI Semibold" w:eastAsia="Segoe UI Semibold"/>
          <w:b/>
          <w:bCs/>
          <w:color w:val="00779B"/>
        </w:rPr>
        <w:t>for</w:t>
      </w:r>
      <w:r>
        <w:rPr>
          <w:rFonts w:ascii="Segoe UI Semibold" w:hAnsi="Segoe UI Semibold" w:cs="Segoe UI Semibold" w:eastAsia="Segoe UI Semibold"/>
          <w:b/>
          <w:bCs/>
          <w:color w:val="00779B"/>
          <w:spacing w:val="-1"/>
        </w:rPr>
        <w:t> three</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years </w:t>
      </w:r>
      <w:r>
        <w:rPr>
          <w:rFonts w:ascii="Segoe UI Semibold" w:hAnsi="Segoe UI Semibold" w:cs="Segoe UI Semibold" w:eastAsia="Segoe UI Semibold"/>
          <w:b/>
          <w:bCs/>
          <w:color w:val="00779B"/>
        </w:rPr>
        <w:t>(up </w:t>
      </w:r>
      <w:r>
        <w:rPr>
          <w:rFonts w:ascii="Segoe UI Semibold" w:hAnsi="Segoe UI Semibold" w:cs="Segoe UI Semibold" w:eastAsia="Segoe UI Semibold"/>
          <w:b/>
          <w:bCs/>
          <w:color w:val="00779B"/>
          <w:spacing w:val="-1"/>
        </w:rPr>
        <w:t>to December</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2020)</w:t>
      </w:r>
      <w:r>
        <w:rPr>
          <w:rFonts w:ascii="Segoe UI Semibold" w:hAnsi="Segoe UI Semibold" w:cs="Segoe UI Semibold" w:eastAsia="Segoe UI Semibold"/>
          <w:b/>
          <w:bCs/>
          <w:color w:val="00779B"/>
          <w:spacing w:val="23"/>
        </w:rPr>
        <w:t> </w:t>
      </w:r>
      <w:r>
        <w:rPr>
          <w:rFonts w:ascii="Segoe UI Semibold" w:hAnsi="Segoe UI Semibold" w:cs="Segoe UI Semibold" w:eastAsia="Segoe UI Semibold"/>
          <w:b/>
          <w:bCs/>
          <w:color w:val="00779B"/>
          <w:spacing w:val="-1"/>
        </w:rPr>
        <w:t>to attend</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leading</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Australian</w:t>
      </w:r>
      <w:r>
        <w:rPr>
          <w:rFonts w:ascii="Segoe UI Semibold" w:hAnsi="Segoe UI Semibold" w:cs="Segoe UI Semibold" w:eastAsia="Segoe UI Semibold"/>
          <w:b/>
          <w:bCs/>
          <w:color w:val="00779B"/>
        </w:rPr>
        <w:t> secondary</w:t>
      </w:r>
      <w:r>
        <w:rPr>
          <w:rFonts w:ascii="Segoe UI Semibold" w:hAnsi="Segoe UI Semibold" w:cs="Segoe UI Semibold" w:eastAsia="Segoe UI Semibold"/>
          <w:b/>
          <w:bCs/>
          <w:color w:val="00779B"/>
          <w:spacing w:val="26"/>
        </w:rPr>
        <w:t> </w:t>
      </w:r>
      <w:r>
        <w:rPr>
          <w:rFonts w:ascii="Segoe UI Semibold" w:hAnsi="Segoe UI Semibold" w:cs="Segoe UI Semibold" w:eastAsia="Segoe UI Semibold"/>
          <w:b/>
          <w:bCs/>
          <w:color w:val="00779B"/>
          <w:spacing w:val="-1"/>
        </w:rPr>
        <w:t>colleges’ </w:t>
      </w:r>
      <w:r>
        <w:rPr>
          <w:rFonts w:ascii="Segoe UI Semibold" w:hAnsi="Segoe UI Semibold" w:cs="Segoe UI Semibold" w:eastAsia="Segoe UI Semibold"/>
          <w:b/>
          <w:bCs/>
          <w:color w:val="00779B"/>
        </w:rPr>
        <w:t>and</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provide</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mentoring.</w:t>
      </w:r>
      <w:r>
        <w:rPr>
          <w:rFonts w:ascii="Segoe UI Semibold" w:hAnsi="Segoe UI Semibold" w:cs="Segoe UI Semibold" w:eastAsia="Segoe UI Semibold"/>
        </w:rPr>
      </w:r>
    </w:p>
    <w:p>
      <w:pPr>
        <w:pStyle w:val="BodyText"/>
        <w:spacing w:line="250" w:lineRule="exact" w:before="62"/>
        <w:ind w:right="328"/>
        <w:jc w:val="left"/>
        <w:rPr>
          <w:rFonts w:ascii="Segoe UI Semibold" w:hAnsi="Segoe UI Semibold" w:cs="Segoe UI Semibold" w:eastAsia="Segoe UI Semibold"/>
        </w:rPr>
      </w:pPr>
      <w:r>
        <w:rPr/>
        <w:br w:type="column"/>
      </w:r>
      <w:r>
        <w:rPr>
          <w:rFonts w:ascii="Segoe UI Semibold"/>
          <w:b/>
          <w:color w:val="00779B"/>
          <w:spacing w:val="-1"/>
        </w:rPr>
        <w:t>Mr</w:t>
      </w:r>
      <w:r>
        <w:rPr>
          <w:rFonts w:ascii="Segoe UI Semibold"/>
          <w:b/>
          <w:color w:val="00779B"/>
          <w:spacing w:val="-2"/>
        </w:rPr>
        <w:t> </w:t>
      </w:r>
      <w:r>
        <w:rPr>
          <w:rFonts w:ascii="Segoe UI Semibold"/>
          <w:b/>
          <w:color w:val="00779B"/>
          <w:spacing w:val="-1"/>
        </w:rPr>
        <w:t>Richard Stewart, AFL Cape </w:t>
      </w:r>
      <w:r>
        <w:rPr>
          <w:rFonts w:ascii="Segoe UI Semibold"/>
          <w:b/>
          <w:color w:val="00779B"/>
          <w:spacing w:val="-6"/>
        </w:rPr>
        <w:t>York</w:t>
      </w:r>
      <w:r>
        <w:rPr>
          <w:rFonts w:ascii="Segoe UI Semibold"/>
          <w:b/>
          <w:color w:val="00779B"/>
          <w:spacing w:val="24"/>
        </w:rPr>
        <w:t> </w:t>
      </w:r>
      <w:r>
        <w:rPr>
          <w:rFonts w:ascii="Segoe UI Semibold"/>
          <w:b/>
          <w:color w:val="00779B"/>
          <w:spacing w:val="-1"/>
        </w:rPr>
        <w:t>House,</w:t>
      </w:r>
      <w:r>
        <w:rPr>
          <w:rFonts w:ascii="Segoe UI Semibold"/>
          <w:b/>
          <w:color w:val="00779B"/>
        </w:rPr>
        <w:t> </w:t>
      </w:r>
      <w:r>
        <w:rPr>
          <w:rFonts w:ascii="Segoe UI Semibold"/>
          <w:b/>
          <w:color w:val="00779B"/>
          <w:spacing w:val="-1"/>
        </w:rPr>
        <w:t>explained</w:t>
      </w:r>
      <w:r>
        <w:rPr>
          <w:rFonts w:ascii="Segoe UI Semibold"/>
          <w:b/>
          <w:color w:val="00779B"/>
        </w:rPr>
        <w:t> </w:t>
      </w:r>
      <w:r>
        <w:rPr>
          <w:rFonts w:ascii="Segoe UI Semibold"/>
          <w:b/>
          <w:color w:val="00779B"/>
          <w:spacing w:val="-1"/>
        </w:rPr>
        <w:t>that:</w:t>
      </w:r>
      <w:r>
        <w:rPr>
          <w:rFonts w:ascii="Segoe UI Semibold"/>
        </w:rPr>
      </w:r>
    </w:p>
    <w:p>
      <w:pPr>
        <w:pStyle w:val="BodyText"/>
        <w:spacing w:line="250" w:lineRule="exact" w:before="113"/>
        <w:ind w:right="328"/>
        <w:jc w:val="left"/>
        <w:rPr>
          <w:rFonts w:ascii="Segoe UI Semibold" w:hAnsi="Segoe UI Semibold" w:cs="Segoe UI Semibold" w:eastAsia="Segoe UI Semibold"/>
        </w:rPr>
      </w:pPr>
      <w:r>
        <w:rPr>
          <w:rFonts w:ascii="Segoe UI Semibold" w:hAnsi="Segoe UI Semibold" w:cs="Segoe UI Semibold" w:eastAsia="Segoe UI Semibold"/>
          <w:b/>
          <w:bCs/>
          <w:color w:val="00779B"/>
        </w:rPr>
        <w:t>I</w:t>
      </w:r>
      <w:r>
        <w:rPr>
          <w:rFonts w:ascii="Segoe UI Semibold" w:hAnsi="Segoe UI Semibold" w:cs="Segoe UI Semibold" w:eastAsia="Segoe UI Semibold"/>
          <w:b/>
          <w:bCs/>
          <w:color w:val="00779B"/>
          <w:spacing w:val="-1"/>
        </w:rPr>
        <w:t> think</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we</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need</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to</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be</w:t>
      </w:r>
      <w:r>
        <w:rPr>
          <w:rFonts w:ascii="Segoe UI Semibold" w:hAnsi="Segoe UI Semibold" w:cs="Segoe UI Semibold" w:eastAsia="Segoe UI Semibold"/>
          <w:b/>
          <w:bCs/>
          <w:color w:val="00779B"/>
          <w:spacing w:val="-1"/>
        </w:rPr>
        <w:t> quite clear</w:t>
      </w:r>
      <w:r>
        <w:rPr>
          <w:rFonts w:ascii="Segoe UI Semibold" w:hAnsi="Segoe UI Semibold" w:cs="Segoe UI Semibold" w:eastAsia="Segoe UI Semibold"/>
          <w:b/>
          <w:bCs/>
          <w:color w:val="00779B"/>
          <w:spacing w:val="26"/>
        </w:rPr>
        <w:t> </w:t>
      </w:r>
      <w:r>
        <w:rPr>
          <w:rFonts w:ascii="Segoe UI Semibold" w:hAnsi="Segoe UI Semibold" w:cs="Segoe UI Semibold" w:eastAsia="Segoe UI Semibold"/>
          <w:b/>
          <w:bCs/>
          <w:color w:val="00779B"/>
        </w:rPr>
        <w:t>about</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how</w:t>
      </w:r>
      <w:r>
        <w:rPr>
          <w:rFonts w:ascii="Segoe UI Semibold" w:hAnsi="Segoe UI Semibold" w:cs="Segoe UI Semibold" w:eastAsia="Segoe UI Semibold"/>
          <w:b/>
          <w:bCs/>
          <w:color w:val="00779B"/>
          <w:spacing w:val="-1"/>
        </w:rPr>
        <w:t> we determine</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success.</w:t>
      </w:r>
      <w:r>
        <w:rPr>
          <w:rFonts w:ascii="Segoe UI Semibold" w:hAnsi="Segoe UI Semibold" w:cs="Segoe UI Semibold" w:eastAsia="Segoe UI Semibold"/>
          <w:b/>
          <w:bCs/>
          <w:color w:val="00779B"/>
        </w:rPr>
        <w:t> The</w:t>
      </w:r>
      <w:r>
        <w:rPr>
          <w:rFonts w:ascii="Segoe UI Semibold" w:hAnsi="Segoe UI Semibold" w:cs="Segoe UI Semibold" w:eastAsia="Segoe UI Semibold"/>
          <w:b/>
          <w:bCs/>
          <w:color w:val="00779B"/>
          <w:spacing w:val="25"/>
        </w:rPr>
        <w:t> </w:t>
      </w:r>
      <w:r>
        <w:rPr>
          <w:rFonts w:ascii="Segoe UI Semibold" w:hAnsi="Segoe UI Semibold" w:cs="Segoe UI Semibold" w:eastAsia="Segoe UI Semibold"/>
          <w:b/>
          <w:bCs/>
          <w:color w:val="00779B"/>
          <w:spacing w:val="-1"/>
        </w:rPr>
        <w:t>AIEF</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talk </w:t>
      </w:r>
      <w:r>
        <w:rPr>
          <w:rFonts w:ascii="Segoe UI Semibold" w:hAnsi="Segoe UI Semibold" w:cs="Segoe UI Semibold" w:eastAsia="Segoe UI Semibold"/>
          <w:b/>
          <w:bCs/>
          <w:color w:val="00779B"/>
        </w:rPr>
        <w:t>about</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a</w:t>
      </w:r>
      <w:r>
        <w:rPr>
          <w:rFonts w:ascii="Segoe UI Semibold" w:hAnsi="Segoe UI Semibold" w:cs="Segoe UI Semibold" w:eastAsia="Segoe UI Semibold"/>
          <w:b/>
          <w:bCs/>
          <w:color w:val="00779B"/>
          <w:spacing w:val="-1"/>
        </w:rPr>
        <w:t> 93 </w:t>
      </w:r>
      <w:r>
        <w:rPr>
          <w:rFonts w:ascii="Segoe UI Semibold" w:hAnsi="Segoe UI Semibold" w:cs="Segoe UI Semibold" w:eastAsia="Segoe UI Semibold"/>
          <w:b/>
          <w:bCs/>
          <w:color w:val="00779B"/>
        </w:rPr>
        <w:t>per</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cent success</w:t>
      </w:r>
      <w:r>
        <w:rPr>
          <w:rFonts w:ascii="Segoe UI Semibold" w:hAnsi="Segoe UI Semibold" w:cs="Segoe UI Semibold" w:eastAsia="Segoe UI Semibold"/>
          <w:b/>
          <w:bCs/>
          <w:color w:val="00779B"/>
          <w:spacing w:val="24"/>
        </w:rPr>
        <w:t> </w:t>
      </w:r>
      <w:r>
        <w:rPr>
          <w:rFonts w:ascii="Segoe UI Semibold" w:hAnsi="Segoe UI Semibold" w:cs="Segoe UI Semibold" w:eastAsia="Segoe UI Semibold"/>
          <w:b/>
          <w:bCs/>
          <w:color w:val="00779B"/>
          <w:spacing w:val="-1"/>
        </w:rPr>
        <w:t>rate…I think</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that </w:t>
      </w:r>
      <w:r>
        <w:rPr>
          <w:rFonts w:ascii="Segoe UI Semibold" w:hAnsi="Segoe UI Semibold" w:cs="Segoe UI Semibold" w:eastAsia="Segoe UI Semibold"/>
          <w:b/>
          <w:bCs/>
          <w:color w:val="00779B"/>
        </w:rPr>
        <w:t>fact</w:t>
      </w:r>
      <w:r>
        <w:rPr>
          <w:rFonts w:ascii="Segoe UI Semibold" w:hAnsi="Segoe UI Semibold" w:cs="Segoe UI Semibold" w:eastAsia="Segoe UI Semibold"/>
          <w:b/>
          <w:bCs/>
          <w:color w:val="00779B"/>
          <w:spacing w:val="-1"/>
        </w:rPr>
        <w:t> needs</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to</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be</w:t>
      </w:r>
      <w:r>
        <w:rPr>
          <w:rFonts w:ascii="Segoe UI Semibold" w:hAnsi="Segoe UI Semibold" w:cs="Segoe UI Semibold" w:eastAsia="Segoe UI Semibold"/>
          <w:b/>
          <w:bCs/>
          <w:color w:val="00779B"/>
          <w:spacing w:val="25"/>
          <w:w w:val="99"/>
        </w:rPr>
        <w:t> </w:t>
      </w:r>
      <w:r>
        <w:rPr>
          <w:rFonts w:ascii="Segoe UI Semibold" w:hAnsi="Segoe UI Semibold" w:cs="Segoe UI Semibold" w:eastAsia="Segoe UI Semibold"/>
          <w:b/>
          <w:bCs/>
          <w:color w:val="00779B"/>
        </w:rPr>
        <w:t>publically</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challenged—93 </w:t>
      </w:r>
      <w:r>
        <w:rPr>
          <w:rFonts w:ascii="Segoe UI Semibold" w:hAnsi="Segoe UI Semibold" w:cs="Segoe UI Semibold" w:eastAsia="Segoe UI Semibold"/>
          <w:b/>
          <w:bCs/>
          <w:color w:val="00779B"/>
        </w:rPr>
        <w:t>per</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cent</w:t>
      </w:r>
      <w:r>
        <w:rPr>
          <w:rFonts w:ascii="Segoe UI Semibold" w:hAnsi="Segoe UI Semibold" w:cs="Segoe UI Semibold" w:eastAsia="Segoe UI Semibold"/>
        </w:rPr>
      </w:r>
    </w:p>
    <w:p>
      <w:pPr>
        <w:pStyle w:val="BodyText"/>
        <w:spacing w:line="250" w:lineRule="exact"/>
        <w:ind w:right="266"/>
        <w:jc w:val="left"/>
        <w:rPr>
          <w:rFonts w:ascii="Segoe UI Semibold" w:hAnsi="Segoe UI Semibold" w:cs="Segoe UI Semibold" w:eastAsia="Segoe UI Semibold"/>
        </w:rPr>
      </w:pPr>
      <w:r>
        <w:rPr>
          <w:rFonts w:ascii="Segoe UI Semibold" w:hAnsi="Segoe UI Semibold" w:cs="Segoe UI Semibold" w:eastAsia="Segoe UI Semibold"/>
          <w:b/>
          <w:bCs/>
          <w:color w:val="00779B"/>
          <w:spacing w:val="-2"/>
        </w:rPr>
        <w:t>of what?</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If</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you</w:t>
      </w:r>
      <w:r>
        <w:rPr>
          <w:rFonts w:ascii="Segoe UI Semibold" w:hAnsi="Segoe UI Semibold" w:cs="Segoe UI Semibold" w:eastAsia="Segoe UI Semibold"/>
          <w:b/>
          <w:bCs/>
          <w:color w:val="00779B"/>
          <w:spacing w:val="-2"/>
        </w:rPr>
        <w:t> take </w:t>
      </w:r>
      <w:r>
        <w:rPr>
          <w:rFonts w:ascii="Segoe UI Semibold" w:hAnsi="Segoe UI Semibold" w:cs="Segoe UI Semibold" w:eastAsia="Segoe UI Semibold"/>
          <w:b/>
          <w:bCs/>
          <w:color w:val="00779B"/>
        </w:rPr>
        <w:t>a</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kid</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away</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from</w:t>
      </w:r>
      <w:r>
        <w:rPr>
          <w:rFonts w:ascii="Segoe UI Semibold" w:hAnsi="Segoe UI Semibold" w:cs="Segoe UI Semibold" w:eastAsia="Segoe UI Semibold"/>
          <w:b/>
          <w:bCs/>
          <w:color w:val="00779B"/>
          <w:spacing w:val="22"/>
          <w:w w:val="99"/>
        </w:rPr>
        <w:t> </w:t>
      </w:r>
      <w:r>
        <w:rPr>
          <w:rFonts w:ascii="Segoe UI Semibold" w:hAnsi="Segoe UI Semibold" w:cs="Segoe UI Semibold" w:eastAsia="Segoe UI Semibold"/>
          <w:b/>
          <w:bCs/>
          <w:color w:val="00779B"/>
        </w:rPr>
        <w:t>Cairns</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who</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has</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finished</w:t>
      </w:r>
      <w:r>
        <w:rPr>
          <w:rFonts w:ascii="Segoe UI Semibold" w:hAnsi="Segoe UI Semibold" w:cs="Segoe UI Semibold" w:eastAsia="Segoe UI Semibold"/>
          <w:b/>
          <w:bCs/>
          <w:color w:val="00779B"/>
          <w:spacing w:val="-1"/>
        </w:rPr>
        <w:t> year </w:t>
      </w:r>
      <w:r>
        <w:rPr>
          <w:rFonts w:ascii="Segoe UI Semibold" w:hAnsi="Segoe UI Semibold" w:cs="Segoe UI Semibold" w:eastAsia="Segoe UI Semibold"/>
          <w:b/>
          <w:bCs/>
          <w:color w:val="00779B"/>
        </w:rPr>
        <w:t>10,</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from</w:t>
      </w:r>
      <w:r>
        <w:rPr>
          <w:rFonts w:ascii="Segoe UI Semibold" w:hAnsi="Segoe UI Semibold" w:cs="Segoe UI Semibold" w:eastAsia="Segoe UI Semibold"/>
          <w:b/>
          <w:bCs/>
          <w:color w:val="00779B"/>
          <w:spacing w:val="25"/>
        </w:rPr>
        <w:t> </w:t>
      </w:r>
      <w:r>
        <w:rPr>
          <w:rFonts w:ascii="Segoe UI Semibold" w:hAnsi="Segoe UI Semibold" w:cs="Segoe UI Semibold" w:eastAsia="Segoe UI Semibold"/>
          <w:b/>
          <w:bCs/>
          <w:color w:val="00779B"/>
        </w:rPr>
        <w:t>an</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rPr>
        <w:t>aspirational,</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urban,</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middle</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class</w:t>
      </w:r>
      <w:r>
        <w:rPr>
          <w:rFonts w:ascii="Segoe UI Semibold" w:hAnsi="Segoe UI Semibold" w:cs="Segoe UI Semibold" w:eastAsia="Segoe UI Semibold"/>
          <w:b/>
          <w:bCs/>
          <w:color w:val="00779B"/>
          <w:spacing w:val="22"/>
        </w:rPr>
        <w:t> </w:t>
      </w:r>
      <w:r>
        <w:rPr>
          <w:rFonts w:ascii="Segoe UI Semibold" w:hAnsi="Segoe UI Semibold" w:cs="Segoe UI Semibold" w:eastAsia="Segoe UI Semibold"/>
          <w:b/>
          <w:bCs/>
          <w:color w:val="00779B"/>
        </w:rPr>
        <w:t>Indigenous</w:t>
      </w:r>
      <w:r>
        <w:rPr>
          <w:rFonts w:ascii="Segoe UI Semibold" w:hAnsi="Segoe UI Semibold" w:cs="Segoe UI Semibold" w:eastAsia="Segoe UI Semibold"/>
          <w:b/>
          <w:bCs/>
          <w:color w:val="00779B"/>
          <w:spacing w:val="-2"/>
        </w:rPr>
        <w:t> family,</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and</w:t>
      </w:r>
      <w:r>
        <w:rPr>
          <w:rFonts w:ascii="Segoe UI Semibold" w:hAnsi="Segoe UI Semibold" w:cs="Segoe UI Semibold" w:eastAsia="Segoe UI Semibold"/>
          <w:b/>
          <w:bCs/>
          <w:color w:val="00779B"/>
          <w:spacing w:val="-1"/>
        </w:rPr>
        <w:t> value-add…</w:t>
      </w:r>
      <w:r>
        <w:rPr>
          <w:rFonts w:ascii="Segoe UI Semibold" w:hAnsi="Segoe UI Semibold" w:cs="Segoe UI Semibold" w:eastAsia="Segoe UI Semibold"/>
          <w:b/>
          <w:bCs/>
          <w:color w:val="00779B"/>
          <w:spacing w:val="29"/>
        </w:rPr>
        <w:t> </w:t>
      </w:r>
      <w:r>
        <w:rPr>
          <w:rFonts w:ascii="Segoe UI Semibold" w:hAnsi="Segoe UI Semibold" w:cs="Segoe UI Semibold" w:eastAsia="Segoe UI Semibold"/>
          <w:b/>
          <w:bCs/>
          <w:color w:val="00779B"/>
          <w:spacing w:val="-1"/>
        </w:rPr>
        <w:t>anyone can</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value-add…to say</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that</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2"/>
        </w:rPr>
        <w:t>you</w:t>
      </w:r>
      <w:r>
        <w:rPr>
          <w:rFonts w:ascii="Segoe UI Semibold" w:hAnsi="Segoe UI Semibold" w:cs="Segoe UI Semibold" w:eastAsia="Segoe UI Semibold"/>
          <w:b/>
          <w:bCs/>
          <w:color w:val="00779B"/>
          <w:spacing w:val="26"/>
        </w:rPr>
        <w:t> </w:t>
      </w:r>
      <w:r>
        <w:rPr>
          <w:rFonts w:ascii="Segoe UI Semibold" w:hAnsi="Segoe UI Semibold" w:cs="Segoe UI Semibold" w:eastAsia="Segoe UI Semibold"/>
          <w:b/>
          <w:bCs/>
          <w:color w:val="00779B"/>
          <w:spacing w:val="-1"/>
        </w:rPr>
        <w:t>have</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a</w:t>
      </w:r>
      <w:r>
        <w:rPr>
          <w:rFonts w:ascii="Segoe UI Semibold" w:hAnsi="Segoe UI Semibold" w:cs="Segoe UI Semibold" w:eastAsia="Segoe UI Semibold"/>
          <w:b/>
          <w:bCs/>
          <w:color w:val="00779B"/>
          <w:spacing w:val="-1"/>
        </w:rPr>
        <w:t> 93</w:t>
      </w:r>
      <w:r>
        <w:rPr>
          <w:rFonts w:ascii="Segoe UI Semibold" w:hAnsi="Segoe UI Semibold" w:cs="Segoe UI Semibold" w:eastAsia="Segoe UI Semibold"/>
          <w:b/>
          <w:bCs/>
          <w:color w:val="00779B"/>
        </w:rPr>
        <w:t> per</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cent</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success rate</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and</w:t>
      </w:r>
      <w:r>
        <w:rPr>
          <w:rFonts w:ascii="Segoe UI Semibold" w:hAnsi="Segoe UI Semibold" w:cs="Segoe UI Semibold" w:eastAsia="Segoe UI Semibold"/>
          <w:b/>
          <w:bCs/>
          <w:color w:val="00779B"/>
          <w:spacing w:val="27"/>
        </w:rPr>
        <w:t> </w:t>
      </w:r>
      <w:r>
        <w:rPr>
          <w:rFonts w:ascii="Segoe UI Semibold" w:hAnsi="Segoe UI Semibold" w:cs="Segoe UI Semibold" w:eastAsia="Segoe UI Semibold"/>
          <w:b/>
          <w:bCs/>
          <w:color w:val="00779B"/>
          <w:spacing w:val="-1"/>
        </w:rPr>
        <w:t>then not</w:t>
      </w:r>
      <w:r>
        <w:rPr>
          <w:rFonts w:ascii="Segoe UI Semibold" w:hAnsi="Segoe UI Semibold" w:cs="Segoe UI Semibold" w:eastAsia="Segoe UI Semibold"/>
          <w:b/>
          <w:bCs/>
          <w:color w:val="00779B"/>
        </w:rPr>
        <w:t> be</w:t>
      </w:r>
      <w:r>
        <w:rPr>
          <w:rFonts w:ascii="Segoe UI Semibold" w:hAnsi="Segoe UI Semibold" w:cs="Segoe UI Semibold" w:eastAsia="Segoe UI Semibold"/>
          <w:b/>
          <w:bCs/>
          <w:color w:val="00779B"/>
          <w:spacing w:val="-1"/>
        </w:rPr>
        <w:t> open to </w:t>
      </w:r>
      <w:r>
        <w:rPr>
          <w:rFonts w:ascii="Segoe UI Semibold" w:hAnsi="Segoe UI Semibold" w:cs="Segoe UI Semibold" w:eastAsia="Segoe UI Semibold"/>
          <w:b/>
          <w:bCs/>
          <w:color w:val="00779B"/>
        </w:rPr>
        <w:t>any</w:t>
      </w:r>
      <w:r>
        <w:rPr>
          <w:rFonts w:ascii="Segoe UI Semibold" w:hAnsi="Segoe UI Semibold" w:cs="Segoe UI Semibold" w:eastAsia="Segoe UI Semibold"/>
          <w:b/>
          <w:bCs/>
          <w:color w:val="00779B"/>
          <w:spacing w:val="-1"/>
        </w:rPr>
        <w:t> real scrutiny</w:t>
      </w:r>
      <w:r>
        <w:rPr>
          <w:rFonts w:ascii="Segoe UI Semibold" w:hAnsi="Segoe UI Semibold" w:cs="Segoe UI Semibold" w:eastAsia="Segoe UI Semibold"/>
          <w:b/>
          <w:bCs/>
          <w:color w:val="00779B"/>
          <w:spacing w:val="24"/>
        </w:rPr>
        <w:t> </w:t>
      </w:r>
      <w:r>
        <w:rPr>
          <w:rFonts w:ascii="Segoe UI Semibold" w:hAnsi="Segoe UI Semibold" w:cs="Segoe UI Semibold" w:eastAsia="Segoe UI Semibold"/>
          <w:b/>
          <w:bCs/>
          <w:color w:val="00779B"/>
          <w:spacing w:val="-1"/>
        </w:rPr>
        <w:t>is</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quite outrageous.</w:t>
      </w:r>
      <w:r>
        <w:rPr>
          <w:rFonts w:ascii="Segoe UI Semibold" w:hAnsi="Segoe UI Semibold" w:cs="Segoe UI Semibold" w:eastAsia="Segoe UI Semibold"/>
        </w:rPr>
      </w:r>
    </w:p>
    <w:p>
      <w:pPr>
        <w:pStyle w:val="BodyText"/>
        <w:spacing w:line="250" w:lineRule="exact" w:before="113"/>
        <w:ind w:right="410"/>
        <w:jc w:val="left"/>
        <w:rPr>
          <w:rFonts w:ascii="Segoe UI Semibold" w:hAnsi="Segoe UI Semibold" w:cs="Segoe UI Semibold" w:eastAsia="Segoe UI Semibold"/>
        </w:rPr>
      </w:pPr>
      <w:r>
        <w:rPr>
          <w:rFonts w:ascii="Segoe UI Semibold" w:hAnsi="Segoe UI Semibold" w:cs="Segoe UI Semibold" w:eastAsia="Segoe UI Semibold"/>
          <w:b/>
          <w:bCs/>
          <w:color w:val="00779B"/>
          <w:spacing w:val="-1"/>
        </w:rPr>
        <w:t>Mr</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Anthony</w:t>
      </w:r>
      <w:r>
        <w:rPr>
          <w:rFonts w:ascii="Segoe UI Semibold" w:hAnsi="Segoe UI Semibold" w:cs="Segoe UI Semibold" w:eastAsia="Segoe UI Semibold"/>
          <w:b/>
          <w:bCs/>
          <w:color w:val="00779B"/>
        </w:rPr>
        <w:t> Bennett,</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spacing w:val="-3"/>
        </w:rPr>
        <w:t>Manager,</w:t>
      </w:r>
      <w:r>
        <w:rPr>
          <w:rFonts w:ascii="Segoe UI Semibold" w:hAnsi="Segoe UI Semibold" w:cs="Segoe UI Semibold" w:eastAsia="Segoe UI Semibold"/>
          <w:b/>
          <w:bCs/>
          <w:color w:val="00779B"/>
          <w:spacing w:val="26"/>
        </w:rPr>
        <w:t> </w:t>
      </w:r>
      <w:r>
        <w:rPr>
          <w:rFonts w:ascii="Segoe UI Semibold" w:hAnsi="Segoe UI Semibold" w:cs="Segoe UI Semibold" w:eastAsia="Segoe UI Semibold"/>
          <w:b/>
          <w:bCs/>
          <w:color w:val="00779B"/>
        </w:rPr>
        <w:t>Wiltja </w:t>
      </w:r>
      <w:r>
        <w:rPr>
          <w:rFonts w:ascii="Segoe UI Semibold" w:hAnsi="Segoe UI Semibold" w:cs="Segoe UI Semibold" w:eastAsia="Segoe UI Semibold"/>
          <w:b/>
          <w:bCs/>
          <w:color w:val="00779B"/>
          <w:spacing w:val="-1"/>
        </w:rPr>
        <w:t>Boarding,</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noted</w:t>
      </w:r>
      <w:r>
        <w:rPr>
          <w:rFonts w:ascii="Segoe UI Semibold" w:hAnsi="Segoe UI Semibold" w:cs="Segoe UI Semibold" w:eastAsia="Segoe UI Semibold"/>
          <w:b/>
          <w:bCs/>
          <w:color w:val="00779B"/>
        </w:rPr>
        <w:t> that ‘a lot </w:t>
      </w:r>
      <w:r>
        <w:rPr>
          <w:rFonts w:ascii="Segoe UI Semibold" w:hAnsi="Segoe UI Semibold" w:cs="Segoe UI Semibold" w:eastAsia="Segoe UI Semibold"/>
          <w:b/>
          <w:bCs/>
          <w:color w:val="00779B"/>
          <w:spacing w:val="-2"/>
        </w:rPr>
        <w:t>of</w:t>
      </w:r>
      <w:r>
        <w:rPr>
          <w:rFonts w:ascii="Segoe UI Semibold" w:hAnsi="Segoe UI Semibold" w:cs="Segoe UI Semibold" w:eastAsia="Segoe UI Semibold"/>
          <w:b/>
          <w:bCs/>
          <w:color w:val="00779B"/>
          <w:spacing w:val="29"/>
        </w:rPr>
        <w:t> </w:t>
      </w:r>
      <w:r>
        <w:rPr>
          <w:rFonts w:ascii="Segoe UI Semibold" w:hAnsi="Segoe UI Semibold" w:cs="Segoe UI Semibold" w:eastAsia="Segoe UI Semibold"/>
          <w:b/>
          <w:bCs/>
          <w:color w:val="00779B"/>
        </w:rPr>
        <w:t>money’</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rPr>
        <w:t>goes</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into</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programs such</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as</w:t>
      </w:r>
      <w:r>
        <w:rPr>
          <w:rFonts w:ascii="Segoe UI Semibold" w:hAnsi="Segoe UI Semibold" w:cs="Segoe UI Semibold" w:eastAsia="Segoe UI Semibold"/>
          <w:b/>
          <w:bCs/>
          <w:color w:val="00779B"/>
          <w:spacing w:val="24"/>
        </w:rPr>
        <w:t> </w:t>
      </w:r>
      <w:r>
        <w:rPr>
          <w:rFonts w:ascii="Segoe UI Semibold" w:hAnsi="Segoe UI Semibold" w:cs="Segoe UI Semibold" w:eastAsia="Segoe UI Semibold"/>
          <w:b/>
          <w:bCs/>
          <w:color w:val="00779B"/>
          <w:spacing w:val="-1"/>
        </w:rPr>
        <w:t>the </w:t>
      </w:r>
      <w:r>
        <w:rPr>
          <w:rFonts w:ascii="Segoe UI Semibold" w:hAnsi="Segoe UI Semibold" w:cs="Segoe UI Semibold" w:eastAsia="Segoe UI Semibold"/>
          <w:b/>
          <w:bCs/>
          <w:color w:val="00779B"/>
          <w:spacing w:val="-5"/>
        </w:rPr>
        <w:t>AIEF</w:t>
      </w:r>
      <w:r>
        <w:rPr>
          <w:rFonts w:ascii="Segoe UI Semibold" w:hAnsi="Segoe UI Semibold" w:cs="Segoe UI Semibold" w:eastAsia="Segoe UI Semibold"/>
          <w:b/>
          <w:bCs/>
          <w:color w:val="00779B"/>
          <w:spacing w:val="-4"/>
        </w:rPr>
        <w:t>,</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but</w:t>
      </w:r>
      <w:r>
        <w:rPr>
          <w:rFonts w:ascii="Segoe UI Semibold" w:hAnsi="Segoe UI Semibold" w:cs="Segoe UI Semibold" w:eastAsia="Segoe UI Semibold"/>
          <w:b/>
          <w:bCs/>
          <w:color w:val="00779B"/>
          <w:spacing w:val="-1"/>
        </w:rPr>
        <w:t> only</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a</w:t>
      </w:r>
      <w:r>
        <w:rPr>
          <w:rFonts w:ascii="Segoe UI Semibold" w:hAnsi="Segoe UI Semibold" w:cs="Segoe UI Semibold" w:eastAsia="Segoe UI Semibold"/>
          <w:b/>
          <w:bCs/>
          <w:color w:val="00779B"/>
          <w:spacing w:val="-1"/>
        </w:rPr>
        <w:t> small</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percentage</w:t>
      </w:r>
      <w:r>
        <w:rPr>
          <w:rFonts w:ascii="Segoe UI Semibold" w:hAnsi="Segoe UI Semibold" w:cs="Segoe UI Semibold" w:eastAsia="Segoe UI Semibold"/>
          <w:b/>
          <w:bCs/>
          <w:color w:val="00779B"/>
          <w:spacing w:val="26"/>
        </w:rPr>
        <w:t> </w:t>
      </w:r>
      <w:r>
        <w:rPr>
          <w:rFonts w:ascii="Segoe UI Semibold" w:hAnsi="Segoe UI Semibold" w:cs="Segoe UI Semibold" w:eastAsia="Segoe UI Semibold"/>
          <w:b/>
          <w:bCs/>
          <w:color w:val="00779B"/>
          <w:spacing w:val="-2"/>
        </w:rPr>
        <w:t>of</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rPr>
        <w:t>Indigenous</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students</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benefit.</w:t>
      </w:r>
      <w:r>
        <w:rPr>
          <w:rFonts w:ascii="Segoe UI Semibold" w:hAnsi="Segoe UI Semibold" w:cs="Segoe UI Semibold" w:eastAsia="Segoe UI Semibold"/>
        </w:rPr>
      </w:r>
    </w:p>
    <w:p>
      <w:pPr>
        <w:pStyle w:val="BodyText"/>
        <w:spacing w:line="250" w:lineRule="exact"/>
        <w:ind w:right="0"/>
        <w:jc w:val="left"/>
        <w:rPr>
          <w:rFonts w:ascii="Segoe UI Semibold" w:hAnsi="Segoe UI Semibold" w:cs="Segoe UI Semibold" w:eastAsia="Segoe UI Semibold"/>
        </w:rPr>
      </w:pPr>
      <w:r>
        <w:rPr>
          <w:rFonts w:ascii="Segoe UI Semibold"/>
          <w:b/>
          <w:color w:val="00779B"/>
          <w:spacing w:val="-1"/>
        </w:rPr>
        <w:t>He explained</w:t>
      </w:r>
      <w:r>
        <w:rPr>
          <w:rFonts w:ascii="Segoe UI Semibold"/>
          <w:b/>
          <w:color w:val="00779B"/>
        </w:rPr>
        <w:t> </w:t>
      </w:r>
      <w:r>
        <w:rPr>
          <w:rFonts w:ascii="Segoe UI Semibold"/>
          <w:b/>
          <w:color w:val="00779B"/>
          <w:spacing w:val="-1"/>
        </w:rPr>
        <w:t>that:</w:t>
      </w:r>
      <w:r>
        <w:rPr>
          <w:rFonts w:ascii="Segoe UI Semibold"/>
        </w:rPr>
      </w:r>
    </w:p>
    <w:p>
      <w:pPr>
        <w:pStyle w:val="BodyText"/>
        <w:spacing w:line="250" w:lineRule="exact" w:before="113"/>
        <w:ind w:right="611"/>
        <w:jc w:val="left"/>
        <w:rPr>
          <w:rFonts w:ascii="Segoe UI Semibold" w:hAnsi="Segoe UI Semibold" w:cs="Segoe UI Semibold" w:eastAsia="Segoe UI Semibold"/>
        </w:rPr>
      </w:pPr>
      <w:r>
        <w:rPr>
          <w:rFonts w:ascii="Segoe UI Semibold" w:hAnsi="Segoe UI Semibold" w:cs="Segoe UI Semibold" w:eastAsia="Segoe UI Semibold"/>
          <w:b/>
          <w:bCs/>
          <w:color w:val="00779B"/>
          <w:spacing w:val="-1"/>
        </w:rPr>
        <w:t>99</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per</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cent </w:t>
      </w:r>
      <w:r>
        <w:rPr>
          <w:rFonts w:ascii="Segoe UI Semibold" w:hAnsi="Segoe UI Semibold" w:cs="Segoe UI Semibold" w:eastAsia="Segoe UI Semibold"/>
          <w:b/>
          <w:bCs/>
          <w:color w:val="00779B"/>
          <w:spacing w:val="-2"/>
        </w:rPr>
        <w:t>of</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kids</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will never </w:t>
      </w:r>
      <w:r>
        <w:rPr>
          <w:rFonts w:ascii="Segoe UI Semibold" w:hAnsi="Segoe UI Semibold" w:cs="Segoe UI Semibold" w:eastAsia="Segoe UI Semibold"/>
          <w:b/>
          <w:bCs/>
          <w:color w:val="00779B"/>
          <w:spacing w:val="-2"/>
        </w:rPr>
        <w:t>ever</w:t>
      </w:r>
      <w:r>
        <w:rPr>
          <w:rFonts w:ascii="Segoe UI Semibold" w:hAnsi="Segoe UI Semibold" w:cs="Segoe UI Semibold" w:eastAsia="Segoe UI Semibold"/>
          <w:b/>
          <w:bCs/>
          <w:color w:val="00779B"/>
          <w:spacing w:val="26"/>
        </w:rPr>
        <w:t> </w:t>
      </w:r>
      <w:r>
        <w:rPr>
          <w:rFonts w:ascii="Segoe UI Semibold" w:hAnsi="Segoe UI Semibold" w:cs="Segoe UI Semibold" w:eastAsia="Segoe UI Semibold"/>
          <w:b/>
          <w:bCs/>
          <w:color w:val="00779B"/>
        </w:rPr>
        <w:t>access</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rPr>
        <w:t>any</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2"/>
        </w:rPr>
        <w:t>of </w:t>
      </w:r>
      <w:r>
        <w:rPr>
          <w:rFonts w:ascii="Segoe UI Semibold" w:hAnsi="Segoe UI Semibold" w:cs="Segoe UI Semibold" w:eastAsia="Segoe UI Semibold"/>
          <w:b/>
          <w:bCs/>
          <w:color w:val="00779B"/>
          <w:spacing w:val="-1"/>
        </w:rPr>
        <w:t>those</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programs.</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w:t>
      </w:r>
      <w:r>
        <w:rPr>
          <w:rFonts w:ascii="Segoe UI Semibold" w:hAnsi="Segoe UI Semibold" w:cs="Segoe UI Semibold" w:eastAsia="Segoe UI Semibold"/>
          <w:b/>
          <w:bCs/>
          <w:color w:val="00779B"/>
          <w:spacing w:val="24"/>
        </w:rPr>
        <w:t> </w:t>
      </w:r>
      <w:r>
        <w:rPr>
          <w:rFonts w:ascii="Segoe UI Semibold" w:hAnsi="Segoe UI Semibold" w:cs="Segoe UI Semibold" w:eastAsia="Segoe UI Semibold"/>
          <w:b/>
          <w:bCs/>
          <w:color w:val="00779B"/>
        </w:rPr>
        <w:t>So</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I</w:t>
      </w:r>
      <w:r>
        <w:rPr>
          <w:rFonts w:ascii="Segoe UI Semibold" w:hAnsi="Segoe UI Semibold" w:cs="Segoe UI Semibold" w:eastAsia="Segoe UI Semibold"/>
          <w:b/>
          <w:bCs/>
          <w:color w:val="00779B"/>
          <w:spacing w:val="-1"/>
        </w:rPr>
        <w:t> really </w:t>
      </w:r>
      <w:r>
        <w:rPr>
          <w:rFonts w:ascii="Segoe UI Semibold" w:hAnsi="Segoe UI Semibold" w:cs="Segoe UI Semibold" w:eastAsia="Segoe UI Semibold"/>
          <w:b/>
          <w:bCs/>
          <w:color w:val="00779B"/>
        </w:rPr>
        <w:t>doubt</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the</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effect</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and</w:t>
      </w:r>
      <w:r>
        <w:rPr>
          <w:rFonts w:ascii="Segoe UI Semibold" w:hAnsi="Segoe UI Semibold" w:cs="Segoe UI Semibold" w:eastAsia="Segoe UI Semibold"/>
          <w:b/>
          <w:bCs/>
          <w:color w:val="00779B"/>
          <w:spacing w:val="24"/>
        </w:rPr>
        <w:t> </w:t>
      </w:r>
      <w:r>
        <w:rPr>
          <w:rFonts w:ascii="Segoe UI Semibold" w:hAnsi="Segoe UI Semibold" w:cs="Segoe UI Semibold" w:eastAsia="Segoe UI Semibold"/>
          <w:b/>
          <w:bCs/>
          <w:color w:val="00779B"/>
          <w:spacing w:val="-1"/>
        </w:rPr>
        <w:t>traction</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that they</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actually</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get…If</w:t>
      </w:r>
      <w:r>
        <w:rPr>
          <w:rFonts w:ascii="Segoe UI Semibold" w:hAnsi="Segoe UI Semibold" w:cs="Segoe UI Semibold" w:eastAsia="Segoe UI Semibold"/>
          <w:b/>
          <w:bCs/>
          <w:color w:val="00779B"/>
          <w:spacing w:val="24"/>
          <w:w w:val="99"/>
        </w:rPr>
        <w:t> </w:t>
      </w:r>
      <w:r>
        <w:rPr>
          <w:rFonts w:ascii="Segoe UI Semibold" w:hAnsi="Segoe UI Semibold" w:cs="Segoe UI Semibold" w:eastAsia="Segoe UI Semibold"/>
          <w:b/>
          <w:bCs/>
          <w:color w:val="00779B"/>
          <w:spacing w:val="-1"/>
        </w:rPr>
        <w:t>we</w:t>
      </w:r>
      <w:r>
        <w:rPr>
          <w:rFonts w:ascii="Segoe UI Semibold" w:hAnsi="Segoe UI Semibold" w:cs="Segoe UI Semibold" w:eastAsia="Segoe UI Semibold"/>
          <w:b/>
          <w:bCs/>
          <w:color w:val="00779B"/>
          <w:spacing w:val="-4"/>
        </w:rPr>
        <w:t> </w:t>
      </w:r>
      <w:r>
        <w:rPr>
          <w:rFonts w:ascii="Segoe UI Semibold" w:hAnsi="Segoe UI Semibold" w:cs="Segoe UI Semibold" w:eastAsia="Segoe UI Semibold"/>
          <w:b/>
          <w:bCs/>
          <w:color w:val="00779B"/>
          <w:spacing w:val="-1"/>
        </w:rPr>
        <w:t>rely</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on</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programs</w:t>
      </w:r>
      <w:r>
        <w:rPr>
          <w:rFonts w:ascii="Segoe UI Semibold" w:hAnsi="Segoe UI Semibold" w:cs="Segoe UI Semibold" w:eastAsia="Segoe UI Semibold"/>
          <w:b/>
          <w:bCs/>
          <w:color w:val="00779B"/>
          <w:spacing w:val="-2"/>
        </w:rPr>
        <w:t> like</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AIEF</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then</w:t>
      </w:r>
      <w:r>
        <w:rPr>
          <w:rFonts w:ascii="Segoe UI Semibold" w:hAnsi="Segoe UI Semibold" w:cs="Segoe UI Semibold" w:eastAsia="Segoe UI Semibold"/>
          <w:b/>
          <w:bCs/>
          <w:color w:val="00779B"/>
          <w:spacing w:val="26"/>
        </w:rPr>
        <w:t> </w:t>
      </w:r>
      <w:r>
        <w:rPr>
          <w:rFonts w:ascii="Segoe UI Semibold" w:hAnsi="Segoe UI Semibold" w:cs="Segoe UI Semibold" w:eastAsia="Segoe UI Semibold"/>
          <w:b/>
          <w:bCs/>
          <w:color w:val="00779B"/>
          <w:spacing w:val="-2"/>
        </w:rPr>
        <w:t>99-point-whatever </w:t>
      </w:r>
      <w:r>
        <w:rPr>
          <w:rFonts w:ascii="Segoe UI Semibold" w:hAnsi="Segoe UI Semibold" w:cs="Segoe UI Semibold" w:eastAsia="Segoe UI Semibold"/>
          <w:b/>
          <w:bCs/>
          <w:color w:val="00779B"/>
        </w:rPr>
        <w:t>per</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cent</w:t>
      </w:r>
      <w:r>
        <w:rPr>
          <w:rFonts w:ascii="Segoe UI Semibold" w:hAnsi="Segoe UI Semibold" w:cs="Segoe UI Semibold" w:eastAsia="Segoe UI Semibold"/>
          <w:b/>
          <w:bCs/>
          <w:color w:val="00779B"/>
          <w:spacing w:val="-2"/>
        </w:rPr>
        <w:t> of </w:t>
      </w:r>
      <w:r>
        <w:rPr>
          <w:rFonts w:ascii="Segoe UI Semibold" w:hAnsi="Segoe UI Semibold" w:cs="Segoe UI Semibold" w:eastAsia="Segoe UI Semibold"/>
          <w:b/>
          <w:bCs/>
          <w:color w:val="00779B"/>
        </w:rPr>
        <w:t>kids</w:t>
      </w:r>
      <w:r>
        <w:rPr>
          <w:rFonts w:ascii="Segoe UI Semibold" w:hAnsi="Segoe UI Semibold" w:cs="Segoe UI Semibold" w:eastAsia="Segoe UI Semibold"/>
        </w:rPr>
      </w:r>
    </w:p>
    <w:p>
      <w:pPr>
        <w:pStyle w:val="BodyText"/>
        <w:spacing w:line="250" w:lineRule="exact"/>
        <w:ind w:right="152"/>
        <w:jc w:val="left"/>
        <w:rPr>
          <w:rFonts w:ascii="Segoe UI Semibold" w:hAnsi="Segoe UI Semibold" w:cs="Segoe UI Semibold" w:eastAsia="Segoe UI Semibold"/>
        </w:rPr>
      </w:pPr>
      <w:r>
        <w:rPr>
          <w:rFonts w:ascii="Segoe UI Semibold"/>
          <w:b/>
          <w:color w:val="00779B"/>
          <w:spacing w:val="-1"/>
        </w:rPr>
        <w:t>are</w:t>
      </w:r>
      <w:r>
        <w:rPr>
          <w:rFonts w:ascii="Segoe UI Semibold"/>
          <w:b/>
          <w:color w:val="00779B"/>
          <w:spacing w:val="-3"/>
        </w:rPr>
        <w:t> </w:t>
      </w:r>
      <w:r>
        <w:rPr>
          <w:rFonts w:ascii="Segoe UI Semibold"/>
          <w:b/>
          <w:color w:val="00779B"/>
          <w:spacing w:val="-1"/>
        </w:rPr>
        <w:t>not</w:t>
      </w:r>
      <w:r>
        <w:rPr>
          <w:rFonts w:ascii="Segoe UI Semibold"/>
          <w:b/>
          <w:color w:val="00779B"/>
          <w:spacing w:val="-2"/>
        </w:rPr>
        <w:t> </w:t>
      </w:r>
      <w:r>
        <w:rPr>
          <w:rFonts w:ascii="Segoe UI Semibold"/>
          <w:b/>
          <w:color w:val="00779B"/>
        </w:rPr>
        <w:t>going</w:t>
      </w:r>
      <w:r>
        <w:rPr>
          <w:rFonts w:ascii="Segoe UI Semibold"/>
          <w:b/>
          <w:color w:val="00779B"/>
          <w:spacing w:val="-3"/>
        </w:rPr>
        <w:t> </w:t>
      </w:r>
      <w:r>
        <w:rPr>
          <w:rFonts w:ascii="Segoe UI Semibold"/>
          <w:b/>
          <w:color w:val="00779B"/>
          <w:spacing w:val="-1"/>
        </w:rPr>
        <w:t>to</w:t>
      </w:r>
      <w:r>
        <w:rPr>
          <w:rFonts w:ascii="Segoe UI Semibold"/>
          <w:b/>
          <w:color w:val="00779B"/>
          <w:spacing w:val="-3"/>
        </w:rPr>
        <w:t> </w:t>
      </w:r>
      <w:r>
        <w:rPr>
          <w:rFonts w:ascii="Segoe UI Semibold"/>
          <w:b/>
          <w:color w:val="00779B"/>
        </w:rPr>
        <w:t>get</w:t>
      </w:r>
      <w:r>
        <w:rPr>
          <w:rFonts w:ascii="Segoe UI Semibold"/>
          <w:b/>
          <w:color w:val="00779B"/>
          <w:spacing w:val="-3"/>
        </w:rPr>
        <w:t> </w:t>
      </w:r>
      <w:r>
        <w:rPr>
          <w:rFonts w:ascii="Segoe UI Semibold"/>
          <w:b/>
          <w:color w:val="00779B"/>
        </w:rPr>
        <w:t>any</w:t>
      </w:r>
      <w:r>
        <w:rPr>
          <w:rFonts w:ascii="Segoe UI Semibold"/>
          <w:b/>
          <w:color w:val="00779B"/>
          <w:spacing w:val="-2"/>
        </w:rPr>
        <w:t> opportunity.</w:t>
      </w:r>
      <w:r>
        <w:rPr>
          <w:rFonts w:ascii="Segoe UI Semibold"/>
          <w:b/>
          <w:color w:val="00779B"/>
          <w:spacing w:val="25"/>
        </w:rPr>
        <w:t> </w:t>
      </w:r>
      <w:r>
        <w:rPr>
          <w:rFonts w:ascii="Segoe UI Semibold"/>
          <w:b/>
          <w:color w:val="00779B"/>
        </w:rPr>
        <w:t>That</w:t>
      </w:r>
      <w:r>
        <w:rPr>
          <w:rFonts w:ascii="Segoe UI Semibold"/>
          <w:b/>
          <w:color w:val="00779B"/>
          <w:spacing w:val="-3"/>
        </w:rPr>
        <w:t> </w:t>
      </w:r>
      <w:r>
        <w:rPr>
          <w:rFonts w:ascii="Segoe UI Semibold"/>
          <w:b/>
          <w:color w:val="00779B"/>
          <w:spacing w:val="-1"/>
        </w:rPr>
        <w:t>is</w:t>
      </w:r>
      <w:r>
        <w:rPr>
          <w:rFonts w:ascii="Segoe UI Semibold"/>
          <w:b/>
          <w:color w:val="00779B"/>
          <w:spacing w:val="-2"/>
        </w:rPr>
        <w:t> </w:t>
      </w:r>
      <w:r>
        <w:rPr>
          <w:rFonts w:ascii="Segoe UI Semibold"/>
          <w:b/>
          <w:color w:val="00779B"/>
          <w:spacing w:val="-1"/>
        </w:rPr>
        <w:t>the</w:t>
      </w:r>
      <w:r>
        <w:rPr>
          <w:rFonts w:ascii="Segoe UI Semibold"/>
          <w:b/>
          <w:color w:val="00779B"/>
          <w:spacing w:val="-2"/>
        </w:rPr>
        <w:t> </w:t>
      </w:r>
      <w:r>
        <w:rPr>
          <w:rFonts w:ascii="Segoe UI Semibold"/>
          <w:b/>
          <w:color w:val="00779B"/>
        </w:rPr>
        <w:t>big</w:t>
      </w:r>
      <w:r>
        <w:rPr>
          <w:rFonts w:ascii="Segoe UI Semibold"/>
          <w:b/>
          <w:color w:val="00779B"/>
          <w:spacing w:val="-3"/>
        </w:rPr>
        <w:t> </w:t>
      </w:r>
      <w:r>
        <w:rPr>
          <w:rFonts w:ascii="Segoe UI Semibold"/>
          <w:b/>
          <w:color w:val="00779B"/>
          <w:spacing w:val="-1"/>
        </w:rPr>
        <w:t>problem</w:t>
      </w:r>
      <w:r>
        <w:rPr>
          <w:rFonts w:ascii="Segoe UI Semibold"/>
          <w:b/>
          <w:color w:val="00779B"/>
          <w:spacing w:val="-2"/>
        </w:rPr>
        <w:t> </w:t>
      </w:r>
      <w:r>
        <w:rPr>
          <w:rFonts w:ascii="Segoe UI Semibold"/>
          <w:b/>
          <w:color w:val="00779B"/>
        </w:rPr>
        <w:t>for</w:t>
      </w:r>
      <w:r>
        <w:rPr>
          <w:rFonts w:ascii="Segoe UI Semibold"/>
          <w:b/>
          <w:color w:val="00779B"/>
          <w:spacing w:val="-2"/>
        </w:rPr>
        <w:t> </w:t>
      </w:r>
      <w:r>
        <w:rPr>
          <w:rFonts w:ascii="Segoe UI Semibold"/>
          <w:b/>
          <w:color w:val="00779B"/>
        </w:rPr>
        <w:t>me</w:t>
      </w:r>
      <w:r>
        <w:rPr>
          <w:rFonts w:ascii="Segoe UI Semibold"/>
          <w:b/>
          <w:color w:val="00779B"/>
          <w:spacing w:val="-3"/>
        </w:rPr>
        <w:t> </w:t>
      </w:r>
      <w:r>
        <w:rPr>
          <w:rFonts w:ascii="Segoe UI Semibold"/>
          <w:b/>
          <w:color w:val="00779B"/>
        </w:rPr>
        <w:t>at</w:t>
      </w:r>
      <w:r>
        <w:rPr>
          <w:rFonts w:ascii="Segoe UI Semibold"/>
          <w:b/>
          <w:color w:val="00779B"/>
          <w:spacing w:val="-3"/>
        </w:rPr>
        <w:t> </w:t>
      </w:r>
      <w:r>
        <w:rPr>
          <w:rFonts w:ascii="Segoe UI Semibold"/>
          <w:b/>
          <w:color w:val="00779B"/>
        </w:rPr>
        <w:t>a</w:t>
      </w:r>
      <w:r>
        <w:rPr>
          <w:rFonts w:ascii="Segoe UI Semibold"/>
          <w:b/>
          <w:color w:val="00779B"/>
          <w:spacing w:val="24"/>
          <w:w w:val="99"/>
        </w:rPr>
        <w:t> </w:t>
      </w:r>
      <w:r>
        <w:rPr>
          <w:rFonts w:ascii="Segoe UI Semibold"/>
          <w:b/>
          <w:color w:val="00779B"/>
          <w:spacing w:val="-1"/>
        </w:rPr>
        <w:t>professional</w:t>
      </w:r>
      <w:r>
        <w:rPr>
          <w:rFonts w:ascii="Segoe UI Semibold"/>
          <w:b/>
          <w:color w:val="00779B"/>
          <w:spacing w:val="-4"/>
        </w:rPr>
        <w:t> </w:t>
      </w:r>
      <w:r>
        <w:rPr>
          <w:rFonts w:ascii="Segoe UI Semibold"/>
          <w:b/>
          <w:color w:val="00779B"/>
          <w:spacing w:val="-1"/>
        </w:rPr>
        <w:t>level </w:t>
      </w:r>
      <w:r>
        <w:rPr>
          <w:rFonts w:ascii="Segoe UI Semibold"/>
          <w:b/>
          <w:color w:val="00779B"/>
        </w:rPr>
        <w:t>and</w:t>
      </w:r>
      <w:r>
        <w:rPr>
          <w:rFonts w:ascii="Segoe UI Semibold"/>
          <w:b/>
          <w:color w:val="00779B"/>
          <w:spacing w:val="-2"/>
        </w:rPr>
        <w:t> </w:t>
      </w:r>
      <w:r>
        <w:rPr>
          <w:rFonts w:ascii="Segoe UI Semibold"/>
          <w:b/>
          <w:color w:val="00779B"/>
        </w:rPr>
        <w:t>at</w:t>
      </w:r>
      <w:r>
        <w:rPr>
          <w:rFonts w:ascii="Segoe UI Semibold"/>
          <w:b/>
          <w:color w:val="00779B"/>
          <w:spacing w:val="-2"/>
        </w:rPr>
        <w:t> </w:t>
      </w:r>
      <w:r>
        <w:rPr>
          <w:rFonts w:ascii="Segoe UI Semibold"/>
          <w:b/>
          <w:color w:val="00779B"/>
        </w:rPr>
        <w:t>a</w:t>
      </w:r>
      <w:r>
        <w:rPr>
          <w:rFonts w:ascii="Segoe UI Semibold"/>
          <w:b/>
          <w:color w:val="00779B"/>
          <w:spacing w:val="-1"/>
        </w:rPr>
        <w:t> personal</w:t>
      </w:r>
      <w:r>
        <w:rPr>
          <w:rFonts w:ascii="Segoe UI Semibold"/>
          <w:b/>
          <w:color w:val="00779B"/>
          <w:spacing w:val="20"/>
        </w:rPr>
        <w:t> </w:t>
      </w:r>
      <w:r>
        <w:rPr>
          <w:rFonts w:ascii="Segoe UI Semibold"/>
          <w:b/>
          <w:color w:val="00779B"/>
          <w:spacing w:val="-1"/>
        </w:rPr>
        <w:t>level. </w:t>
      </w:r>
      <w:r>
        <w:rPr>
          <w:rFonts w:ascii="Segoe UI Semibold"/>
          <w:b/>
          <w:color w:val="00779B"/>
        </w:rPr>
        <w:t>A</w:t>
      </w:r>
      <w:r>
        <w:rPr>
          <w:rFonts w:ascii="Segoe UI Semibold"/>
          <w:b/>
          <w:color w:val="00779B"/>
          <w:spacing w:val="-1"/>
        </w:rPr>
        <w:t> lot</w:t>
      </w:r>
      <w:r>
        <w:rPr>
          <w:rFonts w:ascii="Segoe UI Semibold"/>
          <w:b/>
          <w:color w:val="00779B"/>
        </w:rPr>
        <w:t> </w:t>
      </w:r>
      <w:r>
        <w:rPr>
          <w:rFonts w:ascii="Segoe UI Semibold"/>
          <w:b/>
          <w:color w:val="00779B"/>
          <w:spacing w:val="-2"/>
        </w:rPr>
        <w:t>of</w:t>
      </w:r>
      <w:r>
        <w:rPr>
          <w:rFonts w:ascii="Segoe UI Semibold"/>
          <w:b/>
          <w:color w:val="00779B"/>
        </w:rPr>
        <w:t> money</w:t>
      </w:r>
      <w:r>
        <w:rPr>
          <w:rFonts w:ascii="Segoe UI Semibold"/>
          <w:b/>
          <w:color w:val="00779B"/>
          <w:spacing w:val="-1"/>
        </w:rPr>
        <w:t> </w:t>
      </w:r>
      <w:r>
        <w:rPr>
          <w:rFonts w:ascii="Segoe UI Semibold"/>
          <w:b/>
          <w:color w:val="00779B"/>
        </w:rPr>
        <w:t>goes</w:t>
      </w:r>
      <w:r>
        <w:rPr>
          <w:rFonts w:ascii="Segoe UI Semibold"/>
          <w:b/>
          <w:color w:val="00779B"/>
          <w:spacing w:val="-1"/>
        </w:rPr>
        <w:t> into it.</w:t>
      </w:r>
      <w:r>
        <w:rPr>
          <w:rFonts w:ascii="Segoe UI Semibold"/>
        </w:rPr>
      </w:r>
    </w:p>
    <w:p>
      <w:pPr>
        <w:pStyle w:val="BodyText"/>
        <w:spacing w:line="240" w:lineRule="auto" w:before="97"/>
        <w:ind w:right="0"/>
        <w:jc w:val="left"/>
        <w:rPr>
          <w:rFonts w:ascii="Segoe UI Semibold" w:hAnsi="Segoe UI Semibold" w:cs="Segoe UI Semibold" w:eastAsia="Segoe UI Semibold"/>
        </w:rPr>
      </w:pPr>
      <w:r>
        <w:rPr>
          <w:rFonts w:ascii="Segoe UI Semibold" w:hAnsi="Segoe UI Semibold" w:cs="Segoe UI Semibold" w:eastAsia="Segoe UI Semibold"/>
          <w:b/>
          <w:bCs/>
          <w:color w:val="00779B"/>
          <w:spacing w:val="-1"/>
        </w:rPr>
        <w:t>…..</w:t>
      </w:r>
      <w:r>
        <w:rPr>
          <w:rFonts w:ascii="Segoe UI Semibold" w:hAnsi="Segoe UI Semibold" w:cs="Segoe UI Semibold" w:eastAsia="Segoe UI Semibold"/>
        </w:rPr>
      </w:r>
    </w:p>
    <w:p>
      <w:pPr>
        <w:pStyle w:val="BodyText"/>
        <w:spacing w:line="250" w:lineRule="exact" w:before="113"/>
        <w:ind w:right="278"/>
        <w:jc w:val="left"/>
        <w:rPr>
          <w:rFonts w:ascii="Segoe UI Semibold" w:hAnsi="Segoe UI Semibold" w:cs="Segoe UI Semibold" w:eastAsia="Segoe UI Semibold"/>
        </w:rPr>
      </w:pPr>
      <w:r>
        <w:rPr>
          <w:rFonts w:ascii="Segoe UI Semibold" w:hAnsi="Segoe UI Semibold" w:cs="Segoe UI Semibold" w:eastAsia="Segoe UI Semibold"/>
          <w:b/>
          <w:bCs/>
          <w:color w:val="00779B"/>
        </w:rPr>
        <w:t>The</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AEU</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noted that</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‘the cost</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2"/>
        </w:rPr>
        <w:t>of</w:t>
      </w:r>
      <w:r>
        <w:rPr>
          <w:rFonts w:ascii="Segoe UI Semibold" w:hAnsi="Segoe UI Semibold" w:cs="Segoe UI Semibold" w:eastAsia="Segoe UI Semibold"/>
          <w:b/>
          <w:bCs/>
          <w:color w:val="00779B"/>
          <w:spacing w:val="27"/>
          <w:w w:val="99"/>
        </w:rPr>
        <w:t> </w:t>
      </w:r>
      <w:r>
        <w:rPr>
          <w:rFonts w:ascii="Segoe UI Semibold" w:hAnsi="Segoe UI Semibold" w:cs="Segoe UI Semibold" w:eastAsia="Segoe UI Semibold"/>
          <w:b/>
          <w:bCs/>
          <w:color w:val="00779B"/>
          <w:spacing w:val="-1"/>
        </w:rPr>
        <w:t>supporting </w:t>
      </w:r>
      <w:r>
        <w:rPr>
          <w:rFonts w:ascii="Segoe UI Semibold" w:hAnsi="Segoe UI Semibold" w:cs="Segoe UI Semibold" w:eastAsia="Segoe UI Semibold"/>
          <w:b/>
          <w:bCs/>
          <w:color w:val="00779B"/>
        </w:rPr>
        <w:t>a </w:t>
      </w:r>
      <w:r>
        <w:rPr>
          <w:rFonts w:ascii="Segoe UI Semibold" w:hAnsi="Segoe UI Semibold" w:cs="Segoe UI Semibold" w:eastAsia="Segoe UI Semibold"/>
          <w:b/>
          <w:bCs/>
          <w:color w:val="00779B"/>
          <w:spacing w:val="-1"/>
        </w:rPr>
        <w:t>student</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through the</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spacing w:val="28"/>
        </w:rPr>
        <w:t> </w:t>
      </w:r>
      <w:r>
        <w:rPr>
          <w:rFonts w:ascii="Segoe UI Semibold" w:hAnsi="Segoe UI Semibold" w:cs="Segoe UI Semibold" w:eastAsia="Segoe UI Semibold"/>
          <w:b/>
          <w:bCs/>
          <w:color w:val="00779B"/>
          <w:spacing w:val="-1"/>
        </w:rPr>
        <w:t>AIEF</w:t>
      </w:r>
      <w:r>
        <w:rPr>
          <w:rFonts w:ascii="Segoe UI Semibold" w:hAnsi="Segoe UI Semibold" w:cs="Segoe UI Semibold" w:eastAsia="Segoe UI Semibold"/>
          <w:b/>
          <w:bCs/>
          <w:color w:val="00779B"/>
          <w:spacing w:val="-2"/>
        </w:rPr>
        <w:t> exceeds</w:t>
      </w:r>
      <w:r>
        <w:rPr>
          <w:rFonts w:ascii="Segoe UI Semibold" w:hAnsi="Segoe UI Semibold" w:cs="Segoe UI Semibold" w:eastAsia="Segoe UI Semibold"/>
          <w:b/>
          <w:bCs/>
          <w:color w:val="00779B"/>
          <w:spacing w:val="-1"/>
        </w:rPr>
        <w:t> the</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average </w:t>
      </w:r>
      <w:r>
        <w:rPr>
          <w:rFonts w:ascii="Segoe UI Semibold" w:hAnsi="Segoe UI Semibold" w:cs="Segoe UI Semibold" w:eastAsia="Segoe UI Semibold"/>
          <w:b/>
          <w:bCs/>
          <w:color w:val="00779B"/>
        </w:rPr>
        <w:t>per</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student</w:t>
      </w:r>
      <w:r>
        <w:rPr>
          <w:rFonts w:ascii="Segoe UI Semibold" w:hAnsi="Segoe UI Semibold" w:cs="Segoe UI Semibold" w:eastAsia="Segoe UI Semibold"/>
          <w:b/>
          <w:bCs/>
          <w:color w:val="00779B"/>
          <w:spacing w:val="29"/>
        </w:rPr>
        <w:t> </w:t>
      </w:r>
      <w:r>
        <w:rPr>
          <w:rFonts w:ascii="Segoe UI Semibold" w:hAnsi="Segoe UI Semibold" w:cs="Segoe UI Semibold" w:eastAsia="Segoe UI Semibold"/>
          <w:b/>
          <w:bCs/>
          <w:color w:val="00779B"/>
        </w:rPr>
        <w:t>public</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funding</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paid to</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a</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government</w:t>
      </w:r>
      <w:r>
        <w:rPr>
          <w:rFonts w:ascii="Segoe UI Semibold" w:hAnsi="Segoe UI Semibold" w:cs="Segoe UI Semibold" w:eastAsia="Segoe UI Semibold"/>
          <w:b/>
          <w:bCs/>
          <w:color w:val="00779B"/>
          <w:spacing w:val="22"/>
        </w:rPr>
        <w:t> </w:t>
      </w:r>
      <w:r>
        <w:rPr>
          <w:rFonts w:ascii="Segoe UI Semibold" w:hAnsi="Segoe UI Semibold" w:cs="Segoe UI Semibold" w:eastAsia="Segoe UI Semibold"/>
          <w:b/>
          <w:bCs/>
          <w:color w:val="00779B"/>
          <w:spacing w:val="-1"/>
        </w:rPr>
        <w:t>school</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to educate </w:t>
      </w:r>
      <w:r>
        <w:rPr>
          <w:rFonts w:ascii="Segoe UI Semibold" w:hAnsi="Segoe UI Semibold" w:cs="Segoe UI Semibold" w:eastAsia="Segoe UI Semibold"/>
          <w:b/>
          <w:bCs/>
          <w:color w:val="00779B"/>
        </w:rPr>
        <w:t>an</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Indigenous</w:t>
      </w:r>
      <w:r>
        <w:rPr>
          <w:rFonts w:ascii="Segoe UI Semibold" w:hAnsi="Segoe UI Semibold" w:cs="Segoe UI Semibold" w:eastAsia="Segoe UI Semibold"/>
          <w:b/>
          <w:bCs/>
          <w:color w:val="00779B"/>
          <w:spacing w:val="24"/>
        </w:rPr>
        <w:t> </w:t>
      </w:r>
      <w:r>
        <w:rPr>
          <w:rFonts w:ascii="Segoe UI Semibold" w:hAnsi="Segoe UI Semibold" w:cs="Segoe UI Semibold" w:eastAsia="Segoe UI Semibold"/>
          <w:b/>
          <w:bCs/>
          <w:color w:val="00779B"/>
          <w:spacing w:val="-2"/>
        </w:rPr>
        <w:t>child’. </w:t>
      </w:r>
      <w:r>
        <w:rPr>
          <w:rFonts w:ascii="Segoe UI Semibold" w:hAnsi="Segoe UI Semibold" w:cs="Segoe UI Semibold" w:eastAsia="Segoe UI Semibold"/>
          <w:b/>
          <w:bCs/>
          <w:color w:val="00779B"/>
          <w:spacing w:val="-1"/>
        </w:rPr>
        <w:t>….</w:t>
      </w:r>
      <w:r>
        <w:rPr>
          <w:rFonts w:ascii="Segoe UI Semibold" w:hAnsi="Segoe UI Semibold" w:cs="Segoe UI Semibold" w:eastAsia="Segoe UI Semibold"/>
          <w:b/>
          <w:bCs/>
          <w:color w:val="00779B"/>
        </w:rPr>
        <w:t> The</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AEU</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stated</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that between</w:t>
      </w:r>
      <w:r>
        <w:rPr>
          <w:rFonts w:ascii="Segoe UI Semibold" w:hAnsi="Segoe UI Semibold" w:cs="Segoe UI Semibold" w:eastAsia="Segoe UI Semibold"/>
          <w:b/>
          <w:bCs/>
          <w:color w:val="00779B"/>
          <w:spacing w:val="26"/>
        </w:rPr>
        <w:t> </w:t>
      </w:r>
      <w:r>
        <w:rPr>
          <w:rFonts w:ascii="Segoe UI Semibold" w:hAnsi="Segoe UI Semibold" w:cs="Segoe UI Semibold" w:eastAsia="Segoe UI Semibold"/>
          <w:b/>
          <w:bCs/>
          <w:color w:val="00779B"/>
          <w:spacing w:val="-1"/>
        </w:rPr>
        <w:t>2009 </w:t>
      </w:r>
      <w:r>
        <w:rPr>
          <w:rFonts w:ascii="Segoe UI Semibold" w:hAnsi="Segoe UI Semibold" w:cs="Segoe UI Semibold" w:eastAsia="Segoe UI Semibold"/>
          <w:b/>
          <w:bCs/>
          <w:color w:val="00779B"/>
        </w:rPr>
        <w:t>and</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2014, the</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3"/>
        </w:rPr>
        <w:t>AIEF’s</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scholarship</w:t>
      </w:r>
      <w:r>
        <w:rPr>
          <w:rFonts w:ascii="Segoe UI Semibold" w:hAnsi="Segoe UI Semibold" w:cs="Segoe UI Semibold" w:eastAsia="Segoe UI Semibold"/>
        </w:rPr>
      </w:r>
    </w:p>
    <w:p>
      <w:pPr>
        <w:pStyle w:val="BodyText"/>
        <w:spacing w:line="250" w:lineRule="exact"/>
        <w:ind w:right="152"/>
        <w:jc w:val="left"/>
        <w:rPr>
          <w:rFonts w:ascii="Segoe UI Semibold" w:hAnsi="Segoe UI Semibold" w:cs="Segoe UI Semibold" w:eastAsia="Segoe UI Semibold"/>
        </w:rPr>
      </w:pPr>
      <w:r>
        <w:rPr>
          <w:rFonts w:ascii="Segoe UI Semibold"/>
          <w:b/>
          <w:color w:val="00779B"/>
          <w:spacing w:val="-1"/>
        </w:rPr>
        <w:t>program</w:t>
      </w:r>
      <w:r>
        <w:rPr>
          <w:rFonts w:ascii="Segoe UI Semibold"/>
          <w:b/>
          <w:color w:val="00779B"/>
          <w:spacing w:val="-3"/>
        </w:rPr>
        <w:t> </w:t>
      </w:r>
      <w:r>
        <w:rPr>
          <w:rFonts w:ascii="Segoe UI Semibold"/>
          <w:b/>
          <w:color w:val="00779B"/>
          <w:spacing w:val="-2"/>
        </w:rPr>
        <w:t>received</w:t>
      </w:r>
      <w:r>
        <w:rPr>
          <w:rFonts w:ascii="Segoe UI Semibold"/>
          <w:b/>
          <w:color w:val="00779B"/>
          <w:spacing w:val="-3"/>
        </w:rPr>
        <w:t> </w:t>
      </w:r>
      <w:r>
        <w:rPr>
          <w:rFonts w:ascii="Segoe UI Semibold"/>
          <w:b/>
          <w:color w:val="00779B"/>
          <w:spacing w:val="-1"/>
        </w:rPr>
        <w:t>$32</w:t>
      </w:r>
      <w:r>
        <w:rPr>
          <w:rFonts w:ascii="Segoe UI Semibold"/>
          <w:b/>
          <w:color w:val="00779B"/>
          <w:spacing w:val="-3"/>
        </w:rPr>
        <w:t> </w:t>
      </w:r>
      <w:r>
        <w:rPr>
          <w:rFonts w:ascii="Segoe UI Semibold"/>
          <w:b/>
          <w:color w:val="00779B"/>
        </w:rPr>
        <w:t>million</w:t>
      </w:r>
      <w:r>
        <w:rPr>
          <w:rFonts w:ascii="Segoe UI Semibold"/>
          <w:b/>
          <w:color w:val="00779B"/>
          <w:spacing w:val="-4"/>
        </w:rPr>
        <w:t> </w:t>
      </w:r>
      <w:r>
        <w:rPr>
          <w:rFonts w:ascii="Segoe UI Semibold"/>
          <w:b/>
          <w:color w:val="00779B"/>
          <w:spacing w:val="-1"/>
        </w:rPr>
        <w:t>from</w:t>
      </w:r>
      <w:r>
        <w:rPr>
          <w:rFonts w:ascii="Segoe UI Semibold"/>
          <w:b/>
          <w:color w:val="00779B"/>
          <w:spacing w:val="-3"/>
        </w:rPr>
        <w:t> </w:t>
      </w:r>
      <w:r>
        <w:rPr>
          <w:rFonts w:ascii="Segoe UI Semibold"/>
          <w:b/>
          <w:color w:val="00779B"/>
          <w:spacing w:val="-1"/>
        </w:rPr>
        <w:t>the</w:t>
      </w:r>
      <w:r>
        <w:rPr>
          <w:rFonts w:ascii="Segoe UI Semibold"/>
          <w:b/>
          <w:color w:val="00779B"/>
          <w:spacing w:val="20"/>
        </w:rPr>
        <w:t> </w:t>
      </w:r>
      <w:r>
        <w:rPr>
          <w:rFonts w:ascii="Segoe UI Semibold"/>
          <w:b/>
          <w:color w:val="00779B"/>
          <w:spacing w:val="-1"/>
        </w:rPr>
        <w:t>Federal</w:t>
      </w:r>
      <w:r>
        <w:rPr>
          <w:rFonts w:ascii="Segoe UI Semibold"/>
          <w:b/>
          <w:color w:val="00779B"/>
        </w:rPr>
        <w:t> </w:t>
      </w:r>
      <w:r>
        <w:rPr>
          <w:rFonts w:ascii="Segoe UI Semibold"/>
          <w:b/>
          <w:color w:val="00779B"/>
          <w:spacing w:val="-1"/>
        </w:rPr>
        <w:t>Government</w:t>
      </w:r>
      <w:r>
        <w:rPr>
          <w:rFonts w:ascii="Segoe UI Semibold"/>
          <w:b/>
          <w:color w:val="00779B"/>
        </w:rPr>
        <w:t> and</w:t>
      </w:r>
      <w:r>
        <w:rPr>
          <w:rFonts w:ascii="Segoe UI Semibold"/>
          <w:b/>
          <w:color w:val="00779B"/>
          <w:spacing w:val="-1"/>
        </w:rPr>
        <w:t> $37</w:t>
      </w:r>
      <w:r>
        <w:rPr>
          <w:rFonts w:ascii="Segoe UI Semibold"/>
          <w:b/>
          <w:color w:val="00779B"/>
        </w:rPr>
        <w:t> million</w:t>
      </w:r>
      <w:r>
        <w:rPr>
          <w:rFonts w:ascii="Segoe UI Semibold"/>
          <w:b/>
          <w:color w:val="00779B"/>
          <w:spacing w:val="23"/>
        </w:rPr>
        <w:t> </w:t>
      </w:r>
      <w:r>
        <w:rPr>
          <w:rFonts w:ascii="Segoe UI Semibold"/>
          <w:b/>
          <w:color w:val="00779B"/>
          <w:spacing w:val="-1"/>
        </w:rPr>
        <w:t>from private</w:t>
      </w:r>
      <w:r>
        <w:rPr>
          <w:rFonts w:ascii="Segoe UI Semibold"/>
          <w:b/>
          <w:color w:val="00779B"/>
          <w:spacing w:val="-2"/>
        </w:rPr>
        <w:t> </w:t>
      </w:r>
      <w:r>
        <w:rPr>
          <w:rFonts w:ascii="Segoe UI Semibold"/>
          <w:b/>
          <w:color w:val="00779B"/>
          <w:spacing w:val="-1"/>
        </w:rPr>
        <w:t>sources, with </w:t>
      </w:r>
      <w:r>
        <w:rPr>
          <w:rFonts w:ascii="Segoe UI Semibold"/>
          <w:b/>
          <w:color w:val="00779B"/>
        </w:rPr>
        <w:t>an</w:t>
      </w:r>
      <w:r>
        <w:rPr>
          <w:rFonts w:ascii="Segoe UI Semibold"/>
          <w:b/>
          <w:color w:val="00779B"/>
          <w:spacing w:val="-2"/>
        </w:rPr>
        <w:t> </w:t>
      </w:r>
      <w:r>
        <w:rPr>
          <w:rFonts w:ascii="Segoe UI Semibold"/>
          <w:b/>
          <w:color w:val="00779B"/>
          <w:spacing w:val="-1"/>
        </w:rPr>
        <w:t>average</w:t>
      </w:r>
      <w:r>
        <w:rPr>
          <w:rFonts w:ascii="Segoe UI Semibold"/>
          <w:b/>
          <w:color w:val="00779B"/>
          <w:spacing w:val="23"/>
        </w:rPr>
        <w:t> </w:t>
      </w:r>
      <w:r>
        <w:rPr>
          <w:rFonts w:ascii="Segoe UI Semibold"/>
          <w:b/>
          <w:color w:val="00779B"/>
          <w:spacing w:val="-1"/>
        </w:rPr>
        <w:t>net</w:t>
      </w:r>
      <w:r>
        <w:rPr>
          <w:rFonts w:ascii="Segoe UI Semibold"/>
          <w:b/>
          <w:color w:val="00779B"/>
          <w:spacing w:val="-3"/>
        </w:rPr>
        <w:t> </w:t>
      </w:r>
      <w:r>
        <w:rPr>
          <w:rFonts w:ascii="Segoe UI Semibold"/>
          <w:b/>
          <w:color w:val="00779B"/>
          <w:spacing w:val="-1"/>
        </w:rPr>
        <w:t>scholarship</w:t>
      </w:r>
      <w:r>
        <w:rPr>
          <w:rFonts w:ascii="Segoe UI Semibold"/>
          <w:b/>
          <w:color w:val="00779B"/>
          <w:spacing w:val="-2"/>
        </w:rPr>
        <w:t> </w:t>
      </w:r>
      <w:r>
        <w:rPr>
          <w:rFonts w:ascii="Segoe UI Semibold"/>
          <w:b/>
          <w:color w:val="00779B"/>
          <w:spacing w:val="-1"/>
        </w:rPr>
        <w:t>cost</w:t>
      </w:r>
      <w:r>
        <w:rPr>
          <w:rFonts w:ascii="Segoe UI Semibold"/>
          <w:b/>
          <w:color w:val="00779B"/>
          <w:spacing w:val="-2"/>
        </w:rPr>
        <w:t> of </w:t>
      </w:r>
      <w:r>
        <w:rPr>
          <w:rFonts w:ascii="Segoe UI Semibold"/>
          <w:b/>
          <w:color w:val="00779B"/>
          <w:spacing w:val="-1"/>
        </w:rPr>
        <w:t>approximately</w:t>
      </w:r>
      <w:r>
        <w:rPr>
          <w:rFonts w:ascii="Segoe UI Semibold"/>
        </w:rPr>
      </w:r>
    </w:p>
    <w:p>
      <w:pPr>
        <w:pStyle w:val="BodyText"/>
        <w:spacing w:line="242" w:lineRule="exact"/>
        <w:ind w:right="0"/>
        <w:jc w:val="left"/>
        <w:rPr>
          <w:rFonts w:ascii="Segoe UI Semibold" w:hAnsi="Segoe UI Semibold" w:cs="Segoe UI Semibold" w:eastAsia="Segoe UI Semibold"/>
        </w:rPr>
      </w:pPr>
      <w:r>
        <w:rPr>
          <w:rFonts w:ascii="Segoe UI Semibold"/>
          <w:b/>
          <w:color w:val="00779B"/>
          <w:spacing w:val="-1"/>
        </w:rPr>
        <w:t>$19,000</w:t>
      </w:r>
      <w:r>
        <w:rPr>
          <w:rFonts w:ascii="Segoe UI Semibold"/>
          <w:b/>
          <w:color w:val="00779B"/>
          <w:spacing w:val="-2"/>
        </w:rPr>
        <w:t> </w:t>
      </w:r>
      <w:r>
        <w:rPr>
          <w:rFonts w:ascii="Segoe UI Semibold"/>
          <w:b/>
          <w:color w:val="00779B"/>
        </w:rPr>
        <w:t>per</w:t>
      </w:r>
      <w:r>
        <w:rPr>
          <w:rFonts w:ascii="Segoe UI Semibold"/>
          <w:b/>
          <w:color w:val="00779B"/>
          <w:spacing w:val="-2"/>
        </w:rPr>
        <w:t> </w:t>
      </w:r>
      <w:r>
        <w:rPr>
          <w:rFonts w:ascii="Segoe UI Semibold"/>
          <w:b/>
          <w:color w:val="00779B"/>
          <w:spacing w:val="-1"/>
        </w:rPr>
        <w:t>student</w:t>
      </w:r>
      <w:r>
        <w:rPr>
          <w:rFonts w:ascii="Segoe UI Semibold"/>
          <w:b/>
          <w:color w:val="00779B"/>
          <w:spacing w:val="-2"/>
        </w:rPr>
        <w:t> </w:t>
      </w:r>
      <w:r>
        <w:rPr>
          <w:rFonts w:ascii="Segoe UI Semibold"/>
          <w:b/>
          <w:color w:val="00779B"/>
        </w:rPr>
        <w:t>per</w:t>
      </w:r>
      <w:r>
        <w:rPr>
          <w:rFonts w:ascii="Segoe UI Semibold"/>
          <w:b/>
          <w:color w:val="00779B"/>
          <w:spacing w:val="-2"/>
        </w:rPr>
        <w:t> </w:t>
      </w:r>
      <w:r>
        <w:rPr>
          <w:rFonts w:ascii="Segoe UI Semibold"/>
          <w:b/>
          <w:color w:val="00779B"/>
        </w:rPr>
        <w:t>annum.</w:t>
      </w:r>
      <w:r>
        <w:rPr>
          <w:rFonts w:ascii="Segoe UI Semibold"/>
        </w:rPr>
      </w:r>
    </w:p>
    <w:p>
      <w:pPr>
        <w:pStyle w:val="BodyText"/>
        <w:spacing w:line="250" w:lineRule="exact" w:before="7"/>
        <w:ind w:right="152"/>
        <w:jc w:val="left"/>
        <w:rPr>
          <w:rFonts w:ascii="Segoe UI Semibold" w:hAnsi="Segoe UI Semibold" w:cs="Segoe UI Semibold" w:eastAsia="Segoe UI Semibold"/>
        </w:rPr>
      </w:pPr>
      <w:r>
        <w:rPr>
          <w:rFonts w:ascii="Segoe UI Semibold"/>
          <w:b/>
          <w:color w:val="00779B"/>
        </w:rPr>
        <w:t>By</w:t>
      </w:r>
      <w:r>
        <w:rPr>
          <w:rFonts w:ascii="Segoe UI Semibold"/>
          <w:b/>
          <w:color w:val="00779B"/>
          <w:spacing w:val="-3"/>
        </w:rPr>
        <w:t> </w:t>
      </w:r>
      <w:r>
        <w:rPr>
          <w:rFonts w:ascii="Segoe UI Semibold"/>
          <w:b/>
          <w:color w:val="00779B"/>
          <w:spacing w:val="-1"/>
        </w:rPr>
        <w:t>comparison,</w:t>
      </w:r>
      <w:r>
        <w:rPr>
          <w:rFonts w:ascii="Segoe UI Semibold"/>
          <w:b/>
          <w:color w:val="00779B"/>
          <w:spacing w:val="-2"/>
        </w:rPr>
        <w:t> </w:t>
      </w:r>
      <w:r>
        <w:rPr>
          <w:rFonts w:ascii="Segoe UI Semibold"/>
          <w:b/>
          <w:color w:val="00779B"/>
          <w:spacing w:val="-1"/>
        </w:rPr>
        <w:t>the average</w:t>
      </w:r>
      <w:r>
        <w:rPr>
          <w:rFonts w:ascii="Segoe UI Semibold"/>
          <w:b/>
          <w:color w:val="00779B"/>
          <w:spacing w:val="-2"/>
        </w:rPr>
        <w:t> </w:t>
      </w:r>
      <w:r>
        <w:rPr>
          <w:rFonts w:ascii="Segoe UI Semibold"/>
          <w:b/>
          <w:color w:val="00779B"/>
        </w:rPr>
        <w:t>funding</w:t>
      </w:r>
      <w:r>
        <w:rPr>
          <w:rFonts w:ascii="Segoe UI Semibold"/>
          <w:b/>
          <w:color w:val="00779B"/>
          <w:spacing w:val="28"/>
        </w:rPr>
        <w:t> </w:t>
      </w:r>
      <w:r>
        <w:rPr>
          <w:rFonts w:ascii="Segoe UI Semibold"/>
          <w:b/>
          <w:color w:val="00779B"/>
          <w:spacing w:val="-2"/>
        </w:rPr>
        <w:t>(State</w:t>
      </w:r>
      <w:r>
        <w:rPr>
          <w:rFonts w:ascii="Segoe UI Semibold"/>
          <w:b/>
          <w:color w:val="00779B"/>
          <w:spacing w:val="-3"/>
        </w:rPr>
        <w:t> </w:t>
      </w:r>
      <w:r>
        <w:rPr>
          <w:rFonts w:ascii="Segoe UI Semibold"/>
          <w:b/>
          <w:color w:val="00779B"/>
        </w:rPr>
        <w:t>and</w:t>
      </w:r>
      <w:r>
        <w:rPr>
          <w:rFonts w:ascii="Segoe UI Semibold"/>
          <w:b/>
          <w:color w:val="00779B"/>
          <w:spacing w:val="-2"/>
        </w:rPr>
        <w:t> </w:t>
      </w:r>
      <w:r>
        <w:rPr>
          <w:rFonts w:ascii="Segoe UI Semibold"/>
          <w:b/>
          <w:color w:val="00779B"/>
          <w:spacing w:val="-1"/>
        </w:rPr>
        <w:t>Federal)</w:t>
      </w:r>
      <w:r>
        <w:rPr>
          <w:rFonts w:ascii="Segoe UI Semibold"/>
          <w:b/>
          <w:color w:val="00779B"/>
        </w:rPr>
        <w:t> </w:t>
      </w:r>
      <w:r>
        <w:rPr>
          <w:rFonts w:ascii="Segoe UI Semibold"/>
          <w:b/>
          <w:color w:val="00779B"/>
          <w:spacing w:val="-2"/>
        </w:rPr>
        <w:t>received</w:t>
      </w:r>
      <w:r>
        <w:rPr>
          <w:rFonts w:ascii="Segoe UI Semibold"/>
          <w:b/>
          <w:color w:val="00779B"/>
          <w:spacing w:val="-1"/>
        </w:rPr>
        <w:t> </w:t>
      </w:r>
      <w:r>
        <w:rPr>
          <w:rFonts w:ascii="Segoe UI Semibold"/>
          <w:b/>
          <w:color w:val="00779B"/>
        </w:rPr>
        <w:t>by</w:t>
      </w:r>
      <w:r>
        <w:rPr>
          <w:rFonts w:ascii="Segoe UI Semibold"/>
          <w:b/>
          <w:color w:val="00779B"/>
          <w:spacing w:val="21"/>
          <w:w w:val="99"/>
        </w:rPr>
        <w:t> </w:t>
      </w:r>
      <w:r>
        <w:rPr>
          <w:rFonts w:ascii="Segoe UI Semibold"/>
          <w:b/>
          <w:color w:val="00779B"/>
          <w:spacing w:val="-1"/>
        </w:rPr>
        <w:t>government</w:t>
      </w:r>
      <w:r>
        <w:rPr>
          <w:rFonts w:ascii="Segoe UI Semibold"/>
          <w:b/>
          <w:color w:val="00779B"/>
        </w:rPr>
        <w:t> </w:t>
      </w:r>
      <w:r>
        <w:rPr>
          <w:rFonts w:ascii="Segoe UI Semibold"/>
          <w:b/>
          <w:color w:val="00779B"/>
          <w:spacing w:val="-1"/>
        </w:rPr>
        <w:t>schools</w:t>
      </w:r>
      <w:r>
        <w:rPr>
          <w:rFonts w:ascii="Segoe UI Semibold"/>
          <w:b/>
          <w:color w:val="00779B"/>
        </w:rPr>
        <w:t> </w:t>
      </w:r>
      <w:r>
        <w:rPr>
          <w:rFonts w:ascii="Segoe UI Semibold"/>
          <w:b/>
          <w:color w:val="00779B"/>
          <w:spacing w:val="-1"/>
        </w:rPr>
        <w:t>was</w:t>
      </w:r>
      <w:r>
        <w:rPr>
          <w:rFonts w:ascii="Segoe UI Semibold"/>
          <w:b/>
          <w:color w:val="00779B"/>
        </w:rPr>
        <w:t> </w:t>
      </w:r>
      <w:r>
        <w:rPr>
          <w:rFonts w:ascii="Segoe UI Semibold"/>
          <w:b/>
          <w:color w:val="00779B"/>
          <w:spacing w:val="-1"/>
        </w:rPr>
        <w:t>considerably</w:t>
      </w:r>
      <w:r>
        <w:rPr>
          <w:rFonts w:ascii="Segoe UI Semibold"/>
          <w:b/>
          <w:color w:val="00779B"/>
          <w:spacing w:val="24"/>
        </w:rPr>
        <w:t> </w:t>
      </w:r>
      <w:r>
        <w:rPr>
          <w:rFonts w:ascii="Segoe UI Semibold"/>
          <w:b/>
          <w:color w:val="00779B"/>
          <w:spacing w:val="-1"/>
        </w:rPr>
        <w:t>less, </w:t>
      </w:r>
      <w:r>
        <w:rPr>
          <w:rFonts w:ascii="Segoe UI Semibold"/>
          <w:b/>
          <w:color w:val="00779B"/>
        </w:rPr>
        <w:t>at</w:t>
      </w:r>
      <w:r>
        <w:rPr>
          <w:rFonts w:ascii="Segoe UI Semibold"/>
          <w:b/>
          <w:color w:val="00779B"/>
          <w:spacing w:val="-2"/>
        </w:rPr>
        <w:t> </w:t>
      </w:r>
      <w:r>
        <w:rPr>
          <w:rFonts w:ascii="Segoe UI Semibold"/>
          <w:b/>
          <w:color w:val="00779B"/>
          <w:spacing w:val="-1"/>
        </w:rPr>
        <w:t>only $10,783 </w:t>
      </w:r>
      <w:r>
        <w:rPr>
          <w:rFonts w:ascii="Segoe UI Semibold"/>
          <w:b/>
          <w:color w:val="00779B"/>
        </w:rPr>
        <w:t>per</w:t>
      </w:r>
      <w:r>
        <w:rPr>
          <w:rFonts w:ascii="Segoe UI Semibold"/>
          <w:b/>
          <w:color w:val="00779B"/>
          <w:spacing w:val="-1"/>
        </w:rPr>
        <w:t> student</w:t>
      </w:r>
      <w:r>
        <w:rPr>
          <w:rFonts w:ascii="Segoe UI Semibold"/>
        </w:rPr>
      </w:r>
    </w:p>
    <w:p>
      <w:pPr>
        <w:pStyle w:val="BodyText"/>
        <w:spacing w:line="250" w:lineRule="exact"/>
        <w:ind w:right="0"/>
        <w:jc w:val="left"/>
        <w:rPr>
          <w:rFonts w:ascii="Segoe UI Semibold" w:hAnsi="Segoe UI Semibold" w:cs="Segoe UI Semibold" w:eastAsia="Segoe UI Semibold"/>
        </w:rPr>
      </w:pPr>
      <w:r>
        <w:rPr>
          <w:rFonts w:ascii="Segoe UI Semibold" w:hAnsi="Segoe UI Semibold" w:cs="Segoe UI Semibold" w:eastAsia="Segoe UI Semibold"/>
          <w:b/>
          <w:bCs/>
          <w:color w:val="00779B"/>
          <w:spacing w:val="-1"/>
        </w:rPr>
        <w:t>in </w:t>
      </w:r>
      <w:r>
        <w:rPr>
          <w:rFonts w:ascii="Segoe UI Semibold" w:hAnsi="Segoe UI Semibold" w:cs="Segoe UI Semibold" w:eastAsia="Segoe UI Semibold"/>
          <w:b/>
          <w:bCs/>
          <w:color w:val="00779B"/>
          <w:spacing w:val="-4"/>
        </w:rPr>
        <w:t>2013.’</w:t>
      </w:r>
      <w:r>
        <w:rPr>
          <w:rFonts w:ascii="Segoe UI Semibold" w:hAnsi="Segoe UI Semibold" w:cs="Segoe UI Semibold" w:eastAsia="Segoe UI Semibold"/>
        </w:rPr>
      </w:r>
    </w:p>
    <w:p>
      <w:pPr>
        <w:spacing w:after="0" w:line="250" w:lineRule="exact"/>
        <w:jc w:val="left"/>
        <w:rPr>
          <w:rFonts w:ascii="Segoe UI Semibold" w:hAnsi="Segoe UI Semibold" w:cs="Segoe UI Semibold" w:eastAsia="Segoe UI Semibold"/>
        </w:rPr>
        <w:sectPr>
          <w:type w:val="continuous"/>
          <w:pgSz w:w="11910" w:h="16840"/>
          <w:pgMar w:top="1580" w:bottom="280" w:left="1300" w:right="1680"/>
          <w:cols w:num="2" w:equalWidth="0">
            <w:col w:w="4349" w:space="697"/>
            <w:col w:w="3884"/>
          </w:cols>
        </w:sectPr>
      </w:pPr>
    </w:p>
    <w:p>
      <w:pPr>
        <w:spacing w:line="240" w:lineRule="auto" w:before="0"/>
        <w:rPr>
          <w:rFonts w:ascii="Segoe UI Semibold" w:hAnsi="Segoe UI Semibold" w:cs="Segoe UI Semibold" w:eastAsia="Segoe UI Semibold"/>
          <w:b/>
          <w:bCs/>
          <w:sz w:val="20"/>
          <w:szCs w:val="20"/>
        </w:rPr>
      </w:pPr>
    </w:p>
    <w:p>
      <w:pPr>
        <w:spacing w:line="240" w:lineRule="auto" w:before="8"/>
        <w:rPr>
          <w:rFonts w:ascii="Segoe UI Semibold" w:hAnsi="Segoe UI Semibold" w:cs="Segoe UI Semibold" w:eastAsia="Segoe UI Semibold"/>
          <w:b/>
          <w:bCs/>
          <w:sz w:val="21"/>
          <w:szCs w:val="21"/>
        </w:rPr>
      </w:pPr>
    </w:p>
    <w:p>
      <w:pPr>
        <w:spacing w:after="0" w:line="240" w:lineRule="auto"/>
        <w:rPr>
          <w:rFonts w:ascii="Segoe UI Semibold" w:hAnsi="Segoe UI Semibold" w:cs="Segoe UI Semibold" w:eastAsia="Segoe UI Semibold"/>
          <w:sz w:val="21"/>
          <w:szCs w:val="21"/>
        </w:rPr>
        <w:sectPr>
          <w:pgSz w:w="11910" w:h="16840"/>
          <w:pgMar w:header="0" w:footer="691" w:top="1580" w:bottom="880" w:left="1560" w:right="1300"/>
        </w:sectPr>
      </w:pPr>
    </w:p>
    <w:p>
      <w:pPr>
        <w:spacing w:line="250" w:lineRule="exact" w:before="62"/>
        <w:ind w:left="140" w:right="0" w:firstLine="0"/>
        <w:jc w:val="left"/>
        <w:rPr>
          <w:rFonts w:ascii="Segoe UI" w:hAnsi="Segoe UI" w:cs="Segoe UI" w:eastAsia="Segoe UI"/>
          <w:sz w:val="20"/>
          <w:szCs w:val="20"/>
        </w:rPr>
      </w:pPr>
      <w:r>
        <w:rPr>
          <w:rFonts w:ascii="Segoe UI" w:hAnsi="Segoe UI" w:cs="Segoe UI" w:eastAsia="Segoe UI"/>
          <w:color w:val="231F20"/>
          <w:sz w:val="20"/>
          <w:szCs w:val="20"/>
        </w:rPr>
        <w:t>The</w:t>
      </w:r>
      <w:r>
        <w:rPr>
          <w:rFonts w:ascii="Segoe UI" w:hAnsi="Segoe UI" w:cs="Segoe UI" w:eastAsia="Segoe UI"/>
          <w:color w:val="231F20"/>
          <w:spacing w:val="-4"/>
          <w:sz w:val="20"/>
          <w:szCs w:val="20"/>
        </w:rPr>
        <w:t> </w:t>
      </w:r>
      <w:r>
        <w:rPr>
          <w:rFonts w:ascii="Segoe UI" w:hAnsi="Segoe UI" w:cs="Segoe UI" w:eastAsia="Segoe UI"/>
          <w:color w:val="231F20"/>
          <w:spacing w:val="-1"/>
          <w:sz w:val="20"/>
          <w:szCs w:val="20"/>
        </w:rPr>
        <w:t>impact</w:t>
      </w:r>
      <w:r>
        <w:rPr>
          <w:rFonts w:ascii="Segoe UI" w:hAnsi="Segoe UI" w:cs="Segoe UI" w:eastAsia="Segoe UI"/>
          <w:color w:val="231F20"/>
          <w:spacing w:val="-4"/>
          <w:sz w:val="20"/>
          <w:szCs w:val="20"/>
        </w:rPr>
        <w:t> </w:t>
      </w:r>
      <w:r>
        <w:rPr>
          <w:rFonts w:ascii="Segoe UI" w:hAnsi="Segoe UI" w:cs="Segoe UI" w:eastAsia="Segoe UI"/>
          <w:color w:val="231F20"/>
          <w:sz w:val="20"/>
          <w:szCs w:val="20"/>
        </w:rPr>
        <w:t>of</w:t>
      </w:r>
      <w:r>
        <w:rPr>
          <w:rFonts w:ascii="Segoe UI" w:hAnsi="Segoe UI" w:cs="Segoe UI" w:eastAsia="Segoe UI"/>
          <w:color w:val="231F20"/>
          <w:spacing w:val="-4"/>
          <w:sz w:val="20"/>
          <w:szCs w:val="20"/>
        </w:rPr>
        <w:t> </w:t>
      </w:r>
      <w:r>
        <w:rPr>
          <w:rFonts w:ascii="Segoe UI" w:hAnsi="Segoe UI" w:cs="Segoe UI" w:eastAsia="Segoe UI"/>
          <w:color w:val="231F20"/>
          <w:spacing w:val="-1"/>
          <w:sz w:val="20"/>
          <w:szCs w:val="20"/>
        </w:rPr>
        <w:t>scholarships</w:t>
      </w:r>
      <w:r>
        <w:rPr>
          <w:rFonts w:ascii="Segoe UI" w:hAnsi="Segoe UI" w:cs="Segoe UI" w:eastAsia="Segoe UI"/>
          <w:color w:val="231F20"/>
          <w:spacing w:val="-3"/>
          <w:sz w:val="20"/>
          <w:szCs w:val="20"/>
        </w:rPr>
        <w:t> </w:t>
      </w:r>
      <w:r>
        <w:rPr>
          <w:rFonts w:ascii="Segoe UI" w:hAnsi="Segoe UI" w:cs="Segoe UI" w:eastAsia="Segoe UI"/>
          <w:color w:val="231F20"/>
          <w:sz w:val="20"/>
          <w:szCs w:val="20"/>
        </w:rPr>
        <w:t>on</w:t>
      </w:r>
      <w:r>
        <w:rPr>
          <w:rFonts w:ascii="Segoe UI" w:hAnsi="Segoe UI" w:cs="Segoe UI" w:eastAsia="Segoe UI"/>
          <w:color w:val="231F20"/>
          <w:spacing w:val="-4"/>
          <w:sz w:val="20"/>
          <w:szCs w:val="20"/>
        </w:rPr>
        <w:t> </w:t>
      </w:r>
      <w:r>
        <w:rPr>
          <w:rFonts w:ascii="Segoe UI" w:hAnsi="Segoe UI" w:cs="Segoe UI" w:eastAsia="Segoe UI"/>
          <w:color w:val="231F20"/>
          <w:sz w:val="20"/>
          <w:szCs w:val="20"/>
        </w:rPr>
        <w:t>remote</w:t>
      </w:r>
      <w:r>
        <w:rPr>
          <w:rFonts w:ascii="Segoe UI" w:hAnsi="Segoe UI" w:cs="Segoe UI" w:eastAsia="Segoe UI"/>
          <w:color w:val="231F20"/>
          <w:spacing w:val="23"/>
          <w:w w:val="99"/>
          <w:sz w:val="20"/>
          <w:szCs w:val="20"/>
        </w:rPr>
        <w:t> </w:t>
      </w:r>
      <w:r>
        <w:rPr>
          <w:rFonts w:ascii="Segoe UI" w:hAnsi="Segoe UI" w:cs="Segoe UI" w:eastAsia="Segoe UI"/>
          <w:color w:val="231F20"/>
          <w:sz w:val="20"/>
          <w:szCs w:val="20"/>
        </w:rPr>
        <w:t>communities</w:t>
      </w:r>
      <w:r>
        <w:rPr>
          <w:rFonts w:ascii="Segoe UI" w:hAnsi="Segoe UI" w:cs="Segoe UI" w:eastAsia="Segoe UI"/>
          <w:color w:val="231F20"/>
          <w:spacing w:val="-5"/>
          <w:sz w:val="20"/>
          <w:szCs w:val="20"/>
        </w:rPr>
        <w:t> </w:t>
      </w:r>
      <w:r>
        <w:rPr>
          <w:rFonts w:ascii="Segoe UI" w:hAnsi="Segoe UI" w:cs="Segoe UI" w:eastAsia="Segoe UI"/>
          <w:color w:val="231F20"/>
          <w:sz w:val="20"/>
          <w:szCs w:val="20"/>
        </w:rPr>
        <w:t>was</w:t>
      </w:r>
      <w:r>
        <w:rPr>
          <w:rFonts w:ascii="Segoe UI" w:hAnsi="Segoe UI" w:cs="Segoe UI" w:eastAsia="Segoe UI"/>
          <w:color w:val="231F20"/>
          <w:spacing w:val="-4"/>
          <w:sz w:val="20"/>
          <w:szCs w:val="20"/>
        </w:rPr>
        <w:t> </w:t>
      </w:r>
      <w:r>
        <w:rPr>
          <w:rFonts w:ascii="Segoe UI" w:hAnsi="Segoe UI" w:cs="Segoe UI" w:eastAsia="Segoe UI"/>
          <w:color w:val="231F20"/>
          <w:sz w:val="20"/>
          <w:szCs w:val="20"/>
        </w:rPr>
        <w:t>also</w:t>
      </w:r>
      <w:r>
        <w:rPr>
          <w:rFonts w:ascii="Segoe UI" w:hAnsi="Segoe UI" w:cs="Segoe UI" w:eastAsia="Segoe UI"/>
          <w:color w:val="231F20"/>
          <w:spacing w:val="-4"/>
          <w:sz w:val="20"/>
          <w:szCs w:val="20"/>
        </w:rPr>
        <w:t> </w:t>
      </w:r>
      <w:r>
        <w:rPr>
          <w:rFonts w:ascii="Segoe UI" w:hAnsi="Segoe UI" w:cs="Segoe UI" w:eastAsia="Segoe UI"/>
          <w:color w:val="231F20"/>
          <w:sz w:val="20"/>
          <w:szCs w:val="20"/>
        </w:rPr>
        <w:t>considered</w:t>
      </w:r>
      <w:r>
        <w:rPr>
          <w:rFonts w:ascii="Segoe UI" w:hAnsi="Segoe UI" w:cs="Segoe UI" w:eastAsia="Segoe UI"/>
          <w:color w:val="231F20"/>
          <w:spacing w:val="-4"/>
          <w:sz w:val="20"/>
          <w:szCs w:val="20"/>
        </w:rPr>
        <w:t> </w:t>
      </w:r>
      <w:r>
        <w:rPr>
          <w:rFonts w:ascii="Segoe UI" w:hAnsi="Segoe UI" w:cs="Segoe UI" w:eastAsia="Segoe UI"/>
          <w:color w:val="231F20"/>
          <w:sz w:val="20"/>
          <w:szCs w:val="20"/>
        </w:rPr>
        <w:t>by</w:t>
      </w:r>
      <w:r>
        <w:rPr>
          <w:rFonts w:ascii="Segoe UI" w:hAnsi="Segoe UI" w:cs="Segoe UI" w:eastAsia="Segoe UI"/>
          <w:color w:val="231F20"/>
          <w:spacing w:val="-3"/>
          <w:sz w:val="20"/>
          <w:szCs w:val="20"/>
        </w:rPr>
        <w:t> </w:t>
      </w:r>
      <w:r>
        <w:rPr>
          <w:rFonts w:ascii="Segoe UI" w:hAnsi="Segoe UI" w:cs="Segoe UI" w:eastAsia="Segoe UI"/>
          <w:color w:val="231F20"/>
          <w:sz w:val="20"/>
          <w:szCs w:val="20"/>
        </w:rPr>
        <w:t>Jessa</w:t>
      </w:r>
      <w:r>
        <w:rPr>
          <w:rFonts w:ascii="Segoe UI" w:hAnsi="Segoe UI" w:cs="Segoe UI" w:eastAsia="Segoe UI"/>
          <w:color w:val="231F20"/>
          <w:sz w:val="20"/>
          <w:szCs w:val="20"/>
        </w:rPr>
        <w:t> </w:t>
      </w:r>
      <w:r>
        <w:rPr>
          <w:rFonts w:ascii="Segoe UI" w:hAnsi="Segoe UI" w:cs="Segoe UI" w:eastAsia="Segoe UI"/>
          <w:color w:val="231F20"/>
          <w:spacing w:val="-1"/>
          <w:sz w:val="20"/>
          <w:szCs w:val="20"/>
        </w:rPr>
        <w:t>Rogers</w:t>
      </w:r>
      <w:r>
        <w:rPr>
          <w:rFonts w:ascii="Segoe UI" w:hAnsi="Segoe UI" w:cs="Segoe UI" w:eastAsia="Segoe UI"/>
          <w:color w:val="231F20"/>
          <w:spacing w:val="-3"/>
          <w:sz w:val="20"/>
          <w:szCs w:val="20"/>
        </w:rPr>
        <w:t> </w:t>
      </w:r>
      <w:r>
        <w:rPr>
          <w:rFonts w:ascii="Segoe UI" w:hAnsi="Segoe UI" w:cs="Segoe UI" w:eastAsia="Segoe UI"/>
          <w:color w:val="231F20"/>
          <w:spacing w:val="-1"/>
          <w:sz w:val="20"/>
          <w:szCs w:val="20"/>
        </w:rPr>
        <w:t>in ‘</w:t>
      </w:r>
      <w:r>
        <w:rPr>
          <w:rFonts w:ascii="Segoe UI" w:hAnsi="Segoe UI" w:cs="Segoe UI" w:eastAsia="Segoe UI"/>
          <w:i/>
          <w:color w:val="231F20"/>
          <w:spacing w:val="-1"/>
          <w:sz w:val="20"/>
          <w:szCs w:val="20"/>
        </w:rPr>
        <w:t>We</w:t>
      </w:r>
      <w:r>
        <w:rPr>
          <w:rFonts w:ascii="Segoe UI" w:hAnsi="Segoe UI" w:cs="Segoe UI" w:eastAsia="Segoe UI"/>
          <w:i/>
          <w:color w:val="231F20"/>
          <w:spacing w:val="-2"/>
          <w:sz w:val="20"/>
          <w:szCs w:val="20"/>
        </w:rPr>
        <w:t> </w:t>
      </w:r>
      <w:r>
        <w:rPr>
          <w:rFonts w:ascii="Segoe UI" w:hAnsi="Segoe UI" w:cs="Segoe UI" w:eastAsia="Segoe UI"/>
          <w:i/>
          <w:color w:val="231F20"/>
          <w:sz w:val="20"/>
          <w:szCs w:val="20"/>
        </w:rPr>
        <w:t>need</w:t>
      </w:r>
      <w:r>
        <w:rPr>
          <w:rFonts w:ascii="Segoe UI" w:hAnsi="Segoe UI" w:cs="Segoe UI" w:eastAsia="Segoe UI"/>
          <w:i/>
          <w:color w:val="231F20"/>
          <w:spacing w:val="-1"/>
          <w:sz w:val="20"/>
          <w:szCs w:val="20"/>
        </w:rPr>
        <w:t> to</w:t>
      </w:r>
      <w:r>
        <w:rPr>
          <w:rFonts w:ascii="Segoe UI" w:hAnsi="Segoe UI" w:cs="Segoe UI" w:eastAsia="Segoe UI"/>
          <w:i/>
          <w:color w:val="231F20"/>
          <w:spacing w:val="-2"/>
          <w:sz w:val="20"/>
          <w:szCs w:val="20"/>
        </w:rPr>
        <w:t> </w:t>
      </w:r>
      <w:r>
        <w:rPr>
          <w:rFonts w:ascii="Segoe UI" w:hAnsi="Segoe UI" w:cs="Segoe UI" w:eastAsia="Segoe UI"/>
          <w:i/>
          <w:color w:val="231F20"/>
          <w:spacing w:val="-1"/>
          <w:sz w:val="20"/>
          <w:szCs w:val="20"/>
        </w:rPr>
        <w:t>know</w:t>
      </w:r>
      <w:r>
        <w:rPr>
          <w:rFonts w:ascii="Segoe UI" w:hAnsi="Segoe UI" w:cs="Segoe UI" w:eastAsia="Segoe UI"/>
          <w:i/>
          <w:color w:val="231F20"/>
          <w:spacing w:val="-2"/>
          <w:sz w:val="20"/>
          <w:szCs w:val="20"/>
        </w:rPr>
        <w:t> </w:t>
      </w:r>
      <w:r>
        <w:rPr>
          <w:rFonts w:ascii="Segoe UI" w:hAnsi="Segoe UI" w:cs="Segoe UI" w:eastAsia="Segoe UI"/>
          <w:i/>
          <w:color w:val="231F20"/>
          <w:spacing w:val="-1"/>
          <w:sz w:val="20"/>
          <w:szCs w:val="20"/>
        </w:rPr>
        <w:t>the true</w:t>
      </w:r>
      <w:r>
        <w:rPr>
          <w:rFonts w:ascii="Segoe UI" w:hAnsi="Segoe UI" w:cs="Segoe UI" w:eastAsia="Segoe UI"/>
          <w:i/>
          <w:color w:val="231F20"/>
          <w:spacing w:val="-2"/>
          <w:sz w:val="20"/>
          <w:szCs w:val="20"/>
        </w:rPr>
        <w:t> </w:t>
      </w:r>
      <w:r>
        <w:rPr>
          <w:rFonts w:ascii="Segoe UI" w:hAnsi="Segoe UI" w:cs="Segoe UI" w:eastAsia="Segoe UI"/>
          <w:i/>
          <w:color w:val="231F20"/>
          <w:spacing w:val="-1"/>
          <w:sz w:val="20"/>
          <w:szCs w:val="20"/>
        </w:rPr>
        <w:t>cost </w:t>
      </w:r>
      <w:r>
        <w:rPr>
          <w:rFonts w:ascii="Segoe UI" w:hAnsi="Segoe UI" w:cs="Segoe UI" w:eastAsia="Segoe UI"/>
          <w:i/>
          <w:color w:val="231F20"/>
          <w:spacing w:val="-2"/>
          <w:sz w:val="20"/>
          <w:szCs w:val="20"/>
        </w:rPr>
        <w:t>of</w:t>
      </w:r>
      <w:r>
        <w:rPr>
          <w:rFonts w:ascii="Segoe UI" w:hAnsi="Segoe UI" w:cs="Segoe UI" w:eastAsia="Segoe UI"/>
          <w:i/>
          <w:color w:val="231F20"/>
          <w:spacing w:val="26"/>
          <w:w w:val="99"/>
          <w:sz w:val="20"/>
          <w:szCs w:val="20"/>
        </w:rPr>
        <w:t> </w:t>
      </w:r>
      <w:r>
        <w:rPr>
          <w:rFonts w:ascii="Segoe UI" w:hAnsi="Segoe UI" w:cs="Segoe UI" w:eastAsia="Segoe UI"/>
          <w:i/>
          <w:color w:val="231F20"/>
          <w:spacing w:val="-1"/>
          <w:sz w:val="20"/>
          <w:szCs w:val="20"/>
        </w:rPr>
        <w:t>Indigenous</w:t>
      </w:r>
      <w:r>
        <w:rPr>
          <w:rFonts w:ascii="Segoe UI" w:hAnsi="Segoe UI" w:cs="Segoe UI" w:eastAsia="Segoe UI"/>
          <w:i/>
          <w:color w:val="231F20"/>
          <w:spacing w:val="-3"/>
          <w:sz w:val="20"/>
          <w:szCs w:val="20"/>
        </w:rPr>
        <w:t> </w:t>
      </w:r>
      <w:r>
        <w:rPr>
          <w:rFonts w:ascii="Segoe UI" w:hAnsi="Segoe UI" w:cs="Segoe UI" w:eastAsia="Segoe UI"/>
          <w:i/>
          <w:color w:val="231F20"/>
          <w:spacing w:val="-1"/>
          <w:sz w:val="20"/>
          <w:szCs w:val="20"/>
        </w:rPr>
        <w:t>boarding</w:t>
      </w:r>
      <w:r>
        <w:rPr>
          <w:rFonts w:ascii="Segoe UI" w:hAnsi="Segoe UI" w:cs="Segoe UI" w:eastAsia="Segoe UI"/>
          <w:i/>
          <w:color w:val="231F20"/>
          <w:spacing w:val="-2"/>
          <w:sz w:val="20"/>
          <w:szCs w:val="20"/>
        </w:rPr>
        <w:t> </w:t>
      </w:r>
      <w:r>
        <w:rPr>
          <w:rFonts w:ascii="Segoe UI" w:hAnsi="Segoe UI" w:cs="Segoe UI" w:eastAsia="Segoe UI"/>
          <w:i/>
          <w:color w:val="231F20"/>
          <w:spacing w:val="-1"/>
          <w:sz w:val="20"/>
          <w:szCs w:val="20"/>
        </w:rPr>
        <w:t>school</w:t>
      </w:r>
      <w:r>
        <w:rPr>
          <w:rFonts w:ascii="Segoe UI" w:hAnsi="Segoe UI" w:cs="Segoe UI" w:eastAsia="Segoe UI"/>
          <w:i/>
          <w:color w:val="231F20"/>
          <w:spacing w:val="-3"/>
          <w:sz w:val="20"/>
          <w:szCs w:val="20"/>
        </w:rPr>
        <w:t> </w:t>
      </w:r>
      <w:r>
        <w:rPr>
          <w:rFonts w:ascii="Segoe UI" w:hAnsi="Segoe UI" w:cs="Segoe UI" w:eastAsia="Segoe UI"/>
          <w:i/>
          <w:color w:val="231F20"/>
          <w:spacing w:val="-1"/>
          <w:sz w:val="20"/>
          <w:szCs w:val="20"/>
        </w:rPr>
        <w:t>scholarships</w:t>
      </w:r>
      <w:r>
        <w:rPr>
          <w:rFonts w:ascii="Segoe UI" w:hAnsi="Segoe UI" w:cs="Segoe UI" w:eastAsia="Segoe UI"/>
          <w:i/>
          <w:color w:val="231F20"/>
          <w:spacing w:val="-2"/>
          <w:sz w:val="20"/>
          <w:szCs w:val="20"/>
        </w:rPr>
        <w:t> </w:t>
      </w:r>
      <w:r>
        <w:rPr>
          <w:rFonts w:ascii="Segoe UI" w:hAnsi="Segoe UI" w:cs="Segoe UI" w:eastAsia="Segoe UI"/>
          <w:i/>
          <w:color w:val="231F20"/>
          <w:spacing w:val="-1"/>
          <w:sz w:val="20"/>
          <w:szCs w:val="20"/>
        </w:rPr>
        <w:t>on</w:t>
      </w:r>
      <w:r>
        <w:rPr>
          <w:rFonts w:ascii="Segoe UI" w:hAnsi="Segoe UI" w:cs="Segoe UI" w:eastAsia="Segoe UI"/>
          <w:i/>
          <w:color w:val="231F20"/>
          <w:spacing w:val="38"/>
          <w:sz w:val="20"/>
          <w:szCs w:val="20"/>
        </w:rPr>
        <w:t> </w:t>
      </w:r>
      <w:r>
        <w:rPr>
          <w:rFonts w:ascii="Segoe UI" w:hAnsi="Segoe UI" w:cs="Segoe UI" w:eastAsia="Segoe UI"/>
          <w:i/>
          <w:color w:val="231F20"/>
          <w:spacing w:val="-1"/>
          <w:sz w:val="20"/>
          <w:szCs w:val="20"/>
        </w:rPr>
        <w:t>communities',</w:t>
      </w:r>
      <w:r>
        <w:rPr>
          <w:rFonts w:ascii="Segoe UI" w:hAnsi="Segoe UI" w:cs="Segoe UI" w:eastAsia="Segoe UI"/>
          <w:i/>
          <w:color w:val="231F20"/>
          <w:spacing w:val="-8"/>
          <w:sz w:val="20"/>
          <w:szCs w:val="20"/>
        </w:rPr>
        <w:t> </w:t>
      </w:r>
      <w:r>
        <w:rPr>
          <w:rFonts w:ascii="Segoe UI" w:hAnsi="Segoe UI" w:cs="Segoe UI" w:eastAsia="Segoe UI"/>
          <w:color w:val="231F20"/>
          <w:sz w:val="20"/>
          <w:szCs w:val="20"/>
        </w:rPr>
        <w:t>The</w:t>
      </w:r>
      <w:r>
        <w:rPr>
          <w:rFonts w:ascii="Segoe UI" w:hAnsi="Segoe UI" w:cs="Segoe UI" w:eastAsia="Segoe UI"/>
          <w:color w:val="231F20"/>
          <w:spacing w:val="-8"/>
          <w:sz w:val="20"/>
          <w:szCs w:val="20"/>
        </w:rPr>
        <w:t> </w:t>
      </w:r>
      <w:r>
        <w:rPr>
          <w:rFonts w:ascii="Segoe UI" w:hAnsi="Segoe UI" w:cs="Segoe UI" w:eastAsia="Segoe UI"/>
          <w:color w:val="231F20"/>
          <w:spacing w:val="-1"/>
          <w:sz w:val="20"/>
          <w:szCs w:val="20"/>
        </w:rPr>
        <w:t>Conversation,</w:t>
      </w:r>
      <w:r>
        <w:rPr>
          <w:rFonts w:ascii="Segoe UI" w:hAnsi="Segoe UI" w:cs="Segoe UI" w:eastAsia="Segoe UI"/>
          <w:color w:val="231F20"/>
          <w:spacing w:val="-7"/>
          <w:sz w:val="20"/>
          <w:szCs w:val="20"/>
        </w:rPr>
        <w:t> </w:t>
      </w:r>
      <w:r>
        <w:rPr>
          <w:rFonts w:ascii="Segoe UI" w:hAnsi="Segoe UI" w:cs="Segoe UI" w:eastAsia="Segoe UI"/>
          <w:color w:val="231F20"/>
          <w:spacing w:val="-1"/>
          <w:sz w:val="20"/>
          <w:szCs w:val="20"/>
        </w:rPr>
        <w:t>13</w:t>
      </w:r>
      <w:r>
        <w:rPr>
          <w:rFonts w:ascii="Segoe UI" w:hAnsi="Segoe UI" w:cs="Segoe UI" w:eastAsia="Segoe UI"/>
          <w:color w:val="231F20"/>
          <w:spacing w:val="-8"/>
          <w:sz w:val="20"/>
          <w:szCs w:val="20"/>
        </w:rPr>
        <w:t> </w:t>
      </w:r>
      <w:r>
        <w:rPr>
          <w:rFonts w:ascii="Segoe UI" w:hAnsi="Segoe UI" w:cs="Segoe UI" w:eastAsia="Segoe UI"/>
          <w:color w:val="231F20"/>
          <w:sz w:val="20"/>
          <w:szCs w:val="20"/>
        </w:rPr>
        <w:t>June</w:t>
      </w:r>
      <w:r>
        <w:rPr>
          <w:rFonts w:ascii="Segoe UI" w:hAnsi="Segoe UI" w:cs="Segoe UI" w:eastAsia="Segoe UI"/>
          <w:color w:val="231F20"/>
          <w:spacing w:val="23"/>
          <w:w w:val="99"/>
          <w:sz w:val="20"/>
          <w:szCs w:val="20"/>
        </w:rPr>
        <w:t> </w:t>
      </w:r>
      <w:r>
        <w:rPr>
          <w:rFonts w:ascii="Segoe UI" w:hAnsi="Segoe UI" w:cs="Segoe UI" w:eastAsia="Segoe UI"/>
          <w:color w:val="231F20"/>
          <w:spacing w:val="-1"/>
          <w:sz w:val="20"/>
          <w:szCs w:val="20"/>
        </w:rPr>
        <w:t>2017</w:t>
      </w:r>
      <w:r>
        <w:rPr>
          <w:rFonts w:ascii="Segoe UI Semibold" w:hAnsi="Segoe UI Semibold" w:cs="Segoe UI Semibold" w:eastAsia="Segoe UI Semibold"/>
          <w:b/>
          <w:bCs/>
          <w:color w:val="231F20"/>
          <w:spacing w:val="-1"/>
          <w:position w:val="7"/>
          <w:sz w:val="11"/>
          <w:szCs w:val="11"/>
        </w:rPr>
        <w:t>127</w:t>
      </w:r>
      <w:r>
        <w:rPr>
          <w:rFonts w:ascii="Segoe UI" w:hAnsi="Segoe UI" w:cs="Segoe UI" w:eastAsia="Segoe UI"/>
          <w:color w:val="231F20"/>
          <w:spacing w:val="-1"/>
          <w:sz w:val="20"/>
          <w:szCs w:val="20"/>
        </w:rPr>
        <w:t>.</w:t>
      </w:r>
      <w:r>
        <w:rPr>
          <w:rFonts w:ascii="Segoe UI" w:hAnsi="Segoe UI" w:cs="Segoe UI" w:eastAsia="Segoe UI"/>
          <w:color w:val="231F20"/>
          <w:spacing w:val="-2"/>
          <w:sz w:val="20"/>
          <w:szCs w:val="20"/>
        </w:rPr>
        <w:t> </w:t>
      </w:r>
      <w:r>
        <w:rPr>
          <w:rFonts w:ascii="Segoe UI" w:hAnsi="Segoe UI" w:cs="Segoe UI" w:eastAsia="Segoe UI"/>
          <w:color w:val="231F20"/>
          <w:spacing w:val="-1"/>
          <w:sz w:val="20"/>
          <w:szCs w:val="20"/>
        </w:rPr>
        <w:t>Rogers,</w:t>
      </w:r>
      <w:r>
        <w:rPr>
          <w:rFonts w:ascii="Segoe UI" w:hAnsi="Segoe UI" w:cs="Segoe UI" w:eastAsia="Segoe UI"/>
          <w:color w:val="231F20"/>
          <w:spacing w:val="-2"/>
          <w:sz w:val="20"/>
          <w:szCs w:val="20"/>
        </w:rPr>
        <w:t> </w:t>
      </w:r>
      <w:r>
        <w:rPr>
          <w:rFonts w:ascii="Segoe UI" w:hAnsi="Segoe UI" w:cs="Segoe UI" w:eastAsia="Segoe UI"/>
          <w:color w:val="231F20"/>
          <w:spacing w:val="-1"/>
          <w:sz w:val="20"/>
          <w:szCs w:val="20"/>
        </w:rPr>
        <w:t>2017 </w:t>
      </w:r>
      <w:r>
        <w:rPr>
          <w:rFonts w:ascii="Segoe UI" w:hAnsi="Segoe UI" w:cs="Segoe UI" w:eastAsia="Segoe UI"/>
          <w:color w:val="231F20"/>
          <w:sz w:val="20"/>
          <w:szCs w:val="20"/>
        </w:rPr>
        <w:t>refers</w:t>
      </w:r>
      <w:r>
        <w:rPr>
          <w:rFonts w:ascii="Segoe UI" w:hAnsi="Segoe UI" w:cs="Segoe UI" w:eastAsia="Segoe UI"/>
          <w:color w:val="231F20"/>
          <w:spacing w:val="-2"/>
          <w:sz w:val="20"/>
          <w:szCs w:val="20"/>
        </w:rPr>
        <w:t> </w:t>
      </w:r>
      <w:r>
        <w:rPr>
          <w:rFonts w:ascii="Segoe UI" w:hAnsi="Segoe UI" w:cs="Segoe UI" w:eastAsia="Segoe UI"/>
          <w:color w:val="231F20"/>
          <w:sz w:val="20"/>
          <w:szCs w:val="20"/>
        </w:rPr>
        <w:t>to</w:t>
      </w:r>
      <w:r>
        <w:rPr>
          <w:rFonts w:ascii="Segoe UI" w:hAnsi="Segoe UI" w:cs="Segoe UI" w:eastAsia="Segoe UI"/>
          <w:color w:val="231F20"/>
          <w:spacing w:val="-1"/>
          <w:sz w:val="20"/>
          <w:szCs w:val="20"/>
        </w:rPr>
        <w:t> </w:t>
      </w:r>
      <w:r>
        <w:rPr>
          <w:rFonts w:ascii="Segoe UI" w:hAnsi="Segoe UI" w:cs="Segoe UI" w:eastAsia="Segoe UI"/>
          <w:color w:val="231F20"/>
          <w:sz w:val="20"/>
          <w:szCs w:val="20"/>
        </w:rPr>
        <w:t>‘the</w:t>
      </w:r>
      <w:r>
        <w:rPr>
          <w:rFonts w:ascii="Segoe UI" w:hAnsi="Segoe UI" w:cs="Segoe UI" w:eastAsia="Segoe UI"/>
          <w:color w:val="231F20"/>
          <w:spacing w:val="-1"/>
          <w:sz w:val="20"/>
          <w:szCs w:val="20"/>
        </w:rPr>
        <w:t> </w:t>
      </w:r>
      <w:r>
        <w:rPr>
          <w:rFonts w:ascii="Segoe UI" w:hAnsi="Segoe UI" w:cs="Segoe UI" w:eastAsia="Segoe UI"/>
          <w:color w:val="231F20"/>
          <w:sz w:val="20"/>
          <w:szCs w:val="20"/>
        </w:rPr>
        <w:t>cost</w:t>
      </w:r>
      <w:r>
        <w:rPr>
          <w:rFonts w:ascii="Segoe UI" w:hAnsi="Segoe UI" w:cs="Segoe UI" w:eastAsia="Segoe UI"/>
          <w:color w:val="231F20"/>
          <w:spacing w:val="-2"/>
          <w:sz w:val="20"/>
          <w:szCs w:val="20"/>
        </w:rPr>
        <w:t> </w:t>
      </w:r>
      <w:r>
        <w:rPr>
          <w:rFonts w:ascii="Segoe UI" w:hAnsi="Segoe UI" w:cs="Segoe UI" w:eastAsia="Segoe UI"/>
          <w:color w:val="231F20"/>
          <w:sz w:val="20"/>
          <w:szCs w:val="20"/>
        </w:rPr>
        <w:t>to</w:t>
      </w:r>
      <w:r>
        <w:rPr>
          <w:rFonts w:ascii="Segoe UI" w:hAnsi="Segoe UI" w:cs="Segoe UI" w:eastAsia="Segoe UI"/>
          <w:color w:val="231F20"/>
          <w:spacing w:val="29"/>
          <w:w w:val="99"/>
          <w:sz w:val="20"/>
          <w:szCs w:val="20"/>
        </w:rPr>
        <w:t> </w:t>
      </w:r>
      <w:r>
        <w:rPr>
          <w:rFonts w:ascii="Segoe UI" w:hAnsi="Segoe UI" w:cs="Segoe UI" w:eastAsia="Segoe UI"/>
          <w:color w:val="231F20"/>
          <w:spacing w:val="-1"/>
          <w:sz w:val="20"/>
          <w:szCs w:val="20"/>
        </w:rPr>
        <w:t>identity,</w:t>
      </w:r>
      <w:r>
        <w:rPr>
          <w:rFonts w:ascii="Segoe UI" w:hAnsi="Segoe UI" w:cs="Segoe UI" w:eastAsia="Segoe UI"/>
          <w:color w:val="231F20"/>
          <w:spacing w:val="-6"/>
          <w:sz w:val="20"/>
          <w:szCs w:val="20"/>
        </w:rPr>
        <w:t> </w:t>
      </w:r>
      <w:r>
        <w:rPr>
          <w:rFonts w:ascii="Segoe UI" w:hAnsi="Segoe UI" w:cs="Segoe UI" w:eastAsia="Segoe UI"/>
          <w:color w:val="231F20"/>
          <w:sz w:val="20"/>
          <w:szCs w:val="20"/>
        </w:rPr>
        <w:t>culture</w:t>
      </w:r>
      <w:r>
        <w:rPr>
          <w:rFonts w:ascii="Segoe UI" w:hAnsi="Segoe UI" w:cs="Segoe UI" w:eastAsia="Segoe UI"/>
          <w:color w:val="231F20"/>
          <w:spacing w:val="-7"/>
          <w:sz w:val="20"/>
          <w:szCs w:val="20"/>
        </w:rPr>
        <w:t> </w:t>
      </w:r>
      <w:r>
        <w:rPr>
          <w:rFonts w:ascii="Segoe UI" w:hAnsi="Segoe UI" w:cs="Segoe UI" w:eastAsia="Segoe UI"/>
          <w:color w:val="231F20"/>
          <w:sz w:val="20"/>
          <w:szCs w:val="20"/>
        </w:rPr>
        <w:t>and</w:t>
      </w:r>
      <w:r>
        <w:rPr>
          <w:rFonts w:ascii="Segoe UI" w:hAnsi="Segoe UI" w:cs="Segoe UI" w:eastAsia="Segoe UI"/>
          <w:color w:val="231F20"/>
          <w:spacing w:val="-6"/>
          <w:sz w:val="20"/>
          <w:szCs w:val="20"/>
        </w:rPr>
        <w:t> </w:t>
      </w:r>
      <w:r>
        <w:rPr>
          <w:rFonts w:ascii="Segoe UI" w:hAnsi="Segoe UI" w:cs="Segoe UI" w:eastAsia="Segoe UI"/>
          <w:color w:val="231F20"/>
          <w:sz w:val="20"/>
          <w:szCs w:val="20"/>
        </w:rPr>
        <w:t>connection</w:t>
      </w:r>
      <w:r>
        <w:rPr>
          <w:rFonts w:ascii="Segoe UI" w:hAnsi="Segoe UI" w:cs="Segoe UI" w:eastAsia="Segoe UI"/>
          <w:color w:val="231F20"/>
          <w:spacing w:val="-7"/>
          <w:sz w:val="20"/>
          <w:szCs w:val="20"/>
        </w:rPr>
        <w:t> </w:t>
      </w:r>
      <w:r>
        <w:rPr>
          <w:rFonts w:ascii="Segoe UI" w:hAnsi="Segoe UI" w:cs="Segoe UI" w:eastAsia="Segoe UI"/>
          <w:color w:val="231F20"/>
          <w:sz w:val="20"/>
          <w:szCs w:val="20"/>
        </w:rPr>
        <w:t>to</w:t>
      </w:r>
      <w:r>
        <w:rPr>
          <w:rFonts w:ascii="Segoe UI" w:hAnsi="Segoe UI" w:cs="Segoe UI" w:eastAsia="Segoe UI"/>
          <w:color w:val="231F20"/>
          <w:spacing w:val="-6"/>
          <w:sz w:val="20"/>
          <w:szCs w:val="20"/>
        </w:rPr>
        <w:t> </w:t>
      </w:r>
      <w:r>
        <w:rPr>
          <w:rFonts w:ascii="Segoe UI" w:hAnsi="Segoe UI" w:cs="Segoe UI" w:eastAsia="Segoe UI"/>
          <w:color w:val="231F20"/>
          <w:sz w:val="20"/>
          <w:szCs w:val="20"/>
        </w:rPr>
        <w:t>community’</w:t>
      </w:r>
      <w:r>
        <w:rPr>
          <w:rFonts w:ascii="Segoe UI" w:hAnsi="Segoe UI" w:cs="Segoe UI" w:eastAsia="Segoe UI"/>
          <w:color w:val="231F20"/>
          <w:spacing w:val="22"/>
          <w:sz w:val="20"/>
          <w:szCs w:val="20"/>
        </w:rPr>
        <w:t> </w:t>
      </w:r>
      <w:r>
        <w:rPr>
          <w:rFonts w:ascii="Segoe UI" w:hAnsi="Segoe UI" w:cs="Segoe UI" w:eastAsia="Segoe UI"/>
          <w:color w:val="231F20"/>
          <w:sz w:val="20"/>
          <w:szCs w:val="20"/>
        </w:rPr>
        <w:t>resulting</w:t>
      </w:r>
      <w:r>
        <w:rPr>
          <w:rFonts w:ascii="Segoe UI" w:hAnsi="Segoe UI" w:cs="Segoe UI" w:eastAsia="Segoe UI"/>
          <w:color w:val="231F20"/>
          <w:spacing w:val="-9"/>
          <w:sz w:val="20"/>
          <w:szCs w:val="20"/>
        </w:rPr>
        <w:t> </w:t>
      </w:r>
      <w:r>
        <w:rPr>
          <w:rFonts w:ascii="Segoe UI" w:hAnsi="Segoe UI" w:cs="Segoe UI" w:eastAsia="Segoe UI"/>
          <w:color w:val="231F20"/>
          <w:sz w:val="20"/>
          <w:szCs w:val="20"/>
        </w:rPr>
        <w:t>from</w:t>
      </w:r>
      <w:r>
        <w:rPr>
          <w:rFonts w:ascii="Segoe UI" w:hAnsi="Segoe UI" w:cs="Segoe UI" w:eastAsia="Segoe UI"/>
          <w:color w:val="231F20"/>
          <w:spacing w:val="-6"/>
          <w:sz w:val="20"/>
          <w:szCs w:val="20"/>
        </w:rPr>
        <w:t> </w:t>
      </w:r>
      <w:r>
        <w:rPr>
          <w:rFonts w:ascii="Segoe UI" w:hAnsi="Segoe UI" w:cs="Segoe UI" w:eastAsia="Segoe UI"/>
          <w:color w:val="231F20"/>
          <w:spacing w:val="-1"/>
          <w:sz w:val="20"/>
          <w:szCs w:val="20"/>
        </w:rPr>
        <w:t>students</w:t>
      </w:r>
      <w:r>
        <w:rPr>
          <w:rFonts w:ascii="Segoe UI" w:hAnsi="Segoe UI" w:cs="Segoe UI" w:eastAsia="Segoe UI"/>
          <w:color w:val="231F20"/>
          <w:spacing w:val="-7"/>
          <w:sz w:val="20"/>
          <w:szCs w:val="20"/>
        </w:rPr>
        <w:t> </w:t>
      </w:r>
      <w:r>
        <w:rPr>
          <w:rFonts w:ascii="Segoe UI" w:hAnsi="Segoe UI" w:cs="Segoe UI" w:eastAsia="Segoe UI"/>
          <w:color w:val="231F20"/>
          <w:sz w:val="20"/>
          <w:szCs w:val="20"/>
        </w:rPr>
        <w:t>attending</w:t>
      </w:r>
      <w:r>
        <w:rPr>
          <w:rFonts w:ascii="Segoe UI" w:hAnsi="Segoe UI" w:cs="Segoe UI" w:eastAsia="Segoe UI"/>
          <w:color w:val="231F20"/>
          <w:spacing w:val="-7"/>
          <w:sz w:val="20"/>
          <w:szCs w:val="20"/>
        </w:rPr>
        <w:t> </w:t>
      </w:r>
      <w:r>
        <w:rPr>
          <w:rFonts w:ascii="Segoe UI" w:hAnsi="Segoe UI" w:cs="Segoe UI" w:eastAsia="Segoe UI"/>
          <w:color w:val="231F20"/>
          <w:sz w:val="20"/>
          <w:szCs w:val="20"/>
        </w:rPr>
        <w:t>boarding</w:t>
      </w:r>
      <w:r>
        <w:rPr>
          <w:rFonts w:ascii="Segoe UI" w:hAnsi="Segoe UI" w:cs="Segoe UI" w:eastAsia="Segoe UI"/>
          <w:color w:val="231F20"/>
          <w:spacing w:val="-7"/>
          <w:sz w:val="20"/>
          <w:szCs w:val="20"/>
        </w:rPr>
        <w:t> </w:t>
      </w:r>
      <w:r>
        <w:rPr>
          <w:rFonts w:ascii="Segoe UI" w:hAnsi="Segoe UI" w:cs="Segoe UI" w:eastAsia="Segoe UI"/>
          <w:color w:val="231F20"/>
          <w:spacing w:val="-7"/>
          <w:sz w:val="20"/>
          <w:szCs w:val="20"/>
        </w:rPr>
      </w:r>
      <w:r>
        <w:rPr>
          <w:rFonts w:ascii="Segoe UI" w:hAnsi="Segoe UI" w:cs="Segoe UI" w:eastAsia="Segoe UI"/>
          <w:color w:val="231F20"/>
          <w:sz w:val="20"/>
          <w:szCs w:val="20"/>
        </w:rPr>
        <w:t>and</w:t>
      </w:r>
      <w:r>
        <w:rPr>
          <w:rFonts w:ascii="Segoe UI" w:hAnsi="Segoe UI" w:cs="Segoe UI" w:eastAsia="Segoe UI"/>
          <w:color w:val="231F20"/>
          <w:spacing w:val="21"/>
          <w:sz w:val="20"/>
          <w:szCs w:val="20"/>
        </w:rPr>
        <w:t> </w:t>
      </w:r>
      <w:r>
        <w:rPr>
          <w:rFonts w:ascii="Segoe UI" w:hAnsi="Segoe UI" w:cs="Segoe UI" w:eastAsia="Segoe UI"/>
          <w:color w:val="231F20"/>
          <w:sz w:val="20"/>
          <w:szCs w:val="20"/>
        </w:rPr>
        <w:t>that</w:t>
      </w:r>
      <w:r>
        <w:rPr>
          <w:rFonts w:ascii="Segoe UI" w:hAnsi="Segoe UI" w:cs="Segoe UI" w:eastAsia="Segoe UI"/>
          <w:color w:val="231F20"/>
          <w:spacing w:val="-3"/>
          <w:sz w:val="20"/>
          <w:szCs w:val="20"/>
        </w:rPr>
        <w:t> </w:t>
      </w:r>
      <w:r>
        <w:rPr>
          <w:rFonts w:ascii="Segoe UI" w:hAnsi="Segoe UI" w:cs="Segoe UI" w:eastAsia="Segoe UI"/>
          <w:color w:val="231F20"/>
          <w:sz w:val="20"/>
          <w:szCs w:val="20"/>
        </w:rPr>
        <w:t>this</w:t>
      </w:r>
      <w:r>
        <w:rPr>
          <w:rFonts w:ascii="Segoe UI" w:hAnsi="Segoe UI" w:cs="Segoe UI" w:eastAsia="Segoe UI"/>
          <w:color w:val="231F20"/>
          <w:spacing w:val="-3"/>
          <w:sz w:val="20"/>
          <w:szCs w:val="20"/>
        </w:rPr>
        <w:t> </w:t>
      </w:r>
      <w:r>
        <w:rPr>
          <w:rFonts w:ascii="Segoe UI" w:hAnsi="Segoe UI" w:cs="Segoe UI" w:eastAsia="Segoe UI"/>
          <w:color w:val="231F20"/>
          <w:spacing w:val="-1"/>
          <w:sz w:val="20"/>
          <w:szCs w:val="20"/>
        </w:rPr>
        <w:t>is</w:t>
      </w:r>
      <w:r>
        <w:rPr>
          <w:rFonts w:ascii="Segoe UI" w:hAnsi="Segoe UI" w:cs="Segoe UI" w:eastAsia="Segoe UI"/>
          <w:color w:val="231F20"/>
          <w:spacing w:val="-3"/>
          <w:sz w:val="20"/>
          <w:szCs w:val="20"/>
        </w:rPr>
        <w:t> </w:t>
      </w:r>
      <w:r>
        <w:rPr>
          <w:rFonts w:ascii="Segoe UI" w:hAnsi="Segoe UI" w:cs="Segoe UI" w:eastAsia="Segoe UI"/>
          <w:color w:val="231F20"/>
          <w:sz w:val="20"/>
          <w:szCs w:val="20"/>
        </w:rPr>
        <w:t>not</w:t>
      </w:r>
      <w:r>
        <w:rPr>
          <w:rFonts w:ascii="Segoe UI" w:hAnsi="Segoe UI" w:cs="Segoe UI" w:eastAsia="Segoe UI"/>
          <w:color w:val="231F20"/>
          <w:spacing w:val="-2"/>
          <w:sz w:val="20"/>
          <w:szCs w:val="20"/>
        </w:rPr>
        <w:t> </w:t>
      </w:r>
      <w:r>
        <w:rPr>
          <w:rFonts w:ascii="Segoe UI" w:hAnsi="Segoe UI" w:cs="Segoe UI" w:eastAsia="Segoe UI"/>
          <w:color w:val="231F20"/>
          <w:sz w:val="20"/>
          <w:szCs w:val="20"/>
        </w:rPr>
        <w:t>discussed</w:t>
      </w:r>
      <w:r>
        <w:rPr>
          <w:rFonts w:ascii="Segoe UI" w:hAnsi="Segoe UI" w:cs="Segoe UI" w:eastAsia="Segoe UI"/>
          <w:color w:val="231F20"/>
          <w:spacing w:val="-3"/>
          <w:sz w:val="20"/>
          <w:szCs w:val="20"/>
        </w:rPr>
        <w:t> </w:t>
      </w:r>
      <w:r>
        <w:rPr>
          <w:rFonts w:ascii="Segoe UI" w:hAnsi="Segoe UI" w:cs="Segoe UI" w:eastAsia="Segoe UI"/>
          <w:color w:val="231F20"/>
          <w:sz w:val="20"/>
          <w:szCs w:val="20"/>
        </w:rPr>
        <w:t>with</w:t>
      </w:r>
      <w:r>
        <w:rPr>
          <w:rFonts w:ascii="Segoe UI" w:hAnsi="Segoe UI" w:cs="Segoe UI" w:eastAsia="Segoe UI"/>
          <w:color w:val="231F20"/>
          <w:spacing w:val="-3"/>
          <w:sz w:val="20"/>
          <w:szCs w:val="20"/>
        </w:rPr>
        <w:t> </w:t>
      </w:r>
      <w:r>
        <w:rPr>
          <w:rFonts w:ascii="Segoe UI" w:hAnsi="Segoe UI" w:cs="Segoe UI" w:eastAsia="Segoe UI"/>
          <w:color w:val="231F20"/>
          <w:spacing w:val="-1"/>
          <w:sz w:val="20"/>
          <w:szCs w:val="20"/>
        </w:rPr>
        <w:t>students</w:t>
      </w:r>
      <w:r>
        <w:rPr>
          <w:rFonts w:ascii="Segoe UI" w:hAnsi="Segoe UI" w:cs="Segoe UI" w:eastAsia="Segoe UI"/>
          <w:color w:val="231F20"/>
          <w:spacing w:val="-2"/>
          <w:sz w:val="20"/>
          <w:szCs w:val="20"/>
        </w:rPr>
        <w:t> </w:t>
      </w:r>
      <w:r>
        <w:rPr>
          <w:rFonts w:ascii="Segoe UI" w:hAnsi="Segoe UI" w:cs="Segoe UI" w:eastAsia="Segoe UI"/>
          <w:color w:val="231F20"/>
          <w:sz w:val="20"/>
          <w:szCs w:val="20"/>
        </w:rPr>
        <w:t>and</w:t>
      </w:r>
      <w:r>
        <w:rPr>
          <w:rFonts w:ascii="Segoe UI" w:hAnsi="Segoe UI" w:cs="Segoe UI" w:eastAsia="Segoe UI"/>
          <w:color w:val="231F20"/>
          <w:spacing w:val="23"/>
          <w:w w:val="99"/>
          <w:sz w:val="20"/>
          <w:szCs w:val="20"/>
        </w:rPr>
        <w:t> </w:t>
      </w:r>
      <w:r>
        <w:rPr>
          <w:rFonts w:ascii="Segoe UI" w:hAnsi="Segoe UI" w:cs="Segoe UI" w:eastAsia="Segoe UI"/>
          <w:color w:val="231F20"/>
          <w:sz w:val="20"/>
          <w:szCs w:val="20"/>
        </w:rPr>
        <w:t>parents</w:t>
      </w:r>
      <w:r>
        <w:rPr>
          <w:rFonts w:ascii="Segoe UI" w:hAnsi="Segoe UI" w:cs="Segoe UI" w:eastAsia="Segoe UI"/>
          <w:color w:val="231F20"/>
          <w:spacing w:val="-6"/>
          <w:sz w:val="20"/>
          <w:szCs w:val="20"/>
        </w:rPr>
        <w:t> </w:t>
      </w:r>
      <w:r>
        <w:rPr>
          <w:rFonts w:ascii="Segoe UI" w:hAnsi="Segoe UI" w:cs="Segoe UI" w:eastAsia="Segoe UI"/>
          <w:color w:val="231F20"/>
          <w:sz w:val="20"/>
          <w:szCs w:val="20"/>
        </w:rPr>
        <w:t>and</w:t>
      </w:r>
      <w:r>
        <w:rPr>
          <w:rFonts w:ascii="Segoe UI" w:hAnsi="Segoe UI" w:cs="Segoe UI" w:eastAsia="Segoe UI"/>
          <w:color w:val="231F20"/>
          <w:spacing w:val="-6"/>
          <w:sz w:val="20"/>
          <w:szCs w:val="20"/>
        </w:rPr>
        <w:t> </w:t>
      </w:r>
      <w:r>
        <w:rPr>
          <w:rFonts w:ascii="Segoe UI" w:hAnsi="Segoe UI" w:cs="Segoe UI" w:eastAsia="Segoe UI"/>
          <w:color w:val="231F20"/>
          <w:sz w:val="20"/>
          <w:szCs w:val="20"/>
        </w:rPr>
        <w:t>carers</w:t>
      </w:r>
      <w:r>
        <w:rPr>
          <w:rFonts w:ascii="Segoe UI" w:hAnsi="Segoe UI" w:cs="Segoe UI" w:eastAsia="Segoe UI"/>
          <w:color w:val="231F20"/>
          <w:spacing w:val="-6"/>
          <w:sz w:val="20"/>
          <w:szCs w:val="20"/>
        </w:rPr>
        <w:t> </w:t>
      </w:r>
      <w:r>
        <w:rPr>
          <w:rFonts w:ascii="Segoe UI" w:hAnsi="Segoe UI" w:cs="Segoe UI" w:eastAsia="Segoe UI"/>
          <w:color w:val="231F20"/>
          <w:sz w:val="20"/>
          <w:szCs w:val="20"/>
        </w:rPr>
        <w:t>as</w:t>
      </w:r>
      <w:r>
        <w:rPr>
          <w:rFonts w:ascii="Segoe UI" w:hAnsi="Segoe UI" w:cs="Segoe UI" w:eastAsia="Segoe UI"/>
          <w:color w:val="231F20"/>
          <w:spacing w:val="-6"/>
          <w:sz w:val="20"/>
          <w:szCs w:val="20"/>
        </w:rPr>
        <w:t> </w:t>
      </w:r>
      <w:r>
        <w:rPr>
          <w:rFonts w:ascii="Segoe UI" w:hAnsi="Segoe UI" w:cs="Segoe UI" w:eastAsia="Segoe UI"/>
          <w:color w:val="231F20"/>
          <w:sz w:val="20"/>
          <w:szCs w:val="20"/>
        </w:rPr>
        <w:t>part</w:t>
      </w:r>
      <w:r>
        <w:rPr>
          <w:rFonts w:ascii="Segoe UI" w:hAnsi="Segoe UI" w:cs="Segoe UI" w:eastAsia="Segoe UI"/>
          <w:color w:val="231F20"/>
          <w:spacing w:val="-5"/>
          <w:sz w:val="20"/>
          <w:szCs w:val="20"/>
        </w:rPr>
        <w:t> </w:t>
      </w:r>
      <w:r>
        <w:rPr>
          <w:rFonts w:ascii="Segoe UI" w:hAnsi="Segoe UI" w:cs="Segoe UI" w:eastAsia="Segoe UI"/>
          <w:color w:val="231F20"/>
          <w:sz w:val="20"/>
          <w:szCs w:val="20"/>
        </w:rPr>
        <w:t>of</w:t>
      </w:r>
      <w:r>
        <w:rPr>
          <w:rFonts w:ascii="Segoe UI" w:hAnsi="Segoe UI" w:cs="Segoe UI" w:eastAsia="Segoe UI"/>
          <w:color w:val="231F20"/>
          <w:spacing w:val="-5"/>
          <w:sz w:val="20"/>
          <w:szCs w:val="20"/>
        </w:rPr>
        <w:t> </w:t>
      </w:r>
      <w:r>
        <w:rPr>
          <w:rFonts w:ascii="Segoe UI" w:hAnsi="Segoe UI" w:cs="Segoe UI" w:eastAsia="Segoe UI"/>
          <w:color w:val="231F20"/>
          <w:sz w:val="20"/>
          <w:szCs w:val="20"/>
        </w:rPr>
        <w:t>considering</w:t>
      </w:r>
      <w:r>
        <w:rPr>
          <w:rFonts w:ascii="Segoe UI" w:hAnsi="Segoe UI" w:cs="Segoe UI" w:eastAsia="Segoe UI"/>
          <w:color w:val="231F20"/>
          <w:spacing w:val="-6"/>
          <w:sz w:val="20"/>
          <w:szCs w:val="20"/>
        </w:rPr>
        <w:t> </w:t>
      </w:r>
      <w:r>
        <w:rPr>
          <w:rFonts w:ascii="Segoe UI" w:hAnsi="Segoe UI" w:cs="Segoe UI" w:eastAsia="Segoe UI"/>
          <w:color w:val="231F20"/>
          <w:sz w:val="20"/>
          <w:szCs w:val="20"/>
        </w:rPr>
        <w:t>and</w:t>
      </w:r>
      <w:r>
        <w:rPr>
          <w:rFonts w:ascii="Segoe UI" w:hAnsi="Segoe UI" w:cs="Segoe UI" w:eastAsia="Segoe UI"/>
          <w:color w:val="231F20"/>
          <w:w w:val="99"/>
          <w:sz w:val="20"/>
          <w:szCs w:val="20"/>
        </w:rPr>
        <w:t> </w:t>
      </w:r>
      <w:r>
        <w:rPr>
          <w:rFonts w:ascii="Segoe UI" w:hAnsi="Segoe UI" w:cs="Segoe UI" w:eastAsia="Segoe UI"/>
          <w:color w:val="231F20"/>
          <w:sz w:val="20"/>
          <w:szCs w:val="20"/>
        </w:rPr>
        <w:t>preparing</w:t>
      </w:r>
      <w:r>
        <w:rPr>
          <w:rFonts w:ascii="Segoe UI" w:hAnsi="Segoe UI" w:cs="Segoe UI" w:eastAsia="Segoe UI"/>
          <w:color w:val="231F20"/>
          <w:spacing w:val="-11"/>
          <w:sz w:val="20"/>
          <w:szCs w:val="20"/>
        </w:rPr>
        <w:t> </w:t>
      </w:r>
      <w:r>
        <w:rPr>
          <w:rFonts w:ascii="Segoe UI" w:hAnsi="Segoe UI" w:cs="Segoe UI" w:eastAsia="Segoe UI"/>
          <w:color w:val="231F20"/>
          <w:sz w:val="20"/>
          <w:szCs w:val="20"/>
        </w:rPr>
        <w:t>for</w:t>
      </w:r>
      <w:r>
        <w:rPr>
          <w:rFonts w:ascii="Segoe UI" w:hAnsi="Segoe UI" w:cs="Segoe UI" w:eastAsia="Segoe UI"/>
          <w:color w:val="231F20"/>
          <w:spacing w:val="-10"/>
          <w:sz w:val="20"/>
          <w:szCs w:val="20"/>
        </w:rPr>
        <w:t> </w:t>
      </w:r>
      <w:r>
        <w:rPr>
          <w:rFonts w:ascii="Segoe UI" w:hAnsi="Segoe UI" w:cs="Segoe UI" w:eastAsia="Segoe UI"/>
          <w:color w:val="231F20"/>
          <w:sz w:val="20"/>
          <w:szCs w:val="20"/>
        </w:rPr>
        <w:t>boarding.</w:t>
      </w:r>
      <w:r>
        <w:rPr>
          <w:rFonts w:ascii="Segoe UI" w:hAnsi="Segoe UI" w:cs="Segoe UI" w:eastAsia="Segoe UI"/>
          <w:sz w:val="20"/>
          <w:szCs w:val="20"/>
        </w:rPr>
      </w:r>
    </w:p>
    <w:p>
      <w:pPr>
        <w:pStyle w:val="BodyText"/>
        <w:spacing w:line="250" w:lineRule="exact" w:before="113"/>
        <w:ind w:left="140" w:right="112"/>
        <w:jc w:val="left"/>
      </w:pPr>
      <w:r>
        <w:rPr>
          <w:color w:val="231F20"/>
        </w:rPr>
        <w:t>The</w:t>
      </w:r>
      <w:r>
        <w:rPr>
          <w:color w:val="231F20"/>
          <w:spacing w:val="-18"/>
        </w:rPr>
        <w:t> </w:t>
      </w:r>
      <w:r>
        <w:rPr>
          <w:color w:val="231F20"/>
          <w:spacing w:val="-1"/>
        </w:rPr>
        <w:t>PricewaterhouseCoopers</w:t>
      </w:r>
      <w:r>
        <w:rPr>
          <w:color w:val="231F20"/>
          <w:spacing w:val="-17"/>
        </w:rPr>
        <w:t> </w:t>
      </w:r>
      <w:r>
        <w:rPr>
          <w:color w:val="231F20"/>
          <w:spacing w:val="-1"/>
        </w:rPr>
        <w:t>Indigenous</w:t>
      </w:r>
      <w:r>
        <w:rPr>
          <w:color w:val="231F20"/>
          <w:spacing w:val="21"/>
          <w:w w:val="99"/>
        </w:rPr>
        <w:t> </w:t>
      </w:r>
      <w:r>
        <w:rPr>
          <w:color w:val="231F20"/>
          <w:spacing w:val="-1"/>
        </w:rPr>
        <w:t>Consulting</w:t>
      </w:r>
      <w:r>
        <w:rPr>
          <w:color w:val="231F20"/>
          <w:spacing w:val="-5"/>
        </w:rPr>
        <w:t> </w:t>
      </w:r>
      <w:r>
        <w:rPr>
          <w:color w:val="231F20"/>
        </w:rPr>
        <w:t>engagement</w:t>
      </w:r>
      <w:r>
        <w:rPr>
          <w:color w:val="231F20"/>
          <w:spacing w:val="-5"/>
        </w:rPr>
        <w:t> </w:t>
      </w:r>
      <w:r>
        <w:rPr>
          <w:color w:val="231F20"/>
        </w:rPr>
        <w:t>by</w:t>
      </w:r>
      <w:r>
        <w:rPr>
          <w:color w:val="231F20"/>
          <w:spacing w:val="-5"/>
        </w:rPr>
        <w:t> </w:t>
      </w:r>
      <w:r>
        <w:rPr>
          <w:color w:val="231F20"/>
          <w:spacing w:val="-1"/>
        </w:rPr>
        <w:t>PM&amp;C</w:t>
      </w:r>
      <w:r>
        <w:rPr>
          <w:color w:val="231F20"/>
          <w:spacing w:val="-4"/>
        </w:rPr>
        <w:t> </w:t>
      </w:r>
      <w:r>
        <w:rPr>
          <w:color w:val="231F20"/>
        </w:rPr>
        <w:t>to</w:t>
      </w:r>
      <w:r>
        <w:rPr>
          <w:color w:val="231F20"/>
          <w:spacing w:val="-5"/>
        </w:rPr>
        <w:t> </w:t>
      </w:r>
      <w:r>
        <w:rPr>
          <w:color w:val="231F20"/>
        </w:rPr>
        <w:t>develop</w:t>
      </w:r>
      <w:r>
        <w:rPr>
          <w:color w:val="231F20"/>
          <w:spacing w:val="23"/>
          <w:w w:val="99"/>
        </w:rPr>
        <w:t> </w:t>
      </w:r>
      <w:r>
        <w:rPr>
          <w:color w:val="231F20"/>
        </w:rPr>
        <w:t>a</w:t>
      </w:r>
      <w:r>
        <w:rPr>
          <w:color w:val="231F20"/>
          <w:spacing w:val="-7"/>
        </w:rPr>
        <w:t> </w:t>
      </w:r>
      <w:r>
        <w:rPr>
          <w:color w:val="231F20"/>
        </w:rPr>
        <w:t>Monitoring</w:t>
      </w:r>
      <w:r>
        <w:rPr>
          <w:color w:val="231F20"/>
          <w:spacing w:val="-7"/>
        </w:rPr>
        <w:t> </w:t>
      </w:r>
      <w:r>
        <w:rPr>
          <w:color w:val="231F20"/>
        </w:rPr>
        <w:t>and</w:t>
      </w:r>
      <w:r>
        <w:rPr>
          <w:color w:val="231F20"/>
          <w:spacing w:val="-8"/>
        </w:rPr>
        <w:t> </w:t>
      </w:r>
      <w:r>
        <w:rPr>
          <w:color w:val="231F20"/>
        </w:rPr>
        <w:t>Evaluation</w:t>
      </w:r>
      <w:r>
        <w:rPr>
          <w:color w:val="231F20"/>
          <w:spacing w:val="-7"/>
        </w:rPr>
        <w:t> </w:t>
      </w:r>
      <w:r>
        <w:rPr>
          <w:color w:val="231F20"/>
          <w:spacing w:val="-1"/>
        </w:rPr>
        <w:t>Strategy</w:t>
      </w:r>
      <w:r>
        <w:rPr>
          <w:color w:val="231F20"/>
          <w:spacing w:val="-8"/>
        </w:rPr>
        <w:t> </w:t>
      </w:r>
      <w:r>
        <w:rPr>
          <w:color w:val="231F20"/>
        </w:rPr>
        <w:t>for</w:t>
      </w:r>
      <w:r>
        <w:rPr/>
      </w:r>
    </w:p>
    <w:p>
      <w:pPr>
        <w:pStyle w:val="BodyText"/>
        <w:spacing w:line="250" w:lineRule="exact"/>
        <w:ind w:left="140" w:right="400"/>
        <w:jc w:val="left"/>
      </w:pPr>
      <w:r>
        <w:rPr>
          <w:color w:val="231F20"/>
          <w:spacing w:val="-1"/>
        </w:rPr>
        <w:t>IAS</w:t>
      </w:r>
      <w:r>
        <w:rPr>
          <w:color w:val="231F20"/>
          <w:spacing w:val="-3"/>
        </w:rPr>
        <w:t> </w:t>
      </w:r>
      <w:r>
        <w:rPr>
          <w:color w:val="231F20"/>
          <w:spacing w:val="-1"/>
        </w:rPr>
        <w:t>scholarship </w:t>
      </w:r>
      <w:r>
        <w:rPr>
          <w:color w:val="231F20"/>
        </w:rPr>
        <w:t>activities</w:t>
      </w:r>
      <w:r>
        <w:rPr>
          <w:color w:val="231F20"/>
          <w:spacing w:val="-4"/>
        </w:rPr>
        <w:t> </w:t>
      </w:r>
      <w:r>
        <w:rPr>
          <w:color w:val="231F20"/>
        </w:rPr>
        <w:t>will</w:t>
      </w:r>
      <w:r>
        <w:rPr>
          <w:color w:val="231F20"/>
          <w:spacing w:val="-3"/>
        </w:rPr>
        <w:t> </w:t>
      </w:r>
      <w:r>
        <w:rPr>
          <w:color w:val="231F20"/>
          <w:spacing w:val="-1"/>
        </w:rPr>
        <w:t>strengthen</w:t>
      </w:r>
      <w:r>
        <w:rPr>
          <w:color w:val="231F20"/>
          <w:spacing w:val="22"/>
          <w:w w:val="99"/>
        </w:rPr>
        <w:t> </w:t>
      </w:r>
      <w:r>
        <w:rPr>
          <w:color w:val="231F20"/>
        </w:rPr>
        <w:t>the</w:t>
      </w:r>
      <w:r>
        <w:rPr>
          <w:color w:val="231F20"/>
          <w:spacing w:val="-8"/>
        </w:rPr>
        <w:t> </w:t>
      </w:r>
      <w:r>
        <w:rPr>
          <w:color w:val="231F20"/>
        </w:rPr>
        <w:t>evidence</w:t>
      </w:r>
      <w:r>
        <w:rPr>
          <w:color w:val="231F20"/>
          <w:spacing w:val="-9"/>
        </w:rPr>
        <w:t> </w:t>
      </w:r>
      <w:r>
        <w:rPr>
          <w:color w:val="231F20"/>
        </w:rPr>
        <w:t>base</w:t>
      </w:r>
      <w:r>
        <w:rPr>
          <w:color w:val="231F20"/>
          <w:spacing w:val="-8"/>
        </w:rPr>
        <w:t> </w:t>
      </w:r>
      <w:r>
        <w:rPr>
          <w:color w:val="231F20"/>
        </w:rPr>
        <w:t>for</w:t>
      </w:r>
      <w:r>
        <w:rPr>
          <w:color w:val="231F20"/>
          <w:spacing w:val="-7"/>
        </w:rPr>
        <w:t> </w:t>
      </w:r>
      <w:r>
        <w:rPr>
          <w:color w:val="231F20"/>
        </w:rPr>
        <w:t>determining</w:t>
      </w:r>
      <w:r>
        <w:rPr>
          <w:color w:val="231F20"/>
          <w:spacing w:val="-8"/>
        </w:rPr>
        <w:t> </w:t>
      </w:r>
      <w:r>
        <w:rPr>
          <w:color w:val="231F20"/>
        </w:rPr>
        <w:t>whether</w:t>
      </w:r>
      <w:r>
        <w:rPr>
          <w:color w:val="231F20"/>
          <w:w w:val="99"/>
        </w:rPr>
        <w:t> </w:t>
      </w:r>
      <w:r>
        <w:rPr>
          <w:color w:val="231F20"/>
        </w:rPr>
        <w:t>the</w:t>
      </w:r>
      <w:r>
        <w:rPr>
          <w:color w:val="231F20"/>
          <w:spacing w:val="-4"/>
        </w:rPr>
        <w:t> </w:t>
      </w:r>
      <w:r>
        <w:rPr>
          <w:color w:val="231F20"/>
          <w:spacing w:val="-1"/>
        </w:rPr>
        <w:t>investment</w:t>
      </w:r>
      <w:r>
        <w:rPr>
          <w:color w:val="231F20"/>
          <w:spacing w:val="-2"/>
        </w:rPr>
        <w:t> </w:t>
      </w:r>
      <w:r>
        <w:rPr>
          <w:color w:val="231F20"/>
          <w:spacing w:val="-1"/>
        </w:rPr>
        <w:t>in</w:t>
      </w:r>
      <w:r>
        <w:rPr>
          <w:color w:val="231F20"/>
          <w:spacing w:val="-2"/>
        </w:rPr>
        <w:t> </w:t>
      </w:r>
      <w:r>
        <w:rPr>
          <w:color w:val="231F20"/>
        </w:rPr>
        <w:t>boarding</w:t>
      </w:r>
      <w:r>
        <w:rPr>
          <w:color w:val="231F20"/>
          <w:spacing w:val="-3"/>
        </w:rPr>
        <w:t> </w:t>
      </w:r>
      <w:r>
        <w:rPr>
          <w:color w:val="231F20"/>
          <w:spacing w:val="-1"/>
        </w:rPr>
        <w:t>scholarships is</w:t>
      </w:r>
      <w:r>
        <w:rPr/>
      </w:r>
    </w:p>
    <w:p>
      <w:pPr>
        <w:pStyle w:val="BodyText"/>
        <w:spacing w:line="250" w:lineRule="exact"/>
        <w:ind w:left="140" w:right="61"/>
        <w:jc w:val="left"/>
      </w:pPr>
      <w:r>
        <w:rPr>
          <w:color w:val="231F20"/>
        </w:rPr>
        <w:t>delivering</w:t>
      </w:r>
      <w:r>
        <w:rPr>
          <w:color w:val="231F20"/>
          <w:spacing w:val="-7"/>
        </w:rPr>
        <w:t> </w:t>
      </w:r>
      <w:r>
        <w:rPr>
          <w:color w:val="231F20"/>
          <w:spacing w:val="-1"/>
        </w:rPr>
        <w:t>its</w:t>
      </w:r>
      <w:r>
        <w:rPr>
          <w:color w:val="231F20"/>
          <w:spacing w:val="-5"/>
        </w:rPr>
        <w:t> </w:t>
      </w:r>
      <w:r>
        <w:rPr>
          <w:color w:val="231F20"/>
          <w:spacing w:val="-1"/>
        </w:rPr>
        <w:t>intended</w:t>
      </w:r>
      <w:r>
        <w:rPr>
          <w:color w:val="231F20"/>
          <w:spacing w:val="-5"/>
        </w:rPr>
        <w:t> </w:t>
      </w:r>
      <w:r>
        <w:rPr>
          <w:color w:val="231F20"/>
        </w:rPr>
        <w:t>outcomes.</w:t>
      </w:r>
      <w:r>
        <w:rPr>
          <w:color w:val="231F20"/>
          <w:spacing w:val="-6"/>
        </w:rPr>
        <w:t> </w:t>
      </w:r>
      <w:r>
        <w:rPr>
          <w:color w:val="231F20"/>
        </w:rPr>
        <w:t>As</w:t>
      </w:r>
      <w:r>
        <w:rPr>
          <w:color w:val="231F20"/>
          <w:spacing w:val="-6"/>
        </w:rPr>
        <w:t> </w:t>
      </w:r>
      <w:r>
        <w:rPr>
          <w:color w:val="231F20"/>
        </w:rPr>
        <w:t>part</w:t>
      </w:r>
      <w:r>
        <w:rPr>
          <w:color w:val="231F20"/>
          <w:spacing w:val="-6"/>
        </w:rPr>
        <w:t> </w:t>
      </w:r>
      <w:r>
        <w:rPr>
          <w:color w:val="231F20"/>
        </w:rPr>
        <w:t>of</w:t>
      </w:r>
      <w:r>
        <w:rPr>
          <w:color w:val="231F20"/>
          <w:spacing w:val="23"/>
          <w:w w:val="99"/>
        </w:rPr>
        <w:t> </w:t>
      </w:r>
      <w:r>
        <w:rPr>
          <w:color w:val="231F20"/>
        </w:rPr>
        <w:t>this</w:t>
      </w:r>
      <w:r>
        <w:rPr>
          <w:color w:val="231F20"/>
          <w:spacing w:val="-7"/>
        </w:rPr>
        <w:t> </w:t>
      </w:r>
      <w:r>
        <w:rPr>
          <w:color w:val="231F20"/>
        </w:rPr>
        <w:t>engagement</w:t>
      </w:r>
      <w:r>
        <w:rPr>
          <w:color w:val="231F20"/>
          <w:spacing w:val="-6"/>
        </w:rPr>
        <w:t> </w:t>
      </w:r>
      <w:r>
        <w:rPr>
          <w:color w:val="231F20"/>
          <w:spacing w:val="-1"/>
        </w:rPr>
        <w:t>it</w:t>
      </w:r>
      <w:r>
        <w:rPr>
          <w:color w:val="231F20"/>
          <w:spacing w:val="-5"/>
        </w:rPr>
        <w:t> </w:t>
      </w:r>
      <w:r>
        <w:rPr>
          <w:color w:val="231F20"/>
          <w:spacing w:val="-1"/>
        </w:rPr>
        <w:t>is</w:t>
      </w:r>
      <w:r>
        <w:rPr>
          <w:color w:val="231F20"/>
          <w:spacing w:val="-6"/>
        </w:rPr>
        <w:t> </w:t>
      </w:r>
      <w:r>
        <w:rPr>
          <w:color w:val="231F20"/>
        </w:rPr>
        <w:t>recommended</w:t>
      </w:r>
      <w:r>
        <w:rPr>
          <w:color w:val="231F20"/>
          <w:spacing w:val="-7"/>
        </w:rPr>
        <w:t> </w:t>
      </w:r>
      <w:r>
        <w:rPr>
          <w:color w:val="231F20"/>
        </w:rPr>
        <w:t>that</w:t>
      </w:r>
      <w:r>
        <w:rPr>
          <w:color w:val="231F20"/>
          <w:spacing w:val="-6"/>
        </w:rPr>
        <w:t> </w:t>
      </w:r>
      <w:r>
        <w:rPr>
          <w:color w:val="231F20"/>
        </w:rPr>
        <w:t>the</w:t>
      </w:r>
      <w:r>
        <w:rPr>
          <w:color w:val="231F20"/>
          <w:spacing w:val="22"/>
          <w:w w:val="99"/>
        </w:rPr>
        <w:t> </w:t>
      </w:r>
      <w:r>
        <w:rPr>
          <w:color w:val="231F20"/>
          <w:spacing w:val="-1"/>
        </w:rPr>
        <w:t>scholarship</w:t>
      </w:r>
      <w:r>
        <w:rPr>
          <w:color w:val="231F20"/>
          <w:spacing w:val="-4"/>
        </w:rPr>
        <w:t> </w:t>
      </w:r>
      <w:r>
        <w:rPr>
          <w:color w:val="231F20"/>
        </w:rPr>
        <w:t>program</w:t>
      </w:r>
      <w:r>
        <w:rPr>
          <w:color w:val="231F20"/>
          <w:spacing w:val="-4"/>
        </w:rPr>
        <w:t> </w:t>
      </w:r>
      <w:r>
        <w:rPr>
          <w:color w:val="231F20"/>
        </w:rPr>
        <w:t>guidelines</w:t>
      </w:r>
      <w:r>
        <w:rPr>
          <w:color w:val="231F20"/>
          <w:spacing w:val="-5"/>
        </w:rPr>
        <w:t> </w:t>
      </w:r>
      <w:r>
        <w:rPr>
          <w:color w:val="231F20"/>
        </w:rPr>
        <w:t>be</w:t>
      </w:r>
      <w:r>
        <w:rPr>
          <w:color w:val="231F20"/>
          <w:spacing w:val="-4"/>
        </w:rPr>
        <w:t> </w:t>
      </w:r>
      <w:r>
        <w:rPr>
          <w:color w:val="231F20"/>
        </w:rPr>
        <w:t>reviewed</w:t>
      </w:r>
      <w:r>
        <w:rPr>
          <w:color w:val="231F20"/>
          <w:spacing w:val="-5"/>
        </w:rPr>
        <w:t> </w:t>
      </w:r>
      <w:r>
        <w:rPr>
          <w:color w:val="231F20"/>
          <w:spacing w:val="-5"/>
        </w:rPr>
      </w:r>
      <w:r>
        <w:rPr>
          <w:color w:val="231F20"/>
        </w:rPr>
        <w:t>to</w:t>
      </w:r>
      <w:r>
        <w:rPr>
          <w:color w:val="231F20"/>
          <w:spacing w:val="22"/>
        </w:rPr>
        <w:t> </w:t>
      </w:r>
      <w:r>
        <w:rPr>
          <w:color w:val="231F20"/>
        </w:rPr>
        <w:t>provide</w:t>
      </w:r>
      <w:r>
        <w:rPr>
          <w:color w:val="231F20"/>
          <w:spacing w:val="-11"/>
        </w:rPr>
        <w:t> </w:t>
      </w:r>
      <w:r>
        <w:rPr>
          <w:color w:val="231F20"/>
        </w:rPr>
        <w:t>greater</w:t>
      </w:r>
      <w:r>
        <w:rPr>
          <w:color w:val="231F20"/>
          <w:spacing w:val="-10"/>
        </w:rPr>
        <w:t> </w:t>
      </w:r>
      <w:r>
        <w:rPr>
          <w:color w:val="231F20"/>
        </w:rPr>
        <w:t>opportunities</w:t>
      </w:r>
      <w:r>
        <w:rPr>
          <w:color w:val="231F20"/>
          <w:spacing w:val="-10"/>
        </w:rPr>
        <w:t> </w:t>
      </w:r>
      <w:r>
        <w:rPr>
          <w:color w:val="231F20"/>
        </w:rPr>
        <w:t>for</w:t>
      </w:r>
      <w:r>
        <w:rPr>
          <w:color w:val="231F20"/>
          <w:spacing w:val="-9"/>
        </w:rPr>
        <w:t> </w:t>
      </w:r>
      <w:r>
        <w:rPr>
          <w:color w:val="231F20"/>
        </w:rPr>
        <w:t>Aboriginal</w:t>
      </w:r>
      <w:r>
        <w:rPr>
          <w:color w:val="231F20"/>
          <w:w w:val="99"/>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7"/>
        </w:rPr>
        <w:t> </w:t>
      </w:r>
      <w:r>
        <w:rPr>
          <w:color w:val="231F20"/>
        </w:rPr>
        <w:t>providers</w:t>
      </w:r>
      <w:r>
        <w:rPr>
          <w:color w:val="231F20"/>
          <w:spacing w:val="21"/>
          <w:w w:val="99"/>
        </w:rPr>
        <w:t> </w:t>
      </w:r>
      <w:r>
        <w:rPr>
          <w:color w:val="231F20"/>
        </w:rPr>
        <w:t>and</w:t>
      </w:r>
      <w:r>
        <w:rPr>
          <w:color w:val="231F20"/>
          <w:spacing w:val="-8"/>
        </w:rPr>
        <w:t> </w:t>
      </w:r>
      <w:r>
        <w:rPr>
          <w:color w:val="231F20"/>
        </w:rPr>
        <w:t>other</w:t>
      </w:r>
      <w:r>
        <w:rPr>
          <w:color w:val="231F20"/>
          <w:spacing w:val="-6"/>
        </w:rPr>
        <w:t> </w:t>
      </w:r>
      <w:r>
        <w:rPr>
          <w:color w:val="231F20"/>
        </w:rPr>
        <w:t>providers</w:t>
      </w:r>
      <w:r>
        <w:rPr>
          <w:color w:val="231F20"/>
          <w:spacing w:val="-7"/>
        </w:rPr>
        <w:t> </w:t>
      </w:r>
      <w:r>
        <w:rPr>
          <w:color w:val="231F20"/>
          <w:spacing w:val="-1"/>
        </w:rPr>
        <w:t>located</w:t>
      </w:r>
      <w:r>
        <w:rPr>
          <w:color w:val="231F20"/>
          <w:spacing w:val="-6"/>
        </w:rPr>
        <w:t> </w:t>
      </w:r>
      <w:r>
        <w:rPr>
          <w:color w:val="231F20"/>
          <w:spacing w:val="-1"/>
        </w:rPr>
        <w:t>in</w:t>
      </w:r>
      <w:r>
        <w:rPr>
          <w:color w:val="231F20"/>
          <w:spacing w:val="-6"/>
        </w:rPr>
        <w:t> </w:t>
      </w:r>
      <w:r>
        <w:rPr>
          <w:color w:val="231F20"/>
        </w:rPr>
        <w:t>regional,</w:t>
      </w:r>
      <w:r>
        <w:rPr>
          <w:color w:val="231F20"/>
          <w:spacing w:val="23"/>
          <w:w w:val="99"/>
        </w:rPr>
        <w:t> </w:t>
      </w:r>
      <w:r>
        <w:rPr>
          <w:color w:val="231F20"/>
        </w:rPr>
        <w:t>remote</w:t>
      </w:r>
      <w:r>
        <w:rPr>
          <w:color w:val="231F20"/>
          <w:spacing w:val="-8"/>
        </w:rPr>
        <w:t> </w:t>
      </w:r>
      <w:r>
        <w:rPr>
          <w:color w:val="231F20"/>
        </w:rPr>
        <w:t>and</w:t>
      </w:r>
      <w:r>
        <w:rPr>
          <w:color w:val="231F20"/>
          <w:spacing w:val="-7"/>
        </w:rPr>
        <w:t> </w:t>
      </w:r>
      <w:r>
        <w:rPr>
          <w:color w:val="231F20"/>
        </w:rPr>
        <w:t>very</w:t>
      </w:r>
      <w:r>
        <w:rPr>
          <w:color w:val="231F20"/>
          <w:spacing w:val="-6"/>
        </w:rPr>
        <w:t> </w:t>
      </w:r>
      <w:r>
        <w:rPr>
          <w:color w:val="231F20"/>
        </w:rPr>
        <w:t>remote</w:t>
      </w:r>
      <w:r>
        <w:rPr>
          <w:color w:val="231F20"/>
          <w:spacing w:val="-7"/>
        </w:rPr>
        <w:t> </w:t>
      </w:r>
      <w:r>
        <w:rPr>
          <w:color w:val="231F20"/>
        </w:rPr>
        <w:t>areas.</w:t>
      </w:r>
      <w:r>
        <w:rPr/>
      </w:r>
    </w:p>
    <w:p>
      <w:pPr>
        <w:spacing w:line="240" w:lineRule="auto" w:before="1"/>
        <w:rPr>
          <w:rFonts w:ascii="Segoe UI" w:hAnsi="Segoe UI" w:cs="Segoe UI" w:eastAsia="Segoe UI"/>
          <w:sz w:val="25"/>
          <w:szCs w:val="25"/>
        </w:rPr>
      </w:pPr>
    </w:p>
    <w:p>
      <w:pPr>
        <w:pStyle w:val="Heading2"/>
        <w:spacing w:line="360" w:lineRule="exact" w:before="0"/>
        <w:ind w:left="140" w:right="0"/>
        <w:jc w:val="left"/>
        <w:rPr>
          <w:b w:val="0"/>
          <w:bCs w:val="0"/>
        </w:rPr>
      </w:pPr>
      <w:bookmarkStart w:name="_TOC_250032" w:id="4"/>
      <w:r>
        <w:rPr>
          <w:color w:val="452A70"/>
          <w:spacing w:val="-2"/>
        </w:rPr>
        <w:t>Private</w:t>
      </w:r>
      <w:r>
        <w:rPr>
          <w:color w:val="452A70"/>
        </w:rPr>
        <w:t> </w:t>
      </w:r>
      <w:r>
        <w:rPr>
          <w:color w:val="452A70"/>
          <w:spacing w:val="-1"/>
        </w:rPr>
        <w:t>fees</w:t>
      </w:r>
      <w:r>
        <w:rPr>
          <w:color w:val="452A70"/>
        </w:rPr>
        <w:t> </w:t>
      </w:r>
      <w:r>
        <w:rPr>
          <w:color w:val="452A70"/>
          <w:spacing w:val="-1"/>
        </w:rPr>
        <w:t>and</w:t>
      </w:r>
      <w:r>
        <w:rPr>
          <w:color w:val="452A70"/>
        </w:rPr>
        <w:t> </w:t>
      </w:r>
      <w:r>
        <w:rPr>
          <w:color w:val="452A70"/>
          <w:spacing w:val="-1"/>
        </w:rPr>
        <w:t>parental</w:t>
      </w:r>
      <w:r>
        <w:rPr>
          <w:color w:val="452A70"/>
          <w:spacing w:val="29"/>
        </w:rPr>
        <w:t> </w:t>
      </w:r>
      <w:r>
        <w:rPr>
          <w:color w:val="452A70"/>
          <w:spacing w:val="-1"/>
        </w:rPr>
        <w:t>contributions</w:t>
      </w:r>
      <w:bookmarkEnd w:id="4"/>
      <w:r>
        <w:rPr>
          <w:b w:val="0"/>
        </w:rPr>
      </w:r>
    </w:p>
    <w:p>
      <w:pPr>
        <w:pStyle w:val="BodyText"/>
        <w:spacing w:line="250" w:lineRule="exact" w:before="119"/>
        <w:ind w:left="140" w:right="69"/>
        <w:jc w:val="left"/>
      </w:pPr>
      <w:r>
        <w:rPr>
          <w:color w:val="231F20"/>
        </w:rPr>
        <w:t>Another</w:t>
      </w:r>
      <w:r>
        <w:rPr>
          <w:color w:val="231F20"/>
          <w:spacing w:val="-6"/>
        </w:rPr>
        <w:t> </w:t>
      </w:r>
      <w:r>
        <w:rPr>
          <w:color w:val="231F20"/>
          <w:spacing w:val="-1"/>
        </w:rPr>
        <w:t>important</w:t>
      </w:r>
      <w:r>
        <w:rPr>
          <w:color w:val="231F20"/>
          <w:spacing w:val="-5"/>
        </w:rPr>
        <w:t> </w:t>
      </w:r>
      <w:r>
        <w:rPr>
          <w:color w:val="231F20"/>
          <w:spacing w:val="-1"/>
        </w:rPr>
        <w:t>source</w:t>
      </w:r>
      <w:r>
        <w:rPr>
          <w:color w:val="231F20"/>
          <w:spacing w:val="-5"/>
        </w:rPr>
        <w:t> </w:t>
      </w:r>
      <w:r>
        <w:rPr>
          <w:color w:val="231F20"/>
        </w:rPr>
        <w:t>of</w:t>
      </w:r>
      <w:r>
        <w:rPr>
          <w:color w:val="231F20"/>
          <w:spacing w:val="-5"/>
        </w:rPr>
        <w:t> </w:t>
      </w:r>
      <w:r>
        <w:rPr>
          <w:color w:val="231F20"/>
          <w:spacing w:val="-1"/>
        </w:rPr>
        <w:t>income</w:t>
      </w:r>
      <w:r>
        <w:rPr>
          <w:color w:val="231F20"/>
          <w:spacing w:val="-5"/>
        </w:rPr>
        <w:t> </w:t>
      </w:r>
      <w:r>
        <w:rPr>
          <w:color w:val="231F20"/>
        </w:rPr>
        <w:t>for</w:t>
      </w:r>
      <w:r>
        <w:rPr>
          <w:color w:val="231F20"/>
          <w:spacing w:val="24"/>
          <w:w w:val="99"/>
        </w:rPr>
        <w:t> </w:t>
      </w:r>
      <w:r>
        <w:rPr>
          <w:color w:val="231F20"/>
        </w:rPr>
        <w:t>boarding</w:t>
      </w:r>
      <w:r>
        <w:rPr>
          <w:color w:val="231F20"/>
          <w:spacing w:val="-8"/>
        </w:rPr>
        <w:t> </w:t>
      </w:r>
      <w:r>
        <w:rPr>
          <w:color w:val="231F20"/>
        </w:rPr>
        <w:t>providers</w:t>
      </w:r>
      <w:r>
        <w:rPr>
          <w:color w:val="231F20"/>
          <w:spacing w:val="-8"/>
        </w:rPr>
        <w:t> </w:t>
      </w:r>
      <w:r>
        <w:rPr>
          <w:color w:val="231F20"/>
        </w:rPr>
        <w:t>are</w:t>
      </w:r>
      <w:r>
        <w:rPr>
          <w:color w:val="231F20"/>
          <w:spacing w:val="-8"/>
        </w:rPr>
        <w:t> </w:t>
      </w:r>
      <w:r>
        <w:rPr>
          <w:color w:val="231F20"/>
        </w:rPr>
        <w:t>boarding</w:t>
      </w:r>
      <w:r>
        <w:rPr>
          <w:color w:val="231F20"/>
          <w:spacing w:val="-8"/>
        </w:rPr>
        <w:t> </w:t>
      </w:r>
      <w:r>
        <w:rPr>
          <w:color w:val="231F20"/>
        </w:rPr>
        <w:t>fees</w:t>
      </w:r>
      <w:r>
        <w:rPr>
          <w:color w:val="231F20"/>
          <w:spacing w:val="-8"/>
        </w:rPr>
        <w:t> </w:t>
      </w:r>
      <w:r>
        <w:rPr>
          <w:color w:val="231F20"/>
        </w:rPr>
        <w:t>charged</w:t>
      </w:r>
      <w:r>
        <w:rPr>
          <w:color w:val="231F20"/>
          <w:w w:val="99"/>
        </w:rPr>
        <w:t> </w:t>
      </w:r>
      <w:r>
        <w:rPr>
          <w:color w:val="231F20"/>
        </w:rPr>
        <w:t>to</w:t>
      </w:r>
      <w:r>
        <w:rPr>
          <w:color w:val="231F20"/>
          <w:spacing w:val="-5"/>
        </w:rPr>
        <w:t> </w:t>
      </w:r>
      <w:r>
        <w:rPr>
          <w:color w:val="231F20"/>
        </w:rPr>
        <w:t>parents.</w:t>
      </w:r>
      <w:r>
        <w:rPr>
          <w:color w:val="231F20"/>
          <w:spacing w:val="-5"/>
        </w:rPr>
        <w:t> </w:t>
      </w:r>
      <w:r>
        <w:rPr>
          <w:color w:val="231F20"/>
        </w:rPr>
        <w:t>An</w:t>
      </w:r>
      <w:r>
        <w:rPr>
          <w:color w:val="231F20"/>
          <w:spacing w:val="-4"/>
        </w:rPr>
        <w:t> </w:t>
      </w:r>
      <w:r>
        <w:rPr>
          <w:color w:val="231F20"/>
        </w:rPr>
        <w:t>Aboriginal</w:t>
      </w:r>
      <w:r>
        <w:rPr>
          <w:color w:val="231F20"/>
          <w:spacing w:val="-4"/>
        </w:rPr>
        <w:t> </w:t>
      </w:r>
      <w:r>
        <w:rPr>
          <w:color w:val="231F20"/>
        </w:rPr>
        <w:t>or</w:t>
      </w:r>
      <w:r>
        <w:rPr>
          <w:color w:val="231F20"/>
          <w:spacing w:val="-5"/>
        </w:rPr>
        <w:t> Torres</w:t>
      </w:r>
      <w:r>
        <w:rPr>
          <w:color w:val="231F20"/>
          <w:spacing w:val="-4"/>
        </w:rPr>
        <w:t> </w:t>
      </w:r>
      <w:r>
        <w:rPr>
          <w:color w:val="231F20"/>
          <w:spacing w:val="-2"/>
        </w:rPr>
        <w:t>Strait</w:t>
      </w:r>
      <w:r>
        <w:rPr>
          <w:color w:val="231F20"/>
          <w:spacing w:val="29"/>
          <w:w w:val="99"/>
        </w:rPr>
        <w:t> </w:t>
      </w:r>
      <w:r>
        <w:rPr>
          <w:color w:val="231F20"/>
          <w:spacing w:val="-1"/>
        </w:rPr>
        <w:t>Islander</w:t>
      </w:r>
      <w:r>
        <w:rPr>
          <w:color w:val="231F20"/>
          <w:spacing w:val="-4"/>
        </w:rPr>
        <w:t> </w:t>
      </w:r>
      <w:r>
        <w:rPr>
          <w:color w:val="231F20"/>
          <w:spacing w:val="-1"/>
        </w:rPr>
        <w:t>student</w:t>
      </w:r>
      <w:r>
        <w:rPr>
          <w:color w:val="231F20"/>
          <w:spacing w:val="-3"/>
        </w:rPr>
        <w:t> </w:t>
      </w:r>
      <w:r>
        <w:rPr>
          <w:color w:val="231F20"/>
          <w:spacing w:val="-1"/>
        </w:rPr>
        <w:t>may</w:t>
      </w:r>
      <w:r>
        <w:rPr>
          <w:color w:val="231F20"/>
          <w:spacing w:val="-3"/>
        </w:rPr>
        <w:t> </w:t>
      </w:r>
      <w:r>
        <w:rPr>
          <w:color w:val="231F20"/>
        </w:rPr>
        <w:t>not</w:t>
      </w:r>
      <w:r>
        <w:rPr>
          <w:color w:val="231F20"/>
          <w:spacing w:val="-3"/>
        </w:rPr>
        <w:t> </w:t>
      </w:r>
      <w:r>
        <w:rPr>
          <w:color w:val="231F20"/>
        </w:rPr>
        <w:t>be</w:t>
      </w:r>
      <w:r>
        <w:rPr>
          <w:color w:val="231F20"/>
          <w:spacing w:val="-3"/>
        </w:rPr>
        <w:t> </w:t>
      </w:r>
      <w:r>
        <w:rPr>
          <w:color w:val="231F20"/>
        </w:rPr>
        <w:t>eligible</w:t>
      </w:r>
      <w:r>
        <w:rPr>
          <w:color w:val="231F20"/>
          <w:spacing w:val="-4"/>
        </w:rPr>
        <w:t> </w:t>
      </w:r>
      <w:r>
        <w:rPr>
          <w:color w:val="231F20"/>
        </w:rPr>
        <w:t>for</w:t>
      </w:r>
      <w:r>
        <w:rPr>
          <w:color w:val="231F20"/>
          <w:spacing w:val="-3"/>
        </w:rPr>
        <w:t> </w:t>
      </w:r>
      <w:r>
        <w:rPr>
          <w:color w:val="231F20"/>
        </w:rPr>
        <w:t>full</w:t>
      </w:r>
      <w:r>
        <w:rPr>
          <w:color w:val="231F20"/>
          <w:spacing w:val="24"/>
        </w:rPr>
        <w:t> </w:t>
      </w:r>
      <w:r>
        <w:rPr>
          <w:color w:val="231F20"/>
        </w:rPr>
        <w:t>ABSTUDY</w:t>
      </w:r>
      <w:r>
        <w:rPr>
          <w:color w:val="231F20"/>
          <w:spacing w:val="-3"/>
        </w:rPr>
        <w:t> </w:t>
      </w:r>
      <w:r>
        <w:rPr>
          <w:color w:val="231F20"/>
        </w:rPr>
        <w:t>due</w:t>
      </w:r>
      <w:r>
        <w:rPr>
          <w:color w:val="231F20"/>
          <w:spacing w:val="-3"/>
        </w:rPr>
        <w:t> </w:t>
      </w:r>
      <w:r>
        <w:rPr>
          <w:color w:val="231F20"/>
        </w:rPr>
        <w:t>to</w:t>
      </w:r>
      <w:r>
        <w:rPr>
          <w:color w:val="231F20"/>
          <w:spacing w:val="-2"/>
        </w:rPr>
        <w:t> </w:t>
      </w:r>
      <w:r>
        <w:rPr>
          <w:color w:val="231F20"/>
        </w:rPr>
        <w:t>the</w:t>
      </w:r>
      <w:r>
        <w:rPr>
          <w:color w:val="231F20"/>
          <w:spacing w:val="-3"/>
        </w:rPr>
        <w:t> </w:t>
      </w:r>
      <w:r>
        <w:rPr>
          <w:color w:val="231F20"/>
          <w:spacing w:val="-1"/>
        </w:rPr>
        <w:t>level</w:t>
      </w:r>
      <w:r>
        <w:rPr>
          <w:color w:val="231F20"/>
          <w:spacing w:val="-2"/>
        </w:rPr>
        <w:t> </w:t>
      </w:r>
      <w:r>
        <w:rPr>
          <w:color w:val="231F20"/>
        </w:rPr>
        <w:t>of</w:t>
      </w:r>
      <w:r>
        <w:rPr>
          <w:color w:val="231F20"/>
          <w:spacing w:val="-2"/>
        </w:rPr>
        <w:t> </w:t>
      </w:r>
      <w:r>
        <w:rPr>
          <w:color w:val="231F20"/>
          <w:spacing w:val="-1"/>
        </w:rPr>
        <w:t>income</w:t>
      </w:r>
      <w:r>
        <w:rPr>
          <w:color w:val="231F20"/>
          <w:spacing w:val="-2"/>
        </w:rPr>
        <w:t> </w:t>
      </w:r>
      <w:r>
        <w:rPr>
          <w:color w:val="231F20"/>
        </w:rPr>
        <w:t>and</w:t>
      </w:r>
      <w:r>
        <w:rPr>
          <w:color w:val="231F20"/>
          <w:spacing w:val="23"/>
          <w:w w:val="99"/>
        </w:rPr>
        <w:t> </w:t>
      </w:r>
      <w:r>
        <w:rPr>
          <w:color w:val="231F20"/>
        </w:rPr>
        <w:t>assets</w:t>
      </w:r>
      <w:r>
        <w:rPr>
          <w:color w:val="231F20"/>
          <w:spacing w:val="-2"/>
        </w:rPr>
        <w:t> </w:t>
      </w:r>
      <w:r>
        <w:rPr>
          <w:color w:val="231F20"/>
        </w:rPr>
        <w:t>of</w:t>
      </w:r>
      <w:r>
        <w:rPr>
          <w:color w:val="231F20"/>
          <w:spacing w:val="-1"/>
        </w:rPr>
        <w:t> </w:t>
      </w:r>
      <w:r>
        <w:rPr>
          <w:color w:val="231F20"/>
        </w:rPr>
        <w:t>a</w:t>
      </w:r>
      <w:r>
        <w:rPr>
          <w:color w:val="231F20"/>
          <w:spacing w:val="-1"/>
        </w:rPr>
        <w:t> student’s</w:t>
      </w:r>
      <w:r>
        <w:rPr>
          <w:color w:val="231F20"/>
        </w:rPr>
        <w:t> parents</w:t>
      </w:r>
      <w:r>
        <w:rPr>
          <w:color w:val="231F20"/>
          <w:spacing w:val="-2"/>
        </w:rPr>
        <w:t> </w:t>
      </w:r>
      <w:r>
        <w:rPr>
          <w:color w:val="231F20"/>
        </w:rPr>
        <w:t>or</w:t>
      </w:r>
      <w:r>
        <w:rPr>
          <w:color w:val="231F20"/>
          <w:spacing w:val="-1"/>
        </w:rPr>
        <w:t> carers</w:t>
      </w:r>
      <w:r>
        <w:rPr>
          <w:rFonts w:ascii="Segoe UI Semibold" w:hAnsi="Segoe UI Semibold" w:cs="Segoe UI Semibold" w:eastAsia="Segoe UI Semibold"/>
          <w:b/>
          <w:bCs/>
          <w:color w:val="231F20"/>
          <w:spacing w:val="-1"/>
          <w:position w:val="7"/>
          <w:sz w:val="11"/>
          <w:szCs w:val="11"/>
        </w:rPr>
        <w:t>128</w:t>
      </w:r>
      <w:r>
        <w:rPr>
          <w:color w:val="231F20"/>
          <w:spacing w:val="-1"/>
        </w:rPr>
        <w:t>. Some</w:t>
      </w:r>
      <w:r>
        <w:rPr>
          <w:color w:val="231F20"/>
          <w:spacing w:val="28"/>
        </w:rPr>
        <w:t> </w:t>
      </w:r>
      <w:r>
        <w:rPr>
          <w:color w:val="231F20"/>
        </w:rPr>
        <w:t>boarding</w:t>
      </w:r>
      <w:r>
        <w:rPr>
          <w:color w:val="231F20"/>
          <w:spacing w:val="-7"/>
        </w:rPr>
        <w:t> </w:t>
      </w:r>
      <w:r>
        <w:rPr>
          <w:color w:val="231F20"/>
        </w:rPr>
        <w:t>providers</w:t>
      </w:r>
      <w:r>
        <w:rPr>
          <w:color w:val="231F20"/>
          <w:spacing w:val="-6"/>
        </w:rPr>
        <w:t> </w:t>
      </w:r>
      <w:r>
        <w:rPr>
          <w:color w:val="231F20"/>
        </w:rPr>
        <w:t>will</w:t>
      </w:r>
      <w:r>
        <w:rPr>
          <w:color w:val="231F20"/>
          <w:spacing w:val="-6"/>
        </w:rPr>
        <w:t> </w:t>
      </w:r>
      <w:r>
        <w:rPr>
          <w:color w:val="231F20"/>
        </w:rPr>
        <w:t>charge</w:t>
      </w:r>
      <w:r>
        <w:rPr>
          <w:color w:val="231F20"/>
          <w:spacing w:val="-6"/>
        </w:rPr>
        <w:t> </w:t>
      </w:r>
      <w:r>
        <w:rPr>
          <w:color w:val="231F20"/>
        </w:rPr>
        <w:t>a</w:t>
      </w:r>
      <w:r>
        <w:rPr>
          <w:color w:val="231F20"/>
          <w:spacing w:val="-5"/>
        </w:rPr>
        <w:t> </w:t>
      </w:r>
      <w:r>
        <w:rPr>
          <w:color w:val="231F20"/>
        </w:rPr>
        <w:t>parent</w:t>
      </w:r>
      <w:r>
        <w:rPr>
          <w:color w:val="231F20"/>
          <w:spacing w:val="-6"/>
        </w:rPr>
        <w:t> </w:t>
      </w:r>
      <w:r>
        <w:rPr>
          <w:color w:val="231F20"/>
        </w:rPr>
        <w:t>the</w:t>
      </w:r>
      <w:r>
        <w:rPr>
          <w:color w:val="231F20"/>
          <w:w w:val="99"/>
        </w:rPr>
        <w:t> </w:t>
      </w:r>
      <w:r>
        <w:rPr>
          <w:rFonts w:ascii="Segoe UI" w:hAnsi="Segoe UI" w:cs="Segoe UI" w:eastAsia="Segoe UI"/>
          <w:color w:val="231F20"/>
        </w:rPr>
        <w:t>difference</w:t>
      </w:r>
      <w:r>
        <w:rPr>
          <w:rFonts w:ascii="Segoe UI" w:hAnsi="Segoe UI" w:cs="Segoe UI" w:eastAsia="Segoe UI"/>
          <w:color w:val="231F20"/>
          <w:spacing w:val="-2"/>
        </w:rPr>
        <w:t> </w:t>
      </w:r>
      <w:r>
        <w:rPr>
          <w:rFonts w:ascii="Segoe UI" w:hAnsi="Segoe UI" w:cs="Segoe UI" w:eastAsia="Segoe UI"/>
          <w:color w:val="231F20"/>
        </w:rPr>
        <w:t>between</w:t>
      </w:r>
      <w:r>
        <w:rPr>
          <w:rFonts w:ascii="Segoe UI" w:hAnsi="Segoe UI" w:cs="Segoe UI" w:eastAsia="Segoe UI"/>
          <w:color w:val="231F20"/>
          <w:spacing w:val="-2"/>
        </w:rPr>
        <w:t> </w:t>
      </w:r>
      <w:r>
        <w:rPr>
          <w:rFonts w:ascii="Segoe UI" w:hAnsi="Segoe UI" w:cs="Segoe UI" w:eastAsia="Segoe UI"/>
          <w:color w:val="231F20"/>
        </w:rPr>
        <w:t>approved</w:t>
      </w:r>
      <w:r>
        <w:rPr>
          <w:rFonts w:ascii="Segoe UI" w:hAnsi="Segoe UI" w:cs="Segoe UI" w:eastAsia="Segoe UI"/>
          <w:color w:val="231F20"/>
          <w:spacing w:val="-2"/>
        </w:rPr>
        <w:t> </w:t>
      </w:r>
      <w:r>
        <w:rPr>
          <w:rFonts w:ascii="Segoe UI" w:hAnsi="Segoe UI" w:cs="Segoe UI" w:eastAsia="Segoe UI"/>
          <w:color w:val="231F20"/>
        </w:rPr>
        <w:t>ABSTUDY,</w:t>
      </w:r>
      <w:r>
        <w:rPr>
          <w:rFonts w:ascii="Segoe UI" w:hAnsi="Segoe UI" w:cs="Segoe UI" w:eastAsia="Segoe UI"/>
          <w:color w:val="231F20"/>
          <w:spacing w:val="-2"/>
        </w:rPr>
        <w:t> </w:t>
      </w:r>
      <w:r>
        <w:rPr>
          <w:rFonts w:ascii="Segoe UI" w:hAnsi="Segoe UI" w:cs="Segoe UI" w:eastAsia="Segoe UI"/>
          <w:color w:val="231F20"/>
        </w:rPr>
        <w:t>if</w:t>
      </w:r>
      <w:r>
        <w:rPr>
          <w:rFonts w:ascii="Segoe UI" w:hAnsi="Segoe UI" w:cs="Segoe UI" w:eastAsia="Segoe UI"/>
          <w:color w:val="231F20"/>
          <w:spacing w:val="-1"/>
        </w:rPr>
        <w:t> </w:t>
      </w:r>
      <w:r>
        <w:rPr>
          <w:rFonts w:ascii="Segoe UI" w:hAnsi="Segoe UI" w:cs="Segoe UI" w:eastAsia="Segoe UI"/>
          <w:color w:val="231F20"/>
        </w:rPr>
        <w:t>any,</w:t>
      </w:r>
      <w:r>
        <w:rPr>
          <w:rFonts w:ascii="Segoe UI" w:hAnsi="Segoe UI" w:cs="Segoe UI" w:eastAsia="Segoe UI"/>
          <w:color w:val="231F20"/>
        </w:rPr>
        <w:t> </w:t>
      </w:r>
      <w:r>
        <w:rPr>
          <w:color w:val="231F20"/>
        </w:rPr>
        <w:t>and</w:t>
      </w:r>
      <w:r>
        <w:rPr>
          <w:color w:val="231F20"/>
          <w:spacing w:val="-6"/>
        </w:rPr>
        <w:t> </w:t>
      </w:r>
      <w:r>
        <w:rPr>
          <w:color w:val="231F20"/>
        </w:rPr>
        <w:t>the</w:t>
      </w:r>
      <w:r>
        <w:rPr>
          <w:color w:val="231F20"/>
          <w:spacing w:val="-6"/>
        </w:rPr>
        <w:t> </w:t>
      </w:r>
      <w:r>
        <w:rPr>
          <w:color w:val="231F20"/>
        </w:rPr>
        <w:t>actual</w:t>
      </w:r>
      <w:r>
        <w:rPr>
          <w:color w:val="231F20"/>
          <w:spacing w:val="-6"/>
        </w:rPr>
        <w:t> </w:t>
      </w:r>
      <w:r>
        <w:rPr>
          <w:color w:val="231F20"/>
        </w:rPr>
        <w:t>boarding</w:t>
      </w:r>
      <w:r>
        <w:rPr>
          <w:color w:val="231F20"/>
          <w:spacing w:val="-6"/>
        </w:rPr>
        <w:t> </w:t>
      </w:r>
      <w:r>
        <w:rPr>
          <w:color w:val="231F20"/>
        </w:rPr>
        <w:t>and</w:t>
      </w:r>
      <w:r>
        <w:rPr>
          <w:color w:val="231F20"/>
          <w:spacing w:val="-5"/>
        </w:rPr>
        <w:t> </w:t>
      </w:r>
      <w:r>
        <w:rPr>
          <w:color w:val="231F20"/>
        </w:rPr>
        <w:t>tuition</w:t>
      </w:r>
      <w:r>
        <w:rPr>
          <w:color w:val="231F20"/>
          <w:spacing w:val="-6"/>
        </w:rPr>
        <w:t> </w:t>
      </w:r>
      <w:r>
        <w:rPr>
          <w:color w:val="231F20"/>
        </w:rPr>
        <w:t>fees.</w:t>
      </w:r>
      <w:r>
        <w:rPr/>
      </w:r>
    </w:p>
    <w:p>
      <w:pPr>
        <w:pStyle w:val="BodyText"/>
        <w:spacing w:line="250" w:lineRule="exact" w:before="62"/>
        <w:ind w:left="140" w:right="143"/>
        <w:jc w:val="left"/>
      </w:pPr>
      <w:r>
        <w:rPr/>
        <w:br w:type="column"/>
      </w:r>
      <w:r>
        <w:rPr>
          <w:color w:val="231F20"/>
        </w:rPr>
        <w:t>The</w:t>
      </w:r>
      <w:r>
        <w:rPr>
          <w:color w:val="231F20"/>
          <w:spacing w:val="-5"/>
        </w:rPr>
        <w:t> </w:t>
      </w:r>
      <w:r>
        <w:rPr>
          <w:color w:val="231F20"/>
        </w:rPr>
        <w:t>engagement</w:t>
      </w:r>
      <w:r>
        <w:rPr>
          <w:color w:val="231F20"/>
          <w:spacing w:val="-6"/>
        </w:rPr>
        <w:t> </w:t>
      </w:r>
      <w:r>
        <w:rPr>
          <w:color w:val="231F20"/>
        </w:rPr>
        <w:t>of</w:t>
      </w:r>
      <w:r>
        <w:rPr>
          <w:color w:val="231F20"/>
          <w:spacing w:val="-5"/>
        </w:rPr>
        <w:t> </w:t>
      </w:r>
      <w:r>
        <w:rPr>
          <w:color w:val="231F20"/>
        </w:rPr>
        <w:t>parents</w:t>
      </w:r>
      <w:r>
        <w:rPr>
          <w:color w:val="231F20"/>
          <w:spacing w:val="-6"/>
        </w:rPr>
        <w:t> </w:t>
      </w:r>
      <w:r>
        <w:rPr>
          <w:color w:val="231F20"/>
        </w:rPr>
        <w:t>and</w:t>
      </w:r>
      <w:r>
        <w:rPr>
          <w:color w:val="231F20"/>
          <w:spacing w:val="-6"/>
        </w:rPr>
        <w:t> </w:t>
      </w:r>
      <w:r>
        <w:rPr>
          <w:color w:val="231F20"/>
        </w:rPr>
        <w:t>carers</w:t>
      </w:r>
      <w:r>
        <w:rPr>
          <w:color w:val="231F20"/>
          <w:spacing w:val="-6"/>
        </w:rPr>
        <w:t> </w:t>
      </w:r>
      <w:r>
        <w:rPr>
          <w:color w:val="231F20"/>
          <w:spacing w:val="-1"/>
        </w:rPr>
        <w:t>in</w:t>
      </w:r>
      <w:r>
        <w:rPr>
          <w:color w:val="231F20"/>
          <w:spacing w:val="-5"/>
        </w:rPr>
        <w:t> </w:t>
      </w:r>
      <w:r>
        <w:rPr>
          <w:color w:val="231F20"/>
        </w:rPr>
        <w:t>the</w:t>
      </w:r>
      <w:r>
        <w:rPr>
          <w:color w:val="231F20"/>
          <w:spacing w:val="21"/>
          <w:w w:val="99"/>
        </w:rPr>
        <w:t> </w:t>
      </w:r>
      <w:r>
        <w:rPr>
          <w:color w:val="231F20"/>
        </w:rPr>
        <w:t>education</w:t>
      </w:r>
      <w:r>
        <w:rPr>
          <w:color w:val="231F20"/>
          <w:spacing w:val="-7"/>
        </w:rPr>
        <w:t> </w:t>
      </w:r>
      <w:r>
        <w:rPr>
          <w:color w:val="231F20"/>
        </w:rPr>
        <w:t>and</w:t>
      </w:r>
      <w:r>
        <w:rPr>
          <w:color w:val="231F20"/>
          <w:spacing w:val="-7"/>
        </w:rPr>
        <w:t> </w:t>
      </w:r>
      <w:r>
        <w:rPr>
          <w:color w:val="231F20"/>
        </w:rPr>
        <w:t>boarding</w:t>
      </w:r>
      <w:r>
        <w:rPr>
          <w:color w:val="231F20"/>
          <w:spacing w:val="-7"/>
        </w:rPr>
        <w:t> </w:t>
      </w:r>
      <w:r>
        <w:rPr>
          <w:color w:val="231F20"/>
          <w:spacing w:val="-1"/>
        </w:rPr>
        <w:t>life</w:t>
      </w:r>
      <w:r>
        <w:rPr>
          <w:color w:val="231F20"/>
          <w:spacing w:val="-5"/>
        </w:rPr>
        <w:t> </w:t>
      </w:r>
      <w:r>
        <w:rPr>
          <w:color w:val="231F20"/>
        </w:rPr>
        <w:t>of</w:t>
      </w:r>
      <w:r>
        <w:rPr>
          <w:color w:val="231F20"/>
          <w:spacing w:val="-6"/>
        </w:rPr>
        <w:t> </w:t>
      </w:r>
      <w:r>
        <w:rPr>
          <w:color w:val="231F20"/>
        </w:rPr>
        <w:t>Aboriginal</w:t>
      </w:r>
      <w:r>
        <w:rPr>
          <w:color w:val="231F20"/>
          <w:spacing w:val="-6"/>
        </w:rPr>
        <w:t> </w:t>
      </w:r>
      <w:r>
        <w:rPr>
          <w:color w:val="231F20"/>
        </w:rPr>
        <w:t>and</w:t>
      </w:r>
      <w:r>
        <w:rPr>
          <w:color w:val="231F20"/>
          <w:spacing w:val="21"/>
          <w:w w:val="99"/>
        </w:rPr>
        <w:t> </w:t>
      </w:r>
      <w:r>
        <w:rPr>
          <w:color w:val="231F20"/>
          <w:spacing w:val="-5"/>
        </w:rPr>
        <w:t>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4"/>
        </w:rPr>
        <w:t> </w:t>
      </w:r>
      <w:r>
        <w:rPr>
          <w:color w:val="231F20"/>
          <w:spacing w:val="-1"/>
        </w:rPr>
        <w:t>students</w:t>
      </w:r>
      <w:r>
        <w:rPr>
          <w:color w:val="231F20"/>
          <w:spacing w:val="-4"/>
        </w:rPr>
        <w:t> </w:t>
      </w:r>
      <w:r>
        <w:rPr>
          <w:color w:val="231F20"/>
          <w:spacing w:val="-1"/>
        </w:rPr>
        <w:t>is</w:t>
      </w:r>
      <w:r>
        <w:rPr>
          <w:color w:val="231F20"/>
          <w:spacing w:val="-5"/>
        </w:rPr>
        <w:t> </w:t>
      </w:r>
      <w:r>
        <w:rPr>
          <w:color w:val="231F20"/>
        </w:rPr>
        <w:t>considered</w:t>
      </w:r>
      <w:r>
        <w:rPr>
          <w:color w:val="231F20"/>
          <w:spacing w:val="25"/>
          <w:w w:val="99"/>
        </w:rPr>
        <w:t> </w:t>
      </w:r>
      <w:r>
        <w:rPr>
          <w:color w:val="231F20"/>
        </w:rPr>
        <w:t>crucial</w:t>
      </w:r>
      <w:r>
        <w:rPr>
          <w:color w:val="231F20"/>
          <w:spacing w:val="-5"/>
        </w:rPr>
        <w:t> </w:t>
      </w:r>
      <w:r>
        <w:rPr>
          <w:color w:val="231F20"/>
          <w:spacing w:val="-1"/>
        </w:rPr>
        <w:t>in</w:t>
      </w:r>
      <w:r>
        <w:rPr>
          <w:color w:val="231F20"/>
          <w:spacing w:val="-3"/>
        </w:rPr>
        <w:t> </w:t>
      </w:r>
      <w:r>
        <w:rPr>
          <w:color w:val="231F20"/>
        </w:rPr>
        <w:t>the</w:t>
      </w:r>
      <w:r>
        <w:rPr>
          <w:color w:val="231F20"/>
          <w:spacing w:val="-4"/>
        </w:rPr>
        <w:t> </w:t>
      </w:r>
      <w:r>
        <w:rPr>
          <w:color w:val="231F20"/>
          <w:spacing w:val="-1"/>
        </w:rPr>
        <w:t>success</w:t>
      </w:r>
      <w:r>
        <w:rPr>
          <w:color w:val="231F20"/>
          <w:spacing w:val="-4"/>
        </w:rPr>
        <w:t> </w:t>
      </w:r>
      <w:r>
        <w:rPr>
          <w:color w:val="231F20"/>
        </w:rPr>
        <w:t>of</w:t>
      </w:r>
      <w:r>
        <w:rPr>
          <w:color w:val="231F20"/>
          <w:spacing w:val="-3"/>
        </w:rPr>
        <w:t> </w:t>
      </w:r>
      <w:r>
        <w:rPr>
          <w:color w:val="231F20"/>
        </w:rPr>
        <w:t>a</w:t>
      </w:r>
      <w:r>
        <w:rPr>
          <w:color w:val="231F20"/>
          <w:spacing w:val="-3"/>
        </w:rPr>
        <w:t> </w:t>
      </w:r>
      <w:r>
        <w:rPr>
          <w:color w:val="231F20"/>
          <w:spacing w:val="-1"/>
        </w:rPr>
        <w:t>student</w:t>
      </w:r>
      <w:r>
        <w:rPr>
          <w:color w:val="231F20"/>
          <w:spacing w:val="-4"/>
        </w:rPr>
        <w:t> </w:t>
      </w:r>
      <w:r>
        <w:rPr>
          <w:color w:val="231F20"/>
          <w:spacing w:val="-1"/>
        </w:rPr>
        <w:t>in</w:t>
      </w:r>
      <w:r>
        <w:rPr>
          <w:color w:val="231F20"/>
          <w:spacing w:val="-3"/>
        </w:rPr>
        <w:t> </w:t>
      </w:r>
      <w:r>
        <w:rPr>
          <w:color w:val="231F20"/>
        </w:rPr>
        <w:t>boarding.</w:t>
      </w:r>
      <w:r>
        <w:rPr>
          <w:color w:val="231F20"/>
          <w:spacing w:val="25"/>
          <w:w w:val="99"/>
        </w:rPr>
        <w:t> </w:t>
      </w:r>
      <w:r>
        <w:rPr>
          <w:color w:val="231F20"/>
          <w:spacing w:val="-1"/>
        </w:rPr>
        <w:t>Some</w:t>
      </w:r>
      <w:r>
        <w:rPr>
          <w:color w:val="231F20"/>
          <w:spacing w:val="-5"/>
        </w:rPr>
        <w:t> </w:t>
      </w:r>
      <w:r>
        <w:rPr>
          <w:color w:val="231F20"/>
        </w:rPr>
        <w:t>boarding</w:t>
      </w:r>
      <w:r>
        <w:rPr>
          <w:color w:val="231F20"/>
          <w:spacing w:val="-6"/>
        </w:rPr>
        <w:t> </w:t>
      </w:r>
      <w:r>
        <w:rPr>
          <w:color w:val="231F20"/>
        </w:rPr>
        <w:t>providers</w:t>
      </w:r>
      <w:r>
        <w:rPr>
          <w:color w:val="231F20"/>
          <w:spacing w:val="-6"/>
        </w:rPr>
        <w:t> </w:t>
      </w:r>
      <w:r>
        <w:rPr>
          <w:color w:val="231F20"/>
        </w:rPr>
        <w:t>have</w:t>
      </w:r>
      <w:r>
        <w:rPr>
          <w:color w:val="231F20"/>
          <w:spacing w:val="-6"/>
        </w:rPr>
        <w:t> </w:t>
      </w:r>
      <w:r>
        <w:rPr>
          <w:color w:val="231F20"/>
        </w:rPr>
        <w:t>adopted</w:t>
      </w:r>
      <w:r>
        <w:rPr>
          <w:color w:val="231F20"/>
          <w:spacing w:val="-6"/>
        </w:rPr>
        <w:t> </w:t>
      </w:r>
      <w:r>
        <w:rPr>
          <w:color w:val="231F20"/>
        </w:rPr>
        <w:t>a</w:t>
      </w:r>
      <w:r>
        <w:rPr>
          <w:color w:val="231F20"/>
          <w:spacing w:val="-4"/>
        </w:rPr>
        <w:t> </w:t>
      </w:r>
      <w:r>
        <w:rPr>
          <w:color w:val="231F20"/>
        </w:rPr>
        <w:t>policy</w:t>
      </w:r>
      <w:r>
        <w:rPr>
          <w:color w:val="231F20"/>
          <w:spacing w:val="21"/>
        </w:rPr>
        <w:t> </w:t>
      </w:r>
      <w:r>
        <w:rPr>
          <w:color w:val="231F20"/>
        </w:rPr>
        <w:t>of</w:t>
      </w:r>
      <w:r>
        <w:rPr>
          <w:color w:val="231F20"/>
          <w:spacing w:val="-5"/>
        </w:rPr>
        <w:t> </w:t>
      </w:r>
      <w:r>
        <w:rPr>
          <w:color w:val="231F20"/>
        </w:rPr>
        <w:t>ensuring</w:t>
      </w:r>
      <w:r>
        <w:rPr>
          <w:color w:val="231F20"/>
          <w:spacing w:val="-5"/>
        </w:rPr>
        <w:t> </w:t>
      </w:r>
      <w:r>
        <w:rPr>
          <w:color w:val="231F20"/>
        </w:rPr>
        <w:t>that</w:t>
      </w:r>
      <w:r>
        <w:rPr>
          <w:color w:val="231F20"/>
          <w:spacing w:val="-6"/>
        </w:rPr>
        <w:t> </w:t>
      </w:r>
      <w:r>
        <w:rPr>
          <w:color w:val="231F20"/>
        </w:rPr>
        <w:t>all</w:t>
      </w:r>
      <w:r>
        <w:rPr>
          <w:color w:val="231F20"/>
          <w:spacing w:val="-5"/>
        </w:rPr>
        <w:t> </w:t>
      </w:r>
      <w:r>
        <w:rPr>
          <w:color w:val="231F20"/>
        </w:rPr>
        <w:t>parents</w:t>
      </w:r>
      <w:r>
        <w:rPr>
          <w:color w:val="231F20"/>
          <w:spacing w:val="-6"/>
        </w:rPr>
        <w:t> </w:t>
      </w:r>
      <w:r>
        <w:rPr>
          <w:color w:val="231F20"/>
          <w:spacing w:val="-1"/>
        </w:rPr>
        <w:t>make</w:t>
      </w:r>
      <w:r>
        <w:rPr>
          <w:color w:val="231F20"/>
          <w:spacing w:val="-4"/>
        </w:rPr>
        <w:t> </w:t>
      </w:r>
      <w:r>
        <w:rPr>
          <w:color w:val="231F20"/>
        </w:rPr>
        <w:t>a</w:t>
      </w:r>
      <w:r>
        <w:rPr>
          <w:color w:val="231F20"/>
          <w:spacing w:val="-5"/>
        </w:rPr>
        <w:t> </w:t>
      </w:r>
      <w:r>
        <w:rPr>
          <w:color w:val="231F20"/>
        </w:rPr>
        <w:t>contribution</w:t>
      </w:r>
      <w:r>
        <w:rPr>
          <w:color w:val="231F20"/>
          <w:spacing w:val="21"/>
          <w:w w:val="99"/>
        </w:rPr>
        <w:t> </w:t>
      </w:r>
      <w:r>
        <w:rPr>
          <w:color w:val="231F20"/>
        </w:rPr>
        <w:t>to</w:t>
      </w:r>
      <w:r>
        <w:rPr>
          <w:color w:val="231F20"/>
          <w:spacing w:val="-6"/>
        </w:rPr>
        <w:t> </w:t>
      </w:r>
      <w:r>
        <w:rPr>
          <w:color w:val="231F20"/>
        </w:rPr>
        <w:t>boarding,</w:t>
      </w:r>
      <w:r>
        <w:rPr>
          <w:color w:val="231F20"/>
          <w:spacing w:val="-7"/>
        </w:rPr>
        <w:t> </w:t>
      </w:r>
      <w:r>
        <w:rPr>
          <w:color w:val="231F20"/>
        </w:rPr>
        <w:t>whether</w:t>
      </w:r>
      <w:r>
        <w:rPr>
          <w:color w:val="231F20"/>
          <w:spacing w:val="-6"/>
        </w:rPr>
        <w:t> </w:t>
      </w:r>
      <w:r>
        <w:rPr>
          <w:color w:val="231F20"/>
        </w:rPr>
        <w:t>as</w:t>
      </w:r>
      <w:r>
        <w:rPr>
          <w:color w:val="231F20"/>
          <w:spacing w:val="-7"/>
        </w:rPr>
        <w:t> </w:t>
      </w:r>
      <w:r>
        <w:rPr>
          <w:color w:val="231F20"/>
        </w:rPr>
        <w:t>a</w:t>
      </w:r>
      <w:r>
        <w:rPr>
          <w:color w:val="231F20"/>
          <w:spacing w:val="-5"/>
        </w:rPr>
        <w:t> </w:t>
      </w:r>
      <w:r>
        <w:rPr>
          <w:color w:val="231F20"/>
        </w:rPr>
        <w:t>payment</w:t>
      </w:r>
      <w:r>
        <w:rPr>
          <w:color w:val="231F20"/>
          <w:spacing w:val="-7"/>
        </w:rPr>
        <w:t> </w:t>
      </w:r>
      <w:r>
        <w:rPr>
          <w:color w:val="231F20"/>
        </w:rPr>
        <w:t>towards</w:t>
      </w:r>
      <w:r>
        <w:rPr>
          <w:color w:val="231F20"/>
          <w:w w:val="99"/>
        </w:rPr>
        <w:t> </w:t>
      </w:r>
      <w:r>
        <w:rPr>
          <w:color w:val="231F20"/>
        </w:rPr>
        <w:t>fees,</w:t>
      </w:r>
      <w:r>
        <w:rPr>
          <w:color w:val="231F20"/>
          <w:spacing w:val="-4"/>
        </w:rPr>
        <w:t> </w:t>
      </w:r>
      <w:r>
        <w:rPr>
          <w:color w:val="231F20"/>
        </w:rPr>
        <w:t>recreational</w:t>
      </w:r>
      <w:r>
        <w:rPr>
          <w:color w:val="231F20"/>
          <w:spacing w:val="-6"/>
        </w:rPr>
        <w:t> </w:t>
      </w:r>
      <w:r>
        <w:rPr>
          <w:color w:val="231F20"/>
        </w:rPr>
        <w:t>activities</w:t>
      </w:r>
      <w:r>
        <w:rPr>
          <w:color w:val="231F20"/>
          <w:spacing w:val="-4"/>
        </w:rPr>
        <w:t> </w:t>
      </w:r>
      <w:r>
        <w:rPr>
          <w:color w:val="231F20"/>
        </w:rPr>
        <w:t>or</w:t>
      </w:r>
      <w:r>
        <w:rPr>
          <w:color w:val="231F20"/>
          <w:spacing w:val="-4"/>
        </w:rPr>
        <w:t> </w:t>
      </w:r>
      <w:r>
        <w:rPr>
          <w:color w:val="231F20"/>
        </w:rPr>
        <w:t>pocket</w:t>
      </w:r>
      <w:r>
        <w:rPr>
          <w:color w:val="231F20"/>
          <w:spacing w:val="-5"/>
        </w:rPr>
        <w:t> </w:t>
      </w:r>
      <w:r>
        <w:rPr>
          <w:color w:val="231F20"/>
          <w:spacing w:val="-1"/>
        </w:rPr>
        <w:t>money</w:t>
      </w:r>
      <w:r>
        <w:rPr/>
      </w:r>
    </w:p>
    <w:p>
      <w:pPr>
        <w:pStyle w:val="BodyText"/>
        <w:spacing w:line="250" w:lineRule="exact"/>
        <w:ind w:left="140" w:right="131"/>
        <w:jc w:val="left"/>
      </w:pPr>
      <w:r>
        <w:rPr>
          <w:color w:val="231F20"/>
        </w:rPr>
        <w:t>for</w:t>
      </w:r>
      <w:r>
        <w:rPr>
          <w:color w:val="231F20"/>
          <w:spacing w:val="-5"/>
        </w:rPr>
        <w:t> </w:t>
      </w:r>
      <w:r>
        <w:rPr>
          <w:color w:val="231F20"/>
          <w:spacing w:val="-1"/>
        </w:rPr>
        <w:t>students.</w:t>
      </w:r>
      <w:r>
        <w:rPr>
          <w:color w:val="231F20"/>
          <w:spacing w:val="-3"/>
        </w:rPr>
        <w:t> </w:t>
      </w:r>
      <w:r>
        <w:rPr>
          <w:color w:val="231F20"/>
        </w:rPr>
        <w:t>This</w:t>
      </w:r>
      <w:r>
        <w:rPr>
          <w:color w:val="231F20"/>
          <w:spacing w:val="-5"/>
        </w:rPr>
        <w:t> </w:t>
      </w:r>
      <w:r>
        <w:rPr>
          <w:color w:val="231F20"/>
          <w:spacing w:val="-1"/>
        </w:rPr>
        <w:t>is</w:t>
      </w:r>
      <w:r>
        <w:rPr>
          <w:color w:val="231F20"/>
          <w:spacing w:val="-5"/>
        </w:rPr>
        <w:t> </w:t>
      </w:r>
      <w:r>
        <w:rPr>
          <w:color w:val="231F20"/>
        </w:rPr>
        <w:t>based</w:t>
      </w:r>
      <w:r>
        <w:rPr>
          <w:color w:val="231F20"/>
          <w:spacing w:val="-5"/>
        </w:rPr>
        <w:t> </w:t>
      </w:r>
      <w:r>
        <w:rPr>
          <w:color w:val="231F20"/>
        </w:rPr>
        <w:t>on</w:t>
      </w:r>
      <w:r>
        <w:rPr>
          <w:color w:val="231F20"/>
          <w:spacing w:val="-4"/>
        </w:rPr>
        <w:t> </w:t>
      </w:r>
      <w:r>
        <w:rPr>
          <w:color w:val="231F20"/>
        </w:rPr>
        <w:t>the</w:t>
      </w:r>
      <w:r>
        <w:rPr>
          <w:color w:val="231F20"/>
          <w:spacing w:val="-5"/>
        </w:rPr>
        <w:t> </w:t>
      </w:r>
      <w:r>
        <w:rPr>
          <w:color w:val="231F20"/>
        </w:rPr>
        <w:t>principle</w:t>
      </w:r>
      <w:r>
        <w:rPr>
          <w:color w:val="231F20"/>
          <w:spacing w:val="-4"/>
        </w:rPr>
        <w:t> </w:t>
      </w:r>
      <w:r>
        <w:rPr>
          <w:color w:val="231F20"/>
        </w:rPr>
        <w:t>that</w:t>
      </w:r>
      <w:r>
        <w:rPr>
          <w:color w:val="231F20"/>
          <w:spacing w:val="23"/>
          <w:w w:val="99"/>
        </w:rPr>
        <w:t> </w:t>
      </w:r>
      <w:r>
        <w:rPr>
          <w:color w:val="231F20"/>
        </w:rPr>
        <w:t>education</w:t>
      </w:r>
      <w:r>
        <w:rPr>
          <w:color w:val="231F20"/>
          <w:spacing w:val="-8"/>
        </w:rPr>
        <w:t> </w:t>
      </w:r>
      <w:r>
        <w:rPr>
          <w:color w:val="231F20"/>
          <w:spacing w:val="-1"/>
        </w:rPr>
        <w:t>is</w:t>
      </w:r>
      <w:r>
        <w:rPr>
          <w:color w:val="231F20"/>
          <w:spacing w:val="-7"/>
        </w:rPr>
        <w:t> </w:t>
      </w:r>
      <w:r>
        <w:rPr>
          <w:color w:val="231F20"/>
        </w:rPr>
        <w:t>a</w:t>
      </w:r>
      <w:r>
        <w:rPr>
          <w:color w:val="231F20"/>
          <w:spacing w:val="-6"/>
        </w:rPr>
        <w:t> </w:t>
      </w:r>
      <w:r>
        <w:rPr>
          <w:color w:val="231F20"/>
        </w:rPr>
        <w:t>partnership</w:t>
      </w:r>
      <w:r>
        <w:rPr>
          <w:color w:val="231F20"/>
          <w:spacing w:val="-7"/>
        </w:rPr>
        <w:t> </w:t>
      </w:r>
      <w:r>
        <w:rPr>
          <w:color w:val="231F20"/>
        </w:rPr>
        <w:t>between</w:t>
      </w:r>
      <w:r>
        <w:rPr>
          <w:color w:val="231F20"/>
          <w:spacing w:val="-8"/>
        </w:rPr>
        <w:t> </w:t>
      </w:r>
      <w:r>
        <w:rPr>
          <w:color w:val="231F20"/>
        </w:rPr>
        <w:t>the</w:t>
      </w:r>
      <w:r>
        <w:rPr>
          <w:color w:val="231F20"/>
          <w:spacing w:val="-7"/>
        </w:rPr>
        <w:t> </w:t>
      </w:r>
      <w:r>
        <w:rPr>
          <w:color w:val="231F20"/>
          <w:spacing w:val="-1"/>
        </w:rPr>
        <w:t>student,</w:t>
      </w:r>
      <w:r>
        <w:rPr>
          <w:color w:val="231F20"/>
          <w:spacing w:val="21"/>
          <w:w w:val="99"/>
        </w:rPr>
        <w:t> </w:t>
      </w:r>
      <w:r>
        <w:rPr>
          <w:color w:val="231F20"/>
        </w:rPr>
        <w:t>the</w:t>
      </w:r>
      <w:r>
        <w:rPr>
          <w:color w:val="231F20"/>
          <w:spacing w:val="-4"/>
        </w:rPr>
        <w:t> </w:t>
      </w:r>
      <w:r>
        <w:rPr>
          <w:color w:val="231F20"/>
          <w:spacing w:val="-1"/>
        </w:rPr>
        <w:t>school</w:t>
      </w:r>
      <w:r>
        <w:rPr>
          <w:color w:val="231F20"/>
          <w:spacing w:val="-2"/>
        </w:rPr>
        <w:t> </w:t>
      </w:r>
      <w:r>
        <w:rPr>
          <w:color w:val="231F20"/>
        </w:rPr>
        <w:t>and</w:t>
      </w:r>
      <w:r>
        <w:rPr>
          <w:color w:val="231F20"/>
          <w:spacing w:val="-4"/>
        </w:rPr>
        <w:t> </w:t>
      </w:r>
      <w:r>
        <w:rPr>
          <w:color w:val="231F20"/>
        </w:rPr>
        <w:t>the</w:t>
      </w:r>
      <w:r>
        <w:rPr>
          <w:color w:val="231F20"/>
          <w:spacing w:val="-3"/>
        </w:rPr>
        <w:t> </w:t>
      </w:r>
      <w:r>
        <w:rPr>
          <w:color w:val="231F20"/>
        </w:rPr>
        <w:t>family/community,</w:t>
      </w:r>
      <w:r>
        <w:rPr>
          <w:color w:val="231F20"/>
          <w:spacing w:val="-4"/>
        </w:rPr>
        <w:t> </w:t>
      </w:r>
      <w:r>
        <w:rPr>
          <w:color w:val="231F20"/>
        </w:rPr>
        <w:t>and</w:t>
      </w:r>
      <w:r>
        <w:rPr/>
      </w:r>
    </w:p>
    <w:p>
      <w:pPr>
        <w:pStyle w:val="BodyText"/>
        <w:spacing w:line="250" w:lineRule="exact"/>
        <w:ind w:left="140" w:right="295"/>
        <w:jc w:val="left"/>
      </w:pPr>
      <w:r>
        <w:rPr>
          <w:color w:val="231F20"/>
        </w:rPr>
        <w:t>that</w:t>
      </w:r>
      <w:r>
        <w:rPr>
          <w:color w:val="231F20"/>
          <w:spacing w:val="-6"/>
        </w:rPr>
        <w:t> </w:t>
      </w:r>
      <w:r>
        <w:rPr>
          <w:color w:val="231F20"/>
        </w:rPr>
        <w:t>even</w:t>
      </w:r>
      <w:r>
        <w:rPr>
          <w:color w:val="231F20"/>
          <w:spacing w:val="-5"/>
        </w:rPr>
        <w:t> </w:t>
      </w:r>
      <w:r>
        <w:rPr>
          <w:color w:val="231F20"/>
        </w:rPr>
        <w:t>a</w:t>
      </w:r>
      <w:r>
        <w:rPr>
          <w:color w:val="231F20"/>
          <w:spacing w:val="-5"/>
        </w:rPr>
        <w:t> </w:t>
      </w:r>
      <w:r>
        <w:rPr>
          <w:color w:val="231F20"/>
          <w:spacing w:val="-1"/>
        </w:rPr>
        <w:t>small</w:t>
      </w:r>
      <w:r>
        <w:rPr>
          <w:color w:val="231F20"/>
          <w:spacing w:val="-4"/>
        </w:rPr>
        <w:t> </w:t>
      </w:r>
      <w:r>
        <w:rPr>
          <w:color w:val="231F20"/>
        </w:rPr>
        <w:t>parental</w:t>
      </w:r>
      <w:r>
        <w:rPr>
          <w:color w:val="231F20"/>
          <w:spacing w:val="-6"/>
        </w:rPr>
        <w:t> </w:t>
      </w:r>
      <w:r>
        <w:rPr>
          <w:color w:val="231F20"/>
        </w:rPr>
        <w:t>contribution</w:t>
      </w:r>
      <w:r>
        <w:rPr>
          <w:color w:val="231F20"/>
          <w:spacing w:val="-5"/>
        </w:rPr>
        <w:t> </w:t>
      </w:r>
      <w:r>
        <w:rPr>
          <w:color w:val="231F20"/>
          <w:spacing w:val="-1"/>
        </w:rPr>
        <w:t>signals</w:t>
      </w:r>
      <w:r>
        <w:rPr>
          <w:color w:val="231F20"/>
          <w:spacing w:val="21"/>
        </w:rPr>
        <w:t> </w:t>
      </w:r>
      <w:r>
        <w:rPr>
          <w:color w:val="231F20"/>
        </w:rPr>
        <w:t>the</w:t>
      </w:r>
      <w:r>
        <w:rPr>
          <w:color w:val="231F20"/>
          <w:spacing w:val="-5"/>
        </w:rPr>
        <w:t> </w:t>
      </w:r>
      <w:r>
        <w:rPr>
          <w:color w:val="231F20"/>
        </w:rPr>
        <w:t>family’s</w:t>
      </w:r>
      <w:r>
        <w:rPr>
          <w:color w:val="231F20"/>
          <w:spacing w:val="-4"/>
        </w:rPr>
        <w:t> </w:t>
      </w:r>
      <w:r>
        <w:rPr>
          <w:color w:val="231F20"/>
        </w:rPr>
        <w:t>commitment</w:t>
      </w:r>
      <w:r>
        <w:rPr>
          <w:color w:val="231F20"/>
          <w:spacing w:val="-4"/>
        </w:rPr>
        <w:t> </w:t>
      </w:r>
      <w:r>
        <w:rPr>
          <w:color w:val="231F20"/>
        </w:rPr>
        <w:t>to</w:t>
      </w:r>
      <w:r>
        <w:rPr>
          <w:color w:val="231F20"/>
          <w:spacing w:val="-3"/>
        </w:rPr>
        <w:t> </w:t>
      </w:r>
      <w:r>
        <w:rPr>
          <w:color w:val="231F20"/>
        </w:rPr>
        <w:t>boarding</w:t>
      </w:r>
      <w:r>
        <w:rPr>
          <w:color w:val="231F20"/>
          <w:spacing w:val="-5"/>
        </w:rPr>
        <w:t> </w:t>
      </w:r>
      <w:r>
        <w:rPr>
          <w:color w:val="231F20"/>
        </w:rPr>
        <w:t>and</w:t>
      </w:r>
      <w:r>
        <w:rPr>
          <w:color w:val="231F20"/>
          <w:w w:val="99"/>
        </w:rPr>
        <w:t> </w:t>
      </w:r>
      <w:r>
        <w:rPr>
          <w:color w:val="231F20"/>
        </w:rPr>
        <w:t>education.</w:t>
      </w:r>
      <w:r>
        <w:rPr/>
      </w:r>
    </w:p>
    <w:p>
      <w:pPr>
        <w:pStyle w:val="BodyText"/>
        <w:spacing w:line="250" w:lineRule="exact" w:before="113"/>
        <w:ind w:left="140" w:right="131"/>
        <w:jc w:val="left"/>
      </w:pPr>
      <w:r>
        <w:rPr>
          <w:color w:val="231F20"/>
          <w:spacing w:val="-1"/>
        </w:rPr>
        <w:t>Centrepay</w:t>
      </w:r>
      <w:r>
        <w:rPr>
          <w:color w:val="231F20"/>
          <w:spacing w:val="-3"/>
        </w:rPr>
        <w:t> </w:t>
      </w:r>
      <w:r>
        <w:rPr>
          <w:color w:val="231F20"/>
          <w:spacing w:val="-1"/>
        </w:rPr>
        <w:t>is</w:t>
      </w:r>
      <w:r>
        <w:rPr>
          <w:color w:val="231F20"/>
          <w:spacing w:val="-3"/>
        </w:rPr>
        <w:t> </w:t>
      </w:r>
      <w:r>
        <w:rPr>
          <w:color w:val="231F20"/>
        </w:rPr>
        <w:t>a</w:t>
      </w:r>
      <w:r>
        <w:rPr>
          <w:color w:val="231F20"/>
          <w:spacing w:val="-2"/>
        </w:rPr>
        <w:t> </w:t>
      </w:r>
      <w:r>
        <w:rPr>
          <w:color w:val="231F20"/>
        </w:rPr>
        <w:t>common</w:t>
      </w:r>
      <w:r>
        <w:rPr>
          <w:color w:val="231F20"/>
          <w:spacing w:val="-3"/>
        </w:rPr>
        <w:t> </w:t>
      </w:r>
      <w:r>
        <w:rPr>
          <w:color w:val="231F20"/>
          <w:spacing w:val="-1"/>
        </w:rPr>
        <w:t>mechanism</w:t>
      </w:r>
      <w:r>
        <w:rPr>
          <w:color w:val="231F20"/>
          <w:spacing w:val="-2"/>
        </w:rPr>
        <w:t> </w:t>
      </w:r>
      <w:r>
        <w:rPr>
          <w:color w:val="231F20"/>
        </w:rPr>
        <w:t>used</w:t>
      </w:r>
      <w:r>
        <w:rPr>
          <w:color w:val="231F20"/>
          <w:spacing w:val="-3"/>
        </w:rPr>
        <w:t> </w:t>
      </w:r>
      <w:r>
        <w:rPr>
          <w:color w:val="231F20"/>
        </w:rPr>
        <w:t>by</w:t>
      </w:r>
      <w:r>
        <w:rPr>
          <w:color w:val="231F20"/>
          <w:spacing w:val="24"/>
          <w:w w:val="99"/>
        </w:rPr>
        <w:t> </w:t>
      </w:r>
      <w:r>
        <w:rPr>
          <w:color w:val="231F20"/>
        </w:rPr>
        <w:t>boarding</w:t>
      </w:r>
      <w:r>
        <w:rPr>
          <w:color w:val="231F20"/>
          <w:spacing w:val="-8"/>
        </w:rPr>
        <w:t> </w:t>
      </w:r>
      <w:r>
        <w:rPr>
          <w:color w:val="231F20"/>
        </w:rPr>
        <w:t>providers</w:t>
      </w:r>
      <w:r>
        <w:rPr>
          <w:color w:val="231F20"/>
          <w:spacing w:val="-7"/>
        </w:rPr>
        <w:t> </w:t>
      </w:r>
      <w:r>
        <w:rPr>
          <w:color w:val="231F20"/>
        </w:rPr>
        <w:t>and</w:t>
      </w:r>
      <w:r>
        <w:rPr>
          <w:color w:val="231F20"/>
          <w:spacing w:val="-7"/>
        </w:rPr>
        <w:t> </w:t>
      </w:r>
      <w:r>
        <w:rPr>
          <w:color w:val="231F20"/>
        </w:rPr>
        <w:t>parents</w:t>
      </w:r>
      <w:r>
        <w:rPr>
          <w:color w:val="231F20"/>
          <w:spacing w:val="-7"/>
        </w:rPr>
        <w:t> </w:t>
      </w:r>
      <w:r>
        <w:rPr>
          <w:color w:val="231F20"/>
        </w:rPr>
        <w:t>and</w:t>
      </w:r>
      <w:r>
        <w:rPr>
          <w:color w:val="231F20"/>
          <w:spacing w:val="-7"/>
        </w:rPr>
        <w:t> </w:t>
      </w:r>
      <w:r>
        <w:rPr>
          <w:color w:val="231F20"/>
        </w:rPr>
        <w:t>carers</w:t>
      </w:r>
      <w:r>
        <w:rPr>
          <w:color w:val="231F20"/>
          <w:spacing w:val="-7"/>
        </w:rPr>
        <w:t> </w:t>
      </w:r>
      <w:r>
        <w:rPr>
          <w:color w:val="231F20"/>
        </w:rPr>
        <w:t>to</w:t>
      </w:r>
      <w:r>
        <w:rPr>
          <w:color w:val="231F20"/>
          <w:w w:val="99"/>
        </w:rPr>
        <w:t> </w:t>
      </w:r>
      <w:r>
        <w:rPr>
          <w:color w:val="231F20"/>
        </w:rPr>
        <w:t>facilitate</w:t>
      </w:r>
      <w:r>
        <w:rPr>
          <w:color w:val="231F20"/>
          <w:spacing w:val="-10"/>
        </w:rPr>
        <w:t> </w:t>
      </w:r>
      <w:r>
        <w:rPr>
          <w:color w:val="231F20"/>
        </w:rPr>
        <w:t>parental</w:t>
      </w:r>
      <w:r>
        <w:rPr>
          <w:color w:val="231F20"/>
          <w:spacing w:val="-10"/>
        </w:rPr>
        <w:t> </w:t>
      </w:r>
      <w:r>
        <w:rPr>
          <w:color w:val="231F20"/>
        </w:rPr>
        <w:t>contributions</w:t>
      </w:r>
      <w:r>
        <w:rPr>
          <w:color w:val="231F20"/>
          <w:spacing w:val="-11"/>
        </w:rPr>
        <w:t> </w:t>
      </w:r>
      <w:r>
        <w:rPr>
          <w:color w:val="231F20"/>
        </w:rPr>
        <w:t>towards</w:t>
      </w:r>
      <w:r>
        <w:rPr>
          <w:color w:val="231F20"/>
          <w:spacing w:val="-10"/>
        </w:rPr>
        <w:t> </w:t>
      </w:r>
      <w:r>
        <w:rPr>
          <w:color w:val="231F20"/>
        </w:rPr>
        <w:t>their</w:t>
      </w:r>
      <w:r>
        <w:rPr>
          <w:color w:val="231F20"/>
          <w:w w:val="99"/>
        </w:rPr>
        <w:t> </w:t>
      </w:r>
      <w:r>
        <w:rPr>
          <w:color w:val="231F20"/>
        </w:rPr>
        <w:t>child's</w:t>
      </w:r>
      <w:r>
        <w:rPr>
          <w:color w:val="231F20"/>
          <w:spacing w:val="-8"/>
        </w:rPr>
        <w:t> </w:t>
      </w:r>
      <w:r>
        <w:rPr>
          <w:color w:val="231F20"/>
        </w:rPr>
        <w:t>boarding</w:t>
      </w:r>
      <w:r>
        <w:rPr>
          <w:color w:val="231F20"/>
          <w:spacing w:val="-8"/>
        </w:rPr>
        <w:t> </w:t>
      </w:r>
      <w:r>
        <w:rPr>
          <w:color w:val="231F20"/>
        </w:rPr>
        <w:t>and</w:t>
      </w:r>
      <w:r>
        <w:rPr>
          <w:color w:val="231F20"/>
          <w:spacing w:val="-8"/>
        </w:rPr>
        <w:t> </w:t>
      </w:r>
      <w:r>
        <w:rPr>
          <w:color w:val="231F20"/>
          <w:spacing w:val="-1"/>
        </w:rPr>
        <w:t>schooling.</w:t>
      </w:r>
      <w:r>
        <w:rPr/>
      </w:r>
    </w:p>
    <w:p>
      <w:pPr>
        <w:pStyle w:val="BodyText"/>
        <w:spacing w:line="250" w:lineRule="exact" w:before="113"/>
        <w:ind w:left="140" w:right="231"/>
        <w:jc w:val="left"/>
        <w:rPr>
          <w:rFonts w:ascii="Segoe UI" w:hAnsi="Segoe UI" w:cs="Segoe UI" w:eastAsia="Segoe UI"/>
        </w:rPr>
      </w:pPr>
      <w:r>
        <w:rPr>
          <w:color w:val="231F20"/>
        </w:rPr>
        <w:t>However,</w:t>
      </w:r>
      <w:r>
        <w:rPr>
          <w:color w:val="231F20"/>
          <w:spacing w:val="-8"/>
        </w:rPr>
        <w:t> </w:t>
      </w:r>
      <w:r>
        <w:rPr>
          <w:color w:val="231F20"/>
        </w:rPr>
        <w:t>the</w:t>
      </w:r>
      <w:r>
        <w:rPr>
          <w:color w:val="231F20"/>
          <w:spacing w:val="-8"/>
        </w:rPr>
        <w:t> </w:t>
      </w:r>
      <w:r>
        <w:rPr>
          <w:color w:val="231F20"/>
          <w:spacing w:val="-1"/>
        </w:rPr>
        <w:t>majority</w:t>
      </w:r>
      <w:r>
        <w:rPr>
          <w:color w:val="231F20"/>
          <w:spacing w:val="-7"/>
        </w:rPr>
        <w:t> </w:t>
      </w:r>
      <w:r>
        <w:rPr>
          <w:color w:val="231F20"/>
        </w:rPr>
        <w:t>of</w:t>
      </w:r>
      <w:r>
        <w:rPr>
          <w:color w:val="231F20"/>
          <w:spacing w:val="-8"/>
        </w:rPr>
        <w:t> </w:t>
      </w:r>
      <w:r>
        <w:rPr>
          <w:color w:val="231F20"/>
        </w:rPr>
        <w:t>boarding</w:t>
      </w:r>
      <w:r>
        <w:rPr>
          <w:color w:val="231F20"/>
          <w:spacing w:val="-8"/>
        </w:rPr>
        <w:t> </w:t>
      </w:r>
      <w:r>
        <w:rPr>
          <w:color w:val="231F20"/>
        </w:rPr>
        <w:t>providers</w:t>
      </w:r>
      <w:r>
        <w:rPr>
          <w:color w:val="231F20"/>
          <w:spacing w:val="22"/>
          <w:w w:val="99"/>
        </w:rPr>
        <w:t> </w:t>
      </w:r>
      <w:r>
        <w:rPr>
          <w:color w:val="231F20"/>
        </w:rPr>
        <w:t>that</w:t>
      </w:r>
      <w:r>
        <w:rPr>
          <w:color w:val="231F20"/>
          <w:spacing w:val="-9"/>
        </w:rPr>
        <w:t> </w:t>
      </w:r>
      <w:r>
        <w:rPr>
          <w:color w:val="231F20"/>
        </w:rPr>
        <w:t>have</w:t>
      </w:r>
      <w:r>
        <w:rPr>
          <w:color w:val="231F20"/>
          <w:spacing w:val="-8"/>
        </w:rPr>
        <w:t> </w:t>
      </w:r>
      <w:r>
        <w:rPr>
          <w:color w:val="231F20"/>
        </w:rPr>
        <w:t>high</w:t>
      </w:r>
      <w:r>
        <w:rPr>
          <w:color w:val="231F20"/>
          <w:spacing w:val="-8"/>
        </w:rPr>
        <w:t> </w:t>
      </w:r>
      <w:r>
        <w:rPr>
          <w:color w:val="231F20"/>
        </w:rPr>
        <w:t>concentrations</w:t>
      </w:r>
      <w:r>
        <w:rPr>
          <w:color w:val="231F20"/>
          <w:spacing w:val="-8"/>
        </w:rPr>
        <w:t> </w:t>
      </w:r>
      <w:r>
        <w:rPr>
          <w:color w:val="231F20"/>
        </w:rPr>
        <w:t>of</w:t>
      </w:r>
      <w:r>
        <w:rPr>
          <w:color w:val="231F20"/>
          <w:spacing w:val="-7"/>
        </w:rPr>
        <w:t> </w:t>
      </w:r>
      <w:r>
        <w:rPr>
          <w:color w:val="231F20"/>
        </w:rPr>
        <w:t>Aboriginal</w:t>
      </w:r>
      <w:r>
        <w:rPr>
          <w:color w:val="231F20"/>
          <w:w w:val="99"/>
        </w:rPr>
        <w:t> </w:t>
      </w:r>
      <w:r>
        <w:rPr>
          <w:color w:val="231F20"/>
        </w:rPr>
        <w:t>and</w:t>
      </w:r>
      <w:r>
        <w:rPr>
          <w:color w:val="231F20"/>
          <w:spacing w:val="-5"/>
        </w:rPr>
        <w:t> 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4"/>
        </w:rPr>
        <w:t> </w:t>
      </w:r>
      <w:r>
        <w:rPr>
          <w:color w:val="231F20"/>
          <w:spacing w:val="-1"/>
        </w:rPr>
        <w:t>students</w:t>
      </w:r>
      <w:r>
        <w:rPr>
          <w:color w:val="231F20"/>
          <w:spacing w:val="-4"/>
        </w:rPr>
        <w:t> </w:t>
      </w:r>
      <w:r>
        <w:rPr>
          <w:color w:val="231F20"/>
        </w:rPr>
        <w:t>from</w:t>
      </w:r>
      <w:r>
        <w:rPr>
          <w:color w:val="231F20"/>
          <w:spacing w:val="-4"/>
        </w:rPr>
        <w:t> </w:t>
      </w:r>
      <w:r>
        <w:rPr>
          <w:color w:val="231F20"/>
        </w:rPr>
        <w:t>remote</w:t>
      </w:r>
      <w:r>
        <w:rPr>
          <w:color w:val="231F20"/>
          <w:spacing w:val="23"/>
          <w:w w:val="99"/>
        </w:rPr>
        <w:t> </w:t>
      </w:r>
      <w:r>
        <w:rPr>
          <w:color w:val="231F20"/>
        </w:rPr>
        <w:t>and</w:t>
      </w:r>
      <w:r>
        <w:rPr>
          <w:color w:val="231F20"/>
          <w:spacing w:val="-6"/>
        </w:rPr>
        <w:t> </w:t>
      </w:r>
      <w:r>
        <w:rPr>
          <w:color w:val="231F20"/>
        </w:rPr>
        <w:t>very</w:t>
      </w:r>
      <w:r>
        <w:rPr>
          <w:color w:val="231F20"/>
          <w:spacing w:val="-4"/>
        </w:rPr>
        <w:t> </w:t>
      </w:r>
      <w:r>
        <w:rPr>
          <w:color w:val="231F20"/>
        </w:rPr>
        <w:t>remote</w:t>
      </w:r>
      <w:r>
        <w:rPr>
          <w:color w:val="231F20"/>
          <w:spacing w:val="-5"/>
        </w:rPr>
        <w:t> </w:t>
      </w:r>
      <w:r>
        <w:rPr>
          <w:color w:val="231F20"/>
        </w:rPr>
        <w:t>areas</w:t>
      </w:r>
      <w:r>
        <w:rPr>
          <w:color w:val="231F20"/>
          <w:spacing w:val="-6"/>
        </w:rPr>
        <w:t> </w:t>
      </w:r>
      <w:r>
        <w:rPr>
          <w:color w:val="231F20"/>
        </w:rPr>
        <w:t>have</w:t>
      </w:r>
      <w:r>
        <w:rPr>
          <w:color w:val="231F20"/>
          <w:spacing w:val="-5"/>
        </w:rPr>
        <w:t> </w:t>
      </w:r>
      <w:r>
        <w:rPr>
          <w:color w:val="231F20"/>
        </w:rPr>
        <w:t>policies</w:t>
      </w:r>
      <w:r>
        <w:rPr>
          <w:color w:val="231F20"/>
          <w:spacing w:val="-5"/>
        </w:rPr>
        <w:t> </w:t>
      </w:r>
      <w:r>
        <w:rPr>
          <w:color w:val="231F20"/>
        </w:rPr>
        <w:t>of</w:t>
      </w:r>
      <w:r>
        <w:rPr>
          <w:color w:val="231F20"/>
          <w:spacing w:val="-5"/>
        </w:rPr>
        <w:t> </w:t>
      </w:r>
      <w:r>
        <w:rPr>
          <w:color w:val="231F20"/>
        </w:rPr>
        <w:t>writing</w:t>
      </w:r>
      <w:r>
        <w:rPr>
          <w:color w:val="231F20"/>
          <w:w w:val="99"/>
        </w:rPr>
        <w:t> </w:t>
      </w:r>
      <w:r>
        <w:rPr>
          <w:rFonts w:ascii="Segoe UI"/>
          <w:color w:val="231F20"/>
        </w:rPr>
        <w:t>off</w:t>
      </w:r>
      <w:r>
        <w:rPr>
          <w:rFonts w:ascii="Segoe UI"/>
          <w:color w:val="231F20"/>
          <w:spacing w:val="-1"/>
        </w:rPr>
        <w:t> </w:t>
      </w:r>
      <w:r>
        <w:rPr>
          <w:rFonts w:ascii="Segoe UI"/>
          <w:color w:val="231F20"/>
        </w:rPr>
        <w:t>fees that are</w:t>
      </w:r>
      <w:r>
        <w:rPr>
          <w:rFonts w:ascii="Segoe UI"/>
          <w:color w:val="231F20"/>
          <w:spacing w:val="-1"/>
        </w:rPr>
        <w:t> </w:t>
      </w:r>
      <w:r>
        <w:rPr>
          <w:rFonts w:ascii="Segoe UI"/>
          <w:color w:val="231F20"/>
        </w:rPr>
        <w:t>not funded by</w:t>
      </w:r>
      <w:r>
        <w:rPr>
          <w:rFonts w:ascii="Segoe UI"/>
          <w:color w:val="231F20"/>
          <w:spacing w:val="-1"/>
        </w:rPr>
        <w:t> </w:t>
      </w:r>
      <w:r>
        <w:rPr>
          <w:rFonts w:ascii="Segoe UI"/>
          <w:color w:val="231F20"/>
        </w:rPr>
        <w:t>ABSTUDY. They</w:t>
      </w:r>
      <w:r>
        <w:rPr>
          <w:rFonts w:ascii="Segoe UI"/>
          <w:color w:val="231F20"/>
        </w:rPr>
        <w:t> </w:t>
      </w:r>
      <w:r>
        <w:rPr>
          <w:color w:val="231F20"/>
        </w:rPr>
        <w:t>do</w:t>
      </w:r>
      <w:r>
        <w:rPr>
          <w:color w:val="231F20"/>
          <w:spacing w:val="-5"/>
        </w:rPr>
        <w:t> </w:t>
      </w:r>
      <w:r>
        <w:rPr>
          <w:color w:val="231F20"/>
          <w:spacing w:val="-1"/>
        </w:rPr>
        <w:t>so</w:t>
      </w:r>
      <w:r>
        <w:rPr>
          <w:color w:val="231F20"/>
          <w:spacing w:val="-5"/>
        </w:rPr>
        <w:t> </w:t>
      </w:r>
      <w:r>
        <w:rPr>
          <w:color w:val="231F20"/>
        </w:rPr>
        <w:t>because</w:t>
      </w:r>
      <w:r>
        <w:rPr>
          <w:color w:val="231F20"/>
          <w:spacing w:val="-5"/>
        </w:rPr>
        <w:t> </w:t>
      </w:r>
      <w:r>
        <w:rPr>
          <w:color w:val="231F20"/>
        </w:rPr>
        <w:t>the</w:t>
      </w:r>
      <w:r>
        <w:rPr>
          <w:color w:val="231F20"/>
          <w:spacing w:val="-6"/>
        </w:rPr>
        <w:t> </w:t>
      </w:r>
      <w:r>
        <w:rPr>
          <w:color w:val="231F20"/>
        </w:rPr>
        <w:t>parents</w:t>
      </w:r>
      <w:r>
        <w:rPr>
          <w:color w:val="231F20"/>
          <w:spacing w:val="-5"/>
        </w:rPr>
        <w:t> </w:t>
      </w:r>
      <w:r>
        <w:rPr>
          <w:color w:val="231F20"/>
        </w:rPr>
        <w:t>and</w:t>
      </w:r>
      <w:r>
        <w:rPr>
          <w:color w:val="231F20"/>
          <w:spacing w:val="-6"/>
        </w:rPr>
        <w:t> </w:t>
      </w:r>
      <w:r>
        <w:rPr>
          <w:color w:val="231F20"/>
        </w:rPr>
        <w:t>carers</w:t>
      </w:r>
      <w:r>
        <w:rPr>
          <w:color w:val="231F20"/>
          <w:spacing w:val="-5"/>
        </w:rPr>
        <w:t> </w:t>
      </w:r>
      <w:r>
        <w:rPr>
          <w:color w:val="231F20"/>
        </w:rPr>
        <w:t>have</w:t>
      </w:r>
      <w:r>
        <w:rPr>
          <w:color w:val="231F20"/>
          <w:spacing w:val="21"/>
          <w:w w:val="99"/>
        </w:rPr>
        <w:t> </w:t>
      </w:r>
      <w:r>
        <w:rPr>
          <w:color w:val="231F20"/>
        </w:rPr>
        <w:t>almost</w:t>
      </w:r>
      <w:r>
        <w:rPr>
          <w:color w:val="231F20"/>
          <w:spacing w:val="-5"/>
        </w:rPr>
        <w:t> </w:t>
      </w:r>
      <w:r>
        <w:rPr>
          <w:color w:val="231F20"/>
        </w:rPr>
        <w:t>no</w:t>
      </w:r>
      <w:r>
        <w:rPr>
          <w:color w:val="231F20"/>
          <w:spacing w:val="-3"/>
        </w:rPr>
        <w:t> </w:t>
      </w:r>
      <w:r>
        <w:rPr>
          <w:color w:val="231F20"/>
        </w:rPr>
        <w:t>or</w:t>
      </w:r>
      <w:r>
        <w:rPr>
          <w:color w:val="231F20"/>
          <w:spacing w:val="-4"/>
        </w:rPr>
        <w:t> </w:t>
      </w:r>
      <w:r>
        <w:rPr>
          <w:color w:val="231F20"/>
          <w:spacing w:val="-1"/>
        </w:rPr>
        <w:t>little</w:t>
      </w:r>
      <w:r>
        <w:rPr>
          <w:color w:val="231F20"/>
          <w:spacing w:val="-3"/>
        </w:rPr>
        <w:t> </w:t>
      </w:r>
      <w:r>
        <w:rPr>
          <w:color w:val="231F20"/>
        </w:rPr>
        <w:t>capacity</w:t>
      </w:r>
      <w:r>
        <w:rPr>
          <w:color w:val="231F20"/>
          <w:spacing w:val="-5"/>
        </w:rPr>
        <w:t> </w:t>
      </w:r>
      <w:r>
        <w:rPr>
          <w:color w:val="231F20"/>
        </w:rPr>
        <w:t>to</w:t>
      </w:r>
      <w:r>
        <w:rPr>
          <w:color w:val="231F20"/>
          <w:spacing w:val="-3"/>
        </w:rPr>
        <w:t> </w:t>
      </w:r>
      <w:r>
        <w:rPr>
          <w:color w:val="231F20"/>
        </w:rPr>
        <w:t>pay</w:t>
      </w:r>
      <w:r>
        <w:rPr>
          <w:color w:val="231F20"/>
          <w:spacing w:val="-3"/>
        </w:rPr>
        <w:t> </w:t>
      </w:r>
      <w:r>
        <w:rPr>
          <w:color w:val="231F20"/>
        </w:rPr>
        <w:t>or</w:t>
      </w:r>
      <w:r>
        <w:rPr>
          <w:color w:val="231F20"/>
          <w:spacing w:val="-4"/>
        </w:rPr>
        <w:t> </w:t>
      </w:r>
      <w:r>
        <w:rPr>
          <w:color w:val="231F20"/>
        </w:rPr>
        <w:t>contribute</w:t>
      </w:r>
      <w:r>
        <w:rPr>
          <w:color w:val="231F20"/>
          <w:spacing w:val="21"/>
          <w:w w:val="99"/>
        </w:rPr>
        <w:t> </w:t>
      </w:r>
      <w:r>
        <w:rPr>
          <w:color w:val="231F20"/>
        </w:rPr>
        <w:t>to</w:t>
      </w:r>
      <w:r>
        <w:rPr>
          <w:color w:val="231F20"/>
          <w:spacing w:val="-4"/>
        </w:rPr>
        <w:t> </w:t>
      </w:r>
      <w:r>
        <w:rPr>
          <w:color w:val="231F20"/>
        </w:rPr>
        <w:t>boarding</w:t>
      </w:r>
      <w:r>
        <w:rPr>
          <w:color w:val="231F20"/>
          <w:spacing w:val="-5"/>
        </w:rPr>
        <w:t> </w:t>
      </w:r>
      <w:r>
        <w:rPr>
          <w:color w:val="231F20"/>
        </w:rPr>
        <w:t>fees</w:t>
      </w:r>
      <w:r>
        <w:rPr>
          <w:color w:val="231F20"/>
          <w:spacing w:val="-5"/>
        </w:rPr>
        <w:t> </w:t>
      </w:r>
      <w:r>
        <w:rPr>
          <w:color w:val="231F20"/>
        </w:rPr>
        <w:t>and</w:t>
      </w:r>
      <w:r>
        <w:rPr>
          <w:color w:val="231F20"/>
          <w:spacing w:val="-4"/>
        </w:rPr>
        <w:t> </w:t>
      </w:r>
      <w:r>
        <w:rPr>
          <w:color w:val="231F20"/>
        </w:rPr>
        <w:t>the</w:t>
      </w:r>
      <w:r>
        <w:rPr>
          <w:color w:val="231F20"/>
          <w:spacing w:val="-5"/>
        </w:rPr>
        <w:t> </w:t>
      </w:r>
      <w:r>
        <w:rPr>
          <w:color w:val="231F20"/>
        </w:rPr>
        <w:t>cost</w:t>
      </w:r>
      <w:r>
        <w:rPr>
          <w:color w:val="231F20"/>
          <w:spacing w:val="-5"/>
        </w:rPr>
        <w:t> </w:t>
      </w:r>
      <w:r>
        <w:rPr>
          <w:color w:val="231F20"/>
        </w:rPr>
        <w:t>of</w:t>
      </w:r>
      <w:r>
        <w:rPr>
          <w:color w:val="231F20"/>
          <w:spacing w:val="-3"/>
        </w:rPr>
        <w:t> </w:t>
      </w:r>
      <w:r>
        <w:rPr>
          <w:color w:val="231F20"/>
        </w:rPr>
        <w:t>debt</w:t>
      </w:r>
      <w:r>
        <w:rPr>
          <w:color w:val="231F20"/>
          <w:spacing w:val="-5"/>
        </w:rPr>
        <w:t> </w:t>
      </w:r>
      <w:r>
        <w:rPr>
          <w:color w:val="231F20"/>
        </w:rPr>
        <w:t>recovery</w:t>
      </w:r>
      <w:r>
        <w:rPr>
          <w:color w:val="231F20"/>
          <w:w w:val="99"/>
        </w:rPr>
        <w:t> </w:t>
      </w:r>
      <w:r>
        <w:rPr>
          <w:color w:val="231F20"/>
          <w:spacing w:val="-1"/>
        </w:rPr>
        <w:t>in</w:t>
      </w:r>
      <w:r>
        <w:rPr>
          <w:color w:val="231F20"/>
          <w:spacing w:val="-4"/>
        </w:rPr>
        <w:t> </w:t>
      </w:r>
      <w:r>
        <w:rPr>
          <w:color w:val="231F20"/>
        </w:rPr>
        <w:t>remote</w:t>
      </w:r>
      <w:r>
        <w:rPr>
          <w:color w:val="231F20"/>
          <w:spacing w:val="-4"/>
        </w:rPr>
        <w:t> </w:t>
      </w:r>
      <w:r>
        <w:rPr>
          <w:color w:val="231F20"/>
        </w:rPr>
        <w:t>and</w:t>
      </w:r>
      <w:r>
        <w:rPr>
          <w:color w:val="231F20"/>
          <w:spacing w:val="-5"/>
        </w:rPr>
        <w:t> </w:t>
      </w:r>
      <w:r>
        <w:rPr>
          <w:color w:val="231F20"/>
        </w:rPr>
        <w:t>very</w:t>
      </w:r>
      <w:r>
        <w:rPr>
          <w:color w:val="231F20"/>
          <w:spacing w:val="-3"/>
        </w:rPr>
        <w:t> </w:t>
      </w:r>
      <w:r>
        <w:rPr>
          <w:color w:val="231F20"/>
        </w:rPr>
        <w:t>remote</w:t>
      </w:r>
      <w:r>
        <w:rPr>
          <w:color w:val="231F20"/>
          <w:spacing w:val="-5"/>
        </w:rPr>
        <w:t> </w:t>
      </w:r>
      <w:r>
        <w:rPr>
          <w:color w:val="231F20"/>
        </w:rPr>
        <w:t>areas</w:t>
      </w:r>
      <w:r>
        <w:rPr>
          <w:color w:val="231F20"/>
          <w:spacing w:val="-4"/>
        </w:rPr>
        <w:t> </w:t>
      </w:r>
      <w:r>
        <w:rPr>
          <w:color w:val="231F20"/>
          <w:spacing w:val="-1"/>
        </w:rPr>
        <w:t>is</w:t>
      </w:r>
      <w:r>
        <w:rPr>
          <w:color w:val="231F20"/>
          <w:spacing w:val="-4"/>
        </w:rPr>
        <w:t> </w:t>
      </w:r>
      <w:r>
        <w:rPr>
          <w:color w:val="231F20"/>
        </w:rPr>
        <w:t>not</w:t>
      </w:r>
      <w:r>
        <w:rPr>
          <w:color w:val="231F20"/>
          <w:spacing w:val="-4"/>
        </w:rPr>
        <w:t> </w:t>
      </w:r>
      <w:r>
        <w:rPr>
          <w:color w:val="231F20"/>
        </w:rPr>
        <w:t>cost</w:t>
      </w:r>
      <w:r>
        <w:rPr>
          <w:color w:val="231F20"/>
          <w:spacing w:val="22"/>
        </w:rPr>
        <w:t> </w:t>
      </w:r>
      <w:r>
        <w:rPr>
          <w:rFonts w:ascii="Segoe UI"/>
          <w:color w:val="231F20"/>
        </w:rPr>
        <w:t>effective.</w:t>
      </w:r>
      <w:r>
        <w:rPr>
          <w:rFonts w:ascii="Segoe UI"/>
        </w:rPr>
      </w:r>
    </w:p>
    <w:p>
      <w:pPr>
        <w:pStyle w:val="BodyText"/>
        <w:spacing w:line="250" w:lineRule="exact" w:before="113"/>
        <w:ind w:left="140" w:right="337"/>
        <w:jc w:val="left"/>
      </w:pPr>
      <w:r>
        <w:rPr>
          <w:color w:val="231F20"/>
        </w:rPr>
        <w:t>Grant</w:t>
      </w:r>
      <w:r>
        <w:rPr>
          <w:color w:val="231F20"/>
          <w:spacing w:val="-6"/>
        </w:rPr>
        <w:t> </w:t>
      </w:r>
      <w:r>
        <w:rPr>
          <w:color w:val="231F20"/>
        </w:rPr>
        <w:t>Thornton</w:t>
      </w:r>
      <w:r>
        <w:rPr>
          <w:color w:val="231F20"/>
          <w:spacing w:val="-6"/>
        </w:rPr>
        <w:t> </w:t>
      </w:r>
      <w:r>
        <w:rPr>
          <w:color w:val="231F20"/>
        </w:rPr>
        <w:t>consistently</w:t>
      </w:r>
      <w:r>
        <w:rPr>
          <w:color w:val="231F20"/>
          <w:spacing w:val="-6"/>
        </w:rPr>
        <w:t> </w:t>
      </w:r>
      <w:r>
        <w:rPr>
          <w:color w:val="231F20"/>
        </w:rPr>
        <w:t>heard</w:t>
      </w:r>
      <w:r>
        <w:rPr>
          <w:color w:val="231F20"/>
          <w:spacing w:val="-6"/>
        </w:rPr>
        <w:t> </w:t>
      </w:r>
      <w:r>
        <w:rPr>
          <w:color w:val="231F20"/>
        </w:rPr>
        <w:t>that</w:t>
      </w:r>
      <w:r>
        <w:rPr>
          <w:color w:val="231F20"/>
          <w:spacing w:val="-6"/>
        </w:rPr>
        <w:t> </w:t>
      </w:r>
      <w:r>
        <w:rPr>
          <w:color w:val="231F20"/>
        </w:rPr>
        <w:t>there</w:t>
      </w:r>
      <w:r>
        <w:rPr>
          <w:color w:val="231F20"/>
          <w:w w:val="99"/>
        </w:rPr>
        <w:t> </w:t>
      </w:r>
      <w:r>
        <w:rPr>
          <w:color w:val="231F20"/>
          <w:spacing w:val="-1"/>
        </w:rPr>
        <w:t>is</w:t>
      </w:r>
      <w:r>
        <w:rPr>
          <w:color w:val="231F20"/>
          <w:spacing w:val="-4"/>
        </w:rPr>
        <w:t> </w:t>
      </w:r>
      <w:r>
        <w:rPr>
          <w:color w:val="231F20"/>
        </w:rPr>
        <w:t>a</w:t>
      </w:r>
      <w:r>
        <w:rPr>
          <w:color w:val="231F20"/>
          <w:spacing w:val="-3"/>
        </w:rPr>
        <w:t> </w:t>
      </w:r>
      <w:r>
        <w:rPr>
          <w:color w:val="231F20"/>
        </w:rPr>
        <w:t>clear</w:t>
      </w:r>
      <w:r>
        <w:rPr>
          <w:color w:val="231F20"/>
          <w:spacing w:val="-4"/>
        </w:rPr>
        <w:t> </w:t>
      </w:r>
      <w:r>
        <w:rPr>
          <w:color w:val="231F20"/>
        </w:rPr>
        <w:t>distinction</w:t>
      </w:r>
      <w:r>
        <w:rPr>
          <w:color w:val="231F20"/>
          <w:spacing w:val="-4"/>
        </w:rPr>
        <w:t> </w:t>
      </w:r>
      <w:r>
        <w:rPr>
          <w:color w:val="231F20"/>
        </w:rPr>
        <w:t>between</w:t>
      </w:r>
      <w:r>
        <w:rPr>
          <w:color w:val="231F20"/>
          <w:spacing w:val="-4"/>
        </w:rPr>
        <w:t> </w:t>
      </w:r>
      <w:r>
        <w:rPr>
          <w:color w:val="231F20"/>
        </w:rPr>
        <w:t>a</w:t>
      </w:r>
      <w:r>
        <w:rPr>
          <w:color w:val="231F20"/>
          <w:spacing w:val="-2"/>
        </w:rPr>
        <w:t> </w:t>
      </w:r>
      <w:r>
        <w:rPr>
          <w:color w:val="231F20"/>
        </w:rPr>
        <w:t>‘means</w:t>
      </w:r>
      <w:r>
        <w:rPr>
          <w:color w:val="231F20"/>
          <w:spacing w:val="-4"/>
        </w:rPr>
        <w:t> </w:t>
      </w:r>
      <w:r>
        <w:rPr>
          <w:color w:val="231F20"/>
        </w:rPr>
        <w:t>tested’</w:t>
      </w:r>
      <w:r>
        <w:rPr>
          <w:color w:val="231F20"/>
          <w:spacing w:val="21"/>
          <w:w w:val="99"/>
        </w:rPr>
        <w:t> </w:t>
      </w:r>
      <w:r>
        <w:rPr>
          <w:color w:val="231F20"/>
          <w:spacing w:val="-1"/>
        </w:rPr>
        <w:t>level</w:t>
      </w:r>
      <w:r>
        <w:rPr>
          <w:color w:val="231F20"/>
          <w:spacing w:val="-3"/>
        </w:rPr>
        <w:t> </w:t>
      </w:r>
      <w:r>
        <w:rPr>
          <w:color w:val="231F20"/>
        </w:rPr>
        <w:t>of</w:t>
      </w:r>
      <w:r>
        <w:rPr>
          <w:color w:val="231F20"/>
          <w:spacing w:val="-3"/>
        </w:rPr>
        <w:t> </w:t>
      </w:r>
      <w:r>
        <w:rPr>
          <w:color w:val="231F20"/>
          <w:spacing w:val="-1"/>
        </w:rPr>
        <w:t>income</w:t>
      </w:r>
      <w:r>
        <w:rPr>
          <w:color w:val="231F20"/>
          <w:spacing w:val="-2"/>
        </w:rPr>
        <w:t> </w:t>
      </w:r>
      <w:r>
        <w:rPr>
          <w:color w:val="231F20"/>
        </w:rPr>
        <w:t>of</w:t>
      </w:r>
      <w:r>
        <w:rPr>
          <w:color w:val="231F20"/>
          <w:spacing w:val="-3"/>
        </w:rPr>
        <w:t> </w:t>
      </w:r>
      <w:r>
        <w:rPr>
          <w:color w:val="231F20"/>
        </w:rPr>
        <w:t>a</w:t>
      </w:r>
      <w:r>
        <w:rPr>
          <w:color w:val="231F20"/>
          <w:spacing w:val="-2"/>
        </w:rPr>
        <w:t> </w:t>
      </w:r>
      <w:r>
        <w:rPr>
          <w:color w:val="231F20"/>
        </w:rPr>
        <w:t>parent</w:t>
      </w:r>
      <w:r>
        <w:rPr>
          <w:color w:val="231F20"/>
          <w:spacing w:val="-4"/>
        </w:rPr>
        <w:t> </w:t>
      </w:r>
      <w:r>
        <w:rPr>
          <w:color w:val="231F20"/>
        </w:rPr>
        <w:t>or</w:t>
      </w:r>
      <w:r>
        <w:rPr>
          <w:color w:val="231F20"/>
          <w:spacing w:val="-2"/>
        </w:rPr>
        <w:t> </w:t>
      </w:r>
      <w:r>
        <w:rPr>
          <w:color w:val="231F20"/>
        </w:rPr>
        <w:t>carer</w:t>
      </w:r>
      <w:r>
        <w:rPr>
          <w:color w:val="231F20"/>
          <w:spacing w:val="-3"/>
        </w:rPr>
        <w:t> </w:t>
      </w:r>
      <w:r>
        <w:rPr>
          <w:color w:val="231F20"/>
        </w:rPr>
        <w:t>and</w:t>
      </w:r>
      <w:r>
        <w:rPr>
          <w:color w:val="231F20"/>
          <w:spacing w:val="-3"/>
        </w:rPr>
        <w:t> </w:t>
      </w:r>
      <w:r>
        <w:rPr>
          <w:color w:val="231F20"/>
        </w:rPr>
        <w:t>the</w:t>
      </w:r>
      <w:r>
        <w:rPr>
          <w:color w:val="231F20"/>
          <w:spacing w:val="23"/>
          <w:w w:val="99"/>
        </w:rPr>
        <w:t> </w:t>
      </w:r>
      <w:r>
        <w:rPr>
          <w:color w:val="231F20"/>
        </w:rPr>
        <w:t>person’s</w:t>
      </w:r>
      <w:r>
        <w:rPr>
          <w:color w:val="231F20"/>
          <w:spacing w:val="-6"/>
        </w:rPr>
        <w:t> </w:t>
      </w:r>
      <w:r>
        <w:rPr>
          <w:color w:val="231F20"/>
        </w:rPr>
        <w:t>actual</w:t>
      </w:r>
      <w:r>
        <w:rPr>
          <w:color w:val="231F20"/>
          <w:spacing w:val="-5"/>
        </w:rPr>
        <w:t> </w:t>
      </w:r>
      <w:r>
        <w:rPr>
          <w:color w:val="231F20"/>
        </w:rPr>
        <w:t>capacity</w:t>
      </w:r>
      <w:r>
        <w:rPr>
          <w:color w:val="231F20"/>
          <w:spacing w:val="-6"/>
        </w:rPr>
        <w:t> </w:t>
      </w:r>
      <w:r>
        <w:rPr>
          <w:color w:val="231F20"/>
        </w:rPr>
        <w:t>to</w:t>
      </w:r>
      <w:r>
        <w:rPr>
          <w:color w:val="231F20"/>
          <w:spacing w:val="-4"/>
        </w:rPr>
        <w:t> </w:t>
      </w:r>
      <w:r>
        <w:rPr>
          <w:color w:val="231F20"/>
        </w:rPr>
        <w:t>pay</w:t>
      </w:r>
      <w:r>
        <w:rPr>
          <w:color w:val="231F20"/>
          <w:spacing w:val="-5"/>
        </w:rPr>
        <w:t> </w:t>
      </w:r>
      <w:r>
        <w:rPr>
          <w:color w:val="231F20"/>
        </w:rPr>
        <w:t>or</w:t>
      </w:r>
      <w:r>
        <w:rPr>
          <w:color w:val="231F20"/>
          <w:spacing w:val="-4"/>
        </w:rPr>
        <w:t> </w:t>
      </w:r>
      <w:r>
        <w:rPr>
          <w:color w:val="231F20"/>
        </w:rPr>
        <w:t>disposable</w:t>
      </w:r>
      <w:r>
        <w:rPr>
          <w:color w:val="231F20"/>
        </w:rPr>
        <w:t> </w:t>
      </w:r>
      <w:r>
        <w:rPr>
          <w:color w:val="231F20"/>
          <w:spacing w:val="-1"/>
        </w:rPr>
        <w:t>income.</w:t>
      </w:r>
      <w:r>
        <w:rPr>
          <w:color w:val="231F20"/>
          <w:spacing w:val="-4"/>
        </w:rPr>
        <w:t> </w:t>
      </w:r>
      <w:r>
        <w:rPr>
          <w:color w:val="231F20"/>
        </w:rPr>
        <w:t>Even</w:t>
      </w:r>
      <w:r>
        <w:rPr>
          <w:color w:val="231F20"/>
          <w:spacing w:val="-5"/>
        </w:rPr>
        <w:t> </w:t>
      </w:r>
      <w:r>
        <w:rPr>
          <w:color w:val="231F20"/>
        </w:rPr>
        <w:t>the</w:t>
      </w:r>
      <w:r>
        <w:rPr>
          <w:color w:val="231F20"/>
          <w:spacing w:val="-5"/>
        </w:rPr>
        <w:t> </w:t>
      </w:r>
      <w:r>
        <w:rPr>
          <w:color w:val="231F20"/>
          <w:spacing w:val="-1"/>
        </w:rPr>
        <w:t>small</w:t>
      </w:r>
      <w:r>
        <w:rPr>
          <w:color w:val="231F20"/>
          <w:spacing w:val="-3"/>
        </w:rPr>
        <w:t> </w:t>
      </w:r>
      <w:r>
        <w:rPr>
          <w:color w:val="231F20"/>
        </w:rPr>
        <w:t>number</w:t>
      </w:r>
      <w:r>
        <w:rPr>
          <w:color w:val="231F20"/>
          <w:spacing w:val="-5"/>
        </w:rPr>
        <w:t> </w:t>
      </w:r>
      <w:r>
        <w:rPr>
          <w:color w:val="231F20"/>
        </w:rPr>
        <w:t>of</w:t>
      </w:r>
      <w:r>
        <w:rPr>
          <w:color w:val="231F20"/>
          <w:spacing w:val="-4"/>
        </w:rPr>
        <w:t> </w:t>
      </w:r>
      <w:r>
        <w:rPr>
          <w:color w:val="231F20"/>
        </w:rPr>
        <w:t>parents</w:t>
      </w:r>
      <w:r>
        <w:rPr/>
      </w:r>
    </w:p>
    <w:p>
      <w:pPr>
        <w:pStyle w:val="BodyText"/>
        <w:spacing w:line="250" w:lineRule="exact"/>
        <w:ind w:left="140" w:right="133"/>
        <w:jc w:val="left"/>
      </w:pPr>
      <w:r>
        <w:rPr/>
        <w:pict>
          <v:group style="position:absolute;margin-left:523.700684pt;margin-top:101.453896pt;width:.1pt;height:.1pt;mso-position-horizontal-relative:page;mso-position-vertical-relative:paragraph;z-index:-225568" coordorigin="10474,2029" coordsize="2,2">
            <v:shape style="position:absolute;left:10474;top:2029;width:2;height:2" coordorigin="10474,2029" coordsize="0,0" path="m10474,2029l10474,2029e" filled="false" stroked="true" strokeweight="2pt" strokecolor="#355f92">
              <v:path arrowok="t"/>
            </v:shape>
            <w10:wrap type="none"/>
          </v:group>
        </w:pict>
      </w:r>
      <w:r>
        <w:rPr/>
        <w:pict>
          <v:group style="position:absolute;margin-left:84.330704pt;margin-top:101.453896pt;width:.1pt;height:.1pt;mso-position-horizontal-relative:page;mso-position-vertical-relative:paragraph;z-index:-225544" coordorigin="1687,2029" coordsize="2,2">
            <v:shape style="position:absolute;left:1687;top:2029;width:2;height:2" coordorigin="1687,2029" coordsize="0,0" path="m1687,2029l1687,2029e" filled="false" stroked="true" strokeweight="2pt" strokecolor="#355f92">
              <v:path arrowok="t"/>
            </v:shape>
            <w10:wrap type="none"/>
          </v:group>
        </w:pict>
      </w:r>
      <w:r>
        <w:rPr>
          <w:color w:val="231F20"/>
          <w:spacing w:val="-1"/>
        </w:rPr>
        <w:t>in</w:t>
      </w:r>
      <w:r>
        <w:rPr>
          <w:color w:val="231F20"/>
          <w:spacing w:val="-5"/>
        </w:rPr>
        <w:t> </w:t>
      </w:r>
      <w:r>
        <w:rPr>
          <w:color w:val="231F20"/>
        </w:rPr>
        <w:t>remote</w:t>
      </w:r>
      <w:r>
        <w:rPr>
          <w:color w:val="231F20"/>
          <w:spacing w:val="-5"/>
        </w:rPr>
        <w:t> </w:t>
      </w:r>
      <w:r>
        <w:rPr>
          <w:color w:val="231F20"/>
        </w:rPr>
        <w:t>and</w:t>
      </w:r>
      <w:r>
        <w:rPr>
          <w:color w:val="231F20"/>
          <w:spacing w:val="-6"/>
        </w:rPr>
        <w:t> </w:t>
      </w:r>
      <w:r>
        <w:rPr>
          <w:color w:val="231F20"/>
        </w:rPr>
        <w:t>very</w:t>
      </w:r>
      <w:r>
        <w:rPr>
          <w:color w:val="231F20"/>
          <w:spacing w:val="-4"/>
        </w:rPr>
        <w:t> </w:t>
      </w:r>
      <w:r>
        <w:rPr>
          <w:color w:val="231F20"/>
        </w:rPr>
        <w:t>remote</w:t>
      </w:r>
      <w:r>
        <w:rPr>
          <w:color w:val="231F20"/>
          <w:spacing w:val="-5"/>
        </w:rPr>
        <w:t> </w:t>
      </w:r>
      <w:r>
        <w:rPr>
          <w:color w:val="231F20"/>
        </w:rPr>
        <w:t>areas</w:t>
      </w:r>
      <w:r>
        <w:rPr>
          <w:color w:val="231F20"/>
          <w:spacing w:val="-6"/>
        </w:rPr>
        <w:t> </w:t>
      </w:r>
      <w:r>
        <w:rPr>
          <w:color w:val="231F20"/>
        </w:rPr>
        <w:t>that</w:t>
      </w:r>
      <w:r>
        <w:rPr>
          <w:color w:val="231F20"/>
          <w:spacing w:val="-5"/>
        </w:rPr>
        <w:t> </w:t>
      </w:r>
      <w:r>
        <w:rPr>
          <w:color w:val="231F20"/>
        </w:rPr>
        <w:t>are</w:t>
      </w:r>
      <w:r>
        <w:rPr>
          <w:color w:val="231F20"/>
          <w:spacing w:val="21"/>
          <w:w w:val="99"/>
        </w:rPr>
        <w:t> </w:t>
      </w:r>
      <w:r>
        <w:rPr>
          <w:color w:val="231F20"/>
        </w:rPr>
        <w:t>employed</w:t>
      </w:r>
      <w:r>
        <w:rPr>
          <w:color w:val="231F20"/>
          <w:spacing w:val="-6"/>
        </w:rPr>
        <w:t> </w:t>
      </w:r>
      <w:r>
        <w:rPr>
          <w:color w:val="231F20"/>
        </w:rPr>
        <w:t>have</w:t>
      </w:r>
      <w:r>
        <w:rPr>
          <w:color w:val="231F20"/>
          <w:spacing w:val="-5"/>
        </w:rPr>
        <w:t> </w:t>
      </w:r>
      <w:r>
        <w:rPr>
          <w:color w:val="231F20"/>
          <w:spacing w:val="-1"/>
        </w:rPr>
        <w:t>little</w:t>
      </w:r>
      <w:r>
        <w:rPr>
          <w:color w:val="231F20"/>
          <w:spacing w:val="-4"/>
        </w:rPr>
        <w:t> </w:t>
      </w:r>
      <w:r>
        <w:rPr>
          <w:color w:val="231F20"/>
        </w:rPr>
        <w:t>or</w:t>
      </w:r>
      <w:r>
        <w:rPr>
          <w:color w:val="231F20"/>
          <w:spacing w:val="-4"/>
        </w:rPr>
        <w:t> </w:t>
      </w:r>
      <w:r>
        <w:rPr>
          <w:color w:val="231F20"/>
        </w:rPr>
        <w:t>no</w:t>
      </w:r>
      <w:r>
        <w:rPr>
          <w:color w:val="231F20"/>
          <w:spacing w:val="-5"/>
        </w:rPr>
        <w:t> </w:t>
      </w:r>
      <w:r>
        <w:rPr>
          <w:color w:val="231F20"/>
        </w:rPr>
        <w:t>capacity</w:t>
      </w:r>
      <w:r>
        <w:rPr>
          <w:color w:val="231F20"/>
          <w:spacing w:val="-5"/>
        </w:rPr>
        <w:t> </w:t>
      </w:r>
      <w:r>
        <w:rPr>
          <w:color w:val="231F20"/>
        </w:rPr>
        <w:t>to</w:t>
      </w:r>
      <w:r>
        <w:rPr>
          <w:color w:val="231F20"/>
          <w:spacing w:val="-4"/>
        </w:rPr>
        <w:t> </w:t>
      </w:r>
      <w:r>
        <w:rPr>
          <w:color w:val="231F20"/>
        </w:rPr>
        <w:t>pay.</w:t>
      </w:r>
      <w:r>
        <w:rPr>
          <w:color w:val="231F20"/>
          <w:spacing w:val="21"/>
          <w:w w:val="99"/>
        </w:rPr>
        <w:t> </w:t>
      </w:r>
      <w:r>
        <w:rPr>
          <w:color w:val="231F20"/>
          <w:spacing w:val="-1"/>
        </w:rPr>
        <w:t>Cultural</w:t>
      </w:r>
      <w:r>
        <w:rPr>
          <w:color w:val="231F20"/>
          <w:spacing w:val="-4"/>
        </w:rPr>
        <w:t> </w:t>
      </w:r>
      <w:r>
        <w:rPr>
          <w:color w:val="231F20"/>
        </w:rPr>
        <w:t>and</w:t>
      </w:r>
      <w:r>
        <w:rPr>
          <w:color w:val="231F20"/>
          <w:spacing w:val="-4"/>
        </w:rPr>
        <w:t> </w:t>
      </w:r>
      <w:r>
        <w:rPr>
          <w:color w:val="231F20"/>
        </w:rPr>
        <w:t>family</w:t>
      </w:r>
      <w:r>
        <w:rPr>
          <w:color w:val="231F20"/>
          <w:spacing w:val="-5"/>
        </w:rPr>
        <w:t> </w:t>
      </w:r>
      <w:r>
        <w:rPr>
          <w:color w:val="231F20"/>
        </w:rPr>
        <w:t>obligations</w:t>
      </w:r>
      <w:r>
        <w:rPr>
          <w:color w:val="231F20"/>
          <w:spacing w:val="-4"/>
        </w:rPr>
        <w:t> </w:t>
      </w:r>
      <w:r>
        <w:rPr>
          <w:color w:val="231F20"/>
        </w:rPr>
        <w:t>and</w:t>
      </w:r>
      <w:r>
        <w:rPr>
          <w:color w:val="231F20"/>
          <w:spacing w:val="-4"/>
        </w:rPr>
        <w:t> </w:t>
      </w:r>
      <w:r>
        <w:rPr>
          <w:color w:val="231F20"/>
        </w:rPr>
        <w:t>the</w:t>
      </w:r>
      <w:r>
        <w:rPr>
          <w:color w:val="231F20"/>
          <w:spacing w:val="-5"/>
        </w:rPr>
        <w:t> </w:t>
      </w:r>
      <w:r>
        <w:rPr>
          <w:color w:val="231F20"/>
        </w:rPr>
        <w:t>high</w:t>
      </w:r>
      <w:r>
        <w:rPr>
          <w:color w:val="231F20"/>
          <w:spacing w:val="22"/>
          <w:w w:val="99"/>
        </w:rPr>
        <w:t> </w:t>
      </w:r>
      <w:r>
        <w:rPr>
          <w:color w:val="231F20"/>
          <w:spacing w:val="-1"/>
        </w:rPr>
        <w:t>level</w:t>
      </w:r>
      <w:r>
        <w:rPr>
          <w:color w:val="231F20"/>
          <w:spacing w:val="-4"/>
        </w:rPr>
        <w:t> </w:t>
      </w:r>
      <w:r>
        <w:rPr>
          <w:color w:val="231F20"/>
        </w:rPr>
        <w:t>of</w:t>
      </w:r>
      <w:r>
        <w:rPr>
          <w:color w:val="231F20"/>
          <w:spacing w:val="-4"/>
        </w:rPr>
        <w:t> </w:t>
      </w:r>
      <w:r>
        <w:rPr>
          <w:color w:val="231F20"/>
        </w:rPr>
        <w:t>disadvantage</w:t>
      </w:r>
      <w:r>
        <w:rPr>
          <w:color w:val="231F20"/>
          <w:spacing w:val="-5"/>
        </w:rPr>
        <w:t> </w:t>
      </w:r>
      <w:r>
        <w:rPr>
          <w:color w:val="231F20"/>
          <w:spacing w:val="-1"/>
        </w:rPr>
        <w:t>in</w:t>
      </w:r>
      <w:r>
        <w:rPr>
          <w:color w:val="231F20"/>
          <w:spacing w:val="-4"/>
        </w:rPr>
        <w:t> </w:t>
      </w:r>
      <w:r>
        <w:rPr>
          <w:color w:val="231F20"/>
        </w:rPr>
        <w:t>remote</w:t>
      </w:r>
      <w:r>
        <w:rPr>
          <w:color w:val="231F20"/>
          <w:spacing w:val="-5"/>
        </w:rPr>
        <w:t> </w:t>
      </w:r>
      <w:r>
        <w:rPr>
          <w:color w:val="231F20"/>
        </w:rPr>
        <w:t>communities</w:t>
      </w:r>
      <w:r>
        <w:rPr>
          <w:color w:val="231F20"/>
          <w:spacing w:val="22"/>
        </w:rPr>
        <w:t> </w:t>
      </w:r>
      <w:r>
        <w:rPr>
          <w:color w:val="231F20"/>
          <w:spacing w:val="-1"/>
        </w:rPr>
        <w:t>means</w:t>
      </w:r>
      <w:r>
        <w:rPr>
          <w:color w:val="231F20"/>
          <w:spacing w:val="-3"/>
        </w:rPr>
        <w:t> </w:t>
      </w:r>
      <w:r>
        <w:rPr>
          <w:color w:val="231F20"/>
        </w:rPr>
        <w:t>the</w:t>
      </w:r>
      <w:r>
        <w:rPr>
          <w:color w:val="231F20"/>
          <w:spacing w:val="-3"/>
        </w:rPr>
        <w:t> </w:t>
      </w:r>
      <w:r>
        <w:rPr>
          <w:color w:val="231F20"/>
        </w:rPr>
        <w:t>disposable</w:t>
      </w:r>
      <w:r>
        <w:rPr>
          <w:color w:val="231F20"/>
          <w:spacing w:val="-4"/>
        </w:rPr>
        <w:t> </w:t>
      </w:r>
      <w:r>
        <w:rPr>
          <w:color w:val="231F20"/>
          <w:spacing w:val="-1"/>
        </w:rPr>
        <w:t>income</w:t>
      </w:r>
      <w:r>
        <w:rPr>
          <w:color w:val="231F20"/>
          <w:spacing w:val="-2"/>
        </w:rPr>
        <w:t> </w:t>
      </w:r>
      <w:r>
        <w:rPr>
          <w:color w:val="231F20"/>
        </w:rPr>
        <w:t>or</w:t>
      </w:r>
      <w:r>
        <w:rPr>
          <w:color w:val="231F20"/>
          <w:spacing w:val="-3"/>
        </w:rPr>
        <w:t> </w:t>
      </w:r>
      <w:r>
        <w:rPr>
          <w:color w:val="231F20"/>
        </w:rPr>
        <w:t>capacity</w:t>
      </w:r>
      <w:r>
        <w:rPr>
          <w:color w:val="231F20"/>
          <w:spacing w:val="-3"/>
        </w:rPr>
        <w:t> </w:t>
      </w:r>
      <w:r>
        <w:rPr>
          <w:color w:val="231F20"/>
        </w:rPr>
        <w:t>to</w:t>
      </w:r>
      <w:r>
        <w:rPr>
          <w:color w:val="231F20"/>
          <w:spacing w:val="-2"/>
        </w:rPr>
        <w:t> </w:t>
      </w:r>
      <w:r>
        <w:rPr>
          <w:color w:val="231F20"/>
        </w:rPr>
        <w:t>pay</w:t>
      </w:r>
      <w:r>
        <w:rPr>
          <w:color w:val="231F20"/>
          <w:spacing w:val="23"/>
          <w:w w:val="99"/>
        </w:rPr>
        <w:t> </w:t>
      </w:r>
      <w:r>
        <w:rPr>
          <w:color w:val="231F20"/>
        </w:rPr>
        <w:t>of</w:t>
      </w:r>
      <w:r>
        <w:rPr>
          <w:color w:val="231F20"/>
          <w:spacing w:val="-4"/>
        </w:rPr>
        <w:t> </w:t>
      </w:r>
      <w:r>
        <w:rPr>
          <w:color w:val="231F20"/>
        </w:rPr>
        <w:t>even</w:t>
      </w:r>
      <w:r>
        <w:rPr>
          <w:color w:val="231F20"/>
          <w:spacing w:val="-4"/>
        </w:rPr>
        <w:t> </w:t>
      </w:r>
      <w:r>
        <w:rPr>
          <w:color w:val="231F20"/>
        </w:rPr>
        <w:t>employed</w:t>
      </w:r>
      <w:r>
        <w:rPr>
          <w:color w:val="231F20"/>
          <w:spacing w:val="-4"/>
        </w:rPr>
        <w:t> </w:t>
      </w:r>
      <w:r>
        <w:rPr>
          <w:color w:val="231F20"/>
        </w:rPr>
        <w:t>parents</w:t>
      </w:r>
      <w:r>
        <w:rPr>
          <w:color w:val="231F20"/>
          <w:spacing w:val="-5"/>
        </w:rPr>
        <w:t> </w:t>
      </w:r>
      <w:r>
        <w:rPr>
          <w:color w:val="231F20"/>
          <w:spacing w:val="-1"/>
        </w:rPr>
        <w:t>is</w:t>
      </w:r>
      <w:r>
        <w:rPr>
          <w:color w:val="231F20"/>
          <w:spacing w:val="-4"/>
        </w:rPr>
        <w:t> </w:t>
      </w:r>
      <w:r>
        <w:rPr>
          <w:color w:val="231F20"/>
          <w:spacing w:val="-1"/>
        </w:rPr>
        <w:t>little</w:t>
      </w:r>
      <w:r>
        <w:rPr>
          <w:color w:val="231F20"/>
          <w:spacing w:val="-3"/>
        </w:rPr>
        <w:t> </w:t>
      </w:r>
      <w:r>
        <w:rPr>
          <w:color w:val="231F20"/>
        </w:rPr>
        <w:t>to</w:t>
      </w:r>
      <w:r>
        <w:rPr>
          <w:color w:val="231F20"/>
          <w:spacing w:val="-4"/>
        </w:rPr>
        <w:t> </w:t>
      </w:r>
      <w:r>
        <w:rPr>
          <w:color w:val="231F20"/>
        </w:rPr>
        <w:t>nil.</w:t>
      </w:r>
      <w:r>
        <w:rPr/>
      </w:r>
    </w:p>
    <w:p>
      <w:pPr>
        <w:spacing w:after="0" w:line="250" w:lineRule="exact"/>
        <w:jc w:val="left"/>
        <w:sectPr>
          <w:type w:val="continuous"/>
          <w:pgSz w:w="11910" w:h="16840"/>
          <w:pgMar w:top="1580" w:bottom="280" w:left="1560" w:right="1300"/>
          <w:cols w:num="2" w:equalWidth="0">
            <w:col w:w="4318" w:space="217"/>
            <w:col w:w="4515"/>
          </w:cols>
        </w:sectPr>
      </w:pPr>
    </w:p>
    <w:p>
      <w:pPr>
        <w:spacing w:line="240" w:lineRule="auto" w:before="0"/>
        <w:rPr>
          <w:rFonts w:ascii="Segoe UI" w:hAnsi="Segoe UI" w:cs="Segoe UI" w:eastAsia="Segoe UI"/>
          <w:sz w:val="20"/>
          <w:szCs w:val="20"/>
        </w:rPr>
      </w:pPr>
      <w:r>
        <w:rPr/>
        <w:pict>
          <v:group style="position:absolute;margin-left:84.330704pt;margin-top:724.669312pt;width:.1pt;height:.1pt;mso-position-horizontal-relative:page;mso-position-vertical-relative:page;z-index:-225616" coordorigin="1687,14493" coordsize="2,2">
            <v:shape style="position:absolute;left:1687;top:14493;width:2;height:2" coordorigin="1687,14493" coordsize="0,0" path="m1687,14493l1687,14493e" filled="false" stroked="true" strokeweight="2pt" strokecolor="#355f92">
              <v:path arrowok="t"/>
            </v:shape>
            <w10:wrap type="none"/>
          </v:group>
        </w:pict>
      </w:r>
      <w:r>
        <w:rPr/>
        <w:pict>
          <v:group style="position:absolute;margin-left:523.700684pt;margin-top:724.669312pt;width:.1pt;height:.1pt;mso-position-horizontal-relative:page;mso-position-vertical-relative:page;z-index:-225592" coordorigin="10474,14493" coordsize="2,2">
            <v:shape style="position:absolute;left:10474;top:14493;width:2;height:2" coordorigin="10474,14493" coordsize="0,0" path="m10474,14493l10474,14493e" filled="false" stroked="true" strokeweight="2pt" strokecolor="#355f92">
              <v:path arrowok="t"/>
            </v:shape>
            <w10:wrap type="none"/>
          </v:group>
        </w:pict>
      </w:r>
    </w:p>
    <w:p>
      <w:pPr>
        <w:spacing w:line="240" w:lineRule="auto" w:before="10"/>
        <w:rPr>
          <w:rFonts w:ascii="Segoe UI" w:hAnsi="Segoe UI" w:cs="Segoe UI" w:eastAsia="Segoe UI"/>
          <w:sz w:val="19"/>
          <w:szCs w:val="19"/>
        </w:rPr>
      </w:pPr>
    </w:p>
    <w:p>
      <w:pPr>
        <w:spacing w:line="200" w:lineRule="atLeast"/>
        <w:ind w:left="126" w:right="0" w:firstLine="0"/>
        <w:rPr>
          <w:rFonts w:ascii="Segoe UI" w:hAnsi="Segoe UI" w:cs="Segoe UI" w:eastAsia="Segoe UI"/>
          <w:sz w:val="20"/>
          <w:szCs w:val="20"/>
        </w:rPr>
      </w:pPr>
      <w:r>
        <w:rPr>
          <w:rFonts w:ascii="Segoe UI" w:hAnsi="Segoe UI" w:cs="Segoe UI" w:eastAsia="Segoe UI"/>
          <w:sz w:val="20"/>
          <w:szCs w:val="20"/>
        </w:rPr>
        <w:pict>
          <v:shape style="width:439.4pt;height:83.05pt;mso-position-horizontal-relative:char;mso-position-vertical-relative:line" type="#_x0000_t202" filled="true" fillcolor="#ecf1f5" stroked="true" strokeweight="2pt" strokecolor="#355f92">
            <v:textbox inset="0,0,0,0">
              <w:txbxContent>
                <w:p>
                  <w:pPr>
                    <w:spacing w:before="187"/>
                    <w:ind w:left="277" w:right="0" w:firstLine="0"/>
                    <w:jc w:val="both"/>
                    <w:rPr>
                      <w:rFonts w:ascii="Segoe UI Semibold" w:hAnsi="Segoe UI Semibold" w:cs="Segoe UI Semibold" w:eastAsia="Segoe UI Semibold"/>
                      <w:sz w:val="24"/>
                      <w:szCs w:val="24"/>
                    </w:rPr>
                  </w:pPr>
                  <w:r>
                    <w:rPr>
                      <w:rFonts w:ascii="Segoe UI Semibold"/>
                      <w:b/>
                      <w:color w:val="452A70"/>
                      <w:spacing w:val="-2"/>
                      <w:sz w:val="24"/>
                    </w:rPr>
                    <w:t>RECOMMENDATION</w:t>
                  </w:r>
                  <w:r>
                    <w:rPr>
                      <w:rFonts w:ascii="Segoe UI Semibold"/>
                      <w:b/>
                      <w:color w:val="452A70"/>
                      <w:spacing w:val="-5"/>
                      <w:sz w:val="24"/>
                    </w:rPr>
                    <w:t> </w:t>
                  </w:r>
                  <w:r>
                    <w:rPr>
                      <w:rFonts w:ascii="Segoe UI Semibold"/>
                      <w:b/>
                      <w:color w:val="452A70"/>
                      <w:spacing w:val="-1"/>
                      <w:sz w:val="24"/>
                    </w:rPr>
                    <w:t>9:</w:t>
                  </w:r>
                  <w:r>
                    <w:rPr>
                      <w:rFonts w:ascii="Segoe UI Semibold"/>
                      <w:b/>
                      <w:color w:val="452A70"/>
                      <w:spacing w:val="-4"/>
                      <w:sz w:val="24"/>
                    </w:rPr>
                    <w:t> </w:t>
                  </w:r>
                  <w:r>
                    <w:rPr>
                      <w:rFonts w:ascii="Segoe UI Semibold"/>
                      <w:b/>
                      <w:color w:val="452A70"/>
                      <w:spacing w:val="-1"/>
                      <w:sz w:val="24"/>
                    </w:rPr>
                    <w:t>SCHOLARSHIP</w:t>
                  </w:r>
                  <w:r>
                    <w:rPr>
                      <w:rFonts w:ascii="Segoe UI Semibold"/>
                      <w:b/>
                      <w:color w:val="452A70"/>
                      <w:spacing w:val="-3"/>
                      <w:sz w:val="24"/>
                    </w:rPr>
                    <w:t> </w:t>
                  </w:r>
                  <w:r>
                    <w:rPr>
                      <w:rFonts w:ascii="Segoe UI Semibold"/>
                      <w:b/>
                      <w:color w:val="452A70"/>
                      <w:spacing w:val="-1"/>
                      <w:sz w:val="24"/>
                    </w:rPr>
                    <w:t>ARRANGEMENTS</w:t>
                  </w:r>
                  <w:r>
                    <w:rPr>
                      <w:rFonts w:ascii="Segoe UI Semibold"/>
                      <w:sz w:val="24"/>
                    </w:rPr>
                  </w:r>
                </w:p>
                <w:p>
                  <w:pPr>
                    <w:spacing w:line="250" w:lineRule="exact" w:before="131"/>
                    <w:ind w:left="277" w:right="496" w:firstLine="0"/>
                    <w:jc w:val="both"/>
                    <w:rPr>
                      <w:rFonts w:ascii="Segoe UI" w:hAnsi="Segoe UI" w:cs="Segoe UI" w:eastAsia="Segoe UI"/>
                      <w:sz w:val="20"/>
                      <w:szCs w:val="20"/>
                    </w:rPr>
                  </w:pPr>
                  <w:r>
                    <w:rPr>
                      <w:rFonts w:ascii="Segoe UI"/>
                      <w:color w:val="452A70"/>
                      <w:spacing w:val="-1"/>
                      <w:sz w:val="20"/>
                    </w:rPr>
                    <w:t>Review</w:t>
                  </w:r>
                  <w:r>
                    <w:rPr>
                      <w:rFonts w:ascii="Segoe UI"/>
                      <w:color w:val="452A70"/>
                      <w:spacing w:val="-6"/>
                      <w:sz w:val="20"/>
                    </w:rPr>
                    <w:t> </w:t>
                  </w:r>
                  <w:r>
                    <w:rPr>
                      <w:rFonts w:ascii="Segoe UI"/>
                      <w:color w:val="452A70"/>
                      <w:spacing w:val="-1"/>
                      <w:sz w:val="20"/>
                    </w:rPr>
                    <w:t>scholarship</w:t>
                  </w:r>
                  <w:r>
                    <w:rPr>
                      <w:rFonts w:ascii="Segoe UI"/>
                      <w:color w:val="452A70"/>
                      <w:spacing w:val="-4"/>
                      <w:sz w:val="20"/>
                    </w:rPr>
                    <w:t> </w:t>
                  </w:r>
                  <w:r>
                    <w:rPr>
                      <w:rFonts w:ascii="Segoe UI"/>
                      <w:color w:val="452A70"/>
                      <w:sz w:val="20"/>
                    </w:rPr>
                    <w:t>funding</w:t>
                  </w:r>
                  <w:r>
                    <w:rPr>
                      <w:rFonts w:ascii="Segoe UI"/>
                      <w:color w:val="452A70"/>
                      <w:spacing w:val="-5"/>
                      <w:sz w:val="20"/>
                    </w:rPr>
                    <w:t> </w:t>
                  </w:r>
                  <w:r>
                    <w:rPr>
                      <w:rFonts w:ascii="Segoe UI"/>
                      <w:color w:val="452A70"/>
                      <w:sz w:val="20"/>
                    </w:rPr>
                    <w:t>arrangements</w:t>
                  </w:r>
                  <w:r>
                    <w:rPr>
                      <w:rFonts w:ascii="Segoe UI"/>
                      <w:color w:val="452A70"/>
                      <w:spacing w:val="-6"/>
                      <w:sz w:val="20"/>
                    </w:rPr>
                    <w:t> </w:t>
                  </w:r>
                  <w:r>
                    <w:rPr>
                      <w:rFonts w:ascii="Segoe UI"/>
                      <w:color w:val="452A70"/>
                      <w:sz w:val="20"/>
                    </w:rPr>
                    <w:t>to</w:t>
                  </w:r>
                  <w:r>
                    <w:rPr>
                      <w:rFonts w:ascii="Segoe UI"/>
                      <w:color w:val="452A70"/>
                      <w:spacing w:val="-5"/>
                      <w:sz w:val="20"/>
                    </w:rPr>
                    <w:t> </w:t>
                  </w:r>
                  <w:r>
                    <w:rPr>
                      <w:rFonts w:ascii="Segoe UI"/>
                      <w:color w:val="452A70"/>
                      <w:sz w:val="20"/>
                    </w:rPr>
                    <w:t>provide</w:t>
                  </w:r>
                  <w:r>
                    <w:rPr>
                      <w:rFonts w:ascii="Segoe UI"/>
                      <w:color w:val="452A70"/>
                      <w:spacing w:val="-6"/>
                      <w:sz w:val="20"/>
                    </w:rPr>
                    <w:t> </w:t>
                  </w:r>
                  <w:r>
                    <w:rPr>
                      <w:rFonts w:ascii="Segoe UI"/>
                      <w:color w:val="452A70"/>
                      <w:sz w:val="20"/>
                    </w:rPr>
                    <w:t>greater</w:t>
                  </w:r>
                  <w:r>
                    <w:rPr>
                      <w:rFonts w:ascii="Segoe UI"/>
                      <w:color w:val="452A70"/>
                      <w:spacing w:val="-6"/>
                      <w:sz w:val="20"/>
                    </w:rPr>
                    <w:t> </w:t>
                  </w:r>
                  <w:r>
                    <w:rPr>
                      <w:rFonts w:ascii="Segoe UI"/>
                      <w:color w:val="452A70"/>
                      <w:sz w:val="20"/>
                    </w:rPr>
                    <w:t>opportunities</w:t>
                  </w:r>
                  <w:r>
                    <w:rPr>
                      <w:rFonts w:ascii="Segoe UI"/>
                      <w:color w:val="452A70"/>
                      <w:spacing w:val="-6"/>
                      <w:sz w:val="20"/>
                    </w:rPr>
                    <w:t> </w:t>
                  </w:r>
                  <w:r>
                    <w:rPr>
                      <w:rFonts w:ascii="Segoe UI"/>
                      <w:color w:val="452A70"/>
                      <w:sz w:val="20"/>
                    </w:rPr>
                    <w:t>for</w:t>
                  </w:r>
                  <w:r>
                    <w:rPr>
                      <w:rFonts w:ascii="Segoe UI"/>
                      <w:color w:val="452A70"/>
                      <w:spacing w:val="-4"/>
                      <w:sz w:val="20"/>
                    </w:rPr>
                    <w:t> </w:t>
                  </w:r>
                  <w:r>
                    <w:rPr>
                      <w:rFonts w:ascii="Segoe UI"/>
                      <w:color w:val="452A70"/>
                      <w:sz w:val="20"/>
                    </w:rPr>
                    <w:t>Aboriginal</w:t>
                  </w:r>
                  <w:r>
                    <w:rPr>
                      <w:rFonts w:ascii="Segoe UI"/>
                      <w:color w:val="452A70"/>
                      <w:spacing w:val="22"/>
                      <w:w w:val="99"/>
                      <w:sz w:val="20"/>
                    </w:rPr>
                    <w:t> </w:t>
                  </w:r>
                  <w:r>
                    <w:rPr>
                      <w:rFonts w:ascii="Segoe UI"/>
                      <w:color w:val="452A70"/>
                      <w:sz w:val="20"/>
                    </w:rPr>
                    <w:t>and</w:t>
                  </w:r>
                  <w:r>
                    <w:rPr>
                      <w:rFonts w:ascii="Segoe UI"/>
                      <w:color w:val="452A70"/>
                      <w:spacing w:val="-5"/>
                      <w:sz w:val="20"/>
                    </w:rPr>
                    <w:t> Torres</w:t>
                  </w:r>
                  <w:r>
                    <w:rPr>
                      <w:rFonts w:ascii="Segoe UI"/>
                      <w:color w:val="452A70"/>
                      <w:spacing w:val="-3"/>
                      <w:sz w:val="20"/>
                    </w:rPr>
                    <w:t> </w:t>
                  </w:r>
                  <w:r>
                    <w:rPr>
                      <w:rFonts w:ascii="Segoe UI"/>
                      <w:color w:val="452A70"/>
                      <w:spacing w:val="-2"/>
                      <w:sz w:val="20"/>
                    </w:rPr>
                    <w:t>Strait</w:t>
                  </w:r>
                  <w:r>
                    <w:rPr>
                      <w:rFonts w:ascii="Segoe UI"/>
                      <w:color w:val="452A70"/>
                      <w:spacing w:val="-5"/>
                      <w:sz w:val="20"/>
                    </w:rPr>
                    <w:t> </w:t>
                  </w:r>
                  <w:r>
                    <w:rPr>
                      <w:rFonts w:ascii="Segoe UI"/>
                      <w:color w:val="452A70"/>
                      <w:spacing w:val="-1"/>
                      <w:sz w:val="20"/>
                    </w:rPr>
                    <w:t>Islander</w:t>
                  </w:r>
                  <w:r>
                    <w:rPr>
                      <w:rFonts w:ascii="Segoe UI"/>
                      <w:color w:val="452A70"/>
                      <w:spacing w:val="-3"/>
                      <w:sz w:val="20"/>
                    </w:rPr>
                    <w:t> </w:t>
                  </w:r>
                  <w:r>
                    <w:rPr>
                      <w:rFonts w:ascii="Segoe UI"/>
                      <w:color w:val="452A70"/>
                      <w:sz w:val="20"/>
                    </w:rPr>
                    <w:t>boarding</w:t>
                  </w:r>
                  <w:r>
                    <w:rPr>
                      <w:rFonts w:ascii="Segoe UI"/>
                      <w:color w:val="452A70"/>
                      <w:spacing w:val="-4"/>
                      <w:sz w:val="20"/>
                    </w:rPr>
                    <w:t> </w:t>
                  </w:r>
                  <w:r>
                    <w:rPr>
                      <w:rFonts w:ascii="Segoe UI"/>
                      <w:color w:val="452A70"/>
                      <w:spacing w:val="-1"/>
                      <w:sz w:val="20"/>
                    </w:rPr>
                    <w:t>students</w:t>
                  </w:r>
                  <w:r>
                    <w:rPr>
                      <w:rFonts w:ascii="Segoe UI"/>
                      <w:color w:val="452A70"/>
                      <w:spacing w:val="-4"/>
                      <w:sz w:val="20"/>
                    </w:rPr>
                    <w:t> </w:t>
                  </w:r>
                  <w:r>
                    <w:rPr>
                      <w:rFonts w:ascii="Segoe UI"/>
                      <w:color w:val="452A70"/>
                      <w:sz w:val="20"/>
                    </w:rPr>
                    <w:t>to</w:t>
                  </w:r>
                  <w:r>
                    <w:rPr>
                      <w:rFonts w:ascii="Segoe UI"/>
                      <w:color w:val="452A70"/>
                      <w:spacing w:val="-3"/>
                      <w:sz w:val="20"/>
                    </w:rPr>
                    <w:t> </w:t>
                  </w:r>
                  <w:r>
                    <w:rPr>
                      <w:rFonts w:ascii="Segoe UI"/>
                      <w:color w:val="452A70"/>
                      <w:sz w:val="20"/>
                    </w:rPr>
                    <w:t>attend</w:t>
                  </w:r>
                  <w:r>
                    <w:rPr>
                      <w:rFonts w:ascii="Segoe UI"/>
                      <w:color w:val="452A70"/>
                      <w:spacing w:val="-4"/>
                      <w:sz w:val="20"/>
                    </w:rPr>
                    <w:t> </w:t>
                  </w:r>
                  <w:r>
                    <w:rPr>
                      <w:rFonts w:ascii="Segoe UI"/>
                      <w:color w:val="452A70"/>
                      <w:sz w:val="20"/>
                    </w:rPr>
                    <w:t>Aboriginal</w:t>
                  </w:r>
                  <w:r>
                    <w:rPr>
                      <w:rFonts w:ascii="Segoe UI"/>
                      <w:color w:val="452A70"/>
                      <w:spacing w:val="-4"/>
                      <w:sz w:val="20"/>
                    </w:rPr>
                    <w:t> </w:t>
                  </w:r>
                  <w:r>
                    <w:rPr>
                      <w:rFonts w:ascii="Segoe UI"/>
                      <w:color w:val="452A70"/>
                      <w:sz w:val="20"/>
                    </w:rPr>
                    <w:t>and</w:t>
                  </w:r>
                  <w:r>
                    <w:rPr>
                      <w:rFonts w:ascii="Segoe UI"/>
                      <w:color w:val="452A70"/>
                      <w:spacing w:val="-4"/>
                      <w:sz w:val="20"/>
                    </w:rPr>
                    <w:t> </w:t>
                  </w:r>
                  <w:r>
                    <w:rPr>
                      <w:rFonts w:ascii="Segoe UI"/>
                      <w:color w:val="452A70"/>
                      <w:spacing w:val="-5"/>
                      <w:sz w:val="20"/>
                    </w:rPr>
                    <w:t>Torres</w:t>
                  </w:r>
                  <w:r>
                    <w:rPr>
                      <w:rFonts w:ascii="Segoe UI"/>
                      <w:color w:val="452A70"/>
                      <w:spacing w:val="-4"/>
                      <w:sz w:val="20"/>
                    </w:rPr>
                    <w:t> </w:t>
                  </w:r>
                  <w:r>
                    <w:rPr>
                      <w:rFonts w:ascii="Segoe UI"/>
                      <w:color w:val="452A70"/>
                      <w:spacing w:val="-2"/>
                      <w:sz w:val="20"/>
                    </w:rPr>
                    <w:t>Strait</w:t>
                  </w:r>
                  <w:r>
                    <w:rPr>
                      <w:rFonts w:ascii="Segoe UI"/>
                      <w:color w:val="452A70"/>
                      <w:spacing w:val="-4"/>
                      <w:sz w:val="20"/>
                    </w:rPr>
                    <w:t> </w:t>
                  </w:r>
                  <w:r>
                    <w:rPr>
                      <w:rFonts w:ascii="Segoe UI"/>
                      <w:color w:val="452A70"/>
                      <w:spacing w:val="-1"/>
                      <w:sz w:val="20"/>
                    </w:rPr>
                    <w:t>Islander</w:t>
                  </w:r>
                  <w:r>
                    <w:rPr>
                      <w:rFonts w:ascii="Segoe UI"/>
                      <w:color w:val="452A70"/>
                      <w:spacing w:val="38"/>
                      <w:w w:val="99"/>
                      <w:sz w:val="20"/>
                    </w:rPr>
                    <w:t> </w:t>
                  </w:r>
                  <w:r>
                    <w:rPr>
                      <w:rFonts w:ascii="Segoe UI"/>
                      <w:color w:val="452A70"/>
                      <w:sz w:val="20"/>
                    </w:rPr>
                    <w:t>boarding</w:t>
                  </w:r>
                  <w:r>
                    <w:rPr>
                      <w:rFonts w:ascii="Segoe UI"/>
                      <w:color w:val="452A70"/>
                      <w:spacing w:val="-7"/>
                      <w:sz w:val="20"/>
                    </w:rPr>
                    <w:t> </w:t>
                  </w:r>
                  <w:r>
                    <w:rPr>
                      <w:rFonts w:ascii="Segoe UI"/>
                      <w:color w:val="452A70"/>
                      <w:sz w:val="20"/>
                    </w:rPr>
                    <w:t>providers</w:t>
                  </w:r>
                  <w:r>
                    <w:rPr>
                      <w:rFonts w:ascii="Segoe UI"/>
                      <w:color w:val="452A70"/>
                      <w:spacing w:val="-7"/>
                      <w:sz w:val="20"/>
                    </w:rPr>
                    <w:t> </w:t>
                  </w:r>
                  <w:r>
                    <w:rPr>
                      <w:rFonts w:ascii="Segoe UI"/>
                      <w:color w:val="452A70"/>
                      <w:sz w:val="20"/>
                    </w:rPr>
                    <w:t>and</w:t>
                  </w:r>
                  <w:r>
                    <w:rPr>
                      <w:rFonts w:ascii="Segoe UI"/>
                      <w:color w:val="452A70"/>
                      <w:spacing w:val="-7"/>
                      <w:sz w:val="20"/>
                    </w:rPr>
                    <w:t> </w:t>
                  </w:r>
                  <w:r>
                    <w:rPr>
                      <w:rFonts w:ascii="Segoe UI"/>
                      <w:color w:val="452A70"/>
                      <w:sz w:val="20"/>
                    </w:rPr>
                    <w:t>other</w:t>
                  </w:r>
                  <w:r>
                    <w:rPr>
                      <w:rFonts w:ascii="Segoe UI"/>
                      <w:color w:val="452A70"/>
                      <w:spacing w:val="-6"/>
                      <w:sz w:val="20"/>
                    </w:rPr>
                    <w:t> </w:t>
                  </w:r>
                  <w:r>
                    <w:rPr>
                      <w:rFonts w:ascii="Segoe UI"/>
                      <w:color w:val="452A70"/>
                      <w:sz w:val="20"/>
                    </w:rPr>
                    <w:t>providers</w:t>
                  </w:r>
                  <w:r>
                    <w:rPr>
                      <w:rFonts w:ascii="Segoe UI"/>
                      <w:color w:val="452A70"/>
                      <w:spacing w:val="-7"/>
                      <w:sz w:val="20"/>
                    </w:rPr>
                    <w:t> </w:t>
                  </w:r>
                  <w:r>
                    <w:rPr>
                      <w:rFonts w:ascii="Segoe UI"/>
                      <w:color w:val="452A70"/>
                      <w:spacing w:val="-1"/>
                      <w:sz w:val="20"/>
                    </w:rPr>
                    <w:t>located</w:t>
                  </w:r>
                  <w:r>
                    <w:rPr>
                      <w:rFonts w:ascii="Segoe UI"/>
                      <w:color w:val="452A70"/>
                      <w:spacing w:val="-6"/>
                      <w:sz w:val="20"/>
                    </w:rPr>
                    <w:t> </w:t>
                  </w:r>
                  <w:r>
                    <w:rPr>
                      <w:rFonts w:ascii="Segoe UI"/>
                      <w:color w:val="452A70"/>
                      <w:spacing w:val="-1"/>
                      <w:sz w:val="20"/>
                    </w:rPr>
                    <w:t>in</w:t>
                  </w:r>
                  <w:r>
                    <w:rPr>
                      <w:rFonts w:ascii="Segoe UI"/>
                      <w:color w:val="452A70"/>
                      <w:spacing w:val="-6"/>
                      <w:sz w:val="20"/>
                    </w:rPr>
                    <w:t> </w:t>
                  </w:r>
                  <w:r>
                    <w:rPr>
                      <w:rFonts w:ascii="Segoe UI"/>
                      <w:color w:val="452A70"/>
                      <w:sz w:val="20"/>
                    </w:rPr>
                    <w:t>regional,</w:t>
                  </w:r>
                  <w:r>
                    <w:rPr>
                      <w:rFonts w:ascii="Segoe UI"/>
                      <w:color w:val="452A70"/>
                      <w:spacing w:val="-7"/>
                      <w:sz w:val="20"/>
                    </w:rPr>
                    <w:t> </w:t>
                  </w:r>
                  <w:r>
                    <w:rPr>
                      <w:rFonts w:ascii="Segoe UI"/>
                      <w:color w:val="452A70"/>
                      <w:sz w:val="20"/>
                    </w:rPr>
                    <w:t>remote</w:t>
                  </w:r>
                  <w:r>
                    <w:rPr>
                      <w:rFonts w:ascii="Segoe UI"/>
                      <w:color w:val="452A70"/>
                      <w:spacing w:val="-7"/>
                      <w:sz w:val="20"/>
                    </w:rPr>
                    <w:t> </w:t>
                  </w:r>
                  <w:r>
                    <w:rPr>
                      <w:rFonts w:ascii="Segoe UI"/>
                      <w:color w:val="452A70"/>
                      <w:sz w:val="20"/>
                    </w:rPr>
                    <w:t>and</w:t>
                  </w:r>
                  <w:r>
                    <w:rPr>
                      <w:rFonts w:ascii="Segoe UI"/>
                      <w:color w:val="452A70"/>
                      <w:spacing w:val="-7"/>
                      <w:sz w:val="20"/>
                    </w:rPr>
                    <w:t> </w:t>
                  </w:r>
                  <w:r>
                    <w:rPr>
                      <w:rFonts w:ascii="Segoe UI"/>
                      <w:color w:val="452A70"/>
                      <w:sz w:val="20"/>
                    </w:rPr>
                    <w:t>very</w:t>
                  </w:r>
                  <w:r>
                    <w:rPr>
                      <w:rFonts w:ascii="Segoe UI"/>
                      <w:color w:val="452A70"/>
                      <w:spacing w:val="-6"/>
                      <w:sz w:val="20"/>
                    </w:rPr>
                    <w:t> </w:t>
                  </w:r>
                  <w:r>
                    <w:rPr>
                      <w:rFonts w:ascii="Segoe UI"/>
                      <w:color w:val="452A70"/>
                      <w:sz w:val="20"/>
                    </w:rPr>
                    <w:t>remote</w:t>
                  </w:r>
                  <w:r>
                    <w:rPr>
                      <w:rFonts w:ascii="Segoe UI"/>
                      <w:color w:val="452A70"/>
                      <w:spacing w:val="-7"/>
                      <w:sz w:val="20"/>
                    </w:rPr>
                    <w:t> </w:t>
                  </w:r>
                  <w:r>
                    <w:rPr>
                      <w:rFonts w:ascii="Segoe UI"/>
                      <w:color w:val="452A70"/>
                      <w:sz w:val="20"/>
                    </w:rPr>
                    <w:t>areas.</w:t>
                  </w:r>
                  <w:r>
                    <w:rPr>
                      <w:rFonts w:ascii="Segoe UI"/>
                      <w:sz w:val="20"/>
                    </w:rPr>
                  </w:r>
                </w:p>
              </w:txbxContent>
            </v:textbox>
            <v:fill type="solid"/>
            <v:stroke dashstyle="dash"/>
            <w10:wrap type="none"/>
          </v:shape>
        </w:pict>
      </w:r>
      <w:r>
        <w:rPr>
          <w:rFonts w:ascii="Segoe UI" w:hAnsi="Segoe UI" w:cs="Segoe UI" w:eastAsia="Segoe UI"/>
          <w:sz w:val="20"/>
          <w:szCs w:val="20"/>
        </w:rPr>
      </w:r>
    </w:p>
    <w:p>
      <w:pPr>
        <w:spacing w:after="0" w:line="200" w:lineRule="atLeast"/>
        <w:rPr>
          <w:rFonts w:ascii="Segoe UI" w:hAnsi="Segoe UI" w:cs="Segoe UI" w:eastAsia="Segoe UI"/>
          <w:sz w:val="20"/>
          <w:szCs w:val="20"/>
        </w:rPr>
        <w:sectPr>
          <w:type w:val="continuous"/>
          <w:pgSz w:w="11910" w:h="16840"/>
          <w:pgMar w:top="1580" w:bottom="280" w:left="1560" w:right="1300"/>
        </w:sectPr>
      </w:pPr>
    </w:p>
    <w:p>
      <w:pPr>
        <w:spacing w:line="240" w:lineRule="auto" w:before="0"/>
        <w:rPr>
          <w:rFonts w:ascii="Segoe UI" w:hAnsi="Segoe UI" w:cs="Segoe UI" w:eastAsia="Segoe UI"/>
          <w:sz w:val="20"/>
          <w:szCs w:val="20"/>
        </w:rPr>
      </w:pPr>
    </w:p>
    <w:p>
      <w:pPr>
        <w:spacing w:line="240" w:lineRule="auto" w:before="11"/>
        <w:rPr>
          <w:rFonts w:ascii="Segoe UI" w:hAnsi="Segoe UI" w:cs="Segoe UI" w:eastAsia="Segoe UI"/>
          <w:sz w:val="20"/>
          <w:szCs w:val="20"/>
        </w:rPr>
      </w:pPr>
    </w:p>
    <w:p>
      <w:pPr>
        <w:spacing w:after="0" w:line="240" w:lineRule="auto"/>
        <w:rPr>
          <w:rFonts w:ascii="Segoe UI" w:hAnsi="Segoe UI" w:cs="Segoe UI" w:eastAsia="Segoe UI"/>
          <w:sz w:val="20"/>
          <w:szCs w:val="20"/>
        </w:rPr>
        <w:sectPr>
          <w:footerReference w:type="even" r:id="rId69"/>
          <w:footerReference w:type="default" r:id="rId70"/>
          <w:pgSz w:w="11910" w:h="16840"/>
          <w:pgMar w:footer="691" w:header="0" w:top="1580" w:bottom="880" w:left="1300" w:right="1600"/>
        </w:sectPr>
      </w:pPr>
    </w:p>
    <w:p>
      <w:pPr>
        <w:pStyle w:val="BodyText"/>
        <w:spacing w:line="250" w:lineRule="exact" w:before="72"/>
        <w:ind w:left="570" w:right="165"/>
        <w:jc w:val="left"/>
        <w:rPr>
          <w:rFonts w:ascii="Segoe UI Semibold" w:hAnsi="Segoe UI Semibold" w:cs="Segoe UI Semibold" w:eastAsia="Segoe UI Semibold"/>
          <w:sz w:val="11"/>
          <w:szCs w:val="11"/>
        </w:rPr>
      </w:pPr>
      <w:r>
        <w:rPr>
          <w:rFonts w:ascii="Segoe UI Semibold"/>
          <w:b/>
          <w:color w:val="00779B"/>
          <w:spacing w:val="-1"/>
        </w:rPr>
        <w:t>Although</w:t>
      </w:r>
      <w:r>
        <w:rPr>
          <w:rFonts w:ascii="Segoe UI Semibold"/>
          <w:b/>
          <w:color w:val="00779B"/>
        </w:rPr>
        <w:t> Indigenous</w:t>
      </w:r>
      <w:r>
        <w:rPr>
          <w:rFonts w:ascii="Segoe UI Semibold"/>
          <w:b/>
          <w:color w:val="00779B"/>
          <w:spacing w:val="-2"/>
        </w:rPr>
        <w:t> </w:t>
      </w:r>
      <w:r>
        <w:rPr>
          <w:rFonts w:ascii="Segoe UI Semibold"/>
          <w:b/>
          <w:color w:val="00779B"/>
          <w:spacing w:val="-1"/>
        </w:rPr>
        <w:t>incomes</w:t>
      </w:r>
      <w:r>
        <w:rPr>
          <w:rFonts w:ascii="Segoe UI Semibold"/>
          <w:b/>
          <w:color w:val="00779B"/>
        </w:rPr>
        <w:t> </w:t>
      </w:r>
      <w:r>
        <w:rPr>
          <w:rFonts w:ascii="Segoe UI Semibold"/>
          <w:b/>
          <w:color w:val="00779B"/>
          <w:spacing w:val="-1"/>
        </w:rPr>
        <w:t>are</w:t>
      </w:r>
      <w:r>
        <w:rPr>
          <w:rFonts w:ascii="Segoe UI Semibold"/>
          <w:b/>
          <w:color w:val="00779B"/>
          <w:spacing w:val="24"/>
        </w:rPr>
        <w:t> </w:t>
      </w:r>
      <w:r>
        <w:rPr>
          <w:rFonts w:ascii="Segoe UI Semibold"/>
          <w:b/>
          <w:color w:val="00779B"/>
          <w:spacing w:val="-1"/>
        </w:rPr>
        <w:t>growing steadily</w:t>
      </w:r>
      <w:r>
        <w:rPr>
          <w:rFonts w:ascii="Segoe UI Semibold"/>
          <w:b/>
          <w:color w:val="00779B"/>
        </w:rPr>
        <w:t> </w:t>
      </w:r>
      <w:r>
        <w:rPr>
          <w:rFonts w:ascii="Segoe UI Semibold"/>
          <w:b/>
          <w:color w:val="00779B"/>
          <w:spacing w:val="-1"/>
        </w:rPr>
        <w:t>in</w:t>
      </w:r>
      <w:r>
        <w:rPr>
          <w:rFonts w:ascii="Segoe UI Semibold"/>
          <w:b/>
          <w:color w:val="00779B"/>
          <w:spacing w:val="-2"/>
        </w:rPr>
        <w:t> </w:t>
      </w:r>
      <w:r>
        <w:rPr>
          <w:rFonts w:ascii="Segoe UI Semibold"/>
          <w:b/>
          <w:color w:val="00779B"/>
          <w:spacing w:val="-1"/>
        </w:rPr>
        <w:t>urban areas,</w:t>
      </w:r>
      <w:r>
        <w:rPr>
          <w:rFonts w:ascii="Segoe UI Semibold"/>
          <w:b/>
          <w:color w:val="00779B"/>
          <w:spacing w:val="24"/>
        </w:rPr>
        <w:t> </w:t>
      </w:r>
      <w:r>
        <w:rPr>
          <w:rFonts w:ascii="Segoe UI Semibold"/>
          <w:b/>
          <w:color w:val="00779B"/>
          <w:spacing w:val="-1"/>
        </w:rPr>
        <w:t>where</w:t>
      </w:r>
      <w:r>
        <w:rPr>
          <w:rFonts w:ascii="Segoe UI Semibold"/>
          <w:b/>
          <w:color w:val="00779B"/>
          <w:spacing w:val="-5"/>
        </w:rPr>
        <w:t> </w:t>
      </w:r>
      <w:r>
        <w:rPr>
          <w:rFonts w:ascii="Segoe UI Semibold"/>
          <w:b/>
          <w:color w:val="00779B"/>
        </w:rPr>
        <w:t>median</w:t>
      </w:r>
      <w:r>
        <w:rPr>
          <w:rFonts w:ascii="Segoe UI Semibold"/>
          <w:b/>
          <w:color w:val="00779B"/>
          <w:spacing w:val="-4"/>
        </w:rPr>
        <w:t> </w:t>
      </w:r>
      <w:r>
        <w:rPr>
          <w:rFonts w:ascii="Segoe UI Semibold"/>
          <w:b/>
          <w:color w:val="00779B"/>
        </w:rPr>
        <w:t>disposable</w:t>
      </w:r>
      <w:r>
        <w:rPr>
          <w:rFonts w:ascii="Segoe UI Semibold"/>
          <w:b/>
          <w:color w:val="00779B"/>
          <w:spacing w:val="-5"/>
        </w:rPr>
        <w:t> </w:t>
      </w:r>
      <w:r>
        <w:rPr>
          <w:rFonts w:ascii="Segoe UI Semibold"/>
          <w:b/>
          <w:color w:val="00779B"/>
          <w:spacing w:val="-1"/>
        </w:rPr>
        <w:t>equivalised</w:t>
      </w:r>
      <w:r>
        <w:rPr>
          <w:rFonts w:ascii="Segoe UI Semibold"/>
          <w:b/>
          <w:color w:val="00779B"/>
          <w:spacing w:val="24"/>
        </w:rPr>
        <w:t> </w:t>
      </w:r>
      <w:r>
        <w:rPr>
          <w:rFonts w:ascii="Segoe UI Semibold"/>
          <w:b/>
          <w:color w:val="00779B"/>
        </w:rPr>
        <w:t>household</w:t>
      </w:r>
      <w:r>
        <w:rPr>
          <w:rFonts w:ascii="Segoe UI Semibold"/>
          <w:b/>
          <w:color w:val="00779B"/>
          <w:spacing w:val="-3"/>
        </w:rPr>
        <w:t> </w:t>
      </w:r>
      <w:r>
        <w:rPr>
          <w:rFonts w:ascii="Segoe UI Semibold"/>
          <w:b/>
          <w:color w:val="00779B"/>
          <w:spacing w:val="-1"/>
        </w:rPr>
        <w:t>income rose </w:t>
      </w:r>
      <w:r>
        <w:rPr>
          <w:rFonts w:ascii="Segoe UI Semibold"/>
          <w:b/>
          <w:color w:val="00779B"/>
        </w:rPr>
        <w:t>by</w:t>
      </w:r>
      <w:r>
        <w:rPr>
          <w:rFonts w:ascii="Segoe UI Semibold"/>
          <w:b/>
          <w:color w:val="00779B"/>
          <w:spacing w:val="-2"/>
        </w:rPr>
        <w:t> </w:t>
      </w:r>
      <w:r>
        <w:rPr>
          <w:rFonts w:ascii="Segoe UI Semibold"/>
          <w:b/>
          <w:color w:val="00779B"/>
          <w:spacing w:val="-1"/>
        </w:rPr>
        <w:t>$57 </w:t>
      </w:r>
      <w:r>
        <w:rPr>
          <w:rFonts w:ascii="Segoe UI Semibold"/>
          <w:b/>
          <w:color w:val="00779B"/>
        </w:rPr>
        <w:t>per</w:t>
      </w:r>
      <w:r>
        <w:rPr>
          <w:rFonts w:ascii="Segoe UI Semibold"/>
          <w:b/>
          <w:color w:val="00779B"/>
          <w:spacing w:val="23"/>
          <w:w w:val="99"/>
        </w:rPr>
        <w:t> </w:t>
      </w:r>
      <w:r>
        <w:rPr>
          <w:rFonts w:ascii="Segoe UI Semibold"/>
          <w:b/>
          <w:color w:val="00779B"/>
          <w:spacing w:val="-1"/>
        </w:rPr>
        <w:t>week</w:t>
      </w:r>
      <w:r>
        <w:rPr>
          <w:rFonts w:ascii="Segoe UI Semibold"/>
          <w:b/>
          <w:color w:val="00779B"/>
        </w:rPr>
        <w:t> </w:t>
      </w:r>
      <w:r>
        <w:rPr>
          <w:rFonts w:ascii="Segoe UI Semibold"/>
          <w:b/>
          <w:color w:val="00779B"/>
          <w:spacing w:val="-1"/>
        </w:rPr>
        <w:t>in real</w:t>
      </w:r>
      <w:r>
        <w:rPr>
          <w:rFonts w:ascii="Segoe UI Semibold"/>
          <w:b/>
          <w:color w:val="00779B"/>
        </w:rPr>
        <w:t> </w:t>
      </w:r>
      <w:r>
        <w:rPr>
          <w:rFonts w:ascii="Segoe UI Semibold"/>
          <w:b/>
          <w:color w:val="00779B"/>
          <w:spacing w:val="-1"/>
        </w:rPr>
        <w:t>terms</w:t>
      </w:r>
      <w:r>
        <w:rPr>
          <w:rFonts w:ascii="Segoe UI Semibold"/>
          <w:b/>
          <w:color w:val="00779B"/>
        </w:rPr>
        <w:t> </w:t>
      </w:r>
      <w:r>
        <w:rPr>
          <w:rFonts w:ascii="Segoe UI Semibold"/>
          <w:b/>
          <w:color w:val="00779B"/>
          <w:spacing w:val="-1"/>
        </w:rPr>
        <w:t>between</w:t>
      </w:r>
      <w:r>
        <w:rPr>
          <w:rFonts w:ascii="Segoe UI Semibold"/>
          <w:b/>
          <w:color w:val="00779B"/>
        </w:rPr>
        <w:t> </w:t>
      </w:r>
      <w:r>
        <w:rPr>
          <w:rFonts w:ascii="Segoe UI Semibold"/>
          <w:b/>
          <w:color w:val="00779B"/>
          <w:spacing w:val="-1"/>
        </w:rPr>
        <w:t>2011</w:t>
      </w:r>
      <w:r>
        <w:rPr>
          <w:rFonts w:ascii="Segoe UI Semibold"/>
          <w:b/>
          <w:color w:val="00779B"/>
        </w:rPr>
        <w:t> and</w:t>
      </w:r>
      <w:r>
        <w:rPr>
          <w:rFonts w:ascii="Segoe UI Semibold"/>
          <w:b/>
          <w:color w:val="00779B"/>
          <w:spacing w:val="27"/>
        </w:rPr>
        <w:t> </w:t>
      </w:r>
      <w:r>
        <w:rPr>
          <w:rFonts w:ascii="Segoe UI Semibold"/>
          <w:b/>
          <w:color w:val="00779B"/>
          <w:spacing w:val="-1"/>
        </w:rPr>
        <w:t>2016,</w:t>
      </w:r>
      <w:r>
        <w:rPr>
          <w:rFonts w:ascii="Segoe UI Semibold"/>
          <w:b/>
          <w:color w:val="00779B"/>
          <w:spacing w:val="-4"/>
        </w:rPr>
        <w:t> </w:t>
      </w:r>
      <w:r>
        <w:rPr>
          <w:rFonts w:ascii="Segoe UI Semibold"/>
          <w:b/>
          <w:color w:val="00779B"/>
        </w:rPr>
        <w:t>median</w:t>
      </w:r>
      <w:r>
        <w:rPr>
          <w:rFonts w:ascii="Segoe UI Semibold"/>
          <w:b/>
          <w:color w:val="00779B"/>
          <w:spacing w:val="-4"/>
        </w:rPr>
        <w:t> </w:t>
      </w:r>
      <w:r>
        <w:rPr>
          <w:rFonts w:ascii="Segoe UI Semibold"/>
          <w:b/>
          <w:color w:val="00779B"/>
        </w:rPr>
        <w:t>disposable</w:t>
      </w:r>
      <w:r>
        <w:rPr>
          <w:rFonts w:ascii="Segoe UI Semibold"/>
          <w:b/>
          <w:color w:val="00779B"/>
          <w:spacing w:val="-5"/>
        </w:rPr>
        <w:t> </w:t>
      </w:r>
      <w:r>
        <w:rPr>
          <w:rFonts w:ascii="Segoe UI Semibold"/>
          <w:b/>
          <w:color w:val="00779B"/>
          <w:spacing w:val="-1"/>
        </w:rPr>
        <w:t>equivalised</w:t>
      </w:r>
      <w:r>
        <w:rPr>
          <w:rFonts w:ascii="Segoe UI Semibold"/>
          <w:b/>
          <w:color w:val="00779B"/>
          <w:spacing w:val="26"/>
        </w:rPr>
        <w:t> </w:t>
      </w:r>
      <w:r>
        <w:rPr>
          <w:rFonts w:ascii="Segoe UI Semibold"/>
          <w:b/>
          <w:color w:val="00779B"/>
        </w:rPr>
        <w:t>household</w:t>
      </w:r>
      <w:r>
        <w:rPr>
          <w:rFonts w:ascii="Segoe UI Semibold"/>
          <w:b/>
          <w:color w:val="00779B"/>
          <w:spacing w:val="-1"/>
        </w:rPr>
        <w:t> income</w:t>
      </w:r>
      <w:r>
        <w:rPr>
          <w:rFonts w:ascii="Segoe UI Semibold"/>
          <w:b/>
          <w:color w:val="00779B"/>
        </w:rPr>
        <w:t> </w:t>
      </w:r>
      <w:r>
        <w:rPr>
          <w:rFonts w:ascii="Segoe UI Semibold"/>
          <w:b/>
          <w:color w:val="00779B"/>
          <w:spacing w:val="-1"/>
        </w:rPr>
        <w:t>in </w:t>
      </w:r>
      <w:r>
        <w:rPr>
          <w:rFonts w:ascii="Segoe UI Semibold"/>
          <w:b/>
          <w:color w:val="00779B"/>
          <w:spacing w:val="1"/>
        </w:rPr>
        <w:t>very</w:t>
      </w:r>
      <w:r>
        <w:rPr>
          <w:rFonts w:ascii="Segoe UI Semibold"/>
          <w:b/>
          <w:color w:val="00779B"/>
          <w:spacing w:val="-1"/>
        </w:rPr>
        <w:t> </w:t>
      </w:r>
      <w:r>
        <w:rPr>
          <w:rFonts w:ascii="Segoe UI Semibold"/>
          <w:b/>
          <w:color w:val="00779B"/>
          <w:spacing w:val="-2"/>
        </w:rPr>
        <w:t>remote</w:t>
      </w:r>
      <w:r>
        <w:rPr>
          <w:rFonts w:ascii="Segoe UI Semibold"/>
          <w:b/>
          <w:color w:val="00779B"/>
          <w:spacing w:val="29"/>
        </w:rPr>
        <w:t> </w:t>
      </w:r>
      <w:r>
        <w:rPr>
          <w:rFonts w:ascii="Segoe UI Semibold"/>
          <w:b/>
          <w:color w:val="00779B"/>
          <w:spacing w:val="-1"/>
        </w:rPr>
        <w:t>areas </w:t>
      </w:r>
      <w:r>
        <w:rPr>
          <w:rFonts w:ascii="Segoe UI Semibold"/>
          <w:b/>
          <w:color w:val="00779B"/>
        </w:rPr>
        <w:t>fell</w:t>
      </w:r>
      <w:r>
        <w:rPr>
          <w:rFonts w:ascii="Segoe UI Semibold"/>
          <w:b/>
          <w:color w:val="00779B"/>
          <w:spacing w:val="-2"/>
        </w:rPr>
        <w:t> </w:t>
      </w:r>
      <w:r>
        <w:rPr>
          <w:rFonts w:ascii="Segoe UI Semibold"/>
          <w:b/>
          <w:color w:val="00779B"/>
        </w:rPr>
        <w:t>by</w:t>
      </w:r>
      <w:r>
        <w:rPr>
          <w:rFonts w:ascii="Segoe UI Semibold"/>
          <w:b/>
          <w:color w:val="00779B"/>
          <w:spacing w:val="-2"/>
        </w:rPr>
        <w:t> </w:t>
      </w:r>
      <w:r>
        <w:rPr>
          <w:rFonts w:ascii="Segoe UI Semibold"/>
          <w:b/>
          <w:color w:val="00779B"/>
          <w:spacing w:val="-1"/>
        </w:rPr>
        <w:t>$12</w:t>
      </w:r>
      <w:r>
        <w:rPr>
          <w:rFonts w:ascii="Segoe UI Semibold"/>
          <w:b/>
          <w:color w:val="00779B"/>
        </w:rPr>
        <w:t> per</w:t>
      </w:r>
      <w:r>
        <w:rPr>
          <w:rFonts w:ascii="Segoe UI Semibold"/>
          <w:b/>
          <w:color w:val="00779B"/>
          <w:spacing w:val="-2"/>
        </w:rPr>
        <w:t> </w:t>
      </w:r>
      <w:r>
        <w:rPr>
          <w:rFonts w:ascii="Segoe UI Semibold"/>
          <w:b/>
          <w:color w:val="00779B"/>
          <w:spacing w:val="-1"/>
        </w:rPr>
        <w:t>week over the</w:t>
      </w:r>
      <w:r>
        <w:rPr>
          <w:rFonts w:ascii="Segoe UI Semibold"/>
          <w:b/>
          <w:color w:val="00779B"/>
          <w:spacing w:val="23"/>
        </w:rPr>
        <w:t> </w:t>
      </w:r>
      <w:r>
        <w:rPr>
          <w:rFonts w:ascii="Segoe UI Semibold"/>
          <w:b/>
          <w:color w:val="00779B"/>
          <w:spacing w:val="-1"/>
        </w:rPr>
        <w:t>same</w:t>
      </w:r>
      <w:r>
        <w:rPr>
          <w:rFonts w:ascii="Segoe UI Semibold"/>
          <w:b/>
          <w:color w:val="00779B"/>
        </w:rPr>
        <w:t> period.</w:t>
      </w:r>
      <w:r>
        <w:rPr>
          <w:rFonts w:ascii="Segoe UI Semibold"/>
          <w:b/>
          <w:color w:val="00779B"/>
          <w:spacing w:val="-2"/>
        </w:rPr>
        <w:t> </w:t>
      </w:r>
      <w:r>
        <w:rPr>
          <w:rFonts w:ascii="Segoe UI Semibold"/>
          <w:b/>
          <w:color w:val="00779B"/>
        </w:rPr>
        <w:t>Indigenous</w:t>
      </w:r>
      <w:r>
        <w:rPr>
          <w:rFonts w:ascii="Segoe UI Semibold"/>
          <w:b/>
          <w:color w:val="00779B"/>
          <w:spacing w:val="-2"/>
        </w:rPr>
        <w:t> </w:t>
      </w:r>
      <w:r>
        <w:rPr>
          <w:rFonts w:ascii="Segoe UI Semibold"/>
          <w:b/>
          <w:color w:val="00779B"/>
          <w:spacing w:val="-1"/>
        </w:rPr>
        <w:t>cash</w:t>
      </w:r>
      <w:r>
        <w:rPr>
          <w:rFonts w:ascii="Segoe UI Semibold"/>
          <w:b/>
          <w:color w:val="00779B"/>
        </w:rPr>
        <w:t> poverty</w:t>
      </w:r>
      <w:r>
        <w:rPr>
          <w:rFonts w:ascii="Segoe UI Semibold"/>
          <w:b/>
          <w:color w:val="00779B"/>
          <w:spacing w:val="22"/>
        </w:rPr>
        <w:t> </w:t>
      </w:r>
      <w:r>
        <w:rPr>
          <w:rFonts w:ascii="Segoe UI Semibold"/>
          <w:b/>
          <w:color w:val="00779B"/>
          <w:spacing w:val="-1"/>
        </w:rPr>
        <w:t>rates in</w:t>
      </w:r>
      <w:r>
        <w:rPr>
          <w:rFonts w:ascii="Segoe UI Semibold"/>
          <w:b/>
          <w:color w:val="00779B"/>
          <w:spacing w:val="-2"/>
        </w:rPr>
        <w:t> </w:t>
      </w:r>
      <w:r>
        <w:rPr>
          <w:rFonts w:ascii="Segoe UI Semibold"/>
          <w:b/>
          <w:color w:val="00779B"/>
          <w:spacing w:val="1"/>
        </w:rPr>
        <w:t>very</w:t>
      </w:r>
      <w:r>
        <w:rPr>
          <w:rFonts w:ascii="Segoe UI Semibold"/>
          <w:b/>
          <w:color w:val="00779B"/>
          <w:spacing w:val="-2"/>
        </w:rPr>
        <w:t> </w:t>
      </w:r>
      <w:r>
        <w:rPr>
          <w:rFonts w:ascii="Segoe UI Semibold"/>
          <w:b/>
          <w:color w:val="00779B"/>
          <w:spacing w:val="-1"/>
        </w:rPr>
        <w:t>remote areas rose from</w:t>
      </w:r>
      <w:r>
        <w:rPr>
          <w:rFonts w:ascii="Segoe UI Semibold"/>
          <w:b/>
          <w:color w:val="00779B"/>
          <w:spacing w:val="23"/>
          <w:w w:val="99"/>
        </w:rPr>
        <w:t> </w:t>
      </w:r>
      <w:r>
        <w:rPr>
          <w:rFonts w:ascii="Segoe UI Semibold"/>
          <w:b/>
          <w:color w:val="00779B"/>
          <w:spacing w:val="-1"/>
        </w:rPr>
        <w:t>46.9%</w:t>
      </w:r>
      <w:r>
        <w:rPr>
          <w:rFonts w:ascii="Segoe UI Semibold"/>
          <w:b/>
          <w:color w:val="00779B"/>
          <w:spacing w:val="1"/>
        </w:rPr>
        <w:t> </w:t>
      </w:r>
      <w:r>
        <w:rPr>
          <w:rFonts w:ascii="Segoe UI Semibold"/>
          <w:b/>
          <w:color w:val="00779B"/>
          <w:spacing w:val="-1"/>
        </w:rPr>
        <w:t>in</w:t>
      </w:r>
      <w:r>
        <w:rPr>
          <w:rFonts w:ascii="Segoe UI Semibold"/>
          <w:b/>
          <w:color w:val="00779B"/>
          <w:spacing w:val="1"/>
        </w:rPr>
        <w:t> </w:t>
      </w:r>
      <w:r>
        <w:rPr>
          <w:rFonts w:ascii="Segoe UI Semibold"/>
          <w:b/>
          <w:color w:val="00779B"/>
          <w:spacing w:val="-1"/>
        </w:rPr>
        <w:t>2011</w:t>
      </w:r>
      <w:r>
        <w:rPr>
          <w:rFonts w:ascii="Segoe UI Semibold"/>
          <w:b/>
          <w:color w:val="00779B"/>
          <w:spacing w:val="2"/>
        </w:rPr>
        <w:t> </w:t>
      </w:r>
      <w:r>
        <w:rPr>
          <w:rFonts w:ascii="Segoe UI Semibold"/>
          <w:b/>
          <w:color w:val="00779B"/>
          <w:spacing w:val="-1"/>
        </w:rPr>
        <w:t>to</w:t>
      </w:r>
      <w:r>
        <w:rPr>
          <w:rFonts w:ascii="Segoe UI Semibold"/>
          <w:b/>
          <w:color w:val="00779B"/>
        </w:rPr>
        <w:t> </w:t>
      </w:r>
      <w:r>
        <w:rPr>
          <w:rFonts w:ascii="Segoe UI Semibold"/>
          <w:b/>
          <w:color w:val="00779B"/>
          <w:spacing w:val="-1"/>
        </w:rPr>
        <w:t>53.4%</w:t>
      </w:r>
      <w:r>
        <w:rPr>
          <w:rFonts w:ascii="Segoe UI Semibold"/>
          <w:b/>
          <w:color w:val="00779B"/>
          <w:spacing w:val="2"/>
        </w:rPr>
        <w:t> </w:t>
      </w:r>
      <w:r>
        <w:rPr>
          <w:rFonts w:ascii="Segoe UI Semibold"/>
          <w:b/>
          <w:color w:val="00779B"/>
          <w:spacing w:val="-1"/>
        </w:rPr>
        <w:t>in</w:t>
      </w:r>
      <w:r>
        <w:rPr>
          <w:rFonts w:ascii="Segoe UI Semibold"/>
          <w:b/>
          <w:color w:val="00779B"/>
          <w:spacing w:val="1"/>
        </w:rPr>
        <w:t> </w:t>
      </w:r>
      <w:r>
        <w:rPr>
          <w:rFonts w:ascii="Segoe UI Semibold"/>
          <w:b/>
          <w:color w:val="00779B"/>
          <w:spacing w:val="-1"/>
        </w:rPr>
        <w:t>2016.</w:t>
      </w:r>
      <w:r>
        <w:rPr>
          <w:rFonts w:ascii="Segoe UI Semibold"/>
          <w:b/>
          <w:color w:val="00779B"/>
          <w:spacing w:val="-1"/>
          <w:position w:val="7"/>
          <w:sz w:val="11"/>
        </w:rPr>
        <w:t>129</w:t>
      </w:r>
      <w:r>
        <w:rPr>
          <w:rFonts w:ascii="Segoe UI Semibold"/>
          <w:sz w:val="11"/>
        </w:rPr>
      </w:r>
    </w:p>
    <w:p>
      <w:pPr>
        <w:pStyle w:val="BodyText"/>
        <w:spacing w:line="250" w:lineRule="exact" w:before="113"/>
        <w:ind w:right="165"/>
        <w:jc w:val="left"/>
      </w:pPr>
      <w:r>
        <w:rPr>
          <w:color w:val="231F20"/>
        </w:rPr>
        <w:t>One</w:t>
      </w:r>
      <w:r>
        <w:rPr>
          <w:color w:val="231F20"/>
          <w:spacing w:val="-8"/>
        </w:rPr>
        <w:t> </w:t>
      </w:r>
      <w:r>
        <w:rPr>
          <w:color w:val="231F20"/>
        </w:rPr>
        <w:t>boarding</w:t>
      </w:r>
      <w:r>
        <w:rPr>
          <w:color w:val="231F20"/>
          <w:spacing w:val="-8"/>
        </w:rPr>
        <w:t> </w:t>
      </w:r>
      <w:r>
        <w:rPr>
          <w:color w:val="231F20"/>
        </w:rPr>
        <w:t>provider</w:t>
      </w:r>
      <w:r>
        <w:rPr>
          <w:color w:val="231F20"/>
          <w:spacing w:val="-8"/>
        </w:rPr>
        <w:t> </w:t>
      </w:r>
      <w:r>
        <w:rPr>
          <w:color w:val="231F20"/>
          <w:spacing w:val="-1"/>
        </w:rPr>
        <w:t>indicated</w:t>
      </w:r>
      <w:r>
        <w:rPr>
          <w:color w:val="231F20"/>
          <w:spacing w:val="-6"/>
        </w:rPr>
        <w:t> </w:t>
      </w:r>
      <w:r>
        <w:rPr>
          <w:color w:val="231F20"/>
        </w:rPr>
        <w:t>that</w:t>
      </w:r>
      <w:r>
        <w:rPr>
          <w:color w:val="231F20"/>
          <w:spacing w:val="-8"/>
        </w:rPr>
        <w:t> </w:t>
      </w:r>
      <w:r>
        <w:rPr>
          <w:color w:val="231F20"/>
        </w:rPr>
        <w:t>the</w:t>
      </w:r>
      <w:r>
        <w:rPr>
          <w:color w:val="231F20"/>
          <w:spacing w:val="22"/>
          <w:w w:val="99"/>
        </w:rPr>
        <w:t> </w:t>
      </w:r>
      <w:r>
        <w:rPr>
          <w:color w:val="231F20"/>
          <w:spacing w:val="-1"/>
        </w:rPr>
        <w:t>school’s</w:t>
      </w:r>
      <w:r>
        <w:rPr>
          <w:color w:val="231F20"/>
          <w:spacing w:val="-3"/>
        </w:rPr>
        <w:t> </w:t>
      </w:r>
      <w:r>
        <w:rPr>
          <w:color w:val="231F20"/>
        </w:rPr>
        <w:t>policy</w:t>
      </w:r>
      <w:r>
        <w:rPr>
          <w:color w:val="231F20"/>
          <w:spacing w:val="-2"/>
        </w:rPr>
        <w:t> </w:t>
      </w:r>
      <w:r>
        <w:rPr>
          <w:color w:val="231F20"/>
          <w:spacing w:val="-1"/>
        </w:rPr>
        <w:t>is</w:t>
      </w:r>
      <w:r>
        <w:rPr>
          <w:color w:val="231F20"/>
          <w:spacing w:val="-3"/>
        </w:rPr>
        <w:t> </w:t>
      </w:r>
      <w:r>
        <w:rPr>
          <w:color w:val="231F20"/>
        </w:rPr>
        <w:t>to</w:t>
      </w:r>
      <w:r>
        <w:rPr>
          <w:color w:val="231F20"/>
          <w:spacing w:val="-3"/>
        </w:rPr>
        <w:t> </w:t>
      </w:r>
      <w:r>
        <w:rPr>
          <w:color w:val="231F20"/>
          <w:spacing w:val="-1"/>
        </w:rPr>
        <w:t>invoice</w:t>
      </w:r>
      <w:r>
        <w:rPr>
          <w:color w:val="231F20"/>
          <w:spacing w:val="-2"/>
        </w:rPr>
        <w:t> </w:t>
      </w:r>
      <w:r>
        <w:rPr>
          <w:color w:val="231F20"/>
        </w:rPr>
        <w:t>parents</w:t>
      </w:r>
      <w:r>
        <w:rPr>
          <w:color w:val="231F20"/>
          <w:spacing w:val="-3"/>
        </w:rPr>
        <w:t> </w:t>
      </w:r>
      <w:r>
        <w:rPr>
          <w:color w:val="231F20"/>
        </w:rPr>
        <w:t>for</w:t>
      </w:r>
      <w:r>
        <w:rPr>
          <w:color w:val="231F20"/>
          <w:spacing w:val="-2"/>
        </w:rPr>
        <w:t> </w:t>
      </w:r>
      <w:r>
        <w:rPr>
          <w:color w:val="231F20"/>
        </w:rPr>
        <w:t>any</w:t>
      </w:r>
      <w:r>
        <w:rPr>
          <w:color w:val="231F20"/>
          <w:spacing w:val="24"/>
          <w:w w:val="99"/>
        </w:rPr>
        <w:t> </w:t>
      </w:r>
      <w:r>
        <w:rPr>
          <w:rFonts w:ascii="Segoe UI" w:hAnsi="Segoe UI" w:cs="Segoe UI" w:eastAsia="Segoe UI"/>
          <w:color w:val="231F20"/>
        </w:rPr>
        <w:t>differential</w:t>
      </w:r>
      <w:r>
        <w:rPr>
          <w:rFonts w:ascii="Segoe UI" w:hAnsi="Segoe UI" w:cs="Segoe UI" w:eastAsia="Segoe UI"/>
          <w:color w:val="231F20"/>
          <w:spacing w:val="-3"/>
        </w:rPr>
        <w:t> </w:t>
      </w:r>
      <w:r>
        <w:rPr>
          <w:rFonts w:ascii="Segoe UI" w:hAnsi="Segoe UI" w:cs="Segoe UI" w:eastAsia="Segoe UI"/>
          <w:color w:val="231F20"/>
        </w:rPr>
        <w:t>between</w:t>
      </w:r>
      <w:r>
        <w:rPr>
          <w:rFonts w:ascii="Segoe UI" w:hAnsi="Segoe UI" w:cs="Segoe UI" w:eastAsia="Segoe UI"/>
          <w:color w:val="231F20"/>
          <w:spacing w:val="-2"/>
        </w:rPr>
        <w:t> </w:t>
      </w:r>
      <w:r>
        <w:rPr>
          <w:rFonts w:ascii="Segoe UI" w:hAnsi="Segoe UI" w:cs="Segoe UI" w:eastAsia="Segoe UI"/>
          <w:color w:val="231F20"/>
        </w:rPr>
        <w:t>boarding</w:t>
      </w:r>
      <w:r>
        <w:rPr>
          <w:rFonts w:ascii="Segoe UI" w:hAnsi="Segoe UI" w:cs="Segoe UI" w:eastAsia="Segoe UI"/>
          <w:color w:val="231F20"/>
          <w:spacing w:val="-3"/>
        </w:rPr>
        <w:t> </w:t>
      </w:r>
      <w:r>
        <w:rPr>
          <w:rFonts w:ascii="Segoe UI" w:hAnsi="Segoe UI" w:cs="Segoe UI" w:eastAsia="Segoe UI"/>
          <w:color w:val="231F20"/>
        </w:rPr>
        <w:t>fees</w:t>
      </w:r>
      <w:r>
        <w:rPr>
          <w:rFonts w:ascii="Segoe UI" w:hAnsi="Segoe UI" w:cs="Segoe UI" w:eastAsia="Segoe UI"/>
          <w:color w:val="231F20"/>
          <w:spacing w:val="-2"/>
        </w:rPr>
        <w:t> </w:t>
      </w:r>
      <w:r>
        <w:rPr>
          <w:rFonts w:ascii="Segoe UI" w:hAnsi="Segoe UI" w:cs="Segoe UI" w:eastAsia="Segoe UI"/>
          <w:color w:val="231F20"/>
        </w:rPr>
        <w:t>and</w:t>
      </w:r>
      <w:r>
        <w:rPr>
          <w:rFonts w:ascii="Segoe UI" w:hAnsi="Segoe UI" w:cs="Segoe UI" w:eastAsia="Segoe UI"/>
          <w:color w:val="231F20"/>
        </w:rPr>
        <w:t> ABSTUDY.</w:t>
      </w:r>
      <w:r>
        <w:rPr>
          <w:rFonts w:ascii="Segoe UI" w:hAnsi="Segoe UI" w:cs="Segoe UI" w:eastAsia="Segoe UI"/>
          <w:color w:val="231F20"/>
          <w:spacing w:val="-2"/>
        </w:rPr>
        <w:t> </w:t>
      </w:r>
      <w:r>
        <w:rPr>
          <w:rFonts w:ascii="Segoe UI" w:hAnsi="Segoe UI" w:cs="Segoe UI" w:eastAsia="Segoe UI"/>
          <w:color w:val="231F20"/>
        </w:rPr>
        <w:t>The</w:t>
      </w:r>
      <w:r>
        <w:rPr>
          <w:rFonts w:ascii="Segoe UI" w:hAnsi="Segoe UI" w:cs="Segoe UI" w:eastAsia="Segoe UI"/>
          <w:color w:val="231F20"/>
          <w:spacing w:val="-1"/>
        </w:rPr>
        <w:t> </w:t>
      </w:r>
      <w:r>
        <w:rPr>
          <w:rFonts w:ascii="Segoe UI" w:hAnsi="Segoe UI" w:cs="Segoe UI" w:eastAsia="Segoe UI"/>
          <w:color w:val="231F20"/>
        </w:rPr>
        <w:t>provider</w:t>
      </w:r>
      <w:r>
        <w:rPr>
          <w:rFonts w:ascii="Segoe UI" w:hAnsi="Segoe UI" w:cs="Segoe UI" w:eastAsia="Segoe UI"/>
          <w:color w:val="231F20"/>
          <w:spacing w:val="-1"/>
        </w:rPr>
        <w:t> </w:t>
      </w:r>
      <w:r>
        <w:rPr>
          <w:rFonts w:ascii="Segoe UI" w:hAnsi="Segoe UI" w:cs="Segoe UI" w:eastAsia="Segoe UI"/>
          <w:color w:val="231F20"/>
        </w:rPr>
        <w:t>offers</w:t>
      </w:r>
      <w:r>
        <w:rPr>
          <w:rFonts w:ascii="Segoe UI" w:hAnsi="Segoe UI" w:cs="Segoe UI" w:eastAsia="Segoe UI"/>
          <w:color w:val="231F20"/>
          <w:spacing w:val="-1"/>
        </w:rPr>
        <w:t> </w:t>
      </w:r>
      <w:r>
        <w:rPr>
          <w:rFonts w:ascii="Segoe UI" w:hAnsi="Segoe UI" w:cs="Segoe UI" w:eastAsia="Segoe UI"/>
          <w:color w:val="231F20"/>
        </w:rPr>
        <w:t>repayment</w:t>
      </w:r>
      <w:r>
        <w:rPr>
          <w:rFonts w:ascii="Segoe UI" w:hAnsi="Segoe UI" w:cs="Segoe UI" w:eastAsia="Segoe UI"/>
          <w:color w:val="231F20"/>
        </w:rPr>
        <w:t> </w:t>
      </w:r>
      <w:r>
        <w:rPr>
          <w:color w:val="231F20"/>
        </w:rPr>
        <w:t>plans</w:t>
      </w:r>
      <w:r>
        <w:rPr>
          <w:color w:val="231F20"/>
          <w:spacing w:val="-4"/>
        </w:rPr>
        <w:t> </w:t>
      </w:r>
      <w:r>
        <w:rPr>
          <w:color w:val="231F20"/>
        </w:rPr>
        <w:t>as</w:t>
      </w:r>
      <w:r>
        <w:rPr>
          <w:color w:val="231F20"/>
          <w:spacing w:val="-3"/>
        </w:rPr>
        <w:t> </w:t>
      </w:r>
      <w:r>
        <w:rPr>
          <w:color w:val="231F20"/>
          <w:spacing w:val="-1"/>
        </w:rPr>
        <w:t>low</w:t>
      </w:r>
      <w:r>
        <w:rPr>
          <w:color w:val="231F20"/>
          <w:spacing w:val="-2"/>
        </w:rPr>
        <w:t> </w:t>
      </w:r>
      <w:r>
        <w:rPr>
          <w:color w:val="231F20"/>
        </w:rPr>
        <w:t>as</w:t>
      </w:r>
      <w:r>
        <w:rPr>
          <w:color w:val="231F20"/>
          <w:spacing w:val="-3"/>
        </w:rPr>
        <w:t> </w:t>
      </w:r>
      <w:r>
        <w:rPr>
          <w:color w:val="231F20"/>
          <w:spacing w:val="-1"/>
        </w:rPr>
        <w:t>$5</w:t>
      </w:r>
      <w:r>
        <w:rPr>
          <w:color w:val="231F20"/>
          <w:spacing w:val="-2"/>
        </w:rPr>
        <w:t> </w:t>
      </w:r>
      <w:r>
        <w:rPr>
          <w:color w:val="231F20"/>
        </w:rPr>
        <w:t>per</w:t>
      </w:r>
      <w:r>
        <w:rPr>
          <w:color w:val="231F20"/>
          <w:spacing w:val="-2"/>
        </w:rPr>
        <w:t> </w:t>
      </w:r>
      <w:r>
        <w:rPr>
          <w:color w:val="231F20"/>
        </w:rPr>
        <w:t>week</w:t>
      </w:r>
      <w:r>
        <w:rPr>
          <w:color w:val="231F20"/>
          <w:spacing w:val="-3"/>
        </w:rPr>
        <w:t> </w:t>
      </w:r>
      <w:r>
        <w:rPr>
          <w:color w:val="231F20"/>
        </w:rPr>
        <w:t>but</w:t>
      </w:r>
      <w:r>
        <w:rPr>
          <w:color w:val="231F20"/>
          <w:spacing w:val="-3"/>
        </w:rPr>
        <w:t> </w:t>
      </w:r>
      <w:r>
        <w:rPr>
          <w:color w:val="231F20"/>
          <w:spacing w:val="-1"/>
        </w:rPr>
        <w:t>still</w:t>
      </w:r>
      <w:r>
        <w:rPr>
          <w:color w:val="231F20"/>
          <w:spacing w:val="-2"/>
        </w:rPr>
        <w:t> </w:t>
      </w:r>
      <w:r>
        <w:rPr>
          <w:color w:val="231F20"/>
        </w:rPr>
        <w:t>writes</w:t>
      </w:r>
      <w:r>
        <w:rPr>
          <w:color w:val="231F20"/>
          <w:spacing w:val="24"/>
          <w:w w:val="99"/>
        </w:rPr>
        <w:t> </w:t>
      </w:r>
      <w:r>
        <w:rPr>
          <w:rFonts w:ascii="Segoe UI" w:hAnsi="Segoe UI" w:cs="Segoe UI" w:eastAsia="Segoe UI"/>
          <w:color w:val="231F20"/>
        </w:rPr>
        <w:t>off</w:t>
      </w:r>
      <w:r>
        <w:rPr>
          <w:rFonts w:ascii="Segoe UI" w:hAnsi="Segoe UI" w:cs="Segoe UI" w:eastAsia="Segoe UI"/>
          <w:color w:val="231F20"/>
          <w:spacing w:val="-1"/>
        </w:rPr>
        <w:t> </w:t>
      </w:r>
      <w:r>
        <w:rPr>
          <w:rFonts w:ascii="Segoe UI" w:hAnsi="Segoe UI" w:cs="Segoe UI" w:eastAsia="Segoe UI"/>
          <w:color w:val="231F20"/>
        </w:rPr>
        <w:t>approximately 80</w:t>
      </w:r>
      <w:r>
        <w:rPr>
          <w:rFonts w:ascii="Segoe UI" w:hAnsi="Segoe UI" w:cs="Segoe UI" w:eastAsia="Segoe UI"/>
          <w:color w:val="231F20"/>
          <w:spacing w:val="-1"/>
        </w:rPr>
        <w:t> </w:t>
      </w:r>
      <w:r>
        <w:rPr>
          <w:rFonts w:ascii="Segoe UI" w:hAnsi="Segoe UI" w:cs="Segoe UI" w:eastAsia="Segoe UI"/>
          <w:color w:val="231F20"/>
        </w:rPr>
        <w:t>per cent of</w:t>
      </w:r>
      <w:r>
        <w:rPr>
          <w:rFonts w:ascii="Segoe UI" w:hAnsi="Segoe UI" w:cs="Segoe UI" w:eastAsia="Segoe UI"/>
          <w:color w:val="231F20"/>
          <w:spacing w:val="-1"/>
        </w:rPr>
        <w:t> </w:t>
      </w:r>
      <w:r>
        <w:rPr>
          <w:rFonts w:ascii="Segoe UI" w:hAnsi="Segoe UI" w:cs="Segoe UI" w:eastAsia="Segoe UI"/>
          <w:color w:val="231F20"/>
        </w:rPr>
        <w:t>debts due</w:t>
      </w:r>
      <w:r>
        <w:rPr>
          <w:rFonts w:ascii="Segoe UI" w:hAnsi="Segoe UI" w:cs="Segoe UI" w:eastAsia="Segoe UI"/>
          <w:color w:val="231F20"/>
        </w:rPr>
        <w:t> </w:t>
      </w:r>
      <w:r>
        <w:rPr>
          <w:color w:val="231F20"/>
        </w:rPr>
        <w:t>to</w:t>
      </w:r>
      <w:r>
        <w:rPr>
          <w:color w:val="231F20"/>
          <w:spacing w:val="-4"/>
        </w:rPr>
        <w:t> </w:t>
      </w:r>
      <w:r>
        <w:rPr>
          <w:color w:val="231F20"/>
        </w:rPr>
        <w:t>the</w:t>
      </w:r>
      <w:r>
        <w:rPr>
          <w:color w:val="231F20"/>
          <w:spacing w:val="-5"/>
        </w:rPr>
        <w:t> </w:t>
      </w:r>
      <w:r>
        <w:rPr>
          <w:color w:val="231F20"/>
          <w:spacing w:val="-1"/>
        </w:rPr>
        <w:t>limited</w:t>
      </w:r>
      <w:r>
        <w:rPr>
          <w:color w:val="231F20"/>
          <w:spacing w:val="-3"/>
        </w:rPr>
        <w:t> </w:t>
      </w:r>
      <w:r>
        <w:rPr>
          <w:color w:val="231F20"/>
        </w:rPr>
        <w:t>capacity</w:t>
      </w:r>
      <w:r>
        <w:rPr>
          <w:color w:val="231F20"/>
          <w:spacing w:val="-5"/>
        </w:rPr>
        <w:t> </w:t>
      </w:r>
      <w:r>
        <w:rPr>
          <w:color w:val="231F20"/>
        </w:rPr>
        <w:t>of</w:t>
      </w:r>
      <w:r>
        <w:rPr>
          <w:color w:val="231F20"/>
          <w:spacing w:val="-3"/>
        </w:rPr>
        <w:t> </w:t>
      </w:r>
      <w:r>
        <w:rPr>
          <w:color w:val="231F20"/>
        </w:rPr>
        <w:t>parents</w:t>
      </w:r>
      <w:r>
        <w:rPr>
          <w:color w:val="231F20"/>
          <w:spacing w:val="-5"/>
        </w:rPr>
        <w:t> </w:t>
      </w:r>
      <w:r>
        <w:rPr>
          <w:color w:val="231F20"/>
        </w:rPr>
        <w:t>to</w:t>
      </w:r>
      <w:r>
        <w:rPr>
          <w:color w:val="231F20"/>
          <w:spacing w:val="-4"/>
        </w:rPr>
        <w:t> </w:t>
      </w:r>
      <w:r>
        <w:rPr>
          <w:color w:val="231F20"/>
        </w:rPr>
        <w:t>pay</w:t>
      </w:r>
      <w:r>
        <w:rPr>
          <w:color w:val="231F20"/>
          <w:spacing w:val="-3"/>
        </w:rPr>
        <w:t> </w:t>
      </w:r>
      <w:r>
        <w:rPr>
          <w:color w:val="231F20"/>
        </w:rPr>
        <w:t>and</w:t>
      </w:r>
      <w:r>
        <w:rPr/>
      </w:r>
    </w:p>
    <w:p>
      <w:pPr>
        <w:pStyle w:val="BodyText"/>
        <w:spacing w:line="242" w:lineRule="exact"/>
        <w:ind w:right="0"/>
        <w:jc w:val="left"/>
        <w:rPr>
          <w:rFonts w:ascii="Segoe UI" w:hAnsi="Segoe UI" w:cs="Segoe UI" w:eastAsia="Segoe UI"/>
        </w:rPr>
      </w:pPr>
      <w:r>
        <w:rPr>
          <w:rFonts w:ascii="Segoe UI"/>
          <w:color w:val="231F20"/>
        </w:rPr>
        <w:t>the</w:t>
      </w:r>
      <w:r>
        <w:rPr>
          <w:rFonts w:ascii="Segoe UI"/>
          <w:color w:val="231F20"/>
          <w:spacing w:val="-3"/>
        </w:rPr>
        <w:t> </w:t>
      </w:r>
      <w:r>
        <w:rPr>
          <w:rFonts w:ascii="Segoe UI"/>
          <w:color w:val="231F20"/>
        </w:rPr>
        <w:t>ineffectiveness</w:t>
      </w:r>
      <w:r>
        <w:rPr>
          <w:rFonts w:ascii="Segoe UI"/>
          <w:color w:val="231F20"/>
          <w:spacing w:val="-2"/>
        </w:rPr>
        <w:t> </w:t>
      </w:r>
      <w:r>
        <w:rPr>
          <w:rFonts w:ascii="Segoe UI"/>
          <w:color w:val="231F20"/>
        </w:rPr>
        <w:t>of</w:t>
      </w:r>
      <w:r>
        <w:rPr>
          <w:rFonts w:ascii="Segoe UI"/>
          <w:color w:val="231F20"/>
          <w:spacing w:val="-2"/>
        </w:rPr>
        <w:t> </w:t>
      </w:r>
      <w:r>
        <w:rPr>
          <w:rFonts w:ascii="Segoe UI"/>
          <w:color w:val="231F20"/>
        </w:rPr>
        <w:t>debt</w:t>
      </w:r>
      <w:r>
        <w:rPr>
          <w:rFonts w:ascii="Segoe UI"/>
          <w:color w:val="231F20"/>
          <w:spacing w:val="-2"/>
        </w:rPr>
        <w:t> </w:t>
      </w:r>
      <w:r>
        <w:rPr>
          <w:rFonts w:ascii="Segoe UI"/>
          <w:color w:val="231F20"/>
        </w:rPr>
        <w:t>recovery</w:t>
      </w:r>
      <w:r>
        <w:rPr>
          <w:rFonts w:ascii="Segoe UI"/>
          <w:color w:val="231F20"/>
          <w:spacing w:val="-2"/>
        </w:rPr>
        <w:t> </w:t>
      </w:r>
      <w:r>
        <w:rPr>
          <w:rFonts w:ascii="Segoe UI"/>
          <w:color w:val="231F20"/>
        </w:rPr>
        <w:t>in</w:t>
      </w:r>
      <w:r>
        <w:rPr>
          <w:rFonts w:ascii="Segoe UI"/>
          <w:color w:val="231F20"/>
          <w:spacing w:val="-2"/>
        </w:rPr>
        <w:t> </w:t>
      </w:r>
      <w:r>
        <w:rPr>
          <w:rFonts w:ascii="Segoe UI"/>
          <w:color w:val="231F20"/>
        </w:rPr>
        <w:t>remote</w:t>
      </w:r>
      <w:r>
        <w:rPr>
          <w:rFonts w:ascii="Segoe UI"/>
        </w:rPr>
      </w:r>
    </w:p>
    <w:p>
      <w:pPr>
        <w:pStyle w:val="BodyText"/>
        <w:spacing w:line="258" w:lineRule="exact"/>
        <w:ind w:right="0"/>
        <w:jc w:val="left"/>
      </w:pPr>
      <w:r>
        <w:rPr>
          <w:color w:val="231F20"/>
        </w:rPr>
        <w:t>communities.</w:t>
      </w:r>
      <w:r>
        <w:rPr/>
      </w:r>
    </w:p>
    <w:p>
      <w:pPr>
        <w:pStyle w:val="BodyText"/>
        <w:spacing w:line="250" w:lineRule="exact" w:before="113"/>
        <w:ind w:right="198"/>
        <w:jc w:val="left"/>
        <w:rPr>
          <w:rFonts w:ascii="Segoe UI" w:hAnsi="Segoe UI" w:cs="Segoe UI" w:eastAsia="Segoe UI"/>
        </w:rPr>
      </w:pPr>
      <w:r>
        <w:rPr>
          <w:color w:val="231F20"/>
          <w:spacing w:val="-1"/>
        </w:rPr>
        <w:t>While</w:t>
      </w:r>
      <w:r>
        <w:rPr>
          <w:color w:val="231F20"/>
          <w:spacing w:val="-4"/>
        </w:rPr>
        <w:t> </w:t>
      </w:r>
      <w:r>
        <w:rPr>
          <w:color w:val="231F20"/>
          <w:spacing w:val="-1"/>
        </w:rPr>
        <w:t>some</w:t>
      </w:r>
      <w:r>
        <w:rPr>
          <w:color w:val="231F20"/>
          <w:spacing w:val="-3"/>
        </w:rPr>
        <w:t> </w:t>
      </w:r>
      <w:r>
        <w:rPr>
          <w:color w:val="231F20"/>
        </w:rPr>
        <w:t>parents</w:t>
      </w:r>
      <w:r>
        <w:rPr>
          <w:color w:val="231F20"/>
          <w:spacing w:val="-4"/>
        </w:rPr>
        <w:t> </w:t>
      </w:r>
      <w:r>
        <w:rPr>
          <w:color w:val="231F20"/>
        </w:rPr>
        <w:t>and</w:t>
      </w:r>
      <w:r>
        <w:rPr>
          <w:color w:val="231F20"/>
          <w:spacing w:val="-4"/>
        </w:rPr>
        <w:t> </w:t>
      </w:r>
      <w:r>
        <w:rPr>
          <w:color w:val="231F20"/>
        </w:rPr>
        <w:t>carers</w:t>
      </w:r>
      <w:r>
        <w:rPr>
          <w:color w:val="231F20"/>
          <w:spacing w:val="-4"/>
        </w:rPr>
        <w:t> </w:t>
      </w:r>
      <w:r>
        <w:rPr>
          <w:color w:val="231F20"/>
        </w:rPr>
        <w:t>will</w:t>
      </w:r>
      <w:r>
        <w:rPr>
          <w:color w:val="231F20"/>
          <w:spacing w:val="-4"/>
        </w:rPr>
        <w:t> </w:t>
      </w:r>
      <w:r>
        <w:rPr>
          <w:color w:val="231F20"/>
        </w:rPr>
        <w:t>have</w:t>
      </w:r>
      <w:r>
        <w:rPr>
          <w:color w:val="231F20"/>
          <w:spacing w:val="-5"/>
        </w:rPr>
        <w:t> </w:t>
      </w:r>
      <w:r>
        <w:rPr>
          <w:color w:val="231F20"/>
        </w:rPr>
        <w:t>the</w:t>
      </w:r>
      <w:r>
        <w:rPr>
          <w:color w:val="231F20"/>
          <w:spacing w:val="23"/>
          <w:w w:val="99"/>
        </w:rPr>
        <w:t> </w:t>
      </w:r>
      <w:r>
        <w:rPr>
          <w:color w:val="231F20"/>
        </w:rPr>
        <w:t>capacity</w:t>
      </w:r>
      <w:r>
        <w:rPr>
          <w:color w:val="231F20"/>
          <w:spacing w:val="-7"/>
        </w:rPr>
        <w:t> </w:t>
      </w:r>
      <w:r>
        <w:rPr>
          <w:color w:val="231F20"/>
        </w:rPr>
        <w:t>to</w:t>
      </w:r>
      <w:r>
        <w:rPr>
          <w:color w:val="231F20"/>
          <w:spacing w:val="-6"/>
        </w:rPr>
        <w:t> </w:t>
      </w:r>
      <w:r>
        <w:rPr>
          <w:color w:val="231F20"/>
          <w:spacing w:val="-1"/>
        </w:rPr>
        <w:t>make</w:t>
      </w:r>
      <w:r>
        <w:rPr>
          <w:color w:val="231F20"/>
          <w:spacing w:val="-5"/>
        </w:rPr>
        <w:t> </w:t>
      </w:r>
      <w:r>
        <w:rPr>
          <w:color w:val="231F20"/>
        </w:rPr>
        <w:t>a</w:t>
      </w:r>
      <w:r>
        <w:rPr>
          <w:color w:val="231F20"/>
          <w:spacing w:val="-6"/>
        </w:rPr>
        <w:t> </w:t>
      </w:r>
      <w:r>
        <w:rPr>
          <w:color w:val="231F20"/>
        </w:rPr>
        <w:t>contribution</w:t>
      </w:r>
      <w:r>
        <w:rPr>
          <w:color w:val="231F20"/>
          <w:spacing w:val="-6"/>
        </w:rPr>
        <w:t> </w:t>
      </w:r>
      <w:r>
        <w:rPr>
          <w:color w:val="231F20"/>
        </w:rPr>
        <w:t>towards</w:t>
      </w:r>
      <w:r>
        <w:rPr>
          <w:color w:val="231F20"/>
          <w:spacing w:val="21"/>
          <w:w w:val="99"/>
        </w:rPr>
        <w:t> </w:t>
      </w:r>
      <w:r>
        <w:rPr>
          <w:rFonts w:ascii="Segoe UI"/>
          <w:color w:val="231F20"/>
        </w:rPr>
        <w:t>boarding costs and the financial support</w:t>
      </w:r>
      <w:r>
        <w:rPr>
          <w:rFonts w:ascii="Segoe UI"/>
        </w:rPr>
      </w:r>
    </w:p>
    <w:p>
      <w:pPr>
        <w:pStyle w:val="BodyText"/>
        <w:spacing w:line="250" w:lineRule="exact"/>
        <w:ind w:right="0"/>
        <w:jc w:val="left"/>
      </w:pPr>
      <w:r>
        <w:rPr>
          <w:color w:val="231F20"/>
        </w:rPr>
        <w:t>of</w:t>
      </w:r>
      <w:r>
        <w:rPr>
          <w:color w:val="231F20"/>
          <w:spacing w:val="-3"/>
        </w:rPr>
        <w:t> </w:t>
      </w:r>
      <w:r>
        <w:rPr>
          <w:color w:val="231F20"/>
          <w:spacing w:val="-1"/>
        </w:rPr>
        <w:t>students</w:t>
      </w:r>
      <w:r>
        <w:rPr>
          <w:color w:val="231F20"/>
          <w:spacing w:val="-3"/>
        </w:rPr>
        <w:t> </w:t>
      </w:r>
      <w:r>
        <w:rPr>
          <w:color w:val="231F20"/>
        </w:rPr>
        <w:t>at</w:t>
      </w:r>
      <w:r>
        <w:rPr>
          <w:color w:val="231F20"/>
          <w:spacing w:val="-3"/>
        </w:rPr>
        <w:t> </w:t>
      </w:r>
      <w:r>
        <w:rPr>
          <w:color w:val="231F20"/>
        </w:rPr>
        <w:t>boarding,</w:t>
      </w:r>
      <w:r>
        <w:rPr>
          <w:color w:val="231F20"/>
          <w:spacing w:val="-4"/>
        </w:rPr>
        <w:t> </w:t>
      </w:r>
      <w:r>
        <w:rPr>
          <w:color w:val="231F20"/>
        </w:rPr>
        <w:t>and</w:t>
      </w:r>
      <w:r>
        <w:rPr>
          <w:color w:val="231F20"/>
          <w:spacing w:val="-4"/>
        </w:rPr>
        <w:t> </w:t>
      </w:r>
      <w:r>
        <w:rPr>
          <w:color w:val="231F20"/>
          <w:spacing w:val="-1"/>
        </w:rPr>
        <w:t>many</w:t>
      </w:r>
      <w:r>
        <w:rPr>
          <w:color w:val="231F20"/>
          <w:spacing w:val="-3"/>
        </w:rPr>
        <w:t> </w:t>
      </w:r>
      <w:r>
        <w:rPr>
          <w:color w:val="231F20"/>
        </w:rPr>
        <w:t>do,</w:t>
      </w:r>
      <w:r>
        <w:rPr>
          <w:color w:val="231F20"/>
          <w:spacing w:val="-4"/>
        </w:rPr>
        <w:t> </w:t>
      </w:r>
      <w:r>
        <w:rPr>
          <w:color w:val="231F20"/>
          <w:spacing w:val="-1"/>
        </w:rPr>
        <w:t>it</w:t>
      </w:r>
      <w:r>
        <w:rPr>
          <w:color w:val="231F20"/>
          <w:spacing w:val="-2"/>
        </w:rPr>
        <w:t> </w:t>
      </w:r>
      <w:r>
        <w:rPr>
          <w:color w:val="231F20"/>
          <w:spacing w:val="-1"/>
        </w:rPr>
        <w:t>is</w:t>
      </w:r>
      <w:r>
        <w:rPr>
          <w:color w:val="231F20"/>
          <w:spacing w:val="23"/>
        </w:rPr>
        <w:t> </w:t>
      </w:r>
      <w:r>
        <w:rPr>
          <w:color w:val="231F20"/>
        </w:rPr>
        <w:t>unlikely</w:t>
      </w:r>
      <w:r>
        <w:rPr>
          <w:color w:val="231F20"/>
          <w:spacing w:val="-7"/>
        </w:rPr>
        <w:t> </w:t>
      </w:r>
      <w:r>
        <w:rPr>
          <w:color w:val="231F20"/>
        </w:rPr>
        <w:t>that</w:t>
      </w:r>
      <w:r>
        <w:rPr>
          <w:color w:val="231F20"/>
          <w:spacing w:val="-7"/>
        </w:rPr>
        <w:t> </w:t>
      </w:r>
      <w:r>
        <w:rPr>
          <w:color w:val="231F20"/>
        </w:rPr>
        <w:t>the</w:t>
      </w:r>
      <w:r>
        <w:rPr>
          <w:color w:val="231F20"/>
          <w:spacing w:val="-7"/>
        </w:rPr>
        <w:t> </w:t>
      </w:r>
      <w:r>
        <w:rPr>
          <w:color w:val="231F20"/>
          <w:spacing w:val="-1"/>
        </w:rPr>
        <w:t>shortfall</w:t>
      </w:r>
      <w:r>
        <w:rPr>
          <w:color w:val="231F20"/>
          <w:spacing w:val="-5"/>
        </w:rPr>
        <w:t> </w:t>
      </w:r>
      <w:r>
        <w:rPr>
          <w:color w:val="231F20"/>
        </w:rPr>
        <w:t>between</w:t>
      </w:r>
      <w:r>
        <w:rPr>
          <w:color w:val="231F20"/>
          <w:spacing w:val="-7"/>
        </w:rPr>
        <w:t> </w:t>
      </w:r>
      <w:r>
        <w:rPr>
          <w:color w:val="231F20"/>
        </w:rPr>
        <w:t>boarding</w:t>
      </w:r>
      <w:r>
        <w:rPr>
          <w:color w:val="231F20"/>
          <w:spacing w:val="22"/>
          <w:w w:val="99"/>
        </w:rPr>
        <w:t> </w:t>
      </w:r>
      <w:r>
        <w:rPr>
          <w:color w:val="231F20"/>
        </w:rPr>
        <w:t>revenue</w:t>
      </w:r>
      <w:r>
        <w:rPr>
          <w:color w:val="231F20"/>
          <w:spacing w:val="-7"/>
        </w:rPr>
        <w:t> </w:t>
      </w:r>
      <w:r>
        <w:rPr>
          <w:color w:val="231F20"/>
        </w:rPr>
        <w:t>and</w:t>
      </w:r>
      <w:r>
        <w:rPr>
          <w:color w:val="231F20"/>
          <w:spacing w:val="-6"/>
        </w:rPr>
        <w:t> </w:t>
      </w:r>
      <w:r>
        <w:rPr>
          <w:color w:val="231F20"/>
        </w:rPr>
        <w:t>boarding</w:t>
      </w:r>
      <w:r>
        <w:rPr>
          <w:color w:val="231F20"/>
          <w:spacing w:val="-6"/>
        </w:rPr>
        <w:t> </w:t>
      </w:r>
      <w:r>
        <w:rPr>
          <w:color w:val="231F20"/>
        </w:rPr>
        <w:t>costs</w:t>
      </w:r>
      <w:r>
        <w:rPr>
          <w:color w:val="231F20"/>
          <w:spacing w:val="-6"/>
        </w:rPr>
        <w:t> </w:t>
      </w:r>
      <w:r>
        <w:rPr>
          <w:color w:val="231F20"/>
          <w:spacing w:val="-1"/>
        </w:rPr>
        <w:t>in</w:t>
      </w:r>
      <w:r>
        <w:rPr>
          <w:color w:val="231F20"/>
          <w:spacing w:val="-6"/>
        </w:rPr>
        <w:t> </w:t>
      </w:r>
      <w:r>
        <w:rPr>
          <w:color w:val="231F20"/>
        </w:rPr>
        <w:t>those</w:t>
      </w:r>
      <w:r>
        <w:rPr>
          <w:color w:val="231F20"/>
          <w:spacing w:val="-6"/>
        </w:rPr>
        <w:t> </w:t>
      </w:r>
      <w:r>
        <w:rPr>
          <w:color w:val="231F20"/>
        </w:rPr>
        <w:t>boarding</w:t>
      </w:r>
      <w:r>
        <w:rPr>
          <w:color w:val="231F20"/>
          <w:spacing w:val="21"/>
          <w:w w:val="99"/>
        </w:rPr>
        <w:t> </w:t>
      </w:r>
      <w:r>
        <w:rPr>
          <w:color w:val="231F20"/>
        </w:rPr>
        <w:t>providers</w:t>
      </w:r>
      <w:r>
        <w:rPr>
          <w:color w:val="231F20"/>
          <w:spacing w:val="-11"/>
        </w:rPr>
        <w:t> </w:t>
      </w:r>
      <w:r>
        <w:rPr>
          <w:color w:val="231F20"/>
        </w:rPr>
        <w:t>catering</w:t>
      </w:r>
      <w:r>
        <w:rPr>
          <w:color w:val="231F20"/>
          <w:spacing w:val="-10"/>
        </w:rPr>
        <w:t> </w:t>
      </w:r>
      <w:r>
        <w:rPr>
          <w:color w:val="231F20"/>
        </w:rPr>
        <w:t>predominately</w:t>
      </w:r>
      <w:r>
        <w:rPr>
          <w:color w:val="231F20"/>
          <w:spacing w:val="-10"/>
        </w:rPr>
        <w:t> </w:t>
      </w:r>
      <w:r>
        <w:rPr>
          <w:color w:val="231F20"/>
        </w:rPr>
        <w:t>for</w:t>
      </w:r>
      <w:r>
        <w:rPr>
          <w:color w:val="231F20"/>
          <w:spacing w:val="-10"/>
        </w:rPr>
        <w:t> </w:t>
      </w:r>
      <w:r>
        <w:rPr>
          <w:color w:val="231F20"/>
        </w:rPr>
        <w:t>remote</w:t>
      </w:r>
      <w:r>
        <w:rPr>
          <w:color w:val="231F20"/>
          <w:w w:val="99"/>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5"/>
        </w:rPr>
        <w:t> </w:t>
      </w:r>
      <w:r>
        <w:rPr>
          <w:color w:val="231F20"/>
          <w:spacing w:val="-1"/>
        </w:rPr>
        <w:t>Islander</w:t>
      </w:r>
      <w:r>
        <w:rPr>
          <w:color w:val="231F20"/>
          <w:spacing w:val="-5"/>
        </w:rPr>
        <w:t> </w:t>
      </w:r>
      <w:r>
        <w:rPr>
          <w:color w:val="231F20"/>
          <w:spacing w:val="-1"/>
        </w:rPr>
        <w:t>students</w:t>
      </w:r>
      <w:r>
        <w:rPr>
          <w:color w:val="231F20"/>
          <w:spacing w:val="20"/>
        </w:rPr>
        <w:t> </w:t>
      </w:r>
      <w:r>
        <w:rPr>
          <w:color w:val="231F20"/>
        </w:rPr>
        <w:t>can</w:t>
      </w:r>
      <w:r>
        <w:rPr>
          <w:color w:val="231F20"/>
          <w:spacing w:val="-7"/>
        </w:rPr>
        <w:t> </w:t>
      </w:r>
      <w:r>
        <w:rPr>
          <w:color w:val="231F20"/>
        </w:rPr>
        <w:t>be</w:t>
      </w:r>
      <w:r>
        <w:rPr>
          <w:color w:val="231F20"/>
          <w:spacing w:val="-6"/>
        </w:rPr>
        <w:t> </w:t>
      </w:r>
      <w:r>
        <w:rPr>
          <w:color w:val="231F20"/>
        </w:rPr>
        <w:t>covered</w:t>
      </w:r>
      <w:r>
        <w:rPr>
          <w:color w:val="231F20"/>
          <w:spacing w:val="-7"/>
        </w:rPr>
        <w:t> </w:t>
      </w:r>
      <w:r>
        <w:rPr>
          <w:color w:val="231F20"/>
        </w:rPr>
        <w:t>entirely</w:t>
      </w:r>
      <w:r>
        <w:rPr>
          <w:color w:val="231F20"/>
          <w:spacing w:val="-7"/>
        </w:rPr>
        <w:t> </w:t>
      </w:r>
      <w:r>
        <w:rPr>
          <w:color w:val="231F20"/>
        </w:rPr>
        <w:t>by</w:t>
      </w:r>
      <w:r>
        <w:rPr>
          <w:color w:val="231F20"/>
          <w:spacing w:val="-6"/>
        </w:rPr>
        <w:t> </w:t>
      </w:r>
      <w:r>
        <w:rPr>
          <w:color w:val="231F20"/>
        </w:rPr>
        <w:t>contributions</w:t>
      </w:r>
      <w:r>
        <w:rPr>
          <w:color w:val="231F20"/>
          <w:spacing w:val="-7"/>
        </w:rPr>
        <w:t> </w:t>
      </w:r>
      <w:r>
        <w:rPr>
          <w:color w:val="231F20"/>
        </w:rPr>
        <w:t>from</w:t>
      </w:r>
      <w:r>
        <w:rPr>
          <w:color w:val="231F20"/>
          <w:w w:val="99"/>
        </w:rPr>
        <w:t> </w:t>
      </w:r>
      <w:r>
        <w:rPr>
          <w:color w:val="231F20"/>
        </w:rPr>
        <w:t>Aboriginal</w:t>
      </w:r>
      <w:r>
        <w:rPr>
          <w:color w:val="231F20"/>
          <w:spacing w:val="-7"/>
        </w:rPr>
        <w:t> </w:t>
      </w:r>
      <w:r>
        <w:rPr>
          <w:color w:val="231F20"/>
        </w:rPr>
        <w:t>parents</w:t>
      </w:r>
      <w:r>
        <w:rPr>
          <w:color w:val="231F20"/>
          <w:spacing w:val="-7"/>
        </w:rPr>
        <w:t> </w:t>
      </w:r>
      <w:r>
        <w:rPr>
          <w:color w:val="231F20"/>
        </w:rPr>
        <w:t>and</w:t>
      </w:r>
      <w:r>
        <w:rPr>
          <w:color w:val="231F20"/>
          <w:spacing w:val="-8"/>
        </w:rPr>
        <w:t> </w:t>
      </w:r>
      <w:r>
        <w:rPr>
          <w:color w:val="231F20"/>
        </w:rPr>
        <w:t>carers.</w:t>
      </w:r>
      <w:r>
        <w:rPr>
          <w:color w:val="231F20"/>
          <w:spacing w:val="-7"/>
        </w:rPr>
        <w:t> </w:t>
      </w:r>
      <w:r>
        <w:rPr>
          <w:color w:val="231F20"/>
          <w:spacing w:val="-1"/>
        </w:rPr>
        <w:t>Reference</w:t>
      </w:r>
      <w:r>
        <w:rPr>
          <w:color w:val="231F20"/>
          <w:spacing w:val="-7"/>
        </w:rPr>
        <w:t> </w:t>
      </w:r>
      <w:r>
        <w:rPr>
          <w:color w:val="231F20"/>
          <w:spacing w:val="-1"/>
        </w:rPr>
        <w:t>is</w:t>
      </w:r>
      <w:r>
        <w:rPr>
          <w:color w:val="231F20"/>
          <w:spacing w:val="21"/>
        </w:rPr>
        <w:t> </w:t>
      </w:r>
      <w:r>
        <w:rPr>
          <w:color w:val="231F20"/>
          <w:spacing w:val="-1"/>
        </w:rPr>
        <w:t>made</w:t>
      </w:r>
      <w:r>
        <w:rPr>
          <w:color w:val="231F20"/>
          <w:spacing w:val="-5"/>
        </w:rPr>
        <w:t> </w:t>
      </w:r>
      <w:r>
        <w:rPr>
          <w:color w:val="231F20"/>
        </w:rPr>
        <w:t>again</w:t>
      </w:r>
      <w:r>
        <w:rPr>
          <w:color w:val="231F20"/>
          <w:spacing w:val="-5"/>
        </w:rPr>
        <w:t> </w:t>
      </w:r>
      <w:r>
        <w:rPr>
          <w:color w:val="231F20"/>
        </w:rPr>
        <w:t>to</w:t>
      </w:r>
      <w:r>
        <w:rPr>
          <w:color w:val="231F20"/>
          <w:spacing w:val="-5"/>
        </w:rPr>
        <w:t> </w:t>
      </w:r>
      <w:r>
        <w:rPr>
          <w:color w:val="231F20"/>
        </w:rPr>
        <w:t>Markham,</w:t>
      </w:r>
      <w:r>
        <w:rPr>
          <w:color w:val="231F20"/>
          <w:spacing w:val="-4"/>
        </w:rPr>
        <w:t> </w:t>
      </w:r>
      <w:r>
        <w:rPr>
          <w:color w:val="231F20"/>
          <w:spacing w:val="-1"/>
        </w:rPr>
        <w:t>2018</w:t>
      </w:r>
      <w:r>
        <w:rPr>
          <w:color w:val="231F20"/>
          <w:spacing w:val="-4"/>
        </w:rPr>
        <w:t> </w:t>
      </w:r>
      <w:r>
        <w:rPr>
          <w:color w:val="231F20"/>
        </w:rPr>
        <w:t>and</w:t>
      </w:r>
      <w:r>
        <w:rPr>
          <w:color w:val="231F20"/>
          <w:spacing w:val="-6"/>
        </w:rPr>
        <w:t> </w:t>
      </w:r>
      <w:r>
        <w:rPr>
          <w:color w:val="231F20"/>
        </w:rPr>
        <w:t>the</w:t>
      </w:r>
      <w:r>
        <w:rPr>
          <w:color w:val="231F20"/>
          <w:spacing w:val="-5"/>
        </w:rPr>
        <w:t> </w:t>
      </w:r>
      <w:r>
        <w:rPr>
          <w:color w:val="231F20"/>
        </w:rPr>
        <w:t>data</w:t>
      </w:r>
      <w:r>
        <w:rPr>
          <w:color w:val="231F20"/>
          <w:spacing w:val="23"/>
          <w:w w:val="99"/>
        </w:rPr>
        <w:t> </w:t>
      </w:r>
      <w:r>
        <w:rPr>
          <w:color w:val="231F20"/>
        </w:rPr>
        <w:t>around</w:t>
      </w:r>
      <w:r>
        <w:rPr>
          <w:color w:val="231F20"/>
          <w:spacing w:val="-7"/>
        </w:rPr>
        <w:t> </w:t>
      </w:r>
      <w:r>
        <w:rPr>
          <w:color w:val="231F20"/>
        </w:rPr>
        <w:t>cash</w:t>
      </w:r>
      <w:r>
        <w:rPr>
          <w:color w:val="231F20"/>
          <w:spacing w:val="-6"/>
        </w:rPr>
        <w:t> </w:t>
      </w:r>
      <w:r>
        <w:rPr>
          <w:color w:val="231F20"/>
        </w:rPr>
        <w:t>poverty</w:t>
      </w:r>
      <w:r>
        <w:rPr>
          <w:color w:val="231F20"/>
          <w:spacing w:val="-6"/>
        </w:rPr>
        <w:t> </w:t>
      </w:r>
      <w:r>
        <w:rPr>
          <w:color w:val="231F20"/>
        </w:rPr>
        <w:t>rates.</w:t>
      </w:r>
      <w:r>
        <w:rPr>
          <w:color w:val="231F20"/>
          <w:spacing w:val="-7"/>
        </w:rPr>
        <w:t> </w:t>
      </w:r>
      <w:r>
        <w:rPr>
          <w:color w:val="231F20"/>
          <w:spacing w:val="-1"/>
        </w:rPr>
        <w:t>Where</w:t>
      </w:r>
      <w:r>
        <w:rPr>
          <w:color w:val="231F20"/>
          <w:spacing w:val="-5"/>
        </w:rPr>
        <w:t> </w:t>
      </w:r>
      <w:r>
        <w:rPr>
          <w:color w:val="231F20"/>
        </w:rPr>
        <w:t>there</w:t>
      </w:r>
      <w:r>
        <w:rPr>
          <w:color w:val="231F20"/>
          <w:spacing w:val="-7"/>
        </w:rPr>
        <w:t> </w:t>
      </w:r>
      <w:r>
        <w:rPr>
          <w:color w:val="231F20"/>
          <w:spacing w:val="-1"/>
        </w:rPr>
        <w:t>is</w:t>
      </w:r>
      <w:r>
        <w:rPr>
          <w:color w:val="231F20"/>
          <w:spacing w:val="21"/>
        </w:rPr>
        <w:t> </w:t>
      </w:r>
      <w:r>
        <w:rPr>
          <w:color w:val="231F20"/>
          <w:spacing w:val="-1"/>
        </w:rPr>
        <w:t>limited</w:t>
      </w:r>
      <w:r>
        <w:rPr>
          <w:color w:val="231F20"/>
          <w:spacing w:val="-7"/>
        </w:rPr>
        <w:t> </w:t>
      </w:r>
      <w:r>
        <w:rPr>
          <w:color w:val="231F20"/>
        </w:rPr>
        <w:t>capacity</w:t>
      </w:r>
      <w:r>
        <w:rPr>
          <w:color w:val="231F20"/>
          <w:spacing w:val="-7"/>
        </w:rPr>
        <w:t> </w:t>
      </w:r>
      <w:r>
        <w:rPr>
          <w:color w:val="231F20"/>
        </w:rPr>
        <w:t>to</w:t>
      </w:r>
      <w:r>
        <w:rPr>
          <w:color w:val="231F20"/>
          <w:spacing w:val="-6"/>
        </w:rPr>
        <w:t> </w:t>
      </w:r>
      <w:r>
        <w:rPr>
          <w:color w:val="231F20"/>
        </w:rPr>
        <w:t>pay,</w:t>
      </w:r>
      <w:r>
        <w:rPr>
          <w:color w:val="231F20"/>
          <w:spacing w:val="-7"/>
        </w:rPr>
        <w:t> </w:t>
      </w:r>
      <w:r>
        <w:rPr>
          <w:color w:val="231F20"/>
        </w:rPr>
        <w:t>parental</w:t>
      </w:r>
      <w:r>
        <w:rPr>
          <w:color w:val="231F20"/>
          <w:spacing w:val="-7"/>
        </w:rPr>
        <w:t> </w:t>
      </w:r>
      <w:r>
        <w:rPr>
          <w:color w:val="231F20"/>
        </w:rPr>
        <w:t>contributions</w:t>
      </w:r>
      <w:r>
        <w:rPr>
          <w:color w:val="231F20"/>
          <w:spacing w:val="22"/>
          <w:w w:val="99"/>
        </w:rPr>
        <w:t> </w:t>
      </w:r>
      <w:r>
        <w:rPr>
          <w:rFonts w:ascii="Segoe UI"/>
          <w:color w:val="231F20"/>
        </w:rPr>
        <w:t>that reflect their circumstances, should be</w:t>
      </w:r>
      <w:r>
        <w:rPr>
          <w:rFonts w:ascii="Segoe UI"/>
          <w:color w:val="231F20"/>
        </w:rPr>
        <w:t> </w:t>
      </w:r>
      <w:r>
        <w:rPr>
          <w:color w:val="231F20"/>
        </w:rPr>
        <w:t>encouraged</w:t>
      </w:r>
      <w:r>
        <w:rPr>
          <w:color w:val="231F20"/>
          <w:spacing w:val="-5"/>
        </w:rPr>
        <w:t> </w:t>
      </w:r>
      <w:r>
        <w:rPr>
          <w:color w:val="231F20"/>
        </w:rPr>
        <w:t>and</w:t>
      </w:r>
      <w:r>
        <w:rPr>
          <w:color w:val="231F20"/>
          <w:spacing w:val="-6"/>
        </w:rPr>
        <w:t> </w:t>
      </w:r>
      <w:r>
        <w:rPr>
          <w:color w:val="231F20"/>
        </w:rPr>
        <w:t>viewed</w:t>
      </w:r>
      <w:r>
        <w:rPr>
          <w:color w:val="231F20"/>
          <w:spacing w:val="-5"/>
        </w:rPr>
        <w:t> </w:t>
      </w:r>
      <w:r>
        <w:rPr>
          <w:color w:val="231F20"/>
        </w:rPr>
        <w:t>from</w:t>
      </w:r>
      <w:r>
        <w:rPr>
          <w:color w:val="231F20"/>
          <w:spacing w:val="-5"/>
        </w:rPr>
        <w:t> </w:t>
      </w:r>
      <w:r>
        <w:rPr>
          <w:color w:val="231F20"/>
        </w:rPr>
        <w:t>the</w:t>
      </w:r>
      <w:r>
        <w:rPr>
          <w:color w:val="231F20"/>
          <w:spacing w:val="-6"/>
        </w:rPr>
        <w:t> </w:t>
      </w:r>
      <w:r>
        <w:rPr>
          <w:color w:val="231F20"/>
          <w:spacing w:val="-1"/>
        </w:rPr>
        <w:t>lens</w:t>
      </w:r>
      <w:r>
        <w:rPr>
          <w:color w:val="231F20"/>
          <w:spacing w:val="-4"/>
        </w:rPr>
        <w:t> </w:t>
      </w:r>
      <w:r>
        <w:rPr>
          <w:color w:val="231F20"/>
        </w:rPr>
        <w:t>of</w:t>
      </w:r>
      <w:r>
        <w:rPr/>
      </w:r>
    </w:p>
    <w:p>
      <w:pPr>
        <w:pStyle w:val="BodyText"/>
        <w:spacing w:line="250" w:lineRule="exact"/>
        <w:ind w:right="588"/>
        <w:jc w:val="both"/>
      </w:pPr>
      <w:r>
        <w:rPr>
          <w:color w:val="231F20"/>
        </w:rPr>
        <w:t>an</w:t>
      </w:r>
      <w:r>
        <w:rPr>
          <w:color w:val="231F20"/>
          <w:spacing w:val="-2"/>
        </w:rPr>
        <w:t> </w:t>
      </w:r>
      <w:r>
        <w:rPr>
          <w:color w:val="231F20"/>
          <w:spacing w:val="-1"/>
        </w:rPr>
        <w:t>investment</w:t>
      </w:r>
      <w:r>
        <w:rPr>
          <w:color w:val="231F20"/>
          <w:spacing w:val="-2"/>
        </w:rPr>
        <w:t> </w:t>
      </w:r>
      <w:r>
        <w:rPr>
          <w:color w:val="231F20"/>
          <w:spacing w:val="-1"/>
        </w:rPr>
        <w:t>in </w:t>
      </w:r>
      <w:r>
        <w:rPr>
          <w:color w:val="231F20"/>
        </w:rPr>
        <w:t>family</w:t>
      </w:r>
      <w:r>
        <w:rPr>
          <w:color w:val="231F20"/>
          <w:spacing w:val="-2"/>
        </w:rPr>
        <w:t> </w:t>
      </w:r>
      <w:r>
        <w:rPr>
          <w:color w:val="231F20"/>
        </w:rPr>
        <w:t>and</w:t>
      </w:r>
      <w:r>
        <w:rPr>
          <w:color w:val="231F20"/>
          <w:spacing w:val="-2"/>
        </w:rPr>
        <w:t> </w:t>
      </w:r>
      <w:r>
        <w:rPr>
          <w:color w:val="231F20"/>
        </w:rPr>
        <w:t>community</w:t>
      </w:r>
      <w:r>
        <w:rPr>
          <w:color w:val="231F20"/>
          <w:spacing w:val="23"/>
        </w:rPr>
        <w:t> </w:t>
      </w:r>
      <w:r>
        <w:rPr>
          <w:color w:val="231F20"/>
        </w:rPr>
        <w:t>engagement,</w:t>
      </w:r>
      <w:r>
        <w:rPr>
          <w:color w:val="231F20"/>
          <w:spacing w:val="-6"/>
        </w:rPr>
        <w:t> </w:t>
      </w:r>
      <w:r>
        <w:rPr>
          <w:color w:val="231F20"/>
        </w:rPr>
        <w:t>rather</w:t>
      </w:r>
      <w:r>
        <w:rPr>
          <w:color w:val="231F20"/>
          <w:spacing w:val="-5"/>
        </w:rPr>
        <w:t> </w:t>
      </w:r>
      <w:r>
        <w:rPr>
          <w:color w:val="231F20"/>
        </w:rPr>
        <w:t>than</w:t>
      </w:r>
      <w:r>
        <w:rPr>
          <w:color w:val="231F20"/>
          <w:spacing w:val="-5"/>
        </w:rPr>
        <w:t> </w:t>
      </w:r>
      <w:r>
        <w:rPr>
          <w:color w:val="231F20"/>
        </w:rPr>
        <w:t>as</w:t>
      </w:r>
      <w:r>
        <w:rPr>
          <w:color w:val="231F20"/>
          <w:spacing w:val="-5"/>
        </w:rPr>
        <w:t> </w:t>
      </w:r>
      <w:r>
        <w:rPr>
          <w:color w:val="231F20"/>
        </w:rPr>
        <w:t>a</w:t>
      </w:r>
      <w:r>
        <w:rPr>
          <w:color w:val="231F20"/>
          <w:spacing w:val="-4"/>
        </w:rPr>
        <w:t> </w:t>
      </w:r>
      <w:r>
        <w:rPr>
          <w:color w:val="231F20"/>
          <w:spacing w:val="-1"/>
        </w:rPr>
        <w:t>source</w:t>
      </w:r>
      <w:r>
        <w:rPr>
          <w:color w:val="231F20"/>
          <w:spacing w:val="-4"/>
        </w:rPr>
        <w:t> </w:t>
      </w:r>
      <w:r>
        <w:rPr>
          <w:color w:val="231F20"/>
        </w:rPr>
        <w:t>of</w:t>
      </w:r>
      <w:r>
        <w:rPr>
          <w:color w:val="231F20"/>
          <w:spacing w:val="21"/>
          <w:w w:val="99"/>
        </w:rPr>
        <w:t> </w:t>
      </w:r>
      <w:r>
        <w:rPr>
          <w:color w:val="231F20"/>
        </w:rPr>
        <w:t>funding</w:t>
      </w:r>
      <w:r>
        <w:rPr>
          <w:color w:val="231F20"/>
          <w:spacing w:val="-9"/>
        </w:rPr>
        <w:t> </w:t>
      </w:r>
      <w:r>
        <w:rPr>
          <w:color w:val="231F20"/>
        </w:rPr>
        <w:t>for</w:t>
      </w:r>
      <w:r>
        <w:rPr>
          <w:color w:val="231F20"/>
          <w:spacing w:val="-9"/>
        </w:rPr>
        <w:t> </w:t>
      </w:r>
      <w:r>
        <w:rPr>
          <w:color w:val="231F20"/>
        </w:rPr>
        <w:t>boarding</w:t>
      </w:r>
      <w:r>
        <w:rPr>
          <w:color w:val="231F20"/>
          <w:spacing w:val="-10"/>
        </w:rPr>
        <w:t> </w:t>
      </w:r>
      <w:r>
        <w:rPr>
          <w:color w:val="231F20"/>
        </w:rPr>
        <w:t>providers.</w:t>
      </w:r>
      <w:r>
        <w:rPr/>
      </w:r>
    </w:p>
    <w:p>
      <w:pPr>
        <w:pStyle w:val="Heading2"/>
        <w:spacing w:line="360" w:lineRule="exact" w:before="71"/>
        <w:ind w:right="140"/>
        <w:jc w:val="left"/>
        <w:rPr>
          <w:b w:val="0"/>
          <w:bCs w:val="0"/>
        </w:rPr>
      </w:pPr>
      <w:bookmarkStart w:name="_TOC_250031" w:id="5"/>
      <w:r>
        <w:rPr>
          <w:b w:val="0"/>
          <w:bCs w:val="0"/>
        </w:rPr>
        <w:br w:type="column"/>
      </w:r>
      <w:r>
        <w:rPr>
          <w:color w:val="452A70"/>
        </w:rPr>
        <w:t>Indigenous</w:t>
      </w:r>
      <w:r>
        <w:rPr>
          <w:color w:val="452A70"/>
          <w:spacing w:val="-1"/>
        </w:rPr>
        <w:t> </w:t>
      </w:r>
      <w:r>
        <w:rPr>
          <w:color w:val="452A70"/>
          <w:spacing w:val="-2"/>
        </w:rPr>
        <w:t>Advancement</w:t>
      </w:r>
      <w:r>
        <w:rPr>
          <w:color w:val="452A70"/>
          <w:spacing w:val="27"/>
        </w:rPr>
        <w:t> </w:t>
      </w:r>
      <w:r>
        <w:rPr>
          <w:color w:val="452A70"/>
          <w:spacing w:val="-2"/>
        </w:rPr>
        <w:t>Strategy</w:t>
      </w:r>
      <w:r>
        <w:rPr>
          <w:color w:val="452A70"/>
          <w:spacing w:val="-7"/>
        </w:rPr>
        <w:t> </w:t>
      </w:r>
      <w:r>
        <w:rPr>
          <w:color w:val="452A70"/>
          <w:spacing w:val="-1"/>
        </w:rPr>
        <w:t>(IAS)—Children</w:t>
      </w:r>
      <w:r>
        <w:rPr>
          <w:color w:val="452A70"/>
          <w:spacing w:val="26"/>
          <w:w w:val="99"/>
        </w:rPr>
        <w:t> </w:t>
      </w:r>
      <w:r>
        <w:rPr>
          <w:color w:val="452A70"/>
          <w:spacing w:val="-1"/>
        </w:rPr>
        <w:t>and</w:t>
      </w:r>
      <w:r>
        <w:rPr>
          <w:color w:val="452A70"/>
        </w:rPr>
        <w:t> Schooling</w:t>
      </w:r>
      <w:r>
        <w:rPr>
          <w:color w:val="452A70"/>
          <w:spacing w:val="-3"/>
        </w:rPr>
        <w:t> </w:t>
      </w:r>
      <w:r>
        <w:rPr>
          <w:color w:val="452A70"/>
          <w:spacing w:val="-1"/>
        </w:rPr>
        <w:t>Program</w:t>
      </w:r>
      <w:bookmarkEnd w:id="5"/>
      <w:r>
        <w:rPr>
          <w:b w:val="0"/>
          <w:bCs w:val="0"/>
        </w:rPr>
      </w:r>
    </w:p>
    <w:p>
      <w:pPr>
        <w:pStyle w:val="BodyText"/>
        <w:spacing w:line="250" w:lineRule="exact" w:before="119"/>
        <w:ind w:right="116"/>
        <w:jc w:val="left"/>
      </w:pPr>
      <w:r>
        <w:rPr>
          <w:color w:val="231F20"/>
        </w:rPr>
        <w:t>The</w:t>
      </w:r>
      <w:r>
        <w:rPr>
          <w:color w:val="231F20"/>
          <w:spacing w:val="-4"/>
        </w:rPr>
        <w:t> </w:t>
      </w:r>
      <w:r>
        <w:rPr>
          <w:color w:val="231F20"/>
          <w:spacing w:val="-1"/>
        </w:rPr>
        <w:t>Commonwealth’s</w:t>
      </w:r>
      <w:r>
        <w:rPr>
          <w:color w:val="231F20"/>
          <w:spacing w:val="-3"/>
        </w:rPr>
        <w:t> </w:t>
      </w:r>
      <w:r>
        <w:rPr>
          <w:color w:val="231F20"/>
          <w:spacing w:val="-1"/>
        </w:rPr>
        <w:t>IAS</w:t>
      </w:r>
      <w:r>
        <w:rPr>
          <w:color w:val="231F20"/>
          <w:spacing w:val="-4"/>
        </w:rPr>
        <w:t> </w:t>
      </w:r>
      <w:r>
        <w:rPr>
          <w:color w:val="231F20"/>
          <w:spacing w:val="-1"/>
        </w:rPr>
        <w:t>Children</w:t>
      </w:r>
      <w:r>
        <w:rPr>
          <w:color w:val="231F20"/>
          <w:spacing w:val="-3"/>
        </w:rPr>
        <w:t> </w:t>
      </w:r>
      <w:r>
        <w:rPr>
          <w:color w:val="231F20"/>
        </w:rPr>
        <w:t>and</w:t>
      </w:r>
      <w:r>
        <w:rPr>
          <w:color w:val="231F20"/>
          <w:spacing w:val="24"/>
          <w:w w:val="99"/>
        </w:rPr>
        <w:t> </w:t>
      </w:r>
      <w:r>
        <w:rPr>
          <w:color w:val="231F20"/>
          <w:spacing w:val="-1"/>
        </w:rPr>
        <w:t>Schooling</w:t>
      </w:r>
      <w:r>
        <w:rPr>
          <w:color w:val="231F20"/>
          <w:spacing w:val="-5"/>
        </w:rPr>
        <w:t> </w:t>
      </w:r>
      <w:r>
        <w:rPr>
          <w:color w:val="231F20"/>
        </w:rPr>
        <w:t>program</w:t>
      </w:r>
      <w:r>
        <w:rPr>
          <w:color w:val="231F20"/>
          <w:spacing w:val="-4"/>
        </w:rPr>
        <w:t> </w:t>
      </w:r>
      <w:r>
        <w:rPr>
          <w:color w:val="231F20"/>
        </w:rPr>
        <w:t>funds</w:t>
      </w:r>
      <w:r>
        <w:rPr>
          <w:color w:val="231F20"/>
          <w:spacing w:val="-5"/>
        </w:rPr>
        <w:t> </w:t>
      </w:r>
      <w:r>
        <w:rPr>
          <w:color w:val="231F20"/>
        </w:rPr>
        <w:t>a</w:t>
      </w:r>
      <w:r>
        <w:rPr>
          <w:color w:val="231F20"/>
          <w:spacing w:val="-5"/>
        </w:rPr>
        <w:t> </w:t>
      </w:r>
      <w:r>
        <w:rPr>
          <w:color w:val="231F20"/>
        </w:rPr>
        <w:t>range</w:t>
      </w:r>
      <w:r>
        <w:rPr>
          <w:color w:val="231F20"/>
          <w:spacing w:val="-4"/>
        </w:rPr>
        <w:t> </w:t>
      </w:r>
      <w:r>
        <w:rPr>
          <w:color w:val="231F20"/>
        </w:rPr>
        <w:t>of</w:t>
      </w:r>
      <w:r>
        <w:rPr>
          <w:color w:val="231F20"/>
          <w:spacing w:val="-5"/>
        </w:rPr>
        <w:t> </w:t>
      </w:r>
      <w:r>
        <w:rPr>
          <w:color w:val="231F20"/>
        </w:rPr>
        <w:t>programs</w:t>
      </w:r>
      <w:r>
        <w:rPr>
          <w:color w:val="231F20"/>
          <w:spacing w:val="22"/>
          <w:w w:val="99"/>
        </w:rPr>
        <w:t> </w:t>
      </w:r>
      <w:r>
        <w:rPr>
          <w:color w:val="231F20"/>
        </w:rPr>
        <w:t>to</w:t>
      </w:r>
      <w:r>
        <w:rPr>
          <w:color w:val="231F20"/>
          <w:spacing w:val="-6"/>
        </w:rPr>
        <w:t> </w:t>
      </w:r>
      <w:r>
        <w:rPr>
          <w:color w:val="231F20"/>
          <w:spacing w:val="-1"/>
        </w:rPr>
        <w:t>support</w:t>
      </w:r>
      <w:r>
        <w:rPr>
          <w:color w:val="231F20"/>
          <w:spacing w:val="-6"/>
        </w:rPr>
        <w:t> </w:t>
      </w:r>
      <w:r>
        <w:rPr>
          <w:color w:val="231F20"/>
          <w:spacing w:val="-1"/>
        </w:rPr>
        <w:t>school</w:t>
      </w:r>
      <w:r>
        <w:rPr>
          <w:color w:val="231F20"/>
          <w:spacing w:val="-5"/>
        </w:rPr>
        <w:t> </w:t>
      </w:r>
      <w:r>
        <w:rPr>
          <w:color w:val="231F20"/>
        </w:rPr>
        <w:t>access,</w:t>
      </w:r>
      <w:r>
        <w:rPr>
          <w:color w:val="231F20"/>
          <w:spacing w:val="-7"/>
        </w:rPr>
        <w:t> </w:t>
      </w:r>
      <w:r>
        <w:rPr>
          <w:color w:val="231F20"/>
        </w:rPr>
        <w:t>attendance</w:t>
      </w:r>
      <w:r>
        <w:rPr>
          <w:color w:val="231F20"/>
          <w:spacing w:val="-6"/>
        </w:rPr>
        <w:t> </w:t>
      </w:r>
      <w:r>
        <w:rPr>
          <w:color w:val="231F20"/>
        </w:rPr>
        <w:t>and</w:t>
      </w:r>
      <w:r>
        <w:rPr>
          <w:color w:val="231F20"/>
          <w:spacing w:val="23"/>
          <w:w w:val="99"/>
        </w:rPr>
        <w:t> </w:t>
      </w:r>
      <w:r>
        <w:rPr>
          <w:color w:val="231F20"/>
        </w:rPr>
        <w:t>achievement</w:t>
      </w:r>
      <w:r>
        <w:rPr>
          <w:color w:val="231F20"/>
          <w:spacing w:val="-7"/>
        </w:rPr>
        <w:t> </w:t>
      </w:r>
      <w:r>
        <w:rPr>
          <w:color w:val="231F20"/>
        </w:rPr>
        <w:t>for</w:t>
      </w:r>
      <w:r>
        <w:rPr>
          <w:color w:val="231F20"/>
          <w:spacing w:val="-6"/>
        </w:rPr>
        <w:t> </w:t>
      </w:r>
      <w:r>
        <w:rPr>
          <w:color w:val="231F20"/>
        </w:rPr>
        <w:t>Aboriginal</w:t>
      </w:r>
      <w:r>
        <w:rPr>
          <w:color w:val="231F20"/>
          <w:spacing w:val="-6"/>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29"/>
          <w:w w:val="99"/>
        </w:rPr>
        <w:t> </w:t>
      </w:r>
      <w:r>
        <w:rPr>
          <w:color w:val="231F20"/>
          <w:spacing w:val="-1"/>
        </w:rPr>
        <w:t>Islander</w:t>
      </w:r>
      <w:r>
        <w:rPr>
          <w:color w:val="231F20"/>
          <w:spacing w:val="-15"/>
        </w:rPr>
        <w:t> </w:t>
      </w:r>
      <w:r>
        <w:rPr>
          <w:color w:val="231F20"/>
          <w:spacing w:val="-1"/>
        </w:rPr>
        <w:t>students.</w:t>
      </w:r>
      <w:r>
        <w:rPr/>
      </w:r>
    </w:p>
    <w:p>
      <w:pPr>
        <w:pStyle w:val="BodyText"/>
        <w:spacing w:line="258" w:lineRule="exact" w:before="97"/>
        <w:ind w:right="0"/>
        <w:jc w:val="left"/>
      </w:pPr>
      <w:r>
        <w:rPr>
          <w:color w:val="231F20"/>
          <w:spacing w:val="-1"/>
        </w:rPr>
        <w:t>In</w:t>
      </w:r>
      <w:r>
        <w:rPr>
          <w:color w:val="231F20"/>
          <w:spacing w:val="-7"/>
        </w:rPr>
        <w:t> </w:t>
      </w:r>
      <w:r>
        <w:rPr>
          <w:color w:val="231F20"/>
          <w:spacing w:val="-1"/>
        </w:rPr>
        <w:t>2015,</w:t>
      </w:r>
      <w:r>
        <w:rPr>
          <w:color w:val="231F20"/>
          <w:spacing w:val="-6"/>
        </w:rPr>
        <w:t> </w:t>
      </w:r>
      <w:r>
        <w:rPr>
          <w:color w:val="231F20"/>
        </w:rPr>
        <w:t>the</w:t>
      </w:r>
      <w:r>
        <w:rPr>
          <w:color w:val="231F20"/>
          <w:spacing w:val="-7"/>
        </w:rPr>
        <w:t> </w:t>
      </w:r>
      <w:r>
        <w:rPr>
          <w:color w:val="231F20"/>
          <w:spacing w:val="-1"/>
        </w:rPr>
        <w:t>Commonwealth</w:t>
      </w:r>
      <w:r>
        <w:rPr>
          <w:color w:val="231F20"/>
          <w:spacing w:val="-6"/>
        </w:rPr>
        <w:t> </w:t>
      </w:r>
      <w:r>
        <w:rPr>
          <w:color w:val="231F20"/>
        </w:rPr>
        <w:t>provided</w:t>
      </w:r>
      <w:r>
        <w:rPr/>
      </w:r>
    </w:p>
    <w:p>
      <w:pPr>
        <w:pStyle w:val="BodyText"/>
        <w:spacing w:line="250" w:lineRule="exact" w:before="8"/>
        <w:ind w:right="116"/>
        <w:jc w:val="left"/>
      </w:pPr>
      <w:r>
        <w:rPr>
          <w:color w:val="231F20"/>
        </w:rPr>
        <w:t>$15.2</w:t>
      </w:r>
      <w:r>
        <w:rPr>
          <w:color w:val="231F20"/>
          <w:spacing w:val="-4"/>
        </w:rPr>
        <w:t> </w:t>
      </w:r>
      <w:r>
        <w:rPr>
          <w:color w:val="231F20"/>
          <w:spacing w:val="-1"/>
        </w:rPr>
        <w:t>million</w:t>
      </w:r>
      <w:r>
        <w:rPr>
          <w:color w:val="231F20"/>
          <w:spacing w:val="-4"/>
        </w:rPr>
        <w:t> </w:t>
      </w:r>
      <w:r>
        <w:rPr>
          <w:color w:val="231F20"/>
        </w:rPr>
        <w:t>to</w:t>
      </w:r>
      <w:r>
        <w:rPr>
          <w:color w:val="231F20"/>
          <w:spacing w:val="-3"/>
        </w:rPr>
        <w:t> </w:t>
      </w:r>
      <w:r>
        <w:rPr>
          <w:color w:val="231F20"/>
          <w:spacing w:val="-1"/>
        </w:rPr>
        <w:t>support</w:t>
      </w:r>
      <w:r>
        <w:rPr>
          <w:color w:val="231F20"/>
          <w:spacing w:val="-4"/>
        </w:rPr>
        <w:t> </w:t>
      </w:r>
      <w:r>
        <w:rPr>
          <w:color w:val="231F20"/>
          <w:spacing w:val="-1"/>
        </w:rPr>
        <w:t>778</w:t>
      </w:r>
      <w:r>
        <w:rPr>
          <w:color w:val="231F20"/>
          <w:spacing w:val="-3"/>
        </w:rPr>
        <w:t> </w:t>
      </w:r>
      <w:r>
        <w:rPr>
          <w:color w:val="231F20"/>
          <w:spacing w:val="-1"/>
        </w:rPr>
        <w:t>secondary</w:t>
      </w:r>
      <w:r>
        <w:rPr>
          <w:color w:val="231F20"/>
          <w:spacing w:val="23"/>
          <w:w w:val="99"/>
        </w:rPr>
        <w:t> </w:t>
      </w:r>
      <w:r>
        <w:rPr>
          <w:color w:val="231F20"/>
          <w:spacing w:val="-1"/>
        </w:rPr>
        <w:t>scholarship</w:t>
      </w:r>
      <w:r>
        <w:rPr>
          <w:color w:val="231F20"/>
          <w:spacing w:val="-2"/>
        </w:rPr>
        <w:t> </w:t>
      </w:r>
      <w:r>
        <w:rPr>
          <w:color w:val="231F20"/>
        </w:rPr>
        <w:t>holders</w:t>
      </w:r>
      <w:r>
        <w:rPr>
          <w:color w:val="231F20"/>
          <w:spacing w:val="-4"/>
        </w:rPr>
        <w:t> </w:t>
      </w:r>
      <w:r>
        <w:rPr>
          <w:color w:val="231F20"/>
        </w:rPr>
        <w:t>across</w:t>
      </w:r>
      <w:r>
        <w:rPr>
          <w:color w:val="231F20"/>
          <w:spacing w:val="-4"/>
        </w:rPr>
        <w:t> </w:t>
      </w:r>
      <w:r>
        <w:rPr>
          <w:color w:val="231F20"/>
          <w:spacing w:val="-1"/>
        </w:rPr>
        <w:t>70</w:t>
      </w:r>
      <w:r>
        <w:rPr>
          <w:color w:val="231F20"/>
          <w:spacing w:val="-3"/>
        </w:rPr>
        <w:t> </w:t>
      </w:r>
      <w:r>
        <w:rPr>
          <w:color w:val="231F20"/>
          <w:spacing w:val="-1"/>
        </w:rPr>
        <w:t>schools.</w:t>
      </w:r>
      <w:r>
        <w:rPr>
          <w:color w:val="231F20"/>
          <w:spacing w:val="-3"/>
        </w:rPr>
        <w:t> </w:t>
      </w:r>
      <w:r>
        <w:rPr>
          <w:color w:val="231F20"/>
        </w:rPr>
        <w:t>On</w:t>
      </w:r>
      <w:r>
        <w:rPr/>
      </w:r>
    </w:p>
    <w:p>
      <w:pPr>
        <w:pStyle w:val="BodyText"/>
        <w:spacing w:line="250" w:lineRule="exact"/>
        <w:ind w:right="116"/>
        <w:jc w:val="left"/>
      </w:pPr>
      <w:r>
        <w:rPr>
          <w:color w:val="231F20"/>
        </w:rPr>
        <w:t>24</w:t>
      </w:r>
      <w:r>
        <w:rPr>
          <w:color w:val="231F20"/>
          <w:spacing w:val="-7"/>
        </w:rPr>
        <w:t> </w:t>
      </w:r>
      <w:r>
        <w:rPr>
          <w:color w:val="231F20"/>
        </w:rPr>
        <w:t>May</w:t>
      </w:r>
      <w:r>
        <w:rPr>
          <w:color w:val="231F20"/>
          <w:spacing w:val="-6"/>
        </w:rPr>
        <w:t> </w:t>
      </w:r>
      <w:r>
        <w:rPr>
          <w:color w:val="231F20"/>
          <w:spacing w:val="-1"/>
        </w:rPr>
        <w:t>2017,</w:t>
      </w:r>
      <w:r>
        <w:rPr>
          <w:color w:val="231F20"/>
          <w:spacing w:val="-6"/>
        </w:rPr>
        <w:t> </w:t>
      </w:r>
      <w:r>
        <w:rPr>
          <w:color w:val="231F20"/>
        </w:rPr>
        <w:t>the</w:t>
      </w:r>
      <w:r>
        <w:rPr>
          <w:color w:val="231F20"/>
          <w:spacing w:val="-8"/>
        </w:rPr>
        <w:t> </w:t>
      </w:r>
      <w:r>
        <w:rPr>
          <w:color w:val="231F20"/>
          <w:spacing w:val="-1"/>
        </w:rPr>
        <w:t>Commonwealth</w:t>
      </w:r>
      <w:r>
        <w:rPr>
          <w:color w:val="231F20"/>
          <w:spacing w:val="-6"/>
        </w:rPr>
        <w:t> </w:t>
      </w:r>
      <w:r>
        <w:rPr>
          <w:color w:val="231F20"/>
        </w:rPr>
        <w:t>Government</w:t>
      </w:r>
      <w:r>
        <w:rPr>
          <w:color w:val="231F20"/>
          <w:spacing w:val="23"/>
          <w:w w:val="99"/>
        </w:rPr>
        <w:t> </w:t>
      </w:r>
      <w:r>
        <w:rPr>
          <w:color w:val="231F20"/>
        </w:rPr>
        <w:t>announced</w:t>
      </w:r>
      <w:r>
        <w:rPr>
          <w:color w:val="231F20"/>
          <w:spacing w:val="-6"/>
        </w:rPr>
        <w:t> </w:t>
      </w:r>
      <w:r>
        <w:rPr>
          <w:color w:val="231F20"/>
        </w:rPr>
        <w:t>an</w:t>
      </w:r>
      <w:r>
        <w:rPr>
          <w:color w:val="231F20"/>
          <w:spacing w:val="-6"/>
        </w:rPr>
        <w:t> </w:t>
      </w:r>
      <w:r>
        <w:rPr>
          <w:color w:val="231F20"/>
        </w:rPr>
        <w:t>additional</w:t>
      </w:r>
      <w:r>
        <w:rPr>
          <w:color w:val="231F20"/>
          <w:spacing w:val="-5"/>
        </w:rPr>
        <w:t> </w:t>
      </w:r>
      <w:r>
        <w:rPr>
          <w:color w:val="231F20"/>
          <w:spacing w:val="-1"/>
        </w:rPr>
        <w:t>$32</w:t>
      </w:r>
      <w:r>
        <w:rPr>
          <w:color w:val="231F20"/>
          <w:spacing w:val="-5"/>
        </w:rPr>
        <w:t> </w:t>
      </w:r>
      <w:r>
        <w:rPr>
          <w:color w:val="231F20"/>
          <w:spacing w:val="-1"/>
        </w:rPr>
        <w:t>million</w:t>
      </w:r>
      <w:r>
        <w:rPr>
          <w:color w:val="231F20"/>
          <w:spacing w:val="-5"/>
        </w:rPr>
        <w:t> </w:t>
      </w:r>
      <w:r>
        <w:rPr>
          <w:color w:val="231F20"/>
        </w:rPr>
        <w:t>for</w:t>
      </w:r>
      <w:r>
        <w:rPr>
          <w:color w:val="231F20"/>
          <w:spacing w:val="23"/>
          <w:w w:val="99"/>
        </w:rPr>
        <w:t> </w:t>
      </w:r>
      <w:r>
        <w:rPr>
          <w:color w:val="231F20"/>
          <w:spacing w:val="-1"/>
        </w:rPr>
        <w:t>secondary</w:t>
      </w:r>
      <w:r>
        <w:rPr>
          <w:color w:val="231F20"/>
          <w:spacing w:val="-8"/>
        </w:rPr>
        <w:t> </w:t>
      </w:r>
      <w:r>
        <w:rPr>
          <w:color w:val="231F20"/>
          <w:spacing w:val="-1"/>
        </w:rPr>
        <w:t>scholarships.</w:t>
      </w:r>
      <w:r>
        <w:rPr>
          <w:color w:val="231F20"/>
          <w:spacing w:val="-8"/>
        </w:rPr>
        <w:t> </w:t>
      </w:r>
      <w:r>
        <w:rPr>
          <w:color w:val="231F20"/>
          <w:spacing w:val="-1"/>
        </w:rPr>
        <w:t>Scholarship</w:t>
      </w:r>
      <w:r>
        <w:rPr>
          <w:color w:val="231F20"/>
          <w:spacing w:val="-7"/>
        </w:rPr>
        <w:t> </w:t>
      </w:r>
      <w:r>
        <w:rPr>
          <w:color w:val="231F20"/>
        </w:rPr>
        <w:t>funding</w:t>
      </w:r>
      <w:r>
        <w:rPr>
          <w:color w:val="231F20"/>
          <w:spacing w:val="24"/>
          <w:w w:val="99"/>
        </w:rPr>
        <w:t> </w:t>
      </w:r>
      <w:r>
        <w:rPr>
          <w:color w:val="231F20"/>
        </w:rPr>
        <w:t>under</w:t>
      </w:r>
      <w:r>
        <w:rPr>
          <w:color w:val="231F20"/>
          <w:spacing w:val="-5"/>
        </w:rPr>
        <w:t> </w:t>
      </w:r>
      <w:r>
        <w:rPr>
          <w:color w:val="231F20"/>
        </w:rPr>
        <w:t>the</w:t>
      </w:r>
      <w:r>
        <w:rPr>
          <w:color w:val="231F20"/>
          <w:spacing w:val="-6"/>
        </w:rPr>
        <w:t> </w:t>
      </w:r>
      <w:r>
        <w:rPr>
          <w:color w:val="231F20"/>
          <w:spacing w:val="-1"/>
        </w:rPr>
        <w:t>IAS</w:t>
      </w:r>
      <w:r>
        <w:rPr>
          <w:color w:val="231F20"/>
          <w:spacing w:val="-5"/>
        </w:rPr>
        <w:t> </w:t>
      </w:r>
      <w:r>
        <w:rPr>
          <w:color w:val="231F20"/>
          <w:spacing w:val="-1"/>
        </w:rPr>
        <w:t>is</w:t>
      </w:r>
      <w:r>
        <w:rPr>
          <w:color w:val="231F20"/>
          <w:spacing w:val="-5"/>
        </w:rPr>
        <w:t> </w:t>
      </w:r>
      <w:r>
        <w:rPr>
          <w:color w:val="231F20"/>
        </w:rPr>
        <w:t>provided</w:t>
      </w:r>
      <w:r>
        <w:rPr>
          <w:color w:val="231F20"/>
          <w:spacing w:val="-6"/>
        </w:rPr>
        <w:t> </w:t>
      </w:r>
      <w:r>
        <w:rPr>
          <w:color w:val="231F20"/>
        </w:rPr>
        <w:t>to</w:t>
      </w:r>
      <w:r>
        <w:rPr>
          <w:color w:val="231F20"/>
          <w:spacing w:val="-5"/>
        </w:rPr>
        <w:t> </w:t>
      </w:r>
      <w:r>
        <w:rPr>
          <w:color w:val="231F20"/>
        </w:rPr>
        <w:t>approximately</w:t>
      </w:r>
      <w:r>
        <w:rPr>
          <w:color w:val="231F20"/>
          <w:spacing w:val="-5"/>
        </w:rPr>
        <w:t> </w:t>
      </w:r>
      <w:r>
        <w:rPr>
          <w:color w:val="231F20"/>
          <w:spacing w:val="-5"/>
        </w:rPr>
      </w:r>
      <w:r>
        <w:rPr>
          <w:color w:val="231F20"/>
        </w:rPr>
        <w:t>ten</w:t>
      </w:r>
      <w:r>
        <w:rPr>
          <w:color w:val="231F20"/>
          <w:spacing w:val="21"/>
        </w:rPr>
        <w:t> </w:t>
      </w:r>
      <w:r>
        <w:rPr>
          <w:color w:val="231F20"/>
          <w:spacing w:val="-1"/>
        </w:rPr>
        <w:t>scholarship</w:t>
      </w:r>
      <w:r>
        <w:rPr>
          <w:color w:val="231F20"/>
          <w:spacing w:val="-4"/>
        </w:rPr>
        <w:t> </w:t>
      </w:r>
      <w:r>
        <w:rPr>
          <w:color w:val="231F20"/>
        </w:rPr>
        <w:t>administrators,</w:t>
      </w:r>
      <w:r>
        <w:rPr>
          <w:color w:val="231F20"/>
          <w:spacing w:val="-6"/>
        </w:rPr>
        <w:t> </w:t>
      </w:r>
      <w:r>
        <w:rPr>
          <w:color w:val="231F20"/>
        </w:rPr>
        <w:t>with</w:t>
      </w:r>
      <w:r>
        <w:rPr>
          <w:color w:val="231F20"/>
          <w:spacing w:val="-5"/>
        </w:rPr>
        <w:t> </w:t>
      </w:r>
      <w:r>
        <w:rPr>
          <w:color w:val="231F20"/>
        </w:rPr>
        <w:t>a</w:t>
      </w:r>
      <w:r>
        <w:rPr>
          <w:color w:val="231F20"/>
          <w:spacing w:val="-4"/>
        </w:rPr>
        <w:t> </w:t>
      </w:r>
      <w:r>
        <w:rPr>
          <w:color w:val="231F20"/>
        </w:rPr>
        <w:t>focus</w:t>
      </w:r>
      <w:r>
        <w:rPr>
          <w:color w:val="231F20"/>
          <w:spacing w:val="-5"/>
        </w:rPr>
        <w:t> </w:t>
      </w:r>
      <w:r>
        <w:rPr>
          <w:color w:val="231F20"/>
        </w:rPr>
        <w:t>on</w:t>
      </w:r>
      <w:r>
        <w:rPr>
          <w:color w:val="231F20"/>
          <w:spacing w:val="22"/>
          <w:w w:val="99"/>
        </w:rPr>
        <w:t> </w:t>
      </w:r>
      <w:r>
        <w:rPr>
          <w:color w:val="231F20"/>
        </w:rPr>
        <w:t>assisting</w:t>
      </w:r>
      <w:r>
        <w:rPr>
          <w:color w:val="231F20"/>
          <w:spacing w:val="-6"/>
        </w:rPr>
        <w:t> </w:t>
      </w:r>
      <w:r>
        <w:rPr>
          <w:color w:val="231F20"/>
        </w:rPr>
        <w:t>Aboriginal</w:t>
      </w:r>
      <w:r>
        <w:rPr>
          <w:color w:val="231F20"/>
          <w:spacing w:val="-4"/>
        </w:rPr>
        <w:t> </w:t>
      </w:r>
      <w:r>
        <w:rPr>
          <w:color w:val="231F20"/>
        </w:rPr>
        <w:t>and</w:t>
      </w:r>
      <w:r>
        <w:rPr>
          <w:color w:val="231F20"/>
          <w:spacing w:val="-6"/>
        </w:rPr>
        <w:t> </w:t>
      </w:r>
      <w:r>
        <w:rPr>
          <w:color w:val="231F20"/>
          <w:spacing w:val="-5"/>
        </w:rPr>
        <w:t>Torres</w:t>
      </w:r>
      <w:r>
        <w:rPr>
          <w:color w:val="231F20"/>
          <w:spacing w:val="-4"/>
        </w:rPr>
        <w:t> </w:t>
      </w:r>
      <w:r>
        <w:rPr>
          <w:color w:val="231F20"/>
          <w:spacing w:val="-2"/>
        </w:rPr>
        <w:t>Strait</w:t>
      </w:r>
      <w:r>
        <w:rPr>
          <w:color w:val="231F20"/>
          <w:spacing w:val="-6"/>
        </w:rPr>
        <w:t> </w:t>
      </w:r>
      <w:r>
        <w:rPr>
          <w:color w:val="231F20"/>
          <w:spacing w:val="-1"/>
        </w:rPr>
        <w:t>Islander</w:t>
      </w:r>
      <w:r>
        <w:rPr/>
      </w:r>
    </w:p>
    <w:p>
      <w:pPr>
        <w:pStyle w:val="BodyText"/>
        <w:spacing w:line="250" w:lineRule="exact"/>
        <w:ind w:right="0"/>
        <w:jc w:val="left"/>
        <w:rPr>
          <w:rFonts w:ascii="Segoe UI Semibold" w:hAnsi="Segoe UI Semibold" w:cs="Segoe UI Semibold" w:eastAsia="Segoe UI Semibold"/>
          <w:sz w:val="11"/>
          <w:szCs w:val="11"/>
        </w:rPr>
      </w:pPr>
      <w:r>
        <w:rPr>
          <w:color w:val="231F20"/>
          <w:spacing w:val="-1"/>
        </w:rPr>
        <w:t>students</w:t>
      </w:r>
      <w:r>
        <w:rPr>
          <w:color w:val="231F20"/>
          <w:spacing w:val="-3"/>
        </w:rPr>
        <w:t> </w:t>
      </w:r>
      <w:r>
        <w:rPr>
          <w:color w:val="231F20"/>
        </w:rPr>
        <w:t>to</w:t>
      </w:r>
      <w:r>
        <w:rPr>
          <w:color w:val="231F20"/>
          <w:spacing w:val="-2"/>
        </w:rPr>
        <w:t> </w:t>
      </w:r>
      <w:r>
        <w:rPr>
          <w:color w:val="231F20"/>
        </w:rPr>
        <w:t>attend</w:t>
      </w:r>
      <w:r>
        <w:rPr>
          <w:color w:val="231F20"/>
          <w:spacing w:val="-3"/>
        </w:rPr>
        <w:t> </w:t>
      </w:r>
      <w:r>
        <w:rPr>
          <w:color w:val="231F20"/>
        </w:rPr>
        <w:t>high</w:t>
      </w:r>
      <w:r>
        <w:rPr>
          <w:color w:val="231F20"/>
          <w:spacing w:val="-3"/>
        </w:rPr>
        <w:t> </w:t>
      </w:r>
      <w:r>
        <w:rPr>
          <w:color w:val="231F20"/>
        </w:rPr>
        <w:t>fee</w:t>
      </w:r>
      <w:r>
        <w:rPr>
          <w:color w:val="231F20"/>
          <w:spacing w:val="-2"/>
        </w:rPr>
        <w:t> </w:t>
      </w:r>
      <w:r>
        <w:rPr>
          <w:color w:val="231F20"/>
        </w:rPr>
        <w:t>boarding</w:t>
      </w:r>
      <w:r>
        <w:rPr>
          <w:color w:val="231F20"/>
          <w:spacing w:val="-3"/>
        </w:rPr>
        <w:t> </w:t>
      </w:r>
      <w:r>
        <w:rPr>
          <w:color w:val="231F20"/>
          <w:spacing w:val="-1"/>
        </w:rPr>
        <w:t>schools.</w:t>
      </w:r>
      <w:r>
        <w:rPr>
          <w:rFonts w:ascii="Segoe UI Semibold"/>
          <w:b/>
          <w:color w:val="231F20"/>
          <w:spacing w:val="-1"/>
          <w:position w:val="7"/>
          <w:sz w:val="11"/>
        </w:rPr>
        <w:t>130</w:t>
      </w:r>
      <w:r>
        <w:rPr>
          <w:rFonts w:ascii="Segoe UI Semibold"/>
          <w:sz w:val="11"/>
        </w:rPr>
      </w:r>
    </w:p>
    <w:p>
      <w:pPr>
        <w:pStyle w:val="BodyText"/>
        <w:spacing w:line="250" w:lineRule="exact" w:before="113"/>
        <w:ind w:right="306"/>
        <w:jc w:val="left"/>
      </w:pPr>
      <w:r>
        <w:rPr>
          <w:color w:val="231F20"/>
          <w:spacing w:val="-1"/>
        </w:rPr>
        <w:t>Scholarship</w:t>
      </w:r>
      <w:r>
        <w:rPr>
          <w:color w:val="231F20"/>
          <w:spacing w:val="-4"/>
        </w:rPr>
        <w:t> </w:t>
      </w:r>
      <w:r>
        <w:rPr>
          <w:color w:val="231F20"/>
        </w:rPr>
        <w:t>funds</w:t>
      </w:r>
      <w:r>
        <w:rPr>
          <w:color w:val="231F20"/>
          <w:spacing w:val="-5"/>
        </w:rPr>
        <w:t> </w:t>
      </w:r>
      <w:r>
        <w:rPr>
          <w:color w:val="231F20"/>
        </w:rPr>
        <w:t>can</w:t>
      </w:r>
      <w:r>
        <w:rPr>
          <w:color w:val="231F20"/>
          <w:spacing w:val="-4"/>
        </w:rPr>
        <w:t> </w:t>
      </w:r>
      <w:r>
        <w:rPr>
          <w:color w:val="231F20"/>
        </w:rPr>
        <w:t>be</w:t>
      </w:r>
      <w:r>
        <w:rPr>
          <w:color w:val="231F20"/>
          <w:spacing w:val="-5"/>
        </w:rPr>
        <w:t> </w:t>
      </w:r>
      <w:r>
        <w:rPr>
          <w:color w:val="231F20"/>
        </w:rPr>
        <w:t>used</w:t>
      </w:r>
      <w:r>
        <w:rPr>
          <w:color w:val="231F20"/>
          <w:spacing w:val="-5"/>
        </w:rPr>
        <w:t> </w:t>
      </w:r>
      <w:r>
        <w:rPr>
          <w:color w:val="231F20"/>
        </w:rPr>
        <w:t>for</w:t>
      </w:r>
      <w:r>
        <w:rPr>
          <w:color w:val="231F20"/>
          <w:spacing w:val="-4"/>
        </w:rPr>
        <w:t> </w:t>
      </w:r>
      <w:r>
        <w:rPr>
          <w:color w:val="231F20"/>
        </w:rPr>
        <w:t>tutoring,</w:t>
      </w:r>
      <w:r>
        <w:rPr>
          <w:color w:val="231F20"/>
          <w:spacing w:val="22"/>
          <w:w w:val="99"/>
        </w:rPr>
        <w:t> </w:t>
      </w:r>
      <w:r>
        <w:rPr>
          <w:color w:val="231F20"/>
          <w:spacing w:val="-1"/>
        </w:rPr>
        <w:t>leadership</w:t>
      </w:r>
      <w:r>
        <w:rPr>
          <w:color w:val="231F20"/>
          <w:spacing w:val="-10"/>
        </w:rPr>
        <w:t> </w:t>
      </w:r>
      <w:r>
        <w:rPr>
          <w:color w:val="231F20"/>
        </w:rPr>
        <w:t>activities,</w:t>
      </w:r>
      <w:r>
        <w:rPr>
          <w:color w:val="231F20"/>
          <w:spacing w:val="-11"/>
        </w:rPr>
        <w:t> </w:t>
      </w:r>
      <w:r>
        <w:rPr>
          <w:color w:val="231F20"/>
          <w:spacing w:val="-1"/>
        </w:rPr>
        <w:t>sporting</w:t>
      </w:r>
      <w:r>
        <w:rPr>
          <w:color w:val="231F20"/>
          <w:spacing w:val="-9"/>
        </w:rPr>
        <w:t> </w:t>
      </w:r>
      <w:r>
        <w:rPr>
          <w:color w:val="231F20"/>
        </w:rPr>
        <w:t>opportunities,</w:t>
      </w:r>
      <w:r>
        <w:rPr>
          <w:color w:val="231F20"/>
          <w:spacing w:val="23"/>
          <w:w w:val="99"/>
        </w:rPr>
        <w:t> </w:t>
      </w:r>
      <w:r>
        <w:rPr>
          <w:color w:val="231F20"/>
        </w:rPr>
        <w:t>and</w:t>
      </w:r>
      <w:r>
        <w:rPr>
          <w:color w:val="231F20"/>
          <w:spacing w:val="-6"/>
        </w:rPr>
        <w:t> </w:t>
      </w:r>
      <w:r>
        <w:rPr>
          <w:color w:val="231F20"/>
        </w:rPr>
        <w:t>a</w:t>
      </w:r>
      <w:r>
        <w:rPr>
          <w:color w:val="231F20"/>
          <w:spacing w:val="-4"/>
        </w:rPr>
        <w:t> </w:t>
      </w:r>
      <w:r>
        <w:rPr>
          <w:color w:val="231F20"/>
        </w:rPr>
        <w:t>personal</w:t>
      </w:r>
      <w:r>
        <w:rPr>
          <w:color w:val="231F20"/>
          <w:spacing w:val="-6"/>
        </w:rPr>
        <w:t> </w:t>
      </w:r>
      <w:r>
        <w:rPr>
          <w:color w:val="231F20"/>
        </w:rPr>
        <w:t>allowance</w:t>
      </w:r>
      <w:r>
        <w:rPr>
          <w:color w:val="231F20"/>
          <w:spacing w:val="-5"/>
        </w:rPr>
        <w:t> </w:t>
      </w:r>
      <w:r>
        <w:rPr>
          <w:color w:val="231F20"/>
        </w:rPr>
        <w:t>but</w:t>
      </w:r>
      <w:r>
        <w:rPr>
          <w:color w:val="231F20"/>
          <w:spacing w:val="-5"/>
        </w:rPr>
        <w:t> </w:t>
      </w:r>
      <w:r>
        <w:rPr>
          <w:color w:val="231F20"/>
          <w:spacing w:val="-1"/>
        </w:rPr>
        <w:t>most</w:t>
      </w:r>
      <w:r>
        <w:rPr>
          <w:color w:val="231F20"/>
          <w:spacing w:val="-5"/>
        </w:rPr>
        <w:t> </w:t>
      </w:r>
      <w:r>
        <w:rPr>
          <w:color w:val="231F20"/>
        </w:rPr>
        <w:t>funding</w:t>
      </w:r>
      <w:r>
        <w:rPr>
          <w:color w:val="231F20"/>
          <w:spacing w:val="-4"/>
        </w:rPr>
        <w:t> </w:t>
      </w:r>
      <w:r>
        <w:rPr>
          <w:color w:val="231F20"/>
          <w:spacing w:val="-1"/>
        </w:rPr>
        <w:t>is</w:t>
      </w:r>
      <w:r>
        <w:rPr>
          <w:color w:val="231F20"/>
          <w:spacing w:val="21"/>
        </w:rPr>
        <w:t> </w:t>
      </w:r>
      <w:r>
        <w:rPr>
          <w:color w:val="231F20"/>
        </w:rPr>
        <w:t>used</w:t>
      </w:r>
      <w:r>
        <w:rPr>
          <w:color w:val="231F20"/>
          <w:spacing w:val="-2"/>
        </w:rPr>
        <w:t> </w:t>
      </w:r>
      <w:r>
        <w:rPr>
          <w:color w:val="231F20"/>
        </w:rPr>
        <w:t>to</w:t>
      </w:r>
      <w:r>
        <w:rPr>
          <w:color w:val="231F20"/>
          <w:spacing w:val="-1"/>
        </w:rPr>
        <w:t> supplement</w:t>
      </w:r>
      <w:r>
        <w:rPr>
          <w:color w:val="231F20"/>
          <w:spacing w:val="1"/>
        </w:rPr>
        <w:t> </w:t>
      </w:r>
      <w:r>
        <w:rPr>
          <w:color w:val="231F20"/>
        </w:rPr>
        <w:t>ABSTUDY.</w:t>
      </w:r>
      <w:r>
        <w:rPr/>
      </w:r>
    </w:p>
    <w:p>
      <w:pPr>
        <w:pStyle w:val="BodyText"/>
        <w:spacing w:line="250" w:lineRule="exact" w:before="113"/>
        <w:ind w:right="512"/>
        <w:jc w:val="left"/>
      </w:pPr>
      <w:r>
        <w:rPr>
          <w:color w:val="231F20"/>
        </w:rPr>
        <w:t>Only</w:t>
      </w:r>
      <w:r>
        <w:rPr>
          <w:color w:val="231F20"/>
          <w:spacing w:val="-6"/>
        </w:rPr>
        <w:t> </w:t>
      </w:r>
      <w:r>
        <w:rPr>
          <w:color w:val="231F20"/>
        </w:rPr>
        <w:t>a</w:t>
      </w:r>
      <w:r>
        <w:rPr>
          <w:color w:val="231F20"/>
          <w:spacing w:val="-4"/>
        </w:rPr>
        <w:t> </w:t>
      </w:r>
      <w:r>
        <w:rPr>
          <w:color w:val="231F20"/>
          <w:spacing w:val="-1"/>
        </w:rPr>
        <w:t>small</w:t>
      </w:r>
      <w:r>
        <w:rPr>
          <w:color w:val="231F20"/>
          <w:spacing w:val="-5"/>
        </w:rPr>
        <w:t> </w:t>
      </w:r>
      <w:r>
        <w:rPr>
          <w:color w:val="231F20"/>
        </w:rPr>
        <w:t>number</w:t>
      </w:r>
      <w:r>
        <w:rPr>
          <w:color w:val="231F20"/>
          <w:spacing w:val="-5"/>
        </w:rPr>
        <w:t> </w:t>
      </w:r>
      <w:r>
        <w:rPr>
          <w:color w:val="231F20"/>
        </w:rPr>
        <w:t>of</w:t>
      </w:r>
      <w:r>
        <w:rPr>
          <w:color w:val="231F20"/>
          <w:spacing w:val="-4"/>
        </w:rPr>
        <w:t> </w:t>
      </w:r>
      <w:r>
        <w:rPr>
          <w:color w:val="231F20"/>
        </w:rPr>
        <w:t>Aboriginal</w:t>
      </w:r>
      <w:r>
        <w:rPr>
          <w:color w:val="231F20"/>
          <w:spacing w:val="-5"/>
        </w:rPr>
        <w:t> </w:t>
      </w:r>
      <w:r>
        <w:rPr>
          <w:color w:val="231F20"/>
        </w:rPr>
        <w:t>and</w:t>
      </w:r>
      <w:r>
        <w:rPr>
          <w:color w:val="231F20"/>
          <w:spacing w:val="21"/>
          <w:w w:val="99"/>
        </w:rPr>
        <w:t> </w:t>
      </w:r>
      <w:r>
        <w:rPr>
          <w:color w:val="231F20"/>
          <w:spacing w:val="-5"/>
        </w:rPr>
        <w:t>Torres</w:t>
      </w:r>
      <w:r>
        <w:rPr>
          <w:color w:val="231F20"/>
          <w:spacing w:val="-7"/>
        </w:rPr>
        <w:t> </w:t>
      </w:r>
      <w:r>
        <w:rPr>
          <w:color w:val="231F20"/>
          <w:spacing w:val="-2"/>
        </w:rPr>
        <w:t>Strait</w:t>
      </w:r>
      <w:r>
        <w:rPr>
          <w:color w:val="231F20"/>
          <w:spacing w:val="-8"/>
        </w:rPr>
        <w:t> </w:t>
      </w:r>
      <w:r>
        <w:rPr>
          <w:color w:val="231F20"/>
          <w:spacing w:val="-1"/>
        </w:rPr>
        <w:t>Islander</w:t>
      </w:r>
      <w:r>
        <w:rPr>
          <w:color w:val="231F20"/>
          <w:spacing w:val="-6"/>
        </w:rPr>
        <w:t> </w:t>
      </w:r>
      <w:r>
        <w:rPr>
          <w:color w:val="231F20"/>
        </w:rPr>
        <w:t>boarding</w:t>
      </w:r>
      <w:r>
        <w:rPr>
          <w:color w:val="231F20"/>
          <w:spacing w:val="-8"/>
        </w:rPr>
        <w:t> </w:t>
      </w:r>
      <w:r>
        <w:rPr>
          <w:color w:val="231F20"/>
        </w:rPr>
        <w:t>providers</w:t>
      </w:r>
      <w:r>
        <w:rPr>
          <w:color w:val="231F20"/>
          <w:spacing w:val="21"/>
          <w:w w:val="99"/>
        </w:rPr>
        <w:t> </w:t>
      </w:r>
      <w:r>
        <w:rPr>
          <w:color w:val="231F20"/>
        </w:rPr>
        <w:t>attract</w:t>
      </w:r>
      <w:r>
        <w:rPr>
          <w:color w:val="231F20"/>
          <w:spacing w:val="-4"/>
        </w:rPr>
        <w:t> </w:t>
      </w:r>
      <w:r>
        <w:rPr>
          <w:color w:val="231F20"/>
          <w:spacing w:val="-1"/>
        </w:rPr>
        <w:t>students</w:t>
      </w:r>
      <w:r>
        <w:rPr>
          <w:color w:val="231F20"/>
          <w:spacing w:val="-2"/>
        </w:rPr>
        <w:t> </w:t>
      </w:r>
      <w:r>
        <w:rPr>
          <w:color w:val="231F20"/>
        </w:rPr>
        <w:t>on</w:t>
      </w:r>
      <w:r>
        <w:rPr>
          <w:color w:val="231F20"/>
          <w:spacing w:val="-2"/>
        </w:rPr>
        <w:t> </w:t>
      </w:r>
      <w:r>
        <w:rPr>
          <w:color w:val="231F20"/>
          <w:spacing w:val="-1"/>
        </w:rPr>
        <w:t>IAS</w:t>
      </w:r>
      <w:r>
        <w:rPr>
          <w:color w:val="231F20"/>
          <w:spacing w:val="-2"/>
        </w:rPr>
        <w:t> </w:t>
      </w:r>
      <w:r>
        <w:rPr>
          <w:color w:val="231F20"/>
          <w:spacing w:val="-1"/>
        </w:rPr>
        <w:t>scholarships.</w:t>
      </w:r>
      <w:r>
        <w:rPr>
          <w:color w:val="231F20"/>
          <w:spacing w:val="-2"/>
        </w:rPr>
        <w:t> </w:t>
      </w:r>
      <w:r>
        <w:rPr>
          <w:color w:val="231F20"/>
        </w:rPr>
        <w:t>The</w:t>
      </w:r>
      <w:r>
        <w:rPr>
          <w:color w:val="231F20"/>
          <w:spacing w:val="24"/>
          <w:w w:val="99"/>
        </w:rPr>
        <w:t> </w:t>
      </w:r>
      <w:r>
        <w:rPr>
          <w:color w:val="231F20"/>
          <w:spacing w:val="-1"/>
        </w:rPr>
        <w:t>majority</w:t>
      </w:r>
      <w:r>
        <w:rPr>
          <w:color w:val="231F20"/>
          <w:spacing w:val="-4"/>
        </w:rPr>
        <w:t> </w:t>
      </w:r>
      <w:r>
        <w:rPr>
          <w:color w:val="231F20"/>
        </w:rPr>
        <w:t>of</w:t>
      </w:r>
      <w:r>
        <w:rPr>
          <w:color w:val="231F20"/>
          <w:spacing w:val="-4"/>
        </w:rPr>
        <w:t> </w:t>
      </w:r>
      <w:r>
        <w:rPr>
          <w:color w:val="231F20"/>
          <w:spacing w:val="-1"/>
        </w:rPr>
        <w:t>scholarships</w:t>
      </w:r>
      <w:r>
        <w:rPr>
          <w:color w:val="231F20"/>
          <w:spacing w:val="-3"/>
        </w:rPr>
        <w:t> </w:t>
      </w:r>
      <w:r>
        <w:rPr>
          <w:color w:val="231F20"/>
          <w:spacing w:val="-1"/>
        </w:rPr>
        <w:t>support</w:t>
      </w:r>
      <w:r>
        <w:rPr>
          <w:color w:val="231F20"/>
          <w:spacing w:val="-4"/>
        </w:rPr>
        <w:t> </w:t>
      </w:r>
      <w:r>
        <w:rPr>
          <w:color w:val="231F20"/>
          <w:spacing w:val="-1"/>
        </w:rPr>
        <w:t>students</w:t>
      </w:r>
      <w:r>
        <w:rPr>
          <w:color w:val="231F20"/>
          <w:spacing w:val="23"/>
        </w:rPr>
        <w:t> </w:t>
      </w:r>
      <w:r>
        <w:rPr>
          <w:color w:val="231F20"/>
        </w:rPr>
        <w:t>to</w:t>
      </w:r>
      <w:r>
        <w:rPr>
          <w:color w:val="231F20"/>
          <w:spacing w:val="-5"/>
        </w:rPr>
        <w:t> </w:t>
      </w:r>
      <w:r>
        <w:rPr>
          <w:color w:val="231F20"/>
        </w:rPr>
        <w:t>attend</w:t>
      </w:r>
      <w:r>
        <w:rPr>
          <w:color w:val="231F20"/>
          <w:spacing w:val="-5"/>
        </w:rPr>
        <w:t> </w:t>
      </w:r>
      <w:r>
        <w:rPr>
          <w:color w:val="231F20"/>
          <w:spacing w:val="-1"/>
        </w:rPr>
        <w:t>mainstream</w:t>
      </w:r>
      <w:r>
        <w:rPr>
          <w:color w:val="231F20"/>
          <w:spacing w:val="-4"/>
        </w:rPr>
        <w:t> </w:t>
      </w:r>
      <w:r>
        <w:rPr>
          <w:color w:val="231F20"/>
        </w:rPr>
        <w:t>high</w:t>
      </w:r>
      <w:r>
        <w:rPr>
          <w:color w:val="231F20"/>
          <w:spacing w:val="-5"/>
        </w:rPr>
        <w:t> </w:t>
      </w:r>
      <w:r>
        <w:rPr>
          <w:color w:val="231F20"/>
        </w:rPr>
        <w:t>fee</w:t>
      </w:r>
      <w:r>
        <w:rPr>
          <w:color w:val="231F20"/>
          <w:spacing w:val="-5"/>
        </w:rPr>
        <w:t> </w:t>
      </w:r>
      <w:r>
        <w:rPr>
          <w:color w:val="231F20"/>
        </w:rPr>
        <w:t>boarding</w:t>
      </w:r>
      <w:r>
        <w:rPr>
          <w:color w:val="231F20"/>
          <w:spacing w:val="22"/>
          <w:w w:val="99"/>
        </w:rPr>
        <w:t> </w:t>
      </w:r>
      <w:r>
        <w:rPr>
          <w:color w:val="231F20"/>
          <w:spacing w:val="-1"/>
        </w:rPr>
        <w:t>schools.</w:t>
      </w:r>
      <w:r>
        <w:rPr>
          <w:color w:val="231F20"/>
          <w:spacing w:val="-5"/>
        </w:rPr>
        <w:t> </w:t>
      </w:r>
      <w:r>
        <w:rPr>
          <w:color w:val="231F20"/>
        </w:rPr>
        <w:t>The</w:t>
      </w:r>
      <w:r>
        <w:rPr>
          <w:color w:val="231F20"/>
          <w:spacing w:val="-4"/>
        </w:rPr>
        <w:t> </w:t>
      </w:r>
      <w:r>
        <w:rPr>
          <w:color w:val="231F20"/>
          <w:spacing w:val="-2"/>
        </w:rPr>
        <w:t>Study</w:t>
      </w:r>
      <w:r>
        <w:rPr>
          <w:color w:val="231F20"/>
          <w:spacing w:val="-5"/>
        </w:rPr>
        <w:t> </w:t>
      </w:r>
      <w:r>
        <w:rPr>
          <w:color w:val="231F20"/>
          <w:spacing w:val="-1"/>
        </w:rPr>
        <w:t>Away</w:t>
      </w:r>
      <w:r>
        <w:rPr>
          <w:color w:val="231F20"/>
          <w:spacing w:val="-5"/>
        </w:rPr>
        <w:t> </w:t>
      </w:r>
      <w:r>
        <w:rPr>
          <w:color w:val="231F20"/>
          <w:spacing w:val="-1"/>
        </w:rPr>
        <w:t>Review</w:t>
      </w:r>
      <w:r>
        <w:rPr>
          <w:color w:val="231F20"/>
          <w:spacing w:val="-5"/>
        </w:rPr>
        <w:t> </w:t>
      </w:r>
      <w:r>
        <w:rPr>
          <w:color w:val="231F20"/>
        </w:rPr>
        <w:t>found</w:t>
      </w:r>
      <w:r>
        <w:rPr>
          <w:color w:val="231F20"/>
          <w:spacing w:val="-4"/>
        </w:rPr>
        <w:t> </w:t>
      </w:r>
      <w:r>
        <w:rPr>
          <w:color w:val="231F20"/>
        </w:rPr>
        <w:t>that</w:t>
      </w:r>
      <w:r>
        <w:rPr>
          <w:color w:val="231F20"/>
          <w:spacing w:val="25"/>
          <w:w w:val="99"/>
        </w:rPr>
        <w:t> </w:t>
      </w:r>
      <w:r>
        <w:rPr>
          <w:color w:val="231F20"/>
        </w:rPr>
        <w:t>while</w:t>
      </w:r>
      <w:r>
        <w:rPr>
          <w:color w:val="231F20"/>
          <w:spacing w:val="-5"/>
        </w:rPr>
        <w:t> </w:t>
      </w:r>
      <w:r>
        <w:rPr>
          <w:color w:val="231F20"/>
        </w:rPr>
        <w:t>the</w:t>
      </w:r>
      <w:r>
        <w:rPr>
          <w:color w:val="231F20"/>
          <w:spacing w:val="-4"/>
        </w:rPr>
        <w:t> </w:t>
      </w:r>
      <w:r>
        <w:rPr>
          <w:color w:val="231F20"/>
          <w:spacing w:val="-1"/>
        </w:rPr>
        <w:t>IAS</w:t>
      </w:r>
      <w:r>
        <w:rPr>
          <w:color w:val="231F20"/>
          <w:spacing w:val="-3"/>
        </w:rPr>
        <w:t> </w:t>
      </w:r>
      <w:r>
        <w:rPr>
          <w:color w:val="231F20"/>
          <w:spacing w:val="-1"/>
        </w:rPr>
        <w:t>scholarships</w:t>
      </w:r>
      <w:r>
        <w:rPr>
          <w:color w:val="231F20"/>
          <w:spacing w:val="-2"/>
        </w:rPr>
        <w:t> </w:t>
      </w:r>
      <w:r>
        <w:rPr>
          <w:color w:val="231F20"/>
        </w:rPr>
        <w:t>are</w:t>
      </w:r>
      <w:r>
        <w:rPr>
          <w:color w:val="231F20"/>
          <w:spacing w:val="-5"/>
        </w:rPr>
        <w:t> </w:t>
      </w:r>
      <w:r>
        <w:rPr>
          <w:color w:val="231F20"/>
        </w:rPr>
        <w:t>welcomed</w:t>
      </w:r>
      <w:r>
        <w:rPr>
          <w:color w:val="231F20"/>
          <w:spacing w:val="-4"/>
        </w:rPr>
        <w:t> </w:t>
      </w:r>
      <w:r>
        <w:rPr>
          <w:color w:val="231F20"/>
          <w:spacing w:val="-1"/>
        </w:rPr>
        <w:t>in</w:t>
      </w:r>
      <w:r>
        <w:rPr>
          <w:color w:val="231F20"/>
          <w:spacing w:val="22"/>
        </w:rPr>
        <w:t> </w:t>
      </w:r>
      <w:r>
        <w:rPr>
          <w:color w:val="231F20"/>
        </w:rPr>
        <w:t>the</w:t>
      </w:r>
      <w:r>
        <w:rPr>
          <w:color w:val="231F20"/>
          <w:spacing w:val="-7"/>
        </w:rPr>
        <w:t> </w:t>
      </w:r>
      <w:r>
        <w:rPr>
          <w:color w:val="231F20"/>
          <w:spacing w:val="-1"/>
        </w:rPr>
        <w:t>sector,</w:t>
      </w:r>
      <w:r>
        <w:rPr>
          <w:color w:val="231F20"/>
          <w:spacing w:val="-6"/>
        </w:rPr>
        <w:t> </w:t>
      </w:r>
      <w:r>
        <w:rPr>
          <w:color w:val="231F20"/>
        </w:rPr>
        <w:t>governments</w:t>
      </w:r>
      <w:r>
        <w:rPr>
          <w:color w:val="231F20"/>
          <w:spacing w:val="-7"/>
        </w:rPr>
        <w:t> </w:t>
      </w:r>
      <w:r>
        <w:rPr>
          <w:color w:val="231F20"/>
        </w:rPr>
        <w:t>needs</w:t>
      </w:r>
      <w:r>
        <w:rPr>
          <w:color w:val="231F20"/>
          <w:spacing w:val="-7"/>
        </w:rPr>
        <w:t> </w:t>
      </w:r>
      <w:r>
        <w:rPr>
          <w:color w:val="231F20"/>
        </w:rPr>
        <w:t>to</w:t>
      </w:r>
      <w:r>
        <w:rPr>
          <w:color w:val="231F20"/>
          <w:spacing w:val="-6"/>
        </w:rPr>
        <w:t> </w:t>
      </w:r>
      <w:r>
        <w:rPr>
          <w:color w:val="231F20"/>
        </w:rPr>
        <w:t>consider</w:t>
      </w:r>
      <w:r>
        <w:rPr>
          <w:color w:val="231F20"/>
          <w:spacing w:val="22"/>
          <w:w w:val="99"/>
        </w:rPr>
        <w:t> </w:t>
      </w:r>
      <w:r>
        <w:rPr>
          <w:rFonts w:ascii="Segoe UI"/>
          <w:color w:val="231F20"/>
        </w:rPr>
        <w:t>how</w:t>
      </w:r>
      <w:r>
        <w:rPr>
          <w:rFonts w:ascii="Segoe UI"/>
          <w:color w:val="231F20"/>
          <w:spacing w:val="-2"/>
        </w:rPr>
        <w:t> </w:t>
      </w:r>
      <w:r>
        <w:rPr>
          <w:rFonts w:ascii="Segoe UI"/>
          <w:color w:val="231F20"/>
        </w:rPr>
        <w:t>the</w:t>
      </w:r>
      <w:r>
        <w:rPr>
          <w:rFonts w:ascii="Segoe UI"/>
          <w:color w:val="231F20"/>
          <w:spacing w:val="-2"/>
        </w:rPr>
        <w:t> </w:t>
      </w:r>
      <w:r>
        <w:rPr>
          <w:rFonts w:ascii="Segoe UI"/>
          <w:color w:val="231F20"/>
        </w:rPr>
        <w:t>efficiency</w:t>
      </w:r>
      <w:r>
        <w:rPr>
          <w:rFonts w:ascii="Segoe UI"/>
          <w:color w:val="231F20"/>
          <w:spacing w:val="-2"/>
        </w:rPr>
        <w:t> </w:t>
      </w:r>
      <w:r>
        <w:rPr>
          <w:rFonts w:ascii="Segoe UI"/>
          <w:color w:val="231F20"/>
        </w:rPr>
        <w:t>and</w:t>
      </w:r>
      <w:r>
        <w:rPr>
          <w:rFonts w:ascii="Segoe UI"/>
          <w:color w:val="231F20"/>
          <w:spacing w:val="-2"/>
        </w:rPr>
        <w:t> </w:t>
      </w:r>
      <w:r>
        <w:rPr>
          <w:rFonts w:ascii="Segoe UI"/>
          <w:color w:val="231F20"/>
        </w:rPr>
        <w:t>effectiveness</w:t>
      </w:r>
      <w:r>
        <w:rPr>
          <w:rFonts w:ascii="Segoe UI"/>
          <w:color w:val="231F20"/>
          <w:spacing w:val="-2"/>
        </w:rPr>
        <w:t> </w:t>
      </w:r>
      <w:r>
        <w:rPr>
          <w:rFonts w:ascii="Segoe UI"/>
          <w:color w:val="231F20"/>
        </w:rPr>
        <w:t>of</w:t>
      </w:r>
      <w:r>
        <w:rPr>
          <w:rFonts w:ascii="Segoe UI"/>
          <w:color w:val="231F20"/>
          <w:spacing w:val="-2"/>
        </w:rPr>
        <w:t> </w:t>
      </w:r>
      <w:r>
        <w:rPr>
          <w:rFonts w:ascii="Segoe UI"/>
          <w:color w:val="231F20"/>
        </w:rPr>
        <w:t>the</w:t>
      </w:r>
      <w:r>
        <w:rPr>
          <w:rFonts w:ascii="Segoe UI"/>
          <w:color w:val="231F20"/>
        </w:rPr>
        <w:t> </w:t>
      </w:r>
      <w:r>
        <w:rPr>
          <w:color w:val="231F20"/>
          <w:spacing w:val="-1"/>
        </w:rPr>
        <w:t>investment</w:t>
      </w:r>
      <w:r>
        <w:rPr>
          <w:color w:val="231F20"/>
          <w:spacing w:val="-4"/>
        </w:rPr>
        <w:t> </w:t>
      </w:r>
      <w:r>
        <w:rPr>
          <w:color w:val="231F20"/>
          <w:spacing w:val="-1"/>
        </w:rPr>
        <w:t>in</w:t>
      </w:r>
      <w:r>
        <w:rPr>
          <w:color w:val="231F20"/>
          <w:spacing w:val="-3"/>
        </w:rPr>
        <w:t> </w:t>
      </w:r>
      <w:r>
        <w:rPr>
          <w:color w:val="231F20"/>
        </w:rPr>
        <w:t>Aboriginal</w:t>
      </w:r>
      <w:r>
        <w:rPr>
          <w:color w:val="231F20"/>
          <w:spacing w:val="-3"/>
        </w:rPr>
        <w:t> </w:t>
      </w:r>
      <w:r>
        <w:rPr>
          <w:color w:val="231F20"/>
        </w:rPr>
        <w:t>and</w:t>
      </w:r>
      <w:r>
        <w:rPr>
          <w:color w:val="231F20"/>
          <w:spacing w:val="-4"/>
        </w:rPr>
        <w:t> </w:t>
      </w:r>
      <w:r>
        <w:rPr>
          <w:color w:val="231F20"/>
          <w:spacing w:val="-5"/>
        </w:rPr>
        <w:t>Torres</w:t>
      </w:r>
      <w:r>
        <w:rPr>
          <w:color w:val="231F20"/>
          <w:spacing w:val="-3"/>
        </w:rPr>
        <w:t> </w:t>
      </w:r>
      <w:r>
        <w:rPr>
          <w:color w:val="231F20"/>
          <w:spacing w:val="-2"/>
        </w:rPr>
        <w:t>Strait</w:t>
      </w:r>
      <w:r>
        <w:rPr>
          <w:color w:val="231F20"/>
          <w:spacing w:val="23"/>
          <w:w w:val="99"/>
        </w:rPr>
        <w:t> </w:t>
      </w:r>
      <w:r>
        <w:rPr>
          <w:color w:val="231F20"/>
          <w:spacing w:val="-1"/>
        </w:rPr>
        <w:t>Islander</w:t>
      </w:r>
      <w:r>
        <w:rPr>
          <w:color w:val="231F20"/>
          <w:spacing w:val="-6"/>
        </w:rPr>
        <w:t> </w:t>
      </w:r>
      <w:r>
        <w:rPr>
          <w:color w:val="231F20"/>
          <w:spacing w:val="-1"/>
        </w:rPr>
        <w:t>secondary</w:t>
      </w:r>
      <w:r>
        <w:rPr>
          <w:color w:val="231F20"/>
          <w:spacing w:val="-6"/>
        </w:rPr>
        <w:t> </w:t>
      </w:r>
      <w:r>
        <w:rPr>
          <w:color w:val="231F20"/>
          <w:spacing w:val="-1"/>
        </w:rPr>
        <w:t>students</w:t>
      </w:r>
      <w:r>
        <w:rPr>
          <w:color w:val="231F20"/>
          <w:spacing w:val="-5"/>
        </w:rPr>
        <w:t> </w:t>
      </w:r>
      <w:r>
        <w:rPr>
          <w:color w:val="231F20"/>
          <w:spacing w:val="-1"/>
        </w:rPr>
        <w:t>in</w:t>
      </w:r>
      <w:r>
        <w:rPr>
          <w:color w:val="231F20"/>
          <w:spacing w:val="-6"/>
        </w:rPr>
        <w:t> </w:t>
      </w:r>
      <w:r>
        <w:rPr>
          <w:color w:val="231F20"/>
        </w:rPr>
        <w:t>boarding</w:t>
      </w:r>
      <w:r>
        <w:rPr>
          <w:color w:val="231F20"/>
          <w:spacing w:val="25"/>
          <w:w w:val="99"/>
        </w:rPr>
        <w:t> </w:t>
      </w:r>
      <w:r>
        <w:rPr>
          <w:color w:val="231F20"/>
        </w:rPr>
        <w:t>can</w:t>
      </w:r>
      <w:r>
        <w:rPr>
          <w:color w:val="231F20"/>
          <w:spacing w:val="-4"/>
        </w:rPr>
        <w:t> </w:t>
      </w:r>
      <w:r>
        <w:rPr>
          <w:color w:val="231F20"/>
        </w:rPr>
        <w:t>be</w:t>
      </w:r>
      <w:r>
        <w:rPr>
          <w:color w:val="231F20"/>
          <w:spacing w:val="-3"/>
        </w:rPr>
        <w:t> </w:t>
      </w:r>
      <w:r>
        <w:rPr>
          <w:color w:val="231F20"/>
          <w:spacing w:val="-1"/>
        </w:rPr>
        <w:t>improved,</w:t>
      </w:r>
      <w:r>
        <w:rPr>
          <w:color w:val="231F20"/>
          <w:spacing w:val="-4"/>
        </w:rPr>
        <w:t> </w:t>
      </w:r>
      <w:r>
        <w:rPr>
          <w:color w:val="231F20"/>
        </w:rPr>
        <w:t>as</w:t>
      </w:r>
      <w:r>
        <w:rPr>
          <w:color w:val="231F20"/>
          <w:spacing w:val="-4"/>
        </w:rPr>
        <w:t> </w:t>
      </w:r>
      <w:r>
        <w:rPr>
          <w:color w:val="231F20"/>
          <w:spacing w:val="-1"/>
        </w:rPr>
        <w:t>students</w:t>
      </w:r>
      <w:r>
        <w:rPr>
          <w:color w:val="231F20"/>
          <w:spacing w:val="-4"/>
        </w:rPr>
        <w:t> </w:t>
      </w:r>
      <w:r>
        <w:rPr>
          <w:color w:val="231F20"/>
        </w:rPr>
        <w:t>with</w:t>
      </w:r>
      <w:r>
        <w:rPr>
          <w:color w:val="231F20"/>
          <w:spacing w:val="-4"/>
        </w:rPr>
        <w:t> </w:t>
      </w:r>
      <w:r>
        <w:rPr>
          <w:color w:val="231F20"/>
        </w:rPr>
        <w:t>the</w:t>
      </w:r>
      <w:r>
        <w:rPr>
          <w:color w:val="231F20"/>
          <w:spacing w:val="23"/>
          <w:w w:val="99"/>
        </w:rPr>
        <w:t> </w:t>
      </w:r>
      <w:r>
        <w:rPr>
          <w:rFonts w:ascii="Segoe UI"/>
          <w:color w:val="231F20"/>
        </w:rPr>
        <w:t>greatest need are not attracting sufficient</w:t>
      </w:r>
      <w:r>
        <w:rPr>
          <w:rFonts w:ascii="Segoe UI"/>
          <w:color w:val="231F20"/>
        </w:rPr>
        <w:t> </w:t>
      </w:r>
      <w:r>
        <w:rPr>
          <w:color w:val="231F20"/>
          <w:spacing w:val="-1"/>
        </w:rPr>
        <w:t>IAS</w:t>
      </w:r>
      <w:r>
        <w:rPr>
          <w:color w:val="231F20"/>
          <w:spacing w:val="-4"/>
        </w:rPr>
        <w:t> </w:t>
      </w:r>
      <w:r>
        <w:rPr>
          <w:color w:val="231F20"/>
          <w:spacing w:val="-1"/>
        </w:rPr>
        <w:t>scholarship</w:t>
      </w:r>
      <w:r>
        <w:rPr>
          <w:color w:val="231F20"/>
          <w:spacing w:val="-3"/>
        </w:rPr>
        <w:t> </w:t>
      </w:r>
      <w:r>
        <w:rPr>
          <w:color w:val="231F20"/>
          <w:spacing w:val="-1"/>
        </w:rPr>
        <w:t>students.</w:t>
      </w:r>
      <w:r>
        <w:rPr/>
      </w:r>
    </w:p>
    <w:p>
      <w:pPr>
        <w:pStyle w:val="BodyText"/>
        <w:spacing w:line="250" w:lineRule="exact" w:before="113"/>
        <w:ind w:right="375"/>
        <w:jc w:val="left"/>
      </w:pPr>
      <w:r>
        <w:rPr>
          <w:color w:val="231F20"/>
        </w:rPr>
        <w:t>The</w:t>
      </w:r>
      <w:r>
        <w:rPr>
          <w:color w:val="231F20"/>
          <w:spacing w:val="-4"/>
        </w:rPr>
        <w:t> </w:t>
      </w:r>
      <w:r>
        <w:rPr>
          <w:color w:val="231F20"/>
        </w:rPr>
        <w:t>broader</w:t>
      </w:r>
      <w:r>
        <w:rPr>
          <w:color w:val="231F20"/>
          <w:spacing w:val="-3"/>
        </w:rPr>
        <w:t> </w:t>
      </w:r>
      <w:r>
        <w:rPr>
          <w:color w:val="231F20"/>
          <w:spacing w:val="-1"/>
        </w:rPr>
        <w:t>issue</w:t>
      </w:r>
      <w:r>
        <w:rPr>
          <w:color w:val="231F20"/>
          <w:spacing w:val="-3"/>
        </w:rPr>
        <w:t> </w:t>
      </w:r>
      <w:r>
        <w:rPr>
          <w:color w:val="231F20"/>
        </w:rPr>
        <w:t>of</w:t>
      </w:r>
      <w:r>
        <w:rPr>
          <w:color w:val="231F20"/>
          <w:spacing w:val="-3"/>
        </w:rPr>
        <w:t> </w:t>
      </w:r>
      <w:r>
        <w:rPr>
          <w:color w:val="231F20"/>
          <w:spacing w:val="-1"/>
        </w:rPr>
        <w:t>scholarships</w:t>
      </w:r>
      <w:r>
        <w:rPr>
          <w:color w:val="231F20"/>
          <w:spacing w:val="-3"/>
        </w:rPr>
        <w:t> </w:t>
      </w:r>
      <w:r>
        <w:rPr>
          <w:color w:val="231F20"/>
        </w:rPr>
        <w:t>are</w:t>
      </w:r>
      <w:r>
        <w:rPr>
          <w:color w:val="231F20"/>
          <w:spacing w:val="-4"/>
        </w:rPr>
        <w:t> </w:t>
      </w:r>
      <w:r>
        <w:rPr>
          <w:color w:val="231F20"/>
        </w:rPr>
        <w:t>dealt</w:t>
      </w:r>
      <w:r>
        <w:rPr>
          <w:color w:val="231F20"/>
          <w:spacing w:val="23"/>
          <w:w w:val="99"/>
        </w:rPr>
        <w:t> </w:t>
      </w:r>
      <w:r>
        <w:rPr>
          <w:color w:val="231F20"/>
        </w:rPr>
        <w:t>with</w:t>
      </w:r>
      <w:r>
        <w:rPr>
          <w:color w:val="231F20"/>
          <w:spacing w:val="-5"/>
        </w:rPr>
        <w:t> </w:t>
      </w:r>
      <w:r>
        <w:rPr>
          <w:color w:val="231F20"/>
        </w:rPr>
        <w:t>below</w:t>
      </w:r>
      <w:r>
        <w:rPr>
          <w:color w:val="231F20"/>
          <w:spacing w:val="-4"/>
        </w:rPr>
        <w:t> </w:t>
      </w:r>
      <w:r>
        <w:rPr>
          <w:color w:val="231F20"/>
          <w:spacing w:val="-1"/>
        </w:rPr>
        <w:t>in</w:t>
      </w:r>
      <w:r>
        <w:rPr>
          <w:color w:val="231F20"/>
          <w:spacing w:val="-4"/>
        </w:rPr>
        <w:t> </w:t>
      </w:r>
      <w:r>
        <w:rPr>
          <w:color w:val="231F20"/>
          <w:spacing w:val="-2"/>
        </w:rPr>
        <w:t>Part</w:t>
      </w:r>
      <w:r>
        <w:rPr>
          <w:color w:val="231F20"/>
          <w:spacing w:val="-5"/>
        </w:rPr>
        <w:t> </w:t>
      </w:r>
      <w:r>
        <w:rPr>
          <w:color w:val="231F20"/>
          <w:spacing w:val="-1"/>
        </w:rPr>
        <w:t>10.</w:t>
      </w:r>
      <w:r>
        <w:rPr/>
      </w:r>
    </w:p>
    <w:p>
      <w:pPr>
        <w:spacing w:after="0" w:line="250" w:lineRule="exact"/>
        <w:jc w:val="left"/>
        <w:sectPr>
          <w:type w:val="continuous"/>
          <w:pgSz w:w="11910" w:h="16840"/>
          <w:pgMar w:top="1580" w:bottom="280" w:left="1300" w:right="1600"/>
          <w:cols w:num="2" w:equalWidth="0">
            <w:col w:w="4188" w:space="404"/>
            <w:col w:w="4418"/>
          </w:cols>
        </w:sectPr>
      </w:pPr>
    </w:p>
    <w:p>
      <w:pPr>
        <w:spacing w:line="240" w:lineRule="auto" w:before="0"/>
        <w:rPr>
          <w:rFonts w:ascii="Segoe UI" w:hAnsi="Segoe UI" w:cs="Segoe UI" w:eastAsia="Segoe UI"/>
          <w:sz w:val="20"/>
          <w:szCs w:val="20"/>
        </w:rPr>
      </w:pPr>
    </w:p>
    <w:p>
      <w:pPr>
        <w:spacing w:line="240" w:lineRule="auto" w:before="8"/>
        <w:rPr>
          <w:rFonts w:ascii="Segoe UI" w:hAnsi="Segoe UI" w:cs="Segoe UI" w:eastAsia="Segoe UI"/>
          <w:sz w:val="21"/>
          <w:szCs w:val="21"/>
        </w:rPr>
      </w:pPr>
    </w:p>
    <w:p>
      <w:pPr>
        <w:spacing w:after="0" w:line="240" w:lineRule="auto"/>
        <w:rPr>
          <w:rFonts w:ascii="Segoe UI" w:hAnsi="Segoe UI" w:cs="Segoe UI" w:eastAsia="Segoe UI"/>
          <w:sz w:val="21"/>
          <w:szCs w:val="21"/>
        </w:rPr>
        <w:sectPr>
          <w:pgSz w:w="11910" w:h="16840"/>
          <w:pgMar w:header="0" w:footer="691" w:top="1580" w:bottom="880" w:left="1600" w:right="1300"/>
        </w:sectPr>
      </w:pPr>
    </w:p>
    <w:p>
      <w:pPr>
        <w:spacing w:line="240" w:lineRule="auto" w:before="10"/>
        <w:rPr>
          <w:rFonts w:ascii="Segoe UI" w:hAnsi="Segoe UI" w:cs="Segoe UI" w:eastAsia="Segoe UI"/>
          <w:sz w:val="8"/>
          <w:szCs w:val="8"/>
        </w:rPr>
      </w:pPr>
    </w:p>
    <w:p>
      <w:pPr>
        <w:spacing w:line="200" w:lineRule="atLeast"/>
        <w:ind w:left="109" w:right="0" w:firstLine="0"/>
        <w:rPr>
          <w:rFonts w:ascii="Segoe UI" w:hAnsi="Segoe UI" w:cs="Segoe UI" w:eastAsia="Segoe UI"/>
          <w:sz w:val="20"/>
          <w:szCs w:val="20"/>
        </w:rPr>
      </w:pPr>
      <w:r>
        <w:rPr>
          <w:rFonts w:ascii="Segoe UI" w:hAnsi="Segoe UI" w:cs="Segoe UI" w:eastAsia="Segoe UI"/>
          <w:sz w:val="20"/>
          <w:szCs w:val="20"/>
        </w:rPr>
        <w:drawing>
          <wp:inline distT="0" distB="0" distL="0" distR="0">
            <wp:extent cx="2664926" cy="2237231"/>
            <wp:effectExtent l="0" t="0" r="0" b="0"/>
            <wp:docPr id="15" name="image38.jpeg" descr=""/>
            <wp:cNvGraphicFramePr>
              <a:graphicFrameLocks noChangeAspect="1"/>
            </wp:cNvGraphicFramePr>
            <a:graphic>
              <a:graphicData uri="http://schemas.openxmlformats.org/drawingml/2006/picture">
                <pic:pic>
                  <pic:nvPicPr>
                    <pic:cNvPr id="16" name="image38.jpeg"/>
                    <pic:cNvPicPr/>
                  </pic:nvPicPr>
                  <pic:blipFill>
                    <a:blip r:embed="rId71" cstate="print"/>
                    <a:stretch>
                      <a:fillRect/>
                    </a:stretch>
                  </pic:blipFill>
                  <pic:spPr>
                    <a:xfrm>
                      <a:off x="0" y="0"/>
                      <a:ext cx="2664926" cy="2237231"/>
                    </a:xfrm>
                    <a:prstGeom prst="rect">
                      <a:avLst/>
                    </a:prstGeom>
                  </pic:spPr>
                </pic:pic>
              </a:graphicData>
            </a:graphic>
          </wp:inline>
        </w:drawing>
      </w:r>
      <w:r>
        <w:rPr>
          <w:rFonts w:ascii="Segoe UI" w:hAnsi="Segoe UI" w:cs="Segoe UI" w:eastAsia="Segoe UI"/>
          <w:sz w:val="20"/>
          <w:szCs w:val="20"/>
        </w:rPr>
      </w:r>
    </w:p>
    <w:p>
      <w:pPr>
        <w:spacing w:line="240" w:lineRule="auto" w:before="10"/>
        <w:rPr>
          <w:rFonts w:ascii="Segoe UI" w:hAnsi="Segoe UI" w:cs="Segoe UI" w:eastAsia="Segoe UI"/>
          <w:sz w:val="35"/>
          <w:szCs w:val="35"/>
        </w:rPr>
      </w:pPr>
    </w:p>
    <w:p>
      <w:pPr>
        <w:pStyle w:val="Heading2"/>
        <w:spacing w:line="360" w:lineRule="exact" w:before="0"/>
        <w:ind w:left="100" w:right="1"/>
        <w:jc w:val="both"/>
        <w:rPr>
          <w:b w:val="0"/>
          <w:bCs w:val="0"/>
        </w:rPr>
      </w:pPr>
      <w:bookmarkStart w:name="_TOC_250030" w:id="6"/>
      <w:r>
        <w:rPr>
          <w:color w:val="452A70"/>
          <w:spacing w:val="-1"/>
        </w:rPr>
        <w:t>Underpinning</w:t>
      </w:r>
      <w:r>
        <w:rPr>
          <w:color w:val="452A70"/>
        </w:rPr>
        <w:t> </w:t>
      </w:r>
      <w:r>
        <w:rPr>
          <w:color w:val="452A70"/>
          <w:spacing w:val="-1"/>
        </w:rPr>
        <w:t>funding</w:t>
      </w:r>
      <w:r>
        <w:rPr>
          <w:color w:val="452A70"/>
        </w:rPr>
        <w:t> </w:t>
      </w:r>
      <w:r>
        <w:rPr>
          <w:color w:val="452A70"/>
          <w:spacing w:val="-1"/>
        </w:rPr>
        <w:t>from</w:t>
      </w:r>
      <w:r>
        <w:rPr>
          <w:color w:val="452A70"/>
          <w:spacing w:val="22"/>
        </w:rPr>
        <w:t> </w:t>
      </w:r>
      <w:r>
        <w:rPr>
          <w:color w:val="452A70"/>
          <w:spacing w:val="-1"/>
        </w:rPr>
        <w:t>associated</w:t>
      </w:r>
      <w:r>
        <w:rPr>
          <w:color w:val="452A70"/>
          <w:spacing w:val="-2"/>
        </w:rPr>
        <w:t> </w:t>
      </w:r>
      <w:r>
        <w:rPr>
          <w:color w:val="452A70"/>
          <w:spacing w:val="-1"/>
        </w:rPr>
        <w:t>bodies</w:t>
      </w:r>
      <w:r>
        <w:rPr>
          <w:color w:val="452A70"/>
          <w:spacing w:val="-2"/>
        </w:rPr>
        <w:t> </w:t>
      </w:r>
      <w:r>
        <w:rPr>
          <w:color w:val="452A70"/>
          <w:spacing w:val="-1"/>
        </w:rPr>
        <w:t>and</w:t>
      </w:r>
      <w:r>
        <w:rPr>
          <w:color w:val="452A70"/>
          <w:spacing w:val="-2"/>
        </w:rPr>
        <w:t> </w:t>
      </w:r>
      <w:r>
        <w:rPr>
          <w:color w:val="452A70"/>
          <w:spacing w:val="-1"/>
        </w:rPr>
        <w:t>other</w:t>
      </w:r>
      <w:r>
        <w:rPr>
          <w:color w:val="452A70"/>
          <w:spacing w:val="23"/>
        </w:rPr>
        <w:t> </w:t>
      </w:r>
      <w:r>
        <w:rPr>
          <w:color w:val="452A70"/>
        </w:rPr>
        <w:t>parties</w:t>
      </w:r>
      <w:bookmarkEnd w:id="6"/>
      <w:r>
        <w:rPr>
          <w:b w:val="0"/>
        </w:rPr>
      </w:r>
    </w:p>
    <w:p>
      <w:pPr>
        <w:pStyle w:val="BodyText"/>
        <w:spacing w:line="250" w:lineRule="exact" w:before="119"/>
        <w:ind w:left="100" w:right="233"/>
        <w:jc w:val="left"/>
      </w:pPr>
      <w:r>
        <w:rPr>
          <w:color w:val="231F20"/>
        </w:rPr>
        <w:t>A</w:t>
      </w:r>
      <w:r>
        <w:rPr>
          <w:color w:val="231F20"/>
          <w:spacing w:val="-6"/>
        </w:rPr>
        <w:t> </w:t>
      </w:r>
      <w:r>
        <w:rPr>
          <w:color w:val="231F20"/>
        </w:rPr>
        <w:t>number</w:t>
      </w:r>
      <w:r>
        <w:rPr>
          <w:color w:val="231F20"/>
          <w:spacing w:val="-7"/>
        </w:rPr>
        <w:t> </w:t>
      </w:r>
      <w:r>
        <w:rPr>
          <w:color w:val="231F20"/>
        </w:rPr>
        <w:t>of</w:t>
      </w:r>
      <w:r>
        <w:rPr>
          <w:color w:val="231F20"/>
          <w:spacing w:val="-5"/>
        </w:rPr>
        <w:t> </w:t>
      </w:r>
      <w:r>
        <w:rPr>
          <w:color w:val="231F20"/>
        </w:rPr>
        <w:t>the</w:t>
      </w:r>
      <w:r>
        <w:rPr>
          <w:color w:val="231F20"/>
          <w:spacing w:val="-7"/>
        </w:rPr>
        <w:t> </w:t>
      </w:r>
      <w:r>
        <w:rPr>
          <w:color w:val="231F20"/>
        </w:rPr>
        <w:t>boarding</w:t>
      </w:r>
      <w:r>
        <w:rPr>
          <w:color w:val="231F20"/>
          <w:spacing w:val="-6"/>
        </w:rPr>
        <w:t> </w:t>
      </w:r>
      <w:r>
        <w:rPr>
          <w:color w:val="231F20"/>
        </w:rPr>
        <w:t>providers</w:t>
      </w:r>
      <w:r>
        <w:rPr>
          <w:color w:val="231F20"/>
          <w:w w:val="99"/>
        </w:rPr>
        <w:t> </w:t>
      </w:r>
      <w:r>
        <w:rPr>
          <w:color w:val="231F20"/>
        </w:rPr>
        <w:t>consulted</w:t>
      </w:r>
      <w:r>
        <w:rPr>
          <w:color w:val="231F20"/>
          <w:spacing w:val="-9"/>
        </w:rPr>
        <w:t> </w:t>
      </w:r>
      <w:r>
        <w:rPr>
          <w:color w:val="231F20"/>
        </w:rPr>
        <w:t>rely</w:t>
      </w:r>
      <w:r>
        <w:rPr>
          <w:color w:val="231F20"/>
          <w:spacing w:val="-8"/>
        </w:rPr>
        <w:t> </w:t>
      </w:r>
      <w:r>
        <w:rPr>
          <w:color w:val="231F20"/>
        </w:rPr>
        <w:t>on</w:t>
      </w:r>
      <w:r>
        <w:rPr>
          <w:color w:val="231F20"/>
          <w:spacing w:val="-8"/>
        </w:rPr>
        <w:t> </w:t>
      </w:r>
      <w:r>
        <w:rPr>
          <w:color w:val="231F20"/>
        </w:rPr>
        <w:t>underpinning</w:t>
      </w:r>
      <w:r>
        <w:rPr>
          <w:color w:val="231F20"/>
          <w:spacing w:val="-8"/>
        </w:rPr>
        <w:t> </w:t>
      </w:r>
      <w:r>
        <w:rPr>
          <w:color w:val="231F20"/>
        </w:rPr>
        <w:t>funding</w:t>
      </w:r>
      <w:r>
        <w:rPr>
          <w:color w:val="231F20"/>
          <w:spacing w:val="-8"/>
        </w:rPr>
        <w:t> </w:t>
      </w:r>
      <w:r>
        <w:rPr>
          <w:color w:val="231F20"/>
          <w:spacing w:val="-8"/>
        </w:rPr>
      </w:r>
      <w:r>
        <w:rPr>
          <w:color w:val="231F20"/>
        </w:rPr>
        <w:t>from</w:t>
      </w:r>
      <w:r>
        <w:rPr>
          <w:color w:val="231F20"/>
        </w:rPr>
        <w:t> associated</w:t>
      </w:r>
      <w:r>
        <w:rPr>
          <w:color w:val="231F20"/>
          <w:spacing w:val="-7"/>
        </w:rPr>
        <w:t> </w:t>
      </w:r>
      <w:r>
        <w:rPr>
          <w:color w:val="231F20"/>
        </w:rPr>
        <w:t>bodies</w:t>
      </w:r>
      <w:r>
        <w:rPr>
          <w:color w:val="231F20"/>
          <w:spacing w:val="-6"/>
        </w:rPr>
        <w:t> </w:t>
      </w:r>
      <w:r>
        <w:rPr>
          <w:color w:val="231F20"/>
        </w:rPr>
        <w:t>or</w:t>
      </w:r>
      <w:r>
        <w:rPr>
          <w:color w:val="231F20"/>
          <w:spacing w:val="-5"/>
        </w:rPr>
        <w:t> </w:t>
      </w:r>
      <w:r>
        <w:rPr>
          <w:color w:val="231F20"/>
        </w:rPr>
        <w:t>other</w:t>
      </w:r>
      <w:r>
        <w:rPr>
          <w:color w:val="231F20"/>
          <w:spacing w:val="-6"/>
        </w:rPr>
        <w:t> </w:t>
      </w:r>
      <w:r>
        <w:rPr>
          <w:color w:val="231F20"/>
        </w:rPr>
        <w:t>third</w:t>
      </w:r>
      <w:r>
        <w:rPr>
          <w:color w:val="231F20"/>
          <w:spacing w:val="-6"/>
        </w:rPr>
        <w:t> </w:t>
      </w:r>
      <w:r>
        <w:rPr>
          <w:color w:val="231F20"/>
        </w:rPr>
        <w:t>parties.</w:t>
      </w:r>
      <w:r>
        <w:rPr>
          <w:color w:val="231F20"/>
          <w:w w:val="99"/>
        </w:rPr>
        <w:t> </w:t>
      </w:r>
      <w:r>
        <w:rPr>
          <w:color w:val="231F20"/>
          <w:w w:val="99"/>
        </w:rPr>
        <w:t>  </w:t>
      </w:r>
      <w:r>
        <w:rPr>
          <w:color w:val="231F20"/>
        </w:rPr>
        <w:t>This</w:t>
      </w:r>
      <w:r>
        <w:rPr>
          <w:color w:val="231F20"/>
          <w:spacing w:val="-2"/>
        </w:rPr>
        <w:t> </w:t>
      </w:r>
      <w:r>
        <w:rPr>
          <w:color w:val="231F20"/>
          <w:spacing w:val="-1"/>
        </w:rPr>
        <w:t>includes </w:t>
      </w:r>
      <w:r>
        <w:rPr>
          <w:color w:val="231F20"/>
        </w:rPr>
        <w:t>religious</w:t>
      </w:r>
      <w:r>
        <w:rPr>
          <w:color w:val="231F20"/>
          <w:spacing w:val="-3"/>
        </w:rPr>
        <w:t> </w:t>
      </w:r>
      <w:r>
        <w:rPr>
          <w:color w:val="231F20"/>
          <w:spacing w:val="-1"/>
        </w:rPr>
        <w:t>institutions </w:t>
      </w:r>
      <w:r>
        <w:rPr>
          <w:color w:val="231F20"/>
        </w:rPr>
        <w:t>and</w:t>
      </w:r>
      <w:r>
        <w:rPr>
          <w:color w:val="231F20"/>
          <w:spacing w:val="23"/>
          <w:w w:val="99"/>
        </w:rPr>
        <w:t> </w:t>
      </w:r>
      <w:r>
        <w:rPr>
          <w:color w:val="231F20"/>
          <w:spacing w:val="-1"/>
        </w:rPr>
        <w:t>sporting</w:t>
      </w:r>
      <w:r>
        <w:rPr>
          <w:color w:val="231F20"/>
          <w:spacing w:val="-8"/>
        </w:rPr>
        <w:t> </w:t>
      </w:r>
      <w:r>
        <w:rPr>
          <w:color w:val="231F20"/>
        </w:rPr>
        <w:t>organisations.</w:t>
      </w:r>
      <w:r>
        <w:rPr>
          <w:color w:val="231F20"/>
          <w:spacing w:val="-8"/>
        </w:rPr>
        <w:t> </w:t>
      </w:r>
      <w:r>
        <w:rPr>
          <w:color w:val="231F20"/>
        </w:rPr>
        <w:t>Examples</w:t>
      </w:r>
      <w:r>
        <w:rPr>
          <w:color w:val="231F20"/>
          <w:spacing w:val="-8"/>
        </w:rPr>
        <w:t> </w:t>
      </w:r>
      <w:r>
        <w:rPr>
          <w:color w:val="231F20"/>
        </w:rPr>
        <w:t>of</w:t>
      </w:r>
      <w:r>
        <w:rPr>
          <w:color w:val="231F20"/>
          <w:spacing w:val="-7"/>
        </w:rPr>
        <w:t> </w:t>
      </w:r>
      <w:r>
        <w:rPr>
          <w:color w:val="231F20"/>
          <w:spacing w:val="-1"/>
        </w:rPr>
        <w:t>sporting</w:t>
      </w:r>
      <w:r>
        <w:rPr/>
      </w:r>
    </w:p>
    <w:p>
      <w:pPr>
        <w:pStyle w:val="BodyText"/>
        <w:spacing w:line="250" w:lineRule="exact"/>
        <w:ind w:left="100" w:right="1"/>
        <w:jc w:val="both"/>
      </w:pPr>
      <w:r>
        <w:rPr>
          <w:color w:val="231F20"/>
        </w:rPr>
        <w:t>organisations</w:t>
      </w:r>
      <w:r>
        <w:rPr>
          <w:color w:val="231F20"/>
          <w:spacing w:val="-7"/>
        </w:rPr>
        <w:t> </w:t>
      </w:r>
      <w:r>
        <w:rPr>
          <w:color w:val="231F20"/>
          <w:spacing w:val="-1"/>
        </w:rPr>
        <w:t>supporting</w:t>
      </w:r>
      <w:r>
        <w:rPr>
          <w:color w:val="231F20"/>
          <w:spacing w:val="-5"/>
        </w:rPr>
        <w:t> </w:t>
      </w:r>
      <w:r>
        <w:rPr>
          <w:color w:val="231F20"/>
        </w:rPr>
        <w:t>Aboriginal</w:t>
      </w:r>
      <w:r>
        <w:rPr>
          <w:color w:val="231F20"/>
          <w:spacing w:val="-6"/>
        </w:rPr>
        <w:t> </w:t>
      </w:r>
      <w:r>
        <w:rPr>
          <w:color w:val="231F20"/>
        </w:rPr>
        <w:t>and</w:t>
      </w:r>
      <w:r>
        <w:rPr>
          <w:color w:val="231F20"/>
          <w:spacing w:val="-6"/>
        </w:rPr>
        <w:t> </w:t>
      </w:r>
      <w:r>
        <w:rPr>
          <w:color w:val="231F20"/>
          <w:spacing w:val="-5"/>
        </w:rPr>
        <w:t>Torres</w:t>
      </w:r>
      <w:r>
        <w:rPr>
          <w:color w:val="231F20"/>
          <w:spacing w:val="26"/>
          <w:w w:val="99"/>
        </w:rPr>
        <w:t> </w:t>
      </w:r>
      <w:r>
        <w:rPr>
          <w:color w:val="231F20"/>
          <w:spacing w:val="-2"/>
        </w:rPr>
        <w:t>Strait</w:t>
      </w:r>
      <w:r>
        <w:rPr>
          <w:color w:val="231F20"/>
          <w:spacing w:val="-6"/>
        </w:rPr>
        <w:t> </w:t>
      </w:r>
      <w:r>
        <w:rPr>
          <w:color w:val="231F20"/>
          <w:spacing w:val="-1"/>
        </w:rPr>
        <w:t>Islander</w:t>
      </w:r>
      <w:r>
        <w:rPr>
          <w:color w:val="231F20"/>
          <w:spacing w:val="-5"/>
        </w:rPr>
        <w:t> </w:t>
      </w:r>
      <w:r>
        <w:rPr>
          <w:color w:val="231F20"/>
        </w:rPr>
        <w:t>boarding</w:t>
      </w:r>
      <w:r>
        <w:rPr>
          <w:color w:val="231F20"/>
          <w:spacing w:val="-6"/>
        </w:rPr>
        <w:t> </w:t>
      </w:r>
      <w:r>
        <w:rPr>
          <w:color w:val="231F20"/>
        </w:rPr>
        <w:t>providers,</w:t>
      </w:r>
      <w:r>
        <w:rPr>
          <w:color w:val="231F20"/>
          <w:spacing w:val="-6"/>
        </w:rPr>
        <w:t> </w:t>
      </w:r>
      <w:r>
        <w:rPr>
          <w:color w:val="231F20"/>
        </w:rPr>
        <w:t>are</w:t>
      </w:r>
      <w:r>
        <w:rPr>
          <w:color w:val="231F20"/>
          <w:spacing w:val="-6"/>
        </w:rPr>
        <w:t> </w:t>
      </w:r>
      <w:r>
        <w:rPr>
          <w:color w:val="231F20"/>
        </w:rPr>
        <w:t>AFL</w:t>
      </w:r>
      <w:r>
        <w:rPr>
          <w:color w:val="231F20"/>
          <w:spacing w:val="-5"/>
        </w:rPr>
        <w:t> </w:t>
      </w:r>
      <w:r>
        <w:rPr>
          <w:color w:val="231F20"/>
          <w:spacing w:val="-1"/>
        </w:rPr>
        <w:t>Cape</w:t>
      </w:r>
      <w:r>
        <w:rPr>
          <w:color w:val="231F20"/>
          <w:spacing w:val="26"/>
          <w:w w:val="99"/>
        </w:rPr>
        <w:t> </w:t>
      </w:r>
      <w:r>
        <w:rPr>
          <w:color w:val="231F20"/>
          <w:spacing w:val="-6"/>
        </w:rPr>
        <w:t>York</w:t>
      </w:r>
      <w:r>
        <w:rPr>
          <w:color w:val="231F20"/>
          <w:spacing w:val="-5"/>
        </w:rPr>
        <w:t> </w:t>
      </w:r>
      <w:r>
        <w:rPr>
          <w:color w:val="231F20"/>
        </w:rPr>
        <w:t>House</w:t>
      </w:r>
      <w:r>
        <w:rPr>
          <w:color w:val="231F20"/>
          <w:spacing w:val="-5"/>
        </w:rPr>
        <w:t> </w:t>
      </w:r>
      <w:r>
        <w:rPr>
          <w:color w:val="231F20"/>
        </w:rPr>
        <w:t>and</w:t>
      </w:r>
      <w:r>
        <w:rPr>
          <w:color w:val="231F20"/>
          <w:spacing w:val="-5"/>
        </w:rPr>
        <w:t> </w:t>
      </w:r>
      <w:r>
        <w:rPr>
          <w:color w:val="231F20"/>
        </w:rPr>
        <w:t>NRL</w:t>
      </w:r>
      <w:r>
        <w:rPr>
          <w:color w:val="231F20"/>
          <w:spacing w:val="-4"/>
        </w:rPr>
        <w:t> </w:t>
      </w:r>
      <w:r>
        <w:rPr>
          <w:color w:val="231F20"/>
          <w:spacing w:val="-1"/>
        </w:rPr>
        <w:t>Cowboys</w:t>
      </w:r>
      <w:r>
        <w:rPr>
          <w:color w:val="231F20"/>
          <w:spacing w:val="-4"/>
        </w:rPr>
        <w:t> </w:t>
      </w:r>
      <w:r>
        <w:rPr>
          <w:color w:val="231F20"/>
        </w:rPr>
        <w:t>House.</w:t>
      </w:r>
      <w:r>
        <w:rPr/>
      </w:r>
    </w:p>
    <w:p>
      <w:pPr>
        <w:spacing w:line="240" w:lineRule="auto" w:before="10"/>
        <w:rPr>
          <w:rFonts w:ascii="Segoe UI" w:hAnsi="Segoe UI" w:cs="Segoe UI" w:eastAsia="Segoe UI"/>
          <w:sz w:val="20"/>
          <w:szCs w:val="20"/>
        </w:rPr>
      </w:pPr>
    </w:p>
    <w:p>
      <w:pPr>
        <w:pStyle w:val="Heading2"/>
        <w:spacing w:line="240" w:lineRule="auto" w:before="0"/>
        <w:ind w:left="100" w:right="0"/>
        <w:jc w:val="left"/>
        <w:rPr>
          <w:b w:val="0"/>
          <w:bCs w:val="0"/>
        </w:rPr>
      </w:pPr>
      <w:bookmarkStart w:name="_TOC_250029" w:id="7"/>
      <w:r>
        <w:rPr>
          <w:color w:val="452A70"/>
          <w:spacing w:val="-3"/>
        </w:rPr>
        <w:t>State </w:t>
      </w:r>
      <w:r>
        <w:rPr>
          <w:color w:val="452A70"/>
          <w:spacing w:val="-1"/>
        </w:rPr>
        <w:t>and</w:t>
      </w:r>
      <w:r>
        <w:rPr>
          <w:color w:val="452A70"/>
          <w:spacing w:val="-2"/>
        </w:rPr>
        <w:t> </w:t>
      </w:r>
      <w:r>
        <w:rPr>
          <w:color w:val="452A70"/>
        </w:rPr>
        <w:t>territory</w:t>
      </w:r>
      <w:r>
        <w:rPr>
          <w:color w:val="452A70"/>
          <w:spacing w:val="-3"/>
        </w:rPr>
        <w:t> </w:t>
      </w:r>
      <w:r>
        <w:rPr>
          <w:color w:val="452A70"/>
          <w:spacing w:val="-1"/>
        </w:rPr>
        <w:t>funding</w:t>
      </w:r>
      <w:bookmarkEnd w:id="7"/>
      <w:r>
        <w:rPr>
          <w:b w:val="0"/>
        </w:rPr>
      </w:r>
    </w:p>
    <w:p>
      <w:pPr>
        <w:pStyle w:val="BodyText"/>
        <w:spacing w:line="250" w:lineRule="exact" w:before="111"/>
        <w:ind w:left="100" w:right="225"/>
        <w:jc w:val="left"/>
        <w:rPr>
          <w:rFonts w:ascii="Segoe UI" w:hAnsi="Segoe UI" w:cs="Segoe UI" w:eastAsia="Segoe UI"/>
        </w:rPr>
      </w:pPr>
      <w:r>
        <w:rPr>
          <w:color w:val="231F20"/>
          <w:spacing w:val="-1"/>
        </w:rPr>
        <w:t>Some</w:t>
      </w:r>
      <w:r>
        <w:rPr>
          <w:color w:val="231F20"/>
          <w:spacing w:val="-6"/>
        </w:rPr>
        <w:t> </w:t>
      </w:r>
      <w:r>
        <w:rPr>
          <w:color w:val="231F20"/>
          <w:spacing w:val="-1"/>
        </w:rPr>
        <w:t>state</w:t>
      </w:r>
      <w:r>
        <w:rPr>
          <w:color w:val="231F20"/>
          <w:spacing w:val="-5"/>
        </w:rPr>
        <w:t> </w:t>
      </w:r>
      <w:r>
        <w:rPr>
          <w:color w:val="231F20"/>
        </w:rPr>
        <w:t>and</w:t>
      </w:r>
      <w:r>
        <w:rPr>
          <w:color w:val="231F20"/>
          <w:spacing w:val="-6"/>
        </w:rPr>
        <w:t> </w:t>
      </w:r>
      <w:r>
        <w:rPr>
          <w:color w:val="231F20"/>
        </w:rPr>
        <w:t>territory</w:t>
      </w:r>
      <w:r>
        <w:rPr>
          <w:color w:val="231F20"/>
          <w:spacing w:val="-7"/>
        </w:rPr>
        <w:t> </w:t>
      </w:r>
      <w:r>
        <w:rPr>
          <w:color w:val="231F20"/>
        </w:rPr>
        <w:t>governments</w:t>
      </w:r>
      <w:r>
        <w:rPr>
          <w:color w:val="231F20"/>
          <w:spacing w:val="-6"/>
        </w:rPr>
        <w:t> </w:t>
      </w:r>
      <w:r>
        <w:rPr>
          <w:color w:val="231F20"/>
        </w:rPr>
        <w:t>also</w:t>
      </w:r>
      <w:r>
        <w:rPr>
          <w:color w:val="231F20"/>
          <w:spacing w:val="23"/>
        </w:rPr>
        <w:t> </w:t>
      </w:r>
      <w:r>
        <w:rPr>
          <w:color w:val="231F20"/>
        </w:rPr>
        <w:t>provide</w:t>
      </w:r>
      <w:r>
        <w:rPr>
          <w:color w:val="231F20"/>
          <w:spacing w:val="-9"/>
        </w:rPr>
        <w:t> </w:t>
      </w:r>
      <w:r>
        <w:rPr>
          <w:color w:val="231F20"/>
        </w:rPr>
        <w:t>recurrent</w:t>
      </w:r>
      <w:r>
        <w:rPr>
          <w:color w:val="231F20"/>
          <w:spacing w:val="-9"/>
        </w:rPr>
        <w:t> </w:t>
      </w:r>
      <w:r>
        <w:rPr>
          <w:color w:val="231F20"/>
        </w:rPr>
        <w:t>funding</w:t>
      </w:r>
      <w:r>
        <w:rPr>
          <w:color w:val="231F20"/>
          <w:spacing w:val="-8"/>
        </w:rPr>
        <w:t> </w:t>
      </w:r>
      <w:r>
        <w:rPr>
          <w:color w:val="231F20"/>
        </w:rPr>
        <w:t>to</w:t>
      </w:r>
      <w:r>
        <w:rPr>
          <w:color w:val="231F20"/>
          <w:spacing w:val="-8"/>
        </w:rPr>
        <w:t> </w:t>
      </w:r>
      <w:r>
        <w:rPr>
          <w:color w:val="231F20"/>
        </w:rPr>
        <w:t>boarding</w:t>
      </w:r>
      <w:r>
        <w:rPr>
          <w:color w:val="231F20"/>
          <w:w w:val="99"/>
        </w:rPr>
        <w:t> </w:t>
      </w:r>
      <w:r>
        <w:rPr>
          <w:color w:val="231F20"/>
        </w:rPr>
        <w:t>providers</w:t>
      </w:r>
      <w:r>
        <w:rPr>
          <w:color w:val="231F20"/>
          <w:spacing w:val="-6"/>
        </w:rPr>
        <w:t> </w:t>
      </w:r>
      <w:r>
        <w:rPr>
          <w:color w:val="231F20"/>
        </w:rPr>
        <w:t>to</w:t>
      </w:r>
      <w:r>
        <w:rPr>
          <w:color w:val="231F20"/>
          <w:spacing w:val="-4"/>
        </w:rPr>
        <w:t> </w:t>
      </w:r>
      <w:r>
        <w:rPr>
          <w:color w:val="231F20"/>
        </w:rPr>
        <w:t>assist</w:t>
      </w:r>
      <w:r>
        <w:rPr>
          <w:color w:val="231F20"/>
          <w:spacing w:val="-5"/>
        </w:rPr>
        <w:t> </w:t>
      </w:r>
      <w:r>
        <w:rPr>
          <w:color w:val="231F20"/>
        </w:rPr>
        <w:t>with</w:t>
      </w:r>
      <w:r>
        <w:rPr>
          <w:color w:val="231F20"/>
          <w:spacing w:val="-5"/>
        </w:rPr>
        <w:t> </w:t>
      </w:r>
      <w:r>
        <w:rPr>
          <w:color w:val="231F20"/>
        </w:rPr>
        <w:t>boarding</w:t>
      </w:r>
      <w:r>
        <w:rPr>
          <w:color w:val="231F20"/>
          <w:spacing w:val="-5"/>
        </w:rPr>
        <w:t> </w:t>
      </w:r>
      <w:r>
        <w:rPr>
          <w:color w:val="231F20"/>
        </w:rPr>
        <w:t>costs.</w:t>
      </w:r>
      <w:r>
        <w:rPr>
          <w:color w:val="231F20"/>
          <w:spacing w:val="-5"/>
        </w:rPr>
        <w:t> </w:t>
      </w:r>
      <w:r>
        <w:rPr>
          <w:color w:val="231F20"/>
          <w:spacing w:val="-1"/>
        </w:rPr>
        <w:t>For</w:t>
      </w:r>
      <w:r>
        <w:rPr>
          <w:color w:val="231F20"/>
          <w:spacing w:val="19"/>
          <w:w w:val="99"/>
        </w:rPr>
        <w:t> </w:t>
      </w:r>
      <w:r>
        <w:rPr>
          <w:color w:val="231F20"/>
        </w:rPr>
        <w:t>example,</w:t>
      </w:r>
      <w:r>
        <w:rPr>
          <w:color w:val="231F20"/>
          <w:spacing w:val="-10"/>
        </w:rPr>
        <w:t> </w:t>
      </w:r>
      <w:r>
        <w:rPr>
          <w:color w:val="231F20"/>
        </w:rPr>
        <w:t>the</w:t>
      </w:r>
      <w:r>
        <w:rPr>
          <w:color w:val="231F20"/>
          <w:spacing w:val="-9"/>
        </w:rPr>
        <w:t> </w:t>
      </w:r>
      <w:r>
        <w:rPr>
          <w:color w:val="231F20"/>
        </w:rPr>
        <w:t>Queensland</w:t>
      </w:r>
      <w:r>
        <w:rPr>
          <w:color w:val="231F20"/>
          <w:spacing w:val="-10"/>
        </w:rPr>
        <w:t> </w:t>
      </w:r>
      <w:r>
        <w:rPr>
          <w:color w:val="231F20"/>
          <w:spacing w:val="-1"/>
        </w:rPr>
        <w:t>Department</w:t>
      </w:r>
      <w:r>
        <w:rPr>
          <w:color w:val="231F20"/>
          <w:spacing w:val="-8"/>
        </w:rPr>
        <w:t> </w:t>
      </w:r>
      <w:r>
        <w:rPr>
          <w:color w:val="231F20"/>
        </w:rPr>
        <w:t>of</w:t>
      </w:r>
      <w:r>
        <w:rPr>
          <w:color w:val="231F20"/>
          <w:spacing w:val="22"/>
          <w:w w:val="99"/>
        </w:rPr>
        <w:t> </w:t>
      </w:r>
      <w:r>
        <w:rPr>
          <w:color w:val="231F20"/>
        </w:rPr>
        <w:t>Education</w:t>
      </w:r>
      <w:r>
        <w:rPr>
          <w:color w:val="231F20"/>
          <w:spacing w:val="-6"/>
        </w:rPr>
        <w:t> </w:t>
      </w:r>
      <w:r>
        <w:rPr>
          <w:color w:val="231F20"/>
        </w:rPr>
        <w:t>funds</w:t>
      </w:r>
      <w:r>
        <w:rPr>
          <w:color w:val="231F20"/>
          <w:spacing w:val="-6"/>
        </w:rPr>
        <w:t> </w:t>
      </w:r>
      <w:r>
        <w:rPr>
          <w:color w:val="231F20"/>
        </w:rPr>
        <w:t>the</w:t>
      </w:r>
      <w:r>
        <w:rPr>
          <w:color w:val="231F20"/>
          <w:spacing w:val="-6"/>
        </w:rPr>
        <w:t> </w:t>
      </w:r>
      <w:r>
        <w:rPr>
          <w:color w:val="231F20"/>
          <w:spacing w:val="-1"/>
        </w:rPr>
        <w:t>Student</w:t>
      </w:r>
      <w:r>
        <w:rPr>
          <w:color w:val="231F20"/>
          <w:spacing w:val="-6"/>
        </w:rPr>
        <w:t> </w:t>
      </w:r>
      <w:r>
        <w:rPr>
          <w:color w:val="231F20"/>
        </w:rPr>
        <w:t>Hostel</w:t>
      </w:r>
      <w:r>
        <w:rPr>
          <w:color w:val="231F20"/>
          <w:spacing w:val="-6"/>
        </w:rPr>
        <w:t> </w:t>
      </w:r>
      <w:r>
        <w:rPr>
          <w:color w:val="231F20"/>
          <w:spacing w:val="-1"/>
        </w:rPr>
        <w:t>Support</w:t>
      </w:r>
      <w:r>
        <w:rPr>
          <w:color w:val="231F20"/>
          <w:spacing w:val="20"/>
          <w:w w:val="99"/>
        </w:rPr>
        <w:t> </w:t>
      </w:r>
      <w:r>
        <w:rPr>
          <w:color w:val="231F20"/>
          <w:spacing w:val="-1"/>
        </w:rPr>
        <w:t>Scheme.</w:t>
      </w:r>
      <w:r>
        <w:rPr>
          <w:color w:val="231F20"/>
          <w:spacing w:val="-6"/>
        </w:rPr>
        <w:t> </w:t>
      </w:r>
      <w:r>
        <w:rPr>
          <w:color w:val="231F20"/>
          <w:spacing w:val="-1"/>
        </w:rPr>
        <w:t>It</w:t>
      </w:r>
      <w:r>
        <w:rPr>
          <w:color w:val="231F20"/>
          <w:spacing w:val="-6"/>
        </w:rPr>
        <w:t> </w:t>
      </w:r>
      <w:r>
        <w:rPr>
          <w:color w:val="231F20"/>
        </w:rPr>
        <w:t>‘provides</w:t>
      </w:r>
      <w:r>
        <w:rPr>
          <w:color w:val="231F20"/>
          <w:spacing w:val="-6"/>
        </w:rPr>
        <w:t> </w:t>
      </w:r>
      <w:r>
        <w:rPr>
          <w:color w:val="231F20"/>
        </w:rPr>
        <w:t>recurrent</w:t>
      </w:r>
      <w:r>
        <w:rPr>
          <w:color w:val="231F20"/>
          <w:spacing w:val="-7"/>
        </w:rPr>
        <w:t> </w:t>
      </w:r>
      <w:r>
        <w:rPr>
          <w:color w:val="231F20"/>
          <w:spacing w:val="-1"/>
        </w:rPr>
        <w:t>(Student</w:t>
      </w:r>
      <w:r>
        <w:rPr>
          <w:color w:val="231F20"/>
          <w:spacing w:val="24"/>
          <w:w w:val="99"/>
        </w:rPr>
        <w:t> </w:t>
      </w:r>
      <w:r>
        <w:rPr>
          <w:rFonts w:ascii="Segoe UI" w:hAnsi="Segoe UI" w:cs="Segoe UI" w:eastAsia="Segoe UI"/>
          <w:color w:val="231F20"/>
        </w:rPr>
        <w:t>Hostel </w:t>
      </w:r>
      <w:r>
        <w:rPr>
          <w:rFonts w:ascii="Segoe UI" w:hAnsi="Segoe UI" w:cs="Segoe UI" w:eastAsia="Segoe UI"/>
          <w:color w:val="231F20"/>
          <w:spacing w:val="-1"/>
        </w:rPr>
        <w:t>Recurrent</w:t>
      </w:r>
      <w:r>
        <w:rPr>
          <w:rFonts w:ascii="Segoe UI" w:hAnsi="Segoe UI" w:cs="Segoe UI" w:eastAsia="Segoe UI"/>
          <w:color w:val="231F20"/>
        </w:rPr>
        <w:t> Grant) to eligible non-profit</w:t>
      </w:r>
      <w:r>
        <w:rPr>
          <w:rFonts w:ascii="Segoe UI" w:hAnsi="Segoe UI" w:cs="Segoe UI" w:eastAsia="Segoe UI"/>
        </w:rPr>
      </w:r>
    </w:p>
    <w:p>
      <w:pPr>
        <w:pStyle w:val="BodyText"/>
        <w:spacing w:line="250" w:lineRule="exact"/>
        <w:ind w:left="100" w:right="43"/>
        <w:jc w:val="left"/>
      </w:pPr>
      <w:r>
        <w:rPr>
          <w:color w:val="231F20"/>
        </w:rPr>
        <w:t>organisations</w:t>
      </w:r>
      <w:r>
        <w:rPr>
          <w:color w:val="231F20"/>
          <w:spacing w:val="-13"/>
        </w:rPr>
        <w:t> </w:t>
      </w:r>
      <w:r>
        <w:rPr>
          <w:color w:val="231F20"/>
        </w:rPr>
        <w:t>providing</w:t>
      </w:r>
      <w:r>
        <w:rPr>
          <w:color w:val="231F20"/>
          <w:spacing w:val="-13"/>
        </w:rPr>
        <w:t> </w:t>
      </w:r>
      <w:r>
        <w:rPr>
          <w:color w:val="231F20"/>
        </w:rPr>
        <w:t>hostel</w:t>
      </w:r>
      <w:r>
        <w:rPr>
          <w:color w:val="231F20"/>
          <w:spacing w:val="-12"/>
        </w:rPr>
        <w:t> </w:t>
      </w:r>
      <w:r>
        <w:rPr>
          <w:color w:val="231F20"/>
        </w:rPr>
        <w:t>accommodation</w:t>
      </w:r>
      <w:r>
        <w:rPr>
          <w:color w:val="231F20"/>
          <w:w w:val="99"/>
        </w:rPr>
        <w:t> </w:t>
      </w:r>
      <w:r>
        <w:rPr>
          <w:color w:val="231F20"/>
          <w:spacing w:val="-1"/>
        </w:rPr>
        <w:t>in</w:t>
      </w:r>
      <w:r>
        <w:rPr>
          <w:color w:val="231F20"/>
          <w:spacing w:val="-8"/>
        </w:rPr>
        <w:t> </w:t>
      </w:r>
      <w:r>
        <w:rPr>
          <w:color w:val="231F20"/>
        </w:rPr>
        <w:t>rural</w:t>
      </w:r>
      <w:r>
        <w:rPr>
          <w:color w:val="231F20"/>
          <w:spacing w:val="-8"/>
        </w:rPr>
        <w:t> </w:t>
      </w:r>
      <w:r>
        <w:rPr>
          <w:color w:val="231F20"/>
        </w:rPr>
        <w:t>areas</w:t>
      </w:r>
      <w:r>
        <w:rPr>
          <w:color w:val="231F20"/>
          <w:spacing w:val="-8"/>
        </w:rPr>
        <w:t> </w:t>
      </w:r>
      <w:r>
        <w:rPr>
          <w:color w:val="231F20"/>
        </w:rPr>
        <w:t>to</w:t>
      </w:r>
      <w:r>
        <w:rPr>
          <w:color w:val="231F20"/>
          <w:spacing w:val="-7"/>
        </w:rPr>
        <w:t> </w:t>
      </w:r>
      <w:r>
        <w:rPr>
          <w:color w:val="231F20"/>
        </w:rPr>
        <w:t>accommodate</w:t>
      </w:r>
      <w:r>
        <w:rPr>
          <w:color w:val="231F20"/>
          <w:spacing w:val="-9"/>
        </w:rPr>
        <w:t> </w:t>
      </w:r>
      <w:r>
        <w:rPr>
          <w:color w:val="231F20"/>
        </w:rPr>
        <w:t>geographically</w:t>
      </w:r>
      <w:r>
        <w:rPr>
          <w:color w:val="231F20"/>
          <w:spacing w:val="21"/>
          <w:w w:val="99"/>
        </w:rPr>
        <w:t> </w:t>
      </w:r>
      <w:r>
        <w:rPr>
          <w:color w:val="231F20"/>
          <w:spacing w:val="-1"/>
        </w:rPr>
        <w:t>isolated</w:t>
      </w:r>
      <w:r>
        <w:rPr>
          <w:color w:val="231F20"/>
          <w:spacing w:val="-5"/>
        </w:rPr>
        <w:t> </w:t>
      </w:r>
      <w:r>
        <w:rPr>
          <w:color w:val="231F20"/>
        </w:rPr>
        <w:t>primary</w:t>
      </w:r>
      <w:r>
        <w:rPr>
          <w:color w:val="231F20"/>
          <w:spacing w:val="-6"/>
        </w:rPr>
        <w:t> </w:t>
      </w:r>
      <w:r>
        <w:rPr>
          <w:color w:val="231F20"/>
        </w:rPr>
        <w:t>and</w:t>
      </w:r>
      <w:r>
        <w:rPr>
          <w:color w:val="231F20"/>
          <w:spacing w:val="-6"/>
        </w:rPr>
        <w:t> </w:t>
      </w:r>
      <w:r>
        <w:rPr>
          <w:color w:val="231F20"/>
          <w:spacing w:val="-1"/>
        </w:rPr>
        <w:t>secondary</w:t>
      </w:r>
      <w:r>
        <w:rPr>
          <w:color w:val="231F20"/>
          <w:spacing w:val="-4"/>
        </w:rPr>
        <w:t> </w:t>
      </w:r>
      <w:r>
        <w:rPr>
          <w:color w:val="231F20"/>
          <w:spacing w:val="-1"/>
        </w:rPr>
        <w:t>students</w:t>
      </w:r>
      <w:r>
        <w:rPr>
          <w:color w:val="231F20"/>
          <w:spacing w:val="22"/>
        </w:rPr>
        <w:t> </w:t>
      </w:r>
      <w:r>
        <w:rPr>
          <w:color w:val="231F20"/>
        </w:rPr>
        <w:t>(including</w:t>
      </w:r>
      <w:r>
        <w:rPr>
          <w:color w:val="231F20"/>
          <w:spacing w:val="-5"/>
        </w:rPr>
        <w:t> </w:t>
      </w:r>
      <w:r>
        <w:rPr>
          <w:color w:val="231F20"/>
          <w:spacing w:val="-1"/>
        </w:rPr>
        <w:t>students</w:t>
      </w:r>
      <w:r>
        <w:rPr>
          <w:color w:val="231F20"/>
          <w:spacing w:val="-3"/>
        </w:rPr>
        <w:t> </w:t>
      </w:r>
      <w:r>
        <w:rPr>
          <w:color w:val="231F20"/>
        </w:rPr>
        <w:t>with</w:t>
      </w:r>
      <w:r>
        <w:rPr>
          <w:color w:val="231F20"/>
          <w:spacing w:val="-4"/>
        </w:rPr>
        <w:t> </w:t>
      </w:r>
      <w:r>
        <w:rPr>
          <w:color w:val="231F20"/>
        </w:rPr>
        <w:t>disabilities)</w:t>
      </w:r>
      <w:r>
        <w:rPr>
          <w:color w:val="231F20"/>
          <w:spacing w:val="-4"/>
        </w:rPr>
        <w:t> </w:t>
      </w:r>
      <w:r>
        <w:rPr>
          <w:color w:val="231F20"/>
          <w:spacing w:val="-1"/>
        </w:rPr>
        <w:t>so</w:t>
      </w:r>
      <w:r>
        <w:rPr>
          <w:color w:val="231F20"/>
          <w:spacing w:val="-4"/>
        </w:rPr>
        <w:t> </w:t>
      </w:r>
      <w:r>
        <w:rPr>
          <w:color w:val="231F20"/>
        </w:rPr>
        <w:t>they</w:t>
      </w:r>
      <w:r>
        <w:rPr>
          <w:color w:val="231F20"/>
          <w:spacing w:val="23"/>
          <w:w w:val="99"/>
        </w:rPr>
        <w:t> </w:t>
      </w:r>
      <w:r>
        <w:rPr>
          <w:color w:val="231F20"/>
          <w:spacing w:val="-1"/>
        </w:rPr>
        <w:t>may </w:t>
      </w:r>
      <w:r>
        <w:rPr>
          <w:color w:val="231F20"/>
        </w:rPr>
        <w:t>have</w:t>
      </w:r>
      <w:r>
        <w:rPr>
          <w:color w:val="231F20"/>
          <w:spacing w:val="-2"/>
        </w:rPr>
        <w:t> </w:t>
      </w:r>
      <w:r>
        <w:rPr>
          <w:color w:val="231F20"/>
        </w:rPr>
        <w:t>daily</w:t>
      </w:r>
      <w:r>
        <w:rPr>
          <w:color w:val="231F20"/>
          <w:spacing w:val="-2"/>
        </w:rPr>
        <w:t> </w:t>
      </w:r>
      <w:r>
        <w:rPr>
          <w:color w:val="231F20"/>
        </w:rPr>
        <w:t>access</w:t>
      </w:r>
      <w:r>
        <w:rPr>
          <w:color w:val="231F20"/>
          <w:spacing w:val="-2"/>
        </w:rPr>
        <w:t> </w:t>
      </w:r>
      <w:r>
        <w:rPr>
          <w:color w:val="231F20"/>
        </w:rPr>
        <w:t>to </w:t>
      </w:r>
      <w:r>
        <w:rPr>
          <w:color w:val="231F20"/>
          <w:spacing w:val="-1"/>
        </w:rPr>
        <w:t>schools’</w:t>
      </w:r>
      <w:r>
        <w:rPr>
          <w:rFonts w:ascii="Segoe UI Semibold" w:hAnsi="Segoe UI Semibold" w:cs="Segoe UI Semibold" w:eastAsia="Segoe UI Semibold"/>
          <w:b/>
          <w:bCs/>
          <w:color w:val="231F20"/>
          <w:spacing w:val="-1"/>
          <w:position w:val="7"/>
          <w:sz w:val="11"/>
          <w:szCs w:val="11"/>
        </w:rPr>
        <w:t>131</w:t>
      </w:r>
      <w:r>
        <w:rPr>
          <w:color w:val="231F20"/>
          <w:spacing w:val="-1"/>
        </w:rPr>
        <w:t>. </w:t>
      </w:r>
      <w:r>
        <w:rPr>
          <w:color w:val="231F20"/>
        </w:rPr>
        <w:t>The</w:t>
      </w:r>
      <w:r>
        <w:rPr>
          <w:color w:val="231F20"/>
          <w:spacing w:val="25"/>
          <w:w w:val="99"/>
        </w:rPr>
        <w:t> </w:t>
      </w:r>
      <w:r>
        <w:rPr>
          <w:color w:val="231F20"/>
        </w:rPr>
        <w:t>recurrent</w:t>
      </w:r>
      <w:r>
        <w:rPr>
          <w:color w:val="231F20"/>
          <w:spacing w:val="-6"/>
        </w:rPr>
        <w:t> </w:t>
      </w:r>
      <w:r>
        <w:rPr>
          <w:color w:val="231F20"/>
        </w:rPr>
        <w:t>funding</w:t>
      </w:r>
      <w:r>
        <w:rPr>
          <w:color w:val="231F20"/>
          <w:spacing w:val="-5"/>
        </w:rPr>
        <w:t> </w:t>
      </w:r>
      <w:r>
        <w:rPr>
          <w:color w:val="231F20"/>
          <w:spacing w:val="-1"/>
        </w:rPr>
        <w:t>is</w:t>
      </w:r>
      <w:r>
        <w:rPr>
          <w:color w:val="231F20"/>
          <w:spacing w:val="-6"/>
        </w:rPr>
        <w:t> </w:t>
      </w:r>
      <w:r>
        <w:rPr>
          <w:color w:val="231F20"/>
        </w:rPr>
        <w:t>a</w:t>
      </w:r>
      <w:r>
        <w:rPr>
          <w:color w:val="231F20"/>
          <w:spacing w:val="-5"/>
        </w:rPr>
        <w:t> </w:t>
      </w:r>
      <w:r>
        <w:rPr>
          <w:color w:val="231F20"/>
        </w:rPr>
        <w:t>per</w:t>
      </w:r>
      <w:r>
        <w:rPr>
          <w:color w:val="231F20"/>
          <w:spacing w:val="-5"/>
        </w:rPr>
        <w:t> </w:t>
      </w:r>
      <w:r>
        <w:rPr>
          <w:color w:val="231F20"/>
        </w:rPr>
        <w:t>capita</w:t>
      </w:r>
      <w:r>
        <w:rPr>
          <w:color w:val="231F20"/>
          <w:spacing w:val="-6"/>
        </w:rPr>
        <w:t> </w:t>
      </w:r>
      <w:r>
        <w:rPr>
          <w:color w:val="231F20"/>
        </w:rPr>
        <w:t>grant.</w:t>
      </w:r>
      <w:r>
        <w:rPr/>
      </w:r>
    </w:p>
    <w:p>
      <w:pPr>
        <w:pStyle w:val="BodyText"/>
        <w:spacing w:line="250" w:lineRule="exact" w:before="62"/>
        <w:ind w:left="100" w:right="243"/>
        <w:jc w:val="left"/>
      </w:pPr>
      <w:r>
        <w:rPr/>
        <w:br w:type="column"/>
      </w:r>
      <w:r>
        <w:rPr>
          <w:color w:val="231F20"/>
          <w:spacing w:val="-1"/>
        </w:rPr>
        <w:t>Some</w:t>
      </w:r>
      <w:r>
        <w:rPr>
          <w:color w:val="231F20"/>
          <w:spacing w:val="-5"/>
        </w:rPr>
        <w:t> </w:t>
      </w:r>
      <w:r>
        <w:rPr>
          <w:color w:val="231F20"/>
        </w:rPr>
        <w:t>boarding</w:t>
      </w:r>
      <w:r>
        <w:rPr>
          <w:color w:val="231F20"/>
          <w:spacing w:val="-6"/>
        </w:rPr>
        <w:t> </w:t>
      </w:r>
      <w:r>
        <w:rPr>
          <w:color w:val="231F20"/>
        </w:rPr>
        <w:t>providers</w:t>
      </w:r>
      <w:r>
        <w:rPr>
          <w:color w:val="231F20"/>
          <w:spacing w:val="-5"/>
        </w:rPr>
        <w:t> </w:t>
      </w:r>
      <w:r>
        <w:rPr>
          <w:color w:val="231F20"/>
        </w:rPr>
        <w:t>are</w:t>
      </w:r>
      <w:r>
        <w:rPr>
          <w:color w:val="231F20"/>
          <w:spacing w:val="-5"/>
        </w:rPr>
        <w:t> </w:t>
      </w:r>
      <w:r>
        <w:rPr>
          <w:color w:val="231F20"/>
        </w:rPr>
        <w:t>part</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spacing w:val="-1"/>
        </w:rPr>
        <w:t>state</w:t>
      </w:r>
      <w:r>
        <w:rPr>
          <w:color w:val="231F20"/>
          <w:spacing w:val="22"/>
          <w:w w:val="99"/>
        </w:rPr>
        <w:t> </w:t>
      </w:r>
      <w:r>
        <w:rPr>
          <w:color w:val="231F20"/>
        </w:rPr>
        <w:t>or</w:t>
      </w:r>
      <w:r>
        <w:rPr>
          <w:color w:val="231F20"/>
          <w:spacing w:val="-6"/>
        </w:rPr>
        <w:t> </w:t>
      </w:r>
      <w:r>
        <w:rPr>
          <w:color w:val="231F20"/>
        </w:rPr>
        <w:t>territory</w:t>
      </w:r>
      <w:r>
        <w:rPr>
          <w:color w:val="231F20"/>
          <w:spacing w:val="-6"/>
        </w:rPr>
        <w:t> </w:t>
      </w:r>
      <w:r>
        <w:rPr>
          <w:color w:val="231F20"/>
        </w:rPr>
        <w:t>education</w:t>
      </w:r>
      <w:r>
        <w:rPr>
          <w:color w:val="231F20"/>
          <w:spacing w:val="-7"/>
        </w:rPr>
        <w:t> </w:t>
      </w:r>
      <w:r>
        <w:rPr>
          <w:color w:val="231F20"/>
          <w:spacing w:val="-1"/>
        </w:rPr>
        <w:t>system</w:t>
      </w:r>
      <w:r>
        <w:rPr>
          <w:color w:val="231F20"/>
          <w:spacing w:val="-5"/>
        </w:rPr>
        <w:t> </w:t>
      </w:r>
      <w:r>
        <w:rPr>
          <w:color w:val="231F20"/>
        </w:rPr>
        <w:t>and</w:t>
      </w:r>
      <w:r>
        <w:rPr>
          <w:color w:val="231F20"/>
          <w:spacing w:val="-7"/>
        </w:rPr>
        <w:t> </w:t>
      </w:r>
      <w:r>
        <w:rPr>
          <w:color w:val="231F20"/>
        </w:rPr>
        <w:t>receive</w:t>
      </w:r>
      <w:r>
        <w:rPr>
          <w:color w:val="231F20"/>
          <w:spacing w:val="21"/>
          <w:w w:val="99"/>
        </w:rPr>
        <w:t> </w:t>
      </w:r>
      <w:r>
        <w:rPr>
          <w:color w:val="231F20"/>
        </w:rPr>
        <w:t>underpinning</w:t>
      </w:r>
      <w:r>
        <w:rPr>
          <w:color w:val="231F20"/>
          <w:spacing w:val="-10"/>
        </w:rPr>
        <w:t> </w:t>
      </w:r>
      <w:r>
        <w:rPr>
          <w:color w:val="231F20"/>
        </w:rPr>
        <w:t>funding</w:t>
      </w:r>
      <w:r>
        <w:rPr>
          <w:color w:val="231F20"/>
          <w:spacing w:val="-9"/>
        </w:rPr>
        <w:t> </w:t>
      </w:r>
      <w:r>
        <w:rPr>
          <w:color w:val="231F20"/>
        </w:rPr>
        <w:t>for</w:t>
      </w:r>
      <w:r>
        <w:rPr>
          <w:color w:val="231F20"/>
          <w:spacing w:val="-9"/>
        </w:rPr>
        <w:t> </w:t>
      </w:r>
      <w:r>
        <w:rPr>
          <w:color w:val="231F20"/>
        </w:rPr>
        <w:t>their</w:t>
      </w:r>
      <w:r>
        <w:rPr>
          <w:color w:val="231F20"/>
          <w:spacing w:val="-10"/>
        </w:rPr>
        <w:t> </w:t>
      </w:r>
      <w:r>
        <w:rPr>
          <w:color w:val="231F20"/>
        </w:rPr>
        <w:t>operations.</w:t>
      </w:r>
      <w:r>
        <w:rPr/>
      </w:r>
    </w:p>
    <w:p>
      <w:pPr>
        <w:pStyle w:val="BodyText"/>
        <w:spacing w:line="250" w:lineRule="exact"/>
        <w:ind w:left="100" w:right="487"/>
        <w:jc w:val="left"/>
      </w:pPr>
      <w:r>
        <w:rPr>
          <w:color w:val="231F20"/>
        </w:rPr>
        <w:t>The</w:t>
      </w:r>
      <w:r>
        <w:rPr>
          <w:color w:val="231F20"/>
          <w:spacing w:val="-4"/>
        </w:rPr>
        <w:t> </w:t>
      </w:r>
      <w:r>
        <w:rPr>
          <w:color w:val="231F20"/>
        </w:rPr>
        <w:t>type</w:t>
      </w:r>
      <w:r>
        <w:rPr>
          <w:color w:val="231F20"/>
          <w:spacing w:val="-5"/>
        </w:rPr>
        <w:t> </w:t>
      </w:r>
      <w:r>
        <w:rPr>
          <w:color w:val="231F20"/>
        </w:rPr>
        <w:t>of</w:t>
      </w:r>
      <w:r>
        <w:rPr>
          <w:color w:val="231F20"/>
          <w:spacing w:val="-4"/>
        </w:rPr>
        <w:t> </w:t>
      </w:r>
      <w:r>
        <w:rPr>
          <w:color w:val="231F20"/>
        </w:rPr>
        <w:t>funding</w:t>
      </w:r>
      <w:r>
        <w:rPr>
          <w:color w:val="231F20"/>
          <w:spacing w:val="-4"/>
        </w:rPr>
        <w:t> </w:t>
      </w:r>
      <w:r>
        <w:rPr>
          <w:color w:val="231F20"/>
        </w:rPr>
        <w:t>and</w:t>
      </w:r>
      <w:r>
        <w:rPr>
          <w:color w:val="231F20"/>
          <w:spacing w:val="-5"/>
        </w:rPr>
        <w:t> </w:t>
      </w:r>
      <w:r>
        <w:rPr>
          <w:color w:val="231F20"/>
        </w:rPr>
        <w:t>the</w:t>
      </w:r>
      <w:r>
        <w:rPr>
          <w:color w:val="231F20"/>
          <w:spacing w:val="-4"/>
        </w:rPr>
        <w:t> </w:t>
      </w:r>
      <w:r>
        <w:rPr>
          <w:color w:val="231F20"/>
          <w:spacing w:val="-1"/>
        </w:rPr>
        <w:t>level</w:t>
      </w:r>
      <w:r>
        <w:rPr>
          <w:color w:val="231F20"/>
          <w:spacing w:val="-4"/>
        </w:rPr>
        <w:t> </w:t>
      </w:r>
      <w:r>
        <w:rPr>
          <w:color w:val="231F20"/>
        </w:rPr>
        <w:t>of</w:t>
      </w:r>
      <w:r>
        <w:rPr>
          <w:color w:val="231F20"/>
          <w:spacing w:val="-4"/>
        </w:rPr>
        <w:t> </w:t>
      </w:r>
      <w:r>
        <w:rPr>
          <w:color w:val="231F20"/>
        </w:rPr>
        <w:t>funding</w:t>
      </w:r>
      <w:r>
        <w:rPr>
          <w:color w:val="231F20"/>
          <w:spacing w:val="21"/>
          <w:w w:val="99"/>
        </w:rPr>
        <w:t> </w:t>
      </w:r>
      <w:r>
        <w:rPr>
          <w:color w:val="231F20"/>
        </w:rPr>
        <w:t>depends</w:t>
      </w:r>
      <w:r>
        <w:rPr>
          <w:color w:val="231F20"/>
          <w:spacing w:val="-7"/>
        </w:rPr>
        <w:t> </w:t>
      </w:r>
      <w:r>
        <w:rPr>
          <w:color w:val="231F20"/>
        </w:rPr>
        <w:t>on</w:t>
      </w:r>
      <w:r>
        <w:rPr>
          <w:color w:val="231F20"/>
          <w:spacing w:val="-6"/>
        </w:rPr>
        <w:t> </w:t>
      </w:r>
      <w:r>
        <w:rPr>
          <w:color w:val="231F20"/>
        </w:rPr>
        <w:t>the</w:t>
      </w:r>
      <w:r>
        <w:rPr>
          <w:color w:val="231F20"/>
          <w:spacing w:val="-6"/>
        </w:rPr>
        <w:t> </w:t>
      </w:r>
      <w:r>
        <w:rPr>
          <w:color w:val="231F20"/>
          <w:spacing w:val="-1"/>
        </w:rPr>
        <w:t>jurisdiction.</w:t>
      </w:r>
      <w:r>
        <w:rPr>
          <w:color w:val="231F20"/>
          <w:spacing w:val="-6"/>
        </w:rPr>
        <w:t> </w:t>
      </w:r>
      <w:r>
        <w:rPr>
          <w:color w:val="231F20"/>
          <w:spacing w:val="-1"/>
        </w:rPr>
        <w:t>In</w:t>
      </w:r>
      <w:r>
        <w:rPr>
          <w:color w:val="231F20"/>
          <w:spacing w:val="-6"/>
        </w:rPr>
        <w:t> </w:t>
      </w:r>
      <w:r>
        <w:rPr>
          <w:color w:val="231F20"/>
        </w:rPr>
        <w:t>the</w:t>
      </w:r>
      <w:r>
        <w:rPr>
          <w:color w:val="231F20"/>
          <w:spacing w:val="-6"/>
        </w:rPr>
        <w:t> </w:t>
      </w:r>
      <w:r>
        <w:rPr>
          <w:color w:val="231F20"/>
        </w:rPr>
        <w:t>Northern</w:t>
      </w:r>
      <w:r>
        <w:rPr>
          <w:color w:val="231F20"/>
          <w:spacing w:val="23"/>
          <w:w w:val="99"/>
        </w:rPr>
        <w:t> </w:t>
      </w:r>
      <w:r>
        <w:rPr>
          <w:color w:val="231F20"/>
          <w:spacing w:val="-3"/>
        </w:rPr>
        <w:t>Territory</w:t>
      </w:r>
      <w:r>
        <w:rPr>
          <w:color w:val="231F20"/>
          <w:spacing w:val="-5"/>
        </w:rPr>
        <w:t> </w:t>
      </w:r>
      <w:r>
        <w:rPr>
          <w:color w:val="231F20"/>
        </w:rPr>
        <w:t>one</w:t>
      </w:r>
      <w:r>
        <w:rPr>
          <w:color w:val="231F20"/>
          <w:spacing w:val="-5"/>
        </w:rPr>
        <w:t> </w:t>
      </w:r>
      <w:r>
        <w:rPr>
          <w:color w:val="231F20"/>
        </w:rPr>
        <w:t>type</w:t>
      </w:r>
      <w:r>
        <w:rPr>
          <w:color w:val="231F20"/>
          <w:spacing w:val="-5"/>
        </w:rPr>
        <w:t> </w:t>
      </w:r>
      <w:r>
        <w:rPr>
          <w:color w:val="231F20"/>
        </w:rPr>
        <w:t>of</w:t>
      </w:r>
      <w:r>
        <w:rPr>
          <w:color w:val="231F20"/>
          <w:spacing w:val="-5"/>
        </w:rPr>
        <w:t> </w:t>
      </w:r>
      <w:r>
        <w:rPr>
          <w:color w:val="231F20"/>
        </w:rPr>
        <w:t>funding</w:t>
      </w:r>
      <w:r>
        <w:rPr>
          <w:color w:val="231F20"/>
          <w:spacing w:val="-5"/>
        </w:rPr>
        <w:t> </w:t>
      </w:r>
      <w:r>
        <w:rPr>
          <w:color w:val="231F20"/>
          <w:spacing w:val="-1"/>
        </w:rPr>
        <w:t>is</w:t>
      </w:r>
      <w:r>
        <w:rPr>
          <w:color w:val="231F20"/>
          <w:spacing w:val="-5"/>
        </w:rPr>
        <w:t> </w:t>
      </w:r>
      <w:r>
        <w:rPr>
          <w:color w:val="231F20"/>
        </w:rPr>
        <w:t>referred</w:t>
      </w:r>
      <w:r>
        <w:rPr>
          <w:color w:val="231F20"/>
          <w:spacing w:val="-6"/>
        </w:rPr>
        <w:t> </w:t>
      </w:r>
      <w:r>
        <w:rPr>
          <w:color w:val="231F20"/>
        </w:rPr>
        <w:t>to</w:t>
      </w:r>
      <w:r>
        <w:rPr>
          <w:color w:val="231F20"/>
          <w:spacing w:val="28"/>
          <w:w w:val="99"/>
        </w:rPr>
        <w:t> </w:t>
      </w:r>
      <w:r>
        <w:rPr>
          <w:color w:val="231F20"/>
        </w:rPr>
        <w:t>as</w:t>
      </w:r>
      <w:r>
        <w:rPr>
          <w:color w:val="231F20"/>
          <w:spacing w:val="-10"/>
        </w:rPr>
        <w:t> </w:t>
      </w:r>
      <w:r>
        <w:rPr>
          <w:color w:val="231F20"/>
        </w:rPr>
        <w:t>targeted</w:t>
      </w:r>
      <w:r>
        <w:rPr>
          <w:color w:val="231F20"/>
          <w:spacing w:val="-9"/>
        </w:rPr>
        <w:t> </w:t>
      </w:r>
      <w:r>
        <w:rPr>
          <w:color w:val="231F20"/>
        </w:rPr>
        <w:t>funding.</w:t>
      </w:r>
      <w:r>
        <w:rPr>
          <w:color w:val="231F20"/>
          <w:spacing w:val="-9"/>
        </w:rPr>
        <w:t> </w:t>
      </w:r>
      <w:r>
        <w:rPr>
          <w:color w:val="231F20"/>
        </w:rPr>
        <w:t>Government</w:t>
      </w:r>
      <w:r>
        <w:rPr>
          <w:color w:val="231F20"/>
          <w:spacing w:val="-8"/>
        </w:rPr>
        <w:t> </w:t>
      </w:r>
      <w:r>
        <w:rPr>
          <w:color w:val="231F20"/>
        </w:rPr>
        <w:t>boarding</w:t>
      </w:r>
      <w:r>
        <w:rPr/>
      </w:r>
    </w:p>
    <w:p>
      <w:pPr>
        <w:pStyle w:val="BodyText"/>
        <w:spacing w:line="250" w:lineRule="exact"/>
        <w:ind w:left="100" w:right="124"/>
        <w:jc w:val="left"/>
      </w:pPr>
      <w:r>
        <w:rPr>
          <w:color w:val="231F20"/>
        </w:rPr>
        <w:t>providers</w:t>
      </w:r>
      <w:r>
        <w:rPr>
          <w:color w:val="231F20"/>
          <w:spacing w:val="-10"/>
        </w:rPr>
        <w:t> </w:t>
      </w:r>
      <w:r>
        <w:rPr>
          <w:color w:val="231F20"/>
        </w:rPr>
        <w:t>receiving</w:t>
      </w:r>
      <w:r>
        <w:rPr>
          <w:color w:val="231F20"/>
          <w:spacing w:val="-11"/>
        </w:rPr>
        <w:t> </w:t>
      </w:r>
      <w:r>
        <w:rPr>
          <w:color w:val="231F20"/>
        </w:rPr>
        <w:t>this</w:t>
      </w:r>
      <w:r>
        <w:rPr>
          <w:color w:val="231F20"/>
          <w:spacing w:val="-10"/>
        </w:rPr>
        <w:t> </w:t>
      </w:r>
      <w:r>
        <w:rPr>
          <w:color w:val="231F20"/>
        </w:rPr>
        <w:t>underpinning</w:t>
      </w:r>
      <w:r>
        <w:rPr>
          <w:color w:val="231F20"/>
          <w:spacing w:val="-9"/>
        </w:rPr>
        <w:t> </w:t>
      </w:r>
      <w:r>
        <w:rPr>
          <w:color w:val="231F20"/>
        </w:rPr>
        <w:t>funding</w:t>
      </w:r>
      <w:r>
        <w:rPr>
          <w:color w:val="231F20"/>
          <w:w w:val="99"/>
        </w:rPr>
        <w:t> </w:t>
      </w:r>
      <w:r>
        <w:rPr>
          <w:color w:val="231F20"/>
        </w:rPr>
        <w:t>noted</w:t>
      </w:r>
      <w:r>
        <w:rPr>
          <w:color w:val="231F20"/>
          <w:spacing w:val="-5"/>
        </w:rPr>
        <w:t> </w:t>
      </w:r>
      <w:r>
        <w:rPr>
          <w:color w:val="231F20"/>
        </w:rPr>
        <w:t>that</w:t>
      </w:r>
      <w:r>
        <w:rPr>
          <w:color w:val="231F20"/>
          <w:spacing w:val="-5"/>
        </w:rPr>
        <w:t> </w:t>
      </w:r>
      <w:r>
        <w:rPr>
          <w:color w:val="231F20"/>
        </w:rPr>
        <w:t>funding</w:t>
      </w:r>
      <w:r>
        <w:rPr>
          <w:color w:val="231F20"/>
          <w:spacing w:val="-4"/>
        </w:rPr>
        <w:t> </w:t>
      </w:r>
      <w:r>
        <w:rPr>
          <w:color w:val="231F20"/>
          <w:spacing w:val="-1"/>
        </w:rPr>
        <w:t>is</w:t>
      </w:r>
      <w:r>
        <w:rPr>
          <w:color w:val="231F20"/>
          <w:spacing w:val="-5"/>
        </w:rPr>
        <w:t> </w:t>
      </w:r>
      <w:r>
        <w:rPr>
          <w:color w:val="231F20"/>
        </w:rPr>
        <w:t>certain</w:t>
      </w:r>
      <w:r>
        <w:rPr>
          <w:color w:val="231F20"/>
          <w:spacing w:val="-5"/>
        </w:rPr>
        <w:t> </w:t>
      </w:r>
      <w:r>
        <w:rPr>
          <w:color w:val="231F20"/>
        </w:rPr>
        <w:t>and</w:t>
      </w:r>
      <w:r>
        <w:rPr>
          <w:color w:val="231F20"/>
          <w:spacing w:val="-5"/>
        </w:rPr>
        <w:t> </w:t>
      </w:r>
      <w:r>
        <w:rPr>
          <w:color w:val="231F20"/>
        </w:rPr>
        <w:t>enables</w:t>
      </w:r>
      <w:r>
        <w:rPr>
          <w:color w:val="231F20"/>
          <w:spacing w:val="-5"/>
        </w:rPr>
        <w:t> </w:t>
      </w:r>
      <w:r>
        <w:rPr>
          <w:color w:val="231F20"/>
        </w:rPr>
        <w:t>the</w:t>
      </w:r>
      <w:r>
        <w:rPr>
          <w:color w:val="231F20"/>
          <w:spacing w:val="21"/>
          <w:w w:val="99"/>
        </w:rPr>
        <w:t> </w:t>
      </w:r>
      <w:r>
        <w:rPr>
          <w:color w:val="231F20"/>
        </w:rPr>
        <w:t>provider</w:t>
      </w:r>
      <w:r>
        <w:rPr>
          <w:color w:val="231F20"/>
          <w:spacing w:val="-6"/>
        </w:rPr>
        <w:t> </w:t>
      </w:r>
      <w:r>
        <w:rPr>
          <w:color w:val="231F20"/>
        </w:rPr>
        <w:t>to</w:t>
      </w:r>
      <w:r>
        <w:rPr>
          <w:color w:val="231F20"/>
          <w:spacing w:val="-5"/>
        </w:rPr>
        <w:t> </w:t>
      </w:r>
      <w:r>
        <w:rPr>
          <w:color w:val="231F20"/>
        </w:rPr>
        <w:t>budget</w:t>
      </w:r>
      <w:r>
        <w:rPr>
          <w:color w:val="231F20"/>
          <w:spacing w:val="-6"/>
        </w:rPr>
        <w:t> </w:t>
      </w:r>
      <w:r>
        <w:rPr>
          <w:color w:val="231F20"/>
        </w:rPr>
        <w:t>and</w:t>
      </w:r>
      <w:r>
        <w:rPr>
          <w:color w:val="231F20"/>
          <w:spacing w:val="-5"/>
        </w:rPr>
        <w:t> </w:t>
      </w:r>
      <w:r>
        <w:rPr>
          <w:color w:val="231F20"/>
        </w:rPr>
        <w:t>plan</w:t>
      </w:r>
      <w:r>
        <w:rPr>
          <w:color w:val="231F20"/>
          <w:spacing w:val="-6"/>
        </w:rPr>
        <w:t> </w:t>
      </w:r>
      <w:r>
        <w:rPr>
          <w:color w:val="231F20"/>
        </w:rPr>
        <w:t>for</w:t>
      </w:r>
      <w:r>
        <w:rPr>
          <w:color w:val="231F20"/>
          <w:spacing w:val="-5"/>
        </w:rPr>
        <w:t> </w:t>
      </w:r>
      <w:r>
        <w:rPr>
          <w:color w:val="231F20"/>
        </w:rPr>
        <w:t>the</w:t>
      </w:r>
      <w:r>
        <w:rPr>
          <w:color w:val="231F20"/>
          <w:spacing w:val="-5"/>
        </w:rPr>
        <w:t> </w:t>
      </w:r>
      <w:r>
        <w:rPr>
          <w:color w:val="231F20"/>
        </w:rPr>
        <w:t>year</w:t>
      </w:r>
      <w:r>
        <w:rPr>
          <w:color w:val="231F20"/>
          <w:spacing w:val="-5"/>
        </w:rPr>
        <w:t> </w:t>
      </w:r>
      <w:r>
        <w:rPr>
          <w:color w:val="231F20"/>
        </w:rPr>
        <w:t>ahead.</w:t>
      </w:r>
      <w:r>
        <w:rPr/>
      </w:r>
    </w:p>
    <w:p>
      <w:pPr>
        <w:pStyle w:val="BodyText"/>
        <w:spacing w:line="250" w:lineRule="exact" w:before="113"/>
        <w:ind w:left="100" w:right="147"/>
        <w:jc w:val="left"/>
        <w:rPr>
          <w:rFonts w:ascii="Segoe UI" w:hAnsi="Segoe UI" w:cs="Segoe UI" w:eastAsia="Segoe UI"/>
        </w:rPr>
      </w:pPr>
      <w:r>
        <w:rPr>
          <w:color w:val="231F20"/>
        </w:rPr>
        <w:t>The</w:t>
      </w:r>
      <w:r>
        <w:rPr>
          <w:color w:val="231F20"/>
          <w:spacing w:val="-8"/>
        </w:rPr>
        <w:t> </w:t>
      </w:r>
      <w:r>
        <w:rPr>
          <w:color w:val="231F20"/>
        </w:rPr>
        <w:t>Northern</w:t>
      </w:r>
      <w:r>
        <w:rPr>
          <w:color w:val="231F20"/>
          <w:spacing w:val="-7"/>
        </w:rPr>
        <w:t> </w:t>
      </w:r>
      <w:r>
        <w:rPr>
          <w:color w:val="231F20"/>
          <w:spacing w:val="-3"/>
        </w:rPr>
        <w:t>Territory</w:t>
      </w:r>
      <w:r>
        <w:rPr>
          <w:color w:val="231F20"/>
          <w:spacing w:val="-8"/>
        </w:rPr>
        <w:t> </w:t>
      </w:r>
      <w:r>
        <w:rPr>
          <w:color w:val="231F20"/>
        </w:rPr>
        <w:t>Government</w:t>
      </w:r>
      <w:r>
        <w:rPr>
          <w:color w:val="231F20"/>
          <w:spacing w:val="-7"/>
        </w:rPr>
        <w:t> </w:t>
      </w:r>
      <w:r>
        <w:rPr>
          <w:color w:val="231F20"/>
        </w:rPr>
        <w:t>has</w:t>
      </w:r>
      <w:r>
        <w:rPr>
          <w:color w:val="231F20"/>
          <w:spacing w:val="27"/>
        </w:rPr>
        <w:t> </w:t>
      </w:r>
      <w:r>
        <w:rPr>
          <w:color w:val="231F20"/>
        </w:rPr>
        <w:t>provided</w:t>
      </w:r>
      <w:r>
        <w:rPr>
          <w:color w:val="231F20"/>
          <w:spacing w:val="-9"/>
        </w:rPr>
        <w:t> </w:t>
      </w:r>
      <w:r>
        <w:rPr>
          <w:color w:val="231F20"/>
        </w:rPr>
        <w:t>an</w:t>
      </w:r>
      <w:r>
        <w:rPr>
          <w:color w:val="231F20"/>
          <w:spacing w:val="-8"/>
        </w:rPr>
        <w:t> </w:t>
      </w:r>
      <w:r>
        <w:rPr>
          <w:color w:val="231F20"/>
        </w:rPr>
        <w:t>Annual</w:t>
      </w:r>
      <w:r>
        <w:rPr>
          <w:color w:val="231F20"/>
          <w:spacing w:val="-7"/>
        </w:rPr>
        <w:t> </w:t>
      </w:r>
      <w:r>
        <w:rPr>
          <w:color w:val="231F20"/>
          <w:spacing w:val="-1"/>
        </w:rPr>
        <w:t>Supplementary</w:t>
      </w:r>
      <w:r>
        <w:rPr>
          <w:color w:val="231F20"/>
          <w:spacing w:val="-7"/>
        </w:rPr>
        <w:t> </w:t>
      </w:r>
      <w:r>
        <w:rPr>
          <w:color w:val="231F20"/>
        </w:rPr>
        <w:t>Assistance</w:t>
      </w:r>
      <w:r>
        <w:rPr>
          <w:color w:val="231F20"/>
          <w:spacing w:val="22"/>
        </w:rPr>
        <w:t> </w:t>
      </w:r>
      <w:r>
        <w:rPr>
          <w:color w:val="231F20"/>
        </w:rPr>
        <w:t>Grant</w:t>
      </w:r>
      <w:r>
        <w:rPr>
          <w:color w:val="231F20"/>
          <w:spacing w:val="-4"/>
        </w:rPr>
        <w:t> </w:t>
      </w:r>
      <w:r>
        <w:rPr>
          <w:color w:val="231F20"/>
        </w:rPr>
        <w:t>for</w:t>
      </w:r>
      <w:r>
        <w:rPr>
          <w:color w:val="231F20"/>
          <w:spacing w:val="-4"/>
        </w:rPr>
        <w:t> </w:t>
      </w:r>
      <w:r>
        <w:rPr>
          <w:color w:val="231F20"/>
        </w:rPr>
        <w:t>boarding</w:t>
      </w:r>
      <w:r>
        <w:rPr>
          <w:color w:val="231F20"/>
          <w:spacing w:val="-5"/>
        </w:rPr>
        <w:t> </w:t>
      </w:r>
      <w:r>
        <w:rPr>
          <w:color w:val="231F20"/>
        </w:rPr>
        <w:t>to</w:t>
      </w:r>
      <w:r>
        <w:rPr>
          <w:color w:val="231F20"/>
          <w:spacing w:val="-4"/>
        </w:rPr>
        <w:t> </w:t>
      </w:r>
      <w:r>
        <w:rPr>
          <w:color w:val="231F20"/>
        </w:rPr>
        <w:t>a</w:t>
      </w:r>
      <w:r>
        <w:rPr>
          <w:color w:val="231F20"/>
          <w:spacing w:val="-4"/>
        </w:rPr>
        <w:t> </w:t>
      </w:r>
      <w:r>
        <w:rPr>
          <w:color w:val="231F20"/>
          <w:spacing w:val="-1"/>
        </w:rPr>
        <w:t>small</w:t>
      </w:r>
      <w:r>
        <w:rPr>
          <w:color w:val="231F20"/>
          <w:spacing w:val="-4"/>
        </w:rPr>
        <w:t> </w:t>
      </w:r>
      <w:r>
        <w:rPr>
          <w:color w:val="231F20"/>
        </w:rPr>
        <w:t>number</w:t>
      </w:r>
      <w:r>
        <w:rPr>
          <w:color w:val="231F20"/>
          <w:spacing w:val="-4"/>
        </w:rPr>
        <w:t> </w:t>
      </w:r>
      <w:r>
        <w:rPr>
          <w:color w:val="231F20"/>
        </w:rPr>
        <w:t>of</w:t>
      </w:r>
      <w:r>
        <w:rPr>
          <w:color w:val="231F20"/>
          <w:spacing w:val="21"/>
          <w:w w:val="99"/>
        </w:rPr>
        <w:t> </w:t>
      </w:r>
      <w:r>
        <w:rPr>
          <w:rFonts w:ascii="Segoe UI" w:hAnsi="Segoe UI" w:cs="Segoe UI" w:eastAsia="Segoe UI"/>
          <w:color w:val="231F20"/>
        </w:rPr>
        <w:t>specified boarding schools during the period</w:t>
      </w:r>
      <w:r>
        <w:rPr>
          <w:rFonts w:ascii="Segoe UI" w:hAnsi="Segoe UI" w:cs="Segoe UI" w:eastAsia="Segoe UI"/>
          <w:color w:val="231F20"/>
        </w:rPr>
        <w:t> </w:t>
      </w:r>
      <w:r>
        <w:rPr>
          <w:color w:val="231F20"/>
        </w:rPr>
        <w:t>covered</w:t>
      </w:r>
      <w:r>
        <w:rPr>
          <w:color w:val="231F20"/>
          <w:spacing w:val="-8"/>
        </w:rPr>
        <w:t> </w:t>
      </w:r>
      <w:r>
        <w:rPr>
          <w:color w:val="231F20"/>
        </w:rPr>
        <w:t>by</w:t>
      </w:r>
      <w:r>
        <w:rPr>
          <w:color w:val="231F20"/>
          <w:spacing w:val="-6"/>
        </w:rPr>
        <w:t> </w:t>
      </w:r>
      <w:r>
        <w:rPr>
          <w:color w:val="231F20"/>
        </w:rPr>
        <w:t>this</w:t>
      </w:r>
      <w:r>
        <w:rPr>
          <w:color w:val="231F20"/>
          <w:spacing w:val="-7"/>
        </w:rPr>
        <w:t> </w:t>
      </w:r>
      <w:r>
        <w:rPr>
          <w:color w:val="231F20"/>
          <w:spacing w:val="-1"/>
        </w:rPr>
        <w:t>report—Kormilda</w:t>
      </w:r>
      <w:r>
        <w:rPr>
          <w:color w:val="231F20"/>
          <w:spacing w:val="-7"/>
        </w:rPr>
        <w:t> </w:t>
      </w:r>
      <w:r>
        <w:rPr>
          <w:color w:val="231F20"/>
          <w:spacing w:val="-1"/>
        </w:rPr>
        <w:t>College</w:t>
      </w:r>
      <w:r>
        <w:rPr>
          <w:color w:val="231F20"/>
          <w:spacing w:val="29"/>
        </w:rPr>
        <w:t> </w:t>
      </w:r>
      <w:r>
        <w:rPr>
          <w:color w:val="231F20"/>
        </w:rPr>
        <w:t>($400,000</w:t>
      </w:r>
      <w:r>
        <w:rPr>
          <w:color w:val="231F20"/>
          <w:spacing w:val="-6"/>
        </w:rPr>
        <w:t> </w:t>
      </w:r>
      <w:r>
        <w:rPr>
          <w:color w:val="231F20"/>
        </w:rPr>
        <w:t>per</w:t>
      </w:r>
      <w:r>
        <w:rPr>
          <w:color w:val="231F20"/>
          <w:spacing w:val="-5"/>
        </w:rPr>
        <w:t> </w:t>
      </w:r>
      <w:r>
        <w:rPr>
          <w:color w:val="231F20"/>
        </w:rPr>
        <w:t>annum</w:t>
      </w:r>
      <w:r>
        <w:rPr>
          <w:color w:val="231F20"/>
          <w:spacing w:val="-5"/>
        </w:rPr>
        <w:t> </w:t>
      </w:r>
      <w:r>
        <w:rPr>
          <w:color w:val="231F20"/>
          <w:spacing w:val="-1"/>
        </w:rPr>
        <w:t>since</w:t>
      </w:r>
      <w:r>
        <w:rPr>
          <w:color w:val="231F20"/>
          <w:spacing w:val="-5"/>
        </w:rPr>
        <w:t> </w:t>
      </w:r>
      <w:r>
        <w:rPr>
          <w:color w:val="231F20"/>
          <w:spacing w:val="-1"/>
        </w:rPr>
        <w:t>1991),</w:t>
      </w:r>
      <w:r>
        <w:rPr>
          <w:color w:val="231F20"/>
          <w:spacing w:val="-5"/>
        </w:rPr>
        <w:t> </w:t>
      </w:r>
      <w:r>
        <w:rPr>
          <w:color w:val="231F20"/>
        </w:rPr>
        <w:t>Yirara</w:t>
      </w:r>
      <w:r>
        <w:rPr>
          <w:color w:val="231F20"/>
          <w:spacing w:val="-5"/>
        </w:rPr>
        <w:t> </w:t>
      </w:r>
      <w:r>
        <w:rPr>
          <w:color w:val="231F20"/>
          <w:spacing w:val="-1"/>
        </w:rPr>
        <w:t>College</w:t>
      </w:r>
      <w:r>
        <w:rPr>
          <w:color w:val="231F20"/>
          <w:spacing w:val="22"/>
        </w:rPr>
        <w:t> </w:t>
      </w:r>
      <w:r>
        <w:rPr>
          <w:color w:val="231F20"/>
        </w:rPr>
        <w:t>($500,000</w:t>
      </w:r>
      <w:r>
        <w:rPr>
          <w:color w:val="231F20"/>
          <w:spacing w:val="-8"/>
        </w:rPr>
        <w:t> </w:t>
      </w:r>
      <w:r>
        <w:rPr>
          <w:color w:val="231F20"/>
        </w:rPr>
        <w:t>per</w:t>
      </w:r>
      <w:r>
        <w:rPr>
          <w:color w:val="231F20"/>
          <w:spacing w:val="-6"/>
        </w:rPr>
        <w:t> </w:t>
      </w:r>
      <w:r>
        <w:rPr>
          <w:color w:val="231F20"/>
        </w:rPr>
        <w:t>annum</w:t>
      </w:r>
      <w:r>
        <w:rPr>
          <w:color w:val="231F20"/>
          <w:spacing w:val="-7"/>
        </w:rPr>
        <w:t> </w:t>
      </w:r>
      <w:r>
        <w:rPr>
          <w:color w:val="231F20"/>
          <w:spacing w:val="-1"/>
        </w:rPr>
        <w:t>since</w:t>
      </w:r>
      <w:r>
        <w:rPr>
          <w:color w:val="231F20"/>
          <w:spacing w:val="-6"/>
        </w:rPr>
        <w:t> </w:t>
      </w:r>
      <w:r>
        <w:rPr>
          <w:color w:val="231F20"/>
          <w:spacing w:val="-1"/>
        </w:rPr>
        <w:t>2000),</w:t>
      </w:r>
      <w:r>
        <w:rPr>
          <w:color w:val="231F20"/>
          <w:spacing w:val="-6"/>
        </w:rPr>
        <w:t> </w:t>
      </w:r>
      <w:r>
        <w:rPr>
          <w:color w:val="231F20"/>
          <w:spacing w:val="-1"/>
        </w:rPr>
        <w:t>Woolaning</w:t>
      </w:r>
      <w:r>
        <w:rPr>
          <w:color w:val="231F20"/>
          <w:spacing w:val="24"/>
          <w:w w:val="99"/>
        </w:rPr>
        <w:t> </w:t>
      </w:r>
      <w:r>
        <w:rPr>
          <w:color w:val="231F20"/>
        </w:rPr>
        <w:t>Homeland</w:t>
      </w:r>
      <w:r>
        <w:rPr>
          <w:color w:val="231F20"/>
          <w:spacing w:val="-8"/>
        </w:rPr>
        <w:t> </w:t>
      </w:r>
      <w:r>
        <w:rPr>
          <w:color w:val="231F20"/>
          <w:spacing w:val="-1"/>
        </w:rPr>
        <w:t>Christina</w:t>
      </w:r>
      <w:r>
        <w:rPr>
          <w:color w:val="231F20"/>
          <w:spacing w:val="-6"/>
        </w:rPr>
        <w:t> </w:t>
      </w:r>
      <w:r>
        <w:rPr>
          <w:color w:val="231F20"/>
          <w:spacing w:val="-1"/>
        </w:rPr>
        <w:t>College</w:t>
      </w:r>
      <w:r>
        <w:rPr>
          <w:color w:val="231F20"/>
          <w:spacing w:val="-7"/>
        </w:rPr>
        <w:t> </w:t>
      </w:r>
      <w:r>
        <w:rPr>
          <w:color w:val="231F20"/>
        </w:rPr>
        <w:t>($200,000</w:t>
      </w:r>
      <w:r>
        <w:rPr>
          <w:color w:val="231F20"/>
          <w:spacing w:val="-7"/>
        </w:rPr>
        <w:t> </w:t>
      </w:r>
      <w:r>
        <w:rPr>
          <w:color w:val="231F20"/>
          <w:spacing w:val="-1"/>
        </w:rPr>
        <w:t>since</w:t>
      </w:r>
      <w:r>
        <w:rPr>
          <w:color w:val="231F20"/>
          <w:spacing w:val="22"/>
        </w:rPr>
        <w:t> </w:t>
      </w:r>
      <w:r>
        <w:rPr>
          <w:color w:val="231F20"/>
          <w:spacing w:val="-1"/>
        </w:rPr>
        <w:t>2016)</w:t>
      </w:r>
      <w:r>
        <w:rPr>
          <w:color w:val="231F20"/>
          <w:spacing w:val="-3"/>
        </w:rPr>
        <w:t> </w:t>
      </w:r>
      <w:r>
        <w:rPr>
          <w:color w:val="231F20"/>
        </w:rPr>
        <w:t>and</w:t>
      </w:r>
      <w:r>
        <w:rPr>
          <w:color w:val="231F20"/>
          <w:spacing w:val="-3"/>
        </w:rPr>
        <w:t> </w:t>
      </w:r>
      <w:r>
        <w:rPr>
          <w:color w:val="231F20"/>
          <w:spacing w:val="-4"/>
        </w:rPr>
        <w:t>S</w:t>
      </w:r>
      <w:r>
        <w:rPr>
          <w:color w:val="231F20"/>
          <w:spacing w:val="-5"/>
        </w:rPr>
        <w:t>t</w:t>
      </w:r>
      <w:r>
        <w:rPr>
          <w:color w:val="231F20"/>
          <w:spacing w:val="-3"/>
        </w:rPr>
        <w:t> </w:t>
      </w:r>
      <w:r>
        <w:rPr>
          <w:color w:val="231F20"/>
          <w:spacing w:val="-1"/>
        </w:rPr>
        <w:t>Philip’s</w:t>
      </w:r>
      <w:r>
        <w:rPr>
          <w:color w:val="231F20"/>
          <w:spacing w:val="-2"/>
        </w:rPr>
        <w:t> </w:t>
      </w:r>
      <w:r>
        <w:rPr>
          <w:color w:val="231F20"/>
          <w:spacing w:val="-1"/>
        </w:rPr>
        <w:t>College</w:t>
      </w:r>
      <w:r>
        <w:rPr>
          <w:color w:val="231F20"/>
          <w:spacing w:val="-3"/>
        </w:rPr>
        <w:t> </w:t>
      </w:r>
      <w:r>
        <w:rPr>
          <w:color w:val="231F20"/>
        </w:rPr>
        <w:t>($250,000</w:t>
      </w:r>
      <w:r>
        <w:rPr>
          <w:color w:val="231F20"/>
          <w:spacing w:val="-3"/>
        </w:rPr>
        <w:t> </w:t>
      </w:r>
      <w:r>
        <w:rPr>
          <w:color w:val="231F20"/>
        </w:rPr>
        <w:t>per</w:t>
      </w:r>
      <w:r>
        <w:rPr>
          <w:color w:val="231F20"/>
          <w:spacing w:val="25"/>
          <w:w w:val="99"/>
        </w:rPr>
        <w:t> </w:t>
      </w:r>
      <w:r>
        <w:rPr>
          <w:color w:val="231F20"/>
        </w:rPr>
        <w:t>annum</w:t>
      </w:r>
      <w:r>
        <w:rPr>
          <w:color w:val="231F20"/>
          <w:spacing w:val="-8"/>
        </w:rPr>
        <w:t> </w:t>
      </w:r>
      <w:r>
        <w:rPr>
          <w:color w:val="231F20"/>
          <w:spacing w:val="-1"/>
        </w:rPr>
        <w:t>since</w:t>
      </w:r>
      <w:r>
        <w:rPr>
          <w:color w:val="231F20"/>
          <w:spacing w:val="-7"/>
        </w:rPr>
        <w:t> </w:t>
      </w:r>
      <w:r>
        <w:rPr>
          <w:color w:val="231F20"/>
          <w:spacing w:val="-1"/>
        </w:rPr>
        <w:t>1987).</w:t>
      </w:r>
      <w:r>
        <w:rPr>
          <w:color w:val="231F20"/>
          <w:spacing w:val="-7"/>
        </w:rPr>
        <w:t> </w:t>
      </w:r>
      <w:r>
        <w:rPr>
          <w:color w:val="231F20"/>
        </w:rPr>
        <w:t>The</w:t>
      </w:r>
      <w:r>
        <w:rPr>
          <w:color w:val="231F20"/>
          <w:spacing w:val="-7"/>
        </w:rPr>
        <w:t> </w:t>
      </w:r>
      <w:r>
        <w:rPr>
          <w:color w:val="231F20"/>
        </w:rPr>
        <w:t>Annual</w:t>
      </w:r>
      <w:r>
        <w:rPr>
          <w:color w:val="231F20"/>
          <w:spacing w:val="-7"/>
        </w:rPr>
        <w:t> </w:t>
      </w:r>
      <w:r>
        <w:rPr>
          <w:color w:val="231F20"/>
          <w:spacing w:val="-1"/>
        </w:rPr>
        <w:t>Supplementary</w:t>
      </w:r>
      <w:r>
        <w:rPr>
          <w:color w:val="231F20"/>
          <w:spacing w:val="22"/>
          <w:w w:val="99"/>
        </w:rPr>
        <w:t> </w:t>
      </w:r>
      <w:r>
        <w:rPr>
          <w:rFonts w:ascii="Segoe UI" w:hAnsi="Segoe UI" w:cs="Segoe UI" w:eastAsia="Segoe UI"/>
          <w:color w:val="231F20"/>
        </w:rPr>
        <w:t>Assistance Grant for boarding was fixed and</w:t>
      </w:r>
      <w:r>
        <w:rPr>
          <w:rFonts w:ascii="Segoe UI" w:hAnsi="Segoe UI" w:cs="Segoe UI" w:eastAsia="Segoe UI"/>
        </w:rPr>
      </w:r>
    </w:p>
    <w:p>
      <w:pPr>
        <w:pStyle w:val="BodyText"/>
        <w:spacing w:line="250" w:lineRule="exact"/>
        <w:ind w:left="100" w:right="132"/>
        <w:jc w:val="left"/>
      </w:pPr>
      <w:r>
        <w:rPr>
          <w:color w:val="231F20"/>
        </w:rPr>
        <w:t>not</w:t>
      </w:r>
      <w:r>
        <w:rPr>
          <w:color w:val="231F20"/>
          <w:spacing w:val="-5"/>
        </w:rPr>
        <w:t> </w:t>
      </w:r>
      <w:r>
        <w:rPr>
          <w:color w:val="231F20"/>
          <w:spacing w:val="-1"/>
        </w:rPr>
        <w:t>indexed.</w:t>
      </w:r>
      <w:r>
        <w:rPr>
          <w:color w:val="231F20"/>
          <w:spacing w:val="-5"/>
        </w:rPr>
        <w:t> </w:t>
      </w:r>
      <w:r>
        <w:rPr>
          <w:color w:val="231F20"/>
          <w:spacing w:val="-1"/>
        </w:rPr>
        <w:t>In</w:t>
      </w:r>
      <w:r>
        <w:rPr>
          <w:color w:val="231F20"/>
          <w:spacing w:val="-5"/>
        </w:rPr>
        <w:t> </w:t>
      </w:r>
      <w:r>
        <w:rPr>
          <w:color w:val="231F20"/>
          <w:spacing w:val="-1"/>
        </w:rPr>
        <w:t>2018,</w:t>
      </w:r>
      <w:r>
        <w:rPr>
          <w:color w:val="231F20"/>
          <w:spacing w:val="-5"/>
        </w:rPr>
        <w:t> </w:t>
      </w:r>
      <w:r>
        <w:rPr>
          <w:color w:val="231F20"/>
        </w:rPr>
        <w:t>the</w:t>
      </w:r>
      <w:r>
        <w:rPr>
          <w:color w:val="231F20"/>
          <w:spacing w:val="-5"/>
        </w:rPr>
        <w:t> </w:t>
      </w:r>
      <w:r>
        <w:rPr>
          <w:color w:val="231F20"/>
        </w:rPr>
        <w:t>Northern</w:t>
      </w:r>
      <w:r>
        <w:rPr>
          <w:color w:val="231F20"/>
          <w:spacing w:val="-5"/>
        </w:rPr>
        <w:t> </w:t>
      </w:r>
      <w:r>
        <w:rPr>
          <w:color w:val="231F20"/>
          <w:spacing w:val="-3"/>
        </w:rPr>
        <w:t>Territory</w:t>
      </w:r>
      <w:r>
        <w:rPr>
          <w:color w:val="231F20"/>
          <w:spacing w:val="30"/>
          <w:w w:val="99"/>
        </w:rPr>
        <w:t> </w:t>
      </w:r>
      <w:r>
        <w:rPr>
          <w:color w:val="231F20"/>
        </w:rPr>
        <w:t>Government</w:t>
      </w:r>
      <w:r>
        <w:rPr>
          <w:color w:val="231F20"/>
          <w:spacing w:val="-9"/>
        </w:rPr>
        <w:t> </w:t>
      </w:r>
      <w:r>
        <w:rPr>
          <w:color w:val="231F20"/>
        </w:rPr>
        <w:t>announced</w:t>
      </w:r>
      <w:r>
        <w:rPr>
          <w:color w:val="231F20"/>
          <w:spacing w:val="-10"/>
        </w:rPr>
        <w:t> </w:t>
      </w:r>
      <w:r>
        <w:rPr>
          <w:color w:val="231F20"/>
        </w:rPr>
        <w:t>that</w:t>
      </w:r>
      <w:r>
        <w:rPr>
          <w:color w:val="231F20"/>
          <w:spacing w:val="-10"/>
        </w:rPr>
        <w:t> </w:t>
      </w:r>
      <w:r>
        <w:rPr>
          <w:color w:val="231F20"/>
        </w:rPr>
        <w:t>the</w:t>
      </w:r>
      <w:r>
        <w:rPr>
          <w:color w:val="231F20"/>
          <w:spacing w:val="-10"/>
        </w:rPr>
        <w:t> </w:t>
      </w:r>
      <w:r>
        <w:rPr>
          <w:color w:val="231F20"/>
        </w:rPr>
        <w:t>historical</w:t>
      </w:r>
      <w:r>
        <w:rPr>
          <w:color w:val="231F20"/>
          <w:w w:val="99"/>
        </w:rPr>
        <w:t> </w:t>
      </w:r>
      <w:r>
        <w:rPr>
          <w:color w:val="231F20"/>
        </w:rPr>
        <w:t>funding</w:t>
      </w:r>
      <w:r>
        <w:rPr>
          <w:color w:val="231F20"/>
          <w:spacing w:val="-9"/>
        </w:rPr>
        <w:t> </w:t>
      </w:r>
      <w:r>
        <w:rPr>
          <w:color w:val="231F20"/>
        </w:rPr>
        <w:t>arrangements</w:t>
      </w:r>
      <w:r>
        <w:rPr>
          <w:color w:val="231F20"/>
          <w:spacing w:val="-9"/>
        </w:rPr>
        <w:t> </w:t>
      </w:r>
      <w:r>
        <w:rPr>
          <w:color w:val="231F20"/>
        </w:rPr>
        <w:t>under</w:t>
      </w:r>
      <w:r>
        <w:rPr>
          <w:color w:val="231F20"/>
          <w:spacing w:val="-9"/>
        </w:rPr>
        <w:t> </w:t>
      </w:r>
      <w:r>
        <w:rPr>
          <w:color w:val="231F20"/>
        </w:rPr>
        <w:t>the</w:t>
      </w:r>
      <w:r>
        <w:rPr>
          <w:color w:val="231F20"/>
          <w:spacing w:val="-9"/>
        </w:rPr>
        <w:t> </w:t>
      </w:r>
      <w:r>
        <w:rPr>
          <w:color w:val="231F20"/>
        </w:rPr>
        <w:t>Annual</w:t>
      </w:r>
      <w:r>
        <w:rPr>
          <w:color w:val="231F20"/>
          <w:w w:val="99"/>
        </w:rPr>
        <w:t> </w:t>
      </w:r>
      <w:r>
        <w:rPr>
          <w:color w:val="231F20"/>
          <w:spacing w:val="-1"/>
        </w:rPr>
        <w:t>Supplementary</w:t>
      </w:r>
      <w:r>
        <w:rPr>
          <w:color w:val="231F20"/>
          <w:spacing w:val="-7"/>
        </w:rPr>
        <w:t> </w:t>
      </w:r>
      <w:r>
        <w:rPr>
          <w:color w:val="231F20"/>
        </w:rPr>
        <w:t>Assistance</w:t>
      </w:r>
      <w:r>
        <w:rPr>
          <w:color w:val="231F20"/>
          <w:spacing w:val="-8"/>
        </w:rPr>
        <w:t> </w:t>
      </w:r>
      <w:r>
        <w:rPr>
          <w:color w:val="231F20"/>
        </w:rPr>
        <w:t>Grant</w:t>
      </w:r>
      <w:r>
        <w:rPr>
          <w:color w:val="231F20"/>
          <w:spacing w:val="-7"/>
        </w:rPr>
        <w:t> </w:t>
      </w:r>
      <w:r>
        <w:rPr>
          <w:color w:val="231F20"/>
        </w:rPr>
        <w:t>would</w:t>
      </w:r>
      <w:r>
        <w:rPr>
          <w:color w:val="231F20"/>
          <w:spacing w:val="-8"/>
        </w:rPr>
        <w:t> </w:t>
      </w:r>
      <w:r>
        <w:rPr>
          <w:color w:val="231F20"/>
        </w:rPr>
        <w:t>cease</w:t>
      </w:r>
      <w:r>
        <w:rPr>
          <w:color w:val="231F20"/>
          <w:spacing w:val="22"/>
          <w:w w:val="99"/>
        </w:rPr>
        <w:t> </w:t>
      </w:r>
      <w:r>
        <w:rPr>
          <w:color w:val="231F20"/>
        </w:rPr>
        <w:t>and</w:t>
      </w:r>
      <w:r>
        <w:rPr>
          <w:color w:val="231F20"/>
          <w:spacing w:val="-6"/>
        </w:rPr>
        <w:t> </w:t>
      </w:r>
      <w:r>
        <w:rPr>
          <w:color w:val="231F20"/>
        </w:rPr>
        <w:t>funding</w:t>
      </w:r>
      <w:r>
        <w:rPr>
          <w:color w:val="231F20"/>
          <w:spacing w:val="-5"/>
        </w:rPr>
        <w:t> </w:t>
      </w:r>
      <w:r>
        <w:rPr>
          <w:color w:val="231F20"/>
        </w:rPr>
        <w:t>would</w:t>
      </w:r>
      <w:r>
        <w:rPr>
          <w:color w:val="231F20"/>
          <w:spacing w:val="-5"/>
        </w:rPr>
        <w:t> </w:t>
      </w:r>
      <w:r>
        <w:rPr>
          <w:color w:val="231F20"/>
        </w:rPr>
        <w:t>be</w:t>
      </w:r>
      <w:r>
        <w:rPr>
          <w:color w:val="231F20"/>
          <w:spacing w:val="-5"/>
        </w:rPr>
        <w:t> </w:t>
      </w:r>
      <w:r>
        <w:rPr>
          <w:color w:val="231F20"/>
          <w:spacing w:val="-1"/>
        </w:rPr>
        <w:t>made</w:t>
      </w:r>
      <w:r>
        <w:rPr>
          <w:color w:val="231F20"/>
          <w:spacing w:val="-5"/>
        </w:rPr>
        <w:t> </w:t>
      </w:r>
      <w:r>
        <w:rPr>
          <w:color w:val="231F20"/>
        </w:rPr>
        <w:t>available</w:t>
      </w:r>
      <w:r>
        <w:rPr>
          <w:color w:val="231F20"/>
          <w:spacing w:val="-5"/>
        </w:rPr>
        <w:t> </w:t>
      </w:r>
      <w:r>
        <w:rPr>
          <w:color w:val="231F20"/>
        </w:rPr>
        <w:t>to</w:t>
      </w:r>
      <w:r>
        <w:rPr>
          <w:color w:val="231F20"/>
          <w:spacing w:val="-5"/>
        </w:rPr>
        <w:t> </w:t>
      </w:r>
      <w:r>
        <w:rPr>
          <w:color w:val="231F20"/>
        </w:rPr>
        <w:t>all</w:t>
      </w:r>
      <w:r>
        <w:rPr>
          <w:color w:val="231F20"/>
          <w:spacing w:val="21"/>
        </w:rPr>
        <w:t> </w:t>
      </w:r>
      <w:r>
        <w:rPr>
          <w:color w:val="231F20"/>
        </w:rPr>
        <w:t>boarding</w:t>
      </w:r>
      <w:r>
        <w:rPr>
          <w:color w:val="231F20"/>
          <w:spacing w:val="-8"/>
        </w:rPr>
        <w:t> </w:t>
      </w:r>
      <w:r>
        <w:rPr>
          <w:color w:val="231F20"/>
        </w:rPr>
        <w:t>providers</w:t>
      </w:r>
      <w:r>
        <w:rPr>
          <w:color w:val="231F20"/>
          <w:spacing w:val="-8"/>
        </w:rPr>
        <w:t> </w:t>
      </w:r>
      <w:r>
        <w:rPr>
          <w:color w:val="231F20"/>
          <w:spacing w:val="-1"/>
        </w:rPr>
        <w:t>in</w:t>
      </w:r>
      <w:r>
        <w:rPr>
          <w:color w:val="231F20"/>
          <w:spacing w:val="-7"/>
        </w:rPr>
        <w:t> </w:t>
      </w:r>
      <w:r>
        <w:rPr>
          <w:color w:val="231F20"/>
        </w:rPr>
        <w:t>the</w:t>
      </w:r>
      <w:r>
        <w:rPr>
          <w:color w:val="231F20"/>
          <w:spacing w:val="-8"/>
        </w:rPr>
        <w:t> </w:t>
      </w:r>
      <w:r>
        <w:rPr>
          <w:color w:val="231F20"/>
        </w:rPr>
        <w:t>Northern</w:t>
      </w:r>
      <w:r>
        <w:rPr>
          <w:color w:val="231F20"/>
          <w:spacing w:val="-7"/>
        </w:rPr>
        <w:t> </w:t>
      </w:r>
      <w:r>
        <w:rPr>
          <w:color w:val="231F20"/>
          <w:spacing w:val="-3"/>
        </w:rPr>
        <w:t>Territory</w:t>
      </w:r>
      <w:r>
        <w:rPr>
          <w:color w:val="231F20"/>
          <w:spacing w:val="27"/>
          <w:w w:val="99"/>
        </w:rPr>
        <w:t> </w:t>
      </w:r>
      <w:r>
        <w:rPr>
          <w:color w:val="231F20"/>
        </w:rPr>
        <w:t>from</w:t>
      </w:r>
      <w:r>
        <w:rPr>
          <w:color w:val="231F20"/>
          <w:spacing w:val="-5"/>
        </w:rPr>
        <w:t> </w:t>
      </w:r>
      <w:r>
        <w:rPr>
          <w:color w:val="231F20"/>
        </w:rPr>
        <w:t>1</w:t>
      </w:r>
      <w:r>
        <w:rPr>
          <w:color w:val="231F20"/>
          <w:spacing w:val="-5"/>
        </w:rPr>
        <w:t> </w:t>
      </w:r>
      <w:r>
        <w:rPr>
          <w:color w:val="231F20"/>
        </w:rPr>
        <w:t>July</w:t>
      </w:r>
      <w:r>
        <w:rPr>
          <w:color w:val="231F20"/>
          <w:spacing w:val="-6"/>
        </w:rPr>
        <w:t> </w:t>
      </w:r>
      <w:r>
        <w:rPr>
          <w:color w:val="231F20"/>
          <w:spacing w:val="-1"/>
        </w:rPr>
        <w:t>2018</w:t>
      </w:r>
      <w:r>
        <w:rPr>
          <w:color w:val="231F20"/>
          <w:spacing w:val="-5"/>
        </w:rPr>
        <w:t> </w:t>
      </w:r>
      <w:r>
        <w:rPr>
          <w:color w:val="231F20"/>
        </w:rPr>
        <w:t>as</w:t>
      </w:r>
      <w:r>
        <w:rPr>
          <w:color w:val="231F20"/>
          <w:spacing w:val="-5"/>
        </w:rPr>
        <w:t> </w:t>
      </w:r>
      <w:r>
        <w:rPr>
          <w:color w:val="231F20"/>
          <w:spacing w:val="-1"/>
        </w:rPr>
        <w:t>Supplementary</w:t>
      </w:r>
      <w:r>
        <w:rPr>
          <w:color w:val="231F20"/>
          <w:spacing w:val="-4"/>
        </w:rPr>
        <w:t> </w:t>
      </w:r>
      <w:r>
        <w:rPr>
          <w:color w:val="231F20"/>
          <w:spacing w:val="-1"/>
        </w:rPr>
        <w:t>Boarding</w:t>
      </w:r>
      <w:r>
        <w:rPr>
          <w:color w:val="231F20"/>
          <w:spacing w:val="22"/>
          <w:w w:val="99"/>
        </w:rPr>
        <w:t> </w:t>
      </w:r>
      <w:r>
        <w:rPr>
          <w:color w:val="231F20"/>
          <w:spacing w:val="-1"/>
        </w:rPr>
        <w:t>Funding</w:t>
      </w:r>
      <w:r>
        <w:rPr>
          <w:color w:val="231F20"/>
          <w:spacing w:val="-6"/>
        </w:rPr>
        <w:t> </w:t>
      </w:r>
      <w:r>
        <w:rPr>
          <w:color w:val="231F20"/>
        </w:rPr>
        <w:t>(SBF).</w:t>
      </w:r>
      <w:r>
        <w:rPr>
          <w:color w:val="231F20"/>
          <w:spacing w:val="-5"/>
        </w:rPr>
        <w:t> </w:t>
      </w:r>
      <w:r>
        <w:rPr>
          <w:color w:val="231F20"/>
        </w:rPr>
        <w:t>The</w:t>
      </w:r>
      <w:r>
        <w:rPr>
          <w:color w:val="231F20"/>
          <w:spacing w:val="-5"/>
        </w:rPr>
        <w:t> </w:t>
      </w:r>
      <w:r>
        <w:rPr>
          <w:color w:val="231F20"/>
        </w:rPr>
        <w:t>quantum</w:t>
      </w:r>
      <w:r>
        <w:rPr>
          <w:color w:val="231F20"/>
          <w:spacing w:val="-6"/>
        </w:rPr>
        <w:t> </w:t>
      </w:r>
      <w:r>
        <w:rPr>
          <w:color w:val="231F20"/>
        </w:rPr>
        <w:t>of</w:t>
      </w:r>
      <w:r>
        <w:rPr>
          <w:color w:val="231F20"/>
          <w:spacing w:val="-5"/>
        </w:rPr>
        <w:t> </w:t>
      </w:r>
      <w:r>
        <w:rPr>
          <w:color w:val="231F20"/>
        </w:rPr>
        <w:t>the</w:t>
      </w:r>
      <w:r>
        <w:rPr>
          <w:color w:val="231F20"/>
          <w:spacing w:val="-6"/>
        </w:rPr>
        <w:t> </w:t>
      </w:r>
      <w:r>
        <w:rPr>
          <w:color w:val="231F20"/>
        </w:rPr>
        <w:t>funding</w:t>
      </w:r>
      <w:r>
        <w:rPr>
          <w:color w:val="231F20"/>
          <w:spacing w:val="22"/>
          <w:w w:val="99"/>
        </w:rPr>
        <w:t> </w:t>
      </w:r>
      <w:r>
        <w:rPr>
          <w:color w:val="231F20"/>
        </w:rPr>
        <w:t>under</w:t>
      </w:r>
      <w:r>
        <w:rPr>
          <w:color w:val="231F20"/>
          <w:spacing w:val="-4"/>
        </w:rPr>
        <w:t> </w:t>
      </w:r>
      <w:r>
        <w:rPr>
          <w:color w:val="231F20"/>
          <w:spacing w:val="-1"/>
        </w:rPr>
        <w:t>SBF</w:t>
      </w:r>
      <w:r>
        <w:rPr>
          <w:color w:val="231F20"/>
          <w:spacing w:val="-3"/>
        </w:rPr>
        <w:t> </w:t>
      </w:r>
      <w:r>
        <w:rPr>
          <w:color w:val="231F20"/>
          <w:spacing w:val="-1"/>
        </w:rPr>
        <w:t>is</w:t>
      </w:r>
      <w:r>
        <w:rPr>
          <w:color w:val="231F20"/>
          <w:spacing w:val="-4"/>
        </w:rPr>
        <w:t> </w:t>
      </w:r>
      <w:r>
        <w:rPr>
          <w:color w:val="231F20"/>
        </w:rPr>
        <w:t>based</w:t>
      </w:r>
      <w:r>
        <w:rPr>
          <w:color w:val="231F20"/>
          <w:spacing w:val="-4"/>
        </w:rPr>
        <w:t> </w:t>
      </w:r>
      <w:r>
        <w:rPr>
          <w:color w:val="231F20"/>
        </w:rPr>
        <w:t>on</w:t>
      </w:r>
      <w:r>
        <w:rPr>
          <w:color w:val="231F20"/>
          <w:spacing w:val="-4"/>
        </w:rPr>
        <w:t> </w:t>
      </w:r>
      <w:r>
        <w:rPr>
          <w:color w:val="231F20"/>
          <w:spacing w:val="-1"/>
        </w:rPr>
        <w:t>student</w:t>
      </w:r>
      <w:r>
        <w:rPr>
          <w:color w:val="231F20"/>
          <w:spacing w:val="-3"/>
        </w:rPr>
        <w:t> </w:t>
      </w:r>
      <w:r>
        <w:rPr>
          <w:color w:val="231F20"/>
        </w:rPr>
        <w:t>enrolments</w:t>
      </w:r>
      <w:r>
        <w:rPr>
          <w:color w:val="231F20"/>
          <w:spacing w:val="-4"/>
        </w:rPr>
        <w:t> </w:t>
      </w:r>
      <w:r>
        <w:rPr>
          <w:color w:val="231F20"/>
        </w:rPr>
        <w:t>and</w:t>
      </w:r>
      <w:r>
        <w:rPr>
          <w:color w:val="231F20"/>
          <w:spacing w:val="24"/>
          <w:w w:val="99"/>
        </w:rPr>
        <w:t> </w:t>
      </w:r>
      <w:r>
        <w:rPr>
          <w:color w:val="231F20"/>
        </w:rPr>
        <w:t>the</w:t>
      </w:r>
      <w:r>
        <w:rPr>
          <w:color w:val="231F20"/>
          <w:spacing w:val="-7"/>
        </w:rPr>
        <w:t> </w:t>
      </w:r>
      <w:r>
        <w:rPr>
          <w:color w:val="231F20"/>
          <w:spacing w:val="-1"/>
        </w:rPr>
        <w:t>level</w:t>
      </w:r>
      <w:r>
        <w:rPr>
          <w:color w:val="231F20"/>
          <w:spacing w:val="-5"/>
        </w:rPr>
        <w:t> </w:t>
      </w:r>
      <w:r>
        <w:rPr>
          <w:color w:val="231F20"/>
        </w:rPr>
        <w:t>of</w:t>
      </w:r>
      <w:r>
        <w:rPr>
          <w:color w:val="231F20"/>
          <w:spacing w:val="-5"/>
        </w:rPr>
        <w:t> </w:t>
      </w:r>
      <w:r>
        <w:rPr>
          <w:color w:val="231F20"/>
          <w:spacing w:val="-1"/>
        </w:rPr>
        <w:t>student</w:t>
      </w:r>
      <w:r>
        <w:rPr>
          <w:color w:val="231F20"/>
          <w:spacing w:val="-6"/>
        </w:rPr>
        <w:t> </w:t>
      </w:r>
      <w:r>
        <w:rPr>
          <w:color w:val="231F20"/>
        </w:rPr>
        <w:t>attendance.</w:t>
      </w:r>
      <w:r>
        <w:rPr>
          <w:color w:val="231F20"/>
          <w:spacing w:val="-6"/>
        </w:rPr>
        <w:t> </w:t>
      </w:r>
      <w:r>
        <w:rPr>
          <w:color w:val="231F20"/>
        </w:rPr>
        <w:t>The</w:t>
      </w:r>
      <w:r>
        <w:rPr>
          <w:color w:val="231F20"/>
          <w:spacing w:val="-5"/>
        </w:rPr>
        <w:t> </w:t>
      </w:r>
      <w:r>
        <w:rPr>
          <w:color w:val="231F20"/>
        </w:rPr>
        <w:t>funding</w:t>
      </w:r>
      <w:r>
        <w:rPr>
          <w:color w:val="231F20"/>
          <w:spacing w:val="23"/>
          <w:w w:val="99"/>
        </w:rPr>
        <w:t> </w:t>
      </w:r>
      <w:r>
        <w:rPr>
          <w:color w:val="231F20"/>
        </w:rPr>
        <w:t>commenced</w:t>
      </w:r>
      <w:r>
        <w:rPr>
          <w:color w:val="231F20"/>
          <w:spacing w:val="-3"/>
        </w:rPr>
        <w:t> </w:t>
      </w:r>
      <w:r>
        <w:rPr>
          <w:color w:val="231F20"/>
        </w:rPr>
        <w:t>on</w:t>
      </w:r>
      <w:r>
        <w:rPr>
          <w:color w:val="231F20"/>
          <w:spacing w:val="-2"/>
        </w:rPr>
        <w:t> </w:t>
      </w:r>
      <w:r>
        <w:rPr>
          <w:color w:val="231F20"/>
        </w:rPr>
        <w:t>1</w:t>
      </w:r>
      <w:r>
        <w:rPr>
          <w:color w:val="231F20"/>
          <w:spacing w:val="-2"/>
        </w:rPr>
        <w:t> </w:t>
      </w:r>
      <w:r>
        <w:rPr>
          <w:color w:val="231F20"/>
        </w:rPr>
        <w:t>July</w:t>
      </w:r>
      <w:r>
        <w:rPr>
          <w:color w:val="231F20"/>
          <w:spacing w:val="-3"/>
        </w:rPr>
        <w:t> </w:t>
      </w:r>
      <w:r>
        <w:rPr>
          <w:color w:val="231F20"/>
          <w:spacing w:val="-1"/>
        </w:rPr>
        <w:t>2018. </w:t>
      </w:r>
      <w:r>
        <w:rPr>
          <w:color w:val="231F20"/>
        </w:rPr>
        <w:t>The</w:t>
      </w:r>
      <w:r>
        <w:rPr>
          <w:color w:val="231F20"/>
          <w:spacing w:val="-2"/>
        </w:rPr>
        <w:t> </w:t>
      </w:r>
      <w:r>
        <w:rPr>
          <w:color w:val="231F20"/>
          <w:spacing w:val="-1"/>
        </w:rPr>
        <w:t>SBF</w:t>
      </w:r>
      <w:r>
        <w:rPr>
          <w:color w:val="231F20"/>
          <w:spacing w:val="-2"/>
        </w:rPr>
        <w:t> </w:t>
      </w:r>
      <w:r>
        <w:rPr>
          <w:color w:val="231F20"/>
        </w:rPr>
        <w:t>for</w:t>
      </w:r>
      <w:r>
        <w:rPr>
          <w:color w:val="231F20"/>
          <w:spacing w:val="-2"/>
        </w:rPr>
        <w:t> </w:t>
      </w:r>
      <w:r>
        <w:rPr>
          <w:color w:val="231F20"/>
        </w:rPr>
        <w:t>the</w:t>
      </w:r>
      <w:r>
        <w:rPr>
          <w:color w:val="231F20"/>
          <w:spacing w:val="23"/>
          <w:w w:val="99"/>
        </w:rPr>
        <w:t> </w:t>
      </w:r>
      <w:r>
        <w:rPr>
          <w:color w:val="231F20"/>
          <w:spacing w:val="-1"/>
        </w:rPr>
        <w:t>legacy</w:t>
      </w:r>
      <w:r>
        <w:rPr>
          <w:color w:val="231F20"/>
          <w:spacing w:val="-4"/>
        </w:rPr>
        <w:t> </w:t>
      </w:r>
      <w:r>
        <w:rPr>
          <w:color w:val="231F20"/>
          <w:spacing w:val="-1"/>
        </w:rPr>
        <w:t>schools</w:t>
      </w:r>
      <w:r>
        <w:rPr>
          <w:color w:val="231F20"/>
          <w:spacing w:val="-4"/>
        </w:rPr>
        <w:t> </w:t>
      </w:r>
      <w:r>
        <w:rPr>
          <w:color w:val="231F20"/>
          <w:spacing w:val="-1"/>
        </w:rPr>
        <w:t>is</w:t>
      </w:r>
      <w:r>
        <w:rPr>
          <w:color w:val="231F20"/>
          <w:spacing w:val="-4"/>
        </w:rPr>
        <w:t> </w:t>
      </w:r>
      <w:r>
        <w:rPr>
          <w:color w:val="231F20"/>
        </w:rPr>
        <w:t>forecast</w:t>
      </w:r>
      <w:r>
        <w:rPr>
          <w:color w:val="231F20"/>
          <w:spacing w:val="-4"/>
        </w:rPr>
        <w:t> </w:t>
      </w:r>
      <w:r>
        <w:rPr>
          <w:color w:val="231F20"/>
        </w:rPr>
        <w:t>to</w:t>
      </w:r>
      <w:r>
        <w:rPr>
          <w:color w:val="231F20"/>
          <w:spacing w:val="-4"/>
        </w:rPr>
        <w:t> </w:t>
      </w:r>
      <w:r>
        <w:rPr>
          <w:color w:val="231F20"/>
        </w:rPr>
        <w:t>be</w:t>
      </w:r>
      <w:r>
        <w:rPr>
          <w:color w:val="231F20"/>
          <w:spacing w:val="-3"/>
        </w:rPr>
        <w:t> </w:t>
      </w:r>
      <w:r>
        <w:rPr>
          <w:color w:val="231F20"/>
          <w:spacing w:val="-1"/>
        </w:rPr>
        <w:t>lower</w:t>
      </w:r>
      <w:r>
        <w:rPr>
          <w:color w:val="231F20"/>
          <w:spacing w:val="-4"/>
        </w:rPr>
        <w:t> </w:t>
      </w:r>
      <w:r>
        <w:rPr>
          <w:color w:val="231F20"/>
        </w:rPr>
        <w:t>than</w:t>
      </w:r>
      <w:r>
        <w:rPr/>
      </w:r>
    </w:p>
    <w:p>
      <w:pPr>
        <w:pStyle w:val="BodyText"/>
        <w:spacing w:line="250" w:lineRule="exact"/>
        <w:ind w:left="100" w:right="264"/>
        <w:jc w:val="left"/>
      </w:pPr>
      <w:r>
        <w:rPr>
          <w:color w:val="231F20"/>
        </w:rPr>
        <w:t>the</w:t>
      </w:r>
      <w:r>
        <w:rPr>
          <w:color w:val="231F20"/>
          <w:spacing w:val="-7"/>
        </w:rPr>
        <w:t> </w:t>
      </w:r>
      <w:r>
        <w:rPr>
          <w:color w:val="231F20"/>
        </w:rPr>
        <w:t>existing</w:t>
      </w:r>
      <w:r>
        <w:rPr>
          <w:color w:val="231F20"/>
          <w:spacing w:val="-7"/>
        </w:rPr>
        <w:t> </w:t>
      </w:r>
      <w:r>
        <w:rPr>
          <w:color w:val="231F20"/>
        </w:rPr>
        <w:t>Annual</w:t>
      </w:r>
      <w:r>
        <w:rPr>
          <w:color w:val="231F20"/>
          <w:spacing w:val="-5"/>
        </w:rPr>
        <w:t> </w:t>
      </w:r>
      <w:r>
        <w:rPr>
          <w:color w:val="231F20"/>
          <w:spacing w:val="-1"/>
        </w:rPr>
        <w:t>Supplementary</w:t>
      </w:r>
      <w:r>
        <w:rPr>
          <w:color w:val="231F20"/>
          <w:spacing w:val="-5"/>
        </w:rPr>
        <w:t> </w:t>
      </w:r>
      <w:r>
        <w:rPr>
          <w:color w:val="231F20"/>
        </w:rPr>
        <w:t>Assistance</w:t>
      </w:r>
      <w:r>
        <w:rPr>
          <w:color w:val="231F20"/>
          <w:spacing w:val="22"/>
        </w:rPr>
        <w:t> </w:t>
      </w:r>
      <w:r>
        <w:rPr>
          <w:color w:val="231F20"/>
        </w:rPr>
        <w:t>Grant</w:t>
      </w:r>
      <w:r>
        <w:rPr>
          <w:color w:val="231F20"/>
          <w:spacing w:val="-6"/>
        </w:rPr>
        <w:t> </w:t>
      </w:r>
      <w:r>
        <w:rPr>
          <w:color w:val="231F20"/>
        </w:rPr>
        <w:t>with</w:t>
      </w:r>
      <w:r>
        <w:rPr>
          <w:color w:val="231F20"/>
          <w:spacing w:val="-6"/>
        </w:rPr>
        <w:t> </w:t>
      </w:r>
      <w:r>
        <w:rPr>
          <w:color w:val="231F20"/>
        </w:rPr>
        <w:t>the</w:t>
      </w:r>
      <w:r>
        <w:rPr>
          <w:color w:val="231F20"/>
          <w:spacing w:val="-6"/>
        </w:rPr>
        <w:t> </w:t>
      </w:r>
      <w:r>
        <w:rPr>
          <w:color w:val="231F20"/>
        </w:rPr>
        <w:t>pool</w:t>
      </w:r>
      <w:r>
        <w:rPr>
          <w:color w:val="231F20"/>
          <w:spacing w:val="-6"/>
        </w:rPr>
        <w:t> </w:t>
      </w:r>
      <w:r>
        <w:rPr>
          <w:color w:val="231F20"/>
        </w:rPr>
        <w:t>of</w:t>
      </w:r>
      <w:r>
        <w:rPr>
          <w:color w:val="231F20"/>
          <w:spacing w:val="-5"/>
        </w:rPr>
        <w:t> </w:t>
      </w:r>
      <w:r>
        <w:rPr>
          <w:color w:val="231F20"/>
        </w:rPr>
        <w:t>funding</w:t>
      </w:r>
      <w:r>
        <w:rPr>
          <w:color w:val="231F20"/>
          <w:spacing w:val="-5"/>
        </w:rPr>
        <w:t> </w:t>
      </w:r>
      <w:r>
        <w:rPr>
          <w:color w:val="231F20"/>
        </w:rPr>
        <w:t>now</w:t>
      </w:r>
      <w:r>
        <w:rPr>
          <w:color w:val="231F20"/>
          <w:spacing w:val="-5"/>
        </w:rPr>
        <w:t> </w:t>
      </w:r>
      <w:r>
        <w:rPr>
          <w:color w:val="231F20"/>
        </w:rPr>
        <w:t>available</w:t>
      </w:r>
      <w:r>
        <w:rPr>
          <w:color w:val="231F20"/>
          <w:w w:val="99"/>
        </w:rPr>
        <w:t> </w:t>
      </w:r>
      <w:r>
        <w:rPr>
          <w:color w:val="231F20"/>
        </w:rPr>
        <w:t>to</w:t>
      </w:r>
      <w:r>
        <w:rPr>
          <w:color w:val="231F20"/>
          <w:spacing w:val="-4"/>
        </w:rPr>
        <w:t> </w:t>
      </w:r>
      <w:r>
        <w:rPr>
          <w:color w:val="231F20"/>
        </w:rPr>
        <w:t>all</w:t>
      </w:r>
      <w:r>
        <w:rPr>
          <w:color w:val="231F20"/>
          <w:spacing w:val="-5"/>
        </w:rPr>
        <w:t> </w:t>
      </w:r>
      <w:r>
        <w:rPr>
          <w:color w:val="231F20"/>
        </w:rPr>
        <w:t>boarding</w:t>
      </w:r>
      <w:r>
        <w:rPr>
          <w:color w:val="231F20"/>
          <w:spacing w:val="-4"/>
        </w:rPr>
        <w:t> </w:t>
      </w:r>
      <w:r>
        <w:rPr>
          <w:color w:val="231F20"/>
          <w:spacing w:val="-1"/>
        </w:rPr>
        <w:t>schools.</w:t>
      </w:r>
      <w:r>
        <w:rPr>
          <w:color w:val="231F20"/>
          <w:spacing w:val="-4"/>
        </w:rPr>
        <w:t> </w:t>
      </w:r>
      <w:r>
        <w:rPr>
          <w:color w:val="231F20"/>
        </w:rPr>
        <w:t>On</w:t>
      </w:r>
      <w:r>
        <w:rPr>
          <w:color w:val="231F20"/>
          <w:spacing w:val="-4"/>
        </w:rPr>
        <w:t> </w:t>
      </w:r>
      <w:r>
        <w:rPr>
          <w:color w:val="231F20"/>
          <w:spacing w:val="-1"/>
        </w:rPr>
        <w:t>21</w:t>
      </w:r>
      <w:r>
        <w:rPr>
          <w:color w:val="231F20"/>
          <w:spacing w:val="-4"/>
        </w:rPr>
        <w:t> </w:t>
      </w:r>
      <w:r>
        <w:rPr>
          <w:color w:val="231F20"/>
          <w:spacing w:val="-1"/>
        </w:rPr>
        <w:t>September</w:t>
      </w:r>
      <w:r>
        <w:rPr>
          <w:color w:val="231F20"/>
          <w:spacing w:val="22"/>
          <w:w w:val="99"/>
        </w:rPr>
        <w:t> </w:t>
      </w:r>
      <w:r>
        <w:rPr>
          <w:color w:val="231F20"/>
          <w:spacing w:val="-1"/>
        </w:rPr>
        <w:t>2018,</w:t>
      </w:r>
      <w:r>
        <w:rPr>
          <w:color w:val="231F20"/>
          <w:spacing w:val="-3"/>
        </w:rPr>
        <w:t> </w:t>
      </w:r>
      <w:r>
        <w:rPr>
          <w:color w:val="231F20"/>
        </w:rPr>
        <w:t>Minister</w:t>
      </w:r>
      <w:r>
        <w:rPr>
          <w:color w:val="231F20"/>
          <w:spacing w:val="-4"/>
        </w:rPr>
        <w:t> </w:t>
      </w:r>
      <w:r>
        <w:rPr>
          <w:color w:val="231F20"/>
        </w:rPr>
        <w:t>for</w:t>
      </w:r>
      <w:r>
        <w:rPr>
          <w:color w:val="231F20"/>
          <w:spacing w:val="-2"/>
        </w:rPr>
        <w:t> </w:t>
      </w:r>
      <w:r>
        <w:rPr>
          <w:color w:val="231F20"/>
        </w:rPr>
        <w:t>Education,</w:t>
      </w:r>
      <w:r>
        <w:rPr>
          <w:color w:val="231F20"/>
          <w:spacing w:val="-4"/>
        </w:rPr>
        <w:t> </w:t>
      </w:r>
      <w:r>
        <w:rPr>
          <w:color w:val="231F20"/>
        </w:rPr>
        <w:t>Hon</w:t>
      </w:r>
      <w:r>
        <w:rPr>
          <w:color w:val="231F20"/>
          <w:spacing w:val="-2"/>
        </w:rPr>
        <w:t> </w:t>
      </w:r>
      <w:r>
        <w:rPr>
          <w:color w:val="231F20"/>
          <w:spacing w:val="-1"/>
        </w:rPr>
        <w:t>Selena</w:t>
      </w:r>
      <w:r>
        <w:rPr>
          <w:color w:val="231F20"/>
          <w:spacing w:val="-3"/>
        </w:rPr>
        <w:t> </w:t>
      </w:r>
      <w:r>
        <w:rPr>
          <w:color w:val="231F20"/>
        </w:rPr>
        <w:t>Uibo</w:t>
      </w:r>
      <w:r>
        <w:rPr>
          <w:color w:val="231F20"/>
          <w:spacing w:val="23"/>
        </w:rPr>
        <w:t> </w:t>
      </w:r>
      <w:r>
        <w:rPr>
          <w:color w:val="231F20"/>
        </w:rPr>
        <w:t>announced</w:t>
      </w:r>
      <w:r>
        <w:rPr>
          <w:color w:val="231F20"/>
          <w:spacing w:val="-10"/>
        </w:rPr>
        <w:t> </w:t>
      </w:r>
      <w:r>
        <w:rPr>
          <w:color w:val="231F20"/>
        </w:rPr>
        <w:t>that</w:t>
      </w:r>
      <w:r>
        <w:rPr>
          <w:color w:val="231F20"/>
          <w:spacing w:val="-10"/>
        </w:rPr>
        <w:t> </w:t>
      </w:r>
      <w:r>
        <w:rPr>
          <w:color w:val="231F20"/>
        </w:rPr>
        <w:t>the</w:t>
      </w:r>
      <w:r>
        <w:rPr>
          <w:color w:val="231F20"/>
          <w:spacing w:val="-10"/>
        </w:rPr>
        <w:t> </w:t>
      </w:r>
      <w:r>
        <w:rPr>
          <w:color w:val="231F20"/>
        </w:rPr>
        <w:t>Annual</w:t>
      </w:r>
      <w:r>
        <w:rPr>
          <w:color w:val="231F20"/>
          <w:spacing w:val="-9"/>
        </w:rPr>
        <w:t> </w:t>
      </w:r>
      <w:r>
        <w:rPr>
          <w:color w:val="231F20"/>
          <w:spacing w:val="-1"/>
        </w:rPr>
        <w:t>Supplementary</w:t>
      </w:r>
      <w:r>
        <w:rPr>
          <w:color w:val="231F20"/>
          <w:spacing w:val="20"/>
          <w:w w:val="99"/>
        </w:rPr>
        <w:t> </w:t>
      </w:r>
      <w:r>
        <w:rPr>
          <w:color w:val="231F20"/>
        </w:rPr>
        <w:t>Assistance</w:t>
      </w:r>
      <w:r>
        <w:rPr>
          <w:color w:val="231F20"/>
          <w:spacing w:val="-4"/>
        </w:rPr>
        <w:t> </w:t>
      </w:r>
      <w:r>
        <w:rPr>
          <w:color w:val="231F20"/>
        </w:rPr>
        <w:t>Grant</w:t>
      </w:r>
      <w:r>
        <w:rPr>
          <w:color w:val="231F20"/>
          <w:spacing w:val="-2"/>
        </w:rPr>
        <w:t> </w:t>
      </w:r>
      <w:r>
        <w:rPr>
          <w:color w:val="231F20"/>
        </w:rPr>
        <w:t>funding</w:t>
      </w:r>
      <w:r>
        <w:rPr>
          <w:color w:val="231F20"/>
          <w:spacing w:val="-2"/>
        </w:rPr>
        <w:t> </w:t>
      </w:r>
      <w:r>
        <w:rPr>
          <w:color w:val="231F20"/>
        </w:rPr>
        <w:t>for</w:t>
      </w:r>
      <w:r>
        <w:rPr>
          <w:color w:val="231F20"/>
          <w:spacing w:val="-3"/>
        </w:rPr>
        <w:t> </w:t>
      </w:r>
      <w:r>
        <w:rPr>
          <w:color w:val="231F20"/>
          <w:spacing w:val="-4"/>
        </w:rPr>
        <w:t>S</w:t>
      </w:r>
      <w:r>
        <w:rPr>
          <w:color w:val="231F20"/>
          <w:spacing w:val="-5"/>
        </w:rPr>
        <w:t>t</w:t>
      </w:r>
      <w:r>
        <w:rPr>
          <w:color w:val="231F20"/>
          <w:spacing w:val="-2"/>
        </w:rPr>
        <w:t> </w:t>
      </w:r>
      <w:r>
        <w:rPr>
          <w:color w:val="231F20"/>
          <w:spacing w:val="-1"/>
        </w:rPr>
        <w:t>Philip’s</w:t>
      </w:r>
      <w:r>
        <w:rPr>
          <w:color w:val="231F20"/>
          <w:spacing w:val="-2"/>
        </w:rPr>
        <w:t> </w:t>
      </w:r>
      <w:r>
        <w:rPr>
          <w:color w:val="231F20"/>
          <w:spacing w:val="-1"/>
        </w:rPr>
        <w:t>College</w:t>
      </w:r>
      <w:r>
        <w:rPr>
          <w:color w:val="231F20"/>
          <w:spacing w:val="22"/>
        </w:rPr>
        <w:t> </w:t>
      </w:r>
      <w:r>
        <w:rPr>
          <w:color w:val="231F20"/>
        </w:rPr>
        <w:t>alone</w:t>
      </w:r>
      <w:r>
        <w:rPr>
          <w:color w:val="231F20"/>
          <w:spacing w:val="-5"/>
        </w:rPr>
        <w:t> </w:t>
      </w:r>
      <w:r>
        <w:rPr>
          <w:color w:val="231F20"/>
        </w:rPr>
        <w:t>would</w:t>
      </w:r>
      <w:r>
        <w:rPr>
          <w:color w:val="231F20"/>
          <w:spacing w:val="-5"/>
        </w:rPr>
        <w:t> </w:t>
      </w:r>
      <w:r>
        <w:rPr>
          <w:color w:val="231F20"/>
        </w:rPr>
        <w:t>continue</w:t>
      </w:r>
      <w:r>
        <w:rPr>
          <w:color w:val="231F20"/>
          <w:spacing w:val="-4"/>
        </w:rPr>
        <w:t> </w:t>
      </w:r>
      <w:r>
        <w:rPr>
          <w:color w:val="231F20"/>
          <w:spacing w:val="-1"/>
        </w:rPr>
        <w:t>in</w:t>
      </w:r>
      <w:r>
        <w:rPr>
          <w:color w:val="231F20"/>
          <w:spacing w:val="-4"/>
        </w:rPr>
        <w:t> </w:t>
      </w:r>
      <w:r>
        <w:rPr>
          <w:color w:val="231F20"/>
          <w:spacing w:val="-1"/>
        </w:rPr>
        <w:t>2019</w:t>
      </w:r>
      <w:r>
        <w:rPr>
          <w:color w:val="231F20"/>
          <w:spacing w:val="-3"/>
        </w:rPr>
        <w:t> </w:t>
      </w:r>
      <w:r>
        <w:rPr>
          <w:color w:val="231F20"/>
        </w:rPr>
        <w:t>and</w:t>
      </w:r>
      <w:r>
        <w:rPr>
          <w:color w:val="231F20"/>
          <w:spacing w:val="-5"/>
        </w:rPr>
        <w:t> </w:t>
      </w:r>
      <w:r>
        <w:rPr>
          <w:color w:val="231F20"/>
          <w:spacing w:val="-1"/>
        </w:rPr>
        <w:t>2020.</w:t>
      </w:r>
      <w:r>
        <w:rPr/>
      </w:r>
    </w:p>
    <w:p>
      <w:pPr>
        <w:spacing w:after="0" w:line="250" w:lineRule="exact"/>
        <w:jc w:val="left"/>
        <w:sectPr>
          <w:type w:val="continuous"/>
          <w:pgSz w:w="11910" w:h="16840"/>
          <w:pgMar w:top="1580" w:bottom="280" w:left="1600" w:right="1300"/>
          <w:cols w:num="2" w:equalWidth="0">
            <w:col w:w="4297" w:space="239"/>
            <w:col w:w="4474"/>
          </w:cols>
        </w:sectPr>
      </w:pPr>
    </w:p>
    <w:p>
      <w:pPr>
        <w:spacing w:line="240" w:lineRule="auto" w:before="0"/>
        <w:rPr>
          <w:rFonts w:ascii="Segoe UI" w:hAnsi="Segoe UI" w:cs="Segoe UI" w:eastAsia="Segoe UI"/>
          <w:sz w:val="20"/>
          <w:szCs w:val="20"/>
        </w:rPr>
      </w:pPr>
    </w:p>
    <w:p>
      <w:pPr>
        <w:spacing w:line="240" w:lineRule="auto" w:before="1"/>
        <w:rPr>
          <w:rFonts w:ascii="Segoe UI" w:hAnsi="Segoe UI" w:cs="Segoe UI" w:eastAsia="Segoe UI"/>
          <w:sz w:val="20"/>
          <w:szCs w:val="20"/>
        </w:rPr>
      </w:pPr>
    </w:p>
    <w:p>
      <w:pPr>
        <w:pStyle w:val="Heading1"/>
        <w:numPr>
          <w:ilvl w:val="0"/>
          <w:numId w:val="4"/>
        </w:numPr>
        <w:tabs>
          <w:tab w:pos="838" w:val="left" w:leader="none"/>
        </w:tabs>
        <w:spacing w:line="567" w:lineRule="exact" w:before="0" w:after="0"/>
        <w:ind w:left="837" w:right="0" w:hanging="720"/>
        <w:jc w:val="left"/>
      </w:pPr>
      <w:bookmarkStart w:name="_TOC_250028" w:id="8"/>
      <w:r>
        <w:rPr>
          <w:color w:val="67973F"/>
          <w:spacing w:val="-1"/>
        </w:rPr>
        <w:t>Funding</w:t>
      </w:r>
      <w:r>
        <w:rPr>
          <w:color w:val="67973F"/>
          <w:spacing w:val="-13"/>
        </w:rPr>
        <w:t> </w:t>
      </w:r>
      <w:r>
        <w:rPr>
          <w:color w:val="67973F"/>
        </w:rPr>
        <w:t>for</w:t>
      </w:r>
      <w:r>
        <w:rPr>
          <w:color w:val="67973F"/>
          <w:spacing w:val="-14"/>
        </w:rPr>
        <w:t> </w:t>
      </w:r>
      <w:r>
        <w:rPr>
          <w:color w:val="67973F"/>
        </w:rPr>
        <w:t>tuition</w:t>
      </w:r>
      <w:r>
        <w:rPr>
          <w:color w:val="67973F"/>
          <w:spacing w:val="-14"/>
        </w:rPr>
        <w:t> </w:t>
      </w:r>
      <w:r>
        <w:rPr>
          <w:color w:val="67973F"/>
        </w:rPr>
        <w:t>and</w:t>
      </w:r>
      <w:r>
        <w:rPr>
          <w:color w:val="67973F"/>
          <w:spacing w:val="-15"/>
        </w:rPr>
        <w:t> </w:t>
      </w:r>
      <w:r>
        <w:rPr>
          <w:color w:val="67973F"/>
        </w:rPr>
        <w:t>capital</w:t>
      </w:r>
      <w:bookmarkEnd w:id="8"/>
      <w:r>
        <w:rPr/>
      </w:r>
    </w:p>
    <w:p>
      <w:pPr>
        <w:pStyle w:val="Heading4"/>
        <w:spacing w:line="300" w:lineRule="exact" w:before="148"/>
        <w:ind w:left="117" w:right="662"/>
        <w:jc w:val="left"/>
      </w:pPr>
      <w:r>
        <w:rPr>
          <w:color w:val="666155"/>
          <w:spacing w:val="-1"/>
        </w:rPr>
        <w:t>Funding</w:t>
      </w:r>
      <w:r>
        <w:rPr>
          <w:color w:val="666155"/>
          <w:spacing w:val="-3"/>
        </w:rPr>
        <w:t> </w:t>
      </w:r>
      <w:r>
        <w:rPr>
          <w:color w:val="666155"/>
        </w:rPr>
        <w:t>for</w:t>
      </w:r>
      <w:r>
        <w:rPr>
          <w:color w:val="666155"/>
          <w:spacing w:val="-3"/>
        </w:rPr>
        <w:t> </w:t>
      </w:r>
      <w:r>
        <w:rPr>
          <w:color w:val="666155"/>
        </w:rPr>
        <w:t>tuition</w:t>
      </w:r>
      <w:r>
        <w:rPr>
          <w:color w:val="666155"/>
          <w:spacing w:val="-4"/>
        </w:rPr>
        <w:t> </w:t>
      </w:r>
      <w:r>
        <w:rPr>
          <w:color w:val="666155"/>
        </w:rPr>
        <w:t>or</w:t>
      </w:r>
      <w:r>
        <w:rPr>
          <w:color w:val="666155"/>
          <w:spacing w:val="-3"/>
        </w:rPr>
        <w:t> </w:t>
      </w:r>
      <w:r>
        <w:rPr>
          <w:color w:val="666155"/>
          <w:spacing w:val="-1"/>
        </w:rPr>
        <w:t>schooling</w:t>
      </w:r>
      <w:r>
        <w:rPr>
          <w:color w:val="666155"/>
          <w:spacing w:val="-2"/>
        </w:rPr>
        <w:t> </w:t>
      </w:r>
      <w:r>
        <w:rPr>
          <w:color w:val="666155"/>
        </w:rPr>
        <w:t>costs</w:t>
      </w:r>
      <w:r>
        <w:rPr>
          <w:color w:val="666155"/>
          <w:spacing w:val="-3"/>
        </w:rPr>
        <w:t> </w:t>
      </w:r>
      <w:r>
        <w:rPr>
          <w:color w:val="666155"/>
          <w:spacing w:val="-1"/>
        </w:rPr>
        <w:t>is</w:t>
      </w:r>
      <w:r>
        <w:rPr>
          <w:color w:val="666155"/>
          <w:spacing w:val="-4"/>
        </w:rPr>
        <w:t> </w:t>
      </w:r>
      <w:r>
        <w:rPr>
          <w:color w:val="666155"/>
        </w:rPr>
        <w:t>outside</w:t>
      </w:r>
      <w:r>
        <w:rPr>
          <w:color w:val="666155"/>
          <w:spacing w:val="-4"/>
        </w:rPr>
        <w:t> </w:t>
      </w:r>
      <w:r>
        <w:rPr>
          <w:color w:val="666155"/>
        </w:rPr>
        <w:t>the</w:t>
      </w:r>
      <w:r>
        <w:rPr>
          <w:color w:val="666155"/>
          <w:spacing w:val="-4"/>
        </w:rPr>
        <w:t> </w:t>
      </w:r>
      <w:r>
        <w:rPr>
          <w:color w:val="666155"/>
          <w:spacing w:val="-1"/>
        </w:rPr>
        <w:t>scope</w:t>
      </w:r>
      <w:r>
        <w:rPr>
          <w:color w:val="666155"/>
          <w:spacing w:val="-2"/>
        </w:rPr>
        <w:t> </w:t>
      </w:r>
      <w:r>
        <w:rPr>
          <w:color w:val="666155"/>
        </w:rPr>
        <w:t>of</w:t>
      </w:r>
      <w:r>
        <w:rPr>
          <w:color w:val="666155"/>
          <w:spacing w:val="-3"/>
        </w:rPr>
        <w:t> </w:t>
      </w:r>
      <w:r>
        <w:rPr>
          <w:color w:val="666155"/>
        </w:rPr>
        <w:t>this</w:t>
      </w:r>
      <w:r>
        <w:rPr>
          <w:color w:val="666155"/>
          <w:spacing w:val="-4"/>
        </w:rPr>
        <w:t> </w:t>
      </w:r>
      <w:r>
        <w:rPr>
          <w:color w:val="666155"/>
        </w:rPr>
        <w:t>report.</w:t>
      </w:r>
      <w:r>
        <w:rPr>
          <w:color w:val="666155"/>
          <w:spacing w:val="25"/>
          <w:w w:val="99"/>
        </w:rPr>
        <w:t> </w:t>
      </w:r>
      <w:r>
        <w:rPr>
          <w:color w:val="666155"/>
        </w:rPr>
        <w:t>However,</w:t>
      </w:r>
      <w:r>
        <w:rPr>
          <w:color w:val="666155"/>
          <w:spacing w:val="-16"/>
        </w:rPr>
        <w:t> </w:t>
      </w:r>
      <w:r>
        <w:rPr>
          <w:color w:val="666155"/>
        </w:rPr>
        <w:t>a</w:t>
      </w:r>
      <w:r>
        <w:rPr>
          <w:color w:val="666155"/>
          <w:spacing w:val="-4"/>
        </w:rPr>
        <w:t> </w:t>
      </w:r>
      <w:r>
        <w:rPr>
          <w:color w:val="666155"/>
          <w:spacing w:val="-1"/>
        </w:rPr>
        <w:t>summary</w:t>
      </w:r>
      <w:r>
        <w:rPr>
          <w:color w:val="666155"/>
          <w:spacing w:val="-5"/>
        </w:rPr>
        <w:t> </w:t>
      </w:r>
      <w:r>
        <w:rPr>
          <w:color w:val="666155"/>
          <w:spacing w:val="-1"/>
        </w:rPr>
        <w:t>is</w:t>
      </w:r>
      <w:r>
        <w:rPr>
          <w:color w:val="666155"/>
          <w:spacing w:val="-6"/>
        </w:rPr>
        <w:t> </w:t>
      </w:r>
      <w:r>
        <w:rPr>
          <w:color w:val="666155"/>
          <w:spacing w:val="-1"/>
        </w:rPr>
        <w:t>included</w:t>
      </w:r>
      <w:r>
        <w:rPr>
          <w:color w:val="666155"/>
          <w:spacing w:val="-5"/>
        </w:rPr>
        <w:t> </w:t>
      </w:r>
      <w:r>
        <w:rPr>
          <w:color w:val="666155"/>
        </w:rPr>
        <w:t>below</w:t>
      </w:r>
      <w:r>
        <w:rPr>
          <w:color w:val="666155"/>
          <w:spacing w:val="-6"/>
        </w:rPr>
        <w:t> </w:t>
      </w:r>
      <w:r>
        <w:rPr>
          <w:color w:val="666155"/>
        </w:rPr>
        <w:t>as</w:t>
      </w:r>
      <w:r>
        <w:rPr>
          <w:color w:val="666155"/>
          <w:spacing w:val="-5"/>
        </w:rPr>
        <w:t> </w:t>
      </w:r>
      <w:r>
        <w:rPr>
          <w:color w:val="666155"/>
          <w:spacing w:val="-1"/>
        </w:rPr>
        <w:t>many</w:t>
      </w:r>
      <w:r>
        <w:rPr>
          <w:color w:val="666155"/>
          <w:spacing w:val="-5"/>
        </w:rPr>
        <w:t> </w:t>
      </w:r>
      <w:r>
        <w:rPr>
          <w:color w:val="666155"/>
        </w:rPr>
        <w:t>Aboriginal</w:t>
      </w:r>
      <w:r>
        <w:rPr>
          <w:color w:val="666155"/>
          <w:spacing w:val="-5"/>
        </w:rPr>
        <w:t> </w:t>
      </w:r>
      <w:r>
        <w:rPr>
          <w:color w:val="666155"/>
        </w:rPr>
        <w:t>and</w:t>
      </w:r>
      <w:r>
        <w:rPr>
          <w:color w:val="666155"/>
          <w:spacing w:val="-6"/>
        </w:rPr>
        <w:t> </w:t>
      </w:r>
      <w:r>
        <w:rPr>
          <w:color w:val="666155"/>
          <w:spacing w:val="-5"/>
        </w:rPr>
        <w:t>Torres </w:t>
      </w:r>
      <w:r>
        <w:rPr>
          <w:color w:val="666155"/>
          <w:spacing w:val="-2"/>
        </w:rPr>
        <w:t>Strait</w:t>
      </w:r>
      <w:r>
        <w:rPr>
          <w:color w:val="666155"/>
          <w:spacing w:val="29"/>
          <w:w w:val="99"/>
        </w:rPr>
        <w:t> </w:t>
      </w:r>
      <w:r>
        <w:rPr>
          <w:color w:val="666155"/>
          <w:spacing w:val="-1"/>
        </w:rPr>
        <w:t>Islander</w:t>
      </w:r>
      <w:r>
        <w:rPr>
          <w:color w:val="666155"/>
          <w:spacing w:val="-4"/>
        </w:rPr>
        <w:t> </w:t>
      </w:r>
      <w:r>
        <w:rPr>
          <w:color w:val="666155"/>
        </w:rPr>
        <w:t>boarding</w:t>
      </w:r>
      <w:r>
        <w:rPr>
          <w:color w:val="666155"/>
          <w:spacing w:val="-5"/>
        </w:rPr>
        <w:t> </w:t>
      </w:r>
      <w:r>
        <w:rPr>
          <w:color w:val="666155"/>
          <w:spacing w:val="-1"/>
        </w:rPr>
        <w:t>schools</w:t>
      </w:r>
      <w:r>
        <w:rPr>
          <w:color w:val="666155"/>
          <w:spacing w:val="-4"/>
        </w:rPr>
        <w:t> </w:t>
      </w:r>
      <w:r>
        <w:rPr>
          <w:color w:val="666155"/>
        </w:rPr>
        <w:t>are</w:t>
      </w:r>
      <w:r>
        <w:rPr>
          <w:color w:val="666155"/>
          <w:spacing w:val="-5"/>
        </w:rPr>
        <w:t> </w:t>
      </w:r>
      <w:r>
        <w:rPr>
          <w:color w:val="666155"/>
        </w:rPr>
        <w:t>using</w:t>
      </w:r>
      <w:r>
        <w:rPr>
          <w:color w:val="666155"/>
          <w:spacing w:val="-5"/>
        </w:rPr>
        <w:t> </w:t>
      </w:r>
      <w:r>
        <w:rPr>
          <w:color w:val="666155"/>
        </w:rPr>
        <w:t>tuition</w:t>
      </w:r>
      <w:r>
        <w:rPr>
          <w:color w:val="666155"/>
          <w:spacing w:val="-5"/>
        </w:rPr>
        <w:t> </w:t>
      </w:r>
      <w:r>
        <w:rPr>
          <w:color w:val="666155"/>
        </w:rPr>
        <w:t>or</w:t>
      </w:r>
      <w:r>
        <w:rPr>
          <w:color w:val="666155"/>
          <w:spacing w:val="-4"/>
        </w:rPr>
        <w:t> </w:t>
      </w:r>
      <w:r>
        <w:rPr>
          <w:color w:val="666155"/>
          <w:spacing w:val="-1"/>
        </w:rPr>
        <w:t>schooling</w:t>
      </w:r>
      <w:r>
        <w:rPr>
          <w:color w:val="666155"/>
          <w:spacing w:val="-3"/>
        </w:rPr>
        <w:t> </w:t>
      </w:r>
      <w:r>
        <w:rPr>
          <w:color w:val="666155"/>
          <w:spacing w:val="-1"/>
        </w:rPr>
        <w:t>income</w:t>
      </w:r>
      <w:r>
        <w:rPr>
          <w:color w:val="666155"/>
          <w:spacing w:val="-4"/>
        </w:rPr>
        <w:t> </w:t>
      </w:r>
      <w:r>
        <w:rPr>
          <w:color w:val="666155"/>
        </w:rPr>
        <w:t>or</w:t>
      </w:r>
      <w:r>
        <w:rPr>
          <w:color w:val="666155"/>
          <w:spacing w:val="-4"/>
        </w:rPr>
        <w:t> </w:t>
      </w:r>
      <w:r>
        <w:rPr>
          <w:color w:val="666155"/>
        </w:rPr>
        <w:t>funding</w:t>
      </w:r>
      <w:r>
        <w:rPr>
          <w:color w:val="666155"/>
          <w:spacing w:val="-4"/>
        </w:rPr>
        <w:t> </w:t>
      </w:r>
      <w:r>
        <w:rPr>
          <w:color w:val="666155"/>
        </w:rPr>
        <w:t>to</w:t>
      </w:r>
      <w:r>
        <w:rPr>
          <w:color w:val="666155"/>
          <w:spacing w:val="25"/>
          <w:w w:val="99"/>
        </w:rPr>
        <w:t> </w:t>
      </w:r>
      <w:r>
        <w:rPr>
          <w:color w:val="666155"/>
          <w:spacing w:val="-1"/>
        </w:rPr>
        <w:t>subsidise</w:t>
      </w:r>
      <w:r>
        <w:rPr>
          <w:color w:val="666155"/>
          <w:spacing w:val="-4"/>
        </w:rPr>
        <w:t> </w:t>
      </w:r>
      <w:r>
        <w:rPr>
          <w:color w:val="666155"/>
        </w:rPr>
        <w:t>the</w:t>
      </w:r>
      <w:r>
        <w:rPr>
          <w:color w:val="666155"/>
          <w:spacing w:val="-6"/>
        </w:rPr>
        <w:t> </w:t>
      </w:r>
      <w:r>
        <w:rPr>
          <w:color w:val="666155"/>
        </w:rPr>
        <w:t>cost</w:t>
      </w:r>
      <w:r>
        <w:rPr>
          <w:color w:val="666155"/>
          <w:spacing w:val="-6"/>
        </w:rPr>
        <w:t> </w:t>
      </w:r>
      <w:r>
        <w:rPr>
          <w:color w:val="666155"/>
        </w:rPr>
        <w:t>of</w:t>
      </w:r>
      <w:r>
        <w:rPr>
          <w:color w:val="666155"/>
          <w:spacing w:val="-5"/>
        </w:rPr>
        <w:t> </w:t>
      </w:r>
      <w:r>
        <w:rPr>
          <w:color w:val="666155"/>
        </w:rPr>
        <w:t>boarding</w:t>
      </w:r>
      <w:r>
        <w:rPr>
          <w:color w:val="666155"/>
          <w:spacing w:val="-5"/>
        </w:rPr>
        <w:t> </w:t>
      </w:r>
      <w:r>
        <w:rPr>
          <w:color w:val="666155"/>
        </w:rPr>
        <w:t>and</w:t>
      </w:r>
      <w:r>
        <w:rPr>
          <w:color w:val="666155"/>
          <w:spacing w:val="-6"/>
        </w:rPr>
        <w:t> </w:t>
      </w:r>
      <w:r>
        <w:rPr>
          <w:color w:val="666155"/>
          <w:spacing w:val="-1"/>
        </w:rPr>
        <w:t>it</w:t>
      </w:r>
      <w:r>
        <w:rPr>
          <w:color w:val="666155"/>
          <w:spacing w:val="-5"/>
        </w:rPr>
        <w:t> </w:t>
      </w:r>
      <w:r>
        <w:rPr>
          <w:color w:val="666155"/>
          <w:spacing w:val="-1"/>
        </w:rPr>
        <w:t>is</w:t>
      </w:r>
      <w:r>
        <w:rPr>
          <w:color w:val="666155"/>
          <w:spacing w:val="-6"/>
        </w:rPr>
        <w:t> </w:t>
      </w:r>
      <w:r>
        <w:rPr>
          <w:color w:val="666155"/>
          <w:spacing w:val="-1"/>
        </w:rPr>
        <w:t>important</w:t>
      </w:r>
      <w:r>
        <w:rPr>
          <w:color w:val="666155"/>
          <w:spacing w:val="-4"/>
        </w:rPr>
        <w:t> </w:t>
      </w:r>
      <w:r>
        <w:rPr>
          <w:color w:val="666155"/>
        </w:rPr>
        <w:t>to</w:t>
      </w:r>
      <w:r>
        <w:rPr>
          <w:color w:val="666155"/>
          <w:spacing w:val="-5"/>
        </w:rPr>
        <w:t> </w:t>
      </w:r>
      <w:r>
        <w:rPr>
          <w:color w:val="666155"/>
        </w:rPr>
        <w:t>therefore</w:t>
      </w:r>
      <w:r>
        <w:rPr>
          <w:color w:val="666155"/>
          <w:spacing w:val="-6"/>
        </w:rPr>
        <w:t> </w:t>
      </w:r>
      <w:r>
        <w:rPr>
          <w:color w:val="666155"/>
        </w:rPr>
        <w:t>understand</w:t>
      </w:r>
      <w:r>
        <w:rPr>
          <w:color w:val="666155"/>
          <w:spacing w:val="-6"/>
        </w:rPr>
        <w:t> </w:t>
      </w:r>
      <w:r>
        <w:rPr>
          <w:color w:val="666155"/>
        </w:rPr>
        <w:t>the</w:t>
      </w:r>
      <w:r>
        <w:rPr>
          <w:color w:val="666155"/>
          <w:spacing w:val="25"/>
          <w:w w:val="99"/>
        </w:rPr>
        <w:t> </w:t>
      </w:r>
      <w:r>
        <w:rPr>
          <w:color w:val="666155"/>
        </w:rPr>
        <w:t>eligible</w:t>
      </w:r>
      <w:r>
        <w:rPr>
          <w:color w:val="666155"/>
          <w:spacing w:val="-4"/>
        </w:rPr>
        <w:t> </w:t>
      </w:r>
      <w:r>
        <w:rPr>
          <w:color w:val="666155"/>
        </w:rPr>
        <w:t>uses</w:t>
      </w:r>
      <w:r>
        <w:rPr>
          <w:color w:val="666155"/>
          <w:spacing w:val="-4"/>
        </w:rPr>
        <w:t> </w:t>
      </w:r>
      <w:r>
        <w:rPr>
          <w:color w:val="666155"/>
        </w:rPr>
        <w:t>for</w:t>
      </w:r>
      <w:r>
        <w:rPr>
          <w:color w:val="666155"/>
          <w:spacing w:val="-3"/>
        </w:rPr>
        <w:t> </w:t>
      </w:r>
      <w:r>
        <w:rPr>
          <w:color w:val="666155"/>
        </w:rPr>
        <w:t>the</w:t>
      </w:r>
      <w:r>
        <w:rPr>
          <w:color w:val="666155"/>
          <w:spacing w:val="-4"/>
        </w:rPr>
        <w:t> </w:t>
      </w:r>
      <w:r>
        <w:rPr>
          <w:color w:val="666155"/>
          <w:spacing w:val="-1"/>
        </w:rPr>
        <w:t>income</w:t>
      </w:r>
      <w:r>
        <w:rPr>
          <w:color w:val="666155"/>
          <w:spacing w:val="-3"/>
        </w:rPr>
        <w:t> </w:t>
      </w:r>
      <w:r>
        <w:rPr>
          <w:color w:val="666155"/>
        </w:rPr>
        <w:t>or</w:t>
      </w:r>
      <w:r>
        <w:rPr>
          <w:color w:val="666155"/>
          <w:spacing w:val="-3"/>
        </w:rPr>
        <w:t> </w:t>
      </w:r>
      <w:r>
        <w:rPr>
          <w:color w:val="666155"/>
        </w:rPr>
        <w:t>funding.</w:t>
      </w:r>
      <w:r>
        <w:rPr/>
      </w:r>
    </w:p>
    <w:p>
      <w:pPr>
        <w:spacing w:line="240" w:lineRule="auto" w:before="6"/>
        <w:rPr>
          <w:rFonts w:ascii="Segoe UI" w:hAnsi="Segoe UI" w:cs="Segoe UI" w:eastAsia="Segoe UI"/>
          <w:sz w:val="17"/>
          <w:szCs w:val="17"/>
        </w:rPr>
      </w:pPr>
    </w:p>
    <w:p>
      <w:pPr>
        <w:spacing w:after="0" w:line="240" w:lineRule="auto"/>
        <w:rPr>
          <w:rFonts w:ascii="Segoe UI" w:hAnsi="Segoe UI" w:cs="Segoe UI" w:eastAsia="Segoe UI"/>
          <w:sz w:val="17"/>
          <w:szCs w:val="17"/>
        </w:rPr>
        <w:sectPr>
          <w:footerReference w:type="even" r:id="rId72"/>
          <w:footerReference w:type="default" r:id="rId73"/>
          <w:pgSz w:w="11910" w:h="16840"/>
          <w:pgMar w:footer="691" w:header="0" w:top="1580" w:bottom="880" w:left="1300" w:right="1680"/>
          <w:pgNumType w:start="72"/>
        </w:sectPr>
      </w:pPr>
    </w:p>
    <w:p>
      <w:pPr>
        <w:pStyle w:val="Heading2"/>
        <w:spacing w:line="360" w:lineRule="exact" w:before="71"/>
        <w:ind w:right="0"/>
        <w:jc w:val="left"/>
        <w:rPr>
          <w:b w:val="0"/>
          <w:bCs w:val="0"/>
        </w:rPr>
      </w:pPr>
      <w:bookmarkStart w:name="_TOC_250027" w:id="9"/>
      <w:r>
        <w:rPr>
          <w:color w:val="452A70"/>
          <w:spacing w:val="-1"/>
        </w:rPr>
        <w:t>Commonwealth</w:t>
      </w:r>
      <w:r>
        <w:rPr>
          <w:color w:val="452A70"/>
          <w:spacing w:val="-11"/>
        </w:rPr>
        <w:t> </w:t>
      </w:r>
      <w:r>
        <w:rPr>
          <w:color w:val="452A70"/>
          <w:spacing w:val="-1"/>
        </w:rPr>
        <w:t>recurrent</w:t>
      </w:r>
      <w:r>
        <w:rPr>
          <w:color w:val="452A70"/>
          <w:spacing w:val="31"/>
        </w:rPr>
        <w:t> </w:t>
      </w:r>
      <w:r>
        <w:rPr>
          <w:color w:val="452A70"/>
        </w:rPr>
        <w:t>school</w:t>
      </w:r>
      <w:r>
        <w:rPr>
          <w:color w:val="452A70"/>
          <w:spacing w:val="-1"/>
        </w:rPr>
        <w:t> funding</w:t>
      </w:r>
      <w:bookmarkEnd w:id="9"/>
      <w:r>
        <w:rPr>
          <w:b w:val="0"/>
        </w:rPr>
      </w:r>
    </w:p>
    <w:p>
      <w:pPr>
        <w:pStyle w:val="BodyText"/>
        <w:spacing w:line="250" w:lineRule="exact" w:before="119"/>
        <w:ind w:right="0"/>
        <w:jc w:val="left"/>
      </w:pPr>
      <w:r>
        <w:rPr>
          <w:color w:val="231F20"/>
        </w:rPr>
        <w:t>A</w:t>
      </w:r>
      <w:r>
        <w:rPr>
          <w:color w:val="231F20"/>
          <w:spacing w:val="-6"/>
        </w:rPr>
        <w:t> </w:t>
      </w:r>
      <w:r>
        <w:rPr>
          <w:color w:val="231F20"/>
          <w:spacing w:val="-1"/>
        </w:rPr>
        <w:t>major</w:t>
      </w:r>
      <w:r>
        <w:rPr>
          <w:color w:val="231F20"/>
          <w:spacing w:val="-6"/>
        </w:rPr>
        <w:t> </w:t>
      </w:r>
      <w:r>
        <w:rPr>
          <w:color w:val="231F20"/>
        </w:rPr>
        <w:t>component</w:t>
      </w:r>
      <w:r>
        <w:rPr>
          <w:color w:val="231F20"/>
          <w:spacing w:val="-6"/>
        </w:rPr>
        <w:t> </w:t>
      </w:r>
      <w:r>
        <w:rPr>
          <w:color w:val="231F20"/>
        </w:rPr>
        <w:t>of</w:t>
      </w:r>
      <w:r>
        <w:rPr>
          <w:color w:val="231F20"/>
          <w:spacing w:val="-6"/>
        </w:rPr>
        <w:t> </w:t>
      </w:r>
      <w:r>
        <w:rPr>
          <w:color w:val="231F20"/>
        </w:rPr>
        <w:t>funding</w:t>
      </w:r>
      <w:r>
        <w:rPr>
          <w:color w:val="231F20"/>
          <w:spacing w:val="-6"/>
        </w:rPr>
        <w:t> </w:t>
      </w:r>
      <w:r>
        <w:rPr>
          <w:color w:val="231F20"/>
        </w:rPr>
        <w:t>to</w:t>
      </w:r>
      <w:r>
        <w:rPr>
          <w:color w:val="231F20"/>
          <w:spacing w:val="-5"/>
        </w:rPr>
        <w:t> </w:t>
      </w:r>
      <w:r>
        <w:rPr>
          <w:color w:val="231F20"/>
        </w:rPr>
        <w:t>boarding</w:t>
      </w:r>
      <w:r>
        <w:rPr>
          <w:color w:val="231F20"/>
          <w:spacing w:val="21"/>
          <w:w w:val="99"/>
        </w:rPr>
        <w:t> </w:t>
      </w:r>
      <w:r>
        <w:rPr>
          <w:color w:val="231F20"/>
          <w:spacing w:val="-1"/>
        </w:rPr>
        <w:t>schools</w:t>
      </w:r>
      <w:r>
        <w:rPr>
          <w:color w:val="231F20"/>
          <w:spacing w:val="-8"/>
        </w:rPr>
        <w:t> </w:t>
      </w:r>
      <w:r>
        <w:rPr>
          <w:color w:val="231F20"/>
        </w:rPr>
        <w:t>(excludes</w:t>
      </w:r>
      <w:r>
        <w:rPr>
          <w:color w:val="231F20"/>
          <w:spacing w:val="-8"/>
        </w:rPr>
        <w:t> </w:t>
      </w:r>
      <w:r>
        <w:rPr>
          <w:color w:val="231F20"/>
          <w:spacing w:val="-1"/>
        </w:rPr>
        <w:t>standalone</w:t>
      </w:r>
      <w:r>
        <w:rPr>
          <w:color w:val="231F20"/>
          <w:spacing w:val="-7"/>
        </w:rPr>
        <w:t> </w:t>
      </w:r>
      <w:r>
        <w:rPr>
          <w:color w:val="231F20"/>
        </w:rPr>
        <w:t>boarding</w:t>
      </w:r>
      <w:r>
        <w:rPr>
          <w:color w:val="231F20"/>
          <w:spacing w:val="-8"/>
        </w:rPr>
        <w:t> </w:t>
      </w:r>
      <w:r>
        <w:rPr>
          <w:color w:val="231F20"/>
        </w:rPr>
        <w:t>only</w:t>
      </w:r>
      <w:r>
        <w:rPr>
          <w:color w:val="231F20"/>
          <w:spacing w:val="23"/>
          <w:w w:val="99"/>
        </w:rPr>
        <w:t> </w:t>
      </w:r>
      <w:r>
        <w:rPr>
          <w:color w:val="231F20"/>
        </w:rPr>
        <w:t>facilities)</w:t>
      </w:r>
      <w:r>
        <w:rPr>
          <w:color w:val="231F20"/>
          <w:spacing w:val="-6"/>
        </w:rPr>
        <w:t> </w:t>
      </w:r>
      <w:r>
        <w:rPr>
          <w:color w:val="231F20"/>
          <w:spacing w:val="-1"/>
        </w:rPr>
        <w:t>is</w:t>
      </w:r>
      <w:r>
        <w:rPr>
          <w:color w:val="231F20"/>
          <w:spacing w:val="-6"/>
        </w:rPr>
        <w:t> </w:t>
      </w:r>
      <w:r>
        <w:rPr>
          <w:color w:val="231F20"/>
        </w:rPr>
        <w:t>recurrent</w:t>
      </w:r>
      <w:r>
        <w:rPr>
          <w:color w:val="231F20"/>
          <w:spacing w:val="-5"/>
        </w:rPr>
        <w:t> </w:t>
      </w:r>
      <w:r>
        <w:rPr>
          <w:color w:val="231F20"/>
          <w:spacing w:val="-1"/>
        </w:rPr>
        <w:t>school</w:t>
      </w:r>
      <w:r>
        <w:rPr>
          <w:color w:val="231F20"/>
          <w:spacing w:val="-5"/>
        </w:rPr>
        <w:t> </w:t>
      </w:r>
      <w:r>
        <w:rPr>
          <w:color w:val="231F20"/>
        </w:rPr>
        <w:t>funding</w:t>
      </w:r>
      <w:r>
        <w:rPr>
          <w:color w:val="231F20"/>
          <w:spacing w:val="-4"/>
        </w:rPr>
        <w:t> </w:t>
      </w:r>
      <w:r>
        <w:rPr>
          <w:color w:val="231F20"/>
        </w:rPr>
        <w:t>provided</w:t>
      </w:r>
      <w:r>
        <w:rPr>
          <w:color w:val="231F20"/>
          <w:spacing w:val="23"/>
          <w:w w:val="99"/>
        </w:rPr>
        <w:t> </w:t>
      </w:r>
      <w:r>
        <w:rPr>
          <w:color w:val="231F20"/>
        </w:rPr>
        <w:t>by</w:t>
      </w:r>
      <w:r>
        <w:rPr>
          <w:color w:val="231F20"/>
          <w:spacing w:val="-8"/>
        </w:rPr>
        <w:t> </w:t>
      </w:r>
      <w:r>
        <w:rPr>
          <w:color w:val="231F20"/>
        </w:rPr>
        <w:t>the</w:t>
      </w:r>
      <w:r>
        <w:rPr>
          <w:color w:val="231F20"/>
          <w:spacing w:val="-9"/>
        </w:rPr>
        <w:t> </w:t>
      </w:r>
      <w:r>
        <w:rPr>
          <w:color w:val="231F20"/>
          <w:spacing w:val="-1"/>
        </w:rPr>
        <w:t>Commonwealth</w:t>
      </w:r>
      <w:r>
        <w:rPr>
          <w:color w:val="231F20"/>
          <w:spacing w:val="-7"/>
        </w:rPr>
        <w:t> </w:t>
      </w:r>
      <w:r>
        <w:rPr>
          <w:color w:val="231F20"/>
        </w:rPr>
        <w:t>Government</w:t>
      </w:r>
      <w:r>
        <w:rPr>
          <w:color w:val="231F20"/>
          <w:spacing w:val="-8"/>
        </w:rPr>
        <w:t> </w:t>
      </w:r>
      <w:r>
        <w:rPr>
          <w:color w:val="231F20"/>
        </w:rPr>
        <w:t>under</w:t>
      </w:r>
      <w:r>
        <w:rPr>
          <w:color w:val="231F20"/>
          <w:spacing w:val="-7"/>
        </w:rPr>
        <w:t> </w:t>
      </w:r>
      <w:r>
        <w:rPr>
          <w:color w:val="231F20"/>
        </w:rPr>
        <w:t>the</w:t>
      </w:r>
      <w:r>
        <w:rPr>
          <w:color w:val="231F20"/>
          <w:spacing w:val="22"/>
          <w:w w:val="99"/>
        </w:rPr>
        <w:t> </w:t>
      </w:r>
      <w:r>
        <w:rPr>
          <w:rFonts w:ascii="Segoe UI" w:hAnsi="Segoe UI" w:cs="Segoe UI" w:eastAsia="Segoe UI"/>
          <w:i/>
          <w:color w:val="231F20"/>
          <w:spacing w:val="-1"/>
        </w:rPr>
        <w:t>Australian</w:t>
      </w:r>
      <w:r>
        <w:rPr>
          <w:rFonts w:ascii="Segoe UI" w:hAnsi="Segoe UI" w:cs="Segoe UI" w:eastAsia="Segoe UI"/>
          <w:i/>
          <w:color w:val="231F20"/>
          <w:spacing w:val="-3"/>
        </w:rPr>
        <w:t> </w:t>
      </w:r>
      <w:r>
        <w:rPr>
          <w:rFonts w:ascii="Segoe UI" w:hAnsi="Segoe UI" w:cs="Segoe UI" w:eastAsia="Segoe UI"/>
          <w:i/>
          <w:color w:val="231F20"/>
        </w:rPr>
        <w:t>Education</w:t>
      </w:r>
      <w:r>
        <w:rPr>
          <w:rFonts w:ascii="Segoe UI" w:hAnsi="Segoe UI" w:cs="Segoe UI" w:eastAsia="Segoe UI"/>
          <w:i/>
          <w:color w:val="231F20"/>
          <w:spacing w:val="-3"/>
        </w:rPr>
        <w:t> </w:t>
      </w:r>
      <w:r>
        <w:rPr>
          <w:rFonts w:ascii="Segoe UI" w:hAnsi="Segoe UI" w:cs="Segoe UI" w:eastAsia="Segoe UI"/>
          <w:i/>
          <w:color w:val="231F20"/>
        </w:rPr>
        <w:t>Act</w:t>
      </w:r>
      <w:r>
        <w:rPr>
          <w:rFonts w:ascii="Segoe UI" w:hAnsi="Segoe UI" w:cs="Segoe UI" w:eastAsia="Segoe UI"/>
          <w:i/>
          <w:color w:val="231F20"/>
          <w:spacing w:val="-4"/>
        </w:rPr>
        <w:t> </w:t>
      </w:r>
      <w:r>
        <w:rPr>
          <w:rFonts w:ascii="Segoe UI" w:hAnsi="Segoe UI" w:cs="Segoe UI" w:eastAsia="Segoe UI"/>
          <w:i/>
          <w:color w:val="231F20"/>
        </w:rPr>
        <w:t>2013</w:t>
      </w:r>
      <w:r>
        <w:rPr>
          <w:color w:val="231F20"/>
        </w:rPr>
        <w:t>.</w:t>
      </w:r>
      <w:r>
        <w:rPr>
          <w:color w:val="231F20"/>
          <w:spacing w:val="-3"/>
        </w:rPr>
        <w:t> </w:t>
      </w:r>
      <w:r>
        <w:rPr>
          <w:color w:val="231F20"/>
        </w:rPr>
        <w:t>The</w:t>
      </w:r>
      <w:r>
        <w:rPr>
          <w:color w:val="231F20"/>
          <w:spacing w:val="-3"/>
        </w:rPr>
        <w:t> </w:t>
      </w:r>
      <w:r>
        <w:rPr>
          <w:color w:val="231F20"/>
        </w:rPr>
        <w:t>purpose</w:t>
      </w:r>
      <w:r>
        <w:rPr>
          <w:color w:val="231F20"/>
          <w:spacing w:val="-4"/>
        </w:rPr>
        <w:t> </w:t>
      </w:r>
      <w:r>
        <w:rPr>
          <w:color w:val="231F20"/>
        </w:rPr>
        <w:t>of</w:t>
      </w:r>
      <w:r>
        <w:rPr>
          <w:color w:val="231F20"/>
          <w:spacing w:val="28"/>
          <w:w w:val="99"/>
        </w:rPr>
        <w:t> </w:t>
      </w:r>
      <w:r>
        <w:rPr>
          <w:color w:val="231F20"/>
        </w:rPr>
        <w:t>this</w:t>
      </w:r>
      <w:r>
        <w:rPr>
          <w:color w:val="231F20"/>
          <w:spacing w:val="-5"/>
        </w:rPr>
        <w:t> </w:t>
      </w:r>
      <w:r>
        <w:rPr>
          <w:color w:val="231F20"/>
        </w:rPr>
        <w:t>funding</w:t>
      </w:r>
      <w:r>
        <w:rPr>
          <w:color w:val="231F20"/>
          <w:spacing w:val="-3"/>
        </w:rPr>
        <w:t> </w:t>
      </w:r>
      <w:r>
        <w:rPr>
          <w:color w:val="231F20"/>
          <w:spacing w:val="-1"/>
        </w:rPr>
        <w:t>is</w:t>
      </w:r>
      <w:r>
        <w:rPr>
          <w:color w:val="231F20"/>
          <w:spacing w:val="-4"/>
        </w:rPr>
        <w:t> </w:t>
      </w:r>
      <w:r>
        <w:rPr>
          <w:color w:val="231F20"/>
        </w:rPr>
        <w:t>to</w:t>
      </w:r>
      <w:r>
        <w:rPr>
          <w:color w:val="231F20"/>
          <w:spacing w:val="-3"/>
        </w:rPr>
        <w:t> </w:t>
      </w:r>
      <w:r>
        <w:rPr>
          <w:color w:val="231F20"/>
          <w:spacing w:val="-1"/>
        </w:rPr>
        <w:t>meet</w:t>
      </w:r>
      <w:r>
        <w:rPr>
          <w:color w:val="231F20"/>
          <w:spacing w:val="-3"/>
        </w:rPr>
        <w:t> </w:t>
      </w:r>
      <w:r>
        <w:rPr>
          <w:color w:val="231F20"/>
        </w:rPr>
        <w:t>‘in-school</w:t>
      </w:r>
      <w:r>
        <w:rPr>
          <w:color w:val="231F20"/>
          <w:spacing w:val="-4"/>
        </w:rPr>
        <w:t> </w:t>
      </w:r>
      <w:r>
        <w:rPr>
          <w:color w:val="231F20"/>
        </w:rPr>
        <w:t>educational</w:t>
      </w:r>
      <w:r>
        <w:rPr>
          <w:color w:val="231F20"/>
          <w:spacing w:val="22"/>
          <w:w w:val="99"/>
        </w:rPr>
        <w:t> </w:t>
      </w:r>
      <w:r>
        <w:rPr>
          <w:color w:val="231F20"/>
        </w:rPr>
        <w:t>costs</w:t>
      </w:r>
      <w:r>
        <w:rPr>
          <w:color w:val="231F20"/>
          <w:spacing w:val="-5"/>
        </w:rPr>
        <w:t> </w:t>
      </w:r>
      <w:r>
        <w:rPr>
          <w:color w:val="231F20"/>
        </w:rPr>
        <w:t>of</w:t>
      </w:r>
      <w:r>
        <w:rPr>
          <w:color w:val="231F20"/>
          <w:spacing w:val="-3"/>
        </w:rPr>
        <w:t> </w:t>
      </w:r>
      <w:r>
        <w:rPr>
          <w:color w:val="231F20"/>
          <w:spacing w:val="-1"/>
        </w:rPr>
        <w:t>schools’.</w:t>
      </w:r>
      <w:r>
        <w:rPr>
          <w:color w:val="231F20"/>
          <w:spacing w:val="-4"/>
        </w:rPr>
        <w:t> </w:t>
      </w:r>
      <w:r>
        <w:rPr>
          <w:color w:val="231F20"/>
        </w:rPr>
        <w:t>The</w:t>
      </w:r>
      <w:r>
        <w:rPr>
          <w:color w:val="231F20"/>
          <w:spacing w:val="-3"/>
        </w:rPr>
        <w:t> </w:t>
      </w:r>
      <w:r>
        <w:rPr>
          <w:color w:val="231F20"/>
        </w:rPr>
        <w:t>purposes</w:t>
      </w:r>
      <w:r>
        <w:rPr>
          <w:color w:val="231F20"/>
          <w:spacing w:val="-5"/>
        </w:rPr>
        <w:t> </w:t>
      </w:r>
      <w:r>
        <w:rPr>
          <w:color w:val="231F20"/>
        </w:rPr>
        <w:t>for</w:t>
      </w:r>
      <w:r>
        <w:rPr>
          <w:color w:val="231F20"/>
          <w:spacing w:val="-3"/>
        </w:rPr>
        <w:t> </w:t>
      </w:r>
      <w:r>
        <w:rPr>
          <w:color w:val="231F20"/>
        </w:rPr>
        <w:t>which</w:t>
      </w:r>
      <w:r>
        <w:rPr/>
      </w:r>
    </w:p>
    <w:p>
      <w:pPr>
        <w:spacing w:line="250" w:lineRule="exact" w:before="0"/>
        <w:ind w:left="117" w:right="0" w:firstLine="0"/>
        <w:jc w:val="left"/>
        <w:rPr>
          <w:rFonts w:ascii="Segoe UI" w:hAnsi="Segoe UI" w:cs="Segoe UI" w:eastAsia="Segoe UI"/>
          <w:sz w:val="20"/>
          <w:szCs w:val="20"/>
        </w:rPr>
      </w:pPr>
      <w:r>
        <w:rPr>
          <w:rFonts w:ascii="Segoe UI"/>
          <w:color w:val="231F20"/>
          <w:sz w:val="20"/>
        </w:rPr>
        <w:t>the</w:t>
      </w:r>
      <w:r>
        <w:rPr>
          <w:rFonts w:ascii="Segoe UI"/>
          <w:color w:val="231F20"/>
          <w:spacing w:val="-4"/>
          <w:sz w:val="20"/>
        </w:rPr>
        <w:t> </w:t>
      </w:r>
      <w:r>
        <w:rPr>
          <w:rFonts w:ascii="Segoe UI"/>
          <w:color w:val="231F20"/>
          <w:sz w:val="20"/>
        </w:rPr>
        <w:t>funding</w:t>
      </w:r>
      <w:r>
        <w:rPr>
          <w:rFonts w:ascii="Segoe UI"/>
          <w:color w:val="231F20"/>
          <w:spacing w:val="-3"/>
          <w:sz w:val="20"/>
        </w:rPr>
        <w:t> </w:t>
      </w:r>
      <w:r>
        <w:rPr>
          <w:rFonts w:ascii="Segoe UI"/>
          <w:color w:val="231F20"/>
          <w:sz w:val="20"/>
        </w:rPr>
        <w:t>can</w:t>
      </w:r>
      <w:r>
        <w:rPr>
          <w:rFonts w:ascii="Segoe UI"/>
          <w:color w:val="231F20"/>
          <w:spacing w:val="-2"/>
          <w:sz w:val="20"/>
        </w:rPr>
        <w:t> </w:t>
      </w:r>
      <w:r>
        <w:rPr>
          <w:rFonts w:ascii="Segoe UI"/>
          <w:color w:val="231F20"/>
          <w:sz w:val="20"/>
        </w:rPr>
        <w:t>be</w:t>
      </w:r>
      <w:r>
        <w:rPr>
          <w:rFonts w:ascii="Segoe UI"/>
          <w:color w:val="231F20"/>
          <w:spacing w:val="-3"/>
          <w:sz w:val="20"/>
        </w:rPr>
        <w:t> </w:t>
      </w:r>
      <w:r>
        <w:rPr>
          <w:rFonts w:ascii="Segoe UI"/>
          <w:color w:val="231F20"/>
          <w:sz w:val="20"/>
        </w:rPr>
        <w:t>used</w:t>
      </w:r>
      <w:r>
        <w:rPr>
          <w:rFonts w:ascii="Segoe UI"/>
          <w:color w:val="231F20"/>
          <w:spacing w:val="-4"/>
          <w:sz w:val="20"/>
        </w:rPr>
        <w:t> </w:t>
      </w:r>
      <w:r>
        <w:rPr>
          <w:rFonts w:ascii="Segoe UI"/>
          <w:color w:val="231F20"/>
          <w:sz w:val="20"/>
        </w:rPr>
        <w:t>are</w:t>
      </w:r>
      <w:r>
        <w:rPr>
          <w:rFonts w:ascii="Segoe UI"/>
          <w:color w:val="231F20"/>
          <w:spacing w:val="-3"/>
          <w:sz w:val="20"/>
        </w:rPr>
        <w:t> </w:t>
      </w:r>
      <w:r>
        <w:rPr>
          <w:rFonts w:ascii="Segoe UI"/>
          <w:color w:val="231F20"/>
          <w:spacing w:val="-1"/>
          <w:sz w:val="20"/>
        </w:rPr>
        <w:t>set</w:t>
      </w:r>
      <w:r>
        <w:rPr>
          <w:rFonts w:ascii="Segoe UI"/>
          <w:color w:val="231F20"/>
          <w:spacing w:val="-3"/>
          <w:sz w:val="20"/>
        </w:rPr>
        <w:t> </w:t>
      </w:r>
      <w:r>
        <w:rPr>
          <w:rFonts w:ascii="Segoe UI"/>
          <w:color w:val="231F20"/>
          <w:sz w:val="20"/>
        </w:rPr>
        <w:t>out</w:t>
      </w:r>
      <w:r>
        <w:rPr>
          <w:rFonts w:ascii="Segoe UI"/>
          <w:color w:val="231F20"/>
          <w:spacing w:val="-2"/>
          <w:sz w:val="20"/>
        </w:rPr>
        <w:t> </w:t>
      </w:r>
      <w:r>
        <w:rPr>
          <w:rFonts w:ascii="Segoe UI"/>
          <w:color w:val="231F20"/>
          <w:spacing w:val="-1"/>
          <w:sz w:val="20"/>
        </w:rPr>
        <w:t>in</w:t>
      </w:r>
      <w:r>
        <w:rPr>
          <w:rFonts w:ascii="Segoe UI"/>
          <w:color w:val="231F20"/>
          <w:spacing w:val="-3"/>
          <w:sz w:val="20"/>
        </w:rPr>
        <w:t> </w:t>
      </w:r>
      <w:r>
        <w:rPr>
          <w:rFonts w:ascii="Segoe UI"/>
          <w:color w:val="231F20"/>
          <w:sz w:val="20"/>
        </w:rPr>
        <w:t>the</w:t>
      </w:r>
      <w:r>
        <w:rPr>
          <w:rFonts w:ascii="Segoe UI"/>
          <w:color w:val="231F20"/>
          <w:spacing w:val="22"/>
          <w:w w:val="99"/>
          <w:sz w:val="20"/>
        </w:rPr>
        <w:t> </w:t>
      </w:r>
      <w:r>
        <w:rPr>
          <w:rFonts w:ascii="Segoe UI"/>
          <w:i/>
          <w:color w:val="231F20"/>
          <w:spacing w:val="-1"/>
          <w:sz w:val="20"/>
        </w:rPr>
        <w:t>Australian</w:t>
      </w:r>
      <w:r>
        <w:rPr>
          <w:rFonts w:ascii="Segoe UI"/>
          <w:i/>
          <w:color w:val="231F20"/>
          <w:spacing w:val="-3"/>
          <w:sz w:val="20"/>
        </w:rPr>
        <w:t> </w:t>
      </w:r>
      <w:r>
        <w:rPr>
          <w:rFonts w:ascii="Segoe UI"/>
          <w:i/>
          <w:color w:val="231F20"/>
          <w:sz w:val="20"/>
        </w:rPr>
        <w:t>Education</w:t>
      </w:r>
      <w:r>
        <w:rPr>
          <w:rFonts w:ascii="Segoe UI"/>
          <w:i/>
          <w:color w:val="231F20"/>
          <w:spacing w:val="-2"/>
          <w:sz w:val="20"/>
        </w:rPr>
        <w:t> </w:t>
      </w:r>
      <w:r>
        <w:rPr>
          <w:rFonts w:ascii="Segoe UI"/>
          <w:i/>
          <w:color w:val="231F20"/>
          <w:sz w:val="20"/>
        </w:rPr>
        <w:t>Act</w:t>
      </w:r>
      <w:r>
        <w:rPr>
          <w:rFonts w:ascii="Segoe UI"/>
          <w:i/>
          <w:color w:val="231F20"/>
          <w:spacing w:val="-4"/>
          <w:sz w:val="20"/>
        </w:rPr>
        <w:t> </w:t>
      </w:r>
      <w:r>
        <w:rPr>
          <w:rFonts w:ascii="Segoe UI"/>
          <w:i/>
          <w:color w:val="231F20"/>
          <w:sz w:val="20"/>
        </w:rPr>
        <w:t>2013</w:t>
      </w:r>
      <w:r>
        <w:rPr>
          <w:rFonts w:ascii="Segoe UI"/>
          <w:i/>
          <w:color w:val="231F20"/>
          <w:spacing w:val="-3"/>
          <w:sz w:val="20"/>
        </w:rPr>
        <w:t> </w:t>
      </w:r>
      <w:r>
        <w:rPr>
          <w:rFonts w:ascii="Segoe UI"/>
          <w:color w:val="231F20"/>
          <w:sz w:val="20"/>
        </w:rPr>
        <w:t>and</w:t>
      </w:r>
      <w:r>
        <w:rPr>
          <w:rFonts w:ascii="Segoe UI"/>
          <w:color w:val="231F20"/>
          <w:spacing w:val="-3"/>
          <w:sz w:val="20"/>
        </w:rPr>
        <w:t> </w:t>
      </w:r>
      <w:r>
        <w:rPr>
          <w:rFonts w:ascii="Segoe UI"/>
          <w:i/>
          <w:color w:val="231F20"/>
          <w:spacing w:val="-1"/>
          <w:sz w:val="20"/>
        </w:rPr>
        <w:t>Australian</w:t>
      </w:r>
      <w:r>
        <w:rPr>
          <w:rFonts w:ascii="Segoe UI"/>
          <w:i/>
          <w:color w:val="231F20"/>
          <w:spacing w:val="33"/>
          <w:w w:val="99"/>
          <w:sz w:val="20"/>
        </w:rPr>
        <w:t> </w:t>
      </w:r>
      <w:r>
        <w:rPr>
          <w:rFonts w:ascii="Segoe UI"/>
          <w:i/>
          <w:color w:val="231F20"/>
          <w:sz w:val="20"/>
        </w:rPr>
        <w:t>Education</w:t>
      </w:r>
      <w:r>
        <w:rPr>
          <w:rFonts w:ascii="Segoe UI"/>
          <w:i/>
          <w:color w:val="231F20"/>
          <w:spacing w:val="-5"/>
          <w:sz w:val="20"/>
        </w:rPr>
        <w:t> </w:t>
      </w:r>
      <w:r>
        <w:rPr>
          <w:rFonts w:ascii="Segoe UI"/>
          <w:i/>
          <w:color w:val="231F20"/>
          <w:spacing w:val="-1"/>
          <w:sz w:val="20"/>
        </w:rPr>
        <w:t>Regulation</w:t>
      </w:r>
      <w:r>
        <w:rPr>
          <w:rFonts w:ascii="Segoe UI"/>
          <w:i/>
          <w:color w:val="231F20"/>
          <w:spacing w:val="-5"/>
          <w:sz w:val="20"/>
        </w:rPr>
        <w:t> </w:t>
      </w:r>
      <w:r>
        <w:rPr>
          <w:rFonts w:ascii="Segoe UI"/>
          <w:i/>
          <w:color w:val="231F20"/>
          <w:sz w:val="20"/>
        </w:rPr>
        <w:t>2013</w:t>
      </w:r>
      <w:r>
        <w:rPr>
          <w:rFonts w:ascii="Segoe UI"/>
          <w:color w:val="231F20"/>
          <w:sz w:val="20"/>
        </w:rPr>
        <w:t>.</w:t>
      </w:r>
      <w:r>
        <w:rPr>
          <w:rFonts w:ascii="Segoe UI"/>
          <w:sz w:val="20"/>
        </w:rPr>
      </w:r>
    </w:p>
    <w:p>
      <w:pPr>
        <w:spacing w:line="250" w:lineRule="exact" w:before="113"/>
        <w:ind w:left="117" w:right="0" w:firstLine="0"/>
        <w:jc w:val="left"/>
        <w:rPr>
          <w:rFonts w:ascii="Segoe UI Semibold" w:hAnsi="Segoe UI Semibold" w:cs="Segoe UI Semibold" w:eastAsia="Segoe UI Semibold"/>
          <w:sz w:val="11"/>
          <w:szCs w:val="11"/>
        </w:rPr>
      </w:pPr>
      <w:r>
        <w:rPr>
          <w:rFonts w:ascii="Segoe UI" w:hAnsi="Segoe UI" w:cs="Segoe UI" w:eastAsia="Segoe UI"/>
          <w:color w:val="231F20"/>
          <w:sz w:val="20"/>
          <w:szCs w:val="20"/>
        </w:rPr>
        <w:t>The</w:t>
      </w:r>
      <w:r>
        <w:rPr>
          <w:rFonts w:ascii="Segoe UI" w:hAnsi="Segoe UI" w:cs="Segoe UI" w:eastAsia="Segoe UI"/>
          <w:color w:val="231F20"/>
          <w:spacing w:val="-10"/>
          <w:sz w:val="20"/>
          <w:szCs w:val="20"/>
        </w:rPr>
        <w:t> </w:t>
      </w:r>
      <w:r>
        <w:rPr>
          <w:rFonts w:ascii="Segoe UI" w:hAnsi="Segoe UI" w:cs="Segoe UI" w:eastAsia="Segoe UI"/>
          <w:color w:val="231F20"/>
          <w:spacing w:val="-1"/>
          <w:sz w:val="20"/>
          <w:szCs w:val="20"/>
        </w:rPr>
        <w:t>Commonwealth</w:t>
      </w:r>
      <w:r>
        <w:rPr>
          <w:rFonts w:ascii="Segoe UI" w:hAnsi="Segoe UI" w:cs="Segoe UI" w:eastAsia="Segoe UI"/>
          <w:color w:val="231F20"/>
          <w:spacing w:val="-10"/>
          <w:sz w:val="20"/>
          <w:szCs w:val="20"/>
        </w:rPr>
        <w:t> </w:t>
      </w:r>
      <w:r>
        <w:rPr>
          <w:rFonts w:ascii="Segoe UI" w:hAnsi="Segoe UI" w:cs="Segoe UI" w:eastAsia="Segoe UI"/>
          <w:color w:val="231F20"/>
          <w:spacing w:val="-1"/>
          <w:sz w:val="20"/>
          <w:szCs w:val="20"/>
        </w:rPr>
        <w:t>Department</w:t>
      </w:r>
      <w:r>
        <w:rPr>
          <w:rFonts w:ascii="Segoe UI" w:hAnsi="Segoe UI" w:cs="Segoe UI" w:eastAsia="Segoe UI"/>
          <w:color w:val="231F20"/>
          <w:spacing w:val="-9"/>
          <w:sz w:val="20"/>
          <w:szCs w:val="20"/>
        </w:rPr>
        <w:t> </w:t>
      </w:r>
      <w:r>
        <w:rPr>
          <w:rFonts w:ascii="Segoe UI" w:hAnsi="Segoe UI" w:cs="Segoe UI" w:eastAsia="Segoe UI"/>
          <w:color w:val="231F20"/>
          <w:sz w:val="20"/>
          <w:szCs w:val="20"/>
        </w:rPr>
        <w:t>of</w:t>
      </w:r>
      <w:r>
        <w:rPr>
          <w:rFonts w:ascii="Segoe UI" w:hAnsi="Segoe UI" w:cs="Segoe UI" w:eastAsia="Segoe UI"/>
          <w:color w:val="231F20"/>
          <w:spacing w:val="-10"/>
          <w:sz w:val="20"/>
          <w:szCs w:val="20"/>
        </w:rPr>
        <w:t> </w:t>
      </w:r>
      <w:r>
        <w:rPr>
          <w:rFonts w:ascii="Segoe UI" w:hAnsi="Segoe UI" w:cs="Segoe UI" w:eastAsia="Segoe UI"/>
          <w:color w:val="231F20"/>
          <w:sz w:val="20"/>
          <w:szCs w:val="20"/>
        </w:rPr>
        <w:t>Education</w:t>
      </w:r>
      <w:r>
        <w:rPr>
          <w:rFonts w:ascii="Segoe UI" w:hAnsi="Segoe UI" w:cs="Segoe UI" w:eastAsia="Segoe UI"/>
          <w:color w:val="231F20"/>
          <w:spacing w:val="23"/>
          <w:w w:val="99"/>
          <w:sz w:val="20"/>
          <w:szCs w:val="20"/>
        </w:rPr>
        <w:t> </w:t>
      </w:r>
      <w:r>
        <w:rPr>
          <w:rFonts w:ascii="Segoe UI" w:hAnsi="Segoe UI" w:cs="Segoe UI" w:eastAsia="Segoe UI"/>
          <w:color w:val="231F20"/>
          <w:sz w:val="20"/>
          <w:szCs w:val="20"/>
        </w:rPr>
        <w:t>and</w:t>
      </w:r>
      <w:r>
        <w:rPr>
          <w:rFonts w:ascii="Segoe UI" w:hAnsi="Segoe UI" w:cs="Segoe UI" w:eastAsia="Segoe UI"/>
          <w:color w:val="231F20"/>
          <w:spacing w:val="-5"/>
          <w:sz w:val="20"/>
          <w:szCs w:val="20"/>
        </w:rPr>
        <w:t> </w:t>
      </w:r>
      <w:r>
        <w:rPr>
          <w:rFonts w:ascii="Segoe UI" w:hAnsi="Segoe UI" w:cs="Segoe UI" w:eastAsia="Segoe UI"/>
          <w:color w:val="231F20"/>
          <w:spacing w:val="-3"/>
          <w:sz w:val="20"/>
          <w:szCs w:val="20"/>
        </w:rPr>
        <w:t>Training</w:t>
      </w:r>
      <w:r>
        <w:rPr>
          <w:rFonts w:ascii="Segoe UI" w:hAnsi="Segoe UI" w:cs="Segoe UI" w:eastAsia="Segoe UI"/>
          <w:color w:val="231F20"/>
          <w:spacing w:val="-5"/>
          <w:sz w:val="20"/>
          <w:szCs w:val="20"/>
        </w:rPr>
        <w:t> </w:t>
      </w:r>
      <w:r>
        <w:rPr>
          <w:rFonts w:ascii="Segoe UI" w:hAnsi="Segoe UI" w:cs="Segoe UI" w:eastAsia="Segoe UI"/>
          <w:color w:val="231F20"/>
          <w:sz w:val="20"/>
          <w:szCs w:val="20"/>
        </w:rPr>
        <w:t>has</w:t>
      </w:r>
      <w:r>
        <w:rPr>
          <w:rFonts w:ascii="Segoe UI" w:hAnsi="Segoe UI" w:cs="Segoe UI" w:eastAsia="Segoe UI"/>
          <w:color w:val="231F20"/>
          <w:spacing w:val="-4"/>
          <w:sz w:val="20"/>
          <w:szCs w:val="20"/>
        </w:rPr>
        <w:t> </w:t>
      </w:r>
      <w:r>
        <w:rPr>
          <w:rFonts w:ascii="Segoe UI" w:hAnsi="Segoe UI" w:cs="Segoe UI" w:eastAsia="Segoe UI"/>
          <w:color w:val="231F20"/>
          <w:sz w:val="20"/>
          <w:szCs w:val="20"/>
        </w:rPr>
        <w:t>produced</w:t>
      </w:r>
      <w:r>
        <w:rPr>
          <w:rFonts w:ascii="Segoe UI" w:hAnsi="Segoe UI" w:cs="Segoe UI" w:eastAsia="Segoe UI"/>
          <w:color w:val="231F20"/>
          <w:spacing w:val="-5"/>
          <w:sz w:val="20"/>
          <w:szCs w:val="20"/>
        </w:rPr>
        <w:t> </w:t>
      </w:r>
      <w:r>
        <w:rPr>
          <w:rFonts w:ascii="Segoe UI" w:hAnsi="Segoe UI" w:cs="Segoe UI" w:eastAsia="Segoe UI"/>
          <w:color w:val="231F20"/>
          <w:sz w:val="20"/>
          <w:szCs w:val="20"/>
        </w:rPr>
        <w:t>a</w:t>
      </w:r>
      <w:r>
        <w:rPr>
          <w:rFonts w:ascii="Segoe UI" w:hAnsi="Segoe UI" w:cs="Segoe UI" w:eastAsia="Segoe UI"/>
          <w:color w:val="231F20"/>
          <w:spacing w:val="-3"/>
          <w:sz w:val="20"/>
          <w:szCs w:val="20"/>
        </w:rPr>
        <w:t> </w:t>
      </w:r>
      <w:r>
        <w:rPr>
          <w:rFonts w:ascii="Segoe UI" w:hAnsi="Segoe UI" w:cs="Segoe UI" w:eastAsia="Segoe UI"/>
          <w:color w:val="231F20"/>
          <w:sz w:val="20"/>
          <w:szCs w:val="20"/>
        </w:rPr>
        <w:t>fact</w:t>
      </w:r>
      <w:r>
        <w:rPr>
          <w:rFonts w:ascii="Segoe UI" w:hAnsi="Segoe UI" w:cs="Segoe UI" w:eastAsia="Segoe UI"/>
          <w:color w:val="231F20"/>
          <w:spacing w:val="-4"/>
          <w:sz w:val="20"/>
          <w:szCs w:val="20"/>
        </w:rPr>
        <w:t> </w:t>
      </w:r>
      <w:r>
        <w:rPr>
          <w:rFonts w:ascii="Segoe UI" w:hAnsi="Segoe UI" w:cs="Segoe UI" w:eastAsia="Segoe UI"/>
          <w:color w:val="231F20"/>
          <w:spacing w:val="-1"/>
          <w:sz w:val="20"/>
          <w:szCs w:val="20"/>
        </w:rPr>
        <w:t>sheet</w:t>
      </w:r>
      <w:r>
        <w:rPr>
          <w:rFonts w:ascii="Segoe UI" w:hAnsi="Segoe UI" w:cs="Segoe UI" w:eastAsia="Segoe UI"/>
          <w:color w:val="231F20"/>
          <w:spacing w:val="-3"/>
          <w:sz w:val="20"/>
          <w:szCs w:val="20"/>
        </w:rPr>
        <w:t> </w:t>
      </w:r>
      <w:r>
        <w:rPr>
          <w:rFonts w:ascii="Segoe UI" w:hAnsi="Segoe UI" w:cs="Segoe UI" w:eastAsia="Segoe UI"/>
          <w:color w:val="231F20"/>
          <w:sz w:val="20"/>
          <w:szCs w:val="20"/>
        </w:rPr>
        <w:t>on</w:t>
      </w:r>
      <w:r>
        <w:rPr>
          <w:rFonts w:ascii="Segoe UI" w:hAnsi="Segoe UI" w:cs="Segoe UI" w:eastAsia="Segoe UI"/>
          <w:color w:val="231F20"/>
          <w:spacing w:val="-4"/>
          <w:sz w:val="20"/>
          <w:szCs w:val="20"/>
        </w:rPr>
        <w:t> </w:t>
      </w:r>
      <w:r>
        <w:rPr>
          <w:rFonts w:ascii="Segoe UI" w:hAnsi="Segoe UI" w:cs="Segoe UI" w:eastAsia="Segoe UI"/>
          <w:color w:val="231F20"/>
          <w:sz w:val="20"/>
          <w:szCs w:val="20"/>
        </w:rPr>
        <w:t>the</w:t>
      </w:r>
      <w:r>
        <w:rPr>
          <w:rFonts w:ascii="Segoe UI" w:hAnsi="Segoe UI" w:cs="Segoe UI" w:eastAsia="Segoe UI"/>
          <w:color w:val="231F20"/>
          <w:spacing w:val="28"/>
          <w:w w:val="99"/>
          <w:sz w:val="20"/>
          <w:szCs w:val="20"/>
        </w:rPr>
        <w:t> </w:t>
      </w:r>
      <w:r>
        <w:rPr>
          <w:rFonts w:ascii="Segoe UI" w:hAnsi="Segoe UI" w:cs="Segoe UI" w:eastAsia="Segoe UI"/>
          <w:color w:val="231F20"/>
          <w:sz w:val="20"/>
          <w:szCs w:val="20"/>
        </w:rPr>
        <w:t>approved</w:t>
      </w:r>
      <w:r>
        <w:rPr>
          <w:rFonts w:ascii="Segoe UI" w:hAnsi="Segoe UI" w:cs="Segoe UI" w:eastAsia="Segoe UI"/>
          <w:color w:val="231F20"/>
          <w:spacing w:val="-7"/>
          <w:sz w:val="20"/>
          <w:szCs w:val="20"/>
        </w:rPr>
        <w:t> </w:t>
      </w:r>
      <w:r>
        <w:rPr>
          <w:rFonts w:ascii="Segoe UI" w:hAnsi="Segoe UI" w:cs="Segoe UI" w:eastAsia="Segoe UI"/>
          <w:color w:val="231F20"/>
          <w:sz w:val="20"/>
          <w:szCs w:val="20"/>
        </w:rPr>
        <w:t>uses</w:t>
      </w:r>
      <w:r>
        <w:rPr>
          <w:rFonts w:ascii="Segoe UI" w:hAnsi="Segoe UI" w:cs="Segoe UI" w:eastAsia="Segoe UI"/>
          <w:color w:val="231F20"/>
          <w:spacing w:val="-7"/>
          <w:sz w:val="20"/>
          <w:szCs w:val="20"/>
        </w:rPr>
        <w:t> </w:t>
      </w:r>
      <w:r>
        <w:rPr>
          <w:rFonts w:ascii="Segoe UI" w:hAnsi="Segoe UI" w:cs="Segoe UI" w:eastAsia="Segoe UI"/>
          <w:color w:val="231F20"/>
          <w:sz w:val="20"/>
          <w:szCs w:val="20"/>
        </w:rPr>
        <w:t>for</w:t>
      </w:r>
      <w:r>
        <w:rPr>
          <w:rFonts w:ascii="Segoe UI" w:hAnsi="Segoe UI" w:cs="Segoe UI" w:eastAsia="Segoe UI"/>
          <w:color w:val="231F20"/>
          <w:spacing w:val="-6"/>
          <w:sz w:val="20"/>
          <w:szCs w:val="20"/>
        </w:rPr>
        <w:t> </w:t>
      </w:r>
      <w:r>
        <w:rPr>
          <w:rFonts w:ascii="Segoe UI" w:hAnsi="Segoe UI" w:cs="Segoe UI" w:eastAsia="Segoe UI"/>
          <w:color w:val="231F20"/>
          <w:sz w:val="20"/>
          <w:szCs w:val="20"/>
        </w:rPr>
        <w:t>recurrent</w:t>
      </w:r>
      <w:r>
        <w:rPr>
          <w:rFonts w:ascii="Segoe UI" w:hAnsi="Segoe UI" w:cs="Segoe UI" w:eastAsia="Segoe UI"/>
          <w:color w:val="231F20"/>
          <w:spacing w:val="-7"/>
          <w:sz w:val="20"/>
          <w:szCs w:val="20"/>
        </w:rPr>
        <w:t> </w:t>
      </w:r>
      <w:r>
        <w:rPr>
          <w:rFonts w:ascii="Segoe UI" w:hAnsi="Segoe UI" w:cs="Segoe UI" w:eastAsia="Segoe UI"/>
          <w:color w:val="231F20"/>
          <w:spacing w:val="-1"/>
          <w:sz w:val="20"/>
          <w:szCs w:val="20"/>
        </w:rPr>
        <w:t>school</w:t>
      </w:r>
      <w:r>
        <w:rPr>
          <w:rFonts w:ascii="Segoe UI" w:hAnsi="Segoe UI" w:cs="Segoe UI" w:eastAsia="Segoe UI"/>
          <w:color w:val="231F20"/>
          <w:spacing w:val="-6"/>
          <w:sz w:val="20"/>
          <w:szCs w:val="20"/>
        </w:rPr>
        <w:t> </w:t>
      </w:r>
      <w:r>
        <w:rPr>
          <w:rFonts w:ascii="Segoe UI" w:hAnsi="Segoe UI" w:cs="Segoe UI" w:eastAsia="Segoe UI"/>
          <w:color w:val="231F20"/>
          <w:spacing w:val="-1"/>
          <w:sz w:val="20"/>
          <w:szCs w:val="20"/>
        </w:rPr>
        <w:t>funding—</w:t>
      </w:r>
      <w:r>
        <w:rPr>
          <w:rFonts w:ascii="Segoe UI" w:hAnsi="Segoe UI" w:cs="Segoe UI" w:eastAsia="Segoe UI"/>
          <w:i/>
          <w:color w:val="231F20"/>
          <w:spacing w:val="-1"/>
          <w:sz w:val="20"/>
          <w:szCs w:val="20"/>
        </w:rPr>
        <w:t>A</w:t>
      </w:r>
      <w:r>
        <w:rPr>
          <w:rFonts w:ascii="Segoe UI" w:hAnsi="Segoe UI" w:cs="Segoe UI" w:eastAsia="Segoe UI"/>
          <w:i/>
          <w:color w:val="231F20"/>
          <w:spacing w:val="30"/>
          <w:w w:val="99"/>
          <w:sz w:val="20"/>
          <w:szCs w:val="20"/>
        </w:rPr>
        <w:t> </w:t>
      </w:r>
      <w:r>
        <w:rPr>
          <w:rFonts w:ascii="Segoe UI" w:hAnsi="Segoe UI" w:cs="Segoe UI" w:eastAsia="Segoe UI"/>
          <w:i/>
          <w:color w:val="231F20"/>
          <w:sz w:val="20"/>
          <w:szCs w:val="20"/>
        </w:rPr>
        <w:t>guide</w:t>
      </w:r>
      <w:r>
        <w:rPr>
          <w:rFonts w:ascii="Segoe UI" w:hAnsi="Segoe UI" w:cs="Segoe UI" w:eastAsia="Segoe UI"/>
          <w:i/>
          <w:color w:val="231F20"/>
          <w:spacing w:val="-3"/>
          <w:sz w:val="20"/>
          <w:szCs w:val="20"/>
        </w:rPr>
        <w:t> </w:t>
      </w:r>
      <w:r>
        <w:rPr>
          <w:rFonts w:ascii="Segoe UI" w:hAnsi="Segoe UI" w:cs="Segoe UI" w:eastAsia="Segoe UI"/>
          <w:i/>
          <w:color w:val="231F20"/>
          <w:sz w:val="20"/>
          <w:szCs w:val="20"/>
        </w:rPr>
        <w:t>for</w:t>
      </w:r>
      <w:r>
        <w:rPr>
          <w:rFonts w:ascii="Segoe UI" w:hAnsi="Segoe UI" w:cs="Segoe UI" w:eastAsia="Segoe UI"/>
          <w:i/>
          <w:color w:val="231F20"/>
          <w:spacing w:val="-3"/>
          <w:sz w:val="20"/>
          <w:szCs w:val="20"/>
        </w:rPr>
        <w:t> </w:t>
      </w:r>
      <w:r>
        <w:rPr>
          <w:rFonts w:ascii="Segoe UI" w:hAnsi="Segoe UI" w:cs="Segoe UI" w:eastAsia="Segoe UI"/>
          <w:i/>
          <w:color w:val="231F20"/>
          <w:spacing w:val="-1"/>
          <w:sz w:val="20"/>
          <w:szCs w:val="20"/>
        </w:rPr>
        <w:t>approved</w:t>
      </w:r>
      <w:r>
        <w:rPr>
          <w:rFonts w:ascii="Segoe UI" w:hAnsi="Segoe UI" w:cs="Segoe UI" w:eastAsia="Segoe UI"/>
          <w:i/>
          <w:color w:val="231F20"/>
          <w:spacing w:val="-3"/>
          <w:sz w:val="20"/>
          <w:szCs w:val="20"/>
        </w:rPr>
        <w:t> </w:t>
      </w:r>
      <w:r>
        <w:rPr>
          <w:rFonts w:ascii="Segoe UI" w:hAnsi="Segoe UI" w:cs="Segoe UI" w:eastAsia="Segoe UI"/>
          <w:i/>
          <w:color w:val="231F20"/>
          <w:sz w:val="20"/>
          <w:szCs w:val="20"/>
        </w:rPr>
        <w:t>authorities</w:t>
      </w:r>
      <w:r>
        <w:rPr>
          <w:rFonts w:ascii="Segoe UI" w:hAnsi="Segoe UI" w:cs="Segoe UI" w:eastAsia="Segoe UI"/>
          <w:i/>
          <w:color w:val="231F20"/>
          <w:spacing w:val="-3"/>
          <w:sz w:val="20"/>
          <w:szCs w:val="20"/>
        </w:rPr>
        <w:t> </w:t>
      </w:r>
      <w:r>
        <w:rPr>
          <w:rFonts w:ascii="Segoe UI" w:hAnsi="Segoe UI" w:cs="Segoe UI" w:eastAsia="Segoe UI"/>
          <w:i/>
          <w:color w:val="231F20"/>
          <w:spacing w:val="-1"/>
          <w:sz w:val="20"/>
          <w:szCs w:val="20"/>
        </w:rPr>
        <w:t>on</w:t>
      </w:r>
      <w:r>
        <w:rPr>
          <w:rFonts w:ascii="Segoe UI" w:hAnsi="Segoe UI" w:cs="Segoe UI" w:eastAsia="Segoe UI"/>
          <w:i/>
          <w:color w:val="231F20"/>
          <w:spacing w:val="-3"/>
          <w:sz w:val="20"/>
          <w:szCs w:val="20"/>
        </w:rPr>
        <w:t> </w:t>
      </w:r>
      <w:r>
        <w:rPr>
          <w:rFonts w:ascii="Segoe UI" w:hAnsi="Segoe UI" w:cs="Segoe UI" w:eastAsia="Segoe UI"/>
          <w:i/>
          <w:color w:val="231F20"/>
          <w:spacing w:val="-1"/>
          <w:sz w:val="20"/>
          <w:szCs w:val="20"/>
        </w:rPr>
        <w:t>the</w:t>
      </w:r>
      <w:r>
        <w:rPr>
          <w:rFonts w:ascii="Segoe UI" w:hAnsi="Segoe UI" w:cs="Segoe UI" w:eastAsia="Segoe UI"/>
          <w:i/>
          <w:color w:val="231F20"/>
          <w:spacing w:val="-2"/>
          <w:sz w:val="20"/>
          <w:szCs w:val="20"/>
        </w:rPr>
        <w:t> </w:t>
      </w:r>
      <w:r>
        <w:rPr>
          <w:rFonts w:ascii="Segoe UI" w:hAnsi="Segoe UI" w:cs="Segoe UI" w:eastAsia="Segoe UI"/>
          <w:i/>
          <w:color w:val="231F20"/>
          <w:spacing w:val="-1"/>
          <w:sz w:val="20"/>
          <w:szCs w:val="20"/>
        </w:rPr>
        <w:t>use</w:t>
      </w:r>
      <w:r>
        <w:rPr>
          <w:rFonts w:ascii="Segoe UI" w:hAnsi="Segoe UI" w:cs="Segoe UI" w:eastAsia="Segoe UI"/>
          <w:i/>
          <w:color w:val="231F20"/>
          <w:spacing w:val="-2"/>
          <w:sz w:val="20"/>
          <w:szCs w:val="20"/>
        </w:rPr>
        <w:t> of</w:t>
      </w:r>
      <w:r>
        <w:rPr>
          <w:rFonts w:ascii="Segoe UI" w:hAnsi="Segoe UI" w:cs="Segoe UI" w:eastAsia="Segoe UI"/>
          <w:i/>
          <w:color w:val="231F20"/>
          <w:spacing w:val="25"/>
          <w:w w:val="99"/>
          <w:sz w:val="20"/>
          <w:szCs w:val="20"/>
        </w:rPr>
        <w:t> </w:t>
      </w:r>
      <w:r>
        <w:rPr>
          <w:rFonts w:ascii="Segoe UI" w:hAnsi="Segoe UI" w:cs="Segoe UI" w:eastAsia="Segoe UI"/>
          <w:i/>
          <w:color w:val="231F20"/>
          <w:sz w:val="20"/>
          <w:szCs w:val="20"/>
        </w:rPr>
        <w:t>recurrent</w:t>
      </w:r>
      <w:r>
        <w:rPr>
          <w:rFonts w:ascii="Segoe UI" w:hAnsi="Segoe UI" w:cs="Segoe UI" w:eastAsia="Segoe UI"/>
          <w:i/>
          <w:color w:val="231F20"/>
          <w:spacing w:val="-5"/>
          <w:sz w:val="20"/>
          <w:szCs w:val="20"/>
        </w:rPr>
        <w:t> </w:t>
      </w:r>
      <w:r>
        <w:rPr>
          <w:rFonts w:ascii="Segoe UI" w:hAnsi="Segoe UI" w:cs="Segoe UI" w:eastAsia="Segoe UI"/>
          <w:i/>
          <w:color w:val="231F20"/>
          <w:spacing w:val="-1"/>
          <w:sz w:val="20"/>
          <w:szCs w:val="20"/>
        </w:rPr>
        <w:t>funding</w:t>
      </w:r>
      <w:r>
        <w:rPr>
          <w:rFonts w:ascii="Segoe UI" w:hAnsi="Segoe UI" w:cs="Segoe UI" w:eastAsia="Segoe UI"/>
          <w:i/>
          <w:color w:val="231F20"/>
          <w:spacing w:val="-4"/>
          <w:sz w:val="20"/>
          <w:szCs w:val="20"/>
        </w:rPr>
        <w:t> </w:t>
      </w:r>
      <w:r>
        <w:rPr>
          <w:rFonts w:ascii="Segoe UI" w:hAnsi="Segoe UI" w:cs="Segoe UI" w:eastAsia="Segoe UI"/>
          <w:i/>
          <w:color w:val="231F20"/>
          <w:spacing w:val="-1"/>
          <w:sz w:val="20"/>
          <w:szCs w:val="20"/>
        </w:rPr>
        <w:t>Australian</w:t>
      </w:r>
      <w:r>
        <w:rPr>
          <w:rFonts w:ascii="Segoe UI" w:hAnsi="Segoe UI" w:cs="Segoe UI" w:eastAsia="Segoe UI"/>
          <w:i/>
          <w:color w:val="231F20"/>
          <w:spacing w:val="-5"/>
          <w:sz w:val="20"/>
          <w:szCs w:val="20"/>
        </w:rPr>
        <w:t> </w:t>
      </w:r>
      <w:r>
        <w:rPr>
          <w:rFonts w:ascii="Segoe UI" w:hAnsi="Segoe UI" w:cs="Segoe UI" w:eastAsia="Segoe UI"/>
          <w:i/>
          <w:color w:val="231F20"/>
          <w:sz w:val="20"/>
          <w:szCs w:val="20"/>
        </w:rPr>
        <w:t>Education</w:t>
      </w:r>
      <w:r>
        <w:rPr>
          <w:rFonts w:ascii="Segoe UI" w:hAnsi="Segoe UI" w:cs="Segoe UI" w:eastAsia="Segoe UI"/>
          <w:i/>
          <w:color w:val="231F20"/>
          <w:spacing w:val="-4"/>
          <w:sz w:val="20"/>
          <w:szCs w:val="20"/>
        </w:rPr>
        <w:t> </w:t>
      </w:r>
      <w:r>
        <w:rPr>
          <w:rFonts w:ascii="Segoe UI" w:hAnsi="Segoe UI" w:cs="Segoe UI" w:eastAsia="Segoe UI"/>
          <w:i/>
          <w:color w:val="231F20"/>
          <w:sz w:val="20"/>
          <w:szCs w:val="20"/>
        </w:rPr>
        <w:t>Act</w:t>
      </w:r>
      <w:r>
        <w:rPr>
          <w:rFonts w:ascii="Segoe UI" w:hAnsi="Segoe UI" w:cs="Segoe UI" w:eastAsia="Segoe UI"/>
          <w:i/>
          <w:color w:val="231F20"/>
          <w:spacing w:val="21"/>
          <w:sz w:val="20"/>
          <w:szCs w:val="20"/>
        </w:rPr>
        <w:t> </w:t>
      </w:r>
      <w:r>
        <w:rPr>
          <w:rFonts w:ascii="Segoe UI" w:hAnsi="Segoe UI" w:cs="Segoe UI" w:eastAsia="Segoe UI"/>
          <w:i/>
          <w:color w:val="231F20"/>
          <w:spacing w:val="-1"/>
          <w:sz w:val="20"/>
          <w:szCs w:val="20"/>
        </w:rPr>
        <w:t>2013</w:t>
      </w:r>
      <w:r>
        <w:rPr>
          <w:rFonts w:ascii="Segoe UI" w:hAnsi="Segoe UI" w:cs="Segoe UI" w:eastAsia="Segoe UI"/>
          <w:color w:val="231F20"/>
          <w:spacing w:val="-1"/>
          <w:sz w:val="20"/>
          <w:szCs w:val="20"/>
        </w:rPr>
        <w:t>.</w:t>
      </w:r>
      <w:r>
        <w:rPr>
          <w:rFonts w:ascii="Segoe UI Semibold" w:hAnsi="Segoe UI Semibold" w:cs="Segoe UI Semibold" w:eastAsia="Segoe UI Semibold"/>
          <w:b/>
          <w:bCs/>
          <w:color w:val="231F20"/>
          <w:spacing w:val="-1"/>
          <w:position w:val="7"/>
          <w:sz w:val="11"/>
          <w:szCs w:val="11"/>
        </w:rPr>
        <w:t>132</w:t>
      </w:r>
      <w:r>
        <w:rPr>
          <w:rFonts w:ascii="Segoe UI Semibold" w:hAnsi="Segoe UI Semibold" w:cs="Segoe UI Semibold" w:eastAsia="Segoe UI Semibold"/>
          <w:sz w:val="11"/>
          <w:szCs w:val="11"/>
        </w:rPr>
      </w:r>
    </w:p>
    <w:p>
      <w:pPr>
        <w:pStyle w:val="Heading6"/>
        <w:spacing w:line="240" w:lineRule="auto" w:before="97"/>
        <w:ind w:left="570" w:right="0"/>
        <w:jc w:val="left"/>
        <w:rPr>
          <w:b w:val="0"/>
          <w:bCs w:val="0"/>
        </w:rPr>
      </w:pPr>
      <w:r>
        <w:rPr>
          <w:color w:val="00779B"/>
        </w:rPr>
        <w:t>School</w:t>
      </w:r>
      <w:r>
        <w:rPr>
          <w:color w:val="00779B"/>
          <w:spacing w:val="-1"/>
        </w:rPr>
        <w:t> </w:t>
      </w:r>
      <w:r>
        <w:rPr>
          <w:color w:val="00779B"/>
        </w:rPr>
        <w:t>education</w:t>
      </w:r>
      <w:r>
        <w:rPr>
          <w:b w:val="0"/>
        </w:rPr>
      </w:r>
    </w:p>
    <w:p>
      <w:pPr>
        <w:pStyle w:val="BodyText"/>
        <w:spacing w:line="258" w:lineRule="exact" w:before="97"/>
        <w:ind w:left="570" w:right="0"/>
        <w:jc w:val="left"/>
        <w:rPr>
          <w:rFonts w:ascii="Segoe UI Semibold" w:hAnsi="Segoe UI Semibold" w:cs="Segoe UI Semibold" w:eastAsia="Segoe UI Semibold"/>
        </w:rPr>
      </w:pPr>
      <w:r>
        <w:rPr>
          <w:rFonts w:ascii="Segoe UI Semibold"/>
          <w:b/>
          <w:color w:val="00779B"/>
          <w:spacing w:val="-2"/>
        </w:rPr>
        <w:t>Recurrent</w:t>
      </w:r>
      <w:r>
        <w:rPr>
          <w:rFonts w:ascii="Segoe UI Semibold"/>
          <w:b/>
          <w:color w:val="00779B"/>
          <w:spacing w:val="-1"/>
        </w:rPr>
        <w:t> </w:t>
      </w:r>
      <w:r>
        <w:rPr>
          <w:rFonts w:ascii="Segoe UI Semibold"/>
          <w:b/>
          <w:color w:val="00779B"/>
        </w:rPr>
        <w:t>funding</w:t>
      </w:r>
      <w:r>
        <w:rPr>
          <w:rFonts w:ascii="Segoe UI Semibold"/>
          <w:b/>
          <w:color w:val="00779B"/>
          <w:spacing w:val="-2"/>
        </w:rPr>
        <w:t> </w:t>
      </w:r>
      <w:r>
        <w:rPr>
          <w:rFonts w:ascii="Segoe UI Semibold"/>
          <w:b/>
          <w:color w:val="00779B"/>
        </w:rPr>
        <w:t>must</w:t>
      </w:r>
      <w:r>
        <w:rPr>
          <w:rFonts w:ascii="Segoe UI Semibold"/>
          <w:b/>
          <w:color w:val="00779B"/>
          <w:spacing w:val="-2"/>
        </w:rPr>
        <w:t> </w:t>
      </w:r>
      <w:r>
        <w:rPr>
          <w:rFonts w:ascii="Segoe UI Semibold"/>
          <w:b/>
          <w:color w:val="00779B"/>
        </w:rPr>
        <w:t>be</w:t>
      </w:r>
      <w:r>
        <w:rPr>
          <w:rFonts w:ascii="Segoe UI Semibold"/>
          <w:b/>
          <w:color w:val="00779B"/>
          <w:spacing w:val="-2"/>
        </w:rPr>
        <w:t> </w:t>
      </w:r>
      <w:r>
        <w:rPr>
          <w:rFonts w:ascii="Segoe UI Semibold"/>
          <w:b/>
          <w:color w:val="00779B"/>
          <w:spacing w:val="-1"/>
        </w:rPr>
        <w:t>used</w:t>
      </w:r>
      <w:r>
        <w:rPr>
          <w:rFonts w:ascii="Segoe UI Semibold"/>
        </w:rPr>
      </w:r>
    </w:p>
    <w:p>
      <w:pPr>
        <w:pStyle w:val="BodyText"/>
        <w:spacing w:line="250" w:lineRule="exact" w:before="8"/>
        <w:ind w:left="570" w:right="407"/>
        <w:jc w:val="left"/>
        <w:rPr>
          <w:rFonts w:ascii="Segoe UI Semibold" w:hAnsi="Segoe UI Semibold" w:cs="Segoe UI Semibold" w:eastAsia="Segoe UI Semibold"/>
        </w:rPr>
      </w:pPr>
      <w:r>
        <w:rPr>
          <w:rFonts w:ascii="Segoe UI Semibold" w:hAnsi="Segoe UI Semibold" w:cs="Segoe UI Semibold" w:eastAsia="Segoe UI Semibold"/>
          <w:b/>
          <w:bCs/>
          <w:color w:val="00779B"/>
        </w:rPr>
        <w:t>for</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the </w:t>
      </w:r>
      <w:r>
        <w:rPr>
          <w:rFonts w:ascii="Segoe UI Semibold" w:hAnsi="Segoe UI Semibold" w:cs="Segoe UI Semibold" w:eastAsia="Segoe UI Semibold"/>
          <w:b/>
          <w:bCs/>
          <w:color w:val="00779B"/>
        </w:rPr>
        <w:t>purpose</w:t>
      </w:r>
      <w:r>
        <w:rPr>
          <w:rFonts w:ascii="Segoe UI Semibold" w:hAnsi="Segoe UI Semibold" w:cs="Segoe UI Semibold" w:eastAsia="Segoe UI Semibold"/>
          <w:b/>
          <w:bCs/>
          <w:color w:val="00779B"/>
          <w:spacing w:val="-2"/>
        </w:rPr>
        <w:t> of</w:t>
      </w:r>
      <w:r>
        <w:rPr>
          <w:rFonts w:ascii="Segoe UI Semibold" w:hAnsi="Segoe UI Semibold" w:cs="Segoe UI Semibold" w:eastAsia="Segoe UI Semibold"/>
          <w:b/>
          <w:bCs/>
          <w:color w:val="00779B"/>
          <w:spacing w:val="-1"/>
        </w:rPr>
        <w:t> providing</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u w:val="single" w:color="00779B"/>
        </w:rPr>
        <w:t>school</w:t>
      </w:r>
      <w:r>
        <w:rPr>
          <w:rFonts w:ascii="Segoe UI Semibold" w:hAnsi="Segoe UI Semibold" w:cs="Segoe UI Semibold" w:eastAsia="Segoe UI Semibold"/>
          <w:b/>
          <w:bCs/>
          <w:color w:val="00779B"/>
          <w:w w:val="99"/>
          <w:u w:val="single" w:color="00779B"/>
        </w:rPr>
        <w:t> </w:t>
      </w:r>
      <w:r>
        <w:rPr>
          <w:rFonts w:ascii="Segoe UI Semibold" w:hAnsi="Segoe UI Semibold" w:cs="Segoe UI Semibold" w:eastAsia="Segoe UI Semibold"/>
          <w:b/>
          <w:bCs/>
          <w:color w:val="00779B"/>
          <w:w w:val="99"/>
        </w:rPr>
      </w:r>
      <w:r>
        <w:rPr>
          <w:rFonts w:ascii="Segoe UI Semibold" w:hAnsi="Segoe UI Semibold" w:cs="Segoe UI Semibold" w:eastAsia="Segoe UI Semibold"/>
          <w:b/>
          <w:bCs/>
          <w:color w:val="00779B"/>
          <w:w w:val="99"/>
        </w:rPr>
        <w:t> </w:t>
      </w:r>
      <w:r>
        <w:rPr>
          <w:rFonts w:ascii="Segoe UI Semibold" w:hAnsi="Segoe UI Semibold" w:cs="Segoe UI Semibold" w:eastAsia="Segoe UI Semibold"/>
          <w:b/>
          <w:bCs/>
          <w:color w:val="00779B"/>
        </w:rPr>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u w:val="single" w:color="00779B"/>
        </w:rPr>
        <w:t>education</w:t>
      </w:r>
      <w:r>
        <w:rPr>
          <w:rFonts w:ascii="Segoe UI Semibold" w:hAnsi="Segoe UI Semibold" w:cs="Segoe UI Semibold" w:eastAsia="Segoe UI Semibold"/>
          <w:b/>
          <w:bCs/>
          <w:color w:val="00779B"/>
          <w:spacing w:val="-6"/>
          <w:u w:val="single" w:color="00779B"/>
        </w:rPr>
        <w:t> </w:t>
      </w:r>
      <w:r>
        <w:rPr>
          <w:rFonts w:ascii="Segoe UI Semibold" w:hAnsi="Segoe UI Semibold" w:cs="Segoe UI Semibold" w:eastAsia="Segoe UI Semibold"/>
          <w:b/>
          <w:bCs/>
          <w:color w:val="00779B"/>
          <w:spacing w:val="-6"/>
        </w:rPr>
      </w:r>
      <w:r>
        <w:rPr>
          <w:rFonts w:ascii="Segoe UI Semibold" w:hAnsi="Segoe UI Semibold" w:cs="Segoe UI Semibold" w:eastAsia="Segoe UI Semibold"/>
          <w:b/>
          <w:bCs/>
          <w:color w:val="00779B"/>
        </w:rPr>
        <w:t>(emphasis</w:t>
      </w:r>
      <w:r>
        <w:rPr>
          <w:rFonts w:ascii="Segoe UI Semibold" w:hAnsi="Segoe UI Semibold" w:cs="Segoe UI Semibold" w:eastAsia="Segoe UI Semibold"/>
          <w:b/>
          <w:bCs/>
          <w:color w:val="00779B"/>
          <w:spacing w:val="-7"/>
        </w:rPr>
        <w:t> </w:t>
      </w:r>
      <w:r>
        <w:rPr>
          <w:rFonts w:ascii="Segoe UI Semibold" w:hAnsi="Segoe UI Semibold" w:cs="Segoe UI Semibold" w:eastAsia="Segoe UI Semibold"/>
          <w:b/>
          <w:bCs/>
          <w:color w:val="00779B"/>
        </w:rPr>
        <w:t>added)—that</w:t>
      </w:r>
      <w:r>
        <w:rPr>
          <w:rFonts w:ascii="Segoe UI Semibold" w:hAnsi="Segoe UI Semibold" w:cs="Segoe UI Semibold" w:eastAsia="Segoe UI Semibold"/>
          <w:b/>
          <w:bCs/>
          <w:color w:val="00779B"/>
          <w:spacing w:val="22"/>
          <w:w w:val="99"/>
        </w:rPr>
        <w:t> </w:t>
      </w:r>
      <w:r>
        <w:rPr>
          <w:rFonts w:ascii="Segoe UI Semibold" w:hAnsi="Segoe UI Semibold" w:cs="Segoe UI Semibold" w:eastAsia="Segoe UI Semibold"/>
          <w:b/>
          <w:bCs/>
          <w:color w:val="00779B"/>
          <w:spacing w:val="-1"/>
        </w:rPr>
        <w:t>is,</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primary</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education</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or</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secondary</w:t>
      </w:r>
      <w:r>
        <w:rPr>
          <w:rFonts w:ascii="Segoe UI Semibold" w:hAnsi="Segoe UI Semibold" w:cs="Segoe UI Semibold" w:eastAsia="Segoe UI Semibold"/>
          <w:b/>
          <w:bCs/>
          <w:color w:val="00779B"/>
          <w:spacing w:val="25"/>
        </w:rPr>
        <w:t> </w:t>
      </w:r>
      <w:r>
        <w:rPr>
          <w:rFonts w:ascii="Segoe UI Semibold" w:hAnsi="Segoe UI Semibold" w:cs="Segoe UI Semibold" w:eastAsia="Segoe UI Semibold"/>
          <w:b/>
          <w:bCs/>
          <w:color w:val="00779B"/>
        </w:rPr>
        <w:t>education—as</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rPr>
        <w:t>defined</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in</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section</w:t>
      </w:r>
      <w:r>
        <w:rPr>
          <w:rFonts w:ascii="Segoe UI Semibold" w:hAnsi="Segoe UI Semibold" w:cs="Segoe UI Semibold" w:eastAsia="Segoe UI Semibold"/>
        </w:rPr>
      </w:r>
    </w:p>
    <w:p>
      <w:pPr>
        <w:pStyle w:val="BodyText"/>
        <w:spacing w:line="250" w:lineRule="exact"/>
        <w:ind w:left="570" w:right="305"/>
        <w:jc w:val="left"/>
        <w:rPr>
          <w:rFonts w:ascii="Segoe UI Semibold" w:hAnsi="Segoe UI Semibold" w:cs="Segoe UI Semibold" w:eastAsia="Segoe UI Semibold"/>
        </w:rPr>
      </w:pPr>
      <w:r>
        <w:rPr>
          <w:rFonts w:ascii="Segoe UI Semibold"/>
          <w:b/>
          <w:color w:val="00779B"/>
          <w:spacing w:val="-1"/>
        </w:rPr>
        <w:t>15 </w:t>
      </w:r>
      <w:r>
        <w:rPr>
          <w:rFonts w:ascii="Segoe UI Semibold"/>
          <w:b/>
          <w:color w:val="00779B"/>
          <w:spacing w:val="-2"/>
        </w:rPr>
        <w:t>of</w:t>
      </w:r>
      <w:r>
        <w:rPr>
          <w:rFonts w:ascii="Segoe UI Semibold"/>
          <w:b/>
          <w:color w:val="00779B"/>
          <w:spacing w:val="-1"/>
        </w:rPr>
        <w:t> the</w:t>
      </w:r>
      <w:r>
        <w:rPr>
          <w:rFonts w:ascii="Segoe UI Semibold"/>
          <w:b/>
          <w:color w:val="00779B"/>
        </w:rPr>
        <w:t> </w:t>
      </w:r>
      <w:r>
        <w:rPr>
          <w:rFonts w:ascii="Segoe UI Semibold"/>
          <w:b/>
          <w:color w:val="00779B"/>
          <w:spacing w:val="-1"/>
        </w:rPr>
        <w:t>Act. </w:t>
      </w:r>
      <w:r>
        <w:rPr>
          <w:rFonts w:ascii="Segoe UI Semibold"/>
          <w:b/>
          <w:color w:val="00779B"/>
        </w:rPr>
        <w:t>It</w:t>
      </w:r>
      <w:r>
        <w:rPr>
          <w:rFonts w:ascii="Segoe UI Semibold"/>
          <w:b/>
          <w:color w:val="00779B"/>
          <w:spacing w:val="-1"/>
        </w:rPr>
        <w:t> cannot </w:t>
      </w:r>
      <w:r>
        <w:rPr>
          <w:rFonts w:ascii="Segoe UI Semibold"/>
          <w:b/>
          <w:color w:val="00779B"/>
        </w:rPr>
        <w:t>be</w:t>
      </w:r>
      <w:r>
        <w:rPr>
          <w:rFonts w:ascii="Segoe UI Semibold"/>
          <w:b/>
          <w:color w:val="00779B"/>
          <w:spacing w:val="-1"/>
        </w:rPr>
        <w:t> used </w:t>
      </w:r>
      <w:r>
        <w:rPr>
          <w:rFonts w:ascii="Segoe UI Semibold"/>
          <w:b/>
          <w:color w:val="00779B"/>
        </w:rPr>
        <w:t>for</w:t>
      </w:r>
      <w:r>
        <w:rPr>
          <w:rFonts w:ascii="Segoe UI Semibold"/>
          <w:b/>
          <w:color w:val="00779B"/>
          <w:spacing w:val="26"/>
        </w:rPr>
        <w:t> </w:t>
      </w:r>
      <w:r>
        <w:rPr>
          <w:rFonts w:ascii="Segoe UI Semibold"/>
          <w:b/>
          <w:color w:val="00779B"/>
          <w:spacing w:val="-1"/>
        </w:rPr>
        <w:t>the</w:t>
      </w:r>
      <w:r>
        <w:rPr>
          <w:rFonts w:ascii="Segoe UI Semibold"/>
          <w:b/>
          <w:color w:val="00779B"/>
          <w:spacing w:val="-2"/>
        </w:rPr>
        <w:t> </w:t>
      </w:r>
      <w:r>
        <w:rPr>
          <w:rFonts w:ascii="Segoe UI Semibold"/>
          <w:b/>
          <w:color w:val="00779B"/>
        </w:rPr>
        <w:t>purpose</w:t>
      </w:r>
      <w:r>
        <w:rPr>
          <w:rFonts w:ascii="Segoe UI Semibold"/>
          <w:b/>
          <w:color w:val="00779B"/>
          <w:spacing w:val="-3"/>
        </w:rPr>
        <w:t> </w:t>
      </w:r>
      <w:r>
        <w:rPr>
          <w:rFonts w:ascii="Segoe UI Semibold"/>
          <w:b/>
          <w:color w:val="00779B"/>
          <w:spacing w:val="-2"/>
        </w:rPr>
        <w:t>of</w:t>
      </w:r>
      <w:r>
        <w:rPr>
          <w:rFonts w:ascii="Segoe UI Semibold"/>
          <w:b/>
          <w:color w:val="00779B"/>
          <w:spacing w:val="-1"/>
        </w:rPr>
        <w:t> providing pre-school</w:t>
      </w:r>
      <w:r>
        <w:rPr>
          <w:rFonts w:ascii="Segoe UI Semibold"/>
          <w:b/>
          <w:color w:val="00779B"/>
          <w:spacing w:val="22"/>
        </w:rPr>
        <w:t> </w:t>
      </w:r>
      <w:r>
        <w:rPr>
          <w:rFonts w:ascii="Segoe UI Semibold"/>
          <w:b/>
          <w:color w:val="00779B"/>
          <w:spacing w:val="-1"/>
        </w:rPr>
        <w:t>education</w:t>
      </w:r>
      <w:r>
        <w:rPr>
          <w:rFonts w:ascii="Segoe UI Semibold"/>
          <w:b/>
          <w:color w:val="00779B"/>
          <w:spacing w:val="-2"/>
        </w:rPr>
        <w:t> </w:t>
      </w:r>
      <w:r>
        <w:rPr>
          <w:rFonts w:ascii="Segoe UI Semibold"/>
          <w:b/>
          <w:color w:val="00779B"/>
          <w:spacing w:val="-1"/>
        </w:rPr>
        <w:t>or</w:t>
      </w:r>
      <w:r>
        <w:rPr>
          <w:rFonts w:ascii="Segoe UI Semibold"/>
          <w:b/>
          <w:color w:val="00779B"/>
          <w:spacing w:val="-2"/>
        </w:rPr>
        <w:t> </w:t>
      </w:r>
      <w:r>
        <w:rPr>
          <w:rFonts w:ascii="Segoe UI Semibold"/>
          <w:b/>
          <w:color w:val="00779B"/>
          <w:spacing w:val="-1"/>
        </w:rPr>
        <w:t>programs,</w:t>
      </w:r>
      <w:r>
        <w:rPr>
          <w:rFonts w:ascii="Segoe UI Semibold"/>
          <w:b/>
          <w:color w:val="00779B"/>
          <w:spacing w:val="-2"/>
        </w:rPr>
        <w:t> </w:t>
      </w:r>
      <w:r>
        <w:rPr>
          <w:rFonts w:ascii="Segoe UI Semibold"/>
          <w:b/>
          <w:color w:val="00779B"/>
          <w:spacing w:val="-1"/>
        </w:rPr>
        <w:t>nor</w:t>
      </w:r>
      <w:r>
        <w:rPr>
          <w:rFonts w:ascii="Segoe UI Semibold"/>
          <w:b/>
          <w:color w:val="00779B"/>
          <w:spacing w:val="-2"/>
        </w:rPr>
        <w:t> </w:t>
      </w:r>
      <w:r>
        <w:rPr>
          <w:rFonts w:ascii="Segoe UI Semibold"/>
          <w:b/>
          <w:color w:val="00779B"/>
        </w:rPr>
        <w:t>for</w:t>
      </w:r>
      <w:r>
        <w:rPr>
          <w:rFonts w:ascii="Segoe UI Semibold"/>
          <w:b/>
          <w:color w:val="00779B"/>
          <w:spacing w:val="-3"/>
        </w:rPr>
        <w:t> </w:t>
      </w:r>
      <w:r>
        <w:rPr>
          <w:rFonts w:ascii="Segoe UI Semibold"/>
          <w:b/>
          <w:color w:val="00779B"/>
          <w:spacing w:val="-1"/>
        </w:rPr>
        <w:t>early</w:t>
      </w:r>
      <w:r>
        <w:rPr>
          <w:rFonts w:ascii="Segoe UI Semibold"/>
          <w:b/>
          <w:color w:val="00779B"/>
          <w:spacing w:val="24"/>
        </w:rPr>
        <w:t> </w:t>
      </w:r>
      <w:r>
        <w:rPr>
          <w:rFonts w:ascii="Segoe UI Semibold"/>
          <w:b/>
          <w:color w:val="00779B"/>
          <w:spacing w:val="-1"/>
        </w:rPr>
        <w:t>childhood</w:t>
      </w:r>
      <w:r>
        <w:rPr>
          <w:rFonts w:ascii="Segoe UI Semibold"/>
          <w:b/>
          <w:color w:val="00779B"/>
          <w:spacing w:val="-2"/>
        </w:rPr>
        <w:t> </w:t>
      </w:r>
      <w:r>
        <w:rPr>
          <w:rFonts w:ascii="Segoe UI Semibold"/>
          <w:b/>
          <w:color w:val="00779B"/>
          <w:spacing w:val="-1"/>
        </w:rPr>
        <w:t>education </w:t>
      </w:r>
      <w:r>
        <w:rPr>
          <w:rFonts w:ascii="Segoe UI Semibold"/>
          <w:b/>
          <w:color w:val="00779B"/>
        </w:rPr>
        <w:t>and</w:t>
      </w:r>
      <w:r>
        <w:rPr>
          <w:rFonts w:ascii="Segoe UI Semibold"/>
          <w:b/>
          <w:color w:val="00779B"/>
          <w:spacing w:val="-2"/>
        </w:rPr>
        <w:t> </w:t>
      </w:r>
      <w:r>
        <w:rPr>
          <w:rFonts w:ascii="Segoe UI Semibold"/>
          <w:b/>
          <w:color w:val="00779B"/>
          <w:spacing w:val="-1"/>
        </w:rPr>
        <w:t>care, before</w:t>
      </w:r>
      <w:r>
        <w:rPr>
          <w:rFonts w:ascii="Segoe UI Semibold"/>
          <w:b/>
          <w:color w:val="00779B"/>
          <w:spacing w:val="26"/>
        </w:rPr>
        <w:t> </w:t>
      </w:r>
      <w:r>
        <w:rPr>
          <w:rFonts w:ascii="Segoe UI Semibold"/>
          <w:b/>
          <w:color w:val="00779B"/>
        </w:rPr>
        <w:t>and</w:t>
      </w:r>
      <w:r>
        <w:rPr>
          <w:rFonts w:ascii="Segoe UI Semibold"/>
          <w:b/>
          <w:color w:val="00779B"/>
          <w:spacing w:val="-2"/>
        </w:rPr>
        <w:t> </w:t>
      </w:r>
      <w:r>
        <w:rPr>
          <w:rFonts w:ascii="Segoe UI Semibold"/>
          <w:b/>
          <w:color w:val="00779B"/>
          <w:spacing w:val="-1"/>
        </w:rPr>
        <w:t>after-school care</w:t>
      </w:r>
      <w:r>
        <w:rPr>
          <w:rFonts w:ascii="Segoe UI Semibold"/>
          <w:b/>
          <w:color w:val="00779B"/>
          <w:spacing w:val="-2"/>
        </w:rPr>
        <w:t> </w:t>
      </w:r>
      <w:r>
        <w:rPr>
          <w:rFonts w:ascii="Segoe UI Semibold"/>
          <w:b/>
          <w:color w:val="00779B"/>
          <w:spacing w:val="-1"/>
        </w:rPr>
        <w:t>or</w:t>
      </w:r>
      <w:r>
        <w:rPr>
          <w:rFonts w:ascii="Segoe UI Semibold"/>
          <w:b/>
          <w:color w:val="00779B"/>
        </w:rPr>
        <w:t> </w:t>
      </w:r>
      <w:r>
        <w:rPr>
          <w:rFonts w:ascii="Segoe UI Semibold"/>
          <w:b/>
          <w:color w:val="00779B"/>
          <w:spacing w:val="-1"/>
        </w:rPr>
        <w:t>vacation</w:t>
      </w:r>
      <w:r>
        <w:rPr>
          <w:rFonts w:ascii="Segoe UI Semibold"/>
          <w:b/>
          <w:color w:val="00779B"/>
          <w:spacing w:val="26"/>
        </w:rPr>
        <w:t> </w:t>
      </w:r>
      <w:r>
        <w:rPr>
          <w:rFonts w:ascii="Segoe UI Semibold"/>
          <w:b/>
          <w:color w:val="00779B"/>
          <w:spacing w:val="-1"/>
        </w:rPr>
        <w:t>care,</w:t>
      </w:r>
      <w:r>
        <w:rPr>
          <w:rFonts w:ascii="Segoe UI Semibold"/>
          <w:b/>
          <w:color w:val="00779B"/>
        </w:rPr>
        <w:t> </w:t>
      </w:r>
      <w:r>
        <w:rPr>
          <w:rFonts w:ascii="Segoe UI Semibold"/>
          <w:b/>
          <w:color w:val="00779B"/>
          <w:spacing w:val="-1"/>
        </w:rPr>
        <w:t>nor</w:t>
      </w:r>
      <w:r>
        <w:rPr>
          <w:rFonts w:ascii="Segoe UI Semibold"/>
          <w:b/>
          <w:color w:val="00779B"/>
        </w:rPr>
        <w:t> </w:t>
      </w:r>
      <w:r>
        <w:rPr>
          <w:rFonts w:ascii="Segoe UI Semibold"/>
          <w:b/>
          <w:color w:val="00779B"/>
          <w:spacing w:val="-1"/>
        </w:rPr>
        <w:t>vocational</w:t>
      </w:r>
      <w:r>
        <w:rPr>
          <w:rFonts w:ascii="Segoe UI Semibold"/>
          <w:b/>
          <w:color w:val="00779B"/>
        </w:rPr>
        <w:t> </w:t>
      </w:r>
      <w:r>
        <w:rPr>
          <w:rFonts w:ascii="Segoe UI Semibold"/>
          <w:b/>
          <w:color w:val="00779B"/>
          <w:spacing w:val="-1"/>
        </w:rPr>
        <w:t>education</w:t>
      </w:r>
      <w:r>
        <w:rPr>
          <w:rFonts w:ascii="Segoe UI Semibold"/>
          <w:b/>
          <w:color w:val="00779B"/>
        </w:rPr>
        <w:t> and</w:t>
      </w:r>
      <w:r>
        <w:rPr>
          <w:rFonts w:ascii="Segoe UI Semibold"/>
        </w:rPr>
      </w:r>
    </w:p>
    <w:p>
      <w:pPr>
        <w:pStyle w:val="BodyText"/>
        <w:spacing w:line="250" w:lineRule="exact"/>
        <w:ind w:left="570" w:right="0"/>
        <w:jc w:val="left"/>
        <w:rPr>
          <w:rFonts w:ascii="Segoe UI Semibold" w:hAnsi="Segoe UI Semibold" w:cs="Segoe UI Semibold" w:eastAsia="Segoe UI Semibold"/>
        </w:rPr>
      </w:pPr>
      <w:r>
        <w:rPr>
          <w:rFonts w:ascii="Segoe UI Semibold"/>
          <w:b/>
          <w:color w:val="00779B"/>
          <w:spacing w:val="-1"/>
        </w:rPr>
        <w:t>training that</w:t>
      </w:r>
      <w:r>
        <w:rPr>
          <w:rFonts w:ascii="Segoe UI Semibold"/>
          <w:b/>
          <w:color w:val="00779B"/>
        </w:rPr>
        <w:t> </w:t>
      </w:r>
      <w:r>
        <w:rPr>
          <w:rFonts w:ascii="Segoe UI Semibold"/>
          <w:b/>
          <w:color w:val="00779B"/>
          <w:spacing w:val="-1"/>
        </w:rPr>
        <w:t>is not</w:t>
      </w:r>
      <w:r>
        <w:rPr>
          <w:rFonts w:ascii="Segoe UI Semibold"/>
          <w:b/>
          <w:color w:val="00779B"/>
        </w:rPr>
        <w:t> part</w:t>
      </w:r>
      <w:r>
        <w:rPr>
          <w:rFonts w:ascii="Segoe UI Semibold"/>
          <w:b/>
          <w:color w:val="00779B"/>
          <w:spacing w:val="-2"/>
        </w:rPr>
        <w:t> of</w:t>
      </w:r>
      <w:r>
        <w:rPr>
          <w:rFonts w:ascii="Segoe UI Semibold"/>
          <w:b/>
          <w:color w:val="00779B"/>
        </w:rPr>
        <w:t> a </w:t>
      </w:r>
      <w:r>
        <w:rPr>
          <w:rFonts w:ascii="Segoe UI Semibold"/>
          <w:b/>
          <w:color w:val="00779B"/>
          <w:spacing w:val="-2"/>
        </w:rPr>
        <w:t>recognised</w:t>
      </w:r>
      <w:r>
        <w:rPr>
          <w:rFonts w:ascii="Segoe UI Semibold"/>
          <w:b/>
          <w:color w:val="00779B"/>
          <w:spacing w:val="32"/>
        </w:rPr>
        <w:t> </w:t>
      </w:r>
      <w:r>
        <w:rPr>
          <w:rFonts w:ascii="Segoe UI Semibold"/>
          <w:b/>
          <w:color w:val="00779B"/>
        </w:rPr>
        <w:t>secondary</w:t>
      </w:r>
      <w:r>
        <w:rPr>
          <w:rFonts w:ascii="Segoe UI Semibold"/>
          <w:b/>
          <w:color w:val="00779B"/>
          <w:spacing w:val="-1"/>
        </w:rPr>
        <w:t> school</w:t>
      </w:r>
      <w:r>
        <w:rPr>
          <w:rFonts w:ascii="Segoe UI Semibold"/>
          <w:b/>
          <w:color w:val="00779B"/>
        </w:rPr>
        <w:t> </w:t>
      </w:r>
      <w:r>
        <w:rPr>
          <w:rFonts w:ascii="Segoe UI Semibold"/>
          <w:b/>
          <w:color w:val="00779B"/>
          <w:spacing w:val="-1"/>
        </w:rPr>
        <w:t>curriculum.</w:t>
      </w:r>
      <w:r>
        <w:rPr>
          <w:rFonts w:ascii="Segoe UI Semibold"/>
        </w:rPr>
      </w:r>
    </w:p>
    <w:p>
      <w:pPr>
        <w:pStyle w:val="BodyText"/>
        <w:spacing w:line="250" w:lineRule="exact" w:before="72"/>
        <w:ind w:right="213"/>
        <w:jc w:val="left"/>
      </w:pPr>
      <w:r>
        <w:rPr/>
        <w:br w:type="column"/>
      </w:r>
      <w:r>
        <w:rPr>
          <w:color w:val="231F20"/>
          <w:spacing w:val="-1"/>
        </w:rPr>
        <w:t>Recurrent</w:t>
      </w:r>
      <w:r>
        <w:rPr>
          <w:color w:val="231F20"/>
          <w:spacing w:val="-4"/>
        </w:rPr>
        <w:t> </w:t>
      </w:r>
      <w:r>
        <w:rPr>
          <w:color w:val="231F20"/>
          <w:spacing w:val="-1"/>
        </w:rPr>
        <w:t>school</w:t>
      </w:r>
      <w:r>
        <w:rPr>
          <w:color w:val="231F20"/>
          <w:spacing w:val="-4"/>
        </w:rPr>
        <w:t> </w:t>
      </w:r>
      <w:r>
        <w:rPr>
          <w:color w:val="231F20"/>
        </w:rPr>
        <w:t>funding</w:t>
      </w:r>
      <w:r>
        <w:rPr>
          <w:color w:val="231F20"/>
          <w:spacing w:val="-3"/>
        </w:rPr>
        <w:t> </w:t>
      </w:r>
      <w:r>
        <w:rPr>
          <w:color w:val="231F20"/>
        </w:rPr>
        <w:t>can</w:t>
      </w:r>
      <w:r>
        <w:rPr>
          <w:color w:val="231F20"/>
          <w:spacing w:val="-4"/>
        </w:rPr>
        <w:t> </w:t>
      </w:r>
      <w:r>
        <w:rPr>
          <w:color w:val="231F20"/>
        </w:rPr>
        <w:t>be</w:t>
      </w:r>
      <w:r>
        <w:rPr>
          <w:color w:val="231F20"/>
          <w:spacing w:val="-3"/>
        </w:rPr>
        <w:t> </w:t>
      </w:r>
      <w:r>
        <w:rPr>
          <w:color w:val="231F20"/>
        </w:rPr>
        <w:t>used</w:t>
      </w:r>
      <w:r>
        <w:rPr>
          <w:color w:val="231F20"/>
          <w:spacing w:val="-5"/>
        </w:rPr>
        <w:t> </w:t>
      </w:r>
      <w:r>
        <w:rPr>
          <w:color w:val="231F20"/>
        </w:rPr>
        <w:t>for</w:t>
      </w:r>
      <w:r>
        <w:rPr>
          <w:color w:val="231F20"/>
          <w:spacing w:val="-3"/>
        </w:rPr>
        <w:t> </w:t>
      </w:r>
      <w:r>
        <w:rPr>
          <w:color w:val="231F20"/>
        </w:rPr>
        <w:t>the</w:t>
      </w:r>
      <w:r>
        <w:rPr>
          <w:color w:val="231F20"/>
          <w:spacing w:val="26"/>
          <w:w w:val="99"/>
        </w:rPr>
        <w:t> </w:t>
      </w:r>
      <w:r>
        <w:rPr>
          <w:color w:val="231F20"/>
        </w:rPr>
        <w:t>non-exhaustive</w:t>
      </w:r>
      <w:r>
        <w:rPr>
          <w:color w:val="231F20"/>
          <w:spacing w:val="-6"/>
        </w:rPr>
        <w:t> </w:t>
      </w:r>
      <w:r>
        <w:rPr>
          <w:color w:val="231F20"/>
          <w:spacing w:val="-1"/>
        </w:rPr>
        <w:t>list</w:t>
      </w:r>
      <w:r>
        <w:rPr>
          <w:color w:val="231F20"/>
          <w:spacing w:val="-5"/>
        </w:rPr>
        <w:t> </w:t>
      </w:r>
      <w:r>
        <w:rPr>
          <w:color w:val="231F20"/>
        </w:rPr>
        <w:t>of</w:t>
      </w:r>
      <w:r>
        <w:rPr>
          <w:color w:val="231F20"/>
          <w:spacing w:val="-5"/>
        </w:rPr>
        <w:t> </w:t>
      </w:r>
      <w:r>
        <w:rPr>
          <w:color w:val="231F20"/>
        </w:rPr>
        <w:t>examples</w:t>
      </w:r>
      <w:r>
        <w:rPr>
          <w:color w:val="231F20"/>
          <w:spacing w:val="-5"/>
        </w:rPr>
        <w:t> </w:t>
      </w:r>
      <w:r>
        <w:rPr>
          <w:color w:val="231F20"/>
        </w:rPr>
        <w:t>of</w:t>
      </w:r>
      <w:r>
        <w:rPr>
          <w:color w:val="231F20"/>
          <w:spacing w:val="-5"/>
        </w:rPr>
        <w:t> </w:t>
      </w:r>
      <w:r>
        <w:rPr>
          <w:color w:val="231F20"/>
        </w:rPr>
        <w:t>general</w:t>
      </w:r>
      <w:r>
        <w:rPr>
          <w:color w:val="231F20"/>
          <w:spacing w:val="21"/>
          <w:w w:val="99"/>
        </w:rPr>
        <w:t> </w:t>
      </w:r>
      <w:r>
        <w:rPr>
          <w:color w:val="231F20"/>
        </w:rPr>
        <w:t>recurrent</w:t>
      </w:r>
      <w:r>
        <w:rPr>
          <w:color w:val="231F20"/>
          <w:spacing w:val="-7"/>
        </w:rPr>
        <w:t> </w:t>
      </w:r>
      <w:r>
        <w:rPr>
          <w:color w:val="231F20"/>
        </w:rPr>
        <w:t>costs</w:t>
      </w:r>
      <w:r>
        <w:rPr>
          <w:color w:val="231F20"/>
          <w:spacing w:val="-6"/>
        </w:rPr>
        <w:t> </w:t>
      </w:r>
      <w:r>
        <w:rPr>
          <w:color w:val="231F20"/>
        </w:rPr>
        <w:t>of</w:t>
      </w:r>
      <w:r>
        <w:rPr>
          <w:color w:val="231F20"/>
          <w:spacing w:val="-6"/>
        </w:rPr>
        <w:t> </w:t>
      </w:r>
      <w:r>
        <w:rPr>
          <w:color w:val="231F20"/>
        </w:rPr>
        <w:t>providing</w:t>
      </w:r>
      <w:r>
        <w:rPr>
          <w:color w:val="231F20"/>
          <w:spacing w:val="-6"/>
        </w:rPr>
        <w:t> </w:t>
      </w:r>
      <w:r>
        <w:rPr>
          <w:color w:val="231F20"/>
          <w:spacing w:val="-1"/>
        </w:rPr>
        <w:t>school</w:t>
      </w:r>
      <w:r>
        <w:rPr>
          <w:color w:val="231F20"/>
          <w:spacing w:val="-6"/>
        </w:rPr>
        <w:t> </w:t>
      </w:r>
      <w:r>
        <w:rPr>
          <w:color w:val="231F20"/>
        </w:rPr>
        <w:t>education</w:t>
      </w:r>
      <w:r>
        <w:rPr>
          <w:color w:val="231F20"/>
          <w:spacing w:val="21"/>
          <w:w w:val="99"/>
        </w:rPr>
        <w:t> </w:t>
      </w:r>
      <w:r>
        <w:rPr>
          <w:color w:val="231F20"/>
          <w:spacing w:val="-1"/>
        </w:rPr>
        <w:t>set</w:t>
      </w:r>
      <w:r>
        <w:rPr>
          <w:color w:val="231F20"/>
          <w:spacing w:val="-3"/>
        </w:rPr>
        <w:t> </w:t>
      </w:r>
      <w:r>
        <w:rPr>
          <w:color w:val="231F20"/>
        </w:rPr>
        <w:t>out</w:t>
      </w:r>
      <w:r>
        <w:rPr>
          <w:color w:val="231F20"/>
          <w:spacing w:val="-3"/>
        </w:rPr>
        <w:t> </w:t>
      </w:r>
      <w:r>
        <w:rPr>
          <w:color w:val="231F20"/>
          <w:spacing w:val="-1"/>
        </w:rPr>
        <w:t>in</w:t>
      </w:r>
      <w:r>
        <w:rPr>
          <w:color w:val="231F20"/>
          <w:spacing w:val="-3"/>
        </w:rPr>
        <w:t> </w:t>
      </w:r>
      <w:r>
        <w:rPr>
          <w:color w:val="231F20"/>
          <w:spacing w:val="-1"/>
        </w:rPr>
        <w:t>Subsection</w:t>
      </w:r>
      <w:r>
        <w:rPr>
          <w:color w:val="231F20"/>
          <w:spacing w:val="-3"/>
        </w:rPr>
        <w:t> </w:t>
      </w:r>
      <w:r>
        <w:rPr>
          <w:color w:val="231F20"/>
          <w:spacing w:val="-1"/>
        </w:rPr>
        <w:t>29(2)</w:t>
      </w:r>
      <w:r>
        <w:rPr>
          <w:color w:val="231F20"/>
          <w:spacing w:val="-3"/>
        </w:rPr>
        <w:t> </w:t>
      </w:r>
      <w:r>
        <w:rPr>
          <w:color w:val="231F20"/>
        </w:rPr>
        <w:t>of</w:t>
      </w:r>
      <w:r>
        <w:rPr>
          <w:color w:val="231F20"/>
          <w:spacing w:val="-3"/>
        </w:rPr>
        <w:t> </w:t>
      </w:r>
      <w:r>
        <w:rPr>
          <w:color w:val="231F20"/>
        </w:rPr>
        <w:t>the</w:t>
      </w:r>
      <w:r>
        <w:rPr>
          <w:color w:val="231F20"/>
          <w:spacing w:val="-4"/>
        </w:rPr>
        <w:t> </w:t>
      </w:r>
      <w:r>
        <w:rPr>
          <w:color w:val="231F20"/>
          <w:spacing w:val="-1"/>
        </w:rPr>
        <w:t>Regulation:</w:t>
      </w:r>
      <w:r>
        <w:rPr/>
      </w:r>
    </w:p>
    <w:p>
      <w:pPr>
        <w:pStyle w:val="Heading6"/>
        <w:spacing w:line="250" w:lineRule="exact" w:before="113"/>
        <w:ind w:left="117" w:right="290"/>
        <w:jc w:val="left"/>
        <w:rPr>
          <w:b w:val="0"/>
          <w:bCs w:val="0"/>
        </w:rPr>
      </w:pPr>
      <w:r>
        <w:rPr>
          <w:color w:val="00779B"/>
        </w:rPr>
        <w:t>Section</w:t>
      </w:r>
      <w:r>
        <w:rPr>
          <w:color w:val="00779B"/>
          <w:spacing w:val="-2"/>
        </w:rPr>
        <w:t> </w:t>
      </w:r>
      <w:r>
        <w:rPr>
          <w:color w:val="00779B"/>
          <w:spacing w:val="-1"/>
        </w:rPr>
        <w:t>29</w:t>
      </w:r>
      <w:r>
        <w:rPr>
          <w:color w:val="00779B"/>
        </w:rPr>
        <w:t> </w:t>
      </w:r>
      <w:r>
        <w:rPr>
          <w:color w:val="00779B"/>
          <w:spacing w:val="-1"/>
        </w:rPr>
        <w:t>Australian</w:t>
      </w:r>
      <w:r>
        <w:rPr>
          <w:color w:val="00779B"/>
        </w:rPr>
        <w:t> </w:t>
      </w:r>
      <w:r>
        <w:rPr>
          <w:color w:val="00779B"/>
          <w:spacing w:val="-1"/>
        </w:rPr>
        <w:t>Education</w:t>
      </w:r>
      <w:r>
        <w:rPr>
          <w:color w:val="00779B"/>
          <w:spacing w:val="22"/>
        </w:rPr>
        <w:t> </w:t>
      </w:r>
      <w:r>
        <w:rPr>
          <w:color w:val="00779B"/>
          <w:spacing w:val="-1"/>
        </w:rPr>
        <w:t>Regulation</w:t>
      </w:r>
      <w:r>
        <w:rPr>
          <w:color w:val="00779B"/>
          <w:spacing w:val="-3"/>
        </w:rPr>
        <w:t> </w:t>
      </w:r>
      <w:r>
        <w:rPr>
          <w:color w:val="00779B"/>
          <w:spacing w:val="-1"/>
        </w:rPr>
        <w:t>2013</w:t>
      </w:r>
      <w:r>
        <w:rPr>
          <w:b w:val="0"/>
        </w:rPr>
      </w:r>
    </w:p>
    <w:p>
      <w:pPr>
        <w:pStyle w:val="BodyText"/>
        <w:spacing w:line="240" w:lineRule="auto" w:before="97"/>
        <w:ind w:right="0"/>
        <w:jc w:val="left"/>
        <w:rPr>
          <w:rFonts w:ascii="Segoe UI Semibold" w:hAnsi="Segoe UI Semibold" w:cs="Segoe UI Semibold" w:eastAsia="Segoe UI Semibold"/>
        </w:rPr>
      </w:pPr>
      <w:r>
        <w:rPr>
          <w:rFonts w:ascii="Segoe UI Semibold"/>
          <w:b/>
          <w:color w:val="00779B"/>
          <w:spacing w:val="-2"/>
        </w:rPr>
        <w:t>Approved</w:t>
      </w:r>
      <w:r>
        <w:rPr>
          <w:rFonts w:ascii="Segoe UI Semibold"/>
          <w:b/>
          <w:color w:val="00779B"/>
          <w:spacing w:val="-3"/>
        </w:rPr>
        <w:t> </w:t>
      </w:r>
      <w:r>
        <w:rPr>
          <w:rFonts w:ascii="Segoe UI Semibold"/>
          <w:b/>
          <w:color w:val="00779B"/>
        </w:rPr>
        <w:t>authorities</w:t>
      </w:r>
      <w:r>
        <w:rPr>
          <w:rFonts w:ascii="Segoe UI Semibold"/>
          <w:b/>
          <w:color w:val="00779B"/>
          <w:spacing w:val="-3"/>
        </w:rPr>
        <w:t> </w:t>
      </w:r>
      <w:r>
        <w:rPr>
          <w:rFonts w:ascii="Segoe UI Semibold"/>
          <w:b/>
          <w:color w:val="00779B"/>
        </w:rPr>
        <w:t>-</w:t>
      </w:r>
      <w:r>
        <w:rPr>
          <w:rFonts w:ascii="Segoe UI Semibold"/>
          <w:b/>
          <w:color w:val="00779B"/>
          <w:spacing w:val="-2"/>
        </w:rPr>
        <w:t> Recurrent </w:t>
      </w:r>
      <w:r>
        <w:rPr>
          <w:rFonts w:ascii="Segoe UI Semibold"/>
          <w:b/>
          <w:color w:val="00779B"/>
        </w:rPr>
        <w:t>funding</w:t>
      </w:r>
      <w:r>
        <w:rPr>
          <w:rFonts w:ascii="Segoe UI Semibold"/>
        </w:rPr>
      </w:r>
    </w:p>
    <w:p>
      <w:pPr>
        <w:pStyle w:val="BodyText"/>
        <w:numPr>
          <w:ilvl w:val="0"/>
          <w:numId w:val="5"/>
        </w:numPr>
        <w:tabs>
          <w:tab w:pos="478" w:val="left" w:leader="none"/>
        </w:tabs>
        <w:spacing w:line="250" w:lineRule="exact" w:before="113" w:after="0"/>
        <w:ind w:left="477" w:right="479" w:hanging="360"/>
        <w:jc w:val="left"/>
        <w:rPr>
          <w:rFonts w:ascii="Segoe UI Semibold" w:hAnsi="Segoe UI Semibold" w:cs="Segoe UI Semibold" w:eastAsia="Segoe UI Semibold"/>
        </w:rPr>
      </w:pPr>
      <w:r>
        <w:rPr>
          <w:rFonts w:ascii="Segoe UI Semibold"/>
          <w:b/>
          <w:color w:val="00779B"/>
          <w:spacing w:val="-1"/>
        </w:rPr>
        <w:t>For</w:t>
      </w:r>
      <w:r>
        <w:rPr>
          <w:rFonts w:ascii="Segoe UI Semibold"/>
          <w:b/>
          <w:color w:val="00779B"/>
          <w:spacing w:val="-2"/>
        </w:rPr>
        <w:t> </w:t>
      </w:r>
      <w:r>
        <w:rPr>
          <w:rFonts w:ascii="Segoe UI Semibold"/>
          <w:b/>
          <w:color w:val="00779B"/>
          <w:spacing w:val="-1"/>
        </w:rPr>
        <w:t>paragraph</w:t>
      </w:r>
      <w:r>
        <w:rPr>
          <w:rFonts w:ascii="Segoe UI Semibold"/>
          <w:b/>
          <w:color w:val="00779B"/>
          <w:spacing w:val="-3"/>
        </w:rPr>
        <w:t> </w:t>
      </w:r>
      <w:r>
        <w:rPr>
          <w:rFonts w:ascii="Segoe UI Semibold"/>
          <w:b/>
          <w:color w:val="00779B"/>
          <w:spacing w:val="-1"/>
        </w:rPr>
        <w:t>78(2)(a)</w:t>
      </w:r>
      <w:r>
        <w:rPr>
          <w:rFonts w:ascii="Segoe UI Semibold"/>
          <w:b/>
          <w:color w:val="00779B"/>
          <w:spacing w:val="-2"/>
        </w:rPr>
        <w:t> of </w:t>
      </w:r>
      <w:r>
        <w:rPr>
          <w:rFonts w:ascii="Segoe UI Semibold"/>
          <w:b/>
          <w:color w:val="00779B"/>
          <w:spacing w:val="-1"/>
        </w:rPr>
        <w:t>the</w:t>
      </w:r>
      <w:r>
        <w:rPr>
          <w:rFonts w:ascii="Segoe UI Semibold"/>
          <w:b/>
          <w:color w:val="00779B"/>
          <w:spacing w:val="-2"/>
        </w:rPr>
        <w:t> </w:t>
      </w:r>
      <w:r>
        <w:rPr>
          <w:rFonts w:ascii="Segoe UI Semibold"/>
          <w:b/>
          <w:color w:val="00779B"/>
          <w:spacing w:val="-1"/>
        </w:rPr>
        <w:t>Actan</w:t>
      </w:r>
      <w:r>
        <w:rPr>
          <w:rFonts w:ascii="Segoe UI Semibold"/>
          <w:b/>
          <w:color w:val="00779B"/>
          <w:spacing w:val="29"/>
        </w:rPr>
        <w:t> </w:t>
      </w:r>
      <w:r>
        <w:rPr>
          <w:rFonts w:ascii="Segoe UI Semibold"/>
          <w:b/>
          <w:color w:val="00779B"/>
          <w:spacing w:val="-1"/>
        </w:rPr>
        <w:t>approved</w:t>
      </w:r>
      <w:r>
        <w:rPr>
          <w:rFonts w:ascii="Segoe UI Semibold"/>
          <w:b/>
          <w:color w:val="00779B"/>
          <w:spacing w:val="-2"/>
        </w:rPr>
        <w:t> </w:t>
      </w:r>
      <w:r>
        <w:rPr>
          <w:rFonts w:ascii="Segoe UI Semibold"/>
          <w:b/>
          <w:color w:val="00779B"/>
        </w:rPr>
        <w:t>authority</w:t>
      </w:r>
      <w:r>
        <w:rPr>
          <w:rFonts w:ascii="Segoe UI Semibold"/>
          <w:b/>
          <w:color w:val="00779B"/>
          <w:spacing w:val="-2"/>
        </w:rPr>
        <w:t> </w:t>
      </w:r>
      <w:r>
        <w:rPr>
          <w:rFonts w:ascii="Segoe UI Semibold"/>
          <w:b/>
          <w:color w:val="00779B"/>
        </w:rPr>
        <w:t>for</w:t>
      </w:r>
      <w:r>
        <w:rPr>
          <w:rFonts w:ascii="Segoe UI Semibold"/>
          <w:b/>
          <w:color w:val="00779B"/>
          <w:spacing w:val="-3"/>
        </w:rPr>
        <w:t> </w:t>
      </w:r>
      <w:r>
        <w:rPr>
          <w:rFonts w:ascii="Segoe UI Semibold"/>
          <w:b/>
          <w:color w:val="00779B"/>
        </w:rPr>
        <w:t>a</w:t>
      </w:r>
      <w:r>
        <w:rPr>
          <w:rFonts w:ascii="Segoe UI Semibold"/>
          <w:b/>
          <w:color w:val="00779B"/>
          <w:spacing w:val="-1"/>
        </w:rPr>
        <w:t> school</w:t>
      </w:r>
      <w:r>
        <w:rPr>
          <w:rFonts w:ascii="Segoe UI Semibold"/>
          <w:b/>
          <w:color w:val="00779B"/>
          <w:spacing w:val="-2"/>
        </w:rPr>
        <w:t> </w:t>
      </w:r>
      <w:r>
        <w:rPr>
          <w:rFonts w:ascii="Segoe UI Semibold"/>
          <w:b/>
          <w:color w:val="00779B"/>
        </w:rPr>
        <w:t>must</w:t>
      </w:r>
      <w:r>
        <w:rPr>
          <w:rFonts w:ascii="Segoe UI Semibold"/>
          <w:b/>
          <w:color w:val="00779B"/>
          <w:spacing w:val="24"/>
        </w:rPr>
        <w:t> </w:t>
      </w:r>
      <w:r>
        <w:rPr>
          <w:rFonts w:ascii="Segoe UI Semibold"/>
          <w:b/>
          <w:color w:val="00779B"/>
        </w:rPr>
        <w:t>spend,</w:t>
      </w:r>
      <w:r>
        <w:rPr>
          <w:rFonts w:ascii="Segoe UI Semibold"/>
          <w:b/>
          <w:color w:val="00779B"/>
          <w:spacing w:val="-2"/>
        </w:rPr>
        <w:t> </w:t>
      </w:r>
      <w:r>
        <w:rPr>
          <w:rFonts w:ascii="Segoe UI Semibold"/>
          <w:b/>
          <w:color w:val="00779B"/>
        </w:rPr>
        <w:t>or</w:t>
      </w:r>
      <w:r>
        <w:rPr>
          <w:rFonts w:ascii="Segoe UI Semibold"/>
          <w:b/>
          <w:color w:val="00779B"/>
          <w:spacing w:val="-2"/>
        </w:rPr>
        <w:t> </w:t>
      </w:r>
      <w:r>
        <w:rPr>
          <w:rFonts w:ascii="Segoe UI Semibold"/>
          <w:b/>
          <w:color w:val="00779B"/>
        </w:rPr>
        <w:t>commit</w:t>
      </w:r>
      <w:r>
        <w:rPr>
          <w:rFonts w:ascii="Segoe UI Semibold"/>
          <w:b/>
          <w:color w:val="00779B"/>
          <w:spacing w:val="-1"/>
        </w:rPr>
        <w:t> to</w:t>
      </w:r>
      <w:r>
        <w:rPr>
          <w:rFonts w:ascii="Segoe UI Semibold"/>
          <w:b/>
          <w:color w:val="00779B"/>
          <w:spacing w:val="-2"/>
        </w:rPr>
        <w:t> </w:t>
      </w:r>
      <w:r>
        <w:rPr>
          <w:rFonts w:ascii="Segoe UI Semibold"/>
          <w:b/>
          <w:color w:val="00779B"/>
        </w:rPr>
        <w:t>spend,</w:t>
      </w:r>
      <w:r>
        <w:rPr>
          <w:rFonts w:ascii="Segoe UI Semibold"/>
          <w:b/>
          <w:color w:val="00779B"/>
          <w:spacing w:val="-1"/>
        </w:rPr>
        <w:t> </w:t>
      </w:r>
      <w:r>
        <w:rPr>
          <w:rFonts w:ascii="Segoe UI Semibold"/>
          <w:b/>
          <w:color w:val="00779B"/>
        </w:rPr>
        <w:t>financial</w:t>
      </w:r>
      <w:r>
        <w:rPr>
          <w:rFonts w:ascii="Segoe UI Semibold"/>
          <w:b/>
          <w:color w:val="00779B"/>
          <w:spacing w:val="21"/>
          <w:w w:val="99"/>
        </w:rPr>
        <w:t> </w:t>
      </w:r>
      <w:r>
        <w:rPr>
          <w:rFonts w:ascii="Segoe UI Semibold"/>
          <w:b/>
          <w:color w:val="00779B"/>
        </w:rPr>
        <w:t>assistance</w:t>
      </w:r>
      <w:r>
        <w:rPr>
          <w:rFonts w:ascii="Segoe UI Semibold"/>
          <w:b/>
          <w:color w:val="00779B"/>
          <w:spacing w:val="-2"/>
        </w:rPr>
        <w:t> </w:t>
      </w:r>
      <w:r>
        <w:rPr>
          <w:rFonts w:ascii="Segoe UI Semibold"/>
          <w:b/>
          <w:color w:val="00779B"/>
          <w:spacing w:val="-1"/>
        </w:rPr>
        <w:t>that</w:t>
      </w:r>
      <w:r>
        <w:rPr>
          <w:rFonts w:ascii="Segoe UI Semibold"/>
          <w:b/>
          <w:color w:val="00779B"/>
        </w:rPr>
        <w:t> </w:t>
      </w:r>
      <w:r>
        <w:rPr>
          <w:rFonts w:ascii="Segoe UI Semibold"/>
          <w:b/>
          <w:color w:val="00779B"/>
          <w:spacing w:val="-1"/>
        </w:rPr>
        <w:t>is</w:t>
      </w:r>
      <w:r>
        <w:rPr>
          <w:rFonts w:ascii="Segoe UI Semibold"/>
          <w:b/>
          <w:color w:val="00779B"/>
        </w:rPr>
        <w:t> </w:t>
      </w:r>
      <w:r>
        <w:rPr>
          <w:rFonts w:ascii="Segoe UI Semibold"/>
          <w:b/>
          <w:color w:val="00779B"/>
          <w:spacing w:val="-1"/>
        </w:rPr>
        <w:t>payable to</w:t>
      </w:r>
      <w:r>
        <w:rPr>
          <w:rFonts w:ascii="Segoe UI Semibold"/>
          <w:b/>
          <w:color w:val="00779B"/>
          <w:spacing w:val="-2"/>
        </w:rPr>
        <w:t> </w:t>
      </w:r>
      <w:r>
        <w:rPr>
          <w:rFonts w:ascii="Segoe UI Semibold"/>
          <w:b/>
          <w:color w:val="00779B"/>
          <w:spacing w:val="-1"/>
        </w:rPr>
        <w:t>the</w:t>
      </w:r>
      <w:r>
        <w:rPr>
          <w:rFonts w:ascii="Segoe UI Semibold"/>
          <w:b/>
          <w:color w:val="00779B"/>
          <w:spacing w:val="27"/>
        </w:rPr>
        <w:t> </w:t>
      </w:r>
      <w:r>
        <w:rPr>
          <w:rFonts w:ascii="Segoe UI Semibold"/>
          <w:b/>
          <w:color w:val="00779B"/>
        </w:rPr>
        <w:t>authority</w:t>
      </w:r>
      <w:r>
        <w:rPr>
          <w:rFonts w:ascii="Segoe UI Semibold"/>
          <w:b/>
          <w:color w:val="00779B"/>
          <w:spacing w:val="-1"/>
        </w:rPr>
        <w:t> in accordance with</w:t>
      </w:r>
      <w:r>
        <w:rPr>
          <w:rFonts w:ascii="Segoe UI Semibold"/>
          <w:b/>
          <w:color w:val="00779B"/>
        </w:rPr>
        <w:t> </w:t>
      </w:r>
      <w:r>
        <w:rPr>
          <w:rFonts w:ascii="Segoe UI Semibold"/>
          <w:b/>
          <w:color w:val="00779B"/>
          <w:spacing w:val="-1"/>
        </w:rPr>
        <w:t>Division</w:t>
      </w:r>
      <w:r>
        <w:rPr>
          <w:rFonts w:ascii="Segoe UI Semibold"/>
          <w:b/>
          <w:color w:val="00779B"/>
          <w:spacing w:val="20"/>
        </w:rPr>
        <w:t> </w:t>
      </w:r>
      <w:r>
        <w:rPr>
          <w:rFonts w:ascii="Segoe UI Semibold"/>
          <w:b/>
          <w:color w:val="00779B"/>
        </w:rPr>
        <w:t>2</w:t>
      </w:r>
      <w:r>
        <w:rPr>
          <w:rFonts w:ascii="Segoe UI Semibold"/>
          <w:b/>
          <w:color w:val="00779B"/>
          <w:spacing w:val="-2"/>
        </w:rPr>
        <w:t> of</w:t>
      </w:r>
      <w:r>
        <w:rPr>
          <w:rFonts w:ascii="Segoe UI Semibold"/>
          <w:b/>
          <w:color w:val="00779B"/>
        </w:rPr>
        <w:t> </w:t>
      </w:r>
      <w:r>
        <w:rPr>
          <w:rFonts w:ascii="Segoe UI Semibold"/>
          <w:b/>
          <w:color w:val="00779B"/>
          <w:spacing w:val="-1"/>
        </w:rPr>
        <w:t>Part </w:t>
      </w:r>
      <w:r>
        <w:rPr>
          <w:rFonts w:ascii="Segoe UI Semibold"/>
          <w:b/>
          <w:color w:val="00779B"/>
        </w:rPr>
        <w:t>3</w:t>
      </w:r>
      <w:r>
        <w:rPr>
          <w:rFonts w:ascii="Segoe UI Semibold"/>
          <w:b/>
          <w:color w:val="00779B"/>
          <w:spacing w:val="-1"/>
        </w:rPr>
        <w:t> </w:t>
      </w:r>
      <w:r>
        <w:rPr>
          <w:rFonts w:ascii="Segoe UI Semibold"/>
          <w:b/>
          <w:color w:val="00779B"/>
          <w:spacing w:val="-2"/>
        </w:rPr>
        <w:t>of</w:t>
      </w:r>
      <w:r>
        <w:rPr>
          <w:rFonts w:ascii="Segoe UI Semibold"/>
          <w:b/>
          <w:color w:val="00779B"/>
        </w:rPr>
        <w:t> </w:t>
      </w:r>
      <w:r>
        <w:rPr>
          <w:rFonts w:ascii="Segoe UI Semibold"/>
          <w:b/>
          <w:color w:val="00779B"/>
          <w:spacing w:val="-1"/>
        </w:rPr>
        <w:t>the Act</w:t>
      </w:r>
      <w:r>
        <w:rPr>
          <w:rFonts w:ascii="Segoe UI Semibold"/>
          <w:b/>
          <w:color w:val="00779B"/>
        </w:rPr>
        <w:t> </w:t>
      </w:r>
      <w:r>
        <w:rPr>
          <w:rFonts w:ascii="Segoe UI Semibold"/>
          <w:b/>
          <w:color w:val="00779B"/>
          <w:spacing w:val="-2"/>
        </w:rPr>
        <w:t>(recurrent</w:t>
      </w:r>
      <w:r>
        <w:rPr>
          <w:rFonts w:ascii="Segoe UI Semibold"/>
        </w:rPr>
      </w:r>
    </w:p>
    <w:p>
      <w:pPr>
        <w:pStyle w:val="BodyText"/>
        <w:spacing w:line="250" w:lineRule="exact"/>
        <w:ind w:left="477" w:right="151"/>
        <w:jc w:val="left"/>
        <w:rPr>
          <w:rFonts w:ascii="Segoe UI Semibold" w:hAnsi="Segoe UI Semibold" w:cs="Segoe UI Semibold" w:eastAsia="Segoe UI Semibold"/>
        </w:rPr>
      </w:pPr>
      <w:r>
        <w:rPr>
          <w:rFonts w:ascii="Segoe UI Semibold"/>
          <w:b/>
          <w:color w:val="00779B"/>
        </w:rPr>
        <w:t>funding</w:t>
      </w:r>
      <w:r>
        <w:rPr>
          <w:rFonts w:ascii="Segoe UI Semibold"/>
          <w:b/>
          <w:color w:val="00779B"/>
          <w:spacing w:val="-2"/>
        </w:rPr>
        <w:t> </w:t>
      </w:r>
      <w:r>
        <w:rPr>
          <w:rFonts w:ascii="Segoe UI Semibold"/>
          <w:b/>
          <w:color w:val="00779B"/>
        </w:rPr>
        <w:t>for</w:t>
      </w:r>
      <w:r>
        <w:rPr>
          <w:rFonts w:ascii="Segoe UI Semibold"/>
          <w:b/>
          <w:color w:val="00779B"/>
          <w:spacing w:val="-1"/>
        </w:rPr>
        <w:t> schools)</w:t>
      </w:r>
      <w:r>
        <w:rPr>
          <w:rFonts w:ascii="Segoe UI Semibold"/>
          <w:b/>
          <w:color w:val="00779B"/>
        </w:rPr>
        <w:t> for</w:t>
      </w:r>
      <w:r>
        <w:rPr>
          <w:rFonts w:ascii="Segoe UI Semibold"/>
          <w:b/>
          <w:color w:val="00779B"/>
          <w:spacing w:val="-1"/>
        </w:rPr>
        <w:t> the</w:t>
      </w:r>
      <w:r>
        <w:rPr>
          <w:rFonts w:ascii="Segoe UI Semibold"/>
          <w:b/>
          <w:color w:val="00779B"/>
        </w:rPr>
        <w:t> purpose</w:t>
      </w:r>
      <w:r>
        <w:rPr>
          <w:rFonts w:ascii="Segoe UI Semibold"/>
          <w:b/>
          <w:color w:val="00779B"/>
          <w:spacing w:val="-2"/>
        </w:rPr>
        <w:t> of</w:t>
      </w:r>
      <w:r>
        <w:rPr>
          <w:rFonts w:ascii="Segoe UI Semibold"/>
          <w:b/>
          <w:color w:val="00779B"/>
          <w:spacing w:val="24"/>
          <w:w w:val="99"/>
        </w:rPr>
        <w:t> </w:t>
      </w:r>
      <w:r>
        <w:rPr>
          <w:rFonts w:ascii="Segoe UI Semibold"/>
          <w:b/>
          <w:color w:val="00779B"/>
          <w:spacing w:val="-1"/>
        </w:rPr>
        <w:t>providing school education</w:t>
      </w:r>
      <w:r>
        <w:rPr>
          <w:rFonts w:ascii="Segoe UI Semibold"/>
          <w:b/>
          <w:color w:val="00779B"/>
        </w:rPr>
        <w:t> at</w:t>
      </w:r>
      <w:r>
        <w:rPr>
          <w:rFonts w:ascii="Segoe UI Semibold"/>
          <w:b/>
          <w:color w:val="00779B"/>
          <w:spacing w:val="-2"/>
        </w:rPr>
        <w:t> </w:t>
      </w:r>
      <w:r>
        <w:rPr>
          <w:rFonts w:ascii="Segoe UI Semibold"/>
          <w:b/>
          <w:color w:val="00779B"/>
        </w:rPr>
        <w:t>a </w:t>
      </w:r>
      <w:r>
        <w:rPr>
          <w:rFonts w:ascii="Segoe UI Semibold"/>
          <w:b/>
          <w:color w:val="00779B"/>
          <w:spacing w:val="-1"/>
        </w:rPr>
        <w:t>school</w:t>
      </w:r>
      <w:r>
        <w:rPr>
          <w:rFonts w:ascii="Segoe UI Semibold"/>
          <w:b/>
          <w:color w:val="00779B"/>
          <w:spacing w:val="23"/>
        </w:rPr>
        <w:t> </w:t>
      </w:r>
      <w:r>
        <w:rPr>
          <w:rFonts w:ascii="Segoe UI Semibold"/>
          <w:b/>
          <w:color w:val="00779B"/>
        </w:rPr>
        <w:t>for</w:t>
      </w:r>
      <w:r>
        <w:rPr>
          <w:rFonts w:ascii="Segoe UI Semibold"/>
          <w:b/>
          <w:color w:val="00779B"/>
          <w:spacing w:val="-3"/>
        </w:rPr>
        <w:t> </w:t>
      </w:r>
      <w:r>
        <w:rPr>
          <w:rFonts w:ascii="Segoe UI Semibold"/>
          <w:b/>
          <w:color w:val="00779B"/>
          <w:spacing w:val="-1"/>
        </w:rPr>
        <w:t>which the approved</w:t>
      </w:r>
      <w:r>
        <w:rPr>
          <w:rFonts w:ascii="Segoe UI Semibold"/>
          <w:b/>
          <w:color w:val="00779B"/>
          <w:spacing w:val="-2"/>
        </w:rPr>
        <w:t> </w:t>
      </w:r>
      <w:r>
        <w:rPr>
          <w:rFonts w:ascii="Segoe UI Semibold"/>
          <w:b/>
          <w:color w:val="00779B"/>
        </w:rPr>
        <w:t>authority</w:t>
      </w:r>
      <w:r>
        <w:rPr>
          <w:rFonts w:ascii="Segoe UI Semibold"/>
          <w:b/>
          <w:color w:val="00779B"/>
          <w:spacing w:val="-2"/>
        </w:rPr>
        <w:t> </w:t>
      </w:r>
      <w:r>
        <w:rPr>
          <w:rFonts w:ascii="Segoe UI Semibold"/>
          <w:b/>
          <w:color w:val="00779B"/>
          <w:spacing w:val="-1"/>
        </w:rPr>
        <w:t>is</w:t>
      </w:r>
      <w:r>
        <w:rPr>
          <w:rFonts w:ascii="Segoe UI Semibold"/>
          <w:b/>
          <w:color w:val="00779B"/>
          <w:spacing w:val="24"/>
        </w:rPr>
        <w:t> </w:t>
      </w:r>
      <w:r>
        <w:rPr>
          <w:rFonts w:ascii="Segoe UI Semibold"/>
          <w:b/>
          <w:color w:val="00779B"/>
          <w:spacing w:val="-1"/>
        </w:rPr>
        <w:t>approved.</w:t>
      </w:r>
      <w:r>
        <w:rPr>
          <w:rFonts w:ascii="Segoe UI Semibold"/>
        </w:rPr>
      </w:r>
    </w:p>
    <w:p>
      <w:pPr>
        <w:pStyle w:val="BodyText"/>
        <w:numPr>
          <w:ilvl w:val="0"/>
          <w:numId w:val="5"/>
        </w:numPr>
        <w:tabs>
          <w:tab w:pos="478" w:val="left" w:leader="none"/>
        </w:tabs>
        <w:spacing w:line="250" w:lineRule="exact" w:before="113" w:after="0"/>
        <w:ind w:left="477" w:right="399" w:hanging="360"/>
        <w:jc w:val="left"/>
        <w:rPr>
          <w:rFonts w:ascii="Segoe UI Semibold" w:hAnsi="Segoe UI Semibold" w:cs="Segoe UI Semibold" w:eastAsia="Segoe UI Semibold"/>
        </w:rPr>
      </w:pPr>
      <w:r>
        <w:rPr>
          <w:rFonts w:ascii="Segoe UI Semibold"/>
          <w:b/>
          <w:color w:val="00779B"/>
        </w:rPr>
        <w:t>Without</w:t>
      </w:r>
      <w:r>
        <w:rPr>
          <w:rFonts w:ascii="Segoe UI Semibold"/>
          <w:b/>
          <w:color w:val="00779B"/>
          <w:spacing w:val="-1"/>
        </w:rPr>
        <w:t> limiting</w:t>
      </w:r>
      <w:r>
        <w:rPr>
          <w:rFonts w:ascii="Segoe UI Semibold"/>
          <w:b/>
          <w:color w:val="00779B"/>
        </w:rPr>
        <w:t> </w:t>
      </w:r>
      <w:r>
        <w:rPr>
          <w:rFonts w:ascii="Segoe UI Semibold"/>
          <w:b/>
          <w:color w:val="00779B"/>
          <w:spacing w:val="-1"/>
        </w:rPr>
        <w:t>subsection</w:t>
      </w:r>
      <w:r>
        <w:rPr>
          <w:rFonts w:ascii="Segoe UI Semibold"/>
          <w:b/>
          <w:color w:val="00779B"/>
        </w:rPr>
        <w:t> (1),</w:t>
      </w:r>
      <w:r>
        <w:rPr>
          <w:rFonts w:ascii="Segoe UI Semibold"/>
          <w:b/>
          <w:color w:val="00779B"/>
          <w:spacing w:val="-1"/>
        </w:rPr>
        <w:t> the</w:t>
      </w:r>
      <w:r>
        <w:rPr>
          <w:rFonts w:ascii="Segoe UI Semibold"/>
          <w:b/>
          <w:color w:val="00779B"/>
          <w:spacing w:val="22"/>
        </w:rPr>
        <w:t> </w:t>
      </w:r>
      <w:r>
        <w:rPr>
          <w:rFonts w:ascii="Segoe UI Semibold"/>
          <w:b/>
          <w:color w:val="00779B"/>
        </w:rPr>
        <w:t>purpose</w:t>
      </w:r>
      <w:r>
        <w:rPr>
          <w:rFonts w:ascii="Segoe UI Semibold"/>
          <w:b/>
          <w:color w:val="00779B"/>
          <w:spacing w:val="-2"/>
        </w:rPr>
        <w:t> </w:t>
      </w:r>
      <w:r>
        <w:rPr>
          <w:rFonts w:ascii="Segoe UI Semibold"/>
          <w:b/>
          <w:color w:val="00779B"/>
        </w:rPr>
        <w:t>mentioned</w:t>
      </w:r>
      <w:r>
        <w:rPr>
          <w:rFonts w:ascii="Segoe UI Semibold"/>
          <w:b/>
          <w:color w:val="00779B"/>
          <w:spacing w:val="-2"/>
        </w:rPr>
        <w:t> </w:t>
      </w:r>
      <w:r>
        <w:rPr>
          <w:rFonts w:ascii="Segoe UI Semibold"/>
          <w:b/>
          <w:color w:val="00779B"/>
          <w:spacing w:val="-1"/>
        </w:rPr>
        <w:t>in that</w:t>
      </w:r>
      <w:r>
        <w:rPr>
          <w:rFonts w:ascii="Segoe UI Semibold"/>
          <w:b/>
          <w:color w:val="00779B"/>
        </w:rPr>
        <w:t> </w:t>
      </w:r>
      <w:r>
        <w:rPr>
          <w:rFonts w:ascii="Segoe UI Semibold"/>
          <w:b/>
          <w:color w:val="00779B"/>
          <w:spacing w:val="-1"/>
        </w:rPr>
        <w:t>subsection</w:t>
      </w:r>
      <w:r>
        <w:rPr>
          <w:rFonts w:ascii="Segoe UI Semibold"/>
          <w:b/>
          <w:color w:val="00779B"/>
          <w:spacing w:val="22"/>
        </w:rPr>
        <w:t> </w:t>
      </w:r>
      <w:r>
        <w:rPr>
          <w:rFonts w:ascii="Segoe UI Semibold"/>
          <w:b/>
          <w:color w:val="00779B"/>
          <w:spacing w:val="-1"/>
        </w:rPr>
        <w:t>includes</w:t>
      </w:r>
      <w:r>
        <w:rPr>
          <w:rFonts w:ascii="Segoe UI Semibold"/>
          <w:b/>
          <w:color w:val="00779B"/>
        </w:rPr>
        <w:t> </w:t>
      </w:r>
      <w:r>
        <w:rPr>
          <w:rFonts w:ascii="Segoe UI Semibold"/>
          <w:b/>
          <w:color w:val="00779B"/>
          <w:spacing w:val="-1"/>
        </w:rPr>
        <w:t>the</w:t>
      </w:r>
      <w:r>
        <w:rPr>
          <w:rFonts w:ascii="Segoe UI Semibold"/>
          <w:b/>
          <w:color w:val="00779B"/>
        </w:rPr>
        <w:t> following:</w:t>
      </w:r>
      <w:r>
        <w:rPr>
          <w:rFonts w:ascii="Segoe UI Semibold"/>
        </w:rPr>
      </w:r>
    </w:p>
    <w:p>
      <w:pPr>
        <w:pStyle w:val="BodyText"/>
        <w:numPr>
          <w:ilvl w:val="1"/>
          <w:numId w:val="5"/>
        </w:numPr>
        <w:tabs>
          <w:tab w:pos="878" w:val="left" w:leader="none"/>
        </w:tabs>
        <w:spacing w:line="250" w:lineRule="exact" w:before="113" w:after="0"/>
        <w:ind w:left="877" w:right="750" w:hanging="400"/>
        <w:jc w:val="left"/>
        <w:rPr>
          <w:rFonts w:ascii="Segoe UI Semibold" w:hAnsi="Segoe UI Semibold" w:cs="Segoe UI Semibold" w:eastAsia="Segoe UI Semibold"/>
        </w:rPr>
      </w:pPr>
      <w:r>
        <w:rPr>
          <w:rFonts w:ascii="Segoe UI Semibold"/>
          <w:b/>
          <w:color w:val="00779B"/>
          <w:spacing w:val="-1"/>
        </w:rPr>
        <w:t>salaries</w:t>
      </w:r>
      <w:r>
        <w:rPr>
          <w:rFonts w:ascii="Segoe UI Semibold"/>
          <w:b/>
          <w:color w:val="00779B"/>
        </w:rPr>
        <w:t> and</w:t>
      </w:r>
      <w:r>
        <w:rPr>
          <w:rFonts w:ascii="Segoe UI Semibold"/>
          <w:b/>
          <w:color w:val="00779B"/>
          <w:spacing w:val="-1"/>
        </w:rPr>
        <w:t> other</w:t>
      </w:r>
      <w:r>
        <w:rPr>
          <w:rFonts w:ascii="Segoe UI Semibold"/>
          <w:b/>
          <w:color w:val="00779B"/>
        </w:rPr>
        <w:t> </w:t>
      </w:r>
      <w:r>
        <w:rPr>
          <w:rFonts w:ascii="Segoe UI Semibold"/>
          <w:b/>
          <w:color w:val="00779B"/>
          <w:spacing w:val="-1"/>
        </w:rPr>
        <w:t>expenses</w:t>
      </w:r>
      <w:r>
        <w:rPr>
          <w:rFonts w:ascii="Segoe UI Semibold"/>
          <w:b/>
          <w:color w:val="00779B"/>
          <w:spacing w:val="22"/>
        </w:rPr>
        <w:t> </w:t>
      </w:r>
      <w:r>
        <w:rPr>
          <w:rFonts w:ascii="Segoe UI Semibold"/>
          <w:b/>
          <w:color w:val="00779B"/>
          <w:spacing w:val="-1"/>
        </w:rPr>
        <w:t>relating to </w:t>
      </w:r>
      <w:r>
        <w:rPr>
          <w:rFonts w:ascii="Segoe UI Semibold"/>
          <w:b/>
          <w:color w:val="00779B"/>
        </w:rPr>
        <w:t>staff</w:t>
      </w:r>
      <w:r>
        <w:rPr>
          <w:rFonts w:ascii="Segoe UI Semibold"/>
          <w:b/>
          <w:color w:val="00779B"/>
          <w:spacing w:val="-1"/>
        </w:rPr>
        <w:t> </w:t>
      </w:r>
      <w:r>
        <w:rPr>
          <w:rFonts w:ascii="Segoe UI Semibold"/>
          <w:b/>
          <w:color w:val="00779B"/>
        </w:rPr>
        <w:t>at</w:t>
      </w:r>
      <w:r>
        <w:rPr>
          <w:rFonts w:ascii="Segoe UI Semibold"/>
          <w:b/>
          <w:color w:val="00779B"/>
          <w:spacing w:val="-1"/>
        </w:rPr>
        <w:t> </w:t>
      </w:r>
      <w:r>
        <w:rPr>
          <w:rFonts w:ascii="Segoe UI Semibold"/>
          <w:b/>
          <w:color w:val="00779B"/>
        </w:rPr>
        <w:t>the school,</w:t>
      </w:r>
      <w:r>
        <w:rPr>
          <w:rFonts w:ascii="Segoe UI Semibold"/>
          <w:b/>
          <w:color w:val="00779B"/>
          <w:spacing w:val="27"/>
        </w:rPr>
        <w:t> </w:t>
      </w:r>
      <w:r>
        <w:rPr>
          <w:rFonts w:ascii="Segoe UI Semibold"/>
          <w:b/>
          <w:color w:val="00779B"/>
          <w:spacing w:val="-1"/>
        </w:rPr>
        <w:t>including expenses </w:t>
      </w:r>
      <w:r>
        <w:rPr>
          <w:rFonts w:ascii="Segoe UI Semibold"/>
          <w:b/>
          <w:color w:val="00779B"/>
          <w:spacing w:val="-2"/>
        </w:rPr>
        <w:t>related</w:t>
      </w:r>
      <w:r>
        <w:rPr>
          <w:rFonts w:ascii="Segoe UI Semibold"/>
          <w:b/>
          <w:color w:val="00779B"/>
          <w:spacing w:val="-1"/>
        </w:rPr>
        <w:t> to</w:t>
      </w:r>
      <w:r>
        <w:rPr>
          <w:rFonts w:ascii="Segoe UI Semibold"/>
          <w:b/>
          <w:color w:val="00779B"/>
          <w:spacing w:val="29"/>
        </w:rPr>
        <w:t> </w:t>
      </w:r>
      <w:r>
        <w:rPr>
          <w:rFonts w:ascii="Segoe UI Semibold"/>
          <w:b/>
          <w:color w:val="00779B"/>
          <w:spacing w:val="-1"/>
        </w:rPr>
        <w:t>the professional</w:t>
      </w:r>
      <w:r>
        <w:rPr>
          <w:rFonts w:ascii="Segoe UI Semibold"/>
          <w:b/>
          <w:color w:val="00779B"/>
          <w:spacing w:val="-3"/>
        </w:rPr>
        <w:t> </w:t>
      </w:r>
      <w:r>
        <w:rPr>
          <w:rFonts w:ascii="Segoe UI Semibold"/>
          <w:b/>
          <w:color w:val="00779B"/>
          <w:spacing w:val="-1"/>
        </w:rPr>
        <w:t>development</w:t>
      </w:r>
      <w:r>
        <w:rPr>
          <w:rFonts w:ascii="Segoe UI Semibold"/>
          <w:b/>
          <w:color w:val="00779B"/>
          <w:spacing w:val="28"/>
        </w:rPr>
        <w:t> </w:t>
      </w:r>
      <w:r>
        <w:rPr>
          <w:rFonts w:ascii="Segoe UI Semibold"/>
          <w:b/>
          <w:color w:val="00779B"/>
          <w:spacing w:val="-2"/>
        </w:rPr>
        <w:t>of </w:t>
      </w:r>
      <w:r>
        <w:rPr>
          <w:rFonts w:ascii="Segoe UI Semibold"/>
          <w:b/>
          <w:color w:val="00779B"/>
        </w:rPr>
        <w:t>the</w:t>
      </w:r>
      <w:r>
        <w:rPr>
          <w:rFonts w:ascii="Segoe UI Semibold"/>
          <w:b/>
          <w:color w:val="00779B"/>
          <w:spacing w:val="-2"/>
        </w:rPr>
        <w:t> </w:t>
      </w:r>
      <w:r>
        <w:rPr>
          <w:rFonts w:ascii="Segoe UI Semibold"/>
          <w:b/>
          <w:color w:val="00779B"/>
          <w:spacing w:val="1"/>
        </w:rPr>
        <w:t>staff;</w:t>
      </w:r>
      <w:r>
        <w:rPr>
          <w:rFonts w:ascii="Segoe UI Semibold"/>
        </w:rPr>
      </w:r>
    </w:p>
    <w:p>
      <w:pPr>
        <w:pStyle w:val="BodyText"/>
        <w:numPr>
          <w:ilvl w:val="1"/>
          <w:numId w:val="5"/>
        </w:numPr>
        <w:tabs>
          <w:tab w:pos="878" w:val="left" w:leader="none"/>
        </w:tabs>
        <w:spacing w:line="250" w:lineRule="exact" w:before="113" w:after="0"/>
        <w:ind w:left="877" w:right="623" w:hanging="400"/>
        <w:jc w:val="left"/>
        <w:rPr>
          <w:rFonts w:ascii="Segoe UI Semibold" w:hAnsi="Segoe UI Semibold" w:cs="Segoe UI Semibold" w:eastAsia="Segoe UI Semibold"/>
        </w:rPr>
      </w:pPr>
      <w:r>
        <w:rPr>
          <w:rFonts w:ascii="Segoe UI Semibold" w:hAnsi="Segoe UI Semibold" w:cs="Segoe UI Semibold" w:eastAsia="Segoe UI Semibold"/>
          <w:b/>
          <w:bCs/>
          <w:color w:val="00779B"/>
          <w:spacing w:val="-1"/>
        </w:rPr>
        <w:t>developing materials related to</w:t>
      </w:r>
      <w:r>
        <w:rPr>
          <w:rFonts w:ascii="Segoe UI Semibold" w:hAnsi="Segoe UI Semibold" w:cs="Segoe UI Semibold" w:eastAsia="Segoe UI Semibold"/>
          <w:b/>
          <w:bCs/>
          <w:color w:val="00779B"/>
          <w:spacing w:val="25"/>
        </w:rPr>
        <w:t> </w:t>
      </w:r>
      <w:r>
        <w:rPr>
          <w:rFonts w:ascii="Segoe UI Semibold" w:hAnsi="Segoe UI Semibold" w:cs="Segoe UI Semibold" w:eastAsia="Segoe UI Semibold"/>
          <w:b/>
          <w:bCs/>
          <w:color w:val="00779B"/>
          <w:spacing w:val="-1"/>
        </w:rPr>
        <w:t>the</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3"/>
        </w:rPr>
        <w:t>school’s</w:t>
      </w:r>
      <w:r>
        <w:rPr>
          <w:rFonts w:ascii="Segoe UI Semibold" w:hAnsi="Segoe UI Semibold" w:cs="Segoe UI Semibold" w:eastAsia="Segoe UI Semibold"/>
          <w:b/>
          <w:bCs/>
          <w:color w:val="00779B"/>
          <w:spacing w:val="-1"/>
        </w:rPr>
        <w:t> curriculum;</w:t>
      </w:r>
      <w:r>
        <w:rPr>
          <w:rFonts w:ascii="Segoe UI Semibold" w:hAnsi="Segoe UI Semibold" w:cs="Segoe UI Semibold" w:eastAsia="Segoe UI Semibold"/>
        </w:rPr>
      </w:r>
    </w:p>
    <w:p>
      <w:pPr>
        <w:pStyle w:val="BodyText"/>
        <w:numPr>
          <w:ilvl w:val="1"/>
          <w:numId w:val="5"/>
        </w:numPr>
        <w:tabs>
          <w:tab w:pos="878" w:val="left" w:leader="none"/>
        </w:tabs>
        <w:spacing w:line="250" w:lineRule="exact" w:before="113" w:after="0"/>
        <w:ind w:left="877" w:right="359" w:hanging="400"/>
        <w:jc w:val="left"/>
        <w:rPr>
          <w:rFonts w:ascii="Segoe UI Semibold" w:hAnsi="Segoe UI Semibold" w:cs="Segoe UI Semibold" w:eastAsia="Segoe UI Semibold"/>
        </w:rPr>
      </w:pPr>
      <w:r>
        <w:rPr>
          <w:rFonts w:ascii="Segoe UI Semibold"/>
          <w:b/>
          <w:color w:val="00779B"/>
        </w:rPr>
        <w:t>general</w:t>
      </w:r>
      <w:r>
        <w:rPr>
          <w:rFonts w:ascii="Segoe UI Semibold"/>
          <w:b/>
          <w:color w:val="00779B"/>
          <w:spacing w:val="-3"/>
        </w:rPr>
        <w:t> </w:t>
      </w:r>
      <w:r>
        <w:rPr>
          <w:rFonts w:ascii="Segoe UI Semibold"/>
          <w:b/>
          <w:color w:val="00779B"/>
          <w:spacing w:val="-1"/>
        </w:rPr>
        <w:t>operating</w:t>
      </w:r>
      <w:r>
        <w:rPr>
          <w:rFonts w:ascii="Segoe UI Semibold"/>
          <w:b/>
          <w:color w:val="00779B"/>
        </w:rPr>
        <w:t> </w:t>
      </w:r>
      <w:r>
        <w:rPr>
          <w:rFonts w:ascii="Segoe UI Semibold"/>
          <w:b/>
          <w:color w:val="00779B"/>
          <w:spacing w:val="-1"/>
        </w:rPr>
        <w:t>expenses</w:t>
      </w:r>
      <w:r>
        <w:rPr>
          <w:rFonts w:ascii="Segoe UI Semibold"/>
          <w:b/>
          <w:color w:val="00779B"/>
        </w:rPr>
        <w:t> </w:t>
      </w:r>
      <w:r>
        <w:rPr>
          <w:rFonts w:ascii="Segoe UI Semibold"/>
          <w:b/>
          <w:color w:val="00779B"/>
          <w:spacing w:val="-2"/>
        </w:rPr>
        <w:t>of</w:t>
      </w:r>
      <w:r>
        <w:rPr>
          <w:rFonts w:ascii="Segoe UI Semibold"/>
          <w:b/>
          <w:color w:val="00779B"/>
        </w:rPr>
        <w:t> </w:t>
      </w:r>
      <w:r>
        <w:rPr>
          <w:rFonts w:ascii="Segoe UI Semibold"/>
          <w:b/>
          <w:color w:val="00779B"/>
          <w:spacing w:val="-1"/>
        </w:rPr>
        <w:t>the</w:t>
      </w:r>
      <w:r>
        <w:rPr>
          <w:rFonts w:ascii="Segoe UI Semibold"/>
          <w:b/>
          <w:color w:val="00779B"/>
          <w:spacing w:val="23"/>
        </w:rPr>
        <w:t> </w:t>
      </w:r>
      <w:r>
        <w:rPr>
          <w:rFonts w:ascii="Segoe UI Semibold"/>
          <w:b/>
          <w:color w:val="00779B"/>
          <w:spacing w:val="-1"/>
        </w:rPr>
        <w:t>school;</w:t>
      </w:r>
      <w:r>
        <w:rPr>
          <w:rFonts w:ascii="Segoe UI Semibold"/>
        </w:rPr>
      </w:r>
    </w:p>
    <w:p>
      <w:pPr>
        <w:pStyle w:val="BodyText"/>
        <w:numPr>
          <w:ilvl w:val="1"/>
          <w:numId w:val="5"/>
        </w:numPr>
        <w:tabs>
          <w:tab w:pos="878" w:val="left" w:leader="none"/>
        </w:tabs>
        <w:spacing w:line="250" w:lineRule="exact" w:before="113" w:after="0"/>
        <w:ind w:left="877" w:right="406" w:hanging="400"/>
        <w:jc w:val="left"/>
        <w:rPr>
          <w:rFonts w:ascii="Segoe UI Semibold" w:hAnsi="Segoe UI Semibold" w:cs="Segoe UI Semibold" w:eastAsia="Segoe UI Semibold"/>
        </w:rPr>
      </w:pPr>
      <w:r>
        <w:rPr>
          <w:rFonts w:ascii="Segoe UI Semibold" w:hAnsi="Segoe UI Semibold" w:cs="Segoe UI Semibold" w:eastAsia="Segoe UI Semibold"/>
          <w:b/>
          <w:bCs/>
          <w:color w:val="00779B"/>
        </w:rPr>
        <w:t>maintaining</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the</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3"/>
        </w:rPr>
        <w:t>school’s</w:t>
      </w:r>
      <w:r>
        <w:rPr>
          <w:rFonts w:ascii="Segoe UI Semibold" w:hAnsi="Segoe UI Semibold" w:cs="Segoe UI Semibold" w:eastAsia="Segoe UI Semibold"/>
          <w:b/>
          <w:bCs/>
          <w:color w:val="00779B"/>
          <w:spacing w:val="-1"/>
        </w:rPr>
        <w:t> land</w:t>
      </w:r>
      <w:r>
        <w:rPr>
          <w:rFonts w:ascii="Segoe UI Semibold" w:hAnsi="Segoe UI Semibold" w:cs="Segoe UI Semibold" w:eastAsia="Segoe UI Semibold"/>
          <w:b/>
          <w:bCs/>
          <w:color w:val="00779B"/>
        </w:rPr>
        <w:t> and</w:t>
      </w:r>
      <w:r>
        <w:rPr>
          <w:rFonts w:ascii="Segoe UI Semibold" w:hAnsi="Segoe UI Semibold" w:cs="Segoe UI Semibold" w:eastAsia="Segoe UI Semibold"/>
          <w:b/>
          <w:bCs/>
          <w:color w:val="00779B"/>
          <w:spacing w:val="28"/>
        </w:rPr>
        <w:t> </w:t>
      </w:r>
      <w:r>
        <w:rPr>
          <w:rFonts w:ascii="Segoe UI Semibold" w:hAnsi="Segoe UI Semibold" w:cs="Segoe UI Semibold" w:eastAsia="Segoe UI Semibold"/>
          <w:b/>
          <w:bCs/>
          <w:color w:val="00779B"/>
        </w:rPr>
        <w:t>buildings;</w:t>
      </w:r>
      <w:r>
        <w:rPr>
          <w:rFonts w:ascii="Segoe UI Semibold" w:hAnsi="Segoe UI Semibold" w:cs="Segoe UI Semibold" w:eastAsia="Segoe UI Semibold"/>
        </w:rPr>
      </w:r>
    </w:p>
    <w:p>
      <w:pPr>
        <w:pStyle w:val="BodyText"/>
        <w:numPr>
          <w:ilvl w:val="1"/>
          <w:numId w:val="5"/>
        </w:numPr>
        <w:tabs>
          <w:tab w:pos="878" w:val="left" w:leader="none"/>
        </w:tabs>
        <w:spacing w:line="250" w:lineRule="exact" w:before="113" w:after="0"/>
        <w:ind w:left="877" w:right="438" w:hanging="400"/>
        <w:jc w:val="left"/>
        <w:rPr>
          <w:rFonts w:ascii="Segoe UI Semibold" w:hAnsi="Segoe UI Semibold" w:cs="Segoe UI Semibold" w:eastAsia="Segoe UI Semibold"/>
        </w:rPr>
      </w:pPr>
      <w:r>
        <w:rPr>
          <w:rFonts w:ascii="Segoe UI Semibold"/>
          <w:b/>
          <w:color w:val="00779B"/>
          <w:spacing w:val="-1"/>
        </w:rPr>
        <w:t>purchasing</w:t>
      </w:r>
      <w:r>
        <w:rPr>
          <w:rFonts w:ascii="Segoe UI Semibold"/>
          <w:b/>
          <w:color w:val="00779B"/>
        </w:rPr>
        <w:t> </w:t>
      </w:r>
      <w:r>
        <w:rPr>
          <w:rFonts w:ascii="Segoe UI Semibold"/>
          <w:b/>
          <w:color w:val="00779B"/>
          <w:spacing w:val="-1"/>
        </w:rPr>
        <w:t>capital</w:t>
      </w:r>
      <w:r>
        <w:rPr>
          <w:rFonts w:ascii="Segoe UI Semibold"/>
          <w:b/>
          <w:color w:val="00779B"/>
        </w:rPr>
        <w:t> </w:t>
      </w:r>
      <w:r>
        <w:rPr>
          <w:rFonts w:ascii="Segoe UI Semibold"/>
          <w:b/>
          <w:color w:val="00779B"/>
          <w:spacing w:val="-1"/>
        </w:rPr>
        <w:t>equipment</w:t>
      </w:r>
      <w:r>
        <w:rPr>
          <w:rFonts w:ascii="Segoe UI Semibold"/>
          <w:b/>
          <w:color w:val="00779B"/>
        </w:rPr>
        <w:t> for</w:t>
      </w:r>
      <w:r>
        <w:rPr>
          <w:rFonts w:ascii="Segoe UI Semibold"/>
          <w:b/>
          <w:color w:val="00779B"/>
          <w:spacing w:val="25"/>
        </w:rPr>
        <w:t> </w:t>
      </w:r>
      <w:r>
        <w:rPr>
          <w:rFonts w:ascii="Segoe UI Semibold"/>
          <w:b/>
          <w:color w:val="00779B"/>
          <w:spacing w:val="-1"/>
        </w:rPr>
        <w:t>the</w:t>
      </w:r>
      <w:r>
        <w:rPr>
          <w:rFonts w:ascii="Segoe UI Semibold"/>
          <w:b/>
          <w:color w:val="00779B"/>
        </w:rPr>
        <w:t> </w:t>
      </w:r>
      <w:r>
        <w:rPr>
          <w:rFonts w:ascii="Segoe UI Semibold"/>
          <w:b/>
          <w:color w:val="00779B"/>
          <w:spacing w:val="-1"/>
        </w:rPr>
        <w:t>school;</w:t>
      </w:r>
      <w:r>
        <w:rPr>
          <w:rFonts w:ascii="Segoe UI Semibold"/>
        </w:rPr>
      </w:r>
    </w:p>
    <w:p>
      <w:pPr>
        <w:pStyle w:val="BodyText"/>
        <w:spacing w:line="250" w:lineRule="exact" w:before="113"/>
        <w:ind w:left="877" w:right="373" w:hanging="400"/>
        <w:jc w:val="left"/>
        <w:rPr>
          <w:rFonts w:ascii="Segoe UI Semibold" w:hAnsi="Segoe UI Semibold" w:cs="Segoe UI Semibold" w:eastAsia="Segoe UI Semibold"/>
          <w:sz w:val="11"/>
          <w:szCs w:val="11"/>
        </w:rPr>
      </w:pPr>
      <w:r>
        <w:rPr>
          <w:rFonts w:ascii="Segoe UI Semibold" w:hAnsi="Segoe UI Semibold" w:cs="Segoe UI Semibold" w:eastAsia="Segoe UI Semibold"/>
          <w:b/>
          <w:bCs/>
          <w:color w:val="00779B"/>
        </w:rPr>
        <w:t>(g) </w:t>
      </w:r>
      <w:r>
        <w:rPr>
          <w:rFonts w:ascii="Segoe UI Semibold" w:hAnsi="Segoe UI Semibold" w:cs="Segoe UI Semibold" w:eastAsia="Segoe UI Semibold"/>
          <w:b/>
          <w:bCs/>
          <w:color w:val="00779B"/>
          <w:spacing w:val="34"/>
        </w:rPr>
        <w:t> </w:t>
      </w:r>
      <w:r>
        <w:rPr>
          <w:rFonts w:ascii="Segoe UI Semibold" w:hAnsi="Segoe UI Semibold" w:cs="Segoe UI Semibold" w:eastAsia="Segoe UI Semibold"/>
          <w:b/>
          <w:bCs/>
          <w:color w:val="00779B"/>
          <w:spacing w:val="-1"/>
        </w:rPr>
        <w:t>in </w:t>
      </w:r>
      <w:r>
        <w:rPr>
          <w:rFonts w:ascii="Segoe UI Semibold" w:hAnsi="Segoe UI Semibold" w:cs="Segoe UI Semibold" w:eastAsia="Segoe UI Semibold"/>
          <w:b/>
          <w:bCs/>
          <w:color w:val="00779B"/>
        </w:rPr>
        <w:t>any</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case—administrative costs</w:t>
      </w:r>
      <w:r>
        <w:rPr>
          <w:rFonts w:ascii="Segoe UI Semibold" w:hAnsi="Segoe UI Semibold" w:cs="Segoe UI Semibold" w:eastAsia="Segoe UI Semibold"/>
          <w:b/>
          <w:bCs/>
          <w:color w:val="00779B"/>
          <w:spacing w:val="22"/>
        </w:rPr>
        <w:t> </w:t>
      </w:r>
      <w:r>
        <w:rPr>
          <w:rFonts w:ascii="Segoe UI Semibold" w:hAnsi="Segoe UI Semibold" w:cs="Segoe UI Semibold" w:eastAsia="Segoe UI Semibold"/>
          <w:b/>
          <w:bCs/>
          <w:color w:val="00779B"/>
          <w:spacing w:val="-1"/>
        </w:rPr>
        <w:t>associated</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with</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the</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approved</w:t>
      </w:r>
      <w:r>
        <w:rPr>
          <w:rFonts w:ascii="Segoe UI Semibold" w:hAnsi="Segoe UI Semibold" w:cs="Segoe UI Semibold" w:eastAsia="Segoe UI Semibold"/>
          <w:b/>
          <w:bCs/>
          <w:color w:val="00779B"/>
          <w:spacing w:val="20"/>
          <w:w w:val="99"/>
        </w:rPr>
        <w:t> </w:t>
      </w:r>
      <w:r>
        <w:rPr>
          <w:rFonts w:ascii="Segoe UI Semibold" w:hAnsi="Segoe UI Semibold" w:cs="Segoe UI Semibold" w:eastAsia="Segoe UI Semibold"/>
          <w:b/>
          <w:bCs/>
          <w:color w:val="00779B"/>
          <w:spacing w:val="-1"/>
        </w:rPr>
        <w:t>authority's compliance</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with</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the</w:t>
      </w:r>
      <w:r>
        <w:rPr>
          <w:rFonts w:ascii="Segoe UI Semibold" w:hAnsi="Segoe UI Semibold" w:cs="Segoe UI Semibold" w:eastAsia="Segoe UI Semibold"/>
          <w:b/>
          <w:bCs/>
          <w:color w:val="00779B"/>
          <w:spacing w:val="27"/>
        </w:rPr>
        <w:t> </w:t>
      </w:r>
      <w:r>
        <w:rPr>
          <w:rFonts w:ascii="Segoe UI Semibold" w:hAnsi="Segoe UI Semibold" w:cs="Segoe UI Semibold" w:eastAsia="Segoe UI Semibold"/>
          <w:b/>
          <w:bCs/>
          <w:color w:val="00779B"/>
          <w:spacing w:val="-1"/>
        </w:rPr>
        <w:t>Act</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and</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the</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2"/>
        </w:rPr>
        <w:t>Regulation.</w:t>
      </w:r>
      <w:r>
        <w:rPr>
          <w:rFonts w:ascii="Segoe UI Semibold" w:hAnsi="Segoe UI Semibold" w:cs="Segoe UI Semibold" w:eastAsia="Segoe UI Semibold"/>
          <w:b/>
          <w:bCs/>
          <w:color w:val="00779B"/>
          <w:spacing w:val="-2"/>
          <w:position w:val="7"/>
          <w:sz w:val="11"/>
          <w:szCs w:val="11"/>
        </w:rPr>
        <w:t>133</w:t>
      </w:r>
      <w:r>
        <w:rPr>
          <w:rFonts w:ascii="Segoe UI Semibold" w:hAnsi="Segoe UI Semibold" w:cs="Segoe UI Semibold" w:eastAsia="Segoe UI Semibold"/>
          <w:sz w:val="11"/>
          <w:szCs w:val="11"/>
        </w:rPr>
      </w:r>
    </w:p>
    <w:p>
      <w:pPr>
        <w:spacing w:after="0" w:line="250" w:lineRule="exact"/>
        <w:jc w:val="left"/>
        <w:rPr>
          <w:rFonts w:ascii="Segoe UI Semibold" w:hAnsi="Segoe UI Semibold" w:cs="Segoe UI Semibold" w:eastAsia="Segoe UI Semibold"/>
          <w:sz w:val="11"/>
          <w:szCs w:val="11"/>
        </w:rPr>
        <w:sectPr>
          <w:type w:val="continuous"/>
          <w:pgSz w:w="11910" w:h="16840"/>
          <w:pgMar w:top="1580" w:bottom="280" w:left="1300" w:right="1680"/>
          <w:cols w:num="2" w:equalWidth="0">
            <w:col w:w="4260" w:space="332"/>
            <w:col w:w="4338"/>
          </w:cols>
        </w:sectPr>
      </w:pPr>
    </w:p>
    <w:p>
      <w:pPr>
        <w:spacing w:line="240" w:lineRule="auto" w:before="0"/>
        <w:rPr>
          <w:rFonts w:ascii="Segoe UI Semibold" w:hAnsi="Segoe UI Semibold" w:cs="Segoe UI Semibold" w:eastAsia="Segoe UI Semibold"/>
          <w:b/>
          <w:bCs/>
          <w:sz w:val="20"/>
          <w:szCs w:val="20"/>
        </w:rPr>
      </w:pPr>
    </w:p>
    <w:p>
      <w:pPr>
        <w:spacing w:line="240" w:lineRule="auto" w:before="11"/>
        <w:rPr>
          <w:rFonts w:ascii="Segoe UI Semibold" w:hAnsi="Segoe UI Semibold" w:cs="Segoe UI Semibold" w:eastAsia="Segoe UI Semibold"/>
          <w:b/>
          <w:bCs/>
          <w:sz w:val="20"/>
          <w:szCs w:val="20"/>
        </w:rPr>
      </w:pPr>
    </w:p>
    <w:p>
      <w:pPr>
        <w:spacing w:after="0" w:line="240" w:lineRule="auto"/>
        <w:rPr>
          <w:rFonts w:ascii="Segoe UI Semibold" w:hAnsi="Segoe UI Semibold" w:cs="Segoe UI Semibold" w:eastAsia="Segoe UI Semibold"/>
          <w:sz w:val="20"/>
          <w:szCs w:val="20"/>
        </w:rPr>
        <w:sectPr>
          <w:pgSz w:w="11910" w:h="16840"/>
          <w:pgMar w:header="0" w:footer="691" w:top="1580" w:bottom="880" w:left="1580" w:right="1300"/>
        </w:sectPr>
      </w:pPr>
    </w:p>
    <w:p>
      <w:pPr>
        <w:pStyle w:val="BodyText"/>
        <w:spacing w:line="250" w:lineRule="exact" w:before="72"/>
        <w:ind w:left="120" w:right="109"/>
        <w:jc w:val="left"/>
      </w:pPr>
      <w:r>
        <w:rPr>
          <w:color w:val="231F20"/>
        </w:rPr>
        <w:t>‘…..</w:t>
      </w:r>
      <w:r>
        <w:rPr>
          <w:color w:val="231F20"/>
          <w:spacing w:val="-3"/>
        </w:rPr>
        <w:t> </w:t>
      </w:r>
      <w:r>
        <w:rPr>
          <w:color w:val="231F20"/>
          <w:spacing w:val="-1"/>
        </w:rPr>
        <w:t>special</w:t>
      </w:r>
      <w:r>
        <w:rPr>
          <w:color w:val="231F20"/>
          <w:spacing w:val="-2"/>
        </w:rPr>
        <w:t> </w:t>
      </w:r>
      <w:r>
        <w:rPr>
          <w:color w:val="231F20"/>
        </w:rPr>
        <w:t>assistance</w:t>
      </w:r>
      <w:r>
        <w:rPr>
          <w:color w:val="231F20"/>
          <w:spacing w:val="-3"/>
        </w:rPr>
        <w:t> </w:t>
      </w:r>
      <w:r>
        <w:rPr>
          <w:color w:val="231F20"/>
          <w:spacing w:val="-1"/>
        </w:rPr>
        <w:t>schools,</w:t>
      </w:r>
      <w:r>
        <w:rPr>
          <w:color w:val="231F20"/>
          <w:spacing w:val="-2"/>
        </w:rPr>
        <w:t> </w:t>
      </w:r>
      <w:r>
        <w:rPr>
          <w:color w:val="231F20"/>
          <w:spacing w:val="-1"/>
        </w:rPr>
        <w:t>sole</w:t>
      </w:r>
      <w:r>
        <w:rPr>
          <w:color w:val="231F20"/>
          <w:spacing w:val="-2"/>
        </w:rPr>
        <w:t> </w:t>
      </w:r>
      <w:r>
        <w:rPr>
          <w:color w:val="231F20"/>
        </w:rPr>
        <w:t>provider</w:t>
      </w:r>
      <w:r>
        <w:rPr>
          <w:color w:val="231F20"/>
          <w:spacing w:val="24"/>
          <w:w w:val="99"/>
        </w:rPr>
        <w:t> </w:t>
      </w:r>
      <w:r>
        <w:rPr>
          <w:color w:val="231F20"/>
          <w:spacing w:val="-1"/>
        </w:rPr>
        <w:t>schools</w:t>
      </w:r>
      <w:r>
        <w:rPr>
          <w:color w:val="231F20"/>
          <w:spacing w:val="-5"/>
        </w:rPr>
        <w:t> </w:t>
      </w:r>
      <w:r>
        <w:rPr>
          <w:color w:val="231F20"/>
        </w:rPr>
        <w:t>and</w:t>
      </w:r>
      <w:r>
        <w:rPr>
          <w:color w:val="231F20"/>
          <w:spacing w:val="-5"/>
        </w:rPr>
        <w:t> </w:t>
      </w:r>
      <w:r>
        <w:rPr>
          <w:color w:val="231F20"/>
          <w:spacing w:val="-1"/>
        </w:rPr>
        <w:t>majority</w:t>
      </w:r>
      <w:r>
        <w:rPr>
          <w:color w:val="231F20"/>
          <w:spacing w:val="-5"/>
        </w:rPr>
        <w:t> </w:t>
      </w:r>
      <w:r>
        <w:rPr>
          <w:color w:val="231F20"/>
        </w:rPr>
        <w:t>Aboriginal</w:t>
      </w:r>
      <w:r>
        <w:rPr>
          <w:color w:val="231F20"/>
          <w:spacing w:val="-5"/>
        </w:rPr>
        <w:t> </w:t>
      </w:r>
      <w:r>
        <w:rPr>
          <w:color w:val="231F20"/>
        </w:rPr>
        <w:t>and</w:t>
      </w:r>
      <w:r>
        <w:rPr>
          <w:color w:val="231F20"/>
          <w:spacing w:val="-5"/>
        </w:rPr>
        <w:t> Torres</w:t>
      </w:r>
      <w:r>
        <w:rPr>
          <w:color w:val="231F20"/>
          <w:spacing w:val="27"/>
          <w:w w:val="99"/>
        </w:rPr>
        <w:t> </w:t>
      </w:r>
      <w:r>
        <w:rPr>
          <w:color w:val="231F20"/>
          <w:spacing w:val="-2"/>
        </w:rPr>
        <w:t>Strait</w:t>
      </w:r>
      <w:r>
        <w:rPr>
          <w:color w:val="231F20"/>
          <w:spacing w:val="-5"/>
        </w:rPr>
        <w:t> </w:t>
      </w:r>
      <w:r>
        <w:rPr>
          <w:color w:val="231F20"/>
          <w:spacing w:val="-1"/>
        </w:rPr>
        <w:t>Islander</w:t>
      </w:r>
      <w:r>
        <w:rPr>
          <w:color w:val="231F20"/>
          <w:spacing w:val="-3"/>
        </w:rPr>
        <w:t> </w:t>
      </w:r>
      <w:r>
        <w:rPr>
          <w:color w:val="231F20"/>
          <w:spacing w:val="-1"/>
        </w:rPr>
        <w:t>schools</w:t>
      </w:r>
      <w:r>
        <w:rPr>
          <w:color w:val="231F20"/>
          <w:spacing w:val="-3"/>
        </w:rPr>
        <w:t> </w:t>
      </w:r>
      <w:r>
        <w:rPr>
          <w:color w:val="231F20"/>
          <w:spacing w:val="-1"/>
        </w:rPr>
        <w:t>may</w:t>
      </w:r>
      <w:r>
        <w:rPr>
          <w:color w:val="231F20"/>
          <w:spacing w:val="-3"/>
        </w:rPr>
        <w:t> </w:t>
      </w:r>
      <w:r>
        <w:rPr>
          <w:color w:val="231F20"/>
        </w:rPr>
        <w:t>also</w:t>
      </w:r>
      <w:r>
        <w:rPr>
          <w:color w:val="231F20"/>
          <w:spacing w:val="-4"/>
        </w:rPr>
        <w:t> </w:t>
      </w:r>
      <w:r>
        <w:rPr>
          <w:color w:val="231F20"/>
        </w:rPr>
        <w:t>use</w:t>
      </w:r>
      <w:r>
        <w:rPr>
          <w:color w:val="231F20"/>
          <w:spacing w:val="-4"/>
        </w:rPr>
        <w:t> </w:t>
      </w:r>
      <w:r>
        <w:rPr>
          <w:color w:val="231F20"/>
        </w:rPr>
        <w:t>recurrent</w:t>
      </w:r>
      <w:r>
        <w:rPr>
          <w:color w:val="231F20"/>
          <w:spacing w:val="29"/>
          <w:w w:val="99"/>
        </w:rPr>
        <w:t> </w:t>
      </w:r>
      <w:r>
        <w:rPr>
          <w:color w:val="231F20"/>
        </w:rPr>
        <w:t>funding</w:t>
      </w:r>
      <w:r>
        <w:rPr>
          <w:color w:val="231F20"/>
          <w:spacing w:val="-5"/>
        </w:rPr>
        <w:t> </w:t>
      </w:r>
      <w:r>
        <w:rPr>
          <w:color w:val="231F20"/>
        </w:rPr>
        <w:t>for</w:t>
      </w:r>
      <w:r>
        <w:rPr>
          <w:color w:val="231F20"/>
          <w:spacing w:val="-5"/>
        </w:rPr>
        <w:t> </w:t>
      </w:r>
      <w:r>
        <w:rPr>
          <w:color w:val="231F20"/>
        </w:rPr>
        <w:t>purchasing</w:t>
      </w:r>
      <w:r>
        <w:rPr>
          <w:color w:val="231F20"/>
          <w:spacing w:val="-6"/>
        </w:rPr>
        <w:t> </w:t>
      </w:r>
      <w:r>
        <w:rPr>
          <w:color w:val="231F20"/>
          <w:spacing w:val="-1"/>
        </w:rPr>
        <w:t>land</w:t>
      </w:r>
      <w:r>
        <w:rPr>
          <w:color w:val="231F20"/>
          <w:spacing w:val="-5"/>
        </w:rPr>
        <w:t> </w:t>
      </w:r>
      <w:r>
        <w:rPr>
          <w:color w:val="231F20"/>
        </w:rPr>
        <w:t>or</w:t>
      </w:r>
      <w:r>
        <w:rPr>
          <w:color w:val="231F20"/>
          <w:spacing w:val="-5"/>
        </w:rPr>
        <w:t> </w:t>
      </w:r>
      <w:r>
        <w:rPr>
          <w:color w:val="231F20"/>
        </w:rPr>
        <w:t>buildings;</w:t>
      </w:r>
      <w:r>
        <w:rPr>
          <w:color w:val="231F20"/>
          <w:spacing w:val="21"/>
        </w:rPr>
        <w:t> </w:t>
      </w:r>
      <w:r>
        <w:rPr>
          <w:color w:val="231F20"/>
        </w:rPr>
        <w:t>construction</w:t>
      </w:r>
      <w:r>
        <w:rPr>
          <w:color w:val="231F20"/>
          <w:spacing w:val="-5"/>
        </w:rPr>
        <w:t> </w:t>
      </w:r>
      <w:r>
        <w:rPr>
          <w:color w:val="231F20"/>
        </w:rPr>
        <w:t>of</w:t>
      </w:r>
      <w:r>
        <w:rPr>
          <w:color w:val="231F20"/>
          <w:spacing w:val="-3"/>
        </w:rPr>
        <w:t> </w:t>
      </w:r>
      <w:r>
        <w:rPr>
          <w:color w:val="231F20"/>
        </w:rPr>
        <w:t>buildings,</w:t>
      </w:r>
      <w:r>
        <w:rPr>
          <w:color w:val="231F20"/>
          <w:spacing w:val="-5"/>
        </w:rPr>
        <w:t> </w:t>
      </w:r>
      <w:r>
        <w:rPr>
          <w:color w:val="231F20"/>
        </w:rPr>
        <w:t>or</w:t>
      </w:r>
      <w:r>
        <w:rPr>
          <w:color w:val="231F20"/>
          <w:spacing w:val="-3"/>
        </w:rPr>
        <w:t> </w:t>
      </w:r>
      <w:r>
        <w:rPr>
          <w:color w:val="231F20"/>
        </w:rPr>
        <w:t>parts</w:t>
      </w:r>
      <w:r>
        <w:rPr>
          <w:color w:val="231F20"/>
          <w:spacing w:val="-5"/>
        </w:rPr>
        <w:t> </w:t>
      </w:r>
      <w:r>
        <w:rPr>
          <w:color w:val="231F20"/>
        </w:rPr>
        <w:t>of</w:t>
      </w:r>
      <w:r>
        <w:rPr>
          <w:color w:val="231F20"/>
          <w:spacing w:val="-3"/>
        </w:rPr>
        <w:t> </w:t>
      </w:r>
      <w:r>
        <w:rPr>
          <w:color w:val="231F20"/>
        </w:rPr>
        <w:t>buildings;</w:t>
      </w:r>
      <w:r>
        <w:rPr>
          <w:color w:val="231F20"/>
        </w:rPr>
        <w:t> capital</w:t>
      </w:r>
      <w:r>
        <w:rPr>
          <w:color w:val="231F20"/>
          <w:spacing w:val="-6"/>
        </w:rPr>
        <w:t> </w:t>
      </w:r>
      <w:r>
        <w:rPr>
          <w:color w:val="231F20"/>
          <w:spacing w:val="-1"/>
        </w:rPr>
        <w:t>improvements;</w:t>
      </w:r>
      <w:r>
        <w:rPr>
          <w:color w:val="231F20"/>
          <w:spacing w:val="-5"/>
        </w:rPr>
        <w:t> </w:t>
      </w:r>
      <w:r>
        <w:rPr>
          <w:color w:val="231F20"/>
        </w:rPr>
        <w:t>and</w:t>
      </w:r>
      <w:r>
        <w:rPr>
          <w:color w:val="231F20"/>
          <w:spacing w:val="-5"/>
        </w:rPr>
        <w:t> </w:t>
      </w:r>
      <w:r>
        <w:rPr>
          <w:color w:val="231F20"/>
        </w:rPr>
        <w:t>any</w:t>
      </w:r>
      <w:r>
        <w:rPr>
          <w:color w:val="231F20"/>
          <w:spacing w:val="-6"/>
        </w:rPr>
        <w:t> </w:t>
      </w:r>
      <w:r>
        <w:rPr>
          <w:color w:val="231F20"/>
        </w:rPr>
        <w:t>related</w:t>
      </w:r>
      <w:r>
        <w:rPr>
          <w:color w:val="231F20"/>
          <w:spacing w:val="-5"/>
        </w:rPr>
        <w:t> </w:t>
      </w:r>
      <w:r>
        <w:rPr>
          <w:color w:val="231F20"/>
          <w:spacing w:val="-1"/>
        </w:rPr>
        <w:t>loan,</w:t>
      </w:r>
      <w:r>
        <w:rPr>
          <w:color w:val="231F20"/>
          <w:spacing w:val="21"/>
          <w:w w:val="99"/>
        </w:rPr>
        <w:t> </w:t>
      </w:r>
      <w:r>
        <w:rPr>
          <w:color w:val="231F20"/>
        </w:rPr>
        <w:t>credit</w:t>
      </w:r>
      <w:r>
        <w:rPr>
          <w:color w:val="231F20"/>
          <w:spacing w:val="-9"/>
        </w:rPr>
        <w:t> </w:t>
      </w:r>
      <w:r>
        <w:rPr>
          <w:color w:val="231F20"/>
        </w:rPr>
        <w:t>or</w:t>
      </w:r>
      <w:r>
        <w:rPr>
          <w:color w:val="231F20"/>
          <w:spacing w:val="-8"/>
        </w:rPr>
        <w:t> </w:t>
      </w:r>
      <w:r>
        <w:rPr>
          <w:color w:val="231F20"/>
        </w:rPr>
        <w:t>other</w:t>
      </w:r>
      <w:r>
        <w:rPr>
          <w:color w:val="231F20"/>
          <w:spacing w:val="-8"/>
        </w:rPr>
        <w:t> </w:t>
      </w:r>
      <w:r>
        <w:rPr>
          <w:color w:val="231F20"/>
        </w:rPr>
        <w:t>arrangement</w:t>
      </w:r>
      <w:r>
        <w:rPr>
          <w:color w:val="231F20"/>
          <w:spacing w:val="-8"/>
        </w:rPr>
        <w:t> </w:t>
      </w:r>
      <w:r>
        <w:rPr>
          <w:color w:val="231F20"/>
        </w:rPr>
        <w:t>(including</w:t>
      </w:r>
      <w:r>
        <w:rPr>
          <w:color w:val="231F20"/>
          <w:spacing w:val="-9"/>
        </w:rPr>
        <w:t> </w:t>
      </w:r>
      <w:r>
        <w:rPr>
          <w:color w:val="231F20"/>
          <w:spacing w:val="-1"/>
        </w:rPr>
        <w:t>interest</w:t>
      </w:r>
      <w:r>
        <w:rPr>
          <w:color w:val="231F20"/>
          <w:spacing w:val="20"/>
          <w:w w:val="99"/>
        </w:rPr>
        <w:t> </w:t>
      </w:r>
      <w:r>
        <w:rPr>
          <w:color w:val="231F20"/>
        </w:rPr>
        <w:t>repayments),</w:t>
      </w:r>
      <w:r>
        <w:rPr>
          <w:color w:val="231F20"/>
          <w:spacing w:val="-5"/>
        </w:rPr>
        <w:t> </w:t>
      </w:r>
      <w:r>
        <w:rPr>
          <w:color w:val="231F20"/>
          <w:spacing w:val="-1"/>
        </w:rPr>
        <w:t>so</w:t>
      </w:r>
      <w:r>
        <w:rPr>
          <w:color w:val="231F20"/>
          <w:spacing w:val="-3"/>
        </w:rPr>
        <w:t> </w:t>
      </w:r>
      <w:r>
        <w:rPr>
          <w:color w:val="231F20"/>
          <w:spacing w:val="-1"/>
        </w:rPr>
        <w:t>long</w:t>
      </w:r>
      <w:r>
        <w:rPr>
          <w:color w:val="231F20"/>
          <w:spacing w:val="-2"/>
        </w:rPr>
        <w:t> </w:t>
      </w:r>
      <w:r>
        <w:rPr>
          <w:color w:val="231F20"/>
        </w:rPr>
        <w:t>as</w:t>
      </w:r>
      <w:r>
        <w:rPr>
          <w:color w:val="231F20"/>
          <w:spacing w:val="-4"/>
        </w:rPr>
        <w:t> </w:t>
      </w:r>
      <w:r>
        <w:rPr>
          <w:color w:val="231F20"/>
          <w:spacing w:val="-1"/>
        </w:rPr>
        <w:t>it</w:t>
      </w:r>
      <w:r>
        <w:rPr>
          <w:color w:val="231F20"/>
          <w:spacing w:val="-2"/>
        </w:rPr>
        <w:t> </w:t>
      </w:r>
      <w:r>
        <w:rPr>
          <w:color w:val="231F20"/>
          <w:spacing w:val="-1"/>
        </w:rPr>
        <w:t>is</w:t>
      </w:r>
      <w:r>
        <w:rPr>
          <w:color w:val="231F20"/>
          <w:spacing w:val="-4"/>
        </w:rPr>
        <w:t> </w:t>
      </w:r>
      <w:r>
        <w:rPr>
          <w:color w:val="231F20"/>
        </w:rPr>
        <w:t>for</w:t>
      </w:r>
      <w:r>
        <w:rPr>
          <w:color w:val="231F20"/>
          <w:spacing w:val="-3"/>
        </w:rPr>
        <w:t> </w:t>
      </w:r>
      <w:r>
        <w:rPr>
          <w:color w:val="231F20"/>
        </w:rPr>
        <w:t>the</w:t>
      </w:r>
      <w:r>
        <w:rPr>
          <w:color w:val="231F20"/>
          <w:spacing w:val="-3"/>
        </w:rPr>
        <w:t> </w:t>
      </w:r>
      <w:r>
        <w:rPr>
          <w:color w:val="231F20"/>
          <w:spacing w:val="-1"/>
        </w:rPr>
        <w:t>school</w:t>
      </w:r>
      <w:r>
        <w:rPr/>
      </w:r>
    </w:p>
    <w:p>
      <w:pPr>
        <w:spacing w:line="250" w:lineRule="exact" w:before="0"/>
        <w:ind w:left="120" w:right="36" w:firstLine="0"/>
        <w:jc w:val="left"/>
        <w:rPr>
          <w:rFonts w:ascii="Segoe UI" w:hAnsi="Segoe UI" w:cs="Segoe UI" w:eastAsia="Segoe UI"/>
          <w:sz w:val="20"/>
          <w:szCs w:val="20"/>
        </w:rPr>
      </w:pPr>
      <w:r>
        <w:rPr/>
        <w:pict>
          <v:group style="position:absolute;margin-left:119.619499pt;margin-top:10.869072pt;width:153.35pt;height:.1pt;mso-position-horizontal-relative:page;mso-position-vertical-relative:paragraph;z-index:-225520" coordorigin="2392,217" coordsize="3067,2">
            <v:shape style="position:absolute;left:2392;top:217;width:3067;height:2" coordorigin="2392,217" coordsize="3067,0" path="m2392,217l5459,217e" filled="false" stroked="true" strokeweight=".581pt" strokecolor="#231f20">
              <v:path arrowok="t"/>
            </v:shape>
            <w10:wrap type="none"/>
          </v:group>
        </w:pict>
      </w:r>
      <w:r>
        <w:rPr/>
        <w:pict>
          <v:group style="position:absolute;margin-left:85.039398pt;margin-top:23.369072pt;width:46.75pt;height:.1pt;mso-position-horizontal-relative:page;mso-position-vertical-relative:paragraph;z-index:-225496" coordorigin="1701,467" coordsize="935,2">
            <v:shape style="position:absolute;left:1701;top:467;width:935;height:2" coordorigin="1701,467" coordsize="935,0" path="m1701,467l2635,467e" filled="false" stroked="true" strokeweight=".581pt" strokecolor="#231f20">
              <v:path arrowok="t"/>
            </v:shape>
            <w10:wrap type="none"/>
          </v:group>
        </w:pict>
      </w:r>
      <w:r>
        <w:rPr>
          <w:rFonts w:ascii="Segoe UI" w:hAnsi="Segoe UI" w:cs="Segoe UI" w:eastAsia="Segoe UI"/>
          <w:color w:val="231F20"/>
          <w:sz w:val="20"/>
          <w:szCs w:val="20"/>
        </w:rPr>
        <w:t>and</w:t>
      </w:r>
      <w:r>
        <w:rPr>
          <w:rFonts w:ascii="Segoe UI" w:hAnsi="Segoe UI" w:cs="Segoe UI" w:eastAsia="Segoe UI"/>
          <w:color w:val="231F20"/>
          <w:spacing w:val="-2"/>
          <w:sz w:val="20"/>
          <w:szCs w:val="20"/>
        </w:rPr>
        <w:t> </w:t>
      </w:r>
      <w:r>
        <w:rPr>
          <w:rFonts w:ascii="Segoe UI" w:hAnsi="Segoe UI" w:cs="Segoe UI" w:eastAsia="Segoe UI"/>
          <w:color w:val="231F20"/>
          <w:sz w:val="20"/>
          <w:szCs w:val="20"/>
        </w:rPr>
        <w:t>for</w:t>
      </w:r>
      <w:r>
        <w:rPr>
          <w:rFonts w:ascii="Segoe UI" w:hAnsi="Segoe UI" w:cs="Segoe UI" w:eastAsia="Segoe UI"/>
          <w:color w:val="231F20"/>
          <w:spacing w:val="-2"/>
          <w:sz w:val="20"/>
          <w:szCs w:val="20"/>
        </w:rPr>
        <w:t> </w:t>
      </w:r>
      <w:r>
        <w:rPr>
          <w:rFonts w:ascii="Segoe UI" w:hAnsi="Segoe UI" w:cs="Segoe UI" w:eastAsia="Segoe UI"/>
          <w:b/>
          <w:bCs/>
          <w:color w:val="231F20"/>
          <w:spacing w:val="-1"/>
          <w:sz w:val="20"/>
          <w:szCs w:val="20"/>
        </w:rPr>
        <w:t>the purpose </w:t>
      </w:r>
      <w:r>
        <w:rPr>
          <w:rFonts w:ascii="Segoe UI" w:hAnsi="Segoe UI" w:cs="Segoe UI" w:eastAsia="Segoe UI"/>
          <w:b/>
          <w:bCs/>
          <w:color w:val="231F20"/>
          <w:spacing w:val="-2"/>
          <w:sz w:val="20"/>
          <w:szCs w:val="20"/>
        </w:rPr>
        <w:t>of </w:t>
      </w:r>
      <w:r>
        <w:rPr>
          <w:rFonts w:ascii="Segoe UI" w:hAnsi="Segoe UI" w:cs="Segoe UI" w:eastAsia="Segoe UI"/>
          <w:b/>
          <w:bCs/>
          <w:color w:val="231F20"/>
          <w:spacing w:val="-1"/>
          <w:sz w:val="20"/>
          <w:szCs w:val="20"/>
        </w:rPr>
        <w:t>providing </w:t>
      </w:r>
      <w:r>
        <w:rPr>
          <w:rFonts w:ascii="Segoe UI" w:hAnsi="Segoe UI" w:cs="Segoe UI" w:eastAsia="Segoe UI"/>
          <w:b/>
          <w:bCs/>
          <w:color w:val="231F20"/>
          <w:sz w:val="20"/>
          <w:szCs w:val="20"/>
        </w:rPr>
        <w:t>school</w:t>
      </w:r>
      <w:r>
        <w:rPr>
          <w:rFonts w:ascii="Segoe UI" w:hAnsi="Segoe UI" w:cs="Segoe UI" w:eastAsia="Segoe UI"/>
          <w:b/>
          <w:bCs/>
          <w:color w:val="231F20"/>
          <w:spacing w:val="25"/>
          <w:sz w:val="20"/>
          <w:szCs w:val="20"/>
        </w:rPr>
        <w:t> </w:t>
      </w:r>
      <w:r>
        <w:rPr>
          <w:rFonts w:ascii="Segoe UI" w:hAnsi="Segoe UI" w:cs="Segoe UI" w:eastAsia="Segoe UI"/>
          <w:b/>
          <w:bCs/>
          <w:color w:val="231F20"/>
          <w:sz w:val="20"/>
          <w:szCs w:val="20"/>
        </w:rPr>
        <w:t>education</w:t>
      </w:r>
      <w:r>
        <w:rPr>
          <w:rFonts w:ascii="Segoe UI" w:hAnsi="Segoe UI" w:cs="Segoe UI" w:eastAsia="Segoe UI"/>
          <w:b/>
          <w:bCs/>
          <w:color w:val="231F20"/>
          <w:spacing w:val="-5"/>
          <w:sz w:val="20"/>
          <w:szCs w:val="20"/>
        </w:rPr>
        <w:t> </w:t>
      </w:r>
      <w:r>
        <w:rPr>
          <w:rFonts w:ascii="Segoe UI" w:hAnsi="Segoe UI" w:cs="Segoe UI" w:eastAsia="Segoe UI"/>
          <w:color w:val="231F20"/>
          <w:sz w:val="20"/>
          <w:szCs w:val="20"/>
        </w:rPr>
        <w:t>(emphasis</w:t>
      </w:r>
      <w:r>
        <w:rPr>
          <w:rFonts w:ascii="Segoe UI" w:hAnsi="Segoe UI" w:cs="Segoe UI" w:eastAsia="Segoe UI"/>
          <w:color w:val="231F20"/>
          <w:spacing w:val="-5"/>
          <w:sz w:val="20"/>
          <w:szCs w:val="20"/>
        </w:rPr>
        <w:t> </w:t>
      </w:r>
      <w:r>
        <w:rPr>
          <w:rFonts w:ascii="Segoe UI" w:hAnsi="Segoe UI" w:cs="Segoe UI" w:eastAsia="Segoe UI"/>
          <w:color w:val="231F20"/>
          <w:sz w:val="20"/>
          <w:szCs w:val="20"/>
        </w:rPr>
        <w:t>added).’</w:t>
      </w:r>
      <w:r>
        <w:rPr>
          <w:rFonts w:ascii="Segoe UI" w:hAnsi="Segoe UI" w:cs="Segoe UI" w:eastAsia="Segoe UI"/>
          <w:sz w:val="20"/>
          <w:szCs w:val="20"/>
        </w:rPr>
      </w:r>
    </w:p>
    <w:p>
      <w:pPr>
        <w:pStyle w:val="BodyText"/>
        <w:spacing w:line="250" w:lineRule="exact" w:before="113"/>
        <w:ind w:left="120" w:right="853"/>
        <w:jc w:val="left"/>
      </w:pPr>
      <w:r>
        <w:rPr>
          <w:color w:val="231F20"/>
        </w:rPr>
        <w:t>Grant</w:t>
      </w:r>
      <w:r>
        <w:rPr>
          <w:color w:val="231F20"/>
          <w:spacing w:val="-7"/>
        </w:rPr>
        <w:t> </w:t>
      </w:r>
      <w:r>
        <w:rPr>
          <w:color w:val="231F20"/>
        </w:rPr>
        <w:t>Thornton</w:t>
      </w:r>
      <w:r>
        <w:rPr>
          <w:color w:val="231F20"/>
          <w:spacing w:val="-6"/>
        </w:rPr>
        <w:t> </w:t>
      </w:r>
      <w:r>
        <w:rPr>
          <w:color w:val="231F20"/>
        </w:rPr>
        <w:t>found</w:t>
      </w:r>
      <w:r>
        <w:rPr>
          <w:color w:val="231F20"/>
          <w:spacing w:val="-7"/>
        </w:rPr>
        <w:t> </w:t>
      </w:r>
      <w:r>
        <w:rPr>
          <w:color w:val="231F20"/>
        </w:rPr>
        <w:t>that</w:t>
      </w:r>
      <w:r>
        <w:rPr>
          <w:color w:val="231F20"/>
          <w:spacing w:val="-6"/>
        </w:rPr>
        <w:t> </w:t>
      </w:r>
      <w:r>
        <w:rPr>
          <w:color w:val="231F20"/>
        </w:rPr>
        <w:t>a</w:t>
      </w:r>
      <w:r>
        <w:rPr>
          <w:color w:val="231F20"/>
          <w:spacing w:val="-7"/>
        </w:rPr>
        <w:t> </w:t>
      </w:r>
      <w:r>
        <w:rPr>
          <w:color w:val="231F20"/>
          <w:spacing w:val="-1"/>
        </w:rPr>
        <w:t>majority</w:t>
      </w:r>
      <w:r>
        <w:rPr>
          <w:color w:val="231F20"/>
          <w:spacing w:val="20"/>
          <w:w w:val="99"/>
        </w:rPr>
        <w:t> </w:t>
      </w:r>
      <w:r>
        <w:rPr>
          <w:color w:val="231F20"/>
        </w:rPr>
        <w:t>of</w:t>
      </w:r>
      <w:r>
        <w:rPr>
          <w:color w:val="231F20"/>
          <w:spacing w:val="-3"/>
        </w:rPr>
        <w:t> </w:t>
      </w:r>
      <w:r>
        <w:rPr>
          <w:color w:val="231F20"/>
        </w:rPr>
        <w:t>boarding</w:t>
      </w:r>
      <w:r>
        <w:rPr>
          <w:color w:val="231F20"/>
          <w:spacing w:val="-4"/>
        </w:rPr>
        <w:t> </w:t>
      </w:r>
      <w:r>
        <w:rPr>
          <w:color w:val="231F20"/>
          <w:spacing w:val="-1"/>
        </w:rPr>
        <w:t>schools</w:t>
      </w:r>
      <w:r>
        <w:rPr>
          <w:color w:val="231F20"/>
          <w:spacing w:val="-3"/>
        </w:rPr>
        <w:t> </w:t>
      </w:r>
      <w:r>
        <w:rPr>
          <w:color w:val="231F20"/>
          <w:spacing w:val="-1"/>
        </w:rPr>
        <w:t>supplemented</w:t>
      </w:r>
      <w:r>
        <w:rPr>
          <w:color w:val="231F20"/>
          <w:spacing w:val="-2"/>
        </w:rPr>
        <w:t> </w:t>
      </w:r>
      <w:r>
        <w:rPr>
          <w:color w:val="231F20"/>
        </w:rPr>
        <w:t>to</w:t>
      </w:r>
      <w:r>
        <w:rPr/>
      </w:r>
    </w:p>
    <w:p>
      <w:pPr>
        <w:pStyle w:val="BodyText"/>
        <w:spacing w:line="250" w:lineRule="exact"/>
        <w:ind w:left="120" w:right="36"/>
        <w:jc w:val="left"/>
      </w:pPr>
      <w:r>
        <w:rPr>
          <w:color w:val="231F20"/>
        </w:rPr>
        <w:t>varying</w:t>
      </w:r>
      <w:r>
        <w:rPr>
          <w:color w:val="231F20"/>
          <w:spacing w:val="-6"/>
        </w:rPr>
        <w:t> </w:t>
      </w:r>
      <w:r>
        <w:rPr>
          <w:color w:val="231F20"/>
        </w:rPr>
        <w:t>degrees</w:t>
      </w:r>
      <w:r>
        <w:rPr>
          <w:color w:val="231F20"/>
          <w:spacing w:val="-5"/>
        </w:rPr>
        <w:t> </w:t>
      </w:r>
      <w:r>
        <w:rPr>
          <w:color w:val="231F20"/>
        </w:rPr>
        <w:t>the</w:t>
      </w:r>
      <w:r>
        <w:rPr>
          <w:color w:val="231F20"/>
          <w:spacing w:val="-6"/>
        </w:rPr>
        <w:t> </w:t>
      </w:r>
      <w:r>
        <w:rPr>
          <w:color w:val="231F20"/>
        </w:rPr>
        <w:t>cost</w:t>
      </w:r>
      <w:r>
        <w:rPr>
          <w:color w:val="231F20"/>
          <w:spacing w:val="-6"/>
        </w:rPr>
        <w:t> </w:t>
      </w:r>
      <w:r>
        <w:rPr>
          <w:color w:val="231F20"/>
        </w:rPr>
        <w:t>of</w:t>
      </w:r>
      <w:r>
        <w:rPr>
          <w:color w:val="231F20"/>
          <w:spacing w:val="-5"/>
        </w:rPr>
        <w:t> </w:t>
      </w:r>
      <w:r>
        <w:rPr>
          <w:color w:val="231F20"/>
        </w:rPr>
        <w:t>boarding</w:t>
      </w:r>
      <w:r>
        <w:rPr>
          <w:color w:val="231F20"/>
          <w:spacing w:val="-6"/>
        </w:rPr>
        <w:t> </w:t>
      </w:r>
      <w:r>
        <w:rPr>
          <w:color w:val="231F20"/>
        </w:rPr>
        <w:t>with</w:t>
      </w:r>
      <w:r>
        <w:rPr>
          <w:color w:val="231F20"/>
          <w:w w:val="99"/>
        </w:rPr>
        <w:t> </w:t>
      </w:r>
      <w:r>
        <w:rPr>
          <w:color w:val="231F20"/>
          <w:spacing w:val="-1"/>
        </w:rPr>
        <w:t>Commonwealth</w:t>
      </w:r>
      <w:r>
        <w:rPr>
          <w:color w:val="231F20"/>
          <w:spacing w:val="-10"/>
        </w:rPr>
        <w:t> </w:t>
      </w:r>
      <w:r>
        <w:rPr>
          <w:color w:val="231F20"/>
        </w:rPr>
        <w:t>recurrent</w:t>
      </w:r>
      <w:r>
        <w:rPr>
          <w:color w:val="231F20"/>
          <w:spacing w:val="-11"/>
        </w:rPr>
        <w:t> </w:t>
      </w:r>
      <w:r>
        <w:rPr>
          <w:color w:val="231F20"/>
          <w:spacing w:val="-1"/>
        </w:rPr>
        <w:t>school</w:t>
      </w:r>
      <w:r>
        <w:rPr>
          <w:color w:val="231F20"/>
          <w:spacing w:val="-10"/>
        </w:rPr>
        <w:t> </w:t>
      </w:r>
      <w:r>
        <w:rPr>
          <w:color w:val="231F20"/>
        </w:rPr>
        <w:t>funding.</w:t>
      </w:r>
      <w:r>
        <w:rPr>
          <w:color w:val="231F20"/>
          <w:spacing w:val="23"/>
          <w:w w:val="99"/>
        </w:rPr>
        <w:t> </w:t>
      </w:r>
      <w:r>
        <w:rPr>
          <w:color w:val="231F20"/>
        </w:rPr>
        <w:t>However,</w:t>
      </w:r>
      <w:r>
        <w:rPr>
          <w:color w:val="231F20"/>
          <w:spacing w:val="-7"/>
        </w:rPr>
        <w:t> </w:t>
      </w:r>
      <w:r>
        <w:rPr>
          <w:color w:val="231F20"/>
        </w:rPr>
        <w:t>the</w:t>
      </w:r>
      <w:r>
        <w:rPr>
          <w:color w:val="231F20"/>
          <w:spacing w:val="-7"/>
        </w:rPr>
        <w:t> </w:t>
      </w:r>
      <w:r>
        <w:rPr>
          <w:color w:val="231F20"/>
        </w:rPr>
        <w:t>ability</w:t>
      </w:r>
      <w:r>
        <w:rPr>
          <w:color w:val="231F20"/>
          <w:spacing w:val="-8"/>
        </w:rPr>
        <w:t> </w:t>
      </w:r>
      <w:r>
        <w:rPr>
          <w:color w:val="231F20"/>
        </w:rPr>
        <w:t>to</w:t>
      </w:r>
      <w:r>
        <w:rPr>
          <w:color w:val="231F20"/>
          <w:spacing w:val="-6"/>
        </w:rPr>
        <w:t> </w:t>
      </w:r>
      <w:r>
        <w:rPr>
          <w:color w:val="231F20"/>
        </w:rPr>
        <w:t>use</w:t>
      </w:r>
      <w:r>
        <w:rPr>
          <w:color w:val="231F20"/>
          <w:spacing w:val="-8"/>
        </w:rPr>
        <w:t> </w:t>
      </w:r>
      <w:r>
        <w:rPr>
          <w:color w:val="231F20"/>
          <w:spacing w:val="-1"/>
        </w:rPr>
        <w:t>Commonwealth</w:t>
      </w:r>
      <w:r>
        <w:rPr>
          <w:color w:val="231F20"/>
          <w:spacing w:val="20"/>
          <w:w w:val="99"/>
        </w:rPr>
        <w:t> </w:t>
      </w:r>
      <w:r>
        <w:rPr>
          <w:color w:val="231F20"/>
        </w:rPr>
        <w:t>recurrent</w:t>
      </w:r>
      <w:r>
        <w:rPr>
          <w:color w:val="231F20"/>
          <w:spacing w:val="-7"/>
        </w:rPr>
        <w:t> </w:t>
      </w:r>
      <w:r>
        <w:rPr>
          <w:color w:val="231F20"/>
          <w:spacing w:val="-1"/>
        </w:rPr>
        <w:t>school</w:t>
      </w:r>
      <w:r>
        <w:rPr>
          <w:color w:val="231F20"/>
          <w:spacing w:val="-6"/>
        </w:rPr>
        <w:t> </w:t>
      </w:r>
      <w:r>
        <w:rPr>
          <w:color w:val="231F20"/>
        </w:rPr>
        <w:t>funding</w:t>
      </w:r>
      <w:r>
        <w:rPr>
          <w:color w:val="231F20"/>
          <w:spacing w:val="-6"/>
        </w:rPr>
        <w:t> </w:t>
      </w:r>
      <w:r>
        <w:rPr>
          <w:color w:val="231F20"/>
        </w:rPr>
        <w:t>for</w:t>
      </w:r>
      <w:r>
        <w:rPr>
          <w:color w:val="231F20"/>
          <w:spacing w:val="-6"/>
        </w:rPr>
        <w:t> </w:t>
      </w:r>
      <w:r>
        <w:rPr>
          <w:color w:val="231F20"/>
        </w:rPr>
        <w:t>‘wrap</w:t>
      </w:r>
      <w:r>
        <w:rPr>
          <w:color w:val="231F20"/>
          <w:spacing w:val="-5"/>
        </w:rPr>
        <w:t> </w:t>
      </w:r>
      <w:r>
        <w:rPr>
          <w:color w:val="231F20"/>
        </w:rPr>
        <w:t>around’</w:t>
      </w:r>
      <w:r>
        <w:rPr>
          <w:color w:val="231F20"/>
          <w:spacing w:val="21"/>
          <w:w w:val="99"/>
        </w:rPr>
        <w:t> </w:t>
      </w:r>
      <w:r>
        <w:rPr>
          <w:color w:val="231F20"/>
          <w:spacing w:val="-1"/>
        </w:rPr>
        <w:t>support</w:t>
      </w:r>
      <w:r>
        <w:rPr>
          <w:color w:val="231F20"/>
          <w:spacing w:val="-3"/>
        </w:rPr>
        <w:t> </w:t>
      </w:r>
      <w:r>
        <w:rPr>
          <w:color w:val="231F20"/>
          <w:spacing w:val="-1"/>
        </w:rPr>
        <w:t>services</w:t>
      </w:r>
      <w:r>
        <w:rPr>
          <w:color w:val="231F20"/>
          <w:spacing w:val="-3"/>
        </w:rPr>
        <w:t> </w:t>
      </w:r>
      <w:r>
        <w:rPr>
          <w:color w:val="231F20"/>
        </w:rPr>
        <w:t>of</w:t>
      </w:r>
      <w:r>
        <w:rPr>
          <w:color w:val="231F20"/>
          <w:spacing w:val="-3"/>
        </w:rPr>
        <w:t> </w:t>
      </w:r>
      <w:r>
        <w:rPr>
          <w:color w:val="231F20"/>
        </w:rPr>
        <w:t>boarding</w:t>
      </w:r>
      <w:r>
        <w:rPr>
          <w:color w:val="231F20"/>
          <w:spacing w:val="-4"/>
        </w:rPr>
        <w:t> </w:t>
      </w:r>
      <w:r>
        <w:rPr>
          <w:color w:val="231F20"/>
          <w:spacing w:val="-1"/>
        </w:rPr>
        <w:t>is</w:t>
      </w:r>
      <w:r>
        <w:rPr>
          <w:color w:val="231F20"/>
          <w:spacing w:val="-3"/>
        </w:rPr>
        <w:t> </w:t>
      </w:r>
      <w:r>
        <w:rPr>
          <w:color w:val="231F20"/>
          <w:spacing w:val="-1"/>
        </w:rPr>
        <w:t>limited—it</w:t>
      </w:r>
      <w:r>
        <w:rPr>
          <w:color w:val="231F20"/>
          <w:spacing w:val="-3"/>
        </w:rPr>
        <w:t> </w:t>
      </w:r>
      <w:r>
        <w:rPr>
          <w:color w:val="231F20"/>
          <w:spacing w:val="-1"/>
        </w:rPr>
        <w:t>must</w:t>
      </w:r>
      <w:r>
        <w:rPr>
          <w:color w:val="231F20"/>
          <w:spacing w:val="24"/>
        </w:rPr>
        <w:t> </w:t>
      </w:r>
      <w:r>
        <w:rPr>
          <w:color w:val="231F20"/>
        </w:rPr>
        <w:t>be</w:t>
      </w:r>
      <w:r>
        <w:rPr>
          <w:color w:val="231F20"/>
          <w:spacing w:val="-4"/>
        </w:rPr>
        <w:t> </w:t>
      </w:r>
      <w:r>
        <w:rPr>
          <w:color w:val="231F20"/>
        </w:rPr>
        <w:t>related</w:t>
      </w:r>
      <w:r>
        <w:rPr>
          <w:color w:val="231F20"/>
          <w:spacing w:val="-4"/>
        </w:rPr>
        <w:t> </w:t>
      </w:r>
      <w:r>
        <w:rPr>
          <w:color w:val="231F20"/>
        </w:rPr>
        <w:t>to</w:t>
      </w:r>
      <w:r>
        <w:rPr>
          <w:color w:val="231F20"/>
          <w:spacing w:val="-4"/>
        </w:rPr>
        <w:t> </w:t>
      </w:r>
      <w:r>
        <w:rPr>
          <w:color w:val="231F20"/>
        </w:rPr>
        <w:t>the</w:t>
      </w:r>
      <w:r>
        <w:rPr>
          <w:color w:val="231F20"/>
          <w:spacing w:val="-4"/>
        </w:rPr>
        <w:t> </w:t>
      </w:r>
      <w:r>
        <w:rPr>
          <w:color w:val="231F20"/>
        </w:rPr>
        <w:t>provision</w:t>
      </w:r>
      <w:r>
        <w:rPr>
          <w:color w:val="231F20"/>
          <w:spacing w:val="-5"/>
        </w:rPr>
        <w:t> </w:t>
      </w:r>
      <w:r>
        <w:rPr>
          <w:color w:val="231F20"/>
        </w:rPr>
        <w:t>of</w:t>
      </w:r>
      <w:r>
        <w:rPr>
          <w:color w:val="231F20"/>
          <w:spacing w:val="-3"/>
        </w:rPr>
        <w:t> </w:t>
      </w:r>
      <w:r>
        <w:rPr>
          <w:color w:val="231F20"/>
          <w:spacing w:val="-1"/>
        </w:rPr>
        <w:t>school</w:t>
      </w:r>
      <w:r>
        <w:rPr>
          <w:color w:val="231F20"/>
          <w:spacing w:val="-4"/>
        </w:rPr>
        <w:t> </w:t>
      </w:r>
      <w:r>
        <w:rPr>
          <w:color w:val="231F20"/>
        </w:rPr>
        <w:t>education.</w:t>
      </w:r>
      <w:r>
        <w:rPr/>
      </w:r>
    </w:p>
    <w:p>
      <w:pPr>
        <w:pStyle w:val="BodyText"/>
        <w:spacing w:line="250" w:lineRule="exact" w:before="113"/>
        <w:ind w:left="120" w:right="55"/>
        <w:jc w:val="both"/>
      </w:pPr>
      <w:r>
        <w:rPr>
          <w:color w:val="231F20"/>
          <w:spacing w:val="-1"/>
        </w:rPr>
        <w:t>Boarding</w:t>
      </w:r>
      <w:r>
        <w:rPr>
          <w:color w:val="231F20"/>
          <w:spacing w:val="-4"/>
        </w:rPr>
        <w:t> </w:t>
      </w:r>
      <w:r>
        <w:rPr>
          <w:color w:val="231F20"/>
        </w:rPr>
        <w:t>providers</w:t>
      </w:r>
      <w:r>
        <w:rPr>
          <w:color w:val="231F20"/>
          <w:spacing w:val="-5"/>
        </w:rPr>
        <w:t> </w:t>
      </w:r>
      <w:r>
        <w:rPr>
          <w:color w:val="231F20"/>
        </w:rPr>
        <w:t>that</w:t>
      </w:r>
      <w:r>
        <w:rPr>
          <w:color w:val="231F20"/>
          <w:spacing w:val="-4"/>
        </w:rPr>
        <w:t> </w:t>
      </w:r>
      <w:r>
        <w:rPr>
          <w:color w:val="231F20"/>
        </w:rPr>
        <w:t>are</w:t>
      </w:r>
      <w:r>
        <w:rPr>
          <w:color w:val="231F20"/>
          <w:spacing w:val="-5"/>
        </w:rPr>
        <w:t> </w:t>
      </w:r>
      <w:r>
        <w:rPr>
          <w:color w:val="231F20"/>
        </w:rPr>
        <w:t>not</w:t>
      </w:r>
      <w:r>
        <w:rPr>
          <w:color w:val="231F20"/>
          <w:spacing w:val="-4"/>
        </w:rPr>
        <w:t> </w:t>
      </w:r>
      <w:r>
        <w:rPr>
          <w:color w:val="231F20"/>
        </w:rPr>
        <w:t>part</w:t>
      </w:r>
      <w:r>
        <w:rPr>
          <w:color w:val="231F20"/>
          <w:spacing w:val="-5"/>
        </w:rPr>
        <w:t> </w:t>
      </w:r>
      <w:r>
        <w:rPr>
          <w:color w:val="231F20"/>
        </w:rPr>
        <w:t>of</w:t>
      </w:r>
      <w:r>
        <w:rPr>
          <w:color w:val="231F20"/>
          <w:spacing w:val="-5"/>
        </w:rPr>
        <w:t> </w:t>
      </w:r>
      <w:r>
        <w:rPr>
          <w:color w:val="231F20"/>
        </w:rPr>
        <w:t>a</w:t>
      </w:r>
      <w:r>
        <w:rPr>
          <w:color w:val="231F20"/>
          <w:spacing w:val="-4"/>
        </w:rPr>
        <w:t> </w:t>
      </w:r>
      <w:r>
        <w:rPr>
          <w:color w:val="231F20"/>
          <w:spacing w:val="-1"/>
        </w:rPr>
        <w:t>school</w:t>
      </w:r>
      <w:r>
        <w:rPr>
          <w:color w:val="231F20"/>
          <w:spacing w:val="21"/>
        </w:rPr>
        <w:t> </w:t>
      </w:r>
      <w:r>
        <w:rPr>
          <w:color w:val="231F20"/>
          <w:spacing w:val="-1"/>
        </w:rPr>
        <w:t>structure</w:t>
      </w:r>
      <w:r>
        <w:rPr>
          <w:color w:val="231F20"/>
          <w:spacing w:val="-6"/>
        </w:rPr>
        <w:t> </w:t>
      </w:r>
      <w:r>
        <w:rPr>
          <w:color w:val="231F20"/>
        </w:rPr>
        <w:t>do</w:t>
      </w:r>
      <w:r>
        <w:rPr>
          <w:color w:val="231F20"/>
          <w:spacing w:val="-7"/>
        </w:rPr>
        <w:t> </w:t>
      </w:r>
      <w:r>
        <w:rPr>
          <w:color w:val="231F20"/>
        </w:rPr>
        <w:t>not</w:t>
      </w:r>
      <w:r>
        <w:rPr>
          <w:color w:val="231F20"/>
          <w:spacing w:val="-7"/>
        </w:rPr>
        <w:t> </w:t>
      </w:r>
      <w:r>
        <w:rPr>
          <w:color w:val="231F20"/>
        </w:rPr>
        <w:t>have</w:t>
      </w:r>
      <w:r>
        <w:rPr>
          <w:color w:val="231F20"/>
          <w:spacing w:val="-6"/>
        </w:rPr>
        <w:t> </w:t>
      </w:r>
      <w:r>
        <w:rPr>
          <w:color w:val="231F20"/>
        </w:rPr>
        <w:t>access</w:t>
      </w:r>
      <w:r>
        <w:rPr>
          <w:color w:val="231F20"/>
          <w:spacing w:val="-7"/>
        </w:rPr>
        <w:t> </w:t>
      </w:r>
      <w:r>
        <w:rPr>
          <w:color w:val="231F20"/>
        </w:rPr>
        <w:t>to</w:t>
      </w:r>
      <w:r>
        <w:rPr>
          <w:color w:val="231F20"/>
          <w:spacing w:val="-6"/>
        </w:rPr>
        <w:t> </w:t>
      </w:r>
      <w:r>
        <w:rPr>
          <w:color w:val="231F20"/>
          <w:spacing w:val="-1"/>
        </w:rPr>
        <w:t>Commonwealth</w:t>
      </w:r>
      <w:r>
        <w:rPr>
          <w:color w:val="231F20"/>
          <w:spacing w:val="21"/>
          <w:w w:val="99"/>
        </w:rPr>
        <w:t> </w:t>
      </w:r>
      <w:r>
        <w:rPr>
          <w:color w:val="231F20"/>
        </w:rPr>
        <w:t>recurrent</w:t>
      </w:r>
      <w:r>
        <w:rPr>
          <w:color w:val="231F20"/>
          <w:spacing w:val="-9"/>
        </w:rPr>
        <w:t> </w:t>
      </w:r>
      <w:r>
        <w:rPr>
          <w:color w:val="231F20"/>
          <w:spacing w:val="-1"/>
        </w:rPr>
        <w:t>school</w:t>
      </w:r>
      <w:r>
        <w:rPr>
          <w:color w:val="231F20"/>
          <w:spacing w:val="-8"/>
        </w:rPr>
        <w:t> </w:t>
      </w:r>
      <w:r>
        <w:rPr>
          <w:color w:val="231F20"/>
        </w:rPr>
        <w:t>funding.</w:t>
      </w:r>
      <w:r>
        <w:rPr/>
      </w:r>
    </w:p>
    <w:p>
      <w:pPr>
        <w:spacing w:line="250" w:lineRule="exact" w:before="113"/>
        <w:ind w:left="120" w:right="248" w:firstLine="0"/>
        <w:jc w:val="left"/>
        <w:rPr>
          <w:rFonts w:ascii="Segoe UI" w:hAnsi="Segoe UI" w:cs="Segoe UI" w:eastAsia="Segoe UI"/>
          <w:sz w:val="20"/>
          <w:szCs w:val="20"/>
        </w:rPr>
      </w:pPr>
      <w:r>
        <w:rPr>
          <w:rFonts w:ascii="Segoe UI"/>
          <w:color w:val="231F20"/>
          <w:sz w:val="20"/>
        </w:rPr>
        <w:t>As</w:t>
      </w:r>
      <w:r>
        <w:rPr>
          <w:rFonts w:ascii="Segoe UI"/>
          <w:color w:val="231F20"/>
          <w:spacing w:val="-3"/>
          <w:sz w:val="20"/>
        </w:rPr>
        <w:t> </w:t>
      </w:r>
      <w:r>
        <w:rPr>
          <w:rFonts w:ascii="Segoe UI"/>
          <w:color w:val="231F20"/>
          <w:spacing w:val="-1"/>
          <w:sz w:val="20"/>
        </w:rPr>
        <w:t>set </w:t>
      </w:r>
      <w:r>
        <w:rPr>
          <w:rFonts w:ascii="Segoe UI"/>
          <w:color w:val="231F20"/>
          <w:sz w:val="20"/>
        </w:rPr>
        <w:t>out</w:t>
      </w:r>
      <w:r>
        <w:rPr>
          <w:rFonts w:ascii="Segoe UI"/>
          <w:color w:val="231F20"/>
          <w:spacing w:val="-2"/>
          <w:sz w:val="20"/>
        </w:rPr>
        <w:t> </w:t>
      </w:r>
      <w:r>
        <w:rPr>
          <w:rFonts w:ascii="Segoe UI"/>
          <w:color w:val="231F20"/>
          <w:spacing w:val="-1"/>
          <w:sz w:val="20"/>
        </w:rPr>
        <w:t>in </w:t>
      </w:r>
      <w:r>
        <w:rPr>
          <w:rFonts w:ascii="Segoe UI"/>
          <w:color w:val="231F20"/>
          <w:sz w:val="20"/>
        </w:rPr>
        <w:t>the</w:t>
      </w:r>
      <w:r>
        <w:rPr>
          <w:rFonts w:ascii="Segoe UI"/>
          <w:color w:val="231F20"/>
          <w:spacing w:val="-3"/>
          <w:sz w:val="20"/>
        </w:rPr>
        <w:t> </w:t>
      </w:r>
      <w:r>
        <w:rPr>
          <w:rFonts w:ascii="Segoe UI"/>
          <w:i/>
          <w:color w:val="231F20"/>
          <w:spacing w:val="-1"/>
          <w:sz w:val="20"/>
        </w:rPr>
        <w:t>Australian </w:t>
      </w:r>
      <w:r>
        <w:rPr>
          <w:rFonts w:ascii="Segoe UI"/>
          <w:i/>
          <w:color w:val="231F20"/>
          <w:sz w:val="20"/>
        </w:rPr>
        <w:t>Education</w:t>
      </w:r>
      <w:r>
        <w:rPr>
          <w:rFonts w:ascii="Segoe UI"/>
          <w:i/>
          <w:color w:val="231F20"/>
          <w:spacing w:val="-2"/>
          <w:sz w:val="20"/>
        </w:rPr>
        <w:t> </w:t>
      </w:r>
      <w:r>
        <w:rPr>
          <w:rFonts w:ascii="Segoe UI"/>
          <w:i/>
          <w:color w:val="231F20"/>
          <w:sz w:val="20"/>
        </w:rPr>
        <w:t>Act</w:t>
      </w:r>
      <w:r>
        <w:rPr>
          <w:rFonts w:ascii="Segoe UI"/>
          <w:i/>
          <w:color w:val="231F20"/>
          <w:spacing w:val="21"/>
          <w:sz w:val="20"/>
        </w:rPr>
        <w:t> </w:t>
      </w:r>
      <w:r>
        <w:rPr>
          <w:rFonts w:ascii="Segoe UI"/>
          <w:i/>
          <w:color w:val="231F20"/>
          <w:sz w:val="20"/>
        </w:rPr>
        <w:t>2013</w:t>
      </w:r>
      <w:r>
        <w:rPr>
          <w:rFonts w:ascii="Segoe UI"/>
          <w:color w:val="231F20"/>
          <w:sz w:val="20"/>
        </w:rPr>
        <w:t>,</w:t>
      </w:r>
      <w:r>
        <w:rPr>
          <w:rFonts w:ascii="Segoe UI"/>
          <w:color w:val="231F20"/>
          <w:spacing w:val="-2"/>
          <w:sz w:val="20"/>
        </w:rPr>
        <w:t> </w:t>
      </w:r>
      <w:r>
        <w:rPr>
          <w:rFonts w:ascii="Segoe UI"/>
          <w:color w:val="231F20"/>
          <w:sz w:val="20"/>
        </w:rPr>
        <w:t>the</w:t>
      </w:r>
      <w:r>
        <w:rPr>
          <w:rFonts w:ascii="Segoe UI"/>
          <w:color w:val="231F20"/>
          <w:spacing w:val="-3"/>
          <w:sz w:val="20"/>
        </w:rPr>
        <w:t> </w:t>
      </w:r>
      <w:r>
        <w:rPr>
          <w:rFonts w:ascii="Segoe UI"/>
          <w:color w:val="231F20"/>
          <w:spacing w:val="-1"/>
          <w:sz w:val="20"/>
        </w:rPr>
        <w:t>SRS</w:t>
      </w:r>
      <w:r>
        <w:rPr>
          <w:rFonts w:ascii="Segoe UI"/>
          <w:color w:val="231F20"/>
          <w:spacing w:val="-2"/>
          <w:sz w:val="20"/>
        </w:rPr>
        <w:t> </w:t>
      </w:r>
      <w:r>
        <w:rPr>
          <w:rFonts w:ascii="Segoe UI"/>
          <w:color w:val="231F20"/>
          <w:spacing w:val="-1"/>
          <w:sz w:val="20"/>
        </w:rPr>
        <w:t>is</w:t>
      </w:r>
      <w:r>
        <w:rPr>
          <w:rFonts w:ascii="Segoe UI"/>
          <w:color w:val="231F20"/>
          <w:spacing w:val="-3"/>
          <w:sz w:val="20"/>
        </w:rPr>
        <w:t> </w:t>
      </w:r>
      <w:r>
        <w:rPr>
          <w:rFonts w:ascii="Segoe UI"/>
          <w:color w:val="231F20"/>
          <w:spacing w:val="-1"/>
          <w:sz w:val="20"/>
        </w:rPr>
        <w:t>made </w:t>
      </w:r>
      <w:r>
        <w:rPr>
          <w:rFonts w:ascii="Segoe UI"/>
          <w:color w:val="231F20"/>
          <w:sz w:val="20"/>
        </w:rPr>
        <w:t>up</w:t>
      </w:r>
      <w:r>
        <w:rPr>
          <w:rFonts w:ascii="Segoe UI"/>
          <w:color w:val="231F20"/>
          <w:spacing w:val="-2"/>
          <w:sz w:val="20"/>
        </w:rPr>
        <w:t> </w:t>
      </w:r>
      <w:r>
        <w:rPr>
          <w:rFonts w:ascii="Segoe UI"/>
          <w:color w:val="231F20"/>
          <w:sz w:val="20"/>
        </w:rPr>
        <w:t>of</w:t>
      </w:r>
      <w:r>
        <w:rPr>
          <w:rFonts w:ascii="Segoe UI"/>
          <w:color w:val="231F20"/>
          <w:spacing w:val="-2"/>
          <w:sz w:val="20"/>
        </w:rPr>
        <w:t> </w:t>
      </w:r>
      <w:r>
        <w:rPr>
          <w:rFonts w:ascii="Segoe UI"/>
          <w:color w:val="231F20"/>
          <w:sz w:val="20"/>
        </w:rPr>
        <w:t>amendments</w:t>
      </w:r>
      <w:r>
        <w:rPr>
          <w:rFonts w:ascii="Segoe UI"/>
          <w:color w:val="231F20"/>
          <w:spacing w:val="-3"/>
          <w:sz w:val="20"/>
        </w:rPr>
        <w:t> </w:t>
      </w:r>
      <w:r>
        <w:rPr>
          <w:rFonts w:ascii="Segoe UI"/>
          <w:color w:val="231F20"/>
          <w:sz w:val="20"/>
        </w:rPr>
        <w:t>to</w:t>
      </w:r>
      <w:r>
        <w:rPr>
          <w:rFonts w:ascii="Segoe UI"/>
          <w:color w:val="231F20"/>
          <w:spacing w:val="24"/>
          <w:w w:val="99"/>
          <w:sz w:val="20"/>
        </w:rPr>
        <w:t> </w:t>
      </w:r>
      <w:r>
        <w:rPr>
          <w:rFonts w:ascii="Segoe UI"/>
          <w:color w:val="231F20"/>
          <w:sz w:val="20"/>
        </w:rPr>
        <w:t>the</w:t>
      </w:r>
      <w:r>
        <w:rPr>
          <w:rFonts w:ascii="Segoe UI"/>
          <w:color w:val="231F20"/>
          <w:spacing w:val="-4"/>
          <w:sz w:val="20"/>
        </w:rPr>
        <w:t> </w:t>
      </w:r>
      <w:r>
        <w:rPr>
          <w:rFonts w:ascii="Segoe UI"/>
          <w:i/>
          <w:color w:val="231F20"/>
          <w:spacing w:val="-1"/>
          <w:sz w:val="20"/>
        </w:rPr>
        <w:t>Australian</w:t>
      </w:r>
      <w:r>
        <w:rPr>
          <w:rFonts w:ascii="Segoe UI"/>
          <w:i/>
          <w:color w:val="231F20"/>
          <w:spacing w:val="-2"/>
          <w:sz w:val="20"/>
        </w:rPr>
        <w:t> </w:t>
      </w:r>
      <w:r>
        <w:rPr>
          <w:rFonts w:ascii="Segoe UI"/>
          <w:i/>
          <w:color w:val="231F20"/>
          <w:sz w:val="20"/>
        </w:rPr>
        <w:t>Education</w:t>
      </w:r>
      <w:r>
        <w:rPr>
          <w:rFonts w:ascii="Segoe UI"/>
          <w:i/>
          <w:color w:val="231F20"/>
          <w:spacing w:val="-2"/>
          <w:sz w:val="20"/>
        </w:rPr>
        <w:t> </w:t>
      </w:r>
      <w:r>
        <w:rPr>
          <w:rFonts w:ascii="Segoe UI"/>
          <w:i/>
          <w:color w:val="231F20"/>
          <w:sz w:val="20"/>
        </w:rPr>
        <w:t>Act</w:t>
      </w:r>
      <w:r>
        <w:rPr>
          <w:rFonts w:ascii="Segoe UI"/>
          <w:i/>
          <w:color w:val="231F20"/>
          <w:spacing w:val="-3"/>
          <w:sz w:val="20"/>
        </w:rPr>
        <w:t> </w:t>
      </w:r>
      <w:r>
        <w:rPr>
          <w:rFonts w:ascii="Segoe UI"/>
          <w:i/>
          <w:color w:val="231F20"/>
          <w:sz w:val="20"/>
        </w:rPr>
        <w:t>2013</w:t>
      </w:r>
      <w:r>
        <w:rPr>
          <w:rFonts w:ascii="Segoe UI"/>
          <w:i/>
          <w:color w:val="231F20"/>
          <w:spacing w:val="-3"/>
          <w:sz w:val="20"/>
        </w:rPr>
        <w:t> </w:t>
      </w:r>
      <w:r>
        <w:rPr>
          <w:rFonts w:ascii="Segoe UI"/>
          <w:color w:val="231F20"/>
          <w:spacing w:val="-1"/>
          <w:sz w:val="20"/>
        </w:rPr>
        <w:t>is</w:t>
      </w:r>
      <w:r>
        <w:rPr>
          <w:rFonts w:ascii="Segoe UI"/>
          <w:color w:val="231F20"/>
          <w:spacing w:val="-3"/>
          <w:sz w:val="20"/>
        </w:rPr>
        <w:t> </w:t>
      </w:r>
      <w:r>
        <w:rPr>
          <w:rFonts w:ascii="Segoe UI"/>
          <w:color w:val="231F20"/>
          <w:spacing w:val="-1"/>
          <w:sz w:val="20"/>
        </w:rPr>
        <w:t>made</w:t>
      </w:r>
      <w:r>
        <w:rPr>
          <w:rFonts w:ascii="Segoe UI"/>
          <w:color w:val="231F20"/>
          <w:spacing w:val="-2"/>
          <w:sz w:val="20"/>
        </w:rPr>
        <w:t> </w:t>
      </w:r>
      <w:r>
        <w:rPr>
          <w:rFonts w:ascii="Segoe UI"/>
          <w:color w:val="231F20"/>
          <w:sz w:val="20"/>
        </w:rPr>
        <w:t>up</w:t>
      </w:r>
      <w:r>
        <w:rPr>
          <w:rFonts w:ascii="Segoe UI"/>
          <w:color w:val="231F20"/>
          <w:spacing w:val="21"/>
          <w:w w:val="99"/>
          <w:sz w:val="20"/>
        </w:rPr>
        <w:t> </w:t>
      </w:r>
      <w:r>
        <w:rPr>
          <w:rFonts w:ascii="Segoe UI"/>
          <w:color w:val="231F20"/>
          <w:sz w:val="20"/>
        </w:rPr>
        <w:t>of</w:t>
      </w:r>
      <w:r>
        <w:rPr>
          <w:rFonts w:ascii="Segoe UI"/>
          <w:color w:val="231F20"/>
          <w:spacing w:val="-5"/>
          <w:sz w:val="20"/>
        </w:rPr>
        <w:t> </w:t>
      </w:r>
      <w:r>
        <w:rPr>
          <w:rFonts w:ascii="Segoe UI"/>
          <w:color w:val="231F20"/>
          <w:sz w:val="20"/>
        </w:rPr>
        <w:t>a</w:t>
      </w:r>
      <w:r>
        <w:rPr>
          <w:rFonts w:ascii="Segoe UI"/>
          <w:color w:val="231F20"/>
          <w:spacing w:val="-5"/>
          <w:sz w:val="20"/>
        </w:rPr>
        <w:t> </w:t>
      </w:r>
      <w:r>
        <w:rPr>
          <w:rFonts w:ascii="Segoe UI"/>
          <w:color w:val="231F20"/>
          <w:sz w:val="20"/>
        </w:rPr>
        <w:t>base</w:t>
      </w:r>
      <w:r>
        <w:rPr>
          <w:rFonts w:ascii="Segoe UI"/>
          <w:color w:val="231F20"/>
          <w:spacing w:val="-6"/>
          <w:sz w:val="20"/>
        </w:rPr>
        <w:t> </w:t>
      </w:r>
      <w:r>
        <w:rPr>
          <w:rFonts w:ascii="Segoe UI"/>
          <w:color w:val="231F20"/>
          <w:sz w:val="20"/>
        </w:rPr>
        <w:t>amount</w:t>
      </w:r>
      <w:r>
        <w:rPr>
          <w:rFonts w:ascii="Segoe UI"/>
          <w:color w:val="231F20"/>
          <w:spacing w:val="-5"/>
          <w:sz w:val="20"/>
        </w:rPr>
        <w:t> </w:t>
      </w:r>
      <w:r>
        <w:rPr>
          <w:rFonts w:ascii="Segoe UI"/>
          <w:color w:val="231F20"/>
          <w:sz w:val="20"/>
        </w:rPr>
        <w:t>for</w:t>
      </w:r>
      <w:r>
        <w:rPr>
          <w:rFonts w:ascii="Segoe UI"/>
          <w:color w:val="231F20"/>
          <w:spacing w:val="-5"/>
          <w:sz w:val="20"/>
        </w:rPr>
        <w:t> </w:t>
      </w:r>
      <w:r>
        <w:rPr>
          <w:rFonts w:ascii="Segoe UI"/>
          <w:color w:val="231F20"/>
          <w:sz w:val="20"/>
        </w:rPr>
        <w:t>every</w:t>
      </w:r>
      <w:r>
        <w:rPr>
          <w:rFonts w:ascii="Segoe UI"/>
          <w:color w:val="231F20"/>
          <w:spacing w:val="-5"/>
          <w:sz w:val="20"/>
        </w:rPr>
        <w:t> </w:t>
      </w:r>
      <w:r>
        <w:rPr>
          <w:rFonts w:ascii="Segoe UI"/>
          <w:color w:val="231F20"/>
          <w:spacing w:val="-1"/>
          <w:sz w:val="20"/>
        </w:rPr>
        <w:t>student,</w:t>
      </w:r>
      <w:r>
        <w:rPr>
          <w:rFonts w:ascii="Segoe UI"/>
          <w:color w:val="231F20"/>
          <w:spacing w:val="-4"/>
          <w:sz w:val="20"/>
        </w:rPr>
        <w:t> </w:t>
      </w:r>
      <w:r>
        <w:rPr>
          <w:rFonts w:ascii="Segoe UI"/>
          <w:color w:val="231F20"/>
          <w:sz w:val="20"/>
        </w:rPr>
        <w:t>along</w:t>
      </w:r>
      <w:r>
        <w:rPr>
          <w:rFonts w:ascii="Segoe UI"/>
          <w:color w:val="231F20"/>
          <w:spacing w:val="22"/>
          <w:w w:val="99"/>
          <w:sz w:val="20"/>
        </w:rPr>
        <w:t> </w:t>
      </w:r>
      <w:r>
        <w:rPr>
          <w:rFonts w:ascii="Segoe UI"/>
          <w:color w:val="231F20"/>
          <w:sz w:val="20"/>
        </w:rPr>
        <w:t>with</w:t>
      </w:r>
      <w:r>
        <w:rPr>
          <w:rFonts w:ascii="Segoe UI"/>
          <w:color w:val="231F20"/>
          <w:spacing w:val="-5"/>
          <w:sz w:val="20"/>
        </w:rPr>
        <w:t> </w:t>
      </w:r>
      <w:r>
        <w:rPr>
          <w:rFonts w:ascii="Segoe UI"/>
          <w:color w:val="231F20"/>
          <w:spacing w:val="-1"/>
          <w:sz w:val="20"/>
        </w:rPr>
        <w:t>six</w:t>
      </w:r>
      <w:r>
        <w:rPr>
          <w:rFonts w:ascii="Segoe UI"/>
          <w:color w:val="231F20"/>
          <w:spacing w:val="-4"/>
          <w:sz w:val="20"/>
        </w:rPr>
        <w:t> </w:t>
      </w:r>
      <w:r>
        <w:rPr>
          <w:rFonts w:ascii="Segoe UI"/>
          <w:color w:val="231F20"/>
          <w:spacing w:val="-1"/>
          <w:sz w:val="20"/>
        </w:rPr>
        <w:t>loadings</w:t>
      </w:r>
      <w:r>
        <w:rPr>
          <w:rFonts w:ascii="Segoe UI"/>
          <w:color w:val="231F20"/>
          <w:spacing w:val="-4"/>
          <w:sz w:val="20"/>
        </w:rPr>
        <w:t> </w:t>
      </w:r>
      <w:r>
        <w:rPr>
          <w:rFonts w:ascii="Segoe UI"/>
          <w:color w:val="231F20"/>
          <w:sz w:val="20"/>
        </w:rPr>
        <w:t>to</w:t>
      </w:r>
      <w:r>
        <w:rPr>
          <w:rFonts w:ascii="Segoe UI"/>
          <w:color w:val="231F20"/>
          <w:spacing w:val="-3"/>
          <w:sz w:val="20"/>
        </w:rPr>
        <w:t> </w:t>
      </w:r>
      <w:r>
        <w:rPr>
          <w:rFonts w:ascii="Segoe UI"/>
          <w:color w:val="231F20"/>
          <w:sz w:val="20"/>
        </w:rPr>
        <w:t>provide</w:t>
      </w:r>
      <w:r>
        <w:rPr>
          <w:rFonts w:ascii="Segoe UI"/>
          <w:color w:val="231F20"/>
          <w:spacing w:val="-5"/>
          <w:sz w:val="20"/>
        </w:rPr>
        <w:t> </w:t>
      </w:r>
      <w:r>
        <w:rPr>
          <w:rFonts w:ascii="Segoe UI"/>
          <w:color w:val="231F20"/>
          <w:sz w:val="20"/>
        </w:rPr>
        <w:t>extra</w:t>
      </w:r>
      <w:r>
        <w:rPr>
          <w:rFonts w:ascii="Segoe UI"/>
          <w:color w:val="231F20"/>
          <w:spacing w:val="-4"/>
          <w:sz w:val="20"/>
        </w:rPr>
        <w:t> </w:t>
      </w:r>
      <w:r>
        <w:rPr>
          <w:rFonts w:ascii="Segoe UI"/>
          <w:color w:val="231F20"/>
          <w:sz w:val="20"/>
        </w:rPr>
        <w:t>funding</w:t>
      </w:r>
      <w:r>
        <w:rPr>
          <w:rFonts w:ascii="Segoe UI"/>
          <w:color w:val="231F20"/>
          <w:spacing w:val="-3"/>
          <w:sz w:val="20"/>
        </w:rPr>
        <w:t> </w:t>
      </w:r>
      <w:r>
        <w:rPr>
          <w:rFonts w:ascii="Segoe UI"/>
          <w:color w:val="231F20"/>
          <w:sz w:val="20"/>
        </w:rPr>
        <w:t>for</w:t>
      </w:r>
      <w:r>
        <w:rPr>
          <w:rFonts w:ascii="Segoe UI"/>
          <w:color w:val="231F20"/>
          <w:spacing w:val="23"/>
          <w:w w:val="99"/>
          <w:sz w:val="20"/>
        </w:rPr>
        <w:t> </w:t>
      </w:r>
      <w:r>
        <w:rPr>
          <w:rFonts w:ascii="Segoe UI"/>
          <w:color w:val="231F20"/>
          <w:sz w:val="20"/>
        </w:rPr>
        <w:t>disadvantaged</w:t>
      </w:r>
      <w:r>
        <w:rPr>
          <w:rFonts w:ascii="Segoe UI"/>
          <w:color w:val="231F20"/>
          <w:spacing w:val="-7"/>
          <w:sz w:val="20"/>
        </w:rPr>
        <w:t> </w:t>
      </w:r>
      <w:r>
        <w:rPr>
          <w:rFonts w:ascii="Segoe UI"/>
          <w:color w:val="231F20"/>
          <w:spacing w:val="-1"/>
          <w:sz w:val="20"/>
        </w:rPr>
        <w:t>students</w:t>
      </w:r>
      <w:r>
        <w:rPr>
          <w:rFonts w:ascii="Segoe UI"/>
          <w:color w:val="231F20"/>
          <w:spacing w:val="-5"/>
          <w:sz w:val="20"/>
        </w:rPr>
        <w:t> </w:t>
      </w:r>
      <w:r>
        <w:rPr>
          <w:rFonts w:ascii="Segoe UI"/>
          <w:color w:val="231F20"/>
          <w:sz w:val="20"/>
        </w:rPr>
        <w:t>and</w:t>
      </w:r>
      <w:r>
        <w:rPr>
          <w:rFonts w:ascii="Segoe UI"/>
          <w:color w:val="231F20"/>
          <w:spacing w:val="-7"/>
          <w:sz w:val="20"/>
        </w:rPr>
        <w:t> </w:t>
      </w:r>
      <w:r>
        <w:rPr>
          <w:rFonts w:ascii="Segoe UI"/>
          <w:color w:val="231F20"/>
          <w:spacing w:val="-1"/>
          <w:sz w:val="20"/>
        </w:rPr>
        <w:t>schools.</w:t>
      </w:r>
      <w:r>
        <w:rPr>
          <w:rFonts w:ascii="Segoe UI"/>
          <w:sz w:val="20"/>
        </w:rPr>
      </w:r>
    </w:p>
    <w:p>
      <w:pPr>
        <w:pStyle w:val="BodyText"/>
        <w:spacing w:line="250" w:lineRule="exact" w:before="113"/>
        <w:ind w:left="120" w:right="220"/>
        <w:jc w:val="left"/>
      </w:pPr>
      <w:r>
        <w:rPr>
          <w:color w:val="231F20"/>
        </w:rPr>
        <w:t>More</w:t>
      </w:r>
      <w:r>
        <w:rPr>
          <w:color w:val="231F20"/>
          <w:spacing w:val="-12"/>
        </w:rPr>
        <w:t> </w:t>
      </w:r>
      <w:r>
        <w:rPr>
          <w:color w:val="231F20"/>
          <w:spacing w:val="-1"/>
        </w:rPr>
        <w:t>information</w:t>
      </w:r>
      <w:r>
        <w:rPr>
          <w:color w:val="231F20"/>
          <w:spacing w:val="-11"/>
        </w:rPr>
        <w:t> </w:t>
      </w:r>
      <w:r>
        <w:rPr>
          <w:color w:val="231F20"/>
        </w:rPr>
        <w:t>about</w:t>
      </w:r>
      <w:r>
        <w:rPr>
          <w:color w:val="231F20"/>
          <w:spacing w:val="-13"/>
        </w:rPr>
        <w:t> </w:t>
      </w:r>
      <w:r>
        <w:rPr>
          <w:color w:val="231F20"/>
          <w:spacing w:val="-1"/>
        </w:rPr>
        <w:t>Commonwealth</w:t>
      </w:r>
      <w:r>
        <w:rPr>
          <w:color w:val="231F20"/>
          <w:spacing w:val="21"/>
          <w:w w:val="99"/>
        </w:rPr>
        <w:t> </w:t>
      </w:r>
      <w:r>
        <w:rPr>
          <w:color w:val="231F20"/>
        </w:rPr>
        <w:t>recurrent</w:t>
      </w:r>
      <w:r>
        <w:rPr>
          <w:color w:val="231F20"/>
          <w:spacing w:val="-4"/>
        </w:rPr>
        <w:t> </w:t>
      </w:r>
      <w:r>
        <w:rPr>
          <w:color w:val="231F20"/>
          <w:spacing w:val="-1"/>
        </w:rPr>
        <w:t>school</w:t>
      </w:r>
      <w:r>
        <w:rPr>
          <w:color w:val="231F20"/>
          <w:spacing w:val="-3"/>
        </w:rPr>
        <w:t> </w:t>
      </w:r>
      <w:r>
        <w:rPr>
          <w:color w:val="231F20"/>
        </w:rPr>
        <w:t>funding</w:t>
      </w:r>
      <w:r>
        <w:rPr>
          <w:color w:val="231F20"/>
          <w:spacing w:val="-3"/>
        </w:rPr>
        <w:t> </w:t>
      </w:r>
      <w:r>
        <w:rPr>
          <w:color w:val="231F20"/>
          <w:spacing w:val="-1"/>
        </w:rPr>
        <w:t>is</w:t>
      </w:r>
      <w:r>
        <w:rPr>
          <w:color w:val="231F20"/>
          <w:spacing w:val="-4"/>
        </w:rPr>
        <w:t> </w:t>
      </w:r>
      <w:r>
        <w:rPr>
          <w:color w:val="231F20"/>
          <w:spacing w:val="-1"/>
        </w:rPr>
        <w:t>set</w:t>
      </w:r>
      <w:r>
        <w:rPr>
          <w:color w:val="231F20"/>
          <w:spacing w:val="-3"/>
        </w:rPr>
        <w:t> </w:t>
      </w:r>
      <w:r>
        <w:rPr>
          <w:color w:val="231F20"/>
        </w:rPr>
        <w:t>out</w:t>
      </w:r>
      <w:r>
        <w:rPr>
          <w:color w:val="231F20"/>
          <w:spacing w:val="-3"/>
        </w:rPr>
        <w:t> </w:t>
      </w:r>
      <w:r>
        <w:rPr>
          <w:color w:val="231F20"/>
          <w:spacing w:val="-1"/>
        </w:rPr>
        <w:t>in</w:t>
      </w:r>
      <w:r>
        <w:rPr>
          <w:color w:val="231F20"/>
          <w:spacing w:val="23"/>
        </w:rPr>
        <w:t> </w:t>
      </w:r>
      <w:r>
        <w:rPr>
          <w:color w:val="231F20"/>
        </w:rPr>
        <w:t>Appendix</w:t>
      </w:r>
      <w:r>
        <w:rPr>
          <w:color w:val="231F20"/>
          <w:spacing w:val="-9"/>
        </w:rPr>
        <w:t> </w:t>
      </w:r>
      <w:r>
        <w:rPr>
          <w:color w:val="231F20"/>
          <w:spacing w:val="-1"/>
        </w:rPr>
        <w:t>B.</w:t>
      </w:r>
      <w:r>
        <w:rPr/>
      </w:r>
    </w:p>
    <w:p>
      <w:pPr>
        <w:pStyle w:val="Heading2"/>
        <w:spacing w:line="240" w:lineRule="auto"/>
        <w:ind w:left="120" w:right="0"/>
        <w:jc w:val="left"/>
        <w:rPr>
          <w:b w:val="0"/>
          <w:bCs w:val="0"/>
        </w:rPr>
      </w:pPr>
      <w:bookmarkStart w:name="_TOC_250026" w:id="10"/>
      <w:r>
        <w:rPr>
          <w:b w:val="0"/>
        </w:rPr>
        <w:br w:type="column"/>
      </w:r>
      <w:r>
        <w:rPr>
          <w:color w:val="452A70"/>
          <w:spacing w:val="-2"/>
        </w:rPr>
        <w:t>State</w:t>
      </w:r>
      <w:r>
        <w:rPr>
          <w:color w:val="452A70"/>
          <w:spacing w:val="-3"/>
        </w:rPr>
        <w:t> </w:t>
      </w:r>
      <w:r>
        <w:rPr>
          <w:color w:val="452A70"/>
          <w:spacing w:val="-1"/>
        </w:rPr>
        <w:t>and</w:t>
      </w:r>
      <w:r>
        <w:rPr>
          <w:color w:val="452A70"/>
          <w:spacing w:val="-2"/>
        </w:rPr>
        <w:t> </w:t>
      </w:r>
      <w:r>
        <w:rPr>
          <w:color w:val="452A70"/>
        </w:rPr>
        <w:t>territory</w:t>
      </w:r>
      <w:r>
        <w:rPr>
          <w:color w:val="452A70"/>
          <w:spacing w:val="-3"/>
        </w:rPr>
        <w:t> </w:t>
      </w:r>
      <w:r>
        <w:rPr>
          <w:color w:val="452A70"/>
          <w:spacing w:val="-1"/>
        </w:rPr>
        <w:t>funding</w:t>
      </w:r>
      <w:bookmarkEnd w:id="10"/>
      <w:r>
        <w:rPr>
          <w:b w:val="0"/>
        </w:rPr>
      </w:r>
    </w:p>
    <w:p>
      <w:pPr>
        <w:pStyle w:val="BodyText"/>
        <w:spacing w:line="250" w:lineRule="exact" w:before="111"/>
        <w:ind w:left="120" w:right="200"/>
        <w:jc w:val="left"/>
      </w:pPr>
      <w:r>
        <w:rPr>
          <w:color w:val="231F20"/>
        </w:rPr>
        <w:t>Under</w:t>
      </w:r>
      <w:r>
        <w:rPr>
          <w:color w:val="231F20"/>
          <w:spacing w:val="-5"/>
        </w:rPr>
        <w:t> </w:t>
      </w:r>
      <w:r>
        <w:rPr>
          <w:color w:val="231F20"/>
        </w:rPr>
        <w:t>the</w:t>
      </w:r>
      <w:r>
        <w:rPr>
          <w:color w:val="231F20"/>
          <w:spacing w:val="-5"/>
        </w:rPr>
        <w:t> </w:t>
      </w:r>
      <w:r>
        <w:rPr>
          <w:color w:val="231F20"/>
          <w:spacing w:val="-1"/>
        </w:rPr>
        <w:t>Commonwealth’s</w:t>
      </w:r>
      <w:r>
        <w:rPr>
          <w:color w:val="231F20"/>
          <w:spacing w:val="-4"/>
        </w:rPr>
        <w:t> </w:t>
      </w:r>
      <w:r>
        <w:rPr>
          <w:color w:val="231F20"/>
        </w:rPr>
        <w:t>recurrent</w:t>
      </w:r>
      <w:r>
        <w:rPr>
          <w:color w:val="231F20"/>
          <w:spacing w:val="-5"/>
        </w:rPr>
        <w:t> </w:t>
      </w:r>
      <w:r>
        <w:rPr>
          <w:color w:val="231F20"/>
          <w:spacing w:val="-1"/>
        </w:rPr>
        <w:t>school</w:t>
      </w:r>
      <w:r>
        <w:rPr>
          <w:color w:val="231F20"/>
          <w:spacing w:val="21"/>
        </w:rPr>
        <w:t> </w:t>
      </w:r>
      <w:r>
        <w:rPr>
          <w:color w:val="231F20"/>
        </w:rPr>
        <w:t>funding</w:t>
      </w:r>
      <w:r>
        <w:rPr>
          <w:color w:val="231F20"/>
          <w:spacing w:val="-7"/>
        </w:rPr>
        <w:t> </w:t>
      </w:r>
      <w:r>
        <w:rPr>
          <w:color w:val="231F20"/>
        </w:rPr>
        <w:t>regime</w:t>
      </w:r>
      <w:r>
        <w:rPr>
          <w:color w:val="231F20"/>
          <w:spacing w:val="-7"/>
        </w:rPr>
        <w:t> </w:t>
      </w:r>
      <w:r>
        <w:rPr>
          <w:color w:val="231F20"/>
        </w:rPr>
        <w:t>the</w:t>
      </w:r>
      <w:r>
        <w:rPr>
          <w:color w:val="231F20"/>
          <w:spacing w:val="-7"/>
        </w:rPr>
        <w:t> </w:t>
      </w:r>
      <w:r>
        <w:rPr>
          <w:color w:val="231F20"/>
        </w:rPr>
        <w:t>relevant</w:t>
      </w:r>
      <w:r>
        <w:rPr>
          <w:color w:val="231F20"/>
          <w:spacing w:val="-8"/>
        </w:rPr>
        <w:t> </w:t>
      </w:r>
      <w:r>
        <w:rPr>
          <w:color w:val="231F20"/>
          <w:spacing w:val="-1"/>
        </w:rPr>
        <w:t>state</w:t>
      </w:r>
      <w:r>
        <w:rPr>
          <w:color w:val="231F20"/>
          <w:spacing w:val="-6"/>
        </w:rPr>
        <w:t> </w:t>
      </w:r>
      <w:r>
        <w:rPr>
          <w:color w:val="231F20"/>
        </w:rPr>
        <w:t>and</w:t>
      </w:r>
      <w:r>
        <w:rPr>
          <w:color w:val="231F20"/>
          <w:spacing w:val="-7"/>
        </w:rPr>
        <w:t> </w:t>
      </w:r>
      <w:r>
        <w:rPr>
          <w:color w:val="231F20"/>
        </w:rPr>
        <w:t>territory</w:t>
      </w:r>
      <w:r>
        <w:rPr>
          <w:color w:val="231F20"/>
          <w:spacing w:val="21"/>
          <w:w w:val="99"/>
        </w:rPr>
        <w:t> </w:t>
      </w:r>
      <w:r>
        <w:rPr>
          <w:color w:val="231F20"/>
        </w:rPr>
        <w:t>government</w:t>
      </w:r>
      <w:r>
        <w:rPr>
          <w:color w:val="231F20"/>
          <w:spacing w:val="-6"/>
        </w:rPr>
        <w:t> </w:t>
      </w:r>
      <w:r>
        <w:rPr>
          <w:color w:val="231F20"/>
          <w:spacing w:val="-1"/>
        </w:rPr>
        <w:t>must</w:t>
      </w:r>
      <w:r>
        <w:rPr>
          <w:color w:val="231F20"/>
          <w:spacing w:val="-4"/>
        </w:rPr>
        <w:t> </w:t>
      </w:r>
      <w:r>
        <w:rPr>
          <w:color w:val="231F20"/>
        </w:rPr>
        <w:t>provide</w:t>
      </w:r>
      <w:r>
        <w:rPr>
          <w:color w:val="231F20"/>
          <w:spacing w:val="-6"/>
        </w:rPr>
        <w:t> </w:t>
      </w:r>
      <w:r>
        <w:rPr>
          <w:color w:val="231F20"/>
        </w:rPr>
        <w:t>a</w:t>
      </w:r>
      <w:r>
        <w:rPr>
          <w:color w:val="231F20"/>
          <w:spacing w:val="-4"/>
        </w:rPr>
        <w:t> </w:t>
      </w:r>
      <w:r>
        <w:rPr>
          <w:color w:val="231F20"/>
        </w:rPr>
        <w:t>certain</w:t>
      </w:r>
      <w:r>
        <w:rPr>
          <w:color w:val="231F20"/>
          <w:spacing w:val="-5"/>
        </w:rPr>
        <w:t> </w:t>
      </w:r>
      <w:r>
        <w:rPr>
          <w:color w:val="231F20"/>
          <w:spacing w:val="-1"/>
        </w:rPr>
        <w:t>level</w:t>
      </w:r>
      <w:r>
        <w:rPr>
          <w:color w:val="231F20"/>
          <w:spacing w:val="-5"/>
        </w:rPr>
        <w:t> </w:t>
      </w:r>
      <w:r>
        <w:rPr>
          <w:color w:val="231F20"/>
        </w:rPr>
        <w:t>of</w:t>
      </w:r>
      <w:r>
        <w:rPr>
          <w:color w:val="231F20"/>
          <w:spacing w:val="23"/>
          <w:w w:val="99"/>
        </w:rPr>
        <w:t> </w:t>
      </w:r>
      <w:r>
        <w:rPr>
          <w:color w:val="231F20"/>
        </w:rPr>
        <w:t>funding</w:t>
      </w:r>
      <w:r>
        <w:rPr>
          <w:color w:val="231F20"/>
          <w:spacing w:val="-4"/>
        </w:rPr>
        <w:t> </w:t>
      </w:r>
      <w:r>
        <w:rPr>
          <w:color w:val="231F20"/>
        </w:rPr>
        <w:t>to</w:t>
      </w:r>
      <w:r>
        <w:rPr>
          <w:color w:val="231F20"/>
          <w:spacing w:val="-4"/>
        </w:rPr>
        <w:t> </w:t>
      </w:r>
      <w:r>
        <w:rPr>
          <w:color w:val="231F20"/>
        </w:rPr>
        <w:t>a</w:t>
      </w:r>
      <w:r>
        <w:rPr>
          <w:color w:val="231F20"/>
          <w:spacing w:val="-3"/>
        </w:rPr>
        <w:t> </w:t>
      </w:r>
      <w:r>
        <w:rPr>
          <w:color w:val="231F20"/>
          <w:spacing w:val="-1"/>
        </w:rPr>
        <w:t>school,</w:t>
      </w:r>
      <w:r>
        <w:rPr>
          <w:color w:val="231F20"/>
          <w:spacing w:val="-4"/>
        </w:rPr>
        <w:t> </w:t>
      </w:r>
      <w:r>
        <w:rPr>
          <w:color w:val="231F20"/>
        </w:rPr>
        <w:t>depending</w:t>
      </w:r>
      <w:r>
        <w:rPr>
          <w:color w:val="231F20"/>
          <w:spacing w:val="-4"/>
        </w:rPr>
        <w:t> </w:t>
      </w:r>
      <w:r>
        <w:rPr>
          <w:color w:val="231F20"/>
        </w:rPr>
        <w:t>on</w:t>
      </w:r>
      <w:r>
        <w:rPr>
          <w:color w:val="231F20"/>
          <w:spacing w:val="-4"/>
        </w:rPr>
        <w:t> </w:t>
      </w:r>
      <w:r>
        <w:rPr>
          <w:color w:val="231F20"/>
        </w:rPr>
        <w:t>whether</w:t>
      </w:r>
      <w:r>
        <w:rPr>
          <w:color w:val="231F20"/>
          <w:spacing w:val="-5"/>
        </w:rPr>
        <w:t> </w:t>
      </w:r>
      <w:r>
        <w:rPr>
          <w:color w:val="231F20"/>
          <w:spacing w:val="-1"/>
        </w:rPr>
        <w:t>it</w:t>
      </w:r>
      <w:r>
        <w:rPr>
          <w:color w:val="231F20"/>
          <w:spacing w:val="-3"/>
        </w:rPr>
        <w:t> </w:t>
      </w:r>
      <w:r>
        <w:rPr>
          <w:color w:val="231F20"/>
          <w:spacing w:val="-1"/>
        </w:rPr>
        <w:t>is</w:t>
      </w:r>
      <w:r>
        <w:rPr>
          <w:color w:val="231F20"/>
          <w:spacing w:val="22"/>
        </w:rPr>
        <w:t> </w:t>
      </w:r>
      <w:r>
        <w:rPr>
          <w:color w:val="231F20"/>
        </w:rPr>
        <w:t>a</w:t>
      </w:r>
      <w:r>
        <w:rPr>
          <w:color w:val="231F20"/>
          <w:spacing w:val="-6"/>
        </w:rPr>
        <w:t> </w:t>
      </w:r>
      <w:r>
        <w:rPr>
          <w:color w:val="231F20"/>
        </w:rPr>
        <w:t>government</w:t>
      </w:r>
      <w:r>
        <w:rPr>
          <w:color w:val="231F20"/>
          <w:spacing w:val="-7"/>
        </w:rPr>
        <w:t> </w:t>
      </w:r>
      <w:r>
        <w:rPr>
          <w:color w:val="231F20"/>
        </w:rPr>
        <w:t>or</w:t>
      </w:r>
      <w:r>
        <w:rPr>
          <w:color w:val="231F20"/>
          <w:spacing w:val="-5"/>
        </w:rPr>
        <w:t> </w:t>
      </w:r>
      <w:r>
        <w:rPr>
          <w:color w:val="231F20"/>
        </w:rPr>
        <w:t>non</w:t>
      </w:r>
      <w:r>
        <w:rPr>
          <w:color w:val="231F20"/>
          <w:spacing w:val="-7"/>
        </w:rPr>
        <w:t> </w:t>
      </w:r>
      <w:r>
        <w:rPr>
          <w:color w:val="231F20"/>
        </w:rPr>
        <w:t>government</w:t>
      </w:r>
      <w:r>
        <w:rPr>
          <w:color w:val="231F20"/>
          <w:spacing w:val="-6"/>
        </w:rPr>
        <w:t> </w:t>
      </w:r>
      <w:r>
        <w:rPr>
          <w:color w:val="231F20"/>
          <w:spacing w:val="-1"/>
        </w:rPr>
        <w:t>school.</w:t>
      </w:r>
      <w:r>
        <w:rPr/>
      </w:r>
    </w:p>
    <w:p>
      <w:pPr>
        <w:pStyle w:val="BodyText"/>
        <w:spacing w:line="250" w:lineRule="exact" w:before="113"/>
        <w:ind w:left="120" w:right="180"/>
        <w:jc w:val="left"/>
      </w:pPr>
      <w:r>
        <w:rPr>
          <w:color w:val="231F20"/>
          <w:spacing w:val="-2"/>
        </w:rPr>
        <w:t>State</w:t>
      </w:r>
      <w:r>
        <w:rPr>
          <w:color w:val="231F20"/>
          <w:spacing w:val="-8"/>
        </w:rPr>
        <w:t> </w:t>
      </w:r>
      <w:r>
        <w:rPr>
          <w:color w:val="231F20"/>
        </w:rPr>
        <w:t>and</w:t>
      </w:r>
      <w:r>
        <w:rPr>
          <w:color w:val="231F20"/>
          <w:spacing w:val="-7"/>
        </w:rPr>
        <w:t> </w:t>
      </w:r>
      <w:r>
        <w:rPr>
          <w:color w:val="231F20"/>
        </w:rPr>
        <w:t>territory</w:t>
      </w:r>
      <w:r>
        <w:rPr>
          <w:color w:val="231F20"/>
          <w:spacing w:val="-8"/>
        </w:rPr>
        <w:t> </w:t>
      </w:r>
      <w:r>
        <w:rPr>
          <w:color w:val="231F20"/>
        </w:rPr>
        <w:t>governments</w:t>
      </w:r>
      <w:r>
        <w:rPr>
          <w:color w:val="231F20"/>
          <w:spacing w:val="-7"/>
        </w:rPr>
        <w:t> </w:t>
      </w:r>
      <w:r>
        <w:rPr>
          <w:color w:val="231F20"/>
        </w:rPr>
        <w:t>also</w:t>
      </w:r>
      <w:r>
        <w:rPr>
          <w:color w:val="231F20"/>
          <w:spacing w:val="-8"/>
        </w:rPr>
        <w:t> </w:t>
      </w:r>
      <w:r>
        <w:rPr>
          <w:color w:val="231F20"/>
        </w:rPr>
        <w:t>provide</w:t>
      </w:r>
      <w:r>
        <w:rPr>
          <w:color w:val="231F20"/>
          <w:spacing w:val="23"/>
          <w:w w:val="99"/>
        </w:rPr>
        <w:t> </w:t>
      </w:r>
      <w:r>
        <w:rPr>
          <w:color w:val="231F20"/>
        </w:rPr>
        <w:t>capital</w:t>
      </w:r>
      <w:r>
        <w:rPr>
          <w:color w:val="231F20"/>
          <w:spacing w:val="-7"/>
        </w:rPr>
        <w:t> </w:t>
      </w:r>
      <w:r>
        <w:rPr>
          <w:color w:val="231F20"/>
        </w:rPr>
        <w:t>funding</w:t>
      </w:r>
      <w:r>
        <w:rPr>
          <w:color w:val="231F20"/>
          <w:spacing w:val="-5"/>
        </w:rPr>
        <w:t> </w:t>
      </w:r>
      <w:r>
        <w:rPr>
          <w:color w:val="231F20"/>
        </w:rPr>
        <w:t>to</w:t>
      </w:r>
      <w:r>
        <w:rPr>
          <w:color w:val="231F20"/>
          <w:spacing w:val="-6"/>
        </w:rPr>
        <w:t> </w:t>
      </w:r>
      <w:r>
        <w:rPr>
          <w:color w:val="231F20"/>
        </w:rPr>
        <w:t>boarding</w:t>
      </w:r>
      <w:r>
        <w:rPr>
          <w:color w:val="231F20"/>
          <w:spacing w:val="-6"/>
        </w:rPr>
        <w:t> </w:t>
      </w:r>
      <w:r>
        <w:rPr>
          <w:color w:val="231F20"/>
        </w:rPr>
        <w:t>providers</w:t>
      </w:r>
      <w:r>
        <w:rPr>
          <w:color w:val="231F20"/>
          <w:spacing w:val="-7"/>
        </w:rPr>
        <w:t> </w:t>
      </w:r>
      <w:r>
        <w:rPr>
          <w:color w:val="231F20"/>
        </w:rPr>
        <w:t>to</w:t>
      </w:r>
      <w:r>
        <w:rPr>
          <w:color w:val="231F20"/>
          <w:spacing w:val="-5"/>
        </w:rPr>
        <w:t> </w:t>
      </w:r>
      <w:r>
        <w:rPr>
          <w:color w:val="231F20"/>
        </w:rPr>
        <w:t>assist</w:t>
      </w:r>
      <w:r>
        <w:rPr>
          <w:color w:val="231F20"/>
        </w:rPr>
        <w:t> with</w:t>
      </w:r>
      <w:r>
        <w:rPr>
          <w:color w:val="231F20"/>
          <w:spacing w:val="-9"/>
        </w:rPr>
        <w:t> </w:t>
      </w:r>
      <w:r>
        <w:rPr>
          <w:color w:val="231F20"/>
        </w:rPr>
        <w:t>boarding</w:t>
      </w:r>
      <w:r>
        <w:rPr>
          <w:color w:val="231F20"/>
          <w:spacing w:val="-8"/>
        </w:rPr>
        <w:t> </w:t>
      </w:r>
      <w:r>
        <w:rPr>
          <w:color w:val="231F20"/>
          <w:spacing w:val="-1"/>
        </w:rPr>
        <w:t>infrastructure.</w:t>
      </w:r>
      <w:r>
        <w:rPr>
          <w:color w:val="231F20"/>
          <w:spacing w:val="-7"/>
        </w:rPr>
        <w:t> </w:t>
      </w:r>
      <w:r>
        <w:rPr>
          <w:color w:val="231F20"/>
          <w:spacing w:val="-1"/>
        </w:rPr>
        <w:t>For</w:t>
      </w:r>
      <w:r>
        <w:rPr>
          <w:color w:val="231F20"/>
          <w:spacing w:val="-8"/>
        </w:rPr>
        <w:t> </w:t>
      </w:r>
      <w:r>
        <w:rPr>
          <w:color w:val="231F20"/>
        </w:rPr>
        <w:t>example,</w:t>
      </w:r>
      <w:r>
        <w:rPr>
          <w:color w:val="231F20"/>
          <w:spacing w:val="-8"/>
        </w:rPr>
        <w:t> </w:t>
      </w:r>
      <w:r>
        <w:rPr>
          <w:color w:val="231F20"/>
        </w:rPr>
        <w:t>the</w:t>
      </w:r>
      <w:r>
        <w:rPr>
          <w:color w:val="231F20"/>
          <w:spacing w:val="23"/>
          <w:w w:val="99"/>
        </w:rPr>
        <w:t> </w:t>
      </w:r>
      <w:r>
        <w:rPr>
          <w:color w:val="231F20"/>
        </w:rPr>
        <w:t>Queensland</w:t>
      </w:r>
      <w:r>
        <w:rPr>
          <w:color w:val="231F20"/>
          <w:spacing w:val="-8"/>
        </w:rPr>
        <w:t> </w:t>
      </w:r>
      <w:r>
        <w:rPr>
          <w:color w:val="231F20"/>
          <w:spacing w:val="-1"/>
        </w:rPr>
        <w:t>Department</w:t>
      </w:r>
      <w:r>
        <w:rPr>
          <w:color w:val="231F20"/>
          <w:spacing w:val="-7"/>
        </w:rPr>
        <w:t> </w:t>
      </w:r>
      <w:r>
        <w:rPr>
          <w:color w:val="231F20"/>
        </w:rPr>
        <w:t>of</w:t>
      </w:r>
      <w:r>
        <w:rPr>
          <w:color w:val="231F20"/>
          <w:spacing w:val="-7"/>
        </w:rPr>
        <w:t> </w:t>
      </w:r>
      <w:r>
        <w:rPr>
          <w:color w:val="231F20"/>
        </w:rPr>
        <w:t>Education</w:t>
      </w:r>
      <w:r>
        <w:rPr>
          <w:color w:val="231F20"/>
          <w:spacing w:val="-8"/>
        </w:rPr>
        <w:t> </w:t>
      </w:r>
      <w:r>
        <w:rPr>
          <w:color w:val="231F20"/>
        </w:rPr>
        <w:t>funds</w:t>
      </w:r>
      <w:r>
        <w:rPr>
          <w:color w:val="231F20"/>
          <w:spacing w:val="-8"/>
        </w:rPr>
        <w:t> </w:t>
      </w:r>
      <w:r>
        <w:rPr>
          <w:color w:val="231F20"/>
        </w:rPr>
        <w:t>the</w:t>
      </w:r>
      <w:r>
        <w:rPr>
          <w:color w:val="231F20"/>
          <w:spacing w:val="22"/>
          <w:w w:val="99"/>
        </w:rPr>
        <w:t> </w:t>
      </w:r>
      <w:r>
        <w:rPr>
          <w:color w:val="231F20"/>
          <w:spacing w:val="-1"/>
        </w:rPr>
        <w:t>Student</w:t>
      </w:r>
      <w:r>
        <w:rPr>
          <w:color w:val="231F20"/>
          <w:spacing w:val="-6"/>
        </w:rPr>
        <w:t> </w:t>
      </w:r>
      <w:r>
        <w:rPr>
          <w:color w:val="231F20"/>
        </w:rPr>
        <w:t>Hostel</w:t>
      </w:r>
      <w:r>
        <w:rPr>
          <w:color w:val="231F20"/>
          <w:spacing w:val="-5"/>
        </w:rPr>
        <w:t> </w:t>
      </w:r>
      <w:r>
        <w:rPr>
          <w:color w:val="231F20"/>
          <w:spacing w:val="-1"/>
        </w:rPr>
        <w:t>Support</w:t>
      </w:r>
      <w:r>
        <w:rPr>
          <w:color w:val="231F20"/>
          <w:spacing w:val="-5"/>
        </w:rPr>
        <w:t> </w:t>
      </w:r>
      <w:r>
        <w:rPr>
          <w:color w:val="231F20"/>
          <w:spacing w:val="-1"/>
        </w:rPr>
        <w:t>Scheme.</w:t>
      </w:r>
      <w:r>
        <w:rPr>
          <w:color w:val="231F20"/>
          <w:spacing w:val="-4"/>
        </w:rPr>
        <w:t> </w:t>
      </w:r>
      <w:r>
        <w:rPr>
          <w:color w:val="231F20"/>
          <w:spacing w:val="-1"/>
        </w:rPr>
        <w:t>It</w:t>
      </w:r>
      <w:r>
        <w:rPr>
          <w:color w:val="231F20"/>
          <w:spacing w:val="-5"/>
        </w:rPr>
        <w:t> </w:t>
      </w:r>
      <w:r>
        <w:rPr>
          <w:color w:val="231F20"/>
        </w:rPr>
        <w:t>‘provides</w:t>
      </w:r>
      <w:r>
        <w:rPr>
          <w:color w:val="231F20"/>
          <w:spacing w:val="24"/>
          <w:w w:val="99"/>
        </w:rPr>
        <w:t> </w:t>
      </w:r>
      <w:r>
        <w:rPr>
          <w:rFonts w:ascii="Segoe UI" w:hAnsi="Segoe UI" w:cs="Segoe UI" w:eastAsia="Segoe UI"/>
          <w:color w:val="231F20"/>
        </w:rPr>
        <w:t>capital assistance to eligible non-profit</w:t>
      </w:r>
      <w:r>
        <w:rPr>
          <w:rFonts w:ascii="Segoe UI" w:hAnsi="Segoe UI" w:cs="Segoe UI" w:eastAsia="Segoe UI"/>
          <w:color w:val="231F20"/>
        </w:rPr>
        <w:t> </w:t>
      </w:r>
      <w:r>
        <w:rPr>
          <w:color w:val="231F20"/>
        </w:rPr>
        <w:t>organisations</w:t>
      </w:r>
      <w:r>
        <w:rPr>
          <w:color w:val="231F20"/>
          <w:spacing w:val="-13"/>
        </w:rPr>
        <w:t> </w:t>
      </w:r>
      <w:r>
        <w:rPr>
          <w:color w:val="231F20"/>
        </w:rPr>
        <w:t>providing</w:t>
      </w:r>
      <w:r>
        <w:rPr>
          <w:color w:val="231F20"/>
          <w:spacing w:val="-13"/>
        </w:rPr>
        <w:t> </w:t>
      </w:r>
      <w:r>
        <w:rPr>
          <w:color w:val="231F20"/>
        </w:rPr>
        <w:t>hostel</w:t>
      </w:r>
      <w:r>
        <w:rPr>
          <w:color w:val="231F20"/>
          <w:spacing w:val="-12"/>
        </w:rPr>
        <w:t> </w:t>
      </w:r>
      <w:r>
        <w:rPr>
          <w:color w:val="231F20"/>
        </w:rPr>
        <w:t>accommodation</w:t>
      </w:r>
      <w:r>
        <w:rPr>
          <w:color w:val="231F20"/>
          <w:w w:val="99"/>
        </w:rPr>
        <w:t> </w:t>
      </w:r>
      <w:r>
        <w:rPr>
          <w:color w:val="231F20"/>
          <w:spacing w:val="-1"/>
        </w:rPr>
        <w:t>in</w:t>
      </w:r>
      <w:r>
        <w:rPr>
          <w:color w:val="231F20"/>
          <w:spacing w:val="-8"/>
        </w:rPr>
        <w:t> </w:t>
      </w:r>
      <w:r>
        <w:rPr>
          <w:color w:val="231F20"/>
        </w:rPr>
        <w:t>rural</w:t>
      </w:r>
      <w:r>
        <w:rPr>
          <w:color w:val="231F20"/>
          <w:spacing w:val="-8"/>
        </w:rPr>
        <w:t> </w:t>
      </w:r>
      <w:r>
        <w:rPr>
          <w:color w:val="231F20"/>
        </w:rPr>
        <w:t>areas</w:t>
      </w:r>
      <w:r>
        <w:rPr>
          <w:color w:val="231F20"/>
          <w:spacing w:val="-8"/>
        </w:rPr>
        <w:t> </w:t>
      </w:r>
      <w:r>
        <w:rPr>
          <w:color w:val="231F20"/>
        </w:rPr>
        <w:t>to</w:t>
      </w:r>
      <w:r>
        <w:rPr>
          <w:color w:val="231F20"/>
          <w:spacing w:val="-7"/>
        </w:rPr>
        <w:t> </w:t>
      </w:r>
      <w:r>
        <w:rPr>
          <w:color w:val="231F20"/>
        </w:rPr>
        <w:t>accommodate</w:t>
      </w:r>
      <w:r>
        <w:rPr>
          <w:color w:val="231F20"/>
          <w:spacing w:val="-9"/>
        </w:rPr>
        <w:t> </w:t>
      </w:r>
      <w:r>
        <w:rPr>
          <w:color w:val="231F20"/>
        </w:rPr>
        <w:t>geographically</w:t>
      </w:r>
      <w:r>
        <w:rPr>
          <w:color w:val="231F20"/>
          <w:spacing w:val="21"/>
          <w:w w:val="99"/>
        </w:rPr>
        <w:t> </w:t>
      </w:r>
      <w:r>
        <w:rPr>
          <w:color w:val="231F20"/>
          <w:spacing w:val="-1"/>
        </w:rPr>
        <w:t>isolated</w:t>
      </w:r>
      <w:r>
        <w:rPr>
          <w:color w:val="231F20"/>
          <w:spacing w:val="-5"/>
        </w:rPr>
        <w:t> </w:t>
      </w:r>
      <w:r>
        <w:rPr>
          <w:color w:val="231F20"/>
        </w:rPr>
        <w:t>primary</w:t>
      </w:r>
      <w:r>
        <w:rPr>
          <w:color w:val="231F20"/>
          <w:spacing w:val="-6"/>
        </w:rPr>
        <w:t> </w:t>
      </w:r>
      <w:r>
        <w:rPr>
          <w:color w:val="231F20"/>
        </w:rPr>
        <w:t>and</w:t>
      </w:r>
      <w:r>
        <w:rPr>
          <w:color w:val="231F20"/>
          <w:spacing w:val="-6"/>
        </w:rPr>
        <w:t> </w:t>
      </w:r>
      <w:r>
        <w:rPr>
          <w:color w:val="231F20"/>
          <w:spacing w:val="-1"/>
        </w:rPr>
        <w:t>secondary</w:t>
      </w:r>
      <w:r>
        <w:rPr>
          <w:color w:val="231F20"/>
          <w:spacing w:val="-4"/>
        </w:rPr>
        <w:t> </w:t>
      </w:r>
      <w:r>
        <w:rPr>
          <w:color w:val="231F20"/>
          <w:spacing w:val="-1"/>
        </w:rPr>
        <w:t>students</w:t>
      </w:r>
      <w:r>
        <w:rPr>
          <w:color w:val="231F20"/>
          <w:spacing w:val="22"/>
        </w:rPr>
        <w:t> </w:t>
      </w:r>
      <w:r>
        <w:rPr>
          <w:color w:val="231F20"/>
        </w:rPr>
        <w:t>(including</w:t>
      </w:r>
      <w:r>
        <w:rPr>
          <w:color w:val="231F20"/>
          <w:spacing w:val="-5"/>
        </w:rPr>
        <w:t> </w:t>
      </w:r>
      <w:r>
        <w:rPr>
          <w:color w:val="231F20"/>
          <w:spacing w:val="-1"/>
        </w:rPr>
        <w:t>students</w:t>
      </w:r>
      <w:r>
        <w:rPr>
          <w:color w:val="231F20"/>
          <w:spacing w:val="-3"/>
        </w:rPr>
        <w:t> </w:t>
      </w:r>
      <w:r>
        <w:rPr>
          <w:color w:val="231F20"/>
        </w:rPr>
        <w:t>with</w:t>
      </w:r>
      <w:r>
        <w:rPr>
          <w:color w:val="231F20"/>
          <w:spacing w:val="-4"/>
        </w:rPr>
        <w:t> </w:t>
      </w:r>
      <w:r>
        <w:rPr>
          <w:color w:val="231F20"/>
        </w:rPr>
        <w:t>disabilities)</w:t>
      </w:r>
      <w:r>
        <w:rPr>
          <w:color w:val="231F20"/>
          <w:spacing w:val="-4"/>
        </w:rPr>
        <w:t> </w:t>
      </w:r>
      <w:r>
        <w:rPr>
          <w:color w:val="231F20"/>
          <w:spacing w:val="-1"/>
        </w:rPr>
        <w:t>so</w:t>
      </w:r>
      <w:r>
        <w:rPr>
          <w:color w:val="231F20"/>
          <w:spacing w:val="-4"/>
        </w:rPr>
        <w:t> </w:t>
      </w:r>
      <w:r>
        <w:rPr>
          <w:color w:val="231F20"/>
        </w:rPr>
        <w:t>they</w:t>
      </w:r>
      <w:r>
        <w:rPr>
          <w:color w:val="231F20"/>
          <w:spacing w:val="23"/>
          <w:w w:val="99"/>
        </w:rPr>
        <w:t> </w:t>
      </w:r>
      <w:r>
        <w:rPr>
          <w:color w:val="231F20"/>
          <w:spacing w:val="-1"/>
        </w:rPr>
        <w:t>may</w:t>
      </w:r>
      <w:r>
        <w:rPr>
          <w:color w:val="231F20"/>
          <w:spacing w:val="-2"/>
        </w:rPr>
        <w:t> </w:t>
      </w:r>
      <w:r>
        <w:rPr>
          <w:color w:val="231F20"/>
        </w:rPr>
        <w:t>have</w:t>
      </w:r>
      <w:r>
        <w:rPr>
          <w:color w:val="231F20"/>
          <w:spacing w:val="-2"/>
        </w:rPr>
        <w:t> </w:t>
      </w:r>
      <w:r>
        <w:rPr>
          <w:color w:val="231F20"/>
        </w:rPr>
        <w:t>daily</w:t>
      </w:r>
      <w:r>
        <w:rPr>
          <w:color w:val="231F20"/>
          <w:spacing w:val="-3"/>
        </w:rPr>
        <w:t> </w:t>
      </w:r>
      <w:r>
        <w:rPr>
          <w:color w:val="231F20"/>
        </w:rPr>
        <w:t>access</w:t>
      </w:r>
      <w:r>
        <w:rPr>
          <w:color w:val="231F20"/>
          <w:spacing w:val="-2"/>
        </w:rPr>
        <w:t> </w:t>
      </w:r>
      <w:r>
        <w:rPr>
          <w:color w:val="231F20"/>
        </w:rPr>
        <w:t>to</w:t>
      </w:r>
      <w:r>
        <w:rPr>
          <w:color w:val="231F20"/>
          <w:spacing w:val="-1"/>
        </w:rPr>
        <w:t> schools’</w:t>
      </w:r>
      <w:r>
        <w:rPr>
          <w:rFonts w:ascii="Segoe UI Semibold" w:hAnsi="Segoe UI Semibold" w:cs="Segoe UI Semibold" w:eastAsia="Segoe UI Semibold"/>
          <w:b/>
          <w:bCs/>
          <w:color w:val="231F20"/>
          <w:spacing w:val="-1"/>
          <w:position w:val="7"/>
          <w:sz w:val="11"/>
          <w:szCs w:val="11"/>
        </w:rPr>
        <w:t>134</w:t>
      </w:r>
      <w:r>
        <w:rPr>
          <w:color w:val="231F20"/>
          <w:spacing w:val="-1"/>
        </w:rPr>
        <w:t>.</w:t>
      </w:r>
      <w:r>
        <w:rPr>
          <w:color w:val="231F20"/>
          <w:spacing w:val="-2"/>
        </w:rPr>
        <w:t> </w:t>
      </w:r>
      <w:r>
        <w:rPr>
          <w:color w:val="231F20"/>
        </w:rPr>
        <w:t>The</w:t>
      </w:r>
      <w:r>
        <w:rPr>
          <w:color w:val="231F20"/>
          <w:spacing w:val="-1"/>
        </w:rPr>
        <w:t> </w:t>
      </w:r>
      <w:r>
        <w:rPr>
          <w:color w:val="231F20"/>
        </w:rPr>
        <w:t>capital</w:t>
      </w:r>
      <w:r>
        <w:rPr>
          <w:color w:val="231F20"/>
          <w:spacing w:val="25"/>
          <w:w w:val="99"/>
        </w:rPr>
        <w:t> </w:t>
      </w:r>
      <w:r>
        <w:rPr>
          <w:color w:val="231F20"/>
        </w:rPr>
        <w:t>grant</w:t>
      </w:r>
      <w:r>
        <w:rPr>
          <w:color w:val="231F20"/>
          <w:spacing w:val="-7"/>
        </w:rPr>
        <w:t> </w:t>
      </w:r>
      <w:r>
        <w:rPr>
          <w:color w:val="231F20"/>
          <w:spacing w:val="-1"/>
        </w:rPr>
        <w:t>is</w:t>
      </w:r>
      <w:r>
        <w:rPr>
          <w:color w:val="231F20"/>
          <w:spacing w:val="-6"/>
        </w:rPr>
        <w:t> </w:t>
      </w:r>
      <w:r>
        <w:rPr>
          <w:color w:val="231F20"/>
          <w:spacing w:val="-1"/>
        </w:rPr>
        <w:t>matched</w:t>
      </w:r>
      <w:r>
        <w:rPr>
          <w:color w:val="231F20"/>
          <w:spacing w:val="-5"/>
        </w:rPr>
        <w:t> </w:t>
      </w:r>
      <w:r>
        <w:rPr>
          <w:color w:val="231F20"/>
        </w:rPr>
        <w:t>dollar</w:t>
      </w:r>
      <w:r>
        <w:rPr>
          <w:color w:val="231F20"/>
          <w:spacing w:val="-7"/>
        </w:rPr>
        <w:t> </w:t>
      </w:r>
      <w:r>
        <w:rPr>
          <w:color w:val="231F20"/>
        </w:rPr>
        <w:t>for</w:t>
      </w:r>
      <w:r>
        <w:rPr>
          <w:color w:val="231F20"/>
          <w:spacing w:val="-5"/>
        </w:rPr>
        <w:t> </w:t>
      </w:r>
      <w:r>
        <w:rPr>
          <w:color w:val="231F20"/>
        </w:rPr>
        <w:t>dollar</w:t>
      </w:r>
      <w:r>
        <w:rPr>
          <w:color w:val="231F20"/>
          <w:spacing w:val="-6"/>
        </w:rPr>
        <w:t> </w:t>
      </w:r>
      <w:r>
        <w:rPr>
          <w:color w:val="231F20"/>
        </w:rPr>
        <w:t>funding</w:t>
      </w:r>
      <w:r>
        <w:rPr/>
      </w:r>
    </w:p>
    <w:p>
      <w:pPr>
        <w:pStyle w:val="BodyText"/>
        <w:spacing w:line="242" w:lineRule="exact"/>
        <w:ind w:left="120" w:right="0"/>
        <w:jc w:val="left"/>
        <w:rPr>
          <w:rFonts w:ascii="Segoe UI" w:hAnsi="Segoe UI" w:cs="Segoe UI" w:eastAsia="Segoe UI"/>
        </w:rPr>
      </w:pPr>
      <w:r>
        <w:rPr>
          <w:rFonts w:ascii="Segoe UI"/>
          <w:color w:val="231F20"/>
        </w:rPr>
        <w:t>up to a fixed amount. The Northern </w:t>
      </w:r>
      <w:r>
        <w:rPr>
          <w:rFonts w:ascii="Segoe UI"/>
          <w:color w:val="231F20"/>
          <w:spacing w:val="-3"/>
        </w:rPr>
        <w:t>Territory</w:t>
      </w:r>
      <w:r>
        <w:rPr>
          <w:rFonts w:ascii="Segoe UI"/>
        </w:rPr>
      </w:r>
    </w:p>
    <w:p>
      <w:pPr>
        <w:pStyle w:val="BodyText"/>
        <w:spacing w:line="250" w:lineRule="exact"/>
        <w:ind w:left="120" w:right="0"/>
        <w:jc w:val="left"/>
      </w:pPr>
      <w:r>
        <w:rPr>
          <w:color w:val="231F20"/>
        </w:rPr>
        <w:t>Government</w:t>
      </w:r>
      <w:r>
        <w:rPr>
          <w:color w:val="231F20"/>
          <w:spacing w:val="-9"/>
        </w:rPr>
        <w:t> </w:t>
      </w:r>
      <w:r>
        <w:rPr>
          <w:color w:val="231F20"/>
        </w:rPr>
        <w:t>provides</w:t>
      </w:r>
      <w:r>
        <w:rPr>
          <w:color w:val="231F20"/>
          <w:spacing w:val="-9"/>
        </w:rPr>
        <w:t> </w:t>
      </w:r>
      <w:r>
        <w:rPr>
          <w:color w:val="231F20"/>
        </w:rPr>
        <w:t>capital</w:t>
      </w:r>
      <w:r>
        <w:rPr>
          <w:color w:val="231F20"/>
          <w:spacing w:val="-9"/>
        </w:rPr>
        <w:t> </w:t>
      </w:r>
      <w:r>
        <w:rPr>
          <w:color w:val="231F20"/>
        </w:rPr>
        <w:t>funding</w:t>
      </w:r>
      <w:r>
        <w:rPr>
          <w:color w:val="231F20"/>
          <w:spacing w:val="-8"/>
        </w:rPr>
        <w:t> </w:t>
      </w:r>
      <w:r>
        <w:rPr>
          <w:color w:val="231F20"/>
        </w:rPr>
        <w:t>of</w:t>
      </w:r>
      <w:r>
        <w:rPr/>
      </w:r>
    </w:p>
    <w:p>
      <w:pPr>
        <w:pStyle w:val="BodyText"/>
        <w:spacing w:line="250" w:lineRule="exact" w:before="8"/>
        <w:ind w:left="120" w:right="305"/>
        <w:jc w:val="left"/>
      </w:pPr>
      <w:r>
        <w:rPr>
          <w:color w:val="231F20"/>
          <w:spacing w:val="-1"/>
        </w:rPr>
        <w:t>$300,000</w:t>
      </w:r>
      <w:r>
        <w:rPr>
          <w:color w:val="231F20"/>
          <w:spacing w:val="-3"/>
        </w:rPr>
        <w:t> </w:t>
      </w:r>
      <w:r>
        <w:rPr>
          <w:color w:val="231F20"/>
        </w:rPr>
        <w:t>to</w:t>
      </w:r>
      <w:r>
        <w:rPr>
          <w:color w:val="231F20"/>
          <w:spacing w:val="-3"/>
        </w:rPr>
        <w:t> </w:t>
      </w:r>
      <w:r>
        <w:rPr>
          <w:color w:val="231F20"/>
        </w:rPr>
        <w:t>every</w:t>
      </w:r>
      <w:r>
        <w:rPr>
          <w:color w:val="231F20"/>
          <w:spacing w:val="-3"/>
        </w:rPr>
        <w:t> </w:t>
      </w:r>
      <w:r>
        <w:rPr>
          <w:color w:val="231F20"/>
          <w:spacing w:val="-1"/>
        </w:rPr>
        <w:t>school</w:t>
      </w:r>
      <w:r>
        <w:rPr>
          <w:color w:val="231F20"/>
          <w:spacing w:val="-3"/>
        </w:rPr>
        <w:t> </w:t>
      </w:r>
      <w:r>
        <w:rPr>
          <w:color w:val="231F20"/>
        </w:rPr>
        <w:t>through</w:t>
      </w:r>
      <w:r>
        <w:rPr>
          <w:color w:val="231F20"/>
          <w:spacing w:val="-3"/>
        </w:rPr>
        <w:t> </w:t>
      </w:r>
      <w:r>
        <w:rPr>
          <w:color w:val="231F20"/>
        </w:rPr>
        <w:t>the</w:t>
      </w:r>
      <w:r>
        <w:rPr>
          <w:color w:val="231F20"/>
          <w:spacing w:val="-4"/>
        </w:rPr>
        <w:t> </w:t>
      </w:r>
      <w:r>
        <w:rPr>
          <w:color w:val="231F20"/>
          <w:spacing w:val="-1"/>
        </w:rPr>
        <w:t>Building</w:t>
      </w:r>
      <w:r>
        <w:rPr>
          <w:color w:val="231F20"/>
          <w:spacing w:val="22"/>
        </w:rPr>
        <w:t> </w:t>
      </w:r>
      <w:r>
        <w:rPr>
          <w:color w:val="231F20"/>
          <w:spacing w:val="-1"/>
        </w:rPr>
        <w:t>Better</w:t>
      </w:r>
      <w:r>
        <w:rPr>
          <w:color w:val="231F20"/>
          <w:spacing w:val="-5"/>
        </w:rPr>
        <w:t> </w:t>
      </w:r>
      <w:r>
        <w:rPr>
          <w:color w:val="231F20"/>
          <w:spacing w:val="-1"/>
        </w:rPr>
        <w:t>Schools</w:t>
      </w:r>
      <w:r>
        <w:rPr>
          <w:color w:val="231F20"/>
          <w:spacing w:val="-4"/>
        </w:rPr>
        <w:t> </w:t>
      </w:r>
      <w:r>
        <w:rPr>
          <w:color w:val="231F20"/>
        </w:rPr>
        <w:t>program</w:t>
      </w:r>
      <w:r>
        <w:rPr>
          <w:color w:val="231F20"/>
          <w:spacing w:val="-5"/>
        </w:rPr>
        <w:t> </w:t>
      </w:r>
      <w:r>
        <w:rPr>
          <w:color w:val="231F20"/>
        </w:rPr>
        <w:t>over</w:t>
      </w:r>
      <w:r>
        <w:rPr>
          <w:color w:val="231F20"/>
          <w:spacing w:val="-4"/>
        </w:rPr>
        <w:t> </w:t>
      </w:r>
      <w:r>
        <w:rPr>
          <w:color w:val="231F20"/>
        </w:rPr>
        <w:t>a</w:t>
      </w:r>
      <w:r>
        <w:rPr>
          <w:color w:val="231F20"/>
          <w:spacing w:val="-4"/>
        </w:rPr>
        <w:t> </w:t>
      </w:r>
      <w:r>
        <w:rPr>
          <w:color w:val="231F20"/>
        </w:rPr>
        <w:t>four</w:t>
      </w:r>
      <w:r>
        <w:rPr>
          <w:color w:val="231F20"/>
          <w:spacing w:val="-5"/>
        </w:rPr>
        <w:t> </w:t>
      </w:r>
      <w:r>
        <w:rPr>
          <w:color w:val="231F20"/>
        </w:rPr>
        <w:t>year</w:t>
      </w:r>
      <w:r>
        <w:rPr>
          <w:color w:val="231F20"/>
          <w:spacing w:val="23"/>
          <w:w w:val="99"/>
        </w:rPr>
        <w:t> </w:t>
      </w:r>
      <w:r>
        <w:rPr>
          <w:color w:val="231F20"/>
        </w:rPr>
        <w:t>period</w:t>
      </w:r>
      <w:r>
        <w:rPr>
          <w:color w:val="231F20"/>
          <w:spacing w:val="-6"/>
        </w:rPr>
        <w:t> </w:t>
      </w:r>
      <w:r>
        <w:rPr>
          <w:color w:val="231F20"/>
        </w:rPr>
        <w:t>from</w:t>
      </w:r>
      <w:r>
        <w:rPr>
          <w:color w:val="231F20"/>
          <w:spacing w:val="-4"/>
        </w:rPr>
        <w:t> </w:t>
      </w:r>
      <w:r>
        <w:rPr>
          <w:color w:val="231F20"/>
          <w:spacing w:val="-1"/>
        </w:rPr>
        <w:t>2017-18</w:t>
      </w:r>
      <w:r>
        <w:rPr>
          <w:color w:val="231F20"/>
          <w:spacing w:val="-4"/>
        </w:rPr>
        <w:t> </w:t>
      </w:r>
      <w:r>
        <w:rPr>
          <w:color w:val="231F20"/>
        </w:rPr>
        <w:t>for</w:t>
      </w:r>
      <w:r>
        <w:rPr>
          <w:color w:val="231F20"/>
          <w:spacing w:val="-4"/>
        </w:rPr>
        <w:t> </w:t>
      </w:r>
      <w:r>
        <w:rPr>
          <w:color w:val="231F20"/>
        </w:rPr>
        <w:t>the</w:t>
      </w:r>
      <w:r>
        <w:rPr>
          <w:color w:val="231F20"/>
          <w:spacing w:val="-5"/>
        </w:rPr>
        <w:t> </w:t>
      </w:r>
      <w:r>
        <w:rPr>
          <w:color w:val="231F20"/>
        </w:rPr>
        <w:t>purposes</w:t>
      </w:r>
      <w:r>
        <w:rPr>
          <w:color w:val="231F20"/>
          <w:spacing w:val="-5"/>
        </w:rPr>
        <w:t> </w:t>
      </w:r>
      <w:r>
        <w:rPr>
          <w:color w:val="231F20"/>
        </w:rPr>
        <w:t>of</w:t>
      </w:r>
      <w:r>
        <w:rPr>
          <w:color w:val="231F20"/>
          <w:spacing w:val="-4"/>
        </w:rPr>
        <w:t> </w:t>
      </w:r>
      <w:r>
        <w:rPr>
          <w:color w:val="231F20"/>
        </w:rPr>
        <w:t>new</w:t>
      </w:r>
      <w:r>
        <w:rPr>
          <w:color w:val="231F20"/>
          <w:spacing w:val="22"/>
          <w:w w:val="99"/>
        </w:rPr>
        <w:t> </w:t>
      </w:r>
      <w:r>
        <w:rPr>
          <w:color w:val="231F20"/>
        </w:rPr>
        <w:t>and</w:t>
      </w:r>
      <w:r>
        <w:rPr>
          <w:color w:val="231F20"/>
          <w:spacing w:val="-6"/>
        </w:rPr>
        <w:t> </w:t>
      </w:r>
      <w:r>
        <w:rPr>
          <w:color w:val="231F20"/>
          <w:spacing w:val="-1"/>
        </w:rPr>
        <w:t>improved</w:t>
      </w:r>
      <w:r>
        <w:rPr>
          <w:color w:val="231F20"/>
          <w:spacing w:val="-5"/>
        </w:rPr>
        <w:t> </w:t>
      </w:r>
      <w:r>
        <w:rPr>
          <w:color w:val="231F20"/>
          <w:spacing w:val="-1"/>
        </w:rPr>
        <w:t>school</w:t>
      </w:r>
      <w:r>
        <w:rPr>
          <w:color w:val="231F20"/>
          <w:spacing w:val="-4"/>
        </w:rPr>
        <w:t> </w:t>
      </w:r>
      <w:r>
        <w:rPr>
          <w:color w:val="231F20"/>
        </w:rPr>
        <w:t>facilities.</w:t>
      </w:r>
      <w:r>
        <w:rPr>
          <w:color w:val="231F20"/>
          <w:spacing w:val="-6"/>
        </w:rPr>
        <w:t> </w:t>
      </w:r>
      <w:r>
        <w:rPr>
          <w:color w:val="231F20"/>
        </w:rPr>
        <w:t>The</w:t>
      </w:r>
      <w:r>
        <w:rPr>
          <w:color w:val="231F20"/>
          <w:spacing w:val="-4"/>
        </w:rPr>
        <w:t> </w:t>
      </w:r>
      <w:r>
        <w:rPr>
          <w:color w:val="231F20"/>
        </w:rPr>
        <w:t>program</w:t>
      </w:r>
      <w:r>
        <w:rPr>
          <w:color w:val="231F20"/>
          <w:spacing w:val="23"/>
          <w:w w:val="99"/>
        </w:rPr>
        <w:t> </w:t>
      </w:r>
      <w:r>
        <w:rPr>
          <w:color w:val="231F20"/>
          <w:spacing w:val="-1"/>
        </w:rPr>
        <w:t>initiative</w:t>
      </w:r>
      <w:r>
        <w:rPr>
          <w:color w:val="231F20"/>
          <w:spacing w:val="-5"/>
        </w:rPr>
        <w:t> </w:t>
      </w:r>
      <w:r>
        <w:rPr>
          <w:color w:val="231F20"/>
        </w:rPr>
        <w:t>was</w:t>
      </w:r>
      <w:r>
        <w:rPr>
          <w:color w:val="231F20"/>
          <w:spacing w:val="-6"/>
        </w:rPr>
        <w:t> </w:t>
      </w:r>
      <w:r>
        <w:rPr>
          <w:color w:val="231F20"/>
        </w:rPr>
        <w:t>to</w:t>
      </w:r>
      <w:r>
        <w:rPr>
          <w:color w:val="231F20"/>
          <w:spacing w:val="-4"/>
        </w:rPr>
        <w:t> </w:t>
      </w:r>
      <w:r>
        <w:rPr>
          <w:color w:val="231F20"/>
        </w:rPr>
        <w:t>provide</w:t>
      </w:r>
      <w:r>
        <w:rPr>
          <w:color w:val="231F20"/>
          <w:spacing w:val="-6"/>
        </w:rPr>
        <w:t> </w:t>
      </w:r>
      <w:r>
        <w:rPr>
          <w:color w:val="231F20"/>
        </w:rPr>
        <w:t>new</w:t>
      </w:r>
      <w:r>
        <w:rPr>
          <w:color w:val="231F20"/>
          <w:spacing w:val="-4"/>
        </w:rPr>
        <w:t> </w:t>
      </w:r>
      <w:r>
        <w:rPr>
          <w:color w:val="231F20"/>
        </w:rPr>
        <w:t>and</w:t>
      </w:r>
      <w:r>
        <w:rPr>
          <w:color w:val="231F20"/>
          <w:spacing w:val="-6"/>
        </w:rPr>
        <w:t> </w:t>
      </w:r>
      <w:r>
        <w:rPr>
          <w:color w:val="231F20"/>
          <w:spacing w:val="-1"/>
        </w:rPr>
        <w:t>improved</w:t>
      </w:r>
      <w:r>
        <w:rPr>
          <w:color w:val="231F20"/>
          <w:spacing w:val="21"/>
          <w:w w:val="99"/>
        </w:rPr>
        <w:t> </w:t>
      </w:r>
      <w:r>
        <w:rPr>
          <w:color w:val="231F20"/>
          <w:spacing w:val="-1"/>
        </w:rPr>
        <w:t>school</w:t>
      </w:r>
      <w:r>
        <w:rPr>
          <w:color w:val="231F20"/>
          <w:spacing w:val="-3"/>
        </w:rPr>
        <w:t> </w:t>
      </w:r>
      <w:r>
        <w:rPr>
          <w:color w:val="231F20"/>
        </w:rPr>
        <w:t>facilities</w:t>
      </w:r>
      <w:r>
        <w:rPr>
          <w:color w:val="231F20"/>
          <w:spacing w:val="-4"/>
        </w:rPr>
        <w:t> </w:t>
      </w:r>
      <w:r>
        <w:rPr>
          <w:color w:val="231F20"/>
        </w:rPr>
        <w:t>that</w:t>
      </w:r>
      <w:r>
        <w:rPr>
          <w:color w:val="231F20"/>
          <w:spacing w:val="-4"/>
        </w:rPr>
        <w:t> </w:t>
      </w:r>
      <w:r>
        <w:rPr>
          <w:color w:val="231F20"/>
        </w:rPr>
        <w:t>enhance</w:t>
      </w:r>
      <w:r>
        <w:rPr>
          <w:color w:val="231F20"/>
          <w:spacing w:val="-2"/>
        </w:rPr>
        <w:t> </w:t>
      </w:r>
      <w:r>
        <w:rPr>
          <w:color w:val="231F20"/>
          <w:spacing w:val="-1"/>
        </w:rPr>
        <w:t>students’</w:t>
      </w:r>
      <w:r>
        <w:rPr>
          <w:color w:val="231F20"/>
          <w:spacing w:val="21"/>
        </w:rPr>
        <w:t> </w:t>
      </w:r>
      <w:r>
        <w:rPr>
          <w:color w:val="231F20"/>
        </w:rPr>
        <w:t>education</w:t>
      </w:r>
      <w:r>
        <w:rPr>
          <w:color w:val="231F20"/>
          <w:spacing w:val="-10"/>
        </w:rPr>
        <w:t> </w:t>
      </w:r>
      <w:r>
        <w:rPr>
          <w:color w:val="231F20"/>
        </w:rPr>
        <w:t>experience</w:t>
      </w:r>
      <w:r>
        <w:rPr>
          <w:color w:val="231F20"/>
          <w:spacing w:val="-10"/>
        </w:rPr>
        <w:t> </w:t>
      </w:r>
      <w:r>
        <w:rPr>
          <w:color w:val="231F20"/>
        </w:rPr>
        <w:t>and</w:t>
      </w:r>
      <w:r>
        <w:rPr>
          <w:color w:val="231F20"/>
          <w:spacing w:val="-10"/>
        </w:rPr>
        <w:t> </w:t>
      </w:r>
      <w:r>
        <w:rPr>
          <w:color w:val="231F20"/>
        </w:rPr>
        <w:t>facilitate</w:t>
      </w:r>
      <w:r>
        <w:rPr>
          <w:color w:val="231F20"/>
          <w:spacing w:val="-8"/>
        </w:rPr>
        <w:t> </w:t>
      </w:r>
      <w:r>
        <w:rPr>
          <w:color w:val="231F20"/>
        </w:rPr>
        <w:t>quality</w:t>
      </w:r>
      <w:r>
        <w:rPr>
          <w:color w:val="231F20"/>
          <w:w w:val="99"/>
        </w:rPr>
        <w:t> </w:t>
      </w:r>
      <w:r>
        <w:rPr>
          <w:color w:val="231F20"/>
          <w:spacing w:val="-1"/>
        </w:rPr>
        <w:t>learning</w:t>
      </w:r>
      <w:r>
        <w:rPr>
          <w:color w:val="231F20"/>
          <w:spacing w:val="-17"/>
        </w:rPr>
        <w:t> </w:t>
      </w:r>
      <w:r>
        <w:rPr>
          <w:color w:val="231F20"/>
        </w:rPr>
        <w:t>outcomes.</w:t>
      </w:r>
      <w:r>
        <w:rPr/>
      </w:r>
    </w:p>
    <w:p>
      <w:pPr>
        <w:spacing w:line="240" w:lineRule="auto" w:before="10"/>
        <w:rPr>
          <w:rFonts w:ascii="Segoe UI" w:hAnsi="Segoe UI" w:cs="Segoe UI" w:eastAsia="Segoe UI"/>
          <w:sz w:val="20"/>
          <w:szCs w:val="20"/>
        </w:rPr>
      </w:pPr>
    </w:p>
    <w:p>
      <w:pPr>
        <w:pStyle w:val="Heading2"/>
        <w:spacing w:line="240" w:lineRule="auto" w:before="0"/>
        <w:ind w:left="120" w:right="0"/>
        <w:jc w:val="left"/>
        <w:rPr>
          <w:b w:val="0"/>
          <w:bCs w:val="0"/>
        </w:rPr>
      </w:pPr>
      <w:bookmarkStart w:name="_TOC_250025" w:id="11"/>
      <w:r>
        <w:rPr>
          <w:color w:val="452A70"/>
          <w:spacing w:val="-1"/>
        </w:rPr>
        <w:t>Block</w:t>
      </w:r>
      <w:r>
        <w:rPr>
          <w:color w:val="452A70"/>
        </w:rPr>
        <w:t> Grant</w:t>
      </w:r>
      <w:r>
        <w:rPr>
          <w:color w:val="452A70"/>
          <w:spacing w:val="-1"/>
        </w:rPr>
        <w:t> Authorities</w:t>
      </w:r>
      <w:bookmarkEnd w:id="11"/>
      <w:r>
        <w:rPr>
          <w:b w:val="0"/>
        </w:rPr>
      </w:r>
    </w:p>
    <w:p>
      <w:pPr>
        <w:pStyle w:val="BodyText"/>
        <w:spacing w:line="250" w:lineRule="exact" w:before="111"/>
        <w:ind w:left="120" w:right="305"/>
        <w:jc w:val="left"/>
      </w:pPr>
      <w:r>
        <w:rPr/>
        <w:pict>
          <v:shape style="position:absolute;margin-left:86.457001pt;margin-top:30.497395pt;width:211.181pt;height:213.436pt;mso-position-horizontal-relative:page;mso-position-vertical-relative:paragraph;z-index:4720" type="#_x0000_t75" stroked="false">
            <v:imagedata r:id="rId74" o:title=""/>
          </v:shape>
        </w:pict>
      </w:r>
      <w:r>
        <w:rPr>
          <w:color w:val="231F20"/>
          <w:spacing w:val="-1"/>
        </w:rPr>
        <w:t>Block</w:t>
      </w:r>
      <w:r>
        <w:rPr>
          <w:color w:val="231F20"/>
          <w:spacing w:val="-6"/>
        </w:rPr>
        <w:t> </w:t>
      </w:r>
      <w:r>
        <w:rPr>
          <w:color w:val="231F20"/>
        </w:rPr>
        <w:t>grant</w:t>
      </w:r>
      <w:r>
        <w:rPr>
          <w:color w:val="231F20"/>
          <w:spacing w:val="-6"/>
        </w:rPr>
        <w:t> </w:t>
      </w:r>
      <w:r>
        <w:rPr>
          <w:color w:val="231F20"/>
        </w:rPr>
        <w:t>authorities</w:t>
      </w:r>
      <w:r>
        <w:rPr>
          <w:color w:val="231F20"/>
          <w:spacing w:val="-6"/>
        </w:rPr>
        <w:t> </w:t>
      </w:r>
      <w:r>
        <w:rPr>
          <w:color w:val="231F20"/>
        </w:rPr>
        <w:t>are</w:t>
      </w:r>
      <w:r>
        <w:rPr>
          <w:color w:val="231F20"/>
          <w:spacing w:val="-6"/>
        </w:rPr>
        <w:t> </w:t>
      </w:r>
      <w:r>
        <w:rPr>
          <w:color w:val="231F20"/>
        </w:rPr>
        <w:t>bodies</w:t>
      </w:r>
      <w:r>
        <w:rPr>
          <w:color w:val="231F20"/>
          <w:spacing w:val="-6"/>
        </w:rPr>
        <w:t> </w:t>
      </w:r>
      <w:r>
        <w:rPr>
          <w:color w:val="231F20"/>
        </w:rPr>
        <w:t>corporate</w:t>
      </w:r>
      <w:r>
        <w:rPr>
          <w:color w:val="231F20"/>
          <w:spacing w:val="21"/>
          <w:w w:val="99"/>
        </w:rPr>
        <w:t> </w:t>
      </w:r>
      <w:r>
        <w:rPr>
          <w:color w:val="231F20"/>
        </w:rPr>
        <w:t>the</w:t>
      </w:r>
      <w:r>
        <w:rPr>
          <w:color w:val="231F20"/>
          <w:spacing w:val="-8"/>
        </w:rPr>
        <w:t> </w:t>
      </w:r>
      <w:r>
        <w:rPr>
          <w:color w:val="231F20"/>
        </w:rPr>
        <w:t>Australian</w:t>
      </w:r>
      <w:r>
        <w:rPr>
          <w:color w:val="231F20"/>
          <w:spacing w:val="-7"/>
        </w:rPr>
        <w:t> </w:t>
      </w:r>
      <w:r>
        <w:rPr>
          <w:color w:val="231F20"/>
        </w:rPr>
        <w:t>Government</w:t>
      </w:r>
      <w:r>
        <w:rPr>
          <w:color w:val="231F20"/>
          <w:spacing w:val="-6"/>
        </w:rPr>
        <w:t> </w:t>
      </w:r>
      <w:r>
        <w:rPr>
          <w:color w:val="231F20"/>
        </w:rPr>
        <w:t>has</w:t>
      </w:r>
      <w:r>
        <w:rPr>
          <w:color w:val="231F20"/>
          <w:spacing w:val="-8"/>
        </w:rPr>
        <w:t> </w:t>
      </w:r>
      <w:r>
        <w:rPr>
          <w:color w:val="231F20"/>
        </w:rPr>
        <w:t>approved</w:t>
      </w:r>
      <w:r>
        <w:rPr>
          <w:color w:val="231F20"/>
          <w:spacing w:val="-7"/>
        </w:rPr>
        <w:t> </w:t>
      </w:r>
      <w:r>
        <w:rPr>
          <w:color w:val="231F20"/>
        </w:rPr>
        <w:t>to</w:t>
      </w:r>
      <w:r>
        <w:rPr>
          <w:color w:val="231F20"/>
          <w:w w:val="99"/>
        </w:rPr>
        <w:t> </w:t>
      </w:r>
      <w:r>
        <w:rPr>
          <w:color w:val="231F20"/>
        </w:rPr>
        <w:t>administer</w:t>
      </w:r>
      <w:r>
        <w:rPr>
          <w:color w:val="231F20"/>
          <w:spacing w:val="-9"/>
        </w:rPr>
        <w:t> </w:t>
      </w:r>
      <w:r>
        <w:rPr>
          <w:color w:val="231F20"/>
        </w:rPr>
        <w:t>capital</w:t>
      </w:r>
      <w:r>
        <w:rPr>
          <w:color w:val="231F20"/>
          <w:spacing w:val="-8"/>
        </w:rPr>
        <w:t> </w:t>
      </w:r>
      <w:r>
        <w:rPr>
          <w:color w:val="231F20"/>
        </w:rPr>
        <w:t>grants</w:t>
      </w:r>
      <w:r>
        <w:rPr>
          <w:color w:val="231F20"/>
          <w:spacing w:val="-8"/>
        </w:rPr>
        <w:t> </w:t>
      </w:r>
      <w:r>
        <w:rPr>
          <w:color w:val="231F20"/>
        </w:rPr>
        <w:t>for</w:t>
      </w:r>
      <w:r>
        <w:rPr>
          <w:color w:val="231F20"/>
          <w:spacing w:val="-7"/>
        </w:rPr>
        <w:t> </w:t>
      </w:r>
      <w:r>
        <w:rPr>
          <w:color w:val="231F20"/>
        </w:rPr>
        <w:t>non-government</w:t>
      </w:r>
      <w:r>
        <w:rPr>
          <w:color w:val="231F20"/>
          <w:w w:val="99"/>
        </w:rPr>
        <w:t> </w:t>
      </w:r>
      <w:r>
        <w:rPr>
          <w:color w:val="231F20"/>
          <w:spacing w:val="-1"/>
        </w:rPr>
        <w:t>schools</w:t>
      </w:r>
      <w:r>
        <w:rPr>
          <w:color w:val="231F20"/>
          <w:spacing w:val="-6"/>
        </w:rPr>
        <w:t> </w:t>
      </w:r>
      <w:r>
        <w:rPr>
          <w:color w:val="231F20"/>
        </w:rPr>
        <w:t>to</w:t>
      </w:r>
      <w:r>
        <w:rPr>
          <w:color w:val="231F20"/>
          <w:spacing w:val="-6"/>
        </w:rPr>
        <w:t> </w:t>
      </w:r>
      <w:r>
        <w:rPr>
          <w:color w:val="231F20"/>
          <w:spacing w:val="-1"/>
        </w:rPr>
        <w:t>improve</w:t>
      </w:r>
      <w:r>
        <w:rPr>
          <w:color w:val="231F20"/>
          <w:spacing w:val="-6"/>
        </w:rPr>
        <w:t> </w:t>
      </w:r>
      <w:r>
        <w:rPr>
          <w:color w:val="231F20"/>
        </w:rPr>
        <w:t>capital</w:t>
      </w:r>
      <w:r>
        <w:rPr>
          <w:color w:val="231F20"/>
          <w:spacing w:val="-6"/>
        </w:rPr>
        <w:t> </w:t>
      </w:r>
      <w:r>
        <w:rPr>
          <w:color w:val="231F20"/>
          <w:spacing w:val="-1"/>
        </w:rPr>
        <w:t>infrastructure</w:t>
      </w:r>
      <w:r>
        <w:rPr>
          <w:color w:val="231F20"/>
          <w:spacing w:val="-5"/>
        </w:rPr>
        <w:t> </w:t>
      </w:r>
      <w:r>
        <w:rPr>
          <w:color w:val="231F20"/>
        </w:rPr>
        <w:t>at</w:t>
      </w:r>
      <w:r>
        <w:rPr>
          <w:color w:val="231F20"/>
          <w:spacing w:val="24"/>
          <w:w w:val="99"/>
        </w:rPr>
        <w:t> </w:t>
      </w:r>
      <w:r>
        <w:rPr>
          <w:color w:val="231F20"/>
        </w:rPr>
        <w:t>those</w:t>
      </w:r>
      <w:r>
        <w:rPr>
          <w:color w:val="231F20"/>
          <w:spacing w:val="-4"/>
        </w:rPr>
        <w:t> </w:t>
      </w:r>
      <w:r>
        <w:rPr>
          <w:color w:val="231F20"/>
          <w:spacing w:val="-1"/>
        </w:rPr>
        <w:t>schools.</w:t>
      </w:r>
      <w:r>
        <w:rPr>
          <w:color w:val="231F20"/>
          <w:spacing w:val="-3"/>
        </w:rPr>
        <w:t> </w:t>
      </w:r>
      <w:r>
        <w:rPr>
          <w:color w:val="231F20"/>
          <w:spacing w:val="-1"/>
        </w:rPr>
        <w:t>While</w:t>
      </w:r>
      <w:r>
        <w:rPr>
          <w:color w:val="231F20"/>
          <w:spacing w:val="-3"/>
        </w:rPr>
        <w:t> </w:t>
      </w:r>
      <w:r>
        <w:rPr>
          <w:color w:val="231F20"/>
        </w:rPr>
        <w:t>this</w:t>
      </w:r>
      <w:r>
        <w:rPr>
          <w:color w:val="231F20"/>
          <w:spacing w:val="-4"/>
        </w:rPr>
        <w:t> </w:t>
      </w:r>
      <w:r>
        <w:rPr>
          <w:color w:val="231F20"/>
        </w:rPr>
        <w:t>funding</w:t>
      </w:r>
      <w:r>
        <w:rPr>
          <w:color w:val="231F20"/>
          <w:spacing w:val="-3"/>
        </w:rPr>
        <w:t> </w:t>
      </w:r>
      <w:r>
        <w:rPr>
          <w:color w:val="231F20"/>
          <w:spacing w:val="-1"/>
        </w:rPr>
        <w:t>is</w:t>
      </w:r>
      <w:r>
        <w:rPr>
          <w:color w:val="231F20"/>
          <w:spacing w:val="-4"/>
        </w:rPr>
        <w:t> </w:t>
      </w:r>
      <w:r>
        <w:rPr>
          <w:color w:val="231F20"/>
        </w:rPr>
        <w:t>capital</w:t>
      </w:r>
      <w:r>
        <w:rPr/>
      </w:r>
    </w:p>
    <w:p>
      <w:pPr>
        <w:pStyle w:val="BodyText"/>
        <w:spacing w:line="250" w:lineRule="exact"/>
        <w:ind w:left="120" w:right="200"/>
        <w:jc w:val="left"/>
      </w:pPr>
      <w:r>
        <w:rPr>
          <w:color w:val="231F20"/>
          <w:spacing w:val="-1"/>
        </w:rPr>
        <w:t>in</w:t>
      </w:r>
      <w:r>
        <w:rPr>
          <w:color w:val="231F20"/>
          <w:spacing w:val="-4"/>
        </w:rPr>
        <w:t> </w:t>
      </w:r>
      <w:r>
        <w:rPr>
          <w:color w:val="231F20"/>
        </w:rPr>
        <w:t>nature</w:t>
      </w:r>
      <w:r>
        <w:rPr>
          <w:color w:val="231F20"/>
          <w:spacing w:val="-4"/>
        </w:rPr>
        <w:t> </w:t>
      </w:r>
      <w:r>
        <w:rPr>
          <w:color w:val="231F20"/>
        </w:rPr>
        <w:t>and</w:t>
      </w:r>
      <w:r>
        <w:rPr>
          <w:color w:val="231F20"/>
          <w:spacing w:val="-5"/>
        </w:rPr>
        <w:t> </w:t>
      </w:r>
      <w:r>
        <w:rPr>
          <w:color w:val="231F20"/>
        </w:rPr>
        <w:t>not</w:t>
      </w:r>
      <w:r>
        <w:rPr>
          <w:color w:val="231F20"/>
          <w:spacing w:val="-4"/>
        </w:rPr>
        <w:t> </w:t>
      </w:r>
      <w:r>
        <w:rPr>
          <w:color w:val="231F20"/>
          <w:spacing w:val="-1"/>
        </w:rPr>
        <w:t>income,</w:t>
      </w:r>
      <w:r>
        <w:rPr>
          <w:color w:val="231F20"/>
          <w:spacing w:val="-3"/>
        </w:rPr>
        <w:t> </w:t>
      </w:r>
      <w:r>
        <w:rPr>
          <w:color w:val="231F20"/>
        </w:rPr>
        <w:t>the</w:t>
      </w:r>
      <w:r>
        <w:rPr>
          <w:color w:val="231F20"/>
          <w:spacing w:val="-5"/>
        </w:rPr>
        <w:t> </w:t>
      </w:r>
      <w:r>
        <w:rPr>
          <w:color w:val="231F20"/>
        </w:rPr>
        <w:t>grants</w:t>
      </w:r>
      <w:r>
        <w:rPr>
          <w:color w:val="231F20"/>
          <w:spacing w:val="-5"/>
        </w:rPr>
        <w:t> </w:t>
      </w:r>
      <w:r>
        <w:rPr>
          <w:color w:val="231F20"/>
        </w:rPr>
        <w:t>reduce</w:t>
      </w:r>
      <w:r>
        <w:rPr>
          <w:color w:val="231F20"/>
          <w:spacing w:val="23"/>
          <w:w w:val="99"/>
        </w:rPr>
        <w:t> </w:t>
      </w:r>
      <w:r>
        <w:rPr>
          <w:color w:val="231F20"/>
        </w:rPr>
        <w:t>cost</w:t>
      </w:r>
      <w:r>
        <w:rPr>
          <w:color w:val="231F20"/>
          <w:spacing w:val="-4"/>
        </w:rPr>
        <w:t> </w:t>
      </w:r>
      <w:r>
        <w:rPr>
          <w:color w:val="231F20"/>
        </w:rPr>
        <w:t>pressures</w:t>
      </w:r>
      <w:r>
        <w:rPr>
          <w:color w:val="231F20"/>
          <w:spacing w:val="-4"/>
        </w:rPr>
        <w:t> </w:t>
      </w:r>
      <w:r>
        <w:rPr>
          <w:color w:val="231F20"/>
          <w:spacing w:val="-1"/>
        </w:rPr>
        <w:t>in</w:t>
      </w:r>
      <w:r>
        <w:rPr>
          <w:color w:val="231F20"/>
          <w:spacing w:val="-3"/>
        </w:rPr>
        <w:t> </w:t>
      </w:r>
      <w:r>
        <w:rPr>
          <w:color w:val="231F20"/>
        </w:rPr>
        <w:t>a</w:t>
      </w:r>
      <w:r>
        <w:rPr>
          <w:color w:val="231F20"/>
          <w:spacing w:val="-3"/>
        </w:rPr>
        <w:t> </w:t>
      </w:r>
      <w:r>
        <w:rPr>
          <w:color w:val="231F20"/>
        </w:rPr>
        <w:t>boarding</w:t>
      </w:r>
      <w:r>
        <w:rPr>
          <w:color w:val="231F20"/>
          <w:spacing w:val="-4"/>
        </w:rPr>
        <w:t> </w:t>
      </w:r>
      <w:r>
        <w:rPr>
          <w:color w:val="231F20"/>
        </w:rPr>
        <w:t>facility,</w:t>
      </w:r>
      <w:r>
        <w:rPr>
          <w:color w:val="231F20"/>
          <w:spacing w:val="-3"/>
        </w:rPr>
        <w:t> </w:t>
      </w:r>
      <w:r>
        <w:rPr>
          <w:color w:val="231F20"/>
          <w:spacing w:val="-1"/>
        </w:rPr>
        <w:t>such</w:t>
      </w:r>
      <w:r>
        <w:rPr>
          <w:color w:val="231F20"/>
          <w:spacing w:val="-3"/>
        </w:rPr>
        <w:t> </w:t>
      </w:r>
      <w:r>
        <w:rPr>
          <w:color w:val="231F20"/>
        </w:rPr>
        <w:t>as</w:t>
      </w:r>
      <w:r>
        <w:rPr>
          <w:color w:val="231F20"/>
          <w:spacing w:val="-4"/>
        </w:rPr>
        <w:t> </w:t>
      </w:r>
      <w:r>
        <w:rPr>
          <w:color w:val="231F20"/>
          <w:spacing w:val="-1"/>
        </w:rPr>
        <w:t>in</w:t>
      </w:r>
      <w:r>
        <w:rPr>
          <w:color w:val="231F20"/>
          <w:spacing w:val="22"/>
        </w:rPr>
        <w:t> </w:t>
      </w:r>
      <w:r>
        <w:rPr>
          <w:color w:val="231F20"/>
        </w:rPr>
        <w:t>relation</w:t>
      </w:r>
      <w:r>
        <w:rPr>
          <w:color w:val="231F20"/>
          <w:spacing w:val="-9"/>
        </w:rPr>
        <w:t> </w:t>
      </w:r>
      <w:r>
        <w:rPr>
          <w:color w:val="231F20"/>
        </w:rPr>
        <w:t>to</w:t>
      </w:r>
      <w:r>
        <w:rPr>
          <w:color w:val="231F20"/>
          <w:spacing w:val="-7"/>
        </w:rPr>
        <w:t> </w:t>
      </w:r>
      <w:r>
        <w:rPr>
          <w:color w:val="231F20"/>
        </w:rPr>
        <w:t>repairs</w:t>
      </w:r>
      <w:r>
        <w:rPr>
          <w:color w:val="231F20"/>
          <w:spacing w:val="-9"/>
        </w:rPr>
        <w:t> </w:t>
      </w:r>
      <w:r>
        <w:rPr>
          <w:color w:val="231F20"/>
        </w:rPr>
        <w:t>and</w:t>
      </w:r>
      <w:r>
        <w:rPr>
          <w:color w:val="231F20"/>
          <w:spacing w:val="-8"/>
        </w:rPr>
        <w:t> </w:t>
      </w:r>
      <w:r>
        <w:rPr>
          <w:color w:val="231F20"/>
          <w:spacing w:val="-1"/>
        </w:rPr>
        <w:t>maintenance.</w:t>
      </w:r>
      <w:r>
        <w:rPr/>
      </w:r>
    </w:p>
    <w:p>
      <w:pPr>
        <w:pStyle w:val="BodyText"/>
        <w:spacing w:line="250" w:lineRule="exact" w:before="113"/>
        <w:ind w:left="120" w:right="193"/>
        <w:jc w:val="left"/>
      </w:pPr>
      <w:r>
        <w:rPr>
          <w:color w:val="231F20"/>
        </w:rPr>
        <w:t>There</w:t>
      </w:r>
      <w:r>
        <w:rPr>
          <w:color w:val="231F20"/>
          <w:spacing w:val="-5"/>
        </w:rPr>
        <w:t> </w:t>
      </w:r>
      <w:r>
        <w:rPr>
          <w:color w:val="231F20"/>
        </w:rPr>
        <w:t>are</w:t>
      </w:r>
      <w:r>
        <w:rPr>
          <w:color w:val="231F20"/>
          <w:spacing w:val="-5"/>
        </w:rPr>
        <w:t> </w:t>
      </w:r>
      <w:r>
        <w:rPr>
          <w:color w:val="231F20"/>
        </w:rPr>
        <w:t>two</w:t>
      </w:r>
      <w:r>
        <w:rPr>
          <w:color w:val="231F20"/>
          <w:spacing w:val="-4"/>
        </w:rPr>
        <w:t> </w:t>
      </w:r>
      <w:r>
        <w:rPr>
          <w:color w:val="231F20"/>
        </w:rPr>
        <w:t>block</w:t>
      </w:r>
      <w:r>
        <w:rPr>
          <w:color w:val="231F20"/>
          <w:spacing w:val="-5"/>
        </w:rPr>
        <w:t> </w:t>
      </w:r>
      <w:r>
        <w:rPr>
          <w:color w:val="231F20"/>
        </w:rPr>
        <w:t>grant</w:t>
      </w:r>
      <w:r>
        <w:rPr>
          <w:color w:val="231F20"/>
          <w:spacing w:val="-5"/>
        </w:rPr>
        <w:t> </w:t>
      </w:r>
      <w:r>
        <w:rPr>
          <w:color w:val="231F20"/>
        </w:rPr>
        <w:t>authorities</w:t>
      </w:r>
      <w:r>
        <w:rPr>
          <w:color w:val="231F20"/>
          <w:spacing w:val="-5"/>
        </w:rPr>
        <w:t> </w:t>
      </w:r>
      <w:r>
        <w:rPr>
          <w:color w:val="231F20"/>
          <w:spacing w:val="-1"/>
        </w:rPr>
        <w:t>in</w:t>
      </w:r>
      <w:r>
        <w:rPr>
          <w:color w:val="231F20"/>
          <w:spacing w:val="-5"/>
        </w:rPr>
        <w:t> </w:t>
      </w:r>
      <w:r>
        <w:rPr>
          <w:color w:val="231F20"/>
        </w:rPr>
        <w:t>each</w:t>
      </w:r>
      <w:r>
        <w:rPr>
          <w:color w:val="231F20"/>
          <w:spacing w:val="21"/>
          <w:w w:val="99"/>
        </w:rPr>
        <w:t> </w:t>
      </w:r>
      <w:r>
        <w:rPr>
          <w:color w:val="231F20"/>
          <w:spacing w:val="-1"/>
        </w:rPr>
        <w:t>state:</w:t>
      </w:r>
      <w:r>
        <w:rPr>
          <w:color w:val="231F20"/>
          <w:spacing w:val="-4"/>
        </w:rPr>
        <w:t> </w:t>
      </w:r>
      <w:r>
        <w:rPr>
          <w:color w:val="231F20"/>
        </w:rPr>
        <w:t>one</w:t>
      </w:r>
      <w:r>
        <w:rPr>
          <w:color w:val="231F20"/>
          <w:spacing w:val="-4"/>
        </w:rPr>
        <w:t> </w:t>
      </w:r>
      <w:r>
        <w:rPr>
          <w:color w:val="231F20"/>
        </w:rPr>
        <w:t>for</w:t>
      </w:r>
      <w:r>
        <w:rPr>
          <w:color w:val="231F20"/>
          <w:spacing w:val="-4"/>
        </w:rPr>
        <w:t> </w:t>
      </w:r>
      <w:r>
        <w:rPr>
          <w:color w:val="231F20"/>
          <w:spacing w:val="-1"/>
        </w:rPr>
        <w:t>Catholic</w:t>
      </w:r>
      <w:r>
        <w:rPr>
          <w:color w:val="231F20"/>
          <w:spacing w:val="-4"/>
        </w:rPr>
        <w:t> </w:t>
      </w:r>
      <w:r>
        <w:rPr>
          <w:color w:val="231F20"/>
          <w:spacing w:val="-1"/>
        </w:rPr>
        <w:t>schools</w:t>
      </w:r>
      <w:r>
        <w:rPr>
          <w:color w:val="231F20"/>
          <w:spacing w:val="-4"/>
        </w:rPr>
        <w:t> </w:t>
      </w:r>
      <w:r>
        <w:rPr>
          <w:color w:val="231F20"/>
        </w:rPr>
        <w:t>and</w:t>
      </w:r>
      <w:r>
        <w:rPr>
          <w:color w:val="231F20"/>
          <w:spacing w:val="-4"/>
        </w:rPr>
        <w:t> </w:t>
      </w:r>
      <w:r>
        <w:rPr>
          <w:color w:val="231F20"/>
        </w:rPr>
        <w:t>one</w:t>
      </w:r>
      <w:r>
        <w:rPr>
          <w:color w:val="231F20"/>
          <w:spacing w:val="-4"/>
        </w:rPr>
        <w:t> </w:t>
      </w:r>
      <w:r>
        <w:rPr>
          <w:color w:val="231F20"/>
        </w:rPr>
        <w:t>for</w:t>
      </w:r>
      <w:r>
        <w:rPr>
          <w:color w:val="231F20"/>
          <w:spacing w:val="24"/>
          <w:w w:val="99"/>
        </w:rPr>
        <w:t> </w:t>
      </w:r>
      <w:r>
        <w:rPr>
          <w:color w:val="231F20"/>
          <w:spacing w:val="-1"/>
        </w:rPr>
        <w:t>independent</w:t>
      </w:r>
      <w:r>
        <w:rPr>
          <w:color w:val="231F20"/>
          <w:spacing w:val="-6"/>
        </w:rPr>
        <w:t> </w:t>
      </w:r>
      <w:r>
        <w:rPr>
          <w:color w:val="231F20"/>
          <w:spacing w:val="-1"/>
        </w:rPr>
        <w:t>schools.</w:t>
      </w:r>
      <w:r>
        <w:rPr>
          <w:color w:val="231F20"/>
          <w:spacing w:val="-6"/>
        </w:rPr>
        <w:t> </w:t>
      </w:r>
      <w:r>
        <w:rPr>
          <w:color w:val="231F20"/>
          <w:spacing w:val="-1"/>
        </w:rPr>
        <w:t>In</w:t>
      </w:r>
      <w:r>
        <w:rPr>
          <w:color w:val="231F20"/>
          <w:spacing w:val="-6"/>
        </w:rPr>
        <w:t> </w:t>
      </w:r>
      <w:r>
        <w:rPr>
          <w:color w:val="231F20"/>
        </w:rPr>
        <w:t>the</w:t>
      </w:r>
      <w:r>
        <w:rPr>
          <w:color w:val="231F20"/>
          <w:spacing w:val="-7"/>
        </w:rPr>
        <w:t> </w:t>
      </w:r>
      <w:r>
        <w:rPr>
          <w:color w:val="231F20"/>
        </w:rPr>
        <w:t>Northern</w:t>
      </w:r>
      <w:r>
        <w:rPr>
          <w:color w:val="231F20"/>
          <w:spacing w:val="-6"/>
        </w:rPr>
        <w:t> </w:t>
      </w:r>
      <w:r>
        <w:rPr>
          <w:color w:val="231F20"/>
          <w:spacing w:val="-3"/>
        </w:rPr>
        <w:t>Territory</w:t>
      </w:r>
      <w:r>
        <w:rPr>
          <w:color w:val="231F20"/>
          <w:spacing w:val="21"/>
          <w:w w:val="99"/>
        </w:rPr>
        <w:t> </w:t>
      </w:r>
      <w:r>
        <w:rPr>
          <w:color w:val="231F20"/>
        </w:rPr>
        <w:t>and</w:t>
      </w:r>
      <w:r>
        <w:rPr>
          <w:color w:val="231F20"/>
          <w:spacing w:val="-7"/>
        </w:rPr>
        <w:t> </w:t>
      </w:r>
      <w:r>
        <w:rPr>
          <w:color w:val="231F20"/>
          <w:spacing w:val="-1"/>
        </w:rPr>
        <w:t>in</w:t>
      </w:r>
      <w:r>
        <w:rPr>
          <w:color w:val="231F20"/>
          <w:spacing w:val="-5"/>
        </w:rPr>
        <w:t> </w:t>
      </w:r>
      <w:r>
        <w:rPr>
          <w:color w:val="231F20"/>
        </w:rPr>
        <w:t>the</w:t>
      </w:r>
      <w:r>
        <w:rPr>
          <w:color w:val="231F20"/>
          <w:spacing w:val="-6"/>
        </w:rPr>
        <w:t> </w:t>
      </w:r>
      <w:r>
        <w:rPr>
          <w:color w:val="231F20"/>
        </w:rPr>
        <w:t>Australian</w:t>
      </w:r>
      <w:r>
        <w:rPr>
          <w:color w:val="231F20"/>
          <w:spacing w:val="-5"/>
        </w:rPr>
        <w:t> </w:t>
      </w:r>
      <w:r>
        <w:rPr>
          <w:color w:val="231F20"/>
          <w:spacing w:val="-1"/>
        </w:rPr>
        <w:t>Capital</w:t>
      </w:r>
      <w:r>
        <w:rPr>
          <w:color w:val="231F20"/>
          <w:spacing w:val="-5"/>
        </w:rPr>
        <w:t> </w:t>
      </w:r>
      <w:r>
        <w:rPr>
          <w:color w:val="231F20"/>
          <w:spacing w:val="-2"/>
        </w:rPr>
        <w:t>Territory,</w:t>
      </w:r>
      <w:r>
        <w:rPr>
          <w:color w:val="231F20"/>
          <w:spacing w:val="-6"/>
        </w:rPr>
        <w:t> </w:t>
      </w:r>
      <w:r>
        <w:rPr>
          <w:color w:val="231F20"/>
        </w:rPr>
        <w:t>there</w:t>
      </w:r>
      <w:r>
        <w:rPr>
          <w:color w:val="231F20"/>
          <w:spacing w:val="-6"/>
        </w:rPr>
        <w:t> </w:t>
      </w:r>
      <w:r>
        <w:rPr>
          <w:color w:val="231F20"/>
        </w:rPr>
        <w:t>are</w:t>
      </w:r>
      <w:r>
        <w:rPr>
          <w:color w:val="231F20"/>
          <w:spacing w:val="23"/>
          <w:w w:val="99"/>
        </w:rPr>
        <w:t> </w:t>
      </w:r>
      <w:r>
        <w:rPr>
          <w:color w:val="231F20"/>
          <w:spacing w:val="-1"/>
        </w:rPr>
        <w:t>joint</w:t>
      </w:r>
      <w:r>
        <w:rPr>
          <w:color w:val="231F20"/>
          <w:spacing w:val="-5"/>
        </w:rPr>
        <w:t> </w:t>
      </w:r>
      <w:r>
        <w:rPr>
          <w:color w:val="231F20"/>
        </w:rPr>
        <w:t>block</w:t>
      </w:r>
      <w:r>
        <w:rPr>
          <w:color w:val="231F20"/>
          <w:spacing w:val="-5"/>
        </w:rPr>
        <w:t> </w:t>
      </w:r>
      <w:r>
        <w:rPr>
          <w:color w:val="231F20"/>
        </w:rPr>
        <w:t>grant</w:t>
      </w:r>
      <w:r>
        <w:rPr>
          <w:color w:val="231F20"/>
          <w:spacing w:val="-6"/>
        </w:rPr>
        <w:t> </w:t>
      </w:r>
      <w:r>
        <w:rPr>
          <w:color w:val="231F20"/>
        </w:rPr>
        <w:t>authorities</w:t>
      </w:r>
      <w:r>
        <w:rPr>
          <w:color w:val="231F20"/>
          <w:spacing w:val="-5"/>
        </w:rPr>
        <w:t> </w:t>
      </w:r>
      <w:r>
        <w:rPr>
          <w:color w:val="231F20"/>
        </w:rPr>
        <w:t>for</w:t>
      </w:r>
      <w:r>
        <w:rPr>
          <w:color w:val="231F20"/>
          <w:spacing w:val="-5"/>
        </w:rPr>
        <w:t> </w:t>
      </w:r>
      <w:r>
        <w:rPr>
          <w:color w:val="231F20"/>
          <w:spacing w:val="-1"/>
        </w:rPr>
        <w:t>Catholic</w:t>
      </w:r>
      <w:r>
        <w:rPr>
          <w:color w:val="231F20"/>
          <w:spacing w:val="-5"/>
        </w:rPr>
        <w:t> </w:t>
      </w:r>
      <w:r>
        <w:rPr>
          <w:color w:val="231F20"/>
        </w:rPr>
        <w:t>and</w:t>
      </w:r>
      <w:r>
        <w:rPr>
          <w:color w:val="231F20"/>
          <w:spacing w:val="23"/>
          <w:w w:val="99"/>
        </w:rPr>
        <w:t> </w:t>
      </w:r>
      <w:r>
        <w:rPr>
          <w:color w:val="231F20"/>
          <w:spacing w:val="-1"/>
        </w:rPr>
        <w:t>independent</w:t>
      </w:r>
      <w:r>
        <w:rPr>
          <w:color w:val="231F20"/>
          <w:spacing w:val="-12"/>
        </w:rPr>
        <w:t> </w:t>
      </w:r>
      <w:r>
        <w:rPr>
          <w:color w:val="231F20"/>
          <w:spacing w:val="-1"/>
        </w:rPr>
        <w:t>schools.</w:t>
      </w:r>
      <w:r>
        <w:rPr/>
      </w:r>
    </w:p>
    <w:p>
      <w:pPr>
        <w:spacing w:after="0" w:line="250" w:lineRule="exact"/>
        <w:jc w:val="left"/>
        <w:sectPr>
          <w:type w:val="continuous"/>
          <w:pgSz w:w="11910" w:h="16840"/>
          <w:pgMar w:top="1580" w:bottom="280" w:left="1580" w:right="1300"/>
          <w:cols w:num="2" w:equalWidth="0">
            <w:col w:w="4373" w:space="162"/>
            <w:col w:w="4495"/>
          </w:cols>
        </w:sectPr>
      </w:pPr>
    </w:p>
    <w:p>
      <w:pPr>
        <w:spacing w:line="240" w:lineRule="auto" w:before="0"/>
        <w:rPr>
          <w:rFonts w:ascii="Segoe UI" w:hAnsi="Segoe UI" w:cs="Segoe UI" w:eastAsia="Segoe UI"/>
          <w:sz w:val="20"/>
          <w:szCs w:val="20"/>
        </w:rPr>
      </w:pPr>
    </w:p>
    <w:p>
      <w:pPr>
        <w:spacing w:line="240" w:lineRule="auto" w:before="1"/>
        <w:rPr>
          <w:rFonts w:ascii="Segoe UI" w:hAnsi="Segoe UI" w:cs="Segoe UI" w:eastAsia="Segoe UI"/>
          <w:sz w:val="20"/>
          <w:szCs w:val="20"/>
        </w:rPr>
      </w:pPr>
    </w:p>
    <w:p>
      <w:pPr>
        <w:pStyle w:val="Heading1"/>
        <w:numPr>
          <w:ilvl w:val="0"/>
          <w:numId w:val="4"/>
        </w:numPr>
        <w:tabs>
          <w:tab w:pos="838" w:val="left" w:leader="none"/>
        </w:tabs>
        <w:spacing w:line="567" w:lineRule="exact" w:before="0" w:after="0"/>
        <w:ind w:left="837" w:right="0" w:hanging="720"/>
        <w:jc w:val="left"/>
      </w:pPr>
      <w:bookmarkStart w:name="_TOC_250024" w:id="12"/>
      <w:r>
        <w:rPr>
          <w:color w:val="67973F"/>
          <w:spacing w:val="-1"/>
        </w:rPr>
        <w:t>Boarding</w:t>
      </w:r>
      <w:r>
        <w:rPr>
          <w:color w:val="67973F"/>
          <w:spacing w:val="-33"/>
        </w:rPr>
        <w:t> </w:t>
      </w:r>
      <w:r>
        <w:rPr>
          <w:color w:val="67973F"/>
        </w:rPr>
        <w:t>revenue</w:t>
      </w:r>
      <w:bookmarkEnd w:id="12"/>
      <w:r>
        <w:rPr/>
      </w:r>
    </w:p>
    <w:p>
      <w:pPr>
        <w:spacing w:line="240" w:lineRule="auto" w:before="0"/>
        <w:rPr>
          <w:rFonts w:ascii="Segoe UI" w:hAnsi="Segoe UI" w:cs="Segoe UI" w:eastAsia="Segoe UI"/>
          <w:sz w:val="22"/>
          <w:szCs w:val="22"/>
        </w:rPr>
      </w:pPr>
    </w:p>
    <w:p>
      <w:pPr>
        <w:spacing w:after="0" w:line="240" w:lineRule="auto"/>
        <w:rPr>
          <w:rFonts w:ascii="Segoe UI" w:hAnsi="Segoe UI" w:cs="Segoe UI" w:eastAsia="Segoe UI"/>
          <w:sz w:val="22"/>
          <w:szCs w:val="22"/>
        </w:rPr>
        <w:sectPr>
          <w:pgSz w:w="11910" w:h="16840"/>
          <w:pgMar w:header="0" w:footer="691" w:top="1580" w:bottom="880" w:left="1300" w:right="1600"/>
        </w:sectPr>
      </w:pPr>
    </w:p>
    <w:p>
      <w:pPr>
        <w:pStyle w:val="Heading2"/>
        <w:spacing w:line="240" w:lineRule="auto"/>
        <w:ind w:right="0"/>
        <w:jc w:val="left"/>
        <w:rPr>
          <w:b w:val="0"/>
          <w:bCs w:val="0"/>
        </w:rPr>
      </w:pPr>
      <w:bookmarkStart w:name="_TOC_250023" w:id="13"/>
      <w:r>
        <w:rPr>
          <w:color w:val="452A70"/>
          <w:spacing w:val="-1"/>
        </w:rPr>
        <w:t>Introduction</w:t>
      </w:r>
      <w:bookmarkEnd w:id="13"/>
      <w:r>
        <w:rPr>
          <w:b w:val="0"/>
        </w:rPr>
      </w:r>
    </w:p>
    <w:p>
      <w:pPr>
        <w:pStyle w:val="BodyText"/>
        <w:spacing w:line="250" w:lineRule="exact" w:before="111"/>
        <w:ind w:right="276"/>
        <w:jc w:val="left"/>
      </w:pPr>
      <w:r>
        <w:rPr>
          <w:rFonts w:ascii="Segoe UI"/>
          <w:color w:val="231F20"/>
        </w:rPr>
        <w:t>Previous reviews and reports have identified </w:t>
      </w:r>
      <w:r>
        <w:rPr>
          <w:color w:val="231F20"/>
        </w:rPr>
        <w:t>a</w:t>
      </w:r>
      <w:r>
        <w:rPr>
          <w:color w:val="231F20"/>
          <w:spacing w:val="-5"/>
        </w:rPr>
        <w:t> </w:t>
      </w:r>
      <w:r>
        <w:rPr>
          <w:color w:val="231F20"/>
        </w:rPr>
        <w:t>gap</w:t>
      </w:r>
      <w:r>
        <w:rPr>
          <w:color w:val="231F20"/>
          <w:spacing w:val="-5"/>
        </w:rPr>
        <w:t> </w:t>
      </w:r>
      <w:r>
        <w:rPr>
          <w:color w:val="231F20"/>
        </w:rPr>
        <w:t>or</w:t>
      </w:r>
      <w:r>
        <w:rPr>
          <w:color w:val="231F20"/>
          <w:spacing w:val="-5"/>
        </w:rPr>
        <w:t> </w:t>
      </w:r>
      <w:r>
        <w:rPr>
          <w:color w:val="231F20"/>
          <w:spacing w:val="-1"/>
        </w:rPr>
        <w:t>shortfall</w:t>
      </w:r>
      <w:r>
        <w:rPr>
          <w:color w:val="231F20"/>
          <w:spacing w:val="-4"/>
        </w:rPr>
        <w:t> </w:t>
      </w:r>
      <w:r>
        <w:rPr>
          <w:color w:val="231F20"/>
        </w:rPr>
        <w:t>between</w:t>
      </w:r>
      <w:r>
        <w:rPr>
          <w:color w:val="231F20"/>
          <w:spacing w:val="-5"/>
        </w:rPr>
        <w:t> </w:t>
      </w:r>
      <w:r>
        <w:rPr>
          <w:color w:val="231F20"/>
        </w:rPr>
        <w:t>the</w:t>
      </w:r>
      <w:r>
        <w:rPr>
          <w:color w:val="231F20"/>
          <w:spacing w:val="-6"/>
        </w:rPr>
        <w:t> </w:t>
      </w:r>
      <w:r>
        <w:rPr>
          <w:color w:val="231F20"/>
        </w:rPr>
        <w:t>revenue</w:t>
      </w:r>
      <w:r>
        <w:rPr>
          <w:color w:val="231F20"/>
          <w:spacing w:val="-6"/>
        </w:rPr>
        <w:t> </w:t>
      </w:r>
      <w:r>
        <w:rPr>
          <w:color w:val="231F20"/>
        </w:rPr>
        <w:t>for</w:t>
      </w:r>
      <w:r>
        <w:rPr>
          <w:color w:val="231F20"/>
          <w:spacing w:val="22"/>
          <w:w w:val="99"/>
        </w:rPr>
        <w:t> </w:t>
      </w:r>
      <w:r>
        <w:rPr>
          <w:color w:val="231F20"/>
        </w:rPr>
        <w:t>boarding</w:t>
      </w:r>
      <w:r>
        <w:rPr>
          <w:color w:val="231F20"/>
          <w:spacing w:val="-6"/>
        </w:rPr>
        <w:t> </w:t>
      </w:r>
      <w:r>
        <w:rPr>
          <w:color w:val="231F20"/>
        </w:rPr>
        <w:t>and</w:t>
      </w:r>
      <w:r>
        <w:rPr>
          <w:color w:val="231F20"/>
          <w:spacing w:val="-6"/>
        </w:rPr>
        <w:t> </w:t>
      </w:r>
      <w:r>
        <w:rPr>
          <w:color w:val="231F20"/>
        </w:rPr>
        <w:t>the</w:t>
      </w:r>
      <w:r>
        <w:rPr>
          <w:color w:val="231F20"/>
          <w:spacing w:val="-6"/>
        </w:rPr>
        <w:t> </w:t>
      </w:r>
      <w:r>
        <w:rPr>
          <w:color w:val="231F20"/>
        </w:rPr>
        <w:t>actual</w:t>
      </w:r>
      <w:r>
        <w:rPr>
          <w:color w:val="231F20"/>
          <w:spacing w:val="-6"/>
        </w:rPr>
        <w:t> </w:t>
      </w:r>
      <w:r>
        <w:rPr>
          <w:color w:val="231F20"/>
        </w:rPr>
        <w:t>cost</w:t>
      </w:r>
      <w:r>
        <w:rPr>
          <w:color w:val="231F20"/>
          <w:spacing w:val="-6"/>
        </w:rPr>
        <w:t> </w:t>
      </w:r>
      <w:r>
        <w:rPr>
          <w:color w:val="231F20"/>
        </w:rPr>
        <w:t>of</w:t>
      </w:r>
      <w:r>
        <w:rPr>
          <w:color w:val="231F20"/>
          <w:spacing w:val="-5"/>
        </w:rPr>
        <w:t> </w:t>
      </w:r>
      <w:r>
        <w:rPr>
          <w:color w:val="231F20"/>
        </w:rPr>
        <w:t>boarding.</w:t>
      </w:r>
      <w:r>
        <w:rPr/>
      </w:r>
    </w:p>
    <w:p>
      <w:pPr>
        <w:pStyle w:val="BodyText"/>
        <w:spacing w:line="250" w:lineRule="exact"/>
        <w:ind w:right="372"/>
        <w:jc w:val="left"/>
      </w:pPr>
      <w:r>
        <w:rPr>
          <w:color w:val="231F20"/>
          <w:spacing w:val="-1"/>
        </w:rPr>
        <w:t>In</w:t>
      </w:r>
      <w:r>
        <w:rPr>
          <w:color w:val="231F20"/>
          <w:spacing w:val="-5"/>
        </w:rPr>
        <w:t> </w:t>
      </w:r>
      <w:r>
        <w:rPr>
          <w:color w:val="231F20"/>
        </w:rPr>
        <w:t>recent</w:t>
      </w:r>
      <w:r>
        <w:rPr>
          <w:color w:val="231F20"/>
          <w:spacing w:val="-6"/>
        </w:rPr>
        <w:t> </w:t>
      </w:r>
      <w:r>
        <w:rPr>
          <w:color w:val="231F20"/>
        </w:rPr>
        <w:t>years</w:t>
      </w:r>
      <w:r>
        <w:rPr>
          <w:color w:val="231F20"/>
          <w:spacing w:val="-5"/>
        </w:rPr>
        <w:t> </w:t>
      </w:r>
      <w:r>
        <w:rPr>
          <w:color w:val="231F20"/>
        </w:rPr>
        <w:t>a</w:t>
      </w:r>
      <w:r>
        <w:rPr>
          <w:color w:val="231F20"/>
          <w:spacing w:val="-5"/>
        </w:rPr>
        <w:t> </w:t>
      </w:r>
      <w:r>
        <w:rPr>
          <w:color w:val="231F20"/>
        </w:rPr>
        <w:t>number</w:t>
      </w:r>
      <w:r>
        <w:rPr>
          <w:color w:val="231F20"/>
          <w:spacing w:val="-5"/>
        </w:rPr>
        <w:t> </w:t>
      </w:r>
      <w:r>
        <w:rPr>
          <w:color w:val="231F20"/>
        </w:rPr>
        <w:t>of</w:t>
      </w:r>
      <w:r>
        <w:rPr>
          <w:color w:val="231F20"/>
          <w:spacing w:val="-5"/>
        </w:rPr>
        <w:t> </w:t>
      </w:r>
      <w:r>
        <w:rPr>
          <w:color w:val="231F20"/>
        </w:rPr>
        <w:t>Aboriginal</w:t>
      </w:r>
      <w:r>
        <w:rPr>
          <w:color w:val="231F20"/>
          <w:spacing w:val="-5"/>
        </w:rPr>
        <w:t> </w:t>
      </w:r>
      <w:r>
        <w:rPr>
          <w:color w:val="231F20"/>
        </w:rPr>
        <w:t>and</w:t>
      </w:r>
      <w:r>
        <w:rPr>
          <w:color w:val="231F20"/>
          <w:spacing w:val="21"/>
          <w:w w:val="99"/>
        </w:rPr>
        <w:t> </w:t>
      </w:r>
      <w:r>
        <w:rPr>
          <w:color w:val="231F20"/>
          <w:spacing w:val="-5"/>
        </w:rPr>
        <w:t>Torres</w:t>
      </w:r>
      <w:r>
        <w:rPr>
          <w:color w:val="231F20"/>
          <w:spacing w:val="-7"/>
        </w:rPr>
        <w:t> </w:t>
      </w:r>
      <w:r>
        <w:rPr>
          <w:color w:val="231F20"/>
          <w:spacing w:val="-2"/>
        </w:rPr>
        <w:t>Strait</w:t>
      </w:r>
      <w:r>
        <w:rPr>
          <w:color w:val="231F20"/>
          <w:spacing w:val="-8"/>
        </w:rPr>
        <w:t> </w:t>
      </w:r>
      <w:r>
        <w:rPr>
          <w:color w:val="231F20"/>
          <w:spacing w:val="-1"/>
        </w:rPr>
        <w:t>Islander</w:t>
      </w:r>
      <w:r>
        <w:rPr>
          <w:color w:val="231F20"/>
          <w:spacing w:val="-6"/>
        </w:rPr>
        <w:t> </w:t>
      </w:r>
      <w:r>
        <w:rPr>
          <w:color w:val="231F20"/>
        </w:rPr>
        <w:t>boarding</w:t>
      </w:r>
      <w:r>
        <w:rPr>
          <w:color w:val="231F20"/>
          <w:spacing w:val="-8"/>
        </w:rPr>
        <w:t> </w:t>
      </w:r>
      <w:r>
        <w:rPr>
          <w:color w:val="231F20"/>
        </w:rPr>
        <w:t>providers</w:t>
      </w:r>
      <w:r>
        <w:rPr>
          <w:color w:val="231F20"/>
          <w:spacing w:val="21"/>
          <w:w w:val="99"/>
        </w:rPr>
        <w:t> </w:t>
      </w:r>
      <w:r>
        <w:rPr>
          <w:rFonts w:ascii="Segoe UI"/>
          <w:color w:val="231F20"/>
        </w:rPr>
        <w:t>have experienced financial stress and this</w:t>
      </w:r>
      <w:r>
        <w:rPr>
          <w:rFonts w:ascii="Segoe UI"/>
          <w:color w:val="231F20"/>
        </w:rPr>
        <w:t> </w:t>
      </w:r>
      <w:r>
        <w:rPr>
          <w:color w:val="231F20"/>
        </w:rPr>
        <w:t>has</w:t>
      </w:r>
      <w:r>
        <w:rPr>
          <w:color w:val="231F20"/>
          <w:spacing w:val="-6"/>
        </w:rPr>
        <w:t> </w:t>
      </w:r>
      <w:r>
        <w:rPr>
          <w:color w:val="231F20"/>
        </w:rPr>
        <w:t>resulted</w:t>
      </w:r>
      <w:r>
        <w:rPr>
          <w:color w:val="231F20"/>
          <w:spacing w:val="-6"/>
        </w:rPr>
        <w:t> </w:t>
      </w:r>
      <w:r>
        <w:rPr>
          <w:color w:val="231F20"/>
          <w:spacing w:val="-1"/>
        </w:rPr>
        <w:t>in</w:t>
      </w:r>
      <w:r>
        <w:rPr>
          <w:color w:val="231F20"/>
          <w:spacing w:val="-5"/>
        </w:rPr>
        <w:t> </w:t>
      </w:r>
      <w:r>
        <w:rPr>
          <w:color w:val="231F20"/>
        </w:rPr>
        <w:t>closures</w:t>
      </w:r>
      <w:r>
        <w:rPr>
          <w:color w:val="231F20"/>
          <w:spacing w:val="-5"/>
        </w:rPr>
        <w:t> </w:t>
      </w:r>
      <w:r>
        <w:rPr>
          <w:color w:val="231F20"/>
        </w:rPr>
        <w:t>and/or</w:t>
      </w:r>
      <w:r>
        <w:rPr>
          <w:color w:val="231F20"/>
          <w:spacing w:val="-6"/>
        </w:rPr>
        <w:t> </w:t>
      </w:r>
      <w:r>
        <w:rPr>
          <w:color w:val="231F20"/>
        </w:rPr>
        <w:t>restructures</w:t>
      </w:r>
      <w:r>
        <w:rPr/>
      </w:r>
    </w:p>
    <w:p>
      <w:pPr>
        <w:pStyle w:val="BodyText"/>
        <w:spacing w:line="250" w:lineRule="exact"/>
        <w:ind w:right="0"/>
        <w:jc w:val="left"/>
      </w:pPr>
      <w:r>
        <w:rPr>
          <w:color w:val="231F20"/>
        </w:rPr>
        <w:t>(Shalom</w:t>
      </w:r>
      <w:r>
        <w:rPr>
          <w:color w:val="231F20"/>
          <w:spacing w:val="-7"/>
        </w:rPr>
        <w:t> </w:t>
      </w:r>
      <w:r>
        <w:rPr>
          <w:color w:val="231F20"/>
          <w:spacing w:val="-1"/>
        </w:rPr>
        <w:t>Christian</w:t>
      </w:r>
      <w:r>
        <w:rPr>
          <w:color w:val="231F20"/>
          <w:spacing w:val="-6"/>
        </w:rPr>
        <w:t> </w:t>
      </w:r>
      <w:r>
        <w:rPr>
          <w:color w:val="231F20"/>
          <w:spacing w:val="-1"/>
        </w:rPr>
        <w:t>College</w:t>
      </w:r>
      <w:r>
        <w:rPr>
          <w:color w:val="231F20"/>
          <w:spacing w:val="-6"/>
        </w:rPr>
        <w:t> </w:t>
      </w:r>
      <w:r>
        <w:rPr>
          <w:color w:val="231F20"/>
        </w:rPr>
        <w:t>boarding,</w:t>
      </w:r>
      <w:r>
        <w:rPr>
          <w:color w:val="231F20"/>
          <w:spacing w:val="-7"/>
        </w:rPr>
        <w:t> </w:t>
      </w:r>
      <w:r>
        <w:rPr>
          <w:color w:val="231F20"/>
          <w:spacing w:val="-1"/>
        </w:rPr>
        <w:t>Woolaning</w:t>
      </w:r>
      <w:r>
        <w:rPr>
          <w:color w:val="231F20"/>
          <w:spacing w:val="24"/>
          <w:w w:val="99"/>
        </w:rPr>
        <w:t> </w:t>
      </w:r>
      <w:r>
        <w:rPr>
          <w:color w:val="231F20"/>
        </w:rPr>
        <w:t>Homeland</w:t>
      </w:r>
      <w:r>
        <w:rPr>
          <w:color w:val="231F20"/>
          <w:spacing w:val="-8"/>
        </w:rPr>
        <w:t> </w:t>
      </w:r>
      <w:r>
        <w:rPr>
          <w:color w:val="231F20"/>
          <w:spacing w:val="-1"/>
        </w:rPr>
        <w:t>Christian</w:t>
      </w:r>
      <w:r>
        <w:rPr>
          <w:color w:val="231F20"/>
          <w:spacing w:val="-6"/>
        </w:rPr>
        <w:t> </w:t>
      </w:r>
      <w:r>
        <w:rPr>
          <w:color w:val="231F20"/>
          <w:spacing w:val="-1"/>
        </w:rPr>
        <w:t>College,</w:t>
      </w:r>
      <w:r>
        <w:rPr>
          <w:color w:val="231F20"/>
          <w:spacing w:val="-7"/>
        </w:rPr>
        <w:t> </w:t>
      </w:r>
      <w:r>
        <w:rPr>
          <w:color w:val="231F20"/>
          <w:spacing w:val="-1"/>
        </w:rPr>
        <w:t>Kaziw</w:t>
      </w:r>
      <w:r>
        <w:rPr>
          <w:color w:val="231F20"/>
          <w:spacing w:val="-7"/>
        </w:rPr>
        <w:t> </w:t>
      </w:r>
      <w:r>
        <w:rPr>
          <w:color w:val="231F20"/>
          <w:spacing w:val="-1"/>
        </w:rPr>
        <w:t>Rangath</w:t>
      </w:r>
      <w:r>
        <w:rPr>
          <w:color w:val="231F20"/>
          <w:spacing w:val="-6"/>
        </w:rPr>
        <w:t> </w:t>
      </w:r>
      <w:r>
        <w:rPr>
          <w:color w:val="231F20"/>
        </w:rPr>
        <w:t>and</w:t>
      </w:r>
      <w:r>
        <w:rPr>
          <w:color w:val="231F20"/>
          <w:spacing w:val="25"/>
          <w:w w:val="99"/>
        </w:rPr>
        <w:t> </w:t>
      </w:r>
      <w:r>
        <w:rPr>
          <w:color w:val="231F20"/>
          <w:spacing w:val="-1"/>
        </w:rPr>
        <w:t>Kormilda</w:t>
      </w:r>
      <w:r>
        <w:rPr>
          <w:color w:val="231F20"/>
          <w:spacing w:val="-7"/>
        </w:rPr>
        <w:t> </w:t>
      </w:r>
      <w:r>
        <w:rPr>
          <w:color w:val="231F20"/>
          <w:spacing w:val="-1"/>
        </w:rPr>
        <w:t>College).</w:t>
      </w:r>
      <w:r>
        <w:rPr>
          <w:color w:val="231F20"/>
          <w:spacing w:val="-5"/>
        </w:rPr>
        <w:t> </w:t>
      </w:r>
      <w:r>
        <w:rPr>
          <w:color w:val="231F20"/>
          <w:spacing w:val="-1"/>
        </w:rPr>
        <w:t>During</w:t>
      </w:r>
      <w:r>
        <w:rPr>
          <w:color w:val="231F20"/>
          <w:spacing w:val="-5"/>
        </w:rPr>
        <w:t> </w:t>
      </w:r>
      <w:r>
        <w:rPr>
          <w:color w:val="231F20"/>
        </w:rPr>
        <w:t>consultations</w:t>
      </w:r>
      <w:r>
        <w:rPr>
          <w:color w:val="231F20"/>
          <w:spacing w:val="-6"/>
        </w:rPr>
        <w:t> </w:t>
      </w:r>
      <w:r>
        <w:rPr>
          <w:color w:val="231F20"/>
          <w:spacing w:val="-1"/>
        </w:rPr>
        <w:t>some</w:t>
      </w:r>
      <w:r>
        <w:rPr>
          <w:color w:val="231F20"/>
          <w:spacing w:val="25"/>
        </w:rPr>
        <w:t> </w:t>
      </w:r>
      <w:r>
        <w:rPr>
          <w:color w:val="231F20"/>
        </w:rPr>
        <w:t>boarding</w:t>
      </w:r>
      <w:r>
        <w:rPr>
          <w:color w:val="231F20"/>
          <w:spacing w:val="-8"/>
        </w:rPr>
        <w:t> </w:t>
      </w:r>
      <w:r>
        <w:rPr>
          <w:color w:val="231F20"/>
        </w:rPr>
        <w:t>providers</w:t>
      </w:r>
      <w:r>
        <w:rPr>
          <w:color w:val="231F20"/>
          <w:spacing w:val="-8"/>
        </w:rPr>
        <w:t> </w:t>
      </w:r>
      <w:r>
        <w:rPr>
          <w:color w:val="231F20"/>
          <w:spacing w:val="-1"/>
        </w:rPr>
        <w:t>indicated</w:t>
      </w:r>
      <w:r>
        <w:rPr>
          <w:color w:val="231F20"/>
          <w:spacing w:val="-7"/>
        </w:rPr>
        <w:t> </w:t>
      </w:r>
      <w:r>
        <w:rPr>
          <w:color w:val="231F20"/>
        </w:rPr>
        <w:t>that</w:t>
      </w:r>
      <w:r>
        <w:rPr>
          <w:color w:val="231F20"/>
          <w:spacing w:val="-8"/>
        </w:rPr>
        <w:t> </w:t>
      </w:r>
      <w:r>
        <w:rPr>
          <w:color w:val="231F20"/>
        </w:rPr>
        <w:t>they</w:t>
      </w:r>
      <w:r>
        <w:rPr>
          <w:color w:val="231F20"/>
          <w:spacing w:val="-8"/>
        </w:rPr>
        <w:t> </w:t>
      </w:r>
      <w:r>
        <w:rPr>
          <w:color w:val="231F20"/>
        </w:rPr>
        <w:t>are</w:t>
      </w:r>
      <w:r>
        <w:rPr>
          <w:color w:val="231F20"/>
          <w:spacing w:val="22"/>
          <w:w w:val="99"/>
        </w:rPr>
        <w:t> </w:t>
      </w:r>
      <w:r>
        <w:rPr>
          <w:color w:val="231F20"/>
        </w:rPr>
        <w:t>actively</w:t>
      </w:r>
      <w:r>
        <w:rPr>
          <w:color w:val="231F20"/>
          <w:spacing w:val="-9"/>
        </w:rPr>
        <w:t> </w:t>
      </w:r>
      <w:r>
        <w:rPr>
          <w:color w:val="231F20"/>
        </w:rPr>
        <w:t>considering</w:t>
      </w:r>
      <w:r>
        <w:rPr>
          <w:color w:val="231F20"/>
          <w:spacing w:val="-9"/>
        </w:rPr>
        <w:t> </w:t>
      </w:r>
      <w:r>
        <w:rPr>
          <w:color w:val="231F20"/>
        </w:rPr>
        <w:t>whether</w:t>
      </w:r>
      <w:r>
        <w:rPr>
          <w:color w:val="231F20"/>
          <w:spacing w:val="-9"/>
        </w:rPr>
        <w:t> </w:t>
      </w:r>
      <w:r>
        <w:rPr>
          <w:color w:val="231F20"/>
        </w:rPr>
        <w:t>to</w:t>
      </w:r>
      <w:r>
        <w:rPr>
          <w:color w:val="231F20"/>
          <w:spacing w:val="-8"/>
        </w:rPr>
        <w:t> </w:t>
      </w:r>
      <w:r>
        <w:rPr>
          <w:color w:val="231F20"/>
        </w:rPr>
        <w:t>cease</w:t>
      </w:r>
      <w:r>
        <w:rPr>
          <w:color w:val="231F20"/>
          <w:spacing w:val="-8"/>
        </w:rPr>
        <w:t> </w:t>
      </w:r>
      <w:r>
        <w:rPr>
          <w:color w:val="231F20"/>
        </w:rPr>
        <w:t>boarding</w:t>
      </w:r>
      <w:r>
        <w:rPr>
          <w:color w:val="231F20"/>
          <w:w w:val="99"/>
        </w:rPr>
        <w:t> </w:t>
      </w:r>
      <w:r>
        <w:rPr>
          <w:color w:val="231F20"/>
        </w:rPr>
        <w:t>for</w:t>
      </w:r>
      <w:r>
        <w:rPr>
          <w:color w:val="231F20"/>
          <w:spacing w:val="-6"/>
        </w:rPr>
        <w:t> </w:t>
      </w:r>
      <w:r>
        <w:rPr>
          <w:color w:val="231F20"/>
        </w:rPr>
        <w:t>Aboriginal</w:t>
      </w:r>
      <w:r>
        <w:rPr>
          <w:color w:val="231F20"/>
          <w:spacing w:val="-6"/>
        </w:rPr>
        <w:t> </w:t>
      </w:r>
      <w:r>
        <w:rPr>
          <w:color w:val="231F20"/>
        </w:rPr>
        <w:t>and</w:t>
      </w:r>
      <w:r>
        <w:rPr>
          <w:color w:val="231F20"/>
          <w:spacing w:val="-6"/>
        </w:rPr>
        <w:t> </w:t>
      </w:r>
      <w:r>
        <w:rPr>
          <w:color w:val="231F20"/>
          <w:spacing w:val="-5"/>
        </w:rPr>
        <w:t>Torres</w:t>
      </w:r>
      <w:r>
        <w:rPr>
          <w:color w:val="231F20"/>
          <w:spacing w:val="-6"/>
        </w:rPr>
        <w:t> </w:t>
      </w:r>
      <w:r>
        <w:rPr>
          <w:color w:val="231F20"/>
          <w:spacing w:val="-2"/>
        </w:rPr>
        <w:t>Strait</w:t>
      </w:r>
      <w:r>
        <w:rPr>
          <w:color w:val="231F20"/>
          <w:spacing w:val="-6"/>
        </w:rPr>
        <w:t> </w:t>
      </w:r>
      <w:r>
        <w:rPr>
          <w:color w:val="231F20"/>
          <w:spacing w:val="-1"/>
        </w:rPr>
        <w:t>Islander</w:t>
      </w:r>
      <w:r>
        <w:rPr>
          <w:color w:val="231F20"/>
          <w:spacing w:val="-7"/>
        </w:rPr>
        <w:t> </w:t>
      </w:r>
      <w:r>
        <w:rPr>
          <w:color w:val="231F20"/>
          <w:spacing w:val="-7"/>
        </w:rPr>
      </w:r>
      <w:r>
        <w:rPr>
          <w:color w:val="231F20"/>
          <w:spacing w:val="-1"/>
        </w:rPr>
        <w:t>students.</w:t>
      </w:r>
      <w:r>
        <w:rPr/>
      </w:r>
    </w:p>
    <w:p>
      <w:pPr>
        <w:pStyle w:val="BodyText"/>
        <w:spacing w:line="250" w:lineRule="exact" w:before="113"/>
        <w:ind w:right="212"/>
        <w:jc w:val="left"/>
        <w:rPr>
          <w:rFonts w:ascii="Segoe UI" w:hAnsi="Segoe UI" w:cs="Segoe UI" w:eastAsia="Segoe UI"/>
        </w:rPr>
      </w:pPr>
      <w:r>
        <w:rPr>
          <w:color w:val="231F20"/>
        </w:rPr>
        <w:t>A</w:t>
      </w:r>
      <w:r>
        <w:rPr>
          <w:color w:val="231F20"/>
          <w:spacing w:val="-7"/>
        </w:rPr>
        <w:t> </w:t>
      </w:r>
      <w:r>
        <w:rPr>
          <w:color w:val="231F20"/>
          <w:spacing w:val="-1"/>
        </w:rPr>
        <w:t>2017</w:t>
      </w:r>
      <w:r>
        <w:rPr>
          <w:color w:val="231F20"/>
          <w:spacing w:val="-6"/>
        </w:rPr>
        <w:t> </w:t>
      </w:r>
      <w:r>
        <w:rPr>
          <w:color w:val="231F20"/>
          <w:spacing w:val="-1"/>
        </w:rPr>
        <w:t>Indigenous</w:t>
      </w:r>
      <w:r>
        <w:rPr>
          <w:color w:val="231F20"/>
          <w:spacing w:val="-6"/>
        </w:rPr>
        <w:t> </w:t>
      </w:r>
      <w:r>
        <w:rPr>
          <w:color w:val="231F20"/>
        </w:rPr>
        <w:t>Education</w:t>
      </w:r>
      <w:r>
        <w:rPr>
          <w:color w:val="231F20"/>
          <w:spacing w:val="-6"/>
        </w:rPr>
        <w:t> </w:t>
      </w:r>
      <w:r>
        <w:rPr>
          <w:color w:val="231F20"/>
        </w:rPr>
        <w:t>and</w:t>
      </w:r>
      <w:r>
        <w:rPr>
          <w:color w:val="231F20"/>
          <w:spacing w:val="-7"/>
        </w:rPr>
        <w:t> </w:t>
      </w:r>
      <w:r>
        <w:rPr>
          <w:color w:val="231F20"/>
          <w:spacing w:val="-1"/>
        </w:rPr>
        <w:t>Boarding</w:t>
      </w:r>
      <w:r>
        <w:rPr>
          <w:color w:val="231F20"/>
          <w:spacing w:val="22"/>
          <w:w w:val="99"/>
        </w:rPr>
        <w:t> </w:t>
      </w:r>
      <w:r>
        <w:rPr>
          <w:color w:val="231F20"/>
        </w:rPr>
        <w:t>Australia</w:t>
      </w:r>
      <w:r>
        <w:rPr>
          <w:color w:val="231F20"/>
          <w:spacing w:val="-5"/>
        </w:rPr>
        <w:t> </w:t>
      </w:r>
      <w:r>
        <w:rPr>
          <w:color w:val="231F20"/>
          <w:spacing w:val="-1"/>
        </w:rPr>
        <w:t>survey</w:t>
      </w:r>
      <w:r>
        <w:rPr>
          <w:color w:val="231F20"/>
          <w:spacing w:val="-5"/>
        </w:rPr>
        <w:t> </w:t>
      </w:r>
      <w:r>
        <w:rPr>
          <w:color w:val="231F20"/>
        </w:rPr>
        <w:t>of</w:t>
      </w:r>
      <w:r>
        <w:rPr>
          <w:color w:val="231F20"/>
          <w:spacing w:val="-4"/>
        </w:rPr>
        <w:t> </w:t>
      </w:r>
      <w:r>
        <w:rPr>
          <w:color w:val="231F20"/>
          <w:spacing w:val="-1"/>
        </w:rPr>
        <w:t>its</w:t>
      </w:r>
      <w:r>
        <w:rPr>
          <w:color w:val="231F20"/>
          <w:spacing w:val="-5"/>
        </w:rPr>
        <w:t> </w:t>
      </w:r>
      <w:r>
        <w:rPr>
          <w:color w:val="231F20"/>
          <w:spacing w:val="-1"/>
        </w:rPr>
        <w:t>members</w:t>
      </w:r>
      <w:r>
        <w:rPr>
          <w:color w:val="231F20"/>
          <w:spacing w:val="-4"/>
        </w:rPr>
        <w:t> </w:t>
      </w:r>
      <w:r>
        <w:rPr>
          <w:color w:val="231F20"/>
        </w:rPr>
        <w:t>addressed</w:t>
      </w:r>
      <w:r>
        <w:rPr>
          <w:color w:val="231F20"/>
          <w:spacing w:val="-5"/>
        </w:rPr>
        <w:t> </w:t>
      </w:r>
      <w:r>
        <w:rPr>
          <w:color w:val="231F20"/>
        </w:rPr>
        <w:t>the</w:t>
      </w:r>
      <w:r>
        <w:rPr>
          <w:color w:val="231F20"/>
          <w:spacing w:val="24"/>
          <w:w w:val="99"/>
        </w:rPr>
        <w:t> </w:t>
      </w:r>
      <w:r>
        <w:rPr>
          <w:rFonts w:ascii="Segoe UI" w:hAnsi="Segoe UI" w:cs="Segoe UI" w:eastAsia="Segoe UI"/>
          <w:color w:val="231F20"/>
        </w:rPr>
        <w:t>question of financial position and financial</w:t>
      </w:r>
      <w:r>
        <w:rPr>
          <w:rFonts w:ascii="Segoe UI" w:hAnsi="Segoe UI" w:cs="Segoe UI" w:eastAsia="Segoe UI"/>
          <w:color w:val="231F20"/>
        </w:rPr>
        <w:t> </w:t>
      </w:r>
      <w:r>
        <w:rPr>
          <w:color w:val="231F20"/>
        </w:rPr>
        <w:t>health</w:t>
      </w:r>
      <w:r>
        <w:rPr>
          <w:color w:val="231F20"/>
          <w:spacing w:val="-8"/>
        </w:rPr>
        <w:t> </w:t>
      </w:r>
      <w:r>
        <w:rPr>
          <w:color w:val="231F20"/>
        </w:rPr>
        <w:t>of</w:t>
      </w:r>
      <w:r>
        <w:rPr>
          <w:color w:val="231F20"/>
          <w:spacing w:val="-6"/>
        </w:rPr>
        <w:t> </w:t>
      </w:r>
      <w:r>
        <w:rPr>
          <w:color w:val="231F20"/>
        </w:rPr>
        <w:t>boarding</w:t>
      </w:r>
      <w:r>
        <w:rPr>
          <w:color w:val="231F20"/>
          <w:spacing w:val="-7"/>
        </w:rPr>
        <w:t> </w:t>
      </w:r>
      <w:r>
        <w:rPr>
          <w:color w:val="231F20"/>
        </w:rPr>
        <w:t>providers.</w:t>
      </w:r>
      <w:r>
        <w:rPr>
          <w:color w:val="231F20"/>
          <w:spacing w:val="-7"/>
        </w:rPr>
        <w:t> </w:t>
      </w:r>
      <w:r>
        <w:rPr>
          <w:color w:val="231F20"/>
        </w:rPr>
        <w:t>Of</w:t>
      </w:r>
      <w:r>
        <w:rPr>
          <w:color w:val="231F20"/>
          <w:spacing w:val="-6"/>
        </w:rPr>
        <w:t> </w:t>
      </w:r>
      <w:r>
        <w:rPr>
          <w:color w:val="231F20"/>
        </w:rPr>
        <w:t>the</w:t>
      </w:r>
      <w:r>
        <w:rPr>
          <w:color w:val="231F20"/>
          <w:spacing w:val="-8"/>
        </w:rPr>
        <w:t> </w:t>
      </w:r>
      <w:r>
        <w:rPr>
          <w:color w:val="231F20"/>
        </w:rPr>
        <w:t>boarding</w:t>
      </w:r>
      <w:r>
        <w:rPr>
          <w:color w:val="231F20"/>
          <w:w w:val="99"/>
        </w:rPr>
        <w:t> </w:t>
      </w:r>
      <w:r>
        <w:rPr>
          <w:color w:val="231F20"/>
        </w:rPr>
        <w:t>providers</w:t>
      </w:r>
      <w:r>
        <w:rPr>
          <w:color w:val="231F20"/>
          <w:spacing w:val="-7"/>
        </w:rPr>
        <w:t> </w:t>
      </w:r>
      <w:r>
        <w:rPr>
          <w:color w:val="231F20"/>
        </w:rPr>
        <w:t>with</w:t>
      </w:r>
      <w:r>
        <w:rPr>
          <w:color w:val="231F20"/>
          <w:spacing w:val="-6"/>
        </w:rPr>
        <w:t> </w:t>
      </w:r>
      <w:r>
        <w:rPr>
          <w:color w:val="231F20"/>
        </w:rPr>
        <w:t>a</w:t>
      </w:r>
      <w:r>
        <w:rPr>
          <w:color w:val="231F20"/>
          <w:spacing w:val="-6"/>
        </w:rPr>
        <w:t> </w:t>
      </w:r>
      <w:r>
        <w:rPr>
          <w:color w:val="231F20"/>
        </w:rPr>
        <w:t>boarding</w:t>
      </w:r>
      <w:r>
        <w:rPr>
          <w:color w:val="231F20"/>
          <w:spacing w:val="-7"/>
        </w:rPr>
        <w:t> </w:t>
      </w:r>
      <w:r>
        <w:rPr>
          <w:color w:val="231F20"/>
        </w:rPr>
        <w:t>cohort</w:t>
      </w:r>
      <w:r>
        <w:rPr>
          <w:color w:val="231F20"/>
          <w:spacing w:val="-5"/>
        </w:rPr>
        <w:t> </w:t>
      </w:r>
      <w:r>
        <w:rPr>
          <w:color w:val="231F20"/>
        </w:rPr>
        <w:t>of</w:t>
      </w:r>
      <w:r>
        <w:rPr>
          <w:color w:val="231F20"/>
          <w:spacing w:val="-6"/>
        </w:rPr>
        <w:t> </w:t>
      </w:r>
      <w:r>
        <w:rPr>
          <w:color w:val="231F20"/>
          <w:spacing w:val="-1"/>
        </w:rPr>
        <w:t>more</w:t>
      </w:r>
      <w:r>
        <w:rPr>
          <w:color w:val="231F20"/>
          <w:spacing w:val="19"/>
          <w:w w:val="99"/>
        </w:rPr>
        <w:t> </w:t>
      </w:r>
      <w:r>
        <w:rPr>
          <w:color w:val="231F20"/>
        </w:rPr>
        <w:t>than</w:t>
      </w:r>
      <w:r>
        <w:rPr>
          <w:color w:val="231F20"/>
          <w:spacing w:val="-5"/>
        </w:rPr>
        <w:t> </w:t>
      </w:r>
      <w:r>
        <w:rPr>
          <w:color w:val="231F20"/>
          <w:spacing w:val="-1"/>
        </w:rPr>
        <w:t>75</w:t>
      </w:r>
      <w:r>
        <w:rPr>
          <w:color w:val="231F20"/>
          <w:spacing w:val="-4"/>
        </w:rPr>
        <w:t> </w:t>
      </w:r>
      <w:r>
        <w:rPr>
          <w:color w:val="231F20"/>
        </w:rPr>
        <w:t>per</w:t>
      </w:r>
      <w:r>
        <w:rPr>
          <w:color w:val="231F20"/>
          <w:spacing w:val="-4"/>
        </w:rPr>
        <w:t> </w:t>
      </w:r>
      <w:r>
        <w:rPr>
          <w:color w:val="231F20"/>
        </w:rPr>
        <w:t>cent</w:t>
      </w:r>
      <w:r>
        <w:rPr>
          <w:color w:val="231F20"/>
          <w:spacing w:val="-4"/>
        </w:rPr>
        <w:t> </w:t>
      </w:r>
      <w:r>
        <w:rPr>
          <w:color w:val="231F20"/>
        </w:rPr>
        <w:t>Aboriginal</w:t>
      </w:r>
      <w:r>
        <w:rPr>
          <w:color w:val="231F20"/>
          <w:spacing w:val="-4"/>
        </w:rPr>
        <w:t> </w:t>
      </w:r>
      <w:r>
        <w:rPr>
          <w:color w:val="231F20"/>
        </w:rPr>
        <w:t>and</w:t>
      </w:r>
      <w:r>
        <w:rPr>
          <w:color w:val="231F20"/>
          <w:spacing w:val="-5"/>
        </w:rPr>
        <w:t> Torres</w:t>
      </w:r>
      <w:r>
        <w:rPr>
          <w:color w:val="231F20"/>
          <w:spacing w:val="-4"/>
        </w:rPr>
        <w:t> </w:t>
      </w:r>
      <w:r>
        <w:rPr>
          <w:color w:val="231F20"/>
          <w:spacing w:val="-2"/>
        </w:rPr>
        <w:t>Strait</w:t>
      </w:r>
      <w:r>
        <w:rPr>
          <w:color w:val="231F20"/>
          <w:spacing w:val="29"/>
          <w:w w:val="99"/>
        </w:rPr>
        <w:t> </w:t>
      </w:r>
      <w:r>
        <w:rPr>
          <w:color w:val="231F20"/>
          <w:spacing w:val="-1"/>
        </w:rPr>
        <w:t>Islander</w:t>
      </w:r>
      <w:r>
        <w:rPr>
          <w:color w:val="231F20"/>
          <w:spacing w:val="-6"/>
        </w:rPr>
        <w:t> </w:t>
      </w:r>
      <w:r>
        <w:rPr>
          <w:color w:val="231F20"/>
          <w:spacing w:val="-1"/>
        </w:rPr>
        <w:t>students,</w:t>
      </w:r>
      <w:r>
        <w:rPr>
          <w:color w:val="231F20"/>
          <w:spacing w:val="-5"/>
        </w:rPr>
        <w:t> </w:t>
      </w:r>
      <w:r>
        <w:rPr>
          <w:color w:val="231F20"/>
          <w:spacing w:val="-1"/>
        </w:rPr>
        <w:t>63</w:t>
      </w:r>
      <w:r>
        <w:rPr>
          <w:color w:val="231F20"/>
          <w:spacing w:val="-5"/>
        </w:rPr>
        <w:t> </w:t>
      </w:r>
      <w:r>
        <w:rPr>
          <w:color w:val="231F20"/>
        </w:rPr>
        <w:t>per</w:t>
      </w:r>
      <w:r>
        <w:rPr>
          <w:color w:val="231F20"/>
          <w:spacing w:val="-6"/>
        </w:rPr>
        <w:t> </w:t>
      </w:r>
      <w:r>
        <w:rPr>
          <w:color w:val="231F20"/>
        </w:rPr>
        <w:t>cent</w:t>
      </w:r>
      <w:r>
        <w:rPr>
          <w:color w:val="231F20"/>
          <w:spacing w:val="-6"/>
        </w:rPr>
        <w:t> </w:t>
      </w:r>
      <w:r>
        <w:rPr>
          <w:color w:val="231F20"/>
        </w:rPr>
        <w:t>reported</w:t>
      </w:r>
      <w:r>
        <w:rPr>
          <w:color w:val="231F20"/>
          <w:spacing w:val="-6"/>
        </w:rPr>
        <w:t> </w:t>
      </w:r>
      <w:r>
        <w:rPr>
          <w:color w:val="231F20"/>
        </w:rPr>
        <w:t>that</w:t>
      </w:r>
      <w:r>
        <w:rPr>
          <w:color w:val="231F20"/>
          <w:spacing w:val="24"/>
          <w:w w:val="99"/>
        </w:rPr>
        <w:t> </w:t>
      </w:r>
      <w:r>
        <w:rPr>
          <w:rFonts w:ascii="Segoe UI" w:hAnsi="Segoe UI" w:cs="Segoe UI" w:eastAsia="Segoe UI"/>
          <w:color w:val="231F20"/>
        </w:rPr>
        <w:t>their boarding facility was in ‘poor financial</w:t>
      </w:r>
      <w:r>
        <w:rPr>
          <w:rFonts w:ascii="Segoe UI" w:hAnsi="Segoe UI" w:cs="Segoe UI" w:eastAsia="Segoe UI"/>
        </w:rPr>
      </w:r>
    </w:p>
    <w:p>
      <w:pPr>
        <w:pStyle w:val="BodyText"/>
        <w:spacing w:line="242" w:lineRule="exact"/>
        <w:ind w:right="0"/>
        <w:jc w:val="left"/>
        <w:rPr>
          <w:rFonts w:ascii="Segoe UI" w:hAnsi="Segoe UI" w:cs="Segoe UI" w:eastAsia="Segoe UI"/>
        </w:rPr>
      </w:pPr>
      <w:r>
        <w:rPr>
          <w:rFonts w:ascii="Segoe UI" w:hAnsi="Segoe UI" w:cs="Segoe UI" w:eastAsia="Segoe UI"/>
          <w:color w:val="231F20"/>
        </w:rPr>
        <w:t>health’ and 81 per cent were in a worse financial</w:t>
      </w:r>
      <w:r>
        <w:rPr>
          <w:rFonts w:ascii="Segoe UI" w:hAnsi="Segoe UI" w:cs="Segoe UI" w:eastAsia="Segoe UI"/>
        </w:rPr>
      </w:r>
    </w:p>
    <w:p>
      <w:pPr>
        <w:pStyle w:val="BodyText"/>
        <w:spacing w:line="258" w:lineRule="exact"/>
        <w:ind w:right="0"/>
        <w:jc w:val="left"/>
      </w:pPr>
      <w:r>
        <w:rPr>
          <w:color w:val="231F20"/>
        </w:rPr>
        <w:t>position</w:t>
      </w:r>
      <w:r>
        <w:rPr>
          <w:color w:val="231F20"/>
          <w:spacing w:val="-6"/>
        </w:rPr>
        <w:t> </w:t>
      </w:r>
      <w:r>
        <w:rPr>
          <w:color w:val="231F20"/>
        </w:rPr>
        <w:t>than</w:t>
      </w:r>
      <w:r>
        <w:rPr>
          <w:color w:val="231F20"/>
          <w:spacing w:val="-5"/>
        </w:rPr>
        <w:t> </w:t>
      </w:r>
      <w:r>
        <w:rPr>
          <w:color w:val="231F20"/>
        </w:rPr>
        <w:t>three</w:t>
      </w:r>
      <w:r>
        <w:rPr>
          <w:color w:val="231F20"/>
          <w:spacing w:val="-5"/>
        </w:rPr>
        <w:t> </w:t>
      </w:r>
      <w:r>
        <w:rPr>
          <w:color w:val="231F20"/>
        </w:rPr>
        <w:t>years</w:t>
      </w:r>
      <w:r>
        <w:rPr>
          <w:color w:val="231F20"/>
          <w:spacing w:val="-5"/>
        </w:rPr>
        <w:t> </w:t>
      </w:r>
      <w:r>
        <w:rPr>
          <w:color w:val="231F20"/>
        </w:rPr>
        <w:t>ago.</w:t>
      </w:r>
      <w:r>
        <w:rPr/>
      </w:r>
    </w:p>
    <w:p>
      <w:pPr>
        <w:pStyle w:val="BodyText"/>
        <w:spacing w:line="250" w:lineRule="exact" w:before="113"/>
        <w:ind w:right="0"/>
        <w:jc w:val="left"/>
        <w:rPr>
          <w:rFonts w:ascii="Segoe UI" w:hAnsi="Segoe UI" w:cs="Segoe UI" w:eastAsia="Segoe UI"/>
        </w:rPr>
      </w:pPr>
      <w:r>
        <w:rPr>
          <w:rFonts w:ascii="Segoe UI"/>
          <w:color w:val="231F20"/>
        </w:rPr>
        <w:t>An analysis of financial data has been </w:t>
      </w:r>
      <w:r>
        <w:rPr>
          <w:color w:val="231F20"/>
        </w:rPr>
        <w:t>undertaken</w:t>
      </w:r>
      <w:r>
        <w:rPr>
          <w:color w:val="231F20"/>
          <w:spacing w:val="-7"/>
        </w:rPr>
        <w:t> </w:t>
      </w:r>
      <w:r>
        <w:rPr>
          <w:color w:val="231F20"/>
        </w:rPr>
        <w:t>to</w:t>
      </w:r>
      <w:r>
        <w:rPr>
          <w:color w:val="231F20"/>
          <w:spacing w:val="-5"/>
        </w:rPr>
        <w:t> </w:t>
      </w:r>
      <w:r>
        <w:rPr>
          <w:color w:val="231F20"/>
        </w:rPr>
        <w:t>determine</w:t>
      </w:r>
      <w:r>
        <w:rPr>
          <w:color w:val="231F20"/>
          <w:spacing w:val="-6"/>
        </w:rPr>
        <w:t> </w:t>
      </w:r>
      <w:r>
        <w:rPr>
          <w:color w:val="231F20"/>
        </w:rPr>
        <w:t>whether</w:t>
      </w:r>
      <w:r>
        <w:rPr>
          <w:color w:val="231F20"/>
          <w:spacing w:val="-7"/>
        </w:rPr>
        <w:t> </w:t>
      </w:r>
      <w:r>
        <w:rPr>
          <w:color w:val="231F20"/>
        </w:rPr>
        <w:t>there</w:t>
      </w:r>
      <w:r>
        <w:rPr>
          <w:color w:val="231F20"/>
          <w:spacing w:val="-6"/>
        </w:rPr>
        <w:t> </w:t>
      </w:r>
      <w:r>
        <w:rPr>
          <w:color w:val="231F20"/>
          <w:spacing w:val="-1"/>
        </w:rPr>
        <w:t>is</w:t>
      </w:r>
      <w:r>
        <w:rPr>
          <w:color w:val="231F20"/>
          <w:spacing w:val="-6"/>
        </w:rPr>
        <w:t> </w:t>
      </w:r>
      <w:r>
        <w:rPr>
          <w:color w:val="231F20"/>
        </w:rPr>
        <w:t>a</w:t>
      </w:r>
      <w:r>
        <w:rPr>
          <w:color w:val="231F20"/>
          <w:spacing w:val="-6"/>
        </w:rPr>
        <w:t> </w:t>
      </w:r>
      <w:r>
        <w:rPr>
          <w:color w:val="231F20"/>
        </w:rPr>
        <w:t>gap</w:t>
      </w:r>
      <w:r>
        <w:rPr>
          <w:color w:val="231F20"/>
          <w:spacing w:val="21"/>
          <w:w w:val="99"/>
        </w:rPr>
        <w:t> </w:t>
      </w:r>
      <w:r>
        <w:rPr>
          <w:color w:val="231F20"/>
          <w:spacing w:val="-1"/>
        </w:rPr>
        <w:t>in</w:t>
      </w:r>
      <w:r>
        <w:rPr>
          <w:color w:val="231F20"/>
          <w:spacing w:val="-4"/>
        </w:rPr>
        <w:t> </w:t>
      </w:r>
      <w:r>
        <w:rPr>
          <w:color w:val="231F20"/>
        </w:rPr>
        <w:t>funding</w:t>
      </w:r>
      <w:r>
        <w:rPr>
          <w:color w:val="231F20"/>
          <w:spacing w:val="-4"/>
        </w:rPr>
        <w:t> </w:t>
      </w:r>
      <w:r>
        <w:rPr>
          <w:color w:val="231F20"/>
        </w:rPr>
        <w:t>at</w:t>
      </w:r>
      <w:r>
        <w:rPr>
          <w:color w:val="231F20"/>
          <w:spacing w:val="-4"/>
        </w:rPr>
        <w:t> </w:t>
      </w:r>
      <w:r>
        <w:rPr>
          <w:color w:val="231F20"/>
        </w:rPr>
        <w:t>the</w:t>
      </w:r>
      <w:r>
        <w:rPr>
          <w:color w:val="231F20"/>
          <w:spacing w:val="-5"/>
        </w:rPr>
        <w:t> </w:t>
      </w:r>
      <w:r>
        <w:rPr>
          <w:color w:val="231F20"/>
        </w:rPr>
        <w:t>Aboriginal</w:t>
      </w:r>
      <w:r>
        <w:rPr>
          <w:color w:val="231F20"/>
          <w:spacing w:val="-4"/>
        </w:rPr>
        <w:t> </w:t>
      </w:r>
      <w:r>
        <w:rPr>
          <w:color w:val="231F20"/>
        </w:rPr>
        <w:t>and</w:t>
      </w:r>
      <w:r>
        <w:rPr>
          <w:color w:val="231F20"/>
          <w:spacing w:val="-5"/>
        </w:rPr>
        <w:t> Torres</w:t>
      </w:r>
      <w:r>
        <w:rPr>
          <w:color w:val="231F20"/>
          <w:spacing w:val="-3"/>
        </w:rPr>
        <w:t> </w:t>
      </w:r>
      <w:r>
        <w:rPr>
          <w:color w:val="231F20"/>
          <w:spacing w:val="-2"/>
        </w:rPr>
        <w:t>Strait</w:t>
      </w:r>
      <w:r>
        <w:rPr>
          <w:color w:val="231F20"/>
          <w:spacing w:val="21"/>
          <w:w w:val="99"/>
        </w:rPr>
        <w:t> </w:t>
      </w:r>
      <w:r>
        <w:rPr>
          <w:color w:val="231F20"/>
          <w:spacing w:val="-1"/>
        </w:rPr>
        <w:t>Islander</w:t>
      </w:r>
      <w:r>
        <w:rPr>
          <w:color w:val="231F20"/>
          <w:spacing w:val="-7"/>
        </w:rPr>
        <w:t> </w:t>
      </w:r>
      <w:r>
        <w:rPr>
          <w:color w:val="231F20"/>
        </w:rPr>
        <w:t>boarding</w:t>
      </w:r>
      <w:r>
        <w:rPr>
          <w:color w:val="231F20"/>
          <w:spacing w:val="-8"/>
        </w:rPr>
        <w:t> </w:t>
      </w:r>
      <w:r>
        <w:rPr>
          <w:color w:val="231F20"/>
        </w:rPr>
        <w:t>providers</w:t>
      </w:r>
      <w:r>
        <w:rPr>
          <w:color w:val="231F20"/>
          <w:spacing w:val="-8"/>
        </w:rPr>
        <w:t> </w:t>
      </w:r>
      <w:r>
        <w:rPr>
          <w:color w:val="231F20"/>
        </w:rPr>
        <w:t>analysed</w:t>
      </w:r>
      <w:r>
        <w:rPr>
          <w:color w:val="231F20"/>
          <w:spacing w:val="-7"/>
        </w:rPr>
        <w:t> </w:t>
      </w:r>
      <w:r>
        <w:rPr>
          <w:color w:val="231F20"/>
        </w:rPr>
        <w:t>for</w:t>
      </w:r>
      <w:r>
        <w:rPr>
          <w:color w:val="231F20"/>
          <w:spacing w:val="-7"/>
        </w:rPr>
        <w:t> </w:t>
      </w:r>
      <w:r>
        <w:rPr>
          <w:color w:val="231F20"/>
        </w:rPr>
        <w:t>this</w:t>
      </w:r>
      <w:r>
        <w:rPr>
          <w:color w:val="231F20"/>
          <w:spacing w:val="22"/>
        </w:rPr>
        <w:t> </w:t>
      </w:r>
      <w:r>
        <w:rPr>
          <w:rFonts w:ascii="Segoe UI"/>
          <w:color w:val="231F20"/>
        </w:rPr>
        <w:t>report, and if so, compare the findings against</w:t>
      </w:r>
      <w:r>
        <w:rPr>
          <w:rFonts w:ascii="Segoe UI"/>
          <w:color w:val="231F20"/>
        </w:rPr>
        <w:t> the findings of previous reviews and reports.</w:t>
      </w:r>
      <w:r>
        <w:rPr>
          <w:rFonts w:ascii="Segoe UI"/>
        </w:rPr>
      </w:r>
    </w:p>
    <w:p>
      <w:pPr>
        <w:pStyle w:val="BodyText"/>
        <w:spacing w:line="250" w:lineRule="exact" w:before="113"/>
        <w:ind w:right="0"/>
        <w:jc w:val="left"/>
      </w:pPr>
      <w:r>
        <w:rPr>
          <w:color w:val="231F20"/>
        </w:rPr>
        <w:t>The</w:t>
      </w:r>
      <w:r>
        <w:rPr>
          <w:color w:val="231F20"/>
          <w:spacing w:val="-4"/>
        </w:rPr>
        <w:t> </w:t>
      </w:r>
      <w:r>
        <w:rPr>
          <w:color w:val="231F20"/>
        </w:rPr>
        <w:t>consultations</w:t>
      </w:r>
      <w:r>
        <w:rPr>
          <w:color w:val="231F20"/>
          <w:spacing w:val="-5"/>
        </w:rPr>
        <w:t> </w:t>
      </w:r>
      <w:r>
        <w:rPr>
          <w:color w:val="231F20"/>
        </w:rPr>
        <w:t>consistently</w:t>
      </w:r>
      <w:r>
        <w:rPr>
          <w:color w:val="231F20"/>
          <w:spacing w:val="-4"/>
        </w:rPr>
        <w:t> </w:t>
      </w:r>
      <w:r>
        <w:rPr>
          <w:color w:val="231F20"/>
        </w:rPr>
        <w:t>revealed</w:t>
      </w:r>
      <w:r>
        <w:rPr>
          <w:color w:val="231F20"/>
          <w:spacing w:val="-5"/>
        </w:rPr>
        <w:t> </w:t>
      </w:r>
      <w:r>
        <w:rPr>
          <w:color w:val="231F20"/>
        </w:rPr>
        <w:t>that</w:t>
      </w:r>
      <w:r>
        <w:rPr>
          <w:color w:val="231F20"/>
          <w:w w:val="99"/>
        </w:rPr>
        <w:t> </w:t>
      </w:r>
      <w:r>
        <w:rPr>
          <w:color w:val="231F20"/>
        </w:rPr>
        <w:t>boarding</w:t>
      </w:r>
      <w:r>
        <w:rPr>
          <w:color w:val="231F20"/>
          <w:spacing w:val="-6"/>
        </w:rPr>
        <w:t> </w:t>
      </w:r>
      <w:r>
        <w:rPr>
          <w:color w:val="231F20"/>
          <w:spacing w:val="-1"/>
        </w:rPr>
        <w:t>is</w:t>
      </w:r>
      <w:r>
        <w:rPr>
          <w:color w:val="231F20"/>
          <w:spacing w:val="-6"/>
        </w:rPr>
        <w:t> </w:t>
      </w:r>
      <w:r>
        <w:rPr>
          <w:color w:val="231F20"/>
        </w:rPr>
        <w:t>unique</w:t>
      </w:r>
      <w:r>
        <w:rPr>
          <w:color w:val="231F20"/>
          <w:spacing w:val="-6"/>
        </w:rPr>
        <w:t> </w:t>
      </w:r>
      <w:r>
        <w:rPr>
          <w:color w:val="231F20"/>
          <w:spacing w:val="-1"/>
        </w:rPr>
        <w:t>in</w:t>
      </w:r>
      <w:r>
        <w:rPr>
          <w:color w:val="231F20"/>
          <w:spacing w:val="-6"/>
        </w:rPr>
        <w:t> </w:t>
      </w:r>
      <w:r>
        <w:rPr>
          <w:color w:val="231F20"/>
        </w:rPr>
        <w:t>the</w:t>
      </w:r>
      <w:r>
        <w:rPr>
          <w:color w:val="231F20"/>
          <w:spacing w:val="-6"/>
        </w:rPr>
        <w:t> </w:t>
      </w:r>
      <w:r>
        <w:rPr>
          <w:color w:val="231F20"/>
        </w:rPr>
        <w:t>education</w:t>
      </w:r>
      <w:r>
        <w:rPr>
          <w:color w:val="231F20"/>
          <w:spacing w:val="-6"/>
        </w:rPr>
        <w:t> </w:t>
      </w:r>
      <w:r>
        <w:rPr>
          <w:color w:val="231F20"/>
          <w:spacing w:val="-1"/>
        </w:rPr>
        <w:t>setting</w:t>
      </w:r>
      <w:r>
        <w:rPr>
          <w:color w:val="231F20"/>
          <w:spacing w:val="-5"/>
        </w:rPr>
        <w:t> </w:t>
      </w:r>
      <w:r>
        <w:rPr>
          <w:color w:val="231F20"/>
        </w:rPr>
        <w:t>and</w:t>
      </w:r>
      <w:r>
        <w:rPr>
          <w:color w:val="231F20"/>
          <w:spacing w:val="24"/>
          <w:w w:val="99"/>
        </w:rPr>
        <w:t> </w:t>
      </w:r>
      <w:r>
        <w:rPr>
          <w:color w:val="231F20"/>
          <w:spacing w:val="-1"/>
        </w:rPr>
        <w:t>is</w:t>
      </w:r>
      <w:r>
        <w:rPr>
          <w:color w:val="231F20"/>
          <w:spacing w:val="-5"/>
        </w:rPr>
        <w:t> </w:t>
      </w:r>
      <w:r>
        <w:rPr>
          <w:color w:val="231F20"/>
        </w:rPr>
        <w:t>generally</w:t>
      </w:r>
      <w:r>
        <w:rPr>
          <w:color w:val="231F20"/>
          <w:spacing w:val="-5"/>
        </w:rPr>
        <w:t> </w:t>
      </w:r>
      <w:r>
        <w:rPr>
          <w:color w:val="231F20"/>
        </w:rPr>
        <w:t>providing</w:t>
      </w:r>
      <w:r>
        <w:rPr>
          <w:color w:val="231F20"/>
          <w:spacing w:val="-5"/>
        </w:rPr>
        <w:t> </w:t>
      </w:r>
      <w:r>
        <w:rPr>
          <w:color w:val="231F20"/>
        </w:rPr>
        <w:t>positive</w:t>
      </w:r>
      <w:r>
        <w:rPr>
          <w:color w:val="231F20"/>
          <w:spacing w:val="-5"/>
        </w:rPr>
        <w:t> </w:t>
      </w:r>
      <w:r>
        <w:rPr>
          <w:color w:val="231F20"/>
        </w:rPr>
        <w:t>outcomes</w:t>
      </w:r>
      <w:r>
        <w:rPr>
          <w:color w:val="231F20"/>
          <w:spacing w:val="-4"/>
        </w:rPr>
        <w:t> </w:t>
      </w:r>
      <w:r>
        <w:rPr>
          <w:color w:val="231F20"/>
        </w:rPr>
        <w:t>for</w:t>
      </w:r>
      <w:r>
        <w:rPr>
          <w:color w:val="231F20"/>
          <w:spacing w:val="21"/>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spacing w:val="-1"/>
        </w:rPr>
        <w:t>students,</w:t>
      </w:r>
      <w:r>
        <w:rPr>
          <w:color w:val="231F20"/>
          <w:spacing w:val="20"/>
          <w:w w:val="99"/>
        </w:rPr>
        <w:t> </w:t>
      </w:r>
      <w:r>
        <w:rPr>
          <w:color w:val="231F20"/>
        </w:rPr>
        <w:t>particularly</w:t>
      </w:r>
      <w:r>
        <w:rPr>
          <w:color w:val="231F20"/>
          <w:spacing w:val="-7"/>
        </w:rPr>
        <w:t> </w:t>
      </w:r>
      <w:r>
        <w:rPr>
          <w:color w:val="231F20"/>
        </w:rPr>
        <w:t>those</w:t>
      </w:r>
      <w:r>
        <w:rPr>
          <w:color w:val="231F20"/>
          <w:spacing w:val="-7"/>
        </w:rPr>
        <w:t> </w:t>
      </w:r>
      <w:r>
        <w:rPr>
          <w:color w:val="231F20"/>
        </w:rPr>
        <w:t>with</w:t>
      </w:r>
      <w:r>
        <w:rPr>
          <w:color w:val="231F20"/>
          <w:spacing w:val="-7"/>
        </w:rPr>
        <w:t> </w:t>
      </w:r>
      <w:r>
        <w:rPr>
          <w:color w:val="231F20"/>
        </w:rPr>
        <w:t>no</w:t>
      </w:r>
      <w:r>
        <w:rPr>
          <w:color w:val="231F20"/>
          <w:spacing w:val="-6"/>
        </w:rPr>
        <w:t> </w:t>
      </w:r>
      <w:r>
        <w:rPr>
          <w:color w:val="231F20"/>
          <w:spacing w:val="-1"/>
        </w:rPr>
        <w:t>secondary</w:t>
      </w:r>
      <w:r>
        <w:rPr>
          <w:color w:val="231F20"/>
          <w:spacing w:val="-5"/>
        </w:rPr>
        <w:t> </w:t>
      </w:r>
      <w:r>
        <w:rPr>
          <w:color w:val="231F20"/>
          <w:spacing w:val="-1"/>
        </w:rPr>
        <w:t>schooling</w:t>
      </w:r>
      <w:r>
        <w:rPr>
          <w:color w:val="231F20"/>
          <w:spacing w:val="21"/>
        </w:rPr>
        <w:t> </w:t>
      </w:r>
      <w:r>
        <w:rPr>
          <w:color w:val="231F20"/>
        </w:rPr>
        <w:t>options</w:t>
      </w:r>
      <w:r>
        <w:rPr>
          <w:color w:val="231F20"/>
          <w:spacing w:val="-3"/>
        </w:rPr>
        <w:t> </w:t>
      </w:r>
      <w:r>
        <w:rPr>
          <w:color w:val="231F20"/>
          <w:spacing w:val="-1"/>
        </w:rPr>
        <w:t>in</w:t>
      </w:r>
      <w:r>
        <w:rPr>
          <w:color w:val="231F20"/>
          <w:spacing w:val="-2"/>
        </w:rPr>
        <w:t> </w:t>
      </w:r>
      <w:r>
        <w:rPr>
          <w:color w:val="231F20"/>
        </w:rPr>
        <w:t>or</w:t>
      </w:r>
      <w:r>
        <w:rPr>
          <w:color w:val="231F20"/>
          <w:spacing w:val="-1"/>
        </w:rPr>
        <w:t> </w:t>
      </w:r>
      <w:r>
        <w:rPr>
          <w:color w:val="231F20"/>
        </w:rPr>
        <w:t>near</w:t>
      </w:r>
      <w:r>
        <w:rPr>
          <w:color w:val="231F20"/>
          <w:spacing w:val="-2"/>
        </w:rPr>
        <w:t> </w:t>
      </w:r>
      <w:r>
        <w:rPr>
          <w:color w:val="231F20"/>
        </w:rPr>
        <w:t>their</w:t>
      </w:r>
      <w:r>
        <w:rPr>
          <w:color w:val="231F20"/>
          <w:spacing w:val="-3"/>
        </w:rPr>
        <w:t> </w:t>
      </w:r>
      <w:r>
        <w:rPr>
          <w:color w:val="231F20"/>
        </w:rPr>
        <w:t>home</w:t>
      </w:r>
      <w:r>
        <w:rPr>
          <w:color w:val="231F20"/>
          <w:spacing w:val="-2"/>
        </w:rPr>
        <w:t> </w:t>
      </w:r>
      <w:r>
        <w:rPr>
          <w:color w:val="231F20"/>
        </w:rPr>
        <w:t>communities.</w:t>
      </w:r>
      <w:r>
        <w:rPr/>
      </w:r>
    </w:p>
    <w:p>
      <w:pPr>
        <w:pStyle w:val="BodyText"/>
        <w:spacing w:line="250" w:lineRule="exact" w:before="72"/>
        <w:ind w:right="249"/>
        <w:jc w:val="left"/>
      </w:pPr>
      <w:r>
        <w:rPr/>
        <w:br w:type="column"/>
      </w:r>
      <w:r>
        <w:rPr>
          <w:rFonts w:ascii="Segoe UI"/>
          <w:color w:val="231F20"/>
        </w:rPr>
        <w:t>The consultations and analysis identified</w:t>
      </w:r>
      <w:r>
        <w:rPr>
          <w:rFonts w:ascii="Segoe UI"/>
          <w:color w:val="231F20"/>
        </w:rPr>
        <w:t> </w:t>
      </w:r>
      <w:r>
        <w:rPr>
          <w:color w:val="231F20"/>
        </w:rPr>
        <w:t>unique</w:t>
      </w:r>
      <w:r>
        <w:rPr>
          <w:color w:val="231F20"/>
          <w:spacing w:val="-5"/>
        </w:rPr>
        <w:t> </w:t>
      </w:r>
      <w:r>
        <w:rPr>
          <w:color w:val="231F20"/>
        </w:rPr>
        <w:t>costs</w:t>
      </w:r>
      <w:r>
        <w:rPr>
          <w:color w:val="231F20"/>
          <w:spacing w:val="-5"/>
        </w:rPr>
        <w:t> </w:t>
      </w:r>
      <w:r>
        <w:rPr>
          <w:color w:val="231F20"/>
        </w:rPr>
        <w:t>and</w:t>
      </w:r>
      <w:r>
        <w:rPr>
          <w:color w:val="231F20"/>
          <w:spacing w:val="-5"/>
        </w:rPr>
        <w:t> </w:t>
      </w:r>
      <w:r>
        <w:rPr>
          <w:color w:val="231F20"/>
          <w:spacing w:val="-1"/>
        </w:rPr>
        <w:t>investment</w:t>
      </w:r>
      <w:r>
        <w:rPr>
          <w:color w:val="231F20"/>
          <w:spacing w:val="-4"/>
        </w:rPr>
        <w:t> </w:t>
      </w:r>
      <w:r>
        <w:rPr>
          <w:color w:val="231F20"/>
        </w:rPr>
        <w:t>that</w:t>
      </w:r>
      <w:r>
        <w:rPr>
          <w:color w:val="231F20"/>
          <w:spacing w:val="-5"/>
        </w:rPr>
        <w:t> </w:t>
      </w:r>
      <w:r>
        <w:rPr>
          <w:color w:val="231F20"/>
        </w:rPr>
        <w:t>are</w:t>
      </w:r>
      <w:r>
        <w:rPr>
          <w:color w:val="231F20"/>
          <w:spacing w:val="-4"/>
        </w:rPr>
        <w:t> </w:t>
      </w:r>
      <w:r>
        <w:rPr>
          <w:color w:val="231F20"/>
          <w:spacing w:val="-1"/>
        </w:rPr>
        <w:t>incurred</w:t>
      </w:r>
      <w:r>
        <w:rPr>
          <w:color w:val="231F20"/>
          <w:spacing w:val="21"/>
          <w:w w:val="99"/>
        </w:rPr>
        <w:t> </w:t>
      </w:r>
      <w:r>
        <w:rPr>
          <w:color w:val="231F20"/>
        </w:rPr>
        <w:t>or</w:t>
      </w:r>
      <w:r>
        <w:rPr>
          <w:color w:val="231F20"/>
          <w:spacing w:val="-6"/>
        </w:rPr>
        <w:t> </w:t>
      </w:r>
      <w:r>
        <w:rPr>
          <w:color w:val="231F20"/>
          <w:spacing w:val="-1"/>
        </w:rPr>
        <w:t>made</w:t>
      </w:r>
      <w:r>
        <w:rPr>
          <w:color w:val="231F20"/>
          <w:spacing w:val="-6"/>
        </w:rPr>
        <w:t> </w:t>
      </w:r>
      <w:r>
        <w:rPr>
          <w:color w:val="231F20"/>
          <w:spacing w:val="-1"/>
        </w:rPr>
        <w:t>in</w:t>
      </w:r>
      <w:r>
        <w:rPr>
          <w:color w:val="231F20"/>
          <w:spacing w:val="-6"/>
        </w:rPr>
        <w:t> </w:t>
      </w:r>
      <w:r>
        <w:rPr>
          <w:color w:val="231F20"/>
        </w:rPr>
        <w:t>delivering</w:t>
      </w:r>
      <w:r>
        <w:rPr>
          <w:color w:val="231F20"/>
          <w:spacing w:val="-7"/>
        </w:rPr>
        <w:t> </w:t>
      </w:r>
      <w:r>
        <w:rPr>
          <w:color w:val="231F20"/>
        </w:rPr>
        <w:t>boarding</w:t>
      </w:r>
      <w:r>
        <w:rPr>
          <w:color w:val="231F20"/>
          <w:spacing w:val="-7"/>
        </w:rPr>
        <w:t> </w:t>
      </w:r>
      <w:r>
        <w:rPr>
          <w:color w:val="231F20"/>
        </w:rPr>
        <w:t>for</w:t>
      </w:r>
      <w:r>
        <w:rPr>
          <w:color w:val="231F20"/>
          <w:spacing w:val="-6"/>
        </w:rPr>
        <w:t> </w:t>
      </w:r>
      <w:r>
        <w:rPr>
          <w:color w:val="231F20"/>
        </w:rPr>
        <w:t>Aboriginal</w:t>
      </w:r>
      <w:r>
        <w:rPr>
          <w:color w:val="231F20"/>
          <w:spacing w:val="22"/>
          <w:w w:val="99"/>
        </w:rPr>
        <w:t> </w:t>
      </w:r>
      <w:r>
        <w:rPr>
          <w:color w:val="231F20"/>
        </w:rPr>
        <w:t>and</w:t>
      </w:r>
      <w:r>
        <w:rPr>
          <w:color w:val="231F20"/>
          <w:spacing w:val="-5"/>
        </w:rPr>
        <w:t> 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4"/>
        </w:rPr>
        <w:t> </w:t>
      </w:r>
      <w:r>
        <w:rPr>
          <w:color w:val="231F20"/>
          <w:spacing w:val="-1"/>
        </w:rPr>
        <w:t>students,</w:t>
      </w:r>
      <w:r>
        <w:rPr>
          <w:color w:val="231F20"/>
          <w:spacing w:val="-3"/>
        </w:rPr>
        <w:t> </w:t>
      </w:r>
      <w:r>
        <w:rPr>
          <w:color w:val="231F20"/>
          <w:spacing w:val="-1"/>
        </w:rPr>
        <w:t>such</w:t>
      </w:r>
      <w:r>
        <w:rPr>
          <w:color w:val="231F20"/>
          <w:spacing w:val="-4"/>
        </w:rPr>
        <w:t> </w:t>
      </w:r>
      <w:r>
        <w:rPr>
          <w:color w:val="231F20"/>
        </w:rPr>
        <w:t>as:</w:t>
      </w:r>
      <w:r>
        <w:rPr/>
      </w:r>
    </w:p>
    <w:p>
      <w:pPr>
        <w:pStyle w:val="BodyText"/>
        <w:spacing w:line="250" w:lineRule="exact" w:before="113"/>
        <w:ind w:left="344" w:right="116" w:hanging="227"/>
        <w:jc w:val="left"/>
      </w:pPr>
      <w:r>
        <w:rPr>
          <w:rFonts w:ascii="Century Gothic" w:hAnsi="Century Gothic"/>
          <w:color w:val="231F20"/>
        </w:rPr>
        <w:t>» </w:t>
      </w:r>
      <w:r>
        <w:rPr>
          <w:rFonts w:ascii="Century Gothic" w:hAnsi="Century Gothic"/>
          <w:color w:val="231F20"/>
          <w:spacing w:val="20"/>
        </w:rPr>
        <w:t> </w:t>
      </w:r>
      <w:r>
        <w:rPr>
          <w:color w:val="231F20"/>
          <w:spacing w:val="-1"/>
        </w:rPr>
        <w:t>support</w:t>
      </w:r>
      <w:r>
        <w:rPr>
          <w:color w:val="231F20"/>
          <w:spacing w:val="-4"/>
        </w:rPr>
        <w:t> </w:t>
      </w:r>
      <w:r>
        <w:rPr>
          <w:color w:val="231F20"/>
          <w:spacing w:val="-1"/>
        </w:rPr>
        <w:t>services</w:t>
      </w:r>
      <w:r>
        <w:rPr>
          <w:color w:val="231F20"/>
          <w:spacing w:val="-4"/>
        </w:rPr>
        <w:t> </w:t>
      </w:r>
      <w:r>
        <w:rPr>
          <w:color w:val="231F20"/>
        </w:rPr>
        <w:t>to</w:t>
      </w:r>
      <w:r>
        <w:rPr>
          <w:color w:val="231F20"/>
          <w:spacing w:val="-4"/>
        </w:rPr>
        <w:t> </w:t>
      </w:r>
      <w:r>
        <w:rPr>
          <w:color w:val="231F20"/>
        </w:rPr>
        <w:t>address</w:t>
      </w:r>
      <w:r>
        <w:rPr>
          <w:color w:val="231F20"/>
          <w:spacing w:val="-5"/>
        </w:rPr>
        <w:t> </w:t>
      </w:r>
      <w:r>
        <w:rPr>
          <w:color w:val="231F20"/>
        </w:rPr>
        <w:t>higher</w:t>
      </w:r>
      <w:r>
        <w:rPr>
          <w:color w:val="231F20"/>
          <w:spacing w:val="-5"/>
        </w:rPr>
        <w:t> </w:t>
      </w:r>
      <w:r>
        <w:rPr>
          <w:color w:val="231F20"/>
          <w:spacing w:val="-1"/>
        </w:rPr>
        <w:t>incidence</w:t>
      </w:r>
      <w:r>
        <w:rPr>
          <w:color w:val="231F20"/>
          <w:spacing w:val="22"/>
          <w:w w:val="99"/>
        </w:rPr>
        <w:t> </w:t>
      </w:r>
      <w:r>
        <w:rPr>
          <w:color w:val="231F20"/>
        </w:rPr>
        <w:t>of</w:t>
      </w:r>
      <w:r>
        <w:rPr>
          <w:color w:val="231F20"/>
          <w:spacing w:val="-6"/>
        </w:rPr>
        <w:t> </w:t>
      </w:r>
      <w:r>
        <w:rPr>
          <w:color w:val="231F20"/>
        </w:rPr>
        <w:t>health</w:t>
      </w:r>
      <w:r>
        <w:rPr>
          <w:color w:val="231F20"/>
          <w:spacing w:val="-6"/>
        </w:rPr>
        <w:t> </w:t>
      </w:r>
      <w:r>
        <w:rPr>
          <w:color w:val="231F20"/>
        </w:rPr>
        <w:t>and</w:t>
      </w:r>
      <w:r>
        <w:rPr>
          <w:color w:val="231F20"/>
          <w:spacing w:val="-6"/>
        </w:rPr>
        <w:t> </w:t>
      </w:r>
      <w:r>
        <w:rPr>
          <w:color w:val="231F20"/>
        </w:rPr>
        <w:t>behavioural</w:t>
      </w:r>
      <w:r>
        <w:rPr>
          <w:color w:val="231F20"/>
          <w:spacing w:val="-6"/>
        </w:rPr>
        <w:t> </w:t>
      </w:r>
      <w:r>
        <w:rPr>
          <w:color w:val="231F20"/>
          <w:spacing w:val="-1"/>
        </w:rPr>
        <w:t>issues</w:t>
      </w:r>
      <w:r>
        <w:rPr/>
      </w:r>
    </w:p>
    <w:p>
      <w:pPr>
        <w:pStyle w:val="BodyText"/>
        <w:spacing w:line="250" w:lineRule="exact" w:before="113"/>
        <w:ind w:left="344" w:right="116" w:hanging="227"/>
        <w:jc w:val="left"/>
      </w:pPr>
      <w:r>
        <w:rPr>
          <w:rFonts w:ascii="Century Gothic" w:hAnsi="Century Gothic"/>
          <w:color w:val="231F20"/>
        </w:rPr>
        <w:t>» </w:t>
      </w:r>
      <w:r>
        <w:rPr>
          <w:rFonts w:ascii="Century Gothic" w:hAnsi="Century Gothic"/>
          <w:color w:val="231F20"/>
          <w:spacing w:val="23"/>
        </w:rPr>
        <w:t> </w:t>
      </w:r>
      <w:r>
        <w:rPr>
          <w:color w:val="231F20"/>
        </w:rPr>
        <w:t>family,</w:t>
      </w:r>
      <w:r>
        <w:rPr>
          <w:color w:val="231F20"/>
          <w:spacing w:val="-4"/>
        </w:rPr>
        <w:t> </w:t>
      </w:r>
      <w:r>
        <w:rPr>
          <w:color w:val="231F20"/>
        </w:rPr>
        <w:t>community</w:t>
      </w:r>
      <w:r>
        <w:rPr>
          <w:color w:val="231F20"/>
          <w:spacing w:val="-4"/>
        </w:rPr>
        <w:t> </w:t>
      </w:r>
      <w:r>
        <w:rPr>
          <w:color w:val="231F20"/>
        </w:rPr>
        <w:t>and</w:t>
      </w:r>
      <w:r>
        <w:rPr>
          <w:color w:val="231F20"/>
          <w:spacing w:val="-3"/>
        </w:rPr>
        <w:t> </w:t>
      </w:r>
      <w:r>
        <w:rPr>
          <w:color w:val="231F20"/>
        </w:rPr>
        <w:t>cultural</w:t>
      </w:r>
      <w:r>
        <w:rPr>
          <w:color w:val="231F20"/>
          <w:spacing w:val="-4"/>
        </w:rPr>
        <w:t> </w:t>
      </w:r>
      <w:r>
        <w:rPr>
          <w:color w:val="231F20"/>
        </w:rPr>
        <w:t>pressures</w:t>
      </w:r>
      <w:r>
        <w:rPr>
          <w:color w:val="231F20"/>
          <w:spacing w:val="-4"/>
        </w:rPr>
        <w:t> </w:t>
      </w:r>
      <w:r>
        <w:rPr>
          <w:color w:val="231F20"/>
        </w:rPr>
        <w:t>on</w:t>
      </w:r>
      <w:r>
        <w:rPr>
          <w:color w:val="231F20"/>
          <w:w w:val="99"/>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5"/>
        </w:rPr>
        <w:t> </w:t>
      </w:r>
      <w:r>
        <w:rPr>
          <w:color w:val="231F20"/>
          <w:spacing w:val="-1"/>
        </w:rPr>
        <w:t>Islander</w:t>
      </w:r>
      <w:r>
        <w:rPr>
          <w:color w:val="231F20"/>
          <w:spacing w:val="-5"/>
        </w:rPr>
        <w:t> </w:t>
      </w:r>
      <w:r>
        <w:rPr>
          <w:color w:val="231F20"/>
          <w:spacing w:val="-1"/>
        </w:rPr>
        <w:t>students</w:t>
      </w:r>
      <w:r>
        <w:rPr/>
      </w:r>
    </w:p>
    <w:p>
      <w:pPr>
        <w:pStyle w:val="BodyText"/>
        <w:spacing w:line="250" w:lineRule="exact" w:before="113"/>
        <w:ind w:left="344" w:right="116" w:hanging="227"/>
        <w:jc w:val="left"/>
      </w:pPr>
      <w:r>
        <w:rPr>
          <w:rFonts w:ascii="Century Gothic" w:hAnsi="Century Gothic"/>
          <w:color w:val="231F20"/>
        </w:rPr>
        <w:t>» </w:t>
      </w:r>
      <w:r>
        <w:rPr>
          <w:rFonts w:ascii="Century Gothic" w:hAnsi="Century Gothic"/>
          <w:color w:val="231F20"/>
          <w:spacing w:val="23"/>
        </w:rPr>
        <w:t> </w:t>
      </w:r>
      <w:r>
        <w:rPr>
          <w:color w:val="231F20"/>
          <w:spacing w:val="-1"/>
        </w:rPr>
        <w:t>lack</w:t>
      </w:r>
      <w:r>
        <w:rPr>
          <w:color w:val="231F20"/>
          <w:spacing w:val="-3"/>
        </w:rPr>
        <w:t> </w:t>
      </w:r>
      <w:r>
        <w:rPr>
          <w:color w:val="231F20"/>
        </w:rPr>
        <w:t>of</w:t>
      </w:r>
      <w:r>
        <w:rPr>
          <w:color w:val="231F20"/>
          <w:spacing w:val="-3"/>
        </w:rPr>
        <w:t> </w:t>
      </w:r>
      <w:r>
        <w:rPr>
          <w:color w:val="231F20"/>
        </w:rPr>
        <w:t>resources</w:t>
      </w:r>
      <w:r>
        <w:rPr>
          <w:color w:val="231F20"/>
          <w:spacing w:val="-5"/>
        </w:rPr>
        <w:t> </w:t>
      </w:r>
      <w:r>
        <w:rPr>
          <w:color w:val="231F20"/>
        </w:rPr>
        <w:t>of</w:t>
      </w:r>
      <w:r>
        <w:rPr>
          <w:color w:val="231F20"/>
          <w:spacing w:val="-3"/>
        </w:rPr>
        <w:t> </w:t>
      </w:r>
      <w:r>
        <w:rPr>
          <w:color w:val="231F20"/>
        </w:rPr>
        <w:t>parents</w:t>
      </w:r>
      <w:r>
        <w:rPr>
          <w:color w:val="231F20"/>
          <w:spacing w:val="-4"/>
        </w:rPr>
        <w:t> </w:t>
      </w:r>
      <w:r>
        <w:rPr>
          <w:color w:val="231F20"/>
        </w:rPr>
        <w:t>to</w:t>
      </w:r>
      <w:r>
        <w:rPr>
          <w:color w:val="231F20"/>
          <w:spacing w:val="-3"/>
        </w:rPr>
        <w:t> </w:t>
      </w:r>
      <w:r>
        <w:rPr>
          <w:color w:val="231F20"/>
          <w:spacing w:val="-1"/>
        </w:rPr>
        <w:t>meet</w:t>
      </w:r>
      <w:r>
        <w:rPr>
          <w:color w:val="231F20"/>
          <w:spacing w:val="21"/>
        </w:rPr>
        <w:t> </w:t>
      </w:r>
      <w:r>
        <w:rPr>
          <w:color w:val="231F20"/>
          <w:spacing w:val="-1"/>
        </w:rPr>
        <w:t>schooling</w:t>
      </w:r>
      <w:r>
        <w:rPr>
          <w:color w:val="231F20"/>
          <w:spacing w:val="-3"/>
        </w:rPr>
        <w:t> </w:t>
      </w:r>
      <w:r>
        <w:rPr>
          <w:color w:val="231F20"/>
        </w:rPr>
        <w:t>and</w:t>
      </w:r>
      <w:r>
        <w:rPr>
          <w:color w:val="231F20"/>
          <w:spacing w:val="-4"/>
        </w:rPr>
        <w:t> </w:t>
      </w:r>
      <w:r>
        <w:rPr>
          <w:color w:val="231F20"/>
        </w:rPr>
        <w:t>personal</w:t>
      </w:r>
      <w:r>
        <w:rPr>
          <w:color w:val="231F20"/>
          <w:spacing w:val="-3"/>
        </w:rPr>
        <w:t> </w:t>
      </w:r>
      <w:r>
        <w:rPr>
          <w:color w:val="231F20"/>
        </w:rPr>
        <w:t>costs</w:t>
      </w:r>
      <w:r>
        <w:rPr>
          <w:color w:val="231F20"/>
          <w:spacing w:val="-4"/>
        </w:rPr>
        <w:t> </w:t>
      </w:r>
      <w:r>
        <w:rPr>
          <w:color w:val="231F20"/>
        </w:rPr>
        <w:t>of</w:t>
      </w:r>
      <w:r>
        <w:rPr>
          <w:color w:val="231F20"/>
          <w:spacing w:val="-2"/>
        </w:rPr>
        <w:t> </w:t>
      </w:r>
      <w:r>
        <w:rPr>
          <w:color w:val="231F20"/>
          <w:spacing w:val="-1"/>
        </w:rPr>
        <w:t>students</w:t>
      </w:r>
      <w:r>
        <w:rPr/>
      </w:r>
    </w:p>
    <w:p>
      <w:pPr>
        <w:pStyle w:val="BodyText"/>
        <w:spacing w:line="250" w:lineRule="exact" w:before="113"/>
        <w:ind w:left="344" w:right="306" w:hanging="227"/>
        <w:jc w:val="left"/>
      </w:pPr>
      <w:r>
        <w:rPr>
          <w:rFonts w:ascii="Century Gothic" w:hAnsi="Century Gothic"/>
          <w:color w:val="231F20"/>
        </w:rPr>
        <w:t>» </w:t>
      </w:r>
      <w:r>
        <w:rPr>
          <w:rFonts w:ascii="Century Gothic" w:hAnsi="Century Gothic"/>
          <w:color w:val="231F20"/>
          <w:spacing w:val="24"/>
        </w:rPr>
        <w:t> </w:t>
      </w:r>
      <w:r>
        <w:rPr>
          <w:color w:val="231F20"/>
        </w:rPr>
        <w:t>high</w:t>
      </w:r>
      <w:r>
        <w:rPr>
          <w:color w:val="231F20"/>
          <w:spacing w:val="-3"/>
        </w:rPr>
        <w:t> </w:t>
      </w:r>
      <w:r>
        <w:rPr>
          <w:color w:val="231F20"/>
        </w:rPr>
        <w:t>need</w:t>
      </w:r>
      <w:r>
        <w:rPr>
          <w:color w:val="231F20"/>
          <w:spacing w:val="-4"/>
        </w:rPr>
        <w:t> </w:t>
      </w:r>
      <w:r>
        <w:rPr>
          <w:color w:val="231F20"/>
        </w:rPr>
        <w:t>for</w:t>
      </w:r>
      <w:r>
        <w:rPr>
          <w:color w:val="231F20"/>
          <w:spacing w:val="-2"/>
        </w:rPr>
        <w:t> </w:t>
      </w:r>
      <w:r>
        <w:rPr>
          <w:color w:val="231F20"/>
        </w:rPr>
        <w:t>counselling</w:t>
      </w:r>
      <w:r>
        <w:rPr>
          <w:color w:val="231F20"/>
          <w:spacing w:val="-3"/>
        </w:rPr>
        <w:t> </w:t>
      </w:r>
      <w:r>
        <w:rPr>
          <w:color w:val="231F20"/>
        </w:rPr>
        <w:t>and</w:t>
      </w:r>
      <w:r>
        <w:rPr>
          <w:color w:val="231F20"/>
          <w:spacing w:val="-4"/>
        </w:rPr>
        <w:t> </w:t>
      </w:r>
      <w:r>
        <w:rPr>
          <w:color w:val="231F20"/>
        </w:rPr>
        <w:t>allied</w:t>
      </w:r>
      <w:r>
        <w:rPr>
          <w:color w:val="231F20"/>
          <w:spacing w:val="-3"/>
        </w:rPr>
        <w:t> </w:t>
      </w:r>
      <w:r>
        <w:rPr>
          <w:color w:val="231F20"/>
        </w:rPr>
        <w:t>health</w:t>
      </w:r>
      <w:r>
        <w:rPr>
          <w:color w:val="231F20"/>
          <w:w w:val="99"/>
        </w:rPr>
        <w:t> </w:t>
      </w:r>
      <w:r>
        <w:rPr>
          <w:color w:val="231F20"/>
        </w:rPr>
        <w:t>professionals</w:t>
      </w:r>
      <w:r>
        <w:rPr>
          <w:color w:val="231F20"/>
          <w:spacing w:val="-7"/>
        </w:rPr>
        <w:t> </w:t>
      </w:r>
      <w:r>
        <w:rPr>
          <w:color w:val="231F20"/>
        </w:rPr>
        <w:t>(including</w:t>
      </w:r>
      <w:r>
        <w:rPr>
          <w:color w:val="231F20"/>
          <w:spacing w:val="-7"/>
        </w:rPr>
        <w:t> </w:t>
      </w:r>
      <w:r>
        <w:rPr>
          <w:color w:val="231F20"/>
        </w:rPr>
        <w:t>costs</w:t>
      </w:r>
      <w:r>
        <w:rPr>
          <w:color w:val="231F20"/>
          <w:spacing w:val="-7"/>
        </w:rPr>
        <w:t> </w:t>
      </w:r>
      <w:r>
        <w:rPr>
          <w:color w:val="231F20"/>
        </w:rPr>
        <w:t>associated</w:t>
      </w:r>
      <w:r>
        <w:rPr>
          <w:color w:val="231F20"/>
          <w:w w:val="99"/>
        </w:rPr>
        <w:t> </w:t>
      </w:r>
      <w:r>
        <w:rPr>
          <w:color w:val="231F20"/>
        </w:rPr>
        <w:t>with</w:t>
      </w:r>
      <w:r>
        <w:rPr>
          <w:color w:val="231F20"/>
          <w:spacing w:val="-9"/>
        </w:rPr>
        <w:t> </w:t>
      </w:r>
      <w:r>
        <w:rPr>
          <w:color w:val="231F20"/>
        </w:rPr>
        <w:t>transport</w:t>
      </w:r>
      <w:r>
        <w:rPr>
          <w:color w:val="231F20"/>
          <w:spacing w:val="-9"/>
        </w:rPr>
        <w:t> </w:t>
      </w:r>
      <w:r>
        <w:rPr>
          <w:color w:val="231F20"/>
        </w:rPr>
        <w:t>to</w:t>
      </w:r>
      <w:r>
        <w:rPr>
          <w:color w:val="231F20"/>
          <w:spacing w:val="-9"/>
        </w:rPr>
        <w:t> </w:t>
      </w:r>
      <w:r>
        <w:rPr>
          <w:color w:val="231F20"/>
        </w:rPr>
        <w:t>health</w:t>
      </w:r>
      <w:r>
        <w:rPr>
          <w:color w:val="231F20"/>
          <w:spacing w:val="-9"/>
        </w:rPr>
        <w:t> </w:t>
      </w:r>
      <w:r>
        <w:rPr>
          <w:color w:val="231F20"/>
        </w:rPr>
        <w:t>appointments)</w:t>
      </w:r>
      <w:r>
        <w:rPr/>
      </w:r>
    </w:p>
    <w:p>
      <w:pPr>
        <w:pStyle w:val="BodyText"/>
        <w:spacing w:line="258" w:lineRule="exact" w:before="97"/>
        <w:ind w:right="0"/>
        <w:jc w:val="left"/>
        <w:rPr>
          <w:rFonts w:ascii="Segoe UI" w:hAnsi="Segoe UI" w:cs="Segoe UI" w:eastAsia="Segoe UI"/>
        </w:rPr>
      </w:pPr>
      <w:r>
        <w:rPr>
          <w:rFonts w:ascii="Century Gothic" w:hAnsi="Century Gothic"/>
          <w:color w:val="231F20"/>
        </w:rPr>
        <w:t>» </w:t>
      </w:r>
      <w:r>
        <w:rPr>
          <w:rFonts w:ascii="Century Gothic" w:hAnsi="Century Gothic"/>
          <w:color w:val="231F20"/>
          <w:spacing w:val="30"/>
        </w:rPr>
        <w:t> </w:t>
      </w:r>
      <w:r>
        <w:rPr>
          <w:rFonts w:ascii="Segoe UI" w:hAnsi="Segoe UI"/>
          <w:color w:val="231F20"/>
        </w:rPr>
        <w:t>higher staffing costs and ratios</w:t>
      </w:r>
      <w:r>
        <w:rPr>
          <w:rFonts w:ascii="Segoe UI" w:hAnsi="Segoe UI"/>
          <w:color w:val="231F20"/>
          <w:spacing w:val="-1"/>
        </w:rPr>
        <w:t> </w:t>
      </w:r>
      <w:r>
        <w:rPr>
          <w:rFonts w:ascii="Segoe UI" w:hAnsi="Segoe UI"/>
          <w:color w:val="231F20"/>
        </w:rPr>
        <w:t>because of</w:t>
      </w:r>
      <w:r>
        <w:rPr>
          <w:rFonts w:ascii="Segoe UI" w:hAnsi="Segoe UI"/>
        </w:rPr>
      </w:r>
    </w:p>
    <w:p>
      <w:pPr>
        <w:pStyle w:val="BodyText"/>
        <w:spacing w:line="258" w:lineRule="exact"/>
        <w:ind w:left="344" w:right="0"/>
        <w:jc w:val="left"/>
      </w:pPr>
      <w:r>
        <w:rPr>
          <w:color w:val="231F20"/>
        </w:rPr>
        <w:t>the</w:t>
      </w:r>
      <w:r>
        <w:rPr>
          <w:color w:val="231F20"/>
          <w:spacing w:val="-8"/>
        </w:rPr>
        <w:t> </w:t>
      </w:r>
      <w:r>
        <w:rPr>
          <w:color w:val="231F20"/>
        </w:rPr>
        <w:t>high</w:t>
      </w:r>
      <w:r>
        <w:rPr>
          <w:color w:val="231F20"/>
          <w:spacing w:val="-7"/>
        </w:rPr>
        <w:t> </w:t>
      </w:r>
      <w:r>
        <w:rPr>
          <w:color w:val="231F20"/>
          <w:spacing w:val="-1"/>
        </w:rPr>
        <w:t>student</w:t>
      </w:r>
      <w:r>
        <w:rPr>
          <w:color w:val="231F20"/>
          <w:spacing w:val="-7"/>
        </w:rPr>
        <w:t> </w:t>
      </w:r>
      <w:r>
        <w:rPr>
          <w:color w:val="231F20"/>
        </w:rPr>
        <w:t>needs.</w:t>
      </w:r>
      <w:r>
        <w:rPr/>
      </w:r>
    </w:p>
    <w:p>
      <w:pPr>
        <w:pStyle w:val="BodyText"/>
        <w:spacing w:line="258" w:lineRule="exact" w:before="97"/>
        <w:ind w:right="0"/>
        <w:jc w:val="left"/>
        <w:rPr>
          <w:rFonts w:ascii="Segoe UI" w:hAnsi="Segoe UI" w:cs="Segoe UI" w:eastAsia="Segoe UI"/>
        </w:rPr>
      </w:pPr>
      <w:r>
        <w:rPr>
          <w:rFonts w:ascii="Segoe UI"/>
          <w:color w:val="231F20"/>
        </w:rPr>
        <w:t>Our financial analysis incorporates a number of</w:t>
      </w:r>
      <w:r>
        <w:rPr>
          <w:rFonts w:ascii="Segoe UI"/>
        </w:rPr>
      </w:r>
    </w:p>
    <w:p>
      <w:pPr>
        <w:pStyle w:val="BodyText"/>
        <w:spacing w:line="258" w:lineRule="exact"/>
        <w:ind w:right="0"/>
        <w:jc w:val="left"/>
      </w:pPr>
      <w:r>
        <w:rPr>
          <w:color w:val="231F20"/>
        </w:rPr>
        <w:t>assumptions</w:t>
      </w:r>
      <w:r>
        <w:rPr>
          <w:color w:val="231F20"/>
          <w:spacing w:val="-3"/>
        </w:rPr>
        <w:t> </w:t>
      </w:r>
      <w:r>
        <w:rPr>
          <w:color w:val="231F20"/>
        </w:rPr>
        <w:t>that</w:t>
      </w:r>
      <w:r>
        <w:rPr>
          <w:color w:val="231F20"/>
          <w:spacing w:val="-3"/>
        </w:rPr>
        <w:t> </w:t>
      </w:r>
      <w:r>
        <w:rPr>
          <w:color w:val="231F20"/>
        </w:rPr>
        <w:t>are</w:t>
      </w:r>
      <w:r>
        <w:rPr>
          <w:color w:val="231F20"/>
          <w:spacing w:val="-3"/>
        </w:rPr>
        <w:t> </w:t>
      </w:r>
      <w:r>
        <w:rPr>
          <w:color w:val="231F20"/>
          <w:spacing w:val="-1"/>
        </w:rPr>
        <w:t>summarised</w:t>
      </w:r>
      <w:r>
        <w:rPr>
          <w:color w:val="231F20"/>
        </w:rPr>
        <w:t> </w:t>
      </w:r>
      <w:r>
        <w:rPr>
          <w:color w:val="231F20"/>
          <w:spacing w:val="-1"/>
        </w:rPr>
        <w:t>in</w:t>
      </w:r>
      <w:r>
        <w:rPr>
          <w:color w:val="231F20"/>
          <w:spacing w:val="-2"/>
        </w:rPr>
        <w:t> Part</w:t>
      </w:r>
      <w:r>
        <w:rPr>
          <w:color w:val="231F20"/>
          <w:spacing w:val="-3"/>
        </w:rPr>
        <w:t> </w:t>
      </w:r>
      <w:r>
        <w:rPr>
          <w:color w:val="231F20"/>
        </w:rPr>
        <w:t>6.</w:t>
      </w:r>
      <w:r>
        <w:rPr/>
      </w:r>
    </w:p>
    <w:p>
      <w:pPr>
        <w:pStyle w:val="BodyText"/>
        <w:spacing w:line="250" w:lineRule="exact" w:before="113"/>
        <w:ind w:right="306"/>
        <w:jc w:val="left"/>
        <w:rPr>
          <w:rFonts w:ascii="Segoe UI" w:hAnsi="Segoe UI" w:cs="Segoe UI" w:eastAsia="Segoe UI"/>
        </w:rPr>
      </w:pPr>
      <w:r>
        <w:rPr>
          <w:rFonts w:ascii="Segoe UI"/>
          <w:color w:val="231F20"/>
        </w:rPr>
        <w:t>The financial analysis in this report is based on three-year financial and operational trend data for 2015, 2016 and 2017 from financial</w:t>
      </w:r>
      <w:r>
        <w:rPr>
          <w:rFonts w:ascii="Segoe UI"/>
        </w:rPr>
      </w:r>
    </w:p>
    <w:p>
      <w:pPr>
        <w:pStyle w:val="BodyText"/>
        <w:spacing w:line="250" w:lineRule="exact"/>
        <w:ind w:right="99"/>
        <w:jc w:val="left"/>
      </w:pPr>
      <w:r>
        <w:rPr>
          <w:color w:val="231F20"/>
        </w:rPr>
        <w:t>questionnaires</w:t>
      </w:r>
      <w:r>
        <w:rPr>
          <w:color w:val="231F20"/>
          <w:spacing w:val="-9"/>
        </w:rPr>
        <w:t> </w:t>
      </w:r>
      <w:r>
        <w:rPr>
          <w:color w:val="231F20"/>
        </w:rPr>
        <w:t>provided</w:t>
      </w:r>
      <w:r>
        <w:rPr>
          <w:color w:val="231F20"/>
          <w:spacing w:val="-9"/>
        </w:rPr>
        <w:t> </w:t>
      </w:r>
      <w:r>
        <w:rPr>
          <w:color w:val="231F20"/>
        </w:rPr>
        <w:t>to</w:t>
      </w:r>
      <w:r>
        <w:rPr>
          <w:color w:val="231F20"/>
          <w:spacing w:val="-7"/>
        </w:rPr>
        <w:t> </w:t>
      </w:r>
      <w:r>
        <w:rPr>
          <w:color w:val="231F20"/>
        </w:rPr>
        <w:t>the</w:t>
      </w:r>
      <w:r>
        <w:rPr>
          <w:color w:val="231F20"/>
          <w:spacing w:val="-9"/>
        </w:rPr>
        <w:t> </w:t>
      </w:r>
      <w:r>
        <w:rPr>
          <w:color w:val="231F20"/>
          <w:spacing w:val="-1"/>
        </w:rPr>
        <w:t>Department</w:t>
      </w:r>
      <w:r>
        <w:rPr>
          <w:color w:val="231F20"/>
          <w:spacing w:val="-7"/>
        </w:rPr>
        <w:t> </w:t>
      </w:r>
      <w:r>
        <w:rPr>
          <w:color w:val="231F20"/>
        </w:rPr>
        <w:t>of</w:t>
      </w:r>
      <w:r>
        <w:rPr>
          <w:color w:val="231F20"/>
          <w:spacing w:val="22"/>
          <w:w w:val="99"/>
        </w:rPr>
        <w:t> </w:t>
      </w:r>
      <w:r>
        <w:rPr>
          <w:color w:val="231F20"/>
        </w:rPr>
        <w:t>Education</w:t>
      </w:r>
      <w:r>
        <w:rPr>
          <w:color w:val="231F20"/>
          <w:spacing w:val="-8"/>
        </w:rPr>
        <w:t> </w:t>
      </w:r>
      <w:r>
        <w:rPr>
          <w:color w:val="231F20"/>
        </w:rPr>
        <w:t>and</w:t>
      </w:r>
      <w:r>
        <w:rPr>
          <w:color w:val="231F20"/>
          <w:spacing w:val="-7"/>
        </w:rPr>
        <w:t> </w:t>
      </w:r>
      <w:r>
        <w:rPr>
          <w:color w:val="231F20"/>
          <w:spacing w:val="-3"/>
        </w:rPr>
        <w:t>Training</w:t>
      </w:r>
      <w:r>
        <w:rPr>
          <w:color w:val="231F20"/>
          <w:spacing w:val="-7"/>
        </w:rPr>
        <w:t> </w:t>
      </w:r>
      <w:r>
        <w:rPr>
          <w:color w:val="231F20"/>
        </w:rPr>
        <w:t>(DET)</w:t>
      </w:r>
      <w:r>
        <w:rPr>
          <w:color w:val="231F20"/>
          <w:spacing w:val="-7"/>
        </w:rPr>
        <w:t> </w:t>
      </w:r>
      <w:r>
        <w:rPr>
          <w:color w:val="231F20"/>
        </w:rPr>
        <w:t>by</w:t>
      </w:r>
      <w:r>
        <w:rPr>
          <w:color w:val="231F20"/>
          <w:spacing w:val="-6"/>
        </w:rPr>
        <w:t> </w:t>
      </w:r>
      <w:r>
        <w:rPr>
          <w:color w:val="231F20"/>
        </w:rPr>
        <w:t>the</w:t>
      </w:r>
      <w:r>
        <w:rPr>
          <w:color w:val="231F20"/>
          <w:spacing w:val="-7"/>
        </w:rPr>
        <w:t> </w:t>
      </w:r>
      <w:r>
        <w:rPr>
          <w:color w:val="231F20"/>
        </w:rPr>
        <w:t>boarding</w:t>
      </w:r>
      <w:r>
        <w:rPr>
          <w:color w:val="231F20"/>
          <w:spacing w:val="26"/>
          <w:w w:val="99"/>
        </w:rPr>
        <w:t> </w:t>
      </w:r>
      <w:r>
        <w:rPr>
          <w:color w:val="231F20"/>
          <w:spacing w:val="-1"/>
        </w:rPr>
        <w:t>schools</w:t>
      </w:r>
      <w:r>
        <w:rPr>
          <w:rFonts w:ascii="Segoe UI Semibold"/>
          <w:b/>
          <w:color w:val="231F20"/>
          <w:spacing w:val="-1"/>
          <w:position w:val="7"/>
          <w:sz w:val="11"/>
        </w:rPr>
        <w:t>135</w:t>
      </w:r>
      <w:r>
        <w:rPr>
          <w:rFonts w:ascii="Segoe UI Semibold"/>
          <w:b/>
          <w:color w:val="231F20"/>
          <w:spacing w:val="23"/>
          <w:position w:val="7"/>
          <w:sz w:val="11"/>
        </w:rPr>
        <w:t> </w:t>
      </w:r>
      <w:r>
        <w:rPr>
          <w:color w:val="231F20"/>
          <w:spacing w:val="-1"/>
        </w:rPr>
        <w:t>included in </w:t>
      </w:r>
      <w:r>
        <w:rPr>
          <w:color w:val="231F20"/>
        </w:rPr>
        <w:t>this</w:t>
      </w:r>
      <w:r>
        <w:rPr>
          <w:color w:val="231F20"/>
          <w:spacing w:val="-2"/>
        </w:rPr>
        <w:t> </w:t>
      </w:r>
      <w:r>
        <w:rPr>
          <w:color w:val="231F20"/>
        </w:rPr>
        <w:t>report.</w:t>
      </w:r>
      <w:r>
        <w:rPr>
          <w:color w:val="231F20"/>
          <w:spacing w:val="-2"/>
        </w:rPr>
        <w:t> </w:t>
      </w:r>
      <w:r>
        <w:rPr>
          <w:color w:val="231F20"/>
        </w:rPr>
        <w:t>Gaps</w:t>
      </w:r>
      <w:r>
        <w:rPr>
          <w:color w:val="231F20"/>
          <w:spacing w:val="-1"/>
        </w:rPr>
        <w:t> in </w:t>
      </w:r>
      <w:r>
        <w:rPr>
          <w:color w:val="231F20"/>
        </w:rPr>
        <w:t>the</w:t>
      </w:r>
      <w:r>
        <w:rPr>
          <w:color w:val="231F20"/>
          <w:spacing w:val="26"/>
          <w:w w:val="99"/>
        </w:rPr>
        <w:t> </w:t>
      </w:r>
      <w:r>
        <w:rPr>
          <w:color w:val="231F20"/>
        </w:rPr>
        <w:t>data</w:t>
      </w:r>
      <w:r>
        <w:rPr>
          <w:color w:val="231F20"/>
          <w:spacing w:val="-6"/>
        </w:rPr>
        <w:t> </w:t>
      </w:r>
      <w:r>
        <w:rPr>
          <w:color w:val="231F20"/>
        </w:rPr>
        <w:t>has</w:t>
      </w:r>
      <w:r>
        <w:rPr>
          <w:color w:val="231F20"/>
          <w:spacing w:val="-5"/>
        </w:rPr>
        <w:t> </w:t>
      </w:r>
      <w:r>
        <w:rPr>
          <w:color w:val="231F20"/>
        </w:rPr>
        <w:t>been</w:t>
      </w:r>
      <w:r>
        <w:rPr>
          <w:color w:val="231F20"/>
          <w:spacing w:val="-5"/>
        </w:rPr>
        <w:t> </w:t>
      </w:r>
      <w:r>
        <w:rPr>
          <w:color w:val="231F20"/>
          <w:spacing w:val="-1"/>
        </w:rPr>
        <w:t>supplemented</w:t>
      </w:r>
      <w:r>
        <w:rPr>
          <w:color w:val="231F20"/>
          <w:spacing w:val="-3"/>
        </w:rPr>
        <w:t> </w:t>
      </w:r>
      <w:r>
        <w:rPr>
          <w:color w:val="231F20"/>
        </w:rPr>
        <w:t>by</w:t>
      </w:r>
      <w:r>
        <w:rPr>
          <w:color w:val="231F20"/>
          <w:spacing w:val="-4"/>
        </w:rPr>
        <w:t> </w:t>
      </w:r>
      <w:r>
        <w:rPr>
          <w:color w:val="231F20"/>
          <w:spacing w:val="-1"/>
        </w:rPr>
        <w:t>information</w:t>
      </w:r>
      <w:r>
        <w:rPr>
          <w:color w:val="231F20"/>
          <w:spacing w:val="21"/>
          <w:w w:val="99"/>
        </w:rPr>
        <w:t> </w:t>
      </w:r>
      <w:r>
        <w:rPr>
          <w:rFonts w:ascii="Segoe UI"/>
          <w:color w:val="231F20"/>
        </w:rPr>
        <w:t>from publicly available sources and financial</w:t>
      </w:r>
      <w:r>
        <w:rPr>
          <w:rFonts w:ascii="Segoe UI"/>
          <w:color w:val="231F20"/>
        </w:rPr>
        <w:t> </w:t>
      </w:r>
      <w:r>
        <w:rPr>
          <w:color w:val="231F20"/>
          <w:spacing w:val="-1"/>
        </w:rPr>
        <w:t>statements,</w:t>
      </w:r>
      <w:r>
        <w:rPr>
          <w:color w:val="231F20"/>
          <w:spacing w:val="-10"/>
        </w:rPr>
        <w:t> </w:t>
      </w:r>
      <w:r>
        <w:rPr>
          <w:color w:val="231F20"/>
          <w:spacing w:val="-1"/>
        </w:rPr>
        <w:t>management</w:t>
      </w:r>
      <w:r>
        <w:rPr>
          <w:color w:val="231F20"/>
          <w:spacing w:val="-9"/>
        </w:rPr>
        <w:t> </w:t>
      </w:r>
      <w:r>
        <w:rPr>
          <w:color w:val="231F20"/>
        </w:rPr>
        <w:t>accounts,</w:t>
      </w:r>
      <w:r>
        <w:rPr>
          <w:color w:val="231F20"/>
          <w:spacing w:val="-11"/>
        </w:rPr>
        <w:t> </w:t>
      </w:r>
      <w:r>
        <w:rPr>
          <w:color w:val="231F20"/>
        </w:rPr>
        <w:t>census</w:t>
      </w:r>
      <w:r>
        <w:rPr>
          <w:color w:val="231F20"/>
          <w:spacing w:val="23"/>
        </w:rPr>
        <w:t> </w:t>
      </w:r>
      <w:r>
        <w:rPr>
          <w:color w:val="231F20"/>
        </w:rPr>
        <w:t>reports,</w:t>
      </w:r>
      <w:r>
        <w:rPr>
          <w:color w:val="231F20"/>
          <w:spacing w:val="-14"/>
        </w:rPr>
        <w:t> </w:t>
      </w:r>
      <w:r>
        <w:rPr>
          <w:color w:val="231F20"/>
        </w:rPr>
        <w:t>enrolment</w:t>
      </w:r>
      <w:r>
        <w:rPr>
          <w:color w:val="231F20"/>
          <w:spacing w:val="-13"/>
        </w:rPr>
        <w:t> </w:t>
      </w:r>
      <w:r>
        <w:rPr>
          <w:color w:val="231F20"/>
        </w:rPr>
        <w:t>data,</w:t>
      </w:r>
      <w:r>
        <w:rPr>
          <w:color w:val="231F20"/>
          <w:spacing w:val="-13"/>
        </w:rPr>
        <w:t> </w:t>
      </w:r>
      <w:r>
        <w:rPr>
          <w:color w:val="231F20"/>
        </w:rPr>
        <w:t>consultation</w:t>
      </w:r>
      <w:r>
        <w:rPr>
          <w:color w:val="231F20"/>
          <w:spacing w:val="-13"/>
        </w:rPr>
        <w:t> </w:t>
      </w:r>
      <w:r>
        <w:rPr>
          <w:color w:val="231F20"/>
          <w:spacing w:val="-1"/>
        </w:rPr>
        <w:t>interviews</w:t>
      </w:r>
      <w:r>
        <w:rPr>
          <w:color w:val="231F20"/>
          <w:spacing w:val="20"/>
          <w:w w:val="99"/>
        </w:rPr>
        <w:t> </w:t>
      </w:r>
      <w:r>
        <w:rPr>
          <w:color w:val="231F20"/>
        </w:rPr>
        <w:t>and</w:t>
      </w:r>
      <w:r>
        <w:rPr>
          <w:color w:val="231F20"/>
          <w:spacing w:val="-8"/>
        </w:rPr>
        <w:t> </w:t>
      </w:r>
      <w:r>
        <w:rPr>
          <w:color w:val="231F20"/>
        </w:rPr>
        <w:t>annual</w:t>
      </w:r>
      <w:r>
        <w:rPr>
          <w:color w:val="231F20"/>
          <w:spacing w:val="-8"/>
        </w:rPr>
        <w:t> </w:t>
      </w:r>
      <w:r>
        <w:rPr>
          <w:color w:val="231F20"/>
        </w:rPr>
        <w:t>reports</w:t>
      </w:r>
      <w:r>
        <w:rPr>
          <w:color w:val="231F20"/>
          <w:spacing w:val="-8"/>
        </w:rPr>
        <w:t> </w:t>
      </w:r>
      <w:r>
        <w:rPr>
          <w:color w:val="231F20"/>
        </w:rPr>
        <w:t>provided</w:t>
      </w:r>
      <w:r>
        <w:rPr>
          <w:color w:val="231F20"/>
          <w:spacing w:val="-7"/>
        </w:rPr>
        <w:t> </w:t>
      </w:r>
      <w:r>
        <w:rPr>
          <w:color w:val="231F20"/>
        </w:rPr>
        <w:t>by</w:t>
      </w:r>
      <w:r>
        <w:rPr>
          <w:color w:val="231F20"/>
          <w:spacing w:val="-7"/>
        </w:rPr>
        <w:t> </w:t>
      </w:r>
      <w:r>
        <w:rPr>
          <w:color w:val="231F20"/>
        </w:rPr>
        <w:t>boarding</w:t>
      </w:r>
      <w:r>
        <w:rPr>
          <w:color w:val="231F20"/>
          <w:w w:val="99"/>
        </w:rPr>
        <w:t> </w:t>
      </w:r>
      <w:r>
        <w:rPr>
          <w:color w:val="231F20"/>
        </w:rPr>
        <w:t>providers.</w:t>
      </w:r>
      <w:r>
        <w:rPr>
          <w:color w:val="231F20"/>
          <w:spacing w:val="-8"/>
        </w:rPr>
        <w:t> </w:t>
      </w:r>
      <w:r>
        <w:rPr>
          <w:color w:val="231F20"/>
          <w:spacing w:val="-1"/>
        </w:rPr>
        <w:t>For</w:t>
      </w:r>
      <w:r>
        <w:rPr>
          <w:color w:val="231F20"/>
          <w:spacing w:val="-6"/>
        </w:rPr>
        <w:t> </w:t>
      </w:r>
      <w:r>
        <w:rPr>
          <w:color w:val="231F20"/>
          <w:spacing w:val="-1"/>
        </w:rPr>
        <w:t>some</w:t>
      </w:r>
      <w:r>
        <w:rPr>
          <w:color w:val="231F20"/>
          <w:spacing w:val="-6"/>
        </w:rPr>
        <w:t> </w:t>
      </w:r>
      <w:r>
        <w:rPr>
          <w:color w:val="231F20"/>
        </w:rPr>
        <w:t>boarding</w:t>
      </w:r>
      <w:r>
        <w:rPr>
          <w:color w:val="231F20"/>
          <w:spacing w:val="-7"/>
        </w:rPr>
        <w:t> </w:t>
      </w:r>
      <w:r>
        <w:rPr>
          <w:color w:val="231F20"/>
        </w:rPr>
        <w:t>providers</w:t>
      </w:r>
      <w:r>
        <w:rPr>
          <w:color w:val="231F20"/>
          <w:spacing w:val="-7"/>
        </w:rPr>
        <w:t> </w:t>
      </w:r>
      <w:r>
        <w:rPr>
          <w:color w:val="231F20"/>
        </w:rPr>
        <w:t>the</w:t>
      </w:r>
      <w:r>
        <w:rPr>
          <w:color w:val="231F20"/>
          <w:spacing w:val="22"/>
          <w:w w:val="99"/>
        </w:rPr>
        <w:t> </w:t>
      </w:r>
      <w:r>
        <w:rPr>
          <w:color w:val="231F20"/>
        </w:rPr>
        <w:t>data</w:t>
      </w:r>
      <w:r>
        <w:rPr>
          <w:color w:val="231F20"/>
          <w:spacing w:val="-4"/>
        </w:rPr>
        <w:t> </w:t>
      </w:r>
      <w:r>
        <w:rPr>
          <w:color w:val="231F20"/>
        </w:rPr>
        <w:t>was</w:t>
      </w:r>
      <w:r>
        <w:rPr>
          <w:color w:val="231F20"/>
          <w:spacing w:val="-4"/>
        </w:rPr>
        <w:t> </w:t>
      </w:r>
      <w:r>
        <w:rPr>
          <w:color w:val="231F20"/>
          <w:spacing w:val="-1"/>
        </w:rPr>
        <w:t>incomplete</w:t>
      </w:r>
      <w:r>
        <w:rPr>
          <w:color w:val="231F20"/>
          <w:spacing w:val="-3"/>
        </w:rPr>
        <w:t> </w:t>
      </w:r>
      <w:r>
        <w:rPr>
          <w:color w:val="231F20"/>
        </w:rPr>
        <w:t>and</w:t>
      </w:r>
      <w:r>
        <w:rPr>
          <w:color w:val="231F20"/>
          <w:spacing w:val="-4"/>
        </w:rPr>
        <w:t> </w:t>
      </w:r>
      <w:r>
        <w:rPr>
          <w:color w:val="231F20"/>
          <w:spacing w:val="-1"/>
        </w:rPr>
        <w:t>inconsistent,</w:t>
      </w:r>
      <w:r>
        <w:rPr>
          <w:color w:val="231F20"/>
          <w:spacing w:val="-2"/>
        </w:rPr>
        <w:t> </w:t>
      </w:r>
      <w:r>
        <w:rPr>
          <w:color w:val="231F20"/>
        </w:rPr>
        <w:t>and</w:t>
      </w:r>
      <w:r>
        <w:rPr>
          <w:color w:val="231F20"/>
          <w:spacing w:val="23"/>
          <w:w w:val="99"/>
        </w:rPr>
        <w:t> </w:t>
      </w:r>
      <w:r>
        <w:rPr>
          <w:color w:val="231F20"/>
        </w:rPr>
        <w:t>assumptions</w:t>
      </w:r>
      <w:r>
        <w:rPr>
          <w:color w:val="231F20"/>
          <w:spacing w:val="-6"/>
        </w:rPr>
        <w:t> </w:t>
      </w:r>
      <w:r>
        <w:rPr>
          <w:color w:val="231F20"/>
        </w:rPr>
        <w:t>were</w:t>
      </w:r>
      <w:r>
        <w:rPr>
          <w:color w:val="231F20"/>
          <w:spacing w:val="-6"/>
        </w:rPr>
        <w:t> </w:t>
      </w:r>
      <w:r>
        <w:rPr>
          <w:color w:val="231F20"/>
          <w:spacing w:val="-1"/>
        </w:rPr>
        <w:t>made</w:t>
      </w:r>
      <w:r>
        <w:rPr>
          <w:color w:val="231F20"/>
          <w:spacing w:val="-4"/>
        </w:rPr>
        <w:t> </w:t>
      </w:r>
      <w:r>
        <w:rPr>
          <w:color w:val="231F20"/>
        </w:rPr>
        <w:t>to</w:t>
      </w:r>
      <w:r>
        <w:rPr>
          <w:color w:val="231F20"/>
          <w:spacing w:val="-5"/>
        </w:rPr>
        <w:t> </w:t>
      </w:r>
      <w:r>
        <w:rPr>
          <w:color w:val="231F20"/>
        </w:rPr>
        <w:t>enable</w:t>
      </w:r>
      <w:r>
        <w:rPr>
          <w:color w:val="231F20"/>
          <w:spacing w:val="-6"/>
        </w:rPr>
        <w:t> </w:t>
      </w:r>
      <w:r>
        <w:rPr>
          <w:color w:val="231F20"/>
        </w:rPr>
        <w:t>accurate</w:t>
      </w:r>
      <w:r>
        <w:rPr>
          <w:color w:val="231F20"/>
          <w:spacing w:val="-5"/>
        </w:rPr>
        <w:t> </w:t>
      </w:r>
      <w:r>
        <w:rPr>
          <w:color w:val="231F20"/>
          <w:spacing w:val="-5"/>
        </w:rPr>
      </w:r>
      <w:r>
        <w:rPr>
          <w:color w:val="231F20"/>
        </w:rPr>
        <w:t>and</w:t>
      </w:r>
      <w:r>
        <w:rPr>
          <w:color w:val="231F20"/>
          <w:spacing w:val="20"/>
        </w:rPr>
        <w:t> </w:t>
      </w:r>
      <w:r>
        <w:rPr>
          <w:color w:val="231F20"/>
        </w:rPr>
        <w:t>reliable</w:t>
      </w:r>
      <w:r>
        <w:rPr>
          <w:color w:val="231F20"/>
          <w:spacing w:val="-5"/>
        </w:rPr>
        <w:t> </w:t>
      </w:r>
      <w:r>
        <w:rPr>
          <w:color w:val="231F20"/>
        </w:rPr>
        <w:t>comparisons</w:t>
      </w:r>
      <w:r>
        <w:rPr>
          <w:color w:val="231F20"/>
          <w:spacing w:val="-5"/>
        </w:rPr>
        <w:t> </w:t>
      </w:r>
      <w:r>
        <w:rPr>
          <w:color w:val="231F20"/>
        </w:rPr>
        <w:t>to</w:t>
      </w:r>
      <w:r>
        <w:rPr>
          <w:color w:val="231F20"/>
          <w:spacing w:val="-4"/>
        </w:rPr>
        <w:t> </w:t>
      </w:r>
      <w:r>
        <w:rPr>
          <w:color w:val="231F20"/>
        </w:rPr>
        <w:t>be</w:t>
      </w:r>
      <w:r>
        <w:rPr>
          <w:color w:val="231F20"/>
          <w:spacing w:val="-4"/>
        </w:rPr>
        <w:t> </w:t>
      </w:r>
      <w:r>
        <w:rPr>
          <w:color w:val="231F20"/>
          <w:spacing w:val="-1"/>
        </w:rPr>
        <w:t>made.</w:t>
      </w:r>
      <w:r>
        <w:rPr/>
      </w:r>
    </w:p>
    <w:p>
      <w:pPr>
        <w:spacing w:after="0" w:line="250" w:lineRule="exact"/>
        <w:jc w:val="left"/>
        <w:sectPr>
          <w:type w:val="continuous"/>
          <w:pgSz w:w="11910" w:h="16840"/>
          <w:pgMar w:top="1580" w:bottom="280" w:left="1300" w:right="1600"/>
          <w:cols w:num="2" w:equalWidth="0">
            <w:col w:w="4362" w:space="230"/>
            <w:col w:w="4418"/>
          </w:cols>
        </w:sectPr>
      </w:pPr>
    </w:p>
    <w:p>
      <w:pPr>
        <w:spacing w:line="240" w:lineRule="auto" w:before="0"/>
        <w:rPr>
          <w:rFonts w:ascii="Segoe UI" w:hAnsi="Segoe UI" w:cs="Segoe UI" w:eastAsia="Segoe UI"/>
          <w:sz w:val="20"/>
          <w:szCs w:val="20"/>
        </w:rPr>
      </w:pPr>
    </w:p>
    <w:p>
      <w:pPr>
        <w:spacing w:line="240" w:lineRule="auto" w:before="11"/>
        <w:rPr>
          <w:rFonts w:ascii="Segoe UI" w:hAnsi="Segoe UI" w:cs="Segoe UI" w:eastAsia="Segoe UI"/>
          <w:sz w:val="20"/>
          <w:szCs w:val="20"/>
        </w:rPr>
      </w:pPr>
    </w:p>
    <w:p>
      <w:pPr>
        <w:spacing w:after="0" w:line="240" w:lineRule="auto"/>
        <w:rPr>
          <w:rFonts w:ascii="Segoe UI" w:hAnsi="Segoe UI" w:cs="Segoe UI" w:eastAsia="Segoe UI"/>
          <w:sz w:val="20"/>
          <w:szCs w:val="20"/>
        </w:rPr>
        <w:sectPr>
          <w:pgSz w:w="11910" w:h="16840"/>
          <w:pgMar w:header="0" w:footer="691" w:top="1580" w:bottom="880" w:left="1600" w:right="1300"/>
        </w:sectPr>
      </w:pPr>
    </w:p>
    <w:p>
      <w:pPr>
        <w:pStyle w:val="Heading2"/>
        <w:spacing w:line="240" w:lineRule="auto"/>
        <w:ind w:left="100" w:right="0"/>
        <w:jc w:val="left"/>
        <w:rPr>
          <w:b w:val="0"/>
          <w:bCs w:val="0"/>
        </w:rPr>
      </w:pPr>
      <w:bookmarkStart w:name="_TOC_250022" w:id="14"/>
      <w:r>
        <w:rPr>
          <w:color w:val="452A70"/>
        </w:rPr>
        <w:t>The</w:t>
      </w:r>
      <w:r>
        <w:rPr>
          <w:color w:val="452A70"/>
          <w:spacing w:val="-1"/>
        </w:rPr>
        <w:t> </w:t>
      </w:r>
      <w:r>
        <w:rPr>
          <w:color w:val="452A70"/>
          <w:spacing w:val="-2"/>
        </w:rPr>
        <w:t>level</w:t>
      </w:r>
      <w:r>
        <w:rPr>
          <w:color w:val="452A70"/>
          <w:spacing w:val="-1"/>
        </w:rPr>
        <w:t> </w:t>
      </w:r>
      <w:r>
        <w:rPr>
          <w:color w:val="452A70"/>
          <w:spacing w:val="-3"/>
        </w:rPr>
        <w:t>of</w:t>
      </w:r>
      <w:r>
        <w:rPr>
          <w:color w:val="452A70"/>
          <w:spacing w:val="-1"/>
        </w:rPr>
        <w:t> investment</w:t>
      </w:r>
      <w:bookmarkEnd w:id="14"/>
      <w:r>
        <w:rPr>
          <w:b w:val="0"/>
        </w:rPr>
      </w:r>
    </w:p>
    <w:p>
      <w:pPr>
        <w:pStyle w:val="BodyText"/>
        <w:spacing w:line="250" w:lineRule="exact" w:before="111"/>
        <w:ind w:left="100" w:right="117"/>
        <w:jc w:val="left"/>
      </w:pP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7"/>
        </w:rPr>
        <w:t> </w:t>
      </w:r>
      <w:r>
        <w:rPr>
          <w:color w:val="231F20"/>
        </w:rPr>
        <w:t>receive</w:t>
      </w:r>
      <w:r>
        <w:rPr>
          <w:color w:val="231F20"/>
          <w:spacing w:val="-7"/>
        </w:rPr>
        <w:t> </w:t>
      </w:r>
      <w:r>
        <w:rPr>
          <w:color w:val="231F20"/>
        </w:rPr>
        <w:t>funding</w:t>
      </w:r>
      <w:r>
        <w:rPr>
          <w:color w:val="231F20"/>
          <w:spacing w:val="-6"/>
        </w:rPr>
        <w:t> </w:t>
      </w:r>
      <w:r>
        <w:rPr>
          <w:color w:val="231F20"/>
        </w:rPr>
        <w:t>and</w:t>
      </w:r>
      <w:r>
        <w:rPr>
          <w:color w:val="231F20"/>
          <w:spacing w:val="-7"/>
        </w:rPr>
        <w:t> </w:t>
      </w:r>
      <w:r>
        <w:rPr>
          <w:color w:val="231F20"/>
          <w:spacing w:val="-1"/>
        </w:rPr>
        <w:t>income</w:t>
      </w:r>
      <w:r>
        <w:rPr>
          <w:color w:val="231F20"/>
          <w:spacing w:val="-5"/>
        </w:rPr>
        <w:t> </w:t>
      </w:r>
      <w:r>
        <w:rPr>
          <w:color w:val="231F20"/>
        </w:rPr>
        <w:t>from</w:t>
      </w:r>
      <w:r>
        <w:rPr/>
      </w:r>
    </w:p>
    <w:p>
      <w:pPr>
        <w:pStyle w:val="BodyText"/>
        <w:spacing w:line="250" w:lineRule="exact"/>
        <w:ind w:left="100" w:right="117"/>
        <w:jc w:val="left"/>
      </w:pPr>
      <w:r>
        <w:rPr>
          <w:color w:val="231F20"/>
        </w:rPr>
        <w:t>a</w:t>
      </w:r>
      <w:r>
        <w:rPr>
          <w:color w:val="231F20"/>
          <w:spacing w:val="-3"/>
        </w:rPr>
        <w:t> </w:t>
      </w:r>
      <w:r>
        <w:rPr>
          <w:color w:val="231F20"/>
        </w:rPr>
        <w:t>number</w:t>
      </w:r>
      <w:r>
        <w:rPr>
          <w:color w:val="231F20"/>
          <w:spacing w:val="-3"/>
        </w:rPr>
        <w:t> </w:t>
      </w:r>
      <w:r>
        <w:rPr>
          <w:color w:val="231F20"/>
        </w:rPr>
        <w:t>of</w:t>
      </w:r>
      <w:r>
        <w:rPr>
          <w:color w:val="231F20"/>
          <w:spacing w:val="-2"/>
        </w:rPr>
        <w:t> </w:t>
      </w:r>
      <w:r>
        <w:rPr>
          <w:color w:val="231F20"/>
          <w:spacing w:val="-1"/>
        </w:rPr>
        <w:t>sources</w:t>
      </w:r>
      <w:r>
        <w:rPr>
          <w:color w:val="231F20"/>
          <w:spacing w:val="-2"/>
        </w:rPr>
        <w:t> </w:t>
      </w:r>
      <w:r>
        <w:rPr>
          <w:color w:val="231F20"/>
        </w:rPr>
        <w:t>to</w:t>
      </w:r>
      <w:r>
        <w:rPr>
          <w:color w:val="231F20"/>
          <w:spacing w:val="-2"/>
        </w:rPr>
        <w:t> </w:t>
      </w:r>
      <w:r>
        <w:rPr>
          <w:color w:val="231F20"/>
          <w:spacing w:val="-1"/>
        </w:rPr>
        <w:t>meet</w:t>
      </w:r>
      <w:r>
        <w:rPr>
          <w:color w:val="231F20"/>
          <w:spacing w:val="-2"/>
        </w:rPr>
        <w:t> </w:t>
      </w:r>
      <w:r>
        <w:rPr>
          <w:color w:val="231F20"/>
        </w:rPr>
        <w:t>the</w:t>
      </w:r>
      <w:r>
        <w:rPr>
          <w:color w:val="231F20"/>
          <w:spacing w:val="-3"/>
        </w:rPr>
        <w:t> </w:t>
      </w:r>
      <w:r>
        <w:rPr>
          <w:color w:val="231F20"/>
        </w:rPr>
        <w:t>cost</w:t>
      </w:r>
      <w:r>
        <w:rPr>
          <w:color w:val="231F20"/>
          <w:spacing w:val="-3"/>
        </w:rPr>
        <w:t> </w:t>
      </w:r>
      <w:r>
        <w:rPr>
          <w:color w:val="231F20"/>
        </w:rPr>
        <w:t>of</w:t>
      </w:r>
      <w:r>
        <w:rPr>
          <w:color w:val="231F20"/>
          <w:spacing w:val="23"/>
          <w:w w:val="99"/>
        </w:rPr>
        <w:t> </w:t>
      </w:r>
      <w:r>
        <w:rPr>
          <w:color w:val="231F20"/>
        </w:rPr>
        <w:t>boarding</w:t>
      </w:r>
      <w:r>
        <w:rPr>
          <w:color w:val="231F20"/>
          <w:spacing w:val="-7"/>
        </w:rPr>
        <w:t> </w:t>
      </w:r>
      <w:r>
        <w:rPr>
          <w:color w:val="231F20"/>
        </w:rPr>
        <w:t>for</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w:t>
      </w:r>
      <w:r>
        <w:rPr>
          <w:color w:val="231F20"/>
          <w:spacing w:val="-6"/>
        </w:rPr>
        <w:t> </w:t>
      </w:r>
      <w:r>
        <w:rPr>
          <w:color w:val="231F20"/>
          <w:spacing w:val="-2"/>
        </w:rPr>
        <w:t>Strait</w:t>
      </w:r>
      <w:r>
        <w:rPr>
          <w:color w:val="231F20"/>
          <w:spacing w:val="29"/>
          <w:w w:val="99"/>
        </w:rPr>
        <w:t> </w:t>
      </w:r>
      <w:r>
        <w:rPr>
          <w:color w:val="231F20"/>
          <w:spacing w:val="-1"/>
        </w:rPr>
        <w:t>Islander</w:t>
      </w:r>
      <w:r>
        <w:rPr>
          <w:color w:val="231F20"/>
          <w:spacing w:val="-8"/>
        </w:rPr>
        <w:t> </w:t>
      </w:r>
      <w:r>
        <w:rPr>
          <w:color w:val="231F20"/>
          <w:spacing w:val="-1"/>
        </w:rPr>
        <w:t>students.</w:t>
      </w:r>
      <w:r>
        <w:rPr>
          <w:color w:val="231F20"/>
          <w:spacing w:val="-7"/>
        </w:rPr>
        <w:t> </w:t>
      </w:r>
      <w:r>
        <w:rPr>
          <w:color w:val="231F20"/>
        </w:rPr>
        <w:t>The</w:t>
      </w:r>
      <w:r>
        <w:rPr>
          <w:color w:val="231F20"/>
          <w:spacing w:val="-7"/>
        </w:rPr>
        <w:t> </w:t>
      </w:r>
      <w:r>
        <w:rPr>
          <w:color w:val="231F20"/>
        </w:rPr>
        <w:t>total</w:t>
      </w:r>
      <w:r>
        <w:rPr>
          <w:color w:val="231F20"/>
          <w:spacing w:val="-8"/>
        </w:rPr>
        <w:t> </w:t>
      </w:r>
      <w:r>
        <w:rPr>
          <w:color w:val="231F20"/>
        </w:rPr>
        <w:t>boarding</w:t>
      </w:r>
      <w:r>
        <w:rPr>
          <w:color w:val="231F20"/>
          <w:spacing w:val="-9"/>
        </w:rPr>
        <w:t> </w:t>
      </w:r>
      <w:r>
        <w:rPr>
          <w:color w:val="231F20"/>
        </w:rPr>
        <w:t>revenue</w:t>
      </w:r>
      <w:r>
        <w:rPr>
          <w:color w:val="231F20"/>
          <w:spacing w:val="23"/>
          <w:w w:val="99"/>
        </w:rPr>
        <w:t> </w:t>
      </w:r>
      <w:r>
        <w:rPr>
          <w:color w:val="231F20"/>
        </w:rPr>
        <w:t>(excluding</w:t>
      </w:r>
      <w:r>
        <w:rPr>
          <w:color w:val="231F20"/>
          <w:spacing w:val="-7"/>
        </w:rPr>
        <w:t> </w:t>
      </w:r>
      <w:r>
        <w:rPr>
          <w:color w:val="231F20"/>
        </w:rPr>
        <w:t>tuition</w:t>
      </w:r>
      <w:r>
        <w:rPr>
          <w:color w:val="231F20"/>
          <w:spacing w:val="-6"/>
        </w:rPr>
        <w:t> </w:t>
      </w:r>
      <w:r>
        <w:rPr>
          <w:color w:val="231F20"/>
        </w:rPr>
        <w:t>revenue,</w:t>
      </w:r>
      <w:r>
        <w:rPr>
          <w:color w:val="231F20"/>
          <w:spacing w:val="-7"/>
        </w:rPr>
        <w:t> </w:t>
      </w:r>
      <w:r>
        <w:rPr>
          <w:color w:val="231F20"/>
        </w:rPr>
        <w:t>which</w:t>
      </w:r>
      <w:r>
        <w:rPr>
          <w:color w:val="231F20"/>
          <w:spacing w:val="-6"/>
        </w:rPr>
        <w:t> </w:t>
      </w:r>
      <w:r>
        <w:rPr>
          <w:color w:val="231F20"/>
          <w:spacing w:val="-1"/>
        </w:rPr>
        <w:t>is</w:t>
      </w:r>
      <w:r>
        <w:rPr>
          <w:color w:val="231F20"/>
          <w:spacing w:val="-7"/>
        </w:rPr>
        <w:t> </w:t>
      </w:r>
      <w:r>
        <w:rPr>
          <w:color w:val="231F20"/>
        </w:rPr>
        <w:t>outside</w:t>
      </w:r>
      <w:r>
        <w:rPr>
          <w:color w:val="231F20"/>
          <w:spacing w:val="21"/>
        </w:rPr>
        <w:t> </w:t>
      </w:r>
      <w:r>
        <w:rPr>
          <w:color w:val="231F20"/>
        </w:rPr>
        <w:t>the</w:t>
      </w:r>
      <w:r>
        <w:rPr>
          <w:color w:val="231F20"/>
          <w:spacing w:val="-5"/>
        </w:rPr>
        <w:t> </w:t>
      </w:r>
      <w:r>
        <w:rPr>
          <w:color w:val="231F20"/>
          <w:spacing w:val="-1"/>
        </w:rPr>
        <w:t>scope</w:t>
      </w:r>
      <w:r>
        <w:rPr>
          <w:color w:val="231F20"/>
          <w:spacing w:val="-4"/>
        </w:rPr>
        <w:t> </w:t>
      </w:r>
      <w:r>
        <w:rPr>
          <w:color w:val="231F20"/>
        </w:rPr>
        <w:t>of</w:t>
      </w:r>
      <w:r>
        <w:rPr>
          <w:color w:val="231F20"/>
          <w:spacing w:val="-3"/>
        </w:rPr>
        <w:t> </w:t>
      </w:r>
      <w:r>
        <w:rPr>
          <w:color w:val="231F20"/>
        </w:rPr>
        <w:t>this</w:t>
      </w:r>
      <w:r>
        <w:rPr>
          <w:color w:val="231F20"/>
          <w:spacing w:val="-5"/>
        </w:rPr>
        <w:t> </w:t>
      </w:r>
      <w:r>
        <w:rPr>
          <w:color w:val="231F20"/>
        </w:rPr>
        <w:t>report)</w:t>
      </w:r>
      <w:r>
        <w:rPr>
          <w:color w:val="231F20"/>
          <w:spacing w:val="-4"/>
        </w:rPr>
        <w:t> </w:t>
      </w:r>
      <w:r>
        <w:rPr>
          <w:color w:val="231F20"/>
        </w:rPr>
        <w:t>generated</w:t>
      </w:r>
      <w:r>
        <w:rPr>
          <w:color w:val="231F20"/>
          <w:spacing w:val="-5"/>
        </w:rPr>
        <w:t> </w:t>
      </w:r>
      <w:r>
        <w:rPr>
          <w:color w:val="231F20"/>
        </w:rPr>
        <w:t>by</w:t>
      </w:r>
      <w:r>
        <w:rPr>
          <w:color w:val="231F20"/>
          <w:spacing w:val="-3"/>
        </w:rPr>
        <w:t> </w:t>
      </w:r>
      <w:r>
        <w:rPr>
          <w:color w:val="231F20"/>
        </w:rPr>
        <w:t>the</w:t>
      </w:r>
      <w:r>
        <w:rPr>
          <w:color w:val="231F20"/>
          <w:spacing w:val="21"/>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4"/>
        </w:rPr>
        <w:t> </w:t>
      </w:r>
      <w:r>
        <w:rPr>
          <w:color w:val="231F20"/>
        </w:rPr>
        <w:t>from</w:t>
      </w:r>
      <w:r>
        <w:rPr>
          <w:color w:val="231F20"/>
          <w:spacing w:val="-2"/>
        </w:rPr>
        <w:t> </w:t>
      </w:r>
      <w:r>
        <w:rPr>
          <w:color w:val="231F20"/>
          <w:spacing w:val="-1"/>
        </w:rPr>
        <w:t>2015</w:t>
      </w:r>
      <w:r>
        <w:rPr>
          <w:color w:val="231F20"/>
          <w:spacing w:val="-2"/>
        </w:rPr>
        <w:t> </w:t>
      </w:r>
      <w:r>
        <w:rPr>
          <w:color w:val="231F20"/>
        </w:rPr>
        <w:t>to</w:t>
      </w:r>
      <w:r>
        <w:rPr>
          <w:color w:val="231F20"/>
          <w:spacing w:val="-2"/>
        </w:rPr>
        <w:t> </w:t>
      </w:r>
      <w:r>
        <w:rPr>
          <w:color w:val="231F20"/>
          <w:spacing w:val="-1"/>
        </w:rPr>
        <w:t>2017</w:t>
      </w:r>
      <w:r>
        <w:rPr>
          <w:color w:val="231F20"/>
          <w:spacing w:val="-3"/>
        </w:rPr>
        <w:t> </w:t>
      </w:r>
      <w:r>
        <w:rPr>
          <w:color w:val="231F20"/>
          <w:spacing w:val="-1"/>
        </w:rPr>
        <w:t>is</w:t>
      </w:r>
      <w:r>
        <w:rPr>
          <w:color w:val="231F20"/>
          <w:spacing w:val="-3"/>
        </w:rPr>
        <w:t> </w:t>
      </w:r>
      <w:r>
        <w:rPr>
          <w:color w:val="231F20"/>
          <w:spacing w:val="-1"/>
        </w:rPr>
        <w:t>set</w:t>
      </w:r>
      <w:r>
        <w:rPr>
          <w:color w:val="231F20"/>
          <w:spacing w:val="-2"/>
        </w:rPr>
        <w:t> </w:t>
      </w:r>
      <w:r>
        <w:rPr>
          <w:color w:val="231F20"/>
        </w:rPr>
        <w:t>out</w:t>
      </w:r>
      <w:r>
        <w:rPr>
          <w:color w:val="231F20"/>
          <w:spacing w:val="-2"/>
        </w:rPr>
        <w:t> </w:t>
      </w:r>
      <w:r>
        <w:rPr>
          <w:color w:val="231F20"/>
          <w:spacing w:val="-1"/>
        </w:rPr>
        <w:t>in</w:t>
      </w:r>
      <w:r>
        <w:rPr>
          <w:color w:val="231F20"/>
          <w:spacing w:val="-3"/>
        </w:rPr>
        <w:t> </w:t>
      </w:r>
      <w:r>
        <w:rPr>
          <w:color w:val="231F20"/>
        </w:rPr>
        <w:t>the</w:t>
      </w:r>
      <w:r>
        <w:rPr>
          <w:color w:val="231F20"/>
          <w:spacing w:val="26"/>
          <w:w w:val="99"/>
        </w:rPr>
        <w:t> </w:t>
      </w:r>
      <w:r>
        <w:rPr>
          <w:color w:val="231F20"/>
        </w:rPr>
        <w:t>following</w:t>
      </w:r>
      <w:r>
        <w:rPr>
          <w:color w:val="231F20"/>
          <w:spacing w:val="-13"/>
        </w:rPr>
        <w:t> </w:t>
      </w:r>
      <w:r>
        <w:rPr>
          <w:color w:val="231F20"/>
        </w:rPr>
        <w:t>table.</w:t>
      </w:r>
      <w:r>
        <w:rPr/>
      </w:r>
    </w:p>
    <w:p>
      <w:pPr>
        <w:pStyle w:val="BodyText"/>
        <w:spacing w:line="258" w:lineRule="exact" w:before="97"/>
        <w:ind w:left="100" w:right="0"/>
        <w:jc w:val="left"/>
      </w:pPr>
      <w:r>
        <w:rPr>
          <w:color w:val="231F20"/>
        </w:rPr>
        <w:t>The</w:t>
      </w:r>
      <w:r>
        <w:rPr>
          <w:color w:val="231F20"/>
          <w:spacing w:val="-6"/>
        </w:rPr>
        <w:t> </w:t>
      </w:r>
      <w:r>
        <w:rPr>
          <w:color w:val="231F20"/>
          <w:spacing w:val="-1"/>
        </w:rPr>
        <w:t>increase</w:t>
      </w:r>
      <w:r>
        <w:rPr>
          <w:color w:val="231F20"/>
          <w:spacing w:val="-6"/>
        </w:rPr>
        <w:t> </w:t>
      </w:r>
      <w:r>
        <w:rPr>
          <w:color w:val="231F20"/>
          <w:spacing w:val="-1"/>
        </w:rPr>
        <w:t>in</w:t>
      </w:r>
      <w:r>
        <w:rPr>
          <w:color w:val="231F20"/>
          <w:spacing w:val="-6"/>
        </w:rPr>
        <w:t> </w:t>
      </w:r>
      <w:r>
        <w:rPr>
          <w:color w:val="231F20"/>
        </w:rPr>
        <w:t>total</w:t>
      </w:r>
      <w:r>
        <w:rPr>
          <w:color w:val="231F20"/>
          <w:spacing w:val="-6"/>
        </w:rPr>
        <w:t> </w:t>
      </w:r>
      <w:r>
        <w:rPr>
          <w:color w:val="231F20"/>
        </w:rPr>
        <w:t>boarding</w:t>
      </w:r>
      <w:r>
        <w:rPr>
          <w:color w:val="231F20"/>
          <w:spacing w:val="-7"/>
        </w:rPr>
        <w:t> </w:t>
      </w:r>
      <w:r>
        <w:rPr>
          <w:color w:val="231F20"/>
        </w:rPr>
        <w:t>revenue</w:t>
      </w:r>
      <w:r>
        <w:rPr>
          <w:color w:val="231F20"/>
          <w:spacing w:val="-6"/>
        </w:rPr>
        <w:t> </w:t>
      </w:r>
      <w:r>
        <w:rPr>
          <w:color w:val="231F20"/>
        </w:rPr>
        <w:t>from</w:t>
      </w:r>
      <w:r>
        <w:rPr/>
      </w:r>
    </w:p>
    <w:p>
      <w:pPr>
        <w:pStyle w:val="BodyText"/>
        <w:spacing w:line="250" w:lineRule="exact" w:before="8"/>
        <w:ind w:left="100" w:right="219"/>
        <w:jc w:val="left"/>
      </w:pPr>
      <w:r>
        <w:rPr>
          <w:color w:val="231F20"/>
          <w:spacing w:val="-1"/>
        </w:rPr>
        <w:t>$33.8</w:t>
      </w:r>
      <w:r>
        <w:rPr>
          <w:color w:val="231F20"/>
          <w:spacing w:val="-2"/>
        </w:rPr>
        <w:t> </w:t>
      </w:r>
      <w:r>
        <w:rPr>
          <w:color w:val="231F20"/>
          <w:spacing w:val="-1"/>
        </w:rPr>
        <w:t>million</w:t>
      </w:r>
      <w:r>
        <w:rPr>
          <w:color w:val="231F20"/>
          <w:spacing w:val="-2"/>
        </w:rPr>
        <w:t> </w:t>
      </w:r>
      <w:r>
        <w:rPr>
          <w:color w:val="231F20"/>
        </w:rPr>
        <w:t>to</w:t>
      </w:r>
      <w:r>
        <w:rPr>
          <w:color w:val="231F20"/>
          <w:spacing w:val="-1"/>
        </w:rPr>
        <w:t> $36.3</w:t>
      </w:r>
      <w:r>
        <w:rPr>
          <w:color w:val="231F20"/>
          <w:spacing w:val="-2"/>
        </w:rPr>
        <w:t> </w:t>
      </w:r>
      <w:r>
        <w:rPr>
          <w:color w:val="231F20"/>
          <w:spacing w:val="-1"/>
        </w:rPr>
        <w:t>million is</w:t>
      </w:r>
      <w:r>
        <w:rPr>
          <w:color w:val="231F20"/>
          <w:spacing w:val="-3"/>
        </w:rPr>
        <w:t> </w:t>
      </w:r>
      <w:r>
        <w:rPr>
          <w:color w:val="231F20"/>
        </w:rPr>
        <w:t>the</w:t>
      </w:r>
      <w:r>
        <w:rPr>
          <w:color w:val="231F20"/>
          <w:spacing w:val="-2"/>
        </w:rPr>
        <w:t> </w:t>
      </w:r>
      <w:r>
        <w:rPr>
          <w:color w:val="231F20"/>
          <w:spacing w:val="-1"/>
        </w:rPr>
        <w:t>largely</w:t>
      </w:r>
      <w:r>
        <w:rPr>
          <w:color w:val="231F20"/>
          <w:spacing w:val="25"/>
          <w:w w:val="99"/>
        </w:rPr>
        <w:t> </w:t>
      </w:r>
      <w:r>
        <w:rPr>
          <w:color w:val="231F20"/>
        </w:rPr>
        <w:t>the</w:t>
      </w:r>
      <w:r>
        <w:rPr>
          <w:color w:val="231F20"/>
          <w:spacing w:val="-6"/>
        </w:rPr>
        <w:t> </w:t>
      </w:r>
      <w:r>
        <w:rPr>
          <w:color w:val="231F20"/>
        </w:rPr>
        <w:t>result</w:t>
      </w:r>
      <w:r>
        <w:rPr>
          <w:color w:val="231F20"/>
          <w:spacing w:val="-5"/>
        </w:rPr>
        <w:t> </w:t>
      </w:r>
      <w:r>
        <w:rPr>
          <w:color w:val="231F20"/>
        </w:rPr>
        <w:t>of</w:t>
      </w:r>
      <w:r>
        <w:rPr>
          <w:color w:val="231F20"/>
          <w:spacing w:val="-4"/>
        </w:rPr>
        <w:t> </w:t>
      </w:r>
      <w:r>
        <w:rPr>
          <w:color w:val="231F20"/>
        </w:rPr>
        <w:t>three</w:t>
      </w:r>
      <w:r>
        <w:rPr>
          <w:color w:val="231F20"/>
          <w:spacing w:val="-5"/>
        </w:rPr>
        <w:t> </w:t>
      </w:r>
      <w:r>
        <w:rPr>
          <w:color w:val="231F20"/>
        </w:rPr>
        <w:t>new</w:t>
      </w:r>
      <w:r>
        <w:rPr>
          <w:color w:val="231F20"/>
          <w:spacing w:val="-5"/>
        </w:rPr>
        <w:t> </w:t>
      </w:r>
      <w:r>
        <w:rPr>
          <w:color w:val="231F20"/>
        </w:rPr>
        <w:t>Aboriginal</w:t>
      </w:r>
      <w:r>
        <w:rPr>
          <w:color w:val="231F20"/>
          <w:spacing w:val="-4"/>
        </w:rPr>
        <w:t> </w:t>
      </w:r>
      <w:r>
        <w:rPr>
          <w:color w:val="231F20"/>
        </w:rPr>
        <w:t>and</w:t>
      </w:r>
      <w:r>
        <w:rPr>
          <w:color w:val="231F20"/>
          <w:spacing w:val="-5"/>
        </w:rPr>
        <w:t> Torres</w:t>
      </w:r>
      <w:r>
        <w:rPr/>
      </w:r>
    </w:p>
    <w:p>
      <w:pPr>
        <w:pStyle w:val="BodyText"/>
        <w:spacing w:line="250" w:lineRule="exact"/>
        <w:ind w:left="100" w:right="0"/>
        <w:jc w:val="left"/>
      </w:pPr>
      <w:r>
        <w:rPr>
          <w:color w:val="231F20"/>
          <w:spacing w:val="-2"/>
        </w:rPr>
        <w:t>Strait</w:t>
      </w:r>
      <w:r>
        <w:rPr>
          <w:color w:val="231F20"/>
          <w:spacing w:val="-8"/>
        </w:rPr>
        <w:t> </w:t>
      </w:r>
      <w:r>
        <w:rPr>
          <w:color w:val="231F20"/>
          <w:spacing w:val="-1"/>
        </w:rPr>
        <w:t>Islander</w:t>
      </w:r>
      <w:r>
        <w:rPr>
          <w:color w:val="231F20"/>
          <w:spacing w:val="-7"/>
        </w:rPr>
        <w:t> </w:t>
      </w:r>
      <w:r>
        <w:rPr>
          <w:color w:val="231F20"/>
        </w:rPr>
        <w:t>boarding</w:t>
      </w:r>
      <w:r>
        <w:rPr>
          <w:color w:val="231F20"/>
          <w:spacing w:val="-8"/>
        </w:rPr>
        <w:t> </w:t>
      </w:r>
      <w:r>
        <w:rPr>
          <w:color w:val="231F20"/>
        </w:rPr>
        <w:t>providers</w:t>
      </w:r>
      <w:r>
        <w:rPr>
          <w:color w:val="231F20"/>
          <w:spacing w:val="-7"/>
        </w:rPr>
        <w:t> </w:t>
      </w:r>
      <w:r>
        <w:rPr>
          <w:color w:val="231F20"/>
        </w:rPr>
        <w:t>commencing</w:t>
      </w:r>
      <w:r>
        <w:rPr>
          <w:color w:val="231F20"/>
          <w:spacing w:val="27"/>
        </w:rPr>
        <w:t> </w:t>
      </w:r>
      <w:r>
        <w:rPr>
          <w:color w:val="231F20"/>
        </w:rPr>
        <w:t>operations</w:t>
      </w:r>
      <w:r>
        <w:rPr>
          <w:color w:val="231F20"/>
          <w:spacing w:val="-4"/>
        </w:rPr>
        <w:t> </w:t>
      </w:r>
      <w:r>
        <w:rPr>
          <w:color w:val="231F20"/>
          <w:spacing w:val="-1"/>
        </w:rPr>
        <w:t>in</w:t>
      </w:r>
      <w:r>
        <w:rPr>
          <w:color w:val="231F20"/>
          <w:spacing w:val="-3"/>
        </w:rPr>
        <w:t> </w:t>
      </w:r>
      <w:r>
        <w:rPr>
          <w:color w:val="231F20"/>
          <w:spacing w:val="-1"/>
        </w:rPr>
        <w:t>2016</w:t>
      </w:r>
      <w:r>
        <w:rPr>
          <w:color w:val="231F20"/>
          <w:spacing w:val="-3"/>
        </w:rPr>
        <w:t> </w:t>
      </w:r>
      <w:r>
        <w:rPr>
          <w:color w:val="231F20"/>
        </w:rPr>
        <w:t>or</w:t>
      </w:r>
      <w:r>
        <w:rPr>
          <w:color w:val="231F20"/>
          <w:spacing w:val="-3"/>
        </w:rPr>
        <w:t> </w:t>
      </w:r>
      <w:r>
        <w:rPr>
          <w:color w:val="231F20"/>
          <w:spacing w:val="-1"/>
        </w:rPr>
        <w:t>2017.</w:t>
      </w:r>
      <w:r>
        <w:rPr>
          <w:color w:val="231F20"/>
          <w:spacing w:val="-3"/>
        </w:rPr>
        <w:t> </w:t>
      </w:r>
      <w:r>
        <w:rPr>
          <w:color w:val="231F20"/>
        </w:rPr>
        <w:t>All</w:t>
      </w:r>
      <w:r>
        <w:rPr>
          <w:color w:val="231F20"/>
          <w:spacing w:val="-4"/>
        </w:rPr>
        <w:t> </w:t>
      </w:r>
      <w:r>
        <w:rPr>
          <w:color w:val="231F20"/>
        </w:rPr>
        <w:t>three</w:t>
      </w:r>
      <w:r>
        <w:rPr>
          <w:color w:val="231F20"/>
          <w:spacing w:val="-4"/>
        </w:rPr>
        <w:t> </w:t>
      </w:r>
      <w:r>
        <w:rPr>
          <w:color w:val="231F20"/>
        </w:rPr>
        <w:t>were</w:t>
      </w:r>
      <w:r>
        <w:rPr>
          <w:color w:val="231F20"/>
          <w:spacing w:val="24"/>
          <w:w w:val="99"/>
        </w:rPr>
        <w:t> </w:t>
      </w:r>
      <w:r>
        <w:rPr>
          <w:rFonts w:ascii="Segoe UI"/>
          <w:color w:val="231F20"/>
        </w:rPr>
        <w:t>classified as very small and did not have a</w:t>
      </w:r>
      <w:r>
        <w:rPr>
          <w:rFonts w:ascii="Segoe UI"/>
          <w:color w:val="231F20"/>
        </w:rPr>
        <w:t> </w:t>
      </w:r>
      <w:r>
        <w:rPr>
          <w:color w:val="231F20"/>
          <w:spacing w:val="-1"/>
        </w:rPr>
        <w:t>major</w:t>
      </w:r>
      <w:r>
        <w:rPr>
          <w:color w:val="231F20"/>
          <w:spacing w:val="-6"/>
        </w:rPr>
        <w:t> </w:t>
      </w:r>
      <w:r>
        <w:rPr>
          <w:color w:val="231F20"/>
          <w:spacing w:val="-1"/>
        </w:rPr>
        <w:t>impact</w:t>
      </w:r>
      <w:r>
        <w:rPr>
          <w:color w:val="231F20"/>
          <w:spacing w:val="-5"/>
        </w:rPr>
        <w:t> </w:t>
      </w:r>
      <w:r>
        <w:rPr>
          <w:color w:val="231F20"/>
        </w:rPr>
        <w:t>on</w:t>
      </w:r>
      <w:r>
        <w:rPr>
          <w:color w:val="231F20"/>
          <w:spacing w:val="-6"/>
        </w:rPr>
        <w:t> </w:t>
      </w:r>
      <w:r>
        <w:rPr>
          <w:color w:val="231F20"/>
        </w:rPr>
        <w:t>the</w:t>
      </w:r>
      <w:r>
        <w:rPr>
          <w:color w:val="231F20"/>
          <w:spacing w:val="-6"/>
        </w:rPr>
        <w:t> </w:t>
      </w:r>
      <w:r>
        <w:rPr>
          <w:color w:val="231F20"/>
        </w:rPr>
        <w:t>number</w:t>
      </w:r>
      <w:r>
        <w:rPr>
          <w:color w:val="231F20"/>
          <w:spacing w:val="-7"/>
        </w:rPr>
        <w:t> </w:t>
      </w:r>
      <w:r>
        <w:rPr>
          <w:color w:val="231F20"/>
        </w:rPr>
        <w:t>of</w:t>
      </w:r>
      <w:r>
        <w:rPr>
          <w:color w:val="231F20"/>
          <w:spacing w:val="-5"/>
        </w:rPr>
        <w:t> </w:t>
      </w:r>
      <w:r>
        <w:rPr>
          <w:color w:val="231F20"/>
        </w:rPr>
        <w:t>boarders</w:t>
      </w:r>
      <w:r>
        <w:rPr/>
      </w:r>
    </w:p>
    <w:p>
      <w:pPr>
        <w:pStyle w:val="BodyText"/>
        <w:spacing w:line="250" w:lineRule="exact"/>
        <w:ind w:left="100" w:right="316"/>
        <w:jc w:val="both"/>
      </w:pPr>
      <w:r>
        <w:rPr>
          <w:color w:val="231F20"/>
          <w:spacing w:val="-1"/>
        </w:rPr>
        <w:t>in</w:t>
      </w:r>
      <w:r>
        <w:rPr>
          <w:color w:val="231F20"/>
          <w:spacing w:val="-3"/>
        </w:rPr>
        <w:t> </w:t>
      </w:r>
      <w:r>
        <w:rPr>
          <w:color w:val="231F20"/>
        </w:rPr>
        <w:t>boarding.</w:t>
      </w:r>
      <w:r>
        <w:rPr>
          <w:color w:val="231F20"/>
          <w:spacing w:val="-3"/>
        </w:rPr>
        <w:t> </w:t>
      </w:r>
      <w:r>
        <w:rPr>
          <w:color w:val="231F20"/>
        </w:rPr>
        <w:t>At</w:t>
      </w:r>
      <w:r>
        <w:rPr>
          <w:color w:val="231F20"/>
          <w:spacing w:val="-3"/>
        </w:rPr>
        <w:t> </w:t>
      </w:r>
      <w:r>
        <w:rPr>
          <w:color w:val="231F20"/>
        </w:rPr>
        <w:t>the</w:t>
      </w:r>
      <w:r>
        <w:rPr>
          <w:color w:val="231F20"/>
          <w:spacing w:val="-3"/>
        </w:rPr>
        <w:t> </w:t>
      </w:r>
      <w:r>
        <w:rPr>
          <w:color w:val="231F20"/>
          <w:spacing w:val="-1"/>
        </w:rPr>
        <w:t>same</w:t>
      </w:r>
      <w:r>
        <w:rPr>
          <w:color w:val="231F20"/>
          <w:spacing w:val="-3"/>
        </w:rPr>
        <w:t> </w:t>
      </w:r>
      <w:r>
        <w:rPr>
          <w:color w:val="231F20"/>
        </w:rPr>
        <w:t>time,</w:t>
      </w:r>
      <w:r>
        <w:rPr>
          <w:color w:val="231F20"/>
          <w:spacing w:val="-3"/>
        </w:rPr>
        <w:t> </w:t>
      </w:r>
      <w:r>
        <w:rPr>
          <w:color w:val="231F20"/>
        </w:rPr>
        <w:t>the</w:t>
      </w:r>
      <w:r>
        <w:rPr>
          <w:color w:val="231F20"/>
          <w:spacing w:val="-4"/>
        </w:rPr>
        <w:t> </w:t>
      </w:r>
      <w:r>
        <w:rPr>
          <w:color w:val="231F20"/>
        </w:rPr>
        <w:t>number</w:t>
      </w:r>
      <w:r>
        <w:rPr>
          <w:color w:val="231F20"/>
          <w:spacing w:val="22"/>
          <w:w w:val="99"/>
        </w:rPr>
        <w:t> </w:t>
      </w:r>
      <w:r>
        <w:rPr>
          <w:color w:val="231F20"/>
        </w:rPr>
        <w:t>of</w:t>
      </w:r>
      <w:r>
        <w:rPr>
          <w:color w:val="231F20"/>
          <w:spacing w:val="-3"/>
        </w:rPr>
        <w:t> </w:t>
      </w:r>
      <w:r>
        <w:rPr>
          <w:color w:val="231F20"/>
        </w:rPr>
        <w:t>boarders</w:t>
      </w:r>
      <w:r>
        <w:rPr>
          <w:color w:val="231F20"/>
          <w:spacing w:val="-4"/>
        </w:rPr>
        <w:t> </w:t>
      </w:r>
      <w:r>
        <w:rPr>
          <w:color w:val="231F20"/>
        </w:rPr>
        <w:t>at</w:t>
      </w:r>
      <w:r>
        <w:rPr>
          <w:color w:val="231F20"/>
          <w:spacing w:val="-3"/>
        </w:rPr>
        <w:t> </w:t>
      </w:r>
      <w:r>
        <w:rPr>
          <w:color w:val="231F20"/>
        </w:rPr>
        <w:t>two</w:t>
      </w:r>
      <w:r>
        <w:rPr>
          <w:color w:val="231F20"/>
          <w:spacing w:val="-3"/>
        </w:rPr>
        <w:t> </w:t>
      </w:r>
      <w:r>
        <w:rPr>
          <w:color w:val="231F20"/>
          <w:spacing w:val="-1"/>
        </w:rPr>
        <w:t>medium</w:t>
      </w:r>
      <w:r>
        <w:rPr>
          <w:color w:val="231F20"/>
          <w:spacing w:val="-3"/>
        </w:rPr>
        <w:t> </w:t>
      </w:r>
      <w:r>
        <w:rPr>
          <w:color w:val="231F20"/>
          <w:spacing w:val="-1"/>
        </w:rPr>
        <w:t>sized</w:t>
      </w:r>
      <w:r>
        <w:rPr>
          <w:color w:val="231F20"/>
          <w:spacing w:val="-3"/>
        </w:rPr>
        <w:t> </w:t>
      </w:r>
      <w:r>
        <w:rPr>
          <w:color w:val="231F20"/>
        </w:rPr>
        <w:t>boarding</w:t>
      </w:r>
      <w:r>
        <w:rPr>
          <w:color w:val="231F20"/>
          <w:spacing w:val="23"/>
          <w:w w:val="99"/>
        </w:rPr>
        <w:t> </w:t>
      </w:r>
      <w:r>
        <w:rPr>
          <w:color w:val="231F20"/>
        </w:rPr>
        <w:t>providers</w:t>
      </w:r>
      <w:r>
        <w:rPr>
          <w:color w:val="231F20"/>
          <w:spacing w:val="-7"/>
        </w:rPr>
        <w:t> </w:t>
      </w:r>
      <w:r>
        <w:rPr>
          <w:color w:val="231F20"/>
          <w:spacing w:val="-1"/>
        </w:rPr>
        <w:t>in</w:t>
      </w:r>
      <w:r>
        <w:rPr>
          <w:color w:val="231F20"/>
          <w:spacing w:val="-6"/>
        </w:rPr>
        <w:t> </w:t>
      </w:r>
      <w:r>
        <w:rPr>
          <w:color w:val="231F20"/>
        </w:rPr>
        <w:t>the</w:t>
      </w:r>
      <w:r>
        <w:rPr>
          <w:color w:val="231F20"/>
          <w:spacing w:val="-6"/>
        </w:rPr>
        <w:t> </w:t>
      </w:r>
      <w:r>
        <w:rPr>
          <w:color w:val="231F20"/>
        </w:rPr>
        <w:t>Northern</w:t>
      </w:r>
      <w:r>
        <w:rPr>
          <w:color w:val="231F20"/>
          <w:spacing w:val="-6"/>
        </w:rPr>
        <w:t> </w:t>
      </w:r>
      <w:r>
        <w:rPr>
          <w:color w:val="231F20"/>
          <w:spacing w:val="-3"/>
        </w:rPr>
        <w:t>Territory</w:t>
      </w:r>
      <w:r>
        <w:rPr>
          <w:color w:val="231F20"/>
          <w:spacing w:val="-6"/>
        </w:rPr>
        <w:t> </w:t>
      </w:r>
      <w:r>
        <w:rPr>
          <w:color w:val="231F20"/>
        </w:rPr>
        <w:t>declined</w:t>
      </w:r>
      <w:r>
        <w:rPr>
          <w:color w:val="231F20"/>
          <w:spacing w:val="28"/>
          <w:w w:val="99"/>
        </w:rPr>
        <w:t> </w:t>
      </w:r>
      <w:r>
        <w:rPr>
          <w:color w:val="231F20"/>
        </w:rPr>
        <w:t>by</w:t>
      </w:r>
      <w:r>
        <w:rPr>
          <w:color w:val="231F20"/>
          <w:spacing w:val="-4"/>
        </w:rPr>
        <w:t> </w:t>
      </w:r>
      <w:r>
        <w:rPr>
          <w:color w:val="231F20"/>
          <w:spacing w:val="-1"/>
        </w:rPr>
        <w:t>25</w:t>
      </w:r>
      <w:r>
        <w:rPr>
          <w:color w:val="231F20"/>
          <w:spacing w:val="-4"/>
        </w:rPr>
        <w:t> </w:t>
      </w:r>
      <w:r>
        <w:rPr>
          <w:color w:val="231F20"/>
        </w:rPr>
        <w:t>per</w:t>
      </w:r>
      <w:r>
        <w:rPr>
          <w:color w:val="231F20"/>
          <w:spacing w:val="-4"/>
        </w:rPr>
        <w:t> </w:t>
      </w:r>
      <w:r>
        <w:rPr>
          <w:color w:val="231F20"/>
        </w:rPr>
        <w:t>cent</w:t>
      </w:r>
      <w:r>
        <w:rPr>
          <w:color w:val="231F20"/>
          <w:spacing w:val="-4"/>
        </w:rPr>
        <w:t> </w:t>
      </w:r>
      <w:r>
        <w:rPr>
          <w:color w:val="231F20"/>
        </w:rPr>
        <w:t>and</w:t>
      </w:r>
      <w:r>
        <w:rPr>
          <w:color w:val="231F20"/>
          <w:spacing w:val="-5"/>
        </w:rPr>
        <w:t> </w:t>
      </w:r>
      <w:r>
        <w:rPr>
          <w:color w:val="231F20"/>
          <w:spacing w:val="-1"/>
        </w:rPr>
        <w:t>30</w:t>
      </w:r>
      <w:r>
        <w:rPr>
          <w:color w:val="231F20"/>
          <w:spacing w:val="-4"/>
        </w:rPr>
        <w:t> </w:t>
      </w:r>
      <w:r>
        <w:rPr>
          <w:color w:val="231F20"/>
        </w:rPr>
        <w:t>per</w:t>
      </w:r>
      <w:r>
        <w:rPr>
          <w:color w:val="231F20"/>
          <w:spacing w:val="-3"/>
        </w:rPr>
        <w:t> </w:t>
      </w:r>
      <w:r>
        <w:rPr>
          <w:color w:val="231F20"/>
        </w:rPr>
        <w:t>cent</w:t>
      </w:r>
      <w:r>
        <w:rPr>
          <w:color w:val="231F20"/>
          <w:spacing w:val="-5"/>
        </w:rPr>
        <w:t> </w:t>
      </w:r>
      <w:r>
        <w:rPr>
          <w:color w:val="231F20"/>
        </w:rPr>
        <w:t>respectively,</w:t>
      </w:r>
      <w:r>
        <w:rPr/>
      </w:r>
    </w:p>
    <w:p>
      <w:pPr>
        <w:pStyle w:val="BodyText"/>
        <w:spacing w:line="250" w:lineRule="exact"/>
        <w:ind w:left="100" w:right="0"/>
        <w:jc w:val="left"/>
      </w:pPr>
      <w:r>
        <w:rPr>
          <w:color w:val="231F20"/>
        </w:rPr>
        <w:t>which</w:t>
      </w:r>
      <w:r>
        <w:rPr>
          <w:color w:val="231F20"/>
          <w:spacing w:val="-7"/>
        </w:rPr>
        <w:t> </w:t>
      </w:r>
      <w:r>
        <w:rPr>
          <w:color w:val="231F20"/>
        </w:rPr>
        <w:t>had</w:t>
      </w:r>
      <w:r>
        <w:rPr>
          <w:color w:val="231F20"/>
          <w:spacing w:val="-5"/>
        </w:rPr>
        <w:t> </w:t>
      </w:r>
      <w:r>
        <w:rPr>
          <w:color w:val="231F20"/>
        </w:rPr>
        <w:t>a</w:t>
      </w:r>
      <w:r>
        <w:rPr>
          <w:color w:val="231F20"/>
          <w:spacing w:val="-6"/>
        </w:rPr>
        <w:t> </w:t>
      </w:r>
      <w:r>
        <w:rPr>
          <w:color w:val="231F20"/>
          <w:spacing w:val="-1"/>
        </w:rPr>
        <w:t>measurable</w:t>
      </w:r>
      <w:r>
        <w:rPr>
          <w:color w:val="231F20"/>
          <w:spacing w:val="-4"/>
        </w:rPr>
        <w:t> </w:t>
      </w:r>
      <w:r>
        <w:rPr>
          <w:color w:val="231F20"/>
          <w:spacing w:val="-1"/>
        </w:rPr>
        <w:t>impact</w:t>
      </w:r>
      <w:r>
        <w:rPr>
          <w:color w:val="231F20"/>
          <w:spacing w:val="-5"/>
        </w:rPr>
        <w:t> </w:t>
      </w:r>
      <w:r>
        <w:rPr>
          <w:color w:val="231F20"/>
        </w:rPr>
        <w:t>on</w:t>
      </w:r>
      <w:r>
        <w:rPr>
          <w:color w:val="231F20"/>
          <w:spacing w:val="-6"/>
        </w:rPr>
        <w:t> </w:t>
      </w:r>
      <w:r>
        <w:rPr>
          <w:color w:val="231F20"/>
        </w:rPr>
        <w:t>the</w:t>
      </w:r>
      <w:r>
        <w:rPr>
          <w:color w:val="231F20"/>
          <w:spacing w:val="-6"/>
        </w:rPr>
        <w:t> </w:t>
      </w:r>
      <w:r>
        <w:rPr>
          <w:color w:val="231F20"/>
        </w:rPr>
        <w:t>number</w:t>
      </w:r>
      <w:r>
        <w:rPr>
          <w:color w:val="231F20"/>
          <w:spacing w:val="23"/>
          <w:w w:val="99"/>
        </w:rPr>
        <w:t> </w:t>
      </w:r>
      <w:r>
        <w:rPr>
          <w:color w:val="231F20"/>
        </w:rPr>
        <w:t>of</w:t>
      </w:r>
      <w:r>
        <w:rPr>
          <w:color w:val="231F20"/>
          <w:spacing w:val="-5"/>
        </w:rPr>
        <w:t> </w:t>
      </w:r>
      <w:r>
        <w:rPr>
          <w:color w:val="231F20"/>
        </w:rPr>
        <w:t>total</w:t>
      </w:r>
      <w:r>
        <w:rPr>
          <w:color w:val="231F20"/>
          <w:spacing w:val="-5"/>
        </w:rPr>
        <w:t> </w:t>
      </w:r>
      <w:r>
        <w:rPr>
          <w:color w:val="231F20"/>
        </w:rPr>
        <w:t>boarders</w:t>
      </w:r>
      <w:r>
        <w:rPr>
          <w:color w:val="231F20"/>
          <w:spacing w:val="-5"/>
        </w:rPr>
        <w:t> </w:t>
      </w:r>
      <w:r>
        <w:rPr>
          <w:color w:val="231F20"/>
        </w:rPr>
        <w:t>at</w:t>
      </w:r>
      <w:r>
        <w:rPr>
          <w:color w:val="231F20"/>
          <w:spacing w:val="-5"/>
        </w:rPr>
        <w:t> </w:t>
      </w:r>
      <w:r>
        <w:rPr>
          <w:color w:val="231F20"/>
        </w:rPr>
        <w:t>the</w:t>
      </w:r>
      <w:r>
        <w:rPr>
          <w:color w:val="231F20"/>
          <w:spacing w:val="-5"/>
        </w:rPr>
        <w:t> </w:t>
      </w:r>
      <w:r>
        <w:rPr>
          <w:color w:val="231F20"/>
        </w:rPr>
        <w:t>Aboriginal</w:t>
      </w:r>
      <w:r>
        <w:rPr>
          <w:color w:val="231F20"/>
          <w:spacing w:val="-4"/>
        </w:rPr>
        <w:t> </w:t>
      </w:r>
      <w:r>
        <w:rPr>
          <w:color w:val="231F20"/>
        </w:rPr>
        <w:t>and</w:t>
      </w:r>
      <w:r>
        <w:rPr>
          <w:color w:val="231F20"/>
          <w:spacing w:val="-6"/>
        </w:rPr>
        <w:t> </w:t>
      </w:r>
      <w:r>
        <w:rPr>
          <w:color w:val="231F20"/>
          <w:spacing w:val="-5"/>
        </w:rPr>
        <w:t>Torres</w:t>
      </w:r>
      <w:r>
        <w:rPr>
          <w:color w:val="231F20"/>
          <w:spacing w:val="23"/>
          <w:w w:val="99"/>
        </w:rPr>
        <w:t> </w:t>
      </w:r>
      <w:r>
        <w:rPr>
          <w:color w:val="231F20"/>
          <w:spacing w:val="-2"/>
        </w:rPr>
        <w:t>Strait</w:t>
      </w:r>
      <w:r>
        <w:rPr>
          <w:color w:val="231F20"/>
          <w:spacing w:val="-10"/>
        </w:rPr>
        <w:t> </w:t>
      </w:r>
      <w:r>
        <w:rPr>
          <w:color w:val="231F20"/>
          <w:spacing w:val="-1"/>
        </w:rPr>
        <w:t>Islander</w:t>
      </w:r>
      <w:r>
        <w:rPr>
          <w:color w:val="231F20"/>
          <w:spacing w:val="-10"/>
        </w:rPr>
        <w:t> </w:t>
      </w:r>
      <w:r>
        <w:rPr>
          <w:color w:val="231F20"/>
        </w:rPr>
        <w:t>boarding</w:t>
      </w:r>
      <w:r>
        <w:rPr>
          <w:color w:val="231F20"/>
          <w:spacing w:val="-10"/>
        </w:rPr>
        <w:t> </w:t>
      </w:r>
      <w:r>
        <w:rPr>
          <w:color w:val="231F20"/>
        </w:rPr>
        <w:t>providers.</w:t>
      </w:r>
      <w:r>
        <w:rPr/>
      </w:r>
    </w:p>
    <w:p>
      <w:pPr>
        <w:pStyle w:val="BodyText"/>
        <w:spacing w:line="250" w:lineRule="exact" w:before="72"/>
        <w:ind w:left="100" w:right="243"/>
        <w:jc w:val="left"/>
      </w:pPr>
      <w:r>
        <w:rPr/>
        <w:br w:type="column"/>
      </w:r>
      <w:r>
        <w:rPr>
          <w:color w:val="231F20"/>
        </w:rPr>
        <w:t>The</w:t>
      </w:r>
      <w:r>
        <w:rPr>
          <w:color w:val="231F20"/>
          <w:spacing w:val="-4"/>
        </w:rPr>
        <w:t> </w:t>
      </w:r>
      <w:r>
        <w:rPr>
          <w:color w:val="231F20"/>
          <w:spacing w:val="-1"/>
        </w:rPr>
        <w:t>main</w:t>
      </w:r>
      <w:r>
        <w:rPr>
          <w:color w:val="231F20"/>
          <w:spacing w:val="-4"/>
        </w:rPr>
        <w:t> </w:t>
      </w:r>
      <w:r>
        <w:rPr>
          <w:color w:val="231F20"/>
          <w:spacing w:val="-1"/>
        </w:rPr>
        <w:t>sources</w:t>
      </w:r>
      <w:r>
        <w:rPr>
          <w:color w:val="231F20"/>
          <w:spacing w:val="-4"/>
        </w:rPr>
        <w:t> </w:t>
      </w:r>
      <w:r>
        <w:rPr>
          <w:color w:val="231F20"/>
        </w:rPr>
        <w:t>of</w:t>
      </w:r>
      <w:r>
        <w:rPr>
          <w:color w:val="231F20"/>
          <w:spacing w:val="-4"/>
        </w:rPr>
        <w:t> </w:t>
      </w:r>
      <w:r>
        <w:rPr>
          <w:color w:val="231F20"/>
        </w:rPr>
        <w:t>revenue</w:t>
      </w:r>
      <w:r>
        <w:rPr>
          <w:color w:val="231F20"/>
          <w:spacing w:val="-4"/>
        </w:rPr>
        <w:t> </w:t>
      </w:r>
      <w:r>
        <w:rPr>
          <w:color w:val="231F20"/>
        </w:rPr>
        <w:t>for</w:t>
      </w:r>
      <w:r>
        <w:rPr>
          <w:color w:val="231F20"/>
          <w:spacing w:val="-4"/>
        </w:rPr>
        <w:t> </w:t>
      </w:r>
      <w:r>
        <w:rPr>
          <w:color w:val="231F20"/>
        </w:rPr>
        <w:t>boarding</w:t>
      </w:r>
      <w:r>
        <w:rPr>
          <w:color w:val="231F20"/>
          <w:spacing w:val="23"/>
          <w:w w:val="99"/>
        </w:rPr>
        <w:t> </w:t>
      </w:r>
      <w:r>
        <w:rPr>
          <w:color w:val="231F20"/>
        </w:rPr>
        <w:t>providers</w:t>
      </w:r>
      <w:r>
        <w:rPr>
          <w:color w:val="231F20"/>
          <w:spacing w:val="-13"/>
        </w:rPr>
        <w:t> </w:t>
      </w:r>
      <w:r>
        <w:rPr>
          <w:color w:val="231F20"/>
        </w:rPr>
        <w:t>are:</w:t>
      </w:r>
      <w:r>
        <w:rPr/>
      </w:r>
    </w:p>
    <w:p>
      <w:pPr>
        <w:pStyle w:val="BodyText"/>
        <w:spacing w:line="240" w:lineRule="auto" w:before="97"/>
        <w:ind w:left="100" w:right="0"/>
        <w:jc w:val="left"/>
      </w:pPr>
      <w:r>
        <w:rPr>
          <w:rFonts w:ascii="Century Gothic" w:hAnsi="Century Gothic"/>
          <w:color w:val="231F20"/>
        </w:rPr>
        <w:t>» </w:t>
      </w:r>
      <w:r>
        <w:rPr>
          <w:rFonts w:ascii="Century Gothic" w:hAnsi="Century Gothic"/>
          <w:color w:val="231F20"/>
          <w:spacing w:val="17"/>
        </w:rPr>
        <w:t> </w:t>
      </w:r>
      <w:r>
        <w:rPr>
          <w:color w:val="231F20"/>
          <w:spacing w:val="-1"/>
        </w:rPr>
        <w:t>Commonwealth</w:t>
      </w:r>
      <w:r>
        <w:rPr>
          <w:color w:val="231F20"/>
          <w:spacing w:val="-6"/>
        </w:rPr>
        <w:t> </w:t>
      </w:r>
      <w:r>
        <w:rPr>
          <w:color w:val="231F20"/>
        </w:rPr>
        <w:t>recurrent</w:t>
      </w:r>
      <w:r>
        <w:rPr>
          <w:color w:val="231F20"/>
          <w:spacing w:val="-6"/>
        </w:rPr>
        <w:t> </w:t>
      </w:r>
      <w:r>
        <w:rPr>
          <w:color w:val="231F20"/>
          <w:spacing w:val="-1"/>
        </w:rPr>
        <w:t>school</w:t>
      </w:r>
      <w:r>
        <w:rPr>
          <w:color w:val="231F20"/>
          <w:spacing w:val="-6"/>
        </w:rPr>
        <w:t> </w:t>
      </w:r>
      <w:r>
        <w:rPr>
          <w:color w:val="231F20"/>
        </w:rPr>
        <w:t>funding</w:t>
      </w:r>
      <w:r>
        <w:rPr/>
      </w:r>
    </w:p>
    <w:p>
      <w:pPr>
        <w:pStyle w:val="BodyText"/>
        <w:spacing w:line="250" w:lineRule="exact" w:before="113"/>
        <w:ind w:left="327" w:right="132" w:hanging="227"/>
        <w:jc w:val="left"/>
      </w:pPr>
      <w:r>
        <w:rPr>
          <w:rFonts w:ascii="Century Gothic" w:hAnsi="Century Gothic" w:cs="Century Gothic" w:eastAsia="Century Gothic"/>
          <w:color w:val="231F20"/>
        </w:rPr>
        <w:t>» </w:t>
      </w:r>
      <w:r>
        <w:rPr>
          <w:rFonts w:ascii="Century Gothic" w:hAnsi="Century Gothic" w:cs="Century Gothic" w:eastAsia="Century Gothic"/>
          <w:color w:val="231F20"/>
          <w:spacing w:val="14"/>
        </w:rPr>
        <w:t> </w:t>
      </w:r>
      <w:r>
        <w:rPr>
          <w:color w:val="231F20"/>
          <w:spacing w:val="-1"/>
        </w:rPr>
        <w:t>Indigenous</w:t>
      </w:r>
      <w:r>
        <w:rPr>
          <w:color w:val="231F20"/>
          <w:spacing w:val="-6"/>
        </w:rPr>
        <w:t> </w:t>
      </w:r>
      <w:r>
        <w:rPr>
          <w:color w:val="231F20"/>
        </w:rPr>
        <w:t>Advancement</w:t>
      </w:r>
      <w:r>
        <w:rPr>
          <w:color w:val="231F20"/>
          <w:spacing w:val="-7"/>
        </w:rPr>
        <w:t> </w:t>
      </w:r>
      <w:r>
        <w:rPr>
          <w:color w:val="231F20"/>
          <w:spacing w:val="-1"/>
        </w:rPr>
        <w:t>Strategy</w:t>
      </w:r>
      <w:r>
        <w:rPr>
          <w:color w:val="231F20"/>
          <w:spacing w:val="-7"/>
        </w:rPr>
        <w:t> </w:t>
      </w:r>
      <w:r>
        <w:rPr>
          <w:color w:val="231F20"/>
        </w:rPr>
        <w:t>(IAS)—</w:t>
      </w:r>
      <w:r>
        <w:rPr>
          <w:color w:val="231F20"/>
          <w:spacing w:val="23"/>
          <w:w w:val="99"/>
        </w:rPr>
        <w:t> </w:t>
      </w:r>
      <w:r>
        <w:rPr>
          <w:color w:val="231F20"/>
          <w:spacing w:val="-1"/>
        </w:rPr>
        <w:t>Children</w:t>
      </w:r>
      <w:r>
        <w:rPr>
          <w:color w:val="231F20"/>
          <w:spacing w:val="-7"/>
        </w:rPr>
        <w:t> </w:t>
      </w:r>
      <w:r>
        <w:rPr>
          <w:color w:val="231F20"/>
        </w:rPr>
        <w:t>and</w:t>
      </w:r>
      <w:r>
        <w:rPr>
          <w:color w:val="231F20"/>
          <w:spacing w:val="-7"/>
        </w:rPr>
        <w:t> </w:t>
      </w:r>
      <w:r>
        <w:rPr>
          <w:color w:val="231F20"/>
          <w:spacing w:val="-1"/>
        </w:rPr>
        <w:t>Schooling</w:t>
      </w:r>
      <w:r>
        <w:rPr>
          <w:color w:val="231F20"/>
          <w:spacing w:val="-6"/>
        </w:rPr>
        <w:t> </w:t>
      </w:r>
      <w:r>
        <w:rPr>
          <w:color w:val="231F20"/>
        </w:rPr>
        <w:t>Program</w:t>
      </w:r>
      <w:r>
        <w:rPr/>
      </w:r>
    </w:p>
    <w:p>
      <w:pPr>
        <w:pStyle w:val="BodyText"/>
        <w:spacing w:line="240" w:lineRule="auto" w:before="97"/>
        <w:ind w:left="100" w:right="0"/>
        <w:jc w:val="left"/>
      </w:pPr>
      <w:r>
        <w:rPr>
          <w:rFonts w:ascii="Century Gothic" w:hAnsi="Century Gothic"/>
          <w:color w:val="231F20"/>
        </w:rPr>
        <w:t>» </w:t>
      </w:r>
      <w:r>
        <w:rPr>
          <w:rFonts w:ascii="Century Gothic" w:hAnsi="Century Gothic"/>
          <w:color w:val="231F20"/>
          <w:spacing w:val="20"/>
        </w:rPr>
        <w:t> </w:t>
      </w:r>
      <w:r>
        <w:rPr>
          <w:color w:val="231F20"/>
          <w:spacing w:val="-2"/>
        </w:rPr>
        <w:t>State</w:t>
      </w:r>
      <w:r>
        <w:rPr>
          <w:color w:val="231F20"/>
          <w:spacing w:val="-5"/>
        </w:rPr>
        <w:t> </w:t>
      </w:r>
      <w:r>
        <w:rPr>
          <w:color w:val="231F20"/>
        </w:rPr>
        <w:t>and</w:t>
      </w:r>
      <w:r>
        <w:rPr>
          <w:color w:val="231F20"/>
          <w:spacing w:val="-5"/>
        </w:rPr>
        <w:t> </w:t>
      </w:r>
      <w:r>
        <w:rPr>
          <w:color w:val="231F20"/>
        </w:rPr>
        <w:t>territory</w:t>
      </w:r>
      <w:r>
        <w:rPr>
          <w:color w:val="231F20"/>
          <w:spacing w:val="-5"/>
        </w:rPr>
        <w:t> </w:t>
      </w:r>
      <w:r>
        <w:rPr>
          <w:color w:val="231F20"/>
        </w:rPr>
        <w:t>funding</w:t>
      </w:r>
      <w:r>
        <w:rPr/>
      </w:r>
    </w:p>
    <w:p>
      <w:pPr>
        <w:pStyle w:val="BodyText"/>
        <w:spacing w:line="250" w:lineRule="exact" w:before="113"/>
        <w:ind w:left="327" w:right="243" w:hanging="227"/>
        <w:jc w:val="left"/>
      </w:pPr>
      <w:r>
        <w:rPr>
          <w:rFonts w:ascii="Century Gothic" w:hAnsi="Century Gothic"/>
          <w:color w:val="231F20"/>
        </w:rPr>
        <w:t>» </w:t>
      </w:r>
      <w:r>
        <w:rPr>
          <w:rFonts w:ascii="Century Gothic" w:hAnsi="Century Gothic"/>
          <w:color w:val="231F20"/>
          <w:spacing w:val="21"/>
        </w:rPr>
        <w:t> </w:t>
      </w:r>
      <w:r>
        <w:rPr>
          <w:color w:val="231F20"/>
          <w:spacing w:val="-1"/>
        </w:rPr>
        <w:t>Donations,</w:t>
      </w:r>
      <w:r>
        <w:rPr>
          <w:color w:val="231F20"/>
          <w:spacing w:val="-4"/>
        </w:rPr>
        <w:t> </w:t>
      </w:r>
      <w:r>
        <w:rPr>
          <w:color w:val="231F20"/>
          <w:spacing w:val="-1"/>
        </w:rPr>
        <w:t>scholarships</w:t>
      </w:r>
      <w:r>
        <w:rPr>
          <w:color w:val="231F20"/>
          <w:spacing w:val="-3"/>
        </w:rPr>
        <w:t> </w:t>
      </w:r>
      <w:r>
        <w:rPr>
          <w:color w:val="231F20"/>
        </w:rPr>
        <w:t>and</w:t>
      </w:r>
      <w:r>
        <w:rPr>
          <w:color w:val="231F20"/>
          <w:spacing w:val="-5"/>
        </w:rPr>
        <w:t> </w:t>
      </w:r>
      <w:r>
        <w:rPr>
          <w:color w:val="231F20"/>
        </w:rPr>
        <w:t>other</w:t>
      </w:r>
      <w:r>
        <w:rPr>
          <w:color w:val="231F20"/>
          <w:spacing w:val="-3"/>
        </w:rPr>
        <w:t> </w:t>
      </w:r>
      <w:r>
        <w:rPr>
          <w:color w:val="231F20"/>
        </w:rPr>
        <w:t>private</w:t>
      </w:r>
      <w:r>
        <w:rPr>
          <w:color w:val="231F20"/>
          <w:spacing w:val="23"/>
          <w:w w:val="99"/>
        </w:rPr>
        <w:t> </w:t>
      </w:r>
      <w:r>
        <w:rPr>
          <w:color w:val="231F20"/>
          <w:spacing w:val="-1"/>
        </w:rPr>
        <w:t>income</w:t>
      </w:r>
      <w:r>
        <w:rPr/>
      </w:r>
    </w:p>
    <w:p>
      <w:pPr>
        <w:pStyle w:val="BodyText"/>
        <w:spacing w:line="240" w:lineRule="auto" w:before="97"/>
        <w:ind w:left="100" w:right="0"/>
        <w:jc w:val="left"/>
      </w:pPr>
      <w:r>
        <w:rPr>
          <w:rFonts w:ascii="Century Gothic" w:hAnsi="Century Gothic"/>
          <w:color w:val="231F20"/>
        </w:rPr>
        <w:t>» </w:t>
      </w:r>
      <w:r>
        <w:rPr>
          <w:rFonts w:ascii="Century Gothic" w:hAnsi="Century Gothic"/>
          <w:color w:val="231F20"/>
          <w:spacing w:val="29"/>
        </w:rPr>
        <w:t> </w:t>
      </w:r>
      <w:r>
        <w:rPr>
          <w:color w:val="231F20"/>
          <w:spacing w:val="-1"/>
        </w:rPr>
        <w:t>Scholarships</w:t>
      </w:r>
      <w:r>
        <w:rPr/>
      </w:r>
    </w:p>
    <w:p>
      <w:pPr>
        <w:pStyle w:val="BodyText"/>
        <w:spacing w:line="240" w:lineRule="auto" w:before="97"/>
        <w:ind w:left="100" w:right="0"/>
        <w:jc w:val="left"/>
      </w:pPr>
      <w:r>
        <w:rPr>
          <w:rFonts w:ascii="Century Gothic" w:hAnsi="Century Gothic"/>
          <w:color w:val="231F20"/>
        </w:rPr>
        <w:t>» </w:t>
      </w:r>
      <w:r>
        <w:rPr>
          <w:rFonts w:ascii="Century Gothic" w:hAnsi="Century Gothic"/>
          <w:color w:val="231F20"/>
          <w:spacing w:val="29"/>
        </w:rPr>
        <w:t> </w:t>
      </w:r>
      <w:r>
        <w:rPr>
          <w:color w:val="231F20"/>
        </w:rPr>
        <w:t>ABSTUDY</w:t>
      </w:r>
      <w:r>
        <w:rPr/>
      </w:r>
    </w:p>
    <w:p>
      <w:pPr>
        <w:pStyle w:val="BodyText"/>
        <w:spacing w:line="250" w:lineRule="exact" w:before="113"/>
        <w:ind w:left="327" w:right="132" w:hanging="227"/>
        <w:jc w:val="left"/>
      </w:pPr>
      <w:r>
        <w:rPr>
          <w:rFonts w:ascii="Century Gothic" w:hAnsi="Century Gothic"/>
          <w:color w:val="231F20"/>
        </w:rPr>
        <w:t>» </w:t>
      </w:r>
      <w:r>
        <w:rPr>
          <w:rFonts w:ascii="Century Gothic" w:hAnsi="Century Gothic"/>
          <w:color w:val="231F20"/>
          <w:spacing w:val="19"/>
        </w:rPr>
        <w:t> </w:t>
      </w:r>
      <w:r>
        <w:rPr>
          <w:color w:val="231F20"/>
        </w:rPr>
        <w:t>ABSTUDY</w:t>
      </w:r>
      <w:r>
        <w:rPr>
          <w:color w:val="231F20"/>
          <w:spacing w:val="-6"/>
        </w:rPr>
        <w:t> </w:t>
      </w:r>
      <w:r>
        <w:rPr>
          <w:color w:val="231F20"/>
        </w:rPr>
        <w:t>fares</w:t>
      </w:r>
      <w:r>
        <w:rPr>
          <w:color w:val="231F20"/>
          <w:spacing w:val="-5"/>
        </w:rPr>
        <w:t> </w:t>
      </w:r>
      <w:r>
        <w:rPr>
          <w:color w:val="231F20"/>
        </w:rPr>
        <w:t>allowance</w:t>
      </w:r>
      <w:r>
        <w:rPr>
          <w:color w:val="231F20"/>
          <w:spacing w:val="-6"/>
        </w:rPr>
        <w:t> </w:t>
      </w:r>
      <w:r>
        <w:rPr>
          <w:color w:val="231F20"/>
        </w:rPr>
        <w:t>(reimbursement</w:t>
      </w:r>
      <w:r>
        <w:rPr>
          <w:color w:val="231F20"/>
          <w:spacing w:val="-6"/>
        </w:rPr>
        <w:t> </w:t>
      </w:r>
      <w:r>
        <w:rPr>
          <w:color w:val="231F20"/>
        </w:rPr>
        <w:t>for</w:t>
      </w:r>
      <w:r>
        <w:rPr>
          <w:color w:val="231F20"/>
          <w:w w:val="99"/>
        </w:rPr>
        <w:t> </w:t>
      </w:r>
      <w:r>
        <w:rPr>
          <w:color w:val="231F20"/>
        </w:rPr>
        <w:t>travel</w:t>
      </w:r>
      <w:r>
        <w:rPr>
          <w:color w:val="231F20"/>
          <w:spacing w:val="-6"/>
        </w:rPr>
        <w:t> </w:t>
      </w:r>
      <w:r>
        <w:rPr>
          <w:color w:val="231F20"/>
        </w:rPr>
        <w:t>costs)</w:t>
      </w:r>
      <w:r>
        <w:rPr/>
      </w:r>
    </w:p>
    <w:p>
      <w:pPr>
        <w:pStyle w:val="BodyText"/>
        <w:spacing w:line="240" w:lineRule="auto" w:before="97"/>
        <w:ind w:left="100" w:right="0"/>
        <w:jc w:val="left"/>
      </w:pPr>
      <w:r>
        <w:rPr>
          <w:rFonts w:ascii="Century Gothic" w:hAnsi="Century Gothic"/>
          <w:color w:val="231F20"/>
        </w:rPr>
        <w:t>» </w:t>
      </w:r>
      <w:r>
        <w:rPr>
          <w:rFonts w:ascii="Century Gothic" w:hAnsi="Century Gothic"/>
          <w:color w:val="231F20"/>
          <w:spacing w:val="19"/>
        </w:rPr>
        <w:t> </w:t>
      </w:r>
      <w:r>
        <w:rPr>
          <w:color w:val="231F20"/>
          <w:spacing w:val="-1"/>
        </w:rPr>
        <w:t>Private</w:t>
      </w:r>
      <w:r>
        <w:rPr>
          <w:color w:val="231F20"/>
          <w:spacing w:val="-5"/>
        </w:rPr>
        <w:t> </w:t>
      </w:r>
      <w:r>
        <w:rPr>
          <w:color w:val="231F20"/>
        </w:rPr>
        <w:t>fees</w:t>
      </w:r>
      <w:r>
        <w:rPr>
          <w:color w:val="231F20"/>
          <w:spacing w:val="-5"/>
        </w:rPr>
        <w:t> </w:t>
      </w:r>
      <w:r>
        <w:rPr>
          <w:color w:val="231F20"/>
        </w:rPr>
        <w:t>and</w:t>
      </w:r>
      <w:r>
        <w:rPr>
          <w:color w:val="231F20"/>
          <w:spacing w:val="-6"/>
        </w:rPr>
        <w:t> </w:t>
      </w:r>
      <w:r>
        <w:rPr>
          <w:color w:val="231F20"/>
        </w:rPr>
        <w:t>parental</w:t>
      </w:r>
      <w:r>
        <w:rPr>
          <w:color w:val="231F20"/>
          <w:spacing w:val="-5"/>
        </w:rPr>
        <w:t> </w:t>
      </w:r>
      <w:r>
        <w:rPr>
          <w:color w:val="231F20"/>
        </w:rPr>
        <w:t>contributions</w:t>
      </w:r>
      <w:r>
        <w:rPr/>
      </w:r>
    </w:p>
    <w:p>
      <w:pPr>
        <w:pStyle w:val="BodyText"/>
        <w:spacing w:line="250" w:lineRule="exact" w:before="113"/>
        <w:ind w:left="327" w:right="243" w:hanging="227"/>
        <w:jc w:val="left"/>
      </w:pPr>
      <w:r>
        <w:rPr>
          <w:rFonts w:ascii="Century Gothic" w:hAnsi="Century Gothic"/>
          <w:color w:val="231F20"/>
        </w:rPr>
        <w:t>» </w:t>
      </w:r>
      <w:r>
        <w:rPr>
          <w:rFonts w:ascii="Century Gothic" w:hAnsi="Century Gothic"/>
          <w:color w:val="231F20"/>
          <w:spacing w:val="15"/>
        </w:rPr>
        <w:t> </w:t>
      </w:r>
      <w:r>
        <w:rPr>
          <w:color w:val="231F20"/>
        </w:rPr>
        <w:t>Underpinning</w:t>
      </w:r>
      <w:r>
        <w:rPr>
          <w:color w:val="231F20"/>
          <w:spacing w:val="-6"/>
        </w:rPr>
        <w:t> </w:t>
      </w:r>
      <w:r>
        <w:rPr>
          <w:color w:val="231F20"/>
        </w:rPr>
        <w:t>funding</w:t>
      </w:r>
      <w:r>
        <w:rPr>
          <w:color w:val="231F20"/>
          <w:spacing w:val="-6"/>
        </w:rPr>
        <w:t> </w:t>
      </w:r>
      <w:r>
        <w:rPr>
          <w:color w:val="231F20"/>
        </w:rPr>
        <w:t>from</w:t>
      </w:r>
      <w:r>
        <w:rPr>
          <w:color w:val="231F20"/>
          <w:spacing w:val="-6"/>
        </w:rPr>
        <w:t> </w:t>
      </w:r>
      <w:r>
        <w:rPr>
          <w:color w:val="231F20"/>
        </w:rPr>
        <w:t>associated</w:t>
      </w:r>
      <w:r>
        <w:rPr>
          <w:color w:val="231F20"/>
          <w:w w:val="99"/>
        </w:rPr>
        <w:t> </w:t>
      </w:r>
      <w:r>
        <w:rPr>
          <w:color w:val="231F20"/>
        </w:rPr>
        <w:t>bodies</w:t>
      </w:r>
      <w:r>
        <w:rPr>
          <w:color w:val="231F20"/>
          <w:spacing w:val="-6"/>
        </w:rPr>
        <w:t> </w:t>
      </w:r>
      <w:r>
        <w:rPr>
          <w:color w:val="231F20"/>
        </w:rPr>
        <w:t>and</w:t>
      </w:r>
      <w:r>
        <w:rPr>
          <w:color w:val="231F20"/>
          <w:spacing w:val="-6"/>
        </w:rPr>
        <w:t> </w:t>
      </w:r>
      <w:r>
        <w:rPr>
          <w:color w:val="231F20"/>
        </w:rPr>
        <w:t>other</w:t>
      </w:r>
      <w:r>
        <w:rPr>
          <w:color w:val="231F20"/>
          <w:spacing w:val="-4"/>
        </w:rPr>
        <w:t> </w:t>
      </w:r>
      <w:r>
        <w:rPr>
          <w:color w:val="231F20"/>
        </w:rPr>
        <w:t>parties</w:t>
      </w:r>
      <w:r>
        <w:rPr/>
      </w:r>
    </w:p>
    <w:p>
      <w:pPr>
        <w:pStyle w:val="BodyText"/>
        <w:spacing w:line="250" w:lineRule="exact" w:before="113"/>
        <w:ind w:left="327" w:right="243" w:hanging="227"/>
        <w:jc w:val="left"/>
      </w:pPr>
      <w:r>
        <w:rPr>
          <w:rFonts w:ascii="Century Gothic" w:hAnsi="Century Gothic"/>
          <w:color w:val="231F20"/>
        </w:rPr>
        <w:t>» </w:t>
      </w:r>
      <w:r>
        <w:rPr>
          <w:rFonts w:ascii="Century Gothic" w:hAnsi="Century Gothic"/>
          <w:color w:val="231F20"/>
          <w:spacing w:val="17"/>
        </w:rPr>
        <w:t> </w:t>
      </w:r>
      <w:r>
        <w:rPr>
          <w:color w:val="231F20"/>
          <w:spacing w:val="-1"/>
        </w:rPr>
        <w:t>Commonwealth</w:t>
      </w:r>
      <w:r>
        <w:rPr>
          <w:color w:val="231F20"/>
          <w:spacing w:val="-5"/>
        </w:rPr>
        <w:t> </w:t>
      </w:r>
      <w:r>
        <w:rPr>
          <w:color w:val="231F20"/>
          <w:spacing w:val="-1"/>
        </w:rPr>
        <w:t>Block</w:t>
      </w:r>
      <w:r>
        <w:rPr>
          <w:color w:val="231F20"/>
          <w:spacing w:val="-6"/>
        </w:rPr>
        <w:t> </w:t>
      </w:r>
      <w:r>
        <w:rPr>
          <w:color w:val="231F20"/>
        </w:rPr>
        <w:t>Grant</w:t>
      </w:r>
      <w:r>
        <w:rPr>
          <w:color w:val="231F20"/>
          <w:spacing w:val="-5"/>
        </w:rPr>
        <w:t> </w:t>
      </w:r>
      <w:r>
        <w:rPr>
          <w:color w:val="231F20"/>
        </w:rPr>
        <w:t>Authorities</w:t>
      </w:r>
      <w:r>
        <w:rPr>
          <w:color w:val="231F20"/>
          <w:spacing w:val="23"/>
          <w:w w:val="99"/>
        </w:rPr>
        <w:t> </w:t>
      </w:r>
      <w:r>
        <w:rPr>
          <w:color w:val="231F20"/>
        </w:rPr>
        <w:t>(capital</w:t>
      </w:r>
      <w:r>
        <w:rPr>
          <w:color w:val="231F20"/>
          <w:spacing w:val="-16"/>
        </w:rPr>
        <w:t> </w:t>
      </w:r>
      <w:r>
        <w:rPr>
          <w:color w:val="231F20"/>
        </w:rPr>
        <w:t>funding).</w:t>
      </w:r>
      <w:r>
        <w:rPr/>
      </w:r>
    </w:p>
    <w:p>
      <w:pPr>
        <w:pStyle w:val="BodyText"/>
        <w:spacing w:line="250" w:lineRule="exact" w:before="113"/>
        <w:ind w:left="100" w:right="147"/>
        <w:jc w:val="left"/>
      </w:pPr>
      <w:r>
        <w:rPr>
          <w:color w:val="231F20"/>
        </w:rPr>
        <w:t>The</w:t>
      </w:r>
      <w:r>
        <w:rPr>
          <w:color w:val="231F20"/>
          <w:spacing w:val="-7"/>
        </w:rPr>
        <w:t> </w:t>
      </w:r>
      <w:r>
        <w:rPr>
          <w:color w:val="231F20"/>
        </w:rPr>
        <w:t>allocation</w:t>
      </w:r>
      <w:r>
        <w:rPr>
          <w:color w:val="231F20"/>
          <w:spacing w:val="-7"/>
        </w:rPr>
        <w:t> </w:t>
      </w:r>
      <w:r>
        <w:rPr>
          <w:color w:val="231F20"/>
        </w:rPr>
        <w:t>of</w:t>
      </w:r>
      <w:r>
        <w:rPr>
          <w:color w:val="231F20"/>
          <w:spacing w:val="-6"/>
        </w:rPr>
        <w:t> </w:t>
      </w:r>
      <w:r>
        <w:rPr>
          <w:color w:val="231F20"/>
        </w:rPr>
        <w:t>boarding</w:t>
      </w:r>
      <w:r>
        <w:rPr>
          <w:color w:val="231F20"/>
          <w:spacing w:val="-7"/>
        </w:rPr>
        <w:t> </w:t>
      </w:r>
      <w:r>
        <w:rPr>
          <w:color w:val="231F20"/>
        </w:rPr>
        <w:t>revenue</w:t>
      </w:r>
      <w:r>
        <w:rPr>
          <w:color w:val="231F20"/>
          <w:spacing w:val="-8"/>
        </w:rPr>
        <w:t> </w:t>
      </w:r>
      <w:r>
        <w:rPr>
          <w:color w:val="231F20"/>
        </w:rPr>
        <w:t>for</w:t>
      </w:r>
      <w:r>
        <w:rPr>
          <w:color w:val="231F20"/>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5"/>
        </w:rPr>
        <w:t> </w:t>
      </w:r>
      <w:r>
        <w:rPr>
          <w:color w:val="231F20"/>
        </w:rPr>
        <w:t>by</w:t>
      </w:r>
      <w:r>
        <w:rPr>
          <w:color w:val="231F20"/>
          <w:spacing w:val="-3"/>
        </w:rPr>
        <w:t> </w:t>
      </w:r>
      <w:r>
        <w:rPr>
          <w:color w:val="231F20"/>
          <w:spacing w:val="-1"/>
        </w:rPr>
        <w:t>source</w:t>
      </w:r>
      <w:r>
        <w:rPr>
          <w:color w:val="231F20"/>
          <w:spacing w:val="-3"/>
        </w:rPr>
        <w:t> </w:t>
      </w:r>
      <w:r>
        <w:rPr>
          <w:color w:val="231F20"/>
        </w:rPr>
        <w:t>from</w:t>
      </w:r>
      <w:r>
        <w:rPr>
          <w:color w:val="231F20"/>
          <w:spacing w:val="-3"/>
        </w:rPr>
        <w:t> </w:t>
      </w:r>
      <w:r>
        <w:rPr>
          <w:color w:val="231F20"/>
          <w:spacing w:val="-1"/>
        </w:rPr>
        <w:t>2015</w:t>
      </w:r>
      <w:r>
        <w:rPr>
          <w:color w:val="231F20"/>
          <w:spacing w:val="-3"/>
        </w:rPr>
        <w:t> </w:t>
      </w:r>
      <w:r>
        <w:rPr>
          <w:color w:val="231F20"/>
        </w:rPr>
        <w:t>to</w:t>
      </w:r>
      <w:r>
        <w:rPr>
          <w:color w:val="231F20"/>
          <w:spacing w:val="-4"/>
        </w:rPr>
        <w:t> </w:t>
      </w:r>
      <w:r>
        <w:rPr>
          <w:color w:val="231F20"/>
          <w:spacing w:val="-1"/>
        </w:rPr>
        <w:t>2017</w:t>
      </w:r>
      <w:r>
        <w:rPr>
          <w:color w:val="231F20"/>
          <w:spacing w:val="-3"/>
        </w:rPr>
        <w:t> </w:t>
      </w:r>
      <w:r>
        <w:rPr>
          <w:color w:val="231F20"/>
          <w:spacing w:val="-1"/>
        </w:rPr>
        <w:t>is</w:t>
      </w:r>
      <w:r>
        <w:rPr>
          <w:color w:val="231F20"/>
          <w:spacing w:val="-1"/>
        </w:rPr>
        <w:t> </w:t>
      </w:r>
      <w:r>
        <w:rPr>
          <w:color w:val="231F20"/>
          <w:spacing w:val="23"/>
        </w:rPr>
        <w:t> </w:t>
      </w:r>
      <w:r>
        <w:rPr>
          <w:color w:val="231F20"/>
          <w:spacing w:val="-1"/>
        </w:rPr>
        <w:t>shown</w:t>
      </w:r>
      <w:r>
        <w:rPr>
          <w:color w:val="231F20"/>
          <w:spacing w:val="-4"/>
        </w:rPr>
        <w:t> </w:t>
      </w:r>
      <w:r>
        <w:rPr>
          <w:color w:val="231F20"/>
          <w:spacing w:val="-1"/>
        </w:rPr>
        <w:t>in</w:t>
      </w:r>
      <w:r>
        <w:rPr>
          <w:color w:val="231F20"/>
          <w:spacing w:val="-3"/>
        </w:rPr>
        <w:t> </w:t>
      </w:r>
      <w:r>
        <w:rPr>
          <w:color w:val="231F20"/>
        </w:rPr>
        <w:t>Graph</w:t>
      </w:r>
      <w:r>
        <w:rPr>
          <w:color w:val="231F20"/>
          <w:spacing w:val="-4"/>
        </w:rPr>
        <w:t> </w:t>
      </w:r>
      <w:r>
        <w:rPr>
          <w:color w:val="231F20"/>
          <w:spacing w:val="-1"/>
        </w:rPr>
        <w:t>1.</w:t>
      </w:r>
      <w:r>
        <w:rPr>
          <w:color w:val="231F20"/>
          <w:spacing w:val="-3"/>
        </w:rPr>
        <w:t> </w:t>
      </w:r>
      <w:r>
        <w:rPr>
          <w:color w:val="231F20"/>
        </w:rPr>
        <w:t>Across</w:t>
      </w:r>
      <w:r>
        <w:rPr>
          <w:color w:val="231F20"/>
          <w:spacing w:val="-4"/>
        </w:rPr>
        <w:t> </w:t>
      </w:r>
      <w:r>
        <w:rPr>
          <w:color w:val="231F20"/>
        </w:rPr>
        <w:t>the</w:t>
      </w:r>
      <w:r>
        <w:rPr>
          <w:color w:val="231F20"/>
          <w:spacing w:val="-4"/>
        </w:rPr>
        <w:t> </w:t>
      </w:r>
      <w:r>
        <w:rPr>
          <w:color w:val="231F20"/>
        </w:rPr>
        <w:t>three</w:t>
      </w:r>
      <w:r>
        <w:rPr>
          <w:color w:val="231F20"/>
          <w:spacing w:val="-4"/>
        </w:rPr>
        <w:t> </w:t>
      </w:r>
      <w:r>
        <w:rPr>
          <w:color w:val="231F20"/>
        </w:rPr>
        <w:t>years,</w:t>
      </w:r>
      <w:r>
        <w:rPr>
          <w:color w:val="231F20"/>
          <w:spacing w:val="-5"/>
        </w:rPr>
        <w:t> </w:t>
      </w:r>
      <w:r>
        <w:rPr>
          <w:color w:val="231F20"/>
        </w:rPr>
        <w:t>an</w:t>
      </w:r>
      <w:r>
        <w:rPr>
          <w:color w:val="231F20"/>
          <w:spacing w:val="24"/>
          <w:w w:val="99"/>
        </w:rPr>
        <w:t> </w:t>
      </w:r>
      <w:r>
        <w:rPr>
          <w:color w:val="231F20"/>
        </w:rPr>
        <w:t>average</w:t>
      </w:r>
      <w:r>
        <w:rPr>
          <w:color w:val="231F20"/>
          <w:spacing w:val="-6"/>
        </w:rPr>
        <w:t> </w:t>
      </w:r>
      <w:r>
        <w:rPr>
          <w:color w:val="231F20"/>
        </w:rPr>
        <w:t>of</w:t>
      </w:r>
      <w:r>
        <w:rPr>
          <w:color w:val="231F20"/>
          <w:spacing w:val="-4"/>
        </w:rPr>
        <w:t> </w:t>
      </w:r>
      <w:r>
        <w:rPr>
          <w:color w:val="231F20"/>
          <w:spacing w:val="-1"/>
        </w:rPr>
        <w:t>85</w:t>
      </w:r>
      <w:r>
        <w:rPr>
          <w:color w:val="231F20"/>
          <w:spacing w:val="-5"/>
        </w:rPr>
        <w:t> </w:t>
      </w:r>
      <w:r>
        <w:rPr>
          <w:color w:val="231F20"/>
        </w:rPr>
        <w:t>per</w:t>
      </w:r>
      <w:r>
        <w:rPr>
          <w:color w:val="231F20"/>
          <w:spacing w:val="-4"/>
        </w:rPr>
        <w:t> </w:t>
      </w:r>
      <w:r>
        <w:rPr>
          <w:color w:val="231F20"/>
        </w:rPr>
        <w:t>cent</w:t>
      </w:r>
      <w:r>
        <w:rPr>
          <w:color w:val="231F20"/>
          <w:spacing w:val="-6"/>
        </w:rPr>
        <w:t> </w:t>
      </w:r>
      <w:r>
        <w:rPr>
          <w:color w:val="231F20"/>
        </w:rPr>
        <w:t>of</w:t>
      </w:r>
      <w:r>
        <w:rPr>
          <w:color w:val="231F20"/>
          <w:spacing w:val="-4"/>
        </w:rPr>
        <w:t> </w:t>
      </w:r>
      <w:r>
        <w:rPr>
          <w:color w:val="231F20"/>
        </w:rPr>
        <w:t>boarding</w:t>
      </w:r>
      <w:r>
        <w:rPr>
          <w:color w:val="231F20"/>
          <w:spacing w:val="-6"/>
        </w:rPr>
        <w:t> </w:t>
      </w:r>
      <w:r>
        <w:rPr>
          <w:color w:val="231F20"/>
        </w:rPr>
        <w:t>revenue</w:t>
      </w:r>
      <w:r>
        <w:rPr>
          <w:color w:val="231F20"/>
          <w:spacing w:val="-5"/>
        </w:rPr>
        <w:t> </w:t>
      </w:r>
      <w:r>
        <w:rPr>
          <w:color w:val="231F20"/>
        </w:rPr>
        <w:t>was</w:t>
      </w:r>
      <w:r>
        <w:rPr>
          <w:color w:val="231F20"/>
          <w:spacing w:val="21"/>
          <w:w w:val="99"/>
        </w:rPr>
        <w:t> </w:t>
      </w:r>
      <w:r>
        <w:rPr>
          <w:color w:val="231F20"/>
          <w:spacing w:val="-1"/>
        </w:rPr>
        <w:t>sourced</w:t>
      </w:r>
      <w:r>
        <w:rPr>
          <w:color w:val="231F20"/>
          <w:spacing w:val="-6"/>
        </w:rPr>
        <w:t> </w:t>
      </w:r>
      <w:r>
        <w:rPr>
          <w:color w:val="231F20"/>
        </w:rPr>
        <w:t>by</w:t>
      </w:r>
      <w:r>
        <w:rPr>
          <w:color w:val="231F20"/>
          <w:spacing w:val="-5"/>
        </w:rPr>
        <w:t> </w:t>
      </w:r>
      <w:r>
        <w:rPr>
          <w:color w:val="231F20"/>
        </w:rPr>
        <w:t>Aboriginal</w:t>
      </w:r>
      <w:r>
        <w:rPr>
          <w:color w:val="231F20"/>
          <w:spacing w:val="-5"/>
        </w:rPr>
        <w:t> </w:t>
      </w:r>
      <w:r>
        <w:rPr>
          <w:color w:val="231F20"/>
        </w:rPr>
        <w:t>and</w:t>
      </w:r>
      <w:r>
        <w:rPr>
          <w:color w:val="231F20"/>
          <w:spacing w:val="-7"/>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20"/>
          <w:w w:val="99"/>
        </w:rPr>
        <w:t> </w:t>
      </w:r>
      <w:r>
        <w:rPr>
          <w:color w:val="231F20"/>
        </w:rPr>
        <w:t>boarding</w:t>
      </w:r>
      <w:r>
        <w:rPr>
          <w:color w:val="231F20"/>
          <w:spacing w:val="-8"/>
        </w:rPr>
        <w:t> </w:t>
      </w:r>
      <w:r>
        <w:rPr>
          <w:color w:val="231F20"/>
        </w:rPr>
        <w:t>providers</w:t>
      </w:r>
      <w:r>
        <w:rPr>
          <w:color w:val="231F20"/>
          <w:spacing w:val="-7"/>
        </w:rPr>
        <w:t> </w:t>
      </w:r>
      <w:r>
        <w:rPr>
          <w:color w:val="231F20"/>
        </w:rPr>
        <w:t>from</w:t>
      </w:r>
      <w:r>
        <w:rPr>
          <w:color w:val="231F20"/>
          <w:spacing w:val="-6"/>
        </w:rPr>
        <w:t> </w:t>
      </w:r>
      <w:r>
        <w:rPr>
          <w:color w:val="231F20"/>
        </w:rPr>
        <w:t>fees</w:t>
      </w:r>
      <w:r>
        <w:rPr>
          <w:color w:val="231F20"/>
          <w:spacing w:val="-7"/>
        </w:rPr>
        <w:t> </w:t>
      </w:r>
      <w:r>
        <w:rPr>
          <w:color w:val="231F20"/>
        </w:rPr>
        <w:t>and</w:t>
      </w:r>
      <w:r>
        <w:rPr>
          <w:color w:val="231F20"/>
          <w:spacing w:val="-7"/>
        </w:rPr>
        <w:t> </w:t>
      </w:r>
      <w:r>
        <w:rPr>
          <w:color w:val="231F20"/>
        </w:rPr>
        <w:t>charges</w:t>
      </w:r>
      <w:r>
        <w:rPr>
          <w:color w:val="231F20"/>
          <w:w w:val="99"/>
        </w:rPr>
        <w:t> </w:t>
      </w:r>
      <w:r>
        <w:rPr>
          <w:color w:val="231F20"/>
        </w:rPr>
        <w:t>(including</w:t>
      </w:r>
      <w:r>
        <w:rPr>
          <w:color w:val="231F20"/>
          <w:spacing w:val="-1"/>
        </w:rPr>
        <w:t> ABSTUDY)</w:t>
      </w:r>
      <w:r>
        <w:rPr>
          <w:rFonts w:ascii="Segoe UI Semibold"/>
          <w:b/>
          <w:color w:val="231F20"/>
          <w:spacing w:val="-1"/>
          <w:position w:val="7"/>
          <w:sz w:val="11"/>
        </w:rPr>
        <w:t>136</w:t>
      </w:r>
      <w:r>
        <w:rPr>
          <w:color w:val="231F20"/>
          <w:spacing w:val="-1"/>
        </w:rPr>
        <w:t>.</w:t>
      </w:r>
      <w:r>
        <w:rPr/>
      </w:r>
    </w:p>
    <w:p>
      <w:pPr>
        <w:spacing w:after="0" w:line="250" w:lineRule="exact"/>
        <w:jc w:val="left"/>
        <w:sectPr>
          <w:type w:val="continuous"/>
          <w:pgSz w:w="11910" w:h="16840"/>
          <w:pgMar w:top="1580" w:bottom="280" w:left="1600" w:right="1300"/>
          <w:cols w:num="2" w:equalWidth="0">
            <w:col w:w="4257" w:space="279"/>
            <w:col w:w="4474"/>
          </w:cols>
        </w:sectPr>
      </w:pPr>
    </w:p>
    <w:p>
      <w:pPr>
        <w:spacing w:line="240" w:lineRule="auto" w:before="0"/>
        <w:rPr>
          <w:rFonts w:ascii="Segoe UI" w:hAnsi="Segoe UI" w:cs="Segoe UI" w:eastAsia="Segoe UI"/>
          <w:sz w:val="20"/>
          <w:szCs w:val="20"/>
        </w:rPr>
      </w:pPr>
    </w:p>
    <w:p>
      <w:pPr>
        <w:spacing w:line="240" w:lineRule="auto" w:before="12"/>
        <w:rPr>
          <w:rFonts w:ascii="Segoe UI" w:hAnsi="Segoe UI" w:cs="Segoe UI" w:eastAsia="Segoe UI"/>
          <w:sz w:val="22"/>
          <w:szCs w:val="22"/>
        </w:rPr>
      </w:pPr>
    </w:p>
    <w:p>
      <w:pPr>
        <w:spacing w:line="200" w:lineRule="exact" w:before="78"/>
        <w:ind w:left="103" w:right="585" w:firstLine="0"/>
        <w:jc w:val="left"/>
        <w:rPr>
          <w:rFonts w:ascii="Segoe UI Semibold" w:hAnsi="Segoe UI Semibold" w:cs="Segoe UI Semibold" w:eastAsia="Segoe UI Semibold"/>
          <w:sz w:val="16"/>
          <w:szCs w:val="16"/>
        </w:rPr>
      </w:pPr>
      <w:r>
        <w:rPr>
          <w:rFonts w:ascii="Segoe UI Semibold" w:hAnsi="Segoe UI Semibold" w:cs="Segoe UI Semibold" w:eastAsia="Segoe UI Semibold"/>
          <w:b/>
          <w:bCs/>
          <w:color w:val="666155"/>
          <w:spacing w:val="1"/>
          <w:sz w:val="16"/>
          <w:szCs w:val="16"/>
        </w:rPr>
        <w:t>TABLE</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z w:val="16"/>
          <w:szCs w:val="16"/>
        </w:rPr>
        <w:t>9:</w:t>
      </w:r>
      <w:r>
        <w:rPr>
          <w:rFonts w:ascii="Segoe UI Semibold" w:hAnsi="Segoe UI Semibold" w:cs="Segoe UI Semibold" w:eastAsia="Segoe UI Semibold"/>
          <w:b/>
          <w:bCs/>
          <w:color w:val="666155"/>
          <w:spacing w:val="-1"/>
          <w:sz w:val="16"/>
          <w:szCs w:val="16"/>
        </w:rPr>
        <w:t> TOTAL</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BOARDING</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REVENUE</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AND</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BOARDERS</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z w:val="16"/>
          <w:szCs w:val="16"/>
        </w:rPr>
        <w:t>2015</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position w:val="1"/>
          <w:sz w:val="16"/>
          <w:szCs w:val="16"/>
        </w:rPr>
        <w:t>—</w:t>
      </w:r>
      <w:r>
        <w:rPr>
          <w:rFonts w:ascii="Segoe UI Semibold" w:hAnsi="Segoe UI Semibold" w:cs="Segoe UI Semibold" w:eastAsia="Segoe UI Semibold"/>
          <w:b/>
          <w:bCs/>
          <w:color w:val="666155"/>
          <w:spacing w:val="-3"/>
          <w:position w:val="1"/>
          <w:sz w:val="16"/>
          <w:szCs w:val="16"/>
        </w:rPr>
        <w:t> </w:t>
      </w:r>
      <w:r>
        <w:rPr>
          <w:rFonts w:ascii="Segoe UI Semibold" w:hAnsi="Segoe UI Semibold" w:cs="Segoe UI Semibold" w:eastAsia="Segoe UI Semibold"/>
          <w:b/>
          <w:bCs/>
          <w:color w:val="666155"/>
          <w:sz w:val="16"/>
          <w:szCs w:val="16"/>
        </w:rPr>
        <w:t>2017,</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ABORIGINAL</w:t>
      </w:r>
      <w:r>
        <w:rPr>
          <w:rFonts w:ascii="Segoe UI Semibold" w:hAnsi="Segoe UI Semibold" w:cs="Segoe UI Semibold" w:eastAsia="Segoe UI Semibold"/>
          <w:b/>
          <w:bCs/>
          <w:color w:val="666155"/>
          <w:spacing w:val="3"/>
          <w:sz w:val="16"/>
          <w:szCs w:val="16"/>
        </w:rPr>
        <w:t> AND</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TORRES</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5"/>
          <w:sz w:val="16"/>
          <w:szCs w:val="16"/>
        </w:rPr>
        <w:t>STRAIT</w:t>
      </w:r>
      <w:r>
        <w:rPr>
          <w:rFonts w:ascii="Segoe UI Semibold" w:hAnsi="Segoe UI Semibold" w:cs="Segoe UI Semibold" w:eastAsia="Segoe UI Semibold"/>
          <w:b/>
          <w:bCs/>
          <w:color w:val="666155"/>
          <w:spacing w:val="37"/>
          <w:w w:val="99"/>
          <w:sz w:val="16"/>
          <w:szCs w:val="16"/>
        </w:rPr>
        <w:t> </w:t>
      </w:r>
      <w:r>
        <w:rPr>
          <w:rFonts w:ascii="Segoe UI Semibold" w:hAnsi="Segoe UI Semibold" w:cs="Segoe UI Semibold" w:eastAsia="Segoe UI Semibold"/>
          <w:b/>
          <w:bCs/>
          <w:color w:val="666155"/>
          <w:spacing w:val="4"/>
          <w:sz w:val="16"/>
          <w:szCs w:val="16"/>
        </w:rPr>
        <w:t>ISLANDER</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spacing w:val="4"/>
          <w:sz w:val="16"/>
          <w:szCs w:val="16"/>
        </w:rPr>
        <w:t>BOARDING</w:t>
      </w:r>
      <w:r>
        <w:rPr>
          <w:rFonts w:ascii="Segoe UI Semibold" w:hAnsi="Segoe UI Semibold" w:cs="Segoe UI Semibold" w:eastAsia="Segoe UI Semibold"/>
          <w:b/>
          <w:bCs/>
          <w:color w:val="666155"/>
          <w:spacing w:val="-4"/>
          <w:sz w:val="16"/>
          <w:szCs w:val="16"/>
        </w:rPr>
        <w:t> </w:t>
      </w:r>
      <w:r>
        <w:rPr>
          <w:rFonts w:ascii="Segoe UI Semibold" w:hAnsi="Segoe UI Semibold" w:cs="Segoe UI Semibold" w:eastAsia="Segoe UI Semibold"/>
          <w:b/>
          <w:bCs/>
          <w:color w:val="666155"/>
          <w:spacing w:val="4"/>
          <w:sz w:val="16"/>
          <w:szCs w:val="16"/>
        </w:rPr>
        <w:t>PROVIDERS</w:t>
      </w:r>
      <w:r>
        <w:rPr>
          <w:rFonts w:ascii="Segoe UI Semibold" w:hAnsi="Segoe UI Semibold" w:cs="Segoe UI Semibold" w:eastAsia="Segoe UI Semibold"/>
          <w:sz w:val="16"/>
          <w:szCs w:val="16"/>
        </w:rPr>
      </w:r>
    </w:p>
    <w:p>
      <w:pPr>
        <w:spacing w:line="240" w:lineRule="auto" w:before="12"/>
        <w:rPr>
          <w:rFonts w:ascii="Segoe UI Semibold" w:hAnsi="Segoe UI Semibold" w:cs="Segoe UI Semibold" w:eastAsia="Segoe UI Semibold"/>
          <w:b/>
          <w:bCs/>
          <w:sz w:val="11"/>
          <w:szCs w:val="11"/>
        </w:rPr>
      </w:pPr>
    </w:p>
    <w:tbl>
      <w:tblPr>
        <w:tblW w:w="0" w:type="auto"/>
        <w:jc w:val="left"/>
        <w:tblInd w:w="100" w:type="dxa"/>
        <w:tblLayout w:type="fixed"/>
        <w:tblCellMar>
          <w:top w:w="0" w:type="dxa"/>
          <w:left w:w="0" w:type="dxa"/>
          <w:bottom w:w="0" w:type="dxa"/>
          <w:right w:w="0" w:type="dxa"/>
        </w:tblCellMar>
        <w:tblLook w:val="01E0"/>
      </w:tblPr>
      <w:tblGrid>
        <w:gridCol w:w="2972"/>
        <w:gridCol w:w="1559"/>
        <w:gridCol w:w="1276"/>
        <w:gridCol w:w="1418"/>
        <w:gridCol w:w="1134"/>
      </w:tblGrid>
      <w:tr>
        <w:trPr>
          <w:trHeight w:val="543" w:hRule="exact"/>
        </w:trPr>
        <w:tc>
          <w:tcPr>
            <w:tcW w:w="2972" w:type="dxa"/>
            <w:tcBorders>
              <w:top w:val="single" w:sz="4" w:space="0" w:color="C1B5A9"/>
              <w:left w:val="single" w:sz="4" w:space="0" w:color="C1B5A9"/>
              <w:bottom w:val="single" w:sz="4" w:space="0" w:color="C1B5A9"/>
              <w:right w:val="single" w:sz="4" w:space="0" w:color="C1B5A9"/>
            </w:tcBorders>
            <w:shd w:val="clear" w:color="auto" w:fill="C1B5A9"/>
          </w:tcPr>
          <w:p>
            <w:pPr/>
          </w:p>
        </w:tc>
        <w:tc>
          <w:tcPr>
            <w:tcW w:w="1559"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13"/>
              <w:ind w:right="0"/>
              <w:jc w:val="left"/>
              <w:rPr>
                <w:rFonts w:ascii="Segoe UI Semibold" w:hAnsi="Segoe UI Semibold" w:cs="Segoe UI Semibold" w:eastAsia="Segoe UI Semibold"/>
                <w:b/>
                <w:bCs/>
                <w:sz w:val="18"/>
                <w:szCs w:val="18"/>
              </w:rPr>
            </w:pPr>
          </w:p>
          <w:p>
            <w:pPr>
              <w:pStyle w:val="TableParagraph"/>
              <w:spacing w:line="240" w:lineRule="auto"/>
              <w:ind w:right="106"/>
              <w:jc w:val="right"/>
              <w:rPr>
                <w:rFonts w:ascii="Segoe UI" w:hAnsi="Segoe UI" w:cs="Segoe UI" w:eastAsia="Segoe UI"/>
                <w:sz w:val="16"/>
                <w:szCs w:val="16"/>
              </w:rPr>
            </w:pPr>
            <w:r>
              <w:rPr>
                <w:rFonts w:ascii="Segoe UI"/>
                <w:color w:val="231F20"/>
                <w:sz w:val="16"/>
              </w:rPr>
              <w:t>2015</w:t>
            </w:r>
            <w:r>
              <w:rPr>
                <w:rFonts w:ascii="Segoe UI"/>
                <w:sz w:val="16"/>
              </w:rPr>
            </w:r>
          </w:p>
        </w:tc>
        <w:tc>
          <w:tcPr>
            <w:tcW w:w="1276"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13"/>
              <w:ind w:right="0"/>
              <w:jc w:val="left"/>
              <w:rPr>
                <w:rFonts w:ascii="Segoe UI Semibold" w:hAnsi="Segoe UI Semibold" w:cs="Segoe UI Semibold" w:eastAsia="Segoe UI Semibold"/>
                <w:b/>
                <w:bCs/>
                <w:sz w:val="18"/>
                <w:szCs w:val="18"/>
              </w:rPr>
            </w:pPr>
          </w:p>
          <w:p>
            <w:pPr>
              <w:pStyle w:val="TableParagraph"/>
              <w:spacing w:line="240" w:lineRule="auto"/>
              <w:ind w:left="812" w:right="0"/>
              <w:jc w:val="left"/>
              <w:rPr>
                <w:rFonts w:ascii="Segoe UI" w:hAnsi="Segoe UI" w:cs="Segoe UI" w:eastAsia="Segoe UI"/>
                <w:sz w:val="16"/>
                <w:szCs w:val="16"/>
              </w:rPr>
            </w:pPr>
            <w:r>
              <w:rPr>
                <w:rFonts w:ascii="Segoe UI"/>
                <w:color w:val="231F20"/>
                <w:sz w:val="16"/>
              </w:rPr>
              <w:t>2016</w:t>
            </w:r>
            <w:r>
              <w:rPr>
                <w:rFonts w:ascii="Segoe UI"/>
                <w:sz w:val="16"/>
              </w:rPr>
            </w:r>
          </w:p>
        </w:tc>
        <w:tc>
          <w:tcPr>
            <w:tcW w:w="1418"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13"/>
              <w:ind w:right="0"/>
              <w:jc w:val="left"/>
              <w:rPr>
                <w:rFonts w:ascii="Segoe UI Semibold" w:hAnsi="Segoe UI Semibold" w:cs="Segoe UI Semibold" w:eastAsia="Segoe UI Semibold"/>
                <w:b/>
                <w:bCs/>
                <w:sz w:val="18"/>
                <w:szCs w:val="18"/>
              </w:rPr>
            </w:pPr>
          </w:p>
          <w:p>
            <w:pPr>
              <w:pStyle w:val="TableParagraph"/>
              <w:spacing w:line="240" w:lineRule="auto"/>
              <w:ind w:right="106"/>
              <w:jc w:val="right"/>
              <w:rPr>
                <w:rFonts w:ascii="Segoe UI" w:hAnsi="Segoe UI" w:cs="Segoe UI" w:eastAsia="Segoe UI"/>
                <w:sz w:val="16"/>
                <w:szCs w:val="16"/>
              </w:rPr>
            </w:pPr>
            <w:r>
              <w:rPr>
                <w:rFonts w:ascii="Segoe UI"/>
                <w:color w:val="231F20"/>
                <w:sz w:val="16"/>
              </w:rPr>
              <w:t>2017</w:t>
            </w:r>
            <w:r>
              <w:rPr>
                <w:rFonts w:ascii="Segoe UI"/>
                <w:sz w:val="16"/>
              </w:rPr>
            </w:r>
          </w:p>
        </w:tc>
        <w:tc>
          <w:tcPr>
            <w:tcW w:w="1134"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00" w:lineRule="exact" w:before="65"/>
              <w:ind w:left="458" w:right="106" w:firstLine="128"/>
              <w:jc w:val="left"/>
              <w:rPr>
                <w:rFonts w:ascii="Segoe UI" w:hAnsi="Segoe UI" w:cs="Segoe UI" w:eastAsia="Segoe UI"/>
                <w:sz w:val="16"/>
                <w:szCs w:val="16"/>
              </w:rPr>
            </w:pPr>
            <w:r>
              <w:rPr>
                <w:rFonts w:ascii="Segoe UI"/>
                <w:color w:val="231F20"/>
                <w:sz w:val="16"/>
              </w:rPr>
              <w:t>3</w:t>
            </w:r>
            <w:r>
              <w:rPr>
                <w:rFonts w:ascii="Segoe UI"/>
                <w:color w:val="231F20"/>
                <w:spacing w:val="-3"/>
                <w:sz w:val="16"/>
              </w:rPr>
              <w:t> </w:t>
            </w:r>
            <w:r>
              <w:rPr>
                <w:rFonts w:ascii="Segoe UI"/>
                <w:color w:val="231F20"/>
                <w:sz w:val="16"/>
              </w:rPr>
              <w:t>year</w:t>
            </w:r>
            <w:r>
              <w:rPr>
                <w:rFonts w:ascii="Segoe UI"/>
                <w:color w:val="231F20"/>
                <w:w w:val="99"/>
                <w:sz w:val="16"/>
              </w:rPr>
              <w:t> </w:t>
            </w:r>
            <w:r>
              <w:rPr>
                <w:rFonts w:ascii="Segoe UI"/>
                <w:color w:val="231F20"/>
                <w:w w:val="95"/>
                <w:sz w:val="16"/>
              </w:rPr>
              <w:t>average</w:t>
            </w:r>
            <w:r>
              <w:rPr>
                <w:rFonts w:ascii="Segoe UI"/>
                <w:sz w:val="16"/>
              </w:rPr>
            </w:r>
          </w:p>
        </w:tc>
      </w:tr>
      <w:tr>
        <w:trPr>
          <w:trHeight w:val="348" w:hRule="exact"/>
        </w:trPr>
        <w:tc>
          <w:tcPr>
            <w:tcW w:w="2972"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08" w:right="0"/>
              <w:jc w:val="left"/>
              <w:rPr>
                <w:rFonts w:ascii="Segoe UI" w:hAnsi="Segoe UI" w:cs="Segoe UI" w:eastAsia="Segoe UI"/>
                <w:sz w:val="16"/>
                <w:szCs w:val="16"/>
              </w:rPr>
            </w:pPr>
            <w:r>
              <w:rPr>
                <w:rFonts w:ascii="Segoe UI"/>
                <w:color w:val="231F20"/>
                <w:sz w:val="16"/>
              </w:rPr>
              <w:t>No.</w:t>
            </w:r>
            <w:r>
              <w:rPr>
                <w:rFonts w:ascii="Segoe UI"/>
                <w:color w:val="231F20"/>
                <w:spacing w:val="-5"/>
                <w:sz w:val="16"/>
              </w:rPr>
              <w:t> </w:t>
            </w:r>
            <w:r>
              <w:rPr>
                <w:rFonts w:ascii="Segoe UI"/>
                <w:color w:val="231F20"/>
                <w:sz w:val="16"/>
              </w:rPr>
              <w:t>of</w:t>
            </w:r>
            <w:r>
              <w:rPr>
                <w:rFonts w:ascii="Segoe UI"/>
                <w:color w:val="231F20"/>
                <w:spacing w:val="-4"/>
                <w:sz w:val="16"/>
              </w:rPr>
              <w:t> </w:t>
            </w:r>
            <w:r>
              <w:rPr>
                <w:rFonts w:ascii="Segoe UI"/>
                <w:color w:val="231F20"/>
                <w:sz w:val="16"/>
              </w:rPr>
              <w:t>total</w:t>
            </w:r>
            <w:r>
              <w:rPr>
                <w:rFonts w:ascii="Segoe UI"/>
                <w:color w:val="231F20"/>
                <w:spacing w:val="-6"/>
                <w:sz w:val="16"/>
              </w:rPr>
              <w:t> </w:t>
            </w:r>
            <w:r>
              <w:rPr>
                <w:rFonts w:ascii="Segoe UI"/>
                <w:color w:val="231F20"/>
                <w:sz w:val="16"/>
              </w:rPr>
              <w:t>boarders</w:t>
            </w:r>
            <w:r>
              <w:rPr>
                <w:rFonts w:ascii="Segoe UI"/>
                <w:sz w:val="16"/>
              </w:rPr>
            </w:r>
          </w:p>
        </w:tc>
        <w:tc>
          <w:tcPr>
            <w:tcW w:w="155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right="106"/>
              <w:jc w:val="right"/>
              <w:rPr>
                <w:rFonts w:ascii="Segoe UI" w:hAnsi="Segoe UI" w:cs="Segoe UI" w:eastAsia="Segoe UI"/>
                <w:sz w:val="16"/>
                <w:szCs w:val="16"/>
              </w:rPr>
            </w:pPr>
            <w:r>
              <w:rPr>
                <w:rFonts w:ascii="Segoe UI"/>
                <w:color w:val="231F20"/>
                <w:sz w:val="16"/>
              </w:rPr>
              <w:t>2,174</w:t>
            </w:r>
            <w:r>
              <w:rPr>
                <w:rFonts w:ascii="Segoe UI"/>
                <w:sz w:val="16"/>
              </w:rPr>
            </w:r>
          </w:p>
        </w:tc>
        <w:tc>
          <w:tcPr>
            <w:tcW w:w="127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777" w:right="0"/>
              <w:jc w:val="left"/>
              <w:rPr>
                <w:rFonts w:ascii="Segoe UI" w:hAnsi="Segoe UI" w:cs="Segoe UI" w:eastAsia="Segoe UI"/>
                <w:sz w:val="16"/>
                <w:szCs w:val="16"/>
              </w:rPr>
            </w:pPr>
            <w:r>
              <w:rPr>
                <w:rFonts w:ascii="Segoe UI"/>
                <w:color w:val="231F20"/>
                <w:sz w:val="16"/>
              </w:rPr>
              <w:t>2,193</w:t>
            </w:r>
            <w:r>
              <w:rPr>
                <w:rFonts w:ascii="Segoe UI"/>
                <w:sz w:val="16"/>
              </w:rPr>
            </w:r>
          </w:p>
        </w:tc>
        <w:tc>
          <w:tcPr>
            <w:tcW w:w="1418"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919" w:right="0"/>
              <w:jc w:val="left"/>
              <w:rPr>
                <w:rFonts w:ascii="Segoe UI" w:hAnsi="Segoe UI" w:cs="Segoe UI" w:eastAsia="Segoe UI"/>
                <w:sz w:val="16"/>
                <w:szCs w:val="16"/>
              </w:rPr>
            </w:pPr>
            <w:r>
              <w:rPr>
                <w:rFonts w:ascii="Segoe UI"/>
                <w:color w:val="231F20"/>
                <w:sz w:val="16"/>
              </w:rPr>
              <w:t>2,155</w:t>
            </w:r>
            <w:r>
              <w:rPr>
                <w:rFonts w:ascii="Segoe UI"/>
                <w:sz w:val="16"/>
              </w:rPr>
            </w:r>
          </w:p>
        </w:tc>
        <w:tc>
          <w:tcPr>
            <w:tcW w:w="1134"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636" w:right="0"/>
              <w:jc w:val="left"/>
              <w:rPr>
                <w:rFonts w:ascii="Segoe UI" w:hAnsi="Segoe UI" w:cs="Segoe UI" w:eastAsia="Segoe UI"/>
                <w:sz w:val="16"/>
                <w:szCs w:val="16"/>
              </w:rPr>
            </w:pPr>
            <w:r>
              <w:rPr>
                <w:rFonts w:ascii="Segoe UI"/>
                <w:color w:val="231F20"/>
                <w:sz w:val="16"/>
              </w:rPr>
              <w:t>2,174</w:t>
            </w:r>
            <w:r>
              <w:rPr>
                <w:rFonts w:ascii="Segoe UI"/>
                <w:sz w:val="16"/>
              </w:rPr>
            </w:r>
          </w:p>
        </w:tc>
      </w:tr>
      <w:tr>
        <w:trPr>
          <w:trHeight w:val="543" w:hRule="exact"/>
        </w:trPr>
        <w:tc>
          <w:tcPr>
            <w:tcW w:w="2972" w:type="dxa"/>
            <w:tcBorders>
              <w:top w:val="single" w:sz="4" w:space="0" w:color="C1B5A9"/>
              <w:left w:val="single" w:sz="4" w:space="0" w:color="C1B5A9"/>
              <w:bottom w:val="single" w:sz="4" w:space="0" w:color="C1B5A9"/>
              <w:right w:val="single" w:sz="4" w:space="0" w:color="C1B5A9"/>
            </w:tcBorders>
          </w:tcPr>
          <w:p>
            <w:pPr>
              <w:pStyle w:val="TableParagraph"/>
              <w:spacing w:line="200" w:lineRule="exact" w:before="64"/>
              <w:ind w:left="108" w:right="456"/>
              <w:jc w:val="left"/>
              <w:rPr>
                <w:rFonts w:ascii="Segoe UI" w:hAnsi="Segoe UI" w:cs="Segoe UI" w:eastAsia="Segoe UI"/>
                <w:sz w:val="16"/>
                <w:szCs w:val="16"/>
              </w:rPr>
            </w:pPr>
            <w:r>
              <w:rPr>
                <w:rFonts w:ascii="Segoe UI"/>
                <w:color w:val="231F20"/>
                <w:sz w:val="16"/>
              </w:rPr>
              <w:t>No.</w:t>
            </w:r>
            <w:r>
              <w:rPr>
                <w:rFonts w:ascii="Segoe UI"/>
                <w:color w:val="231F20"/>
                <w:spacing w:val="-5"/>
                <w:sz w:val="16"/>
              </w:rPr>
              <w:t> </w:t>
            </w:r>
            <w:r>
              <w:rPr>
                <w:rFonts w:ascii="Segoe UI"/>
                <w:color w:val="231F20"/>
                <w:sz w:val="16"/>
              </w:rPr>
              <w:t>of</w:t>
            </w:r>
            <w:r>
              <w:rPr>
                <w:rFonts w:ascii="Segoe UI"/>
                <w:color w:val="231F20"/>
                <w:spacing w:val="-4"/>
                <w:sz w:val="16"/>
              </w:rPr>
              <w:t> </w:t>
            </w:r>
            <w:r>
              <w:rPr>
                <w:rFonts w:ascii="Segoe UI"/>
                <w:color w:val="231F20"/>
                <w:sz w:val="16"/>
              </w:rPr>
              <w:t>Aboriginal</w:t>
            </w:r>
            <w:r>
              <w:rPr>
                <w:rFonts w:ascii="Segoe UI"/>
                <w:color w:val="231F20"/>
                <w:spacing w:val="-4"/>
                <w:sz w:val="16"/>
              </w:rPr>
              <w:t> </w:t>
            </w:r>
            <w:r>
              <w:rPr>
                <w:rFonts w:ascii="Segoe UI"/>
                <w:color w:val="231F20"/>
                <w:sz w:val="16"/>
              </w:rPr>
              <w:t>and</w:t>
            </w:r>
            <w:r>
              <w:rPr>
                <w:rFonts w:ascii="Segoe UI"/>
                <w:color w:val="231F20"/>
                <w:spacing w:val="-5"/>
                <w:sz w:val="16"/>
              </w:rPr>
              <w:t> </w:t>
            </w:r>
            <w:r>
              <w:rPr>
                <w:rFonts w:ascii="Segoe UI"/>
                <w:color w:val="231F20"/>
                <w:spacing w:val="-3"/>
                <w:sz w:val="16"/>
              </w:rPr>
              <w:t>Torres</w:t>
            </w:r>
            <w:r>
              <w:rPr>
                <w:rFonts w:ascii="Segoe UI"/>
                <w:color w:val="231F20"/>
                <w:spacing w:val="-5"/>
                <w:sz w:val="16"/>
              </w:rPr>
              <w:t> </w:t>
            </w:r>
            <w:r>
              <w:rPr>
                <w:rFonts w:ascii="Segoe UI"/>
                <w:color w:val="231F20"/>
                <w:spacing w:val="-1"/>
                <w:sz w:val="16"/>
              </w:rPr>
              <w:t>Strait</w:t>
            </w:r>
            <w:r>
              <w:rPr>
                <w:rFonts w:ascii="Segoe UI"/>
                <w:color w:val="231F20"/>
                <w:spacing w:val="22"/>
                <w:w w:val="99"/>
                <w:sz w:val="16"/>
              </w:rPr>
              <w:t> </w:t>
            </w:r>
            <w:r>
              <w:rPr>
                <w:rFonts w:ascii="Segoe UI"/>
                <w:color w:val="231F20"/>
                <w:spacing w:val="-1"/>
                <w:sz w:val="16"/>
              </w:rPr>
              <w:t>Islander</w:t>
            </w:r>
            <w:r>
              <w:rPr>
                <w:rFonts w:ascii="Segoe UI"/>
                <w:color w:val="231F20"/>
                <w:spacing w:val="-12"/>
                <w:sz w:val="16"/>
              </w:rPr>
              <w:t> </w:t>
            </w:r>
            <w:r>
              <w:rPr>
                <w:rFonts w:ascii="Segoe UI"/>
                <w:color w:val="231F20"/>
                <w:sz w:val="16"/>
              </w:rPr>
              <w:t>boarders</w:t>
            </w:r>
            <w:r>
              <w:rPr>
                <w:rFonts w:ascii="Segoe UI"/>
                <w:sz w:val="16"/>
              </w:rPr>
            </w:r>
          </w:p>
        </w:tc>
        <w:tc>
          <w:tcPr>
            <w:tcW w:w="155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13"/>
              <w:ind w:right="0"/>
              <w:jc w:val="left"/>
              <w:rPr>
                <w:rFonts w:ascii="Segoe UI Semibold" w:hAnsi="Segoe UI Semibold" w:cs="Segoe UI Semibold" w:eastAsia="Segoe UI Semibold"/>
                <w:b/>
                <w:bCs/>
                <w:sz w:val="18"/>
                <w:szCs w:val="18"/>
              </w:rPr>
            </w:pPr>
          </w:p>
          <w:p>
            <w:pPr>
              <w:pStyle w:val="TableParagraph"/>
              <w:spacing w:line="240" w:lineRule="auto"/>
              <w:ind w:right="106"/>
              <w:jc w:val="right"/>
              <w:rPr>
                <w:rFonts w:ascii="Segoe UI" w:hAnsi="Segoe UI" w:cs="Segoe UI" w:eastAsia="Segoe UI"/>
                <w:sz w:val="16"/>
                <w:szCs w:val="16"/>
              </w:rPr>
            </w:pPr>
            <w:r>
              <w:rPr>
                <w:rFonts w:ascii="Segoe UI"/>
                <w:color w:val="231F20"/>
                <w:sz w:val="16"/>
              </w:rPr>
              <w:t>1,882</w:t>
            </w:r>
            <w:r>
              <w:rPr>
                <w:rFonts w:ascii="Segoe UI"/>
                <w:sz w:val="16"/>
              </w:rPr>
            </w:r>
          </w:p>
        </w:tc>
        <w:tc>
          <w:tcPr>
            <w:tcW w:w="127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13"/>
              <w:ind w:right="0"/>
              <w:jc w:val="left"/>
              <w:rPr>
                <w:rFonts w:ascii="Segoe UI Semibold" w:hAnsi="Segoe UI Semibold" w:cs="Segoe UI Semibold" w:eastAsia="Segoe UI Semibold"/>
                <w:b/>
                <w:bCs/>
                <w:sz w:val="18"/>
                <w:szCs w:val="18"/>
              </w:rPr>
            </w:pPr>
          </w:p>
          <w:p>
            <w:pPr>
              <w:pStyle w:val="TableParagraph"/>
              <w:spacing w:line="240" w:lineRule="auto"/>
              <w:ind w:left="778" w:right="0"/>
              <w:jc w:val="left"/>
              <w:rPr>
                <w:rFonts w:ascii="Segoe UI" w:hAnsi="Segoe UI" w:cs="Segoe UI" w:eastAsia="Segoe UI"/>
                <w:sz w:val="16"/>
                <w:szCs w:val="16"/>
              </w:rPr>
            </w:pPr>
            <w:r>
              <w:rPr>
                <w:rFonts w:ascii="Segoe UI"/>
                <w:color w:val="231F20"/>
                <w:sz w:val="16"/>
              </w:rPr>
              <w:t>1,946</w:t>
            </w:r>
            <w:r>
              <w:rPr>
                <w:rFonts w:ascii="Segoe UI"/>
                <w:sz w:val="16"/>
              </w:rPr>
            </w:r>
          </w:p>
        </w:tc>
        <w:tc>
          <w:tcPr>
            <w:tcW w:w="1418"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13"/>
              <w:ind w:right="0"/>
              <w:jc w:val="left"/>
              <w:rPr>
                <w:rFonts w:ascii="Segoe UI Semibold" w:hAnsi="Segoe UI Semibold" w:cs="Segoe UI Semibold" w:eastAsia="Segoe UI Semibold"/>
                <w:b/>
                <w:bCs/>
                <w:sz w:val="18"/>
                <w:szCs w:val="18"/>
              </w:rPr>
            </w:pPr>
          </w:p>
          <w:p>
            <w:pPr>
              <w:pStyle w:val="TableParagraph"/>
              <w:spacing w:line="240" w:lineRule="auto"/>
              <w:ind w:left="920" w:right="0"/>
              <w:jc w:val="left"/>
              <w:rPr>
                <w:rFonts w:ascii="Segoe UI" w:hAnsi="Segoe UI" w:cs="Segoe UI" w:eastAsia="Segoe UI"/>
                <w:sz w:val="16"/>
                <w:szCs w:val="16"/>
              </w:rPr>
            </w:pPr>
            <w:r>
              <w:rPr>
                <w:rFonts w:ascii="Segoe UI"/>
                <w:color w:val="231F20"/>
                <w:sz w:val="16"/>
              </w:rPr>
              <w:t>1,926</w:t>
            </w:r>
            <w:r>
              <w:rPr>
                <w:rFonts w:ascii="Segoe UI"/>
                <w:sz w:val="16"/>
              </w:rPr>
            </w:r>
          </w:p>
        </w:tc>
        <w:tc>
          <w:tcPr>
            <w:tcW w:w="1134"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13"/>
              <w:ind w:right="0"/>
              <w:jc w:val="left"/>
              <w:rPr>
                <w:rFonts w:ascii="Segoe UI Semibold" w:hAnsi="Segoe UI Semibold" w:cs="Segoe UI Semibold" w:eastAsia="Segoe UI Semibold"/>
                <w:b/>
                <w:bCs/>
                <w:sz w:val="18"/>
                <w:szCs w:val="18"/>
              </w:rPr>
            </w:pPr>
          </w:p>
          <w:p>
            <w:pPr>
              <w:pStyle w:val="TableParagraph"/>
              <w:spacing w:line="240" w:lineRule="auto"/>
              <w:ind w:left="636" w:right="0"/>
              <w:jc w:val="left"/>
              <w:rPr>
                <w:rFonts w:ascii="Segoe UI" w:hAnsi="Segoe UI" w:cs="Segoe UI" w:eastAsia="Segoe UI"/>
                <w:sz w:val="16"/>
                <w:szCs w:val="16"/>
              </w:rPr>
            </w:pPr>
            <w:r>
              <w:rPr>
                <w:rFonts w:ascii="Segoe UI"/>
                <w:color w:val="231F20"/>
                <w:sz w:val="16"/>
              </w:rPr>
              <w:t>1,918</w:t>
            </w:r>
            <w:r>
              <w:rPr>
                <w:rFonts w:ascii="Segoe UI"/>
                <w:sz w:val="16"/>
              </w:rPr>
            </w:r>
          </w:p>
        </w:tc>
      </w:tr>
      <w:tr>
        <w:trPr>
          <w:trHeight w:val="343" w:hRule="exact"/>
        </w:trPr>
        <w:tc>
          <w:tcPr>
            <w:tcW w:w="2972"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08" w:right="0"/>
              <w:jc w:val="left"/>
              <w:rPr>
                <w:rFonts w:ascii="Segoe UI" w:hAnsi="Segoe UI" w:cs="Segoe UI" w:eastAsia="Segoe UI"/>
                <w:sz w:val="16"/>
                <w:szCs w:val="16"/>
              </w:rPr>
            </w:pPr>
            <w:r>
              <w:rPr>
                <w:rFonts w:ascii="Segoe UI"/>
                <w:color w:val="231F20"/>
                <w:spacing w:val="-5"/>
                <w:sz w:val="16"/>
              </w:rPr>
              <w:t>Total</w:t>
            </w:r>
            <w:r>
              <w:rPr>
                <w:rFonts w:ascii="Segoe UI"/>
                <w:color w:val="231F20"/>
                <w:spacing w:val="-6"/>
                <w:sz w:val="16"/>
              </w:rPr>
              <w:t> </w:t>
            </w:r>
            <w:r>
              <w:rPr>
                <w:rFonts w:ascii="Segoe UI"/>
                <w:color w:val="231F20"/>
                <w:sz w:val="16"/>
              </w:rPr>
              <w:t>boarding</w:t>
            </w:r>
            <w:r>
              <w:rPr>
                <w:rFonts w:ascii="Segoe UI"/>
                <w:color w:val="231F20"/>
                <w:spacing w:val="-5"/>
                <w:sz w:val="16"/>
              </w:rPr>
              <w:t> </w:t>
            </w:r>
            <w:r>
              <w:rPr>
                <w:rFonts w:ascii="Segoe UI"/>
                <w:color w:val="231F20"/>
                <w:sz w:val="16"/>
              </w:rPr>
              <w:t>revenue</w:t>
            </w:r>
            <w:r>
              <w:rPr>
                <w:rFonts w:ascii="Segoe UI"/>
                <w:color w:val="231F20"/>
                <w:spacing w:val="-5"/>
                <w:sz w:val="16"/>
              </w:rPr>
              <w:t> </w:t>
            </w:r>
            <w:r>
              <w:rPr>
                <w:rFonts w:ascii="Segoe UI"/>
                <w:color w:val="231F20"/>
                <w:sz w:val="16"/>
              </w:rPr>
              <w:t>($)</w:t>
            </w:r>
            <w:r>
              <w:rPr>
                <w:rFonts w:ascii="Segoe UI"/>
                <w:sz w:val="16"/>
              </w:rPr>
            </w:r>
          </w:p>
        </w:tc>
        <w:tc>
          <w:tcPr>
            <w:tcW w:w="155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681" w:right="0"/>
              <w:jc w:val="left"/>
              <w:rPr>
                <w:rFonts w:ascii="Segoe UI" w:hAnsi="Segoe UI" w:cs="Segoe UI" w:eastAsia="Segoe UI"/>
                <w:sz w:val="16"/>
                <w:szCs w:val="16"/>
              </w:rPr>
            </w:pPr>
            <w:r>
              <w:rPr>
                <w:rFonts w:ascii="Segoe UI"/>
                <w:color w:val="231F20"/>
                <w:sz w:val="16"/>
              </w:rPr>
              <w:t>33,828,960</w:t>
            </w:r>
            <w:r>
              <w:rPr>
                <w:rFonts w:ascii="Segoe UI"/>
                <w:sz w:val="16"/>
              </w:rPr>
            </w:r>
          </w:p>
        </w:tc>
        <w:tc>
          <w:tcPr>
            <w:tcW w:w="1276"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398" w:right="0"/>
              <w:jc w:val="left"/>
              <w:rPr>
                <w:rFonts w:ascii="Segoe UI" w:hAnsi="Segoe UI" w:cs="Segoe UI" w:eastAsia="Segoe UI"/>
                <w:sz w:val="16"/>
                <w:szCs w:val="16"/>
              </w:rPr>
            </w:pPr>
            <w:r>
              <w:rPr>
                <w:rFonts w:ascii="Segoe UI"/>
                <w:color w:val="231F20"/>
                <w:sz w:val="16"/>
              </w:rPr>
              <w:t>36,781,416</w:t>
            </w:r>
            <w:r>
              <w:rPr>
                <w:rFonts w:ascii="Segoe UI"/>
                <w:sz w:val="16"/>
              </w:rPr>
            </w:r>
          </w:p>
        </w:tc>
        <w:tc>
          <w:tcPr>
            <w:tcW w:w="1418"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540" w:right="0"/>
              <w:jc w:val="left"/>
              <w:rPr>
                <w:rFonts w:ascii="Segoe UI" w:hAnsi="Segoe UI" w:cs="Segoe UI" w:eastAsia="Segoe UI"/>
                <w:sz w:val="16"/>
                <w:szCs w:val="16"/>
              </w:rPr>
            </w:pPr>
            <w:r>
              <w:rPr>
                <w:rFonts w:ascii="Segoe UI"/>
                <w:color w:val="231F20"/>
                <w:sz w:val="16"/>
              </w:rPr>
              <w:t>38,154,715</w:t>
            </w:r>
            <w:r>
              <w:rPr>
                <w:rFonts w:ascii="Segoe UI"/>
                <w:sz w:val="16"/>
              </w:rPr>
            </w:r>
          </w:p>
        </w:tc>
        <w:tc>
          <w:tcPr>
            <w:tcW w:w="1134"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56" w:right="0"/>
              <w:jc w:val="left"/>
              <w:rPr>
                <w:rFonts w:ascii="Segoe UI" w:hAnsi="Segoe UI" w:cs="Segoe UI" w:eastAsia="Segoe UI"/>
                <w:sz w:val="16"/>
                <w:szCs w:val="16"/>
              </w:rPr>
            </w:pPr>
            <w:r>
              <w:rPr>
                <w:rFonts w:ascii="Segoe UI"/>
                <w:color w:val="231F20"/>
                <w:sz w:val="16"/>
              </w:rPr>
              <w:t>36,255,030</w:t>
            </w:r>
            <w:r>
              <w:rPr>
                <w:rFonts w:ascii="Segoe UI"/>
                <w:sz w:val="16"/>
              </w:rPr>
            </w:r>
          </w:p>
        </w:tc>
      </w:tr>
    </w:tbl>
    <w:p>
      <w:pPr>
        <w:spacing w:after="0" w:line="240" w:lineRule="auto"/>
        <w:jc w:val="left"/>
        <w:rPr>
          <w:rFonts w:ascii="Segoe UI" w:hAnsi="Segoe UI" w:cs="Segoe UI" w:eastAsia="Segoe UI"/>
          <w:sz w:val="16"/>
          <w:szCs w:val="16"/>
        </w:rPr>
        <w:sectPr>
          <w:type w:val="continuous"/>
          <w:pgSz w:w="11910" w:h="16840"/>
          <w:pgMar w:top="1580" w:bottom="280" w:left="1600" w:right="1300"/>
        </w:sect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1"/>
        <w:rPr>
          <w:rFonts w:ascii="Segoe UI Semibold" w:hAnsi="Segoe UI Semibold" w:cs="Segoe UI Semibold" w:eastAsia="Segoe UI Semibold"/>
          <w:b/>
          <w:bCs/>
          <w:sz w:val="16"/>
          <w:szCs w:val="16"/>
        </w:rPr>
      </w:pPr>
    </w:p>
    <w:tbl>
      <w:tblPr>
        <w:tblW w:w="0" w:type="auto"/>
        <w:jc w:val="left"/>
        <w:tblInd w:w="1252" w:type="dxa"/>
        <w:tblLayout w:type="fixed"/>
        <w:tblCellMar>
          <w:top w:w="0" w:type="dxa"/>
          <w:left w:w="0" w:type="dxa"/>
          <w:bottom w:w="0" w:type="dxa"/>
          <w:right w:w="0" w:type="dxa"/>
        </w:tblCellMar>
        <w:tblLook w:val="01E0"/>
      </w:tblPr>
      <w:tblGrid>
        <w:gridCol w:w="1179"/>
        <w:gridCol w:w="1181"/>
        <w:gridCol w:w="1178"/>
        <w:gridCol w:w="1178"/>
        <w:gridCol w:w="154"/>
        <w:gridCol w:w="139"/>
        <w:gridCol w:w="53"/>
        <w:gridCol w:w="149"/>
        <w:gridCol w:w="46"/>
        <w:gridCol w:w="74"/>
        <w:gridCol w:w="331"/>
        <w:gridCol w:w="50"/>
        <w:gridCol w:w="144"/>
      </w:tblGrid>
      <w:tr>
        <w:trPr>
          <w:trHeight w:val="234" w:hRule="exact"/>
        </w:trPr>
        <w:tc>
          <w:tcPr>
            <w:tcW w:w="1179" w:type="dxa"/>
            <w:tcBorders>
              <w:top w:val="nil" w:sz="6" w:space="0" w:color="auto"/>
              <w:left w:val="single" w:sz="6" w:space="0" w:color="DCDDDE"/>
              <w:bottom w:val="nil" w:sz="6" w:space="0" w:color="auto"/>
              <w:right w:val="single" w:sz="6" w:space="0" w:color="DCDDDE"/>
            </w:tcBorders>
          </w:tcPr>
          <w:p>
            <w:pPr/>
          </w:p>
        </w:tc>
        <w:tc>
          <w:tcPr>
            <w:tcW w:w="1181" w:type="dxa"/>
            <w:tcBorders>
              <w:top w:val="nil" w:sz="6" w:space="0" w:color="auto"/>
              <w:left w:val="single" w:sz="6" w:space="0" w:color="DCDDDE"/>
              <w:bottom w:val="nil" w:sz="6" w:space="0" w:color="auto"/>
              <w:right w:val="single" w:sz="6" w:space="0" w:color="DCDDDE"/>
            </w:tcBorders>
          </w:tcPr>
          <w:p>
            <w:pPr/>
          </w:p>
        </w:tc>
        <w:tc>
          <w:tcPr>
            <w:tcW w:w="1178" w:type="dxa"/>
            <w:tcBorders>
              <w:top w:val="nil" w:sz="6" w:space="0" w:color="auto"/>
              <w:left w:val="single" w:sz="6" w:space="0" w:color="DCDDDE"/>
              <w:bottom w:val="nil" w:sz="6" w:space="0" w:color="auto"/>
              <w:right w:val="single" w:sz="6" w:space="0" w:color="DCDDDE"/>
            </w:tcBorders>
          </w:tcPr>
          <w:p>
            <w:pPr/>
          </w:p>
        </w:tc>
        <w:tc>
          <w:tcPr>
            <w:tcW w:w="1178" w:type="dxa"/>
            <w:tcBorders>
              <w:top w:val="nil" w:sz="6" w:space="0" w:color="auto"/>
              <w:left w:val="single" w:sz="6" w:space="0" w:color="DCDDDE"/>
              <w:bottom w:val="nil" w:sz="6" w:space="0" w:color="auto"/>
              <w:right w:val="single" w:sz="6" w:space="0" w:color="DCDDDE"/>
            </w:tcBorders>
          </w:tcPr>
          <w:p>
            <w:pPr/>
          </w:p>
        </w:tc>
        <w:tc>
          <w:tcPr>
            <w:tcW w:w="1140" w:type="dxa"/>
            <w:gridSpan w:val="9"/>
            <w:tcBorders>
              <w:top w:val="nil" w:sz="6" w:space="0" w:color="auto"/>
              <w:left w:val="single" w:sz="6" w:space="0" w:color="DCDDDE"/>
              <w:bottom w:val="nil" w:sz="6" w:space="0" w:color="auto"/>
              <w:right w:val="single" w:sz="6" w:space="0" w:color="DCDDDE"/>
            </w:tcBorders>
          </w:tcPr>
          <w:p>
            <w:pPr/>
          </w:p>
        </w:tc>
      </w:tr>
      <w:tr>
        <w:trPr>
          <w:trHeight w:val="310" w:hRule="exact"/>
        </w:trPr>
        <w:tc>
          <w:tcPr>
            <w:tcW w:w="5009" w:type="dxa"/>
            <w:gridSpan w:val="6"/>
            <w:tcBorders>
              <w:top w:val="nil" w:sz="6" w:space="0" w:color="auto"/>
              <w:left w:val="single" w:sz="6" w:space="0" w:color="DCDDDE"/>
              <w:bottom w:val="nil" w:sz="6" w:space="0" w:color="auto"/>
              <w:right w:val="nil" w:sz="6" w:space="0" w:color="auto"/>
            </w:tcBorders>
            <w:shd w:val="clear" w:color="auto" w:fill="5C4777"/>
          </w:tcPr>
          <w:p>
            <w:pPr>
              <w:pStyle w:val="TableParagraph"/>
              <w:spacing w:line="240" w:lineRule="auto" w:before="42"/>
              <w:ind w:left="621" w:right="0"/>
              <w:jc w:val="center"/>
              <w:rPr>
                <w:rFonts w:ascii="Segoe UI" w:hAnsi="Segoe UI" w:cs="Segoe UI" w:eastAsia="Segoe UI"/>
                <w:sz w:val="16"/>
                <w:szCs w:val="16"/>
              </w:rPr>
            </w:pPr>
            <w:r>
              <w:rPr>
                <w:rFonts w:ascii="Segoe UI"/>
                <w:color w:val="FFFFFF"/>
                <w:sz w:val="16"/>
              </w:rPr>
              <w:t>85%</w:t>
            </w:r>
            <w:r>
              <w:rPr>
                <w:rFonts w:ascii="Segoe UI"/>
                <w:sz w:val="16"/>
              </w:rPr>
            </w:r>
          </w:p>
        </w:tc>
        <w:tc>
          <w:tcPr>
            <w:tcW w:w="247" w:type="dxa"/>
            <w:gridSpan w:val="3"/>
            <w:tcBorders>
              <w:top w:val="nil" w:sz="6" w:space="0" w:color="auto"/>
              <w:left w:val="nil" w:sz="6" w:space="0" w:color="auto"/>
              <w:bottom w:val="nil" w:sz="6" w:space="0" w:color="auto"/>
              <w:right w:val="nil" w:sz="6" w:space="0" w:color="auto"/>
            </w:tcBorders>
            <w:shd w:val="clear" w:color="auto" w:fill="9480AE"/>
          </w:tcPr>
          <w:p>
            <w:pPr/>
          </w:p>
        </w:tc>
        <w:tc>
          <w:tcPr>
            <w:tcW w:w="456" w:type="dxa"/>
            <w:gridSpan w:val="3"/>
            <w:tcBorders>
              <w:top w:val="nil" w:sz="6" w:space="0" w:color="auto"/>
              <w:left w:val="nil" w:sz="6" w:space="0" w:color="auto"/>
              <w:bottom w:val="nil" w:sz="6" w:space="0" w:color="auto"/>
              <w:right w:val="nil" w:sz="6" w:space="0" w:color="auto"/>
            </w:tcBorders>
            <w:shd w:val="clear" w:color="auto" w:fill="B4A8C4"/>
          </w:tcPr>
          <w:p>
            <w:pPr/>
          </w:p>
        </w:tc>
        <w:tc>
          <w:tcPr>
            <w:tcW w:w="144" w:type="dxa"/>
            <w:tcBorders>
              <w:top w:val="nil" w:sz="6" w:space="0" w:color="auto"/>
              <w:left w:val="nil" w:sz="6" w:space="0" w:color="auto"/>
              <w:bottom w:val="nil" w:sz="6" w:space="0" w:color="auto"/>
              <w:right w:val="single" w:sz="6" w:space="0" w:color="DCDDDE"/>
            </w:tcBorders>
            <w:shd w:val="clear" w:color="auto" w:fill="CDC5D6"/>
          </w:tcPr>
          <w:p>
            <w:pPr/>
          </w:p>
        </w:tc>
      </w:tr>
      <w:tr>
        <w:trPr>
          <w:trHeight w:val="466" w:hRule="exact"/>
        </w:trPr>
        <w:tc>
          <w:tcPr>
            <w:tcW w:w="1179" w:type="dxa"/>
            <w:tcBorders>
              <w:top w:val="nil" w:sz="6" w:space="0" w:color="auto"/>
              <w:left w:val="single" w:sz="6" w:space="0" w:color="DCDDDE"/>
              <w:bottom w:val="nil" w:sz="6" w:space="0" w:color="auto"/>
              <w:right w:val="single" w:sz="6" w:space="0" w:color="DCDDDE"/>
            </w:tcBorders>
          </w:tcPr>
          <w:p>
            <w:pPr/>
          </w:p>
        </w:tc>
        <w:tc>
          <w:tcPr>
            <w:tcW w:w="1181" w:type="dxa"/>
            <w:tcBorders>
              <w:top w:val="nil" w:sz="6" w:space="0" w:color="auto"/>
              <w:left w:val="single" w:sz="6" w:space="0" w:color="DCDDDE"/>
              <w:bottom w:val="nil" w:sz="6" w:space="0" w:color="auto"/>
              <w:right w:val="single" w:sz="6" w:space="0" w:color="DCDDDE"/>
            </w:tcBorders>
          </w:tcPr>
          <w:p>
            <w:pPr/>
          </w:p>
        </w:tc>
        <w:tc>
          <w:tcPr>
            <w:tcW w:w="1178" w:type="dxa"/>
            <w:tcBorders>
              <w:top w:val="nil" w:sz="6" w:space="0" w:color="auto"/>
              <w:left w:val="single" w:sz="6" w:space="0" w:color="DCDDDE"/>
              <w:bottom w:val="nil" w:sz="6" w:space="0" w:color="auto"/>
              <w:right w:val="single" w:sz="6" w:space="0" w:color="DCDDDE"/>
            </w:tcBorders>
          </w:tcPr>
          <w:p>
            <w:pPr/>
          </w:p>
        </w:tc>
        <w:tc>
          <w:tcPr>
            <w:tcW w:w="1178" w:type="dxa"/>
            <w:tcBorders>
              <w:top w:val="nil" w:sz="6" w:space="0" w:color="auto"/>
              <w:left w:val="single" w:sz="6" w:space="0" w:color="DCDDDE"/>
              <w:bottom w:val="nil" w:sz="6" w:space="0" w:color="auto"/>
              <w:right w:val="single" w:sz="6" w:space="0" w:color="DCDDDE"/>
            </w:tcBorders>
          </w:tcPr>
          <w:p>
            <w:pPr/>
          </w:p>
        </w:tc>
        <w:tc>
          <w:tcPr>
            <w:tcW w:w="1140" w:type="dxa"/>
            <w:gridSpan w:val="9"/>
            <w:tcBorders>
              <w:top w:val="nil" w:sz="6" w:space="0" w:color="auto"/>
              <w:left w:val="single" w:sz="6" w:space="0" w:color="DCDDDE"/>
              <w:bottom w:val="nil" w:sz="6" w:space="0" w:color="auto"/>
              <w:right w:val="single" w:sz="6" w:space="0" w:color="DCDDDE"/>
            </w:tcBorders>
          </w:tcPr>
          <w:p>
            <w:pPr/>
          </w:p>
        </w:tc>
      </w:tr>
      <w:tr>
        <w:trPr>
          <w:trHeight w:val="310" w:hRule="exact"/>
        </w:trPr>
        <w:tc>
          <w:tcPr>
            <w:tcW w:w="5062" w:type="dxa"/>
            <w:gridSpan w:val="7"/>
            <w:tcBorders>
              <w:top w:val="nil" w:sz="6" w:space="0" w:color="auto"/>
              <w:left w:val="single" w:sz="6" w:space="0" w:color="DCDDDE"/>
              <w:bottom w:val="nil" w:sz="6" w:space="0" w:color="auto"/>
              <w:right w:val="nil" w:sz="6" w:space="0" w:color="auto"/>
            </w:tcBorders>
            <w:shd w:val="clear" w:color="auto" w:fill="5C4777"/>
          </w:tcPr>
          <w:p>
            <w:pPr>
              <w:pStyle w:val="TableParagraph"/>
              <w:spacing w:line="240" w:lineRule="auto" w:before="42"/>
              <w:ind w:left="621" w:right="0"/>
              <w:jc w:val="center"/>
              <w:rPr>
                <w:rFonts w:ascii="Segoe UI" w:hAnsi="Segoe UI" w:cs="Segoe UI" w:eastAsia="Segoe UI"/>
                <w:sz w:val="16"/>
                <w:szCs w:val="16"/>
              </w:rPr>
            </w:pPr>
            <w:r>
              <w:rPr>
                <w:rFonts w:ascii="Segoe UI"/>
                <w:color w:val="FFFFFF"/>
                <w:sz w:val="16"/>
              </w:rPr>
              <w:t>86%</w:t>
            </w:r>
            <w:r>
              <w:rPr>
                <w:rFonts w:ascii="Segoe UI"/>
                <w:sz w:val="16"/>
              </w:rPr>
            </w:r>
          </w:p>
        </w:tc>
        <w:tc>
          <w:tcPr>
            <w:tcW w:w="149" w:type="dxa"/>
            <w:tcBorders>
              <w:top w:val="nil" w:sz="6" w:space="0" w:color="auto"/>
              <w:left w:val="nil" w:sz="6" w:space="0" w:color="auto"/>
              <w:bottom w:val="nil" w:sz="6" w:space="0" w:color="auto"/>
              <w:right w:val="nil" w:sz="6" w:space="0" w:color="auto"/>
            </w:tcBorders>
            <w:shd w:val="clear" w:color="auto" w:fill="9480AE"/>
          </w:tcPr>
          <w:p>
            <w:pPr/>
          </w:p>
        </w:tc>
        <w:tc>
          <w:tcPr>
            <w:tcW w:w="502" w:type="dxa"/>
            <w:gridSpan w:val="4"/>
            <w:tcBorders>
              <w:top w:val="nil" w:sz="6" w:space="0" w:color="auto"/>
              <w:left w:val="nil" w:sz="6" w:space="0" w:color="auto"/>
              <w:bottom w:val="nil" w:sz="6" w:space="0" w:color="auto"/>
              <w:right w:val="nil" w:sz="6" w:space="0" w:color="auto"/>
            </w:tcBorders>
            <w:shd w:val="clear" w:color="auto" w:fill="B4A8C4"/>
          </w:tcPr>
          <w:p>
            <w:pPr/>
          </w:p>
        </w:tc>
        <w:tc>
          <w:tcPr>
            <w:tcW w:w="144" w:type="dxa"/>
            <w:tcBorders>
              <w:top w:val="nil" w:sz="6" w:space="0" w:color="auto"/>
              <w:left w:val="nil" w:sz="6" w:space="0" w:color="auto"/>
              <w:bottom w:val="nil" w:sz="6" w:space="0" w:color="auto"/>
              <w:right w:val="single" w:sz="6" w:space="0" w:color="DCDDDE"/>
            </w:tcBorders>
            <w:shd w:val="clear" w:color="auto" w:fill="CDC5D6"/>
          </w:tcPr>
          <w:p>
            <w:pPr/>
          </w:p>
        </w:tc>
      </w:tr>
      <w:tr>
        <w:trPr>
          <w:trHeight w:val="466" w:hRule="exact"/>
        </w:trPr>
        <w:tc>
          <w:tcPr>
            <w:tcW w:w="1179" w:type="dxa"/>
            <w:tcBorders>
              <w:top w:val="nil" w:sz="6" w:space="0" w:color="auto"/>
              <w:left w:val="single" w:sz="6" w:space="0" w:color="DCDDDE"/>
              <w:bottom w:val="nil" w:sz="6" w:space="0" w:color="auto"/>
              <w:right w:val="single" w:sz="6" w:space="0" w:color="DCDDDE"/>
            </w:tcBorders>
          </w:tcPr>
          <w:p>
            <w:pPr/>
          </w:p>
        </w:tc>
        <w:tc>
          <w:tcPr>
            <w:tcW w:w="1181" w:type="dxa"/>
            <w:tcBorders>
              <w:top w:val="nil" w:sz="6" w:space="0" w:color="auto"/>
              <w:left w:val="single" w:sz="6" w:space="0" w:color="DCDDDE"/>
              <w:bottom w:val="nil" w:sz="6" w:space="0" w:color="auto"/>
              <w:right w:val="single" w:sz="6" w:space="0" w:color="DCDDDE"/>
            </w:tcBorders>
          </w:tcPr>
          <w:p>
            <w:pPr/>
          </w:p>
        </w:tc>
        <w:tc>
          <w:tcPr>
            <w:tcW w:w="1178" w:type="dxa"/>
            <w:tcBorders>
              <w:top w:val="nil" w:sz="6" w:space="0" w:color="auto"/>
              <w:left w:val="single" w:sz="6" w:space="0" w:color="DCDDDE"/>
              <w:bottom w:val="nil" w:sz="6" w:space="0" w:color="auto"/>
              <w:right w:val="single" w:sz="6" w:space="0" w:color="DCDDDE"/>
            </w:tcBorders>
          </w:tcPr>
          <w:p>
            <w:pPr/>
          </w:p>
        </w:tc>
        <w:tc>
          <w:tcPr>
            <w:tcW w:w="1178" w:type="dxa"/>
            <w:tcBorders>
              <w:top w:val="nil" w:sz="6" w:space="0" w:color="auto"/>
              <w:left w:val="single" w:sz="6" w:space="0" w:color="DCDDDE"/>
              <w:bottom w:val="nil" w:sz="6" w:space="0" w:color="auto"/>
              <w:right w:val="single" w:sz="6" w:space="0" w:color="DCDDDE"/>
            </w:tcBorders>
          </w:tcPr>
          <w:p>
            <w:pPr/>
          </w:p>
        </w:tc>
        <w:tc>
          <w:tcPr>
            <w:tcW w:w="1140" w:type="dxa"/>
            <w:gridSpan w:val="9"/>
            <w:tcBorders>
              <w:top w:val="nil" w:sz="6" w:space="0" w:color="auto"/>
              <w:left w:val="single" w:sz="6" w:space="0" w:color="DCDDDE"/>
              <w:bottom w:val="nil" w:sz="6" w:space="0" w:color="auto"/>
              <w:right w:val="single" w:sz="6" w:space="0" w:color="DCDDDE"/>
            </w:tcBorders>
          </w:tcPr>
          <w:p>
            <w:pPr/>
          </w:p>
        </w:tc>
      </w:tr>
      <w:tr>
        <w:trPr>
          <w:trHeight w:val="310" w:hRule="exact"/>
        </w:trPr>
        <w:tc>
          <w:tcPr>
            <w:tcW w:w="4870" w:type="dxa"/>
            <w:gridSpan w:val="5"/>
            <w:tcBorders>
              <w:top w:val="nil" w:sz="6" w:space="0" w:color="auto"/>
              <w:left w:val="single" w:sz="6" w:space="0" w:color="DCDDDE"/>
              <w:bottom w:val="nil" w:sz="6" w:space="0" w:color="auto"/>
              <w:right w:val="nil" w:sz="6" w:space="0" w:color="auto"/>
            </w:tcBorders>
            <w:shd w:val="clear" w:color="auto" w:fill="5C4777"/>
          </w:tcPr>
          <w:p>
            <w:pPr>
              <w:pStyle w:val="TableParagraph"/>
              <w:spacing w:line="240" w:lineRule="auto" w:before="43"/>
              <w:ind w:left="783" w:right="0"/>
              <w:jc w:val="center"/>
              <w:rPr>
                <w:rFonts w:ascii="Segoe UI" w:hAnsi="Segoe UI" w:cs="Segoe UI" w:eastAsia="Segoe UI"/>
                <w:sz w:val="16"/>
                <w:szCs w:val="16"/>
              </w:rPr>
            </w:pPr>
            <w:r>
              <w:rPr>
                <w:rFonts w:ascii="Segoe UI"/>
                <w:color w:val="FFFFFF"/>
                <w:sz w:val="16"/>
              </w:rPr>
              <w:t>83%</w:t>
            </w:r>
            <w:r>
              <w:rPr>
                <w:rFonts w:ascii="Segoe UI"/>
                <w:sz w:val="16"/>
              </w:rPr>
            </w:r>
          </w:p>
        </w:tc>
        <w:tc>
          <w:tcPr>
            <w:tcW w:w="386" w:type="dxa"/>
            <w:gridSpan w:val="4"/>
            <w:tcBorders>
              <w:top w:val="nil" w:sz="6" w:space="0" w:color="auto"/>
              <w:left w:val="nil" w:sz="6" w:space="0" w:color="auto"/>
              <w:bottom w:val="nil" w:sz="6" w:space="0" w:color="auto"/>
              <w:right w:val="nil" w:sz="6" w:space="0" w:color="auto"/>
            </w:tcBorders>
            <w:shd w:val="clear" w:color="auto" w:fill="9480AE"/>
          </w:tcPr>
          <w:p>
            <w:pPr/>
          </w:p>
        </w:tc>
        <w:tc>
          <w:tcPr>
            <w:tcW w:w="406" w:type="dxa"/>
            <w:gridSpan w:val="2"/>
            <w:tcBorders>
              <w:top w:val="nil" w:sz="6" w:space="0" w:color="auto"/>
              <w:left w:val="nil" w:sz="6" w:space="0" w:color="auto"/>
              <w:bottom w:val="nil" w:sz="6" w:space="0" w:color="auto"/>
              <w:right w:val="nil" w:sz="6" w:space="0" w:color="auto"/>
            </w:tcBorders>
            <w:shd w:val="clear" w:color="auto" w:fill="B4A8C4"/>
          </w:tcPr>
          <w:p>
            <w:pPr/>
          </w:p>
        </w:tc>
        <w:tc>
          <w:tcPr>
            <w:tcW w:w="194" w:type="dxa"/>
            <w:gridSpan w:val="2"/>
            <w:tcBorders>
              <w:top w:val="nil" w:sz="6" w:space="0" w:color="auto"/>
              <w:left w:val="nil" w:sz="6" w:space="0" w:color="auto"/>
              <w:bottom w:val="nil" w:sz="6" w:space="0" w:color="auto"/>
              <w:right w:val="single" w:sz="6" w:space="0" w:color="DCDDDE"/>
            </w:tcBorders>
            <w:shd w:val="clear" w:color="auto" w:fill="CDC5D6"/>
          </w:tcPr>
          <w:p>
            <w:pPr/>
          </w:p>
        </w:tc>
      </w:tr>
      <w:tr>
        <w:trPr>
          <w:trHeight w:val="466" w:hRule="exact"/>
        </w:trPr>
        <w:tc>
          <w:tcPr>
            <w:tcW w:w="1179" w:type="dxa"/>
            <w:tcBorders>
              <w:top w:val="nil" w:sz="6" w:space="0" w:color="auto"/>
              <w:left w:val="single" w:sz="6" w:space="0" w:color="DCDDDE"/>
              <w:bottom w:val="nil" w:sz="6" w:space="0" w:color="auto"/>
              <w:right w:val="single" w:sz="6" w:space="0" w:color="DCDDDE"/>
            </w:tcBorders>
          </w:tcPr>
          <w:p>
            <w:pPr/>
          </w:p>
        </w:tc>
        <w:tc>
          <w:tcPr>
            <w:tcW w:w="1181" w:type="dxa"/>
            <w:tcBorders>
              <w:top w:val="nil" w:sz="6" w:space="0" w:color="auto"/>
              <w:left w:val="single" w:sz="6" w:space="0" w:color="DCDDDE"/>
              <w:bottom w:val="nil" w:sz="6" w:space="0" w:color="auto"/>
              <w:right w:val="single" w:sz="6" w:space="0" w:color="DCDDDE"/>
            </w:tcBorders>
          </w:tcPr>
          <w:p>
            <w:pPr/>
          </w:p>
        </w:tc>
        <w:tc>
          <w:tcPr>
            <w:tcW w:w="1178" w:type="dxa"/>
            <w:tcBorders>
              <w:top w:val="nil" w:sz="6" w:space="0" w:color="auto"/>
              <w:left w:val="single" w:sz="6" w:space="0" w:color="DCDDDE"/>
              <w:bottom w:val="nil" w:sz="6" w:space="0" w:color="auto"/>
              <w:right w:val="single" w:sz="6" w:space="0" w:color="DCDDDE"/>
            </w:tcBorders>
          </w:tcPr>
          <w:p>
            <w:pPr/>
          </w:p>
        </w:tc>
        <w:tc>
          <w:tcPr>
            <w:tcW w:w="1178" w:type="dxa"/>
            <w:tcBorders>
              <w:top w:val="nil" w:sz="6" w:space="0" w:color="auto"/>
              <w:left w:val="single" w:sz="6" w:space="0" w:color="DCDDDE"/>
              <w:bottom w:val="nil" w:sz="6" w:space="0" w:color="auto"/>
              <w:right w:val="single" w:sz="6" w:space="0" w:color="DCDDDE"/>
            </w:tcBorders>
          </w:tcPr>
          <w:p>
            <w:pPr/>
          </w:p>
        </w:tc>
        <w:tc>
          <w:tcPr>
            <w:tcW w:w="1140" w:type="dxa"/>
            <w:gridSpan w:val="9"/>
            <w:tcBorders>
              <w:top w:val="nil" w:sz="6" w:space="0" w:color="auto"/>
              <w:left w:val="single" w:sz="6" w:space="0" w:color="DCDDDE"/>
              <w:bottom w:val="nil" w:sz="6" w:space="0" w:color="auto"/>
              <w:right w:val="single" w:sz="6" w:space="0" w:color="DCDDDE"/>
            </w:tcBorders>
          </w:tcPr>
          <w:p>
            <w:pPr/>
          </w:p>
        </w:tc>
      </w:tr>
      <w:tr>
        <w:trPr>
          <w:trHeight w:val="310" w:hRule="exact"/>
        </w:trPr>
        <w:tc>
          <w:tcPr>
            <w:tcW w:w="5062" w:type="dxa"/>
            <w:gridSpan w:val="7"/>
            <w:tcBorders>
              <w:top w:val="nil" w:sz="6" w:space="0" w:color="auto"/>
              <w:left w:val="single" w:sz="6" w:space="0" w:color="DCDDDE"/>
              <w:bottom w:val="nil" w:sz="6" w:space="0" w:color="auto"/>
              <w:right w:val="nil" w:sz="6" w:space="0" w:color="auto"/>
            </w:tcBorders>
            <w:shd w:val="clear" w:color="auto" w:fill="5C4777"/>
          </w:tcPr>
          <w:p>
            <w:pPr>
              <w:pStyle w:val="TableParagraph"/>
              <w:spacing w:line="240" w:lineRule="auto" w:before="43"/>
              <w:ind w:left="578" w:right="0"/>
              <w:jc w:val="center"/>
              <w:rPr>
                <w:rFonts w:ascii="Segoe UI" w:hAnsi="Segoe UI" w:cs="Segoe UI" w:eastAsia="Segoe UI"/>
                <w:sz w:val="16"/>
                <w:szCs w:val="16"/>
              </w:rPr>
            </w:pPr>
            <w:r>
              <w:rPr>
                <w:rFonts w:ascii="Segoe UI"/>
                <w:color w:val="FFFFFF"/>
                <w:sz w:val="16"/>
              </w:rPr>
              <w:t>86%</w:t>
            </w:r>
            <w:r>
              <w:rPr>
                <w:rFonts w:ascii="Segoe UI"/>
                <w:sz w:val="16"/>
              </w:rPr>
            </w:r>
          </w:p>
        </w:tc>
        <w:tc>
          <w:tcPr>
            <w:tcW w:w="269" w:type="dxa"/>
            <w:gridSpan w:val="3"/>
            <w:tcBorders>
              <w:top w:val="nil" w:sz="6" w:space="0" w:color="auto"/>
              <w:left w:val="nil" w:sz="6" w:space="0" w:color="auto"/>
              <w:bottom w:val="nil" w:sz="6" w:space="0" w:color="auto"/>
              <w:right w:val="nil" w:sz="6" w:space="0" w:color="auto"/>
            </w:tcBorders>
            <w:shd w:val="clear" w:color="auto" w:fill="9480AE"/>
          </w:tcPr>
          <w:p>
            <w:pPr/>
          </w:p>
        </w:tc>
        <w:tc>
          <w:tcPr>
            <w:tcW w:w="526" w:type="dxa"/>
            <w:gridSpan w:val="3"/>
            <w:tcBorders>
              <w:top w:val="nil" w:sz="6" w:space="0" w:color="auto"/>
              <w:left w:val="nil" w:sz="6" w:space="0" w:color="auto"/>
              <w:bottom w:val="nil" w:sz="6" w:space="0" w:color="auto"/>
              <w:right w:val="single" w:sz="50" w:space="0" w:color="CDC5D6"/>
            </w:tcBorders>
            <w:shd w:val="clear" w:color="auto" w:fill="B4A8C4"/>
          </w:tcPr>
          <w:p>
            <w:pPr/>
          </w:p>
        </w:tc>
      </w:tr>
      <w:tr>
        <w:trPr>
          <w:trHeight w:val="233" w:hRule="exact"/>
        </w:trPr>
        <w:tc>
          <w:tcPr>
            <w:tcW w:w="1179" w:type="dxa"/>
            <w:tcBorders>
              <w:top w:val="nil" w:sz="6" w:space="0" w:color="auto"/>
              <w:left w:val="single" w:sz="6" w:space="0" w:color="DCDDDE"/>
              <w:bottom w:val="nil" w:sz="6" w:space="0" w:color="auto"/>
              <w:right w:val="single" w:sz="6" w:space="0" w:color="DCDDDE"/>
            </w:tcBorders>
          </w:tcPr>
          <w:p>
            <w:pPr/>
          </w:p>
        </w:tc>
        <w:tc>
          <w:tcPr>
            <w:tcW w:w="1181" w:type="dxa"/>
            <w:tcBorders>
              <w:top w:val="nil" w:sz="6" w:space="0" w:color="auto"/>
              <w:left w:val="single" w:sz="6" w:space="0" w:color="DCDDDE"/>
              <w:bottom w:val="nil" w:sz="6" w:space="0" w:color="auto"/>
              <w:right w:val="single" w:sz="6" w:space="0" w:color="DCDDDE"/>
            </w:tcBorders>
          </w:tcPr>
          <w:p>
            <w:pPr/>
          </w:p>
        </w:tc>
        <w:tc>
          <w:tcPr>
            <w:tcW w:w="1178" w:type="dxa"/>
            <w:tcBorders>
              <w:top w:val="nil" w:sz="6" w:space="0" w:color="auto"/>
              <w:left w:val="single" w:sz="6" w:space="0" w:color="DCDDDE"/>
              <w:bottom w:val="nil" w:sz="6" w:space="0" w:color="auto"/>
              <w:right w:val="single" w:sz="6" w:space="0" w:color="DCDDDE"/>
            </w:tcBorders>
          </w:tcPr>
          <w:p>
            <w:pPr/>
          </w:p>
        </w:tc>
        <w:tc>
          <w:tcPr>
            <w:tcW w:w="1178" w:type="dxa"/>
            <w:tcBorders>
              <w:top w:val="nil" w:sz="6" w:space="0" w:color="auto"/>
              <w:left w:val="single" w:sz="6" w:space="0" w:color="DCDDDE"/>
              <w:bottom w:val="nil" w:sz="6" w:space="0" w:color="auto"/>
              <w:right w:val="single" w:sz="6" w:space="0" w:color="DCDDDE"/>
            </w:tcBorders>
          </w:tcPr>
          <w:p>
            <w:pPr/>
          </w:p>
        </w:tc>
        <w:tc>
          <w:tcPr>
            <w:tcW w:w="1140" w:type="dxa"/>
            <w:gridSpan w:val="9"/>
            <w:tcBorders>
              <w:top w:val="nil" w:sz="6" w:space="0" w:color="auto"/>
              <w:left w:val="single" w:sz="6" w:space="0" w:color="DCDDDE"/>
              <w:bottom w:val="nil" w:sz="6" w:space="0" w:color="auto"/>
              <w:right w:val="single" w:sz="6" w:space="0" w:color="DCDDDE"/>
            </w:tcBorders>
          </w:tcPr>
          <w:p>
            <w:pPr/>
          </w:p>
        </w:tc>
      </w:tr>
    </w:tbl>
    <w:tbl>
      <w:tblPr>
        <w:tblW w:w="0" w:type="auto"/>
        <w:jc w:val="left"/>
        <w:tblInd w:w="661" w:type="dxa"/>
        <w:tblLayout w:type="fixed"/>
        <w:tblCellMar>
          <w:top w:w="0" w:type="dxa"/>
          <w:left w:w="0" w:type="dxa"/>
          <w:bottom w:w="0" w:type="dxa"/>
          <w:right w:w="0" w:type="dxa"/>
        </w:tblCellMar>
        <w:tblLook w:val="01E0"/>
      </w:tblPr>
      <w:tblGrid>
        <w:gridCol w:w="962"/>
        <w:gridCol w:w="2715"/>
        <w:gridCol w:w="2615"/>
        <w:gridCol w:w="791"/>
        <w:gridCol w:w="902"/>
      </w:tblGrid>
      <w:tr>
        <w:trPr>
          <w:trHeight w:val="329" w:hRule="exact"/>
        </w:trPr>
        <w:tc>
          <w:tcPr>
            <w:tcW w:w="962" w:type="dxa"/>
            <w:tcBorders>
              <w:top w:val="nil" w:sz="6" w:space="0" w:color="auto"/>
              <w:left w:val="nil" w:sz="6" w:space="0" w:color="auto"/>
              <w:bottom w:val="nil" w:sz="6" w:space="0" w:color="auto"/>
              <w:right w:val="nil" w:sz="6" w:space="0" w:color="auto"/>
            </w:tcBorders>
          </w:tcPr>
          <w:p>
            <w:pPr>
              <w:pStyle w:val="TableParagraph"/>
              <w:spacing w:line="240" w:lineRule="auto" w:before="49"/>
              <w:ind w:left="231" w:right="0"/>
              <w:jc w:val="center"/>
              <w:rPr>
                <w:rFonts w:ascii="Segoe UI" w:hAnsi="Segoe UI" w:cs="Segoe UI" w:eastAsia="Segoe UI"/>
                <w:sz w:val="16"/>
                <w:szCs w:val="16"/>
              </w:rPr>
            </w:pPr>
            <w:r>
              <w:rPr>
                <w:rFonts w:ascii="Segoe UI"/>
                <w:color w:val="77787B"/>
                <w:sz w:val="16"/>
              </w:rPr>
              <w:t>0</w:t>
            </w:r>
            <w:r>
              <w:rPr>
                <w:rFonts w:ascii="Segoe UI"/>
                <w:sz w:val="16"/>
              </w:rPr>
            </w:r>
          </w:p>
        </w:tc>
        <w:tc>
          <w:tcPr>
            <w:tcW w:w="2715" w:type="dxa"/>
            <w:tcBorders>
              <w:top w:val="nil" w:sz="6" w:space="0" w:color="auto"/>
              <w:left w:val="nil" w:sz="6" w:space="0" w:color="auto"/>
              <w:bottom w:val="nil" w:sz="6" w:space="0" w:color="auto"/>
              <w:right w:val="nil" w:sz="6" w:space="0" w:color="auto"/>
            </w:tcBorders>
          </w:tcPr>
          <w:p>
            <w:pPr>
              <w:pStyle w:val="TableParagraph"/>
              <w:tabs>
                <w:tab w:pos="1950" w:val="left" w:leader="none"/>
              </w:tabs>
              <w:spacing w:line="240" w:lineRule="auto" w:before="49"/>
              <w:ind w:left="771" w:right="0"/>
              <w:jc w:val="left"/>
              <w:rPr>
                <w:rFonts w:ascii="Segoe UI" w:hAnsi="Segoe UI" w:cs="Segoe UI" w:eastAsia="Segoe UI"/>
                <w:sz w:val="16"/>
                <w:szCs w:val="16"/>
              </w:rPr>
            </w:pPr>
            <w:r>
              <w:rPr>
                <w:rFonts w:ascii="Segoe UI"/>
                <w:color w:val="77787B"/>
                <w:sz w:val="16"/>
              </w:rPr>
              <w:t>0</w:t>
              <w:tab/>
              <w:t>0</w:t>
            </w:r>
            <w:r>
              <w:rPr>
                <w:rFonts w:ascii="Segoe UI"/>
                <w:sz w:val="16"/>
              </w:rPr>
            </w:r>
          </w:p>
        </w:tc>
        <w:tc>
          <w:tcPr>
            <w:tcW w:w="2615" w:type="dxa"/>
            <w:tcBorders>
              <w:top w:val="nil" w:sz="6" w:space="0" w:color="auto"/>
              <w:left w:val="nil" w:sz="6" w:space="0" w:color="auto"/>
              <w:bottom w:val="nil" w:sz="6" w:space="0" w:color="auto"/>
              <w:right w:val="nil" w:sz="6" w:space="0" w:color="auto"/>
            </w:tcBorders>
          </w:tcPr>
          <w:p>
            <w:pPr>
              <w:pStyle w:val="TableParagraph"/>
              <w:tabs>
                <w:tab w:pos="1594" w:val="left" w:leader="none"/>
              </w:tabs>
              <w:spacing w:line="240" w:lineRule="auto" w:before="49"/>
              <w:ind w:left="414" w:right="0"/>
              <w:jc w:val="left"/>
              <w:rPr>
                <w:rFonts w:ascii="Segoe UI" w:hAnsi="Segoe UI" w:cs="Segoe UI" w:eastAsia="Segoe UI"/>
                <w:sz w:val="16"/>
                <w:szCs w:val="16"/>
              </w:rPr>
            </w:pPr>
            <w:r>
              <w:rPr>
                <w:rFonts w:ascii="Segoe UI"/>
                <w:color w:val="77787B"/>
                <w:sz w:val="16"/>
              </w:rPr>
              <w:t>1</w:t>
              <w:tab/>
              <w:t>1</w:t>
            </w:r>
            <w:r>
              <w:rPr>
                <w:rFonts w:ascii="Segoe UI"/>
                <w:sz w:val="16"/>
              </w:rPr>
            </w:r>
          </w:p>
        </w:tc>
        <w:tc>
          <w:tcPr>
            <w:tcW w:w="791" w:type="dxa"/>
            <w:tcBorders>
              <w:top w:val="nil" w:sz="6" w:space="0" w:color="auto"/>
              <w:left w:val="nil" w:sz="6" w:space="0" w:color="auto"/>
              <w:bottom w:val="nil" w:sz="6" w:space="0" w:color="auto"/>
              <w:right w:val="nil" w:sz="6" w:space="0" w:color="auto"/>
            </w:tcBorders>
          </w:tcPr>
          <w:p>
            <w:pPr>
              <w:pStyle w:val="TableParagraph"/>
              <w:spacing w:line="240" w:lineRule="auto" w:before="49"/>
              <w:ind w:left="158" w:right="0"/>
              <w:jc w:val="left"/>
              <w:rPr>
                <w:rFonts w:ascii="Segoe UI" w:hAnsi="Segoe UI" w:cs="Segoe UI" w:eastAsia="Segoe UI"/>
                <w:sz w:val="16"/>
                <w:szCs w:val="16"/>
              </w:rPr>
            </w:pPr>
            <w:r>
              <w:rPr>
                <w:rFonts w:ascii="Segoe UI"/>
                <w:color w:val="77787B"/>
                <w:sz w:val="16"/>
              </w:rPr>
              <w:t>1</w:t>
            </w:r>
            <w:r>
              <w:rPr>
                <w:rFonts w:ascii="Segoe UI"/>
                <w:sz w:val="16"/>
              </w:rPr>
            </w:r>
          </w:p>
        </w:tc>
        <w:tc>
          <w:tcPr>
            <w:tcW w:w="902" w:type="dxa"/>
            <w:tcBorders>
              <w:top w:val="nil" w:sz="6" w:space="0" w:color="auto"/>
              <w:left w:val="nil" w:sz="6" w:space="0" w:color="auto"/>
              <w:bottom w:val="nil" w:sz="6" w:space="0" w:color="auto"/>
              <w:right w:val="nil" w:sz="6" w:space="0" w:color="auto"/>
            </w:tcBorders>
          </w:tcPr>
          <w:p>
            <w:pPr>
              <w:pStyle w:val="TableParagraph"/>
              <w:spacing w:line="240" w:lineRule="auto" w:before="49"/>
              <w:ind w:left="546" w:right="0"/>
              <w:jc w:val="left"/>
              <w:rPr>
                <w:rFonts w:ascii="Segoe UI" w:hAnsi="Segoe UI" w:cs="Segoe UI" w:eastAsia="Segoe UI"/>
                <w:sz w:val="16"/>
                <w:szCs w:val="16"/>
              </w:rPr>
            </w:pPr>
            <w:r>
              <w:rPr>
                <w:rFonts w:ascii="Segoe UI"/>
                <w:color w:val="77787B"/>
                <w:sz w:val="16"/>
              </w:rPr>
              <w:t>1</w:t>
            </w:r>
            <w:r>
              <w:rPr>
                <w:rFonts w:ascii="Segoe UI"/>
                <w:sz w:val="16"/>
              </w:rPr>
            </w:r>
          </w:p>
        </w:tc>
      </w:tr>
      <w:tr>
        <w:trPr>
          <w:trHeight w:val="555" w:hRule="exact"/>
        </w:trPr>
        <w:tc>
          <w:tcPr>
            <w:tcW w:w="962" w:type="dxa"/>
            <w:tcBorders>
              <w:top w:val="nil" w:sz="6" w:space="0" w:color="auto"/>
              <w:left w:val="nil" w:sz="6" w:space="0" w:color="auto"/>
              <w:bottom w:val="nil" w:sz="6" w:space="0" w:color="auto"/>
              <w:right w:val="nil" w:sz="6" w:space="0" w:color="auto"/>
            </w:tcBorders>
          </w:tcPr>
          <w:p>
            <w:pPr/>
          </w:p>
        </w:tc>
        <w:tc>
          <w:tcPr>
            <w:tcW w:w="2715" w:type="dxa"/>
            <w:tcBorders>
              <w:top w:val="nil" w:sz="6" w:space="0" w:color="auto"/>
              <w:left w:val="nil" w:sz="6" w:space="0" w:color="auto"/>
              <w:bottom w:val="nil" w:sz="6" w:space="0" w:color="auto"/>
              <w:right w:val="nil" w:sz="6" w:space="0" w:color="auto"/>
            </w:tcBorders>
          </w:tcPr>
          <w:p>
            <w:pPr>
              <w:pStyle w:val="TableParagraph"/>
              <w:spacing w:line="240" w:lineRule="auto" w:before="3"/>
              <w:ind w:right="0"/>
              <w:jc w:val="left"/>
              <w:rPr>
                <w:rFonts w:ascii="Segoe UI Semibold" w:hAnsi="Segoe UI Semibold" w:cs="Segoe UI Semibold" w:eastAsia="Segoe UI Semibold"/>
                <w:b/>
                <w:bCs/>
                <w:sz w:val="19"/>
                <w:szCs w:val="19"/>
              </w:rPr>
            </w:pPr>
          </w:p>
          <w:p>
            <w:pPr>
              <w:pStyle w:val="TableParagraph"/>
              <w:spacing w:line="240" w:lineRule="auto"/>
              <w:ind w:left="321" w:right="0"/>
              <w:jc w:val="left"/>
              <w:rPr>
                <w:rFonts w:ascii="Segoe UI" w:hAnsi="Segoe UI" w:cs="Segoe UI" w:eastAsia="Segoe UI"/>
                <w:sz w:val="16"/>
                <w:szCs w:val="16"/>
              </w:rPr>
            </w:pPr>
            <w:r>
              <w:rPr>
                <w:rFonts w:ascii="Segoe UI"/>
                <w:color w:val="77787B"/>
                <w:spacing w:val="-1"/>
                <w:sz w:val="16"/>
              </w:rPr>
              <w:t>Fees </w:t>
            </w:r>
            <w:r>
              <w:rPr>
                <w:rFonts w:ascii="Segoe UI"/>
                <w:color w:val="77787B"/>
                <w:sz w:val="16"/>
              </w:rPr>
              <w:t>&amp;</w:t>
            </w:r>
            <w:r>
              <w:rPr>
                <w:rFonts w:ascii="Segoe UI"/>
                <w:color w:val="77787B"/>
                <w:spacing w:val="1"/>
                <w:sz w:val="16"/>
              </w:rPr>
              <w:t> </w:t>
            </w:r>
            <w:r>
              <w:rPr>
                <w:rFonts w:ascii="Segoe UI"/>
                <w:color w:val="77787B"/>
                <w:spacing w:val="-1"/>
                <w:sz w:val="16"/>
              </w:rPr>
              <w:t>charges</w:t>
            </w:r>
            <w:r>
              <w:rPr>
                <w:rFonts w:ascii="Segoe UI"/>
                <w:color w:val="77787B"/>
                <w:sz w:val="16"/>
              </w:rPr>
              <w:t> (incl. ABSTUDY)</w:t>
            </w:r>
            <w:r>
              <w:rPr>
                <w:rFonts w:ascii="Segoe UI"/>
                <w:sz w:val="16"/>
              </w:rPr>
            </w:r>
          </w:p>
        </w:tc>
        <w:tc>
          <w:tcPr>
            <w:tcW w:w="2615" w:type="dxa"/>
            <w:tcBorders>
              <w:top w:val="nil" w:sz="6" w:space="0" w:color="auto"/>
              <w:left w:val="nil" w:sz="6" w:space="0" w:color="auto"/>
              <w:bottom w:val="nil" w:sz="6" w:space="0" w:color="auto"/>
              <w:right w:val="nil" w:sz="6" w:space="0" w:color="auto"/>
            </w:tcBorders>
          </w:tcPr>
          <w:p>
            <w:pPr>
              <w:pStyle w:val="TableParagraph"/>
              <w:spacing w:line="240" w:lineRule="auto" w:before="18"/>
              <w:ind w:left="389" w:right="0"/>
              <w:jc w:val="left"/>
              <w:rPr>
                <w:rFonts w:ascii="Segoe UI" w:hAnsi="Segoe UI" w:cs="Segoe UI" w:eastAsia="Segoe UI"/>
                <w:sz w:val="16"/>
                <w:szCs w:val="16"/>
              </w:rPr>
            </w:pPr>
            <w:r>
              <w:rPr>
                <w:rFonts w:ascii="Segoe UI"/>
                <w:color w:val="77787B"/>
                <w:sz w:val="16"/>
              </w:rPr>
              <w:t>%</w:t>
            </w:r>
            <w:r>
              <w:rPr>
                <w:rFonts w:ascii="Segoe UI"/>
                <w:sz w:val="16"/>
              </w:rPr>
            </w:r>
          </w:p>
          <w:p>
            <w:pPr>
              <w:pStyle w:val="TableParagraph"/>
              <w:spacing w:line="240" w:lineRule="auto" w:before="24"/>
              <w:ind w:left="180" w:right="0"/>
              <w:jc w:val="left"/>
              <w:rPr>
                <w:rFonts w:ascii="Segoe UI" w:hAnsi="Segoe UI" w:cs="Segoe UI" w:eastAsia="Segoe UI"/>
                <w:sz w:val="16"/>
                <w:szCs w:val="16"/>
              </w:rPr>
            </w:pPr>
            <w:r>
              <w:rPr>
                <w:rFonts w:ascii="Segoe UI"/>
                <w:color w:val="77787B"/>
                <w:sz w:val="16"/>
              </w:rPr>
              <w:t>Other private </w:t>
            </w:r>
            <w:r>
              <w:rPr>
                <w:rFonts w:ascii="Segoe UI"/>
                <w:color w:val="77787B"/>
                <w:spacing w:val="-1"/>
                <w:sz w:val="16"/>
              </w:rPr>
              <w:t>income</w:t>
            </w:r>
            <w:r>
              <w:rPr>
                <w:rFonts w:ascii="Segoe UI"/>
                <w:sz w:val="16"/>
              </w:rPr>
            </w:r>
          </w:p>
        </w:tc>
        <w:tc>
          <w:tcPr>
            <w:tcW w:w="791" w:type="dxa"/>
            <w:tcBorders>
              <w:top w:val="nil" w:sz="6" w:space="0" w:color="auto"/>
              <w:left w:val="nil" w:sz="6" w:space="0" w:color="auto"/>
              <w:bottom w:val="nil" w:sz="6" w:space="0" w:color="auto"/>
              <w:right w:val="nil" w:sz="6" w:space="0" w:color="auto"/>
            </w:tcBorders>
          </w:tcPr>
          <w:p>
            <w:pPr/>
          </w:p>
        </w:tc>
        <w:tc>
          <w:tcPr>
            <w:tcW w:w="902" w:type="dxa"/>
            <w:tcBorders>
              <w:top w:val="nil" w:sz="6" w:space="0" w:color="auto"/>
              <w:left w:val="nil" w:sz="6" w:space="0" w:color="auto"/>
              <w:bottom w:val="nil" w:sz="6" w:space="0" w:color="auto"/>
              <w:right w:val="nil" w:sz="6" w:space="0" w:color="auto"/>
            </w:tcBorders>
          </w:tcPr>
          <w:p>
            <w:pPr/>
          </w:p>
        </w:tc>
      </w:tr>
      <w:tr>
        <w:trPr>
          <w:trHeight w:val="768" w:hRule="exact"/>
        </w:trPr>
        <w:tc>
          <w:tcPr>
            <w:tcW w:w="962" w:type="dxa"/>
            <w:tcBorders>
              <w:top w:val="nil" w:sz="6" w:space="0" w:color="auto"/>
              <w:left w:val="nil" w:sz="6" w:space="0" w:color="auto"/>
              <w:bottom w:val="nil" w:sz="6" w:space="0" w:color="auto"/>
              <w:right w:val="nil" w:sz="6" w:space="0" w:color="auto"/>
            </w:tcBorders>
          </w:tcPr>
          <w:p>
            <w:pPr/>
          </w:p>
        </w:tc>
        <w:tc>
          <w:tcPr>
            <w:tcW w:w="2715" w:type="dxa"/>
            <w:tcBorders>
              <w:top w:val="nil" w:sz="6" w:space="0" w:color="auto"/>
              <w:left w:val="nil" w:sz="6" w:space="0" w:color="auto"/>
              <w:bottom w:val="nil" w:sz="6" w:space="0" w:color="auto"/>
              <w:right w:val="nil" w:sz="6" w:space="0" w:color="auto"/>
            </w:tcBorders>
          </w:tcPr>
          <w:p>
            <w:pPr>
              <w:pStyle w:val="TableParagraph"/>
              <w:spacing w:line="240" w:lineRule="auto" w:before="37"/>
              <w:ind w:left="321" w:right="0"/>
              <w:jc w:val="left"/>
              <w:rPr>
                <w:rFonts w:ascii="Segoe UI" w:hAnsi="Segoe UI" w:cs="Segoe UI" w:eastAsia="Segoe UI"/>
                <w:sz w:val="16"/>
                <w:szCs w:val="16"/>
              </w:rPr>
            </w:pPr>
            <w:r>
              <w:rPr>
                <w:rFonts w:ascii="Segoe UI"/>
                <w:color w:val="77787B"/>
                <w:spacing w:val="-1"/>
                <w:sz w:val="16"/>
              </w:rPr>
              <w:t>State </w:t>
            </w:r>
            <w:r>
              <w:rPr>
                <w:rFonts w:ascii="Segoe UI"/>
                <w:color w:val="77787B"/>
                <w:sz w:val="16"/>
              </w:rPr>
              <w:t>&amp;</w:t>
            </w:r>
            <w:r>
              <w:rPr>
                <w:rFonts w:ascii="Segoe UI"/>
                <w:color w:val="77787B"/>
                <w:spacing w:val="-1"/>
                <w:sz w:val="16"/>
              </w:rPr>
              <w:t> territory governments</w:t>
            </w:r>
            <w:r>
              <w:rPr>
                <w:rFonts w:ascii="Segoe UI"/>
                <w:sz w:val="16"/>
              </w:rPr>
            </w:r>
          </w:p>
        </w:tc>
        <w:tc>
          <w:tcPr>
            <w:tcW w:w="2615" w:type="dxa"/>
            <w:tcBorders>
              <w:top w:val="nil" w:sz="6" w:space="0" w:color="auto"/>
              <w:left w:val="nil" w:sz="6" w:space="0" w:color="auto"/>
              <w:bottom w:val="nil" w:sz="6" w:space="0" w:color="auto"/>
              <w:right w:val="nil" w:sz="6" w:space="0" w:color="auto"/>
            </w:tcBorders>
          </w:tcPr>
          <w:p>
            <w:pPr>
              <w:pStyle w:val="TableParagraph"/>
              <w:spacing w:line="240" w:lineRule="auto" w:before="37"/>
              <w:ind w:left="180" w:right="0"/>
              <w:jc w:val="left"/>
              <w:rPr>
                <w:rFonts w:ascii="Segoe UI" w:hAnsi="Segoe UI" w:cs="Segoe UI" w:eastAsia="Segoe UI"/>
                <w:sz w:val="16"/>
                <w:szCs w:val="16"/>
              </w:rPr>
            </w:pPr>
            <w:r>
              <w:rPr>
                <w:rFonts w:ascii="Segoe UI"/>
                <w:color w:val="77787B"/>
                <w:spacing w:val="-1"/>
                <w:sz w:val="16"/>
              </w:rPr>
              <w:t>Commonwealth</w:t>
            </w:r>
            <w:r>
              <w:rPr>
                <w:rFonts w:ascii="Segoe UI"/>
                <w:color w:val="77787B"/>
                <w:spacing w:val="1"/>
                <w:sz w:val="16"/>
              </w:rPr>
              <w:t> </w:t>
            </w:r>
            <w:r>
              <w:rPr>
                <w:rFonts w:ascii="Segoe UI"/>
                <w:color w:val="77787B"/>
                <w:spacing w:val="-2"/>
                <w:sz w:val="16"/>
              </w:rPr>
              <w:t>(excl.</w:t>
            </w:r>
            <w:r>
              <w:rPr>
                <w:rFonts w:ascii="Segoe UI"/>
                <w:color w:val="77787B"/>
                <w:spacing w:val="-1"/>
                <w:sz w:val="16"/>
              </w:rPr>
              <w:t> ABSTUDY)</w:t>
            </w:r>
            <w:r>
              <w:rPr>
                <w:rFonts w:ascii="Segoe UI"/>
                <w:sz w:val="16"/>
              </w:rPr>
            </w:r>
          </w:p>
        </w:tc>
        <w:tc>
          <w:tcPr>
            <w:tcW w:w="791" w:type="dxa"/>
            <w:tcBorders>
              <w:top w:val="nil" w:sz="6" w:space="0" w:color="auto"/>
              <w:left w:val="nil" w:sz="6" w:space="0" w:color="auto"/>
              <w:bottom w:val="nil" w:sz="6" w:space="0" w:color="auto"/>
              <w:right w:val="nil" w:sz="6" w:space="0" w:color="auto"/>
            </w:tcBorders>
          </w:tcPr>
          <w:p>
            <w:pPr/>
          </w:p>
        </w:tc>
        <w:tc>
          <w:tcPr>
            <w:tcW w:w="902" w:type="dxa"/>
            <w:tcBorders>
              <w:top w:val="nil" w:sz="6" w:space="0" w:color="auto"/>
              <w:left w:val="nil" w:sz="6" w:space="0" w:color="auto"/>
              <w:bottom w:val="nil" w:sz="6" w:space="0" w:color="auto"/>
              <w:right w:val="nil" w:sz="6" w:space="0" w:color="auto"/>
            </w:tcBorders>
          </w:tcPr>
          <w:p>
            <w:pPr/>
          </w:p>
        </w:tc>
      </w:tr>
    </w:tbl>
    <w:p>
      <w:pPr>
        <w:spacing w:line="240" w:lineRule="auto" w:before="6"/>
        <w:rPr>
          <w:rFonts w:ascii="Segoe UI Semibold" w:hAnsi="Segoe UI Semibold" w:cs="Segoe UI Semibold" w:eastAsia="Segoe UI Semibold"/>
          <w:b/>
          <w:bCs/>
          <w:sz w:val="26"/>
          <w:szCs w:val="26"/>
        </w:rPr>
      </w:pPr>
    </w:p>
    <w:p>
      <w:pPr>
        <w:spacing w:after="0" w:line="240" w:lineRule="auto"/>
        <w:rPr>
          <w:rFonts w:ascii="Segoe UI Semibold" w:hAnsi="Segoe UI Semibold" w:cs="Segoe UI Semibold" w:eastAsia="Segoe UI Semibold"/>
          <w:sz w:val="26"/>
          <w:szCs w:val="26"/>
        </w:rPr>
        <w:sectPr>
          <w:pgSz w:w="11910" w:h="16840"/>
          <w:pgMar w:header="0" w:footer="691" w:top="1580" w:bottom="880" w:left="1300" w:right="1600"/>
        </w:sectPr>
      </w:pPr>
    </w:p>
    <w:p>
      <w:pPr>
        <w:pStyle w:val="BodyText"/>
        <w:spacing w:line="250" w:lineRule="exact" w:before="62"/>
        <w:ind w:right="0"/>
        <w:jc w:val="left"/>
        <w:rPr>
          <w:rFonts w:ascii="Segoe UI" w:hAnsi="Segoe UI" w:cs="Segoe UI" w:eastAsia="Segoe UI"/>
        </w:rPr>
      </w:pPr>
      <w:r>
        <w:rPr/>
        <w:pict>
          <v:group style="position:absolute;margin-left:70.865997pt;margin-top:-315.912598pt;width:439.4pt;height:303.350pt;mso-position-horizontal-relative:page;mso-position-vertical-relative:paragraph;z-index:-225328" coordorigin="1417,-6318" coordsize="8788,6067">
            <v:group style="position:absolute;left:1517;top:-6218;width:8588;height:5867" coordorigin="1517,-6218" coordsize="8588,5867">
              <v:shape style="position:absolute;left:1517;top:-6218;width:8588;height:5867" coordorigin="1517,-6218" coordsize="8588,5867" path="m1517,-352l10105,-352,10105,-6218,1517,-6218,1517,-352xe" filled="false" stroked="true" strokeweight="10pt" strokecolor="#c1b5a9">
                <v:path arrowok="t"/>
              </v:shape>
            </v:group>
            <v:group style="position:absolute;left:9637;top:-5171;width:2;height:3103" coordorigin="9637,-5171" coordsize="2,3103">
              <v:shape style="position:absolute;left:9637;top:-5171;width:2;height:3103" coordorigin="9637,-5171" coordsize="0,3103" path="m9637,-5171l9637,-2069e" filled="false" stroked="true" strokeweight=".75pt" strokecolor="#dcddde">
                <v:path arrowok="t"/>
              </v:shape>
            </v:group>
            <v:group style="position:absolute;left:3104;top:-1347;width:99;height:99" coordorigin="3104,-1347" coordsize="99,99">
              <v:shape style="position:absolute;left:3104;top:-1347;width:99;height:99" coordorigin="3104,-1347" coordsize="99,99" path="m3104,-1347l3203,-1347,3203,-1249,3104,-1249,3104,-1347xe" filled="true" fillcolor="#5c4777" stroked="false">
                <v:path arrowok="t"/>
                <v:fill type="solid"/>
              </v:shape>
            </v:group>
            <v:group style="position:absolute;left:5678;top:-1347;width:99;height:99" coordorigin="5678,-1347" coordsize="99,99">
              <v:shape style="position:absolute;left:5678;top:-1347;width:99;height:99" coordorigin="5678,-1347" coordsize="99,99" path="m5678,-1347l5777,-1347,5777,-1249,5678,-1249,5678,-1347xe" filled="true" fillcolor="#9480ae" stroked="false">
                <v:path arrowok="t"/>
                <v:fill type="solid"/>
              </v:shape>
            </v:group>
            <v:group style="position:absolute;left:3104;top:-1010;width:99;height:99" coordorigin="3104,-1010" coordsize="99,99">
              <v:shape style="position:absolute;left:3104;top:-1010;width:99;height:99" coordorigin="3104,-1010" coordsize="99,99" path="m3104,-1010l3203,-1010,3203,-911,3104,-911,3104,-1010xe" filled="true" fillcolor="#b4a8c4" stroked="false">
                <v:path arrowok="t"/>
                <v:fill type="solid"/>
              </v:shape>
            </v:group>
            <v:group style="position:absolute;left:5678;top:-1010;width:99;height:99" coordorigin="5678,-1010" coordsize="99,99">
              <v:shape style="position:absolute;left:5678;top:-1010;width:99;height:99" coordorigin="5678,-1010" coordsize="99,99" path="m5678,-1010l5777,-1010,5777,-911,5678,-911,5678,-1010xe" filled="true" fillcolor="#cdc5d6" stroked="false">
                <v:path arrowok="t"/>
                <v:fill type="solid"/>
              </v:shape>
              <v:shape style="position:absolute;left:1704;top:-6048;width:7357;height:360" type="#_x0000_t202" filled="false" stroked="false">
                <v:textbox inset="0,0,0,0">
                  <w:txbxContent>
                    <w:p>
                      <w:pPr>
                        <w:spacing w:line="164" w:lineRule="exact" w:before="0"/>
                        <w:ind w:left="0" w:right="0" w:hanging="1"/>
                        <w:jc w:val="left"/>
                        <w:rPr>
                          <w:rFonts w:ascii="Segoe UI Semibold" w:hAnsi="Segoe UI Semibold" w:cs="Segoe UI Semibold" w:eastAsia="Segoe UI Semibold"/>
                          <w:sz w:val="16"/>
                          <w:szCs w:val="16"/>
                        </w:rPr>
                      </w:pPr>
                      <w:r>
                        <w:rPr>
                          <w:rFonts w:ascii="Segoe UI Semibold"/>
                          <w:b/>
                          <w:color w:val="666155"/>
                          <w:spacing w:val="4"/>
                          <w:sz w:val="16"/>
                        </w:rPr>
                        <w:t>GRAPH</w:t>
                      </w:r>
                      <w:r>
                        <w:rPr>
                          <w:rFonts w:ascii="Segoe UI Semibold"/>
                          <w:b/>
                          <w:color w:val="666155"/>
                          <w:spacing w:val="-1"/>
                          <w:sz w:val="16"/>
                        </w:rPr>
                        <w:t> </w:t>
                      </w:r>
                      <w:r>
                        <w:rPr>
                          <w:rFonts w:ascii="Segoe UI Semibold"/>
                          <w:b/>
                          <w:color w:val="666155"/>
                          <w:sz w:val="16"/>
                        </w:rPr>
                        <w:t>1:</w:t>
                      </w:r>
                      <w:r>
                        <w:rPr>
                          <w:rFonts w:ascii="Segoe UI Semibold"/>
                          <w:b/>
                          <w:color w:val="666155"/>
                          <w:spacing w:val="-1"/>
                          <w:sz w:val="16"/>
                        </w:rPr>
                        <w:t> </w:t>
                      </w:r>
                      <w:r>
                        <w:rPr>
                          <w:rFonts w:ascii="Segoe UI Semibold"/>
                          <w:b/>
                          <w:color w:val="666155"/>
                          <w:spacing w:val="4"/>
                          <w:sz w:val="16"/>
                        </w:rPr>
                        <w:t>SOURCES</w:t>
                      </w:r>
                      <w:r>
                        <w:rPr>
                          <w:rFonts w:ascii="Segoe UI Semibold"/>
                          <w:b/>
                          <w:color w:val="666155"/>
                          <w:spacing w:val="2"/>
                          <w:sz w:val="16"/>
                        </w:rPr>
                        <w:t> OF</w:t>
                      </w:r>
                      <w:r>
                        <w:rPr>
                          <w:rFonts w:ascii="Segoe UI Semibold"/>
                          <w:b/>
                          <w:color w:val="666155"/>
                          <w:spacing w:val="1"/>
                          <w:sz w:val="16"/>
                        </w:rPr>
                        <w:t> </w:t>
                      </w:r>
                      <w:r>
                        <w:rPr>
                          <w:rFonts w:ascii="Segoe UI Semibold"/>
                          <w:b/>
                          <w:color w:val="666155"/>
                          <w:spacing w:val="4"/>
                          <w:sz w:val="16"/>
                        </w:rPr>
                        <w:t>BOARDING</w:t>
                      </w:r>
                      <w:r>
                        <w:rPr>
                          <w:rFonts w:ascii="Segoe UI Semibold"/>
                          <w:b/>
                          <w:color w:val="666155"/>
                          <w:spacing w:val="2"/>
                          <w:sz w:val="16"/>
                        </w:rPr>
                        <w:t> INCOME</w:t>
                      </w:r>
                      <w:r>
                        <w:rPr>
                          <w:rFonts w:ascii="Segoe UI Semibold"/>
                          <w:b/>
                          <w:color w:val="666155"/>
                          <w:spacing w:val="1"/>
                          <w:position w:val="5"/>
                          <w:sz w:val="9"/>
                        </w:rPr>
                        <w:t>137</w:t>
                      </w:r>
                      <w:r>
                        <w:rPr>
                          <w:rFonts w:ascii="Segoe UI Semibold"/>
                          <w:b/>
                          <w:color w:val="666155"/>
                          <w:spacing w:val="19"/>
                          <w:position w:val="5"/>
                          <w:sz w:val="9"/>
                        </w:rPr>
                        <w:t> </w:t>
                      </w:r>
                      <w:r>
                        <w:rPr>
                          <w:rFonts w:ascii="Segoe UI Semibold"/>
                          <w:b/>
                          <w:color w:val="666155"/>
                          <w:spacing w:val="3"/>
                          <w:sz w:val="16"/>
                        </w:rPr>
                        <w:t>FOR</w:t>
                      </w:r>
                      <w:r>
                        <w:rPr>
                          <w:rFonts w:ascii="Segoe UI Semibold"/>
                          <w:b/>
                          <w:color w:val="666155"/>
                          <w:spacing w:val="2"/>
                          <w:sz w:val="16"/>
                        </w:rPr>
                        <w:t> </w:t>
                      </w:r>
                      <w:r>
                        <w:rPr>
                          <w:rFonts w:ascii="Segoe UI Semibold"/>
                          <w:b/>
                          <w:color w:val="666155"/>
                          <w:spacing w:val="4"/>
                          <w:sz w:val="16"/>
                        </w:rPr>
                        <w:t>ABORIGINAL</w:t>
                      </w:r>
                      <w:r>
                        <w:rPr>
                          <w:rFonts w:ascii="Segoe UI Semibold"/>
                          <w:b/>
                          <w:color w:val="666155"/>
                          <w:spacing w:val="3"/>
                          <w:sz w:val="16"/>
                        </w:rPr>
                        <w:t> AND</w:t>
                      </w:r>
                      <w:r>
                        <w:rPr>
                          <w:rFonts w:ascii="Segoe UI Semibold"/>
                          <w:b/>
                          <w:color w:val="666155"/>
                          <w:spacing w:val="2"/>
                          <w:sz w:val="16"/>
                        </w:rPr>
                        <w:t> </w:t>
                      </w:r>
                      <w:r>
                        <w:rPr>
                          <w:rFonts w:ascii="Segoe UI Semibold"/>
                          <w:b/>
                          <w:color w:val="666155"/>
                          <w:spacing w:val="3"/>
                          <w:sz w:val="16"/>
                        </w:rPr>
                        <w:t>TORRES</w:t>
                      </w:r>
                      <w:r>
                        <w:rPr>
                          <w:rFonts w:ascii="Segoe UI Semibold"/>
                          <w:b/>
                          <w:color w:val="666155"/>
                          <w:spacing w:val="2"/>
                          <w:sz w:val="16"/>
                        </w:rPr>
                        <w:t> </w:t>
                      </w:r>
                      <w:r>
                        <w:rPr>
                          <w:rFonts w:ascii="Segoe UI Semibold"/>
                          <w:b/>
                          <w:color w:val="666155"/>
                          <w:spacing w:val="4"/>
                          <w:sz w:val="16"/>
                        </w:rPr>
                        <w:t>STRAIT</w:t>
                      </w:r>
                      <w:r>
                        <w:rPr>
                          <w:rFonts w:ascii="Segoe UI Semibold"/>
                          <w:b/>
                          <w:color w:val="666155"/>
                          <w:spacing w:val="2"/>
                          <w:sz w:val="16"/>
                        </w:rPr>
                        <w:t> </w:t>
                      </w:r>
                      <w:r>
                        <w:rPr>
                          <w:rFonts w:ascii="Segoe UI Semibold"/>
                          <w:b/>
                          <w:color w:val="666155"/>
                          <w:spacing w:val="5"/>
                          <w:sz w:val="16"/>
                        </w:rPr>
                        <w:t>ISLANDER</w:t>
                      </w:r>
                      <w:r>
                        <w:rPr>
                          <w:rFonts w:ascii="Segoe UI Semibold"/>
                          <w:sz w:val="16"/>
                        </w:rPr>
                      </w:r>
                    </w:p>
                    <w:p>
                      <w:pPr>
                        <w:spacing w:line="196" w:lineRule="exact" w:before="0"/>
                        <w:ind w:left="0" w:right="0" w:firstLine="0"/>
                        <w:jc w:val="left"/>
                        <w:rPr>
                          <w:rFonts w:ascii="Segoe UI Semibold" w:hAnsi="Segoe UI Semibold" w:cs="Segoe UI Semibold" w:eastAsia="Segoe UI Semibold"/>
                          <w:sz w:val="16"/>
                          <w:szCs w:val="16"/>
                        </w:rPr>
                      </w:pPr>
                      <w:r>
                        <w:rPr>
                          <w:rFonts w:ascii="Segoe UI Semibold"/>
                          <w:b/>
                          <w:color w:val="666155"/>
                          <w:spacing w:val="4"/>
                          <w:sz w:val="16"/>
                        </w:rPr>
                        <w:t>BOARDING</w:t>
                      </w:r>
                      <w:r>
                        <w:rPr>
                          <w:rFonts w:ascii="Segoe UI Semibold"/>
                          <w:b/>
                          <w:color w:val="666155"/>
                          <w:spacing w:val="-10"/>
                          <w:sz w:val="16"/>
                        </w:rPr>
                        <w:t> </w:t>
                      </w:r>
                      <w:r>
                        <w:rPr>
                          <w:rFonts w:ascii="Segoe UI Semibold"/>
                          <w:b/>
                          <w:color w:val="666155"/>
                          <w:spacing w:val="4"/>
                          <w:sz w:val="16"/>
                        </w:rPr>
                        <w:t>PROVIDERS</w:t>
                      </w:r>
                      <w:r>
                        <w:rPr>
                          <w:rFonts w:ascii="Segoe UI Semibold"/>
                          <w:sz w:val="16"/>
                        </w:rPr>
                      </w:r>
                    </w:p>
                  </w:txbxContent>
                </v:textbox>
                <w10:wrap type="none"/>
              </v:shape>
              <v:shape style="position:absolute;left:1813;top:-5005;width:558;height:380" type="#_x0000_t202" filled="false" stroked="false">
                <v:textbox inset="0,0,0,0">
                  <w:txbxContent>
                    <w:p>
                      <w:pPr>
                        <w:spacing w:line="162" w:lineRule="exact" w:before="0"/>
                        <w:ind w:left="0" w:right="0" w:firstLine="64"/>
                        <w:jc w:val="left"/>
                        <w:rPr>
                          <w:rFonts w:ascii="Segoe UI" w:hAnsi="Segoe UI" w:cs="Segoe UI" w:eastAsia="Segoe UI"/>
                          <w:sz w:val="16"/>
                          <w:szCs w:val="16"/>
                        </w:rPr>
                      </w:pPr>
                      <w:r>
                        <w:rPr>
                          <w:rFonts w:ascii="Segoe UI"/>
                          <w:color w:val="77787B"/>
                          <w:sz w:val="16"/>
                        </w:rPr>
                        <w:t>3 year</w:t>
                      </w:r>
                      <w:r>
                        <w:rPr>
                          <w:rFonts w:ascii="Segoe UI"/>
                          <w:sz w:val="16"/>
                        </w:rPr>
                      </w:r>
                    </w:p>
                    <w:p>
                      <w:pPr>
                        <w:spacing w:line="211" w:lineRule="exact" w:before="6"/>
                        <w:ind w:left="0" w:right="0" w:firstLine="0"/>
                        <w:jc w:val="left"/>
                        <w:rPr>
                          <w:rFonts w:ascii="Segoe UI" w:hAnsi="Segoe UI" w:cs="Segoe UI" w:eastAsia="Segoe UI"/>
                          <w:sz w:val="16"/>
                          <w:szCs w:val="16"/>
                        </w:rPr>
                      </w:pPr>
                      <w:r>
                        <w:rPr>
                          <w:rFonts w:ascii="Segoe UI"/>
                          <w:color w:val="77787B"/>
                          <w:spacing w:val="-1"/>
                          <w:sz w:val="16"/>
                        </w:rPr>
                        <w:t>average</w:t>
                      </w:r>
                      <w:r>
                        <w:rPr>
                          <w:rFonts w:ascii="Segoe UI"/>
                          <w:sz w:val="16"/>
                        </w:rPr>
                      </w:r>
                    </w:p>
                  </w:txbxContent>
                </v:textbox>
                <w10:wrap type="none"/>
              </v:shape>
              <v:shape style="position:absolute;left:2029;top:-4089;width:345;height:160" type="#_x0000_t202" filled="false" stroked="false">
                <v:textbox inset="0,0,0,0">
                  <w:txbxContent>
                    <w:p>
                      <w:pPr>
                        <w:spacing w:line="160" w:lineRule="exact" w:before="0"/>
                        <w:ind w:left="0" w:right="0" w:firstLine="0"/>
                        <w:jc w:val="left"/>
                        <w:rPr>
                          <w:rFonts w:ascii="Segoe UI" w:hAnsi="Segoe UI" w:cs="Segoe UI" w:eastAsia="Segoe UI"/>
                          <w:sz w:val="16"/>
                          <w:szCs w:val="16"/>
                        </w:rPr>
                      </w:pPr>
                      <w:r>
                        <w:rPr>
                          <w:rFonts w:ascii="Segoe UI"/>
                          <w:color w:val="77787B"/>
                          <w:sz w:val="16"/>
                        </w:rPr>
                        <w:t>2017</w:t>
                      </w:r>
                      <w:r>
                        <w:rPr>
                          <w:rFonts w:ascii="Segoe UI"/>
                          <w:sz w:val="16"/>
                        </w:rPr>
                      </w:r>
                    </w:p>
                  </w:txbxContent>
                </v:textbox>
                <w10:wrap type="none"/>
              </v:shape>
              <v:shape style="position:absolute;left:2029;top:-3314;width:345;height:160" type="#_x0000_t202" filled="false" stroked="false">
                <v:textbox inset="0,0,0,0">
                  <w:txbxContent>
                    <w:p>
                      <w:pPr>
                        <w:spacing w:line="160" w:lineRule="exact" w:before="0"/>
                        <w:ind w:left="0" w:right="0" w:firstLine="0"/>
                        <w:jc w:val="left"/>
                        <w:rPr>
                          <w:rFonts w:ascii="Segoe UI" w:hAnsi="Segoe UI" w:cs="Segoe UI" w:eastAsia="Segoe UI"/>
                          <w:sz w:val="16"/>
                          <w:szCs w:val="16"/>
                        </w:rPr>
                      </w:pPr>
                      <w:r>
                        <w:rPr>
                          <w:rFonts w:ascii="Segoe UI"/>
                          <w:color w:val="77787B"/>
                          <w:sz w:val="16"/>
                        </w:rPr>
                        <w:t>2016</w:t>
                      </w:r>
                      <w:r>
                        <w:rPr>
                          <w:rFonts w:ascii="Segoe UI"/>
                          <w:sz w:val="16"/>
                        </w:rPr>
                      </w:r>
                    </w:p>
                  </w:txbxContent>
                </v:textbox>
                <w10:wrap type="none"/>
              </v:shape>
              <v:shape style="position:absolute;left:2029;top:-2539;width:345;height:160" type="#_x0000_t202" filled="false" stroked="false">
                <v:textbox inset="0,0,0,0">
                  <w:txbxContent>
                    <w:p>
                      <w:pPr>
                        <w:spacing w:line="160" w:lineRule="exact" w:before="0"/>
                        <w:ind w:left="0" w:right="0" w:firstLine="0"/>
                        <w:jc w:val="left"/>
                        <w:rPr>
                          <w:rFonts w:ascii="Segoe UI" w:hAnsi="Segoe UI" w:cs="Segoe UI" w:eastAsia="Segoe UI"/>
                          <w:sz w:val="16"/>
                          <w:szCs w:val="16"/>
                        </w:rPr>
                      </w:pPr>
                      <w:r>
                        <w:rPr>
                          <w:rFonts w:ascii="Segoe UI"/>
                          <w:color w:val="77787B"/>
                          <w:sz w:val="16"/>
                        </w:rPr>
                        <w:t>2015</w:t>
                      </w:r>
                      <w:r>
                        <w:rPr>
                          <w:rFonts w:ascii="Segoe UI"/>
                          <w:sz w:val="16"/>
                        </w:rPr>
                      </w:r>
                    </w:p>
                  </w:txbxContent>
                </v:textbox>
                <w10:wrap type="none"/>
              </v:shape>
            </v:group>
            <w10:wrap type="none"/>
          </v:group>
        </w:pict>
      </w:r>
      <w:r>
        <w:rPr>
          <w:color w:val="231F20"/>
          <w:spacing w:val="-1"/>
        </w:rPr>
        <w:t>Boarding</w:t>
      </w:r>
      <w:r>
        <w:rPr>
          <w:color w:val="231F20"/>
          <w:spacing w:val="-7"/>
        </w:rPr>
        <w:t> </w:t>
      </w:r>
      <w:r>
        <w:rPr>
          <w:color w:val="231F20"/>
        </w:rPr>
        <w:t>providers</w:t>
      </w:r>
      <w:r>
        <w:rPr>
          <w:color w:val="231F20"/>
          <w:spacing w:val="-7"/>
        </w:rPr>
        <w:t> </w:t>
      </w:r>
      <w:r>
        <w:rPr>
          <w:color w:val="231F20"/>
        </w:rPr>
        <w:t>report</w:t>
      </w:r>
      <w:r>
        <w:rPr>
          <w:color w:val="231F20"/>
          <w:spacing w:val="-8"/>
        </w:rPr>
        <w:t> </w:t>
      </w:r>
      <w:r>
        <w:rPr>
          <w:color w:val="231F20"/>
        </w:rPr>
        <w:t>fees</w:t>
      </w:r>
      <w:r>
        <w:rPr>
          <w:color w:val="231F20"/>
          <w:spacing w:val="-7"/>
        </w:rPr>
        <w:t> </w:t>
      </w:r>
      <w:r>
        <w:rPr>
          <w:color w:val="231F20"/>
        </w:rPr>
        <w:t>and</w:t>
      </w:r>
      <w:r>
        <w:rPr>
          <w:color w:val="231F20"/>
          <w:spacing w:val="-7"/>
        </w:rPr>
        <w:t> </w:t>
      </w:r>
      <w:r>
        <w:rPr>
          <w:color w:val="231F20"/>
        </w:rPr>
        <w:t>charges</w:t>
      </w:r>
      <w:r>
        <w:rPr>
          <w:color w:val="231F20"/>
          <w:spacing w:val="22"/>
          <w:w w:val="99"/>
        </w:rPr>
        <w:t> </w:t>
      </w:r>
      <w:r>
        <w:rPr>
          <w:color w:val="231F20"/>
        </w:rPr>
        <w:t>revenue,</w:t>
      </w:r>
      <w:r>
        <w:rPr>
          <w:color w:val="231F20"/>
          <w:spacing w:val="-6"/>
        </w:rPr>
        <w:t> </w:t>
      </w:r>
      <w:r>
        <w:rPr>
          <w:color w:val="231F20"/>
        </w:rPr>
        <w:t>and</w:t>
      </w:r>
      <w:r>
        <w:rPr>
          <w:color w:val="231F20"/>
          <w:spacing w:val="-6"/>
        </w:rPr>
        <w:t> </w:t>
      </w:r>
      <w:r>
        <w:rPr>
          <w:color w:val="231F20"/>
        </w:rPr>
        <w:t>the</w:t>
      </w:r>
      <w:r>
        <w:rPr>
          <w:color w:val="231F20"/>
          <w:spacing w:val="-6"/>
        </w:rPr>
        <w:t> </w:t>
      </w:r>
      <w:r>
        <w:rPr>
          <w:color w:val="231F20"/>
          <w:spacing w:val="-1"/>
        </w:rPr>
        <w:t>split</w:t>
      </w:r>
      <w:r>
        <w:rPr>
          <w:color w:val="231F20"/>
          <w:spacing w:val="-5"/>
        </w:rPr>
        <w:t> </w:t>
      </w:r>
      <w:r>
        <w:rPr>
          <w:color w:val="231F20"/>
        </w:rPr>
        <w:t>of</w:t>
      </w:r>
      <w:r>
        <w:rPr>
          <w:color w:val="231F20"/>
          <w:spacing w:val="-5"/>
        </w:rPr>
        <w:t> </w:t>
      </w:r>
      <w:r>
        <w:rPr>
          <w:color w:val="231F20"/>
        </w:rPr>
        <w:t>that</w:t>
      </w:r>
      <w:r>
        <w:rPr>
          <w:color w:val="231F20"/>
          <w:spacing w:val="-5"/>
        </w:rPr>
        <w:t> </w:t>
      </w:r>
      <w:r>
        <w:rPr>
          <w:color w:val="231F20"/>
        </w:rPr>
        <w:t>revenue</w:t>
      </w:r>
      <w:r>
        <w:rPr>
          <w:color w:val="231F20"/>
          <w:spacing w:val="-6"/>
        </w:rPr>
        <w:t> </w:t>
      </w:r>
      <w:r>
        <w:rPr>
          <w:color w:val="231F20"/>
        </w:rPr>
        <w:t>between</w:t>
      </w:r>
      <w:r>
        <w:rPr>
          <w:color w:val="231F20"/>
          <w:spacing w:val="21"/>
          <w:w w:val="99"/>
        </w:rPr>
        <w:t> </w:t>
      </w:r>
      <w:r>
        <w:rPr>
          <w:rFonts w:ascii="Segoe UI"/>
          <w:color w:val="231F20"/>
        </w:rPr>
        <w:t>tuition</w:t>
      </w:r>
      <w:r>
        <w:rPr>
          <w:rFonts w:ascii="Segoe UI"/>
          <w:color w:val="231F20"/>
          <w:spacing w:val="-2"/>
        </w:rPr>
        <w:t> </w:t>
      </w:r>
      <w:r>
        <w:rPr>
          <w:rFonts w:ascii="Segoe UI"/>
          <w:color w:val="231F20"/>
        </w:rPr>
        <w:t>and</w:t>
      </w:r>
      <w:r>
        <w:rPr>
          <w:rFonts w:ascii="Segoe UI"/>
          <w:color w:val="231F20"/>
          <w:spacing w:val="-1"/>
        </w:rPr>
        <w:t> </w:t>
      </w:r>
      <w:r>
        <w:rPr>
          <w:rFonts w:ascii="Segoe UI"/>
          <w:color w:val="231F20"/>
        </w:rPr>
        <w:t>boarding,</w:t>
      </w:r>
      <w:r>
        <w:rPr>
          <w:rFonts w:ascii="Segoe UI"/>
          <w:color w:val="231F20"/>
          <w:spacing w:val="-1"/>
        </w:rPr>
        <w:t> </w:t>
      </w:r>
      <w:r>
        <w:rPr>
          <w:rFonts w:ascii="Segoe UI"/>
          <w:color w:val="231F20"/>
        </w:rPr>
        <w:t>in</w:t>
      </w:r>
      <w:r>
        <w:rPr>
          <w:rFonts w:ascii="Segoe UI"/>
          <w:color w:val="231F20"/>
          <w:spacing w:val="-1"/>
        </w:rPr>
        <w:t> </w:t>
      </w:r>
      <w:r>
        <w:rPr>
          <w:rFonts w:ascii="Segoe UI"/>
          <w:color w:val="231F20"/>
        </w:rPr>
        <w:t>different</w:t>
      </w:r>
      <w:r>
        <w:rPr>
          <w:rFonts w:ascii="Segoe UI"/>
          <w:color w:val="231F20"/>
          <w:spacing w:val="-2"/>
        </w:rPr>
        <w:t> </w:t>
      </w:r>
      <w:r>
        <w:rPr>
          <w:rFonts w:ascii="Segoe UI"/>
          <w:color w:val="231F20"/>
        </w:rPr>
        <w:t>ways.</w:t>
      </w:r>
      <w:r>
        <w:rPr>
          <w:rFonts w:ascii="Segoe UI"/>
          <w:color w:val="231F20"/>
          <w:spacing w:val="-1"/>
        </w:rPr>
        <w:t> </w:t>
      </w:r>
      <w:r>
        <w:rPr>
          <w:rFonts w:ascii="Segoe UI"/>
          <w:color w:val="231F20"/>
        </w:rPr>
        <w:t>As</w:t>
      </w:r>
      <w:r>
        <w:rPr>
          <w:rFonts w:ascii="Segoe UI"/>
        </w:rPr>
      </w:r>
    </w:p>
    <w:p>
      <w:pPr>
        <w:pStyle w:val="BodyText"/>
        <w:spacing w:line="250" w:lineRule="exact"/>
        <w:ind w:right="0"/>
        <w:jc w:val="left"/>
      </w:pPr>
      <w:r>
        <w:rPr>
          <w:color w:val="231F20"/>
          <w:spacing w:val="-1"/>
        </w:rPr>
        <w:t>such,</w:t>
      </w:r>
      <w:r>
        <w:rPr>
          <w:color w:val="231F20"/>
          <w:spacing w:val="-4"/>
        </w:rPr>
        <w:t> </w:t>
      </w:r>
      <w:r>
        <w:rPr>
          <w:color w:val="231F20"/>
          <w:spacing w:val="-1"/>
        </w:rPr>
        <w:t>it</w:t>
      </w:r>
      <w:r>
        <w:rPr>
          <w:color w:val="231F20"/>
          <w:spacing w:val="-4"/>
        </w:rPr>
        <w:t> </w:t>
      </w:r>
      <w:r>
        <w:rPr>
          <w:color w:val="231F20"/>
        </w:rPr>
        <w:t>was</w:t>
      </w:r>
      <w:r>
        <w:rPr>
          <w:color w:val="231F20"/>
          <w:spacing w:val="-4"/>
        </w:rPr>
        <w:t> </w:t>
      </w:r>
      <w:r>
        <w:rPr>
          <w:color w:val="231F20"/>
        </w:rPr>
        <w:t>not</w:t>
      </w:r>
      <w:r>
        <w:rPr>
          <w:color w:val="231F20"/>
          <w:spacing w:val="-4"/>
        </w:rPr>
        <w:t> </w:t>
      </w:r>
      <w:r>
        <w:rPr>
          <w:color w:val="231F20"/>
        </w:rPr>
        <w:t>possible</w:t>
      </w:r>
      <w:r>
        <w:rPr>
          <w:color w:val="231F20"/>
          <w:spacing w:val="-4"/>
        </w:rPr>
        <w:t> </w:t>
      </w:r>
      <w:r>
        <w:rPr>
          <w:color w:val="231F20"/>
        </w:rPr>
        <w:t>to</w:t>
      </w:r>
      <w:r>
        <w:rPr>
          <w:color w:val="231F20"/>
          <w:spacing w:val="-4"/>
        </w:rPr>
        <w:t> </w:t>
      </w:r>
      <w:r>
        <w:rPr>
          <w:color w:val="231F20"/>
        </w:rPr>
        <w:t>determine</w:t>
      </w:r>
      <w:r>
        <w:rPr>
          <w:color w:val="231F20"/>
          <w:spacing w:val="-4"/>
        </w:rPr>
        <w:t> </w:t>
      </w:r>
      <w:r>
        <w:rPr>
          <w:color w:val="231F20"/>
        </w:rPr>
        <w:t>the</w:t>
      </w:r>
      <w:r>
        <w:rPr>
          <w:color w:val="231F20"/>
          <w:spacing w:val="-5"/>
        </w:rPr>
        <w:t> </w:t>
      </w:r>
      <w:r>
        <w:rPr>
          <w:color w:val="231F20"/>
        </w:rPr>
        <w:t>total</w:t>
      </w:r>
      <w:r>
        <w:rPr>
          <w:color w:val="231F20"/>
          <w:spacing w:val="22"/>
          <w:w w:val="99"/>
        </w:rPr>
        <w:t> </w:t>
      </w:r>
      <w:r>
        <w:rPr>
          <w:color w:val="231F20"/>
        </w:rPr>
        <w:t>ABSTUDY</w:t>
      </w:r>
      <w:r>
        <w:rPr>
          <w:color w:val="231F20"/>
          <w:spacing w:val="-6"/>
        </w:rPr>
        <w:t> </w:t>
      </w:r>
      <w:r>
        <w:rPr>
          <w:color w:val="231F20"/>
        </w:rPr>
        <w:t>receipts</w:t>
      </w:r>
      <w:r>
        <w:rPr>
          <w:color w:val="231F20"/>
          <w:spacing w:val="-5"/>
        </w:rPr>
        <w:t> </w:t>
      </w:r>
      <w:r>
        <w:rPr>
          <w:color w:val="231F20"/>
        </w:rPr>
        <w:t>for</w:t>
      </w:r>
      <w:r>
        <w:rPr>
          <w:color w:val="231F20"/>
          <w:spacing w:val="-5"/>
        </w:rPr>
        <w:t> </w:t>
      </w:r>
      <w:r>
        <w:rPr>
          <w:color w:val="231F20"/>
        </w:rPr>
        <w:t>boarding</w:t>
      </w:r>
      <w:r>
        <w:rPr>
          <w:color w:val="231F20"/>
          <w:spacing w:val="-5"/>
        </w:rPr>
        <w:t> </w:t>
      </w:r>
      <w:r>
        <w:rPr>
          <w:color w:val="231F20"/>
        </w:rPr>
        <w:t>only</w:t>
      </w:r>
      <w:r>
        <w:rPr>
          <w:color w:val="231F20"/>
          <w:spacing w:val="-6"/>
        </w:rPr>
        <w:t> </w:t>
      </w:r>
      <w:r>
        <w:rPr>
          <w:color w:val="231F20"/>
        </w:rPr>
        <w:t>at</w:t>
      </w:r>
      <w:r>
        <w:rPr>
          <w:color w:val="231F20"/>
          <w:spacing w:val="-4"/>
        </w:rPr>
        <w:t> </w:t>
      </w:r>
      <w:r>
        <w:rPr>
          <w:color w:val="231F20"/>
        </w:rPr>
        <w:t>each</w:t>
      </w:r>
      <w:r>
        <w:rPr/>
      </w:r>
    </w:p>
    <w:p>
      <w:pPr>
        <w:pStyle w:val="BodyText"/>
        <w:spacing w:line="250" w:lineRule="exact"/>
        <w:ind w:right="63"/>
        <w:jc w:val="left"/>
      </w:pPr>
      <w:r>
        <w:rPr>
          <w:color w:val="231F20"/>
        </w:rPr>
        <w:t>of</w:t>
      </w:r>
      <w:r>
        <w:rPr>
          <w:color w:val="231F20"/>
          <w:spacing w:val="-5"/>
        </w:rPr>
        <w:t> </w:t>
      </w:r>
      <w:r>
        <w:rPr>
          <w:color w:val="231F20"/>
        </w:rPr>
        <w:t>the</w:t>
      </w:r>
      <w:r>
        <w:rPr>
          <w:color w:val="231F20"/>
          <w:spacing w:val="-6"/>
        </w:rPr>
        <w:t> </w:t>
      </w:r>
      <w:r>
        <w:rPr>
          <w:color w:val="231F20"/>
        </w:rPr>
        <w:t>Aboriginal</w:t>
      </w:r>
      <w:r>
        <w:rPr>
          <w:color w:val="231F20"/>
          <w:spacing w:val="-4"/>
        </w:rPr>
        <w:t> </w:t>
      </w:r>
      <w:r>
        <w:rPr>
          <w:color w:val="231F20"/>
        </w:rPr>
        <w:t>and</w:t>
      </w:r>
      <w:r>
        <w:rPr>
          <w:color w:val="231F20"/>
          <w:spacing w:val="-6"/>
        </w:rPr>
        <w:t> </w:t>
      </w:r>
      <w:r>
        <w:rPr>
          <w:color w:val="231F20"/>
          <w:spacing w:val="-5"/>
        </w:rPr>
        <w:t>Torres</w:t>
      </w:r>
      <w:r>
        <w:rPr>
          <w:color w:val="231F20"/>
          <w:spacing w:val="-4"/>
        </w:rPr>
        <w:t> </w:t>
      </w:r>
      <w:r>
        <w:rPr>
          <w:color w:val="231F20"/>
          <w:spacing w:val="-2"/>
        </w:rPr>
        <w:t>Strait</w:t>
      </w:r>
      <w:r>
        <w:rPr>
          <w:color w:val="231F20"/>
          <w:spacing w:val="-6"/>
        </w:rPr>
        <w:t> </w:t>
      </w:r>
      <w:r>
        <w:rPr>
          <w:color w:val="231F20"/>
          <w:spacing w:val="-1"/>
        </w:rPr>
        <w:t>Islander</w:t>
      </w:r>
      <w:r>
        <w:rPr>
          <w:color w:val="231F20"/>
          <w:spacing w:val="29"/>
          <w:w w:val="99"/>
        </w:rPr>
        <w:t> </w:t>
      </w:r>
      <w:r>
        <w:rPr>
          <w:color w:val="231F20"/>
        </w:rPr>
        <w:t>boarding</w:t>
      </w:r>
      <w:r>
        <w:rPr>
          <w:color w:val="231F20"/>
          <w:spacing w:val="-18"/>
        </w:rPr>
        <w:t> </w:t>
      </w:r>
      <w:r>
        <w:rPr>
          <w:color w:val="231F20"/>
        </w:rPr>
        <w:t>providers.</w:t>
      </w:r>
      <w:r>
        <w:rPr/>
      </w:r>
    </w:p>
    <w:p>
      <w:pPr>
        <w:pStyle w:val="BodyText"/>
        <w:spacing w:line="250" w:lineRule="exact" w:before="113"/>
        <w:ind w:right="18"/>
        <w:jc w:val="left"/>
      </w:pPr>
      <w:r>
        <w:rPr>
          <w:color w:val="231F20"/>
          <w:spacing w:val="-1"/>
        </w:rPr>
        <w:t>Some</w:t>
      </w:r>
      <w:r>
        <w:rPr>
          <w:color w:val="231F20"/>
          <w:spacing w:val="-3"/>
        </w:rPr>
        <w:t> </w:t>
      </w:r>
      <w:r>
        <w:rPr>
          <w:color w:val="231F20"/>
        </w:rPr>
        <w:t>boarding</w:t>
      </w:r>
      <w:r>
        <w:rPr>
          <w:color w:val="231F20"/>
          <w:spacing w:val="-3"/>
        </w:rPr>
        <w:t> </w:t>
      </w:r>
      <w:r>
        <w:rPr>
          <w:color w:val="231F20"/>
        </w:rPr>
        <w:t>facilities</w:t>
      </w:r>
      <w:r>
        <w:rPr>
          <w:color w:val="231F20"/>
          <w:spacing w:val="-4"/>
        </w:rPr>
        <w:t> </w:t>
      </w:r>
      <w:r>
        <w:rPr>
          <w:color w:val="231F20"/>
        </w:rPr>
        <w:t>are</w:t>
      </w:r>
      <w:r>
        <w:rPr>
          <w:color w:val="231F20"/>
          <w:spacing w:val="-3"/>
        </w:rPr>
        <w:t> </w:t>
      </w:r>
      <w:r>
        <w:rPr>
          <w:color w:val="231F20"/>
        </w:rPr>
        <w:t>part</w:t>
      </w:r>
      <w:r>
        <w:rPr>
          <w:color w:val="231F20"/>
          <w:spacing w:val="-3"/>
        </w:rPr>
        <w:t> </w:t>
      </w:r>
      <w:r>
        <w:rPr>
          <w:color w:val="231F20"/>
        </w:rPr>
        <w:t>of</w:t>
      </w:r>
      <w:r>
        <w:rPr>
          <w:color w:val="231F20"/>
          <w:spacing w:val="-2"/>
        </w:rPr>
        <w:t> </w:t>
      </w:r>
      <w:r>
        <w:rPr>
          <w:color w:val="231F20"/>
        </w:rPr>
        <w:t>a</w:t>
      </w:r>
      <w:r>
        <w:rPr>
          <w:color w:val="231F20"/>
          <w:spacing w:val="-3"/>
        </w:rPr>
        <w:t> </w:t>
      </w:r>
      <w:r>
        <w:rPr>
          <w:color w:val="231F20"/>
          <w:spacing w:val="-1"/>
        </w:rPr>
        <w:t>school</w:t>
      </w:r>
      <w:r>
        <w:rPr>
          <w:color w:val="231F20"/>
          <w:spacing w:val="21"/>
        </w:rPr>
        <w:t> </w:t>
      </w:r>
      <w:r>
        <w:rPr>
          <w:color w:val="231F20"/>
          <w:spacing w:val="-1"/>
        </w:rPr>
        <w:t>structure</w:t>
      </w:r>
      <w:r>
        <w:rPr>
          <w:color w:val="231F20"/>
          <w:spacing w:val="-5"/>
        </w:rPr>
        <w:t> </w:t>
      </w:r>
      <w:r>
        <w:rPr>
          <w:color w:val="231F20"/>
        </w:rPr>
        <w:t>(boarding</w:t>
      </w:r>
      <w:r>
        <w:rPr>
          <w:color w:val="231F20"/>
          <w:spacing w:val="-7"/>
        </w:rPr>
        <w:t> </w:t>
      </w:r>
      <w:r>
        <w:rPr>
          <w:color w:val="231F20"/>
          <w:spacing w:val="-1"/>
        </w:rPr>
        <w:t>schools)</w:t>
      </w:r>
      <w:r>
        <w:rPr>
          <w:color w:val="231F20"/>
          <w:spacing w:val="-5"/>
        </w:rPr>
        <w:t> </w:t>
      </w:r>
      <w:r>
        <w:rPr>
          <w:color w:val="231F20"/>
        </w:rPr>
        <w:t>and</w:t>
      </w:r>
      <w:r>
        <w:rPr>
          <w:color w:val="231F20"/>
          <w:spacing w:val="-7"/>
        </w:rPr>
        <w:t> </w:t>
      </w:r>
      <w:r>
        <w:rPr>
          <w:color w:val="231F20"/>
        </w:rPr>
        <w:t>others</w:t>
      </w:r>
      <w:r>
        <w:rPr>
          <w:color w:val="231F20"/>
          <w:spacing w:val="-7"/>
        </w:rPr>
        <w:t> </w:t>
      </w:r>
      <w:r>
        <w:rPr>
          <w:color w:val="231F20"/>
        </w:rPr>
        <w:t>are</w:t>
      </w:r>
      <w:r>
        <w:rPr>
          <w:color w:val="231F20"/>
          <w:spacing w:val="23"/>
          <w:w w:val="99"/>
        </w:rPr>
        <w:t> </w:t>
      </w:r>
      <w:r>
        <w:rPr>
          <w:color w:val="231F20"/>
          <w:spacing w:val="-1"/>
        </w:rPr>
        <w:t>standalone</w:t>
      </w:r>
      <w:r>
        <w:rPr>
          <w:color w:val="231F20"/>
          <w:spacing w:val="-6"/>
        </w:rPr>
        <w:t> </w:t>
      </w:r>
      <w:r>
        <w:rPr>
          <w:color w:val="231F20"/>
        </w:rPr>
        <w:t>facilities</w:t>
      </w:r>
      <w:r>
        <w:rPr>
          <w:color w:val="231F20"/>
          <w:spacing w:val="-8"/>
        </w:rPr>
        <w:t> </w:t>
      </w:r>
      <w:r>
        <w:rPr>
          <w:color w:val="231F20"/>
        </w:rPr>
        <w:t>and</w:t>
      </w:r>
      <w:r>
        <w:rPr>
          <w:color w:val="231F20"/>
          <w:spacing w:val="-7"/>
        </w:rPr>
        <w:t> </w:t>
      </w:r>
      <w:r>
        <w:rPr>
          <w:color w:val="231F20"/>
        </w:rPr>
        <w:t>boarders</w:t>
      </w:r>
      <w:r>
        <w:rPr>
          <w:color w:val="231F20"/>
          <w:spacing w:val="-8"/>
        </w:rPr>
        <w:t> </w:t>
      </w:r>
      <w:r>
        <w:rPr>
          <w:color w:val="231F20"/>
        </w:rPr>
        <w:t>attend</w:t>
      </w:r>
      <w:r>
        <w:rPr>
          <w:color w:val="231F20"/>
          <w:spacing w:val="-7"/>
        </w:rPr>
        <w:t> </w:t>
      </w:r>
      <w:r>
        <w:rPr>
          <w:color w:val="231F20"/>
        </w:rPr>
        <w:t>nearby</w:t>
      </w:r>
      <w:r>
        <w:rPr>
          <w:color w:val="231F20"/>
          <w:spacing w:val="22"/>
          <w:w w:val="99"/>
        </w:rPr>
        <w:t> </w:t>
      </w:r>
      <w:r>
        <w:rPr>
          <w:color w:val="231F20"/>
        </w:rPr>
        <w:t>or</w:t>
      </w:r>
      <w:r>
        <w:rPr>
          <w:color w:val="231F20"/>
          <w:spacing w:val="-9"/>
        </w:rPr>
        <w:t> </w:t>
      </w:r>
      <w:r>
        <w:rPr>
          <w:color w:val="231F20"/>
        </w:rPr>
        <w:t>associated</w:t>
      </w:r>
      <w:r>
        <w:rPr>
          <w:color w:val="231F20"/>
          <w:spacing w:val="-9"/>
        </w:rPr>
        <w:t> </w:t>
      </w:r>
      <w:r>
        <w:rPr>
          <w:color w:val="231F20"/>
          <w:spacing w:val="-1"/>
        </w:rPr>
        <w:t>schools.</w:t>
      </w:r>
      <w:r>
        <w:rPr>
          <w:color w:val="231F20"/>
          <w:spacing w:val="-8"/>
        </w:rPr>
        <w:t> </w:t>
      </w:r>
      <w:r>
        <w:rPr>
          <w:color w:val="231F20"/>
          <w:spacing w:val="-1"/>
        </w:rPr>
        <w:t>Commonwealth</w:t>
      </w:r>
      <w:r>
        <w:rPr>
          <w:color w:val="231F20"/>
          <w:spacing w:val="-9"/>
        </w:rPr>
        <w:t> </w:t>
      </w:r>
      <w:r>
        <w:rPr>
          <w:color w:val="231F20"/>
        </w:rPr>
        <w:t>recurrent</w:t>
      </w:r>
      <w:r>
        <w:rPr>
          <w:color w:val="231F20"/>
          <w:spacing w:val="23"/>
          <w:w w:val="99"/>
        </w:rPr>
        <w:t> </w:t>
      </w:r>
      <w:r>
        <w:rPr>
          <w:color w:val="231F20"/>
          <w:spacing w:val="-1"/>
        </w:rPr>
        <w:t>school</w:t>
      </w:r>
      <w:r>
        <w:rPr>
          <w:color w:val="231F20"/>
          <w:spacing w:val="-3"/>
        </w:rPr>
        <w:t> </w:t>
      </w:r>
      <w:r>
        <w:rPr>
          <w:color w:val="231F20"/>
        </w:rPr>
        <w:t>funding</w:t>
      </w:r>
      <w:r>
        <w:rPr>
          <w:color w:val="231F20"/>
          <w:spacing w:val="-3"/>
        </w:rPr>
        <w:t> </w:t>
      </w:r>
      <w:r>
        <w:rPr>
          <w:color w:val="231F20"/>
          <w:spacing w:val="-1"/>
        </w:rPr>
        <w:t>is</w:t>
      </w:r>
      <w:r>
        <w:rPr>
          <w:color w:val="231F20"/>
          <w:spacing w:val="-3"/>
        </w:rPr>
        <w:t> </w:t>
      </w:r>
      <w:r>
        <w:rPr>
          <w:color w:val="231F20"/>
        </w:rPr>
        <w:t>provided</w:t>
      </w:r>
      <w:r>
        <w:rPr>
          <w:color w:val="231F20"/>
          <w:spacing w:val="-4"/>
        </w:rPr>
        <w:t> </w:t>
      </w:r>
      <w:r>
        <w:rPr>
          <w:color w:val="231F20"/>
        </w:rPr>
        <w:t>to</w:t>
      </w:r>
      <w:r>
        <w:rPr>
          <w:color w:val="231F20"/>
          <w:spacing w:val="-3"/>
        </w:rPr>
        <w:t> </w:t>
      </w:r>
      <w:r>
        <w:rPr>
          <w:color w:val="231F20"/>
          <w:spacing w:val="-1"/>
        </w:rPr>
        <w:t>schools</w:t>
      </w:r>
      <w:r>
        <w:rPr>
          <w:color w:val="231F20"/>
          <w:spacing w:val="-2"/>
        </w:rPr>
        <w:t> </w:t>
      </w:r>
      <w:r>
        <w:rPr>
          <w:color w:val="231F20"/>
        </w:rPr>
        <w:t>to</w:t>
      </w:r>
      <w:r>
        <w:rPr>
          <w:color w:val="231F20"/>
          <w:spacing w:val="-3"/>
        </w:rPr>
        <w:t> </w:t>
      </w:r>
      <w:r>
        <w:rPr>
          <w:color w:val="231F20"/>
          <w:spacing w:val="-1"/>
        </w:rPr>
        <w:t>meet</w:t>
      </w:r>
      <w:r>
        <w:rPr>
          <w:color w:val="231F20"/>
          <w:spacing w:val="23"/>
        </w:rPr>
        <w:t> </w:t>
      </w:r>
      <w:r>
        <w:rPr>
          <w:color w:val="231F20"/>
        </w:rPr>
        <w:t>the</w:t>
      </w:r>
      <w:r>
        <w:rPr>
          <w:color w:val="231F20"/>
          <w:spacing w:val="-2"/>
        </w:rPr>
        <w:t> </w:t>
      </w:r>
      <w:r>
        <w:rPr>
          <w:color w:val="231F20"/>
        </w:rPr>
        <w:t>‘in-school</w:t>
      </w:r>
      <w:r>
        <w:rPr>
          <w:color w:val="231F20"/>
          <w:spacing w:val="-2"/>
        </w:rPr>
        <w:t> </w:t>
      </w:r>
      <w:r>
        <w:rPr>
          <w:color w:val="231F20"/>
        </w:rPr>
        <w:t>educational</w:t>
      </w:r>
      <w:r>
        <w:rPr>
          <w:color w:val="231F20"/>
          <w:spacing w:val="-2"/>
        </w:rPr>
        <w:t> </w:t>
      </w:r>
      <w:r>
        <w:rPr>
          <w:color w:val="231F20"/>
        </w:rPr>
        <w:t>costs</w:t>
      </w:r>
      <w:r>
        <w:rPr>
          <w:color w:val="231F20"/>
          <w:spacing w:val="-2"/>
        </w:rPr>
        <w:t> </w:t>
      </w:r>
      <w:r>
        <w:rPr>
          <w:color w:val="231F20"/>
        </w:rPr>
        <w:t>of</w:t>
      </w:r>
      <w:r>
        <w:rPr>
          <w:color w:val="231F20"/>
          <w:spacing w:val="-1"/>
        </w:rPr>
        <w:t> schools’</w:t>
      </w:r>
      <w:r>
        <w:rPr>
          <w:rFonts w:ascii="Segoe UI Semibold" w:hAnsi="Segoe UI Semibold" w:cs="Segoe UI Semibold" w:eastAsia="Segoe UI Semibold"/>
          <w:b/>
          <w:bCs/>
          <w:color w:val="231F20"/>
          <w:spacing w:val="-1"/>
          <w:position w:val="7"/>
          <w:sz w:val="11"/>
          <w:szCs w:val="11"/>
        </w:rPr>
        <w:t>138</w:t>
      </w:r>
      <w:r>
        <w:rPr>
          <w:rFonts w:ascii="Segoe UI Semibold" w:hAnsi="Segoe UI Semibold" w:cs="Segoe UI Semibold" w:eastAsia="Segoe UI Semibold"/>
          <w:b/>
          <w:bCs/>
          <w:color w:val="231F20"/>
          <w:spacing w:val="21"/>
          <w:w w:val="106"/>
          <w:position w:val="7"/>
          <w:sz w:val="11"/>
          <w:szCs w:val="11"/>
        </w:rPr>
        <w:t> </w:t>
      </w:r>
      <w:r>
        <w:rPr>
          <w:color w:val="231F20"/>
        </w:rPr>
        <w:t>and</w:t>
      </w:r>
      <w:r>
        <w:rPr>
          <w:color w:val="231F20"/>
          <w:spacing w:val="-4"/>
        </w:rPr>
        <w:t> </w:t>
      </w:r>
      <w:r>
        <w:rPr>
          <w:color w:val="231F20"/>
          <w:spacing w:val="-1"/>
        </w:rPr>
        <w:t>some</w:t>
      </w:r>
      <w:r>
        <w:rPr>
          <w:color w:val="231F20"/>
          <w:spacing w:val="-4"/>
        </w:rPr>
        <w:t> </w:t>
      </w:r>
      <w:r>
        <w:rPr>
          <w:color w:val="231F20"/>
          <w:spacing w:val="-1"/>
        </w:rPr>
        <w:t>schools</w:t>
      </w:r>
      <w:r>
        <w:rPr>
          <w:color w:val="231F20"/>
          <w:spacing w:val="-3"/>
        </w:rPr>
        <w:t> </w:t>
      </w:r>
      <w:r>
        <w:rPr>
          <w:color w:val="231F20"/>
        </w:rPr>
        <w:t>use</w:t>
      </w:r>
      <w:r>
        <w:rPr>
          <w:color w:val="231F20"/>
          <w:spacing w:val="-4"/>
        </w:rPr>
        <w:t> </w:t>
      </w:r>
      <w:r>
        <w:rPr>
          <w:color w:val="231F20"/>
        </w:rPr>
        <w:t>this</w:t>
      </w:r>
      <w:r>
        <w:rPr>
          <w:color w:val="231F20"/>
          <w:spacing w:val="-4"/>
        </w:rPr>
        <w:t> </w:t>
      </w:r>
      <w:r>
        <w:rPr>
          <w:color w:val="231F20"/>
        </w:rPr>
        <w:t>funding</w:t>
      </w:r>
      <w:r>
        <w:rPr>
          <w:color w:val="231F20"/>
          <w:spacing w:val="-4"/>
        </w:rPr>
        <w:t> </w:t>
      </w:r>
      <w:r>
        <w:rPr>
          <w:color w:val="231F20"/>
        </w:rPr>
        <w:t>to</w:t>
      </w:r>
      <w:r>
        <w:rPr>
          <w:color w:val="231F20"/>
          <w:spacing w:val="-4"/>
        </w:rPr>
        <w:t> </w:t>
      </w:r>
      <w:r>
        <w:rPr>
          <w:color w:val="231F20"/>
        </w:rPr>
        <w:t>contribute</w:t>
      </w:r>
      <w:r>
        <w:rPr>
          <w:color w:val="231F20"/>
          <w:spacing w:val="23"/>
          <w:w w:val="99"/>
        </w:rPr>
        <w:t> </w:t>
      </w:r>
      <w:r>
        <w:rPr>
          <w:color w:val="231F20"/>
        </w:rPr>
        <w:t>to</w:t>
      </w:r>
      <w:r>
        <w:rPr>
          <w:color w:val="231F20"/>
          <w:spacing w:val="-7"/>
        </w:rPr>
        <w:t> </w:t>
      </w:r>
      <w:r>
        <w:rPr>
          <w:color w:val="231F20"/>
        </w:rPr>
        <w:t>costs</w:t>
      </w:r>
      <w:r>
        <w:rPr>
          <w:color w:val="231F20"/>
          <w:spacing w:val="-7"/>
        </w:rPr>
        <w:t> </w:t>
      </w:r>
      <w:r>
        <w:rPr>
          <w:color w:val="231F20"/>
        </w:rPr>
        <w:t>associated</w:t>
      </w:r>
      <w:r>
        <w:rPr>
          <w:color w:val="231F20"/>
          <w:spacing w:val="-8"/>
        </w:rPr>
        <w:t> </w:t>
      </w:r>
      <w:r>
        <w:rPr>
          <w:color w:val="231F20"/>
        </w:rPr>
        <w:t>with</w:t>
      </w:r>
      <w:r>
        <w:rPr>
          <w:color w:val="231F20"/>
          <w:spacing w:val="-7"/>
        </w:rPr>
        <w:t> </w:t>
      </w:r>
      <w:r>
        <w:rPr>
          <w:color w:val="231F20"/>
          <w:spacing w:val="-1"/>
        </w:rPr>
        <w:t>supporting</w:t>
      </w:r>
      <w:r>
        <w:rPr>
          <w:color w:val="231F20"/>
          <w:spacing w:val="-6"/>
        </w:rPr>
        <w:t> </w:t>
      </w:r>
      <w:r>
        <w:rPr>
          <w:color w:val="231F20"/>
        </w:rPr>
        <w:t>boarding</w:t>
      </w:r>
      <w:r>
        <w:rPr>
          <w:color w:val="231F20"/>
          <w:spacing w:val="22"/>
          <w:w w:val="99"/>
        </w:rPr>
        <w:t> </w:t>
      </w:r>
      <w:r>
        <w:rPr>
          <w:color w:val="231F20"/>
          <w:spacing w:val="-1"/>
        </w:rPr>
        <w:t>students</w:t>
      </w:r>
      <w:r>
        <w:rPr>
          <w:color w:val="231F20"/>
          <w:spacing w:val="-8"/>
        </w:rPr>
        <w:t> </w:t>
      </w:r>
      <w:r>
        <w:rPr>
          <w:color w:val="231F20"/>
          <w:spacing w:val="-1"/>
        </w:rPr>
        <w:t>more</w:t>
      </w:r>
      <w:r>
        <w:rPr>
          <w:color w:val="231F20"/>
          <w:spacing w:val="-7"/>
        </w:rPr>
        <w:t> </w:t>
      </w:r>
      <w:r>
        <w:rPr>
          <w:color w:val="231F20"/>
        </w:rPr>
        <w:t>broadly.</w:t>
      </w:r>
      <w:r>
        <w:rPr>
          <w:color w:val="231F20"/>
          <w:spacing w:val="-8"/>
        </w:rPr>
        <w:t> </w:t>
      </w:r>
      <w:r>
        <w:rPr>
          <w:color w:val="231F20"/>
          <w:spacing w:val="-1"/>
        </w:rPr>
        <w:t>Standalone</w:t>
      </w:r>
      <w:r>
        <w:rPr>
          <w:color w:val="231F20"/>
          <w:spacing w:val="-8"/>
        </w:rPr>
        <w:t> </w:t>
      </w:r>
      <w:r>
        <w:rPr>
          <w:color w:val="231F20"/>
        </w:rPr>
        <w:t>boarding</w:t>
      </w:r>
      <w:r>
        <w:rPr>
          <w:color w:val="231F20"/>
          <w:spacing w:val="26"/>
          <w:w w:val="99"/>
        </w:rPr>
        <w:t> </w:t>
      </w:r>
      <w:r>
        <w:rPr>
          <w:color w:val="231F20"/>
        </w:rPr>
        <w:t>providers</w:t>
      </w:r>
      <w:r>
        <w:rPr>
          <w:color w:val="231F20"/>
          <w:spacing w:val="-7"/>
        </w:rPr>
        <w:t> </w:t>
      </w:r>
      <w:r>
        <w:rPr>
          <w:color w:val="231F20"/>
        </w:rPr>
        <w:t>are</w:t>
      </w:r>
      <w:r>
        <w:rPr>
          <w:color w:val="231F20"/>
          <w:spacing w:val="-7"/>
        </w:rPr>
        <w:t> </w:t>
      </w:r>
      <w:r>
        <w:rPr>
          <w:color w:val="231F20"/>
        </w:rPr>
        <w:t>not</w:t>
      </w:r>
      <w:r>
        <w:rPr>
          <w:color w:val="231F20"/>
          <w:spacing w:val="-5"/>
        </w:rPr>
        <w:t> </w:t>
      </w:r>
      <w:r>
        <w:rPr>
          <w:color w:val="231F20"/>
        </w:rPr>
        <w:t>able</w:t>
      </w:r>
      <w:r>
        <w:rPr>
          <w:color w:val="231F20"/>
          <w:spacing w:val="-7"/>
        </w:rPr>
        <w:t> </w:t>
      </w:r>
      <w:r>
        <w:rPr>
          <w:color w:val="231F20"/>
        </w:rPr>
        <w:t>to</w:t>
      </w:r>
      <w:r>
        <w:rPr>
          <w:color w:val="231F20"/>
          <w:spacing w:val="-5"/>
        </w:rPr>
        <w:t> </w:t>
      </w:r>
      <w:r>
        <w:rPr>
          <w:color w:val="231F20"/>
        </w:rPr>
        <w:t>access</w:t>
      </w:r>
      <w:r>
        <w:rPr>
          <w:color w:val="231F20"/>
          <w:spacing w:val="-7"/>
        </w:rPr>
        <w:t> </w:t>
      </w:r>
      <w:r>
        <w:rPr>
          <w:color w:val="231F20"/>
          <w:spacing w:val="-1"/>
        </w:rPr>
        <w:t>Commonwealth</w:t>
      </w:r>
      <w:r>
        <w:rPr>
          <w:color w:val="231F20"/>
          <w:spacing w:val="20"/>
          <w:w w:val="99"/>
        </w:rPr>
        <w:t> </w:t>
      </w:r>
      <w:r>
        <w:rPr>
          <w:color w:val="231F20"/>
        </w:rPr>
        <w:t>recurrent</w:t>
      </w:r>
      <w:r>
        <w:rPr>
          <w:color w:val="231F20"/>
          <w:spacing w:val="-6"/>
        </w:rPr>
        <w:t> </w:t>
      </w:r>
      <w:r>
        <w:rPr>
          <w:color w:val="231F20"/>
          <w:spacing w:val="-1"/>
        </w:rPr>
        <w:t>school</w:t>
      </w:r>
      <w:r>
        <w:rPr>
          <w:color w:val="231F20"/>
          <w:spacing w:val="-4"/>
        </w:rPr>
        <w:t> </w:t>
      </w:r>
      <w:r>
        <w:rPr>
          <w:color w:val="231F20"/>
        </w:rPr>
        <w:t>funding</w:t>
      </w:r>
      <w:r>
        <w:rPr>
          <w:color w:val="231F20"/>
          <w:spacing w:val="-4"/>
        </w:rPr>
        <w:t> </w:t>
      </w:r>
      <w:r>
        <w:rPr>
          <w:color w:val="231F20"/>
        </w:rPr>
        <w:t>and</w:t>
      </w:r>
      <w:r>
        <w:rPr>
          <w:color w:val="231F20"/>
          <w:spacing w:val="-5"/>
        </w:rPr>
        <w:t> </w:t>
      </w:r>
      <w:r>
        <w:rPr>
          <w:color w:val="231F20"/>
        </w:rPr>
        <w:t>there</w:t>
      </w:r>
      <w:r>
        <w:rPr>
          <w:color w:val="231F20"/>
          <w:spacing w:val="-5"/>
        </w:rPr>
        <w:t> </w:t>
      </w:r>
      <w:r>
        <w:rPr>
          <w:color w:val="231F20"/>
          <w:spacing w:val="-1"/>
        </w:rPr>
        <w:t>is</w:t>
      </w:r>
      <w:r>
        <w:rPr>
          <w:color w:val="231F20"/>
          <w:spacing w:val="-6"/>
        </w:rPr>
        <w:t> </w:t>
      </w:r>
      <w:r>
        <w:rPr>
          <w:color w:val="231F20"/>
        </w:rPr>
        <w:t>no</w:t>
      </w:r>
      <w:r>
        <w:rPr>
          <w:color w:val="231F20"/>
          <w:w w:val="99"/>
        </w:rPr>
        <w:t> </w:t>
      </w:r>
      <w:r>
        <w:rPr>
          <w:color w:val="231F20"/>
          <w:spacing w:val="23"/>
          <w:w w:val="99"/>
        </w:rPr>
        <w:t> </w:t>
      </w:r>
      <w:r>
        <w:rPr>
          <w:rFonts w:ascii="Segoe UI" w:hAnsi="Segoe UI" w:cs="Segoe UI" w:eastAsia="Segoe UI"/>
          <w:color w:val="231F20"/>
        </w:rPr>
        <w:t>specific recurrent Commonwealth funding</w:t>
      </w:r>
      <w:r>
        <w:rPr>
          <w:rFonts w:ascii="Segoe UI" w:hAnsi="Segoe UI" w:cs="Segoe UI" w:eastAsia="Segoe UI"/>
          <w:color w:val="231F20"/>
        </w:rPr>
        <w:t> specifically for boarding operations at a school </w:t>
      </w:r>
      <w:r>
        <w:rPr>
          <w:color w:val="231F20"/>
        </w:rPr>
        <w:t>or</w:t>
      </w:r>
      <w:r>
        <w:rPr>
          <w:color w:val="231F20"/>
          <w:spacing w:val="-10"/>
        </w:rPr>
        <w:t> </w:t>
      </w:r>
      <w:r>
        <w:rPr>
          <w:color w:val="231F20"/>
          <w:spacing w:val="-1"/>
        </w:rPr>
        <w:t>standalone</w:t>
      </w:r>
      <w:r>
        <w:rPr>
          <w:color w:val="231F20"/>
          <w:spacing w:val="-8"/>
        </w:rPr>
        <w:t> </w:t>
      </w:r>
      <w:r>
        <w:rPr>
          <w:color w:val="231F20"/>
        </w:rPr>
        <w:t>boarding</w:t>
      </w:r>
      <w:r>
        <w:rPr>
          <w:color w:val="231F20"/>
          <w:spacing w:val="-10"/>
        </w:rPr>
        <w:t> </w:t>
      </w:r>
      <w:r>
        <w:rPr>
          <w:color w:val="231F20"/>
        </w:rPr>
        <w:t>provider.</w:t>
      </w:r>
      <w:r>
        <w:rPr/>
      </w:r>
    </w:p>
    <w:p>
      <w:pPr>
        <w:pStyle w:val="BodyText"/>
        <w:spacing w:line="250" w:lineRule="exact" w:before="62"/>
        <w:ind w:right="183"/>
        <w:jc w:val="left"/>
      </w:pPr>
      <w:r>
        <w:rPr/>
        <w:br w:type="column"/>
      </w:r>
      <w:r>
        <w:rPr>
          <w:rFonts w:ascii="Segoe UI"/>
          <w:color w:val="231F20"/>
        </w:rPr>
        <w:t>This report </w:t>
      </w:r>
      <w:r>
        <w:rPr>
          <w:rFonts w:ascii="Segoe UI"/>
          <w:color w:val="231F20"/>
          <w:spacing w:val="-1"/>
        </w:rPr>
        <w:t>confirmed</w:t>
      </w:r>
      <w:r>
        <w:rPr>
          <w:rFonts w:ascii="Segoe UI"/>
          <w:color w:val="231F20"/>
        </w:rPr>
        <w:t> the</w:t>
      </w:r>
      <w:r>
        <w:rPr>
          <w:rFonts w:ascii="Segoe UI"/>
          <w:color w:val="231F20"/>
          <w:spacing w:val="-1"/>
        </w:rPr>
        <w:t> </w:t>
      </w:r>
      <w:r>
        <w:rPr>
          <w:rFonts w:ascii="Segoe UI"/>
          <w:color w:val="231F20"/>
        </w:rPr>
        <w:t>findings of previous</w:t>
      </w:r>
      <w:r>
        <w:rPr>
          <w:rFonts w:ascii="Segoe UI"/>
          <w:color w:val="231F20"/>
          <w:spacing w:val="28"/>
        </w:rPr>
        <w:t> </w:t>
      </w:r>
      <w:r>
        <w:rPr>
          <w:color w:val="231F20"/>
        </w:rPr>
        <w:t>reviews</w:t>
      </w:r>
      <w:r>
        <w:rPr>
          <w:color w:val="231F20"/>
          <w:spacing w:val="-8"/>
        </w:rPr>
        <w:t> </w:t>
      </w:r>
      <w:r>
        <w:rPr>
          <w:color w:val="231F20"/>
        </w:rPr>
        <w:t>and</w:t>
      </w:r>
      <w:r>
        <w:rPr>
          <w:color w:val="231F20"/>
          <w:spacing w:val="-7"/>
        </w:rPr>
        <w:t> </w:t>
      </w:r>
      <w:r>
        <w:rPr>
          <w:color w:val="231F20"/>
        </w:rPr>
        <w:t>reports</w:t>
      </w:r>
      <w:r>
        <w:rPr>
          <w:color w:val="231F20"/>
          <w:spacing w:val="-7"/>
        </w:rPr>
        <w:t> </w:t>
      </w:r>
      <w:r>
        <w:rPr>
          <w:color w:val="231F20"/>
        </w:rPr>
        <w:t>that</w:t>
      </w:r>
      <w:r>
        <w:rPr>
          <w:color w:val="231F20"/>
          <w:spacing w:val="-8"/>
        </w:rPr>
        <w:t> </w:t>
      </w:r>
      <w:r>
        <w:rPr>
          <w:color w:val="231F20"/>
        </w:rPr>
        <w:t>the</w:t>
      </w:r>
      <w:r>
        <w:rPr>
          <w:color w:val="231F20"/>
          <w:spacing w:val="-7"/>
        </w:rPr>
        <w:t> </w:t>
      </w:r>
      <w:r>
        <w:rPr>
          <w:color w:val="231F20"/>
        </w:rPr>
        <w:t>boarding</w:t>
      </w:r>
      <w:r>
        <w:rPr>
          <w:color w:val="231F20"/>
          <w:spacing w:val="-7"/>
        </w:rPr>
        <w:t> </w:t>
      </w:r>
      <w:r>
        <w:rPr>
          <w:color w:val="231F20"/>
        </w:rPr>
        <w:t>revenue</w:t>
      </w:r>
      <w:r>
        <w:rPr>
          <w:color w:val="231F20"/>
          <w:w w:val="99"/>
        </w:rPr>
        <w:t> </w:t>
      </w:r>
      <w:r>
        <w:rPr>
          <w:color w:val="231F20"/>
        </w:rPr>
        <w:t>of</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29"/>
          <w:w w:val="99"/>
        </w:rPr>
        <w:t> </w:t>
      </w:r>
      <w:r>
        <w:rPr>
          <w:rFonts w:ascii="Segoe UI"/>
          <w:color w:val="231F20"/>
        </w:rPr>
        <w:t>boarding providers is </w:t>
      </w:r>
      <w:r>
        <w:rPr>
          <w:rFonts w:ascii="Segoe UI"/>
          <w:color w:val="231F20"/>
          <w:spacing w:val="-1"/>
        </w:rPr>
        <w:t>insufficient</w:t>
      </w:r>
      <w:r>
        <w:rPr>
          <w:rFonts w:ascii="Segoe UI"/>
          <w:color w:val="231F20"/>
        </w:rPr>
        <w:t> to meet the</w:t>
      </w:r>
      <w:r>
        <w:rPr>
          <w:rFonts w:ascii="Segoe UI"/>
          <w:color w:val="231F20"/>
          <w:spacing w:val="22"/>
        </w:rPr>
        <w:t> </w:t>
      </w:r>
      <w:r>
        <w:rPr>
          <w:color w:val="231F20"/>
        </w:rPr>
        <w:t>full</w:t>
      </w:r>
      <w:r>
        <w:rPr>
          <w:color w:val="231F20"/>
          <w:spacing w:val="-5"/>
        </w:rPr>
        <w:t> </w:t>
      </w:r>
      <w:r>
        <w:rPr>
          <w:color w:val="231F20"/>
        </w:rPr>
        <w:t>costs</w:t>
      </w:r>
      <w:r>
        <w:rPr>
          <w:color w:val="231F20"/>
          <w:spacing w:val="-4"/>
        </w:rPr>
        <w:t> </w:t>
      </w:r>
      <w:r>
        <w:rPr>
          <w:color w:val="231F20"/>
        </w:rPr>
        <w:t>of</w:t>
      </w:r>
      <w:r>
        <w:rPr>
          <w:color w:val="231F20"/>
          <w:spacing w:val="-4"/>
        </w:rPr>
        <w:t> </w:t>
      </w:r>
      <w:r>
        <w:rPr>
          <w:color w:val="231F20"/>
        </w:rPr>
        <w:t>boarding</w:t>
      </w:r>
      <w:r>
        <w:rPr>
          <w:color w:val="231F20"/>
          <w:spacing w:val="-4"/>
        </w:rPr>
        <w:t> </w:t>
      </w:r>
      <w:r>
        <w:rPr>
          <w:color w:val="231F20"/>
        </w:rPr>
        <w:t>for</w:t>
      </w:r>
      <w:r>
        <w:rPr>
          <w:color w:val="231F20"/>
          <w:spacing w:val="-4"/>
        </w:rPr>
        <w:t> </w:t>
      </w:r>
      <w:r>
        <w:rPr>
          <w:color w:val="231F20"/>
        </w:rPr>
        <w:t>Aboriginal</w:t>
      </w:r>
      <w:r>
        <w:rPr>
          <w:color w:val="231F20"/>
          <w:spacing w:val="-3"/>
        </w:rPr>
        <w:t> </w:t>
      </w:r>
      <w:r>
        <w:rPr>
          <w:color w:val="231F20"/>
        </w:rPr>
        <w:t>and</w:t>
      </w:r>
      <w:r>
        <w:rPr>
          <w:color w:val="231F20"/>
          <w:spacing w:val="-5"/>
        </w:rPr>
        <w:t> Torres</w:t>
      </w:r>
      <w:r>
        <w:rPr>
          <w:color w:val="231F20"/>
          <w:spacing w:val="24"/>
          <w:w w:val="99"/>
        </w:rPr>
        <w:t> </w:t>
      </w:r>
      <w:r>
        <w:rPr>
          <w:color w:val="231F20"/>
          <w:spacing w:val="-2"/>
        </w:rPr>
        <w:t>Strait</w:t>
      </w:r>
      <w:r>
        <w:rPr>
          <w:color w:val="231F20"/>
          <w:spacing w:val="-11"/>
        </w:rPr>
        <w:t> </w:t>
      </w:r>
      <w:r>
        <w:rPr>
          <w:color w:val="231F20"/>
          <w:spacing w:val="-1"/>
        </w:rPr>
        <w:t>Islander</w:t>
      </w:r>
      <w:r>
        <w:rPr>
          <w:color w:val="231F20"/>
          <w:spacing w:val="-9"/>
        </w:rPr>
        <w:t> </w:t>
      </w:r>
      <w:r>
        <w:rPr>
          <w:color w:val="231F20"/>
          <w:spacing w:val="-1"/>
        </w:rPr>
        <w:t>students.</w:t>
      </w:r>
      <w:r>
        <w:rPr/>
      </w:r>
    </w:p>
    <w:p>
      <w:pPr>
        <w:pStyle w:val="BodyText"/>
        <w:spacing w:line="250" w:lineRule="exact" w:before="113"/>
        <w:ind w:right="116"/>
        <w:jc w:val="left"/>
      </w:pPr>
      <w:r>
        <w:rPr>
          <w:color w:val="231F20"/>
        </w:rPr>
        <w:t>The</w:t>
      </w:r>
      <w:r>
        <w:rPr>
          <w:color w:val="231F20"/>
          <w:spacing w:val="-8"/>
        </w:rPr>
        <w:t> </w:t>
      </w:r>
      <w:r>
        <w:rPr>
          <w:color w:val="231F20"/>
        </w:rPr>
        <w:t>three-year</w:t>
      </w:r>
      <w:r>
        <w:rPr>
          <w:color w:val="231F20"/>
          <w:spacing w:val="-8"/>
        </w:rPr>
        <w:t> </w:t>
      </w:r>
      <w:r>
        <w:rPr>
          <w:color w:val="231F20"/>
        </w:rPr>
        <w:t>average</w:t>
      </w:r>
      <w:r>
        <w:rPr>
          <w:color w:val="231F20"/>
          <w:spacing w:val="-8"/>
        </w:rPr>
        <w:t> </w:t>
      </w:r>
      <w:r>
        <w:rPr>
          <w:color w:val="231F20"/>
        </w:rPr>
        <w:t>annual</w:t>
      </w:r>
      <w:r>
        <w:rPr>
          <w:color w:val="231F20"/>
          <w:spacing w:val="-8"/>
        </w:rPr>
        <w:t> </w:t>
      </w:r>
      <w:r>
        <w:rPr>
          <w:color w:val="231F20"/>
        </w:rPr>
        <w:t>revenue</w:t>
      </w:r>
      <w:r>
        <w:rPr>
          <w:color w:val="231F20"/>
          <w:spacing w:val="-8"/>
        </w:rPr>
        <w:t> </w:t>
      </w:r>
      <w:r>
        <w:rPr>
          <w:color w:val="231F20"/>
        </w:rPr>
        <w:t>per</w:t>
      </w:r>
      <w:r>
        <w:rPr>
          <w:color w:val="231F20"/>
          <w:w w:val="99"/>
        </w:rPr>
        <w:t> </w:t>
      </w:r>
      <w:r>
        <w:rPr>
          <w:color w:val="231F20"/>
        </w:rPr>
        <w:t>boarder</w:t>
      </w:r>
      <w:r>
        <w:rPr>
          <w:color w:val="231F20"/>
          <w:spacing w:val="-4"/>
        </w:rPr>
        <w:t> </w:t>
      </w:r>
      <w:r>
        <w:rPr>
          <w:color w:val="231F20"/>
        </w:rPr>
        <w:t>from</w:t>
      </w:r>
      <w:r>
        <w:rPr>
          <w:color w:val="231F20"/>
          <w:spacing w:val="-3"/>
        </w:rPr>
        <w:t> </w:t>
      </w:r>
      <w:r>
        <w:rPr>
          <w:color w:val="231F20"/>
          <w:spacing w:val="-1"/>
        </w:rPr>
        <w:t>2015</w:t>
      </w:r>
      <w:r>
        <w:rPr>
          <w:color w:val="231F20"/>
          <w:spacing w:val="-4"/>
        </w:rPr>
        <w:t> </w:t>
      </w:r>
      <w:r>
        <w:rPr>
          <w:color w:val="231F20"/>
        </w:rPr>
        <w:t>to</w:t>
      </w:r>
      <w:r>
        <w:rPr>
          <w:color w:val="231F20"/>
          <w:spacing w:val="-3"/>
        </w:rPr>
        <w:t> </w:t>
      </w:r>
      <w:r>
        <w:rPr>
          <w:color w:val="231F20"/>
          <w:spacing w:val="-1"/>
        </w:rPr>
        <w:t>2017</w:t>
      </w:r>
      <w:r>
        <w:rPr>
          <w:color w:val="231F20"/>
          <w:spacing w:val="-3"/>
        </w:rPr>
        <w:t> </w:t>
      </w:r>
      <w:r>
        <w:rPr>
          <w:color w:val="231F20"/>
        </w:rPr>
        <w:t>at</w:t>
      </w:r>
      <w:r>
        <w:rPr>
          <w:color w:val="231F20"/>
          <w:spacing w:val="-4"/>
        </w:rPr>
        <w:t> </w:t>
      </w:r>
      <w:r>
        <w:rPr>
          <w:color w:val="231F20"/>
        </w:rPr>
        <w:t>the</w:t>
      </w:r>
      <w:r>
        <w:rPr>
          <w:color w:val="231F20"/>
          <w:spacing w:val="-4"/>
        </w:rPr>
        <w:t> </w:t>
      </w:r>
      <w:r>
        <w:rPr>
          <w:color w:val="231F20"/>
          <w:spacing w:val="-1"/>
        </w:rPr>
        <w:t>27</w:t>
      </w:r>
      <w:r>
        <w:rPr>
          <w:color w:val="231F20"/>
          <w:spacing w:val="-3"/>
        </w:rPr>
        <w:t> </w:t>
      </w:r>
      <w:r>
        <w:rPr>
          <w:color w:val="231F20"/>
        </w:rPr>
        <w:t>Aboriginal</w:t>
      </w:r>
      <w:r>
        <w:rPr>
          <w:color w:val="231F20"/>
          <w:spacing w:val="24"/>
          <w:w w:val="99"/>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7"/>
        </w:rPr>
        <w:t> </w:t>
      </w:r>
      <w:r>
        <w:rPr>
          <w:color w:val="231F20"/>
        </w:rPr>
        <w:t>providers</w:t>
      </w:r>
      <w:r>
        <w:rPr>
          <w:color w:val="231F20"/>
          <w:spacing w:val="21"/>
          <w:w w:val="99"/>
        </w:rPr>
        <w:t> </w:t>
      </w:r>
      <w:r>
        <w:rPr>
          <w:color w:val="231F20"/>
        </w:rPr>
        <w:t>analysed</w:t>
      </w:r>
      <w:r>
        <w:rPr>
          <w:color w:val="231F20"/>
          <w:spacing w:val="-5"/>
        </w:rPr>
        <w:t> </w:t>
      </w:r>
      <w:r>
        <w:rPr>
          <w:color w:val="231F20"/>
        </w:rPr>
        <w:t>for</w:t>
      </w:r>
      <w:r>
        <w:rPr>
          <w:color w:val="231F20"/>
          <w:spacing w:val="-4"/>
        </w:rPr>
        <w:t> </w:t>
      </w:r>
      <w:r>
        <w:rPr>
          <w:color w:val="231F20"/>
        </w:rPr>
        <w:t>this</w:t>
      </w:r>
      <w:r>
        <w:rPr>
          <w:color w:val="231F20"/>
          <w:spacing w:val="-4"/>
        </w:rPr>
        <w:t> </w:t>
      </w:r>
      <w:r>
        <w:rPr>
          <w:color w:val="231F20"/>
        </w:rPr>
        <w:t>report</w:t>
      </w:r>
      <w:r>
        <w:rPr>
          <w:color w:val="231F20"/>
          <w:spacing w:val="-5"/>
        </w:rPr>
        <w:t> </w:t>
      </w:r>
      <w:r>
        <w:rPr>
          <w:color w:val="231F20"/>
        </w:rPr>
        <w:t>was</w:t>
      </w:r>
      <w:r>
        <w:rPr>
          <w:color w:val="231F20"/>
          <w:spacing w:val="-4"/>
        </w:rPr>
        <w:t> </w:t>
      </w:r>
      <w:r>
        <w:rPr>
          <w:color w:val="231F20"/>
          <w:spacing w:val="-1"/>
        </w:rPr>
        <w:t>$16,679</w:t>
      </w:r>
      <w:r>
        <w:rPr>
          <w:color w:val="231F20"/>
          <w:spacing w:val="-4"/>
        </w:rPr>
        <w:t> </w:t>
      </w:r>
      <w:r>
        <w:rPr>
          <w:color w:val="231F20"/>
        </w:rPr>
        <w:t>and</w:t>
      </w:r>
      <w:r>
        <w:rPr>
          <w:color w:val="231F20"/>
          <w:spacing w:val="-5"/>
        </w:rPr>
        <w:t> </w:t>
      </w:r>
      <w:r>
        <w:rPr>
          <w:color w:val="231F20"/>
        </w:rPr>
        <w:t>the</w:t>
      </w:r>
      <w:r>
        <w:rPr>
          <w:color w:val="231F20"/>
          <w:spacing w:val="22"/>
          <w:w w:val="99"/>
        </w:rPr>
        <w:t> </w:t>
      </w:r>
      <w:r>
        <w:rPr>
          <w:color w:val="231F20"/>
        </w:rPr>
        <w:t>comparative</w:t>
      </w:r>
      <w:r>
        <w:rPr>
          <w:color w:val="231F20"/>
          <w:spacing w:val="-8"/>
        </w:rPr>
        <w:t> </w:t>
      </w:r>
      <w:r>
        <w:rPr>
          <w:color w:val="231F20"/>
        </w:rPr>
        <w:t>average</w:t>
      </w:r>
      <w:r>
        <w:rPr>
          <w:color w:val="231F20"/>
          <w:spacing w:val="-7"/>
        </w:rPr>
        <w:t> </w:t>
      </w:r>
      <w:r>
        <w:rPr>
          <w:color w:val="231F20"/>
        </w:rPr>
        <w:t>cost</w:t>
      </w:r>
      <w:r>
        <w:rPr>
          <w:color w:val="231F20"/>
          <w:spacing w:val="-7"/>
        </w:rPr>
        <w:t> </w:t>
      </w:r>
      <w:r>
        <w:rPr>
          <w:color w:val="231F20"/>
        </w:rPr>
        <w:t>per</w:t>
      </w:r>
      <w:r>
        <w:rPr>
          <w:color w:val="231F20"/>
          <w:spacing w:val="-6"/>
        </w:rPr>
        <w:t> </w:t>
      </w:r>
      <w:r>
        <w:rPr>
          <w:color w:val="231F20"/>
        </w:rPr>
        <w:t>boarder</w:t>
      </w:r>
      <w:r>
        <w:rPr>
          <w:color w:val="231F20"/>
          <w:spacing w:val="-7"/>
        </w:rPr>
        <w:t> </w:t>
      </w:r>
      <w:r>
        <w:rPr>
          <w:color w:val="231F20"/>
        </w:rPr>
        <w:t>was</w:t>
      </w:r>
      <w:r>
        <w:rPr/>
      </w:r>
    </w:p>
    <w:p>
      <w:pPr>
        <w:pStyle w:val="BodyText"/>
        <w:spacing w:line="250" w:lineRule="exact"/>
        <w:ind w:right="477"/>
        <w:jc w:val="left"/>
      </w:pPr>
      <w:r>
        <w:rPr>
          <w:color w:val="231F20"/>
          <w:spacing w:val="-1"/>
        </w:rPr>
        <w:t>$22,927,</w:t>
      </w:r>
      <w:r>
        <w:rPr>
          <w:color w:val="231F20"/>
          <w:spacing w:val="-9"/>
        </w:rPr>
        <w:t> </w:t>
      </w:r>
      <w:r>
        <w:rPr>
          <w:color w:val="231F20"/>
        </w:rPr>
        <w:t>representing</w:t>
      </w:r>
      <w:r>
        <w:rPr>
          <w:color w:val="231F20"/>
          <w:spacing w:val="-11"/>
        </w:rPr>
        <w:t> </w:t>
      </w:r>
      <w:r>
        <w:rPr>
          <w:color w:val="231F20"/>
        </w:rPr>
        <w:t>an</w:t>
      </w:r>
      <w:r>
        <w:rPr>
          <w:color w:val="231F20"/>
          <w:spacing w:val="-10"/>
        </w:rPr>
        <w:t> </w:t>
      </w:r>
      <w:r>
        <w:rPr>
          <w:color w:val="231F20"/>
        </w:rPr>
        <w:t>average</w:t>
      </w:r>
      <w:r>
        <w:rPr>
          <w:color w:val="231F20"/>
          <w:spacing w:val="-9"/>
        </w:rPr>
        <w:t> </w:t>
      </w:r>
      <w:r>
        <w:rPr>
          <w:color w:val="231F20"/>
          <w:spacing w:val="-1"/>
        </w:rPr>
        <w:t>shortfall</w:t>
      </w:r>
      <w:r>
        <w:rPr>
          <w:color w:val="231F20"/>
          <w:spacing w:val="21"/>
          <w:w w:val="99"/>
        </w:rPr>
        <w:t> </w:t>
      </w:r>
      <w:r>
        <w:rPr>
          <w:color w:val="231F20"/>
        </w:rPr>
        <w:t>of</w:t>
      </w:r>
      <w:r>
        <w:rPr>
          <w:color w:val="231F20"/>
          <w:spacing w:val="-2"/>
        </w:rPr>
        <w:t> </w:t>
      </w:r>
      <w:r>
        <w:rPr>
          <w:color w:val="231F20"/>
          <w:spacing w:val="-1"/>
        </w:rPr>
        <w:t>$6,248</w:t>
      </w:r>
      <w:r>
        <w:rPr>
          <w:color w:val="231F20"/>
          <w:spacing w:val="-2"/>
        </w:rPr>
        <w:t> </w:t>
      </w:r>
      <w:r>
        <w:rPr>
          <w:color w:val="231F20"/>
        </w:rPr>
        <w:t>per</w:t>
      </w:r>
      <w:r>
        <w:rPr>
          <w:color w:val="231F20"/>
          <w:spacing w:val="-1"/>
        </w:rPr>
        <w:t> boarder.</w:t>
      </w:r>
      <w:r>
        <w:rPr>
          <w:rFonts w:ascii="Segoe UI Semibold"/>
          <w:b/>
          <w:color w:val="231F20"/>
          <w:spacing w:val="-1"/>
          <w:position w:val="7"/>
          <w:sz w:val="11"/>
        </w:rPr>
        <w:t>139</w:t>
      </w:r>
      <w:r>
        <w:rPr>
          <w:rFonts w:ascii="Segoe UI Semibold"/>
          <w:b/>
          <w:color w:val="231F20"/>
          <w:spacing w:val="22"/>
          <w:position w:val="7"/>
          <w:sz w:val="11"/>
        </w:rPr>
        <w:t> </w:t>
      </w:r>
      <w:r>
        <w:rPr>
          <w:color w:val="231F20"/>
        </w:rPr>
        <w:t>Across</w:t>
      </w:r>
      <w:r>
        <w:rPr>
          <w:color w:val="231F20"/>
          <w:spacing w:val="-1"/>
        </w:rPr>
        <w:t> </w:t>
      </w:r>
      <w:r>
        <w:rPr>
          <w:color w:val="231F20"/>
        </w:rPr>
        <w:t>the</w:t>
      </w:r>
      <w:r>
        <w:rPr>
          <w:color w:val="231F20"/>
          <w:spacing w:val="-3"/>
        </w:rPr>
        <w:t> </w:t>
      </w:r>
      <w:r>
        <w:rPr>
          <w:color w:val="231F20"/>
        </w:rPr>
        <w:t>three</w:t>
      </w:r>
      <w:r>
        <w:rPr>
          <w:color w:val="231F20"/>
          <w:spacing w:val="30"/>
          <w:w w:val="99"/>
        </w:rPr>
        <w:t> </w:t>
      </w:r>
      <w:r>
        <w:rPr>
          <w:color w:val="231F20"/>
        </w:rPr>
        <w:t>year</w:t>
      </w:r>
      <w:r>
        <w:rPr>
          <w:color w:val="231F20"/>
          <w:spacing w:val="-5"/>
        </w:rPr>
        <w:t> </w:t>
      </w:r>
      <w:r>
        <w:rPr>
          <w:color w:val="231F20"/>
        </w:rPr>
        <w:t>average</w:t>
      </w:r>
      <w:r>
        <w:rPr>
          <w:color w:val="231F20"/>
          <w:spacing w:val="-5"/>
        </w:rPr>
        <w:t> </w:t>
      </w:r>
      <w:r>
        <w:rPr>
          <w:color w:val="231F20"/>
        </w:rPr>
        <w:t>of</w:t>
      </w:r>
      <w:r>
        <w:rPr>
          <w:color w:val="231F20"/>
          <w:spacing w:val="-4"/>
        </w:rPr>
        <w:t> </w:t>
      </w:r>
      <w:r>
        <w:rPr>
          <w:color w:val="231F20"/>
          <w:spacing w:val="-1"/>
        </w:rPr>
        <w:t>1,918</w:t>
      </w:r>
      <w:r>
        <w:rPr>
          <w:color w:val="231F20"/>
          <w:spacing w:val="-4"/>
        </w:rPr>
        <w:t> </w:t>
      </w:r>
      <w:r>
        <w:rPr>
          <w:color w:val="231F20"/>
        </w:rPr>
        <w:t>Aboriginal</w:t>
      </w:r>
      <w:r>
        <w:rPr>
          <w:color w:val="231F20"/>
          <w:spacing w:val="-4"/>
        </w:rPr>
        <w:t> </w:t>
      </w:r>
      <w:r>
        <w:rPr>
          <w:color w:val="231F20"/>
        </w:rPr>
        <w:t>and</w:t>
      </w:r>
      <w:r>
        <w:rPr>
          <w:color w:val="231F20"/>
          <w:spacing w:val="-5"/>
        </w:rPr>
        <w:t> Torres</w:t>
      </w:r>
      <w:r>
        <w:rPr>
          <w:color w:val="231F20"/>
          <w:spacing w:val="24"/>
          <w:w w:val="99"/>
        </w:rPr>
        <w:t> </w:t>
      </w:r>
      <w:r>
        <w:rPr>
          <w:color w:val="231F20"/>
          <w:spacing w:val="-2"/>
        </w:rPr>
        <w:t>Strait</w:t>
      </w:r>
      <w:r>
        <w:rPr>
          <w:color w:val="231F20"/>
          <w:spacing w:val="-9"/>
        </w:rPr>
        <w:t> </w:t>
      </w:r>
      <w:r>
        <w:rPr>
          <w:color w:val="231F20"/>
          <w:spacing w:val="-1"/>
        </w:rPr>
        <w:t>Islander</w:t>
      </w:r>
      <w:r>
        <w:rPr>
          <w:color w:val="231F20"/>
          <w:spacing w:val="-7"/>
        </w:rPr>
        <w:t> </w:t>
      </w:r>
      <w:r>
        <w:rPr>
          <w:color w:val="231F20"/>
        </w:rPr>
        <w:t>boarders</w:t>
      </w:r>
      <w:r>
        <w:rPr>
          <w:color w:val="231F20"/>
          <w:spacing w:val="-9"/>
        </w:rPr>
        <w:t> </w:t>
      </w:r>
      <w:r>
        <w:rPr>
          <w:color w:val="231F20"/>
        </w:rPr>
        <w:t>attending</w:t>
      </w:r>
      <w:r>
        <w:rPr>
          <w:color w:val="231F20"/>
          <w:spacing w:val="-8"/>
        </w:rPr>
        <w:t> </w:t>
      </w:r>
      <w:r>
        <w:rPr>
          <w:color w:val="231F20"/>
        </w:rPr>
        <w:t>the</w:t>
      </w:r>
      <w:r>
        <w:rPr>
          <w:color w:val="231F20"/>
          <w:spacing w:val="27"/>
          <w:w w:val="99"/>
        </w:rPr>
        <w:t> </w:t>
      </w:r>
      <w:r>
        <w:rPr>
          <w:color w:val="231F20"/>
        </w:rPr>
        <w:t>boarding</w:t>
      </w:r>
      <w:r>
        <w:rPr>
          <w:color w:val="231F20"/>
          <w:spacing w:val="-7"/>
        </w:rPr>
        <w:t> </w:t>
      </w:r>
      <w:r>
        <w:rPr>
          <w:color w:val="231F20"/>
        </w:rPr>
        <w:t>providers</w:t>
      </w:r>
      <w:r>
        <w:rPr>
          <w:color w:val="231F20"/>
          <w:spacing w:val="-6"/>
        </w:rPr>
        <w:t> </w:t>
      </w:r>
      <w:r>
        <w:rPr>
          <w:color w:val="231F20"/>
          <w:spacing w:val="-1"/>
        </w:rPr>
        <w:t>included</w:t>
      </w:r>
      <w:r>
        <w:rPr>
          <w:color w:val="231F20"/>
          <w:spacing w:val="-5"/>
        </w:rPr>
        <w:t> </w:t>
      </w:r>
      <w:r>
        <w:rPr>
          <w:color w:val="231F20"/>
          <w:spacing w:val="-1"/>
        </w:rPr>
        <w:t>in</w:t>
      </w:r>
      <w:r>
        <w:rPr>
          <w:color w:val="231F20"/>
          <w:spacing w:val="-6"/>
        </w:rPr>
        <w:t> </w:t>
      </w:r>
      <w:r>
        <w:rPr>
          <w:color w:val="231F20"/>
        </w:rPr>
        <w:t>the</w:t>
      </w:r>
      <w:r>
        <w:rPr>
          <w:color w:val="231F20"/>
          <w:spacing w:val="-6"/>
        </w:rPr>
        <w:t> </w:t>
      </w:r>
      <w:r>
        <w:rPr>
          <w:color w:val="231F20"/>
        </w:rPr>
        <w:t>analysis,</w:t>
      </w:r>
      <w:r>
        <w:rPr>
          <w:color w:val="231F20"/>
          <w:spacing w:val="23"/>
        </w:rPr>
        <w:t> </w:t>
      </w:r>
      <w:r>
        <w:rPr>
          <w:color w:val="231F20"/>
        </w:rPr>
        <w:t>this</w:t>
      </w:r>
      <w:r>
        <w:rPr>
          <w:color w:val="231F20"/>
          <w:spacing w:val="-6"/>
        </w:rPr>
        <w:t> </w:t>
      </w:r>
      <w:r>
        <w:rPr>
          <w:color w:val="231F20"/>
        </w:rPr>
        <w:t>represents</w:t>
      </w:r>
      <w:r>
        <w:rPr>
          <w:color w:val="231F20"/>
          <w:spacing w:val="-7"/>
        </w:rPr>
        <w:t> </w:t>
      </w:r>
      <w:r>
        <w:rPr>
          <w:color w:val="231F20"/>
        </w:rPr>
        <w:t>a</w:t>
      </w:r>
      <w:r>
        <w:rPr>
          <w:color w:val="231F20"/>
          <w:spacing w:val="-6"/>
        </w:rPr>
        <w:t> </w:t>
      </w:r>
      <w:r>
        <w:rPr>
          <w:color w:val="231F20"/>
        </w:rPr>
        <w:t>total</w:t>
      </w:r>
      <w:r>
        <w:rPr>
          <w:color w:val="231F20"/>
          <w:spacing w:val="-6"/>
        </w:rPr>
        <w:t> </w:t>
      </w:r>
      <w:r>
        <w:rPr>
          <w:color w:val="231F20"/>
        </w:rPr>
        <w:t>revenue</w:t>
      </w:r>
      <w:r>
        <w:rPr>
          <w:color w:val="231F20"/>
          <w:spacing w:val="-6"/>
        </w:rPr>
        <w:t> </w:t>
      </w:r>
      <w:r>
        <w:rPr>
          <w:color w:val="231F20"/>
          <w:spacing w:val="-1"/>
        </w:rPr>
        <w:t>shortfall</w:t>
      </w:r>
      <w:r>
        <w:rPr>
          <w:color w:val="231F20"/>
          <w:spacing w:val="-4"/>
        </w:rPr>
        <w:t> </w:t>
      </w:r>
      <w:r>
        <w:rPr>
          <w:color w:val="231F20"/>
        </w:rPr>
        <w:t>of</w:t>
      </w:r>
      <w:r>
        <w:rPr/>
      </w:r>
    </w:p>
    <w:p>
      <w:pPr>
        <w:pStyle w:val="BodyText"/>
        <w:spacing w:line="250" w:lineRule="exact"/>
        <w:ind w:right="0"/>
        <w:jc w:val="left"/>
      </w:pPr>
      <w:r>
        <w:rPr>
          <w:color w:val="231F20"/>
        </w:rPr>
        <w:t>$11,98</w:t>
      </w:r>
      <w:r>
        <w:rPr>
          <w:rFonts w:ascii="Segoe UI"/>
          <w:color w:val="231F20"/>
        </w:rPr>
        <w:t>3,664</w:t>
      </w:r>
      <w:r>
        <w:rPr>
          <w:color w:val="231F20"/>
        </w:rPr>
        <w:t>.</w:t>
      </w:r>
      <w:r>
        <w:rPr/>
      </w:r>
    </w:p>
    <w:p>
      <w:pPr>
        <w:pStyle w:val="BodyText"/>
        <w:spacing w:line="250" w:lineRule="exact" w:before="113"/>
        <w:ind w:right="116"/>
        <w:jc w:val="left"/>
      </w:pPr>
      <w:r>
        <w:rPr>
          <w:color w:val="231F20"/>
        </w:rPr>
        <w:t>The</w:t>
      </w:r>
      <w:r>
        <w:rPr>
          <w:color w:val="231F20"/>
          <w:spacing w:val="-4"/>
        </w:rPr>
        <w:t> </w:t>
      </w:r>
      <w:r>
        <w:rPr>
          <w:color w:val="231F20"/>
          <w:spacing w:val="-1"/>
        </w:rPr>
        <w:t>median</w:t>
      </w:r>
      <w:r>
        <w:rPr>
          <w:color w:val="231F20"/>
          <w:spacing w:val="-4"/>
        </w:rPr>
        <w:t> </w:t>
      </w:r>
      <w:r>
        <w:rPr>
          <w:color w:val="231F20"/>
        </w:rPr>
        <w:t>average</w:t>
      </w:r>
      <w:r>
        <w:rPr>
          <w:color w:val="231F20"/>
          <w:spacing w:val="-5"/>
        </w:rPr>
        <w:t> </w:t>
      </w:r>
      <w:r>
        <w:rPr>
          <w:color w:val="231F20"/>
        </w:rPr>
        <w:t>revenue</w:t>
      </w:r>
      <w:r>
        <w:rPr>
          <w:color w:val="231F20"/>
          <w:spacing w:val="-5"/>
        </w:rPr>
        <w:t> </w:t>
      </w:r>
      <w:r>
        <w:rPr>
          <w:color w:val="231F20"/>
        </w:rPr>
        <w:t>and</w:t>
      </w:r>
      <w:r>
        <w:rPr>
          <w:color w:val="231F20"/>
          <w:spacing w:val="-5"/>
        </w:rPr>
        <w:t> </w:t>
      </w:r>
      <w:r>
        <w:rPr>
          <w:color w:val="231F20"/>
        </w:rPr>
        <w:t>cost</w:t>
      </w:r>
      <w:r>
        <w:rPr>
          <w:color w:val="231F20"/>
          <w:spacing w:val="-5"/>
        </w:rPr>
        <w:t> </w:t>
      </w:r>
      <w:r>
        <w:rPr>
          <w:color w:val="231F20"/>
        </w:rPr>
        <w:t>per</w:t>
      </w:r>
      <w:r>
        <w:rPr>
          <w:color w:val="231F20"/>
          <w:spacing w:val="21"/>
          <w:w w:val="99"/>
        </w:rPr>
        <w:t> </w:t>
      </w:r>
      <w:r>
        <w:rPr>
          <w:color w:val="231F20"/>
        </w:rPr>
        <w:t>boarder</w:t>
      </w:r>
      <w:r>
        <w:rPr>
          <w:color w:val="231F20"/>
          <w:spacing w:val="-5"/>
        </w:rPr>
        <w:t> </w:t>
      </w:r>
      <w:r>
        <w:rPr>
          <w:color w:val="231F20"/>
        </w:rPr>
        <w:t>for</w:t>
      </w:r>
      <w:r>
        <w:rPr>
          <w:color w:val="231F20"/>
          <w:spacing w:val="-5"/>
        </w:rPr>
        <w:t> </w:t>
      </w:r>
      <w:r>
        <w:rPr>
          <w:color w:val="231F20"/>
        </w:rPr>
        <w:t>the</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w:t>
      </w:r>
      <w:r>
        <w:rPr>
          <w:color w:val="231F20"/>
          <w:spacing w:val="-4"/>
        </w:rPr>
        <w:t> </w:t>
      </w:r>
      <w:r>
        <w:rPr>
          <w:color w:val="231F20"/>
          <w:spacing w:val="-2"/>
        </w:rPr>
        <w:t>Strait</w:t>
      </w:r>
      <w:r>
        <w:rPr>
          <w:color w:val="231F20"/>
          <w:spacing w:val="28"/>
          <w:w w:val="99"/>
        </w:rPr>
        <w:t> </w:t>
      </w:r>
      <w:r>
        <w:rPr>
          <w:color w:val="231F20"/>
          <w:spacing w:val="-1"/>
        </w:rPr>
        <w:t>Islander</w:t>
      </w:r>
      <w:r>
        <w:rPr>
          <w:color w:val="231F20"/>
          <w:spacing w:val="-6"/>
        </w:rPr>
        <w:t> </w:t>
      </w:r>
      <w:r>
        <w:rPr>
          <w:color w:val="231F20"/>
        </w:rPr>
        <w:t>boarding</w:t>
      </w:r>
      <w:r>
        <w:rPr>
          <w:color w:val="231F20"/>
          <w:spacing w:val="-6"/>
        </w:rPr>
        <w:t> </w:t>
      </w:r>
      <w:r>
        <w:rPr>
          <w:color w:val="231F20"/>
        </w:rPr>
        <w:t>providers</w:t>
      </w:r>
      <w:r>
        <w:rPr>
          <w:color w:val="231F20"/>
          <w:spacing w:val="-6"/>
        </w:rPr>
        <w:t> </w:t>
      </w:r>
      <w:r>
        <w:rPr>
          <w:color w:val="231F20"/>
          <w:spacing w:val="-1"/>
        </w:rPr>
        <w:t>in</w:t>
      </w:r>
      <w:r>
        <w:rPr>
          <w:color w:val="231F20"/>
          <w:spacing w:val="-6"/>
        </w:rPr>
        <w:t> </w:t>
      </w:r>
      <w:r>
        <w:rPr>
          <w:color w:val="231F20"/>
          <w:spacing w:val="-1"/>
        </w:rPr>
        <w:t>2017</w:t>
      </w:r>
      <w:r>
        <w:rPr>
          <w:color w:val="231F20"/>
          <w:spacing w:val="-5"/>
        </w:rPr>
        <w:t> </w:t>
      </w:r>
      <w:r>
        <w:rPr>
          <w:color w:val="231F20"/>
        </w:rPr>
        <w:t>was</w:t>
      </w:r>
      <w:r>
        <w:rPr/>
      </w:r>
    </w:p>
    <w:p>
      <w:pPr>
        <w:pStyle w:val="BodyText"/>
        <w:spacing w:line="242" w:lineRule="exact"/>
        <w:ind w:right="0"/>
        <w:jc w:val="left"/>
        <w:rPr>
          <w:rFonts w:ascii="Segoe UI" w:hAnsi="Segoe UI" w:cs="Segoe UI" w:eastAsia="Segoe UI"/>
        </w:rPr>
      </w:pPr>
      <w:r>
        <w:rPr>
          <w:rFonts w:ascii="Segoe UI" w:hAnsi="Segoe UI" w:cs="Segoe UI" w:eastAsia="Segoe UI"/>
          <w:color w:val="231F20"/>
        </w:rPr>
        <w:t>$18,697</w:t>
      </w:r>
      <w:r>
        <w:rPr>
          <w:rFonts w:ascii="Segoe UI" w:hAnsi="Segoe UI" w:cs="Segoe UI" w:eastAsia="Segoe UI"/>
          <w:color w:val="231F20"/>
          <w:spacing w:val="-2"/>
        </w:rPr>
        <w:t> </w:t>
      </w:r>
      <w:r>
        <w:rPr>
          <w:rFonts w:ascii="Segoe UI" w:hAnsi="Segoe UI" w:cs="Segoe UI" w:eastAsia="Segoe UI"/>
          <w:color w:val="231F20"/>
        </w:rPr>
        <w:t>and</w:t>
      </w:r>
      <w:r>
        <w:rPr>
          <w:rFonts w:ascii="Segoe UI" w:hAnsi="Segoe UI" w:cs="Segoe UI" w:eastAsia="Segoe UI"/>
          <w:color w:val="231F20"/>
          <w:spacing w:val="-2"/>
        </w:rPr>
        <w:t> </w:t>
      </w:r>
      <w:r>
        <w:rPr>
          <w:rFonts w:ascii="Segoe UI" w:hAnsi="Segoe UI" w:cs="Segoe UI" w:eastAsia="Segoe UI"/>
          <w:color w:val="231F20"/>
        </w:rPr>
        <w:t>$25,012</w:t>
      </w:r>
      <w:r>
        <w:rPr>
          <w:rFonts w:ascii="Segoe UI" w:hAnsi="Segoe UI" w:cs="Segoe UI" w:eastAsia="Segoe UI"/>
          <w:color w:val="231F20"/>
          <w:spacing w:val="-2"/>
        </w:rPr>
        <w:t> </w:t>
      </w:r>
      <w:r>
        <w:rPr>
          <w:rFonts w:ascii="Segoe UI" w:hAnsi="Segoe UI" w:cs="Segoe UI" w:eastAsia="Segoe UI"/>
          <w:color w:val="231F20"/>
        </w:rPr>
        <w:t>respectively—a</w:t>
      </w:r>
      <w:r>
        <w:rPr>
          <w:rFonts w:ascii="Segoe UI" w:hAnsi="Segoe UI" w:cs="Segoe UI" w:eastAsia="Segoe UI"/>
          <w:color w:val="231F20"/>
          <w:spacing w:val="-2"/>
        </w:rPr>
        <w:t> </w:t>
      </w:r>
      <w:r>
        <w:rPr>
          <w:rFonts w:ascii="Segoe UI" w:hAnsi="Segoe UI" w:cs="Segoe UI" w:eastAsia="Segoe UI"/>
          <w:color w:val="231F20"/>
          <w:spacing w:val="-1"/>
        </w:rPr>
        <w:t>difference</w:t>
      </w:r>
      <w:r>
        <w:rPr>
          <w:rFonts w:ascii="Segoe UI" w:hAnsi="Segoe UI" w:cs="Segoe UI" w:eastAsia="Segoe UI"/>
        </w:rPr>
      </w:r>
    </w:p>
    <w:p>
      <w:pPr>
        <w:pStyle w:val="BodyText"/>
        <w:spacing w:line="258" w:lineRule="exact"/>
        <w:ind w:right="0"/>
        <w:jc w:val="left"/>
      </w:pPr>
      <w:r>
        <w:rPr>
          <w:color w:val="231F20"/>
        </w:rPr>
        <w:t>of</w:t>
      </w:r>
      <w:r>
        <w:rPr>
          <w:color w:val="231F20"/>
          <w:spacing w:val="-5"/>
        </w:rPr>
        <w:t> </w:t>
      </w:r>
      <w:r>
        <w:rPr>
          <w:color w:val="231F20"/>
          <w:spacing w:val="-1"/>
        </w:rPr>
        <w:t>$6,315</w:t>
      </w:r>
      <w:r>
        <w:rPr>
          <w:color w:val="231F20"/>
          <w:spacing w:val="-4"/>
        </w:rPr>
        <w:t> </w:t>
      </w:r>
      <w:r>
        <w:rPr>
          <w:color w:val="231F20"/>
        </w:rPr>
        <w:t>per</w:t>
      </w:r>
      <w:r>
        <w:rPr>
          <w:color w:val="231F20"/>
          <w:spacing w:val="-4"/>
        </w:rPr>
        <w:t> </w:t>
      </w:r>
      <w:r>
        <w:rPr>
          <w:color w:val="231F20"/>
        </w:rPr>
        <w:t>boarder.</w:t>
      </w:r>
      <w:r>
        <w:rPr/>
      </w:r>
    </w:p>
    <w:p>
      <w:pPr>
        <w:spacing w:after="0" w:line="258" w:lineRule="exact"/>
        <w:jc w:val="left"/>
        <w:sectPr>
          <w:type w:val="continuous"/>
          <w:pgSz w:w="11910" w:h="16840"/>
          <w:pgMar w:top="1580" w:bottom="280" w:left="1300" w:right="1600"/>
          <w:cols w:num="2" w:equalWidth="0">
            <w:col w:w="4370" w:space="222"/>
            <w:col w:w="4418"/>
          </w:cols>
        </w:sect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5"/>
        <w:rPr>
          <w:rFonts w:ascii="Segoe UI" w:hAnsi="Segoe UI" w:cs="Segoe UI" w:eastAsia="Segoe UI"/>
          <w:sz w:val="10"/>
          <w:szCs w:val="10"/>
        </w:rPr>
      </w:pPr>
    </w:p>
    <w:p>
      <w:pPr>
        <w:spacing w:line="200" w:lineRule="atLeast"/>
        <w:ind w:left="100" w:right="0" w:firstLine="0"/>
        <w:rPr>
          <w:rFonts w:ascii="Segoe UI" w:hAnsi="Segoe UI" w:cs="Segoe UI" w:eastAsia="Segoe UI"/>
          <w:sz w:val="20"/>
          <w:szCs w:val="20"/>
        </w:rPr>
      </w:pPr>
      <w:r>
        <w:rPr>
          <w:rFonts w:ascii="Segoe UI" w:hAnsi="Segoe UI" w:cs="Segoe UI" w:eastAsia="Segoe UI"/>
          <w:sz w:val="20"/>
          <w:szCs w:val="20"/>
        </w:rPr>
        <w:pict>
          <v:group style="width:439.4pt;height:247.3pt;mso-position-horizontal-relative:char;mso-position-vertical-relative:line" coordorigin="0,0" coordsize="8788,4946">
            <v:group style="position:absolute;left:100;top:100;width:8588;height:4746" coordorigin="100,100" coordsize="8588,4746">
              <v:shape style="position:absolute;left:100;top:100;width:8588;height:4746" coordorigin="100,100" coordsize="8588,4746" path="m100,4846l8687,4846,8687,100,100,100,100,4846xe" filled="false" stroked="true" strokeweight="10pt" strokecolor="#c1b5a9">
                <v:path arrowok="t"/>
              </v:shape>
            </v:group>
            <v:group style="position:absolute;left:424;top:851;width:7822;height:3752" coordorigin="424,851" coordsize="7822,3752">
              <v:shape style="position:absolute;left:424;top:851;width:7822;height:3752" coordorigin="424,851" coordsize="7822,3752" path="m424,4602l8245,4602,8245,851,424,851,424,4602xe" filled="true" fillcolor="#ffffff" stroked="false">
                <v:path arrowok="t"/>
                <v:fill type="solid"/>
              </v:shape>
            </v:group>
            <v:group style="position:absolute;left:1387;top:3802;width:6745;height:2" coordorigin="1387,3802" coordsize="6745,2">
              <v:shape style="position:absolute;left:1387;top:3802;width:6745;height:2" coordorigin="1387,3802" coordsize="6745,0" path="m1387,3802l8131,3802e" filled="false" stroked="true" strokeweight=".72pt" strokecolor="#dcddde">
                <v:path arrowok="t"/>
              </v:shape>
            </v:group>
            <v:group style="position:absolute;left:7779;top:3449;width:352;height:2" coordorigin="7779,3449" coordsize="352,2">
              <v:shape style="position:absolute;left:7779;top:3449;width:352;height:2" coordorigin="7779,3449" coordsize="352,0" path="m7779,3449l8131,3449e" filled="false" stroked="true" strokeweight=".72pt" strokecolor="#dcddde">
                <v:path arrowok="t"/>
              </v:shape>
            </v:group>
            <v:group style="position:absolute;left:7372;top:3449;width:88;height:2" coordorigin="7372,3449" coordsize="88,2">
              <v:shape style="position:absolute;left:7372;top:3449;width:88;height:2" coordorigin="7372,3449" coordsize="88,0" path="m7372,3449l7459,3449e" filled="false" stroked="true" strokeweight=".72pt" strokecolor="#dcddde">
                <v:path arrowok="t"/>
              </v:shape>
            </v:group>
            <v:group style="position:absolute;left:6964;top:3449;width:88;height:2" coordorigin="6964,3449" coordsize="88,2">
              <v:shape style="position:absolute;left:6964;top:3449;width:88;height:2" coordorigin="6964,3449" coordsize="88,0" path="m6964,3449l7051,3449e" filled="false" stroked="true" strokeweight=".72pt" strokecolor="#dcddde">
                <v:path arrowok="t"/>
              </v:shape>
            </v:group>
            <v:group style="position:absolute;left:1387;top:3449;width:5257;height:2" coordorigin="1387,3449" coordsize="5257,2">
              <v:shape style="position:absolute;left:1387;top:3449;width:5257;height:2" coordorigin="1387,3449" coordsize="5257,0" path="m1387,3449l6644,3449e" filled="false" stroked="true" strokeweight=".72pt" strokecolor="#dcddde">
                <v:path arrowok="t"/>
              </v:shape>
            </v:group>
            <v:group style="position:absolute;left:5531;top:2741;width:2601;height:2" coordorigin="5531,2741" coordsize="2601,2">
              <v:shape style="position:absolute;left:5531;top:2741;width:2601;height:2" coordorigin="5531,2741" coordsize="2601,0" path="m5531,2741l8131,2741e" filled="false" stroked="true" strokeweight=".72pt" strokecolor="#dcddde">
                <v:path arrowok="t"/>
              </v:shape>
            </v:group>
            <v:group style="position:absolute;left:5123;top:2741;width:88;height:2" coordorigin="5123,2741" coordsize="88,2">
              <v:shape style="position:absolute;left:5123;top:2741;width:88;height:2" coordorigin="5123,2741" coordsize="88,0" path="m5123,2741l5210,2741e" filled="false" stroked="true" strokeweight=".72pt" strokecolor="#dcddde">
                <v:path arrowok="t"/>
              </v:shape>
            </v:group>
            <v:group style="position:absolute;left:4715;top:2741;width:88;height:2" coordorigin="4715,2741" coordsize="88,2">
              <v:shape style="position:absolute;left:4715;top:2741;width:88;height:2" coordorigin="4715,2741" coordsize="88,0" path="m4715,2741l4803,2741e" filled="false" stroked="true" strokeweight=".72pt" strokecolor="#dcddde">
                <v:path arrowok="t"/>
              </v:shape>
            </v:group>
            <v:group style="position:absolute;left:4307;top:2741;width:88;height:2" coordorigin="4307,2741" coordsize="88,2">
              <v:shape style="position:absolute;left:4307;top:2741;width:88;height:2" coordorigin="4307,2741" coordsize="88,0" path="m4307,2741l4395,2741e" filled="false" stroked="true" strokeweight=".72pt" strokecolor="#dcddde">
                <v:path arrowok="t"/>
              </v:shape>
            </v:group>
            <v:group style="position:absolute;left:3284;top:2741;width:703;height:2" coordorigin="3284,2741" coordsize="703,2">
              <v:shape style="position:absolute;left:3284;top:2741;width:703;height:2" coordorigin="3284,2741" coordsize="703,0" path="m3284,2741l3987,2741e" filled="false" stroked="true" strokeweight=".72pt" strokecolor="#dcddde">
                <v:path arrowok="t"/>
              </v:shape>
            </v:group>
            <v:group style="position:absolute;left:2877;top:2741;width:86;height:2" coordorigin="2877,2741" coordsize="86,2">
              <v:shape style="position:absolute;left:2877;top:2741;width:86;height:2" coordorigin="2877,2741" coordsize="86,0" path="m2877,2741l2962,2741e" filled="false" stroked="true" strokeweight=".72pt" strokecolor="#dcddde">
                <v:path arrowok="t"/>
              </v:shape>
            </v:group>
            <v:group style="position:absolute;left:2466;top:2741;width:88;height:2" coordorigin="2466,2741" coordsize="88,2">
              <v:shape style="position:absolute;left:2466;top:2741;width:88;height:2" coordorigin="2466,2741" coordsize="88,0" path="m2466,2741l2554,2741e" filled="false" stroked="true" strokeweight=".72pt" strokecolor="#dcddde">
                <v:path arrowok="t"/>
              </v:shape>
            </v:group>
            <v:group style="position:absolute;left:2059;top:2741;width:88;height:2" coordorigin="2059,2741" coordsize="88,2">
              <v:shape style="position:absolute;left:2059;top:2741;width:88;height:2" coordorigin="2059,2741" coordsize="88,0" path="m2059,2741l2146,2741e" filled="false" stroked="true" strokeweight=".72pt" strokecolor="#dcddde">
                <v:path arrowok="t"/>
              </v:shape>
            </v:group>
            <v:group style="position:absolute;left:1387;top:2741;width:352;height:2" coordorigin="1387,2741" coordsize="352,2">
              <v:shape style="position:absolute;left:1387;top:2741;width:352;height:2" coordorigin="1387,2741" coordsize="352,0" path="m1387,2741l1738,2741e" filled="false" stroked="true" strokeweight=".72pt" strokecolor="#dcddde">
                <v:path arrowok="t"/>
              </v:shape>
            </v:group>
            <v:group style="position:absolute;left:5531;top:2386;width:2601;height:2" coordorigin="5531,2386" coordsize="2601,2">
              <v:shape style="position:absolute;left:5531;top:2386;width:2601;height:2" coordorigin="5531,2386" coordsize="2601,0" path="m5531,2386l8131,2386e" filled="false" stroked="true" strokeweight=".72pt" strokecolor="#dcddde">
                <v:path arrowok="t"/>
              </v:shape>
            </v:group>
            <v:group style="position:absolute;left:5123;top:2386;width:88;height:2" coordorigin="5123,2386" coordsize="88,2">
              <v:shape style="position:absolute;left:5123;top:2386;width:88;height:2" coordorigin="5123,2386" coordsize="88,0" path="m5123,2386l5210,2386e" filled="false" stroked="true" strokeweight=".72pt" strokecolor="#dcddde">
                <v:path arrowok="t"/>
              </v:shape>
            </v:group>
            <v:group style="position:absolute;left:4715;top:2386;width:88;height:2" coordorigin="4715,2386" coordsize="88,2">
              <v:shape style="position:absolute;left:4715;top:2386;width:88;height:2" coordorigin="4715,2386" coordsize="88,0" path="m4715,2386l4803,2386e" filled="false" stroked="true" strokeweight=".72pt" strokecolor="#dcddde">
                <v:path arrowok="t"/>
              </v:shape>
            </v:group>
            <v:group style="position:absolute;left:4307;top:2386;width:88;height:2" coordorigin="4307,2386" coordsize="88,2">
              <v:shape style="position:absolute;left:4307;top:2386;width:88;height:2" coordorigin="4307,2386" coordsize="88,0" path="m4307,2386l4395,2386e" filled="false" stroked="true" strokeweight=".72pt" strokecolor="#dcddde">
                <v:path arrowok="t"/>
              </v:shape>
            </v:group>
            <v:group style="position:absolute;left:3284;top:2386;width:703;height:2" coordorigin="3284,2386" coordsize="703,2">
              <v:shape style="position:absolute;left:3284;top:2386;width:703;height:2" coordorigin="3284,2386" coordsize="703,0" path="m3284,2386l3987,2386e" filled="false" stroked="true" strokeweight=".72pt" strokecolor="#dcddde">
                <v:path arrowok="t"/>
              </v:shape>
            </v:group>
            <v:group style="position:absolute;left:2877;top:2386;width:86;height:2" coordorigin="2877,2386" coordsize="86,2">
              <v:shape style="position:absolute;left:2877;top:2386;width:86;height:2" coordorigin="2877,2386" coordsize="86,0" path="m2877,2386l2962,2386e" filled="false" stroked="true" strokeweight=".72pt" strokecolor="#dcddde">
                <v:path arrowok="t"/>
              </v:shape>
            </v:group>
            <v:group style="position:absolute;left:2466;top:2386;width:88;height:2" coordorigin="2466,2386" coordsize="88,2">
              <v:shape style="position:absolute;left:2466;top:2386;width:88;height:2" coordorigin="2466,2386" coordsize="88,0" path="m2466,2386l2554,2386e" filled="false" stroked="true" strokeweight=".72pt" strokecolor="#dcddde">
                <v:path arrowok="t"/>
              </v:shape>
            </v:group>
            <v:group style="position:absolute;left:2059;top:2386;width:88;height:2" coordorigin="2059,2386" coordsize="88,2">
              <v:shape style="position:absolute;left:2059;top:2386;width:88;height:2" coordorigin="2059,2386" coordsize="88,0" path="m2059,2386l2146,2386e" filled="false" stroked="true" strokeweight=".72pt" strokecolor="#dcddde">
                <v:path arrowok="t"/>
              </v:shape>
            </v:group>
            <v:group style="position:absolute;left:1387;top:2386;width:352;height:2" coordorigin="1387,2386" coordsize="352,2">
              <v:shape style="position:absolute;left:1387;top:2386;width:352;height:2" coordorigin="1387,2386" coordsize="352,0" path="m1387,2386l1738,2386e" filled="false" stroked="true" strokeweight=".72pt" strokecolor="#dcddde">
                <v:path arrowok="t"/>
              </v:shape>
            </v:group>
            <v:group style="position:absolute;left:5531;top:2034;width:2601;height:2" coordorigin="5531,2034" coordsize="2601,2">
              <v:shape style="position:absolute;left:5531;top:2034;width:2601;height:2" coordorigin="5531,2034" coordsize="2601,0" path="m5531,2034l8131,2034e" filled="false" stroked="true" strokeweight=".72pt" strokecolor="#dcddde">
                <v:path arrowok="t"/>
              </v:shape>
            </v:group>
            <v:group style="position:absolute;left:5123;top:2034;width:88;height:2" coordorigin="5123,2034" coordsize="88,2">
              <v:shape style="position:absolute;left:5123;top:2034;width:88;height:2" coordorigin="5123,2034" coordsize="88,0" path="m5123,2034l5210,2034e" filled="false" stroked="true" strokeweight=".72pt" strokecolor="#dcddde">
                <v:path arrowok="t"/>
              </v:shape>
            </v:group>
            <v:group style="position:absolute;left:4715;top:2034;width:88;height:2" coordorigin="4715,2034" coordsize="88,2">
              <v:shape style="position:absolute;left:4715;top:2034;width:88;height:2" coordorigin="4715,2034" coordsize="88,0" path="m4715,2034l4803,2034e" filled="false" stroked="true" strokeweight=".72pt" strokecolor="#dcddde">
                <v:path arrowok="t"/>
              </v:shape>
            </v:group>
            <v:group style="position:absolute;left:4307;top:2034;width:88;height:2" coordorigin="4307,2034" coordsize="88,2">
              <v:shape style="position:absolute;left:4307;top:2034;width:88;height:2" coordorigin="4307,2034" coordsize="88,0" path="m4307,2034l4395,2034e" filled="false" stroked="true" strokeweight=".72pt" strokecolor="#dcddde">
                <v:path arrowok="t"/>
              </v:shape>
            </v:group>
            <v:group style="position:absolute;left:3284;top:2034;width:703;height:2" coordorigin="3284,2034" coordsize="703,2">
              <v:shape style="position:absolute;left:3284;top:2034;width:703;height:2" coordorigin="3284,2034" coordsize="703,0" path="m3284,2034l3987,2034e" filled="false" stroked="true" strokeweight=".72pt" strokecolor="#dcddde">
                <v:path arrowok="t"/>
              </v:shape>
            </v:group>
            <v:group style="position:absolute;left:2877;top:2034;width:86;height:2" coordorigin="2877,2034" coordsize="86,2">
              <v:shape style="position:absolute;left:2877;top:2034;width:86;height:2" coordorigin="2877,2034" coordsize="86,0" path="m2877,2034l2962,2034e" filled="false" stroked="true" strokeweight=".72pt" strokecolor="#dcddde">
                <v:path arrowok="t"/>
              </v:shape>
            </v:group>
            <v:group style="position:absolute;left:2466;top:2034;width:88;height:2" coordorigin="2466,2034" coordsize="88,2">
              <v:shape style="position:absolute;left:2466;top:2034;width:88;height:2" coordorigin="2466,2034" coordsize="88,0" path="m2466,2034l2554,2034e" filled="false" stroked="true" strokeweight=".72pt" strokecolor="#dcddde">
                <v:path arrowok="t"/>
              </v:shape>
            </v:group>
            <v:group style="position:absolute;left:2059;top:2034;width:88;height:2" coordorigin="2059,2034" coordsize="88,2">
              <v:shape style="position:absolute;left:2059;top:2034;width:88;height:2" coordorigin="2059,2034" coordsize="88,0" path="m2059,2034l2146,2034e" filled="false" stroked="true" strokeweight=".72pt" strokecolor="#dcddde">
                <v:path arrowok="t"/>
              </v:shape>
            </v:group>
            <v:group style="position:absolute;left:1387;top:2034;width:352;height:2" coordorigin="1387,2034" coordsize="352,2">
              <v:shape style="position:absolute;left:1387;top:2034;width:352;height:2" coordorigin="1387,2034" coordsize="352,0" path="m1387,2034l1738,2034e" filled="false" stroked="true" strokeweight=".72pt" strokecolor="#dcddde">
                <v:path arrowok="t"/>
              </v:shape>
            </v:group>
            <v:group style="position:absolute;left:5531;top:1679;width:2601;height:2" coordorigin="5531,1679" coordsize="2601,2">
              <v:shape style="position:absolute;left:5531;top:1679;width:2601;height:2" coordorigin="5531,1679" coordsize="2601,0" path="m5531,1679l8131,1679e" filled="false" stroked="true" strokeweight=".72pt" strokecolor="#dcddde">
                <v:path arrowok="t"/>
              </v:shape>
            </v:group>
            <v:group style="position:absolute;left:5123;top:1679;width:88;height:2" coordorigin="5123,1679" coordsize="88,2">
              <v:shape style="position:absolute;left:5123;top:1679;width:88;height:2" coordorigin="5123,1679" coordsize="88,0" path="m5123,1679l5210,1679e" filled="false" stroked="true" strokeweight=".72pt" strokecolor="#dcddde">
                <v:path arrowok="t"/>
              </v:shape>
            </v:group>
            <v:group style="position:absolute;left:4715;top:1679;width:88;height:2" coordorigin="4715,1679" coordsize="88,2">
              <v:shape style="position:absolute;left:4715;top:1679;width:88;height:2" coordorigin="4715,1679" coordsize="88,0" path="m4715,1679l4803,1679e" filled="false" stroked="true" strokeweight=".72pt" strokecolor="#dcddde">
                <v:path arrowok="t"/>
              </v:shape>
            </v:group>
            <v:group style="position:absolute;left:4307;top:1679;width:88;height:2" coordorigin="4307,1679" coordsize="88,2">
              <v:shape style="position:absolute;left:4307;top:1679;width:88;height:2" coordorigin="4307,1679" coordsize="88,0" path="m4307,1679l4395,1679e" filled="false" stroked="true" strokeweight=".72pt" strokecolor="#dcddde">
                <v:path arrowok="t"/>
              </v:shape>
            </v:group>
            <v:group style="position:absolute;left:1387;top:1679;width:2601;height:2" coordorigin="1387,1679" coordsize="2601,2">
              <v:shape style="position:absolute;left:1387;top:1679;width:2601;height:2" coordorigin="1387,1679" coordsize="2601,0" path="m1387,1679l3987,1679e" filled="false" stroked="true" strokeweight=".72pt" strokecolor="#dcddde">
                <v:path arrowok="t"/>
              </v:shape>
            </v:group>
            <v:group style="position:absolute;left:1387;top:1327;width:6745;height:2" coordorigin="1387,1327" coordsize="6745,2">
              <v:shape style="position:absolute;left:1387;top:1327;width:6745;height:2" coordorigin="1387,1327" coordsize="6745,0" path="m1387,1327l8131,1327e" filled="false" stroked="true" strokeweight=".72pt" strokecolor="#dcddde">
                <v:path arrowok="t"/>
              </v:shape>
            </v:group>
            <v:group style="position:absolute;left:1387;top:972;width:6745;height:2" coordorigin="1387,972" coordsize="6745,2">
              <v:shape style="position:absolute;left:1387;top:972;width:6745;height:2" coordorigin="1387,972" coordsize="6745,0" path="m1387,972l8131,972e" filled="false" stroked="true" strokeweight=".72pt" strokecolor="#dcddde">
                <v:path arrowok="t"/>
              </v:shape>
            </v:group>
            <v:group style="position:absolute;left:1738;top:1995;width:321;height:1100" coordorigin="1738,1995" coordsize="321,1100">
              <v:shape style="position:absolute;left:1738;top:1995;width:321;height:1100" coordorigin="1738,1995" coordsize="321,1100" path="m2059,1995l1738,1995,1738,3094,2059,3094,2059,1995xe" filled="true" fillcolor="#644e7f" stroked="false">
                <v:path arrowok="t"/>
                <v:fill type="solid"/>
              </v:shape>
            </v:group>
            <v:group style="position:absolute;left:3987;top:1635;width:321;height:1459" coordorigin="3987,1635" coordsize="321,1459">
              <v:shape style="position:absolute;left:3987;top:1635;width:321;height:1459" coordorigin="3987,1635" coordsize="321,1459" path="m4307,1635l3987,1635,3987,3094,4307,3094,4307,1635xe" filled="true" fillcolor="#644e7f" stroked="false">
                <v:path arrowok="t"/>
                <v:fill type="solid"/>
              </v:shape>
            </v:group>
            <v:group style="position:absolute;left:6236;top:3094;width:321;height:360" coordorigin="6236,3094" coordsize="321,360">
              <v:shape style="position:absolute;left:6236;top:3094;width:321;height:360" coordorigin="6236,3094" coordsize="321,360" path="m6556,3094l6236,3094,6236,3453,6556,3453,6556,3094xe" filled="true" fillcolor="#644e7f" stroked="false">
                <v:path arrowok="t"/>
                <v:fill type="solid"/>
              </v:shape>
            </v:group>
            <v:group style="position:absolute;left:2146;top:1907;width:321;height:1187" coordorigin="2146,1907" coordsize="321,1187">
              <v:shape style="position:absolute;left:2146;top:1907;width:321;height:1187" coordorigin="2146,1907" coordsize="321,1187" path="m2466,1907l2146,1907,2146,3094,2466,3094,2466,1907xe" filled="true" fillcolor="#775e98" stroked="false">
                <v:path arrowok="t"/>
                <v:fill type="solid"/>
              </v:shape>
            </v:group>
            <v:group style="position:absolute;left:4395;top:1446;width:321;height:1648" coordorigin="4395,1446" coordsize="321,1648">
              <v:shape style="position:absolute;left:4395;top:1446;width:321;height:1648" coordorigin="4395,1446" coordsize="321,1648" path="m4715,1446l4395,1446,4395,3094,4715,3094,4715,1446xe" filled="true" fillcolor="#775e98" stroked="false">
                <v:path arrowok="t"/>
                <v:fill type="solid"/>
              </v:shape>
            </v:group>
            <v:group style="position:absolute;left:6644;top:3094;width:321;height:461" coordorigin="6644,3094" coordsize="321,461">
              <v:shape style="position:absolute;left:6644;top:3094;width:321;height:461" coordorigin="6644,3094" coordsize="321,461" path="m6964,3094l6644,3094,6644,3554,6964,3554,6964,3094xe" filled="true" fillcolor="#775e98" stroked="false">
                <v:path arrowok="t"/>
                <v:fill type="solid"/>
              </v:shape>
            </v:group>
            <v:group style="position:absolute;left:2554;top:1843;width:323;height:1252" coordorigin="2554,1843" coordsize="323,1252">
              <v:shape style="position:absolute;left:2554;top:1843;width:323;height:1252" coordorigin="2554,1843" coordsize="323,1252" path="m2877,1843l2554,1843,2554,3094,2877,3094,2877,1843xe" filled="true" fillcolor="#9c89b3" stroked="false">
                <v:path arrowok="t"/>
                <v:fill type="solid"/>
              </v:shape>
            </v:group>
            <v:group style="position:absolute;left:4803;top:1336;width:321;height:1758" coordorigin="4803,1336" coordsize="321,1758">
              <v:shape style="position:absolute;left:4803;top:1336;width:321;height:1758" coordorigin="4803,1336" coordsize="321,1758" path="m5123,1336l4803,1336,4803,3094,5123,3094,5123,1336xe" filled="true" fillcolor="#9c89b3" stroked="false">
                <v:path arrowok="t"/>
                <v:fill type="solid"/>
              </v:shape>
            </v:group>
            <v:group style="position:absolute;left:7051;top:3094;width:321;height:507" coordorigin="7051,3094" coordsize="321,507">
              <v:shape style="position:absolute;left:7051;top:3094;width:321;height:507" coordorigin="7051,3094" coordsize="321,507" path="m7372,3094l7051,3094,7051,3601,7372,3601,7372,3094xe" filled="true" fillcolor="#9c89b3" stroked="false">
                <v:path arrowok="t"/>
                <v:fill type="solid"/>
              </v:shape>
            </v:group>
            <v:group style="position:absolute;left:2962;top:1914;width:323;height:1180" coordorigin="2962,1914" coordsize="323,1180">
              <v:shape style="position:absolute;left:2962;top:1914;width:323;height:1180" coordorigin="2962,1914" coordsize="323,1180" path="m3284,1914l2962,1914,2962,3094,3284,3094,3284,1914xe" filled="true" fillcolor="#c4bad0" stroked="false">
                <v:path arrowok="t"/>
                <v:fill type="solid"/>
              </v:shape>
            </v:group>
            <v:group style="position:absolute;left:5210;top:1472;width:321;height:1622" coordorigin="5210,1472" coordsize="321,1622">
              <v:shape style="position:absolute;left:5210;top:1472;width:321;height:1622" coordorigin="5210,1472" coordsize="321,1622" path="m5531,1472l5210,1472,5210,3094,5531,3094,5531,1472xe" filled="true" fillcolor="#c4bad0" stroked="false">
                <v:path arrowok="t"/>
                <v:fill type="solid"/>
              </v:shape>
            </v:group>
            <v:group style="position:absolute;left:7459;top:3094;width:321;height:443" coordorigin="7459,3094" coordsize="321,443">
              <v:shape style="position:absolute;left:7459;top:3094;width:321;height:443" coordorigin="7459,3094" coordsize="321,443" path="m7779,3094l7459,3094,7459,3536,7779,3536,7779,3094xe" filled="true" fillcolor="#c4bad0" stroked="false">
                <v:path arrowok="t"/>
                <v:fill type="solid"/>
              </v:shape>
            </v:group>
            <v:group style="position:absolute;left:1387;top:3094;width:6745;height:2" coordorigin="1387,3094" coordsize="6745,2">
              <v:shape style="position:absolute;left:1387;top:3094;width:6745;height:2" coordorigin="1387,3094" coordsize="6745,0" path="m1387,3094l8131,3094e" filled="false" stroked="true" strokeweight=".72pt" strokecolor="#dcddde">
                <v:path arrowok="t"/>
              </v:shape>
            </v:group>
            <v:group style="position:absolute;left:3115;top:4378;width:92;height:92" coordorigin="3115,4378" coordsize="92,92">
              <v:shape style="position:absolute;left:3115;top:4378;width:92;height:92" coordorigin="3115,4378" coordsize="92,92" path="m3115,4378l3207,4378,3207,4470,3115,4470,3115,4378xe" filled="true" fillcolor="#644e7f" stroked="false">
                <v:path arrowok="t"/>
                <v:fill type="solid"/>
              </v:shape>
            </v:group>
            <v:group style="position:absolute;left:3721;top:4378;width:92;height:92" coordorigin="3721,4378" coordsize="92,92">
              <v:shape style="position:absolute;left:3721;top:4378;width:92;height:92" coordorigin="3721,4378" coordsize="92,92" path="m3721,4378l3813,4378,3813,4470,3721,4470,3721,4378xe" filled="true" fillcolor="#775e98" stroked="false">
                <v:path arrowok="t"/>
                <v:fill type="solid"/>
              </v:shape>
            </v:group>
            <v:group style="position:absolute;left:4328;top:4378;width:92;height:92" coordorigin="4328,4378" coordsize="92,92">
              <v:shape style="position:absolute;left:4328;top:4378;width:92;height:92" coordorigin="4328,4378" coordsize="92,92" path="m4328,4378l4420,4378,4420,4470,4328,4470,4328,4378xe" filled="true" fillcolor="#9c89b3" stroked="false">
                <v:path arrowok="t"/>
                <v:fill type="solid"/>
              </v:shape>
            </v:group>
            <v:group style="position:absolute;left:4935;top:4378;width:92;height:92" coordorigin="4935,4378" coordsize="92,92">
              <v:shape style="position:absolute;left:4935;top:4378;width:92;height:92" coordorigin="4935,4378" coordsize="92,92" path="m4935,4378l5027,4378,5027,4470,4935,4470,4935,4378xe" filled="true" fillcolor="#c4bad0" stroked="false">
                <v:path arrowok="t"/>
                <v:fill type="solid"/>
              </v:shape>
              <v:shape style="position:absolute;left:0;top:0;width:8788;height:4946" type="#_x0000_t202" filled="false" stroked="false">
                <v:textbox inset="0,0,0,0">
                  <w:txbxContent>
                    <w:p>
                      <w:pPr>
                        <w:spacing w:line="240" w:lineRule="auto" w:before="1"/>
                        <w:rPr>
                          <w:rFonts w:ascii="Segoe UI" w:hAnsi="Segoe UI" w:cs="Segoe UI" w:eastAsia="Segoe UI"/>
                          <w:sz w:val="18"/>
                          <w:szCs w:val="18"/>
                        </w:rPr>
                      </w:pPr>
                    </w:p>
                    <w:p>
                      <w:pPr>
                        <w:spacing w:line="200" w:lineRule="exact" w:before="0"/>
                        <w:ind w:left="286" w:right="335" w:firstLine="0"/>
                        <w:jc w:val="left"/>
                        <w:rPr>
                          <w:rFonts w:ascii="Segoe UI Semibold" w:hAnsi="Segoe UI Semibold" w:cs="Segoe UI Semibold" w:eastAsia="Segoe UI Semibold"/>
                          <w:sz w:val="16"/>
                          <w:szCs w:val="16"/>
                        </w:rPr>
                      </w:pPr>
                      <w:r>
                        <w:rPr>
                          <w:rFonts w:ascii="Segoe UI Semibold" w:hAnsi="Segoe UI Semibold" w:cs="Segoe UI Semibold" w:eastAsia="Segoe UI Semibold"/>
                          <w:b/>
                          <w:bCs/>
                          <w:color w:val="666155"/>
                          <w:spacing w:val="4"/>
                          <w:sz w:val="16"/>
                          <w:szCs w:val="16"/>
                        </w:rPr>
                        <w:t>GRAPH</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z w:val="16"/>
                          <w:szCs w:val="16"/>
                        </w:rPr>
                        <w:t>10: </w:t>
                      </w:r>
                      <w:r>
                        <w:rPr>
                          <w:rFonts w:ascii="Segoe UI Semibold" w:hAnsi="Segoe UI Semibold" w:cs="Segoe UI Semibold" w:eastAsia="Segoe UI Semibold"/>
                          <w:b/>
                          <w:bCs/>
                          <w:color w:val="666155"/>
                          <w:spacing w:val="2"/>
                          <w:sz w:val="16"/>
                          <w:szCs w:val="16"/>
                        </w:rPr>
                        <w:t>AVERAGE</w:t>
                      </w:r>
                      <w:r>
                        <w:rPr>
                          <w:rFonts w:ascii="Segoe UI Semibold" w:hAnsi="Segoe UI Semibold" w:cs="Segoe UI Semibold" w:eastAsia="Segoe UI Semibold"/>
                          <w:b/>
                          <w:bCs/>
                          <w:color w:val="666155"/>
                          <w:spacing w:val="3"/>
                          <w:sz w:val="16"/>
                          <w:szCs w:val="16"/>
                        </w:rPr>
                        <w:t> ANNUAL</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REVENUE,</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3"/>
                          <w:sz w:val="16"/>
                          <w:szCs w:val="16"/>
                        </w:rPr>
                        <w:t>COST AND</w:t>
                      </w:r>
                      <w:r>
                        <w:rPr>
                          <w:rFonts w:ascii="Segoe UI Semibold" w:hAnsi="Segoe UI Semibold" w:cs="Segoe UI Semibold" w:eastAsia="Segoe UI Semibold"/>
                          <w:b/>
                          <w:bCs/>
                          <w:color w:val="666155"/>
                          <w:spacing w:val="2"/>
                          <w:sz w:val="16"/>
                          <w:szCs w:val="16"/>
                        </w:rPr>
                        <w:t> LOSS</w:t>
                      </w:r>
                      <w:r>
                        <w:rPr>
                          <w:rFonts w:ascii="Segoe UI Semibold" w:hAnsi="Segoe UI Semibold" w:cs="Segoe UI Semibold" w:eastAsia="Segoe UI Semibold"/>
                          <w:b/>
                          <w:bCs/>
                          <w:color w:val="666155"/>
                          <w:spacing w:val="3"/>
                          <w:sz w:val="16"/>
                          <w:szCs w:val="16"/>
                        </w:rPr>
                        <w:t> PER</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BOARDER</w:t>
                      </w:r>
                      <w:r>
                        <w:rPr>
                          <w:rFonts w:ascii="Segoe UI Semibold" w:hAnsi="Segoe UI Semibold" w:cs="Segoe UI Semibold" w:eastAsia="Segoe UI Semibold"/>
                          <w:b/>
                          <w:bCs/>
                          <w:color w:val="666155"/>
                          <w:sz w:val="16"/>
                          <w:szCs w:val="16"/>
                        </w:rPr>
                        <w:t> 2015</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position w:val="1"/>
                          <w:sz w:val="16"/>
                          <w:szCs w:val="16"/>
                        </w:rPr>
                        <w:t>—</w:t>
                      </w:r>
                      <w:r>
                        <w:rPr>
                          <w:rFonts w:ascii="Segoe UI Semibold" w:hAnsi="Segoe UI Semibold" w:cs="Segoe UI Semibold" w:eastAsia="Segoe UI Semibold"/>
                          <w:b/>
                          <w:bCs/>
                          <w:color w:val="666155"/>
                          <w:spacing w:val="-3"/>
                          <w:position w:val="1"/>
                          <w:sz w:val="16"/>
                          <w:szCs w:val="16"/>
                        </w:rPr>
                        <w:t> </w:t>
                      </w:r>
                      <w:r>
                        <w:rPr>
                          <w:rFonts w:ascii="Segoe UI Semibold" w:hAnsi="Segoe UI Semibold" w:cs="Segoe UI Semibold" w:eastAsia="Segoe UI Semibold"/>
                          <w:b/>
                          <w:bCs/>
                          <w:color w:val="666155"/>
                          <w:sz w:val="16"/>
                          <w:szCs w:val="16"/>
                        </w:rPr>
                        <w:t>2017 </w:t>
                      </w:r>
                      <w:r>
                        <w:rPr>
                          <w:rFonts w:ascii="Segoe UI Semibold" w:hAnsi="Segoe UI Semibold" w:cs="Segoe UI Semibold" w:eastAsia="Segoe UI Semibold"/>
                          <w:b/>
                          <w:bCs/>
                          <w:color w:val="666155"/>
                          <w:spacing w:val="-3"/>
                          <w:sz w:val="16"/>
                          <w:szCs w:val="16"/>
                        </w:rPr>
                        <w:t>AT</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ABORIGINAL</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spacing w:val="5"/>
                          <w:sz w:val="16"/>
                          <w:szCs w:val="16"/>
                        </w:rPr>
                        <w:t>AND</w:t>
                      </w:r>
                      <w:r>
                        <w:rPr>
                          <w:rFonts w:ascii="Segoe UI Semibold" w:hAnsi="Segoe UI Semibold" w:cs="Segoe UI Semibold" w:eastAsia="Segoe UI Semibold"/>
                          <w:b/>
                          <w:bCs/>
                          <w:color w:val="666155"/>
                          <w:spacing w:val="43"/>
                          <w:sz w:val="16"/>
                          <w:szCs w:val="16"/>
                        </w:rPr>
                        <w:t> </w:t>
                      </w:r>
                      <w:r>
                        <w:rPr>
                          <w:rFonts w:ascii="Segoe UI Semibold" w:hAnsi="Segoe UI Semibold" w:cs="Segoe UI Semibold" w:eastAsia="Segoe UI Semibold"/>
                          <w:b/>
                          <w:bCs/>
                          <w:color w:val="666155"/>
                          <w:spacing w:val="3"/>
                          <w:sz w:val="16"/>
                          <w:szCs w:val="16"/>
                        </w:rPr>
                        <w:t>TORRES</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STRAIT</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ISLANDER</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BOARDING</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PROVIDERS</w:t>
                      </w:r>
                      <w:r>
                        <w:rPr>
                          <w:rFonts w:ascii="Segoe UI Semibold" w:hAnsi="Segoe UI Semibold" w:cs="Segoe UI Semibold" w:eastAsia="Segoe UI Semibold"/>
                          <w:sz w:val="16"/>
                          <w:szCs w:val="16"/>
                        </w:rPr>
                      </w:r>
                    </w:p>
                    <w:p>
                      <w:pPr>
                        <w:spacing w:line="240" w:lineRule="auto" w:before="1"/>
                        <w:rPr>
                          <w:rFonts w:ascii="Segoe UI" w:hAnsi="Segoe UI" w:cs="Segoe UI" w:eastAsia="Segoe UI"/>
                          <w:sz w:val="18"/>
                          <w:szCs w:val="18"/>
                        </w:rPr>
                      </w:pPr>
                    </w:p>
                    <w:p>
                      <w:pPr>
                        <w:spacing w:before="0"/>
                        <w:ind w:left="781" w:right="0" w:firstLine="0"/>
                        <w:jc w:val="left"/>
                        <w:rPr>
                          <w:rFonts w:ascii="Segoe UI" w:hAnsi="Segoe UI" w:cs="Segoe UI" w:eastAsia="Segoe UI"/>
                          <w:sz w:val="15"/>
                          <w:szCs w:val="15"/>
                        </w:rPr>
                      </w:pPr>
                      <w:r>
                        <w:rPr>
                          <w:rFonts w:ascii="Segoe UI"/>
                          <w:color w:val="77787B"/>
                          <w:spacing w:val="-1"/>
                          <w:sz w:val="15"/>
                        </w:rPr>
                        <w:t>30,000</w:t>
                      </w:r>
                      <w:r>
                        <w:rPr>
                          <w:rFonts w:ascii="Segoe UI"/>
                          <w:sz w:val="15"/>
                        </w:rPr>
                      </w:r>
                    </w:p>
                    <w:p>
                      <w:pPr>
                        <w:spacing w:line="240" w:lineRule="auto" w:before="2"/>
                        <w:rPr>
                          <w:rFonts w:ascii="Segoe UI" w:hAnsi="Segoe UI" w:cs="Segoe UI" w:eastAsia="Segoe UI"/>
                          <w:sz w:val="10"/>
                          <w:szCs w:val="10"/>
                        </w:rPr>
                      </w:pPr>
                    </w:p>
                    <w:p>
                      <w:pPr>
                        <w:spacing w:before="0"/>
                        <w:ind w:left="781" w:right="0" w:firstLine="0"/>
                        <w:jc w:val="left"/>
                        <w:rPr>
                          <w:rFonts w:ascii="Segoe UI" w:hAnsi="Segoe UI" w:cs="Segoe UI" w:eastAsia="Segoe UI"/>
                          <w:sz w:val="15"/>
                          <w:szCs w:val="15"/>
                        </w:rPr>
                      </w:pPr>
                      <w:r>
                        <w:rPr>
                          <w:rFonts w:ascii="Segoe UI"/>
                          <w:color w:val="77787B"/>
                          <w:spacing w:val="-1"/>
                          <w:sz w:val="15"/>
                        </w:rPr>
                        <w:t>25,000</w:t>
                      </w:r>
                      <w:r>
                        <w:rPr>
                          <w:rFonts w:ascii="Segoe UI"/>
                          <w:sz w:val="15"/>
                        </w:rPr>
                      </w:r>
                    </w:p>
                    <w:p>
                      <w:pPr>
                        <w:spacing w:line="240" w:lineRule="auto" w:before="8"/>
                        <w:rPr>
                          <w:rFonts w:ascii="Segoe UI" w:hAnsi="Segoe UI" w:cs="Segoe UI" w:eastAsia="Segoe UI"/>
                          <w:sz w:val="11"/>
                          <w:szCs w:val="11"/>
                        </w:rPr>
                      </w:pPr>
                    </w:p>
                    <w:p>
                      <w:pPr>
                        <w:spacing w:before="0"/>
                        <w:ind w:left="781" w:right="0" w:firstLine="0"/>
                        <w:jc w:val="left"/>
                        <w:rPr>
                          <w:rFonts w:ascii="Segoe UI" w:hAnsi="Segoe UI" w:cs="Segoe UI" w:eastAsia="Segoe UI"/>
                          <w:sz w:val="15"/>
                          <w:szCs w:val="15"/>
                        </w:rPr>
                      </w:pPr>
                      <w:r>
                        <w:rPr>
                          <w:rFonts w:ascii="Segoe UI"/>
                          <w:color w:val="77787B"/>
                          <w:spacing w:val="-1"/>
                          <w:sz w:val="15"/>
                        </w:rPr>
                        <w:t>20,000</w:t>
                      </w:r>
                      <w:r>
                        <w:rPr>
                          <w:rFonts w:ascii="Segoe UI"/>
                          <w:sz w:val="15"/>
                        </w:rPr>
                      </w:r>
                    </w:p>
                    <w:p>
                      <w:pPr>
                        <w:spacing w:line="240" w:lineRule="auto" w:before="8"/>
                        <w:rPr>
                          <w:rFonts w:ascii="Segoe UI" w:hAnsi="Segoe UI" w:cs="Segoe UI" w:eastAsia="Segoe UI"/>
                          <w:sz w:val="11"/>
                          <w:szCs w:val="11"/>
                        </w:rPr>
                      </w:pPr>
                    </w:p>
                    <w:p>
                      <w:pPr>
                        <w:spacing w:before="0"/>
                        <w:ind w:left="781" w:right="0" w:firstLine="0"/>
                        <w:jc w:val="left"/>
                        <w:rPr>
                          <w:rFonts w:ascii="Segoe UI" w:hAnsi="Segoe UI" w:cs="Segoe UI" w:eastAsia="Segoe UI"/>
                          <w:sz w:val="15"/>
                          <w:szCs w:val="15"/>
                        </w:rPr>
                      </w:pPr>
                      <w:r>
                        <w:rPr>
                          <w:rFonts w:ascii="Segoe UI"/>
                          <w:color w:val="77787B"/>
                          <w:spacing w:val="-1"/>
                          <w:sz w:val="15"/>
                        </w:rPr>
                        <w:t>15,000</w:t>
                      </w:r>
                      <w:r>
                        <w:rPr>
                          <w:rFonts w:ascii="Segoe UI"/>
                          <w:sz w:val="15"/>
                        </w:rPr>
                      </w:r>
                    </w:p>
                    <w:p>
                      <w:pPr>
                        <w:spacing w:line="240" w:lineRule="auto" w:before="8"/>
                        <w:rPr>
                          <w:rFonts w:ascii="Segoe UI" w:hAnsi="Segoe UI" w:cs="Segoe UI" w:eastAsia="Segoe UI"/>
                          <w:sz w:val="11"/>
                          <w:szCs w:val="11"/>
                        </w:rPr>
                      </w:pPr>
                    </w:p>
                    <w:p>
                      <w:pPr>
                        <w:spacing w:before="0"/>
                        <w:ind w:left="781" w:right="0" w:firstLine="0"/>
                        <w:jc w:val="left"/>
                        <w:rPr>
                          <w:rFonts w:ascii="Segoe UI" w:hAnsi="Segoe UI" w:cs="Segoe UI" w:eastAsia="Segoe UI"/>
                          <w:sz w:val="15"/>
                          <w:szCs w:val="15"/>
                        </w:rPr>
                      </w:pPr>
                      <w:r>
                        <w:rPr>
                          <w:rFonts w:ascii="Segoe UI"/>
                          <w:color w:val="77787B"/>
                          <w:spacing w:val="-1"/>
                          <w:sz w:val="15"/>
                        </w:rPr>
                        <w:t>10,000</w:t>
                      </w:r>
                      <w:r>
                        <w:rPr>
                          <w:rFonts w:ascii="Segoe UI"/>
                          <w:sz w:val="15"/>
                        </w:rPr>
                      </w:r>
                    </w:p>
                    <w:p>
                      <w:pPr>
                        <w:spacing w:line="240" w:lineRule="auto" w:before="8"/>
                        <w:rPr>
                          <w:rFonts w:ascii="Segoe UI" w:hAnsi="Segoe UI" w:cs="Segoe UI" w:eastAsia="Segoe UI"/>
                          <w:sz w:val="11"/>
                          <w:szCs w:val="11"/>
                        </w:rPr>
                      </w:pPr>
                    </w:p>
                    <w:p>
                      <w:pPr>
                        <w:spacing w:before="0"/>
                        <w:ind w:left="0" w:right="6691" w:firstLine="0"/>
                        <w:jc w:val="center"/>
                        <w:rPr>
                          <w:rFonts w:ascii="Segoe UI" w:hAnsi="Segoe UI" w:cs="Segoe UI" w:eastAsia="Segoe UI"/>
                          <w:sz w:val="15"/>
                          <w:szCs w:val="15"/>
                        </w:rPr>
                      </w:pPr>
                      <w:r>
                        <w:rPr>
                          <w:rFonts w:ascii="Segoe UI"/>
                          <w:color w:val="77787B"/>
                          <w:spacing w:val="-1"/>
                          <w:sz w:val="15"/>
                        </w:rPr>
                        <w:t>5,000</w:t>
                      </w:r>
                      <w:r>
                        <w:rPr>
                          <w:rFonts w:ascii="Segoe UI"/>
                          <w:sz w:val="15"/>
                        </w:rPr>
                      </w:r>
                    </w:p>
                    <w:p>
                      <w:pPr>
                        <w:spacing w:line="240" w:lineRule="auto" w:before="8"/>
                        <w:rPr>
                          <w:rFonts w:ascii="Segoe UI" w:hAnsi="Segoe UI" w:cs="Segoe UI" w:eastAsia="Segoe UI"/>
                          <w:sz w:val="11"/>
                          <w:szCs w:val="11"/>
                        </w:rPr>
                      </w:pPr>
                    </w:p>
                    <w:p>
                      <w:pPr>
                        <w:spacing w:before="0"/>
                        <w:ind w:left="1146" w:right="0" w:firstLine="0"/>
                        <w:jc w:val="left"/>
                        <w:rPr>
                          <w:rFonts w:ascii="Segoe UI" w:hAnsi="Segoe UI" w:cs="Segoe UI" w:eastAsia="Segoe UI"/>
                          <w:sz w:val="15"/>
                          <w:szCs w:val="15"/>
                        </w:rPr>
                      </w:pPr>
                      <w:r>
                        <w:rPr>
                          <w:rFonts w:ascii="Segoe UI"/>
                          <w:color w:val="77787B"/>
                          <w:sz w:val="15"/>
                        </w:rPr>
                        <w:t>0</w:t>
                      </w:r>
                      <w:r>
                        <w:rPr>
                          <w:rFonts w:ascii="Segoe UI"/>
                          <w:sz w:val="15"/>
                        </w:rPr>
                      </w:r>
                    </w:p>
                    <w:p>
                      <w:pPr>
                        <w:spacing w:line="240" w:lineRule="auto" w:before="8"/>
                        <w:rPr>
                          <w:rFonts w:ascii="Segoe UI" w:hAnsi="Segoe UI" w:cs="Segoe UI" w:eastAsia="Segoe UI"/>
                          <w:sz w:val="11"/>
                          <w:szCs w:val="11"/>
                        </w:rPr>
                      </w:pPr>
                    </w:p>
                    <w:p>
                      <w:pPr>
                        <w:spacing w:before="0"/>
                        <w:ind w:left="771" w:right="0" w:firstLine="0"/>
                        <w:jc w:val="left"/>
                        <w:rPr>
                          <w:rFonts w:ascii="Segoe UI" w:hAnsi="Segoe UI" w:cs="Segoe UI" w:eastAsia="Segoe UI"/>
                          <w:sz w:val="15"/>
                          <w:szCs w:val="15"/>
                        </w:rPr>
                      </w:pPr>
                      <w:r>
                        <w:rPr>
                          <w:rFonts w:ascii="Segoe UI"/>
                          <w:color w:val="77787B"/>
                          <w:spacing w:val="-1"/>
                          <w:sz w:val="15"/>
                        </w:rPr>
                        <w:t>(5,000)</w:t>
                      </w:r>
                      <w:r>
                        <w:rPr>
                          <w:rFonts w:ascii="Segoe UI"/>
                          <w:sz w:val="15"/>
                        </w:rPr>
                      </w:r>
                    </w:p>
                    <w:p>
                      <w:pPr>
                        <w:spacing w:line="240" w:lineRule="auto" w:before="8"/>
                        <w:rPr>
                          <w:rFonts w:ascii="Segoe UI" w:hAnsi="Segoe UI" w:cs="Segoe UI" w:eastAsia="Segoe UI"/>
                          <w:sz w:val="11"/>
                          <w:szCs w:val="11"/>
                        </w:rPr>
                      </w:pPr>
                    </w:p>
                    <w:p>
                      <w:pPr>
                        <w:spacing w:before="0"/>
                        <w:ind w:left="0" w:right="6868" w:firstLine="0"/>
                        <w:jc w:val="center"/>
                        <w:rPr>
                          <w:rFonts w:ascii="Segoe UI" w:hAnsi="Segoe UI" w:cs="Segoe UI" w:eastAsia="Segoe UI"/>
                          <w:sz w:val="15"/>
                          <w:szCs w:val="15"/>
                        </w:rPr>
                      </w:pPr>
                      <w:r>
                        <w:rPr>
                          <w:rFonts w:ascii="Segoe UI"/>
                          <w:color w:val="77787B"/>
                          <w:spacing w:val="-1"/>
                          <w:sz w:val="15"/>
                        </w:rPr>
                        <w:t>(10,000)</w:t>
                      </w:r>
                      <w:r>
                        <w:rPr>
                          <w:rFonts w:ascii="Segoe UI"/>
                          <w:sz w:val="15"/>
                        </w:rPr>
                      </w:r>
                    </w:p>
                    <w:p>
                      <w:pPr>
                        <w:tabs>
                          <w:tab w:pos="3899" w:val="left" w:leader="none"/>
                          <w:tab w:pos="6085" w:val="left" w:leader="none"/>
                        </w:tabs>
                        <w:spacing w:before="26"/>
                        <w:ind w:left="1519" w:right="0" w:firstLine="0"/>
                        <w:jc w:val="left"/>
                        <w:rPr>
                          <w:rFonts w:ascii="Segoe UI" w:hAnsi="Segoe UI" w:cs="Segoe UI" w:eastAsia="Segoe UI"/>
                          <w:sz w:val="15"/>
                          <w:szCs w:val="15"/>
                        </w:rPr>
                      </w:pPr>
                      <w:r>
                        <w:rPr>
                          <w:rFonts w:ascii="Segoe UI"/>
                          <w:color w:val="77787B"/>
                          <w:spacing w:val="-1"/>
                          <w:sz w:val="15"/>
                        </w:rPr>
                        <w:t>Average</w:t>
                      </w:r>
                      <w:r>
                        <w:rPr>
                          <w:rFonts w:ascii="Segoe UI"/>
                          <w:color w:val="77787B"/>
                          <w:spacing w:val="12"/>
                          <w:sz w:val="15"/>
                        </w:rPr>
                        <w:t> </w:t>
                      </w:r>
                      <w:r>
                        <w:rPr>
                          <w:rFonts w:ascii="Segoe UI"/>
                          <w:color w:val="77787B"/>
                          <w:spacing w:val="-1"/>
                          <w:sz w:val="15"/>
                        </w:rPr>
                        <w:t>revenue</w:t>
                      </w:r>
                      <w:r>
                        <w:rPr>
                          <w:rFonts w:ascii="Segoe UI"/>
                          <w:color w:val="77787B"/>
                          <w:spacing w:val="10"/>
                          <w:sz w:val="15"/>
                        </w:rPr>
                        <w:t> </w:t>
                      </w:r>
                      <w:r>
                        <w:rPr>
                          <w:rFonts w:ascii="Segoe UI"/>
                          <w:color w:val="77787B"/>
                          <w:spacing w:val="-1"/>
                          <w:sz w:val="15"/>
                        </w:rPr>
                        <w:t>per</w:t>
                      </w:r>
                      <w:r>
                        <w:rPr>
                          <w:rFonts w:ascii="Segoe UI"/>
                          <w:color w:val="77787B"/>
                          <w:spacing w:val="11"/>
                          <w:sz w:val="15"/>
                        </w:rPr>
                        <w:t> </w:t>
                      </w:r>
                      <w:r>
                        <w:rPr>
                          <w:rFonts w:ascii="Segoe UI"/>
                          <w:color w:val="77787B"/>
                          <w:spacing w:val="-1"/>
                          <w:sz w:val="15"/>
                        </w:rPr>
                        <w:t>boarder</w:t>
                        <w:tab/>
                        <w:t>Average</w:t>
                      </w:r>
                      <w:r>
                        <w:rPr>
                          <w:rFonts w:ascii="Segoe UI"/>
                          <w:color w:val="77787B"/>
                          <w:spacing w:val="10"/>
                          <w:sz w:val="15"/>
                        </w:rPr>
                        <w:t> </w:t>
                      </w:r>
                      <w:r>
                        <w:rPr>
                          <w:rFonts w:ascii="Segoe UI"/>
                          <w:color w:val="77787B"/>
                          <w:spacing w:val="-1"/>
                          <w:sz w:val="15"/>
                        </w:rPr>
                        <w:t>cost</w:t>
                      </w:r>
                      <w:r>
                        <w:rPr>
                          <w:rFonts w:ascii="Segoe UI"/>
                          <w:color w:val="77787B"/>
                          <w:spacing w:val="11"/>
                          <w:sz w:val="15"/>
                        </w:rPr>
                        <w:t> </w:t>
                      </w:r>
                      <w:r>
                        <w:rPr>
                          <w:rFonts w:ascii="Segoe UI"/>
                          <w:color w:val="77787B"/>
                          <w:spacing w:val="-1"/>
                          <w:sz w:val="15"/>
                        </w:rPr>
                        <w:t>per</w:t>
                      </w:r>
                      <w:r>
                        <w:rPr>
                          <w:rFonts w:ascii="Segoe UI"/>
                          <w:color w:val="77787B"/>
                          <w:spacing w:val="10"/>
                          <w:sz w:val="15"/>
                        </w:rPr>
                        <w:t> </w:t>
                      </w:r>
                      <w:r>
                        <w:rPr>
                          <w:rFonts w:ascii="Segoe UI"/>
                          <w:color w:val="77787B"/>
                          <w:spacing w:val="-1"/>
                          <w:sz w:val="15"/>
                        </w:rPr>
                        <w:t>boarder</w:t>
                        <w:tab/>
                        <w:t>Average</w:t>
                      </w:r>
                      <w:r>
                        <w:rPr>
                          <w:rFonts w:ascii="Segoe UI"/>
                          <w:color w:val="77787B"/>
                          <w:spacing w:val="9"/>
                          <w:sz w:val="15"/>
                        </w:rPr>
                        <w:t> </w:t>
                      </w:r>
                      <w:r>
                        <w:rPr>
                          <w:rFonts w:ascii="Segoe UI"/>
                          <w:color w:val="77787B"/>
                          <w:spacing w:val="-1"/>
                          <w:sz w:val="15"/>
                        </w:rPr>
                        <w:t>surplus</w:t>
                      </w:r>
                      <w:r>
                        <w:rPr>
                          <w:rFonts w:ascii="Segoe UI"/>
                          <w:color w:val="77787B"/>
                          <w:spacing w:val="8"/>
                          <w:sz w:val="15"/>
                        </w:rPr>
                        <w:t> </w:t>
                      </w:r>
                      <w:r>
                        <w:rPr>
                          <w:rFonts w:ascii="Segoe UI"/>
                          <w:color w:val="77787B"/>
                          <w:sz w:val="15"/>
                        </w:rPr>
                        <w:t>/</w:t>
                      </w:r>
                      <w:r>
                        <w:rPr>
                          <w:rFonts w:ascii="Segoe UI"/>
                          <w:color w:val="77787B"/>
                          <w:spacing w:val="8"/>
                          <w:sz w:val="15"/>
                        </w:rPr>
                        <w:t> </w:t>
                      </w:r>
                      <w:r>
                        <w:rPr>
                          <w:rFonts w:ascii="Segoe UI"/>
                          <w:color w:val="77787B"/>
                          <w:spacing w:val="-1"/>
                          <w:sz w:val="15"/>
                        </w:rPr>
                        <w:t>(loss)</w:t>
                      </w:r>
                      <w:r>
                        <w:rPr>
                          <w:rFonts w:ascii="Segoe UI"/>
                          <w:color w:val="77787B"/>
                          <w:spacing w:val="11"/>
                          <w:sz w:val="15"/>
                        </w:rPr>
                        <w:t> </w:t>
                      </w:r>
                      <w:r>
                        <w:rPr>
                          <w:rFonts w:ascii="Segoe UI"/>
                          <w:color w:val="77787B"/>
                          <w:spacing w:val="-1"/>
                          <w:sz w:val="15"/>
                        </w:rPr>
                        <w:t>per</w:t>
                      </w:r>
                      <w:r>
                        <w:rPr>
                          <w:rFonts w:ascii="Segoe UI"/>
                          <w:sz w:val="15"/>
                        </w:rPr>
                      </w:r>
                    </w:p>
                    <w:p>
                      <w:pPr>
                        <w:spacing w:line="196" w:lineRule="exact" w:before="5"/>
                        <w:ind w:left="0" w:right="1507" w:firstLine="0"/>
                        <w:jc w:val="right"/>
                        <w:rPr>
                          <w:rFonts w:ascii="Segoe UI" w:hAnsi="Segoe UI" w:cs="Segoe UI" w:eastAsia="Segoe UI"/>
                          <w:sz w:val="15"/>
                          <w:szCs w:val="15"/>
                        </w:rPr>
                      </w:pPr>
                      <w:r>
                        <w:rPr>
                          <w:rFonts w:ascii="Segoe UI"/>
                          <w:color w:val="77787B"/>
                          <w:spacing w:val="-1"/>
                          <w:sz w:val="15"/>
                        </w:rPr>
                        <w:t>boarder</w:t>
                      </w:r>
                      <w:r>
                        <w:rPr>
                          <w:rFonts w:ascii="Segoe UI"/>
                          <w:sz w:val="15"/>
                        </w:rPr>
                      </w:r>
                    </w:p>
                    <w:p>
                      <w:pPr>
                        <w:tabs>
                          <w:tab w:pos="686" w:val="left" w:leader="none"/>
                          <w:tab w:pos="1293" w:val="left" w:leader="none"/>
                          <w:tab w:pos="1899" w:val="left" w:leader="none"/>
                        </w:tabs>
                        <w:spacing w:line="196" w:lineRule="exact" w:before="0"/>
                        <w:ind w:left="79" w:right="0" w:firstLine="0"/>
                        <w:jc w:val="center"/>
                        <w:rPr>
                          <w:rFonts w:ascii="Segoe UI" w:hAnsi="Segoe UI" w:cs="Segoe UI" w:eastAsia="Segoe UI"/>
                          <w:sz w:val="15"/>
                          <w:szCs w:val="15"/>
                        </w:rPr>
                      </w:pPr>
                      <w:r>
                        <w:rPr>
                          <w:rFonts w:ascii="Segoe UI"/>
                          <w:color w:val="77787B"/>
                          <w:spacing w:val="-1"/>
                          <w:sz w:val="15"/>
                        </w:rPr>
                        <w:t>2015</w:t>
                        <w:tab/>
                        <w:t>2016</w:t>
                        <w:tab/>
                        <w:t>2017</w:t>
                        <w:tab/>
                        <w:t>Average</w:t>
                      </w:r>
                      <w:r>
                        <w:rPr>
                          <w:rFonts w:ascii="Segoe UI"/>
                          <w:sz w:val="15"/>
                        </w:rPr>
                      </w:r>
                    </w:p>
                  </w:txbxContent>
                </v:textbox>
                <w10:wrap type="none"/>
              </v:shape>
            </v:group>
          </v:group>
        </w:pict>
      </w:r>
      <w:r>
        <w:rPr>
          <w:rFonts w:ascii="Segoe UI" w:hAnsi="Segoe UI" w:cs="Segoe UI" w:eastAsia="Segoe UI"/>
          <w:sz w:val="20"/>
          <w:szCs w:val="20"/>
        </w:rPr>
      </w:r>
    </w:p>
    <w:p>
      <w:pPr>
        <w:spacing w:line="240" w:lineRule="auto" w:before="7"/>
        <w:rPr>
          <w:rFonts w:ascii="Segoe UI" w:hAnsi="Segoe UI" w:cs="Segoe UI" w:eastAsia="Segoe UI"/>
          <w:sz w:val="25"/>
          <w:szCs w:val="25"/>
        </w:rPr>
      </w:pPr>
    </w:p>
    <w:p>
      <w:pPr>
        <w:spacing w:line="200" w:lineRule="exact" w:before="78"/>
        <w:ind w:left="103" w:right="167" w:firstLine="0"/>
        <w:jc w:val="left"/>
        <w:rPr>
          <w:rFonts w:ascii="Segoe UI Semibold" w:hAnsi="Segoe UI Semibold" w:cs="Segoe UI Semibold" w:eastAsia="Segoe UI Semibold"/>
          <w:sz w:val="16"/>
          <w:szCs w:val="16"/>
        </w:rPr>
      </w:pPr>
      <w:r>
        <w:rPr>
          <w:rFonts w:ascii="Segoe UI Semibold" w:hAnsi="Segoe UI Semibold" w:cs="Segoe UI Semibold" w:eastAsia="Segoe UI Semibold"/>
          <w:b/>
          <w:bCs/>
          <w:color w:val="666155"/>
          <w:spacing w:val="1"/>
          <w:sz w:val="16"/>
          <w:szCs w:val="16"/>
        </w:rPr>
        <w:t>TABLE</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z w:val="16"/>
          <w:szCs w:val="16"/>
        </w:rPr>
        <w:t>1:</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2"/>
          <w:sz w:val="16"/>
          <w:szCs w:val="16"/>
        </w:rPr>
        <w:t>AVERAGE</w:t>
      </w:r>
      <w:r>
        <w:rPr>
          <w:rFonts w:ascii="Segoe UI Semibold" w:hAnsi="Segoe UI Semibold" w:cs="Segoe UI Semibold" w:eastAsia="Segoe UI Semibold"/>
          <w:b/>
          <w:bCs/>
          <w:color w:val="666155"/>
          <w:spacing w:val="3"/>
          <w:sz w:val="16"/>
          <w:szCs w:val="16"/>
        </w:rPr>
        <w:t> ANNUAL</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REVENUE,</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COST AND</w:t>
      </w:r>
      <w:r>
        <w:rPr>
          <w:rFonts w:ascii="Segoe UI Semibold" w:hAnsi="Segoe UI Semibold" w:cs="Segoe UI Semibold" w:eastAsia="Segoe UI Semibold"/>
          <w:b/>
          <w:bCs/>
          <w:color w:val="666155"/>
          <w:spacing w:val="2"/>
          <w:sz w:val="16"/>
          <w:szCs w:val="16"/>
        </w:rPr>
        <w:t> LOSS </w:t>
      </w:r>
      <w:r>
        <w:rPr>
          <w:rFonts w:ascii="Segoe UI Semibold" w:hAnsi="Segoe UI Semibold" w:cs="Segoe UI Semibold" w:eastAsia="Segoe UI Semibold"/>
          <w:b/>
          <w:bCs/>
          <w:color w:val="666155"/>
          <w:spacing w:val="3"/>
          <w:sz w:val="16"/>
          <w:szCs w:val="16"/>
        </w:rPr>
        <w:t>PER </w:t>
      </w:r>
      <w:r>
        <w:rPr>
          <w:rFonts w:ascii="Segoe UI Semibold" w:hAnsi="Segoe UI Semibold" w:cs="Segoe UI Semibold" w:eastAsia="Segoe UI Semibold"/>
          <w:b/>
          <w:bCs/>
          <w:color w:val="666155"/>
          <w:spacing w:val="4"/>
          <w:sz w:val="16"/>
          <w:szCs w:val="16"/>
        </w:rPr>
        <w:t>BOARDER</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z w:val="16"/>
          <w:szCs w:val="16"/>
        </w:rPr>
        <w:t>2015</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position w:val="1"/>
          <w:sz w:val="16"/>
          <w:szCs w:val="16"/>
        </w:rPr>
        <w:t>—</w:t>
      </w:r>
      <w:r>
        <w:rPr>
          <w:rFonts w:ascii="Segoe UI Semibold" w:hAnsi="Segoe UI Semibold" w:cs="Segoe UI Semibold" w:eastAsia="Segoe UI Semibold"/>
          <w:b/>
          <w:bCs/>
          <w:color w:val="666155"/>
          <w:spacing w:val="-3"/>
          <w:position w:val="1"/>
          <w:sz w:val="16"/>
          <w:szCs w:val="16"/>
        </w:rPr>
        <w:t> </w:t>
      </w:r>
      <w:r>
        <w:rPr>
          <w:rFonts w:ascii="Segoe UI Semibold" w:hAnsi="Segoe UI Semibold" w:cs="Segoe UI Semibold" w:eastAsia="Segoe UI Semibold"/>
          <w:b/>
          <w:bCs/>
          <w:color w:val="666155"/>
          <w:sz w:val="16"/>
          <w:szCs w:val="16"/>
        </w:rPr>
        <w:t>2017 </w:t>
      </w:r>
      <w:r>
        <w:rPr>
          <w:rFonts w:ascii="Segoe UI Semibold" w:hAnsi="Segoe UI Semibold" w:cs="Segoe UI Semibold" w:eastAsia="Segoe UI Semibold"/>
          <w:b/>
          <w:bCs/>
          <w:color w:val="666155"/>
          <w:spacing w:val="-3"/>
          <w:sz w:val="16"/>
          <w:szCs w:val="16"/>
        </w:rPr>
        <w:t>AT</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ABORIGINAL</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3"/>
          <w:sz w:val="16"/>
          <w:szCs w:val="16"/>
        </w:rPr>
        <w:t>AND </w:t>
      </w:r>
      <w:r>
        <w:rPr>
          <w:rFonts w:ascii="Segoe UI Semibold" w:hAnsi="Segoe UI Semibold" w:cs="Segoe UI Semibold" w:eastAsia="Segoe UI Semibold"/>
          <w:b/>
          <w:bCs/>
          <w:color w:val="666155"/>
          <w:spacing w:val="4"/>
          <w:sz w:val="16"/>
          <w:szCs w:val="16"/>
        </w:rPr>
        <w:t>TORRES</w:t>
      </w:r>
      <w:r>
        <w:rPr>
          <w:rFonts w:ascii="Segoe UI Semibold" w:hAnsi="Segoe UI Semibold" w:cs="Segoe UI Semibold" w:eastAsia="Segoe UI Semibold"/>
          <w:b/>
          <w:bCs/>
          <w:color w:val="666155"/>
          <w:spacing w:val="53"/>
          <w:w w:val="99"/>
          <w:sz w:val="16"/>
          <w:szCs w:val="16"/>
        </w:rPr>
        <w:t> </w:t>
      </w:r>
      <w:r>
        <w:rPr>
          <w:rFonts w:ascii="Segoe UI Semibold" w:hAnsi="Segoe UI Semibold" w:cs="Segoe UI Semibold" w:eastAsia="Segoe UI Semibold"/>
          <w:b/>
          <w:bCs/>
          <w:color w:val="666155"/>
          <w:spacing w:val="4"/>
          <w:sz w:val="16"/>
          <w:szCs w:val="16"/>
        </w:rPr>
        <w:t>STRAIT</w:t>
      </w:r>
      <w:r>
        <w:rPr>
          <w:rFonts w:ascii="Segoe UI Semibold" w:hAnsi="Segoe UI Semibold" w:cs="Segoe UI Semibold" w:eastAsia="Segoe UI Semibold"/>
          <w:b/>
          <w:bCs/>
          <w:color w:val="666155"/>
          <w:spacing w:val="-4"/>
          <w:sz w:val="16"/>
          <w:szCs w:val="16"/>
        </w:rPr>
        <w:t> </w:t>
      </w:r>
      <w:r>
        <w:rPr>
          <w:rFonts w:ascii="Segoe UI Semibold" w:hAnsi="Segoe UI Semibold" w:cs="Segoe UI Semibold" w:eastAsia="Segoe UI Semibold"/>
          <w:b/>
          <w:bCs/>
          <w:color w:val="666155"/>
          <w:spacing w:val="4"/>
          <w:sz w:val="16"/>
          <w:szCs w:val="16"/>
        </w:rPr>
        <w:t>ISLANDER</w:t>
      </w:r>
      <w:r>
        <w:rPr>
          <w:rFonts w:ascii="Segoe UI Semibold" w:hAnsi="Segoe UI Semibold" w:cs="Segoe UI Semibold" w:eastAsia="Segoe UI Semibold"/>
          <w:b/>
          <w:bCs/>
          <w:color w:val="666155"/>
          <w:spacing w:val="-4"/>
          <w:sz w:val="16"/>
          <w:szCs w:val="16"/>
        </w:rPr>
        <w:t> </w:t>
      </w:r>
      <w:r>
        <w:rPr>
          <w:rFonts w:ascii="Segoe UI Semibold" w:hAnsi="Segoe UI Semibold" w:cs="Segoe UI Semibold" w:eastAsia="Segoe UI Semibold"/>
          <w:b/>
          <w:bCs/>
          <w:color w:val="666155"/>
          <w:spacing w:val="4"/>
          <w:sz w:val="16"/>
          <w:szCs w:val="16"/>
        </w:rPr>
        <w:t>BOARDING</w:t>
      </w:r>
      <w:r>
        <w:rPr>
          <w:rFonts w:ascii="Segoe UI Semibold" w:hAnsi="Segoe UI Semibold" w:cs="Segoe UI Semibold" w:eastAsia="Segoe UI Semibold"/>
          <w:b/>
          <w:bCs/>
          <w:color w:val="666155"/>
          <w:spacing w:val="-4"/>
          <w:sz w:val="16"/>
          <w:szCs w:val="16"/>
        </w:rPr>
        <w:t> </w:t>
      </w:r>
      <w:r>
        <w:rPr>
          <w:rFonts w:ascii="Segoe UI Semibold" w:hAnsi="Segoe UI Semibold" w:cs="Segoe UI Semibold" w:eastAsia="Segoe UI Semibold"/>
          <w:b/>
          <w:bCs/>
          <w:color w:val="666155"/>
          <w:spacing w:val="4"/>
          <w:sz w:val="16"/>
          <w:szCs w:val="16"/>
        </w:rPr>
        <w:t>PROVIDERS</w:t>
      </w:r>
      <w:r>
        <w:rPr>
          <w:rFonts w:ascii="Segoe UI Semibold" w:hAnsi="Segoe UI Semibold" w:cs="Segoe UI Semibold" w:eastAsia="Segoe UI Semibold"/>
          <w:sz w:val="16"/>
          <w:szCs w:val="16"/>
        </w:rPr>
      </w:r>
    </w:p>
    <w:p>
      <w:pPr>
        <w:spacing w:line="240" w:lineRule="auto" w:before="12"/>
        <w:rPr>
          <w:rFonts w:ascii="Segoe UI Semibold" w:hAnsi="Segoe UI Semibold" w:cs="Segoe UI Semibold" w:eastAsia="Segoe UI Semibold"/>
          <w:b/>
          <w:bCs/>
          <w:sz w:val="11"/>
          <w:szCs w:val="11"/>
        </w:rPr>
      </w:pPr>
    </w:p>
    <w:tbl>
      <w:tblPr>
        <w:tblW w:w="0" w:type="auto"/>
        <w:jc w:val="left"/>
        <w:tblInd w:w="100" w:type="dxa"/>
        <w:tblLayout w:type="fixed"/>
        <w:tblCellMar>
          <w:top w:w="0" w:type="dxa"/>
          <w:left w:w="0" w:type="dxa"/>
          <w:bottom w:w="0" w:type="dxa"/>
          <w:right w:w="0" w:type="dxa"/>
        </w:tblCellMar>
        <w:tblLook w:val="01E0"/>
      </w:tblPr>
      <w:tblGrid>
        <w:gridCol w:w="2972"/>
        <w:gridCol w:w="1451"/>
        <w:gridCol w:w="1451"/>
        <w:gridCol w:w="1451"/>
        <w:gridCol w:w="1451"/>
      </w:tblGrid>
      <w:tr>
        <w:trPr>
          <w:trHeight w:val="343" w:hRule="exact"/>
        </w:trPr>
        <w:tc>
          <w:tcPr>
            <w:tcW w:w="2972"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left="152" w:right="0"/>
              <w:jc w:val="left"/>
              <w:rPr>
                <w:rFonts w:ascii="Segoe UI" w:hAnsi="Segoe UI" w:cs="Segoe UI" w:eastAsia="Segoe UI"/>
                <w:sz w:val="16"/>
                <w:szCs w:val="16"/>
              </w:rPr>
            </w:pPr>
            <w:r>
              <w:rPr>
                <w:rFonts w:ascii="Segoe UI"/>
                <w:color w:val="231F20"/>
                <w:sz w:val="16"/>
              </w:rPr>
              <w:t>$</w:t>
            </w:r>
            <w:r>
              <w:rPr>
                <w:rFonts w:ascii="Segoe UI"/>
                <w:sz w:val="16"/>
              </w:rPr>
            </w:r>
          </w:p>
        </w:tc>
        <w:tc>
          <w:tcPr>
            <w:tcW w:w="1451"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right="106"/>
              <w:jc w:val="right"/>
              <w:rPr>
                <w:rFonts w:ascii="Segoe UI" w:hAnsi="Segoe UI" w:cs="Segoe UI" w:eastAsia="Segoe UI"/>
                <w:sz w:val="16"/>
                <w:szCs w:val="16"/>
              </w:rPr>
            </w:pPr>
            <w:r>
              <w:rPr>
                <w:rFonts w:ascii="Segoe UI"/>
                <w:color w:val="231F20"/>
                <w:sz w:val="16"/>
              </w:rPr>
              <w:t>2015</w:t>
            </w:r>
            <w:r>
              <w:rPr>
                <w:rFonts w:ascii="Segoe UI"/>
                <w:sz w:val="16"/>
              </w:rPr>
            </w:r>
          </w:p>
        </w:tc>
        <w:tc>
          <w:tcPr>
            <w:tcW w:w="1451"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right="106"/>
              <w:jc w:val="right"/>
              <w:rPr>
                <w:rFonts w:ascii="Segoe UI" w:hAnsi="Segoe UI" w:cs="Segoe UI" w:eastAsia="Segoe UI"/>
                <w:sz w:val="16"/>
                <w:szCs w:val="16"/>
              </w:rPr>
            </w:pPr>
            <w:r>
              <w:rPr>
                <w:rFonts w:ascii="Segoe UI"/>
                <w:color w:val="231F20"/>
                <w:sz w:val="16"/>
              </w:rPr>
              <w:t>2016</w:t>
            </w:r>
            <w:r>
              <w:rPr>
                <w:rFonts w:ascii="Segoe UI"/>
                <w:sz w:val="16"/>
              </w:rPr>
            </w:r>
          </w:p>
        </w:tc>
        <w:tc>
          <w:tcPr>
            <w:tcW w:w="1451"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right="106"/>
              <w:jc w:val="right"/>
              <w:rPr>
                <w:rFonts w:ascii="Segoe UI" w:hAnsi="Segoe UI" w:cs="Segoe UI" w:eastAsia="Segoe UI"/>
                <w:sz w:val="16"/>
                <w:szCs w:val="16"/>
              </w:rPr>
            </w:pPr>
            <w:r>
              <w:rPr>
                <w:rFonts w:ascii="Segoe UI"/>
                <w:color w:val="231F20"/>
                <w:sz w:val="16"/>
              </w:rPr>
              <w:t>2017</w:t>
            </w:r>
            <w:r>
              <w:rPr>
                <w:rFonts w:ascii="Segoe UI"/>
                <w:sz w:val="16"/>
              </w:rPr>
            </w:r>
          </w:p>
        </w:tc>
        <w:tc>
          <w:tcPr>
            <w:tcW w:w="1451"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left="304" w:right="0"/>
              <w:jc w:val="left"/>
              <w:rPr>
                <w:rFonts w:ascii="Segoe UI" w:hAnsi="Segoe UI" w:cs="Segoe UI" w:eastAsia="Segoe UI"/>
                <w:sz w:val="16"/>
                <w:szCs w:val="16"/>
              </w:rPr>
            </w:pPr>
            <w:r>
              <w:rPr>
                <w:rFonts w:ascii="Segoe UI"/>
                <w:color w:val="231F20"/>
                <w:sz w:val="16"/>
              </w:rPr>
              <w:t>3</w:t>
            </w:r>
            <w:r>
              <w:rPr>
                <w:rFonts w:ascii="Segoe UI"/>
                <w:color w:val="231F20"/>
                <w:spacing w:val="-5"/>
                <w:sz w:val="16"/>
              </w:rPr>
              <w:t> </w:t>
            </w:r>
            <w:r>
              <w:rPr>
                <w:rFonts w:ascii="Segoe UI"/>
                <w:color w:val="231F20"/>
                <w:sz w:val="16"/>
              </w:rPr>
              <w:t>year</w:t>
            </w:r>
            <w:r>
              <w:rPr>
                <w:rFonts w:ascii="Segoe UI"/>
                <w:color w:val="231F20"/>
                <w:spacing w:val="-4"/>
                <w:sz w:val="16"/>
              </w:rPr>
              <w:t> </w:t>
            </w:r>
            <w:r>
              <w:rPr>
                <w:rFonts w:ascii="Segoe UI"/>
                <w:color w:val="231F20"/>
                <w:sz w:val="16"/>
              </w:rPr>
              <w:t>average</w:t>
            </w:r>
            <w:r>
              <w:rPr>
                <w:rFonts w:ascii="Segoe UI"/>
                <w:sz w:val="16"/>
              </w:rPr>
            </w:r>
          </w:p>
        </w:tc>
      </w:tr>
      <w:tr>
        <w:trPr>
          <w:trHeight w:val="348" w:hRule="exact"/>
        </w:trPr>
        <w:tc>
          <w:tcPr>
            <w:tcW w:w="2972"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08" w:right="0"/>
              <w:jc w:val="left"/>
              <w:rPr>
                <w:rFonts w:ascii="Segoe UI" w:hAnsi="Segoe UI" w:cs="Segoe UI" w:eastAsia="Segoe UI"/>
                <w:sz w:val="16"/>
                <w:szCs w:val="16"/>
              </w:rPr>
            </w:pPr>
            <w:r>
              <w:rPr>
                <w:rFonts w:ascii="Segoe UI"/>
                <w:color w:val="231F20"/>
                <w:spacing w:val="-1"/>
                <w:sz w:val="16"/>
              </w:rPr>
              <w:t>Average</w:t>
            </w:r>
            <w:r>
              <w:rPr>
                <w:rFonts w:ascii="Segoe UI"/>
                <w:color w:val="231F20"/>
                <w:spacing w:val="-7"/>
                <w:sz w:val="16"/>
              </w:rPr>
              <w:t> </w:t>
            </w:r>
            <w:r>
              <w:rPr>
                <w:rFonts w:ascii="Segoe UI"/>
                <w:color w:val="231F20"/>
                <w:sz w:val="16"/>
              </w:rPr>
              <w:t>revenue</w:t>
            </w:r>
            <w:r>
              <w:rPr>
                <w:rFonts w:ascii="Segoe UI"/>
                <w:color w:val="231F20"/>
                <w:spacing w:val="-7"/>
                <w:sz w:val="16"/>
              </w:rPr>
              <w:t> </w:t>
            </w:r>
            <w:r>
              <w:rPr>
                <w:rFonts w:ascii="Segoe UI"/>
                <w:color w:val="231F20"/>
                <w:sz w:val="16"/>
              </w:rPr>
              <w:t>per</w:t>
            </w:r>
            <w:r>
              <w:rPr>
                <w:rFonts w:ascii="Segoe UI"/>
                <w:color w:val="231F20"/>
                <w:spacing w:val="-6"/>
                <w:sz w:val="16"/>
              </w:rPr>
              <w:t> </w:t>
            </w:r>
            <w:r>
              <w:rPr>
                <w:rFonts w:ascii="Segoe UI"/>
                <w:color w:val="231F20"/>
                <w:sz w:val="16"/>
              </w:rPr>
              <w:t>boarder</w:t>
            </w:r>
            <w:r>
              <w:rPr>
                <w:rFonts w:ascii="Segoe UI"/>
                <w:sz w:val="16"/>
              </w:rPr>
            </w:r>
          </w:p>
        </w:tc>
        <w:tc>
          <w:tcPr>
            <w:tcW w:w="1451"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867" w:right="0"/>
              <w:jc w:val="left"/>
              <w:rPr>
                <w:rFonts w:ascii="Segoe UI" w:hAnsi="Segoe UI" w:cs="Segoe UI" w:eastAsia="Segoe UI"/>
                <w:sz w:val="16"/>
                <w:szCs w:val="16"/>
              </w:rPr>
            </w:pPr>
            <w:r>
              <w:rPr>
                <w:rFonts w:ascii="Segoe UI"/>
                <w:color w:val="231F20"/>
                <w:sz w:val="16"/>
              </w:rPr>
              <w:t>15,559</w:t>
            </w:r>
            <w:r>
              <w:rPr>
                <w:rFonts w:ascii="Segoe UI"/>
                <w:sz w:val="16"/>
              </w:rPr>
            </w:r>
          </w:p>
        </w:tc>
        <w:tc>
          <w:tcPr>
            <w:tcW w:w="1451"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867" w:right="0"/>
              <w:jc w:val="left"/>
              <w:rPr>
                <w:rFonts w:ascii="Segoe UI" w:hAnsi="Segoe UI" w:cs="Segoe UI" w:eastAsia="Segoe UI"/>
                <w:sz w:val="16"/>
                <w:szCs w:val="16"/>
              </w:rPr>
            </w:pPr>
            <w:r>
              <w:rPr>
                <w:rFonts w:ascii="Segoe UI"/>
                <w:color w:val="231F20"/>
                <w:sz w:val="16"/>
              </w:rPr>
              <w:t>16,776</w:t>
            </w:r>
            <w:r>
              <w:rPr>
                <w:rFonts w:ascii="Segoe UI"/>
                <w:sz w:val="16"/>
              </w:rPr>
            </w:r>
          </w:p>
        </w:tc>
        <w:tc>
          <w:tcPr>
            <w:tcW w:w="1451"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867" w:right="0"/>
              <w:jc w:val="left"/>
              <w:rPr>
                <w:rFonts w:ascii="Segoe UI" w:hAnsi="Segoe UI" w:cs="Segoe UI" w:eastAsia="Segoe UI"/>
                <w:sz w:val="16"/>
                <w:szCs w:val="16"/>
              </w:rPr>
            </w:pPr>
            <w:r>
              <w:rPr>
                <w:rFonts w:ascii="Segoe UI"/>
                <w:color w:val="231F20"/>
                <w:sz w:val="16"/>
              </w:rPr>
              <w:t>17,703</w:t>
            </w:r>
            <w:r>
              <w:rPr>
                <w:rFonts w:ascii="Segoe UI"/>
                <w:sz w:val="16"/>
              </w:rPr>
            </w:r>
          </w:p>
        </w:tc>
        <w:tc>
          <w:tcPr>
            <w:tcW w:w="1451"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867" w:right="0"/>
              <w:jc w:val="left"/>
              <w:rPr>
                <w:rFonts w:ascii="Segoe UI" w:hAnsi="Segoe UI" w:cs="Segoe UI" w:eastAsia="Segoe UI"/>
                <w:sz w:val="16"/>
                <w:szCs w:val="16"/>
              </w:rPr>
            </w:pPr>
            <w:r>
              <w:rPr>
                <w:rFonts w:ascii="Segoe UI"/>
                <w:color w:val="231F20"/>
                <w:sz w:val="16"/>
              </w:rPr>
              <w:t>16,679</w:t>
            </w:r>
            <w:r>
              <w:rPr>
                <w:rFonts w:ascii="Segoe UI"/>
                <w:sz w:val="16"/>
              </w:rPr>
            </w:r>
          </w:p>
        </w:tc>
      </w:tr>
      <w:tr>
        <w:trPr>
          <w:trHeight w:val="343" w:hRule="exact"/>
        </w:trPr>
        <w:tc>
          <w:tcPr>
            <w:tcW w:w="2972"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08" w:right="0"/>
              <w:jc w:val="left"/>
              <w:rPr>
                <w:rFonts w:ascii="Segoe UI" w:hAnsi="Segoe UI" w:cs="Segoe UI" w:eastAsia="Segoe UI"/>
                <w:sz w:val="16"/>
                <w:szCs w:val="16"/>
              </w:rPr>
            </w:pPr>
            <w:r>
              <w:rPr>
                <w:rFonts w:ascii="Segoe UI"/>
                <w:color w:val="231F20"/>
                <w:spacing w:val="-1"/>
                <w:sz w:val="16"/>
              </w:rPr>
              <w:t>Average</w:t>
            </w:r>
            <w:r>
              <w:rPr>
                <w:rFonts w:ascii="Segoe UI"/>
                <w:color w:val="231F20"/>
                <w:spacing w:val="-5"/>
                <w:sz w:val="16"/>
              </w:rPr>
              <w:t> </w:t>
            </w:r>
            <w:r>
              <w:rPr>
                <w:rFonts w:ascii="Segoe UI"/>
                <w:color w:val="231F20"/>
                <w:sz w:val="16"/>
              </w:rPr>
              <w:t>cost</w:t>
            </w:r>
            <w:r>
              <w:rPr>
                <w:rFonts w:ascii="Segoe UI"/>
                <w:color w:val="231F20"/>
                <w:spacing w:val="-5"/>
                <w:sz w:val="16"/>
              </w:rPr>
              <w:t> </w:t>
            </w:r>
            <w:r>
              <w:rPr>
                <w:rFonts w:ascii="Segoe UI"/>
                <w:color w:val="231F20"/>
                <w:sz w:val="16"/>
              </w:rPr>
              <w:t>per</w:t>
            </w:r>
            <w:r>
              <w:rPr>
                <w:rFonts w:ascii="Segoe UI"/>
                <w:color w:val="231F20"/>
                <w:spacing w:val="-4"/>
                <w:sz w:val="16"/>
              </w:rPr>
              <w:t> </w:t>
            </w:r>
            <w:r>
              <w:rPr>
                <w:rFonts w:ascii="Segoe UI"/>
                <w:color w:val="231F20"/>
                <w:sz w:val="16"/>
              </w:rPr>
              <w:t>boarder</w:t>
            </w:r>
            <w:r>
              <w:rPr>
                <w:rFonts w:ascii="Segoe UI"/>
                <w:sz w:val="16"/>
              </w:rPr>
            </w:r>
          </w:p>
        </w:tc>
        <w:tc>
          <w:tcPr>
            <w:tcW w:w="1451"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867" w:right="0"/>
              <w:jc w:val="left"/>
              <w:rPr>
                <w:rFonts w:ascii="Segoe UI" w:hAnsi="Segoe UI" w:cs="Segoe UI" w:eastAsia="Segoe UI"/>
                <w:sz w:val="16"/>
                <w:szCs w:val="16"/>
              </w:rPr>
            </w:pPr>
            <w:r>
              <w:rPr>
                <w:rFonts w:ascii="Segoe UI"/>
                <w:color w:val="231F20"/>
                <w:spacing w:val="-1"/>
                <w:sz w:val="16"/>
              </w:rPr>
              <w:t>20,629</w:t>
            </w:r>
            <w:r>
              <w:rPr>
                <w:rFonts w:ascii="Segoe UI"/>
                <w:sz w:val="16"/>
              </w:rPr>
            </w:r>
          </w:p>
        </w:tc>
        <w:tc>
          <w:tcPr>
            <w:tcW w:w="1451"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867" w:right="0"/>
              <w:jc w:val="left"/>
              <w:rPr>
                <w:rFonts w:ascii="Segoe UI" w:hAnsi="Segoe UI" w:cs="Segoe UI" w:eastAsia="Segoe UI"/>
                <w:sz w:val="16"/>
                <w:szCs w:val="16"/>
              </w:rPr>
            </w:pPr>
            <w:r>
              <w:rPr>
                <w:rFonts w:ascii="Segoe UI"/>
                <w:color w:val="231F20"/>
                <w:spacing w:val="-1"/>
                <w:sz w:val="16"/>
              </w:rPr>
              <w:t>23,296</w:t>
            </w:r>
            <w:r>
              <w:rPr>
                <w:rFonts w:ascii="Segoe UI"/>
                <w:sz w:val="16"/>
              </w:rPr>
            </w:r>
          </w:p>
        </w:tc>
        <w:tc>
          <w:tcPr>
            <w:tcW w:w="1451"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867" w:right="0"/>
              <w:jc w:val="left"/>
              <w:rPr>
                <w:rFonts w:ascii="Segoe UI" w:hAnsi="Segoe UI" w:cs="Segoe UI" w:eastAsia="Segoe UI"/>
                <w:sz w:val="16"/>
                <w:szCs w:val="16"/>
              </w:rPr>
            </w:pPr>
            <w:r>
              <w:rPr>
                <w:rFonts w:ascii="Segoe UI"/>
                <w:color w:val="231F20"/>
                <w:spacing w:val="-1"/>
                <w:sz w:val="16"/>
              </w:rPr>
              <w:t>24,858</w:t>
            </w:r>
            <w:r>
              <w:rPr>
                <w:rFonts w:ascii="Segoe UI"/>
                <w:sz w:val="16"/>
              </w:rPr>
            </w:r>
          </w:p>
        </w:tc>
        <w:tc>
          <w:tcPr>
            <w:tcW w:w="1451"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867" w:right="0"/>
              <w:jc w:val="left"/>
              <w:rPr>
                <w:rFonts w:ascii="Segoe UI" w:hAnsi="Segoe UI" w:cs="Segoe UI" w:eastAsia="Segoe UI"/>
                <w:sz w:val="16"/>
                <w:szCs w:val="16"/>
              </w:rPr>
            </w:pPr>
            <w:r>
              <w:rPr>
                <w:rFonts w:ascii="Segoe UI"/>
                <w:color w:val="231F20"/>
                <w:spacing w:val="-1"/>
                <w:sz w:val="16"/>
              </w:rPr>
              <w:t>22,927</w:t>
            </w:r>
            <w:r>
              <w:rPr>
                <w:rFonts w:ascii="Segoe UI"/>
                <w:sz w:val="16"/>
              </w:rPr>
            </w:r>
          </w:p>
        </w:tc>
      </w:tr>
      <w:tr>
        <w:trPr>
          <w:trHeight w:val="343" w:hRule="exact"/>
        </w:trPr>
        <w:tc>
          <w:tcPr>
            <w:tcW w:w="2972"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08" w:right="0"/>
              <w:jc w:val="left"/>
              <w:rPr>
                <w:rFonts w:ascii="Segoe UI" w:hAnsi="Segoe UI" w:cs="Segoe UI" w:eastAsia="Segoe UI"/>
                <w:sz w:val="16"/>
                <w:szCs w:val="16"/>
              </w:rPr>
            </w:pPr>
            <w:r>
              <w:rPr>
                <w:rFonts w:ascii="Segoe UI"/>
                <w:color w:val="231F20"/>
                <w:spacing w:val="-1"/>
                <w:sz w:val="16"/>
              </w:rPr>
              <w:t>Average</w:t>
            </w:r>
            <w:r>
              <w:rPr>
                <w:rFonts w:ascii="Segoe UI"/>
                <w:color w:val="231F20"/>
                <w:spacing w:val="-3"/>
                <w:sz w:val="16"/>
              </w:rPr>
              <w:t> </w:t>
            </w:r>
            <w:r>
              <w:rPr>
                <w:rFonts w:ascii="Segoe UI"/>
                <w:color w:val="231F20"/>
                <w:spacing w:val="-1"/>
                <w:sz w:val="16"/>
              </w:rPr>
              <w:t>surplus</w:t>
            </w:r>
            <w:r>
              <w:rPr>
                <w:rFonts w:ascii="Segoe UI"/>
                <w:color w:val="231F20"/>
                <w:spacing w:val="-3"/>
                <w:sz w:val="16"/>
              </w:rPr>
              <w:t> </w:t>
            </w:r>
            <w:r>
              <w:rPr>
                <w:rFonts w:ascii="Segoe UI"/>
                <w:color w:val="231F20"/>
                <w:sz w:val="16"/>
              </w:rPr>
              <w:t>/</w:t>
            </w:r>
            <w:r>
              <w:rPr>
                <w:rFonts w:ascii="Segoe UI"/>
                <w:color w:val="231F20"/>
                <w:spacing w:val="-2"/>
                <w:sz w:val="16"/>
              </w:rPr>
              <w:t> </w:t>
            </w:r>
            <w:r>
              <w:rPr>
                <w:rFonts w:ascii="Segoe UI"/>
                <w:color w:val="231F20"/>
                <w:sz w:val="16"/>
              </w:rPr>
              <w:t>(loss)</w:t>
            </w:r>
            <w:r>
              <w:rPr>
                <w:rFonts w:ascii="Segoe UI"/>
                <w:color w:val="231F20"/>
                <w:spacing w:val="-4"/>
                <w:sz w:val="16"/>
              </w:rPr>
              <w:t> </w:t>
            </w:r>
            <w:r>
              <w:rPr>
                <w:rFonts w:ascii="Segoe UI"/>
                <w:color w:val="231F20"/>
                <w:sz w:val="16"/>
              </w:rPr>
              <w:t>per</w:t>
            </w:r>
            <w:r>
              <w:rPr>
                <w:rFonts w:ascii="Segoe UI"/>
                <w:color w:val="231F20"/>
                <w:spacing w:val="-3"/>
                <w:sz w:val="16"/>
              </w:rPr>
              <w:t> </w:t>
            </w:r>
            <w:r>
              <w:rPr>
                <w:rFonts w:ascii="Segoe UI"/>
                <w:color w:val="231F20"/>
                <w:sz w:val="16"/>
              </w:rPr>
              <w:t>boarder</w:t>
            </w:r>
            <w:r>
              <w:rPr>
                <w:rFonts w:ascii="Segoe UI"/>
                <w:sz w:val="16"/>
              </w:rPr>
            </w:r>
          </w:p>
        </w:tc>
        <w:tc>
          <w:tcPr>
            <w:tcW w:w="1451"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857" w:right="0"/>
              <w:jc w:val="left"/>
              <w:rPr>
                <w:rFonts w:ascii="Segoe UI" w:hAnsi="Segoe UI" w:cs="Segoe UI" w:eastAsia="Segoe UI"/>
                <w:sz w:val="16"/>
                <w:szCs w:val="16"/>
              </w:rPr>
            </w:pPr>
            <w:r>
              <w:rPr>
                <w:rFonts w:ascii="Segoe UI"/>
                <w:color w:val="231F20"/>
                <w:sz w:val="16"/>
              </w:rPr>
              <w:t>(5,070)</w:t>
            </w:r>
            <w:r>
              <w:rPr>
                <w:rFonts w:ascii="Segoe UI"/>
                <w:sz w:val="16"/>
              </w:rPr>
            </w:r>
          </w:p>
        </w:tc>
        <w:tc>
          <w:tcPr>
            <w:tcW w:w="1451"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857" w:right="0"/>
              <w:jc w:val="left"/>
              <w:rPr>
                <w:rFonts w:ascii="Segoe UI" w:hAnsi="Segoe UI" w:cs="Segoe UI" w:eastAsia="Segoe UI"/>
                <w:sz w:val="16"/>
                <w:szCs w:val="16"/>
              </w:rPr>
            </w:pPr>
            <w:r>
              <w:rPr>
                <w:rFonts w:ascii="Segoe UI"/>
                <w:color w:val="231F20"/>
                <w:sz w:val="16"/>
              </w:rPr>
              <w:t>(6,520)</w:t>
            </w:r>
            <w:r>
              <w:rPr>
                <w:rFonts w:ascii="Segoe UI"/>
                <w:sz w:val="16"/>
              </w:rPr>
            </w:r>
          </w:p>
        </w:tc>
        <w:tc>
          <w:tcPr>
            <w:tcW w:w="1451"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857" w:right="0"/>
              <w:jc w:val="left"/>
              <w:rPr>
                <w:rFonts w:ascii="Segoe UI" w:hAnsi="Segoe UI" w:cs="Segoe UI" w:eastAsia="Segoe UI"/>
                <w:sz w:val="16"/>
                <w:szCs w:val="16"/>
              </w:rPr>
            </w:pPr>
            <w:r>
              <w:rPr>
                <w:rFonts w:ascii="Segoe UI"/>
                <w:color w:val="231F20"/>
                <w:sz w:val="16"/>
              </w:rPr>
              <w:t>(7,155)</w:t>
            </w:r>
            <w:r>
              <w:rPr>
                <w:rFonts w:ascii="Segoe UI"/>
                <w:sz w:val="16"/>
              </w:rPr>
            </w:r>
          </w:p>
        </w:tc>
        <w:tc>
          <w:tcPr>
            <w:tcW w:w="1451"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857" w:right="0"/>
              <w:jc w:val="left"/>
              <w:rPr>
                <w:rFonts w:ascii="Segoe UI" w:hAnsi="Segoe UI" w:cs="Segoe UI" w:eastAsia="Segoe UI"/>
                <w:sz w:val="16"/>
                <w:szCs w:val="16"/>
              </w:rPr>
            </w:pPr>
            <w:r>
              <w:rPr>
                <w:rFonts w:ascii="Segoe UI"/>
                <w:color w:val="231F20"/>
                <w:sz w:val="16"/>
              </w:rPr>
              <w:t>(6,248)</w:t>
            </w:r>
            <w:r>
              <w:rPr>
                <w:rFonts w:ascii="Segoe UI"/>
                <w:sz w:val="16"/>
              </w:rPr>
            </w:r>
          </w:p>
        </w:tc>
      </w:tr>
    </w:tbl>
    <w:p>
      <w:pPr>
        <w:spacing w:line="240" w:lineRule="auto" w:before="2"/>
        <w:rPr>
          <w:rFonts w:ascii="Segoe UI Semibold" w:hAnsi="Segoe UI Semibold" w:cs="Segoe UI Semibold" w:eastAsia="Segoe UI Semibold"/>
          <w:b/>
          <w:bCs/>
          <w:sz w:val="28"/>
          <w:szCs w:val="28"/>
        </w:rPr>
      </w:pPr>
    </w:p>
    <w:p>
      <w:pPr>
        <w:spacing w:after="0" w:line="240" w:lineRule="auto"/>
        <w:rPr>
          <w:rFonts w:ascii="Segoe UI Semibold" w:hAnsi="Segoe UI Semibold" w:cs="Segoe UI Semibold" w:eastAsia="Segoe UI Semibold"/>
          <w:sz w:val="28"/>
          <w:szCs w:val="28"/>
        </w:rPr>
        <w:sectPr>
          <w:pgSz w:w="11910" w:h="16840"/>
          <w:pgMar w:header="0" w:footer="691" w:top="1580" w:bottom="880" w:left="1600" w:right="1300"/>
        </w:sectPr>
      </w:pPr>
    </w:p>
    <w:p>
      <w:pPr>
        <w:pStyle w:val="BodyText"/>
        <w:spacing w:line="250" w:lineRule="exact" w:before="62"/>
        <w:ind w:left="100" w:right="6"/>
        <w:jc w:val="left"/>
      </w:pPr>
      <w:r>
        <w:rPr>
          <w:color w:val="231F20"/>
        </w:rPr>
        <w:t>As</w:t>
      </w:r>
      <w:r>
        <w:rPr>
          <w:color w:val="231F20"/>
          <w:spacing w:val="-6"/>
        </w:rPr>
        <w:t> </w:t>
      </w:r>
      <w:r>
        <w:rPr>
          <w:color w:val="231F20"/>
          <w:spacing w:val="-1"/>
        </w:rPr>
        <w:t>shown</w:t>
      </w:r>
      <w:r>
        <w:rPr>
          <w:color w:val="231F20"/>
          <w:spacing w:val="-4"/>
        </w:rPr>
        <w:t> </w:t>
      </w:r>
      <w:r>
        <w:rPr>
          <w:color w:val="231F20"/>
          <w:spacing w:val="-1"/>
        </w:rPr>
        <w:t>in</w:t>
      </w:r>
      <w:r>
        <w:rPr>
          <w:color w:val="231F20"/>
          <w:spacing w:val="-5"/>
        </w:rPr>
        <w:t> </w:t>
      </w:r>
      <w:r>
        <w:rPr>
          <w:color w:val="231F20"/>
        </w:rPr>
        <w:t>Graph</w:t>
      </w:r>
      <w:r>
        <w:rPr>
          <w:color w:val="231F20"/>
          <w:spacing w:val="-4"/>
        </w:rPr>
        <w:t> </w:t>
      </w:r>
      <w:r>
        <w:rPr>
          <w:color w:val="231F20"/>
          <w:spacing w:val="-1"/>
        </w:rPr>
        <w:t>10,</w:t>
      </w:r>
      <w:r>
        <w:rPr>
          <w:color w:val="231F20"/>
          <w:spacing w:val="-4"/>
        </w:rPr>
        <w:t> </w:t>
      </w:r>
      <w:r>
        <w:rPr>
          <w:color w:val="231F20"/>
        </w:rPr>
        <w:t>revenue</w:t>
      </w:r>
      <w:r>
        <w:rPr>
          <w:color w:val="231F20"/>
          <w:spacing w:val="-6"/>
        </w:rPr>
        <w:t> </w:t>
      </w:r>
      <w:r>
        <w:rPr>
          <w:color w:val="231F20"/>
        </w:rPr>
        <w:t>per</w:t>
      </w:r>
      <w:r>
        <w:rPr>
          <w:color w:val="231F20"/>
          <w:spacing w:val="-4"/>
        </w:rPr>
        <w:t> </w:t>
      </w:r>
      <w:r>
        <w:rPr>
          <w:color w:val="231F20"/>
        </w:rPr>
        <w:t>boarder</w:t>
      </w:r>
      <w:r>
        <w:rPr>
          <w:color w:val="231F20"/>
          <w:spacing w:val="24"/>
          <w:w w:val="99"/>
        </w:rPr>
        <w:t> </w:t>
      </w:r>
      <w:r>
        <w:rPr>
          <w:color w:val="231F20"/>
          <w:spacing w:val="-1"/>
        </w:rPr>
        <w:t>increased</w:t>
      </w:r>
      <w:r>
        <w:rPr>
          <w:color w:val="231F20"/>
          <w:spacing w:val="-4"/>
        </w:rPr>
        <w:t> </w:t>
      </w:r>
      <w:r>
        <w:rPr>
          <w:color w:val="231F20"/>
        </w:rPr>
        <w:t>from</w:t>
      </w:r>
      <w:r>
        <w:rPr>
          <w:color w:val="231F20"/>
          <w:spacing w:val="-3"/>
        </w:rPr>
        <w:t> </w:t>
      </w:r>
      <w:r>
        <w:rPr>
          <w:color w:val="231F20"/>
          <w:spacing w:val="-1"/>
        </w:rPr>
        <w:t>2015</w:t>
      </w:r>
      <w:r>
        <w:rPr>
          <w:color w:val="231F20"/>
          <w:spacing w:val="-3"/>
        </w:rPr>
        <w:t> </w:t>
      </w:r>
      <w:r>
        <w:rPr>
          <w:color w:val="231F20"/>
        </w:rPr>
        <w:t>to</w:t>
      </w:r>
      <w:r>
        <w:rPr>
          <w:color w:val="231F20"/>
          <w:spacing w:val="-3"/>
        </w:rPr>
        <w:t> </w:t>
      </w:r>
      <w:r>
        <w:rPr>
          <w:color w:val="231F20"/>
          <w:spacing w:val="-1"/>
        </w:rPr>
        <w:t>2017</w:t>
      </w:r>
      <w:r>
        <w:rPr>
          <w:color w:val="231F20"/>
          <w:spacing w:val="-4"/>
        </w:rPr>
        <w:t> </w:t>
      </w:r>
      <w:r>
        <w:rPr>
          <w:color w:val="231F20"/>
        </w:rPr>
        <w:t>but</w:t>
      </w:r>
      <w:r>
        <w:rPr>
          <w:color w:val="231F20"/>
          <w:spacing w:val="-4"/>
        </w:rPr>
        <w:t> </w:t>
      </w:r>
      <w:r>
        <w:rPr>
          <w:color w:val="231F20"/>
        </w:rPr>
        <w:t>the</w:t>
      </w:r>
      <w:r>
        <w:rPr>
          <w:color w:val="231F20"/>
          <w:spacing w:val="-4"/>
        </w:rPr>
        <w:t> </w:t>
      </w:r>
      <w:r>
        <w:rPr>
          <w:color w:val="231F20"/>
        </w:rPr>
        <w:t>rate</w:t>
      </w:r>
      <w:r>
        <w:rPr>
          <w:color w:val="231F20"/>
          <w:spacing w:val="-4"/>
        </w:rPr>
        <w:t> </w:t>
      </w:r>
      <w:r>
        <w:rPr>
          <w:color w:val="231F20"/>
        </w:rPr>
        <w:t>of</w:t>
      </w:r>
      <w:r>
        <w:rPr>
          <w:color w:val="231F20"/>
          <w:spacing w:val="24"/>
          <w:w w:val="99"/>
        </w:rPr>
        <w:t> </w:t>
      </w:r>
      <w:r>
        <w:rPr>
          <w:color w:val="231F20"/>
          <w:spacing w:val="-1"/>
        </w:rPr>
        <w:t>increase</w:t>
      </w:r>
      <w:r>
        <w:rPr>
          <w:color w:val="231F20"/>
          <w:spacing w:val="-4"/>
        </w:rPr>
        <w:t> </w:t>
      </w:r>
      <w:r>
        <w:rPr>
          <w:color w:val="231F20"/>
        </w:rPr>
        <w:t>of</w:t>
      </w:r>
      <w:r>
        <w:rPr>
          <w:color w:val="231F20"/>
          <w:spacing w:val="-4"/>
        </w:rPr>
        <w:t> </w:t>
      </w:r>
      <w:r>
        <w:rPr>
          <w:color w:val="231F20"/>
        </w:rPr>
        <w:t>costs</w:t>
      </w:r>
      <w:r>
        <w:rPr>
          <w:color w:val="231F20"/>
          <w:spacing w:val="-4"/>
        </w:rPr>
        <w:t> </w:t>
      </w:r>
      <w:r>
        <w:rPr>
          <w:color w:val="231F20"/>
        </w:rPr>
        <w:t>per</w:t>
      </w:r>
      <w:r>
        <w:rPr>
          <w:color w:val="231F20"/>
          <w:spacing w:val="-4"/>
        </w:rPr>
        <w:t> </w:t>
      </w:r>
      <w:r>
        <w:rPr>
          <w:color w:val="231F20"/>
        </w:rPr>
        <w:t>boarder</w:t>
      </w:r>
      <w:r>
        <w:rPr>
          <w:color w:val="231F20"/>
          <w:spacing w:val="-4"/>
        </w:rPr>
        <w:t> </w:t>
      </w:r>
      <w:r>
        <w:rPr>
          <w:color w:val="231F20"/>
        </w:rPr>
        <w:t>over</w:t>
      </w:r>
      <w:r>
        <w:rPr>
          <w:color w:val="231F20"/>
          <w:spacing w:val="-3"/>
        </w:rPr>
        <w:t> </w:t>
      </w:r>
      <w:r>
        <w:rPr>
          <w:color w:val="231F20"/>
        </w:rPr>
        <w:t>the</w:t>
      </w:r>
      <w:r>
        <w:rPr>
          <w:color w:val="231F20"/>
          <w:spacing w:val="-5"/>
        </w:rPr>
        <w:t> </w:t>
      </w:r>
      <w:r>
        <w:rPr>
          <w:color w:val="231F20"/>
          <w:spacing w:val="-1"/>
        </w:rPr>
        <w:t>same</w:t>
      </w:r>
      <w:r>
        <w:rPr>
          <w:color w:val="231F20"/>
          <w:spacing w:val="21"/>
        </w:rPr>
        <w:t> </w:t>
      </w:r>
      <w:r>
        <w:rPr>
          <w:color w:val="231F20"/>
        </w:rPr>
        <w:t>period</w:t>
      </w:r>
      <w:r>
        <w:rPr>
          <w:color w:val="231F20"/>
          <w:spacing w:val="-8"/>
        </w:rPr>
        <w:t> </w:t>
      </w:r>
      <w:r>
        <w:rPr>
          <w:color w:val="231F20"/>
        </w:rPr>
        <w:t>exceeded</w:t>
      </w:r>
      <w:r>
        <w:rPr>
          <w:color w:val="231F20"/>
          <w:spacing w:val="-7"/>
        </w:rPr>
        <w:t> </w:t>
      </w:r>
      <w:r>
        <w:rPr>
          <w:color w:val="231F20"/>
        </w:rPr>
        <w:t>the</w:t>
      </w:r>
      <w:r>
        <w:rPr>
          <w:color w:val="231F20"/>
          <w:spacing w:val="-7"/>
        </w:rPr>
        <w:t> </w:t>
      </w:r>
      <w:r>
        <w:rPr>
          <w:color w:val="231F20"/>
        </w:rPr>
        <w:t>growth</w:t>
      </w:r>
      <w:r>
        <w:rPr>
          <w:color w:val="231F20"/>
          <w:spacing w:val="-7"/>
        </w:rPr>
        <w:t> </w:t>
      </w:r>
      <w:r>
        <w:rPr>
          <w:color w:val="231F20"/>
          <w:spacing w:val="-1"/>
        </w:rPr>
        <w:t>in</w:t>
      </w:r>
      <w:r>
        <w:rPr>
          <w:color w:val="231F20"/>
          <w:spacing w:val="-6"/>
        </w:rPr>
        <w:t> </w:t>
      </w:r>
      <w:r>
        <w:rPr>
          <w:color w:val="231F20"/>
        </w:rPr>
        <w:t>revenue</w:t>
      </w:r>
      <w:r>
        <w:rPr>
          <w:color w:val="231F20"/>
          <w:spacing w:val="-7"/>
        </w:rPr>
        <w:t> </w:t>
      </w:r>
      <w:r>
        <w:rPr>
          <w:color w:val="231F20"/>
          <w:spacing w:val="-1"/>
        </w:rPr>
        <w:t>leading</w:t>
      </w:r>
      <w:r>
        <w:rPr>
          <w:color w:val="231F20"/>
          <w:spacing w:val="21"/>
          <w:w w:val="99"/>
        </w:rPr>
        <w:t> </w:t>
      </w:r>
      <w:r>
        <w:rPr>
          <w:color w:val="231F20"/>
        </w:rPr>
        <w:t>to</w:t>
      </w:r>
      <w:r>
        <w:rPr>
          <w:color w:val="231F20"/>
          <w:spacing w:val="-5"/>
        </w:rPr>
        <w:t> </w:t>
      </w:r>
      <w:r>
        <w:rPr>
          <w:color w:val="231F20"/>
        </w:rPr>
        <w:t>higher</w:t>
      </w:r>
      <w:r>
        <w:rPr>
          <w:color w:val="231F20"/>
          <w:spacing w:val="-5"/>
        </w:rPr>
        <w:t> </w:t>
      </w:r>
      <w:r>
        <w:rPr>
          <w:color w:val="231F20"/>
          <w:spacing w:val="-1"/>
        </w:rPr>
        <w:t>losses</w:t>
      </w:r>
      <w:r>
        <w:rPr>
          <w:color w:val="231F20"/>
          <w:spacing w:val="-5"/>
        </w:rPr>
        <w:t> </w:t>
      </w:r>
      <w:r>
        <w:rPr>
          <w:color w:val="231F20"/>
        </w:rPr>
        <w:t>per</w:t>
      </w:r>
      <w:r>
        <w:rPr>
          <w:color w:val="231F20"/>
          <w:spacing w:val="-4"/>
        </w:rPr>
        <w:t> </w:t>
      </w:r>
      <w:r>
        <w:rPr>
          <w:color w:val="231F20"/>
        </w:rPr>
        <w:t>boarder.</w:t>
      </w:r>
      <w:r>
        <w:rPr/>
      </w:r>
    </w:p>
    <w:p>
      <w:pPr>
        <w:pStyle w:val="BodyText"/>
        <w:spacing w:line="250" w:lineRule="exact" w:before="113"/>
        <w:ind w:left="100" w:right="152"/>
        <w:jc w:val="left"/>
      </w:pPr>
      <w:r>
        <w:rPr>
          <w:color w:val="231F20"/>
        </w:rPr>
        <w:t>The</w:t>
      </w:r>
      <w:r>
        <w:rPr>
          <w:color w:val="231F20"/>
          <w:spacing w:val="-5"/>
        </w:rPr>
        <w:t> </w:t>
      </w:r>
      <w:r>
        <w:rPr>
          <w:color w:val="231F20"/>
        </w:rPr>
        <w:t>average</w:t>
      </w:r>
      <w:r>
        <w:rPr>
          <w:color w:val="231F20"/>
          <w:spacing w:val="-6"/>
        </w:rPr>
        <w:t> </w:t>
      </w:r>
      <w:r>
        <w:rPr>
          <w:color w:val="231F20"/>
        </w:rPr>
        <w:t>revenue</w:t>
      </w:r>
      <w:r>
        <w:rPr>
          <w:color w:val="231F20"/>
          <w:spacing w:val="-5"/>
        </w:rPr>
        <w:t> </w:t>
      </w:r>
      <w:r>
        <w:rPr>
          <w:color w:val="231F20"/>
        </w:rPr>
        <w:t>and</w:t>
      </w:r>
      <w:r>
        <w:rPr>
          <w:color w:val="231F20"/>
          <w:spacing w:val="-6"/>
        </w:rPr>
        <w:t> </w:t>
      </w:r>
      <w:r>
        <w:rPr>
          <w:color w:val="231F20"/>
        </w:rPr>
        <w:t>costs</w:t>
      </w:r>
      <w:r>
        <w:rPr>
          <w:color w:val="231F20"/>
          <w:spacing w:val="-5"/>
        </w:rPr>
        <w:t> </w:t>
      </w:r>
      <w:r>
        <w:rPr>
          <w:color w:val="231F20"/>
        </w:rPr>
        <w:t>per</w:t>
      </w:r>
      <w:r>
        <w:rPr>
          <w:color w:val="231F20"/>
          <w:spacing w:val="-5"/>
        </w:rPr>
        <w:t> </w:t>
      </w:r>
      <w:r>
        <w:rPr>
          <w:color w:val="231F20"/>
        </w:rPr>
        <w:t>boarder</w:t>
      </w:r>
      <w:r>
        <w:rPr>
          <w:color w:val="231F20"/>
          <w:spacing w:val="-5"/>
        </w:rPr>
        <w:t> </w:t>
      </w:r>
      <w:r>
        <w:rPr>
          <w:color w:val="231F20"/>
          <w:spacing w:val="-5"/>
        </w:rPr>
      </w:r>
      <w:r>
        <w:rPr>
          <w:color w:val="231F20"/>
        </w:rPr>
        <w:t>of</w:t>
      </w:r>
      <w:r>
        <w:rPr>
          <w:color w:val="231F20"/>
        </w:rPr>
        <w:t> Aboriginal</w:t>
      </w:r>
      <w:r>
        <w:rPr>
          <w:color w:val="231F20"/>
          <w:spacing w:val="-6"/>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rPr>
        <w:t>boarding</w:t>
      </w:r>
      <w:r>
        <w:rPr>
          <w:color w:val="231F20"/>
          <w:spacing w:val="29"/>
          <w:w w:val="99"/>
        </w:rPr>
        <w:t> </w:t>
      </w:r>
      <w:r>
        <w:rPr>
          <w:rFonts w:ascii="Segoe UI"/>
          <w:color w:val="231F20"/>
        </w:rPr>
        <w:t>providers vary significantly, depending on the</w:t>
      </w:r>
      <w:r>
        <w:rPr>
          <w:rFonts w:ascii="Segoe UI"/>
          <w:color w:val="231F20"/>
        </w:rPr>
        <w:t> </w:t>
      </w:r>
      <w:r>
        <w:rPr>
          <w:color w:val="231F20"/>
        </w:rPr>
        <w:t>circumstances</w:t>
      </w:r>
      <w:r>
        <w:rPr>
          <w:color w:val="231F20"/>
          <w:spacing w:val="-9"/>
        </w:rPr>
        <w:t> </w:t>
      </w:r>
      <w:r>
        <w:rPr>
          <w:color w:val="231F20"/>
        </w:rPr>
        <w:t>of</w:t>
      </w:r>
      <w:r>
        <w:rPr>
          <w:color w:val="231F20"/>
          <w:spacing w:val="-7"/>
        </w:rPr>
        <w:t> </w:t>
      </w:r>
      <w:r>
        <w:rPr>
          <w:color w:val="231F20"/>
        </w:rPr>
        <w:t>the</w:t>
      </w:r>
      <w:r>
        <w:rPr>
          <w:color w:val="231F20"/>
          <w:spacing w:val="-8"/>
        </w:rPr>
        <w:t> </w:t>
      </w:r>
      <w:r>
        <w:rPr>
          <w:color w:val="231F20"/>
        </w:rPr>
        <w:t>boarding</w:t>
      </w:r>
      <w:r>
        <w:rPr>
          <w:color w:val="231F20"/>
          <w:spacing w:val="-8"/>
        </w:rPr>
        <w:t> </w:t>
      </w:r>
      <w:r>
        <w:rPr>
          <w:color w:val="231F20"/>
        </w:rPr>
        <w:t>provider</w:t>
      </w:r>
      <w:r>
        <w:rPr>
          <w:color w:val="231F20"/>
          <w:spacing w:val="-8"/>
        </w:rPr>
        <w:t> </w:t>
      </w:r>
      <w:r>
        <w:rPr>
          <w:color w:val="231F20"/>
        </w:rPr>
        <w:t>and</w:t>
      </w:r>
      <w:r>
        <w:rPr>
          <w:color w:val="231F20"/>
          <w:w w:val="99"/>
        </w:rPr>
        <w:t> </w:t>
      </w:r>
      <w:r>
        <w:rPr>
          <w:color w:val="231F20"/>
          <w:spacing w:val="-1"/>
        </w:rPr>
        <w:t>its</w:t>
      </w:r>
      <w:r>
        <w:rPr>
          <w:color w:val="231F20"/>
          <w:spacing w:val="-5"/>
        </w:rPr>
        <w:t> </w:t>
      </w:r>
      <w:r>
        <w:rPr>
          <w:color w:val="231F20"/>
        </w:rPr>
        <w:t>boarding</w:t>
      </w:r>
      <w:r>
        <w:rPr>
          <w:color w:val="231F20"/>
          <w:spacing w:val="-6"/>
        </w:rPr>
        <w:t> </w:t>
      </w:r>
      <w:r>
        <w:rPr>
          <w:color w:val="231F20"/>
        </w:rPr>
        <w:t>population,</w:t>
      </w:r>
      <w:r>
        <w:rPr>
          <w:color w:val="231F20"/>
          <w:spacing w:val="-5"/>
        </w:rPr>
        <w:t> </w:t>
      </w:r>
      <w:r>
        <w:rPr>
          <w:color w:val="231F20"/>
        </w:rPr>
        <w:t>and</w:t>
      </w:r>
      <w:r>
        <w:rPr>
          <w:color w:val="231F20"/>
          <w:spacing w:val="-6"/>
        </w:rPr>
        <w:t> </w:t>
      </w:r>
      <w:r>
        <w:rPr>
          <w:color w:val="231F20"/>
        </w:rPr>
        <w:t>the</w:t>
      </w:r>
      <w:r>
        <w:rPr>
          <w:color w:val="231F20"/>
          <w:spacing w:val="-5"/>
        </w:rPr>
        <w:t> </w:t>
      </w:r>
      <w:r>
        <w:rPr>
          <w:color w:val="231F20"/>
          <w:spacing w:val="-1"/>
        </w:rPr>
        <w:t>model</w:t>
      </w:r>
      <w:r>
        <w:rPr>
          <w:color w:val="231F20"/>
          <w:spacing w:val="-5"/>
        </w:rPr>
        <w:t> </w:t>
      </w:r>
      <w:r>
        <w:rPr>
          <w:color w:val="231F20"/>
        </w:rPr>
        <w:t>and</w:t>
      </w:r>
      <w:r>
        <w:rPr/>
      </w:r>
    </w:p>
    <w:p>
      <w:pPr>
        <w:pStyle w:val="BodyText"/>
        <w:spacing w:line="242" w:lineRule="exact"/>
        <w:ind w:left="100" w:right="6"/>
        <w:jc w:val="left"/>
      </w:pPr>
      <w:r>
        <w:rPr>
          <w:color w:val="231F20"/>
          <w:spacing w:val="-1"/>
        </w:rPr>
        <w:t>location</w:t>
      </w:r>
      <w:r>
        <w:rPr>
          <w:color w:val="231F20"/>
          <w:spacing w:val="-7"/>
        </w:rPr>
        <w:t> </w:t>
      </w:r>
      <w:r>
        <w:rPr>
          <w:color w:val="231F20"/>
        </w:rPr>
        <w:t>of</w:t>
      </w:r>
      <w:r>
        <w:rPr>
          <w:color w:val="231F20"/>
          <w:spacing w:val="-7"/>
        </w:rPr>
        <w:t> </w:t>
      </w:r>
      <w:r>
        <w:rPr>
          <w:color w:val="231F20"/>
        </w:rPr>
        <w:t>boarding</w:t>
      </w:r>
      <w:r>
        <w:rPr>
          <w:color w:val="231F20"/>
          <w:spacing w:val="-8"/>
        </w:rPr>
        <w:t> </w:t>
      </w:r>
      <w:r>
        <w:rPr>
          <w:color w:val="231F20"/>
        </w:rPr>
        <w:t>provision.</w:t>
      </w:r>
      <w:r>
        <w:rPr>
          <w:color w:val="231F20"/>
          <w:spacing w:val="-7"/>
        </w:rPr>
        <w:t> </w:t>
      </w:r>
      <w:r>
        <w:rPr>
          <w:color w:val="231F20"/>
          <w:spacing w:val="-1"/>
        </w:rPr>
        <w:t>Some</w:t>
      </w:r>
      <w:r>
        <w:rPr>
          <w:color w:val="231F20"/>
          <w:spacing w:val="-7"/>
        </w:rPr>
        <w:t> </w:t>
      </w:r>
      <w:r>
        <w:rPr>
          <w:color w:val="231F20"/>
        </w:rPr>
        <w:t>providers</w:t>
      </w:r>
      <w:r>
        <w:rPr/>
      </w:r>
    </w:p>
    <w:p>
      <w:pPr>
        <w:pStyle w:val="BodyText"/>
        <w:spacing w:line="250" w:lineRule="exact"/>
        <w:ind w:left="100" w:right="182"/>
        <w:jc w:val="left"/>
        <w:rPr>
          <w:rFonts w:ascii="Segoe UI" w:hAnsi="Segoe UI" w:cs="Segoe UI" w:eastAsia="Segoe UI"/>
        </w:rPr>
      </w:pPr>
      <w:r>
        <w:rPr>
          <w:rFonts w:ascii="Segoe UI"/>
          <w:color w:val="231F20"/>
        </w:rPr>
        <w:t>are able to attract significant donations</w:t>
      </w:r>
      <w:r>
        <w:rPr>
          <w:rFonts w:ascii="Segoe UI"/>
        </w:rPr>
      </w:r>
    </w:p>
    <w:p>
      <w:pPr>
        <w:pStyle w:val="BodyText"/>
        <w:spacing w:line="258" w:lineRule="exact"/>
        <w:ind w:left="100" w:right="182"/>
        <w:jc w:val="left"/>
      </w:pPr>
      <w:r>
        <w:rPr>
          <w:color w:val="231F20"/>
        </w:rPr>
        <w:t>and</w:t>
      </w:r>
      <w:r>
        <w:rPr>
          <w:color w:val="231F20"/>
          <w:spacing w:val="-12"/>
        </w:rPr>
        <w:t> </w:t>
      </w:r>
      <w:r>
        <w:rPr>
          <w:color w:val="231F20"/>
        </w:rPr>
        <w:t>contributions</w:t>
      </w:r>
      <w:r>
        <w:rPr>
          <w:color w:val="231F20"/>
          <w:spacing w:val="-12"/>
        </w:rPr>
        <w:t> </w:t>
      </w:r>
      <w:r>
        <w:rPr>
          <w:color w:val="231F20"/>
        </w:rPr>
        <w:t>from</w:t>
      </w:r>
      <w:r>
        <w:rPr>
          <w:color w:val="231F20"/>
          <w:spacing w:val="-11"/>
        </w:rPr>
        <w:t> </w:t>
      </w:r>
      <w:r>
        <w:rPr>
          <w:color w:val="231F20"/>
        </w:rPr>
        <w:t>philanthropics,</w:t>
      </w:r>
      <w:r>
        <w:rPr/>
      </w:r>
    </w:p>
    <w:p>
      <w:pPr>
        <w:pStyle w:val="BodyText"/>
        <w:spacing w:line="250" w:lineRule="exact" w:before="62"/>
        <w:ind w:left="100" w:right="132"/>
        <w:jc w:val="left"/>
        <w:rPr>
          <w:rFonts w:ascii="Segoe UI" w:hAnsi="Segoe UI" w:cs="Segoe UI" w:eastAsia="Segoe UI"/>
        </w:rPr>
      </w:pPr>
      <w:r>
        <w:rPr/>
        <w:br w:type="column"/>
      </w:r>
      <w:r>
        <w:rPr>
          <w:color w:val="231F20"/>
          <w:spacing w:val="-1"/>
        </w:rPr>
        <w:t>leading</w:t>
      </w:r>
      <w:r>
        <w:rPr>
          <w:color w:val="231F20"/>
          <w:spacing w:val="-5"/>
        </w:rPr>
        <w:t> </w:t>
      </w:r>
      <w:r>
        <w:rPr>
          <w:color w:val="231F20"/>
        </w:rPr>
        <w:t>to</w:t>
      </w:r>
      <w:r>
        <w:rPr>
          <w:color w:val="231F20"/>
          <w:spacing w:val="-4"/>
        </w:rPr>
        <w:t> </w:t>
      </w:r>
      <w:r>
        <w:rPr>
          <w:color w:val="231F20"/>
        </w:rPr>
        <w:t>higher</w:t>
      </w:r>
      <w:r>
        <w:rPr>
          <w:color w:val="231F20"/>
          <w:spacing w:val="-5"/>
        </w:rPr>
        <w:t> </w:t>
      </w:r>
      <w:r>
        <w:rPr>
          <w:color w:val="231F20"/>
        </w:rPr>
        <w:t>than</w:t>
      </w:r>
      <w:r>
        <w:rPr>
          <w:color w:val="231F20"/>
          <w:spacing w:val="-5"/>
        </w:rPr>
        <w:t> </w:t>
      </w:r>
      <w:r>
        <w:rPr>
          <w:color w:val="231F20"/>
        </w:rPr>
        <w:t>average</w:t>
      </w:r>
      <w:r>
        <w:rPr>
          <w:color w:val="231F20"/>
          <w:spacing w:val="-5"/>
        </w:rPr>
        <w:t> </w:t>
      </w:r>
      <w:r>
        <w:rPr>
          <w:color w:val="231F20"/>
          <w:spacing w:val="-1"/>
        </w:rPr>
        <w:t>income.</w:t>
      </w:r>
      <w:r>
        <w:rPr>
          <w:color w:val="231F20"/>
          <w:spacing w:val="-4"/>
        </w:rPr>
        <w:t> </w:t>
      </w:r>
      <w:r>
        <w:rPr>
          <w:color w:val="231F20"/>
        </w:rPr>
        <w:t>Also,</w:t>
      </w:r>
      <w:r>
        <w:rPr>
          <w:color w:val="231F20"/>
          <w:spacing w:val="24"/>
        </w:rPr>
        <w:t> </w:t>
      </w:r>
      <w:r>
        <w:rPr>
          <w:color w:val="231F20"/>
          <w:spacing w:val="-1"/>
        </w:rPr>
        <w:t>some</w:t>
      </w:r>
      <w:r>
        <w:rPr>
          <w:color w:val="231F20"/>
          <w:spacing w:val="-5"/>
        </w:rPr>
        <w:t> </w:t>
      </w:r>
      <w:r>
        <w:rPr>
          <w:color w:val="231F20"/>
        </w:rPr>
        <w:t>boarding</w:t>
      </w:r>
      <w:r>
        <w:rPr>
          <w:color w:val="231F20"/>
          <w:spacing w:val="-6"/>
        </w:rPr>
        <w:t> </w:t>
      </w:r>
      <w:r>
        <w:rPr>
          <w:color w:val="231F20"/>
        </w:rPr>
        <w:t>providers</w:t>
      </w:r>
      <w:r>
        <w:rPr>
          <w:color w:val="231F20"/>
          <w:spacing w:val="-5"/>
        </w:rPr>
        <w:t> </w:t>
      </w:r>
      <w:r>
        <w:rPr>
          <w:color w:val="231F20"/>
        </w:rPr>
        <w:t>are</w:t>
      </w:r>
      <w:r>
        <w:rPr>
          <w:color w:val="231F20"/>
          <w:spacing w:val="-6"/>
        </w:rPr>
        <w:t> </w:t>
      </w:r>
      <w:r>
        <w:rPr>
          <w:color w:val="231F20"/>
          <w:spacing w:val="-1"/>
        </w:rPr>
        <w:t>in</w:t>
      </w:r>
      <w:r>
        <w:rPr>
          <w:color w:val="231F20"/>
          <w:spacing w:val="-5"/>
        </w:rPr>
        <w:t> </w:t>
      </w:r>
      <w:r>
        <w:rPr>
          <w:color w:val="231F20"/>
          <w:spacing w:val="-1"/>
        </w:rPr>
        <w:t>start-up</w:t>
      </w:r>
      <w:r>
        <w:rPr>
          <w:color w:val="231F20"/>
          <w:spacing w:val="-3"/>
        </w:rPr>
        <w:t> </w:t>
      </w:r>
      <w:r>
        <w:rPr>
          <w:color w:val="231F20"/>
        </w:rPr>
        <w:t>or</w:t>
      </w:r>
      <w:r>
        <w:rPr>
          <w:color w:val="231F20"/>
          <w:spacing w:val="24"/>
          <w:w w:val="99"/>
        </w:rPr>
        <w:t> </w:t>
      </w:r>
      <w:r>
        <w:rPr>
          <w:color w:val="231F20"/>
          <w:spacing w:val="-1"/>
        </w:rPr>
        <w:t>standalone</w:t>
      </w:r>
      <w:r>
        <w:rPr>
          <w:color w:val="231F20"/>
          <w:spacing w:val="-6"/>
        </w:rPr>
        <w:t> </w:t>
      </w:r>
      <w:r>
        <w:rPr>
          <w:color w:val="231F20"/>
        </w:rPr>
        <w:t>boarding</w:t>
      </w:r>
      <w:r>
        <w:rPr>
          <w:color w:val="231F20"/>
          <w:spacing w:val="-6"/>
        </w:rPr>
        <w:t> </w:t>
      </w:r>
      <w:r>
        <w:rPr>
          <w:color w:val="231F20"/>
        </w:rPr>
        <w:t>facilities</w:t>
      </w:r>
      <w:r>
        <w:rPr>
          <w:color w:val="231F20"/>
          <w:spacing w:val="-7"/>
        </w:rPr>
        <w:t> </w:t>
      </w:r>
      <w:r>
        <w:rPr>
          <w:color w:val="231F20"/>
        </w:rPr>
        <w:t>and</w:t>
      </w:r>
      <w:r>
        <w:rPr>
          <w:color w:val="231F20"/>
          <w:spacing w:val="-6"/>
        </w:rPr>
        <w:t> </w:t>
      </w:r>
      <w:r>
        <w:rPr>
          <w:color w:val="231F20"/>
        </w:rPr>
        <w:t>cannot</w:t>
      </w:r>
      <w:r>
        <w:rPr>
          <w:color w:val="231F20"/>
          <w:spacing w:val="-7"/>
        </w:rPr>
        <w:t> </w:t>
      </w:r>
      <w:r>
        <w:rPr>
          <w:color w:val="231F20"/>
        </w:rPr>
        <w:t>access</w:t>
      </w:r>
      <w:r>
        <w:rPr>
          <w:color w:val="231F20"/>
          <w:spacing w:val="22"/>
        </w:rPr>
        <w:t> </w:t>
      </w:r>
      <w:r>
        <w:rPr>
          <w:color w:val="231F20"/>
          <w:spacing w:val="-1"/>
        </w:rPr>
        <w:t>Commonwealth</w:t>
      </w:r>
      <w:r>
        <w:rPr>
          <w:color w:val="231F20"/>
          <w:spacing w:val="-12"/>
        </w:rPr>
        <w:t> </w:t>
      </w:r>
      <w:r>
        <w:rPr>
          <w:color w:val="231F20"/>
        </w:rPr>
        <w:t>or</w:t>
      </w:r>
      <w:r>
        <w:rPr>
          <w:color w:val="231F20"/>
          <w:spacing w:val="-12"/>
        </w:rPr>
        <w:t> </w:t>
      </w:r>
      <w:r>
        <w:rPr>
          <w:color w:val="231F20"/>
          <w:spacing w:val="-1"/>
        </w:rPr>
        <w:t>state/territory</w:t>
      </w:r>
      <w:r>
        <w:rPr>
          <w:color w:val="231F20"/>
          <w:spacing w:val="-11"/>
        </w:rPr>
        <w:t> </w:t>
      </w:r>
      <w:r>
        <w:rPr>
          <w:color w:val="231F20"/>
        </w:rPr>
        <w:t>recurrent</w:t>
      </w:r>
      <w:r>
        <w:rPr>
          <w:color w:val="231F20"/>
          <w:spacing w:val="23"/>
          <w:w w:val="99"/>
        </w:rPr>
        <w:t> </w:t>
      </w:r>
      <w:r>
        <w:rPr>
          <w:color w:val="231F20"/>
          <w:spacing w:val="-1"/>
        </w:rPr>
        <w:t>school</w:t>
      </w:r>
      <w:r>
        <w:rPr>
          <w:color w:val="231F20"/>
          <w:spacing w:val="-4"/>
        </w:rPr>
        <w:t> </w:t>
      </w:r>
      <w:r>
        <w:rPr>
          <w:color w:val="231F20"/>
        </w:rPr>
        <w:t>funding</w:t>
      </w:r>
      <w:r>
        <w:rPr>
          <w:color w:val="231F20"/>
          <w:spacing w:val="-3"/>
        </w:rPr>
        <w:t> </w:t>
      </w:r>
      <w:r>
        <w:rPr>
          <w:color w:val="231F20"/>
        </w:rPr>
        <w:t>and</w:t>
      </w:r>
      <w:r>
        <w:rPr>
          <w:color w:val="231F20"/>
          <w:spacing w:val="-4"/>
        </w:rPr>
        <w:t> </w:t>
      </w:r>
      <w:r>
        <w:rPr>
          <w:color w:val="231F20"/>
        </w:rPr>
        <w:t>the</w:t>
      </w:r>
      <w:r>
        <w:rPr>
          <w:color w:val="231F20"/>
          <w:spacing w:val="-5"/>
        </w:rPr>
        <w:t> </w:t>
      </w:r>
      <w:r>
        <w:rPr>
          <w:color w:val="231F20"/>
        </w:rPr>
        <w:t>costs</w:t>
      </w:r>
      <w:r>
        <w:rPr>
          <w:color w:val="231F20"/>
          <w:spacing w:val="-4"/>
        </w:rPr>
        <w:t> </w:t>
      </w:r>
      <w:r>
        <w:rPr>
          <w:color w:val="231F20"/>
        </w:rPr>
        <w:t>of</w:t>
      </w:r>
      <w:r>
        <w:rPr>
          <w:color w:val="231F20"/>
          <w:spacing w:val="-3"/>
        </w:rPr>
        <w:t> </w:t>
      </w:r>
      <w:r>
        <w:rPr>
          <w:color w:val="231F20"/>
        </w:rPr>
        <w:t>boarding</w:t>
      </w:r>
      <w:r>
        <w:rPr>
          <w:color w:val="231F20"/>
          <w:spacing w:val="-4"/>
        </w:rPr>
        <w:t> </w:t>
      </w:r>
      <w:r>
        <w:rPr>
          <w:color w:val="231F20"/>
          <w:spacing w:val="-1"/>
        </w:rPr>
        <w:t>is</w:t>
      </w:r>
      <w:r>
        <w:rPr>
          <w:color w:val="231F20"/>
          <w:spacing w:val="21"/>
        </w:rPr>
        <w:t> </w:t>
      </w:r>
      <w:r>
        <w:rPr>
          <w:rFonts w:ascii="Segoe UI"/>
          <w:color w:val="231F20"/>
        </w:rPr>
        <w:t>significantly higher than the average.</w:t>
      </w:r>
      <w:r>
        <w:rPr>
          <w:rFonts w:ascii="Segoe UI"/>
        </w:rPr>
      </w:r>
    </w:p>
    <w:p>
      <w:pPr>
        <w:pStyle w:val="BodyText"/>
        <w:spacing w:line="250" w:lineRule="exact" w:before="113"/>
        <w:ind w:left="100" w:right="132"/>
        <w:jc w:val="left"/>
      </w:pPr>
      <w:r>
        <w:rPr>
          <w:color w:val="231F20"/>
        </w:rPr>
        <w:t>The</w:t>
      </w:r>
      <w:r>
        <w:rPr>
          <w:color w:val="231F20"/>
          <w:spacing w:val="-7"/>
        </w:rPr>
        <w:t> </w:t>
      </w:r>
      <w:r>
        <w:rPr>
          <w:color w:val="231F20"/>
        </w:rPr>
        <w:t>following</w:t>
      </w:r>
      <w:r>
        <w:rPr>
          <w:color w:val="231F20"/>
          <w:spacing w:val="-6"/>
        </w:rPr>
        <w:t> </w:t>
      </w:r>
      <w:r>
        <w:rPr>
          <w:color w:val="231F20"/>
        </w:rPr>
        <w:t>graphs</w:t>
      </w:r>
      <w:r>
        <w:rPr>
          <w:color w:val="231F20"/>
          <w:spacing w:val="-7"/>
        </w:rPr>
        <w:t> </w:t>
      </w:r>
      <w:r>
        <w:rPr>
          <w:color w:val="231F20"/>
          <w:spacing w:val="-1"/>
        </w:rPr>
        <w:t>show</w:t>
      </w:r>
      <w:r>
        <w:rPr>
          <w:color w:val="231F20"/>
          <w:spacing w:val="-6"/>
        </w:rPr>
        <w:t> </w:t>
      </w:r>
      <w:r>
        <w:rPr>
          <w:color w:val="231F20"/>
        </w:rPr>
        <w:t>the</w:t>
      </w:r>
      <w:r>
        <w:rPr>
          <w:color w:val="231F20"/>
          <w:spacing w:val="-7"/>
        </w:rPr>
        <w:t> </w:t>
      </w:r>
      <w:r>
        <w:rPr>
          <w:color w:val="231F20"/>
        </w:rPr>
        <w:t>distribution</w:t>
      </w:r>
      <w:r>
        <w:rPr>
          <w:color w:val="231F20"/>
          <w:spacing w:val="-7"/>
        </w:rPr>
        <w:t> </w:t>
      </w:r>
      <w:r>
        <w:rPr>
          <w:color w:val="231F20"/>
        </w:rPr>
        <w:t>of</w:t>
      </w:r>
      <w:r>
        <w:rPr>
          <w:color w:val="231F20"/>
          <w:spacing w:val="21"/>
          <w:w w:val="99"/>
        </w:rPr>
        <w:t> </w:t>
      </w:r>
      <w:r>
        <w:rPr>
          <w:color w:val="231F20"/>
        </w:rPr>
        <w:t>the</w:t>
      </w:r>
      <w:r>
        <w:rPr>
          <w:color w:val="231F20"/>
          <w:spacing w:val="-7"/>
        </w:rPr>
        <w:t> </w:t>
      </w:r>
      <w:r>
        <w:rPr>
          <w:color w:val="231F20"/>
        </w:rPr>
        <w:t>average</w:t>
      </w:r>
      <w:r>
        <w:rPr>
          <w:color w:val="231F20"/>
          <w:spacing w:val="-6"/>
        </w:rPr>
        <w:t> </w:t>
      </w:r>
      <w:r>
        <w:rPr>
          <w:color w:val="231F20"/>
        </w:rPr>
        <w:t>boarding</w:t>
      </w:r>
      <w:r>
        <w:rPr>
          <w:color w:val="231F20"/>
          <w:spacing w:val="-6"/>
        </w:rPr>
        <w:t> </w:t>
      </w:r>
      <w:r>
        <w:rPr>
          <w:color w:val="231F20"/>
        </w:rPr>
        <w:t>revenue</w:t>
      </w:r>
      <w:r>
        <w:rPr>
          <w:color w:val="231F20"/>
          <w:spacing w:val="-6"/>
        </w:rPr>
        <w:t> </w:t>
      </w:r>
      <w:r>
        <w:rPr>
          <w:color w:val="231F20"/>
        </w:rPr>
        <w:t>and</w:t>
      </w:r>
      <w:r>
        <w:rPr>
          <w:color w:val="231F20"/>
          <w:spacing w:val="-6"/>
        </w:rPr>
        <w:t> </w:t>
      </w:r>
      <w:r>
        <w:rPr>
          <w:color w:val="231F20"/>
        </w:rPr>
        <w:t>costs</w:t>
      </w:r>
      <w:r>
        <w:rPr>
          <w:color w:val="231F20"/>
          <w:spacing w:val="-6"/>
        </w:rPr>
        <w:t> </w:t>
      </w:r>
      <w:r>
        <w:rPr>
          <w:color w:val="231F20"/>
        </w:rPr>
        <w:t>for</w:t>
      </w:r>
      <w:r>
        <w:rPr>
          <w:color w:val="231F20"/>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6"/>
        </w:rPr>
        <w:t> </w:t>
      </w:r>
      <w:r>
        <w:rPr>
          <w:color w:val="231F20"/>
          <w:spacing w:val="-1"/>
        </w:rPr>
        <w:t>in</w:t>
      </w:r>
      <w:r>
        <w:rPr>
          <w:color w:val="231F20"/>
          <w:spacing w:val="-4"/>
        </w:rPr>
        <w:t> </w:t>
      </w:r>
      <w:r>
        <w:rPr>
          <w:color w:val="231F20"/>
        </w:rPr>
        <w:t>2017.</w:t>
      </w:r>
      <w:r>
        <w:rPr/>
      </w:r>
    </w:p>
    <w:p>
      <w:pPr>
        <w:spacing w:after="0" w:line="250" w:lineRule="exact"/>
        <w:jc w:val="left"/>
        <w:sectPr>
          <w:type w:val="continuous"/>
          <w:pgSz w:w="11910" w:h="16840"/>
          <w:pgMar w:top="1580" w:bottom="280" w:left="1600" w:right="1300"/>
          <w:cols w:num="2" w:equalWidth="0">
            <w:col w:w="4278" w:space="257"/>
            <w:col w:w="4475"/>
          </w:cols>
        </w:sectPr>
      </w:pPr>
    </w:p>
    <w:p>
      <w:pPr>
        <w:spacing w:line="240" w:lineRule="auto" w:before="5"/>
        <w:rPr>
          <w:rFonts w:ascii="Times New Roman" w:hAnsi="Times New Roman" w:cs="Times New Roman" w:eastAsia="Times New Roman"/>
          <w:sz w:val="17"/>
          <w:szCs w:val="17"/>
        </w:rPr>
      </w:pPr>
      <w:r>
        <w:rPr/>
        <w:pict>
          <v:group style="position:absolute;margin-left:70.865997pt;margin-top:113.386017pt;width:439.4pt;height:223.95pt;mso-position-horizontal-relative:page;mso-position-vertical-relative:page;z-index:5176" coordorigin="1417,2268" coordsize="8788,4479">
            <v:group style="position:absolute;left:2775;top:5202;width:6706;height:2" coordorigin="2775,5202" coordsize="6706,2">
              <v:shape style="position:absolute;left:2775;top:5202;width:6706;height:2" coordorigin="2775,5202" coordsize="6706,0" path="m2775,5202l9481,5202e" filled="false" stroked="true" strokeweight=".75pt" strokecolor="#dcddde">
                <v:path arrowok="t"/>
              </v:shape>
            </v:group>
            <v:group style="position:absolute;left:2775;top:4785;width:6706;height:2" coordorigin="2775,4785" coordsize="6706,2">
              <v:shape style="position:absolute;left:2775;top:4785;width:6706;height:2" coordorigin="2775,4785" coordsize="6706,0" path="m2775,4785l9481,4785e" filled="false" stroked="true" strokeweight=".75pt" strokecolor="#dcddde">
                <v:path arrowok="t"/>
              </v:shape>
            </v:group>
            <v:group style="position:absolute;left:2775;top:4367;width:6706;height:2" coordorigin="2775,4367" coordsize="6706,2">
              <v:shape style="position:absolute;left:2775;top:4367;width:6706;height:2" coordorigin="2775,4367" coordsize="6706,0" path="m2775,4367l9481,4367e" filled="false" stroked="true" strokeweight=".75pt" strokecolor="#dcddde">
                <v:path arrowok="t"/>
              </v:shape>
            </v:group>
            <v:group style="position:absolute;left:2775;top:3952;width:6706;height:2" coordorigin="2775,3952" coordsize="6706,2">
              <v:shape style="position:absolute;left:2775;top:3952;width:6706;height:2" coordorigin="2775,3952" coordsize="6706,0" path="m2775,3952l9481,3952e" filled="false" stroked="true" strokeweight=".75pt" strokecolor="#dcddde">
                <v:path arrowok="t"/>
              </v:shape>
            </v:group>
            <v:group style="position:absolute;left:2775;top:3535;width:6706;height:2" coordorigin="2775,3535" coordsize="6706,2">
              <v:shape style="position:absolute;left:2775;top:3535;width:6706;height:2" coordorigin="2775,3535" coordsize="6706,0" path="m2775,3535l9481,3535e" filled="false" stroked="true" strokeweight=".75pt" strokecolor="#dcddde">
                <v:path arrowok="t"/>
              </v:shape>
            </v:group>
            <v:group style="position:absolute;left:3894;top:3535;width:2;height:2084" coordorigin="3894,3535" coordsize="2,2084">
              <v:shape style="position:absolute;left:3894;top:3535;width:2;height:2084" coordorigin="3894,3535" coordsize="0,2084" path="m3894,3535l3894,5618e" filled="false" stroked="true" strokeweight=".75pt" strokecolor="#dcddde">
                <v:path arrowok="t"/>
              </v:shape>
            </v:group>
            <v:group style="position:absolute;left:5010;top:3535;width:2;height:2084" coordorigin="5010,3535" coordsize="2,2084">
              <v:shape style="position:absolute;left:5010;top:3535;width:2;height:2084" coordorigin="5010,3535" coordsize="0,2084" path="m5010,3535l5010,5618e" filled="false" stroked="true" strokeweight=".75pt" strokecolor="#dcddde">
                <v:path arrowok="t"/>
              </v:shape>
            </v:group>
            <v:group style="position:absolute;left:6128;top:3535;width:2;height:2084" coordorigin="6128,3535" coordsize="2,2084">
              <v:shape style="position:absolute;left:6128;top:3535;width:2;height:2084" coordorigin="6128,3535" coordsize="0,2084" path="m6128,3535l6128,5618e" filled="false" stroked="true" strokeweight=".75pt" strokecolor="#dcddde">
                <v:path arrowok="t"/>
              </v:shape>
            </v:group>
            <v:group style="position:absolute;left:7246;top:3535;width:2;height:2084" coordorigin="7246,3535" coordsize="2,2084">
              <v:shape style="position:absolute;left:7246;top:3535;width:2;height:2084" coordorigin="7246,3535" coordsize="0,2084" path="m7246,3535l7246,5618e" filled="false" stroked="true" strokeweight=".75pt" strokecolor="#dcddde">
                <v:path arrowok="t"/>
              </v:shape>
            </v:group>
            <v:group style="position:absolute;left:8362;top:3535;width:2;height:2084" coordorigin="8362,3535" coordsize="2,2084">
              <v:shape style="position:absolute;left:8362;top:3535;width:2;height:2084" coordorigin="8362,3535" coordsize="0,2084" path="m8362,3535l8362,5618e" filled="false" stroked="true" strokeweight=".75pt" strokecolor="#dcddde">
                <v:path arrowok="t"/>
              </v:shape>
            </v:group>
            <v:group style="position:absolute;left:9481;top:3535;width:2;height:2084" coordorigin="9481,3535" coordsize="2,2084">
              <v:shape style="position:absolute;left:9481;top:3535;width:2;height:2084" coordorigin="9481,3535" coordsize="0,2084" path="m9481,3535l9481,5618e" filled="false" stroked="true" strokeweight=".75pt" strokecolor="#dcddde">
                <v:path arrowok="t"/>
              </v:shape>
            </v:group>
            <v:group style="position:absolute;left:2775;top:3535;width:2;height:2084" coordorigin="2775,3535" coordsize="2,2084">
              <v:shape style="position:absolute;left:2775;top:3535;width:2;height:2084" coordorigin="2775,3535" coordsize="0,2084" path="m2775,5618l2775,3535e" filled="false" stroked="true" strokeweight=".75pt" strokecolor="#c6c8ca">
                <v:path arrowok="t"/>
              </v:shape>
            </v:group>
            <v:group style="position:absolute;left:2775;top:5618;width:6706;height:2" coordorigin="2775,5618" coordsize="6706,2">
              <v:shape style="position:absolute;left:2775;top:5618;width:6706;height:2" coordorigin="2775,5618" coordsize="6706,0" path="m2775,5618l9481,5618e" filled="false" stroked="true" strokeweight=".75pt" strokecolor="#c6c8ca">
                <v:path arrowok="t"/>
              </v:shape>
            </v:group>
            <v:group style="position:absolute;left:2949;top:4886;width:101;height:98" coordorigin="2949,4886" coordsize="101,98">
              <v:shape style="position:absolute;left:2949;top:4886;width:101;height:98" coordorigin="2949,4886" coordsize="101,98" path="m2985,4886l2966,4897,2954,4914,2949,4937,2954,4956,2966,4971,2986,4981,3012,4984,3031,4974,3045,4957,3050,4935,3050,4932,3045,4913,3032,4899,3012,4889,2985,4886xe" filled="true" fillcolor="#8165a3" stroked="false">
                <v:path arrowok="t"/>
                <v:fill type="solid"/>
              </v:shape>
            </v:group>
            <v:group style="position:absolute;left:2949;top:4886;width:101;height:98" coordorigin="2949,4886" coordsize="101,98">
              <v:shape style="position:absolute;left:2949;top:4886;width:101;height:98" coordorigin="2949,4886" coordsize="101,98" path="m3050,4935l3045,4957,3031,4974,3012,4984,2986,4981,2966,4971,2954,4956,2949,4937,2954,4914,2966,4897,2985,4886,3012,4889,3032,4899,3045,4913,3050,4932,3050,4935xe" filled="false" stroked="true" strokeweight=".72pt" strokecolor="#8165a3">
                <v:path arrowok="t"/>
              </v:shape>
            </v:group>
            <v:group style="position:absolute;left:3172;top:4776;width:101;height:98" coordorigin="3172,4776" coordsize="101,98">
              <v:shape style="position:absolute;left:3172;top:4776;width:101;height:98" coordorigin="3172,4776" coordsize="101,98" path="m3208,4776l3190,4786,3177,4804,3172,4826,3177,4845,3189,4860,3209,4870,3235,4873,3255,4863,3268,4846,3273,4824,3273,4821,3268,4803,3255,4788,3235,4779,3208,4776xe" filled="true" fillcolor="#8165a3" stroked="false">
                <v:path arrowok="t"/>
                <v:fill type="solid"/>
              </v:shape>
            </v:group>
            <v:group style="position:absolute;left:3172;top:4776;width:101;height:98" coordorigin="3172,4776" coordsize="101,98">
              <v:shape style="position:absolute;left:3172;top:4776;width:101;height:98" coordorigin="3172,4776" coordsize="101,98" path="m3273,4824l3268,4846,3255,4863,3235,4873,3209,4870,3189,4860,3177,4845,3172,4826,3177,4804,3190,4786,3208,4776,3235,4779,3255,4788,3268,4803,3273,4821,3273,4824xe" filled="false" stroked="true" strokeweight=".72pt" strokecolor="#8165a3">
                <v:path arrowok="t"/>
              </v:shape>
            </v:group>
            <v:group style="position:absolute;left:3395;top:5009;width:101;height:98" coordorigin="3395,5009" coordsize="101,98">
              <v:shape style="position:absolute;left:3395;top:5009;width:101;height:98" coordorigin="3395,5009" coordsize="101,98" path="m3432,5009l3413,5019,3400,5037,3395,5059,3400,5078,3412,5093,3432,5103,3458,5106,3478,5096,3491,5079,3496,5057,3496,5054,3491,5036,3478,5021,3458,5011,3432,5009xe" filled="true" fillcolor="#8165a3" stroked="false">
                <v:path arrowok="t"/>
                <v:fill type="solid"/>
              </v:shape>
            </v:group>
            <v:group style="position:absolute;left:3395;top:5009;width:101;height:98" coordorigin="3395,5009" coordsize="101,98">
              <v:shape style="position:absolute;left:3395;top:5009;width:101;height:98" coordorigin="3395,5009" coordsize="101,98" path="m3496,5057l3491,5079,3478,5096,3458,5106,3432,5103,3412,5093,3400,5078,3395,5059,3400,5037,3413,5019,3432,5009,3458,5011,3478,5021,3491,5036,3496,5054,3496,5057xe" filled="false" stroked="true" strokeweight=".72pt" strokecolor="#8165a3">
                <v:path arrowok="t"/>
              </v:shape>
            </v:group>
            <v:group style="position:absolute;left:3621;top:5009;width:101;height:98" coordorigin="3621,5009" coordsize="101,98">
              <v:shape style="position:absolute;left:3621;top:5009;width:101;height:98" coordorigin="3621,5009" coordsize="101,98" path="m3657,5009l3638,5019,3626,5037,3621,5059,3626,5078,3638,5093,3658,5103,3684,5106,3703,5096,3717,5079,3722,5057,3722,5054,3717,5036,3704,5021,3684,5011,3657,5009xe" filled="true" fillcolor="#8165a3" stroked="false">
                <v:path arrowok="t"/>
                <v:fill type="solid"/>
              </v:shape>
            </v:group>
            <v:group style="position:absolute;left:3621;top:5009;width:101;height:98" coordorigin="3621,5009" coordsize="101,98">
              <v:shape style="position:absolute;left:3621;top:5009;width:101;height:98" coordorigin="3621,5009" coordsize="101,98" path="m3722,5057l3717,5079,3703,5096,3684,5106,3658,5103,3638,5093,3626,5078,3621,5059,3626,5037,3638,5019,3657,5009,3684,5011,3704,5021,3717,5036,3722,5054,3722,5057xe" filled="false" stroked="true" strokeweight=".72pt" strokecolor="#8165a3">
                <v:path arrowok="t"/>
              </v:shape>
            </v:group>
            <v:group style="position:absolute;left:3844;top:5426;width:101;height:98" coordorigin="3844,5426" coordsize="101,98">
              <v:shape style="position:absolute;left:3844;top:5426;width:101;height:98" coordorigin="3844,5426" coordsize="101,98" path="m3880,5426l3862,5437,3849,5454,3844,5477,3849,5496,3861,5511,3881,5521,3907,5524,3927,5514,3940,5497,3945,5475,3945,5472,3940,5453,3927,5439,3907,5429,3880,5426xe" filled="true" fillcolor="#8165a3" stroked="false">
                <v:path arrowok="t"/>
                <v:fill type="solid"/>
              </v:shape>
            </v:group>
            <v:group style="position:absolute;left:3844;top:5426;width:101;height:98" coordorigin="3844,5426" coordsize="101,98">
              <v:shape style="position:absolute;left:3844;top:5426;width:101;height:98" coordorigin="3844,5426" coordsize="101,98" path="m3945,5475l3940,5497,3927,5514,3907,5524,3881,5521,3861,5511,3849,5496,3844,5477,3849,5454,3862,5437,3880,5426,3907,5429,3927,5439,3940,5453,3945,5472,3945,5475xe" filled="false" stroked="true" strokeweight=".72pt" strokecolor="#8165a3">
                <v:path arrowok="t"/>
              </v:shape>
            </v:group>
            <v:group style="position:absolute;left:4067;top:4704;width:101;height:98" coordorigin="4067,4704" coordsize="101,98">
              <v:shape style="position:absolute;left:4067;top:4704;width:101;height:98" coordorigin="4067,4704" coordsize="101,98" path="m4104,4704l4085,4714,4072,4732,4067,4754,4072,4773,4084,4788,4104,4798,4130,4801,4150,4791,4163,4774,4168,4752,4168,4749,4163,4731,4150,4716,4130,4707,4104,4704xe" filled="true" fillcolor="#8165a3" stroked="false">
                <v:path arrowok="t"/>
                <v:fill type="solid"/>
              </v:shape>
            </v:group>
            <v:group style="position:absolute;left:4067;top:4704;width:101;height:98" coordorigin="4067,4704" coordsize="101,98">
              <v:shape style="position:absolute;left:4067;top:4704;width:101;height:98" coordorigin="4067,4704" coordsize="101,98" path="m4168,4752l4163,4774,4150,4791,4130,4801,4104,4798,4084,4788,4072,4773,4067,4754,4072,4732,4085,4714,4104,4704,4130,4707,4150,4716,4163,4731,4168,4749,4168,4752xe" filled="false" stroked="true" strokeweight=".72pt" strokecolor="#8165a3">
                <v:path arrowok="t"/>
              </v:shape>
            </v:group>
            <v:group style="position:absolute;left:4290;top:4644;width:101;height:98" coordorigin="4290,4644" coordsize="101,98">
              <v:shape style="position:absolute;left:4290;top:4644;width:101;height:98" coordorigin="4290,4644" coordsize="101,98" path="m4327,4644l4308,4654,4295,4672,4290,4694,4295,4713,4308,4728,4327,4738,4354,4741,4373,4731,4386,4714,4391,4692,4391,4689,4386,4671,4374,4656,4354,4647,4327,4644xe" filled="true" fillcolor="#8165a3" stroked="false">
                <v:path arrowok="t"/>
                <v:fill type="solid"/>
              </v:shape>
            </v:group>
            <v:group style="position:absolute;left:4290;top:4644;width:101;height:98" coordorigin="4290,4644" coordsize="101,98">
              <v:shape style="position:absolute;left:4290;top:4644;width:101;height:98" coordorigin="4290,4644" coordsize="101,98" path="m4391,4692l4386,4714,4373,4731,4354,4741,4327,4738,4308,4728,4295,4713,4290,4694,4295,4672,4308,4654,4327,4644,4354,4647,4374,4656,4386,4671,4391,4689,4391,4692xe" filled="false" stroked="true" strokeweight=".72pt" strokecolor="#8165a3">
                <v:path arrowok="t"/>
              </v:shape>
            </v:group>
            <v:group style="position:absolute;left:4514;top:4958;width:101;height:98" coordorigin="4514,4958" coordsize="101,98">
              <v:shape style="position:absolute;left:4514;top:4958;width:101;height:98" coordorigin="4514,4958" coordsize="101,98" path="m4550,4958l4531,4969,4518,4986,4514,5009,4518,5028,4531,5043,4550,5053,4577,5056,4596,5046,4609,5029,4614,5007,4614,5004,4609,4985,4597,4971,4577,4961,4550,4958xe" filled="true" fillcolor="#8165a3" stroked="false">
                <v:path arrowok="t"/>
                <v:fill type="solid"/>
              </v:shape>
            </v:group>
            <v:group style="position:absolute;left:4514;top:4958;width:101;height:98" coordorigin="4514,4958" coordsize="101,98">
              <v:shape style="position:absolute;left:4514;top:4958;width:101;height:98" coordorigin="4514,4958" coordsize="101,98" path="m4614,5007l4609,5029,4596,5046,4577,5056,4550,5053,4531,5043,4518,5028,4514,5009,4518,4986,4531,4969,4550,4958,4577,4961,4597,4971,4609,4985,4614,5004,4614,5007xe" filled="false" stroked="true" strokeweight=".72pt" strokecolor="#8165a3">
                <v:path arrowok="t"/>
              </v:shape>
            </v:group>
            <v:group style="position:absolute;left:4737;top:4661;width:101;height:98" coordorigin="4737,4661" coordsize="101,98">
              <v:shape style="position:absolute;left:4737;top:4661;width:101;height:98" coordorigin="4737,4661" coordsize="101,98" path="m4773,4661l4754,4671,4742,4689,4737,4711,4742,4730,4754,4745,4774,4755,4800,4758,4819,4748,4833,4731,4838,4709,4838,4706,4833,4688,4820,4673,4800,4663,4773,4661xe" filled="true" fillcolor="#8165a3" stroked="false">
                <v:path arrowok="t"/>
                <v:fill type="solid"/>
              </v:shape>
            </v:group>
            <v:group style="position:absolute;left:4737;top:4661;width:101;height:98" coordorigin="4737,4661" coordsize="101,98">
              <v:shape style="position:absolute;left:4737;top:4661;width:101;height:98" coordorigin="4737,4661" coordsize="101,98" path="m4838,4709l4833,4731,4819,4748,4800,4758,4774,4755,4754,4745,4742,4730,4737,4711,4742,4689,4754,4671,4773,4661,4800,4663,4820,4673,4833,4688,4838,4706,4838,4709xe" filled="false" stroked="true" strokeweight=".72pt" strokecolor="#8165a3">
                <v:path arrowok="t"/>
              </v:shape>
            </v:group>
            <v:group style="position:absolute;left:4960;top:5088;width:101;height:98" coordorigin="4960,5088" coordsize="101,98">
              <v:shape style="position:absolute;left:4960;top:5088;width:101;height:98" coordorigin="4960,5088" coordsize="101,98" path="m4996,5088l4978,5098,4965,5116,4960,5138,4965,5157,4977,5172,4997,5182,5023,5185,5043,5175,5056,5158,5061,5136,5061,5134,5056,5115,5043,5100,5023,5091,4996,5088xe" filled="true" fillcolor="#8165a3" stroked="false">
                <v:path arrowok="t"/>
                <v:fill type="solid"/>
              </v:shape>
            </v:group>
            <v:group style="position:absolute;left:4960;top:5088;width:101;height:98" coordorigin="4960,5088" coordsize="101,98">
              <v:shape style="position:absolute;left:4960;top:5088;width:101;height:98" coordorigin="4960,5088" coordsize="101,98" path="m5061,5136l5056,5158,5043,5175,5023,5185,4997,5182,4977,5172,4965,5157,4960,5138,4965,5116,4978,5098,4996,5088,5023,5091,5043,5100,5056,5115,5061,5134,5061,5136xe" filled="false" stroked="true" strokeweight=".72pt" strokecolor="#8165a3">
                <v:path arrowok="t"/>
              </v:shape>
            </v:group>
            <v:group style="position:absolute;left:5183;top:5047;width:101;height:98" coordorigin="5183,5047" coordsize="101,98">
              <v:shape style="position:absolute;left:5183;top:5047;width:101;height:98" coordorigin="5183,5047" coordsize="101,98" path="m5220,5047l5201,5058,5188,5075,5183,5098,5188,5116,5200,5132,5220,5142,5246,5144,5266,5134,5279,5117,5284,5096,5284,5093,5279,5074,5266,5059,5246,5050,5220,5047xe" filled="true" fillcolor="#8165a3" stroked="false">
                <v:path arrowok="t"/>
                <v:fill type="solid"/>
              </v:shape>
            </v:group>
            <v:group style="position:absolute;left:5183;top:5047;width:101;height:98" coordorigin="5183,5047" coordsize="101,98">
              <v:shape style="position:absolute;left:5183;top:5047;width:101;height:98" coordorigin="5183,5047" coordsize="101,98" path="m5284,5096l5279,5117,5266,5134,5246,5144,5220,5142,5200,5132,5188,5116,5183,5098,5188,5075,5201,5058,5220,5047,5246,5050,5266,5059,5279,5074,5284,5093,5284,5096xe" filled="false" stroked="true" strokeweight=".72pt" strokecolor="#8165a3">
                <v:path arrowok="t"/>
              </v:shape>
            </v:group>
            <v:group style="position:absolute;left:5409;top:4399;width:101;height:98" coordorigin="5409,4399" coordsize="101,98">
              <v:shape style="position:absolute;left:5409;top:4399;width:101;height:98" coordorigin="5409,4399" coordsize="101,98" path="m5445,4399l5426,4410,5414,4427,5409,4450,5414,4468,5426,4484,5446,4494,5472,4496,5491,4486,5505,4469,5510,4448,5510,4445,5505,4426,5492,4411,5472,4402,5445,4399xe" filled="true" fillcolor="#8165a3" stroked="false">
                <v:path arrowok="t"/>
                <v:fill type="solid"/>
              </v:shape>
            </v:group>
            <v:group style="position:absolute;left:5409;top:4399;width:101;height:98" coordorigin="5409,4399" coordsize="101,98">
              <v:shape style="position:absolute;left:5409;top:4399;width:101;height:98" coordorigin="5409,4399" coordsize="101,98" path="m5510,4448l5505,4469,5491,4486,5472,4496,5446,4494,5426,4484,5414,4468,5409,4450,5414,4427,5426,4410,5445,4399,5472,4402,5492,4411,5505,4426,5510,4445,5510,4448xe" filled="false" stroked="true" strokeweight=".72pt" strokecolor="#8165a3">
                <v:path arrowok="t"/>
              </v:shape>
            </v:group>
            <v:group style="position:absolute;left:5632;top:4891;width:101;height:98" coordorigin="5632,4891" coordsize="101,98">
              <v:shape style="position:absolute;left:5632;top:4891;width:101;height:98" coordorigin="5632,4891" coordsize="101,98" path="m5668,4891l5650,4902,5637,4919,5632,4942,5637,4960,5649,4976,5669,4986,5695,4988,5715,4978,5728,4961,5733,4940,5733,4937,5728,4918,5715,4903,5695,4894,5668,4891xe" filled="true" fillcolor="#8165a3" stroked="false">
                <v:path arrowok="t"/>
                <v:fill type="solid"/>
              </v:shape>
            </v:group>
            <v:group style="position:absolute;left:5632;top:4891;width:101;height:98" coordorigin="5632,4891" coordsize="101,98">
              <v:shape style="position:absolute;left:5632;top:4891;width:101;height:98" coordorigin="5632,4891" coordsize="101,98" path="m5733,4940l5728,4961,5715,4978,5695,4988,5669,4986,5649,4976,5637,4960,5632,4942,5637,4919,5650,4902,5668,4891,5695,4894,5715,4903,5728,4918,5733,4937,5733,4940xe" filled="false" stroked="true" strokeweight=".72pt" strokecolor="#8165a3">
                <v:path arrowok="t"/>
              </v:shape>
            </v:group>
            <v:group style="position:absolute;left:5855;top:4620;width:101;height:98" coordorigin="5855,4620" coordsize="101,98">
              <v:shape style="position:absolute;left:5855;top:4620;width:101;height:98" coordorigin="5855,4620" coordsize="101,98" path="m5892,4620l5873,4630,5860,4648,5855,4670,5860,4689,5872,4705,5892,4714,5918,4717,5938,4707,5951,4690,5956,4668,5956,4665,5951,4647,5938,4632,5918,4623,5892,4620xe" filled="true" fillcolor="#8165a3" stroked="false">
                <v:path arrowok="t"/>
                <v:fill type="solid"/>
              </v:shape>
            </v:group>
            <v:group style="position:absolute;left:5855;top:4620;width:101;height:98" coordorigin="5855,4620" coordsize="101,98">
              <v:shape style="position:absolute;left:5855;top:4620;width:101;height:98" coordorigin="5855,4620" coordsize="101,98" path="m5956,4668l5951,4690,5938,4707,5918,4717,5892,4714,5872,4705,5860,4689,5855,4670,5860,4648,5873,4630,5892,4620,5918,4623,5938,4632,5951,4647,5956,4665,5956,4668xe" filled="false" stroked="true" strokeweight=".72pt" strokecolor="#8165a3">
                <v:path arrowok="t"/>
              </v:shape>
            </v:group>
            <v:group style="position:absolute;left:6078;top:5086;width:101;height:98" coordorigin="6078,5086" coordsize="101,98">
              <v:shape style="position:absolute;left:6078;top:5086;width:101;height:98" coordorigin="6078,5086" coordsize="101,98" path="m6115,5086l6096,5096,6083,5113,6078,5136,6083,5155,6096,5170,6115,5180,6142,5183,6161,5173,6174,5156,6179,5134,6179,5131,6174,5113,6162,5098,6142,5088,6115,5086xe" filled="true" fillcolor="#8165a3" stroked="false">
                <v:path arrowok="t"/>
                <v:fill type="solid"/>
              </v:shape>
            </v:group>
            <v:group style="position:absolute;left:6078;top:5086;width:101;height:98" coordorigin="6078,5086" coordsize="101,98">
              <v:shape style="position:absolute;left:6078;top:5086;width:101;height:98" coordorigin="6078,5086" coordsize="101,98" path="m6179,5134l6174,5156,6161,5173,6142,5183,6115,5180,6096,5170,6083,5155,6078,5136,6083,5113,6096,5096,6115,5086,6142,5088,6162,5098,6174,5113,6179,5131,6179,5134xe" filled="false" stroked="true" strokeweight=".72pt" strokecolor="#8165a3">
                <v:path arrowok="t"/>
              </v:shape>
            </v:group>
            <v:group style="position:absolute;left:6302;top:4966;width:101;height:98" coordorigin="6302,4966" coordsize="101,98">
              <v:shape style="position:absolute;left:6302;top:4966;width:101;height:98" coordorigin="6302,4966" coordsize="101,98" path="m6338,4966l6319,4976,6306,4993,6302,5016,6306,5035,6319,5050,6338,5060,6365,5063,6384,5053,6397,5036,6402,5014,6402,5011,6397,4993,6385,4978,6365,4968,6338,4966xe" filled="true" fillcolor="#8165a3" stroked="false">
                <v:path arrowok="t"/>
                <v:fill type="solid"/>
              </v:shape>
            </v:group>
            <v:group style="position:absolute;left:6302;top:4966;width:101;height:98" coordorigin="6302,4966" coordsize="101,98">
              <v:shape style="position:absolute;left:6302;top:4966;width:101;height:98" coordorigin="6302,4966" coordsize="101,98" path="m6402,5014l6397,5036,6384,5053,6365,5063,6338,5060,6319,5050,6306,5035,6302,5016,6306,4993,6319,4976,6338,4966,6365,4968,6385,4978,6397,4993,6402,5011,6402,5014xe" filled="false" stroked="true" strokeweight=".72pt" strokecolor="#8165a3">
                <v:path arrowok="t"/>
              </v:shape>
            </v:group>
            <v:group style="position:absolute;left:6525;top:4723;width:101;height:98" coordorigin="6525,4723" coordsize="101,98">
              <v:shape style="position:absolute;left:6525;top:4723;width:101;height:98" coordorigin="6525,4723" coordsize="101,98" path="m6561,4723l6542,4733,6530,4751,6525,4773,6530,4792,6542,4808,6562,4818,6588,4820,6607,4810,6621,4793,6626,4772,6626,4769,6621,4750,6608,4735,6588,4726,6561,4723xe" filled="true" fillcolor="#8165a3" stroked="false">
                <v:path arrowok="t"/>
                <v:fill type="solid"/>
              </v:shape>
            </v:group>
            <v:group style="position:absolute;left:6525;top:4723;width:101;height:98" coordorigin="6525,4723" coordsize="101,98">
              <v:shape style="position:absolute;left:6525;top:4723;width:101;height:98" coordorigin="6525,4723" coordsize="101,98" path="m6626,4772l6621,4793,6607,4810,6588,4820,6562,4818,6542,4808,6530,4792,6525,4773,6530,4751,6542,4733,6561,4723,6588,4726,6608,4735,6621,4750,6626,4769,6626,4772xe" filled="false" stroked="true" strokeweight=".72pt" strokecolor="#8165a3">
                <v:path arrowok="t"/>
              </v:shape>
            </v:group>
            <v:group style="position:absolute;left:6748;top:5093;width:101;height:98" coordorigin="6748,5093" coordsize="101,98">
              <v:shape style="position:absolute;left:6748;top:5093;width:101;height:98" coordorigin="6748,5093" coordsize="101,98" path="m6784,5093l6766,5103,6753,5121,6748,5143,6753,5162,6765,5177,6785,5187,6811,5190,6831,5180,6844,5163,6849,5141,6849,5138,6844,5120,6831,5105,6811,5095,6784,5093xe" filled="true" fillcolor="#8165a3" stroked="false">
                <v:path arrowok="t"/>
                <v:fill type="solid"/>
              </v:shape>
            </v:group>
            <v:group style="position:absolute;left:6748;top:5093;width:101;height:98" coordorigin="6748,5093" coordsize="101,98">
              <v:shape style="position:absolute;left:6748;top:5093;width:101;height:98" coordorigin="6748,5093" coordsize="101,98" path="m6849,5141l6844,5163,6831,5180,6811,5190,6785,5187,6765,5177,6753,5162,6748,5143,6753,5121,6766,5103,6784,5093,6811,5095,6831,5105,6844,5120,6849,5138,6849,5141xe" filled="false" stroked="true" strokeweight=".72pt" strokecolor="#8165a3">
                <v:path arrowok="t"/>
              </v:shape>
            </v:group>
            <v:group style="position:absolute;left:6974;top:4978;width:101;height:98" coordorigin="6974,4978" coordsize="101,98">
              <v:shape style="position:absolute;left:6974;top:4978;width:101;height:98" coordorigin="6974,4978" coordsize="101,98" path="m7010,4978l6991,4988,6978,5005,6974,5028,6978,5047,6991,5062,7010,5072,7037,5075,7056,5065,7069,5048,7074,5026,7074,5023,7069,5005,7057,4990,7037,4980,7010,4978xe" filled="true" fillcolor="#8165a3" stroked="false">
                <v:path arrowok="t"/>
                <v:fill type="solid"/>
              </v:shape>
            </v:group>
            <v:group style="position:absolute;left:6974;top:4978;width:101;height:98" coordorigin="6974,4978" coordsize="101,98">
              <v:shape style="position:absolute;left:6974;top:4978;width:101;height:98" coordorigin="6974,4978" coordsize="101,98" path="m7074,5026l7069,5048,7056,5065,7037,5075,7010,5072,6991,5062,6978,5047,6974,5028,6978,5005,6991,4988,7010,4978,7037,4980,7057,4990,7069,5005,7074,5023,7074,5026xe" filled="false" stroked="true" strokeweight=".72pt" strokecolor="#8165a3">
                <v:path arrowok="t"/>
              </v:shape>
            </v:group>
            <v:group style="position:absolute;left:7197;top:4788;width:101;height:98" coordorigin="7197,4788" coordsize="101,98">
              <v:shape style="position:absolute;left:7197;top:4788;width:101;height:98" coordorigin="7197,4788" coordsize="101,98" path="m7233,4788l7214,4798,7202,4816,7197,4838,7202,4857,7214,4872,7234,4882,7260,4885,7279,4875,7293,4858,7298,4836,7298,4834,7293,4815,7280,4800,7260,4791,7233,4788xe" filled="true" fillcolor="#8165a3" stroked="false">
                <v:path arrowok="t"/>
                <v:fill type="solid"/>
              </v:shape>
            </v:group>
            <v:group style="position:absolute;left:7197;top:4788;width:101;height:98" coordorigin="7197,4788" coordsize="101,98">
              <v:shape style="position:absolute;left:7197;top:4788;width:101;height:98" coordorigin="7197,4788" coordsize="101,98" path="m7298,4836l7293,4858,7279,4875,7260,4885,7234,4882,7214,4872,7202,4857,7197,4838,7202,4816,7214,4798,7233,4788,7260,4791,7280,4800,7293,4815,7298,4834,7298,4836xe" filled="false" stroked="true" strokeweight=".72pt" strokecolor="#8165a3">
                <v:path arrowok="t"/>
              </v:shape>
            </v:group>
            <v:group style="position:absolute;left:7420;top:4790;width:101;height:98" coordorigin="7420,4790" coordsize="101,98">
              <v:shape style="position:absolute;left:7420;top:4790;width:101;height:98" coordorigin="7420,4790" coordsize="101,98" path="m7456,4790l7438,4801,7425,4818,7420,4841,7425,4860,7437,4875,7457,4885,7483,4888,7503,4878,7516,4861,7521,4839,7521,4836,7516,4817,7503,4803,7483,4793,7456,4790xe" filled="true" fillcolor="#8165a3" stroked="false">
                <v:path arrowok="t"/>
                <v:fill type="solid"/>
              </v:shape>
            </v:group>
            <v:group style="position:absolute;left:7420;top:4790;width:101;height:98" coordorigin="7420,4790" coordsize="101,98">
              <v:shape style="position:absolute;left:7420;top:4790;width:101;height:98" coordorigin="7420,4790" coordsize="101,98" path="m7521,4839l7516,4861,7503,4878,7483,4888,7457,4885,7437,4875,7425,4860,7420,4841,7425,4818,7438,4801,7456,4790,7483,4793,7503,4803,7516,4817,7521,4836,7521,4839xe" filled="false" stroked="true" strokeweight=".72pt" strokecolor="#8165a3">
                <v:path arrowok="t"/>
              </v:shape>
            </v:group>
            <v:group style="position:absolute;left:7643;top:5028;width:101;height:98" coordorigin="7643,5028" coordsize="101,98">
              <v:shape style="position:absolute;left:7643;top:5028;width:101;height:98" coordorigin="7643,5028" coordsize="101,98" path="m7680,5028l7661,5038,7648,5056,7643,5078,7648,5097,7660,5112,7680,5122,7706,5125,7726,5115,7739,5098,7744,5076,7744,5074,7739,5055,7726,5040,7707,5031,7680,5028xe" filled="true" fillcolor="#8165a3" stroked="false">
                <v:path arrowok="t"/>
                <v:fill type="solid"/>
              </v:shape>
            </v:group>
            <v:group style="position:absolute;left:7643;top:5028;width:101;height:98" coordorigin="7643,5028" coordsize="101,98">
              <v:shape style="position:absolute;left:7643;top:5028;width:101;height:98" coordorigin="7643,5028" coordsize="101,98" path="m7744,5076l7739,5098,7726,5115,7706,5125,7680,5122,7660,5112,7648,5097,7643,5078,7648,5056,7661,5038,7680,5028,7707,5031,7726,5040,7739,5055,7744,5074,7744,5076xe" filled="false" stroked="true" strokeweight=".72pt" strokecolor="#8165a3">
                <v:path arrowok="t"/>
              </v:shape>
            </v:group>
            <v:group style="position:absolute;left:7866;top:4310;width:101;height:98" coordorigin="7866,4310" coordsize="101,98">
              <v:shape style="position:absolute;left:7866;top:4310;width:101;height:98" coordorigin="7866,4310" coordsize="101,98" path="m7903,4310l7884,4321,7871,4338,7866,4361,7871,4380,7884,4395,7903,4405,7930,4408,7949,4398,7962,4381,7967,4359,7967,4356,7962,4337,7950,4323,7930,4313,7903,4310xe" filled="true" fillcolor="#8165a3" stroked="false">
                <v:path arrowok="t"/>
                <v:fill type="solid"/>
              </v:shape>
            </v:group>
            <v:group style="position:absolute;left:7866;top:4310;width:101;height:98" coordorigin="7866,4310" coordsize="101,98">
              <v:shape style="position:absolute;left:7866;top:4310;width:101;height:98" coordorigin="7866,4310" coordsize="101,98" path="m7967,4359l7962,4381,7949,4398,7930,4408,7903,4405,7884,4395,7871,4380,7866,4361,7871,4338,7884,4321,7903,4310,7930,4313,7950,4323,7962,4337,7967,4356,7967,4359xe" filled="false" stroked="true" strokeweight=".72pt" strokecolor="#8165a3">
                <v:path arrowok="t"/>
              </v:shape>
            </v:group>
            <v:group style="position:absolute;left:8090;top:4330;width:101;height:98" coordorigin="8090,4330" coordsize="101,98">
              <v:shape style="position:absolute;left:8090;top:4330;width:101;height:98" coordorigin="8090,4330" coordsize="101,98" path="m8126,4330l8107,4340,8094,4357,8090,4380,8094,4399,8107,4414,8126,4424,8153,4427,8172,4417,8185,4400,8190,4378,8190,4375,8185,4357,8173,4342,8153,4332,8126,4330xe" filled="true" fillcolor="#8165a3" stroked="false">
                <v:path arrowok="t"/>
                <v:fill type="solid"/>
              </v:shape>
            </v:group>
            <v:group style="position:absolute;left:8090;top:4330;width:101;height:98" coordorigin="8090,4330" coordsize="101,98">
              <v:shape style="position:absolute;left:8090;top:4330;width:101;height:98" coordorigin="8090,4330" coordsize="101,98" path="m8190,4378l8185,4400,8172,4417,8153,4427,8126,4424,8107,4414,8094,4399,8090,4380,8094,4357,8107,4340,8126,4330,8153,4332,8173,4342,8185,4357,8190,4375,8190,4378xe" filled="false" stroked="true" strokeweight=".72pt" strokecolor="#8165a3">
                <v:path arrowok="t"/>
              </v:shape>
            </v:group>
            <v:group style="position:absolute;left:8313;top:4687;width:101;height:98" coordorigin="8313,4687" coordsize="101,98">
              <v:shape style="position:absolute;left:8313;top:4687;width:101;height:98" coordorigin="8313,4687" coordsize="101,98" path="m8349,4687l8330,4698,8318,4715,8313,4738,8318,4756,8330,4772,8350,4782,8376,4784,8395,4774,8409,4757,8414,4736,8414,4733,8409,4714,8396,4699,8376,4690,8349,4687xe" filled="true" fillcolor="#8165a3" stroked="false">
                <v:path arrowok="t"/>
                <v:fill type="solid"/>
              </v:shape>
            </v:group>
            <v:group style="position:absolute;left:8313;top:4687;width:101;height:98" coordorigin="8313,4687" coordsize="101,98">
              <v:shape style="position:absolute;left:8313;top:4687;width:101;height:98" coordorigin="8313,4687" coordsize="101,98" path="m8414,4736l8409,4757,8395,4774,8376,4784,8350,4782,8330,4772,8318,4756,8313,4738,8318,4715,8330,4698,8349,4687,8376,4690,8396,4699,8409,4714,8414,4733,8414,4736xe" filled="false" stroked="true" strokeweight=".72pt" strokecolor="#8165a3">
                <v:path arrowok="t"/>
              </v:shape>
            </v:group>
            <v:group style="position:absolute;left:8536;top:4166;width:101;height:98" coordorigin="8536,4166" coordsize="101,98">
              <v:shape style="position:absolute;left:8536;top:4166;width:101;height:98" coordorigin="8536,4166" coordsize="101,98" path="m8572,4166l8554,4177,8541,4194,8536,4217,8541,4236,8553,4251,8573,4261,8599,4264,8619,4254,8632,4237,8637,4215,8637,4212,8632,4193,8619,4179,8599,4169,8572,4166xe" filled="true" fillcolor="#8165a3" stroked="false">
                <v:path arrowok="t"/>
                <v:fill type="solid"/>
              </v:shape>
            </v:group>
            <v:group style="position:absolute;left:8536;top:4166;width:101;height:98" coordorigin="8536,4166" coordsize="101,98">
              <v:shape style="position:absolute;left:8536;top:4166;width:101;height:98" coordorigin="8536,4166" coordsize="101,98" path="m8637,4215l8632,4237,8619,4254,8599,4264,8573,4261,8553,4251,8541,4236,8536,4217,8541,4194,8554,4177,8572,4166,8599,4169,8619,4179,8632,4193,8637,4212,8637,4215xe" filled="false" stroked="true" strokeweight=".72pt" strokecolor="#8165a3">
                <v:path arrowok="t"/>
              </v:shape>
            </v:group>
            <v:group style="position:absolute;left:8762;top:3780;width:101;height:98" coordorigin="8762,3780" coordsize="101,98">
              <v:shape style="position:absolute;left:8762;top:3780;width:101;height:98" coordorigin="8762,3780" coordsize="101,98" path="m8798,3780l8779,3790,8766,3808,8762,3830,8766,3849,8779,3864,8798,3874,8825,3877,8844,3867,8857,3850,8862,3828,8862,3826,8857,3807,8845,3792,8825,3783,8798,3780xe" filled="true" fillcolor="#8165a3" stroked="false">
                <v:path arrowok="t"/>
                <v:fill type="solid"/>
              </v:shape>
            </v:group>
            <v:group style="position:absolute;left:8762;top:3780;width:101;height:98" coordorigin="8762,3780" coordsize="101,98">
              <v:shape style="position:absolute;left:8762;top:3780;width:101;height:98" coordorigin="8762,3780" coordsize="101,98" path="m8862,3828l8857,3850,8844,3867,8825,3877,8798,3874,8779,3864,8766,3849,8762,3830,8766,3808,8779,3790,8798,3780,8825,3783,8845,3792,8857,3807,8862,3826,8862,3828xe" filled="false" stroked="true" strokeweight=".72pt" strokecolor="#8165a3">
                <v:path arrowok="t"/>
              </v:shape>
            </v:group>
            <v:group style="position:absolute;left:1517;top:2368;width:8588;height:4279" coordorigin="1517,2368" coordsize="8588,4279">
              <v:shape style="position:absolute;left:1517;top:2368;width:8588;height:4279" coordorigin="1517,2368" coordsize="8588,4279" path="m1517,6646l10105,6646,10105,2368,1517,2368,1517,6646xe" filled="false" stroked="true" strokeweight="10pt" strokecolor="#c1b5a9">
                <v:path arrowok="t"/>
              </v:shape>
              <v:shape style="position:absolute;left:1704;top:2538;width:7475;height:360" type="#_x0000_t202" filled="false" stroked="false">
                <v:textbox inset="0,0,0,0">
                  <w:txbxContent>
                    <w:p>
                      <w:pPr>
                        <w:spacing w:line="164" w:lineRule="exact" w:before="0"/>
                        <w:ind w:left="0" w:right="0" w:firstLine="0"/>
                        <w:jc w:val="left"/>
                        <w:rPr>
                          <w:rFonts w:ascii="Segoe UI Semibold" w:hAnsi="Segoe UI Semibold" w:cs="Segoe UI Semibold" w:eastAsia="Segoe UI Semibold"/>
                          <w:sz w:val="16"/>
                          <w:szCs w:val="16"/>
                        </w:rPr>
                      </w:pPr>
                      <w:r>
                        <w:rPr>
                          <w:rFonts w:ascii="Segoe UI Semibold"/>
                          <w:b/>
                          <w:color w:val="666155"/>
                          <w:spacing w:val="4"/>
                          <w:sz w:val="16"/>
                        </w:rPr>
                        <w:t>GRAPH</w:t>
                      </w:r>
                      <w:r>
                        <w:rPr>
                          <w:rFonts w:ascii="Segoe UI Semibold"/>
                          <w:b/>
                          <w:color w:val="666155"/>
                          <w:spacing w:val="-3"/>
                          <w:sz w:val="16"/>
                        </w:rPr>
                        <w:t> </w:t>
                      </w:r>
                      <w:r>
                        <w:rPr>
                          <w:rFonts w:ascii="Segoe UI Semibold"/>
                          <w:b/>
                          <w:color w:val="666155"/>
                          <w:sz w:val="16"/>
                        </w:rPr>
                        <w:t>11:</w:t>
                      </w:r>
                      <w:r>
                        <w:rPr>
                          <w:rFonts w:ascii="Segoe UI Semibold"/>
                          <w:b/>
                          <w:color w:val="666155"/>
                          <w:spacing w:val="-2"/>
                          <w:sz w:val="16"/>
                        </w:rPr>
                        <w:t> </w:t>
                      </w:r>
                      <w:r>
                        <w:rPr>
                          <w:rFonts w:ascii="Segoe UI Semibold"/>
                          <w:b/>
                          <w:color w:val="666155"/>
                          <w:spacing w:val="4"/>
                          <w:sz w:val="16"/>
                        </w:rPr>
                        <w:t>DISTRIBUTION</w:t>
                      </w:r>
                      <w:r>
                        <w:rPr>
                          <w:rFonts w:ascii="Segoe UI Semibold"/>
                          <w:b/>
                          <w:color w:val="666155"/>
                          <w:spacing w:val="1"/>
                          <w:sz w:val="16"/>
                        </w:rPr>
                        <w:t> </w:t>
                      </w:r>
                      <w:r>
                        <w:rPr>
                          <w:rFonts w:ascii="Segoe UI Semibold"/>
                          <w:b/>
                          <w:color w:val="666155"/>
                          <w:spacing w:val="2"/>
                          <w:sz w:val="16"/>
                        </w:rPr>
                        <w:t>OF</w:t>
                      </w:r>
                      <w:r>
                        <w:rPr>
                          <w:rFonts w:ascii="Segoe UI Semibold"/>
                          <w:b/>
                          <w:color w:val="666155"/>
                          <w:spacing w:val="1"/>
                          <w:sz w:val="16"/>
                        </w:rPr>
                        <w:t> </w:t>
                      </w:r>
                      <w:r>
                        <w:rPr>
                          <w:rFonts w:ascii="Segoe UI Semibold"/>
                          <w:b/>
                          <w:color w:val="666155"/>
                          <w:spacing w:val="2"/>
                          <w:sz w:val="16"/>
                        </w:rPr>
                        <w:t>AVERAGE</w:t>
                      </w:r>
                      <w:r>
                        <w:rPr>
                          <w:rFonts w:ascii="Segoe UI Semibold"/>
                          <w:b/>
                          <w:color w:val="666155"/>
                          <w:sz w:val="16"/>
                        </w:rPr>
                        <w:t> </w:t>
                      </w:r>
                      <w:r>
                        <w:rPr>
                          <w:rFonts w:ascii="Segoe UI Semibold"/>
                          <w:b/>
                          <w:color w:val="666155"/>
                          <w:spacing w:val="4"/>
                          <w:sz w:val="16"/>
                        </w:rPr>
                        <w:t>BOARDING</w:t>
                      </w:r>
                      <w:r>
                        <w:rPr>
                          <w:rFonts w:ascii="Segoe UI Semibold"/>
                          <w:b/>
                          <w:color w:val="666155"/>
                          <w:spacing w:val="1"/>
                          <w:sz w:val="16"/>
                        </w:rPr>
                        <w:t> </w:t>
                      </w:r>
                      <w:r>
                        <w:rPr>
                          <w:rFonts w:ascii="Segoe UI Semibold"/>
                          <w:b/>
                          <w:color w:val="666155"/>
                          <w:spacing w:val="4"/>
                          <w:sz w:val="16"/>
                        </w:rPr>
                        <w:t>REVENUE</w:t>
                      </w:r>
                      <w:r>
                        <w:rPr>
                          <w:rFonts w:ascii="Segoe UI Semibold"/>
                          <w:b/>
                          <w:color w:val="666155"/>
                          <w:spacing w:val="1"/>
                          <w:sz w:val="16"/>
                        </w:rPr>
                        <w:t> </w:t>
                      </w:r>
                      <w:r>
                        <w:rPr>
                          <w:rFonts w:ascii="Segoe UI Semibold"/>
                          <w:b/>
                          <w:color w:val="666155"/>
                          <w:spacing w:val="3"/>
                          <w:sz w:val="16"/>
                        </w:rPr>
                        <w:t>PER</w:t>
                      </w:r>
                      <w:r>
                        <w:rPr>
                          <w:rFonts w:ascii="Segoe UI Semibold"/>
                          <w:b/>
                          <w:color w:val="666155"/>
                          <w:sz w:val="16"/>
                        </w:rPr>
                        <w:t> </w:t>
                      </w:r>
                      <w:r>
                        <w:rPr>
                          <w:rFonts w:ascii="Segoe UI Semibold"/>
                          <w:b/>
                          <w:color w:val="666155"/>
                          <w:spacing w:val="4"/>
                          <w:sz w:val="16"/>
                        </w:rPr>
                        <w:t>BOARDER</w:t>
                      </w:r>
                      <w:r>
                        <w:rPr>
                          <w:rFonts w:ascii="Segoe UI Semibold"/>
                          <w:b/>
                          <w:color w:val="666155"/>
                          <w:spacing w:val="1"/>
                          <w:sz w:val="16"/>
                        </w:rPr>
                        <w:t> </w:t>
                      </w:r>
                      <w:r>
                        <w:rPr>
                          <w:rFonts w:ascii="Segoe UI Semibold"/>
                          <w:b/>
                          <w:color w:val="666155"/>
                          <w:spacing w:val="-3"/>
                          <w:sz w:val="16"/>
                        </w:rPr>
                        <w:t>AT</w:t>
                      </w:r>
                      <w:r>
                        <w:rPr>
                          <w:rFonts w:ascii="Segoe UI Semibold"/>
                          <w:b/>
                          <w:color w:val="666155"/>
                          <w:spacing w:val="1"/>
                          <w:sz w:val="16"/>
                        </w:rPr>
                        <w:t> </w:t>
                      </w:r>
                      <w:r>
                        <w:rPr>
                          <w:rFonts w:ascii="Segoe UI Semibold"/>
                          <w:b/>
                          <w:color w:val="666155"/>
                          <w:spacing w:val="4"/>
                          <w:sz w:val="16"/>
                        </w:rPr>
                        <w:t>ABORIGINAL</w:t>
                      </w:r>
                      <w:r>
                        <w:rPr>
                          <w:rFonts w:ascii="Segoe UI Semibold"/>
                          <w:b/>
                          <w:color w:val="666155"/>
                          <w:spacing w:val="1"/>
                          <w:sz w:val="16"/>
                        </w:rPr>
                        <w:t> </w:t>
                      </w:r>
                      <w:r>
                        <w:rPr>
                          <w:rFonts w:ascii="Segoe UI Semibold"/>
                          <w:b/>
                          <w:color w:val="666155"/>
                          <w:spacing w:val="5"/>
                          <w:sz w:val="16"/>
                        </w:rPr>
                        <w:t>AND</w:t>
                      </w:r>
                      <w:r>
                        <w:rPr>
                          <w:rFonts w:ascii="Segoe UI Semibold"/>
                          <w:sz w:val="16"/>
                        </w:rPr>
                      </w:r>
                    </w:p>
                    <w:p>
                      <w:pPr>
                        <w:spacing w:line="196" w:lineRule="exact" w:before="0"/>
                        <w:ind w:left="0" w:right="0" w:firstLine="0"/>
                        <w:jc w:val="left"/>
                        <w:rPr>
                          <w:rFonts w:ascii="Segoe UI Semibold" w:hAnsi="Segoe UI Semibold" w:cs="Segoe UI Semibold" w:eastAsia="Segoe UI Semibold"/>
                          <w:sz w:val="16"/>
                          <w:szCs w:val="16"/>
                        </w:rPr>
                      </w:pPr>
                      <w:r>
                        <w:rPr>
                          <w:rFonts w:ascii="Segoe UI Semibold"/>
                          <w:b/>
                          <w:color w:val="666155"/>
                          <w:spacing w:val="3"/>
                          <w:sz w:val="16"/>
                        </w:rPr>
                        <w:t>TORRES</w:t>
                      </w:r>
                      <w:r>
                        <w:rPr>
                          <w:rFonts w:ascii="Segoe UI Semibold"/>
                          <w:b/>
                          <w:color w:val="666155"/>
                          <w:spacing w:val="-1"/>
                          <w:sz w:val="16"/>
                        </w:rPr>
                        <w:t> </w:t>
                      </w:r>
                      <w:r>
                        <w:rPr>
                          <w:rFonts w:ascii="Segoe UI Semibold"/>
                          <w:b/>
                          <w:color w:val="666155"/>
                          <w:spacing w:val="4"/>
                          <w:sz w:val="16"/>
                        </w:rPr>
                        <w:t>STRAIT</w:t>
                      </w:r>
                      <w:r>
                        <w:rPr>
                          <w:rFonts w:ascii="Segoe UI Semibold"/>
                          <w:b/>
                          <w:color w:val="666155"/>
                          <w:sz w:val="16"/>
                        </w:rPr>
                        <w:t> </w:t>
                      </w:r>
                      <w:r>
                        <w:rPr>
                          <w:rFonts w:ascii="Segoe UI Semibold"/>
                          <w:b/>
                          <w:color w:val="666155"/>
                          <w:spacing w:val="4"/>
                          <w:sz w:val="16"/>
                        </w:rPr>
                        <w:t>ISLANDER</w:t>
                      </w:r>
                      <w:r>
                        <w:rPr>
                          <w:rFonts w:ascii="Segoe UI Semibold"/>
                          <w:b/>
                          <w:color w:val="666155"/>
                          <w:sz w:val="16"/>
                        </w:rPr>
                        <w:t> </w:t>
                      </w:r>
                      <w:r>
                        <w:rPr>
                          <w:rFonts w:ascii="Segoe UI Semibold"/>
                          <w:b/>
                          <w:color w:val="666155"/>
                          <w:spacing w:val="4"/>
                          <w:sz w:val="16"/>
                        </w:rPr>
                        <w:t>BOARDING</w:t>
                      </w:r>
                      <w:r>
                        <w:rPr>
                          <w:rFonts w:ascii="Segoe UI Semibold"/>
                          <w:b/>
                          <w:color w:val="666155"/>
                          <w:spacing w:val="-1"/>
                          <w:sz w:val="16"/>
                        </w:rPr>
                        <w:t> </w:t>
                      </w:r>
                      <w:r>
                        <w:rPr>
                          <w:rFonts w:ascii="Segoe UI Semibold"/>
                          <w:b/>
                          <w:color w:val="666155"/>
                          <w:spacing w:val="4"/>
                          <w:sz w:val="16"/>
                        </w:rPr>
                        <w:t>PROVIDERS,</w:t>
                      </w:r>
                      <w:r>
                        <w:rPr>
                          <w:rFonts w:ascii="Segoe UI Semibold"/>
                          <w:b/>
                          <w:color w:val="666155"/>
                          <w:spacing w:val="-5"/>
                          <w:sz w:val="16"/>
                        </w:rPr>
                        <w:t> </w:t>
                      </w:r>
                      <w:r>
                        <w:rPr>
                          <w:rFonts w:ascii="Segoe UI Semibold"/>
                          <w:b/>
                          <w:color w:val="666155"/>
                          <w:sz w:val="16"/>
                        </w:rPr>
                        <w:t>2017</w:t>
                      </w:r>
                      <w:r>
                        <w:rPr>
                          <w:rFonts w:ascii="Segoe UI Semibold"/>
                          <w:sz w:val="16"/>
                        </w:rPr>
                      </w:r>
                    </w:p>
                  </w:txbxContent>
                </v:textbox>
                <w10:wrap type="none"/>
              </v:shape>
              <v:shape style="position:absolute;left:2145;top:3466;width:467;height:2244" type="#_x0000_t202" filled="false" stroked="false">
                <v:textbox inset="0,0,0,0">
                  <w:txbxContent>
                    <w:p>
                      <w:pPr>
                        <w:spacing w:line="162" w:lineRule="exact" w:before="0"/>
                        <w:ind w:left="0" w:right="0" w:firstLine="0"/>
                        <w:jc w:val="left"/>
                        <w:rPr>
                          <w:rFonts w:ascii="Segoe UI" w:hAnsi="Segoe UI" w:cs="Segoe UI" w:eastAsia="Segoe UI"/>
                          <w:sz w:val="16"/>
                          <w:szCs w:val="16"/>
                        </w:rPr>
                      </w:pPr>
                      <w:r>
                        <w:rPr>
                          <w:rFonts w:ascii="Segoe UI"/>
                          <w:color w:val="77787B"/>
                          <w:spacing w:val="-1"/>
                          <w:sz w:val="16"/>
                        </w:rPr>
                        <w:t>50,000</w:t>
                      </w:r>
                      <w:r>
                        <w:rPr>
                          <w:rFonts w:ascii="Segoe UI"/>
                          <w:sz w:val="16"/>
                        </w:rPr>
                      </w:r>
                    </w:p>
                    <w:p>
                      <w:pPr>
                        <w:spacing w:line="240" w:lineRule="auto" w:before="8"/>
                        <w:rPr>
                          <w:rFonts w:ascii="Times New Roman" w:hAnsi="Times New Roman" w:cs="Times New Roman" w:eastAsia="Times New Roman"/>
                          <w:sz w:val="17"/>
                          <w:szCs w:val="17"/>
                        </w:rPr>
                      </w:pPr>
                    </w:p>
                    <w:p>
                      <w:pPr>
                        <w:spacing w:before="0"/>
                        <w:ind w:left="0" w:right="0" w:firstLine="0"/>
                        <w:jc w:val="left"/>
                        <w:rPr>
                          <w:rFonts w:ascii="Segoe UI" w:hAnsi="Segoe UI" w:cs="Segoe UI" w:eastAsia="Segoe UI"/>
                          <w:sz w:val="16"/>
                          <w:szCs w:val="16"/>
                        </w:rPr>
                      </w:pPr>
                      <w:r>
                        <w:rPr>
                          <w:rFonts w:ascii="Segoe UI"/>
                          <w:color w:val="77787B"/>
                          <w:spacing w:val="-1"/>
                          <w:sz w:val="16"/>
                        </w:rPr>
                        <w:t>40,000</w:t>
                      </w:r>
                      <w:r>
                        <w:rPr>
                          <w:rFonts w:ascii="Segoe UI"/>
                          <w:sz w:val="16"/>
                        </w:rPr>
                      </w:r>
                    </w:p>
                    <w:p>
                      <w:pPr>
                        <w:spacing w:line="240" w:lineRule="auto" w:before="8"/>
                        <w:rPr>
                          <w:rFonts w:ascii="Times New Roman" w:hAnsi="Times New Roman" w:cs="Times New Roman" w:eastAsia="Times New Roman"/>
                          <w:sz w:val="17"/>
                          <w:szCs w:val="17"/>
                        </w:rPr>
                      </w:pPr>
                    </w:p>
                    <w:p>
                      <w:pPr>
                        <w:spacing w:before="0"/>
                        <w:ind w:left="0" w:right="0" w:firstLine="0"/>
                        <w:jc w:val="left"/>
                        <w:rPr>
                          <w:rFonts w:ascii="Segoe UI" w:hAnsi="Segoe UI" w:cs="Segoe UI" w:eastAsia="Segoe UI"/>
                          <w:sz w:val="16"/>
                          <w:szCs w:val="16"/>
                        </w:rPr>
                      </w:pPr>
                      <w:r>
                        <w:rPr>
                          <w:rFonts w:ascii="Segoe UI"/>
                          <w:color w:val="77787B"/>
                          <w:spacing w:val="-1"/>
                          <w:sz w:val="16"/>
                        </w:rPr>
                        <w:t>30,000</w:t>
                      </w:r>
                      <w:r>
                        <w:rPr>
                          <w:rFonts w:ascii="Segoe UI"/>
                          <w:sz w:val="16"/>
                        </w:rPr>
                      </w:r>
                    </w:p>
                    <w:p>
                      <w:pPr>
                        <w:spacing w:line="240" w:lineRule="auto" w:before="8"/>
                        <w:rPr>
                          <w:rFonts w:ascii="Times New Roman" w:hAnsi="Times New Roman" w:cs="Times New Roman" w:eastAsia="Times New Roman"/>
                          <w:sz w:val="17"/>
                          <w:szCs w:val="17"/>
                        </w:rPr>
                      </w:pPr>
                    </w:p>
                    <w:p>
                      <w:pPr>
                        <w:spacing w:before="0"/>
                        <w:ind w:left="0" w:right="0" w:firstLine="0"/>
                        <w:jc w:val="left"/>
                        <w:rPr>
                          <w:rFonts w:ascii="Segoe UI" w:hAnsi="Segoe UI" w:cs="Segoe UI" w:eastAsia="Segoe UI"/>
                          <w:sz w:val="16"/>
                          <w:szCs w:val="16"/>
                        </w:rPr>
                      </w:pPr>
                      <w:r>
                        <w:rPr>
                          <w:rFonts w:ascii="Segoe UI"/>
                          <w:color w:val="77787B"/>
                          <w:spacing w:val="-1"/>
                          <w:sz w:val="16"/>
                        </w:rPr>
                        <w:t>20,000</w:t>
                      </w:r>
                      <w:r>
                        <w:rPr>
                          <w:rFonts w:ascii="Segoe UI"/>
                          <w:sz w:val="16"/>
                        </w:rPr>
                      </w:r>
                    </w:p>
                    <w:p>
                      <w:pPr>
                        <w:spacing w:line="240" w:lineRule="auto" w:before="8"/>
                        <w:rPr>
                          <w:rFonts w:ascii="Times New Roman" w:hAnsi="Times New Roman" w:cs="Times New Roman" w:eastAsia="Times New Roman"/>
                          <w:sz w:val="17"/>
                          <w:szCs w:val="17"/>
                        </w:rPr>
                      </w:pPr>
                    </w:p>
                    <w:p>
                      <w:pPr>
                        <w:spacing w:before="0"/>
                        <w:ind w:left="0" w:right="0" w:firstLine="0"/>
                        <w:jc w:val="left"/>
                        <w:rPr>
                          <w:rFonts w:ascii="Segoe UI" w:hAnsi="Segoe UI" w:cs="Segoe UI" w:eastAsia="Segoe UI"/>
                          <w:sz w:val="16"/>
                          <w:szCs w:val="16"/>
                        </w:rPr>
                      </w:pPr>
                      <w:r>
                        <w:rPr>
                          <w:rFonts w:ascii="Segoe UI"/>
                          <w:color w:val="77787B"/>
                          <w:spacing w:val="-1"/>
                          <w:sz w:val="16"/>
                        </w:rPr>
                        <w:t>10,000</w:t>
                      </w:r>
                      <w:r>
                        <w:rPr>
                          <w:rFonts w:ascii="Segoe UI"/>
                          <w:sz w:val="16"/>
                        </w:rPr>
                      </w:r>
                    </w:p>
                    <w:p>
                      <w:pPr>
                        <w:spacing w:line="240" w:lineRule="auto" w:before="8"/>
                        <w:rPr>
                          <w:rFonts w:ascii="Times New Roman" w:hAnsi="Times New Roman" w:cs="Times New Roman" w:eastAsia="Times New Roman"/>
                          <w:sz w:val="17"/>
                          <w:szCs w:val="17"/>
                        </w:rPr>
                      </w:pPr>
                    </w:p>
                    <w:p>
                      <w:pPr>
                        <w:spacing w:line="211" w:lineRule="exact" w:before="0"/>
                        <w:ind w:left="0" w:right="0" w:firstLine="0"/>
                        <w:jc w:val="right"/>
                        <w:rPr>
                          <w:rFonts w:ascii="Segoe UI" w:hAnsi="Segoe UI" w:cs="Segoe UI" w:eastAsia="Segoe UI"/>
                          <w:sz w:val="16"/>
                          <w:szCs w:val="16"/>
                        </w:rPr>
                      </w:pPr>
                      <w:r>
                        <w:rPr>
                          <w:rFonts w:ascii="Segoe UI"/>
                          <w:color w:val="77787B"/>
                          <w:w w:val="95"/>
                          <w:sz w:val="16"/>
                        </w:rPr>
                        <w:t>-</w:t>
                      </w:r>
                      <w:r>
                        <w:rPr>
                          <w:rFonts w:ascii="Segoe UI"/>
                          <w:sz w:val="16"/>
                        </w:rPr>
                      </w:r>
                    </w:p>
                  </w:txbxContent>
                </v:textbox>
                <w10:wrap type="none"/>
              </v:shape>
              <v:shape style="position:absolute;left:2732;top:5784;width:87;height:161" type="#_x0000_t202" filled="false" stroked="false">
                <v:textbox inset="0,0,0,0">
                  <w:txbxContent>
                    <w:p>
                      <w:pPr>
                        <w:spacing w:line="161" w:lineRule="exact" w:before="0"/>
                        <w:ind w:left="0" w:right="0" w:firstLine="0"/>
                        <w:jc w:val="left"/>
                        <w:rPr>
                          <w:rFonts w:ascii="Segoe UI" w:hAnsi="Segoe UI" w:cs="Segoe UI" w:eastAsia="Segoe UI"/>
                          <w:sz w:val="16"/>
                          <w:szCs w:val="16"/>
                        </w:rPr>
                      </w:pPr>
                      <w:r>
                        <w:rPr>
                          <w:rFonts w:ascii="Segoe UI"/>
                          <w:color w:val="77787B"/>
                          <w:sz w:val="16"/>
                        </w:rPr>
                        <w:t>0</w:t>
                      </w:r>
                      <w:r>
                        <w:rPr>
                          <w:rFonts w:ascii="Segoe UI"/>
                          <w:sz w:val="16"/>
                        </w:rPr>
                      </w:r>
                    </w:p>
                  </w:txbxContent>
                </v:textbox>
                <w10:wrap type="none"/>
              </v:shape>
              <v:shape style="position:absolute;left:3850;top:5784;width:87;height:161" type="#_x0000_t202" filled="false" stroked="false">
                <v:textbox inset="0,0,0,0">
                  <w:txbxContent>
                    <w:p>
                      <w:pPr>
                        <w:spacing w:line="161" w:lineRule="exact" w:before="0"/>
                        <w:ind w:left="0" w:right="0" w:firstLine="0"/>
                        <w:jc w:val="left"/>
                        <w:rPr>
                          <w:rFonts w:ascii="Segoe UI" w:hAnsi="Segoe UI" w:cs="Segoe UI" w:eastAsia="Segoe UI"/>
                          <w:sz w:val="16"/>
                          <w:szCs w:val="16"/>
                        </w:rPr>
                      </w:pPr>
                      <w:r>
                        <w:rPr>
                          <w:rFonts w:ascii="Segoe UI"/>
                          <w:color w:val="77787B"/>
                          <w:sz w:val="16"/>
                        </w:rPr>
                        <w:t>5</w:t>
                      </w:r>
                      <w:r>
                        <w:rPr>
                          <w:rFonts w:ascii="Segoe UI"/>
                          <w:sz w:val="16"/>
                        </w:rPr>
                      </w:r>
                    </w:p>
                  </w:txbxContent>
                </v:textbox>
                <w10:wrap type="none"/>
              </v:shape>
              <v:shape style="position:absolute;left:4924;top:5784;width:173;height:161" type="#_x0000_t202" filled="false" stroked="false">
                <v:textbox inset="0,0,0,0">
                  <w:txbxContent>
                    <w:p>
                      <w:pPr>
                        <w:spacing w:line="161" w:lineRule="exact" w:before="0"/>
                        <w:ind w:left="0" w:right="0" w:firstLine="0"/>
                        <w:jc w:val="left"/>
                        <w:rPr>
                          <w:rFonts w:ascii="Segoe UI" w:hAnsi="Segoe UI" w:cs="Segoe UI" w:eastAsia="Segoe UI"/>
                          <w:sz w:val="16"/>
                          <w:szCs w:val="16"/>
                        </w:rPr>
                      </w:pPr>
                      <w:r>
                        <w:rPr>
                          <w:rFonts w:ascii="Segoe UI"/>
                          <w:color w:val="77787B"/>
                          <w:spacing w:val="-1"/>
                          <w:sz w:val="16"/>
                        </w:rPr>
                        <w:t>10</w:t>
                      </w:r>
                      <w:r>
                        <w:rPr>
                          <w:rFonts w:ascii="Segoe UI"/>
                          <w:sz w:val="16"/>
                        </w:rPr>
                      </w:r>
                    </w:p>
                  </w:txbxContent>
                </v:textbox>
                <w10:wrap type="none"/>
              </v:shape>
              <v:shape style="position:absolute;left:6042;top:5784;width:173;height:161" type="#_x0000_t202" filled="false" stroked="false">
                <v:textbox inset="0,0,0,0">
                  <w:txbxContent>
                    <w:p>
                      <w:pPr>
                        <w:spacing w:line="161" w:lineRule="exact" w:before="0"/>
                        <w:ind w:left="0" w:right="0" w:firstLine="0"/>
                        <w:jc w:val="left"/>
                        <w:rPr>
                          <w:rFonts w:ascii="Segoe UI" w:hAnsi="Segoe UI" w:cs="Segoe UI" w:eastAsia="Segoe UI"/>
                          <w:sz w:val="16"/>
                          <w:szCs w:val="16"/>
                        </w:rPr>
                      </w:pPr>
                      <w:r>
                        <w:rPr>
                          <w:rFonts w:ascii="Segoe UI"/>
                          <w:color w:val="77787B"/>
                          <w:spacing w:val="-1"/>
                          <w:sz w:val="16"/>
                        </w:rPr>
                        <w:t>15</w:t>
                      </w:r>
                      <w:r>
                        <w:rPr>
                          <w:rFonts w:ascii="Segoe UI"/>
                          <w:sz w:val="16"/>
                        </w:rPr>
                      </w:r>
                    </w:p>
                  </w:txbxContent>
                </v:textbox>
                <w10:wrap type="none"/>
              </v:shape>
              <v:shape style="position:absolute;left:7159;top:5784;width:173;height:161" type="#_x0000_t202" filled="false" stroked="false">
                <v:textbox inset="0,0,0,0">
                  <w:txbxContent>
                    <w:p>
                      <w:pPr>
                        <w:spacing w:line="161" w:lineRule="exact" w:before="0"/>
                        <w:ind w:left="0" w:right="0" w:firstLine="0"/>
                        <w:jc w:val="left"/>
                        <w:rPr>
                          <w:rFonts w:ascii="Segoe UI" w:hAnsi="Segoe UI" w:cs="Segoe UI" w:eastAsia="Segoe UI"/>
                          <w:sz w:val="16"/>
                          <w:szCs w:val="16"/>
                        </w:rPr>
                      </w:pPr>
                      <w:r>
                        <w:rPr>
                          <w:rFonts w:ascii="Segoe UI"/>
                          <w:color w:val="77787B"/>
                          <w:spacing w:val="-1"/>
                          <w:sz w:val="16"/>
                        </w:rPr>
                        <w:t>20</w:t>
                      </w:r>
                      <w:r>
                        <w:rPr>
                          <w:rFonts w:ascii="Segoe UI"/>
                          <w:sz w:val="16"/>
                        </w:rPr>
                      </w:r>
                    </w:p>
                  </w:txbxContent>
                </v:textbox>
                <w10:wrap type="none"/>
              </v:shape>
              <v:shape style="position:absolute;left:8277;top:5784;width:173;height:161" type="#_x0000_t202" filled="false" stroked="false">
                <v:textbox inset="0,0,0,0">
                  <w:txbxContent>
                    <w:p>
                      <w:pPr>
                        <w:spacing w:line="161" w:lineRule="exact" w:before="0"/>
                        <w:ind w:left="0" w:right="0" w:firstLine="0"/>
                        <w:jc w:val="left"/>
                        <w:rPr>
                          <w:rFonts w:ascii="Segoe UI" w:hAnsi="Segoe UI" w:cs="Segoe UI" w:eastAsia="Segoe UI"/>
                          <w:sz w:val="16"/>
                          <w:szCs w:val="16"/>
                        </w:rPr>
                      </w:pPr>
                      <w:r>
                        <w:rPr>
                          <w:rFonts w:ascii="Segoe UI"/>
                          <w:color w:val="77787B"/>
                          <w:spacing w:val="-1"/>
                          <w:sz w:val="16"/>
                        </w:rPr>
                        <w:t>25</w:t>
                      </w:r>
                      <w:r>
                        <w:rPr>
                          <w:rFonts w:ascii="Segoe UI"/>
                          <w:sz w:val="16"/>
                        </w:rPr>
                      </w:r>
                    </w:p>
                  </w:txbxContent>
                </v:textbox>
                <w10:wrap type="none"/>
              </v:shape>
              <v:shape style="position:absolute;left:9394;top:5784;width:173;height:161" type="#_x0000_t202" filled="false" stroked="false">
                <v:textbox inset="0,0,0,0">
                  <w:txbxContent>
                    <w:p>
                      <w:pPr>
                        <w:spacing w:line="161" w:lineRule="exact" w:before="0"/>
                        <w:ind w:left="0" w:right="0" w:firstLine="0"/>
                        <w:jc w:val="left"/>
                        <w:rPr>
                          <w:rFonts w:ascii="Segoe UI" w:hAnsi="Segoe UI" w:cs="Segoe UI" w:eastAsia="Segoe UI"/>
                          <w:sz w:val="16"/>
                          <w:szCs w:val="16"/>
                        </w:rPr>
                      </w:pPr>
                      <w:r>
                        <w:rPr>
                          <w:rFonts w:ascii="Segoe UI"/>
                          <w:color w:val="77787B"/>
                          <w:spacing w:val="-1"/>
                          <w:sz w:val="16"/>
                        </w:rPr>
                        <w:t>30</w:t>
                      </w:r>
                      <w:r>
                        <w:rPr>
                          <w:rFonts w:ascii="Segoe UI"/>
                          <w:sz w:val="16"/>
                        </w:rPr>
                      </w:r>
                    </w:p>
                  </w:txbxContent>
                </v:textbox>
                <w10:wrap type="none"/>
              </v:shape>
              <v:shape style="position:absolute;left:4167;top:6102;width:3926;height:161" type="#_x0000_t202" filled="false" stroked="false">
                <v:textbox inset="0,0,0,0">
                  <w:txbxContent>
                    <w:p>
                      <w:pPr>
                        <w:spacing w:line="161" w:lineRule="exact" w:before="0"/>
                        <w:ind w:left="0" w:right="0" w:firstLine="0"/>
                        <w:jc w:val="left"/>
                        <w:rPr>
                          <w:rFonts w:ascii="Segoe UI" w:hAnsi="Segoe UI" w:cs="Segoe UI" w:eastAsia="Segoe UI"/>
                          <w:sz w:val="16"/>
                          <w:szCs w:val="16"/>
                        </w:rPr>
                      </w:pPr>
                      <w:r>
                        <w:rPr>
                          <w:rFonts w:ascii="Segoe UI"/>
                          <w:color w:val="77787B"/>
                          <w:spacing w:val="-1"/>
                          <w:sz w:val="16"/>
                        </w:rPr>
                        <w:t>Aboriginal</w:t>
                      </w:r>
                      <w:r>
                        <w:rPr>
                          <w:rFonts w:ascii="Segoe UI"/>
                          <w:color w:val="77787B"/>
                          <w:spacing w:val="1"/>
                          <w:sz w:val="16"/>
                        </w:rPr>
                        <w:t> </w:t>
                      </w:r>
                      <w:r>
                        <w:rPr>
                          <w:rFonts w:ascii="Segoe UI"/>
                          <w:color w:val="77787B"/>
                          <w:spacing w:val="-1"/>
                          <w:sz w:val="16"/>
                        </w:rPr>
                        <w:t>and</w:t>
                      </w:r>
                      <w:r>
                        <w:rPr>
                          <w:rFonts w:ascii="Segoe UI"/>
                          <w:color w:val="77787B"/>
                          <w:spacing w:val="-2"/>
                          <w:sz w:val="16"/>
                        </w:rPr>
                        <w:t> </w:t>
                      </w:r>
                      <w:r>
                        <w:rPr>
                          <w:rFonts w:ascii="Segoe UI"/>
                          <w:color w:val="77787B"/>
                          <w:spacing w:val="-1"/>
                          <w:sz w:val="16"/>
                        </w:rPr>
                        <w:t>Torres</w:t>
                      </w:r>
                      <w:r>
                        <w:rPr>
                          <w:rFonts w:ascii="Segoe UI"/>
                          <w:color w:val="77787B"/>
                          <w:spacing w:val="2"/>
                          <w:sz w:val="16"/>
                        </w:rPr>
                        <w:t> </w:t>
                      </w:r>
                      <w:r>
                        <w:rPr>
                          <w:rFonts w:ascii="Segoe UI"/>
                          <w:color w:val="77787B"/>
                          <w:sz w:val="16"/>
                        </w:rPr>
                        <w:t>Strait</w:t>
                      </w:r>
                      <w:r>
                        <w:rPr>
                          <w:rFonts w:ascii="Segoe UI"/>
                          <w:color w:val="77787B"/>
                          <w:spacing w:val="-3"/>
                          <w:sz w:val="16"/>
                        </w:rPr>
                        <w:t> </w:t>
                      </w:r>
                      <w:r>
                        <w:rPr>
                          <w:rFonts w:ascii="Segoe UI"/>
                          <w:color w:val="77787B"/>
                          <w:spacing w:val="-1"/>
                          <w:sz w:val="16"/>
                        </w:rPr>
                        <w:t>Islander boarding </w:t>
                      </w:r>
                      <w:r>
                        <w:rPr>
                          <w:rFonts w:ascii="Segoe UI"/>
                          <w:color w:val="77787B"/>
                          <w:spacing w:val="-2"/>
                          <w:sz w:val="16"/>
                        </w:rPr>
                        <w:t>providers</w:t>
                      </w:r>
                      <w:r>
                        <w:rPr>
                          <w:rFonts w:ascii="Segoe UI"/>
                          <w:sz w:val="16"/>
                        </w:rPr>
                      </w:r>
                    </w:p>
                  </w:txbxContent>
                </v:textbox>
                <w10:wrap type="none"/>
              </v:shape>
            </v:group>
            <w10:wrap type="none"/>
          </v:group>
        </w:pict>
      </w:r>
      <w:r>
        <w:rPr/>
        <w:pict>
          <v:group style="position:absolute;margin-left:70.865997pt;margin-top:370.394012pt;width:439.4pt;height:219.7pt;mso-position-horizontal-relative:page;mso-position-vertical-relative:page;z-index:5416" coordorigin="1417,7408" coordsize="8788,4394">
            <v:group style="position:absolute;left:2923;top:10463;width:6616;height:2" coordorigin="2923,10463" coordsize="6616,2">
              <v:shape style="position:absolute;left:2923;top:10463;width:6616;height:2" coordorigin="2923,10463" coordsize="6616,0" path="m2923,10463l9539,10463e" filled="false" stroked="true" strokeweight=".75pt" strokecolor="#dcddde">
                <v:path arrowok="t"/>
              </v:shape>
            </v:group>
            <v:group style="position:absolute;left:2923;top:10220;width:6616;height:2" coordorigin="2923,10220" coordsize="6616,2">
              <v:shape style="position:absolute;left:2923;top:10220;width:6616;height:2" coordorigin="2923,10220" coordsize="6616,0" path="m2923,10220l9539,10220e" filled="false" stroked="true" strokeweight=".75pt" strokecolor="#dcddde">
                <v:path arrowok="t"/>
              </v:shape>
            </v:group>
            <v:group style="position:absolute;left:2923;top:9978;width:6616;height:2" coordorigin="2923,9978" coordsize="6616,2">
              <v:shape style="position:absolute;left:2923;top:9978;width:6616;height:2" coordorigin="2923,9978" coordsize="6616,0" path="m2923,9978l9539,9978e" filled="false" stroked="true" strokeweight=".75pt" strokecolor="#dcddde">
                <v:path arrowok="t"/>
              </v:shape>
            </v:group>
            <v:group style="position:absolute;left:2923;top:9735;width:6616;height:2" coordorigin="2923,9735" coordsize="6616,2">
              <v:shape style="position:absolute;left:2923;top:9735;width:6616;height:2" coordorigin="2923,9735" coordsize="6616,0" path="m2923,9735l9539,9735e" filled="false" stroked="true" strokeweight=".75pt" strokecolor="#dcddde">
                <v:path arrowok="t"/>
              </v:shape>
            </v:group>
            <v:group style="position:absolute;left:2923;top:9493;width:6616;height:2" coordorigin="2923,9493" coordsize="6616,2">
              <v:shape style="position:absolute;left:2923;top:9493;width:6616;height:2" coordorigin="2923,9493" coordsize="6616,0" path="m2923,9493l9539,9493e" filled="false" stroked="true" strokeweight=".75pt" strokecolor="#dcddde">
                <v:path arrowok="t"/>
              </v:shape>
            </v:group>
            <v:group style="position:absolute;left:2923;top:9251;width:6616;height:2" coordorigin="2923,9251" coordsize="6616,2">
              <v:shape style="position:absolute;left:2923;top:9251;width:6616;height:2" coordorigin="2923,9251" coordsize="6616,0" path="m2923,9251l9539,9251e" filled="false" stroked="true" strokeweight=".75pt" strokecolor="#dcddde">
                <v:path arrowok="t"/>
              </v:shape>
            </v:group>
            <v:group style="position:absolute;left:2923;top:9006;width:6616;height:2" coordorigin="2923,9006" coordsize="6616,2">
              <v:shape style="position:absolute;left:2923;top:9006;width:6616;height:2" coordorigin="2923,9006" coordsize="6616,0" path="m2923,9006l9539,9006e" filled="false" stroked="true" strokeweight=".75pt" strokecolor="#dcddde">
                <v:path arrowok="t"/>
              </v:shape>
            </v:group>
            <v:group style="position:absolute;left:2923;top:8764;width:6616;height:2" coordorigin="2923,8764" coordsize="6616,2">
              <v:shape style="position:absolute;left:2923;top:8764;width:6616;height:2" coordorigin="2923,8764" coordsize="6616,0" path="m2923,8764l9539,8764e" filled="false" stroked="true" strokeweight=".75pt" strokecolor="#dcddde">
                <v:path arrowok="t"/>
              </v:shape>
            </v:group>
            <v:group style="position:absolute;left:4026;top:8764;width:2;height:1943" coordorigin="4026,8764" coordsize="2,1943">
              <v:shape style="position:absolute;left:4026;top:8764;width:2;height:1943" coordorigin="4026,8764" coordsize="0,1943" path="m4026,8764l4026,10706e" filled="false" stroked="true" strokeweight=".75pt" strokecolor="#dcddde">
                <v:path arrowok="t"/>
              </v:shape>
            </v:group>
            <v:group style="position:absolute;left:5127;top:8764;width:2;height:1943" coordorigin="5127,8764" coordsize="2,1943">
              <v:shape style="position:absolute;left:5127;top:8764;width:2;height:1943" coordorigin="5127,8764" coordsize="0,1943" path="m5127,8764l5127,10706e" filled="false" stroked="true" strokeweight=".75pt" strokecolor="#dcddde">
                <v:path arrowok="t"/>
              </v:shape>
            </v:group>
            <v:group style="position:absolute;left:6231;top:8764;width:2;height:1943" coordorigin="6231,8764" coordsize="2,1943">
              <v:shape style="position:absolute;left:6231;top:8764;width:2;height:1943" coordorigin="6231,8764" coordsize="0,1943" path="m6231,8764l6231,10706e" filled="false" stroked="true" strokeweight=".75pt" strokecolor="#dcddde">
                <v:path arrowok="t"/>
              </v:shape>
            </v:group>
            <v:group style="position:absolute;left:7333;top:8764;width:2;height:1943" coordorigin="7333,8764" coordsize="2,1943">
              <v:shape style="position:absolute;left:7333;top:8764;width:2;height:1943" coordorigin="7333,8764" coordsize="0,1943" path="m7333,8764l7333,10706e" filled="false" stroked="true" strokeweight=".75pt" strokecolor="#dcddde">
                <v:path arrowok="t"/>
              </v:shape>
            </v:group>
            <v:group style="position:absolute;left:8437;top:8764;width:2;height:1943" coordorigin="8437,8764" coordsize="2,1943">
              <v:shape style="position:absolute;left:8437;top:8764;width:2;height:1943" coordorigin="8437,8764" coordsize="0,1943" path="m8437,8764l8437,10706e" filled="false" stroked="true" strokeweight=".75pt" strokecolor="#dcddde">
                <v:path arrowok="t"/>
              </v:shape>
            </v:group>
            <v:group style="position:absolute;left:9539;top:8764;width:2;height:1943" coordorigin="9539,8764" coordsize="2,1943">
              <v:shape style="position:absolute;left:9539;top:8764;width:2;height:1943" coordorigin="9539,8764" coordsize="0,1943" path="m9539,8764l9539,10706e" filled="false" stroked="true" strokeweight=".75pt" strokecolor="#dcddde">
                <v:path arrowok="t"/>
              </v:shape>
            </v:group>
            <v:group style="position:absolute;left:2923;top:8764;width:2;height:1943" coordorigin="2923,8764" coordsize="2,1943">
              <v:shape style="position:absolute;left:2923;top:8764;width:2;height:1943" coordorigin="2923,8764" coordsize="0,1943" path="m2923,10706l2923,8764e" filled="false" stroked="true" strokeweight=".75pt" strokecolor="#c6c8ca">
                <v:path arrowok="t"/>
              </v:shape>
            </v:group>
            <v:group style="position:absolute;left:2923;top:10706;width:6616;height:2" coordorigin="2923,10706" coordsize="6616,2">
              <v:shape style="position:absolute;left:2923;top:10706;width:6616;height:2" coordorigin="2923,10706" coordsize="6616,0" path="m2923,10706l9539,10706e" filled="false" stroked="true" strokeweight=".75pt" strokecolor="#c6c8ca">
                <v:path arrowok="t"/>
              </v:shape>
            </v:group>
            <v:group style="position:absolute;left:3092;top:10011;width:101;height:98" coordorigin="3092,10011" coordsize="101,98">
              <v:shape style="position:absolute;left:3092;top:10011;width:101;height:98" coordorigin="3092,10011" coordsize="101,98" path="m3128,10011l3110,10021,3097,10039,3092,10061,3097,10080,3109,10095,3129,10105,3155,10108,3175,10098,3188,10081,3193,10059,3193,10056,3188,10038,3175,10023,3155,10014,3128,10011xe" filled="true" fillcolor="#8165a3" stroked="false">
                <v:path arrowok="t"/>
                <v:fill type="solid"/>
              </v:shape>
            </v:group>
            <v:group style="position:absolute;left:3092;top:10011;width:101;height:98" coordorigin="3092,10011" coordsize="101,98">
              <v:shape style="position:absolute;left:3092;top:10011;width:101;height:98" coordorigin="3092,10011" coordsize="101,98" path="m3193,10059l3188,10081,3175,10098,3155,10108,3129,10105,3109,10095,3097,10080,3092,10061,3097,10039,3110,10021,3128,10011,3155,10014,3175,10023,3188,10038,3193,10056,3193,10059xe" filled="false" stroked="true" strokeweight=".75pt" strokecolor="#8165a3">
                <v:path arrowok="t"/>
              </v:shape>
            </v:group>
            <v:group style="position:absolute;left:3313;top:9982;width:101;height:98" coordorigin="3313,9982" coordsize="101,98">
              <v:shape style="position:absolute;left:3313;top:9982;width:101;height:98" coordorigin="3313,9982" coordsize="101,98" path="m3349,9982l3330,9992,3318,10010,3313,10032,3318,10051,3330,10067,3350,10077,3376,10079,3395,10069,3409,10052,3414,10031,3414,10028,3408,10009,3396,9994,3376,9985,3349,9982xe" filled="true" fillcolor="#8165a3" stroked="false">
                <v:path arrowok="t"/>
                <v:fill type="solid"/>
              </v:shape>
            </v:group>
            <v:group style="position:absolute;left:3313;top:9982;width:101;height:98" coordorigin="3313,9982" coordsize="101,98">
              <v:shape style="position:absolute;left:3313;top:9982;width:101;height:98" coordorigin="3313,9982" coordsize="101,98" path="m3414,10031l3409,10052,3395,10069,3376,10079,3350,10077,3330,10067,3318,10051,3313,10032,3318,10010,3330,9992,3349,9982,3376,9985,3396,9994,3408,10009,3414,10028,3414,10031xe" filled="false" stroked="true" strokeweight=".75pt" strokecolor="#8165a3">
                <v:path arrowok="t"/>
              </v:shape>
            </v:group>
            <v:group style="position:absolute;left:3534;top:9653;width:101;height:98" coordorigin="3534,9653" coordsize="101,98">
              <v:shape style="position:absolute;left:3534;top:9653;width:101;height:98" coordorigin="3534,9653" coordsize="101,98" path="m3570,9653l3551,9664,3538,9681,3534,9704,3538,9723,3551,9738,3570,9748,3597,9751,3616,9741,3629,9724,3634,9702,3634,9699,3629,9680,3617,9665,3597,9656,3570,9653xe" filled="true" fillcolor="#8165a3" stroked="false">
                <v:path arrowok="t"/>
                <v:fill type="solid"/>
              </v:shape>
            </v:group>
            <v:group style="position:absolute;left:3534;top:9653;width:101;height:98" coordorigin="3534,9653" coordsize="101,98">
              <v:shape style="position:absolute;left:3534;top:9653;width:101;height:98" coordorigin="3534,9653" coordsize="101,98" path="m3634,9702l3629,9724,3616,9741,3597,9751,3570,9748,3551,9738,3538,9723,3534,9704,3538,9681,3551,9664,3570,9653,3597,9656,3617,9665,3629,9680,3634,9699,3634,9702xe" filled="false" stroked="true" strokeweight=".75pt" strokecolor="#8165a3">
                <v:path arrowok="t"/>
              </v:shape>
            </v:group>
            <v:group style="position:absolute;left:3754;top:10352;width:101;height:98" coordorigin="3754,10352" coordsize="101,98">
              <v:shape style="position:absolute;left:3754;top:10352;width:101;height:98" coordorigin="3754,10352" coordsize="101,98" path="m3791,10352l3772,10362,3759,10379,3754,10402,3759,10421,3771,10436,3791,10446,3818,10449,3837,10439,3850,10422,3855,10400,3855,10397,3850,10379,3838,10364,3818,10354,3791,10352xe" filled="true" fillcolor="#8165a3" stroked="false">
                <v:path arrowok="t"/>
                <v:fill type="solid"/>
              </v:shape>
            </v:group>
            <v:group style="position:absolute;left:3754;top:10352;width:101;height:98" coordorigin="3754,10352" coordsize="101,98">
              <v:shape style="position:absolute;left:3754;top:10352;width:101;height:98" coordorigin="3754,10352" coordsize="101,98" path="m3855,10400l3850,10422,3837,10439,3818,10449,3791,10446,3771,10436,3759,10421,3754,10402,3759,10379,3772,10362,3791,10352,3818,10354,3838,10364,3850,10379,3855,10397,3855,10400xe" filled="false" stroked="true" strokeweight=".75pt" strokecolor="#8165a3">
                <v:path arrowok="t"/>
              </v:shape>
            </v:group>
            <v:group style="position:absolute;left:3973;top:10141;width:101;height:98" coordorigin="3973,10141" coordsize="101,98">
              <v:shape style="position:absolute;left:3973;top:10141;width:101;height:98" coordorigin="3973,10141" coordsize="101,98" path="m4009,10141l3990,10151,3978,10168,3973,10191,3978,10210,3990,10225,4009,10235,4036,10238,4055,10228,4069,10211,4074,10189,4074,10186,4069,10167,4056,10153,4036,10143,4009,10141xe" filled="true" fillcolor="#8165a3" stroked="false">
                <v:path arrowok="t"/>
                <v:fill type="solid"/>
              </v:shape>
            </v:group>
            <v:group style="position:absolute;left:3973;top:10141;width:101;height:98" coordorigin="3973,10141" coordsize="101,98">
              <v:shape style="position:absolute;left:3973;top:10141;width:101;height:98" coordorigin="3973,10141" coordsize="101,98" path="m4074,10189l4069,10211,4055,10228,4036,10238,4009,10235,3990,10225,3978,10210,3973,10191,3978,10168,3990,10151,4009,10141,4036,10143,4056,10153,4069,10167,4074,10186,4074,10189xe" filled="false" stroked="true" strokeweight=".75pt" strokecolor="#8165a3">
                <v:path arrowok="t"/>
              </v:shape>
            </v:group>
            <v:group style="position:absolute;left:4194;top:10261;width:101;height:98" coordorigin="4194,10261" coordsize="101,98">
              <v:shape style="position:absolute;left:4194;top:10261;width:101;height:98" coordorigin="4194,10261" coordsize="101,98" path="m4230,10261l4211,10271,4198,10288,4194,10311,4198,10330,4211,10345,4230,10355,4257,10358,4276,10348,4289,10331,4294,10309,4294,10306,4289,10287,4277,10273,4257,10263,4230,10261xe" filled="true" fillcolor="#8165a3" stroked="false">
                <v:path arrowok="t"/>
                <v:fill type="solid"/>
              </v:shape>
            </v:group>
            <v:group style="position:absolute;left:4194;top:10261;width:101;height:98" coordorigin="4194,10261" coordsize="101,98">
              <v:shape style="position:absolute;left:4194;top:10261;width:101;height:98" coordorigin="4194,10261" coordsize="101,98" path="m4294,10309l4289,10331,4276,10348,4257,10358,4230,10355,4211,10345,4198,10330,4194,10311,4198,10288,4211,10271,4230,10261,4257,10263,4277,10273,4289,10287,4294,10306,4294,10309xe" filled="false" stroked="true" strokeweight=".75pt" strokecolor="#8165a3">
                <v:path arrowok="t"/>
              </v:shape>
            </v:group>
            <v:group style="position:absolute;left:4414;top:9553;width:101;height:98" coordorigin="4414,9553" coordsize="101,98">
              <v:shape style="position:absolute;left:4414;top:9553;width:101;height:98" coordorigin="4414,9553" coordsize="101,98" path="m4451,9553l4432,9563,4419,9580,4414,9603,4419,9622,4431,9637,4451,9647,4478,9650,4497,9640,4510,9623,4515,9601,4515,9598,4510,9579,4498,9565,4478,9555,4451,9553xe" filled="true" fillcolor="#8165a3" stroked="false">
                <v:path arrowok="t"/>
                <v:fill type="solid"/>
              </v:shape>
            </v:group>
            <v:group style="position:absolute;left:4414;top:9553;width:101;height:98" coordorigin="4414,9553" coordsize="101,98">
              <v:shape style="position:absolute;left:4414;top:9553;width:101;height:98" coordorigin="4414,9553" coordsize="101,98" path="m4515,9601l4510,9623,4497,9640,4478,9650,4451,9647,4431,9637,4419,9622,4414,9603,4419,9580,4432,9563,4451,9553,4478,9555,4498,9565,4510,9579,4515,9598,4515,9601xe" filled="false" stroked="true" strokeweight=".75pt" strokecolor="#8165a3">
                <v:path arrowok="t"/>
              </v:shape>
            </v:group>
            <v:group style="position:absolute;left:4635;top:10049;width:101;height:98" coordorigin="4635,10049" coordsize="101,98">
              <v:shape style="position:absolute;left:4635;top:10049;width:101;height:98" coordorigin="4635,10049" coordsize="101,98" path="m4672,10049l4653,10060,4640,10077,4635,10100,4640,10119,4652,10134,4672,10144,4698,10147,4718,10137,4731,10120,4736,10098,4736,10095,4731,10076,4718,10061,4698,10052,4672,10049xe" filled="true" fillcolor="#8165a3" stroked="false">
                <v:path arrowok="t"/>
                <v:fill type="solid"/>
              </v:shape>
            </v:group>
            <v:group style="position:absolute;left:4635;top:10049;width:101;height:98" coordorigin="4635,10049" coordsize="101,98">
              <v:shape style="position:absolute;left:4635;top:10049;width:101;height:98" coordorigin="4635,10049" coordsize="101,98" path="m4736,10098l4731,10120,4718,10137,4698,10147,4672,10144,4652,10134,4640,10119,4635,10100,4640,10077,4653,10060,4672,10049,4698,10052,4718,10061,4731,10076,4736,10095,4736,10098xe" filled="false" stroked="true" strokeweight=".75pt" strokecolor="#8165a3">
                <v:path arrowok="t"/>
              </v:shape>
            </v:group>
            <v:group style="position:absolute;left:4856;top:10203;width:101;height:98" coordorigin="4856,10203" coordsize="101,98">
              <v:shape style="position:absolute;left:4856;top:10203;width:101;height:98" coordorigin="4856,10203" coordsize="101,98" path="m4892,10203l4874,10213,4861,10231,4856,10253,4861,10272,4873,10287,4893,10297,4919,10300,4939,10290,4952,10273,4957,10251,4957,10248,4952,10230,4939,10215,4919,10206,4892,10203xe" filled="true" fillcolor="#8165a3" stroked="false">
                <v:path arrowok="t"/>
                <v:fill type="solid"/>
              </v:shape>
            </v:group>
            <v:group style="position:absolute;left:4856;top:10203;width:101;height:98" coordorigin="4856,10203" coordsize="101,98">
              <v:shape style="position:absolute;left:4856;top:10203;width:101;height:98" coordorigin="4856,10203" coordsize="101,98" path="m4957,10251l4952,10273,4939,10290,4919,10300,4893,10297,4873,10287,4861,10272,4856,10253,4861,10231,4874,10213,4892,10203,4919,10206,4939,10215,4952,10230,4957,10248,4957,10251xe" filled="false" stroked="true" strokeweight=".75pt" strokecolor="#8165a3">
                <v:path arrowok="t"/>
              </v:shape>
            </v:group>
            <v:group style="position:absolute;left:5077;top:10186;width:101;height:98" coordorigin="5077,10186" coordsize="101,98">
              <v:shape style="position:absolute;left:5077;top:10186;width:101;height:98" coordorigin="5077,10186" coordsize="101,98" path="m5113,10186l5094,10196,5082,10214,5077,10236,5082,10255,5094,10271,5113,10280,5140,10283,5159,10273,5173,10256,5178,10235,5178,10232,5173,10213,5160,10198,5140,10189,5113,10186xe" filled="true" fillcolor="#8165a3" stroked="false">
                <v:path arrowok="t"/>
                <v:fill type="solid"/>
              </v:shape>
            </v:group>
            <v:group style="position:absolute;left:5077;top:10186;width:101;height:98" coordorigin="5077,10186" coordsize="101,98">
              <v:shape style="position:absolute;left:5077;top:10186;width:101;height:98" coordorigin="5077,10186" coordsize="101,98" path="m5178,10235l5173,10256,5159,10273,5140,10283,5113,10280,5094,10271,5082,10255,5077,10236,5082,10214,5094,10196,5113,10186,5140,10189,5160,10198,5173,10213,5178,10232,5178,10235xe" filled="false" stroked="true" strokeweight=".75pt" strokecolor="#8165a3">
                <v:path arrowok="t"/>
              </v:shape>
            </v:group>
            <v:group style="position:absolute;left:5298;top:9824;width:101;height:98" coordorigin="5298,9824" coordsize="101,98">
              <v:shape style="position:absolute;left:5298;top:9824;width:101;height:98" coordorigin="5298,9824" coordsize="101,98" path="m5334,9824l5315,9834,5302,9851,5298,9874,5302,9893,5315,9908,5334,9918,5361,9921,5380,9911,5393,9894,5398,9872,5398,9869,5393,9851,5381,9836,5361,9826,5334,9824xe" filled="true" fillcolor="#8165a3" stroked="false">
                <v:path arrowok="t"/>
                <v:fill type="solid"/>
              </v:shape>
            </v:group>
            <v:group style="position:absolute;left:5298;top:9824;width:101;height:98" coordorigin="5298,9824" coordsize="101,98">
              <v:shape style="position:absolute;left:5298;top:9824;width:101;height:98" coordorigin="5298,9824" coordsize="101,98" path="m5398,9872l5393,9894,5380,9911,5361,9921,5334,9918,5315,9908,5302,9893,5298,9874,5302,9851,5315,9834,5334,9824,5361,9826,5381,9836,5393,9851,5398,9869,5398,9872xe" filled="false" stroked="true" strokeweight=".75pt" strokecolor="#8165a3">
                <v:path arrowok="t"/>
              </v:shape>
            </v:group>
            <v:group style="position:absolute;left:5519;top:10302;width:101;height:98" coordorigin="5519,10302" coordsize="101,98">
              <v:shape style="position:absolute;left:5519;top:10302;width:101;height:98" coordorigin="5519,10302" coordsize="101,98" path="m5556,10302l5537,10312,5524,10329,5519,10352,5524,10371,5536,10386,5556,10396,5582,10399,5602,10389,5615,10372,5620,10350,5620,10347,5615,10329,5602,10314,5582,10304,5556,10302xe" filled="true" fillcolor="#8165a3" stroked="false">
                <v:path arrowok="t"/>
                <v:fill type="solid"/>
              </v:shape>
            </v:group>
            <v:group style="position:absolute;left:5519;top:10302;width:101;height:98" coordorigin="5519,10302" coordsize="101,98">
              <v:shape style="position:absolute;left:5519;top:10302;width:101;height:98" coordorigin="5519,10302" coordsize="101,98" path="m5620,10350l5615,10372,5602,10389,5582,10399,5556,10396,5536,10386,5524,10371,5519,10352,5524,10329,5537,10312,5556,10302,5582,10304,5602,10314,5615,10329,5620,10347,5620,10350xe" filled="false" stroked="true" strokeweight=".72pt" strokecolor="#8165a3">
                <v:path arrowok="t"/>
              </v:shape>
            </v:group>
            <v:group style="position:absolute;left:5740;top:10110;width:101;height:98" coordorigin="5740,10110" coordsize="101,98">
              <v:shape style="position:absolute;left:5740;top:10110;width:101;height:98" coordorigin="5740,10110" coordsize="101,98" path="m5776,10110l5758,10120,5745,10137,5740,10160,5745,10179,5757,10194,5777,10204,5803,10207,5823,10197,5836,10180,5841,10158,5841,10155,5836,10137,5823,10122,5803,10112,5776,10110xe" filled="true" fillcolor="#8165a3" stroked="false">
                <v:path arrowok="t"/>
                <v:fill type="solid"/>
              </v:shape>
            </v:group>
            <v:group style="position:absolute;left:5740;top:10110;width:101;height:98" coordorigin="5740,10110" coordsize="101,98">
              <v:shape style="position:absolute;left:5740;top:10110;width:101;height:98" coordorigin="5740,10110" coordsize="101,98" path="m5841,10158l5836,10180,5823,10197,5803,10207,5777,10204,5757,10194,5745,10179,5740,10160,5745,10137,5758,10120,5776,10110,5803,10112,5823,10122,5836,10137,5841,10155,5841,10158xe" filled="false" stroked="true" strokeweight=".72pt" strokecolor="#8165a3">
                <v:path arrowok="t"/>
              </v:shape>
            </v:group>
            <v:group style="position:absolute;left:5961;top:10215;width:101;height:98" coordorigin="5961,10215" coordsize="101,98">
              <v:shape style="position:absolute;left:5961;top:10215;width:101;height:98" coordorigin="5961,10215" coordsize="101,98" path="m5997,10215l5978,10226,5966,10243,5961,10266,5966,10285,5978,10300,5998,10310,6024,10313,6043,10303,6057,10286,6062,10264,6062,10261,6057,10242,6044,10227,6024,10218,5997,10215xe" filled="true" fillcolor="#8165a3" stroked="false">
                <v:path arrowok="t"/>
                <v:fill type="solid"/>
              </v:shape>
            </v:group>
            <v:group style="position:absolute;left:5961;top:10215;width:101;height:98" coordorigin="5961,10215" coordsize="101,98">
              <v:shape style="position:absolute;left:5961;top:10215;width:101;height:98" coordorigin="5961,10215" coordsize="101,98" path="m6062,10264l6057,10286,6043,10303,6024,10313,5998,10310,5978,10300,5966,10285,5961,10266,5966,10243,5978,10226,5997,10215,6024,10218,6044,10227,6057,10242,6062,10261,6062,10264xe" filled="false" stroked="true" strokeweight=".72pt" strokecolor="#8165a3">
                <v:path arrowok="t"/>
              </v:shape>
            </v:group>
            <v:group style="position:absolute;left:6182;top:10290;width:101;height:98" coordorigin="6182,10290" coordsize="101,98">
              <v:shape style="position:absolute;left:6182;top:10290;width:101;height:98" coordorigin="6182,10290" coordsize="101,98" path="m6218,10290l6199,10300,6186,10317,6182,10340,6186,10359,6199,10374,6218,10384,6245,10387,6264,10377,6277,10360,6282,10338,6282,10335,6277,10317,6265,10302,6245,10292,6218,10290xe" filled="true" fillcolor="#8165a3" stroked="false">
                <v:path arrowok="t"/>
                <v:fill type="solid"/>
              </v:shape>
            </v:group>
            <v:group style="position:absolute;left:6182;top:10290;width:101;height:98" coordorigin="6182,10290" coordsize="101,98">
              <v:shape style="position:absolute;left:6182;top:10290;width:101;height:98" coordorigin="6182,10290" coordsize="101,98" path="m6282,10338l6277,10360,6264,10377,6245,10387,6218,10384,6199,10374,6186,10359,6182,10340,6186,10317,6199,10300,6218,10290,6245,10292,6265,10302,6277,10317,6282,10335,6282,10338xe" filled="false" stroked="true" strokeweight=".72pt" strokecolor="#8165a3">
                <v:path arrowok="t"/>
              </v:shape>
            </v:group>
            <v:group style="position:absolute;left:6402;top:10030;width:101;height:98" coordorigin="6402,10030" coordsize="101,98">
              <v:shape style="position:absolute;left:6402;top:10030;width:101;height:98" coordorigin="6402,10030" coordsize="101,98" path="m6439,10030l6420,10041,6407,10058,6402,10081,6407,10100,6419,10115,6439,10125,6466,10128,6485,10118,6498,10101,6503,10079,6503,10076,6498,10057,6486,10043,6466,10033,6439,10030xe" filled="true" fillcolor="#8165a3" stroked="false">
                <v:path arrowok="t"/>
                <v:fill type="solid"/>
              </v:shape>
            </v:group>
            <v:group style="position:absolute;left:6402;top:10030;width:101;height:98" coordorigin="6402,10030" coordsize="101,98">
              <v:shape style="position:absolute;left:6402;top:10030;width:101;height:98" coordorigin="6402,10030" coordsize="101,98" path="m6503,10079l6498,10101,6485,10118,6466,10128,6439,10125,6419,10115,6407,10100,6402,10081,6407,10058,6420,10041,6439,10030,6466,10033,6486,10043,6498,10057,6503,10076,6503,10079xe" filled="false" stroked="true" strokeweight=".72pt" strokecolor="#8165a3">
                <v:path arrowok="t"/>
              </v:shape>
            </v:group>
            <v:group style="position:absolute;left:6623;top:10283;width:101;height:98" coordorigin="6623,10283" coordsize="101,98">
              <v:shape style="position:absolute;left:6623;top:10283;width:101;height:98" coordorigin="6623,10283" coordsize="101,98" path="m6660,10283l6641,10293,6628,10310,6623,10333,6628,10352,6640,10367,6660,10377,6686,10380,6706,10370,6719,10353,6724,10331,6724,10328,6719,10309,6706,10295,6687,10285,6660,10283xe" filled="true" fillcolor="#8165a3" stroked="false">
                <v:path arrowok="t"/>
                <v:fill type="solid"/>
              </v:shape>
            </v:group>
            <v:group style="position:absolute;left:6623;top:10283;width:101;height:98" coordorigin="6623,10283" coordsize="101,98">
              <v:shape style="position:absolute;left:6623;top:10283;width:101;height:98" coordorigin="6623,10283" coordsize="101,98" path="m6724,10331l6719,10353,6706,10370,6686,10380,6660,10377,6640,10367,6628,10352,6623,10333,6628,10310,6641,10293,6660,10283,6687,10285,6706,10295,6719,10309,6724,10328,6724,10331xe" filled="false" stroked="true" strokeweight=".72pt" strokecolor="#8165a3">
                <v:path arrowok="t"/>
              </v:shape>
            </v:group>
            <v:group style="position:absolute;left:6842;top:10239;width:101;height:98" coordorigin="6842,10239" coordsize="101,98">
              <v:shape style="position:absolute;left:6842;top:10239;width:101;height:98" coordorigin="6842,10239" coordsize="101,98" path="m6878,10239l6859,10250,6846,10267,6842,10290,6846,10309,6859,10324,6878,10334,6905,10337,6924,10327,6937,10310,6942,10288,6942,10285,6937,10266,6925,10251,6905,10242,6878,10239xe" filled="true" fillcolor="#8165a3" stroked="false">
                <v:path arrowok="t"/>
                <v:fill type="solid"/>
              </v:shape>
            </v:group>
            <v:group style="position:absolute;left:6842;top:10239;width:101;height:98" coordorigin="6842,10239" coordsize="101,98">
              <v:shape style="position:absolute;left:6842;top:10239;width:101;height:98" coordorigin="6842,10239" coordsize="101,98" path="m6942,10288l6937,10310,6924,10327,6905,10337,6878,10334,6859,10324,6846,10309,6842,10290,6846,10267,6859,10250,6878,10239,6905,10242,6925,10251,6937,10266,6942,10285,6942,10288xe" filled="false" stroked="true" strokeweight=".72pt" strokecolor="#8165a3">
                <v:path arrowok="t"/>
              </v:shape>
            </v:group>
            <v:group style="position:absolute;left:7062;top:9961;width:101;height:98" coordorigin="7062,9961" coordsize="101,98">
              <v:shape style="position:absolute;left:7062;top:9961;width:101;height:98" coordorigin="7062,9961" coordsize="101,98" path="m7099,9961l7080,9971,7067,9989,7062,10011,7067,10030,7080,10045,7099,10055,7126,10058,7145,10048,7158,10031,7163,10009,7163,10006,7158,9988,7146,9973,7126,9963,7099,9961xe" filled="true" fillcolor="#8165a3" stroked="false">
                <v:path arrowok="t"/>
                <v:fill type="solid"/>
              </v:shape>
            </v:group>
            <v:group style="position:absolute;left:7062;top:9961;width:101;height:98" coordorigin="7062,9961" coordsize="101,98">
              <v:shape style="position:absolute;left:7062;top:9961;width:101;height:98" coordorigin="7062,9961" coordsize="101,98" path="m7163,10009l7158,10031,7145,10048,7126,10058,7099,10055,7080,10045,7067,10030,7062,10011,7067,9989,7080,9971,7099,9961,7126,9963,7146,9973,7158,9988,7163,10006,7163,10009xe" filled="false" stroked="true" strokeweight=".72pt" strokecolor="#8165a3">
                <v:path arrowok="t"/>
              </v:shape>
            </v:group>
            <v:group style="position:absolute;left:7283;top:9867;width:101;height:98" coordorigin="7283,9867" coordsize="101,98">
              <v:shape style="position:absolute;left:7283;top:9867;width:101;height:98" coordorigin="7283,9867" coordsize="101,98" path="m7320,9867l7301,9878,7288,9895,7283,9918,7288,9937,7300,9952,7320,9962,7346,9965,7366,9955,7379,9938,7384,9916,7384,9913,7379,9894,7366,9879,7346,9870,7320,9867xe" filled="true" fillcolor="#8165a3" stroked="false">
                <v:path arrowok="t"/>
                <v:fill type="solid"/>
              </v:shape>
            </v:group>
            <v:group style="position:absolute;left:7283;top:9867;width:101;height:98" coordorigin="7283,9867" coordsize="101,98">
              <v:shape style="position:absolute;left:7283;top:9867;width:101;height:98" coordorigin="7283,9867" coordsize="101,98" path="m7384,9916l7379,9938,7366,9955,7346,9965,7320,9962,7300,9952,7288,9937,7283,9918,7288,9895,7301,9878,7320,9867,7346,9870,7366,9879,7379,9894,7384,9913,7384,9916xe" filled="false" stroked="true" strokeweight=".72pt" strokecolor="#8165a3">
                <v:path arrowok="t"/>
              </v:shape>
            </v:group>
            <v:group style="position:absolute;left:7504;top:9747;width:101;height:98" coordorigin="7504,9747" coordsize="101,98">
              <v:shape style="position:absolute;left:7504;top:9747;width:101;height:98" coordorigin="7504,9747" coordsize="101,98" path="m7540,9747l7522,9758,7509,9775,7504,9798,7509,9817,7521,9832,7541,9842,7567,9845,7587,9835,7600,9818,7605,9796,7605,9793,7600,9774,7587,9759,7567,9750,7540,9747xe" filled="true" fillcolor="#8165a3" stroked="false">
                <v:path arrowok="t"/>
                <v:fill type="solid"/>
              </v:shape>
            </v:group>
            <v:group style="position:absolute;left:7504;top:9747;width:101;height:98" coordorigin="7504,9747" coordsize="101,98">
              <v:shape style="position:absolute;left:7504;top:9747;width:101;height:98" coordorigin="7504,9747" coordsize="101,98" path="m7605,9796l7600,9818,7587,9835,7567,9845,7541,9842,7521,9832,7509,9817,7504,9798,7509,9775,7522,9758,7540,9747,7567,9750,7587,9759,7600,9774,7605,9793,7605,9796xe" filled="false" stroked="true" strokeweight=".72pt" strokecolor="#8165a3">
                <v:path arrowok="t"/>
              </v:shape>
            </v:group>
            <v:group style="position:absolute;left:7725;top:10158;width:101;height:98" coordorigin="7725,10158" coordsize="101,98">
              <v:shape style="position:absolute;left:7725;top:10158;width:101;height:98" coordorigin="7725,10158" coordsize="101,98" path="m7761,10158l7742,10168,7730,10185,7725,10208,7730,10227,7742,10242,7762,10252,7788,10255,7807,10245,7821,10228,7826,10206,7826,10203,7821,10185,7808,10170,7788,10160,7761,10158xe" filled="true" fillcolor="#8165a3" stroked="false">
                <v:path arrowok="t"/>
                <v:fill type="solid"/>
              </v:shape>
            </v:group>
            <v:group style="position:absolute;left:7725;top:10158;width:101;height:98" coordorigin="7725,10158" coordsize="101,98">
              <v:shape style="position:absolute;left:7725;top:10158;width:101;height:98" coordorigin="7725,10158" coordsize="101,98" path="m7826,10206l7821,10228,7807,10245,7788,10255,7762,10252,7742,10242,7730,10227,7725,10208,7730,10185,7742,10168,7761,10158,7788,10160,7808,10170,7821,10185,7826,10203,7826,10206xe" filled="false" stroked="true" strokeweight=".72pt" strokecolor="#8165a3">
                <v:path arrowok="t"/>
              </v:shape>
            </v:group>
            <v:group style="position:absolute;left:7946;top:10011;width:101;height:98" coordorigin="7946,10011" coordsize="101,98">
              <v:shape style="position:absolute;left:7946;top:10011;width:101;height:98" coordorigin="7946,10011" coordsize="101,98" path="m7982,10011l7963,10022,7950,10039,7946,10062,7950,10081,7963,10096,7982,10106,8009,10108,8028,10099,8041,10082,8046,10060,8046,10057,8041,10038,8029,10023,8009,10014,7982,10011xe" filled="true" fillcolor="#8165a3" stroked="false">
                <v:path arrowok="t"/>
                <v:fill type="solid"/>
              </v:shape>
            </v:group>
            <v:group style="position:absolute;left:7946;top:10011;width:101;height:98" coordorigin="7946,10011" coordsize="101,98">
              <v:shape style="position:absolute;left:7946;top:10011;width:101;height:98" coordorigin="7946,10011" coordsize="101,98" path="m8046,10060l8041,10082,8028,10099,8009,10108,7982,10106,7963,10096,7950,10081,7946,10062,7950,10039,7963,10022,7982,10011,8009,10014,8029,10023,8041,10038,8046,10057,8046,10060xe" filled="false" stroked="true" strokeweight=".72pt" strokecolor="#8165a3">
                <v:path arrowok="t"/>
              </v:shape>
            </v:group>
            <v:group style="position:absolute;left:8166;top:9913;width:101;height:98" coordorigin="8166,9913" coordsize="101,98">
              <v:shape style="position:absolute;left:8166;top:9913;width:101;height:98" coordorigin="8166,9913" coordsize="101,98" path="m8203,9913l8184,9923,8171,9941,8166,9963,8171,9982,8184,9997,8203,10007,8230,10010,8249,10000,8262,9983,8267,9961,8267,9958,8262,9940,8250,9925,8230,9915,8203,9913xe" filled="true" fillcolor="#8165a3" stroked="false">
                <v:path arrowok="t"/>
                <v:fill type="solid"/>
              </v:shape>
            </v:group>
            <v:group style="position:absolute;left:8166;top:9913;width:101;height:98" coordorigin="8166,9913" coordsize="101,98">
              <v:shape style="position:absolute;left:8166;top:9913;width:101;height:98" coordorigin="8166,9913" coordsize="101,98" path="m8267,9961l8262,9983,8249,10000,8230,10010,8203,10007,8184,9997,8171,9982,8166,9963,8171,9941,8184,9923,8203,9913,8230,9915,8250,9925,8262,9940,8267,9958,8267,9961xe" filled="false" stroked="true" strokeweight=".72pt" strokecolor="#8165a3">
                <v:path arrowok="t"/>
              </v:shape>
            </v:group>
            <v:group style="position:absolute;left:8387;top:10093;width:101;height:98" coordorigin="8387,10093" coordsize="101,98">
              <v:shape style="position:absolute;left:8387;top:10093;width:101;height:98" coordorigin="8387,10093" coordsize="101,98" path="m8424,10093l8405,10103,8392,10121,8387,10143,8392,10162,8404,10177,8424,10187,8450,10190,8470,10180,8483,10163,8488,10141,8488,10138,8483,10120,8470,10105,8450,10095,8424,10093xe" filled="true" fillcolor="#8165a3" stroked="false">
                <v:path arrowok="t"/>
                <v:fill type="solid"/>
              </v:shape>
            </v:group>
            <v:group style="position:absolute;left:8387;top:10093;width:101;height:98" coordorigin="8387,10093" coordsize="101,98">
              <v:shape style="position:absolute;left:8387;top:10093;width:101;height:98" coordorigin="8387,10093" coordsize="101,98" path="m8488,10141l8483,10163,8470,10180,8450,10190,8424,10187,8404,10177,8392,10162,8387,10143,8392,10121,8405,10103,8424,10093,8450,10095,8470,10105,8483,10120,8488,10138,8488,10141xe" filled="false" stroked="true" strokeweight=".72pt" strokecolor="#8165a3">
                <v:path arrowok="t"/>
              </v:shape>
            </v:group>
            <v:group style="position:absolute;left:8608;top:9531;width:101;height:98" coordorigin="8608,9531" coordsize="101,98">
              <v:shape style="position:absolute;left:8608;top:9531;width:101;height:98" coordorigin="8608,9531" coordsize="101,98" path="m8644,9531l8626,9542,8613,9559,8608,9582,8613,9601,8625,9616,8645,9626,8671,9629,8691,9619,8704,9602,8709,9580,8709,9577,8704,9558,8691,9543,8671,9534,8644,9531xe" filled="true" fillcolor="#8165a3" stroked="false">
                <v:path arrowok="t"/>
                <v:fill type="solid"/>
              </v:shape>
            </v:group>
            <v:group style="position:absolute;left:8608;top:9531;width:101;height:98" coordorigin="8608,9531" coordsize="101,98">
              <v:shape style="position:absolute;left:8608;top:9531;width:101;height:98" coordorigin="8608,9531" coordsize="101,98" path="m8709,9580l8704,9602,8691,9619,8671,9629,8645,9626,8625,9616,8613,9601,8608,9582,8613,9559,8626,9542,8644,9531,8671,9534,8691,9543,8704,9558,8709,9577,8709,9580xe" filled="false" stroked="true" strokeweight=".72pt" strokecolor="#8165a3">
                <v:path arrowok="t"/>
              </v:shape>
            </v:group>
            <v:group style="position:absolute;left:9047;top:8982;width:101;height:98" coordorigin="9047,8982" coordsize="101,98">
              <v:shape style="position:absolute;left:9047;top:8982;width:101;height:98" coordorigin="9047,8982" coordsize="101,98" path="m9084,8982l9065,8992,9052,9009,9047,9032,9052,9051,9064,9066,9084,9076,9110,9079,9130,9069,9143,9052,9148,9030,9148,9027,9143,9009,9130,8994,9110,8984,9084,8982xe" filled="true" fillcolor="#8165a3" stroked="false">
                <v:path arrowok="t"/>
                <v:fill type="solid"/>
              </v:shape>
            </v:group>
            <v:group style="position:absolute;left:9047;top:8982;width:101;height:98" coordorigin="9047,8982" coordsize="101,98">
              <v:shape style="position:absolute;left:9047;top:8982;width:101;height:98" coordorigin="9047,8982" coordsize="101,98" path="m9148,9030l9143,9052,9130,9069,9110,9079,9084,9076,9064,9066,9052,9051,9047,9032,9052,9009,9065,8992,9084,8982,9110,8984,9130,8994,9143,9009,9148,9027,9148,9030xe" filled="false" stroked="true" strokeweight=".72pt" strokecolor="#8165a3">
                <v:path arrowok="t"/>
              </v:shape>
            </v:group>
            <v:group style="position:absolute;left:1517;top:7508;width:8588;height:4194" coordorigin="1517,7508" coordsize="8588,4194">
              <v:shape style="position:absolute;left:1517;top:7508;width:8588;height:4194" coordorigin="1517,7508" coordsize="8588,4194" path="m1517,11702l10105,11702,10105,7508,1517,7508,1517,11702xe" filled="false" stroked="true" strokeweight="10pt" strokecolor="#c1b5a9">
                <v:path arrowok="t"/>
              </v:shape>
              <v:shape style="position:absolute;left:1704;top:7706;width:7528;height:360" type="#_x0000_t202" filled="false" stroked="false">
                <v:textbox inset="0,0,0,0">
                  <w:txbxContent>
                    <w:p>
                      <w:pPr>
                        <w:spacing w:line="164" w:lineRule="exact" w:before="0"/>
                        <w:ind w:left="0" w:right="0" w:firstLine="0"/>
                        <w:jc w:val="left"/>
                        <w:rPr>
                          <w:rFonts w:ascii="Segoe UI Semibold" w:hAnsi="Segoe UI Semibold" w:cs="Segoe UI Semibold" w:eastAsia="Segoe UI Semibold"/>
                          <w:sz w:val="16"/>
                          <w:szCs w:val="16"/>
                        </w:rPr>
                      </w:pPr>
                      <w:r>
                        <w:rPr>
                          <w:rFonts w:ascii="Segoe UI Semibold"/>
                          <w:b/>
                          <w:color w:val="666155"/>
                          <w:spacing w:val="4"/>
                          <w:sz w:val="16"/>
                        </w:rPr>
                        <w:t>GRAPH</w:t>
                      </w:r>
                      <w:r>
                        <w:rPr>
                          <w:rFonts w:ascii="Segoe UI Semibold"/>
                          <w:b/>
                          <w:color w:val="666155"/>
                          <w:spacing w:val="-2"/>
                          <w:sz w:val="16"/>
                        </w:rPr>
                        <w:t> </w:t>
                      </w:r>
                      <w:r>
                        <w:rPr>
                          <w:rFonts w:ascii="Segoe UI Semibold"/>
                          <w:b/>
                          <w:color w:val="666155"/>
                          <w:sz w:val="16"/>
                        </w:rPr>
                        <w:t>12:</w:t>
                      </w:r>
                      <w:r>
                        <w:rPr>
                          <w:rFonts w:ascii="Segoe UI Semibold"/>
                          <w:b/>
                          <w:color w:val="666155"/>
                          <w:spacing w:val="-1"/>
                          <w:sz w:val="16"/>
                        </w:rPr>
                        <w:t> </w:t>
                      </w:r>
                      <w:r>
                        <w:rPr>
                          <w:rFonts w:ascii="Segoe UI Semibold"/>
                          <w:b/>
                          <w:color w:val="666155"/>
                          <w:spacing w:val="4"/>
                          <w:sz w:val="16"/>
                        </w:rPr>
                        <w:t>DISTRIBUTION</w:t>
                      </w:r>
                      <w:r>
                        <w:rPr>
                          <w:rFonts w:ascii="Segoe UI Semibold"/>
                          <w:b/>
                          <w:color w:val="666155"/>
                          <w:spacing w:val="1"/>
                          <w:sz w:val="16"/>
                        </w:rPr>
                        <w:t> </w:t>
                      </w:r>
                      <w:r>
                        <w:rPr>
                          <w:rFonts w:ascii="Segoe UI Semibold"/>
                          <w:b/>
                          <w:color w:val="666155"/>
                          <w:spacing w:val="2"/>
                          <w:sz w:val="16"/>
                        </w:rPr>
                        <w:t>OF</w:t>
                      </w:r>
                      <w:r>
                        <w:rPr>
                          <w:rFonts w:ascii="Segoe UI Semibold"/>
                          <w:b/>
                          <w:color w:val="666155"/>
                          <w:spacing w:val="1"/>
                          <w:sz w:val="16"/>
                        </w:rPr>
                        <w:t> </w:t>
                      </w:r>
                      <w:r>
                        <w:rPr>
                          <w:rFonts w:ascii="Segoe UI Semibold"/>
                          <w:b/>
                          <w:color w:val="666155"/>
                          <w:spacing w:val="2"/>
                          <w:sz w:val="16"/>
                        </w:rPr>
                        <w:t>AVERAGE</w:t>
                      </w:r>
                      <w:r>
                        <w:rPr>
                          <w:rFonts w:ascii="Segoe UI Semibold"/>
                          <w:b/>
                          <w:color w:val="666155"/>
                          <w:spacing w:val="1"/>
                          <w:sz w:val="16"/>
                        </w:rPr>
                        <w:t> </w:t>
                      </w:r>
                      <w:r>
                        <w:rPr>
                          <w:rFonts w:ascii="Segoe UI Semibold"/>
                          <w:b/>
                          <w:color w:val="666155"/>
                          <w:spacing w:val="3"/>
                          <w:sz w:val="16"/>
                        </w:rPr>
                        <w:t>COST</w:t>
                      </w:r>
                      <w:r>
                        <w:rPr>
                          <w:rFonts w:ascii="Segoe UI Semibold"/>
                          <w:b/>
                          <w:color w:val="666155"/>
                          <w:spacing w:val="2"/>
                          <w:sz w:val="16"/>
                        </w:rPr>
                        <w:t> </w:t>
                      </w:r>
                      <w:r>
                        <w:rPr>
                          <w:rFonts w:ascii="Segoe UI Semibold"/>
                          <w:b/>
                          <w:color w:val="666155"/>
                          <w:spacing w:val="3"/>
                          <w:sz w:val="16"/>
                        </w:rPr>
                        <w:t>PER</w:t>
                      </w:r>
                      <w:r>
                        <w:rPr>
                          <w:rFonts w:ascii="Segoe UI Semibold"/>
                          <w:b/>
                          <w:color w:val="666155"/>
                          <w:spacing w:val="1"/>
                          <w:sz w:val="16"/>
                        </w:rPr>
                        <w:t> </w:t>
                      </w:r>
                      <w:r>
                        <w:rPr>
                          <w:rFonts w:ascii="Segoe UI Semibold"/>
                          <w:b/>
                          <w:color w:val="666155"/>
                          <w:spacing w:val="4"/>
                          <w:sz w:val="16"/>
                        </w:rPr>
                        <w:t>BOARDER</w:t>
                      </w:r>
                      <w:r>
                        <w:rPr>
                          <w:rFonts w:ascii="Segoe UI Semibold"/>
                          <w:b/>
                          <w:color w:val="666155"/>
                          <w:spacing w:val="1"/>
                          <w:sz w:val="16"/>
                        </w:rPr>
                        <w:t> </w:t>
                      </w:r>
                      <w:r>
                        <w:rPr>
                          <w:rFonts w:ascii="Segoe UI Semibold"/>
                          <w:b/>
                          <w:color w:val="666155"/>
                          <w:spacing w:val="-3"/>
                          <w:sz w:val="16"/>
                        </w:rPr>
                        <w:t>AT</w:t>
                      </w:r>
                      <w:r>
                        <w:rPr>
                          <w:rFonts w:ascii="Segoe UI Semibold"/>
                          <w:b/>
                          <w:color w:val="666155"/>
                          <w:spacing w:val="1"/>
                          <w:sz w:val="16"/>
                        </w:rPr>
                        <w:t> </w:t>
                      </w:r>
                      <w:r>
                        <w:rPr>
                          <w:rFonts w:ascii="Segoe UI Semibold"/>
                          <w:b/>
                          <w:color w:val="666155"/>
                          <w:spacing w:val="4"/>
                          <w:sz w:val="16"/>
                        </w:rPr>
                        <w:t>ABORIGINAL</w:t>
                      </w:r>
                      <w:r>
                        <w:rPr>
                          <w:rFonts w:ascii="Segoe UI Semibold"/>
                          <w:b/>
                          <w:color w:val="666155"/>
                          <w:spacing w:val="3"/>
                          <w:sz w:val="16"/>
                        </w:rPr>
                        <w:t> AND</w:t>
                      </w:r>
                      <w:r>
                        <w:rPr>
                          <w:rFonts w:ascii="Segoe UI Semibold"/>
                          <w:b/>
                          <w:color w:val="666155"/>
                          <w:spacing w:val="1"/>
                          <w:sz w:val="16"/>
                        </w:rPr>
                        <w:t> </w:t>
                      </w:r>
                      <w:r>
                        <w:rPr>
                          <w:rFonts w:ascii="Segoe UI Semibold"/>
                          <w:b/>
                          <w:color w:val="666155"/>
                          <w:spacing w:val="3"/>
                          <w:sz w:val="16"/>
                        </w:rPr>
                        <w:t>TORRES</w:t>
                      </w:r>
                      <w:r>
                        <w:rPr>
                          <w:rFonts w:ascii="Segoe UI Semibold"/>
                          <w:b/>
                          <w:color w:val="666155"/>
                          <w:spacing w:val="1"/>
                          <w:sz w:val="16"/>
                        </w:rPr>
                        <w:t> </w:t>
                      </w:r>
                      <w:r>
                        <w:rPr>
                          <w:rFonts w:ascii="Segoe UI Semibold"/>
                          <w:b/>
                          <w:color w:val="666155"/>
                          <w:spacing w:val="5"/>
                          <w:sz w:val="16"/>
                        </w:rPr>
                        <w:t>STRAIT</w:t>
                      </w:r>
                      <w:r>
                        <w:rPr>
                          <w:rFonts w:ascii="Segoe UI Semibold"/>
                          <w:sz w:val="16"/>
                        </w:rPr>
                      </w:r>
                    </w:p>
                    <w:p>
                      <w:pPr>
                        <w:spacing w:line="196" w:lineRule="exact" w:before="0"/>
                        <w:ind w:left="0" w:right="0" w:firstLine="0"/>
                        <w:jc w:val="left"/>
                        <w:rPr>
                          <w:rFonts w:ascii="Segoe UI Semibold" w:hAnsi="Segoe UI Semibold" w:cs="Segoe UI Semibold" w:eastAsia="Segoe UI Semibold"/>
                          <w:sz w:val="16"/>
                          <w:szCs w:val="16"/>
                        </w:rPr>
                      </w:pPr>
                      <w:r>
                        <w:rPr>
                          <w:rFonts w:ascii="Segoe UI Semibold"/>
                          <w:b/>
                          <w:color w:val="666155"/>
                          <w:spacing w:val="4"/>
                          <w:sz w:val="16"/>
                        </w:rPr>
                        <w:t>ISLANDER</w:t>
                      </w:r>
                      <w:r>
                        <w:rPr>
                          <w:rFonts w:ascii="Segoe UI Semibold"/>
                          <w:b/>
                          <w:color w:val="666155"/>
                          <w:spacing w:val="-1"/>
                          <w:sz w:val="16"/>
                        </w:rPr>
                        <w:t> </w:t>
                      </w:r>
                      <w:r>
                        <w:rPr>
                          <w:rFonts w:ascii="Segoe UI Semibold"/>
                          <w:b/>
                          <w:color w:val="666155"/>
                          <w:spacing w:val="4"/>
                          <w:sz w:val="16"/>
                        </w:rPr>
                        <w:t>BOARDING</w:t>
                      </w:r>
                      <w:r>
                        <w:rPr>
                          <w:rFonts w:ascii="Segoe UI Semibold"/>
                          <w:b/>
                          <w:color w:val="666155"/>
                          <w:spacing w:val="-1"/>
                          <w:sz w:val="16"/>
                        </w:rPr>
                        <w:t> </w:t>
                      </w:r>
                      <w:r>
                        <w:rPr>
                          <w:rFonts w:ascii="Segoe UI Semibold"/>
                          <w:b/>
                          <w:color w:val="666155"/>
                          <w:spacing w:val="4"/>
                          <w:sz w:val="16"/>
                        </w:rPr>
                        <w:t>PROVIDERS,</w:t>
                      </w:r>
                      <w:r>
                        <w:rPr>
                          <w:rFonts w:ascii="Segoe UI Semibold"/>
                          <w:b/>
                          <w:color w:val="666155"/>
                          <w:spacing w:val="-5"/>
                          <w:sz w:val="16"/>
                        </w:rPr>
                        <w:t> </w:t>
                      </w:r>
                      <w:r>
                        <w:rPr>
                          <w:rFonts w:ascii="Segoe UI Semibold"/>
                          <w:b/>
                          <w:color w:val="666155"/>
                          <w:sz w:val="16"/>
                        </w:rPr>
                        <w:t>2017</w:t>
                      </w:r>
                      <w:r>
                        <w:rPr>
                          <w:rFonts w:ascii="Segoe UI Semibold"/>
                          <w:sz w:val="16"/>
                        </w:rPr>
                      </w:r>
                    </w:p>
                  </w:txbxContent>
                </v:textbox>
                <w10:wrap type="none"/>
              </v:shape>
              <v:shape style="position:absolute;left:2293;top:8695;width:467;height:2104" type="#_x0000_t202" filled="false" stroked="false">
                <v:textbox inset="0,0,0,0">
                  <w:txbxContent>
                    <w:p>
                      <w:pPr>
                        <w:spacing w:line="162" w:lineRule="exact" w:before="0"/>
                        <w:ind w:left="0" w:right="0" w:firstLine="0"/>
                        <w:jc w:val="left"/>
                        <w:rPr>
                          <w:rFonts w:ascii="Segoe UI" w:hAnsi="Segoe UI" w:cs="Segoe UI" w:eastAsia="Segoe UI"/>
                          <w:sz w:val="16"/>
                          <w:szCs w:val="16"/>
                        </w:rPr>
                      </w:pPr>
                      <w:r>
                        <w:rPr>
                          <w:rFonts w:ascii="Segoe UI"/>
                          <w:color w:val="77787B"/>
                          <w:spacing w:val="-1"/>
                          <w:sz w:val="16"/>
                        </w:rPr>
                        <w:t>80,000</w:t>
                      </w:r>
                      <w:r>
                        <w:rPr>
                          <w:rFonts w:ascii="Segoe UI"/>
                          <w:sz w:val="16"/>
                        </w:rPr>
                      </w:r>
                    </w:p>
                    <w:p>
                      <w:pPr>
                        <w:spacing w:before="30"/>
                        <w:ind w:left="0" w:right="0" w:firstLine="0"/>
                        <w:jc w:val="left"/>
                        <w:rPr>
                          <w:rFonts w:ascii="Segoe UI" w:hAnsi="Segoe UI" w:cs="Segoe UI" w:eastAsia="Segoe UI"/>
                          <w:sz w:val="16"/>
                          <w:szCs w:val="16"/>
                        </w:rPr>
                      </w:pPr>
                      <w:r>
                        <w:rPr>
                          <w:rFonts w:ascii="Segoe UI"/>
                          <w:color w:val="77787B"/>
                          <w:spacing w:val="-1"/>
                          <w:sz w:val="16"/>
                        </w:rPr>
                        <w:t>70,000</w:t>
                      </w:r>
                      <w:r>
                        <w:rPr>
                          <w:rFonts w:ascii="Segoe UI"/>
                          <w:sz w:val="16"/>
                        </w:rPr>
                      </w:r>
                    </w:p>
                    <w:p>
                      <w:pPr>
                        <w:spacing w:before="30"/>
                        <w:ind w:left="0" w:right="0" w:firstLine="0"/>
                        <w:jc w:val="left"/>
                        <w:rPr>
                          <w:rFonts w:ascii="Segoe UI" w:hAnsi="Segoe UI" w:cs="Segoe UI" w:eastAsia="Segoe UI"/>
                          <w:sz w:val="16"/>
                          <w:szCs w:val="16"/>
                        </w:rPr>
                      </w:pPr>
                      <w:r>
                        <w:rPr>
                          <w:rFonts w:ascii="Segoe UI"/>
                          <w:color w:val="77787B"/>
                          <w:spacing w:val="-1"/>
                          <w:sz w:val="16"/>
                        </w:rPr>
                        <w:t>60,000</w:t>
                      </w:r>
                      <w:r>
                        <w:rPr>
                          <w:rFonts w:ascii="Segoe UI"/>
                          <w:sz w:val="16"/>
                        </w:rPr>
                      </w:r>
                    </w:p>
                    <w:p>
                      <w:pPr>
                        <w:spacing w:before="30"/>
                        <w:ind w:left="0" w:right="0" w:firstLine="0"/>
                        <w:jc w:val="left"/>
                        <w:rPr>
                          <w:rFonts w:ascii="Segoe UI" w:hAnsi="Segoe UI" w:cs="Segoe UI" w:eastAsia="Segoe UI"/>
                          <w:sz w:val="16"/>
                          <w:szCs w:val="16"/>
                        </w:rPr>
                      </w:pPr>
                      <w:r>
                        <w:rPr>
                          <w:rFonts w:ascii="Segoe UI"/>
                          <w:color w:val="77787B"/>
                          <w:spacing w:val="-1"/>
                          <w:sz w:val="16"/>
                        </w:rPr>
                        <w:t>50,000</w:t>
                      </w:r>
                      <w:r>
                        <w:rPr>
                          <w:rFonts w:ascii="Segoe UI"/>
                          <w:sz w:val="16"/>
                        </w:rPr>
                      </w:r>
                    </w:p>
                    <w:p>
                      <w:pPr>
                        <w:spacing w:before="30"/>
                        <w:ind w:left="0" w:right="0" w:firstLine="0"/>
                        <w:jc w:val="left"/>
                        <w:rPr>
                          <w:rFonts w:ascii="Segoe UI" w:hAnsi="Segoe UI" w:cs="Segoe UI" w:eastAsia="Segoe UI"/>
                          <w:sz w:val="16"/>
                          <w:szCs w:val="16"/>
                        </w:rPr>
                      </w:pPr>
                      <w:r>
                        <w:rPr>
                          <w:rFonts w:ascii="Segoe UI"/>
                          <w:color w:val="77787B"/>
                          <w:spacing w:val="-1"/>
                          <w:sz w:val="16"/>
                        </w:rPr>
                        <w:t>40,000</w:t>
                      </w:r>
                      <w:r>
                        <w:rPr>
                          <w:rFonts w:ascii="Segoe UI"/>
                          <w:sz w:val="16"/>
                        </w:rPr>
                      </w:r>
                    </w:p>
                    <w:p>
                      <w:pPr>
                        <w:spacing w:before="30"/>
                        <w:ind w:left="0" w:right="0" w:firstLine="0"/>
                        <w:jc w:val="left"/>
                        <w:rPr>
                          <w:rFonts w:ascii="Segoe UI" w:hAnsi="Segoe UI" w:cs="Segoe UI" w:eastAsia="Segoe UI"/>
                          <w:sz w:val="16"/>
                          <w:szCs w:val="16"/>
                        </w:rPr>
                      </w:pPr>
                      <w:r>
                        <w:rPr>
                          <w:rFonts w:ascii="Segoe UI"/>
                          <w:color w:val="77787B"/>
                          <w:spacing w:val="-1"/>
                          <w:sz w:val="16"/>
                        </w:rPr>
                        <w:t>30,000</w:t>
                      </w:r>
                      <w:r>
                        <w:rPr>
                          <w:rFonts w:ascii="Segoe UI"/>
                          <w:sz w:val="16"/>
                        </w:rPr>
                      </w:r>
                    </w:p>
                    <w:p>
                      <w:pPr>
                        <w:spacing w:before="30"/>
                        <w:ind w:left="0" w:right="0" w:firstLine="0"/>
                        <w:jc w:val="left"/>
                        <w:rPr>
                          <w:rFonts w:ascii="Segoe UI" w:hAnsi="Segoe UI" w:cs="Segoe UI" w:eastAsia="Segoe UI"/>
                          <w:sz w:val="16"/>
                          <w:szCs w:val="16"/>
                        </w:rPr>
                      </w:pPr>
                      <w:r>
                        <w:rPr>
                          <w:rFonts w:ascii="Segoe UI"/>
                          <w:color w:val="77787B"/>
                          <w:spacing w:val="-1"/>
                          <w:sz w:val="16"/>
                        </w:rPr>
                        <w:t>20,000</w:t>
                      </w:r>
                      <w:r>
                        <w:rPr>
                          <w:rFonts w:ascii="Segoe UI"/>
                          <w:sz w:val="16"/>
                        </w:rPr>
                      </w:r>
                    </w:p>
                    <w:p>
                      <w:pPr>
                        <w:spacing w:before="30"/>
                        <w:ind w:left="0" w:right="0" w:firstLine="0"/>
                        <w:jc w:val="left"/>
                        <w:rPr>
                          <w:rFonts w:ascii="Segoe UI" w:hAnsi="Segoe UI" w:cs="Segoe UI" w:eastAsia="Segoe UI"/>
                          <w:sz w:val="16"/>
                          <w:szCs w:val="16"/>
                        </w:rPr>
                      </w:pPr>
                      <w:r>
                        <w:rPr>
                          <w:rFonts w:ascii="Segoe UI"/>
                          <w:color w:val="77787B"/>
                          <w:spacing w:val="-1"/>
                          <w:sz w:val="16"/>
                        </w:rPr>
                        <w:t>10,000</w:t>
                      </w:r>
                      <w:r>
                        <w:rPr>
                          <w:rFonts w:ascii="Segoe UI"/>
                          <w:sz w:val="16"/>
                        </w:rPr>
                      </w:r>
                    </w:p>
                    <w:p>
                      <w:pPr>
                        <w:spacing w:line="211" w:lineRule="exact" w:before="30"/>
                        <w:ind w:left="0" w:right="0" w:firstLine="0"/>
                        <w:jc w:val="right"/>
                        <w:rPr>
                          <w:rFonts w:ascii="Segoe UI" w:hAnsi="Segoe UI" w:cs="Segoe UI" w:eastAsia="Segoe UI"/>
                          <w:sz w:val="16"/>
                          <w:szCs w:val="16"/>
                        </w:rPr>
                      </w:pPr>
                      <w:r>
                        <w:rPr>
                          <w:rFonts w:ascii="Segoe UI"/>
                          <w:color w:val="77787B"/>
                          <w:w w:val="95"/>
                          <w:sz w:val="16"/>
                        </w:rPr>
                        <w:t>-</w:t>
                      </w:r>
                      <w:r>
                        <w:rPr>
                          <w:rFonts w:ascii="Segoe UI"/>
                          <w:sz w:val="16"/>
                        </w:rPr>
                      </w:r>
                    </w:p>
                  </w:txbxContent>
                </v:textbox>
                <w10:wrap type="none"/>
              </v:shape>
              <v:shape style="position:absolute;left:2880;top:10872;width:87;height:161" type="#_x0000_t202" filled="false" stroked="false">
                <v:textbox inset="0,0,0,0">
                  <w:txbxContent>
                    <w:p>
                      <w:pPr>
                        <w:spacing w:line="161" w:lineRule="exact" w:before="0"/>
                        <w:ind w:left="0" w:right="0" w:firstLine="0"/>
                        <w:jc w:val="left"/>
                        <w:rPr>
                          <w:rFonts w:ascii="Segoe UI" w:hAnsi="Segoe UI" w:cs="Segoe UI" w:eastAsia="Segoe UI"/>
                          <w:sz w:val="16"/>
                          <w:szCs w:val="16"/>
                        </w:rPr>
                      </w:pPr>
                      <w:r>
                        <w:rPr>
                          <w:rFonts w:ascii="Segoe UI"/>
                          <w:color w:val="77787B"/>
                          <w:sz w:val="16"/>
                        </w:rPr>
                        <w:t>0</w:t>
                      </w:r>
                      <w:r>
                        <w:rPr>
                          <w:rFonts w:ascii="Segoe UI"/>
                          <w:sz w:val="16"/>
                        </w:rPr>
                      </w:r>
                    </w:p>
                  </w:txbxContent>
                </v:textbox>
                <w10:wrap type="none"/>
              </v:shape>
              <v:shape style="position:absolute;left:3982;top:10872;width:87;height:161" type="#_x0000_t202" filled="false" stroked="false">
                <v:textbox inset="0,0,0,0">
                  <w:txbxContent>
                    <w:p>
                      <w:pPr>
                        <w:spacing w:line="161" w:lineRule="exact" w:before="0"/>
                        <w:ind w:left="0" w:right="0" w:firstLine="0"/>
                        <w:jc w:val="left"/>
                        <w:rPr>
                          <w:rFonts w:ascii="Segoe UI" w:hAnsi="Segoe UI" w:cs="Segoe UI" w:eastAsia="Segoe UI"/>
                          <w:sz w:val="16"/>
                          <w:szCs w:val="16"/>
                        </w:rPr>
                      </w:pPr>
                      <w:r>
                        <w:rPr>
                          <w:rFonts w:ascii="Segoe UI"/>
                          <w:color w:val="77787B"/>
                          <w:sz w:val="16"/>
                        </w:rPr>
                        <w:t>5</w:t>
                      </w:r>
                      <w:r>
                        <w:rPr>
                          <w:rFonts w:ascii="Segoe UI"/>
                          <w:sz w:val="16"/>
                        </w:rPr>
                      </w:r>
                    </w:p>
                  </w:txbxContent>
                </v:textbox>
                <w10:wrap type="none"/>
              </v:shape>
              <v:shape style="position:absolute;left:5042;top:10872;width:173;height:161" type="#_x0000_t202" filled="false" stroked="false">
                <v:textbox inset="0,0,0,0">
                  <w:txbxContent>
                    <w:p>
                      <w:pPr>
                        <w:spacing w:line="161" w:lineRule="exact" w:before="0"/>
                        <w:ind w:left="0" w:right="0" w:firstLine="0"/>
                        <w:jc w:val="left"/>
                        <w:rPr>
                          <w:rFonts w:ascii="Segoe UI" w:hAnsi="Segoe UI" w:cs="Segoe UI" w:eastAsia="Segoe UI"/>
                          <w:sz w:val="16"/>
                          <w:szCs w:val="16"/>
                        </w:rPr>
                      </w:pPr>
                      <w:r>
                        <w:rPr>
                          <w:rFonts w:ascii="Segoe UI"/>
                          <w:color w:val="77787B"/>
                          <w:spacing w:val="-1"/>
                          <w:sz w:val="16"/>
                        </w:rPr>
                        <w:t>10</w:t>
                      </w:r>
                      <w:r>
                        <w:rPr>
                          <w:rFonts w:ascii="Segoe UI"/>
                          <w:sz w:val="16"/>
                        </w:rPr>
                      </w:r>
                    </w:p>
                  </w:txbxContent>
                </v:textbox>
                <w10:wrap type="none"/>
              </v:shape>
              <v:shape style="position:absolute;left:6145;top:10872;width:173;height:161" type="#_x0000_t202" filled="false" stroked="false">
                <v:textbox inset="0,0,0,0">
                  <w:txbxContent>
                    <w:p>
                      <w:pPr>
                        <w:spacing w:line="161" w:lineRule="exact" w:before="0"/>
                        <w:ind w:left="0" w:right="0" w:firstLine="0"/>
                        <w:jc w:val="left"/>
                        <w:rPr>
                          <w:rFonts w:ascii="Segoe UI" w:hAnsi="Segoe UI" w:cs="Segoe UI" w:eastAsia="Segoe UI"/>
                          <w:sz w:val="16"/>
                          <w:szCs w:val="16"/>
                        </w:rPr>
                      </w:pPr>
                      <w:r>
                        <w:rPr>
                          <w:rFonts w:ascii="Segoe UI"/>
                          <w:color w:val="77787B"/>
                          <w:spacing w:val="-1"/>
                          <w:sz w:val="16"/>
                        </w:rPr>
                        <w:t>15</w:t>
                      </w:r>
                      <w:r>
                        <w:rPr>
                          <w:rFonts w:ascii="Segoe UI"/>
                          <w:sz w:val="16"/>
                        </w:rPr>
                      </w:r>
                    </w:p>
                  </w:txbxContent>
                </v:textbox>
                <w10:wrap type="none"/>
              </v:shape>
              <v:shape style="position:absolute;left:7247;top:10872;width:173;height:161" type="#_x0000_t202" filled="false" stroked="false">
                <v:textbox inset="0,0,0,0">
                  <w:txbxContent>
                    <w:p>
                      <w:pPr>
                        <w:spacing w:line="161" w:lineRule="exact" w:before="0"/>
                        <w:ind w:left="0" w:right="0" w:firstLine="0"/>
                        <w:jc w:val="left"/>
                        <w:rPr>
                          <w:rFonts w:ascii="Segoe UI" w:hAnsi="Segoe UI" w:cs="Segoe UI" w:eastAsia="Segoe UI"/>
                          <w:sz w:val="16"/>
                          <w:szCs w:val="16"/>
                        </w:rPr>
                      </w:pPr>
                      <w:r>
                        <w:rPr>
                          <w:rFonts w:ascii="Segoe UI"/>
                          <w:color w:val="77787B"/>
                          <w:spacing w:val="-1"/>
                          <w:sz w:val="16"/>
                        </w:rPr>
                        <w:t>20</w:t>
                      </w:r>
                      <w:r>
                        <w:rPr>
                          <w:rFonts w:ascii="Segoe UI"/>
                          <w:sz w:val="16"/>
                        </w:rPr>
                      </w:r>
                    </w:p>
                  </w:txbxContent>
                </v:textbox>
                <w10:wrap type="none"/>
              </v:shape>
              <v:shape style="position:absolute;left:8350;top:10872;width:173;height:161" type="#_x0000_t202" filled="false" stroked="false">
                <v:textbox inset="0,0,0,0">
                  <w:txbxContent>
                    <w:p>
                      <w:pPr>
                        <w:spacing w:line="161" w:lineRule="exact" w:before="0"/>
                        <w:ind w:left="0" w:right="0" w:firstLine="0"/>
                        <w:jc w:val="left"/>
                        <w:rPr>
                          <w:rFonts w:ascii="Segoe UI" w:hAnsi="Segoe UI" w:cs="Segoe UI" w:eastAsia="Segoe UI"/>
                          <w:sz w:val="16"/>
                          <w:szCs w:val="16"/>
                        </w:rPr>
                      </w:pPr>
                      <w:r>
                        <w:rPr>
                          <w:rFonts w:ascii="Segoe UI"/>
                          <w:color w:val="77787B"/>
                          <w:spacing w:val="-1"/>
                          <w:sz w:val="16"/>
                        </w:rPr>
                        <w:t>25</w:t>
                      </w:r>
                      <w:r>
                        <w:rPr>
                          <w:rFonts w:ascii="Segoe UI"/>
                          <w:sz w:val="16"/>
                        </w:rPr>
                      </w:r>
                    </w:p>
                  </w:txbxContent>
                </v:textbox>
                <w10:wrap type="none"/>
              </v:shape>
              <v:shape style="position:absolute;left:9452;top:10872;width:173;height:161" type="#_x0000_t202" filled="false" stroked="false">
                <v:textbox inset="0,0,0,0">
                  <w:txbxContent>
                    <w:p>
                      <w:pPr>
                        <w:spacing w:line="161" w:lineRule="exact" w:before="0"/>
                        <w:ind w:left="0" w:right="0" w:firstLine="0"/>
                        <w:jc w:val="left"/>
                        <w:rPr>
                          <w:rFonts w:ascii="Segoe UI" w:hAnsi="Segoe UI" w:cs="Segoe UI" w:eastAsia="Segoe UI"/>
                          <w:sz w:val="16"/>
                          <w:szCs w:val="16"/>
                        </w:rPr>
                      </w:pPr>
                      <w:r>
                        <w:rPr>
                          <w:rFonts w:ascii="Segoe UI"/>
                          <w:color w:val="77787B"/>
                          <w:spacing w:val="-1"/>
                          <w:sz w:val="16"/>
                        </w:rPr>
                        <w:t>30</w:t>
                      </w:r>
                      <w:r>
                        <w:rPr>
                          <w:rFonts w:ascii="Segoe UI"/>
                          <w:sz w:val="16"/>
                        </w:rPr>
                      </w:r>
                    </w:p>
                  </w:txbxContent>
                </v:textbox>
                <w10:wrap type="none"/>
              </v:shape>
            </v:group>
            <w10:wrap type="none"/>
          </v:group>
        </w:pict>
      </w:r>
      <w:r>
        <w:rPr/>
        <w:pict>
          <v:shape style="position:absolute;margin-left:95.139648pt;margin-top:207.057938pt;width:10.050pt;height:43.6pt;mso-position-horizontal-relative:page;mso-position-vertical-relative:page;z-index:5440" type="#_x0000_t202" filled="false" stroked="false">
            <v:textbox inset="0,0,0,0" style="layout-flow:vertical;mso-layout-flow-alt:bottom-to-top">
              <w:txbxContent>
                <w:p>
                  <w:pPr>
                    <w:spacing w:line="182" w:lineRule="exact" w:before="0"/>
                    <w:ind w:left="20" w:right="0" w:firstLine="0"/>
                    <w:jc w:val="left"/>
                    <w:rPr>
                      <w:rFonts w:ascii="Segoe UI" w:hAnsi="Segoe UI" w:cs="Segoe UI" w:eastAsia="Segoe UI"/>
                      <w:sz w:val="16"/>
                      <w:szCs w:val="16"/>
                    </w:rPr>
                  </w:pPr>
                  <w:r>
                    <w:rPr>
                      <w:rFonts w:ascii="Segoe UI"/>
                      <w:color w:val="77787B"/>
                      <w:sz w:val="16"/>
                    </w:rPr>
                    <w:t>(Revenue</w:t>
                  </w:r>
                  <w:r>
                    <w:rPr>
                      <w:rFonts w:ascii="Segoe UI"/>
                      <w:color w:val="77787B"/>
                      <w:spacing w:val="-4"/>
                      <w:sz w:val="16"/>
                    </w:rPr>
                    <w:t> </w:t>
                  </w:r>
                  <w:r>
                    <w:rPr>
                      <w:rFonts w:ascii="Segoe UI"/>
                      <w:color w:val="77787B"/>
                      <w:spacing w:val="-1"/>
                      <w:sz w:val="16"/>
                    </w:rPr>
                    <w:t>$)</w:t>
                  </w:r>
                  <w:r>
                    <w:rPr>
                      <w:rFonts w:ascii="Segoe UI"/>
                      <w:sz w:val="16"/>
                    </w:rPr>
                  </w:r>
                </w:p>
              </w:txbxContent>
            </v:textbox>
            <w10:wrap type="none"/>
          </v:shape>
        </w:pict>
      </w:r>
      <w:r>
        <w:rPr/>
        <w:pict>
          <v:shape style="position:absolute;margin-left:102.523453pt;margin-top:470.475464pt;width:10.050pt;height:32.5500pt;mso-position-horizontal-relative:page;mso-position-vertical-relative:page;z-index:5464" type="#_x0000_t202" filled="false" stroked="false">
            <v:textbox inset="0,0,0,0" style="layout-flow:vertical;mso-layout-flow-alt:bottom-to-top">
              <w:txbxContent>
                <w:p>
                  <w:pPr>
                    <w:spacing w:line="182" w:lineRule="exact" w:before="0"/>
                    <w:ind w:left="20" w:right="0" w:firstLine="0"/>
                    <w:jc w:val="left"/>
                    <w:rPr>
                      <w:rFonts w:ascii="Segoe UI" w:hAnsi="Segoe UI" w:cs="Segoe UI" w:eastAsia="Segoe UI"/>
                      <w:sz w:val="16"/>
                      <w:szCs w:val="16"/>
                    </w:rPr>
                  </w:pPr>
                  <w:r>
                    <w:rPr>
                      <w:rFonts w:ascii="Segoe UI"/>
                      <w:color w:val="77787B"/>
                      <w:spacing w:val="-1"/>
                      <w:sz w:val="16"/>
                    </w:rPr>
                    <w:t>(Costs $)</w:t>
                  </w:r>
                  <w:r>
                    <w:rPr>
                      <w:rFonts w:ascii="Segoe UI"/>
                      <w:sz w:val="16"/>
                    </w:rPr>
                  </w:r>
                </w:p>
              </w:txbxContent>
            </v:textbox>
            <w10:wrap type="none"/>
          </v:shape>
        </w:pict>
      </w:r>
    </w:p>
    <w:p>
      <w:pPr>
        <w:spacing w:after="0" w:line="240" w:lineRule="auto"/>
        <w:rPr>
          <w:rFonts w:ascii="Times New Roman" w:hAnsi="Times New Roman" w:cs="Times New Roman" w:eastAsia="Times New Roman"/>
          <w:sz w:val="17"/>
          <w:szCs w:val="17"/>
        </w:rPr>
        <w:sectPr>
          <w:pgSz w:w="11910" w:h="16840"/>
          <w:pgMar w:header="0" w:footer="691" w:top="1580" w:bottom="880" w:left="1300" w:right="0"/>
        </w:sect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8"/>
        <w:rPr>
          <w:rFonts w:ascii="Times New Roman" w:hAnsi="Times New Roman" w:cs="Times New Roman" w:eastAsia="Times New Roman"/>
          <w:sz w:val="21"/>
          <w:szCs w:val="21"/>
        </w:rPr>
      </w:pPr>
    </w:p>
    <w:p>
      <w:pPr>
        <w:spacing w:after="0" w:line="240" w:lineRule="auto"/>
        <w:rPr>
          <w:rFonts w:ascii="Times New Roman" w:hAnsi="Times New Roman" w:cs="Times New Roman" w:eastAsia="Times New Roman"/>
          <w:sz w:val="21"/>
          <w:szCs w:val="21"/>
        </w:rPr>
        <w:sectPr>
          <w:pgSz w:w="11910" w:h="16840"/>
          <w:pgMar w:header="0" w:footer="691" w:top="1580" w:bottom="880" w:left="1600" w:right="0"/>
        </w:sectPr>
      </w:pPr>
    </w:p>
    <w:p>
      <w:pPr>
        <w:pStyle w:val="BodyText"/>
        <w:spacing w:line="250" w:lineRule="exact" w:before="62"/>
        <w:ind w:left="100" w:right="182"/>
        <w:jc w:val="left"/>
      </w:pPr>
      <w:r>
        <w:rPr/>
        <w:pict>
          <v:group style="position:absolute;margin-left:85.039001pt;margin-top:-254.965988pt;width:439.4pt;height:247.3pt;mso-position-horizontal-relative:page;mso-position-vertical-relative:paragraph;z-index:5728" coordorigin="1701,-5099" coordsize="8788,4946">
            <v:group style="position:absolute;left:3310;top:-1376;width:6617;height:2" coordorigin="3310,-1376" coordsize="6617,2">
              <v:shape style="position:absolute;left:3310;top:-1376;width:6617;height:2" coordorigin="3310,-1376" coordsize="6617,0" path="m3310,-1376l9926,-1376e" filled="false" stroked="true" strokeweight=".75pt" strokecolor="#dcddde">
                <v:path arrowok="t"/>
              </v:shape>
            </v:group>
            <v:group style="position:absolute;left:3310;top:-1640;width:6617;height:2" coordorigin="3310,-1640" coordsize="6617,2">
              <v:shape style="position:absolute;left:3310;top:-1640;width:6617;height:2" coordorigin="3310,-1640" coordsize="6617,0" path="m3310,-1640l9926,-1640e" filled="false" stroked="true" strokeweight=".75pt" strokecolor="#dcddde">
                <v:path arrowok="t"/>
              </v:shape>
            </v:group>
            <v:group style="position:absolute;left:3310;top:-1907;width:6617;height:2" coordorigin="3310,-1907" coordsize="6617,2">
              <v:shape style="position:absolute;left:3310;top:-1907;width:6617;height:2" coordorigin="3310,-1907" coordsize="6617,0" path="m3310,-1907l9926,-1907e" filled="false" stroked="true" strokeweight=".75pt" strokecolor="#dcddde">
                <v:path arrowok="t"/>
              </v:shape>
            </v:group>
            <v:group style="position:absolute;left:3310;top:-2171;width:6617;height:2" coordorigin="3310,-2171" coordsize="6617,2">
              <v:shape style="position:absolute;left:3310;top:-2171;width:6617;height:2" coordorigin="3310,-2171" coordsize="6617,0" path="m3310,-2171l9926,-2171e" filled="false" stroked="true" strokeweight=".75pt" strokecolor="#dcddde">
                <v:path arrowok="t"/>
              </v:shape>
            </v:group>
            <v:group style="position:absolute;left:3310;top:-2435;width:6617;height:2" coordorigin="3310,-2435" coordsize="6617,2">
              <v:shape style="position:absolute;left:3310;top:-2435;width:6617;height:2" coordorigin="3310,-2435" coordsize="6617,0" path="m3310,-2435l9926,-2435e" filled="false" stroked="true" strokeweight=".75pt" strokecolor="#dcddde">
                <v:path arrowok="t"/>
              </v:shape>
            </v:group>
            <v:group style="position:absolute;left:3310;top:-2699;width:6617;height:2" coordorigin="3310,-2699" coordsize="6617,2">
              <v:shape style="position:absolute;left:3310;top:-2699;width:6617;height:2" coordorigin="3310,-2699" coordsize="6617,0" path="m3310,-2699l9926,-2699e" filled="false" stroked="true" strokeweight=".75pt" strokecolor="#dcddde">
                <v:path arrowok="t"/>
              </v:shape>
            </v:group>
            <v:group style="position:absolute;left:3310;top:-2965;width:6617;height:2" coordorigin="3310,-2965" coordsize="6617,2">
              <v:shape style="position:absolute;left:3310;top:-2965;width:6617;height:2" coordorigin="3310,-2965" coordsize="6617,0" path="m3310,-2965l9926,-2965e" filled="false" stroked="true" strokeweight=".75pt" strokecolor="#dcddde">
                <v:path arrowok="t"/>
              </v:shape>
            </v:group>
            <v:group style="position:absolute;left:3310;top:-3493;width:6617;height:2" coordorigin="3310,-3493" coordsize="6617,2">
              <v:shape style="position:absolute;left:3310;top:-3493;width:6617;height:2" coordorigin="3310,-3493" coordsize="6617,0" path="m3310,-3493l9926,-3493e" filled="false" stroked="true" strokeweight=".75pt" strokecolor="#dcddde">
                <v:path arrowok="t"/>
              </v:shape>
            </v:group>
            <v:group style="position:absolute;left:3310;top:-3758;width:6617;height:2" coordorigin="3310,-3758" coordsize="6617,2">
              <v:shape style="position:absolute;left:3310;top:-3758;width:6617;height:2" coordorigin="3310,-3758" coordsize="6617,0" path="m3310,-3758l9926,-3758e" filled="false" stroked="true" strokeweight=".75pt" strokecolor="#dcddde">
                <v:path arrowok="t"/>
              </v:shape>
            </v:group>
            <v:group style="position:absolute;left:4412;top:-3758;width:2;height:2383" coordorigin="4412,-3758" coordsize="2,2383">
              <v:shape style="position:absolute;left:4412;top:-3758;width:2;height:2383" coordorigin="4412,-3758" coordsize="0,2383" path="m4412,-3758l4412,-1376e" filled="false" stroked="true" strokeweight=".75pt" strokecolor="#dcddde">
                <v:path arrowok="t"/>
              </v:shape>
            </v:group>
            <v:group style="position:absolute;left:5516;top:-3758;width:2;height:2383" coordorigin="5516,-3758" coordsize="2,2383">
              <v:shape style="position:absolute;left:5516;top:-3758;width:2;height:2383" coordorigin="5516,-3758" coordsize="0,2383" path="m5516,-3758l5516,-1376e" filled="false" stroked="true" strokeweight=".75pt" strokecolor="#dcddde">
                <v:path arrowok="t"/>
              </v:shape>
            </v:group>
            <v:group style="position:absolute;left:6618;top:-3758;width:2;height:2383" coordorigin="6618,-3758" coordsize="2,2383">
              <v:shape style="position:absolute;left:6618;top:-3758;width:2;height:2383" coordorigin="6618,-3758" coordsize="0,2383" path="m6618,-3758l6618,-1376e" filled="false" stroked="true" strokeweight=".75pt" strokecolor="#dcddde">
                <v:path arrowok="t"/>
              </v:shape>
            </v:group>
            <v:group style="position:absolute;left:7719;top:-3758;width:2;height:2383" coordorigin="7719,-3758" coordsize="2,2383">
              <v:shape style="position:absolute;left:7719;top:-3758;width:2;height:2383" coordorigin="7719,-3758" coordsize="0,2383" path="m7719,-3758l7719,-1376e" filled="false" stroked="true" strokeweight=".75pt" strokecolor="#dcddde">
                <v:path arrowok="t"/>
              </v:shape>
            </v:group>
            <v:group style="position:absolute;left:8823;top:-3758;width:2;height:2383" coordorigin="8823,-3758" coordsize="2,2383">
              <v:shape style="position:absolute;left:8823;top:-3758;width:2;height:2383" coordorigin="8823,-3758" coordsize="0,2383" path="m8823,-3758l8823,-1376e" filled="false" stroked="true" strokeweight=".75pt" strokecolor="#dcddde">
                <v:path arrowok="t"/>
              </v:shape>
            </v:group>
            <v:group style="position:absolute;left:9926;top:-3758;width:2;height:2383" coordorigin="9926,-3758" coordsize="2,2383">
              <v:shape style="position:absolute;left:9926;top:-3758;width:2;height:2383" coordorigin="9926,-3758" coordsize="0,2383" path="m9926,-3758l9926,-1376e" filled="false" stroked="true" strokeweight=".75pt" strokecolor="#dcddde">
                <v:path arrowok="t"/>
              </v:shape>
            </v:group>
            <v:group style="position:absolute;left:3310;top:-3758;width:2;height:2383" coordorigin="3310,-3758" coordsize="2,2383">
              <v:shape style="position:absolute;left:3310;top:-3758;width:2;height:2383" coordorigin="3310,-3758" coordsize="0,2383" path="m3310,-1376l3310,-3758e" filled="false" stroked="true" strokeweight=".75pt" strokecolor="#c6c8ca">
                <v:path arrowok="t"/>
              </v:shape>
            </v:group>
            <v:group style="position:absolute;left:3310;top:-3229;width:6617;height:2" coordorigin="3310,-3229" coordsize="6617,2">
              <v:shape style="position:absolute;left:3310;top:-3229;width:6617;height:2" coordorigin="3310,-3229" coordsize="6617,0" path="m3310,-3229l9926,-3229e" filled="false" stroked="true" strokeweight=".75pt" strokecolor="#c6c8ca">
                <v:path arrowok="t"/>
              </v:shape>
            </v:group>
            <v:group style="position:absolute;left:3480;top:-2735;width:101;height:98" coordorigin="3480,-2735" coordsize="101,98">
              <v:shape style="position:absolute;left:3480;top:-2735;width:101;height:98" coordorigin="3480,-2735" coordsize="101,98" path="m3516,-2735l3497,-2724,3484,-2707,3480,-2684,3484,-2666,3497,-2650,3516,-2640,3543,-2638,3562,-2647,3575,-2664,3580,-2686,3580,-2689,3575,-2708,3563,-2723,3543,-2732,3516,-2735xe" filled="true" fillcolor="#8164a2" stroked="false">
                <v:path arrowok="t"/>
                <v:fill type="solid"/>
              </v:shape>
            </v:group>
            <v:group style="position:absolute;left:3480;top:-2735;width:101;height:98" coordorigin="3480,-2735" coordsize="101,98">
              <v:shape style="position:absolute;left:3480;top:-2735;width:101;height:98" coordorigin="3480,-2735" coordsize="101,98" path="m3580,-2686l3575,-2664,3562,-2647,3543,-2638,3516,-2640,3497,-2650,3484,-2666,3480,-2684,3484,-2707,3497,-2724,3516,-2735,3543,-2732,3563,-2723,3575,-2708,3580,-2689,3580,-2686xe" filled="false" stroked="true" strokeweight=".72pt" strokecolor="#8164a2">
                <v:path arrowok="t"/>
              </v:shape>
            </v:group>
            <v:group style="position:absolute;left:3700;top:-2812;width:101;height:98" coordorigin="3700,-2812" coordsize="101,98">
              <v:shape style="position:absolute;left:3700;top:-2812;width:101;height:98" coordorigin="3700,-2812" coordsize="101,98" path="m3737,-2812l3718,-2801,3705,-2784,3700,-2761,3705,-2742,3717,-2727,3737,-2717,3763,-2714,3783,-2724,3796,-2741,3801,-2763,3801,-2766,3796,-2785,3783,-2799,3764,-2809,3737,-2812xe" filled="true" fillcolor="#8164a2" stroked="false">
                <v:path arrowok="t"/>
                <v:fill type="solid"/>
              </v:shape>
            </v:group>
            <v:group style="position:absolute;left:3700;top:-2812;width:101;height:98" coordorigin="3700,-2812" coordsize="101,98">
              <v:shape style="position:absolute;left:3700;top:-2812;width:101;height:98" coordorigin="3700,-2812" coordsize="101,98" path="m3801,-2763l3796,-2741,3783,-2724,3763,-2714,3737,-2717,3717,-2727,3705,-2742,3700,-2761,3705,-2784,3718,-2801,3737,-2812,3764,-2809,3783,-2799,3796,-2785,3801,-2766,3801,-2763xe" filled="false" stroked="true" strokeweight=".72pt" strokecolor="#8164a2">
                <v:path arrowok="t"/>
              </v:shape>
            </v:group>
            <v:group style="position:absolute;left:3921;top:-1799;width:101;height:98" coordorigin="3921,-1799" coordsize="101,98">
              <v:shape style="position:absolute;left:3921;top:-1799;width:101;height:98" coordorigin="3921,-1799" coordsize="101,98" path="m3958,-1799l3939,-1788,3926,-1771,3921,-1748,3926,-1729,3938,-1714,3958,-1704,3984,-1702,4004,-1711,4017,-1728,4022,-1750,4022,-1753,4017,-1772,4004,-1787,3984,-1796,3958,-1799xe" filled="true" fillcolor="#8164a2" stroked="false">
                <v:path arrowok="t"/>
                <v:fill type="solid"/>
              </v:shape>
            </v:group>
            <v:group style="position:absolute;left:3921;top:-1799;width:101;height:98" coordorigin="3921,-1799" coordsize="101,98">
              <v:shape style="position:absolute;left:3921;top:-1799;width:101;height:98" coordorigin="3921,-1799" coordsize="101,98" path="m4022,-1750l4017,-1728,4004,-1711,3984,-1702,3958,-1704,3938,-1714,3926,-1729,3921,-1748,3926,-1771,3939,-1788,3958,-1799,3984,-1796,4004,-1787,4017,-1772,4022,-1753,4022,-1750xe" filled="false" stroked="true" strokeweight=".72pt" strokecolor="#8164a2">
                <v:path arrowok="t"/>
              </v:shape>
            </v:group>
            <v:group style="position:absolute;left:4142;top:-2898;width:101;height:98" coordorigin="4142,-2898" coordsize="101,98">
              <v:shape style="position:absolute;left:4142;top:-2898;width:101;height:98" coordorigin="4142,-2898" coordsize="101,98" path="m4178,-2898l4160,-2888,4147,-2870,4142,-2848,4147,-2829,4159,-2813,4179,-2804,4205,-2801,4224,-2811,4238,-2828,4243,-2849,4243,-2852,4238,-2871,4225,-2886,4205,-2895,4178,-2898xe" filled="true" fillcolor="#8164a2" stroked="false">
                <v:path arrowok="t"/>
                <v:fill type="solid"/>
              </v:shape>
            </v:group>
            <v:group style="position:absolute;left:4142;top:-2898;width:101;height:98" coordorigin="4142,-2898" coordsize="101,98">
              <v:shape style="position:absolute;left:4142;top:-2898;width:101;height:98" coordorigin="4142,-2898" coordsize="101,98" path="m4243,-2849l4238,-2828,4224,-2811,4205,-2801,4179,-2804,4159,-2813,4147,-2829,4142,-2848,4147,-2870,4160,-2888,4178,-2898,4205,-2895,4225,-2886,4238,-2871,4243,-2852,4243,-2849xe" filled="false" stroked="true" strokeweight=".72pt" strokecolor="#8164a2">
                <v:path arrowok="t"/>
              </v:shape>
            </v:group>
            <v:group style="position:absolute;left:4363;top:-2795;width:101;height:98" coordorigin="4363,-2795" coordsize="101,98">
              <v:shape style="position:absolute;left:4363;top:-2795;width:101;height:98" coordorigin="4363,-2795" coordsize="101,98" path="m4399,-2795l4380,-2784,4367,-2767,4363,-2744,4367,-2726,4380,-2710,4399,-2700,4426,-2698,4445,-2707,4459,-2724,4463,-2746,4463,-2749,4458,-2768,4446,-2783,4426,-2792,4399,-2795xe" filled="true" fillcolor="#8164a2" stroked="false">
                <v:path arrowok="t"/>
                <v:fill type="solid"/>
              </v:shape>
            </v:group>
            <v:group style="position:absolute;left:4363;top:-2795;width:101;height:98" coordorigin="4363,-2795" coordsize="101,98">
              <v:shape style="position:absolute;left:4363;top:-2795;width:101;height:98" coordorigin="4363,-2795" coordsize="101,98" path="m4463,-2746l4459,-2724,4445,-2707,4426,-2698,4399,-2700,4380,-2710,4367,-2726,4363,-2744,4367,-2767,4380,-2784,4399,-2795,4426,-2792,4446,-2783,4458,-2768,4463,-2749,4463,-2746xe" filled="false" stroked="true" strokeweight=".72pt" strokecolor="#8164a2">
                <v:path arrowok="t"/>
              </v:shape>
            </v:group>
            <v:group style="position:absolute;left:4584;top:-3253;width:101;height:98" coordorigin="4584,-3253" coordsize="101,98">
              <v:shape style="position:absolute;left:4584;top:-3253;width:101;height:98" coordorigin="4584,-3253" coordsize="101,98" path="m4620,-3253l4601,-3243,4588,-3225,4584,-3203,4588,-3184,4601,-3169,4620,-3159,4647,-3156,4666,-3166,4679,-3183,4684,-3205,4684,-3208,4679,-3226,4667,-3241,4647,-3251,4620,-3253xe" filled="true" fillcolor="#8164a2" stroked="false">
                <v:path arrowok="t"/>
                <v:fill type="solid"/>
              </v:shape>
            </v:group>
            <v:group style="position:absolute;left:4584;top:-3253;width:101;height:98" coordorigin="4584,-3253" coordsize="101,98">
              <v:shape style="position:absolute;left:4584;top:-3253;width:101;height:98" coordorigin="4584,-3253" coordsize="101,98" path="m4684,-3205l4679,-3183,4666,-3166,4647,-3156,4620,-3159,4601,-3169,4588,-3184,4584,-3203,4588,-3225,4601,-3243,4620,-3253,4647,-3251,4667,-3241,4679,-3226,4684,-3208,4684,-3205xe" filled="false" stroked="true" strokeweight=".72pt" strokecolor="#8164a2">
                <v:path arrowok="t"/>
              </v:shape>
            </v:group>
            <v:group style="position:absolute;left:4804;top:-3589;width:101;height:98" coordorigin="4804,-3589" coordsize="101,98">
              <v:shape style="position:absolute;left:4804;top:-3589;width:101;height:98" coordorigin="4804,-3589" coordsize="101,98" path="m4841,-3589l4822,-3579,4809,-3561,4804,-3539,4809,-3520,4821,-3505,4841,-3495,4867,-3492,4887,-3502,4900,-3519,4905,-3541,4905,-3544,4900,-3562,4887,-3577,4868,-3587,4841,-3589xe" filled="true" fillcolor="#8164a2" stroked="false">
                <v:path arrowok="t"/>
                <v:fill type="solid"/>
              </v:shape>
            </v:group>
            <v:group style="position:absolute;left:4804;top:-3589;width:101;height:98" coordorigin="4804,-3589" coordsize="101,98">
              <v:shape style="position:absolute;left:4804;top:-3589;width:101;height:98" coordorigin="4804,-3589" coordsize="101,98" path="m4905,-3541l4900,-3519,4887,-3502,4867,-3492,4841,-3495,4821,-3505,4809,-3520,4804,-3539,4809,-3561,4822,-3579,4841,-3589,4868,-3587,4887,-3577,4900,-3562,4905,-3544,4905,-3541xe" filled="false" stroked="true" strokeweight=".72pt" strokecolor="#8164a2">
                <v:path arrowok="t"/>
              </v:shape>
            </v:group>
            <v:group style="position:absolute;left:5025;top:-1645;width:101;height:98" coordorigin="5025,-1645" coordsize="101,98">
              <v:shape style="position:absolute;left:5025;top:-1645;width:101;height:98" coordorigin="5025,-1645" coordsize="101,98" path="m5062,-1645l5043,-1635,5030,-1617,5025,-1595,5030,-1576,5042,-1561,5062,-1551,5088,-1548,5108,-1558,5121,-1575,5126,-1597,5126,-1600,5121,-1618,5108,-1633,5088,-1643,5062,-1645xe" filled="true" fillcolor="#8164a2" stroked="false">
                <v:path arrowok="t"/>
                <v:fill type="solid"/>
              </v:shape>
            </v:group>
            <v:group style="position:absolute;left:5025;top:-1645;width:101;height:98" coordorigin="5025,-1645" coordsize="101,98">
              <v:shape style="position:absolute;left:5025;top:-1645;width:101;height:98" coordorigin="5025,-1645" coordsize="101,98" path="m5126,-1597l5121,-1575,5108,-1558,5088,-1548,5062,-1551,5042,-1561,5030,-1576,5025,-1595,5030,-1617,5043,-1635,5062,-1645,5088,-1643,5108,-1633,5121,-1618,5126,-1600,5126,-1597xe" filled="false" stroked="true" strokeweight=".72pt" strokecolor="#8164a2">
                <v:path arrowok="t"/>
              </v:shape>
            </v:group>
            <v:group style="position:absolute;left:5246;top:-3104;width:101;height:98" coordorigin="5246,-3104" coordsize="101,98">
              <v:shape style="position:absolute;left:5246;top:-3104;width:101;height:98" coordorigin="5246,-3104" coordsize="101,98" path="m5282,-3104l5264,-3094,5251,-3077,5246,-3054,5251,-3035,5263,-3020,5283,-3010,5309,-3007,5328,-3017,5342,-3034,5347,-3056,5347,-3059,5342,-3077,5329,-3092,5309,-3102,5282,-3104xe" filled="true" fillcolor="#8164a2" stroked="false">
                <v:path arrowok="t"/>
                <v:fill type="solid"/>
              </v:shape>
            </v:group>
            <v:group style="position:absolute;left:5246;top:-3104;width:101;height:98" coordorigin="5246,-3104" coordsize="101,98">
              <v:shape style="position:absolute;left:5246;top:-3104;width:101;height:98" coordorigin="5246,-3104" coordsize="101,98" path="m5347,-3056l5342,-3034,5328,-3017,5309,-3007,5283,-3010,5263,-3020,5251,-3035,5246,-3054,5251,-3077,5264,-3094,5282,-3104,5309,-3102,5329,-3092,5342,-3077,5347,-3059,5347,-3056xe" filled="false" stroked="true" strokeweight=".72pt" strokecolor="#8164a2">
                <v:path arrowok="t"/>
              </v:shape>
            </v:group>
            <v:group style="position:absolute;left:5467;top:-2898;width:101;height:98" coordorigin="5467,-2898" coordsize="101,98">
              <v:shape style="position:absolute;left:5467;top:-2898;width:101;height:98" coordorigin="5467,-2898" coordsize="101,98" path="m5503,-2898l5484,-2888,5471,-2870,5467,-2848,5471,-2829,5484,-2813,5503,-2804,5530,-2801,5549,-2811,5563,-2828,5567,-2849,5567,-2852,5562,-2871,5550,-2886,5530,-2895,5503,-2898xe" filled="true" fillcolor="#8164a2" stroked="false">
                <v:path arrowok="t"/>
                <v:fill type="solid"/>
              </v:shape>
            </v:group>
            <v:group style="position:absolute;left:5467;top:-2898;width:101;height:98" coordorigin="5467,-2898" coordsize="101,98">
              <v:shape style="position:absolute;left:5467;top:-2898;width:101;height:98" coordorigin="5467,-2898" coordsize="101,98" path="m5567,-2849l5563,-2828,5549,-2811,5530,-2801,5503,-2804,5484,-2813,5471,-2829,5467,-2848,5471,-2870,5484,-2888,5503,-2898,5530,-2895,5550,-2886,5562,-2871,5567,-2852,5567,-2849xe" filled="false" stroked="true" strokeweight=".72pt" strokecolor="#8164a2">
                <v:path arrowok="t"/>
              </v:shape>
            </v:group>
            <v:group style="position:absolute;left:5685;top:-2912;width:101;height:98" coordorigin="5685,-2912" coordsize="101,98">
              <v:shape style="position:absolute;left:5685;top:-2912;width:101;height:98" coordorigin="5685,-2912" coordsize="101,98" path="m5722,-2912l5703,-2902,5690,-2885,5685,-2862,5690,-2843,5702,-2828,5722,-2818,5748,-2815,5768,-2825,5781,-2842,5786,-2864,5786,-2867,5781,-2885,5768,-2900,5748,-2910,5722,-2912xe" filled="true" fillcolor="#8164a2" stroked="false">
                <v:path arrowok="t"/>
                <v:fill type="solid"/>
              </v:shape>
            </v:group>
            <v:group style="position:absolute;left:5685;top:-2912;width:101;height:98" coordorigin="5685,-2912" coordsize="101,98">
              <v:shape style="position:absolute;left:5685;top:-2912;width:101;height:98" coordorigin="5685,-2912" coordsize="101,98" path="m5786,-2864l5781,-2842,5768,-2825,5748,-2815,5722,-2818,5702,-2828,5690,-2843,5685,-2862,5690,-2885,5703,-2902,5722,-2912,5748,-2910,5768,-2900,5781,-2885,5786,-2867,5786,-2864xe" filled="false" stroked="true" strokeweight=".72pt" strokecolor="#8164a2">
                <v:path arrowok="t"/>
              </v:shape>
            </v:group>
            <v:group style="position:absolute;left:5906;top:-2946;width:101;height:98" coordorigin="5906,-2946" coordsize="101,98">
              <v:shape style="position:absolute;left:5906;top:-2946;width:101;height:98" coordorigin="5906,-2946" coordsize="101,98" path="m5942,-2946l5924,-2936,5911,-2918,5906,-2896,5911,-2877,5923,-2861,5943,-2852,5969,-2849,5988,-2859,6002,-2876,6007,-2897,6007,-2900,6002,-2919,5989,-2934,5969,-2943,5942,-2946xe" filled="true" fillcolor="#8164a2" stroked="false">
                <v:path arrowok="t"/>
                <v:fill type="solid"/>
              </v:shape>
            </v:group>
            <v:group style="position:absolute;left:5906;top:-2946;width:101;height:98" coordorigin="5906,-2946" coordsize="101,98">
              <v:shape style="position:absolute;left:5906;top:-2946;width:101;height:98" coordorigin="5906,-2946" coordsize="101,98" path="m6007,-2897l6002,-2876,5988,-2859,5969,-2849,5943,-2852,5923,-2861,5911,-2877,5906,-2896,5911,-2918,5924,-2936,5942,-2946,5969,-2943,5989,-2934,6002,-2919,6007,-2900,6007,-2897xe" filled="false" stroked="true" strokeweight=".72pt" strokecolor="#8164a2">
                <v:path arrowok="t"/>
              </v:shape>
            </v:group>
            <v:group style="position:absolute;left:6127;top:-3359;width:101;height:98" coordorigin="6127,-3359" coordsize="101,98">
              <v:shape style="position:absolute;left:6127;top:-3359;width:101;height:98" coordorigin="6127,-3359" coordsize="101,98" path="m6163,-3359l6144,-3348,6131,-3331,6127,-3308,6131,-3290,6144,-3274,6163,-3264,6190,-3262,6209,-3271,6223,-3288,6227,-3310,6227,-3313,6222,-3332,6210,-3347,6190,-3356,6163,-3359xe" filled="true" fillcolor="#8164a2" stroked="false">
                <v:path arrowok="t"/>
                <v:fill type="solid"/>
              </v:shape>
            </v:group>
            <v:group style="position:absolute;left:6127;top:-3359;width:101;height:98" coordorigin="6127,-3359" coordsize="101,98">
              <v:shape style="position:absolute;left:6127;top:-3359;width:101;height:98" coordorigin="6127,-3359" coordsize="101,98" path="m6227,-3310l6223,-3288,6209,-3271,6190,-3262,6163,-3264,6144,-3274,6131,-3290,6127,-3308,6131,-3331,6144,-3348,6163,-3359,6190,-3356,6210,-3347,6222,-3332,6227,-3313,6227,-3310xe" filled="false" stroked="true" strokeweight=".72pt" strokecolor="#8164a2">
                <v:path arrowok="t"/>
              </v:shape>
            </v:group>
            <v:group style="position:absolute;left:6348;top:-3284;width:101;height:98" coordorigin="6348,-3284" coordsize="101,98">
              <v:shape style="position:absolute;left:6348;top:-3284;width:101;height:98" coordorigin="6348,-3284" coordsize="101,98" path="m6384,-3284l6365,-3274,6352,-3257,6348,-3234,6352,-3215,6365,-3200,6384,-3190,6411,-3187,6430,-3197,6443,-3214,6448,-3236,6448,-3239,6443,-3257,6431,-3272,6411,-3282,6384,-3284xe" filled="true" fillcolor="#8164a2" stroked="false">
                <v:path arrowok="t"/>
                <v:fill type="solid"/>
              </v:shape>
            </v:group>
            <v:group style="position:absolute;left:6348;top:-3284;width:101;height:98" coordorigin="6348,-3284" coordsize="101,98">
              <v:shape style="position:absolute;left:6348;top:-3284;width:101;height:98" coordorigin="6348,-3284" coordsize="101,98" path="m6448,-3236l6443,-3214,6430,-3197,6411,-3187,6384,-3190,6365,-3200,6352,-3215,6348,-3234,6352,-3257,6365,-3274,6384,-3284,6411,-3282,6431,-3272,6443,-3257,6448,-3239,6448,-3236xe" filled="false" stroked="true" strokeweight=".72pt" strokecolor="#8164a2">
                <v:path arrowok="t"/>
              </v:shape>
            </v:group>
            <v:group style="position:absolute;left:6568;top:-2924;width:101;height:98" coordorigin="6568,-2924" coordsize="101,98">
              <v:shape style="position:absolute;left:6568;top:-2924;width:101;height:98" coordorigin="6568,-2924" coordsize="101,98" path="m6605,-2924l6586,-2914,6573,-2897,6568,-2874,6573,-2855,6585,-2840,6605,-2830,6631,-2827,6651,-2837,6664,-2854,6669,-2876,6669,-2879,6664,-2897,6651,-2912,6632,-2922,6605,-2924xe" filled="true" fillcolor="#8164a2" stroked="false">
                <v:path arrowok="t"/>
                <v:fill type="solid"/>
              </v:shape>
            </v:group>
            <v:group style="position:absolute;left:6568;top:-2924;width:101;height:98" coordorigin="6568,-2924" coordsize="101,98">
              <v:shape style="position:absolute;left:6568;top:-2924;width:101;height:98" coordorigin="6568,-2924" coordsize="101,98" path="m6669,-2876l6664,-2854,6651,-2837,6631,-2827,6605,-2830,6585,-2840,6573,-2855,6568,-2874,6573,-2897,6586,-2914,6605,-2924,6632,-2922,6651,-2912,6664,-2897,6669,-2879,6669,-2876xe" filled="false" stroked="true" strokeweight=".72pt" strokecolor="#8164a2">
                <v:path arrowok="t"/>
              </v:shape>
            </v:group>
            <v:group style="position:absolute;left:6789;top:-3241;width:101;height:98" coordorigin="6789,-3241" coordsize="101,98">
              <v:shape style="position:absolute;left:6789;top:-3241;width:101;height:98" coordorigin="6789,-3241" coordsize="101,98" path="m6826,-3241l6807,-3231,6794,-3213,6789,-3191,6794,-3172,6806,-3157,6826,-3147,6852,-3144,6872,-3154,6885,-3171,6890,-3193,6890,-3196,6885,-3214,6872,-3229,6852,-3239,6826,-3241xe" filled="true" fillcolor="#8164a2" stroked="false">
                <v:path arrowok="t"/>
                <v:fill type="solid"/>
              </v:shape>
            </v:group>
            <v:group style="position:absolute;left:6789;top:-3241;width:101;height:98" coordorigin="6789,-3241" coordsize="101,98">
              <v:shape style="position:absolute;left:6789;top:-3241;width:101;height:98" coordorigin="6789,-3241" coordsize="101,98" path="m6890,-3193l6885,-3171,6872,-3154,6852,-3144,6826,-3147,6806,-3157,6794,-3172,6789,-3191,6794,-3213,6807,-3231,6826,-3241,6852,-3239,6872,-3229,6885,-3214,6890,-3196,6890,-3193xe" filled="false" stroked="true" strokeweight=".72pt" strokecolor="#8164a2">
                <v:path arrowok="t"/>
              </v:shape>
            </v:group>
            <v:group style="position:absolute;left:7010;top:-2982;width:101;height:98" coordorigin="7010,-2982" coordsize="101,98">
              <v:shape style="position:absolute;left:7010;top:-2982;width:101;height:98" coordorigin="7010,-2982" coordsize="101,98" path="m7046,-2982l7028,-2972,7015,-2954,7010,-2932,7015,-2913,7027,-2897,7047,-2888,7073,-2885,7092,-2895,7106,-2912,7111,-2933,7111,-2936,7106,-2955,7093,-2970,7073,-2979,7046,-2982xe" filled="true" fillcolor="#8164a2" stroked="false">
                <v:path arrowok="t"/>
                <v:fill type="solid"/>
              </v:shape>
            </v:group>
            <v:group style="position:absolute;left:7010;top:-2982;width:101;height:98" coordorigin="7010,-2982" coordsize="101,98">
              <v:shape style="position:absolute;left:7010;top:-2982;width:101;height:98" coordorigin="7010,-2982" coordsize="101,98" path="m7111,-2933l7106,-2912,7092,-2895,7073,-2885,7047,-2888,7027,-2897,7015,-2913,7010,-2932,7015,-2954,7028,-2972,7046,-2982,7073,-2979,7093,-2970,7106,-2955,7111,-2936,7111,-2933xe" filled="false" stroked="true" strokeweight=".72pt" strokecolor="#8164a2">
                <v:path arrowok="t"/>
              </v:shape>
            </v:group>
            <v:group style="position:absolute;left:7231;top:-3064;width:101;height:98" coordorigin="7231,-3064" coordsize="101,98">
              <v:shape style="position:absolute;left:7231;top:-3064;width:101;height:98" coordorigin="7231,-3064" coordsize="101,98" path="m7267,-3064l7248,-3053,7235,-3036,7231,-3013,7235,-2994,7248,-2979,7267,-2969,7294,-2966,7313,-2976,7327,-2993,7331,-3015,7331,-3018,7326,-3037,7314,-3051,7294,-3061,7267,-3064xe" filled="true" fillcolor="#8164a2" stroked="false">
                <v:path arrowok="t"/>
                <v:fill type="solid"/>
              </v:shape>
            </v:group>
            <v:group style="position:absolute;left:7231;top:-3064;width:101;height:98" coordorigin="7231,-3064" coordsize="101,98">
              <v:shape style="position:absolute;left:7231;top:-3064;width:101;height:98" coordorigin="7231,-3064" coordsize="101,98" path="m7331,-3015l7327,-2993,7313,-2976,7294,-2966,7267,-2969,7248,-2979,7235,-2994,7231,-3013,7235,-3036,7248,-3053,7267,-3064,7294,-3061,7314,-3051,7326,-3037,7331,-3018,7331,-3015xe" filled="false" stroked="true" strokeweight=".72pt" strokecolor="#8164a2">
                <v:path arrowok="t"/>
              </v:shape>
            </v:group>
            <v:group style="position:absolute;left:7452;top:-3114;width:101;height:98" coordorigin="7452,-3114" coordsize="101,98">
              <v:shape style="position:absolute;left:7452;top:-3114;width:101;height:98" coordorigin="7452,-3114" coordsize="101,98" path="m7488,-3114l7469,-3104,7456,-3086,7452,-3064,7456,-3045,7469,-3029,7488,-3020,7515,-3017,7534,-3027,7547,-3044,7552,-3065,7552,-3068,7547,-3087,7535,-3102,7515,-3111,7488,-3114xe" filled="true" fillcolor="#8164a2" stroked="false">
                <v:path arrowok="t"/>
                <v:fill type="solid"/>
              </v:shape>
            </v:group>
            <v:group style="position:absolute;left:7452;top:-3114;width:101;height:98" coordorigin="7452,-3114" coordsize="101,98">
              <v:shape style="position:absolute;left:7452;top:-3114;width:101;height:98" coordorigin="7452,-3114" coordsize="101,98" path="m7552,-3065l7547,-3044,7534,-3027,7515,-3017,7488,-3020,7469,-3029,7456,-3045,7452,-3064,7456,-3086,7469,-3104,7488,-3114,7515,-3111,7535,-3102,7547,-3087,7552,-3068,7552,-3065xe" filled="false" stroked="true" strokeweight=".72pt" strokecolor="#8164a2">
                <v:path arrowok="t"/>
              </v:shape>
            </v:group>
            <v:group style="position:absolute;left:7670;top:-2747;width:101;height:98" coordorigin="7670,-2747" coordsize="101,98">
              <v:shape style="position:absolute;left:7670;top:-2747;width:101;height:98" coordorigin="7670,-2747" coordsize="101,98" path="m7706,-2747l7688,-2736,7675,-2719,7670,-2696,7675,-2678,7687,-2662,7707,-2652,7733,-2650,7752,-2659,7766,-2676,7771,-2698,7771,-2701,7766,-2720,7753,-2735,7733,-2744,7706,-2747xe" filled="true" fillcolor="#8164a2" stroked="false">
                <v:path arrowok="t"/>
                <v:fill type="solid"/>
              </v:shape>
            </v:group>
            <v:group style="position:absolute;left:7670;top:-2747;width:101;height:98" coordorigin="7670,-2747" coordsize="101,98">
              <v:shape style="position:absolute;left:7670;top:-2747;width:101;height:98" coordorigin="7670,-2747" coordsize="101,98" path="m7771,-2698l7766,-2676,7752,-2659,7733,-2650,7707,-2652,7687,-2662,7675,-2678,7670,-2696,7675,-2719,7688,-2736,7706,-2747,7733,-2744,7753,-2735,7766,-2720,7771,-2701,7771,-2698xe" filled="false" stroked="true" strokeweight=".72pt" strokecolor="#8164a2">
                <v:path arrowok="t"/>
              </v:shape>
            </v:group>
            <v:group style="position:absolute;left:7891;top:-2279;width:101;height:98" coordorigin="7891,-2279" coordsize="101,98">
              <v:shape style="position:absolute;left:7891;top:-2279;width:101;height:98" coordorigin="7891,-2279" coordsize="101,98" path="m7927,-2279l7908,-2268,7895,-2251,7891,-2228,7895,-2210,7908,-2194,7927,-2184,7954,-2182,7973,-2191,7987,-2208,7991,-2230,7991,-2233,7986,-2252,7974,-2267,7954,-2276,7927,-2279xe" filled="true" fillcolor="#8164a2" stroked="false">
                <v:path arrowok="t"/>
                <v:fill type="solid"/>
              </v:shape>
            </v:group>
            <v:group style="position:absolute;left:7891;top:-2279;width:101;height:98" coordorigin="7891,-2279" coordsize="101,98">
              <v:shape style="position:absolute;left:7891;top:-2279;width:101;height:98" coordorigin="7891,-2279" coordsize="101,98" path="m7991,-2230l7987,-2208,7973,-2191,7954,-2182,7927,-2184,7908,-2194,7895,-2210,7891,-2228,7895,-2251,7908,-2268,7927,-2279,7954,-2276,7974,-2267,7986,-2252,7991,-2233,7991,-2230xe" filled="false" stroked="true" strokeweight=".72pt" strokecolor="#8164a2">
                <v:path arrowok="t"/>
              </v:shape>
            </v:group>
            <v:group style="position:absolute;left:8112;top:-2552;width:101;height:98" coordorigin="8112,-2552" coordsize="101,98">
              <v:shape style="position:absolute;left:8112;top:-2552;width:101;height:98" coordorigin="8112,-2552" coordsize="101,98" path="m8148,-2552l8129,-2542,8116,-2525,8112,-2502,8116,-2483,8129,-2468,8148,-2458,8175,-2455,8194,-2465,8207,-2482,8212,-2504,8212,-2507,8207,-2525,8195,-2540,8175,-2550,8148,-2552xe" filled="true" fillcolor="#8164a2" stroked="false">
                <v:path arrowok="t"/>
                <v:fill type="solid"/>
              </v:shape>
            </v:group>
            <v:group style="position:absolute;left:8112;top:-2552;width:101;height:98" coordorigin="8112,-2552" coordsize="101,98">
              <v:shape style="position:absolute;left:8112;top:-2552;width:101;height:98" coordorigin="8112,-2552" coordsize="101,98" path="m8212,-2504l8207,-2482,8194,-2465,8175,-2455,8148,-2458,8129,-2468,8116,-2483,8112,-2502,8116,-2525,8129,-2542,8148,-2552,8175,-2550,8195,-2540,8207,-2525,8212,-2507,8212,-2504xe" filled="false" stroked="true" strokeweight=".72pt" strokecolor="#8164a2">
                <v:path arrowok="t"/>
              </v:shape>
            </v:group>
            <v:group style="position:absolute;left:8332;top:-3248;width:101;height:98" coordorigin="8332,-3248" coordsize="101,98">
              <v:shape style="position:absolute;left:8332;top:-3248;width:101;height:98" coordorigin="8332,-3248" coordsize="101,98" path="m8369,-3248l8350,-3238,8337,-3221,8332,-3198,8337,-3179,8349,-3164,8369,-3154,8395,-3151,8415,-3161,8428,-3178,8433,-3200,8433,-3203,8428,-3221,8415,-3236,8396,-3246,8369,-3248xe" filled="true" fillcolor="#8164a2" stroked="false">
                <v:path arrowok="t"/>
                <v:fill type="solid"/>
              </v:shape>
            </v:group>
            <v:group style="position:absolute;left:8332;top:-3248;width:101;height:98" coordorigin="8332,-3248" coordsize="101,98">
              <v:shape style="position:absolute;left:8332;top:-3248;width:101;height:98" coordorigin="8332,-3248" coordsize="101,98" path="m8433,-3200l8428,-3178,8415,-3161,8395,-3151,8369,-3154,8349,-3164,8337,-3179,8332,-3198,8337,-3221,8350,-3238,8369,-3248,8396,-3246,8415,-3236,8428,-3221,8433,-3203,8433,-3200xe" filled="false" stroked="true" strokeweight=".72pt" strokecolor="#8164a2">
                <v:path arrowok="t"/>
              </v:shape>
            </v:group>
            <v:group style="position:absolute;left:8553;top:-3618;width:101;height:98" coordorigin="8553,-3618" coordsize="101,98">
              <v:shape style="position:absolute;left:8553;top:-3618;width:101;height:98" coordorigin="8553,-3618" coordsize="101,98" path="m8590,-3618l8571,-3608,8558,-3590,8553,-3568,8558,-3549,8570,-3533,8590,-3524,8616,-3521,8636,-3531,8649,-3548,8654,-3569,8654,-3572,8649,-3591,8636,-3606,8616,-3615,8590,-3618xe" filled="true" fillcolor="#8164a2" stroked="false">
                <v:path arrowok="t"/>
                <v:fill type="solid"/>
              </v:shape>
            </v:group>
            <v:group style="position:absolute;left:8553;top:-3618;width:101;height:98" coordorigin="8553,-3618" coordsize="101,98">
              <v:shape style="position:absolute;left:8553;top:-3618;width:101;height:98" coordorigin="8553,-3618" coordsize="101,98" path="m8654,-3569l8649,-3548,8636,-3531,8616,-3521,8590,-3524,8570,-3533,8558,-3549,8553,-3568,8558,-3590,8571,-3608,8590,-3618,8616,-3615,8636,-3606,8649,-3591,8654,-3572,8654,-3569xe" filled="false" stroked="true" strokeweight=".72pt" strokecolor="#8164a2">
                <v:path arrowok="t"/>
              </v:shape>
            </v:group>
            <v:group style="position:absolute;left:8774;top:-2670;width:101;height:98" coordorigin="8774,-2670" coordsize="101,98">
              <v:shape style="position:absolute;left:8774;top:-2670;width:101;height:98" coordorigin="8774,-2670" coordsize="101,98" path="m8810,-2670l8792,-2660,8779,-2642,8774,-2620,8779,-2601,8791,-2585,8811,-2576,8837,-2573,8856,-2583,8870,-2600,8875,-2621,8875,-2624,8870,-2643,8857,-2658,8837,-2667,8810,-2670xe" filled="true" fillcolor="#8164a2" stroked="false">
                <v:path arrowok="t"/>
                <v:fill type="solid"/>
              </v:shape>
            </v:group>
            <v:group style="position:absolute;left:8774;top:-2670;width:101;height:98" coordorigin="8774,-2670" coordsize="101,98">
              <v:shape style="position:absolute;left:8774;top:-2670;width:101;height:98" coordorigin="8774,-2670" coordsize="101,98" path="m8875,-2621l8870,-2600,8856,-2583,8837,-2573,8811,-2576,8791,-2585,8779,-2601,8774,-2620,8779,-2642,8792,-2660,8810,-2670,8837,-2667,8857,-2658,8870,-2643,8875,-2624,8875,-2621xe" filled="false" stroked="true" strokeweight=".72pt" strokecolor="#8164a2">
                <v:path arrowok="t"/>
              </v:shape>
            </v:group>
            <v:group style="position:absolute;left:8995;top:-2603;width:101;height:98" coordorigin="8995,-2603" coordsize="101,98">
              <v:shape style="position:absolute;left:8995;top:-2603;width:101;height:98" coordorigin="8995,-2603" coordsize="101,98" path="m9031,-2603l9012,-2592,8999,-2575,8995,-2552,8999,-2534,9012,-2518,9031,-2508,9058,-2506,9077,-2515,9091,-2532,9095,-2554,9095,-2557,9090,-2576,9078,-2591,9058,-2600,9031,-2603xe" filled="true" fillcolor="#8164a2" stroked="false">
                <v:path arrowok="t"/>
                <v:fill type="solid"/>
              </v:shape>
            </v:group>
            <v:group style="position:absolute;left:8995;top:-2603;width:101;height:98" coordorigin="8995,-2603" coordsize="101,98">
              <v:shape style="position:absolute;left:8995;top:-2603;width:101;height:98" coordorigin="8995,-2603" coordsize="101,98" path="m9095,-2554l9091,-2532,9077,-2515,9058,-2506,9031,-2508,9012,-2518,8999,-2534,8995,-2552,8999,-2575,9012,-2592,9031,-2603,9058,-2600,9078,-2591,9090,-2576,9095,-2557,9095,-2554xe" filled="false" stroked="true" strokeweight=".72pt" strokecolor="#8164a2">
                <v:path arrowok="t"/>
              </v:shape>
            </v:group>
            <v:group style="position:absolute;left:9216;top:-1892;width:101;height:98" coordorigin="9216,-1892" coordsize="101,98">
              <v:shape style="position:absolute;left:9216;top:-1892;width:101;height:98" coordorigin="9216,-1892" coordsize="101,98" path="m9252,-1892l9233,-1882,9220,-1865,9216,-1842,9220,-1823,9233,-1808,9252,-1798,9279,-1795,9298,-1805,9311,-1822,9316,-1844,9316,-1847,9311,-1865,9299,-1880,9279,-1890,9252,-1892xe" filled="true" fillcolor="#8164a2" stroked="false">
                <v:path arrowok="t"/>
                <v:fill type="solid"/>
              </v:shape>
            </v:group>
            <v:group style="position:absolute;left:9216;top:-1892;width:101;height:98" coordorigin="9216,-1892" coordsize="101,98">
              <v:shape style="position:absolute;left:9216;top:-1892;width:101;height:98" coordorigin="9216,-1892" coordsize="101,98" path="m9316,-1844l9311,-1822,9298,-1805,9279,-1795,9252,-1798,9233,-1808,9220,-1823,9216,-1842,9220,-1865,9233,-1882,9252,-1892,9279,-1890,9299,-1880,9311,-1865,9316,-1847,9316,-1844xe" filled="false" stroked="true" strokeweight=".72pt" strokecolor="#8164a2">
                <v:path arrowok="t"/>
              </v:shape>
            </v:group>
            <v:group style="position:absolute;left:1801;top:-4999;width:8588;height:4746" coordorigin="1801,-4999" coordsize="8588,4746">
              <v:shape style="position:absolute;left:1801;top:-4999;width:8588;height:4746" coordorigin="1801,-4999" coordsize="8588,4746" path="m1801,-254l10388,-254,10388,-4999,1801,-4999,1801,-254xe" filled="false" stroked="true" strokeweight="10pt" strokecolor="#c1b5a9">
                <v:path arrowok="t"/>
              </v:shape>
              <v:shape style="position:absolute;left:1987;top:-4783;width:8133;height:371" type="#_x0000_t202" filled="false" stroked="false">
                <v:textbox inset="0,0,0,0">
                  <w:txbxContent>
                    <w:p>
                      <w:pPr>
                        <w:spacing w:line="174" w:lineRule="exact" w:before="0"/>
                        <w:ind w:left="0" w:right="0" w:hanging="1"/>
                        <w:jc w:val="left"/>
                        <w:rPr>
                          <w:rFonts w:ascii="Segoe UI Semibold" w:hAnsi="Segoe UI Semibold" w:cs="Segoe UI Semibold" w:eastAsia="Segoe UI Semibold"/>
                          <w:sz w:val="16"/>
                          <w:szCs w:val="16"/>
                        </w:rPr>
                      </w:pPr>
                      <w:r>
                        <w:rPr>
                          <w:rFonts w:ascii="Segoe UI Semibold"/>
                          <w:b/>
                          <w:color w:val="666155"/>
                          <w:spacing w:val="4"/>
                          <w:sz w:val="16"/>
                        </w:rPr>
                        <w:t>GRAPH</w:t>
                      </w:r>
                      <w:r>
                        <w:rPr>
                          <w:rFonts w:ascii="Segoe UI Semibold"/>
                          <w:b/>
                          <w:color w:val="666155"/>
                          <w:spacing w:val="-1"/>
                          <w:sz w:val="16"/>
                        </w:rPr>
                        <w:t> </w:t>
                      </w:r>
                      <w:r>
                        <w:rPr>
                          <w:rFonts w:ascii="Segoe UI Semibold"/>
                          <w:b/>
                          <w:color w:val="666155"/>
                          <w:sz w:val="16"/>
                        </w:rPr>
                        <w:t>13:</w:t>
                      </w:r>
                      <w:r>
                        <w:rPr>
                          <w:rFonts w:ascii="Segoe UI Semibold"/>
                          <w:b/>
                          <w:color w:val="666155"/>
                          <w:spacing w:val="-1"/>
                          <w:sz w:val="16"/>
                        </w:rPr>
                        <w:t> </w:t>
                      </w:r>
                      <w:r>
                        <w:rPr>
                          <w:rFonts w:ascii="Segoe UI Semibold"/>
                          <w:b/>
                          <w:color w:val="666155"/>
                          <w:spacing w:val="4"/>
                          <w:sz w:val="16"/>
                        </w:rPr>
                        <w:t>DISTRIBUTION</w:t>
                      </w:r>
                      <w:r>
                        <w:rPr>
                          <w:rFonts w:ascii="Segoe UI Semibold"/>
                          <w:b/>
                          <w:color w:val="666155"/>
                          <w:spacing w:val="2"/>
                          <w:sz w:val="16"/>
                        </w:rPr>
                        <w:t> OF AVERAGE </w:t>
                      </w:r>
                      <w:r>
                        <w:rPr>
                          <w:rFonts w:ascii="Segoe UI Semibold"/>
                          <w:b/>
                          <w:color w:val="666155"/>
                          <w:spacing w:val="4"/>
                          <w:sz w:val="16"/>
                        </w:rPr>
                        <w:t>BOARDING</w:t>
                      </w:r>
                      <w:r>
                        <w:rPr>
                          <w:rFonts w:ascii="Segoe UI Semibold"/>
                          <w:b/>
                          <w:color w:val="666155"/>
                          <w:spacing w:val="2"/>
                          <w:sz w:val="16"/>
                        </w:rPr>
                        <w:t> </w:t>
                      </w:r>
                      <w:r>
                        <w:rPr>
                          <w:rFonts w:ascii="Segoe UI Semibold"/>
                          <w:b/>
                          <w:color w:val="666155"/>
                          <w:spacing w:val="3"/>
                          <w:sz w:val="16"/>
                        </w:rPr>
                        <w:t>SURPLUS</w:t>
                      </w:r>
                      <w:r>
                        <w:rPr>
                          <w:rFonts w:ascii="Segoe UI Semibold"/>
                          <w:b/>
                          <w:color w:val="666155"/>
                          <w:sz w:val="16"/>
                        </w:rPr>
                        <w:t> /</w:t>
                      </w:r>
                      <w:r>
                        <w:rPr>
                          <w:rFonts w:ascii="Segoe UI Semibold"/>
                          <w:b/>
                          <w:color w:val="666155"/>
                          <w:spacing w:val="-3"/>
                          <w:sz w:val="16"/>
                        </w:rPr>
                        <w:t> </w:t>
                      </w:r>
                      <w:r>
                        <w:rPr>
                          <w:rFonts w:ascii="Segoe UI Semibold"/>
                          <w:b/>
                          <w:color w:val="666155"/>
                          <w:spacing w:val="2"/>
                          <w:position w:val="1"/>
                          <w:sz w:val="16"/>
                        </w:rPr>
                        <w:t>(</w:t>
                      </w:r>
                      <w:r>
                        <w:rPr>
                          <w:rFonts w:ascii="Segoe UI Semibold"/>
                          <w:b/>
                          <w:color w:val="666155"/>
                          <w:spacing w:val="2"/>
                          <w:sz w:val="16"/>
                        </w:rPr>
                        <w:t>LOSS</w:t>
                      </w:r>
                      <w:r>
                        <w:rPr>
                          <w:rFonts w:ascii="Segoe UI Semibold"/>
                          <w:b/>
                          <w:color w:val="666155"/>
                          <w:spacing w:val="2"/>
                          <w:position w:val="1"/>
                          <w:sz w:val="16"/>
                        </w:rPr>
                        <w:t>)</w:t>
                      </w:r>
                      <w:r>
                        <w:rPr>
                          <w:rFonts w:ascii="Segoe UI Semibold"/>
                          <w:b/>
                          <w:color w:val="666155"/>
                          <w:spacing w:val="-1"/>
                          <w:position w:val="1"/>
                          <w:sz w:val="16"/>
                        </w:rPr>
                        <w:t> </w:t>
                      </w:r>
                      <w:r>
                        <w:rPr>
                          <w:rFonts w:ascii="Segoe UI Semibold"/>
                          <w:b/>
                          <w:color w:val="666155"/>
                          <w:spacing w:val="3"/>
                          <w:sz w:val="16"/>
                        </w:rPr>
                        <w:t>PER</w:t>
                      </w:r>
                      <w:r>
                        <w:rPr>
                          <w:rFonts w:ascii="Segoe UI Semibold"/>
                          <w:b/>
                          <w:color w:val="666155"/>
                          <w:spacing w:val="2"/>
                          <w:sz w:val="16"/>
                        </w:rPr>
                        <w:t> </w:t>
                      </w:r>
                      <w:r>
                        <w:rPr>
                          <w:rFonts w:ascii="Segoe UI Semibold"/>
                          <w:b/>
                          <w:color w:val="666155"/>
                          <w:spacing w:val="4"/>
                          <w:sz w:val="16"/>
                        </w:rPr>
                        <w:t>BOARDER</w:t>
                      </w:r>
                      <w:r>
                        <w:rPr>
                          <w:rFonts w:ascii="Segoe UI Semibold"/>
                          <w:b/>
                          <w:color w:val="666155"/>
                          <w:spacing w:val="3"/>
                          <w:sz w:val="16"/>
                        </w:rPr>
                        <w:t> </w:t>
                      </w:r>
                      <w:r>
                        <w:rPr>
                          <w:rFonts w:ascii="Segoe UI Semibold"/>
                          <w:b/>
                          <w:color w:val="666155"/>
                          <w:spacing w:val="-3"/>
                          <w:sz w:val="16"/>
                        </w:rPr>
                        <w:t>AT</w:t>
                      </w:r>
                      <w:r>
                        <w:rPr>
                          <w:rFonts w:ascii="Segoe UI Semibold"/>
                          <w:b/>
                          <w:color w:val="666155"/>
                          <w:spacing w:val="2"/>
                          <w:sz w:val="16"/>
                        </w:rPr>
                        <w:t> </w:t>
                      </w:r>
                      <w:r>
                        <w:rPr>
                          <w:rFonts w:ascii="Segoe UI Semibold"/>
                          <w:b/>
                          <w:color w:val="666155"/>
                          <w:spacing w:val="4"/>
                          <w:sz w:val="16"/>
                        </w:rPr>
                        <w:t>ABORIGINAL</w:t>
                      </w:r>
                      <w:r>
                        <w:rPr>
                          <w:rFonts w:ascii="Segoe UI Semibold"/>
                          <w:b/>
                          <w:color w:val="666155"/>
                          <w:spacing w:val="2"/>
                          <w:sz w:val="16"/>
                        </w:rPr>
                        <w:t> </w:t>
                      </w:r>
                      <w:r>
                        <w:rPr>
                          <w:rFonts w:ascii="Segoe UI Semibold"/>
                          <w:b/>
                          <w:color w:val="666155"/>
                          <w:spacing w:val="5"/>
                          <w:sz w:val="16"/>
                        </w:rPr>
                        <w:t>AND</w:t>
                      </w:r>
                      <w:r>
                        <w:rPr>
                          <w:rFonts w:ascii="Segoe UI Semibold"/>
                          <w:sz w:val="16"/>
                        </w:rPr>
                      </w:r>
                    </w:p>
                    <w:p>
                      <w:pPr>
                        <w:spacing w:line="196" w:lineRule="exact" w:before="0"/>
                        <w:ind w:left="0" w:right="0" w:firstLine="0"/>
                        <w:jc w:val="left"/>
                        <w:rPr>
                          <w:rFonts w:ascii="Segoe UI Semibold" w:hAnsi="Segoe UI Semibold" w:cs="Segoe UI Semibold" w:eastAsia="Segoe UI Semibold"/>
                          <w:sz w:val="16"/>
                          <w:szCs w:val="16"/>
                        </w:rPr>
                      </w:pPr>
                      <w:r>
                        <w:rPr>
                          <w:rFonts w:ascii="Segoe UI Semibold"/>
                          <w:b/>
                          <w:color w:val="666155"/>
                          <w:spacing w:val="3"/>
                          <w:sz w:val="16"/>
                        </w:rPr>
                        <w:t>TORRES</w:t>
                      </w:r>
                      <w:r>
                        <w:rPr>
                          <w:rFonts w:ascii="Segoe UI Semibold"/>
                          <w:b/>
                          <w:color w:val="666155"/>
                          <w:spacing w:val="-1"/>
                          <w:sz w:val="16"/>
                        </w:rPr>
                        <w:t> </w:t>
                      </w:r>
                      <w:r>
                        <w:rPr>
                          <w:rFonts w:ascii="Segoe UI Semibold"/>
                          <w:b/>
                          <w:color w:val="666155"/>
                          <w:spacing w:val="4"/>
                          <w:sz w:val="16"/>
                        </w:rPr>
                        <w:t>STRAIT</w:t>
                      </w:r>
                      <w:r>
                        <w:rPr>
                          <w:rFonts w:ascii="Segoe UI Semibold"/>
                          <w:b/>
                          <w:color w:val="666155"/>
                          <w:sz w:val="16"/>
                        </w:rPr>
                        <w:t> </w:t>
                      </w:r>
                      <w:r>
                        <w:rPr>
                          <w:rFonts w:ascii="Segoe UI Semibold"/>
                          <w:b/>
                          <w:color w:val="666155"/>
                          <w:spacing w:val="4"/>
                          <w:sz w:val="16"/>
                        </w:rPr>
                        <w:t>ISLANDER</w:t>
                      </w:r>
                      <w:r>
                        <w:rPr>
                          <w:rFonts w:ascii="Segoe UI Semibold"/>
                          <w:b/>
                          <w:color w:val="666155"/>
                          <w:sz w:val="16"/>
                        </w:rPr>
                        <w:t> </w:t>
                      </w:r>
                      <w:r>
                        <w:rPr>
                          <w:rFonts w:ascii="Segoe UI Semibold"/>
                          <w:b/>
                          <w:color w:val="666155"/>
                          <w:spacing w:val="4"/>
                          <w:sz w:val="16"/>
                        </w:rPr>
                        <w:t>BOARDING</w:t>
                      </w:r>
                      <w:r>
                        <w:rPr>
                          <w:rFonts w:ascii="Segoe UI Semibold"/>
                          <w:b/>
                          <w:color w:val="666155"/>
                          <w:spacing w:val="-1"/>
                          <w:sz w:val="16"/>
                        </w:rPr>
                        <w:t> </w:t>
                      </w:r>
                      <w:r>
                        <w:rPr>
                          <w:rFonts w:ascii="Segoe UI Semibold"/>
                          <w:b/>
                          <w:color w:val="666155"/>
                          <w:spacing w:val="4"/>
                          <w:sz w:val="16"/>
                        </w:rPr>
                        <w:t>PROVIDERS,</w:t>
                      </w:r>
                      <w:r>
                        <w:rPr>
                          <w:rFonts w:ascii="Segoe UI Semibold"/>
                          <w:b/>
                          <w:color w:val="666155"/>
                          <w:spacing w:val="-5"/>
                          <w:sz w:val="16"/>
                        </w:rPr>
                        <w:t> </w:t>
                      </w:r>
                      <w:r>
                        <w:rPr>
                          <w:rFonts w:ascii="Segoe UI Semibold"/>
                          <w:b/>
                          <w:color w:val="666155"/>
                          <w:sz w:val="16"/>
                        </w:rPr>
                        <w:t>2017</w:t>
                      </w:r>
                      <w:r>
                        <w:rPr>
                          <w:rFonts w:ascii="Segoe UI Semibold"/>
                          <w:sz w:val="16"/>
                        </w:rPr>
                      </w:r>
                    </w:p>
                  </w:txbxContent>
                </v:textbox>
                <w10:wrap type="none"/>
              </v:shape>
              <v:shape style="position:absolute;left:2583;top:-3827;width:564;height:2543" type="#_x0000_t202" filled="false" stroked="false">
                <v:textbox inset="0,0,0,0">
                  <w:txbxContent>
                    <w:p>
                      <w:pPr>
                        <w:spacing w:line="162" w:lineRule="exact" w:before="0"/>
                        <w:ind w:left="96" w:right="0" w:firstLine="0"/>
                        <w:jc w:val="left"/>
                        <w:rPr>
                          <w:rFonts w:ascii="Segoe UI" w:hAnsi="Segoe UI" w:cs="Segoe UI" w:eastAsia="Segoe UI"/>
                          <w:sz w:val="16"/>
                          <w:szCs w:val="16"/>
                        </w:rPr>
                      </w:pPr>
                      <w:r>
                        <w:rPr>
                          <w:rFonts w:ascii="Segoe UI"/>
                          <w:color w:val="77787B"/>
                          <w:spacing w:val="-1"/>
                          <w:sz w:val="16"/>
                        </w:rPr>
                        <w:t>10,000</w:t>
                      </w:r>
                      <w:r>
                        <w:rPr>
                          <w:rFonts w:ascii="Segoe UI"/>
                          <w:sz w:val="16"/>
                        </w:rPr>
                      </w:r>
                    </w:p>
                    <w:p>
                      <w:pPr>
                        <w:spacing w:before="52"/>
                        <w:ind w:left="182" w:right="0" w:firstLine="0"/>
                        <w:jc w:val="center"/>
                        <w:rPr>
                          <w:rFonts w:ascii="Segoe UI" w:hAnsi="Segoe UI" w:cs="Segoe UI" w:eastAsia="Segoe UI"/>
                          <w:sz w:val="16"/>
                          <w:szCs w:val="16"/>
                        </w:rPr>
                      </w:pPr>
                      <w:r>
                        <w:rPr>
                          <w:rFonts w:ascii="Segoe UI"/>
                          <w:color w:val="77787B"/>
                          <w:spacing w:val="-1"/>
                          <w:sz w:val="16"/>
                        </w:rPr>
                        <w:t>5,000</w:t>
                      </w:r>
                      <w:r>
                        <w:rPr>
                          <w:rFonts w:ascii="Segoe UI"/>
                          <w:sz w:val="16"/>
                        </w:rPr>
                      </w:r>
                    </w:p>
                    <w:p>
                      <w:pPr>
                        <w:spacing w:line="298" w:lineRule="auto" w:before="52"/>
                        <w:ind w:left="86" w:right="0" w:firstLine="412"/>
                        <w:jc w:val="left"/>
                        <w:rPr>
                          <w:rFonts w:ascii="Segoe UI" w:hAnsi="Segoe UI" w:cs="Segoe UI" w:eastAsia="Segoe UI"/>
                          <w:sz w:val="16"/>
                          <w:szCs w:val="16"/>
                        </w:rPr>
                      </w:pPr>
                      <w:r>
                        <w:rPr>
                          <w:rFonts w:ascii="Segoe UI"/>
                          <w:color w:val="77787B"/>
                          <w:sz w:val="16"/>
                        </w:rPr>
                        <w:t>- </w:t>
                      </w:r>
                      <w:r>
                        <w:rPr>
                          <w:rFonts w:ascii="Segoe UI"/>
                          <w:color w:val="77787B"/>
                          <w:spacing w:val="-1"/>
                          <w:sz w:val="16"/>
                        </w:rPr>
                        <w:t>(5,000)</w:t>
                      </w:r>
                      <w:r>
                        <w:rPr>
                          <w:rFonts w:ascii="Segoe UI"/>
                          <w:sz w:val="16"/>
                        </w:rPr>
                      </w:r>
                    </w:p>
                    <w:p>
                      <w:pPr>
                        <w:spacing w:before="0"/>
                        <w:ind w:left="0" w:right="1" w:firstLine="0"/>
                        <w:jc w:val="center"/>
                        <w:rPr>
                          <w:rFonts w:ascii="Segoe UI" w:hAnsi="Segoe UI" w:cs="Segoe UI" w:eastAsia="Segoe UI"/>
                          <w:sz w:val="16"/>
                          <w:szCs w:val="16"/>
                        </w:rPr>
                      </w:pPr>
                      <w:r>
                        <w:rPr>
                          <w:rFonts w:ascii="Segoe UI"/>
                          <w:color w:val="77787B"/>
                          <w:spacing w:val="-1"/>
                          <w:sz w:val="16"/>
                        </w:rPr>
                        <w:t>(10,000)</w:t>
                      </w:r>
                      <w:r>
                        <w:rPr>
                          <w:rFonts w:ascii="Segoe UI"/>
                          <w:sz w:val="16"/>
                        </w:rPr>
                      </w:r>
                    </w:p>
                    <w:p>
                      <w:pPr>
                        <w:spacing w:before="52"/>
                        <w:ind w:left="0" w:right="1" w:firstLine="0"/>
                        <w:jc w:val="center"/>
                        <w:rPr>
                          <w:rFonts w:ascii="Segoe UI" w:hAnsi="Segoe UI" w:cs="Segoe UI" w:eastAsia="Segoe UI"/>
                          <w:sz w:val="16"/>
                          <w:szCs w:val="16"/>
                        </w:rPr>
                      </w:pPr>
                      <w:r>
                        <w:rPr>
                          <w:rFonts w:ascii="Segoe UI"/>
                          <w:color w:val="77787B"/>
                          <w:spacing w:val="-1"/>
                          <w:sz w:val="16"/>
                        </w:rPr>
                        <w:t>(15,000)</w:t>
                      </w:r>
                      <w:r>
                        <w:rPr>
                          <w:rFonts w:ascii="Segoe UI"/>
                          <w:sz w:val="16"/>
                        </w:rPr>
                      </w:r>
                    </w:p>
                    <w:p>
                      <w:pPr>
                        <w:spacing w:before="52"/>
                        <w:ind w:left="0" w:right="1" w:firstLine="0"/>
                        <w:jc w:val="center"/>
                        <w:rPr>
                          <w:rFonts w:ascii="Segoe UI" w:hAnsi="Segoe UI" w:cs="Segoe UI" w:eastAsia="Segoe UI"/>
                          <w:sz w:val="16"/>
                          <w:szCs w:val="16"/>
                        </w:rPr>
                      </w:pPr>
                      <w:r>
                        <w:rPr>
                          <w:rFonts w:ascii="Segoe UI"/>
                          <w:color w:val="77787B"/>
                          <w:spacing w:val="-1"/>
                          <w:sz w:val="16"/>
                        </w:rPr>
                        <w:t>(20,000)</w:t>
                      </w:r>
                      <w:r>
                        <w:rPr>
                          <w:rFonts w:ascii="Segoe UI"/>
                          <w:sz w:val="16"/>
                        </w:rPr>
                      </w:r>
                    </w:p>
                    <w:p>
                      <w:pPr>
                        <w:spacing w:before="52"/>
                        <w:ind w:left="0" w:right="1" w:firstLine="0"/>
                        <w:jc w:val="center"/>
                        <w:rPr>
                          <w:rFonts w:ascii="Segoe UI" w:hAnsi="Segoe UI" w:cs="Segoe UI" w:eastAsia="Segoe UI"/>
                          <w:sz w:val="16"/>
                          <w:szCs w:val="16"/>
                        </w:rPr>
                      </w:pPr>
                      <w:r>
                        <w:rPr>
                          <w:rFonts w:ascii="Segoe UI"/>
                          <w:color w:val="77787B"/>
                          <w:spacing w:val="-1"/>
                          <w:sz w:val="16"/>
                        </w:rPr>
                        <w:t>(25,000)</w:t>
                      </w:r>
                      <w:r>
                        <w:rPr>
                          <w:rFonts w:ascii="Segoe UI"/>
                          <w:sz w:val="16"/>
                        </w:rPr>
                      </w:r>
                    </w:p>
                    <w:p>
                      <w:pPr>
                        <w:spacing w:before="52"/>
                        <w:ind w:left="0" w:right="1" w:firstLine="0"/>
                        <w:jc w:val="center"/>
                        <w:rPr>
                          <w:rFonts w:ascii="Segoe UI" w:hAnsi="Segoe UI" w:cs="Segoe UI" w:eastAsia="Segoe UI"/>
                          <w:sz w:val="16"/>
                          <w:szCs w:val="16"/>
                        </w:rPr>
                      </w:pPr>
                      <w:r>
                        <w:rPr>
                          <w:rFonts w:ascii="Segoe UI"/>
                          <w:color w:val="77787B"/>
                          <w:spacing w:val="-1"/>
                          <w:sz w:val="16"/>
                        </w:rPr>
                        <w:t>(30,000)</w:t>
                      </w:r>
                      <w:r>
                        <w:rPr>
                          <w:rFonts w:ascii="Segoe UI"/>
                          <w:sz w:val="16"/>
                        </w:rPr>
                      </w:r>
                    </w:p>
                    <w:p>
                      <w:pPr>
                        <w:spacing w:line="211" w:lineRule="exact" w:before="52"/>
                        <w:ind w:left="0" w:right="1" w:firstLine="0"/>
                        <w:jc w:val="center"/>
                        <w:rPr>
                          <w:rFonts w:ascii="Segoe UI" w:hAnsi="Segoe UI" w:cs="Segoe UI" w:eastAsia="Segoe UI"/>
                          <w:sz w:val="16"/>
                          <w:szCs w:val="16"/>
                        </w:rPr>
                      </w:pPr>
                      <w:r>
                        <w:rPr>
                          <w:rFonts w:ascii="Segoe UI"/>
                          <w:color w:val="77787B"/>
                          <w:spacing w:val="-1"/>
                          <w:sz w:val="16"/>
                        </w:rPr>
                        <w:t>(35,000)</w:t>
                      </w:r>
                      <w:r>
                        <w:rPr>
                          <w:rFonts w:ascii="Segoe UI"/>
                          <w:sz w:val="16"/>
                        </w:rPr>
                      </w:r>
                    </w:p>
                  </w:txbxContent>
                </v:textbox>
                <w10:wrap type="none"/>
              </v:shape>
              <v:shape style="position:absolute;left:3266;top:-1210;width:87;height:161" type="#_x0000_t202" filled="false" stroked="false">
                <v:textbox inset="0,0,0,0">
                  <w:txbxContent>
                    <w:p>
                      <w:pPr>
                        <w:spacing w:line="161" w:lineRule="exact" w:before="0"/>
                        <w:ind w:left="0" w:right="0" w:firstLine="0"/>
                        <w:jc w:val="left"/>
                        <w:rPr>
                          <w:rFonts w:ascii="Segoe UI" w:hAnsi="Segoe UI" w:cs="Segoe UI" w:eastAsia="Segoe UI"/>
                          <w:sz w:val="16"/>
                          <w:szCs w:val="16"/>
                        </w:rPr>
                      </w:pPr>
                      <w:r>
                        <w:rPr>
                          <w:rFonts w:ascii="Segoe UI"/>
                          <w:color w:val="77787B"/>
                          <w:sz w:val="16"/>
                        </w:rPr>
                        <w:t>0</w:t>
                      </w:r>
                      <w:r>
                        <w:rPr>
                          <w:rFonts w:ascii="Segoe UI"/>
                          <w:sz w:val="16"/>
                        </w:rPr>
                      </w:r>
                    </w:p>
                  </w:txbxContent>
                </v:textbox>
                <w10:wrap type="none"/>
              </v:shape>
              <v:shape style="position:absolute;left:4369;top:-1210;width:87;height:161" type="#_x0000_t202" filled="false" stroked="false">
                <v:textbox inset="0,0,0,0">
                  <w:txbxContent>
                    <w:p>
                      <w:pPr>
                        <w:spacing w:line="161" w:lineRule="exact" w:before="0"/>
                        <w:ind w:left="0" w:right="0" w:firstLine="0"/>
                        <w:jc w:val="left"/>
                        <w:rPr>
                          <w:rFonts w:ascii="Segoe UI" w:hAnsi="Segoe UI" w:cs="Segoe UI" w:eastAsia="Segoe UI"/>
                          <w:sz w:val="16"/>
                          <w:szCs w:val="16"/>
                        </w:rPr>
                      </w:pPr>
                      <w:r>
                        <w:rPr>
                          <w:rFonts w:ascii="Segoe UI"/>
                          <w:color w:val="77787B"/>
                          <w:sz w:val="16"/>
                        </w:rPr>
                        <w:t>5</w:t>
                      </w:r>
                      <w:r>
                        <w:rPr>
                          <w:rFonts w:ascii="Segoe UI"/>
                          <w:sz w:val="16"/>
                        </w:rPr>
                      </w:r>
                    </w:p>
                  </w:txbxContent>
                </v:textbox>
                <w10:wrap type="none"/>
              </v:shape>
              <v:shape style="position:absolute;left:5429;top:-1210;width:173;height:161" type="#_x0000_t202" filled="false" stroked="false">
                <v:textbox inset="0,0,0,0">
                  <w:txbxContent>
                    <w:p>
                      <w:pPr>
                        <w:spacing w:line="161" w:lineRule="exact" w:before="0"/>
                        <w:ind w:left="0" w:right="0" w:firstLine="0"/>
                        <w:jc w:val="left"/>
                        <w:rPr>
                          <w:rFonts w:ascii="Segoe UI" w:hAnsi="Segoe UI" w:cs="Segoe UI" w:eastAsia="Segoe UI"/>
                          <w:sz w:val="16"/>
                          <w:szCs w:val="16"/>
                        </w:rPr>
                      </w:pPr>
                      <w:r>
                        <w:rPr>
                          <w:rFonts w:ascii="Segoe UI"/>
                          <w:color w:val="77787B"/>
                          <w:spacing w:val="-1"/>
                          <w:sz w:val="16"/>
                        </w:rPr>
                        <w:t>10</w:t>
                      </w:r>
                      <w:r>
                        <w:rPr>
                          <w:rFonts w:ascii="Segoe UI"/>
                          <w:sz w:val="16"/>
                        </w:rPr>
                      </w:r>
                    </w:p>
                  </w:txbxContent>
                </v:textbox>
                <w10:wrap type="none"/>
              </v:shape>
              <v:shape style="position:absolute;left:6531;top:-1210;width:173;height:161" type="#_x0000_t202" filled="false" stroked="false">
                <v:textbox inset="0,0,0,0">
                  <w:txbxContent>
                    <w:p>
                      <w:pPr>
                        <w:spacing w:line="161" w:lineRule="exact" w:before="0"/>
                        <w:ind w:left="0" w:right="0" w:firstLine="0"/>
                        <w:jc w:val="left"/>
                        <w:rPr>
                          <w:rFonts w:ascii="Segoe UI" w:hAnsi="Segoe UI" w:cs="Segoe UI" w:eastAsia="Segoe UI"/>
                          <w:sz w:val="16"/>
                          <w:szCs w:val="16"/>
                        </w:rPr>
                      </w:pPr>
                      <w:r>
                        <w:rPr>
                          <w:rFonts w:ascii="Segoe UI"/>
                          <w:color w:val="77787B"/>
                          <w:spacing w:val="-1"/>
                          <w:sz w:val="16"/>
                        </w:rPr>
                        <w:t>15</w:t>
                      </w:r>
                      <w:r>
                        <w:rPr>
                          <w:rFonts w:ascii="Segoe UI"/>
                          <w:sz w:val="16"/>
                        </w:rPr>
                      </w:r>
                    </w:p>
                  </w:txbxContent>
                </v:textbox>
                <w10:wrap type="none"/>
              </v:shape>
              <v:shape style="position:absolute;left:7634;top:-1210;width:173;height:161" type="#_x0000_t202" filled="false" stroked="false">
                <v:textbox inset="0,0,0,0">
                  <w:txbxContent>
                    <w:p>
                      <w:pPr>
                        <w:spacing w:line="161" w:lineRule="exact" w:before="0"/>
                        <w:ind w:left="0" w:right="0" w:firstLine="0"/>
                        <w:jc w:val="left"/>
                        <w:rPr>
                          <w:rFonts w:ascii="Segoe UI" w:hAnsi="Segoe UI" w:cs="Segoe UI" w:eastAsia="Segoe UI"/>
                          <w:sz w:val="16"/>
                          <w:szCs w:val="16"/>
                        </w:rPr>
                      </w:pPr>
                      <w:r>
                        <w:rPr>
                          <w:rFonts w:ascii="Segoe UI"/>
                          <w:color w:val="77787B"/>
                          <w:spacing w:val="-1"/>
                          <w:sz w:val="16"/>
                        </w:rPr>
                        <w:t>20</w:t>
                      </w:r>
                      <w:r>
                        <w:rPr>
                          <w:rFonts w:ascii="Segoe UI"/>
                          <w:sz w:val="16"/>
                        </w:rPr>
                      </w:r>
                    </w:p>
                  </w:txbxContent>
                </v:textbox>
                <w10:wrap type="none"/>
              </v:shape>
              <v:shape style="position:absolute;left:8737;top:-1210;width:173;height:161" type="#_x0000_t202" filled="false" stroked="false">
                <v:textbox inset="0,0,0,0">
                  <w:txbxContent>
                    <w:p>
                      <w:pPr>
                        <w:spacing w:line="161" w:lineRule="exact" w:before="0"/>
                        <w:ind w:left="0" w:right="0" w:firstLine="0"/>
                        <w:jc w:val="left"/>
                        <w:rPr>
                          <w:rFonts w:ascii="Segoe UI" w:hAnsi="Segoe UI" w:cs="Segoe UI" w:eastAsia="Segoe UI"/>
                          <w:sz w:val="16"/>
                          <w:szCs w:val="16"/>
                        </w:rPr>
                      </w:pPr>
                      <w:r>
                        <w:rPr>
                          <w:rFonts w:ascii="Segoe UI"/>
                          <w:color w:val="77787B"/>
                          <w:spacing w:val="-1"/>
                          <w:sz w:val="16"/>
                        </w:rPr>
                        <w:t>25</w:t>
                      </w:r>
                      <w:r>
                        <w:rPr>
                          <w:rFonts w:ascii="Segoe UI"/>
                          <w:sz w:val="16"/>
                        </w:rPr>
                      </w:r>
                    </w:p>
                  </w:txbxContent>
                </v:textbox>
                <w10:wrap type="none"/>
              </v:shape>
              <v:shape style="position:absolute;left:9840;top:-1210;width:173;height:161" type="#_x0000_t202" filled="false" stroked="false">
                <v:textbox inset="0,0,0,0">
                  <w:txbxContent>
                    <w:p>
                      <w:pPr>
                        <w:spacing w:line="161" w:lineRule="exact" w:before="0"/>
                        <w:ind w:left="0" w:right="0" w:firstLine="0"/>
                        <w:jc w:val="left"/>
                        <w:rPr>
                          <w:rFonts w:ascii="Segoe UI" w:hAnsi="Segoe UI" w:cs="Segoe UI" w:eastAsia="Segoe UI"/>
                          <w:sz w:val="16"/>
                          <w:szCs w:val="16"/>
                        </w:rPr>
                      </w:pPr>
                      <w:r>
                        <w:rPr>
                          <w:rFonts w:ascii="Segoe UI"/>
                          <w:color w:val="77787B"/>
                          <w:spacing w:val="-1"/>
                          <w:sz w:val="16"/>
                        </w:rPr>
                        <w:t>30</w:t>
                      </w:r>
                      <w:r>
                        <w:rPr>
                          <w:rFonts w:ascii="Segoe UI"/>
                          <w:sz w:val="16"/>
                        </w:rPr>
                      </w:r>
                    </w:p>
                  </w:txbxContent>
                </v:textbox>
                <w10:wrap type="none"/>
              </v:shape>
              <v:shape style="position:absolute;left:4879;top:-721;width:3926;height:161" type="#_x0000_t202" filled="false" stroked="false">
                <v:textbox inset="0,0,0,0">
                  <w:txbxContent>
                    <w:p>
                      <w:pPr>
                        <w:spacing w:line="161" w:lineRule="exact" w:before="0"/>
                        <w:ind w:left="0" w:right="0" w:firstLine="0"/>
                        <w:jc w:val="left"/>
                        <w:rPr>
                          <w:rFonts w:ascii="Segoe UI" w:hAnsi="Segoe UI" w:cs="Segoe UI" w:eastAsia="Segoe UI"/>
                          <w:sz w:val="16"/>
                          <w:szCs w:val="16"/>
                        </w:rPr>
                      </w:pPr>
                      <w:r>
                        <w:rPr>
                          <w:rFonts w:ascii="Segoe UI"/>
                          <w:color w:val="77787B"/>
                          <w:spacing w:val="-1"/>
                          <w:sz w:val="16"/>
                        </w:rPr>
                        <w:t>Aboriginal</w:t>
                      </w:r>
                      <w:r>
                        <w:rPr>
                          <w:rFonts w:ascii="Segoe UI"/>
                          <w:color w:val="77787B"/>
                          <w:spacing w:val="1"/>
                          <w:sz w:val="16"/>
                        </w:rPr>
                        <w:t> </w:t>
                      </w:r>
                      <w:r>
                        <w:rPr>
                          <w:rFonts w:ascii="Segoe UI"/>
                          <w:color w:val="77787B"/>
                          <w:spacing w:val="-1"/>
                          <w:sz w:val="16"/>
                        </w:rPr>
                        <w:t>and Torres </w:t>
                      </w:r>
                      <w:r>
                        <w:rPr>
                          <w:rFonts w:ascii="Segoe UI"/>
                          <w:color w:val="77787B"/>
                          <w:sz w:val="16"/>
                        </w:rPr>
                        <w:t>Strait</w:t>
                      </w:r>
                      <w:r>
                        <w:rPr>
                          <w:rFonts w:ascii="Segoe UI"/>
                          <w:color w:val="77787B"/>
                          <w:spacing w:val="-3"/>
                          <w:sz w:val="16"/>
                        </w:rPr>
                        <w:t> </w:t>
                      </w:r>
                      <w:r>
                        <w:rPr>
                          <w:rFonts w:ascii="Segoe UI"/>
                          <w:color w:val="77787B"/>
                          <w:spacing w:val="-1"/>
                          <w:sz w:val="16"/>
                        </w:rPr>
                        <w:t>Islander boarding </w:t>
                      </w:r>
                      <w:r>
                        <w:rPr>
                          <w:rFonts w:ascii="Segoe UI"/>
                          <w:color w:val="77787B"/>
                          <w:spacing w:val="-2"/>
                          <w:sz w:val="16"/>
                        </w:rPr>
                        <w:t>providers</w:t>
                      </w:r>
                      <w:r>
                        <w:rPr>
                          <w:rFonts w:ascii="Segoe UI"/>
                          <w:sz w:val="16"/>
                        </w:rPr>
                      </w:r>
                    </w:p>
                  </w:txbxContent>
                </v:textbox>
                <w10:wrap type="none"/>
              </v:shape>
            </v:group>
            <w10:wrap type="none"/>
          </v:group>
        </w:pict>
      </w:r>
      <w:r>
        <w:rPr/>
        <w:pict>
          <v:shape style="position:absolute;margin-left:117.031754pt;margin-top:225.66301pt;width:10.050pt;height:28.6pt;mso-position-horizontal-relative:page;mso-position-vertical-relative:page;z-index:5752" type="#_x0000_t202" filled="false" stroked="false">
            <v:textbox inset="0,0,0,0" style="layout-flow:vertical;mso-layout-flow-alt:bottom-to-top">
              <w:txbxContent>
                <w:p>
                  <w:pPr>
                    <w:spacing w:line="182" w:lineRule="exact" w:before="0"/>
                    <w:ind w:left="20" w:right="0" w:firstLine="0"/>
                    <w:jc w:val="left"/>
                    <w:rPr>
                      <w:rFonts w:ascii="Segoe UI" w:hAnsi="Segoe UI" w:cs="Segoe UI" w:eastAsia="Segoe UI"/>
                      <w:sz w:val="16"/>
                      <w:szCs w:val="16"/>
                    </w:rPr>
                  </w:pPr>
                  <w:r>
                    <w:rPr>
                      <w:rFonts w:ascii="Segoe UI"/>
                      <w:color w:val="77787B"/>
                      <w:spacing w:val="-1"/>
                      <w:sz w:val="16"/>
                    </w:rPr>
                    <w:t>Loss</w:t>
                  </w:r>
                  <w:r>
                    <w:rPr>
                      <w:rFonts w:ascii="Segoe UI"/>
                      <w:color w:val="77787B"/>
                      <w:spacing w:val="-2"/>
                      <w:sz w:val="16"/>
                    </w:rPr>
                    <w:t> </w:t>
                  </w:r>
                  <w:r>
                    <w:rPr>
                      <w:rFonts w:ascii="Segoe UI"/>
                      <w:color w:val="77787B"/>
                      <w:spacing w:val="-1"/>
                      <w:sz w:val="16"/>
                    </w:rPr>
                    <w:t>($)</w:t>
                  </w:r>
                  <w:r>
                    <w:rPr>
                      <w:rFonts w:ascii="Segoe UI"/>
                      <w:sz w:val="16"/>
                    </w:rPr>
                  </w:r>
                </w:p>
              </w:txbxContent>
            </v:textbox>
            <w10:wrap type="none"/>
          </v:shape>
        </w:pict>
      </w:r>
      <w:r>
        <w:rPr>
          <w:color w:val="231F20"/>
        </w:rPr>
        <w:t>The</w:t>
      </w:r>
      <w:r>
        <w:rPr>
          <w:color w:val="231F20"/>
          <w:spacing w:val="-5"/>
        </w:rPr>
        <w:t> </w:t>
      </w:r>
      <w:r>
        <w:rPr>
          <w:color w:val="231F20"/>
          <w:spacing w:val="-1"/>
        </w:rPr>
        <w:t>majority</w:t>
      </w:r>
      <w:r>
        <w:rPr>
          <w:color w:val="231F20"/>
          <w:spacing w:val="-5"/>
        </w:rPr>
        <w:t> </w:t>
      </w:r>
      <w:r>
        <w:rPr>
          <w:color w:val="231F20"/>
        </w:rPr>
        <w:t>of</w:t>
      </w:r>
      <w:r>
        <w:rPr>
          <w:color w:val="231F20"/>
          <w:spacing w:val="-4"/>
        </w:rPr>
        <w:t> </w:t>
      </w:r>
      <w:r>
        <w:rPr>
          <w:color w:val="231F20"/>
        </w:rPr>
        <w:t>the</w:t>
      </w:r>
      <w:r>
        <w:rPr>
          <w:color w:val="231F20"/>
          <w:spacing w:val="-6"/>
        </w:rPr>
        <w:t> </w:t>
      </w:r>
      <w:r>
        <w:rPr>
          <w:color w:val="231F20"/>
        </w:rPr>
        <w:t>Aboriginal</w:t>
      </w:r>
      <w:r>
        <w:rPr>
          <w:color w:val="231F20"/>
          <w:spacing w:val="-4"/>
        </w:rPr>
        <w:t> </w:t>
      </w:r>
      <w:r>
        <w:rPr>
          <w:color w:val="231F20"/>
        </w:rPr>
        <w:t>and</w:t>
      </w:r>
      <w:r>
        <w:rPr>
          <w:color w:val="231F20"/>
          <w:spacing w:val="-6"/>
        </w:rPr>
        <w:t> </w:t>
      </w:r>
      <w:r>
        <w:rPr>
          <w:color w:val="231F20"/>
          <w:spacing w:val="-5"/>
        </w:rPr>
        <w:t>Torres</w:t>
      </w:r>
      <w:r>
        <w:rPr>
          <w:color w:val="231F20"/>
          <w:spacing w:val="26"/>
          <w:w w:val="99"/>
        </w:rPr>
        <w:t> </w:t>
      </w:r>
      <w:r>
        <w:rPr>
          <w:color w:val="231F20"/>
          <w:spacing w:val="-2"/>
        </w:rPr>
        <w:t>Strait</w:t>
      </w:r>
      <w:r>
        <w:rPr>
          <w:color w:val="231F20"/>
          <w:spacing w:val="-8"/>
        </w:rPr>
        <w:t> </w:t>
      </w:r>
      <w:r>
        <w:rPr>
          <w:color w:val="231F20"/>
          <w:spacing w:val="-1"/>
        </w:rPr>
        <w:t>Islander</w:t>
      </w:r>
      <w:r>
        <w:rPr>
          <w:color w:val="231F20"/>
          <w:spacing w:val="-7"/>
        </w:rPr>
        <w:t> </w:t>
      </w:r>
      <w:r>
        <w:rPr>
          <w:color w:val="231F20"/>
        </w:rPr>
        <w:t>boarding</w:t>
      </w:r>
      <w:r>
        <w:rPr>
          <w:color w:val="231F20"/>
          <w:spacing w:val="-8"/>
        </w:rPr>
        <w:t> </w:t>
      </w:r>
      <w:r>
        <w:rPr>
          <w:color w:val="231F20"/>
        </w:rPr>
        <w:t>providers</w:t>
      </w:r>
      <w:r>
        <w:rPr>
          <w:color w:val="231F20"/>
          <w:spacing w:val="-8"/>
        </w:rPr>
        <w:t> </w:t>
      </w:r>
      <w:r>
        <w:rPr>
          <w:color w:val="231F20"/>
          <w:spacing w:val="-1"/>
        </w:rPr>
        <w:t>included</w:t>
      </w:r>
      <w:r>
        <w:rPr>
          <w:color w:val="231F20"/>
          <w:spacing w:val="-7"/>
        </w:rPr>
        <w:t> </w:t>
      </w:r>
      <w:r>
        <w:rPr>
          <w:color w:val="231F20"/>
          <w:spacing w:val="-1"/>
        </w:rPr>
        <w:t>in</w:t>
      </w:r>
      <w:r>
        <w:rPr>
          <w:color w:val="231F20"/>
          <w:spacing w:val="27"/>
        </w:rPr>
        <w:t> </w:t>
      </w:r>
      <w:r>
        <w:rPr>
          <w:color w:val="231F20"/>
        </w:rPr>
        <w:t>this</w:t>
      </w:r>
      <w:r>
        <w:rPr>
          <w:color w:val="231F20"/>
          <w:spacing w:val="-6"/>
        </w:rPr>
        <w:t> </w:t>
      </w:r>
      <w:r>
        <w:rPr>
          <w:color w:val="231F20"/>
        </w:rPr>
        <w:t>report</w:t>
      </w:r>
      <w:r>
        <w:rPr>
          <w:color w:val="231F20"/>
          <w:spacing w:val="-5"/>
        </w:rPr>
        <w:t> </w:t>
      </w:r>
      <w:r>
        <w:rPr>
          <w:color w:val="231F20"/>
          <w:spacing w:val="-1"/>
        </w:rPr>
        <w:t>incurred</w:t>
      </w:r>
      <w:r>
        <w:rPr>
          <w:color w:val="231F20"/>
          <w:spacing w:val="-4"/>
        </w:rPr>
        <w:t> </w:t>
      </w:r>
      <w:r>
        <w:rPr>
          <w:color w:val="231F20"/>
          <w:spacing w:val="-1"/>
        </w:rPr>
        <w:t>losses</w:t>
      </w:r>
      <w:r>
        <w:rPr>
          <w:color w:val="231F20"/>
          <w:spacing w:val="-4"/>
        </w:rPr>
        <w:t> </w:t>
      </w:r>
      <w:r>
        <w:rPr>
          <w:color w:val="231F20"/>
          <w:spacing w:val="-1"/>
        </w:rPr>
        <w:t>in</w:t>
      </w:r>
      <w:r>
        <w:rPr>
          <w:color w:val="231F20"/>
          <w:spacing w:val="-4"/>
        </w:rPr>
        <w:t> </w:t>
      </w:r>
      <w:r>
        <w:rPr>
          <w:color w:val="231F20"/>
        </w:rPr>
        <w:t>their</w:t>
      </w:r>
      <w:r>
        <w:rPr>
          <w:color w:val="231F20"/>
          <w:spacing w:val="-5"/>
        </w:rPr>
        <w:t> </w:t>
      </w:r>
      <w:r>
        <w:rPr>
          <w:color w:val="231F20"/>
        </w:rPr>
        <w:t>boarding</w:t>
      </w:r>
      <w:r>
        <w:rPr/>
      </w:r>
    </w:p>
    <w:p>
      <w:pPr>
        <w:pStyle w:val="BodyText"/>
        <w:spacing w:line="242" w:lineRule="exact"/>
        <w:ind w:left="100" w:right="0"/>
        <w:jc w:val="left"/>
      </w:pPr>
      <w:r>
        <w:rPr>
          <w:color w:val="231F20"/>
        </w:rPr>
        <w:t>operations</w:t>
      </w:r>
      <w:r>
        <w:rPr>
          <w:color w:val="231F20"/>
          <w:spacing w:val="-5"/>
        </w:rPr>
        <w:t> </w:t>
      </w:r>
      <w:r>
        <w:rPr>
          <w:color w:val="231F20"/>
        </w:rPr>
        <w:t>from</w:t>
      </w:r>
      <w:r>
        <w:rPr>
          <w:color w:val="231F20"/>
          <w:spacing w:val="-3"/>
        </w:rPr>
        <w:t> </w:t>
      </w:r>
      <w:r>
        <w:rPr>
          <w:color w:val="231F20"/>
          <w:spacing w:val="-1"/>
        </w:rPr>
        <w:t>2015</w:t>
      </w:r>
      <w:r>
        <w:rPr>
          <w:color w:val="231F20"/>
          <w:spacing w:val="-3"/>
        </w:rPr>
        <w:t> </w:t>
      </w:r>
      <w:r>
        <w:rPr>
          <w:color w:val="231F20"/>
        </w:rPr>
        <w:t>to</w:t>
      </w:r>
      <w:r>
        <w:rPr>
          <w:color w:val="231F20"/>
          <w:spacing w:val="-4"/>
        </w:rPr>
        <w:t> </w:t>
      </w:r>
      <w:r>
        <w:rPr>
          <w:color w:val="231F20"/>
          <w:spacing w:val="-1"/>
        </w:rPr>
        <w:t>2017.</w:t>
      </w:r>
      <w:r>
        <w:rPr>
          <w:color w:val="231F20"/>
          <w:spacing w:val="-3"/>
        </w:rPr>
        <w:t> </w:t>
      </w:r>
      <w:r>
        <w:rPr>
          <w:color w:val="231F20"/>
        </w:rPr>
        <w:t>Just</w:t>
      </w:r>
      <w:r>
        <w:rPr>
          <w:color w:val="231F20"/>
          <w:spacing w:val="-4"/>
        </w:rPr>
        <w:t> </w:t>
      </w:r>
      <w:r>
        <w:rPr>
          <w:color w:val="231F20"/>
          <w:spacing w:val="-1"/>
        </w:rPr>
        <w:t>six</w:t>
      </w:r>
      <w:r>
        <w:rPr>
          <w:color w:val="231F20"/>
          <w:spacing w:val="-4"/>
        </w:rPr>
        <w:t> </w:t>
      </w:r>
      <w:r>
        <w:rPr>
          <w:color w:val="231F20"/>
        </w:rPr>
        <w:t>achieved</w:t>
      </w:r>
      <w:r>
        <w:rPr/>
      </w:r>
    </w:p>
    <w:p>
      <w:pPr>
        <w:pStyle w:val="BodyText"/>
        <w:spacing w:line="258" w:lineRule="exact"/>
        <w:ind w:left="100" w:right="0"/>
        <w:jc w:val="left"/>
        <w:rPr>
          <w:rFonts w:ascii="Segoe UI" w:hAnsi="Segoe UI" w:cs="Segoe UI" w:eastAsia="Segoe UI"/>
        </w:rPr>
      </w:pPr>
      <w:r>
        <w:rPr>
          <w:rFonts w:ascii="Segoe UI"/>
          <w:color w:val="231F20"/>
        </w:rPr>
        <w:t>a surplus in 2015, five in 2016 and four in 2017.</w:t>
      </w:r>
      <w:r>
        <w:rPr>
          <w:rFonts w:ascii="Segoe UI"/>
        </w:rPr>
      </w:r>
    </w:p>
    <w:p>
      <w:pPr>
        <w:pStyle w:val="BodyText"/>
        <w:spacing w:line="250" w:lineRule="exact" w:before="113"/>
        <w:ind w:left="100" w:right="0"/>
        <w:jc w:val="left"/>
      </w:pPr>
      <w:r>
        <w:rPr>
          <w:color w:val="231F20"/>
          <w:spacing w:val="-1"/>
        </w:rPr>
        <w:t>While</w:t>
      </w:r>
      <w:r>
        <w:rPr>
          <w:color w:val="231F20"/>
          <w:spacing w:val="-4"/>
        </w:rPr>
        <w:t> </w:t>
      </w:r>
      <w:r>
        <w:rPr>
          <w:color w:val="231F20"/>
        </w:rPr>
        <w:t>only</w:t>
      </w:r>
      <w:r>
        <w:rPr>
          <w:color w:val="231F20"/>
          <w:spacing w:val="-5"/>
        </w:rPr>
        <w:t> </w:t>
      </w:r>
      <w:r>
        <w:rPr>
          <w:color w:val="231F20"/>
        </w:rPr>
        <w:t>four</w:t>
      </w:r>
      <w:r>
        <w:rPr>
          <w:color w:val="231F20"/>
          <w:spacing w:val="-4"/>
        </w:rPr>
        <w:t> </w:t>
      </w:r>
      <w:r>
        <w:rPr>
          <w:color w:val="231F20"/>
        </w:rPr>
        <w:t>Aboriginal</w:t>
      </w:r>
      <w:r>
        <w:rPr>
          <w:color w:val="231F20"/>
          <w:spacing w:val="-4"/>
        </w:rPr>
        <w:t> </w:t>
      </w:r>
      <w:r>
        <w:rPr>
          <w:color w:val="231F20"/>
        </w:rPr>
        <w:t>and</w:t>
      </w:r>
      <w:r>
        <w:rPr>
          <w:color w:val="231F20"/>
          <w:spacing w:val="-5"/>
        </w:rPr>
        <w:t> Torres</w:t>
      </w:r>
      <w:r>
        <w:rPr>
          <w:color w:val="231F20"/>
          <w:spacing w:val="-3"/>
        </w:rPr>
        <w:t> </w:t>
      </w:r>
      <w:r>
        <w:rPr>
          <w:color w:val="231F20"/>
          <w:spacing w:val="-2"/>
        </w:rPr>
        <w:t>Strait</w:t>
      </w:r>
      <w:r>
        <w:rPr>
          <w:color w:val="231F20"/>
          <w:spacing w:val="21"/>
          <w:w w:val="99"/>
        </w:rPr>
        <w:t> </w:t>
      </w:r>
      <w:r>
        <w:rPr>
          <w:color w:val="231F20"/>
          <w:spacing w:val="-1"/>
        </w:rPr>
        <w:t>Islander</w:t>
      </w:r>
      <w:r>
        <w:rPr>
          <w:color w:val="231F20"/>
          <w:spacing w:val="-7"/>
        </w:rPr>
        <w:t> </w:t>
      </w:r>
      <w:r>
        <w:rPr>
          <w:color w:val="231F20"/>
        </w:rPr>
        <w:t>boarding</w:t>
      </w:r>
      <w:r>
        <w:rPr>
          <w:color w:val="231F20"/>
          <w:spacing w:val="-7"/>
        </w:rPr>
        <w:t> </w:t>
      </w:r>
      <w:r>
        <w:rPr>
          <w:color w:val="231F20"/>
        </w:rPr>
        <w:t>providers</w:t>
      </w:r>
      <w:r>
        <w:rPr>
          <w:color w:val="231F20"/>
          <w:spacing w:val="-8"/>
        </w:rPr>
        <w:t> </w:t>
      </w:r>
      <w:r>
        <w:rPr>
          <w:color w:val="231F20"/>
        </w:rPr>
        <w:t>achieved</w:t>
      </w:r>
      <w:r>
        <w:rPr>
          <w:color w:val="231F20"/>
          <w:spacing w:val="-7"/>
        </w:rPr>
        <w:t> </w:t>
      </w:r>
      <w:r>
        <w:rPr>
          <w:color w:val="231F20"/>
        </w:rPr>
        <w:t>a</w:t>
      </w:r>
      <w:r>
        <w:rPr>
          <w:color w:val="231F20"/>
          <w:spacing w:val="-7"/>
        </w:rPr>
        <w:t> </w:t>
      </w:r>
      <w:r>
        <w:rPr>
          <w:color w:val="231F20"/>
          <w:spacing w:val="-1"/>
        </w:rPr>
        <w:t>surplus</w:t>
      </w:r>
      <w:r>
        <w:rPr>
          <w:color w:val="231F20"/>
          <w:spacing w:val="21"/>
        </w:rPr>
        <w:t> </w:t>
      </w:r>
      <w:r>
        <w:rPr>
          <w:color w:val="231F20"/>
        </w:rPr>
        <w:t>per</w:t>
      </w:r>
      <w:r>
        <w:rPr>
          <w:color w:val="231F20"/>
          <w:spacing w:val="-4"/>
        </w:rPr>
        <w:t> </w:t>
      </w:r>
      <w:r>
        <w:rPr>
          <w:color w:val="231F20"/>
        </w:rPr>
        <w:t>boarder</w:t>
      </w:r>
      <w:r>
        <w:rPr>
          <w:color w:val="231F20"/>
          <w:spacing w:val="-4"/>
        </w:rPr>
        <w:t> </w:t>
      </w:r>
      <w:r>
        <w:rPr>
          <w:color w:val="231F20"/>
          <w:spacing w:val="-1"/>
        </w:rPr>
        <w:t>in</w:t>
      </w:r>
      <w:r>
        <w:rPr>
          <w:color w:val="231F20"/>
          <w:spacing w:val="-4"/>
        </w:rPr>
        <w:t> </w:t>
      </w:r>
      <w:r>
        <w:rPr>
          <w:color w:val="231F20"/>
          <w:spacing w:val="-1"/>
        </w:rPr>
        <w:t>2017,</w:t>
      </w:r>
      <w:r>
        <w:rPr>
          <w:color w:val="231F20"/>
          <w:spacing w:val="-4"/>
        </w:rPr>
        <w:t> </w:t>
      </w:r>
      <w:r>
        <w:rPr>
          <w:color w:val="231F20"/>
        </w:rPr>
        <w:t>three</w:t>
      </w:r>
      <w:r>
        <w:rPr>
          <w:color w:val="231F20"/>
          <w:spacing w:val="-5"/>
        </w:rPr>
        <w:t> </w:t>
      </w:r>
      <w:r>
        <w:rPr>
          <w:color w:val="231F20"/>
        </w:rPr>
        <w:t>of</w:t>
      </w:r>
      <w:r>
        <w:rPr>
          <w:color w:val="231F20"/>
          <w:spacing w:val="-4"/>
        </w:rPr>
        <w:t> </w:t>
      </w:r>
      <w:r>
        <w:rPr>
          <w:color w:val="231F20"/>
        </w:rPr>
        <w:t>the</w:t>
      </w:r>
      <w:r>
        <w:rPr>
          <w:color w:val="231F20"/>
          <w:spacing w:val="-5"/>
        </w:rPr>
        <w:t> </w:t>
      </w:r>
      <w:r>
        <w:rPr>
          <w:color w:val="231F20"/>
        </w:rPr>
        <w:t>providers</w:t>
      </w:r>
      <w:r>
        <w:rPr>
          <w:color w:val="231F20"/>
          <w:spacing w:val="22"/>
          <w:w w:val="99"/>
        </w:rPr>
        <w:t> </w:t>
      </w:r>
      <w:r>
        <w:rPr>
          <w:color w:val="231F20"/>
        </w:rPr>
        <w:t>achieved</w:t>
      </w:r>
      <w:r>
        <w:rPr>
          <w:color w:val="231F20"/>
          <w:spacing w:val="-5"/>
        </w:rPr>
        <w:t> </w:t>
      </w:r>
      <w:r>
        <w:rPr>
          <w:color w:val="231F20"/>
        </w:rPr>
        <w:t>a</w:t>
      </w:r>
      <w:r>
        <w:rPr>
          <w:color w:val="231F20"/>
          <w:spacing w:val="-4"/>
        </w:rPr>
        <w:t> </w:t>
      </w:r>
      <w:r>
        <w:rPr>
          <w:color w:val="231F20"/>
        </w:rPr>
        <w:t>consistent</w:t>
      </w:r>
      <w:r>
        <w:rPr>
          <w:color w:val="231F20"/>
          <w:spacing w:val="-5"/>
        </w:rPr>
        <w:t> </w:t>
      </w:r>
      <w:r>
        <w:rPr>
          <w:color w:val="231F20"/>
          <w:spacing w:val="-1"/>
        </w:rPr>
        <w:t>surplus</w:t>
      </w:r>
      <w:r>
        <w:rPr>
          <w:color w:val="231F20"/>
          <w:spacing w:val="-3"/>
        </w:rPr>
        <w:t> </w:t>
      </w:r>
      <w:r>
        <w:rPr>
          <w:color w:val="231F20"/>
        </w:rPr>
        <w:t>per</w:t>
      </w:r>
      <w:r>
        <w:rPr>
          <w:color w:val="231F20"/>
          <w:spacing w:val="-4"/>
        </w:rPr>
        <w:t> </w:t>
      </w:r>
      <w:r>
        <w:rPr>
          <w:color w:val="231F20"/>
        </w:rPr>
        <w:t>boarder</w:t>
      </w:r>
      <w:r>
        <w:rPr/>
      </w:r>
    </w:p>
    <w:p>
      <w:pPr>
        <w:pStyle w:val="BodyText"/>
        <w:spacing w:line="250" w:lineRule="exact"/>
        <w:ind w:left="100" w:right="60"/>
        <w:jc w:val="left"/>
      </w:pPr>
      <w:r>
        <w:rPr>
          <w:color w:val="231F20"/>
          <w:spacing w:val="-1"/>
        </w:rPr>
        <w:t>in</w:t>
      </w:r>
      <w:r>
        <w:rPr>
          <w:color w:val="231F20"/>
          <w:spacing w:val="-2"/>
        </w:rPr>
        <w:t> </w:t>
      </w:r>
      <w:r>
        <w:rPr>
          <w:color w:val="231F20"/>
          <w:spacing w:val="-1"/>
        </w:rPr>
        <w:t>2015,</w:t>
      </w:r>
      <w:r>
        <w:rPr>
          <w:color w:val="231F20"/>
          <w:spacing w:val="-2"/>
        </w:rPr>
        <w:t> </w:t>
      </w:r>
      <w:r>
        <w:rPr>
          <w:color w:val="231F20"/>
          <w:spacing w:val="-1"/>
        </w:rPr>
        <w:t>2016</w:t>
      </w:r>
      <w:r>
        <w:rPr>
          <w:color w:val="231F20"/>
          <w:spacing w:val="-2"/>
        </w:rPr>
        <w:t> </w:t>
      </w:r>
      <w:r>
        <w:rPr>
          <w:color w:val="231F20"/>
        </w:rPr>
        <w:t>and</w:t>
      </w:r>
      <w:r>
        <w:rPr>
          <w:color w:val="231F20"/>
          <w:spacing w:val="-3"/>
        </w:rPr>
        <w:t> </w:t>
      </w:r>
      <w:r>
        <w:rPr>
          <w:color w:val="231F20"/>
          <w:spacing w:val="-1"/>
        </w:rPr>
        <w:t>2017</w:t>
      </w:r>
      <w:r>
        <w:rPr>
          <w:color w:val="231F20"/>
          <w:spacing w:val="-2"/>
        </w:rPr>
        <w:t> </w:t>
      </w:r>
      <w:r>
        <w:rPr>
          <w:color w:val="231F20"/>
        </w:rPr>
        <w:t>and,</w:t>
      </w:r>
      <w:r>
        <w:rPr>
          <w:color w:val="231F20"/>
          <w:spacing w:val="-3"/>
        </w:rPr>
        <w:t> </w:t>
      </w:r>
      <w:r>
        <w:rPr>
          <w:color w:val="231F20"/>
        </w:rPr>
        <w:t>as</w:t>
      </w:r>
      <w:r>
        <w:rPr>
          <w:color w:val="231F20"/>
          <w:spacing w:val="-3"/>
        </w:rPr>
        <w:t> </w:t>
      </w:r>
      <w:r>
        <w:rPr>
          <w:color w:val="231F20"/>
        </w:rPr>
        <w:t>the</w:t>
      </w:r>
      <w:r>
        <w:rPr>
          <w:color w:val="231F20"/>
          <w:spacing w:val="-3"/>
        </w:rPr>
        <w:t> </w:t>
      </w:r>
      <w:r>
        <w:rPr>
          <w:color w:val="231F20"/>
        </w:rPr>
        <w:t>above</w:t>
      </w:r>
      <w:r>
        <w:rPr>
          <w:color w:val="231F20"/>
          <w:spacing w:val="25"/>
          <w:w w:val="99"/>
        </w:rPr>
        <w:t> </w:t>
      </w:r>
      <w:r>
        <w:rPr>
          <w:color w:val="231F20"/>
        </w:rPr>
        <w:t>distribution</w:t>
      </w:r>
      <w:r>
        <w:rPr>
          <w:color w:val="231F20"/>
          <w:spacing w:val="-8"/>
        </w:rPr>
        <w:t> </w:t>
      </w:r>
      <w:r>
        <w:rPr>
          <w:color w:val="231F20"/>
        </w:rPr>
        <w:t>graph</w:t>
      </w:r>
      <w:r>
        <w:rPr>
          <w:color w:val="231F20"/>
          <w:spacing w:val="-7"/>
        </w:rPr>
        <w:t> </w:t>
      </w:r>
      <w:r>
        <w:rPr>
          <w:color w:val="231F20"/>
          <w:spacing w:val="-1"/>
        </w:rPr>
        <w:t>indicates,</w:t>
      </w:r>
      <w:r>
        <w:rPr>
          <w:color w:val="231F20"/>
          <w:spacing w:val="-6"/>
        </w:rPr>
        <w:t> </w:t>
      </w:r>
      <w:r>
        <w:rPr>
          <w:color w:val="231F20"/>
        </w:rPr>
        <w:t>a</w:t>
      </w:r>
      <w:r>
        <w:rPr>
          <w:color w:val="231F20"/>
          <w:spacing w:val="-7"/>
        </w:rPr>
        <w:t> </w:t>
      </w:r>
      <w:r>
        <w:rPr>
          <w:color w:val="231F20"/>
        </w:rPr>
        <w:t>number</w:t>
      </w:r>
      <w:r>
        <w:rPr>
          <w:color w:val="231F20"/>
          <w:spacing w:val="-7"/>
        </w:rPr>
        <w:t> </w:t>
      </w:r>
      <w:r>
        <w:rPr>
          <w:color w:val="231F20"/>
        </w:rPr>
        <w:t>of</w:t>
      </w:r>
      <w:r>
        <w:rPr>
          <w:color w:val="231F20"/>
          <w:spacing w:val="-6"/>
        </w:rPr>
        <w:t> </w:t>
      </w:r>
      <w:r>
        <w:rPr>
          <w:color w:val="231F20"/>
        </w:rPr>
        <w:t>other</w:t>
      </w:r>
      <w:r>
        <w:rPr>
          <w:color w:val="231F20"/>
          <w:spacing w:val="22"/>
          <w:w w:val="99"/>
        </w:rPr>
        <w:t> </w:t>
      </w:r>
      <w:r>
        <w:rPr>
          <w:rFonts w:ascii="Segoe UI"/>
          <w:color w:val="231F20"/>
        </w:rPr>
        <w:t>providers reported only a small deficit in 2017.</w:t>
      </w:r>
      <w:r>
        <w:rPr>
          <w:rFonts w:ascii="Segoe UI"/>
          <w:color w:val="231F20"/>
        </w:rPr>
        <w:t> No common factors were identified as to why </w:t>
      </w:r>
      <w:r>
        <w:rPr>
          <w:color w:val="231F20"/>
          <w:spacing w:val="-1"/>
        </w:rPr>
        <w:t>some</w:t>
      </w:r>
      <w:r>
        <w:rPr>
          <w:color w:val="231F20"/>
          <w:spacing w:val="-7"/>
        </w:rPr>
        <w:t> </w:t>
      </w:r>
      <w:r>
        <w:rPr>
          <w:color w:val="231F20"/>
        </w:rPr>
        <w:t>boarding</w:t>
      </w:r>
      <w:r>
        <w:rPr>
          <w:color w:val="231F20"/>
          <w:spacing w:val="-7"/>
        </w:rPr>
        <w:t> </w:t>
      </w:r>
      <w:r>
        <w:rPr>
          <w:color w:val="231F20"/>
        </w:rPr>
        <w:t>providers</w:t>
      </w:r>
      <w:r>
        <w:rPr>
          <w:color w:val="231F20"/>
          <w:spacing w:val="-6"/>
        </w:rPr>
        <w:t> </w:t>
      </w:r>
      <w:r>
        <w:rPr>
          <w:color w:val="231F20"/>
        </w:rPr>
        <w:t>were</w:t>
      </w:r>
      <w:r>
        <w:rPr>
          <w:color w:val="231F20"/>
          <w:spacing w:val="-7"/>
        </w:rPr>
        <w:t> </w:t>
      </w:r>
      <w:r>
        <w:rPr>
          <w:color w:val="231F20"/>
        </w:rPr>
        <w:t>achieving</w:t>
      </w:r>
      <w:r>
        <w:rPr>
          <w:color w:val="231F20"/>
          <w:spacing w:val="-7"/>
        </w:rPr>
        <w:t> </w:t>
      </w:r>
      <w:r>
        <w:rPr>
          <w:color w:val="231F20"/>
        </w:rPr>
        <w:t>a</w:t>
      </w:r>
      <w:r>
        <w:rPr>
          <w:color w:val="231F20"/>
          <w:spacing w:val="21"/>
          <w:w w:val="99"/>
        </w:rPr>
        <w:t> </w:t>
      </w:r>
      <w:r>
        <w:rPr>
          <w:rFonts w:ascii="Segoe UI"/>
          <w:color w:val="231F20"/>
        </w:rPr>
        <w:t>surplus or a small deficit per boarder. The four</w:t>
      </w:r>
      <w:r>
        <w:rPr>
          <w:rFonts w:ascii="Segoe UI"/>
          <w:color w:val="231F20"/>
        </w:rPr>
        <w:t> </w:t>
      </w:r>
      <w:r>
        <w:rPr>
          <w:color w:val="231F20"/>
        </w:rPr>
        <w:t>providers</w:t>
      </w:r>
      <w:r>
        <w:rPr>
          <w:color w:val="231F20"/>
          <w:spacing w:val="-6"/>
        </w:rPr>
        <w:t> </w:t>
      </w:r>
      <w:r>
        <w:rPr>
          <w:color w:val="231F20"/>
        </w:rPr>
        <w:t>that</w:t>
      </w:r>
      <w:r>
        <w:rPr>
          <w:color w:val="231F20"/>
          <w:spacing w:val="-7"/>
        </w:rPr>
        <w:t> </w:t>
      </w:r>
      <w:r>
        <w:rPr>
          <w:color w:val="231F20"/>
        </w:rPr>
        <w:t>reported</w:t>
      </w:r>
      <w:r>
        <w:rPr>
          <w:color w:val="231F20"/>
          <w:spacing w:val="-6"/>
        </w:rPr>
        <w:t> </w:t>
      </w:r>
      <w:r>
        <w:rPr>
          <w:color w:val="231F20"/>
        </w:rPr>
        <w:t>a</w:t>
      </w:r>
      <w:r>
        <w:rPr>
          <w:color w:val="231F20"/>
          <w:spacing w:val="-5"/>
        </w:rPr>
        <w:t> </w:t>
      </w:r>
      <w:r>
        <w:rPr>
          <w:color w:val="231F20"/>
          <w:spacing w:val="-1"/>
        </w:rPr>
        <w:t>surplus</w:t>
      </w:r>
      <w:r>
        <w:rPr>
          <w:color w:val="231F20"/>
          <w:spacing w:val="-5"/>
        </w:rPr>
        <w:t> </w:t>
      </w:r>
      <w:r>
        <w:rPr>
          <w:color w:val="231F20"/>
        </w:rPr>
        <w:t>per</w:t>
      </w:r>
      <w:r>
        <w:rPr>
          <w:color w:val="231F20"/>
          <w:spacing w:val="-5"/>
        </w:rPr>
        <w:t> </w:t>
      </w:r>
      <w:r>
        <w:rPr>
          <w:color w:val="231F20"/>
        </w:rPr>
        <w:t>boarder</w:t>
      </w:r>
      <w:r>
        <w:rPr>
          <w:color w:val="231F20"/>
          <w:spacing w:val="22"/>
          <w:w w:val="99"/>
        </w:rPr>
        <w:t> </w:t>
      </w:r>
      <w:r>
        <w:rPr>
          <w:rFonts w:ascii="Segoe UI"/>
          <w:color w:val="231F20"/>
        </w:rPr>
        <w:t>in</w:t>
      </w:r>
      <w:r>
        <w:rPr>
          <w:rFonts w:ascii="Segoe UI"/>
          <w:color w:val="231F20"/>
          <w:spacing w:val="-2"/>
        </w:rPr>
        <w:t> </w:t>
      </w:r>
      <w:r>
        <w:rPr>
          <w:rFonts w:ascii="Segoe UI"/>
          <w:color w:val="231F20"/>
        </w:rPr>
        <w:t>2017</w:t>
      </w:r>
      <w:r>
        <w:rPr>
          <w:rFonts w:ascii="Segoe UI"/>
          <w:color w:val="231F20"/>
          <w:spacing w:val="-1"/>
        </w:rPr>
        <w:t> </w:t>
      </w:r>
      <w:r>
        <w:rPr>
          <w:rFonts w:ascii="Segoe UI"/>
          <w:color w:val="231F20"/>
        </w:rPr>
        <w:t>had</w:t>
      </w:r>
      <w:r>
        <w:rPr>
          <w:rFonts w:ascii="Segoe UI"/>
          <w:color w:val="231F20"/>
          <w:spacing w:val="-2"/>
        </w:rPr>
        <w:t> </w:t>
      </w:r>
      <w:r>
        <w:rPr>
          <w:rFonts w:ascii="Segoe UI"/>
          <w:color w:val="231F20"/>
        </w:rPr>
        <w:t>very</w:t>
      </w:r>
      <w:r>
        <w:rPr>
          <w:rFonts w:ascii="Segoe UI"/>
          <w:color w:val="231F20"/>
          <w:spacing w:val="-1"/>
        </w:rPr>
        <w:t> </w:t>
      </w:r>
      <w:r>
        <w:rPr>
          <w:rFonts w:ascii="Segoe UI"/>
          <w:color w:val="231F20"/>
        </w:rPr>
        <w:t>different</w:t>
      </w:r>
      <w:r>
        <w:rPr>
          <w:rFonts w:ascii="Segoe UI"/>
          <w:color w:val="231F20"/>
          <w:spacing w:val="-2"/>
        </w:rPr>
        <w:t> </w:t>
      </w:r>
      <w:r>
        <w:rPr>
          <w:rFonts w:ascii="Segoe UI"/>
          <w:color w:val="231F20"/>
        </w:rPr>
        <w:t>circumstances</w:t>
      </w:r>
      <w:r>
        <w:rPr>
          <w:rFonts w:ascii="Segoe UI"/>
          <w:color w:val="231F20"/>
        </w:rPr>
        <w:t> </w:t>
      </w:r>
      <w:r>
        <w:rPr>
          <w:color w:val="231F20"/>
        </w:rPr>
        <w:t>(Indigeneity,</w:t>
      </w:r>
      <w:r>
        <w:rPr>
          <w:color w:val="231F20"/>
          <w:spacing w:val="-9"/>
        </w:rPr>
        <w:t> </w:t>
      </w:r>
      <w:r>
        <w:rPr>
          <w:color w:val="231F20"/>
        </w:rPr>
        <w:t>remoteness,</w:t>
      </w:r>
      <w:r>
        <w:rPr>
          <w:color w:val="231F20"/>
          <w:spacing w:val="-10"/>
        </w:rPr>
        <w:t> </w:t>
      </w:r>
      <w:r>
        <w:rPr>
          <w:color w:val="231F20"/>
          <w:spacing w:val="-1"/>
        </w:rPr>
        <w:t>size</w:t>
      </w:r>
      <w:r>
        <w:rPr>
          <w:color w:val="231F20"/>
          <w:spacing w:val="-8"/>
        </w:rPr>
        <w:t> </w:t>
      </w:r>
      <w:r>
        <w:rPr>
          <w:color w:val="231F20"/>
        </w:rPr>
        <w:t>and</w:t>
      </w:r>
      <w:r>
        <w:rPr>
          <w:color w:val="231F20"/>
          <w:spacing w:val="-9"/>
        </w:rPr>
        <w:t> </w:t>
      </w:r>
      <w:r>
        <w:rPr>
          <w:color w:val="231F20"/>
          <w:spacing w:val="-1"/>
        </w:rPr>
        <w:t>school/</w:t>
      </w:r>
      <w:r>
        <w:rPr>
          <w:color w:val="231F20"/>
          <w:spacing w:val="21"/>
          <w:w w:val="99"/>
        </w:rPr>
        <w:t> </w:t>
      </w:r>
      <w:r>
        <w:rPr>
          <w:color w:val="231F20"/>
          <w:spacing w:val="-1"/>
        </w:rPr>
        <w:t>standalone</w:t>
      </w:r>
      <w:r>
        <w:rPr>
          <w:color w:val="231F20"/>
          <w:spacing w:val="-18"/>
        </w:rPr>
        <w:t> </w:t>
      </w:r>
      <w:r>
        <w:rPr>
          <w:color w:val="231F20"/>
        </w:rPr>
        <w:t>provider).</w:t>
      </w:r>
      <w:r>
        <w:rPr/>
      </w:r>
    </w:p>
    <w:p>
      <w:pPr>
        <w:pStyle w:val="BodyText"/>
        <w:spacing w:line="250" w:lineRule="exact" w:before="113"/>
        <w:ind w:left="100" w:right="73"/>
        <w:jc w:val="both"/>
        <w:rPr>
          <w:rFonts w:ascii="Segoe UI" w:hAnsi="Segoe UI" w:cs="Segoe UI" w:eastAsia="Segoe UI"/>
        </w:rPr>
      </w:pPr>
      <w:r>
        <w:rPr>
          <w:color w:val="231F20"/>
        </w:rPr>
        <w:t>The</w:t>
      </w:r>
      <w:r>
        <w:rPr>
          <w:color w:val="231F20"/>
          <w:spacing w:val="-5"/>
        </w:rPr>
        <w:t> </w:t>
      </w:r>
      <w:r>
        <w:rPr>
          <w:color w:val="231F20"/>
        </w:rPr>
        <w:t>revenue</w:t>
      </w:r>
      <w:r>
        <w:rPr>
          <w:color w:val="231F20"/>
          <w:spacing w:val="-5"/>
        </w:rPr>
        <w:t> </w:t>
      </w:r>
      <w:r>
        <w:rPr>
          <w:color w:val="231F20"/>
          <w:spacing w:val="-1"/>
        </w:rPr>
        <w:t>shortfall</w:t>
      </w:r>
      <w:r>
        <w:rPr>
          <w:color w:val="231F20"/>
          <w:spacing w:val="-4"/>
        </w:rPr>
        <w:t> </w:t>
      </w:r>
      <w:r>
        <w:rPr>
          <w:color w:val="231F20"/>
        </w:rPr>
        <w:t>for</w:t>
      </w:r>
      <w:r>
        <w:rPr>
          <w:color w:val="231F20"/>
          <w:spacing w:val="-4"/>
        </w:rPr>
        <w:t> </w:t>
      </w:r>
      <w:r>
        <w:rPr>
          <w:color w:val="231F20"/>
        </w:rPr>
        <w:t>Aboriginal</w:t>
      </w:r>
      <w:r>
        <w:rPr>
          <w:color w:val="231F20"/>
          <w:spacing w:val="-5"/>
        </w:rPr>
        <w:t> </w:t>
      </w:r>
      <w:r>
        <w:rPr>
          <w:color w:val="231F20"/>
        </w:rPr>
        <w:t>and</w:t>
      </w:r>
      <w:r>
        <w:rPr>
          <w:color w:val="231F20"/>
          <w:spacing w:val="-5"/>
        </w:rPr>
        <w:t> Torres</w:t>
      </w:r>
      <w:r>
        <w:rPr>
          <w:color w:val="231F20"/>
          <w:spacing w:val="25"/>
          <w:w w:val="99"/>
        </w:rPr>
        <w:t> </w:t>
      </w:r>
      <w:r>
        <w:rPr>
          <w:rFonts w:ascii="Segoe UI"/>
          <w:color w:val="231F20"/>
          <w:spacing w:val="-2"/>
        </w:rPr>
        <w:t>Strait</w:t>
      </w:r>
      <w:r>
        <w:rPr>
          <w:rFonts w:ascii="Segoe UI"/>
          <w:color w:val="231F20"/>
        </w:rPr>
        <w:t> Islander boarding providers identified in</w:t>
      </w:r>
      <w:r>
        <w:rPr>
          <w:rFonts w:ascii="Segoe UI"/>
          <w:color w:val="231F20"/>
          <w:spacing w:val="25"/>
        </w:rPr>
        <w:t> </w:t>
      </w:r>
      <w:r>
        <w:rPr>
          <w:color w:val="231F20"/>
        </w:rPr>
        <w:t>this</w:t>
      </w:r>
      <w:r>
        <w:rPr>
          <w:color w:val="231F20"/>
          <w:spacing w:val="-5"/>
        </w:rPr>
        <w:t> </w:t>
      </w:r>
      <w:r>
        <w:rPr>
          <w:color w:val="231F20"/>
        </w:rPr>
        <w:t>report</w:t>
      </w:r>
      <w:r>
        <w:rPr>
          <w:color w:val="231F20"/>
          <w:spacing w:val="-4"/>
        </w:rPr>
        <w:t> </w:t>
      </w:r>
      <w:r>
        <w:rPr>
          <w:color w:val="231F20"/>
          <w:spacing w:val="-1"/>
        </w:rPr>
        <w:t>is</w:t>
      </w:r>
      <w:r>
        <w:rPr>
          <w:color w:val="231F20"/>
          <w:spacing w:val="-5"/>
        </w:rPr>
        <w:t> </w:t>
      </w:r>
      <w:r>
        <w:rPr>
          <w:color w:val="231F20"/>
        </w:rPr>
        <w:t>approximately</w:t>
      </w:r>
      <w:r>
        <w:rPr>
          <w:color w:val="231F20"/>
          <w:spacing w:val="-4"/>
        </w:rPr>
        <w:t> </w:t>
      </w:r>
      <w:r>
        <w:rPr>
          <w:color w:val="231F20"/>
          <w:spacing w:val="-1"/>
        </w:rPr>
        <w:t>60</w:t>
      </w:r>
      <w:r>
        <w:rPr>
          <w:color w:val="231F20"/>
          <w:spacing w:val="-4"/>
        </w:rPr>
        <w:t> </w:t>
      </w:r>
      <w:r>
        <w:rPr>
          <w:color w:val="231F20"/>
        </w:rPr>
        <w:t>per</w:t>
      </w:r>
      <w:r>
        <w:rPr>
          <w:color w:val="231F20"/>
          <w:spacing w:val="-3"/>
        </w:rPr>
        <w:t> </w:t>
      </w:r>
      <w:r>
        <w:rPr>
          <w:color w:val="231F20"/>
        </w:rPr>
        <w:t>cent</w:t>
      </w:r>
      <w:r>
        <w:rPr>
          <w:color w:val="231F20"/>
          <w:spacing w:val="-4"/>
        </w:rPr>
        <w:t> </w:t>
      </w:r>
      <w:r>
        <w:rPr>
          <w:color w:val="231F20"/>
        </w:rPr>
        <w:t>of</w:t>
      </w:r>
      <w:r>
        <w:rPr>
          <w:color w:val="231F20"/>
          <w:spacing w:val="-4"/>
        </w:rPr>
        <w:t> </w:t>
      </w:r>
      <w:r>
        <w:rPr>
          <w:color w:val="231F20"/>
        </w:rPr>
        <w:t>that</w:t>
      </w:r>
      <w:r>
        <w:rPr>
          <w:color w:val="231F20"/>
          <w:spacing w:val="22"/>
          <w:w w:val="99"/>
        </w:rPr>
        <w:t> </w:t>
      </w:r>
      <w:r>
        <w:rPr>
          <w:rFonts w:ascii="Segoe UI"/>
          <w:color w:val="231F20"/>
        </w:rPr>
        <w:t>identified by KPMG for the period from 2013</w:t>
      </w:r>
      <w:r>
        <w:rPr>
          <w:rFonts w:ascii="Segoe UI"/>
        </w:rPr>
      </w:r>
    </w:p>
    <w:p>
      <w:pPr>
        <w:pStyle w:val="BodyText"/>
        <w:spacing w:line="250" w:lineRule="exact"/>
        <w:ind w:left="100" w:right="11"/>
        <w:jc w:val="left"/>
      </w:pPr>
      <w:r>
        <w:rPr>
          <w:rFonts w:ascii="Segoe UI" w:hAnsi="Segoe UI" w:cs="Segoe UI" w:eastAsia="Segoe UI"/>
          <w:color w:val="231F20"/>
        </w:rPr>
        <w:t>— 2015. While the average revenue identified </w:t>
      </w:r>
      <w:r>
        <w:rPr>
          <w:color w:val="231F20"/>
        </w:rPr>
        <w:t>by</w:t>
      </w:r>
      <w:r>
        <w:rPr>
          <w:color w:val="231F20"/>
          <w:spacing w:val="-6"/>
        </w:rPr>
        <w:t> </w:t>
      </w:r>
      <w:r>
        <w:rPr>
          <w:color w:val="231F20"/>
          <w:spacing w:val="-1"/>
        </w:rPr>
        <w:t>KPMG</w:t>
      </w:r>
      <w:r>
        <w:rPr>
          <w:color w:val="231F20"/>
          <w:spacing w:val="-5"/>
        </w:rPr>
        <w:t> </w:t>
      </w:r>
      <w:r>
        <w:rPr>
          <w:color w:val="231F20"/>
        </w:rPr>
        <w:t>($15,500)</w:t>
      </w:r>
      <w:r>
        <w:rPr>
          <w:color w:val="231F20"/>
          <w:spacing w:val="-6"/>
        </w:rPr>
        <w:t> </w:t>
      </w:r>
      <w:r>
        <w:rPr>
          <w:color w:val="231F20"/>
        </w:rPr>
        <w:t>was</w:t>
      </w:r>
      <w:r>
        <w:rPr>
          <w:color w:val="231F20"/>
          <w:spacing w:val="-6"/>
        </w:rPr>
        <w:t> </w:t>
      </w:r>
      <w:r>
        <w:rPr>
          <w:color w:val="231F20"/>
        </w:rPr>
        <w:t>comparable</w:t>
      </w:r>
      <w:r>
        <w:rPr>
          <w:color w:val="231F20"/>
          <w:spacing w:val="-6"/>
        </w:rPr>
        <w:t> </w:t>
      </w:r>
      <w:r>
        <w:rPr>
          <w:color w:val="231F20"/>
        </w:rPr>
        <w:t>(7.6</w:t>
      </w:r>
      <w:r>
        <w:rPr>
          <w:color w:val="231F20"/>
          <w:spacing w:val="-6"/>
        </w:rPr>
        <w:t> </w:t>
      </w:r>
      <w:r>
        <w:rPr>
          <w:color w:val="231F20"/>
        </w:rPr>
        <w:t>per</w:t>
      </w:r>
      <w:r>
        <w:rPr>
          <w:color w:val="231F20"/>
          <w:spacing w:val="21"/>
          <w:w w:val="99"/>
        </w:rPr>
        <w:t> </w:t>
      </w:r>
      <w:r>
        <w:rPr>
          <w:color w:val="231F20"/>
        </w:rPr>
        <w:t>cent</w:t>
      </w:r>
      <w:r>
        <w:rPr>
          <w:color w:val="231F20"/>
          <w:spacing w:val="-7"/>
        </w:rPr>
        <w:t> </w:t>
      </w:r>
      <w:r>
        <w:rPr>
          <w:color w:val="231F20"/>
        </w:rPr>
        <w:t>variance),</w:t>
      </w:r>
      <w:r>
        <w:rPr>
          <w:color w:val="231F20"/>
          <w:spacing w:val="-6"/>
        </w:rPr>
        <w:t> </w:t>
      </w:r>
      <w:r>
        <w:rPr>
          <w:color w:val="231F20"/>
        </w:rPr>
        <w:t>the</w:t>
      </w:r>
      <w:r>
        <w:rPr>
          <w:color w:val="231F20"/>
          <w:spacing w:val="-6"/>
        </w:rPr>
        <w:t> </w:t>
      </w:r>
      <w:r>
        <w:rPr>
          <w:color w:val="231F20"/>
        </w:rPr>
        <w:t>average</w:t>
      </w:r>
      <w:r>
        <w:rPr>
          <w:color w:val="231F20"/>
          <w:spacing w:val="-7"/>
        </w:rPr>
        <w:t> </w:t>
      </w:r>
      <w:r>
        <w:rPr>
          <w:color w:val="231F20"/>
        </w:rPr>
        <w:t>cost</w:t>
      </w:r>
      <w:r>
        <w:rPr>
          <w:color w:val="231F20"/>
          <w:spacing w:val="-6"/>
        </w:rPr>
        <w:t> </w:t>
      </w:r>
      <w:r>
        <w:rPr>
          <w:color w:val="231F20"/>
        </w:rPr>
        <w:t>($26,000)</w:t>
      </w:r>
      <w:r>
        <w:rPr>
          <w:color w:val="231F20"/>
          <w:spacing w:val="-7"/>
        </w:rPr>
        <w:t> </w:t>
      </w:r>
      <w:r>
        <w:rPr>
          <w:color w:val="231F20"/>
        </w:rPr>
        <w:t>was</w:t>
      </w:r>
      <w:r>
        <w:rPr>
          <w:color w:val="231F20"/>
          <w:w w:val="99"/>
        </w:rPr>
        <w:t> </w:t>
      </w:r>
      <w:r>
        <w:rPr>
          <w:color w:val="231F20"/>
        </w:rPr>
        <w:t>noticeably</w:t>
      </w:r>
      <w:r>
        <w:rPr>
          <w:color w:val="231F20"/>
          <w:spacing w:val="-9"/>
        </w:rPr>
        <w:t> </w:t>
      </w:r>
      <w:r>
        <w:rPr>
          <w:color w:val="231F20"/>
        </w:rPr>
        <w:t>higher</w:t>
      </w:r>
      <w:r>
        <w:rPr>
          <w:color w:val="231F20"/>
          <w:spacing w:val="-8"/>
        </w:rPr>
        <w:t> </w:t>
      </w:r>
      <w:r>
        <w:rPr>
          <w:color w:val="231F20"/>
        </w:rPr>
        <w:t>and</w:t>
      </w:r>
      <w:r>
        <w:rPr>
          <w:color w:val="231F20"/>
          <w:spacing w:val="-8"/>
        </w:rPr>
        <w:t> </w:t>
      </w:r>
      <w:r>
        <w:rPr>
          <w:color w:val="231F20"/>
        </w:rPr>
        <w:t>therefore</w:t>
      </w:r>
      <w:r>
        <w:rPr>
          <w:color w:val="231F20"/>
          <w:spacing w:val="-8"/>
        </w:rPr>
        <w:t> </w:t>
      </w:r>
      <w:r>
        <w:rPr>
          <w:color w:val="231F20"/>
        </w:rPr>
        <w:t>the</w:t>
      </w:r>
      <w:r>
        <w:rPr>
          <w:color w:val="231F20"/>
          <w:spacing w:val="-9"/>
        </w:rPr>
        <w:t> </w:t>
      </w:r>
      <w:r>
        <w:rPr>
          <w:color w:val="231F20"/>
        </w:rPr>
        <w:t>average</w:t>
      </w:r>
      <w:r>
        <w:rPr/>
      </w:r>
    </w:p>
    <w:p>
      <w:pPr>
        <w:pStyle w:val="BodyText"/>
        <w:spacing w:line="250" w:lineRule="exact" w:before="62"/>
        <w:ind w:left="100" w:right="1438"/>
        <w:jc w:val="left"/>
      </w:pPr>
      <w:r>
        <w:rPr/>
        <w:br w:type="column"/>
      </w:r>
      <w:r>
        <w:rPr>
          <w:color w:val="231F20"/>
          <w:spacing w:val="-1"/>
        </w:rPr>
        <w:t>shortfall</w:t>
      </w:r>
      <w:r>
        <w:rPr>
          <w:color w:val="231F20"/>
          <w:spacing w:val="-3"/>
        </w:rPr>
        <w:t> </w:t>
      </w:r>
      <w:r>
        <w:rPr>
          <w:color w:val="231F20"/>
        </w:rPr>
        <w:t>($10,437)</w:t>
      </w:r>
      <w:r>
        <w:rPr>
          <w:color w:val="231F20"/>
          <w:spacing w:val="-5"/>
        </w:rPr>
        <w:t> </w:t>
      </w:r>
      <w:r>
        <w:rPr>
          <w:color w:val="231F20"/>
        </w:rPr>
        <w:t>was</w:t>
      </w:r>
      <w:r>
        <w:rPr>
          <w:color w:val="231F20"/>
          <w:spacing w:val="-5"/>
        </w:rPr>
        <w:t> </w:t>
      </w:r>
      <w:r>
        <w:rPr>
          <w:color w:val="231F20"/>
        </w:rPr>
        <w:t>also</w:t>
      </w:r>
      <w:r>
        <w:rPr>
          <w:color w:val="231F20"/>
          <w:spacing w:val="-5"/>
        </w:rPr>
        <w:t> </w:t>
      </w:r>
      <w:r>
        <w:rPr>
          <w:color w:val="231F20"/>
        </w:rPr>
        <w:t>higher</w:t>
      </w:r>
      <w:r>
        <w:rPr>
          <w:color w:val="231F20"/>
          <w:spacing w:val="-5"/>
        </w:rPr>
        <w:t> </w:t>
      </w:r>
      <w:r>
        <w:rPr>
          <w:color w:val="231F20"/>
          <w:spacing w:val="-1"/>
        </w:rPr>
        <w:t>in</w:t>
      </w:r>
      <w:r>
        <w:rPr>
          <w:color w:val="231F20"/>
          <w:spacing w:val="-4"/>
        </w:rPr>
        <w:t> </w:t>
      </w:r>
      <w:r>
        <w:rPr>
          <w:color w:val="231F20"/>
        </w:rPr>
        <w:t>the</w:t>
      </w:r>
      <w:r>
        <w:rPr>
          <w:color w:val="231F20"/>
          <w:spacing w:val="-5"/>
        </w:rPr>
        <w:t> </w:t>
      </w:r>
      <w:r>
        <w:rPr>
          <w:color w:val="231F20"/>
          <w:spacing w:val="-1"/>
        </w:rPr>
        <w:t>KPMG</w:t>
      </w:r>
      <w:r>
        <w:rPr>
          <w:color w:val="231F20"/>
          <w:spacing w:val="23"/>
        </w:rPr>
        <w:t> </w:t>
      </w:r>
      <w:r>
        <w:rPr>
          <w:color w:val="231F20"/>
          <w:spacing w:val="-1"/>
        </w:rPr>
        <w:t>report.</w:t>
      </w:r>
      <w:r>
        <w:rPr>
          <w:rFonts w:ascii="Segoe UI Semibold" w:hAnsi="Segoe UI Semibold" w:cs="Segoe UI Semibold" w:eastAsia="Segoe UI Semibold"/>
          <w:b/>
          <w:bCs/>
          <w:color w:val="231F20"/>
          <w:spacing w:val="-1"/>
          <w:position w:val="7"/>
          <w:sz w:val="11"/>
          <w:szCs w:val="11"/>
        </w:rPr>
        <w:t>140</w:t>
      </w:r>
      <w:r>
        <w:rPr>
          <w:rFonts w:ascii="Segoe UI Semibold" w:hAnsi="Segoe UI Semibold" w:cs="Segoe UI Semibold" w:eastAsia="Segoe UI Semibold"/>
          <w:b/>
          <w:bCs/>
          <w:color w:val="231F20"/>
          <w:spacing w:val="20"/>
          <w:position w:val="7"/>
          <w:sz w:val="11"/>
          <w:szCs w:val="11"/>
        </w:rPr>
        <w:t> </w:t>
      </w:r>
      <w:r>
        <w:rPr>
          <w:color w:val="231F20"/>
          <w:spacing w:val="-1"/>
        </w:rPr>
        <w:t>KPMG,</w:t>
      </w:r>
      <w:r>
        <w:rPr>
          <w:color w:val="231F20"/>
          <w:spacing w:val="-3"/>
        </w:rPr>
        <w:t> </w:t>
      </w:r>
      <w:r>
        <w:rPr>
          <w:color w:val="231F20"/>
          <w:spacing w:val="-1"/>
        </w:rPr>
        <w:t>2016</w:t>
      </w:r>
      <w:r>
        <w:rPr>
          <w:color w:val="231F20"/>
          <w:spacing w:val="-4"/>
        </w:rPr>
        <w:t> </w:t>
      </w:r>
      <w:r>
        <w:rPr>
          <w:color w:val="231F20"/>
        </w:rPr>
        <w:t>reviewed</w:t>
      </w:r>
      <w:r>
        <w:rPr>
          <w:color w:val="231F20"/>
          <w:spacing w:val="-4"/>
        </w:rPr>
        <w:t> </w:t>
      </w:r>
      <w:r>
        <w:rPr>
          <w:color w:val="231F20"/>
          <w:spacing w:val="-1"/>
        </w:rPr>
        <w:t>seven</w:t>
      </w:r>
      <w:r>
        <w:rPr>
          <w:color w:val="231F20"/>
          <w:spacing w:val="-4"/>
        </w:rPr>
        <w:t> </w:t>
      </w:r>
      <w:r>
        <w:rPr>
          <w:color w:val="231F20"/>
        </w:rPr>
        <w:t>Northern</w:t>
      </w:r>
      <w:r>
        <w:rPr>
          <w:color w:val="231F20"/>
          <w:spacing w:val="21"/>
          <w:w w:val="99"/>
        </w:rPr>
        <w:t> </w:t>
      </w:r>
      <w:r>
        <w:rPr>
          <w:color w:val="231F20"/>
          <w:spacing w:val="-3"/>
        </w:rPr>
        <w:t>Territory</w:t>
      </w:r>
      <w:r>
        <w:rPr>
          <w:color w:val="231F20"/>
          <w:spacing w:val="-4"/>
        </w:rPr>
        <w:t> </w:t>
      </w:r>
      <w:r>
        <w:rPr>
          <w:color w:val="231F20"/>
        </w:rPr>
        <w:t>boarding</w:t>
      </w:r>
      <w:r>
        <w:rPr>
          <w:color w:val="231F20"/>
          <w:spacing w:val="-5"/>
        </w:rPr>
        <w:t> </w:t>
      </w:r>
      <w:r>
        <w:rPr>
          <w:color w:val="231F20"/>
          <w:spacing w:val="-1"/>
        </w:rPr>
        <w:t>providers</w:t>
      </w:r>
      <w:r>
        <w:rPr>
          <w:rFonts w:ascii="Segoe UI Semibold" w:hAnsi="Segoe UI Semibold" w:cs="Segoe UI Semibold" w:eastAsia="Segoe UI Semibold"/>
          <w:b/>
          <w:bCs/>
          <w:color w:val="231F20"/>
          <w:spacing w:val="-1"/>
          <w:position w:val="7"/>
          <w:sz w:val="11"/>
          <w:szCs w:val="11"/>
        </w:rPr>
        <w:t>141</w:t>
      </w:r>
      <w:r>
        <w:rPr>
          <w:rFonts w:ascii="Segoe UI Semibold" w:hAnsi="Segoe UI Semibold" w:cs="Segoe UI Semibold" w:eastAsia="Segoe UI Semibold"/>
          <w:b/>
          <w:bCs/>
          <w:color w:val="231F20"/>
          <w:spacing w:val="20"/>
          <w:position w:val="7"/>
          <w:sz w:val="11"/>
          <w:szCs w:val="11"/>
        </w:rPr>
        <w:t> </w:t>
      </w:r>
      <w:r>
        <w:rPr>
          <w:color w:val="231F20"/>
        </w:rPr>
        <w:t>and</w:t>
      </w:r>
      <w:r>
        <w:rPr>
          <w:color w:val="231F20"/>
          <w:spacing w:val="-4"/>
        </w:rPr>
        <w:t> </w:t>
      </w:r>
      <w:r>
        <w:rPr>
          <w:color w:val="231F20"/>
          <w:spacing w:val="-1"/>
        </w:rPr>
        <w:t>six</w:t>
      </w:r>
      <w:r>
        <w:rPr>
          <w:color w:val="231F20"/>
          <w:spacing w:val="-4"/>
        </w:rPr>
        <w:t> </w:t>
      </w:r>
      <w:r>
        <w:rPr>
          <w:color w:val="231F20"/>
        </w:rPr>
        <w:t>of</w:t>
      </w:r>
      <w:r>
        <w:rPr>
          <w:color w:val="231F20"/>
          <w:spacing w:val="-4"/>
        </w:rPr>
        <w:t> </w:t>
      </w:r>
      <w:r>
        <w:rPr>
          <w:color w:val="231F20"/>
        </w:rPr>
        <w:t>the</w:t>
      </w:r>
      <w:r>
        <w:rPr>
          <w:color w:val="231F20"/>
          <w:spacing w:val="35"/>
          <w:w w:val="99"/>
        </w:rPr>
        <w:t> </w:t>
      </w:r>
      <w:r>
        <w:rPr>
          <w:color w:val="231F20"/>
          <w:spacing w:val="-1"/>
        </w:rPr>
        <w:t>seven</w:t>
      </w:r>
      <w:r>
        <w:rPr>
          <w:color w:val="231F20"/>
          <w:spacing w:val="-4"/>
        </w:rPr>
        <w:t> </w:t>
      </w:r>
      <w:r>
        <w:rPr>
          <w:color w:val="231F20"/>
        </w:rPr>
        <w:t>were</w:t>
      </w:r>
      <w:r>
        <w:rPr>
          <w:color w:val="231F20"/>
          <w:spacing w:val="-4"/>
        </w:rPr>
        <w:t> </w:t>
      </w:r>
      <w:r>
        <w:rPr>
          <w:color w:val="231F20"/>
        </w:rPr>
        <w:t>also</w:t>
      </w:r>
      <w:r>
        <w:rPr>
          <w:color w:val="231F20"/>
          <w:spacing w:val="-5"/>
        </w:rPr>
        <w:t> </w:t>
      </w:r>
      <w:r>
        <w:rPr>
          <w:color w:val="231F20"/>
        </w:rPr>
        <w:t>reviewed</w:t>
      </w:r>
      <w:r>
        <w:rPr>
          <w:color w:val="231F20"/>
          <w:spacing w:val="-4"/>
        </w:rPr>
        <w:t> </w:t>
      </w:r>
      <w:r>
        <w:rPr>
          <w:color w:val="231F20"/>
        </w:rPr>
        <w:t>for</w:t>
      </w:r>
      <w:r>
        <w:rPr>
          <w:color w:val="231F20"/>
          <w:spacing w:val="-3"/>
        </w:rPr>
        <w:t> </w:t>
      </w:r>
      <w:r>
        <w:rPr>
          <w:color w:val="231F20"/>
        </w:rPr>
        <w:t>this</w:t>
      </w:r>
      <w:r>
        <w:rPr>
          <w:color w:val="231F20"/>
          <w:spacing w:val="-5"/>
        </w:rPr>
        <w:t> </w:t>
      </w:r>
      <w:r>
        <w:rPr>
          <w:color w:val="231F20"/>
        </w:rPr>
        <w:t>report.</w:t>
      </w:r>
      <w:r>
        <w:rPr>
          <w:color w:val="231F20"/>
          <w:spacing w:val="-4"/>
        </w:rPr>
        <w:t> </w:t>
      </w:r>
      <w:r>
        <w:rPr>
          <w:color w:val="231F20"/>
          <w:spacing w:val="-1"/>
        </w:rPr>
        <w:t>For</w:t>
      </w:r>
      <w:r>
        <w:rPr>
          <w:color w:val="231F20"/>
          <w:spacing w:val="21"/>
          <w:w w:val="99"/>
        </w:rPr>
        <w:t> </w:t>
      </w:r>
      <w:r>
        <w:rPr>
          <w:color w:val="231F20"/>
        </w:rPr>
        <w:t>those</w:t>
      </w:r>
      <w:r>
        <w:rPr>
          <w:color w:val="231F20"/>
          <w:spacing w:val="-9"/>
        </w:rPr>
        <w:t> </w:t>
      </w:r>
      <w:r>
        <w:rPr>
          <w:color w:val="231F20"/>
          <w:spacing w:val="-1"/>
        </w:rPr>
        <w:t>six</w:t>
      </w:r>
      <w:r>
        <w:rPr>
          <w:color w:val="231F20"/>
          <w:spacing w:val="-7"/>
        </w:rPr>
        <w:t> </w:t>
      </w:r>
      <w:r>
        <w:rPr>
          <w:color w:val="231F20"/>
        </w:rPr>
        <w:t>Northern</w:t>
      </w:r>
      <w:r>
        <w:rPr>
          <w:color w:val="231F20"/>
          <w:spacing w:val="-8"/>
        </w:rPr>
        <w:t> </w:t>
      </w:r>
      <w:r>
        <w:rPr>
          <w:color w:val="231F20"/>
          <w:spacing w:val="-3"/>
        </w:rPr>
        <w:t>Territory</w:t>
      </w:r>
      <w:r>
        <w:rPr>
          <w:color w:val="231F20"/>
          <w:spacing w:val="-7"/>
        </w:rPr>
        <w:t> </w:t>
      </w:r>
      <w:r>
        <w:rPr>
          <w:color w:val="231F20"/>
        </w:rPr>
        <w:t>boarding</w:t>
      </w:r>
      <w:r>
        <w:rPr>
          <w:color w:val="231F20"/>
          <w:spacing w:val="-8"/>
        </w:rPr>
        <w:t> </w:t>
      </w:r>
      <w:r>
        <w:rPr>
          <w:color w:val="231F20"/>
        </w:rPr>
        <w:t>providers</w:t>
      </w:r>
      <w:r>
        <w:rPr>
          <w:color w:val="231F20"/>
          <w:spacing w:val="28"/>
          <w:w w:val="99"/>
        </w:rPr>
        <w:t> </w:t>
      </w:r>
      <w:r>
        <w:rPr>
          <w:color w:val="231F20"/>
        </w:rPr>
        <w:t>the</w:t>
      </w:r>
      <w:r>
        <w:rPr>
          <w:color w:val="231F20"/>
          <w:spacing w:val="-7"/>
        </w:rPr>
        <w:t> </w:t>
      </w:r>
      <w:r>
        <w:rPr>
          <w:color w:val="231F20"/>
        </w:rPr>
        <w:t>three-year</w:t>
      </w:r>
      <w:r>
        <w:rPr>
          <w:color w:val="231F20"/>
          <w:spacing w:val="-7"/>
        </w:rPr>
        <w:t> </w:t>
      </w:r>
      <w:r>
        <w:rPr>
          <w:color w:val="231F20"/>
        </w:rPr>
        <w:t>average</w:t>
      </w:r>
      <w:r>
        <w:rPr>
          <w:color w:val="231F20"/>
          <w:spacing w:val="-7"/>
        </w:rPr>
        <w:t> </w:t>
      </w:r>
      <w:r>
        <w:rPr>
          <w:color w:val="231F20"/>
        </w:rPr>
        <w:t>annual</w:t>
      </w:r>
      <w:r>
        <w:rPr>
          <w:color w:val="231F20"/>
          <w:spacing w:val="-7"/>
        </w:rPr>
        <w:t> </w:t>
      </w:r>
      <w:r>
        <w:rPr>
          <w:color w:val="231F20"/>
        </w:rPr>
        <w:t>cost</w:t>
      </w:r>
      <w:r>
        <w:rPr>
          <w:color w:val="231F20"/>
          <w:spacing w:val="-6"/>
        </w:rPr>
        <w:t> </w:t>
      </w:r>
      <w:r>
        <w:rPr>
          <w:color w:val="231F20"/>
        </w:rPr>
        <w:t>per</w:t>
      </w:r>
      <w:r>
        <w:rPr>
          <w:color w:val="231F20"/>
          <w:spacing w:val="-6"/>
        </w:rPr>
        <w:t> </w:t>
      </w:r>
      <w:r>
        <w:rPr>
          <w:color w:val="231F20"/>
        </w:rPr>
        <w:t>boarder</w:t>
      </w:r>
      <w:r>
        <w:rPr>
          <w:color w:val="231F20"/>
          <w:w w:val="99"/>
        </w:rPr>
        <w:t> </w:t>
      </w:r>
      <w:r>
        <w:rPr>
          <w:color w:val="231F20"/>
        </w:rPr>
        <w:t>for</w:t>
      </w:r>
      <w:r>
        <w:rPr>
          <w:color w:val="231F20"/>
          <w:spacing w:val="-3"/>
        </w:rPr>
        <w:t> </w:t>
      </w:r>
      <w:r>
        <w:rPr>
          <w:color w:val="231F20"/>
        </w:rPr>
        <w:t>the</w:t>
      </w:r>
      <w:r>
        <w:rPr>
          <w:color w:val="231F20"/>
          <w:spacing w:val="-3"/>
        </w:rPr>
        <w:t> </w:t>
      </w:r>
      <w:r>
        <w:rPr>
          <w:color w:val="231F20"/>
        </w:rPr>
        <w:t>period</w:t>
      </w:r>
      <w:r>
        <w:rPr>
          <w:color w:val="231F20"/>
          <w:spacing w:val="-3"/>
        </w:rPr>
        <w:t> </w:t>
      </w:r>
      <w:r>
        <w:rPr>
          <w:color w:val="231F20"/>
        </w:rPr>
        <w:t>from</w:t>
      </w:r>
      <w:r>
        <w:rPr>
          <w:color w:val="231F20"/>
          <w:spacing w:val="-3"/>
        </w:rPr>
        <w:t> </w:t>
      </w:r>
      <w:r>
        <w:rPr>
          <w:color w:val="231F20"/>
          <w:spacing w:val="-1"/>
        </w:rPr>
        <w:t>2015</w:t>
      </w:r>
      <w:r>
        <w:rPr>
          <w:color w:val="231F20"/>
          <w:spacing w:val="-2"/>
        </w:rPr>
        <w:t> </w:t>
      </w:r>
      <w:r>
        <w:rPr>
          <w:color w:val="231F20"/>
        </w:rPr>
        <w:t>—</w:t>
      </w:r>
      <w:r>
        <w:rPr>
          <w:color w:val="231F20"/>
          <w:spacing w:val="-2"/>
        </w:rPr>
        <w:t> </w:t>
      </w:r>
      <w:r>
        <w:rPr>
          <w:color w:val="231F20"/>
          <w:spacing w:val="-1"/>
        </w:rPr>
        <w:t>2017</w:t>
      </w:r>
      <w:r>
        <w:rPr>
          <w:color w:val="231F20"/>
          <w:spacing w:val="-3"/>
        </w:rPr>
        <w:t> </w:t>
      </w:r>
      <w:r>
        <w:rPr>
          <w:color w:val="231F20"/>
        </w:rPr>
        <w:t>was</w:t>
      </w:r>
      <w:r>
        <w:rPr>
          <w:color w:val="231F20"/>
          <w:spacing w:val="-3"/>
        </w:rPr>
        <w:t> </w:t>
      </w:r>
      <w:r>
        <w:rPr>
          <w:color w:val="231F20"/>
          <w:spacing w:val="-1"/>
        </w:rPr>
        <w:t>$26,323</w:t>
      </w:r>
      <w:r>
        <w:rPr>
          <w:color w:val="231F20"/>
          <w:spacing w:val="22"/>
        </w:rPr>
        <w:t> </w:t>
      </w:r>
      <w:r>
        <w:rPr>
          <w:color w:val="231F20"/>
        </w:rPr>
        <w:t>(excluding</w:t>
      </w:r>
      <w:r>
        <w:rPr>
          <w:color w:val="231F20"/>
          <w:spacing w:val="-10"/>
        </w:rPr>
        <w:t> </w:t>
      </w:r>
      <w:r>
        <w:rPr>
          <w:color w:val="231F20"/>
        </w:rPr>
        <w:t>depreciation),</w:t>
      </w:r>
      <w:r>
        <w:rPr>
          <w:color w:val="231F20"/>
          <w:spacing w:val="-10"/>
        </w:rPr>
        <w:t> </w:t>
      </w:r>
      <w:r>
        <w:rPr>
          <w:color w:val="231F20"/>
        </w:rPr>
        <w:t>which</w:t>
      </w:r>
      <w:r>
        <w:rPr>
          <w:color w:val="231F20"/>
          <w:spacing w:val="-10"/>
        </w:rPr>
        <w:t> </w:t>
      </w:r>
      <w:r>
        <w:rPr>
          <w:color w:val="231F20"/>
          <w:spacing w:val="-1"/>
        </w:rPr>
        <w:t>is</w:t>
      </w:r>
      <w:r>
        <w:rPr>
          <w:color w:val="231F20"/>
          <w:spacing w:val="-10"/>
        </w:rPr>
        <w:t> </w:t>
      </w:r>
      <w:r>
        <w:rPr>
          <w:color w:val="231F20"/>
        </w:rPr>
        <w:t>equivalent</w:t>
      </w:r>
      <w:r>
        <w:rPr/>
      </w:r>
    </w:p>
    <w:p>
      <w:pPr>
        <w:pStyle w:val="BodyText"/>
        <w:spacing w:line="242" w:lineRule="exact"/>
        <w:ind w:left="100" w:right="0"/>
        <w:jc w:val="left"/>
        <w:rPr>
          <w:rFonts w:ascii="Segoe UI" w:hAnsi="Segoe UI" w:cs="Segoe UI" w:eastAsia="Segoe UI"/>
        </w:rPr>
      </w:pPr>
      <w:r>
        <w:rPr>
          <w:rFonts w:ascii="Segoe UI"/>
          <w:color w:val="231F20"/>
        </w:rPr>
        <w:t>to the KPMG, 2016 finding, which included</w:t>
      </w:r>
      <w:r>
        <w:rPr>
          <w:rFonts w:ascii="Segoe UI"/>
        </w:rPr>
      </w:r>
    </w:p>
    <w:p>
      <w:pPr>
        <w:pStyle w:val="BodyText"/>
        <w:spacing w:line="258" w:lineRule="exact"/>
        <w:ind w:left="100" w:right="0"/>
        <w:jc w:val="left"/>
      </w:pPr>
      <w:r>
        <w:rPr>
          <w:color w:val="231F20"/>
        </w:rPr>
        <w:t>depreciation.</w:t>
      </w:r>
      <w:r>
        <w:rPr/>
      </w:r>
    </w:p>
    <w:p>
      <w:pPr>
        <w:pStyle w:val="BodyText"/>
        <w:spacing w:line="250" w:lineRule="exact" w:before="113"/>
        <w:ind w:left="100" w:right="1420"/>
        <w:jc w:val="left"/>
      </w:pPr>
      <w:r>
        <w:rPr>
          <w:color w:val="231F20"/>
        </w:rPr>
        <w:t>At</w:t>
      </w:r>
      <w:r>
        <w:rPr>
          <w:color w:val="231F20"/>
          <w:spacing w:val="-5"/>
        </w:rPr>
        <w:t> </w:t>
      </w:r>
      <w:r>
        <w:rPr>
          <w:color w:val="231F20"/>
        </w:rPr>
        <w:t>the</w:t>
      </w:r>
      <w:r>
        <w:rPr>
          <w:color w:val="231F20"/>
          <w:spacing w:val="-5"/>
        </w:rPr>
        <w:t> </w:t>
      </w:r>
      <w:r>
        <w:rPr>
          <w:color w:val="231F20"/>
          <w:spacing w:val="-1"/>
        </w:rPr>
        <w:t>23</w:t>
      </w:r>
      <w:r>
        <w:rPr>
          <w:color w:val="231F20"/>
          <w:spacing w:val="-4"/>
        </w:rPr>
        <w:t> </w:t>
      </w:r>
      <w:r>
        <w:rPr>
          <w:color w:val="231F20"/>
          <w:spacing w:val="-1"/>
        </w:rPr>
        <w:t>mainstream</w:t>
      </w:r>
      <w:r>
        <w:rPr>
          <w:color w:val="231F20"/>
          <w:spacing w:val="-3"/>
        </w:rPr>
        <w:t> </w:t>
      </w:r>
      <w:r>
        <w:rPr>
          <w:color w:val="231F20"/>
        </w:rPr>
        <w:t>boarding</w:t>
      </w:r>
      <w:r>
        <w:rPr>
          <w:color w:val="231F20"/>
          <w:spacing w:val="-6"/>
        </w:rPr>
        <w:t> </w:t>
      </w:r>
      <w:r>
        <w:rPr>
          <w:color w:val="231F20"/>
        </w:rPr>
        <w:t>providers</w:t>
      </w:r>
      <w:r>
        <w:rPr>
          <w:color w:val="231F20"/>
          <w:spacing w:val="23"/>
          <w:w w:val="99"/>
        </w:rPr>
        <w:t> </w:t>
      </w:r>
      <w:r>
        <w:rPr>
          <w:color w:val="231F20"/>
        </w:rPr>
        <w:t>analysed,</w:t>
      </w:r>
      <w:r>
        <w:rPr>
          <w:color w:val="231F20"/>
          <w:spacing w:val="-8"/>
        </w:rPr>
        <w:t> </w:t>
      </w:r>
      <w:r>
        <w:rPr>
          <w:color w:val="231F20"/>
        </w:rPr>
        <w:t>the</w:t>
      </w:r>
      <w:r>
        <w:rPr>
          <w:color w:val="231F20"/>
          <w:spacing w:val="-7"/>
        </w:rPr>
        <w:t> </w:t>
      </w:r>
      <w:r>
        <w:rPr>
          <w:color w:val="231F20"/>
        </w:rPr>
        <w:t>average</w:t>
      </w:r>
      <w:r>
        <w:rPr>
          <w:color w:val="231F20"/>
          <w:spacing w:val="-8"/>
        </w:rPr>
        <w:t> </w:t>
      </w:r>
      <w:r>
        <w:rPr>
          <w:color w:val="231F20"/>
          <w:spacing w:val="-1"/>
        </w:rPr>
        <w:t>shortfall</w:t>
      </w:r>
      <w:r>
        <w:rPr>
          <w:color w:val="231F20"/>
          <w:spacing w:val="-6"/>
        </w:rPr>
        <w:t> </w:t>
      </w:r>
      <w:r>
        <w:rPr>
          <w:color w:val="231F20"/>
        </w:rPr>
        <w:t>per</w:t>
      </w:r>
      <w:r>
        <w:rPr>
          <w:color w:val="231F20"/>
          <w:spacing w:val="-6"/>
        </w:rPr>
        <w:t> </w:t>
      </w:r>
      <w:r>
        <w:rPr>
          <w:color w:val="231F20"/>
        </w:rPr>
        <w:t>boarder</w:t>
      </w:r>
      <w:r>
        <w:rPr>
          <w:color w:val="231F20"/>
          <w:spacing w:val="-7"/>
        </w:rPr>
        <w:t> </w:t>
      </w:r>
      <w:r>
        <w:rPr>
          <w:color w:val="231F20"/>
        </w:rPr>
        <w:t>from</w:t>
      </w:r>
      <w:r>
        <w:rPr>
          <w:color w:val="231F20"/>
          <w:spacing w:val="22"/>
          <w:w w:val="99"/>
        </w:rPr>
        <w:t> </w:t>
      </w:r>
      <w:r>
        <w:rPr>
          <w:color w:val="231F20"/>
          <w:spacing w:val="-1"/>
        </w:rPr>
        <w:t>2015</w:t>
      </w:r>
      <w:r>
        <w:rPr>
          <w:color w:val="231F20"/>
          <w:spacing w:val="-3"/>
        </w:rPr>
        <w:t> </w:t>
      </w:r>
      <w:r>
        <w:rPr>
          <w:color w:val="231F20"/>
        </w:rPr>
        <w:t>—</w:t>
      </w:r>
      <w:r>
        <w:rPr>
          <w:color w:val="231F20"/>
          <w:spacing w:val="-3"/>
        </w:rPr>
        <w:t> </w:t>
      </w:r>
      <w:r>
        <w:rPr>
          <w:color w:val="231F20"/>
          <w:spacing w:val="-1"/>
        </w:rPr>
        <w:t>2017</w:t>
      </w:r>
      <w:r>
        <w:rPr>
          <w:color w:val="231F20"/>
          <w:spacing w:val="-3"/>
        </w:rPr>
        <w:t> </w:t>
      </w:r>
      <w:r>
        <w:rPr>
          <w:color w:val="231F20"/>
        </w:rPr>
        <w:t>was</w:t>
      </w:r>
      <w:r>
        <w:rPr>
          <w:color w:val="231F20"/>
          <w:spacing w:val="-4"/>
        </w:rPr>
        <w:t> </w:t>
      </w:r>
      <w:r>
        <w:rPr>
          <w:color w:val="231F20"/>
          <w:spacing w:val="-1"/>
        </w:rPr>
        <w:t>$1,972.</w:t>
      </w:r>
      <w:r>
        <w:rPr>
          <w:color w:val="231F20"/>
          <w:spacing w:val="-3"/>
        </w:rPr>
        <w:t> </w:t>
      </w:r>
      <w:r>
        <w:rPr>
          <w:color w:val="231F20"/>
        </w:rPr>
        <w:t>However,</w:t>
      </w:r>
      <w:r>
        <w:rPr>
          <w:color w:val="231F20"/>
          <w:spacing w:val="-3"/>
        </w:rPr>
        <w:t> </w:t>
      </w:r>
      <w:r>
        <w:rPr>
          <w:color w:val="231F20"/>
        </w:rPr>
        <w:t>the</w:t>
      </w:r>
      <w:r>
        <w:rPr>
          <w:color w:val="231F20"/>
          <w:spacing w:val="-4"/>
        </w:rPr>
        <w:t> </w:t>
      </w:r>
      <w:r>
        <w:rPr>
          <w:color w:val="231F20"/>
          <w:spacing w:val="-1"/>
        </w:rPr>
        <w:t>median</w:t>
      </w:r>
      <w:r>
        <w:rPr>
          <w:color w:val="231F20"/>
          <w:spacing w:val="23"/>
        </w:rPr>
        <w:t> </w:t>
      </w:r>
      <w:r>
        <w:rPr>
          <w:color w:val="231F20"/>
        </w:rPr>
        <w:t>revenue</w:t>
      </w:r>
      <w:r>
        <w:rPr>
          <w:color w:val="231F20"/>
          <w:spacing w:val="-5"/>
        </w:rPr>
        <w:t> </w:t>
      </w:r>
      <w:r>
        <w:rPr>
          <w:color w:val="231F20"/>
        </w:rPr>
        <w:t>and</w:t>
      </w:r>
      <w:r>
        <w:rPr>
          <w:color w:val="231F20"/>
          <w:spacing w:val="-5"/>
        </w:rPr>
        <w:t> </w:t>
      </w:r>
      <w:r>
        <w:rPr>
          <w:color w:val="231F20"/>
        </w:rPr>
        <w:t>cost</w:t>
      </w:r>
      <w:r>
        <w:rPr>
          <w:color w:val="231F20"/>
          <w:spacing w:val="-5"/>
        </w:rPr>
        <w:t> </w:t>
      </w:r>
      <w:r>
        <w:rPr>
          <w:color w:val="231F20"/>
        </w:rPr>
        <w:t>for</w:t>
      </w:r>
      <w:r>
        <w:rPr>
          <w:color w:val="231F20"/>
          <w:spacing w:val="-4"/>
        </w:rPr>
        <w:t> </w:t>
      </w:r>
      <w:r>
        <w:rPr>
          <w:color w:val="231F20"/>
        </w:rPr>
        <w:t>the</w:t>
      </w:r>
      <w:r>
        <w:rPr>
          <w:color w:val="231F20"/>
          <w:spacing w:val="-5"/>
        </w:rPr>
        <w:t> </w:t>
      </w:r>
      <w:r>
        <w:rPr>
          <w:color w:val="231F20"/>
          <w:spacing w:val="-1"/>
        </w:rPr>
        <w:t>mainstream</w:t>
      </w:r>
      <w:r>
        <w:rPr>
          <w:color w:val="231F20"/>
          <w:spacing w:val="-3"/>
        </w:rPr>
        <w:t> </w:t>
      </w:r>
      <w:r>
        <w:rPr>
          <w:color w:val="231F20"/>
        </w:rPr>
        <w:t>boarding</w:t>
      </w:r>
      <w:r>
        <w:rPr>
          <w:color w:val="231F20"/>
          <w:spacing w:val="22"/>
          <w:w w:val="99"/>
        </w:rPr>
        <w:t> </w:t>
      </w:r>
      <w:r>
        <w:rPr>
          <w:color w:val="231F20"/>
        </w:rPr>
        <w:t>providers</w:t>
      </w:r>
      <w:r>
        <w:rPr>
          <w:color w:val="231F20"/>
          <w:spacing w:val="-4"/>
        </w:rPr>
        <w:t> </w:t>
      </w:r>
      <w:r>
        <w:rPr>
          <w:color w:val="231F20"/>
          <w:spacing w:val="-1"/>
        </w:rPr>
        <w:t>in</w:t>
      </w:r>
      <w:r>
        <w:rPr>
          <w:color w:val="231F20"/>
          <w:spacing w:val="-2"/>
        </w:rPr>
        <w:t> </w:t>
      </w:r>
      <w:r>
        <w:rPr>
          <w:color w:val="231F20"/>
          <w:spacing w:val="-1"/>
        </w:rPr>
        <w:t>2017</w:t>
      </w:r>
      <w:r>
        <w:rPr>
          <w:color w:val="231F20"/>
          <w:spacing w:val="-3"/>
        </w:rPr>
        <w:t> </w:t>
      </w:r>
      <w:r>
        <w:rPr>
          <w:color w:val="231F20"/>
        </w:rPr>
        <w:t>was</w:t>
      </w:r>
      <w:r>
        <w:rPr>
          <w:color w:val="231F20"/>
          <w:spacing w:val="-3"/>
        </w:rPr>
        <w:t> </w:t>
      </w:r>
      <w:r>
        <w:rPr>
          <w:color w:val="231F20"/>
          <w:spacing w:val="-1"/>
        </w:rPr>
        <w:t>$17,811</w:t>
      </w:r>
      <w:r>
        <w:rPr>
          <w:color w:val="231F20"/>
          <w:spacing w:val="-3"/>
        </w:rPr>
        <w:t> </w:t>
      </w:r>
      <w:r>
        <w:rPr>
          <w:color w:val="231F20"/>
        </w:rPr>
        <w:t>and</w:t>
      </w:r>
      <w:r>
        <w:rPr>
          <w:color w:val="231F20"/>
          <w:spacing w:val="-3"/>
        </w:rPr>
        <w:t> </w:t>
      </w:r>
      <w:r>
        <w:rPr>
          <w:color w:val="231F20"/>
          <w:spacing w:val="-1"/>
        </w:rPr>
        <w:t>$18,316</w:t>
      </w:r>
      <w:r>
        <w:rPr>
          <w:color w:val="231F20"/>
          <w:spacing w:val="23"/>
        </w:rPr>
        <w:t> </w:t>
      </w:r>
      <w:r>
        <w:rPr>
          <w:rFonts w:ascii="Segoe UI" w:hAnsi="Segoe UI" w:cs="Segoe UI" w:eastAsia="Segoe UI"/>
          <w:color w:val="231F20"/>
        </w:rPr>
        <w:t>respectively—a</w:t>
      </w:r>
      <w:r>
        <w:rPr>
          <w:rFonts w:ascii="Segoe UI" w:hAnsi="Segoe UI" w:cs="Segoe UI" w:eastAsia="Segoe UI"/>
          <w:color w:val="231F20"/>
          <w:spacing w:val="-3"/>
        </w:rPr>
        <w:t> </w:t>
      </w:r>
      <w:r>
        <w:rPr>
          <w:rFonts w:ascii="Segoe UI" w:hAnsi="Segoe UI" w:cs="Segoe UI" w:eastAsia="Segoe UI"/>
          <w:color w:val="231F20"/>
        </w:rPr>
        <w:t>difference</w:t>
      </w:r>
      <w:r>
        <w:rPr>
          <w:rFonts w:ascii="Segoe UI" w:hAnsi="Segoe UI" w:cs="Segoe UI" w:eastAsia="Segoe UI"/>
          <w:color w:val="231F20"/>
          <w:spacing w:val="-2"/>
        </w:rPr>
        <w:t> </w:t>
      </w:r>
      <w:r>
        <w:rPr>
          <w:rFonts w:ascii="Segoe UI" w:hAnsi="Segoe UI" w:cs="Segoe UI" w:eastAsia="Segoe UI"/>
          <w:color w:val="231F20"/>
        </w:rPr>
        <w:t>of</w:t>
      </w:r>
      <w:r>
        <w:rPr>
          <w:rFonts w:ascii="Segoe UI" w:hAnsi="Segoe UI" w:cs="Segoe UI" w:eastAsia="Segoe UI"/>
          <w:color w:val="231F20"/>
          <w:spacing w:val="-3"/>
        </w:rPr>
        <w:t> </w:t>
      </w:r>
      <w:r>
        <w:rPr>
          <w:rFonts w:ascii="Segoe UI" w:hAnsi="Segoe UI" w:cs="Segoe UI" w:eastAsia="Segoe UI"/>
          <w:color w:val="231F20"/>
        </w:rPr>
        <w:t>just</w:t>
      </w:r>
      <w:r>
        <w:rPr>
          <w:rFonts w:ascii="Segoe UI" w:hAnsi="Segoe UI" w:cs="Segoe UI" w:eastAsia="Segoe UI"/>
          <w:color w:val="231F20"/>
          <w:spacing w:val="-2"/>
        </w:rPr>
        <w:t> </w:t>
      </w:r>
      <w:r>
        <w:rPr>
          <w:rFonts w:ascii="Segoe UI" w:hAnsi="Segoe UI" w:cs="Segoe UI" w:eastAsia="Segoe UI"/>
          <w:color w:val="231F20"/>
        </w:rPr>
        <w:t>$505</w:t>
      </w:r>
      <w:r>
        <w:rPr>
          <w:rFonts w:ascii="Segoe UI" w:hAnsi="Segoe UI" w:cs="Segoe UI" w:eastAsia="Segoe UI"/>
          <w:color w:val="231F20"/>
          <w:spacing w:val="-2"/>
        </w:rPr>
        <w:t> </w:t>
      </w:r>
      <w:r>
        <w:rPr>
          <w:color w:val="231F20"/>
        </w:rPr>
        <w:t>per</w:t>
      </w:r>
      <w:r>
        <w:rPr>
          <w:color w:val="231F20"/>
          <w:w w:val="99"/>
        </w:rPr>
        <w:t> </w:t>
      </w:r>
      <w:r>
        <w:rPr>
          <w:color w:val="231F20"/>
        </w:rPr>
        <w:t>boarder.</w:t>
      </w:r>
      <w:r>
        <w:rPr/>
      </w:r>
    </w:p>
    <w:p>
      <w:pPr>
        <w:pStyle w:val="BodyText"/>
        <w:spacing w:line="250" w:lineRule="exact" w:before="113"/>
        <w:ind w:left="100" w:right="1912"/>
        <w:jc w:val="both"/>
      </w:pPr>
      <w:r>
        <w:rPr>
          <w:color w:val="231F20"/>
        </w:rPr>
        <w:t>The</w:t>
      </w:r>
      <w:r>
        <w:rPr>
          <w:color w:val="231F20"/>
          <w:spacing w:val="-5"/>
        </w:rPr>
        <w:t> </w:t>
      </w:r>
      <w:r>
        <w:rPr>
          <w:color w:val="231F20"/>
        </w:rPr>
        <w:t>comparison</w:t>
      </w:r>
      <w:r>
        <w:rPr>
          <w:color w:val="231F20"/>
          <w:spacing w:val="-5"/>
        </w:rPr>
        <w:t> </w:t>
      </w:r>
      <w:r>
        <w:rPr>
          <w:color w:val="231F20"/>
        </w:rPr>
        <w:t>of</w:t>
      </w:r>
      <w:r>
        <w:rPr>
          <w:color w:val="231F20"/>
          <w:spacing w:val="-4"/>
        </w:rPr>
        <w:t> </w:t>
      </w:r>
      <w:r>
        <w:rPr>
          <w:color w:val="231F20"/>
        </w:rPr>
        <w:t>the</w:t>
      </w:r>
      <w:r>
        <w:rPr>
          <w:color w:val="231F20"/>
          <w:spacing w:val="-5"/>
        </w:rPr>
        <w:t> </w:t>
      </w:r>
      <w:r>
        <w:rPr>
          <w:color w:val="231F20"/>
        </w:rPr>
        <w:t>average</w:t>
      </w:r>
      <w:r>
        <w:rPr>
          <w:color w:val="231F20"/>
          <w:spacing w:val="-5"/>
        </w:rPr>
        <w:t> </w:t>
      </w:r>
      <w:r>
        <w:rPr>
          <w:color w:val="231F20"/>
        </w:rPr>
        <w:t>three</w:t>
      </w:r>
      <w:r>
        <w:rPr>
          <w:color w:val="231F20"/>
          <w:spacing w:val="-5"/>
        </w:rPr>
        <w:t> </w:t>
      </w:r>
      <w:r>
        <w:rPr>
          <w:color w:val="231F20"/>
        </w:rPr>
        <w:t>year</w:t>
      </w:r>
      <w:r>
        <w:rPr>
          <w:color w:val="231F20"/>
          <w:w w:val="99"/>
        </w:rPr>
        <w:t> </w:t>
      </w:r>
      <w:r>
        <w:rPr>
          <w:color w:val="231F20"/>
        </w:rPr>
        <w:t>and</w:t>
      </w:r>
      <w:r>
        <w:rPr>
          <w:color w:val="231F20"/>
          <w:spacing w:val="-5"/>
        </w:rPr>
        <w:t> </w:t>
      </w:r>
      <w:r>
        <w:rPr>
          <w:color w:val="231F20"/>
        </w:rPr>
        <w:t>yearly</w:t>
      </w:r>
      <w:r>
        <w:rPr>
          <w:color w:val="231F20"/>
          <w:spacing w:val="-4"/>
        </w:rPr>
        <w:t> </w:t>
      </w:r>
      <w:r>
        <w:rPr>
          <w:color w:val="231F20"/>
        </w:rPr>
        <w:t>revenue</w:t>
      </w:r>
      <w:r>
        <w:rPr>
          <w:color w:val="231F20"/>
          <w:spacing w:val="-5"/>
        </w:rPr>
        <w:t> </w:t>
      </w:r>
      <w:r>
        <w:rPr>
          <w:color w:val="231F20"/>
        </w:rPr>
        <w:t>and</w:t>
      </w:r>
      <w:r>
        <w:rPr>
          <w:color w:val="231F20"/>
          <w:spacing w:val="-4"/>
        </w:rPr>
        <w:t> </w:t>
      </w:r>
      <w:r>
        <w:rPr>
          <w:color w:val="231F20"/>
        </w:rPr>
        <w:t>costs</w:t>
      </w:r>
      <w:r>
        <w:rPr>
          <w:color w:val="231F20"/>
          <w:spacing w:val="-4"/>
        </w:rPr>
        <w:t> </w:t>
      </w:r>
      <w:r>
        <w:rPr>
          <w:color w:val="231F20"/>
        </w:rPr>
        <w:t>per</w:t>
      </w:r>
      <w:r>
        <w:rPr>
          <w:color w:val="231F20"/>
          <w:spacing w:val="-4"/>
        </w:rPr>
        <w:t> </w:t>
      </w:r>
      <w:r>
        <w:rPr>
          <w:color w:val="231F20"/>
        </w:rPr>
        <w:t>boarder</w:t>
      </w:r>
      <w:r>
        <w:rPr>
          <w:color w:val="231F20"/>
          <w:w w:val="99"/>
        </w:rPr>
        <w:t> </w:t>
      </w:r>
      <w:r>
        <w:rPr>
          <w:color w:val="231F20"/>
        </w:rPr>
        <w:t>at</w:t>
      </w:r>
      <w:r>
        <w:rPr>
          <w:color w:val="231F20"/>
          <w:spacing w:val="-5"/>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5"/>
        </w:rPr>
        <w:t> </w:t>
      </w:r>
      <w:r>
        <w:rPr>
          <w:color w:val="231F20"/>
          <w:spacing w:val="-1"/>
        </w:rPr>
        <w:t>Islander</w:t>
      </w:r>
      <w:r>
        <w:rPr>
          <w:color w:val="231F20"/>
          <w:spacing w:val="-5"/>
        </w:rPr>
        <w:t> </w:t>
      </w:r>
      <w:r>
        <w:rPr>
          <w:color w:val="231F20"/>
        </w:rPr>
        <w:t>and</w:t>
      </w:r>
      <w:r>
        <w:rPr/>
      </w:r>
    </w:p>
    <w:p>
      <w:pPr>
        <w:pStyle w:val="BodyText"/>
        <w:spacing w:line="250" w:lineRule="exact"/>
        <w:ind w:left="100" w:right="1522"/>
        <w:jc w:val="left"/>
      </w:pPr>
      <w:r>
        <w:rPr>
          <w:color w:val="231F20"/>
          <w:spacing w:val="-1"/>
        </w:rPr>
        <w:t>mainstream</w:t>
      </w:r>
      <w:r>
        <w:rPr>
          <w:color w:val="231F20"/>
          <w:spacing w:val="-5"/>
        </w:rPr>
        <w:t> </w:t>
      </w:r>
      <w:r>
        <w:rPr>
          <w:color w:val="231F20"/>
        </w:rPr>
        <w:t>boarding</w:t>
      </w:r>
      <w:r>
        <w:rPr>
          <w:color w:val="231F20"/>
          <w:spacing w:val="-5"/>
        </w:rPr>
        <w:t> </w:t>
      </w:r>
      <w:r>
        <w:rPr>
          <w:color w:val="231F20"/>
        </w:rPr>
        <w:t>providers</w:t>
      </w:r>
      <w:r>
        <w:rPr>
          <w:color w:val="231F20"/>
          <w:spacing w:val="-6"/>
        </w:rPr>
        <w:t> </w:t>
      </w:r>
      <w:r>
        <w:rPr>
          <w:color w:val="231F20"/>
        </w:rPr>
        <w:t>are</w:t>
      </w:r>
      <w:r>
        <w:rPr>
          <w:color w:val="231F20"/>
          <w:spacing w:val="-6"/>
        </w:rPr>
        <w:t> </w:t>
      </w:r>
      <w:r>
        <w:rPr>
          <w:color w:val="231F20"/>
          <w:spacing w:val="-1"/>
        </w:rPr>
        <w:t>shown</w:t>
      </w:r>
      <w:r>
        <w:rPr>
          <w:color w:val="231F20"/>
          <w:spacing w:val="-5"/>
        </w:rPr>
        <w:t> </w:t>
      </w:r>
      <w:r>
        <w:rPr>
          <w:color w:val="231F20"/>
          <w:spacing w:val="-1"/>
        </w:rPr>
        <w:t>in</w:t>
      </w:r>
      <w:r>
        <w:rPr>
          <w:color w:val="231F20"/>
          <w:spacing w:val="22"/>
        </w:rPr>
        <w:t> </w:t>
      </w:r>
      <w:r>
        <w:rPr>
          <w:color w:val="231F20"/>
        </w:rPr>
        <w:t>the</w:t>
      </w:r>
      <w:r>
        <w:rPr>
          <w:color w:val="231F20"/>
          <w:spacing w:val="-10"/>
        </w:rPr>
        <w:t> </w:t>
      </w:r>
      <w:r>
        <w:rPr>
          <w:color w:val="231F20"/>
        </w:rPr>
        <w:t>following</w:t>
      </w:r>
      <w:r>
        <w:rPr>
          <w:color w:val="231F20"/>
          <w:spacing w:val="-9"/>
        </w:rPr>
        <w:t> </w:t>
      </w:r>
      <w:r>
        <w:rPr>
          <w:color w:val="231F20"/>
        </w:rPr>
        <w:t>graphs.</w:t>
      </w:r>
      <w:r>
        <w:rPr/>
      </w:r>
    </w:p>
    <w:p>
      <w:pPr>
        <w:pStyle w:val="BodyText"/>
        <w:spacing w:line="250" w:lineRule="exact" w:before="113"/>
        <w:ind w:left="100" w:right="1529"/>
        <w:jc w:val="left"/>
      </w:pPr>
      <w:r>
        <w:rPr>
          <w:color w:val="231F20"/>
          <w:spacing w:val="-1"/>
        </w:rPr>
        <w:t>Revenue</w:t>
      </w:r>
      <w:r>
        <w:rPr>
          <w:color w:val="231F20"/>
          <w:spacing w:val="-5"/>
        </w:rPr>
        <w:t> </w:t>
      </w:r>
      <w:r>
        <w:rPr>
          <w:color w:val="231F20"/>
          <w:spacing w:val="-1"/>
        </w:rPr>
        <w:t>is</w:t>
      </w:r>
      <w:r>
        <w:rPr>
          <w:color w:val="231F20"/>
          <w:spacing w:val="-5"/>
        </w:rPr>
        <w:t> </w:t>
      </w:r>
      <w:r>
        <w:rPr>
          <w:color w:val="231F20"/>
          <w:spacing w:val="-1"/>
        </w:rPr>
        <w:t>lower</w:t>
      </w:r>
      <w:r>
        <w:rPr>
          <w:color w:val="231F20"/>
          <w:spacing w:val="-3"/>
        </w:rPr>
        <w:t> </w:t>
      </w:r>
      <w:r>
        <w:rPr>
          <w:color w:val="231F20"/>
        </w:rPr>
        <w:t>and</w:t>
      </w:r>
      <w:r>
        <w:rPr>
          <w:color w:val="231F20"/>
          <w:spacing w:val="-5"/>
        </w:rPr>
        <w:t> </w:t>
      </w:r>
      <w:r>
        <w:rPr>
          <w:color w:val="231F20"/>
        </w:rPr>
        <w:t>costs</w:t>
      </w:r>
      <w:r>
        <w:rPr>
          <w:color w:val="231F20"/>
          <w:spacing w:val="-5"/>
        </w:rPr>
        <w:t> </w:t>
      </w:r>
      <w:r>
        <w:rPr>
          <w:color w:val="231F20"/>
        </w:rPr>
        <w:t>are</w:t>
      </w:r>
      <w:r>
        <w:rPr>
          <w:color w:val="231F20"/>
          <w:spacing w:val="-4"/>
        </w:rPr>
        <w:t> </w:t>
      </w:r>
      <w:r>
        <w:rPr>
          <w:color w:val="231F20"/>
        </w:rPr>
        <w:t>higher</w:t>
      </w:r>
      <w:r>
        <w:rPr>
          <w:color w:val="231F20"/>
          <w:spacing w:val="-5"/>
        </w:rPr>
        <w:t> </w:t>
      </w:r>
      <w:r>
        <w:rPr>
          <w:color w:val="231F20"/>
        </w:rPr>
        <w:t>for</w:t>
      </w:r>
      <w:r>
        <w:rPr>
          <w:color w:val="231F20"/>
          <w:spacing w:val="24"/>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r>
    </w:p>
    <w:p>
      <w:pPr>
        <w:spacing w:after="0" w:line="250" w:lineRule="exact"/>
        <w:jc w:val="left"/>
        <w:sectPr>
          <w:type w:val="continuous"/>
          <w:pgSz w:w="11910" w:h="16840"/>
          <w:pgMar w:top="1580" w:bottom="280" w:left="1600" w:right="0"/>
          <w:cols w:num="2" w:equalWidth="0">
            <w:col w:w="4281" w:space="254"/>
            <w:col w:w="5775"/>
          </w:cols>
        </w:sectPr>
      </w:pPr>
    </w:p>
    <w:p>
      <w:pPr>
        <w:spacing w:line="240" w:lineRule="auto" w:before="0"/>
        <w:rPr>
          <w:rFonts w:ascii="Segoe UI" w:hAnsi="Segoe UI" w:cs="Segoe UI" w:eastAsia="Segoe UI"/>
          <w:sz w:val="20"/>
          <w:szCs w:val="20"/>
        </w:rPr>
      </w:pPr>
      <w:r>
        <w:rPr/>
        <w:pict>
          <v:shape style="position:absolute;margin-left:87.952797pt;margin-top:293.75pt;width:402.25pt;height:250.6pt;mso-position-horizontal-relative:page;mso-position-vertical-relative:page;z-index:-224128" type="#_x0000_t202" filled="false" stroked="false">
            <v:textbox inset="0,0,0,0">
              <w:txbxContent>
                <w:p>
                  <w:pPr>
                    <w:spacing w:before="121"/>
                    <w:ind w:left="0" w:right="0" w:firstLine="0"/>
                    <w:jc w:val="left"/>
                    <w:rPr>
                      <w:rFonts w:ascii="Arial Black" w:hAnsi="Arial Black" w:cs="Arial Black" w:eastAsia="Arial Black"/>
                      <w:sz w:val="15"/>
                      <w:szCs w:val="15"/>
                    </w:rPr>
                  </w:pPr>
                  <w:r>
                    <w:rPr>
                      <w:rFonts w:ascii="Arial Black"/>
                      <w:b/>
                      <w:color w:val="502E7F"/>
                      <w:spacing w:val="-1"/>
                      <w:sz w:val="15"/>
                    </w:rPr>
                    <w:t>boarding</w:t>
                  </w:r>
                  <w:r>
                    <w:rPr>
                      <w:rFonts w:ascii="Arial Black"/>
                      <w:b/>
                      <w:color w:val="502E7F"/>
                      <w:spacing w:val="-19"/>
                      <w:sz w:val="15"/>
                    </w:rPr>
                    <w:t> </w:t>
                  </w:r>
                  <w:r>
                    <w:rPr>
                      <w:rFonts w:ascii="Arial Black"/>
                      <w:b/>
                      <w:color w:val="502E7F"/>
                      <w:spacing w:val="-1"/>
                      <w:sz w:val="15"/>
                    </w:rPr>
                    <w:t>providers</w:t>
                  </w:r>
                  <w:r>
                    <w:rPr>
                      <w:rFonts w:ascii="Arial Black"/>
                      <w:sz w:val="15"/>
                    </w:rPr>
                  </w:r>
                </w:p>
              </w:txbxContent>
            </v:textbox>
            <w10:wrap type="none"/>
          </v:shape>
        </w:pict>
      </w:r>
    </w:p>
    <w:p>
      <w:pPr>
        <w:spacing w:line="240" w:lineRule="auto" w:before="3"/>
        <w:rPr>
          <w:rFonts w:ascii="Segoe UI" w:hAnsi="Segoe UI" w:cs="Segoe UI" w:eastAsia="Segoe UI"/>
          <w:sz w:val="21"/>
          <w:szCs w:val="21"/>
        </w:rPr>
      </w:pPr>
    </w:p>
    <w:p>
      <w:pPr>
        <w:spacing w:line="200" w:lineRule="exact" w:before="78"/>
        <w:ind w:left="148" w:right="167" w:firstLine="0"/>
        <w:jc w:val="left"/>
        <w:rPr>
          <w:rFonts w:ascii="Segoe UI Semibold" w:hAnsi="Segoe UI Semibold" w:cs="Segoe UI Semibold" w:eastAsia="Segoe UI Semibold"/>
          <w:sz w:val="16"/>
          <w:szCs w:val="16"/>
        </w:rPr>
      </w:pPr>
      <w:r>
        <w:rPr>
          <w:rFonts w:ascii="Segoe UI Semibold" w:hAnsi="Segoe UI Semibold" w:cs="Segoe UI Semibold" w:eastAsia="Segoe UI Semibold"/>
          <w:b/>
          <w:bCs/>
          <w:color w:val="666155"/>
          <w:spacing w:val="1"/>
          <w:sz w:val="16"/>
          <w:szCs w:val="16"/>
        </w:rPr>
        <w:t>TABLE</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z w:val="16"/>
          <w:szCs w:val="16"/>
        </w:rPr>
        <w:t>2: </w:t>
      </w:r>
      <w:r>
        <w:rPr>
          <w:rFonts w:ascii="Segoe UI Semibold" w:hAnsi="Segoe UI Semibold" w:cs="Segoe UI Semibold" w:eastAsia="Segoe UI Semibold"/>
          <w:b/>
          <w:bCs/>
          <w:color w:val="666155"/>
          <w:spacing w:val="2"/>
          <w:sz w:val="16"/>
          <w:szCs w:val="16"/>
        </w:rPr>
        <w:t>AVERAGE</w:t>
      </w:r>
      <w:r>
        <w:rPr>
          <w:rFonts w:ascii="Segoe UI Semibold" w:hAnsi="Segoe UI Semibold" w:cs="Segoe UI Semibold" w:eastAsia="Segoe UI Semibold"/>
          <w:b/>
          <w:bCs/>
          <w:color w:val="666155"/>
          <w:spacing w:val="3"/>
          <w:sz w:val="16"/>
          <w:szCs w:val="16"/>
        </w:rPr>
        <w:t> ANNUAL </w:t>
      </w:r>
      <w:r>
        <w:rPr>
          <w:rFonts w:ascii="Segoe UI Semibold" w:hAnsi="Segoe UI Semibold" w:cs="Segoe UI Semibold" w:eastAsia="Segoe UI Semibold"/>
          <w:b/>
          <w:bCs/>
          <w:color w:val="666155"/>
          <w:spacing w:val="4"/>
          <w:sz w:val="16"/>
          <w:szCs w:val="16"/>
        </w:rPr>
        <w:t>REVENUE,</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COST AND </w:t>
      </w:r>
      <w:r>
        <w:rPr>
          <w:rFonts w:ascii="Segoe UI Semibold" w:hAnsi="Segoe UI Semibold" w:cs="Segoe UI Semibold" w:eastAsia="Segoe UI Semibold"/>
          <w:b/>
          <w:bCs/>
          <w:color w:val="666155"/>
          <w:spacing w:val="2"/>
          <w:sz w:val="16"/>
          <w:szCs w:val="16"/>
        </w:rPr>
        <w:t>LOSS </w:t>
      </w:r>
      <w:r>
        <w:rPr>
          <w:rFonts w:ascii="Segoe UI Semibold" w:hAnsi="Segoe UI Semibold" w:cs="Segoe UI Semibold" w:eastAsia="Segoe UI Semibold"/>
          <w:b/>
          <w:bCs/>
          <w:color w:val="666155"/>
          <w:spacing w:val="3"/>
          <w:sz w:val="16"/>
          <w:szCs w:val="16"/>
        </w:rPr>
        <w:t>PER </w:t>
      </w:r>
      <w:r>
        <w:rPr>
          <w:rFonts w:ascii="Segoe UI Semibold" w:hAnsi="Segoe UI Semibold" w:cs="Segoe UI Semibold" w:eastAsia="Segoe UI Semibold"/>
          <w:b/>
          <w:bCs/>
          <w:color w:val="666155"/>
          <w:spacing w:val="4"/>
          <w:sz w:val="16"/>
          <w:szCs w:val="16"/>
        </w:rPr>
        <w:t>BOARDER</w:t>
      </w:r>
      <w:r>
        <w:rPr>
          <w:rFonts w:ascii="Segoe UI Semibold" w:hAnsi="Segoe UI Semibold" w:cs="Segoe UI Semibold" w:eastAsia="Segoe UI Semibold"/>
          <w:b/>
          <w:bCs/>
          <w:color w:val="666155"/>
          <w:sz w:val="16"/>
          <w:szCs w:val="16"/>
        </w:rPr>
        <w:t> 2015</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position w:val="1"/>
          <w:sz w:val="16"/>
          <w:szCs w:val="16"/>
        </w:rPr>
        <w:t>—</w:t>
      </w:r>
      <w:r>
        <w:rPr>
          <w:rFonts w:ascii="Segoe UI Semibold" w:hAnsi="Segoe UI Semibold" w:cs="Segoe UI Semibold" w:eastAsia="Segoe UI Semibold"/>
          <w:b/>
          <w:bCs/>
          <w:color w:val="666155"/>
          <w:spacing w:val="-2"/>
          <w:position w:val="1"/>
          <w:sz w:val="16"/>
          <w:szCs w:val="16"/>
        </w:rPr>
        <w:t> </w:t>
      </w:r>
      <w:r>
        <w:rPr>
          <w:rFonts w:ascii="Segoe UI Semibold" w:hAnsi="Segoe UI Semibold" w:cs="Segoe UI Semibold" w:eastAsia="Segoe UI Semibold"/>
          <w:b/>
          <w:bCs/>
          <w:color w:val="666155"/>
          <w:sz w:val="16"/>
          <w:szCs w:val="16"/>
        </w:rPr>
        <w:t>2017 </w:t>
      </w:r>
      <w:r>
        <w:rPr>
          <w:rFonts w:ascii="Segoe UI Semibold" w:hAnsi="Segoe UI Semibold" w:cs="Segoe UI Semibold" w:eastAsia="Segoe UI Semibold"/>
          <w:b/>
          <w:bCs/>
          <w:color w:val="666155"/>
          <w:spacing w:val="-3"/>
          <w:sz w:val="16"/>
          <w:szCs w:val="16"/>
        </w:rPr>
        <w:t>AT</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MAINSTREAM</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spacing w:val="4"/>
          <w:sz w:val="16"/>
          <w:szCs w:val="16"/>
        </w:rPr>
        <w:t>BOARDING</w:t>
      </w:r>
      <w:r>
        <w:rPr>
          <w:rFonts w:ascii="Segoe UI Semibold" w:hAnsi="Segoe UI Semibold" w:cs="Segoe UI Semibold" w:eastAsia="Segoe UI Semibold"/>
          <w:b/>
          <w:bCs/>
          <w:color w:val="666155"/>
          <w:spacing w:val="67"/>
          <w:sz w:val="16"/>
          <w:szCs w:val="16"/>
        </w:rPr>
        <w:t> </w:t>
      </w:r>
      <w:r>
        <w:rPr>
          <w:rFonts w:ascii="Segoe UI Semibold" w:hAnsi="Segoe UI Semibold" w:cs="Segoe UI Semibold" w:eastAsia="Segoe UI Semibold"/>
          <w:b/>
          <w:bCs/>
          <w:color w:val="666155"/>
          <w:spacing w:val="4"/>
          <w:sz w:val="16"/>
          <w:szCs w:val="16"/>
        </w:rPr>
        <w:t>PROVIDERS</w:t>
      </w:r>
      <w:r>
        <w:rPr>
          <w:rFonts w:ascii="Segoe UI Semibold" w:hAnsi="Segoe UI Semibold" w:cs="Segoe UI Semibold" w:eastAsia="Segoe UI Semibold"/>
          <w:sz w:val="16"/>
          <w:szCs w:val="16"/>
        </w:rPr>
      </w:r>
    </w:p>
    <w:p>
      <w:pPr>
        <w:spacing w:line="240" w:lineRule="auto" w:before="12"/>
        <w:rPr>
          <w:rFonts w:ascii="Segoe UI Semibold" w:hAnsi="Segoe UI Semibold" w:cs="Segoe UI Semibold" w:eastAsia="Segoe UI Semibold"/>
          <w:b/>
          <w:bCs/>
          <w:sz w:val="11"/>
          <w:szCs w:val="11"/>
        </w:rPr>
      </w:pPr>
    </w:p>
    <w:tbl>
      <w:tblPr>
        <w:tblW w:w="0" w:type="auto"/>
        <w:jc w:val="left"/>
        <w:tblInd w:w="145" w:type="dxa"/>
        <w:tblLayout w:type="fixed"/>
        <w:tblCellMar>
          <w:top w:w="0" w:type="dxa"/>
          <w:left w:w="0" w:type="dxa"/>
          <w:bottom w:w="0" w:type="dxa"/>
          <w:right w:w="0" w:type="dxa"/>
        </w:tblCellMar>
        <w:tblLook w:val="01E0"/>
      </w:tblPr>
      <w:tblGrid>
        <w:gridCol w:w="2972"/>
        <w:gridCol w:w="1444"/>
        <w:gridCol w:w="1444"/>
        <w:gridCol w:w="1444"/>
        <w:gridCol w:w="1444"/>
      </w:tblGrid>
      <w:tr>
        <w:trPr>
          <w:trHeight w:val="343" w:hRule="exact"/>
        </w:trPr>
        <w:tc>
          <w:tcPr>
            <w:tcW w:w="2972"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left="152" w:right="0"/>
              <w:jc w:val="left"/>
              <w:rPr>
                <w:rFonts w:ascii="Segoe UI" w:hAnsi="Segoe UI" w:cs="Segoe UI" w:eastAsia="Segoe UI"/>
                <w:sz w:val="16"/>
                <w:szCs w:val="16"/>
              </w:rPr>
            </w:pPr>
            <w:r>
              <w:rPr>
                <w:rFonts w:ascii="Segoe UI"/>
                <w:color w:val="231F20"/>
                <w:sz w:val="16"/>
              </w:rPr>
              <w:t>$</w:t>
            </w:r>
            <w:r>
              <w:rPr>
                <w:rFonts w:ascii="Segoe UI"/>
                <w:sz w:val="16"/>
              </w:rPr>
            </w:r>
          </w:p>
        </w:tc>
        <w:tc>
          <w:tcPr>
            <w:tcW w:w="1444"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right="106"/>
              <w:jc w:val="right"/>
              <w:rPr>
                <w:rFonts w:ascii="Segoe UI" w:hAnsi="Segoe UI" w:cs="Segoe UI" w:eastAsia="Segoe UI"/>
                <w:sz w:val="16"/>
                <w:szCs w:val="16"/>
              </w:rPr>
            </w:pPr>
            <w:r>
              <w:rPr>
                <w:rFonts w:ascii="Segoe UI"/>
                <w:color w:val="231F20"/>
                <w:sz w:val="16"/>
              </w:rPr>
              <w:t>2015</w:t>
            </w:r>
            <w:r>
              <w:rPr>
                <w:rFonts w:ascii="Segoe UI"/>
                <w:sz w:val="16"/>
              </w:rPr>
            </w:r>
          </w:p>
        </w:tc>
        <w:tc>
          <w:tcPr>
            <w:tcW w:w="1444"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right="106"/>
              <w:jc w:val="right"/>
              <w:rPr>
                <w:rFonts w:ascii="Segoe UI" w:hAnsi="Segoe UI" w:cs="Segoe UI" w:eastAsia="Segoe UI"/>
                <w:sz w:val="16"/>
                <w:szCs w:val="16"/>
              </w:rPr>
            </w:pPr>
            <w:r>
              <w:rPr>
                <w:rFonts w:ascii="Segoe UI"/>
                <w:color w:val="231F20"/>
                <w:sz w:val="16"/>
              </w:rPr>
              <w:t>2016</w:t>
            </w:r>
            <w:r>
              <w:rPr>
                <w:rFonts w:ascii="Segoe UI"/>
                <w:sz w:val="16"/>
              </w:rPr>
            </w:r>
          </w:p>
        </w:tc>
        <w:tc>
          <w:tcPr>
            <w:tcW w:w="1444"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right="106"/>
              <w:jc w:val="right"/>
              <w:rPr>
                <w:rFonts w:ascii="Segoe UI" w:hAnsi="Segoe UI" w:cs="Segoe UI" w:eastAsia="Segoe UI"/>
                <w:sz w:val="16"/>
                <w:szCs w:val="16"/>
              </w:rPr>
            </w:pPr>
            <w:r>
              <w:rPr>
                <w:rFonts w:ascii="Segoe UI"/>
                <w:color w:val="231F20"/>
                <w:sz w:val="16"/>
              </w:rPr>
              <w:t>2017</w:t>
            </w:r>
            <w:r>
              <w:rPr>
                <w:rFonts w:ascii="Segoe UI"/>
                <w:sz w:val="16"/>
              </w:rPr>
            </w:r>
          </w:p>
        </w:tc>
        <w:tc>
          <w:tcPr>
            <w:tcW w:w="1444"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left="750" w:right="0"/>
              <w:jc w:val="left"/>
              <w:rPr>
                <w:rFonts w:ascii="Segoe UI" w:hAnsi="Segoe UI" w:cs="Segoe UI" w:eastAsia="Segoe UI"/>
                <w:sz w:val="16"/>
                <w:szCs w:val="16"/>
              </w:rPr>
            </w:pPr>
            <w:r>
              <w:rPr>
                <w:rFonts w:ascii="Segoe UI"/>
                <w:color w:val="231F20"/>
                <w:spacing w:val="-1"/>
                <w:sz w:val="16"/>
              </w:rPr>
              <w:t>Average</w:t>
            </w:r>
            <w:r>
              <w:rPr>
                <w:rFonts w:ascii="Segoe UI"/>
                <w:sz w:val="16"/>
              </w:rPr>
            </w:r>
          </w:p>
        </w:tc>
      </w:tr>
      <w:tr>
        <w:trPr>
          <w:trHeight w:val="348" w:hRule="exact"/>
        </w:trPr>
        <w:tc>
          <w:tcPr>
            <w:tcW w:w="2972"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08" w:right="0"/>
              <w:jc w:val="left"/>
              <w:rPr>
                <w:rFonts w:ascii="Segoe UI" w:hAnsi="Segoe UI" w:cs="Segoe UI" w:eastAsia="Segoe UI"/>
                <w:sz w:val="16"/>
                <w:szCs w:val="16"/>
              </w:rPr>
            </w:pPr>
            <w:r>
              <w:rPr>
                <w:rFonts w:ascii="Segoe UI"/>
                <w:color w:val="231F20"/>
                <w:spacing w:val="-1"/>
                <w:sz w:val="16"/>
              </w:rPr>
              <w:t>Average</w:t>
            </w:r>
            <w:r>
              <w:rPr>
                <w:rFonts w:ascii="Segoe UI"/>
                <w:color w:val="231F20"/>
                <w:spacing w:val="-7"/>
                <w:sz w:val="16"/>
              </w:rPr>
              <w:t> </w:t>
            </w:r>
            <w:r>
              <w:rPr>
                <w:rFonts w:ascii="Segoe UI"/>
                <w:color w:val="231F20"/>
                <w:sz w:val="16"/>
              </w:rPr>
              <w:t>revenue</w:t>
            </w:r>
            <w:r>
              <w:rPr>
                <w:rFonts w:ascii="Segoe UI"/>
                <w:color w:val="231F20"/>
                <w:spacing w:val="-7"/>
                <w:sz w:val="16"/>
              </w:rPr>
              <w:t> </w:t>
            </w:r>
            <w:r>
              <w:rPr>
                <w:rFonts w:ascii="Segoe UI"/>
                <w:color w:val="231F20"/>
                <w:sz w:val="16"/>
              </w:rPr>
              <w:t>per</w:t>
            </w:r>
            <w:r>
              <w:rPr>
                <w:rFonts w:ascii="Segoe UI"/>
                <w:color w:val="231F20"/>
                <w:spacing w:val="-6"/>
                <w:sz w:val="16"/>
              </w:rPr>
              <w:t> </w:t>
            </w:r>
            <w:r>
              <w:rPr>
                <w:rFonts w:ascii="Segoe UI"/>
                <w:color w:val="231F20"/>
                <w:sz w:val="16"/>
              </w:rPr>
              <w:t>boarder</w:t>
            </w:r>
            <w:r>
              <w:rPr>
                <w:rFonts w:ascii="Segoe UI"/>
                <w:sz w:val="16"/>
              </w:rPr>
            </w:r>
          </w:p>
        </w:tc>
        <w:tc>
          <w:tcPr>
            <w:tcW w:w="1444"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859" w:right="0"/>
              <w:jc w:val="left"/>
              <w:rPr>
                <w:rFonts w:ascii="Segoe UI" w:hAnsi="Segoe UI" w:cs="Segoe UI" w:eastAsia="Segoe UI"/>
                <w:sz w:val="16"/>
                <w:szCs w:val="16"/>
              </w:rPr>
            </w:pPr>
            <w:r>
              <w:rPr>
                <w:rFonts w:ascii="Segoe UI"/>
                <w:color w:val="231F20"/>
                <w:sz w:val="16"/>
              </w:rPr>
              <w:t>17,170</w:t>
            </w:r>
            <w:r>
              <w:rPr>
                <w:rFonts w:ascii="Segoe UI"/>
                <w:sz w:val="16"/>
              </w:rPr>
            </w:r>
          </w:p>
        </w:tc>
        <w:tc>
          <w:tcPr>
            <w:tcW w:w="1444"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859" w:right="0"/>
              <w:jc w:val="left"/>
              <w:rPr>
                <w:rFonts w:ascii="Segoe UI" w:hAnsi="Segoe UI" w:cs="Segoe UI" w:eastAsia="Segoe UI"/>
                <w:sz w:val="16"/>
                <w:szCs w:val="16"/>
              </w:rPr>
            </w:pPr>
            <w:r>
              <w:rPr>
                <w:rFonts w:ascii="Segoe UI"/>
                <w:color w:val="231F20"/>
                <w:sz w:val="16"/>
              </w:rPr>
              <w:t>17,228</w:t>
            </w:r>
            <w:r>
              <w:rPr>
                <w:rFonts w:ascii="Segoe UI"/>
                <w:sz w:val="16"/>
              </w:rPr>
            </w:r>
          </w:p>
        </w:tc>
        <w:tc>
          <w:tcPr>
            <w:tcW w:w="1444"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860" w:right="0"/>
              <w:jc w:val="left"/>
              <w:rPr>
                <w:rFonts w:ascii="Segoe UI" w:hAnsi="Segoe UI" w:cs="Segoe UI" w:eastAsia="Segoe UI"/>
                <w:sz w:val="16"/>
                <w:szCs w:val="16"/>
              </w:rPr>
            </w:pPr>
            <w:r>
              <w:rPr>
                <w:rFonts w:ascii="Segoe UI"/>
                <w:color w:val="231F20"/>
                <w:sz w:val="16"/>
              </w:rPr>
              <w:t>17,828</w:t>
            </w:r>
            <w:r>
              <w:rPr>
                <w:rFonts w:ascii="Segoe UI"/>
                <w:sz w:val="16"/>
              </w:rPr>
            </w:r>
          </w:p>
        </w:tc>
        <w:tc>
          <w:tcPr>
            <w:tcW w:w="1444"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860" w:right="0"/>
              <w:jc w:val="left"/>
              <w:rPr>
                <w:rFonts w:ascii="Segoe UI" w:hAnsi="Segoe UI" w:cs="Segoe UI" w:eastAsia="Segoe UI"/>
                <w:sz w:val="16"/>
                <w:szCs w:val="16"/>
              </w:rPr>
            </w:pPr>
            <w:r>
              <w:rPr>
                <w:rFonts w:ascii="Segoe UI"/>
                <w:color w:val="231F20"/>
                <w:sz w:val="16"/>
              </w:rPr>
              <w:t>17,409</w:t>
            </w:r>
            <w:r>
              <w:rPr>
                <w:rFonts w:ascii="Segoe UI"/>
                <w:sz w:val="16"/>
              </w:rPr>
            </w:r>
          </w:p>
        </w:tc>
      </w:tr>
      <w:tr>
        <w:trPr>
          <w:trHeight w:val="343" w:hRule="exact"/>
        </w:trPr>
        <w:tc>
          <w:tcPr>
            <w:tcW w:w="2972"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08" w:right="0"/>
              <w:jc w:val="left"/>
              <w:rPr>
                <w:rFonts w:ascii="Segoe UI" w:hAnsi="Segoe UI" w:cs="Segoe UI" w:eastAsia="Segoe UI"/>
                <w:sz w:val="16"/>
                <w:szCs w:val="16"/>
              </w:rPr>
            </w:pPr>
            <w:r>
              <w:rPr>
                <w:rFonts w:ascii="Segoe UI"/>
                <w:color w:val="231F20"/>
                <w:spacing w:val="-1"/>
                <w:sz w:val="16"/>
              </w:rPr>
              <w:t>Average</w:t>
            </w:r>
            <w:r>
              <w:rPr>
                <w:rFonts w:ascii="Segoe UI"/>
                <w:color w:val="231F20"/>
                <w:spacing w:val="-5"/>
                <w:sz w:val="16"/>
              </w:rPr>
              <w:t> </w:t>
            </w:r>
            <w:r>
              <w:rPr>
                <w:rFonts w:ascii="Segoe UI"/>
                <w:color w:val="231F20"/>
                <w:sz w:val="16"/>
              </w:rPr>
              <w:t>cost</w:t>
            </w:r>
            <w:r>
              <w:rPr>
                <w:rFonts w:ascii="Segoe UI"/>
                <w:color w:val="231F20"/>
                <w:spacing w:val="-5"/>
                <w:sz w:val="16"/>
              </w:rPr>
              <w:t> </w:t>
            </w:r>
            <w:r>
              <w:rPr>
                <w:rFonts w:ascii="Segoe UI"/>
                <w:color w:val="231F20"/>
                <w:sz w:val="16"/>
              </w:rPr>
              <w:t>per</w:t>
            </w:r>
            <w:r>
              <w:rPr>
                <w:rFonts w:ascii="Segoe UI"/>
                <w:color w:val="231F20"/>
                <w:spacing w:val="-4"/>
                <w:sz w:val="16"/>
              </w:rPr>
              <w:t> </w:t>
            </w:r>
            <w:r>
              <w:rPr>
                <w:rFonts w:ascii="Segoe UI"/>
                <w:color w:val="231F20"/>
                <w:sz w:val="16"/>
              </w:rPr>
              <w:t>boarder</w:t>
            </w:r>
            <w:r>
              <w:rPr>
                <w:rFonts w:ascii="Segoe UI"/>
                <w:sz w:val="16"/>
              </w:rPr>
            </w:r>
          </w:p>
        </w:tc>
        <w:tc>
          <w:tcPr>
            <w:tcW w:w="1444"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860" w:right="0"/>
              <w:jc w:val="left"/>
              <w:rPr>
                <w:rFonts w:ascii="Segoe UI" w:hAnsi="Segoe UI" w:cs="Segoe UI" w:eastAsia="Segoe UI"/>
                <w:sz w:val="16"/>
                <w:szCs w:val="16"/>
              </w:rPr>
            </w:pPr>
            <w:r>
              <w:rPr>
                <w:rFonts w:ascii="Segoe UI"/>
                <w:color w:val="231F20"/>
                <w:sz w:val="16"/>
              </w:rPr>
              <w:t>18,941</w:t>
            </w:r>
            <w:r>
              <w:rPr>
                <w:rFonts w:ascii="Segoe UI"/>
                <w:sz w:val="16"/>
              </w:rPr>
            </w:r>
          </w:p>
        </w:tc>
        <w:tc>
          <w:tcPr>
            <w:tcW w:w="1444"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860" w:right="0"/>
              <w:jc w:val="left"/>
              <w:rPr>
                <w:rFonts w:ascii="Segoe UI" w:hAnsi="Segoe UI" w:cs="Segoe UI" w:eastAsia="Segoe UI"/>
                <w:sz w:val="16"/>
                <w:szCs w:val="16"/>
              </w:rPr>
            </w:pPr>
            <w:r>
              <w:rPr>
                <w:rFonts w:ascii="Segoe UI"/>
                <w:color w:val="231F20"/>
                <w:sz w:val="16"/>
              </w:rPr>
              <w:t>19,637</w:t>
            </w:r>
            <w:r>
              <w:rPr>
                <w:rFonts w:ascii="Segoe UI"/>
                <w:sz w:val="16"/>
              </w:rPr>
            </w:r>
          </w:p>
        </w:tc>
        <w:tc>
          <w:tcPr>
            <w:tcW w:w="1444"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860" w:right="0"/>
              <w:jc w:val="left"/>
              <w:rPr>
                <w:rFonts w:ascii="Segoe UI" w:hAnsi="Segoe UI" w:cs="Segoe UI" w:eastAsia="Segoe UI"/>
                <w:sz w:val="16"/>
                <w:szCs w:val="16"/>
              </w:rPr>
            </w:pPr>
            <w:r>
              <w:rPr>
                <w:rFonts w:ascii="Segoe UI"/>
                <w:color w:val="231F20"/>
                <w:sz w:val="16"/>
              </w:rPr>
              <w:t>19,566</w:t>
            </w:r>
            <w:r>
              <w:rPr>
                <w:rFonts w:ascii="Segoe UI"/>
                <w:sz w:val="16"/>
              </w:rPr>
            </w:r>
          </w:p>
        </w:tc>
        <w:tc>
          <w:tcPr>
            <w:tcW w:w="1444"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860" w:right="0"/>
              <w:jc w:val="left"/>
              <w:rPr>
                <w:rFonts w:ascii="Segoe UI" w:hAnsi="Segoe UI" w:cs="Segoe UI" w:eastAsia="Segoe UI"/>
                <w:sz w:val="16"/>
                <w:szCs w:val="16"/>
              </w:rPr>
            </w:pPr>
            <w:r>
              <w:rPr>
                <w:rFonts w:ascii="Segoe UI"/>
                <w:color w:val="231F20"/>
                <w:sz w:val="16"/>
              </w:rPr>
              <w:t>19,381</w:t>
            </w:r>
            <w:r>
              <w:rPr>
                <w:rFonts w:ascii="Segoe UI"/>
                <w:sz w:val="16"/>
              </w:rPr>
            </w:r>
          </w:p>
        </w:tc>
      </w:tr>
      <w:tr>
        <w:trPr>
          <w:trHeight w:val="343" w:hRule="exact"/>
        </w:trPr>
        <w:tc>
          <w:tcPr>
            <w:tcW w:w="2972"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08" w:right="0"/>
              <w:jc w:val="left"/>
              <w:rPr>
                <w:rFonts w:ascii="Segoe UI" w:hAnsi="Segoe UI" w:cs="Segoe UI" w:eastAsia="Segoe UI"/>
                <w:sz w:val="16"/>
                <w:szCs w:val="16"/>
              </w:rPr>
            </w:pPr>
            <w:r>
              <w:rPr>
                <w:rFonts w:ascii="Segoe UI"/>
                <w:color w:val="231F20"/>
                <w:spacing w:val="-1"/>
                <w:sz w:val="16"/>
              </w:rPr>
              <w:t>Average</w:t>
            </w:r>
            <w:r>
              <w:rPr>
                <w:rFonts w:ascii="Segoe UI"/>
                <w:color w:val="231F20"/>
                <w:spacing w:val="-3"/>
                <w:sz w:val="16"/>
              </w:rPr>
              <w:t> </w:t>
            </w:r>
            <w:r>
              <w:rPr>
                <w:rFonts w:ascii="Segoe UI"/>
                <w:color w:val="231F20"/>
                <w:spacing w:val="-1"/>
                <w:sz w:val="16"/>
              </w:rPr>
              <w:t>surplus</w:t>
            </w:r>
            <w:r>
              <w:rPr>
                <w:rFonts w:ascii="Segoe UI"/>
                <w:color w:val="231F20"/>
                <w:spacing w:val="-3"/>
                <w:sz w:val="16"/>
              </w:rPr>
              <w:t> </w:t>
            </w:r>
            <w:r>
              <w:rPr>
                <w:rFonts w:ascii="Segoe UI"/>
                <w:color w:val="231F20"/>
                <w:sz w:val="16"/>
              </w:rPr>
              <w:t>/</w:t>
            </w:r>
            <w:r>
              <w:rPr>
                <w:rFonts w:ascii="Segoe UI"/>
                <w:color w:val="231F20"/>
                <w:spacing w:val="-2"/>
                <w:sz w:val="16"/>
              </w:rPr>
              <w:t> </w:t>
            </w:r>
            <w:r>
              <w:rPr>
                <w:rFonts w:ascii="Segoe UI"/>
                <w:color w:val="231F20"/>
                <w:sz w:val="16"/>
              </w:rPr>
              <w:t>(loss)</w:t>
            </w:r>
            <w:r>
              <w:rPr>
                <w:rFonts w:ascii="Segoe UI"/>
                <w:color w:val="231F20"/>
                <w:spacing w:val="-4"/>
                <w:sz w:val="16"/>
              </w:rPr>
              <w:t> </w:t>
            </w:r>
            <w:r>
              <w:rPr>
                <w:rFonts w:ascii="Segoe UI"/>
                <w:color w:val="231F20"/>
                <w:sz w:val="16"/>
              </w:rPr>
              <w:t>per</w:t>
            </w:r>
            <w:r>
              <w:rPr>
                <w:rFonts w:ascii="Segoe UI"/>
                <w:color w:val="231F20"/>
                <w:spacing w:val="-3"/>
                <w:sz w:val="16"/>
              </w:rPr>
              <w:t> </w:t>
            </w:r>
            <w:r>
              <w:rPr>
                <w:rFonts w:ascii="Segoe UI"/>
                <w:color w:val="231F20"/>
                <w:sz w:val="16"/>
              </w:rPr>
              <w:t>boarder</w:t>
            </w:r>
            <w:r>
              <w:rPr>
                <w:rFonts w:ascii="Segoe UI"/>
                <w:sz w:val="16"/>
              </w:rPr>
            </w:r>
          </w:p>
        </w:tc>
        <w:tc>
          <w:tcPr>
            <w:tcW w:w="1444"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849" w:right="0"/>
              <w:jc w:val="left"/>
              <w:rPr>
                <w:rFonts w:ascii="Segoe UI" w:hAnsi="Segoe UI" w:cs="Segoe UI" w:eastAsia="Segoe UI"/>
                <w:sz w:val="16"/>
                <w:szCs w:val="16"/>
              </w:rPr>
            </w:pPr>
            <w:r>
              <w:rPr>
                <w:rFonts w:ascii="Segoe UI"/>
                <w:color w:val="231F20"/>
                <w:sz w:val="16"/>
              </w:rPr>
              <w:t>(1,771)</w:t>
            </w:r>
            <w:r>
              <w:rPr>
                <w:rFonts w:ascii="Segoe UI"/>
                <w:sz w:val="16"/>
              </w:rPr>
            </w:r>
          </w:p>
        </w:tc>
        <w:tc>
          <w:tcPr>
            <w:tcW w:w="1444"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850" w:right="0"/>
              <w:jc w:val="left"/>
              <w:rPr>
                <w:rFonts w:ascii="Segoe UI" w:hAnsi="Segoe UI" w:cs="Segoe UI" w:eastAsia="Segoe UI"/>
                <w:sz w:val="16"/>
                <w:szCs w:val="16"/>
              </w:rPr>
            </w:pPr>
            <w:r>
              <w:rPr>
                <w:rFonts w:ascii="Segoe UI"/>
                <w:color w:val="231F20"/>
                <w:sz w:val="16"/>
              </w:rPr>
              <w:t>(2,409)</w:t>
            </w:r>
            <w:r>
              <w:rPr>
                <w:rFonts w:ascii="Segoe UI"/>
                <w:sz w:val="16"/>
              </w:rPr>
            </w:r>
          </w:p>
        </w:tc>
        <w:tc>
          <w:tcPr>
            <w:tcW w:w="1444"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850" w:right="0"/>
              <w:jc w:val="left"/>
              <w:rPr>
                <w:rFonts w:ascii="Segoe UI" w:hAnsi="Segoe UI" w:cs="Segoe UI" w:eastAsia="Segoe UI"/>
                <w:sz w:val="16"/>
                <w:szCs w:val="16"/>
              </w:rPr>
            </w:pPr>
            <w:r>
              <w:rPr>
                <w:rFonts w:ascii="Segoe UI"/>
                <w:color w:val="231F20"/>
                <w:sz w:val="16"/>
              </w:rPr>
              <w:t>(1,738)</w:t>
            </w:r>
            <w:r>
              <w:rPr>
                <w:rFonts w:ascii="Segoe UI"/>
                <w:sz w:val="16"/>
              </w:rPr>
            </w:r>
          </w:p>
        </w:tc>
        <w:tc>
          <w:tcPr>
            <w:tcW w:w="1444"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850" w:right="0"/>
              <w:jc w:val="left"/>
              <w:rPr>
                <w:rFonts w:ascii="Segoe UI" w:hAnsi="Segoe UI" w:cs="Segoe UI" w:eastAsia="Segoe UI"/>
                <w:sz w:val="16"/>
                <w:szCs w:val="16"/>
              </w:rPr>
            </w:pPr>
            <w:r>
              <w:rPr>
                <w:rFonts w:ascii="Segoe UI"/>
                <w:color w:val="231F20"/>
                <w:sz w:val="16"/>
              </w:rPr>
              <w:t>(1,972)</w:t>
            </w:r>
            <w:r>
              <w:rPr>
                <w:rFonts w:ascii="Segoe UI"/>
                <w:sz w:val="16"/>
              </w:rPr>
            </w:r>
          </w:p>
        </w:tc>
      </w:tr>
    </w:tbl>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2"/>
        <w:rPr>
          <w:rFonts w:ascii="Segoe UI Semibold" w:hAnsi="Segoe UI Semibold" w:cs="Segoe UI Semibold" w:eastAsia="Segoe UI Semibold"/>
          <w:b/>
          <w:bCs/>
          <w:sz w:val="26"/>
          <w:szCs w:val="26"/>
        </w:rPr>
      </w:pPr>
    </w:p>
    <w:p>
      <w:pPr>
        <w:spacing w:line="200" w:lineRule="atLeast"/>
        <w:ind w:left="117" w:right="0" w:firstLine="0"/>
        <w:rPr>
          <w:rFonts w:ascii="Segoe UI Semibold" w:hAnsi="Segoe UI Semibold" w:cs="Segoe UI Semibold" w:eastAsia="Segoe UI Semibold"/>
          <w:sz w:val="20"/>
          <w:szCs w:val="20"/>
        </w:rPr>
      </w:pPr>
      <w:r>
        <w:rPr>
          <w:rFonts w:ascii="Segoe UI Semibold" w:hAnsi="Segoe UI Semibold" w:cs="Segoe UI Semibold" w:eastAsia="Segoe UI Semibold"/>
          <w:sz w:val="20"/>
          <w:szCs w:val="20"/>
        </w:rPr>
        <w:pict>
          <v:group style="width:439.4pt;height:299.1pt;mso-position-horizontal-relative:char;mso-position-vertical-relative:line" coordorigin="0,0" coordsize="8788,5982">
            <v:group style="position:absolute;left:342;top:829;width:8045;height:5012" coordorigin="342,829" coordsize="8045,5012">
              <v:shape style="position:absolute;left:342;top:829;width:8045;height:5012" coordorigin="342,829" coordsize="8045,5012" path="m342,5841l8387,5841,8387,829,342,829,342,5841xe" filled="true" fillcolor="#ffffff" stroked="false">
                <v:path arrowok="t"/>
                <v:fill type="solid"/>
              </v:shape>
            </v:group>
            <v:group style="position:absolute;left:1140;top:4850;width:7246;height:2" coordorigin="1140,4850" coordsize="7246,2">
              <v:shape style="position:absolute;left:1140;top:4850;width:7246;height:2" coordorigin="1140,4850" coordsize="7246,0" path="m1140,4850l8385,4850e" filled="false" stroked="true" strokeweight=".694pt" strokecolor="#dcddde">
                <v:path arrowok="t"/>
              </v:shape>
            </v:group>
            <v:group style="position:absolute;left:5594;top:3566;width:2791;height:2" coordorigin="5594,3566" coordsize="2791,2">
              <v:shape style="position:absolute;left:5594;top:3566;width:2791;height:2" coordorigin="5594,3566" coordsize="2791,0" path="m5594,3566l8385,3566e" filled="false" stroked="true" strokeweight=".694pt" strokecolor="#dcddde">
                <v:path arrowok="t"/>
              </v:shape>
            </v:group>
            <v:group style="position:absolute;left:5154;top:3566;width:94;height:2" coordorigin="5154,3566" coordsize="94,2">
              <v:shape style="position:absolute;left:5154;top:3566;width:94;height:2" coordorigin="5154,3566" coordsize="94,0" path="m5154,3566l5248,3566e" filled="false" stroked="true" strokeweight=".694pt" strokecolor="#dcddde">
                <v:path arrowok="t"/>
              </v:shape>
            </v:group>
            <v:group style="position:absolute;left:4717;top:3566;width:94;height:2" coordorigin="4717,3566" coordsize="94,2">
              <v:shape style="position:absolute;left:4717;top:3566;width:94;height:2" coordorigin="4717,3566" coordsize="94,0" path="m4717,3566l4810,3566e" filled="false" stroked="true" strokeweight=".694pt" strokecolor="#dcddde">
                <v:path arrowok="t"/>
              </v:shape>
            </v:group>
            <v:group style="position:absolute;left:4279;top:3566;width:94;height:2" coordorigin="4279,3566" coordsize="94,2">
              <v:shape style="position:absolute;left:4279;top:3566;width:94;height:2" coordorigin="4279,3566" coordsize="94,0" path="m4279,3566l4372,3566e" filled="false" stroked="true" strokeweight=".694pt" strokecolor="#dcddde">
                <v:path arrowok="t"/>
              </v:shape>
            </v:group>
            <v:group style="position:absolute;left:3177;top:3566;width:756;height:2" coordorigin="3177,3566" coordsize="756,2">
              <v:shape style="position:absolute;left:3177;top:3566;width:756;height:2" coordorigin="3177,3566" coordsize="756,0" path="m3177,3566l3932,3566e" filled="false" stroked="true" strokeweight=".694pt" strokecolor="#dcddde">
                <v:path arrowok="t"/>
              </v:shape>
            </v:group>
            <v:group style="position:absolute;left:2739;top:3566;width:94;height:2" coordorigin="2739,3566" coordsize="94,2">
              <v:shape style="position:absolute;left:2739;top:3566;width:94;height:2" coordorigin="2739,3566" coordsize="94,0" path="m2739,3566l2832,3566e" filled="false" stroked="true" strokeweight=".694pt" strokecolor="#dcddde">
                <v:path arrowok="t"/>
              </v:shape>
            </v:group>
            <v:group style="position:absolute;left:2301;top:3566;width:94;height:2" coordorigin="2301,3566" coordsize="94,2">
              <v:shape style="position:absolute;left:2301;top:3566;width:94;height:2" coordorigin="2301,3566" coordsize="94,0" path="m2301,3566l2395,3566e" filled="false" stroked="true" strokeweight=".694pt" strokecolor="#dcddde">
                <v:path arrowok="t"/>
              </v:shape>
            </v:group>
            <v:group style="position:absolute;left:1864;top:3566;width:94;height:2" coordorigin="1864,3566" coordsize="94,2">
              <v:shape style="position:absolute;left:1864;top:3566;width:94;height:2" coordorigin="1864,3566" coordsize="94,0" path="m1864,3566l1957,3566e" filled="false" stroked="true" strokeweight=".694pt" strokecolor="#dcddde">
                <v:path arrowok="t"/>
              </v:shape>
            </v:group>
            <v:group style="position:absolute;left:1140;top:3566;width:378;height:2" coordorigin="1140,3566" coordsize="378,2">
              <v:shape style="position:absolute;left:1140;top:3566;width:378;height:2" coordorigin="1140,3566" coordsize="378,0" path="m1140,3566l1517,3566e" filled="false" stroked="true" strokeweight=".694pt" strokecolor="#dcddde">
                <v:path arrowok="t"/>
              </v:shape>
            </v:group>
            <v:group style="position:absolute;left:5594;top:2924;width:2791;height:2" coordorigin="5594,2924" coordsize="2791,2">
              <v:shape style="position:absolute;left:5594;top:2924;width:2791;height:2" coordorigin="5594,2924" coordsize="2791,0" path="m5594,2924l8385,2924e" filled="false" stroked="true" strokeweight=".694pt" strokecolor="#dcddde">
                <v:path arrowok="t"/>
              </v:shape>
            </v:group>
            <v:group style="position:absolute;left:5154;top:2924;width:94;height:2" coordorigin="5154,2924" coordsize="94,2">
              <v:shape style="position:absolute;left:5154;top:2924;width:94;height:2" coordorigin="5154,2924" coordsize="94,0" path="m5154,2924l5248,2924e" filled="false" stroked="true" strokeweight=".694pt" strokecolor="#dcddde">
                <v:path arrowok="t"/>
              </v:shape>
            </v:group>
            <v:group style="position:absolute;left:4717;top:2924;width:94;height:2" coordorigin="4717,2924" coordsize="94,2">
              <v:shape style="position:absolute;left:4717;top:2924;width:94;height:2" coordorigin="4717,2924" coordsize="94,0" path="m4717,2924l4810,2924e" filled="false" stroked="true" strokeweight=".694pt" strokecolor="#dcddde">
                <v:path arrowok="t"/>
              </v:shape>
            </v:group>
            <v:group style="position:absolute;left:4279;top:2924;width:94;height:2" coordorigin="4279,2924" coordsize="94,2">
              <v:shape style="position:absolute;left:4279;top:2924;width:94;height:2" coordorigin="4279,2924" coordsize="94,0" path="m4279,2924l4372,2924e" filled="false" stroked="true" strokeweight=".694pt" strokecolor="#dcddde">
                <v:path arrowok="t"/>
              </v:shape>
            </v:group>
            <v:group style="position:absolute;left:3177;top:2924;width:756;height:2" coordorigin="3177,2924" coordsize="756,2">
              <v:shape style="position:absolute;left:3177;top:2924;width:756;height:2" coordorigin="3177,2924" coordsize="756,0" path="m3177,2924l3932,2924e" filled="false" stroked="true" strokeweight=".694pt" strokecolor="#dcddde">
                <v:path arrowok="t"/>
              </v:shape>
            </v:group>
            <v:group style="position:absolute;left:2739;top:2924;width:94;height:2" coordorigin="2739,2924" coordsize="94,2">
              <v:shape style="position:absolute;left:2739;top:2924;width:94;height:2" coordorigin="2739,2924" coordsize="94,0" path="m2739,2924l2832,2924e" filled="false" stroked="true" strokeweight=".694pt" strokecolor="#dcddde">
                <v:path arrowok="t"/>
              </v:shape>
            </v:group>
            <v:group style="position:absolute;left:2301;top:2924;width:94;height:2" coordorigin="2301,2924" coordsize="94,2">
              <v:shape style="position:absolute;left:2301;top:2924;width:94;height:2" coordorigin="2301,2924" coordsize="94,0" path="m2301,2924l2395,2924e" filled="false" stroked="true" strokeweight=".694pt" strokecolor="#dcddde">
                <v:path arrowok="t"/>
              </v:shape>
            </v:group>
            <v:group style="position:absolute;left:1864;top:2924;width:94;height:2" coordorigin="1864,2924" coordsize="94,2">
              <v:shape style="position:absolute;left:1864;top:2924;width:94;height:2" coordorigin="1864,2924" coordsize="94,0" path="m1864,2924l1957,2924e" filled="false" stroked="true" strokeweight=".694pt" strokecolor="#dcddde">
                <v:path arrowok="t"/>
              </v:shape>
            </v:group>
            <v:group style="position:absolute;left:1140;top:2924;width:378;height:2" coordorigin="1140,2924" coordsize="378,2">
              <v:shape style="position:absolute;left:1140;top:2924;width:378;height:2" coordorigin="1140,2924" coordsize="378,0" path="m1140,2924l1517,2924e" filled="false" stroked="true" strokeweight=".694pt" strokecolor="#dcddde">
                <v:path arrowok="t"/>
              </v:shape>
            </v:group>
            <v:group style="position:absolute;left:5594;top:2282;width:2791;height:2" coordorigin="5594,2282" coordsize="2791,2">
              <v:shape style="position:absolute;left:5594;top:2282;width:2791;height:2" coordorigin="5594,2282" coordsize="2791,0" path="m5594,2282l8385,2282e" filled="false" stroked="true" strokeweight=".694pt" strokecolor="#dcddde">
                <v:path arrowok="t"/>
              </v:shape>
            </v:group>
            <v:group style="position:absolute;left:5154;top:2282;width:94;height:2" coordorigin="5154,2282" coordsize="94,2">
              <v:shape style="position:absolute;left:5154;top:2282;width:94;height:2" coordorigin="5154,2282" coordsize="94,0" path="m5154,2282l5248,2282e" filled="false" stroked="true" strokeweight=".694pt" strokecolor="#dcddde">
                <v:path arrowok="t"/>
              </v:shape>
            </v:group>
            <v:group style="position:absolute;left:4717;top:2282;width:94;height:2" coordorigin="4717,2282" coordsize="94,2">
              <v:shape style="position:absolute;left:4717;top:2282;width:94;height:2" coordorigin="4717,2282" coordsize="94,0" path="m4717,2282l4810,2282e" filled="false" stroked="true" strokeweight=".694pt" strokecolor="#dcddde">
                <v:path arrowok="t"/>
              </v:shape>
            </v:group>
            <v:group style="position:absolute;left:4279;top:2282;width:94;height:2" coordorigin="4279,2282" coordsize="94,2">
              <v:shape style="position:absolute;left:4279;top:2282;width:94;height:2" coordorigin="4279,2282" coordsize="94,0" path="m4279,2282l4372,2282e" filled="false" stroked="true" strokeweight=".694pt" strokecolor="#dcddde">
                <v:path arrowok="t"/>
              </v:shape>
            </v:group>
            <v:group style="position:absolute;left:3177;top:2282;width:756;height:2" coordorigin="3177,2282" coordsize="756,2">
              <v:shape style="position:absolute;left:3177;top:2282;width:756;height:2" coordorigin="3177,2282" coordsize="756,0" path="m3177,2282l3932,2282e" filled="false" stroked="true" strokeweight=".694pt" strokecolor="#dcddde">
                <v:path arrowok="t"/>
              </v:shape>
            </v:group>
            <v:group style="position:absolute;left:2739;top:2282;width:94;height:2" coordorigin="2739,2282" coordsize="94,2">
              <v:shape style="position:absolute;left:2739;top:2282;width:94;height:2" coordorigin="2739,2282" coordsize="94,0" path="m2739,2282l2832,2282e" filled="false" stroked="true" strokeweight=".694pt" strokecolor="#dcddde">
                <v:path arrowok="t"/>
              </v:shape>
            </v:group>
            <v:group style="position:absolute;left:2301;top:2282;width:94;height:2" coordorigin="2301,2282" coordsize="94,2">
              <v:shape style="position:absolute;left:2301;top:2282;width:94;height:2" coordorigin="2301,2282" coordsize="94,0" path="m2301,2282l2395,2282e" filled="false" stroked="true" strokeweight=".694pt" strokecolor="#dcddde">
                <v:path arrowok="t"/>
              </v:shape>
            </v:group>
            <v:group style="position:absolute;left:1864;top:2282;width:94;height:2" coordorigin="1864,2282" coordsize="94,2">
              <v:shape style="position:absolute;left:1864;top:2282;width:94;height:2" coordorigin="1864,2282" coordsize="94,0" path="m1864,2282l1957,2282e" filled="false" stroked="true" strokeweight=".694pt" strokecolor="#dcddde">
                <v:path arrowok="t"/>
              </v:shape>
            </v:group>
            <v:group style="position:absolute;left:1140;top:2282;width:378;height:2" coordorigin="1140,2282" coordsize="378,2">
              <v:shape style="position:absolute;left:1140;top:2282;width:378;height:2" coordorigin="1140,2282" coordsize="378,0" path="m1140,2282l1517,2282e" filled="false" stroked="true" strokeweight=".694pt" strokecolor="#dcddde">
                <v:path arrowok="t"/>
              </v:shape>
            </v:group>
            <v:group style="position:absolute;left:1140;top:1640;width:7246;height:2" coordorigin="1140,1640" coordsize="7246,2">
              <v:shape style="position:absolute;left:1140;top:1640;width:7246;height:2" coordorigin="1140,1640" coordsize="7246,0" path="m1140,1640l8385,1640e" filled="false" stroked="true" strokeweight=".694pt" strokecolor="#dcddde">
                <v:path arrowok="t"/>
              </v:shape>
            </v:group>
            <v:group style="position:absolute;left:1517;top:2004;width:347;height:2205" coordorigin="1517,2004" coordsize="347,2205">
              <v:shape style="position:absolute;left:1517;top:2004;width:347;height:2205" coordorigin="1517,2004" coordsize="347,2205" path="m1864,2004l1517,2004,1517,4209,1864,4209,1864,2004xe" filled="true" fillcolor="#644e7f" stroked="false">
                <v:path arrowok="t"/>
                <v:fill type="solid"/>
              </v:shape>
            </v:group>
            <v:group style="position:absolute;left:3932;top:1776;width:347;height:2433" coordorigin="3932,1776" coordsize="347,2433">
              <v:shape style="position:absolute;left:3932;top:1776;width:347;height:2433" coordorigin="3932,1776" coordsize="347,2433" path="m4279,1776l3932,1776,3932,4209,4279,4209,4279,1776xe" filled="true" fillcolor="#644e7f" stroked="false">
                <v:path arrowok="t"/>
                <v:fill type="solid"/>
              </v:shape>
            </v:group>
            <v:group style="position:absolute;left:6350;top:4209;width:345;height:227" coordorigin="6350,4209" coordsize="345,227">
              <v:shape style="position:absolute;left:6350;top:4209;width:345;height:227" coordorigin="6350,4209" coordsize="345,227" path="m6694,4209l6350,4209,6350,4435,6694,4435,6694,4209xe" filled="true" fillcolor="#644e7f" stroked="false">
                <v:path arrowok="t"/>
                <v:fill type="solid"/>
              </v:shape>
            </v:group>
            <v:group style="position:absolute;left:1957;top:1996;width:345;height:2213" coordorigin="1957,1996" coordsize="345,2213">
              <v:shape style="position:absolute;left:1957;top:1996;width:345;height:2213" coordorigin="1957,1996" coordsize="345,2213" path="m2301,1996l1957,1996,1957,4209,2301,4209,2301,1996xe" filled="true" fillcolor="#775e98" stroked="false">
                <v:path arrowok="t"/>
                <v:fill type="solid"/>
              </v:shape>
            </v:group>
            <v:group style="position:absolute;left:4372;top:1687;width:345;height:2522" coordorigin="4372,1687" coordsize="345,2522">
              <v:shape style="position:absolute;left:4372;top:1687;width:345;height:2522" coordorigin="4372,1687" coordsize="345,2522" path="m4717,1687l4372,1687,4372,4209,4717,4209,4717,1687xe" filled="true" fillcolor="#775e98" stroked="false">
                <v:path arrowok="t"/>
                <v:fill type="solid"/>
              </v:shape>
            </v:group>
            <v:group style="position:absolute;left:6787;top:4209;width:345;height:309" coordorigin="6787,4209" coordsize="345,309">
              <v:shape style="position:absolute;left:6787;top:4209;width:345;height:309" coordorigin="6787,4209" coordsize="345,309" path="m7132,4209l6787,4209,6787,4517,7132,4517,7132,4209xe" filled="true" fillcolor="#775e98" stroked="false">
                <v:path arrowok="t"/>
                <v:fill type="solid"/>
              </v:shape>
            </v:group>
            <v:group style="position:absolute;left:2395;top:1920;width:345;height:2289" coordorigin="2395,1920" coordsize="345,2289">
              <v:shape style="position:absolute;left:2395;top:1920;width:345;height:2289" coordorigin="2395,1920" coordsize="345,2289" path="m2739,1920l2395,1920,2395,4209,2739,4209,2739,1920xe" filled="true" fillcolor="#9c89b3" stroked="false">
                <v:path arrowok="t"/>
                <v:fill type="solid"/>
              </v:shape>
            </v:group>
            <v:group style="position:absolute;left:4810;top:1696;width:345;height:2513" coordorigin="4810,1696" coordsize="345,2513">
              <v:shape style="position:absolute;left:4810;top:1696;width:345;height:2513" coordorigin="4810,1696" coordsize="345,2513" path="m5154,1696l4810,1696,4810,4209,5154,4209,5154,1696xe" filled="true" fillcolor="#9c89b3" stroked="false">
                <v:path arrowok="t"/>
                <v:fill type="solid"/>
              </v:shape>
            </v:group>
            <v:group style="position:absolute;left:7225;top:4209;width:345;height:223" coordorigin="7225,4209" coordsize="345,223">
              <v:shape style="position:absolute;left:7225;top:4209;width:345;height:223" coordorigin="7225,4209" coordsize="345,223" path="m7570,4209l7225,4209,7225,4431,7570,4431,7570,4209xe" filled="true" fillcolor="#9c89b3" stroked="false">
                <v:path arrowok="t"/>
                <v:fill type="solid"/>
              </v:shape>
            </v:group>
            <v:group style="position:absolute;left:2832;top:1973;width:345;height:2236" coordorigin="2832,1973" coordsize="345,2236">
              <v:shape style="position:absolute;left:2832;top:1973;width:345;height:2236" coordorigin="2832,1973" coordsize="345,2236" path="m3177,1973l2832,1973,2832,4209,3177,4209,3177,1973xe" filled="true" fillcolor="#c4bad0" stroked="false">
                <v:path arrowok="t"/>
                <v:fill type="solid"/>
              </v:shape>
            </v:group>
            <v:group style="position:absolute;left:5248;top:1720;width:347;height:2489" coordorigin="5248,1720" coordsize="347,2489">
              <v:shape style="position:absolute;left:5248;top:1720;width:347;height:2489" coordorigin="5248,1720" coordsize="347,2489" path="m5594,1720l5248,1720,5248,4209,5594,4209,5594,1720xe" filled="true" fillcolor="#c4bad0" stroked="false">
                <v:path arrowok="t"/>
                <v:fill type="solid"/>
              </v:shape>
            </v:group>
            <v:group style="position:absolute;left:7663;top:4209;width:347;height:254" coordorigin="7663,4209" coordsize="347,254">
              <v:shape style="position:absolute;left:7663;top:4209;width:347;height:254" coordorigin="7663,4209" coordsize="347,254" path="m8009,4209l7663,4209,7663,4462,8009,4462,8009,4209xe" filled="true" fillcolor="#c4bad0" stroked="false">
                <v:path arrowok="t"/>
                <v:fill type="solid"/>
              </v:shape>
            </v:group>
            <v:group style="position:absolute;left:1140;top:4208;width:7246;height:2" coordorigin="1140,4208" coordsize="7246,2">
              <v:shape style="position:absolute;left:1140;top:4208;width:7246;height:2" coordorigin="1140,4208" coordsize="7246,0" path="m1140,4208l8385,4208e" filled="false" stroked="true" strokeweight=".694pt" strokecolor="#dcddde">
                <v:path arrowok="t"/>
              </v:shape>
            </v:group>
            <v:group style="position:absolute;left:2794;top:5576;width:89;height:2" coordorigin="2794,5576" coordsize="89,2">
              <v:shape style="position:absolute;left:2794;top:5576;width:89;height:2" coordorigin="2794,5576" coordsize="89,0" path="m2794,5576l2883,5576e" filled="false" stroked="true" strokeweight="4.535pt" strokecolor="#644e7f">
                <v:path arrowok="t"/>
              </v:shape>
            </v:group>
            <v:group style="position:absolute;left:3407;top:5576;width:89;height:2" coordorigin="3407,5576" coordsize="89,2">
              <v:shape style="position:absolute;left:3407;top:5576;width:89;height:2" coordorigin="3407,5576" coordsize="89,0" path="m3407,5576l3496,5576e" filled="false" stroked="true" strokeweight="4.535pt" strokecolor="#775e98">
                <v:path arrowok="t"/>
              </v:shape>
            </v:group>
            <v:group style="position:absolute;left:4021;top:5576;width:89;height:2" coordorigin="4021,5576" coordsize="89,2">
              <v:shape style="position:absolute;left:4021;top:5576;width:89;height:2" coordorigin="4021,5576" coordsize="89,0" path="m4021,5576l4109,5576e" filled="false" stroked="true" strokeweight="4.535pt" strokecolor="#9c89b3">
                <v:path arrowok="t"/>
              </v:shape>
            </v:group>
            <v:group style="position:absolute;left:4634;top:5576;width:89;height:2" coordorigin="4634,5576" coordsize="89,2">
              <v:shape style="position:absolute;left:4634;top:5576;width:89;height:2" coordorigin="4634,5576" coordsize="89,0" path="m4634,5576l4723,5576e" filled="false" stroked="true" strokeweight="4.535pt" strokecolor="#c4bad0">
                <v:path arrowok="t"/>
              </v:shape>
            </v:group>
            <v:group style="position:absolute;left:100;top:100;width:8588;height:5782" coordorigin="100,100" coordsize="8588,5782">
              <v:shape style="position:absolute;left:100;top:100;width:8588;height:5782" coordorigin="100,100" coordsize="8588,5782" path="m100,5881l8687,5881,8687,100,100,100,100,5881xe" filled="false" stroked="true" strokeweight="10pt" strokecolor="#c1b5a9">
                <v:path arrowok="t"/>
              </v:shape>
              <v:shape style="position:absolute;left:286;top:261;width:7862;height:823" type="#_x0000_t202" filled="false" stroked="false">
                <v:textbox inset="0,0,0,0">
                  <w:txbxContent>
                    <w:p>
                      <w:pPr>
                        <w:spacing w:line="172" w:lineRule="exact" w:before="0"/>
                        <w:ind w:left="0" w:right="0" w:firstLine="0"/>
                        <w:jc w:val="left"/>
                        <w:rPr>
                          <w:rFonts w:ascii="Segoe UI Semibold" w:hAnsi="Segoe UI Semibold" w:cs="Segoe UI Semibold" w:eastAsia="Segoe UI Semibold"/>
                          <w:sz w:val="16"/>
                          <w:szCs w:val="16"/>
                        </w:rPr>
                      </w:pPr>
                      <w:r>
                        <w:rPr>
                          <w:rFonts w:ascii="Segoe UI Semibold" w:hAnsi="Segoe UI Semibold" w:cs="Segoe UI Semibold" w:eastAsia="Segoe UI Semibold"/>
                          <w:b/>
                          <w:bCs/>
                          <w:color w:val="666155"/>
                          <w:spacing w:val="4"/>
                          <w:sz w:val="16"/>
                          <w:szCs w:val="16"/>
                        </w:rPr>
                        <w:t>GRAPH</w:t>
                      </w:r>
                      <w:r>
                        <w:rPr>
                          <w:rFonts w:ascii="Segoe UI Semibold" w:hAnsi="Segoe UI Semibold" w:cs="Segoe UI Semibold" w:eastAsia="Segoe UI Semibold"/>
                          <w:b/>
                          <w:bCs/>
                          <w:color w:val="666155"/>
                          <w:sz w:val="16"/>
                          <w:szCs w:val="16"/>
                        </w:rPr>
                        <w:t> 14: </w:t>
                      </w:r>
                      <w:r>
                        <w:rPr>
                          <w:rFonts w:ascii="Segoe UI Semibold" w:hAnsi="Segoe UI Semibold" w:cs="Segoe UI Semibold" w:eastAsia="Segoe UI Semibold"/>
                          <w:b/>
                          <w:bCs/>
                          <w:color w:val="666155"/>
                          <w:spacing w:val="2"/>
                          <w:sz w:val="16"/>
                          <w:szCs w:val="16"/>
                        </w:rPr>
                        <w:t>AVERAGE</w:t>
                      </w:r>
                      <w:r>
                        <w:rPr>
                          <w:rFonts w:ascii="Segoe UI Semibold" w:hAnsi="Segoe UI Semibold" w:cs="Segoe UI Semibold" w:eastAsia="Segoe UI Semibold"/>
                          <w:b/>
                          <w:bCs/>
                          <w:color w:val="666155"/>
                          <w:spacing w:val="3"/>
                          <w:sz w:val="16"/>
                          <w:szCs w:val="16"/>
                        </w:rPr>
                        <w:t> ANNUAL </w:t>
                      </w:r>
                      <w:r>
                        <w:rPr>
                          <w:rFonts w:ascii="Segoe UI Semibold" w:hAnsi="Segoe UI Semibold" w:cs="Segoe UI Semibold" w:eastAsia="Segoe UI Semibold"/>
                          <w:b/>
                          <w:bCs/>
                          <w:color w:val="666155"/>
                          <w:spacing w:val="4"/>
                          <w:sz w:val="16"/>
                          <w:szCs w:val="16"/>
                        </w:rPr>
                        <w:t>REVENUE,</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3"/>
                          <w:sz w:val="16"/>
                          <w:szCs w:val="16"/>
                        </w:rPr>
                        <w:t>COST AND </w:t>
                      </w:r>
                      <w:r>
                        <w:rPr>
                          <w:rFonts w:ascii="Segoe UI Semibold" w:hAnsi="Segoe UI Semibold" w:cs="Segoe UI Semibold" w:eastAsia="Segoe UI Semibold"/>
                          <w:b/>
                          <w:bCs/>
                          <w:color w:val="666155"/>
                          <w:spacing w:val="2"/>
                          <w:sz w:val="16"/>
                          <w:szCs w:val="16"/>
                        </w:rPr>
                        <w:t>LOSS</w:t>
                      </w:r>
                      <w:r>
                        <w:rPr>
                          <w:rFonts w:ascii="Segoe UI Semibold" w:hAnsi="Segoe UI Semibold" w:cs="Segoe UI Semibold" w:eastAsia="Segoe UI Semibold"/>
                          <w:b/>
                          <w:bCs/>
                          <w:color w:val="666155"/>
                          <w:spacing w:val="3"/>
                          <w:sz w:val="16"/>
                          <w:szCs w:val="16"/>
                        </w:rPr>
                        <w:t> PER </w:t>
                      </w:r>
                      <w:r>
                        <w:rPr>
                          <w:rFonts w:ascii="Segoe UI Semibold" w:hAnsi="Segoe UI Semibold" w:cs="Segoe UI Semibold" w:eastAsia="Segoe UI Semibold"/>
                          <w:b/>
                          <w:bCs/>
                          <w:color w:val="666155"/>
                          <w:spacing w:val="4"/>
                          <w:sz w:val="16"/>
                          <w:szCs w:val="16"/>
                        </w:rPr>
                        <w:t>BOARDER</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z w:val="16"/>
                          <w:szCs w:val="16"/>
                        </w:rPr>
                        <w:t>2015</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position w:val="1"/>
                          <w:sz w:val="16"/>
                          <w:szCs w:val="16"/>
                        </w:rPr>
                        <w:t>—</w:t>
                      </w:r>
                      <w:r>
                        <w:rPr>
                          <w:rFonts w:ascii="Segoe UI Semibold" w:hAnsi="Segoe UI Semibold" w:cs="Segoe UI Semibold" w:eastAsia="Segoe UI Semibold"/>
                          <w:b/>
                          <w:bCs/>
                          <w:color w:val="666155"/>
                          <w:spacing w:val="-2"/>
                          <w:position w:val="1"/>
                          <w:sz w:val="16"/>
                          <w:szCs w:val="16"/>
                        </w:rPr>
                        <w:t> </w:t>
                      </w:r>
                      <w:r>
                        <w:rPr>
                          <w:rFonts w:ascii="Segoe UI Semibold" w:hAnsi="Segoe UI Semibold" w:cs="Segoe UI Semibold" w:eastAsia="Segoe UI Semibold"/>
                          <w:b/>
                          <w:bCs/>
                          <w:color w:val="666155"/>
                          <w:sz w:val="16"/>
                          <w:szCs w:val="16"/>
                        </w:rPr>
                        <w:t>2017 </w:t>
                      </w:r>
                      <w:r>
                        <w:rPr>
                          <w:rFonts w:ascii="Segoe UI Semibold" w:hAnsi="Segoe UI Semibold" w:cs="Segoe UI Semibold" w:eastAsia="Segoe UI Semibold"/>
                          <w:b/>
                          <w:bCs/>
                          <w:color w:val="666155"/>
                          <w:spacing w:val="-3"/>
                          <w:sz w:val="16"/>
                          <w:szCs w:val="16"/>
                        </w:rPr>
                        <w:t>AT</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spacing w:val="4"/>
                          <w:sz w:val="16"/>
                          <w:szCs w:val="16"/>
                        </w:rPr>
                        <w:t>MAINSTREAM</w:t>
                      </w:r>
                      <w:r>
                        <w:rPr>
                          <w:rFonts w:ascii="Segoe UI Semibold" w:hAnsi="Segoe UI Semibold" w:cs="Segoe UI Semibold" w:eastAsia="Segoe UI Semibold"/>
                          <w:sz w:val="16"/>
                          <w:szCs w:val="16"/>
                        </w:rPr>
                      </w:r>
                    </w:p>
                    <w:p>
                      <w:pPr>
                        <w:spacing w:line="206" w:lineRule="exact" w:before="0"/>
                        <w:ind w:left="270" w:right="0" w:hanging="271"/>
                        <w:jc w:val="left"/>
                        <w:rPr>
                          <w:rFonts w:ascii="Segoe UI Semibold" w:hAnsi="Segoe UI Semibold" w:cs="Segoe UI Semibold" w:eastAsia="Segoe UI Semibold"/>
                          <w:sz w:val="16"/>
                          <w:szCs w:val="16"/>
                        </w:rPr>
                      </w:pPr>
                      <w:r>
                        <w:rPr>
                          <w:rFonts w:ascii="Segoe UI Semibold"/>
                          <w:b/>
                          <w:color w:val="666155"/>
                          <w:spacing w:val="4"/>
                          <w:sz w:val="16"/>
                        </w:rPr>
                        <w:t>BOARDING</w:t>
                      </w:r>
                      <w:r>
                        <w:rPr>
                          <w:rFonts w:ascii="Segoe UI Semibold"/>
                          <w:b/>
                          <w:color w:val="666155"/>
                          <w:spacing w:val="-10"/>
                          <w:sz w:val="16"/>
                        </w:rPr>
                        <w:t> </w:t>
                      </w:r>
                      <w:r>
                        <w:rPr>
                          <w:rFonts w:ascii="Segoe UI Semibold"/>
                          <w:b/>
                          <w:color w:val="666155"/>
                          <w:spacing w:val="4"/>
                          <w:sz w:val="16"/>
                        </w:rPr>
                        <w:t>PROVIDERS</w:t>
                      </w:r>
                      <w:r>
                        <w:rPr>
                          <w:rFonts w:ascii="Segoe UI Semibold"/>
                          <w:sz w:val="16"/>
                        </w:rPr>
                      </w:r>
                    </w:p>
                    <w:p>
                      <w:pPr>
                        <w:spacing w:line="240" w:lineRule="auto" w:before="7"/>
                        <w:rPr>
                          <w:rFonts w:ascii="Segoe UI Semibold" w:hAnsi="Segoe UI Semibold" w:cs="Segoe UI Semibold" w:eastAsia="Segoe UI Semibold"/>
                          <w:b/>
                          <w:bCs/>
                          <w:sz w:val="18"/>
                          <w:szCs w:val="18"/>
                        </w:rPr>
                      </w:pPr>
                    </w:p>
                    <w:p>
                      <w:pPr>
                        <w:spacing w:line="198" w:lineRule="exact" w:before="0"/>
                        <w:ind w:left="270" w:right="0" w:firstLine="0"/>
                        <w:jc w:val="left"/>
                        <w:rPr>
                          <w:rFonts w:ascii="Segoe UI" w:hAnsi="Segoe UI" w:cs="Segoe UI" w:eastAsia="Segoe UI"/>
                          <w:sz w:val="15"/>
                          <w:szCs w:val="15"/>
                        </w:rPr>
                      </w:pPr>
                      <w:r>
                        <w:rPr>
                          <w:rFonts w:ascii="Segoe UI"/>
                          <w:color w:val="77787B"/>
                          <w:spacing w:val="-1"/>
                          <w:sz w:val="15"/>
                        </w:rPr>
                        <w:t>25,000</w:t>
                      </w:r>
                      <w:r>
                        <w:rPr>
                          <w:rFonts w:ascii="Segoe UI"/>
                          <w:sz w:val="15"/>
                        </w:rPr>
                      </w:r>
                    </w:p>
                  </w:txbxContent>
                </v:textbox>
                <w10:wrap type="none"/>
              </v:shape>
              <v:shape style="position:absolute;left:556;top:1577;width:432;height:149" type="#_x0000_t202" filled="false" stroked="false">
                <v:textbox inset="0,0,0,0">
                  <w:txbxContent>
                    <w:p>
                      <w:pPr>
                        <w:spacing w:line="149" w:lineRule="exact" w:before="0"/>
                        <w:ind w:left="0" w:right="0" w:firstLine="0"/>
                        <w:jc w:val="left"/>
                        <w:rPr>
                          <w:rFonts w:ascii="Segoe UI" w:hAnsi="Segoe UI" w:cs="Segoe UI" w:eastAsia="Segoe UI"/>
                          <w:sz w:val="15"/>
                          <w:szCs w:val="15"/>
                        </w:rPr>
                      </w:pPr>
                      <w:r>
                        <w:rPr>
                          <w:rFonts w:ascii="Segoe UI"/>
                          <w:color w:val="77787B"/>
                          <w:spacing w:val="-1"/>
                          <w:sz w:val="15"/>
                        </w:rPr>
                        <w:t>20,000</w:t>
                      </w:r>
                      <w:r>
                        <w:rPr>
                          <w:rFonts w:ascii="Segoe UI"/>
                          <w:sz w:val="15"/>
                        </w:rPr>
                      </w:r>
                    </w:p>
                  </w:txbxContent>
                </v:textbox>
                <w10:wrap type="none"/>
              </v:shape>
              <v:shape style="position:absolute;left:556;top:2219;width:432;height:149" type="#_x0000_t202" filled="false" stroked="false">
                <v:textbox inset="0,0,0,0">
                  <w:txbxContent>
                    <w:p>
                      <w:pPr>
                        <w:spacing w:line="149" w:lineRule="exact" w:before="0"/>
                        <w:ind w:left="0" w:right="0" w:firstLine="0"/>
                        <w:jc w:val="left"/>
                        <w:rPr>
                          <w:rFonts w:ascii="Segoe UI" w:hAnsi="Segoe UI" w:cs="Segoe UI" w:eastAsia="Segoe UI"/>
                          <w:sz w:val="15"/>
                          <w:szCs w:val="15"/>
                        </w:rPr>
                      </w:pPr>
                      <w:r>
                        <w:rPr>
                          <w:rFonts w:ascii="Segoe UI"/>
                          <w:color w:val="77787B"/>
                          <w:spacing w:val="-1"/>
                          <w:sz w:val="15"/>
                        </w:rPr>
                        <w:t>15,000</w:t>
                      </w:r>
                      <w:r>
                        <w:rPr>
                          <w:rFonts w:ascii="Segoe UI"/>
                          <w:sz w:val="15"/>
                        </w:rPr>
                      </w:r>
                    </w:p>
                  </w:txbxContent>
                </v:textbox>
                <w10:wrap type="none"/>
              </v:shape>
              <v:shape style="position:absolute;left:556;top:2861;width:432;height:149" type="#_x0000_t202" filled="false" stroked="false">
                <v:textbox inset="0,0,0,0">
                  <w:txbxContent>
                    <w:p>
                      <w:pPr>
                        <w:spacing w:line="149" w:lineRule="exact" w:before="0"/>
                        <w:ind w:left="0" w:right="0" w:firstLine="0"/>
                        <w:jc w:val="left"/>
                        <w:rPr>
                          <w:rFonts w:ascii="Segoe UI" w:hAnsi="Segoe UI" w:cs="Segoe UI" w:eastAsia="Segoe UI"/>
                          <w:sz w:val="15"/>
                          <w:szCs w:val="15"/>
                        </w:rPr>
                      </w:pPr>
                      <w:r>
                        <w:rPr>
                          <w:rFonts w:ascii="Segoe UI"/>
                          <w:color w:val="77787B"/>
                          <w:spacing w:val="-1"/>
                          <w:sz w:val="15"/>
                        </w:rPr>
                        <w:t>10,000</w:t>
                      </w:r>
                      <w:r>
                        <w:rPr>
                          <w:rFonts w:ascii="Segoe UI"/>
                          <w:sz w:val="15"/>
                        </w:rPr>
                      </w:r>
                    </w:p>
                  </w:txbxContent>
                </v:textbox>
                <w10:wrap type="none"/>
              </v:shape>
              <v:shape style="position:absolute;left:636;top:3502;width:352;height:149" type="#_x0000_t202" filled="false" stroked="false">
                <v:textbox inset="0,0,0,0">
                  <w:txbxContent>
                    <w:p>
                      <w:pPr>
                        <w:spacing w:line="149" w:lineRule="exact" w:before="0"/>
                        <w:ind w:left="0" w:right="0" w:firstLine="0"/>
                        <w:jc w:val="left"/>
                        <w:rPr>
                          <w:rFonts w:ascii="Segoe UI" w:hAnsi="Segoe UI" w:cs="Segoe UI" w:eastAsia="Segoe UI"/>
                          <w:sz w:val="15"/>
                          <w:szCs w:val="15"/>
                        </w:rPr>
                      </w:pPr>
                      <w:r>
                        <w:rPr>
                          <w:rFonts w:ascii="Segoe UI"/>
                          <w:color w:val="77787B"/>
                          <w:spacing w:val="-1"/>
                          <w:sz w:val="15"/>
                        </w:rPr>
                        <w:t>5,000</w:t>
                      </w:r>
                      <w:r>
                        <w:rPr>
                          <w:rFonts w:ascii="Segoe UI"/>
                          <w:sz w:val="15"/>
                        </w:rPr>
                      </w:r>
                    </w:p>
                  </w:txbxContent>
                </v:textbox>
                <w10:wrap type="none"/>
              </v:shape>
              <v:shape style="position:absolute;left:908;top:4144;width:81;height:149" type="#_x0000_t202" filled="false" stroked="false">
                <v:textbox inset="0,0,0,0">
                  <w:txbxContent>
                    <w:p>
                      <w:pPr>
                        <w:spacing w:line="149" w:lineRule="exact" w:before="0"/>
                        <w:ind w:left="0" w:right="0" w:firstLine="0"/>
                        <w:jc w:val="left"/>
                        <w:rPr>
                          <w:rFonts w:ascii="Segoe UI" w:hAnsi="Segoe UI" w:cs="Segoe UI" w:eastAsia="Segoe UI"/>
                          <w:sz w:val="15"/>
                          <w:szCs w:val="15"/>
                        </w:rPr>
                      </w:pPr>
                      <w:r>
                        <w:rPr>
                          <w:rFonts w:ascii="Segoe UI"/>
                          <w:color w:val="77787B"/>
                          <w:w w:val="95"/>
                          <w:sz w:val="15"/>
                        </w:rPr>
                        <w:t>0</w:t>
                      </w:r>
                      <w:r>
                        <w:rPr>
                          <w:rFonts w:ascii="Segoe UI"/>
                          <w:sz w:val="15"/>
                        </w:rPr>
                      </w:r>
                    </w:p>
                  </w:txbxContent>
                </v:textbox>
                <w10:wrap type="none"/>
              </v:shape>
              <v:shape style="position:absolute;left:547;top:4786;width:441;height:149" type="#_x0000_t202" filled="false" stroked="false">
                <v:textbox inset="0,0,0,0">
                  <w:txbxContent>
                    <w:p>
                      <w:pPr>
                        <w:spacing w:line="149" w:lineRule="exact" w:before="0"/>
                        <w:ind w:left="0" w:right="0" w:firstLine="0"/>
                        <w:jc w:val="left"/>
                        <w:rPr>
                          <w:rFonts w:ascii="Segoe UI" w:hAnsi="Segoe UI" w:cs="Segoe UI" w:eastAsia="Segoe UI"/>
                          <w:sz w:val="15"/>
                          <w:szCs w:val="15"/>
                        </w:rPr>
                      </w:pPr>
                      <w:r>
                        <w:rPr>
                          <w:rFonts w:ascii="Segoe UI"/>
                          <w:color w:val="77787B"/>
                          <w:spacing w:val="-1"/>
                          <w:w w:val="95"/>
                          <w:sz w:val="15"/>
                        </w:rPr>
                        <w:t>(5,000)</w:t>
                      </w:r>
                      <w:r>
                        <w:rPr>
                          <w:rFonts w:ascii="Segoe UI"/>
                          <w:sz w:val="15"/>
                        </w:rPr>
                      </w:r>
                    </w:p>
                  </w:txbxContent>
                </v:textbox>
                <w10:wrap type="none"/>
              </v:shape>
              <v:shape style="position:absolute;left:1391;top:5004;width:1916;height:149" type="#_x0000_t202" filled="false" stroked="false">
                <v:textbox inset="0,0,0,0">
                  <w:txbxContent>
                    <w:p>
                      <w:pPr>
                        <w:spacing w:line="149" w:lineRule="exact" w:before="0"/>
                        <w:ind w:left="0" w:right="0" w:firstLine="0"/>
                        <w:jc w:val="left"/>
                        <w:rPr>
                          <w:rFonts w:ascii="Segoe UI" w:hAnsi="Segoe UI" w:cs="Segoe UI" w:eastAsia="Segoe UI"/>
                          <w:sz w:val="15"/>
                          <w:szCs w:val="15"/>
                        </w:rPr>
                      </w:pPr>
                      <w:r>
                        <w:rPr>
                          <w:rFonts w:ascii="Segoe UI"/>
                          <w:color w:val="77787B"/>
                          <w:spacing w:val="-1"/>
                          <w:sz w:val="15"/>
                        </w:rPr>
                        <w:t>Average</w:t>
                      </w:r>
                      <w:r>
                        <w:rPr>
                          <w:rFonts w:ascii="Segoe UI"/>
                          <w:color w:val="77787B"/>
                          <w:spacing w:val="-8"/>
                          <w:sz w:val="15"/>
                        </w:rPr>
                        <w:t> </w:t>
                      </w:r>
                      <w:r>
                        <w:rPr>
                          <w:rFonts w:ascii="Segoe UI"/>
                          <w:color w:val="77787B"/>
                          <w:spacing w:val="-1"/>
                          <w:sz w:val="15"/>
                        </w:rPr>
                        <w:t>revenue</w:t>
                      </w:r>
                      <w:r>
                        <w:rPr>
                          <w:rFonts w:ascii="Segoe UI"/>
                          <w:color w:val="77787B"/>
                          <w:spacing w:val="-9"/>
                          <w:sz w:val="15"/>
                        </w:rPr>
                        <w:t> </w:t>
                      </w:r>
                      <w:r>
                        <w:rPr>
                          <w:rFonts w:ascii="Segoe UI"/>
                          <w:color w:val="77787B"/>
                          <w:spacing w:val="-1"/>
                          <w:sz w:val="15"/>
                        </w:rPr>
                        <w:t>per</w:t>
                      </w:r>
                      <w:r>
                        <w:rPr>
                          <w:rFonts w:ascii="Segoe UI"/>
                          <w:color w:val="77787B"/>
                          <w:spacing w:val="-8"/>
                          <w:sz w:val="15"/>
                        </w:rPr>
                        <w:t> </w:t>
                      </w:r>
                      <w:r>
                        <w:rPr>
                          <w:rFonts w:ascii="Segoe UI"/>
                          <w:color w:val="77787B"/>
                          <w:spacing w:val="-1"/>
                          <w:sz w:val="15"/>
                        </w:rPr>
                        <w:t>boarder</w:t>
                      </w:r>
                      <w:r>
                        <w:rPr>
                          <w:rFonts w:ascii="Segoe UI"/>
                          <w:sz w:val="15"/>
                        </w:rPr>
                      </w:r>
                    </w:p>
                  </w:txbxContent>
                </v:textbox>
                <w10:wrap type="none"/>
              </v:shape>
              <v:shape style="position:absolute;left:3934;top:5004;width:1661;height:149" type="#_x0000_t202" filled="false" stroked="false">
                <v:textbox inset="0,0,0,0">
                  <w:txbxContent>
                    <w:p>
                      <w:pPr>
                        <w:spacing w:line="149" w:lineRule="exact" w:before="0"/>
                        <w:ind w:left="0" w:right="0" w:firstLine="0"/>
                        <w:jc w:val="left"/>
                        <w:rPr>
                          <w:rFonts w:ascii="Segoe UI" w:hAnsi="Segoe UI" w:cs="Segoe UI" w:eastAsia="Segoe UI"/>
                          <w:sz w:val="15"/>
                          <w:szCs w:val="15"/>
                        </w:rPr>
                      </w:pPr>
                      <w:r>
                        <w:rPr>
                          <w:rFonts w:ascii="Segoe UI"/>
                          <w:color w:val="77787B"/>
                          <w:spacing w:val="-1"/>
                          <w:sz w:val="15"/>
                        </w:rPr>
                        <w:t>Average</w:t>
                      </w:r>
                      <w:r>
                        <w:rPr>
                          <w:rFonts w:ascii="Segoe UI"/>
                          <w:color w:val="77787B"/>
                          <w:spacing w:val="-7"/>
                          <w:sz w:val="15"/>
                        </w:rPr>
                        <w:t> </w:t>
                      </w:r>
                      <w:r>
                        <w:rPr>
                          <w:rFonts w:ascii="Segoe UI"/>
                          <w:color w:val="77787B"/>
                          <w:spacing w:val="-1"/>
                          <w:sz w:val="15"/>
                        </w:rPr>
                        <w:t>cost</w:t>
                      </w:r>
                      <w:r>
                        <w:rPr>
                          <w:rFonts w:ascii="Segoe UI"/>
                          <w:color w:val="77787B"/>
                          <w:spacing w:val="-6"/>
                          <w:sz w:val="15"/>
                        </w:rPr>
                        <w:t> </w:t>
                      </w:r>
                      <w:r>
                        <w:rPr>
                          <w:rFonts w:ascii="Segoe UI"/>
                          <w:color w:val="77787B"/>
                          <w:spacing w:val="-1"/>
                          <w:sz w:val="15"/>
                        </w:rPr>
                        <w:t>per</w:t>
                      </w:r>
                      <w:r>
                        <w:rPr>
                          <w:rFonts w:ascii="Segoe UI"/>
                          <w:color w:val="77787B"/>
                          <w:spacing w:val="-6"/>
                          <w:sz w:val="15"/>
                        </w:rPr>
                        <w:t> </w:t>
                      </w:r>
                      <w:r>
                        <w:rPr>
                          <w:rFonts w:ascii="Segoe UI"/>
                          <w:color w:val="77787B"/>
                          <w:spacing w:val="-1"/>
                          <w:sz w:val="15"/>
                        </w:rPr>
                        <w:t>boarder</w:t>
                      </w:r>
                      <w:r>
                        <w:rPr>
                          <w:rFonts w:ascii="Segoe UI"/>
                          <w:sz w:val="15"/>
                        </w:rPr>
                      </w:r>
                    </w:p>
                  </w:txbxContent>
                </v:textbox>
                <w10:wrap type="none"/>
              </v:shape>
              <v:shape style="position:absolute;left:6011;top:5004;width:2339;height:149" type="#_x0000_t202" filled="false" stroked="false">
                <v:textbox inset="0,0,0,0">
                  <w:txbxContent>
                    <w:p>
                      <w:pPr>
                        <w:spacing w:line="149" w:lineRule="exact" w:before="0"/>
                        <w:ind w:left="0" w:right="0" w:firstLine="0"/>
                        <w:jc w:val="left"/>
                        <w:rPr>
                          <w:rFonts w:ascii="Segoe UI" w:hAnsi="Segoe UI" w:cs="Segoe UI" w:eastAsia="Segoe UI"/>
                          <w:sz w:val="15"/>
                          <w:szCs w:val="15"/>
                        </w:rPr>
                      </w:pPr>
                      <w:r>
                        <w:rPr>
                          <w:rFonts w:ascii="Segoe UI"/>
                          <w:color w:val="77787B"/>
                          <w:spacing w:val="-1"/>
                          <w:sz w:val="15"/>
                        </w:rPr>
                        <w:t>Average</w:t>
                      </w:r>
                      <w:r>
                        <w:rPr>
                          <w:rFonts w:ascii="Segoe UI"/>
                          <w:color w:val="77787B"/>
                          <w:spacing w:val="-6"/>
                          <w:sz w:val="15"/>
                        </w:rPr>
                        <w:t> </w:t>
                      </w:r>
                      <w:r>
                        <w:rPr>
                          <w:rFonts w:ascii="Segoe UI"/>
                          <w:color w:val="77787B"/>
                          <w:spacing w:val="-1"/>
                          <w:sz w:val="15"/>
                        </w:rPr>
                        <w:t>surplus</w:t>
                      </w:r>
                      <w:r>
                        <w:rPr>
                          <w:rFonts w:ascii="Segoe UI"/>
                          <w:color w:val="77787B"/>
                          <w:spacing w:val="-6"/>
                          <w:sz w:val="15"/>
                        </w:rPr>
                        <w:t> </w:t>
                      </w:r>
                      <w:r>
                        <w:rPr>
                          <w:rFonts w:ascii="Segoe UI"/>
                          <w:color w:val="77787B"/>
                          <w:sz w:val="15"/>
                        </w:rPr>
                        <w:t>/</w:t>
                      </w:r>
                      <w:r>
                        <w:rPr>
                          <w:rFonts w:ascii="Segoe UI"/>
                          <w:color w:val="77787B"/>
                          <w:spacing w:val="-6"/>
                          <w:sz w:val="15"/>
                        </w:rPr>
                        <w:t> </w:t>
                      </w:r>
                      <w:r>
                        <w:rPr>
                          <w:rFonts w:ascii="Segoe UI"/>
                          <w:color w:val="77787B"/>
                          <w:spacing w:val="-1"/>
                          <w:sz w:val="15"/>
                        </w:rPr>
                        <w:t>(loss)</w:t>
                      </w:r>
                      <w:r>
                        <w:rPr>
                          <w:rFonts w:ascii="Segoe UI"/>
                          <w:color w:val="77787B"/>
                          <w:spacing w:val="-5"/>
                          <w:sz w:val="15"/>
                        </w:rPr>
                        <w:t> </w:t>
                      </w:r>
                      <w:r>
                        <w:rPr>
                          <w:rFonts w:ascii="Segoe UI"/>
                          <w:color w:val="77787B"/>
                          <w:spacing w:val="-1"/>
                          <w:sz w:val="15"/>
                        </w:rPr>
                        <w:t>per</w:t>
                      </w:r>
                      <w:r>
                        <w:rPr>
                          <w:rFonts w:ascii="Segoe UI"/>
                          <w:color w:val="77787B"/>
                          <w:spacing w:val="-6"/>
                          <w:sz w:val="15"/>
                        </w:rPr>
                        <w:t> </w:t>
                      </w:r>
                      <w:r>
                        <w:rPr>
                          <w:rFonts w:ascii="Segoe UI"/>
                          <w:color w:val="77787B"/>
                          <w:spacing w:val="-1"/>
                          <w:sz w:val="15"/>
                        </w:rPr>
                        <w:t>boarder</w:t>
                      </w:r>
                      <w:r>
                        <w:rPr>
                          <w:rFonts w:ascii="Segoe UI"/>
                          <w:sz w:val="15"/>
                        </w:rPr>
                      </w:r>
                    </w:p>
                  </w:txbxContent>
                </v:textbox>
                <w10:wrap type="none"/>
              </v:shape>
              <v:shape style="position:absolute;left:2920;top:5513;width:3082;height:149" type="#_x0000_t202" filled="false" stroked="false">
                <v:textbox inset="0,0,0,0">
                  <w:txbxContent>
                    <w:p>
                      <w:pPr>
                        <w:tabs>
                          <w:tab w:pos="613" w:val="left" w:leader="none"/>
                          <w:tab w:pos="1226" w:val="left" w:leader="none"/>
                          <w:tab w:pos="1839" w:val="left" w:leader="none"/>
                        </w:tabs>
                        <w:spacing w:line="149" w:lineRule="exact" w:before="0"/>
                        <w:ind w:left="0" w:right="0" w:firstLine="0"/>
                        <w:jc w:val="left"/>
                        <w:rPr>
                          <w:rFonts w:ascii="Segoe UI" w:hAnsi="Segoe UI" w:cs="Segoe UI" w:eastAsia="Segoe UI"/>
                          <w:sz w:val="15"/>
                          <w:szCs w:val="15"/>
                        </w:rPr>
                      </w:pPr>
                      <w:r>
                        <w:rPr>
                          <w:rFonts w:ascii="Segoe UI"/>
                          <w:color w:val="77787B"/>
                          <w:spacing w:val="-1"/>
                          <w:w w:val="95"/>
                          <w:sz w:val="15"/>
                        </w:rPr>
                        <w:t>2015</w:t>
                        <w:tab/>
                        <w:t>2016</w:t>
                        <w:tab/>
                        <w:t>2017</w:t>
                        <w:tab/>
                      </w:r>
                      <w:r>
                        <w:rPr>
                          <w:rFonts w:ascii="Segoe UI"/>
                          <w:color w:val="77787B"/>
                          <w:spacing w:val="-1"/>
                          <w:sz w:val="15"/>
                        </w:rPr>
                        <w:t>Three</w:t>
                      </w:r>
                      <w:r>
                        <w:rPr>
                          <w:rFonts w:ascii="Segoe UI"/>
                          <w:color w:val="77787B"/>
                          <w:spacing w:val="-7"/>
                          <w:sz w:val="15"/>
                        </w:rPr>
                        <w:t> </w:t>
                      </w:r>
                      <w:r>
                        <w:rPr>
                          <w:rFonts w:ascii="Segoe UI"/>
                          <w:color w:val="77787B"/>
                          <w:spacing w:val="-1"/>
                          <w:sz w:val="15"/>
                        </w:rPr>
                        <w:t>year</w:t>
                      </w:r>
                      <w:r>
                        <w:rPr>
                          <w:rFonts w:ascii="Segoe UI"/>
                          <w:color w:val="77787B"/>
                          <w:spacing w:val="-7"/>
                          <w:sz w:val="15"/>
                        </w:rPr>
                        <w:t> </w:t>
                      </w:r>
                      <w:r>
                        <w:rPr>
                          <w:rFonts w:ascii="Segoe UI"/>
                          <w:color w:val="77787B"/>
                          <w:spacing w:val="-1"/>
                          <w:sz w:val="15"/>
                        </w:rPr>
                        <w:t>average</w:t>
                      </w:r>
                      <w:r>
                        <w:rPr>
                          <w:rFonts w:ascii="Segoe UI"/>
                          <w:sz w:val="15"/>
                        </w:rPr>
                      </w:r>
                    </w:p>
                  </w:txbxContent>
                </v:textbox>
                <w10:wrap type="none"/>
              </v:shape>
            </v:group>
          </v:group>
        </w:pict>
      </w:r>
      <w:r>
        <w:rPr>
          <w:rFonts w:ascii="Segoe UI Semibold" w:hAnsi="Segoe UI Semibold" w:cs="Segoe UI Semibold" w:eastAsia="Segoe UI Semibold"/>
          <w:sz w:val="20"/>
          <w:szCs w:val="20"/>
        </w:rPr>
      </w:r>
    </w:p>
    <w:p>
      <w:pPr>
        <w:spacing w:after="0" w:line="200" w:lineRule="atLeast"/>
        <w:rPr>
          <w:rFonts w:ascii="Segoe UI Semibold" w:hAnsi="Segoe UI Semibold" w:cs="Segoe UI Semibold" w:eastAsia="Segoe UI Semibold"/>
          <w:sz w:val="20"/>
          <w:szCs w:val="20"/>
        </w:rPr>
        <w:sectPr>
          <w:footerReference w:type="even" r:id="rId75"/>
          <w:footerReference w:type="default" r:id="rId76"/>
          <w:pgSz w:w="11910" w:h="16840"/>
          <w:pgMar w:footer="691" w:header="0" w:top="1580" w:bottom="880" w:left="1300" w:right="1600"/>
        </w:sectPr>
      </w:pPr>
    </w:p>
    <w:p>
      <w:pPr>
        <w:spacing w:line="240" w:lineRule="auto" w:before="5"/>
        <w:rPr>
          <w:rFonts w:ascii="Times New Roman" w:hAnsi="Times New Roman" w:cs="Times New Roman" w:eastAsia="Times New Roman"/>
          <w:sz w:val="17"/>
          <w:szCs w:val="17"/>
        </w:rPr>
      </w:pPr>
      <w:r>
        <w:rPr/>
        <w:pict>
          <v:group style="position:absolute;margin-left:85.039001pt;margin-top:393.024017pt;width:439.4pt;height:269.3pt;mso-position-horizontal-relative:page;mso-position-vertical-relative:page;z-index:6160" coordorigin="1701,7860" coordsize="8788,5386">
            <v:group style="position:absolute;left:2874;top:12227;width:7068;height:2" coordorigin="2874,12227" coordsize="7068,2">
              <v:shape style="position:absolute;left:2874;top:12227;width:7068;height:2" coordorigin="2874,12227" coordsize="7068,0" path="m2874,12227l9942,12227e" filled="false" stroked="true" strokeweight=".719pt" strokecolor="#dcddde">
                <v:path arrowok="t"/>
              </v:shape>
            </v:group>
            <v:group style="position:absolute;left:9364;top:11733;width:578;height:2" coordorigin="9364,11733" coordsize="578,2">
              <v:shape style="position:absolute;left:9364;top:11733;width:578;height:2" coordorigin="9364,11733" coordsize="578,0" path="m9364,11733l9942,11733e" filled="false" stroked="true" strokeweight=".719pt" strokecolor="#dcddde">
                <v:path arrowok="t"/>
              </v:shape>
            </v:group>
            <v:group style="position:absolute;left:2874;top:11733;width:5963;height:2" coordorigin="2874,11733" coordsize="5963,2">
              <v:shape style="position:absolute;left:2874;top:11733;width:5963;height:2" coordorigin="2874,11733" coordsize="5963,0" path="m2874,11733l8837,11733e" filled="false" stroked="true" strokeweight=".719pt" strokecolor="#dcddde">
                <v:path arrowok="t"/>
              </v:shape>
            </v:group>
            <v:group style="position:absolute;left:7007;top:10747;width:2936;height:2" coordorigin="7007,10747" coordsize="2936,2">
              <v:shape style="position:absolute;left:7007;top:10747;width:2936;height:2" coordorigin="7007,10747" coordsize="2936,0" path="m7007,10747l9942,10747e" filled="false" stroked="true" strokeweight=".719pt" strokecolor="#dcddde">
                <v:path arrowok="t"/>
              </v:shape>
            </v:group>
            <v:group style="position:absolute;left:6337;top:10747;width:143;height:2" coordorigin="6337,10747" coordsize="143,2">
              <v:shape style="position:absolute;left:6337;top:10747;width:143;height:2" coordorigin="6337,10747" coordsize="143,0" path="m6337,10747l6480,10747e" filled="false" stroked="true" strokeweight=".719pt" strokecolor="#dcddde">
                <v:path arrowok="t"/>
              </v:shape>
            </v:group>
            <v:group style="position:absolute;left:4652;top:10747;width:1158;height:2" coordorigin="4652,10747" coordsize="1158,2">
              <v:shape style="position:absolute;left:4652;top:10747;width:1158;height:2" coordorigin="4652,10747" coordsize="1158,0" path="m4652,10747l5810,10747e" filled="false" stroked="true" strokeweight=".719pt" strokecolor="#dcddde">
                <v:path arrowok="t"/>
              </v:shape>
            </v:group>
            <v:group style="position:absolute;left:6337;top:10252;width:143;height:2" coordorigin="6337,10252" coordsize="143,2">
              <v:shape style="position:absolute;left:6337;top:10252;width:143;height:2" coordorigin="6337,10252" coordsize="143,0" path="m6337,10252l6480,10252e" filled="false" stroked="true" strokeweight=".719pt" strokecolor="#dcddde">
                <v:path arrowok="t"/>
              </v:shape>
            </v:group>
            <v:group style="position:absolute;left:4652;top:10252;width:1158;height:2" coordorigin="4652,10252" coordsize="1158,2">
              <v:shape style="position:absolute;left:4652;top:10252;width:1158;height:2" coordorigin="4652,10252" coordsize="1158,0" path="m4652,10252l5810,10252e" filled="false" stroked="true" strokeweight=".719pt" strokecolor="#dcddde">
                <v:path arrowok="t"/>
              </v:shape>
            </v:group>
            <v:group style="position:absolute;left:6337;top:9760;width:143;height:2" coordorigin="6337,9760" coordsize="143,2">
              <v:shape style="position:absolute;left:6337;top:9760;width:143;height:2" coordorigin="6337,9760" coordsize="143,0" path="m6337,9760l6480,9760e" filled="false" stroked="true" strokeweight=".719pt" strokecolor="#dcddde">
                <v:path arrowok="t"/>
              </v:shape>
            </v:group>
            <v:group style="position:absolute;left:4652;top:9760;width:1158;height:2" coordorigin="4652,9760" coordsize="1158,2">
              <v:shape style="position:absolute;left:4652;top:9760;width:1158;height:2" coordorigin="4652,9760" coordsize="1158,0" path="m4652,9760l5810,9760e" filled="false" stroked="true" strokeweight=".719pt" strokecolor="#dcddde">
                <v:path arrowok="t"/>
              </v:shape>
            </v:group>
            <v:group style="position:absolute;left:2874;top:9267;width:3606;height:2" coordorigin="2874,9267" coordsize="3606,2">
              <v:shape style="position:absolute;left:2874;top:9267;width:3606;height:2" coordorigin="2874,9267" coordsize="3606,0" path="m2874,9267l6480,9267e" filled="false" stroked="true" strokeweight=".719pt" strokecolor="#dcddde">
                <v:path arrowok="t"/>
              </v:shape>
            </v:group>
            <v:group style="position:absolute;left:5810;top:9327;width:528;height:1913" coordorigin="5810,9327" coordsize="528,1913">
              <v:shape style="position:absolute;left:5810;top:9327;width:528;height:1913" coordorigin="5810,9327" coordsize="528,1913" path="m6337,9327l5810,9327,5810,11240,6337,11240,6337,9327xe" filled="true" fillcolor="#715990" stroked="false">
                <v:path arrowok="t"/>
                <v:fill type="solid"/>
              </v:shape>
            </v:group>
            <v:group style="position:absolute;left:3980;top:10747;width:143;height:2" coordorigin="3980,10747" coordsize="143,2">
              <v:shape style="position:absolute;left:3980;top:10747;width:143;height:2" coordorigin="3980,10747" coordsize="143,0" path="m3980,10747l4123,10747e" filled="false" stroked="true" strokeweight=".719pt" strokecolor="#dcddde">
                <v:path arrowok="t"/>
              </v:shape>
            </v:group>
            <v:group style="position:absolute;left:2874;top:10747;width:579;height:2" coordorigin="2874,10747" coordsize="579,2">
              <v:shape style="position:absolute;left:2874;top:10747;width:579;height:2" coordorigin="2874,10747" coordsize="579,0" path="m2874,10747l3453,10747e" filled="false" stroked="true" strokeweight=".719pt" strokecolor="#dcddde">
                <v:path arrowok="t"/>
              </v:shape>
            </v:group>
            <v:group style="position:absolute;left:3980;top:10252;width:143;height:2" coordorigin="3980,10252" coordsize="143,2">
              <v:shape style="position:absolute;left:3980;top:10252;width:143;height:2" coordorigin="3980,10252" coordsize="143,0" path="m3980,10252l4123,10252e" filled="false" stroked="true" strokeweight=".719pt" strokecolor="#dcddde">
                <v:path arrowok="t"/>
              </v:shape>
            </v:group>
            <v:group style="position:absolute;left:2874;top:10252;width:579;height:2" coordorigin="2874,10252" coordsize="579,2">
              <v:shape style="position:absolute;left:2874;top:10252;width:579;height:2" coordorigin="2874,10252" coordsize="579,0" path="m2874,10252l3453,10252e" filled="false" stroked="true" strokeweight=".719pt" strokecolor="#dcddde">
                <v:path arrowok="t"/>
              </v:shape>
            </v:group>
            <v:group style="position:absolute;left:3980;top:9760;width:143;height:2" coordorigin="3980,9760" coordsize="143,2">
              <v:shape style="position:absolute;left:3980;top:9760;width:143;height:2" coordorigin="3980,9760" coordsize="143,0" path="m3980,9760l4123,9760e" filled="false" stroked="true" strokeweight=".719pt" strokecolor="#dcddde">
                <v:path arrowok="t"/>
              </v:shape>
            </v:group>
            <v:group style="position:absolute;left:2874;top:9760;width:579;height:2" coordorigin="2874,9760" coordsize="579,2">
              <v:shape style="position:absolute;left:2874;top:9760;width:579;height:2" coordorigin="2874,9760" coordsize="579,0" path="m2874,9760l3453,9760e" filled="false" stroked="true" strokeweight=".719pt" strokecolor="#dcddde">
                <v:path arrowok="t"/>
              </v:shape>
            </v:group>
            <v:group style="position:absolute;left:3453;top:9523;width:528;height:1718" coordorigin="3453,9523" coordsize="528,1718">
              <v:shape style="position:absolute;left:3453;top:9523;width:528;height:1718" coordorigin="3453,9523" coordsize="528,1718" path="m3980,9523l3453,9523,3453,11240,3980,11240,3980,9523xe" filled="true" fillcolor="#715990" stroked="false">
                <v:path arrowok="t"/>
                <v:fill type="solid"/>
              </v:shape>
            </v:group>
            <v:group style="position:absolute;left:4123;top:9594;width:530;height:1646" coordorigin="4123,9594" coordsize="530,1646">
              <v:shape style="position:absolute;left:4123;top:9594;width:530;height:1646" coordorigin="4123,9594" coordsize="530,1646" path="m4652,9594l4123,9594,4123,11240,4652,11240,4652,9594xe" filled="true" fillcolor="#a99bbc" stroked="false">
                <v:path arrowok="t"/>
                <v:fill type="solid"/>
              </v:shape>
            </v:group>
            <v:group style="position:absolute;left:7007;top:10252;width:2936;height:2" coordorigin="7007,10252" coordsize="2936,2">
              <v:shape style="position:absolute;left:7007;top:10252;width:2936;height:2" coordorigin="7007,10252" coordsize="2936,0" path="m7007,10252l9942,10252e" filled="false" stroked="true" strokeweight=".719pt" strokecolor="#dcddde">
                <v:path arrowok="t"/>
              </v:shape>
            </v:group>
            <v:group style="position:absolute;left:7007;top:9760;width:2936;height:2" coordorigin="7007,9760" coordsize="2936,2">
              <v:shape style="position:absolute;left:7007;top:9760;width:2936;height:2" coordorigin="7007,9760" coordsize="2936,0" path="m7007,9760l9942,9760e" filled="false" stroked="true" strokeweight=".719pt" strokecolor="#dcddde">
                <v:path arrowok="t"/>
              </v:shape>
            </v:group>
            <v:group style="position:absolute;left:7007;top:9267;width:2936;height:2" coordorigin="7007,9267" coordsize="2936,2">
              <v:shape style="position:absolute;left:7007;top:9267;width:2936;height:2" coordorigin="7007,9267" coordsize="2936,0" path="m7007,9267l9942,9267e" filled="false" stroked="true" strokeweight=".719pt" strokecolor="#dcddde">
                <v:path arrowok="t"/>
              </v:shape>
            </v:group>
            <v:group style="position:absolute;left:6480;top:8977;width:528;height:2263" coordorigin="6480,8977" coordsize="528,2263">
              <v:shape style="position:absolute;left:6480;top:8977;width:528;height:2263" coordorigin="6480,8977" coordsize="528,2263" path="m7007,8977l6480,8977,6480,11240,7007,11240,7007,8977xe" filled="true" fillcolor="#a99bbc" stroked="false">
                <v:path arrowok="t"/>
                <v:fill type="solid"/>
              </v:shape>
            </v:group>
            <v:group style="position:absolute;left:8837;top:11240;width:528;height:617" coordorigin="8837,11240" coordsize="528,617">
              <v:shape style="position:absolute;left:8837;top:11240;width:528;height:617" coordorigin="8837,11240" coordsize="528,617" path="m9364,11240l8837,11240,8837,11857,9364,11857,9364,11240xe" filled="true" fillcolor="#a99bbc" stroked="false">
                <v:path arrowok="t"/>
                <v:fill type="solid"/>
              </v:shape>
            </v:group>
            <v:group style="position:absolute;left:8165;top:11240;width:530;height:196" coordorigin="8165,11240" coordsize="530,196">
              <v:shape style="position:absolute;left:8165;top:11240;width:530;height:196" coordorigin="8165,11240" coordsize="530,196" path="m8695,11240l8165,11240,8165,11436,8695,11436,8695,11240xe" filled="true" fillcolor="#715990" stroked="false">
                <v:path arrowok="t"/>
                <v:fill type="solid"/>
              </v:shape>
            </v:group>
            <v:group style="position:absolute;left:2874;top:11240;width:7068;height:2" coordorigin="2874,11240" coordsize="7068,2">
              <v:shape style="position:absolute;left:2874;top:11240;width:7068;height:2" coordorigin="2874,11240" coordsize="7068,0" path="m2874,11240l9942,11240e" filled="false" stroked="true" strokeweight=".719pt" strokecolor="#dcddde">
                <v:path arrowok="t"/>
              </v:shape>
            </v:group>
            <v:group style="position:absolute;left:2874;top:8773;width:7068;height:2" coordorigin="2874,8773" coordsize="7068,2">
              <v:shape style="position:absolute;left:2874;top:8773;width:7068;height:2" coordorigin="2874,8773" coordsize="7068,0" path="m2874,8773l9942,8773e" filled="false" stroked="true" strokeweight=".719pt" strokecolor="#dcddde">
                <v:path arrowok="t"/>
              </v:shape>
            </v:group>
            <v:group style="position:absolute;left:4113;top:12750;width:92;height:92" coordorigin="4113,12750" coordsize="92,92">
              <v:shape style="position:absolute;left:4113;top:12750;width:92;height:92" coordorigin="4113,12750" coordsize="92,92" path="m4113,12750l4204,12750,4204,12842,4113,12842,4113,12750xe" filled="true" fillcolor="#715990" stroked="false">
                <v:path arrowok="t"/>
                <v:fill type="solid"/>
              </v:shape>
            </v:group>
            <v:group style="position:absolute;left:5337;top:12750;width:92;height:92" coordorigin="5337,12750" coordsize="92,92">
              <v:shape style="position:absolute;left:5337;top:12750;width:92;height:92" coordorigin="5337,12750" coordsize="92,92" path="m5337,12750l5429,12750,5429,12842,5337,12842,5337,12750xe" filled="true" fillcolor="#a99bbc" stroked="false">
                <v:path arrowok="t"/>
                <v:fill type="solid"/>
              </v:shape>
            </v:group>
            <v:group style="position:absolute;left:1801;top:7960;width:8588;height:5186" coordorigin="1801,7960" coordsize="8588,5186">
              <v:shape style="position:absolute;left:1801;top:7960;width:8588;height:5186" coordorigin="1801,7960" coordsize="8588,5186" path="m1801,13146l10388,13146,10388,7960,1801,7960,1801,13146xe" filled="false" stroked="true" strokeweight="10pt" strokecolor="#c1b5a9">
                <v:path arrowok="t"/>
              </v:shape>
              <v:shape style="position:absolute;left:1984;top:8122;width:7942;height:4419" type="#_x0000_t202" filled="false" stroked="false">
                <v:textbox inset="0,0,0,0">
                  <w:txbxContent>
                    <w:p>
                      <w:pPr>
                        <w:spacing w:line="167" w:lineRule="exact" w:before="0"/>
                        <w:ind w:left="0" w:right="0" w:firstLine="2"/>
                        <w:jc w:val="left"/>
                        <w:rPr>
                          <w:rFonts w:ascii="Segoe UI Semibold" w:hAnsi="Segoe UI Semibold" w:cs="Segoe UI Semibold" w:eastAsia="Segoe UI Semibold"/>
                          <w:sz w:val="16"/>
                          <w:szCs w:val="16"/>
                        </w:rPr>
                      </w:pPr>
                      <w:r>
                        <w:rPr>
                          <w:rFonts w:ascii="Segoe UI Semibold"/>
                          <w:b/>
                          <w:color w:val="666155"/>
                          <w:spacing w:val="4"/>
                          <w:sz w:val="16"/>
                        </w:rPr>
                        <w:t>GRAPH</w:t>
                      </w:r>
                      <w:r>
                        <w:rPr>
                          <w:rFonts w:ascii="Segoe UI Semibold"/>
                          <w:b/>
                          <w:color w:val="666155"/>
                          <w:spacing w:val="-1"/>
                          <w:sz w:val="16"/>
                        </w:rPr>
                        <w:t> </w:t>
                      </w:r>
                      <w:r>
                        <w:rPr>
                          <w:rFonts w:ascii="Segoe UI Semibold"/>
                          <w:b/>
                          <w:color w:val="666155"/>
                          <w:sz w:val="16"/>
                        </w:rPr>
                        <w:t>16:</w:t>
                      </w:r>
                      <w:r>
                        <w:rPr>
                          <w:rFonts w:ascii="Segoe UI Semibold"/>
                          <w:b/>
                          <w:color w:val="666155"/>
                          <w:spacing w:val="-1"/>
                          <w:sz w:val="16"/>
                        </w:rPr>
                        <w:t> </w:t>
                      </w:r>
                      <w:r>
                        <w:rPr>
                          <w:rFonts w:ascii="Segoe UI Semibold"/>
                          <w:b/>
                          <w:color w:val="666155"/>
                          <w:spacing w:val="3"/>
                          <w:sz w:val="16"/>
                        </w:rPr>
                        <w:t>COMPARISON</w:t>
                      </w:r>
                      <w:r>
                        <w:rPr>
                          <w:rFonts w:ascii="Segoe UI Semibold"/>
                          <w:b/>
                          <w:color w:val="666155"/>
                          <w:spacing w:val="1"/>
                          <w:sz w:val="16"/>
                        </w:rPr>
                        <w:t> </w:t>
                      </w:r>
                      <w:r>
                        <w:rPr>
                          <w:rFonts w:ascii="Segoe UI Semibold"/>
                          <w:b/>
                          <w:color w:val="666155"/>
                          <w:spacing w:val="2"/>
                          <w:sz w:val="16"/>
                        </w:rPr>
                        <w:t>OF </w:t>
                      </w:r>
                      <w:r>
                        <w:rPr>
                          <w:rFonts w:ascii="Segoe UI Semibold"/>
                          <w:b/>
                          <w:color w:val="666155"/>
                          <w:spacing w:val="4"/>
                          <w:sz w:val="16"/>
                        </w:rPr>
                        <w:t>THREE</w:t>
                      </w:r>
                      <w:r>
                        <w:rPr>
                          <w:rFonts w:ascii="Segoe UI Semibold"/>
                          <w:b/>
                          <w:color w:val="666155"/>
                          <w:spacing w:val="4"/>
                          <w:position w:val="1"/>
                          <w:sz w:val="16"/>
                        </w:rPr>
                        <w:t>-</w:t>
                      </w:r>
                      <w:r>
                        <w:rPr>
                          <w:rFonts w:ascii="Segoe UI Semibold"/>
                          <w:b/>
                          <w:color w:val="666155"/>
                          <w:spacing w:val="4"/>
                          <w:sz w:val="16"/>
                        </w:rPr>
                        <w:t>YEAR</w:t>
                      </w:r>
                      <w:r>
                        <w:rPr>
                          <w:rFonts w:ascii="Segoe UI Semibold"/>
                          <w:b/>
                          <w:color w:val="666155"/>
                          <w:spacing w:val="2"/>
                          <w:sz w:val="16"/>
                        </w:rPr>
                        <w:t> AVERAGE </w:t>
                      </w:r>
                      <w:r>
                        <w:rPr>
                          <w:rFonts w:ascii="Segoe UI Semibold"/>
                          <w:b/>
                          <w:color w:val="666155"/>
                          <w:spacing w:val="3"/>
                          <w:sz w:val="16"/>
                        </w:rPr>
                        <w:t>ANNUAL</w:t>
                      </w:r>
                      <w:r>
                        <w:rPr>
                          <w:rFonts w:ascii="Segoe UI Semibold"/>
                          <w:b/>
                          <w:color w:val="666155"/>
                          <w:spacing w:val="2"/>
                          <w:sz w:val="16"/>
                        </w:rPr>
                        <w:t> </w:t>
                      </w:r>
                      <w:r>
                        <w:rPr>
                          <w:rFonts w:ascii="Segoe UI Semibold"/>
                          <w:b/>
                          <w:color w:val="666155"/>
                          <w:spacing w:val="4"/>
                          <w:sz w:val="16"/>
                        </w:rPr>
                        <w:t>REVENUE,</w:t>
                      </w:r>
                      <w:r>
                        <w:rPr>
                          <w:rFonts w:ascii="Segoe UI Semibold"/>
                          <w:b/>
                          <w:color w:val="666155"/>
                          <w:spacing w:val="-1"/>
                          <w:sz w:val="16"/>
                        </w:rPr>
                        <w:t> </w:t>
                      </w:r>
                      <w:r>
                        <w:rPr>
                          <w:rFonts w:ascii="Segoe UI Semibold"/>
                          <w:b/>
                          <w:color w:val="666155"/>
                          <w:spacing w:val="3"/>
                          <w:sz w:val="16"/>
                        </w:rPr>
                        <w:t>COST</w:t>
                      </w:r>
                      <w:r>
                        <w:rPr>
                          <w:rFonts w:ascii="Segoe UI Semibold"/>
                          <w:b/>
                          <w:color w:val="666155"/>
                          <w:spacing w:val="2"/>
                          <w:sz w:val="16"/>
                        </w:rPr>
                        <w:t> </w:t>
                      </w:r>
                      <w:r>
                        <w:rPr>
                          <w:rFonts w:ascii="Segoe UI Semibold"/>
                          <w:b/>
                          <w:color w:val="666155"/>
                          <w:spacing w:val="3"/>
                          <w:sz w:val="16"/>
                        </w:rPr>
                        <w:t>AND</w:t>
                      </w:r>
                      <w:r>
                        <w:rPr>
                          <w:rFonts w:ascii="Segoe UI Semibold"/>
                          <w:b/>
                          <w:color w:val="666155"/>
                          <w:spacing w:val="2"/>
                          <w:sz w:val="16"/>
                        </w:rPr>
                        <w:t> LOSS </w:t>
                      </w:r>
                      <w:r>
                        <w:rPr>
                          <w:rFonts w:ascii="Segoe UI Semibold"/>
                          <w:b/>
                          <w:color w:val="666155"/>
                          <w:spacing w:val="3"/>
                          <w:sz w:val="16"/>
                        </w:rPr>
                        <w:t>PER</w:t>
                      </w:r>
                      <w:r>
                        <w:rPr>
                          <w:rFonts w:ascii="Segoe UI Semibold"/>
                          <w:b/>
                          <w:color w:val="666155"/>
                          <w:spacing w:val="1"/>
                          <w:sz w:val="16"/>
                        </w:rPr>
                        <w:t> </w:t>
                      </w:r>
                      <w:r>
                        <w:rPr>
                          <w:rFonts w:ascii="Segoe UI Semibold"/>
                          <w:b/>
                          <w:color w:val="666155"/>
                          <w:spacing w:val="4"/>
                          <w:sz w:val="16"/>
                        </w:rPr>
                        <w:t>BOARDER</w:t>
                      </w:r>
                      <w:r>
                        <w:rPr>
                          <w:rFonts w:ascii="Segoe UI Semibold"/>
                          <w:sz w:val="16"/>
                        </w:rPr>
                      </w:r>
                    </w:p>
                    <w:p>
                      <w:pPr>
                        <w:spacing w:line="211" w:lineRule="exact" w:before="0"/>
                        <w:ind w:left="0" w:right="0" w:firstLine="0"/>
                        <w:jc w:val="left"/>
                        <w:rPr>
                          <w:rFonts w:ascii="Segoe UI Semibold" w:hAnsi="Segoe UI Semibold" w:cs="Segoe UI Semibold" w:eastAsia="Segoe UI Semibold"/>
                          <w:sz w:val="16"/>
                          <w:szCs w:val="16"/>
                        </w:rPr>
                      </w:pPr>
                      <w:r>
                        <w:rPr>
                          <w:rFonts w:ascii="Segoe UI Semibold" w:hAnsi="Segoe UI Semibold" w:cs="Segoe UI Semibold" w:eastAsia="Segoe UI Semibold"/>
                          <w:b/>
                          <w:bCs/>
                          <w:color w:val="666155"/>
                          <w:spacing w:val="-1"/>
                          <w:sz w:val="16"/>
                          <w:szCs w:val="16"/>
                        </w:rPr>
                        <w:t>2015</w:t>
                      </w:r>
                      <w:r>
                        <w:rPr>
                          <w:rFonts w:ascii="Segoe UI Semibold" w:hAnsi="Segoe UI Semibold" w:cs="Segoe UI Semibold" w:eastAsia="Segoe UI Semibold"/>
                          <w:b/>
                          <w:bCs/>
                          <w:color w:val="666155"/>
                          <w:spacing w:val="-4"/>
                          <w:sz w:val="16"/>
                          <w:szCs w:val="16"/>
                        </w:rPr>
                        <w:t> </w:t>
                      </w:r>
                      <w:r>
                        <w:rPr>
                          <w:rFonts w:ascii="Segoe UI Semibold" w:hAnsi="Segoe UI Semibold" w:cs="Segoe UI Semibold" w:eastAsia="Segoe UI Semibold"/>
                          <w:b/>
                          <w:bCs/>
                          <w:color w:val="666155"/>
                          <w:position w:val="1"/>
                          <w:sz w:val="16"/>
                          <w:szCs w:val="16"/>
                        </w:rPr>
                        <w:t>—</w:t>
                      </w:r>
                      <w:r>
                        <w:rPr>
                          <w:rFonts w:ascii="Segoe UI Semibold" w:hAnsi="Segoe UI Semibold" w:cs="Segoe UI Semibold" w:eastAsia="Segoe UI Semibold"/>
                          <w:b/>
                          <w:bCs/>
                          <w:color w:val="666155"/>
                          <w:spacing w:val="-3"/>
                          <w:position w:val="1"/>
                          <w:sz w:val="16"/>
                          <w:szCs w:val="16"/>
                        </w:rPr>
                        <w:t> </w:t>
                      </w:r>
                      <w:r>
                        <w:rPr>
                          <w:rFonts w:ascii="Segoe UI Semibold" w:hAnsi="Segoe UI Semibold" w:cs="Segoe UI Semibold" w:eastAsia="Segoe UI Semibold"/>
                          <w:b/>
                          <w:bCs/>
                          <w:color w:val="666155"/>
                          <w:sz w:val="16"/>
                          <w:szCs w:val="16"/>
                        </w:rPr>
                        <w:t>2017:</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ABORIGINAL</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3"/>
                          <w:sz w:val="16"/>
                          <w:szCs w:val="16"/>
                        </w:rPr>
                        <w:t>AND</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TORRES</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STRAIT</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ISLANDER</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AND</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MAINSTREAM</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BOARDING</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PROVIDERS</w:t>
                      </w:r>
                      <w:r>
                        <w:rPr>
                          <w:rFonts w:ascii="Segoe UI Semibold" w:hAnsi="Segoe UI Semibold" w:cs="Segoe UI Semibold" w:eastAsia="Segoe UI Semibold"/>
                          <w:sz w:val="16"/>
                          <w:szCs w:val="16"/>
                        </w:rPr>
                      </w:r>
                    </w:p>
                    <w:p>
                      <w:pPr>
                        <w:spacing w:line="240" w:lineRule="auto" w:before="1"/>
                        <w:rPr>
                          <w:rFonts w:ascii="Times New Roman" w:hAnsi="Times New Roman" w:cs="Times New Roman" w:eastAsia="Times New Roman"/>
                          <w:sz w:val="14"/>
                          <w:szCs w:val="14"/>
                        </w:rPr>
                      </w:pPr>
                    </w:p>
                    <w:p>
                      <w:pPr>
                        <w:spacing w:before="0"/>
                        <w:ind w:left="285" w:right="0" w:firstLine="0"/>
                        <w:jc w:val="left"/>
                        <w:rPr>
                          <w:rFonts w:ascii="Segoe UI" w:hAnsi="Segoe UI" w:cs="Segoe UI" w:eastAsia="Segoe UI"/>
                          <w:sz w:val="15"/>
                          <w:szCs w:val="15"/>
                        </w:rPr>
                      </w:pPr>
                      <w:r>
                        <w:rPr>
                          <w:rFonts w:ascii="Segoe UI"/>
                          <w:color w:val="77787B"/>
                          <w:spacing w:val="-1"/>
                          <w:sz w:val="15"/>
                        </w:rPr>
                        <w:t>25,000</w:t>
                      </w:r>
                      <w:r>
                        <w:rPr>
                          <w:rFonts w:ascii="Segoe UI"/>
                          <w:sz w:val="15"/>
                        </w:rPr>
                      </w:r>
                    </w:p>
                    <w:p>
                      <w:pPr>
                        <w:spacing w:line="240" w:lineRule="auto" w:before="0"/>
                        <w:rPr>
                          <w:rFonts w:ascii="Times New Roman" w:hAnsi="Times New Roman" w:cs="Times New Roman" w:eastAsia="Times New Roman"/>
                          <w:sz w:val="14"/>
                          <w:szCs w:val="14"/>
                        </w:rPr>
                      </w:pPr>
                    </w:p>
                    <w:p>
                      <w:pPr>
                        <w:spacing w:line="240" w:lineRule="auto" w:before="6"/>
                        <w:rPr>
                          <w:rFonts w:ascii="Times New Roman" w:hAnsi="Times New Roman" w:cs="Times New Roman" w:eastAsia="Times New Roman"/>
                          <w:sz w:val="11"/>
                          <w:szCs w:val="11"/>
                        </w:rPr>
                      </w:pPr>
                    </w:p>
                    <w:p>
                      <w:pPr>
                        <w:spacing w:before="0"/>
                        <w:ind w:left="285" w:right="0" w:firstLine="0"/>
                        <w:jc w:val="left"/>
                        <w:rPr>
                          <w:rFonts w:ascii="Segoe UI" w:hAnsi="Segoe UI" w:cs="Segoe UI" w:eastAsia="Segoe UI"/>
                          <w:sz w:val="15"/>
                          <w:szCs w:val="15"/>
                        </w:rPr>
                      </w:pPr>
                      <w:r>
                        <w:rPr>
                          <w:rFonts w:ascii="Segoe UI"/>
                          <w:color w:val="77787B"/>
                          <w:spacing w:val="-1"/>
                          <w:sz w:val="15"/>
                        </w:rPr>
                        <w:t>20,000</w:t>
                      </w:r>
                      <w:r>
                        <w:rPr>
                          <w:rFonts w:ascii="Segoe UI"/>
                          <w:sz w:val="15"/>
                        </w:rPr>
                      </w:r>
                    </w:p>
                    <w:p>
                      <w:pPr>
                        <w:spacing w:line="240" w:lineRule="auto" w:before="0"/>
                        <w:rPr>
                          <w:rFonts w:ascii="Times New Roman" w:hAnsi="Times New Roman" w:cs="Times New Roman" w:eastAsia="Times New Roman"/>
                          <w:sz w:val="14"/>
                          <w:szCs w:val="14"/>
                        </w:rPr>
                      </w:pPr>
                    </w:p>
                    <w:p>
                      <w:pPr>
                        <w:spacing w:line="240" w:lineRule="auto" w:before="6"/>
                        <w:rPr>
                          <w:rFonts w:ascii="Times New Roman" w:hAnsi="Times New Roman" w:cs="Times New Roman" w:eastAsia="Times New Roman"/>
                          <w:sz w:val="11"/>
                          <w:szCs w:val="11"/>
                        </w:rPr>
                      </w:pPr>
                    </w:p>
                    <w:p>
                      <w:pPr>
                        <w:spacing w:before="0"/>
                        <w:ind w:left="285" w:right="0" w:firstLine="0"/>
                        <w:jc w:val="left"/>
                        <w:rPr>
                          <w:rFonts w:ascii="Segoe UI" w:hAnsi="Segoe UI" w:cs="Segoe UI" w:eastAsia="Segoe UI"/>
                          <w:sz w:val="15"/>
                          <w:szCs w:val="15"/>
                        </w:rPr>
                      </w:pPr>
                      <w:r>
                        <w:rPr>
                          <w:rFonts w:ascii="Segoe UI"/>
                          <w:color w:val="77787B"/>
                          <w:spacing w:val="-1"/>
                          <w:sz w:val="15"/>
                        </w:rPr>
                        <w:t>15,000</w:t>
                      </w:r>
                      <w:r>
                        <w:rPr>
                          <w:rFonts w:ascii="Segoe UI"/>
                          <w:sz w:val="15"/>
                        </w:rPr>
                      </w:r>
                    </w:p>
                    <w:p>
                      <w:pPr>
                        <w:spacing w:line="240" w:lineRule="auto" w:before="0"/>
                        <w:rPr>
                          <w:rFonts w:ascii="Times New Roman" w:hAnsi="Times New Roman" w:cs="Times New Roman" w:eastAsia="Times New Roman"/>
                          <w:sz w:val="14"/>
                          <w:szCs w:val="14"/>
                        </w:rPr>
                      </w:pPr>
                    </w:p>
                    <w:p>
                      <w:pPr>
                        <w:spacing w:line="240" w:lineRule="auto" w:before="6"/>
                        <w:rPr>
                          <w:rFonts w:ascii="Times New Roman" w:hAnsi="Times New Roman" w:cs="Times New Roman" w:eastAsia="Times New Roman"/>
                          <w:sz w:val="11"/>
                          <w:szCs w:val="11"/>
                        </w:rPr>
                      </w:pPr>
                    </w:p>
                    <w:p>
                      <w:pPr>
                        <w:spacing w:before="0"/>
                        <w:ind w:left="285" w:right="0" w:firstLine="0"/>
                        <w:jc w:val="left"/>
                        <w:rPr>
                          <w:rFonts w:ascii="Segoe UI" w:hAnsi="Segoe UI" w:cs="Segoe UI" w:eastAsia="Segoe UI"/>
                          <w:sz w:val="15"/>
                          <w:szCs w:val="15"/>
                        </w:rPr>
                      </w:pPr>
                      <w:r>
                        <w:rPr>
                          <w:rFonts w:ascii="Segoe UI"/>
                          <w:color w:val="77787B"/>
                          <w:spacing w:val="-1"/>
                          <w:sz w:val="15"/>
                        </w:rPr>
                        <w:t>10,000</w:t>
                      </w:r>
                      <w:r>
                        <w:rPr>
                          <w:rFonts w:ascii="Segoe UI"/>
                          <w:sz w:val="15"/>
                        </w:rPr>
                      </w:r>
                    </w:p>
                    <w:p>
                      <w:pPr>
                        <w:spacing w:line="240" w:lineRule="auto" w:before="0"/>
                        <w:rPr>
                          <w:rFonts w:ascii="Times New Roman" w:hAnsi="Times New Roman" w:cs="Times New Roman" w:eastAsia="Times New Roman"/>
                          <w:sz w:val="14"/>
                          <w:szCs w:val="14"/>
                        </w:rPr>
                      </w:pPr>
                    </w:p>
                    <w:p>
                      <w:pPr>
                        <w:spacing w:line="240" w:lineRule="auto" w:before="6"/>
                        <w:rPr>
                          <w:rFonts w:ascii="Times New Roman" w:hAnsi="Times New Roman" w:cs="Times New Roman" w:eastAsia="Times New Roman"/>
                          <w:sz w:val="11"/>
                          <w:szCs w:val="11"/>
                        </w:rPr>
                      </w:pPr>
                    </w:p>
                    <w:p>
                      <w:pPr>
                        <w:spacing w:before="0"/>
                        <w:ind w:left="0" w:right="6837" w:firstLine="0"/>
                        <w:jc w:val="center"/>
                        <w:rPr>
                          <w:rFonts w:ascii="Segoe UI" w:hAnsi="Segoe UI" w:cs="Segoe UI" w:eastAsia="Segoe UI"/>
                          <w:sz w:val="15"/>
                          <w:szCs w:val="15"/>
                        </w:rPr>
                      </w:pPr>
                      <w:r>
                        <w:rPr>
                          <w:rFonts w:ascii="Segoe UI"/>
                          <w:color w:val="77787B"/>
                          <w:spacing w:val="-1"/>
                          <w:sz w:val="15"/>
                        </w:rPr>
                        <w:t>5,000</w:t>
                      </w:r>
                      <w:r>
                        <w:rPr>
                          <w:rFonts w:ascii="Segoe UI"/>
                          <w:sz w:val="15"/>
                        </w:rPr>
                      </w:r>
                    </w:p>
                    <w:p>
                      <w:pPr>
                        <w:spacing w:line="240" w:lineRule="auto" w:before="0"/>
                        <w:rPr>
                          <w:rFonts w:ascii="Times New Roman" w:hAnsi="Times New Roman" w:cs="Times New Roman" w:eastAsia="Times New Roman"/>
                          <w:sz w:val="14"/>
                          <w:szCs w:val="14"/>
                        </w:rPr>
                      </w:pPr>
                    </w:p>
                    <w:p>
                      <w:pPr>
                        <w:spacing w:line="240" w:lineRule="auto" w:before="6"/>
                        <w:rPr>
                          <w:rFonts w:ascii="Times New Roman" w:hAnsi="Times New Roman" w:cs="Times New Roman" w:eastAsia="Times New Roman"/>
                          <w:sz w:val="11"/>
                          <w:szCs w:val="11"/>
                        </w:rPr>
                      </w:pPr>
                    </w:p>
                    <w:p>
                      <w:pPr>
                        <w:spacing w:before="0"/>
                        <w:ind w:left="650" w:right="0" w:firstLine="0"/>
                        <w:jc w:val="left"/>
                        <w:rPr>
                          <w:rFonts w:ascii="Segoe UI" w:hAnsi="Segoe UI" w:cs="Segoe UI" w:eastAsia="Segoe UI"/>
                          <w:sz w:val="15"/>
                          <w:szCs w:val="15"/>
                        </w:rPr>
                      </w:pPr>
                      <w:r>
                        <w:rPr>
                          <w:rFonts w:ascii="Segoe UI"/>
                          <w:color w:val="77787B"/>
                          <w:sz w:val="15"/>
                        </w:rPr>
                        <w:t>0</w:t>
                      </w:r>
                      <w:r>
                        <w:rPr>
                          <w:rFonts w:ascii="Segoe UI"/>
                          <w:sz w:val="15"/>
                        </w:rPr>
                      </w:r>
                    </w:p>
                    <w:p>
                      <w:pPr>
                        <w:spacing w:line="240" w:lineRule="auto" w:before="0"/>
                        <w:rPr>
                          <w:rFonts w:ascii="Times New Roman" w:hAnsi="Times New Roman" w:cs="Times New Roman" w:eastAsia="Times New Roman"/>
                          <w:sz w:val="14"/>
                          <w:szCs w:val="14"/>
                        </w:rPr>
                      </w:pPr>
                    </w:p>
                    <w:p>
                      <w:pPr>
                        <w:spacing w:line="240" w:lineRule="auto" w:before="6"/>
                        <w:rPr>
                          <w:rFonts w:ascii="Times New Roman" w:hAnsi="Times New Roman" w:cs="Times New Roman" w:eastAsia="Times New Roman"/>
                          <w:sz w:val="11"/>
                          <w:szCs w:val="11"/>
                        </w:rPr>
                      </w:pPr>
                    </w:p>
                    <w:p>
                      <w:pPr>
                        <w:spacing w:before="0"/>
                        <w:ind w:left="275" w:right="0" w:firstLine="0"/>
                        <w:jc w:val="left"/>
                        <w:rPr>
                          <w:rFonts w:ascii="Segoe UI" w:hAnsi="Segoe UI" w:cs="Segoe UI" w:eastAsia="Segoe UI"/>
                          <w:sz w:val="15"/>
                          <w:szCs w:val="15"/>
                        </w:rPr>
                      </w:pPr>
                      <w:r>
                        <w:rPr>
                          <w:rFonts w:ascii="Segoe UI"/>
                          <w:color w:val="77787B"/>
                          <w:spacing w:val="-1"/>
                          <w:sz w:val="15"/>
                        </w:rPr>
                        <w:t>(5,000)</w:t>
                      </w:r>
                      <w:r>
                        <w:rPr>
                          <w:rFonts w:ascii="Segoe UI"/>
                          <w:sz w:val="15"/>
                        </w:rPr>
                      </w:r>
                    </w:p>
                    <w:p>
                      <w:pPr>
                        <w:spacing w:line="240" w:lineRule="auto" w:before="0"/>
                        <w:rPr>
                          <w:rFonts w:ascii="Times New Roman" w:hAnsi="Times New Roman" w:cs="Times New Roman" w:eastAsia="Times New Roman"/>
                          <w:sz w:val="14"/>
                          <w:szCs w:val="14"/>
                        </w:rPr>
                      </w:pPr>
                    </w:p>
                    <w:p>
                      <w:pPr>
                        <w:spacing w:line="240" w:lineRule="auto" w:before="6"/>
                        <w:rPr>
                          <w:rFonts w:ascii="Times New Roman" w:hAnsi="Times New Roman" w:cs="Times New Roman" w:eastAsia="Times New Roman"/>
                          <w:sz w:val="11"/>
                          <w:szCs w:val="11"/>
                        </w:rPr>
                      </w:pPr>
                    </w:p>
                    <w:p>
                      <w:pPr>
                        <w:spacing w:before="0"/>
                        <w:ind w:left="0" w:right="7014" w:firstLine="0"/>
                        <w:jc w:val="center"/>
                        <w:rPr>
                          <w:rFonts w:ascii="Segoe UI" w:hAnsi="Segoe UI" w:cs="Segoe UI" w:eastAsia="Segoe UI"/>
                          <w:sz w:val="15"/>
                          <w:szCs w:val="15"/>
                        </w:rPr>
                      </w:pPr>
                      <w:r>
                        <w:rPr>
                          <w:rFonts w:ascii="Segoe UI"/>
                          <w:color w:val="77787B"/>
                          <w:spacing w:val="-1"/>
                          <w:sz w:val="15"/>
                        </w:rPr>
                        <w:t>(10,000)</w:t>
                      </w:r>
                      <w:r>
                        <w:rPr>
                          <w:rFonts w:ascii="Segoe UI"/>
                          <w:sz w:val="15"/>
                        </w:rPr>
                      </w:r>
                    </w:p>
                    <w:p>
                      <w:pPr>
                        <w:tabs>
                          <w:tab w:pos="3565" w:val="left" w:leader="none"/>
                          <w:tab w:pos="5630" w:val="left" w:leader="none"/>
                        </w:tabs>
                        <w:spacing w:line="199" w:lineRule="exact" w:before="25"/>
                        <w:ind w:left="1077" w:right="0" w:firstLine="0"/>
                        <w:jc w:val="left"/>
                        <w:rPr>
                          <w:rFonts w:ascii="Segoe UI" w:hAnsi="Segoe UI" w:cs="Segoe UI" w:eastAsia="Segoe UI"/>
                          <w:sz w:val="15"/>
                          <w:szCs w:val="15"/>
                        </w:rPr>
                      </w:pPr>
                      <w:r>
                        <w:rPr>
                          <w:rFonts w:ascii="Segoe UI"/>
                          <w:color w:val="77787B"/>
                          <w:spacing w:val="-1"/>
                          <w:sz w:val="15"/>
                        </w:rPr>
                        <w:t>Average</w:t>
                      </w:r>
                      <w:r>
                        <w:rPr>
                          <w:rFonts w:ascii="Segoe UI"/>
                          <w:color w:val="77787B"/>
                          <w:spacing w:val="12"/>
                          <w:sz w:val="15"/>
                        </w:rPr>
                        <w:t> </w:t>
                      </w:r>
                      <w:r>
                        <w:rPr>
                          <w:rFonts w:ascii="Segoe UI"/>
                          <w:color w:val="77787B"/>
                          <w:spacing w:val="-1"/>
                          <w:sz w:val="15"/>
                        </w:rPr>
                        <w:t>revenue</w:t>
                      </w:r>
                      <w:r>
                        <w:rPr>
                          <w:rFonts w:ascii="Segoe UI"/>
                          <w:color w:val="77787B"/>
                          <w:spacing w:val="11"/>
                          <w:sz w:val="15"/>
                        </w:rPr>
                        <w:t> </w:t>
                      </w:r>
                      <w:r>
                        <w:rPr>
                          <w:rFonts w:ascii="Segoe UI"/>
                          <w:color w:val="77787B"/>
                          <w:spacing w:val="-1"/>
                          <w:sz w:val="15"/>
                        </w:rPr>
                        <w:t>per</w:t>
                      </w:r>
                      <w:r>
                        <w:rPr>
                          <w:rFonts w:ascii="Segoe UI"/>
                          <w:color w:val="77787B"/>
                          <w:spacing w:val="11"/>
                          <w:sz w:val="15"/>
                        </w:rPr>
                        <w:t> </w:t>
                      </w:r>
                      <w:r>
                        <w:rPr>
                          <w:rFonts w:ascii="Segoe UI"/>
                          <w:color w:val="77787B"/>
                          <w:spacing w:val="-1"/>
                          <w:sz w:val="15"/>
                        </w:rPr>
                        <w:t>boarder</w:t>
                        <w:tab/>
                        <w:t>Average</w:t>
                      </w:r>
                      <w:r>
                        <w:rPr>
                          <w:rFonts w:ascii="Segoe UI"/>
                          <w:color w:val="77787B"/>
                          <w:spacing w:val="10"/>
                          <w:sz w:val="15"/>
                        </w:rPr>
                        <w:t> </w:t>
                      </w:r>
                      <w:r>
                        <w:rPr>
                          <w:rFonts w:ascii="Segoe UI"/>
                          <w:color w:val="77787B"/>
                          <w:spacing w:val="-1"/>
                          <w:sz w:val="15"/>
                        </w:rPr>
                        <w:t>cost</w:t>
                      </w:r>
                      <w:r>
                        <w:rPr>
                          <w:rFonts w:ascii="Segoe UI"/>
                          <w:color w:val="77787B"/>
                          <w:spacing w:val="11"/>
                          <w:sz w:val="15"/>
                        </w:rPr>
                        <w:t> </w:t>
                      </w:r>
                      <w:r>
                        <w:rPr>
                          <w:rFonts w:ascii="Segoe UI"/>
                          <w:color w:val="77787B"/>
                          <w:spacing w:val="-1"/>
                          <w:sz w:val="15"/>
                        </w:rPr>
                        <w:t>per</w:t>
                      </w:r>
                      <w:r>
                        <w:rPr>
                          <w:rFonts w:ascii="Segoe UI"/>
                          <w:color w:val="77787B"/>
                          <w:spacing w:val="10"/>
                          <w:sz w:val="15"/>
                        </w:rPr>
                        <w:t> </w:t>
                      </w:r>
                      <w:r>
                        <w:rPr>
                          <w:rFonts w:ascii="Segoe UI"/>
                          <w:color w:val="77787B"/>
                          <w:spacing w:val="-1"/>
                          <w:sz w:val="15"/>
                        </w:rPr>
                        <w:t>boarder</w:t>
                        <w:tab/>
                        <w:t>Average</w:t>
                      </w:r>
                      <w:r>
                        <w:rPr>
                          <w:rFonts w:ascii="Segoe UI"/>
                          <w:color w:val="77787B"/>
                          <w:spacing w:val="8"/>
                          <w:sz w:val="15"/>
                        </w:rPr>
                        <w:t> </w:t>
                      </w:r>
                      <w:r>
                        <w:rPr>
                          <w:rFonts w:ascii="Segoe UI"/>
                          <w:color w:val="77787B"/>
                          <w:spacing w:val="-1"/>
                          <w:sz w:val="15"/>
                        </w:rPr>
                        <w:t>Profit</w:t>
                      </w:r>
                      <w:r>
                        <w:rPr>
                          <w:rFonts w:ascii="Segoe UI"/>
                          <w:color w:val="77787B"/>
                          <w:spacing w:val="8"/>
                          <w:sz w:val="15"/>
                        </w:rPr>
                        <w:t> </w:t>
                      </w:r>
                      <w:r>
                        <w:rPr>
                          <w:rFonts w:ascii="Segoe UI"/>
                          <w:color w:val="77787B"/>
                          <w:sz w:val="15"/>
                        </w:rPr>
                        <w:t>/</w:t>
                      </w:r>
                      <w:r>
                        <w:rPr>
                          <w:rFonts w:ascii="Segoe UI"/>
                          <w:color w:val="77787B"/>
                          <w:spacing w:val="8"/>
                          <w:sz w:val="15"/>
                        </w:rPr>
                        <w:t> </w:t>
                      </w:r>
                      <w:r>
                        <w:rPr>
                          <w:rFonts w:ascii="Segoe UI"/>
                          <w:color w:val="77787B"/>
                          <w:spacing w:val="-1"/>
                          <w:sz w:val="15"/>
                        </w:rPr>
                        <w:t>(loss)</w:t>
                      </w:r>
                      <w:r>
                        <w:rPr>
                          <w:rFonts w:ascii="Segoe UI"/>
                          <w:color w:val="77787B"/>
                          <w:spacing w:val="9"/>
                          <w:sz w:val="15"/>
                        </w:rPr>
                        <w:t> </w:t>
                      </w:r>
                      <w:r>
                        <w:rPr>
                          <w:rFonts w:ascii="Segoe UI"/>
                          <w:color w:val="77787B"/>
                          <w:spacing w:val="-1"/>
                          <w:sz w:val="15"/>
                        </w:rPr>
                        <w:t>per</w:t>
                      </w:r>
                      <w:r>
                        <w:rPr>
                          <w:rFonts w:ascii="Segoe UI"/>
                          <w:color w:val="77787B"/>
                          <w:spacing w:val="8"/>
                          <w:sz w:val="15"/>
                        </w:rPr>
                        <w:t> </w:t>
                      </w:r>
                      <w:r>
                        <w:rPr>
                          <w:rFonts w:ascii="Segoe UI"/>
                          <w:color w:val="77787B"/>
                          <w:spacing w:val="-2"/>
                          <w:sz w:val="15"/>
                        </w:rPr>
                        <w:t>boarder</w:t>
                      </w:r>
                      <w:r>
                        <w:rPr>
                          <w:rFonts w:ascii="Segoe UI"/>
                          <w:sz w:val="15"/>
                        </w:rPr>
                      </w:r>
                    </w:p>
                  </w:txbxContent>
                </v:textbox>
                <w10:wrap type="none"/>
              </v:shape>
              <v:shape style="position:absolute;left:4243;top:12730;width:801;height:155" type="#_x0000_t202" filled="false" stroked="false">
                <v:textbox inset="0,0,0,0">
                  <w:txbxContent>
                    <w:p>
                      <w:pPr>
                        <w:spacing w:line="154" w:lineRule="exact" w:before="0"/>
                        <w:ind w:left="0" w:right="0" w:firstLine="0"/>
                        <w:jc w:val="left"/>
                        <w:rPr>
                          <w:rFonts w:ascii="Segoe UI" w:hAnsi="Segoe UI" w:cs="Segoe UI" w:eastAsia="Segoe UI"/>
                          <w:sz w:val="15"/>
                          <w:szCs w:val="15"/>
                        </w:rPr>
                      </w:pPr>
                      <w:r>
                        <w:rPr>
                          <w:rFonts w:ascii="Segoe UI"/>
                          <w:color w:val="77787B"/>
                          <w:spacing w:val="-1"/>
                          <w:sz w:val="15"/>
                        </w:rPr>
                        <w:t>Mainstream</w:t>
                      </w:r>
                      <w:r>
                        <w:rPr>
                          <w:rFonts w:ascii="Segoe UI"/>
                          <w:sz w:val="15"/>
                        </w:rPr>
                      </w:r>
                    </w:p>
                  </w:txbxContent>
                </v:textbox>
                <w10:wrap type="none"/>
              </v:shape>
              <v:shape style="position:absolute;left:5468;top:12730;width:2434;height:155" type="#_x0000_t202" filled="false" stroked="false">
                <v:textbox inset="0,0,0,0">
                  <w:txbxContent>
                    <w:p>
                      <w:pPr>
                        <w:spacing w:line="154" w:lineRule="exact" w:before="0"/>
                        <w:ind w:left="0" w:right="0" w:firstLine="0"/>
                        <w:jc w:val="left"/>
                        <w:rPr>
                          <w:rFonts w:ascii="Segoe UI" w:hAnsi="Segoe UI" w:cs="Segoe UI" w:eastAsia="Segoe UI"/>
                          <w:sz w:val="15"/>
                          <w:szCs w:val="15"/>
                        </w:rPr>
                      </w:pPr>
                      <w:r>
                        <w:rPr>
                          <w:rFonts w:ascii="Segoe UI"/>
                          <w:color w:val="77787B"/>
                          <w:spacing w:val="-1"/>
                          <w:sz w:val="15"/>
                        </w:rPr>
                        <w:t>Aboriginal</w:t>
                      </w:r>
                      <w:r>
                        <w:rPr>
                          <w:rFonts w:ascii="Segoe UI"/>
                          <w:color w:val="77787B"/>
                          <w:spacing w:val="10"/>
                          <w:sz w:val="15"/>
                        </w:rPr>
                        <w:t> </w:t>
                      </w:r>
                      <w:r>
                        <w:rPr>
                          <w:rFonts w:ascii="Segoe UI"/>
                          <w:color w:val="77787B"/>
                          <w:spacing w:val="-1"/>
                          <w:sz w:val="15"/>
                        </w:rPr>
                        <w:t>and</w:t>
                      </w:r>
                      <w:r>
                        <w:rPr>
                          <w:rFonts w:ascii="Segoe UI"/>
                          <w:color w:val="77787B"/>
                          <w:spacing w:val="11"/>
                          <w:sz w:val="15"/>
                        </w:rPr>
                        <w:t> </w:t>
                      </w:r>
                      <w:r>
                        <w:rPr>
                          <w:rFonts w:ascii="Segoe UI"/>
                          <w:color w:val="77787B"/>
                          <w:spacing w:val="-1"/>
                          <w:sz w:val="15"/>
                        </w:rPr>
                        <w:t>Torres</w:t>
                      </w:r>
                      <w:r>
                        <w:rPr>
                          <w:rFonts w:ascii="Segoe UI"/>
                          <w:color w:val="77787B"/>
                          <w:spacing w:val="14"/>
                          <w:sz w:val="15"/>
                        </w:rPr>
                        <w:t> </w:t>
                      </w:r>
                      <w:r>
                        <w:rPr>
                          <w:rFonts w:ascii="Segoe UI"/>
                          <w:color w:val="77787B"/>
                          <w:spacing w:val="-1"/>
                          <w:sz w:val="15"/>
                        </w:rPr>
                        <w:t>Strait</w:t>
                      </w:r>
                      <w:r>
                        <w:rPr>
                          <w:rFonts w:ascii="Segoe UI"/>
                          <w:color w:val="77787B"/>
                          <w:spacing w:val="11"/>
                          <w:sz w:val="15"/>
                        </w:rPr>
                        <w:t> </w:t>
                      </w:r>
                      <w:r>
                        <w:rPr>
                          <w:rFonts w:ascii="Segoe UI"/>
                          <w:color w:val="77787B"/>
                          <w:spacing w:val="-1"/>
                          <w:sz w:val="15"/>
                        </w:rPr>
                        <w:t>Islander</w:t>
                      </w:r>
                      <w:r>
                        <w:rPr>
                          <w:rFonts w:ascii="Segoe UI"/>
                          <w:sz w:val="15"/>
                        </w:rPr>
                      </w:r>
                    </w:p>
                  </w:txbxContent>
                </v:textbox>
                <w10:wrap type="none"/>
              </v:shape>
            </v:group>
            <w10:wrap type="none"/>
          </v:group>
        </w:pict>
      </w:r>
      <w:r>
        <w:rPr/>
        <w:pict>
          <v:group style="position:absolute;margin-left:85.039001pt;margin-top:113.386017pt;width:439.4pt;height:253.7pt;mso-position-horizontal-relative:page;mso-position-vertical-relative:page;z-index:6304" coordorigin="1701,2268" coordsize="8788,5074">
            <v:group style="position:absolute;left:1801;top:2368;width:8588;height:4874" coordorigin="1801,2368" coordsize="8588,4874">
              <v:shape style="position:absolute;left:1801;top:2368;width:8588;height:4874" coordorigin="1801,2368" coordsize="8588,4874" path="m1801,7242l10388,7242,10388,2368,1801,2368,1801,7242xe" filled="false" stroked="true" strokeweight="10pt" strokecolor="#c1b5a9">
                <v:path arrowok="t"/>
              </v:shape>
            </v:group>
            <v:group style="position:absolute;left:2098;top:3244;width:7759;height:3858" coordorigin="2098,3244" coordsize="7759,3858">
              <v:shape style="position:absolute;left:2098;top:3244;width:7759;height:3858" coordorigin="2098,3244" coordsize="7759,3858" path="m2098,7101l9857,7101,9857,3244,2098,3244,2098,7101xe" filled="true" fillcolor="#ffffff" stroked="false">
                <v:path arrowok="t"/>
                <v:fill type="solid"/>
              </v:shape>
            </v:group>
            <v:group style="position:absolute;left:3012;top:6147;width:6780;height:2" coordorigin="3012,6147" coordsize="6780,2">
              <v:shape style="position:absolute;left:3012;top:6147;width:6780;height:2" coordorigin="3012,6147" coordsize="6780,0" path="m3012,6147l9792,6147e" filled="false" stroked="true" strokeweight=".706pt" strokecolor="#dcddde">
                <v:path arrowok="t"/>
              </v:shape>
            </v:group>
            <v:group style="position:absolute;left:3012;top:5797;width:6780;height:2" coordorigin="3012,5797" coordsize="6780,2">
              <v:shape style="position:absolute;left:3012;top:5797;width:6780;height:2" coordorigin="3012,5797" coordsize="6780,0" path="m3012,5797l9792,5797e" filled="false" stroked="true" strokeweight=".706pt" strokecolor="#dcddde">
                <v:path arrowok="t"/>
              </v:shape>
            </v:group>
            <v:group style="position:absolute;left:9305;top:5096;width:487;height:2" coordorigin="9305,5096" coordsize="487,2">
              <v:shape style="position:absolute;left:9305;top:5096;width:487;height:2" coordorigin="9305,5096" coordsize="487,0" path="m9305,5096l9792,5096e" filled="false" stroked="true" strokeweight=".706pt" strokecolor="#dcddde">
                <v:path arrowok="t"/>
              </v:shape>
            </v:group>
            <v:group style="position:absolute;left:7610;top:5096;width:972;height:2" coordorigin="7610,5096" coordsize="972,2">
              <v:shape style="position:absolute;left:7610;top:5096;width:972;height:2" coordorigin="7610,5096" coordsize="972,0" path="m7610,5096l8582,5096e" filled="false" stroked="true" strokeweight=".706pt" strokecolor="#dcddde">
                <v:path arrowok="t"/>
              </v:shape>
            </v:group>
            <v:group style="position:absolute;left:5915;top:5096;width:975;height:2" coordorigin="5915,5096" coordsize="975,2">
              <v:shape style="position:absolute;left:5915;top:5096;width:975;height:2" coordorigin="5915,5096" coordsize="975,0" path="m5915,5096l6889,5096e" filled="false" stroked="true" strokeweight=".706pt" strokecolor="#dcddde">
                <v:path arrowok="t"/>
              </v:shape>
            </v:group>
            <v:group style="position:absolute;left:4220;top:5096;width:975;height:2" coordorigin="4220,5096" coordsize="975,2">
              <v:shape style="position:absolute;left:4220;top:5096;width:975;height:2" coordorigin="4220,5096" coordsize="975,0" path="m4220,5096l5194,5096e" filled="false" stroked="true" strokeweight=".706pt" strokecolor="#dcddde">
                <v:path arrowok="t"/>
              </v:shape>
            </v:group>
            <v:group style="position:absolute;left:3012;top:5096;width:487;height:2" coordorigin="3012,5096" coordsize="487,2">
              <v:shape style="position:absolute;left:3012;top:5096;width:487;height:2" coordorigin="3012,5096" coordsize="487,0" path="m3012,5096l3499,5096e" filled="false" stroked="true" strokeweight=".706pt" strokecolor="#dcddde">
                <v:path arrowok="t"/>
              </v:shape>
            </v:group>
            <v:group style="position:absolute;left:9305;top:4746;width:487;height:2" coordorigin="9305,4746" coordsize="487,2">
              <v:shape style="position:absolute;left:9305;top:4746;width:487;height:2" coordorigin="9305,4746" coordsize="487,0" path="m9305,4746l9792,4746e" filled="false" stroked="true" strokeweight=".706pt" strokecolor="#dcddde">
                <v:path arrowok="t"/>
              </v:shape>
            </v:group>
            <v:group style="position:absolute;left:7610;top:4746;width:972;height:2" coordorigin="7610,4746" coordsize="972,2">
              <v:shape style="position:absolute;left:7610;top:4746;width:972;height:2" coordorigin="7610,4746" coordsize="972,0" path="m7610,4746l8582,4746e" filled="false" stroked="true" strokeweight=".706pt" strokecolor="#dcddde">
                <v:path arrowok="t"/>
              </v:shape>
            </v:group>
            <v:group style="position:absolute;left:5915;top:4746;width:975;height:2" coordorigin="5915,4746" coordsize="975,2">
              <v:shape style="position:absolute;left:5915;top:4746;width:975;height:2" coordorigin="5915,4746" coordsize="975,0" path="m5915,4746l6889,4746e" filled="false" stroked="true" strokeweight=".706pt" strokecolor="#dcddde">
                <v:path arrowok="t"/>
              </v:shape>
            </v:group>
            <v:group style="position:absolute;left:4220;top:4746;width:975;height:2" coordorigin="4220,4746" coordsize="975,2">
              <v:shape style="position:absolute;left:4220;top:4746;width:975;height:2" coordorigin="4220,4746" coordsize="975,0" path="m4220,4746l5194,4746e" filled="false" stroked="true" strokeweight=".706pt" strokecolor="#dcddde">
                <v:path arrowok="t"/>
              </v:shape>
            </v:group>
            <v:group style="position:absolute;left:3012;top:4746;width:487;height:2" coordorigin="3012,4746" coordsize="487,2">
              <v:shape style="position:absolute;left:3012;top:4746;width:487;height:2" coordorigin="3012,4746" coordsize="487,0" path="m3012,4746l3499,4746e" filled="false" stroked="true" strokeweight=".706pt" strokecolor="#dcddde">
                <v:path arrowok="t"/>
              </v:shape>
            </v:group>
            <v:group style="position:absolute;left:9305;top:4395;width:487;height:2" coordorigin="9305,4395" coordsize="487,2">
              <v:shape style="position:absolute;left:9305;top:4395;width:487;height:2" coordorigin="9305,4395" coordsize="487,0" path="m9305,4395l9792,4395e" filled="false" stroked="true" strokeweight=".706pt" strokecolor="#dcddde">
                <v:path arrowok="t"/>
              </v:shape>
            </v:group>
            <v:group style="position:absolute;left:7610;top:4395;width:972;height:2" coordorigin="7610,4395" coordsize="972,2">
              <v:shape style="position:absolute;left:7610;top:4395;width:972;height:2" coordorigin="7610,4395" coordsize="972,0" path="m7610,4395l8582,4395e" filled="false" stroked="true" strokeweight=".706pt" strokecolor="#dcddde">
                <v:path arrowok="t"/>
              </v:shape>
            </v:group>
            <v:group style="position:absolute;left:5915;top:4395;width:975;height:2" coordorigin="5915,4395" coordsize="975,2">
              <v:shape style="position:absolute;left:5915;top:4395;width:975;height:2" coordorigin="5915,4395" coordsize="975,0" path="m5915,4395l6889,4395e" filled="false" stroked="true" strokeweight=".706pt" strokecolor="#dcddde">
                <v:path arrowok="t"/>
              </v:shape>
            </v:group>
            <v:group style="position:absolute;left:4220;top:4395;width:975;height:2" coordorigin="4220,4395" coordsize="975,2">
              <v:shape style="position:absolute;left:4220;top:4395;width:975;height:2" coordorigin="4220,4395" coordsize="975,0" path="m4220,4395l5194,4395e" filled="false" stroked="true" strokeweight=".706pt" strokecolor="#dcddde">
                <v:path arrowok="t"/>
              </v:shape>
            </v:group>
            <v:group style="position:absolute;left:3012;top:4395;width:487;height:2" coordorigin="3012,4395" coordsize="487,2">
              <v:shape style="position:absolute;left:3012;top:4395;width:487;height:2" coordorigin="3012,4395" coordsize="487,0" path="m3012,4395l3499,4395e" filled="false" stroked="true" strokeweight=".706pt" strokecolor="#dcddde">
                <v:path arrowok="t"/>
              </v:shape>
            </v:group>
            <v:group style="position:absolute;left:9305;top:4045;width:487;height:2" coordorigin="9305,4045" coordsize="487,2">
              <v:shape style="position:absolute;left:9305;top:4045;width:487;height:2" coordorigin="9305,4045" coordsize="487,0" path="m9305,4045l9792,4045e" filled="false" stroked="true" strokeweight=".706pt" strokecolor="#dcddde">
                <v:path arrowok="t"/>
              </v:shape>
            </v:group>
            <v:group style="position:absolute;left:7610;top:4045;width:1334;height:2" coordorigin="7610,4045" coordsize="1334,2">
              <v:shape style="position:absolute;left:7610;top:4045;width:1334;height:2" coordorigin="7610,4045" coordsize="1334,0" path="m7610,4045l8944,4045e" filled="false" stroked="true" strokeweight=".706pt" strokecolor="#dcddde">
                <v:path arrowok="t"/>
              </v:shape>
            </v:group>
            <v:group style="position:absolute;left:5915;top:4045;width:1334;height:2" coordorigin="5915,4045" coordsize="1334,2">
              <v:shape style="position:absolute;left:5915;top:4045;width:1334;height:2" coordorigin="5915,4045" coordsize="1334,0" path="m5915,4045l7248,4045e" filled="false" stroked="true" strokeweight=".706pt" strokecolor="#dcddde">
                <v:path arrowok="t"/>
              </v:shape>
            </v:group>
            <v:group style="position:absolute;left:4220;top:4045;width:1336;height:2" coordorigin="4220,4045" coordsize="1336,2">
              <v:shape style="position:absolute;left:4220;top:4045;width:1336;height:2" coordorigin="4220,4045" coordsize="1336,0" path="m4220,4045l5556,4045e" filled="false" stroked="true" strokeweight=".706pt" strokecolor="#dcddde">
                <v:path arrowok="t"/>
              </v:shape>
            </v:group>
            <v:group style="position:absolute;left:3012;top:4045;width:849;height:2" coordorigin="3012,4045" coordsize="849,2">
              <v:shape style="position:absolute;left:3012;top:4045;width:849;height:2" coordorigin="3012,4045" coordsize="849,0" path="m3012,4045l3861,4045e" filled="false" stroked="true" strokeweight=".706pt" strokecolor="#dcddde">
                <v:path arrowok="t"/>
              </v:shape>
            </v:group>
            <v:group style="position:absolute;left:3012;top:3695;width:6780;height:2" coordorigin="3012,3695" coordsize="6780,2">
              <v:shape style="position:absolute;left:3012;top:3695;width:6780;height:2" coordorigin="3012,3695" coordsize="6780,0" path="m3012,3695l9792,3695e" filled="false" stroked="true" strokeweight=".706pt" strokecolor="#dcddde">
                <v:path arrowok="t"/>
              </v:shape>
            </v:group>
            <v:group style="position:absolute;left:3012;top:3344;width:6780;height:2" coordorigin="3012,3344" coordsize="6780,2">
              <v:shape style="position:absolute;left:3012;top:3344;width:6780;height:2" coordorigin="3012,3344" coordsize="6780,0" path="m3012,3344l9792,3344e" filled="false" stroked="true" strokeweight=".706pt" strokecolor="#dcddde">
                <v:path arrowok="t"/>
              </v:shape>
            </v:group>
            <v:group style="position:absolute;left:3499;top:4357;width:362;height:1090" coordorigin="3499,4357" coordsize="362,1090">
              <v:shape style="position:absolute;left:3499;top:4357;width:362;height:1090" coordorigin="3499,4357" coordsize="362,1090" path="m3861,4357l3499,4357,3499,5446,3861,5446,3861,4357xe" filled="true" fillcolor="#6a5286" stroked="false">
                <v:path arrowok="t"/>
                <v:fill type="solid"/>
              </v:shape>
            </v:group>
            <v:group style="position:absolute;left:5194;top:4271;width:362;height:1176" coordorigin="5194,4271" coordsize="362,1176">
              <v:shape style="position:absolute;left:5194;top:4271;width:362;height:1176" coordorigin="5194,4271" coordsize="362,1176" path="m5556,4271l5194,4271,5194,5446,5556,5446,5556,4271xe" filled="true" fillcolor="#6a5286" stroked="false">
                <v:path arrowok="t"/>
                <v:fill type="solid"/>
              </v:shape>
            </v:group>
            <v:group style="position:absolute;left:6889;top:4206;width:360;height:1241" coordorigin="6889,4206" coordsize="360,1241">
              <v:shape style="position:absolute;left:6889;top:4206;width:360;height:1241" coordorigin="6889,4206" coordsize="360,1241" path="m7248,4206l6889,4206,6889,5446,7248,5446,7248,4206xe" filled="true" fillcolor="#6a5286" stroked="false">
                <v:path arrowok="t"/>
                <v:fill type="solid"/>
              </v:shape>
            </v:group>
            <v:group style="position:absolute;left:8582;top:4278;width:362;height:1169" coordorigin="8582,4278" coordsize="362,1169">
              <v:shape style="position:absolute;left:8582;top:4278;width:362;height:1169" coordorigin="8582,4278" coordsize="362,1169" path="m8943,4278l8582,4278,8582,5446,8943,5446,8943,4278xe" filled="true" fillcolor="#6a5286" stroked="false">
                <v:path arrowok="t"/>
                <v:fill type="solid"/>
              </v:shape>
            </v:group>
            <v:group style="position:absolute;left:3861;top:4000;width:360;height:1447" coordorigin="3861,4000" coordsize="360,1447">
              <v:shape style="position:absolute;left:3861;top:4000;width:360;height:1447" coordorigin="3861,4000" coordsize="360,1447" path="m4220,4000l3861,4000,3861,5446,4220,5446,4220,4000xe" filled="true" fillcolor="#8165a3" stroked="false">
                <v:path arrowok="t"/>
                <v:fill type="solid"/>
              </v:shape>
            </v:group>
            <v:group style="position:absolute;left:5556;top:3815;width:360;height:1632" coordorigin="5556,3815" coordsize="360,1632">
              <v:shape style="position:absolute;left:5556;top:3815;width:360;height:1632" coordorigin="5556,3815" coordsize="360,1632" path="m5915,3815l5556,3815,5556,5446,5915,5446,5915,3815xe" filled="true" fillcolor="#8165a3" stroked="false">
                <v:path arrowok="t"/>
                <v:fill type="solid"/>
              </v:shape>
            </v:group>
            <v:group style="position:absolute;left:7248;top:3704;width:362;height:1743" coordorigin="7248,3704" coordsize="362,1743">
              <v:shape style="position:absolute;left:7248;top:3704;width:362;height:1743" coordorigin="7248,3704" coordsize="362,1743" path="m7610,3704l7248,3704,7248,5446,7610,5446,7610,3704xe" filled="true" fillcolor="#8165a3" stroked="false">
                <v:path arrowok="t"/>
                <v:fill type="solid"/>
              </v:shape>
            </v:group>
            <v:group style="position:absolute;left:8943;top:3839;width:362;height:1607" coordorigin="8943,3839" coordsize="362,1607">
              <v:shape style="position:absolute;left:8943;top:3839;width:362;height:1607" coordorigin="8943,3839" coordsize="362,1607" path="m9305,3839l8943,3839,8943,5446,9305,5446,9305,3839xe" filled="true" fillcolor="#8165a3" stroked="false">
                <v:path arrowok="t"/>
                <v:fill type="solid"/>
              </v:shape>
            </v:group>
            <v:group style="position:absolute;left:3012;top:5446;width:6780;height:2" coordorigin="3012,5446" coordsize="6780,2">
              <v:shape style="position:absolute;left:3012;top:5446;width:6780;height:2" coordorigin="3012,5446" coordsize="6780,0" path="m3012,5446l9792,5446e" filled="false" stroked="true" strokeweight=".706pt" strokecolor="#dcddde">
                <v:path arrowok="t"/>
              </v:shape>
            </v:group>
            <v:group style="position:absolute;left:3860;top:5802;width:5085;height:147" coordorigin="3860,5802" coordsize="5085,147">
              <v:shape style="position:absolute;left:3860;top:5802;width:5085;height:147" coordorigin="3860,5802" coordsize="5085,147" path="m3860,5802l5556,5903,7248,5948,8944,5885e" filled="false" stroked="true" strokeweight="2.119pt" strokecolor="#bab1ca">
                <v:path arrowok="t"/>
              </v:shape>
            </v:group>
            <v:group style="position:absolute;left:3210;top:6504;width:362;height:91" coordorigin="3210,6504" coordsize="362,91">
              <v:shape style="position:absolute;left:3210;top:6504;width:362;height:91" coordorigin="3210,6504" coordsize="362,91" path="m3210,6504l3572,6504,3572,6595,3210,6595,3210,6504xe" filled="true" fillcolor="#6a5286" stroked="false">
                <v:path arrowok="t"/>
                <v:fill type="solid"/>
              </v:shape>
            </v:group>
            <v:group style="position:absolute;left:6037;top:6504;width:362;height:91" coordorigin="6037,6504" coordsize="362,91">
              <v:shape style="position:absolute;left:6037;top:6504;width:362;height:91" coordorigin="6037,6504" coordsize="362,91" path="m6037,6504l6399,6504,6399,6595,6037,6595,6037,6504xe" filled="true" fillcolor="#8165a3" stroked="false">
                <v:path arrowok="t"/>
                <v:fill type="solid"/>
              </v:shape>
            </v:group>
            <v:group style="position:absolute;left:3210;top:6861;width:362;height:2" coordorigin="3210,6861" coordsize="362,2">
              <v:shape style="position:absolute;left:3210;top:6861;width:362;height:2" coordorigin="3210,6861" coordsize="362,0" path="m3210,6861l3572,6861e" filled="false" stroked="true" strokeweight="2.119pt" strokecolor="#bab1ca">
                <v:path arrowok="t"/>
              </v:shape>
              <v:shape style="position:absolute;left:1987;top:2558;width:7911;height:3898" type="#_x0000_t202" filled="false" stroked="false">
                <v:textbox inset="0,0,0,0">
                  <w:txbxContent>
                    <w:p>
                      <w:pPr>
                        <w:spacing w:line="172" w:lineRule="exact" w:before="0"/>
                        <w:ind w:left="0" w:right="0" w:firstLine="0"/>
                        <w:jc w:val="left"/>
                        <w:rPr>
                          <w:rFonts w:ascii="Segoe UI Semibold" w:hAnsi="Segoe UI Semibold" w:cs="Segoe UI Semibold" w:eastAsia="Segoe UI Semibold"/>
                          <w:sz w:val="16"/>
                          <w:szCs w:val="16"/>
                        </w:rPr>
                      </w:pPr>
                      <w:r>
                        <w:rPr>
                          <w:rFonts w:ascii="Segoe UI Semibold" w:hAnsi="Segoe UI Semibold" w:cs="Segoe UI Semibold" w:eastAsia="Segoe UI Semibold"/>
                          <w:b/>
                          <w:bCs/>
                          <w:color w:val="666155"/>
                          <w:spacing w:val="4"/>
                          <w:sz w:val="16"/>
                          <w:szCs w:val="16"/>
                        </w:rPr>
                        <w:t>GRAPH</w:t>
                      </w:r>
                      <w:r>
                        <w:rPr>
                          <w:rFonts w:ascii="Segoe UI Semibold" w:hAnsi="Segoe UI Semibold" w:cs="Segoe UI Semibold" w:eastAsia="Segoe UI Semibold"/>
                          <w:b/>
                          <w:bCs/>
                          <w:color w:val="666155"/>
                          <w:sz w:val="16"/>
                          <w:szCs w:val="16"/>
                        </w:rPr>
                        <w:t> 15: </w:t>
                      </w:r>
                      <w:r>
                        <w:rPr>
                          <w:rFonts w:ascii="Segoe UI Semibold" w:hAnsi="Segoe UI Semibold" w:cs="Segoe UI Semibold" w:eastAsia="Segoe UI Semibold"/>
                          <w:b/>
                          <w:bCs/>
                          <w:color w:val="666155"/>
                          <w:spacing w:val="3"/>
                          <w:sz w:val="16"/>
                          <w:szCs w:val="16"/>
                        </w:rPr>
                        <w:t>COMPARISON </w:t>
                      </w:r>
                      <w:r>
                        <w:rPr>
                          <w:rFonts w:ascii="Segoe UI Semibold" w:hAnsi="Segoe UI Semibold" w:cs="Segoe UI Semibold" w:eastAsia="Segoe UI Semibold"/>
                          <w:b/>
                          <w:bCs/>
                          <w:color w:val="666155"/>
                          <w:spacing w:val="2"/>
                          <w:sz w:val="16"/>
                          <w:szCs w:val="16"/>
                        </w:rPr>
                        <w:t>OF</w:t>
                      </w:r>
                      <w:r>
                        <w:rPr>
                          <w:rFonts w:ascii="Segoe UI Semibold" w:hAnsi="Segoe UI Semibold" w:cs="Segoe UI Semibold" w:eastAsia="Segoe UI Semibold"/>
                          <w:b/>
                          <w:bCs/>
                          <w:color w:val="666155"/>
                          <w:spacing w:val="3"/>
                          <w:sz w:val="16"/>
                          <w:szCs w:val="16"/>
                        </w:rPr>
                        <w:t> ANNUAL </w:t>
                      </w:r>
                      <w:r>
                        <w:rPr>
                          <w:rFonts w:ascii="Segoe UI Semibold" w:hAnsi="Segoe UI Semibold" w:cs="Segoe UI Semibold" w:eastAsia="Segoe UI Semibold"/>
                          <w:b/>
                          <w:bCs/>
                          <w:color w:val="666155"/>
                          <w:spacing w:val="2"/>
                          <w:sz w:val="16"/>
                          <w:szCs w:val="16"/>
                        </w:rPr>
                        <w:t>AVERAGE</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spacing w:val="4"/>
                          <w:sz w:val="16"/>
                          <w:szCs w:val="16"/>
                        </w:rPr>
                        <w:t>REVENUE,</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3"/>
                          <w:sz w:val="16"/>
                          <w:szCs w:val="16"/>
                        </w:rPr>
                        <w:t>COST AND </w:t>
                      </w:r>
                      <w:r>
                        <w:rPr>
                          <w:rFonts w:ascii="Segoe UI Semibold" w:hAnsi="Segoe UI Semibold" w:cs="Segoe UI Semibold" w:eastAsia="Segoe UI Semibold"/>
                          <w:b/>
                          <w:bCs/>
                          <w:color w:val="666155"/>
                          <w:spacing w:val="2"/>
                          <w:sz w:val="16"/>
                          <w:szCs w:val="16"/>
                        </w:rPr>
                        <w:t>LOSS</w:t>
                      </w:r>
                      <w:r>
                        <w:rPr>
                          <w:rFonts w:ascii="Segoe UI Semibold" w:hAnsi="Segoe UI Semibold" w:cs="Segoe UI Semibold" w:eastAsia="Segoe UI Semibold"/>
                          <w:b/>
                          <w:bCs/>
                          <w:color w:val="666155"/>
                          <w:spacing w:val="3"/>
                          <w:sz w:val="16"/>
                          <w:szCs w:val="16"/>
                        </w:rPr>
                        <w:t> PER </w:t>
                      </w:r>
                      <w:r>
                        <w:rPr>
                          <w:rFonts w:ascii="Segoe UI Semibold" w:hAnsi="Segoe UI Semibold" w:cs="Segoe UI Semibold" w:eastAsia="Segoe UI Semibold"/>
                          <w:b/>
                          <w:bCs/>
                          <w:color w:val="666155"/>
                          <w:spacing w:val="4"/>
                          <w:sz w:val="16"/>
                          <w:szCs w:val="16"/>
                        </w:rPr>
                        <w:t>BOARDER</w:t>
                      </w:r>
                      <w:r>
                        <w:rPr>
                          <w:rFonts w:ascii="Segoe UI Semibold" w:hAnsi="Segoe UI Semibold" w:cs="Segoe UI Semibold" w:eastAsia="Segoe UI Semibold"/>
                          <w:b/>
                          <w:bCs/>
                          <w:color w:val="666155"/>
                          <w:sz w:val="16"/>
                          <w:szCs w:val="16"/>
                        </w:rPr>
                        <w:t> 2015</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position w:val="1"/>
                          <w:sz w:val="16"/>
                          <w:szCs w:val="16"/>
                        </w:rPr>
                        <w:t>—</w:t>
                      </w:r>
                      <w:r>
                        <w:rPr>
                          <w:rFonts w:ascii="Segoe UI Semibold" w:hAnsi="Segoe UI Semibold" w:cs="Segoe UI Semibold" w:eastAsia="Segoe UI Semibold"/>
                          <w:b/>
                          <w:bCs/>
                          <w:color w:val="666155"/>
                          <w:spacing w:val="-2"/>
                          <w:position w:val="1"/>
                          <w:sz w:val="16"/>
                          <w:szCs w:val="16"/>
                        </w:rPr>
                        <w:t> </w:t>
                      </w:r>
                      <w:r>
                        <w:rPr>
                          <w:rFonts w:ascii="Segoe UI Semibold" w:hAnsi="Segoe UI Semibold" w:cs="Segoe UI Semibold" w:eastAsia="Segoe UI Semibold"/>
                          <w:b/>
                          <w:bCs/>
                          <w:color w:val="666155"/>
                          <w:spacing w:val="-1"/>
                          <w:sz w:val="16"/>
                          <w:szCs w:val="16"/>
                        </w:rPr>
                        <w:t>2017:</w:t>
                      </w:r>
                      <w:r>
                        <w:rPr>
                          <w:rFonts w:ascii="Segoe UI Semibold" w:hAnsi="Segoe UI Semibold" w:cs="Segoe UI Semibold" w:eastAsia="Segoe UI Semibold"/>
                          <w:sz w:val="16"/>
                          <w:szCs w:val="16"/>
                        </w:rPr>
                      </w:r>
                    </w:p>
                    <w:p>
                      <w:pPr>
                        <w:spacing w:line="206" w:lineRule="exact" w:before="0"/>
                        <w:ind w:left="431" w:right="0" w:hanging="432"/>
                        <w:jc w:val="left"/>
                        <w:rPr>
                          <w:rFonts w:ascii="Segoe UI Semibold" w:hAnsi="Segoe UI Semibold" w:cs="Segoe UI Semibold" w:eastAsia="Segoe UI Semibold"/>
                          <w:sz w:val="16"/>
                          <w:szCs w:val="16"/>
                        </w:rPr>
                      </w:pPr>
                      <w:r>
                        <w:rPr>
                          <w:rFonts w:ascii="Segoe UI Semibold"/>
                          <w:b/>
                          <w:color w:val="666155"/>
                          <w:spacing w:val="4"/>
                          <w:sz w:val="16"/>
                        </w:rPr>
                        <w:t>ABORIGINAL</w:t>
                      </w:r>
                      <w:r>
                        <w:rPr>
                          <w:rFonts w:ascii="Segoe UI Semibold"/>
                          <w:b/>
                          <w:color w:val="666155"/>
                          <w:spacing w:val="-2"/>
                          <w:sz w:val="16"/>
                        </w:rPr>
                        <w:t> </w:t>
                      </w:r>
                      <w:r>
                        <w:rPr>
                          <w:rFonts w:ascii="Segoe UI Semibold"/>
                          <w:b/>
                          <w:color w:val="666155"/>
                          <w:spacing w:val="3"/>
                          <w:sz w:val="16"/>
                        </w:rPr>
                        <w:t>AND</w:t>
                      </w:r>
                      <w:r>
                        <w:rPr>
                          <w:rFonts w:ascii="Segoe UI Semibold"/>
                          <w:b/>
                          <w:color w:val="666155"/>
                          <w:spacing w:val="-1"/>
                          <w:sz w:val="16"/>
                        </w:rPr>
                        <w:t> </w:t>
                      </w:r>
                      <w:r>
                        <w:rPr>
                          <w:rFonts w:ascii="Segoe UI Semibold"/>
                          <w:b/>
                          <w:color w:val="666155"/>
                          <w:spacing w:val="3"/>
                          <w:sz w:val="16"/>
                        </w:rPr>
                        <w:t>TORRES</w:t>
                      </w:r>
                      <w:r>
                        <w:rPr>
                          <w:rFonts w:ascii="Segoe UI Semibold"/>
                          <w:b/>
                          <w:color w:val="666155"/>
                          <w:spacing w:val="-2"/>
                          <w:sz w:val="16"/>
                        </w:rPr>
                        <w:t> </w:t>
                      </w:r>
                      <w:r>
                        <w:rPr>
                          <w:rFonts w:ascii="Segoe UI Semibold"/>
                          <w:b/>
                          <w:color w:val="666155"/>
                          <w:spacing w:val="4"/>
                          <w:sz w:val="16"/>
                        </w:rPr>
                        <w:t>STRAIT</w:t>
                      </w:r>
                      <w:r>
                        <w:rPr>
                          <w:rFonts w:ascii="Segoe UI Semibold"/>
                          <w:b/>
                          <w:color w:val="666155"/>
                          <w:spacing w:val="-2"/>
                          <w:sz w:val="16"/>
                        </w:rPr>
                        <w:t> </w:t>
                      </w:r>
                      <w:r>
                        <w:rPr>
                          <w:rFonts w:ascii="Segoe UI Semibold"/>
                          <w:b/>
                          <w:color w:val="666155"/>
                          <w:spacing w:val="4"/>
                          <w:sz w:val="16"/>
                        </w:rPr>
                        <w:t>ISLANDER</w:t>
                      </w:r>
                      <w:r>
                        <w:rPr>
                          <w:rFonts w:ascii="Segoe UI Semibold"/>
                          <w:b/>
                          <w:color w:val="666155"/>
                          <w:spacing w:val="-2"/>
                          <w:sz w:val="16"/>
                        </w:rPr>
                        <w:t> </w:t>
                      </w:r>
                      <w:r>
                        <w:rPr>
                          <w:rFonts w:ascii="Segoe UI Semibold"/>
                          <w:b/>
                          <w:color w:val="666155"/>
                          <w:spacing w:val="4"/>
                          <w:sz w:val="16"/>
                        </w:rPr>
                        <w:t>BOARDING</w:t>
                      </w:r>
                      <w:r>
                        <w:rPr>
                          <w:rFonts w:ascii="Segoe UI Semibold"/>
                          <w:b/>
                          <w:color w:val="666155"/>
                          <w:spacing w:val="-2"/>
                          <w:sz w:val="16"/>
                        </w:rPr>
                        <w:t> </w:t>
                      </w:r>
                      <w:r>
                        <w:rPr>
                          <w:rFonts w:ascii="Segoe UI Semibold"/>
                          <w:b/>
                          <w:color w:val="666155"/>
                          <w:spacing w:val="4"/>
                          <w:sz w:val="16"/>
                        </w:rPr>
                        <w:t>PROVIDERS</w:t>
                      </w:r>
                      <w:r>
                        <w:rPr>
                          <w:rFonts w:ascii="Segoe UI Semibold"/>
                          <w:sz w:val="16"/>
                        </w:rPr>
                      </w:r>
                    </w:p>
                    <w:p>
                      <w:pPr>
                        <w:spacing w:line="240" w:lineRule="auto" w:before="0"/>
                        <w:rPr>
                          <w:rFonts w:ascii="Times New Roman" w:hAnsi="Times New Roman" w:cs="Times New Roman" w:eastAsia="Times New Roman"/>
                          <w:sz w:val="16"/>
                          <w:szCs w:val="16"/>
                        </w:rPr>
                      </w:pPr>
                    </w:p>
                    <w:p>
                      <w:pPr>
                        <w:spacing w:before="112"/>
                        <w:ind w:left="431" w:right="0" w:firstLine="0"/>
                        <w:jc w:val="left"/>
                        <w:rPr>
                          <w:rFonts w:ascii="Segoe UI" w:hAnsi="Segoe UI" w:cs="Segoe UI" w:eastAsia="Segoe UI"/>
                          <w:sz w:val="15"/>
                          <w:szCs w:val="15"/>
                        </w:rPr>
                      </w:pPr>
                      <w:r>
                        <w:rPr>
                          <w:rFonts w:ascii="Segoe UI"/>
                          <w:color w:val="77787B"/>
                          <w:spacing w:val="-1"/>
                          <w:sz w:val="15"/>
                        </w:rPr>
                        <w:t>30,000</w:t>
                      </w:r>
                      <w:r>
                        <w:rPr>
                          <w:rFonts w:ascii="Segoe UI"/>
                          <w:sz w:val="15"/>
                        </w:rPr>
                      </w:r>
                    </w:p>
                    <w:p>
                      <w:pPr>
                        <w:spacing w:line="240" w:lineRule="auto" w:before="1"/>
                        <w:rPr>
                          <w:rFonts w:ascii="Times New Roman" w:hAnsi="Times New Roman" w:cs="Times New Roman" w:eastAsia="Times New Roman"/>
                          <w:sz w:val="13"/>
                          <w:szCs w:val="13"/>
                        </w:rPr>
                      </w:pPr>
                    </w:p>
                    <w:p>
                      <w:pPr>
                        <w:spacing w:before="0"/>
                        <w:ind w:left="431" w:right="0" w:firstLine="0"/>
                        <w:jc w:val="left"/>
                        <w:rPr>
                          <w:rFonts w:ascii="Segoe UI" w:hAnsi="Segoe UI" w:cs="Segoe UI" w:eastAsia="Segoe UI"/>
                          <w:sz w:val="15"/>
                          <w:szCs w:val="15"/>
                        </w:rPr>
                      </w:pPr>
                      <w:r>
                        <w:rPr>
                          <w:rFonts w:ascii="Segoe UI"/>
                          <w:color w:val="77787B"/>
                          <w:spacing w:val="-1"/>
                          <w:sz w:val="15"/>
                        </w:rPr>
                        <w:t>25,000</w:t>
                      </w:r>
                      <w:r>
                        <w:rPr>
                          <w:rFonts w:ascii="Segoe UI"/>
                          <w:sz w:val="15"/>
                        </w:rPr>
                      </w:r>
                    </w:p>
                    <w:p>
                      <w:pPr>
                        <w:spacing w:line="240" w:lineRule="auto" w:before="1"/>
                        <w:rPr>
                          <w:rFonts w:ascii="Times New Roman" w:hAnsi="Times New Roman" w:cs="Times New Roman" w:eastAsia="Times New Roman"/>
                          <w:sz w:val="13"/>
                          <w:szCs w:val="13"/>
                        </w:rPr>
                      </w:pPr>
                    </w:p>
                    <w:p>
                      <w:pPr>
                        <w:spacing w:before="0"/>
                        <w:ind w:left="431" w:right="0" w:firstLine="0"/>
                        <w:jc w:val="left"/>
                        <w:rPr>
                          <w:rFonts w:ascii="Segoe UI" w:hAnsi="Segoe UI" w:cs="Segoe UI" w:eastAsia="Segoe UI"/>
                          <w:sz w:val="15"/>
                          <w:szCs w:val="15"/>
                        </w:rPr>
                      </w:pPr>
                      <w:r>
                        <w:rPr>
                          <w:rFonts w:ascii="Segoe UI"/>
                          <w:color w:val="77787B"/>
                          <w:spacing w:val="-1"/>
                          <w:sz w:val="15"/>
                        </w:rPr>
                        <w:t>20,000</w:t>
                      </w:r>
                      <w:r>
                        <w:rPr>
                          <w:rFonts w:ascii="Segoe UI"/>
                          <w:sz w:val="15"/>
                        </w:rPr>
                      </w:r>
                    </w:p>
                    <w:p>
                      <w:pPr>
                        <w:spacing w:line="240" w:lineRule="auto" w:before="1"/>
                        <w:rPr>
                          <w:rFonts w:ascii="Times New Roman" w:hAnsi="Times New Roman" w:cs="Times New Roman" w:eastAsia="Times New Roman"/>
                          <w:sz w:val="13"/>
                          <w:szCs w:val="13"/>
                        </w:rPr>
                      </w:pPr>
                    </w:p>
                    <w:p>
                      <w:pPr>
                        <w:spacing w:before="0"/>
                        <w:ind w:left="431" w:right="0" w:firstLine="0"/>
                        <w:jc w:val="left"/>
                        <w:rPr>
                          <w:rFonts w:ascii="Segoe UI" w:hAnsi="Segoe UI" w:cs="Segoe UI" w:eastAsia="Segoe UI"/>
                          <w:sz w:val="15"/>
                          <w:szCs w:val="15"/>
                        </w:rPr>
                      </w:pPr>
                      <w:r>
                        <w:rPr>
                          <w:rFonts w:ascii="Segoe UI"/>
                          <w:color w:val="77787B"/>
                          <w:spacing w:val="-1"/>
                          <w:sz w:val="15"/>
                        </w:rPr>
                        <w:t>15,000</w:t>
                      </w:r>
                      <w:r>
                        <w:rPr>
                          <w:rFonts w:ascii="Segoe UI"/>
                          <w:sz w:val="15"/>
                        </w:rPr>
                      </w:r>
                    </w:p>
                    <w:p>
                      <w:pPr>
                        <w:spacing w:line="240" w:lineRule="auto" w:before="1"/>
                        <w:rPr>
                          <w:rFonts w:ascii="Times New Roman" w:hAnsi="Times New Roman" w:cs="Times New Roman" w:eastAsia="Times New Roman"/>
                          <w:sz w:val="13"/>
                          <w:szCs w:val="13"/>
                        </w:rPr>
                      </w:pPr>
                    </w:p>
                    <w:p>
                      <w:pPr>
                        <w:spacing w:before="0"/>
                        <w:ind w:left="431" w:right="0" w:firstLine="0"/>
                        <w:jc w:val="left"/>
                        <w:rPr>
                          <w:rFonts w:ascii="Segoe UI" w:hAnsi="Segoe UI" w:cs="Segoe UI" w:eastAsia="Segoe UI"/>
                          <w:sz w:val="15"/>
                          <w:szCs w:val="15"/>
                        </w:rPr>
                      </w:pPr>
                      <w:r>
                        <w:rPr>
                          <w:rFonts w:ascii="Segoe UI"/>
                          <w:color w:val="77787B"/>
                          <w:spacing w:val="-1"/>
                          <w:sz w:val="15"/>
                        </w:rPr>
                        <w:t>10,000</w:t>
                      </w:r>
                      <w:r>
                        <w:rPr>
                          <w:rFonts w:ascii="Segoe UI"/>
                          <w:sz w:val="15"/>
                        </w:rPr>
                      </w:r>
                    </w:p>
                    <w:p>
                      <w:pPr>
                        <w:spacing w:line="240" w:lineRule="auto" w:before="1"/>
                        <w:rPr>
                          <w:rFonts w:ascii="Times New Roman" w:hAnsi="Times New Roman" w:cs="Times New Roman" w:eastAsia="Times New Roman"/>
                          <w:sz w:val="13"/>
                          <w:szCs w:val="13"/>
                        </w:rPr>
                      </w:pPr>
                    </w:p>
                    <w:p>
                      <w:pPr>
                        <w:spacing w:before="0"/>
                        <w:ind w:left="0" w:right="6525" w:firstLine="0"/>
                        <w:jc w:val="center"/>
                        <w:rPr>
                          <w:rFonts w:ascii="Segoe UI" w:hAnsi="Segoe UI" w:cs="Segoe UI" w:eastAsia="Segoe UI"/>
                          <w:sz w:val="15"/>
                          <w:szCs w:val="15"/>
                        </w:rPr>
                      </w:pPr>
                      <w:r>
                        <w:rPr>
                          <w:rFonts w:ascii="Segoe UI"/>
                          <w:color w:val="77787B"/>
                          <w:spacing w:val="-1"/>
                          <w:sz w:val="15"/>
                        </w:rPr>
                        <w:t>5,000</w:t>
                      </w:r>
                      <w:r>
                        <w:rPr>
                          <w:rFonts w:ascii="Segoe UI"/>
                          <w:sz w:val="15"/>
                        </w:rPr>
                      </w:r>
                    </w:p>
                    <w:p>
                      <w:pPr>
                        <w:spacing w:line="240" w:lineRule="auto" w:before="1"/>
                        <w:rPr>
                          <w:rFonts w:ascii="Times New Roman" w:hAnsi="Times New Roman" w:cs="Times New Roman" w:eastAsia="Times New Roman"/>
                          <w:sz w:val="13"/>
                          <w:szCs w:val="13"/>
                        </w:rPr>
                      </w:pPr>
                    </w:p>
                    <w:p>
                      <w:pPr>
                        <w:spacing w:before="0"/>
                        <w:ind w:left="789" w:right="0" w:firstLine="0"/>
                        <w:jc w:val="left"/>
                        <w:rPr>
                          <w:rFonts w:ascii="Segoe UI" w:hAnsi="Segoe UI" w:cs="Segoe UI" w:eastAsia="Segoe UI"/>
                          <w:sz w:val="15"/>
                          <w:szCs w:val="15"/>
                        </w:rPr>
                      </w:pPr>
                      <w:r>
                        <w:rPr>
                          <w:rFonts w:ascii="Segoe UI"/>
                          <w:color w:val="77787B"/>
                          <w:sz w:val="15"/>
                        </w:rPr>
                        <w:t>0</w:t>
                      </w:r>
                      <w:r>
                        <w:rPr>
                          <w:rFonts w:ascii="Segoe UI"/>
                          <w:sz w:val="15"/>
                        </w:rPr>
                      </w:r>
                    </w:p>
                    <w:p>
                      <w:pPr>
                        <w:spacing w:line="240" w:lineRule="auto" w:before="1"/>
                        <w:rPr>
                          <w:rFonts w:ascii="Times New Roman" w:hAnsi="Times New Roman" w:cs="Times New Roman" w:eastAsia="Times New Roman"/>
                          <w:sz w:val="13"/>
                          <w:szCs w:val="13"/>
                        </w:rPr>
                      </w:pPr>
                    </w:p>
                    <w:p>
                      <w:pPr>
                        <w:spacing w:before="0"/>
                        <w:ind w:left="421" w:right="0" w:firstLine="0"/>
                        <w:jc w:val="left"/>
                        <w:rPr>
                          <w:rFonts w:ascii="Segoe UI" w:hAnsi="Segoe UI" w:cs="Segoe UI" w:eastAsia="Segoe UI"/>
                          <w:sz w:val="15"/>
                          <w:szCs w:val="15"/>
                        </w:rPr>
                      </w:pPr>
                      <w:r>
                        <w:rPr>
                          <w:rFonts w:ascii="Segoe UI"/>
                          <w:color w:val="77787B"/>
                          <w:spacing w:val="-1"/>
                          <w:sz w:val="15"/>
                        </w:rPr>
                        <w:t>(5,000)</w:t>
                      </w:r>
                      <w:r>
                        <w:rPr>
                          <w:rFonts w:ascii="Segoe UI"/>
                          <w:sz w:val="15"/>
                        </w:rPr>
                      </w:r>
                    </w:p>
                    <w:p>
                      <w:pPr>
                        <w:spacing w:line="240" w:lineRule="auto" w:before="1"/>
                        <w:rPr>
                          <w:rFonts w:ascii="Times New Roman" w:hAnsi="Times New Roman" w:cs="Times New Roman" w:eastAsia="Times New Roman"/>
                          <w:sz w:val="13"/>
                          <w:szCs w:val="13"/>
                        </w:rPr>
                      </w:pPr>
                    </w:p>
                    <w:p>
                      <w:pPr>
                        <w:spacing w:before="0"/>
                        <w:ind w:left="0" w:right="6698" w:firstLine="0"/>
                        <w:jc w:val="center"/>
                        <w:rPr>
                          <w:rFonts w:ascii="Segoe UI" w:hAnsi="Segoe UI" w:cs="Segoe UI" w:eastAsia="Segoe UI"/>
                          <w:sz w:val="15"/>
                          <w:szCs w:val="15"/>
                        </w:rPr>
                      </w:pPr>
                      <w:r>
                        <w:rPr>
                          <w:rFonts w:ascii="Segoe UI"/>
                          <w:color w:val="77787B"/>
                          <w:spacing w:val="-1"/>
                          <w:sz w:val="15"/>
                        </w:rPr>
                        <w:t>(10,000)</w:t>
                      </w:r>
                      <w:r>
                        <w:rPr>
                          <w:rFonts w:ascii="Segoe UI"/>
                          <w:sz w:val="15"/>
                        </w:rPr>
                      </w:r>
                    </w:p>
                    <w:p>
                      <w:pPr>
                        <w:tabs>
                          <w:tab w:pos="3404" w:val="left" w:leader="none"/>
                        </w:tabs>
                        <w:spacing w:line="198" w:lineRule="exact" w:before="21"/>
                        <w:ind w:left="1709" w:right="0" w:firstLine="0"/>
                        <w:jc w:val="left"/>
                        <w:rPr>
                          <w:rFonts w:ascii="Segoe UI" w:hAnsi="Segoe UI" w:cs="Segoe UI" w:eastAsia="Segoe UI"/>
                          <w:sz w:val="15"/>
                          <w:szCs w:val="15"/>
                        </w:rPr>
                      </w:pPr>
                      <w:r>
                        <w:rPr>
                          <w:rFonts w:ascii="Segoe UI"/>
                          <w:color w:val="77787B"/>
                          <w:spacing w:val="-1"/>
                          <w:sz w:val="15"/>
                        </w:rPr>
                        <w:t>2015</w:t>
                        <w:tab/>
                        <w:t>2016</w:t>
                      </w:r>
                      <w:r>
                        <w:rPr>
                          <w:rFonts w:ascii="Segoe UI"/>
                          <w:sz w:val="15"/>
                        </w:rPr>
                      </w:r>
                    </w:p>
                  </w:txbxContent>
                </v:textbox>
                <w10:wrap type="none"/>
              </v:shape>
              <v:shape style="position:absolute;left:3610;top:6484;width:1949;height:152" type="#_x0000_t202" filled="false" stroked="false">
                <v:textbox inset="0,0,0,0">
                  <w:txbxContent>
                    <w:p>
                      <w:pPr>
                        <w:spacing w:line="151" w:lineRule="exact" w:before="0"/>
                        <w:ind w:left="0" w:right="0" w:firstLine="0"/>
                        <w:jc w:val="left"/>
                        <w:rPr>
                          <w:rFonts w:ascii="Segoe UI" w:hAnsi="Segoe UI" w:cs="Segoe UI" w:eastAsia="Segoe UI"/>
                          <w:sz w:val="15"/>
                          <w:szCs w:val="15"/>
                        </w:rPr>
                      </w:pPr>
                      <w:r>
                        <w:rPr>
                          <w:rFonts w:ascii="Segoe UI"/>
                          <w:color w:val="77787B"/>
                          <w:spacing w:val="-1"/>
                          <w:sz w:val="15"/>
                        </w:rPr>
                        <w:t>Average</w:t>
                      </w:r>
                      <w:r>
                        <w:rPr>
                          <w:rFonts w:ascii="Segoe UI"/>
                          <w:color w:val="77787B"/>
                          <w:sz w:val="15"/>
                        </w:rPr>
                        <w:t> </w:t>
                      </w:r>
                      <w:r>
                        <w:rPr>
                          <w:rFonts w:ascii="Segoe UI"/>
                          <w:color w:val="77787B"/>
                          <w:spacing w:val="-1"/>
                          <w:sz w:val="15"/>
                        </w:rPr>
                        <w:t>revenue per boarder</w:t>
                      </w:r>
                      <w:r>
                        <w:rPr>
                          <w:rFonts w:ascii="Segoe UI"/>
                          <w:sz w:val="15"/>
                        </w:rPr>
                      </w:r>
                    </w:p>
                  </w:txbxContent>
                </v:textbox>
                <w10:wrap type="none"/>
              </v:shape>
              <v:shape style="position:absolute;left:6437;top:6303;width:1689;height:333" type="#_x0000_t202" filled="false" stroked="false">
                <v:textbox inset="0,0,0,0">
                  <w:txbxContent>
                    <w:p>
                      <w:pPr>
                        <w:spacing w:line="143" w:lineRule="exact" w:before="0"/>
                        <w:ind w:left="0" w:right="61" w:firstLine="0"/>
                        <w:jc w:val="center"/>
                        <w:rPr>
                          <w:rFonts w:ascii="Segoe UI" w:hAnsi="Segoe UI" w:cs="Segoe UI" w:eastAsia="Segoe UI"/>
                          <w:sz w:val="15"/>
                          <w:szCs w:val="15"/>
                        </w:rPr>
                      </w:pPr>
                      <w:r>
                        <w:rPr>
                          <w:rFonts w:ascii="Segoe UI"/>
                          <w:color w:val="77787B"/>
                          <w:spacing w:val="-1"/>
                          <w:sz w:val="15"/>
                        </w:rPr>
                        <w:t>2017</w:t>
                      </w:r>
                      <w:r>
                        <w:rPr>
                          <w:rFonts w:ascii="Segoe UI"/>
                          <w:sz w:val="15"/>
                        </w:rPr>
                      </w:r>
                    </w:p>
                    <w:p>
                      <w:pPr>
                        <w:spacing w:line="189" w:lineRule="exact" w:before="0"/>
                        <w:ind w:left="-1" w:right="0" w:firstLine="0"/>
                        <w:jc w:val="center"/>
                        <w:rPr>
                          <w:rFonts w:ascii="Segoe UI" w:hAnsi="Segoe UI" w:cs="Segoe UI" w:eastAsia="Segoe UI"/>
                          <w:sz w:val="15"/>
                          <w:szCs w:val="15"/>
                        </w:rPr>
                      </w:pPr>
                      <w:r>
                        <w:rPr>
                          <w:rFonts w:ascii="Segoe UI"/>
                          <w:color w:val="77787B"/>
                          <w:spacing w:val="-1"/>
                          <w:sz w:val="15"/>
                        </w:rPr>
                        <w:t>Average cost per</w:t>
                      </w:r>
                      <w:r>
                        <w:rPr>
                          <w:rFonts w:ascii="Segoe UI"/>
                          <w:color w:val="77787B"/>
                          <w:spacing w:val="1"/>
                          <w:sz w:val="15"/>
                        </w:rPr>
                        <w:t> </w:t>
                      </w:r>
                      <w:r>
                        <w:rPr>
                          <w:rFonts w:ascii="Segoe UI"/>
                          <w:color w:val="77787B"/>
                          <w:spacing w:val="-1"/>
                          <w:sz w:val="15"/>
                        </w:rPr>
                        <w:t>boarder</w:t>
                      </w:r>
                      <w:r>
                        <w:rPr>
                          <w:rFonts w:ascii="Segoe UI"/>
                          <w:sz w:val="15"/>
                        </w:rPr>
                      </w:r>
                    </w:p>
                  </w:txbxContent>
                </v:textbox>
                <w10:wrap type="none"/>
              </v:shape>
              <v:shape style="position:absolute;left:8672;top:6303;width:544;height:152" type="#_x0000_t202" filled="false" stroked="false">
                <v:textbox inset="0,0,0,0">
                  <w:txbxContent>
                    <w:p>
                      <w:pPr>
                        <w:spacing w:line="151" w:lineRule="exact" w:before="0"/>
                        <w:ind w:left="0" w:right="0" w:firstLine="0"/>
                        <w:jc w:val="left"/>
                        <w:rPr>
                          <w:rFonts w:ascii="Segoe UI" w:hAnsi="Segoe UI" w:cs="Segoe UI" w:eastAsia="Segoe UI"/>
                          <w:sz w:val="15"/>
                          <w:szCs w:val="15"/>
                        </w:rPr>
                      </w:pPr>
                      <w:r>
                        <w:rPr>
                          <w:rFonts w:ascii="Segoe UI"/>
                          <w:color w:val="77787B"/>
                          <w:spacing w:val="-1"/>
                          <w:sz w:val="15"/>
                        </w:rPr>
                        <w:t>Average</w:t>
                      </w:r>
                      <w:r>
                        <w:rPr>
                          <w:rFonts w:ascii="Segoe UI"/>
                          <w:sz w:val="15"/>
                        </w:rPr>
                      </w:r>
                    </w:p>
                  </w:txbxContent>
                </v:textbox>
                <w10:wrap type="none"/>
              </v:shape>
              <v:shape style="position:absolute;left:3610;top:6796;width:2379;height:152" type="#_x0000_t202" filled="false" stroked="false">
                <v:textbox inset="0,0,0,0">
                  <w:txbxContent>
                    <w:p>
                      <w:pPr>
                        <w:spacing w:line="151" w:lineRule="exact" w:before="0"/>
                        <w:ind w:left="0" w:right="0" w:firstLine="0"/>
                        <w:jc w:val="left"/>
                        <w:rPr>
                          <w:rFonts w:ascii="Segoe UI" w:hAnsi="Segoe UI" w:cs="Segoe UI" w:eastAsia="Segoe UI"/>
                          <w:sz w:val="15"/>
                          <w:szCs w:val="15"/>
                        </w:rPr>
                      </w:pPr>
                      <w:r>
                        <w:rPr>
                          <w:rFonts w:ascii="Segoe UI"/>
                          <w:color w:val="77787B"/>
                          <w:spacing w:val="-1"/>
                          <w:sz w:val="15"/>
                        </w:rPr>
                        <w:t>Average</w:t>
                      </w:r>
                      <w:r>
                        <w:rPr>
                          <w:rFonts w:ascii="Segoe UI"/>
                          <w:color w:val="77787B"/>
                          <w:spacing w:val="-2"/>
                          <w:sz w:val="15"/>
                        </w:rPr>
                        <w:t> </w:t>
                      </w:r>
                      <w:r>
                        <w:rPr>
                          <w:rFonts w:ascii="Segoe UI"/>
                          <w:color w:val="77787B"/>
                          <w:spacing w:val="-1"/>
                          <w:sz w:val="15"/>
                        </w:rPr>
                        <w:t>surplus </w:t>
                      </w:r>
                      <w:r>
                        <w:rPr>
                          <w:rFonts w:ascii="Segoe UI"/>
                          <w:color w:val="77787B"/>
                          <w:sz w:val="15"/>
                        </w:rPr>
                        <w:t>/</w:t>
                      </w:r>
                      <w:r>
                        <w:rPr>
                          <w:rFonts w:ascii="Segoe UI"/>
                          <w:color w:val="77787B"/>
                          <w:spacing w:val="-1"/>
                          <w:sz w:val="15"/>
                        </w:rPr>
                        <w:t> (loss)</w:t>
                      </w:r>
                      <w:r>
                        <w:rPr>
                          <w:rFonts w:ascii="Segoe UI"/>
                          <w:color w:val="77787B"/>
                          <w:spacing w:val="1"/>
                          <w:sz w:val="15"/>
                        </w:rPr>
                        <w:t> </w:t>
                      </w:r>
                      <w:r>
                        <w:rPr>
                          <w:rFonts w:ascii="Segoe UI"/>
                          <w:color w:val="77787B"/>
                          <w:spacing w:val="-1"/>
                          <w:sz w:val="15"/>
                        </w:rPr>
                        <w:t>per boarder</w:t>
                      </w:r>
                      <w:r>
                        <w:rPr>
                          <w:rFonts w:ascii="Segoe UI"/>
                          <w:sz w:val="15"/>
                        </w:rPr>
                      </w:r>
                    </w:p>
                  </w:txbxContent>
                </v:textbox>
                <w10:wrap type="none"/>
              </v:shape>
            </v:group>
            <w10:wrap type="none"/>
          </v:group>
        </w:pict>
      </w:r>
      <w:r>
        <w:rPr/>
        <w:pict>
          <v:shape style="position:absolute;margin-left:102.924301pt;margin-top:521.949524pt;width:9.75pt;height:6.2pt;mso-position-horizontal-relative:page;mso-position-vertical-relative:page;z-index:6328" type="#_x0000_t202" filled="false" stroked="false">
            <v:textbox inset="0,0,0,0" style="layout-flow:vertical;mso-layout-flow-alt:bottom-to-top">
              <w:txbxContent>
                <w:p>
                  <w:pPr>
                    <w:spacing w:line="175" w:lineRule="exact" w:before="0"/>
                    <w:ind w:left="20" w:right="0" w:firstLine="0"/>
                    <w:jc w:val="left"/>
                    <w:rPr>
                      <w:rFonts w:ascii="Segoe UI" w:hAnsi="Segoe UI" w:cs="Segoe UI" w:eastAsia="Segoe UI"/>
                      <w:sz w:val="15"/>
                      <w:szCs w:val="15"/>
                    </w:rPr>
                  </w:pPr>
                  <w:r>
                    <w:rPr>
                      <w:rFonts w:ascii="Segoe UI"/>
                      <w:color w:val="77787B"/>
                      <w:w w:val="102"/>
                      <w:sz w:val="15"/>
                    </w:rPr>
                    <w:t>$</w:t>
                  </w:r>
                  <w:r>
                    <w:rPr>
                      <w:rFonts w:ascii="Segoe UI"/>
                      <w:sz w:val="15"/>
                    </w:rPr>
                  </w:r>
                </w:p>
              </w:txbxContent>
            </v:textbox>
            <w10:wrap type="none"/>
          </v:shape>
        </w:pict>
      </w:r>
      <w:r>
        <w:rPr/>
        <w:pict>
          <v:shape style="position:absolute;margin-left:107.717659pt;margin-top:234.311935pt;width:9.6pt;height:6.1pt;mso-position-horizontal-relative:page;mso-position-vertical-relative:page;z-index:6352" type="#_x0000_t202" filled="false" stroked="false">
            <v:textbox inset="0,0,0,0" style="layout-flow:vertical;mso-layout-flow-alt:bottom-to-top">
              <w:txbxContent>
                <w:p>
                  <w:pPr>
                    <w:spacing w:line="173" w:lineRule="exact" w:before="0"/>
                    <w:ind w:left="20" w:right="0" w:firstLine="0"/>
                    <w:jc w:val="left"/>
                    <w:rPr>
                      <w:rFonts w:ascii="Segoe UI" w:hAnsi="Segoe UI" w:cs="Segoe UI" w:eastAsia="Segoe UI"/>
                      <w:sz w:val="15"/>
                      <w:szCs w:val="15"/>
                    </w:rPr>
                  </w:pPr>
                  <w:r>
                    <w:rPr>
                      <w:rFonts w:ascii="Segoe UI"/>
                      <w:color w:val="77787B"/>
                      <w:sz w:val="15"/>
                    </w:rPr>
                    <w:t>$</w:t>
                  </w:r>
                  <w:r>
                    <w:rPr>
                      <w:rFonts w:ascii="Segoe UI"/>
                      <w:sz w:val="15"/>
                    </w:rPr>
                  </w:r>
                </w:p>
              </w:txbxContent>
            </v:textbox>
            <w10:wrap type="none"/>
          </v:shape>
        </w:pict>
      </w:r>
    </w:p>
    <w:p>
      <w:pPr>
        <w:spacing w:after="0" w:line="240" w:lineRule="auto"/>
        <w:rPr>
          <w:rFonts w:ascii="Times New Roman" w:hAnsi="Times New Roman" w:cs="Times New Roman" w:eastAsia="Times New Roman"/>
          <w:sz w:val="17"/>
          <w:szCs w:val="17"/>
        </w:rPr>
        <w:sectPr>
          <w:pgSz w:w="11910" w:h="16840"/>
          <w:pgMar w:header="0" w:footer="691" w:top="1580" w:bottom="880" w:left="1600" w:right="0"/>
        </w:sectPr>
      </w:pPr>
    </w:p>
    <w:p>
      <w:pPr>
        <w:spacing w:line="240" w:lineRule="auto" w:before="0"/>
        <w:rPr>
          <w:rFonts w:ascii="Times New Roman" w:hAnsi="Times New Roman" w:cs="Times New Roman" w:eastAsia="Times New Roman"/>
          <w:sz w:val="20"/>
          <w:szCs w:val="20"/>
        </w:rPr>
      </w:pPr>
    </w:p>
    <w:p>
      <w:pPr>
        <w:spacing w:line="240" w:lineRule="auto" w:before="1"/>
        <w:rPr>
          <w:rFonts w:ascii="Times New Roman" w:hAnsi="Times New Roman" w:cs="Times New Roman" w:eastAsia="Times New Roman"/>
          <w:sz w:val="28"/>
          <w:szCs w:val="28"/>
        </w:rPr>
      </w:pPr>
    </w:p>
    <w:p>
      <w:pPr>
        <w:spacing w:after="0" w:line="240" w:lineRule="auto"/>
        <w:rPr>
          <w:rFonts w:ascii="Times New Roman" w:hAnsi="Times New Roman" w:cs="Times New Roman" w:eastAsia="Times New Roman"/>
          <w:sz w:val="28"/>
          <w:szCs w:val="28"/>
        </w:rPr>
        <w:sectPr>
          <w:footerReference w:type="even" r:id="rId77"/>
          <w:footerReference w:type="default" r:id="rId78"/>
          <w:pgSz w:w="11910" w:h="16840"/>
          <w:pgMar w:footer="691" w:header="0" w:top="1580" w:bottom="880" w:left="1300" w:right="1600"/>
          <w:pgNumType w:start="82"/>
        </w:sectPr>
      </w:pPr>
    </w:p>
    <w:p>
      <w:pPr>
        <w:pStyle w:val="BodyText"/>
        <w:spacing w:line="250" w:lineRule="exact" w:before="62"/>
        <w:ind w:right="33"/>
        <w:jc w:val="left"/>
      </w:pP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5"/>
        </w:rPr>
        <w:t> </w:t>
      </w:r>
      <w:r>
        <w:rPr>
          <w:color w:val="231F20"/>
        </w:rPr>
        <w:t>are</w:t>
      </w:r>
      <w:r>
        <w:rPr>
          <w:color w:val="231F20"/>
          <w:spacing w:val="-5"/>
        </w:rPr>
        <w:t> </w:t>
      </w:r>
      <w:r>
        <w:rPr>
          <w:color w:val="231F20"/>
        </w:rPr>
        <w:t>using</w:t>
      </w:r>
      <w:r>
        <w:rPr>
          <w:color w:val="231F20"/>
          <w:spacing w:val="-5"/>
        </w:rPr>
        <w:t> </w:t>
      </w:r>
      <w:r>
        <w:rPr>
          <w:color w:val="231F20"/>
        </w:rPr>
        <w:t>accrued</w:t>
      </w:r>
      <w:r>
        <w:rPr>
          <w:color w:val="231F20"/>
          <w:spacing w:val="-5"/>
        </w:rPr>
        <w:t> </w:t>
      </w:r>
      <w:r>
        <w:rPr>
          <w:color w:val="231F20"/>
          <w:spacing w:val="-1"/>
        </w:rPr>
        <w:t>surpluses</w:t>
      </w:r>
      <w:r>
        <w:rPr>
          <w:color w:val="231F20"/>
          <w:spacing w:val="-4"/>
        </w:rPr>
        <w:t> </w:t>
      </w:r>
      <w:r>
        <w:rPr>
          <w:color w:val="231F20"/>
        </w:rPr>
        <w:t>or</w:t>
      </w:r>
      <w:r>
        <w:rPr>
          <w:color w:val="231F20"/>
          <w:spacing w:val="22"/>
          <w:w w:val="99"/>
        </w:rPr>
        <w:t> </w:t>
      </w:r>
      <w:r>
        <w:rPr>
          <w:color w:val="231F20"/>
        </w:rPr>
        <w:t>funding</w:t>
      </w:r>
      <w:r>
        <w:rPr>
          <w:color w:val="231F20"/>
          <w:spacing w:val="-5"/>
        </w:rPr>
        <w:t> </w:t>
      </w:r>
      <w:r>
        <w:rPr>
          <w:color w:val="231F20"/>
        </w:rPr>
        <w:t>from</w:t>
      </w:r>
      <w:r>
        <w:rPr>
          <w:color w:val="231F20"/>
          <w:spacing w:val="-5"/>
        </w:rPr>
        <w:t> </w:t>
      </w:r>
      <w:r>
        <w:rPr>
          <w:color w:val="231F20"/>
        </w:rPr>
        <w:t>other</w:t>
      </w:r>
      <w:r>
        <w:rPr>
          <w:color w:val="231F20"/>
          <w:spacing w:val="-4"/>
        </w:rPr>
        <w:t> </w:t>
      </w:r>
      <w:r>
        <w:rPr>
          <w:color w:val="231F20"/>
          <w:spacing w:val="-1"/>
        </w:rPr>
        <w:t>sources</w:t>
      </w:r>
      <w:r>
        <w:rPr>
          <w:color w:val="231F20"/>
          <w:spacing w:val="-5"/>
        </w:rPr>
        <w:t> </w:t>
      </w:r>
      <w:r>
        <w:rPr>
          <w:color w:val="231F20"/>
        </w:rPr>
        <w:t>to</w:t>
      </w:r>
      <w:r>
        <w:rPr>
          <w:color w:val="231F20"/>
          <w:spacing w:val="-4"/>
        </w:rPr>
        <w:t> </w:t>
      </w:r>
      <w:r>
        <w:rPr>
          <w:color w:val="231F20"/>
        </w:rPr>
        <w:t>address</w:t>
      </w:r>
      <w:r>
        <w:rPr>
          <w:color w:val="231F20"/>
          <w:spacing w:val="-6"/>
        </w:rPr>
        <w:t> </w:t>
      </w:r>
      <w:r>
        <w:rPr>
          <w:color w:val="231F20"/>
        </w:rPr>
        <w:t>the</w:t>
      </w:r>
      <w:r>
        <w:rPr>
          <w:color w:val="231F20"/>
          <w:spacing w:val="22"/>
          <w:w w:val="99"/>
        </w:rPr>
        <w:t> </w:t>
      </w:r>
      <w:r>
        <w:rPr>
          <w:color w:val="231F20"/>
        </w:rPr>
        <w:t>revenue</w:t>
      </w:r>
      <w:r>
        <w:rPr>
          <w:color w:val="231F20"/>
          <w:spacing w:val="-8"/>
        </w:rPr>
        <w:t> </w:t>
      </w:r>
      <w:r>
        <w:rPr>
          <w:color w:val="231F20"/>
          <w:spacing w:val="-1"/>
        </w:rPr>
        <w:t>shortfall</w:t>
      </w:r>
      <w:r>
        <w:rPr>
          <w:color w:val="231F20"/>
          <w:spacing w:val="-6"/>
        </w:rPr>
        <w:t> </w:t>
      </w:r>
      <w:r>
        <w:rPr>
          <w:color w:val="231F20"/>
          <w:spacing w:val="-1"/>
        </w:rPr>
        <w:t>in</w:t>
      </w:r>
      <w:r>
        <w:rPr>
          <w:color w:val="231F20"/>
          <w:spacing w:val="-7"/>
        </w:rPr>
        <w:t> </w:t>
      </w:r>
      <w:r>
        <w:rPr>
          <w:color w:val="231F20"/>
        </w:rPr>
        <w:t>delivering</w:t>
      </w:r>
      <w:r>
        <w:rPr>
          <w:color w:val="231F20"/>
          <w:spacing w:val="-7"/>
        </w:rPr>
        <w:t> </w:t>
      </w:r>
      <w:r>
        <w:rPr>
          <w:color w:val="231F20"/>
        </w:rPr>
        <w:t>boarding</w:t>
      </w:r>
      <w:r>
        <w:rPr>
          <w:color w:val="231F20"/>
          <w:spacing w:val="-8"/>
        </w:rPr>
        <w:t> </w:t>
      </w:r>
      <w:r>
        <w:rPr>
          <w:color w:val="231F20"/>
        </w:rPr>
        <w:t>for</w:t>
      </w:r>
      <w:r>
        <w:rPr>
          <w:color w:val="231F20"/>
          <w:spacing w:val="23"/>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8"/>
        </w:rPr>
        <w:t> </w:t>
      </w:r>
      <w:r>
        <w:rPr>
          <w:color w:val="231F20"/>
          <w:spacing w:val="-1"/>
        </w:rPr>
        <w:t>Islander</w:t>
      </w:r>
      <w:r>
        <w:rPr>
          <w:color w:val="231F20"/>
          <w:spacing w:val="-6"/>
        </w:rPr>
        <w:t> </w:t>
      </w:r>
      <w:r>
        <w:rPr>
          <w:color w:val="231F20"/>
          <w:spacing w:val="-1"/>
        </w:rPr>
        <w:t>secondary</w:t>
      </w:r>
      <w:r>
        <w:rPr>
          <w:color w:val="231F20"/>
          <w:spacing w:val="20"/>
          <w:w w:val="99"/>
        </w:rPr>
        <w:t> </w:t>
      </w:r>
      <w:r>
        <w:rPr>
          <w:color w:val="231F20"/>
          <w:spacing w:val="-1"/>
        </w:rPr>
        <w:t>students.</w:t>
      </w:r>
      <w:r>
        <w:rPr>
          <w:color w:val="231F20"/>
          <w:spacing w:val="-3"/>
        </w:rPr>
        <w:t> </w:t>
      </w:r>
      <w:r>
        <w:rPr>
          <w:color w:val="231F20"/>
        </w:rPr>
        <w:t>These</w:t>
      </w:r>
      <w:r>
        <w:rPr>
          <w:color w:val="231F20"/>
          <w:spacing w:val="-5"/>
        </w:rPr>
        <w:t> </w:t>
      </w:r>
      <w:r>
        <w:rPr>
          <w:color w:val="231F20"/>
          <w:spacing w:val="-1"/>
        </w:rPr>
        <w:t>sources</w:t>
      </w:r>
      <w:r>
        <w:rPr>
          <w:color w:val="231F20"/>
          <w:spacing w:val="-4"/>
        </w:rPr>
        <w:t> </w:t>
      </w:r>
      <w:r>
        <w:rPr>
          <w:color w:val="231F20"/>
          <w:spacing w:val="-1"/>
        </w:rPr>
        <w:t>include,</w:t>
      </w:r>
      <w:r>
        <w:rPr>
          <w:color w:val="231F20"/>
          <w:spacing w:val="-4"/>
        </w:rPr>
        <w:t> </w:t>
      </w:r>
      <w:r>
        <w:rPr>
          <w:color w:val="231F20"/>
        </w:rPr>
        <w:t>but</w:t>
      </w:r>
      <w:r>
        <w:rPr>
          <w:color w:val="231F20"/>
          <w:spacing w:val="-5"/>
        </w:rPr>
        <w:t> </w:t>
      </w:r>
      <w:r>
        <w:rPr>
          <w:color w:val="231F20"/>
        </w:rPr>
        <w:t>are</w:t>
      </w:r>
      <w:r>
        <w:rPr>
          <w:color w:val="231F20"/>
          <w:spacing w:val="-5"/>
        </w:rPr>
        <w:t> </w:t>
      </w:r>
      <w:r>
        <w:rPr>
          <w:color w:val="231F20"/>
        </w:rPr>
        <w:t>not</w:t>
      </w:r>
      <w:r>
        <w:rPr>
          <w:color w:val="231F20"/>
          <w:spacing w:val="24"/>
          <w:w w:val="99"/>
        </w:rPr>
        <w:t> </w:t>
      </w:r>
      <w:r>
        <w:rPr>
          <w:color w:val="231F20"/>
          <w:spacing w:val="-1"/>
        </w:rPr>
        <w:t>limited</w:t>
      </w:r>
      <w:r>
        <w:rPr>
          <w:color w:val="231F20"/>
          <w:spacing w:val="-7"/>
        </w:rPr>
        <w:t> </w:t>
      </w:r>
      <w:r>
        <w:rPr>
          <w:color w:val="231F20"/>
        </w:rPr>
        <w:t>to,</w:t>
      </w:r>
      <w:r>
        <w:rPr>
          <w:color w:val="231F20"/>
          <w:spacing w:val="-7"/>
        </w:rPr>
        <w:t> </w:t>
      </w:r>
      <w:r>
        <w:rPr>
          <w:color w:val="231F20"/>
          <w:spacing w:val="-1"/>
        </w:rPr>
        <w:t>Commonwealth</w:t>
      </w:r>
      <w:r>
        <w:rPr>
          <w:color w:val="231F20"/>
          <w:spacing w:val="-6"/>
        </w:rPr>
        <w:t> </w:t>
      </w:r>
      <w:r>
        <w:rPr>
          <w:color w:val="231F20"/>
        </w:rPr>
        <w:t>recurrent</w:t>
      </w:r>
      <w:r>
        <w:rPr>
          <w:color w:val="231F20"/>
          <w:spacing w:val="-7"/>
        </w:rPr>
        <w:t> </w:t>
      </w:r>
      <w:r>
        <w:rPr>
          <w:color w:val="231F20"/>
          <w:spacing w:val="-1"/>
        </w:rPr>
        <w:t>school</w:t>
      </w:r>
      <w:r>
        <w:rPr>
          <w:color w:val="231F20"/>
          <w:spacing w:val="22"/>
        </w:rPr>
        <w:t> </w:t>
      </w:r>
      <w:r>
        <w:rPr>
          <w:rFonts w:ascii="Segoe UI"/>
          <w:color w:val="231F20"/>
        </w:rPr>
        <w:t>funding,</w:t>
      </w:r>
      <w:r>
        <w:rPr>
          <w:rFonts w:ascii="Segoe UI"/>
          <w:color w:val="231F20"/>
          <w:spacing w:val="-1"/>
        </w:rPr>
        <w:t> </w:t>
      </w:r>
      <w:r>
        <w:rPr>
          <w:rFonts w:ascii="Segoe UI"/>
          <w:color w:val="231F20"/>
        </w:rPr>
        <w:t>one off</w:t>
      </w:r>
      <w:r>
        <w:rPr>
          <w:rFonts w:ascii="Segoe UI"/>
          <w:color w:val="231F20"/>
          <w:spacing w:val="-1"/>
        </w:rPr>
        <w:t> </w:t>
      </w:r>
      <w:r>
        <w:rPr>
          <w:rFonts w:ascii="Segoe UI"/>
          <w:color w:val="231F20"/>
        </w:rPr>
        <w:t>grants, such as</w:t>
      </w:r>
      <w:r>
        <w:rPr>
          <w:rFonts w:ascii="Segoe UI"/>
          <w:color w:val="231F20"/>
          <w:spacing w:val="-1"/>
        </w:rPr>
        <w:t> </w:t>
      </w:r>
      <w:r>
        <w:rPr>
          <w:rFonts w:ascii="Segoe UI"/>
          <w:color w:val="231F20"/>
        </w:rPr>
        <w:t>through the</w:t>
      </w:r>
      <w:r>
        <w:rPr>
          <w:rFonts w:ascii="Segoe UI"/>
          <w:color w:val="231F20"/>
        </w:rPr>
        <w:t> </w:t>
      </w:r>
      <w:r>
        <w:rPr>
          <w:color w:val="231F20"/>
          <w:spacing w:val="-1"/>
        </w:rPr>
        <w:t>Indigenous</w:t>
      </w:r>
      <w:r>
        <w:rPr>
          <w:color w:val="231F20"/>
          <w:spacing w:val="-13"/>
        </w:rPr>
        <w:t> </w:t>
      </w:r>
      <w:r>
        <w:rPr>
          <w:color w:val="231F20"/>
        </w:rPr>
        <w:t>Advancement</w:t>
      </w:r>
      <w:r>
        <w:rPr>
          <w:color w:val="231F20"/>
          <w:spacing w:val="-13"/>
        </w:rPr>
        <w:t> </w:t>
      </w:r>
      <w:r>
        <w:rPr>
          <w:color w:val="231F20"/>
          <w:spacing w:val="-1"/>
        </w:rPr>
        <w:t>Strategy,</w:t>
      </w:r>
      <w:r>
        <w:rPr>
          <w:color w:val="231F20"/>
          <w:spacing w:val="-13"/>
        </w:rPr>
        <w:t> </w:t>
      </w:r>
      <w:r>
        <w:rPr>
          <w:color w:val="231F20"/>
        </w:rPr>
        <w:t>donations</w:t>
      </w:r>
      <w:r>
        <w:rPr>
          <w:color w:val="231F20"/>
          <w:spacing w:val="24"/>
          <w:w w:val="99"/>
        </w:rPr>
        <w:t> </w:t>
      </w:r>
      <w:r>
        <w:rPr>
          <w:color w:val="231F20"/>
        </w:rPr>
        <w:t>and</w:t>
      </w:r>
      <w:r>
        <w:rPr>
          <w:color w:val="231F20"/>
          <w:spacing w:val="-8"/>
        </w:rPr>
        <w:t> </w:t>
      </w:r>
      <w:r>
        <w:rPr>
          <w:color w:val="231F20"/>
        </w:rPr>
        <w:t>underpinning</w:t>
      </w:r>
      <w:r>
        <w:rPr>
          <w:color w:val="231F20"/>
          <w:spacing w:val="-8"/>
        </w:rPr>
        <w:t> </w:t>
      </w:r>
      <w:r>
        <w:rPr>
          <w:color w:val="231F20"/>
        </w:rPr>
        <w:t>funding</w:t>
      </w:r>
      <w:r>
        <w:rPr>
          <w:color w:val="231F20"/>
          <w:spacing w:val="-7"/>
        </w:rPr>
        <w:t> </w:t>
      </w:r>
      <w:r>
        <w:rPr>
          <w:color w:val="231F20"/>
        </w:rPr>
        <w:t>from</w:t>
      </w:r>
      <w:r>
        <w:rPr>
          <w:color w:val="231F20"/>
          <w:spacing w:val="-7"/>
        </w:rPr>
        <w:t> </w:t>
      </w:r>
      <w:r>
        <w:rPr>
          <w:color w:val="231F20"/>
          <w:spacing w:val="-1"/>
        </w:rPr>
        <w:t>state</w:t>
      </w:r>
      <w:r>
        <w:rPr>
          <w:color w:val="231F20"/>
          <w:spacing w:val="-6"/>
        </w:rPr>
        <w:t> </w:t>
      </w:r>
      <w:r>
        <w:rPr>
          <w:color w:val="231F20"/>
        </w:rPr>
        <w:t>and</w:t>
      </w:r>
      <w:r>
        <w:rPr>
          <w:color w:val="231F20"/>
          <w:spacing w:val="21"/>
          <w:w w:val="99"/>
        </w:rPr>
        <w:t> </w:t>
      </w:r>
      <w:r>
        <w:rPr>
          <w:color w:val="231F20"/>
        </w:rPr>
        <w:t>territory</w:t>
      </w:r>
      <w:r>
        <w:rPr>
          <w:color w:val="231F20"/>
          <w:spacing w:val="-12"/>
        </w:rPr>
        <w:t> </w:t>
      </w:r>
      <w:r>
        <w:rPr>
          <w:color w:val="231F20"/>
        </w:rPr>
        <w:t>governments</w:t>
      </w:r>
      <w:r>
        <w:rPr>
          <w:color w:val="231F20"/>
          <w:spacing w:val="-11"/>
        </w:rPr>
        <w:t> </w:t>
      </w:r>
      <w:r>
        <w:rPr>
          <w:color w:val="231F20"/>
        </w:rPr>
        <w:t>and</w:t>
      </w:r>
      <w:r>
        <w:rPr>
          <w:color w:val="231F20"/>
          <w:spacing w:val="-12"/>
        </w:rPr>
        <w:t> </w:t>
      </w:r>
      <w:r>
        <w:rPr>
          <w:color w:val="231F20"/>
        </w:rPr>
        <w:t>associated</w:t>
      </w:r>
      <w:r>
        <w:rPr/>
      </w:r>
    </w:p>
    <w:p>
      <w:pPr>
        <w:pStyle w:val="BodyText"/>
        <w:spacing w:line="250" w:lineRule="exact"/>
        <w:ind w:right="33"/>
        <w:jc w:val="left"/>
      </w:pPr>
      <w:r>
        <w:rPr>
          <w:color w:val="231F20"/>
        </w:rPr>
        <w:t>bodies,</w:t>
      </w:r>
      <w:r>
        <w:rPr>
          <w:color w:val="231F20"/>
          <w:spacing w:val="-5"/>
        </w:rPr>
        <w:t> </w:t>
      </w:r>
      <w:r>
        <w:rPr>
          <w:color w:val="231F20"/>
          <w:spacing w:val="-1"/>
        </w:rPr>
        <w:t>such</w:t>
      </w:r>
      <w:r>
        <w:rPr>
          <w:color w:val="231F20"/>
          <w:spacing w:val="-4"/>
        </w:rPr>
        <w:t> </w:t>
      </w:r>
      <w:r>
        <w:rPr>
          <w:color w:val="231F20"/>
        </w:rPr>
        <w:t>as</w:t>
      </w:r>
      <w:r>
        <w:rPr>
          <w:color w:val="231F20"/>
          <w:spacing w:val="-5"/>
        </w:rPr>
        <w:t> </w:t>
      </w:r>
      <w:r>
        <w:rPr>
          <w:color w:val="231F20"/>
        </w:rPr>
        <w:t>religious</w:t>
      </w:r>
      <w:r>
        <w:rPr>
          <w:color w:val="231F20"/>
          <w:spacing w:val="-6"/>
        </w:rPr>
        <w:t> </w:t>
      </w:r>
      <w:r>
        <w:rPr>
          <w:color w:val="231F20"/>
        </w:rPr>
        <w:t>orders</w:t>
      </w:r>
      <w:r>
        <w:rPr>
          <w:color w:val="231F20"/>
          <w:spacing w:val="-3"/>
        </w:rPr>
        <w:t> </w:t>
      </w:r>
      <w:r>
        <w:rPr>
          <w:color w:val="231F20"/>
        </w:rPr>
        <w:t>and</w:t>
      </w:r>
      <w:r>
        <w:rPr>
          <w:color w:val="231F20"/>
          <w:spacing w:val="-5"/>
        </w:rPr>
        <w:t> </w:t>
      </w:r>
      <w:r>
        <w:rPr>
          <w:color w:val="231F20"/>
          <w:spacing w:val="-1"/>
        </w:rPr>
        <w:t>sporting</w:t>
      </w:r>
      <w:r>
        <w:rPr>
          <w:color w:val="231F20"/>
          <w:spacing w:val="21"/>
          <w:w w:val="99"/>
        </w:rPr>
        <w:t> </w:t>
      </w:r>
      <w:r>
        <w:rPr>
          <w:color w:val="231F20"/>
        </w:rPr>
        <w:t>organisations.</w:t>
      </w:r>
      <w:r>
        <w:rPr/>
      </w:r>
    </w:p>
    <w:p>
      <w:pPr>
        <w:pStyle w:val="BodyText"/>
        <w:spacing w:line="250" w:lineRule="exact" w:before="113"/>
        <w:ind w:right="367"/>
        <w:jc w:val="left"/>
      </w:pPr>
      <w:r>
        <w:rPr>
          <w:color w:val="231F20"/>
          <w:spacing w:val="-1"/>
        </w:rPr>
        <w:t>Some</w:t>
      </w:r>
      <w:r>
        <w:rPr>
          <w:color w:val="231F20"/>
          <w:spacing w:val="-6"/>
        </w:rPr>
        <w:t> </w:t>
      </w:r>
      <w:r>
        <w:rPr>
          <w:color w:val="231F20"/>
        </w:rPr>
        <w:t>boarding</w:t>
      </w:r>
      <w:r>
        <w:rPr>
          <w:color w:val="231F20"/>
          <w:spacing w:val="-7"/>
        </w:rPr>
        <w:t> </w:t>
      </w:r>
      <w:r>
        <w:rPr>
          <w:color w:val="231F20"/>
        </w:rPr>
        <w:t>providers</w:t>
      </w:r>
      <w:r>
        <w:rPr>
          <w:color w:val="231F20"/>
          <w:spacing w:val="-7"/>
        </w:rPr>
        <w:t> </w:t>
      </w:r>
      <w:r>
        <w:rPr>
          <w:color w:val="231F20"/>
        </w:rPr>
        <w:t>have</w:t>
      </w:r>
      <w:r>
        <w:rPr>
          <w:color w:val="231F20"/>
          <w:spacing w:val="-6"/>
        </w:rPr>
        <w:t> </w:t>
      </w:r>
      <w:r>
        <w:rPr>
          <w:color w:val="231F20"/>
        </w:rPr>
        <w:t>been</w:t>
      </w:r>
      <w:r>
        <w:rPr>
          <w:color w:val="231F20"/>
          <w:spacing w:val="-7"/>
        </w:rPr>
        <w:t> </w:t>
      </w:r>
      <w:r>
        <w:rPr>
          <w:color w:val="231F20"/>
        </w:rPr>
        <w:t>very</w:t>
      </w:r>
      <w:r>
        <w:rPr>
          <w:color w:val="231F20"/>
          <w:spacing w:val="21"/>
          <w:w w:val="99"/>
        </w:rPr>
        <w:t> </w:t>
      </w:r>
      <w:r>
        <w:rPr>
          <w:color w:val="231F20"/>
          <w:spacing w:val="-1"/>
        </w:rPr>
        <w:t>successful</w:t>
      </w:r>
      <w:r>
        <w:rPr>
          <w:color w:val="231F20"/>
          <w:spacing w:val="-3"/>
        </w:rPr>
        <w:t> </w:t>
      </w:r>
      <w:r>
        <w:rPr>
          <w:color w:val="231F20"/>
          <w:spacing w:val="-1"/>
        </w:rPr>
        <w:t>in</w:t>
      </w:r>
      <w:r>
        <w:rPr>
          <w:color w:val="231F20"/>
          <w:spacing w:val="-3"/>
        </w:rPr>
        <w:t> </w:t>
      </w:r>
      <w:r>
        <w:rPr>
          <w:color w:val="231F20"/>
          <w:spacing w:val="-1"/>
        </w:rPr>
        <w:t>identifying</w:t>
      </w:r>
      <w:r>
        <w:rPr>
          <w:color w:val="231F20"/>
          <w:spacing w:val="-3"/>
        </w:rPr>
        <w:t> </w:t>
      </w:r>
      <w:r>
        <w:rPr>
          <w:color w:val="231F20"/>
        </w:rPr>
        <w:t>other</w:t>
      </w:r>
      <w:r>
        <w:rPr>
          <w:color w:val="231F20"/>
          <w:spacing w:val="-3"/>
        </w:rPr>
        <w:t> </w:t>
      </w:r>
      <w:r>
        <w:rPr>
          <w:color w:val="231F20"/>
          <w:spacing w:val="-1"/>
        </w:rPr>
        <w:t>sources</w:t>
      </w:r>
      <w:r>
        <w:rPr>
          <w:color w:val="231F20"/>
          <w:spacing w:val="-3"/>
        </w:rPr>
        <w:t> </w:t>
      </w:r>
      <w:r>
        <w:rPr>
          <w:color w:val="231F20"/>
        </w:rPr>
        <w:t>of</w:t>
      </w:r>
      <w:r>
        <w:rPr>
          <w:color w:val="231F20"/>
          <w:spacing w:val="25"/>
          <w:w w:val="99"/>
        </w:rPr>
        <w:t> </w:t>
      </w:r>
      <w:r>
        <w:rPr>
          <w:color w:val="231F20"/>
        </w:rPr>
        <w:t>revenue</w:t>
      </w:r>
      <w:r>
        <w:rPr>
          <w:color w:val="231F20"/>
          <w:spacing w:val="-8"/>
        </w:rPr>
        <w:t> </w:t>
      </w:r>
      <w:r>
        <w:rPr>
          <w:color w:val="231F20"/>
        </w:rPr>
        <w:t>to</w:t>
      </w:r>
      <w:r>
        <w:rPr>
          <w:color w:val="231F20"/>
          <w:spacing w:val="-7"/>
        </w:rPr>
        <w:t> </w:t>
      </w:r>
      <w:r>
        <w:rPr>
          <w:color w:val="231F20"/>
          <w:spacing w:val="-1"/>
        </w:rPr>
        <w:t>support</w:t>
      </w:r>
      <w:r>
        <w:rPr>
          <w:color w:val="231F20"/>
          <w:spacing w:val="-7"/>
        </w:rPr>
        <w:t> </w:t>
      </w:r>
      <w:r>
        <w:rPr>
          <w:color w:val="231F20"/>
        </w:rPr>
        <w:t>boarding.</w:t>
      </w:r>
      <w:r>
        <w:rPr>
          <w:color w:val="231F20"/>
          <w:spacing w:val="-8"/>
        </w:rPr>
        <w:t> </w:t>
      </w:r>
      <w:r>
        <w:rPr>
          <w:color w:val="231F20"/>
        </w:rPr>
        <w:t>The</w:t>
      </w:r>
      <w:r>
        <w:rPr>
          <w:color w:val="231F20"/>
          <w:spacing w:val="-7"/>
        </w:rPr>
        <w:t> </w:t>
      </w:r>
      <w:r>
        <w:rPr>
          <w:color w:val="231F20"/>
          <w:spacing w:val="-1"/>
        </w:rPr>
        <w:t>majority</w:t>
      </w:r>
      <w:r>
        <w:rPr>
          <w:color w:val="231F20"/>
          <w:spacing w:val="21"/>
          <w:w w:val="99"/>
        </w:rPr>
        <w:t> </w:t>
      </w:r>
      <w:r>
        <w:rPr>
          <w:color w:val="231F20"/>
        </w:rPr>
        <w:t>of</w:t>
      </w:r>
      <w:r>
        <w:rPr>
          <w:color w:val="231F20"/>
          <w:spacing w:val="-6"/>
        </w:rPr>
        <w:t> </w:t>
      </w:r>
      <w:r>
        <w:rPr>
          <w:color w:val="231F20"/>
        </w:rPr>
        <w:t>the</w:t>
      </w:r>
      <w:r>
        <w:rPr>
          <w:color w:val="231F20"/>
          <w:spacing w:val="-6"/>
        </w:rPr>
        <w:t> </w:t>
      </w:r>
      <w:r>
        <w:rPr>
          <w:color w:val="231F20"/>
        </w:rPr>
        <w:t>high</w:t>
      </w:r>
      <w:r>
        <w:rPr>
          <w:color w:val="231F20"/>
          <w:spacing w:val="-6"/>
        </w:rPr>
        <w:t> </w:t>
      </w:r>
      <w:r>
        <w:rPr>
          <w:color w:val="231F20"/>
        </w:rPr>
        <w:t>cost</w:t>
      </w:r>
      <w:r>
        <w:rPr>
          <w:color w:val="231F20"/>
          <w:spacing w:val="-6"/>
        </w:rPr>
        <w:t> </w:t>
      </w:r>
      <w:r>
        <w:rPr>
          <w:color w:val="231F20"/>
        </w:rPr>
        <w:t>boarding</w:t>
      </w:r>
      <w:r>
        <w:rPr>
          <w:color w:val="231F20"/>
          <w:spacing w:val="-6"/>
        </w:rPr>
        <w:t> </w:t>
      </w:r>
      <w:r>
        <w:rPr>
          <w:color w:val="231F20"/>
        </w:rPr>
        <w:t>providers</w:t>
      </w:r>
      <w:r>
        <w:rPr>
          <w:color w:val="231F20"/>
          <w:spacing w:val="-7"/>
        </w:rPr>
        <w:t> </w:t>
      </w:r>
      <w:r>
        <w:rPr>
          <w:color w:val="231F20"/>
        </w:rPr>
        <w:t>receive</w:t>
      </w:r>
      <w:r>
        <w:rPr/>
      </w:r>
    </w:p>
    <w:p>
      <w:pPr>
        <w:pStyle w:val="BodyText"/>
        <w:spacing w:line="250" w:lineRule="exact"/>
        <w:ind w:right="152"/>
        <w:jc w:val="left"/>
      </w:pPr>
      <w:r>
        <w:rPr>
          <w:color w:val="231F20"/>
          <w:spacing w:val="-1"/>
        </w:rPr>
        <w:t>support</w:t>
      </w:r>
      <w:r>
        <w:rPr>
          <w:color w:val="231F20"/>
          <w:spacing w:val="-8"/>
        </w:rPr>
        <w:t> </w:t>
      </w:r>
      <w:r>
        <w:rPr>
          <w:color w:val="231F20"/>
        </w:rPr>
        <w:t>from</w:t>
      </w:r>
      <w:r>
        <w:rPr>
          <w:color w:val="231F20"/>
          <w:spacing w:val="-8"/>
        </w:rPr>
        <w:t> </w:t>
      </w:r>
      <w:r>
        <w:rPr>
          <w:color w:val="231F20"/>
        </w:rPr>
        <w:t>donors</w:t>
      </w:r>
      <w:r>
        <w:rPr>
          <w:color w:val="231F20"/>
          <w:spacing w:val="-8"/>
        </w:rPr>
        <w:t> </w:t>
      </w:r>
      <w:r>
        <w:rPr>
          <w:color w:val="231F20"/>
        </w:rPr>
        <w:t>or</w:t>
      </w:r>
      <w:r>
        <w:rPr>
          <w:color w:val="231F20"/>
          <w:spacing w:val="-8"/>
        </w:rPr>
        <w:t> </w:t>
      </w:r>
      <w:r>
        <w:rPr>
          <w:color w:val="231F20"/>
        </w:rPr>
        <w:t>underpinning</w:t>
      </w:r>
      <w:r>
        <w:rPr>
          <w:color w:val="231F20"/>
          <w:spacing w:val="-8"/>
        </w:rPr>
        <w:t> </w:t>
      </w:r>
      <w:r>
        <w:rPr>
          <w:color w:val="231F20"/>
        </w:rPr>
        <w:t>funding</w:t>
      </w:r>
      <w:r>
        <w:rPr>
          <w:color w:val="231F20"/>
          <w:spacing w:val="22"/>
          <w:w w:val="99"/>
        </w:rPr>
        <w:t> </w:t>
      </w:r>
      <w:r>
        <w:rPr>
          <w:color w:val="231F20"/>
        </w:rPr>
        <w:t>from</w:t>
      </w:r>
      <w:r>
        <w:rPr>
          <w:color w:val="231F20"/>
          <w:spacing w:val="-7"/>
        </w:rPr>
        <w:t> </w:t>
      </w:r>
      <w:r>
        <w:rPr>
          <w:color w:val="231F20"/>
          <w:spacing w:val="-1"/>
        </w:rPr>
        <w:t>state</w:t>
      </w:r>
      <w:r>
        <w:rPr>
          <w:color w:val="231F20"/>
          <w:spacing w:val="-6"/>
        </w:rPr>
        <w:t> </w:t>
      </w:r>
      <w:r>
        <w:rPr>
          <w:color w:val="231F20"/>
        </w:rPr>
        <w:t>and</w:t>
      </w:r>
      <w:r>
        <w:rPr>
          <w:color w:val="231F20"/>
          <w:spacing w:val="-7"/>
        </w:rPr>
        <w:t> </w:t>
      </w:r>
      <w:r>
        <w:rPr>
          <w:color w:val="231F20"/>
        </w:rPr>
        <w:t>territory</w:t>
      </w:r>
      <w:r>
        <w:rPr>
          <w:color w:val="231F20"/>
          <w:spacing w:val="-7"/>
        </w:rPr>
        <w:t> </w:t>
      </w:r>
      <w:r>
        <w:rPr>
          <w:color w:val="231F20"/>
        </w:rPr>
        <w:t>governments.</w:t>
      </w:r>
      <w:r>
        <w:rPr>
          <w:color w:val="231F20"/>
          <w:spacing w:val="-7"/>
        </w:rPr>
        <w:t> </w:t>
      </w:r>
      <w:r>
        <w:rPr>
          <w:color w:val="231F20"/>
        </w:rPr>
        <w:t>One</w:t>
      </w:r>
      <w:r>
        <w:rPr>
          <w:color w:val="231F20"/>
          <w:spacing w:val="-7"/>
        </w:rPr>
        <w:t> </w:t>
      </w:r>
      <w:r>
        <w:rPr>
          <w:color w:val="231F20"/>
        </w:rPr>
        <w:t>of</w:t>
      </w:r>
      <w:r>
        <w:rPr>
          <w:color w:val="231F20"/>
          <w:spacing w:val="21"/>
          <w:w w:val="99"/>
        </w:rPr>
        <w:t> </w:t>
      </w:r>
      <w:r>
        <w:rPr>
          <w:color w:val="231F20"/>
        </w:rPr>
        <w:t>the</w:t>
      </w:r>
      <w:r>
        <w:rPr>
          <w:color w:val="231F20"/>
          <w:spacing w:val="-7"/>
        </w:rPr>
        <w:t> </w:t>
      </w:r>
      <w:r>
        <w:rPr>
          <w:color w:val="231F20"/>
        </w:rPr>
        <w:t>highest</w:t>
      </w:r>
      <w:r>
        <w:rPr>
          <w:color w:val="231F20"/>
          <w:spacing w:val="-6"/>
        </w:rPr>
        <w:t> </w:t>
      </w:r>
      <w:r>
        <w:rPr>
          <w:color w:val="231F20"/>
        </w:rPr>
        <w:t>average</w:t>
      </w:r>
      <w:r>
        <w:rPr>
          <w:color w:val="231F20"/>
          <w:spacing w:val="-6"/>
        </w:rPr>
        <w:t> </w:t>
      </w:r>
      <w:r>
        <w:rPr>
          <w:color w:val="231F20"/>
        </w:rPr>
        <w:t>cost</w:t>
      </w:r>
      <w:r>
        <w:rPr>
          <w:color w:val="231F20"/>
          <w:spacing w:val="-6"/>
        </w:rPr>
        <w:t> </w:t>
      </w:r>
      <w:r>
        <w:rPr>
          <w:color w:val="231F20"/>
        </w:rPr>
        <w:t>boarding</w:t>
      </w:r>
      <w:r>
        <w:rPr>
          <w:color w:val="231F20"/>
          <w:spacing w:val="-7"/>
        </w:rPr>
        <w:t> </w:t>
      </w:r>
      <w:r>
        <w:rPr>
          <w:color w:val="231F20"/>
        </w:rPr>
        <w:t>providers</w:t>
      </w:r>
      <w:r>
        <w:rPr>
          <w:color w:val="231F20"/>
          <w:w w:val="99"/>
        </w:rPr>
        <w:t> </w:t>
      </w:r>
      <w:r>
        <w:rPr>
          <w:color w:val="231F20"/>
        </w:rPr>
        <w:t>received</w:t>
      </w:r>
      <w:r>
        <w:rPr>
          <w:color w:val="231F20"/>
          <w:spacing w:val="-6"/>
        </w:rPr>
        <w:t> </w:t>
      </w:r>
      <w:r>
        <w:rPr>
          <w:color w:val="231F20"/>
          <w:spacing w:val="-1"/>
        </w:rPr>
        <w:t>more</w:t>
      </w:r>
      <w:r>
        <w:rPr>
          <w:color w:val="231F20"/>
          <w:spacing w:val="-4"/>
        </w:rPr>
        <w:t> </w:t>
      </w:r>
      <w:r>
        <w:rPr>
          <w:color w:val="231F20"/>
        </w:rPr>
        <w:t>than</w:t>
      </w:r>
      <w:r>
        <w:rPr>
          <w:color w:val="231F20"/>
          <w:spacing w:val="-5"/>
        </w:rPr>
        <w:t> </w:t>
      </w:r>
      <w:r>
        <w:rPr>
          <w:color w:val="231F20"/>
          <w:spacing w:val="-1"/>
        </w:rPr>
        <w:t>$1</w:t>
      </w:r>
      <w:r>
        <w:rPr>
          <w:color w:val="231F20"/>
          <w:spacing w:val="-4"/>
        </w:rPr>
        <w:t> </w:t>
      </w:r>
      <w:r>
        <w:rPr>
          <w:color w:val="231F20"/>
          <w:spacing w:val="-1"/>
        </w:rPr>
        <w:t>million</w:t>
      </w:r>
      <w:r>
        <w:rPr>
          <w:color w:val="231F20"/>
          <w:spacing w:val="-5"/>
        </w:rPr>
        <w:t> </w:t>
      </w:r>
      <w:r>
        <w:rPr>
          <w:color w:val="231F20"/>
          <w:spacing w:val="-1"/>
        </w:rPr>
        <w:t>in</w:t>
      </w:r>
      <w:r>
        <w:rPr>
          <w:color w:val="231F20"/>
          <w:spacing w:val="-4"/>
        </w:rPr>
        <w:t> </w:t>
      </w:r>
      <w:r>
        <w:rPr>
          <w:color w:val="231F20"/>
        </w:rPr>
        <w:t>donations/</w:t>
      </w:r>
      <w:r>
        <w:rPr>
          <w:color w:val="231F20"/>
          <w:spacing w:val="25"/>
          <w:w w:val="99"/>
        </w:rPr>
        <w:t> </w:t>
      </w:r>
      <w:r>
        <w:rPr>
          <w:color w:val="231F20"/>
        </w:rPr>
        <w:t>philanthropic</w:t>
      </w:r>
      <w:r>
        <w:rPr>
          <w:color w:val="231F20"/>
          <w:spacing w:val="-7"/>
        </w:rPr>
        <w:t> </w:t>
      </w:r>
      <w:r>
        <w:rPr>
          <w:color w:val="231F20"/>
          <w:spacing w:val="-1"/>
        </w:rPr>
        <w:t>support</w:t>
      </w:r>
      <w:r>
        <w:rPr>
          <w:color w:val="231F20"/>
          <w:spacing w:val="-5"/>
        </w:rPr>
        <w:t> </w:t>
      </w:r>
      <w:r>
        <w:rPr>
          <w:color w:val="231F20"/>
          <w:spacing w:val="-1"/>
        </w:rPr>
        <w:t>in</w:t>
      </w:r>
      <w:r>
        <w:rPr>
          <w:color w:val="231F20"/>
          <w:spacing w:val="-5"/>
        </w:rPr>
        <w:t> </w:t>
      </w:r>
      <w:r>
        <w:rPr>
          <w:color w:val="231F20"/>
          <w:spacing w:val="-1"/>
        </w:rPr>
        <w:t>2016</w:t>
      </w:r>
      <w:r>
        <w:rPr>
          <w:color w:val="231F20"/>
          <w:spacing w:val="-6"/>
        </w:rPr>
        <w:t> </w:t>
      </w:r>
      <w:r>
        <w:rPr>
          <w:color w:val="231F20"/>
        </w:rPr>
        <w:t>and</w:t>
      </w:r>
      <w:r>
        <w:rPr>
          <w:color w:val="231F20"/>
          <w:spacing w:val="-6"/>
        </w:rPr>
        <w:t> </w:t>
      </w:r>
      <w:r>
        <w:rPr>
          <w:color w:val="231F20"/>
        </w:rPr>
        <w:t>achieved</w:t>
      </w:r>
      <w:r>
        <w:rPr>
          <w:color w:val="231F20"/>
          <w:spacing w:val="-6"/>
        </w:rPr>
        <w:t> </w:t>
      </w:r>
      <w:r>
        <w:rPr>
          <w:color w:val="231F20"/>
          <w:spacing w:val="-6"/>
        </w:rPr>
      </w:r>
      <w:r>
        <w:rPr>
          <w:color w:val="231F20"/>
        </w:rPr>
        <w:t>an</w:t>
      </w:r>
      <w:r>
        <w:rPr>
          <w:color w:val="231F20"/>
          <w:spacing w:val="23"/>
        </w:rPr>
        <w:t> </w:t>
      </w:r>
      <w:r>
        <w:rPr>
          <w:color w:val="231F20"/>
        </w:rPr>
        <w:t>operating</w:t>
      </w:r>
      <w:r>
        <w:rPr>
          <w:color w:val="231F20"/>
          <w:spacing w:val="-7"/>
        </w:rPr>
        <w:t> </w:t>
      </w:r>
      <w:r>
        <w:rPr>
          <w:color w:val="231F20"/>
          <w:spacing w:val="-1"/>
        </w:rPr>
        <w:t>surplus.</w:t>
      </w:r>
      <w:r>
        <w:rPr>
          <w:color w:val="231F20"/>
          <w:spacing w:val="-6"/>
        </w:rPr>
        <w:t> </w:t>
      </w:r>
      <w:r>
        <w:rPr>
          <w:color w:val="231F20"/>
          <w:spacing w:val="-5"/>
        </w:rPr>
        <w:t>Two</w:t>
      </w:r>
      <w:r>
        <w:rPr>
          <w:color w:val="231F20"/>
          <w:spacing w:val="-8"/>
        </w:rPr>
        <w:t> </w:t>
      </w:r>
      <w:r>
        <w:rPr>
          <w:color w:val="231F20"/>
        </w:rPr>
        <w:t>boarding</w:t>
      </w:r>
      <w:r>
        <w:rPr>
          <w:color w:val="231F20"/>
          <w:spacing w:val="-7"/>
        </w:rPr>
        <w:t> </w:t>
      </w:r>
      <w:r>
        <w:rPr>
          <w:color w:val="231F20"/>
        </w:rPr>
        <w:t>providers</w:t>
      </w:r>
      <w:r>
        <w:rPr>
          <w:color w:val="231F20"/>
          <w:spacing w:val="22"/>
          <w:w w:val="99"/>
        </w:rPr>
        <w:t> </w:t>
      </w:r>
      <w:r>
        <w:rPr>
          <w:color w:val="231F20"/>
        </w:rPr>
        <w:t>that</w:t>
      </w:r>
      <w:r>
        <w:rPr>
          <w:color w:val="231F20"/>
          <w:spacing w:val="-10"/>
        </w:rPr>
        <w:t> </w:t>
      </w:r>
      <w:r>
        <w:rPr>
          <w:color w:val="231F20"/>
        </w:rPr>
        <w:t>receive</w:t>
      </w:r>
      <w:r>
        <w:rPr>
          <w:color w:val="231F20"/>
          <w:spacing w:val="-9"/>
        </w:rPr>
        <w:t> </w:t>
      </w:r>
      <w:r>
        <w:rPr>
          <w:color w:val="231F20"/>
        </w:rPr>
        <w:t>underpinning</w:t>
      </w:r>
      <w:r>
        <w:rPr>
          <w:color w:val="231F20"/>
          <w:spacing w:val="-9"/>
        </w:rPr>
        <w:t> </w:t>
      </w:r>
      <w:r>
        <w:rPr>
          <w:color w:val="231F20"/>
        </w:rPr>
        <w:t>funding</w:t>
      </w:r>
      <w:r>
        <w:rPr>
          <w:color w:val="231F20"/>
          <w:spacing w:val="-8"/>
        </w:rPr>
        <w:t> </w:t>
      </w:r>
      <w:r>
        <w:rPr>
          <w:color w:val="231F20"/>
        </w:rPr>
        <w:t>from</w:t>
      </w:r>
      <w:r>
        <w:rPr/>
      </w:r>
    </w:p>
    <w:p>
      <w:pPr>
        <w:pStyle w:val="BodyText"/>
        <w:spacing w:line="250" w:lineRule="exact"/>
        <w:ind w:right="0"/>
        <w:jc w:val="left"/>
      </w:pPr>
      <w:r>
        <w:rPr/>
        <w:pict>
          <v:group style="position:absolute;margin-left:70.865997pt;margin-top:86.404709pt;width:439.4pt;height:272.55pt;mso-position-horizontal-relative:page;mso-position-vertical-relative:paragraph;z-index:6640" coordorigin="1417,1728" coordsize="8788,5451">
            <v:group style="position:absolute;left:1517;top:1828;width:8588;height:5251" coordorigin="1517,1828" coordsize="8588,5251">
              <v:shape style="position:absolute;left:1517;top:1828;width:8588;height:5251" coordorigin="1517,1828" coordsize="8588,5251" path="m1517,7079l10105,7079,10105,1828,1517,1828,1517,7079xe" filled="false" stroked="true" strokeweight="10pt" strokecolor="#c1b5a9">
                <v:path arrowok="t"/>
              </v:shape>
            </v:group>
            <v:group style="position:absolute;left:2002;top:3003;width:3802;height:3536" coordorigin="2002,3003" coordsize="3802,3536">
              <v:shape style="position:absolute;left:2002;top:3003;width:3802;height:3536" coordorigin="2002,3003" coordsize="3802,3536" path="m2002,6539l5804,6539,5804,3003,2002,3003,2002,6539xe" filled="true" fillcolor="#ffffff" stroked="false">
                <v:path arrowok="t"/>
                <v:fill type="solid"/>
              </v:shape>
            </v:group>
            <v:group style="position:absolute;left:5068;top:5059;width:695;height:2" coordorigin="5068,5059" coordsize="695,2">
              <v:shape style="position:absolute;left:5068;top:5059;width:695;height:2" coordorigin="5068,5059" coordsize="695,0" path="m5068,5059l5762,5059e" filled="false" stroked="true" strokeweight=".697pt" strokecolor="#dcddde">
                <v:path arrowok="t"/>
              </v:shape>
            </v:group>
            <v:group style="position:absolute;left:4262;top:5059;width:172;height:2" coordorigin="4262,5059" coordsize="172,2">
              <v:shape style="position:absolute;left:4262;top:5059;width:172;height:2" coordorigin="4262,5059" coordsize="172,0" path="m4262,5059l4434,5059e" filled="false" stroked="true" strokeweight=".697pt" strokecolor="#dcddde">
                <v:path arrowok="t"/>
              </v:shape>
            </v:group>
            <v:group style="position:absolute;left:2933;top:5059;width:696;height:2" coordorigin="2933,5059" coordsize="696,2">
              <v:shape style="position:absolute;left:2933;top:5059;width:696;height:2" coordorigin="2933,5059" coordsize="696,0" path="m2933,5059l3628,5059e" filled="false" stroked="true" strokeweight=".697pt" strokecolor="#dcddde">
                <v:path arrowok="t"/>
              </v:shape>
            </v:group>
            <v:group style="position:absolute;left:5068;top:4641;width:695;height:2" coordorigin="5068,4641" coordsize="695,2">
              <v:shape style="position:absolute;left:5068;top:4641;width:695;height:2" coordorigin="5068,4641" coordsize="695,0" path="m5068,4641l5762,4641e" filled="false" stroked="true" strokeweight=".697pt" strokecolor="#dcddde">
                <v:path arrowok="t"/>
              </v:shape>
            </v:group>
            <v:group style="position:absolute;left:2933;top:4641;width:1502;height:2" coordorigin="2933,4641" coordsize="1502,2">
              <v:shape style="position:absolute;left:2933;top:4641;width:1502;height:2" coordorigin="2933,4641" coordsize="1502,0" path="m2933,4641l4434,4641e" filled="false" stroked="true" strokeweight=".697pt" strokecolor="#dcddde">
                <v:path arrowok="t"/>
              </v:shape>
            </v:group>
            <v:group style="position:absolute;left:5068;top:4224;width:695;height:2" coordorigin="5068,4224" coordsize="695,2">
              <v:shape style="position:absolute;left:5068;top:4224;width:695;height:2" coordorigin="5068,4224" coordsize="695,0" path="m5068,4224l5762,4224e" filled="false" stroked="true" strokeweight=".697pt" strokecolor="#dcddde">
                <v:path arrowok="t"/>
              </v:shape>
            </v:group>
            <v:group style="position:absolute;left:2933;top:4224;width:1502;height:2" coordorigin="2933,4224" coordsize="1502,2">
              <v:shape style="position:absolute;left:2933;top:4224;width:1502;height:2" coordorigin="2933,4224" coordsize="1502,0" path="m2933,4224l4434,4224e" filled="false" stroked="true" strokeweight=".697pt" strokecolor="#dcddde">
                <v:path arrowok="t"/>
              </v:shape>
            </v:group>
            <v:group style="position:absolute;left:2933;top:3804;width:2830;height:2" coordorigin="2933,3804" coordsize="2830,2">
              <v:shape style="position:absolute;left:2933;top:3804;width:2830;height:2" coordorigin="2933,3804" coordsize="2830,0" path="m2933,3804l5762,3804e" filled="false" stroked="true" strokeweight=".697pt" strokecolor="#dcddde">
                <v:path arrowok="t"/>
              </v:shape>
            </v:group>
            <v:group style="position:absolute;left:2933;top:3387;width:2830;height:2" coordorigin="2933,3387" coordsize="2830,2">
              <v:shape style="position:absolute;left:2933;top:3387;width:2830;height:2" coordorigin="2933,3387" coordsize="2830,0" path="m2933,3387l5762,3387e" filled="false" stroked="true" strokeweight=".697pt" strokecolor="#dcddde">
                <v:path arrowok="t"/>
              </v:shape>
            </v:group>
            <v:group style="position:absolute;left:3628;top:4905;width:634;height:572" coordorigin="3628,4905" coordsize="634,572">
              <v:shape style="position:absolute;left:3628;top:4905;width:634;height:572" coordorigin="3628,4905" coordsize="634,572" path="m3628,4905l4262,4905,4262,5477,3628,5477,3628,4905xe" filled="true" fillcolor="#6a5185" stroked="false">
                <v:path arrowok="t"/>
                <v:fill type="solid"/>
              </v:shape>
            </v:group>
            <v:group style="position:absolute;left:4434;top:3882;width:634;height:1595" coordorigin="4434,3882" coordsize="634,1595">
              <v:shape style="position:absolute;left:4434;top:3882;width:634;height:1595" coordorigin="4434,3882" coordsize="634,1595" path="m4434,3882l5068,3882,5068,5477,4434,5477,4434,3882xe" filled="true" fillcolor="#bab0c9" stroked="false">
                <v:path arrowok="t"/>
                <v:fill type="solid"/>
              </v:shape>
            </v:group>
            <v:group style="position:absolute;left:2933;top:5477;width:2830;height:2" coordorigin="2933,5477" coordsize="2830,2">
              <v:shape style="position:absolute;left:2933;top:5477;width:2830;height:2" coordorigin="2933,5477" coordsize="2830,0" path="m2933,5477l5762,5477e" filled="false" stroked="true" strokeweight=".697pt" strokecolor="#dcddde">
                <v:path arrowok="t"/>
              </v:shape>
            </v:group>
            <v:group style="position:absolute;left:2548;top:6244;width:90;height:2" coordorigin="2548,6244" coordsize="90,2">
              <v:shape style="position:absolute;left:2548;top:6244;width:90;height:2" coordorigin="2548,6244" coordsize="90,0" path="m2548,6244l2637,6244e" filled="false" stroked="true" strokeweight="4.555pt" strokecolor="#6a5185">
                <v:path arrowok="t"/>
              </v:shape>
            </v:group>
            <v:group style="position:absolute;left:2548;top:6748;width:90;height:2" coordorigin="2548,6748" coordsize="90,2">
              <v:shape style="position:absolute;left:2548;top:6748;width:90;height:2" coordorigin="2548,6748" coordsize="90,0" path="m2548,6748l2637,6748e" filled="false" stroked="true" strokeweight="4.555pt" strokecolor="#bab0c9">
                <v:path arrowok="t"/>
              </v:shape>
            </v:group>
            <v:group style="position:absolute;left:5917;top:3114;width:3351;height:3408" coordorigin="5917,3114" coordsize="3351,3408">
              <v:shape style="position:absolute;left:5917;top:3114;width:3351;height:3408" coordorigin="5917,3114" coordsize="3351,3408" path="m5917,3114l9268,3114,9268,6521,5917,6521,5917,3114xe" filled="true" fillcolor="#ffffff" stroked="false">
                <v:path arrowok="t"/>
                <v:fill type="solid"/>
              </v:shape>
            </v:group>
            <v:group style="position:absolute;left:8527;top:4838;width:642;height:2" coordorigin="8527,4838" coordsize="642,2">
              <v:shape style="position:absolute;left:8527;top:4838;width:642;height:2" coordorigin="8527,4838" coordsize="642,0" path="m8527,4838l9169,4838e" filled="false" stroked="true" strokeweight=".697pt" strokecolor="#dcddde">
                <v:path arrowok="t"/>
              </v:shape>
            </v:group>
            <v:group style="position:absolute;left:7784;top:4838;width:158;height:2" coordorigin="7784,4838" coordsize="158,2">
              <v:shape style="position:absolute;left:7784;top:4838;width:158;height:2" coordorigin="7784,4838" coordsize="158,0" path="m7784,4838l7942,4838e" filled="false" stroked="true" strokeweight=".697pt" strokecolor="#dcddde">
                <v:path arrowok="t"/>
              </v:shape>
            </v:group>
            <v:group style="position:absolute;left:6556;top:4838;width:641;height:2" coordorigin="6556,4838" coordsize="641,2">
              <v:shape style="position:absolute;left:6556;top:4838;width:641;height:2" coordorigin="6556,4838" coordsize="641,0" path="m6556,4838l7197,4838e" filled="false" stroked="true" strokeweight=".697pt" strokecolor="#dcddde">
                <v:path arrowok="t"/>
              </v:shape>
            </v:group>
            <v:group style="position:absolute;left:8527;top:4179;width:642;height:2" coordorigin="8527,4179" coordsize="642,2">
              <v:shape style="position:absolute;left:8527;top:4179;width:642;height:2" coordorigin="8527,4179" coordsize="642,0" path="m8527,4179l9169,4179e" filled="false" stroked="true" strokeweight=".697pt" strokecolor="#dcddde">
                <v:path arrowok="t"/>
              </v:shape>
            </v:group>
            <v:group style="position:absolute;left:6556;top:4179;width:1386;height:2" coordorigin="6556,4179" coordsize="1386,2">
              <v:shape style="position:absolute;left:6556;top:4179;width:1386;height:2" coordorigin="6556,4179" coordsize="1386,0" path="m6556,4179l7942,4179e" filled="false" stroked="true" strokeweight=".697pt" strokecolor="#dcddde">
                <v:path arrowok="t"/>
              </v:shape>
            </v:group>
            <v:group style="position:absolute;left:6556;top:3521;width:2613;height:2" coordorigin="6556,3521" coordsize="2613,2">
              <v:shape style="position:absolute;left:6556;top:3521;width:2613;height:2" coordorigin="6556,3521" coordsize="2613,0" path="m6556,3521l9169,3521e" filled="false" stroked="true" strokeweight=".697pt" strokecolor="#dcddde">
                <v:path arrowok="t"/>
              </v:shape>
            </v:group>
            <v:group style="position:absolute;left:7197;top:4740;width:587;height:759" coordorigin="7197,4740" coordsize="587,759">
              <v:shape style="position:absolute;left:7197;top:4740;width:587;height:759" coordorigin="7197,4740" coordsize="587,759" path="m7197,4740l7784,4740,7784,5498,7197,5498,7197,4740xe" filled="true" fillcolor="#6a5185" stroked="false">
                <v:path arrowok="t"/>
                <v:fill type="solid"/>
              </v:shape>
            </v:group>
            <v:group style="position:absolute;left:7942;top:3770;width:586;height:1728" coordorigin="7942,3770" coordsize="586,1728">
              <v:shape style="position:absolute;left:7942;top:3770;width:586;height:1728" coordorigin="7942,3770" coordsize="586,1728" path="m7942,3770l8527,3770,8527,5498,7942,5498,7942,3770xe" filled="true" fillcolor="#bab0c9" stroked="false">
                <v:path arrowok="t"/>
                <v:fill type="solid"/>
              </v:shape>
            </v:group>
            <v:group style="position:absolute;left:6556;top:5498;width:2613;height:2" coordorigin="6556,5498" coordsize="2613,2">
              <v:shape style="position:absolute;left:6556;top:5498;width:2613;height:2" coordorigin="6556,5498" coordsize="2613,0" path="m6556,5498l9169,5498e" filled="false" stroked="true" strokeweight=".697pt" strokecolor="#dcddde">
                <v:path arrowok="t"/>
              </v:shape>
            </v:group>
            <v:group style="position:absolute;left:6238;top:6227;width:90;height:2" coordorigin="6238,6227" coordsize="90,2">
              <v:shape style="position:absolute;left:6238;top:6227;width:90;height:2" coordorigin="6238,6227" coordsize="90,0" path="m6238,6227l6327,6227e" filled="false" stroked="true" strokeweight="4.555pt" strokecolor="#6a5185">
                <v:path arrowok="t"/>
              </v:shape>
            </v:group>
            <v:group style="position:absolute;left:6238;top:6730;width:90;height:2" coordorigin="6238,6730" coordsize="90,2">
              <v:shape style="position:absolute;left:6238;top:6730;width:90;height:2" coordorigin="6238,6730" coordsize="90,0" path="m6238,6730l6327,6730e" filled="false" stroked="true" strokeweight="4.555pt" strokecolor="#bab0c9">
                <v:path arrowok="t"/>
              </v:shape>
              <v:shape style="position:absolute;left:1703;top:2027;width:7838;height:560" type="#_x0000_t202" filled="false" stroked="false">
                <v:textbox inset="0,0,0,0">
                  <w:txbxContent>
                    <w:p>
                      <w:pPr>
                        <w:spacing w:line="159" w:lineRule="exact" w:before="0"/>
                        <w:ind w:left="0" w:right="0" w:firstLine="0"/>
                        <w:jc w:val="left"/>
                        <w:rPr>
                          <w:rFonts w:ascii="Segoe UI Semibold" w:hAnsi="Segoe UI Semibold" w:cs="Segoe UI Semibold" w:eastAsia="Segoe UI Semibold"/>
                          <w:sz w:val="16"/>
                          <w:szCs w:val="16"/>
                        </w:rPr>
                      </w:pPr>
                      <w:r>
                        <w:rPr>
                          <w:rFonts w:ascii="Segoe UI Semibold"/>
                          <w:b/>
                          <w:color w:val="666155"/>
                          <w:spacing w:val="4"/>
                          <w:sz w:val="16"/>
                        </w:rPr>
                        <w:t>GRAPH</w:t>
                      </w:r>
                      <w:r>
                        <w:rPr>
                          <w:rFonts w:ascii="Segoe UI Semibold"/>
                          <w:b/>
                          <w:color w:val="666155"/>
                          <w:spacing w:val="-2"/>
                          <w:sz w:val="16"/>
                        </w:rPr>
                        <w:t> </w:t>
                      </w:r>
                      <w:r>
                        <w:rPr>
                          <w:rFonts w:ascii="Segoe UI Semibold"/>
                          <w:b/>
                          <w:color w:val="666155"/>
                          <w:sz w:val="16"/>
                        </w:rPr>
                        <w:t>17:</w:t>
                      </w:r>
                      <w:r>
                        <w:rPr>
                          <w:rFonts w:ascii="Segoe UI Semibold"/>
                          <w:b/>
                          <w:color w:val="666155"/>
                          <w:spacing w:val="-2"/>
                          <w:sz w:val="16"/>
                        </w:rPr>
                        <w:t> </w:t>
                      </w:r>
                      <w:r>
                        <w:rPr>
                          <w:rFonts w:ascii="Segoe UI Semibold"/>
                          <w:b/>
                          <w:color w:val="666155"/>
                          <w:spacing w:val="1"/>
                          <w:sz w:val="16"/>
                        </w:rPr>
                        <w:t>PRIVATE</w:t>
                      </w:r>
                      <w:r>
                        <w:rPr>
                          <w:rFonts w:ascii="Segoe UI Semibold"/>
                          <w:b/>
                          <w:color w:val="666155"/>
                          <w:sz w:val="16"/>
                        </w:rPr>
                        <w:t> </w:t>
                      </w:r>
                      <w:r>
                        <w:rPr>
                          <w:rFonts w:ascii="Segoe UI Semibold"/>
                          <w:b/>
                          <w:color w:val="666155"/>
                          <w:spacing w:val="4"/>
                          <w:sz w:val="16"/>
                        </w:rPr>
                        <w:t>RECURRENT</w:t>
                      </w:r>
                      <w:r>
                        <w:rPr>
                          <w:rFonts w:ascii="Segoe UI Semibold"/>
                          <w:b/>
                          <w:color w:val="666155"/>
                          <w:spacing w:val="1"/>
                          <w:sz w:val="16"/>
                        </w:rPr>
                        <w:t> </w:t>
                      </w:r>
                      <w:r>
                        <w:rPr>
                          <w:rFonts w:ascii="Segoe UI Semibold"/>
                          <w:b/>
                          <w:color w:val="666155"/>
                          <w:spacing w:val="4"/>
                          <w:sz w:val="16"/>
                        </w:rPr>
                        <w:t>BOARDING</w:t>
                      </w:r>
                      <w:r>
                        <w:rPr>
                          <w:rFonts w:ascii="Segoe UI Semibold"/>
                          <w:b/>
                          <w:color w:val="666155"/>
                          <w:spacing w:val="1"/>
                          <w:sz w:val="16"/>
                        </w:rPr>
                        <w:t> </w:t>
                      </w:r>
                      <w:r>
                        <w:rPr>
                          <w:rFonts w:ascii="Segoe UI Semibold"/>
                          <w:b/>
                          <w:color w:val="666155"/>
                          <w:spacing w:val="3"/>
                          <w:sz w:val="16"/>
                        </w:rPr>
                        <w:t>INCOME</w:t>
                      </w:r>
                      <w:r>
                        <w:rPr>
                          <w:rFonts w:ascii="Segoe UI Semibold"/>
                          <w:b/>
                          <w:color w:val="666155"/>
                          <w:spacing w:val="1"/>
                          <w:sz w:val="16"/>
                        </w:rPr>
                        <w:t> </w:t>
                      </w:r>
                      <w:r>
                        <w:rPr>
                          <w:rFonts w:ascii="Segoe UI Semibold"/>
                          <w:b/>
                          <w:color w:val="666155"/>
                          <w:spacing w:val="2"/>
                          <w:sz w:val="16"/>
                        </w:rPr>
                        <w:t>OF</w:t>
                      </w:r>
                      <w:r>
                        <w:rPr>
                          <w:rFonts w:ascii="Segoe UI Semibold"/>
                          <w:b/>
                          <w:color w:val="666155"/>
                          <w:sz w:val="16"/>
                        </w:rPr>
                        <w:t> </w:t>
                      </w:r>
                      <w:r>
                        <w:rPr>
                          <w:rFonts w:ascii="Segoe UI Semibold"/>
                          <w:b/>
                          <w:color w:val="666155"/>
                          <w:spacing w:val="4"/>
                          <w:sz w:val="16"/>
                        </w:rPr>
                        <w:t>ABORIGINAL</w:t>
                      </w:r>
                      <w:r>
                        <w:rPr>
                          <w:rFonts w:ascii="Segoe UI Semibold"/>
                          <w:b/>
                          <w:color w:val="666155"/>
                          <w:spacing w:val="1"/>
                          <w:sz w:val="16"/>
                        </w:rPr>
                        <w:t> </w:t>
                      </w:r>
                      <w:r>
                        <w:rPr>
                          <w:rFonts w:ascii="Segoe UI Semibold"/>
                          <w:b/>
                          <w:color w:val="666155"/>
                          <w:spacing w:val="3"/>
                          <w:sz w:val="16"/>
                        </w:rPr>
                        <w:t>AND</w:t>
                      </w:r>
                      <w:r>
                        <w:rPr>
                          <w:rFonts w:ascii="Segoe UI Semibold"/>
                          <w:b/>
                          <w:color w:val="666155"/>
                          <w:spacing w:val="1"/>
                          <w:sz w:val="16"/>
                        </w:rPr>
                        <w:t> </w:t>
                      </w:r>
                      <w:r>
                        <w:rPr>
                          <w:rFonts w:ascii="Segoe UI Semibold"/>
                          <w:b/>
                          <w:color w:val="666155"/>
                          <w:spacing w:val="3"/>
                          <w:sz w:val="16"/>
                        </w:rPr>
                        <w:t>TORRES</w:t>
                      </w:r>
                      <w:r>
                        <w:rPr>
                          <w:rFonts w:ascii="Segoe UI Semibold"/>
                          <w:b/>
                          <w:color w:val="666155"/>
                          <w:spacing w:val="1"/>
                          <w:sz w:val="16"/>
                        </w:rPr>
                        <w:t> </w:t>
                      </w:r>
                      <w:r>
                        <w:rPr>
                          <w:rFonts w:ascii="Segoe UI Semibold"/>
                          <w:b/>
                          <w:color w:val="666155"/>
                          <w:spacing w:val="4"/>
                          <w:sz w:val="16"/>
                        </w:rPr>
                        <w:t>STRAIT</w:t>
                      </w:r>
                      <w:r>
                        <w:rPr>
                          <w:rFonts w:ascii="Segoe UI Semibold"/>
                          <w:b/>
                          <w:color w:val="666155"/>
                          <w:sz w:val="16"/>
                        </w:rPr>
                        <w:t> </w:t>
                      </w:r>
                      <w:r>
                        <w:rPr>
                          <w:rFonts w:ascii="Segoe UI Semibold"/>
                          <w:b/>
                          <w:color w:val="666155"/>
                          <w:spacing w:val="5"/>
                          <w:sz w:val="16"/>
                        </w:rPr>
                        <w:t>ISLANDER</w:t>
                      </w:r>
                      <w:r>
                        <w:rPr>
                          <w:rFonts w:ascii="Segoe UI Semibold"/>
                          <w:sz w:val="16"/>
                        </w:rPr>
                      </w:r>
                    </w:p>
                    <w:p>
                      <w:pPr>
                        <w:spacing w:line="200" w:lineRule="exact" w:before="11"/>
                        <w:ind w:left="0" w:right="482" w:firstLine="0"/>
                        <w:jc w:val="left"/>
                        <w:rPr>
                          <w:rFonts w:ascii="Segoe UI Semibold" w:hAnsi="Segoe UI Semibold" w:cs="Segoe UI Semibold" w:eastAsia="Segoe UI Semibold"/>
                          <w:sz w:val="16"/>
                          <w:szCs w:val="16"/>
                        </w:rPr>
                      </w:pPr>
                      <w:r>
                        <w:rPr>
                          <w:rFonts w:ascii="Segoe UI Semibold" w:hAnsi="Segoe UI Semibold" w:cs="Segoe UI Semibold" w:eastAsia="Segoe UI Semibold"/>
                          <w:b/>
                          <w:bCs/>
                          <w:color w:val="666155"/>
                          <w:spacing w:val="4"/>
                          <w:sz w:val="16"/>
                          <w:szCs w:val="16"/>
                        </w:rPr>
                        <w:t>BOARDING</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PROVIDERS</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AND</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MAINSTREAM</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BOARDING</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PROVIDERS,</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spacing w:val="4"/>
                          <w:sz w:val="16"/>
                          <w:szCs w:val="16"/>
                        </w:rPr>
                        <w:t>THREE</w:t>
                      </w:r>
                      <w:r>
                        <w:rPr>
                          <w:rFonts w:ascii="Segoe UI Semibold" w:hAnsi="Segoe UI Semibold" w:cs="Segoe UI Semibold" w:eastAsia="Segoe UI Semibold"/>
                          <w:b/>
                          <w:bCs/>
                          <w:color w:val="666155"/>
                          <w:spacing w:val="4"/>
                          <w:position w:val="1"/>
                          <w:sz w:val="16"/>
                          <w:szCs w:val="16"/>
                        </w:rPr>
                        <w:t>-</w:t>
                      </w:r>
                      <w:r>
                        <w:rPr>
                          <w:rFonts w:ascii="Segoe UI Semibold" w:hAnsi="Segoe UI Semibold" w:cs="Segoe UI Semibold" w:eastAsia="Segoe UI Semibold"/>
                          <w:b/>
                          <w:bCs/>
                          <w:color w:val="666155"/>
                          <w:spacing w:val="4"/>
                          <w:sz w:val="16"/>
                          <w:szCs w:val="16"/>
                        </w:rPr>
                        <w:t>YEAR</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2"/>
                          <w:sz w:val="16"/>
                          <w:szCs w:val="16"/>
                        </w:rPr>
                        <w:t>AVERAGE</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5"/>
                          <w:sz w:val="16"/>
                          <w:szCs w:val="16"/>
                        </w:rPr>
                        <w:t>PER</w:t>
                      </w:r>
                      <w:r>
                        <w:rPr>
                          <w:rFonts w:ascii="Segoe UI Semibold" w:hAnsi="Segoe UI Semibold" w:cs="Segoe UI Semibold" w:eastAsia="Segoe UI Semibold"/>
                          <w:b/>
                          <w:bCs/>
                          <w:color w:val="666155"/>
                          <w:spacing w:val="45"/>
                          <w:w w:val="99"/>
                          <w:sz w:val="16"/>
                          <w:szCs w:val="16"/>
                        </w:rPr>
                        <w:t> </w:t>
                      </w:r>
                      <w:r>
                        <w:rPr>
                          <w:rFonts w:ascii="Segoe UI Semibold" w:hAnsi="Segoe UI Semibold" w:cs="Segoe UI Semibold" w:eastAsia="Segoe UI Semibold"/>
                          <w:b/>
                          <w:bCs/>
                          <w:color w:val="666155"/>
                          <w:spacing w:val="4"/>
                          <w:sz w:val="16"/>
                          <w:szCs w:val="16"/>
                        </w:rPr>
                        <w:t>SCHOOL</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3"/>
                          <w:sz w:val="16"/>
                          <w:szCs w:val="16"/>
                        </w:rPr>
                        <w:t>AND BOARDER,</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sz w:val="16"/>
                          <w:szCs w:val="16"/>
                        </w:rPr>
                        <w:t>2015</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position w:val="1"/>
                          <w:sz w:val="16"/>
                          <w:szCs w:val="16"/>
                        </w:rPr>
                        <w:t>—</w:t>
                      </w:r>
                      <w:r>
                        <w:rPr>
                          <w:rFonts w:ascii="Segoe UI Semibold" w:hAnsi="Segoe UI Semibold" w:cs="Segoe UI Semibold" w:eastAsia="Segoe UI Semibold"/>
                          <w:b/>
                          <w:bCs/>
                          <w:color w:val="666155"/>
                          <w:spacing w:val="-2"/>
                          <w:position w:val="1"/>
                          <w:sz w:val="16"/>
                          <w:szCs w:val="16"/>
                        </w:rPr>
                        <w:t> </w:t>
                      </w:r>
                      <w:r>
                        <w:rPr>
                          <w:rFonts w:ascii="Segoe UI Semibold" w:hAnsi="Segoe UI Semibold" w:cs="Segoe UI Semibold" w:eastAsia="Segoe UI Semibold"/>
                          <w:b/>
                          <w:bCs/>
                          <w:color w:val="666155"/>
                          <w:spacing w:val="-1"/>
                          <w:sz w:val="16"/>
                          <w:szCs w:val="16"/>
                        </w:rPr>
                        <w:t>2017</w:t>
                      </w:r>
                      <w:r>
                        <w:rPr>
                          <w:rFonts w:ascii="Segoe UI Semibold" w:hAnsi="Segoe UI Semibold" w:cs="Segoe UI Semibold" w:eastAsia="Segoe UI Semibold"/>
                          <w:sz w:val="16"/>
                          <w:szCs w:val="16"/>
                        </w:rPr>
                      </w:r>
                    </w:p>
                  </w:txbxContent>
                </v:textbox>
                <w10:wrap type="none"/>
              </v:shape>
              <v:shape style="position:absolute;left:3048;top:2780;width:2629;height:418" type="#_x0000_t202" filled="false" stroked="false">
                <v:textbox inset="0,0,0,0">
                  <w:txbxContent>
                    <w:p>
                      <w:pPr>
                        <w:spacing w:line="180" w:lineRule="exact" w:before="0"/>
                        <w:ind w:left="0" w:right="0" w:firstLine="0"/>
                        <w:jc w:val="center"/>
                        <w:rPr>
                          <w:rFonts w:ascii="Segoe UI" w:hAnsi="Segoe UI" w:cs="Segoe UI" w:eastAsia="Segoe UI"/>
                          <w:sz w:val="18"/>
                          <w:szCs w:val="18"/>
                        </w:rPr>
                      </w:pPr>
                      <w:r>
                        <w:rPr>
                          <w:rFonts w:ascii="Segoe UI"/>
                          <w:color w:val="77787B"/>
                          <w:sz w:val="18"/>
                        </w:rPr>
                        <w:t>Average</w:t>
                      </w:r>
                      <w:r>
                        <w:rPr>
                          <w:rFonts w:ascii="Segoe UI"/>
                          <w:color w:val="77787B"/>
                          <w:spacing w:val="-13"/>
                          <w:sz w:val="18"/>
                        </w:rPr>
                        <w:t> </w:t>
                      </w:r>
                      <w:r>
                        <w:rPr>
                          <w:rFonts w:ascii="Segoe UI"/>
                          <w:color w:val="77787B"/>
                          <w:sz w:val="18"/>
                        </w:rPr>
                        <w:t>private</w:t>
                      </w:r>
                      <w:r>
                        <w:rPr>
                          <w:rFonts w:ascii="Segoe UI"/>
                          <w:color w:val="77787B"/>
                          <w:spacing w:val="-10"/>
                          <w:sz w:val="18"/>
                        </w:rPr>
                        <w:t> </w:t>
                      </w:r>
                      <w:r>
                        <w:rPr>
                          <w:rFonts w:ascii="Segoe UI"/>
                          <w:color w:val="77787B"/>
                          <w:sz w:val="18"/>
                        </w:rPr>
                        <w:t>boarding</w:t>
                      </w:r>
                      <w:r>
                        <w:rPr>
                          <w:rFonts w:ascii="Segoe UI"/>
                          <w:color w:val="77787B"/>
                          <w:spacing w:val="-9"/>
                          <w:sz w:val="18"/>
                        </w:rPr>
                        <w:t> </w:t>
                      </w:r>
                      <w:r>
                        <w:rPr>
                          <w:rFonts w:ascii="Segoe UI"/>
                          <w:color w:val="77787B"/>
                          <w:spacing w:val="-1"/>
                          <w:sz w:val="18"/>
                        </w:rPr>
                        <w:t>income</w:t>
                      </w:r>
                      <w:r>
                        <w:rPr>
                          <w:rFonts w:ascii="Segoe UI"/>
                          <w:sz w:val="18"/>
                        </w:rPr>
                      </w:r>
                    </w:p>
                    <w:p>
                      <w:pPr>
                        <w:spacing w:line="237" w:lineRule="exact" w:before="0"/>
                        <w:ind w:left="0" w:right="0" w:firstLine="0"/>
                        <w:jc w:val="center"/>
                        <w:rPr>
                          <w:rFonts w:ascii="Segoe UI" w:hAnsi="Segoe UI" w:cs="Segoe UI" w:eastAsia="Segoe UI"/>
                          <w:sz w:val="18"/>
                          <w:szCs w:val="18"/>
                        </w:rPr>
                      </w:pPr>
                      <w:r>
                        <w:rPr>
                          <w:rFonts w:ascii="Segoe UI"/>
                          <w:color w:val="77787B"/>
                          <w:sz w:val="18"/>
                        </w:rPr>
                        <w:t>per</w:t>
                      </w:r>
                      <w:r>
                        <w:rPr>
                          <w:rFonts w:ascii="Segoe UI"/>
                          <w:color w:val="77787B"/>
                          <w:spacing w:val="-10"/>
                          <w:sz w:val="18"/>
                        </w:rPr>
                        <w:t> </w:t>
                      </w:r>
                      <w:r>
                        <w:rPr>
                          <w:rFonts w:ascii="Segoe UI"/>
                          <w:color w:val="77787B"/>
                          <w:sz w:val="18"/>
                        </w:rPr>
                        <w:t>boarding</w:t>
                      </w:r>
                      <w:r>
                        <w:rPr>
                          <w:rFonts w:ascii="Segoe UI"/>
                          <w:color w:val="77787B"/>
                          <w:spacing w:val="-9"/>
                          <w:sz w:val="18"/>
                        </w:rPr>
                        <w:t> </w:t>
                      </w:r>
                      <w:r>
                        <w:rPr>
                          <w:rFonts w:ascii="Segoe UI"/>
                          <w:color w:val="77787B"/>
                          <w:sz w:val="18"/>
                        </w:rPr>
                        <w:t>provider</w:t>
                      </w:r>
                      <w:r>
                        <w:rPr>
                          <w:rFonts w:ascii="Segoe UI"/>
                          <w:sz w:val="18"/>
                        </w:rPr>
                      </w:r>
                    </w:p>
                  </w:txbxContent>
                </v:textbox>
                <w10:wrap type="none"/>
              </v:shape>
              <v:shape style="position:absolute;left:6637;top:2801;width:2001;height:418" type="#_x0000_t202" filled="false" stroked="false">
                <v:textbox inset="0,0,0,0">
                  <w:txbxContent>
                    <w:p>
                      <w:pPr>
                        <w:spacing w:line="180" w:lineRule="exact" w:before="0"/>
                        <w:ind w:left="0" w:right="0" w:firstLine="0"/>
                        <w:jc w:val="center"/>
                        <w:rPr>
                          <w:rFonts w:ascii="Segoe UI" w:hAnsi="Segoe UI" w:cs="Segoe UI" w:eastAsia="Segoe UI"/>
                          <w:sz w:val="18"/>
                          <w:szCs w:val="18"/>
                        </w:rPr>
                      </w:pPr>
                      <w:r>
                        <w:rPr>
                          <w:rFonts w:ascii="Segoe UI"/>
                          <w:color w:val="77787B"/>
                          <w:sz w:val="18"/>
                        </w:rPr>
                        <w:t>Average</w:t>
                      </w:r>
                      <w:r>
                        <w:rPr>
                          <w:rFonts w:ascii="Segoe UI"/>
                          <w:color w:val="77787B"/>
                          <w:spacing w:val="-15"/>
                          <w:sz w:val="18"/>
                        </w:rPr>
                        <w:t> </w:t>
                      </w:r>
                      <w:r>
                        <w:rPr>
                          <w:rFonts w:ascii="Segoe UI"/>
                          <w:color w:val="77787B"/>
                          <w:sz w:val="18"/>
                        </w:rPr>
                        <w:t>private</w:t>
                      </w:r>
                      <w:r>
                        <w:rPr>
                          <w:rFonts w:ascii="Segoe UI"/>
                          <w:color w:val="77787B"/>
                          <w:spacing w:val="-11"/>
                          <w:sz w:val="18"/>
                        </w:rPr>
                        <w:t> </w:t>
                      </w:r>
                      <w:r>
                        <w:rPr>
                          <w:rFonts w:ascii="Segoe UI"/>
                          <w:color w:val="77787B"/>
                          <w:sz w:val="18"/>
                        </w:rPr>
                        <w:t>boarding</w:t>
                      </w:r>
                      <w:r>
                        <w:rPr>
                          <w:rFonts w:ascii="Segoe UI"/>
                          <w:sz w:val="18"/>
                        </w:rPr>
                      </w:r>
                    </w:p>
                    <w:p>
                      <w:pPr>
                        <w:spacing w:line="237" w:lineRule="exact" w:before="0"/>
                        <w:ind w:left="0" w:right="1" w:firstLine="0"/>
                        <w:jc w:val="center"/>
                        <w:rPr>
                          <w:rFonts w:ascii="Segoe UI" w:hAnsi="Segoe UI" w:cs="Segoe UI" w:eastAsia="Segoe UI"/>
                          <w:sz w:val="18"/>
                          <w:szCs w:val="18"/>
                        </w:rPr>
                      </w:pPr>
                      <w:r>
                        <w:rPr>
                          <w:rFonts w:ascii="Segoe UI"/>
                          <w:color w:val="77787B"/>
                          <w:sz w:val="18"/>
                        </w:rPr>
                        <w:t>income</w:t>
                      </w:r>
                      <w:r>
                        <w:rPr>
                          <w:rFonts w:ascii="Segoe UI"/>
                          <w:color w:val="77787B"/>
                          <w:spacing w:val="-9"/>
                          <w:sz w:val="18"/>
                        </w:rPr>
                        <w:t> </w:t>
                      </w:r>
                      <w:r>
                        <w:rPr>
                          <w:rFonts w:ascii="Segoe UI"/>
                          <w:color w:val="77787B"/>
                          <w:sz w:val="18"/>
                        </w:rPr>
                        <w:t>per</w:t>
                      </w:r>
                      <w:r>
                        <w:rPr>
                          <w:rFonts w:ascii="Segoe UI"/>
                          <w:color w:val="77787B"/>
                          <w:spacing w:val="-8"/>
                          <w:sz w:val="18"/>
                        </w:rPr>
                        <w:t> </w:t>
                      </w:r>
                      <w:r>
                        <w:rPr>
                          <w:rFonts w:ascii="Segoe UI"/>
                          <w:color w:val="77787B"/>
                          <w:sz w:val="18"/>
                        </w:rPr>
                        <w:t>boarder</w:t>
                      </w:r>
                      <w:r>
                        <w:rPr>
                          <w:rFonts w:ascii="Segoe UI"/>
                          <w:sz w:val="18"/>
                        </w:rPr>
                      </w:r>
                    </w:p>
                  </w:txbxContent>
                </v:textbox>
                <w10:wrap type="none"/>
              </v:shape>
              <v:shape style="position:absolute;left:2347;top:3323;width:434;height:150" type="#_x0000_t202" filled="false" stroked="false">
                <v:textbox inset="0,0,0,0">
                  <w:txbxContent>
                    <w:p>
                      <w:pPr>
                        <w:spacing w:line="150" w:lineRule="exact" w:before="0"/>
                        <w:ind w:left="0" w:right="0" w:firstLine="0"/>
                        <w:jc w:val="left"/>
                        <w:rPr>
                          <w:rFonts w:ascii="Segoe UI" w:hAnsi="Segoe UI" w:cs="Segoe UI" w:eastAsia="Segoe UI"/>
                          <w:sz w:val="15"/>
                          <w:szCs w:val="15"/>
                        </w:rPr>
                      </w:pPr>
                      <w:r>
                        <w:rPr>
                          <w:rFonts w:ascii="Segoe UI"/>
                          <w:color w:val="77787B"/>
                          <w:spacing w:val="-1"/>
                          <w:sz w:val="15"/>
                        </w:rPr>
                        <w:t>78,500</w:t>
                      </w:r>
                      <w:r>
                        <w:rPr>
                          <w:rFonts w:ascii="Segoe UI"/>
                          <w:sz w:val="15"/>
                        </w:rPr>
                      </w:r>
                    </w:p>
                  </w:txbxContent>
                </v:textbox>
                <w10:wrap type="none"/>
              </v:shape>
              <v:shape style="position:absolute;left:6163;top:3456;width:242;height:150" type="#_x0000_t202" filled="false" stroked="false">
                <v:textbox inset="0,0,0,0">
                  <w:txbxContent>
                    <w:p>
                      <w:pPr>
                        <w:spacing w:line="150" w:lineRule="exact" w:before="0"/>
                        <w:ind w:left="0" w:right="0" w:firstLine="0"/>
                        <w:jc w:val="left"/>
                        <w:rPr>
                          <w:rFonts w:ascii="Segoe UI" w:hAnsi="Segoe UI" w:cs="Segoe UI" w:eastAsia="Segoe UI"/>
                          <w:sz w:val="15"/>
                          <w:szCs w:val="15"/>
                        </w:rPr>
                      </w:pPr>
                      <w:r>
                        <w:rPr>
                          <w:rFonts w:ascii="Segoe UI"/>
                          <w:color w:val="77787B"/>
                          <w:spacing w:val="-1"/>
                          <w:sz w:val="15"/>
                        </w:rPr>
                        <w:t>650</w:t>
                      </w:r>
                      <w:r>
                        <w:rPr>
                          <w:rFonts w:ascii="Segoe UI"/>
                          <w:sz w:val="15"/>
                        </w:rPr>
                      </w:r>
                    </w:p>
                  </w:txbxContent>
                </v:textbox>
                <w10:wrap type="none"/>
              </v:shape>
              <v:shape style="position:absolute;left:2347;top:3741;width:434;height:568" type="#_x0000_t202" filled="false" stroked="false">
                <v:textbox inset="0,0,0,0">
                  <w:txbxContent>
                    <w:p>
                      <w:pPr>
                        <w:spacing w:line="151" w:lineRule="exact" w:before="0"/>
                        <w:ind w:left="0" w:right="0" w:firstLine="0"/>
                        <w:jc w:val="left"/>
                        <w:rPr>
                          <w:rFonts w:ascii="Segoe UI" w:hAnsi="Segoe UI" w:cs="Segoe UI" w:eastAsia="Segoe UI"/>
                          <w:sz w:val="15"/>
                          <w:szCs w:val="15"/>
                        </w:rPr>
                      </w:pPr>
                      <w:r>
                        <w:rPr>
                          <w:rFonts w:ascii="Segoe UI"/>
                          <w:color w:val="77787B"/>
                          <w:spacing w:val="-1"/>
                          <w:sz w:val="15"/>
                        </w:rPr>
                        <w:t>78,000</w:t>
                      </w:r>
                      <w:r>
                        <w:rPr>
                          <w:rFonts w:ascii="Segoe UI"/>
                          <w:sz w:val="15"/>
                        </w:rPr>
                      </w:r>
                    </w:p>
                    <w:p>
                      <w:pPr>
                        <w:spacing w:line="240" w:lineRule="auto" w:before="6"/>
                        <w:rPr>
                          <w:rFonts w:ascii="Segoe UI" w:hAnsi="Segoe UI" w:cs="Segoe UI" w:eastAsia="Segoe UI"/>
                          <w:sz w:val="16"/>
                          <w:szCs w:val="16"/>
                        </w:rPr>
                      </w:pPr>
                    </w:p>
                    <w:p>
                      <w:pPr>
                        <w:spacing w:line="198" w:lineRule="exact" w:before="0"/>
                        <w:ind w:left="0" w:right="0" w:firstLine="0"/>
                        <w:jc w:val="left"/>
                        <w:rPr>
                          <w:rFonts w:ascii="Segoe UI" w:hAnsi="Segoe UI" w:cs="Segoe UI" w:eastAsia="Segoe UI"/>
                          <w:sz w:val="15"/>
                          <w:szCs w:val="15"/>
                        </w:rPr>
                      </w:pPr>
                      <w:r>
                        <w:rPr>
                          <w:rFonts w:ascii="Segoe UI"/>
                          <w:color w:val="77787B"/>
                          <w:spacing w:val="-1"/>
                          <w:sz w:val="15"/>
                        </w:rPr>
                        <w:t>77,500</w:t>
                      </w:r>
                      <w:r>
                        <w:rPr>
                          <w:rFonts w:ascii="Segoe UI"/>
                          <w:sz w:val="15"/>
                        </w:rPr>
                      </w:r>
                    </w:p>
                  </w:txbxContent>
                </v:textbox>
                <w10:wrap type="none"/>
              </v:shape>
              <v:shape style="position:absolute;left:6163;top:4116;width:242;height:150" type="#_x0000_t202" filled="false" stroked="false">
                <v:textbox inset="0,0,0,0">
                  <w:txbxContent>
                    <w:p>
                      <w:pPr>
                        <w:spacing w:line="150" w:lineRule="exact" w:before="0"/>
                        <w:ind w:left="0" w:right="0" w:firstLine="0"/>
                        <w:jc w:val="left"/>
                        <w:rPr>
                          <w:rFonts w:ascii="Segoe UI" w:hAnsi="Segoe UI" w:cs="Segoe UI" w:eastAsia="Segoe UI"/>
                          <w:sz w:val="15"/>
                          <w:szCs w:val="15"/>
                        </w:rPr>
                      </w:pPr>
                      <w:r>
                        <w:rPr>
                          <w:rFonts w:ascii="Segoe UI"/>
                          <w:color w:val="77787B"/>
                          <w:spacing w:val="-1"/>
                          <w:sz w:val="15"/>
                        </w:rPr>
                        <w:t>600</w:t>
                      </w:r>
                      <w:r>
                        <w:rPr>
                          <w:rFonts w:ascii="Segoe UI"/>
                          <w:sz w:val="15"/>
                        </w:rPr>
                      </w:r>
                    </w:p>
                  </w:txbxContent>
                </v:textbox>
                <w10:wrap type="none"/>
              </v:shape>
              <v:shape style="position:absolute;left:2347;top:4577;width:6721;height:1423" type="#_x0000_t202" filled="false" stroked="false">
                <v:textbox inset="0,0,0,0">
                  <w:txbxContent>
                    <w:p>
                      <w:pPr>
                        <w:spacing w:line="150" w:lineRule="exact" w:before="0"/>
                        <w:ind w:left="0" w:right="0" w:firstLine="0"/>
                        <w:jc w:val="left"/>
                        <w:rPr>
                          <w:rFonts w:ascii="Segoe UI" w:hAnsi="Segoe UI" w:cs="Segoe UI" w:eastAsia="Segoe UI"/>
                          <w:sz w:val="15"/>
                          <w:szCs w:val="15"/>
                        </w:rPr>
                      </w:pPr>
                      <w:r>
                        <w:rPr>
                          <w:rFonts w:ascii="Segoe UI"/>
                          <w:color w:val="77787B"/>
                          <w:spacing w:val="-1"/>
                          <w:sz w:val="15"/>
                        </w:rPr>
                        <w:t>77,000</w:t>
                      </w:r>
                      <w:r>
                        <w:rPr>
                          <w:rFonts w:ascii="Segoe UI"/>
                          <w:sz w:val="15"/>
                        </w:rPr>
                      </w:r>
                    </w:p>
                    <w:p>
                      <w:pPr>
                        <w:spacing w:line="199" w:lineRule="exact" w:before="0"/>
                        <w:ind w:left="1154" w:right="0" w:firstLine="0"/>
                        <w:jc w:val="center"/>
                        <w:rPr>
                          <w:rFonts w:ascii="Segoe UI" w:hAnsi="Segoe UI" w:cs="Segoe UI" w:eastAsia="Segoe UI"/>
                          <w:sz w:val="15"/>
                          <w:szCs w:val="15"/>
                        </w:rPr>
                      </w:pPr>
                      <w:r>
                        <w:rPr>
                          <w:rFonts w:ascii="Segoe UI"/>
                          <w:color w:val="77787B"/>
                          <w:spacing w:val="-1"/>
                          <w:sz w:val="15"/>
                        </w:rPr>
                        <w:t>550</w:t>
                      </w:r>
                      <w:r>
                        <w:rPr>
                          <w:rFonts w:ascii="Segoe UI"/>
                          <w:sz w:val="15"/>
                        </w:rPr>
                      </w:r>
                    </w:p>
                    <w:p>
                      <w:pPr>
                        <w:spacing w:before="20"/>
                        <w:ind w:left="0" w:right="0" w:firstLine="0"/>
                        <w:jc w:val="left"/>
                        <w:rPr>
                          <w:rFonts w:ascii="Segoe UI" w:hAnsi="Segoe UI" w:cs="Segoe UI" w:eastAsia="Segoe UI"/>
                          <w:sz w:val="15"/>
                          <w:szCs w:val="15"/>
                        </w:rPr>
                      </w:pPr>
                      <w:r>
                        <w:rPr>
                          <w:rFonts w:ascii="Segoe UI"/>
                          <w:color w:val="77787B"/>
                          <w:spacing w:val="-1"/>
                          <w:sz w:val="15"/>
                        </w:rPr>
                        <w:t>76,500</w:t>
                      </w:r>
                      <w:r>
                        <w:rPr>
                          <w:rFonts w:ascii="Segoe UI"/>
                          <w:sz w:val="15"/>
                        </w:rPr>
                      </w:r>
                    </w:p>
                    <w:p>
                      <w:pPr>
                        <w:spacing w:line="240" w:lineRule="auto" w:before="6"/>
                        <w:rPr>
                          <w:rFonts w:ascii="Segoe UI" w:hAnsi="Segoe UI" w:cs="Segoe UI" w:eastAsia="Segoe UI"/>
                          <w:sz w:val="16"/>
                          <w:szCs w:val="16"/>
                        </w:rPr>
                      </w:pPr>
                    </w:p>
                    <w:p>
                      <w:pPr>
                        <w:tabs>
                          <w:tab w:pos="3816" w:val="left" w:leader="none"/>
                        </w:tabs>
                        <w:spacing w:line="219" w:lineRule="exact" w:before="0"/>
                        <w:ind w:left="0" w:right="0" w:firstLine="0"/>
                        <w:jc w:val="left"/>
                        <w:rPr>
                          <w:rFonts w:ascii="Segoe UI" w:hAnsi="Segoe UI" w:cs="Segoe UI" w:eastAsia="Segoe UI"/>
                          <w:sz w:val="15"/>
                          <w:szCs w:val="15"/>
                        </w:rPr>
                      </w:pPr>
                      <w:r>
                        <w:rPr>
                          <w:rFonts w:ascii="Segoe UI"/>
                          <w:color w:val="77787B"/>
                          <w:spacing w:val="-1"/>
                          <w:w w:val="95"/>
                          <w:sz w:val="15"/>
                        </w:rPr>
                        <w:t>76,000</w:t>
                        <w:tab/>
                      </w:r>
                      <w:r>
                        <w:rPr>
                          <w:rFonts w:ascii="Segoe UI"/>
                          <w:color w:val="77787B"/>
                          <w:spacing w:val="-1"/>
                          <w:position w:val="-1"/>
                          <w:sz w:val="15"/>
                        </w:rPr>
                        <w:t>500</w:t>
                      </w:r>
                      <w:r>
                        <w:rPr>
                          <w:rFonts w:ascii="Segoe UI"/>
                          <w:sz w:val="15"/>
                        </w:rPr>
                      </w:r>
                    </w:p>
                    <w:p>
                      <w:pPr>
                        <w:tabs>
                          <w:tab w:pos="4312" w:val="left" w:leader="none"/>
                          <w:tab w:pos="4865" w:val="left" w:leader="none"/>
                        </w:tabs>
                        <w:spacing w:line="217" w:lineRule="auto" w:before="14"/>
                        <w:ind w:left="1759" w:right="0" w:hanging="963"/>
                        <w:jc w:val="left"/>
                        <w:rPr>
                          <w:rFonts w:ascii="Segoe UI" w:hAnsi="Segoe UI" w:cs="Segoe UI" w:eastAsia="Segoe UI"/>
                          <w:sz w:val="15"/>
                          <w:szCs w:val="15"/>
                        </w:rPr>
                      </w:pPr>
                      <w:r>
                        <w:rPr>
                          <w:rFonts w:ascii="Segoe UI"/>
                          <w:color w:val="77787B"/>
                          <w:spacing w:val="-1"/>
                          <w:sz w:val="15"/>
                        </w:rPr>
                        <w:t>Total</w:t>
                      </w:r>
                      <w:r>
                        <w:rPr>
                          <w:rFonts w:ascii="Segoe UI"/>
                          <w:color w:val="77787B"/>
                          <w:spacing w:val="-7"/>
                          <w:sz w:val="15"/>
                        </w:rPr>
                        <w:t> </w:t>
                      </w:r>
                      <w:r>
                        <w:rPr>
                          <w:rFonts w:ascii="Segoe UI"/>
                          <w:color w:val="77787B"/>
                          <w:spacing w:val="-1"/>
                          <w:sz w:val="15"/>
                        </w:rPr>
                        <w:t>average</w:t>
                      </w:r>
                      <w:r>
                        <w:rPr>
                          <w:rFonts w:ascii="Segoe UI"/>
                          <w:color w:val="77787B"/>
                          <w:spacing w:val="-7"/>
                          <w:sz w:val="15"/>
                        </w:rPr>
                        <w:t> </w:t>
                      </w:r>
                      <w:r>
                        <w:rPr>
                          <w:rFonts w:ascii="Segoe UI"/>
                          <w:color w:val="77787B"/>
                          <w:spacing w:val="-1"/>
                          <w:sz w:val="15"/>
                        </w:rPr>
                        <w:t>other</w:t>
                      </w:r>
                      <w:r>
                        <w:rPr>
                          <w:rFonts w:ascii="Segoe UI"/>
                          <w:color w:val="77787B"/>
                          <w:spacing w:val="-6"/>
                          <w:sz w:val="15"/>
                        </w:rPr>
                        <w:t> </w:t>
                      </w:r>
                      <w:r>
                        <w:rPr>
                          <w:rFonts w:ascii="Segoe UI"/>
                          <w:color w:val="77787B"/>
                          <w:spacing w:val="-1"/>
                          <w:sz w:val="15"/>
                        </w:rPr>
                        <w:t>private</w:t>
                      </w:r>
                      <w:r>
                        <w:rPr>
                          <w:rFonts w:ascii="Segoe UI"/>
                          <w:color w:val="77787B"/>
                          <w:spacing w:val="-7"/>
                          <w:sz w:val="15"/>
                        </w:rPr>
                        <w:t> </w:t>
                      </w:r>
                      <w:r>
                        <w:rPr>
                          <w:rFonts w:ascii="Segoe UI"/>
                          <w:color w:val="77787B"/>
                          <w:spacing w:val="-1"/>
                          <w:sz w:val="15"/>
                        </w:rPr>
                        <w:t>boarding</w:t>
                        <w:tab/>
                      </w:r>
                      <w:r>
                        <w:rPr>
                          <w:rFonts w:ascii="Segoe UI"/>
                          <w:color w:val="77787B"/>
                          <w:spacing w:val="-1"/>
                          <w:position w:val="-1"/>
                          <w:sz w:val="15"/>
                        </w:rPr>
                        <w:t>Total</w:t>
                      </w:r>
                      <w:r>
                        <w:rPr>
                          <w:rFonts w:ascii="Segoe UI"/>
                          <w:color w:val="77787B"/>
                          <w:spacing w:val="-7"/>
                          <w:position w:val="-1"/>
                          <w:sz w:val="15"/>
                        </w:rPr>
                        <w:t> </w:t>
                      </w:r>
                      <w:r>
                        <w:rPr>
                          <w:rFonts w:ascii="Segoe UI"/>
                          <w:color w:val="77787B"/>
                          <w:spacing w:val="-1"/>
                          <w:position w:val="-1"/>
                          <w:sz w:val="15"/>
                        </w:rPr>
                        <w:t>average</w:t>
                      </w:r>
                      <w:r>
                        <w:rPr>
                          <w:rFonts w:ascii="Segoe UI"/>
                          <w:color w:val="77787B"/>
                          <w:spacing w:val="-6"/>
                          <w:position w:val="-1"/>
                          <w:sz w:val="15"/>
                        </w:rPr>
                        <w:t> </w:t>
                      </w:r>
                      <w:r>
                        <w:rPr>
                          <w:rFonts w:ascii="Segoe UI"/>
                          <w:color w:val="77787B"/>
                          <w:spacing w:val="-1"/>
                          <w:position w:val="-1"/>
                          <w:sz w:val="15"/>
                        </w:rPr>
                        <w:t>other</w:t>
                      </w:r>
                      <w:r>
                        <w:rPr>
                          <w:rFonts w:ascii="Segoe UI"/>
                          <w:color w:val="77787B"/>
                          <w:spacing w:val="-6"/>
                          <w:position w:val="-1"/>
                          <w:sz w:val="15"/>
                        </w:rPr>
                        <w:t> </w:t>
                      </w:r>
                      <w:r>
                        <w:rPr>
                          <w:rFonts w:ascii="Segoe UI"/>
                          <w:color w:val="77787B"/>
                          <w:spacing w:val="-1"/>
                          <w:position w:val="-1"/>
                          <w:sz w:val="15"/>
                        </w:rPr>
                        <w:t>private</w:t>
                      </w:r>
                      <w:r>
                        <w:rPr>
                          <w:rFonts w:ascii="Segoe UI"/>
                          <w:color w:val="77787B"/>
                          <w:spacing w:val="-8"/>
                          <w:position w:val="-1"/>
                          <w:sz w:val="15"/>
                        </w:rPr>
                        <w:t> </w:t>
                      </w:r>
                      <w:r>
                        <w:rPr>
                          <w:rFonts w:ascii="Segoe UI"/>
                          <w:color w:val="77787B"/>
                          <w:spacing w:val="-1"/>
                          <w:position w:val="-1"/>
                          <w:sz w:val="15"/>
                        </w:rPr>
                        <w:t>boarding</w:t>
                      </w:r>
                      <w:r>
                        <w:rPr>
                          <w:rFonts w:ascii="Segoe UI"/>
                          <w:color w:val="77787B"/>
                          <w:spacing w:val="19"/>
                          <w:w w:val="99"/>
                          <w:position w:val="-1"/>
                          <w:sz w:val="15"/>
                        </w:rPr>
                        <w:t> </w:t>
                      </w:r>
                      <w:r>
                        <w:rPr>
                          <w:rFonts w:ascii="Segoe UI"/>
                          <w:color w:val="77787B"/>
                          <w:spacing w:val="-1"/>
                          <w:w w:val="95"/>
                          <w:position w:val="2"/>
                          <w:sz w:val="15"/>
                        </w:rPr>
                        <w:t>income</w:t>
                        <w:tab/>
                        <w:tab/>
                      </w:r>
                      <w:r>
                        <w:rPr>
                          <w:rFonts w:ascii="Segoe UI"/>
                          <w:color w:val="77787B"/>
                          <w:spacing w:val="-1"/>
                          <w:sz w:val="15"/>
                        </w:rPr>
                        <w:t>income</w:t>
                      </w:r>
                      <w:r>
                        <w:rPr>
                          <w:rFonts w:ascii="Segoe UI"/>
                          <w:color w:val="77787B"/>
                          <w:spacing w:val="-7"/>
                          <w:sz w:val="15"/>
                        </w:rPr>
                        <w:t> </w:t>
                      </w:r>
                      <w:r>
                        <w:rPr>
                          <w:rFonts w:ascii="Segoe UI"/>
                          <w:color w:val="77787B"/>
                          <w:spacing w:val="-1"/>
                          <w:sz w:val="15"/>
                        </w:rPr>
                        <w:t>per</w:t>
                      </w:r>
                      <w:r>
                        <w:rPr>
                          <w:rFonts w:ascii="Segoe UI"/>
                          <w:color w:val="77787B"/>
                          <w:spacing w:val="-6"/>
                          <w:sz w:val="15"/>
                        </w:rPr>
                        <w:t> </w:t>
                      </w:r>
                      <w:r>
                        <w:rPr>
                          <w:rFonts w:ascii="Segoe UI"/>
                          <w:color w:val="77787B"/>
                          <w:spacing w:val="-1"/>
                          <w:sz w:val="15"/>
                        </w:rPr>
                        <w:t>boarder</w:t>
                      </w:r>
                      <w:r>
                        <w:rPr>
                          <w:rFonts w:ascii="Segoe UI"/>
                          <w:sz w:val="15"/>
                        </w:rPr>
                      </w:r>
                    </w:p>
                  </w:txbxContent>
                </v:textbox>
                <w10:wrap type="none"/>
              </v:shape>
              <v:shape style="position:absolute;left:2675;top:6180;width:2649;height:348" type="#_x0000_t202" filled="false" stroked="false">
                <v:textbox inset="0,0,0,0">
                  <w:txbxContent>
                    <w:p>
                      <w:pPr>
                        <w:spacing w:line="150" w:lineRule="exact" w:before="0"/>
                        <w:ind w:left="0" w:right="0" w:firstLine="0"/>
                        <w:jc w:val="left"/>
                        <w:rPr>
                          <w:rFonts w:ascii="Segoe UI" w:hAnsi="Segoe UI" w:cs="Segoe UI" w:eastAsia="Segoe UI"/>
                          <w:sz w:val="15"/>
                          <w:szCs w:val="15"/>
                        </w:rPr>
                      </w:pPr>
                      <w:r>
                        <w:rPr>
                          <w:rFonts w:ascii="Segoe UI"/>
                          <w:color w:val="77787B"/>
                          <w:spacing w:val="-1"/>
                          <w:sz w:val="15"/>
                        </w:rPr>
                        <w:t>3yr</w:t>
                      </w:r>
                      <w:r>
                        <w:rPr>
                          <w:rFonts w:ascii="Segoe UI"/>
                          <w:color w:val="77787B"/>
                          <w:spacing w:val="-6"/>
                          <w:sz w:val="15"/>
                        </w:rPr>
                        <w:t> </w:t>
                      </w:r>
                      <w:r>
                        <w:rPr>
                          <w:rFonts w:ascii="Segoe UI"/>
                          <w:color w:val="77787B"/>
                          <w:spacing w:val="-1"/>
                          <w:sz w:val="15"/>
                        </w:rPr>
                        <w:t>average</w:t>
                      </w:r>
                      <w:r>
                        <w:rPr>
                          <w:rFonts w:ascii="Segoe UI"/>
                          <w:color w:val="77787B"/>
                          <w:spacing w:val="-7"/>
                          <w:sz w:val="15"/>
                        </w:rPr>
                        <w:t> </w:t>
                      </w:r>
                      <w:r>
                        <w:rPr>
                          <w:rFonts w:ascii="Segoe UI"/>
                          <w:color w:val="77787B"/>
                          <w:spacing w:val="-1"/>
                          <w:sz w:val="15"/>
                        </w:rPr>
                        <w:t>(Aboriginal</w:t>
                      </w:r>
                      <w:r>
                        <w:rPr>
                          <w:rFonts w:ascii="Segoe UI"/>
                          <w:color w:val="77787B"/>
                          <w:spacing w:val="-7"/>
                          <w:sz w:val="15"/>
                        </w:rPr>
                        <w:t> </w:t>
                      </w:r>
                      <w:r>
                        <w:rPr>
                          <w:rFonts w:ascii="Segoe UI"/>
                          <w:color w:val="77787B"/>
                          <w:spacing w:val="-1"/>
                          <w:sz w:val="15"/>
                        </w:rPr>
                        <w:t>and</w:t>
                      </w:r>
                      <w:r>
                        <w:rPr>
                          <w:rFonts w:ascii="Segoe UI"/>
                          <w:color w:val="77787B"/>
                          <w:spacing w:val="-7"/>
                          <w:sz w:val="15"/>
                        </w:rPr>
                        <w:t> </w:t>
                      </w:r>
                      <w:r>
                        <w:rPr>
                          <w:rFonts w:ascii="Segoe UI"/>
                          <w:color w:val="77787B"/>
                          <w:spacing w:val="-1"/>
                          <w:sz w:val="15"/>
                        </w:rPr>
                        <w:t>Torres</w:t>
                      </w:r>
                      <w:r>
                        <w:rPr>
                          <w:rFonts w:ascii="Segoe UI"/>
                          <w:color w:val="77787B"/>
                          <w:spacing w:val="-4"/>
                          <w:sz w:val="15"/>
                        </w:rPr>
                        <w:t> </w:t>
                      </w:r>
                      <w:r>
                        <w:rPr>
                          <w:rFonts w:ascii="Segoe UI"/>
                          <w:color w:val="77787B"/>
                          <w:spacing w:val="-1"/>
                          <w:sz w:val="15"/>
                        </w:rPr>
                        <w:t>Strait</w:t>
                      </w:r>
                      <w:r>
                        <w:rPr>
                          <w:rFonts w:ascii="Segoe UI"/>
                          <w:sz w:val="15"/>
                        </w:rPr>
                      </w:r>
                    </w:p>
                    <w:p>
                      <w:pPr>
                        <w:spacing w:line="197" w:lineRule="exact" w:before="0"/>
                        <w:ind w:left="0" w:right="0" w:firstLine="0"/>
                        <w:jc w:val="left"/>
                        <w:rPr>
                          <w:rFonts w:ascii="Segoe UI" w:hAnsi="Segoe UI" w:cs="Segoe UI" w:eastAsia="Segoe UI"/>
                          <w:sz w:val="15"/>
                          <w:szCs w:val="15"/>
                        </w:rPr>
                      </w:pPr>
                      <w:r>
                        <w:rPr>
                          <w:rFonts w:ascii="Segoe UI"/>
                          <w:color w:val="77787B"/>
                          <w:spacing w:val="-1"/>
                          <w:sz w:val="15"/>
                        </w:rPr>
                        <w:t>Islander)</w:t>
                      </w:r>
                      <w:r>
                        <w:rPr>
                          <w:rFonts w:ascii="Segoe UI"/>
                          <w:sz w:val="15"/>
                        </w:rPr>
                      </w:r>
                    </w:p>
                  </w:txbxContent>
                </v:textbox>
                <w10:wrap type="none"/>
              </v:shape>
              <v:shape style="position:absolute;left:6364;top:6162;width:2649;height:348" type="#_x0000_t202" filled="false" stroked="false">
                <v:textbox inset="0,0,0,0">
                  <w:txbxContent>
                    <w:p>
                      <w:pPr>
                        <w:spacing w:line="150" w:lineRule="exact" w:before="0"/>
                        <w:ind w:left="0" w:right="0" w:firstLine="0"/>
                        <w:jc w:val="left"/>
                        <w:rPr>
                          <w:rFonts w:ascii="Segoe UI" w:hAnsi="Segoe UI" w:cs="Segoe UI" w:eastAsia="Segoe UI"/>
                          <w:sz w:val="15"/>
                          <w:szCs w:val="15"/>
                        </w:rPr>
                      </w:pPr>
                      <w:r>
                        <w:rPr>
                          <w:rFonts w:ascii="Segoe UI"/>
                          <w:color w:val="77787B"/>
                          <w:spacing w:val="-1"/>
                          <w:sz w:val="15"/>
                        </w:rPr>
                        <w:t>3yr</w:t>
                      </w:r>
                      <w:r>
                        <w:rPr>
                          <w:rFonts w:ascii="Segoe UI"/>
                          <w:color w:val="77787B"/>
                          <w:spacing w:val="-6"/>
                          <w:sz w:val="15"/>
                        </w:rPr>
                        <w:t> </w:t>
                      </w:r>
                      <w:r>
                        <w:rPr>
                          <w:rFonts w:ascii="Segoe UI"/>
                          <w:color w:val="77787B"/>
                          <w:spacing w:val="-1"/>
                          <w:sz w:val="15"/>
                        </w:rPr>
                        <w:t>average</w:t>
                      </w:r>
                      <w:r>
                        <w:rPr>
                          <w:rFonts w:ascii="Segoe UI"/>
                          <w:color w:val="77787B"/>
                          <w:spacing w:val="-7"/>
                          <w:sz w:val="15"/>
                        </w:rPr>
                        <w:t> </w:t>
                      </w:r>
                      <w:r>
                        <w:rPr>
                          <w:rFonts w:ascii="Segoe UI"/>
                          <w:color w:val="77787B"/>
                          <w:spacing w:val="-1"/>
                          <w:sz w:val="15"/>
                        </w:rPr>
                        <w:t>(Aboriginal</w:t>
                      </w:r>
                      <w:r>
                        <w:rPr>
                          <w:rFonts w:ascii="Segoe UI"/>
                          <w:color w:val="77787B"/>
                          <w:spacing w:val="-7"/>
                          <w:sz w:val="15"/>
                        </w:rPr>
                        <w:t> </w:t>
                      </w:r>
                      <w:r>
                        <w:rPr>
                          <w:rFonts w:ascii="Segoe UI"/>
                          <w:color w:val="77787B"/>
                          <w:spacing w:val="-1"/>
                          <w:sz w:val="15"/>
                        </w:rPr>
                        <w:t>and</w:t>
                      </w:r>
                      <w:r>
                        <w:rPr>
                          <w:rFonts w:ascii="Segoe UI"/>
                          <w:color w:val="77787B"/>
                          <w:spacing w:val="-7"/>
                          <w:sz w:val="15"/>
                        </w:rPr>
                        <w:t> </w:t>
                      </w:r>
                      <w:r>
                        <w:rPr>
                          <w:rFonts w:ascii="Segoe UI"/>
                          <w:color w:val="77787B"/>
                          <w:spacing w:val="-1"/>
                          <w:sz w:val="15"/>
                        </w:rPr>
                        <w:t>Torres</w:t>
                      </w:r>
                      <w:r>
                        <w:rPr>
                          <w:rFonts w:ascii="Segoe UI"/>
                          <w:color w:val="77787B"/>
                          <w:spacing w:val="-4"/>
                          <w:sz w:val="15"/>
                        </w:rPr>
                        <w:t> </w:t>
                      </w:r>
                      <w:r>
                        <w:rPr>
                          <w:rFonts w:ascii="Segoe UI"/>
                          <w:color w:val="77787B"/>
                          <w:spacing w:val="-1"/>
                          <w:sz w:val="15"/>
                        </w:rPr>
                        <w:t>Strait</w:t>
                      </w:r>
                      <w:r>
                        <w:rPr>
                          <w:rFonts w:ascii="Segoe UI"/>
                          <w:sz w:val="15"/>
                        </w:rPr>
                      </w:r>
                    </w:p>
                    <w:p>
                      <w:pPr>
                        <w:spacing w:line="197" w:lineRule="exact" w:before="0"/>
                        <w:ind w:left="0" w:right="0" w:firstLine="0"/>
                        <w:jc w:val="left"/>
                        <w:rPr>
                          <w:rFonts w:ascii="Segoe UI" w:hAnsi="Segoe UI" w:cs="Segoe UI" w:eastAsia="Segoe UI"/>
                          <w:sz w:val="15"/>
                          <w:szCs w:val="15"/>
                        </w:rPr>
                      </w:pPr>
                      <w:r>
                        <w:rPr>
                          <w:rFonts w:ascii="Segoe UI"/>
                          <w:color w:val="77787B"/>
                          <w:spacing w:val="-1"/>
                          <w:sz w:val="15"/>
                        </w:rPr>
                        <w:t>Islander)</w:t>
                      </w:r>
                      <w:r>
                        <w:rPr>
                          <w:rFonts w:ascii="Segoe UI"/>
                          <w:sz w:val="15"/>
                        </w:rPr>
                      </w:r>
                    </w:p>
                  </w:txbxContent>
                </v:textbox>
                <w10:wrap type="none"/>
              </v:shape>
              <v:shape style="position:absolute;left:2675;top:6666;width:5358;height:168" type="#_x0000_t202" filled="false" stroked="false">
                <v:textbox inset="0,0,0,0">
                  <w:txbxContent>
                    <w:p>
                      <w:pPr>
                        <w:tabs>
                          <w:tab w:pos="3689" w:val="left" w:leader="none"/>
                        </w:tabs>
                        <w:spacing w:line="167" w:lineRule="exact" w:before="0"/>
                        <w:ind w:left="0" w:right="0" w:firstLine="0"/>
                        <w:jc w:val="left"/>
                        <w:rPr>
                          <w:rFonts w:ascii="Segoe UI" w:hAnsi="Segoe UI" w:cs="Segoe UI" w:eastAsia="Segoe UI"/>
                          <w:sz w:val="15"/>
                          <w:szCs w:val="15"/>
                        </w:rPr>
                      </w:pPr>
                      <w:r>
                        <w:rPr>
                          <w:rFonts w:ascii="Segoe UI"/>
                          <w:color w:val="77787B"/>
                          <w:spacing w:val="-1"/>
                          <w:sz w:val="15"/>
                        </w:rPr>
                        <w:t>3yr</w:t>
                      </w:r>
                      <w:r>
                        <w:rPr>
                          <w:rFonts w:ascii="Segoe UI"/>
                          <w:color w:val="77787B"/>
                          <w:spacing w:val="-9"/>
                          <w:sz w:val="15"/>
                        </w:rPr>
                        <w:t> </w:t>
                      </w:r>
                      <w:r>
                        <w:rPr>
                          <w:rFonts w:ascii="Segoe UI"/>
                          <w:color w:val="77787B"/>
                          <w:spacing w:val="-1"/>
                          <w:sz w:val="15"/>
                        </w:rPr>
                        <w:t>average</w:t>
                      </w:r>
                      <w:r>
                        <w:rPr>
                          <w:rFonts w:ascii="Segoe UI"/>
                          <w:color w:val="77787B"/>
                          <w:spacing w:val="-9"/>
                          <w:sz w:val="15"/>
                        </w:rPr>
                        <w:t> </w:t>
                      </w:r>
                      <w:r>
                        <w:rPr>
                          <w:rFonts w:ascii="Segoe UI"/>
                          <w:color w:val="77787B"/>
                          <w:spacing w:val="-1"/>
                          <w:sz w:val="15"/>
                        </w:rPr>
                        <w:t>(mainstream)</w:t>
                        <w:tab/>
                      </w:r>
                      <w:r>
                        <w:rPr>
                          <w:rFonts w:ascii="Segoe UI"/>
                          <w:color w:val="77787B"/>
                          <w:spacing w:val="-1"/>
                          <w:position w:val="2"/>
                          <w:sz w:val="15"/>
                        </w:rPr>
                        <w:t>3yr</w:t>
                      </w:r>
                      <w:r>
                        <w:rPr>
                          <w:rFonts w:ascii="Segoe UI"/>
                          <w:color w:val="77787B"/>
                          <w:spacing w:val="-9"/>
                          <w:position w:val="2"/>
                          <w:sz w:val="15"/>
                        </w:rPr>
                        <w:t> </w:t>
                      </w:r>
                      <w:r>
                        <w:rPr>
                          <w:rFonts w:ascii="Segoe UI"/>
                          <w:color w:val="77787B"/>
                          <w:spacing w:val="-1"/>
                          <w:position w:val="2"/>
                          <w:sz w:val="15"/>
                        </w:rPr>
                        <w:t>average</w:t>
                      </w:r>
                      <w:r>
                        <w:rPr>
                          <w:rFonts w:ascii="Segoe UI"/>
                          <w:color w:val="77787B"/>
                          <w:spacing w:val="-9"/>
                          <w:position w:val="2"/>
                          <w:sz w:val="15"/>
                        </w:rPr>
                        <w:t> </w:t>
                      </w:r>
                      <w:r>
                        <w:rPr>
                          <w:rFonts w:ascii="Segoe UI"/>
                          <w:color w:val="77787B"/>
                          <w:spacing w:val="-1"/>
                          <w:position w:val="2"/>
                          <w:sz w:val="15"/>
                        </w:rPr>
                        <w:t>(mainstream)</w:t>
                      </w:r>
                      <w:r>
                        <w:rPr>
                          <w:rFonts w:ascii="Segoe UI"/>
                          <w:sz w:val="15"/>
                        </w:rPr>
                      </w:r>
                    </w:p>
                  </w:txbxContent>
                </v:textbox>
                <w10:wrap type="none"/>
              </v:shape>
            </v:group>
            <w10:wrap type="none"/>
          </v:group>
        </w:pict>
      </w:r>
      <w:r>
        <w:rPr>
          <w:color w:val="231F20"/>
        </w:rPr>
        <w:t>government</w:t>
      </w:r>
      <w:r>
        <w:rPr>
          <w:color w:val="231F20"/>
          <w:spacing w:val="-9"/>
        </w:rPr>
        <w:t> </w:t>
      </w:r>
      <w:r>
        <w:rPr>
          <w:color w:val="231F20"/>
        </w:rPr>
        <w:t>explained</w:t>
      </w:r>
      <w:r>
        <w:rPr>
          <w:color w:val="231F20"/>
          <w:spacing w:val="-9"/>
        </w:rPr>
        <w:t> </w:t>
      </w:r>
      <w:r>
        <w:rPr>
          <w:color w:val="231F20"/>
        </w:rPr>
        <w:t>that</w:t>
      </w:r>
      <w:r>
        <w:rPr>
          <w:color w:val="231F20"/>
          <w:spacing w:val="-9"/>
        </w:rPr>
        <w:t> </w:t>
      </w:r>
      <w:r>
        <w:rPr>
          <w:color w:val="231F20"/>
        </w:rPr>
        <w:t>ABSTUDY</w:t>
      </w:r>
      <w:r>
        <w:rPr>
          <w:color w:val="231F20"/>
          <w:spacing w:val="-9"/>
        </w:rPr>
        <w:t> </w:t>
      </w:r>
      <w:r>
        <w:rPr>
          <w:color w:val="231F20"/>
        </w:rPr>
        <w:t>payments</w:t>
      </w:r>
      <w:r>
        <w:rPr>
          <w:color w:val="231F20"/>
          <w:w w:val="99"/>
        </w:rPr>
        <w:t> </w:t>
      </w:r>
      <w:r>
        <w:rPr>
          <w:color w:val="231F20"/>
        </w:rPr>
        <w:t>were</w:t>
      </w:r>
      <w:r>
        <w:rPr>
          <w:color w:val="231F20"/>
          <w:spacing w:val="-8"/>
        </w:rPr>
        <w:t> </w:t>
      </w:r>
      <w:r>
        <w:rPr>
          <w:color w:val="231F20"/>
        </w:rPr>
        <w:t>uncertain</w:t>
      </w:r>
      <w:r>
        <w:rPr>
          <w:color w:val="231F20"/>
          <w:spacing w:val="-8"/>
        </w:rPr>
        <w:t> </w:t>
      </w:r>
      <w:r>
        <w:rPr>
          <w:color w:val="231F20"/>
        </w:rPr>
        <w:t>and</w:t>
      </w:r>
      <w:r>
        <w:rPr>
          <w:color w:val="231F20"/>
          <w:spacing w:val="-8"/>
        </w:rPr>
        <w:t> </w:t>
      </w:r>
      <w:r>
        <w:rPr>
          <w:color w:val="231F20"/>
        </w:rPr>
        <w:t>unpredictable</w:t>
      </w:r>
      <w:r>
        <w:rPr>
          <w:color w:val="231F20"/>
          <w:spacing w:val="-8"/>
        </w:rPr>
        <w:t> </w:t>
      </w:r>
      <w:r>
        <w:rPr>
          <w:color w:val="231F20"/>
        </w:rPr>
        <w:t>and</w:t>
      </w:r>
      <w:r>
        <w:rPr>
          <w:color w:val="231F20"/>
          <w:spacing w:val="-8"/>
        </w:rPr>
        <w:t> </w:t>
      </w:r>
      <w:r>
        <w:rPr>
          <w:color w:val="231F20"/>
        </w:rPr>
        <w:t>the</w:t>
      </w:r>
      <w:r>
        <w:rPr>
          <w:color w:val="231F20"/>
          <w:w w:val="99"/>
        </w:rPr>
        <w:t> </w:t>
      </w:r>
      <w:r>
        <w:rPr>
          <w:color w:val="231F20"/>
        </w:rPr>
        <w:t>underpinning</w:t>
      </w:r>
      <w:r>
        <w:rPr>
          <w:color w:val="231F20"/>
          <w:spacing w:val="-9"/>
        </w:rPr>
        <w:t> </w:t>
      </w:r>
      <w:r>
        <w:rPr>
          <w:color w:val="231F20"/>
        </w:rPr>
        <w:t>funding</w:t>
      </w:r>
      <w:r>
        <w:rPr>
          <w:color w:val="231F20"/>
          <w:spacing w:val="-8"/>
        </w:rPr>
        <w:t> </w:t>
      </w:r>
      <w:r>
        <w:rPr>
          <w:color w:val="231F20"/>
        </w:rPr>
        <w:t>enabled</w:t>
      </w:r>
      <w:r>
        <w:rPr>
          <w:color w:val="231F20"/>
          <w:spacing w:val="-8"/>
        </w:rPr>
        <w:t> </w:t>
      </w:r>
      <w:r>
        <w:rPr>
          <w:color w:val="231F20"/>
        </w:rPr>
        <w:t>the</w:t>
      </w:r>
      <w:r>
        <w:rPr>
          <w:color w:val="231F20"/>
          <w:spacing w:val="-9"/>
        </w:rPr>
        <w:t> </w:t>
      </w:r>
      <w:r>
        <w:rPr>
          <w:color w:val="231F20"/>
        </w:rPr>
        <w:t>provider</w:t>
      </w:r>
      <w:r>
        <w:rPr>
          <w:color w:val="231F20"/>
          <w:spacing w:val="-8"/>
        </w:rPr>
        <w:t> </w:t>
      </w:r>
      <w:r>
        <w:rPr>
          <w:color w:val="231F20"/>
        </w:rPr>
        <w:t>to</w:t>
      </w:r>
      <w:r>
        <w:rPr>
          <w:color w:val="231F20"/>
          <w:w w:val="99"/>
        </w:rPr>
        <w:t> </w:t>
      </w:r>
      <w:r>
        <w:rPr>
          <w:rFonts w:ascii="Segoe UI"/>
          <w:color w:val="231F20"/>
        </w:rPr>
        <w:t>develop</w:t>
      </w:r>
      <w:r>
        <w:rPr>
          <w:rFonts w:ascii="Segoe UI"/>
          <w:color w:val="231F20"/>
          <w:spacing w:val="-1"/>
        </w:rPr>
        <w:t> </w:t>
      </w:r>
      <w:r>
        <w:rPr>
          <w:rFonts w:ascii="Segoe UI"/>
          <w:color w:val="231F20"/>
        </w:rPr>
        <w:t>plans,</w:t>
      </w:r>
      <w:r>
        <w:rPr>
          <w:rFonts w:ascii="Segoe UI"/>
          <w:color w:val="231F20"/>
          <w:spacing w:val="-1"/>
        </w:rPr>
        <w:t> </w:t>
      </w:r>
      <w:r>
        <w:rPr>
          <w:rFonts w:ascii="Segoe UI"/>
          <w:color w:val="231F20"/>
        </w:rPr>
        <w:t>employ staff</w:t>
      </w:r>
      <w:r>
        <w:rPr>
          <w:rFonts w:ascii="Segoe UI"/>
          <w:color w:val="231F20"/>
          <w:spacing w:val="-1"/>
        </w:rPr>
        <w:t> </w:t>
      </w:r>
      <w:r>
        <w:rPr>
          <w:rFonts w:ascii="Segoe UI"/>
          <w:color w:val="231F20"/>
        </w:rPr>
        <w:t>with</w:t>
      </w:r>
      <w:r>
        <w:rPr>
          <w:rFonts w:ascii="Segoe UI"/>
          <w:color w:val="231F20"/>
          <w:spacing w:val="-1"/>
        </w:rPr>
        <w:t> </w:t>
      </w:r>
      <w:r>
        <w:rPr>
          <w:rFonts w:ascii="Segoe UI"/>
          <w:color w:val="231F20"/>
        </w:rPr>
        <w:t>certainty and</w:t>
      </w:r>
      <w:r>
        <w:rPr>
          <w:rFonts w:ascii="Segoe UI"/>
          <w:color w:val="231F20"/>
        </w:rPr>
        <w:t> </w:t>
      </w:r>
      <w:r>
        <w:rPr>
          <w:color w:val="231F20"/>
        </w:rPr>
        <w:t>develop</w:t>
      </w:r>
      <w:r>
        <w:rPr>
          <w:color w:val="231F20"/>
          <w:spacing w:val="-6"/>
        </w:rPr>
        <w:t> </w:t>
      </w:r>
      <w:r>
        <w:rPr>
          <w:color w:val="231F20"/>
        </w:rPr>
        <w:t>budgets</w:t>
      </w:r>
      <w:r>
        <w:rPr>
          <w:color w:val="231F20"/>
          <w:spacing w:val="-6"/>
        </w:rPr>
        <w:t> </w:t>
      </w:r>
      <w:r>
        <w:rPr>
          <w:color w:val="231F20"/>
        </w:rPr>
        <w:t>for</w:t>
      </w:r>
      <w:r>
        <w:rPr>
          <w:color w:val="231F20"/>
          <w:spacing w:val="-5"/>
        </w:rPr>
        <w:t> </w:t>
      </w:r>
      <w:r>
        <w:rPr>
          <w:color w:val="231F20"/>
        </w:rPr>
        <w:t>delivering</w:t>
      </w:r>
      <w:r>
        <w:rPr>
          <w:color w:val="231F20"/>
          <w:spacing w:val="-5"/>
        </w:rPr>
        <w:t> </w:t>
      </w:r>
      <w:r>
        <w:rPr>
          <w:color w:val="231F20"/>
        </w:rPr>
        <w:t>the</w:t>
      </w:r>
      <w:r>
        <w:rPr>
          <w:color w:val="231F20"/>
          <w:spacing w:val="-6"/>
        </w:rPr>
        <w:t> </w:t>
      </w:r>
      <w:r>
        <w:rPr>
          <w:color w:val="231F20"/>
        </w:rPr>
        <w:t>best</w:t>
      </w:r>
      <w:r>
        <w:rPr>
          <w:color w:val="231F20"/>
          <w:spacing w:val="-6"/>
        </w:rPr>
        <w:t> </w:t>
      </w:r>
      <w:r>
        <w:rPr>
          <w:color w:val="231F20"/>
          <w:spacing w:val="-1"/>
        </w:rPr>
        <w:t>services</w:t>
      </w:r>
      <w:r>
        <w:rPr>
          <w:color w:val="231F20"/>
          <w:spacing w:val="20"/>
        </w:rPr>
        <w:t> </w:t>
      </w:r>
      <w:r>
        <w:rPr>
          <w:color w:val="231F20"/>
        </w:rPr>
        <w:t>without</w:t>
      </w:r>
      <w:r>
        <w:rPr>
          <w:color w:val="231F20"/>
          <w:spacing w:val="-5"/>
        </w:rPr>
        <w:t> </w:t>
      </w:r>
      <w:r>
        <w:rPr>
          <w:color w:val="231F20"/>
        </w:rPr>
        <w:t>relying</w:t>
      </w:r>
      <w:r>
        <w:rPr>
          <w:color w:val="231F20"/>
          <w:spacing w:val="-5"/>
        </w:rPr>
        <w:t> </w:t>
      </w:r>
      <w:r>
        <w:rPr>
          <w:color w:val="231F20"/>
          <w:spacing w:val="-1"/>
        </w:rPr>
        <w:t>solely</w:t>
      </w:r>
      <w:r>
        <w:rPr>
          <w:color w:val="231F20"/>
          <w:spacing w:val="-4"/>
        </w:rPr>
        <w:t> </w:t>
      </w:r>
      <w:r>
        <w:rPr>
          <w:color w:val="231F20"/>
        </w:rPr>
        <w:t>on</w:t>
      </w:r>
      <w:r>
        <w:rPr>
          <w:color w:val="231F20"/>
          <w:spacing w:val="-3"/>
        </w:rPr>
        <w:t> </w:t>
      </w:r>
      <w:r>
        <w:rPr>
          <w:color w:val="231F20"/>
        </w:rPr>
        <w:t>ABSTUDY.</w:t>
      </w:r>
      <w:r>
        <w:rPr/>
      </w:r>
    </w:p>
    <w:p>
      <w:pPr>
        <w:pStyle w:val="BodyText"/>
        <w:spacing w:line="250" w:lineRule="exact" w:before="62"/>
        <w:ind w:right="319"/>
        <w:jc w:val="left"/>
      </w:pPr>
      <w:r>
        <w:rPr/>
        <w:br w:type="column"/>
      </w:r>
      <w:r>
        <w:rPr>
          <w:color w:val="231F20"/>
        </w:rPr>
        <w:t>The</w:t>
      </w:r>
      <w:r>
        <w:rPr>
          <w:color w:val="231F20"/>
          <w:spacing w:val="-6"/>
        </w:rPr>
        <w:t> </w:t>
      </w:r>
      <w:r>
        <w:rPr>
          <w:color w:val="231F20"/>
        </w:rPr>
        <w:t>total</w:t>
      </w:r>
      <w:r>
        <w:rPr>
          <w:color w:val="231F20"/>
          <w:spacing w:val="-6"/>
        </w:rPr>
        <w:t> </w:t>
      </w:r>
      <w:r>
        <w:rPr>
          <w:color w:val="231F20"/>
        </w:rPr>
        <w:t>private</w:t>
      </w:r>
      <w:r>
        <w:rPr>
          <w:color w:val="231F20"/>
          <w:spacing w:val="-6"/>
        </w:rPr>
        <w:t> </w:t>
      </w:r>
      <w:r>
        <w:rPr>
          <w:color w:val="231F20"/>
        </w:rPr>
        <w:t>other</w:t>
      </w:r>
      <w:r>
        <w:rPr>
          <w:color w:val="231F20"/>
          <w:spacing w:val="-5"/>
        </w:rPr>
        <w:t> </w:t>
      </w:r>
      <w:r>
        <w:rPr>
          <w:color w:val="231F20"/>
        </w:rPr>
        <w:t>boarding</w:t>
      </w:r>
      <w:r>
        <w:rPr>
          <w:color w:val="231F20"/>
          <w:spacing w:val="-7"/>
        </w:rPr>
        <w:t> </w:t>
      </w:r>
      <w:r>
        <w:rPr>
          <w:color w:val="231F20"/>
          <w:spacing w:val="-1"/>
        </w:rPr>
        <w:t>income</w:t>
      </w:r>
      <w:r>
        <w:rPr>
          <w:color w:val="231F20"/>
          <w:spacing w:val="20"/>
        </w:rPr>
        <w:t> </w:t>
      </w:r>
      <w:r>
        <w:rPr>
          <w:color w:val="231F20"/>
        </w:rPr>
        <w:t>generated</w:t>
      </w:r>
      <w:r>
        <w:rPr>
          <w:color w:val="231F20"/>
          <w:spacing w:val="-7"/>
        </w:rPr>
        <w:t> </w:t>
      </w:r>
      <w:r>
        <w:rPr>
          <w:color w:val="231F20"/>
        </w:rPr>
        <w:t>by</w:t>
      </w:r>
      <w:r>
        <w:rPr>
          <w:color w:val="231F20"/>
          <w:spacing w:val="-5"/>
        </w:rPr>
        <w:t> </w:t>
      </w:r>
      <w:r>
        <w:rPr>
          <w:color w:val="231F20"/>
        </w:rPr>
        <w:t>Aboriginal</w:t>
      </w:r>
      <w:r>
        <w:rPr>
          <w:color w:val="231F20"/>
          <w:spacing w:val="-5"/>
        </w:rPr>
        <w:t> </w:t>
      </w:r>
      <w:r>
        <w:rPr>
          <w:color w:val="231F20"/>
        </w:rPr>
        <w:t>and</w:t>
      </w:r>
      <w:r>
        <w:rPr>
          <w:color w:val="231F20"/>
          <w:spacing w:val="-7"/>
        </w:rPr>
        <w:t> </w:t>
      </w:r>
      <w:r>
        <w:rPr>
          <w:color w:val="231F20"/>
          <w:spacing w:val="-5"/>
        </w:rPr>
        <w:t>Torres </w:t>
      </w:r>
      <w:r>
        <w:rPr>
          <w:color w:val="231F20"/>
          <w:spacing w:val="-2"/>
        </w:rPr>
        <w:t>Strait</w:t>
      </w:r>
      <w:r>
        <w:rPr>
          <w:color w:val="231F20"/>
          <w:spacing w:val="28"/>
          <w:w w:val="99"/>
        </w:rPr>
        <w:t> </w:t>
      </w:r>
      <w:r>
        <w:rPr>
          <w:color w:val="231F20"/>
          <w:spacing w:val="-1"/>
        </w:rPr>
        <w:t>Islander</w:t>
      </w:r>
      <w:r>
        <w:rPr>
          <w:color w:val="231F20"/>
          <w:spacing w:val="-10"/>
        </w:rPr>
        <w:t> </w:t>
      </w:r>
      <w:r>
        <w:rPr>
          <w:color w:val="231F20"/>
        </w:rPr>
        <w:t>boarding</w:t>
      </w:r>
      <w:r>
        <w:rPr>
          <w:color w:val="231F20"/>
          <w:spacing w:val="-10"/>
        </w:rPr>
        <w:t> </w:t>
      </w:r>
      <w:r>
        <w:rPr>
          <w:color w:val="231F20"/>
        </w:rPr>
        <w:t>providers</w:t>
      </w:r>
      <w:r>
        <w:rPr>
          <w:color w:val="231F20"/>
          <w:spacing w:val="-10"/>
        </w:rPr>
        <w:t> </w:t>
      </w:r>
      <w:r>
        <w:rPr>
          <w:color w:val="231F20"/>
        </w:rPr>
        <w:t>represents</w:t>
      </w:r>
      <w:r>
        <w:rPr>
          <w:color w:val="231F20"/>
          <w:spacing w:val="-11"/>
        </w:rPr>
        <w:t> </w:t>
      </w:r>
      <w:r>
        <w:rPr>
          <w:color w:val="231F20"/>
        </w:rPr>
        <w:t>only</w:t>
      </w:r>
      <w:r>
        <w:rPr>
          <w:color w:val="231F20"/>
          <w:w w:val="99"/>
        </w:rPr>
        <w:t> </w:t>
      </w:r>
      <w:r>
        <w:rPr>
          <w:color w:val="231F20"/>
          <w:spacing w:val="22"/>
          <w:w w:val="99"/>
        </w:rPr>
        <w:t> </w:t>
      </w:r>
      <w:r>
        <w:rPr>
          <w:color w:val="231F20"/>
        </w:rPr>
        <w:t>5</w:t>
      </w:r>
      <w:r>
        <w:rPr>
          <w:color w:val="231F20"/>
          <w:spacing w:val="-3"/>
        </w:rPr>
        <w:t> </w:t>
      </w:r>
      <w:r>
        <w:rPr>
          <w:color w:val="231F20"/>
        </w:rPr>
        <w:t>per</w:t>
      </w:r>
      <w:r>
        <w:rPr>
          <w:color w:val="231F20"/>
          <w:spacing w:val="-3"/>
        </w:rPr>
        <w:t> </w:t>
      </w:r>
      <w:r>
        <w:rPr>
          <w:color w:val="231F20"/>
        </w:rPr>
        <w:t>cent</w:t>
      </w:r>
      <w:r>
        <w:rPr>
          <w:color w:val="231F20"/>
          <w:spacing w:val="-4"/>
        </w:rPr>
        <w:t> </w:t>
      </w:r>
      <w:r>
        <w:rPr>
          <w:color w:val="231F20"/>
        </w:rPr>
        <w:t>of</w:t>
      </w:r>
      <w:r>
        <w:rPr>
          <w:color w:val="231F20"/>
          <w:spacing w:val="-3"/>
        </w:rPr>
        <w:t> </w:t>
      </w:r>
      <w:r>
        <w:rPr>
          <w:color w:val="231F20"/>
        </w:rPr>
        <w:t>the</w:t>
      </w:r>
      <w:r>
        <w:rPr>
          <w:color w:val="231F20"/>
          <w:spacing w:val="-4"/>
        </w:rPr>
        <w:t> </w:t>
      </w:r>
      <w:r>
        <w:rPr>
          <w:color w:val="231F20"/>
          <w:spacing w:val="-1"/>
        </w:rPr>
        <w:t>income</w:t>
      </w:r>
      <w:r>
        <w:rPr>
          <w:color w:val="231F20"/>
          <w:spacing w:val="-2"/>
        </w:rPr>
        <w:t> </w:t>
      </w:r>
      <w:r>
        <w:rPr>
          <w:color w:val="231F20"/>
        </w:rPr>
        <w:t>but</w:t>
      </w:r>
      <w:r>
        <w:rPr>
          <w:color w:val="231F20"/>
          <w:spacing w:val="-4"/>
        </w:rPr>
        <w:t> </w:t>
      </w:r>
      <w:r>
        <w:rPr>
          <w:color w:val="231F20"/>
          <w:spacing w:val="-1"/>
        </w:rPr>
        <w:t>is</w:t>
      </w:r>
      <w:r>
        <w:rPr>
          <w:color w:val="231F20"/>
          <w:spacing w:val="-4"/>
        </w:rPr>
        <w:t> </w:t>
      </w:r>
      <w:r>
        <w:rPr>
          <w:color w:val="231F20"/>
        </w:rPr>
        <w:t>an</w:t>
      </w:r>
      <w:r>
        <w:rPr>
          <w:color w:val="231F20"/>
          <w:spacing w:val="-4"/>
        </w:rPr>
        <w:t> </w:t>
      </w:r>
      <w:r>
        <w:rPr>
          <w:color w:val="231F20"/>
          <w:spacing w:val="-1"/>
        </w:rPr>
        <w:t>important</w:t>
      </w:r>
      <w:r>
        <w:rPr>
          <w:color w:val="231F20"/>
          <w:spacing w:val="22"/>
          <w:w w:val="99"/>
        </w:rPr>
        <w:t> </w:t>
      </w:r>
      <w:r>
        <w:rPr>
          <w:color w:val="231F20"/>
        </w:rPr>
        <w:t>contributor</w:t>
      </w:r>
      <w:r>
        <w:rPr>
          <w:color w:val="231F20"/>
          <w:spacing w:val="-5"/>
        </w:rPr>
        <w:t> </w:t>
      </w:r>
      <w:r>
        <w:rPr>
          <w:color w:val="231F20"/>
        </w:rPr>
        <w:t>to</w:t>
      </w:r>
      <w:r>
        <w:rPr>
          <w:color w:val="231F20"/>
          <w:spacing w:val="-4"/>
        </w:rPr>
        <w:t> </w:t>
      </w:r>
      <w:r>
        <w:rPr>
          <w:color w:val="231F20"/>
          <w:spacing w:val="-1"/>
        </w:rPr>
        <w:t>meeting</w:t>
      </w:r>
      <w:r>
        <w:rPr>
          <w:color w:val="231F20"/>
          <w:spacing w:val="-4"/>
        </w:rPr>
        <w:t> </w:t>
      </w:r>
      <w:r>
        <w:rPr>
          <w:color w:val="231F20"/>
          <w:spacing w:val="-1"/>
        </w:rPr>
        <w:t>shortfalls</w:t>
      </w:r>
      <w:r>
        <w:rPr>
          <w:color w:val="231F20"/>
          <w:spacing w:val="-3"/>
        </w:rPr>
        <w:t> </w:t>
      </w:r>
      <w:r>
        <w:rPr>
          <w:color w:val="231F20"/>
          <w:spacing w:val="-1"/>
        </w:rPr>
        <w:t>in</w:t>
      </w:r>
      <w:r>
        <w:rPr>
          <w:color w:val="231F20"/>
          <w:spacing w:val="-3"/>
        </w:rPr>
        <w:t> </w:t>
      </w:r>
      <w:r>
        <w:rPr>
          <w:color w:val="231F20"/>
        </w:rPr>
        <w:t>revenue</w:t>
      </w:r>
      <w:r>
        <w:rPr>
          <w:color w:val="231F20"/>
          <w:spacing w:val="24"/>
          <w:w w:val="99"/>
        </w:rPr>
        <w:t> </w:t>
      </w:r>
      <w:r>
        <w:rPr>
          <w:color w:val="231F20"/>
        </w:rPr>
        <w:t>from</w:t>
      </w:r>
      <w:r>
        <w:rPr>
          <w:color w:val="231F20"/>
          <w:spacing w:val="-6"/>
        </w:rPr>
        <w:t> </w:t>
      </w:r>
      <w:r>
        <w:rPr>
          <w:color w:val="231F20"/>
        </w:rPr>
        <w:t>other</w:t>
      </w:r>
      <w:r>
        <w:rPr>
          <w:color w:val="231F20"/>
          <w:spacing w:val="-6"/>
        </w:rPr>
        <w:t> </w:t>
      </w:r>
      <w:r>
        <w:rPr>
          <w:color w:val="231F20"/>
          <w:spacing w:val="-1"/>
        </w:rPr>
        <w:t>sources.</w:t>
      </w:r>
      <w:r>
        <w:rPr>
          <w:color w:val="231F20"/>
          <w:spacing w:val="-6"/>
        </w:rPr>
        <w:t> </w:t>
      </w:r>
      <w:r>
        <w:rPr>
          <w:color w:val="231F20"/>
        </w:rPr>
        <w:t>As</w:t>
      </w:r>
      <w:r>
        <w:rPr>
          <w:color w:val="231F20"/>
          <w:spacing w:val="-6"/>
        </w:rPr>
        <w:t> </w:t>
      </w:r>
      <w:r>
        <w:rPr>
          <w:color w:val="231F20"/>
        </w:rPr>
        <w:t>referred</w:t>
      </w:r>
      <w:r>
        <w:rPr>
          <w:color w:val="231F20"/>
          <w:spacing w:val="-7"/>
        </w:rPr>
        <w:t> </w:t>
      </w:r>
      <w:r>
        <w:rPr>
          <w:color w:val="231F20"/>
        </w:rPr>
        <w:t>to</w:t>
      </w:r>
      <w:r>
        <w:rPr>
          <w:color w:val="231F20"/>
          <w:spacing w:val="-6"/>
        </w:rPr>
        <w:t> </w:t>
      </w:r>
      <w:r>
        <w:rPr>
          <w:color w:val="231F20"/>
        </w:rPr>
        <w:t>previously,</w:t>
      </w:r>
      <w:r>
        <w:rPr>
          <w:color w:val="231F20"/>
          <w:spacing w:val="22"/>
          <w:w w:val="99"/>
        </w:rPr>
        <w:t> </w:t>
      </w:r>
      <w:r>
        <w:rPr>
          <w:color w:val="231F20"/>
          <w:spacing w:val="-1"/>
        </w:rPr>
        <w:t>some</w:t>
      </w:r>
      <w:r>
        <w:rPr>
          <w:color w:val="231F20"/>
          <w:spacing w:val="-5"/>
        </w:rPr>
        <w:t> </w:t>
      </w:r>
      <w:r>
        <w:rPr>
          <w:color w:val="231F20"/>
        </w:rPr>
        <w:t>of</w:t>
      </w:r>
      <w:r>
        <w:rPr>
          <w:color w:val="231F20"/>
          <w:spacing w:val="-4"/>
        </w:rPr>
        <w:t> </w:t>
      </w:r>
      <w:r>
        <w:rPr>
          <w:color w:val="231F20"/>
        </w:rPr>
        <w:t>the</w:t>
      </w:r>
      <w:r>
        <w:rPr>
          <w:color w:val="231F20"/>
          <w:spacing w:val="-5"/>
        </w:rPr>
        <w:t> </w:t>
      </w:r>
      <w:r>
        <w:rPr>
          <w:color w:val="231F20"/>
          <w:spacing w:val="-1"/>
        </w:rPr>
        <w:t>smaller</w:t>
      </w:r>
      <w:r>
        <w:rPr>
          <w:color w:val="231F20"/>
          <w:spacing w:val="-4"/>
        </w:rPr>
        <w:t> </w:t>
      </w:r>
      <w:r>
        <w:rPr>
          <w:color w:val="231F20"/>
        </w:rPr>
        <w:t>boarding</w:t>
      </w:r>
      <w:r>
        <w:rPr>
          <w:color w:val="231F20"/>
          <w:spacing w:val="-5"/>
        </w:rPr>
        <w:t> </w:t>
      </w:r>
      <w:r>
        <w:rPr>
          <w:color w:val="231F20"/>
        </w:rPr>
        <w:t>providers</w:t>
      </w:r>
      <w:r>
        <w:rPr>
          <w:color w:val="231F20"/>
          <w:spacing w:val="23"/>
          <w:w w:val="99"/>
        </w:rPr>
        <w:t> </w:t>
      </w:r>
      <w:r>
        <w:rPr>
          <w:color w:val="231F20"/>
        </w:rPr>
        <w:t>delivering</w:t>
      </w:r>
      <w:r>
        <w:rPr>
          <w:color w:val="231F20"/>
          <w:spacing w:val="-7"/>
        </w:rPr>
        <w:t> </w:t>
      </w:r>
      <w:r>
        <w:rPr>
          <w:color w:val="231F20"/>
        </w:rPr>
        <w:t>newer</w:t>
      </w:r>
      <w:r>
        <w:rPr>
          <w:color w:val="231F20"/>
          <w:spacing w:val="-5"/>
        </w:rPr>
        <w:t> </w:t>
      </w:r>
      <w:r>
        <w:rPr>
          <w:color w:val="231F20"/>
          <w:spacing w:val="-1"/>
        </w:rPr>
        <w:t>models</w:t>
      </w:r>
      <w:r>
        <w:rPr>
          <w:color w:val="231F20"/>
          <w:spacing w:val="-5"/>
        </w:rPr>
        <w:t> </w:t>
      </w:r>
      <w:r>
        <w:rPr>
          <w:color w:val="231F20"/>
        </w:rPr>
        <w:t>of</w:t>
      </w:r>
      <w:r>
        <w:rPr>
          <w:color w:val="231F20"/>
          <w:spacing w:val="-6"/>
        </w:rPr>
        <w:t> </w:t>
      </w:r>
      <w:r>
        <w:rPr>
          <w:color w:val="231F20"/>
        </w:rPr>
        <w:t>boarding</w:t>
      </w:r>
      <w:r>
        <w:rPr>
          <w:color w:val="231F20"/>
          <w:spacing w:val="-6"/>
        </w:rPr>
        <w:t> </w:t>
      </w:r>
      <w:r>
        <w:rPr>
          <w:color w:val="231F20"/>
        </w:rPr>
        <w:t>for</w:t>
      </w:r>
      <w:r>
        <w:rPr>
          <w:color w:val="231F20"/>
          <w:spacing w:val="21"/>
          <w:w w:val="99"/>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5"/>
        </w:rPr>
        <w:t> </w:t>
      </w:r>
      <w:r>
        <w:rPr>
          <w:color w:val="231F20"/>
          <w:spacing w:val="-1"/>
        </w:rPr>
        <w:t>Islander</w:t>
      </w:r>
      <w:r>
        <w:rPr>
          <w:color w:val="231F20"/>
          <w:spacing w:val="-5"/>
        </w:rPr>
        <w:t> </w:t>
      </w:r>
      <w:r>
        <w:rPr>
          <w:color w:val="231F20"/>
          <w:spacing w:val="-1"/>
        </w:rPr>
        <w:t>students</w:t>
      </w:r>
      <w:r>
        <w:rPr>
          <w:color w:val="231F20"/>
          <w:spacing w:val="20"/>
        </w:rPr>
        <w:t> </w:t>
      </w:r>
      <w:r>
        <w:rPr>
          <w:color w:val="231F20"/>
        </w:rPr>
        <w:t>have</w:t>
      </w:r>
      <w:r>
        <w:rPr>
          <w:color w:val="231F20"/>
          <w:spacing w:val="-8"/>
        </w:rPr>
        <w:t> </w:t>
      </w:r>
      <w:r>
        <w:rPr>
          <w:color w:val="231F20"/>
        </w:rPr>
        <w:t>generous</w:t>
      </w:r>
      <w:r>
        <w:rPr>
          <w:color w:val="231F20"/>
          <w:spacing w:val="-8"/>
        </w:rPr>
        <w:t> </w:t>
      </w:r>
      <w:r>
        <w:rPr>
          <w:color w:val="231F20"/>
        </w:rPr>
        <w:t>donors</w:t>
      </w:r>
      <w:r>
        <w:rPr>
          <w:color w:val="231F20"/>
          <w:spacing w:val="-8"/>
        </w:rPr>
        <w:t> </w:t>
      </w:r>
      <w:r>
        <w:rPr>
          <w:color w:val="231F20"/>
        </w:rPr>
        <w:t>and</w:t>
      </w:r>
      <w:r>
        <w:rPr>
          <w:color w:val="231F20"/>
          <w:spacing w:val="-8"/>
        </w:rPr>
        <w:t> </w:t>
      </w:r>
      <w:r>
        <w:rPr>
          <w:color w:val="231F20"/>
          <w:spacing w:val="-1"/>
        </w:rPr>
        <w:t>supporters</w:t>
      </w:r>
      <w:r>
        <w:rPr>
          <w:color w:val="231F20"/>
          <w:spacing w:val="-6"/>
        </w:rPr>
        <w:t> </w:t>
      </w:r>
      <w:r>
        <w:rPr>
          <w:color w:val="231F20"/>
        </w:rPr>
        <w:t>and</w:t>
      </w:r>
      <w:r>
        <w:rPr>
          <w:color w:val="231F20"/>
          <w:spacing w:val="22"/>
          <w:w w:val="99"/>
        </w:rPr>
        <w:t> </w:t>
      </w:r>
      <w:r>
        <w:rPr>
          <w:color w:val="231F20"/>
        </w:rPr>
        <w:t>rely</w:t>
      </w:r>
      <w:r>
        <w:rPr>
          <w:color w:val="231F20"/>
          <w:spacing w:val="-4"/>
        </w:rPr>
        <w:t> </w:t>
      </w:r>
      <w:r>
        <w:rPr>
          <w:color w:val="231F20"/>
        </w:rPr>
        <w:t>heavily</w:t>
      </w:r>
      <w:r>
        <w:rPr>
          <w:color w:val="231F20"/>
          <w:spacing w:val="-4"/>
        </w:rPr>
        <w:t> </w:t>
      </w:r>
      <w:r>
        <w:rPr>
          <w:color w:val="231F20"/>
        </w:rPr>
        <w:t>on</w:t>
      </w:r>
      <w:r>
        <w:rPr>
          <w:color w:val="231F20"/>
          <w:spacing w:val="-2"/>
        </w:rPr>
        <w:t> </w:t>
      </w:r>
      <w:r>
        <w:rPr>
          <w:color w:val="231F20"/>
        </w:rPr>
        <w:t>this</w:t>
      </w:r>
      <w:r>
        <w:rPr>
          <w:color w:val="231F20"/>
          <w:spacing w:val="-4"/>
        </w:rPr>
        <w:t> </w:t>
      </w:r>
      <w:r>
        <w:rPr>
          <w:color w:val="231F20"/>
          <w:spacing w:val="-1"/>
        </w:rPr>
        <w:t>source</w:t>
      </w:r>
      <w:r>
        <w:rPr>
          <w:color w:val="231F20"/>
          <w:spacing w:val="-3"/>
        </w:rPr>
        <w:t> </w:t>
      </w:r>
      <w:r>
        <w:rPr>
          <w:color w:val="231F20"/>
        </w:rPr>
        <w:t>of</w:t>
      </w:r>
      <w:r>
        <w:rPr>
          <w:color w:val="231F20"/>
          <w:spacing w:val="-2"/>
        </w:rPr>
        <w:t> </w:t>
      </w:r>
      <w:r>
        <w:rPr>
          <w:color w:val="231F20"/>
          <w:spacing w:val="-1"/>
        </w:rPr>
        <w:t>income</w:t>
      </w:r>
      <w:r>
        <w:rPr>
          <w:color w:val="231F20"/>
          <w:spacing w:val="-3"/>
        </w:rPr>
        <w:t> </w:t>
      </w:r>
      <w:r>
        <w:rPr>
          <w:color w:val="231F20"/>
        </w:rPr>
        <w:t>to</w:t>
      </w:r>
      <w:r>
        <w:rPr>
          <w:color w:val="231F20"/>
          <w:spacing w:val="-3"/>
        </w:rPr>
        <w:t> </w:t>
      </w:r>
      <w:r>
        <w:rPr>
          <w:color w:val="231F20"/>
          <w:spacing w:val="-1"/>
        </w:rPr>
        <w:t>meet</w:t>
      </w:r>
      <w:r>
        <w:rPr>
          <w:color w:val="231F20"/>
          <w:spacing w:val="22"/>
        </w:rPr>
        <w:t> </w:t>
      </w:r>
      <w:r>
        <w:rPr>
          <w:color w:val="231F20"/>
        </w:rPr>
        <w:t>the</w:t>
      </w:r>
      <w:r>
        <w:rPr>
          <w:color w:val="231F20"/>
          <w:spacing w:val="-4"/>
        </w:rPr>
        <w:t> </w:t>
      </w:r>
      <w:r>
        <w:rPr>
          <w:color w:val="231F20"/>
        </w:rPr>
        <w:t>costs</w:t>
      </w:r>
      <w:r>
        <w:rPr>
          <w:color w:val="231F20"/>
          <w:spacing w:val="-4"/>
        </w:rPr>
        <w:t> </w:t>
      </w:r>
      <w:r>
        <w:rPr>
          <w:color w:val="231F20"/>
        </w:rPr>
        <w:t>of</w:t>
      </w:r>
      <w:r>
        <w:rPr>
          <w:color w:val="231F20"/>
          <w:spacing w:val="-2"/>
        </w:rPr>
        <w:t> </w:t>
      </w:r>
      <w:r>
        <w:rPr>
          <w:color w:val="231F20"/>
        </w:rPr>
        <w:t>boarding.</w:t>
      </w:r>
      <w:r>
        <w:rPr>
          <w:color w:val="231F20"/>
          <w:spacing w:val="-4"/>
        </w:rPr>
        <w:t> </w:t>
      </w:r>
      <w:r>
        <w:rPr>
          <w:color w:val="231F20"/>
          <w:spacing w:val="-1"/>
        </w:rPr>
        <w:t>In</w:t>
      </w:r>
      <w:r>
        <w:rPr>
          <w:color w:val="231F20"/>
          <w:spacing w:val="-2"/>
        </w:rPr>
        <w:t> </w:t>
      </w:r>
      <w:r>
        <w:rPr>
          <w:color w:val="231F20"/>
          <w:spacing w:val="-1"/>
        </w:rPr>
        <w:t>2016</w:t>
      </w:r>
      <w:r>
        <w:rPr>
          <w:color w:val="231F20"/>
          <w:spacing w:val="-3"/>
        </w:rPr>
        <w:t> </w:t>
      </w:r>
      <w:r>
        <w:rPr>
          <w:color w:val="231F20"/>
        </w:rPr>
        <w:t>this</w:t>
      </w:r>
      <w:r>
        <w:rPr>
          <w:color w:val="231F20"/>
          <w:spacing w:val="-4"/>
        </w:rPr>
        <w:t> </w:t>
      </w:r>
      <w:r>
        <w:rPr>
          <w:color w:val="231F20"/>
          <w:spacing w:val="-1"/>
        </w:rPr>
        <w:t>source</w:t>
      </w:r>
      <w:r>
        <w:rPr>
          <w:color w:val="231F20"/>
          <w:spacing w:val="-2"/>
        </w:rPr>
        <w:t> </w:t>
      </w:r>
      <w:r>
        <w:rPr>
          <w:color w:val="231F20"/>
        </w:rPr>
        <w:t>of</w:t>
      </w:r>
      <w:r>
        <w:rPr/>
      </w:r>
    </w:p>
    <w:p>
      <w:pPr>
        <w:pStyle w:val="BodyText"/>
        <w:spacing w:line="250" w:lineRule="exact"/>
        <w:ind w:right="170"/>
        <w:jc w:val="left"/>
      </w:pPr>
      <w:r>
        <w:rPr>
          <w:color w:val="231F20"/>
          <w:spacing w:val="-1"/>
        </w:rPr>
        <w:t>income</w:t>
      </w:r>
      <w:r>
        <w:rPr>
          <w:color w:val="231F20"/>
          <w:spacing w:val="-4"/>
        </w:rPr>
        <w:t> </w:t>
      </w:r>
      <w:r>
        <w:rPr>
          <w:color w:val="231F20"/>
        </w:rPr>
        <w:t>accounted</w:t>
      </w:r>
      <w:r>
        <w:rPr>
          <w:color w:val="231F20"/>
          <w:spacing w:val="-4"/>
        </w:rPr>
        <w:t> </w:t>
      </w:r>
      <w:r>
        <w:rPr>
          <w:color w:val="231F20"/>
        </w:rPr>
        <w:t>for</w:t>
      </w:r>
      <w:r>
        <w:rPr>
          <w:color w:val="231F20"/>
          <w:spacing w:val="-4"/>
        </w:rPr>
        <w:t> </w:t>
      </w:r>
      <w:r>
        <w:rPr>
          <w:color w:val="231F20"/>
          <w:spacing w:val="-1"/>
        </w:rPr>
        <w:t>64</w:t>
      </w:r>
      <w:r>
        <w:rPr>
          <w:color w:val="231F20"/>
          <w:spacing w:val="-3"/>
        </w:rPr>
        <w:t> </w:t>
      </w:r>
      <w:r>
        <w:rPr>
          <w:color w:val="231F20"/>
        </w:rPr>
        <w:t>per</w:t>
      </w:r>
      <w:r>
        <w:rPr>
          <w:color w:val="231F20"/>
          <w:spacing w:val="-3"/>
        </w:rPr>
        <w:t> </w:t>
      </w:r>
      <w:r>
        <w:rPr>
          <w:color w:val="231F20"/>
        </w:rPr>
        <w:t>cent</w:t>
      </w:r>
      <w:r>
        <w:rPr>
          <w:color w:val="231F20"/>
          <w:spacing w:val="-5"/>
        </w:rPr>
        <w:t> </w:t>
      </w:r>
      <w:r>
        <w:rPr>
          <w:color w:val="231F20"/>
        </w:rPr>
        <w:t>of</w:t>
      </w:r>
      <w:r>
        <w:rPr>
          <w:color w:val="231F20"/>
          <w:spacing w:val="-3"/>
        </w:rPr>
        <w:t> </w:t>
      </w:r>
      <w:r>
        <w:rPr>
          <w:color w:val="231F20"/>
        </w:rPr>
        <w:t>the</w:t>
      </w:r>
      <w:r>
        <w:rPr>
          <w:color w:val="231F20"/>
          <w:spacing w:val="-5"/>
        </w:rPr>
        <w:t> </w:t>
      </w:r>
      <w:r>
        <w:rPr>
          <w:color w:val="231F20"/>
        </w:rPr>
        <w:t>total</w:t>
      </w:r>
      <w:r>
        <w:rPr>
          <w:color w:val="231F20"/>
          <w:spacing w:val="23"/>
          <w:w w:val="99"/>
        </w:rPr>
        <w:t> </w:t>
      </w:r>
      <w:r>
        <w:rPr>
          <w:color w:val="231F20"/>
        </w:rPr>
        <w:t>boarding</w:t>
      </w:r>
      <w:r>
        <w:rPr>
          <w:color w:val="231F20"/>
          <w:spacing w:val="-6"/>
        </w:rPr>
        <w:t> </w:t>
      </w:r>
      <w:r>
        <w:rPr>
          <w:color w:val="231F20"/>
          <w:spacing w:val="-1"/>
        </w:rPr>
        <w:t>income</w:t>
      </w:r>
      <w:r>
        <w:rPr>
          <w:color w:val="231F20"/>
          <w:spacing w:val="-4"/>
        </w:rPr>
        <w:t> </w:t>
      </w:r>
      <w:r>
        <w:rPr>
          <w:color w:val="231F20"/>
        </w:rPr>
        <w:t>for</w:t>
      </w:r>
      <w:r>
        <w:rPr>
          <w:color w:val="231F20"/>
          <w:spacing w:val="-4"/>
        </w:rPr>
        <w:t> </w:t>
      </w:r>
      <w:r>
        <w:rPr>
          <w:color w:val="231F20"/>
        </w:rPr>
        <w:t>one</w:t>
      </w:r>
      <w:r>
        <w:rPr>
          <w:color w:val="231F20"/>
          <w:spacing w:val="-4"/>
        </w:rPr>
        <w:t> </w:t>
      </w:r>
      <w:r>
        <w:rPr>
          <w:color w:val="231F20"/>
        </w:rPr>
        <w:t>very</w:t>
      </w:r>
      <w:r>
        <w:rPr>
          <w:color w:val="231F20"/>
          <w:spacing w:val="-4"/>
        </w:rPr>
        <w:t> </w:t>
      </w:r>
      <w:r>
        <w:rPr>
          <w:color w:val="231F20"/>
          <w:spacing w:val="-1"/>
        </w:rPr>
        <w:t>small</w:t>
      </w:r>
      <w:r>
        <w:rPr>
          <w:color w:val="231F20"/>
          <w:spacing w:val="-4"/>
        </w:rPr>
        <w:t> </w:t>
      </w:r>
      <w:r>
        <w:rPr>
          <w:color w:val="231F20"/>
        </w:rPr>
        <w:t>provider</w:t>
      </w:r>
      <w:r>
        <w:rPr>
          <w:color w:val="231F20"/>
          <w:spacing w:val="23"/>
          <w:w w:val="99"/>
        </w:rPr>
        <w:t> </w:t>
      </w:r>
      <w:r>
        <w:rPr>
          <w:color w:val="231F20"/>
        </w:rPr>
        <w:t>and</w:t>
      </w:r>
      <w:r>
        <w:rPr>
          <w:color w:val="231F20"/>
          <w:spacing w:val="-5"/>
        </w:rPr>
        <w:t> </w:t>
      </w:r>
      <w:r>
        <w:rPr>
          <w:color w:val="231F20"/>
          <w:spacing w:val="-1"/>
        </w:rPr>
        <w:t>20</w:t>
      </w:r>
      <w:r>
        <w:rPr>
          <w:color w:val="231F20"/>
          <w:spacing w:val="-4"/>
        </w:rPr>
        <w:t> </w:t>
      </w:r>
      <w:r>
        <w:rPr>
          <w:color w:val="231F20"/>
        </w:rPr>
        <w:t>per</w:t>
      </w:r>
      <w:r>
        <w:rPr>
          <w:color w:val="231F20"/>
          <w:spacing w:val="-4"/>
        </w:rPr>
        <w:t> </w:t>
      </w:r>
      <w:r>
        <w:rPr>
          <w:color w:val="231F20"/>
        </w:rPr>
        <w:t>cent</w:t>
      </w:r>
      <w:r>
        <w:rPr>
          <w:color w:val="231F20"/>
          <w:spacing w:val="-5"/>
        </w:rPr>
        <w:t> </w:t>
      </w:r>
      <w:r>
        <w:rPr>
          <w:color w:val="231F20"/>
        </w:rPr>
        <w:t>for</w:t>
      </w:r>
      <w:r>
        <w:rPr>
          <w:color w:val="231F20"/>
          <w:spacing w:val="-4"/>
        </w:rPr>
        <w:t> </w:t>
      </w:r>
      <w:r>
        <w:rPr>
          <w:color w:val="231F20"/>
        </w:rPr>
        <w:t>another</w:t>
      </w:r>
      <w:r>
        <w:rPr>
          <w:color w:val="231F20"/>
          <w:spacing w:val="-5"/>
        </w:rPr>
        <w:t> </w:t>
      </w:r>
      <w:r>
        <w:rPr>
          <w:color w:val="231F20"/>
          <w:spacing w:val="-1"/>
        </w:rPr>
        <w:t>small</w:t>
      </w:r>
      <w:r>
        <w:rPr>
          <w:color w:val="231F20"/>
          <w:spacing w:val="-4"/>
        </w:rPr>
        <w:t> </w:t>
      </w:r>
      <w:r>
        <w:rPr>
          <w:color w:val="231F20"/>
        </w:rPr>
        <w:t>provider,</w:t>
      </w:r>
      <w:r>
        <w:rPr>
          <w:color w:val="231F20"/>
          <w:spacing w:val="22"/>
          <w:w w:val="99"/>
        </w:rPr>
        <w:t> </w:t>
      </w:r>
      <w:r>
        <w:rPr>
          <w:color w:val="231F20"/>
        </w:rPr>
        <w:t>compared</w:t>
      </w:r>
      <w:r>
        <w:rPr>
          <w:color w:val="231F20"/>
          <w:spacing w:val="-5"/>
        </w:rPr>
        <w:t> </w:t>
      </w:r>
      <w:r>
        <w:rPr>
          <w:color w:val="231F20"/>
        </w:rPr>
        <w:t>to</w:t>
      </w:r>
      <w:r>
        <w:rPr>
          <w:color w:val="231F20"/>
          <w:spacing w:val="-4"/>
        </w:rPr>
        <w:t> </w:t>
      </w:r>
      <w:r>
        <w:rPr>
          <w:color w:val="231F20"/>
        </w:rPr>
        <w:t>an</w:t>
      </w:r>
      <w:r>
        <w:rPr>
          <w:color w:val="231F20"/>
          <w:spacing w:val="-5"/>
        </w:rPr>
        <w:t> </w:t>
      </w:r>
      <w:r>
        <w:rPr>
          <w:color w:val="231F20"/>
        </w:rPr>
        <w:t>average</w:t>
      </w:r>
      <w:r>
        <w:rPr>
          <w:color w:val="231F20"/>
          <w:spacing w:val="-5"/>
        </w:rPr>
        <w:t> </w:t>
      </w:r>
      <w:r>
        <w:rPr>
          <w:color w:val="231F20"/>
        </w:rPr>
        <w:t>of</w:t>
      </w:r>
      <w:r>
        <w:rPr>
          <w:color w:val="231F20"/>
          <w:spacing w:val="-4"/>
        </w:rPr>
        <w:t> </w:t>
      </w:r>
      <w:r>
        <w:rPr>
          <w:color w:val="231F20"/>
          <w:spacing w:val="-1"/>
        </w:rPr>
        <w:t>seven</w:t>
      </w:r>
      <w:r>
        <w:rPr>
          <w:color w:val="231F20"/>
          <w:spacing w:val="-4"/>
        </w:rPr>
        <w:t> </w:t>
      </w:r>
      <w:r>
        <w:rPr>
          <w:color w:val="231F20"/>
        </w:rPr>
        <w:t>per</w:t>
      </w:r>
      <w:r>
        <w:rPr>
          <w:color w:val="231F20"/>
          <w:spacing w:val="-4"/>
        </w:rPr>
        <w:t> </w:t>
      </w:r>
      <w:r>
        <w:rPr>
          <w:color w:val="231F20"/>
        </w:rPr>
        <w:t>cent</w:t>
      </w:r>
      <w:r>
        <w:rPr>
          <w:color w:val="231F20"/>
          <w:spacing w:val="-4"/>
        </w:rPr>
        <w:t> </w:t>
      </w:r>
      <w:r>
        <w:rPr>
          <w:color w:val="231F20"/>
          <w:spacing w:val="-4"/>
        </w:rPr>
      </w:r>
      <w:r>
        <w:rPr>
          <w:color w:val="231F20"/>
        </w:rPr>
        <w:t>for</w:t>
      </w:r>
      <w:r>
        <w:rPr>
          <w:color w:val="231F20"/>
          <w:spacing w:val="21"/>
        </w:rPr>
        <w:t> </w:t>
      </w:r>
      <w:r>
        <w:rPr>
          <w:color w:val="231F20"/>
        </w:rPr>
        <w:t>all</w:t>
      </w:r>
      <w:r>
        <w:rPr>
          <w:color w:val="231F20"/>
          <w:spacing w:val="-6"/>
        </w:rPr>
        <w:t> </w:t>
      </w:r>
      <w:r>
        <w:rPr>
          <w:color w:val="231F20"/>
        </w:rPr>
        <w:t>Aboriginal</w:t>
      </w:r>
      <w:r>
        <w:rPr>
          <w:color w:val="231F20"/>
          <w:spacing w:val="-4"/>
        </w:rPr>
        <w:t> </w:t>
      </w:r>
      <w:r>
        <w:rPr>
          <w:color w:val="231F20"/>
        </w:rPr>
        <w:t>and</w:t>
      </w:r>
      <w:r>
        <w:rPr>
          <w:color w:val="231F20"/>
          <w:spacing w:val="-6"/>
        </w:rPr>
        <w:t> </w:t>
      </w:r>
      <w:r>
        <w:rPr>
          <w:color w:val="231F20"/>
          <w:spacing w:val="-5"/>
        </w:rPr>
        <w:t>Torres</w:t>
      </w:r>
      <w:r>
        <w:rPr>
          <w:color w:val="231F20"/>
          <w:spacing w:val="-4"/>
        </w:rPr>
        <w:t> </w:t>
      </w:r>
      <w:r>
        <w:rPr>
          <w:color w:val="231F20"/>
          <w:spacing w:val="-2"/>
        </w:rPr>
        <w:t>Strait</w:t>
      </w:r>
      <w:r>
        <w:rPr>
          <w:color w:val="231F20"/>
          <w:spacing w:val="-6"/>
        </w:rPr>
        <w:t> </w:t>
      </w:r>
      <w:r>
        <w:rPr>
          <w:color w:val="231F20"/>
          <w:spacing w:val="-1"/>
        </w:rPr>
        <w:t>Islander</w:t>
      </w:r>
      <w:r>
        <w:rPr>
          <w:color w:val="231F20"/>
          <w:spacing w:val="29"/>
          <w:w w:val="99"/>
        </w:rPr>
        <w:t> </w:t>
      </w:r>
      <w:r>
        <w:rPr>
          <w:color w:val="231F20"/>
        </w:rPr>
        <w:t>boarding</w:t>
      </w:r>
      <w:r>
        <w:rPr>
          <w:color w:val="231F20"/>
          <w:spacing w:val="-7"/>
        </w:rPr>
        <w:t> </w:t>
      </w:r>
      <w:r>
        <w:rPr>
          <w:color w:val="231F20"/>
        </w:rPr>
        <w:t>providers</w:t>
      </w:r>
      <w:r>
        <w:rPr>
          <w:color w:val="231F20"/>
          <w:spacing w:val="-6"/>
        </w:rPr>
        <w:t> </w:t>
      </w:r>
      <w:r>
        <w:rPr>
          <w:color w:val="231F20"/>
          <w:spacing w:val="-1"/>
        </w:rPr>
        <w:t>in</w:t>
      </w:r>
      <w:r>
        <w:rPr>
          <w:color w:val="231F20"/>
          <w:spacing w:val="-6"/>
        </w:rPr>
        <w:t> </w:t>
      </w:r>
      <w:r>
        <w:rPr>
          <w:color w:val="231F20"/>
        </w:rPr>
        <w:t>2016.</w:t>
      </w:r>
      <w:r>
        <w:rPr/>
      </w:r>
    </w:p>
    <w:p>
      <w:pPr>
        <w:pStyle w:val="BodyText"/>
        <w:spacing w:line="250" w:lineRule="exact" w:before="113"/>
        <w:ind w:right="140"/>
        <w:jc w:val="left"/>
      </w:pPr>
      <w:r>
        <w:rPr>
          <w:color w:val="231F20"/>
        </w:rPr>
        <w:t>The</w:t>
      </w:r>
      <w:r>
        <w:rPr>
          <w:color w:val="231F20"/>
          <w:spacing w:val="-4"/>
        </w:rPr>
        <w:t> </w:t>
      </w:r>
      <w:r>
        <w:rPr>
          <w:color w:val="231F20"/>
          <w:spacing w:val="-1"/>
        </w:rPr>
        <w:t>level</w:t>
      </w:r>
      <w:r>
        <w:rPr>
          <w:color w:val="231F20"/>
          <w:spacing w:val="-4"/>
        </w:rPr>
        <w:t> </w:t>
      </w:r>
      <w:r>
        <w:rPr>
          <w:color w:val="231F20"/>
        </w:rPr>
        <w:t>of</w:t>
      </w:r>
      <w:r>
        <w:rPr>
          <w:color w:val="231F20"/>
          <w:spacing w:val="-3"/>
        </w:rPr>
        <w:t> </w:t>
      </w:r>
      <w:r>
        <w:rPr>
          <w:color w:val="231F20"/>
        </w:rPr>
        <w:t>private</w:t>
      </w:r>
      <w:r>
        <w:rPr>
          <w:color w:val="231F20"/>
          <w:spacing w:val="-5"/>
        </w:rPr>
        <w:t> </w:t>
      </w:r>
      <w:r>
        <w:rPr>
          <w:color w:val="231F20"/>
        </w:rPr>
        <w:t>other</w:t>
      </w:r>
      <w:r>
        <w:rPr>
          <w:color w:val="231F20"/>
          <w:spacing w:val="-4"/>
        </w:rPr>
        <w:t> </w:t>
      </w:r>
      <w:r>
        <w:rPr>
          <w:color w:val="231F20"/>
        </w:rPr>
        <w:t>boarding</w:t>
      </w:r>
      <w:r>
        <w:rPr>
          <w:color w:val="231F20"/>
          <w:spacing w:val="-4"/>
        </w:rPr>
        <w:t> </w:t>
      </w:r>
      <w:r>
        <w:rPr>
          <w:color w:val="231F20"/>
          <w:spacing w:val="-1"/>
        </w:rPr>
        <w:t>income</w:t>
      </w:r>
      <w:r>
        <w:rPr>
          <w:color w:val="231F20"/>
          <w:spacing w:val="-4"/>
        </w:rPr>
        <w:t> </w:t>
      </w:r>
      <w:r>
        <w:rPr>
          <w:color w:val="231F20"/>
        </w:rPr>
        <w:t>at</w:t>
      </w:r>
      <w:r>
        <w:rPr>
          <w:color w:val="231F20"/>
          <w:spacing w:val="23"/>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5"/>
        </w:rPr>
        <w:t> </w:t>
      </w:r>
      <w:r>
        <w:rPr>
          <w:color w:val="231F20"/>
          <w:spacing w:val="-1"/>
        </w:rPr>
        <w:t>is</w:t>
      </w:r>
      <w:r>
        <w:rPr>
          <w:color w:val="231F20"/>
          <w:spacing w:val="-5"/>
        </w:rPr>
        <w:t> </w:t>
      </w:r>
      <w:r>
        <w:rPr>
          <w:color w:val="231F20"/>
          <w:spacing w:val="-1"/>
        </w:rPr>
        <w:t>lower</w:t>
      </w:r>
      <w:r>
        <w:rPr>
          <w:color w:val="231F20"/>
          <w:spacing w:val="-4"/>
        </w:rPr>
        <w:t> </w:t>
      </w:r>
      <w:r>
        <w:rPr>
          <w:color w:val="231F20"/>
        </w:rPr>
        <w:t>than</w:t>
      </w:r>
      <w:r>
        <w:rPr>
          <w:color w:val="231F20"/>
          <w:spacing w:val="-4"/>
        </w:rPr>
        <w:t> </w:t>
      </w:r>
      <w:r>
        <w:rPr>
          <w:color w:val="231F20"/>
        </w:rPr>
        <w:t>for</w:t>
      </w:r>
      <w:r>
        <w:rPr>
          <w:color w:val="231F20"/>
          <w:spacing w:val="-4"/>
        </w:rPr>
        <w:t> </w:t>
      </w:r>
      <w:r>
        <w:rPr>
          <w:color w:val="231F20"/>
        </w:rPr>
        <w:t>the</w:t>
      </w:r>
      <w:r>
        <w:rPr>
          <w:color w:val="231F20"/>
          <w:spacing w:val="-5"/>
        </w:rPr>
        <w:t> </w:t>
      </w:r>
      <w:r>
        <w:rPr>
          <w:color w:val="231F20"/>
          <w:spacing w:val="-1"/>
        </w:rPr>
        <w:t>mainstream</w:t>
      </w:r>
      <w:r>
        <w:rPr>
          <w:color w:val="231F20"/>
          <w:spacing w:val="22"/>
        </w:rPr>
        <w:t> </w:t>
      </w:r>
      <w:r>
        <w:rPr>
          <w:color w:val="231F20"/>
        </w:rPr>
        <w:t>boarding</w:t>
      </w:r>
      <w:r>
        <w:rPr>
          <w:color w:val="231F20"/>
          <w:spacing w:val="-6"/>
        </w:rPr>
        <w:t> </w:t>
      </w:r>
      <w:r>
        <w:rPr>
          <w:color w:val="231F20"/>
        </w:rPr>
        <w:t>providers</w:t>
      </w:r>
      <w:r>
        <w:rPr>
          <w:color w:val="231F20"/>
          <w:spacing w:val="-6"/>
        </w:rPr>
        <w:t> </w:t>
      </w:r>
      <w:r>
        <w:rPr>
          <w:color w:val="231F20"/>
          <w:spacing w:val="-1"/>
        </w:rPr>
        <w:t>in</w:t>
      </w:r>
      <w:r>
        <w:rPr>
          <w:color w:val="231F20"/>
          <w:spacing w:val="-5"/>
        </w:rPr>
        <w:t> </w:t>
      </w:r>
      <w:r>
        <w:rPr>
          <w:color w:val="231F20"/>
        </w:rPr>
        <w:t>terms</w:t>
      </w:r>
      <w:r>
        <w:rPr>
          <w:color w:val="231F20"/>
          <w:spacing w:val="-6"/>
        </w:rPr>
        <w:t> </w:t>
      </w:r>
      <w:r>
        <w:rPr>
          <w:color w:val="231F20"/>
        </w:rPr>
        <w:t>of</w:t>
      </w:r>
      <w:r>
        <w:rPr>
          <w:color w:val="231F20"/>
          <w:spacing w:val="-5"/>
        </w:rPr>
        <w:t> </w:t>
      </w:r>
      <w:r>
        <w:rPr>
          <w:color w:val="231F20"/>
        </w:rPr>
        <w:t>averages</w:t>
      </w:r>
      <w:r>
        <w:rPr>
          <w:color w:val="231F20"/>
          <w:spacing w:val="-5"/>
        </w:rPr>
        <w:t> </w:t>
      </w:r>
      <w:r>
        <w:rPr>
          <w:color w:val="231F20"/>
        </w:rPr>
        <w:t>per</w:t>
      </w:r>
      <w:r>
        <w:rPr>
          <w:color w:val="231F20"/>
          <w:spacing w:val="21"/>
          <w:w w:val="99"/>
        </w:rPr>
        <w:t> </w:t>
      </w:r>
      <w:r>
        <w:rPr>
          <w:rFonts w:ascii="Segoe UI"/>
          <w:color w:val="231F20"/>
        </w:rPr>
        <w:t>school and per boarder, but not significantly as</w:t>
      </w:r>
      <w:r>
        <w:rPr>
          <w:rFonts w:ascii="Segoe UI"/>
          <w:color w:val="231F20"/>
        </w:rPr>
        <w:t> </w:t>
      </w:r>
      <w:r>
        <w:rPr>
          <w:color w:val="231F20"/>
          <w:spacing w:val="-1"/>
        </w:rPr>
        <w:t>shown</w:t>
      </w:r>
      <w:r>
        <w:rPr>
          <w:color w:val="231F20"/>
          <w:spacing w:val="-6"/>
        </w:rPr>
        <w:t> </w:t>
      </w:r>
      <w:r>
        <w:rPr>
          <w:color w:val="231F20"/>
          <w:spacing w:val="-1"/>
        </w:rPr>
        <w:t>in</w:t>
      </w:r>
      <w:r>
        <w:rPr>
          <w:color w:val="231F20"/>
          <w:spacing w:val="-6"/>
        </w:rPr>
        <w:t> </w:t>
      </w:r>
      <w:r>
        <w:rPr>
          <w:color w:val="231F20"/>
        </w:rPr>
        <w:t>the</w:t>
      </w:r>
      <w:r>
        <w:rPr>
          <w:color w:val="231F20"/>
          <w:spacing w:val="-7"/>
        </w:rPr>
        <w:t> </w:t>
      </w:r>
      <w:r>
        <w:rPr>
          <w:color w:val="231F20"/>
        </w:rPr>
        <w:t>following</w:t>
      </w:r>
      <w:r>
        <w:rPr>
          <w:color w:val="231F20"/>
          <w:spacing w:val="-6"/>
        </w:rPr>
        <w:t> </w:t>
      </w:r>
      <w:r>
        <w:rPr>
          <w:color w:val="231F20"/>
        </w:rPr>
        <w:t>graphs.</w:t>
      </w:r>
      <w:r>
        <w:rPr/>
      </w:r>
    </w:p>
    <w:p>
      <w:pPr>
        <w:spacing w:after="0" w:line="250" w:lineRule="exact"/>
        <w:jc w:val="left"/>
        <w:sectPr>
          <w:type w:val="continuous"/>
          <w:pgSz w:w="11910" w:h="16840"/>
          <w:pgMar w:top="1580" w:bottom="280" w:left="1300" w:right="1600"/>
          <w:cols w:num="2" w:equalWidth="0">
            <w:col w:w="4339" w:space="254"/>
            <w:col w:w="4417"/>
          </w:cols>
        </w:sectPr>
      </w:pPr>
    </w:p>
    <w:p>
      <w:pPr>
        <w:rPr>
          <w:sz w:val="2"/>
          <w:szCs w:val="2"/>
        </w:rPr>
      </w:pPr>
      <w:r>
        <w:rPr/>
        <w:pict>
          <v:shape style="position:absolute;margin-left:105.171204pt;margin-top:632.245483pt;width:9.5pt;height:6.05pt;mso-position-horizontal-relative:page;mso-position-vertical-relative:page;z-index:6664" type="#_x0000_t202" filled="false" stroked="false">
            <v:textbox inset="0,0,0,0" style="layout-flow:vertical;mso-layout-flow-alt:bottom-to-top">
              <w:txbxContent>
                <w:p>
                  <w:pPr>
                    <w:spacing w:line="171" w:lineRule="exact" w:before="0"/>
                    <w:ind w:left="20" w:right="0" w:firstLine="0"/>
                    <w:jc w:val="left"/>
                    <w:rPr>
                      <w:rFonts w:ascii="Segoe UI" w:hAnsi="Segoe UI" w:cs="Segoe UI" w:eastAsia="Segoe UI"/>
                      <w:sz w:val="15"/>
                      <w:szCs w:val="15"/>
                    </w:rPr>
                  </w:pPr>
                  <w:r>
                    <w:rPr>
                      <w:rFonts w:ascii="Segoe UI"/>
                      <w:color w:val="77787B"/>
                      <w:w w:val="99"/>
                      <w:sz w:val="15"/>
                    </w:rPr>
                    <w:t>$</w:t>
                  </w:r>
                  <w:r>
                    <w:rPr>
                      <w:rFonts w:ascii="Segoe UI"/>
                      <w:sz w:val="15"/>
                    </w:rPr>
                  </w:r>
                </w:p>
              </w:txbxContent>
            </v:textbox>
            <w10:wrap type="none"/>
          </v:shape>
        </w:pict>
      </w:r>
      <w:r>
        <w:rPr/>
        <w:pict>
          <v:shape style="position:absolute;margin-left:298.612396pt;margin-top:638.852234pt;width:9.5pt;height:6.05pt;mso-position-horizontal-relative:page;mso-position-vertical-relative:page;z-index:6688" type="#_x0000_t202" filled="false" stroked="false">
            <v:textbox inset="0,0,0,0" style="layout-flow:vertical;mso-layout-flow-alt:bottom-to-top">
              <w:txbxContent>
                <w:p>
                  <w:pPr>
                    <w:spacing w:line="171" w:lineRule="exact" w:before="0"/>
                    <w:ind w:left="20" w:right="0" w:firstLine="0"/>
                    <w:jc w:val="left"/>
                    <w:rPr>
                      <w:rFonts w:ascii="Segoe UI" w:hAnsi="Segoe UI" w:cs="Segoe UI" w:eastAsia="Segoe UI"/>
                      <w:sz w:val="15"/>
                      <w:szCs w:val="15"/>
                    </w:rPr>
                  </w:pPr>
                  <w:r>
                    <w:rPr>
                      <w:rFonts w:ascii="Segoe UI"/>
                      <w:color w:val="77787B"/>
                      <w:w w:val="99"/>
                      <w:sz w:val="15"/>
                    </w:rPr>
                    <w:t>$</w:t>
                  </w:r>
                  <w:r>
                    <w:rPr>
                      <w:rFonts w:ascii="Segoe UI"/>
                      <w:sz w:val="15"/>
                    </w:rPr>
                  </w:r>
                </w:p>
              </w:txbxContent>
            </v:textbox>
            <w10:wrap type="none"/>
          </v:shape>
        </w:pict>
      </w:r>
    </w:p>
    <w:p>
      <w:pPr>
        <w:spacing w:after="0"/>
        <w:rPr>
          <w:sz w:val="2"/>
          <w:szCs w:val="2"/>
        </w:rPr>
        <w:sectPr>
          <w:type w:val="continuous"/>
          <w:pgSz w:w="11910" w:h="16840"/>
          <w:pgMar w:top="1580" w:bottom="280" w:left="1300" w:right="1600"/>
        </w:sectPr>
      </w:pPr>
    </w:p>
    <w:p>
      <w:pPr>
        <w:spacing w:line="240" w:lineRule="auto" w:before="0"/>
        <w:rPr>
          <w:rFonts w:ascii="Segoe UI" w:hAnsi="Segoe UI" w:cs="Segoe UI" w:eastAsia="Segoe UI"/>
          <w:sz w:val="20"/>
          <w:szCs w:val="20"/>
        </w:rPr>
      </w:pPr>
    </w:p>
    <w:p>
      <w:pPr>
        <w:spacing w:line="240" w:lineRule="auto" w:before="11"/>
        <w:rPr>
          <w:rFonts w:ascii="Segoe UI" w:hAnsi="Segoe UI" w:cs="Segoe UI" w:eastAsia="Segoe UI"/>
          <w:sz w:val="20"/>
          <w:szCs w:val="20"/>
        </w:rPr>
      </w:pPr>
    </w:p>
    <w:p>
      <w:pPr>
        <w:spacing w:after="0" w:line="240" w:lineRule="auto"/>
        <w:rPr>
          <w:rFonts w:ascii="Segoe UI" w:hAnsi="Segoe UI" w:cs="Segoe UI" w:eastAsia="Segoe UI"/>
          <w:sz w:val="20"/>
          <w:szCs w:val="20"/>
        </w:rPr>
        <w:sectPr>
          <w:pgSz w:w="11910" w:h="16840"/>
          <w:pgMar w:header="0" w:footer="691" w:top="1580" w:bottom="880" w:left="1600" w:right="1300"/>
        </w:sectPr>
      </w:pPr>
    </w:p>
    <w:p>
      <w:pPr>
        <w:pStyle w:val="Heading2"/>
        <w:spacing w:line="240" w:lineRule="auto"/>
        <w:ind w:left="100" w:right="182"/>
        <w:jc w:val="left"/>
        <w:rPr>
          <w:b w:val="0"/>
          <w:bCs w:val="0"/>
        </w:rPr>
      </w:pPr>
      <w:bookmarkStart w:name="_TOC_250021" w:id="15"/>
      <w:r>
        <w:rPr>
          <w:color w:val="452A70"/>
        </w:rPr>
        <w:t>The</w:t>
      </w:r>
      <w:r>
        <w:rPr>
          <w:color w:val="452A70"/>
          <w:spacing w:val="-1"/>
        </w:rPr>
        <w:t> funding</w:t>
      </w:r>
      <w:r>
        <w:rPr>
          <w:color w:val="452A70"/>
        </w:rPr>
        <w:t> model</w:t>
      </w:r>
      <w:bookmarkEnd w:id="15"/>
      <w:r>
        <w:rPr>
          <w:b w:val="0"/>
        </w:rPr>
      </w:r>
    </w:p>
    <w:p>
      <w:pPr>
        <w:pStyle w:val="BodyText"/>
        <w:spacing w:line="250" w:lineRule="exact" w:before="111"/>
        <w:ind w:left="100" w:right="6"/>
        <w:jc w:val="left"/>
      </w:pPr>
      <w:r>
        <w:rPr>
          <w:color w:val="231F20"/>
        </w:rPr>
        <w:t>A</w:t>
      </w:r>
      <w:r>
        <w:rPr>
          <w:color w:val="231F20"/>
          <w:spacing w:val="-6"/>
        </w:rPr>
        <w:t> </w:t>
      </w:r>
      <w:r>
        <w:rPr>
          <w:color w:val="231F20"/>
        </w:rPr>
        <w:t>number</w:t>
      </w:r>
      <w:r>
        <w:rPr>
          <w:color w:val="231F20"/>
          <w:spacing w:val="-6"/>
        </w:rPr>
        <w:t> </w:t>
      </w:r>
      <w:r>
        <w:rPr>
          <w:color w:val="231F20"/>
        </w:rPr>
        <w:t>of</w:t>
      </w:r>
      <w:r>
        <w:rPr>
          <w:color w:val="231F20"/>
          <w:spacing w:val="-5"/>
        </w:rPr>
        <w:t> </w:t>
      </w:r>
      <w:r>
        <w:rPr>
          <w:color w:val="231F20"/>
        </w:rPr>
        <w:t>previous</w:t>
      </w:r>
      <w:r>
        <w:rPr>
          <w:color w:val="231F20"/>
          <w:spacing w:val="-6"/>
        </w:rPr>
        <w:t> </w:t>
      </w:r>
      <w:r>
        <w:rPr>
          <w:color w:val="231F20"/>
        </w:rPr>
        <w:t>reviews</w:t>
      </w:r>
      <w:r>
        <w:rPr>
          <w:color w:val="231F20"/>
          <w:spacing w:val="-7"/>
        </w:rPr>
        <w:t> </w:t>
      </w:r>
      <w:r>
        <w:rPr>
          <w:color w:val="231F20"/>
        </w:rPr>
        <w:t>and</w:t>
      </w:r>
      <w:r>
        <w:rPr>
          <w:color w:val="231F20"/>
          <w:spacing w:val="-6"/>
        </w:rPr>
        <w:t> </w:t>
      </w:r>
      <w:r>
        <w:rPr>
          <w:color w:val="231F20"/>
        </w:rPr>
        <w:t>reports</w:t>
      </w:r>
      <w:r>
        <w:rPr>
          <w:color w:val="231F20"/>
          <w:spacing w:val="-6"/>
        </w:rPr>
        <w:t> </w:t>
      </w:r>
      <w:r>
        <w:rPr>
          <w:color w:val="231F20"/>
        </w:rPr>
        <w:t>have</w:t>
      </w:r>
      <w:r>
        <w:rPr>
          <w:color w:val="231F20"/>
          <w:w w:val="99"/>
        </w:rPr>
        <w:t> </w:t>
      </w:r>
      <w:r>
        <w:rPr>
          <w:color w:val="231F20"/>
        </w:rPr>
        <w:t>considered</w:t>
      </w:r>
      <w:r>
        <w:rPr>
          <w:color w:val="231F20"/>
          <w:spacing w:val="-8"/>
        </w:rPr>
        <w:t> </w:t>
      </w:r>
      <w:r>
        <w:rPr>
          <w:color w:val="231F20"/>
        </w:rPr>
        <w:t>the</w:t>
      </w:r>
      <w:r>
        <w:rPr>
          <w:color w:val="231F20"/>
          <w:spacing w:val="-7"/>
        </w:rPr>
        <w:t> </w:t>
      </w:r>
      <w:r>
        <w:rPr>
          <w:color w:val="231F20"/>
        </w:rPr>
        <w:t>funding</w:t>
      </w:r>
      <w:r>
        <w:rPr>
          <w:color w:val="231F20"/>
          <w:spacing w:val="-6"/>
        </w:rPr>
        <w:t> </w:t>
      </w:r>
      <w:r>
        <w:rPr>
          <w:color w:val="231F20"/>
          <w:spacing w:val="-1"/>
        </w:rPr>
        <w:t>model</w:t>
      </w:r>
      <w:r>
        <w:rPr>
          <w:color w:val="231F20"/>
          <w:spacing w:val="-6"/>
        </w:rPr>
        <w:t> </w:t>
      </w:r>
      <w:r>
        <w:rPr>
          <w:color w:val="231F20"/>
        </w:rPr>
        <w:t>for</w:t>
      </w:r>
      <w:r>
        <w:rPr>
          <w:color w:val="231F20"/>
          <w:spacing w:val="-7"/>
        </w:rPr>
        <w:t> </w:t>
      </w:r>
      <w:r>
        <w:rPr>
          <w:color w:val="231F20"/>
        </w:rPr>
        <w:t>Aboriginal</w:t>
      </w:r>
      <w:r>
        <w:rPr>
          <w:color w:val="231F20"/>
          <w:spacing w:val="21"/>
          <w:w w:val="99"/>
        </w:rPr>
        <w:t> </w:t>
      </w:r>
      <w:r>
        <w:rPr>
          <w:color w:val="231F20"/>
        </w:rPr>
        <w:t>and</w:t>
      </w:r>
      <w:r>
        <w:rPr>
          <w:color w:val="231F20"/>
          <w:spacing w:val="-6"/>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5"/>
        </w:rPr>
        <w:t> </w:t>
      </w:r>
      <w:r>
        <w:rPr>
          <w:color w:val="231F20"/>
        </w:rPr>
        <w:t>boarding</w:t>
      </w:r>
      <w:r>
        <w:rPr>
          <w:color w:val="231F20"/>
          <w:spacing w:val="-6"/>
        </w:rPr>
        <w:t> </w:t>
      </w:r>
      <w:r>
        <w:rPr>
          <w:color w:val="231F20"/>
        </w:rPr>
        <w:t>and</w:t>
      </w:r>
      <w:r>
        <w:rPr>
          <w:color w:val="231F20"/>
          <w:spacing w:val="-6"/>
        </w:rPr>
        <w:t> </w:t>
      </w:r>
      <w:r>
        <w:rPr>
          <w:color w:val="231F20"/>
          <w:spacing w:val="-1"/>
        </w:rPr>
        <w:t>made</w:t>
      </w:r>
      <w:r>
        <w:rPr>
          <w:color w:val="231F20"/>
          <w:spacing w:val="20"/>
          <w:w w:val="99"/>
        </w:rPr>
        <w:t> </w:t>
      </w:r>
      <w:r>
        <w:rPr>
          <w:color w:val="231F20"/>
        </w:rPr>
        <w:t>recommendations</w:t>
      </w:r>
      <w:r>
        <w:rPr>
          <w:color w:val="231F20"/>
          <w:spacing w:val="-9"/>
        </w:rPr>
        <w:t> </w:t>
      </w:r>
      <w:r>
        <w:rPr>
          <w:color w:val="231F20"/>
        </w:rPr>
        <w:t>for</w:t>
      </w:r>
      <w:r>
        <w:rPr>
          <w:color w:val="231F20"/>
          <w:spacing w:val="-6"/>
        </w:rPr>
        <w:t> </w:t>
      </w:r>
      <w:r>
        <w:rPr>
          <w:color w:val="231F20"/>
        </w:rPr>
        <w:t>reform.</w:t>
      </w:r>
      <w:r>
        <w:rPr>
          <w:color w:val="231F20"/>
          <w:spacing w:val="-7"/>
        </w:rPr>
        <w:t> </w:t>
      </w:r>
      <w:r>
        <w:rPr>
          <w:color w:val="231F20"/>
          <w:spacing w:val="-1"/>
        </w:rPr>
        <w:t>CAEPR,</w:t>
      </w:r>
      <w:r>
        <w:rPr>
          <w:color w:val="231F20"/>
          <w:spacing w:val="-6"/>
        </w:rPr>
        <w:t> </w:t>
      </w:r>
      <w:r>
        <w:rPr>
          <w:color w:val="231F20"/>
          <w:spacing w:val="-1"/>
        </w:rPr>
        <w:t>2017</w:t>
      </w:r>
      <w:r>
        <w:rPr>
          <w:color w:val="231F20"/>
          <w:spacing w:val="21"/>
        </w:rPr>
        <w:t> </w:t>
      </w:r>
      <w:r>
        <w:rPr>
          <w:color w:val="231F20"/>
        </w:rPr>
        <w:t>referenced</w:t>
      </w:r>
      <w:r>
        <w:rPr>
          <w:color w:val="231F20"/>
          <w:spacing w:val="-7"/>
        </w:rPr>
        <w:t> </w:t>
      </w:r>
      <w:r>
        <w:rPr>
          <w:color w:val="231F20"/>
        </w:rPr>
        <w:t>the</w:t>
      </w:r>
      <w:r>
        <w:rPr>
          <w:color w:val="231F20"/>
          <w:spacing w:val="-7"/>
        </w:rPr>
        <w:t> </w:t>
      </w:r>
      <w:r>
        <w:rPr>
          <w:color w:val="231F20"/>
        </w:rPr>
        <w:t>funding</w:t>
      </w:r>
      <w:r>
        <w:rPr>
          <w:color w:val="231F20"/>
          <w:spacing w:val="-6"/>
        </w:rPr>
        <w:t> </w:t>
      </w:r>
      <w:r>
        <w:rPr>
          <w:color w:val="231F20"/>
          <w:spacing w:val="-1"/>
        </w:rPr>
        <w:t>structure</w:t>
      </w:r>
      <w:r>
        <w:rPr>
          <w:color w:val="231F20"/>
          <w:spacing w:val="-5"/>
        </w:rPr>
        <w:t> </w:t>
      </w:r>
      <w:r>
        <w:rPr>
          <w:color w:val="231F20"/>
        </w:rPr>
        <w:t>for</w:t>
      </w:r>
      <w:r>
        <w:rPr>
          <w:color w:val="231F20"/>
          <w:spacing w:val="-6"/>
        </w:rPr>
        <w:t> </w:t>
      </w:r>
      <w:r>
        <w:rPr>
          <w:color w:val="231F20"/>
          <w:spacing w:val="-1"/>
        </w:rPr>
        <w:t>school</w:t>
      </w:r>
      <w:r>
        <w:rPr>
          <w:color w:val="231F20"/>
          <w:spacing w:val="21"/>
        </w:rPr>
        <w:t> </w:t>
      </w:r>
      <w:r>
        <w:rPr>
          <w:color w:val="231F20"/>
        </w:rPr>
        <w:t>recurrent</w:t>
      </w:r>
      <w:r>
        <w:rPr>
          <w:color w:val="231F20"/>
          <w:spacing w:val="-11"/>
        </w:rPr>
        <w:t> </w:t>
      </w:r>
      <w:r>
        <w:rPr>
          <w:color w:val="231F20"/>
          <w:spacing w:val="-1"/>
        </w:rPr>
        <w:t>Commonwealth</w:t>
      </w:r>
      <w:r>
        <w:rPr>
          <w:color w:val="231F20"/>
          <w:spacing w:val="-9"/>
        </w:rPr>
        <w:t> </w:t>
      </w:r>
      <w:r>
        <w:rPr>
          <w:color w:val="231F20"/>
        </w:rPr>
        <w:t>funding</w:t>
      </w:r>
      <w:r>
        <w:rPr>
          <w:color w:val="231F20"/>
          <w:spacing w:val="-9"/>
        </w:rPr>
        <w:t> </w:t>
      </w:r>
      <w:r>
        <w:rPr>
          <w:color w:val="231F20"/>
        </w:rPr>
        <w:t>for</w:t>
      </w:r>
      <w:r>
        <w:rPr>
          <w:color w:val="231F20"/>
          <w:spacing w:val="-10"/>
        </w:rPr>
        <w:t> </w:t>
      </w:r>
      <w:r>
        <w:rPr>
          <w:color w:val="231F20"/>
        </w:rPr>
        <w:t>tuition</w:t>
      </w:r>
      <w:r>
        <w:rPr>
          <w:color w:val="231F20"/>
          <w:spacing w:val="22"/>
          <w:w w:val="99"/>
        </w:rPr>
        <w:t> </w:t>
      </w:r>
      <w:r>
        <w:rPr>
          <w:color w:val="231F20"/>
        </w:rPr>
        <w:t>under</w:t>
      </w:r>
      <w:r>
        <w:rPr>
          <w:color w:val="231F20"/>
          <w:spacing w:val="-4"/>
        </w:rPr>
        <w:t> </w:t>
      </w:r>
      <w:r>
        <w:rPr>
          <w:color w:val="231F20"/>
        </w:rPr>
        <w:t>the</w:t>
      </w:r>
      <w:r>
        <w:rPr>
          <w:color w:val="231F20"/>
          <w:spacing w:val="-4"/>
        </w:rPr>
        <w:t> </w:t>
      </w:r>
      <w:r>
        <w:rPr>
          <w:rFonts w:ascii="Segoe UI"/>
          <w:i/>
          <w:color w:val="231F20"/>
          <w:spacing w:val="-1"/>
        </w:rPr>
        <w:t>Australian</w:t>
      </w:r>
      <w:r>
        <w:rPr>
          <w:rFonts w:ascii="Segoe UI"/>
          <w:i/>
          <w:color w:val="231F20"/>
          <w:spacing w:val="-3"/>
        </w:rPr>
        <w:t> </w:t>
      </w:r>
      <w:r>
        <w:rPr>
          <w:rFonts w:ascii="Segoe UI"/>
          <w:i/>
          <w:color w:val="231F20"/>
        </w:rPr>
        <w:t>Education</w:t>
      </w:r>
      <w:r>
        <w:rPr>
          <w:rFonts w:ascii="Segoe UI"/>
          <w:i/>
          <w:color w:val="231F20"/>
          <w:spacing w:val="-3"/>
        </w:rPr>
        <w:t> </w:t>
      </w:r>
      <w:r>
        <w:rPr>
          <w:rFonts w:ascii="Segoe UI"/>
          <w:i/>
          <w:color w:val="231F20"/>
        </w:rPr>
        <w:t>Act</w:t>
      </w:r>
      <w:r>
        <w:rPr>
          <w:rFonts w:ascii="Segoe UI"/>
          <w:i/>
          <w:color w:val="231F20"/>
          <w:spacing w:val="-4"/>
        </w:rPr>
        <w:t> </w:t>
      </w:r>
      <w:r>
        <w:rPr>
          <w:rFonts w:ascii="Segoe UI"/>
          <w:i/>
          <w:color w:val="231F20"/>
        </w:rPr>
        <w:t>2013</w:t>
      </w:r>
      <w:r>
        <w:rPr>
          <w:color w:val="231F20"/>
        </w:rPr>
        <w:t>,</w:t>
      </w:r>
      <w:r>
        <w:rPr>
          <w:color w:val="231F20"/>
          <w:spacing w:val="-3"/>
        </w:rPr>
        <w:t> </w:t>
      </w:r>
      <w:r>
        <w:rPr>
          <w:color w:val="231F20"/>
        </w:rPr>
        <w:t>which,</w:t>
      </w:r>
      <w:r>
        <w:rPr>
          <w:color w:val="231F20"/>
          <w:spacing w:val="28"/>
          <w:w w:val="99"/>
        </w:rPr>
        <w:t> </w:t>
      </w:r>
      <w:r>
        <w:rPr>
          <w:color w:val="231F20"/>
          <w:spacing w:val="-1"/>
        </w:rPr>
        <w:t>in</w:t>
      </w:r>
      <w:r>
        <w:rPr>
          <w:color w:val="231F20"/>
          <w:spacing w:val="-3"/>
        </w:rPr>
        <w:t> </w:t>
      </w:r>
      <w:r>
        <w:rPr>
          <w:color w:val="231F20"/>
        </w:rPr>
        <w:t>basic</w:t>
      </w:r>
      <w:r>
        <w:rPr>
          <w:color w:val="231F20"/>
          <w:spacing w:val="-4"/>
        </w:rPr>
        <w:t> </w:t>
      </w:r>
      <w:r>
        <w:rPr>
          <w:color w:val="231F20"/>
        </w:rPr>
        <w:t>terms,</w:t>
      </w:r>
      <w:r>
        <w:rPr>
          <w:color w:val="231F20"/>
          <w:spacing w:val="-4"/>
        </w:rPr>
        <w:t> </w:t>
      </w:r>
      <w:r>
        <w:rPr>
          <w:color w:val="231F20"/>
          <w:spacing w:val="-1"/>
        </w:rPr>
        <w:t>includes</w:t>
      </w:r>
      <w:r>
        <w:rPr>
          <w:color w:val="231F20"/>
          <w:spacing w:val="-2"/>
        </w:rPr>
        <w:t> </w:t>
      </w:r>
      <w:r>
        <w:rPr>
          <w:color w:val="231F20"/>
        </w:rPr>
        <w:t>a</w:t>
      </w:r>
      <w:r>
        <w:rPr>
          <w:color w:val="231F20"/>
          <w:spacing w:val="-3"/>
        </w:rPr>
        <w:t> </w:t>
      </w:r>
      <w:r>
        <w:rPr>
          <w:color w:val="231F20"/>
        </w:rPr>
        <w:t>base</w:t>
      </w:r>
      <w:r>
        <w:rPr>
          <w:color w:val="231F20"/>
          <w:spacing w:val="-4"/>
        </w:rPr>
        <w:t> </w:t>
      </w:r>
      <w:r>
        <w:rPr>
          <w:color w:val="231F20"/>
        </w:rPr>
        <w:t>amount</w:t>
      </w:r>
      <w:r>
        <w:rPr>
          <w:color w:val="231F20"/>
          <w:spacing w:val="-4"/>
        </w:rPr>
        <w:t> </w:t>
      </w:r>
      <w:r>
        <w:rPr>
          <w:color w:val="231F20"/>
        </w:rPr>
        <w:t>of</w:t>
      </w:r>
      <w:r>
        <w:rPr>
          <w:color w:val="231F20"/>
          <w:spacing w:val="23"/>
          <w:w w:val="99"/>
        </w:rPr>
        <w:t> </w:t>
      </w:r>
      <w:r>
        <w:rPr>
          <w:color w:val="231F20"/>
        </w:rPr>
        <w:t>funding</w:t>
      </w:r>
      <w:r>
        <w:rPr>
          <w:color w:val="231F20"/>
          <w:spacing w:val="-6"/>
        </w:rPr>
        <w:t> </w:t>
      </w:r>
      <w:r>
        <w:rPr>
          <w:color w:val="231F20"/>
        </w:rPr>
        <w:t>plus</w:t>
      </w:r>
      <w:r>
        <w:rPr>
          <w:color w:val="231F20"/>
          <w:spacing w:val="-6"/>
        </w:rPr>
        <w:t> </w:t>
      </w:r>
      <w:r>
        <w:rPr>
          <w:color w:val="231F20"/>
          <w:spacing w:val="-1"/>
        </w:rPr>
        <w:t>loadings</w:t>
      </w:r>
      <w:r>
        <w:rPr>
          <w:color w:val="231F20"/>
          <w:spacing w:val="-6"/>
        </w:rPr>
        <w:t> </w:t>
      </w:r>
      <w:r>
        <w:rPr>
          <w:color w:val="231F20"/>
        </w:rPr>
        <w:t>to</w:t>
      </w:r>
      <w:r>
        <w:rPr>
          <w:color w:val="231F20"/>
          <w:spacing w:val="-5"/>
        </w:rPr>
        <w:t> </w:t>
      </w:r>
      <w:r>
        <w:rPr>
          <w:color w:val="231F20"/>
        </w:rPr>
        <w:t>address</w:t>
      </w:r>
      <w:r>
        <w:rPr>
          <w:color w:val="231F20"/>
          <w:spacing w:val="-7"/>
        </w:rPr>
        <w:t> </w:t>
      </w:r>
      <w:r>
        <w:rPr>
          <w:color w:val="231F20"/>
        </w:rPr>
        <w:t>disadvantage</w:t>
      </w:r>
      <w:r>
        <w:rPr>
          <w:color w:val="231F20"/>
          <w:spacing w:val="22"/>
          <w:w w:val="99"/>
        </w:rPr>
        <w:t> </w:t>
      </w:r>
      <w:r>
        <w:rPr>
          <w:color w:val="231F20"/>
        </w:rPr>
        <w:t>and</w:t>
      </w:r>
      <w:r>
        <w:rPr>
          <w:color w:val="231F20"/>
          <w:spacing w:val="-3"/>
        </w:rPr>
        <w:t> </w:t>
      </w:r>
      <w:r>
        <w:rPr>
          <w:color w:val="231F20"/>
        </w:rPr>
        <w:t>the</w:t>
      </w:r>
      <w:r>
        <w:rPr>
          <w:color w:val="231F20"/>
          <w:spacing w:val="-3"/>
        </w:rPr>
        <w:t> </w:t>
      </w:r>
      <w:r>
        <w:rPr>
          <w:color w:val="231F20"/>
        </w:rPr>
        <w:t>needs</w:t>
      </w:r>
      <w:r>
        <w:rPr>
          <w:color w:val="231F20"/>
          <w:spacing w:val="-2"/>
        </w:rPr>
        <w:t> </w:t>
      </w:r>
      <w:r>
        <w:rPr>
          <w:color w:val="231F20"/>
        </w:rPr>
        <w:t>of</w:t>
      </w:r>
      <w:r>
        <w:rPr>
          <w:color w:val="231F20"/>
          <w:spacing w:val="-2"/>
        </w:rPr>
        <w:t> </w:t>
      </w:r>
      <w:r>
        <w:rPr>
          <w:color w:val="231F20"/>
          <w:spacing w:val="-1"/>
        </w:rPr>
        <w:t>students</w:t>
      </w:r>
      <w:r>
        <w:rPr>
          <w:color w:val="231F20"/>
          <w:spacing w:val="-2"/>
        </w:rPr>
        <w:t> </w:t>
      </w:r>
      <w:r>
        <w:rPr>
          <w:color w:val="231F20"/>
        </w:rPr>
        <w:t>and</w:t>
      </w:r>
      <w:r>
        <w:rPr>
          <w:color w:val="231F20"/>
          <w:spacing w:val="-2"/>
        </w:rPr>
        <w:t> </w:t>
      </w:r>
      <w:r>
        <w:rPr>
          <w:color w:val="231F20"/>
          <w:spacing w:val="-1"/>
        </w:rPr>
        <w:t>schools.</w:t>
      </w:r>
      <w:r>
        <w:rPr>
          <w:color w:val="231F20"/>
          <w:spacing w:val="-2"/>
        </w:rPr>
        <w:t> </w:t>
      </w:r>
      <w:r>
        <w:rPr>
          <w:color w:val="231F20"/>
        </w:rPr>
        <w:t>This</w:t>
      </w:r>
      <w:r>
        <w:rPr/>
      </w:r>
    </w:p>
    <w:p>
      <w:pPr>
        <w:pStyle w:val="BodyText"/>
        <w:spacing w:line="250" w:lineRule="exact"/>
        <w:ind w:left="100" w:right="30"/>
        <w:jc w:val="left"/>
      </w:pPr>
      <w:r>
        <w:rPr>
          <w:color w:val="231F20"/>
          <w:spacing w:val="-1"/>
        </w:rPr>
        <w:t>is</w:t>
      </w:r>
      <w:r>
        <w:rPr>
          <w:color w:val="231F20"/>
          <w:spacing w:val="-4"/>
        </w:rPr>
        <w:t> </w:t>
      </w:r>
      <w:r>
        <w:rPr>
          <w:color w:val="231F20"/>
        </w:rPr>
        <w:t>commonly</w:t>
      </w:r>
      <w:r>
        <w:rPr>
          <w:color w:val="231F20"/>
          <w:spacing w:val="-4"/>
        </w:rPr>
        <w:t> </w:t>
      </w:r>
      <w:r>
        <w:rPr>
          <w:color w:val="231F20"/>
          <w:spacing w:val="-1"/>
        </w:rPr>
        <w:t>known</w:t>
      </w:r>
      <w:r>
        <w:rPr>
          <w:color w:val="231F20"/>
          <w:spacing w:val="-2"/>
        </w:rPr>
        <w:t> </w:t>
      </w:r>
      <w:r>
        <w:rPr>
          <w:color w:val="231F20"/>
        </w:rPr>
        <w:t>as</w:t>
      </w:r>
      <w:r>
        <w:rPr>
          <w:color w:val="231F20"/>
          <w:spacing w:val="-4"/>
        </w:rPr>
        <w:t> </w:t>
      </w:r>
      <w:r>
        <w:rPr>
          <w:color w:val="231F20"/>
        </w:rPr>
        <w:t>the</w:t>
      </w:r>
      <w:r>
        <w:rPr>
          <w:color w:val="231F20"/>
          <w:spacing w:val="-3"/>
        </w:rPr>
        <w:t> </w:t>
      </w:r>
      <w:r>
        <w:rPr>
          <w:color w:val="231F20"/>
        </w:rPr>
        <w:t>Gonski</w:t>
      </w:r>
      <w:r>
        <w:rPr>
          <w:color w:val="231F20"/>
          <w:spacing w:val="-4"/>
        </w:rPr>
        <w:t> </w:t>
      </w:r>
      <w:r>
        <w:rPr>
          <w:color w:val="231F20"/>
        </w:rPr>
        <w:t>funding</w:t>
      </w:r>
      <w:r>
        <w:rPr>
          <w:color w:val="231F20"/>
          <w:spacing w:val="22"/>
          <w:w w:val="99"/>
        </w:rPr>
        <w:t> </w:t>
      </w:r>
      <w:r>
        <w:rPr>
          <w:color w:val="231F20"/>
          <w:spacing w:val="-1"/>
        </w:rPr>
        <w:t>model.</w:t>
      </w:r>
      <w:r>
        <w:rPr>
          <w:color w:val="231F20"/>
          <w:spacing w:val="-3"/>
        </w:rPr>
        <w:t> </w:t>
      </w:r>
      <w:r>
        <w:rPr>
          <w:color w:val="231F20"/>
        </w:rPr>
        <w:t>‘The</w:t>
      </w:r>
      <w:r>
        <w:rPr>
          <w:color w:val="231F20"/>
          <w:spacing w:val="-3"/>
        </w:rPr>
        <w:t> </w:t>
      </w:r>
      <w:r>
        <w:rPr>
          <w:color w:val="231F20"/>
        </w:rPr>
        <w:t>consequence</w:t>
      </w:r>
      <w:r>
        <w:rPr>
          <w:color w:val="231F20"/>
          <w:spacing w:val="-4"/>
        </w:rPr>
        <w:t> </w:t>
      </w:r>
      <w:r>
        <w:rPr>
          <w:color w:val="231F20"/>
        </w:rPr>
        <w:t>of</w:t>
      </w:r>
      <w:r>
        <w:rPr>
          <w:color w:val="231F20"/>
          <w:spacing w:val="-3"/>
        </w:rPr>
        <w:t> </w:t>
      </w:r>
      <w:r>
        <w:rPr>
          <w:color w:val="231F20"/>
        </w:rPr>
        <w:t>this</w:t>
      </w:r>
      <w:r>
        <w:rPr>
          <w:color w:val="231F20"/>
          <w:spacing w:val="-4"/>
        </w:rPr>
        <w:t> </w:t>
      </w:r>
      <w:r>
        <w:rPr>
          <w:color w:val="231F20"/>
          <w:spacing w:val="-1"/>
        </w:rPr>
        <w:t>model</w:t>
      </w:r>
      <w:r>
        <w:rPr>
          <w:color w:val="231F20"/>
          <w:spacing w:val="-3"/>
        </w:rPr>
        <w:t> </w:t>
      </w:r>
      <w:r>
        <w:rPr>
          <w:color w:val="231F20"/>
          <w:spacing w:val="-1"/>
        </w:rPr>
        <w:t>is</w:t>
      </w:r>
      <w:r>
        <w:rPr>
          <w:color w:val="231F20"/>
          <w:spacing w:val="-4"/>
        </w:rPr>
        <w:t> </w:t>
      </w:r>
      <w:r>
        <w:rPr>
          <w:color w:val="231F20"/>
        </w:rPr>
        <w:t>that</w:t>
      </w:r>
      <w:r>
        <w:rPr>
          <w:color w:val="231F20"/>
          <w:spacing w:val="24"/>
          <w:w w:val="99"/>
        </w:rPr>
        <w:t> </w:t>
      </w:r>
      <w:r>
        <w:rPr>
          <w:color w:val="231F20"/>
          <w:spacing w:val="-1"/>
        </w:rPr>
        <w:t>schools</w:t>
      </w:r>
      <w:r>
        <w:rPr>
          <w:color w:val="231F20"/>
          <w:spacing w:val="-7"/>
        </w:rPr>
        <w:t> </w:t>
      </w:r>
      <w:r>
        <w:rPr>
          <w:color w:val="231F20"/>
        </w:rPr>
        <w:t>with</w:t>
      </w:r>
      <w:r>
        <w:rPr>
          <w:color w:val="231F20"/>
          <w:spacing w:val="-7"/>
        </w:rPr>
        <w:t> </w:t>
      </w:r>
      <w:r>
        <w:rPr>
          <w:color w:val="231F20"/>
          <w:spacing w:val="-1"/>
        </w:rPr>
        <w:t>larger</w:t>
      </w:r>
      <w:r>
        <w:rPr>
          <w:color w:val="231F20"/>
          <w:spacing w:val="-6"/>
        </w:rPr>
        <w:t> </w:t>
      </w:r>
      <w:r>
        <w:rPr>
          <w:color w:val="231F20"/>
        </w:rPr>
        <w:t>proportions</w:t>
      </w:r>
      <w:r>
        <w:rPr>
          <w:color w:val="231F20"/>
          <w:spacing w:val="-7"/>
        </w:rPr>
        <w:t> </w:t>
      </w:r>
      <w:r>
        <w:rPr>
          <w:color w:val="231F20"/>
        </w:rPr>
        <w:t>of</w:t>
      </w:r>
      <w:r>
        <w:rPr>
          <w:color w:val="231F20"/>
          <w:spacing w:val="-6"/>
        </w:rPr>
        <w:t> </w:t>
      </w:r>
      <w:r>
        <w:rPr>
          <w:color w:val="231F20"/>
        </w:rPr>
        <w:t>Aboriginal</w:t>
      </w:r>
      <w:r>
        <w:rPr>
          <w:color w:val="231F20"/>
          <w:spacing w:val="23"/>
          <w:w w:val="99"/>
        </w:rPr>
        <w:t> </w:t>
      </w:r>
      <w:r>
        <w:rPr>
          <w:color w:val="231F20"/>
        </w:rPr>
        <w:t>and</w:t>
      </w:r>
      <w:r>
        <w:rPr>
          <w:color w:val="231F20"/>
          <w:spacing w:val="-5"/>
        </w:rPr>
        <w:t> Torres</w:t>
      </w:r>
      <w:r>
        <w:rPr>
          <w:color w:val="231F20"/>
          <w:spacing w:val="-3"/>
        </w:rPr>
        <w:t> </w:t>
      </w:r>
      <w:r>
        <w:rPr>
          <w:color w:val="231F20"/>
          <w:spacing w:val="-2"/>
        </w:rPr>
        <w:t>Strait</w:t>
      </w:r>
      <w:r>
        <w:rPr>
          <w:color w:val="231F20"/>
          <w:spacing w:val="-5"/>
        </w:rPr>
        <w:t> </w:t>
      </w:r>
      <w:r>
        <w:rPr>
          <w:color w:val="231F20"/>
          <w:spacing w:val="-1"/>
        </w:rPr>
        <w:t>Islander</w:t>
      </w:r>
      <w:r>
        <w:rPr>
          <w:color w:val="231F20"/>
          <w:spacing w:val="-3"/>
        </w:rPr>
        <w:t> </w:t>
      </w:r>
      <w:r>
        <w:rPr>
          <w:color w:val="231F20"/>
          <w:spacing w:val="-1"/>
        </w:rPr>
        <w:t>students</w:t>
      </w:r>
      <w:r>
        <w:rPr>
          <w:color w:val="231F20"/>
          <w:spacing w:val="-4"/>
        </w:rPr>
        <w:t> </w:t>
      </w:r>
      <w:r>
        <w:rPr>
          <w:color w:val="231F20"/>
        </w:rPr>
        <w:t>and</w:t>
      </w:r>
      <w:r>
        <w:rPr>
          <w:color w:val="231F20"/>
          <w:spacing w:val="-4"/>
        </w:rPr>
        <w:t> </w:t>
      </w:r>
      <w:r>
        <w:rPr>
          <w:color w:val="231F20"/>
        </w:rPr>
        <w:t>with</w:t>
      </w:r>
      <w:r>
        <w:rPr>
          <w:color w:val="231F20"/>
          <w:spacing w:val="23"/>
          <w:w w:val="99"/>
        </w:rPr>
        <w:t> </w:t>
      </w:r>
      <w:r>
        <w:rPr>
          <w:color w:val="231F20"/>
          <w:spacing w:val="-1"/>
        </w:rPr>
        <w:t>larger</w:t>
      </w:r>
      <w:r>
        <w:rPr>
          <w:color w:val="231F20"/>
          <w:spacing w:val="-5"/>
        </w:rPr>
        <w:t> </w:t>
      </w:r>
      <w:r>
        <w:rPr>
          <w:color w:val="231F20"/>
        </w:rPr>
        <w:t>proportions</w:t>
      </w:r>
      <w:r>
        <w:rPr>
          <w:color w:val="231F20"/>
          <w:spacing w:val="-5"/>
        </w:rPr>
        <w:t> </w:t>
      </w:r>
      <w:r>
        <w:rPr>
          <w:color w:val="231F20"/>
        </w:rPr>
        <w:t>of</w:t>
      </w:r>
      <w:r>
        <w:rPr>
          <w:color w:val="231F20"/>
          <w:spacing w:val="-4"/>
        </w:rPr>
        <w:t> </w:t>
      </w:r>
      <w:r>
        <w:rPr>
          <w:color w:val="231F20"/>
          <w:spacing w:val="-1"/>
        </w:rPr>
        <w:t>students</w:t>
      </w:r>
      <w:r>
        <w:rPr>
          <w:color w:val="231F20"/>
          <w:spacing w:val="-4"/>
        </w:rPr>
        <w:t> </w:t>
      </w:r>
      <w:r>
        <w:rPr>
          <w:color w:val="231F20"/>
        </w:rPr>
        <w:t>from</w:t>
      </w:r>
      <w:r>
        <w:rPr>
          <w:color w:val="231F20"/>
          <w:spacing w:val="-4"/>
        </w:rPr>
        <w:t> </w:t>
      </w:r>
      <w:r>
        <w:rPr>
          <w:color w:val="231F20"/>
          <w:spacing w:val="-1"/>
        </w:rPr>
        <w:t>low</w:t>
      </w:r>
      <w:r>
        <w:rPr>
          <w:color w:val="231F20"/>
          <w:spacing w:val="-4"/>
        </w:rPr>
        <w:t> </w:t>
      </w:r>
      <w:r>
        <w:rPr>
          <w:color w:val="231F20"/>
          <w:spacing w:val="-1"/>
        </w:rPr>
        <w:t>socio-</w:t>
      </w:r>
      <w:r>
        <w:rPr>
          <w:color w:val="231F20"/>
          <w:spacing w:val="23"/>
        </w:rPr>
        <w:t> </w:t>
      </w:r>
      <w:r>
        <w:rPr>
          <w:color w:val="231F20"/>
        </w:rPr>
        <w:t>economic</w:t>
      </w:r>
      <w:r>
        <w:rPr>
          <w:color w:val="231F20"/>
          <w:spacing w:val="-7"/>
        </w:rPr>
        <w:t> </w:t>
      </w:r>
      <w:r>
        <w:rPr>
          <w:color w:val="231F20"/>
        </w:rPr>
        <w:t>backgrounds</w:t>
      </w:r>
      <w:r>
        <w:rPr>
          <w:color w:val="231F20"/>
          <w:spacing w:val="-7"/>
        </w:rPr>
        <w:t> </w:t>
      </w:r>
      <w:r>
        <w:rPr>
          <w:color w:val="231F20"/>
        </w:rPr>
        <w:t>have</w:t>
      </w:r>
      <w:r>
        <w:rPr>
          <w:color w:val="231F20"/>
          <w:spacing w:val="-7"/>
        </w:rPr>
        <w:t> </w:t>
      </w:r>
      <w:r>
        <w:rPr>
          <w:color w:val="231F20"/>
        </w:rPr>
        <w:t>a</w:t>
      </w:r>
      <w:r>
        <w:rPr>
          <w:color w:val="231F20"/>
          <w:spacing w:val="-6"/>
        </w:rPr>
        <w:t> </w:t>
      </w:r>
      <w:r>
        <w:rPr>
          <w:color w:val="231F20"/>
        </w:rPr>
        <w:t>higher</w:t>
      </w:r>
      <w:r>
        <w:rPr>
          <w:color w:val="231F20"/>
          <w:spacing w:val="-6"/>
        </w:rPr>
        <w:t> </w:t>
      </w:r>
      <w:r>
        <w:rPr>
          <w:color w:val="231F20"/>
          <w:spacing w:val="-1"/>
        </w:rPr>
        <w:t>loading</w:t>
      </w:r>
      <w:r>
        <w:rPr>
          <w:color w:val="231F20"/>
          <w:spacing w:val="20"/>
          <w:w w:val="99"/>
        </w:rPr>
        <w:t> </w:t>
      </w:r>
      <w:r>
        <w:rPr>
          <w:color w:val="231F20"/>
        </w:rPr>
        <w:t>applied</w:t>
      </w:r>
      <w:r>
        <w:rPr>
          <w:color w:val="231F20"/>
          <w:spacing w:val="-6"/>
        </w:rPr>
        <w:t> </w:t>
      </w:r>
      <w:r>
        <w:rPr>
          <w:color w:val="231F20"/>
        </w:rPr>
        <w:t>to</w:t>
      </w:r>
      <w:r>
        <w:rPr>
          <w:color w:val="231F20"/>
          <w:spacing w:val="-5"/>
        </w:rPr>
        <w:t> </w:t>
      </w:r>
      <w:r>
        <w:rPr>
          <w:color w:val="231F20"/>
        </w:rPr>
        <w:t>their</w:t>
      </w:r>
      <w:r>
        <w:rPr>
          <w:color w:val="231F20"/>
          <w:spacing w:val="-6"/>
        </w:rPr>
        <w:t> </w:t>
      </w:r>
      <w:r>
        <w:rPr>
          <w:color w:val="231F20"/>
        </w:rPr>
        <w:t>education</w:t>
      </w:r>
      <w:r>
        <w:rPr>
          <w:color w:val="231F20"/>
          <w:spacing w:val="-5"/>
        </w:rPr>
        <w:t> </w:t>
      </w:r>
      <w:r>
        <w:rPr>
          <w:color w:val="231F20"/>
          <w:spacing w:val="-1"/>
        </w:rPr>
        <w:t>funding’</w:t>
      </w:r>
      <w:r>
        <w:rPr>
          <w:rFonts w:ascii="Segoe UI Semibold" w:hAnsi="Segoe UI Semibold" w:cs="Segoe UI Semibold" w:eastAsia="Segoe UI Semibold"/>
          <w:b/>
          <w:bCs/>
          <w:color w:val="231F20"/>
          <w:spacing w:val="-1"/>
          <w:position w:val="7"/>
          <w:sz w:val="11"/>
          <w:szCs w:val="11"/>
        </w:rPr>
        <w:t>142</w:t>
      </w:r>
      <w:r>
        <w:rPr>
          <w:color w:val="231F20"/>
          <w:spacing w:val="-1"/>
        </w:rPr>
        <w:t>.</w:t>
      </w:r>
      <w:r>
        <w:rPr>
          <w:color w:val="231F20"/>
          <w:spacing w:val="-5"/>
        </w:rPr>
        <w:t> </w:t>
      </w:r>
      <w:r>
        <w:rPr>
          <w:color w:val="231F20"/>
        </w:rPr>
        <w:t>More</w:t>
      </w:r>
      <w:r>
        <w:rPr>
          <w:color w:val="231F20"/>
          <w:spacing w:val="29"/>
          <w:w w:val="99"/>
        </w:rPr>
        <w:t> </w:t>
      </w:r>
      <w:r>
        <w:rPr>
          <w:color w:val="231F20"/>
          <w:spacing w:val="-1"/>
        </w:rPr>
        <w:t>information</w:t>
      </w:r>
      <w:r>
        <w:rPr>
          <w:color w:val="231F20"/>
          <w:spacing w:val="-8"/>
        </w:rPr>
        <w:t> </w:t>
      </w:r>
      <w:r>
        <w:rPr>
          <w:color w:val="231F20"/>
        </w:rPr>
        <w:t>on</w:t>
      </w:r>
      <w:r>
        <w:rPr>
          <w:color w:val="231F20"/>
          <w:spacing w:val="-8"/>
        </w:rPr>
        <w:t> </w:t>
      </w:r>
      <w:r>
        <w:rPr>
          <w:color w:val="231F20"/>
        </w:rPr>
        <w:t>the</w:t>
      </w:r>
      <w:r>
        <w:rPr>
          <w:color w:val="231F20"/>
          <w:spacing w:val="-8"/>
        </w:rPr>
        <w:t> </w:t>
      </w:r>
      <w:r>
        <w:rPr>
          <w:color w:val="231F20"/>
        </w:rPr>
        <w:t>recurrent</w:t>
      </w:r>
      <w:r>
        <w:rPr>
          <w:color w:val="231F20"/>
          <w:spacing w:val="-9"/>
        </w:rPr>
        <w:t> </w:t>
      </w:r>
      <w:r>
        <w:rPr>
          <w:color w:val="231F20"/>
        </w:rPr>
        <w:t>funding</w:t>
      </w:r>
      <w:r>
        <w:rPr>
          <w:color w:val="231F20"/>
          <w:spacing w:val="-8"/>
        </w:rPr>
        <w:t> </w:t>
      </w:r>
      <w:r>
        <w:rPr>
          <w:color w:val="231F20"/>
          <w:spacing w:val="-1"/>
        </w:rPr>
        <w:t>structure</w:t>
      </w:r>
      <w:r>
        <w:rPr>
          <w:color w:val="231F20"/>
          <w:spacing w:val="21"/>
          <w:w w:val="99"/>
        </w:rPr>
        <w:t> </w:t>
      </w:r>
      <w:r>
        <w:rPr>
          <w:color w:val="231F20"/>
          <w:spacing w:val="-1"/>
        </w:rPr>
        <w:t>is</w:t>
      </w:r>
      <w:r>
        <w:rPr>
          <w:color w:val="231F20"/>
          <w:spacing w:val="-5"/>
        </w:rPr>
        <w:t> </w:t>
      </w:r>
      <w:r>
        <w:rPr>
          <w:color w:val="231F20"/>
        </w:rPr>
        <w:t>provided</w:t>
      </w:r>
      <w:r>
        <w:rPr>
          <w:color w:val="231F20"/>
          <w:spacing w:val="-4"/>
        </w:rPr>
        <w:t> </w:t>
      </w:r>
      <w:r>
        <w:rPr>
          <w:color w:val="231F20"/>
          <w:spacing w:val="-1"/>
        </w:rPr>
        <w:t>in</w:t>
      </w:r>
      <w:r>
        <w:rPr>
          <w:color w:val="231F20"/>
          <w:spacing w:val="-3"/>
        </w:rPr>
        <w:t> </w:t>
      </w:r>
      <w:r>
        <w:rPr>
          <w:color w:val="231F20"/>
          <w:spacing w:val="-2"/>
        </w:rPr>
        <w:t>Part</w:t>
      </w:r>
      <w:r>
        <w:rPr>
          <w:color w:val="231F20"/>
          <w:spacing w:val="-4"/>
        </w:rPr>
        <w:t> </w:t>
      </w:r>
      <w:r>
        <w:rPr>
          <w:color w:val="231F20"/>
          <w:spacing w:val="-1"/>
        </w:rPr>
        <w:t>11.</w:t>
      </w:r>
      <w:r>
        <w:rPr/>
      </w:r>
    </w:p>
    <w:p>
      <w:pPr>
        <w:pStyle w:val="BodyText"/>
        <w:spacing w:line="250" w:lineRule="exact" w:before="113"/>
        <w:ind w:left="100" w:right="438"/>
        <w:jc w:val="left"/>
      </w:pPr>
      <w:r>
        <w:rPr>
          <w:color w:val="231F20"/>
          <w:spacing w:val="-1"/>
        </w:rPr>
        <w:t>In</w:t>
      </w:r>
      <w:r>
        <w:rPr>
          <w:color w:val="231F20"/>
          <w:spacing w:val="-3"/>
        </w:rPr>
        <w:t> </w:t>
      </w:r>
      <w:r>
        <w:rPr>
          <w:color w:val="231F20"/>
        </w:rPr>
        <w:t>contrast,</w:t>
      </w:r>
      <w:r>
        <w:rPr>
          <w:color w:val="231F20"/>
          <w:spacing w:val="-4"/>
        </w:rPr>
        <w:t> </w:t>
      </w:r>
      <w:r>
        <w:rPr>
          <w:color w:val="231F20"/>
          <w:spacing w:val="-1"/>
        </w:rPr>
        <w:t>CAEPR</w:t>
      </w:r>
      <w:r>
        <w:rPr>
          <w:color w:val="231F20"/>
          <w:spacing w:val="-3"/>
        </w:rPr>
        <w:t> </w:t>
      </w:r>
      <w:r>
        <w:rPr>
          <w:color w:val="231F20"/>
        </w:rPr>
        <w:t>noted</w:t>
      </w:r>
      <w:r>
        <w:rPr>
          <w:color w:val="231F20"/>
          <w:spacing w:val="-3"/>
        </w:rPr>
        <w:t> </w:t>
      </w:r>
      <w:r>
        <w:rPr>
          <w:color w:val="231F20"/>
        </w:rPr>
        <w:t>that</w:t>
      </w:r>
      <w:r>
        <w:rPr>
          <w:color w:val="231F20"/>
          <w:spacing w:val="-4"/>
        </w:rPr>
        <w:t> </w:t>
      </w:r>
      <w:r>
        <w:rPr>
          <w:color w:val="231F20"/>
        </w:rPr>
        <w:t>ABSTUDY</w:t>
      </w:r>
      <w:r>
        <w:rPr>
          <w:color w:val="231F20"/>
          <w:spacing w:val="-4"/>
        </w:rPr>
        <w:t> </w:t>
      </w:r>
      <w:r>
        <w:rPr>
          <w:color w:val="231F20"/>
          <w:spacing w:val="-1"/>
        </w:rPr>
        <w:t>is</w:t>
      </w:r>
      <w:r>
        <w:rPr>
          <w:color w:val="231F20"/>
          <w:spacing w:val="22"/>
        </w:rPr>
        <w:t> </w:t>
      </w:r>
      <w:r>
        <w:rPr>
          <w:color w:val="231F20"/>
        </w:rPr>
        <w:t>a</w:t>
      </w:r>
      <w:r>
        <w:rPr>
          <w:color w:val="231F20"/>
          <w:spacing w:val="-5"/>
        </w:rPr>
        <w:t> </w:t>
      </w:r>
      <w:r>
        <w:rPr>
          <w:color w:val="231F20"/>
        </w:rPr>
        <w:t>welfare</w:t>
      </w:r>
      <w:r>
        <w:rPr>
          <w:color w:val="231F20"/>
          <w:spacing w:val="-6"/>
        </w:rPr>
        <w:t> </w:t>
      </w:r>
      <w:r>
        <w:rPr>
          <w:color w:val="231F20"/>
          <w:spacing w:val="-1"/>
        </w:rPr>
        <w:t>measure</w:t>
      </w:r>
      <w:r>
        <w:rPr>
          <w:color w:val="231F20"/>
          <w:spacing w:val="-5"/>
        </w:rPr>
        <w:t> </w:t>
      </w:r>
      <w:r>
        <w:rPr>
          <w:color w:val="231F20"/>
        </w:rPr>
        <w:t>to</w:t>
      </w:r>
      <w:r>
        <w:rPr>
          <w:color w:val="231F20"/>
          <w:spacing w:val="-5"/>
        </w:rPr>
        <w:t> </w:t>
      </w:r>
      <w:r>
        <w:rPr>
          <w:color w:val="231F20"/>
        </w:rPr>
        <w:t>assist</w:t>
      </w:r>
      <w:r>
        <w:rPr>
          <w:color w:val="231F20"/>
          <w:spacing w:val="-6"/>
        </w:rPr>
        <w:t> </w:t>
      </w:r>
      <w:r>
        <w:rPr>
          <w:color w:val="231F20"/>
        </w:rPr>
        <w:t>Aboriginal</w:t>
      </w:r>
      <w:r>
        <w:rPr>
          <w:color w:val="231F20"/>
          <w:spacing w:val="-5"/>
        </w:rPr>
        <w:t> </w:t>
      </w:r>
      <w:r>
        <w:rPr>
          <w:color w:val="231F20"/>
        </w:rPr>
        <w:t>and</w:t>
      </w:r>
      <w:r>
        <w:rPr/>
      </w:r>
    </w:p>
    <w:p>
      <w:pPr>
        <w:pStyle w:val="BodyText"/>
        <w:spacing w:line="250" w:lineRule="exact"/>
        <w:ind w:left="100" w:right="114"/>
        <w:jc w:val="left"/>
      </w:pPr>
      <w:r>
        <w:rPr>
          <w:color w:val="231F20"/>
          <w:spacing w:val="-5"/>
        </w:rPr>
        <w:t>Torres</w:t>
      </w:r>
      <w:r>
        <w:rPr>
          <w:color w:val="231F20"/>
          <w:spacing w:val="-6"/>
        </w:rPr>
        <w:t> </w:t>
      </w:r>
      <w:r>
        <w:rPr>
          <w:color w:val="231F20"/>
          <w:spacing w:val="-2"/>
        </w:rPr>
        <w:t>Strait</w:t>
      </w:r>
      <w:r>
        <w:rPr>
          <w:color w:val="231F20"/>
          <w:spacing w:val="-6"/>
        </w:rPr>
        <w:t> </w:t>
      </w:r>
      <w:r>
        <w:rPr>
          <w:color w:val="231F20"/>
          <w:spacing w:val="-1"/>
        </w:rPr>
        <w:t>Islander</w:t>
      </w:r>
      <w:r>
        <w:rPr>
          <w:color w:val="231F20"/>
          <w:spacing w:val="-5"/>
        </w:rPr>
        <w:t> </w:t>
      </w:r>
      <w:r>
        <w:rPr>
          <w:color w:val="231F20"/>
        </w:rPr>
        <w:t>people</w:t>
      </w:r>
      <w:r>
        <w:rPr>
          <w:color w:val="231F20"/>
          <w:spacing w:val="-6"/>
        </w:rPr>
        <w:t> </w:t>
      </w:r>
      <w:r>
        <w:rPr>
          <w:color w:val="231F20"/>
        </w:rPr>
        <w:t>to</w:t>
      </w:r>
      <w:r>
        <w:rPr>
          <w:color w:val="231F20"/>
          <w:spacing w:val="-5"/>
        </w:rPr>
        <w:t> </w:t>
      </w:r>
      <w:r>
        <w:rPr>
          <w:color w:val="231F20"/>
        </w:rPr>
        <w:t>take</w:t>
      </w:r>
      <w:r>
        <w:rPr>
          <w:color w:val="231F20"/>
          <w:spacing w:val="-6"/>
        </w:rPr>
        <w:t> </w:t>
      </w:r>
      <w:r>
        <w:rPr>
          <w:color w:val="231F20"/>
        </w:rPr>
        <w:t>advantage</w:t>
      </w:r>
      <w:r>
        <w:rPr>
          <w:color w:val="231F20"/>
          <w:spacing w:val="21"/>
          <w:w w:val="99"/>
        </w:rPr>
        <w:t> </w:t>
      </w:r>
      <w:r>
        <w:rPr>
          <w:color w:val="231F20"/>
        </w:rPr>
        <w:t>of</w:t>
      </w:r>
      <w:r>
        <w:rPr>
          <w:color w:val="231F20"/>
          <w:spacing w:val="-11"/>
        </w:rPr>
        <w:t> </w:t>
      </w:r>
      <w:r>
        <w:rPr>
          <w:color w:val="231F20"/>
        </w:rPr>
        <w:t>educational</w:t>
      </w:r>
      <w:r>
        <w:rPr>
          <w:color w:val="231F20"/>
          <w:spacing w:val="-12"/>
        </w:rPr>
        <w:t> </w:t>
      </w:r>
      <w:r>
        <w:rPr>
          <w:color w:val="231F20"/>
        </w:rPr>
        <w:t>opportunities,</w:t>
      </w:r>
      <w:r>
        <w:rPr>
          <w:color w:val="231F20"/>
          <w:spacing w:val="-12"/>
        </w:rPr>
        <w:t> </w:t>
      </w:r>
      <w:r>
        <w:rPr>
          <w:color w:val="231F20"/>
          <w:spacing w:val="-1"/>
        </w:rPr>
        <w:t>including</w:t>
      </w:r>
      <w:r>
        <w:rPr>
          <w:color w:val="231F20"/>
          <w:spacing w:val="20"/>
          <w:w w:val="99"/>
        </w:rPr>
        <w:t> </w:t>
      </w:r>
      <w:r>
        <w:rPr>
          <w:color w:val="231F20"/>
          <w:spacing w:val="-1"/>
        </w:rPr>
        <w:t>secondary</w:t>
      </w:r>
      <w:r>
        <w:rPr>
          <w:color w:val="231F20"/>
          <w:spacing w:val="-6"/>
        </w:rPr>
        <w:t> </w:t>
      </w:r>
      <w:r>
        <w:rPr>
          <w:color w:val="231F20"/>
        </w:rPr>
        <w:t>boarding</w:t>
      </w:r>
      <w:r>
        <w:rPr>
          <w:color w:val="231F20"/>
          <w:spacing w:val="-8"/>
        </w:rPr>
        <w:t> </w:t>
      </w:r>
      <w:r>
        <w:rPr>
          <w:color w:val="231F20"/>
        </w:rPr>
        <w:t>through</w:t>
      </w:r>
      <w:r>
        <w:rPr>
          <w:color w:val="231F20"/>
          <w:spacing w:val="-8"/>
        </w:rPr>
        <w:t> </w:t>
      </w:r>
      <w:r>
        <w:rPr>
          <w:color w:val="231F20"/>
        </w:rPr>
        <w:t>the</w:t>
      </w:r>
      <w:r>
        <w:rPr>
          <w:color w:val="231F20"/>
          <w:spacing w:val="-7"/>
        </w:rPr>
        <w:t> </w:t>
      </w:r>
      <w:r>
        <w:rPr>
          <w:color w:val="231F20"/>
        </w:rPr>
        <w:t>ABSTUDY</w:t>
      </w:r>
      <w:r>
        <w:rPr>
          <w:color w:val="231F20"/>
          <w:spacing w:val="22"/>
        </w:rPr>
        <w:t> </w:t>
      </w:r>
      <w:r>
        <w:rPr>
          <w:color w:val="231F20"/>
        </w:rPr>
        <w:t>Living</w:t>
      </w:r>
      <w:r>
        <w:rPr>
          <w:color w:val="231F20"/>
          <w:spacing w:val="-9"/>
        </w:rPr>
        <w:t> </w:t>
      </w:r>
      <w:r>
        <w:rPr>
          <w:color w:val="231F20"/>
        </w:rPr>
        <w:t>Allowance.</w:t>
      </w:r>
      <w:r>
        <w:rPr>
          <w:color w:val="231F20"/>
          <w:spacing w:val="-7"/>
        </w:rPr>
        <w:t> </w:t>
      </w:r>
      <w:r>
        <w:rPr>
          <w:color w:val="231F20"/>
        </w:rPr>
        <w:t>ABSTUDY</w:t>
      </w:r>
      <w:r>
        <w:rPr>
          <w:color w:val="231F20"/>
          <w:spacing w:val="-8"/>
        </w:rPr>
        <w:t> </w:t>
      </w:r>
      <w:r>
        <w:rPr>
          <w:color w:val="231F20"/>
        </w:rPr>
        <w:t>Living</w:t>
      </w:r>
      <w:r>
        <w:rPr>
          <w:color w:val="231F20"/>
          <w:spacing w:val="-8"/>
        </w:rPr>
        <w:t> </w:t>
      </w:r>
      <w:r>
        <w:rPr>
          <w:color w:val="231F20"/>
        </w:rPr>
        <w:t>Allowance</w:t>
      </w:r>
      <w:r>
        <w:rPr>
          <w:color w:val="231F20"/>
          <w:w w:val="99"/>
        </w:rPr>
        <w:t> </w:t>
      </w:r>
      <w:r>
        <w:rPr>
          <w:color w:val="231F20"/>
          <w:w w:val="99"/>
        </w:rPr>
        <w:t> </w:t>
      </w:r>
      <w:r>
        <w:rPr>
          <w:color w:val="231F20"/>
          <w:spacing w:val="-1"/>
        </w:rPr>
        <w:t>is</w:t>
      </w:r>
      <w:r>
        <w:rPr>
          <w:color w:val="231F20"/>
          <w:spacing w:val="-4"/>
        </w:rPr>
        <w:t> </w:t>
      </w:r>
      <w:r>
        <w:rPr>
          <w:color w:val="231F20"/>
          <w:spacing w:val="-1"/>
        </w:rPr>
        <w:t>means</w:t>
      </w:r>
      <w:r>
        <w:rPr>
          <w:color w:val="231F20"/>
          <w:spacing w:val="-3"/>
        </w:rPr>
        <w:t> </w:t>
      </w:r>
      <w:r>
        <w:rPr>
          <w:color w:val="231F20"/>
        </w:rPr>
        <w:t>tested</w:t>
      </w:r>
      <w:r>
        <w:rPr>
          <w:color w:val="231F20"/>
          <w:spacing w:val="-3"/>
        </w:rPr>
        <w:t> </w:t>
      </w:r>
      <w:r>
        <w:rPr>
          <w:color w:val="231F20"/>
        </w:rPr>
        <w:t>and</w:t>
      </w:r>
      <w:r>
        <w:rPr>
          <w:color w:val="231F20"/>
          <w:spacing w:val="-4"/>
        </w:rPr>
        <w:t> </w:t>
      </w:r>
      <w:r>
        <w:rPr>
          <w:color w:val="231F20"/>
        </w:rPr>
        <w:t>reduces</w:t>
      </w:r>
      <w:r>
        <w:rPr>
          <w:color w:val="231F20"/>
          <w:spacing w:val="-4"/>
        </w:rPr>
        <w:t> </w:t>
      </w:r>
      <w:r>
        <w:rPr>
          <w:color w:val="231F20"/>
        </w:rPr>
        <w:t>as</w:t>
      </w:r>
      <w:r>
        <w:rPr>
          <w:color w:val="231F20"/>
          <w:spacing w:val="-3"/>
        </w:rPr>
        <w:t> </w:t>
      </w:r>
      <w:r>
        <w:rPr>
          <w:color w:val="231F20"/>
        </w:rPr>
        <w:t>the</w:t>
      </w:r>
      <w:r>
        <w:rPr>
          <w:color w:val="231F20"/>
          <w:spacing w:val="-4"/>
        </w:rPr>
        <w:t> </w:t>
      </w:r>
      <w:r>
        <w:rPr>
          <w:color w:val="231F20"/>
          <w:spacing w:val="-1"/>
        </w:rPr>
        <w:t>income</w:t>
      </w:r>
      <w:r>
        <w:rPr/>
      </w:r>
    </w:p>
    <w:p>
      <w:pPr>
        <w:pStyle w:val="BodyText"/>
        <w:spacing w:line="250" w:lineRule="exact"/>
        <w:ind w:left="100" w:right="0"/>
        <w:jc w:val="left"/>
      </w:pPr>
      <w:r>
        <w:rPr>
          <w:color w:val="231F20"/>
        </w:rPr>
        <w:t>of</w:t>
      </w:r>
      <w:r>
        <w:rPr>
          <w:color w:val="231F20"/>
          <w:spacing w:val="-4"/>
        </w:rPr>
        <w:t> </w:t>
      </w:r>
      <w:r>
        <w:rPr>
          <w:color w:val="231F20"/>
        </w:rPr>
        <w:t>parents</w:t>
      </w:r>
      <w:r>
        <w:rPr>
          <w:color w:val="231F20"/>
          <w:spacing w:val="-4"/>
        </w:rPr>
        <w:t> </w:t>
      </w:r>
      <w:r>
        <w:rPr>
          <w:color w:val="231F20"/>
        </w:rPr>
        <w:t>or</w:t>
      </w:r>
      <w:r>
        <w:rPr>
          <w:color w:val="231F20"/>
          <w:spacing w:val="-3"/>
        </w:rPr>
        <w:t> </w:t>
      </w:r>
      <w:r>
        <w:rPr>
          <w:color w:val="231F20"/>
        </w:rPr>
        <w:t>carers</w:t>
      </w:r>
      <w:r>
        <w:rPr>
          <w:color w:val="231F20"/>
          <w:spacing w:val="-4"/>
        </w:rPr>
        <w:t> </w:t>
      </w:r>
      <w:r>
        <w:rPr>
          <w:color w:val="231F20"/>
          <w:spacing w:val="-1"/>
        </w:rPr>
        <w:t>increases</w:t>
      </w:r>
      <w:r>
        <w:rPr>
          <w:rFonts w:ascii="Segoe UI Semibold"/>
          <w:b/>
          <w:color w:val="231F20"/>
          <w:spacing w:val="-1"/>
          <w:position w:val="7"/>
          <w:sz w:val="11"/>
        </w:rPr>
        <w:t>143</w:t>
      </w:r>
      <w:r>
        <w:rPr>
          <w:color w:val="231F20"/>
          <w:spacing w:val="-1"/>
        </w:rPr>
        <w:t>.</w:t>
      </w:r>
      <w:r>
        <w:rPr>
          <w:color w:val="231F20"/>
          <w:spacing w:val="-3"/>
        </w:rPr>
        <w:t> </w:t>
      </w:r>
      <w:r>
        <w:rPr>
          <w:color w:val="231F20"/>
        </w:rPr>
        <w:t>As</w:t>
      </w:r>
      <w:r>
        <w:rPr>
          <w:color w:val="231F20"/>
          <w:spacing w:val="-5"/>
        </w:rPr>
        <w:t> </w:t>
      </w:r>
      <w:r>
        <w:rPr>
          <w:color w:val="231F20"/>
        </w:rPr>
        <w:t>noted</w:t>
      </w:r>
      <w:r>
        <w:rPr>
          <w:color w:val="231F20"/>
          <w:spacing w:val="23"/>
          <w:w w:val="99"/>
        </w:rPr>
        <w:t> </w:t>
      </w:r>
      <w:r>
        <w:rPr>
          <w:color w:val="231F20"/>
        </w:rPr>
        <w:t>previously,</w:t>
      </w:r>
      <w:r>
        <w:rPr>
          <w:color w:val="231F20"/>
          <w:spacing w:val="-6"/>
        </w:rPr>
        <w:t> </w:t>
      </w:r>
      <w:r>
        <w:rPr>
          <w:color w:val="231F20"/>
        </w:rPr>
        <w:t>ABSTUDY</w:t>
      </w:r>
      <w:r>
        <w:rPr>
          <w:color w:val="231F20"/>
          <w:spacing w:val="-6"/>
        </w:rPr>
        <w:t> </w:t>
      </w:r>
      <w:r>
        <w:rPr>
          <w:color w:val="231F20"/>
          <w:spacing w:val="-1"/>
        </w:rPr>
        <w:t>is</w:t>
      </w:r>
      <w:r>
        <w:rPr>
          <w:color w:val="231F20"/>
          <w:spacing w:val="-6"/>
        </w:rPr>
        <w:t> </w:t>
      </w:r>
      <w:r>
        <w:rPr>
          <w:color w:val="231F20"/>
        </w:rPr>
        <w:t>not</w:t>
      </w:r>
      <w:r>
        <w:rPr>
          <w:color w:val="231F20"/>
          <w:spacing w:val="-4"/>
        </w:rPr>
        <w:t> </w:t>
      </w:r>
      <w:r>
        <w:rPr>
          <w:color w:val="231F20"/>
        </w:rPr>
        <w:t>direct</w:t>
      </w:r>
      <w:r>
        <w:rPr>
          <w:color w:val="231F20"/>
          <w:spacing w:val="-6"/>
        </w:rPr>
        <w:t> </w:t>
      </w:r>
      <w:r>
        <w:rPr>
          <w:color w:val="231F20"/>
        </w:rPr>
        <w:t>funding</w:t>
      </w:r>
      <w:r>
        <w:rPr>
          <w:color w:val="231F20"/>
          <w:spacing w:val="-5"/>
        </w:rPr>
        <w:t> </w:t>
      </w:r>
      <w:r>
        <w:rPr>
          <w:color w:val="231F20"/>
        </w:rPr>
        <w:t>from</w:t>
      </w:r>
      <w:r>
        <w:rPr>
          <w:color w:val="231F20"/>
          <w:spacing w:val="21"/>
          <w:w w:val="99"/>
        </w:rPr>
        <w:t> </w:t>
      </w:r>
      <w:r>
        <w:rPr>
          <w:color w:val="231F20"/>
        </w:rPr>
        <w:t>the</w:t>
      </w:r>
      <w:r>
        <w:rPr>
          <w:color w:val="231F20"/>
          <w:spacing w:val="-9"/>
        </w:rPr>
        <w:t> </w:t>
      </w:r>
      <w:r>
        <w:rPr>
          <w:color w:val="231F20"/>
          <w:spacing w:val="-1"/>
        </w:rPr>
        <w:t>Commonwealth</w:t>
      </w:r>
      <w:r>
        <w:rPr>
          <w:color w:val="231F20"/>
          <w:spacing w:val="-7"/>
        </w:rPr>
        <w:t> </w:t>
      </w:r>
      <w:r>
        <w:rPr>
          <w:color w:val="231F20"/>
        </w:rPr>
        <w:t>to</w:t>
      </w:r>
      <w:r>
        <w:rPr>
          <w:color w:val="231F20"/>
          <w:spacing w:val="-7"/>
        </w:rPr>
        <w:t> </w:t>
      </w:r>
      <w:r>
        <w:rPr>
          <w:color w:val="231F20"/>
        </w:rPr>
        <w:t>a</w:t>
      </w:r>
      <w:r>
        <w:rPr>
          <w:color w:val="231F20"/>
          <w:spacing w:val="-7"/>
        </w:rPr>
        <w:t> </w:t>
      </w:r>
      <w:r>
        <w:rPr>
          <w:color w:val="231F20"/>
        </w:rPr>
        <w:t>boarding</w:t>
      </w:r>
      <w:r>
        <w:rPr>
          <w:color w:val="231F20"/>
          <w:spacing w:val="-8"/>
        </w:rPr>
        <w:t> </w:t>
      </w:r>
      <w:r>
        <w:rPr>
          <w:color w:val="231F20"/>
        </w:rPr>
        <w:t>provider.</w:t>
      </w:r>
      <w:r>
        <w:rPr/>
      </w:r>
    </w:p>
    <w:p>
      <w:pPr>
        <w:pStyle w:val="BodyText"/>
        <w:spacing w:line="250" w:lineRule="exact"/>
        <w:ind w:left="100" w:right="85"/>
        <w:jc w:val="left"/>
      </w:pPr>
      <w:r>
        <w:rPr>
          <w:color w:val="231F20"/>
          <w:spacing w:val="-1"/>
        </w:rPr>
        <w:t>It</w:t>
      </w:r>
      <w:r>
        <w:rPr>
          <w:color w:val="231F20"/>
          <w:spacing w:val="-4"/>
        </w:rPr>
        <w:t> </w:t>
      </w:r>
      <w:r>
        <w:rPr>
          <w:color w:val="231F20"/>
          <w:spacing w:val="-1"/>
        </w:rPr>
        <w:t>is</w:t>
      </w:r>
      <w:r>
        <w:rPr>
          <w:color w:val="231F20"/>
          <w:spacing w:val="-5"/>
        </w:rPr>
        <w:t> </w:t>
      </w:r>
      <w:r>
        <w:rPr>
          <w:color w:val="231F20"/>
        </w:rPr>
        <w:t>an</w:t>
      </w:r>
      <w:r>
        <w:rPr>
          <w:color w:val="231F20"/>
          <w:spacing w:val="-5"/>
        </w:rPr>
        <w:t> </w:t>
      </w:r>
      <w:r>
        <w:rPr>
          <w:color w:val="231F20"/>
          <w:spacing w:val="-1"/>
        </w:rPr>
        <w:t>individual</w:t>
      </w:r>
      <w:r>
        <w:rPr>
          <w:color w:val="231F20"/>
          <w:spacing w:val="-3"/>
        </w:rPr>
        <w:t> </w:t>
      </w:r>
      <w:r>
        <w:rPr>
          <w:color w:val="231F20"/>
          <w:spacing w:val="-1"/>
        </w:rPr>
        <w:t>student</w:t>
      </w:r>
      <w:r>
        <w:rPr>
          <w:color w:val="231F20"/>
          <w:spacing w:val="-4"/>
        </w:rPr>
        <w:t> </w:t>
      </w:r>
      <w:r>
        <w:rPr>
          <w:color w:val="231F20"/>
        </w:rPr>
        <w:t>entitlement</w:t>
      </w:r>
      <w:r>
        <w:rPr>
          <w:color w:val="231F20"/>
          <w:spacing w:val="-5"/>
        </w:rPr>
        <w:t> </w:t>
      </w:r>
      <w:r>
        <w:rPr>
          <w:color w:val="231F20"/>
        </w:rPr>
        <w:t>to</w:t>
      </w:r>
      <w:r>
        <w:rPr>
          <w:color w:val="231F20"/>
          <w:spacing w:val="-3"/>
        </w:rPr>
        <w:t> </w:t>
      </w:r>
      <w:r>
        <w:rPr>
          <w:color w:val="231F20"/>
        </w:rPr>
        <w:t>help</w:t>
      </w:r>
      <w:r>
        <w:rPr>
          <w:color w:val="231F20"/>
          <w:spacing w:val="25"/>
          <w:w w:val="99"/>
        </w:rPr>
        <w:t> </w:t>
      </w:r>
      <w:r>
        <w:rPr>
          <w:color w:val="231F20"/>
        </w:rPr>
        <w:t>pay</w:t>
      </w:r>
      <w:r>
        <w:rPr>
          <w:color w:val="231F20"/>
          <w:spacing w:val="-4"/>
        </w:rPr>
        <w:t> </w:t>
      </w:r>
      <w:r>
        <w:rPr>
          <w:color w:val="231F20"/>
        </w:rPr>
        <w:t>tuition</w:t>
      </w:r>
      <w:r>
        <w:rPr>
          <w:color w:val="231F20"/>
          <w:spacing w:val="-5"/>
        </w:rPr>
        <w:t> </w:t>
      </w:r>
      <w:r>
        <w:rPr>
          <w:color w:val="231F20"/>
        </w:rPr>
        <w:t>and</w:t>
      </w:r>
      <w:r>
        <w:rPr>
          <w:color w:val="231F20"/>
          <w:spacing w:val="-5"/>
        </w:rPr>
        <w:t> </w:t>
      </w:r>
      <w:r>
        <w:rPr>
          <w:color w:val="231F20"/>
        </w:rPr>
        <w:t>boarding</w:t>
      </w:r>
      <w:r>
        <w:rPr>
          <w:color w:val="231F20"/>
          <w:spacing w:val="-5"/>
        </w:rPr>
        <w:t> </w:t>
      </w:r>
      <w:r>
        <w:rPr>
          <w:color w:val="231F20"/>
        </w:rPr>
        <w:t>fees</w:t>
      </w:r>
      <w:r>
        <w:rPr>
          <w:color w:val="231F20"/>
          <w:spacing w:val="-5"/>
        </w:rPr>
        <w:t> </w:t>
      </w:r>
      <w:r>
        <w:rPr>
          <w:color w:val="231F20"/>
        </w:rPr>
        <w:t>up</w:t>
      </w:r>
      <w:r>
        <w:rPr>
          <w:color w:val="231F20"/>
          <w:spacing w:val="-4"/>
        </w:rPr>
        <w:t> </w:t>
      </w:r>
      <w:r>
        <w:rPr>
          <w:color w:val="231F20"/>
        </w:rPr>
        <w:t>to</w:t>
      </w:r>
      <w:r>
        <w:rPr>
          <w:color w:val="231F20"/>
          <w:spacing w:val="-4"/>
        </w:rPr>
        <w:t> </w:t>
      </w:r>
      <w:r>
        <w:rPr>
          <w:color w:val="231F20"/>
        </w:rPr>
        <w:t>a</w:t>
      </w:r>
      <w:r>
        <w:rPr>
          <w:color w:val="231F20"/>
          <w:spacing w:val="-4"/>
        </w:rPr>
        <w:t> </w:t>
      </w:r>
      <w:r>
        <w:rPr>
          <w:color w:val="231F20"/>
        </w:rPr>
        <w:t>certain</w:t>
      </w:r>
      <w:r>
        <w:rPr>
          <w:color w:val="231F20"/>
          <w:w w:val="99"/>
        </w:rPr>
        <w:t> </w:t>
      </w:r>
      <w:r>
        <w:rPr>
          <w:color w:val="231F20"/>
        </w:rPr>
        <w:t>amount.</w:t>
      </w:r>
      <w:r>
        <w:rPr>
          <w:color w:val="231F20"/>
          <w:spacing w:val="-6"/>
        </w:rPr>
        <w:t> </w:t>
      </w:r>
      <w:r>
        <w:rPr>
          <w:color w:val="231F20"/>
          <w:spacing w:val="-1"/>
        </w:rPr>
        <w:t>It</w:t>
      </w:r>
      <w:r>
        <w:rPr>
          <w:color w:val="231F20"/>
          <w:spacing w:val="-4"/>
        </w:rPr>
        <w:t> </w:t>
      </w:r>
      <w:r>
        <w:rPr>
          <w:color w:val="231F20"/>
          <w:spacing w:val="-1"/>
        </w:rPr>
        <w:t>is</w:t>
      </w:r>
      <w:r>
        <w:rPr>
          <w:color w:val="231F20"/>
          <w:spacing w:val="-5"/>
        </w:rPr>
        <w:t> </w:t>
      </w:r>
      <w:r>
        <w:rPr>
          <w:color w:val="231F20"/>
        </w:rPr>
        <w:t>paid</w:t>
      </w:r>
      <w:r>
        <w:rPr>
          <w:color w:val="231F20"/>
          <w:spacing w:val="-5"/>
        </w:rPr>
        <w:t> </w:t>
      </w:r>
      <w:r>
        <w:rPr>
          <w:color w:val="231F20"/>
        </w:rPr>
        <w:t>to</w:t>
      </w:r>
      <w:r>
        <w:rPr>
          <w:color w:val="231F20"/>
          <w:spacing w:val="-4"/>
        </w:rPr>
        <w:t> </w:t>
      </w:r>
      <w:r>
        <w:rPr>
          <w:color w:val="231F20"/>
        </w:rPr>
        <w:t>a</w:t>
      </w:r>
      <w:r>
        <w:rPr>
          <w:color w:val="231F20"/>
          <w:spacing w:val="-4"/>
        </w:rPr>
        <w:t> </w:t>
      </w:r>
      <w:r>
        <w:rPr>
          <w:color w:val="231F20"/>
        </w:rPr>
        <w:t>boarding</w:t>
      </w:r>
      <w:r>
        <w:rPr>
          <w:color w:val="231F20"/>
          <w:spacing w:val="-5"/>
        </w:rPr>
        <w:t> </w:t>
      </w:r>
      <w:r>
        <w:rPr>
          <w:color w:val="231F20"/>
        </w:rPr>
        <w:t>provider</w:t>
      </w:r>
      <w:r>
        <w:rPr>
          <w:color w:val="231F20"/>
          <w:spacing w:val="-5"/>
        </w:rPr>
        <w:t> </w:t>
      </w:r>
      <w:r>
        <w:rPr>
          <w:color w:val="231F20"/>
        </w:rPr>
        <w:t>on</w:t>
      </w:r>
      <w:r>
        <w:rPr>
          <w:color w:val="231F20"/>
          <w:spacing w:val="22"/>
          <w:w w:val="99"/>
        </w:rPr>
        <w:t> </w:t>
      </w:r>
      <w:r>
        <w:rPr>
          <w:color w:val="231F20"/>
        </w:rPr>
        <w:t>the</w:t>
      </w:r>
      <w:r>
        <w:rPr>
          <w:color w:val="231F20"/>
          <w:spacing w:val="-6"/>
        </w:rPr>
        <w:t> </w:t>
      </w:r>
      <w:r>
        <w:rPr>
          <w:color w:val="231F20"/>
          <w:spacing w:val="-1"/>
        </w:rPr>
        <w:t>student's</w:t>
      </w:r>
      <w:r>
        <w:rPr>
          <w:color w:val="231F20"/>
          <w:spacing w:val="-3"/>
        </w:rPr>
        <w:t> </w:t>
      </w:r>
      <w:r>
        <w:rPr>
          <w:color w:val="231F20"/>
        </w:rPr>
        <w:t>behalf.</w:t>
      </w:r>
      <w:r>
        <w:rPr>
          <w:color w:val="231F20"/>
          <w:spacing w:val="-5"/>
        </w:rPr>
        <w:t> </w:t>
      </w:r>
      <w:r>
        <w:rPr>
          <w:color w:val="231F20"/>
        </w:rPr>
        <w:t>A</w:t>
      </w:r>
      <w:r>
        <w:rPr>
          <w:color w:val="231F20"/>
          <w:spacing w:val="-5"/>
        </w:rPr>
        <w:t> </w:t>
      </w:r>
      <w:r>
        <w:rPr>
          <w:color w:val="231F20"/>
        </w:rPr>
        <w:t>number</w:t>
      </w:r>
      <w:r>
        <w:rPr>
          <w:color w:val="231F20"/>
          <w:spacing w:val="-5"/>
        </w:rPr>
        <w:t> </w:t>
      </w:r>
      <w:r>
        <w:rPr>
          <w:color w:val="231F20"/>
        </w:rPr>
        <w:t>of</w:t>
      </w:r>
      <w:r>
        <w:rPr>
          <w:color w:val="231F20"/>
          <w:spacing w:val="-4"/>
        </w:rPr>
        <w:t> </w:t>
      </w:r>
      <w:r>
        <w:rPr>
          <w:color w:val="231F20"/>
        </w:rPr>
        <w:t>boarding</w:t>
      </w:r>
      <w:r>
        <w:rPr>
          <w:color w:val="231F20"/>
          <w:spacing w:val="22"/>
          <w:w w:val="99"/>
        </w:rPr>
        <w:t> </w:t>
      </w:r>
      <w:r>
        <w:rPr>
          <w:color w:val="231F20"/>
        </w:rPr>
        <w:t>providers</w:t>
      </w:r>
      <w:r>
        <w:rPr>
          <w:color w:val="231F20"/>
          <w:spacing w:val="-9"/>
        </w:rPr>
        <w:t> </w:t>
      </w:r>
      <w:r>
        <w:rPr>
          <w:color w:val="231F20"/>
        </w:rPr>
        <w:t>consulted</w:t>
      </w:r>
      <w:r>
        <w:rPr>
          <w:color w:val="231F20"/>
          <w:spacing w:val="-8"/>
        </w:rPr>
        <w:t> </w:t>
      </w:r>
      <w:r>
        <w:rPr>
          <w:color w:val="231F20"/>
        </w:rPr>
        <w:t>referred</w:t>
      </w:r>
      <w:r>
        <w:rPr>
          <w:color w:val="231F20"/>
          <w:spacing w:val="-8"/>
        </w:rPr>
        <w:t> </w:t>
      </w:r>
      <w:r>
        <w:rPr>
          <w:color w:val="231F20"/>
        </w:rPr>
        <w:t>to</w:t>
      </w:r>
      <w:r>
        <w:rPr>
          <w:color w:val="231F20"/>
          <w:spacing w:val="-7"/>
        </w:rPr>
        <w:t> </w:t>
      </w:r>
      <w:r>
        <w:rPr>
          <w:color w:val="231F20"/>
        </w:rPr>
        <w:t>parents</w:t>
      </w:r>
      <w:r>
        <w:rPr>
          <w:color w:val="231F20"/>
          <w:spacing w:val="-8"/>
        </w:rPr>
        <w:t> </w:t>
      </w:r>
      <w:r>
        <w:rPr>
          <w:color w:val="231F20"/>
        </w:rPr>
        <w:t>and</w:t>
      </w:r>
      <w:r>
        <w:rPr>
          <w:color w:val="231F20"/>
          <w:w w:val="99"/>
        </w:rPr>
        <w:t> </w:t>
      </w:r>
      <w:r>
        <w:rPr>
          <w:color w:val="231F20"/>
        </w:rPr>
        <w:t>guardians</w:t>
      </w:r>
      <w:r>
        <w:rPr>
          <w:color w:val="231F20"/>
          <w:spacing w:val="-7"/>
        </w:rPr>
        <w:t> </w:t>
      </w:r>
      <w:r>
        <w:rPr>
          <w:color w:val="231F20"/>
        </w:rPr>
        <w:t>utilising</w:t>
      </w:r>
      <w:r>
        <w:rPr>
          <w:color w:val="231F20"/>
          <w:spacing w:val="-6"/>
        </w:rPr>
        <w:t> </w:t>
      </w:r>
      <w:r>
        <w:rPr>
          <w:color w:val="231F20"/>
        </w:rPr>
        <w:t>cultural</w:t>
      </w:r>
      <w:r>
        <w:rPr>
          <w:color w:val="231F20"/>
          <w:spacing w:val="-6"/>
        </w:rPr>
        <w:t> </w:t>
      </w:r>
      <w:r>
        <w:rPr>
          <w:color w:val="231F20"/>
        </w:rPr>
        <w:t>family</w:t>
      </w:r>
      <w:r>
        <w:rPr>
          <w:color w:val="231F20"/>
          <w:spacing w:val="-6"/>
        </w:rPr>
        <w:t> </w:t>
      </w:r>
      <w:r>
        <w:rPr>
          <w:color w:val="231F20"/>
        </w:rPr>
        <w:t>caring</w:t>
      </w:r>
      <w:r>
        <w:rPr>
          <w:color w:val="231F20"/>
          <w:w w:val="99"/>
        </w:rPr>
        <w:t> </w:t>
      </w:r>
      <w:r>
        <w:rPr>
          <w:color w:val="231F20"/>
        </w:rPr>
        <w:t>arrangements</w:t>
      </w:r>
      <w:r>
        <w:rPr>
          <w:color w:val="231F20"/>
          <w:spacing w:val="-7"/>
        </w:rPr>
        <w:t> </w:t>
      </w:r>
      <w:r>
        <w:rPr>
          <w:color w:val="231F20"/>
        </w:rPr>
        <w:t>for</w:t>
      </w:r>
      <w:r>
        <w:rPr>
          <w:color w:val="231F20"/>
          <w:spacing w:val="-5"/>
        </w:rPr>
        <w:t> </w:t>
      </w:r>
      <w:r>
        <w:rPr>
          <w:color w:val="231F20"/>
        </w:rPr>
        <w:t>children</w:t>
      </w:r>
      <w:r>
        <w:rPr>
          <w:color w:val="231F20"/>
          <w:spacing w:val="-6"/>
        </w:rPr>
        <w:t> </w:t>
      </w:r>
      <w:r>
        <w:rPr>
          <w:color w:val="231F20"/>
        </w:rPr>
        <w:t>to</w:t>
      </w:r>
      <w:r>
        <w:rPr>
          <w:color w:val="231F20"/>
          <w:spacing w:val="-5"/>
        </w:rPr>
        <w:t> </w:t>
      </w:r>
      <w:r>
        <w:rPr>
          <w:color w:val="231F20"/>
        </w:rPr>
        <w:t>eliminate</w:t>
      </w:r>
      <w:r>
        <w:rPr>
          <w:color w:val="231F20"/>
          <w:spacing w:val="-6"/>
        </w:rPr>
        <w:t> </w:t>
      </w:r>
      <w:r>
        <w:rPr>
          <w:color w:val="231F20"/>
        </w:rPr>
        <w:t>or</w:t>
      </w:r>
      <w:r>
        <w:rPr>
          <w:color w:val="231F20"/>
          <w:w w:val="99"/>
        </w:rPr>
        <w:t> </w:t>
      </w:r>
      <w:r>
        <w:rPr>
          <w:color w:val="231F20"/>
        </w:rPr>
        <w:t>reduce</w:t>
      </w:r>
      <w:r>
        <w:rPr>
          <w:color w:val="231F20"/>
          <w:spacing w:val="-5"/>
        </w:rPr>
        <w:t> </w:t>
      </w:r>
      <w:r>
        <w:rPr>
          <w:color w:val="231F20"/>
        </w:rPr>
        <w:t>the</w:t>
      </w:r>
      <w:r>
        <w:rPr>
          <w:color w:val="231F20"/>
          <w:spacing w:val="-5"/>
        </w:rPr>
        <w:t> </w:t>
      </w:r>
      <w:r>
        <w:rPr>
          <w:color w:val="231F20"/>
          <w:spacing w:val="-1"/>
        </w:rPr>
        <w:t>impact</w:t>
      </w:r>
      <w:r>
        <w:rPr>
          <w:color w:val="231F20"/>
          <w:spacing w:val="-4"/>
        </w:rPr>
        <w:t> </w:t>
      </w:r>
      <w:r>
        <w:rPr>
          <w:color w:val="231F20"/>
        </w:rPr>
        <w:t>of</w:t>
      </w:r>
      <w:r>
        <w:rPr>
          <w:color w:val="231F20"/>
          <w:spacing w:val="-4"/>
        </w:rPr>
        <w:t> </w:t>
      </w:r>
      <w:r>
        <w:rPr>
          <w:color w:val="231F20"/>
        </w:rPr>
        <w:t>ABSTUDY</w:t>
      </w:r>
      <w:r>
        <w:rPr>
          <w:color w:val="231F20"/>
          <w:spacing w:val="-5"/>
        </w:rPr>
        <w:t> </w:t>
      </w:r>
      <w:r>
        <w:rPr>
          <w:color w:val="231F20"/>
          <w:spacing w:val="-1"/>
        </w:rPr>
        <w:t>means</w:t>
      </w:r>
      <w:r>
        <w:rPr>
          <w:color w:val="231F20"/>
          <w:spacing w:val="-4"/>
        </w:rPr>
        <w:t> </w:t>
      </w:r>
      <w:r>
        <w:rPr>
          <w:color w:val="231F20"/>
        </w:rPr>
        <w:t>testing,</w:t>
      </w:r>
      <w:r>
        <w:rPr>
          <w:color w:val="231F20"/>
          <w:spacing w:val="23"/>
          <w:w w:val="99"/>
        </w:rPr>
        <w:t> </w:t>
      </w:r>
      <w:r>
        <w:rPr>
          <w:color w:val="231F20"/>
        </w:rPr>
        <w:t>and</w:t>
      </w:r>
      <w:r>
        <w:rPr>
          <w:color w:val="231F20"/>
          <w:spacing w:val="-6"/>
        </w:rPr>
        <w:t> </w:t>
      </w:r>
      <w:r>
        <w:rPr>
          <w:color w:val="231F20"/>
        </w:rPr>
        <w:t>noted</w:t>
      </w:r>
      <w:r>
        <w:rPr>
          <w:color w:val="231F20"/>
          <w:spacing w:val="-5"/>
        </w:rPr>
        <w:t> </w:t>
      </w:r>
      <w:r>
        <w:rPr>
          <w:color w:val="231F20"/>
        </w:rPr>
        <w:t>a</w:t>
      </w:r>
      <w:r>
        <w:rPr>
          <w:color w:val="231F20"/>
          <w:spacing w:val="-4"/>
        </w:rPr>
        <w:t> </w:t>
      </w:r>
      <w:r>
        <w:rPr>
          <w:color w:val="231F20"/>
        </w:rPr>
        <w:t>potential</w:t>
      </w:r>
      <w:r>
        <w:rPr>
          <w:color w:val="231F20"/>
          <w:spacing w:val="-6"/>
        </w:rPr>
        <w:t> </w:t>
      </w:r>
      <w:r>
        <w:rPr>
          <w:color w:val="231F20"/>
          <w:spacing w:val="-1"/>
        </w:rPr>
        <w:t>impact</w:t>
      </w:r>
      <w:r>
        <w:rPr>
          <w:color w:val="231F20"/>
          <w:spacing w:val="-4"/>
        </w:rPr>
        <w:t> </w:t>
      </w:r>
      <w:r>
        <w:rPr>
          <w:color w:val="231F20"/>
        </w:rPr>
        <w:t>on</w:t>
      </w:r>
      <w:r>
        <w:rPr>
          <w:color w:val="231F20"/>
          <w:spacing w:val="-4"/>
        </w:rPr>
        <w:t> </w:t>
      </w:r>
      <w:r>
        <w:rPr>
          <w:color w:val="231F20"/>
        </w:rPr>
        <w:t>employment.</w:t>
      </w:r>
      <w:r>
        <w:rPr/>
      </w:r>
    </w:p>
    <w:p>
      <w:pPr>
        <w:spacing w:line="240" w:lineRule="auto" w:before="7"/>
        <w:rPr>
          <w:rFonts w:ascii="Segoe UI" w:hAnsi="Segoe UI" w:cs="Segoe UI" w:eastAsia="Segoe UI"/>
          <w:sz w:val="9"/>
          <w:szCs w:val="9"/>
        </w:rPr>
      </w:pPr>
      <w:r>
        <w:rPr/>
        <w:br w:type="column"/>
      </w:r>
      <w:r>
        <w:rPr>
          <w:rFonts w:ascii="Segoe UI"/>
          <w:sz w:val="9"/>
        </w:rPr>
      </w:r>
    </w:p>
    <w:p>
      <w:pPr>
        <w:spacing w:line="200" w:lineRule="atLeast"/>
        <w:ind w:left="214" w:right="0" w:firstLine="0"/>
        <w:rPr>
          <w:rFonts w:ascii="Segoe UI" w:hAnsi="Segoe UI" w:cs="Segoe UI" w:eastAsia="Segoe UI"/>
          <w:sz w:val="20"/>
          <w:szCs w:val="20"/>
        </w:rPr>
      </w:pPr>
      <w:r>
        <w:rPr>
          <w:rFonts w:ascii="Segoe UI" w:hAnsi="Segoe UI" w:cs="Segoe UI" w:eastAsia="Segoe UI"/>
          <w:sz w:val="20"/>
          <w:szCs w:val="20"/>
        </w:rPr>
        <w:drawing>
          <wp:inline distT="0" distB="0" distL="0" distR="0">
            <wp:extent cx="2632666" cy="2578607"/>
            <wp:effectExtent l="0" t="0" r="0" b="0"/>
            <wp:docPr id="17" name="image40.jpeg" descr=""/>
            <wp:cNvGraphicFramePr>
              <a:graphicFrameLocks noChangeAspect="1"/>
            </wp:cNvGraphicFramePr>
            <a:graphic>
              <a:graphicData uri="http://schemas.openxmlformats.org/drawingml/2006/picture">
                <pic:pic>
                  <pic:nvPicPr>
                    <pic:cNvPr id="18" name="image40.jpeg"/>
                    <pic:cNvPicPr/>
                  </pic:nvPicPr>
                  <pic:blipFill>
                    <a:blip r:embed="rId79" cstate="print"/>
                    <a:stretch>
                      <a:fillRect/>
                    </a:stretch>
                  </pic:blipFill>
                  <pic:spPr>
                    <a:xfrm>
                      <a:off x="0" y="0"/>
                      <a:ext cx="2632666" cy="2578607"/>
                    </a:xfrm>
                    <a:prstGeom prst="rect">
                      <a:avLst/>
                    </a:prstGeom>
                  </pic:spPr>
                </pic:pic>
              </a:graphicData>
            </a:graphic>
          </wp:inline>
        </w:drawing>
      </w:r>
      <w:r>
        <w:rPr>
          <w:rFonts w:ascii="Segoe UI" w:hAnsi="Segoe UI" w:cs="Segoe UI" w:eastAsia="Segoe UI"/>
          <w:sz w:val="20"/>
          <w:szCs w:val="20"/>
        </w:rPr>
      </w:r>
    </w:p>
    <w:p>
      <w:pPr>
        <w:spacing w:line="240" w:lineRule="auto" w:before="6"/>
        <w:rPr>
          <w:rFonts w:ascii="Segoe UI" w:hAnsi="Segoe UI" w:cs="Segoe UI" w:eastAsia="Segoe UI"/>
          <w:sz w:val="29"/>
          <w:szCs w:val="29"/>
        </w:rPr>
      </w:pPr>
    </w:p>
    <w:p>
      <w:pPr>
        <w:pStyle w:val="BodyText"/>
        <w:spacing w:line="250" w:lineRule="exact"/>
        <w:ind w:left="554" w:right="554"/>
        <w:jc w:val="left"/>
        <w:rPr>
          <w:rFonts w:ascii="Segoe UI Semibold" w:hAnsi="Segoe UI Semibold" w:cs="Segoe UI Semibold" w:eastAsia="Segoe UI Semibold"/>
          <w:sz w:val="11"/>
          <w:szCs w:val="11"/>
        </w:rPr>
      </w:pPr>
      <w:r>
        <w:rPr>
          <w:rFonts w:ascii="Segoe UI Semibold" w:hAnsi="Segoe UI Semibold" w:cs="Segoe UI Semibold" w:eastAsia="Segoe UI Semibold"/>
          <w:b/>
          <w:bCs/>
          <w:color w:val="00779B"/>
          <w:spacing w:val="-1"/>
        </w:rPr>
        <w:t>ABSTUDY is</w:t>
      </w:r>
      <w:r>
        <w:rPr>
          <w:rFonts w:ascii="Segoe UI Semibold" w:hAnsi="Segoe UI Semibold" w:cs="Segoe UI Semibold" w:eastAsia="Segoe UI Semibold"/>
          <w:b/>
          <w:bCs/>
          <w:color w:val="00779B"/>
        </w:rPr>
        <w:t> a </w:t>
      </w:r>
      <w:r>
        <w:rPr>
          <w:rFonts w:ascii="Segoe UI Semibold" w:hAnsi="Segoe UI Semibold" w:cs="Segoe UI Semibold" w:eastAsia="Segoe UI Semibold"/>
          <w:b/>
          <w:bCs/>
          <w:color w:val="00779B"/>
          <w:spacing w:val="-1"/>
        </w:rPr>
        <w:t>disincentive to </w:t>
      </w:r>
      <w:r>
        <w:rPr>
          <w:rFonts w:ascii="Segoe UI Semibold" w:hAnsi="Segoe UI Semibold" w:cs="Segoe UI Semibold" w:eastAsia="Segoe UI Semibold"/>
          <w:b/>
          <w:bCs/>
          <w:color w:val="00779B"/>
          <w:spacing w:val="-2"/>
        </w:rPr>
        <w:t>take </w:t>
      </w:r>
      <w:r>
        <w:rPr>
          <w:rFonts w:ascii="Segoe UI Semibold" w:hAnsi="Segoe UI Semibold" w:cs="Segoe UI Semibold" w:eastAsia="Segoe UI Semibold"/>
          <w:b/>
          <w:bCs/>
          <w:color w:val="00779B"/>
          <w:spacing w:val="-1"/>
        </w:rPr>
        <w:t>up</w:t>
      </w:r>
      <w:r>
        <w:rPr>
          <w:rFonts w:ascii="Segoe UI Semibold" w:hAnsi="Segoe UI Semibold" w:cs="Segoe UI Semibold" w:eastAsia="Segoe UI Semibold"/>
          <w:b/>
          <w:bCs/>
          <w:color w:val="00779B"/>
          <w:spacing w:val="26"/>
        </w:rPr>
        <w:t> </w:t>
      </w:r>
      <w:r>
        <w:rPr>
          <w:rFonts w:ascii="Segoe UI Semibold" w:hAnsi="Segoe UI Semibold" w:cs="Segoe UI Semibold" w:eastAsia="Segoe UI Semibold"/>
          <w:b/>
          <w:bCs/>
          <w:color w:val="00779B"/>
          <w:spacing w:val="-1"/>
        </w:rPr>
        <w:t>employment </w:t>
      </w:r>
      <w:r>
        <w:rPr>
          <w:rFonts w:ascii="Segoe UI Semibold" w:hAnsi="Segoe UI Semibold" w:cs="Segoe UI Semibold" w:eastAsia="Segoe UI Semibold"/>
          <w:b/>
          <w:bCs/>
          <w:color w:val="00779B"/>
        </w:rPr>
        <w:t>as</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it</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is </w:t>
      </w:r>
      <w:r>
        <w:rPr>
          <w:rFonts w:ascii="Segoe UI Semibold" w:hAnsi="Segoe UI Semibold" w:cs="Segoe UI Semibold" w:eastAsia="Segoe UI Semibold"/>
          <w:b/>
          <w:bCs/>
          <w:color w:val="00779B"/>
        </w:rPr>
        <w:t>a means</w:t>
      </w:r>
      <w:r>
        <w:rPr>
          <w:rFonts w:ascii="Segoe UI Semibold" w:hAnsi="Segoe UI Semibold" w:cs="Segoe UI Semibold" w:eastAsia="Segoe UI Semibold"/>
          <w:b/>
          <w:bCs/>
          <w:color w:val="00779B"/>
          <w:spacing w:val="-2"/>
        </w:rPr>
        <w:t> tested</w:t>
      </w:r>
      <w:r>
        <w:rPr>
          <w:rFonts w:ascii="Segoe UI Semibold" w:hAnsi="Segoe UI Semibold" w:cs="Segoe UI Semibold" w:eastAsia="Segoe UI Semibold"/>
          <w:b/>
          <w:bCs/>
          <w:color w:val="00779B"/>
          <w:spacing w:val="28"/>
          <w:w w:val="99"/>
        </w:rPr>
        <w:t> </w:t>
      </w:r>
      <w:r>
        <w:rPr>
          <w:rFonts w:ascii="Segoe UI Semibold" w:hAnsi="Segoe UI Semibold" w:cs="Segoe UI Semibold" w:eastAsia="Segoe UI Semibold"/>
          <w:b/>
          <w:bCs/>
          <w:color w:val="00779B"/>
          <w:spacing w:val="-1"/>
        </w:rPr>
        <w:t>welfare</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measure.</w:t>
      </w:r>
      <w:r>
        <w:rPr>
          <w:rFonts w:ascii="Segoe UI Semibold" w:hAnsi="Segoe UI Semibold" w:cs="Segoe UI Semibold" w:eastAsia="Segoe UI Semibold"/>
          <w:b/>
          <w:bCs/>
          <w:color w:val="00779B"/>
          <w:spacing w:val="-1"/>
          <w:position w:val="7"/>
          <w:sz w:val="11"/>
          <w:szCs w:val="11"/>
        </w:rPr>
        <w:t>144</w:t>
      </w:r>
      <w:r>
        <w:rPr>
          <w:rFonts w:ascii="Segoe UI Semibold" w:hAnsi="Segoe UI Semibold" w:cs="Segoe UI Semibold" w:eastAsia="Segoe UI Semibold"/>
          <w:b/>
          <w:bCs/>
          <w:color w:val="00779B"/>
          <w:spacing w:val="27"/>
          <w:position w:val="7"/>
          <w:sz w:val="11"/>
          <w:szCs w:val="11"/>
        </w:rPr>
        <w:t> </w:t>
      </w:r>
      <w:r>
        <w:rPr>
          <w:rFonts w:ascii="Segoe UI Semibold" w:hAnsi="Segoe UI Semibold" w:cs="Segoe UI Semibold" w:eastAsia="Segoe UI Semibold"/>
          <w:b/>
          <w:bCs/>
          <w:color w:val="00779B"/>
          <w:spacing w:val="-1"/>
        </w:rPr>
        <w:t>Some</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2"/>
        </w:rPr>
        <w:t>parents</w:t>
      </w:r>
      <w:r>
        <w:rPr>
          <w:rFonts w:ascii="Segoe UI Semibold" w:hAnsi="Segoe UI Semibold" w:cs="Segoe UI Semibold" w:eastAsia="Segoe UI Semibold"/>
          <w:b/>
          <w:bCs/>
          <w:color w:val="00779B"/>
          <w:spacing w:val="24"/>
        </w:rPr>
        <w:t> </w:t>
      </w:r>
      <w:r>
        <w:rPr>
          <w:rFonts w:ascii="Segoe UI Semibold" w:hAnsi="Segoe UI Semibold" w:cs="Segoe UI Semibold" w:eastAsia="Segoe UI Semibold"/>
          <w:b/>
          <w:bCs/>
          <w:color w:val="00779B"/>
          <w:spacing w:val="-1"/>
        </w:rPr>
        <w:t>won’t work</w:t>
      </w:r>
      <w:r>
        <w:rPr>
          <w:rFonts w:ascii="Segoe UI Semibold" w:hAnsi="Segoe UI Semibold" w:cs="Segoe UI Semibold" w:eastAsia="Segoe UI Semibold"/>
          <w:b/>
          <w:bCs/>
          <w:color w:val="00779B"/>
        </w:rPr>
        <w:t> because</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it</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will</w:t>
      </w:r>
      <w:r>
        <w:rPr>
          <w:rFonts w:ascii="Segoe UI Semibold" w:hAnsi="Segoe UI Semibold" w:cs="Segoe UI Semibold" w:eastAsia="Segoe UI Semibold"/>
          <w:b/>
          <w:bCs/>
          <w:color w:val="00779B"/>
        </w:rPr>
        <w:t> mean</w:t>
      </w:r>
      <w:r>
        <w:rPr>
          <w:rFonts w:ascii="Segoe UI Semibold" w:hAnsi="Segoe UI Semibold" w:cs="Segoe UI Semibold" w:eastAsia="Segoe UI Semibold"/>
          <w:b/>
          <w:bCs/>
          <w:color w:val="00779B"/>
          <w:spacing w:val="-1"/>
        </w:rPr>
        <w:t> they</w:t>
      </w:r>
      <w:r>
        <w:rPr>
          <w:rFonts w:ascii="Segoe UI Semibold" w:hAnsi="Segoe UI Semibold" w:cs="Segoe UI Semibold" w:eastAsia="Segoe UI Semibold"/>
          <w:b/>
          <w:bCs/>
          <w:color w:val="00779B"/>
          <w:spacing w:val="24"/>
        </w:rPr>
        <w:t> </w:t>
      </w:r>
      <w:r>
        <w:rPr>
          <w:rFonts w:ascii="Segoe UI Semibold" w:hAnsi="Segoe UI Semibold" w:cs="Segoe UI Semibold" w:eastAsia="Segoe UI Semibold"/>
          <w:b/>
          <w:bCs/>
          <w:color w:val="00779B"/>
          <w:spacing w:val="-1"/>
        </w:rPr>
        <w:t>will</w:t>
      </w:r>
      <w:r>
        <w:rPr>
          <w:rFonts w:ascii="Segoe UI Semibold" w:hAnsi="Segoe UI Semibold" w:cs="Segoe UI Semibold" w:eastAsia="Segoe UI Semibold"/>
          <w:b/>
          <w:bCs/>
          <w:color w:val="00779B"/>
          <w:spacing w:val="5"/>
        </w:rPr>
        <w:t> </w:t>
      </w:r>
      <w:r>
        <w:rPr>
          <w:rFonts w:ascii="Segoe UI Semibold" w:hAnsi="Segoe UI Semibold" w:cs="Segoe UI Semibold" w:eastAsia="Segoe UI Semibold"/>
          <w:b/>
          <w:bCs/>
          <w:color w:val="00779B"/>
          <w:spacing w:val="-1"/>
        </w:rPr>
        <w:t>lose</w:t>
      </w:r>
      <w:r>
        <w:rPr>
          <w:rFonts w:ascii="Segoe UI Semibold" w:hAnsi="Segoe UI Semibold" w:cs="Segoe UI Semibold" w:eastAsia="Segoe UI Semibold"/>
          <w:b/>
          <w:bCs/>
          <w:color w:val="00779B"/>
          <w:spacing w:val="5"/>
        </w:rPr>
        <w:t> </w:t>
      </w:r>
      <w:r>
        <w:rPr>
          <w:rFonts w:ascii="Segoe UI Semibold" w:hAnsi="Segoe UI Semibold" w:cs="Segoe UI Semibold" w:eastAsia="Segoe UI Semibold"/>
          <w:b/>
          <w:bCs/>
          <w:color w:val="00779B"/>
          <w:spacing w:val="-3"/>
        </w:rPr>
        <w:t>ABSTUDY.</w:t>
      </w:r>
      <w:r>
        <w:rPr>
          <w:rFonts w:ascii="Segoe UI Semibold" w:hAnsi="Segoe UI Semibold" w:cs="Segoe UI Semibold" w:eastAsia="Segoe UI Semibold"/>
          <w:b/>
          <w:bCs/>
          <w:color w:val="00779B"/>
          <w:spacing w:val="-3"/>
          <w:position w:val="7"/>
          <w:sz w:val="11"/>
          <w:szCs w:val="11"/>
        </w:rPr>
        <w:t>145</w:t>
      </w:r>
      <w:r>
        <w:rPr>
          <w:rFonts w:ascii="Segoe UI Semibold" w:hAnsi="Segoe UI Semibold" w:cs="Segoe UI Semibold" w:eastAsia="Segoe UI Semibold"/>
          <w:sz w:val="11"/>
          <w:szCs w:val="11"/>
        </w:rPr>
      </w:r>
    </w:p>
    <w:p>
      <w:pPr>
        <w:pStyle w:val="BodyText"/>
        <w:spacing w:line="250" w:lineRule="exact" w:before="113"/>
        <w:ind w:left="100" w:right="116"/>
        <w:jc w:val="left"/>
      </w:pPr>
      <w:r>
        <w:rPr>
          <w:color w:val="231F20"/>
          <w:spacing w:val="-1"/>
        </w:rPr>
        <w:t>Some</w:t>
      </w:r>
      <w:r>
        <w:rPr>
          <w:color w:val="231F20"/>
          <w:spacing w:val="-5"/>
        </w:rPr>
        <w:t> </w:t>
      </w:r>
      <w:r>
        <w:rPr>
          <w:color w:val="231F20"/>
        </w:rPr>
        <w:t>Aboriginal</w:t>
      </w:r>
      <w:r>
        <w:rPr>
          <w:color w:val="231F20"/>
          <w:spacing w:val="-5"/>
        </w:rPr>
        <w:t> </w:t>
      </w:r>
      <w:r>
        <w:rPr>
          <w:color w:val="231F20"/>
        </w:rPr>
        <w:t>and</w:t>
      </w:r>
      <w:r>
        <w:rPr>
          <w:color w:val="231F20"/>
          <w:spacing w:val="-5"/>
        </w:rPr>
        <w:t> Torres</w:t>
      </w:r>
      <w:r>
        <w:rPr>
          <w:color w:val="231F20"/>
          <w:spacing w:val="-4"/>
        </w:rPr>
        <w:t> </w:t>
      </w:r>
      <w:r>
        <w:rPr>
          <w:color w:val="231F20"/>
          <w:spacing w:val="-2"/>
        </w:rPr>
        <w:t>Strait</w:t>
      </w:r>
      <w:r>
        <w:rPr>
          <w:color w:val="231F20"/>
          <w:spacing w:val="-6"/>
        </w:rPr>
        <w:t> </w:t>
      </w:r>
      <w:r>
        <w:rPr>
          <w:color w:val="231F20"/>
          <w:spacing w:val="-1"/>
        </w:rPr>
        <w:t>Islander</w:t>
      </w:r>
      <w:r>
        <w:rPr>
          <w:color w:val="231F20"/>
          <w:spacing w:val="20"/>
          <w:w w:val="99"/>
        </w:rPr>
        <w:t> </w:t>
      </w:r>
      <w:r>
        <w:rPr>
          <w:color w:val="231F20"/>
        </w:rPr>
        <w:t>boarding</w:t>
      </w:r>
      <w:r>
        <w:rPr>
          <w:color w:val="231F20"/>
          <w:spacing w:val="-7"/>
        </w:rPr>
        <w:t> </w:t>
      </w:r>
      <w:r>
        <w:rPr>
          <w:color w:val="231F20"/>
        </w:rPr>
        <w:t>providers</w:t>
      </w:r>
      <w:r>
        <w:rPr>
          <w:color w:val="231F20"/>
          <w:spacing w:val="-7"/>
        </w:rPr>
        <w:t> </w:t>
      </w:r>
      <w:r>
        <w:rPr>
          <w:color w:val="231F20"/>
        </w:rPr>
        <w:t>and</w:t>
      </w:r>
      <w:r>
        <w:rPr>
          <w:color w:val="231F20"/>
          <w:spacing w:val="-7"/>
        </w:rPr>
        <w:t> </w:t>
      </w:r>
      <w:r>
        <w:rPr>
          <w:color w:val="231F20"/>
        </w:rPr>
        <w:t>peak</w:t>
      </w:r>
      <w:r>
        <w:rPr>
          <w:color w:val="231F20"/>
          <w:spacing w:val="-7"/>
        </w:rPr>
        <w:t> </w:t>
      </w:r>
      <w:r>
        <w:rPr>
          <w:color w:val="231F20"/>
        </w:rPr>
        <w:t>bodies</w:t>
      </w:r>
      <w:r>
        <w:rPr>
          <w:color w:val="231F20"/>
        </w:rPr>
        <w:t> recommended</w:t>
      </w:r>
      <w:r>
        <w:rPr>
          <w:color w:val="231F20"/>
          <w:spacing w:val="-9"/>
        </w:rPr>
        <w:t> </w:t>
      </w:r>
      <w:r>
        <w:rPr>
          <w:color w:val="231F20"/>
        </w:rPr>
        <w:t>a</w:t>
      </w:r>
      <w:r>
        <w:rPr>
          <w:color w:val="231F20"/>
          <w:spacing w:val="-6"/>
        </w:rPr>
        <w:t> </w:t>
      </w:r>
      <w:r>
        <w:rPr>
          <w:color w:val="231F20"/>
        </w:rPr>
        <w:t>funding</w:t>
      </w:r>
      <w:r>
        <w:rPr>
          <w:color w:val="231F20"/>
          <w:spacing w:val="-7"/>
        </w:rPr>
        <w:t> </w:t>
      </w:r>
      <w:r>
        <w:rPr>
          <w:color w:val="231F20"/>
          <w:spacing w:val="-1"/>
        </w:rPr>
        <w:t>model</w:t>
      </w:r>
      <w:r>
        <w:rPr>
          <w:color w:val="231F20"/>
          <w:spacing w:val="-6"/>
        </w:rPr>
        <w:t> </w:t>
      </w:r>
      <w:r>
        <w:rPr>
          <w:color w:val="231F20"/>
        </w:rPr>
        <w:t>for</w:t>
      </w:r>
      <w:r>
        <w:rPr>
          <w:color w:val="231F20"/>
          <w:spacing w:val="-7"/>
        </w:rPr>
        <w:t> </w:t>
      </w:r>
      <w:r>
        <w:rPr>
          <w:color w:val="231F20"/>
        </w:rPr>
        <w:t>Aboriginal</w:t>
      </w:r>
      <w:r>
        <w:rPr>
          <w:color w:val="231F20"/>
          <w:spacing w:val="21"/>
          <w:w w:val="99"/>
        </w:rPr>
        <w:t> </w:t>
      </w:r>
      <w:r>
        <w:rPr>
          <w:color w:val="231F20"/>
        </w:rPr>
        <w:t>and</w:t>
      </w:r>
      <w:r>
        <w:rPr>
          <w:color w:val="231F20"/>
          <w:spacing w:val="-6"/>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5"/>
        </w:rPr>
        <w:t> </w:t>
      </w:r>
      <w:r>
        <w:rPr>
          <w:color w:val="231F20"/>
        </w:rPr>
        <w:t>boarding</w:t>
      </w:r>
      <w:r>
        <w:rPr>
          <w:color w:val="231F20"/>
          <w:spacing w:val="-6"/>
        </w:rPr>
        <w:t> </w:t>
      </w:r>
      <w:r>
        <w:rPr>
          <w:color w:val="231F20"/>
        </w:rPr>
        <w:t>that</w:t>
      </w:r>
      <w:r>
        <w:rPr>
          <w:color w:val="231F20"/>
          <w:spacing w:val="21"/>
          <w:w w:val="99"/>
        </w:rPr>
        <w:t> </w:t>
      </w:r>
      <w:r>
        <w:rPr>
          <w:color w:val="231F20"/>
          <w:spacing w:val="-1"/>
        </w:rPr>
        <w:t>incorporates</w:t>
      </w:r>
      <w:r>
        <w:rPr>
          <w:color w:val="231F20"/>
          <w:spacing w:val="-5"/>
        </w:rPr>
        <w:t> </w:t>
      </w:r>
      <w:r>
        <w:rPr>
          <w:color w:val="231F20"/>
        </w:rPr>
        <w:t>base</w:t>
      </w:r>
      <w:r>
        <w:rPr>
          <w:color w:val="231F20"/>
          <w:spacing w:val="-6"/>
        </w:rPr>
        <w:t> </w:t>
      </w:r>
      <w:r>
        <w:rPr>
          <w:color w:val="231F20"/>
        </w:rPr>
        <w:t>funding</w:t>
      </w:r>
      <w:r>
        <w:rPr>
          <w:color w:val="231F20"/>
          <w:spacing w:val="-5"/>
        </w:rPr>
        <w:t> </w:t>
      </w:r>
      <w:r>
        <w:rPr>
          <w:color w:val="231F20"/>
        </w:rPr>
        <w:t>and</w:t>
      </w:r>
      <w:r>
        <w:rPr>
          <w:color w:val="231F20"/>
          <w:spacing w:val="-6"/>
        </w:rPr>
        <w:t> </w:t>
      </w:r>
      <w:r>
        <w:rPr>
          <w:color w:val="231F20"/>
          <w:spacing w:val="-1"/>
        </w:rPr>
        <w:t>similar</w:t>
      </w:r>
      <w:r>
        <w:rPr>
          <w:color w:val="231F20"/>
          <w:spacing w:val="-5"/>
        </w:rPr>
        <w:t> </w:t>
      </w:r>
      <w:r>
        <w:rPr>
          <w:color w:val="231F20"/>
          <w:spacing w:val="-1"/>
        </w:rPr>
        <w:t>loadings</w:t>
      </w:r>
      <w:r>
        <w:rPr>
          <w:color w:val="231F20"/>
          <w:spacing w:val="22"/>
        </w:rPr>
        <w:t> </w:t>
      </w:r>
      <w:r>
        <w:rPr>
          <w:color w:val="231F20"/>
        </w:rPr>
        <w:t>for</w:t>
      </w:r>
      <w:r>
        <w:rPr>
          <w:color w:val="231F20"/>
          <w:spacing w:val="-4"/>
        </w:rPr>
        <w:t> </w:t>
      </w:r>
      <w:r>
        <w:rPr>
          <w:color w:val="231F20"/>
        </w:rPr>
        <w:t>disadvantage</w:t>
      </w:r>
      <w:r>
        <w:rPr>
          <w:color w:val="231F20"/>
          <w:spacing w:val="-5"/>
        </w:rPr>
        <w:t> </w:t>
      </w:r>
      <w:r>
        <w:rPr>
          <w:color w:val="231F20"/>
        </w:rPr>
        <w:t>and</w:t>
      </w:r>
      <w:r>
        <w:rPr>
          <w:color w:val="231F20"/>
          <w:spacing w:val="-4"/>
        </w:rPr>
        <w:t> </w:t>
      </w:r>
      <w:r>
        <w:rPr>
          <w:color w:val="231F20"/>
        </w:rPr>
        <w:t>need</w:t>
      </w:r>
      <w:r>
        <w:rPr>
          <w:color w:val="231F20"/>
          <w:spacing w:val="-5"/>
        </w:rPr>
        <w:t> </w:t>
      </w:r>
      <w:r>
        <w:rPr>
          <w:color w:val="231F20"/>
        </w:rPr>
        <w:t>as</w:t>
      </w:r>
      <w:r>
        <w:rPr>
          <w:color w:val="231F20"/>
          <w:spacing w:val="-4"/>
        </w:rPr>
        <w:t> </w:t>
      </w:r>
      <w:r>
        <w:rPr>
          <w:color w:val="231F20"/>
        </w:rPr>
        <w:t>exist</w:t>
      </w:r>
      <w:r>
        <w:rPr>
          <w:color w:val="231F20"/>
          <w:spacing w:val="-5"/>
        </w:rPr>
        <w:t> </w:t>
      </w:r>
      <w:r>
        <w:rPr>
          <w:color w:val="231F20"/>
          <w:spacing w:val="-1"/>
        </w:rPr>
        <w:t>in</w:t>
      </w:r>
      <w:r>
        <w:rPr>
          <w:color w:val="231F20"/>
          <w:spacing w:val="-3"/>
        </w:rPr>
        <w:t> </w:t>
      </w:r>
      <w:r>
        <w:rPr>
          <w:color w:val="231F20"/>
        </w:rPr>
        <w:t>the</w:t>
      </w:r>
      <w:r>
        <w:rPr>
          <w:color w:val="231F20"/>
          <w:spacing w:val="21"/>
          <w:w w:val="99"/>
        </w:rPr>
        <w:t> </w:t>
      </w:r>
      <w:r>
        <w:rPr>
          <w:color w:val="231F20"/>
        </w:rPr>
        <w:t>funding</w:t>
      </w:r>
      <w:r>
        <w:rPr>
          <w:color w:val="231F20"/>
          <w:spacing w:val="-8"/>
        </w:rPr>
        <w:t> </w:t>
      </w:r>
      <w:r>
        <w:rPr>
          <w:color w:val="231F20"/>
          <w:spacing w:val="-1"/>
        </w:rPr>
        <w:t>model</w:t>
      </w:r>
      <w:r>
        <w:rPr>
          <w:color w:val="231F20"/>
          <w:spacing w:val="-8"/>
        </w:rPr>
        <w:t> </w:t>
      </w:r>
      <w:r>
        <w:rPr>
          <w:color w:val="231F20"/>
        </w:rPr>
        <w:t>for</w:t>
      </w:r>
      <w:r>
        <w:rPr>
          <w:color w:val="231F20"/>
          <w:spacing w:val="-8"/>
        </w:rPr>
        <w:t> </w:t>
      </w:r>
      <w:r>
        <w:rPr>
          <w:color w:val="231F20"/>
          <w:spacing w:val="-1"/>
        </w:rPr>
        <w:t>Commonwealth</w:t>
      </w:r>
      <w:r>
        <w:rPr>
          <w:color w:val="231F20"/>
          <w:spacing w:val="-8"/>
        </w:rPr>
        <w:t> </w:t>
      </w:r>
      <w:r>
        <w:rPr>
          <w:color w:val="231F20"/>
        </w:rPr>
        <w:t>recurrent</w:t>
      </w:r>
      <w:r>
        <w:rPr>
          <w:color w:val="231F20"/>
          <w:spacing w:val="23"/>
          <w:w w:val="99"/>
        </w:rPr>
        <w:t> </w:t>
      </w:r>
      <w:r>
        <w:rPr>
          <w:color w:val="231F20"/>
          <w:spacing w:val="-1"/>
        </w:rPr>
        <w:t>school</w:t>
      </w:r>
      <w:r>
        <w:rPr>
          <w:color w:val="231F20"/>
          <w:spacing w:val="-5"/>
        </w:rPr>
        <w:t> </w:t>
      </w:r>
      <w:r>
        <w:rPr>
          <w:color w:val="231F20"/>
        </w:rPr>
        <w:t>funding.</w:t>
      </w:r>
      <w:r>
        <w:rPr>
          <w:color w:val="231F20"/>
          <w:spacing w:val="-4"/>
        </w:rPr>
        <w:t> </w:t>
      </w:r>
      <w:r>
        <w:rPr>
          <w:color w:val="231F20"/>
          <w:spacing w:val="-1"/>
        </w:rPr>
        <w:t>It</w:t>
      </w:r>
      <w:r>
        <w:rPr>
          <w:color w:val="231F20"/>
          <w:spacing w:val="-4"/>
        </w:rPr>
        <w:t> </w:t>
      </w:r>
      <w:r>
        <w:rPr>
          <w:color w:val="231F20"/>
        </w:rPr>
        <w:t>was</w:t>
      </w:r>
      <w:r>
        <w:rPr>
          <w:color w:val="231F20"/>
          <w:spacing w:val="-5"/>
        </w:rPr>
        <w:t> </w:t>
      </w:r>
      <w:r>
        <w:rPr>
          <w:color w:val="231F20"/>
          <w:spacing w:val="-1"/>
        </w:rPr>
        <w:t>suggested</w:t>
      </w:r>
      <w:r>
        <w:rPr>
          <w:color w:val="231F20"/>
          <w:spacing w:val="-3"/>
        </w:rPr>
        <w:t> </w:t>
      </w:r>
      <w:r>
        <w:rPr>
          <w:color w:val="231F20"/>
        </w:rPr>
        <w:t>that</w:t>
      </w:r>
      <w:r>
        <w:rPr>
          <w:color w:val="231F20"/>
          <w:spacing w:val="-5"/>
        </w:rPr>
        <w:t> </w:t>
      </w:r>
      <w:r>
        <w:rPr>
          <w:color w:val="231F20"/>
        </w:rPr>
        <w:t>this</w:t>
      </w:r>
      <w:r>
        <w:rPr>
          <w:color w:val="231F20"/>
        </w:rPr>
        <w:t> </w:t>
      </w:r>
      <w:r>
        <w:rPr>
          <w:color w:val="231F20"/>
          <w:spacing w:val="24"/>
        </w:rPr>
        <w:t> </w:t>
      </w:r>
      <w:r>
        <w:rPr>
          <w:color w:val="231F20"/>
          <w:spacing w:val="-1"/>
        </w:rPr>
        <w:t>model</w:t>
      </w:r>
      <w:r>
        <w:rPr>
          <w:color w:val="231F20"/>
          <w:spacing w:val="-7"/>
        </w:rPr>
        <w:t> </w:t>
      </w:r>
      <w:r>
        <w:rPr>
          <w:color w:val="231F20"/>
        </w:rPr>
        <w:t>would</w:t>
      </w:r>
      <w:r>
        <w:rPr>
          <w:color w:val="231F20"/>
          <w:spacing w:val="-8"/>
        </w:rPr>
        <w:t> </w:t>
      </w:r>
      <w:r>
        <w:rPr>
          <w:color w:val="231F20"/>
        </w:rPr>
        <w:t>provide</w:t>
      </w:r>
      <w:r>
        <w:rPr>
          <w:color w:val="231F20"/>
          <w:spacing w:val="-7"/>
        </w:rPr>
        <w:t> </w:t>
      </w:r>
      <w:r>
        <w:rPr>
          <w:color w:val="231F20"/>
        </w:rPr>
        <w:t>greater</w:t>
      </w:r>
      <w:r>
        <w:rPr>
          <w:color w:val="231F20"/>
          <w:spacing w:val="-8"/>
        </w:rPr>
        <w:t> </w:t>
      </w:r>
      <w:r>
        <w:rPr>
          <w:color w:val="231F20"/>
        </w:rPr>
        <w:t>funding</w:t>
      </w:r>
      <w:r>
        <w:rPr>
          <w:color w:val="231F20"/>
          <w:spacing w:val="-6"/>
        </w:rPr>
        <w:t> </w:t>
      </w:r>
      <w:r>
        <w:rPr>
          <w:color w:val="231F20"/>
        </w:rPr>
        <w:t>certainty</w:t>
      </w:r>
      <w:r>
        <w:rPr>
          <w:color w:val="231F20"/>
          <w:spacing w:val="21"/>
          <w:w w:val="99"/>
        </w:rPr>
        <w:t> </w:t>
      </w:r>
      <w:r>
        <w:rPr>
          <w:color w:val="231F20"/>
        </w:rPr>
        <w:t>for</w:t>
      </w:r>
      <w:r>
        <w:rPr>
          <w:color w:val="231F20"/>
          <w:spacing w:val="-8"/>
        </w:rPr>
        <w:t> </w:t>
      </w:r>
      <w:r>
        <w:rPr>
          <w:color w:val="231F20"/>
        </w:rPr>
        <w:t>boarding</w:t>
      </w:r>
      <w:r>
        <w:rPr>
          <w:color w:val="231F20"/>
          <w:spacing w:val="-8"/>
        </w:rPr>
        <w:t> </w:t>
      </w:r>
      <w:r>
        <w:rPr>
          <w:color w:val="231F20"/>
        </w:rPr>
        <w:t>providers,</w:t>
      </w:r>
      <w:r>
        <w:rPr>
          <w:color w:val="231F20"/>
          <w:spacing w:val="-8"/>
        </w:rPr>
        <w:t> </w:t>
      </w:r>
      <w:r>
        <w:rPr>
          <w:color w:val="231F20"/>
        </w:rPr>
        <w:t>address</w:t>
      </w:r>
      <w:r>
        <w:rPr>
          <w:color w:val="231F20"/>
          <w:spacing w:val="-8"/>
        </w:rPr>
        <w:t> </w:t>
      </w:r>
      <w:r>
        <w:rPr>
          <w:color w:val="231F20"/>
        </w:rPr>
        <w:t>the</w:t>
      </w:r>
      <w:r>
        <w:rPr>
          <w:color w:val="231F20"/>
          <w:spacing w:val="-8"/>
        </w:rPr>
        <w:t> </w:t>
      </w:r>
      <w:r>
        <w:rPr>
          <w:color w:val="231F20"/>
        </w:rPr>
        <w:t>current</w:t>
      </w:r>
      <w:r>
        <w:rPr>
          <w:color w:val="231F20"/>
          <w:w w:val="99"/>
        </w:rPr>
        <w:t> </w:t>
      </w:r>
      <w:r>
        <w:rPr>
          <w:color w:val="231F20"/>
          <w:spacing w:val="-1"/>
        </w:rPr>
        <w:t>shortfall</w:t>
      </w:r>
      <w:r>
        <w:rPr>
          <w:color w:val="231F20"/>
          <w:spacing w:val="-6"/>
        </w:rPr>
        <w:t> </w:t>
      </w:r>
      <w:r>
        <w:rPr>
          <w:color w:val="231F20"/>
          <w:spacing w:val="-1"/>
        </w:rPr>
        <w:t>in</w:t>
      </w:r>
      <w:r>
        <w:rPr>
          <w:color w:val="231F20"/>
          <w:spacing w:val="-6"/>
        </w:rPr>
        <w:t> </w:t>
      </w:r>
      <w:r>
        <w:rPr>
          <w:color w:val="231F20"/>
        </w:rPr>
        <w:t>revenue</w:t>
      </w:r>
      <w:r>
        <w:rPr>
          <w:color w:val="231F20"/>
          <w:spacing w:val="-7"/>
        </w:rPr>
        <w:t> </w:t>
      </w:r>
      <w:r>
        <w:rPr>
          <w:color w:val="231F20"/>
        </w:rPr>
        <w:t>and</w:t>
      </w:r>
      <w:r>
        <w:rPr>
          <w:color w:val="231F20"/>
          <w:spacing w:val="-8"/>
        </w:rPr>
        <w:t> </w:t>
      </w:r>
      <w:r>
        <w:rPr>
          <w:color w:val="231F20"/>
        </w:rPr>
        <w:t>enable</w:t>
      </w:r>
      <w:r>
        <w:rPr>
          <w:color w:val="231F20"/>
          <w:spacing w:val="-7"/>
        </w:rPr>
        <w:t> </w:t>
      </w:r>
      <w:r>
        <w:rPr>
          <w:color w:val="231F20"/>
        </w:rPr>
        <w:t>boarding</w:t>
      </w:r>
      <w:r>
        <w:rPr>
          <w:color w:val="231F20"/>
          <w:spacing w:val="23"/>
          <w:w w:val="99"/>
        </w:rPr>
        <w:t> </w:t>
      </w:r>
      <w:r>
        <w:rPr>
          <w:color w:val="231F20"/>
        </w:rPr>
        <w:t>providers</w:t>
      </w:r>
      <w:r>
        <w:rPr>
          <w:color w:val="231F20"/>
          <w:spacing w:val="-4"/>
        </w:rPr>
        <w:t> </w:t>
      </w:r>
      <w:r>
        <w:rPr>
          <w:color w:val="231F20"/>
        </w:rPr>
        <w:t>to</w:t>
      </w:r>
      <w:r>
        <w:rPr>
          <w:color w:val="231F20"/>
          <w:spacing w:val="-4"/>
        </w:rPr>
        <w:t> </w:t>
      </w:r>
      <w:r>
        <w:rPr>
          <w:color w:val="231F20"/>
        </w:rPr>
        <w:t>better</w:t>
      </w:r>
      <w:r>
        <w:rPr>
          <w:color w:val="231F20"/>
          <w:spacing w:val="-4"/>
        </w:rPr>
        <w:t> </w:t>
      </w:r>
      <w:r>
        <w:rPr>
          <w:color w:val="231F20"/>
          <w:spacing w:val="-1"/>
        </w:rPr>
        <w:t>meet</w:t>
      </w:r>
      <w:r>
        <w:rPr>
          <w:color w:val="231F20"/>
          <w:spacing w:val="-4"/>
        </w:rPr>
        <w:t> </w:t>
      </w:r>
      <w:r>
        <w:rPr>
          <w:color w:val="231F20"/>
        </w:rPr>
        <w:t>the</w:t>
      </w:r>
      <w:r>
        <w:rPr>
          <w:color w:val="231F20"/>
          <w:spacing w:val="-4"/>
        </w:rPr>
        <w:t> </w:t>
      </w:r>
      <w:r>
        <w:rPr>
          <w:color w:val="231F20"/>
        </w:rPr>
        <w:t>high</w:t>
      </w:r>
      <w:r>
        <w:rPr>
          <w:color w:val="231F20"/>
          <w:spacing w:val="-4"/>
        </w:rPr>
        <w:t> </w:t>
      </w:r>
      <w:r>
        <w:rPr>
          <w:color w:val="231F20"/>
        </w:rPr>
        <w:t>needs</w:t>
      </w:r>
      <w:r>
        <w:rPr>
          <w:color w:val="231F20"/>
          <w:spacing w:val="-4"/>
        </w:rPr>
        <w:t> </w:t>
      </w:r>
      <w:r>
        <w:rPr>
          <w:color w:val="231F20"/>
        </w:rPr>
        <w:t>of</w:t>
      </w:r>
      <w:r>
        <w:rPr>
          <w:color w:val="231F20"/>
          <w:spacing w:val="-4"/>
        </w:rPr>
        <w:t> </w:t>
      </w:r>
      <w:r>
        <w:rPr>
          <w:color w:val="231F20"/>
          <w:spacing w:val="-1"/>
        </w:rPr>
        <w:t>most</w:t>
      </w:r>
      <w:r>
        <w:rPr>
          <w:color w:val="231F20"/>
          <w:spacing w:val="21"/>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boarders.</w:t>
      </w:r>
      <w:r>
        <w:rPr/>
      </w:r>
    </w:p>
    <w:p>
      <w:pPr>
        <w:pStyle w:val="BodyText"/>
        <w:spacing w:line="250" w:lineRule="exact"/>
        <w:ind w:left="100" w:right="132"/>
        <w:jc w:val="left"/>
      </w:pPr>
      <w:r>
        <w:rPr>
          <w:color w:val="231F20"/>
        </w:rPr>
        <w:t>The</w:t>
      </w:r>
      <w:r>
        <w:rPr>
          <w:color w:val="231F20"/>
          <w:spacing w:val="-5"/>
        </w:rPr>
        <w:t> </w:t>
      </w:r>
      <w:r>
        <w:rPr>
          <w:color w:val="231F20"/>
        </w:rPr>
        <w:t>factors</w:t>
      </w:r>
      <w:r>
        <w:rPr>
          <w:color w:val="231F20"/>
          <w:spacing w:val="-5"/>
        </w:rPr>
        <w:t> </w:t>
      </w:r>
      <w:r>
        <w:rPr>
          <w:color w:val="231F20"/>
        </w:rPr>
        <w:t>contributing</w:t>
      </w:r>
      <w:r>
        <w:rPr>
          <w:color w:val="231F20"/>
          <w:spacing w:val="-6"/>
        </w:rPr>
        <w:t> </w:t>
      </w:r>
      <w:r>
        <w:rPr>
          <w:color w:val="231F20"/>
        </w:rPr>
        <w:t>to</w:t>
      </w:r>
      <w:r>
        <w:rPr>
          <w:color w:val="231F20"/>
          <w:spacing w:val="-5"/>
        </w:rPr>
        <w:t> </w:t>
      </w:r>
      <w:r>
        <w:rPr>
          <w:color w:val="231F20"/>
        </w:rPr>
        <w:t>the</w:t>
      </w:r>
      <w:r>
        <w:rPr>
          <w:color w:val="231F20"/>
          <w:spacing w:val="-6"/>
        </w:rPr>
        <w:t> </w:t>
      </w:r>
      <w:r>
        <w:rPr>
          <w:color w:val="231F20"/>
        </w:rPr>
        <w:t>cost</w:t>
      </w:r>
      <w:r>
        <w:rPr>
          <w:color w:val="231F20"/>
          <w:spacing w:val="-6"/>
        </w:rPr>
        <w:t> </w:t>
      </w:r>
      <w:r>
        <w:rPr>
          <w:color w:val="231F20"/>
        </w:rPr>
        <w:t>of</w:t>
      </w:r>
      <w:r>
        <w:rPr>
          <w:color w:val="231F20"/>
          <w:spacing w:val="-5"/>
        </w:rPr>
        <w:t> </w:t>
      </w:r>
      <w:r>
        <w:rPr>
          <w:color w:val="231F20"/>
        </w:rPr>
        <w:t>boarding</w:t>
      </w:r>
      <w:r>
        <w:rPr>
          <w:color w:val="231F20"/>
          <w:w w:val="99"/>
        </w:rPr>
        <w:t> </w:t>
      </w:r>
      <w:r>
        <w:rPr>
          <w:color w:val="231F20"/>
        </w:rPr>
        <w:t>delivery</w:t>
      </w:r>
      <w:r>
        <w:rPr>
          <w:color w:val="231F20"/>
          <w:spacing w:val="-7"/>
        </w:rPr>
        <w:t> </w:t>
      </w:r>
      <w:r>
        <w:rPr>
          <w:color w:val="231F20"/>
        </w:rPr>
        <w:t>for</w:t>
      </w:r>
      <w:r>
        <w:rPr>
          <w:color w:val="231F20"/>
          <w:spacing w:val="-5"/>
        </w:rPr>
        <w:t> </w:t>
      </w:r>
      <w:r>
        <w:rPr>
          <w:color w:val="231F20"/>
        </w:rPr>
        <w:t>Aboriginal</w:t>
      </w:r>
      <w:r>
        <w:rPr>
          <w:color w:val="231F20"/>
          <w:spacing w:val="-6"/>
        </w:rPr>
        <w:t> </w:t>
      </w:r>
      <w:r>
        <w:rPr>
          <w:color w:val="231F20"/>
        </w:rPr>
        <w:t>and</w:t>
      </w:r>
      <w:r>
        <w:rPr>
          <w:color w:val="231F20"/>
          <w:spacing w:val="-6"/>
        </w:rPr>
        <w:t> </w:t>
      </w:r>
      <w:r>
        <w:rPr>
          <w:color w:val="231F20"/>
          <w:spacing w:val="-5"/>
        </w:rPr>
        <w:t>Torres </w:t>
      </w:r>
      <w:r>
        <w:rPr>
          <w:color w:val="231F20"/>
          <w:spacing w:val="-2"/>
        </w:rPr>
        <w:t>Strait</w:t>
      </w:r>
      <w:r>
        <w:rPr>
          <w:color w:val="231F20"/>
          <w:spacing w:val="-7"/>
        </w:rPr>
        <w:t> </w:t>
      </w:r>
      <w:r>
        <w:rPr>
          <w:color w:val="231F20"/>
          <w:spacing w:val="-1"/>
        </w:rPr>
        <w:t>Islander,</w:t>
      </w:r>
      <w:r>
        <w:rPr>
          <w:color w:val="231F20"/>
          <w:spacing w:val="29"/>
          <w:w w:val="99"/>
        </w:rPr>
        <w:t> </w:t>
      </w:r>
      <w:r>
        <w:rPr>
          <w:color w:val="231F20"/>
        </w:rPr>
        <w:t>along</w:t>
      </w:r>
      <w:r>
        <w:rPr>
          <w:color w:val="231F20"/>
          <w:spacing w:val="-7"/>
        </w:rPr>
        <w:t> </w:t>
      </w:r>
      <w:r>
        <w:rPr>
          <w:color w:val="231F20"/>
        </w:rPr>
        <w:t>with</w:t>
      </w:r>
      <w:r>
        <w:rPr>
          <w:color w:val="231F20"/>
          <w:spacing w:val="-6"/>
        </w:rPr>
        <w:t> </w:t>
      </w:r>
      <w:r>
        <w:rPr>
          <w:color w:val="231F20"/>
        </w:rPr>
        <w:t>an</w:t>
      </w:r>
      <w:r>
        <w:rPr>
          <w:color w:val="231F20"/>
          <w:spacing w:val="-7"/>
        </w:rPr>
        <w:t> </w:t>
      </w:r>
      <w:r>
        <w:rPr>
          <w:color w:val="231F20"/>
        </w:rPr>
        <w:t>examination</w:t>
      </w:r>
      <w:r>
        <w:rPr>
          <w:color w:val="231F20"/>
          <w:spacing w:val="-6"/>
        </w:rPr>
        <w:t> </w:t>
      </w:r>
      <w:r>
        <w:rPr>
          <w:color w:val="231F20"/>
        </w:rPr>
        <w:t>of</w:t>
      </w:r>
      <w:r>
        <w:rPr>
          <w:color w:val="231F20"/>
          <w:spacing w:val="-5"/>
        </w:rPr>
        <w:t> </w:t>
      </w:r>
      <w:r>
        <w:rPr>
          <w:color w:val="231F20"/>
        </w:rPr>
        <w:t>those</w:t>
      </w:r>
      <w:r>
        <w:rPr>
          <w:color w:val="231F20"/>
          <w:spacing w:val="-7"/>
        </w:rPr>
        <w:t> </w:t>
      </w:r>
      <w:r>
        <w:rPr>
          <w:color w:val="231F20"/>
        </w:rPr>
        <w:t>factors</w:t>
      </w:r>
      <w:r>
        <w:rPr>
          <w:color w:val="231F20"/>
          <w:spacing w:val="-5"/>
        </w:rPr>
        <w:t> </w:t>
      </w:r>
      <w:r>
        <w:rPr>
          <w:color w:val="231F20"/>
        </w:rPr>
        <w:t>that</w:t>
      </w:r>
      <w:r>
        <w:rPr>
          <w:color w:val="231F20"/>
          <w:w w:val="99"/>
        </w:rPr>
        <w:t> </w:t>
      </w:r>
      <w:r>
        <w:rPr>
          <w:color w:val="231F20"/>
          <w:spacing w:val="-1"/>
        </w:rPr>
        <w:t>may</w:t>
      </w:r>
      <w:r>
        <w:rPr>
          <w:color w:val="231F20"/>
          <w:spacing w:val="-6"/>
        </w:rPr>
        <w:t> </w:t>
      </w:r>
      <w:r>
        <w:rPr>
          <w:color w:val="231F20"/>
        </w:rPr>
        <w:t>warrant</w:t>
      </w:r>
      <w:r>
        <w:rPr>
          <w:color w:val="231F20"/>
          <w:spacing w:val="-6"/>
        </w:rPr>
        <w:t> </w:t>
      </w:r>
      <w:r>
        <w:rPr>
          <w:color w:val="231F20"/>
        </w:rPr>
        <w:t>a</w:t>
      </w:r>
      <w:r>
        <w:rPr>
          <w:color w:val="231F20"/>
          <w:spacing w:val="-6"/>
        </w:rPr>
        <w:t> </w:t>
      </w:r>
      <w:r>
        <w:rPr>
          <w:color w:val="231F20"/>
        </w:rPr>
        <w:t>boarding</w:t>
      </w:r>
      <w:r>
        <w:rPr>
          <w:color w:val="231F20"/>
          <w:spacing w:val="-6"/>
        </w:rPr>
        <w:t> </w:t>
      </w:r>
      <w:r>
        <w:rPr>
          <w:color w:val="231F20"/>
        </w:rPr>
        <w:t>funding</w:t>
      </w:r>
      <w:r>
        <w:rPr>
          <w:color w:val="231F20"/>
          <w:spacing w:val="-5"/>
        </w:rPr>
        <w:t> </w:t>
      </w:r>
      <w:r>
        <w:rPr>
          <w:color w:val="231F20"/>
          <w:spacing w:val="-1"/>
        </w:rPr>
        <w:t>loading,</w:t>
      </w:r>
      <w:r>
        <w:rPr>
          <w:color w:val="231F20"/>
          <w:spacing w:val="-6"/>
        </w:rPr>
        <w:t> </w:t>
      </w:r>
      <w:r>
        <w:rPr>
          <w:color w:val="231F20"/>
        </w:rPr>
        <w:t>are</w:t>
      </w:r>
      <w:r>
        <w:rPr>
          <w:color w:val="231F20"/>
          <w:spacing w:val="23"/>
          <w:w w:val="99"/>
        </w:rPr>
        <w:t> </w:t>
      </w:r>
      <w:r>
        <w:rPr>
          <w:color w:val="231F20"/>
        </w:rPr>
        <w:t>discussed</w:t>
      </w:r>
      <w:r>
        <w:rPr>
          <w:color w:val="231F20"/>
          <w:spacing w:val="-3"/>
        </w:rPr>
        <w:t> </w:t>
      </w:r>
      <w:r>
        <w:rPr>
          <w:color w:val="231F20"/>
          <w:spacing w:val="-1"/>
        </w:rPr>
        <w:t>in</w:t>
      </w:r>
      <w:r>
        <w:rPr>
          <w:color w:val="231F20"/>
          <w:spacing w:val="-2"/>
        </w:rPr>
        <w:t> Part </w:t>
      </w:r>
      <w:r>
        <w:rPr>
          <w:color w:val="231F20"/>
        </w:rPr>
        <w:t>13.</w:t>
      </w:r>
      <w:r>
        <w:rPr/>
      </w:r>
    </w:p>
    <w:p>
      <w:pPr>
        <w:spacing w:after="0" w:line="250" w:lineRule="exact"/>
        <w:jc w:val="left"/>
        <w:sectPr>
          <w:type w:val="continuous"/>
          <w:pgSz w:w="11910" w:h="16840"/>
          <w:pgMar w:top="1580" w:bottom="280" w:left="1600" w:right="1300"/>
          <w:cols w:num="2" w:equalWidth="0">
            <w:col w:w="4278" w:space="257"/>
            <w:col w:w="4475"/>
          </w:cols>
        </w:sectPr>
      </w:pPr>
    </w:p>
    <w:p>
      <w:pPr>
        <w:spacing w:line="240" w:lineRule="auto" w:before="0"/>
        <w:rPr>
          <w:rFonts w:ascii="Segoe UI" w:hAnsi="Segoe UI" w:cs="Segoe UI" w:eastAsia="Segoe UI"/>
          <w:sz w:val="20"/>
          <w:szCs w:val="20"/>
        </w:rPr>
      </w:pPr>
    </w:p>
    <w:p>
      <w:pPr>
        <w:spacing w:line="240" w:lineRule="auto" w:before="1"/>
        <w:rPr>
          <w:rFonts w:ascii="Segoe UI" w:hAnsi="Segoe UI" w:cs="Segoe UI" w:eastAsia="Segoe UI"/>
          <w:sz w:val="20"/>
          <w:szCs w:val="20"/>
        </w:rPr>
      </w:pPr>
    </w:p>
    <w:p>
      <w:pPr>
        <w:pStyle w:val="Heading1"/>
        <w:numPr>
          <w:ilvl w:val="0"/>
          <w:numId w:val="4"/>
        </w:numPr>
        <w:tabs>
          <w:tab w:pos="838" w:val="left" w:leader="none"/>
        </w:tabs>
        <w:spacing w:line="567" w:lineRule="exact" w:before="0" w:after="0"/>
        <w:ind w:left="837" w:right="0" w:hanging="720"/>
        <w:jc w:val="left"/>
      </w:pPr>
      <w:bookmarkStart w:name="_TOC_250020" w:id="16"/>
      <w:r>
        <w:rPr>
          <w:color w:val="67973F"/>
          <w:spacing w:val="-1"/>
        </w:rPr>
        <w:t>Boarding</w:t>
      </w:r>
      <w:r>
        <w:rPr>
          <w:color w:val="67973F"/>
          <w:spacing w:val="-17"/>
        </w:rPr>
        <w:t> </w:t>
      </w:r>
      <w:r>
        <w:rPr>
          <w:color w:val="67973F"/>
        </w:rPr>
        <w:t>costs</w:t>
      </w:r>
      <w:bookmarkEnd w:id="16"/>
      <w:r>
        <w:rPr/>
      </w:r>
    </w:p>
    <w:p>
      <w:pPr>
        <w:pStyle w:val="Heading4"/>
        <w:spacing w:line="300" w:lineRule="exact" w:before="148"/>
        <w:ind w:left="117" w:right="210"/>
        <w:jc w:val="left"/>
      </w:pPr>
      <w:r>
        <w:rPr>
          <w:color w:val="666155"/>
        </w:rPr>
        <w:t>An</w:t>
      </w:r>
      <w:r>
        <w:rPr>
          <w:color w:val="666155"/>
          <w:spacing w:val="-5"/>
        </w:rPr>
        <w:t> </w:t>
      </w:r>
      <w:r>
        <w:rPr>
          <w:color w:val="666155"/>
        </w:rPr>
        <w:t>analysis</w:t>
      </w:r>
      <w:r>
        <w:rPr>
          <w:color w:val="666155"/>
          <w:spacing w:val="-5"/>
        </w:rPr>
        <w:t> </w:t>
      </w:r>
      <w:r>
        <w:rPr>
          <w:color w:val="666155"/>
        </w:rPr>
        <w:t>has</w:t>
      </w:r>
      <w:r>
        <w:rPr>
          <w:color w:val="666155"/>
          <w:spacing w:val="-6"/>
        </w:rPr>
        <w:t> </w:t>
      </w:r>
      <w:r>
        <w:rPr>
          <w:color w:val="666155"/>
        </w:rPr>
        <w:t>been</w:t>
      </w:r>
      <w:r>
        <w:rPr>
          <w:color w:val="666155"/>
          <w:spacing w:val="-5"/>
        </w:rPr>
        <w:t> </w:t>
      </w:r>
      <w:r>
        <w:rPr>
          <w:color w:val="666155"/>
        </w:rPr>
        <w:t>undertaken</w:t>
      </w:r>
      <w:r>
        <w:rPr>
          <w:color w:val="666155"/>
          <w:spacing w:val="-6"/>
        </w:rPr>
        <w:t> </w:t>
      </w:r>
      <w:r>
        <w:rPr>
          <w:color w:val="666155"/>
        </w:rPr>
        <w:t>of</w:t>
      </w:r>
      <w:r>
        <w:rPr>
          <w:color w:val="666155"/>
          <w:spacing w:val="-4"/>
        </w:rPr>
        <w:t> </w:t>
      </w:r>
      <w:r>
        <w:rPr>
          <w:color w:val="666155"/>
        </w:rPr>
        <w:t>the</w:t>
      </w:r>
      <w:r>
        <w:rPr>
          <w:color w:val="666155"/>
          <w:spacing w:val="-6"/>
        </w:rPr>
        <w:t> </w:t>
      </w:r>
      <w:r>
        <w:rPr>
          <w:color w:val="666155"/>
        </w:rPr>
        <w:t>costs</w:t>
      </w:r>
      <w:r>
        <w:rPr>
          <w:color w:val="666155"/>
          <w:spacing w:val="-5"/>
        </w:rPr>
        <w:t> </w:t>
      </w:r>
      <w:r>
        <w:rPr>
          <w:color w:val="666155"/>
        </w:rPr>
        <w:t>of</w:t>
      </w:r>
      <w:r>
        <w:rPr>
          <w:color w:val="666155"/>
          <w:spacing w:val="-4"/>
        </w:rPr>
        <w:t> </w:t>
      </w:r>
      <w:r>
        <w:rPr>
          <w:color w:val="666155"/>
        </w:rPr>
        <w:t>providing</w:t>
      </w:r>
      <w:r>
        <w:rPr>
          <w:color w:val="666155"/>
          <w:spacing w:val="-6"/>
        </w:rPr>
        <w:t> </w:t>
      </w:r>
      <w:r>
        <w:rPr>
          <w:color w:val="666155"/>
        </w:rPr>
        <w:t>boarding</w:t>
      </w:r>
      <w:r>
        <w:rPr>
          <w:color w:val="666155"/>
          <w:spacing w:val="-5"/>
        </w:rPr>
        <w:t> </w:t>
      </w:r>
      <w:r>
        <w:rPr>
          <w:color w:val="666155"/>
        </w:rPr>
        <w:t>at</w:t>
      </w:r>
      <w:r>
        <w:rPr>
          <w:color w:val="666155"/>
          <w:spacing w:val="-5"/>
        </w:rPr>
        <w:t> </w:t>
      </w:r>
      <w:r>
        <w:rPr>
          <w:color w:val="666155"/>
        </w:rPr>
        <w:t>the</w:t>
      </w:r>
      <w:r>
        <w:rPr>
          <w:color w:val="666155"/>
          <w:w w:val="99"/>
        </w:rPr>
        <w:t> </w:t>
      </w:r>
      <w:r>
        <w:rPr>
          <w:color w:val="666155"/>
        </w:rPr>
        <w:t>boarding</w:t>
      </w:r>
      <w:r>
        <w:rPr>
          <w:color w:val="666155"/>
          <w:spacing w:val="-8"/>
        </w:rPr>
        <w:t> </w:t>
      </w:r>
      <w:r>
        <w:rPr>
          <w:color w:val="666155"/>
        </w:rPr>
        <w:t>providers</w:t>
      </w:r>
      <w:r>
        <w:rPr>
          <w:color w:val="666155"/>
          <w:spacing w:val="-7"/>
        </w:rPr>
        <w:t> </w:t>
      </w:r>
      <w:r>
        <w:rPr>
          <w:color w:val="666155"/>
          <w:spacing w:val="-1"/>
        </w:rPr>
        <w:t>included</w:t>
      </w:r>
      <w:r>
        <w:rPr>
          <w:color w:val="666155"/>
          <w:spacing w:val="-6"/>
        </w:rPr>
        <w:t> </w:t>
      </w:r>
      <w:r>
        <w:rPr>
          <w:color w:val="666155"/>
          <w:spacing w:val="-1"/>
        </w:rPr>
        <w:t>in</w:t>
      </w:r>
      <w:r>
        <w:rPr>
          <w:color w:val="666155"/>
          <w:spacing w:val="-7"/>
        </w:rPr>
        <w:t> </w:t>
      </w:r>
      <w:r>
        <w:rPr>
          <w:color w:val="666155"/>
        </w:rPr>
        <w:t>this</w:t>
      </w:r>
      <w:r>
        <w:rPr>
          <w:color w:val="666155"/>
          <w:spacing w:val="-7"/>
        </w:rPr>
        <w:t> </w:t>
      </w:r>
      <w:r>
        <w:rPr>
          <w:color w:val="666155"/>
        </w:rPr>
        <w:t>report</w:t>
      </w:r>
      <w:r>
        <w:rPr>
          <w:color w:val="666155"/>
          <w:spacing w:val="-7"/>
        </w:rPr>
        <w:t> </w:t>
      </w:r>
      <w:r>
        <w:rPr>
          <w:color w:val="666155"/>
        </w:rPr>
        <w:t>to:</w:t>
      </w:r>
      <w:r>
        <w:rPr/>
      </w:r>
    </w:p>
    <w:p>
      <w:pPr>
        <w:pStyle w:val="Heading4"/>
        <w:spacing w:line="240" w:lineRule="auto" w:before="94"/>
        <w:ind w:left="117" w:right="0"/>
        <w:jc w:val="left"/>
      </w:pPr>
      <w:r>
        <w:rPr>
          <w:rFonts w:ascii="Century Gothic" w:hAnsi="Century Gothic"/>
          <w:color w:val="666155"/>
        </w:rPr>
        <w:t>»</w:t>
      </w:r>
      <w:r>
        <w:rPr>
          <w:rFonts w:ascii="Century Gothic" w:hAnsi="Century Gothic"/>
          <w:color w:val="666155"/>
          <w:spacing w:val="46"/>
        </w:rPr>
        <w:t> </w:t>
      </w:r>
      <w:r>
        <w:rPr>
          <w:color w:val="666155"/>
        </w:rPr>
        <w:t>understand</w:t>
      </w:r>
      <w:r>
        <w:rPr>
          <w:color w:val="666155"/>
          <w:spacing w:val="-7"/>
        </w:rPr>
        <w:t> </w:t>
      </w:r>
      <w:r>
        <w:rPr>
          <w:color w:val="666155"/>
        </w:rPr>
        <w:t>the</w:t>
      </w:r>
      <w:r>
        <w:rPr>
          <w:color w:val="666155"/>
          <w:spacing w:val="-8"/>
        </w:rPr>
        <w:t> </w:t>
      </w:r>
      <w:r>
        <w:rPr>
          <w:color w:val="666155"/>
        </w:rPr>
        <w:t>quantum</w:t>
      </w:r>
      <w:r>
        <w:rPr>
          <w:color w:val="666155"/>
          <w:spacing w:val="-7"/>
        </w:rPr>
        <w:t> </w:t>
      </w:r>
      <w:r>
        <w:rPr>
          <w:color w:val="666155"/>
        </w:rPr>
        <w:t>and</w:t>
      </w:r>
      <w:r>
        <w:rPr>
          <w:color w:val="666155"/>
          <w:spacing w:val="-8"/>
        </w:rPr>
        <w:t> </w:t>
      </w:r>
      <w:r>
        <w:rPr>
          <w:color w:val="666155"/>
        </w:rPr>
        <w:t>adequacy</w:t>
      </w:r>
      <w:r>
        <w:rPr>
          <w:color w:val="666155"/>
          <w:spacing w:val="-7"/>
        </w:rPr>
        <w:t> </w:t>
      </w:r>
      <w:r>
        <w:rPr>
          <w:color w:val="666155"/>
        </w:rPr>
        <w:t>of</w:t>
      </w:r>
      <w:r>
        <w:rPr>
          <w:color w:val="666155"/>
          <w:spacing w:val="-7"/>
        </w:rPr>
        <w:t> </w:t>
      </w:r>
      <w:r>
        <w:rPr>
          <w:color w:val="666155"/>
        </w:rPr>
        <w:t>funding</w:t>
      </w:r>
      <w:r>
        <w:rPr/>
      </w:r>
    </w:p>
    <w:p>
      <w:pPr>
        <w:pStyle w:val="Heading4"/>
        <w:spacing w:line="300" w:lineRule="exact" w:before="113"/>
        <w:ind w:left="344" w:right="210" w:hanging="227"/>
        <w:jc w:val="left"/>
      </w:pPr>
      <w:r>
        <w:rPr>
          <w:rFonts w:ascii="Century Gothic" w:hAnsi="Century Gothic"/>
          <w:color w:val="666155"/>
        </w:rPr>
        <w:t>»</w:t>
      </w:r>
      <w:r>
        <w:rPr>
          <w:rFonts w:ascii="Century Gothic" w:hAnsi="Century Gothic"/>
          <w:color w:val="666155"/>
          <w:spacing w:val="49"/>
        </w:rPr>
        <w:t> </w:t>
      </w:r>
      <w:r>
        <w:rPr>
          <w:color w:val="666155"/>
        </w:rPr>
        <w:t>understand</w:t>
      </w:r>
      <w:r>
        <w:rPr>
          <w:color w:val="666155"/>
          <w:spacing w:val="-6"/>
        </w:rPr>
        <w:t> </w:t>
      </w:r>
      <w:r>
        <w:rPr>
          <w:color w:val="666155"/>
        </w:rPr>
        <w:t>the</w:t>
      </w:r>
      <w:r>
        <w:rPr>
          <w:color w:val="666155"/>
          <w:spacing w:val="-6"/>
        </w:rPr>
        <w:t> </w:t>
      </w:r>
      <w:r>
        <w:rPr>
          <w:color w:val="666155"/>
        </w:rPr>
        <w:t>ways</w:t>
      </w:r>
      <w:r>
        <w:rPr>
          <w:color w:val="666155"/>
          <w:spacing w:val="-6"/>
        </w:rPr>
        <w:t> </w:t>
      </w:r>
      <w:r>
        <w:rPr>
          <w:color w:val="666155"/>
          <w:spacing w:val="-1"/>
        </w:rPr>
        <w:t>in</w:t>
      </w:r>
      <w:r>
        <w:rPr>
          <w:color w:val="666155"/>
          <w:spacing w:val="-5"/>
        </w:rPr>
        <w:t> </w:t>
      </w:r>
      <w:r>
        <w:rPr>
          <w:color w:val="666155"/>
        </w:rPr>
        <w:t>which</w:t>
      </w:r>
      <w:r>
        <w:rPr>
          <w:color w:val="666155"/>
          <w:spacing w:val="-6"/>
        </w:rPr>
        <w:t> </w:t>
      </w:r>
      <w:r>
        <w:rPr>
          <w:color w:val="666155"/>
        </w:rPr>
        <w:t>funding</w:t>
      </w:r>
      <w:r>
        <w:rPr>
          <w:color w:val="666155"/>
          <w:spacing w:val="-5"/>
        </w:rPr>
        <w:t> </w:t>
      </w:r>
      <w:r>
        <w:rPr>
          <w:color w:val="666155"/>
        </w:rPr>
        <w:t>and</w:t>
      </w:r>
      <w:r>
        <w:rPr>
          <w:color w:val="666155"/>
          <w:spacing w:val="-6"/>
        </w:rPr>
        <w:t> </w:t>
      </w:r>
      <w:r>
        <w:rPr>
          <w:color w:val="666155"/>
        </w:rPr>
        <w:t>other</w:t>
      </w:r>
      <w:r>
        <w:rPr>
          <w:color w:val="666155"/>
          <w:spacing w:val="-5"/>
        </w:rPr>
        <w:t> </w:t>
      </w:r>
      <w:r>
        <w:rPr>
          <w:color w:val="666155"/>
        </w:rPr>
        <w:t>revenue</w:t>
      </w:r>
      <w:r>
        <w:rPr>
          <w:color w:val="666155"/>
          <w:spacing w:val="-5"/>
        </w:rPr>
        <w:t> </w:t>
      </w:r>
      <w:r>
        <w:rPr>
          <w:color w:val="666155"/>
          <w:spacing w:val="-1"/>
        </w:rPr>
        <w:t>sources</w:t>
      </w:r>
      <w:r>
        <w:rPr>
          <w:color w:val="666155"/>
          <w:spacing w:val="-6"/>
        </w:rPr>
        <w:t> </w:t>
      </w:r>
      <w:r>
        <w:rPr>
          <w:color w:val="666155"/>
        </w:rPr>
        <w:t>are</w:t>
      </w:r>
      <w:r>
        <w:rPr>
          <w:color w:val="666155"/>
          <w:spacing w:val="-5"/>
        </w:rPr>
        <w:t> </w:t>
      </w:r>
      <w:r>
        <w:rPr>
          <w:color w:val="666155"/>
        </w:rPr>
        <w:t>being</w:t>
      </w:r>
      <w:r>
        <w:rPr>
          <w:color w:val="666155"/>
          <w:spacing w:val="23"/>
          <w:w w:val="99"/>
        </w:rPr>
        <w:t> </w:t>
      </w:r>
      <w:r>
        <w:rPr>
          <w:color w:val="666155"/>
        </w:rPr>
        <w:t>expended</w:t>
      </w:r>
      <w:r>
        <w:rPr>
          <w:color w:val="666155"/>
          <w:spacing w:val="-6"/>
        </w:rPr>
        <w:t> </w:t>
      </w:r>
      <w:r>
        <w:rPr>
          <w:color w:val="666155"/>
        </w:rPr>
        <w:t>to</w:t>
      </w:r>
      <w:r>
        <w:rPr>
          <w:color w:val="666155"/>
          <w:spacing w:val="-5"/>
        </w:rPr>
        <w:t> </w:t>
      </w:r>
      <w:r>
        <w:rPr>
          <w:color w:val="666155"/>
        </w:rPr>
        <w:t>best</w:t>
      </w:r>
      <w:r>
        <w:rPr>
          <w:color w:val="666155"/>
          <w:spacing w:val="-6"/>
        </w:rPr>
        <w:t> </w:t>
      </w:r>
      <w:r>
        <w:rPr>
          <w:color w:val="666155"/>
          <w:spacing w:val="-1"/>
        </w:rPr>
        <w:t>mee</w:t>
      </w:r>
      <w:r>
        <w:rPr>
          <w:color w:val="666155"/>
        </w:rPr>
        <w:t>t</w:t>
      </w:r>
      <w:r>
        <w:rPr>
          <w:color w:val="666155"/>
          <w:spacing w:val="-5"/>
        </w:rPr>
        <w:t> </w:t>
      </w:r>
      <w:r>
        <w:rPr>
          <w:color w:val="666155"/>
        </w:rPr>
        <w:t>the</w:t>
      </w:r>
      <w:r>
        <w:rPr>
          <w:color w:val="666155"/>
          <w:spacing w:val="-5"/>
        </w:rPr>
        <w:t> </w:t>
      </w:r>
      <w:r>
        <w:rPr>
          <w:color w:val="666155"/>
        </w:rPr>
        <w:t>boarding</w:t>
      </w:r>
      <w:r>
        <w:rPr>
          <w:color w:val="666155"/>
          <w:spacing w:val="-6"/>
        </w:rPr>
        <w:t> </w:t>
      </w:r>
      <w:r>
        <w:rPr>
          <w:color w:val="666155"/>
        </w:rPr>
        <w:t>needs</w:t>
      </w:r>
      <w:r>
        <w:rPr>
          <w:color w:val="666155"/>
          <w:spacing w:val="-6"/>
        </w:rPr>
        <w:t> </w:t>
      </w:r>
      <w:r>
        <w:rPr>
          <w:color w:val="666155"/>
        </w:rPr>
        <w:t>of</w:t>
      </w:r>
      <w:r>
        <w:rPr>
          <w:color w:val="666155"/>
          <w:spacing w:val="-5"/>
        </w:rPr>
        <w:t> </w:t>
      </w:r>
      <w:r>
        <w:rPr>
          <w:color w:val="666155"/>
        </w:rPr>
        <w:t>Aboriginal</w:t>
      </w:r>
      <w:r>
        <w:rPr>
          <w:color w:val="666155"/>
          <w:spacing w:val="-5"/>
        </w:rPr>
        <w:t> </w:t>
      </w:r>
      <w:r>
        <w:rPr>
          <w:color w:val="666155"/>
        </w:rPr>
        <w:t>and</w:t>
      </w:r>
      <w:r>
        <w:rPr>
          <w:color w:val="666155"/>
          <w:spacing w:val="-5"/>
        </w:rPr>
        <w:t> </w:t>
      </w:r>
      <w:r>
        <w:rPr>
          <w:color w:val="666155"/>
          <w:spacing w:val="-26"/>
        </w:rPr>
        <w:t>T</w:t>
      </w:r>
      <w:r>
        <w:rPr>
          <w:color w:val="666155"/>
        </w:rPr>
        <w:t>orres</w:t>
      </w:r>
      <w:r>
        <w:rPr>
          <w:color w:val="666155"/>
          <w:spacing w:val="-5"/>
        </w:rPr>
        <w:t> </w:t>
      </w:r>
      <w:r>
        <w:rPr>
          <w:color w:val="666155"/>
          <w:spacing w:val="-8"/>
        </w:rPr>
        <w:t>S</w:t>
      </w:r>
      <w:r>
        <w:rPr>
          <w:color w:val="666155"/>
        </w:rPr>
        <w:t>trait</w:t>
      </w:r>
      <w:r>
        <w:rPr>
          <w:color w:val="666155"/>
          <w:w w:val="99"/>
        </w:rPr>
        <w:t> </w:t>
      </w:r>
      <w:r>
        <w:rPr>
          <w:color w:val="666155"/>
          <w:spacing w:val="-1"/>
        </w:rPr>
        <w:t>Islander</w:t>
      </w:r>
      <w:r>
        <w:rPr>
          <w:color w:val="666155"/>
          <w:spacing w:val="-9"/>
        </w:rPr>
        <w:t> </w:t>
      </w:r>
      <w:r>
        <w:rPr>
          <w:color w:val="666155"/>
          <w:spacing w:val="-1"/>
        </w:rPr>
        <w:t>students</w:t>
      </w:r>
      <w:r>
        <w:rPr>
          <w:color w:val="231F20"/>
          <w:spacing w:val="-1"/>
        </w:rPr>
        <w:t>.</w:t>
      </w:r>
      <w:r>
        <w:rPr/>
      </w:r>
    </w:p>
    <w:p>
      <w:pPr>
        <w:spacing w:line="240" w:lineRule="auto" w:before="8"/>
        <w:rPr>
          <w:rFonts w:ascii="Segoe UI" w:hAnsi="Segoe UI" w:cs="Segoe UI" w:eastAsia="Segoe UI"/>
          <w:sz w:val="22"/>
          <w:szCs w:val="22"/>
        </w:rPr>
      </w:pPr>
    </w:p>
    <w:p>
      <w:pPr>
        <w:spacing w:after="0" w:line="240" w:lineRule="auto"/>
        <w:rPr>
          <w:rFonts w:ascii="Segoe UI" w:hAnsi="Segoe UI" w:cs="Segoe UI" w:eastAsia="Segoe UI"/>
          <w:sz w:val="22"/>
          <w:szCs w:val="22"/>
        </w:rPr>
        <w:sectPr>
          <w:pgSz w:w="11910" w:h="16840"/>
          <w:pgMar w:header="0" w:footer="691" w:top="1580" w:bottom="880" w:left="1300" w:right="1600"/>
        </w:sectPr>
      </w:pPr>
    </w:p>
    <w:p>
      <w:pPr>
        <w:pStyle w:val="BodyText"/>
        <w:spacing w:line="250" w:lineRule="exact" w:before="72"/>
        <w:ind w:right="18"/>
        <w:jc w:val="left"/>
        <w:rPr>
          <w:rFonts w:ascii="Segoe UI" w:hAnsi="Segoe UI" w:cs="Segoe UI" w:eastAsia="Segoe UI"/>
        </w:rPr>
      </w:pPr>
      <w:r>
        <w:rPr>
          <w:color w:val="231F20"/>
        </w:rPr>
        <w:t>The</w:t>
      </w:r>
      <w:r>
        <w:rPr>
          <w:color w:val="231F20"/>
          <w:spacing w:val="-4"/>
        </w:rPr>
        <w:t> </w:t>
      </w:r>
      <w:r>
        <w:rPr>
          <w:color w:val="231F20"/>
        </w:rPr>
        <w:t>analysis</w:t>
      </w:r>
      <w:r>
        <w:rPr>
          <w:color w:val="231F20"/>
          <w:spacing w:val="-5"/>
        </w:rPr>
        <w:t> </w:t>
      </w:r>
      <w:r>
        <w:rPr>
          <w:color w:val="231F20"/>
        </w:rPr>
        <w:t>does</w:t>
      </w:r>
      <w:r>
        <w:rPr>
          <w:color w:val="231F20"/>
          <w:spacing w:val="-5"/>
        </w:rPr>
        <w:t> </w:t>
      </w:r>
      <w:r>
        <w:rPr>
          <w:color w:val="231F20"/>
        </w:rPr>
        <w:t>not</w:t>
      </w:r>
      <w:r>
        <w:rPr>
          <w:color w:val="231F20"/>
          <w:spacing w:val="-4"/>
        </w:rPr>
        <w:t> </w:t>
      </w:r>
      <w:r>
        <w:rPr>
          <w:color w:val="231F20"/>
        </w:rPr>
        <w:t>consider</w:t>
      </w:r>
      <w:r>
        <w:rPr>
          <w:color w:val="231F20"/>
          <w:spacing w:val="-5"/>
        </w:rPr>
        <w:t> </w:t>
      </w:r>
      <w:r>
        <w:rPr>
          <w:color w:val="231F20"/>
        </w:rPr>
        <w:t>whether</w:t>
      </w:r>
      <w:r>
        <w:rPr>
          <w:color w:val="231F20"/>
          <w:spacing w:val="-5"/>
        </w:rPr>
        <w:t> </w:t>
      </w:r>
      <w:r>
        <w:rPr>
          <w:color w:val="231F20"/>
        </w:rPr>
        <w:t>the</w:t>
      </w:r>
      <w:r>
        <w:rPr>
          <w:color w:val="231F20"/>
          <w:w w:val="99"/>
        </w:rPr>
        <w:t> </w:t>
      </w:r>
      <w:r>
        <w:rPr>
          <w:color w:val="231F20"/>
        </w:rPr>
        <w:t>costs</w:t>
      </w:r>
      <w:r>
        <w:rPr>
          <w:color w:val="231F20"/>
          <w:spacing w:val="-6"/>
        </w:rPr>
        <w:t> </w:t>
      </w:r>
      <w:r>
        <w:rPr>
          <w:color w:val="231F20"/>
        </w:rPr>
        <w:t>or</w:t>
      </w:r>
      <w:r>
        <w:rPr>
          <w:color w:val="231F20"/>
          <w:spacing w:val="-4"/>
        </w:rPr>
        <w:t> </w:t>
      </w:r>
      <w:r>
        <w:rPr>
          <w:color w:val="231F20"/>
        </w:rPr>
        <w:t>the</w:t>
      </w:r>
      <w:r>
        <w:rPr>
          <w:color w:val="231F20"/>
          <w:spacing w:val="-5"/>
        </w:rPr>
        <w:t> </w:t>
      </w:r>
      <w:r>
        <w:rPr>
          <w:color w:val="231F20"/>
        </w:rPr>
        <w:t>quantum</w:t>
      </w:r>
      <w:r>
        <w:rPr>
          <w:color w:val="231F20"/>
          <w:spacing w:val="-5"/>
        </w:rPr>
        <w:t> </w:t>
      </w:r>
      <w:r>
        <w:rPr>
          <w:color w:val="231F20"/>
        </w:rPr>
        <w:t>of</w:t>
      </w:r>
      <w:r>
        <w:rPr>
          <w:color w:val="231F20"/>
          <w:spacing w:val="-4"/>
        </w:rPr>
        <w:t> </w:t>
      </w:r>
      <w:r>
        <w:rPr>
          <w:color w:val="231F20"/>
        </w:rPr>
        <w:t>costs</w:t>
      </w:r>
      <w:r>
        <w:rPr>
          <w:color w:val="231F20"/>
          <w:spacing w:val="-5"/>
        </w:rPr>
        <w:t> </w:t>
      </w:r>
      <w:r>
        <w:rPr>
          <w:color w:val="231F20"/>
        </w:rPr>
        <w:t>were</w:t>
      </w:r>
      <w:r>
        <w:rPr>
          <w:color w:val="231F20"/>
          <w:spacing w:val="-6"/>
        </w:rPr>
        <w:t> </w:t>
      </w:r>
      <w:r>
        <w:rPr>
          <w:color w:val="231F20"/>
        </w:rPr>
        <w:t>appropriate</w:t>
      </w:r>
      <w:r>
        <w:rPr>
          <w:color w:val="231F20"/>
          <w:w w:val="99"/>
        </w:rPr>
        <w:t> </w:t>
      </w:r>
      <w:r>
        <w:rPr>
          <w:rFonts w:ascii="Segoe UI"/>
          <w:color w:val="231F20"/>
        </w:rPr>
        <w:t>or efficient in the delivery of boarding.</w:t>
      </w:r>
      <w:r>
        <w:rPr>
          <w:rFonts w:ascii="Segoe UI"/>
        </w:rPr>
      </w:r>
    </w:p>
    <w:p>
      <w:pPr>
        <w:pStyle w:val="BodyText"/>
        <w:spacing w:line="250" w:lineRule="exact" w:before="113"/>
        <w:ind w:right="148"/>
        <w:jc w:val="left"/>
      </w:pPr>
      <w:r>
        <w:rPr>
          <w:color w:val="231F20"/>
        </w:rPr>
        <w:t>The</w:t>
      </w:r>
      <w:r>
        <w:rPr>
          <w:color w:val="231F20"/>
          <w:spacing w:val="-4"/>
        </w:rPr>
        <w:t> </w:t>
      </w:r>
      <w:r>
        <w:rPr>
          <w:color w:val="231F20"/>
        </w:rPr>
        <w:t>analysis</w:t>
      </w:r>
      <w:r>
        <w:rPr>
          <w:color w:val="231F20"/>
          <w:spacing w:val="-5"/>
        </w:rPr>
        <w:t> </w:t>
      </w:r>
      <w:r>
        <w:rPr>
          <w:color w:val="231F20"/>
        </w:rPr>
        <w:t>found</w:t>
      </w:r>
      <w:r>
        <w:rPr>
          <w:color w:val="231F20"/>
          <w:spacing w:val="-3"/>
        </w:rPr>
        <w:t> </w:t>
      </w:r>
      <w:r>
        <w:rPr>
          <w:color w:val="231F20"/>
        </w:rPr>
        <w:t>that</w:t>
      </w:r>
      <w:r>
        <w:rPr>
          <w:color w:val="231F20"/>
          <w:spacing w:val="-5"/>
        </w:rPr>
        <w:t> </w:t>
      </w:r>
      <w:r>
        <w:rPr>
          <w:color w:val="231F20"/>
        </w:rPr>
        <w:t>the</w:t>
      </w:r>
      <w:r>
        <w:rPr>
          <w:color w:val="231F20"/>
          <w:spacing w:val="-4"/>
        </w:rPr>
        <w:t> </w:t>
      </w:r>
      <w:r>
        <w:rPr>
          <w:color w:val="231F20"/>
        </w:rPr>
        <w:t>cost</w:t>
      </w:r>
      <w:r>
        <w:rPr>
          <w:color w:val="231F20"/>
          <w:spacing w:val="-5"/>
        </w:rPr>
        <w:t> </w:t>
      </w:r>
      <w:r>
        <w:rPr>
          <w:color w:val="231F20"/>
        </w:rPr>
        <w:t>of</w:t>
      </w:r>
      <w:r>
        <w:rPr>
          <w:color w:val="231F20"/>
          <w:spacing w:val="-3"/>
        </w:rPr>
        <w:t> </w:t>
      </w:r>
      <w:r>
        <w:rPr>
          <w:color w:val="231F20"/>
        </w:rPr>
        <w:t>boarding</w:t>
      </w:r>
      <w:r>
        <w:rPr>
          <w:color w:val="231F20"/>
          <w:w w:val="99"/>
        </w:rPr>
        <w:t> </w:t>
      </w:r>
      <w:r>
        <w:rPr>
          <w:color w:val="231F20"/>
        </w:rPr>
        <w:t>varies</w:t>
      </w:r>
      <w:r>
        <w:rPr>
          <w:color w:val="231F20"/>
          <w:spacing w:val="-7"/>
        </w:rPr>
        <w:t> </w:t>
      </w:r>
      <w:r>
        <w:rPr>
          <w:color w:val="231F20"/>
        </w:rPr>
        <w:t>considerably</w:t>
      </w:r>
      <w:r>
        <w:rPr>
          <w:color w:val="231F20"/>
          <w:spacing w:val="-7"/>
        </w:rPr>
        <w:t> </w:t>
      </w:r>
      <w:r>
        <w:rPr>
          <w:color w:val="231F20"/>
        </w:rPr>
        <w:t>depending</w:t>
      </w:r>
      <w:r>
        <w:rPr>
          <w:color w:val="231F20"/>
          <w:spacing w:val="-7"/>
        </w:rPr>
        <w:t> </w:t>
      </w:r>
      <w:r>
        <w:rPr>
          <w:color w:val="231F20"/>
        </w:rPr>
        <w:t>on</w:t>
      </w:r>
      <w:r>
        <w:rPr>
          <w:color w:val="231F20"/>
          <w:spacing w:val="-6"/>
        </w:rPr>
        <w:t> </w:t>
      </w:r>
      <w:r>
        <w:rPr>
          <w:color w:val="231F20"/>
        </w:rPr>
        <w:t>the</w:t>
      </w:r>
      <w:r>
        <w:rPr>
          <w:color w:val="231F20"/>
          <w:spacing w:val="-7"/>
        </w:rPr>
        <w:t> </w:t>
      </w:r>
      <w:r>
        <w:rPr>
          <w:color w:val="231F20"/>
          <w:spacing w:val="-1"/>
        </w:rPr>
        <w:t>model</w:t>
      </w:r>
      <w:r>
        <w:rPr>
          <w:color w:val="231F20"/>
          <w:spacing w:val="20"/>
        </w:rPr>
        <w:t> </w:t>
      </w:r>
      <w:r>
        <w:rPr>
          <w:color w:val="231F20"/>
        </w:rPr>
        <w:t>of</w:t>
      </w:r>
      <w:r>
        <w:rPr>
          <w:color w:val="231F20"/>
          <w:spacing w:val="-6"/>
        </w:rPr>
        <w:t> </w:t>
      </w:r>
      <w:r>
        <w:rPr>
          <w:color w:val="231F20"/>
        </w:rPr>
        <w:t>delivery</w:t>
      </w:r>
      <w:r>
        <w:rPr>
          <w:color w:val="231F20"/>
          <w:spacing w:val="-6"/>
        </w:rPr>
        <w:t> </w:t>
      </w:r>
      <w:r>
        <w:rPr>
          <w:color w:val="231F20"/>
        </w:rPr>
        <w:t>and</w:t>
      </w:r>
      <w:r>
        <w:rPr>
          <w:color w:val="231F20"/>
          <w:spacing w:val="-6"/>
        </w:rPr>
        <w:t> </w:t>
      </w:r>
      <w:r>
        <w:rPr>
          <w:color w:val="231F20"/>
        </w:rPr>
        <w:t>the</w:t>
      </w:r>
      <w:r>
        <w:rPr>
          <w:color w:val="231F20"/>
          <w:spacing w:val="-7"/>
        </w:rPr>
        <w:t> </w:t>
      </w:r>
      <w:r>
        <w:rPr>
          <w:color w:val="231F20"/>
        </w:rPr>
        <w:t>circumstances</w:t>
      </w:r>
      <w:r>
        <w:rPr>
          <w:color w:val="231F20"/>
          <w:spacing w:val="-6"/>
        </w:rPr>
        <w:t> </w:t>
      </w:r>
      <w:r>
        <w:rPr>
          <w:color w:val="231F20"/>
        </w:rPr>
        <w:t>of</w:t>
      </w:r>
      <w:r>
        <w:rPr>
          <w:color w:val="231F20"/>
          <w:spacing w:val="-5"/>
        </w:rPr>
        <w:t> </w:t>
      </w:r>
      <w:r>
        <w:rPr>
          <w:color w:val="231F20"/>
        </w:rPr>
        <w:t>the</w:t>
      </w:r>
      <w:r>
        <w:rPr>
          <w:color w:val="231F20"/>
          <w:w w:val="99"/>
        </w:rPr>
        <w:t> </w:t>
      </w:r>
      <w:r>
        <w:rPr>
          <w:color w:val="231F20"/>
          <w:spacing w:val="-1"/>
        </w:rPr>
        <w:t>student</w:t>
      </w:r>
      <w:r>
        <w:rPr>
          <w:color w:val="231F20"/>
          <w:spacing w:val="-7"/>
        </w:rPr>
        <w:t> </w:t>
      </w:r>
      <w:r>
        <w:rPr>
          <w:color w:val="231F20"/>
        </w:rPr>
        <w:t>cohort</w:t>
      </w:r>
      <w:r>
        <w:rPr>
          <w:color w:val="231F20"/>
          <w:spacing w:val="-6"/>
        </w:rPr>
        <w:t> </w:t>
      </w:r>
      <w:r>
        <w:rPr>
          <w:color w:val="231F20"/>
        </w:rPr>
        <w:t>and</w:t>
      </w:r>
      <w:r>
        <w:rPr>
          <w:color w:val="231F20"/>
          <w:spacing w:val="-7"/>
        </w:rPr>
        <w:t> </w:t>
      </w:r>
      <w:r>
        <w:rPr>
          <w:color w:val="231F20"/>
        </w:rPr>
        <w:t>the</w:t>
      </w:r>
      <w:r>
        <w:rPr>
          <w:color w:val="231F20"/>
          <w:spacing w:val="-8"/>
        </w:rPr>
        <w:t> </w:t>
      </w:r>
      <w:r>
        <w:rPr>
          <w:color w:val="231F20"/>
        </w:rPr>
        <w:t>boarding</w:t>
      </w:r>
      <w:r>
        <w:rPr>
          <w:color w:val="231F20"/>
          <w:spacing w:val="-7"/>
        </w:rPr>
        <w:t> </w:t>
      </w:r>
      <w:r>
        <w:rPr>
          <w:color w:val="231F20"/>
        </w:rPr>
        <w:t>provider.</w:t>
      </w:r>
      <w:r>
        <w:rPr>
          <w:color w:val="231F20"/>
          <w:spacing w:val="-7"/>
        </w:rPr>
        <w:t> </w:t>
      </w:r>
      <w:r>
        <w:rPr>
          <w:color w:val="231F20"/>
        </w:rPr>
        <w:t>The</w:t>
      </w:r>
      <w:r>
        <w:rPr>
          <w:color w:val="231F20"/>
          <w:spacing w:val="22"/>
          <w:w w:val="99"/>
        </w:rPr>
        <w:t> </w:t>
      </w:r>
      <w:r>
        <w:rPr>
          <w:color w:val="231F20"/>
        </w:rPr>
        <w:t>three</w:t>
      </w:r>
      <w:r>
        <w:rPr>
          <w:color w:val="231F20"/>
          <w:spacing w:val="-6"/>
        </w:rPr>
        <w:t> </w:t>
      </w:r>
      <w:r>
        <w:rPr>
          <w:color w:val="231F20"/>
        </w:rPr>
        <w:t>year</w:t>
      </w:r>
      <w:r>
        <w:rPr>
          <w:color w:val="231F20"/>
          <w:spacing w:val="-5"/>
        </w:rPr>
        <w:t> </w:t>
      </w:r>
      <w:r>
        <w:rPr>
          <w:color w:val="231F20"/>
        </w:rPr>
        <w:t>average</w:t>
      </w:r>
      <w:r>
        <w:rPr>
          <w:color w:val="231F20"/>
          <w:spacing w:val="-6"/>
        </w:rPr>
        <w:t> </w:t>
      </w:r>
      <w:r>
        <w:rPr>
          <w:color w:val="231F20"/>
        </w:rPr>
        <w:t>annual</w:t>
      </w:r>
      <w:r>
        <w:rPr>
          <w:color w:val="231F20"/>
          <w:spacing w:val="-5"/>
        </w:rPr>
        <w:t> </w:t>
      </w:r>
      <w:r>
        <w:rPr>
          <w:color w:val="231F20"/>
        </w:rPr>
        <w:t>cost</w:t>
      </w:r>
      <w:r>
        <w:rPr>
          <w:color w:val="231F20"/>
          <w:spacing w:val="-6"/>
        </w:rPr>
        <w:t> </w:t>
      </w:r>
      <w:r>
        <w:rPr>
          <w:color w:val="231F20"/>
        </w:rPr>
        <w:t>per</w:t>
      </w:r>
      <w:r>
        <w:rPr>
          <w:color w:val="231F20"/>
          <w:spacing w:val="-5"/>
        </w:rPr>
        <w:t> </w:t>
      </w:r>
      <w:r>
        <w:rPr>
          <w:color w:val="231F20"/>
        </w:rPr>
        <w:t>boarder</w:t>
      </w:r>
      <w:r>
        <w:rPr>
          <w:color w:val="231F20"/>
          <w:spacing w:val="-4"/>
        </w:rPr>
        <w:t> </w:t>
      </w:r>
      <w:r>
        <w:rPr>
          <w:color w:val="231F20"/>
        </w:rPr>
        <w:t>of</w:t>
      </w:r>
      <w:r>
        <w:rPr/>
      </w:r>
    </w:p>
    <w:p>
      <w:pPr>
        <w:pStyle w:val="BodyText"/>
        <w:spacing w:line="250" w:lineRule="exact"/>
        <w:ind w:right="22"/>
        <w:jc w:val="left"/>
        <w:rPr>
          <w:rFonts w:ascii="Segoe UI" w:hAnsi="Segoe UI" w:cs="Segoe UI" w:eastAsia="Segoe UI"/>
        </w:rPr>
      </w:pPr>
      <w:r>
        <w:rPr>
          <w:color w:val="231F20"/>
        </w:rPr>
        <w:t>boarding</w:t>
      </w:r>
      <w:r>
        <w:rPr>
          <w:color w:val="231F20"/>
          <w:spacing w:val="-7"/>
        </w:rPr>
        <w:t> </w:t>
      </w:r>
      <w:r>
        <w:rPr>
          <w:color w:val="231F20"/>
        </w:rPr>
        <w:t>at</w:t>
      </w:r>
      <w:r>
        <w:rPr>
          <w:color w:val="231F20"/>
          <w:spacing w:val="-5"/>
        </w:rPr>
        <w:t> </w:t>
      </w:r>
      <w:r>
        <w:rPr>
          <w:color w:val="231F20"/>
        </w:rPr>
        <w:t>Aboriginal</w:t>
      </w:r>
      <w:r>
        <w:rPr>
          <w:color w:val="231F20"/>
          <w:spacing w:val="-6"/>
        </w:rPr>
        <w:t> </w:t>
      </w:r>
      <w:r>
        <w:rPr>
          <w:color w:val="231F20"/>
        </w:rPr>
        <w:t>and</w:t>
      </w:r>
      <w:r>
        <w:rPr>
          <w:color w:val="231F20"/>
          <w:spacing w:val="-6"/>
        </w:rPr>
        <w:t> </w:t>
      </w:r>
      <w:r>
        <w:rPr>
          <w:color w:val="231F20"/>
          <w:spacing w:val="-5"/>
        </w:rPr>
        <w:t>Torres </w:t>
      </w:r>
      <w:r>
        <w:rPr>
          <w:color w:val="231F20"/>
          <w:spacing w:val="-2"/>
        </w:rPr>
        <w:t>Strait</w:t>
      </w:r>
      <w:r>
        <w:rPr>
          <w:color w:val="231F20"/>
          <w:spacing w:val="-7"/>
        </w:rPr>
        <w:t> </w:t>
      </w:r>
      <w:r>
        <w:rPr>
          <w:color w:val="231F20"/>
          <w:spacing w:val="-1"/>
        </w:rPr>
        <w:t>Islander</w:t>
      </w:r>
      <w:r>
        <w:rPr>
          <w:color w:val="231F20"/>
          <w:spacing w:val="29"/>
          <w:w w:val="99"/>
        </w:rPr>
        <w:t> </w:t>
      </w:r>
      <w:r>
        <w:rPr>
          <w:color w:val="231F20"/>
        </w:rPr>
        <w:t>boarding</w:t>
      </w:r>
      <w:r>
        <w:rPr>
          <w:color w:val="231F20"/>
          <w:spacing w:val="-7"/>
        </w:rPr>
        <w:t> </w:t>
      </w:r>
      <w:r>
        <w:rPr>
          <w:color w:val="231F20"/>
        </w:rPr>
        <w:t>providers</w:t>
      </w:r>
      <w:r>
        <w:rPr>
          <w:color w:val="231F20"/>
          <w:spacing w:val="-6"/>
        </w:rPr>
        <w:t> </w:t>
      </w:r>
      <w:r>
        <w:rPr>
          <w:color w:val="231F20"/>
        </w:rPr>
        <w:t>over</w:t>
      </w:r>
      <w:r>
        <w:rPr>
          <w:color w:val="231F20"/>
          <w:spacing w:val="-6"/>
        </w:rPr>
        <w:t> </w:t>
      </w:r>
      <w:r>
        <w:rPr>
          <w:color w:val="231F20"/>
        </w:rPr>
        <w:t>the</w:t>
      </w:r>
      <w:r>
        <w:rPr>
          <w:color w:val="231F20"/>
          <w:spacing w:val="-6"/>
        </w:rPr>
        <w:t> </w:t>
      </w:r>
      <w:r>
        <w:rPr>
          <w:color w:val="231F20"/>
        </w:rPr>
        <w:t>period</w:t>
      </w:r>
      <w:r>
        <w:rPr>
          <w:color w:val="231F20"/>
          <w:spacing w:val="-7"/>
        </w:rPr>
        <w:t> </w:t>
      </w:r>
      <w:r>
        <w:rPr>
          <w:color w:val="231F20"/>
        </w:rPr>
        <w:t>from</w:t>
      </w:r>
      <w:r>
        <w:rPr>
          <w:color w:val="231F20"/>
          <w:spacing w:val="-5"/>
        </w:rPr>
        <w:t> </w:t>
      </w:r>
      <w:r>
        <w:rPr>
          <w:color w:val="231F20"/>
          <w:spacing w:val="-1"/>
        </w:rPr>
        <w:t>2015</w:t>
      </w:r>
      <w:r>
        <w:rPr>
          <w:color w:val="231F20"/>
          <w:spacing w:val="19"/>
        </w:rPr>
        <w:t> </w:t>
      </w:r>
      <w:r>
        <w:rPr>
          <w:rFonts w:ascii="Segoe UI"/>
          <w:color w:val="231F20"/>
        </w:rPr>
        <w:t>to 2017 varied significantly from a minimum</w:t>
      </w:r>
      <w:r>
        <w:rPr>
          <w:rFonts w:ascii="Segoe UI"/>
        </w:rPr>
      </w:r>
    </w:p>
    <w:p>
      <w:pPr>
        <w:pStyle w:val="BodyText"/>
        <w:spacing w:line="250" w:lineRule="exact"/>
        <w:ind w:right="128"/>
        <w:jc w:val="left"/>
      </w:pPr>
      <w:r>
        <w:rPr>
          <w:color w:val="231F20"/>
        </w:rPr>
        <w:t>of</w:t>
      </w:r>
      <w:r>
        <w:rPr>
          <w:color w:val="231F20"/>
          <w:spacing w:val="-5"/>
        </w:rPr>
        <w:t> </w:t>
      </w:r>
      <w:r>
        <w:rPr>
          <w:color w:val="231F20"/>
          <w:spacing w:val="-1"/>
        </w:rPr>
        <w:t>$11,914</w:t>
      </w:r>
      <w:r>
        <w:rPr>
          <w:color w:val="231F20"/>
          <w:spacing w:val="-4"/>
        </w:rPr>
        <w:t> </w:t>
      </w:r>
      <w:r>
        <w:rPr>
          <w:color w:val="231F20"/>
        </w:rPr>
        <w:t>per</w:t>
      </w:r>
      <w:r>
        <w:rPr>
          <w:color w:val="231F20"/>
          <w:spacing w:val="-4"/>
        </w:rPr>
        <w:t> </w:t>
      </w:r>
      <w:r>
        <w:rPr>
          <w:color w:val="231F20"/>
        </w:rPr>
        <w:t>boarder</w:t>
      </w:r>
      <w:r>
        <w:rPr>
          <w:color w:val="231F20"/>
          <w:spacing w:val="-4"/>
        </w:rPr>
        <w:t> </w:t>
      </w:r>
      <w:r>
        <w:rPr>
          <w:color w:val="231F20"/>
        </w:rPr>
        <w:t>(small</w:t>
      </w:r>
      <w:r>
        <w:rPr>
          <w:color w:val="231F20"/>
          <w:spacing w:val="-5"/>
        </w:rPr>
        <w:t> </w:t>
      </w:r>
      <w:r>
        <w:rPr>
          <w:color w:val="231F20"/>
        </w:rPr>
        <w:t>remote</w:t>
      </w:r>
      <w:r>
        <w:rPr>
          <w:color w:val="231F20"/>
          <w:spacing w:val="-5"/>
        </w:rPr>
        <w:t> </w:t>
      </w:r>
      <w:r>
        <w:rPr>
          <w:color w:val="231F20"/>
          <w:spacing w:val="-1"/>
        </w:rPr>
        <w:t>school/</w:t>
      </w:r>
      <w:r>
        <w:rPr>
          <w:color w:val="231F20"/>
          <w:spacing w:val="21"/>
          <w:w w:val="99"/>
        </w:rPr>
        <w:t> </w:t>
      </w:r>
      <w:r>
        <w:rPr>
          <w:color w:val="231F20"/>
        </w:rPr>
        <w:t>boarding</w:t>
      </w:r>
      <w:r>
        <w:rPr>
          <w:color w:val="231F20"/>
          <w:spacing w:val="-5"/>
        </w:rPr>
        <w:t> </w:t>
      </w:r>
      <w:r>
        <w:rPr>
          <w:color w:val="231F20"/>
        </w:rPr>
        <w:t>provider)</w:t>
      </w:r>
      <w:r>
        <w:rPr>
          <w:color w:val="231F20"/>
          <w:spacing w:val="-4"/>
        </w:rPr>
        <w:t> </w:t>
      </w:r>
      <w:r>
        <w:rPr>
          <w:color w:val="231F20"/>
        </w:rPr>
        <w:t>to</w:t>
      </w:r>
      <w:r>
        <w:rPr>
          <w:color w:val="231F20"/>
          <w:spacing w:val="-4"/>
        </w:rPr>
        <w:t> </w:t>
      </w:r>
      <w:r>
        <w:rPr>
          <w:color w:val="231F20"/>
        </w:rPr>
        <w:t>a</w:t>
      </w:r>
      <w:r>
        <w:rPr>
          <w:color w:val="231F20"/>
          <w:spacing w:val="-3"/>
        </w:rPr>
        <w:t> </w:t>
      </w:r>
      <w:r>
        <w:rPr>
          <w:color w:val="231F20"/>
          <w:spacing w:val="-1"/>
        </w:rPr>
        <w:t>maximum</w:t>
      </w:r>
      <w:r>
        <w:rPr>
          <w:color w:val="231F20"/>
          <w:spacing w:val="-4"/>
        </w:rPr>
        <w:t> </w:t>
      </w:r>
      <w:r>
        <w:rPr>
          <w:color w:val="231F20"/>
        </w:rPr>
        <w:t>of</w:t>
      </w:r>
      <w:r>
        <w:rPr>
          <w:color w:val="231F20"/>
          <w:spacing w:val="-3"/>
        </w:rPr>
        <w:t> </w:t>
      </w:r>
      <w:r>
        <w:rPr>
          <w:color w:val="231F20"/>
          <w:spacing w:val="-1"/>
        </w:rPr>
        <w:t>$69,072</w:t>
      </w:r>
      <w:r>
        <w:rPr>
          <w:color w:val="231F20"/>
          <w:spacing w:val="21"/>
        </w:rPr>
        <w:t> </w:t>
      </w:r>
      <w:r>
        <w:rPr>
          <w:color w:val="231F20"/>
        </w:rPr>
        <w:t>per</w:t>
      </w:r>
      <w:r>
        <w:rPr>
          <w:color w:val="231F20"/>
          <w:spacing w:val="-7"/>
        </w:rPr>
        <w:t> </w:t>
      </w:r>
      <w:r>
        <w:rPr>
          <w:color w:val="231F20"/>
        </w:rPr>
        <w:t>boarder</w:t>
      </w:r>
      <w:r>
        <w:rPr>
          <w:color w:val="231F20"/>
          <w:spacing w:val="-6"/>
        </w:rPr>
        <w:t> </w:t>
      </w:r>
      <w:r>
        <w:rPr>
          <w:color w:val="231F20"/>
        </w:rPr>
        <w:t>(small</w:t>
      </w:r>
      <w:r>
        <w:rPr>
          <w:color w:val="231F20"/>
          <w:spacing w:val="-6"/>
        </w:rPr>
        <w:t> </w:t>
      </w:r>
      <w:r>
        <w:rPr>
          <w:color w:val="231F20"/>
        </w:rPr>
        <w:t>regional</w:t>
      </w:r>
      <w:r>
        <w:rPr>
          <w:color w:val="231F20"/>
          <w:spacing w:val="-7"/>
        </w:rPr>
        <w:t> </w:t>
      </w:r>
      <w:r>
        <w:rPr>
          <w:color w:val="231F20"/>
        </w:rPr>
        <w:t>city</w:t>
      </w:r>
      <w:r>
        <w:rPr>
          <w:color w:val="231F20"/>
          <w:spacing w:val="-7"/>
        </w:rPr>
        <w:t> </w:t>
      </w:r>
      <w:r>
        <w:rPr>
          <w:color w:val="231F20"/>
          <w:spacing w:val="-1"/>
        </w:rPr>
        <w:t>standalone</w:t>
      </w:r>
      <w:r>
        <w:rPr>
          <w:color w:val="231F20"/>
          <w:spacing w:val="20"/>
          <w:w w:val="99"/>
        </w:rPr>
        <w:t> </w:t>
      </w:r>
      <w:r>
        <w:rPr>
          <w:color w:val="231F20"/>
        </w:rPr>
        <w:t>boarding</w:t>
      </w:r>
      <w:r>
        <w:rPr>
          <w:color w:val="231F20"/>
          <w:spacing w:val="-6"/>
        </w:rPr>
        <w:t> </w:t>
      </w:r>
      <w:r>
        <w:rPr>
          <w:color w:val="231F20"/>
        </w:rPr>
        <w:t>provider).</w:t>
      </w:r>
      <w:r>
        <w:rPr>
          <w:color w:val="231F20"/>
          <w:spacing w:val="-6"/>
        </w:rPr>
        <w:t> </w:t>
      </w:r>
      <w:r>
        <w:rPr>
          <w:color w:val="231F20"/>
        </w:rPr>
        <w:t>Given</w:t>
      </w:r>
      <w:r>
        <w:rPr>
          <w:color w:val="231F20"/>
          <w:spacing w:val="-5"/>
        </w:rPr>
        <w:t> </w:t>
      </w:r>
      <w:r>
        <w:rPr>
          <w:color w:val="231F20"/>
        </w:rPr>
        <w:t>the</w:t>
      </w:r>
      <w:r>
        <w:rPr>
          <w:color w:val="231F20"/>
          <w:spacing w:val="-6"/>
        </w:rPr>
        <w:t> </w:t>
      </w:r>
      <w:r>
        <w:rPr>
          <w:color w:val="231F20"/>
        </w:rPr>
        <w:t>extent</w:t>
      </w:r>
      <w:r>
        <w:rPr>
          <w:color w:val="231F20"/>
          <w:spacing w:val="-5"/>
        </w:rPr>
        <w:t> </w:t>
      </w:r>
      <w:r>
        <w:rPr>
          <w:color w:val="231F20"/>
        </w:rPr>
        <w:t>of</w:t>
      </w:r>
      <w:r>
        <w:rPr>
          <w:color w:val="231F20"/>
          <w:spacing w:val="-5"/>
        </w:rPr>
        <w:t> </w:t>
      </w:r>
      <w:r>
        <w:rPr>
          <w:color w:val="231F20"/>
        </w:rPr>
        <w:t>the</w:t>
      </w:r>
      <w:r>
        <w:rPr>
          <w:color w:val="231F20"/>
          <w:w w:val="99"/>
        </w:rPr>
        <w:t> </w:t>
      </w:r>
      <w:r>
        <w:rPr>
          <w:color w:val="231F20"/>
        </w:rPr>
        <w:t>variables</w:t>
      </w:r>
      <w:r>
        <w:rPr>
          <w:color w:val="231F20"/>
          <w:spacing w:val="-8"/>
        </w:rPr>
        <w:t> </w:t>
      </w:r>
      <w:r>
        <w:rPr>
          <w:color w:val="231F20"/>
        </w:rPr>
        <w:t>and</w:t>
      </w:r>
      <w:r>
        <w:rPr>
          <w:color w:val="231F20"/>
          <w:spacing w:val="-8"/>
        </w:rPr>
        <w:t> </w:t>
      </w:r>
      <w:r>
        <w:rPr>
          <w:color w:val="231F20"/>
        </w:rPr>
        <w:t>determinants</w:t>
      </w:r>
      <w:r>
        <w:rPr>
          <w:color w:val="231F20"/>
          <w:spacing w:val="-8"/>
        </w:rPr>
        <w:t> </w:t>
      </w:r>
      <w:r>
        <w:rPr>
          <w:color w:val="231F20"/>
        </w:rPr>
        <w:t>of</w:t>
      </w:r>
      <w:r>
        <w:rPr>
          <w:color w:val="231F20"/>
          <w:spacing w:val="-8"/>
        </w:rPr>
        <w:t> </w:t>
      </w:r>
      <w:r>
        <w:rPr>
          <w:color w:val="231F20"/>
        </w:rPr>
        <w:t>boarding</w:t>
      </w:r>
      <w:r>
        <w:rPr>
          <w:color w:val="231F20"/>
          <w:spacing w:val="-8"/>
        </w:rPr>
        <w:t> </w:t>
      </w:r>
      <w:r>
        <w:rPr>
          <w:color w:val="231F20"/>
        </w:rPr>
        <w:t>cost,</w:t>
      </w:r>
      <w:r>
        <w:rPr>
          <w:color w:val="231F20"/>
          <w:w w:val="99"/>
        </w:rPr>
        <w:t> </w:t>
      </w:r>
      <w:r>
        <w:rPr>
          <w:color w:val="231F20"/>
          <w:w w:val="99"/>
        </w:rPr>
        <w:t> </w:t>
      </w:r>
      <w:r>
        <w:rPr>
          <w:color w:val="231F20"/>
          <w:spacing w:val="-1"/>
        </w:rPr>
        <w:t>it</w:t>
      </w:r>
      <w:r>
        <w:rPr>
          <w:color w:val="231F20"/>
          <w:spacing w:val="-4"/>
        </w:rPr>
        <w:t> </w:t>
      </w:r>
      <w:r>
        <w:rPr>
          <w:color w:val="231F20"/>
          <w:spacing w:val="-1"/>
        </w:rPr>
        <w:t>is</w:t>
      </w:r>
      <w:r>
        <w:rPr>
          <w:color w:val="231F20"/>
          <w:spacing w:val="-4"/>
        </w:rPr>
        <w:t> </w:t>
      </w:r>
      <w:r>
        <w:rPr>
          <w:color w:val="231F20"/>
        </w:rPr>
        <w:t>therefore</w:t>
      </w:r>
      <w:r>
        <w:rPr>
          <w:color w:val="231F20"/>
          <w:spacing w:val="-5"/>
        </w:rPr>
        <w:t> </w:t>
      </w:r>
      <w:r>
        <w:rPr>
          <w:color w:val="231F20"/>
        </w:rPr>
        <w:t>not</w:t>
      </w:r>
      <w:r>
        <w:rPr>
          <w:color w:val="231F20"/>
          <w:spacing w:val="-3"/>
        </w:rPr>
        <w:t> </w:t>
      </w:r>
      <w:r>
        <w:rPr>
          <w:color w:val="231F20"/>
        </w:rPr>
        <w:t>possible</w:t>
      </w:r>
      <w:r>
        <w:rPr>
          <w:color w:val="231F20"/>
          <w:spacing w:val="-5"/>
        </w:rPr>
        <w:t> </w:t>
      </w:r>
      <w:r>
        <w:rPr>
          <w:color w:val="231F20"/>
        </w:rPr>
        <w:t>to</w:t>
      </w:r>
      <w:r>
        <w:rPr>
          <w:color w:val="231F20"/>
          <w:spacing w:val="-3"/>
        </w:rPr>
        <w:t> </w:t>
      </w:r>
      <w:r>
        <w:rPr>
          <w:color w:val="231F20"/>
        </w:rPr>
        <w:t>determine</w:t>
      </w:r>
      <w:r>
        <w:rPr>
          <w:color w:val="231F20"/>
          <w:spacing w:val="-5"/>
        </w:rPr>
        <w:t> </w:t>
      </w:r>
      <w:r>
        <w:rPr>
          <w:color w:val="231F20"/>
        </w:rPr>
        <w:t>an</w:t>
      </w:r>
      <w:r>
        <w:rPr>
          <w:color w:val="231F20"/>
          <w:spacing w:val="22"/>
          <w:w w:val="99"/>
        </w:rPr>
        <w:t> </w:t>
      </w:r>
      <w:r>
        <w:rPr>
          <w:color w:val="231F20"/>
        </w:rPr>
        <w:t>optimal</w:t>
      </w:r>
      <w:r>
        <w:rPr>
          <w:color w:val="231F20"/>
          <w:spacing w:val="-5"/>
        </w:rPr>
        <w:t> </w:t>
      </w:r>
      <w:r>
        <w:rPr>
          <w:color w:val="231F20"/>
        </w:rPr>
        <w:t>or</w:t>
      </w:r>
      <w:r>
        <w:rPr>
          <w:color w:val="231F20"/>
          <w:spacing w:val="-4"/>
        </w:rPr>
        <w:t> </w:t>
      </w:r>
      <w:r>
        <w:rPr>
          <w:color w:val="231F20"/>
          <w:spacing w:val="-1"/>
        </w:rPr>
        <w:t>standard</w:t>
      </w:r>
      <w:r>
        <w:rPr>
          <w:color w:val="231F20"/>
          <w:spacing w:val="-2"/>
        </w:rPr>
        <w:t> </w:t>
      </w:r>
      <w:r>
        <w:rPr>
          <w:color w:val="231F20"/>
        </w:rPr>
        <w:t>unit</w:t>
      </w:r>
      <w:r>
        <w:rPr>
          <w:color w:val="231F20"/>
          <w:spacing w:val="-5"/>
        </w:rPr>
        <w:t> </w:t>
      </w:r>
      <w:r>
        <w:rPr>
          <w:color w:val="231F20"/>
        </w:rPr>
        <w:t>cost</w:t>
      </w:r>
      <w:r>
        <w:rPr>
          <w:color w:val="231F20"/>
          <w:spacing w:val="-5"/>
        </w:rPr>
        <w:t> </w:t>
      </w:r>
      <w:r>
        <w:rPr>
          <w:color w:val="231F20"/>
        </w:rPr>
        <w:t>of</w:t>
      </w:r>
      <w:r>
        <w:rPr>
          <w:color w:val="231F20"/>
          <w:spacing w:val="-3"/>
        </w:rPr>
        <w:t> </w:t>
      </w:r>
      <w:r>
        <w:rPr>
          <w:color w:val="231F20"/>
        </w:rPr>
        <w:t>boarding</w:t>
      </w:r>
      <w:r>
        <w:rPr>
          <w:color w:val="231F20"/>
          <w:spacing w:val="-5"/>
        </w:rPr>
        <w:t> </w:t>
      </w:r>
      <w:r>
        <w:rPr>
          <w:color w:val="231F20"/>
        </w:rPr>
        <w:t>for</w:t>
      </w:r>
      <w:r>
        <w:rPr>
          <w:color w:val="231F20"/>
          <w:spacing w:val="22"/>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8"/>
        </w:rPr>
        <w:t> </w:t>
      </w:r>
      <w:r>
        <w:rPr>
          <w:color w:val="231F20"/>
          <w:spacing w:val="-1"/>
        </w:rPr>
        <w:t>Islander</w:t>
      </w:r>
      <w:r>
        <w:rPr>
          <w:color w:val="231F20"/>
          <w:spacing w:val="-6"/>
        </w:rPr>
        <w:t> </w:t>
      </w:r>
      <w:r>
        <w:rPr>
          <w:color w:val="231F20"/>
          <w:spacing w:val="-1"/>
        </w:rPr>
        <w:t>secondary</w:t>
      </w:r>
      <w:r>
        <w:rPr>
          <w:color w:val="231F20"/>
          <w:spacing w:val="20"/>
          <w:w w:val="99"/>
        </w:rPr>
        <w:t> </w:t>
      </w:r>
      <w:r>
        <w:rPr>
          <w:color w:val="231F20"/>
          <w:spacing w:val="-1"/>
        </w:rPr>
        <w:t>students.</w:t>
      </w:r>
      <w:r>
        <w:rPr>
          <w:color w:val="231F20"/>
          <w:spacing w:val="-2"/>
        </w:rPr>
        <w:t> </w:t>
      </w:r>
      <w:r>
        <w:rPr>
          <w:color w:val="231F20"/>
        </w:rPr>
        <w:t>This</w:t>
      </w:r>
      <w:r>
        <w:rPr>
          <w:color w:val="231F20"/>
          <w:spacing w:val="-3"/>
        </w:rPr>
        <w:t> </w:t>
      </w:r>
      <w:r>
        <w:rPr>
          <w:color w:val="231F20"/>
        </w:rPr>
        <w:t>conclusion</w:t>
      </w:r>
      <w:r>
        <w:rPr>
          <w:color w:val="231F20"/>
          <w:spacing w:val="-4"/>
        </w:rPr>
        <w:t> </w:t>
      </w:r>
      <w:r>
        <w:rPr>
          <w:color w:val="231F20"/>
          <w:spacing w:val="-1"/>
        </w:rPr>
        <w:t>is</w:t>
      </w:r>
      <w:r>
        <w:rPr>
          <w:color w:val="231F20"/>
          <w:spacing w:val="-3"/>
        </w:rPr>
        <w:t> </w:t>
      </w:r>
      <w:r>
        <w:rPr>
          <w:color w:val="231F20"/>
        </w:rPr>
        <w:t>consistent</w:t>
      </w:r>
      <w:r>
        <w:rPr>
          <w:color w:val="231F20"/>
          <w:spacing w:val="-4"/>
        </w:rPr>
        <w:t> </w:t>
      </w:r>
      <w:r>
        <w:rPr>
          <w:color w:val="231F20"/>
        </w:rPr>
        <w:t>with</w:t>
      </w:r>
      <w:r>
        <w:rPr>
          <w:color w:val="231F20"/>
          <w:spacing w:val="-3"/>
        </w:rPr>
        <w:t> </w:t>
      </w:r>
      <w:r>
        <w:rPr>
          <w:color w:val="231F20"/>
          <w:spacing w:val="-3"/>
        </w:rPr>
      </w:r>
      <w:r>
        <w:rPr>
          <w:color w:val="231F20"/>
        </w:rPr>
        <w:t>the</w:t>
      </w:r>
      <w:r>
        <w:rPr>
          <w:color w:val="231F20"/>
          <w:spacing w:val="22"/>
        </w:rPr>
        <w:t> </w:t>
      </w:r>
      <w:r>
        <w:rPr>
          <w:color w:val="231F20"/>
        </w:rPr>
        <w:t>Guenther,</w:t>
      </w:r>
      <w:r>
        <w:rPr>
          <w:color w:val="231F20"/>
          <w:spacing w:val="-7"/>
        </w:rPr>
        <w:t> </w:t>
      </w:r>
      <w:r>
        <w:rPr>
          <w:color w:val="231F20"/>
          <w:spacing w:val="-1"/>
        </w:rPr>
        <w:t>2017—‘the</w:t>
      </w:r>
      <w:r>
        <w:rPr>
          <w:color w:val="231F20"/>
          <w:spacing w:val="-7"/>
        </w:rPr>
        <w:t> </w:t>
      </w:r>
      <w:r>
        <w:rPr>
          <w:color w:val="231F20"/>
        </w:rPr>
        <w:t>complexity</w:t>
      </w:r>
      <w:r>
        <w:rPr>
          <w:color w:val="231F20"/>
          <w:spacing w:val="-8"/>
        </w:rPr>
        <w:t> </w:t>
      </w:r>
      <w:r>
        <w:rPr>
          <w:color w:val="231F20"/>
        </w:rPr>
        <w:t>[of</w:t>
      </w:r>
      <w:r>
        <w:rPr/>
      </w:r>
    </w:p>
    <w:p>
      <w:pPr>
        <w:pStyle w:val="BodyText"/>
        <w:spacing w:line="250" w:lineRule="exact"/>
        <w:ind w:right="439"/>
        <w:jc w:val="both"/>
      </w:pPr>
      <w:r>
        <w:rPr>
          <w:color w:val="231F20"/>
        </w:rPr>
        <w:t>the</w:t>
      </w:r>
      <w:r>
        <w:rPr>
          <w:color w:val="231F20"/>
          <w:spacing w:val="-5"/>
        </w:rPr>
        <w:t> </w:t>
      </w:r>
      <w:r>
        <w:rPr>
          <w:color w:val="231F20"/>
        </w:rPr>
        <w:t>permutations</w:t>
      </w:r>
      <w:r>
        <w:rPr>
          <w:color w:val="231F20"/>
          <w:spacing w:val="-4"/>
        </w:rPr>
        <w:t> </w:t>
      </w:r>
      <w:r>
        <w:rPr>
          <w:color w:val="231F20"/>
        </w:rPr>
        <w:t>and</w:t>
      </w:r>
      <w:r>
        <w:rPr>
          <w:color w:val="231F20"/>
          <w:spacing w:val="-5"/>
        </w:rPr>
        <w:t> </w:t>
      </w:r>
      <w:r>
        <w:rPr>
          <w:color w:val="231F20"/>
        </w:rPr>
        <w:t>combinations</w:t>
      </w:r>
      <w:r>
        <w:rPr>
          <w:color w:val="231F20"/>
          <w:spacing w:val="-4"/>
        </w:rPr>
        <w:t> </w:t>
      </w:r>
      <w:r>
        <w:rPr>
          <w:color w:val="231F20"/>
        </w:rPr>
        <w:t>of</w:t>
      </w:r>
      <w:r>
        <w:rPr>
          <w:color w:val="231F20"/>
          <w:spacing w:val="-4"/>
        </w:rPr>
        <w:t> </w:t>
      </w:r>
      <w:r>
        <w:rPr>
          <w:color w:val="231F20"/>
        </w:rPr>
        <w:t>the</w:t>
      </w:r>
      <w:r>
        <w:rPr>
          <w:color w:val="231F20"/>
          <w:w w:val="99"/>
        </w:rPr>
        <w:t> </w:t>
      </w:r>
      <w:r>
        <w:rPr>
          <w:color w:val="231F20"/>
          <w:spacing w:val="-1"/>
        </w:rPr>
        <w:t>mechanisms </w:t>
      </w:r>
      <w:r>
        <w:rPr>
          <w:color w:val="231F20"/>
        </w:rPr>
        <w:t>and</w:t>
      </w:r>
      <w:r>
        <w:rPr>
          <w:color w:val="231F20"/>
          <w:spacing w:val="-2"/>
        </w:rPr>
        <w:t> </w:t>
      </w:r>
      <w:r>
        <w:rPr>
          <w:color w:val="231F20"/>
        </w:rPr>
        <w:t>elements]</w:t>
      </w:r>
      <w:r>
        <w:rPr>
          <w:color w:val="231F20"/>
          <w:spacing w:val="-3"/>
        </w:rPr>
        <w:t> </w:t>
      </w:r>
      <w:r>
        <w:rPr>
          <w:color w:val="231F20"/>
          <w:spacing w:val="-1"/>
        </w:rPr>
        <w:t>suggests </w:t>
      </w:r>
      <w:r>
        <w:rPr>
          <w:color w:val="231F20"/>
        </w:rPr>
        <w:t>that</w:t>
      </w:r>
      <w:r>
        <w:rPr>
          <w:color w:val="231F20"/>
          <w:spacing w:val="-3"/>
        </w:rPr>
        <w:t> </w:t>
      </w:r>
      <w:r>
        <w:rPr>
          <w:color w:val="231F20"/>
        </w:rPr>
        <w:t>a</w:t>
      </w:r>
      <w:r>
        <w:rPr>
          <w:color w:val="231F20"/>
          <w:spacing w:val="23"/>
          <w:w w:val="99"/>
        </w:rPr>
        <w:t> </w:t>
      </w:r>
      <w:r>
        <w:rPr>
          <w:color w:val="231F20"/>
          <w:spacing w:val="-1"/>
        </w:rPr>
        <w:t>singular</w:t>
      </w:r>
      <w:r>
        <w:rPr>
          <w:color w:val="231F20"/>
          <w:spacing w:val="-3"/>
        </w:rPr>
        <w:t> </w:t>
      </w:r>
      <w:r>
        <w:rPr>
          <w:color w:val="231F20"/>
        </w:rPr>
        <w:t>focus</w:t>
      </w:r>
      <w:r>
        <w:rPr>
          <w:color w:val="231F20"/>
          <w:spacing w:val="-3"/>
        </w:rPr>
        <w:t> </w:t>
      </w:r>
      <w:r>
        <w:rPr>
          <w:color w:val="231F20"/>
        </w:rPr>
        <w:t>on</w:t>
      </w:r>
      <w:r>
        <w:rPr>
          <w:color w:val="231F20"/>
          <w:spacing w:val="-3"/>
        </w:rPr>
        <w:t> </w:t>
      </w:r>
      <w:r>
        <w:rPr>
          <w:color w:val="231F20"/>
          <w:spacing w:val="-1"/>
        </w:rPr>
        <w:t>models</w:t>
      </w:r>
      <w:r>
        <w:rPr>
          <w:color w:val="231F20"/>
          <w:spacing w:val="-2"/>
        </w:rPr>
        <w:t> </w:t>
      </w:r>
      <w:r>
        <w:rPr>
          <w:color w:val="231F20"/>
        </w:rPr>
        <w:t>or</w:t>
      </w:r>
      <w:r>
        <w:rPr>
          <w:color w:val="231F20"/>
          <w:spacing w:val="-3"/>
        </w:rPr>
        <w:t> </w:t>
      </w:r>
      <w:r>
        <w:rPr>
          <w:color w:val="231F20"/>
        </w:rPr>
        <w:t>on</w:t>
      </w:r>
      <w:r>
        <w:rPr>
          <w:color w:val="231F20"/>
          <w:spacing w:val="-2"/>
        </w:rPr>
        <w:t> </w:t>
      </w:r>
      <w:r>
        <w:rPr>
          <w:color w:val="231F20"/>
        </w:rPr>
        <w:t>funding</w:t>
      </w:r>
      <w:r>
        <w:rPr>
          <w:color w:val="231F20"/>
          <w:spacing w:val="-3"/>
        </w:rPr>
        <w:t> </w:t>
      </w:r>
      <w:r>
        <w:rPr>
          <w:color w:val="231F20"/>
        </w:rPr>
        <w:t>or</w:t>
      </w:r>
      <w:r>
        <w:rPr>
          <w:color w:val="231F20"/>
          <w:spacing w:val="23"/>
          <w:w w:val="99"/>
        </w:rPr>
        <w:t> </w:t>
      </w:r>
      <w:r>
        <w:rPr>
          <w:color w:val="231F20"/>
        </w:rPr>
        <w:t>on</w:t>
      </w:r>
      <w:r>
        <w:rPr>
          <w:color w:val="231F20"/>
          <w:spacing w:val="-5"/>
        </w:rPr>
        <w:t> </w:t>
      </w:r>
      <w:r>
        <w:rPr>
          <w:color w:val="231F20"/>
        </w:rPr>
        <w:t>promoting</w:t>
      </w:r>
      <w:r>
        <w:rPr>
          <w:color w:val="231F20"/>
          <w:spacing w:val="-6"/>
        </w:rPr>
        <w:t> </w:t>
      </w:r>
      <w:r>
        <w:rPr>
          <w:color w:val="231F20"/>
        </w:rPr>
        <w:t>aspiration</w:t>
      </w:r>
      <w:r>
        <w:rPr>
          <w:color w:val="231F20"/>
          <w:spacing w:val="-6"/>
        </w:rPr>
        <w:t> </w:t>
      </w:r>
      <w:r>
        <w:rPr>
          <w:color w:val="231F20"/>
        </w:rPr>
        <w:t>will</w:t>
      </w:r>
      <w:r>
        <w:rPr>
          <w:color w:val="231F20"/>
          <w:spacing w:val="-5"/>
        </w:rPr>
        <w:t> </w:t>
      </w:r>
      <w:r>
        <w:rPr>
          <w:color w:val="231F20"/>
        </w:rPr>
        <w:t>not</w:t>
      </w:r>
      <w:r>
        <w:rPr>
          <w:color w:val="231F20"/>
          <w:spacing w:val="-5"/>
        </w:rPr>
        <w:t> </w:t>
      </w:r>
      <w:r>
        <w:rPr>
          <w:color w:val="231F20"/>
        </w:rPr>
        <w:t>result</w:t>
      </w:r>
      <w:r>
        <w:rPr>
          <w:color w:val="231F20"/>
          <w:spacing w:val="-6"/>
        </w:rPr>
        <w:t> </w:t>
      </w:r>
      <w:r>
        <w:rPr>
          <w:color w:val="231F20"/>
          <w:spacing w:val="-1"/>
        </w:rPr>
        <w:t>in</w:t>
      </w:r>
      <w:r>
        <w:rPr/>
      </w:r>
    </w:p>
    <w:p>
      <w:pPr>
        <w:pStyle w:val="BodyText"/>
        <w:spacing w:line="250" w:lineRule="exact"/>
        <w:ind w:right="128"/>
        <w:jc w:val="left"/>
      </w:pPr>
      <w:r>
        <w:rPr>
          <w:color w:val="231F20"/>
        </w:rPr>
        <w:t>a</w:t>
      </w:r>
      <w:r>
        <w:rPr>
          <w:color w:val="231F20"/>
          <w:spacing w:val="-1"/>
        </w:rPr>
        <w:t> </w:t>
      </w:r>
      <w:r>
        <w:rPr>
          <w:color w:val="231F20"/>
        </w:rPr>
        <w:t>consistent</w:t>
      </w:r>
      <w:r>
        <w:rPr>
          <w:color w:val="231F20"/>
          <w:spacing w:val="-2"/>
        </w:rPr>
        <w:t> </w:t>
      </w:r>
      <w:r>
        <w:rPr>
          <w:color w:val="231F20"/>
          <w:spacing w:val="-1"/>
        </w:rPr>
        <w:t>set </w:t>
      </w:r>
      <w:r>
        <w:rPr>
          <w:color w:val="231F20"/>
        </w:rPr>
        <w:t>of outcomes</w:t>
      </w:r>
      <w:r>
        <w:rPr>
          <w:color w:val="231F20"/>
          <w:spacing w:val="-2"/>
        </w:rPr>
        <w:t> </w:t>
      </w:r>
      <w:r>
        <w:rPr>
          <w:color w:val="231F20"/>
        </w:rPr>
        <w:t>as</w:t>
      </w:r>
      <w:r>
        <w:rPr>
          <w:color w:val="231F20"/>
          <w:spacing w:val="-2"/>
        </w:rPr>
        <w:t> </w:t>
      </w:r>
      <w:r>
        <w:rPr>
          <w:color w:val="231F20"/>
          <w:spacing w:val="-1"/>
        </w:rPr>
        <w:t>might </w:t>
      </w:r>
      <w:r>
        <w:rPr>
          <w:color w:val="231F20"/>
        </w:rPr>
        <w:t>be</w:t>
      </w:r>
      <w:r>
        <w:rPr>
          <w:color w:val="231F20"/>
          <w:spacing w:val="23"/>
          <w:w w:val="99"/>
        </w:rPr>
        <w:t> </w:t>
      </w:r>
      <w:r>
        <w:rPr>
          <w:color w:val="231F20"/>
        </w:rPr>
        <w:t>hoped</w:t>
      </w:r>
      <w:r>
        <w:rPr>
          <w:color w:val="231F20"/>
          <w:spacing w:val="-10"/>
        </w:rPr>
        <w:t> </w:t>
      </w:r>
      <w:r>
        <w:rPr>
          <w:color w:val="231F20"/>
        </w:rPr>
        <w:t>for.’</w:t>
      </w:r>
      <w:r>
        <w:rPr/>
      </w:r>
    </w:p>
    <w:p>
      <w:pPr>
        <w:pStyle w:val="Heading2"/>
        <w:spacing w:line="240" w:lineRule="auto"/>
        <w:ind w:right="0"/>
        <w:jc w:val="left"/>
        <w:rPr>
          <w:b w:val="0"/>
          <w:bCs w:val="0"/>
        </w:rPr>
      </w:pPr>
      <w:bookmarkStart w:name="_TOC_250019" w:id="17"/>
      <w:r>
        <w:rPr>
          <w:b w:val="0"/>
        </w:rPr>
        <w:br w:type="column"/>
      </w:r>
      <w:r>
        <w:rPr>
          <w:color w:val="452A70"/>
        </w:rPr>
        <w:t>Size</w:t>
      </w:r>
      <w:r>
        <w:rPr>
          <w:color w:val="452A70"/>
          <w:spacing w:val="-3"/>
        </w:rPr>
        <w:t> of </w:t>
      </w:r>
      <w:r>
        <w:rPr>
          <w:color w:val="452A70"/>
          <w:spacing w:val="-2"/>
        </w:rPr>
        <w:t>boarding provider</w:t>
      </w:r>
      <w:bookmarkEnd w:id="17"/>
      <w:r>
        <w:rPr>
          <w:b w:val="0"/>
        </w:rPr>
      </w:r>
    </w:p>
    <w:p>
      <w:pPr>
        <w:pStyle w:val="BodyText"/>
        <w:spacing w:line="250" w:lineRule="exact" w:before="111"/>
        <w:ind w:right="140"/>
        <w:jc w:val="left"/>
      </w:pPr>
      <w:r>
        <w:rPr>
          <w:color w:val="231F20"/>
        </w:rPr>
        <w:t>The</w:t>
      </w:r>
      <w:r>
        <w:rPr>
          <w:color w:val="231F20"/>
          <w:spacing w:val="-4"/>
        </w:rPr>
        <w:t> </w:t>
      </w:r>
      <w:r>
        <w:rPr>
          <w:color w:val="231F20"/>
          <w:spacing w:val="-1"/>
        </w:rPr>
        <w:t>size</w:t>
      </w:r>
      <w:r>
        <w:rPr>
          <w:color w:val="231F20"/>
          <w:spacing w:val="-3"/>
        </w:rPr>
        <w:t> </w:t>
      </w:r>
      <w:r>
        <w:rPr>
          <w:color w:val="231F20"/>
        </w:rPr>
        <w:t>of</w:t>
      </w:r>
      <w:r>
        <w:rPr>
          <w:color w:val="231F20"/>
          <w:spacing w:val="-3"/>
        </w:rPr>
        <w:t> </w:t>
      </w:r>
      <w:r>
        <w:rPr>
          <w:color w:val="231F20"/>
        </w:rPr>
        <w:t>a</w:t>
      </w:r>
      <w:r>
        <w:rPr>
          <w:color w:val="231F20"/>
          <w:spacing w:val="-3"/>
        </w:rPr>
        <w:t> </w:t>
      </w:r>
      <w:r>
        <w:rPr>
          <w:color w:val="231F20"/>
        </w:rPr>
        <w:t>boarding</w:t>
      </w:r>
      <w:r>
        <w:rPr>
          <w:color w:val="231F20"/>
          <w:spacing w:val="-4"/>
        </w:rPr>
        <w:t> </w:t>
      </w:r>
      <w:r>
        <w:rPr>
          <w:color w:val="231F20"/>
        </w:rPr>
        <w:t>provider</w:t>
      </w:r>
      <w:r>
        <w:rPr>
          <w:color w:val="231F20"/>
          <w:spacing w:val="-5"/>
        </w:rPr>
        <w:t> </w:t>
      </w:r>
      <w:r>
        <w:rPr>
          <w:color w:val="231F20"/>
          <w:spacing w:val="-1"/>
        </w:rPr>
        <w:t>is</w:t>
      </w:r>
      <w:r>
        <w:rPr>
          <w:color w:val="231F20"/>
          <w:spacing w:val="-4"/>
        </w:rPr>
        <w:t> </w:t>
      </w:r>
      <w:r>
        <w:rPr>
          <w:color w:val="231F20"/>
        </w:rPr>
        <w:t>a</w:t>
      </w:r>
      <w:r>
        <w:rPr>
          <w:color w:val="231F20"/>
          <w:spacing w:val="-3"/>
        </w:rPr>
        <w:t> </w:t>
      </w:r>
      <w:r>
        <w:rPr>
          <w:color w:val="231F20"/>
          <w:spacing w:val="-1"/>
        </w:rPr>
        <w:t>key</w:t>
      </w:r>
      <w:r>
        <w:rPr>
          <w:color w:val="231F20"/>
          <w:spacing w:val="22"/>
          <w:w w:val="99"/>
        </w:rPr>
        <w:t> </w:t>
      </w:r>
      <w:r>
        <w:rPr>
          <w:color w:val="231F20"/>
        </w:rPr>
        <w:t>determinant</w:t>
      </w:r>
      <w:r>
        <w:rPr>
          <w:color w:val="231F20"/>
          <w:spacing w:val="-7"/>
        </w:rPr>
        <w:t> </w:t>
      </w:r>
      <w:r>
        <w:rPr>
          <w:color w:val="231F20"/>
          <w:spacing w:val="-1"/>
        </w:rPr>
        <w:t>in</w:t>
      </w:r>
      <w:r>
        <w:rPr>
          <w:color w:val="231F20"/>
          <w:spacing w:val="-5"/>
        </w:rPr>
        <w:t> </w:t>
      </w:r>
      <w:r>
        <w:rPr>
          <w:color w:val="231F20"/>
        </w:rPr>
        <w:t>the</w:t>
      </w:r>
      <w:r>
        <w:rPr>
          <w:color w:val="231F20"/>
          <w:spacing w:val="-6"/>
        </w:rPr>
        <w:t> </w:t>
      </w:r>
      <w:r>
        <w:rPr>
          <w:color w:val="231F20"/>
        </w:rPr>
        <w:t>average</w:t>
      </w:r>
      <w:r>
        <w:rPr>
          <w:color w:val="231F20"/>
          <w:spacing w:val="-6"/>
        </w:rPr>
        <w:t> </w:t>
      </w:r>
      <w:r>
        <w:rPr>
          <w:color w:val="231F20"/>
        </w:rPr>
        <w:t>cost</w:t>
      </w:r>
      <w:r>
        <w:rPr>
          <w:color w:val="231F20"/>
          <w:spacing w:val="-6"/>
        </w:rPr>
        <w:t> </w:t>
      </w:r>
      <w:r>
        <w:rPr>
          <w:color w:val="231F20"/>
        </w:rPr>
        <w:t>of</w:t>
      </w:r>
      <w:r>
        <w:rPr>
          <w:color w:val="231F20"/>
          <w:spacing w:val="-5"/>
        </w:rPr>
        <w:t> </w:t>
      </w:r>
      <w:r>
        <w:rPr>
          <w:color w:val="231F20"/>
        </w:rPr>
        <w:t>boarding</w:t>
      </w:r>
      <w:r>
        <w:rPr>
          <w:color w:val="231F20"/>
          <w:spacing w:val="21"/>
          <w:w w:val="99"/>
        </w:rPr>
        <w:t> </w:t>
      </w:r>
      <w:r>
        <w:rPr>
          <w:rFonts w:ascii="Segoe UI"/>
          <w:color w:val="231F20"/>
        </w:rPr>
        <w:t>per boarder. The data identifies clear</w:t>
      </w:r>
      <w:r>
        <w:rPr>
          <w:rFonts w:ascii="Segoe UI"/>
          <w:color w:val="231F20"/>
        </w:rPr>
        <w:t> </w:t>
      </w:r>
      <w:r>
        <w:rPr>
          <w:color w:val="231F20"/>
        </w:rPr>
        <w:t>economies</w:t>
      </w:r>
      <w:r>
        <w:rPr>
          <w:color w:val="231F20"/>
          <w:spacing w:val="-4"/>
        </w:rPr>
        <w:t> </w:t>
      </w:r>
      <w:r>
        <w:rPr>
          <w:color w:val="231F20"/>
        </w:rPr>
        <w:t>of</w:t>
      </w:r>
      <w:r>
        <w:rPr>
          <w:color w:val="231F20"/>
          <w:spacing w:val="-4"/>
        </w:rPr>
        <w:t> </w:t>
      </w:r>
      <w:r>
        <w:rPr>
          <w:color w:val="231F20"/>
          <w:spacing w:val="-1"/>
        </w:rPr>
        <w:t>scale</w:t>
      </w:r>
      <w:r>
        <w:rPr>
          <w:color w:val="231F20"/>
          <w:spacing w:val="-3"/>
        </w:rPr>
        <w:t> </w:t>
      </w:r>
      <w:r>
        <w:rPr>
          <w:color w:val="231F20"/>
          <w:spacing w:val="-1"/>
        </w:rPr>
        <w:t>in</w:t>
      </w:r>
      <w:r>
        <w:rPr>
          <w:color w:val="231F20"/>
          <w:spacing w:val="-3"/>
        </w:rPr>
        <w:t> </w:t>
      </w:r>
      <w:r>
        <w:rPr>
          <w:color w:val="231F20"/>
        </w:rPr>
        <w:t>the</w:t>
      </w:r>
      <w:r>
        <w:rPr>
          <w:color w:val="231F20"/>
          <w:spacing w:val="-4"/>
        </w:rPr>
        <w:t> </w:t>
      </w:r>
      <w:r>
        <w:rPr>
          <w:color w:val="231F20"/>
        </w:rPr>
        <w:t>delivery</w:t>
      </w:r>
      <w:r>
        <w:rPr>
          <w:color w:val="231F20"/>
          <w:spacing w:val="-4"/>
        </w:rPr>
        <w:t> </w:t>
      </w:r>
      <w:r>
        <w:rPr>
          <w:color w:val="231F20"/>
        </w:rPr>
        <w:t>of</w:t>
      </w:r>
      <w:r>
        <w:rPr>
          <w:color w:val="231F20"/>
          <w:spacing w:val="-3"/>
        </w:rPr>
        <w:t> </w:t>
      </w:r>
      <w:r>
        <w:rPr>
          <w:color w:val="231F20"/>
        </w:rPr>
        <w:t>boarding</w:t>
      </w:r>
      <w:r>
        <w:rPr>
          <w:color w:val="231F20"/>
          <w:spacing w:val="22"/>
          <w:w w:val="99"/>
        </w:rPr>
        <w:t> </w:t>
      </w:r>
      <w:r>
        <w:rPr>
          <w:color w:val="231F20"/>
          <w:spacing w:val="-1"/>
        </w:rPr>
        <w:t>services</w:t>
      </w:r>
      <w:r>
        <w:rPr>
          <w:color w:val="231F20"/>
          <w:spacing w:val="-5"/>
        </w:rPr>
        <w:t> </w:t>
      </w:r>
      <w:r>
        <w:rPr>
          <w:color w:val="231F20"/>
        </w:rPr>
        <w:t>for</w:t>
      </w:r>
      <w:r>
        <w:rPr>
          <w:color w:val="231F20"/>
          <w:spacing w:val="-4"/>
        </w:rPr>
        <w:t> </w:t>
      </w:r>
      <w:r>
        <w:rPr>
          <w:color w:val="231F20"/>
        </w:rPr>
        <w:t>Aboriginal</w:t>
      </w:r>
      <w:r>
        <w:rPr>
          <w:color w:val="231F20"/>
          <w:spacing w:val="-4"/>
        </w:rPr>
        <w:t> </w:t>
      </w:r>
      <w:r>
        <w:rPr>
          <w:color w:val="231F20"/>
        </w:rPr>
        <w:t>and</w:t>
      </w:r>
      <w:r>
        <w:rPr>
          <w:color w:val="231F20"/>
          <w:spacing w:val="-5"/>
        </w:rPr>
        <w:t> 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20"/>
          <w:w w:val="99"/>
        </w:rPr>
        <w:t> </w:t>
      </w:r>
      <w:r>
        <w:rPr>
          <w:color w:val="231F20"/>
          <w:spacing w:val="-1"/>
        </w:rPr>
        <w:t>students.</w:t>
      </w:r>
      <w:r>
        <w:rPr/>
      </w:r>
    </w:p>
    <w:p>
      <w:pPr>
        <w:pStyle w:val="BodyText"/>
        <w:spacing w:line="250" w:lineRule="exact" w:before="113"/>
        <w:ind w:right="117"/>
        <w:jc w:val="left"/>
      </w:pPr>
      <w:r>
        <w:rPr>
          <w:color w:val="231F20"/>
          <w:spacing w:val="-1"/>
        </w:rPr>
        <w:t>Boarding</w:t>
      </w:r>
      <w:r>
        <w:rPr>
          <w:color w:val="231F20"/>
          <w:spacing w:val="-7"/>
        </w:rPr>
        <w:t> </w:t>
      </w:r>
      <w:r>
        <w:rPr>
          <w:color w:val="231F20"/>
        </w:rPr>
        <w:t>providers</w:t>
      </w:r>
      <w:r>
        <w:rPr>
          <w:color w:val="231F20"/>
          <w:spacing w:val="-8"/>
        </w:rPr>
        <w:t> </w:t>
      </w:r>
      <w:r>
        <w:rPr>
          <w:color w:val="231F20"/>
        </w:rPr>
        <w:t>were</w:t>
      </w:r>
      <w:r>
        <w:rPr>
          <w:color w:val="231F20"/>
          <w:spacing w:val="-8"/>
        </w:rPr>
        <w:t> </w:t>
      </w:r>
      <w:r>
        <w:rPr>
          <w:color w:val="231F20"/>
        </w:rPr>
        <w:t>categorised</w:t>
      </w:r>
      <w:r>
        <w:rPr>
          <w:color w:val="231F20"/>
          <w:spacing w:val="-8"/>
        </w:rPr>
        <w:t> </w:t>
      </w:r>
      <w:r>
        <w:rPr>
          <w:color w:val="231F20"/>
          <w:spacing w:val="-1"/>
        </w:rPr>
        <w:t>into</w:t>
      </w:r>
      <w:r>
        <w:rPr>
          <w:color w:val="231F20"/>
          <w:spacing w:val="-7"/>
        </w:rPr>
        <w:t> </w:t>
      </w:r>
      <w:r>
        <w:rPr>
          <w:color w:val="231F20"/>
          <w:spacing w:val="-1"/>
        </w:rPr>
        <w:t>size</w:t>
      </w:r>
      <w:r>
        <w:rPr>
          <w:color w:val="231F20"/>
          <w:spacing w:val="22"/>
        </w:rPr>
        <w:t> </w:t>
      </w:r>
      <w:r>
        <w:rPr>
          <w:color w:val="231F20"/>
        </w:rPr>
        <w:t>based</w:t>
      </w:r>
      <w:r>
        <w:rPr>
          <w:color w:val="231F20"/>
          <w:spacing w:val="-6"/>
        </w:rPr>
        <w:t> </w:t>
      </w:r>
      <w:r>
        <w:rPr>
          <w:color w:val="231F20"/>
        </w:rPr>
        <w:t>on</w:t>
      </w:r>
      <w:r>
        <w:rPr>
          <w:color w:val="231F20"/>
          <w:spacing w:val="-4"/>
        </w:rPr>
        <w:t> </w:t>
      </w:r>
      <w:r>
        <w:rPr>
          <w:color w:val="231F20"/>
        </w:rPr>
        <w:t>their</w:t>
      </w:r>
      <w:r>
        <w:rPr>
          <w:color w:val="231F20"/>
          <w:spacing w:val="-5"/>
        </w:rPr>
        <w:t> </w:t>
      </w:r>
      <w:r>
        <w:rPr>
          <w:color w:val="231F20"/>
        </w:rPr>
        <w:t>total</w:t>
      </w:r>
      <w:r>
        <w:rPr>
          <w:color w:val="231F20"/>
          <w:spacing w:val="-5"/>
        </w:rPr>
        <w:t> </w:t>
      </w:r>
      <w:r>
        <w:rPr>
          <w:color w:val="231F20"/>
          <w:spacing w:val="-1"/>
        </w:rPr>
        <w:t>enrolment.</w:t>
      </w:r>
      <w:r>
        <w:rPr>
          <w:rFonts w:ascii="Segoe UI Semibold"/>
          <w:b/>
          <w:color w:val="231F20"/>
          <w:spacing w:val="-1"/>
          <w:position w:val="7"/>
          <w:sz w:val="11"/>
        </w:rPr>
        <w:t>146</w:t>
      </w:r>
      <w:r>
        <w:rPr>
          <w:rFonts w:ascii="Segoe UI Semibold"/>
          <w:b/>
          <w:color w:val="231F20"/>
          <w:spacing w:val="20"/>
          <w:position w:val="7"/>
          <w:sz w:val="11"/>
        </w:rPr>
        <w:t> </w:t>
      </w:r>
      <w:r>
        <w:rPr>
          <w:color w:val="231F20"/>
        </w:rPr>
        <w:t>The</w:t>
      </w:r>
      <w:r>
        <w:rPr>
          <w:color w:val="231F20"/>
          <w:spacing w:val="-4"/>
        </w:rPr>
        <w:t> </w:t>
      </w:r>
      <w:r>
        <w:rPr>
          <w:color w:val="231F20"/>
        </w:rPr>
        <w:t>average</w:t>
      </w:r>
      <w:r>
        <w:rPr>
          <w:color w:val="231F20"/>
          <w:spacing w:val="21"/>
          <w:w w:val="99"/>
        </w:rPr>
        <w:t> </w:t>
      </w:r>
      <w:r>
        <w:rPr>
          <w:color w:val="231F20"/>
        </w:rPr>
        <w:t>of</w:t>
      </w:r>
      <w:r>
        <w:rPr>
          <w:color w:val="231F20"/>
          <w:spacing w:val="-4"/>
        </w:rPr>
        <w:t> </w:t>
      </w:r>
      <w:r>
        <w:rPr>
          <w:color w:val="231F20"/>
        </w:rPr>
        <w:t>total</w:t>
      </w:r>
      <w:r>
        <w:rPr>
          <w:color w:val="231F20"/>
          <w:spacing w:val="-5"/>
        </w:rPr>
        <w:t> </w:t>
      </w:r>
      <w:r>
        <w:rPr>
          <w:color w:val="231F20"/>
        </w:rPr>
        <w:t>enrolment</w:t>
      </w:r>
      <w:r>
        <w:rPr>
          <w:color w:val="231F20"/>
          <w:spacing w:val="-5"/>
        </w:rPr>
        <w:t> </w:t>
      </w:r>
      <w:r>
        <w:rPr>
          <w:color w:val="231F20"/>
        </w:rPr>
        <w:t>across</w:t>
      </w:r>
      <w:r>
        <w:rPr>
          <w:color w:val="231F20"/>
          <w:spacing w:val="-5"/>
        </w:rPr>
        <w:t> </w:t>
      </w:r>
      <w:r>
        <w:rPr>
          <w:color w:val="231F20"/>
          <w:spacing w:val="-1"/>
        </w:rPr>
        <w:t>2016</w:t>
      </w:r>
      <w:r>
        <w:rPr>
          <w:color w:val="231F20"/>
          <w:spacing w:val="-4"/>
        </w:rPr>
        <w:t> </w:t>
      </w:r>
      <w:r>
        <w:rPr>
          <w:color w:val="231F20"/>
        </w:rPr>
        <w:t>and</w:t>
      </w:r>
      <w:r>
        <w:rPr>
          <w:color w:val="231F20"/>
          <w:spacing w:val="-5"/>
        </w:rPr>
        <w:t> </w:t>
      </w:r>
      <w:r>
        <w:rPr>
          <w:color w:val="231F20"/>
          <w:spacing w:val="-1"/>
        </w:rPr>
        <w:t>2017</w:t>
      </w:r>
      <w:r>
        <w:rPr>
          <w:color w:val="231F20"/>
          <w:spacing w:val="-4"/>
        </w:rPr>
        <w:t> </w:t>
      </w:r>
      <w:r>
        <w:rPr>
          <w:color w:val="231F20"/>
        </w:rPr>
        <w:t>was</w:t>
      </w:r>
      <w:r>
        <w:rPr>
          <w:color w:val="231F20"/>
          <w:spacing w:val="23"/>
          <w:w w:val="99"/>
        </w:rPr>
        <w:t> </w:t>
      </w:r>
      <w:r>
        <w:rPr>
          <w:color w:val="231F20"/>
        </w:rPr>
        <w:t>used</w:t>
      </w:r>
      <w:r>
        <w:rPr>
          <w:color w:val="231F20"/>
          <w:spacing w:val="-3"/>
        </w:rPr>
        <w:t> </w:t>
      </w:r>
      <w:r>
        <w:rPr>
          <w:color w:val="231F20"/>
        </w:rPr>
        <w:t>to</w:t>
      </w:r>
      <w:r>
        <w:rPr>
          <w:color w:val="231F20"/>
          <w:spacing w:val="-2"/>
        </w:rPr>
        <w:t> </w:t>
      </w:r>
      <w:r>
        <w:rPr>
          <w:color w:val="231F20"/>
        </w:rPr>
        <w:t>address</w:t>
      </w:r>
      <w:r>
        <w:rPr>
          <w:color w:val="231F20"/>
          <w:spacing w:val="-3"/>
        </w:rPr>
        <w:t> </w:t>
      </w:r>
      <w:r>
        <w:rPr>
          <w:color w:val="231F20"/>
        </w:rPr>
        <w:t>any</w:t>
      </w:r>
      <w:r>
        <w:rPr>
          <w:color w:val="231F20"/>
          <w:spacing w:val="-3"/>
        </w:rPr>
        <w:t> </w:t>
      </w:r>
      <w:r>
        <w:rPr>
          <w:color w:val="231F20"/>
        </w:rPr>
        <w:t>anomalies.</w:t>
      </w:r>
      <w:r>
        <w:rPr>
          <w:color w:val="231F20"/>
          <w:spacing w:val="-3"/>
        </w:rPr>
        <w:t> </w:t>
      </w:r>
      <w:r>
        <w:rPr>
          <w:color w:val="231F20"/>
          <w:spacing w:val="-1"/>
        </w:rPr>
        <w:t>School</w:t>
      </w:r>
      <w:r>
        <w:rPr>
          <w:color w:val="231F20"/>
          <w:spacing w:val="-2"/>
        </w:rPr>
        <w:t> </w:t>
      </w:r>
      <w:r>
        <w:rPr>
          <w:color w:val="231F20"/>
          <w:spacing w:val="-1"/>
        </w:rPr>
        <w:t>size</w:t>
      </w:r>
      <w:r>
        <w:rPr>
          <w:color w:val="231F20"/>
          <w:spacing w:val="21"/>
        </w:rPr>
        <w:t> </w:t>
      </w:r>
      <w:r>
        <w:rPr>
          <w:color w:val="231F20"/>
        </w:rPr>
        <w:t>categories</w:t>
      </w:r>
      <w:r>
        <w:rPr>
          <w:color w:val="231F20"/>
          <w:spacing w:val="-6"/>
        </w:rPr>
        <w:t> </w:t>
      </w:r>
      <w:r>
        <w:rPr>
          <w:color w:val="231F20"/>
        </w:rPr>
        <w:t>used</w:t>
      </w:r>
      <w:r>
        <w:rPr>
          <w:color w:val="231F20"/>
          <w:spacing w:val="-5"/>
        </w:rPr>
        <w:t> </w:t>
      </w:r>
      <w:r>
        <w:rPr>
          <w:color w:val="231F20"/>
        </w:rPr>
        <w:t>for</w:t>
      </w:r>
      <w:r>
        <w:rPr>
          <w:color w:val="231F20"/>
          <w:spacing w:val="-6"/>
        </w:rPr>
        <w:t> </w:t>
      </w:r>
      <w:r>
        <w:rPr>
          <w:color w:val="231F20"/>
        </w:rPr>
        <w:t>the</w:t>
      </w:r>
      <w:r>
        <w:rPr>
          <w:color w:val="231F20"/>
          <w:spacing w:val="-5"/>
        </w:rPr>
        <w:t> </w:t>
      </w:r>
      <w:r>
        <w:rPr>
          <w:color w:val="231F20"/>
          <w:spacing w:val="-1"/>
        </w:rPr>
        <w:t>purposes</w:t>
      </w:r>
      <w:r>
        <w:rPr>
          <w:color w:val="231F20"/>
          <w:spacing w:val="-5"/>
        </w:rPr>
        <w:t> </w:t>
      </w:r>
      <w:r>
        <w:rPr>
          <w:color w:val="231F20"/>
        </w:rPr>
        <w:t>of</w:t>
      </w:r>
      <w:r>
        <w:rPr>
          <w:color w:val="231F20"/>
          <w:spacing w:val="-4"/>
        </w:rPr>
        <w:t> </w:t>
      </w:r>
      <w:r>
        <w:rPr>
          <w:color w:val="231F20"/>
        </w:rPr>
        <w:t>the</w:t>
      </w:r>
      <w:r>
        <w:rPr>
          <w:color w:val="231F20"/>
          <w:spacing w:val="-6"/>
        </w:rPr>
        <w:t> </w:t>
      </w:r>
      <w:r>
        <w:rPr>
          <w:color w:val="231F20"/>
        </w:rPr>
        <w:t>analysis</w:t>
      </w:r>
      <w:r>
        <w:rPr>
          <w:color w:val="231F20"/>
          <w:spacing w:val="25"/>
        </w:rPr>
        <w:t> </w:t>
      </w:r>
      <w:r>
        <w:rPr>
          <w:color w:val="231F20"/>
          <w:spacing w:val="-1"/>
        </w:rPr>
        <w:t>in</w:t>
      </w:r>
      <w:r>
        <w:rPr>
          <w:color w:val="231F20"/>
          <w:spacing w:val="-5"/>
        </w:rPr>
        <w:t> </w:t>
      </w:r>
      <w:r>
        <w:rPr>
          <w:color w:val="231F20"/>
        </w:rPr>
        <w:t>this</w:t>
      </w:r>
      <w:r>
        <w:rPr>
          <w:color w:val="231F20"/>
          <w:spacing w:val="-5"/>
        </w:rPr>
        <w:t> </w:t>
      </w:r>
      <w:r>
        <w:rPr>
          <w:color w:val="231F20"/>
        </w:rPr>
        <w:t>report</w:t>
      </w:r>
      <w:r>
        <w:rPr>
          <w:color w:val="231F20"/>
          <w:spacing w:val="-5"/>
        </w:rPr>
        <w:t> </w:t>
      </w:r>
      <w:r>
        <w:rPr>
          <w:color w:val="231F20"/>
        </w:rPr>
        <w:t>and</w:t>
      </w:r>
      <w:r>
        <w:rPr>
          <w:color w:val="231F20"/>
          <w:spacing w:val="-5"/>
        </w:rPr>
        <w:t> </w:t>
      </w:r>
      <w:r>
        <w:rPr>
          <w:color w:val="231F20"/>
        </w:rPr>
        <w:t>the</w:t>
      </w:r>
      <w:r>
        <w:rPr>
          <w:color w:val="231F20"/>
          <w:spacing w:val="-5"/>
        </w:rPr>
        <w:t> </w:t>
      </w:r>
      <w:r>
        <w:rPr>
          <w:color w:val="231F20"/>
        </w:rPr>
        <w:t>number</w:t>
      </w:r>
      <w:r>
        <w:rPr>
          <w:color w:val="231F20"/>
          <w:spacing w:val="-6"/>
        </w:rPr>
        <w:t> </w:t>
      </w:r>
      <w:r>
        <w:rPr>
          <w:color w:val="231F20"/>
        </w:rPr>
        <w:t>of</w:t>
      </w:r>
      <w:r>
        <w:rPr>
          <w:color w:val="231F20"/>
          <w:spacing w:val="-4"/>
        </w:rPr>
        <w:t> </w:t>
      </w:r>
      <w:r>
        <w:rPr>
          <w:color w:val="231F20"/>
        </w:rPr>
        <w:t>Aboriginal</w:t>
      </w:r>
      <w:r>
        <w:rPr/>
      </w:r>
    </w:p>
    <w:p>
      <w:pPr>
        <w:pStyle w:val="BodyText"/>
        <w:spacing w:line="250" w:lineRule="exact"/>
        <w:ind w:right="140"/>
        <w:jc w:val="left"/>
      </w:pPr>
      <w:r>
        <w:rPr>
          <w:color w:val="231F20"/>
        </w:rPr>
        <w:t>and</w:t>
      </w:r>
      <w:r>
        <w:rPr>
          <w:color w:val="231F20"/>
          <w:spacing w:val="-6"/>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5"/>
        </w:rPr>
        <w:t> </w:t>
      </w:r>
      <w:r>
        <w:rPr>
          <w:color w:val="231F20"/>
        </w:rPr>
        <w:t>boarding</w:t>
      </w:r>
      <w:r>
        <w:rPr>
          <w:color w:val="231F20"/>
          <w:spacing w:val="-6"/>
        </w:rPr>
        <w:t> </w:t>
      </w:r>
      <w:r>
        <w:rPr>
          <w:color w:val="231F20"/>
        </w:rPr>
        <w:t>providers</w:t>
      </w:r>
      <w:r>
        <w:rPr>
          <w:color w:val="231F20"/>
          <w:spacing w:val="-6"/>
        </w:rPr>
        <w:t> </w:t>
      </w:r>
      <w:r>
        <w:rPr>
          <w:color w:val="231F20"/>
          <w:spacing w:val="-1"/>
        </w:rPr>
        <w:t>in</w:t>
      </w:r>
      <w:r>
        <w:rPr>
          <w:color w:val="231F20"/>
          <w:spacing w:val="20"/>
        </w:rPr>
        <w:t> </w:t>
      </w:r>
      <w:r>
        <w:rPr>
          <w:color w:val="231F20"/>
        </w:rPr>
        <w:t>each</w:t>
      </w:r>
      <w:r>
        <w:rPr>
          <w:color w:val="231F20"/>
          <w:spacing w:val="-4"/>
        </w:rPr>
        <w:t> </w:t>
      </w:r>
      <w:r>
        <w:rPr>
          <w:color w:val="231F20"/>
          <w:spacing w:val="-1"/>
        </w:rPr>
        <w:t>size</w:t>
      </w:r>
      <w:r>
        <w:rPr>
          <w:color w:val="231F20"/>
          <w:spacing w:val="-4"/>
        </w:rPr>
        <w:t> </w:t>
      </w:r>
      <w:r>
        <w:rPr>
          <w:color w:val="231F20"/>
        </w:rPr>
        <w:t>category</w:t>
      </w:r>
      <w:r>
        <w:rPr>
          <w:color w:val="231F20"/>
          <w:spacing w:val="-4"/>
        </w:rPr>
        <w:t> </w:t>
      </w:r>
      <w:r>
        <w:rPr>
          <w:color w:val="231F20"/>
        </w:rPr>
        <w:t>are</w:t>
      </w:r>
      <w:r>
        <w:rPr>
          <w:color w:val="231F20"/>
          <w:spacing w:val="-5"/>
        </w:rPr>
        <w:t> </w:t>
      </w:r>
      <w:r>
        <w:rPr>
          <w:color w:val="231F20"/>
          <w:spacing w:val="-1"/>
        </w:rPr>
        <w:t>set</w:t>
      </w:r>
      <w:r>
        <w:rPr>
          <w:color w:val="231F20"/>
          <w:spacing w:val="-4"/>
        </w:rPr>
        <w:t> </w:t>
      </w:r>
      <w:r>
        <w:rPr>
          <w:color w:val="231F20"/>
        </w:rPr>
        <w:t>out</w:t>
      </w:r>
      <w:r>
        <w:rPr>
          <w:color w:val="231F20"/>
          <w:spacing w:val="-4"/>
        </w:rPr>
        <w:t> </w:t>
      </w:r>
      <w:r>
        <w:rPr>
          <w:color w:val="231F20"/>
        </w:rPr>
        <w:t>below:</w:t>
      </w:r>
      <w:r>
        <w:rPr/>
      </w:r>
    </w:p>
    <w:p>
      <w:pPr>
        <w:pStyle w:val="BodyText"/>
        <w:spacing w:line="250" w:lineRule="exact" w:before="113"/>
        <w:ind w:left="344" w:right="140" w:hanging="227"/>
        <w:jc w:val="left"/>
      </w:pPr>
      <w:r>
        <w:rPr>
          <w:rFonts w:ascii="Century Gothic" w:hAnsi="Century Gothic" w:cs="Century Gothic" w:eastAsia="Century Gothic"/>
          <w:color w:val="231F20"/>
        </w:rPr>
        <w:t>» </w:t>
      </w:r>
      <w:r>
        <w:rPr>
          <w:rFonts w:ascii="Century Gothic" w:hAnsi="Century Gothic" w:cs="Century Gothic" w:eastAsia="Century Gothic"/>
          <w:color w:val="231F20"/>
          <w:spacing w:val="28"/>
        </w:rPr>
        <w:t> </w:t>
      </w:r>
      <w:r>
        <w:rPr>
          <w:rFonts w:ascii="Segoe UI" w:hAnsi="Segoe UI" w:cs="Segoe UI" w:eastAsia="Segoe UI"/>
          <w:b/>
          <w:bCs/>
          <w:color w:val="231F20"/>
          <w:spacing w:val="1"/>
        </w:rPr>
        <w:t>very</w:t>
      </w:r>
      <w:r>
        <w:rPr>
          <w:rFonts w:ascii="Segoe UI" w:hAnsi="Segoe UI" w:cs="Segoe UI" w:eastAsia="Segoe UI"/>
          <w:b/>
          <w:bCs/>
          <w:color w:val="231F20"/>
          <w:spacing w:val="-1"/>
        </w:rPr>
        <w:t> small</w:t>
      </w:r>
      <w:r>
        <w:rPr>
          <w:color w:val="231F20"/>
          <w:spacing w:val="-1"/>
        </w:rPr>
        <w:t>—less</w:t>
      </w:r>
      <w:r>
        <w:rPr>
          <w:color w:val="231F20"/>
          <w:spacing w:val="-2"/>
        </w:rPr>
        <w:t> </w:t>
      </w:r>
      <w:r>
        <w:rPr>
          <w:color w:val="231F20"/>
        </w:rPr>
        <w:t>than</w:t>
      </w:r>
      <w:r>
        <w:rPr>
          <w:color w:val="231F20"/>
          <w:spacing w:val="-2"/>
        </w:rPr>
        <w:t> </w:t>
      </w:r>
      <w:r>
        <w:rPr>
          <w:color w:val="231F20"/>
          <w:spacing w:val="-1"/>
        </w:rPr>
        <w:t>50</w:t>
      </w:r>
      <w:r>
        <w:rPr>
          <w:color w:val="231F20"/>
          <w:spacing w:val="-2"/>
        </w:rPr>
        <w:t> </w:t>
      </w:r>
      <w:r>
        <w:rPr>
          <w:color w:val="231F20"/>
          <w:spacing w:val="-1"/>
        </w:rPr>
        <w:t>students </w:t>
      </w:r>
      <w:r>
        <w:rPr>
          <w:color w:val="231F20"/>
        </w:rPr>
        <w:t>(six</w:t>
      </w:r>
      <w:r>
        <w:rPr>
          <w:color w:val="231F20"/>
          <w:spacing w:val="27"/>
        </w:rPr>
        <w:t> </w:t>
      </w:r>
      <w:r>
        <w:rPr>
          <w:color w:val="231F20"/>
        </w:rPr>
        <w:t>boarding</w:t>
      </w:r>
      <w:r>
        <w:rPr>
          <w:color w:val="231F20"/>
          <w:spacing w:val="-18"/>
        </w:rPr>
        <w:t> </w:t>
      </w:r>
      <w:r>
        <w:rPr>
          <w:color w:val="231F20"/>
        </w:rPr>
        <w:t>providers)</w:t>
      </w:r>
      <w:r>
        <w:rPr/>
      </w:r>
    </w:p>
    <w:p>
      <w:pPr>
        <w:pStyle w:val="BodyText"/>
        <w:spacing w:line="250" w:lineRule="exact" w:before="113"/>
        <w:ind w:left="344" w:right="140" w:hanging="227"/>
        <w:jc w:val="left"/>
      </w:pPr>
      <w:r>
        <w:rPr>
          <w:rFonts w:ascii="Century Gothic" w:hAnsi="Century Gothic" w:cs="Century Gothic" w:eastAsia="Century Gothic"/>
          <w:color w:val="231F20"/>
        </w:rPr>
        <w:t>» </w:t>
      </w:r>
      <w:r>
        <w:rPr>
          <w:rFonts w:ascii="Century Gothic" w:hAnsi="Century Gothic" w:cs="Century Gothic" w:eastAsia="Century Gothic"/>
          <w:color w:val="231F20"/>
          <w:spacing w:val="24"/>
        </w:rPr>
        <w:t> </w:t>
      </w:r>
      <w:r>
        <w:rPr>
          <w:rFonts w:ascii="Segoe UI" w:hAnsi="Segoe UI" w:cs="Segoe UI" w:eastAsia="Segoe UI"/>
          <w:b/>
          <w:bCs/>
          <w:color w:val="231F20"/>
          <w:spacing w:val="-1"/>
        </w:rPr>
        <w:t>small</w:t>
      </w:r>
      <w:r>
        <w:rPr>
          <w:color w:val="231F20"/>
          <w:spacing w:val="-1"/>
        </w:rPr>
        <w:t>—between</w:t>
      </w:r>
      <w:r>
        <w:rPr>
          <w:color w:val="231F20"/>
          <w:spacing w:val="-2"/>
        </w:rPr>
        <w:t> </w:t>
      </w:r>
      <w:r>
        <w:rPr>
          <w:color w:val="231F20"/>
          <w:spacing w:val="-1"/>
        </w:rPr>
        <w:t>50</w:t>
      </w:r>
      <w:r>
        <w:rPr>
          <w:color w:val="231F20"/>
          <w:spacing w:val="-3"/>
        </w:rPr>
        <w:t> </w:t>
      </w:r>
      <w:r>
        <w:rPr>
          <w:color w:val="231F20"/>
        </w:rPr>
        <w:t>and</w:t>
      </w:r>
      <w:r>
        <w:rPr>
          <w:color w:val="231F20"/>
          <w:spacing w:val="-3"/>
        </w:rPr>
        <w:t> </w:t>
      </w:r>
      <w:r>
        <w:rPr>
          <w:color w:val="231F20"/>
          <w:spacing w:val="-1"/>
        </w:rPr>
        <w:t>225</w:t>
      </w:r>
      <w:r>
        <w:rPr>
          <w:color w:val="231F20"/>
          <w:spacing w:val="-3"/>
        </w:rPr>
        <w:t> </w:t>
      </w:r>
      <w:r>
        <w:rPr>
          <w:color w:val="231F20"/>
          <w:spacing w:val="-1"/>
        </w:rPr>
        <w:t>students</w:t>
      </w:r>
      <w:r>
        <w:rPr>
          <w:color w:val="231F20"/>
          <w:spacing w:val="-2"/>
        </w:rPr>
        <w:t> </w:t>
      </w:r>
      <w:r>
        <w:rPr>
          <w:color w:val="231F20"/>
        </w:rPr>
        <w:t>(nine</w:t>
      </w:r>
      <w:r>
        <w:rPr>
          <w:color w:val="231F20"/>
          <w:spacing w:val="31"/>
          <w:w w:val="99"/>
        </w:rPr>
        <w:t> </w:t>
      </w:r>
      <w:r>
        <w:rPr>
          <w:color w:val="231F20"/>
        </w:rPr>
        <w:t>boarding</w:t>
      </w:r>
      <w:r>
        <w:rPr>
          <w:color w:val="231F20"/>
          <w:spacing w:val="-18"/>
        </w:rPr>
        <w:t> </w:t>
      </w:r>
      <w:r>
        <w:rPr>
          <w:color w:val="231F20"/>
        </w:rPr>
        <w:t>providers)</w:t>
      </w:r>
      <w:r>
        <w:rPr/>
      </w:r>
    </w:p>
    <w:p>
      <w:pPr>
        <w:pStyle w:val="BodyText"/>
        <w:spacing w:line="250" w:lineRule="exact" w:before="113"/>
        <w:ind w:left="344" w:right="116" w:hanging="227"/>
        <w:jc w:val="left"/>
      </w:pPr>
      <w:r>
        <w:rPr>
          <w:rFonts w:ascii="Century Gothic" w:hAnsi="Century Gothic" w:cs="Century Gothic" w:eastAsia="Century Gothic"/>
          <w:color w:val="231F20"/>
        </w:rPr>
        <w:t>» </w:t>
      </w:r>
      <w:r>
        <w:rPr>
          <w:rFonts w:ascii="Century Gothic" w:hAnsi="Century Gothic" w:cs="Century Gothic" w:eastAsia="Century Gothic"/>
          <w:color w:val="231F20"/>
          <w:spacing w:val="25"/>
        </w:rPr>
        <w:t> </w:t>
      </w:r>
      <w:r>
        <w:rPr>
          <w:rFonts w:ascii="Segoe UI" w:hAnsi="Segoe UI" w:cs="Segoe UI" w:eastAsia="Segoe UI"/>
          <w:b/>
          <w:bCs/>
          <w:color w:val="231F20"/>
          <w:spacing w:val="-1"/>
        </w:rPr>
        <w:t>medium</w:t>
      </w:r>
      <w:r>
        <w:rPr>
          <w:color w:val="231F20"/>
          <w:spacing w:val="-1"/>
        </w:rPr>
        <w:t>—between</w:t>
      </w:r>
      <w:r>
        <w:rPr>
          <w:color w:val="231F20"/>
          <w:spacing w:val="-2"/>
        </w:rPr>
        <w:t> </w:t>
      </w:r>
      <w:r>
        <w:rPr>
          <w:color w:val="231F20"/>
          <w:spacing w:val="-1"/>
        </w:rPr>
        <w:t>226</w:t>
      </w:r>
      <w:r>
        <w:rPr>
          <w:color w:val="231F20"/>
          <w:spacing w:val="-2"/>
        </w:rPr>
        <w:t> </w:t>
      </w:r>
      <w:r>
        <w:rPr>
          <w:color w:val="231F20"/>
        </w:rPr>
        <w:t>and</w:t>
      </w:r>
      <w:r>
        <w:rPr>
          <w:color w:val="231F20"/>
          <w:spacing w:val="-3"/>
        </w:rPr>
        <w:t> </w:t>
      </w:r>
      <w:r>
        <w:rPr>
          <w:color w:val="231F20"/>
          <w:spacing w:val="-1"/>
        </w:rPr>
        <w:t>600</w:t>
      </w:r>
      <w:r>
        <w:rPr>
          <w:color w:val="231F20"/>
          <w:spacing w:val="-3"/>
        </w:rPr>
        <w:t> </w:t>
      </w:r>
      <w:r>
        <w:rPr>
          <w:color w:val="231F20"/>
          <w:spacing w:val="-1"/>
        </w:rPr>
        <w:t>students</w:t>
      </w:r>
      <w:r>
        <w:rPr>
          <w:color w:val="231F20"/>
          <w:spacing w:val="30"/>
        </w:rPr>
        <w:t> </w:t>
      </w:r>
      <w:r>
        <w:rPr>
          <w:color w:val="231F20"/>
        </w:rPr>
        <w:t>(eight</w:t>
      </w:r>
      <w:r>
        <w:rPr>
          <w:color w:val="231F20"/>
          <w:spacing w:val="-12"/>
        </w:rPr>
        <w:t> </w:t>
      </w:r>
      <w:r>
        <w:rPr>
          <w:color w:val="231F20"/>
        </w:rPr>
        <w:t>boarding</w:t>
      </w:r>
      <w:r>
        <w:rPr>
          <w:color w:val="231F20"/>
          <w:spacing w:val="-12"/>
        </w:rPr>
        <w:t> </w:t>
      </w:r>
      <w:r>
        <w:rPr>
          <w:color w:val="231F20"/>
        </w:rPr>
        <w:t>providers)</w:t>
      </w:r>
      <w:r>
        <w:rPr/>
      </w:r>
    </w:p>
    <w:p>
      <w:pPr>
        <w:pStyle w:val="BodyText"/>
        <w:spacing w:line="250" w:lineRule="exact" w:before="113"/>
        <w:ind w:left="344" w:right="140" w:hanging="227"/>
        <w:jc w:val="left"/>
      </w:pPr>
      <w:r>
        <w:rPr>
          <w:rFonts w:ascii="Century Gothic" w:hAnsi="Century Gothic" w:cs="Century Gothic" w:eastAsia="Century Gothic"/>
          <w:color w:val="231F20"/>
        </w:rPr>
        <w:t>» </w:t>
      </w:r>
      <w:r>
        <w:rPr>
          <w:rFonts w:ascii="Century Gothic" w:hAnsi="Century Gothic" w:cs="Century Gothic" w:eastAsia="Century Gothic"/>
          <w:color w:val="231F20"/>
          <w:spacing w:val="23"/>
        </w:rPr>
        <w:t> </w:t>
      </w:r>
      <w:r>
        <w:rPr>
          <w:rFonts w:ascii="Segoe UI" w:hAnsi="Segoe UI" w:cs="Segoe UI" w:eastAsia="Segoe UI"/>
          <w:b/>
          <w:bCs/>
          <w:color w:val="231F20"/>
          <w:spacing w:val="-1"/>
        </w:rPr>
        <w:t>large</w:t>
      </w:r>
      <w:r>
        <w:rPr>
          <w:color w:val="231F20"/>
          <w:spacing w:val="-1"/>
        </w:rPr>
        <w:t>—over</w:t>
      </w:r>
      <w:r>
        <w:rPr>
          <w:color w:val="231F20"/>
          <w:spacing w:val="-3"/>
        </w:rPr>
        <w:t> </w:t>
      </w:r>
      <w:r>
        <w:rPr>
          <w:color w:val="231F20"/>
          <w:spacing w:val="-1"/>
        </w:rPr>
        <w:t>600</w:t>
      </w:r>
      <w:r>
        <w:rPr>
          <w:color w:val="231F20"/>
          <w:spacing w:val="-3"/>
        </w:rPr>
        <w:t> </w:t>
      </w:r>
      <w:r>
        <w:rPr>
          <w:color w:val="231F20"/>
          <w:spacing w:val="-1"/>
        </w:rPr>
        <w:t>students</w:t>
      </w:r>
      <w:r>
        <w:rPr>
          <w:color w:val="231F20"/>
          <w:spacing w:val="-3"/>
        </w:rPr>
        <w:t> </w:t>
      </w:r>
      <w:r>
        <w:rPr>
          <w:color w:val="231F20"/>
        </w:rPr>
        <w:t>(four</w:t>
      </w:r>
      <w:r>
        <w:rPr>
          <w:color w:val="231F20"/>
          <w:spacing w:val="-4"/>
        </w:rPr>
        <w:t> </w:t>
      </w:r>
      <w:r>
        <w:rPr>
          <w:color w:val="231F20"/>
        </w:rPr>
        <w:t>boarding</w:t>
      </w:r>
      <w:r>
        <w:rPr>
          <w:color w:val="231F20"/>
          <w:spacing w:val="29"/>
          <w:w w:val="99"/>
        </w:rPr>
        <w:t> </w:t>
      </w:r>
      <w:r>
        <w:rPr>
          <w:color w:val="231F20"/>
        </w:rPr>
        <w:t>providers).</w:t>
      </w:r>
      <w:r>
        <w:rPr/>
      </w:r>
    </w:p>
    <w:p>
      <w:pPr>
        <w:pStyle w:val="BodyText"/>
        <w:spacing w:line="250" w:lineRule="exact" w:before="113"/>
        <w:ind w:right="110"/>
        <w:jc w:val="left"/>
      </w:pPr>
      <w:r>
        <w:rPr>
          <w:color w:val="231F20"/>
        </w:rPr>
        <w:t>The</w:t>
      </w:r>
      <w:r>
        <w:rPr>
          <w:color w:val="231F20"/>
          <w:spacing w:val="-4"/>
        </w:rPr>
        <w:t> </w:t>
      </w:r>
      <w:r>
        <w:rPr>
          <w:color w:val="231F20"/>
        </w:rPr>
        <w:t>data</w:t>
      </w:r>
      <w:r>
        <w:rPr>
          <w:color w:val="231F20"/>
          <w:spacing w:val="-4"/>
        </w:rPr>
        <w:t> </w:t>
      </w:r>
      <w:r>
        <w:rPr>
          <w:color w:val="231F20"/>
          <w:spacing w:val="-1"/>
        </w:rPr>
        <w:t>suggests</w:t>
      </w:r>
      <w:r>
        <w:rPr>
          <w:color w:val="231F20"/>
          <w:spacing w:val="-3"/>
        </w:rPr>
        <w:t> </w:t>
      </w:r>
      <w:r>
        <w:rPr>
          <w:color w:val="231F20"/>
        </w:rPr>
        <w:t>that</w:t>
      </w:r>
      <w:r>
        <w:rPr>
          <w:color w:val="231F20"/>
          <w:spacing w:val="-4"/>
        </w:rPr>
        <w:t> </w:t>
      </w:r>
      <w:r>
        <w:rPr>
          <w:color w:val="231F20"/>
        </w:rPr>
        <w:t>the</w:t>
      </w:r>
      <w:r>
        <w:rPr>
          <w:color w:val="231F20"/>
          <w:spacing w:val="-4"/>
        </w:rPr>
        <w:t> </w:t>
      </w:r>
      <w:r>
        <w:rPr>
          <w:color w:val="231F20"/>
          <w:spacing w:val="-1"/>
        </w:rPr>
        <w:t>size</w:t>
      </w:r>
      <w:r>
        <w:rPr>
          <w:color w:val="231F20"/>
          <w:spacing w:val="-3"/>
        </w:rPr>
        <w:t> </w:t>
      </w:r>
      <w:r>
        <w:rPr>
          <w:color w:val="231F20"/>
        </w:rPr>
        <w:t>of</w:t>
      </w:r>
      <w:r>
        <w:rPr>
          <w:color w:val="231F20"/>
          <w:spacing w:val="-3"/>
        </w:rPr>
        <w:t> </w:t>
      </w:r>
      <w:r>
        <w:rPr>
          <w:color w:val="231F20"/>
        </w:rPr>
        <w:t>a</w:t>
      </w:r>
      <w:r>
        <w:rPr>
          <w:color w:val="231F20"/>
          <w:spacing w:val="-3"/>
        </w:rPr>
        <w:t> </w:t>
      </w:r>
      <w:r>
        <w:rPr>
          <w:color w:val="231F20"/>
        </w:rPr>
        <w:t>boarding</w:t>
      </w:r>
      <w:r>
        <w:rPr>
          <w:color w:val="231F20"/>
          <w:spacing w:val="23"/>
          <w:w w:val="99"/>
        </w:rPr>
        <w:t> </w:t>
      </w:r>
      <w:r>
        <w:rPr>
          <w:color w:val="231F20"/>
        </w:rPr>
        <w:t>provider</w:t>
      </w:r>
      <w:r>
        <w:rPr>
          <w:color w:val="231F20"/>
          <w:spacing w:val="-6"/>
        </w:rPr>
        <w:t> </w:t>
      </w:r>
      <w:r>
        <w:rPr>
          <w:color w:val="231F20"/>
          <w:spacing w:val="-1"/>
        </w:rPr>
        <w:t>is</w:t>
      </w:r>
      <w:r>
        <w:rPr>
          <w:color w:val="231F20"/>
          <w:spacing w:val="-5"/>
        </w:rPr>
        <w:t> </w:t>
      </w:r>
      <w:r>
        <w:rPr>
          <w:color w:val="231F20"/>
        </w:rPr>
        <w:t>a</w:t>
      </w:r>
      <w:r>
        <w:rPr>
          <w:color w:val="231F20"/>
          <w:spacing w:val="-5"/>
        </w:rPr>
        <w:t> </w:t>
      </w:r>
      <w:r>
        <w:rPr>
          <w:color w:val="231F20"/>
        </w:rPr>
        <w:t>determinant</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average</w:t>
      </w:r>
      <w:r>
        <w:rPr>
          <w:color w:val="231F20"/>
          <w:spacing w:val="-5"/>
        </w:rPr>
        <w:t> </w:t>
      </w:r>
      <w:r>
        <w:rPr>
          <w:color w:val="231F20"/>
        </w:rPr>
        <w:t>cost</w:t>
      </w:r>
      <w:r>
        <w:rPr>
          <w:color w:val="231F20"/>
        </w:rPr>
        <w:t> </w:t>
      </w:r>
      <w:r>
        <w:rPr>
          <w:color w:val="231F20"/>
          <w:spacing w:val="21"/>
        </w:rPr>
        <w:t> </w:t>
      </w:r>
      <w:r>
        <w:rPr>
          <w:color w:val="231F20"/>
        </w:rPr>
        <w:t>of</w:t>
      </w:r>
      <w:r>
        <w:rPr>
          <w:color w:val="231F20"/>
          <w:spacing w:val="-5"/>
        </w:rPr>
        <w:t> </w:t>
      </w:r>
      <w:r>
        <w:rPr>
          <w:color w:val="231F20"/>
        </w:rPr>
        <w:t>boarding</w:t>
      </w:r>
      <w:r>
        <w:rPr>
          <w:color w:val="231F20"/>
          <w:spacing w:val="-6"/>
        </w:rPr>
        <w:t> </w:t>
      </w:r>
      <w:r>
        <w:rPr>
          <w:color w:val="231F20"/>
        </w:rPr>
        <w:t>for</w:t>
      </w:r>
      <w:r>
        <w:rPr>
          <w:color w:val="231F20"/>
          <w:spacing w:val="-4"/>
        </w:rPr>
        <w:t> </w:t>
      </w:r>
      <w:r>
        <w:rPr>
          <w:color w:val="231F20"/>
        </w:rPr>
        <w:t>Aboriginal</w:t>
      </w:r>
      <w:r>
        <w:rPr>
          <w:color w:val="231F20"/>
          <w:spacing w:val="-5"/>
        </w:rPr>
        <w:t> </w:t>
      </w:r>
      <w:r>
        <w:rPr>
          <w:color w:val="231F20"/>
        </w:rPr>
        <w:t>and</w:t>
      </w:r>
      <w:r>
        <w:rPr>
          <w:color w:val="231F20"/>
          <w:spacing w:val="-6"/>
        </w:rPr>
        <w:t> </w:t>
      </w:r>
      <w:r>
        <w:rPr>
          <w:color w:val="231F20"/>
          <w:spacing w:val="-5"/>
        </w:rPr>
        <w:t>Torres</w:t>
      </w:r>
      <w:r>
        <w:rPr>
          <w:color w:val="231F20"/>
          <w:spacing w:val="-4"/>
        </w:rPr>
        <w:t> </w:t>
      </w:r>
      <w:r>
        <w:rPr>
          <w:color w:val="231F20"/>
          <w:spacing w:val="-2"/>
        </w:rPr>
        <w:t>Strait</w:t>
      </w:r>
      <w:r>
        <w:rPr>
          <w:color w:val="231F20"/>
          <w:spacing w:val="28"/>
          <w:w w:val="99"/>
        </w:rPr>
        <w:t> </w:t>
      </w:r>
      <w:r>
        <w:rPr>
          <w:color w:val="231F20"/>
          <w:spacing w:val="-1"/>
        </w:rPr>
        <w:t>Islander</w:t>
      </w:r>
      <w:r>
        <w:rPr>
          <w:color w:val="231F20"/>
          <w:spacing w:val="-6"/>
        </w:rPr>
        <w:t> </w:t>
      </w:r>
      <w:r>
        <w:rPr>
          <w:color w:val="231F20"/>
          <w:spacing w:val="-1"/>
        </w:rPr>
        <w:t>students.</w:t>
      </w:r>
      <w:r>
        <w:rPr>
          <w:color w:val="231F20"/>
          <w:spacing w:val="-5"/>
        </w:rPr>
        <w:t> </w:t>
      </w:r>
      <w:r>
        <w:rPr>
          <w:color w:val="231F20"/>
        </w:rPr>
        <w:t>The</w:t>
      </w:r>
      <w:r>
        <w:rPr>
          <w:color w:val="231F20"/>
          <w:spacing w:val="-6"/>
        </w:rPr>
        <w:t> </w:t>
      </w:r>
      <w:r>
        <w:rPr>
          <w:color w:val="231F20"/>
        </w:rPr>
        <w:t>average</w:t>
      </w:r>
      <w:r>
        <w:rPr>
          <w:color w:val="231F20"/>
          <w:spacing w:val="-7"/>
        </w:rPr>
        <w:t> </w:t>
      </w:r>
      <w:r>
        <w:rPr>
          <w:color w:val="231F20"/>
        </w:rPr>
        <w:t>cost</w:t>
      </w:r>
      <w:r>
        <w:rPr>
          <w:color w:val="231F20"/>
          <w:spacing w:val="-7"/>
        </w:rPr>
        <w:t> </w:t>
      </w:r>
      <w:r>
        <w:rPr>
          <w:color w:val="231F20"/>
        </w:rPr>
        <w:t>of</w:t>
      </w:r>
      <w:r>
        <w:rPr>
          <w:color w:val="231F20"/>
          <w:spacing w:val="-5"/>
        </w:rPr>
        <w:t> </w:t>
      </w:r>
      <w:r>
        <w:rPr>
          <w:color w:val="231F20"/>
        </w:rPr>
        <w:t>boarding</w:t>
      </w:r>
      <w:r>
        <w:rPr>
          <w:color w:val="231F20"/>
          <w:spacing w:val="23"/>
          <w:w w:val="99"/>
        </w:rPr>
        <w:t> </w:t>
      </w:r>
      <w:r>
        <w:rPr>
          <w:color w:val="231F20"/>
        </w:rPr>
        <w:t>at</w:t>
      </w:r>
      <w:r>
        <w:rPr>
          <w:color w:val="231F20"/>
          <w:spacing w:val="-5"/>
        </w:rPr>
        <w:t> </w:t>
      </w:r>
      <w:r>
        <w:rPr>
          <w:color w:val="231F20"/>
        </w:rPr>
        <w:t>very</w:t>
      </w:r>
      <w:r>
        <w:rPr>
          <w:color w:val="231F20"/>
          <w:spacing w:val="-4"/>
        </w:rPr>
        <w:t> </w:t>
      </w:r>
      <w:r>
        <w:rPr>
          <w:color w:val="231F20"/>
          <w:spacing w:val="-1"/>
        </w:rPr>
        <w:t>small</w:t>
      </w:r>
      <w:r>
        <w:rPr>
          <w:color w:val="231F20"/>
          <w:spacing w:val="-4"/>
        </w:rPr>
        <w:t> </w:t>
      </w:r>
      <w:r>
        <w:rPr>
          <w:color w:val="231F20"/>
        </w:rPr>
        <w:t>boarding</w:t>
      </w:r>
      <w:r>
        <w:rPr>
          <w:color w:val="231F20"/>
          <w:spacing w:val="-6"/>
        </w:rPr>
        <w:t> </w:t>
      </w:r>
      <w:r>
        <w:rPr>
          <w:color w:val="231F20"/>
        </w:rPr>
        <w:t>providers</w:t>
      </w:r>
      <w:r>
        <w:rPr>
          <w:color w:val="231F20"/>
          <w:spacing w:val="-5"/>
        </w:rPr>
        <w:t> </w:t>
      </w:r>
      <w:r>
        <w:rPr>
          <w:color w:val="231F20"/>
        </w:rPr>
        <w:t>(less</w:t>
      </w:r>
      <w:r>
        <w:rPr>
          <w:color w:val="231F20"/>
          <w:spacing w:val="-5"/>
        </w:rPr>
        <w:t> </w:t>
      </w:r>
      <w:r>
        <w:rPr>
          <w:color w:val="231F20"/>
        </w:rPr>
        <w:t>than</w:t>
      </w:r>
      <w:r>
        <w:rPr/>
      </w:r>
    </w:p>
    <w:p>
      <w:pPr>
        <w:pStyle w:val="BodyText"/>
        <w:spacing w:line="250" w:lineRule="exact"/>
        <w:ind w:right="375"/>
        <w:jc w:val="left"/>
      </w:pPr>
      <w:r>
        <w:rPr>
          <w:color w:val="231F20"/>
          <w:spacing w:val="-1"/>
        </w:rPr>
        <w:t>50</w:t>
      </w:r>
      <w:r>
        <w:rPr>
          <w:color w:val="231F20"/>
          <w:spacing w:val="-6"/>
        </w:rPr>
        <w:t> </w:t>
      </w:r>
      <w:r>
        <w:rPr>
          <w:color w:val="231F20"/>
          <w:spacing w:val="-1"/>
        </w:rPr>
        <w:t>students)</w:t>
      </w:r>
      <w:r>
        <w:rPr>
          <w:color w:val="231F20"/>
          <w:spacing w:val="-5"/>
        </w:rPr>
        <w:t> </w:t>
      </w:r>
      <w:r>
        <w:rPr>
          <w:color w:val="231F20"/>
        </w:rPr>
        <w:t>and</w:t>
      </w:r>
      <w:r>
        <w:rPr>
          <w:color w:val="231F20"/>
          <w:spacing w:val="-6"/>
        </w:rPr>
        <w:t> </w:t>
      </w:r>
      <w:r>
        <w:rPr>
          <w:color w:val="231F20"/>
          <w:spacing w:val="-1"/>
        </w:rPr>
        <w:t>small</w:t>
      </w:r>
      <w:r>
        <w:rPr>
          <w:color w:val="231F20"/>
          <w:spacing w:val="-6"/>
        </w:rPr>
        <w:t> </w:t>
      </w:r>
      <w:r>
        <w:rPr>
          <w:color w:val="231F20"/>
        </w:rPr>
        <w:t>boarding</w:t>
      </w:r>
      <w:r>
        <w:rPr>
          <w:color w:val="231F20"/>
          <w:spacing w:val="-6"/>
        </w:rPr>
        <w:t> </w:t>
      </w:r>
      <w:r>
        <w:rPr>
          <w:color w:val="231F20"/>
        </w:rPr>
        <w:t>providers</w:t>
      </w:r>
      <w:r>
        <w:rPr>
          <w:color w:val="231F20"/>
          <w:spacing w:val="24"/>
          <w:w w:val="99"/>
        </w:rPr>
        <w:t> </w:t>
      </w:r>
      <w:r>
        <w:rPr>
          <w:color w:val="231F20"/>
        </w:rPr>
        <w:t>(50</w:t>
      </w:r>
      <w:r>
        <w:rPr>
          <w:color w:val="231F20"/>
          <w:spacing w:val="-4"/>
        </w:rPr>
        <w:t> </w:t>
      </w:r>
      <w:r>
        <w:rPr>
          <w:color w:val="231F20"/>
        </w:rPr>
        <w:t>–</w:t>
      </w:r>
      <w:r>
        <w:rPr>
          <w:color w:val="231F20"/>
          <w:spacing w:val="-2"/>
        </w:rPr>
        <w:t> </w:t>
      </w:r>
      <w:r>
        <w:rPr>
          <w:color w:val="231F20"/>
          <w:spacing w:val="-1"/>
        </w:rPr>
        <w:t>225</w:t>
      </w:r>
      <w:r>
        <w:rPr>
          <w:color w:val="231F20"/>
          <w:spacing w:val="-3"/>
        </w:rPr>
        <w:t> </w:t>
      </w:r>
      <w:r>
        <w:rPr>
          <w:color w:val="231F20"/>
          <w:spacing w:val="-1"/>
        </w:rPr>
        <w:t>students)</w:t>
      </w:r>
      <w:r>
        <w:rPr>
          <w:color w:val="231F20"/>
          <w:spacing w:val="-2"/>
        </w:rPr>
        <w:t> </w:t>
      </w:r>
      <w:r>
        <w:rPr>
          <w:color w:val="231F20"/>
        </w:rPr>
        <w:t>was</w:t>
      </w:r>
      <w:r>
        <w:rPr>
          <w:color w:val="231F20"/>
          <w:spacing w:val="-3"/>
        </w:rPr>
        <w:t> </w:t>
      </w:r>
      <w:r>
        <w:rPr>
          <w:color w:val="231F20"/>
          <w:spacing w:val="-1"/>
        </w:rPr>
        <w:t>$30,956</w:t>
      </w:r>
      <w:r>
        <w:rPr>
          <w:color w:val="231F20"/>
          <w:spacing w:val="-3"/>
        </w:rPr>
        <w:t> </w:t>
      </w:r>
      <w:r>
        <w:rPr>
          <w:color w:val="231F20"/>
        </w:rPr>
        <w:t>and</w:t>
      </w:r>
      <w:r>
        <w:rPr>
          <w:color w:val="231F20"/>
          <w:spacing w:val="-3"/>
        </w:rPr>
        <w:t> </w:t>
      </w:r>
      <w:r>
        <w:rPr>
          <w:color w:val="231F20"/>
          <w:spacing w:val="-1"/>
        </w:rPr>
        <w:t>$22,136</w:t>
      </w:r>
      <w:r>
        <w:rPr>
          <w:color w:val="231F20"/>
          <w:spacing w:val="23"/>
        </w:rPr>
        <w:t> </w:t>
      </w:r>
      <w:r>
        <w:rPr>
          <w:color w:val="231F20"/>
        </w:rPr>
        <w:t>respectively,</w:t>
      </w:r>
      <w:r>
        <w:rPr>
          <w:color w:val="231F20"/>
          <w:spacing w:val="-8"/>
        </w:rPr>
        <w:t> </w:t>
      </w:r>
      <w:r>
        <w:rPr>
          <w:color w:val="231F20"/>
        </w:rPr>
        <w:t>compared</w:t>
      </w:r>
      <w:r>
        <w:rPr>
          <w:color w:val="231F20"/>
          <w:spacing w:val="-7"/>
        </w:rPr>
        <w:t> </w:t>
      </w:r>
      <w:r>
        <w:rPr>
          <w:color w:val="231F20"/>
        </w:rPr>
        <w:t>to</w:t>
      </w:r>
      <w:r>
        <w:rPr>
          <w:color w:val="231F20"/>
          <w:spacing w:val="-5"/>
        </w:rPr>
        <w:t> </w:t>
      </w:r>
      <w:r>
        <w:rPr>
          <w:color w:val="231F20"/>
          <w:spacing w:val="-1"/>
        </w:rPr>
        <w:t>$16,845</w:t>
      </w:r>
      <w:r>
        <w:rPr>
          <w:color w:val="231F20"/>
          <w:spacing w:val="-6"/>
        </w:rPr>
        <w:t> </w:t>
      </w:r>
      <w:r>
        <w:rPr>
          <w:color w:val="231F20"/>
        </w:rPr>
        <w:t>for</w:t>
      </w:r>
      <w:r>
        <w:rPr>
          <w:color w:val="231F20"/>
          <w:spacing w:val="-6"/>
        </w:rPr>
        <w:t> </w:t>
      </w:r>
      <w:r>
        <w:rPr>
          <w:color w:val="231F20"/>
          <w:spacing w:val="-1"/>
        </w:rPr>
        <w:t>large</w:t>
      </w:r>
      <w:r>
        <w:rPr>
          <w:color w:val="231F20"/>
          <w:spacing w:val="21"/>
          <w:w w:val="99"/>
        </w:rPr>
        <w:t> </w:t>
      </w:r>
      <w:r>
        <w:rPr>
          <w:color w:val="231F20"/>
        </w:rPr>
        <w:t>providers</w:t>
      </w:r>
      <w:r>
        <w:rPr>
          <w:color w:val="231F20"/>
          <w:spacing w:val="-9"/>
        </w:rPr>
        <w:t> </w:t>
      </w:r>
      <w:r>
        <w:rPr>
          <w:color w:val="231F20"/>
        </w:rPr>
        <w:t>(over</w:t>
      </w:r>
      <w:r>
        <w:rPr>
          <w:color w:val="231F20"/>
          <w:spacing w:val="-8"/>
        </w:rPr>
        <w:t> </w:t>
      </w:r>
      <w:r>
        <w:rPr>
          <w:color w:val="231F20"/>
          <w:spacing w:val="-1"/>
        </w:rPr>
        <w:t>600</w:t>
      </w:r>
      <w:r>
        <w:rPr>
          <w:color w:val="231F20"/>
          <w:spacing w:val="-7"/>
        </w:rPr>
        <w:t> </w:t>
      </w:r>
      <w:r>
        <w:rPr>
          <w:color w:val="231F20"/>
          <w:spacing w:val="-1"/>
        </w:rPr>
        <w:t>students).</w:t>
      </w:r>
      <w:r>
        <w:rPr/>
      </w:r>
    </w:p>
    <w:p>
      <w:pPr>
        <w:spacing w:after="0" w:line="250" w:lineRule="exact"/>
        <w:jc w:val="left"/>
        <w:sectPr>
          <w:type w:val="continuous"/>
          <w:pgSz w:w="11910" w:h="16840"/>
          <w:pgMar w:top="1580" w:bottom="280" w:left="1300" w:right="1600"/>
          <w:cols w:num="2" w:equalWidth="0">
            <w:col w:w="4342" w:space="250"/>
            <w:col w:w="4418"/>
          </w:cols>
        </w:sect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5"/>
        <w:rPr>
          <w:rFonts w:ascii="Segoe UI" w:hAnsi="Segoe UI" w:cs="Segoe UI" w:eastAsia="Segoe UI"/>
          <w:sz w:val="24"/>
          <w:szCs w:val="24"/>
        </w:rPr>
      </w:pPr>
    </w:p>
    <w:p>
      <w:pPr>
        <w:spacing w:after="0" w:line="240" w:lineRule="auto"/>
        <w:rPr>
          <w:rFonts w:ascii="Segoe UI" w:hAnsi="Segoe UI" w:cs="Segoe UI" w:eastAsia="Segoe UI"/>
          <w:sz w:val="24"/>
          <w:szCs w:val="24"/>
        </w:rPr>
        <w:sectPr>
          <w:pgSz w:w="11910" w:h="16840"/>
          <w:pgMar w:header="0" w:footer="691" w:top="1580" w:bottom="880" w:left="1600" w:right="0"/>
        </w:sectPr>
      </w:pPr>
    </w:p>
    <w:p>
      <w:pPr>
        <w:pStyle w:val="BodyText"/>
        <w:spacing w:line="250" w:lineRule="exact" w:before="62"/>
        <w:ind w:left="100" w:right="102"/>
        <w:jc w:val="left"/>
      </w:pPr>
      <w:r>
        <w:rPr/>
        <w:pict>
          <v:group style="position:absolute;margin-left:85.039001pt;margin-top:-262.053314pt;width:439.4pt;height:247.3pt;mso-position-horizontal-relative:page;mso-position-vertical-relative:paragraph;z-index:6784" coordorigin="1701,-5241" coordsize="8788,4946">
            <v:group style="position:absolute;left:1801;top:-5141;width:8588;height:4746" coordorigin="1801,-5141" coordsize="8588,4746">
              <v:shape style="position:absolute;left:1801;top:-5141;width:8588;height:4746" coordorigin="1801,-5141" coordsize="8588,4746" path="m1801,-395l10388,-395,10388,-5141,1801,-5141,1801,-395xe" filled="false" stroked="true" strokeweight="10pt" strokecolor="#c1b5a9">
                <v:path arrowok="t"/>
              </v:shape>
            </v:group>
            <v:group style="position:absolute;left:2221;top:-4362;width:7509;height:3759" coordorigin="2221,-4362" coordsize="7509,3759">
              <v:shape style="position:absolute;left:2221;top:-4362;width:7509;height:3759" coordorigin="2221,-4362" coordsize="7509,3759" path="m9730,-4362l2274,-4362,2221,-604,9676,-604,9730,-4362xe" filled="true" fillcolor="#ffffff" stroked="false">
                <v:path arrowok="t"/>
                <v:fill type="solid"/>
              </v:shape>
            </v:group>
            <v:group style="position:absolute;left:9261;top:-1808;width:411;height:2" coordorigin="9261,-1808" coordsize="411,2">
              <v:shape style="position:absolute;left:9261;top:-1808;width:411;height:2" coordorigin="9261,-1808" coordsize="411,0" path="m9261,-1808l9672,-1808e" filled="false" stroked="true" strokeweight=".669pt" strokecolor="#dcddde">
                <v:path arrowok="t"/>
              </v:shape>
            </v:group>
            <v:group style="position:absolute;left:8786;top:-1808;width:101;height:2" coordorigin="8786,-1808" coordsize="101,2">
              <v:shape style="position:absolute;left:8786;top:-1808;width:101;height:2" coordorigin="8786,-1808" coordsize="101,0" path="m8786,-1808l8887,-1808e" filled="false" stroked="true" strokeweight=".669pt" strokecolor="#dcddde">
                <v:path arrowok="t"/>
              </v:shape>
            </v:group>
            <v:group style="position:absolute;left:7591;top:-1808;width:821;height:2" coordorigin="7591,-1808" coordsize="821,2">
              <v:shape style="position:absolute;left:7591;top:-1808;width:821;height:2" coordorigin="7591,-1808" coordsize="821,0" path="m7591,-1808l8411,-1808e" filled="false" stroked="true" strokeweight=".669pt" strokecolor="#dcddde">
                <v:path arrowok="t"/>
              </v:shape>
            </v:group>
            <v:group style="position:absolute;left:7115;top:-1808;width:102;height:2" coordorigin="7115,-1808" coordsize="102,2">
              <v:shape style="position:absolute;left:7115;top:-1808;width:102;height:2" coordorigin="7115,-1808" coordsize="102,0" path="m7115,-1808l7216,-1808e" filled="false" stroked="true" strokeweight=".669pt" strokecolor="#dcddde">
                <v:path arrowok="t"/>
              </v:shape>
            </v:group>
            <v:group style="position:absolute;left:5444;top:-1808;width:1297;height:2" coordorigin="5444,-1808" coordsize="1297,2">
              <v:shape style="position:absolute;left:5444;top:-1808;width:1297;height:2" coordorigin="5444,-1808" coordsize="1297,0" path="m5444,-1808l6740,-1808e" filled="false" stroked="true" strokeweight=".669pt" strokecolor="#dcddde">
                <v:path arrowok="t"/>
              </v:shape>
            </v:group>
            <v:group style="position:absolute;left:3772;top:-1808;width:1297;height:2" coordorigin="3772,-1808" coordsize="1297,2">
              <v:shape style="position:absolute;left:3772;top:-1808;width:1297;height:2" coordorigin="3772,-1808" coordsize="1297,0" path="m3772,-1808l5069,-1808e" filled="false" stroked="true" strokeweight=".669pt" strokecolor="#dcddde">
                <v:path arrowok="t"/>
              </v:shape>
            </v:group>
            <v:group style="position:absolute;left:2987;top:-1808;width:411;height:2" coordorigin="2987,-1808" coordsize="411,2">
              <v:shape style="position:absolute;left:2987;top:-1808;width:411;height:2" coordorigin="2987,-1808" coordsize="411,0" path="m2987,-1808l3398,-1808e" filled="false" stroked="true" strokeweight=".669pt" strokecolor="#dcddde">
                <v:path arrowok="t"/>
              </v:shape>
            </v:group>
            <v:group style="position:absolute;left:9261;top:-2214;width:411;height:2" coordorigin="9261,-2214" coordsize="411,2">
              <v:shape style="position:absolute;left:9261;top:-2214;width:411;height:2" coordorigin="9261,-2214" coordsize="411,0" path="m9261,-2214l9672,-2214e" filled="false" stroked="true" strokeweight=".669pt" strokecolor="#dcddde">
                <v:path arrowok="t"/>
              </v:shape>
            </v:group>
            <v:group style="position:absolute;left:8786;top:-2214;width:101;height:2" coordorigin="8786,-2214" coordsize="101,2">
              <v:shape style="position:absolute;left:8786;top:-2214;width:101;height:2" coordorigin="8786,-2214" coordsize="101,0" path="m8786,-2214l8887,-2214e" filled="false" stroked="true" strokeweight=".669pt" strokecolor="#dcddde">
                <v:path arrowok="t"/>
              </v:shape>
            </v:group>
            <v:group style="position:absolute;left:7591;top:-2214;width:821;height:2" coordorigin="7591,-2214" coordsize="821,2">
              <v:shape style="position:absolute;left:7591;top:-2214;width:821;height:2" coordorigin="7591,-2214" coordsize="821,0" path="m7591,-2214l8411,-2214e" filled="false" stroked="true" strokeweight=".669pt" strokecolor="#dcddde">
                <v:path arrowok="t"/>
              </v:shape>
            </v:group>
            <v:group style="position:absolute;left:7115;top:-2214;width:102;height:2" coordorigin="7115,-2214" coordsize="102,2">
              <v:shape style="position:absolute;left:7115;top:-2214;width:102;height:2" coordorigin="7115,-2214" coordsize="102,0" path="m7115,-2214l7216,-2214e" filled="false" stroked="true" strokeweight=".669pt" strokecolor="#dcddde">
                <v:path arrowok="t"/>
              </v:shape>
            </v:group>
            <v:group style="position:absolute;left:5444;top:-2214;width:1297;height:2" coordorigin="5444,-2214" coordsize="1297,2">
              <v:shape style="position:absolute;left:5444;top:-2214;width:1297;height:2" coordorigin="5444,-2214" coordsize="1297,0" path="m5444,-2214l6740,-2214e" filled="false" stroked="true" strokeweight=".669pt" strokecolor="#dcddde">
                <v:path arrowok="t"/>
              </v:shape>
            </v:group>
            <v:group style="position:absolute;left:3772;top:-2214;width:1297;height:2" coordorigin="3772,-2214" coordsize="1297,2">
              <v:shape style="position:absolute;left:3772;top:-2214;width:1297;height:2" coordorigin="3772,-2214" coordsize="1297,0" path="m3772,-2214l5069,-2214e" filled="false" stroked="true" strokeweight=".669pt" strokecolor="#dcddde">
                <v:path arrowok="t"/>
              </v:shape>
            </v:group>
            <v:group style="position:absolute;left:2987;top:-2214;width:411;height:2" coordorigin="2987,-2214" coordsize="411,2">
              <v:shape style="position:absolute;left:2987;top:-2214;width:411;height:2" coordorigin="2987,-2214" coordsize="411,0" path="m2987,-2214l3398,-2214e" filled="false" stroked="true" strokeweight=".669pt" strokecolor="#dcddde">
                <v:path arrowok="t"/>
              </v:shape>
            </v:group>
            <v:group style="position:absolute;left:9261;top:-2621;width:411;height:2" coordorigin="9261,-2621" coordsize="411,2">
              <v:shape style="position:absolute;left:9261;top:-2621;width:411;height:2" coordorigin="9261,-2621" coordsize="411,0" path="m9261,-2621l9672,-2621e" filled="false" stroked="true" strokeweight=".669pt" strokecolor="#dcddde">
                <v:path arrowok="t"/>
              </v:shape>
            </v:group>
            <v:group style="position:absolute;left:8786;top:-2621;width:101;height:2" coordorigin="8786,-2621" coordsize="101,2">
              <v:shape style="position:absolute;left:8786;top:-2621;width:101;height:2" coordorigin="8786,-2621" coordsize="101,0" path="m8786,-2621l8887,-2621e" filled="false" stroked="true" strokeweight=".669pt" strokecolor="#dcddde">
                <v:path arrowok="t"/>
              </v:shape>
            </v:group>
            <v:group style="position:absolute;left:7591;top:-2621;width:821;height:2" coordorigin="7591,-2621" coordsize="821,2">
              <v:shape style="position:absolute;left:7591;top:-2621;width:821;height:2" coordorigin="7591,-2621" coordsize="821,0" path="m7591,-2621l8411,-2621e" filled="false" stroked="true" strokeweight=".669pt" strokecolor="#dcddde">
                <v:path arrowok="t"/>
              </v:shape>
            </v:group>
            <v:group style="position:absolute;left:7115;top:-2621;width:102;height:2" coordorigin="7115,-2621" coordsize="102,2">
              <v:shape style="position:absolute;left:7115;top:-2621;width:102;height:2" coordorigin="7115,-2621" coordsize="102,0" path="m7115,-2621l7216,-2621e" filled="false" stroked="true" strokeweight=".669pt" strokecolor="#dcddde">
                <v:path arrowok="t"/>
              </v:shape>
            </v:group>
            <v:group style="position:absolute;left:5444;top:-2621;width:1297;height:2" coordorigin="5444,-2621" coordsize="1297,2">
              <v:shape style="position:absolute;left:5444;top:-2621;width:1297;height:2" coordorigin="5444,-2621" coordsize="1297,0" path="m5444,-2621l6740,-2621e" filled="false" stroked="true" strokeweight=".669pt" strokecolor="#dcddde">
                <v:path arrowok="t"/>
              </v:shape>
            </v:group>
            <v:group style="position:absolute;left:3772;top:-2621;width:1297;height:2" coordorigin="3772,-2621" coordsize="1297,2">
              <v:shape style="position:absolute;left:3772;top:-2621;width:1297;height:2" coordorigin="3772,-2621" coordsize="1297,0" path="m3772,-2621l5069,-2621e" filled="false" stroked="true" strokeweight=".669pt" strokecolor="#dcddde">
                <v:path arrowok="t"/>
              </v:shape>
            </v:group>
            <v:group style="position:absolute;left:2987;top:-2621;width:411;height:2" coordorigin="2987,-2621" coordsize="411,2">
              <v:shape style="position:absolute;left:2987;top:-2621;width:411;height:2" coordorigin="2987,-2621" coordsize="411,0" path="m2987,-2621l3398,-2621e" filled="false" stroked="true" strokeweight=".669pt" strokecolor="#dcddde">
                <v:path arrowok="t"/>
              </v:shape>
            </v:group>
            <v:group style="position:absolute;left:7115;top:-3026;width:2558;height:2" coordorigin="7115,-3026" coordsize="2558,2">
              <v:shape style="position:absolute;left:7115;top:-3026;width:2558;height:2" coordorigin="7115,-3026" coordsize="2558,0" path="m7115,-3026l9672,-3026e" filled="false" stroked="true" strokeweight=".669pt" strokecolor="#dcddde">
                <v:path arrowok="t"/>
              </v:shape>
            </v:group>
            <v:group style="position:absolute;left:5444;top:-3026;width:1297;height:2" coordorigin="5444,-3026" coordsize="1297,2">
              <v:shape style="position:absolute;left:5444;top:-3026;width:1297;height:2" coordorigin="5444,-3026" coordsize="1297,0" path="m5444,-3026l6740,-3026e" filled="false" stroked="true" strokeweight=".669pt" strokecolor="#dcddde">
                <v:path arrowok="t"/>
              </v:shape>
            </v:group>
            <v:group style="position:absolute;left:3772;top:-3026;width:1297;height:2" coordorigin="3772,-3026" coordsize="1297,2">
              <v:shape style="position:absolute;left:3772;top:-3026;width:1297;height:2" coordorigin="3772,-3026" coordsize="1297,0" path="m3772,-3026l5069,-3026e" filled="false" stroked="true" strokeweight=".669pt" strokecolor="#dcddde">
                <v:path arrowok="t"/>
              </v:shape>
            </v:group>
            <v:group style="position:absolute;left:2987;top:-3026;width:411;height:2" coordorigin="2987,-3026" coordsize="411,2">
              <v:shape style="position:absolute;left:2987;top:-3026;width:411;height:2" coordorigin="2987,-3026" coordsize="411,0" path="m2987,-3026l3398,-3026e" filled="false" stroked="true" strokeweight=".669pt" strokecolor="#dcddde">
                <v:path arrowok="t"/>
              </v:shape>
            </v:group>
            <v:group style="position:absolute;left:7115;top:-3433;width:2558;height:2" coordorigin="7115,-3433" coordsize="2558,2">
              <v:shape style="position:absolute;left:7115;top:-3433;width:2558;height:2" coordorigin="7115,-3433" coordsize="2558,0" path="m7115,-3433l9672,-3433e" filled="false" stroked="true" strokeweight=".669pt" strokecolor="#dcddde">
                <v:path arrowok="t"/>
              </v:shape>
            </v:group>
            <v:group style="position:absolute;left:3772;top:-3433;width:2968;height:2" coordorigin="3772,-3433" coordsize="2968,2">
              <v:shape style="position:absolute;left:3772;top:-3433;width:2968;height:2" coordorigin="3772,-3433" coordsize="2968,0" path="m3772,-3433l6740,-3433e" filled="false" stroked="true" strokeweight=".669pt" strokecolor="#dcddde">
                <v:path arrowok="t"/>
              </v:shape>
            </v:group>
            <v:group style="position:absolute;left:2987;top:-3433;width:411;height:2" coordorigin="2987,-3433" coordsize="411,2">
              <v:shape style="position:absolute;left:2987;top:-3433;width:411;height:2" coordorigin="2987,-3433" coordsize="411,0" path="m2987,-3433l3398,-3433e" filled="false" stroked="true" strokeweight=".669pt" strokecolor="#dcddde">
                <v:path arrowok="t"/>
              </v:shape>
            </v:group>
            <v:group style="position:absolute;left:3772;top:-3838;width:5901;height:2" coordorigin="3772,-3838" coordsize="5901,2">
              <v:shape style="position:absolute;left:3772;top:-3838;width:5901;height:2" coordorigin="3772,-3838" coordsize="5901,0" path="m3772,-3838l9672,-3838e" filled="false" stroked="true" strokeweight=".669pt" strokecolor="#dcddde">
                <v:path arrowok="t"/>
              </v:shape>
            </v:group>
            <v:group style="position:absolute;left:2987;top:-3838;width:411;height:2" coordorigin="2987,-3838" coordsize="411,2">
              <v:shape style="position:absolute;left:2987;top:-3838;width:411;height:2" coordorigin="2987,-3838" coordsize="411,0" path="m2987,-3838l3398,-3838e" filled="false" stroked="true" strokeweight=".669pt" strokecolor="#dcddde">
                <v:path arrowok="t"/>
              </v:shape>
            </v:group>
            <v:group style="position:absolute;left:2987;top:-4245;width:6686;height:2" coordorigin="2987,-4245" coordsize="6686,2">
              <v:shape style="position:absolute;left:2987;top:-4245;width:6686;height:2" coordorigin="2987,-4245" coordsize="6686,0" path="m2987,-4245l9672,-4245e" filled="false" stroked="true" strokeweight=".669pt" strokecolor="#dcddde">
                <v:path arrowok="t"/>
              </v:shape>
            </v:group>
            <v:group style="position:absolute;left:3398;top:-3916;width:375;height:2515" coordorigin="3398,-3916" coordsize="375,2515">
              <v:shape style="position:absolute;left:3398;top:-3916;width:375;height:2515" coordorigin="3398,-3916" coordsize="375,2515" path="m3398,-3916l3772,-3916,3772,-1402,3398,-1402,3398,-3916xe" filled="true" fillcolor="#715990" stroked="false">
                <v:path arrowok="t"/>
                <v:fill type="solid"/>
              </v:shape>
            </v:group>
            <v:group style="position:absolute;left:5069;top:-3200;width:375;height:1798" coordorigin="5069,-3200" coordsize="375,1798">
              <v:shape style="position:absolute;left:5069;top:-3200;width:375;height:1798" coordorigin="5069,-3200" coordsize="375,1798" path="m5069,-3200l5444,-3200,5444,-1402,5069,-1402,5069,-3200xe" filled="true" fillcolor="#715990" stroked="false">
                <v:path arrowok="t"/>
                <v:fill type="solid"/>
              </v:shape>
            </v:group>
            <v:group style="position:absolute;left:6740;top:-3475;width:375;height:2073" coordorigin="6740,-3475" coordsize="375,2073">
              <v:shape style="position:absolute;left:6740;top:-3475;width:375;height:2073" coordorigin="6740,-3475" coordsize="375,2073" path="m6740,-3475l7115,-3475,7115,-1402,6740,-1402,6740,-3475xe" filled="true" fillcolor="#715990" stroked="false">
                <v:path arrowok="t"/>
                <v:fill type="solid"/>
              </v:shape>
            </v:group>
            <v:group style="position:absolute;left:8411;top:-2770;width:375;height:1369" coordorigin="8411,-2770" coordsize="375,1369">
              <v:shape style="position:absolute;left:8411;top:-2770;width:375;height:1369" coordorigin="8411,-2770" coordsize="375,1369" path="m8411,-2770l8786,-2770,8786,-1402,8411,-1402,8411,-2770xe" filled="true" fillcolor="#715990" stroked="false">
                <v:path arrowok="t"/>
                <v:fill type="solid"/>
              </v:shape>
            </v:group>
            <v:group style="position:absolute;left:7216;top:-2844;width:375;height:1442" coordorigin="7216,-2844" coordsize="375,1442">
              <v:shape style="position:absolute;left:7216;top:-2844;width:375;height:1442" coordorigin="7216,-2844" coordsize="375,1442" path="m7591,-2844l7216,-2844,7216,-1402,7591,-1402,7591,-2844xe" filled="true" fillcolor="#a99bbc" stroked="false">
                <v:path arrowok="t"/>
                <v:fill type="solid"/>
              </v:shape>
            </v:group>
            <v:group style="position:absolute;left:8887;top:-3005;width:375;height:1603" coordorigin="8887,-3005" coordsize="375,1603">
              <v:shape style="position:absolute;left:8887;top:-3005;width:375;height:1603" coordorigin="8887,-3005" coordsize="375,1603" path="m9261,-3005l8887,-3005,8887,-1402,9261,-1402,9261,-3005xe" filled="true" fillcolor="#a99bbc" stroked="false">
                <v:path arrowok="t"/>
                <v:fill type="solid"/>
              </v:shape>
            </v:group>
            <v:group style="position:absolute;left:2987;top:-1402;width:6686;height:2" coordorigin="2987,-1402" coordsize="6686,2">
              <v:shape style="position:absolute;left:2987;top:-1402;width:6686;height:2" coordorigin="2987,-1402" coordsize="6686,0" path="m2987,-1402l9672,-1402e" filled="false" stroked="true" strokeweight=".669pt" strokecolor="#dcddde">
                <v:path arrowok="t"/>
              </v:shape>
            </v:group>
            <v:group style="position:absolute;left:3548;top:-858;width:86;height:2" coordorigin="3548,-858" coordsize="86,2">
              <v:shape style="position:absolute;left:3548;top:-858;width:86;height:2" coordorigin="3548,-858" coordsize="86,0" path="m3548,-858l3634,-858e" filled="false" stroked="true" strokeweight="4.374pt" strokecolor="#715990">
                <v:path arrowok="t"/>
              </v:shape>
            </v:group>
            <v:group style="position:absolute;left:6916;top:-858;width:86;height:2" coordorigin="6916,-858" coordsize="86,2">
              <v:shape style="position:absolute;left:6916;top:-858;width:86;height:2" coordorigin="6916,-858" coordsize="86,0" path="m6916,-858l7002,-858e" filled="false" stroked="true" strokeweight="4.374pt" strokecolor="#a99bbc">
                <v:path arrowok="t"/>
              </v:shape>
              <v:shape style="position:absolute;left:1987;top:-4951;width:7992;height:3841" type="#_x0000_t202" filled="false" stroked="false">
                <v:textbox inset="0,0,0,0">
                  <w:txbxContent>
                    <w:p>
                      <w:pPr>
                        <w:spacing w:line="167" w:lineRule="exact" w:before="0"/>
                        <w:ind w:left="0" w:right="0" w:firstLine="0"/>
                        <w:jc w:val="left"/>
                        <w:rPr>
                          <w:rFonts w:ascii="Segoe UI Semibold" w:hAnsi="Segoe UI Semibold" w:cs="Segoe UI Semibold" w:eastAsia="Segoe UI Semibold"/>
                          <w:sz w:val="16"/>
                          <w:szCs w:val="16"/>
                        </w:rPr>
                      </w:pPr>
                      <w:r>
                        <w:rPr>
                          <w:rFonts w:ascii="Segoe UI Semibold"/>
                          <w:b/>
                          <w:color w:val="666155"/>
                          <w:spacing w:val="2"/>
                          <w:sz w:val="16"/>
                        </w:rPr>
                        <w:t>GRAPH</w:t>
                      </w:r>
                      <w:r>
                        <w:rPr>
                          <w:rFonts w:ascii="Segoe UI Semibold"/>
                          <w:b/>
                          <w:color w:val="666155"/>
                          <w:spacing w:val="-4"/>
                          <w:sz w:val="16"/>
                        </w:rPr>
                        <w:t> </w:t>
                      </w:r>
                      <w:r>
                        <w:rPr>
                          <w:rFonts w:ascii="Segoe UI Semibold"/>
                          <w:b/>
                          <w:color w:val="666155"/>
                          <w:spacing w:val="-2"/>
                          <w:sz w:val="16"/>
                        </w:rPr>
                        <w:t>18:</w:t>
                      </w:r>
                      <w:r>
                        <w:rPr>
                          <w:rFonts w:ascii="Segoe UI Semibold"/>
                          <w:b/>
                          <w:color w:val="666155"/>
                          <w:spacing w:val="-4"/>
                          <w:sz w:val="16"/>
                        </w:rPr>
                        <w:t> </w:t>
                      </w:r>
                      <w:r>
                        <w:rPr>
                          <w:rFonts w:ascii="Segoe UI Semibold"/>
                          <w:b/>
                          <w:color w:val="666155"/>
                          <w:spacing w:val="1"/>
                          <w:sz w:val="16"/>
                        </w:rPr>
                        <w:t>COMPARISON</w:t>
                      </w:r>
                      <w:r>
                        <w:rPr>
                          <w:rFonts w:ascii="Segoe UI Semibold"/>
                          <w:b/>
                          <w:color w:val="666155"/>
                          <w:sz w:val="16"/>
                        </w:rPr>
                        <w:t> </w:t>
                      </w:r>
                      <w:r>
                        <w:rPr>
                          <w:rFonts w:ascii="Segoe UI Semibold"/>
                          <w:b/>
                          <w:color w:val="666155"/>
                          <w:spacing w:val="2"/>
                          <w:sz w:val="16"/>
                        </w:rPr>
                        <w:t>OF</w:t>
                      </w:r>
                      <w:r>
                        <w:rPr>
                          <w:rFonts w:ascii="Segoe UI Semibold"/>
                          <w:b/>
                          <w:color w:val="666155"/>
                          <w:spacing w:val="-1"/>
                          <w:sz w:val="16"/>
                        </w:rPr>
                        <w:t> </w:t>
                      </w:r>
                      <w:r>
                        <w:rPr>
                          <w:rFonts w:ascii="Segoe UI Semibold"/>
                          <w:b/>
                          <w:color w:val="666155"/>
                          <w:spacing w:val="3"/>
                          <w:sz w:val="16"/>
                        </w:rPr>
                        <w:t>THREE</w:t>
                      </w:r>
                      <w:r>
                        <w:rPr>
                          <w:rFonts w:ascii="Segoe UI Semibold"/>
                          <w:b/>
                          <w:color w:val="666155"/>
                          <w:spacing w:val="3"/>
                          <w:position w:val="1"/>
                          <w:sz w:val="16"/>
                        </w:rPr>
                        <w:t>-</w:t>
                      </w:r>
                      <w:r>
                        <w:rPr>
                          <w:rFonts w:ascii="Segoe UI Semibold"/>
                          <w:b/>
                          <w:color w:val="666155"/>
                          <w:spacing w:val="3"/>
                          <w:sz w:val="16"/>
                        </w:rPr>
                        <w:t>YEAR</w:t>
                      </w:r>
                      <w:r>
                        <w:rPr>
                          <w:rFonts w:ascii="Segoe UI Semibold"/>
                          <w:b/>
                          <w:color w:val="666155"/>
                          <w:spacing w:val="-1"/>
                          <w:sz w:val="16"/>
                        </w:rPr>
                        <w:t> </w:t>
                      </w:r>
                      <w:r>
                        <w:rPr>
                          <w:rFonts w:ascii="Segoe UI Semibold"/>
                          <w:b/>
                          <w:color w:val="666155"/>
                          <w:spacing w:val="1"/>
                          <w:sz w:val="16"/>
                        </w:rPr>
                        <w:t>AVERAGE</w:t>
                      </w:r>
                      <w:r>
                        <w:rPr>
                          <w:rFonts w:ascii="Segoe UI Semibold"/>
                          <w:b/>
                          <w:color w:val="666155"/>
                          <w:spacing w:val="-1"/>
                          <w:sz w:val="16"/>
                        </w:rPr>
                        <w:t> </w:t>
                      </w:r>
                      <w:r>
                        <w:rPr>
                          <w:rFonts w:ascii="Segoe UI Semibold"/>
                          <w:b/>
                          <w:color w:val="666155"/>
                          <w:spacing w:val="2"/>
                          <w:sz w:val="16"/>
                        </w:rPr>
                        <w:t>ANNUAL</w:t>
                      </w:r>
                      <w:r>
                        <w:rPr>
                          <w:rFonts w:ascii="Segoe UI Semibold"/>
                          <w:b/>
                          <w:color w:val="666155"/>
                          <w:spacing w:val="-1"/>
                          <w:sz w:val="16"/>
                        </w:rPr>
                        <w:t> </w:t>
                      </w:r>
                      <w:r>
                        <w:rPr>
                          <w:rFonts w:ascii="Segoe UI Semibold"/>
                          <w:b/>
                          <w:color w:val="666155"/>
                          <w:spacing w:val="2"/>
                          <w:sz w:val="16"/>
                        </w:rPr>
                        <w:t>BOARDING</w:t>
                      </w:r>
                      <w:r>
                        <w:rPr>
                          <w:rFonts w:ascii="Segoe UI Semibold"/>
                          <w:b/>
                          <w:color w:val="666155"/>
                          <w:sz w:val="16"/>
                        </w:rPr>
                        <w:t> </w:t>
                      </w:r>
                      <w:r>
                        <w:rPr>
                          <w:rFonts w:ascii="Segoe UI Semibold"/>
                          <w:b/>
                          <w:color w:val="666155"/>
                          <w:spacing w:val="2"/>
                          <w:sz w:val="16"/>
                        </w:rPr>
                        <w:t>COSTS</w:t>
                      </w:r>
                      <w:r>
                        <w:rPr>
                          <w:rFonts w:ascii="Segoe UI Semibold"/>
                          <w:b/>
                          <w:color w:val="666155"/>
                          <w:spacing w:val="-1"/>
                          <w:sz w:val="16"/>
                        </w:rPr>
                        <w:t> </w:t>
                      </w:r>
                      <w:r>
                        <w:rPr>
                          <w:rFonts w:ascii="Segoe UI Semibold"/>
                          <w:b/>
                          <w:color w:val="666155"/>
                          <w:spacing w:val="-4"/>
                          <w:sz w:val="16"/>
                        </w:rPr>
                        <w:t>A</w:t>
                      </w:r>
                      <w:r>
                        <w:rPr>
                          <w:rFonts w:ascii="Segoe UI Semibold"/>
                          <w:b/>
                          <w:color w:val="666155"/>
                          <w:spacing w:val="-5"/>
                          <w:sz w:val="16"/>
                        </w:rPr>
                        <w:t>T</w:t>
                      </w:r>
                      <w:r>
                        <w:rPr>
                          <w:rFonts w:ascii="Segoe UI Semibold"/>
                          <w:b/>
                          <w:color w:val="666155"/>
                          <w:spacing w:val="-1"/>
                          <w:sz w:val="16"/>
                        </w:rPr>
                        <w:t> </w:t>
                      </w:r>
                      <w:r>
                        <w:rPr>
                          <w:rFonts w:ascii="Segoe UI Semibold"/>
                          <w:b/>
                          <w:color w:val="666155"/>
                          <w:spacing w:val="3"/>
                          <w:sz w:val="16"/>
                        </w:rPr>
                        <w:t>ABORIGINAL</w:t>
                      </w:r>
                      <w:r>
                        <w:rPr>
                          <w:rFonts w:ascii="Segoe UI Semibold"/>
                          <w:b/>
                          <w:color w:val="666155"/>
                          <w:spacing w:val="-1"/>
                          <w:sz w:val="16"/>
                        </w:rPr>
                        <w:t> </w:t>
                      </w:r>
                      <w:r>
                        <w:rPr>
                          <w:rFonts w:ascii="Segoe UI Semibold"/>
                          <w:b/>
                          <w:color w:val="666155"/>
                          <w:spacing w:val="3"/>
                          <w:sz w:val="16"/>
                        </w:rPr>
                        <w:t>AND</w:t>
                      </w:r>
                      <w:r>
                        <w:rPr>
                          <w:rFonts w:ascii="Segoe UI Semibold"/>
                          <w:sz w:val="16"/>
                        </w:rPr>
                      </w:r>
                    </w:p>
                    <w:p>
                      <w:pPr>
                        <w:spacing w:line="211" w:lineRule="exact" w:before="0"/>
                        <w:ind w:left="491" w:right="0" w:hanging="492"/>
                        <w:jc w:val="left"/>
                        <w:rPr>
                          <w:rFonts w:ascii="Segoe UI Semibold" w:hAnsi="Segoe UI Semibold" w:cs="Segoe UI Semibold" w:eastAsia="Segoe UI Semibold"/>
                          <w:sz w:val="16"/>
                          <w:szCs w:val="16"/>
                        </w:rPr>
                      </w:pPr>
                      <w:r>
                        <w:rPr>
                          <w:rFonts w:ascii="Segoe UI Semibold" w:hAnsi="Segoe UI Semibold" w:cs="Segoe UI Semibold" w:eastAsia="Segoe UI Semibold"/>
                          <w:b/>
                          <w:bCs/>
                          <w:color w:val="666155"/>
                          <w:spacing w:val="2"/>
                          <w:sz w:val="16"/>
                          <w:szCs w:val="16"/>
                        </w:rPr>
                        <w:t>TORRES</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3"/>
                          <w:sz w:val="16"/>
                          <w:szCs w:val="16"/>
                        </w:rPr>
                        <w:t>STRAIT</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ISLANDER</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2"/>
                          <w:sz w:val="16"/>
                          <w:szCs w:val="16"/>
                        </w:rPr>
                        <w:t>AND</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MAINSTREAM</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3"/>
                          <w:sz w:val="16"/>
                          <w:szCs w:val="16"/>
                        </w:rPr>
                        <w:t>BOARDING</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PROVIDERS</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1"/>
                          <w:sz w:val="16"/>
                          <w:szCs w:val="16"/>
                        </w:rPr>
                        <w:t>BY </w:t>
                      </w:r>
                      <w:r>
                        <w:rPr>
                          <w:rFonts w:ascii="Segoe UI Semibold" w:hAnsi="Segoe UI Semibold" w:cs="Segoe UI Semibold" w:eastAsia="Segoe UI Semibold"/>
                          <w:b/>
                          <w:bCs/>
                          <w:color w:val="666155"/>
                          <w:spacing w:val="3"/>
                          <w:sz w:val="16"/>
                          <w:szCs w:val="16"/>
                        </w:rPr>
                        <w:t>SIZE</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2"/>
                          <w:sz w:val="16"/>
                          <w:szCs w:val="16"/>
                        </w:rPr>
                        <w:t>OF</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PROVIDER,</w:t>
                      </w:r>
                      <w:r>
                        <w:rPr>
                          <w:rFonts w:ascii="Segoe UI Semibold" w:hAnsi="Segoe UI Semibold" w:cs="Segoe UI Semibold" w:eastAsia="Segoe UI Semibold"/>
                          <w:b/>
                          <w:bCs/>
                          <w:color w:val="666155"/>
                          <w:spacing w:val="-7"/>
                          <w:sz w:val="16"/>
                          <w:szCs w:val="16"/>
                        </w:rPr>
                        <w:t> </w:t>
                      </w:r>
                      <w:r>
                        <w:rPr>
                          <w:rFonts w:ascii="Segoe UI Semibold" w:hAnsi="Segoe UI Semibold" w:cs="Segoe UI Semibold" w:eastAsia="Segoe UI Semibold"/>
                          <w:b/>
                          <w:bCs/>
                          <w:color w:val="666155"/>
                          <w:spacing w:val="-2"/>
                          <w:sz w:val="16"/>
                          <w:szCs w:val="16"/>
                        </w:rPr>
                        <w:t>2015</w:t>
                      </w:r>
                      <w:r>
                        <w:rPr>
                          <w:rFonts w:ascii="Segoe UI Semibold" w:hAnsi="Segoe UI Semibold" w:cs="Segoe UI Semibold" w:eastAsia="Segoe UI Semibold"/>
                          <w:b/>
                          <w:bCs/>
                          <w:color w:val="666155"/>
                          <w:spacing w:val="-7"/>
                          <w:sz w:val="16"/>
                          <w:szCs w:val="16"/>
                        </w:rPr>
                        <w:t> </w:t>
                      </w:r>
                      <w:r>
                        <w:rPr>
                          <w:rFonts w:ascii="Segoe UI Semibold" w:hAnsi="Segoe UI Semibold" w:cs="Segoe UI Semibold" w:eastAsia="Segoe UI Semibold"/>
                          <w:b/>
                          <w:bCs/>
                          <w:color w:val="666155"/>
                          <w:position w:val="1"/>
                          <w:sz w:val="16"/>
                          <w:szCs w:val="16"/>
                        </w:rPr>
                        <w:t>—</w:t>
                      </w:r>
                      <w:r>
                        <w:rPr>
                          <w:rFonts w:ascii="Segoe UI Semibold" w:hAnsi="Segoe UI Semibold" w:cs="Segoe UI Semibold" w:eastAsia="Segoe UI Semibold"/>
                          <w:b/>
                          <w:bCs/>
                          <w:color w:val="666155"/>
                          <w:spacing w:val="-7"/>
                          <w:position w:val="1"/>
                          <w:sz w:val="16"/>
                          <w:szCs w:val="16"/>
                        </w:rPr>
                        <w:t> </w:t>
                      </w:r>
                      <w:r>
                        <w:rPr>
                          <w:rFonts w:ascii="Segoe UI Semibold" w:hAnsi="Segoe UI Semibold" w:cs="Segoe UI Semibold" w:eastAsia="Segoe UI Semibold"/>
                          <w:b/>
                          <w:bCs/>
                          <w:color w:val="666155"/>
                          <w:spacing w:val="-2"/>
                          <w:sz w:val="16"/>
                          <w:szCs w:val="16"/>
                        </w:rPr>
                        <w:t>2017</w:t>
                      </w:r>
                      <w:r>
                        <w:rPr>
                          <w:rFonts w:ascii="Segoe UI Semibold" w:hAnsi="Segoe UI Semibold" w:cs="Segoe UI Semibold" w:eastAsia="Segoe UI Semibold"/>
                          <w:sz w:val="16"/>
                          <w:szCs w:val="16"/>
                        </w:rPr>
                      </w:r>
                    </w:p>
                    <w:p>
                      <w:pPr>
                        <w:spacing w:line="240" w:lineRule="auto" w:before="12"/>
                        <w:rPr>
                          <w:rFonts w:ascii="Segoe UI" w:hAnsi="Segoe UI" w:cs="Segoe UI" w:eastAsia="Segoe UI"/>
                          <w:sz w:val="16"/>
                          <w:szCs w:val="16"/>
                        </w:rPr>
                      </w:pPr>
                    </w:p>
                    <w:p>
                      <w:pPr>
                        <w:spacing w:before="0"/>
                        <w:ind w:left="491" w:right="0" w:firstLine="0"/>
                        <w:jc w:val="left"/>
                        <w:rPr>
                          <w:rFonts w:ascii="Segoe UI" w:hAnsi="Segoe UI" w:cs="Segoe UI" w:eastAsia="Segoe UI"/>
                          <w:sz w:val="14"/>
                          <w:szCs w:val="14"/>
                        </w:rPr>
                      </w:pPr>
                      <w:r>
                        <w:rPr>
                          <w:rFonts w:ascii="Segoe UI"/>
                          <w:color w:val="77787B"/>
                          <w:spacing w:val="-1"/>
                          <w:sz w:val="14"/>
                        </w:rPr>
                        <w:t>35,000</w:t>
                      </w:r>
                      <w:r>
                        <w:rPr>
                          <w:rFonts w:ascii="Segoe UI"/>
                          <w:sz w:val="14"/>
                        </w:rPr>
                      </w:r>
                    </w:p>
                    <w:p>
                      <w:pPr>
                        <w:spacing w:line="240" w:lineRule="auto" w:before="7"/>
                        <w:rPr>
                          <w:rFonts w:ascii="Segoe UI" w:hAnsi="Segoe UI" w:cs="Segoe UI" w:eastAsia="Segoe UI"/>
                          <w:sz w:val="16"/>
                          <w:szCs w:val="16"/>
                        </w:rPr>
                      </w:pPr>
                    </w:p>
                    <w:p>
                      <w:pPr>
                        <w:spacing w:before="0"/>
                        <w:ind w:left="491" w:right="0" w:firstLine="0"/>
                        <w:jc w:val="left"/>
                        <w:rPr>
                          <w:rFonts w:ascii="Segoe UI" w:hAnsi="Segoe UI" w:cs="Segoe UI" w:eastAsia="Segoe UI"/>
                          <w:sz w:val="14"/>
                          <w:szCs w:val="14"/>
                        </w:rPr>
                      </w:pPr>
                      <w:r>
                        <w:rPr>
                          <w:rFonts w:ascii="Segoe UI"/>
                          <w:color w:val="77787B"/>
                          <w:spacing w:val="-1"/>
                          <w:sz w:val="14"/>
                        </w:rPr>
                        <w:t>30,000</w:t>
                      </w:r>
                      <w:r>
                        <w:rPr>
                          <w:rFonts w:ascii="Segoe UI"/>
                          <w:sz w:val="14"/>
                        </w:rPr>
                      </w:r>
                    </w:p>
                    <w:p>
                      <w:pPr>
                        <w:spacing w:line="240" w:lineRule="auto" w:before="7"/>
                        <w:rPr>
                          <w:rFonts w:ascii="Segoe UI" w:hAnsi="Segoe UI" w:cs="Segoe UI" w:eastAsia="Segoe UI"/>
                          <w:sz w:val="16"/>
                          <w:szCs w:val="16"/>
                        </w:rPr>
                      </w:pPr>
                    </w:p>
                    <w:p>
                      <w:pPr>
                        <w:spacing w:before="0"/>
                        <w:ind w:left="491" w:right="0" w:firstLine="0"/>
                        <w:jc w:val="left"/>
                        <w:rPr>
                          <w:rFonts w:ascii="Segoe UI" w:hAnsi="Segoe UI" w:cs="Segoe UI" w:eastAsia="Segoe UI"/>
                          <w:sz w:val="14"/>
                          <w:szCs w:val="14"/>
                        </w:rPr>
                      </w:pPr>
                      <w:r>
                        <w:rPr>
                          <w:rFonts w:ascii="Segoe UI"/>
                          <w:color w:val="77787B"/>
                          <w:spacing w:val="-1"/>
                          <w:sz w:val="14"/>
                        </w:rPr>
                        <w:t>25,000</w:t>
                      </w:r>
                      <w:r>
                        <w:rPr>
                          <w:rFonts w:ascii="Segoe UI"/>
                          <w:sz w:val="14"/>
                        </w:rPr>
                      </w:r>
                    </w:p>
                    <w:p>
                      <w:pPr>
                        <w:spacing w:line="240" w:lineRule="auto" w:before="7"/>
                        <w:rPr>
                          <w:rFonts w:ascii="Segoe UI" w:hAnsi="Segoe UI" w:cs="Segoe UI" w:eastAsia="Segoe UI"/>
                          <w:sz w:val="16"/>
                          <w:szCs w:val="16"/>
                        </w:rPr>
                      </w:pPr>
                    </w:p>
                    <w:p>
                      <w:pPr>
                        <w:spacing w:before="0"/>
                        <w:ind w:left="491" w:right="0" w:firstLine="0"/>
                        <w:jc w:val="left"/>
                        <w:rPr>
                          <w:rFonts w:ascii="Segoe UI" w:hAnsi="Segoe UI" w:cs="Segoe UI" w:eastAsia="Segoe UI"/>
                          <w:sz w:val="14"/>
                          <w:szCs w:val="14"/>
                        </w:rPr>
                      </w:pPr>
                      <w:r>
                        <w:rPr>
                          <w:rFonts w:ascii="Segoe UI"/>
                          <w:color w:val="77787B"/>
                          <w:spacing w:val="-1"/>
                          <w:sz w:val="14"/>
                        </w:rPr>
                        <w:t>20,000</w:t>
                      </w:r>
                      <w:r>
                        <w:rPr>
                          <w:rFonts w:ascii="Segoe UI"/>
                          <w:sz w:val="14"/>
                        </w:rPr>
                      </w:r>
                    </w:p>
                    <w:p>
                      <w:pPr>
                        <w:spacing w:line="240" w:lineRule="auto" w:before="7"/>
                        <w:rPr>
                          <w:rFonts w:ascii="Segoe UI" w:hAnsi="Segoe UI" w:cs="Segoe UI" w:eastAsia="Segoe UI"/>
                          <w:sz w:val="16"/>
                          <w:szCs w:val="16"/>
                        </w:rPr>
                      </w:pPr>
                    </w:p>
                    <w:p>
                      <w:pPr>
                        <w:spacing w:before="0"/>
                        <w:ind w:left="491" w:right="0" w:firstLine="0"/>
                        <w:jc w:val="left"/>
                        <w:rPr>
                          <w:rFonts w:ascii="Segoe UI" w:hAnsi="Segoe UI" w:cs="Segoe UI" w:eastAsia="Segoe UI"/>
                          <w:sz w:val="14"/>
                          <w:szCs w:val="14"/>
                        </w:rPr>
                      </w:pPr>
                      <w:r>
                        <w:rPr>
                          <w:rFonts w:ascii="Segoe UI"/>
                          <w:color w:val="77787B"/>
                          <w:spacing w:val="-1"/>
                          <w:sz w:val="14"/>
                        </w:rPr>
                        <w:t>15,000</w:t>
                      </w:r>
                      <w:r>
                        <w:rPr>
                          <w:rFonts w:ascii="Segoe UI"/>
                          <w:sz w:val="14"/>
                        </w:rPr>
                      </w:r>
                    </w:p>
                    <w:p>
                      <w:pPr>
                        <w:spacing w:line="240" w:lineRule="auto" w:before="7"/>
                        <w:rPr>
                          <w:rFonts w:ascii="Segoe UI" w:hAnsi="Segoe UI" w:cs="Segoe UI" w:eastAsia="Segoe UI"/>
                          <w:sz w:val="16"/>
                          <w:szCs w:val="16"/>
                        </w:rPr>
                      </w:pPr>
                    </w:p>
                    <w:p>
                      <w:pPr>
                        <w:spacing w:before="0"/>
                        <w:ind w:left="491" w:right="0" w:firstLine="0"/>
                        <w:jc w:val="left"/>
                        <w:rPr>
                          <w:rFonts w:ascii="Segoe UI" w:hAnsi="Segoe UI" w:cs="Segoe UI" w:eastAsia="Segoe UI"/>
                          <w:sz w:val="14"/>
                          <w:szCs w:val="14"/>
                        </w:rPr>
                      </w:pPr>
                      <w:r>
                        <w:rPr>
                          <w:rFonts w:ascii="Segoe UI"/>
                          <w:color w:val="77787B"/>
                          <w:spacing w:val="-1"/>
                          <w:sz w:val="14"/>
                        </w:rPr>
                        <w:t>10,000</w:t>
                      </w:r>
                      <w:r>
                        <w:rPr>
                          <w:rFonts w:ascii="Segoe UI"/>
                          <w:sz w:val="14"/>
                        </w:rPr>
                      </w:r>
                    </w:p>
                    <w:p>
                      <w:pPr>
                        <w:spacing w:line="240" w:lineRule="auto" w:before="7"/>
                        <w:rPr>
                          <w:rFonts w:ascii="Segoe UI" w:hAnsi="Segoe UI" w:cs="Segoe UI" w:eastAsia="Segoe UI"/>
                          <w:sz w:val="16"/>
                          <w:szCs w:val="16"/>
                        </w:rPr>
                      </w:pPr>
                    </w:p>
                    <w:p>
                      <w:pPr>
                        <w:spacing w:before="0"/>
                        <w:ind w:left="568" w:right="0" w:firstLine="0"/>
                        <w:jc w:val="left"/>
                        <w:rPr>
                          <w:rFonts w:ascii="Segoe UI" w:hAnsi="Segoe UI" w:cs="Segoe UI" w:eastAsia="Segoe UI"/>
                          <w:sz w:val="14"/>
                          <w:szCs w:val="14"/>
                        </w:rPr>
                      </w:pPr>
                      <w:r>
                        <w:rPr>
                          <w:rFonts w:ascii="Segoe UI"/>
                          <w:color w:val="77787B"/>
                          <w:spacing w:val="-1"/>
                          <w:sz w:val="14"/>
                        </w:rPr>
                        <w:t>5,000</w:t>
                      </w:r>
                      <w:r>
                        <w:rPr>
                          <w:rFonts w:ascii="Segoe UI"/>
                          <w:sz w:val="14"/>
                        </w:rPr>
                      </w:r>
                    </w:p>
                    <w:p>
                      <w:pPr>
                        <w:spacing w:line="240" w:lineRule="auto" w:before="7"/>
                        <w:rPr>
                          <w:rFonts w:ascii="Segoe UI" w:hAnsi="Segoe UI" w:cs="Segoe UI" w:eastAsia="Segoe UI"/>
                          <w:sz w:val="16"/>
                          <w:szCs w:val="16"/>
                        </w:rPr>
                      </w:pPr>
                    </w:p>
                    <w:p>
                      <w:pPr>
                        <w:spacing w:before="0"/>
                        <w:ind w:left="830" w:right="0" w:firstLine="0"/>
                        <w:jc w:val="left"/>
                        <w:rPr>
                          <w:rFonts w:ascii="Segoe UI" w:hAnsi="Segoe UI" w:cs="Segoe UI" w:eastAsia="Segoe UI"/>
                          <w:sz w:val="14"/>
                          <w:szCs w:val="14"/>
                        </w:rPr>
                      </w:pPr>
                      <w:r>
                        <w:rPr>
                          <w:rFonts w:ascii="Segoe UI"/>
                          <w:color w:val="77787B"/>
                          <w:sz w:val="14"/>
                        </w:rPr>
                        <w:t>0</w:t>
                      </w:r>
                      <w:r>
                        <w:rPr>
                          <w:rFonts w:ascii="Segoe UI"/>
                          <w:sz w:val="14"/>
                        </w:rPr>
                      </w:r>
                    </w:p>
                    <w:p>
                      <w:pPr>
                        <w:tabs>
                          <w:tab w:pos="3336" w:val="left" w:leader="none"/>
                          <w:tab w:pos="4915" w:val="left" w:leader="none"/>
                          <w:tab w:pos="6675" w:val="left" w:leader="none"/>
                        </w:tabs>
                        <w:spacing w:line="186" w:lineRule="exact" w:before="23"/>
                        <w:ind w:left="1505" w:right="0" w:firstLine="0"/>
                        <w:jc w:val="left"/>
                        <w:rPr>
                          <w:rFonts w:ascii="Segoe UI" w:hAnsi="Segoe UI" w:cs="Segoe UI" w:eastAsia="Segoe UI"/>
                          <w:sz w:val="14"/>
                          <w:szCs w:val="14"/>
                        </w:rPr>
                      </w:pPr>
                      <w:r>
                        <w:rPr>
                          <w:rFonts w:ascii="Segoe UI"/>
                          <w:color w:val="77787B"/>
                          <w:spacing w:val="-1"/>
                          <w:sz w:val="14"/>
                        </w:rPr>
                        <w:t>Very</w:t>
                      </w:r>
                      <w:r>
                        <w:rPr>
                          <w:rFonts w:ascii="Segoe UI"/>
                          <w:color w:val="77787B"/>
                          <w:spacing w:val="14"/>
                          <w:sz w:val="14"/>
                        </w:rPr>
                        <w:t> </w:t>
                      </w:r>
                      <w:r>
                        <w:rPr>
                          <w:rFonts w:ascii="Segoe UI"/>
                          <w:color w:val="77787B"/>
                          <w:spacing w:val="-1"/>
                          <w:sz w:val="14"/>
                        </w:rPr>
                        <w:t>Small</w:t>
                        <w:tab/>
                        <w:t>Small</w:t>
                        <w:tab/>
                        <w:t>Medium</w:t>
                        <w:tab/>
                        <w:t>Large</w:t>
                      </w:r>
                      <w:r>
                        <w:rPr>
                          <w:rFonts w:ascii="Segoe UI"/>
                          <w:sz w:val="14"/>
                        </w:rPr>
                      </w:r>
                    </w:p>
                  </w:txbxContent>
                </v:textbox>
                <w10:wrap type="none"/>
              </v:shape>
              <v:shape style="position:absolute;left:3670;top:-920;width:2893;height:144" type="#_x0000_t202" filled="false" stroked="false">
                <v:textbox inset="0,0,0,0">
                  <w:txbxContent>
                    <w:p>
                      <w:pPr>
                        <w:spacing w:line="143" w:lineRule="exact" w:before="0"/>
                        <w:ind w:left="0" w:right="0" w:firstLine="0"/>
                        <w:jc w:val="left"/>
                        <w:rPr>
                          <w:rFonts w:ascii="Segoe UI" w:hAnsi="Segoe UI" w:cs="Segoe UI" w:eastAsia="Segoe UI"/>
                          <w:sz w:val="14"/>
                          <w:szCs w:val="14"/>
                        </w:rPr>
                      </w:pPr>
                      <w:r>
                        <w:rPr>
                          <w:rFonts w:ascii="Segoe UI"/>
                          <w:color w:val="77787B"/>
                          <w:spacing w:val="-1"/>
                          <w:sz w:val="14"/>
                        </w:rPr>
                        <w:t>Aboriginal</w:t>
                      </w:r>
                      <w:r>
                        <w:rPr>
                          <w:rFonts w:ascii="Segoe UI"/>
                          <w:color w:val="77787B"/>
                          <w:spacing w:val="10"/>
                          <w:sz w:val="14"/>
                        </w:rPr>
                        <w:t> </w:t>
                      </w:r>
                      <w:r>
                        <w:rPr>
                          <w:rFonts w:ascii="Segoe UI"/>
                          <w:color w:val="77787B"/>
                          <w:spacing w:val="-1"/>
                          <w:sz w:val="14"/>
                        </w:rPr>
                        <w:t>and</w:t>
                      </w:r>
                      <w:r>
                        <w:rPr>
                          <w:rFonts w:ascii="Segoe UI"/>
                          <w:color w:val="77787B"/>
                          <w:spacing w:val="11"/>
                          <w:sz w:val="14"/>
                        </w:rPr>
                        <w:t> </w:t>
                      </w:r>
                      <w:r>
                        <w:rPr>
                          <w:rFonts w:ascii="Segoe UI"/>
                          <w:color w:val="77787B"/>
                          <w:spacing w:val="-1"/>
                          <w:sz w:val="14"/>
                        </w:rPr>
                        <w:t>Torres</w:t>
                      </w:r>
                      <w:r>
                        <w:rPr>
                          <w:rFonts w:ascii="Segoe UI"/>
                          <w:color w:val="77787B"/>
                          <w:spacing w:val="12"/>
                          <w:sz w:val="14"/>
                        </w:rPr>
                        <w:t> </w:t>
                      </w:r>
                      <w:r>
                        <w:rPr>
                          <w:rFonts w:ascii="Segoe UI"/>
                          <w:color w:val="77787B"/>
                          <w:spacing w:val="-1"/>
                          <w:sz w:val="14"/>
                        </w:rPr>
                        <w:t>Strait</w:t>
                      </w:r>
                      <w:r>
                        <w:rPr>
                          <w:rFonts w:ascii="Segoe UI"/>
                          <w:color w:val="77787B"/>
                          <w:spacing w:val="10"/>
                          <w:sz w:val="14"/>
                        </w:rPr>
                        <w:t> </w:t>
                      </w:r>
                      <w:r>
                        <w:rPr>
                          <w:rFonts w:ascii="Segoe UI"/>
                          <w:color w:val="77787B"/>
                          <w:spacing w:val="-1"/>
                          <w:sz w:val="14"/>
                        </w:rPr>
                        <w:t>Islander</w:t>
                      </w:r>
                      <w:r>
                        <w:rPr>
                          <w:rFonts w:ascii="Segoe UI"/>
                          <w:color w:val="77787B"/>
                          <w:spacing w:val="9"/>
                          <w:sz w:val="14"/>
                        </w:rPr>
                        <w:t> </w:t>
                      </w:r>
                      <w:r>
                        <w:rPr>
                          <w:rFonts w:ascii="Segoe UI"/>
                          <w:color w:val="77787B"/>
                          <w:spacing w:val="-1"/>
                          <w:sz w:val="14"/>
                        </w:rPr>
                        <w:t>providers</w:t>
                      </w:r>
                      <w:r>
                        <w:rPr>
                          <w:rFonts w:ascii="Segoe UI"/>
                          <w:sz w:val="14"/>
                        </w:rPr>
                      </w:r>
                    </w:p>
                  </w:txbxContent>
                </v:textbox>
                <w10:wrap type="none"/>
              </v:shape>
              <v:shape style="position:absolute;left:7038;top:-920;width:1375;height:144" type="#_x0000_t202" filled="false" stroked="false">
                <v:textbox inset="0,0,0,0">
                  <w:txbxContent>
                    <w:p>
                      <w:pPr>
                        <w:spacing w:line="143" w:lineRule="exact" w:before="0"/>
                        <w:ind w:left="0" w:right="0" w:firstLine="0"/>
                        <w:jc w:val="left"/>
                        <w:rPr>
                          <w:rFonts w:ascii="Segoe UI" w:hAnsi="Segoe UI" w:cs="Segoe UI" w:eastAsia="Segoe UI"/>
                          <w:sz w:val="14"/>
                          <w:szCs w:val="14"/>
                        </w:rPr>
                      </w:pPr>
                      <w:r>
                        <w:rPr>
                          <w:rFonts w:ascii="Segoe UI"/>
                          <w:color w:val="77787B"/>
                          <w:spacing w:val="-1"/>
                          <w:sz w:val="14"/>
                        </w:rPr>
                        <w:t>Mainstream</w:t>
                      </w:r>
                      <w:r>
                        <w:rPr>
                          <w:rFonts w:ascii="Segoe UI"/>
                          <w:color w:val="77787B"/>
                          <w:spacing w:val="25"/>
                          <w:sz w:val="14"/>
                        </w:rPr>
                        <w:t> </w:t>
                      </w:r>
                      <w:r>
                        <w:rPr>
                          <w:rFonts w:ascii="Segoe UI"/>
                          <w:color w:val="77787B"/>
                          <w:spacing w:val="-1"/>
                          <w:sz w:val="14"/>
                        </w:rPr>
                        <w:t>providers</w:t>
                      </w:r>
                      <w:r>
                        <w:rPr>
                          <w:rFonts w:ascii="Segoe UI"/>
                          <w:sz w:val="14"/>
                        </w:rPr>
                      </w:r>
                    </w:p>
                  </w:txbxContent>
                </v:textbox>
                <w10:wrap type="none"/>
              </v:shape>
            </v:group>
            <w10:wrap type="none"/>
          </v:group>
        </w:pict>
      </w:r>
      <w:r>
        <w:rPr/>
        <w:pict>
          <v:shape style="position:absolute;margin-left:110.066032pt;margin-top:219.629684pt;width:9.2pt;height:29.25pt;mso-position-horizontal-relative:page;mso-position-vertical-relative:page;z-index:6808" type="#_x0000_t202" filled="false" stroked="false">
            <v:textbox inset="0,0,0,0" style="layout-flow:vertical;mso-layout-flow-alt:bottom-to-top">
              <w:txbxContent>
                <w:p>
                  <w:pPr>
                    <w:spacing w:line="164" w:lineRule="exact" w:before="0"/>
                    <w:ind w:left="20" w:right="0" w:firstLine="0"/>
                    <w:jc w:val="left"/>
                    <w:rPr>
                      <w:rFonts w:ascii="Segoe UI" w:hAnsi="Segoe UI" w:cs="Segoe UI" w:eastAsia="Segoe UI"/>
                      <w:sz w:val="14"/>
                      <w:szCs w:val="14"/>
                    </w:rPr>
                  </w:pPr>
                  <w:r>
                    <w:rPr>
                      <w:rFonts w:ascii="Segoe UI"/>
                      <w:color w:val="77787B"/>
                      <w:spacing w:val="-1"/>
                      <w:w w:val="102"/>
                      <w:sz w:val="14"/>
                    </w:rPr>
                    <w:t>Costs</w:t>
                  </w:r>
                  <w:r>
                    <w:rPr>
                      <w:rFonts w:ascii="Segoe UI"/>
                      <w:color w:val="77787B"/>
                      <w:spacing w:val="1"/>
                      <w:sz w:val="14"/>
                    </w:rPr>
                    <w:t> </w:t>
                  </w:r>
                  <w:r>
                    <w:rPr>
                      <w:rFonts w:ascii="Segoe UI"/>
                      <w:color w:val="77787B"/>
                      <w:spacing w:val="-1"/>
                      <w:w w:val="102"/>
                      <w:sz w:val="14"/>
                    </w:rPr>
                    <w:t>($)</w:t>
                  </w:r>
                  <w:r>
                    <w:rPr>
                      <w:rFonts w:ascii="Segoe UI"/>
                      <w:sz w:val="14"/>
                    </w:rPr>
                  </w:r>
                </w:p>
              </w:txbxContent>
            </v:textbox>
            <w10:wrap type="none"/>
          </v:shape>
        </w:pict>
      </w:r>
      <w:r>
        <w:rPr>
          <w:color w:val="231F20"/>
        </w:rPr>
        <w:t>Of</w:t>
      </w:r>
      <w:r>
        <w:rPr>
          <w:color w:val="231F20"/>
          <w:spacing w:val="-5"/>
        </w:rPr>
        <w:t> </w:t>
      </w:r>
      <w:r>
        <w:rPr>
          <w:color w:val="231F20"/>
        </w:rPr>
        <w:t>the</w:t>
      </w:r>
      <w:r>
        <w:rPr>
          <w:color w:val="231F20"/>
          <w:spacing w:val="-5"/>
        </w:rPr>
        <w:t> </w:t>
      </w:r>
      <w:r>
        <w:rPr>
          <w:color w:val="231F20"/>
          <w:spacing w:val="-1"/>
        </w:rPr>
        <w:t>23</w:t>
      </w:r>
      <w:r>
        <w:rPr>
          <w:color w:val="231F20"/>
          <w:spacing w:val="-4"/>
        </w:rPr>
        <w:t> </w:t>
      </w:r>
      <w:r>
        <w:rPr>
          <w:color w:val="231F20"/>
          <w:spacing w:val="-1"/>
        </w:rPr>
        <w:t>mainstream</w:t>
      </w:r>
      <w:r>
        <w:rPr>
          <w:color w:val="231F20"/>
          <w:spacing w:val="-4"/>
        </w:rPr>
        <w:t> </w:t>
      </w:r>
      <w:r>
        <w:rPr>
          <w:color w:val="231F20"/>
        </w:rPr>
        <w:t>boarding</w:t>
      </w:r>
      <w:r>
        <w:rPr>
          <w:color w:val="231F20"/>
          <w:spacing w:val="-5"/>
        </w:rPr>
        <w:t> </w:t>
      </w:r>
      <w:r>
        <w:rPr>
          <w:color w:val="231F20"/>
        </w:rPr>
        <w:t>providers</w:t>
      </w:r>
      <w:r>
        <w:rPr>
          <w:color w:val="231F20"/>
          <w:spacing w:val="23"/>
          <w:w w:val="99"/>
        </w:rPr>
        <w:t> </w:t>
      </w:r>
      <w:r>
        <w:rPr>
          <w:rFonts w:ascii="Segoe UI"/>
          <w:color w:val="231F20"/>
        </w:rPr>
        <w:t>analysed, five were classified as medium and</w:t>
      </w:r>
      <w:r>
        <w:rPr>
          <w:rFonts w:ascii="Segoe UI"/>
          <w:color w:val="231F20"/>
        </w:rPr>
        <w:t> </w:t>
      </w:r>
      <w:r>
        <w:rPr>
          <w:color w:val="231F20"/>
          <w:spacing w:val="-1"/>
        </w:rPr>
        <w:t>18</w:t>
      </w:r>
      <w:r>
        <w:rPr>
          <w:color w:val="231F20"/>
          <w:spacing w:val="-4"/>
        </w:rPr>
        <w:t> </w:t>
      </w:r>
      <w:r>
        <w:rPr>
          <w:color w:val="231F20"/>
        </w:rPr>
        <w:t>as</w:t>
      </w:r>
      <w:r>
        <w:rPr>
          <w:color w:val="231F20"/>
          <w:spacing w:val="-5"/>
        </w:rPr>
        <w:t> </w:t>
      </w:r>
      <w:r>
        <w:rPr>
          <w:color w:val="231F20"/>
          <w:spacing w:val="-1"/>
        </w:rPr>
        <w:t>large.</w:t>
      </w:r>
      <w:r>
        <w:rPr>
          <w:color w:val="231F20"/>
          <w:spacing w:val="-4"/>
        </w:rPr>
        <w:t> </w:t>
      </w:r>
      <w:r>
        <w:rPr>
          <w:color w:val="231F20"/>
        </w:rPr>
        <w:t>The</w:t>
      </w:r>
      <w:r>
        <w:rPr>
          <w:color w:val="231F20"/>
          <w:spacing w:val="-4"/>
        </w:rPr>
        <w:t> </w:t>
      </w:r>
      <w:r>
        <w:rPr>
          <w:color w:val="231F20"/>
        </w:rPr>
        <w:t>average</w:t>
      </w:r>
      <w:r>
        <w:rPr>
          <w:color w:val="231F20"/>
          <w:spacing w:val="-5"/>
        </w:rPr>
        <w:t> </w:t>
      </w:r>
      <w:r>
        <w:rPr>
          <w:color w:val="231F20"/>
        </w:rPr>
        <w:t>three-year</w:t>
      </w:r>
      <w:r>
        <w:rPr>
          <w:color w:val="231F20"/>
          <w:spacing w:val="-5"/>
        </w:rPr>
        <w:t> </w:t>
      </w:r>
      <w:r>
        <w:rPr>
          <w:color w:val="231F20"/>
        </w:rPr>
        <w:t>cost</w:t>
      </w:r>
      <w:r>
        <w:rPr>
          <w:color w:val="231F20"/>
          <w:spacing w:val="-5"/>
        </w:rPr>
        <w:t> </w:t>
      </w:r>
      <w:r>
        <w:rPr>
          <w:color w:val="231F20"/>
        </w:rPr>
        <w:t>per</w:t>
      </w:r>
      <w:r>
        <w:rPr>
          <w:color w:val="231F20"/>
          <w:spacing w:val="23"/>
          <w:w w:val="99"/>
        </w:rPr>
        <w:t> </w:t>
      </w:r>
      <w:r>
        <w:rPr>
          <w:color w:val="231F20"/>
        </w:rPr>
        <w:t>boarder</w:t>
      </w:r>
      <w:r>
        <w:rPr>
          <w:color w:val="231F20"/>
          <w:spacing w:val="-5"/>
        </w:rPr>
        <w:t> </w:t>
      </w:r>
      <w:r>
        <w:rPr>
          <w:color w:val="231F20"/>
        </w:rPr>
        <w:t>was</w:t>
      </w:r>
      <w:r>
        <w:rPr>
          <w:color w:val="231F20"/>
          <w:spacing w:val="-6"/>
        </w:rPr>
        <w:t> </w:t>
      </w:r>
      <w:r>
        <w:rPr>
          <w:color w:val="231F20"/>
          <w:spacing w:val="-1"/>
        </w:rPr>
        <w:t>$17,745</w:t>
      </w:r>
      <w:r>
        <w:rPr>
          <w:color w:val="231F20"/>
          <w:spacing w:val="-5"/>
        </w:rPr>
        <w:t> </w:t>
      </w:r>
      <w:r>
        <w:rPr>
          <w:color w:val="231F20"/>
        </w:rPr>
        <w:t>and</w:t>
      </w:r>
      <w:r>
        <w:rPr>
          <w:color w:val="231F20"/>
          <w:spacing w:val="-6"/>
        </w:rPr>
        <w:t> </w:t>
      </w:r>
      <w:r>
        <w:rPr>
          <w:color w:val="231F20"/>
          <w:spacing w:val="-1"/>
        </w:rPr>
        <w:t>$19,733</w:t>
      </w:r>
      <w:r>
        <w:rPr>
          <w:color w:val="231F20"/>
          <w:spacing w:val="-5"/>
        </w:rPr>
        <w:t> </w:t>
      </w:r>
      <w:r>
        <w:rPr>
          <w:color w:val="231F20"/>
        </w:rPr>
        <w:t>respectively.</w:t>
      </w:r>
      <w:r>
        <w:rPr>
          <w:color w:val="231F20"/>
          <w:spacing w:val="23"/>
          <w:w w:val="99"/>
        </w:rPr>
        <w:t> </w:t>
      </w:r>
      <w:r>
        <w:rPr>
          <w:color w:val="231F20"/>
          <w:spacing w:val="-1"/>
        </w:rPr>
        <w:t>Average</w:t>
      </w:r>
      <w:r>
        <w:rPr>
          <w:color w:val="231F20"/>
          <w:spacing w:val="-6"/>
        </w:rPr>
        <w:t> </w:t>
      </w:r>
      <w:r>
        <w:rPr>
          <w:color w:val="231F20"/>
        </w:rPr>
        <w:t>boarding</w:t>
      </w:r>
      <w:r>
        <w:rPr>
          <w:color w:val="231F20"/>
          <w:spacing w:val="-7"/>
        </w:rPr>
        <w:t> </w:t>
      </w:r>
      <w:r>
        <w:rPr>
          <w:color w:val="231F20"/>
        </w:rPr>
        <w:t>costs</w:t>
      </w:r>
      <w:r>
        <w:rPr>
          <w:color w:val="231F20"/>
          <w:spacing w:val="-7"/>
        </w:rPr>
        <w:t> </w:t>
      </w:r>
      <w:r>
        <w:rPr>
          <w:color w:val="231F20"/>
        </w:rPr>
        <w:t>at</w:t>
      </w:r>
      <w:r>
        <w:rPr>
          <w:color w:val="231F20"/>
          <w:spacing w:val="-6"/>
        </w:rPr>
        <w:t> </w:t>
      </w:r>
      <w:r>
        <w:rPr>
          <w:color w:val="231F20"/>
          <w:spacing w:val="-1"/>
        </w:rPr>
        <w:t>large</w:t>
      </w:r>
      <w:r>
        <w:rPr>
          <w:color w:val="231F20"/>
          <w:spacing w:val="-6"/>
        </w:rPr>
        <w:t> </w:t>
      </w:r>
      <w:r>
        <w:rPr>
          <w:color w:val="231F20"/>
        </w:rPr>
        <w:t>Aboriginal</w:t>
      </w:r>
      <w:r>
        <w:rPr>
          <w:color w:val="231F20"/>
          <w:spacing w:val="25"/>
          <w:w w:val="99"/>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7"/>
        </w:rPr>
        <w:t> </w:t>
      </w:r>
      <w:r>
        <w:rPr>
          <w:color w:val="231F20"/>
        </w:rPr>
        <w:t>providers</w:t>
      </w:r>
      <w:r>
        <w:rPr>
          <w:color w:val="231F20"/>
          <w:spacing w:val="21"/>
          <w:w w:val="99"/>
        </w:rPr>
        <w:t> </w:t>
      </w:r>
      <w:r>
        <w:rPr>
          <w:color w:val="231F20"/>
        </w:rPr>
        <w:t>are</w:t>
      </w:r>
      <w:r>
        <w:rPr>
          <w:color w:val="231F20"/>
          <w:spacing w:val="-5"/>
        </w:rPr>
        <w:t> </w:t>
      </w:r>
      <w:r>
        <w:rPr>
          <w:color w:val="231F20"/>
        </w:rPr>
        <w:t>comparable</w:t>
      </w:r>
      <w:r>
        <w:rPr>
          <w:color w:val="231F20"/>
          <w:spacing w:val="-4"/>
        </w:rPr>
        <w:t> </w:t>
      </w:r>
      <w:r>
        <w:rPr>
          <w:color w:val="231F20"/>
        </w:rPr>
        <w:t>to</w:t>
      </w:r>
      <w:r>
        <w:rPr>
          <w:color w:val="231F20"/>
          <w:spacing w:val="-3"/>
        </w:rPr>
        <w:t> </w:t>
      </w:r>
      <w:r>
        <w:rPr>
          <w:color w:val="231F20"/>
        </w:rPr>
        <w:t>the</w:t>
      </w:r>
      <w:r>
        <w:rPr>
          <w:color w:val="231F20"/>
          <w:spacing w:val="-5"/>
        </w:rPr>
        <w:t> </w:t>
      </w:r>
      <w:r>
        <w:rPr>
          <w:color w:val="231F20"/>
        </w:rPr>
        <w:t>costs</w:t>
      </w:r>
      <w:r>
        <w:rPr>
          <w:color w:val="231F20"/>
          <w:spacing w:val="-4"/>
        </w:rPr>
        <w:t> </w:t>
      </w:r>
      <w:r>
        <w:rPr>
          <w:color w:val="231F20"/>
        </w:rPr>
        <w:t>at</w:t>
      </w:r>
      <w:r>
        <w:rPr>
          <w:color w:val="231F20"/>
          <w:spacing w:val="-3"/>
        </w:rPr>
        <w:t> </w:t>
      </w:r>
      <w:r>
        <w:rPr>
          <w:color w:val="231F20"/>
          <w:spacing w:val="-1"/>
        </w:rPr>
        <w:t>medium</w:t>
      </w:r>
      <w:r>
        <w:rPr/>
      </w:r>
    </w:p>
    <w:p>
      <w:pPr>
        <w:pStyle w:val="BodyText"/>
        <w:spacing w:line="250" w:lineRule="exact"/>
        <w:ind w:left="100" w:right="6"/>
        <w:jc w:val="left"/>
      </w:pPr>
      <w:r>
        <w:rPr>
          <w:color w:val="231F20"/>
          <w:spacing w:val="-1"/>
        </w:rPr>
        <w:t>mainstream</w:t>
      </w:r>
      <w:r>
        <w:rPr>
          <w:color w:val="231F20"/>
          <w:spacing w:val="-5"/>
        </w:rPr>
        <w:t> </w:t>
      </w:r>
      <w:r>
        <w:rPr>
          <w:color w:val="231F20"/>
        </w:rPr>
        <w:t>boarding</w:t>
      </w:r>
      <w:r>
        <w:rPr>
          <w:color w:val="231F20"/>
          <w:spacing w:val="-7"/>
        </w:rPr>
        <w:t> </w:t>
      </w:r>
      <w:r>
        <w:rPr>
          <w:color w:val="231F20"/>
        </w:rPr>
        <w:t>providers</w:t>
      </w:r>
      <w:r>
        <w:rPr>
          <w:color w:val="231F20"/>
          <w:spacing w:val="-7"/>
        </w:rPr>
        <w:t> </w:t>
      </w:r>
      <w:r>
        <w:rPr>
          <w:color w:val="231F20"/>
        </w:rPr>
        <w:t>and</w:t>
      </w:r>
      <w:r>
        <w:rPr>
          <w:color w:val="231F20"/>
          <w:spacing w:val="-6"/>
        </w:rPr>
        <w:t> </w:t>
      </w:r>
      <w:r>
        <w:rPr>
          <w:color w:val="231F20"/>
          <w:spacing w:val="-1"/>
        </w:rPr>
        <w:t>lower</w:t>
      </w:r>
      <w:r>
        <w:rPr>
          <w:color w:val="231F20"/>
          <w:spacing w:val="-6"/>
        </w:rPr>
        <w:t> </w:t>
      </w:r>
      <w:r>
        <w:rPr>
          <w:color w:val="231F20"/>
        </w:rPr>
        <w:t>than</w:t>
      </w:r>
      <w:r>
        <w:rPr>
          <w:color w:val="231F20"/>
          <w:spacing w:val="23"/>
          <w:w w:val="99"/>
        </w:rPr>
        <w:t> </w:t>
      </w:r>
      <w:r>
        <w:rPr>
          <w:color w:val="231F20"/>
        </w:rPr>
        <w:t>the</w:t>
      </w:r>
      <w:r>
        <w:rPr>
          <w:color w:val="231F20"/>
          <w:spacing w:val="-6"/>
        </w:rPr>
        <w:t> </w:t>
      </w:r>
      <w:r>
        <w:rPr>
          <w:color w:val="231F20"/>
          <w:spacing w:val="-1"/>
        </w:rPr>
        <w:t>large</w:t>
      </w:r>
      <w:r>
        <w:rPr>
          <w:color w:val="231F20"/>
          <w:spacing w:val="-5"/>
        </w:rPr>
        <w:t> </w:t>
      </w:r>
      <w:r>
        <w:rPr>
          <w:color w:val="231F20"/>
          <w:spacing w:val="-1"/>
        </w:rPr>
        <w:t>mainstream</w:t>
      </w:r>
      <w:r>
        <w:rPr>
          <w:color w:val="231F20"/>
          <w:spacing w:val="-3"/>
        </w:rPr>
        <w:t> </w:t>
      </w:r>
      <w:r>
        <w:rPr>
          <w:color w:val="231F20"/>
        </w:rPr>
        <w:t>providers.</w:t>
      </w:r>
      <w:r>
        <w:rPr>
          <w:color w:val="231F20"/>
          <w:spacing w:val="-6"/>
        </w:rPr>
        <w:t> </w:t>
      </w:r>
      <w:r>
        <w:rPr>
          <w:color w:val="231F20"/>
        </w:rPr>
        <w:t>The</w:t>
      </w:r>
      <w:r>
        <w:rPr>
          <w:color w:val="231F20"/>
          <w:spacing w:val="-4"/>
        </w:rPr>
        <w:t> </w:t>
      </w:r>
      <w:r>
        <w:rPr>
          <w:color w:val="231F20"/>
        </w:rPr>
        <w:t>four</w:t>
      </w:r>
      <w:r>
        <w:rPr>
          <w:color w:val="231F20"/>
          <w:spacing w:val="-5"/>
        </w:rPr>
        <w:t> </w:t>
      </w:r>
      <w:r>
        <w:rPr>
          <w:color w:val="231F20"/>
          <w:spacing w:val="-1"/>
        </w:rPr>
        <w:t>large</w:t>
      </w:r>
      <w:r>
        <w:rPr>
          <w:color w:val="231F20"/>
          <w:spacing w:val="22"/>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7"/>
        </w:rPr>
        <w:t> </w:t>
      </w:r>
      <w:r>
        <w:rPr>
          <w:color w:val="231F20"/>
        </w:rPr>
        <w:t>by</w:t>
      </w:r>
      <w:r>
        <w:rPr>
          <w:color w:val="231F20"/>
          <w:spacing w:val="-5"/>
        </w:rPr>
        <w:t> </w:t>
      </w:r>
      <w:r>
        <w:rPr>
          <w:color w:val="231F20"/>
        </w:rPr>
        <w:t>total</w:t>
      </w:r>
      <w:r>
        <w:rPr>
          <w:color w:val="231F20"/>
          <w:spacing w:val="-6"/>
        </w:rPr>
        <w:t> </w:t>
      </w:r>
      <w:r>
        <w:rPr>
          <w:color w:val="231F20"/>
        </w:rPr>
        <w:t>enrolments</w:t>
      </w:r>
      <w:r>
        <w:rPr>
          <w:color w:val="231F20"/>
          <w:spacing w:val="-6"/>
        </w:rPr>
        <w:t> </w:t>
      </w:r>
      <w:r>
        <w:rPr>
          <w:color w:val="231F20"/>
        </w:rPr>
        <w:t>had</w:t>
      </w:r>
      <w:r>
        <w:rPr>
          <w:color w:val="231F20"/>
          <w:spacing w:val="-5"/>
        </w:rPr>
        <w:t> </w:t>
      </w:r>
      <w:r>
        <w:rPr>
          <w:color w:val="231F20"/>
        </w:rPr>
        <w:t>between</w:t>
      </w:r>
      <w:r>
        <w:rPr/>
      </w:r>
    </w:p>
    <w:p>
      <w:pPr>
        <w:pStyle w:val="BodyText"/>
        <w:spacing w:line="250" w:lineRule="exact"/>
        <w:ind w:left="100" w:right="36"/>
        <w:jc w:val="left"/>
      </w:pPr>
      <w:r>
        <w:rPr>
          <w:color w:val="231F20"/>
        </w:rPr>
        <w:t>25</w:t>
      </w:r>
      <w:r>
        <w:rPr>
          <w:color w:val="231F20"/>
          <w:spacing w:val="-4"/>
        </w:rPr>
        <w:t> </w:t>
      </w:r>
      <w:r>
        <w:rPr>
          <w:color w:val="231F20"/>
        </w:rPr>
        <w:t>and</w:t>
      </w:r>
      <w:r>
        <w:rPr>
          <w:color w:val="231F20"/>
          <w:spacing w:val="-5"/>
        </w:rPr>
        <w:t> </w:t>
      </w:r>
      <w:r>
        <w:rPr>
          <w:color w:val="231F20"/>
          <w:spacing w:val="-1"/>
        </w:rPr>
        <w:t>115</w:t>
      </w:r>
      <w:r>
        <w:rPr>
          <w:color w:val="231F20"/>
          <w:spacing w:val="-4"/>
        </w:rPr>
        <w:t> </w:t>
      </w:r>
      <w:r>
        <w:rPr>
          <w:color w:val="231F20"/>
        </w:rPr>
        <w:t>Aboriginal</w:t>
      </w:r>
      <w:r>
        <w:rPr>
          <w:color w:val="231F20"/>
          <w:spacing w:val="-3"/>
        </w:rPr>
        <w:t> </w:t>
      </w:r>
      <w:r>
        <w:rPr>
          <w:color w:val="231F20"/>
        </w:rPr>
        <w:t>and</w:t>
      </w:r>
      <w:r>
        <w:rPr>
          <w:color w:val="231F20"/>
          <w:spacing w:val="-5"/>
        </w:rPr>
        <w:t> Torres</w:t>
      </w:r>
      <w:r>
        <w:rPr>
          <w:color w:val="231F20"/>
          <w:spacing w:val="-4"/>
        </w:rPr>
        <w:t> </w:t>
      </w:r>
      <w:r>
        <w:rPr>
          <w:color w:val="231F20"/>
          <w:spacing w:val="-2"/>
        </w:rPr>
        <w:t>Strait</w:t>
      </w:r>
      <w:r>
        <w:rPr>
          <w:color w:val="231F20"/>
          <w:spacing w:val="-4"/>
        </w:rPr>
        <w:t> </w:t>
      </w:r>
      <w:r>
        <w:rPr>
          <w:color w:val="231F20"/>
          <w:spacing w:val="-1"/>
        </w:rPr>
        <w:t>Islander</w:t>
      </w:r>
      <w:r>
        <w:rPr>
          <w:color w:val="231F20"/>
          <w:spacing w:val="20"/>
          <w:w w:val="99"/>
        </w:rPr>
        <w:t> </w:t>
      </w:r>
      <w:r>
        <w:rPr>
          <w:color w:val="231F20"/>
        </w:rPr>
        <w:t>boarders</w:t>
      </w:r>
      <w:r>
        <w:rPr>
          <w:color w:val="231F20"/>
          <w:spacing w:val="-8"/>
        </w:rPr>
        <w:t> </w:t>
      </w:r>
      <w:r>
        <w:rPr>
          <w:color w:val="231F20"/>
        </w:rPr>
        <w:t>but</w:t>
      </w:r>
      <w:r>
        <w:rPr>
          <w:color w:val="231F20"/>
          <w:spacing w:val="-7"/>
        </w:rPr>
        <w:t> </w:t>
      </w:r>
      <w:r>
        <w:rPr>
          <w:color w:val="231F20"/>
        </w:rPr>
        <w:t>the</w:t>
      </w:r>
      <w:r>
        <w:rPr>
          <w:color w:val="231F20"/>
          <w:spacing w:val="-7"/>
        </w:rPr>
        <w:t> </w:t>
      </w:r>
      <w:r>
        <w:rPr>
          <w:color w:val="231F20"/>
        </w:rPr>
        <w:t>proportion</w:t>
      </w:r>
      <w:r>
        <w:rPr>
          <w:color w:val="231F20"/>
          <w:spacing w:val="-7"/>
        </w:rPr>
        <w:t> </w:t>
      </w:r>
      <w:r>
        <w:rPr>
          <w:color w:val="231F20"/>
        </w:rPr>
        <w:t>of</w:t>
      </w:r>
      <w:r>
        <w:rPr>
          <w:color w:val="231F20"/>
          <w:spacing w:val="-7"/>
        </w:rPr>
        <w:t> </w:t>
      </w:r>
      <w:r>
        <w:rPr>
          <w:color w:val="231F20"/>
        </w:rPr>
        <w:t>Aboriginal</w:t>
      </w:r>
      <w:r>
        <w:rPr>
          <w:color w:val="231F20"/>
          <w:spacing w:val="-6"/>
        </w:rPr>
        <w:t> </w:t>
      </w:r>
      <w:r>
        <w:rPr>
          <w:color w:val="231F20"/>
        </w:rPr>
        <w:t>and</w:t>
      </w:r>
      <w:r>
        <w:rPr>
          <w:color w:val="231F20"/>
          <w:w w:val="99"/>
        </w:rPr>
        <w:t> </w:t>
      </w:r>
      <w:r>
        <w:rPr>
          <w:color w:val="231F20"/>
          <w:spacing w:val="-5"/>
        </w:rPr>
        <w:t>Torres</w:t>
      </w:r>
      <w:r>
        <w:rPr>
          <w:color w:val="231F20"/>
          <w:spacing w:val="-3"/>
        </w:rPr>
        <w:t> </w:t>
      </w:r>
      <w:r>
        <w:rPr>
          <w:color w:val="231F20"/>
          <w:spacing w:val="-2"/>
        </w:rPr>
        <w:t>Strait</w:t>
      </w:r>
      <w:r>
        <w:rPr>
          <w:color w:val="231F20"/>
          <w:spacing w:val="-4"/>
        </w:rPr>
        <w:t> </w:t>
      </w:r>
      <w:r>
        <w:rPr>
          <w:color w:val="231F20"/>
          <w:spacing w:val="-1"/>
        </w:rPr>
        <w:t>Islander</w:t>
      </w:r>
      <w:r>
        <w:rPr>
          <w:color w:val="231F20"/>
          <w:spacing w:val="-2"/>
        </w:rPr>
        <w:t> </w:t>
      </w:r>
      <w:r>
        <w:rPr>
          <w:color w:val="231F20"/>
          <w:spacing w:val="-1"/>
        </w:rPr>
        <w:t>students</w:t>
      </w:r>
      <w:r>
        <w:rPr>
          <w:color w:val="231F20"/>
          <w:spacing w:val="-3"/>
        </w:rPr>
        <w:t> </w:t>
      </w:r>
      <w:r>
        <w:rPr>
          <w:color w:val="231F20"/>
        </w:rPr>
        <w:t>to</w:t>
      </w:r>
      <w:r>
        <w:rPr>
          <w:color w:val="231F20"/>
          <w:spacing w:val="-3"/>
        </w:rPr>
        <w:t> </w:t>
      </w:r>
      <w:r>
        <w:rPr>
          <w:color w:val="231F20"/>
        </w:rPr>
        <w:t>total</w:t>
      </w:r>
      <w:r>
        <w:rPr>
          <w:color w:val="231F20"/>
          <w:spacing w:val="-3"/>
        </w:rPr>
        <w:t> </w:t>
      </w:r>
      <w:r>
        <w:rPr>
          <w:color w:val="231F20"/>
          <w:spacing w:val="-1"/>
        </w:rPr>
        <w:t>students</w:t>
      </w:r>
      <w:r>
        <w:rPr>
          <w:color w:val="231F20"/>
          <w:spacing w:val="22"/>
        </w:rPr>
        <w:t> </w:t>
      </w:r>
      <w:r>
        <w:rPr>
          <w:rFonts w:ascii="Segoe UI"/>
          <w:color w:val="231F20"/>
        </w:rPr>
        <w:t>was classified as low and ranged from 6 per</w:t>
      </w:r>
      <w:r>
        <w:rPr>
          <w:rFonts w:ascii="Segoe UI"/>
          <w:color w:val="231F20"/>
        </w:rPr>
        <w:t> </w:t>
      </w:r>
      <w:r>
        <w:rPr>
          <w:color w:val="231F20"/>
        </w:rPr>
        <w:t>cent</w:t>
      </w:r>
      <w:r>
        <w:rPr>
          <w:color w:val="231F20"/>
          <w:spacing w:val="-4"/>
        </w:rPr>
        <w:t> </w:t>
      </w:r>
      <w:r>
        <w:rPr>
          <w:color w:val="231F20"/>
        </w:rPr>
        <w:t>to</w:t>
      </w:r>
      <w:r>
        <w:rPr>
          <w:color w:val="231F20"/>
          <w:spacing w:val="-2"/>
        </w:rPr>
        <w:t> </w:t>
      </w:r>
      <w:r>
        <w:rPr>
          <w:color w:val="231F20"/>
          <w:spacing w:val="-1"/>
        </w:rPr>
        <w:t>18</w:t>
      </w:r>
      <w:r>
        <w:rPr>
          <w:color w:val="231F20"/>
          <w:spacing w:val="-2"/>
        </w:rPr>
        <w:t> </w:t>
      </w:r>
      <w:r>
        <w:rPr>
          <w:color w:val="231F20"/>
        </w:rPr>
        <w:t>per</w:t>
      </w:r>
      <w:r>
        <w:rPr>
          <w:color w:val="231F20"/>
          <w:spacing w:val="-2"/>
        </w:rPr>
        <w:t> </w:t>
      </w:r>
      <w:r>
        <w:rPr>
          <w:color w:val="231F20"/>
        </w:rPr>
        <w:t>cent.</w:t>
      </w:r>
      <w:r>
        <w:rPr>
          <w:color w:val="231F20"/>
          <w:spacing w:val="-3"/>
        </w:rPr>
        <w:t> </w:t>
      </w:r>
      <w:r>
        <w:rPr>
          <w:color w:val="231F20"/>
        </w:rPr>
        <w:t>This,</w:t>
      </w:r>
      <w:r>
        <w:rPr>
          <w:color w:val="231F20"/>
          <w:spacing w:val="-3"/>
        </w:rPr>
        <w:t> </w:t>
      </w:r>
      <w:r>
        <w:rPr>
          <w:color w:val="231F20"/>
        </w:rPr>
        <w:t>and</w:t>
      </w:r>
      <w:r>
        <w:rPr>
          <w:color w:val="231F20"/>
          <w:spacing w:val="-3"/>
        </w:rPr>
        <w:t> </w:t>
      </w:r>
      <w:r>
        <w:rPr>
          <w:color w:val="231F20"/>
        </w:rPr>
        <w:t>the</w:t>
      </w:r>
      <w:r>
        <w:rPr>
          <w:color w:val="231F20"/>
          <w:spacing w:val="-3"/>
        </w:rPr>
        <w:t> </w:t>
      </w:r>
      <w:r>
        <w:rPr>
          <w:color w:val="231F20"/>
          <w:spacing w:val="-1"/>
        </w:rPr>
        <w:t>small</w:t>
      </w:r>
      <w:r>
        <w:rPr>
          <w:color w:val="231F20"/>
          <w:spacing w:val="-2"/>
        </w:rPr>
        <w:t> </w:t>
      </w:r>
      <w:r>
        <w:rPr>
          <w:color w:val="231F20"/>
          <w:spacing w:val="-1"/>
        </w:rPr>
        <w:t>sample</w:t>
      </w:r>
      <w:r>
        <w:rPr>
          <w:color w:val="231F20"/>
          <w:spacing w:val="22"/>
        </w:rPr>
        <w:t> </w:t>
      </w:r>
      <w:r>
        <w:rPr>
          <w:color w:val="231F20"/>
          <w:spacing w:val="-1"/>
        </w:rPr>
        <w:t>size,</w:t>
      </w:r>
      <w:r>
        <w:rPr>
          <w:color w:val="231F20"/>
          <w:spacing w:val="-5"/>
        </w:rPr>
        <w:t> </w:t>
      </w:r>
      <w:r>
        <w:rPr>
          <w:color w:val="231F20"/>
          <w:spacing w:val="-1"/>
        </w:rPr>
        <w:t>may</w:t>
      </w:r>
      <w:r>
        <w:rPr>
          <w:color w:val="231F20"/>
          <w:spacing w:val="-5"/>
        </w:rPr>
        <w:t> </w:t>
      </w:r>
      <w:r>
        <w:rPr>
          <w:color w:val="231F20"/>
        </w:rPr>
        <w:t>partly</w:t>
      </w:r>
      <w:r>
        <w:rPr>
          <w:color w:val="231F20"/>
          <w:spacing w:val="-6"/>
        </w:rPr>
        <w:t> </w:t>
      </w:r>
      <w:r>
        <w:rPr>
          <w:color w:val="231F20"/>
        </w:rPr>
        <w:t>explain</w:t>
      </w:r>
      <w:r>
        <w:rPr>
          <w:color w:val="231F20"/>
          <w:spacing w:val="-5"/>
        </w:rPr>
        <w:t> </w:t>
      </w:r>
      <w:r>
        <w:rPr>
          <w:color w:val="231F20"/>
        </w:rPr>
        <w:t>the</w:t>
      </w:r>
      <w:r>
        <w:rPr>
          <w:color w:val="231F20"/>
          <w:spacing w:val="-6"/>
        </w:rPr>
        <w:t> </w:t>
      </w:r>
      <w:r>
        <w:rPr>
          <w:color w:val="231F20"/>
        </w:rPr>
        <w:t>comparability</w:t>
      </w:r>
      <w:r>
        <w:rPr>
          <w:color w:val="231F20"/>
          <w:spacing w:val="-5"/>
        </w:rPr>
        <w:t> </w:t>
      </w:r>
      <w:r>
        <w:rPr>
          <w:color w:val="231F20"/>
        </w:rPr>
        <w:t>of</w:t>
      </w:r>
      <w:r>
        <w:rPr>
          <w:color w:val="231F20"/>
          <w:spacing w:val="23"/>
          <w:w w:val="99"/>
        </w:rPr>
        <w:t> </w:t>
      </w:r>
      <w:r>
        <w:rPr>
          <w:color w:val="231F20"/>
        </w:rPr>
        <w:t>average</w:t>
      </w:r>
      <w:r>
        <w:rPr>
          <w:color w:val="231F20"/>
          <w:spacing w:val="-9"/>
        </w:rPr>
        <w:t> </w:t>
      </w:r>
      <w:r>
        <w:rPr>
          <w:color w:val="231F20"/>
        </w:rPr>
        <w:t>boarding</w:t>
      </w:r>
      <w:r>
        <w:rPr>
          <w:color w:val="231F20"/>
          <w:spacing w:val="-8"/>
        </w:rPr>
        <w:t> </w:t>
      </w:r>
      <w:r>
        <w:rPr>
          <w:color w:val="231F20"/>
        </w:rPr>
        <w:t>cost.</w:t>
      </w:r>
      <w:r>
        <w:rPr>
          <w:color w:val="231F20"/>
          <w:spacing w:val="-9"/>
        </w:rPr>
        <w:t> </w:t>
      </w:r>
      <w:r>
        <w:rPr>
          <w:color w:val="231F20"/>
        </w:rPr>
        <w:t>The</w:t>
      </w:r>
      <w:r>
        <w:rPr>
          <w:color w:val="231F20"/>
          <w:spacing w:val="-7"/>
        </w:rPr>
        <w:t> </w:t>
      </w:r>
      <w:r>
        <w:rPr>
          <w:color w:val="231F20"/>
        </w:rPr>
        <w:t>proportionality</w:t>
      </w:r>
      <w:r>
        <w:rPr>
          <w:color w:val="231F20"/>
          <w:spacing w:val="-9"/>
        </w:rPr>
        <w:t> </w:t>
      </w:r>
      <w:r>
        <w:rPr>
          <w:color w:val="231F20"/>
        </w:rPr>
        <w:t>of</w:t>
      </w:r>
      <w:r>
        <w:rPr>
          <w:color w:val="231F20"/>
          <w:w w:val="99"/>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5"/>
        </w:rPr>
        <w:t> </w:t>
      </w:r>
      <w:r>
        <w:rPr>
          <w:color w:val="231F20"/>
          <w:spacing w:val="-1"/>
        </w:rPr>
        <w:t>Islander</w:t>
      </w:r>
      <w:r>
        <w:rPr>
          <w:color w:val="231F20"/>
          <w:spacing w:val="-5"/>
        </w:rPr>
        <w:t> </w:t>
      </w:r>
      <w:r>
        <w:rPr>
          <w:color w:val="231F20"/>
          <w:spacing w:val="-1"/>
        </w:rPr>
        <w:t>students</w:t>
      </w:r>
      <w:r>
        <w:rPr>
          <w:color w:val="231F20"/>
          <w:spacing w:val="-1"/>
        </w:rPr>
        <w:t> </w:t>
      </w:r>
      <w:r>
        <w:rPr>
          <w:color w:val="231F20"/>
          <w:spacing w:val="20"/>
        </w:rPr>
        <w:t> </w:t>
      </w:r>
      <w:r>
        <w:rPr>
          <w:color w:val="231F20"/>
        </w:rPr>
        <w:t>to</w:t>
      </w:r>
      <w:r>
        <w:rPr>
          <w:color w:val="231F20"/>
          <w:spacing w:val="-3"/>
        </w:rPr>
        <w:t> </w:t>
      </w:r>
      <w:r>
        <w:rPr>
          <w:color w:val="231F20"/>
        </w:rPr>
        <w:t>total</w:t>
      </w:r>
      <w:r>
        <w:rPr>
          <w:color w:val="231F20"/>
          <w:spacing w:val="-3"/>
        </w:rPr>
        <w:t> </w:t>
      </w:r>
      <w:r>
        <w:rPr>
          <w:color w:val="231F20"/>
          <w:spacing w:val="-1"/>
        </w:rPr>
        <w:t>students</w:t>
      </w:r>
      <w:r>
        <w:rPr>
          <w:color w:val="231F20"/>
          <w:spacing w:val="-3"/>
        </w:rPr>
        <w:t> </w:t>
      </w:r>
      <w:r>
        <w:rPr>
          <w:color w:val="231F20"/>
        </w:rPr>
        <w:t>as</w:t>
      </w:r>
      <w:r>
        <w:rPr>
          <w:color w:val="231F20"/>
          <w:spacing w:val="-3"/>
        </w:rPr>
        <w:t> </w:t>
      </w:r>
      <w:r>
        <w:rPr>
          <w:color w:val="231F20"/>
        </w:rPr>
        <w:t>a</w:t>
      </w:r>
      <w:r>
        <w:rPr>
          <w:color w:val="231F20"/>
          <w:spacing w:val="-3"/>
        </w:rPr>
        <w:t> </w:t>
      </w:r>
      <w:r>
        <w:rPr>
          <w:color w:val="231F20"/>
        </w:rPr>
        <w:t>determinant</w:t>
      </w:r>
      <w:r>
        <w:rPr>
          <w:color w:val="231F20"/>
          <w:spacing w:val="-3"/>
        </w:rPr>
        <w:t> </w:t>
      </w:r>
      <w:r>
        <w:rPr>
          <w:color w:val="231F20"/>
        </w:rPr>
        <w:t>of</w:t>
      </w:r>
      <w:r>
        <w:rPr>
          <w:color w:val="231F20"/>
          <w:spacing w:val="-3"/>
        </w:rPr>
        <w:t> </w:t>
      </w:r>
      <w:r>
        <w:rPr>
          <w:color w:val="231F20"/>
        </w:rPr>
        <w:t>cost</w:t>
      </w:r>
      <w:r>
        <w:rPr>
          <w:color w:val="231F20"/>
          <w:spacing w:val="-3"/>
        </w:rPr>
        <w:t> </w:t>
      </w:r>
      <w:r>
        <w:rPr>
          <w:color w:val="231F20"/>
          <w:spacing w:val="-1"/>
        </w:rPr>
        <w:t>is</w:t>
      </w:r>
      <w:r>
        <w:rPr>
          <w:color w:val="231F20"/>
          <w:spacing w:val="21"/>
        </w:rPr>
        <w:t> </w:t>
      </w:r>
      <w:r>
        <w:rPr>
          <w:color w:val="231F20"/>
        </w:rPr>
        <w:t>addressed</w:t>
      </w:r>
      <w:r>
        <w:rPr>
          <w:color w:val="231F20"/>
          <w:spacing w:val="-16"/>
        </w:rPr>
        <w:t> </w:t>
      </w:r>
      <w:r>
        <w:rPr>
          <w:color w:val="231F20"/>
        </w:rPr>
        <w:t>below.</w:t>
      </w:r>
      <w:r>
        <w:rPr/>
      </w:r>
    </w:p>
    <w:p>
      <w:pPr>
        <w:pStyle w:val="BodyText"/>
        <w:spacing w:line="250" w:lineRule="exact" w:before="62"/>
        <w:ind w:left="100" w:right="1632"/>
        <w:jc w:val="left"/>
      </w:pPr>
      <w:r>
        <w:rPr/>
        <w:br w:type="column"/>
      </w:r>
      <w:r>
        <w:rPr>
          <w:color w:val="231F20"/>
          <w:spacing w:val="-1"/>
        </w:rPr>
        <w:t>Despite</w:t>
      </w:r>
      <w:r>
        <w:rPr>
          <w:color w:val="231F20"/>
          <w:spacing w:val="-5"/>
        </w:rPr>
        <w:t> </w:t>
      </w:r>
      <w:r>
        <w:rPr>
          <w:color w:val="231F20"/>
        </w:rPr>
        <w:t>the</w:t>
      </w:r>
      <w:r>
        <w:rPr>
          <w:color w:val="231F20"/>
          <w:spacing w:val="-5"/>
        </w:rPr>
        <w:t> </w:t>
      </w:r>
      <w:r>
        <w:rPr>
          <w:color w:val="231F20"/>
        </w:rPr>
        <w:t>additional</w:t>
      </w:r>
      <w:r>
        <w:rPr>
          <w:color w:val="231F20"/>
          <w:spacing w:val="-5"/>
        </w:rPr>
        <w:t> </w:t>
      </w:r>
      <w:r>
        <w:rPr>
          <w:color w:val="231F20"/>
        </w:rPr>
        <w:t>costs</w:t>
      </w:r>
      <w:r>
        <w:rPr>
          <w:color w:val="231F20"/>
          <w:spacing w:val="-6"/>
        </w:rPr>
        <w:t> </w:t>
      </w:r>
      <w:r>
        <w:rPr>
          <w:color w:val="231F20"/>
        </w:rPr>
        <w:t>per</w:t>
      </w:r>
      <w:r>
        <w:rPr>
          <w:color w:val="231F20"/>
          <w:spacing w:val="-4"/>
        </w:rPr>
        <w:t> </w:t>
      </w:r>
      <w:r>
        <w:rPr>
          <w:color w:val="231F20"/>
        </w:rPr>
        <w:t>boarder</w:t>
      </w:r>
      <w:r>
        <w:rPr>
          <w:color w:val="231F20"/>
          <w:spacing w:val="23"/>
          <w:w w:val="99"/>
        </w:rPr>
        <w:t> </w:t>
      </w:r>
      <w:r>
        <w:rPr>
          <w:color w:val="231F20"/>
        </w:rPr>
        <w:t>associated</w:t>
      </w:r>
      <w:r>
        <w:rPr>
          <w:color w:val="231F20"/>
          <w:spacing w:val="-5"/>
        </w:rPr>
        <w:t> </w:t>
      </w:r>
      <w:r>
        <w:rPr>
          <w:color w:val="231F20"/>
        </w:rPr>
        <w:t>with</w:t>
      </w:r>
      <w:r>
        <w:rPr>
          <w:color w:val="231F20"/>
          <w:spacing w:val="-5"/>
        </w:rPr>
        <w:t> </w:t>
      </w:r>
      <w:r>
        <w:rPr>
          <w:color w:val="231F20"/>
        </w:rPr>
        <w:t>operating</w:t>
      </w:r>
      <w:r>
        <w:rPr>
          <w:color w:val="231F20"/>
          <w:spacing w:val="-4"/>
        </w:rPr>
        <w:t> </w:t>
      </w:r>
      <w:r>
        <w:rPr>
          <w:color w:val="231F20"/>
        </w:rPr>
        <w:t>as</w:t>
      </w:r>
      <w:r>
        <w:rPr>
          <w:color w:val="231F20"/>
          <w:spacing w:val="-5"/>
        </w:rPr>
        <w:t> </w:t>
      </w:r>
      <w:r>
        <w:rPr>
          <w:color w:val="231F20"/>
        </w:rPr>
        <w:t>a</w:t>
      </w:r>
      <w:r>
        <w:rPr>
          <w:color w:val="231F20"/>
          <w:spacing w:val="-4"/>
        </w:rPr>
        <w:t> </w:t>
      </w:r>
      <w:r>
        <w:rPr>
          <w:color w:val="231F20"/>
          <w:spacing w:val="-1"/>
        </w:rPr>
        <w:t>small</w:t>
      </w:r>
      <w:r>
        <w:rPr>
          <w:color w:val="231F20"/>
          <w:spacing w:val="-5"/>
        </w:rPr>
        <w:t> </w:t>
      </w:r>
      <w:r>
        <w:rPr>
          <w:color w:val="231F20"/>
        </w:rPr>
        <w:t>or</w:t>
      </w:r>
      <w:r>
        <w:rPr>
          <w:color w:val="231F20"/>
          <w:spacing w:val="-4"/>
        </w:rPr>
        <w:t> </w:t>
      </w:r>
      <w:r>
        <w:rPr>
          <w:color w:val="231F20"/>
        </w:rPr>
        <w:t>very</w:t>
      </w:r>
      <w:r>
        <w:rPr>
          <w:color w:val="231F20"/>
          <w:spacing w:val="21"/>
          <w:w w:val="99"/>
        </w:rPr>
        <w:t> </w:t>
      </w:r>
      <w:r>
        <w:rPr>
          <w:color w:val="231F20"/>
          <w:spacing w:val="-1"/>
        </w:rPr>
        <w:t>small</w:t>
      </w:r>
      <w:r>
        <w:rPr>
          <w:color w:val="231F20"/>
          <w:spacing w:val="-6"/>
        </w:rPr>
        <w:t> </w:t>
      </w:r>
      <w:r>
        <w:rPr>
          <w:color w:val="231F20"/>
        </w:rPr>
        <w:t>boarding</w:t>
      </w:r>
      <w:r>
        <w:rPr>
          <w:color w:val="231F20"/>
          <w:spacing w:val="-7"/>
        </w:rPr>
        <w:t> </w:t>
      </w:r>
      <w:r>
        <w:rPr>
          <w:color w:val="231F20"/>
        </w:rPr>
        <w:t>provider,</w:t>
      </w:r>
      <w:r>
        <w:rPr>
          <w:color w:val="231F20"/>
          <w:spacing w:val="-6"/>
        </w:rPr>
        <w:t> </w:t>
      </w:r>
      <w:r>
        <w:rPr>
          <w:color w:val="231F20"/>
          <w:spacing w:val="-1"/>
        </w:rPr>
        <w:t>some</w:t>
      </w:r>
      <w:r>
        <w:rPr>
          <w:color w:val="231F20"/>
          <w:spacing w:val="-6"/>
        </w:rPr>
        <w:t> </w:t>
      </w:r>
      <w:r>
        <w:rPr>
          <w:color w:val="231F20"/>
        </w:rPr>
        <w:t>Aboriginal</w:t>
      </w:r>
      <w:r>
        <w:rPr>
          <w:color w:val="231F20"/>
          <w:spacing w:val="-6"/>
        </w:rPr>
        <w:t> </w:t>
      </w:r>
      <w:r>
        <w:rPr>
          <w:color w:val="231F20"/>
          <w:spacing w:val="-6"/>
        </w:rPr>
      </w:r>
      <w:r>
        <w:rPr>
          <w:color w:val="231F20"/>
        </w:rPr>
        <w:t>and</w:t>
      </w:r>
      <w:r>
        <w:rPr>
          <w:color w:val="231F20"/>
          <w:spacing w:val="22"/>
        </w:rPr>
        <w:t> </w:t>
      </w:r>
      <w:r>
        <w:rPr>
          <w:color w:val="231F20"/>
          <w:spacing w:val="-5"/>
        </w:rPr>
        <w:t>Torres</w:t>
      </w:r>
      <w:r>
        <w:rPr>
          <w:color w:val="231F20"/>
          <w:spacing w:val="-7"/>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7"/>
        </w:rPr>
        <w:t> </w:t>
      </w:r>
      <w:r>
        <w:rPr>
          <w:color w:val="231F20"/>
        </w:rPr>
        <w:t>providers</w:t>
      </w:r>
      <w:r>
        <w:rPr>
          <w:color w:val="231F20"/>
          <w:spacing w:val="-6"/>
        </w:rPr>
        <w:t> </w:t>
      </w:r>
      <w:r>
        <w:rPr>
          <w:color w:val="231F20"/>
          <w:spacing w:val="-6"/>
        </w:rPr>
      </w:r>
      <w:r>
        <w:rPr>
          <w:color w:val="231F20"/>
        </w:rPr>
        <w:t>have</w:t>
      </w:r>
      <w:r>
        <w:rPr>
          <w:color w:val="231F20"/>
          <w:spacing w:val="20"/>
        </w:rPr>
        <w:t> </w:t>
      </w:r>
      <w:r>
        <w:rPr>
          <w:color w:val="231F20"/>
        </w:rPr>
        <w:t>taken</w:t>
      </w:r>
      <w:r>
        <w:rPr>
          <w:color w:val="231F20"/>
          <w:spacing w:val="-3"/>
        </w:rPr>
        <w:t> </w:t>
      </w:r>
      <w:r>
        <w:rPr>
          <w:color w:val="231F20"/>
        </w:rPr>
        <w:t>a</w:t>
      </w:r>
      <w:r>
        <w:rPr>
          <w:color w:val="231F20"/>
          <w:spacing w:val="-2"/>
        </w:rPr>
        <w:t> </w:t>
      </w:r>
      <w:r>
        <w:rPr>
          <w:color w:val="231F20"/>
        </w:rPr>
        <w:t>conscious</w:t>
      </w:r>
      <w:r>
        <w:rPr>
          <w:color w:val="231F20"/>
          <w:spacing w:val="-3"/>
        </w:rPr>
        <w:t> </w:t>
      </w:r>
      <w:r>
        <w:rPr>
          <w:color w:val="231F20"/>
        </w:rPr>
        <w:t>decision</w:t>
      </w:r>
      <w:r>
        <w:rPr>
          <w:color w:val="231F20"/>
          <w:spacing w:val="-3"/>
        </w:rPr>
        <w:t> </w:t>
      </w:r>
      <w:r>
        <w:rPr>
          <w:color w:val="231F20"/>
        </w:rPr>
        <w:t>to</w:t>
      </w:r>
      <w:r>
        <w:rPr>
          <w:color w:val="231F20"/>
          <w:spacing w:val="-1"/>
        </w:rPr>
        <w:t> limit</w:t>
      </w:r>
      <w:r>
        <w:rPr>
          <w:color w:val="231F20"/>
          <w:spacing w:val="-2"/>
        </w:rPr>
        <w:t> </w:t>
      </w:r>
      <w:r>
        <w:rPr>
          <w:color w:val="231F20"/>
        </w:rPr>
        <w:t>the</w:t>
      </w:r>
      <w:r>
        <w:rPr>
          <w:color w:val="231F20"/>
          <w:spacing w:val="21"/>
          <w:w w:val="99"/>
        </w:rPr>
        <w:t> </w:t>
      </w:r>
      <w:r>
        <w:rPr>
          <w:color w:val="231F20"/>
        </w:rPr>
        <w:t>number</w:t>
      </w:r>
      <w:r>
        <w:rPr>
          <w:color w:val="231F20"/>
          <w:spacing w:val="-6"/>
        </w:rPr>
        <w:t> </w:t>
      </w:r>
      <w:r>
        <w:rPr>
          <w:color w:val="231F20"/>
        </w:rPr>
        <w:t>of</w:t>
      </w:r>
      <w:r>
        <w:rPr>
          <w:color w:val="231F20"/>
          <w:spacing w:val="-4"/>
        </w:rPr>
        <w:t> </w:t>
      </w:r>
      <w:r>
        <w:rPr>
          <w:color w:val="231F20"/>
        </w:rPr>
        <w:t>enrolments</w:t>
      </w:r>
      <w:r>
        <w:rPr>
          <w:color w:val="231F20"/>
          <w:spacing w:val="-5"/>
        </w:rPr>
        <w:t> </w:t>
      </w:r>
      <w:r>
        <w:rPr>
          <w:color w:val="231F20"/>
        </w:rPr>
        <w:t>to</w:t>
      </w:r>
      <w:r>
        <w:rPr>
          <w:color w:val="231F20"/>
          <w:spacing w:val="-4"/>
        </w:rPr>
        <w:t> </w:t>
      </w:r>
      <w:r>
        <w:rPr>
          <w:color w:val="231F20"/>
        </w:rPr>
        <w:t>provide</w:t>
      </w:r>
      <w:r>
        <w:rPr>
          <w:color w:val="231F20"/>
          <w:spacing w:val="-5"/>
        </w:rPr>
        <w:t> </w:t>
      </w:r>
      <w:r>
        <w:rPr>
          <w:color w:val="231F20"/>
        </w:rPr>
        <w:t>a</w:t>
      </w:r>
      <w:r>
        <w:rPr>
          <w:color w:val="231F20"/>
          <w:spacing w:val="-5"/>
        </w:rPr>
        <w:t> </w:t>
      </w:r>
      <w:r>
        <w:rPr>
          <w:color w:val="231F20"/>
        </w:rPr>
        <w:t>tailored</w:t>
      </w:r>
      <w:r>
        <w:rPr>
          <w:color w:val="231F20"/>
          <w:w w:val="99"/>
        </w:rPr>
        <w:t> </w:t>
      </w:r>
      <w:r>
        <w:rPr>
          <w:rFonts w:ascii="Segoe UI"/>
          <w:color w:val="231F20"/>
        </w:rPr>
        <w:t>and flexible boarding experience for students.</w:t>
      </w:r>
      <w:r>
        <w:rPr>
          <w:rFonts w:ascii="Segoe UI"/>
          <w:color w:val="231F20"/>
        </w:rPr>
        <w:t> </w:t>
      </w:r>
      <w:r>
        <w:rPr>
          <w:color w:val="231F20"/>
        </w:rPr>
        <w:t>The</w:t>
      </w:r>
      <w:r>
        <w:rPr>
          <w:color w:val="231F20"/>
          <w:spacing w:val="-6"/>
        </w:rPr>
        <w:t> </w:t>
      </w:r>
      <w:r>
        <w:rPr>
          <w:color w:val="231F20"/>
        </w:rPr>
        <w:t>providers</w:t>
      </w:r>
      <w:r>
        <w:rPr>
          <w:color w:val="231F20"/>
          <w:spacing w:val="-7"/>
        </w:rPr>
        <w:t> </w:t>
      </w:r>
      <w:r>
        <w:rPr>
          <w:color w:val="231F20"/>
          <w:spacing w:val="-1"/>
        </w:rPr>
        <w:t>indicated</w:t>
      </w:r>
      <w:r>
        <w:rPr>
          <w:color w:val="231F20"/>
          <w:spacing w:val="-6"/>
        </w:rPr>
        <w:t> </w:t>
      </w:r>
      <w:r>
        <w:rPr>
          <w:color w:val="231F20"/>
        </w:rPr>
        <w:t>that</w:t>
      </w:r>
      <w:r>
        <w:rPr>
          <w:color w:val="231F20"/>
          <w:spacing w:val="-7"/>
        </w:rPr>
        <w:t> </w:t>
      </w:r>
      <w:r>
        <w:rPr>
          <w:color w:val="231F20"/>
        </w:rPr>
        <w:t>they</w:t>
      </w:r>
      <w:r>
        <w:rPr>
          <w:color w:val="231F20"/>
          <w:spacing w:val="-7"/>
        </w:rPr>
        <w:t> </w:t>
      </w:r>
      <w:r>
        <w:rPr>
          <w:color w:val="231F20"/>
        </w:rPr>
        <w:t>are</w:t>
      </w:r>
      <w:r>
        <w:rPr>
          <w:color w:val="231F20"/>
          <w:spacing w:val="-6"/>
        </w:rPr>
        <w:t> </w:t>
      </w:r>
      <w:r>
        <w:rPr>
          <w:color w:val="231F20"/>
        </w:rPr>
        <w:t>better</w:t>
      </w:r>
      <w:r>
        <w:rPr>
          <w:color w:val="231F20"/>
          <w:spacing w:val="22"/>
          <w:w w:val="99"/>
        </w:rPr>
        <w:t> </w:t>
      </w:r>
      <w:r>
        <w:rPr>
          <w:color w:val="231F20"/>
        </w:rPr>
        <w:t>able</w:t>
      </w:r>
      <w:r>
        <w:rPr>
          <w:color w:val="231F20"/>
          <w:spacing w:val="-4"/>
        </w:rPr>
        <w:t> </w:t>
      </w:r>
      <w:r>
        <w:rPr>
          <w:color w:val="231F20"/>
        </w:rPr>
        <w:t>to</w:t>
      </w:r>
      <w:r>
        <w:rPr>
          <w:color w:val="231F20"/>
          <w:spacing w:val="-3"/>
        </w:rPr>
        <w:t> </w:t>
      </w:r>
      <w:r>
        <w:rPr>
          <w:color w:val="231F20"/>
          <w:spacing w:val="-1"/>
        </w:rPr>
        <w:t>individually</w:t>
      </w:r>
      <w:r>
        <w:rPr>
          <w:color w:val="231F20"/>
          <w:spacing w:val="-2"/>
        </w:rPr>
        <w:t> </w:t>
      </w:r>
      <w:r>
        <w:rPr>
          <w:color w:val="231F20"/>
        </w:rPr>
        <w:t>address</w:t>
      </w:r>
      <w:r>
        <w:rPr>
          <w:color w:val="231F20"/>
          <w:spacing w:val="-4"/>
        </w:rPr>
        <w:t> </w:t>
      </w:r>
      <w:r>
        <w:rPr>
          <w:color w:val="231F20"/>
        </w:rPr>
        <w:t>the</w:t>
      </w:r>
      <w:r>
        <w:rPr>
          <w:color w:val="231F20"/>
          <w:spacing w:val="-3"/>
        </w:rPr>
        <w:t> </w:t>
      </w:r>
      <w:r>
        <w:rPr>
          <w:color w:val="231F20"/>
        </w:rPr>
        <w:t>needs</w:t>
      </w:r>
      <w:r>
        <w:rPr>
          <w:color w:val="231F20"/>
          <w:spacing w:val="-4"/>
        </w:rPr>
        <w:t> </w:t>
      </w:r>
      <w:r>
        <w:rPr>
          <w:color w:val="231F20"/>
        </w:rPr>
        <w:t>of</w:t>
      </w:r>
      <w:r>
        <w:rPr>
          <w:color w:val="231F20"/>
          <w:spacing w:val="-3"/>
        </w:rPr>
        <w:t> </w:t>
      </w:r>
      <w:r>
        <w:rPr>
          <w:color w:val="231F20"/>
        </w:rPr>
        <w:t>a</w:t>
      </w:r>
      <w:r>
        <w:rPr>
          <w:color w:val="231F20"/>
          <w:spacing w:val="22"/>
          <w:w w:val="99"/>
        </w:rPr>
        <w:t> </w:t>
      </w:r>
      <w:r>
        <w:rPr>
          <w:color w:val="231F20"/>
        </w:rPr>
        <w:t>boarder,</w:t>
      </w:r>
      <w:r>
        <w:rPr>
          <w:color w:val="231F20"/>
          <w:spacing w:val="-6"/>
        </w:rPr>
        <w:t> </w:t>
      </w:r>
      <w:r>
        <w:rPr>
          <w:color w:val="231F20"/>
        </w:rPr>
        <w:t>particularly</w:t>
      </w:r>
      <w:r>
        <w:rPr>
          <w:color w:val="231F20"/>
          <w:spacing w:val="-7"/>
        </w:rPr>
        <w:t> </w:t>
      </w:r>
      <w:r>
        <w:rPr>
          <w:color w:val="231F20"/>
        </w:rPr>
        <w:t>for</w:t>
      </w:r>
      <w:r>
        <w:rPr>
          <w:color w:val="231F20"/>
          <w:spacing w:val="-5"/>
        </w:rPr>
        <w:t> </w:t>
      </w:r>
      <w:r>
        <w:rPr>
          <w:color w:val="231F20"/>
        </w:rPr>
        <w:t>those</w:t>
      </w:r>
      <w:r>
        <w:rPr>
          <w:color w:val="231F20"/>
          <w:spacing w:val="-7"/>
        </w:rPr>
        <w:t> </w:t>
      </w:r>
      <w:r>
        <w:rPr>
          <w:color w:val="231F20"/>
          <w:spacing w:val="-1"/>
        </w:rPr>
        <w:t>students</w:t>
      </w:r>
      <w:r>
        <w:rPr>
          <w:color w:val="231F20"/>
          <w:spacing w:val="-6"/>
        </w:rPr>
        <w:t> </w:t>
      </w:r>
      <w:r>
        <w:rPr>
          <w:color w:val="231F20"/>
        </w:rPr>
        <w:t>with</w:t>
      </w:r>
      <w:r>
        <w:rPr/>
      </w:r>
    </w:p>
    <w:p>
      <w:pPr>
        <w:pStyle w:val="BodyText"/>
        <w:spacing w:line="250" w:lineRule="exact"/>
        <w:ind w:left="100" w:right="1522"/>
        <w:jc w:val="left"/>
        <w:rPr>
          <w:rFonts w:ascii="Segoe UI" w:hAnsi="Segoe UI" w:cs="Segoe UI" w:eastAsia="Segoe UI"/>
        </w:rPr>
      </w:pPr>
      <w:r>
        <w:rPr>
          <w:color w:val="231F20"/>
        </w:rPr>
        <w:t>high</w:t>
      </w:r>
      <w:r>
        <w:rPr>
          <w:color w:val="231F20"/>
          <w:spacing w:val="-6"/>
        </w:rPr>
        <w:t> </w:t>
      </w:r>
      <w:r>
        <w:rPr>
          <w:color w:val="231F20"/>
        </w:rPr>
        <w:t>needs</w:t>
      </w:r>
      <w:r>
        <w:rPr>
          <w:color w:val="231F20"/>
          <w:spacing w:val="-5"/>
        </w:rPr>
        <w:t> </w:t>
      </w:r>
      <w:r>
        <w:rPr>
          <w:color w:val="231F20"/>
        </w:rPr>
        <w:t>or</w:t>
      </w:r>
      <w:r>
        <w:rPr>
          <w:color w:val="231F20"/>
          <w:spacing w:val="-5"/>
        </w:rPr>
        <w:t> </w:t>
      </w:r>
      <w:r>
        <w:rPr>
          <w:color w:val="231F20"/>
        </w:rPr>
        <w:t>disadvantage.</w:t>
      </w:r>
      <w:r>
        <w:rPr>
          <w:color w:val="231F20"/>
          <w:spacing w:val="-5"/>
        </w:rPr>
        <w:t> </w:t>
      </w:r>
      <w:r>
        <w:rPr>
          <w:color w:val="231F20"/>
        </w:rPr>
        <w:t>The</w:t>
      </w:r>
      <w:r>
        <w:rPr>
          <w:color w:val="231F20"/>
          <w:spacing w:val="-5"/>
        </w:rPr>
        <w:t> </w:t>
      </w:r>
      <w:r>
        <w:rPr>
          <w:color w:val="231F20"/>
        </w:rPr>
        <w:t>principal</w:t>
      </w:r>
      <w:r>
        <w:rPr>
          <w:color w:val="231F20"/>
          <w:spacing w:val="-5"/>
        </w:rPr>
        <w:t> </w:t>
      </w:r>
      <w:r>
        <w:rPr>
          <w:color w:val="231F20"/>
        </w:rPr>
        <w:t>of</w:t>
      </w:r>
      <w:r>
        <w:rPr>
          <w:color w:val="231F20"/>
          <w:spacing w:val="-5"/>
        </w:rPr>
        <w:t> </w:t>
      </w:r>
      <w:r>
        <w:rPr>
          <w:color w:val="231F20"/>
        </w:rPr>
        <w:t>a</w:t>
      </w:r>
      <w:r>
        <w:rPr>
          <w:color w:val="231F20"/>
          <w:w w:val="99"/>
        </w:rPr>
        <w:t> </w:t>
      </w:r>
      <w:r>
        <w:rPr>
          <w:color w:val="231F20"/>
        </w:rPr>
        <w:t>very</w:t>
      </w:r>
      <w:r>
        <w:rPr>
          <w:color w:val="231F20"/>
          <w:spacing w:val="-5"/>
        </w:rPr>
        <w:t> </w:t>
      </w:r>
      <w:r>
        <w:rPr>
          <w:color w:val="231F20"/>
          <w:spacing w:val="-1"/>
        </w:rPr>
        <w:t>small</w:t>
      </w:r>
      <w:r>
        <w:rPr>
          <w:color w:val="231F20"/>
          <w:spacing w:val="-4"/>
        </w:rPr>
        <w:t> </w:t>
      </w:r>
      <w:r>
        <w:rPr>
          <w:color w:val="231F20"/>
        </w:rPr>
        <w:t>Aboriginal</w:t>
      </w:r>
      <w:r>
        <w:rPr>
          <w:color w:val="231F20"/>
          <w:spacing w:val="-5"/>
        </w:rPr>
        <w:t> </w:t>
      </w:r>
      <w:r>
        <w:rPr>
          <w:color w:val="231F20"/>
        </w:rPr>
        <w:t>and</w:t>
      </w:r>
      <w:r>
        <w:rPr>
          <w:color w:val="231F20"/>
          <w:spacing w:val="-5"/>
        </w:rPr>
        <w:t> Torres</w:t>
      </w:r>
      <w:r>
        <w:rPr>
          <w:color w:val="231F20"/>
          <w:spacing w:val="-4"/>
        </w:rPr>
        <w:t> </w:t>
      </w:r>
      <w:r>
        <w:rPr>
          <w:color w:val="231F20"/>
          <w:spacing w:val="-2"/>
        </w:rPr>
        <w:t>Strait</w:t>
      </w:r>
      <w:r>
        <w:rPr>
          <w:color w:val="231F20"/>
          <w:spacing w:val="-6"/>
        </w:rPr>
        <w:t> </w:t>
      </w:r>
      <w:r>
        <w:rPr>
          <w:color w:val="231F20"/>
          <w:spacing w:val="-1"/>
        </w:rPr>
        <w:t>Islander</w:t>
      </w:r>
      <w:r>
        <w:rPr>
          <w:color w:val="231F20"/>
          <w:spacing w:val="20"/>
          <w:w w:val="99"/>
        </w:rPr>
        <w:t> </w:t>
      </w:r>
      <w:r>
        <w:rPr>
          <w:color w:val="231F20"/>
        </w:rPr>
        <w:t>boarding</w:t>
      </w:r>
      <w:r>
        <w:rPr>
          <w:color w:val="231F20"/>
          <w:spacing w:val="-6"/>
        </w:rPr>
        <w:t> </w:t>
      </w:r>
      <w:r>
        <w:rPr>
          <w:color w:val="231F20"/>
        </w:rPr>
        <w:t>provider</w:t>
      </w:r>
      <w:r>
        <w:rPr>
          <w:color w:val="231F20"/>
          <w:spacing w:val="-6"/>
        </w:rPr>
        <w:t> </w:t>
      </w:r>
      <w:r>
        <w:rPr>
          <w:color w:val="231F20"/>
          <w:spacing w:val="-1"/>
        </w:rPr>
        <w:t>in</w:t>
      </w:r>
      <w:r>
        <w:rPr>
          <w:color w:val="231F20"/>
          <w:spacing w:val="-5"/>
        </w:rPr>
        <w:t> </w:t>
      </w:r>
      <w:r>
        <w:rPr>
          <w:color w:val="231F20"/>
        </w:rPr>
        <w:t>a</w:t>
      </w:r>
      <w:r>
        <w:rPr>
          <w:color w:val="231F20"/>
          <w:spacing w:val="-5"/>
        </w:rPr>
        <w:t> </w:t>
      </w:r>
      <w:r>
        <w:rPr>
          <w:color w:val="231F20"/>
        </w:rPr>
        <w:t>remote</w:t>
      </w:r>
      <w:r>
        <w:rPr>
          <w:color w:val="231F20"/>
          <w:spacing w:val="-6"/>
        </w:rPr>
        <w:t> </w:t>
      </w:r>
      <w:r>
        <w:rPr>
          <w:color w:val="231F20"/>
          <w:spacing w:val="-1"/>
        </w:rPr>
        <w:t>location</w:t>
      </w:r>
      <w:r>
        <w:rPr>
          <w:color w:val="231F20"/>
          <w:spacing w:val="-5"/>
        </w:rPr>
        <w:t> </w:t>
      </w:r>
      <w:r>
        <w:rPr>
          <w:color w:val="231F20"/>
        </w:rPr>
        <w:t>also</w:t>
      </w:r>
      <w:r>
        <w:rPr>
          <w:color w:val="231F20"/>
          <w:spacing w:val="23"/>
        </w:rPr>
        <w:t> </w:t>
      </w:r>
      <w:r>
        <w:rPr>
          <w:rFonts w:ascii="Segoe UI"/>
          <w:color w:val="231F20"/>
        </w:rPr>
        <w:t>noted</w:t>
      </w:r>
      <w:r>
        <w:rPr>
          <w:rFonts w:ascii="Segoe UI"/>
          <w:color w:val="231F20"/>
          <w:spacing w:val="-1"/>
        </w:rPr>
        <w:t> </w:t>
      </w:r>
      <w:r>
        <w:rPr>
          <w:rFonts w:ascii="Segoe UI"/>
          <w:color w:val="231F20"/>
        </w:rPr>
        <w:t>that</w:t>
      </w:r>
      <w:r>
        <w:rPr>
          <w:rFonts w:ascii="Segoe UI"/>
          <w:color w:val="231F20"/>
          <w:spacing w:val="-1"/>
        </w:rPr>
        <w:t> </w:t>
      </w:r>
      <w:r>
        <w:rPr>
          <w:rFonts w:ascii="Segoe UI"/>
          <w:color w:val="231F20"/>
        </w:rPr>
        <w:t>small</w:t>
      </w:r>
      <w:r>
        <w:rPr>
          <w:rFonts w:ascii="Segoe UI"/>
          <w:color w:val="231F20"/>
          <w:spacing w:val="-1"/>
        </w:rPr>
        <w:t> </w:t>
      </w:r>
      <w:r>
        <w:rPr>
          <w:rFonts w:ascii="Segoe UI"/>
          <w:color w:val="231F20"/>
        </w:rPr>
        <w:t>enrolments</w:t>
      </w:r>
      <w:r>
        <w:rPr>
          <w:rFonts w:ascii="Segoe UI"/>
          <w:color w:val="231F20"/>
          <w:spacing w:val="-1"/>
        </w:rPr>
        <w:t> </w:t>
      </w:r>
      <w:r>
        <w:rPr>
          <w:rFonts w:ascii="Segoe UI"/>
          <w:color w:val="231F20"/>
        </w:rPr>
        <w:t>enabled staff</w:t>
      </w:r>
      <w:r>
        <w:rPr>
          <w:rFonts w:ascii="Segoe UI"/>
        </w:rPr>
      </w:r>
    </w:p>
    <w:p>
      <w:pPr>
        <w:pStyle w:val="BodyText"/>
        <w:spacing w:line="250" w:lineRule="exact"/>
        <w:ind w:left="100" w:right="1217"/>
        <w:jc w:val="left"/>
      </w:pPr>
      <w:r>
        <w:rPr>
          <w:color w:val="231F20"/>
        </w:rPr>
        <w:t>and</w:t>
      </w:r>
      <w:r>
        <w:rPr>
          <w:color w:val="231F20"/>
          <w:spacing w:val="-7"/>
        </w:rPr>
        <w:t> </w:t>
      </w:r>
      <w:r>
        <w:rPr>
          <w:color w:val="231F20"/>
          <w:spacing w:val="-1"/>
        </w:rPr>
        <w:t>management</w:t>
      </w:r>
      <w:r>
        <w:rPr>
          <w:color w:val="231F20"/>
          <w:spacing w:val="-4"/>
        </w:rPr>
        <w:t> </w:t>
      </w:r>
      <w:r>
        <w:rPr>
          <w:color w:val="231F20"/>
        </w:rPr>
        <w:t>to</w:t>
      </w:r>
      <w:r>
        <w:rPr>
          <w:color w:val="231F20"/>
          <w:spacing w:val="-6"/>
        </w:rPr>
        <w:t> </w:t>
      </w:r>
      <w:r>
        <w:rPr>
          <w:color w:val="231F20"/>
        </w:rPr>
        <w:t>better</w:t>
      </w:r>
      <w:r>
        <w:rPr>
          <w:color w:val="231F20"/>
          <w:spacing w:val="-6"/>
        </w:rPr>
        <w:t> </w:t>
      </w:r>
      <w:r>
        <w:rPr>
          <w:color w:val="231F20"/>
          <w:spacing w:val="-1"/>
        </w:rPr>
        <w:t>manage</w:t>
      </w:r>
      <w:r>
        <w:rPr>
          <w:color w:val="231F20"/>
          <w:spacing w:val="-6"/>
        </w:rPr>
        <w:t> </w:t>
      </w:r>
      <w:r>
        <w:rPr>
          <w:color w:val="231F20"/>
        </w:rPr>
        <w:t>costs</w:t>
      </w:r>
      <w:r>
        <w:rPr>
          <w:color w:val="231F20"/>
          <w:spacing w:val="-6"/>
        </w:rPr>
        <w:t> </w:t>
      </w:r>
      <w:r>
        <w:rPr>
          <w:color w:val="231F20"/>
        </w:rPr>
        <w:t>and</w:t>
      </w:r>
      <w:r>
        <w:rPr>
          <w:color w:val="231F20"/>
          <w:spacing w:val="23"/>
          <w:w w:val="99"/>
        </w:rPr>
        <w:t> </w:t>
      </w:r>
      <w:r>
        <w:rPr>
          <w:color w:val="231F20"/>
        </w:rPr>
        <w:t>operations.</w:t>
      </w:r>
      <w:r>
        <w:rPr>
          <w:color w:val="231F20"/>
          <w:spacing w:val="-9"/>
        </w:rPr>
        <w:t> </w:t>
      </w:r>
      <w:r>
        <w:rPr>
          <w:color w:val="231F20"/>
        </w:rPr>
        <w:t>The</w:t>
      </w:r>
      <w:r>
        <w:rPr>
          <w:color w:val="231F20"/>
          <w:spacing w:val="-7"/>
        </w:rPr>
        <w:t> </w:t>
      </w:r>
      <w:r>
        <w:rPr>
          <w:color w:val="231F20"/>
        </w:rPr>
        <w:t>principal</w:t>
      </w:r>
      <w:r>
        <w:rPr>
          <w:color w:val="231F20"/>
          <w:spacing w:val="-8"/>
        </w:rPr>
        <w:t> </w:t>
      </w:r>
      <w:r>
        <w:rPr>
          <w:color w:val="231F20"/>
          <w:spacing w:val="-1"/>
        </w:rPr>
        <w:t>indicated</w:t>
      </w:r>
      <w:r>
        <w:rPr>
          <w:color w:val="231F20"/>
          <w:spacing w:val="-8"/>
        </w:rPr>
        <w:t> </w:t>
      </w:r>
      <w:r>
        <w:rPr>
          <w:color w:val="231F20"/>
        </w:rPr>
        <w:t>that</w:t>
      </w:r>
      <w:r>
        <w:rPr>
          <w:color w:val="231F20"/>
          <w:spacing w:val="-8"/>
        </w:rPr>
        <w:t> </w:t>
      </w:r>
      <w:r>
        <w:rPr>
          <w:color w:val="231F20"/>
        </w:rPr>
        <w:t>even</w:t>
      </w:r>
      <w:r>
        <w:rPr>
          <w:color w:val="231F20"/>
          <w:spacing w:val="22"/>
          <w:w w:val="99"/>
        </w:rPr>
        <w:t> </w:t>
      </w:r>
      <w:r>
        <w:rPr>
          <w:color w:val="231F20"/>
        </w:rPr>
        <w:t>though</w:t>
      </w:r>
      <w:r>
        <w:rPr>
          <w:color w:val="231F20"/>
          <w:spacing w:val="-6"/>
        </w:rPr>
        <w:t> </w:t>
      </w:r>
      <w:r>
        <w:rPr>
          <w:color w:val="231F20"/>
        </w:rPr>
        <w:t>the</w:t>
      </w:r>
      <w:r>
        <w:rPr>
          <w:color w:val="231F20"/>
          <w:spacing w:val="-5"/>
        </w:rPr>
        <w:t> </w:t>
      </w:r>
      <w:r>
        <w:rPr>
          <w:color w:val="231F20"/>
        </w:rPr>
        <w:t>provider</w:t>
      </w:r>
      <w:r>
        <w:rPr>
          <w:color w:val="231F20"/>
          <w:spacing w:val="-5"/>
        </w:rPr>
        <w:t> </w:t>
      </w:r>
      <w:r>
        <w:rPr>
          <w:color w:val="231F20"/>
          <w:spacing w:val="-1"/>
        </w:rPr>
        <w:t>may</w:t>
      </w:r>
      <w:r>
        <w:rPr>
          <w:color w:val="231F20"/>
          <w:spacing w:val="-4"/>
        </w:rPr>
        <w:t> </w:t>
      </w:r>
      <w:r>
        <w:rPr>
          <w:color w:val="231F20"/>
        </w:rPr>
        <w:t>not</w:t>
      </w:r>
      <w:r>
        <w:rPr>
          <w:color w:val="231F20"/>
          <w:spacing w:val="-5"/>
        </w:rPr>
        <w:t> </w:t>
      </w:r>
      <w:r>
        <w:rPr>
          <w:color w:val="231F20"/>
        </w:rPr>
        <w:t>be</w:t>
      </w:r>
      <w:r>
        <w:rPr>
          <w:color w:val="231F20"/>
          <w:spacing w:val="-4"/>
        </w:rPr>
        <w:t> </w:t>
      </w:r>
      <w:r>
        <w:rPr>
          <w:color w:val="231F20"/>
        </w:rPr>
        <w:t>able</w:t>
      </w:r>
      <w:r>
        <w:rPr>
          <w:color w:val="231F20"/>
          <w:spacing w:val="-5"/>
        </w:rPr>
        <w:t> </w:t>
      </w:r>
      <w:r>
        <w:rPr>
          <w:color w:val="231F20"/>
        </w:rPr>
        <w:t>to</w:t>
      </w:r>
      <w:r>
        <w:rPr>
          <w:color w:val="231F20"/>
          <w:spacing w:val="-5"/>
        </w:rPr>
        <w:t> </w:t>
      </w:r>
      <w:r>
        <w:rPr>
          <w:color w:val="231F20"/>
        </w:rPr>
        <w:t>provide</w:t>
      </w:r>
      <w:r>
        <w:rPr>
          <w:color w:val="231F20"/>
          <w:spacing w:val="21"/>
          <w:w w:val="99"/>
        </w:rPr>
        <w:t> </w:t>
      </w:r>
      <w:r>
        <w:rPr>
          <w:color w:val="231F20"/>
        </w:rPr>
        <w:t>the</w:t>
      </w:r>
      <w:r>
        <w:rPr>
          <w:color w:val="231F20"/>
          <w:spacing w:val="-4"/>
        </w:rPr>
        <w:t> </w:t>
      </w:r>
      <w:r>
        <w:rPr>
          <w:color w:val="231F20"/>
          <w:spacing w:val="-1"/>
        </w:rPr>
        <w:t>same</w:t>
      </w:r>
      <w:r>
        <w:rPr>
          <w:color w:val="231F20"/>
          <w:spacing w:val="-2"/>
        </w:rPr>
        <w:t> </w:t>
      </w:r>
      <w:r>
        <w:rPr>
          <w:color w:val="231F20"/>
          <w:spacing w:val="-1"/>
        </w:rPr>
        <w:t>level</w:t>
      </w:r>
      <w:r>
        <w:rPr>
          <w:color w:val="231F20"/>
          <w:spacing w:val="-2"/>
        </w:rPr>
        <w:t> </w:t>
      </w:r>
      <w:r>
        <w:rPr>
          <w:color w:val="231F20"/>
        </w:rPr>
        <w:t>of</w:t>
      </w:r>
      <w:r>
        <w:rPr>
          <w:color w:val="231F20"/>
          <w:spacing w:val="-3"/>
        </w:rPr>
        <w:t> </w:t>
      </w:r>
      <w:r>
        <w:rPr>
          <w:color w:val="231F20"/>
          <w:spacing w:val="-1"/>
        </w:rPr>
        <w:t>services</w:t>
      </w:r>
      <w:r>
        <w:rPr>
          <w:color w:val="231F20"/>
          <w:spacing w:val="-2"/>
        </w:rPr>
        <w:t> </w:t>
      </w:r>
      <w:r>
        <w:rPr>
          <w:color w:val="231F20"/>
        </w:rPr>
        <w:t>as</w:t>
      </w:r>
      <w:r>
        <w:rPr>
          <w:color w:val="231F20"/>
          <w:spacing w:val="-3"/>
        </w:rPr>
        <w:t> </w:t>
      </w:r>
      <w:r>
        <w:rPr>
          <w:color w:val="231F20"/>
        </w:rPr>
        <w:t>a</w:t>
      </w:r>
      <w:r>
        <w:rPr>
          <w:color w:val="231F20"/>
          <w:spacing w:val="-2"/>
        </w:rPr>
        <w:t> </w:t>
      </w:r>
      <w:r>
        <w:rPr>
          <w:color w:val="231F20"/>
          <w:spacing w:val="-1"/>
        </w:rPr>
        <w:t>large</w:t>
      </w:r>
      <w:r>
        <w:rPr>
          <w:color w:val="231F20"/>
          <w:spacing w:val="-3"/>
        </w:rPr>
        <w:t> </w:t>
      </w:r>
      <w:r>
        <w:rPr>
          <w:color w:val="231F20"/>
        </w:rPr>
        <w:t>boarding</w:t>
      </w:r>
      <w:r>
        <w:rPr>
          <w:color w:val="231F20"/>
          <w:spacing w:val="25"/>
          <w:w w:val="99"/>
        </w:rPr>
        <w:t> </w:t>
      </w:r>
      <w:r>
        <w:rPr>
          <w:color w:val="231F20"/>
        </w:rPr>
        <w:t>provider,</w:t>
      </w:r>
      <w:r>
        <w:rPr>
          <w:color w:val="231F20"/>
          <w:spacing w:val="-5"/>
        </w:rPr>
        <w:t> </w:t>
      </w:r>
      <w:r>
        <w:rPr>
          <w:color w:val="231F20"/>
          <w:spacing w:val="-1"/>
        </w:rPr>
        <w:t>it</w:t>
      </w:r>
      <w:r>
        <w:rPr>
          <w:color w:val="231F20"/>
          <w:spacing w:val="-3"/>
        </w:rPr>
        <w:t> </w:t>
      </w:r>
      <w:r>
        <w:rPr>
          <w:color w:val="231F20"/>
        </w:rPr>
        <w:t>has</w:t>
      </w:r>
      <w:r>
        <w:rPr>
          <w:color w:val="231F20"/>
          <w:spacing w:val="-5"/>
        </w:rPr>
        <w:t> </w:t>
      </w:r>
      <w:r>
        <w:rPr>
          <w:color w:val="231F20"/>
        </w:rPr>
        <w:t>been</w:t>
      </w:r>
      <w:r>
        <w:rPr>
          <w:color w:val="231F20"/>
          <w:spacing w:val="-4"/>
        </w:rPr>
        <w:t> </w:t>
      </w:r>
      <w:r>
        <w:rPr>
          <w:color w:val="231F20"/>
        </w:rPr>
        <w:t>able</w:t>
      </w:r>
      <w:r>
        <w:rPr>
          <w:color w:val="231F20"/>
          <w:spacing w:val="-5"/>
        </w:rPr>
        <w:t> </w:t>
      </w:r>
      <w:r>
        <w:rPr>
          <w:color w:val="231F20"/>
        </w:rPr>
        <w:t>to</w:t>
      </w:r>
      <w:r>
        <w:rPr>
          <w:color w:val="231F20"/>
          <w:spacing w:val="-3"/>
        </w:rPr>
        <w:t> </w:t>
      </w:r>
      <w:r>
        <w:rPr>
          <w:color w:val="231F20"/>
        </w:rPr>
        <w:t>achieve</w:t>
      </w:r>
      <w:r>
        <w:rPr>
          <w:color w:val="231F20"/>
          <w:spacing w:val="-5"/>
        </w:rPr>
        <w:t> </w:t>
      </w:r>
      <w:r>
        <w:rPr>
          <w:color w:val="231F20"/>
          <w:spacing w:val="-1"/>
        </w:rPr>
        <w:t>small</w:t>
      </w:r>
      <w:r>
        <w:rPr>
          <w:color w:val="231F20"/>
          <w:spacing w:val="21"/>
        </w:rPr>
        <w:t> </w:t>
      </w:r>
      <w:r>
        <w:rPr>
          <w:color w:val="231F20"/>
          <w:spacing w:val="-1"/>
        </w:rPr>
        <w:t>surpluses</w:t>
      </w:r>
      <w:r>
        <w:rPr>
          <w:color w:val="231F20"/>
          <w:spacing w:val="-4"/>
        </w:rPr>
        <w:t> </w:t>
      </w:r>
      <w:r>
        <w:rPr>
          <w:color w:val="231F20"/>
          <w:spacing w:val="-1"/>
        </w:rPr>
        <w:t>in</w:t>
      </w:r>
      <w:r>
        <w:rPr>
          <w:color w:val="231F20"/>
          <w:spacing w:val="-4"/>
        </w:rPr>
        <w:t> </w:t>
      </w:r>
      <w:r>
        <w:rPr>
          <w:color w:val="231F20"/>
        </w:rPr>
        <w:t>each</w:t>
      </w:r>
      <w:r>
        <w:rPr>
          <w:color w:val="231F20"/>
          <w:spacing w:val="-3"/>
        </w:rPr>
        <w:t> </w:t>
      </w:r>
      <w:r>
        <w:rPr>
          <w:color w:val="231F20"/>
        </w:rPr>
        <w:t>year</w:t>
      </w:r>
      <w:r>
        <w:rPr>
          <w:color w:val="231F20"/>
          <w:spacing w:val="-4"/>
        </w:rPr>
        <w:t> </w:t>
      </w:r>
      <w:r>
        <w:rPr>
          <w:color w:val="231F20"/>
        </w:rPr>
        <w:t>of</w:t>
      </w:r>
      <w:r>
        <w:rPr>
          <w:color w:val="231F20"/>
          <w:spacing w:val="-3"/>
        </w:rPr>
        <w:t> </w:t>
      </w:r>
      <w:r>
        <w:rPr>
          <w:color w:val="231F20"/>
          <w:spacing w:val="-1"/>
        </w:rPr>
        <w:t>its</w:t>
      </w:r>
      <w:r>
        <w:rPr>
          <w:color w:val="231F20"/>
          <w:spacing w:val="-4"/>
        </w:rPr>
        <w:t> </w:t>
      </w:r>
      <w:r>
        <w:rPr>
          <w:color w:val="231F20"/>
        </w:rPr>
        <w:t>operations</w:t>
      </w:r>
      <w:r>
        <w:rPr>
          <w:color w:val="231F20"/>
          <w:spacing w:val="-4"/>
        </w:rPr>
        <w:t> </w:t>
      </w:r>
      <w:r>
        <w:rPr>
          <w:color w:val="231F20"/>
        </w:rPr>
        <w:t>across</w:t>
      </w:r>
      <w:r>
        <w:rPr>
          <w:color w:val="231F20"/>
          <w:spacing w:val="24"/>
          <w:w w:val="99"/>
        </w:rPr>
        <w:t> </w:t>
      </w:r>
      <w:r>
        <w:rPr>
          <w:color w:val="231F20"/>
        </w:rPr>
        <w:t>combined</w:t>
      </w:r>
      <w:r>
        <w:rPr>
          <w:color w:val="231F20"/>
          <w:spacing w:val="-10"/>
        </w:rPr>
        <w:t> </w:t>
      </w:r>
      <w:r>
        <w:rPr>
          <w:color w:val="231F20"/>
        </w:rPr>
        <w:t>tuition</w:t>
      </w:r>
      <w:r>
        <w:rPr>
          <w:color w:val="231F20"/>
          <w:spacing w:val="-10"/>
        </w:rPr>
        <w:t> </w:t>
      </w:r>
      <w:r>
        <w:rPr>
          <w:color w:val="231F20"/>
        </w:rPr>
        <w:t>and</w:t>
      </w:r>
      <w:r>
        <w:rPr>
          <w:color w:val="231F20"/>
          <w:spacing w:val="-10"/>
        </w:rPr>
        <w:t> </w:t>
      </w:r>
      <w:r>
        <w:rPr>
          <w:color w:val="231F20"/>
        </w:rPr>
        <w:t>boarding.</w:t>
      </w:r>
      <w:r>
        <w:rPr/>
      </w:r>
    </w:p>
    <w:p>
      <w:pPr>
        <w:spacing w:after="0" w:line="250" w:lineRule="exact"/>
        <w:jc w:val="left"/>
        <w:sectPr>
          <w:type w:val="continuous"/>
          <w:pgSz w:w="11910" w:h="16840"/>
          <w:pgMar w:top="1580" w:bottom="280" w:left="1600" w:right="0"/>
          <w:cols w:num="2" w:equalWidth="0">
            <w:col w:w="4280" w:space="255"/>
            <w:col w:w="5775"/>
          </w:cols>
        </w:sectPr>
      </w:pPr>
    </w:p>
    <w:p>
      <w:pPr>
        <w:spacing w:line="240" w:lineRule="auto" w:before="0"/>
        <w:rPr>
          <w:rFonts w:ascii="Segoe UI" w:hAnsi="Segoe UI" w:cs="Segoe UI" w:eastAsia="Segoe UI"/>
          <w:sz w:val="20"/>
          <w:szCs w:val="20"/>
        </w:rPr>
      </w:pPr>
    </w:p>
    <w:p>
      <w:pPr>
        <w:spacing w:line="240" w:lineRule="auto" w:before="8"/>
        <w:rPr>
          <w:rFonts w:ascii="Segoe UI" w:hAnsi="Segoe UI" w:cs="Segoe UI" w:eastAsia="Segoe UI"/>
          <w:sz w:val="21"/>
          <w:szCs w:val="21"/>
        </w:rPr>
      </w:pPr>
    </w:p>
    <w:p>
      <w:pPr>
        <w:spacing w:after="0" w:line="240" w:lineRule="auto"/>
        <w:rPr>
          <w:rFonts w:ascii="Segoe UI" w:hAnsi="Segoe UI" w:cs="Segoe UI" w:eastAsia="Segoe UI"/>
          <w:sz w:val="21"/>
          <w:szCs w:val="21"/>
        </w:rPr>
        <w:sectPr>
          <w:pgSz w:w="11910" w:h="16840"/>
          <w:pgMar w:header="0" w:footer="691" w:top="1580" w:bottom="880" w:left="1300" w:right="1620"/>
        </w:sectPr>
      </w:pPr>
    </w:p>
    <w:p>
      <w:pPr>
        <w:pStyle w:val="BodyText"/>
        <w:spacing w:line="250" w:lineRule="exact" w:before="62"/>
        <w:ind w:right="15"/>
        <w:jc w:val="left"/>
      </w:pPr>
      <w:r>
        <w:rPr>
          <w:color w:val="231F20"/>
        </w:rPr>
        <w:t>The</w:t>
      </w:r>
      <w:r>
        <w:rPr>
          <w:color w:val="231F20"/>
          <w:spacing w:val="-3"/>
        </w:rPr>
        <w:t> </w:t>
      </w:r>
      <w:r>
        <w:rPr>
          <w:color w:val="231F20"/>
        </w:rPr>
        <w:t>economies</w:t>
      </w:r>
      <w:r>
        <w:rPr>
          <w:color w:val="231F20"/>
          <w:spacing w:val="-3"/>
        </w:rPr>
        <w:t> </w:t>
      </w:r>
      <w:r>
        <w:rPr>
          <w:color w:val="231F20"/>
        </w:rPr>
        <w:t>of</w:t>
      </w:r>
      <w:r>
        <w:rPr>
          <w:color w:val="231F20"/>
          <w:spacing w:val="-3"/>
        </w:rPr>
        <w:t> </w:t>
      </w:r>
      <w:r>
        <w:rPr>
          <w:color w:val="231F20"/>
          <w:spacing w:val="-1"/>
        </w:rPr>
        <w:t>scale</w:t>
      </w:r>
      <w:r>
        <w:rPr>
          <w:color w:val="231F20"/>
          <w:spacing w:val="-2"/>
        </w:rPr>
        <w:t> </w:t>
      </w:r>
      <w:r>
        <w:rPr>
          <w:color w:val="231F20"/>
          <w:spacing w:val="-1"/>
        </w:rPr>
        <w:t>lacked</w:t>
      </w:r>
      <w:r>
        <w:rPr>
          <w:color w:val="231F20"/>
          <w:spacing w:val="-3"/>
        </w:rPr>
        <w:t> </w:t>
      </w:r>
      <w:r>
        <w:rPr>
          <w:color w:val="231F20"/>
        </w:rPr>
        <w:t>by</w:t>
      </w:r>
      <w:r>
        <w:rPr>
          <w:color w:val="231F20"/>
          <w:spacing w:val="-2"/>
        </w:rPr>
        <w:t> </w:t>
      </w:r>
      <w:r>
        <w:rPr>
          <w:color w:val="231F20"/>
        </w:rPr>
        <w:t>the</w:t>
      </w:r>
      <w:r>
        <w:rPr>
          <w:color w:val="231F20"/>
          <w:spacing w:val="-3"/>
        </w:rPr>
        <w:t> </w:t>
      </w:r>
      <w:r>
        <w:rPr>
          <w:color w:val="231F20"/>
        </w:rPr>
        <w:t>very</w:t>
      </w:r>
      <w:r>
        <w:rPr>
          <w:color w:val="231F20"/>
          <w:spacing w:val="-3"/>
        </w:rPr>
        <w:t> </w:t>
      </w:r>
      <w:r>
        <w:rPr>
          <w:color w:val="231F20"/>
          <w:spacing w:val="-1"/>
        </w:rPr>
        <w:t>small</w:t>
      </w:r>
      <w:r>
        <w:rPr>
          <w:color w:val="231F20"/>
          <w:spacing w:val="22"/>
        </w:rPr>
        <w:t> </w:t>
      </w:r>
      <w:r>
        <w:rPr>
          <w:color w:val="231F20"/>
        </w:rPr>
        <w:t>and</w:t>
      </w:r>
      <w:r>
        <w:rPr>
          <w:color w:val="231F20"/>
          <w:spacing w:val="-6"/>
        </w:rPr>
        <w:t> </w:t>
      </w:r>
      <w:r>
        <w:rPr>
          <w:color w:val="231F20"/>
          <w:spacing w:val="-1"/>
        </w:rPr>
        <w:t>small</w:t>
      </w:r>
      <w:r>
        <w:rPr>
          <w:color w:val="231F20"/>
          <w:spacing w:val="-4"/>
        </w:rPr>
        <w:t> </w:t>
      </w:r>
      <w:r>
        <w:rPr>
          <w:color w:val="231F20"/>
        </w:rPr>
        <w:t>Aboriginal</w:t>
      </w:r>
      <w:r>
        <w:rPr>
          <w:color w:val="231F20"/>
          <w:spacing w:val="-4"/>
        </w:rPr>
        <w:t> </w:t>
      </w:r>
      <w:r>
        <w:rPr>
          <w:color w:val="231F20"/>
        </w:rPr>
        <w:t>and</w:t>
      </w:r>
      <w:r>
        <w:rPr>
          <w:color w:val="231F20"/>
          <w:spacing w:val="-6"/>
        </w:rPr>
        <w:t> </w:t>
      </w:r>
      <w:r>
        <w:rPr>
          <w:color w:val="231F20"/>
          <w:spacing w:val="-5"/>
        </w:rPr>
        <w:t>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20"/>
          <w:w w:val="99"/>
        </w:rPr>
        <w:t> </w:t>
      </w:r>
      <w:r>
        <w:rPr>
          <w:color w:val="231F20"/>
        </w:rPr>
        <w:t>boarding</w:t>
      </w:r>
      <w:r>
        <w:rPr>
          <w:color w:val="231F20"/>
          <w:spacing w:val="-9"/>
        </w:rPr>
        <w:t> </w:t>
      </w:r>
      <w:r>
        <w:rPr>
          <w:color w:val="231F20"/>
        </w:rPr>
        <w:t>provides</w:t>
      </w:r>
      <w:r>
        <w:rPr>
          <w:color w:val="231F20"/>
          <w:spacing w:val="-9"/>
        </w:rPr>
        <w:t> </w:t>
      </w:r>
      <w:r>
        <w:rPr>
          <w:color w:val="231F20"/>
          <w:spacing w:val="-1"/>
        </w:rPr>
        <w:t>support</w:t>
      </w:r>
      <w:r>
        <w:rPr>
          <w:color w:val="231F20"/>
          <w:spacing w:val="-8"/>
        </w:rPr>
        <w:t> </w:t>
      </w:r>
      <w:r>
        <w:rPr>
          <w:color w:val="231F20"/>
        </w:rPr>
        <w:t>for</w:t>
      </w:r>
      <w:r>
        <w:rPr>
          <w:color w:val="231F20"/>
          <w:spacing w:val="-8"/>
        </w:rPr>
        <w:t> </w:t>
      </w:r>
      <w:r>
        <w:rPr>
          <w:color w:val="231F20"/>
        </w:rPr>
        <w:t>consideration</w:t>
      </w:r>
      <w:r>
        <w:rPr>
          <w:color w:val="231F20"/>
          <w:spacing w:val="-8"/>
        </w:rPr>
        <w:t> </w:t>
      </w:r>
      <w:r>
        <w:rPr>
          <w:color w:val="231F20"/>
        </w:rPr>
        <w:t>of</w:t>
      </w:r>
      <w:r>
        <w:rPr>
          <w:color w:val="231F20"/>
          <w:spacing w:val="22"/>
          <w:w w:val="99"/>
        </w:rPr>
        <w:t> </w:t>
      </w:r>
      <w:r>
        <w:rPr>
          <w:color w:val="231F20"/>
        </w:rPr>
        <w:t>a</w:t>
      </w:r>
      <w:r>
        <w:rPr>
          <w:color w:val="231F20"/>
          <w:spacing w:val="-7"/>
        </w:rPr>
        <w:t> </w:t>
      </w:r>
      <w:r>
        <w:rPr>
          <w:color w:val="231F20"/>
        </w:rPr>
        <w:t>funding</w:t>
      </w:r>
      <w:r>
        <w:rPr>
          <w:color w:val="231F20"/>
          <w:spacing w:val="-6"/>
        </w:rPr>
        <w:t> </w:t>
      </w:r>
      <w:r>
        <w:rPr>
          <w:color w:val="231F20"/>
          <w:spacing w:val="-1"/>
        </w:rPr>
        <w:t>loading</w:t>
      </w:r>
      <w:r>
        <w:rPr>
          <w:color w:val="231F20"/>
          <w:spacing w:val="-6"/>
        </w:rPr>
        <w:t> </w:t>
      </w:r>
      <w:r>
        <w:rPr>
          <w:color w:val="231F20"/>
        </w:rPr>
        <w:t>based</w:t>
      </w:r>
      <w:r>
        <w:rPr>
          <w:color w:val="231F20"/>
          <w:spacing w:val="-7"/>
        </w:rPr>
        <w:t> </w:t>
      </w:r>
      <w:r>
        <w:rPr>
          <w:color w:val="231F20"/>
        </w:rPr>
        <w:t>on</w:t>
      </w:r>
      <w:r>
        <w:rPr>
          <w:color w:val="231F20"/>
          <w:spacing w:val="-6"/>
        </w:rPr>
        <w:t> </w:t>
      </w:r>
      <w:r>
        <w:rPr>
          <w:color w:val="231F20"/>
        </w:rPr>
        <w:t>total</w:t>
      </w:r>
      <w:r>
        <w:rPr>
          <w:color w:val="231F20"/>
          <w:spacing w:val="-7"/>
        </w:rPr>
        <w:t> </w:t>
      </w:r>
      <w:r>
        <w:rPr>
          <w:color w:val="231F20"/>
        </w:rPr>
        <w:t>enrolments.</w:t>
      </w:r>
      <w:r>
        <w:rPr/>
      </w:r>
    </w:p>
    <w:p>
      <w:pPr>
        <w:pStyle w:val="BodyText"/>
        <w:spacing w:line="250" w:lineRule="exact"/>
        <w:ind w:right="110"/>
        <w:jc w:val="left"/>
      </w:pPr>
      <w:r>
        <w:rPr>
          <w:color w:val="231F20"/>
        </w:rPr>
        <w:t>As</w:t>
      </w:r>
      <w:r>
        <w:rPr>
          <w:color w:val="231F20"/>
          <w:spacing w:val="-3"/>
        </w:rPr>
        <w:t> </w:t>
      </w:r>
      <w:r>
        <w:rPr>
          <w:color w:val="231F20"/>
          <w:spacing w:val="-1"/>
        </w:rPr>
        <w:t>set </w:t>
      </w:r>
      <w:r>
        <w:rPr>
          <w:color w:val="231F20"/>
        </w:rPr>
        <w:t>out</w:t>
      </w:r>
      <w:r>
        <w:rPr>
          <w:color w:val="231F20"/>
          <w:spacing w:val="-2"/>
        </w:rPr>
        <w:t> </w:t>
      </w:r>
      <w:r>
        <w:rPr>
          <w:color w:val="231F20"/>
          <w:spacing w:val="-1"/>
        </w:rPr>
        <w:t>in </w:t>
      </w:r>
      <w:r>
        <w:rPr>
          <w:color w:val="231F20"/>
        </w:rPr>
        <w:t>the</w:t>
      </w:r>
      <w:r>
        <w:rPr>
          <w:color w:val="231F20"/>
          <w:spacing w:val="-3"/>
        </w:rPr>
        <w:t> </w:t>
      </w:r>
      <w:r>
        <w:rPr>
          <w:rFonts w:ascii="Segoe UI" w:hAnsi="Segoe UI" w:cs="Segoe UI" w:eastAsia="Segoe UI"/>
          <w:i/>
          <w:color w:val="231F20"/>
          <w:spacing w:val="-1"/>
        </w:rPr>
        <w:t>Australian </w:t>
      </w:r>
      <w:r>
        <w:rPr>
          <w:rFonts w:ascii="Segoe UI" w:hAnsi="Segoe UI" w:cs="Segoe UI" w:eastAsia="Segoe UI"/>
          <w:i/>
          <w:color w:val="231F20"/>
        </w:rPr>
        <w:t>Education</w:t>
      </w:r>
      <w:r>
        <w:rPr>
          <w:rFonts w:ascii="Segoe UI" w:hAnsi="Segoe UI" w:cs="Segoe UI" w:eastAsia="Segoe UI"/>
          <w:i/>
          <w:color w:val="231F20"/>
          <w:spacing w:val="-2"/>
        </w:rPr>
        <w:t> </w:t>
      </w:r>
      <w:r>
        <w:rPr>
          <w:rFonts w:ascii="Segoe UI" w:hAnsi="Segoe UI" w:cs="Segoe UI" w:eastAsia="Segoe UI"/>
          <w:i/>
          <w:color w:val="231F20"/>
        </w:rPr>
        <w:t>Act</w:t>
      </w:r>
      <w:r>
        <w:rPr>
          <w:rFonts w:ascii="Segoe UI" w:hAnsi="Segoe UI" w:cs="Segoe UI" w:eastAsia="Segoe UI"/>
          <w:i/>
          <w:color w:val="231F20"/>
          <w:spacing w:val="21"/>
        </w:rPr>
        <w:t> </w:t>
      </w:r>
      <w:r>
        <w:rPr>
          <w:rFonts w:ascii="Segoe UI" w:hAnsi="Segoe UI" w:cs="Segoe UI" w:eastAsia="Segoe UI"/>
          <w:i/>
          <w:color w:val="231F20"/>
        </w:rPr>
        <w:t>2013</w:t>
      </w:r>
      <w:r>
        <w:rPr>
          <w:color w:val="231F20"/>
        </w:rPr>
        <w:t>,</w:t>
      </w:r>
      <w:r>
        <w:rPr>
          <w:color w:val="231F20"/>
          <w:spacing w:val="-2"/>
        </w:rPr>
        <w:t> </w:t>
      </w:r>
      <w:r>
        <w:rPr>
          <w:color w:val="231F20"/>
        </w:rPr>
        <w:t>the</w:t>
      </w:r>
      <w:r>
        <w:rPr>
          <w:color w:val="231F20"/>
          <w:spacing w:val="-3"/>
        </w:rPr>
        <w:t> </w:t>
      </w:r>
      <w:r>
        <w:rPr>
          <w:color w:val="231F20"/>
          <w:spacing w:val="-1"/>
        </w:rPr>
        <w:t>SRS</w:t>
      </w:r>
      <w:r>
        <w:rPr>
          <w:color w:val="231F20"/>
          <w:spacing w:val="-2"/>
        </w:rPr>
        <w:t> </w:t>
      </w:r>
      <w:r>
        <w:rPr>
          <w:color w:val="231F20"/>
          <w:spacing w:val="-1"/>
        </w:rPr>
        <w:t>is</w:t>
      </w:r>
      <w:r>
        <w:rPr>
          <w:color w:val="231F20"/>
          <w:spacing w:val="-3"/>
        </w:rPr>
        <w:t> </w:t>
      </w:r>
      <w:r>
        <w:rPr>
          <w:color w:val="231F20"/>
          <w:spacing w:val="-1"/>
        </w:rPr>
        <w:t>made </w:t>
      </w:r>
      <w:r>
        <w:rPr>
          <w:color w:val="231F20"/>
        </w:rPr>
        <w:t>up</w:t>
      </w:r>
      <w:r>
        <w:rPr>
          <w:color w:val="231F20"/>
          <w:spacing w:val="-2"/>
        </w:rPr>
        <w:t> </w:t>
      </w:r>
      <w:r>
        <w:rPr>
          <w:color w:val="231F20"/>
        </w:rPr>
        <w:t>of</w:t>
      </w:r>
      <w:r>
        <w:rPr>
          <w:color w:val="231F20"/>
          <w:spacing w:val="-2"/>
        </w:rPr>
        <w:t> </w:t>
      </w:r>
      <w:r>
        <w:rPr>
          <w:color w:val="231F20"/>
        </w:rPr>
        <w:t>amendments</w:t>
      </w:r>
      <w:r>
        <w:rPr>
          <w:color w:val="231F20"/>
          <w:spacing w:val="-3"/>
        </w:rPr>
        <w:t> </w:t>
      </w:r>
      <w:r>
        <w:rPr>
          <w:color w:val="231F20"/>
        </w:rPr>
        <w:t>to</w:t>
      </w:r>
      <w:r>
        <w:rPr>
          <w:color w:val="231F20"/>
          <w:spacing w:val="24"/>
          <w:w w:val="99"/>
        </w:rPr>
        <w:t> </w:t>
      </w:r>
      <w:r>
        <w:rPr>
          <w:color w:val="231F20"/>
        </w:rPr>
        <w:t>the</w:t>
      </w:r>
      <w:r>
        <w:rPr>
          <w:color w:val="231F20"/>
          <w:spacing w:val="-4"/>
        </w:rPr>
        <w:t> </w:t>
      </w:r>
      <w:r>
        <w:rPr>
          <w:rFonts w:ascii="Segoe UI" w:hAnsi="Segoe UI" w:cs="Segoe UI" w:eastAsia="Segoe UI"/>
          <w:i/>
          <w:color w:val="231F20"/>
          <w:spacing w:val="-1"/>
        </w:rPr>
        <w:t>Australian</w:t>
      </w:r>
      <w:r>
        <w:rPr>
          <w:rFonts w:ascii="Segoe UI" w:hAnsi="Segoe UI" w:cs="Segoe UI" w:eastAsia="Segoe UI"/>
          <w:i/>
          <w:color w:val="231F20"/>
          <w:spacing w:val="-2"/>
        </w:rPr>
        <w:t> </w:t>
      </w:r>
      <w:r>
        <w:rPr>
          <w:rFonts w:ascii="Segoe UI" w:hAnsi="Segoe UI" w:cs="Segoe UI" w:eastAsia="Segoe UI"/>
          <w:i/>
          <w:color w:val="231F20"/>
        </w:rPr>
        <w:t>Education</w:t>
      </w:r>
      <w:r>
        <w:rPr>
          <w:rFonts w:ascii="Segoe UI" w:hAnsi="Segoe UI" w:cs="Segoe UI" w:eastAsia="Segoe UI"/>
          <w:i/>
          <w:color w:val="231F20"/>
          <w:spacing w:val="-2"/>
        </w:rPr>
        <w:t> </w:t>
      </w:r>
      <w:r>
        <w:rPr>
          <w:rFonts w:ascii="Segoe UI" w:hAnsi="Segoe UI" w:cs="Segoe UI" w:eastAsia="Segoe UI"/>
          <w:i/>
          <w:color w:val="231F20"/>
        </w:rPr>
        <w:t>Act</w:t>
      </w:r>
      <w:r>
        <w:rPr>
          <w:rFonts w:ascii="Segoe UI" w:hAnsi="Segoe UI" w:cs="Segoe UI" w:eastAsia="Segoe UI"/>
          <w:i/>
          <w:color w:val="231F20"/>
          <w:spacing w:val="-3"/>
        </w:rPr>
        <w:t> </w:t>
      </w:r>
      <w:r>
        <w:rPr>
          <w:rFonts w:ascii="Segoe UI" w:hAnsi="Segoe UI" w:cs="Segoe UI" w:eastAsia="Segoe UI"/>
          <w:i/>
          <w:color w:val="231F20"/>
        </w:rPr>
        <w:t>2013</w:t>
      </w:r>
      <w:r>
        <w:rPr>
          <w:rFonts w:ascii="Segoe UI" w:hAnsi="Segoe UI" w:cs="Segoe UI" w:eastAsia="Segoe UI"/>
          <w:i/>
          <w:color w:val="231F20"/>
          <w:spacing w:val="-3"/>
        </w:rPr>
        <w:t> </w:t>
      </w:r>
      <w:r>
        <w:rPr>
          <w:color w:val="231F20"/>
          <w:spacing w:val="-1"/>
        </w:rPr>
        <w:t>is</w:t>
      </w:r>
      <w:r>
        <w:rPr>
          <w:color w:val="231F20"/>
          <w:spacing w:val="-3"/>
        </w:rPr>
        <w:t> </w:t>
      </w:r>
      <w:r>
        <w:rPr>
          <w:color w:val="231F20"/>
          <w:spacing w:val="-1"/>
        </w:rPr>
        <w:t>made</w:t>
      </w:r>
      <w:r>
        <w:rPr>
          <w:color w:val="231F20"/>
          <w:spacing w:val="-2"/>
        </w:rPr>
        <w:t> </w:t>
      </w:r>
      <w:r>
        <w:rPr>
          <w:color w:val="231F20"/>
        </w:rPr>
        <w:t>up</w:t>
      </w:r>
      <w:r>
        <w:rPr>
          <w:color w:val="231F20"/>
          <w:spacing w:val="21"/>
          <w:w w:val="99"/>
        </w:rPr>
        <w:t> </w:t>
      </w:r>
      <w:r>
        <w:rPr>
          <w:color w:val="231F20"/>
        </w:rPr>
        <w:t>of</w:t>
      </w:r>
      <w:r>
        <w:rPr>
          <w:color w:val="231F20"/>
          <w:spacing w:val="-5"/>
        </w:rPr>
        <w:t> </w:t>
      </w:r>
      <w:r>
        <w:rPr>
          <w:color w:val="231F20"/>
        </w:rPr>
        <w:t>a</w:t>
      </w:r>
      <w:r>
        <w:rPr>
          <w:color w:val="231F20"/>
          <w:spacing w:val="-5"/>
        </w:rPr>
        <w:t> </w:t>
      </w:r>
      <w:r>
        <w:rPr>
          <w:color w:val="231F20"/>
        </w:rPr>
        <w:t>base</w:t>
      </w:r>
      <w:r>
        <w:rPr>
          <w:color w:val="231F20"/>
          <w:spacing w:val="-5"/>
        </w:rPr>
        <w:t> </w:t>
      </w:r>
      <w:r>
        <w:rPr>
          <w:color w:val="231F20"/>
        </w:rPr>
        <w:t>amount</w:t>
      </w:r>
      <w:r>
        <w:rPr>
          <w:color w:val="231F20"/>
          <w:spacing w:val="-6"/>
        </w:rPr>
        <w:t> </w:t>
      </w:r>
      <w:r>
        <w:rPr>
          <w:color w:val="231F20"/>
        </w:rPr>
        <w:t>for</w:t>
      </w:r>
      <w:r>
        <w:rPr>
          <w:color w:val="231F20"/>
          <w:spacing w:val="-4"/>
        </w:rPr>
        <w:t> </w:t>
      </w:r>
      <w:r>
        <w:rPr>
          <w:color w:val="231F20"/>
        </w:rPr>
        <w:t>every</w:t>
      </w:r>
      <w:r>
        <w:rPr>
          <w:color w:val="231F20"/>
          <w:spacing w:val="-5"/>
        </w:rPr>
        <w:t> </w:t>
      </w:r>
      <w:r>
        <w:rPr>
          <w:color w:val="231F20"/>
          <w:spacing w:val="-1"/>
        </w:rPr>
        <w:t>student,</w:t>
      </w:r>
      <w:r>
        <w:rPr>
          <w:color w:val="231F20"/>
          <w:spacing w:val="-4"/>
        </w:rPr>
        <w:t> </w:t>
      </w:r>
      <w:r>
        <w:rPr>
          <w:color w:val="231F20"/>
        </w:rPr>
        <w:t>along</w:t>
      </w:r>
      <w:r>
        <w:rPr>
          <w:color w:val="231F20"/>
          <w:spacing w:val="-5"/>
        </w:rPr>
        <w:t> </w:t>
      </w:r>
      <w:r>
        <w:rPr>
          <w:color w:val="231F20"/>
          <w:spacing w:val="-5"/>
        </w:rPr>
      </w:r>
      <w:r>
        <w:rPr>
          <w:color w:val="231F20"/>
        </w:rPr>
        <w:t>with</w:t>
      </w:r>
      <w:r>
        <w:rPr>
          <w:color w:val="231F20"/>
          <w:spacing w:val="21"/>
        </w:rPr>
        <w:t> </w:t>
      </w:r>
      <w:r>
        <w:rPr>
          <w:color w:val="231F20"/>
          <w:spacing w:val="-1"/>
        </w:rPr>
        <w:t>six</w:t>
      </w:r>
      <w:r>
        <w:rPr>
          <w:color w:val="231F20"/>
          <w:spacing w:val="-4"/>
        </w:rPr>
        <w:t> </w:t>
      </w:r>
      <w:r>
        <w:rPr>
          <w:color w:val="231F20"/>
          <w:spacing w:val="-1"/>
        </w:rPr>
        <w:t>loadings</w:t>
      </w:r>
      <w:r>
        <w:rPr>
          <w:color w:val="231F20"/>
          <w:spacing w:val="-4"/>
        </w:rPr>
        <w:t> </w:t>
      </w:r>
      <w:r>
        <w:rPr>
          <w:color w:val="231F20"/>
        </w:rPr>
        <w:t>to</w:t>
      </w:r>
      <w:r>
        <w:rPr>
          <w:color w:val="231F20"/>
          <w:spacing w:val="-4"/>
        </w:rPr>
        <w:t> </w:t>
      </w:r>
      <w:r>
        <w:rPr>
          <w:color w:val="231F20"/>
        </w:rPr>
        <w:t>provide</w:t>
      </w:r>
      <w:r>
        <w:rPr>
          <w:color w:val="231F20"/>
          <w:spacing w:val="-4"/>
        </w:rPr>
        <w:t> </w:t>
      </w:r>
      <w:r>
        <w:rPr>
          <w:color w:val="231F20"/>
        </w:rPr>
        <w:t>extra</w:t>
      </w:r>
      <w:r>
        <w:rPr>
          <w:color w:val="231F20"/>
          <w:spacing w:val="-4"/>
        </w:rPr>
        <w:t> </w:t>
      </w:r>
      <w:r>
        <w:rPr>
          <w:color w:val="231F20"/>
        </w:rPr>
        <w:t>funding</w:t>
      </w:r>
      <w:r>
        <w:rPr>
          <w:color w:val="231F20"/>
          <w:spacing w:val="-4"/>
        </w:rPr>
        <w:t> </w:t>
      </w:r>
      <w:r>
        <w:rPr>
          <w:color w:val="231F20"/>
        </w:rPr>
        <w:t>for</w:t>
      </w:r>
      <w:r>
        <w:rPr>
          <w:color w:val="231F20"/>
          <w:spacing w:val="23"/>
          <w:w w:val="99"/>
        </w:rPr>
        <w:t> </w:t>
      </w:r>
      <w:r>
        <w:rPr>
          <w:color w:val="231F20"/>
        </w:rPr>
        <w:t>disadvantaged</w:t>
      </w:r>
      <w:r>
        <w:rPr>
          <w:color w:val="231F20"/>
          <w:spacing w:val="-5"/>
        </w:rPr>
        <w:t> </w:t>
      </w:r>
      <w:r>
        <w:rPr>
          <w:color w:val="231F20"/>
          <w:spacing w:val="-1"/>
        </w:rPr>
        <w:t>students</w:t>
      </w:r>
      <w:r>
        <w:rPr>
          <w:color w:val="231F20"/>
          <w:spacing w:val="-3"/>
        </w:rPr>
        <w:t> </w:t>
      </w:r>
      <w:r>
        <w:rPr>
          <w:color w:val="231F20"/>
        </w:rPr>
        <w:t>and</w:t>
      </w:r>
      <w:r>
        <w:rPr>
          <w:color w:val="231F20"/>
          <w:spacing w:val="-4"/>
        </w:rPr>
        <w:t> </w:t>
      </w:r>
      <w:r>
        <w:rPr>
          <w:color w:val="231F20"/>
          <w:spacing w:val="-1"/>
        </w:rPr>
        <w:t>schools.</w:t>
      </w:r>
      <w:r>
        <w:rPr>
          <w:color w:val="231F20"/>
          <w:spacing w:val="-3"/>
        </w:rPr>
        <w:t> </w:t>
      </w:r>
      <w:r>
        <w:rPr>
          <w:color w:val="231F20"/>
        </w:rPr>
        <w:t>A</w:t>
      </w:r>
      <w:r>
        <w:rPr>
          <w:color w:val="231F20"/>
          <w:spacing w:val="-4"/>
        </w:rPr>
        <w:t> </w:t>
      </w:r>
      <w:r>
        <w:rPr>
          <w:color w:val="231F20"/>
        </w:rPr>
        <w:t>‘school</w:t>
      </w:r>
      <w:r>
        <w:rPr>
          <w:color w:val="231F20"/>
          <w:spacing w:val="23"/>
        </w:rPr>
        <w:t> </w:t>
      </w:r>
      <w:r>
        <w:rPr>
          <w:color w:val="231F20"/>
          <w:spacing w:val="-1"/>
        </w:rPr>
        <w:t>size</w:t>
      </w:r>
      <w:r>
        <w:rPr>
          <w:color w:val="231F20"/>
          <w:spacing w:val="-3"/>
        </w:rPr>
        <w:t> </w:t>
      </w:r>
      <w:r>
        <w:rPr>
          <w:color w:val="231F20"/>
          <w:spacing w:val="-1"/>
        </w:rPr>
        <w:t>loading’</w:t>
      </w:r>
      <w:r>
        <w:rPr>
          <w:color w:val="231F20"/>
          <w:spacing w:val="-3"/>
        </w:rPr>
        <w:t> </w:t>
      </w:r>
      <w:r>
        <w:rPr>
          <w:color w:val="231F20"/>
        </w:rPr>
        <w:t>already</w:t>
      </w:r>
      <w:r>
        <w:rPr>
          <w:color w:val="231F20"/>
          <w:spacing w:val="-4"/>
        </w:rPr>
        <w:t> </w:t>
      </w:r>
      <w:r>
        <w:rPr>
          <w:color w:val="231F20"/>
        </w:rPr>
        <w:t>exists</w:t>
      </w:r>
      <w:r>
        <w:rPr>
          <w:color w:val="231F20"/>
          <w:spacing w:val="-3"/>
        </w:rPr>
        <w:t> </w:t>
      </w:r>
      <w:r>
        <w:rPr>
          <w:color w:val="231F20"/>
          <w:spacing w:val="-1"/>
        </w:rPr>
        <w:t>in</w:t>
      </w:r>
      <w:r>
        <w:rPr>
          <w:color w:val="231F20"/>
          <w:spacing w:val="-3"/>
        </w:rPr>
        <w:t> </w:t>
      </w:r>
      <w:r>
        <w:rPr>
          <w:color w:val="231F20"/>
        </w:rPr>
        <w:t>the</w:t>
      </w:r>
      <w:r>
        <w:rPr>
          <w:color w:val="231F20"/>
          <w:spacing w:val="-4"/>
        </w:rPr>
        <w:t> </w:t>
      </w:r>
      <w:r>
        <w:rPr>
          <w:color w:val="231F20"/>
          <w:spacing w:val="-1"/>
        </w:rPr>
        <w:t>Schooling</w:t>
      </w:r>
      <w:r>
        <w:rPr/>
      </w:r>
    </w:p>
    <w:p>
      <w:pPr>
        <w:pStyle w:val="BodyText"/>
        <w:spacing w:line="250" w:lineRule="exact"/>
        <w:ind w:right="0"/>
        <w:jc w:val="left"/>
      </w:pPr>
      <w:r>
        <w:rPr>
          <w:color w:val="231F20"/>
          <w:spacing w:val="-1"/>
        </w:rPr>
        <w:t>Resource</w:t>
      </w:r>
      <w:r>
        <w:rPr>
          <w:color w:val="231F20"/>
          <w:spacing w:val="-8"/>
        </w:rPr>
        <w:t> </w:t>
      </w:r>
      <w:r>
        <w:rPr>
          <w:color w:val="231F20"/>
          <w:spacing w:val="-1"/>
        </w:rPr>
        <w:t>Standard</w:t>
      </w:r>
      <w:r>
        <w:rPr>
          <w:color w:val="231F20"/>
          <w:spacing w:val="-8"/>
        </w:rPr>
        <w:t> </w:t>
      </w:r>
      <w:r>
        <w:rPr>
          <w:color w:val="231F20"/>
        </w:rPr>
        <w:t>(SRS).</w:t>
      </w:r>
      <w:r>
        <w:rPr>
          <w:color w:val="231F20"/>
          <w:spacing w:val="-7"/>
        </w:rPr>
        <w:t> </w:t>
      </w:r>
      <w:r>
        <w:rPr>
          <w:color w:val="231F20"/>
        </w:rPr>
        <w:t>‘This</w:t>
      </w:r>
      <w:r>
        <w:rPr>
          <w:color w:val="231F20"/>
          <w:spacing w:val="-8"/>
        </w:rPr>
        <w:t> </w:t>
      </w:r>
      <w:r>
        <w:rPr>
          <w:color w:val="231F20"/>
          <w:spacing w:val="-1"/>
        </w:rPr>
        <w:t>loading</w:t>
      </w:r>
      <w:r>
        <w:rPr>
          <w:color w:val="231F20"/>
          <w:spacing w:val="-6"/>
        </w:rPr>
        <w:t> </w:t>
      </w:r>
      <w:r>
        <w:rPr>
          <w:color w:val="231F20"/>
        </w:rPr>
        <w:t>provides</w:t>
      </w:r>
      <w:r>
        <w:rPr>
          <w:color w:val="231F20"/>
          <w:spacing w:val="25"/>
          <w:w w:val="99"/>
        </w:rPr>
        <w:t> </w:t>
      </w:r>
      <w:r>
        <w:rPr>
          <w:color w:val="231F20"/>
        </w:rPr>
        <w:t>extra</w:t>
      </w:r>
      <w:r>
        <w:rPr>
          <w:color w:val="231F20"/>
          <w:spacing w:val="-3"/>
        </w:rPr>
        <w:t> </w:t>
      </w:r>
      <w:r>
        <w:rPr>
          <w:color w:val="231F20"/>
        </w:rPr>
        <w:t>funding</w:t>
      </w:r>
      <w:r>
        <w:rPr>
          <w:color w:val="231F20"/>
          <w:spacing w:val="-3"/>
        </w:rPr>
        <w:t> </w:t>
      </w:r>
      <w:r>
        <w:rPr>
          <w:color w:val="231F20"/>
        </w:rPr>
        <w:t>for</w:t>
      </w:r>
      <w:r>
        <w:rPr>
          <w:color w:val="231F20"/>
          <w:spacing w:val="-3"/>
        </w:rPr>
        <w:t> </w:t>
      </w:r>
      <w:r>
        <w:rPr>
          <w:color w:val="231F20"/>
          <w:spacing w:val="-1"/>
        </w:rPr>
        <w:t>medium,</w:t>
      </w:r>
      <w:r>
        <w:rPr>
          <w:color w:val="231F20"/>
          <w:spacing w:val="-3"/>
        </w:rPr>
        <w:t> </w:t>
      </w:r>
      <w:r>
        <w:rPr>
          <w:color w:val="231F20"/>
          <w:spacing w:val="-1"/>
        </w:rPr>
        <w:t>small</w:t>
      </w:r>
      <w:r>
        <w:rPr>
          <w:color w:val="231F20"/>
          <w:spacing w:val="-3"/>
        </w:rPr>
        <w:t> </w:t>
      </w:r>
      <w:r>
        <w:rPr>
          <w:color w:val="231F20"/>
        </w:rPr>
        <w:t>and</w:t>
      </w:r>
      <w:r>
        <w:rPr>
          <w:color w:val="231F20"/>
          <w:spacing w:val="-4"/>
        </w:rPr>
        <w:t> </w:t>
      </w:r>
      <w:r>
        <w:rPr>
          <w:color w:val="231F20"/>
        </w:rPr>
        <w:t>very</w:t>
      </w:r>
      <w:r>
        <w:rPr>
          <w:color w:val="231F20"/>
          <w:spacing w:val="-3"/>
        </w:rPr>
        <w:t> </w:t>
      </w:r>
      <w:r>
        <w:rPr>
          <w:color w:val="231F20"/>
          <w:spacing w:val="-1"/>
        </w:rPr>
        <w:t>small</w:t>
      </w:r>
      <w:r>
        <w:rPr>
          <w:color w:val="231F20"/>
          <w:spacing w:val="22"/>
        </w:rPr>
        <w:t> </w:t>
      </w:r>
      <w:r>
        <w:rPr>
          <w:color w:val="231F20"/>
          <w:spacing w:val="-1"/>
        </w:rPr>
        <w:t>schools</w:t>
      </w:r>
      <w:r>
        <w:rPr>
          <w:color w:val="231F20"/>
          <w:spacing w:val="-6"/>
        </w:rPr>
        <w:t> </w:t>
      </w:r>
      <w:r>
        <w:rPr>
          <w:color w:val="231F20"/>
          <w:spacing w:val="-1"/>
        </w:rPr>
        <w:t>in</w:t>
      </w:r>
      <w:r>
        <w:rPr>
          <w:color w:val="231F20"/>
          <w:spacing w:val="-5"/>
        </w:rPr>
        <w:t> </w:t>
      </w:r>
      <w:r>
        <w:rPr>
          <w:color w:val="231F20"/>
        </w:rPr>
        <w:t>recognition</w:t>
      </w:r>
      <w:r>
        <w:rPr>
          <w:color w:val="231F20"/>
          <w:spacing w:val="-7"/>
        </w:rPr>
        <w:t> </w:t>
      </w:r>
      <w:r>
        <w:rPr>
          <w:color w:val="231F20"/>
        </w:rPr>
        <w:t>that</w:t>
      </w:r>
      <w:r>
        <w:rPr>
          <w:color w:val="231F20"/>
          <w:spacing w:val="-6"/>
        </w:rPr>
        <w:t> </w:t>
      </w:r>
      <w:r>
        <w:rPr>
          <w:color w:val="231F20"/>
        </w:rPr>
        <w:t>they</w:t>
      </w:r>
      <w:r>
        <w:rPr>
          <w:color w:val="231F20"/>
          <w:spacing w:val="-6"/>
        </w:rPr>
        <w:t> </w:t>
      </w:r>
      <w:r>
        <w:rPr>
          <w:color w:val="231F20"/>
        </w:rPr>
        <w:t>cannot</w:t>
      </w:r>
      <w:r>
        <w:rPr>
          <w:color w:val="231F20"/>
          <w:spacing w:val="-6"/>
        </w:rPr>
        <w:t> </w:t>
      </w:r>
      <w:r>
        <w:rPr>
          <w:color w:val="231F20"/>
        </w:rPr>
        <w:t>achieve</w:t>
      </w:r>
      <w:r>
        <w:rPr>
          <w:color w:val="231F20"/>
          <w:spacing w:val="23"/>
          <w:w w:val="99"/>
        </w:rPr>
        <w:t> </w:t>
      </w:r>
      <w:r>
        <w:rPr>
          <w:rFonts w:ascii="Segoe UI" w:hAnsi="Segoe UI" w:cs="Segoe UI" w:eastAsia="Segoe UI"/>
          <w:color w:val="231F20"/>
        </w:rPr>
        <w:t>the same efficiencies of scale as a large school.</w:t>
      </w:r>
      <w:r>
        <w:rPr>
          <w:rFonts w:ascii="Segoe UI" w:hAnsi="Segoe UI" w:cs="Segoe UI" w:eastAsia="Segoe UI"/>
          <w:color w:val="231F20"/>
        </w:rPr>
        <w:t> </w:t>
      </w:r>
      <w:r>
        <w:rPr>
          <w:color w:val="231F20"/>
        </w:rPr>
        <w:t>This</w:t>
      </w:r>
      <w:r>
        <w:rPr>
          <w:color w:val="231F20"/>
          <w:spacing w:val="-5"/>
        </w:rPr>
        <w:t> </w:t>
      </w:r>
      <w:r>
        <w:rPr>
          <w:color w:val="231F20"/>
          <w:spacing w:val="-1"/>
        </w:rPr>
        <w:t>is</w:t>
      </w:r>
      <w:r>
        <w:rPr>
          <w:color w:val="231F20"/>
          <w:spacing w:val="-5"/>
        </w:rPr>
        <w:t> </w:t>
      </w:r>
      <w:r>
        <w:rPr>
          <w:color w:val="231F20"/>
        </w:rPr>
        <w:t>the</w:t>
      </w:r>
      <w:r>
        <w:rPr>
          <w:color w:val="231F20"/>
          <w:spacing w:val="-5"/>
        </w:rPr>
        <w:t> </w:t>
      </w:r>
      <w:r>
        <w:rPr>
          <w:color w:val="231F20"/>
        </w:rPr>
        <w:t>only</w:t>
      </w:r>
      <w:r>
        <w:rPr>
          <w:color w:val="231F20"/>
          <w:spacing w:val="-5"/>
        </w:rPr>
        <w:t> </w:t>
      </w:r>
      <w:r>
        <w:rPr>
          <w:color w:val="231F20"/>
        </w:rPr>
        <w:t>tuition</w:t>
      </w:r>
      <w:r>
        <w:rPr>
          <w:color w:val="231F20"/>
          <w:spacing w:val="-5"/>
        </w:rPr>
        <w:t> </w:t>
      </w:r>
      <w:r>
        <w:rPr>
          <w:color w:val="231F20"/>
          <w:spacing w:val="-1"/>
        </w:rPr>
        <w:t>loading</w:t>
      </w:r>
      <w:r>
        <w:rPr>
          <w:color w:val="231F20"/>
          <w:spacing w:val="-4"/>
        </w:rPr>
        <w:t> </w:t>
      </w:r>
      <w:r>
        <w:rPr>
          <w:color w:val="231F20"/>
        </w:rPr>
        <w:t>that</w:t>
      </w:r>
      <w:r>
        <w:rPr>
          <w:color w:val="231F20"/>
          <w:spacing w:val="-5"/>
        </w:rPr>
        <w:t> </w:t>
      </w:r>
      <w:r>
        <w:rPr>
          <w:color w:val="231F20"/>
          <w:spacing w:val="-1"/>
        </w:rPr>
        <w:t>is</w:t>
      </w:r>
      <w:r>
        <w:rPr>
          <w:color w:val="231F20"/>
          <w:spacing w:val="-5"/>
        </w:rPr>
        <w:t> </w:t>
      </w:r>
      <w:r>
        <w:rPr>
          <w:color w:val="231F20"/>
        </w:rPr>
        <w:t>calculated</w:t>
      </w:r>
      <w:r>
        <w:rPr>
          <w:color w:val="231F20"/>
          <w:spacing w:val="24"/>
          <w:w w:val="99"/>
        </w:rPr>
        <w:t> </w:t>
      </w:r>
      <w:r>
        <w:rPr>
          <w:rFonts w:ascii="Segoe UI" w:hAnsi="Segoe UI" w:cs="Segoe UI" w:eastAsia="Segoe UI"/>
          <w:color w:val="231F20"/>
        </w:rPr>
        <w:t>as a set dollar or fixed amount (rather than</w:t>
      </w:r>
      <w:r>
        <w:rPr>
          <w:rFonts w:ascii="Segoe UI" w:hAnsi="Segoe UI" w:cs="Segoe UI" w:eastAsia="Segoe UI"/>
          <w:color w:val="231F20"/>
        </w:rPr>
        <w:t> </w:t>
      </w:r>
      <w:r>
        <w:rPr>
          <w:color w:val="231F20"/>
        </w:rPr>
        <w:t>proportion</w:t>
      </w:r>
      <w:r>
        <w:rPr>
          <w:color w:val="231F20"/>
          <w:spacing w:val="-8"/>
        </w:rPr>
        <w:t> </w:t>
      </w:r>
      <w:r>
        <w:rPr>
          <w:color w:val="231F20"/>
        </w:rPr>
        <w:t>of</w:t>
      </w:r>
      <w:r>
        <w:rPr>
          <w:color w:val="231F20"/>
          <w:spacing w:val="-6"/>
        </w:rPr>
        <w:t> </w:t>
      </w:r>
      <w:r>
        <w:rPr>
          <w:color w:val="231F20"/>
        </w:rPr>
        <w:t>the</w:t>
      </w:r>
      <w:r>
        <w:rPr>
          <w:color w:val="231F20"/>
          <w:spacing w:val="-7"/>
        </w:rPr>
        <w:t> </w:t>
      </w:r>
      <w:r>
        <w:rPr>
          <w:color w:val="231F20"/>
        </w:rPr>
        <w:t>base</w:t>
      </w:r>
      <w:r>
        <w:rPr>
          <w:color w:val="231F20"/>
          <w:spacing w:val="-8"/>
        </w:rPr>
        <w:t> </w:t>
      </w:r>
      <w:r>
        <w:rPr>
          <w:color w:val="231F20"/>
        </w:rPr>
        <w:t>amount)</w:t>
      </w:r>
      <w:r>
        <w:rPr>
          <w:color w:val="231F20"/>
          <w:spacing w:val="-7"/>
        </w:rPr>
        <w:t> </w:t>
      </w:r>
      <w:r>
        <w:rPr>
          <w:color w:val="231F20"/>
        </w:rPr>
        <w:t>depending</w:t>
      </w:r>
      <w:r>
        <w:rPr>
          <w:color w:val="231F20"/>
          <w:spacing w:val="-7"/>
        </w:rPr>
        <w:t> </w:t>
      </w:r>
      <w:r>
        <w:rPr>
          <w:color w:val="231F20"/>
        </w:rPr>
        <w:t>on</w:t>
      </w:r>
      <w:r>
        <w:rPr>
          <w:color w:val="231F20"/>
          <w:w w:val="99"/>
        </w:rPr>
        <w:t> </w:t>
      </w:r>
      <w:r>
        <w:rPr>
          <w:color w:val="231F20"/>
        </w:rPr>
        <w:t>the</w:t>
      </w:r>
      <w:r>
        <w:rPr>
          <w:color w:val="231F20"/>
          <w:spacing w:val="-4"/>
        </w:rPr>
        <w:t> </w:t>
      </w:r>
      <w:r>
        <w:rPr>
          <w:color w:val="231F20"/>
          <w:spacing w:val="-1"/>
        </w:rPr>
        <w:t>size</w:t>
      </w:r>
      <w:r>
        <w:rPr>
          <w:color w:val="231F20"/>
          <w:spacing w:val="-3"/>
        </w:rPr>
        <w:t> </w:t>
      </w:r>
      <w:r>
        <w:rPr>
          <w:color w:val="231F20"/>
        </w:rPr>
        <w:t>of</w:t>
      </w:r>
      <w:r>
        <w:rPr>
          <w:color w:val="231F20"/>
          <w:spacing w:val="-2"/>
        </w:rPr>
        <w:t> </w:t>
      </w:r>
      <w:r>
        <w:rPr>
          <w:color w:val="231F20"/>
        </w:rPr>
        <w:t>a</w:t>
      </w:r>
      <w:r>
        <w:rPr>
          <w:color w:val="231F20"/>
          <w:spacing w:val="-3"/>
        </w:rPr>
        <w:t> </w:t>
      </w:r>
      <w:r>
        <w:rPr>
          <w:color w:val="231F20"/>
          <w:spacing w:val="-1"/>
        </w:rPr>
        <w:t>school.</w:t>
      </w:r>
      <w:r>
        <w:rPr>
          <w:color w:val="231F20"/>
          <w:spacing w:val="-3"/>
        </w:rPr>
        <w:t> </w:t>
      </w:r>
      <w:r>
        <w:rPr>
          <w:color w:val="231F20"/>
          <w:spacing w:val="-1"/>
        </w:rPr>
        <w:t>Secondary</w:t>
      </w:r>
      <w:r>
        <w:rPr>
          <w:color w:val="231F20"/>
          <w:spacing w:val="-2"/>
        </w:rPr>
        <w:t> </w:t>
      </w:r>
      <w:r>
        <w:rPr>
          <w:color w:val="231F20"/>
          <w:spacing w:val="-1"/>
        </w:rPr>
        <w:t>schools</w:t>
      </w:r>
      <w:r>
        <w:rPr>
          <w:color w:val="231F20"/>
          <w:spacing w:val="-3"/>
        </w:rPr>
        <w:t> </w:t>
      </w:r>
      <w:r>
        <w:rPr>
          <w:color w:val="231F20"/>
        </w:rPr>
        <w:t>with</w:t>
      </w:r>
      <w:r>
        <w:rPr/>
      </w:r>
    </w:p>
    <w:p>
      <w:pPr>
        <w:pStyle w:val="BodyText"/>
        <w:spacing w:line="250" w:lineRule="exact"/>
        <w:ind w:right="0"/>
        <w:jc w:val="left"/>
      </w:pPr>
      <w:r>
        <w:rPr>
          <w:color w:val="231F20"/>
        </w:rPr>
        <w:t>up</w:t>
      </w:r>
      <w:r>
        <w:rPr>
          <w:color w:val="231F20"/>
          <w:spacing w:val="-3"/>
        </w:rPr>
        <w:t> </w:t>
      </w:r>
      <w:r>
        <w:rPr>
          <w:color w:val="231F20"/>
        </w:rPr>
        <w:t>to</w:t>
      </w:r>
      <w:r>
        <w:rPr>
          <w:color w:val="231F20"/>
          <w:spacing w:val="-3"/>
        </w:rPr>
        <w:t> </w:t>
      </w:r>
      <w:r>
        <w:rPr>
          <w:color w:val="231F20"/>
          <w:spacing w:val="-1"/>
        </w:rPr>
        <w:t>700</w:t>
      </w:r>
      <w:r>
        <w:rPr>
          <w:color w:val="231F20"/>
          <w:spacing w:val="-2"/>
        </w:rPr>
        <w:t> </w:t>
      </w:r>
      <w:r>
        <w:rPr>
          <w:color w:val="231F20"/>
          <w:spacing w:val="-1"/>
        </w:rPr>
        <w:t>students</w:t>
      </w:r>
      <w:r>
        <w:rPr>
          <w:color w:val="231F20"/>
          <w:spacing w:val="-3"/>
        </w:rPr>
        <w:t> </w:t>
      </w:r>
      <w:r>
        <w:rPr>
          <w:color w:val="231F20"/>
        </w:rPr>
        <w:t>attract</w:t>
      </w:r>
      <w:r>
        <w:rPr>
          <w:color w:val="231F20"/>
          <w:spacing w:val="-4"/>
        </w:rPr>
        <w:t> </w:t>
      </w:r>
      <w:r>
        <w:rPr>
          <w:color w:val="231F20"/>
        </w:rPr>
        <w:t>a</w:t>
      </w:r>
      <w:r>
        <w:rPr>
          <w:color w:val="231F20"/>
          <w:spacing w:val="-2"/>
        </w:rPr>
        <w:t> </w:t>
      </w:r>
      <w:r>
        <w:rPr>
          <w:color w:val="231F20"/>
          <w:spacing w:val="-1"/>
        </w:rPr>
        <w:t>size</w:t>
      </w:r>
      <w:r>
        <w:rPr>
          <w:color w:val="231F20"/>
          <w:spacing w:val="-3"/>
        </w:rPr>
        <w:t> </w:t>
      </w:r>
      <w:r>
        <w:rPr>
          <w:color w:val="231F20"/>
          <w:spacing w:val="-1"/>
        </w:rPr>
        <w:t>loading.</w:t>
      </w:r>
      <w:r>
        <w:rPr>
          <w:color w:val="231F20"/>
          <w:spacing w:val="-3"/>
        </w:rPr>
        <w:t> </w:t>
      </w:r>
      <w:r>
        <w:rPr>
          <w:color w:val="231F20"/>
        </w:rPr>
        <w:t>The</w:t>
      </w:r>
      <w:r>
        <w:rPr>
          <w:color w:val="231F20"/>
          <w:spacing w:val="25"/>
          <w:w w:val="99"/>
        </w:rPr>
        <w:t> </w:t>
      </w:r>
      <w:r>
        <w:rPr>
          <w:color w:val="231F20"/>
          <w:spacing w:val="-1"/>
        </w:rPr>
        <w:t>size</w:t>
      </w:r>
      <w:r>
        <w:rPr>
          <w:color w:val="231F20"/>
          <w:spacing w:val="-4"/>
        </w:rPr>
        <w:t> </w:t>
      </w:r>
      <w:r>
        <w:rPr>
          <w:color w:val="231F20"/>
          <w:spacing w:val="-1"/>
        </w:rPr>
        <w:t>loading</w:t>
      </w:r>
      <w:r>
        <w:rPr>
          <w:color w:val="231F20"/>
          <w:spacing w:val="-4"/>
        </w:rPr>
        <w:t> </w:t>
      </w:r>
      <w:r>
        <w:rPr>
          <w:color w:val="231F20"/>
          <w:spacing w:val="-1"/>
        </w:rPr>
        <w:t>is</w:t>
      </w:r>
      <w:r>
        <w:rPr>
          <w:color w:val="231F20"/>
          <w:spacing w:val="-5"/>
        </w:rPr>
        <w:t> </w:t>
      </w:r>
      <w:r>
        <w:rPr>
          <w:color w:val="231F20"/>
          <w:spacing w:val="-1"/>
        </w:rPr>
        <w:t>scaled,</w:t>
      </w:r>
      <w:r>
        <w:rPr>
          <w:color w:val="231F20"/>
          <w:spacing w:val="-4"/>
        </w:rPr>
        <w:t> </w:t>
      </w:r>
      <w:r>
        <w:rPr>
          <w:color w:val="231F20"/>
        </w:rPr>
        <w:t>with</w:t>
      </w:r>
      <w:r>
        <w:rPr>
          <w:color w:val="231F20"/>
          <w:spacing w:val="-5"/>
        </w:rPr>
        <w:t> </w:t>
      </w:r>
      <w:r>
        <w:rPr>
          <w:color w:val="231F20"/>
        </w:rPr>
        <w:t>primary</w:t>
      </w:r>
      <w:r>
        <w:rPr>
          <w:color w:val="231F20"/>
          <w:spacing w:val="-4"/>
        </w:rPr>
        <w:t> </w:t>
      </w:r>
      <w:r>
        <w:rPr>
          <w:color w:val="231F20"/>
          <w:spacing w:val="-1"/>
        </w:rPr>
        <w:t>schools</w:t>
      </w:r>
      <w:r>
        <w:rPr>
          <w:color w:val="231F20"/>
          <w:spacing w:val="-4"/>
        </w:rPr>
        <w:t> </w:t>
      </w:r>
      <w:r>
        <w:rPr>
          <w:color w:val="231F20"/>
        </w:rPr>
        <w:t>with</w:t>
      </w:r>
      <w:r>
        <w:rPr>
          <w:color w:val="231F20"/>
          <w:spacing w:val="26"/>
          <w:w w:val="99"/>
        </w:rPr>
        <w:t> </w:t>
      </w:r>
      <w:r>
        <w:rPr>
          <w:color w:val="231F20"/>
        </w:rPr>
        <w:t>between</w:t>
      </w:r>
      <w:r>
        <w:rPr>
          <w:color w:val="231F20"/>
          <w:spacing w:val="-5"/>
        </w:rPr>
        <w:t> </w:t>
      </w:r>
      <w:r>
        <w:rPr>
          <w:color w:val="231F20"/>
          <w:spacing w:val="-1"/>
        </w:rPr>
        <w:t>15</w:t>
      </w:r>
      <w:r>
        <w:rPr>
          <w:color w:val="231F20"/>
          <w:spacing w:val="-4"/>
        </w:rPr>
        <w:t> </w:t>
      </w:r>
      <w:r>
        <w:rPr>
          <w:color w:val="231F20"/>
        </w:rPr>
        <w:t>and</w:t>
      </w:r>
      <w:r>
        <w:rPr>
          <w:color w:val="231F20"/>
          <w:spacing w:val="-5"/>
        </w:rPr>
        <w:t> </w:t>
      </w:r>
      <w:r>
        <w:rPr>
          <w:color w:val="231F20"/>
          <w:spacing w:val="-1"/>
        </w:rPr>
        <w:t>200</w:t>
      </w:r>
      <w:r>
        <w:rPr>
          <w:color w:val="231F20"/>
          <w:spacing w:val="-3"/>
        </w:rPr>
        <w:t> </w:t>
      </w:r>
      <w:r>
        <w:rPr>
          <w:color w:val="231F20"/>
          <w:spacing w:val="-1"/>
        </w:rPr>
        <w:t>students</w:t>
      </w:r>
      <w:r>
        <w:rPr>
          <w:color w:val="231F20"/>
          <w:spacing w:val="-4"/>
        </w:rPr>
        <w:t> </w:t>
      </w:r>
      <w:r>
        <w:rPr>
          <w:color w:val="231F20"/>
        </w:rPr>
        <w:t>attracting</w:t>
      </w:r>
      <w:r>
        <w:rPr>
          <w:color w:val="231F20"/>
          <w:spacing w:val="-5"/>
        </w:rPr>
        <w:t> </w:t>
      </w:r>
      <w:r>
        <w:rPr>
          <w:color w:val="231F20"/>
        </w:rPr>
        <w:t>the</w:t>
      </w:r>
      <w:r>
        <w:rPr>
          <w:color w:val="231F20"/>
          <w:spacing w:val="24"/>
          <w:w w:val="99"/>
        </w:rPr>
        <w:t> </w:t>
      </w:r>
      <w:r>
        <w:rPr>
          <w:color w:val="231F20"/>
          <w:spacing w:val="-1"/>
        </w:rPr>
        <w:t>maximum</w:t>
      </w:r>
      <w:r>
        <w:rPr>
          <w:color w:val="231F20"/>
          <w:spacing w:val="-5"/>
        </w:rPr>
        <w:t> </w:t>
      </w:r>
      <w:r>
        <w:rPr>
          <w:color w:val="231F20"/>
          <w:spacing w:val="-1"/>
        </w:rPr>
        <w:t>loading</w:t>
      </w:r>
      <w:r>
        <w:rPr>
          <w:color w:val="231F20"/>
          <w:spacing w:val="-4"/>
        </w:rPr>
        <w:t> </w:t>
      </w:r>
      <w:r>
        <w:rPr>
          <w:color w:val="231F20"/>
        </w:rPr>
        <w:t>of</w:t>
      </w:r>
      <w:r>
        <w:rPr>
          <w:color w:val="231F20"/>
          <w:spacing w:val="-4"/>
        </w:rPr>
        <w:t> </w:t>
      </w:r>
      <w:r>
        <w:rPr>
          <w:color w:val="231F20"/>
          <w:spacing w:val="-1"/>
        </w:rPr>
        <w:t>$178,877</w:t>
      </w:r>
      <w:r>
        <w:rPr>
          <w:color w:val="231F20"/>
          <w:spacing w:val="-4"/>
        </w:rPr>
        <w:t> </w:t>
      </w:r>
      <w:r>
        <w:rPr>
          <w:color w:val="231F20"/>
        </w:rPr>
        <w:t>and</w:t>
      </w:r>
      <w:r>
        <w:rPr>
          <w:color w:val="231F20"/>
          <w:spacing w:val="-5"/>
        </w:rPr>
        <w:t> </w:t>
      </w:r>
      <w:r>
        <w:rPr>
          <w:color w:val="231F20"/>
          <w:spacing w:val="-1"/>
        </w:rPr>
        <w:t>secondary</w:t>
      </w:r>
      <w:r>
        <w:rPr>
          <w:color w:val="231F20"/>
          <w:spacing w:val="23"/>
          <w:w w:val="99"/>
        </w:rPr>
        <w:t> </w:t>
      </w:r>
      <w:r>
        <w:rPr>
          <w:color w:val="231F20"/>
          <w:spacing w:val="-1"/>
        </w:rPr>
        <w:t>schools</w:t>
      </w:r>
      <w:r>
        <w:rPr>
          <w:color w:val="231F20"/>
          <w:spacing w:val="-3"/>
        </w:rPr>
        <w:t> </w:t>
      </w:r>
      <w:r>
        <w:rPr>
          <w:color w:val="231F20"/>
        </w:rPr>
        <w:t>with</w:t>
      </w:r>
      <w:r>
        <w:rPr>
          <w:color w:val="231F20"/>
          <w:spacing w:val="-3"/>
        </w:rPr>
        <w:t> </w:t>
      </w:r>
      <w:r>
        <w:rPr>
          <w:color w:val="231F20"/>
        </w:rPr>
        <w:t>between</w:t>
      </w:r>
      <w:r>
        <w:rPr>
          <w:color w:val="231F20"/>
          <w:spacing w:val="-4"/>
        </w:rPr>
        <w:t> </w:t>
      </w:r>
      <w:r>
        <w:rPr>
          <w:color w:val="231F20"/>
          <w:spacing w:val="-1"/>
        </w:rPr>
        <w:t>100</w:t>
      </w:r>
      <w:r>
        <w:rPr>
          <w:color w:val="231F20"/>
          <w:spacing w:val="-2"/>
        </w:rPr>
        <w:t> </w:t>
      </w:r>
      <w:r>
        <w:rPr>
          <w:color w:val="231F20"/>
        </w:rPr>
        <w:t>and</w:t>
      </w:r>
      <w:r>
        <w:rPr>
          <w:color w:val="231F20"/>
          <w:spacing w:val="-4"/>
        </w:rPr>
        <w:t> </w:t>
      </w:r>
      <w:r>
        <w:rPr>
          <w:color w:val="231F20"/>
          <w:spacing w:val="-1"/>
        </w:rPr>
        <w:t>500</w:t>
      </w:r>
      <w:r>
        <w:rPr>
          <w:color w:val="231F20"/>
          <w:spacing w:val="-2"/>
        </w:rPr>
        <w:t> </w:t>
      </w:r>
      <w:r>
        <w:rPr>
          <w:color w:val="231F20"/>
          <w:spacing w:val="-1"/>
        </w:rPr>
        <w:t>students</w:t>
      </w:r>
      <w:r>
        <w:rPr>
          <w:color w:val="231F20"/>
          <w:spacing w:val="23"/>
        </w:rPr>
        <w:t> </w:t>
      </w:r>
      <w:r>
        <w:rPr>
          <w:color w:val="231F20"/>
        </w:rPr>
        <w:t>attracting</w:t>
      </w:r>
      <w:r>
        <w:rPr>
          <w:color w:val="231F20"/>
          <w:spacing w:val="-5"/>
        </w:rPr>
        <w:t> </w:t>
      </w:r>
      <w:r>
        <w:rPr>
          <w:color w:val="231F20"/>
        </w:rPr>
        <w:t>the</w:t>
      </w:r>
      <w:r>
        <w:rPr>
          <w:color w:val="231F20"/>
          <w:spacing w:val="-4"/>
        </w:rPr>
        <w:t> </w:t>
      </w:r>
      <w:r>
        <w:rPr>
          <w:color w:val="231F20"/>
          <w:spacing w:val="-1"/>
        </w:rPr>
        <w:t>maximum</w:t>
      </w:r>
      <w:r>
        <w:rPr>
          <w:color w:val="231F20"/>
          <w:spacing w:val="-3"/>
        </w:rPr>
        <w:t> </w:t>
      </w:r>
      <w:r>
        <w:rPr>
          <w:color w:val="231F20"/>
          <w:spacing w:val="-1"/>
        </w:rPr>
        <w:t>loading</w:t>
      </w:r>
      <w:r>
        <w:rPr>
          <w:color w:val="231F20"/>
          <w:spacing w:val="-4"/>
        </w:rPr>
        <w:t> </w:t>
      </w:r>
      <w:r>
        <w:rPr>
          <w:color w:val="231F20"/>
        </w:rPr>
        <w:t>of</w:t>
      </w:r>
      <w:r>
        <w:rPr>
          <w:color w:val="231F20"/>
          <w:spacing w:val="-3"/>
        </w:rPr>
        <w:t> </w:t>
      </w:r>
      <w:r>
        <w:rPr>
          <w:color w:val="231F20"/>
          <w:spacing w:val="-1"/>
        </w:rPr>
        <w:t>$286,203</w:t>
      </w:r>
      <w:r>
        <w:rPr>
          <w:color w:val="231F20"/>
          <w:spacing w:val="-3"/>
        </w:rPr>
        <w:t> </w:t>
      </w:r>
      <w:r>
        <w:rPr>
          <w:color w:val="231F20"/>
          <w:spacing w:val="-1"/>
        </w:rPr>
        <w:t>in</w:t>
      </w:r>
      <w:r>
        <w:rPr>
          <w:color w:val="231F20"/>
          <w:spacing w:val="23"/>
        </w:rPr>
        <w:t> </w:t>
      </w:r>
      <w:r>
        <w:rPr>
          <w:color w:val="231F20"/>
          <w:spacing w:val="-1"/>
        </w:rPr>
        <w:t>2019.</w:t>
      </w:r>
      <w:r>
        <w:rPr>
          <w:rFonts w:ascii="Segoe UI Semibold" w:hAnsi="Segoe UI Semibold" w:cs="Segoe UI Semibold" w:eastAsia="Segoe UI Semibold"/>
          <w:b/>
          <w:bCs/>
          <w:color w:val="231F20"/>
          <w:spacing w:val="-1"/>
          <w:position w:val="7"/>
          <w:sz w:val="11"/>
          <w:szCs w:val="11"/>
        </w:rPr>
        <w:t>147</w:t>
      </w:r>
      <w:r>
        <w:rPr>
          <w:color w:val="231F20"/>
          <w:spacing w:val="-1"/>
        </w:rPr>
        <w:t>’</w:t>
      </w:r>
      <w:r>
        <w:rPr/>
      </w:r>
    </w:p>
    <w:p>
      <w:pPr>
        <w:spacing w:line="240" w:lineRule="auto" w:before="1"/>
        <w:rPr>
          <w:rFonts w:ascii="Segoe UI" w:hAnsi="Segoe UI" w:cs="Segoe UI" w:eastAsia="Segoe UI"/>
          <w:sz w:val="25"/>
          <w:szCs w:val="25"/>
        </w:rPr>
      </w:pPr>
    </w:p>
    <w:p>
      <w:pPr>
        <w:pStyle w:val="Heading2"/>
        <w:spacing w:line="360" w:lineRule="exact" w:before="0"/>
        <w:ind w:right="110"/>
        <w:jc w:val="left"/>
        <w:rPr>
          <w:b w:val="0"/>
          <w:bCs w:val="0"/>
        </w:rPr>
      </w:pPr>
      <w:bookmarkStart w:name="_TOC_250018" w:id="18"/>
      <w:r>
        <w:rPr>
          <w:color w:val="452A70"/>
        </w:rPr>
        <w:t>Socio-economic </w:t>
      </w:r>
      <w:r>
        <w:rPr>
          <w:color w:val="452A70"/>
          <w:spacing w:val="-2"/>
        </w:rPr>
        <w:t>background</w:t>
      </w:r>
      <w:r>
        <w:rPr>
          <w:color w:val="452A70"/>
          <w:spacing w:val="-1"/>
        </w:rPr>
        <w:t> </w:t>
      </w:r>
      <w:r>
        <w:rPr>
          <w:color w:val="452A70"/>
          <w:spacing w:val="-3"/>
        </w:rPr>
        <w:t>of</w:t>
      </w:r>
      <w:r>
        <w:rPr>
          <w:color w:val="452A70"/>
          <w:spacing w:val="-2"/>
        </w:rPr>
        <w:t> </w:t>
      </w:r>
      <w:r>
        <w:rPr>
          <w:color w:val="452A70"/>
          <w:spacing w:val="-1"/>
        </w:rPr>
        <w:t>boarders</w:t>
      </w:r>
      <w:bookmarkEnd w:id="18"/>
      <w:r>
        <w:rPr>
          <w:b w:val="0"/>
        </w:rPr>
      </w:r>
    </w:p>
    <w:p>
      <w:pPr>
        <w:pStyle w:val="BodyText"/>
        <w:spacing w:line="250" w:lineRule="exact" w:before="119"/>
        <w:ind w:left="570" w:right="257"/>
        <w:jc w:val="left"/>
        <w:rPr>
          <w:rFonts w:ascii="Segoe UI Semibold" w:hAnsi="Segoe UI Semibold" w:cs="Segoe UI Semibold" w:eastAsia="Segoe UI Semibold"/>
          <w:sz w:val="11"/>
          <w:szCs w:val="11"/>
        </w:rPr>
      </w:pPr>
      <w:r>
        <w:rPr>
          <w:rFonts w:ascii="Segoe UI Semibold" w:hAnsi="Segoe UI Semibold" w:cs="Segoe UI Semibold" w:eastAsia="Segoe UI Semibold"/>
          <w:b/>
          <w:bCs/>
          <w:color w:val="00779B"/>
          <w:spacing w:val="-1"/>
        </w:rPr>
        <w:t>Parents’</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affluence</w:t>
      </w:r>
      <w:r>
        <w:rPr>
          <w:rFonts w:ascii="Segoe UI Semibold" w:hAnsi="Segoe UI Semibold" w:cs="Segoe UI Semibold" w:eastAsia="Segoe UI Semibold"/>
          <w:b/>
          <w:bCs/>
          <w:color w:val="00779B"/>
          <w:spacing w:val="-1"/>
        </w:rPr>
        <w:t> (reflected </w:t>
      </w:r>
      <w:r>
        <w:rPr>
          <w:rFonts w:ascii="Segoe UI Semibold" w:hAnsi="Segoe UI Semibold" w:cs="Segoe UI Semibold" w:eastAsia="Segoe UI Semibold"/>
          <w:b/>
          <w:bCs/>
          <w:color w:val="00779B"/>
        </w:rPr>
        <w:t>in</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their</w:t>
      </w:r>
      <w:r>
        <w:rPr>
          <w:rFonts w:ascii="Segoe UI Semibold" w:hAnsi="Segoe UI Semibold" w:cs="Segoe UI Semibold" w:eastAsia="Segoe UI Semibold"/>
          <w:b/>
          <w:bCs/>
          <w:color w:val="00779B"/>
          <w:spacing w:val="28"/>
        </w:rPr>
        <w:t> </w:t>
      </w:r>
      <w:r>
        <w:rPr>
          <w:rFonts w:ascii="Segoe UI Semibold" w:hAnsi="Segoe UI Semibold" w:cs="Segoe UI Semibold" w:eastAsia="Segoe UI Semibold"/>
          <w:b/>
          <w:bCs/>
          <w:color w:val="00779B"/>
          <w:spacing w:val="-1"/>
        </w:rPr>
        <w:t>occupation </w:t>
      </w:r>
      <w:r>
        <w:rPr>
          <w:rFonts w:ascii="Segoe UI Semibold" w:hAnsi="Segoe UI Semibold" w:cs="Segoe UI Semibold" w:eastAsia="Segoe UI Semibold"/>
          <w:b/>
          <w:bCs/>
          <w:color w:val="00779B"/>
        </w:rPr>
        <w:t>and</w:t>
      </w:r>
      <w:r>
        <w:rPr>
          <w:rFonts w:ascii="Segoe UI Semibold" w:hAnsi="Segoe UI Semibold" w:cs="Segoe UI Semibold" w:eastAsia="Segoe UI Semibold"/>
          <w:b/>
          <w:bCs/>
          <w:color w:val="00779B"/>
          <w:spacing w:val="-1"/>
        </w:rPr>
        <w:t> the</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suburb</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where they</w:t>
      </w:r>
      <w:r>
        <w:rPr>
          <w:rFonts w:ascii="Segoe UI Semibold" w:hAnsi="Segoe UI Semibold" w:cs="Segoe UI Semibold" w:eastAsia="Segoe UI Semibold"/>
          <w:b/>
          <w:bCs/>
          <w:color w:val="00779B"/>
          <w:spacing w:val="25"/>
        </w:rPr>
        <w:t> </w:t>
      </w:r>
      <w:r>
        <w:rPr>
          <w:rFonts w:ascii="Segoe UI Semibold" w:hAnsi="Segoe UI Semibold" w:cs="Segoe UI Semibold" w:eastAsia="Segoe UI Semibold"/>
          <w:b/>
          <w:bCs/>
          <w:color w:val="00779B"/>
          <w:spacing w:val="-1"/>
        </w:rPr>
        <w:t>live) </w:t>
      </w:r>
      <w:r>
        <w:rPr>
          <w:rFonts w:ascii="Segoe UI Semibold" w:hAnsi="Segoe UI Semibold" w:cs="Segoe UI Semibold" w:eastAsia="Segoe UI Semibold"/>
          <w:b/>
          <w:bCs/>
          <w:color w:val="00779B"/>
        </w:rPr>
        <w:t>and</w:t>
      </w:r>
      <w:r>
        <w:rPr>
          <w:rFonts w:ascii="Segoe UI Semibold" w:hAnsi="Segoe UI Semibold" w:cs="Segoe UI Semibold" w:eastAsia="Segoe UI Semibold"/>
          <w:b/>
          <w:bCs/>
          <w:color w:val="00779B"/>
          <w:spacing w:val="-1"/>
        </w:rPr>
        <w:t> their</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level</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2"/>
        </w:rPr>
        <w:t>of</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educational</w:t>
      </w:r>
      <w:r>
        <w:rPr>
          <w:rFonts w:ascii="Segoe UI Semibold" w:hAnsi="Segoe UI Semibold" w:cs="Segoe UI Semibold" w:eastAsia="Segoe UI Semibold"/>
          <w:b/>
          <w:bCs/>
          <w:color w:val="00779B"/>
          <w:spacing w:val="21"/>
        </w:rPr>
        <w:t> </w:t>
      </w:r>
      <w:r>
        <w:rPr>
          <w:rFonts w:ascii="Segoe UI Semibold" w:hAnsi="Segoe UI Semibold" w:cs="Segoe UI Semibold" w:eastAsia="Segoe UI Semibold"/>
          <w:b/>
          <w:bCs/>
          <w:color w:val="00779B"/>
        </w:rPr>
        <w:t>attainment </w:t>
      </w:r>
      <w:r>
        <w:rPr>
          <w:rFonts w:ascii="Segoe UI Semibold" w:hAnsi="Segoe UI Semibold" w:cs="Segoe UI Semibold" w:eastAsia="Segoe UI Semibold"/>
          <w:b/>
          <w:bCs/>
          <w:color w:val="00779B"/>
          <w:spacing w:val="-1"/>
        </w:rPr>
        <w:t>are</w:t>
      </w:r>
      <w:r>
        <w:rPr>
          <w:rFonts w:ascii="Segoe UI Semibold" w:hAnsi="Segoe UI Semibold" w:cs="Segoe UI Semibold" w:eastAsia="Segoe UI Semibold"/>
          <w:b/>
          <w:bCs/>
          <w:color w:val="00779B"/>
        </w:rPr>
        <w:t> known </w:t>
      </w:r>
      <w:r>
        <w:rPr>
          <w:rFonts w:ascii="Segoe UI Semibold" w:hAnsi="Segoe UI Semibold" w:cs="Segoe UI Semibold" w:eastAsia="Segoe UI Semibold"/>
          <w:b/>
          <w:bCs/>
          <w:color w:val="00779B"/>
          <w:spacing w:val="-1"/>
        </w:rPr>
        <w:t>to</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have</w:t>
      </w:r>
      <w:r>
        <w:rPr>
          <w:rFonts w:ascii="Segoe UI Semibold" w:hAnsi="Segoe UI Semibold" w:cs="Segoe UI Semibold" w:eastAsia="Segoe UI Semibold"/>
          <w:b/>
          <w:bCs/>
          <w:color w:val="00779B"/>
        </w:rPr>
        <w:t> a major</w:t>
      </w:r>
      <w:r>
        <w:rPr>
          <w:rFonts w:ascii="Segoe UI Semibold" w:hAnsi="Segoe UI Semibold" w:cs="Segoe UI Semibold" w:eastAsia="Segoe UI Semibold"/>
          <w:b/>
          <w:bCs/>
          <w:color w:val="00779B"/>
          <w:spacing w:val="24"/>
        </w:rPr>
        <w:t> </w:t>
      </w:r>
      <w:r>
        <w:rPr>
          <w:rFonts w:ascii="Segoe UI Semibold" w:hAnsi="Segoe UI Semibold" w:cs="Segoe UI Semibold" w:eastAsia="Segoe UI Semibold"/>
          <w:b/>
          <w:bCs/>
          <w:color w:val="00779B"/>
        </w:rPr>
        <w:t>influence</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rPr>
        <w:t>on</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the</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education</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attainment</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2"/>
        </w:rPr>
        <w:t>of</w:t>
      </w:r>
      <w:r>
        <w:rPr>
          <w:rFonts w:ascii="Segoe UI Semibold" w:hAnsi="Segoe UI Semibold" w:cs="Segoe UI Semibold" w:eastAsia="Segoe UI Semibold"/>
          <w:b/>
          <w:bCs/>
          <w:color w:val="00779B"/>
          <w:spacing w:val="4"/>
        </w:rPr>
        <w:t> </w:t>
      </w:r>
      <w:r>
        <w:rPr>
          <w:rFonts w:ascii="Segoe UI Semibold" w:hAnsi="Segoe UI Semibold" w:cs="Segoe UI Semibold" w:eastAsia="Segoe UI Semibold"/>
          <w:b/>
          <w:bCs/>
          <w:color w:val="00779B"/>
          <w:spacing w:val="-1"/>
        </w:rPr>
        <w:t>their</w:t>
      </w:r>
      <w:r>
        <w:rPr>
          <w:rFonts w:ascii="Segoe UI Semibold" w:hAnsi="Segoe UI Semibold" w:cs="Segoe UI Semibold" w:eastAsia="Segoe UI Semibold"/>
          <w:b/>
          <w:bCs/>
          <w:color w:val="00779B"/>
          <w:spacing w:val="5"/>
        </w:rPr>
        <w:t> </w:t>
      </w:r>
      <w:r>
        <w:rPr>
          <w:rFonts w:ascii="Segoe UI Semibold" w:hAnsi="Segoe UI Semibold" w:cs="Segoe UI Semibold" w:eastAsia="Segoe UI Semibold"/>
          <w:b/>
          <w:bCs/>
          <w:color w:val="00779B"/>
          <w:spacing w:val="-1"/>
        </w:rPr>
        <w:t>children.</w:t>
      </w:r>
      <w:r>
        <w:rPr>
          <w:rFonts w:ascii="Segoe UI Semibold" w:hAnsi="Segoe UI Semibold" w:cs="Segoe UI Semibold" w:eastAsia="Segoe UI Semibold"/>
          <w:b/>
          <w:bCs/>
          <w:color w:val="00779B"/>
          <w:spacing w:val="-1"/>
          <w:position w:val="7"/>
          <w:sz w:val="11"/>
          <w:szCs w:val="11"/>
        </w:rPr>
        <w:t>148</w:t>
      </w:r>
      <w:r>
        <w:rPr>
          <w:rFonts w:ascii="Segoe UI Semibold" w:hAnsi="Segoe UI Semibold" w:cs="Segoe UI Semibold" w:eastAsia="Segoe UI Semibold"/>
          <w:sz w:val="11"/>
          <w:szCs w:val="11"/>
        </w:rPr>
      </w:r>
    </w:p>
    <w:p>
      <w:pPr>
        <w:pStyle w:val="BodyText"/>
        <w:spacing w:line="250" w:lineRule="exact" w:before="113"/>
        <w:ind w:right="110"/>
        <w:jc w:val="left"/>
      </w:pPr>
      <w:r>
        <w:rPr>
          <w:color w:val="231F20"/>
        </w:rPr>
        <w:t>All</w:t>
      </w:r>
      <w:r>
        <w:rPr>
          <w:color w:val="231F20"/>
          <w:spacing w:val="-6"/>
        </w:rPr>
        <w:t> </w:t>
      </w:r>
      <w:r>
        <w:rPr>
          <w:color w:val="231F20"/>
        </w:rPr>
        <w:t>Aboriginal</w:t>
      </w:r>
      <w:r>
        <w:rPr>
          <w:color w:val="231F20"/>
          <w:spacing w:val="-4"/>
        </w:rPr>
        <w:t> </w:t>
      </w:r>
      <w:r>
        <w:rPr>
          <w:color w:val="231F20"/>
        </w:rPr>
        <w:t>and</w:t>
      </w:r>
      <w:r>
        <w:rPr>
          <w:color w:val="231F20"/>
          <w:spacing w:val="-6"/>
        </w:rPr>
        <w:t> </w:t>
      </w:r>
      <w:r>
        <w:rPr>
          <w:color w:val="231F20"/>
          <w:spacing w:val="-5"/>
        </w:rPr>
        <w:t>Torres</w:t>
      </w:r>
      <w:r>
        <w:rPr>
          <w:color w:val="231F20"/>
          <w:spacing w:val="-4"/>
        </w:rPr>
        <w:t> </w:t>
      </w:r>
      <w:r>
        <w:rPr>
          <w:color w:val="231F20"/>
          <w:spacing w:val="-2"/>
        </w:rPr>
        <w:t>Strait</w:t>
      </w:r>
      <w:r>
        <w:rPr>
          <w:color w:val="231F20"/>
          <w:spacing w:val="-6"/>
        </w:rPr>
        <w:t> </w:t>
      </w:r>
      <w:r>
        <w:rPr>
          <w:color w:val="231F20"/>
          <w:spacing w:val="-1"/>
        </w:rPr>
        <w:t>Islander</w:t>
      </w:r>
      <w:r>
        <w:rPr>
          <w:color w:val="231F20"/>
          <w:spacing w:val="29"/>
          <w:w w:val="99"/>
        </w:rPr>
        <w:t> </w:t>
      </w:r>
      <w:r>
        <w:rPr>
          <w:color w:val="231F20"/>
        </w:rPr>
        <w:t>boarding</w:t>
      </w:r>
      <w:r>
        <w:rPr>
          <w:color w:val="231F20"/>
          <w:spacing w:val="-11"/>
        </w:rPr>
        <w:t> </w:t>
      </w:r>
      <w:r>
        <w:rPr>
          <w:color w:val="231F20"/>
        </w:rPr>
        <w:t>providers</w:t>
      </w:r>
      <w:r>
        <w:rPr>
          <w:color w:val="231F20"/>
          <w:spacing w:val="-10"/>
        </w:rPr>
        <w:t> </w:t>
      </w:r>
      <w:r>
        <w:rPr>
          <w:color w:val="231F20"/>
        </w:rPr>
        <w:t>reported</w:t>
      </w:r>
      <w:r>
        <w:rPr>
          <w:color w:val="231F20"/>
          <w:spacing w:val="-10"/>
        </w:rPr>
        <w:t> </w:t>
      </w:r>
      <w:r>
        <w:rPr>
          <w:color w:val="231F20"/>
        </w:rPr>
        <w:t>that</w:t>
      </w:r>
      <w:r>
        <w:rPr>
          <w:color w:val="231F20"/>
          <w:spacing w:val="-10"/>
        </w:rPr>
        <w:t> </w:t>
      </w:r>
      <w:r>
        <w:rPr>
          <w:color w:val="231F20"/>
        </w:rPr>
        <w:t>Aboriginal</w:t>
      </w:r>
      <w:r>
        <w:rPr>
          <w:color w:val="231F20"/>
          <w:w w:val="99"/>
        </w:rPr>
        <w:t> </w:t>
      </w:r>
      <w:r>
        <w:rPr>
          <w:color w:val="231F20"/>
        </w:rPr>
        <w:t>and</w:t>
      </w:r>
      <w:r>
        <w:rPr>
          <w:color w:val="231F20"/>
          <w:spacing w:val="-7"/>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5"/>
        </w:rPr>
        <w:t> </w:t>
      </w:r>
      <w:r>
        <w:rPr>
          <w:color w:val="231F20"/>
        </w:rPr>
        <w:t>boarders</w:t>
      </w:r>
      <w:r>
        <w:rPr>
          <w:color w:val="231F20"/>
          <w:spacing w:val="-6"/>
        </w:rPr>
        <w:t> </w:t>
      </w:r>
      <w:r>
        <w:rPr>
          <w:color w:val="231F20"/>
        </w:rPr>
        <w:t>from</w:t>
      </w:r>
      <w:r>
        <w:rPr>
          <w:color w:val="231F20"/>
          <w:spacing w:val="21"/>
          <w:w w:val="99"/>
        </w:rPr>
        <w:t> </w:t>
      </w:r>
      <w:r>
        <w:rPr>
          <w:color w:val="231F20"/>
        </w:rPr>
        <w:t>disadvantaged</w:t>
      </w:r>
      <w:r>
        <w:rPr>
          <w:color w:val="231F20"/>
          <w:spacing w:val="-14"/>
        </w:rPr>
        <w:t> </w:t>
      </w:r>
      <w:r>
        <w:rPr>
          <w:color w:val="231F20"/>
        </w:rPr>
        <w:t>and/or</w:t>
      </w:r>
      <w:r>
        <w:rPr>
          <w:color w:val="231F20"/>
          <w:spacing w:val="-13"/>
        </w:rPr>
        <w:t> </w:t>
      </w:r>
      <w:r>
        <w:rPr>
          <w:color w:val="231F20"/>
        </w:rPr>
        <w:t>trauma</w:t>
      </w:r>
      <w:r>
        <w:rPr>
          <w:color w:val="231F20"/>
          <w:spacing w:val="-13"/>
        </w:rPr>
        <w:t> </w:t>
      </w:r>
      <w:r>
        <w:rPr>
          <w:color w:val="231F20"/>
        </w:rPr>
        <w:t>backgrounds</w:t>
      </w:r>
      <w:r>
        <w:rPr>
          <w:color w:val="231F20"/>
          <w:w w:val="99"/>
        </w:rPr>
        <w:t> </w:t>
      </w:r>
      <w:r>
        <w:rPr>
          <w:color w:val="231F20"/>
        </w:rPr>
        <w:t>require</w:t>
      </w:r>
      <w:r>
        <w:rPr>
          <w:color w:val="231F20"/>
          <w:spacing w:val="-5"/>
        </w:rPr>
        <w:t> </w:t>
      </w:r>
      <w:r>
        <w:rPr>
          <w:color w:val="231F20"/>
        </w:rPr>
        <w:t>a</w:t>
      </w:r>
      <w:r>
        <w:rPr>
          <w:color w:val="231F20"/>
          <w:spacing w:val="-4"/>
        </w:rPr>
        <w:t> </w:t>
      </w:r>
      <w:r>
        <w:rPr>
          <w:color w:val="231F20"/>
        </w:rPr>
        <w:t>higher</w:t>
      </w:r>
      <w:r>
        <w:rPr>
          <w:color w:val="231F20"/>
          <w:spacing w:val="-4"/>
        </w:rPr>
        <w:t> </w:t>
      </w:r>
      <w:r>
        <w:rPr>
          <w:color w:val="231F20"/>
          <w:spacing w:val="-1"/>
        </w:rPr>
        <w:t>level</w:t>
      </w:r>
      <w:r>
        <w:rPr>
          <w:color w:val="231F20"/>
          <w:spacing w:val="-4"/>
        </w:rPr>
        <w:t> </w:t>
      </w:r>
      <w:r>
        <w:rPr>
          <w:color w:val="231F20"/>
        </w:rPr>
        <w:t>of</w:t>
      </w:r>
      <w:r>
        <w:rPr>
          <w:color w:val="231F20"/>
          <w:spacing w:val="-4"/>
        </w:rPr>
        <w:t> </w:t>
      </w:r>
      <w:r>
        <w:rPr>
          <w:color w:val="231F20"/>
          <w:spacing w:val="-1"/>
        </w:rPr>
        <w:t>support</w:t>
      </w:r>
      <w:r>
        <w:rPr>
          <w:color w:val="231F20"/>
          <w:spacing w:val="-3"/>
        </w:rPr>
        <w:t> </w:t>
      </w:r>
      <w:r>
        <w:rPr>
          <w:color w:val="231F20"/>
          <w:spacing w:val="-1"/>
        </w:rPr>
        <w:t>services</w:t>
      </w:r>
      <w:r>
        <w:rPr>
          <w:color w:val="231F20"/>
          <w:spacing w:val="-4"/>
        </w:rPr>
        <w:t> </w:t>
      </w:r>
      <w:r>
        <w:rPr>
          <w:color w:val="231F20"/>
        </w:rPr>
        <w:t>than</w:t>
      </w:r>
      <w:r>
        <w:rPr>
          <w:color w:val="231F20"/>
          <w:spacing w:val="24"/>
          <w:w w:val="99"/>
        </w:rPr>
        <w:t> </w:t>
      </w:r>
      <w:r>
        <w:rPr>
          <w:color w:val="231F20"/>
        </w:rPr>
        <w:t>other</w:t>
      </w:r>
      <w:r>
        <w:rPr>
          <w:color w:val="231F20"/>
          <w:spacing w:val="-7"/>
        </w:rPr>
        <w:t> </w:t>
      </w:r>
      <w:r>
        <w:rPr>
          <w:color w:val="231F20"/>
        </w:rPr>
        <w:t>boarders.</w:t>
      </w:r>
      <w:r>
        <w:rPr>
          <w:color w:val="231F20"/>
          <w:spacing w:val="-7"/>
        </w:rPr>
        <w:t> </w:t>
      </w:r>
      <w:r>
        <w:rPr>
          <w:color w:val="231F20"/>
        </w:rPr>
        <w:t>This</w:t>
      </w:r>
      <w:r>
        <w:rPr>
          <w:color w:val="231F20"/>
          <w:spacing w:val="-8"/>
        </w:rPr>
        <w:t> </w:t>
      </w:r>
      <w:r>
        <w:rPr>
          <w:color w:val="231F20"/>
          <w:spacing w:val="-1"/>
        </w:rPr>
        <w:t>is</w:t>
      </w:r>
      <w:r>
        <w:rPr>
          <w:color w:val="231F20"/>
          <w:spacing w:val="-7"/>
        </w:rPr>
        <w:t> </w:t>
      </w:r>
      <w:r>
        <w:rPr>
          <w:color w:val="231F20"/>
        </w:rPr>
        <w:t>predominately</w:t>
      </w:r>
      <w:r>
        <w:rPr>
          <w:color w:val="231F20"/>
          <w:spacing w:val="-7"/>
        </w:rPr>
        <w:t> </w:t>
      </w:r>
      <w:r>
        <w:rPr>
          <w:color w:val="231F20"/>
        </w:rPr>
        <w:t>health,</w:t>
      </w:r>
      <w:r>
        <w:rPr>
          <w:color w:val="231F20"/>
          <w:spacing w:val="21"/>
          <w:w w:val="99"/>
        </w:rPr>
        <w:t> </w:t>
      </w:r>
      <w:r>
        <w:rPr>
          <w:color w:val="231F20"/>
        </w:rPr>
        <w:t>emotional</w:t>
      </w:r>
      <w:r>
        <w:rPr>
          <w:color w:val="231F20"/>
          <w:spacing w:val="-9"/>
        </w:rPr>
        <w:t> </w:t>
      </w:r>
      <w:r>
        <w:rPr>
          <w:color w:val="231F20"/>
        </w:rPr>
        <w:t>well-being,</w:t>
      </w:r>
      <w:r>
        <w:rPr>
          <w:color w:val="231F20"/>
          <w:spacing w:val="-9"/>
        </w:rPr>
        <w:t> </w:t>
      </w:r>
      <w:r>
        <w:rPr>
          <w:color w:val="231F20"/>
        </w:rPr>
        <w:t>education,</w:t>
      </w:r>
      <w:r>
        <w:rPr>
          <w:color w:val="231F20"/>
          <w:spacing w:val="-7"/>
        </w:rPr>
        <w:t> </w:t>
      </w:r>
      <w:r>
        <w:rPr>
          <w:color w:val="231F20"/>
        </w:rPr>
        <w:t>cultural</w:t>
      </w:r>
      <w:r>
        <w:rPr>
          <w:color w:val="231F20"/>
          <w:spacing w:val="-8"/>
        </w:rPr>
        <w:t> </w:t>
      </w:r>
      <w:r>
        <w:rPr>
          <w:color w:val="231F20"/>
        </w:rPr>
        <w:t>and</w:t>
      </w:r>
      <w:r>
        <w:rPr>
          <w:color w:val="231F20"/>
          <w:w w:val="99"/>
        </w:rPr>
        <w:t> </w:t>
      </w:r>
      <w:r>
        <w:rPr>
          <w:color w:val="231F20"/>
          <w:spacing w:val="-1"/>
        </w:rPr>
        <w:t>social</w:t>
      </w:r>
      <w:r>
        <w:rPr>
          <w:color w:val="231F20"/>
          <w:spacing w:val="-4"/>
        </w:rPr>
        <w:t> </w:t>
      </w:r>
      <w:r>
        <w:rPr>
          <w:color w:val="231F20"/>
          <w:spacing w:val="-1"/>
        </w:rPr>
        <w:t>support</w:t>
      </w:r>
      <w:r>
        <w:rPr>
          <w:color w:val="231F20"/>
          <w:spacing w:val="-3"/>
        </w:rPr>
        <w:t> </w:t>
      </w:r>
      <w:r>
        <w:rPr>
          <w:color w:val="231F20"/>
          <w:spacing w:val="-1"/>
        </w:rPr>
        <w:t>services.</w:t>
      </w:r>
      <w:r>
        <w:rPr/>
      </w:r>
    </w:p>
    <w:p>
      <w:pPr>
        <w:pStyle w:val="BodyText"/>
        <w:spacing w:line="250" w:lineRule="exact" w:before="113"/>
        <w:ind w:left="571" w:right="429"/>
        <w:jc w:val="left"/>
        <w:rPr>
          <w:rFonts w:ascii="Segoe UI Semibold" w:hAnsi="Segoe UI Semibold" w:cs="Segoe UI Semibold" w:eastAsia="Segoe UI Semibold"/>
        </w:rPr>
      </w:pPr>
      <w:r>
        <w:rPr>
          <w:rFonts w:ascii="Segoe UI Semibold"/>
          <w:b/>
          <w:color w:val="00779B"/>
          <w:spacing w:val="-1"/>
        </w:rPr>
        <w:t>Approximately</w:t>
      </w:r>
      <w:r>
        <w:rPr>
          <w:rFonts w:ascii="Segoe UI Semibold"/>
          <w:b/>
          <w:color w:val="00779B"/>
          <w:spacing w:val="-2"/>
        </w:rPr>
        <w:t> </w:t>
      </w:r>
      <w:r>
        <w:rPr>
          <w:rFonts w:ascii="Segoe UI Semibold"/>
          <w:b/>
          <w:color w:val="00779B"/>
          <w:spacing w:val="-1"/>
        </w:rPr>
        <w:t>95</w:t>
      </w:r>
      <w:r>
        <w:rPr>
          <w:rFonts w:ascii="Segoe UI Semibold"/>
          <w:b/>
          <w:color w:val="00779B"/>
          <w:spacing w:val="-2"/>
        </w:rPr>
        <w:t> </w:t>
      </w:r>
      <w:r>
        <w:rPr>
          <w:rFonts w:ascii="Segoe UI Semibold"/>
          <w:b/>
          <w:color w:val="00779B"/>
        </w:rPr>
        <w:t>per</w:t>
      </w:r>
      <w:r>
        <w:rPr>
          <w:rFonts w:ascii="Segoe UI Semibold"/>
          <w:b/>
          <w:color w:val="00779B"/>
          <w:spacing w:val="-2"/>
        </w:rPr>
        <w:t> </w:t>
      </w:r>
      <w:r>
        <w:rPr>
          <w:rFonts w:ascii="Segoe UI Semibold"/>
          <w:b/>
          <w:color w:val="00779B"/>
          <w:spacing w:val="-1"/>
        </w:rPr>
        <w:t>cent</w:t>
      </w:r>
      <w:r>
        <w:rPr>
          <w:rFonts w:ascii="Segoe UI Semibold"/>
          <w:b/>
          <w:color w:val="00779B"/>
          <w:spacing w:val="-2"/>
        </w:rPr>
        <w:t> of </w:t>
      </w:r>
      <w:r>
        <w:rPr>
          <w:rFonts w:ascii="Segoe UI Semibold"/>
          <w:b/>
          <w:color w:val="00779B"/>
          <w:spacing w:val="-1"/>
        </w:rPr>
        <w:t>the</w:t>
      </w:r>
      <w:r>
        <w:rPr>
          <w:rFonts w:ascii="Segoe UI Semibold"/>
          <w:b/>
          <w:color w:val="00779B"/>
          <w:spacing w:val="23"/>
        </w:rPr>
        <w:t> </w:t>
      </w:r>
      <w:r>
        <w:rPr>
          <w:rFonts w:ascii="Segoe UI Semibold"/>
          <w:b/>
          <w:color w:val="00779B"/>
          <w:spacing w:val="-1"/>
        </w:rPr>
        <w:t>time </w:t>
      </w:r>
      <w:r>
        <w:rPr>
          <w:rFonts w:ascii="Segoe UI Semibold"/>
          <w:b/>
          <w:color w:val="00779B"/>
          <w:spacing w:val="-2"/>
        </w:rPr>
        <w:t>of</w:t>
      </w:r>
      <w:r>
        <w:rPr>
          <w:rFonts w:ascii="Segoe UI Semibold"/>
          <w:b/>
          <w:color w:val="00779B"/>
        </w:rPr>
        <w:t> </w:t>
      </w:r>
      <w:r>
        <w:rPr>
          <w:rFonts w:ascii="Segoe UI Semibold"/>
          <w:b/>
          <w:color w:val="00779B"/>
          <w:spacing w:val="-1"/>
        </w:rPr>
        <w:t>the school</w:t>
      </w:r>
      <w:r>
        <w:rPr>
          <w:rFonts w:ascii="Segoe UI Semibold"/>
          <w:b/>
          <w:color w:val="00779B"/>
        </w:rPr>
        <w:t> </w:t>
      </w:r>
      <w:r>
        <w:rPr>
          <w:rFonts w:ascii="Segoe UI Semibold"/>
          <w:b/>
          <w:color w:val="00779B"/>
          <w:spacing w:val="-1"/>
        </w:rPr>
        <w:t>nurse is</w:t>
      </w:r>
      <w:r>
        <w:rPr>
          <w:rFonts w:ascii="Segoe UI Semibold"/>
          <w:b/>
          <w:color w:val="00779B"/>
        </w:rPr>
        <w:t> </w:t>
      </w:r>
      <w:r>
        <w:rPr>
          <w:rFonts w:ascii="Segoe UI Semibold"/>
          <w:b/>
          <w:color w:val="00779B"/>
          <w:spacing w:val="-1"/>
        </w:rPr>
        <w:t>devoted</w:t>
      </w:r>
      <w:r>
        <w:rPr>
          <w:rFonts w:ascii="Segoe UI Semibold"/>
          <w:b/>
          <w:color w:val="00779B"/>
          <w:spacing w:val="27"/>
          <w:w w:val="99"/>
        </w:rPr>
        <w:t> </w:t>
      </w:r>
      <w:r>
        <w:rPr>
          <w:rFonts w:ascii="Segoe UI Semibold"/>
          <w:b/>
          <w:color w:val="00779B"/>
          <w:spacing w:val="-1"/>
        </w:rPr>
        <w:t>to</w:t>
      </w:r>
      <w:r>
        <w:rPr>
          <w:rFonts w:ascii="Segoe UI Semibold"/>
          <w:b/>
          <w:color w:val="00779B"/>
          <w:spacing w:val="-2"/>
        </w:rPr>
        <w:t> </w:t>
      </w:r>
      <w:r>
        <w:rPr>
          <w:rFonts w:ascii="Segoe UI Semibold"/>
          <w:b/>
          <w:color w:val="00779B"/>
          <w:spacing w:val="-1"/>
        </w:rPr>
        <w:t>addressing the </w:t>
      </w:r>
      <w:r>
        <w:rPr>
          <w:rFonts w:ascii="Segoe UI Semibold"/>
          <w:b/>
          <w:color w:val="00779B"/>
        </w:rPr>
        <w:t>health</w:t>
      </w:r>
      <w:r>
        <w:rPr>
          <w:rFonts w:ascii="Segoe UI Semibold"/>
          <w:b/>
          <w:color w:val="00779B"/>
          <w:spacing w:val="-2"/>
        </w:rPr>
        <w:t> </w:t>
      </w:r>
      <w:r>
        <w:rPr>
          <w:rFonts w:ascii="Segoe UI Semibold"/>
          <w:b/>
          <w:color w:val="00779B"/>
          <w:spacing w:val="-1"/>
        </w:rPr>
        <w:t>issues </w:t>
      </w:r>
      <w:r>
        <w:rPr>
          <w:rFonts w:ascii="Segoe UI Semibold"/>
          <w:b/>
          <w:color w:val="00779B"/>
          <w:spacing w:val="-2"/>
        </w:rPr>
        <w:t>of</w:t>
      </w:r>
      <w:r>
        <w:rPr>
          <w:rFonts w:ascii="Segoe UI Semibold"/>
        </w:rPr>
      </w:r>
    </w:p>
    <w:p>
      <w:pPr>
        <w:pStyle w:val="BodyText"/>
        <w:spacing w:line="250" w:lineRule="exact"/>
        <w:ind w:left="571" w:right="257"/>
        <w:jc w:val="left"/>
        <w:rPr>
          <w:rFonts w:ascii="Segoe UI Semibold" w:hAnsi="Segoe UI Semibold" w:cs="Segoe UI Semibold" w:eastAsia="Segoe UI Semibold"/>
          <w:sz w:val="11"/>
          <w:szCs w:val="11"/>
        </w:rPr>
      </w:pPr>
      <w:r>
        <w:rPr>
          <w:rFonts w:ascii="Segoe UI Semibold"/>
          <w:b/>
          <w:color w:val="00779B"/>
          <w:spacing w:val="-1"/>
        </w:rPr>
        <w:t>Aboriginal boarders</w:t>
      </w:r>
      <w:r>
        <w:rPr>
          <w:rFonts w:ascii="Segoe UI Semibold"/>
          <w:b/>
          <w:color w:val="00779B"/>
          <w:spacing w:val="-2"/>
        </w:rPr>
        <w:t> </w:t>
      </w:r>
      <w:r>
        <w:rPr>
          <w:rFonts w:ascii="Segoe UI Semibold"/>
          <w:b/>
          <w:color w:val="00779B"/>
        </w:rPr>
        <w:t>but</w:t>
      </w:r>
      <w:r>
        <w:rPr>
          <w:rFonts w:ascii="Segoe UI Semibold"/>
          <w:b/>
          <w:color w:val="00779B"/>
          <w:spacing w:val="-2"/>
        </w:rPr>
        <w:t> </w:t>
      </w:r>
      <w:r>
        <w:rPr>
          <w:rFonts w:ascii="Segoe UI Semibold"/>
          <w:b/>
          <w:color w:val="00779B"/>
          <w:spacing w:val="-1"/>
        </w:rPr>
        <w:t>the </w:t>
      </w:r>
      <w:r>
        <w:rPr>
          <w:rFonts w:ascii="Segoe UI Semibold"/>
          <w:b/>
          <w:color w:val="00779B"/>
        </w:rPr>
        <w:t>salary</w:t>
      </w:r>
      <w:r>
        <w:rPr>
          <w:rFonts w:ascii="Segoe UI Semibold"/>
          <w:b/>
          <w:color w:val="00779B"/>
          <w:spacing w:val="-2"/>
        </w:rPr>
        <w:t> </w:t>
      </w:r>
      <w:r>
        <w:rPr>
          <w:rFonts w:ascii="Segoe UI Semibold"/>
          <w:b/>
          <w:color w:val="00779B"/>
        </w:rPr>
        <w:t>and</w:t>
      </w:r>
      <w:r>
        <w:rPr>
          <w:rFonts w:ascii="Segoe UI Semibold"/>
          <w:b/>
          <w:color w:val="00779B"/>
          <w:spacing w:val="21"/>
        </w:rPr>
        <w:t> </w:t>
      </w:r>
      <w:r>
        <w:rPr>
          <w:rFonts w:ascii="Segoe UI Semibold"/>
          <w:b/>
          <w:color w:val="00779B"/>
          <w:spacing w:val="-1"/>
        </w:rPr>
        <w:t>on-costs </w:t>
      </w:r>
      <w:r>
        <w:rPr>
          <w:rFonts w:ascii="Segoe UI Semibold"/>
          <w:b/>
          <w:color w:val="00779B"/>
          <w:spacing w:val="-2"/>
        </w:rPr>
        <w:t>of</w:t>
      </w:r>
      <w:r>
        <w:rPr>
          <w:rFonts w:ascii="Segoe UI Semibold"/>
          <w:b/>
          <w:color w:val="00779B"/>
          <w:spacing w:val="-1"/>
        </w:rPr>
        <w:t> the nurse</w:t>
      </w:r>
      <w:r>
        <w:rPr>
          <w:rFonts w:ascii="Segoe UI Semibold"/>
          <w:b/>
          <w:color w:val="00779B"/>
        </w:rPr>
        <w:t> </w:t>
      </w:r>
      <w:r>
        <w:rPr>
          <w:rFonts w:ascii="Segoe UI Semibold"/>
          <w:b/>
          <w:color w:val="00779B"/>
          <w:spacing w:val="-1"/>
        </w:rPr>
        <w:t>are</w:t>
      </w:r>
      <w:r>
        <w:rPr>
          <w:rFonts w:ascii="Segoe UI Semibold"/>
          <w:b/>
          <w:color w:val="00779B"/>
          <w:spacing w:val="-2"/>
        </w:rPr>
        <w:t> </w:t>
      </w:r>
      <w:r>
        <w:rPr>
          <w:rFonts w:ascii="Segoe UI Semibold"/>
          <w:b/>
          <w:color w:val="00779B"/>
          <w:spacing w:val="-1"/>
        </w:rPr>
        <w:t>charged</w:t>
      </w:r>
      <w:r>
        <w:rPr>
          <w:rFonts w:ascii="Segoe UI Semibold"/>
          <w:b/>
          <w:color w:val="00779B"/>
          <w:spacing w:val="-2"/>
        </w:rPr>
        <w:t> </w:t>
      </w:r>
      <w:r>
        <w:rPr>
          <w:rFonts w:ascii="Segoe UI Semibold"/>
          <w:b/>
          <w:color w:val="00779B"/>
          <w:spacing w:val="-1"/>
        </w:rPr>
        <w:t>to</w:t>
      </w:r>
      <w:r>
        <w:rPr>
          <w:rFonts w:ascii="Segoe UI Semibold"/>
          <w:b/>
          <w:color w:val="00779B"/>
          <w:spacing w:val="29"/>
        </w:rPr>
        <w:t> </w:t>
      </w:r>
      <w:r>
        <w:rPr>
          <w:rFonts w:ascii="Segoe UI Semibold"/>
          <w:b/>
          <w:color w:val="00779B"/>
          <w:spacing w:val="-1"/>
        </w:rPr>
        <w:t>tuition.</w:t>
      </w:r>
      <w:r>
        <w:rPr>
          <w:rFonts w:ascii="Segoe UI Semibold"/>
          <w:b/>
          <w:color w:val="00779B"/>
          <w:spacing w:val="-1"/>
          <w:position w:val="7"/>
          <w:sz w:val="11"/>
        </w:rPr>
        <w:t>149</w:t>
      </w:r>
      <w:r>
        <w:rPr>
          <w:rFonts w:ascii="Segoe UI Semibold"/>
          <w:sz w:val="11"/>
        </w:rPr>
      </w:r>
    </w:p>
    <w:p>
      <w:pPr>
        <w:pStyle w:val="BodyText"/>
        <w:spacing w:line="250" w:lineRule="exact" w:before="62"/>
        <w:ind w:right="133"/>
        <w:jc w:val="left"/>
      </w:pPr>
      <w:r>
        <w:rPr/>
        <w:br w:type="column"/>
      </w:r>
      <w:r>
        <w:rPr>
          <w:color w:val="231F20"/>
        </w:rPr>
        <w:t>The</w:t>
      </w:r>
      <w:r>
        <w:rPr>
          <w:color w:val="231F20"/>
          <w:spacing w:val="-5"/>
        </w:rPr>
        <w:t> </w:t>
      </w:r>
      <w:r>
        <w:rPr>
          <w:color w:val="231F20"/>
        </w:rPr>
        <w:t>data</w:t>
      </w:r>
      <w:r>
        <w:rPr>
          <w:color w:val="231F20"/>
          <w:spacing w:val="-5"/>
        </w:rPr>
        <w:t> </w:t>
      </w:r>
      <w:r>
        <w:rPr>
          <w:color w:val="231F20"/>
          <w:spacing w:val="-1"/>
        </w:rPr>
        <w:t>indicates</w:t>
      </w:r>
      <w:r>
        <w:rPr>
          <w:color w:val="231F20"/>
          <w:spacing w:val="-5"/>
        </w:rPr>
        <w:t> </w:t>
      </w:r>
      <w:r>
        <w:rPr>
          <w:color w:val="231F20"/>
        </w:rPr>
        <w:t>that</w:t>
      </w:r>
      <w:r>
        <w:rPr>
          <w:color w:val="231F20"/>
          <w:spacing w:val="-5"/>
        </w:rPr>
        <w:t> </w:t>
      </w:r>
      <w:r>
        <w:rPr>
          <w:color w:val="231F20"/>
        </w:rPr>
        <w:t>the</w:t>
      </w:r>
      <w:r>
        <w:rPr>
          <w:color w:val="231F20"/>
          <w:spacing w:val="-6"/>
        </w:rPr>
        <w:t> </w:t>
      </w:r>
      <w:r>
        <w:rPr>
          <w:color w:val="231F20"/>
        </w:rPr>
        <w:t>cost</w:t>
      </w:r>
      <w:r>
        <w:rPr>
          <w:color w:val="231F20"/>
          <w:spacing w:val="-5"/>
        </w:rPr>
        <w:t> </w:t>
      </w:r>
      <w:r>
        <w:rPr>
          <w:color w:val="231F20"/>
        </w:rPr>
        <w:t>of</w:t>
      </w:r>
      <w:r>
        <w:rPr>
          <w:color w:val="231F20"/>
          <w:spacing w:val="-5"/>
        </w:rPr>
        <w:t> </w:t>
      </w:r>
      <w:r>
        <w:rPr>
          <w:color w:val="231F20"/>
        </w:rPr>
        <w:t>boarding</w:t>
      </w:r>
      <w:r>
        <w:rPr>
          <w:color w:val="231F20"/>
          <w:spacing w:val="22"/>
          <w:w w:val="99"/>
        </w:rPr>
        <w:t> </w:t>
      </w:r>
      <w:r>
        <w:rPr>
          <w:rFonts w:ascii="Segoe UI"/>
          <w:color w:val="231F20"/>
        </w:rPr>
        <w:t>may indeed be influenced by the socio</w:t>
      </w:r>
      <w:r>
        <w:rPr>
          <w:rFonts w:ascii="Segoe UI"/>
          <w:color w:val="231F20"/>
        </w:rPr>
        <w:t> </w:t>
      </w:r>
      <w:r>
        <w:rPr>
          <w:color w:val="231F20"/>
        </w:rPr>
        <w:t>economic</w:t>
      </w:r>
      <w:r>
        <w:rPr>
          <w:color w:val="231F20"/>
          <w:spacing w:val="-6"/>
        </w:rPr>
        <w:t> </w:t>
      </w:r>
      <w:r>
        <w:rPr>
          <w:color w:val="231F20"/>
        </w:rPr>
        <w:t>background</w:t>
      </w:r>
      <w:r>
        <w:rPr>
          <w:color w:val="231F20"/>
          <w:spacing w:val="-6"/>
        </w:rPr>
        <w:t> </w:t>
      </w:r>
      <w:r>
        <w:rPr>
          <w:color w:val="231F20"/>
        </w:rPr>
        <w:t>of</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w:t>
      </w:r>
      <w:r>
        <w:rPr>
          <w:color w:val="231F20"/>
          <w:spacing w:val="24"/>
          <w:w w:val="99"/>
        </w:rPr>
        <w:t> </w:t>
      </w:r>
      <w:r>
        <w:rPr>
          <w:color w:val="231F20"/>
          <w:spacing w:val="-2"/>
        </w:rPr>
        <w:t>Strait</w:t>
      </w:r>
      <w:r>
        <w:rPr>
          <w:color w:val="231F20"/>
          <w:spacing w:val="-11"/>
        </w:rPr>
        <w:t> </w:t>
      </w:r>
      <w:r>
        <w:rPr>
          <w:color w:val="231F20"/>
          <w:spacing w:val="-1"/>
        </w:rPr>
        <w:t>Islander</w:t>
      </w:r>
      <w:r>
        <w:rPr>
          <w:color w:val="231F20"/>
          <w:spacing w:val="-9"/>
        </w:rPr>
        <w:t> </w:t>
      </w:r>
      <w:r>
        <w:rPr>
          <w:color w:val="231F20"/>
          <w:spacing w:val="-1"/>
        </w:rPr>
        <w:t>students.</w:t>
      </w:r>
      <w:r>
        <w:rPr/>
      </w:r>
    </w:p>
    <w:p>
      <w:pPr>
        <w:pStyle w:val="BodyText"/>
        <w:spacing w:line="250" w:lineRule="exact" w:before="113"/>
        <w:ind w:right="327"/>
        <w:jc w:val="left"/>
      </w:pPr>
      <w:r>
        <w:rPr>
          <w:color w:val="231F20"/>
          <w:spacing w:val="-1"/>
        </w:rPr>
        <w:t>Twenty-three</w:t>
      </w:r>
      <w:r>
        <w:rPr>
          <w:color w:val="231F20"/>
          <w:spacing w:val="-8"/>
        </w:rPr>
        <w:t> </w:t>
      </w:r>
      <w:r>
        <w:rPr>
          <w:color w:val="231F20"/>
        </w:rPr>
        <w:t>of</w:t>
      </w:r>
      <w:r>
        <w:rPr>
          <w:color w:val="231F20"/>
          <w:spacing w:val="-6"/>
        </w:rPr>
        <w:t> </w:t>
      </w:r>
      <w:r>
        <w:rPr>
          <w:color w:val="231F20"/>
        </w:rPr>
        <w:t>the</w:t>
      </w:r>
      <w:r>
        <w:rPr>
          <w:color w:val="231F20"/>
          <w:spacing w:val="-6"/>
        </w:rPr>
        <w:t> </w:t>
      </w:r>
      <w:r>
        <w:rPr>
          <w:color w:val="231F20"/>
        </w:rPr>
        <w:t>Aboriginal</w:t>
      </w:r>
      <w:r>
        <w:rPr>
          <w:color w:val="231F20"/>
          <w:spacing w:val="-6"/>
        </w:rPr>
        <w:t> </w:t>
      </w:r>
      <w:r>
        <w:rPr>
          <w:color w:val="231F20"/>
        </w:rPr>
        <w:t>and</w:t>
      </w:r>
      <w:r>
        <w:rPr>
          <w:color w:val="231F20"/>
          <w:spacing w:val="-7"/>
        </w:rPr>
        <w:t> </w:t>
      </w:r>
      <w:r>
        <w:rPr>
          <w:color w:val="231F20"/>
          <w:spacing w:val="-5"/>
        </w:rPr>
        <w:t>Torres</w:t>
      </w:r>
      <w:r>
        <w:rPr>
          <w:color w:val="231F20"/>
          <w:spacing w:val="23"/>
          <w:w w:val="99"/>
        </w:rPr>
        <w:t> </w:t>
      </w:r>
      <w:r>
        <w:rPr>
          <w:color w:val="231F20"/>
          <w:spacing w:val="-2"/>
        </w:rPr>
        <w:t>Strait</w:t>
      </w:r>
      <w:r>
        <w:rPr>
          <w:color w:val="231F20"/>
          <w:spacing w:val="-6"/>
        </w:rPr>
        <w:t> </w:t>
      </w:r>
      <w:r>
        <w:rPr>
          <w:color w:val="231F20"/>
          <w:spacing w:val="-1"/>
        </w:rPr>
        <w:t>Islander</w:t>
      </w:r>
      <w:r>
        <w:rPr>
          <w:color w:val="231F20"/>
          <w:spacing w:val="-5"/>
        </w:rPr>
        <w:t> </w:t>
      </w:r>
      <w:r>
        <w:rPr>
          <w:color w:val="231F20"/>
        </w:rPr>
        <w:t>boarding</w:t>
      </w:r>
      <w:r>
        <w:rPr>
          <w:color w:val="231F20"/>
          <w:spacing w:val="-5"/>
        </w:rPr>
        <w:t> </w:t>
      </w:r>
      <w:r>
        <w:rPr>
          <w:color w:val="231F20"/>
          <w:spacing w:val="-1"/>
        </w:rPr>
        <w:t>providers</w:t>
      </w:r>
      <w:r>
        <w:rPr>
          <w:rFonts w:ascii="Segoe UI Semibold"/>
          <w:b/>
          <w:color w:val="231F20"/>
          <w:spacing w:val="-1"/>
          <w:position w:val="7"/>
          <w:sz w:val="11"/>
        </w:rPr>
        <w:t>150</w:t>
      </w:r>
      <w:r>
        <w:rPr>
          <w:rFonts w:ascii="Segoe UI Semibold"/>
          <w:b/>
          <w:color w:val="231F20"/>
          <w:spacing w:val="19"/>
          <w:position w:val="7"/>
          <w:sz w:val="11"/>
        </w:rPr>
        <w:t> </w:t>
      </w:r>
      <w:r>
        <w:rPr>
          <w:color w:val="231F20"/>
        </w:rPr>
        <w:t>have</w:t>
      </w:r>
      <w:r>
        <w:rPr>
          <w:color w:val="231F20"/>
          <w:spacing w:val="-5"/>
        </w:rPr>
        <w:t> </w:t>
      </w:r>
      <w:r>
        <w:rPr>
          <w:color w:val="231F20"/>
        </w:rPr>
        <w:t>an</w:t>
      </w:r>
      <w:r>
        <w:rPr>
          <w:color w:val="231F20"/>
          <w:spacing w:val="31"/>
          <w:w w:val="99"/>
        </w:rPr>
        <w:t> </w:t>
      </w:r>
      <w:r>
        <w:rPr>
          <w:color w:val="231F20"/>
        </w:rPr>
        <w:t>allocated</w:t>
      </w:r>
      <w:r>
        <w:rPr>
          <w:color w:val="231F20"/>
          <w:spacing w:val="-3"/>
        </w:rPr>
        <w:t> </w:t>
      </w:r>
      <w:r>
        <w:rPr>
          <w:color w:val="231F20"/>
          <w:spacing w:val="-1"/>
        </w:rPr>
        <w:t>ICSEA score.</w:t>
      </w:r>
      <w:r>
        <w:rPr>
          <w:rFonts w:ascii="Segoe UI Semibold"/>
          <w:b/>
          <w:color w:val="231F20"/>
          <w:spacing w:val="-1"/>
          <w:position w:val="7"/>
          <w:sz w:val="11"/>
        </w:rPr>
        <w:t>151</w:t>
      </w:r>
      <w:r>
        <w:rPr>
          <w:rFonts w:ascii="Segoe UI Semibold"/>
          <w:b/>
          <w:color w:val="231F20"/>
          <w:spacing w:val="22"/>
          <w:position w:val="7"/>
          <w:sz w:val="11"/>
        </w:rPr>
        <w:t> </w:t>
      </w:r>
      <w:r>
        <w:rPr>
          <w:color w:val="231F20"/>
        </w:rPr>
        <w:t>The</w:t>
      </w:r>
      <w:r>
        <w:rPr>
          <w:color w:val="231F20"/>
          <w:spacing w:val="-1"/>
        </w:rPr>
        <w:t> ICSEA</w:t>
      </w:r>
      <w:r>
        <w:rPr>
          <w:color w:val="231F20"/>
          <w:spacing w:val="-2"/>
        </w:rPr>
        <w:t> </w:t>
      </w:r>
      <w:r>
        <w:rPr>
          <w:color w:val="231F20"/>
          <w:spacing w:val="-1"/>
        </w:rPr>
        <w:t>measures</w:t>
      </w:r>
      <w:r>
        <w:rPr>
          <w:color w:val="231F20"/>
          <w:spacing w:val="24"/>
        </w:rPr>
        <w:t> </w:t>
      </w:r>
      <w:r>
        <w:rPr>
          <w:color w:val="231F20"/>
        </w:rPr>
        <w:t>the</w:t>
      </w:r>
      <w:r>
        <w:rPr>
          <w:color w:val="231F20"/>
          <w:spacing w:val="-7"/>
        </w:rPr>
        <w:t> </w:t>
      </w:r>
      <w:r>
        <w:rPr>
          <w:color w:val="231F20"/>
        </w:rPr>
        <w:t>occupational</w:t>
      </w:r>
      <w:r>
        <w:rPr>
          <w:color w:val="231F20"/>
          <w:spacing w:val="-7"/>
        </w:rPr>
        <w:t> </w:t>
      </w:r>
      <w:r>
        <w:rPr>
          <w:color w:val="231F20"/>
        </w:rPr>
        <w:t>and</w:t>
      </w:r>
      <w:r>
        <w:rPr>
          <w:color w:val="231F20"/>
          <w:spacing w:val="-7"/>
        </w:rPr>
        <w:t> </w:t>
      </w:r>
      <w:r>
        <w:rPr>
          <w:color w:val="231F20"/>
        </w:rPr>
        <w:t>educational</w:t>
      </w:r>
      <w:r>
        <w:rPr>
          <w:color w:val="231F20"/>
          <w:spacing w:val="-7"/>
        </w:rPr>
        <w:t> </w:t>
      </w:r>
      <w:r>
        <w:rPr>
          <w:color w:val="231F20"/>
          <w:spacing w:val="-1"/>
        </w:rPr>
        <w:t>status</w:t>
      </w:r>
      <w:r>
        <w:rPr>
          <w:color w:val="231F20"/>
          <w:spacing w:val="-6"/>
        </w:rPr>
        <w:t> </w:t>
      </w:r>
      <w:r>
        <w:rPr>
          <w:color w:val="231F20"/>
        </w:rPr>
        <w:t>of</w:t>
      </w:r>
      <w:r>
        <w:rPr>
          <w:color w:val="231F20"/>
          <w:spacing w:val="21"/>
          <w:w w:val="99"/>
        </w:rPr>
        <w:t> </w:t>
      </w:r>
      <w:r>
        <w:rPr>
          <w:color w:val="231F20"/>
          <w:spacing w:val="-1"/>
        </w:rPr>
        <w:t>students'</w:t>
      </w:r>
      <w:r>
        <w:rPr>
          <w:color w:val="231F20"/>
          <w:spacing w:val="-2"/>
        </w:rPr>
        <w:t> </w:t>
      </w:r>
      <w:r>
        <w:rPr>
          <w:color w:val="231F20"/>
        </w:rPr>
        <w:t>parents</w:t>
      </w:r>
      <w:r>
        <w:rPr>
          <w:color w:val="231F20"/>
          <w:spacing w:val="-4"/>
        </w:rPr>
        <w:t> </w:t>
      </w:r>
      <w:r>
        <w:rPr>
          <w:color w:val="231F20"/>
        </w:rPr>
        <w:t>by</w:t>
      </w:r>
      <w:r>
        <w:rPr>
          <w:color w:val="231F20"/>
          <w:spacing w:val="-3"/>
        </w:rPr>
        <w:t> </w:t>
      </w:r>
      <w:r>
        <w:rPr>
          <w:color w:val="231F20"/>
          <w:spacing w:val="-1"/>
        </w:rPr>
        <w:t>looking</w:t>
      </w:r>
      <w:r>
        <w:rPr>
          <w:color w:val="231F20"/>
          <w:spacing w:val="-2"/>
        </w:rPr>
        <w:t> </w:t>
      </w:r>
      <w:r>
        <w:rPr>
          <w:color w:val="231F20"/>
        </w:rPr>
        <w:t>at</w:t>
      </w:r>
      <w:r>
        <w:rPr>
          <w:color w:val="231F20"/>
          <w:spacing w:val="-3"/>
        </w:rPr>
        <w:t> </w:t>
      </w:r>
      <w:r>
        <w:rPr>
          <w:color w:val="231F20"/>
        </w:rPr>
        <w:t>factors</w:t>
      </w:r>
      <w:r>
        <w:rPr>
          <w:color w:val="231F20"/>
          <w:spacing w:val="-3"/>
        </w:rPr>
        <w:t> </w:t>
      </w:r>
      <w:r>
        <w:rPr>
          <w:color w:val="231F20"/>
          <w:spacing w:val="-1"/>
        </w:rPr>
        <w:t>like</w:t>
      </w:r>
      <w:r>
        <w:rPr>
          <w:color w:val="231F20"/>
          <w:spacing w:val="22"/>
        </w:rPr>
        <w:t> </w:t>
      </w:r>
      <w:r>
        <w:rPr>
          <w:color w:val="231F20"/>
        </w:rPr>
        <w:t>occupation,</w:t>
      </w:r>
      <w:r>
        <w:rPr>
          <w:color w:val="231F20"/>
          <w:spacing w:val="-9"/>
        </w:rPr>
        <w:t> </w:t>
      </w:r>
      <w:r>
        <w:rPr>
          <w:color w:val="231F20"/>
        </w:rPr>
        <w:t>completed</w:t>
      </w:r>
      <w:r>
        <w:rPr>
          <w:color w:val="231F20"/>
          <w:spacing w:val="-9"/>
        </w:rPr>
        <w:t> </w:t>
      </w:r>
      <w:r>
        <w:rPr>
          <w:color w:val="231F20"/>
          <w:spacing w:val="-1"/>
        </w:rPr>
        <w:t>school</w:t>
      </w:r>
      <w:r>
        <w:rPr>
          <w:color w:val="231F20"/>
          <w:spacing w:val="-8"/>
        </w:rPr>
        <w:t> </w:t>
      </w:r>
      <w:r>
        <w:rPr>
          <w:color w:val="231F20"/>
        </w:rPr>
        <w:t>education</w:t>
      </w:r>
      <w:r>
        <w:rPr>
          <w:color w:val="231F20"/>
          <w:spacing w:val="-9"/>
        </w:rPr>
        <w:t> </w:t>
      </w:r>
      <w:r>
        <w:rPr>
          <w:color w:val="231F20"/>
        </w:rPr>
        <w:t>and</w:t>
      </w:r>
      <w:r>
        <w:rPr>
          <w:color w:val="231F20"/>
          <w:spacing w:val="21"/>
          <w:w w:val="99"/>
        </w:rPr>
        <w:t> </w:t>
      </w:r>
      <w:r>
        <w:rPr>
          <w:color w:val="231F20"/>
        </w:rPr>
        <w:t>highest</w:t>
      </w:r>
      <w:r>
        <w:rPr>
          <w:color w:val="231F20"/>
          <w:spacing w:val="-4"/>
        </w:rPr>
        <w:t> </w:t>
      </w:r>
      <w:r>
        <w:rPr>
          <w:color w:val="231F20"/>
          <w:spacing w:val="-1"/>
        </w:rPr>
        <w:t>level</w:t>
      </w:r>
      <w:r>
        <w:rPr>
          <w:color w:val="231F20"/>
          <w:spacing w:val="-3"/>
        </w:rPr>
        <w:t> </w:t>
      </w:r>
      <w:r>
        <w:rPr>
          <w:color w:val="231F20"/>
        </w:rPr>
        <w:t>of</w:t>
      </w:r>
      <w:r>
        <w:rPr>
          <w:color w:val="231F20"/>
          <w:spacing w:val="-2"/>
        </w:rPr>
        <w:t> </w:t>
      </w:r>
      <w:r>
        <w:rPr>
          <w:color w:val="231F20"/>
          <w:spacing w:val="-1"/>
        </w:rPr>
        <w:t>post-school</w:t>
      </w:r>
      <w:r>
        <w:rPr>
          <w:color w:val="231F20"/>
          <w:spacing w:val="-3"/>
        </w:rPr>
        <w:t> </w:t>
      </w:r>
      <w:r>
        <w:rPr>
          <w:color w:val="231F20"/>
        </w:rPr>
        <w:t>education.</w:t>
      </w:r>
      <w:r>
        <w:rPr>
          <w:color w:val="231F20"/>
          <w:spacing w:val="-2"/>
        </w:rPr>
        <w:t> </w:t>
      </w:r>
      <w:r>
        <w:rPr>
          <w:color w:val="231F20"/>
          <w:spacing w:val="-1"/>
        </w:rPr>
        <w:t>It</w:t>
      </w:r>
      <w:r>
        <w:rPr>
          <w:color w:val="231F20"/>
          <w:spacing w:val="-1"/>
          <w:w w:val="99"/>
        </w:rPr>
        <w:t> </w:t>
      </w:r>
      <w:r>
        <w:rPr>
          <w:color w:val="231F20"/>
          <w:spacing w:val="26"/>
          <w:w w:val="99"/>
        </w:rPr>
        <w:t> </w:t>
      </w:r>
      <w:r>
        <w:rPr>
          <w:color w:val="231F20"/>
        </w:rPr>
        <w:t>was</w:t>
      </w:r>
      <w:r>
        <w:rPr>
          <w:color w:val="231F20"/>
          <w:spacing w:val="-9"/>
        </w:rPr>
        <w:t> </w:t>
      </w:r>
      <w:r>
        <w:rPr>
          <w:color w:val="231F20"/>
        </w:rPr>
        <w:t>developed</w:t>
      </w:r>
      <w:r>
        <w:rPr>
          <w:color w:val="231F20"/>
          <w:spacing w:val="-8"/>
        </w:rPr>
        <w:t> </w:t>
      </w:r>
      <w:r>
        <w:rPr>
          <w:color w:val="231F20"/>
        </w:rPr>
        <w:t>by</w:t>
      </w:r>
      <w:r>
        <w:rPr>
          <w:color w:val="231F20"/>
          <w:spacing w:val="-7"/>
        </w:rPr>
        <w:t> </w:t>
      </w:r>
      <w:r>
        <w:rPr>
          <w:color w:val="231F20"/>
        </w:rPr>
        <w:t>the</w:t>
      </w:r>
      <w:r>
        <w:rPr>
          <w:color w:val="231F20"/>
          <w:spacing w:val="-9"/>
        </w:rPr>
        <w:t> </w:t>
      </w:r>
      <w:r>
        <w:rPr>
          <w:color w:val="231F20"/>
        </w:rPr>
        <w:t>Australian</w:t>
      </w:r>
      <w:r>
        <w:rPr>
          <w:color w:val="231F20"/>
          <w:spacing w:val="-7"/>
        </w:rPr>
        <w:t> </w:t>
      </w:r>
      <w:r>
        <w:rPr>
          <w:color w:val="231F20"/>
          <w:spacing w:val="-1"/>
        </w:rPr>
        <w:t>Curriculum,</w:t>
      </w:r>
      <w:r>
        <w:rPr>
          <w:color w:val="231F20"/>
          <w:spacing w:val="20"/>
          <w:w w:val="99"/>
        </w:rPr>
        <w:t> </w:t>
      </w:r>
      <w:r>
        <w:rPr>
          <w:color w:val="231F20"/>
        </w:rPr>
        <w:t>Assessment</w:t>
      </w:r>
      <w:r>
        <w:rPr>
          <w:color w:val="231F20"/>
          <w:spacing w:val="-8"/>
        </w:rPr>
        <w:t> </w:t>
      </w:r>
      <w:r>
        <w:rPr>
          <w:color w:val="231F20"/>
        </w:rPr>
        <w:t>and</w:t>
      </w:r>
      <w:r>
        <w:rPr>
          <w:color w:val="231F20"/>
          <w:spacing w:val="-7"/>
        </w:rPr>
        <w:t> </w:t>
      </w:r>
      <w:r>
        <w:rPr>
          <w:color w:val="231F20"/>
          <w:spacing w:val="-1"/>
        </w:rPr>
        <w:t>Reporting</w:t>
      </w:r>
      <w:r>
        <w:rPr>
          <w:color w:val="231F20"/>
          <w:spacing w:val="-7"/>
        </w:rPr>
        <w:t> </w:t>
      </w:r>
      <w:r>
        <w:rPr>
          <w:color w:val="231F20"/>
        </w:rPr>
        <w:t>Authority.</w:t>
      </w:r>
      <w:r>
        <w:rPr/>
      </w:r>
    </w:p>
    <w:p>
      <w:pPr>
        <w:pStyle w:val="BodyText"/>
        <w:spacing w:line="250" w:lineRule="exact" w:before="113"/>
        <w:ind w:right="323"/>
        <w:jc w:val="left"/>
      </w:pPr>
      <w:r>
        <w:rPr>
          <w:color w:val="231F20"/>
        </w:rPr>
        <w:t>Only</w:t>
      </w:r>
      <w:r>
        <w:rPr>
          <w:color w:val="231F20"/>
          <w:spacing w:val="-5"/>
        </w:rPr>
        <w:t> </w:t>
      </w:r>
      <w:r>
        <w:rPr>
          <w:color w:val="231F20"/>
        </w:rPr>
        <w:t>four</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providers</w:t>
      </w:r>
      <w:r>
        <w:rPr>
          <w:color w:val="231F20"/>
          <w:spacing w:val="-5"/>
        </w:rPr>
        <w:t> </w:t>
      </w:r>
      <w:r>
        <w:rPr>
          <w:color w:val="231F20"/>
        </w:rPr>
        <w:t>had</w:t>
      </w:r>
      <w:r>
        <w:rPr>
          <w:color w:val="231F20"/>
          <w:spacing w:val="-4"/>
        </w:rPr>
        <w:t> </w:t>
      </w:r>
      <w:r>
        <w:rPr>
          <w:color w:val="231F20"/>
        </w:rPr>
        <w:t>an</w:t>
      </w:r>
      <w:r>
        <w:rPr>
          <w:color w:val="231F20"/>
          <w:spacing w:val="-5"/>
        </w:rPr>
        <w:t> </w:t>
      </w:r>
      <w:r>
        <w:rPr>
          <w:color w:val="231F20"/>
          <w:spacing w:val="-1"/>
        </w:rPr>
        <w:t>ICSEA</w:t>
      </w:r>
      <w:r>
        <w:rPr>
          <w:color w:val="231F20"/>
          <w:spacing w:val="20"/>
        </w:rPr>
        <w:t> </w:t>
      </w:r>
      <w:r>
        <w:rPr>
          <w:color w:val="231F20"/>
          <w:spacing w:val="-1"/>
        </w:rPr>
        <w:t>score</w:t>
      </w:r>
      <w:r>
        <w:rPr>
          <w:color w:val="231F20"/>
          <w:spacing w:val="-5"/>
        </w:rPr>
        <w:t> </w:t>
      </w:r>
      <w:r>
        <w:rPr>
          <w:color w:val="231F20"/>
        </w:rPr>
        <w:t>above</w:t>
      </w:r>
      <w:r>
        <w:rPr>
          <w:color w:val="231F20"/>
          <w:spacing w:val="-4"/>
        </w:rPr>
        <w:t> </w:t>
      </w:r>
      <w:r>
        <w:rPr>
          <w:color w:val="231F20"/>
        </w:rPr>
        <w:t>the</w:t>
      </w:r>
      <w:r>
        <w:rPr>
          <w:color w:val="231F20"/>
          <w:spacing w:val="-5"/>
        </w:rPr>
        <w:t> </w:t>
      </w:r>
      <w:r>
        <w:rPr>
          <w:color w:val="231F20"/>
          <w:spacing w:val="-1"/>
        </w:rPr>
        <w:t>mean</w:t>
      </w:r>
      <w:r>
        <w:rPr>
          <w:color w:val="231F20"/>
          <w:spacing w:val="-4"/>
        </w:rPr>
        <w:t> </w:t>
      </w:r>
      <w:r>
        <w:rPr>
          <w:color w:val="231F20"/>
          <w:spacing w:val="-1"/>
        </w:rPr>
        <w:t>score</w:t>
      </w:r>
      <w:r>
        <w:rPr>
          <w:color w:val="231F20"/>
          <w:spacing w:val="-4"/>
        </w:rPr>
        <w:t> </w:t>
      </w:r>
      <w:r>
        <w:rPr>
          <w:color w:val="231F20"/>
        </w:rPr>
        <w:t>of</w:t>
      </w:r>
      <w:r>
        <w:rPr>
          <w:color w:val="231F20"/>
          <w:spacing w:val="-4"/>
        </w:rPr>
        <w:t> </w:t>
      </w:r>
      <w:r>
        <w:rPr>
          <w:color w:val="231F20"/>
          <w:spacing w:val="-1"/>
        </w:rPr>
        <w:t>1,000.</w:t>
      </w:r>
      <w:r>
        <w:rPr>
          <w:color w:val="231F20"/>
          <w:spacing w:val="-4"/>
        </w:rPr>
        <w:t> </w:t>
      </w:r>
      <w:r>
        <w:rPr>
          <w:color w:val="231F20"/>
          <w:spacing w:val="-5"/>
        </w:rPr>
        <w:t>Two </w:t>
      </w:r>
      <w:r>
        <w:rPr>
          <w:color w:val="231F20"/>
        </w:rPr>
        <w:t>of</w:t>
      </w:r>
      <w:r>
        <w:rPr>
          <w:color w:val="231F20"/>
          <w:spacing w:val="25"/>
          <w:w w:val="99"/>
        </w:rPr>
        <w:t> </w:t>
      </w:r>
      <w:r>
        <w:rPr>
          <w:color w:val="231F20"/>
        </w:rPr>
        <w:t>the</w:t>
      </w:r>
      <w:r>
        <w:rPr>
          <w:color w:val="231F20"/>
          <w:spacing w:val="-5"/>
        </w:rPr>
        <w:t> </w:t>
      </w:r>
      <w:r>
        <w:rPr>
          <w:color w:val="231F20"/>
        </w:rPr>
        <w:t>boarding</w:t>
      </w:r>
      <w:r>
        <w:rPr>
          <w:color w:val="231F20"/>
          <w:spacing w:val="-5"/>
        </w:rPr>
        <w:t> </w:t>
      </w:r>
      <w:r>
        <w:rPr>
          <w:color w:val="231F20"/>
        </w:rPr>
        <w:t>providers</w:t>
      </w:r>
      <w:r>
        <w:rPr>
          <w:color w:val="231F20"/>
          <w:spacing w:val="-6"/>
        </w:rPr>
        <w:t> </w:t>
      </w:r>
      <w:r>
        <w:rPr>
          <w:color w:val="231F20"/>
        </w:rPr>
        <w:t>had</w:t>
      </w:r>
      <w:r>
        <w:rPr>
          <w:color w:val="231F20"/>
          <w:spacing w:val="-4"/>
        </w:rPr>
        <w:t> </w:t>
      </w:r>
      <w:r>
        <w:rPr>
          <w:color w:val="231F20"/>
          <w:spacing w:val="-1"/>
        </w:rPr>
        <w:t>ICSEA</w:t>
      </w:r>
      <w:r>
        <w:rPr>
          <w:color w:val="231F20"/>
          <w:spacing w:val="-4"/>
        </w:rPr>
        <w:t> </w:t>
      </w:r>
      <w:r>
        <w:rPr>
          <w:color w:val="231F20"/>
          <w:spacing w:val="-1"/>
        </w:rPr>
        <w:t>scores</w:t>
      </w:r>
      <w:r>
        <w:rPr>
          <w:color w:val="231F20"/>
          <w:spacing w:val="-4"/>
        </w:rPr>
        <w:t> </w:t>
      </w:r>
      <w:r>
        <w:rPr>
          <w:color w:val="231F20"/>
        </w:rPr>
        <w:t>of</w:t>
      </w:r>
      <w:r>
        <w:rPr>
          <w:color w:val="231F20"/>
          <w:spacing w:val="23"/>
          <w:w w:val="99"/>
        </w:rPr>
        <w:t> </w:t>
      </w:r>
      <w:r>
        <w:rPr>
          <w:color w:val="231F20"/>
          <w:spacing w:val="-1"/>
        </w:rPr>
        <w:t>just</w:t>
      </w:r>
      <w:r>
        <w:rPr>
          <w:color w:val="231F20"/>
          <w:spacing w:val="-3"/>
        </w:rPr>
        <w:t> </w:t>
      </w:r>
      <w:r>
        <w:rPr>
          <w:color w:val="231F20"/>
          <w:spacing w:val="-1"/>
        </w:rPr>
        <w:t>591</w:t>
      </w:r>
      <w:r>
        <w:rPr>
          <w:color w:val="231F20"/>
          <w:spacing w:val="-3"/>
        </w:rPr>
        <w:t> </w:t>
      </w:r>
      <w:r>
        <w:rPr>
          <w:color w:val="231F20"/>
        </w:rPr>
        <w:t>and</w:t>
      </w:r>
      <w:r>
        <w:rPr>
          <w:color w:val="231F20"/>
          <w:spacing w:val="-4"/>
        </w:rPr>
        <w:t> </w:t>
      </w:r>
      <w:r>
        <w:rPr>
          <w:color w:val="231F20"/>
          <w:spacing w:val="-1"/>
        </w:rPr>
        <w:t>603</w:t>
      </w:r>
      <w:r>
        <w:rPr>
          <w:color w:val="231F20"/>
          <w:spacing w:val="-2"/>
        </w:rPr>
        <w:t> </w:t>
      </w:r>
      <w:r>
        <w:rPr>
          <w:color w:val="231F20"/>
        </w:rPr>
        <w:t>respectively,</w:t>
      </w:r>
      <w:r>
        <w:rPr>
          <w:color w:val="231F20"/>
          <w:spacing w:val="-5"/>
        </w:rPr>
        <w:t> </w:t>
      </w:r>
      <w:r>
        <w:rPr>
          <w:color w:val="231F20"/>
          <w:spacing w:val="-1"/>
        </w:rPr>
        <w:t>some</w:t>
      </w:r>
      <w:r>
        <w:rPr>
          <w:color w:val="231F20"/>
          <w:spacing w:val="-3"/>
        </w:rPr>
        <w:t> </w:t>
      </w:r>
      <w:r>
        <w:rPr>
          <w:color w:val="231F20"/>
        </w:rPr>
        <w:t>of</w:t>
      </w:r>
      <w:r>
        <w:rPr>
          <w:color w:val="231F20"/>
          <w:spacing w:val="-2"/>
        </w:rPr>
        <w:t> </w:t>
      </w:r>
      <w:r>
        <w:rPr>
          <w:color w:val="231F20"/>
        </w:rPr>
        <w:t>the</w:t>
      </w:r>
      <w:r>
        <w:rPr>
          <w:color w:val="231F20"/>
          <w:spacing w:val="25"/>
          <w:w w:val="99"/>
        </w:rPr>
        <w:t> </w:t>
      </w:r>
      <w:r>
        <w:rPr>
          <w:color w:val="231F20"/>
          <w:spacing w:val="-1"/>
        </w:rPr>
        <w:t>lowest</w:t>
      </w:r>
      <w:r>
        <w:rPr>
          <w:color w:val="231F20"/>
          <w:spacing w:val="-5"/>
        </w:rPr>
        <w:t> </w:t>
      </w:r>
      <w:r>
        <w:rPr>
          <w:color w:val="231F20"/>
        </w:rPr>
        <w:t>for</w:t>
      </w:r>
      <w:r>
        <w:rPr>
          <w:color w:val="231F20"/>
          <w:spacing w:val="-5"/>
        </w:rPr>
        <w:t> </w:t>
      </w:r>
      <w:r>
        <w:rPr>
          <w:color w:val="231F20"/>
        </w:rPr>
        <w:t>any</w:t>
      </w:r>
      <w:r>
        <w:rPr>
          <w:color w:val="231F20"/>
          <w:spacing w:val="-6"/>
        </w:rPr>
        <w:t> </w:t>
      </w:r>
      <w:r>
        <w:rPr>
          <w:color w:val="231F20"/>
          <w:spacing w:val="-1"/>
        </w:rPr>
        <w:t>secondary</w:t>
      </w:r>
      <w:r>
        <w:rPr>
          <w:color w:val="231F20"/>
          <w:spacing w:val="-3"/>
        </w:rPr>
        <w:t> </w:t>
      </w:r>
      <w:r>
        <w:rPr>
          <w:color w:val="231F20"/>
          <w:spacing w:val="-1"/>
        </w:rPr>
        <w:t>schools</w:t>
      </w:r>
      <w:r>
        <w:rPr>
          <w:color w:val="231F20"/>
          <w:spacing w:val="-5"/>
        </w:rPr>
        <w:t> </w:t>
      </w:r>
      <w:r>
        <w:rPr>
          <w:color w:val="231F20"/>
          <w:spacing w:val="-1"/>
        </w:rPr>
        <w:t>in</w:t>
      </w:r>
      <w:r>
        <w:rPr>
          <w:color w:val="231F20"/>
          <w:spacing w:val="-5"/>
        </w:rPr>
        <w:t> </w:t>
      </w:r>
      <w:r>
        <w:rPr>
          <w:color w:val="231F20"/>
        </w:rPr>
        <w:t>Australia,</w:t>
      </w:r>
      <w:r>
        <w:rPr>
          <w:color w:val="231F20"/>
          <w:spacing w:val="25"/>
          <w:w w:val="99"/>
        </w:rPr>
        <w:t> </w:t>
      </w:r>
      <w:r>
        <w:rPr>
          <w:color w:val="231F20"/>
        </w:rPr>
        <w:t>placing</w:t>
      </w:r>
      <w:r>
        <w:rPr>
          <w:color w:val="231F20"/>
          <w:spacing w:val="-6"/>
        </w:rPr>
        <w:t> </w:t>
      </w:r>
      <w:r>
        <w:rPr>
          <w:color w:val="231F20"/>
        </w:rPr>
        <w:t>them</w:t>
      </w:r>
      <w:r>
        <w:rPr>
          <w:color w:val="231F20"/>
          <w:spacing w:val="-6"/>
        </w:rPr>
        <w:t> </w:t>
      </w:r>
      <w:r>
        <w:rPr>
          <w:color w:val="231F20"/>
          <w:spacing w:val="-1"/>
        </w:rPr>
        <w:t>in</w:t>
      </w:r>
      <w:r>
        <w:rPr>
          <w:color w:val="231F20"/>
          <w:spacing w:val="-4"/>
        </w:rPr>
        <w:t> </w:t>
      </w:r>
      <w:r>
        <w:rPr>
          <w:color w:val="231F20"/>
        </w:rPr>
        <w:t>the</w:t>
      </w:r>
      <w:r>
        <w:rPr>
          <w:color w:val="231F20"/>
          <w:spacing w:val="-6"/>
        </w:rPr>
        <w:t> </w:t>
      </w:r>
      <w:r>
        <w:rPr>
          <w:color w:val="231F20"/>
        </w:rPr>
        <w:t>category</w:t>
      </w:r>
      <w:r>
        <w:rPr>
          <w:color w:val="231F20"/>
          <w:spacing w:val="-4"/>
        </w:rPr>
        <w:t> </w:t>
      </w:r>
      <w:r>
        <w:rPr>
          <w:color w:val="231F20"/>
        </w:rPr>
        <w:t>of</w:t>
      </w:r>
      <w:r>
        <w:rPr>
          <w:color w:val="231F20"/>
          <w:spacing w:val="-5"/>
        </w:rPr>
        <w:t> </w:t>
      </w:r>
      <w:r>
        <w:rPr>
          <w:color w:val="231F20"/>
        </w:rPr>
        <w:t>extremely</w:t>
      </w:r>
      <w:r>
        <w:rPr>
          <w:color w:val="231F20"/>
          <w:spacing w:val="21"/>
          <w:w w:val="99"/>
        </w:rPr>
        <w:t> </w:t>
      </w:r>
      <w:r>
        <w:rPr>
          <w:color w:val="231F20"/>
        </w:rPr>
        <w:t>disadvantaged.</w:t>
      </w:r>
      <w:r>
        <w:rPr>
          <w:color w:val="231F20"/>
          <w:spacing w:val="-10"/>
        </w:rPr>
        <w:t> </w:t>
      </w:r>
      <w:r>
        <w:rPr>
          <w:color w:val="231F20"/>
        </w:rPr>
        <w:t>One</w:t>
      </w:r>
      <w:r>
        <w:rPr>
          <w:color w:val="231F20"/>
          <w:spacing w:val="-10"/>
        </w:rPr>
        <w:t> </w:t>
      </w:r>
      <w:r>
        <w:rPr>
          <w:color w:val="231F20"/>
        </w:rPr>
        <w:t>boarding</w:t>
      </w:r>
      <w:r>
        <w:rPr>
          <w:color w:val="231F20"/>
          <w:spacing w:val="-10"/>
        </w:rPr>
        <w:t> </w:t>
      </w:r>
      <w:r>
        <w:rPr>
          <w:color w:val="231F20"/>
        </w:rPr>
        <w:t>provider</w:t>
      </w:r>
      <w:r>
        <w:rPr>
          <w:color w:val="231F20"/>
          <w:spacing w:val="-10"/>
        </w:rPr>
        <w:t> </w:t>
      </w:r>
      <w:r>
        <w:rPr>
          <w:color w:val="231F20"/>
        </w:rPr>
        <w:t>had</w:t>
      </w:r>
      <w:r>
        <w:rPr>
          <w:color w:val="231F20"/>
          <w:w w:val="99"/>
        </w:rPr>
        <w:t> </w:t>
      </w:r>
      <w:r>
        <w:rPr>
          <w:color w:val="231F20"/>
        </w:rPr>
        <w:t>an</w:t>
      </w:r>
      <w:r>
        <w:rPr>
          <w:color w:val="231F20"/>
          <w:spacing w:val="-3"/>
        </w:rPr>
        <w:t> </w:t>
      </w:r>
      <w:r>
        <w:rPr>
          <w:color w:val="231F20"/>
          <w:spacing w:val="-1"/>
        </w:rPr>
        <w:t>ICSEA score </w:t>
      </w:r>
      <w:r>
        <w:rPr>
          <w:color w:val="231F20"/>
        </w:rPr>
        <w:t>of</w:t>
      </w:r>
      <w:r>
        <w:rPr>
          <w:color w:val="231F20"/>
          <w:spacing w:val="-2"/>
        </w:rPr>
        <w:t> </w:t>
      </w:r>
      <w:r>
        <w:rPr>
          <w:color w:val="231F20"/>
          <w:spacing w:val="-1"/>
        </w:rPr>
        <w:t>651 in 2017</w:t>
      </w:r>
      <w:r>
        <w:rPr>
          <w:color w:val="231F20"/>
          <w:spacing w:val="-2"/>
        </w:rPr>
        <w:t> </w:t>
      </w:r>
      <w:r>
        <w:rPr>
          <w:color w:val="231F20"/>
        </w:rPr>
        <w:t>but</w:t>
      </w:r>
      <w:r>
        <w:rPr>
          <w:color w:val="231F20"/>
          <w:spacing w:val="-2"/>
        </w:rPr>
        <w:t> </w:t>
      </w:r>
      <w:r>
        <w:rPr>
          <w:color w:val="231F20"/>
          <w:spacing w:val="-1"/>
        </w:rPr>
        <w:t>in 2018</w:t>
      </w:r>
      <w:r>
        <w:rPr>
          <w:color w:val="231F20"/>
          <w:spacing w:val="26"/>
        </w:rPr>
        <w:t> </w:t>
      </w:r>
      <w:r>
        <w:rPr>
          <w:color w:val="231F20"/>
        </w:rPr>
        <w:t>this</w:t>
      </w:r>
      <w:r>
        <w:rPr>
          <w:color w:val="231F20"/>
          <w:spacing w:val="-4"/>
        </w:rPr>
        <w:t> </w:t>
      </w:r>
      <w:r>
        <w:rPr>
          <w:color w:val="231F20"/>
        </w:rPr>
        <w:t>declined</w:t>
      </w:r>
      <w:r>
        <w:rPr>
          <w:color w:val="231F20"/>
          <w:spacing w:val="-4"/>
        </w:rPr>
        <w:t> </w:t>
      </w:r>
      <w:r>
        <w:rPr>
          <w:color w:val="231F20"/>
        </w:rPr>
        <w:t>to</w:t>
      </w:r>
      <w:r>
        <w:rPr>
          <w:color w:val="231F20"/>
          <w:spacing w:val="-2"/>
        </w:rPr>
        <w:t> </w:t>
      </w:r>
      <w:r>
        <w:rPr>
          <w:color w:val="231F20"/>
        </w:rPr>
        <w:t>a</w:t>
      </w:r>
      <w:r>
        <w:rPr>
          <w:color w:val="231F20"/>
          <w:spacing w:val="-3"/>
        </w:rPr>
        <w:t> </w:t>
      </w:r>
      <w:r>
        <w:rPr>
          <w:color w:val="231F20"/>
          <w:spacing w:val="-1"/>
        </w:rPr>
        <w:t>score</w:t>
      </w:r>
      <w:r>
        <w:rPr>
          <w:color w:val="231F20"/>
          <w:spacing w:val="-2"/>
        </w:rPr>
        <w:t> </w:t>
      </w:r>
      <w:r>
        <w:rPr>
          <w:color w:val="231F20"/>
        </w:rPr>
        <w:t>of</w:t>
      </w:r>
      <w:r>
        <w:rPr>
          <w:color w:val="231F20"/>
          <w:spacing w:val="-3"/>
        </w:rPr>
        <w:t> </w:t>
      </w:r>
      <w:r>
        <w:rPr>
          <w:color w:val="231F20"/>
          <w:spacing w:val="-1"/>
        </w:rPr>
        <w:t>just</w:t>
      </w:r>
      <w:r>
        <w:rPr>
          <w:color w:val="231F20"/>
          <w:spacing w:val="-2"/>
        </w:rPr>
        <w:t> </w:t>
      </w:r>
      <w:r>
        <w:rPr>
          <w:color w:val="231F20"/>
          <w:spacing w:val="-1"/>
        </w:rPr>
        <w:t>546.</w:t>
      </w:r>
      <w:r>
        <w:rPr>
          <w:color w:val="231F20"/>
          <w:spacing w:val="-3"/>
        </w:rPr>
        <w:t> </w:t>
      </w:r>
      <w:r>
        <w:rPr>
          <w:color w:val="231F20"/>
        </w:rPr>
        <w:t>Given</w:t>
      </w:r>
      <w:r>
        <w:rPr/>
      </w:r>
    </w:p>
    <w:p>
      <w:pPr>
        <w:pStyle w:val="BodyText"/>
        <w:spacing w:line="250" w:lineRule="exact"/>
        <w:ind w:right="86"/>
        <w:jc w:val="left"/>
      </w:pPr>
      <w:r>
        <w:rPr>
          <w:color w:val="231F20"/>
        </w:rPr>
        <w:t>the</w:t>
      </w:r>
      <w:r>
        <w:rPr>
          <w:color w:val="231F20"/>
          <w:spacing w:val="-6"/>
        </w:rPr>
        <w:t> </w:t>
      </w:r>
      <w:r>
        <w:rPr>
          <w:color w:val="231F20"/>
        </w:rPr>
        <w:t>predominance</w:t>
      </w:r>
      <w:r>
        <w:rPr>
          <w:color w:val="231F20"/>
          <w:spacing w:val="-5"/>
        </w:rPr>
        <w:t> </w:t>
      </w:r>
      <w:r>
        <w:rPr>
          <w:color w:val="231F20"/>
        </w:rPr>
        <w:t>of</w:t>
      </w:r>
      <w:r>
        <w:rPr>
          <w:color w:val="231F20"/>
          <w:spacing w:val="-4"/>
        </w:rPr>
        <w:t> </w:t>
      </w:r>
      <w:r>
        <w:rPr>
          <w:color w:val="231F20"/>
          <w:spacing w:val="-1"/>
        </w:rPr>
        <w:t>ICSEA</w:t>
      </w:r>
      <w:r>
        <w:rPr>
          <w:color w:val="231F20"/>
          <w:spacing w:val="-5"/>
        </w:rPr>
        <w:t> </w:t>
      </w:r>
      <w:r>
        <w:rPr>
          <w:color w:val="231F20"/>
          <w:spacing w:val="-1"/>
        </w:rPr>
        <w:t>scores</w:t>
      </w:r>
      <w:r>
        <w:rPr>
          <w:color w:val="231F20"/>
          <w:spacing w:val="-4"/>
        </w:rPr>
        <w:t> </w:t>
      </w:r>
      <w:r>
        <w:rPr>
          <w:color w:val="231F20"/>
        </w:rPr>
        <w:t>below</w:t>
      </w:r>
      <w:r>
        <w:rPr>
          <w:color w:val="231F20"/>
          <w:spacing w:val="-5"/>
        </w:rPr>
        <w:t> </w:t>
      </w:r>
      <w:r>
        <w:rPr>
          <w:color w:val="231F20"/>
        </w:rPr>
        <w:t>the</w:t>
      </w:r>
      <w:r>
        <w:rPr>
          <w:color w:val="231F20"/>
          <w:spacing w:val="23"/>
          <w:w w:val="99"/>
        </w:rPr>
        <w:t> </w:t>
      </w:r>
      <w:r>
        <w:rPr>
          <w:color w:val="231F20"/>
          <w:spacing w:val="-1"/>
        </w:rPr>
        <w:t>mean,</w:t>
      </w:r>
      <w:r>
        <w:rPr>
          <w:color w:val="231F20"/>
          <w:spacing w:val="-6"/>
        </w:rPr>
        <w:t> </w:t>
      </w:r>
      <w:r>
        <w:rPr>
          <w:color w:val="231F20"/>
        </w:rPr>
        <w:t>clusters</w:t>
      </w:r>
      <w:r>
        <w:rPr>
          <w:color w:val="231F20"/>
          <w:spacing w:val="-6"/>
        </w:rPr>
        <w:t> </w:t>
      </w:r>
      <w:r>
        <w:rPr>
          <w:color w:val="231F20"/>
        </w:rPr>
        <w:t>below</w:t>
      </w:r>
      <w:r>
        <w:rPr>
          <w:color w:val="231F20"/>
          <w:spacing w:val="-6"/>
        </w:rPr>
        <w:t> </w:t>
      </w:r>
      <w:r>
        <w:rPr>
          <w:color w:val="231F20"/>
        </w:rPr>
        <w:t>the</w:t>
      </w:r>
      <w:r>
        <w:rPr>
          <w:color w:val="231F20"/>
          <w:spacing w:val="-6"/>
        </w:rPr>
        <w:t> </w:t>
      </w:r>
      <w:r>
        <w:rPr>
          <w:color w:val="231F20"/>
        </w:rPr>
        <w:t>national</w:t>
      </w:r>
      <w:r>
        <w:rPr>
          <w:color w:val="231F20"/>
          <w:spacing w:val="-6"/>
        </w:rPr>
        <w:t> </w:t>
      </w:r>
      <w:r>
        <w:rPr>
          <w:color w:val="231F20"/>
          <w:spacing w:val="-1"/>
        </w:rPr>
        <w:t>mean</w:t>
      </w:r>
      <w:r>
        <w:rPr>
          <w:color w:val="231F20"/>
          <w:spacing w:val="-5"/>
        </w:rPr>
        <w:t> </w:t>
      </w:r>
      <w:r>
        <w:rPr>
          <w:color w:val="231F20"/>
          <w:spacing w:val="-1"/>
        </w:rPr>
        <w:t>score</w:t>
      </w:r>
      <w:r>
        <w:rPr>
          <w:color w:val="231F20"/>
          <w:spacing w:val="22"/>
          <w:w w:val="99"/>
        </w:rPr>
        <w:t> </w:t>
      </w:r>
      <w:r>
        <w:rPr>
          <w:color w:val="231F20"/>
        </w:rPr>
        <w:t>were</w:t>
      </w:r>
      <w:r>
        <w:rPr>
          <w:color w:val="231F20"/>
          <w:spacing w:val="-4"/>
        </w:rPr>
        <w:t> </w:t>
      </w:r>
      <w:r>
        <w:rPr>
          <w:color w:val="231F20"/>
        </w:rPr>
        <w:t>used</w:t>
      </w:r>
      <w:r>
        <w:rPr>
          <w:color w:val="231F20"/>
          <w:spacing w:val="-4"/>
        </w:rPr>
        <w:t> </w:t>
      </w:r>
      <w:r>
        <w:rPr>
          <w:color w:val="231F20"/>
        </w:rPr>
        <w:t>for</w:t>
      </w:r>
      <w:r>
        <w:rPr>
          <w:color w:val="231F20"/>
          <w:spacing w:val="-3"/>
        </w:rPr>
        <w:t> </w:t>
      </w:r>
      <w:r>
        <w:rPr>
          <w:color w:val="231F20"/>
        </w:rPr>
        <w:t>the</w:t>
      </w:r>
      <w:r>
        <w:rPr>
          <w:color w:val="231F20"/>
          <w:spacing w:val="-4"/>
        </w:rPr>
        <w:t> </w:t>
      </w:r>
      <w:r>
        <w:rPr>
          <w:color w:val="231F20"/>
          <w:spacing w:val="-1"/>
        </w:rPr>
        <w:t>ICSEA</w:t>
      </w:r>
      <w:r>
        <w:rPr>
          <w:color w:val="231F20"/>
          <w:spacing w:val="-2"/>
        </w:rPr>
        <w:t> </w:t>
      </w:r>
      <w:r>
        <w:rPr>
          <w:color w:val="231F20"/>
          <w:spacing w:val="-1"/>
        </w:rPr>
        <w:t>scores</w:t>
      </w:r>
      <w:r>
        <w:rPr>
          <w:color w:val="231F20"/>
          <w:spacing w:val="-3"/>
        </w:rPr>
        <w:t> </w:t>
      </w:r>
      <w:r>
        <w:rPr>
          <w:color w:val="231F20"/>
        </w:rPr>
        <w:t>of</w:t>
      </w:r>
      <w:r>
        <w:rPr>
          <w:color w:val="231F20"/>
          <w:spacing w:val="-3"/>
        </w:rPr>
        <w:t> </w:t>
      </w:r>
      <w:r>
        <w:rPr>
          <w:color w:val="231F20"/>
        </w:rPr>
        <w:t>the</w:t>
      </w:r>
      <w:r>
        <w:rPr>
          <w:color w:val="231F20"/>
          <w:spacing w:val="-4"/>
        </w:rPr>
        <w:t> </w:t>
      </w:r>
      <w:r>
        <w:rPr>
          <w:color w:val="231F20"/>
        </w:rPr>
        <w:t>boarding</w:t>
      </w:r>
      <w:r>
        <w:rPr>
          <w:color w:val="231F20"/>
          <w:spacing w:val="23"/>
          <w:w w:val="99"/>
        </w:rPr>
        <w:t> </w:t>
      </w:r>
      <w:r>
        <w:rPr>
          <w:color w:val="231F20"/>
        </w:rPr>
        <w:t>providers</w:t>
      </w:r>
      <w:r>
        <w:rPr>
          <w:color w:val="231F20"/>
          <w:spacing w:val="-8"/>
        </w:rPr>
        <w:t> </w:t>
      </w:r>
      <w:r>
        <w:rPr>
          <w:color w:val="231F20"/>
        </w:rPr>
        <w:t>under</w:t>
      </w:r>
      <w:r>
        <w:rPr>
          <w:color w:val="231F20"/>
          <w:spacing w:val="-6"/>
        </w:rPr>
        <w:t> </w:t>
      </w:r>
      <w:r>
        <w:rPr>
          <w:color w:val="231F20"/>
        </w:rPr>
        <w:t>analysis,</w:t>
      </w:r>
      <w:r>
        <w:rPr>
          <w:color w:val="231F20"/>
          <w:spacing w:val="-7"/>
        </w:rPr>
        <w:t> </w:t>
      </w:r>
      <w:r>
        <w:rPr>
          <w:color w:val="231F20"/>
        </w:rPr>
        <w:t>being:</w:t>
      </w:r>
      <w:r>
        <w:rPr/>
      </w:r>
    </w:p>
    <w:p>
      <w:pPr>
        <w:pStyle w:val="BodyText"/>
        <w:spacing w:line="250" w:lineRule="exact" w:before="113"/>
        <w:ind w:left="344" w:right="722" w:hanging="227"/>
        <w:jc w:val="left"/>
      </w:pPr>
      <w:r>
        <w:rPr>
          <w:rFonts w:ascii="Century Gothic" w:hAnsi="Century Gothic" w:cs="Century Gothic" w:eastAsia="Century Gothic"/>
          <w:color w:val="231F20"/>
        </w:rPr>
        <w:t>» </w:t>
      </w:r>
      <w:r>
        <w:rPr>
          <w:rFonts w:ascii="Century Gothic" w:hAnsi="Century Gothic" w:cs="Century Gothic" w:eastAsia="Century Gothic"/>
          <w:color w:val="231F20"/>
          <w:spacing w:val="24"/>
        </w:rPr>
        <w:t> </w:t>
      </w:r>
      <w:r>
        <w:rPr>
          <w:rFonts w:ascii="Segoe UI" w:hAnsi="Segoe UI" w:cs="Segoe UI" w:eastAsia="Segoe UI"/>
          <w:b/>
          <w:bCs/>
          <w:color w:val="231F20"/>
          <w:spacing w:val="-1"/>
        </w:rPr>
        <w:t>Lower</w:t>
      </w:r>
      <w:r>
        <w:rPr>
          <w:color w:val="231F20"/>
          <w:spacing w:val="-1"/>
        </w:rPr>
        <w:t>—below</w:t>
      </w:r>
      <w:r>
        <w:rPr>
          <w:color w:val="231F20"/>
          <w:spacing w:val="-2"/>
        </w:rPr>
        <w:t> </w:t>
      </w:r>
      <w:r>
        <w:rPr>
          <w:color w:val="231F20"/>
        </w:rPr>
        <w:t>an</w:t>
      </w:r>
      <w:r>
        <w:rPr>
          <w:color w:val="231F20"/>
          <w:spacing w:val="-4"/>
        </w:rPr>
        <w:t> </w:t>
      </w:r>
      <w:r>
        <w:rPr>
          <w:color w:val="231F20"/>
          <w:spacing w:val="-1"/>
        </w:rPr>
        <w:t>ICSEA</w:t>
      </w:r>
      <w:r>
        <w:rPr>
          <w:color w:val="231F20"/>
          <w:spacing w:val="-2"/>
        </w:rPr>
        <w:t> </w:t>
      </w:r>
      <w:r>
        <w:rPr>
          <w:color w:val="231F20"/>
          <w:spacing w:val="-1"/>
        </w:rPr>
        <w:t>score</w:t>
      </w:r>
      <w:r>
        <w:rPr>
          <w:color w:val="231F20"/>
          <w:spacing w:val="-3"/>
        </w:rPr>
        <w:t> </w:t>
      </w:r>
      <w:r>
        <w:rPr>
          <w:color w:val="231F20"/>
        </w:rPr>
        <w:t>of</w:t>
      </w:r>
      <w:r>
        <w:rPr>
          <w:color w:val="231F20"/>
          <w:spacing w:val="-3"/>
        </w:rPr>
        <w:t> </w:t>
      </w:r>
      <w:r>
        <w:rPr>
          <w:color w:val="231F20"/>
          <w:spacing w:val="-1"/>
        </w:rPr>
        <w:t>800</w:t>
      </w:r>
      <w:r>
        <w:rPr>
          <w:color w:val="231F20"/>
          <w:spacing w:val="20"/>
        </w:rPr>
        <w:t> </w:t>
      </w:r>
      <w:r>
        <w:rPr>
          <w:color w:val="231F20"/>
        </w:rPr>
        <w:t>(11</w:t>
      </w:r>
      <w:r>
        <w:rPr>
          <w:color w:val="231F20"/>
          <w:spacing w:val="-13"/>
        </w:rPr>
        <w:t> </w:t>
      </w:r>
      <w:r>
        <w:rPr>
          <w:color w:val="231F20"/>
        </w:rPr>
        <w:t>providers)</w:t>
      </w:r>
      <w:r>
        <w:rPr/>
      </w:r>
    </w:p>
    <w:p>
      <w:pPr>
        <w:pStyle w:val="BodyText"/>
        <w:spacing w:line="250" w:lineRule="exact" w:before="113"/>
        <w:ind w:left="344" w:right="722" w:hanging="227"/>
        <w:jc w:val="left"/>
      </w:pPr>
      <w:r>
        <w:rPr>
          <w:rFonts w:ascii="Century Gothic" w:hAnsi="Century Gothic" w:cs="Century Gothic" w:eastAsia="Century Gothic"/>
          <w:color w:val="231F20"/>
        </w:rPr>
        <w:t>» </w:t>
      </w:r>
      <w:r>
        <w:rPr>
          <w:rFonts w:ascii="Century Gothic" w:hAnsi="Century Gothic" w:cs="Century Gothic" w:eastAsia="Century Gothic"/>
          <w:color w:val="231F20"/>
          <w:spacing w:val="25"/>
        </w:rPr>
        <w:t> </w:t>
      </w:r>
      <w:r>
        <w:rPr>
          <w:rFonts w:ascii="Segoe UI" w:hAnsi="Segoe UI" w:cs="Segoe UI" w:eastAsia="Segoe UI"/>
          <w:b/>
          <w:bCs/>
          <w:color w:val="231F20"/>
          <w:spacing w:val="-1"/>
        </w:rPr>
        <w:t>Higher</w:t>
      </w:r>
      <w:r>
        <w:rPr>
          <w:color w:val="231F20"/>
          <w:spacing w:val="-1"/>
        </w:rPr>
        <w:t>—over</w:t>
      </w:r>
      <w:r>
        <w:rPr>
          <w:color w:val="231F20"/>
          <w:spacing w:val="-2"/>
        </w:rPr>
        <w:t> </w:t>
      </w:r>
      <w:r>
        <w:rPr>
          <w:color w:val="231F20"/>
        </w:rPr>
        <w:t>an</w:t>
      </w:r>
      <w:r>
        <w:rPr>
          <w:color w:val="231F20"/>
          <w:spacing w:val="-3"/>
        </w:rPr>
        <w:t> </w:t>
      </w:r>
      <w:r>
        <w:rPr>
          <w:color w:val="231F20"/>
          <w:spacing w:val="-1"/>
        </w:rPr>
        <w:t>ICSEA</w:t>
      </w:r>
      <w:r>
        <w:rPr>
          <w:color w:val="231F20"/>
          <w:spacing w:val="-2"/>
        </w:rPr>
        <w:t> </w:t>
      </w:r>
      <w:r>
        <w:rPr>
          <w:color w:val="231F20"/>
          <w:spacing w:val="-1"/>
        </w:rPr>
        <w:t>score</w:t>
      </w:r>
      <w:r>
        <w:rPr>
          <w:color w:val="231F20"/>
          <w:spacing w:val="-2"/>
        </w:rPr>
        <w:t> </w:t>
      </w:r>
      <w:r>
        <w:rPr>
          <w:color w:val="231F20"/>
        </w:rPr>
        <w:t>of</w:t>
      </w:r>
      <w:r>
        <w:rPr>
          <w:color w:val="231F20"/>
          <w:spacing w:val="-2"/>
        </w:rPr>
        <w:t> </w:t>
      </w:r>
      <w:r>
        <w:rPr>
          <w:color w:val="231F20"/>
          <w:spacing w:val="-1"/>
        </w:rPr>
        <w:t>800</w:t>
      </w:r>
      <w:r>
        <w:rPr>
          <w:color w:val="231F20"/>
          <w:spacing w:val="28"/>
        </w:rPr>
        <w:t> </w:t>
      </w:r>
      <w:r>
        <w:rPr>
          <w:color w:val="231F20"/>
        </w:rPr>
        <w:t>(11</w:t>
      </w:r>
      <w:r>
        <w:rPr>
          <w:color w:val="231F20"/>
          <w:spacing w:val="-14"/>
        </w:rPr>
        <w:t> </w:t>
      </w:r>
      <w:r>
        <w:rPr>
          <w:color w:val="231F20"/>
        </w:rPr>
        <w:t>providers).</w:t>
      </w:r>
      <w:r>
        <w:rPr/>
      </w:r>
    </w:p>
    <w:p>
      <w:pPr>
        <w:pStyle w:val="BodyText"/>
        <w:spacing w:line="250" w:lineRule="exact" w:before="113"/>
        <w:ind w:right="98"/>
        <w:jc w:val="left"/>
      </w:pPr>
      <w:r>
        <w:rPr>
          <w:color w:val="231F20"/>
          <w:spacing w:val="-2"/>
        </w:rPr>
        <w:t>Twenty</w:t>
      </w:r>
      <w:r>
        <w:rPr>
          <w:color w:val="231F20"/>
          <w:spacing w:val="-6"/>
        </w:rPr>
        <w:t> </w:t>
      </w:r>
      <w:r>
        <w:rPr>
          <w:color w:val="231F20"/>
        </w:rPr>
        <w:t>three</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28"/>
          <w:w w:val="99"/>
        </w:rPr>
        <w:t> </w:t>
      </w:r>
      <w:r>
        <w:rPr>
          <w:color w:val="231F20"/>
          <w:spacing w:val="-1"/>
        </w:rPr>
        <w:t>Islander</w:t>
      </w:r>
      <w:r>
        <w:rPr>
          <w:color w:val="231F20"/>
          <w:spacing w:val="-7"/>
        </w:rPr>
        <w:t> </w:t>
      </w:r>
      <w:r>
        <w:rPr>
          <w:color w:val="231F20"/>
        </w:rPr>
        <w:t>boarding</w:t>
      </w:r>
      <w:r>
        <w:rPr>
          <w:color w:val="231F20"/>
          <w:spacing w:val="-7"/>
        </w:rPr>
        <w:t> </w:t>
      </w:r>
      <w:r>
        <w:rPr>
          <w:color w:val="231F20"/>
          <w:spacing w:val="-1"/>
        </w:rPr>
        <w:t>providers</w:t>
      </w:r>
      <w:r>
        <w:rPr>
          <w:rFonts w:ascii="Segoe UI Semibold"/>
          <w:b/>
          <w:color w:val="231F20"/>
          <w:spacing w:val="-1"/>
          <w:position w:val="7"/>
          <w:sz w:val="11"/>
        </w:rPr>
        <w:t>152</w:t>
      </w:r>
      <w:r>
        <w:rPr>
          <w:rFonts w:ascii="Segoe UI Semibold"/>
          <w:b/>
          <w:color w:val="231F20"/>
          <w:spacing w:val="18"/>
          <w:position w:val="7"/>
          <w:sz w:val="11"/>
        </w:rPr>
        <w:t> </w:t>
      </w:r>
      <w:r>
        <w:rPr>
          <w:color w:val="231F20"/>
        </w:rPr>
        <w:t>were</w:t>
      </w:r>
      <w:r>
        <w:rPr>
          <w:color w:val="231F20"/>
          <w:spacing w:val="-8"/>
        </w:rPr>
        <w:t> </w:t>
      </w:r>
      <w:r>
        <w:rPr>
          <w:color w:val="231F20"/>
        </w:rPr>
        <w:t>analysed.</w:t>
      </w:r>
      <w:r>
        <w:rPr/>
      </w:r>
    </w:p>
    <w:p>
      <w:pPr>
        <w:pStyle w:val="BodyText"/>
        <w:spacing w:line="250" w:lineRule="exact"/>
        <w:ind w:right="86"/>
        <w:jc w:val="left"/>
      </w:pPr>
      <w:r>
        <w:rPr>
          <w:color w:val="231F20"/>
        </w:rPr>
        <w:t>Eleven</w:t>
      </w:r>
      <w:r>
        <w:rPr>
          <w:color w:val="231F20"/>
          <w:spacing w:val="-6"/>
        </w:rPr>
        <w:t> </w:t>
      </w:r>
      <w:r>
        <w:rPr>
          <w:color w:val="231F20"/>
        </w:rPr>
        <w:t>of</w:t>
      </w:r>
      <w:r>
        <w:rPr>
          <w:color w:val="231F20"/>
          <w:spacing w:val="-4"/>
        </w:rPr>
        <w:t> </w:t>
      </w:r>
      <w:r>
        <w:rPr>
          <w:color w:val="231F20"/>
        </w:rPr>
        <w:t>the</w:t>
      </w:r>
      <w:r>
        <w:rPr>
          <w:color w:val="231F20"/>
          <w:spacing w:val="-5"/>
        </w:rPr>
        <w:t> </w:t>
      </w:r>
      <w:r>
        <w:rPr>
          <w:color w:val="231F20"/>
        </w:rPr>
        <w:t>providers</w:t>
      </w:r>
      <w:r>
        <w:rPr>
          <w:color w:val="231F20"/>
          <w:spacing w:val="-5"/>
        </w:rPr>
        <w:t> </w:t>
      </w:r>
      <w:r>
        <w:rPr>
          <w:color w:val="231F20"/>
        </w:rPr>
        <w:t>had</w:t>
      </w:r>
      <w:r>
        <w:rPr>
          <w:color w:val="231F20"/>
          <w:spacing w:val="-4"/>
        </w:rPr>
        <w:t> </w:t>
      </w:r>
      <w:r>
        <w:rPr>
          <w:color w:val="231F20"/>
        </w:rPr>
        <w:t>an</w:t>
      </w:r>
      <w:r>
        <w:rPr>
          <w:color w:val="231F20"/>
          <w:spacing w:val="-5"/>
        </w:rPr>
        <w:t> </w:t>
      </w:r>
      <w:r>
        <w:rPr>
          <w:color w:val="231F20"/>
          <w:spacing w:val="-1"/>
        </w:rPr>
        <w:t>ICSEA</w:t>
      </w:r>
      <w:r>
        <w:rPr>
          <w:color w:val="231F20"/>
          <w:spacing w:val="-4"/>
        </w:rPr>
        <w:t> </w:t>
      </w:r>
      <w:r>
        <w:rPr>
          <w:color w:val="231F20"/>
          <w:spacing w:val="-1"/>
        </w:rPr>
        <w:t>score</w:t>
      </w:r>
      <w:r>
        <w:rPr>
          <w:color w:val="231F20"/>
          <w:spacing w:val="21"/>
          <w:w w:val="99"/>
        </w:rPr>
        <w:t> </w:t>
      </w:r>
      <w:r>
        <w:rPr>
          <w:color w:val="231F20"/>
          <w:spacing w:val="-1"/>
        </w:rPr>
        <w:t>lower</w:t>
      </w:r>
      <w:r>
        <w:rPr>
          <w:color w:val="231F20"/>
          <w:spacing w:val="-3"/>
        </w:rPr>
        <w:t> </w:t>
      </w:r>
      <w:r>
        <w:rPr>
          <w:color w:val="231F20"/>
        </w:rPr>
        <w:t>than</w:t>
      </w:r>
      <w:r>
        <w:rPr>
          <w:color w:val="231F20"/>
          <w:spacing w:val="-3"/>
        </w:rPr>
        <w:t> </w:t>
      </w:r>
      <w:r>
        <w:rPr>
          <w:color w:val="231F20"/>
          <w:spacing w:val="-1"/>
        </w:rPr>
        <w:t>800</w:t>
      </w:r>
      <w:r>
        <w:rPr>
          <w:color w:val="231F20"/>
          <w:spacing w:val="-2"/>
        </w:rPr>
        <w:t> </w:t>
      </w:r>
      <w:r>
        <w:rPr>
          <w:color w:val="231F20"/>
        </w:rPr>
        <w:t>and</w:t>
      </w:r>
      <w:r>
        <w:rPr>
          <w:color w:val="231F20"/>
          <w:spacing w:val="-4"/>
        </w:rPr>
        <w:t> </w:t>
      </w:r>
      <w:r>
        <w:rPr>
          <w:color w:val="231F20"/>
          <w:spacing w:val="-1"/>
        </w:rPr>
        <w:t>11</w:t>
      </w:r>
      <w:r>
        <w:rPr>
          <w:color w:val="231F20"/>
          <w:spacing w:val="-2"/>
        </w:rPr>
        <w:t> </w:t>
      </w:r>
      <w:r>
        <w:rPr>
          <w:color w:val="231F20"/>
        </w:rPr>
        <w:t>had</w:t>
      </w:r>
      <w:r>
        <w:rPr>
          <w:color w:val="231F20"/>
          <w:spacing w:val="-2"/>
        </w:rPr>
        <w:t> </w:t>
      </w:r>
      <w:r>
        <w:rPr>
          <w:color w:val="231F20"/>
        </w:rPr>
        <w:t>a</w:t>
      </w:r>
      <w:r>
        <w:rPr>
          <w:color w:val="231F20"/>
          <w:spacing w:val="-3"/>
        </w:rPr>
        <w:t> </w:t>
      </w:r>
      <w:r>
        <w:rPr>
          <w:color w:val="231F20"/>
          <w:spacing w:val="-1"/>
        </w:rPr>
        <w:t>score</w:t>
      </w:r>
      <w:r>
        <w:rPr>
          <w:color w:val="231F20"/>
          <w:spacing w:val="-2"/>
        </w:rPr>
        <w:t> </w:t>
      </w:r>
      <w:r>
        <w:rPr>
          <w:color w:val="231F20"/>
          <w:spacing w:val="-1"/>
        </w:rPr>
        <w:t>in</w:t>
      </w:r>
      <w:r>
        <w:rPr>
          <w:color w:val="231F20"/>
          <w:spacing w:val="-2"/>
        </w:rPr>
        <w:t> </w:t>
      </w:r>
      <w:r>
        <w:rPr>
          <w:color w:val="231F20"/>
        </w:rPr>
        <w:t>excess</w:t>
      </w:r>
      <w:r>
        <w:rPr>
          <w:color w:val="231F20"/>
          <w:spacing w:val="-3"/>
        </w:rPr>
        <w:t> </w:t>
      </w:r>
      <w:r>
        <w:rPr>
          <w:color w:val="231F20"/>
        </w:rPr>
        <w:t>of</w:t>
      </w:r>
      <w:r>
        <w:rPr>
          <w:color w:val="231F20"/>
          <w:spacing w:val="26"/>
          <w:w w:val="99"/>
        </w:rPr>
        <w:t> </w:t>
      </w:r>
      <w:r>
        <w:rPr>
          <w:color w:val="231F20"/>
          <w:spacing w:val="-1"/>
        </w:rPr>
        <w:t>800.</w:t>
      </w:r>
      <w:r>
        <w:rPr/>
      </w:r>
    </w:p>
    <w:p>
      <w:pPr>
        <w:pStyle w:val="BodyText"/>
        <w:spacing w:line="250" w:lineRule="exact" w:before="113"/>
        <w:ind w:right="193"/>
        <w:jc w:val="left"/>
      </w:pPr>
      <w:r>
        <w:rPr>
          <w:color w:val="231F20"/>
        </w:rPr>
        <w:t>NAPLAN</w:t>
      </w:r>
      <w:r>
        <w:rPr>
          <w:color w:val="231F20"/>
          <w:spacing w:val="-6"/>
        </w:rPr>
        <w:t> </w:t>
      </w:r>
      <w:r>
        <w:rPr>
          <w:color w:val="231F20"/>
        </w:rPr>
        <w:t>results</w:t>
      </w:r>
      <w:r>
        <w:rPr>
          <w:color w:val="231F20"/>
          <w:spacing w:val="-5"/>
        </w:rPr>
        <w:t> </w:t>
      </w:r>
      <w:r>
        <w:rPr>
          <w:color w:val="231F20"/>
        </w:rPr>
        <w:t>and</w:t>
      </w:r>
      <w:r>
        <w:rPr>
          <w:color w:val="231F20"/>
          <w:spacing w:val="-6"/>
        </w:rPr>
        <w:t> </w:t>
      </w:r>
      <w:r>
        <w:rPr>
          <w:color w:val="231F20"/>
        </w:rPr>
        <w:t>attendance</w:t>
      </w:r>
      <w:r>
        <w:rPr>
          <w:color w:val="231F20"/>
          <w:spacing w:val="-6"/>
        </w:rPr>
        <w:t> </w:t>
      </w:r>
      <w:r>
        <w:rPr>
          <w:color w:val="231F20"/>
        </w:rPr>
        <w:t>rates</w:t>
      </w:r>
      <w:r>
        <w:rPr>
          <w:color w:val="231F20"/>
          <w:spacing w:val="-6"/>
        </w:rPr>
        <w:t> </w:t>
      </w:r>
      <w:r>
        <w:rPr>
          <w:color w:val="231F20"/>
        </w:rPr>
        <w:t>for</w:t>
      </w:r>
      <w:r>
        <w:rPr>
          <w:color w:val="231F20"/>
          <w:spacing w:val="25"/>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5"/>
        </w:rPr>
        <w:t> </w:t>
      </w:r>
      <w:r>
        <w:rPr>
          <w:color w:val="231F20"/>
        </w:rPr>
        <w:t>with</w:t>
      </w:r>
      <w:r>
        <w:rPr>
          <w:color w:val="231F20"/>
          <w:spacing w:val="-5"/>
        </w:rPr>
        <w:t> </w:t>
      </w:r>
      <w:r>
        <w:rPr>
          <w:color w:val="231F20"/>
          <w:spacing w:val="-1"/>
        </w:rPr>
        <w:t>lower</w:t>
      </w:r>
      <w:r>
        <w:rPr>
          <w:color w:val="231F20"/>
          <w:spacing w:val="-4"/>
        </w:rPr>
        <w:t> </w:t>
      </w:r>
      <w:r>
        <w:rPr>
          <w:color w:val="231F20"/>
          <w:spacing w:val="-1"/>
        </w:rPr>
        <w:t>ICSEA</w:t>
      </w:r>
      <w:r>
        <w:rPr>
          <w:color w:val="231F20"/>
          <w:spacing w:val="-4"/>
        </w:rPr>
        <w:t> </w:t>
      </w:r>
      <w:r>
        <w:rPr>
          <w:color w:val="231F20"/>
          <w:spacing w:val="-1"/>
        </w:rPr>
        <w:t>scores</w:t>
      </w:r>
      <w:r>
        <w:rPr>
          <w:color w:val="231F20"/>
          <w:spacing w:val="-4"/>
        </w:rPr>
        <w:t> </w:t>
      </w:r>
      <w:r>
        <w:rPr>
          <w:color w:val="231F20"/>
        </w:rPr>
        <w:t>are</w:t>
      </w:r>
      <w:r>
        <w:rPr>
          <w:color w:val="231F20"/>
          <w:spacing w:val="24"/>
          <w:w w:val="99"/>
        </w:rPr>
        <w:t> </w:t>
      </w:r>
      <w:r>
        <w:rPr>
          <w:rFonts w:ascii="Segoe UI"/>
          <w:color w:val="231F20"/>
        </w:rPr>
        <w:t>significantly lower than the providers with</w:t>
      </w:r>
      <w:r>
        <w:rPr>
          <w:rFonts w:ascii="Segoe UI"/>
          <w:color w:val="231F20"/>
        </w:rPr>
        <w:t> </w:t>
      </w:r>
      <w:r>
        <w:rPr>
          <w:color w:val="231F20"/>
        </w:rPr>
        <w:t>higher</w:t>
      </w:r>
      <w:r>
        <w:rPr>
          <w:color w:val="231F20"/>
          <w:spacing w:val="-5"/>
        </w:rPr>
        <w:t> </w:t>
      </w:r>
      <w:r>
        <w:rPr>
          <w:color w:val="231F20"/>
          <w:spacing w:val="-1"/>
        </w:rPr>
        <w:t>ICSEA</w:t>
      </w:r>
      <w:r>
        <w:rPr>
          <w:color w:val="231F20"/>
          <w:spacing w:val="-3"/>
        </w:rPr>
        <w:t> </w:t>
      </w:r>
      <w:r>
        <w:rPr>
          <w:color w:val="231F20"/>
          <w:spacing w:val="-1"/>
        </w:rPr>
        <w:t>scores</w:t>
      </w:r>
      <w:r>
        <w:rPr>
          <w:color w:val="231F20"/>
          <w:spacing w:val="-4"/>
        </w:rPr>
        <w:t> </w:t>
      </w:r>
      <w:r>
        <w:rPr>
          <w:color w:val="231F20"/>
        </w:rPr>
        <w:t>and</w:t>
      </w:r>
      <w:r>
        <w:rPr>
          <w:color w:val="231F20"/>
          <w:spacing w:val="-4"/>
        </w:rPr>
        <w:t> </w:t>
      </w:r>
      <w:r>
        <w:rPr>
          <w:color w:val="231F20"/>
          <w:spacing w:val="-1"/>
        </w:rPr>
        <w:t>mainstream</w:t>
      </w:r>
      <w:r>
        <w:rPr>
          <w:color w:val="231F20"/>
          <w:spacing w:val="-3"/>
        </w:rPr>
        <w:t> </w:t>
      </w:r>
      <w:r>
        <w:rPr>
          <w:color w:val="231F20"/>
        </w:rPr>
        <w:t>boarding</w:t>
      </w:r>
      <w:r>
        <w:rPr>
          <w:color w:val="231F20"/>
          <w:spacing w:val="24"/>
          <w:w w:val="99"/>
        </w:rPr>
        <w:t> </w:t>
      </w:r>
      <w:r>
        <w:rPr>
          <w:color w:val="231F20"/>
        </w:rPr>
        <w:t>providers.</w:t>
      </w:r>
      <w:r>
        <w:rPr>
          <w:color w:val="231F20"/>
          <w:spacing w:val="-6"/>
        </w:rPr>
        <w:t> </w:t>
      </w:r>
      <w:r>
        <w:rPr>
          <w:color w:val="231F20"/>
          <w:spacing w:val="-1"/>
        </w:rPr>
        <w:t>Seven</w:t>
      </w:r>
      <w:r>
        <w:rPr>
          <w:color w:val="231F20"/>
          <w:spacing w:val="-4"/>
        </w:rPr>
        <w:t> </w:t>
      </w:r>
      <w:r>
        <w:rPr>
          <w:color w:val="231F20"/>
        </w:rPr>
        <w:t>of</w:t>
      </w:r>
      <w:r>
        <w:rPr>
          <w:color w:val="231F20"/>
          <w:spacing w:val="-4"/>
        </w:rPr>
        <w:t> </w:t>
      </w:r>
      <w:r>
        <w:rPr>
          <w:color w:val="231F20"/>
        </w:rPr>
        <w:t>the</w:t>
      </w:r>
      <w:r>
        <w:rPr>
          <w:color w:val="231F20"/>
          <w:spacing w:val="-6"/>
        </w:rPr>
        <w:t> </w:t>
      </w:r>
      <w:r>
        <w:rPr>
          <w:color w:val="231F20"/>
          <w:spacing w:val="-1"/>
        </w:rPr>
        <w:t>23</w:t>
      </w:r>
      <w:r>
        <w:rPr>
          <w:color w:val="231F20"/>
          <w:spacing w:val="-4"/>
        </w:rPr>
        <w:t> </w:t>
      </w:r>
      <w:r>
        <w:rPr>
          <w:color w:val="231F20"/>
        </w:rPr>
        <w:t>Aboriginal</w:t>
      </w:r>
      <w:r>
        <w:rPr>
          <w:color w:val="231F20"/>
          <w:spacing w:val="-4"/>
        </w:rPr>
        <w:t> </w:t>
      </w:r>
      <w:r>
        <w:rPr>
          <w:color w:val="231F20"/>
        </w:rPr>
        <w:t>and</w:t>
      </w:r>
      <w:r>
        <w:rPr>
          <w:color w:val="231F20"/>
          <w:spacing w:val="22"/>
          <w:w w:val="99"/>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7"/>
        </w:rPr>
        <w:t> </w:t>
      </w:r>
      <w:r>
        <w:rPr>
          <w:color w:val="231F20"/>
        </w:rPr>
        <w:t>providers</w:t>
      </w:r>
      <w:r>
        <w:rPr>
          <w:color w:val="231F20"/>
          <w:spacing w:val="-7"/>
        </w:rPr>
        <w:t> </w:t>
      </w:r>
      <w:r>
        <w:rPr>
          <w:color w:val="231F20"/>
        </w:rPr>
        <w:t>(30</w:t>
      </w:r>
      <w:r>
        <w:rPr>
          <w:color w:val="231F20"/>
          <w:spacing w:val="21"/>
          <w:w w:val="99"/>
        </w:rPr>
        <w:t> </w:t>
      </w:r>
      <w:r>
        <w:rPr>
          <w:rFonts w:ascii="Segoe UI"/>
          <w:color w:val="231F20"/>
        </w:rPr>
        <w:t>per cent) had</w:t>
      </w:r>
      <w:r>
        <w:rPr>
          <w:rFonts w:ascii="Segoe UI"/>
          <w:color w:val="231F20"/>
          <w:spacing w:val="1"/>
        </w:rPr>
        <w:t> </w:t>
      </w:r>
      <w:r>
        <w:rPr>
          <w:rFonts w:ascii="Segoe UI"/>
          <w:color w:val="231F20"/>
        </w:rPr>
        <w:t>nil senior</w:t>
      </w:r>
      <w:r>
        <w:rPr>
          <w:rFonts w:ascii="Segoe UI"/>
          <w:color w:val="231F20"/>
          <w:spacing w:val="1"/>
        </w:rPr>
        <w:t> </w:t>
      </w:r>
      <w:r>
        <w:rPr>
          <w:rFonts w:ascii="Segoe UI"/>
          <w:color w:val="231F20"/>
          <w:spacing w:val="-1"/>
        </w:rPr>
        <w:t>certificates</w:t>
      </w:r>
      <w:r>
        <w:rPr>
          <w:rFonts w:ascii="Segoe UI Semibold"/>
          <w:b/>
          <w:color w:val="231F20"/>
          <w:spacing w:val="-1"/>
          <w:position w:val="7"/>
          <w:sz w:val="11"/>
        </w:rPr>
        <w:t>153</w:t>
      </w:r>
      <w:r>
        <w:rPr>
          <w:rFonts w:ascii="Segoe UI Semibold"/>
          <w:b/>
          <w:color w:val="231F20"/>
          <w:spacing w:val="24"/>
          <w:position w:val="7"/>
          <w:sz w:val="11"/>
        </w:rPr>
        <w:t> </w:t>
      </w:r>
      <w:r>
        <w:rPr>
          <w:color w:val="231F20"/>
        </w:rPr>
        <w:t>awarded</w:t>
      </w:r>
      <w:r>
        <w:rPr>
          <w:color w:val="231F20"/>
          <w:spacing w:val="25"/>
          <w:w w:val="99"/>
        </w:rPr>
        <w:t> </w:t>
      </w:r>
      <w:r>
        <w:rPr>
          <w:color w:val="231F20"/>
        </w:rPr>
        <w:t>across</w:t>
      </w:r>
      <w:r>
        <w:rPr>
          <w:color w:val="231F20"/>
          <w:spacing w:val="-4"/>
        </w:rPr>
        <w:t> </w:t>
      </w:r>
      <w:r>
        <w:rPr>
          <w:color w:val="231F20"/>
          <w:spacing w:val="-1"/>
        </w:rPr>
        <w:t>2015</w:t>
      </w:r>
      <w:r>
        <w:rPr>
          <w:color w:val="231F20"/>
          <w:spacing w:val="-2"/>
        </w:rPr>
        <w:t> </w:t>
      </w:r>
      <w:r>
        <w:rPr>
          <w:color w:val="231F20"/>
        </w:rPr>
        <w:t>and</w:t>
      </w:r>
      <w:r>
        <w:rPr>
          <w:color w:val="231F20"/>
          <w:spacing w:val="-3"/>
        </w:rPr>
        <w:t> </w:t>
      </w:r>
      <w:r>
        <w:rPr>
          <w:color w:val="231F20"/>
          <w:spacing w:val="-1"/>
        </w:rPr>
        <w:t>2016.</w:t>
      </w:r>
      <w:r>
        <w:rPr>
          <w:color w:val="231F20"/>
          <w:spacing w:val="-2"/>
        </w:rPr>
        <w:t> </w:t>
      </w:r>
      <w:r>
        <w:rPr>
          <w:color w:val="231F20"/>
          <w:spacing w:val="-1"/>
        </w:rPr>
        <w:t>Six</w:t>
      </w:r>
      <w:r>
        <w:rPr>
          <w:color w:val="231F20"/>
          <w:spacing w:val="-3"/>
        </w:rPr>
        <w:t> </w:t>
      </w:r>
      <w:r>
        <w:rPr>
          <w:color w:val="231F20"/>
        </w:rPr>
        <w:t>of</w:t>
      </w:r>
      <w:r>
        <w:rPr>
          <w:color w:val="231F20"/>
          <w:spacing w:val="-2"/>
        </w:rPr>
        <w:t> </w:t>
      </w:r>
      <w:r>
        <w:rPr>
          <w:color w:val="231F20"/>
        </w:rPr>
        <w:t>those</w:t>
      </w:r>
      <w:r>
        <w:rPr>
          <w:color w:val="231F20"/>
          <w:spacing w:val="-3"/>
        </w:rPr>
        <w:t> </w:t>
      </w:r>
      <w:r>
        <w:rPr>
          <w:color w:val="231F20"/>
          <w:spacing w:val="-1"/>
        </w:rPr>
        <w:t>seven</w:t>
      </w:r>
      <w:r>
        <w:rPr>
          <w:color w:val="231F20"/>
          <w:spacing w:val="23"/>
        </w:rPr>
        <w:t> </w:t>
      </w:r>
      <w:r>
        <w:rPr>
          <w:color w:val="231F20"/>
          <w:spacing w:val="-1"/>
        </w:rPr>
        <w:t>schools</w:t>
      </w:r>
      <w:r>
        <w:rPr>
          <w:color w:val="231F20"/>
          <w:spacing w:val="-4"/>
        </w:rPr>
        <w:t> </w:t>
      </w:r>
      <w:r>
        <w:rPr>
          <w:color w:val="231F20"/>
        </w:rPr>
        <w:t>had</w:t>
      </w:r>
      <w:r>
        <w:rPr>
          <w:color w:val="231F20"/>
          <w:spacing w:val="-3"/>
        </w:rPr>
        <w:t> </w:t>
      </w:r>
      <w:r>
        <w:rPr>
          <w:color w:val="231F20"/>
        </w:rPr>
        <w:t>an</w:t>
      </w:r>
      <w:r>
        <w:rPr>
          <w:color w:val="231F20"/>
          <w:spacing w:val="-4"/>
        </w:rPr>
        <w:t> </w:t>
      </w:r>
      <w:r>
        <w:rPr>
          <w:color w:val="231F20"/>
        </w:rPr>
        <w:t>allocated</w:t>
      </w:r>
      <w:r>
        <w:rPr>
          <w:color w:val="231F20"/>
          <w:spacing w:val="-4"/>
        </w:rPr>
        <w:t> </w:t>
      </w:r>
      <w:r>
        <w:rPr>
          <w:color w:val="231F20"/>
          <w:spacing w:val="-1"/>
        </w:rPr>
        <w:t>ICSEA</w:t>
      </w:r>
      <w:r>
        <w:rPr>
          <w:color w:val="231F20"/>
          <w:spacing w:val="-3"/>
        </w:rPr>
        <w:t> </w:t>
      </w:r>
      <w:r>
        <w:rPr>
          <w:color w:val="231F20"/>
          <w:spacing w:val="-1"/>
        </w:rPr>
        <w:t>score</w:t>
      </w:r>
      <w:r>
        <w:rPr>
          <w:color w:val="231F20"/>
          <w:spacing w:val="-3"/>
        </w:rPr>
        <w:t> </w:t>
      </w:r>
      <w:r>
        <w:rPr>
          <w:color w:val="231F20"/>
        </w:rPr>
        <w:t>and</w:t>
      </w:r>
      <w:r>
        <w:rPr>
          <w:color w:val="231F20"/>
          <w:spacing w:val="-4"/>
        </w:rPr>
        <w:t> </w:t>
      </w:r>
      <w:r>
        <w:rPr>
          <w:color w:val="231F20"/>
        </w:rPr>
        <w:t>all</w:t>
      </w:r>
      <w:r>
        <w:rPr>
          <w:color w:val="231F20"/>
          <w:spacing w:val="24"/>
        </w:rPr>
        <w:t> </w:t>
      </w:r>
      <w:r>
        <w:rPr>
          <w:color w:val="231F20"/>
          <w:spacing w:val="-1"/>
        </w:rPr>
        <w:t>scores</w:t>
      </w:r>
      <w:r>
        <w:rPr>
          <w:color w:val="231F20"/>
          <w:spacing w:val="-5"/>
        </w:rPr>
        <w:t> </w:t>
      </w:r>
      <w:r>
        <w:rPr>
          <w:color w:val="231F20"/>
        </w:rPr>
        <w:t>were</w:t>
      </w:r>
      <w:r>
        <w:rPr>
          <w:color w:val="231F20"/>
          <w:spacing w:val="-5"/>
        </w:rPr>
        <w:t> </w:t>
      </w:r>
      <w:r>
        <w:rPr>
          <w:color w:val="231F20"/>
          <w:spacing w:val="-1"/>
        </w:rPr>
        <w:t>in</w:t>
      </w:r>
      <w:r>
        <w:rPr>
          <w:color w:val="231F20"/>
          <w:spacing w:val="-4"/>
        </w:rPr>
        <w:t> </w:t>
      </w:r>
      <w:r>
        <w:rPr>
          <w:color w:val="231F20"/>
        </w:rPr>
        <w:t>the</w:t>
      </w:r>
      <w:r>
        <w:rPr>
          <w:color w:val="231F20"/>
          <w:spacing w:val="-5"/>
        </w:rPr>
        <w:t> </w:t>
      </w:r>
      <w:r>
        <w:rPr>
          <w:color w:val="231F20"/>
          <w:spacing w:val="-1"/>
        </w:rPr>
        <w:t>lower</w:t>
      </w:r>
      <w:r>
        <w:rPr>
          <w:color w:val="231F20"/>
          <w:spacing w:val="-4"/>
        </w:rPr>
        <w:t> </w:t>
      </w:r>
      <w:r>
        <w:rPr>
          <w:color w:val="231F20"/>
        </w:rPr>
        <w:t>range,</w:t>
      </w:r>
      <w:r>
        <w:rPr>
          <w:color w:val="231F20"/>
          <w:spacing w:val="-5"/>
        </w:rPr>
        <w:t> </w:t>
      </w:r>
      <w:r>
        <w:rPr>
          <w:color w:val="231F20"/>
        </w:rPr>
        <w:t>ranging</w:t>
      </w:r>
      <w:r>
        <w:rPr>
          <w:color w:val="231F20"/>
          <w:spacing w:val="-5"/>
        </w:rPr>
        <w:t> </w:t>
      </w:r>
      <w:r>
        <w:rPr>
          <w:color w:val="231F20"/>
        </w:rPr>
        <w:t>from</w:t>
      </w:r>
      <w:r>
        <w:rPr>
          <w:color w:val="231F20"/>
          <w:spacing w:val="24"/>
          <w:w w:val="99"/>
        </w:rPr>
        <w:t> </w:t>
      </w:r>
      <w:r>
        <w:rPr>
          <w:color w:val="231F20"/>
          <w:spacing w:val="-1"/>
        </w:rPr>
        <w:t>588</w:t>
      </w:r>
      <w:r>
        <w:rPr>
          <w:color w:val="231F20"/>
          <w:spacing w:val="-3"/>
        </w:rPr>
        <w:t> </w:t>
      </w:r>
      <w:r>
        <w:rPr>
          <w:color w:val="231F20"/>
        </w:rPr>
        <w:t>-</w:t>
      </w:r>
      <w:r>
        <w:rPr>
          <w:color w:val="231F20"/>
          <w:spacing w:val="-2"/>
        </w:rPr>
        <w:t> </w:t>
      </w:r>
      <w:r>
        <w:rPr>
          <w:color w:val="231F20"/>
        </w:rPr>
        <w:t>794.</w:t>
      </w:r>
      <w:r>
        <w:rPr/>
      </w:r>
    </w:p>
    <w:p>
      <w:pPr>
        <w:spacing w:after="0" w:line="250" w:lineRule="exact"/>
        <w:jc w:val="left"/>
        <w:sectPr>
          <w:type w:val="continuous"/>
          <w:pgSz w:w="11910" w:h="16840"/>
          <w:pgMar w:top="1580" w:bottom="280" w:left="1300" w:right="1620"/>
          <w:cols w:num="2" w:equalWidth="0">
            <w:col w:w="4332" w:space="261"/>
            <w:col w:w="4397"/>
          </w:cols>
        </w:sectPr>
      </w:pPr>
    </w:p>
    <w:p>
      <w:pPr>
        <w:spacing w:line="240" w:lineRule="auto" w:before="0"/>
        <w:rPr>
          <w:rFonts w:ascii="Segoe UI" w:hAnsi="Segoe UI" w:cs="Segoe UI" w:eastAsia="Segoe UI"/>
          <w:sz w:val="20"/>
          <w:szCs w:val="20"/>
        </w:rPr>
      </w:pPr>
    </w:p>
    <w:p>
      <w:pPr>
        <w:spacing w:line="240" w:lineRule="auto" w:before="3"/>
        <w:rPr>
          <w:rFonts w:ascii="Segoe UI" w:hAnsi="Segoe UI" w:cs="Segoe UI" w:eastAsia="Segoe UI"/>
          <w:sz w:val="21"/>
          <w:szCs w:val="21"/>
        </w:rPr>
      </w:pPr>
    </w:p>
    <w:p>
      <w:pPr>
        <w:spacing w:line="200" w:lineRule="exact" w:before="78"/>
        <w:ind w:left="103" w:right="210" w:firstLine="0"/>
        <w:jc w:val="left"/>
        <w:rPr>
          <w:rFonts w:ascii="Segoe UI Semibold" w:hAnsi="Segoe UI Semibold" w:cs="Segoe UI Semibold" w:eastAsia="Segoe UI Semibold"/>
          <w:sz w:val="16"/>
          <w:szCs w:val="16"/>
        </w:rPr>
      </w:pPr>
      <w:r>
        <w:rPr>
          <w:rFonts w:ascii="Segoe UI Semibold" w:hAnsi="Segoe UI Semibold" w:cs="Segoe UI Semibold" w:eastAsia="Segoe UI Semibold"/>
          <w:b/>
          <w:bCs/>
          <w:color w:val="666155"/>
          <w:spacing w:val="1"/>
          <w:sz w:val="16"/>
          <w:szCs w:val="16"/>
        </w:rPr>
        <w:t>TABLE</w:t>
      </w:r>
      <w:r>
        <w:rPr>
          <w:rFonts w:ascii="Segoe UI Semibold" w:hAnsi="Segoe UI Semibold" w:cs="Segoe UI Semibold" w:eastAsia="Segoe UI Semibold"/>
          <w:b/>
          <w:bCs/>
          <w:color w:val="666155"/>
          <w:spacing w:val="-4"/>
          <w:sz w:val="16"/>
          <w:szCs w:val="16"/>
        </w:rPr>
        <w:t> </w:t>
      </w:r>
      <w:r>
        <w:rPr>
          <w:rFonts w:ascii="Segoe UI Semibold" w:hAnsi="Segoe UI Semibold" w:cs="Segoe UI Semibold" w:eastAsia="Segoe UI Semibold"/>
          <w:b/>
          <w:bCs/>
          <w:color w:val="666155"/>
          <w:sz w:val="16"/>
          <w:szCs w:val="16"/>
        </w:rPr>
        <w:t>10:</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spacing w:val="3"/>
          <w:sz w:val="16"/>
          <w:szCs w:val="16"/>
        </w:rPr>
        <w:t>EDUCATIONAL</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2"/>
          <w:sz w:val="16"/>
          <w:szCs w:val="16"/>
        </w:rPr>
        <w:t>INDICATORS:</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spacing w:val="4"/>
          <w:sz w:val="16"/>
          <w:szCs w:val="16"/>
        </w:rPr>
        <w:t>NAPLAN</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AND</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3"/>
          <w:sz w:val="16"/>
          <w:szCs w:val="16"/>
        </w:rPr>
        <w:t>ATTENDANCE</w:t>
      </w:r>
      <w:r>
        <w:rPr>
          <w:rFonts w:ascii="Segoe UI Semibold" w:hAnsi="Segoe UI Semibold" w:cs="Segoe UI Semibold" w:eastAsia="Segoe UI Semibold"/>
          <w:b/>
          <w:bCs/>
          <w:color w:val="666155"/>
          <w:spacing w:val="3"/>
          <w:position w:val="1"/>
          <w:sz w:val="16"/>
          <w:szCs w:val="16"/>
        </w:rPr>
        <w:t>—</w:t>
      </w:r>
      <w:r>
        <w:rPr>
          <w:rFonts w:ascii="Segoe UI Semibold" w:hAnsi="Segoe UI Semibold" w:cs="Segoe UI Semibold" w:eastAsia="Segoe UI Semibold"/>
          <w:b/>
          <w:bCs/>
          <w:color w:val="666155"/>
          <w:spacing w:val="3"/>
          <w:sz w:val="16"/>
          <w:szCs w:val="16"/>
        </w:rPr>
        <w:t>COMPARISON</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BETWEEN</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4"/>
          <w:sz w:val="16"/>
          <w:szCs w:val="16"/>
        </w:rPr>
        <w:t>ABORIGINAL</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5"/>
          <w:sz w:val="16"/>
          <w:szCs w:val="16"/>
        </w:rPr>
        <w:t>AND</w:t>
      </w:r>
      <w:r>
        <w:rPr>
          <w:rFonts w:ascii="Segoe UI Semibold" w:hAnsi="Segoe UI Semibold" w:cs="Segoe UI Semibold" w:eastAsia="Segoe UI Semibold"/>
          <w:b/>
          <w:bCs/>
          <w:color w:val="666155"/>
          <w:spacing w:val="91"/>
          <w:sz w:val="16"/>
          <w:szCs w:val="16"/>
        </w:rPr>
        <w:t> </w:t>
      </w:r>
      <w:r>
        <w:rPr>
          <w:rFonts w:ascii="Segoe UI Semibold" w:hAnsi="Segoe UI Semibold" w:cs="Segoe UI Semibold" w:eastAsia="Segoe UI Semibold"/>
          <w:b/>
          <w:bCs/>
          <w:color w:val="666155"/>
          <w:spacing w:val="3"/>
          <w:sz w:val="16"/>
          <w:szCs w:val="16"/>
        </w:rPr>
        <w:t>TORRES</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STRAIT</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ISLANDER</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AND</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MAINSTREAM</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BOARDING</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PROVIDERS,</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sz w:val="16"/>
          <w:szCs w:val="16"/>
        </w:rPr>
        <w:t>2015</w:t>
      </w:r>
      <w:r>
        <w:rPr>
          <w:rFonts w:ascii="Segoe UI Semibold" w:hAnsi="Segoe UI Semibold" w:cs="Segoe UI Semibold" w:eastAsia="Segoe UI Semibold"/>
          <w:b/>
          <w:bCs/>
          <w:color w:val="666155"/>
          <w:spacing w:val="-4"/>
          <w:sz w:val="16"/>
          <w:szCs w:val="16"/>
        </w:rPr>
        <w:t> </w:t>
      </w:r>
      <w:r>
        <w:rPr>
          <w:rFonts w:ascii="Segoe UI Semibold" w:hAnsi="Segoe UI Semibold" w:cs="Segoe UI Semibold" w:eastAsia="Segoe UI Semibold"/>
          <w:b/>
          <w:bCs/>
          <w:color w:val="666155"/>
          <w:position w:val="1"/>
          <w:sz w:val="16"/>
          <w:szCs w:val="16"/>
        </w:rPr>
        <w:t>—</w:t>
      </w:r>
      <w:r>
        <w:rPr>
          <w:rFonts w:ascii="Segoe UI Semibold" w:hAnsi="Segoe UI Semibold" w:cs="Segoe UI Semibold" w:eastAsia="Segoe UI Semibold"/>
          <w:b/>
          <w:bCs/>
          <w:color w:val="666155"/>
          <w:spacing w:val="-3"/>
          <w:position w:val="1"/>
          <w:sz w:val="16"/>
          <w:szCs w:val="16"/>
        </w:rPr>
        <w:t> </w:t>
      </w:r>
      <w:r>
        <w:rPr>
          <w:rFonts w:ascii="Segoe UI Semibold" w:hAnsi="Segoe UI Semibold" w:cs="Segoe UI Semibold" w:eastAsia="Segoe UI Semibold"/>
          <w:b/>
          <w:bCs/>
          <w:color w:val="666155"/>
          <w:spacing w:val="-1"/>
          <w:sz w:val="16"/>
          <w:szCs w:val="16"/>
        </w:rPr>
        <w:t>2017</w:t>
      </w:r>
      <w:r>
        <w:rPr>
          <w:rFonts w:ascii="Segoe UI Semibold" w:hAnsi="Segoe UI Semibold" w:cs="Segoe UI Semibold" w:eastAsia="Segoe UI Semibold"/>
          <w:sz w:val="16"/>
          <w:szCs w:val="16"/>
        </w:rPr>
      </w:r>
    </w:p>
    <w:p>
      <w:pPr>
        <w:spacing w:line="240" w:lineRule="auto" w:before="12"/>
        <w:rPr>
          <w:rFonts w:ascii="Segoe UI Semibold" w:hAnsi="Segoe UI Semibold" w:cs="Segoe UI Semibold" w:eastAsia="Segoe UI Semibold"/>
          <w:b/>
          <w:bCs/>
          <w:sz w:val="11"/>
          <w:szCs w:val="11"/>
        </w:rPr>
      </w:pPr>
    </w:p>
    <w:tbl>
      <w:tblPr>
        <w:tblW w:w="0" w:type="auto"/>
        <w:jc w:val="left"/>
        <w:tblInd w:w="100" w:type="dxa"/>
        <w:tblLayout w:type="fixed"/>
        <w:tblCellMar>
          <w:top w:w="0" w:type="dxa"/>
          <w:left w:w="0" w:type="dxa"/>
          <w:bottom w:w="0" w:type="dxa"/>
          <w:right w:w="0" w:type="dxa"/>
        </w:tblCellMar>
        <w:tblLook w:val="01E0"/>
      </w:tblPr>
      <w:tblGrid>
        <w:gridCol w:w="5211"/>
        <w:gridCol w:w="1783"/>
        <w:gridCol w:w="1783"/>
      </w:tblGrid>
      <w:tr>
        <w:trPr>
          <w:trHeight w:val="343" w:hRule="exact"/>
        </w:trPr>
        <w:tc>
          <w:tcPr>
            <w:tcW w:w="5211" w:type="dxa"/>
            <w:tcBorders>
              <w:top w:val="single" w:sz="4" w:space="0" w:color="C1B5A9"/>
              <w:left w:val="single" w:sz="4" w:space="0" w:color="C1B5A9"/>
              <w:bottom w:val="single" w:sz="4" w:space="0" w:color="C1B5A9"/>
              <w:right w:val="single" w:sz="4" w:space="0" w:color="C1B5A9"/>
            </w:tcBorders>
            <w:shd w:val="clear" w:color="auto" w:fill="C1B5A9"/>
          </w:tcPr>
          <w:p>
            <w:pPr/>
          </w:p>
        </w:tc>
        <w:tc>
          <w:tcPr>
            <w:tcW w:w="1783"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left="298" w:right="0"/>
              <w:jc w:val="left"/>
              <w:rPr>
                <w:rFonts w:ascii="Segoe UI" w:hAnsi="Segoe UI" w:cs="Segoe UI" w:eastAsia="Segoe UI"/>
                <w:sz w:val="9"/>
                <w:szCs w:val="9"/>
              </w:rPr>
            </w:pPr>
            <w:r>
              <w:rPr>
                <w:rFonts w:ascii="Segoe UI"/>
                <w:color w:val="231F20"/>
                <w:sz w:val="16"/>
              </w:rPr>
              <w:t>NAPLAN</w:t>
            </w:r>
            <w:r>
              <w:rPr>
                <w:rFonts w:ascii="Segoe UI"/>
                <w:color w:val="231F20"/>
                <w:spacing w:val="-6"/>
                <w:sz w:val="16"/>
              </w:rPr>
              <w:t> </w:t>
            </w:r>
            <w:r>
              <w:rPr>
                <w:rFonts w:ascii="Segoe UI"/>
                <w:color w:val="231F20"/>
                <w:spacing w:val="-1"/>
                <w:sz w:val="16"/>
              </w:rPr>
              <w:t>average</w:t>
            </w:r>
            <w:r>
              <w:rPr>
                <w:rFonts w:ascii="Segoe UI"/>
                <w:color w:val="231F20"/>
                <w:spacing w:val="-1"/>
                <w:position w:val="5"/>
                <w:sz w:val="9"/>
              </w:rPr>
              <w:t>154</w:t>
            </w:r>
            <w:r>
              <w:rPr>
                <w:rFonts w:ascii="Segoe UI"/>
                <w:sz w:val="9"/>
              </w:rPr>
            </w:r>
          </w:p>
        </w:tc>
        <w:tc>
          <w:tcPr>
            <w:tcW w:w="1783"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left="108" w:right="0"/>
              <w:jc w:val="left"/>
              <w:rPr>
                <w:rFonts w:ascii="Segoe UI" w:hAnsi="Segoe UI" w:cs="Segoe UI" w:eastAsia="Segoe UI"/>
                <w:sz w:val="9"/>
                <w:szCs w:val="9"/>
              </w:rPr>
            </w:pPr>
            <w:r>
              <w:rPr>
                <w:rFonts w:ascii="Segoe UI"/>
                <w:color w:val="231F20"/>
                <w:spacing w:val="-1"/>
                <w:sz w:val="16"/>
              </w:rPr>
              <w:t>Average</w:t>
            </w:r>
            <w:r>
              <w:rPr>
                <w:rFonts w:ascii="Segoe UI"/>
                <w:color w:val="231F20"/>
                <w:spacing w:val="-11"/>
                <w:sz w:val="16"/>
              </w:rPr>
              <w:t> </w:t>
            </w:r>
            <w:r>
              <w:rPr>
                <w:rFonts w:ascii="Segoe UI"/>
                <w:color w:val="231F20"/>
                <w:spacing w:val="-1"/>
                <w:sz w:val="16"/>
              </w:rPr>
              <w:t>attendance</w:t>
            </w:r>
            <w:r>
              <w:rPr>
                <w:rFonts w:ascii="Segoe UI"/>
                <w:color w:val="231F20"/>
                <w:spacing w:val="-1"/>
                <w:position w:val="5"/>
                <w:sz w:val="9"/>
              </w:rPr>
              <w:t>155</w:t>
            </w:r>
            <w:r>
              <w:rPr>
                <w:rFonts w:ascii="Segoe UI"/>
                <w:sz w:val="9"/>
              </w:rPr>
            </w:r>
          </w:p>
        </w:tc>
      </w:tr>
      <w:tr>
        <w:trPr>
          <w:trHeight w:val="352" w:hRule="exact"/>
        </w:trPr>
        <w:tc>
          <w:tcPr>
            <w:tcW w:w="5211" w:type="dxa"/>
            <w:tcBorders>
              <w:top w:val="single" w:sz="4" w:space="0" w:color="C1B5A9"/>
              <w:left w:val="single" w:sz="4" w:space="0" w:color="C1B5A9"/>
              <w:bottom w:val="nil" w:sz="6" w:space="0" w:color="auto"/>
              <w:right w:val="single" w:sz="4" w:space="0" w:color="C1B5A9"/>
            </w:tcBorders>
          </w:tcPr>
          <w:p>
            <w:pPr>
              <w:pStyle w:val="TableParagraph"/>
              <w:spacing w:line="240" w:lineRule="auto" w:before="52"/>
              <w:ind w:left="108" w:right="0"/>
              <w:jc w:val="left"/>
              <w:rPr>
                <w:rFonts w:ascii="Segoe UI" w:hAnsi="Segoe UI" w:cs="Segoe UI" w:eastAsia="Segoe UI"/>
                <w:sz w:val="16"/>
                <w:szCs w:val="16"/>
              </w:rPr>
            </w:pPr>
            <w:r>
              <w:rPr>
                <w:rFonts w:ascii="Segoe UI"/>
                <w:color w:val="231F20"/>
                <w:sz w:val="16"/>
              </w:rPr>
              <w:t>All</w:t>
            </w:r>
            <w:r>
              <w:rPr>
                <w:rFonts w:ascii="Segoe UI"/>
                <w:color w:val="231F20"/>
                <w:spacing w:val="-7"/>
                <w:sz w:val="16"/>
              </w:rPr>
              <w:t> </w:t>
            </w:r>
            <w:r>
              <w:rPr>
                <w:rFonts w:ascii="Segoe UI"/>
                <w:color w:val="231F20"/>
                <w:sz w:val="16"/>
              </w:rPr>
              <w:t>Aboriginal</w:t>
            </w:r>
            <w:r>
              <w:rPr>
                <w:rFonts w:ascii="Segoe UI"/>
                <w:color w:val="231F20"/>
                <w:spacing w:val="-5"/>
                <w:sz w:val="16"/>
              </w:rPr>
              <w:t> </w:t>
            </w:r>
            <w:r>
              <w:rPr>
                <w:rFonts w:ascii="Segoe UI"/>
                <w:color w:val="231F20"/>
                <w:sz w:val="16"/>
              </w:rPr>
              <w:t>and</w:t>
            </w:r>
            <w:r>
              <w:rPr>
                <w:rFonts w:ascii="Segoe UI"/>
                <w:color w:val="231F20"/>
                <w:spacing w:val="-6"/>
                <w:sz w:val="16"/>
              </w:rPr>
              <w:t> </w:t>
            </w:r>
            <w:r>
              <w:rPr>
                <w:rFonts w:ascii="Segoe UI"/>
                <w:color w:val="231F20"/>
                <w:spacing w:val="-3"/>
                <w:sz w:val="16"/>
              </w:rPr>
              <w:t>Torres</w:t>
            </w:r>
            <w:r>
              <w:rPr>
                <w:rFonts w:ascii="Segoe UI"/>
                <w:color w:val="231F20"/>
                <w:spacing w:val="-5"/>
                <w:sz w:val="16"/>
              </w:rPr>
              <w:t> </w:t>
            </w:r>
            <w:r>
              <w:rPr>
                <w:rFonts w:ascii="Segoe UI"/>
                <w:color w:val="231F20"/>
                <w:spacing w:val="-1"/>
                <w:sz w:val="16"/>
              </w:rPr>
              <w:t>Strait</w:t>
            </w:r>
            <w:r>
              <w:rPr>
                <w:rFonts w:ascii="Segoe UI"/>
                <w:color w:val="231F20"/>
                <w:spacing w:val="-6"/>
                <w:sz w:val="16"/>
              </w:rPr>
              <w:t> </w:t>
            </w:r>
            <w:r>
              <w:rPr>
                <w:rFonts w:ascii="Segoe UI"/>
                <w:color w:val="231F20"/>
                <w:spacing w:val="-1"/>
                <w:sz w:val="16"/>
              </w:rPr>
              <w:t>Islander</w:t>
            </w:r>
            <w:r>
              <w:rPr>
                <w:rFonts w:ascii="Segoe UI"/>
                <w:color w:val="231F20"/>
                <w:spacing w:val="-5"/>
                <w:sz w:val="16"/>
              </w:rPr>
              <w:t> </w:t>
            </w:r>
            <w:r>
              <w:rPr>
                <w:rFonts w:ascii="Segoe UI"/>
                <w:color w:val="231F20"/>
                <w:sz w:val="16"/>
              </w:rPr>
              <w:t>boarding</w:t>
            </w:r>
            <w:r>
              <w:rPr>
                <w:rFonts w:ascii="Segoe UI"/>
                <w:color w:val="231F20"/>
                <w:spacing w:val="-6"/>
                <w:sz w:val="16"/>
              </w:rPr>
              <w:t> </w:t>
            </w:r>
            <w:r>
              <w:rPr>
                <w:rFonts w:ascii="Segoe UI"/>
                <w:color w:val="231F20"/>
                <w:sz w:val="16"/>
              </w:rPr>
              <w:t>providers</w:t>
            </w:r>
            <w:r>
              <w:rPr>
                <w:rFonts w:ascii="Segoe UI"/>
                <w:sz w:val="16"/>
              </w:rPr>
            </w:r>
          </w:p>
        </w:tc>
        <w:tc>
          <w:tcPr>
            <w:tcW w:w="1783" w:type="dxa"/>
            <w:tcBorders>
              <w:top w:val="single" w:sz="4" w:space="0" w:color="C1B5A9"/>
              <w:left w:val="single" w:sz="4" w:space="0" w:color="C1B5A9"/>
              <w:bottom w:val="nil" w:sz="6" w:space="0" w:color="auto"/>
              <w:right w:val="single" w:sz="4" w:space="0" w:color="C1B5A9"/>
            </w:tcBorders>
          </w:tcPr>
          <w:p>
            <w:pPr>
              <w:pStyle w:val="TableParagraph"/>
              <w:spacing w:line="240" w:lineRule="auto" w:before="52"/>
              <w:ind w:right="106"/>
              <w:jc w:val="right"/>
              <w:rPr>
                <w:rFonts w:ascii="Segoe UI" w:hAnsi="Segoe UI" w:cs="Segoe UI" w:eastAsia="Segoe UI"/>
                <w:sz w:val="16"/>
                <w:szCs w:val="16"/>
              </w:rPr>
            </w:pPr>
            <w:r>
              <w:rPr>
                <w:rFonts w:ascii="Segoe UI"/>
                <w:color w:val="231F20"/>
                <w:sz w:val="16"/>
              </w:rPr>
              <w:t>475</w:t>
            </w:r>
            <w:r>
              <w:rPr>
                <w:rFonts w:ascii="Segoe UI"/>
                <w:sz w:val="16"/>
              </w:rPr>
            </w:r>
          </w:p>
        </w:tc>
        <w:tc>
          <w:tcPr>
            <w:tcW w:w="1783" w:type="dxa"/>
            <w:tcBorders>
              <w:top w:val="single" w:sz="4" w:space="0" w:color="C1B5A9"/>
              <w:left w:val="single" w:sz="4" w:space="0" w:color="C1B5A9"/>
              <w:bottom w:val="nil" w:sz="6" w:space="0" w:color="auto"/>
              <w:right w:val="single" w:sz="4" w:space="0" w:color="C1B5A9"/>
            </w:tcBorders>
          </w:tcPr>
          <w:p>
            <w:pPr>
              <w:pStyle w:val="TableParagraph"/>
              <w:spacing w:line="240" w:lineRule="auto" w:before="52"/>
              <w:ind w:right="106"/>
              <w:jc w:val="right"/>
              <w:rPr>
                <w:rFonts w:ascii="Segoe UI" w:hAnsi="Segoe UI" w:cs="Segoe UI" w:eastAsia="Segoe UI"/>
                <w:sz w:val="16"/>
                <w:szCs w:val="16"/>
              </w:rPr>
            </w:pPr>
            <w:r>
              <w:rPr>
                <w:rFonts w:ascii="Segoe UI"/>
                <w:color w:val="231F20"/>
                <w:sz w:val="16"/>
              </w:rPr>
              <w:t>82%</w:t>
            </w:r>
            <w:r>
              <w:rPr>
                <w:rFonts w:ascii="Segoe UI"/>
                <w:sz w:val="16"/>
              </w:rPr>
            </w:r>
          </w:p>
        </w:tc>
      </w:tr>
      <w:tr>
        <w:trPr>
          <w:trHeight w:val="543" w:hRule="exact"/>
        </w:trPr>
        <w:tc>
          <w:tcPr>
            <w:tcW w:w="5211" w:type="dxa"/>
            <w:tcBorders>
              <w:top w:val="nil" w:sz="6" w:space="0" w:color="auto"/>
              <w:left w:val="single" w:sz="4" w:space="0" w:color="C1B5A9"/>
              <w:bottom w:val="nil" w:sz="6" w:space="0" w:color="auto"/>
              <w:right w:val="single" w:sz="4" w:space="0" w:color="C1B5A9"/>
            </w:tcBorders>
          </w:tcPr>
          <w:p>
            <w:pPr>
              <w:pStyle w:val="TableParagraph"/>
              <w:spacing w:line="200" w:lineRule="exact" w:before="61"/>
              <w:ind w:left="108" w:right="1185"/>
              <w:jc w:val="left"/>
              <w:rPr>
                <w:rFonts w:ascii="Segoe UI" w:hAnsi="Segoe UI" w:cs="Segoe UI" w:eastAsia="Segoe UI"/>
                <w:sz w:val="16"/>
                <w:szCs w:val="16"/>
              </w:rPr>
            </w:pPr>
            <w:r>
              <w:rPr>
                <w:rFonts w:ascii="Segoe UI"/>
                <w:color w:val="231F20"/>
                <w:sz w:val="16"/>
              </w:rPr>
              <w:t>Aboriginal</w:t>
            </w:r>
            <w:r>
              <w:rPr>
                <w:rFonts w:ascii="Segoe UI"/>
                <w:color w:val="231F20"/>
                <w:spacing w:val="-7"/>
                <w:sz w:val="16"/>
              </w:rPr>
              <w:t> </w:t>
            </w:r>
            <w:r>
              <w:rPr>
                <w:rFonts w:ascii="Segoe UI"/>
                <w:color w:val="231F20"/>
                <w:sz w:val="16"/>
              </w:rPr>
              <w:t>and</w:t>
            </w:r>
            <w:r>
              <w:rPr>
                <w:rFonts w:ascii="Segoe UI"/>
                <w:color w:val="231F20"/>
                <w:spacing w:val="-6"/>
                <w:sz w:val="16"/>
              </w:rPr>
              <w:t> </w:t>
            </w:r>
            <w:r>
              <w:rPr>
                <w:rFonts w:ascii="Segoe UI"/>
                <w:color w:val="231F20"/>
                <w:spacing w:val="-3"/>
                <w:sz w:val="16"/>
              </w:rPr>
              <w:t>Torres</w:t>
            </w:r>
            <w:r>
              <w:rPr>
                <w:rFonts w:ascii="Segoe UI"/>
                <w:color w:val="231F20"/>
                <w:spacing w:val="-6"/>
                <w:sz w:val="16"/>
              </w:rPr>
              <w:t> </w:t>
            </w:r>
            <w:r>
              <w:rPr>
                <w:rFonts w:ascii="Segoe UI"/>
                <w:color w:val="231F20"/>
                <w:spacing w:val="-1"/>
                <w:sz w:val="16"/>
              </w:rPr>
              <w:t>Strait</w:t>
            </w:r>
            <w:r>
              <w:rPr>
                <w:rFonts w:ascii="Segoe UI"/>
                <w:color w:val="231F20"/>
                <w:spacing w:val="-7"/>
                <w:sz w:val="16"/>
              </w:rPr>
              <w:t> </w:t>
            </w:r>
            <w:r>
              <w:rPr>
                <w:rFonts w:ascii="Segoe UI"/>
                <w:color w:val="231F20"/>
                <w:spacing w:val="-1"/>
                <w:sz w:val="16"/>
              </w:rPr>
              <w:t>Islander</w:t>
            </w:r>
            <w:r>
              <w:rPr>
                <w:rFonts w:ascii="Segoe UI"/>
                <w:color w:val="231F20"/>
                <w:spacing w:val="-6"/>
                <w:sz w:val="16"/>
              </w:rPr>
              <w:t> </w:t>
            </w:r>
            <w:r>
              <w:rPr>
                <w:rFonts w:ascii="Segoe UI"/>
                <w:color w:val="231F20"/>
                <w:sz w:val="16"/>
              </w:rPr>
              <w:t>boarding</w:t>
            </w:r>
            <w:r>
              <w:rPr>
                <w:rFonts w:ascii="Segoe UI"/>
                <w:color w:val="231F20"/>
                <w:spacing w:val="-7"/>
                <w:sz w:val="16"/>
              </w:rPr>
              <w:t> </w:t>
            </w:r>
            <w:r>
              <w:rPr>
                <w:rFonts w:ascii="Segoe UI"/>
                <w:color w:val="231F20"/>
                <w:sz w:val="16"/>
              </w:rPr>
              <w:t>providers</w:t>
            </w:r>
            <w:r>
              <w:rPr>
                <w:rFonts w:ascii="Segoe UI"/>
                <w:color w:val="231F20"/>
                <w:spacing w:val="24"/>
                <w:w w:val="99"/>
                <w:sz w:val="16"/>
              </w:rPr>
              <w:t> </w:t>
            </w:r>
            <w:r>
              <w:rPr>
                <w:rFonts w:ascii="Segoe UI"/>
                <w:color w:val="231F20"/>
                <w:sz w:val="16"/>
              </w:rPr>
              <w:t>(ICSEA</w:t>
            </w:r>
            <w:r>
              <w:rPr>
                <w:rFonts w:ascii="Segoe UI"/>
                <w:color w:val="231F20"/>
                <w:spacing w:val="-3"/>
                <w:sz w:val="16"/>
              </w:rPr>
              <w:t> </w:t>
            </w:r>
            <w:r>
              <w:rPr>
                <w:rFonts w:ascii="Segoe UI"/>
                <w:color w:val="231F20"/>
                <w:spacing w:val="-1"/>
                <w:sz w:val="16"/>
              </w:rPr>
              <w:t>score</w:t>
            </w:r>
            <w:r>
              <w:rPr>
                <w:rFonts w:ascii="Segoe UI"/>
                <w:color w:val="231F20"/>
                <w:spacing w:val="-2"/>
                <w:sz w:val="16"/>
              </w:rPr>
              <w:t> </w:t>
            </w:r>
            <w:r>
              <w:rPr>
                <w:rFonts w:ascii="Segoe UI"/>
                <w:color w:val="231F20"/>
                <w:sz w:val="16"/>
              </w:rPr>
              <w:t>&lt;800)</w:t>
            </w:r>
            <w:r>
              <w:rPr>
                <w:rFonts w:ascii="Segoe UI"/>
                <w:sz w:val="16"/>
              </w:rPr>
            </w:r>
          </w:p>
        </w:tc>
        <w:tc>
          <w:tcPr>
            <w:tcW w:w="1783" w:type="dxa"/>
            <w:tcBorders>
              <w:top w:val="nil" w:sz="6" w:space="0" w:color="auto"/>
              <w:left w:val="single" w:sz="4" w:space="0" w:color="C1B5A9"/>
              <w:bottom w:val="nil" w:sz="6" w:space="0" w:color="auto"/>
              <w:right w:val="single" w:sz="4" w:space="0" w:color="C1B5A9"/>
            </w:tcBorders>
          </w:tcPr>
          <w:p>
            <w:pPr>
              <w:pStyle w:val="TableParagraph"/>
              <w:spacing w:line="240" w:lineRule="auto" w:before="9"/>
              <w:ind w:right="0"/>
              <w:jc w:val="left"/>
              <w:rPr>
                <w:rFonts w:ascii="Segoe UI Semibold" w:hAnsi="Segoe UI Semibold" w:cs="Segoe UI Semibold" w:eastAsia="Segoe UI Semibold"/>
                <w:b/>
                <w:bCs/>
                <w:sz w:val="18"/>
                <w:szCs w:val="18"/>
              </w:rPr>
            </w:pPr>
          </w:p>
          <w:p>
            <w:pPr>
              <w:pStyle w:val="TableParagraph"/>
              <w:spacing w:line="240" w:lineRule="auto"/>
              <w:ind w:right="106"/>
              <w:jc w:val="right"/>
              <w:rPr>
                <w:rFonts w:ascii="Segoe UI" w:hAnsi="Segoe UI" w:cs="Segoe UI" w:eastAsia="Segoe UI"/>
                <w:sz w:val="16"/>
                <w:szCs w:val="16"/>
              </w:rPr>
            </w:pPr>
            <w:r>
              <w:rPr>
                <w:rFonts w:ascii="Segoe UI"/>
                <w:color w:val="231F20"/>
                <w:sz w:val="16"/>
              </w:rPr>
              <w:t>459</w:t>
            </w:r>
            <w:r>
              <w:rPr>
                <w:rFonts w:ascii="Segoe UI"/>
                <w:sz w:val="16"/>
              </w:rPr>
            </w:r>
          </w:p>
        </w:tc>
        <w:tc>
          <w:tcPr>
            <w:tcW w:w="1783" w:type="dxa"/>
            <w:tcBorders>
              <w:top w:val="nil" w:sz="6" w:space="0" w:color="auto"/>
              <w:left w:val="single" w:sz="4" w:space="0" w:color="C1B5A9"/>
              <w:bottom w:val="nil" w:sz="6" w:space="0" w:color="auto"/>
              <w:right w:val="single" w:sz="4" w:space="0" w:color="C1B5A9"/>
            </w:tcBorders>
          </w:tcPr>
          <w:p>
            <w:pPr>
              <w:pStyle w:val="TableParagraph"/>
              <w:spacing w:line="240" w:lineRule="auto" w:before="9"/>
              <w:ind w:right="0"/>
              <w:jc w:val="left"/>
              <w:rPr>
                <w:rFonts w:ascii="Segoe UI Semibold" w:hAnsi="Segoe UI Semibold" w:cs="Segoe UI Semibold" w:eastAsia="Segoe UI Semibold"/>
                <w:b/>
                <w:bCs/>
                <w:sz w:val="18"/>
                <w:szCs w:val="18"/>
              </w:rPr>
            </w:pPr>
          </w:p>
          <w:p>
            <w:pPr>
              <w:pStyle w:val="TableParagraph"/>
              <w:spacing w:line="240" w:lineRule="auto"/>
              <w:ind w:right="106"/>
              <w:jc w:val="right"/>
              <w:rPr>
                <w:rFonts w:ascii="Segoe UI" w:hAnsi="Segoe UI" w:cs="Segoe UI" w:eastAsia="Segoe UI"/>
                <w:sz w:val="16"/>
                <w:szCs w:val="16"/>
              </w:rPr>
            </w:pPr>
            <w:r>
              <w:rPr>
                <w:rFonts w:ascii="Segoe UI"/>
                <w:color w:val="231F20"/>
                <w:sz w:val="16"/>
              </w:rPr>
              <w:t>73%</w:t>
            </w:r>
            <w:r>
              <w:rPr>
                <w:rFonts w:ascii="Segoe UI"/>
                <w:sz w:val="16"/>
              </w:rPr>
            </w:r>
          </w:p>
        </w:tc>
      </w:tr>
      <w:tr>
        <w:trPr>
          <w:trHeight w:val="545" w:hRule="exact"/>
        </w:trPr>
        <w:tc>
          <w:tcPr>
            <w:tcW w:w="5211" w:type="dxa"/>
            <w:tcBorders>
              <w:top w:val="nil" w:sz="6" w:space="0" w:color="auto"/>
              <w:left w:val="single" w:sz="4" w:space="0" w:color="C1B5A9"/>
              <w:bottom w:val="dotted" w:sz="8" w:space="0" w:color="C1B5A9"/>
              <w:right w:val="single" w:sz="4" w:space="0" w:color="C1B5A9"/>
            </w:tcBorders>
          </w:tcPr>
          <w:p>
            <w:pPr>
              <w:pStyle w:val="TableParagraph"/>
              <w:spacing w:line="200" w:lineRule="exact" w:before="61"/>
              <w:ind w:left="108" w:right="1185"/>
              <w:jc w:val="left"/>
              <w:rPr>
                <w:rFonts w:ascii="Segoe UI" w:hAnsi="Segoe UI" w:cs="Segoe UI" w:eastAsia="Segoe UI"/>
                <w:sz w:val="16"/>
                <w:szCs w:val="16"/>
              </w:rPr>
            </w:pPr>
            <w:r>
              <w:rPr>
                <w:rFonts w:ascii="Segoe UI"/>
                <w:color w:val="231F20"/>
                <w:sz w:val="16"/>
              </w:rPr>
              <w:t>Aboriginal</w:t>
            </w:r>
            <w:r>
              <w:rPr>
                <w:rFonts w:ascii="Segoe UI"/>
                <w:color w:val="231F20"/>
                <w:spacing w:val="-7"/>
                <w:sz w:val="16"/>
              </w:rPr>
              <w:t> </w:t>
            </w:r>
            <w:r>
              <w:rPr>
                <w:rFonts w:ascii="Segoe UI"/>
                <w:color w:val="231F20"/>
                <w:sz w:val="16"/>
              </w:rPr>
              <w:t>and</w:t>
            </w:r>
            <w:r>
              <w:rPr>
                <w:rFonts w:ascii="Segoe UI"/>
                <w:color w:val="231F20"/>
                <w:spacing w:val="-6"/>
                <w:sz w:val="16"/>
              </w:rPr>
              <w:t> </w:t>
            </w:r>
            <w:r>
              <w:rPr>
                <w:rFonts w:ascii="Segoe UI"/>
                <w:color w:val="231F20"/>
                <w:spacing w:val="-3"/>
                <w:sz w:val="16"/>
              </w:rPr>
              <w:t>Torres</w:t>
            </w:r>
            <w:r>
              <w:rPr>
                <w:rFonts w:ascii="Segoe UI"/>
                <w:color w:val="231F20"/>
                <w:spacing w:val="-6"/>
                <w:sz w:val="16"/>
              </w:rPr>
              <w:t> </w:t>
            </w:r>
            <w:r>
              <w:rPr>
                <w:rFonts w:ascii="Segoe UI"/>
                <w:color w:val="231F20"/>
                <w:spacing w:val="-1"/>
                <w:sz w:val="16"/>
              </w:rPr>
              <w:t>Strait</w:t>
            </w:r>
            <w:r>
              <w:rPr>
                <w:rFonts w:ascii="Segoe UI"/>
                <w:color w:val="231F20"/>
                <w:spacing w:val="-7"/>
                <w:sz w:val="16"/>
              </w:rPr>
              <w:t> </w:t>
            </w:r>
            <w:r>
              <w:rPr>
                <w:rFonts w:ascii="Segoe UI"/>
                <w:color w:val="231F20"/>
                <w:spacing w:val="-1"/>
                <w:sz w:val="16"/>
              </w:rPr>
              <w:t>Islander</w:t>
            </w:r>
            <w:r>
              <w:rPr>
                <w:rFonts w:ascii="Segoe UI"/>
                <w:color w:val="231F20"/>
                <w:spacing w:val="-6"/>
                <w:sz w:val="16"/>
              </w:rPr>
              <w:t> </w:t>
            </w:r>
            <w:r>
              <w:rPr>
                <w:rFonts w:ascii="Segoe UI"/>
                <w:color w:val="231F20"/>
                <w:sz w:val="16"/>
              </w:rPr>
              <w:t>boarding</w:t>
            </w:r>
            <w:r>
              <w:rPr>
                <w:rFonts w:ascii="Segoe UI"/>
                <w:color w:val="231F20"/>
                <w:spacing w:val="-7"/>
                <w:sz w:val="16"/>
              </w:rPr>
              <w:t> </w:t>
            </w:r>
            <w:r>
              <w:rPr>
                <w:rFonts w:ascii="Segoe UI"/>
                <w:color w:val="231F20"/>
                <w:sz w:val="16"/>
              </w:rPr>
              <w:t>providers</w:t>
            </w:r>
            <w:r>
              <w:rPr>
                <w:rFonts w:ascii="Segoe UI"/>
                <w:color w:val="231F20"/>
                <w:spacing w:val="24"/>
                <w:w w:val="99"/>
                <w:sz w:val="16"/>
              </w:rPr>
              <w:t> </w:t>
            </w:r>
            <w:r>
              <w:rPr>
                <w:rFonts w:ascii="Segoe UI"/>
                <w:color w:val="231F20"/>
                <w:sz w:val="16"/>
              </w:rPr>
              <w:t>(ICSEA</w:t>
            </w:r>
            <w:r>
              <w:rPr>
                <w:rFonts w:ascii="Segoe UI"/>
                <w:color w:val="231F20"/>
                <w:spacing w:val="-3"/>
                <w:sz w:val="16"/>
              </w:rPr>
              <w:t> </w:t>
            </w:r>
            <w:r>
              <w:rPr>
                <w:rFonts w:ascii="Segoe UI"/>
                <w:color w:val="231F20"/>
                <w:spacing w:val="-1"/>
                <w:sz w:val="16"/>
              </w:rPr>
              <w:t>score</w:t>
            </w:r>
            <w:r>
              <w:rPr>
                <w:rFonts w:ascii="Segoe UI"/>
                <w:color w:val="231F20"/>
                <w:spacing w:val="-2"/>
                <w:sz w:val="16"/>
              </w:rPr>
              <w:t> </w:t>
            </w:r>
            <w:r>
              <w:rPr>
                <w:rFonts w:ascii="Segoe UI"/>
                <w:color w:val="231F20"/>
                <w:sz w:val="16"/>
              </w:rPr>
              <w:t>&gt;800)</w:t>
            </w:r>
            <w:r>
              <w:rPr>
                <w:rFonts w:ascii="Segoe UI"/>
                <w:sz w:val="16"/>
              </w:rPr>
            </w:r>
          </w:p>
        </w:tc>
        <w:tc>
          <w:tcPr>
            <w:tcW w:w="1783" w:type="dxa"/>
            <w:tcBorders>
              <w:top w:val="nil" w:sz="6" w:space="0" w:color="auto"/>
              <w:left w:val="single" w:sz="4" w:space="0" w:color="C1B5A9"/>
              <w:bottom w:val="dotted" w:sz="8" w:space="0" w:color="C1B5A9"/>
              <w:right w:val="single" w:sz="4" w:space="0" w:color="C1B5A9"/>
            </w:tcBorders>
          </w:tcPr>
          <w:p>
            <w:pPr>
              <w:pStyle w:val="TableParagraph"/>
              <w:spacing w:line="240" w:lineRule="auto" w:before="9"/>
              <w:ind w:right="0"/>
              <w:jc w:val="left"/>
              <w:rPr>
                <w:rFonts w:ascii="Segoe UI Semibold" w:hAnsi="Segoe UI Semibold" w:cs="Segoe UI Semibold" w:eastAsia="Segoe UI Semibold"/>
                <w:b/>
                <w:bCs/>
                <w:sz w:val="18"/>
                <w:szCs w:val="18"/>
              </w:rPr>
            </w:pPr>
          </w:p>
          <w:p>
            <w:pPr>
              <w:pStyle w:val="TableParagraph"/>
              <w:spacing w:line="240" w:lineRule="auto"/>
              <w:ind w:right="106"/>
              <w:jc w:val="right"/>
              <w:rPr>
                <w:rFonts w:ascii="Segoe UI" w:hAnsi="Segoe UI" w:cs="Segoe UI" w:eastAsia="Segoe UI"/>
                <w:sz w:val="16"/>
                <w:szCs w:val="16"/>
              </w:rPr>
            </w:pPr>
            <w:r>
              <w:rPr>
                <w:rFonts w:ascii="Segoe UI"/>
                <w:color w:val="231F20"/>
                <w:sz w:val="16"/>
              </w:rPr>
              <w:t>557</w:t>
            </w:r>
            <w:r>
              <w:rPr>
                <w:rFonts w:ascii="Segoe UI"/>
                <w:sz w:val="16"/>
              </w:rPr>
            </w:r>
          </w:p>
        </w:tc>
        <w:tc>
          <w:tcPr>
            <w:tcW w:w="1783" w:type="dxa"/>
            <w:tcBorders>
              <w:top w:val="nil" w:sz="6" w:space="0" w:color="auto"/>
              <w:left w:val="single" w:sz="4" w:space="0" w:color="C1B5A9"/>
              <w:bottom w:val="dotted" w:sz="8" w:space="0" w:color="C1B5A9"/>
              <w:right w:val="single" w:sz="4" w:space="0" w:color="C1B5A9"/>
            </w:tcBorders>
          </w:tcPr>
          <w:p>
            <w:pPr>
              <w:pStyle w:val="TableParagraph"/>
              <w:spacing w:line="240" w:lineRule="auto" w:before="9"/>
              <w:ind w:right="0"/>
              <w:jc w:val="left"/>
              <w:rPr>
                <w:rFonts w:ascii="Segoe UI Semibold" w:hAnsi="Segoe UI Semibold" w:cs="Segoe UI Semibold" w:eastAsia="Segoe UI Semibold"/>
                <w:b/>
                <w:bCs/>
                <w:sz w:val="18"/>
                <w:szCs w:val="18"/>
              </w:rPr>
            </w:pPr>
          </w:p>
          <w:p>
            <w:pPr>
              <w:pStyle w:val="TableParagraph"/>
              <w:spacing w:line="240" w:lineRule="auto"/>
              <w:ind w:right="106"/>
              <w:jc w:val="right"/>
              <w:rPr>
                <w:rFonts w:ascii="Segoe UI" w:hAnsi="Segoe UI" w:cs="Segoe UI" w:eastAsia="Segoe UI"/>
                <w:sz w:val="16"/>
                <w:szCs w:val="16"/>
              </w:rPr>
            </w:pPr>
            <w:r>
              <w:rPr>
                <w:rFonts w:ascii="Segoe UI"/>
                <w:color w:val="231F20"/>
                <w:sz w:val="16"/>
              </w:rPr>
              <w:t>89%</w:t>
            </w:r>
            <w:r>
              <w:rPr>
                <w:rFonts w:ascii="Segoe UI"/>
                <w:sz w:val="16"/>
              </w:rPr>
            </w:r>
          </w:p>
        </w:tc>
      </w:tr>
      <w:tr>
        <w:trPr>
          <w:trHeight w:val="543" w:hRule="exact"/>
        </w:trPr>
        <w:tc>
          <w:tcPr>
            <w:tcW w:w="5211" w:type="dxa"/>
            <w:tcBorders>
              <w:top w:val="dotted" w:sz="8" w:space="0" w:color="C1B5A9"/>
              <w:left w:val="single" w:sz="4" w:space="0" w:color="C1B5A9"/>
              <w:bottom w:val="dotted" w:sz="8" w:space="0" w:color="C1B5A9"/>
              <w:right w:val="single" w:sz="4" w:space="0" w:color="C1B5A9"/>
            </w:tcBorders>
          </w:tcPr>
          <w:p>
            <w:pPr>
              <w:pStyle w:val="TableParagraph"/>
              <w:spacing w:line="200" w:lineRule="exact" w:before="59"/>
              <w:ind w:left="107" w:right="346"/>
              <w:jc w:val="left"/>
              <w:rPr>
                <w:rFonts w:ascii="Segoe UI" w:hAnsi="Segoe UI" w:cs="Segoe UI" w:eastAsia="Segoe UI"/>
                <w:sz w:val="16"/>
                <w:szCs w:val="16"/>
              </w:rPr>
            </w:pPr>
            <w:r>
              <w:rPr>
                <w:rFonts w:ascii="Segoe UI"/>
                <w:color w:val="231F20"/>
                <w:sz w:val="16"/>
              </w:rPr>
              <w:t>Aboriginal</w:t>
            </w:r>
            <w:r>
              <w:rPr>
                <w:rFonts w:ascii="Segoe UI"/>
                <w:color w:val="231F20"/>
                <w:spacing w:val="-5"/>
                <w:sz w:val="16"/>
              </w:rPr>
              <w:t> </w:t>
            </w:r>
            <w:r>
              <w:rPr>
                <w:rFonts w:ascii="Segoe UI"/>
                <w:color w:val="231F20"/>
                <w:sz w:val="16"/>
              </w:rPr>
              <w:t>and</w:t>
            </w:r>
            <w:r>
              <w:rPr>
                <w:rFonts w:ascii="Segoe UI"/>
                <w:color w:val="231F20"/>
                <w:spacing w:val="-6"/>
                <w:sz w:val="16"/>
              </w:rPr>
              <w:t> </w:t>
            </w:r>
            <w:r>
              <w:rPr>
                <w:rFonts w:ascii="Segoe UI"/>
                <w:color w:val="231F20"/>
                <w:spacing w:val="-3"/>
                <w:sz w:val="16"/>
              </w:rPr>
              <w:t>Torres</w:t>
            </w:r>
            <w:r>
              <w:rPr>
                <w:rFonts w:ascii="Segoe UI"/>
                <w:color w:val="231F20"/>
                <w:spacing w:val="-5"/>
                <w:sz w:val="16"/>
              </w:rPr>
              <w:t> </w:t>
            </w:r>
            <w:r>
              <w:rPr>
                <w:rFonts w:ascii="Segoe UI"/>
                <w:color w:val="231F20"/>
                <w:spacing w:val="-1"/>
                <w:sz w:val="16"/>
              </w:rPr>
              <w:t>Strait</w:t>
            </w:r>
            <w:r>
              <w:rPr>
                <w:rFonts w:ascii="Segoe UI"/>
                <w:color w:val="231F20"/>
                <w:spacing w:val="-6"/>
                <w:sz w:val="16"/>
              </w:rPr>
              <w:t> </w:t>
            </w:r>
            <w:r>
              <w:rPr>
                <w:rFonts w:ascii="Segoe UI"/>
                <w:color w:val="231F20"/>
                <w:spacing w:val="-1"/>
                <w:sz w:val="16"/>
              </w:rPr>
              <w:t>Islander</w:t>
            </w:r>
            <w:r>
              <w:rPr>
                <w:rFonts w:ascii="Segoe UI"/>
                <w:color w:val="231F20"/>
                <w:spacing w:val="-4"/>
                <w:sz w:val="16"/>
              </w:rPr>
              <w:t> </w:t>
            </w:r>
            <w:r>
              <w:rPr>
                <w:rFonts w:ascii="Segoe UI"/>
                <w:color w:val="231F20"/>
                <w:sz w:val="16"/>
              </w:rPr>
              <w:t>boarding</w:t>
            </w:r>
            <w:r>
              <w:rPr>
                <w:rFonts w:ascii="Segoe UI"/>
                <w:color w:val="231F20"/>
                <w:spacing w:val="-6"/>
                <w:sz w:val="16"/>
              </w:rPr>
              <w:t> </w:t>
            </w:r>
            <w:r>
              <w:rPr>
                <w:rFonts w:ascii="Segoe UI"/>
                <w:color w:val="231F20"/>
                <w:sz w:val="16"/>
              </w:rPr>
              <w:t>provider</w:t>
            </w:r>
            <w:r>
              <w:rPr>
                <w:rFonts w:ascii="Segoe UI"/>
                <w:color w:val="231F20"/>
                <w:spacing w:val="-6"/>
                <w:sz w:val="16"/>
              </w:rPr>
              <w:t> </w:t>
            </w:r>
            <w:r>
              <w:rPr>
                <w:rFonts w:ascii="Segoe UI"/>
                <w:color w:val="231F20"/>
                <w:sz w:val="16"/>
              </w:rPr>
              <w:t>with</w:t>
            </w:r>
            <w:r>
              <w:rPr>
                <w:rFonts w:ascii="Segoe UI"/>
                <w:color w:val="231F20"/>
                <w:spacing w:val="-6"/>
                <w:sz w:val="16"/>
              </w:rPr>
              <w:t> </w:t>
            </w:r>
            <w:r>
              <w:rPr>
                <w:rFonts w:ascii="Segoe UI"/>
                <w:color w:val="231F20"/>
                <w:sz w:val="16"/>
              </w:rPr>
              <w:t>highest</w:t>
            </w:r>
            <w:r>
              <w:rPr>
                <w:rFonts w:ascii="Segoe UI"/>
                <w:color w:val="231F20"/>
                <w:spacing w:val="24"/>
                <w:sz w:val="16"/>
              </w:rPr>
              <w:t> </w:t>
            </w:r>
            <w:r>
              <w:rPr>
                <w:rFonts w:ascii="Segoe UI"/>
                <w:color w:val="231F20"/>
                <w:spacing w:val="-1"/>
                <w:sz w:val="16"/>
              </w:rPr>
              <w:t>ICSEA</w:t>
            </w:r>
            <w:r>
              <w:rPr>
                <w:rFonts w:ascii="Segoe UI"/>
                <w:color w:val="231F20"/>
                <w:spacing w:val="-5"/>
                <w:sz w:val="16"/>
              </w:rPr>
              <w:t> </w:t>
            </w:r>
            <w:r>
              <w:rPr>
                <w:rFonts w:ascii="Segoe UI"/>
                <w:color w:val="231F20"/>
                <w:spacing w:val="-1"/>
                <w:sz w:val="16"/>
              </w:rPr>
              <w:t>score</w:t>
            </w:r>
            <w:r>
              <w:rPr>
                <w:rFonts w:ascii="Segoe UI"/>
                <w:color w:val="231F20"/>
                <w:spacing w:val="-4"/>
                <w:sz w:val="16"/>
              </w:rPr>
              <w:t> </w:t>
            </w:r>
            <w:r>
              <w:rPr>
                <w:rFonts w:ascii="Segoe UI"/>
                <w:color w:val="231F20"/>
                <w:sz w:val="16"/>
              </w:rPr>
              <w:t>(1,077)</w:t>
            </w:r>
            <w:r>
              <w:rPr>
                <w:rFonts w:ascii="Segoe UI"/>
                <w:sz w:val="16"/>
              </w:rPr>
            </w:r>
          </w:p>
        </w:tc>
        <w:tc>
          <w:tcPr>
            <w:tcW w:w="1783" w:type="dxa"/>
            <w:tcBorders>
              <w:top w:val="dotted" w:sz="8" w:space="0" w:color="C1B5A9"/>
              <w:left w:val="single" w:sz="4" w:space="0" w:color="C1B5A9"/>
              <w:bottom w:val="dotted" w:sz="8" w:space="0" w:color="C1B5A9"/>
              <w:right w:val="single" w:sz="4" w:space="0" w:color="C1B5A9"/>
            </w:tcBorders>
          </w:tcPr>
          <w:p>
            <w:pPr>
              <w:pStyle w:val="TableParagraph"/>
              <w:spacing w:line="240" w:lineRule="auto" w:before="8"/>
              <w:ind w:right="0"/>
              <w:jc w:val="left"/>
              <w:rPr>
                <w:rFonts w:ascii="Segoe UI Semibold" w:hAnsi="Segoe UI Semibold" w:cs="Segoe UI Semibold" w:eastAsia="Segoe UI Semibold"/>
                <w:b/>
                <w:bCs/>
                <w:sz w:val="18"/>
                <w:szCs w:val="18"/>
              </w:rPr>
            </w:pPr>
          </w:p>
          <w:p>
            <w:pPr>
              <w:pStyle w:val="TableParagraph"/>
              <w:spacing w:line="240" w:lineRule="auto"/>
              <w:ind w:right="106"/>
              <w:jc w:val="right"/>
              <w:rPr>
                <w:rFonts w:ascii="Segoe UI" w:hAnsi="Segoe UI" w:cs="Segoe UI" w:eastAsia="Segoe UI"/>
                <w:sz w:val="16"/>
                <w:szCs w:val="16"/>
              </w:rPr>
            </w:pPr>
            <w:r>
              <w:rPr>
                <w:rFonts w:ascii="Segoe UI"/>
                <w:color w:val="231F20"/>
                <w:sz w:val="16"/>
              </w:rPr>
              <w:t>566</w:t>
            </w:r>
            <w:r>
              <w:rPr>
                <w:rFonts w:ascii="Segoe UI"/>
                <w:sz w:val="16"/>
              </w:rPr>
            </w:r>
          </w:p>
        </w:tc>
        <w:tc>
          <w:tcPr>
            <w:tcW w:w="1783" w:type="dxa"/>
            <w:tcBorders>
              <w:top w:val="dotted" w:sz="8" w:space="0" w:color="C1B5A9"/>
              <w:left w:val="single" w:sz="4" w:space="0" w:color="C1B5A9"/>
              <w:bottom w:val="dotted" w:sz="8" w:space="0" w:color="C1B5A9"/>
              <w:right w:val="single" w:sz="4" w:space="0" w:color="C1B5A9"/>
            </w:tcBorders>
          </w:tcPr>
          <w:p>
            <w:pPr>
              <w:pStyle w:val="TableParagraph"/>
              <w:spacing w:line="240" w:lineRule="auto" w:before="8"/>
              <w:ind w:right="0"/>
              <w:jc w:val="left"/>
              <w:rPr>
                <w:rFonts w:ascii="Segoe UI Semibold" w:hAnsi="Segoe UI Semibold" w:cs="Segoe UI Semibold" w:eastAsia="Segoe UI Semibold"/>
                <w:b/>
                <w:bCs/>
                <w:sz w:val="18"/>
                <w:szCs w:val="18"/>
              </w:rPr>
            </w:pPr>
          </w:p>
          <w:p>
            <w:pPr>
              <w:pStyle w:val="TableParagraph"/>
              <w:spacing w:line="240" w:lineRule="auto"/>
              <w:ind w:right="107"/>
              <w:jc w:val="right"/>
              <w:rPr>
                <w:rFonts w:ascii="Segoe UI" w:hAnsi="Segoe UI" w:cs="Segoe UI" w:eastAsia="Segoe UI"/>
                <w:sz w:val="16"/>
                <w:szCs w:val="16"/>
              </w:rPr>
            </w:pPr>
            <w:r>
              <w:rPr>
                <w:rFonts w:ascii="Segoe UI"/>
                <w:color w:val="231F20"/>
                <w:sz w:val="16"/>
              </w:rPr>
              <w:t>91%</w:t>
            </w:r>
            <w:r>
              <w:rPr>
                <w:rFonts w:ascii="Segoe UI"/>
                <w:sz w:val="16"/>
              </w:rPr>
            </w:r>
          </w:p>
        </w:tc>
      </w:tr>
      <w:tr>
        <w:trPr>
          <w:trHeight w:val="338" w:hRule="exact"/>
        </w:trPr>
        <w:tc>
          <w:tcPr>
            <w:tcW w:w="5211" w:type="dxa"/>
            <w:tcBorders>
              <w:top w:val="dotted" w:sz="8" w:space="0" w:color="C1B5A9"/>
              <w:left w:val="single" w:sz="4" w:space="0" w:color="C1B5A9"/>
              <w:bottom w:val="single" w:sz="4" w:space="0" w:color="C1B5A9"/>
              <w:right w:val="single" w:sz="4" w:space="0" w:color="C1B5A9"/>
            </w:tcBorders>
          </w:tcPr>
          <w:p>
            <w:pPr>
              <w:pStyle w:val="TableParagraph"/>
              <w:spacing w:line="240" w:lineRule="auto" w:before="47"/>
              <w:ind w:left="107" w:right="0"/>
              <w:jc w:val="left"/>
              <w:rPr>
                <w:rFonts w:ascii="Segoe UI" w:hAnsi="Segoe UI" w:cs="Segoe UI" w:eastAsia="Segoe UI"/>
                <w:sz w:val="16"/>
                <w:szCs w:val="16"/>
              </w:rPr>
            </w:pPr>
            <w:r>
              <w:rPr>
                <w:rFonts w:ascii="Segoe UI"/>
                <w:color w:val="231F20"/>
                <w:sz w:val="16"/>
              </w:rPr>
              <w:t>Mainstream</w:t>
            </w:r>
            <w:r>
              <w:rPr>
                <w:rFonts w:ascii="Segoe UI"/>
                <w:color w:val="231F20"/>
                <w:spacing w:val="-12"/>
                <w:sz w:val="16"/>
              </w:rPr>
              <w:t> </w:t>
            </w:r>
            <w:r>
              <w:rPr>
                <w:rFonts w:ascii="Segoe UI"/>
                <w:color w:val="231F20"/>
                <w:sz w:val="16"/>
              </w:rPr>
              <w:t>boarding</w:t>
            </w:r>
            <w:r>
              <w:rPr>
                <w:rFonts w:ascii="Segoe UI"/>
                <w:color w:val="231F20"/>
                <w:spacing w:val="-12"/>
                <w:sz w:val="16"/>
              </w:rPr>
              <w:t> </w:t>
            </w:r>
            <w:r>
              <w:rPr>
                <w:rFonts w:ascii="Segoe UI"/>
                <w:color w:val="231F20"/>
                <w:sz w:val="16"/>
              </w:rPr>
              <w:t>providers</w:t>
            </w:r>
            <w:r>
              <w:rPr>
                <w:rFonts w:ascii="Segoe UI"/>
                <w:sz w:val="16"/>
              </w:rPr>
            </w:r>
          </w:p>
        </w:tc>
        <w:tc>
          <w:tcPr>
            <w:tcW w:w="1783" w:type="dxa"/>
            <w:tcBorders>
              <w:top w:val="dotted" w:sz="8" w:space="0" w:color="C1B5A9"/>
              <w:left w:val="single" w:sz="4" w:space="0" w:color="C1B5A9"/>
              <w:bottom w:val="single" w:sz="4" w:space="0" w:color="C1B5A9"/>
              <w:right w:val="single" w:sz="4" w:space="0" w:color="C1B5A9"/>
            </w:tcBorders>
          </w:tcPr>
          <w:p>
            <w:pPr>
              <w:pStyle w:val="TableParagraph"/>
              <w:spacing w:line="240" w:lineRule="auto" w:before="47"/>
              <w:ind w:right="107"/>
              <w:jc w:val="right"/>
              <w:rPr>
                <w:rFonts w:ascii="Segoe UI" w:hAnsi="Segoe UI" w:cs="Segoe UI" w:eastAsia="Segoe UI"/>
                <w:sz w:val="16"/>
                <w:szCs w:val="16"/>
              </w:rPr>
            </w:pPr>
            <w:r>
              <w:rPr>
                <w:rFonts w:ascii="Segoe UI"/>
                <w:color w:val="231F20"/>
                <w:sz w:val="16"/>
              </w:rPr>
              <w:t>581</w:t>
            </w:r>
            <w:r>
              <w:rPr>
                <w:rFonts w:ascii="Segoe UI"/>
                <w:sz w:val="16"/>
              </w:rPr>
            </w:r>
          </w:p>
        </w:tc>
        <w:tc>
          <w:tcPr>
            <w:tcW w:w="1783" w:type="dxa"/>
            <w:tcBorders>
              <w:top w:val="dotted" w:sz="8" w:space="0" w:color="C1B5A9"/>
              <w:left w:val="single" w:sz="4" w:space="0" w:color="C1B5A9"/>
              <w:bottom w:val="single" w:sz="4" w:space="0" w:color="C1B5A9"/>
              <w:right w:val="single" w:sz="4" w:space="0" w:color="C1B5A9"/>
            </w:tcBorders>
          </w:tcPr>
          <w:p>
            <w:pPr>
              <w:pStyle w:val="TableParagraph"/>
              <w:spacing w:line="240" w:lineRule="auto" w:before="47"/>
              <w:ind w:right="107"/>
              <w:jc w:val="right"/>
              <w:rPr>
                <w:rFonts w:ascii="Segoe UI" w:hAnsi="Segoe UI" w:cs="Segoe UI" w:eastAsia="Segoe UI"/>
                <w:sz w:val="16"/>
                <w:szCs w:val="16"/>
              </w:rPr>
            </w:pPr>
            <w:r>
              <w:rPr>
                <w:rFonts w:ascii="Segoe UI"/>
                <w:color w:val="231F20"/>
                <w:sz w:val="16"/>
              </w:rPr>
              <w:t>93%</w:t>
            </w:r>
            <w:r>
              <w:rPr>
                <w:rFonts w:ascii="Segoe UI"/>
                <w:sz w:val="16"/>
              </w:rPr>
            </w:r>
          </w:p>
        </w:tc>
      </w:tr>
    </w:tbl>
    <w:p>
      <w:pPr>
        <w:spacing w:line="240" w:lineRule="auto" w:before="2"/>
        <w:rPr>
          <w:rFonts w:ascii="Segoe UI Semibold" w:hAnsi="Segoe UI Semibold" w:cs="Segoe UI Semibold" w:eastAsia="Segoe UI Semibold"/>
          <w:b/>
          <w:bCs/>
          <w:sz w:val="29"/>
          <w:szCs w:val="29"/>
        </w:rPr>
      </w:pPr>
    </w:p>
    <w:p>
      <w:pPr>
        <w:spacing w:line="200" w:lineRule="atLeast"/>
        <w:ind w:left="100" w:right="0" w:firstLine="0"/>
        <w:rPr>
          <w:rFonts w:ascii="Segoe UI Semibold" w:hAnsi="Segoe UI Semibold" w:cs="Segoe UI Semibold" w:eastAsia="Segoe UI Semibold"/>
          <w:sz w:val="20"/>
          <w:szCs w:val="20"/>
        </w:rPr>
      </w:pPr>
      <w:r>
        <w:rPr>
          <w:rFonts w:ascii="Segoe UI Semibold" w:hAnsi="Segoe UI Semibold" w:cs="Segoe UI Semibold" w:eastAsia="Segoe UI Semibold"/>
          <w:sz w:val="20"/>
          <w:szCs w:val="20"/>
        </w:rPr>
        <w:pict>
          <v:group style="width:439.4pt;height:223.95pt;mso-position-horizontal-relative:char;mso-position-vertical-relative:line" coordorigin="0,0" coordsize="8788,4479">
            <v:group style="position:absolute;left:100;top:100;width:8588;height:4279" coordorigin="100,100" coordsize="8588,4279">
              <v:shape style="position:absolute;left:100;top:100;width:8588;height:4279" coordorigin="100,100" coordsize="8588,4279" path="m100,4379l8687,4379,8687,100,100,100,100,4379xe" filled="false" stroked="true" strokeweight="10pt" strokecolor="#c1b5a9">
                <v:path arrowok="t"/>
              </v:shape>
            </v:group>
            <v:group style="position:absolute;left:560;top:1340;width:3853;height:2792" coordorigin="560,1340" coordsize="3853,2792">
              <v:shape style="position:absolute;left:560;top:1340;width:3853;height:2792" coordorigin="560,1340" coordsize="3853,2792" path="m560,4132l4413,4132,4413,1340,560,1340,560,4132xe" filled="true" fillcolor="#ffffff" stroked="false">
                <v:path arrowok="t"/>
                <v:fill type="solid"/>
              </v:shape>
            </v:group>
            <v:group style="position:absolute;left:4019;top:3351;width:393;height:2" coordorigin="4019,3351" coordsize="393,2">
              <v:shape style="position:absolute;left:4019;top:3351;width:393;height:2" coordorigin="4019,3351" coordsize="393,0" path="m4019,3351l4412,3351e" filled="false" stroked="true" strokeweight=".697pt" strokecolor="#dcddde">
                <v:path arrowok="t"/>
              </v:shape>
            </v:group>
            <v:group style="position:absolute;left:2877;top:3351;width:786;height:2" coordorigin="2877,3351" coordsize="786,2">
              <v:shape style="position:absolute;left:2877;top:3351;width:786;height:2" coordorigin="2877,3351" coordsize="786,0" path="m2877,3351l3662,3351e" filled="false" stroked="true" strokeweight=".697pt" strokecolor="#dcddde">
                <v:path arrowok="t"/>
              </v:shape>
            </v:group>
            <v:group style="position:absolute;left:1734;top:3351;width:784;height:2" coordorigin="1734,3351" coordsize="784,2">
              <v:shape style="position:absolute;left:1734;top:3351;width:784;height:2" coordorigin="1734,3351" coordsize="784,0" path="m1734,3351l2517,3351e" filled="false" stroked="true" strokeweight=".697pt" strokecolor="#dcddde">
                <v:path arrowok="t"/>
              </v:shape>
            </v:group>
            <v:group style="position:absolute;left:982;top:3351;width:393;height:2" coordorigin="982,3351" coordsize="393,2">
              <v:shape style="position:absolute;left:982;top:3351;width:393;height:2" coordorigin="982,3351" coordsize="393,0" path="m982,3351l1374,3351e" filled="false" stroked="true" strokeweight=".697pt" strokecolor="#dcddde">
                <v:path arrowok="t"/>
              </v:shape>
            </v:group>
            <v:group style="position:absolute;left:4019;top:3003;width:393;height:2" coordorigin="4019,3003" coordsize="393,2">
              <v:shape style="position:absolute;left:4019;top:3003;width:393;height:2" coordorigin="4019,3003" coordsize="393,0" path="m4019,3003l4412,3003e" filled="false" stroked="true" strokeweight=".697pt" strokecolor="#dcddde">
                <v:path arrowok="t"/>
              </v:shape>
            </v:group>
            <v:group style="position:absolute;left:2877;top:3003;width:786;height:2" coordorigin="2877,3003" coordsize="786,2">
              <v:shape style="position:absolute;left:2877;top:3003;width:786;height:2" coordorigin="2877,3003" coordsize="786,0" path="m2877,3003l3662,3003e" filled="false" stroked="true" strokeweight=".697pt" strokecolor="#dcddde">
                <v:path arrowok="t"/>
              </v:shape>
            </v:group>
            <v:group style="position:absolute;left:1734;top:3003;width:784;height:2" coordorigin="1734,3003" coordsize="784,2">
              <v:shape style="position:absolute;left:1734;top:3003;width:784;height:2" coordorigin="1734,3003" coordsize="784,0" path="m1734,3003l2517,3003e" filled="false" stroked="true" strokeweight=".697pt" strokecolor="#dcddde">
                <v:path arrowok="t"/>
              </v:shape>
            </v:group>
            <v:group style="position:absolute;left:982;top:3003;width:393;height:2" coordorigin="982,3003" coordsize="393,2">
              <v:shape style="position:absolute;left:982;top:3003;width:393;height:2" coordorigin="982,3003" coordsize="393,0" path="m982,3003l1374,3003e" filled="false" stroked="true" strokeweight=".697pt" strokecolor="#dcddde">
                <v:path arrowok="t"/>
              </v:shape>
            </v:group>
            <v:group style="position:absolute;left:4019;top:2655;width:393;height:2" coordorigin="4019,2655" coordsize="393,2">
              <v:shape style="position:absolute;left:4019;top:2655;width:393;height:2" coordorigin="4019,2655" coordsize="393,0" path="m4019,2655l4412,2655e" filled="false" stroked="true" strokeweight=".697pt" strokecolor="#dcddde">
                <v:path arrowok="t"/>
              </v:shape>
            </v:group>
            <v:group style="position:absolute;left:2877;top:2655;width:786;height:2" coordorigin="2877,2655" coordsize="786,2">
              <v:shape style="position:absolute;left:2877;top:2655;width:786;height:2" coordorigin="2877,2655" coordsize="786,0" path="m2877,2655l3662,2655e" filled="false" stroked="true" strokeweight=".697pt" strokecolor="#dcddde">
                <v:path arrowok="t"/>
              </v:shape>
            </v:group>
            <v:group style="position:absolute;left:982;top:2655;width:1536;height:2" coordorigin="982,2655" coordsize="1536,2">
              <v:shape style="position:absolute;left:982;top:2655;width:1536;height:2" coordorigin="982,2655" coordsize="1536,0" path="m982,2655l2517,2655e" filled="false" stroked="true" strokeweight=".697pt" strokecolor="#dcddde">
                <v:path arrowok="t"/>
              </v:shape>
            </v:group>
            <v:group style="position:absolute;left:4019;top:2309;width:393;height:2" coordorigin="4019,2309" coordsize="393,2">
              <v:shape style="position:absolute;left:4019;top:2309;width:393;height:2" coordorigin="4019,2309" coordsize="393,0" path="m4019,2309l4412,2309e" filled="false" stroked="true" strokeweight=".697pt" strokecolor="#dcddde">
                <v:path arrowok="t"/>
              </v:shape>
            </v:group>
            <v:group style="position:absolute;left:2877;top:2309;width:786;height:2" coordorigin="2877,2309" coordsize="786,2">
              <v:shape style="position:absolute;left:2877;top:2309;width:786;height:2" coordorigin="2877,2309" coordsize="786,0" path="m2877,2309l3662,2309e" filled="false" stroked="true" strokeweight=".697pt" strokecolor="#dcddde">
                <v:path arrowok="t"/>
              </v:shape>
            </v:group>
            <v:group style="position:absolute;left:982;top:2309;width:1536;height:2" coordorigin="982,2309" coordsize="1536,2">
              <v:shape style="position:absolute;left:982;top:2309;width:1536;height:2" coordorigin="982,2309" coordsize="1536,0" path="m982,2309l2517,2309e" filled="false" stroked="true" strokeweight=".697pt" strokecolor="#dcddde">
                <v:path arrowok="t"/>
              </v:shape>
            </v:group>
            <v:group style="position:absolute;left:4019;top:1960;width:393;height:2" coordorigin="4019,1960" coordsize="393,2">
              <v:shape style="position:absolute;left:4019;top:1960;width:393;height:2" coordorigin="4019,1960" coordsize="393,0" path="m4019,1960l4412,1960e" filled="false" stroked="true" strokeweight=".697pt" strokecolor="#dcddde">
                <v:path arrowok="t"/>
              </v:shape>
            </v:group>
            <v:group style="position:absolute;left:982;top:1960;width:2681;height:2" coordorigin="982,1960" coordsize="2681,2">
              <v:shape style="position:absolute;left:982;top:1960;width:2681;height:2" coordorigin="982,1960" coordsize="2681,0" path="m982,1960l3662,1960e" filled="false" stroked="true" strokeweight=".697pt" strokecolor="#dcddde">
                <v:path arrowok="t"/>
              </v:shape>
            </v:group>
            <v:group style="position:absolute;left:982;top:1612;width:3431;height:2" coordorigin="982,1612" coordsize="3431,2">
              <v:shape style="position:absolute;left:982;top:1612;width:3431;height:2" coordorigin="982,1612" coordsize="3431,0" path="m982,1612l4412,1612e" filled="false" stroked="true" strokeweight=".697pt" strokecolor="#dcddde">
                <v:path arrowok="t"/>
              </v:shape>
            </v:group>
            <v:group style="position:absolute;left:1374;top:2806;width:360;height:892" coordorigin="1374,2806" coordsize="360,892">
              <v:shape style="position:absolute;left:1374;top:2806;width:360;height:892" coordorigin="1374,2806" coordsize="360,892" path="m1734,2806l1374,2806,1374,3698,1734,3698,1734,2806xe" filled="true" fillcolor="#8164a2" stroked="false">
                <v:path arrowok="t"/>
                <v:fill type="solid"/>
              </v:shape>
            </v:group>
            <v:group style="position:absolute;left:2517;top:2048;width:360;height:1651" coordorigin="2517,2048" coordsize="360,1651">
              <v:shape style="position:absolute;left:2517;top:2048;width:360;height:1651" coordorigin="2517,2048" coordsize="360,1651" path="m2877,2048l2517,2048,2517,3698,2877,3698,2877,2048xe" filled="true" fillcolor="#8164a2" stroked="false">
                <v:path arrowok="t"/>
                <v:fill type="solid"/>
              </v:shape>
            </v:group>
            <v:group style="position:absolute;left:3662;top:1746;width:358;height:1953" coordorigin="3662,1746" coordsize="358,1953">
              <v:shape style="position:absolute;left:3662;top:1746;width:358;height:1953" coordorigin="3662,1746" coordsize="358,1953" path="m4019,1746l3662,1746,3662,3698,4019,3698,4019,1746xe" filled="true" fillcolor="#8164a2" stroked="false">
                <v:path arrowok="t"/>
                <v:fill type="solid"/>
              </v:shape>
            </v:group>
            <v:group style="position:absolute;left:982;top:3698;width:3431;height:2" coordorigin="982,3698" coordsize="3431,2">
              <v:shape style="position:absolute;left:982;top:3698;width:3431;height:2" coordorigin="982,3698" coordsize="3431,0" path="m982,3698l4412,3698e" filled="false" stroked="true" strokeweight=".697pt" strokecolor="#dcddde">
                <v:path arrowok="t"/>
              </v:shape>
            </v:group>
            <v:group style="position:absolute;left:4532;top:1349;width:3726;height:2897" coordorigin="4532,1349" coordsize="3726,2897">
              <v:shape style="position:absolute;left:4532;top:1349;width:3726;height:2897" coordorigin="4532,1349" coordsize="3726,2897" path="m4532,4246l8257,4246,8257,1349,4532,1349,4532,4246xe" filled="true" fillcolor="#ffffff" stroked="false">
                <v:path arrowok="t"/>
                <v:fill type="solid"/>
              </v:shape>
            </v:group>
            <v:group style="position:absolute;left:7894;top:3417;width:362;height:2" coordorigin="7894,3417" coordsize="362,2">
              <v:shape style="position:absolute;left:7894;top:3417;width:362;height:2" coordorigin="7894,3417" coordsize="362,0" path="m7894,3417l8256,3417e" filled="false" stroked="true" strokeweight=".697pt" strokecolor="#dcddde">
                <v:path arrowok="t"/>
              </v:shape>
            </v:group>
            <v:group style="position:absolute;left:6832;top:3417;width:730;height:2" coordorigin="6832,3417" coordsize="730,2">
              <v:shape style="position:absolute;left:6832;top:3417;width:730;height:2" coordorigin="6832,3417" coordsize="730,0" path="m6832,3417l7562,3417e" filled="false" stroked="true" strokeweight=".697pt" strokecolor="#dcddde">
                <v:path arrowok="t"/>
              </v:shape>
            </v:group>
            <v:group style="position:absolute;left:5771;top:3417;width:728;height:2" coordorigin="5771,3417" coordsize="728,2">
              <v:shape style="position:absolute;left:5771;top:3417;width:728;height:2" coordorigin="5771,3417" coordsize="728,0" path="m5771,3417l6499,3417e" filled="false" stroked="true" strokeweight=".697pt" strokecolor="#dcddde">
                <v:path arrowok="t"/>
              </v:shape>
            </v:group>
            <v:group style="position:absolute;left:5075;top:3417;width:365;height:2" coordorigin="5075,3417" coordsize="365,2">
              <v:shape style="position:absolute;left:5075;top:3417;width:365;height:2" coordorigin="5075,3417" coordsize="365,0" path="m5075,3417l5439,3417e" filled="false" stroked="true" strokeweight=".697pt" strokecolor="#dcddde">
                <v:path arrowok="t"/>
              </v:shape>
            </v:group>
            <v:group style="position:absolute;left:7894;top:3169;width:362;height:2" coordorigin="7894,3169" coordsize="362,2">
              <v:shape style="position:absolute;left:7894;top:3169;width:362;height:2" coordorigin="7894,3169" coordsize="362,0" path="m7894,3169l8256,3169e" filled="false" stroked="true" strokeweight=".697pt" strokecolor="#dcddde">
                <v:path arrowok="t"/>
              </v:shape>
            </v:group>
            <v:group style="position:absolute;left:6832;top:3169;width:730;height:2" coordorigin="6832,3169" coordsize="730,2">
              <v:shape style="position:absolute;left:6832;top:3169;width:730;height:2" coordorigin="6832,3169" coordsize="730,0" path="m6832,3169l7562,3169e" filled="false" stroked="true" strokeweight=".697pt" strokecolor="#dcddde">
                <v:path arrowok="t"/>
              </v:shape>
            </v:group>
            <v:group style="position:absolute;left:5771;top:3169;width:728;height:2" coordorigin="5771,3169" coordsize="728,2">
              <v:shape style="position:absolute;left:5771;top:3169;width:728;height:2" coordorigin="5771,3169" coordsize="728,0" path="m5771,3169l6499,3169e" filled="false" stroked="true" strokeweight=".697pt" strokecolor="#dcddde">
                <v:path arrowok="t"/>
              </v:shape>
            </v:group>
            <v:group style="position:absolute;left:5075;top:3169;width:365;height:2" coordorigin="5075,3169" coordsize="365,2">
              <v:shape style="position:absolute;left:5075;top:3169;width:365;height:2" coordorigin="5075,3169" coordsize="365,0" path="m5075,3169l5439,3169e" filled="false" stroked="true" strokeweight=".697pt" strokecolor="#dcddde">
                <v:path arrowok="t"/>
              </v:shape>
            </v:group>
            <v:group style="position:absolute;left:7894;top:2919;width:362;height:2" coordorigin="7894,2919" coordsize="362,2">
              <v:shape style="position:absolute;left:7894;top:2919;width:362;height:2" coordorigin="7894,2919" coordsize="362,0" path="m7894,2919l8256,2919e" filled="false" stroked="true" strokeweight=".697pt" strokecolor="#dcddde">
                <v:path arrowok="t"/>
              </v:shape>
            </v:group>
            <v:group style="position:absolute;left:6832;top:2919;width:730;height:2" coordorigin="6832,2919" coordsize="730,2">
              <v:shape style="position:absolute;left:6832;top:2919;width:730;height:2" coordorigin="6832,2919" coordsize="730,0" path="m6832,2919l7562,2919e" filled="false" stroked="true" strokeweight=".697pt" strokecolor="#dcddde">
                <v:path arrowok="t"/>
              </v:shape>
            </v:group>
            <v:group style="position:absolute;left:5075;top:2919;width:1425;height:2" coordorigin="5075,2919" coordsize="1425,2">
              <v:shape style="position:absolute;left:5075;top:2919;width:1425;height:2" coordorigin="5075,2919" coordsize="1425,0" path="m5075,2919l6499,2919e" filled="false" stroked="true" strokeweight=".697pt" strokecolor="#dcddde">
                <v:path arrowok="t"/>
              </v:shape>
            </v:group>
            <v:group style="position:absolute;left:7894;top:2671;width:362;height:2" coordorigin="7894,2671" coordsize="362,2">
              <v:shape style="position:absolute;left:7894;top:2671;width:362;height:2" coordorigin="7894,2671" coordsize="362,0" path="m7894,2671l8256,2671e" filled="false" stroked="true" strokeweight=".697pt" strokecolor="#dcddde">
                <v:path arrowok="t"/>
              </v:shape>
            </v:group>
            <v:group style="position:absolute;left:6832;top:2671;width:730;height:2" coordorigin="6832,2671" coordsize="730,2">
              <v:shape style="position:absolute;left:6832;top:2671;width:730;height:2" coordorigin="6832,2671" coordsize="730,0" path="m6832,2671l7562,2671e" filled="false" stroked="true" strokeweight=".697pt" strokecolor="#dcddde">
                <v:path arrowok="t"/>
              </v:shape>
            </v:group>
            <v:group style="position:absolute;left:5075;top:2671;width:1425;height:2" coordorigin="5075,2671" coordsize="1425,2">
              <v:shape style="position:absolute;left:5075;top:2671;width:1425;height:2" coordorigin="5075,2671" coordsize="1425,0" path="m5075,2671l6499,2671e" filled="false" stroked="true" strokeweight=".697pt" strokecolor="#dcddde">
                <v:path arrowok="t"/>
              </v:shape>
            </v:group>
            <v:group style="position:absolute;left:7894;top:2421;width:362;height:2" coordorigin="7894,2421" coordsize="362,2">
              <v:shape style="position:absolute;left:7894;top:2421;width:362;height:2" coordorigin="7894,2421" coordsize="362,0" path="m7894,2421l8256,2421e" filled="false" stroked="true" strokeweight=".697pt" strokecolor="#dcddde">
                <v:path arrowok="t"/>
              </v:shape>
            </v:group>
            <v:group style="position:absolute;left:6832;top:2421;width:730;height:2" coordorigin="6832,2421" coordsize="730,2">
              <v:shape style="position:absolute;left:6832;top:2421;width:730;height:2" coordorigin="6832,2421" coordsize="730,0" path="m6832,2421l7562,2421e" filled="false" stroked="true" strokeweight=".697pt" strokecolor="#dcddde">
                <v:path arrowok="t"/>
              </v:shape>
            </v:group>
            <v:group style="position:absolute;left:5075;top:2421;width:1425;height:2" coordorigin="5075,2421" coordsize="1425,2">
              <v:shape style="position:absolute;left:5075;top:2421;width:1425;height:2" coordorigin="5075,2421" coordsize="1425,0" path="m5075,2421l6499,2421e" filled="false" stroked="true" strokeweight=".697pt" strokecolor="#dcddde">
                <v:path arrowok="t"/>
              </v:shape>
            </v:group>
            <v:group style="position:absolute;left:7894;top:2170;width:362;height:2" coordorigin="7894,2170" coordsize="362,2">
              <v:shape style="position:absolute;left:7894;top:2170;width:362;height:2" coordorigin="7894,2170" coordsize="362,0" path="m7894,2170l8256,2170e" filled="false" stroked="true" strokeweight=".697pt" strokecolor="#dcddde">
                <v:path arrowok="t"/>
              </v:shape>
            </v:group>
            <v:group style="position:absolute;left:5075;top:2170;width:2487;height:2" coordorigin="5075,2170" coordsize="2487,2">
              <v:shape style="position:absolute;left:5075;top:2170;width:2487;height:2" coordorigin="5075,2170" coordsize="2487,0" path="m5075,2170l7562,2170e" filled="false" stroked="true" strokeweight=".697pt" strokecolor="#dcddde">
                <v:path arrowok="t"/>
              </v:shape>
            </v:group>
            <v:group style="position:absolute;left:5075;top:1923;width:3182;height:2" coordorigin="5075,1923" coordsize="3182,2">
              <v:shape style="position:absolute;left:5075;top:1923;width:3182;height:2" coordorigin="5075,1923" coordsize="3182,0" path="m5075,1923l8256,1923e" filled="false" stroked="true" strokeweight=".697pt" strokecolor="#dcddde">
                <v:path arrowok="t"/>
              </v:shape>
            </v:group>
            <v:group style="position:absolute;left:5075;top:1673;width:3182;height:2" coordorigin="5075,1673" coordsize="3182,2">
              <v:shape style="position:absolute;left:5075;top:1673;width:3182;height:2" coordorigin="5075,1673" coordsize="3182,0" path="m5075,1673l8256,1673e" filled="false" stroked="true" strokeweight=".697pt" strokecolor="#dcddde">
                <v:path arrowok="t"/>
              </v:shape>
            </v:group>
            <v:group style="position:absolute;left:7562;top:2010;width:333;height:1657" coordorigin="7562,2010" coordsize="333,1657">
              <v:shape style="position:absolute;left:7562;top:2010;width:333;height:1657" coordorigin="7562,2010" coordsize="333,1657" path="m7894,2010l7562,2010,7562,3666,7894,3666,7894,2010xe" filled="true" fillcolor="#8164a2" stroked="false">
                <v:path arrowok="t"/>
                <v:fill type="solid"/>
              </v:shape>
            </v:group>
            <v:group style="position:absolute;left:6499;top:2216;width:333;height:1450" coordorigin="6499,2216" coordsize="333,1450">
              <v:shape style="position:absolute;left:6499;top:2216;width:333;height:1450" coordorigin="6499,2216" coordsize="333,1450" path="m6832,2216l6499,2216,6499,3666,6832,3666,6832,2216xe" filled="true" fillcolor="#8164a2" stroked="false">
                <v:path arrowok="t"/>
                <v:fill type="solid"/>
              </v:shape>
            </v:group>
            <v:group style="position:absolute;left:5439;top:3038;width:333;height:629" coordorigin="5439,3038" coordsize="333,629">
              <v:shape style="position:absolute;left:5439;top:3038;width:333;height:629" coordorigin="5439,3038" coordsize="333,629" path="m5771,3038l5439,3038,5439,3666,5771,3666,5771,3038xe" filled="true" fillcolor="#8164a2" stroked="false">
                <v:path arrowok="t"/>
                <v:fill type="solid"/>
              </v:shape>
            </v:group>
            <v:group style="position:absolute;left:5075;top:3666;width:3182;height:2" coordorigin="5075,3666" coordsize="3182,2">
              <v:shape style="position:absolute;left:5075;top:3666;width:3182;height:2" coordorigin="5075,3666" coordsize="3182,0" path="m5075,3666l8256,3666e" filled="false" stroked="true" strokeweight=".697pt" strokecolor="#dcddde">
                <v:path arrowok="t"/>
              </v:shape>
              <v:shape style="position:absolute;left:285;top:290;width:7601;height:569" type="#_x0000_t202" filled="false" stroked="false">
                <v:textbox inset="0,0,0,0">
                  <w:txbxContent>
                    <w:p>
                      <w:pPr>
                        <w:spacing w:line="172" w:lineRule="exact" w:before="0"/>
                        <w:ind w:left="0" w:right="0" w:firstLine="0"/>
                        <w:jc w:val="left"/>
                        <w:rPr>
                          <w:rFonts w:ascii="Segoe UI Semibold" w:hAnsi="Segoe UI Semibold" w:cs="Segoe UI Semibold" w:eastAsia="Segoe UI Semibold"/>
                          <w:sz w:val="16"/>
                          <w:szCs w:val="16"/>
                        </w:rPr>
                      </w:pPr>
                      <w:r>
                        <w:rPr>
                          <w:rFonts w:ascii="Segoe UI Semibold" w:hAnsi="Segoe UI Semibold" w:cs="Segoe UI Semibold" w:eastAsia="Segoe UI Semibold"/>
                          <w:b/>
                          <w:bCs/>
                          <w:color w:val="666155"/>
                          <w:spacing w:val="4"/>
                          <w:sz w:val="16"/>
                          <w:szCs w:val="16"/>
                        </w:rPr>
                        <w:t>GRAPH</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sz w:val="16"/>
                          <w:szCs w:val="16"/>
                        </w:rPr>
                        <w:t>19:</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spacing w:val="3"/>
                          <w:sz w:val="16"/>
                          <w:szCs w:val="16"/>
                        </w:rPr>
                        <w:t>EDUCATIONAL</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2"/>
                          <w:sz w:val="16"/>
                          <w:szCs w:val="16"/>
                        </w:rPr>
                        <w:t>INDICATORS:</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NAPLAN</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AND</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3"/>
                          <w:sz w:val="16"/>
                          <w:szCs w:val="16"/>
                        </w:rPr>
                        <w:t>ATTENDANCE</w:t>
                      </w:r>
                      <w:r>
                        <w:rPr>
                          <w:rFonts w:ascii="Segoe UI Semibold" w:hAnsi="Segoe UI Semibold" w:cs="Segoe UI Semibold" w:eastAsia="Segoe UI Semibold"/>
                          <w:b/>
                          <w:bCs/>
                          <w:color w:val="666155"/>
                          <w:spacing w:val="3"/>
                          <w:position w:val="1"/>
                          <w:sz w:val="16"/>
                          <w:szCs w:val="16"/>
                        </w:rPr>
                        <w:t>—</w:t>
                      </w:r>
                      <w:r>
                        <w:rPr>
                          <w:rFonts w:ascii="Segoe UI Semibold" w:hAnsi="Segoe UI Semibold" w:cs="Segoe UI Semibold" w:eastAsia="Segoe UI Semibold"/>
                          <w:b/>
                          <w:bCs/>
                          <w:color w:val="666155"/>
                          <w:spacing w:val="3"/>
                          <w:sz w:val="16"/>
                          <w:szCs w:val="16"/>
                        </w:rPr>
                        <w:t>COMPARISON</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5"/>
                          <w:sz w:val="16"/>
                          <w:szCs w:val="16"/>
                        </w:rPr>
                        <w:t>BETWEEN</w:t>
                      </w:r>
                      <w:r>
                        <w:rPr>
                          <w:rFonts w:ascii="Segoe UI Semibold" w:hAnsi="Segoe UI Semibold" w:cs="Segoe UI Semibold" w:eastAsia="Segoe UI Semibold"/>
                          <w:sz w:val="16"/>
                          <w:szCs w:val="16"/>
                        </w:rPr>
                      </w:r>
                    </w:p>
                    <w:p>
                      <w:pPr>
                        <w:spacing w:line="200" w:lineRule="exact" w:before="6"/>
                        <w:ind w:left="0" w:right="0" w:firstLine="0"/>
                        <w:jc w:val="left"/>
                        <w:rPr>
                          <w:rFonts w:ascii="Segoe UI Semibold" w:hAnsi="Segoe UI Semibold" w:cs="Segoe UI Semibold" w:eastAsia="Segoe UI Semibold"/>
                          <w:sz w:val="16"/>
                          <w:szCs w:val="16"/>
                        </w:rPr>
                      </w:pPr>
                      <w:r>
                        <w:rPr>
                          <w:rFonts w:ascii="Segoe UI Semibold" w:hAnsi="Segoe UI Semibold" w:cs="Segoe UI Semibold" w:eastAsia="Segoe UI Semibold"/>
                          <w:b/>
                          <w:bCs/>
                          <w:color w:val="666155"/>
                          <w:spacing w:val="4"/>
                          <w:sz w:val="16"/>
                          <w:szCs w:val="16"/>
                        </w:rPr>
                        <w:t>ABORIGINAL</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AND</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TORRES</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STRAIT</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ISLANDER</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AND</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MAINSTREAM</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BOARDING</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PROVIDERS</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z w:val="16"/>
                          <w:szCs w:val="16"/>
                        </w:rPr>
                        <w:t>BY</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ICSEA</w:t>
                      </w:r>
                      <w:r>
                        <w:rPr>
                          <w:rFonts w:ascii="Segoe UI Semibold" w:hAnsi="Segoe UI Semibold" w:cs="Segoe UI Semibold" w:eastAsia="Segoe UI Semibold"/>
                          <w:b/>
                          <w:bCs/>
                          <w:color w:val="666155"/>
                          <w:spacing w:val="60"/>
                          <w:sz w:val="16"/>
                          <w:szCs w:val="16"/>
                        </w:rPr>
                        <w:t> </w:t>
                      </w:r>
                      <w:r>
                        <w:rPr>
                          <w:rFonts w:ascii="Segoe UI Semibold" w:hAnsi="Segoe UI Semibold" w:cs="Segoe UI Semibold" w:eastAsia="Segoe UI Semibold"/>
                          <w:b/>
                          <w:bCs/>
                          <w:color w:val="666155"/>
                          <w:spacing w:val="3"/>
                          <w:sz w:val="16"/>
                          <w:szCs w:val="16"/>
                        </w:rPr>
                        <w:t>SCORE,</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1"/>
                          <w:sz w:val="16"/>
                          <w:szCs w:val="16"/>
                        </w:rPr>
                        <w:t>2015 </w:t>
                      </w:r>
                      <w:r>
                        <w:rPr>
                          <w:rFonts w:ascii="Segoe UI Semibold" w:hAnsi="Segoe UI Semibold" w:cs="Segoe UI Semibold" w:eastAsia="Segoe UI Semibold"/>
                          <w:b/>
                          <w:bCs/>
                          <w:color w:val="666155"/>
                          <w:position w:val="1"/>
                          <w:sz w:val="16"/>
                          <w:szCs w:val="16"/>
                        </w:rPr>
                        <w:t>—</w:t>
                      </w:r>
                      <w:r>
                        <w:rPr>
                          <w:rFonts w:ascii="Segoe UI Semibold" w:hAnsi="Segoe UI Semibold" w:cs="Segoe UI Semibold" w:eastAsia="Segoe UI Semibold"/>
                          <w:b/>
                          <w:bCs/>
                          <w:color w:val="666155"/>
                          <w:spacing w:val="-2"/>
                          <w:position w:val="1"/>
                          <w:sz w:val="16"/>
                          <w:szCs w:val="16"/>
                        </w:rPr>
                        <w:t> </w:t>
                      </w:r>
                      <w:r>
                        <w:rPr>
                          <w:rFonts w:ascii="Segoe UI Semibold" w:hAnsi="Segoe UI Semibold" w:cs="Segoe UI Semibold" w:eastAsia="Segoe UI Semibold"/>
                          <w:b/>
                          <w:bCs/>
                          <w:color w:val="666155"/>
                          <w:spacing w:val="-1"/>
                          <w:sz w:val="16"/>
                          <w:szCs w:val="16"/>
                        </w:rPr>
                        <w:t>2017</w:t>
                      </w:r>
                      <w:r>
                        <w:rPr>
                          <w:rFonts w:ascii="Segoe UI Semibold" w:hAnsi="Segoe UI Semibold" w:cs="Segoe UI Semibold" w:eastAsia="Segoe UI Semibold"/>
                          <w:sz w:val="16"/>
                          <w:szCs w:val="16"/>
                        </w:rPr>
                      </w:r>
                    </w:p>
                  </w:txbxContent>
                </v:textbox>
                <w10:wrap type="none"/>
              </v:shape>
              <v:shape style="position:absolute;left:1164;top:1223;width:2641;height:179" type="#_x0000_t202" filled="false" stroked="false">
                <v:textbox inset="0,0,0,0">
                  <w:txbxContent>
                    <w:p>
                      <w:pPr>
                        <w:spacing w:line="179" w:lineRule="exact" w:before="0"/>
                        <w:ind w:left="0" w:right="0" w:firstLine="0"/>
                        <w:jc w:val="left"/>
                        <w:rPr>
                          <w:rFonts w:ascii="Segoe UI" w:hAnsi="Segoe UI" w:cs="Segoe UI" w:eastAsia="Segoe UI"/>
                          <w:sz w:val="18"/>
                          <w:szCs w:val="18"/>
                        </w:rPr>
                      </w:pPr>
                      <w:r>
                        <w:rPr>
                          <w:rFonts w:ascii="Segoe UI"/>
                          <w:color w:val="77787B"/>
                          <w:sz w:val="18"/>
                        </w:rPr>
                        <w:t>NAPLAN</w:t>
                      </w:r>
                      <w:r>
                        <w:rPr>
                          <w:rFonts w:ascii="Segoe UI"/>
                          <w:color w:val="77787B"/>
                          <w:spacing w:val="-11"/>
                          <w:sz w:val="18"/>
                        </w:rPr>
                        <w:t> </w:t>
                      </w:r>
                      <w:r>
                        <w:rPr>
                          <w:rFonts w:ascii="Segoe UI"/>
                          <w:color w:val="77787B"/>
                          <w:sz w:val="18"/>
                        </w:rPr>
                        <w:t>averages</w:t>
                      </w:r>
                      <w:r>
                        <w:rPr>
                          <w:rFonts w:ascii="Segoe UI"/>
                          <w:color w:val="77787B"/>
                          <w:spacing w:val="-11"/>
                          <w:sz w:val="18"/>
                        </w:rPr>
                        <w:t> </w:t>
                      </w:r>
                      <w:r>
                        <w:rPr>
                          <w:rFonts w:ascii="Segoe UI"/>
                          <w:color w:val="77787B"/>
                          <w:sz w:val="18"/>
                        </w:rPr>
                        <w:t>by</w:t>
                      </w:r>
                      <w:r>
                        <w:rPr>
                          <w:rFonts w:ascii="Segoe UI"/>
                          <w:color w:val="77787B"/>
                          <w:spacing w:val="-7"/>
                          <w:sz w:val="18"/>
                        </w:rPr>
                        <w:t> </w:t>
                      </w:r>
                      <w:r>
                        <w:rPr>
                          <w:rFonts w:ascii="Segoe UI"/>
                          <w:color w:val="77787B"/>
                          <w:sz w:val="18"/>
                        </w:rPr>
                        <w:t>ICSEA</w:t>
                      </w:r>
                      <w:r>
                        <w:rPr>
                          <w:rFonts w:ascii="Segoe UI"/>
                          <w:color w:val="77787B"/>
                          <w:spacing w:val="-9"/>
                          <w:sz w:val="18"/>
                        </w:rPr>
                        <w:t> </w:t>
                      </w:r>
                      <w:r>
                        <w:rPr>
                          <w:rFonts w:ascii="Segoe UI"/>
                          <w:color w:val="77787B"/>
                          <w:sz w:val="18"/>
                        </w:rPr>
                        <w:t>score</w:t>
                      </w:r>
                      <w:r>
                        <w:rPr>
                          <w:rFonts w:ascii="Segoe UI"/>
                          <w:sz w:val="18"/>
                        </w:rPr>
                      </w:r>
                    </w:p>
                  </w:txbxContent>
                </v:textbox>
                <w10:wrap type="none"/>
              </v:shape>
              <v:shape style="position:absolute;left:5150;top:1209;width:2790;height:184" type="#_x0000_t202" filled="false" stroked="false">
                <v:textbox inset="0,0,0,0">
                  <w:txbxContent>
                    <w:p>
                      <w:pPr>
                        <w:spacing w:line="184" w:lineRule="exact" w:before="0"/>
                        <w:ind w:left="0" w:right="0" w:firstLine="0"/>
                        <w:jc w:val="left"/>
                        <w:rPr>
                          <w:rFonts w:ascii="Segoe UI" w:hAnsi="Segoe UI" w:cs="Segoe UI" w:eastAsia="Segoe UI"/>
                          <w:sz w:val="18"/>
                          <w:szCs w:val="18"/>
                        </w:rPr>
                      </w:pPr>
                      <w:r>
                        <w:rPr>
                          <w:rFonts w:ascii="Segoe UI"/>
                          <w:color w:val="77787B"/>
                          <w:sz w:val="18"/>
                        </w:rPr>
                        <w:t>Average</w:t>
                      </w:r>
                      <w:r>
                        <w:rPr>
                          <w:rFonts w:ascii="Segoe UI"/>
                          <w:color w:val="77787B"/>
                          <w:spacing w:val="-12"/>
                          <w:sz w:val="18"/>
                        </w:rPr>
                        <w:t> </w:t>
                      </w:r>
                      <w:r>
                        <w:rPr>
                          <w:rFonts w:ascii="Segoe UI"/>
                          <w:color w:val="77787B"/>
                          <w:sz w:val="18"/>
                        </w:rPr>
                        <w:t>attendance</w:t>
                      </w:r>
                      <w:r>
                        <w:rPr>
                          <w:rFonts w:ascii="Segoe UI"/>
                          <w:color w:val="77787B"/>
                          <w:spacing w:val="-7"/>
                          <w:sz w:val="18"/>
                        </w:rPr>
                        <w:t> </w:t>
                      </w:r>
                      <w:r>
                        <w:rPr>
                          <w:rFonts w:ascii="Segoe UI"/>
                          <w:color w:val="77787B"/>
                          <w:sz w:val="18"/>
                        </w:rPr>
                        <w:t>by</w:t>
                      </w:r>
                      <w:r>
                        <w:rPr>
                          <w:rFonts w:ascii="Segoe UI"/>
                          <w:color w:val="77787B"/>
                          <w:spacing w:val="-8"/>
                          <w:sz w:val="18"/>
                        </w:rPr>
                        <w:t> </w:t>
                      </w:r>
                      <w:r>
                        <w:rPr>
                          <w:rFonts w:ascii="Segoe UI"/>
                          <w:color w:val="77787B"/>
                          <w:sz w:val="18"/>
                        </w:rPr>
                        <w:t>ICSEA</w:t>
                      </w:r>
                      <w:r>
                        <w:rPr>
                          <w:rFonts w:ascii="Segoe UI"/>
                          <w:color w:val="77787B"/>
                          <w:spacing w:val="-11"/>
                          <w:sz w:val="18"/>
                        </w:rPr>
                        <w:t> </w:t>
                      </w:r>
                      <w:r>
                        <w:rPr>
                          <w:rFonts w:ascii="Segoe UI"/>
                          <w:color w:val="77787B"/>
                          <w:sz w:val="18"/>
                        </w:rPr>
                        <w:t>score</w:t>
                      </w:r>
                      <w:r>
                        <w:rPr>
                          <w:rFonts w:ascii="Segoe UI"/>
                          <w:sz w:val="18"/>
                        </w:rPr>
                      </w:r>
                    </w:p>
                  </w:txbxContent>
                </v:textbox>
                <w10:wrap type="none"/>
              </v:shape>
              <v:shape style="position:absolute;left:588;top:1548;width:241;height:2236" type="#_x0000_t202" filled="false" stroked="false">
                <v:textbox inset="0,0,0,0">
                  <w:txbxContent>
                    <w:p>
                      <w:pPr>
                        <w:spacing w:line="151" w:lineRule="exact" w:before="0"/>
                        <w:ind w:left="0" w:right="0" w:firstLine="0"/>
                        <w:jc w:val="left"/>
                        <w:rPr>
                          <w:rFonts w:ascii="Segoe UI" w:hAnsi="Segoe UI" w:cs="Segoe UI" w:eastAsia="Segoe UI"/>
                          <w:sz w:val="15"/>
                          <w:szCs w:val="15"/>
                        </w:rPr>
                      </w:pPr>
                      <w:r>
                        <w:rPr>
                          <w:rFonts w:ascii="Segoe UI"/>
                          <w:color w:val="77787B"/>
                          <w:spacing w:val="-1"/>
                          <w:sz w:val="15"/>
                        </w:rPr>
                        <w:t>600</w:t>
                      </w:r>
                      <w:r>
                        <w:rPr>
                          <w:rFonts w:ascii="Segoe UI"/>
                          <w:sz w:val="15"/>
                        </w:rPr>
                      </w:r>
                    </w:p>
                    <w:p>
                      <w:pPr>
                        <w:spacing w:line="240" w:lineRule="auto" w:before="2"/>
                        <w:rPr>
                          <w:rFonts w:ascii="Segoe UI Semibold" w:hAnsi="Segoe UI Semibold" w:cs="Segoe UI Semibold" w:eastAsia="Segoe UI Semibold"/>
                          <w:b/>
                          <w:bCs/>
                          <w:sz w:val="11"/>
                          <w:szCs w:val="11"/>
                        </w:rPr>
                      </w:pPr>
                    </w:p>
                    <w:p>
                      <w:pPr>
                        <w:spacing w:before="0"/>
                        <w:ind w:left="0" w:right="0" w:firstLine="0"/>
                        <w:jc w:val="left"/>
                        <w:rPr>
                          <w:rFonts w:ascii="Segoe UI" w:hAnsi="Segoe UI" w:cs="Segoe UI" w:eastAsia="Segoe UI"/>
                          <w:sz w:val="15"/>
                          <w:szCs w:val="15"/>
                        </w:rPr>
                      </w:pPr>
                      <w:r>
                        <w:rPr>
                          <w:rFonts w:ascii="Segoe UI"/>
                          <w:color w:val="77787B"/>
                          <w:spacing w:val="-1"/>
                          <w:sz w:val="15"/>
                        </w:rPr>
                        <w:t>550</w:t>
                      </w:r>
                      <w:r>
                        <w:rPr>
                          <w:rFonts w:ascii="Segoe UI"/>
                          <w:sz w:val="15"/>
                        </w:rPr>
                      </w:r>
                    </w:p>
                    <w:p>
                      <w:pPr>
                        <w:spacing w:line="240" w:lineRule="auto" w:before="2"/>
                        <w:rPr>
                          <w:rFonts w:ascii="Segoe UI Semibold" w:hAnsi="Segoe UI Semibold" w:cs="Segoe UI Semibold" w:eastAsia="Segoe UI Semibold"/>
                          <w:b/>
                          <w:bCs/>
                          <w:sz w:val="11"/>
                          <w:szCs w:val="11"/>
                        </w:rPr>
                      </w:pPr>
                    </w:p>
                    <w:p>
                      <w:pPr>
                        <w:spacing w:before="0"/>
                        <w:ind w:left="0" w:right="0" w:firstLine="0"/>
                        <w:jc w:val="left"/>
                        <w:rPr>
                          <w:rFonts w:ascii="Segoe UI" w:hAnsi="Segoe UI" w:cs="Segoe UI" w:eastAsia="Segoe UI"/>
                          <w:sz w:val="15"/>
                          <w:szCs w:val="15"/>
                        </w:rPr>
                      </w:pPr>
                      <w:r>
                        <w:rPr>
                          <w:rFonts w:ascii="Segoe UI"/>
                          <w:color w:val="77787B"/>
                          <w:spacing w:val="-1"/>
                          <w:sz w:val="15"/>
                        </w:rPr>
                        <w:t>500</w:t>
                      </w:r>
                      <w:r>
                        <w:rPr>
                          <w:rFonts w:ascii="Segoe UI"/>
                          <w:sz w:val="15"/>
                        </w:rPr>
                      </w:r>
                    </w:p>
                    <w:p>
                      <w:pPr>
                        <w:spacing w:line="240" w:lineRule="auto" w:before="2"/>
                        <w:rPr>
                          <w:rFonts w:ascii="Segoe UI Semibold" w:hAnsi="Segoe UI Semibold" w:cs="Segoe UI Semibold" w:eastAsia="Segoe UI Semibold"/>
                          <w:b/>
                          <w:bCs/>
                          <w:sz w:val="11"/>
                          <w:szCs w:val="11"/>
                        </w:rPr>
                      </w:pPr>
                    </w:p>
                    <w:p>
                      <w:pPr>
                        <w:spacing w:before="0"/>
                        <w:ind w:left="0" w:right="0" w:firstLine="0"/>
                        <w:jc w:val="left"/>
                        <w:rPr>
                          <w:rFonts w:ascii="Segoe UI" w:hAnsi="Segoe UI" w:cs="Segoe UI" w:eastAsia="Segoe UI"/>
                          <w:sz w:val="15"/>
                          <w:szCs w:val="15"/>
                        </w:rPr>
                      </w:pPr>
                      <w:r>
                        <w:rPr>
                          <w:rFonts w:ascii="Segoe UI"/>
                          <w:color w:val="77787B"/>
                          <w:spacing w:val="-1"/>
                          <w:sz w:val="15"/>
                        </w:rPr>
                        <w:t>450</w:t>
                      </w:r>
                      <w:r>
                        <w:rPr>
                          <w:rFonts w:ascii="Segoe UI"/>
                          <w:sz w:val="15"/>
                        </w:rPr>
                      </w:r>
                    </w:p>
                    <w:p>
                      <w:pPr>
                        <w:spacing w:line="240" w:lineRule="auto" w:before="2"/>
                        <w:rPr>
                          <w:rFonts w:ascii="Segoe UI Semibold" w:hAnsi="Segoe UI Semibold" w:cs="Segoe UI Semibold" w:eastAsia="Segoe UI Semibold"/>
                          <w:b/>
                          <w:bCs/>
                          <w:sz w:val="11"/>
                          <w:szCs w:val="11"/>
                        </w:rPr>
                      </w:pPr>
                    </w:p>
                    <w:p>
                      <w:pPr>
                        <w:spacing w:before="0"/>
                        <w:ind w:left="0" w:right="0" w:firstLine="0"/>
                        <w:jc w:val="left"/>
                        <w:rPr>
                          <w:rFonts w:ascii="Segoe UI" w:hAnsi="Segoe UI" w:cs="Segoe UI" w:eastAsia="Segoe UI"/>
                          <w:sz w:val="15"/>
                          <w:szCs w:val="15"/>
                        </w:rPr>
                      </w:pPr>
                      <w:r>
                        <w:rPr>
                          <w:rFonts w:ascii="Segoe UI"/>
                          <w:color w:val="77787B"/>
                          <w:spacing w:val="-1"/>
                          <w:sz w:val="15"/>
                        </w:rPr>
                        <w:t>400</w:t>
                      </w:r>
                      <w:r>
                        <w:rPr>
                          <w:rFonts w:ascii="Segoe UI"/>
                          <w:sz w:val="15"/>
                        </w:rPr>
                      </w:r>
                    </w:p>
                    <w:p>
                      <w:pPr>
                        <w:spacing w:line="240" w:lineRule="auto" w:before="2"/>
                        <w:rPr>
                          <w:rFonts w:ascii="Segoe UI Semibold" w:hAnsi="Segoe UI Semibold" w:cs="Segoe UI Semibold" w:eastAsia="Segoe UI Semibold"/>
                          <w:b/>
                          <w:bCs/>
                          <w:sz w:val="11"/>
                          <w:szCs w:val="11"/>
                        </w:rPr>
                      </w:pPr>
                    </w:p>
                    <w:p>
                      <w:pPr>
                        <w:spacing w:before="0"/>
                        <w:ind w:left="0" w:right="0" w:firstLine="0"/>
                        <w:jc w:val="left"/>
                        <w:rPr>
                          <w:rFonts w:ascii="Segoe UI" w:hAnsi="Segoe UI" w:cs="Segoe UI" w:eastAsia="Segoe UI"/>
                          <w:sz w:val="15"/>
                          <w:szCs w:val="15"/>
                        </w:rPr>
                      </w:pPr>
                      <w:r>
                        <w:rPr>
                          <w:rFonts w:ascii="Segoe UI"/>
                          <w:color w:val="77787B"/>
                          <w:spacing w:val="-1"/>
                          <w:sz w:val="15"/>
                        </w:rPr>
                        <w:t>350</w:t>
                      </w:r>
                      <w:r>
                        <w:rPr>
                          <w:rFonts w:ascii="Segoe UI"/>
                          <w:sz w:val="15"/>
                        </w:rPr>
                      </w:r>
                    </w:p>
                    <w:p>
                      <w:pPr>
                        <w:spacing w:line="240" w:lineRule="auto" w:before="2"/>
                        <w:rPr>
                          <w:rFonts w:ascii="Segoe UI Semibold" w:hAnsi="Segoe UI Semibold" w:cs="Segoe UI Semibold" w:eastAsia="Segoe UI Semibold"/>
                          <w:b/>
                          <w:bCs/>
                          <w:sz w:val="11"/>
                          <w:szCs w:val="11"/>
                        </w:rPr>
                      </w:pPr>
                    </w:p>
                    <w:p>
                      <w:pPr>
                        <w:spacing w:line="198" w:lineRule="exact" w:before="0"/>
                        <w:ind w:left="0" w:right="0" w:firstLine="0"/>
                        <w:jc w:val="left"/>
                        <w:rPr>
                          <w:rFonts w:ascii="Segoe UI" w:hAnsi="Segoe UI" w:cs="Segoe UI" w:eastAsia="Segoe UI"/>
                          <w:sz w:val="15"/>
                          <w:szCs w:val="15"/>
                        </w:rPr>
                      </w:pPr>
                      <w:r>
                        <w:rPr>
                          <w:rFonts w:ascii="Segoe UI"/>
                          <w:color w:val="77787B"/>
                          <w:spacing w:val="-1"/>
                          <w:sz w:val="15"/>
                        </w:rPr>
                        <w:t>300</w:t>
                      </w:r>
                      <w:r>
                        <w:rPr>
                          <w:rFonts w:ascii="Segoe UI"/>
                          <w:sz w:val="15"/>
                        </w:rPr>
                      </w:r>
                    </w:p>
                  </w:txbxContent>
                </v:textbox>
                <w10:wrap type="none"/>
              </v:shape>
              <v:shape style="position:absolute;left:4559;top:1607;width:364;height:2147" type="#_x0000_t202" filled="false" stroked="false">
                <v:textbox inset="0,0,0,0">
                  <w:txbxContent>
                    <w:p>
                      <w:pPr>
                        <w:spacing w:line="154" w:lineRule="exact" w:before="0"/>
                        <w:ind w:left="0" w:right="0" w:firstLine="0"/>
                        <w:jc w:val="left"/>
                        <w:rPr>
                          <w:rFonts w:ascii="Segoe UI" w:hAnsi="Segoe UI" w:cs="Segoe UI" w:eastAsia="Segoe UI"/>
                          <w:sz w:val="15"/>
                          <w:szCs w:val="15"/>
                        </w:rPr>
                      </w:pPr>
                      <w:r>
                        <w:rPr>
                          <w:rFonts w:ascii="Segoe UI"/>
                          <w:color w:val="77787B"/>
                          <w:spacing w:val="-1"/>
                          <w:sz w:val="15"/>
                        </w:rPr>
                        <w:t>100%</w:t>
                      </w:r>
                      <w:r>
                        <w:rPr>
                          <w:rFonts w:ascii="Segoe UI"/>
                          <w:sz w:val="15"/>
                        </w:rPr>
                      </w:r>
                    </w:p>
                    <w:p>
                      <w:pPr>
                        <w:spacing w:before="49"/>
                        <w:ind w:left="80" w:right="0" w:firstLine="0"/>
                        <w:jc w:val="left"/>
                        <w:rPr>
                          <w:rFonts w:ascii="Segoe UI" w:hAnsi="Segoe UI" w:cs="Segoe UI" w:eastAsia="Segoe UI"/>
                          <w:sz w:val="15"/>
                          <w:szCs w:val="15"/>
                        </w:rPr>
                      </w:pPr>
                      <w:r>
                        <w:rPr>
                          <w:rFonts w:ascii="Segoe UI"/>
                          <w:color w:val="77787B"/>
                          <w:spacing w:val="-1"/>
                          <w:sz w:val="15"/>
                        </w:rPr>
                        <w:t>95%</w:t>
                      </w:r>
                      <w:r>
                        <w:rPr>
                          <w:rFonts w:ascii="Segoe UI"/>
                          <w:sz w:val="15"/>
                        </w:rPr>
                      </w:r>
                    </w:p>
                    <w:p>
                      <w:pPr>
                        <w:spacing w:before="49"/>
                        <w:ind w:left="80" w:right="0" w:firstLine="0"/>
                        <w:jc w:val="left"/>
                        <w:rPr>
                          <w:rFonts w:ascii="Segoe UI" w:hAnsi="Segoe UI" w:cs="Segoe UI" w:eastAsia="Segoe UI"/>
                          <w:sz w:val="15"/>
                          <w:szCs w:val="15"/>
                        </w:rPr>
                      </w:pPr>
                      <w:r>
                        <w:rPr>
                          <w:rFonts w:ascii="Segoe UI"/>
                          <w:color w:val="77787B"/>
                          <w:spacing w:val="-1"/>
                          <w:sz w:val="15"/>
                        </w:rPr>
                        <w:t>90%</w:t>
                      </w:r>
                      <w:r>
                        <w:rPr>
                          <w:rFonts w:ascii="Segoe UI"/>
                          <w:sz w:val="15"/>
                        </w:rPr>
                      </w:r>
                    </w:p>
                    <w:p>
                      <w:pPr>
                        <w:spacing w:before="49"/>
                        <w:ind w:left="80" w:right="0" w:firstLine="0"/>
                        <w:jc w:val="left"/>
                        <w:rPr>
                          <w:rFonts w:ascii="Segoe UI" w:hAnsi="Segoe UI" w:cs="Segoe UI" w:eastAsia="Segoe UI"/>
                          <w:sz w:val="15"/>
                          <w:szCs w:val="15"/>
                        </w:rPr>
                      </w:pPr>
                      <w:r>
                        <w:rPr>
                          <w:rFonts w:ascii="Segoe UI"/>
                          <w:color w:val="77787B"/>
                          <w:spacing w:val="-1"/>
                          <w:sz w:val="15"/>
                        </w:rPr>
                        <w:t>85%</w:t>
                      </w:r>
                      <w:r>
                        <w:rPr>
                          <w:rFonts w:ascii="Segoe UI"/>
                          <w:sz w:val="15"/>
                        </w:rPr>
                      </w:r>
                    </w:p>
                    <w:p>
                      <w:pPr>
                        <w:spacing w:before="49"/>
                        <w:ind w:left="80" w:right="0" w:firstLine="0"/>
                        <w:jc w:val="left"/>
                        <w:rPr>
                          <w:rFonts w:ascii="Segoe UI" w:hAnsi="Segoe UI" w:cs="Segoe UI" w:eastAsia="Segoe UI"/>
                          <w:sz w:val="15"/>
                          <w:szCs w:val="15"/>
                        </w:rPr>
                      </w:pPr>
                      <w:r>
                        <w:rPr>
                          <w:rFonts w:ascii="Segoe UI"/>
                          <w:color w:val="77787B"/>
                          <w:spacing w:val="-1"/>
                          <w:sz w:val="15"/>
                        </w:rPr>
                        <w:t>80%</w:t>
                      </w:r>
                      <w:r>
                        <w:rPr>
                          <w:rFonts w:ascii="Segoe UI"/>
                          <w:sz w:val="15"/>
                        </w:rPr>
                      </w:r>
                    </w:p>
                    <w:p>
                      <w:pPr>
                        <w:spacing w:before="49"/>
                        <w:ind w:left="80" w:right="0" w:firstLine="0"/>
                        <w:jc w:val="left"/>
                        <w:rPr>
                          <w:rFonts w:ascii="Segoe UI" w:hAnsi="Segoe UI" w:cs="Segoe UI" w:eastAsia="Segoe UI"/>
                          <w:sz w:val="15"/>
                          <w:szCs w:val="15"/>
                        </w:rPr>
                      </w:pPr>
                      <w:r>
                        <w:rPr>
                          <w:rFonts w:ascii="Segoe UI"/>
                          <w:color w:val="77787B"/>
                          <w:spacing w:val="-1"/>
                          <w:sz w:val="15"/>
                        </w:rPr>
                        <w:t>75%</w:t>
                      </w:r>
                      <w:r>
                        <w:rPr>
                          <w:rFonts w:ascii="Segoe UI"/>
                          <w:sz w:val="15"/>
                        </w:rPr>
                      </w:r>
                    </w:p>
                    <w:p>
                      <w:pPr>
                        <w:spacing w:before="49"/>
                        <w:ind w:left="80" w:right="0" w:firstLine="0"/>
                        <w:jc w:val="left"/>
                        <w:rPr>
                          <w:rFonts w:ascii="Segoe UI" w:hAnsi="Segoe UI" w:cs="Segoe UI" w:eastAsia="Segoe UI"/>
                          <w:sz w:val="15"/>
                          <w:szCs w:val="15"/>
                        </w:rPr>
                      </w:pPr>
                      <w:r>
                        <w:rPr>
                          <w:rFonts w:ascii="Segoe UI"/>
                          <w:color w:val="77787B"/>
                          <w:spacing w:val="-1"/>
                          <w:sz w:val="15"/>
                        </w:rPr>
                        <w:t>70%</w:t>
                      </w:r>
                      <w:r>
                        <w:rPr>
                          <w:rFonts w:ascii="Segoe UI"/>
                          <w:sz w:val="15"/>
                        </w:rPr>
                      </w:r>
                    </w:p>
                    <w:p>
                      <w:pPr>
                        <w:spacing w:before="49"/>
                        <w:ind w:left="80" w:right="0" w:firstLine="0"/>
                        <w:jc w:val="left"/>
                        <w:rPr>
                          <w:rFonts w:ascii="Segoe UI" w:hAnsi="Segoe UI" w:cs="Segoe UI" w:eastAsia="Segoe UI"/>
                          <w:sz w:val="15"/>
                          <w:szCs w:val="15"/>
                        </w:rPr>
                      </w:pPr>
                      <w:r>
                        <w:rPr>
                          <w:rFonts w:ascii="Segoe UI"/>
                          <w:color w:val="77787B"/>
                          <w:spacing w:val="-1"/>
                          <w:sz w:val="15"/>
                        </w:rPr>
                        <w:t>65%</w:t>
                      </w:r>
                      <w:r>
                        <w:rPr>
                          <w:rFonts w:ascii="Segoe UI"/>
                          <w:sz w:val="15"/>
                        </w:rPr>
                      </w:r>
                    </w:p>
                    <w:p>
                      <w:pPr>
                        <w:spacing w:line="199" w:lineRule="exact" w:before="49"/>
                        <w:ind w:left="80" w:right="0" w:firstLine="0"/>
                        <w:jc w:val="left"/>
                        <w:rPr>
                          <w:rFonts w:ascii="Segoe UI" w:hAnsi="Segoe UI" w:cs="Segoe UI" w:eastAsia="Segoe UI"/>
                          <w:sz w:val="15"/>
                          <w:szCs w:val="15"/>
                        </w:rPr>
                      </w:pPr>
                      <w:r>
                        <w:rPr>
                          <w:rFonts w:ascii="Segoe UI"/>
                          <w:color w:val="77787B"/>
                          <w:spacing w:val="-1"/>
                          <w:sz w:val="15"/>
                        </w:rPr>
                        <w:t>60%</w:t>
                      </w:r>
                      <w:r>
                        <w:rPr>
                          <w:rFonts w:ascii="Segoe UI"/>
                          <w:sz w:val="15"/>
                        </w:rPr>
                      </w:r>
                    </w:p>
                  </w:txbxContent>
                </v:textbox>
                <w10:wrap type="none"/>
              </v:shape>
              <v:shape style="position:absolute;left:1356;top:3825;width:6761;height:178" type="#_x0000_t202" filled="false" stroked="false">
                <v:textbox inset="0,0,0,0">
                  <w:txbxContent>
                    <w:p>
                      <w:pPr>
                        <w:tabs>
                          <w:tab w:pos="1119" w:val="left" w:leader="none"/>
                          <w:tab w:pos="2096" w:val="left" w:leader="none"/>
                          <w:tab w:pos="4051" w:val="left" w:leader="none"/>
                          <w:tab w:pos="5088" w:val="left" w:leader="none"/>
                          <w:tab w:pos="5982" w:val="left" w:leader="none"/>
                        </w:tabs>
                        <w:spacing w:line="174" w:lineRule="exact" w:before="0"/>
                        <w:ind w:left="0" w:right="0" w:firstLine="0"/>
                        <w:jc w:val="left"/>
                        <w:rPr>
                          <w:rFonts w:ascii="Segoe UI" w:hAnsi="Segoe UI" w:cs="Segoe UI" w:eastAsia="Segoe UI"/>
                          <w:sz w:val="15"/>
                          <w:szCs w:val="15"/>
                        </w:rPr>
                      </w:pPr>
                      <w:r>
                        <w:rPr>
                          <w:rFonts w:ascii="Segoe UI"/>
                          <w:color w:val="77787B"/>
                          <w:spacing w:val="-1"/>
                          <w:w w:val="95"/>
                          <w:position w:val="-1"/>
                          <w:sz w:val="15"/>
                        </w:rPr>
                        <w:t>Lower</w:t>
                        <w:tab/>
                        <w:t>Higher</w:t>
                        <w:tab/>
                        <w:t>Mainstream</w:t>
                        <w:tab/>
                      </w:r>
                      <w:r>
                        <w:rPr>
                          <w:rFonts w:ascii="Segoe UI"/>
                          <w:color w:val="77787B"/>
                          <w:spacing w:val="-1"/>
                          <w:w w:val="95"/>
                          <w:sz w:val="15"/>
                        </w:rPr>
                        <w:t>Lower</w:t>
                        <w:tab/>
                        <w:t>Higher</w:t>
                        <w:tab/>
                      </w:r>
                      <w:r>
                        <w:rPr>
                          <w:rFonts w:ascii="Segoe UI"/>
                          <w:color w:val="77787B"/>
                          <w:spacing w:val="-1"/>
                          <w:sz w:val="15"/>
                        </w:rPr>
                        <w:t>Mainstream</w:t>
                      </w:r>
                      <w:r>
                        <w:rPr>
                          <w:rFonts w:ascii="Segoe UI"/>
                          <w:sz w:val="15"/>
                        </w:rPr>
                      </w:r>
                    </w:p>
                  </w:txbxContent>
                </v:textbox>
                <w10:wrap type="none"/>
              </v:shape>
            </v:group>
          </v:group>
        </w:pict>
      </w:r>
      <w:r>
        <w:rPr>
          <w:rFonts w:ascii="Segoe UI Semibold" w:hAnsi="Segoe UI Semibold" w:cs="Segoe UI Semibold" w:eastAsia="Segoe UI Semibold"/>
          <w:sz w:val="20"/>
          <w:szCs w:val="20"/>
        </w:rPr>
      </w:r>
    </w:p>
    <w:p>
      <w:pPr>
        <w:spacing w:line="240" w:lineRule="auto" w:before="12"/>
        <w:rPr>
          <w:rFonts w:ascii="Segoe UI Semibold" w:hAnsi="Segoe UI Semibold" w:cs="Segoe UI Semibold" w:eastAsia="Segoe UI Semibold"/>
          <w:b/>
          <w:bCs/>
          <w:sz w:val="18"/>
          <w:szCs w:val="18"/>
        </w:rPr>
      </w:pPr>
    </w:p>
    <w:p>
      <w:pPr>
        <w:spacing w:after="0" w:line="240" w:lineRule="auto"/>
        <w:rPr>
          <w:rFonts w:ascii="Segoe UI Semibold" w:hAnsi="Segoe UI Semibold" w:cs="Segoe UI Semibold" w:eastAsia="Segoe UI Semibold"/>
          <w:sz w:val="18"/>
          <w:szCs w:val="18"/>
        </w:rPr>
        <w:sectPr>
          <w:pgSz w:w="11910" w:h="16840"/>
          <w:pgMar w:header="0" w:footer="691" w:top="1580" w:bottom="880" w:left="1600" w:right="1300"/>
        </w:sectPr>
      </w:pPr>
    </w:p>
    <w:p>
      <w:pPr>
        <w:pStyle w:val="BodyText"/>
        <w:spacing w:line="250" w:lineRule="exact" w:before="62"/>
        <w:ind w:left="100" w:right="0"/>
        <w:jc w:val="left"/>
      </w:pPr>
      <w:r>
        <w:rPr>
          <w:color w:val="231F20"/>
        </w:rPr>
        <w:t>Of</w:t>
      </w:r>
      <w:r>
        <w:rPr>
          <w:color w:val="231F20"/>
          <w:spacing w:val="-5"/>
        </w:rPr>
        <w:t> </w:t>
      </w:r>
      <w:r>
        <w:rPr>
          <w:color w:val="231F20"/>
        </w:rPr>
        <w:t>the</w:t>
      </w:r>
      <w:r>
        <w:rPr>
          <w:color w:val="231F20"/>
          <w:spacing w:val="-5"/>
        </w:rPr>
        <w:t> </w:t>
      </w:r>
      <w:r>
        <w:rPr>
          <w:color w:val="231F20"/>
          <w:spacing w:val="-1"/>
        </w:rPr>
        <w:t>23</w:t>
      </w:r>
      <w:r>
        <w:rPr>
          <w:color w:val="231F20"/>
          <w:spacing w:val="-4"/>
        </w:rPr>
        <w:t> </w:t>
      </w:r>
      <w:r>
        <w:rPr>
          <w:color w:val="231F20"/>
          <w:spacing w:val="-1"/>
        </w:rPr>
        <w:t>mainstream</w:t>
      </w:r>
      <w:r>
        <w:rPr>
          <w:color w:val="231F20"/>
          <w:spacing w:val="-4"/>
        </w:rPr>
        <w:t> </w:t>
      </w:r>
      <w:r>
        <w:rPr>
          <w:color w:val="231F20"/>
        </w:rPr>
        <w:t>boarding</w:t>
      </w:r>
      <w:r>
        <w:rPr>
          <w:color w:val="231F20"/>
          <w:spacing w:val="-5"/>
        </w:rPr>
        <w:t> </w:t>
      </w:r>
      <w:r>
        <w:rPr>
          <w:color w:val="231F20"/>
        </w:rPr>
        <w:t>providers,</w:t>
      </w:r>
      <w:r>
        <w:rPr>
          <w:color w:val="231F20"/>
          <w:spacing w:val="-5"/>
        </w:rPr>
        <w:t> </w:t>
      </w:r>
      <w:r>
        <w:rPr>
          <w:color w:val="231F20"/>
        </w:rPr>
        <w:t>only</w:t>
      </w:r>
      <w:r>
        <w:rPr>
          <w:color w:val="231F20"/>
          <w:spacing w:val="23"/>
          <w:w w:val="99"/>
        </w:rPr>
        <w:t> </w:t>
      </w:r>
      <w:r>
        <w:rPr>
          <w:color w:val="231F20"/>
        </w:rPr>
        <w:t>two</w:t>
      </w:r>
      <w:r>
        <w:rPr>
          <w:color w:val="231F20"/>
          <w:spacing w:val="-4"/>
        </w:rPr>
        <w:t> </w:t>
      </w:r>
      <w:r>
        <w:rPr>
          <w:color w:val="231F20"/>
        </w:rPr>
        <w:t>(9</w:t>
      </w:r>
      <w:r>
        <w:rPr>
          <w:color w:val="231F20"/>
          <w:spacing w:val="-4"/>
        </w:rPr>
        <w:t> </w:t>
      </w:r>
      <w:r>
        <w:rPr>
          <w:color w:val="231F20"/>
        </w:rPr>
        <w:t>per</w:t>
      </w:r>
      <w:r>
        <w:rPr>
          <w:color w:val="231F20"/>
          <w:spacing w:val="-4"/>
        </w:rPr>
        <w:t> </w:t>
      </w:r>
      <w:r>
        <w:rPr>
          <w:color w:val="231F20"/>
        </w:rPr>
        <w:t>cent)</w:t>
      </w:r>
      <w:r>
        <w:rPr>
          <w:color w:val="231F20"/>
          <w:spacing w:val="-3"/>
        </w:rPr>
        <w:t> </w:t>
      </w:r>
      <w:r>
        <w:rPr>
          <w:color w:val="231F20"/>
        </w:rPr>
        <w:t>had</w:t>
      </w:r>
      <w:r>
        <w:rPr>
          <w:color w:val="231F20"/>
          <w:spacing w:val="-4"/>
        </w:rPr>
        <w:t> </w:t>
      </w:r>
      <w:r>
        <w:rPr>
          <w:color w:val="231F20"/>
        </w:rPr>
        <w:t>an</w:t>
      </w:r>
      <w:r>
        <w:rPr>
          <w:color w:val="231F20"/>
          <w:spacing w:val="-4"/>
        </w:rPr>
        <w:t> </w:t>
      </w:r>
      <w:r>
        <w:rPr>
          <w:color w:val="231F20"/>
          <w:spacing w:val="-1"/>
        </w:rPr>
        <w:t>ICSEA</w:t>
      </w:r>
      <w:r>
        <w:rPr>
          <w:color w:val="231F20"/>
          <w:spacing w:val="-4"/>
        </w:rPr>
        <w:t> </w:t>
      </w:r>
      <w:r>
        <w:rPr>
          <w:color w:val="231F20"/>
          <w:spacing w:val="-1"/>
        </w:rPr>
        <w:t>score</w:t>
      </w:r>
      <w:r>
        <w:rPr>
          <w:color w:val="231F20"/>
          <w:spacing w:val="-3"/>
        </w:rPr>
        <w:t> </w:t>
      </w:r>
      <w:r>
        <w:rPr>
          <w:color w:val="231F20"/>
        </w:rPr>
        <w:t>below</w:t>
      </w:r>
      <w:r>
        <w:rPr/>
      </w:r>
    </w:p>
    <w:p>
      <w:pPr>
        <w:pStyle w:val="BodyText"/>
        <w:spacing w:line="250" w:lineRule="exact"/>
        <w:ind w:left="100" w:right="238"/>
        <w:jc w:val="left"/>
      </w:pPr>
      <w:r>
        <w:rPr>
          <w:color w:val="231F20"/>
        </w:rPr>
        <w:t>the</w:t>
      </w:r>
      <w:r>
        <w:rPr>
          <w:color w:val="231F20"/>
          <w:spacing w:val="-6"/>
        </w:rPr>
        <w:t> </w:t>
      </w:r>
      <w:r>
        <w:rPr>
          <w:color w:val="231F20"/>
          <w:spacing w:val="-1"/>
        </w:rPr>
        <w:t>mean</w:t>
      </w:r>
      <w:r>
        <w:rPr>
          <w:color w:val="231F20"/>
          <w:spacing w:val="-5"/>
        </w:rPr>
        <w:t> </w:t>
      </w:r>
      <w:r>
        <w:rPr>
          <w:color w:val="231F20"/>
        </w:rPr>
        <w:t>of</w:t>
      </w:r>
      <w:r>
        <w:rPr>
          <w:color w:val="231F20"/>
          <w:spacing w:val="-5"/>
        </w:rPr>
        <w:t> </w:t>
      </w:r>
      <w:r>
        <w:rPr>
          <w:color w:val="231F20"/>
          <w:spacing w:val="-1"/>
        </w:rPr>
        <w:t>1,000.</w:t>
      </w:r>
      <w:r>
        <w:rPr>
          <w:color w:val="231F20"/>
          <w:spacing w:val="-5"/>
        </w:rPr>
        <w:t> </w:t>
      </w:r>
      <w:r>
        <w:rPr>
          <w:color w:val="231F20"/>
        </w:rPr>
        <w:t>The</w:t>
      </w:r>
      <w:r>
        <w:rPr>
          <w:color w:val="231F20"/>
          <w:spacing w:val="-5"/>
        </w:rPr>
        <w:t> </w:t>
      </w:r>
      <w:r>
        <w:rPr>
          <w:color w:val="231F20"/>
          <w:spacing w:val="-1"/>
        </w:rPr>
        <w:t>limited</w:t>
      </w:r>
      <w:r>
        <w:rPr>
          <w:color w:val="231F20"/>
          <w:spacing w:val="-5"/>
        </w:rPr>
        <w:t> </w:t>
      </w:r>
      <w:r>
        <w:rPr>
          <w:color w:val="231F20"/>
        </w:rPr>
        <w:t>disadvantage</w:t>
      </w:r>
      <w:r>
        <w:rPr>
          <w:color w:val="231F20"/>
          <w:spacing w:val="24"/>
          <w:w w:val="99"/>
        </w:rPr>
        <w:t> </w:t>
      </w:r>
      <w:r>
        <w:rPr>
          <w:color w:val="231F20"/>
        </w:rPr>
        <w:t>of</w:t>
      </w:r>
      <w:r>
        <w:rPr>
          <w:color w:val="231F20"/>
          <w:spacing w:val="-5"/>
        </w:rPr>
        <w:t> </w:t>
      </w:r>
      <w:r>
        <w:rPr>
          <w:color w:val="231F20"/>
        </w:rPr>
        <w:t>the</w:t>
      </w:r>
      <w:r>
        <w:rPr>
          <w:color w:val="231F20"/>
          <w:spacing w:val="-6"/>
        </w:rPr>
        <w:t> </w:t>
      </w:r>
      <w:r>
        <w:rPr>
          <w:color w:val="231F20"/>
          <w:spacing w:val="-1"/>
        </w:rPr>
        <w:t>mainstream</w:t>
      </w:r>
      <w:r>
        <w:rPr>
          <w:color w:val="231F20"/>
          <w:spacing w:val="-4"/>
        </w:rPr>
        <w:t> </w:t>
      </w:r>
      <w:r>
        <w:rPr>
          <w:color w:val="231F20"/>
        </w:rPr>
        <w:t>boarding</w:t>
      </w:r>
      <w:r>
        <w:rPr>
          <w:color w:val="231F20"/>
          <w:spacing w:val="-6"/>
        </w:rPr>
        <w:t> </w:t>
      </w:r>
      <w:r>
        <w:rPr>
          <w:color w:val="231F20"/>
        </w:rPr>
        <w:t>providers</w:t>
      </w:r>
      <w:r>
        <w:rPr>
          <w:color w:val="231F20"/>
          <w:spacing w:val="-6"/>
        </w:rPr>
        <w:t> </w:t>
      </w:r>
      <w:r>
        <w:rPr>
          <w:color w:val="231F20"/>
        </w:rPr>
        <w:t>and</w:t>
      </w:r>
      <w:r>
        <w:rPr>
          <w:color w:val="231F20"/>
          <w:spacing w:val="22"/>
          <w:w w:val="99"/>
        </w:rPr>
        <w:t> </w:t>
      </w:r>
      <w:r>
        <w:rPr>
          <w:color w:val="231F20"/>
        </w:rPr>
        <w:t>their</w:t>
      </w:r>
      <w:r>
        <w:rPr>
          <w:color w:val="231F20"/>
          <w:spacing w:val="-7"/>
        </w:rPr>
        <w:t> </w:t>
      </w:r>
      <w:r>
        <w:rPr>
          <w:color w:val="231F20"/>
          <w:spacing w:val="-1"/>
        </w:rPr>
        <w:t>student</w:t>
      </w:r>
      <w:r>
        <w:rPr>
          <w:color w:val="231F20"/>
          <w:spacing w:val="-6"/>
        </w:rPr>
        <w:t> </w:t>
      </w:r>
      <w:r>
        <w:rPr>
          <w:color w:val="231F20"/>
        </w:rPr>
        <w:t>population</w:t>
      </w:r>
      <w:r>
        <w:rPr>
          <w:color w:val="231F20"/>
          <w:spacing w:val="-7"/>
        </w:rPr>
        <w:t> </w:t>
      </w:r>
      <w:r>
        <w:rPr>
          <w:color w:val="231F20"/>
        </w:rPr>
        <w:t>provides</w:t>
      </w:r>
      <w:r>
        <w:rPr>
          <w:color w:val="231F20"/>
          <w:spacing w:val="-7"/>
        </w:rPr>
        <w:t> </w:t>
      </w:r>
      <w:r>
        <w:rPr>
          <w:color w:val="231F20"/>
        </w:rPr>
        <w:t>a</w:t>
      </w:r>
      <w:r>
        <w:rPr>
          <w:color w:val="231F20"/>
          <w:spacing w:val="-5"/>
        </w:rPr>
        <w:t> </w:t>
      </w:r>
      <w:r>
        <w:rPr>
          <w:color w:val="231F20"/>
        </w:rPr>
        <w:t>useful</w:t>
      </w:r>
      <w:r>
        <w:rPr>
          <w:color w:val="231F20"/>
          <w:spacing w:val="22"/>
        </w:rPr>
        <w:t> </w:t>
      </w:r>
      <w:r>
        <w:rPr>
          <w:color w:val="231F20"/>
        </w:rPr>
        <w:t>benchmark</w:t>
      </w:r>
      <w:r>
        <w:rPr>
          <w:color w:val="231F20"/>
          <w:spacing w:val="-7"/>
        </w:rPr>
        <w:t> </w:t>
      </w:r>
      <w:r>
        <w:rPr>
          <w:color w:val="231F20"/>
        </w:rPr>
        <w:t>for</w:t>
      </w:r>
      <w:r>
        <w:rPr>
          <w:color w:val="231F20"/>
          <w:spacing w:val="-7"/>
        </w:rPr>
        <w:t> </w:t>
      </w:r>
      <w:r>
        <w:rPr>
          <w:color w:val="231F20"/>
        </w:rPr>
        <w:t>estimating</w:t>
      </w:r>
      <w:r>
        <w:rPr>
          <w:color w:val="231F20"/>
          <w:spacing w:val="-7"/>
        </w:rPr>
        <w:t> </w:t>
      </w:r>
      <w:r>
        <w:rPr>
          <w:color w:val="231F20"/>
        </w:rPr>
        <w:t>the</w:t>
      </w:r>
      <w:r>
        <w:rPr>
          <w:color w:val="231F20"/>
          <w:spacing w:val="-6"/>
        </w:rPr>
        <w:t> </w:t>
      </w:r>
      <w:r>
        <w:rPr>
          <w:color w:val="231F20"/>
        </w:rPr>
        <w:t>additional</w:t>
      </w:r>
      <w:r>
        <w:rPr>
          <w:color w:val="231F20"/>
          <w:w w:val="99"/>
        </w:rPr>
        <w:t> </w:t>
      </w:r>
      <w:r>
        <w:rPr>
          <w:color w:val="231F20"/>
        </w:rPr>
        <w:t>cost</w:t>
      </w:r>
      <w:r>
        <w:rPr>
          <w:color w:val="231F20"/>
          <w:spacing w:val="-6"/>
        </w:rPr>
        <w:t> </w:t>
      </w:r>
      <w:r>
        <w:rPr>
          <w:color w:val="231F20"/>
        </w:rPr>
        <w:t>of</w:t>
      </w:r>
      <w:r>
        <w:rPr>
          <w:color w:val="231F20"/>
          <w:spacing w:val="-4"/>
        </w:rPr>
        <w:t> </w:t>
      </w:r>
      <w:r>
        <w:rPr>
          <w:color w:val="231F20"/>
        </w:rPr>
        <w:t>boarding</w:t>
      </w:r>
      <w:r>
        <w:rPr>
          <w:color w:val="231F20"/>
          <w:spacing w:val="-5"/>
        </w:rPr>
        <w:t> </w:t>
      </w:r>
      <w:r>
        <w:rPr>
          <w:color w:val="231F20"/>
          <w:spacing w:val="-1"/>
        </w:rPr>
        <w:t>services</w:t>
      </w:r>
      <w:r>
        <w:rPr>
          <w:color w:val="231F20"/>
          <w:spacing w:val="-4"/>
        </w:rPr>
        <w:t> </w:t>
      </w:r>
      <w:r>
        <w:rPr>
          <w:color w:val="231F20"/>
        </w:rPr>
        <w:t>for</w:t>
      </w:r>
      <w:r>
        <w:rPr>
          <w:color w:val="231F20"/>
          <w:spacing w:val="-4"/>
        </w:rPr>
        <w:t> </w:t>
      </w:r>
      <w:r>
        <w:rPr>
          <w:color w:val="231F20"/>
        </w:rPr>
        <w:t>Aboriginal</w:t>
      </w:r>
      <w:r>
        <w:rPr>
          <w:color w:val="231F20"/>
          <w:spacing w:val="-4"/>
        </w:rPr>
        <w:t> </w:t>
      </w:r>
      <w:r>
        <w:rPr>
          <w:color w:val="231F20"/>
        </w:rPr>
        <w:t>and</w:t>
      </w:r>
      <w:r>
        <w:rPr/>
      </w:r>
    </w:p>
    <w:p>
      <w:pPr>
        <w:pStyle w:val="BodyText"/>
        <w:spacing w:line="250" w:lineRule="exact"/>
        <w:ind w:left="100" w:right="1"/>
        <w:jc w:val="left"/>
      </w:pPr>
      <w:r>
        <w:rPr>
          <w:color w:val="231F20"/>
          <w:spacing w:val="-5"/>
        </w:rPr>
        <w:t>Torres </w:t>
      </w:r>
      <w:r>
        <w:rPr>
          <w:color w:val="231F20"/>
          <w:spacing w:val="-2"/>
        </w:rPr>
        <w:t>Strait</w:t>
      </w:r>
      <w:r>
        <w:rPr>
          <w:color w:val="231F20"/>
          <w:spacing w:val="-6"/>
        </w:rPr>
        <w:t> </w:t>
      </w:r>
      <w:r>
        <w:rPr>
          <w:color w:val="231F20"/>
          <w:spacing w:val="-1"/>
        </w:rPr>
        <w:t>Islander</w:t>
      </w:r>
      <w:r>
        <w:rPr>
          <w:color w:val="231F20"/>
          <w:spacing w:val="-4"/>
        </w:rPr>
        <w:t> </w:t>
      </w:r>
      <w:r>
        <w:rPr>
          <w:color w:val="231F20"/>
          <w:spacing w:val="-1"/>
        </w:rPr>
        <w:t>students</w:t>
      </w:r>
      <w:r>
        <w:rPr>
          <w:color w:val="231F20"/>
          <w:spacing w:val="-5"/>
        </w:rPr>
        <w:t> </w:t>
      </w:r>
      <w:r>
        <w:rPr>
          <w:color w:val="231F20"/>
        </w:rPr>
        <w:t>and</w:t>
      </w:r>
      <w:r>
        <w:rPr>
          <w:color w:val="231F20"/>
          <w:spacing w:val="-5"/>
        </w:rPr>
        <w:t> </w:t>
      </w:r>
      <w:r>
        <w:rPr>
          <w:color w:val="231F20"/>
        </w:rPr>
        <w:t>comparing</w:t>
      </w:r>
      <w:r>
        <w:rPr>
          <w:color w:val="231F20"/>
          <w:spacing w:val="23"/>
          <w:w w:val="99"/>
        </w:rPr>
        <w:t> </w:t>
      </w:r>
      <w:r>
        <w:rPr>
          <w:color w:val="231F20"/>
        </w:rPr>
        <w:t>educational</w:t>
      </w:r>
      <w:r>
        <w:rPr>
          <w:color w:val="231F20"/>
          <w:spacing w:val="-9"/>
        </w:rPr>
        <w:t> </w:t>
      </w:r>
      <w:r>
        <w:rPr>
          <w:color w:val="231F20"/>
          <w:spacing w:val="-1"/>
        </w:rPr>
        <w:t>indicators.</w:t>
      </w:r>
      <w:r>
        <w:rPr>
          <w:color w:val="231F20"/>
          <w:spacing w:val="-8"/>
        </w:rPr>
        <w:t> </w:t>
      </w:r>
      <w:r>
        <w:rPr>
          <w:color w:val="231F20"/>
        </w:rPr>
        <w:t>As</w:t>
      </w:r>
      <w:r>
        <w:rPr>
          <w:color w:val="231F20"/>
          <w:spacing w:val="-8"/>
        </w:rPr>
        <w:t> </w:t>
      </w:r>
      <w:r>
        <w:rPr>
          <w:color w:val="231F20"/>
        </w:rPr>
        <w:t>expected</w:t>
      </w:r>
      <w:r>
        <w:rPr>
          <w:color w:val="231F20"/>
          <w:spacing w:val="-8"/>
        </w:rPr>
        <w:t> </w:t>
      </w:r>
      <w:r>
        <w:rPr>
          <w:color w:val="231F20"/>
        </w:rPr>
        <w:t>the</w:t>
      </w:r>
      <w:r>
        <w:rPr>
          <w:color w:val="231F20"/>
          <w:spacing w:val="22"/>
          <w:w w:val="99"/>
        </w:rPr>
        <w:t> </w:t>
      </w:r>
      <w:r>
        <w:rPr>
          <w:color w:val="231F20"/>
        </w:rPr>
        <w:t>NAPLAN</w:t>
      </w:r>
      <w:r>
        <w:rPr>
          <w:color w:val="231F20"/>
          <w:spacing w:val="-6"/>
        </w:rPr>
        <w:t> </w:t>
      </w:r>
      <w:r>
        <w:rPr>
          <w:color w:val="231F20"/>
        </w:rPr>
        <w:t>results</w:t>
      </w:r>
      <w:r>
        <w:rPr>
          <w:color w:val="231F20"/>
          <w:spacing w:val="-5"/>
        </w:rPr>
        <w:t> </w:t>
      </w:r>
      <w:r>
        <w:rPr>
          <w:color w:val="231F20"/>
        </w:rPr>
        <w:t>and</w:t>
      </w:r>
      <w:r>
        <w:rPr>
          <w:color w:val="231F20"/>
          <w:spacing w:val="-6"/>
        </w:rPr>
        <w:t> </w:t>
      </w:r>
      <w:r>
        <w:rPr>
          <w:color w:val="231F20"/>
        </w:rPr>
        <w:t>attendance</w:t>
      </w:r>
      <w:r>
        <w:rPr>
          <w:color w:val="231F20"/>
          <w:spacing w:val="-6"/>
        </w:rPr>
        <w:t> </w:t>
      </w:r>
      <w:r>
        <w:rPr>
          <w:color w:val="231F20"/>
        </w:rPr>
        <w:t>rates</w:t>
      </w:r>
      <w:r>
        <w:rPr>
          <w:color w:val="231F20"/>
          <w:spacing w:val="-6"/>
        </w:rPr>
        <w:t> </w:t>
      </w:r>
      <w:r>
        <w:rPr>
          <w:color w:val="231F20"/>
        </w:rPr>
        <w:t>for</w:t>
      </w:r>
      <w:r>
        <w:rPr>
          <w:color w:val="231F20"/>
          <w:spacing w:val="25"/>
          <w:w w:val="99"/>
        </w:rPr>
        <w:t> </w:t>
      </w:r>
      <w:r>
        <w:rPr>
          <w:color w:val="231F20"/>
          <w:spacing w:val="-1"/>
        </w:rPr>
        <w:t>students</w:t>
      </w:r>
      <w:r>
        <w:rPr>
          <w:color w:val="231F20"/>
          <w:spacing w:val="-5"/>
        </w:rPr>
        <w:t> </w:t>
      </w:r>
      <w:r>
        <w:rPr>
          <w:color w:val="231F20"/>
        </w:rPr>
        <w:t>at</w:t>
      </w:r>
      <w:r>
        <w:rPr>
          <w:color w:val="231F20"/>
          <w:spacing w:val="-4"/>
        </w:rPr>
        <w:t> </w:t>
      </w:r>
      <w:r>
        <w:rPr>
          <w:color w:val="231F20"/>
        </w:rPr>
        <w:t>the</w:t>
      </w:r>
      <w:r>
        <w:rPr>
          <w:color w:val="231F20"/>
          <w:spacing w:val="-5"/>
        </w:rPr>
        <w:t> </w:t>
      </w:r>
      <w:r>
        <w:rPr>
          <w:color w:val="231F20"/>
          <w:spacing w:val="-1"/>
        </w:rPr>
        <w:t>mainstream</w:t>
      </w:r>
      <w:r>
        <w:rPr>
          <w:color w:val="231F20"/>
          <w:spacing w:val="-3"/>
        </w:rPr>
        <w:t> </w:t>
      </w:r>
      <w:r>
        <w:rPr>
          <w:color w:val="231F20"/>
        </w:rPr>
        <w:t>boarding</w:t>
      </w:r>
      <w:r>
        <w:rPr>
          <w:color w:val="231F20"/>
          <w:spacing w:val="-5"/>
        </w:rPr>
        <w:t> </w:t>
      </w:r>
      <w:r>
        <w:rPr>
          <w:color w:val="231F20"/>
        </w:rPr>
        <w:t>providers</w:t>
      </w:r>
      <w:r>
        <w:rPr>
          <w:color w:val="231F20"/>
          <w:spacing w:val="23"/>
          <w:w w:val="99"/>
        </w:rPr>
        <w:t> </w:t>
      </w:r>
      <w:r>
        <w:rPr>
          <w:rFonts w:ascii="Segoe UI"/>
          <w:color w:val="231F20"/>
        </w:rPr>
        <w:t>exceeded the comparable figures for even the</w:t>
      </w:r>
      <w:r>
        <w:rPr>
          <w:rFonts w:ascii="Segoe UI"/>
          <w:color w:val="231F20"/>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6"/>
        </w:rPr>
        <w:t> </w:t>
      </w:r>
      <w:r>
        <w:rPr>
          <w:color w:val="231F20"/>
        </w:rPr>
        <w:t>within</w:t>
      </w:r>
      <w:r>
        <w:rPr>
          <w:color w:val="231F20"/>
          <w:spacing w:val="-6"/>
        </w:rPr>
        <w:t> </w:t>
      </w:r>
      <w:r>
        <w:rPr>
          <w:color w:val="231F20"/>
        </w:rPr>
        <w:t>the</w:t>
      </w:r>
      <w:r>
        <w:rPr>
          <w:color w:val="231F20"/>
          <w:spacing w:val="-6"/>
        </w:rPr>
        <w:t> </w:t>
      </w:r>
      <w:r>
        <w:rPr>
          <w:color w:val="231F20"/>
        </w:rPr>
        <w:t>cluster</w:t>
      </w:r>
      <w:r>
        <w:rPr>
          <w:color w:val="231F20"/>
          <w:spacing w:val="-6"/>
        </w:rPr>
        <w:t> </w:t>
      </w:r>
      <w:r>
        <w:rPr>
          <w:color w:val="231F20"/>
        </w:rPr>
        <w:t>of</w:t>
      </w:r>
      <w:r>
        <w:rPr>
          <w:color w:val="231F20"/>
          <w:spacing w:val="-5"/>
        </w:rPr>
        <w:t> </w:t>
      </w:r>
      <w:r>
        <w:rPr>
          <w:color w:val="231F20"/>
        </w:rPr>
        <w:t>higher</w:t>
      </w:r>
      <w:r>
        <w:rPr>
          <w:color w:val="231F20"/>
          <w:spacing w:val="-6"/>
        </w:rPr>
        <w:t> </w:t>
      </w:r>
      <w:r>
        <w:rPr>
          <w:color w:val="231F20"/>
          <w:spacing w:val="-1"/>
        </w:rPr>
        <w:t>ICSEA</w:t>
      </w:r>
      <w:r>
        <w:rPr>
          <w:color w:val="231F20"/>
          <w:spacing w:val="20"/>
        </w:rPr>
        <w:t> </w:t>
      </w:r>
      <w:r>
        <w:rPr>
          <w:rFonts w:ascii="Segoe UI"/>
          <w:color w:val="231F20"/>
        </w:rPr>
        <w:t>scores. By way of emphasis, the figures for the</w:t>
      </w:r>
      <w:r>
        <w:rPr>
          <w:rFonts w:ascii="Segoe UI"/>
          <w:color w:val="231F20"/>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w:t>
      </w:r>
      <w:r>
        <w:rPr>
          <w:color w:val="231F20"/>
          <w:spacing w:val="-6"/>
        </w:rPr>
        <w:t> </w:t>
      </w:r>
      <w:r>
        <w:rPr>
          <w:color w:val="231F20"/>
        </w:rPr>
        <w:t>with</w:t>
      </w:r>
      <w:r>
        <w:rPr>
          <w:color w:val="231F20"/>
          <w:spacing w:val="-5"/>
        </w:rPr>
        <w:t> </w:t>
      </w:r>
      <w:r>
        <w:rPr>
          <w:color w:val="231F20"/>
        </w:rPr>
        <w:t>the</w:t>
      </w:r>
      <w:r>
        <w:rPr>
          <w:color w:val="231F20"/>
          <w:spacing w:val="-5"/>
        </w:rPr>
        <w:t> </w:t>
      </w:r>
      <w:r>
        <w:rPr>
          <w:color w:val="231F20"/>
        </w:rPr>
        <w:t>highest</w:t>
      </w:r>
      <w:r>
        <w:rPr>
          <w:color w:val="231F20"/>
          <w:spacing w:val="-5"/>
        </w:rPr>
        <w:t> </w:t>
      </w:r>
      <w:r>
        <w:rPr>
          <w:color w:val="231F20"/>
          <w:spacing w:val="-1"/>
        </w:rPr>
        <w:t>ICSEA</w:t>
      </w:r>
      <w:r>
        <w:rPr>
          <w:color w:val="231F20"/>
          <w:spacing w:val="-4"/>
        </w:rPr>
        <w:t> </w:t>
      </w:r>
      <w:r>
        <w:rPr>
          <w:color w:val="231F20"/>
          <w:spacing w:val="-1"/>
        </w:rPr>
        <w:t>score</w:t>
      </w:r>
      <w:r>
        <w:rPr>
          <w:color w:val="231F20"/>
          <w:spacing w:val="-4"/>
        </w:rPr>
        <w:t> </w:t>
      </w:r>
      <w:r>
        <w:rPr>
          <w:color w:val="231F20"/>
        </w:rPr>
        <w:t>(1,077)</w:t>
      </w:r>
      <w:r>
        <w:rPr>
          <w:color w:val="231F20"/>
          <w:spacing w:val="23"/>
          <w:w w:val="99"/>
        </w:rPr>
        <w:t> </w:t>
      </w:r>
      <w:r>
        <w:rPr>
          <w:color w:val="231F20"/>
        </w:rPr>
        <w:t>were</w:t>
      </w:r>
      <w:r>
        <w:rPr>
          <w:color w:val="231F20"/>
          <w:spacing w:val="-6"/>
        </w:rPr>
        <w:t> </w:t>
      </w:r>
      <w:r>
        <w:rPr>
          <w:color w:val="231F20"/>
        </w:rPr>
        <w:t>below</w:t>
      </w:r>
      <w:r>
        <w:rPr>
          <w:color w:val="231F20"/>
          <w:spacing w:val="-5"/>
        </w:rPr>
        <w:t> </w:t>
      </w:r>
      <w:r>
        <w:rPr>
          <w:color w:val="231F20"/>
        </w:rPr>
        <w:t>the</w:t>
      </w:r>
      <w:r>
        <w:rPr>
          <w:color w:val="231F20"/>
          <w:spacing w:val="-5"/>
        </w:rPr>
        <w:t> </w:t>
      </w:r>
      <w:r>
        <w:rPr>
          <w:color w:val="231F20"/>
        </w:rPr>
        <w:t>averages</w:t>
      </w:r>
      <w:r>
        <w:rPr>
          <w:color w:val="231F20"/>
          <w:spacing w:val="-5"/>
        </w:rPr>
        <w:t> </w:t>
      </w:r>
      <w:r>
        <w:rPr>
          <w:color w:val="231F20"/>
        </w:rPr>
        <w:t>for</w:t>
      </w:r>
      <w:r>
        <w:rPr>
          <w:color w:val="231F20"/>
          <w:spacing w:val="-5"/>
        </w:rPr>
        <w:t> </w:t>
      </w:r>
      <w:r>
        <w:rPr>
          <w:color w:val="231F20"/>
        </w:rPr>
        <w:t>the</w:t>
      </w:r>
      <w:r>
        <w:rPr>
          <w:color w:val="231F20"/>
          <w:spacing w:val="-5"/>
        </w:rPr>
        <w:t> </w:t>
      </w:r>
      <w:r>
        <w:rPr>
          <w:color w:val="231F20"/>
          <w:spacing w:val="-1"/>
        </w:rPr>
        <w:t>mainstream</w:t>
      </w:r>
      <w:r>
        <w:rPr>
          <w:color w:val="231F20"/>
          <w:spacing w:val="20"/>
        </w:rPr>
        <w:t> </w:t>
      </w:r>
      <w:r>
        <w:rPr>
          <w:color w:val="231F20"/>
        </w:rPr>
        <w:t>boarding</w:t>
      </w:r>
      <w:r>
        <w:rPr>
          <w:color w:val="231F20"/>
          <w:spacing w:val="-18"/>
        </w:rPr>
        <w:t> </w:t>
      </w:r>
      <w:r>
        <w:rPr>
          <w:color w:val="231F20"/>
        </w:rPr>
        <w:t>providers.</w:t>
      </w:r>
      <w:r>
        <w:rPr/>
      </w:r>
    </w:p>
    <w:p>
      <w:pPr>
        <w:pStyle w:val="BodyText"/>
        <w:spacing w:line="250" w:lineRule="exact" w:before="62"/>
        <w:ind w:left="100" w:right="132"/>
        <w:jc w:val="left"/>
      </w:pPr>
      <w:r>
        <w:rPr/>
        <w:br w:type="column"/>
      </w:r>
      <w:r>
        <w:rPr>
          <w:color w:val="231F20"/>
          <w:spacing w:val="-1"/>
        </w:rPr>
        <w:t>What</w:t>
      </w:r>
      <w:r>
        <w:rPr>
          <w:color w:val="231F20"/>
          <w:spacing w:val="-5"/>
        </w:rPr>
        <w:t> </w:t>
      </w:r>
      <w:r>
        <w:rPr>
          <w:color w:val="231F20"/>
          <w:spacing w:val="-1"/>
        </w:rPr>
        <w:t>is</w:t>
      </w:r>
      <w:r>
        <w:rPr>
          <w:color w:val="231F20"/>
          <w:spacing w:val="-6"/>
        </w:rPr>
        <w:t> </w:t>
      </w:r>
      <w:r>
        <w:rPr>
          <w:color w:val="231F20"/>
        </w:rPr>
        <w:t>the</w:t>
      </w:r>
      <w:r>
        <w:rPr>
          <w:color w:val="231F20"/>
          <w:spacing w:val="-5"/>
        </w:rPr>
        <w:t> </w:t>
      </w:r>
      <w:r>
        <w:rPr>
          <w:color w:val="231F20"/>
        </w:rPr>
        <w:t>actual</w:t>
      </w:r>
      <w:r>
        <w:rPr>
          <w:color w:val="231F20"/>
          <w:spacing w:val="-6"/>
        </w:rPr>
        <w:t> </w:t>
      </w:r>
      <w:r>
        <w:rPr>
          <w:color w:val="231F20"/>
        </w:rPr>
        <w:t>cost</w:t>
      </w:r>
      <w:r>
        <w:rPr>
          <w:color w:val="231F20"/>
          <w:spacing w:val="-5"/>
        </w:rPr>
        <w:t> </w:t>
      </w:r>
      <w:r>
        <w:rPr>
          <w:color w:val="231F20"/>
        </w:rPr>
        <w:t>of</w:t>
      </w:r>
      <w:r>
        <w:rPr>
          <w:color w:val="231F20"/>
          <w:spacing w:val="-5"/>
        </w:rPr>
        <w:t> </w:t>
      </w:r>
      <w:r>
        <w:rPr>
          <w:color w:val="231F20"/>
        </w:rPr>
        <w:t>providing</w:t>
      </w:r>
      <w:r>
        <w:rPr>
          <w:color w:val="231F20"/>
          <w:spacing w:val="-5"/>
        </w:rPr>
        <w:t> </w:t>
      </w:r>
      <w:r>
        <w:rPr>
          <w:color w:val="231F20"/>
        </w:rPr>
        <w:t>additional</w:t>
      </w:r>
      <w:r>
        <w:rPr>
          <w:color w:val="231F20"/>
          <w:spacing w:val="23"/>
          <w:w w:val="99"/>
        </w:rPr>
        <w:t> </w:t>
      </w:r>
      <w:r>
        <w:rPr>
          <w:color w:val="231F20"/>
          <w:spacing w:val="-1"/>
        </w:rPr>
        <w:t>support</w:t>
      </w:r>
      <w:r>
        <w:rPr>
          <w:color w:val="231F20"/>
          <w:spacing w:val="-6"/>
        </w:rPr>
        <w:t> </w:t>
      </w:r>
      <w:r>
        <w:rPr>
          <w:color w:val="231F20"/>
          <w:spacing w:val="-1"/>
        </w:rPr>
        <w:t>services</w:t>
      </w:r>
      <w:r>
        <w:rPr>
          <w:color w:val="231F20"/>
          <w:spacing w:val="-5"/>
        </w:rPr>
        <w:t> </w:t>
      </w:r>
      <w:r>
        <w:rPr>
          <w:color w:val="231F20"/>
        </w:rPr>
        <w:t>to</w:t>
      </w:r>
      <w:r>
        <w:rPr>
          <w:color w:val="231F20"/>
          <w:spacing w:val="-6"/>
        </w:rPr>
        <w:t> </w:t>
      </w:r>
      <w:r>
        <w:rPr>
          <w:color w:val="231F20"/>
        </w:rPr>
        <w:t>address</w:t>
      </w:r>
      <w:r>
        <w:rPr>
          <w:color w:val="231F20"/>
          <w:spacing w:val="-6"/>
        </w:rPr>
        <w:t> </w:t>
      </w:r>
      <w:r>
        <w:rPr>
          <w:color w:val="231F20"/>
        </w:rPr>
        <w:t>the</w:t>
      </w:r>
      <w:r>
        <w:rPr>
          <w:color w:val="231F20"/>
          <w:spacing w:val="-6"/>
        </w:rPr>
        <w:t> </w:t>
      </w:r>
      <w:r>
        <w:rPr>
          <w:color w:val="231F20"/>
        </w:rPr>
        <w:t>disadvantage</w:t>
      </w:r>
      <w:r>
        <w:rPr>
          <w:color w:val="231F20"/>
          <w:spacing w:val="-6"/>
        </w:rPr>
        <w:t> </w:t>
      </w:r>
      <w:r>
        <w:rPr>
          <w:color w:val="231F20"/>
        </w:rPr>
        <w:t>of</w:t>
      </w:r>
      <w:r>
        <w:rPr>
          <w:color w:val="231F20"/>
          <w:spacing w:val="23"/>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spacing w:val="-1"/>
        </w:rPr>
        <w:t>students?</w:t>
      </w:r>
      <w:r>
        <w:rPr/>
      </w:r>
    </w:p>
    <w:p>
      <w:pPr>
        <w:pStyle w:val="BodyText"/>
        <w:spacing w:line="250" w:lineRule="exact" w:before="113"/>
        <w:ind w:left="100" w:right="247"/>
        <w:jc w:val="left"/>
      </w:pPr>
      <w:r>
        <w:rPr>
          <w:rFonts w:ascii="Segoe UI" w:hAnsi="Segoe UI" w:cs="Segoe UI" w:eastAsia="Segoe UI"/>
          <w:color w:val="231F20"/>
        </w:rPr>
        <w:t>As</w:t>
      </w:r>
      <w:r>
        <w:rPr>
          <w:rFonts w:ascii="Segoe UI" w:hAnsi="Segoe UI" w:cs="Segoe UI" w:eastAsia="Segoe UI"/>
          <w:color w:val="231F20"/>
          <w:spacing w:val="-2"/>
        </w:rPr>
        <w:t> </w:t>
      </w:r>
      <w:r>
        <w:rPr>
          <w:rFonts w:ascii="Segoe UI" w:hAnsi="Segoe UI" w:cs="Segoe UI" w:eastAsia="Segoe UI"/>
          <w:color w:val="231F20"/>
        </w:rPr>
        <w:t>expected,</w:t>
      </w:r>
      <w:r>
        <w:rPr>
          <w:rFonts w:ascii="Segoe UI" w:hAnsi="Segoe UI" w:cs="Segoe UI" w:eastAsia="Segoe UI"/>
          <w:color w:val="231F20"/>
          <w:spacing w:val="-2"/>
        </w:rPr>
        <w:t> </w:t>
      </w:r>
      <w:r>
        <w:rPr>
          <w:rFonts w:ascii="Segoe UI" w:hAnsi="Segoe UI" w:cs="Segoe UI" w:eastAsia="Segoe UI"/>
          <w:color w:val="231F20"/>
        </w:rPr>
        <w:t>the</w:t>
      </w:r>
      <w:r>
        <w:rPr>
          <w:rFonts w:ascii="Segoe UI" w:hAnsi="Segoe UI" w:cs="Segoe UI" w:eastAsia="Segoe UI"/>
          <w:color w:val="231F20"/>
          <w:spacing w:val="-1"/>
        </w:rPr>
        <w:t> </w:t>
      </w:r>
      <w:r>
        <w:rPr>
          <w:rFonts w:ascii="Segoe UI" w:hAnsi="Segoe UI" w:cs="Segoe UI" w:eastAsia="Segoe UI"/>
          <w:color w:val="231F20"/>
        </w:rPr>
        <w:t>differential</w:t>
      </w:r>
      <w:r>
        <w:rPr>
          <w:rFonts w:ascii="Segoe UI" w:hAnsi="Segoe UI" w:cs="Segoe UI" w:eastAsia="Segoe UI"/>
          <w:color w:val="231F20"/>
          <w:spacing w:val="-2"/>
        </w:rPr>
        <w:t> </w:t>
      </w:r>
      <w:r>
        <w:rPr>
          <w:rFonts w:ascii="Segoe UI" w:hAnsi="Segoe UI" w:cs="Segoe UI" w:eastAsia="Segoe UI"/>
          <w:color w:val="231F20"/>
        </w:rPr>
        <w:t>in</w:t>
      </w:r>
      <w:r>
        <w:rPr>
          <w:rFonts w:ascii="Segoe UI" w:hAnsi="Segoe UI" w:cs="Segoe UI" w:eastAsia="Segoe UI"/>
          <w:color w:val="231F20"/>
          <w:spacing w:val="-1"/>
        </w:rPr>
        <w:t> </w:t>
      </w:r>
      <w:r>
        <w:rPr>
          <w:rFonts w:ascii="Segoe UI" w:hAnsi="Segoe UI" w:cs="Segoe UI" w:eastAsia="Segoe UI"/>
          <w:color w:val="231F20"/>
        </w:rPr>
        <w:t>boarding</w:t>
      </w:r>
      <w:r>
        <w:rPr>
          <w:rFonts w:ascii="Segoe UI" w:hAnsi="Segoe UI" w:cs="Segoe UI" w:eastAsia="Segoe UI"/>
          <w:color w:val="231F20"/>
          <w:spacing w:val="-2"/>
        </w:rPr>
        <w:t> </w:t>
      </w:r>
      <w:r>
        <w:rPr>
          <w:rFonts w:ascii="Segoe UI" w:hAnsi="Segoe UI" w:cs="Segoe UI" w:eastAsia="Segoe UI"/>
          <w:color w:val="231F20"/>
        </w:rPr>
        <w:t>costs</w:t>
      </w:r>
      <w:r>
        <w:rPr>
          <w:rFonts w:ascii="Segoe UI" w:hAnsi="Segoe UI" w:cs="Segoe UI" w:eastAsia="Segoe UI"/>
          <w:color w:val="231F20"/>
        </w:rPr>
        <w:t> </w:t>
      </w:r>
      <w:r>
        <w:rPr>
          <w:color w:val="231F20"/>
          <w:spacing w:val="-1"/>
        </w:rPr>
        <w:t>increases</w:t>
      </w:r>
      <w:r>
        <w:rPr>
          <w:color w:val="231F20"/>
          <w:spacing w:val="-8"/>
        </w:rPr>
        <w:t> </w:t>
      </w:r>
      <w:r>
        <w:rPr>
          <w:color w:val="231F20"/>
        </w:rPr>
        <w:t>as</w:t>
      </w:r>
      <w:r>
        <w:rPr>
          <w:color w:val="231F20"/>
          <w:spacing w:val="-9"/>
        </w:rPr>
        <w:t> </w:t>
      </w:r>
      <w:r>
        <w:rPr>
          <w:color w:val="231F20"/>
        </w:rPr>
        <w:t>disadvantage</w:t>
      </w:r>
      <w:r>
        <w:rPr>
          <w:color w:val="231F20"/>
          <w:spacing w:val="-9"/>
        </w:rPr>
        <w:t> </w:t>
      </w:r>
      <w:r>
        <w:rPr>
          <w:color w:val="231F20"/>
          <w:spacing w:val="-1"/>
        </w:rPr>
        <w:t>increases.</w:t>
      </w:r>
      <w:r>
        <w:rPr>
          <w:color w:val="231F20"/>
          <w:spacing w:val="-8"/>
        </w:rPr>
        <w:t> </w:t>
      </w:r>
      <w:r>
        <w:rPr>
          <w:color w:val="231F20"/>
        </w:rPr>
        <w:t>The</w:t>
      </w:r>
      <w:r>
        <w:rPr>
          <w:color w:val="231F20"/>
          <w:spacing w:val="23"/>
          <w:w w:val="99"/>
        </w:rPr>
        <w:t> </w:t>
      </w:r>
      <w:r>
        <w:rPr>
          <w:color w:val="231F20"/>
        </w:rPr>
        <w:t>average</w:t>
      </w:r>
      <w:r>
        <w:rPr>
          <w:color w:val="231F20"/>
          <w:spacing w:val="-7"/>
        </w:rPr>
        <w:t> </w:t>
      </w:r>
      <w:r>
        <w:rPr>
          <w:color w:val="231F20"/>
        </w:rPr>
        <w:t>annual</w:t>
      </w:r>
      <w:r>
        <w:rPr>
          <w:color w:val="231F20"/>
          <w:spacing w:val="-6"/>
        </w:rPr>
        <w:t> </w:t>
      </w:r>
      <w:r>
        <w:rPr>
          <w:color w:val="231F20"/>
        </w:rPr>
        <w:t>cost</w:t>
      </w:r>
      <w:r>
        <w:rPr>
          <w:color w:val="231F20"/>
          <w:spacing w:val="-7"/>
        </w:rPr>
        <w:t> </w:t>
      </w:r>
      <w:r>
        <w:rPr>
          <w:color w:val="231F20"/>
        </w:rPr>
        <w:t>of</w:t>
      </w:r>
      <w:r>
        <w:rPr>
          <w:color w:val="231F20"/>
          <w:spacing w:val="-5"/>
        </w:rPr>
        <w:t> </w:t>
      </w:r>
      <w:r>
        <w:rPr>
          <w:color w:val="231F20"/>
        </w:rPr>
        <w:t>boarding</w:t>
      </w:r>
      <w:r>
        <w:rPr>
          <w:color w:val="231F20"/>
          <w:spacing w:val="-7"/>
        </w:rPr>
        <w:t> </w:t>
      </w:r>
      <w:r>
        <w:rPr>
          <w:color w:val="231F20"/>
        </w:rPr>
        <w:t>per</w:t>
      </w:r>
      <w:r>
        <w:rPr>
          <w:color w:val="231F20"/>
          <w:spacing w:val="-5"/>
        </w:rPr>
        <w:t> </w:t>
      </w:r>
      <w:r>
        <w:rPr>
          <w:color w:val="231F20"/>
        </w:rPr>
        <w:t>boarder</w:t>
      </w:r>
      <w:r>
        <w:rPr>
          <w:color w:val="231F20"/>
          <w:w w:val="99"/>
        </w:rPr>
        <w:t> </w:t>
      </w:r>
      <w:r>
        <w:rPr>
          <w:color w:val="231F20"/>
        </w:rPr>
        <w:t>for</w:t>
      </w:r>
      <w:r>
        <w:rPr>
          <w:color w:val="231F20"/>
          <w:spacing w:val="-4"/>
        </w:rPr>
        <w:t> </w:t>
      </w:r>
      <w:r>
        <w:rPr>
          <w:color w:val="231F20"/>
        </w:rPr>
        <w:t>the</w:t>
      </w:r>
      <w:r>
        <w:rPr>
          <w:color w:val="231F20"/>
          <w:spacing w:val="-4"/>
        </w:rPr>
        <w:t> </w:t>
      </w:r>
      <w:r>
        <w:rPr>
          <w:color w:val="231F20"/>
        </w:rPr>
        <w:t>period</w:t>
      </w:r>
      <w:r>
        <w:rPr>
          <w:color w:val="231F20"/>
          <w:spacing w:val="-4"/>
        </w:rPr>
        <w:t> </w:t>
      </w:r>
      <w:r>
        <w:rPr>
          <w:color w:val="231F20"/>
        </w:rPr>
        <w:t>from</w:t>
      </w:r>
      <w:r>
        <w:rPr>
          <w:color w:val="231F20"/>
          <w:spacing w:val="-3"/>
        </w:rPr>
        <w:t> </w:t>
      </w:r>
      <w:r>
        <w:rPr>
          <w:color w:val="231F20"/>
          <w:spacing w:val="-1"/>
        </w:rPr>
        <w:t>2015</w:t>
      </w:r>
      <w:r>
        <w:rPr>
          <w:color w:val="231F20"/>
          <w:spacing w:val="-4"/>
        </w:rPr>
        <w:t> </w:t>
      </w:r>
      <w:r>
        <w:rPr>
          <w:color w:val="231F20"/>
        </w:rPr>
        <w:t>—</w:t>
      </w:r>
      <w:r>
        <w:rPr>
          <w:color w:val="231F20"/>
          <w:spacing w:val="-3"/>
        </w:rPr>
        <w:t> </w:t>
      </w:r>
      <w:r>
        <w:rPr>
          <w:color w:val="231F20"/>
          <w:spacing w:val="-1"/>
        </w:rPr>
        <w:t>2017</w:t>
      </w:r>
      <w:r>
        <w:rPr>
          <w:color w:val="231F20"/>
          <w:spacing w:val="-3"/>
        </w:rPr>
        <w:t> </w:t>
      </w:r>
      <w:r>
        <w:rPr>
          <w:color w:val="231F20"/>
        </w:rPr>
        <w:t>for</w:t>
      </w:r>
      <w:r>
        <w:rPr>
          <w:color w:val="231F20"/>
          <w:spacing w:val="-3"/>
        </w:rPr>
        <w:t> </w:t>
      </w:r>
      <w:r>
        <w:rPr>
          <w:color w:val="231F20"/>
        </w:rPr>
        <w:t>boarding</w:t>
      </w:r>
      <w:r>
        <w:rPr>
          <w:color w:val="231F20"/>
          <w:spacing w:val="23"/>
          <w:w w:val="99"/>
        </w:rPr>
        <w:t> </w:t>
      </w:r>
      <w:r>
        <w:rPr>
          <w:color w:val="231F20"/>
        </w:rPr>
        <w:t>providers</w:t>
      </w:r>
      <w:r>
        <w:rPr>
          <w:color w:val="231F20"/>
          <w:spacing w:val="-6"/>
        </w:rPr>
        <w:t> </w:t>
      </w:r>
      <w:r>
        <w:rPr>
          <w:color w:val="231F20"/>
        </w:rPr>
        <w:t>with</w:t>
      </w:r>
      <w:r>
        <w:rPr>
          <w:color w:val="231F20"/>
          <w:spacing w:val="-5"/>
        </w:rPr>
        <w:t> </w:t>
      </w:r>
      <w:r>
        <w:rPr>
          <w:color w:val="231F20"/>
        </w:rPr>
        <w:t>a</w:t>
      </w:r>
      <w:r>
        <w:rPr>
          <w:color w:val="231F20"/>
          <w:spacing w:val="-5"/>
        </w:rPr>
        <w:t> </w:t>
      </w:r>
      <w:r>
        <w:rPr>
          <w:color w:val="231F20"/>
          <w:spacing w:val="-1"/>
        </w:rPr>
        <w:t>lower</w:t>
      </w:r>
      <w:r>
        <w:rPr>
          <w:color w:val="231F20"/>
          <w:spacing w:val="-5"/>
        </w:rPr>
        <w:t> </w:t>
      </w:r>
      <w:r>
        <w:rPr>
          <w:color w:val="231F20"/>
          <w:spacing w:val="-1"/>
        </w:rPr>
        <w:t>ICSEA</w:t>
      </w:r>
      <w:r>
        <w:rPr>
          <w:color w:val="231F20"/>
          <w:spacing w:val="-4"/>
        </w:rPr>
        <w:t> </w:t>
      </w:r>
      <w:r>
        <w:rPr>
          <w:color w:val="231F20"/>
          <w:spacing w:val="-1"/>
        </w:rPr>
        <w:t>score</w:t>
      </w:r>
      <w:r>
        <w:rPr>
          <w:color w:val="231F20"/>
          <w:spacing w:val="-5"/>
        </w:rPr>
        <w:t> </w:t>
      </w:r>
      <w:r>
        <w:rPr>
          <w:color w:val="231F20"/>
        </w:rPr>
        <w:t>(&lt;800)</w:t>
      </w:r>
      <w:r>
        <w:rPr>
          <w:color w:val="231F20"/>
          <w:spacing w:val="-5"/>
        </w:rPr>
        <w:t> </w:t>
      </w:r>
      <w:r>
        <w:rPr>
          <w:color w:val="231F20"/>
        </w:rPr>
        <w:t>was</w:t>
      </w:r>
      <w:r>
        <w:rPr/>
      </w:r>
    </w:p>
    <w:p>
      <w:pPr>
        <w:pStyle w:val="BodyText"/>
        <w:spacing w:line="250" w:lineRule="exact"/>
        <w:ind w:left="100" w:right="247"/>
        <w:jc w:val="left"/>
        <w:rPr>
          <w:rFonts w:ascii="Segoe UI" w:hAnsi="Segoe UI" w:cs="Segoe UI" w:eastAsia="Segoe UI"/>
        </w:rPr>
      </w:pPr>
      <w:r>
        <w:rPr>
          <w:color w:val="231F20"/>
          <w:spacing w:val="-1"/>
        </w:rPr>
        <w:t>$23,591</w:t>
      </w:r>
      <w:r>
        <w:rPr>
          <w:color w:val="231F20"/>
          <w:spacing w:val="-5"/>
        </w:rPr>
        <w:t> </w:t>
      </w:r>
      <w:r>
        <w:rPr>
          <w:color w:val="231F20"/>
        </w:rPr>
        <w:t>compared</w:t>
      </w:r>
      <w:r>
        <w:rPr>
          <w:color w:val="231F20"/>
          <w:spacing w:val="-5"/>
        </w:rPr>
        <w:t> </w:t>
      </w:r>
      <w:r>
        <w:rPr>
          <w:color w:val="231F20"/>
        </w:rPr>
        <w:t>to</w:t>
      </w:r>
      <w:r>
        <w:rPr>
          <w:color w:val="231F20"/>
          <w:spacing w:val="-4"/>
        </w:rPr>
        <w:t> </w:t>
      </w:r>
      <w:r>
        <w:rPr>
          <w:color w:val="231F20"/>
          <w:spacing w:val="-1"/>
        </w:rPr>
        <w:t>$21,406</w:t>
      </w:r>
      <w:r>
        <w:rPr>
          <w:color w:val="231F20"/>
          <w:spacing w:val="-5"/>
        </w:rPr>
        <w:t> </w:t>
      </w:r>
      <w:r>
        <w:rPr>
          <w:color w:val="231F20"/>
        </w:rPr>
        <w:t>for</w:t>
      </w:r>
      <w:r>
        <w:rPr>
          <w:color w:val="231F20"/>
          <w:spacing w:val="-4"/>
        </w:rPr>
        <w:t> </w:t>
      </w:r>
      <w:r>
        <w:rPr>
          <w:color w:val="231F20"/>
        </w:rPr>
        <w:t>providers</w:t>
      </w:r>
      <w:r>
        <w:rPr>
          <w:color w:val="231F20"/>
          <w:spacing w:val="23"/>
          <w:w w:val="99"/>
        </w:rPr>
        <w:t> </w:t>
      </w:r>
      <w:r>
        <w:rPr>
          <w:color w:val="231F20"/>
        </w:rPr>
        <w:t>with</w:t>
      </w:r>
      <w:r>
        <w:rPr>
          <w:color w:val="231F20"/>
          <w:spacing w:val="-5"/>
        </w:rPr>
        <w:t> </w:t>
      </w:r>
      <w:r>
        <w:rPr>
          <w:color w:val="231F20"/>
        </w:rPr>
        <w:t>an</w:t>
      </w:r>
      <w:r>
        <w:rPr>
          <w:color w:val="231F20"/>
          <w:spacing w:val="-4"/>
        </w:rPr>
        <w:t> </w:t>
      </w:r>
      <w:r>
        <w:rPr>
          <w:color w:val="231F20"/>
          <w:spacing w:val="-1"/>
        </w:rPr>
        <w:t>ICSEA</w:t>
      </w:r>
      <w:r>
        <w:rPr>
          <w:color w:val="231F20"/>
          <w:spacing w:val="-4"/>
        </w:rPr>
        <w:t> </w:t>
      </w:r>
      <w:r>
        <w:rPr>
          <w:color w:val="231F20"/>
          <w:spacing w:val="-1"/>
        </w:rPr>
        <w:t>score</w:t>
      </w:r>
      <w:r>
        <w:rPr>
          <w:color w:val="231F20"/>
          <w:spacing w:val="-3"/>
        </w:rPr>
        <w:t> </w:t>
      </w:r>
      <w:r>
        <w:rPr>
          <w:color w:val="231F20"/>
        </w:rPr>
        <w:t>of</w:t>
      </w:r>
      <w:r>
        <w:rPr>
          <w:color w:val="231F20"/>
          <w:spacing w:val="-4"/>
        </w:rPr>
        <w:t> </w:t>
      </w:r>
      <w:r>
        <w:rPr>
          <w:color w:val="231F20"/>
        </w:rPr>
        <w:t>greater</w:t>
      </w:r>
      <w:r>
        <w:rPr>
          <w:color w:val="231F20"/>
          <w:spacing w:val="-4"/>
        </w:rPr>
        <w:t> </w:t>
      </w:r>
      <w:r>
        <w:rPr>
          <w:color w:val="231F20"/>
        </w:rPr>
        <w:t>than</w:t>
      </w:r>
      <w:r>
        <w:rPr>
          <w:color w:val="231F20"/>
          <w:spacing w:val="-4"/>
        </w:rPr>
        <w:t> </w:t>
      </w:r>
      <w:r>
        <w:rPr>
          <w:color w:val="231F20"/>
          <w:spacing w:val="-1"/>
        </w:rPr>
        <w:t>800,</w:t>
      </w:r>
      <w:r>
        <w:rPr>
          <w:color w:val="231F20"/>
          <w:spacing w:val="-4"/>
        </w:rPr>
        <w:t> </w:t>
      </w:r>
      <w:r>
        <w:rPr>
          <w:color w:val="231F20"/>
        </w:rPr>
        <w:t>a</w:t>
      </w:r>
      <w:r>
        <w:rPr>
          <w:color w:val="231F20"/>
          <w:spacing w:val="24"/>
          <w:w w:val="99"/>
        </w:rPr>
        <w:t> </w:t>
      </w:r>
      <w:r>
        <w:rPr>
          <w:rFonts w:ascii="Segoe UI"/>
          <w:color w:val="231F20"/>
        </w:rPr>
        <w:t>differential</w:t>
      </w:r>
      <w:r>
        <w:rPr>
          <w:rFonts w:ascii="Segoe UI"/>
          <w:color w:val="231F20"/>
          <w:spacing w:val="-2"/>
        </w:rPr>
        <w:t> </w:t>
      </w:r>
      <w:r>
        <w:rPr>
          <w:rFonts w:ascii="Segoe UI"/>
          <w:color w:val="231F20"/>
        </w:rPr>
        <w:t>of</w:t>
      </w:r>
      <w:r>
        <w:rPr>
          <w:rFonts w:ascii="Segoe UI"/>
          <w:color w:val="231F20"/>
          <w:spacing w:val="-2"/>
        </w:rPr>
        <w:t> </w:t>
      </w:r>
      <w:r>
        <w:rPr>
          <w:rFonts w:ascii="Segoe UI"/>
          <w:color w:val="231F20"/>
        </w:rPr>
        <w:t>$2,185</w:t>
      </w:r>
      <w:r>
        <w:rPr>
          <w:rFonts w:ascii="Segoe UI"/>
          <w:color w:val="231F20"/>
          <w:spacing w:val="-1"/>
        </w:rPr>
        <w:t> </w:t>
      </w:r>
      <w:r>
        <w:rPr>
          <w:rFonts w:ascii="Segoe UI"/>
          <w:color w:val="231F20"/>
        </w:rPr>
        <w:t>per</w:t>
      </w:r>
      <w:r>
        <w:rPr>
          <w:rFonts w:ascii="Segoe UI"/>
          <w:color w:val="231F20"/>
          <w:spacing w:val="-2"/>
        </w:rPr>
        <w:t> </w:t>
      </w:r>
      <w:r>
        <w:rPr>
          <w:rFonts w:ascii="Segoe UI"/>
          <w:color w:val="231F20"/>
        </w:rPr>
        <w:t>boarder.</w:t>
      </w:r>
      <w:r>
        <w:rPr>
          <w:rFonts w:ascii="Segoe UI"/>
          <w:color w:val="231F20"/>
          <w:spacing w:val="-1"/>
        </w:rPr>
        <w:t> </w:t>
      </w:r>
      <w:r>
        <w:rPr>
          <w:rFonts w:ascii="Segoe UI"/>
          <w:color w:val="231F20"/>
        </w:rPr>
        <w:t>However,</w:t>
      </w:r>
      <w:r>
        <w:rPr>
          <w:rFonts w:ascii="Segoe UI"/>
          <w:color w:val="231F20"/>
          <w:spacing w:val="-2"/>
        </w:rPr>
        <w:t> </w:t>
      </w:r>
      <w:r>
        <w:rPr>
          <w:rFonts w:ascii="Segoe UI"/>
          <w:color w:val="231F20"/>
        </w:rPr>
        <w:t>if</w:t>
      </w:r>
      <w:r>
        <w:rPr>
          <w:rFonts w:ascii="Segoe UI"/>
          <w:color w:val="231F20"/>
        </w:rPr>
        <w:t> </w:t>
      </w:r>
      <w:r>
        <w:rPr>
          <w:color w:val="231F20"/>
        </w:rPr>
        <w:t>the</w:t>
      </w:r>
      <w:r>
        <w:rPr>
          <w:color w:val="231F20"/>
          <w:spacing w:val="-7"/>
        </w:rPr>
        <w:t> </w:t>
      </w:r>
      <w:r>
        <w:rPr>
          <w:color w:val="231F20"/>
        </w:rPr>
        <w:t>boarding</w:t>
      </w:r>
      <w:r>
        <w:rPr>
          <w:color w:val="231F20"/>
          <w:spacing w:val="-6"/>
        </w:rPr>
        <w:t> </w:t>
      </w:r>
      <w:r>
        <w:rPr>
          <w:color w:val="231F20"/>
        </w:rPr>
        <w:t>providers</w:t>
      </w:r>
      <w:r>
        <w:rPr>
          <w:color w:val="231F20"/>
          <w:spacing w:val="-7"/>
        </w:rPr>
        <w:t> </w:t>
      </w:r>
      <w:r>
        <w:rPr>
          <w:color w:val="231F20"/>
        </w:rPr>
        <w:t>are</w:t>
      </w:r>
      <w:r>
        <w:rPr>
          <w:color w:val="231F20"/>
          <w:spacing w:val="-6"/>
        </w:rPr>
        <w:t> </w:t>
      </w:r>
      <w:r>
        <w:rPr>
          <w:color w:val="231F20"/>
        </w:rPr>
        <w:t>clustered</w:t>
      </w:r>
      <w:r>
        <w:rPr>
          <w:color w:val="231F20"/>
          <w:spacing w:val="-7"/>
        </w:rPr>
        <w:t> </w:t>
      </w:r>
      <w:r>
        <w:rPr>
          <w:color w:val="231F20"/>
        </w:rPr>
        <w:t>using</w:t>
      </w:r>
      <w:r>
        <w:rPr>
          <w:color w:val="231F20"/>
          <w:spacing w:val="-6"/>
        </w:rPr>
        <w:t> </w:t>
      </w:r>
      <w:r>
        <w:rPr>
          <w:color w:val="231F20"/>
        </w:rPr>
        <w:t>the</w:t>
      </w:r>
      <w:r>
        <w:rPr>
          <w:color w:val="231F20"/>
          <w:w w:val="99"/>
        </w:rPr>
        <w:t> </w:t>
      </w:r>
      <w:r>
        <w:rPr>
          <w:rFonts w:ascii="Segoe UI"/>
          <w:color w:val="231F20"/>
        </w:rPr>
        <w:t>mean</w:t>
      </w:r>
      <w:r>
        <w:rPr>
          <w:rFonts w:ascii="Segoe UI"/>
          <w:color w:val="231F20"/>
          <w:spacing w:val="-2"/>
        </w:rPr>
        <w:t> </w:t>
      </w:r>
      <w:r>
        <w:rPr>
          <w:rFonts w:ascii="Segoe UI"/>
          <w:color w:val="231F20"/>
        </w:rPr>
        <w:t>score</w:t>
      </w:r>
      <w:r>
        <w:rPr>
          <w:rFonts w:ascii="Segoe UI"/>
          <w:color w:val="231F20"/>
          <w:spacing w:val="-2"/>
        </w:rPr>
        <w:t> </w:t>
      </w:r>
      <w:r>
        <w:rPr>
          <w:rFonts w:ascii="Segoe UI"/>
          <w:color w:val="231F20"/>
        </w:rPr>
        <w:t>of</w:t>
      </w:r>
      <w:r>
        <w:rPr>
          <w:rFonts w:ascii="Segoe UI"/>
          <w:color w:val="231F20"/>
          <w:spacing w:val="-1"/>
        </w:rPr>
        <w:t> </w:t>
      </w:r>
      <w:r>
        <w:rPr>
          <w:rFonts w:ascii="Segoe UI"/>
          <w:color w:val="231F20"/>
        </w:rPr>
        <w:t>1,000</w:t>
      </w:r>
      <w:r>
        <w:rPr>
          <w:rFonts w:ascii="Segoe UI"/>
          <w:color w:val="231F20"/>
          <w:spacing w:val="-2"/>
        </w:rPr>
        <w:t> </w:t>
      </w:r>
      <w:r>
        <w:rPr>
          <w:rFonts w:ascii="Segoe UI"/>
          <w:color w:val="231F20"/>
        </w:rPr>
        <w:t>the</w:t>
      </w:r>
      <w:r>
        <w:rPr>
          <w:rFonts w:ascii="Segoe UI"/>
          <w:color w:val="231F20"/>
          <w:spacing w:val="-1"/>
        </w:rPr>
        <w:t> </w:t>
      </w:r>
      <w:r>
        <w:rPr>
          <w:rFonts w:ascii="Segoe UI"/>
          <w:color w:val="231F20"/>
        </w:rPr>
        <w:t>differential</w:t>
      </w:r>
      <w:r>
        <w:rPr>
          <w:rFonts w:ascii="Segoe UI"/>
          <w:color w:val="231F20"/>
          <w:spacing w:val="-2"/>
        </w:rPr>
        <w:t> </w:t>
      </w:r>
      <w:r>
        <w:rPr>
          <w:rFonts w:ascii="Segoe UI"/>
          <w:color w:val="231F20"/>
        </w:rPr>
        <w:t>increases</w:t>
      </w:r>
      <w:r>
        <w:rPr>
          <w:rFonts w:ascii="Segoe UI"/>
          <w:color w:val="231F20"/>
        </w:rPr>
        <w:t> significantly to $6,156 boarder ($23,342 and</w:t>
      </w:r>
      <w:r>
        <w:rPr>
          <w:rFonts w:ascii="Segoe UI"/>
        </w:rPr>
      </w:r>
    </w:p>
    <w:p>
      <w:pPr>
        <w:pStyle w:val="BodyText"/>
        <w:spacing w:line="250" w:lineRule="exact"/>
        <w:ind w:left="100" w:right="0"/>
        <w:jc w:val="left"/>
      </w:pPr>
      <w:r>
        <w:rPr>
          <w:color w:val="231F20"/>
        </w:rPr>
        <w:t>$17,186).</w:t>
      </w:r>
      <w:r>
        <w:rPr/>
      </w:r>
    </w:p>
    <w:p>
      <w:pPr>
        <w:spacing w:after="0" w:line="250" w:lineRule="exact"/>
        <w:jc w:val="left"/>
        <w:sectPr>
          <w:type w:val="continuous"/>
          <w:pgSz w:w="11910" w:h="16840"/>
          <w:pgMar w:top="1580" w:bottom="280" w:left="1600" w:right="1300"/>
          <w:cols w:num="2" w:equalWidth="0">
            <w:col w:w="4250" w:space="285"/>
            <w:col w:w="4475"/>
          </w:cols>
        </w:sectPr>
      </w:pPr>
    </w:p>
    <w:p>
      <w:pPr>
        <w:spacing w:line="240" w:lineRule="auto" w:before="5"/>
        <w:rPr>
          <w:rFonts w:ascii="Times New Roman" w:hAnsi="Times New Roman" w:cs="Times New Roman" w:eastAsia="Times New Roman"/>
          <w:sz w:val="17"/>
          <w:szCs w:val="17"/>
        </w:rPr>
      </w:pPr>
      <w:r>
        <w:rPr/>
        <w:pict>
          <v:group style="position:absolute;margin-left:70.865997pt;margin-top:113.386017pt;width:439.4pt;height:267.9pt;mso-position-horizontal-relative:page;mso-position-vertical-relative:page;z-index:7264" coordorigin="1417,2268" coordsize="8788,5358">
            <v:group style="position:absolute;left:1517;top:2368;width:8588;height:5158" coordorigin="1517,2368" coordsize="8588,5158">
              <v:shape style="position:absolute;left:1517;top:2368;width:8588;height:5158" coordorigin="1517,2368" coordsize="8588,5158" path="m1517,7525l10105,7525,10105,2368,1517,2368,1517,7525xe" filled="false" stroked="true" strokeweight="10pt" strokecolor="#c1b5a9">
                <v:path arrowok="t"/>
              </v:shape>
            </v:group>
            <v:group style="position:absolute;left:2187;top:3259;width:6905;height:4072" coordorigin="2187,3259" coordsize="6905,4072">
              <v:shape style="position:absolute;left:2187;top:3259;width:6905;height:4072" coordorigin="2187,3259" coordsize="6905,4072" path="m2187,7330l9091,7330,9091,3259,2187,3259,2187,7330xe" filled="true" fillcolor="#ffffff" stroked="false">
                <v:path arrowok="t"/>
                <v:fill type="solid"/>
              </v:shape>
            </v:group>
            <v:group style="position:absolute;left:8196;top:5878;width:683;height:2" coordorigin="8196,5878" coordsize="683,2">
              <v:shape style="position:absolute;left:8196;top:5878;width:683;height:2" coordorigin="8196,5878" coordsize="683,0" path="m8196,5878l8878,5878e" filled="false" stroked="true" strokeweight=".632pt" strokecolor="#dcddde">
                <v:path arrowok="t"/>
              </v:shape>
            </v:group>
            <v:group style="position:absolute;left:6211;top:5878;width:1363;height:2" coordorigin="6211,5878" coordsize="1363,2">
              <v:shape style="position:absolute;left:6211;top:5878;width:1363;height:2" coordorigin="6211,5878" coordsize="1363,0" path="m6211,5878l7574,5878e" filled="false" stroked="true" strokeweight=".632pt" strokecolor="#dcddde">
                <v:path arrowok="t"/>
              </v:shape>
            </v:group>
            <v:group style="position:absolute;left:4226;top:5878;width:1364;height:2" coordorigin="4226,5878" coordsize="1364,2">
              <v:shape style="position:absolute;left:4226;top:5878;width:1364;height:2" coordorigin="4226,5878" coordsize="1364,0" path="m4226,5878l5589,5878e" filled="false" stroked="true" strokeweight=".632pt" strokecolor="#dcddde">
                <v:path arrowok="t"/>
              </v:shape>
            </v:group>
            <v:group style="position:absolute;left:2922;top:5878;width:682;height:2" coordorigin="2922,5878" coordsize="682,2">
              <v:shape style="position:absolute;left:2922;top:5878;width:682;height:2" coordorigin="2922,5878" coordsize="682,0" path="m2922,5878l3603,5878e" filled="false" stroked="true" strokeweight=".632pt" strokecolor="#dcddde">
                <v:path arrowok="t"/>
              </v:shape>
            </v:group>
            <v:group style="position:absolute;left:8196;top:5247;width:683;height:2" coordorigin="8196,5247" coordsize="683,2">
              <v:shape style="position:absolute;left:8196;top:5247;width:683;height:2" coordorigin="8196,5247" coordsize="683,0" path="m8196,5247l8878,5247e" filled="false" stroked="true" strokeweight=".632pt" strokecolor="#dcddde">
                <v:path arrowok="t"/>
              </v:shape>
            </v:group>
            <v:group style="position:absolute;left:6211;top:5247;width:1363;height:2" coordorigin="6211,5247" coordsize="1363,2">
              <v:shape style="position:absolute;left:6211;top:5247;width:1363;height:2" coordorigin="6211,5247" coordsize="1363,0" path="m6211,5247l7574,5247e" filled="false" stroked="true" strokeweight=".632pt" strokecolor="#dcddde">
                <v:path arrowok="t"/>
              </v:shape>
            </v:group>
            <v:group style="position:absolute;left:4226;top:5247;width:1364;height:2" coordorigin="4226,5247" coordsize="1364,2">
              <v:shape style="position:absolute;left:4226;top:5247;width:1364;height:2" coordorigin="4226,5247" coordsize="1364,0" path="m4226,5247l5589,5247e" filled="false" stroked="true" strokeweight=".632pt" strokecolor="#dcddde">
                <v:path arrowok="t"/>
              </v:shape>
            </v:group>
            <v:group style="position:absolute;left:2922;top:5247;width:682;height:2" coordorigin="2922,5247" coordsize="682,2">
              <v:shape style="position:absolute;left:2922;top:5247;width:682;height:2" coordorigin="2922,5247" coordsize="682,0" path="m2922,5247l3603,5247e" filled="false" stroked="true" strokeweight=".632pt" strokecolor="#dcddde">
                <v:path arrowok="t"/>
              </v:shape>
            </v:group>
            <v:group style="position:absolute;left:8196;top:4619;width:683;height:2" coordorigin="8196,4619" coordsize="683,2">
              <v:shape style="position:absolute;left:8196;top:4619;width:683;height:2" coordorigin="8196,4619" coordsize="683,0" path="m8196,4619l8878,4619e" filled="false" stroked="true" strokeweight=".632pt" strokecolor="#dcddde">
                <v:path arrowok="t"/>
              </v:shape>
            </v:group>
            <v:group style="position:absolute;left:6211;top:4619;width:1363;height:2" coordorigin="6211,4619" coordsize="1363,2">
              <v:shape style="position:absolute;left:6211;top:4619;width:1363;height:2" coordorigin="6211,4619" coordsize="1363,0" path="m6211,4619l7574,4619e" filled="false" stroked="true" strokeweight=".632pt" strokecolor="#dcddde">
                <v:path arrowok="t"/>
              </v:shape>
            </v:group>
            <v:group style="position:absolute;left:4226;top:4619;width:1364;height:2" coordorigin="4226,4619" coordsize="1364,2">
              <v:shape style="position:absolute;left:4226;top:4619;width:1364;height:2" coordorigin="4226,4619" coordsize="1364,0" path="m4226,4619l5589,4619e" filled="false" stroked="true" strokeweight=".632pt" strokecolor="#dcddde">
                <v:path arrowok="t"/>
              </v:shape>
            </v:group>
            <v:group style="position:absolute;left:2922;top:4619;width:682;height:2" coordorigin="2922,4619" coordsize="682,2">
              <v:shape style="position:absolute;left:2922;top:4619;width:682;height:2" coordorigin="2922,4619" coordsize="682,0" path="m2922,4619l3603,4619e" filled="false" stroked="true" strokeweight=".632pt" strokecolor="#dcddde">
                <v:path arrowok="t"/>
              </v:shape>
            </v:group>
            <v:group style="position:absolute;left:6211;top:3988;width:2668;height:2" coordorigin="6211,3988" coordsize="2668,2">
              <v:shape style="position:absolute;left:6211;top:3988;width:2668;height:2" coordorigin="6211,3988" coordsize="2668,0" path="m6211,3988l8878,3988e" filled="false" stroked="true" strokeweight=".632pt" strokecolor="#dcddde">
                <v:path arrowok="t"/>
              </v:shape>
            </v:group>
            <v:group style="position:absolute;left:4226;top:3988;width:1364;height:2" coordorigin="4226,3988" coordsize="1364,2">
              <v:shape style="position:absolute;left:4226;top:3988;width:1364;height:2" coordorigin="4226,3988" coordsize="1364,0" path="m4226,3988l5589,3988e" filled="false" stroked="true" strokeweight=".632pt" strokecolor="#dcddde">
                <v:path arrowok="t"/>
              </v:shape>
            </v:group>
            <v:group style="position:absolute;left:2922;top:3988;width:682;height:2" coordorigin="2922,3988" coordsize="682,2">
              <v:shape style="position:absolute;left:2922;top:3988;width:682;height:2" coordorigin="2922,3988" coordsize="682,0" path="m2922,3988l3603,3988e" filled="false" stroked="true" strokeweight=".632pt" strokecolor="#dcddde">
                <v:path arrowok="t"/>
              </v:shape>
            </v:group>
            <v:group style="position:absolute;left:2922;top:3358;width:5957;height:2" coordorigin="2922,3358" coordsize="5957,2">
              <v:shape style="position:absolute;left:2922;top:3358;width:5957;height:2" coordorigin="2922,3358" coordsize="5957,0" path="m2922,3358l8878,3358e" filled="false" stroked="true" strokeweight=".632pt" strokecolor="#dcddde">
                <v:path arrowok="t"/>
              </v:shape>
            </v:group>
            <v:group style="position:absolute;left:3603;top:3536;width:623;height:2972" coordorigin="3603,3536" coordsize="623,2972">
              <v:shape style="position:absolute;left:3603;top:3536;width:623;height:2972" coordorigin="3603,3536" coordsize="623,2972" path="m3603,3536l4226,3536,4226,6508,3603,6508,3603,3536xe" filled="true" fillcolor="#8165a3" stroked="false">
                <v:path arrowok="t"/>
                <v:fill type="solid"/>
              </v:shape>
            </v:group>
            <v:group style="position:absolute;left:5589;top:3811;width:623;height:2697" coordorigin="5589,3811" coordsize="623,2697">
              <v:shape style="position:absolute;left:5589;top:3811;width:623;height:2697" coordorigin="5589,3811" coordsize="623,2697" path="m5589,3811l6211,3811,6211,6508,5589,6508,5589,3811xe" filled="true" fillcolor="#8165a3" stroked="false">
                <v:path arrowok="t"/>
                <v:fill type="solid"/>
              </v:shape>
            </v:group>
            <v:group style="position:absolute;left:7574;top:4065;width:623;height:2443" coordorigin="7574,4065" coordsize="623,2443">
              <v:shape style="position:absolute;left:7574;top:4065;width:623;height:2443" coordorigin="7574,4065" coordsize="623,2443" path="m7574,4065l8196,4065,8196,6508,7574,6508,7574,4065xe" filled="true" fillcolor="#8165a3" stroked="false">
                <v:path arrowok="t"/>
                <v:fill type="solid"/>
              </v:shape>
            </v:group>
            <v:group style="position:absolute;left:2922;top:6508;width:5957;height:2" coordorigin="2922,6508" coordsize="5957,2">
              <v:shape style="position:absolute;left:2922;top:6508;width:5957;height:2" coordorigin="2922,6508" coordsize="5957,0" path="m2922,6508l8878,6508e" filled="false" stroked="true" strokeweight=".632pt" strokecolor="#dcddde">
                <v:path arrowok="t"/>
              </v:shape>
            </v:group>
            <v:group style="position:absolute;left:3557;top:7090;width:81;height:2" coordorigin="3557,7090" coordsize="81,2">
              <v:shape style="position:absolute;left:3557;top:7090;width:81;height:2" coordorigin="3557,7090" coordsize="81,0" path="m3557,7090l3638,7090e" filled="false" stroked="true" strokeweight="4.132pt" strokecolor="#8165a3">
                <v:path arrowok="t"/>
              </v:shape>
            </v:group>
            <v:group style="position:absolute;left:4652;top:7090;width:81;height:2" coordorigin="4652,7090" coordsize="81,2">
              <v:shape style="position:absolute;left:4652;top:7090;width:81;height:2" coordorigin="4652,7090" coordsize="81,0" path="m4652,7090l4733,7090e" filled="false" stroked="true" strokeweight="4.132pt" strokecolor="#8165a3">
                <v:path arrowok="t"/>
              </v:shape>
            </v:group>
            <v:group style="position:absolute;left:5792;top:7090;width:81;height:2" coordorigin="5792,7090" coordsize="81,2">
              <v:shape style="position:absolute;left:5792;top:7090;width:81;height:2" coordorigin="5792,7090" coordsize="81,0" path="m5792,7090l5872,7090e" filled="false" stroked="true" strokeweight="4.132pt" strokecolor="#8165a3">
                <v:path arrowok="t"/>
              </v:shape>
              <v:shape style="position:absolute;left:1704;top:2566;width:7814;height:1168" type="#_x0000_t202" filled="false" stroked="false">
                <v:textbox inset="0,0,0,0">
                  <w:txbxContent>
                    <w:p>
                      <w:pPr>
                        <w:spacing w:line="159" w:lineRule="exact" w:before="0"/>
                        <w:ind w:left="0" w:right="0" w:firstLine="0"/>
                        <w:jc w:val="left"/>
                        <w:rPr>
                          <w:rFonts w:ascii="Segoe UI Semibold" w:hAnsi="Segoe UI Semibold" w:cs="Segoe UI Semibold" w:eastAsia="Segoe UI Semibold"/>
                          <w:sz w:val="16"/>
                          <w:szCs w:val="16"/>
                        </w:rPr>
                      </w:pPr>
                      <w:r>
                        <w:rPr>
                          <w:rFonts w:ascii="Segoe UI Semibold"/>
                          <w:b/>
                          <w:color w:val="666155"/>
                          <w:spacing w:val="4"/>
                          <w:sz w:val="16"/>
                        </w:rPr>
                        <w:t>GRAPH</w:t>
                      </w:r>
                      <w:r>
                        <w:rPr>
                          <w:rFonts w:ascii="Segoe UI Semibold"/>
                          <w:b/>
                          <w:color w:val="666155"/>
                          <w:spacing w:val="-1"/>
                          <w:sz w:val="16"/>
                        </w:rPr>
                        <w:t> </w:t>
                      </w:r>
                      <w:r>
                        <w:rPr>
                          <w:rFonts w:ascii="Segoe UI Semibold"/>
                          <w:b/>
                          <w:color w:val="666155"/>
                          <w:sz w:val="16"/>
                        </w:rPr>
                        <w:t>20: </w:t>
                      </w:r>
                      <w:r>
                        <w:rPr>
                          <w:rFonts w:ascii="Segoe UI Semibold"/>
                          <w:b/>
                          <w:color w:val="666155"/>
                          <w:spacing w:val="2"/>
                          <w:sz w:val="16"/>
                        </w:rPr>
                        <w:t>AVERAGE</w:t>
                      </w:r>
                      <w:r>
                        <w:rPr>
                          <w:rFonts w:ascii="Segoe UI Semibold"/>
                          <w:b/>
                          <w:color w:val="666155"/>
                          <w:spacing w:val="3"/>
                          <w:sz w:val="16"/>
                        </w:rPr>
                        <w:t> ANNUAL</w:t>
                      </w:r>
                      <w:r>
                        <w:rPr>
                          <w:rFonts w:ascii="Segoe UI Semibold"/>
                          <w:b/>
                          <w:color w:val="666155"/>
                          <w:spacing w:val="2"/>
                          <w:sz w:val="16"/>
                        </w:rPr>
                        <w:t> </w:t>
                      </w:r>
                      <w:r>
                        <w:rPr>
                          <w:rFonts w:ascii="Segoe UI Semibold"/>
                          <w:b/>
                          <w:color w:val="666155"/>
                          <w:spacing w:val="4"/>
                          <w:sz w:val="16"/>
                        </w:rPr>
                        <w:t>BOARDING</w:t>
                      </w:r>
                      <w:r>
                        <w:rPr>
                          <w:rFonts w:ascii="Segoe UI Semibold"/>
                          <w:b/>
                          <w:color w:val="666155"/>
                          <w:spacing w:val="3"/>
                          <w:sz w:val="16"/>
                        </w:rPr>
                        <w:t> COST</w:t>
                      </w:r>
                      <w:r>
                        <w:rPr>
                          <w:rFonts w:ascii="Segoe UI Semibold"/>
                          <w:b/>
                          <w:color w:val="666155"/>
                          <w:spacing w:val="2"/>
                          <w:sz w:val="16"/>
                        </w:rPr>
                        <w:t> </w:t>
                      </w:r>
                      <w:r>
                        <w:rPr>
                          <w:rFonts w:ascii="Segoe UI Semibold"/>
                          <w:b/>
                          <w:color w:val="666155"/>
                          <w:spacing w:val="3"/>
                          <w:sz w:val="16"/>
                        </w:rPr>
                        <w:t>PER </w:t>
                      </w:r>
                      <w:r>
                        <w:rPr>
                          <w:rFonts w:ascii="Segoe UI Semibold"/>
                          <w:b/>
                          <w:color w:val="666155"/>
                          <w:spacing w:val="4"/>
                          <w:sz w:val="16"/>
                        </w:rPr>
                        <w:t>BOARDER</w:t>
                      </w:r>
                      <w:r>
                        <w:rPr>
                          <w:rFonts w:ascii="Segoe UI Semibold"/>
                          <w:b/>
                          <w:color w:val="666155"/>
                          <w:spacing w:val="2"/>
                          <w:sz w:val="16"/>
                        </w:rPr>
                        <w:t> </w:t>
                      </w:r>
                      <w:r>
                        <w:rPr>
                          <w:rFonts w:ascii="Segoe UI Semibold"/>
                          <w:b/>
                          <w:color w:val="666155"/>
                          <w:sz w:val="16"/>
                        </w:rPr>
                        <w:t>BY</w:t>
                      </w:r>
                      <w:r>
                        <w:rPr>
                          <w:rFonts w:ascii="Segoe UI Semibold"/>
                          <w:b/>
                          <w:color w:val="666155"/>
                          <w:spacing w:val="3"/>
                          <w:sz w:val="16"/>
                        </w:rPr>
                        <w:t> </w:t>
                      </w:r>
                      <w:r>
                        <w:rPr>
                          <w:rFonts w:ascii="Segoe UI Semibold"/>
                          <w:b/>
                          <w:color w:val="666155"/>
                          <w:spacing w:val="4"/>
                          <w:sz w:val="16"/>
                        </w:rPr>
                        <w:t>ICSEA</w:t>
                      </w:r>
                      <w:r>
                        <w:rPr>
                          <w:rFonts w:ascii="Segoe UI Semibold"/>
                          <w:b/>
                          <w:color w:val="666155"/>
                          <w:spacing w:val="3"/>
                          <w:sz w:val="16"/>
                        </w:rPr>
                        <w:t> SCORE</w:t>
                      </w:r>
                      <w:r>
                        <w:rPr>
                          <w:rFonts w:ascii="Segoe UI Semibold"/>
                          <w:b/>
                          <w:color w:val="666155"/>
                          <w:spacing w:val="2"/>
                          <w:sz w:val="16"/>
                        </w:rPr>
                        <w:t> OF</w:t>
                      </w:r>
                      <w:r>
                        <w:rPr>
                          <w:rFonts w:ascii="Segoe UI Semibold"/>
                          <w:b/>
                          <w:color w:val="666155"/>
                          <w:spacing w:val="3"/>
                          <w:sz w:val="16"/>
                        </w:rPr>
                        <w:t> </w:t>
                      </w:r>
                      <w:r>
                        <w:rPr>
                          <w:rFonts w:ascii="Segoe UI Semibold"/>
                          <w:b/>
                          <w:color w:val="666155"/>
                          <w:spacing w:val="4"/>
                          <w:sz w:val="16"/>
                        </w:rPr>
                        <w:t>ABORIGINAL</w:t>
                      </w:r>
                      <w:r>
                        <w:rPr>
                          <w:rFonts w:ascii="Segoe UI Semibold"/>
                          <w:b/>
                          <w:color w:val="666155"/>
                          <w:spacing w:val="3"/>
                          <w:sz w:val="16"/>
                        </w:rPr>
                        <w:t> </w:t>
                      </w:r>
                      <w:r>
                        <w:rPr>
                          <w:rFonts w:ascii="Segoe UI Semibold"/>
                          <w:b/>
                          <w:color w:val="666155"/>
                          <w:spacing w:val="5"/>
                          <w:sz w:val="16"/>
                        </w:rPr>
                        <w:t>AND</w:t>
                      </w:r>
                      <w:r>
                        <w:rPr>
                          <w:rFonts w:ascii="Segoe UI Semibold"/>
                          <w:sz w:val="16"/>
                        </w:rPr>
                      </w:r>
                    </w:p>
                    <w:p>
                      <w:pPr>
                        <w:spacing w:line="211" w:lineRule="exact" w:before="0"/>
                        <w:ind w:left="0" w:right="0" w:firstLine="0"/>
                        <w:jc w:val="left"/>
                        <w:rPr>
                          <w:rFonts w:ascii="Segoe UI Semibold" w:hAnsi="Segoe UI Semibold" w:cs="Segoe UI Semibold" w:eastAsia="Segoe UI Semibold"/>
                          <w:sz w:val="16"/>
                          <w:szCs w:val="16"/>
                        </w:rPr>
                      </w:pPr>
                      <w:r>
                        <w:rPr>
                          <w:rFonts w:ascii="Segoe UI Semibold" w:hAnsi="Segoe UI Semibold" w:cs="Segoe UI Semibold" w:eastAsia="Segoe UI Semibold"/>
                          <w:b/>
                          <w:bCs/>
                          <w:color w:val="666155"/>
                          <w:spacing w:val="3"/>
                          <w:sz w:val="16"/>
                          <w:szCs w:val="16"/>
                        </w:rPr>
                        <w:t>TORRES</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STRAIT</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ISLANDER</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AND</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MAINSTREAM</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BOARDING</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PROVIDERS,</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sz w:val="16"/>
                          <w:szCs w:val="16"/>
                        </w:rPr>
                        <w:t>2015</w:t>
                      </w:r>
                      <w:r>
                        <w:rPr>
                          <w:rFonts w:ascii="Segoe UI Semibold" w:hAnsi="Segoe UI Semibold" w:cs="Segoe UI Semibold" w:eastAsia="Segoe UI Semibold"/>
                          <w:b/>
                          <w:bCs/>
                          <w:color w:val="666155"/>
                          <w:spacing w:val="-4"/>
                          <w:sz w:val="16"/>
                          <w:szCs w:val="16"/>
                        </w:rPr>
                        <w:t> </w:t>
                      </w:r>
                      <w:r>
                        <w:rPr>
                          <w:rFonts w:ascii="Segoe UI Semibold" w:hAnsi="Segoe UI Semibold" w:cs="Segoe UI Semibold" w:eastAsia="Segoe UI Semibold"/>
                          <w:b/>
                          <w:bCs/>
                          <w:color w:val="666155"/>
                          <w:position w:val="1"/>
                          <w:sz w:val="16"/>
                          <w:szCs w:val="16"/>
                        </w:rPr>
                        <w:t>—</w:t>
                      </w:r>
                      <w:r>
                        <w:rPr>
                          <w:rFonts w:ascii="Segoe UI Semibold" w:hAnsi="Segoe UI Semibold" w:cs="Segoe UI Semibold" w:eastAsia="Segoe UI Semibold"/>
                          <w:b/>
                          <w:bCs/>
                          <w:color w:val="666155"/>
                          <w:spacing w:val="-3"/>
                          <w:position w:val="1"/>
                          <w:sz w:val="16"/>
                          <w:szCs w:val="16"/>
                        </w:rPr>
                        <w:t> </w:t>
                      </w:r>
                      <w:r>
                        <w:rPr>
                          <w:rFonts w:ascii="Segoe UI Semibold" w:hAnsi="Segoe UI Semibold" w:cs="Segoe UI Semibold" w:eastAsia="Segoe UI Semibold"/>
                          <w:b/>
                          <w:bCs/>
                          <w:color w:val="666155"/>
                          <w:spacing w:val="-1"/>
                          <w:sz w:val="16"/>
                          <w:szCs w:val="16"/>
                        </w:rPr>
                        <w:t>2017</w:t>
                      </w:r>
                      <w:r>
                        <w:rPr>
                          <w:rFonts w:ascii="Segoe UI Semibold" w:hAnsi="Segoe UI Semibold" w:cs="Segoe UI Semibold" w:eastAsia="Segoe UI Semibold"/>
                          <w:sz w:val="16"/>
                          <w:szCs w:val="16"/>
                        </w:rPr>
                      </w:r>
                    </w:p>
                    <w:p>
                      <w:pPr>
                        <w:spacing w:line="240" w:lineRule="auto" w:before="0"/>
                        <w:rPr>
                          <w:rFonts w:ascii="Times New Roman" w:hAnsi="Times New Roman" w:cs="Times New Roman" w:eastAsia="Times New Roman"/>
                          <w:sz w:val="19"/>
                          <w:szCs w:val="19"/>
                        </w:rPr>
                      </w:pPr>
                    </w:p>
                    <w:p>
                      <w:pPr>
                        <w:spacing w:line="140" w:lineRule="exact" w:before="0"/>
                        <w:ind w:left="1977" w:right="0" w:firstLine="0"/>
                        <w:jc w:val="left"/>
                        <w:rPr>
                          <w:rFonts w:ascii="Segoe UI" w:hAnsi="Segoe UI" w:cs="Segoe UI" w:eastAsia="Segoe UI"/>
                          <w:sz w:val="13"/>
                          <w:szCs w:val="13"/>
                        </w:rPr>
                      </w:pPr>
                      <w:r>
                        <w:rPr>
                          <w:rFonts w:ascii="Segoe UI"/>
                          <w:color w:val="636466"/>
                          <w:spacing w:val="-1"/>
                          <w:w w:val="105"/>
                          <w:sz w:val="13"/>
                        </w:rPr>
                        <w:t>$23,591</w:t>
                      </w:r>
                      <w:r>
                        <w:rPr>
                          <w:rFonts w:ascii="Segoe UI"/>
                          <w:sz w:val="13"/>
                        </w:rPr>
                      </w:r>
                    </w:p>
                    <w:p>
                      <w:pPr>
                        <w:spacing w:line="140" w:lineRule="exact" w:before="0"/>
                        <w:ind w:left="687" w:right="0" w:firstLine="0"/>
                        <w:jc w:val="left"/>
                        <w:rPr>
                          <w:rFonts w:ascii="Segoe UI" w:hAnsi="Segoe UI" w:cs="Segoe UI" w:eastAsia="Segoe UI"/>
                          <w:sz w:val="13"/>
                          <w:szCs w:val="13"/>
                        </w:rPr>
                      </w:pPr>
                      <w:r>
                        <w:rPr>
                          <w:rFonts w:ascii="Segoe UI"/>
                          <w:color w:val="77787B"/>
                          <w:spacing w:val="-1"/>
                          <w:w w:val="105"/>
                          <w:sz w:val="13"/>
                        </w:rPr>
                        <w:t>25,000</w:t>
                      </w:r>
                      <w:r>
                        <w:rPr>
                          <w:rFonts w:ascii="Segoe UI"/>
                          <w:sz w:val="13"/>
                        </w:rPr>
                      </w:r>
                    </w:p>
                    <w:p>
                      <w:pPr>
                        <w:spacing w:before="125"/>
                        <w:ind w:left="579" w:right="0" w:firstLine="0"/>
                        <w:jc w:val="center"/>
                        <w:rPr>
                          <w:rFonts w:ascii="Segoe UI" w:hAnsi="Segoe UI" w:cs="Segoe UI" w:eastAsia="Segoe UI"/>
                          <w:sz w:val="13"/>
                          <w:szCs w:val="13"/>
                        </w:rPr>
                      </w:pPr>
                      <w:r>
                        <w:rPr>
                          <w:rFonts w:ascii="Segoe UI"/>
                          <w:color w:val="636466"/>
                          <w:spacing w:val="-1"/>
                          <w:w w:val="105"/>
                          <w:sz w:val="13"/>
                        </w:rPr>
                        <w:t>$21,406</w:t>
                      </w:r>
                      <w:r>
                        <w:rPr>
                          <w:rFonts w:ascii="Segoe UI"/>
                          <w:sz w:val="13"/>
                        </w:rPr>
                      </w:r>
                    </w:p>
                  </w:txbxContent>
                </v:textbox>
                <w10:wrap type="none"/>
              </v:shape>
              <v:shape style="position:absolute;left:2391;top:3930;width:393;height:136" type="#_x0000_t202" filled="false" stroked="false">
                <v:textbox inset="0,0,0,0">
                  <w:txbxContent>
                    <w:p>
                      <w:pPr>
                        <w:spacing w:line="135" w:lineRule="exact" w:before="0"/>
                        <w:ind w:left="0" w:right="0" w:firstLine="0"/>
                        <w:jc w:val="left"/>
                        <w:rPr>
                          <w:rFonts w:ascii="Segoe UI" w:hAnsi="Segoe UI" w:cs="Segoe UI" w:eastAsia="Segoe UI"/>
                          <w:sz w:val="13"/>
                          <w:szCs w:val="13"/>
                        </w:rPr>
                      </w:pPr>
                      <w:r>
                        <w:rPr>
                          <w:rFonts w:ascii="Segoe UI"/>
                          <w:color w:val="77787B"/>
                          <w:spacing w:val="-1"/>
                          <w:sz w:val="13"/>
                        </w:rPr>
                        <w:t>20,000</w:t>
                      </w:r>
                      <w:r>
                        <w:rPr>
                          <w:rFonts w:ascii="Segoe UI"/>
                          <w:sz w:val="13"/>
                        </w:rPr>
                      </w:r>
                    </w:p>
                  </w:txbxContent>
                </v:textbox>
                <w10:wrap type="none"/>
              </v:shape>
              <v:shape style="position:absolute;left:7652;top:3854;width:467;height:136" type="#_x0000_t202" filled="false" stroked="false">
                <v:textbox inset="0,0,0,0">
                  <w:txbxContent>
                    <w:p>
                      <w:pPr>
                        <w:spacing w:line="135" w:lineRule="exact" w:before="0"/>
                        <w:ind w:left="0" w:right="0" w:firstLine="0"/>
                        <w:jc w:val="left"/>
                        <w:rPr>
                          <w:rFonts w:ascii="Segoe UI" w:hAnsi="Segoe UI" w:cs="Segoe UI" w:eastAsia="Segoe UI"/>
                          <w:sz w:val="13"/>
                          <w:szCs w:val="13"/>
                        </w:rPr>
                      </w:pPr>
                      <w:r>
                        <w:rPr>
                          <w:rFonts w:ascii="Segoe UI"/>
                          <w:color w:val="636466"/>
                          <w:spacing w:val="-1"/>
                          <w:w w:val="105"/>
                          <w:sz w:val="13"/>
                        </w:rPr>
                        <w:t>$19,381</w:t>
                      </w:r>
                      <w:r>
                        <w:rPr>
                          <w:rFonts w:ascii="Segoe UI"/>
                          <w:sz w:val="13"/>
                        </w:rPr>
                      </w:r>
                    </w:p>
                  </w:txbxContent>
                </v:textbox>
                <w10:wrap type="none"/>
              </v:shape>
              <v:shape style="position:absolute;left:2391;top:4560;width:393;height:136" type="#_x0000_t202" filled="false" stroked="false">
                <v:textbox inset="0,0,0,0">
                  <w:txbxContent>
                    <w:p>
                      <w:pPr>
                        <w:spacing w:line="135" w:lineRule="exact" w:before="0"/>
                        <w:ind w:left="0" w:right="0" w:firstLine="0"/>
                        <w:jc w:val="left"/>
                        <w:rPr>
                          <w:rFonts w:ascii="Segoe UI" w:hAnsi="Segoe UI" w:cs="Segoe UI" w:eastAsia="Segoe UI"/>
                          <w:sz w:val="13"/>
                          <w:szCs w:val="13"/>
                        </w:rPr>
                      </w:pPr>
                      <w:r>
                        <w:rPr>
                          <w:rFonts w:ascii="Segoe UI"/>
                          <w:color w:val="77787B"/>
                          <w:spacing w:val="-1"/>
                          <w:sz w:val="13"/>
                        </w:rPr>
                        <w:t>15,000</w:t>
                      </w:r>
                      <w:r>
                        <w:rPr>
                          <w:rFonts w:ascii="Segoe UI"/>
                          <w:sz w:val="13"/>
                        </w:rPr>
                      </w:r>
                    </w:p>
                  </w:txbxContent>
                </v:textbox>
                <w10:wrap type="none"/>
              </v:shape>
              <v:shape style="position:absolute;left:2391;top:5190;width:393;height:136" type="#_x0000_t202" filled="false" stroked="false">
                <v:textbox inset="0,0,0,0">
                  <w:txbxContent>
                    <w:p>
                      <w:pPr>
                        <w:spacing w:line="135" w:lineRule="exact" w:before="0"/>
                        <w:ind w:left="0" w:right="0" w:firstLine="0"/>
                        <w:jc w:val="left"/>
                        <w:rPr>
                          <w:rFonts w:ascii="Segoe UI" w:hAnsi="Segoe UI" w:cs="Segoe UI" w:eastAsia="Segoe UI"/>
                          <w:sz w:val="13"/>
                          <w:szCs w:val="13"/>
                        </w:rPr>
                      </w:pPr>
                      <w:r>
                        <w:rPr>
                          <w:rFonts w:ascii="Segoe UI"/>
                          <w:color w:val="77787B"/>
                          <w:spacing w:val="-1"/>
                          <w:sz w:val="13"/>
                        </w:rPr>
                        <w:t>10,000</w:t>
                      </w:r>
                      <w:r>
                        <w:rPr>
                          <w:rFonts w:ascii="Segoe UI"/>
                          <w:sz w:val="13"/>
                        </w:rPr>
                      </w:r>
                    </w:p>
                  </w:txbxContent>
                </v:textbox>
                <w10:wrap type="none"/>
              </v:shape>
              <v:shape style="position:absolute;left:2464;top:5820;width:320;height:136" type="#_x0000_t202" filled="false" stroked="false">
                <v:textbox inset="0,0,0,0">
                  <w:txbxContent>
                    <w:p>
                      <w:pPr>
                        <w:spacing w:line="135" w:lineRule="exact" w:before="0"/>
                        <w:ind w:left="0" w:right="0" w:firstLine="0"/>
                        <w:jc w:val="left"/>
                        <w:rPr>
                          <w:rFonts w:ascii="Segoe UI" w:hAnsi="Segoe UI" w:cs="Segoe UI" w:eastAsia="Segoe UI"/>
                          <w:sz w:val="13"/>
                          <w:szCs w:val="13"/>
                        </w:rPr>
                      </w:pPr>
                      <w:r>
                        <w:rPr>
                          <w:rFonts w:ascii="Segoe UI"/>
                          <w:color w:val="77787B"/>
                          <w:spacing w:val="-1"/>
                          <w:w w:val="105"/>
                          <w:sz w:val="13"/>
                        </w:rPr>
                        <w:t>5,000</w:t>
                      </w:r>
                      <w:r>
                        <w:rPr>
                          <w:rFonts w:ascii="Segoe UI"/>
                          <w:sz w:val="13"/>
                        </w:rPr>
                      </w:r>
                    </w:p>
                  </w:txbxContent>
                </v:textbox>
                <w10:wrap type="none"/>
              </v:shape>
              <v:shape style="position:absolute;left:2711;top:6450;width:73;height:136" type="#_x0000_t202" filled="false" stroked="false">
                <v:textbox inset="0,0,0,0">
                  <w:txbxContent>
                    <w:p>
                      <w:pPr>
                        <w:spacing w:line="135" w:lineRule="exact" w:before="0"/>
                        <w:ind w:left="0" w:right="0" w:firstLine="0"/>
                        <w:jc w:val="left"/>
                        <w:rPr>
                          <w:rFonts w:ascii="Segoe UI" w:hAnsi="Segoe UI" w:cs="Segoe UI" w:eastAsia="Segoe UI"/>
                          <w:sz w:val="13"/>
                          <w:szCs w:val="13"/>
                        </w:rPr>
                      </w:pPr>
                      <w:r>
                        <w:rPr>
                          <w:rFonts w:ascii="Segoe UI"/>
                          <w:color w:val="77787B"/>
                          <w:w w:val="105"/>
                          <w:sz w:val="13"/>
                        </w:rPr>
                        <w:t>0</w:t>
                      </w:r>
                      <w:r>
                        <w:rPr>
                          <w:rFonts w:ascii="Segoe UI"/>
                          <w:sz w:val="13"/>
                        </w:rPr>
                      </w:r>
                    </w:p>
                  </w:txbxContent>
                </v:textbox>
                <w10:wrap type="none"/>
              </v:shape>
              <v:shape style="position:absolute;left:3545;top:6647;width:741;height:136" type="#_x0000_t202" filled="false" stroked="false">
                <v:textbox inset="0,0,0,0">
                  <w:txbxContent>
                    <w:p>
                      <w:pPr>
                        <w:spacing w:line="135" w:lineRule="exact" w:before="0"/>
                        <w:ind w:left="0" w:right="0" w:firstLine="0"/>
                        <w:jc w:val="left"/>
                        <w:rPr>
                          <w:rFonts w:ascii="Segoe UI" w:hAnsi="Segoe UI" w:cs="Segoe UI" w:eastAsia="Segoe UI"/>
                          <w:sz w:val="13"/>
                          <w:szCs w:val="13"/>
                        </w:rPr>
                      </w:pPr>
                      <w:r>
                        <w:rPr>
                          <w:rFonts w:ascii="Segoe UI"/>
                          <w:color w:val="77787B"/>
                          <w:spacing w:val="-1"/>
                          <w:w w:val="105"/>
                          <w:sz w:val="13"/>
                        </w:rPr>
                        <w:t>Lower</w:t>
                      </w:r>
                      <w:r>
                        <w:rPr>
                          <w:rFonts w:ascii="Segoe UI"/>
                          <w:color w:val="77787B"/>
                          <w:spacing w:val="-9"/>
                          <w:w w:val="105"/>
                          <w:sz w:val="13"/>
                        </w:rPr>
                        <w:t> </w:t>
                      </w:r>
                      <w:r>
                        <w:rPr>
                          <w:rFonts w:ascii="Segoe UI"/>
                          <w:color w:val="77787B"/>
                          <w:spacing w:val="-1"/>
                          <w:w w:val="105"/>
                          <w:sz w:val="13"/>
                        </w:rPr>
                        <w:t>ICSEA</w:t>
                      </w:r>
                      <w:r>
                        <w:rPr>
                          <w:rFonts w:ascii="Segoe UI"/>
                          <w:sz w:val="13"/>
                        </w:rPr>
                      </w:r>
                    </w:p>
                  </w:txbxContent>
                </v:textbox>
                <w10:wrap type="none"/>
              </v:shape>
              <v:shape style="position:absolute;left:5508;top:6647;width:785;height:136" type="#_x0000_t202" filled="false" stroked="false">
                <v:textbox inset="0,0,0,0">
                  <w:txbxContent>
                    <w:p>
                      <w:pPr>
                        <w:spacing w:line="135" w:lineRule="exact" w:before="0"/>
                        <w:ind w:left="0" w:right="0" w:firstLine="0"/>
                        <w:jc w:val="left"/>
                        <w:rPr>
                          <w:rFonts w:ascii="Segoe UI" w:hAnsi="Segoe UI" w:cs="Segoe UI" w:eastAsia="Segoe UI"/>
                          <w:sz w:val="13"/>
                          <w:szCs w:val="13"/>
                        </w:rPr>
                      </w:pPr>
                      <w:r>
                        <w:rPr>
                          <w:rFonts w:ascii="Segoe UI"/>
                          <w:color w:val="77787B"/>
                          <w:spacing w:val="-1"/>
                          <w:w w:val="105"/>
                          <w:sz w:val="13"/>
                        </w:rPr>
                        <w:t>Higher</w:t>
                      </w:r>
                      <w:r>
                        <w:rPr>
                          <w:rFonts w:ascii="Segoe UI"/>
                          <w:color w:val="77787B"/>
                          <w:spacing w:val="-7"/>
                          <w:w w:val="105"/>
                          <w:sz w:val="13"/>
                        </w:rPr>
                        <w:t> </w:t>
                      </w:r>
                      <w:r>
                        <w:rPr>
                          <w:rFonts w:ascii="Segoe UI"/>
                          <w:color w:val="77787B"/>
                          <w:spacing w:val="-1"/>
                          <w:w w:val="105"/>
                          <w:sz w:val="13"/>
                        </w:rPr>
                        <w:t>ICSEA</w:t>
                      </w:r>
                      <w:r>
                        <w:rPr>
                          <w:rFonts w:ascii="Segoe UI"/>
                          <w:sz w:val="13"/>
                        </w:rPr>
                      </w:r>
                    </w:p>
                  </w:txbxContent>
                </v:textbox>
                <w10:wrap type="none"/>
              </v:shape>
              <v:shape style="position:absolute;left:6949;top:6647;width:1876;height:136" type="#_x0000_t202" filled="false" stroked="false">
                <v:textbox inset="0,0,0,0">
                  <w:txbxContent>
                    <w:p>
                      <w:pPr>
                        <w:spacing w:line="135" w:lineRule="exact" w:before="0"/>
                        <w:ind w:left="0" w:right="0" w:firstLine="0"/>
                        <w:jc w:val="left"/>
                        <w:rPr>
                          <w:rFonts w:ascii="Segoe UI" w:hAnsi="Segoe UI" w:cs="Segoe UI" w:eastAsia="Segoe UI"/>
                          <w:sz w:val="13"/>
                          <w:szCs w:val="13"/>
                        </w:rPr>
                      </w:pPr>
                      <w:r>
                        <w:rPr>
                          <w:rFonts w:ascii="Segoe UI"/>
                          <w:color w:val="77787B"/>
                          <w:spacing w:val="-1"/>
                          <w:w w:val="105"/>
                          <w:sz w:val="13"/>
                        </w:rPr>
                        <w:t>Mainstream</w:t>
                      </w:r>
                      <w:r>
                        <w:rPr>
                          <w:rFonts w:ascii="Segoe UI"/>
                          <w:color w:val="77787B"/>
                          <w:spacing w:val="-11"/>
                          <w:w w:val="105"/>
                          <w:sz w:val="13"/>
                        </w:rPr>
                        <w:t> </w:t>
                      </w:r>
                      <w:r>
                        <w:rPr>
                          <w:rFonts w:ascii="Segoe UI"/>
                          <w:color w:val="77787B"/>
                          <w:spacing w:val="-1"/>
                          <w:w w:val="105"/>
                          <w:sz w:val="13"/>
                        </w:rPr>
                        <w:t>boarding</w:t>
                      </w:r>
                      <w:r>
                        <w:rPr>
                          <w:rFonts w:ascii="Segoe UI"/>
                          <w:color w:val="77787B"/>
                          <w:spacing w:val="-10"/>
                          <w:w w:val="105"/>
                          <w:sz w:val="13"/>
                        </w:rPr>
                        <w:t> </w:t>
                      </w:r>
                      <w:r>
                        <w:rPr>
                          <w:rFonts w:ascii="Segoe UI"/>
                          <w:color w:val="77787B"/>
                          <w:spacing w:val="-1"/>
                          <w:w w:val="105"/>
                          <w:sz w:val="13"/>
                        </w:rPr>
                        <w:t>providers</w:t>
                      </w:r>
                      <w:r>
                        <w:rPr>
                          <w:rFonts w:ascii="Segoe UI"/>
                          <w:sz w:val="13"/>
                        </w:rPr>
                      </w:r>
                    </w:p>
                  </w:txbxContent>
                </v:textbox>
                <w10:wrap type="none"/>
              </v:shape>
              <v:shape style="position:absolute;left:3672;top:7032;width:4111;height:136" type="#_x0000_t202" filled="false" stroked="false">
                <v:textbox inset="0,0,0,0">
                  <w:txbxContent>
                    <w:p>
                      <w:pPr>
                        <w:tabs>
                          <w:tab w:pos="1095" w:val="left" w:leader="none"/>
                          <w:tab w:pos="2234" w:val="left" w:leader="none"/>
                        </w:tabs>
                        <w:spacing w:line="135" w:lineRule="exact" w:before="0"/>
                        <w:ind w:left="0" w:right="0" w:firstLine="0"/>
                        <w:jc w:val="left"/>
                        <w:rPr>
                          <w:rFonts w:ascii="Segoe UI" w:hAnsi="Segoe UI" w:cs="Segoe UI" w:eastAsia="Segoe UI"/>
                          <w:sz w:val="13"/>
                          <w:szCs w:val="13"/>
                        </w:rPr>
                      </w:pPr>
                      <w:r>
                        <w:rPr>
                          <w:rFonts w:ascii="Segoe UI"/>
                          <w:color w:val="77787B"/>
                          <w:spacing w:val="-1"/>
                          <w:w w:val="105"/>
                          <w:sz w:val="13"/>
                        </w:rPr>
                        <w:t>Lower</w:t>
                      </w:r>
                      <w:r>
                        <w:rPr>
                          <w:rFonts w:ascii="Segoe UI"/>
                          <w:color w:val="77787B"/>
                          <w:spacing w:val="-9"/>
                          <w:w w:val="105"/>
                          <w:sz w:val="13"/>
                        </w:rPr>
                        <w:t> </w:t>
                      </w:r>
                      <w:r>
                        <w:rPr>
                          <w:rFonts w:ascii="Segoe UI"/>
                          <w:color w:val="77787B"/>
                          <w:spacing w:val="-1"/>
                          <w:w w:val="105"/>
                          <w:sz w:val="13"/>
                        </w:rPr>
                        <w:t>ICSEA</w:t>
                        <w:tab/>
                        <w:t>Higher</w:t>
                      </w:r>
                      <w:r>
                        <w:rPr>
                          <w:rFonts w:ascii="Segoe UI"/>
                          <w:color w:val="77787B"/>
                          <w:spacing w:val="-9"/>
                          <w:w w:val="105"/>
                          <w:sz w:val="13"/>
                        </w:rPr>
                        <w:t> </w:t>
                      </w:r>
                      <w:r>
                        <w:rPr>
                          <w:rFonts w:ascii="Segoe UI"/>
                          <w:color w:val="77787B"/>
                          <w:spacing w:val="-1"/>
                          <w:w w:val="105"/>
                          <w:sz w:val="13"/>
                        </w:rPr>
                        <w:t>ICSEA</w:t>
                        <w:tab/>
                        <w:t>Mainstream</w:t>
                      </w:r>
                      <w:r>
                        <w:rPr>
                          <w:rFonts w:ascii="Segoe UI"/>
                          <w:color w:val="77787B"/>
                          <w:spacing w:val="-11"/>
                          <w:w w:val="105"/>
                          <w:sz w:val="13"/>
                        </w:rPr>
                        <w:t> </w:t>
                      </w:r>
                      <w:r>
                        <w:rPr>
                          <w:rFonts w:ascii="Segoe UI"/>
                          <w:color w:val="77787B"/>
                          <w:spacing w:val="-1"/>
                          <w:w w:val="105"/>
                          <w:sz w:val="13"/>
                        </w:rPr>
                        <w:t>boarding</w:t>
                      </w:r>
                      <w:r>
                        <w:rPr>
                          <w:rFonts w:ascii="Segoe UI"/>
                          <w:color w:val="77787B"/>
                          <w:spacing w:val="-10"/>
                          <w:w w:val="105"/>
                          <w:sz w:val="13"/>
                        </w:rPr>
                        <w:t> </w:t>
                      </w:r>
                      <w:r>
                        <w:rPr>
                          <w:rFonts w:ascii="Segoe UI"/>
                          <w:color w:val="77787B"/>
                          <w:spacing w:val="-1"/>
                          <w:w w:val="105"/>
                          <w:sz w:val="13"/>
                        </w:rPr>
                        <w:t>providers</w:t>
                      </w:r>
                      <w:r>
                        <w:rPr>
                          <w:rFonts w:ascii="Segoe UI"/>
                          <w:sz w:val="13"/>
                        </w:rPr>
                      </w:r>
                    </w:p>
                  </w:txbxContent>
                </v:textbox>
                <w10:wrap type="none"/>
              </v:shape>
            </v:group>
            <w10:wrap type="none"/>
          </v:group>
        </w:pict>
      </w:r>
      <w:r>
        <w:rPr/>
        <w:pict>
          <v:group style="position:absolute;margin-left:70.865997pt;margin-top:404.772003pt;width:439.4pt;height:260pt;mso-position-horizontal-relative:page;mso-position-vertical-relative:page;z-index:7552" coordorigin="1417,8095" coordsize="8788,5200">
            <v:group style="position:absolute;left:1517;top:8195;width:8588;height:5000" coordorigin="1517,8195" coordsize="8588,5000">
              <v:shape style="position:absolute;left:1517;top:8195;width:8588;height:5000" coordorigin="1517,8195" coordsize="8588,5000" path="m1517,13195l10105,13195,10105,8195,1517,8195,1517,13195xe" filled="false" stroked="true" strokeweight="10pt" strokecolor="#c1b5a9">
                <v:path arrowok="t"/>
              </v:shape>
            </v:group>
            <v:group style="position:absolute;left:1975;top:9149;width:7669;height:3623" coordorigin="1975,9149" coordsize="7669,3623">
              <v:shape style="position:absolute;left:1975;top:9149;width:7669;height:3623" coordorigin="1975,9149" coordsize="7669,3623" path="m1975,12772l9643,12772,9643,9149,1975,9149,1975,12772xe" filled="true" fillcolor="#ffffff" stroked="false">
                <v:path arrowok="t"/>
                <v:fill type="solid"/>
              </v:shape>
            </v:group>
            <v:group style="position:absolute;left:2810;top:12095;width:6725;height:2" coordorigin="2810,12095" coordsize="6725,2">
              <v:shape style="position:absolute;left:2810;top:12095;width:6725;height:2" coordorigin="2810,12095" coordsize="6725,0" path="m2810,12095l9535,12095e" filled="false" stroked="true" strokeweight=".683pt" strokecolor="#dcddde">
                <v:path arrowok="t"/>
              </v:shape>
            </v:group>
            <v:group style="position:absolute;left:8346;top:11740;width:1189;height:2" coordorigin="8346,11740" coordsize="1189,2">
              <v:shape style="position:absolute;left:8346;top:11740;width:1189;height:2" coordorigin="8346,11740" coordsize="1189,0" path="m8346,11740l9535,11740e" filled="false" stroked="true" strokeweight=".683pt" strokecolor="#dcddde">
                <v:path arrowok="t"/>
              </v:shape>
            </v:group>
            <v:group style="position:absolute;left:2810;top:11740;width:5034;height:2" coordorigin="2810,11740" coordsize="5034,2">
              <v:shape style="position:absolute;left:2810;top:11740;width:5034;height:2" coordorigin="2810,11740" coordsize="5034,0" path="m2810,11740l7843,11740e" filled="false" stroked="true" strokeweight=".683pt" strokecolor="#dcddde">
                <v:path arrowok="t"/>
              </v:shape>
            </v:group>
            <v:group style="position:absolute;left:6743;top:11027;width:2792;height:2" coordorigin="6743,11027" coordsize="2792,2">
              <v:shape style="position:absolute;left:6743;top:11027;width:2792;height:2" coordorigin="6743,11027" coordsize="2792,0" path="m6743,11027l9535,11027e" filled="false" stroked="true" strokeweight=".683pt" strokecolor="#dcddde">
                <v:path arrowok="t"/>
              </v:shape>
            </v:group>
            <v:group style="position:absolute;left:6105;top:11027;width:136;height:2" coordorigin="6105,11027" coordsize="136,2">
              <v:shape style="position:absolute;left:6105;top:11027;width:136;height:2" coordorigin="6105,11027" coordsize="136,0" path="m6105,11027l6241,11027e" filled="false" stroked="true" strokeweight=".683pt" strokecolor="#dcddde">
                <v:path arrowok="t"/>
              </v:shape>
            </v:group>
            <v:group style="position:absolute;left:4502;top:11027;width:1100;height:2" coordorigin="4502,11027" coordsize="1100,2">
              <v:shape style="position:absolute;left:4502;top:11027;width:1100;height:2" coordorigin="4502,11027" coordsize="1100,0" path="m4502,11027l5602,11027e" filled="false" stroked="true" strokeweight=".683pt" strokecolor="#dcddde">
                <v:path arrowok="t"/>
              </v:shape>
            </v:group>
            <v:group style="position:absolute;left:3863;top:11027;width:136;height:2" coordorigin="3863,11027" coordsize="136,2">
              <v:shape style="position:absolute;left:3863;top:11027;width:136;height:2" coordorigin="3863,11027" coordsize="136,0" path="m3863,11027l3999,11027e" filled="false" stroked="true" strokeweight=".683pt" strokecolor="#dcddde">
                <v:path arrowok="t"/>
              </v:shape>
            </v:group>
            <v:group style="position:absolute;left:2810;top:11027;width:551;height:2" coordorigin="2810,11027" coordsize="551,2">
              <v:shape style="position:absolute;left:2810;top:11027;width:551;height:2" coordorigin="2810,11027" coordsize="551,0" path="m2810,11027l3361,11027e" filled="false" stroked="true" strokeweight=".683pt" strokecolor="#dcddde">
                <v:path arrowok="t"/>
              </v:shape>
            </v:group>
            <v:group style="position:absolute;left:6743;top:10671;width:2792;height:2" coordorigin="6743,10671" coordsize="2792,2">
              <v:shape style="position:absolute;left:6743;top:10671;width:2792;height:2" coordorigin="6743,10671" coordsize="2792,0" path="m6743,10671l9535,10671e" filled="false" stroked="true" strokeweight=".683pt" strokecolor="#dcddde">
                <v:path arrowok="t"/>
              </v:shape>
            </v:group>
            <v:group style="position:absolute;left:6105;top:10671;width:136;height:2" coordorigin="6105,10671" coordsize="136,2">
              <v:shape style="position:absolute;left:6105;top:10671;width:136;height:2" coordorigin="6105,10671" coordsize="136,0" path="m6105,10671l6241,10671e" filled="false" stroked="true" strokeweight=".683pt" strokecolor="#dcddde">
                <v:path arrowok="t"/>
              </v:shape>
            </v:group>
            <v:group style="position:absolute;left:4502;top:10671;width:1100;height:2" coordorigin="4502,10671" coordsize="1100,2">
              <v:shape style="position:absolute;left:4502;top:10671;width:1100;height:2" coordorigin="4502,10671" coordsize="1100,0" path="m4502,10671l5602,10671e" filled="false" stroked="true" strokeweight=".683pt" strokecolor="#dcddde">
                <v:path arrowok="t"/>
              </v:shape>
            </v:group>
            <v:group style="position:absolute;left:3863;top:10671;width:136;height:2" coordorigin="3863,10671" coordsize="136,2">
              <v:shape style="position:absolute;left:3863;top:10671;width:136;height:2" coordorigin="3863,10671" coordsize="136,0" path="m3863,10671l3999,10671e" filled="false" stroked="true" strokeweight=".683pt" strokecolor="#dcddde">
                <v:path arrowok="t"/>
              </v:shape>
            </v:group>
            <v:group style="position:absolute;left:2810;top:10671;width:551;height:2" coordorigin="2810,10671" coordsize="551,2">
              <v:shape style="position:absolute;left:2810;top:10671;width:551;height:2" coordorigin="2810,10671" coordsize="551,0" path="m2810,10671l3361,10671e" filled="false" stroked="true" strokeweight=".683pt" strokecolor="#dcddde">
                <v:path arrowok="t"/>
              </v:shape>
            </v:group>
            <v:group style="position:absolute;left:6743;top:10314;width:2792;height:2" coordorigin="6743,10314" coordsize="2792,2">
              <v:shape style="position:absolute;left:6743;top:10314;width:2792;height:2" coordorigin="6743,10314" coordsize="2792,0" path="m6743,10314l9535,10314e" filled="false" stroked="true" strokeweight=".683pt" strokecolor="#dcddde">
                <v:path arrowok="t"/>
              </v:shape>
            </v:group>
            <v:group style="position:absolute;left:6105;top:10314;width:136;height:2" coordorigin="6105,10314" coordsize="136,2">
              <v:shape style="position:absolute;left:6105;top:10314;width:136;height:2" coordorigin="6105,10314" coordsize="136,0" path="m6105,10314l6241,10314e" filled="false" stroked="true" strokeweight=".683pt" strokecolor="#dcddde">
                <v:path arrowok="t"/>
              </v:shape>
            </v:group>
            <v:group style="position:absolute;left:4502;top:10314;width:1100;height:2" coordorigin="4502,10314" coordsize="1100,2">
              <v:shape style="position:absolute;left:4502;top:10314;width:1100;height:2" coordorigin="4502,10314" coordsize="1100,0" path="m4502,10314l5602,10314e" filled="false" stroked="true" strokeweight=".683pt" strokecolor="#dcddde">
                <v:path arrowok="t"/>
              </v:shape>
            </v:group>
            <v:group style="position:absolute;left:3863;top:10314;width:136;height:2" coordorigin="3863,10314" coordsize="136,2">
              <v:shape style="position:absolute;left:3863;top:10314;width:136;height:2" coordorigin="3863,10314" coordsize="136,0" path="m3863,10314l3999,10314e" filled="false" stroked="true" strokeweight=".683pt" strokecolor="#dcddde">
                <v:path arrowok="t"/>
              </v:shape>
            </v:group>
            <v:group style="position:absolute;left:2810;top:10314;width:551;height:2" coordorigin="2810,10314" coordsize="551,2">
              <v:shape style="position:absolute;left:2810;top:10314;width:551;height:2" coordorigin="2810,10314" coordsize="551,0" path="m2810,10314l3361,10314e" filled="false" stroked="true" strokeweight=".683pt" strokecolor="#dcddde">
                <v:path arrowok="t"/>
              </v:shape>
            </v:group>
            <v:group style="position:absolute;left:6743;top:9958;width:2792;height:2" coordorigin="6743,9958" coordsize="2792,2">
              <v:shape style="position:absolute;left:6743;top:9958;width:2792;height:2" coordorigin="6743,9958" coordsize="2792,0" path="m6743,9958l9535,9958e" filled="false" stroked="true" strokeweight=".683pt" strokecolor="#dcddde">
                <v:path arrowok="t"/>
              </v:shape>
            </v:group>
            <v:group style="position:absolute;left:6105;top:9958;width:136;height:2" coordorigin="6105,9958" coordsize="136,2">
              <v:shape style="position:absolute;left:6105;top:9958;width:136;height:2" coordorigin="6105,9958" coordsize="136,0" path="m6105,9958l6241,9958e" filled="false" stroked="true" strokeweight=".683pt" strokecolor="#dcddde">
                <v:path arrowok="t"/>
              </v:shape>
            </v:group>
            <v:group style="position:absolute;left:2810;top:9958;width:2793;height:2" coordorigin="2810,9958" coordsize="2793,2">
              <v:shape style="position:absolute;left:2810;top:9958;width:2793;height:2" coordorigin="2810,9958" coordsize="2793,0" path="m2810,9958l5602,9958e" filled="false" stroked="true" strokeweight=".683pt" strokecolor="#dcddde">
                <v:path arrowok="t"/>
              </v:shape>
            </v:group>
            <v:group style="position:absolute;left:2810;top:9601;width:6725;height:2" coordorigin="2810,9601" coordsize="6725,2">
              <v:shape style="position:absolute;left:2810;top:9601;width:6725;height:2" coordorigin="2810,9601" coordsize="6725,0" path="m2810,9601l9535,9601e" filled="false" stroked="true" strokeweight=".683pt" strokecolor="#dcddde">
                <v:path arrowok="t"/>
              </v:shape>
            </v:group>
            <v:group style="position:absolute;left:2810;top:9246;width:6725;height:2" coordorigin="2810,9246" coordsize="6725,2">
              <v:shape style="position:absolute;left:2810;top:9246;width:6725;height:2" coordorigin="2810,9246" coordsize="6725,0" path="m2810,9246l9535,9246e" filled="false" stroked="true" strokeweight=".683pt" strokecolor="#dcddde">
                <v:path arrowok="t"/>
              </v:shape>
            </v:group>
            <v:group style="position:absolute;left:3361;top:10244;width:503;height:1140" coordorigin="3361,10244" coordsize="503,1140">
              <v:shape style="position:absolute;left:3361;top:10244;width:503;height:1140" coordorigin="3361,10244" coordsize="503,1140" path="m3863,10244l3361,10244,3361,11384,3863,11384,3863,10244xe" filled="true" fillcolor="#71598f" stroked="false">
                <v:path arrowok="t"/>
                <v:fill type="solid"/>
              </v:shape>
            </v:group>
            <v:group style="position:absolute;left:5602;top:9702;width:503;height:1682" coordorigin="5602,9702" coordsize="503,1682">
              <v:shape style="position:absolute;left:5602;top:9702;width:503;height:1682" coordorigin="5602,9702" coordsize="503,1682" path="m6105,9702l5602,9702,5602,11384,6105,11384,6105,9702xe" filled="true" fillcolor="#71598f" stroked="false">
                <v:path arrowok="t"/>
                <v:fill type="solid"/>
              </v:shape>
            </v:group>
            <v:group style="position:absolute;left:7843;top:11384;width:503;height:541" coordorigin="7843,11384" coordsize="503,541">
              <v:shape style="position:absolute;left:7843;top:11384;width:503;height:541" coordorigin="7843,11384" coordsize="503,541" path="m8346,11384l7843,11384,7843,11924,8346,11924,8346,11384xe" filled="true" fillcolor="#71598f" stroked="false">
                <v:path arrowok="t"/>
                <v:fill type="solid"/>
              </v:shape>
            </v:group>
            <v:group style="position:absolute;left:3999;top:10209;width:503;height:1175" coordorigin="3999,10209" coordsize="503,1175">
              <v:shape style="position:absolute;left:3999;top:10209;width:503;height:1175" coordorigin="3999,10209" coordsize="503,1175" path="m4502,10209l3999,10209,3999,11383,4502,11383,4502,10209xe" filled="true" fillcolor="#a99bbc" stroked="false">
                <v:path arrowok="t"/>
                <v:fill type="solid"/>
              </v:shape>
            </v:group>
            <v:group style="position:absolute;left:6241;top:9857;width:503;height:1527" coordorigin="6241,9857" coordsize="503,1527">
              <v:shape style="position:absolute;left:6241;top:9857;width:503;height:1527" coordorigin="6241,9857" coordsize="503,1527" path="m6743,9857l6241,9857,6241,11384,6743,11384,6743,9857xe" filled="true" fillcolor="#a99bbc" stroked="false">
                <v:path arrowok="t"/>
                <v:fill type="solid"/>
              </v:shape>
            </v:group>
            <v:group style="position:absolute;left:8482;top:11384;width:503;height:353" coordorigin="8482,11384" coordsize="503,353">
              <v:shape style="position:absolute;left:8482;top:11384;width:503;height:353" coordorigin="8482,11384" coordsize="503,353" path="m8985,11384l8482,11384,8482,11736,8985,11736,8985,11384xe" filled="true" fillcolor="#a99bbc" stroked="false">
                <v:path arrowok="t"/>
                <v:fill type="solid"/>
              </v:shape>
            </v:group>
            <v:group style="position:absolute;left:2810;top:11383;width:6725;height:2" coordorigin="2810,11383" coordsize="6725,2">
              <v:shape style="position:absolute;left:2810;top:11383;width:6725;height:2" coordorigin="2810,11383" coordsize="6725,0" path="m2810,11383l9535,11383e" filled="false" stroked="true" strokeweight=".683pt" strokecolor="#dcddde">
                <v:path arrowok="t"/>
              </v:shape>
            </v:group>
            <v:group style="position:absolute;left:5243;top:12712;width:88;height:2" coordorigin="5243,12712" coordsize="88,2">
              <v:shape style="position:absolute;left:5243;top:12712;width:88;height:2" coordorigin="5243,12712" coordsize="88,0" path="m5243,12712l5330,12712e" filled="false" stroked="true" strokeweight="4.464pt" strokecolor="#71598f">
                <v:path arrowok="t"/>
              </v:shape>
            </v:group>
            <v:group style="position:absolute;left:5881;top:12712;width:88;height:2" coordorigin="5881,12712" coordsize="88,2">
              <v:shape style="position:absolute;left:5881;top:12712;width:88;height:2" coordorigin="5881,12712" coordsize="88,0" path="m5881,12712l5969,12712e" filled="false" stroked="true" strokeweight="4.464pt" strokecolor="#a99bbc">
                <v:path arrowok="t"/>
              </v:shape>
              <v:shape style="position:absolute;left:1703;top:8385;width:7507;height:369" type="#_x0000_t202" filled="false" stroked="false">
                <v:textbox inset="0,0,0,0">
                  <w:txbxContent>
                    <w:p>
                      <w:pPr>
                        <w:spacing w:line="167" w:lineRule="exact" w:before="0"/>
                        <w:ind w:left="0" w:right="0" w:firstLine="0"/>
                        <w:jc w:val="left"/>
                        <w:rPr>
                          <w:rFonts w:ascii="Segoe UI Semibold" w:hAnsi="Segoe UI Semibold" w:cs="Segoe UI Semibold" w:eastAsia="Segoe UI Semibold"/>
                          <w:sz w:val="16"/>
                          <w:szCs w:val="16"/>
                        </w:rPr>
                      </w:pPr>
                      <w:r>
                        <w:rPr>
                          <w:rFonts w:ascii="Segoe UI Semibold"/>
                          <w:b/>
                          <w:color w:val="666155"/>
                          <w:spacing w:val="4"/>
                          <w:sz w:val="16"/>
                        </w:rPr>
                        <w:t>GRAPH</w:t>
                      </w:r>
                      <w:r>
                        <w:rPr>
                          <w:rFonts w:ascii="Segoe UI Semibold"/>
                          <w:b/>
                          <w:color w:val="666155"/>
                          <w:spacing w:val="-2"/>
                          <w:sz w:val="16"/>
                        </w:rPr>
                        <w:t> </w:t>
                      </w:r>
                      <w:r>
                        <w:rPr>
                          <w:rFonts w:ascii="Segoe UI Semibold"/>
                          <w:b/>
                          <w:color w:val="666155"/>
                          <w:sz w:val="16"/>
                        </w:rPr>
                        <w:t>21:</w:t>
                      </w:r>
                      <w:r>
                        <w:rPr>
                          <w:rFonts w:ascii="Segoe UI Semibold"/>
                          <w:b/>
                          <w:color w:val="666155"/>
                          <w:spacing w:val="-1"/>
                          <w:sz w:val="16"/>
                        </w:rPr>
                        <w:t> </w:t>
                      </w:r>
                      <w:r>
                        <w:rPr>
                          <w:rFonts w:ascii="Segoe UI Semibold"/>
                          <w:b/>
                          <w:color w:val="666155"/>
                          <w:spacing w:val="4"/>
                          <w:sz w:val="16"/>
                        </w:rPr>
                        <w:t>THREE</w:t>
                      </w:r>
                      <w:r>
                        <w:rPr>
                          <w:rFonts w:ascii="Segoe UI Semibold"/>
                          <w:b/>
                          <w:color w:val="666155"/>
                          <w:spacing w:val="4"/>
                          <w:position w:val="1"/>
                          <w:sz w:val="16"/>
                        </w:rPr>
                        <w:t>-</w:t>
                      </w:r>
                      <w:r>
                        <w:rPr>
                          <w:rFonts w:ascii="Segoe UI Semibold"/>
                          <w:b/>
                          <w:color w:val="666155"/>
                          <w:spacing w:val="4"/>
                          <w:sz w:val="16"/>
                        </w:rPr>
                        <w:t>YEAR</w:t>
                      </w:r>
                      <w:r>
                        <w:rPr>
                          <w:rFonts w:ascii="Segoe UI Semibold"/>
                          <w:b/>
                          <w:color w:val="666155"/>
                          <w:spacing w:val="2"/>
                          <w:sz w:val="16"/>
                        </w:rPr>
                        <w:t> AVERAGE </w:t>
                      </w:r>
                      <w:r>
                        <w:rPr>
                          <w:rFonts w:ascii="Segoe UI Semibold"/>
                          <w:b/>
                          <w:color w:val="666155"/>
                          <w:spacing w:val="4"/>
                          <w:sz w:val="16"/>
                        </w:rPr>
                        <w:t>REVENUE,</w:t>
                      </w:r>
                      <w:r>
                        <w:rPr>
                          <w:rFonts w:ascii="Segoe UI Semibold"/>
                          <w:b/>
                          <w:color w:val="666155"/>
                          <w:spacing w:val="-2"/>
                          <w:sz w:val="16"/>
                        </w:rPr>
                        <w:t> </w:t>
                      </w:r>
                      <w:r>
                        <w:rPr>
                          <w:rFonts w:ascii="Segoe UI Semibold"/>
                          <w:b/>
                          <w:color w:val="666155"/>
                          <w:spacing w:val="3"/>
                          <w:sz w:val="16"/>
                        </w:rPr>
                        <w:t>COST</w:t>
                      </w:r>
                      <w:r>
                        <w:rPr>
                          <w:rFonts w:ascii="Segoe UI Semibold"/>
                          <w:b/>
                          <w:color w:val="666155"/>
                          <w:spacing w:val="2"/>
                          <w:sz w:val="16"/>
                        </w:rPr>
                        <w:t> </w:t>
                      </w:r>
                      <w:r>
                        <w:rPr>
                          <w:rFonts w:ascii="Segoe UI Semibold"/>
                          <w:b/>
                          <w:color w:val="666155"/>
                          <w:spacing w:val="3"/>
                          <w:sz w:val="16"/>
                        </w:rPr>
                        <w:t>AND</w:t>
                      </w:r>
                      <w:r>
                        <w:rPr>
                          <w:rFonts w:ascii="Segoe UI Semibold"/>
                          <w:b/>
                          <w:color w:val="666155"/>
                          <w:spacing w:val="2"/>
                          <w:sz w:val="16"/>
                        </w:rPr>
                        <w:t> LOSS</w:t>
                      </w:r>
                      <w:r>
                        <w:rPr>
                          <w:rFonts w:ascii="Segoe UI Semibold"/>
                          <w:b/>
                          <w:color w:val="666155"/>
                          <w:spacing w:val="1"/>
                          <w:sz w:val="16"/>
                        </w:rPr>
                        <w:t> </w:t>
                      </w:r>
                      <w:r>
                        <w:rPr>
                          <w:rFonts w:ascii="Segoe UI Semibold"/>
                          <w:b/>
                          <w:color w:val="666155"/>
                          <w:spacing w:val="3"/>
                          <w:sz w:val="16"/>
                        </w:rPr>
                        <w:t>PER</w:t>
                      </w:r>
                      <w:r>
                        <w:rPr>
                          <w:rFonts w:ascii="Segoe UI Semibold"/>
                          <w:b/>
                          <w:color w:val="666155"/>
                          <w:spacing w:val="2"/>
                          <w:sz w:val="16"/>
                        </w:rPr>
                        <w:t> </w:t>
                      </w:r>
                      <w:r>
                        <w:rPr>
                          <w:rFonts w:ascii="Segoe UI Semibold"/>
                          <w:b/>
                          <w:color w:val="666155"/>
                          <w:spacing w:val="4"/>
                          <w:sz w:val="16"/>
                        </w:rPr>
                        <w:t>BOARDER</w:t>
                      </w:r>
                      <w:r>
                        <w:rPr>
                          <w:rFonts w:ascii="Segoe UI Semibold"/>
                          <w:b/>
                          <w:color w:val="666155"/>
                          <w:spacing w:val="2"/>
                          <w:sz w:val="16"/>
                        </w:rPr>
                        <w:t> </w:t>
                      </w:r>
                      <w:r>
                        <w:rPr>
                          <w:rFonts w:ascii="Segoe UI Semibold"/>
                          <w:b/>
                          <w:color w:val="666155"/>
                          <w:spacing w:val="-3"/>
                          <w:sz w:val="16"/>
                        </w:rPr>
                        <w:t>AT</w:t>
                      </w:r>
                      <w:r>
                        <w:rPr>
                          <w:rFonts w:ascii="Segoe UI Semibold"/>
                          <w:b/>
                          <w:color w:val="666155"/>
                          <w:spacing w:val="1"/>
                          <w:sz w:val="16"/>
                        </w:rPr>
                        <w:t> </w:t>
                      </w:r>
                      <w:r>
                        <w:rPr>
                          <w:rFonts w:ascii="Segoe UI Semibold"/>
                          <w:b/>
                          <w:color w:val="666155"/>
                          <w:spacing w:val="4"/>
                          <w:sz w:val="16"/>
                        </w:rPr>
                        <w:t>ABORIGINAL</w:t>
                      </w:r>
                      <w:r>
                        <w:rPr>
                          <w:rFonts w:ascii="Segoe UI Semibold"/>
                          <w:b/>
                          <w:color w:val="666155"/>
                          <w:spacing w:val="2"/>
                          <w:sz w:val="16"/>
                        </w:rPr>
                        <w:t> </w:t>
                      </w:r>
                      <w:r>
                        <w:rPr>
                          <w:rFonts w:ascii="Segoe UI Semibold"/>
                          <w:b/>
                          <w:color w:val="666155"/>
                          <w:spacing w:val="5"/>
                          <w:sz w:val="16"/>
                        </w:rPr>
                        <w:t>AND</w:t>
                      </w:r>
                      <w:r>
                        <w:rPr>
                          <w:rFonts w:ascii="Segoe UI Semibold"/>
                          <w:sz w:val="16"/>
                        </w:rPr>
                      </w:r>
                    </w:p>
                    <w:p>
                      <w:pPr>
                        <w:spacing w:line="201" w:lineRule="exact" w:before="0"/>
                        <w:ind w:left="0" w:right="0" w:firstLine="0"/>
                        <w:jc w:val="left"/>
                        <w:rPr>
                          <w:rFonts w:ascii="Segoe UI Semibold" w:hAnsi="Segoe UI Semibold" w:cs="Segoe UI Semibold" w:eastAsia="Segoe UI Semibold"/>
                          <w:sz w:val="16"/>
                          <w:szCs w:val="16"/>
                        </w:rPr>
                      </w:pPr>
                      <w:r>
                        <w:rPr>
                          <w:rFonts w:ascii="Segoe UI Semibold" w:hAnsi="Segoe UI Semibold" w:cs="Segoe UI Semibold" w:eastAsia="Segoe UI Semibold"/>
                          <w:b/>
                          <w:bCs/>
                          <w:color w:val="666155"/>
                          <w:spacing w:val="3"/>
                          <w:sz w:val="16"/>
                          <w:szCs w:val="16"/>
                        </w:rPr>
                        <w:t>TORRES</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STRAIT</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ISLANDER</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BOARDING</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PROVIDERS</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z w:val="16"/>
                          <w:szCs w:val="16"/>
                        </w:rPr>
                        <w:t>BY</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ICSEA</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3"/>
                          <w:sz w:val="16"/>
                          <w:szCs w:val="16"/>
                        </w:rPr>
                        <w:t>SCORE,</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sz w:val="16"/>
                          <w:szCs w:val="16"/>
                        </w:rPr>
                        <w:t>2015</w:t>
                      </w:r>
                      <w:r>
                        <w:rPr>
                          <w:rFonts w:ascii="Segoe UI Semibold" w:hAnsi="Segoe UI Semibold" w:cs="Segoe UI Semibold" w:eastAsia="Segoe UI Semibold"/>
                          <w:b/>
                          <w:bCs/>
                          <w:color w:val="666155"/>
                          <w:spacing w:val="-4"/>
                          <w:sz w:val="16"/>
                          <w:szCs w:val="16"/>
                        </w:rPr>
                        <w:t> </w:t>
                      </w:r>
                      <w:r>
                        <w:rPr>
                          <w:rFonts w:ascii="Segoe UI Semibold" w:hAnsi="Segoe UI Semibold" w:cs="Segoe UI Semibold" w:eastAsia="Segoe UI Semibold"/>
                          <w:b/>
                          <w:bCs/>
                          <w:color w:val="666155"/>
                          <w:position w:val="1"/>
                          <w:sz w:val="16"/>
                          <w:szCs w:val="16"/>
                        </w:rPr>
                        <w:t>—</w:t>
                      </w:r>
                      <w:r>
                        <w:rPr>
                          <w:rFonts w:ascii="Segoe UI Semibold" w:hAnsi="Segoe UI Semibold" w:cs="Segoe UI Semibold" w:eastAsia="Segoe UI Semibold"/>
                          <w:b/>
                          <w:bCs/>
                          <w:color w:val="666155"/>
                          <w:spacing w:val="-2"/>
                          <w:position w:val="1"/>
                          <w:sz w:val="16"/>
                          <w:szCs w:val="16"/>
                        </w:rPr>
                        <w:t> </w:t>
                      </w:r>
                      <w:r>
                        <w:rPr>
                          <w:rFonts w:ascii="Segoe UI Semibold" w:hAnsi="Segoe UI Semibold" w:cs="Segoe UI Semibold" w:eastAsia="Segoe UI Semibold"/>
                          <w:b/>
                          <w:bCs/>
                          <w:color w:val="666155"/>
                          <w:spacing w:val="-1"/>
                          <w:sz w:val="16"/>
                          <w:szCs w:val="16"/>
                        </w:rPr>
                        <w:t>2017</w:t>
                      </w:r>
                      <w:r>
                        <w:rPr>
                          <w:rFonts w:ascii="Segoe UI Semibold" w:hAnsi="Segoe UI Semibold" w:cs="Segoe UI Semibold" w:eastAsia="Segoe UI Semibold"/>
                          <w:sz w:val="16"/>
                          <w:szCs w:val="16"/>
                        </w:rPr>
                      </w:r>
                    </w:p>
                  </w:txbxContent>
                </v:textbox>
                <w10:wrap type="none"/>
              </v:shape>
              <v:shape style="position:absolute;left:2236;top:9183;width:425;height:147" type="#_x0000_t202" filled="false" stroked="false">
                <v:textbox inset="0,0,0,0">
                  <w:txbxContent>
                    <w:p>
                      <w:pPr>
                        <w:spacing w:line="146" w:lineRule="exact" w:before="0"/>
                        <w:ind w:left="0" w:right="0" w:firstLine="0"/>
                        <w:jc w:val="left"/>
                        <w:rPr>
                          <w:rFonts w:ascii="Segoe UI" w:hAnsi="Segoe UI" w:cs="Segoe UI" w:eastAsia="Segoe UI"/>
                          <w:sz w:val="14"/>
                          <w:szCs w:val="14"/>
                        </w:rPr>
                      </w:pPr>
                      <w:r>
                        <w:rPr>
                          <w:rFonts w:ascii="Segoe UI"/>
                          <w:color w:val="77787B"/>
                          <w:spacing w:val="-1"/>
                          <w:w w:val="105"/>
                          <w:sz w:val="14"/>
                        </w:rPr>
                        <w:t>30,000</w:t>
                      </w:r>
                      <w:r>
                        <w:rPr>
                          <w:rFonts w:ascii="Segoe UI"/>
                          <w:sz w:val="14"/>
                        </w:rPr>
                      </w:r>
                    </w:p>
                  </w:txbxContent>
                </v:textbox>
                <w10:wrap type="none"/>
              </v:shape>
              <v:shape style="position:absolute;left:5504;top:9400;width:693;height:147" type="#_x0000_t202" filled="false" stroked="false">
                <v:textbox inset="0,0,0,0">
                  <w:txbxContent>
                    <w:p>
                      <w:pPr>
                        <w:spacing w:line="146" w:lineRule="exact" w:before="0"/>
                        <w:ind w:left="0" w:right="0" w:firstLine="0"/>
                        <w:jc w:val="left"/>
                        <w:rPr>
                          <w:rFonts w:ascii="Segoe UI" w:hAnsi="Segoe UI" w:cs="Segoe UI" w:eastAsia="Segoe UI"/>
                          <w:sz w:val="14"/>
                          <w:szCs w:val="14"/>
                        </w:rPr>
                      </w:pPr>
                      <w:r>
                        <w:rPr>
                          <w:rFonts w:ascii="Segoe UI"/>
                          <w:color w:val="636466"/>
                          <w:spacing w:val="-1"/>
                          <w:w w:val="105"/>
                          <w:sz w:val="14"/>
                        </w:rPr>
                        <w:t>$23,591.01</w:t>
                      </w:r>
                      <w:r>
                        <w:rPr>
                          <w:rFonts w:ascii="Segoe UI"/>
                          <w:sz w:val="14"/>
                        </w:rPr>
                      </w:r>
                    </w:p>
                  </w:txbxContent>
                </v:textbox>
                <w10:wrap type="none"/>
              </v:shape>
              <v:shape style="position:absolute;left:2236;top:9539;width:425;height:503" type="#_x0000_t202" filled="false" stroked="false">
                <v:textbox inset="0,0,0,0">
                  <w:txbxContent>
                    <w:p>
                      <w:pPr>
                        <w:spacing w:line="146" w:lineRule="exact" w:before="0"/>
                        <w:ind w:left="0" w:right="0" w:firstLine="0"/>
                        <w:jc w:val="left"/>
                        <w:rPr>
                          <w:rFonts w:ascii="Segoe UI" w:hAnsi="Segoe UI" w:cs="Segoe UI" w:eastAsia="Segoe UI"/>
                          <w:sz w:val="14"/>
                          <w:szCs w:val="14"/>
                        </w:rPr>
                      </w:pPr>
                      <w:r>
                        <w:rPr>
                          <w:rFonts w:ascii="Segoe UI"/>
                          <w:color w:val="77787B"/>
                          <w:spacing w:val="-1"/>
                          <w:w w:val="105"/>
                          <w:sz w:val="14"/>
                        </w:rPr>
                        <w:t>25,000</w:t>
                      </w:r>
                      <w:r>
                        <w:rPr>
                          <w:rFonts w:ascii="Segoe UI"/>
                          <w:sz w:val="14"/>
                        </w:rPr>
                      </w:r>
                    </w:p>
                    <w:p>
                      <w:pPr>
                        <w:spacing w:line="240" w:lineRule="auto" w:before="9"/>
                        <w:rPr>
                          <w:rFonts w:ascii="Times New Roman" w:hAnsi="Times New Roman" w:cs="Times New Roman" w:eastAsia="Times New Roman"/>
                          <w:sz w:val="14"/>
                          <w:szCs w:val="14"/>
                        </w:rPr>
                      </w:pPr>
                    </w:p>
                    <w:p>
                      <w:pPr>
                        <w:spacing w:before="0"/>
                        <w:ind w:left="0" w:right="0" w:firstLine="0"/>
                        <w:jc w:val="left"/>
                        <w:rPr>
                          <w:rFonts w:ascii="Segoe UI" w:hAnsi="Segoe UI" w:cs="Segoe UI" w:eastAsia="Segoe UI"/>
                          <w:sz w:val="14"/>
                          <w:szCs w:val="14"/>
                        </w:rPr>
                      </w:pPr>
                      <w:r>
                        <w:rPr>
                          <w:rFonts w:ascii="Segoe UI"/>
                          <w:color w:val="77787B"/>
                          <w:spacing w:val="-1"/>
                          <w:w w:val="105"/>
                          <w:sz w:val="14"/>
                        </w:rPr>
                        <w:t>20,000</w:t>
                      </w:r>
                      <w:r>
                        <w:rPr>
                          <w:rFonts w:ascii="Segoe UI"/>
                          <w:sz w:val="14"/>
                        </w:rPr>
                      </w:r>
                    </w:p>
                  </w:txbxContent>
                </v:textbox>
                <w10:wrap type="none"/>
              </v:shape>
              <v:shape style="position:absolute;left:3262;top:9746;width:1333;height:416" type="#_x0000_t202" filled="false" stroked="false">
                <v:textbox inset="0,0,0,0">
                  <w:txbxContent>
                    <w:p>
                      <w:pPr>
                        <w:spacing w:line="146" w:lineRule="exact" w:before="0"/>
                        <w:ind w:left="638" w:right="0" w:firstLine="0"/>
                        <w:jc w:val="left"/>
                        <w:rPr>
                          <w:rFonts w:ascii="Segoe UI" w:hAnsi="Segoe UI" w:cs="Segoe UI" w:eastAsia="Segoe UI"/>
                          <w:sz w:val="14"/>
                          <w:szCs w:val="14"/>
                        </w:rPr>
                      </w:pPr>
                      <w:r>
                        <w:rPr>
                          <w:rFonts w:ascii="Segoe UI"/>
                          <w:color w:val="636466"/>
                          <w:spacing w:val="-1"/>
                          <w:w w:val="105"/>
                          <w:sz w:val="14"/>
                        </w:rPr>
                        <w:t>$16,466.08</w:t>
                      </w:r>
                      <w:r>
                        <w:rPr>
                          <w:rFonts w:ascii="Segoe UI"/>
                          <w:sz w:val="14"/>
                        </w:rPr>
                      </w:r>
                    </w:p>
                    <w:p>
                      <w:pPr>
                        <w:spacing w:before="82"/>
                        <w:ind w:left="0" w:right="0" w:firstLine="0"/>
                        <w:jc w:val="left"/>
                        <w:rPr>
                          <w:rFonts w:ascii="Segoe UI" w:hAnsi="Segoe UI" w:cs="Segoe UI" w:eastAsia="Segoe UI"/>
                          <w:sz w:val="14"/>
                          <w:szCs w:val="14"/>
                        </w:rPr>
                      </w:pPr>
                      <w:r>
                        <w:rPr>
                          <w:rFonts w:ascii="Segoe UI"/>
                          <w:color w:val="636466"/>
                          <w:spacing w:val="-1"/>
                          <w:w w:val="105"/>
                          <w:sz w:val="14"/>
                        </w:rPr>
                        <w:t>$15,984.52</w:t>
                      </w:r>
                      <w:r>
                        <w:rPr>
                          <w:rFonts w:ascii="Segoe UI"/>
                          <w:sz w:val="14"/>
                        </w:rPr>
                      </w:r>
                    </w:p>
                  </w:txbxContent>
                </v:textbox>
                <w10:wrap type="none"/>
              </v:shape>
              <v:shape style="position:absolute;left:6142;top:9646;width:693;height:147" type="#_x0000_t202" filled="false" stroked="false">
                <v:textbox inset="0,0,0,0">
                  <w:txbxContent>
                    <w:p>
                      <w:pPr>
                        <w:spacing w:line="146" w:lineRule="exact" w:before="0"/>
                        <w:ind w:left="0" w:right="0" w:firstLine="0"/>
                        <w:jc w:val="left"/>
                        <w:rPr>
                          <w:rFonts w:ascii="Segoe UI" w:hAnsi="Segoe UI" w:cs="Segoe UI" w:eastAsia="Segoe UI"/>
                          <w:sz w:val="14"/>
                          <w:szCs w:val="14"/>
                        </w:rPr>
                      </w:pPr>
                      <w:r>
                        <w:rPr>
                          <w:rFonts w:ascii="Segoe UI"/>
                          <w:color w:val="636466"/>
                          <w:spacing w:val="-1"/>
                          <w:w w:val="105"/>
                          <w:sz w:val="14"/>
                        </w:rPr>
                        <w:t>$21,405.68</w:t>
                      </w:r>
                      <w:r>
                        <w:rPr>
                          <w:rFonts w:ascii="Segoe UI"/>
                          <w:sz w:val="14"/>
                        </w:rPr>
                      </w:r>
                    </w:p>
                  </w:txbxContent>
                </v:textbox>
                <w10:wrap type="none"/>
              </v:shape>
              <v:shape style="position:absolute;left:2148;top:10251;width:514;height:1928" type="#_x0000_t202" filled="false" stroked="false">
                <v:textbox inset="0,0,0,0">
                  <w:txbxContent>
                    <w:p>
                      <w:pPr>
                        <w:spacing w:line="146" w:lineRule="exact" w:before="0"/>
                        <w:ind w:left="88" w:right="0" w:firstLine="0"/>
                        <w:jc w:val="left"/>
                        <w:rPr>
                          <w:rFonts w:ascii="Segoe UI" w:hAnsi="Segoe UI" w:cs="Segoe UI" w:eastAsia="Segoe UI"/>
                          <w:sz w:val="14"/>
                          <w:szCs w:val="14"/>
                        </w:rPr>
                      </w:pPr>
                      <w:r>
                        <w:rPr>
                          <w:rFonts w:ascii="Segoe UI"/>
                          <w:color w:val="77787B"/>
                          <w:spacing w:val="-1"/>
                          <w:w w:val="105"/>
                          <w:sz w:val="14"/>
                        </w:rPr>
                        <w:t>15,000</w:t>
                      </w:r>
                      <w:r>
                        <w:rPr>
                          <w:rFonts w:ascii="Segoe UI"/>
                          <w:sz w:val="14"/>
                        </w:rPr>
                      </w:r>
                    </w:p>
                    <w:p>
                      <w:pPr>
                        <w:spacing w:line="240" w:lineRule="auto" w:before="9"/>
                        <w:rPr>
                          <w:rFonts w:ascii="Times New Roman" w:hAnsi="Times New Roman" w:cs="Times New Roman" w:eastAsia="Times New Roman"/>
                          <w:sz w:val="14"/>
                          <w:szCs w:val="14"/>
                        </w:rPr>
                      </w:pPr>
                    </w:p>
                    <w:p>
                      <w:pPr>
                        <w:spacing w:before="0"/>
                        <w:ind w:left="88" w:right="0" w:firstLine="0"/>
                        <w:jc w:val="left"/>
                        <w:rPr>
                          <w:rFonts w:ascii="Segoe UI" w:hAnsi="Segoe UI" w:cs="Segoe UI" w:eastAsia="Segoe UI"/>
                          <w:sz w:val="14"/>
                          <w:szCs w:val="14"/>
                        </w:rPr>
                      </w:pPr>
                      <w:r>
                        <w:rPr>
                          <w:rFonts w:ascii="Segoe UI"/>
                          <w:color w:val="77787B"/>
                          <w:spacing w:val="-1"/>
                          <w:w w:val="105"/>
                          <w:sz w:val="14"/>
                        </w:rPr>
                        <w:t>10,000</w:t>
                      </w:r>
                      <w:r>
                        <w:rPr>
                          <w:rFonts w:ascii="Segoe UI"/>
                          <w:sz w:val="14"/>
                        </w:rPr>
                      </w:r>
                    </w:p>
                    <w:p>
                      <w:pPr>
                        <w:spacing w:line="240" w:lineRule="auto" w:before="9"/>
                        <w:rPr>
                          <w:rFonts w:ascii="Times New Roman" w:hAnsi="Times New Roman" w:cs="Times New Roman" w:eastAsia="Times New Roman"/>
                          <w:sz w:val="14"/>
                          <w:szCs w:val="14"/>
                        </w:rPr>
                      </w:pPr>
                    </w:p>
                    <w:p>
                      <w:pPr>
                        <w:spacing w:before="0"/>
                        <w:ind w:left="166" w:right="0" w:firstLine="0"/>
                        <w:jc w:val="center"/>
                        <w:rPr>
                          <w:rFonts w:ascii="Segoe UI" w:hAnsi="Segoe UI" w:cs="Segoe UI" w:eastAsia="Segoe UI"/>
                          <w:sz w:val="14"/>
                          <w:szCs w:val="14"/>
                        </w:rPr>
                      </w:pPr>
                      <w:r>
                        <w:rPr>
                          <w:rFonts w:ascii="Segoe UI"/>
                          <w:color w:val="77787B"/>
                          <w:spacing w:val="-1"/>
                          <w:sz w:val="14"/>
                        </w:rPr>
                        <w:t>5,000</w:t>
                      </w:r>
                      <w:r>
                        <w:rPr>
                          <w:rFonts w:ascii="Segoe UI"/>
                          <w:sz w:val="14"/>
                        </w:rPr>
                      </w:r>
                    </w:p>
                    <w:p>
                      <w:pPr>
                        <w:spacing w:line="240" w:lineRule="auto" w:before="9"/>
                        <w:rPr>
                          <w:rFonts w:ascii="Times New Roman" w:hAnsi="Times New Roman" w:cs="Times New Roman" w:eastAsia="Times New Roman"/>
                          <w:sz w:val="14"/>
                          <w:szCs w:val="14"/>
                        </w:rPr>
                      </w:pPr>
                    </w:p>
                    <w:p>
                      <w:pPr>
                        <w:spacing w:before="0"/>
                        <w:ind w:left="0" w:right="0" w:firstLine="0"/>
                        <w:jc w:val="right"/>
                        <w:rPr>
                          <w:rFonts w:ascii="Segoe UI" w:hAnsi="Segoe UI" w:cs="Segoe UI" w:eastAsia="Segoe UI"/>
                          <w:sz w:val="14"/>
                          <w:szCs w:val="14"/>
                        </w:rPr>
                      </w:pPr>
                      <w:r>
                        <w:rPr>
                          <w:rFonts w:ascii="Segoe UI"/>
                          <w:color w:val="77787B"/>
                          <w:sz w:val="14"/>
                        </w:rPr>
                        <w:t>0</w:t>
                      </w:r>
                      <w:r>
                        <w:rPr>
                          <w:rFonts w:ascii="Segoe UI"/>
                          <w:sz w:val="14"/>
                        </w:rPr>
                      </w:r>
                    </w:p>
                    <w:p>
                      <w:pPr>
                        <w:spacing w:line="240" w:lineRule="auto" w:before="9"/>
                        <w:rPr>
                          <w:rFonts w:ascii="Times New Roman" w:hAnsi="Times New Roman" w:cs="Times New Roman" w:eastAsia="Times New Roman"/>
                          <w:sz w:val="14"/>
                          <w:szCs w:val="14"/>
                        </w:rPr>
                      </w:pPr>
                    </w:p>
                    <w:p>
                      <w:pPr>
                        <w:spacing w:before="0"/>
                        <w:ind w:left="78" w:right="0" w:firstLine="0"/>
                        <w:jc w:val="left"/>
                        <w:rPr>
                          <w:rFonts w:ascii="Segoe UI" w:hAnsi="Segoe UI" w:cs="Segoe UI" w:eastAsia="Segoe UI"/>
                          <w:sz w:val="14"/>
                          <w:szCs w:val="14"/>
                        </w:rPr>
                      </w:pPr>
                      <w:r>
                        <w:rPr>
                          <w:rFonts w:ascii="Segoe UI"/>
                          <w:color w:val="77787B"/>
                          <w:spacing w:val="-1"/>
                          <w:w w:val="105"/>
                          <w:sz w:val="14"/>
                        </w:rPr>
                        <w:t>(5,000)</w:t>
                      </w:r>
                      <w:r>
                        <w:rPr>
                          <w:rFonts w:ascii="Segoe UI"/>
                          <w:sz w:val="14"/>
                        </w:rPr>
                      </w:r>
                    </w:p>
                    <w:p>
                      <w:pPr>
                        <w:spacing w:line="240" w:lineRule="auto" w:before="9"/>
                        <w:rPr>
                          <w:rFonts w:ascii="Times New Roman" w:hAnsi="Times New Roman" w:cs="Times New Roman" w:eastAsia="Times New Roman"/>
                          <w:sz w:val="14"/>
                          <w:szCs w:val="14"/>
                        </w:rPr>
                      </w:pPr>
                    </w:p>
                    <w:p>
                      <w:pPr>
                        <w:spacing w:before="0"/>
                        <w:ind w:left="0" w:right="1" w:firstLine="0"/>
                        <w:jc w:val="center"/>
                        <w:rPr>
                          <w:rFonts w:ascii="Segoe UI" w:hAnsi="Segoe UI" w:cs="Segoe UI" w:eastAsia="Segoe UI"/>
                          <w:sz w:val="14"/>
                          <w:szCs w:val="14"/>
                        </w:rPr>
                      </w:pPr>
                      <w:r>
                        <w:rPr>
                          <w:rFonts w:ascii="Segoe UI"/>
                          <w:color w:val="77787B"/>
                          <w:spacing w:val="-1"/>
                          <w:sz w:val="14"/>
                        </w:rPr>
                        <w:t>(10,000)</w:t>
                      </w:r>
                      <w:r>
                        <w:rPr>
                          <w:rFonts w:ascii="Segoe UI"/>
                          <w:sz w:val="14"/>
                        </w:rPr>
                      </w:r>
                    </w:p>
                  </w:txbxContent>
                </v:textbox>
                <w10:wrap type="none"/>
              </v:shape>
              <v:shape style="position:absolute;left:3655;top:12392;width:552;height:147" type="#_x0000_t202" filled="false" stroked="false">
                <v:textbox inset="0,0,0,0">
                  <w:txbxContent>
                    <w:p>
                      <w:pPr>
                        <w:spacing w:line="146" w:lineRule="exact" w:before="0"/>
                        <w:ind w:left="0" w:right="0" w:firstLine="0"/>
                        <w:jc w:val="left"/>
                        <w:rPr>
                          <w:rFonts w:ascii="Segoe UI" w:hAnsi="Segoe UI" w:cs="Segoe UI" w:eastAsia="Segoe UI"/>
                          <w:sz w:val="14"/>
                          <w:szCs w:val="14"/>
                        </w:rPr>
                      </w:pPr>
                      <w:r>
                        <w:rPr>
                          <w:rFonts w:ascii="Segoe UI"/>
                          <w:color w:val="77787B"/>
                          <w:spacing w:val="-1"/>
                          <w:w w:val="105"/>
                          <w:sz w:val="14"/>
                        </w:rPr>
                        <w:t>Revenue</w:t>
                      </w:r>
                      <w:r>
                        <w:rPr>
                          <w:rFonts w:ascii="Segoe UI"/>
                          <w:sz w:val="14"/>
                        </w:rPr>
                      </w:r>
                    </w:p>
                  </w:txbxContent>
                </v:textbox>
                <w10:wrap type="none"/>
              </v:shape>
              <v:shape style="position:absolute;left:5367;top:12649;width:389;height:147" type="#_x0000_t202" filled="false" stroked="false">
                <v:textbox inset="0,0,0,0">
                  <w:txbxContent>
                    <w:p>
                      <w:pPr>
                        <w:spacing w:line="146" w:lineRule="exact" w:before="0"/>
                        <w:ind w:left="0" w:right="0" w:firstLine="0"/>
                        <w:jc w:val="left"/>
                        <w:rPr>
                          <w:rFonts w:ascii="Segoe UI" w:hAnsi="Segoe UI" w:cs="Segoe UI" w:eastAsia="Segoe UI"/>
                          <w:sz w:val="14"/>
                          <w:szCs w:val="14"/>
                        </w:rPr>
                      </w:pPr>
                      <w:r>
                        <w:rPr>
                          <w:rFonts w:ascii="Segoe UI"/>
                          <w:color w:val="77787B"/>
                          <w:spacing w:val="-1"/>
                          <w:w w:val="105"/>
                          <w:sz w:val="14"/>
                        </w:rPr>
                        <w:t>Lower</w:t>
                      </w:r>
                      <w:r>
                        <w:rPr>
                          <w:rFonts w:ascii="Segoe UI"/>
                          <w:sz w:val="14"/>
                        </w:rPr>
                      </w:r>
                    </w:p>
                  </w:txbxContent>
                </v:textbox>
                <w10:wrap type="none"/>
              </v:shape>
              <v:shape style="position:absolute;left:6006;top:12392;width:435;height:404" type="#_x0000_t202" filled="false" stroked="false">
                <v:textbox inset="0,0,0,0">
                  <w:txbxContent>
                    <w:p>
                      <w:pPr>
                        <w:spacing w:line="146" w:lineRule="exact" w:before="0"/>
                        <w:ind w:left="0" w:right="0" w:firstLine="23"/>
                        <w:jc w:val="left"/>
                        <w:rPr>
                          <w:rFonts w:ascii="Segoe UI" w:hAnsi="Segoe UI" w:cs="Segoe UI" w:eastAsia="Segoe UI"/>
                          <w:sz w:val="14"/>
                          <w:szCs w:val="14"/>
                        </w:rPr>
                      </w:pPr>
                      <w:r>
                        <w:rPr>
                          <w:rFonts w:ascii="Segoe UI"/>
                          <w:color w:val="77787B"/>
                          <w:spacing w:val="-1"/>
                          <w:w w:val="105"/>
                          <w:sz w:val="14"/>
                        </w:rPr>
                        <w:t>Cost</w:t>
                      </w:r>
                      <w:r>
                        <w:rPr>
                          <w:rFonts w:ascii="Segoe UI"/>
                          <w:sz w:val="14"/>
                        </w:rPr>
                      </w:r>
                    </w:p>
                    <w:p>
                      <w:pPr>
                        <w:spacing w:before="71"/>
                        <w:ind w:left="0" w:right="0" w:firstLine="0"/>
                        <w:jc w:val="left"/>
                        <w:rPr>
                          <w:rFonts w:ascii="Segoe UI" w:hAnsi="Segoe UI" w:cs="Segoe UI" w:eastAsia="Segoe UI"/>
                          <w:sz w:val="14"/>
                          <w:szCs w:val="14"/>
                        </w:rPr>
                      </w:pPr>
                      <w:r>
                        <w:rPr>
                          <w:rFonts w:ascii="Segoe UI"/>
                          <w:color w:val="77787B"/>
                          <w:spacing w:val="-1"/>
                          <w:w w:val="105"/>
                          <w:sz w:val="14"/>
                        </w:rPr>
                        <w:t>Higher</w:t>
                      </w:r>
                      <w:r>
                        <w:rPr>
                          <w:rFonts w:ascii="Segoe UI"/>
                          <w:sz w:val="14"/>
                        </w:rPr>
                      </w:r>
                    </w:p>
                  </w:txbxContent>
                </v:textbox>
                <w10:wrap type="none"/>
              </v:shape>
              <v:shape style="position:absolute;left:7757;top:11863;width:1312;height:676" type="#_x0000_t202" filled="false" stroked="false">
                <v:textbox inset="0,0,0,0">
                  <w:txbxContent>
                    <w:p>
                      <w:pPr>
                        <w:spacing w:line="146" w:lineRule="exact" w:before="0"/>
                        <w:ind w:left="638" w:right="0" w:firstLine="0"/>
                        <w:jc w:val="left"/>
                        <w:rPr>
                          <w:rFonts w:ascii="Segoe UI" w:hAnsi="Segoe UI" w:cs="Segoe UI" w:eastAsia="Segoe UI"/>
                          <w:sz w:val="14"/>
                          <w:szCs w:val="14"/>
                        </w:rPr>
                      </w:pPr>
                      <w:r>
                        <w:rPr>
                          <w:rFonts w:ascii="Segoe UI"/>
                          <w:color w:val="636466"/>
                          <w:spacing w:val="-1"/>
                          <w:w w:val="105"/>
                          <w:sz w:val="14"/>
                        </w:rPr>
                        <w:t>-$4,939.60</w:t>
                      </w:r>
                      <w:r>
                        <w:rPr>
                          <w:rFonts w:ascii="Segoe UI"/>
                          <w:sz w:val="14"/>
                        </w:rPr>
                      </w:r>
                    </w:p>
                    <w:p>
                      <w:pPr>
                        <w:spacing w:before="75"/>
                        <w:ind w:left="0" w:right="0" w:firstLine="0"/>
                        <w:jc w:val="left"/>
                        <w:rPr>
                          <w:rFonts w:ascii="Segoe UI" w:hAnsi="Segoe UI" w:cs="Segoe UI" w:eastAsia="Segoe UI"/>
                          <w:sz w:val="14"/>
                          <w:szCs w:val="14"/>
                        </w:rPr>
                      </w:pPr>
                      <w:r>
                        <w:rPr>
                          <w:rFonts w:ascii="Segoe UI"/>
                          <w:color w:val="636466"/>
                          <w:spacing w:val="-1"/>
                          <w:w w:val="105"/>
                          <w:position w:val="2"/>
                          <w:sz w:val="14"/>
                        </w:rPr>
                        <w:t>-</w:t>
                      </w:r>
                      <w:r>
                        <w:rPr>
                          <w:rFonts w:ascii="Segoe UI"/>
                          <w:color w:val="636466"/>
                          <w:spacing w:val="-1"/>
                          <w:w w:val="105"/>
                          <w:sz w:val="14"/>
                        </w:rPr>
                        <w:t>$7,606.49</w:t>
                      </w:r>
                      <w:r>
                        <w:rPr>
                          <w:rFonts w:ascii="Segoe UI"/>
                          <w:sz w:val="14"/>
                        </w:rPr>
                      </w:r>
                    </w:p>
                    <w:p>
                      <w:pPr>
                        <w:spacing w:before="61"/>
                        <w:ind w:left="323" w:right="0" w:firstLine="0"/>
                        <w:jc w:val="left"/>
                        <w:rPr>
                          <w:rFonts w:ascii="Segoe UI" w:hAnsi="Segoe UI" w:cs="Segoe UI" w:eastAsia="Segoe UI"/>
                          <w:sz w:val="14"/>
                          <w:szCs w:val="14"/>
                        </w:rPr>
                      </w:pPr>
                      <w:r>
                        <w:rPr>
                          <w:rFonts w:ascii="Segoe UI"/>
                          <w:color w:val="77787B"/>
                          <w:spacing w:val="-1"/>
                          <w:w w:val="105"/>
                          <w:sz w:val="14"/>
                        </w:rPr>
                        <w:t>Net</w:t>
                      </w:r>
                      <w:r>
                        <w:rPr>
                          <w:rFonts w:ascii="Segoe UI"/>
                          <w:color w:val="77787B"/>
                          <w:spacing w:val="-7"/>
                          <w:w w:val="105"/>
                          <w:sz w:val="14"/>
                        </w:rPr>
                        <w:t> </w:t>
                      </w:r>
                      <w:r>
                        <w:rPr>
                          <w:rFonts w:ascii="Segoe UI"/>
                          <w:color w:val="77787B"/>
                          <w:spacing w:val="-1"/>
                          <w:w w:val="105"/>
                          <w:sz w:val="14"/>
                        </w:rPr>
                        <w:t>Result</w:t>
                      </w:r>
                      <w:r>
                        <w:rPr>
                          <w:rFonts w:ascii="Segoe UI"/>
                          <w:sz w:val="14"/>
                        </w:rPr>
                      </w:r>
                    </w:p>
                  </w:txbxContent>
                </v:textbox>
                <w10:wrap type="none"/>
              </v:shape>
            </v:group>
            <w10:wrap type="none"/>
          </v:group>
        </w:pict>
      </w:r>
      <w:r>
        <w:rPr/>
        <w:pict>
          <v:shape style="position:absolute;margin-left:101.415794pt;margin-top:530.19519pt;width:9.35pt;height:5.95pt;mso-position-horizontal-relative:page;mso-position-vertical-relative:page;z-index:7576" type="#_x0000_t202" filled="false" stroked="false">
            <v:textbox inset="0,0,0,0" style="layout-flow:vertical;mso-layout-flow-alt:bottom-to-top">
              <w:txbxContent>
                <w:p>
                  <w:pPr>
                    <w:spacing w:line="166" w:lineRule="exact" w:before="0"/>
                    <w:ind w:left="20" w:right="0" w:firstLine="0"/>
                    <w:jc w:val="left"/>
                    <w:rPr>
                      <w:rFonts w:ascii="Segoe UI" w:hAnsi="Segoe UI" w:cs="Segoe UI" w:eastAsia="Segoe UI"/>
                      <w:sz w:val="14"/>
                      <w:szCs w:val="14"/>
                    </w:rPr>
                  </w:pPr>
                  <w:r>
                    <w:rPr>
                      <w:rFonts w:ascii="Segoe UI"/>
                      <w:color w:val="77787B"/>
                      <w:w w:val="104"/>
                      <w:sz w:val="14"/>
                    </w:rPr>
                    <w:t>$</w:t>
                  </w:r>
                  <w:r>
                    <w:rPr>
                      <w:rFonts w:ascii="Segoe UI"/>
                      <w:sz w:val="14"/>
                    </w:rPr>
                  </w:r>
                </w:p>
              </w:txbxContent>
            </v:textbox>
            <w10:wrap type="none"/>
          </v:shape>
        </w:pict>
      </w:r>
      <w:r>
        <w:rPr/>
        <w:pict>
          <v:shape style="position:absolute;margin-left:111.735779pt;margin-top:243.795486pt;width:8.8pt;height:5.65pt;mso-position-horizontal-relative:page;mso-position-vertical-relative:page;z-index:7600" type="#_x0000_t202" filled="false" stroked="false">
            <v:textbox inset="0,0,0,0" style="layout-flow:vertical;mso-layout-flow-alt:bottom-to-top">
              <w:txbxContent>
                <w:p>
                  <w:pPr>
                    <w:spacing w:line="155" w:lineRule="exact" w:before="0"/>
                    <w:ind w:left="20" w:right="0" w:firstLine="0"/>
                    <w:jc w:val="left"/>
                    <w:rPr>
                      <w:rFonts w:ascii="Segoe UI" w:hAnsi="Segoe UI" w:cs="Segoe UI" w:eastAsia="Segoe UI"/>
                      <w:sz w:val="13"/>
                      <w:szCs w:val="13"/>
                    </w:rPr>
                  </w:pPr>
                  <w:r>
                    <w:rPr>
                      <w:rFonts w:ascii="Segoe UI"/>
                      <w:color w:val="77787B"/>
                      <w:w w:val="104"/>
                      <w:sz w:val="13"/>
                    </w:rPr>
                    <w:t>$</w:t>
                  </w:r>
                  <w:r>
                    <w:rPr>
                      <w:rFonts w:ascii="Segoe UI"/>
                      <w:sz w:val="13"/>
                    </w:rPr>
                  </w:r>
                </w:p>
              </w:txbxContent>
            </v:textbox>
            <w10:wrap type="none"/>
          </v:shape>
        </w:pict>
      </w:r>
    </w:p>
    <w:p>
      <w:pPr>
        <w:spacing w:after="0" w:line="240" w:lineRule="auto"/>
        <w:rPr>
          <w:rFonts w:ascii="Times New Roman" w:hAnsi="Times New Roman" w:cs="Times New Roman" w:eastAsia="Times New Roman"/>
          <w:sz w:val="17"/>
          <w:szCs w:val="17"/>
        </w:rPr>
        <w:sectPr>
          <w:pgSz w:w="11910" w:h="16840"/>
          <w:pgMar w:header="0" w:footer="691" w:top="1580" w:bottom="880" w:left="1300" w:right="0"/>
        </w:sectPr>
      </w:pPr>
    </w:p>
    <w:p>
      <w:pPr>
        <w:spacing w:line="240" w:lineRule="auto" w:before="0"/>
        <w:rPr>
          <w:rFonts w:ascii="Times New Roman" w:hAnsi="Times New Roman" w:cs="Times New Roman" w:eastAsia="Times New Roman"/>
          <w:sz w:val="20"/>
          <w:szCs w:val="20"/>
        </w:rPr>
      </w:pPr>
    </w:p>
    <w:p>
      <w:pPr>
        <w:spacing w:line="240" w:lineRule="auto" w:before="1"/>
        <w:rPr>
          <w:rFonts w:ascii="Times New Roman" w:hAnsi="Times New Roman" w:cs="Times New Roman" w:eastAsia="Times New Roman"/>
          <w:sz w:val="28"/>
          <w:szCs w:val="28"/>
        </w:rPr>
      </w:pPr>
    </w:p>
    <w:p>
      <w:pPr>
        <w:spacing w:after="0" w:line="240" w:lineRule="auto"/>
        <w:rPr>
          <w:rFonts w:ascii="Times New Roman" w:hAnsi="Times New Roman" w:cs="Times New Roman" w:eastAsia="Times New Roman"/>
          <w:sz w:val="28"/>
          <w:szCs w:val="28"/>
        </w:rPr>
        <w:sectPr>
          <w:pgSz w:w="11910" w:h="16840"/>
          <w:pgMar w:header="0" w:footer="691" w:top="1580" w:bottom="880" w:left="1600" w:right="1300"/>
        </w:sectPr>
      </w:pPr>
    </w:p>
    <w:p>
      <w:pPr>
        <w:pStyle w:val="BodyText"/>
        <w:spacing w:line="250" w:lineRule="exact" w:before="62"/>
        <w:ind w:left="100" w:right="6"/>
        <w:jc w:val="left"/>
      </w:pPr>
      <w:r>
        <w:rPr>
          <w:rFonts w:ascii="Segoe UI"/>
          <w:color w:val="231F20"/>
        </w:rPr>
        <w:t>The</w:t>
      </w:r>
      <w:r>
        <w:rPr>
          <w:rFonts w:ascii="Segoe UI"/>
          <w:color w:val="231F20"/>
          <w:spacing w:val="-2"/>
        </w:rPr>
        <w:t> </w:t>
      </w:r>
      <w:r>
        <w:rPr>
          <w:rFonts w:ascii="Segoe UI"/>
          <w:color w:val="231F20"/>
        </w:rPr>
        <w:t>differential</w:t>
      </w:r>
      <w:r>
        <w:rPr>
          <w:rFonts w:ascii="Segoe UI"/>
          <w:color w:val="231F20"/>
          <w:spacing w:val="-1"/>
        </w:rPr>
        <w:t> </w:t>
      </w:r>
      <w:r>
        <w:rPr>
          <w:rFonts w:ascii="Segoe UI"/>
          <w:color w:val="231F20"/>
        </w:rPr>
        <w:t>in</w:t>
      </w:r>
      <w:r>
        <w:rPr>
          <w:rFonts w:ascii="Segoe UI"/>
          <w:color w:val="231F20"/>
          <w:spacing w:val="-2"/>
        </w:rPr>
        <w:t> </w:t>
      </w:r>
      <w:r>
        <w:rPr>
          <w:rFonts w:ascii="Segoe UI"/>
          <w:color w:val="231F20"/>
        </w:rPr>
        <w:t>the</w:t>
      </w:r>
      <w:r>
        <w:rPr>
          <w:rFonts w:ascii="Segoe UI"/>
          <w:color w:val="231F20"/>
          <w:spacing w:val="-1"/>
        </w:rPr>
        <w:t> </w:t>
      </w:r>
      <w:r>
        <w:rPr>
          <w:rFonts w:ascii="Segoe UI"/>
          <w:color w:val="231F20"/>
        </w:rPr>
        <w:t>average</w:t>
      </w:r>
      <w:r>
        <w:rPr>
          <w:rFonts w:ascii="Segoe UI"/>
          <w:color w:val="231F20"/>
          <w:spacing w:val="-1"/>
        </w:rPr>
        <w:t> </w:t>
      </w:r>
      <w:r>
        <w:rPr>
          <w:rFonts w:ascii="Segoe UI"/>
          <w:color w:val="231F20"/>
        </w:rPr>
        <w:t>cost</w:t>
      </w:r>
      <w:r>
        <w:rPr>
          <w:rFonts w:ascii="Segoe UI"/>
          <w:color w:val="231F20"/>
          <w:spacing w:val="-2"/>
        </w:rPr>
        <w:t> </w:t>
      </w:r>
      <w:r>
        <w:rPr>
          <w:rFonts w:ascii="Segoe UI"/>
          <w:color w:val="231F20"/>
        </w:rPr>
        <w:t>of</w:t>
      </w:r>
      <w:r>
        <w:rPr>
          <w:rFonts w:ascii="Segoe UI"/>
          <w:color w:val="231F20"/>
          <w:spacing w:val="-1"/>
        </w:rPr>
        <w:t> </w:t>
      </w:r>
      <w:r>
        <w:rPr>
          <w:rFonts w:ascii="Segoe UI"/>
          <w:color w:val="231F20"/>
        </w:rPr>
        <w:t>boarding</w:t>
      </w:r>
      <w:r>
        <w:rPr>
          <w:rFonts w:ascii="Segoe UI"/>
          <w:color w:val="231F20"/>
        </w:rPr>
        <w:t> </w:t>
      </w:r>
      <w:r>
        <w:rPr>
          <w:color w:val="231F20"/>
        </w:rPr>
        <w:t>at</w:t>
      </w:r>
      <w:r>
        <w:rPr>
          <w:color w:val="231F20"/>
          <w:spacing w:val="-5"/>
        </w:rPr>
        <w:t> </w:t>
      </w:r>
      <w:r>
        <w:rPr>
          <w:color w:val="231F20"/>
        </w:rPr>
        <w:t>the</w:t>
      </w:r>
      <w:r>
        <w:rPr>
          <w:color w:val="231F20"/>
          <w:spacing w:val="-5"/>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5"/>
        </w:rPr>
        <w:t> </w:t>
      </w:r>
      <w:r>
        <w:rPr>
          <w:color w:val="231F20"/>
          <w:spacing w:val="-1"/>
        </w:rPr>
        <w:t>Islander</w:t>
      </w:r>
      <w:r>
        <w:rPr>
          <w:color w:val="231F20"/>
          <w:spacing w:val="29"/>
          <w:w w:val="99"/>
        </w:rPr>
        <w:t> </w:t>
      </w:r>
      <w:r>
        <w:rPr>
          <w:color w:val="231F20"/>
        </w:rPr>
        <w:t>boarding</w:t>
      </w:r>
      <w:r>
        <w:rPr>
          <w:color w:val="231F20"/>
          <w:spacing w:val="-7"/>
        </w:rPr>
        <w:t> </w:t>
      </w:r>
      <w:r>
        <w:rPr>
          <w:color w:val="231F20"/>
        </w:rPr>
        <w:t>providers</w:t>
      </w:r>
      <w:r>
        <w:rPr>
          <w:color w:val="231F20"/>
          <w:spacing w:val="-6"/>
        </w:rPr>
        <w:t> </w:t>
      </w:r>
      <w:r>
        <w:rPr>
          <w:color w:val="231F20"/>
        </w:rPr>
        <w:t>with</w:t>
      </w:r>
      <w:r>
        <w:rPr>
          <w:color w:val="231F20"/>
          <w:spacing w:val="-6"/>
        </w:rPr>
        <w:t> </w:t>
      </w:r>
      <w:r>
        <w:rPr>
          <w:color w:val="231F20"/>
        </w:rPr>
        <w:t>a</w:t>
      </w:r>
      <w:r>
        <w:rPr>
          <w:color w:val="231F20"/>
          <w:spacing w:val="-5"/>
        </w:rPr>
        <w:t> </w:t>
      </w:r>
      <w:r>
        <w:rPr>
          <w:color w:val="231F20"/>
          <w:spacing w:val="-1"/>
        </w:rPr>
        <w:t>lower</w:t>
      </w:r>
      <w:r>
        <w:rPr>
          <w:color w:val="231F20"/>
          <w:spacing w:val="-5"/>
        </w:rPr>
        <w:t> </w:t>
      </w:r>
      <w:r>
        <w:rPr>
          <w:color w:val="231F20"/>
          <w:spacing w:val="-1"/>
        </w:rPr>
        <w:t>ICSEA</w:t>
      </w:r>
      <w:r>
        <w:rPr>
          <w:color w:val="231F20"/>
          <w:spacing w:val="-5"/>
        </w:rPr>
        <w:t> </w:t>
      </w:r>
      <w:r>
        <w:rPr>
          <w:color w:val="231F20"/>
          <w:spacing w:val="-1"/>
        </w:rPr>
        <w:t>score</w:t>
      </w:r>
      <w:r>
        <w:rPr>
          <w:color w:val="231F20"/>
          <w:spacing w:val="22"/>
          <w:w w:val="99"/>
        </w:rPr>
        <w:t> </w:t>
      </w:r>
      <w:r>
        <w:rPr>
          <w:color w:val="231F20"/>
        </w:rPr>
        <w:t>($23,951),</w:t>
      </w:r>
      <w:r>
        <w:rPr>
          <w:color w:val="231F20"/>
          <w:spacing w:val="-7"/>
        </w:rPr>
        <w:t> </w:t>
      </w:r>
      <w:r>
        <w:rPr>
          <w:color w:val="231F20"/>
        </w:rPr>
        <w:t>and</w:t>
      </w:r>
      <w:r>
        <w:rPr>
          <w:color w:val="231F20"/>
          <w:spacing w:val="-7"/>
        </w:rPr>
        <w:t> </w:t>
      </w:r>
      <w:r>
        <w:rPr>
          <w:color w:val="231F20"/>
        </w:rPr>
        <w:t>the</w:t>
      </w:r>
      <w:r>
        <w:rPr>
          <w:color w:val="231F20"/>
          <w:spacing w:val="-6"/>
        </w:rPr>
        <w:t> </w:t>
      </w:r>
      <w:r>
        <w:rPr>
          <w:color w:val="231F20"/>
          <w:spacing w:val="-1"/>
        </w:rPr>
        <w:t>mainstream</w:t>
      </w:r>
      <w:r>
        <w:rPr>
          <w:color w:val="231F20"/>
          <w:spacing w:val="-5"/>
        </w:rPr>
        <w:t> </w:t>
      </w:r>
      <w:r>
        <w:rPr>
          <w:color w:val="231F20"/>
        </w:rPr>
        <w:t>boarding</w:t>
      </w:r>
      <w:r>
        <w:rPr>
          <w:color w:val="231F20"/>
          <w:spacing w:val="22"/>
          <w:w w:val="99"/>
        </w:rPr>
        <w:t> </w:t>
      </w:r>
      <w:r>
        <w:rPr>
          <w:color w:val="231F20"/>
        </w:rPr>
        <w:t>providers</w:t>
      </w:r>
      <w:r>
        <w:rPr>
          <w:color w:val="231F20"/>
          <w:spacing w:val="-7"/>
        </w:rPr>
        <w:t> </w:t>
      </w:r>
      <w:r>
        <w:rPr>
          <w:color w:val="231F20"/>
        </w:rPr>
        <w:t>($19,381),</w:t>
      </w:r>
      <w:r>
        <w:rPr>
          <w:color w:val="231F20"/>
          <w:spacing w:val="-6"/>
        </w:rPr>
        <w:t> </w:t>
      </w:r>
      <w:r>
        <w:rPr>
          <w:color w:val="231F20"/>
          <w:spacing w:val="-1"/>
        </w:rPr>
        <w:t>is</w:t>
      </w:r>
      <w:r>
        <w:rPr>
          <w:color w:val="231F20"/>
          <w:spacing w:val="-7"/>
        </w:rPr>
        <w:t> </w:t>
      </w:r>
      <w:r>
        <w:rPr>
          <w:color w:val="231F20"/>
          <w:spacing w:val="-1"/>
        </w:rPr>
        <w:t>$4,570</w:t>
      </w:r>
      <w:r>
        <w:rPr>
          <w:color w:val="231F20"/>
          <w:spacing w:val="-5"/>
        </w:rPr>
        <w:t> </w:t>
      </w:r>
      <w:r>
        <w:rPr>
          <w:color w:val="231F20"/>
        </w:rPr>
        <w:t>per</w:t>
      </w:r>
      <w:r>
        <w:rPr>
          <w:color w:val="231F20"/>
          <w:spacing w:val="-6"/>
        </w:rPr>
        <w:t> </w:t>
      </w:r>
      <w:r>
        <w:rPr>
          <w:color w:val="231F20"/>
        </w:rPr>
        <w:t>boarder.</w:t>
      </w:r>
      <w:r>
        <w:rPr/>
      </w:r>
    </w:p>
    <w:p>
      <w:pPr>
        <w:pStyle w:val="BodyText"/>
        <w:spacing w:line="250" w:lineRule="exact" w:before="113"/>
        <w:ind w:left="100" w:right="6"/>
        <w:jc w:val="left"/>
      </w:pPr>
      <w:r>
        <w:rPr>
          <w:color w:val="231F20"/>
        </w:rPr>
        <w:t>A</w:t>
      </w:r>
      <w:r>
        <w:rPr>
          <w:color w:val="231F20"/>
          <w:spacing w:val="-6"/>
        </w:rPr>
        <w:t> </w:t>
      </w:r>
      <w:r>
        <w:rPr>
          <w:color w:val="231F20"/>
        </w:rPr>
        <w:t>comparison</w:t>
      </w:r>
      <w:r>
        <w:rPr>
          <w:color w:val="231F20"/>
          <w:spacing w:val="-7"/>
        </w:rPr>
        <w:t> </w:t>
      </w:r>
      <w:r>
        <w:rPr>
          <w:color w:val="231F20"/>
        </w:rPr>
        <w:t>of</w:t>
      </w:r>
      <w:r>
        <w:rPr>
          <w:color w:val="231F20"/>
          <w:spacing w:val="-5"/>
        </w:rPr>
        <w:t> </w:t>
      </w:r>
      <w:r>
        <w:rPr>
          <w:color w:val="231F20"/>
        </w:rPr>
        <w:t>the</w:t>
      </w:r>
      <w:r>
        <w:rPr>
          <w:color w:val="231F20"/>
          <w:spacing w:val="-7"/>
        </w:rPr>
        <w:t> </w:t>
      </w:r>
      <w:r>
        <w:rPr>
          <w:color w:val="231F20"/>
        </w:rPr>
        <w:t>three-year</w:t>
      </w:r>
      <w:r>
        <w:rPr>
          <w:color w:val="231F20"/>
          <w:spacing w:val="-7"/>
        </w:rPr>
        <w:t> </w:t>
      </w:r>
      <w:r>
        <w:rPr>
          <w:color w:val="231F20"/>
        </w:rPr>
        <w:t>averages</w:t>
      </w:r>
      <w:r>
        <w:rPr>
          <w:color w:val="231F20"/>
          <w:spacing w:val="-6"/>
        </w:rPr>
        <w:t> </w:t>
      </w:r>
      <w:r>
        <w:rPr>
          <w:color w:val="231F20"/>
        </w:rPr>
        <w:t>of</w:t>
      </w:r>
      <w:r>
        <w:rPr>
          <w:color w:val="231F20"/>
          <w:w w:val="99"/>
        </w:rPr>
        <w:t> </w:t>
      </w:r>
      <w:r>
        <w:rPr>
          <w:color w:val="231F20"/>
        </w:rPr>
        <w:t>annual</w:t>
      </w:r>
      <w:r>
        <w:rPr>
          <w:color w:val="231F20"/>
          <w:spacing w:val="-5"/>
        </w:rPr>
        <w:t> </w:t>
      </w:r>
      <w:r>
        <w:rPr>
          <w:color w:val="231F20"/>
        </w:rPr>
        <w:t>revenue,</w:t>
      </w:r>
      <w:r>
        <w:rPr>
          <w:color w:val="231F20"/>
          <w:spacing w:val="-5"/>
        </w:rPr>
        <w:t> </w:t>
      </w:r>
      <w:r>
        <w:rPr>
          <w:color w:val="231F20"/>
        </w:rPr>
        <w:t>costs</w:t>
      </w:r>
      <w:r>
        <w:rPr>
          <w:color w:val="231F20"/>
          <w:spacing w:val="-5"/>
        </w:rPr>
        <w:t> </w:t>
      </w:r>
      <w:r>
        <w:rPr>
          <w:color w:val="231F20"/>
        </w:rPr>
        <w:t>and</w:t>
      </w:r>
      <w:r>
        <w:rPr>
          <w:color w:val="231F20"/>
          <w:spacing w:val="-5"/>
        </w:rPr>
        <w:t> </w:t>
      </w:r>
      <w:r>
        <w:rPr>
          <w:color w:val="231F20"/>
          <w:spacing w:val="-1"/>
        </w:rPr>
        <w:t>surplus/(loss)</w:t>
      </w:r>
      <w:r>
        <w:rPr>
          <w:color w:val="231F20"/>
          <w:spacing w:val="-3"/>
        </w:rPr>
        <w:t> </w:t>
      </w:r>
      <w:r>
        <w:rPr>
          <w:color w:val="231F20"/>
        </w:rPr>
        <w:t>per</w:t>
      </w:r>
      <w:r>
        <w:rPr>
          <w:color w:val="231F20"/>
          <w:spacing w:val="22"/>
          <w:w w:val="99"/>
        </w:rPr>
        <w:t> </w:t>
      </w:r>
      <w:r>
        <w:rPr>
          <w:rFonts w:ascii="Segoe UI"/>
          <w:color w:val="231F20"/>
        </w:rPr>
        <w:t>boarder by ICSEA classification of Aboriginal</w:t>
      </w:r>
      <w:r>
        <w:rPr>
          <w:rFonts w:ascii="Segoe UI"/>
          <w:color w:val="231F20"/>
        </w:rPr>
        <w:t> </w:t>
      </w:r>
      <w:r>
        <w:rPr>
          <w:color w:val="231F20"/>
        </w:rPr>
        <w:t>and</w:t>
      </w:r>
      <w:r>
        <w:rPr>
          <w:color w:val="231F20"/>
          <w:spacing w:val="-6"/>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5"/>
        </w:rPr>
        <w:t> </w:t>
      </w:r>
      <w:r>
        <w:rPr>
          <w:color w:val="231F20"/>
        </w:rPr>
        <w:t>boarding</w:t>
      </w:r>
      <w:r>
        <w:rPr>
          <w:color w:val="231F20"/>
          <w:spacing w:val="-6"/>
        </w:rPr>
        <w:t> </w:t>
      </w:r>
      <w:r>
        <w:rPr>
          <w:color w:val="231F20"/>
        </w:rPr>
        <w:t>providers</w:t>
      </w:r>
      <w:r>
        <w:rPr>
          <w:color w:val="231F20"/>
          <w:spacing w:val="-6"/>
        </w:rPr>
        <w:t> </w:t>
      </w:r>
      <w:r>
        <w:rPr>
          <w:color w:val="231F20"/>
          <w:spacing w:val="-1"/>
        </w:rPr>
        <w:t>is</w:t>
      </w:r>
      <w:r>
        <w:rPr>
          <w:color w:val="231F20"/>
          <w:spacing w:val="20"/>
        </w:rPr>
        <w:t> </w:t>
      </w:r>
      <w:r>
        <w:rPr>
          <w:color w:val="231F20"/>
          <w:spacing w:val="-1"/>
        </w:rPr>
        <w:t>set</w:t>
      </w:r>
      <w:r>
        <w:rPr>
          <w:color w:val="231F20"/>
          <w:spacing w:val="-4"/>
        </w:rPr>
        <w:t> </w:t>
      </w:r>
      <w:r>
        <w:rPr>
          <w:color w:val="231F20"/>
        </w:rPr>
        <w:t>out</w:t>
      </w:r>
      <w:r>
        <w:rPr>
          <w:color w:val="231F20"/>
          <w:spacing w:val="-4"/>
        </w:rPr>
        <w:t> </w:t>
      </w:r>
      <w:r>
        <w:rPr>
          <w:color w:val="231F20"/>
          <w:spacing w:val="-1"/>
        </w:rPr>
        <w:t>in</w:t>
      </w:r>
      <w:r>
        <w:rPr>
          <w:color w:val="231F20"/>
          <w:spacing w:val="-4"/>
        </w:rPr>
        <w:t> </w:t>
      </w:r>
      <w:r>
        <w:rPr>
          <w:color w:val="231F20"/>
        </w:rPr>
        <w:t>the</w:t>
      </w:r>
      <w:r>
        <w:rPr>
          <w:color w:val="231F20"/>
          <w:spacing w:val="-5"/>
        </w:rPr>
        <w:t> </w:t>
      </w:r>
      <w:r>
        <w:rPr>
          <w:color w:val="231F20"/>
        </w:rPr>
        <w:t>following</w:t>
      </w:r>
      <w:r>
        <w:rPr>
          <w:color w:val="231F20"/>
          <w:spacing w:val="-4"/>
        </w:rPr>
        <w:t> </w:t>
      </w:r>
      <w:r>
        <w:rPr>
          <w:color w:val="231F20"/>
        </w:rPr>
        <w:t>graph.</w:t>
      </w:r>
      <w:r>
        <w:rPr/>
      </w:r>
    </w:p>
    <w:p>
      <w:pPr>
        <w:pStyle w:val="BodyText"/>
        <w:spacing w:line="250" w:lineRule="exact" w:before="113"/>
        <w:ind w:left="100" w:right="6"/>
        <w:jc w:val="left"/>
      </w:pPr>
      <w:r>
        <w:rPr>
          <w:rFonts w:ascii="Segoe UI" w:hAnsi="Segoe UI" w:cs="Segoe UI" w:eastAsia="Segoe UI"/>
          <w:color w:val="231F20"/>
        </w:rPr>
        <w:t>The findings in this report are similar to those </w:t>
      </w:r>
      <w:r>
        <w:rPr>
          <w:color w:val="231F20"/>
          <w:spacing w:val="-1"/>
        </w:rPr>
        <w:t>in</w:t>
      </w:r>
      <w:r>
        <w:rPr>
          <w:color w:val="231F20"/>
          <w:spacing w:val="-6"/>
        </w:rPr>
        <w:t> </w:t>
      </w:r>
      <w:r>
        <w:rPr>
          <w:color w:val="231F20"/>
        </w:rPr>
        <w:t>other</w:t>
      </w:r>
      <w:r>
        <w:rPr>
          <w:color w:val="231F20"/>
          <w:spacing w:val="-5"/>
        </w:rPr>
        <w:t> </w:t>
      </w:r>
      <w:r>
        <w:rPr>
          <w:color w:val="231F20"/>
        </w:rPr>
        <w:t>reviews</w:t>
      </w:r>
      <w:r>
        <w:rPr>
          <w:color w:val="231F20"/>
          <w:spacing w:val="-6"/>
        </w:rPr>
        <w:t> </w:t>
      </w:r>
      <w:r>
        <w:rPr>
          <w:color w:val="231F20"/>
        </w:rPr>
        <w:t>and</w:t>
      </w:r>
      <w:r>
        <w:rPr>
          <w:color w:val="231F20"/>
          <w:spacing w:val="-6"/>
        </w:rPr>
        <w:t> </w:t>
      </w:r>
      <w:r>
        <w:rPr>
          <w:color w:val="231F20"/>
        </w:rPr>
        <w:t>reports—the</w:t>
      </w:r>
      <w:r>
        <w:rPr>
          <w:color w:val="231F20"/>
          <w:spacing w:val="-7"/>
        </w:rPr>
        <w:t> </w:t>
      </w:r>
      <w:r>
        <w:rPr>
          <w:color w:val="231F20"/>
          <w:spacing w:val="-1"/>
        </w:rPr>
        <w:t>investment</w:t>
      </w:r>
      <w:r>
        <w:rPr>
          <w:color w:val="231F20"/>
          <w:spacing w:val="21"/>
        </w:rPr>
        <w:t> </w:t>
      </w:r>
      <w:r>
        <w:rPr>
          <w:color w:val="231F20"/>
        </w:rPr>
        <w:t>required</w:t>
      </w:r>
      <w:r>
        <w:rPr>
          <w:color w:val="231F20"/>
          <w:spacing w:val="-7"/>
        </w:rPr>
        <w:t> </w:t>
      </w:r>
      <w:r>
        <w:rPr>
          <w:color w:val="231F20"/>
        </w:rPr>
        <w:t>to</w:t>
      </w:r>
      <w:r>
        <w:rPr>
          <w:color w:val="231F20"/>
          <w:spacing w:val="-6"/>
        </w:rPr>
        <w:t> </w:t>
      </w:r>
      <w:r>
        <w:rPr>
          <w:color w:val="231F20"/>
          <w:spacing w:val="-1"/>
        </w:rPr>
        <w:t>support</w:t>
      </w:r>
      <w:r>
        <w:rPr>
          <w:color w:val="231F20"/>
          <w:spacing w:val="-5"/>
        </w:rPr>
        <w:t> </w:t>
      </w:r>
      <w:r>
        <w:rPr>
          <w:color w:val="231F20"/>
        </w:rPr>
        <w:t>Aboriginal</w:t>
      </w:r>
      <w:r>
        <w:rPr>
          <w:color w:val="231F20"/>
          <w:spacing w:val="-6"/>
        </w:rPr>
        <w:t> </w:t>
      </w:r>
      <w:r>
        <w:rPr>
          <w:color w:val="231F20"/>
        </w:rPr>
        <w:t>and</w:t>
      </w:r>
      <w:r>
        <w:rPr>
          <w:color w:val="231F20"/>
          <w:spacing w:val="-7"/>
        </w:rPr>
        <w:t> </w:t>
      </w:r>
      <w:r>
        <w:rPr>
          <w:color w:val="231F20"/>
          <w:spacing w:val="-5"/>
        </w:rPr>
        <w:t>Torres</w:t>
      </w:r>
      <w:r>
        <w:rPr>
          <w:color w:val="231F20"/>
          <w:w w:val="99"/>
        </w:rPr>
        <w:t> </w:t>
      </w:r>
      <w:r>
        <w:rPr>
          <w:color w:val="231F20"/>
          <w:spacing w:val="25"/>
          <w:w w:val="99"/>
        </w:rPr>
        <w:t> </w:t>
      </w:r>
      <w:r>
        <w:rPr>
          <w:color w:val="231F20"/>
          <w:spacing w:val="-2"/>
        </w:rPr>
        <w:t>Strait</w:t>
      </w:r>
      <w:r>
        <w:rPr>
          <w:color w:val="231F20"/>
          <w:spacing w:val="-6"/>
        </w:rPr>
        <w:t> </w:t>
      </w:r>
      <w:r>
        <w:rPr>
          <w:color w:val="231F20"/>
          <w:spacing w:val="-1"/>
        </w:rPr>
        <w:t>Islanders</w:t>
      </w:r>
      <w:r>
        <w:rPr>
          <w:color w:val="231F20"/>
          <w:spacing w:val="-4"/>
        </w:rPr>
        <w:t> </w:t>
      </w:r>
      <w:r>
        <w:rPr>
          <w:color w:val="231F20"/>
          <w:spacing w:val="-1"/>
        </w:rPr>
        <w:t>in</w:t>
      </w:r>
      <w:r>
        <w:rPr>
          <w:color w:val="231F20"/>
          <w:spacing w:val="-5"/>
        </w:rPr>
        <w:t> </w:t>
      </w:r>
      <w:r>
        <w:rPr>
          <w:color w:val="231F20"/>
        </w:rPr>
        <w:t>boarding</w:t>
      </w:r>
      <w:r>
        <w:rPr>
          <w:color w:val="231F20"/>
          <w:spacing w:val="-5"/>
        </w:rPr>
        <w:t> </w:t>
      </w:r>
      <w:r>
        <w:rPr>
          <w:color w:val="231F20"/>
          <w:spacing w:val="-1"/>
        </w:rPr>
        <w:t>increases</w:t>
      </w:r>
      <w:r>
        <w:rPr>
          <w:color w:val="231F20"/>
          <w:spacing w:val="-4"/>
        </w:rPr>
        <w:t> </w:t>
      </w:r>
      <w:r>
        <w:rPr>
          <w:color w:val="231F20"/>
        </w:rPr>
        <w:t>with</w:t>
      </w:r>
      <w:r>
        <w:rPr>
          <w:color w:val="231F20"/>
          <w:spacing w:val="-6"/>
        </w:rPr>
        <w:t> </w:t>
      </w:r>
      <w:r>
        <w:rPr>
          <w:color w:val="231F20"/>
        </w:rPr>
        <w:t>the</w:t>
      </w:r>
      <w:r>
        <w:rPr>
          <w:color w:val="231F20"/>
          <w:spacing w:val="29"/>
          <w:w w:val="99"/>
        </w:rPr>
        <w:t> </w:t>
      </w:r>
      <w:r>
        <w:rPr>
          <w:color w:val="231F20"/>
          <w:spacing w:val="-1"/>
        </w:rPr>
        <w:t>level</w:t>
      </w:r>
      <w:r>
        <w:rPr>
          <w:color w:val="231F20"/>
          <w:spacing w:val="-4"/>
        </w:rPr>
        <w:t> </w:t>
      </w:r>
      <w:r>
        <w:rPr>
          <w:color w:val="231F20"/>
        </w:rPr>
        <w:t>of</w:t>
      </w:r>
      <w:r>
        <w:rPr>
          <w:color w:val="231F20"/>
          <w:spacing w:val="-3"/>
        </w:rPr>
        <w:t> </w:t>
      </w:r>
      <w:r>
        <w:rPr>
          <w:color w:val="231F20"/>
        </w:rPr>
        <w:t>disadvantage</w:t>
      </w:r>
      <w:r>
        <w:rPr>
          <w:color w:val="231F20"/>
          <w:spacing w:val="-5"/>
        </w:rPr>
        <w:t> </w:t>
      </w:r>
      <w:r>
        <w:rPr>
          <w:color w:val="231F20"/>
        </w:rPr>
        <w:t>of</w:t>
      </w:r>
      <w:r>
        <w:rPr>
          <w:color w:val="231F20"/>
          <w:spacing w:val="-3"/>
        </w:rPr>
        <w:t> </w:t>
      </w:r>
      <w:r>
        <w:rPr>
          <w:color w:val="231F20"/>
        </w:rPr>
        <w:t>the</w:t>
      </w:r>
      <w:r>
        <w:rPr>
          <w:color w:val="231F20"/>
          <w:spacing w:val="-5"/>
        </w:rPr>
        <w:t> </w:t>
      </w:r>
      <w:r>
        <w:rPr>
          <w:color w:val="231F20"/>
          <w:spacing w:val="-1"/>
        </w:rPr>
        <w:t>students</w:t>
      </w:r>
      <w:r>
        <w:rPr>
          <w:color w:val="231F20"/>
          <w:spacing w:val="-3"/>
        </w:rPr>
        <w:t> </w:t>
      </w:r>
      <w:r>
        <w:rPr>
          <w:color w:val="231F20"/>
        </w:rPr>
        <w:t>and</w:t>
      </w:r>
      <w:r>
        <w:rPr>
          <w:color w:val="231F20"/>
          <w:spacing w:val="-5"/>
        </w:rPr>
        <w:t> </w:t>
      </w:r>
      <w:r>
        <w:rPr>
          <w:color w:val="231F20"/>
        </w:rPr>
        <w:t>the</w:t>
      </w:r>
      <w:r>
        <w:rPr>
          <w:color w:val="231F20"/>
          <w:spacing w:val="23"/>
          <w:w w:val="99"/>
        </w:rPr>
        <w:t> </w:t>
      </w:r>
      <w:r>
        <w:rPr>
          <w:color w:val="231F20"/>
        </w:rPr>
        <w:t>boarding</w:t>
      </w:r>
      <w:r>
        <w:rPr>
          <w:color w:val="231F20"/>
          <w:spacing w:val="-11"/>
        </w:rPr>
        <w:t> </w:t>
      </w:r>
      <w:r>
        <w:rPr>
          <w:color w:val="231F20"/>
        </w:rPr>
        <w:t>provider.</w:t>
      </w:r>
      <w:r>
        <w:rPr>
          <w:color w:val="231F20"/>
          <w:spacing w:val="-11"/>
        </w:rPr>
        <w:t> </w:t>
      </w:r>
      <w:r>
        <w:rPr>
          <w:color w:val="231F20"/>
        </w:rPr>
        <w:t>More</w:t>
      </w:r>
      <w:r>
        <w:rPr>
          <w:color w:val="231F20"/>
          <w:spacing w:val="-10"/>
        </w:rPr>
        <w:t> </w:t>
      </w:r>
      <w:r>
        <w:rPr>
          <w:color w:val="231F20"/>
          <w:spacing w:val="-1"/>
        </w:rPr>
        <w:t>information</w:t>
      </w:r>
      <w:r>
        <w:rPr>
          <w:color w:val="231F20"/>
          <w:spacing w:val="-10"/>
        </w:rPr>
        <w:t> </w:t>
      </w:r>
      <w:r>
        <w:rPr>
          <w:color w:val="231F20"/>
        </w:rPr>
        <w:t>regarding</w:t>
      </w:r>
      <w:r>
        <w:rPr>
          <w:color w:val="231F20"/>
          <w:spacing w:val="22"/>
          <w:w w:val="99"/>
        </w:rPr>
        <w:t> </w:t>
      </w:r>
      <w:r>
        <w:rPr>
          <w:color w:val="231F20"/>
        </w:rPr>
        <w:t>disadvantage</w:t>
      </w:r>
      <w:r>
        <w:rPr>
          <w:color w:val="231F20"/>
          <w:spacing w:val="-9"/>
        </w:rPr>
        <w:t> </w:t>
      </w:r>
      <w:r>
        <w:rPr>
          <w:color w:val="231F20"/>
          <w:spacing w:val="-1"/>
        </w:rPr>
        <w:t>is</w:t>
      </w:r>
      <w:r>
        <w:rPr>
          <w:color w:val="231F20"/>
          <w:spacing w:val="-8"/>
        </w:rPr>
        <w:t> </w:t>
      </w:r>
      <w:r>
        <w:rPr>
          <w:color w:val="231F20"/>
        </w:rPr>
        <w:t>provided</w:t>
      </w:r>
      <w:r>
        <w:rPr>
          <w:color w:val="231F20"/>
          <w:spacing w:val="-9"/>
        </w:rPr>
        <w:t> </w:t>
      </w:r>
      <w:r>
        <w:rPr>
          <w:color w:val="231F20"/>
        </w:rPr>
        <w:t>throughout</w:t>
      </w:r>
      <w:r>
        <w:rPr>
          <w:color w:val="231F20"/>
          <w:spacing w:val="-8"/>
        </w:rPr>
        <w:t> </w:t>
      </w:r>
      <w:r>
        <w:rPr>
          <w:color w:val="231F20"/>
        </w:rPr>
        <w:t>this</w:t>
      </w:r>
      <w:r>
        <w:rPr>
          <w:color w:val="231F20"/>
          <w:spacing w:val="21"/>
        </w:rPr>
        <w:t> </w:t>
      </w:r>
      <w:r>
        <w:rPr>
          <w:color w:val="231F20"/>
        </w:rPr>
        <w:t>report.</w:t>
      </w:r>
      <w:r>
        <w:rPr/>
      </w:r>
    </w:p>
    <w:p>
      <w:pPr>
        <w:pStyle w:val="BodyText"/>
        <w:spacing w:line="250" w:lineRule="exact" w:before="113"/>
        <w:ind w:left="100" w:right="182"/>
        <w:jc w:val="left"/>
        <w:rPr>
          <w:rFonts w:ascii="Segoe UI Semibold" w:hAnsi="Segoe UI Semibold" w:cs="Segoe UI Semibold" w:eastAsia="Segoe UI Semibold"/>
          <w:sz w:val="11"/>
          <w:szCs w:val="11"/>
        </w:rPr>
      </w:pPr>
      <w:r>
        <w:rPr>
          <w:color w:val="231F20"/>
        </w:rPr>
        <w:t>ABSTUDY</w:t>
      </w:r>
      <w:r>
        <w:rPr>
          <w:color w:val="231F20"/>
          <w:spacing w:val="-7"/>
        </w:rPr>
        <w:t> </w:t>
      </w:r>
      <w:r>
        <w:rPr>
          <w:color w:val="231F20"/>
        </w:rPr>
        <w:t>payments</w:t>
      </w:r>
      <w:r>
        <w:rPr>
          <w:color w:val="231F20"/>
          <w:spacing w:val="-6"/>
        </w:rPr>
        <w:t> </w:t>
      </w:r>
      <w:r>
        <w:rPr>
          <w:color w:val="231F20"/>
        </w:rPr>
        <w:t>are</w:t>
      </w:r>
      <w:r>
        <w:rPr>
          <w:color w:val="231F20"/>
          <w:spacing w:val="-6"/>
        </w:rPr>
        <w:t> </w:t>
      </w:r>
      <w:r>
        <w:rPr>
          <w:color w:val="231F20"/>
        </w:rPr>
        <w:t>already</w:t>
      </w:r>
      <w:r>
        <w:rPr>
          <w:color w:val="231F20"/>
          <w:spacing w:val="-7"/>
        </w:rPr>
        <w:t> </w:t>
      </w:r>
      <w:r>
        <w:rPr>
          <w:color w:val="231F20"/>
          <w:spacing w:val="-1"/>
        </w:rPr>
        <w:t>structured</w:t>
      </w:r>
      <w:r>
        <w:rPr>
          <w:color w:val="231F20"/>
          <w:spacing w:val="-4"/>
        </w:rPr>
        <w:t> </w:t>
      </w:r>
      <w:r>
        <w:rPr>
          <w:color w:val="231F20"/>
          <w:spacing w:val="-1"/>
        </w:rPr>
        <w:t>in</w:t>
      </w:r>
      <w:r>
        <w:rPr>
          <w:color w:val="231F20"/>
          <w:spacing w:val="21"/>
        </w:rPr>
        <w:t> </w:t>
      </w:r>
      <w:r>
        <w:rPr>
          <w:color w:val="231F20"/>
        </w:rPr>
        <w:t>way</w:t>
      </w:r>
      <w:r>
        <w:rPr>
          <w:color w:val="231F20"/>
          <w:spacing w:val="-5"/>
        </w:rPr>
        <w:t> </w:t>
      </w:r>
      <w:r>
        <w:rPr>
          <w:color w:val="231F20"/>
        </w:rPr>
        <w:t>that</w:t>
      </w:r>
      <w:r>
        <w:rPr>
          <w:color w:val="231F20"/>
          <w:spacing w:val="-5"/>
        </w:rPr>
        <w:t> </w:t>
      </w:r>
      <w:r>
        <w:rPr>
          <w:color w:val="231F20"/>
          <w:spacing w:val="-1"/>
        </w:rPr>
        <w:t>is</w:t>
      </w:r>
      <w:r>
        <w:rPr>
          <w:color w:val="231F20"/>
          <w:spacing w:val="-4"/>
        </w:rPr>
        <w:t> </w:t>
      </w:r>
      <w:r>
        <w:rPr>
          <w:color w:val="231F20"/>
          <w:spacing w:val="-1"/>
        </w:rPr>
        <w:t>intended</w:t>
      </w:r>
      <w:r>
        <w:rPr>
          <w:color w:val="231F20"/>
          <w:spacing w:val="-4"/>
        </w:rPr>
        <w:t> </w:t>
      </w:r>
      <w:r>
        <w:rPr>
          <w:color w:val="231F20"/>
        </w:rPr>
        <w:t>to</w:t>
      </w:r>
      <w:r>
        <w:rPr>
          <w:color w:val="231F20"/>
          <w:spacing w:val="-4"/>
        </w:rPr>
        <w:t> </w:t>
      </w:r>
      <w:r>
        <w:rPr>
          <w:color w:val="231F20"/>
        </w:rPr>
        <w:t>address</w:t>
      </w:r>
      <w:r>
        <w:rPr>
          <w:color w:val="231F20"/>
          <w:spacing w:val="-4"/>
        </w:rPr>
        <w:t> </w:t>
      </w:r>
      <w:r>
        <w:rPr>
          <w:color w:val="231F20"/>
        </w:rPr>
        <w:t>elements</w:t>
      </w:r>
      <w:r>
        <w:rPr>
          <w:color w:val="231F20"/>
          <w:spacing w:val="-5"/>
        </w:rPr>
        <w:t> </w:t>
      </w:r>
      <w:r>
        <w:rPr>
          <w:color w:val="231F20"/>
        </w:rPr>
        <w:t>of</w:t>
      </w:r>
      <w:r>
        <w:rPr>
          <w:color w:val="231F20"/>
          <w:spacing w:val="23"/>
          <w:w w:val="99"/>
        </w:rPr>
        <w:t> </w:t>
      </w:r>
      <w:r>
        <w:rPr>
          <w:color w:val="231F20"/>
          <w:spacing w:val="-1"/>
        </w:rPr>
        <w:t>disadvantage.</w:t>
      </w:r>
      <w:r>
        <w:rPr>
          <w:rFonts w:ascii="Segoe UI Semibold"/>
          <w:b/>
          <w:color w:val="231F20"/>
          <w:spacing w:val="-1"/>
          <w:position w:val="7"/>
          <w:sz w:val="11"/>
        </w:rPr>
        <w:t>156</w:t>
      </w:r>
      <w:r>
        <w:rPr>
          <w:rFonts w:ascii="Segoe UI Semibold"/>
          <w:sz w:val="11"/>
        </w:rPr>
      </w:r>
    </w:p>
    <w:p>
      <w:pPr>
        <w:pStyle w:val="BodyText"/>
        <w:spacing w:line="250" w:lineRule="exact" w:before="113"/>
        <w:ind w:left="100" w:right="11"/>
        <w:jc w:val="left"/>
      </w:pPr>
      <w:r>
        <w:rPr>
          <w:color w:val="231F20"/>
        </w:rPr>
        <w:t>ABSTUDY</w:t>
      </w:r>
      <w:r>
        <w:rPr>
          <w:color w:val="231F20"/>
          <w:spacing w:val="-5"/>
        </w:rPr>
        <w:t> </w:t>
      </w:r>
      <w:r>
        <w:rPr>
          <w:color w:val="231F20"/>
        </w:rPr>
        <w:t>Living</w:t>
      </w:r>
      <w:r>
        <w:rPr>
          <w:color w:val="231F20"/>
          <w:spacing w:val="-5"/>
        </w:rPr>
        <w:t> </w:t>
      </w:r>
      <w:r>
        <w:rPr>
          <w:color w:val="231F20"/>
        </w:rPr>
        <w:t>Allowance</w:t>
      </w:r>
      <w:r>
        <w:rPr>
          <w:color w:val="231F20"/>
          <w:spacing w:val="-4"/>
        </w:rPr>
        <w:t> </w:t>
      </w:r>
      <w:r>
        <w:rPr>
          <w:color w:val="231F20"/>
          <w:spacing w:val="-1"/>
        </w:rPr>
        <w:t>is</w:t>
      </w:r>
      <w:r>
        <w:rPr>
          <w:color w:val="231F20"/>
          <w:spacing w:val="-5"/>
        </w:rPr>
        <w:t> </w:t>
      </w:r>
      <w:r>
        <w:rPr>
          <w:color w:val="231F20"/>
          <w:spacing w:val="-1"/>
        </w:rPr>
        <w:t>means</w:t>
      </w:r>
      <w:r>
        <w:rPr>
          <w:color w:val="231F20"/>
          <w:spacing w:val="-4"/>
        </w:rPr>
        <w:t> </w:t>
      </w:r>
      <w:r>
        <w:rPr>
          <w:color w:val="231F20"/>
        </w:rPr>
        <w:t>tested</w:t>
      </w:r>
      <w:r>
        <w:rPr>
          <w:color w:val="231F20"/>
          <w:spacing w:val="-4"/>
        </w:rPr>
        <w:t> </w:t>
      </w:r>
      <w:r>
        <w:rPr>
          <w:color w:val="231F20"/>
        </w:rPr>
        <w:t>and</w:t>
      </w:r>
      <w:r>
        <w:rPr>
          <w:color w:val="231F20"/>
          <w:spacing w:val="22"/>
          <w:w w:val="99"/>
        </w:rPr>
        <w:t> </w:t>
      </w:r>
      <w:r>
        <w:rPr>
          <w:color w:val="231F20"/>
        </w:rPr>
        <w:t>parents</w:t>
      </w:r>
      <w:r>
        <w:rPr>
          <w:color w:val="231F20"/>
          <w:spacing w:val="-6"/>
        </w:rPr>
        <w:t> </w:t>
      </w:r>
      <w:r>
        <w:rPr>
          <w:color w:val="231F20"/>
        </w:rPr>
        <w:t>and</w:t>
      </w:r>
      <w:r>
        <w:rPr>
          <w:color w:val="231F20"/>
          <w:spacing w:val="-5"/>
        </w:rPr>
        <w:t> </w:t>
      </w:r>
      <w:r>
        <w:rPr>
          <w:color w:val="231F20"/>
        </w:rPr>
        <w:t>guardians</w:t>
      </w:r>
      <w:r>
        <w:rPr>
          <w:color w:val="231F20"/>
          <w:spacing w:val="-6"/>
        </w:rPr>
        <w:t> </w:t>
      </w:r>
      <w:r>
        <w:rPr>
          <w:color w:val="231F20"/>
        </w:rPr>
        <w:t>with</w:t>
      </w:r>
      <w:r>
        <w:rPr>
          <w:color w:val="231F20"/>
          <w:spacing w:val="-5"/>
        </w:rPr>
        <w:t> </w:t>
      </w:r>
      <w:r>
        <w:rPr>
          <w:color w:val="231F20"/>
          <w:spacing w:val="-1"/>
        </w:rPr>
        <w:t>lower</w:t>
      </w:r>
      <w:r>
        <w:rPr>
          <w:color w:val="231F20"/>
          <w:spacing w:val="-5"/>
        </w:rPr>
        <w:t> </w:t>
      </w:r>
      <w:r>
        <w:rPr>
          <w:color w:val="231F20"/>
          <w:spacing w:val="-1"/>
        </w:rPr>
        <w:t>incomes</w:t>
      </w:r>
      <w:r>
        <w:rPr>
          <w:color w:val="231F20"/>
          <w:spacing w:val="-5"/>
        </w:rPr>
        <w:t> </w:t>
      </w:r>
      <w:r>
        <w:rPr>
          <w:color w:val="231F20"/>
        </w:rPr>
        <w:t>will</w:t>
      </w:r>
      <w:r>
        <w:rPr>
          <w:color w:val="231F20"/>
          <w:spacing w:val="23"/>
        </w:rPr>
        <w:t> </w:t>
      </w:r>
      <w:r>
        <w:rPr>
          <w:color w:val="231F20"/>
        </w:rPr>
        <w:t>be</w:t>
      </w:r>
      <w:r>
        <w:rPr>
          <w:color w:val="231F20"/>
          <w:spacing w:val="-5"/>
        </w:rPr>
        <w:t> </w:t>
      </w:r>
      <w:r>
        <w:rPr>
          <w:color w:val="231F20"/>
        </w:rPr>
        <w:t>entitled</w:t>
      </w:r>
      <w:r>
        <w:rPr>
          <w:color w:val="231F20"/>
          <w:spacing w:val="-5"/>
        </w:rPr>
        <w:t> </w:t>
      </w:r>
      <w:r>
        <w:rPr>
          <w:color w:val="231F20"/>
        </w:rPr>
        <w:t>to</w:t>
      </w:r>
      <w:r>
        <w:rPr>
          <w:color w:val="231F20"/>
          <w:spacing w:val="-4"/>
        </w:rPr>
        <w:t> </w:t>
      </w:r>
      <w:r>
        <w:rPr>
          <w:color w:val="231F20"/>
        </w:rPr>
        <w:t>the</w:t>
      </w:r>
      <w:r>
        <w:rPr>
          <w:color w:val="231F20"/>
          <w:spacing w:val="-5"/>
        </w:rPr>
        <w:t> </w:t>
      </w:r>
      <w:r>
        <w:rPr>
          <w:color w:val="231F20"/>
          <w:spacing w:val="-1"/>
        </w:rPr>
        <w:t>maximum</w:t>
      </w:r>
      <w:r>
        <w:rPr>
          <w:color w:val="231F20"/>
          <w:spacing w:val="-4"/>
        </w:rPr>
        <w:t> </w:t>
      </w:r>
      <w:r>
        <w:rPr>
          <w:color w:val="231F20"/>
        </w:rPr>
        <w:t>payment</w:t>
      </w:r>
      <w:r>
        <w:rPr>
          <w:color w:val="231F20"/>
          <w:spacing w:val="-5"/>
        </w:rPr>
        <w:t> </w:t>
      </w:r>
      <w:r>
        <w:rPr>
          <w:color w:val="231F20"/>
        </w:rPr>
        <w:t>rate.</w:t>
      </w:r>
      <w:r>
        <w:rPr>
          <w:color w:val="231F20"/>
          <w:spacing w:val="-5"/>
        </w:rPr>
        <w:t> </w:t>
      </w:r>
      <w:r>
        <w:rPr>
          <w:color w:val="231F20"/>
        </w:rPr>
        <w:t>The</w:t>
      </w:r>
      <w:r>
        <w:rPr>
          <w:color w:val="231F20"/>
          <w:spacing w:val="22"/>
          <w:w w:val="99"/>
        </w:rPr>
        <w:t> </w:t>
      </w:r>
      <w:r>
        <w:rPr>
          <w:color w:val="231F20"/>
        </w:rPr>
        <w:t>entitlement</w:t>
      </w:r>
      <w:r>
        <w:rPr>
          <w:color w:val="231F20"/>
          <w:spacing w:val="-10"/>
        </w:rPr>
        <w:t> </w:t>
      </w:r>
      <w:r>
        <w:rPr>
          <w:color w:val="231F20"/>
        </w:rPr>
        <w:t>reduces</w:t>
      </w:r>
      <w:r>
        <w:rPr>
          <w:color w:val="231F20"/>
          <w:spacing w:val="-10"/>
        </w:rPr>
        <w:t> </w:t>
      </w:r>
      <w:r>
        <w:rPr>
          <w:color w:val="231F20"/>
        </w:rPr>
        <w:t>for</w:t>
      </w:r>
      <w:r>
        <w:rPr>
          <w:color w:val="231F20"/>
          <w:spacing w:val="-10"/>
        </w:rPr>
        <w:t> </w:t>
      </w:r>
      <w:r>
        <w:rPr>
          <w:color w:val="231F20"/>
        </w:rPr>
        <w:t>dependent</w:t>
      </w:r>
      <w:r>
        <w:rPr>
          <w:color w:val="231F20"/>
          <w:spacing w:val="-10"/>
        </w:rPr>
        <w:t> </w:t>
      </w:r>
      <w:r>
        <w:rPr>
          <w:color w:val="231F20"/>
        </w:rPr>
        <w:t>children</w:t>
      </w:r>
      <w:r>
        <w:rPr/>
      </w:r>
    </w:p>
    <w:p>
      <w:pPr>
        <w:pStyle w:val="BodyText"/>
        <w:spacing w:line="250" w:lineRule="exact"/>
        <w:ind w:left="100" w:right="60"/>
        <w:jc w:val="left"/>
      </w:pPr>
      <w:r>
        <w:rPr>
          <w:rFonts w:ascii="Segoe UI"/>
          <w:color w:val="231F20"/>
        </w:rPr>
        <w:t>as parental income in the previous financial </w:t>
      </w:r>
      <w:r>
        <w:rPr>
          <w:color w:val="231F20"/>
        </w:rPr>
        <w:t>year</w:t>
      </w:r>
      <w:r>
        <w:rPr>
          <w:color w:val="231F20"/>
          <w:spacing w:val="-8"/>
        </w:rPr>
        <w:t> </w:t>
      </w:r>
      <w:r>
        <w:rPr>
          <w:color w:val="231F20"/>
          <w:spacing w:val="-1"/>
        </w:rPr>
        <w:t>increases</w:t>
      </w:r>
      <w:r>
        <w:rPr>
          <w:color w:val="231F20"/>
          <w:spacing w:val="-7"/>
        </w:rPr>
        <w:t> </w:t>
      </w:r>
      <w:r>
        <w:rPr>
          <w:color w:val="231F20"/>
        </w:rPr>
        <w:t>(subject</w:t>
      </w:r>
      <w:r>
        <w:rPr>
          <w:color w:val="231F20"/>
          <w:spacing w:val="-8"/>
        </w:rPr>
        <w:t> </w:t>
      </w:r>
      <w:r>
        <w:rPr>
          <w:color w:val="231F20"/>
        </w:rPr>
        <w:t>to</w:t>
      </w:r>
      <w:r>
        <w:rPr>
          <w:color w:val="231F20"/>
          <w:spacing w:val="-7"/>
        </w:rPr>
        <w:t> </w:t>
      </w:r>
      <w:r>
        <w:rPr>
          <w:color w:val="231F20"/>
        </w:rPr>
        <w:t>certain</w:t>
      </w:r>
      <w:r>
        <w:rPr>
          <w:color w:val="231F20"/>
          <w:spacing w:val="-8"/>
        </w:rPr>
        <w:t> </w:t>
      </w:r>
      <w:r>
        <w:rPr>
          <w:color w:val="231F20"/>
        </w:rPr>
        <w:t>prescribed</w:t>
      </w:r>
      <w:r>
        <w:rPr>
          <w:color w:val="231F20"/>
          <w:spacing w:val="22"/>
          <w:w w:val="99"/>
        </w:rPr>
        <w:t> </w:t>
      </w:r>
      <w:r>
        <w:rPr>
          <w:color w:val="231F20"/>
        </w:rPr>
        <w:t>exemptions).</w:t>
      </w:r>
      <w:r>
        <w:rPr>
          <w:color w:val="231F20"/>
          <w:spacing w:val="-9"/>
        </w:rPr>
        <w:t> </w:t>
      </w:r>
      <w:r>
        <w:rPr>
          <w:color w:val="231F20"/>
          <w:spacing w:val="-1"/>
        </w:rPr>
        <w:t>Boarding</w:t>
      </w:r>
      <w:r>
        <w:rPr>
          <w:color w:val="231F20"/>
          <w:spacing w:val="-8"/>
        </w:rPr>
        <w:t> </w:t>
      </w:r>
      <w:r>
        <w:rPr>
          <w:color w:val="231F20"/>
        </w:rPr>
        <w:t>providers</w:t>
      </w:r>
      <w:r>
        <w:rPr>
          <w:color w:val="231F20"/>
          <w:spacing w:val="-8"/>
        </w:rPr>
        <w:t> </w:t>
      </w:r>
      <w:r>
        <w:rPr>
          <w:color w:val="231F20"/>
        </w:rPr>
        <w:t>with</w:t>
      </w:r>
      <w:r>
        <w:rPr>
          <w:color w:val="231F20"/>
          <w:spacing w:val="-9"/>
        </w:rPr>
        <w:t> </w:t>
      </w:r>
      <w:r>
        <w:rPr>
          <w:color w:val="231F20"/>
        </w:rPr>
        <w:t>a</w:t>
      </w:r>
      <w:r>
        <w:rPr>
          <w:color w:val="231F20"/>
          <w:spacing w:val="-7"/>
        </w:rPr>
        <w:t> </w:t>
      </w:r>
      <w:r>
        <w:rPr>
          <w:color w:val="231F20"/>
        </w:rPr>
        <w:t>higher</w:t>
      </w:r>
      <w:r>
        <w:rPr>
          <w:color w:val="231F20"/>
          <w:spacing w:val="22"/>
          <w:w w:val="99"/>
        </w:rPr>
        <w:t> </w:t>
      </w:r>
      <w:r>
        <w:rPr>
          <w:color w:val="231F20"/>
        </w:rPr>
        <w:t>proportion</w:t>
      </w:r>
      <w:r>
        <w:rPr>
          <w:color w:val="231F20"/>
          <w:spacing w:val="-7"/>
        </w:rPr>
        <w:t> </w:t>
      </w:r>
      <w:r>
        <w:rPr>
          <w:color w:val="231F20"/>
        </w:rPr>
        <w:t>of</w:t>
      </w:r>
      <w:r>
        <w:rPr>
          <w:color w:val="231F20"/>
          <w:spacing w:val="-5"/>
        </w:rPr>
        <w:t> </w:t>
      </w:r>
      <w:r>
        <w:rPr>
          <w:color w:val="231F20"/>
        </w:rPr>
        <w:t>ABSTUDY</w:t>
      </w:r>
      <w:r>
        <w:rPr>
          <w:color w:val="231F20"/>
          <w:spacing w:val="-6"/>
        </w:rPr>
        <w:t> </w:t>
      </w:r>
      <w:r>
        <w:rPr>
          <w:color w:val="231F20"/>
          <w:spacing w:val="-1"/>
        </w:rPr>
        <w:t>supported</w:t>
      </w:r>
      <w:r>
        <w:rPr>
          <w:color w:val="231F20"/>
          <w:spacing w:val="-4"/>
        </w:rPr>
        <w:t> </w:t>
      </w:r>
      <w:r>
        <w:rPr>
          <w:color w:val="231F20"/>
          <w:spacing w:val="-1"/>
        </w:rPr>
        <w:t>students</w:t>
      </w:r>
      <w:r>
        <w:rPr>
          <w:color w:val="231F20"/>
          <w:spacing w:val="21"/>
        </w:rPr>
        <w:t> </w:t>
      </w:r>
      <w:r>
        <w:rPr>
          <w:color w:val="231F20"/>
        </w:rPr>
        <w:t>from</w:t>
      </w:r>
      <w:r>
        <w:rPr>
          <w:color w:val="231F20"/>
          <w:spacing w:val="-4"/>
        </w:rPr>
        <w:t> </w:t>
      </w:r>
      <w:r>
        <w:rPr>
          <w:color w:val="231F20"/>
          <w:spacing w:val="-1"/>
        </w:rPr>
        <w:t>lower</w:t>
      </w:r>
      <w:r>
        <w:rPr>
          <w:color w:val="231F20"/>
          <w:spacing w:val="-3"/>
        </w:rPr>
        <w:t> </w:t>
      </w:r>
      <w:r>
        <w:rPr>
          <w:color w:val="231F20"/>
          <w:spacing w:val="-1"/>
        </w:rPr>
        <w:t>income</w:t>
      </w:r>
      <w:r>
        <w:rPr>
          <w:color w:val="231F20"/>
          <w:spacing w:val="-4"/>
        </w:rPr>
        <w:t> </w:t>
      </w:r>
      <w:r>
        <w:rPr>
          <w:color w:val="231F20"/>
        </w:rPr>
        <w:t>families</w:t>
      </w:r>
      <w:r>
        <w:rPr>
          <w:color w:val="231F20"/>
          <w:spacing w:val="-4"/>
        </w:rPr>
        <w:t> </w:t>
      </w:r>
      <w:r>
        <w:rPr>
          <w:color w:val="231F20"/>
        </w:rPr>
        <w:t>will</w:t>
      </w:r>
      <w:r>
        <w:rPr>
          <w:color w:val="231F20"/>
          <w:spacing w:val="-5"/>
        </w:rPr>
        <w:t> </w:t>
      </w:r>
      <w:r>
        <w:rPr>
          <w:color w:val="231F20"/>
        </w:rPr>
        <w:t>therefore</w:t>
      </w:r>
      <w:r>
        <w:rPr>
          <w:color w:val="231F20"/>
          <w:spacing w:val="23"/>
          <w:w w:val="99"/>
        </w:rPr>
        <w:t> </w:t>
      </w:r>
      <w:r>
        <w:rPr>
          <w:color w:val="231F20"/>
        </w:rPr>
        <w:t>receive</w:t>
      </w:r>
      <w:r>
        <w:rPr>
          <w:color w:val="231F20"/>
          <w:spacing w:val="-9"/>
        </w:rPr>
        <w:t> </w:t>
      </w:r>
      <w:r>
        <w:rPr>
          <w:color w:val="231F20"/>
        </w:rPr>
        <w:t>higher</w:t>
      </w:r>
      <w:r>
        <w:rPr>
          <w:color w:val="231F20"/>
          <w:spacing w:val="-8"/>
        </w:rPr>
        <w:t> </w:t>
      </w:r>
      <w:r>
        <w:rPr>
          <w:color w:val="231F20"/>
        </w:rPr>
        <w:t>proportional</w:t>
      </w:r>
      <w:r>
        <w:rPr>
          <w:color w:val="231F20"/>
          <w:spacing w:val="-9"/>
        </w:rPr>
        <w:t> </w:t>
      </w:r>
      <w:r>
        <w:rPr>
          <w:color w:val="231F20"/>
        </w:rPr>
        <w:t>fee</w:t>
      </w:r>
      <w:r>
        <w:rPr>
          <w:color w:val="231F20"/>
          <w:spacing w:val="-7"/>
        </w:rPr>
        <w:t> </w:t>
      </w:r>
      <w:r>
        <w:rPr>
          <w:color w:val="231F20"/>
        </w:rPr>
        <w:t>revenue</w:t>
      </w:r>
      <w:r>
        <w:rPr>
          <w:color w:val="231F20"/>
          <w:spacing w:val="-8"/>
        </w:rPr>
        <w:t> </w:t>
      </w:r>
      <w:r>
        <w:rPr>
          <w:color w:val="231F20"/>
        </w:rPr>
        <w:t>from</w:t>
      </w:r>
      <w:r>
        <w:rPr>
          <w:color w:val="231F20"/>
          <w:w w:val="99"/>
        </w:rPr>
        <w:t> </w:t>
      </w:r>
      <w:r>
        <w:rPr>
          <w:color w:val="231F20"/>
        </w:rPr>
        <w:t>ABSTUDY.</w:t>
      </w:r>
      <w:r>
        <w:rPr/>
      </w:r>
    </w:p>
    <w:p>
      <w:pPr>
        <w:pStyle w:val="BodyText"/>
        <w:spacing w:line="240" w:lineRule="auto" w:before="46"/>
        <w:ind w:left="100" w:right="0"/>
        <w:jc w:val="left"/>
      </w:pPr>
      <w:r>
        <w:rPr/>
        <w:br w:type="column"/>
      </w:r>
      <w:r>
        <w:rPr>
          <w:color w:val="231F20"/>
          <w:spacing w:val="-1"/>
        </w:rPr>
        <w:t>Parental</w:t>
      </w:r>
      <w:r>
        <w:rPr>
          <w:color w:val="231F20"/>
          <w:spacing w:val="-4"/>
        </w:rPr>
        <w:t> </w:t>
      </w:r>
      <w:r>
        <w:rPr>
          <w:color w:val="231F20"/>
          <w:spacing w:val="-1"/>
        </w:rPr>
        <w:t>income</w:t>
      </w:r>
      <w:r>
        <w:rPr>
          <w:color w:val="231F20"/>
          <w:spacing w:val="-4"/>
        </w:rPr>
        <w:t> </w:t>
      </w:r>
      <w:r>
        <w:rPr>
          <w:color w:val="231F20"/>
          <w:spacing w:val="-1"/>
        </w:rPr>
        <w:t>includes:</w:t>
      </w:r>
      <w:r>
        <w:rPr/>
      </w:r>
    </w:p>
    <w:p>
      <w:pPr>
        <w:pStyle w:val="BodyText"/>
        <w:spacing w:line="240" w:lineRule="auto" w:before="97"/>
        <w:ind w:left="100" w:right="0"/>
        <w:jc w:val="left"/>
      </w:pPr>
      <w:r>
        <w:rPr>
          <w:rFonts w:ascii="Century Gothic" w:hAnsi="Century Gothic"/>
          <w:color w:val="231F20"/>
        </w:rPr>
        <w:t>» </w:t>
      </w:r>
      <w:r>
        <w:rPr>
          <w:rFonts w:ascii="Century Gothic" w:hAnsi="Century Gothic"/>
          <w:color w:val="231F20"/>
          <w:spacing w:val="20"/>
        </w:rPr>
        <w:t> </w:t>
      </w:r>
      <w:r>
        <w:rPr>
          <w:color w:val="231F20"/>
        </w:rPr>
        <w:t>combined</w:t>
      </w:r>
      <w:r>
        <w:rPr>
          <w:color w:val="231F20"/>
          <w:spacing w:val="-6"/>
        </w:rPr>
        <w:t> </w:t>
      </w:r>
      <w:r>
        <w:rPr>
          <w:color w:val="231F20"/>
        </w:rPr>
        <w:t>parental</w:t>
      </w:r>
      <w:r>
        <w:rPr>
          <w:color w:val="231F20"/>
          <w:spacing w:val="-5"/>
        </w:rPr>
        <w:t> </w:t>
      </w:r>
      <w:r>
        <w:rPr>
          <w:color w:val="231F20"/>
        </w:rPr>
        <w:t>taxable</w:t>
      </w:r>
      <w:r>
        <w:rPr>
          <w:color w:val="231F20"/>
          <w:spacing w:val="-5"/>
        </w:rPr>
        <w:t> </w:t>
      </w:r>
      <w:r>
        <w:rPr>
          <w:color w:val="231F20"/>
          <w:spacing w:val="-1"/>
        </w:rPr>
        <w:t>income</w:t>
      </w:r>
      <w:r>
        <w:rPr/>
      </w:r>
    </w:p>
    <w:p>
      <w:pPr>
        <w:pStyle w:val="BodyText"/>
        <w:spacing w:line="240" w:lineRule="auto" w:before="97"/>
        <w:ind w:left="100" w:right="0"/>
        <w:jc w:val="left"/>
        <w:rPr>
          <w:rFonts w:ascii="Segoe UI" w:hAnsi="Segoe UI" w:cs="Segoe UI" w:eastAsia="Segoe UI"/>
        </w:rPr>
      </w:pPr>
      <w:r>
        <w:rPr>
          <w:rFonts w:ascii="Century Gothic" w:hAnsi="Century Gothic"/>
          <w:color w:val="231F20"/>
        </w:rPr>
        <w:t>» </w:t>
      </w:r>
      <w:r>
        <w:rPr>
          <w:rFonts w:ascii="Century Gothic" w:hAnsi="Century Gothic"/>
          <w:color w:val="231F20"/>
          <w:spacing w:val="30"/>
        </w:rPr>
        <w:t> </w:t>
      </w:r>
      <w:r>
        <w:rPr>
          <w:rFonts w:ascii="Segoe UI" w:hAnsi="Segoe UI"/>
          <w:color w:val="231F20"/>
        </w:rPr>
        <w:t>tax free pensions</w:t>
      </w:r>
      <w:r>
        <w:rPr>
          <w:rFonts w:ascii="Segoe UI" w:hAnsi="Segoe UI"/>
          <w:color w:val="231F20"/>
          <w:spacing w:val="-1"/>
        </w:rPr>
        <w:t> </w:t>
      </w:r>
      <w:r>
        <w:rPr>
          <w:rFonts w:ascii="Segoe UI" w:hAnsi="Segoe UI"/>
          <w:color w:val="231F20"/>
        </w:rPr>
        <w:t>and benefits</w:t>
      </w:r>
      <w:r>
        <w:rPr>
          <w:rFonts w:ascii="Segoe UI" w:hAnsi="Segoe UI"/>
        </w:rPr>
      </w:r>
    </w:p>
    <w:p>
      <w:pPr>
        <w:pStyle w:val="BodyText"/>
        <w:spacing w:line="240" w:lineRule="auto" w:before="97"/>
        <w:ind w:left="100" w:right="0"/>
        <w:jc w:val="left"/>
        <w:rPr>
          <w:rFonts w:ascii="Segoe UI" w:hAnsi="Segoe UI" w:cs="Segoe UI" w:eastAsia="Segoe UI"/>
        </w:rPr>
      </w:pPr>
      <w:r>
        <w:rPr>
          <w:rFonts w:ascii="Century Gothic" w:hAnsi="Century Gothic"/>
          <w:color w:val="231F20"/>
        </w:rPr>
        <w:t>» </w:t>
      </w:r>
      <w:r>
        <w:rPr>
          <w:rFonts w:ascii="Century Gothic" w:hAnsi="Century Gothic"/>
          <w:color w:val="231F20"/>
          <w:spacing w:val="30"/>
        </w:rPr>
        <w:t> </w:t>
      </w:r>
      <w:r>
        <w:rPr>
          <w:rFonts w:ascii="Segoe UI" w:hAnsi="Segoe UI"/>
          <w:color w:val="231F20"/>
        </w:rPr>
        <w:t>fringe</w:t>
      </w:r>
      <w:r>
        <w:rPr>
          <w:rFonts w:ascii="Segoe UI" w:hAnsi="Segoe UI"/>
          <w:color w:val="231F20"/>
          <w:spacing w:val="-1"/>
        </w:rPr>
        <w:t> </w:t>
      </w:r>
      <w:r>
        <w:rPr>
          <w:rFonts w:ascii="Segoe UI" w:hAnsi="Segoe UI"/>
          <w:color w:val="231F20"/>
        </w:rPr>
        <w:t>benefits</w:t>
      </w:r>
      <w:r>
        <w:rPr>
          <w:rFonts w:ascii="Segoe UI" w:hAnsi="Segoe UI"/>
        </w:rPr>
      </w:r>
    </w:p>
    <w:p>
      <w:pPr>
        <w:pStyle w:val="BodyText"/>
        <w:spacing w:line="240" w:lineRule="auto" w:before="97"/>
        <w:ind w:left="100" w:right="0"/>
        <w:jc w:val="left"/>
      </w:pPr>
      <w:r>
        <w:rPr>
          <w:rFonts w:ascii="Century Gothic" w:hAnsi="Century Gothic"/>
          <w:color w:val="231F20"/>
        </w:rPr>
        <w:t>» </w:t>
      </w:r>
      <w:r>
        <w:rPr>
          <w:rFonts w:ascii="Century Gothic" w:hAnsi="Century Gothic"/>
          <w:color w:val="231F20"/>
          <w:spacing w:val="25"/>
        </w:rPr>
        <w:t> </w:t>
      </w:r>
      <w:r>
        <w:rPr>
          <w:color w:val="231F20"/>
          <w:spacing w:val="-1"/>
        </w:rPr>
        <w:t>income</w:t>
      </w:r>
      <w:r>
        <w:rPr>
          <w:color w:val="231F20"/>
          <w:spacing w:val="-3"/>
        </w:rPr>
        <w:t> </w:t>
      </w:r>
      <w:r>
        <w:rPr>
          <w:color w:val="231F20"/>
        </w:rPr>
        <w:t>from</w:t>
      </w:r>
      <w:r>
        <w:rPr>
          <w:color w:val="231F20"/>
          <w:spacing w:val="-2"/>
        </w:rPr>
        <w:t> </w:t>
      </w:r>
      <w:r>
        <w:rPr>
          <w:color w:val="231F20"/>
        </w:rPr>
        <w:t>outside</w:t>
      </w:r>
      <w:r>
        <w:rPr>
          <w:color w:val="231F20"/>
          <w:spacing w:val="-4"/>
        </w:rPr>
        <w:t> </w:t>
      </w:r>
      <w:r>
        <w:rPr>
          <w:color w:val="231F20"/>
        </w:rPr>
        <w:t>Australia</w:t>
      </w:r>
      <w:r>
        <w:rPr/>
      </w:r>
    </w:p>
    <w:p>
      <w:pPr>
        <w:pStyle w:val="BodyText"/>
        <w:spacing w:line="240" w:lineRule="auto" w:before="97"/>
        <w:ind w:left="100" w:right="0"/>
        <w:jc w:val="left"/>
      </w:pPr>
      <w:r>
        <w:rPr>
          <w:rFonts w:ascii="Century Gothic" w:hAnsi="Century Gothic"/>
          <w:color w:val="231F20"/>
        </w:rPr>
        <w:t>» </w:t>
      </w:r>
      <w:r>
        <w:rPr>
          <w:rFonts w:ascii="Century Gothic" w:hAnsi="Century Gothic"/>
          <w:color w:val="231F20"/>
          <w:spacing w:val="12"/>
        </w:rPr>
        <w:t> </w:t>
      </w:r>
      <w:r>
        <w:rPr>
          <w:color w:val="231F20"/>
        </w:rPr>
        <w:t>reportable</w:t>
      </w:r>
      <w:r>
        <w:rPr>
          <w:color w:val="231F20"/>
          <w:spacing w:val="-8"/>
        </w:rPr>
        <w:t> </w:t>
      </w:r>
      <w:r>
        <w:rPr>
          <w:color w:val="231F20"/>
          <w:spacing w:val="-1"/>
        </w:rPr>
        <w:t>superannuation</w:t>
      </w:r>
      <w:r>
        <w:rPr>
          <w:color w:val="231F20"/>
          <w:spacing w:val="-6"/>
        </w:rPr>
        <w:t> </w:t>
      </w:r>
      <w:r>
        <w:rPr>
          <w:color w:val="231F20"/>
        </w:rPr>
        <w:t>contributions,</w:t>
      </w:r>
      <w:r>
        <w:rPr>
          <w:color w:val="231F20"/>
          <w:spacing w:val="-8"/>
        </w:rPr>
        <w:t> </w:t>
      </w:r>
      <w:r>
        <w:rPr>
          <w:color w:val="231F20"/>
        </w:rPr>
        <w:t>and</w:t>
      </w:r>
      <w:r>
        <w:rPr/>
      </w:r>
    </w:p>
    <w:p>
      <w:pPr>
        <w:pStyle w:val="BodyText"/>
        <w:spacing w:line="250" w:lineRule="exact" w:before="113"/>
        <w:ind w:left="327" w:right="132" w:hanging="227"/>
        <w:jc w:val="left"/>
      </w:pPr>
      <w:r>
        <w:rPr>
          <w:rFonts w:ascii="Century Gothic" w:hAnsi="Century Gothic"/>
          <w:color w:val="231F20"/>
        </w:rPr>
        <w:t>» </w:t>
      </w:r>
      <w:r>
        <w:rPr>
          <w:rFonts w:ascii="Century Gothic" w:hAnsi="Century Gothic"/>
          <w:color w:val="231F20"/>
          <w:spacing w:val="26"/>
        </w:rPr>
        <w:t> </w:t>
      </w:r>
      <w:r>
        <w:rPr>
          <w:color w:val="231F20"/>
        </w:rPr>
        <w:t>total</w:t>
      </w:r>
      <w:r>
        <w:rPr>
          <w:color w:val="231F20"/>
          <w:spacing w:val="-3"/>
        </w:rPr>
        <w:t> </w:t>
      </w:r>
      <w:r>
        <w:rPr>
          <w:color w:val="231F20"/>
        </w:rPr>
        <w:t>net</w:t>
      </w:r>
      <w:r>
        <w:rPr>
          <w:color w:val="231F20"/>
          <w:spacing w:val="-2"/>
        </w:rPr>
        <w:t> </w:t>
      </w:r>
      <w:r>
        <w:rPr>
          <w:color w:val="231F20"/>
          <w:spacing w:val="-1"/>
        </w:rPr>
        <w:t>investment</w:t>
      </w:r>
      <w:r>
        <w:rPr>
          <w:color w:val="231F20"/>
          <w:spacing w:val="-2"/>
        </w:rPr>
        <w:t> </w:t>
      </w:r>
      <w:r>
        <w:rPr>
          <w:color w:val="231F20"/>
          <w:spacing w:val="-1"/>
        </w:rPr>
        <w:t>losses such</w:t>
      </w:r>
      <w:r>
        <w:rPr>
          <w:color w:val="231F20"/>
          <w:spacing w:val="-2"/>
        </w:rPr>
        <w:t> </w:t>
      </w:r>
      <w:r>
        <w:rPr>
          <w:color w:val="231F20"/>
        </w:rPr>
        <w:t>as</w:t>
      </w:r>
      <w:r>
        <w:rPr>
          <w:color w:val="231F20"/>
          <w:spacing w:val="-3"/>
        </w:rPr>
        <w:t> </w:t>
      </w:r>
      <w:r>
        <w:rPr>
          <w:color w:val="231F20"/>
        </w:rPr>
        <w:t>negative</w:t>
      </w:r>
      <w:r>
        <w:rPr>
          <w:color w:val="231F20"/>
          <w:spacing w:val="24"/>
          <w:w w:val="99"/>
        </w:rPr>
        <w:t> </w:t>
      </w:r>
      <w:r>
        <w:rPr>
          <w:color w:val="231F20"/>
        </w:rPr>
        <w:t>gearing</w:t>
      </w:r>
      <w:r>
        <w:rPr>
          <w:color w:val="231F20"/>
          <w:spacing w:val="-8"/>
        </w:rPr>
        <w:t> </w:t>
      </w:r>
      <w:r>
        <w:rPr>
          <w:color w:val="231F20"/>
          <w:spacing w:val="-1"/>
        </w:rPr>
        <w:t>losses.</w:t>
      </w:r>
      <w:r>
        <w:rPr/>
      </w:r>
    </w:p>
    <w:p>
      <w:pPr>
        <w:pStyle w:val="BodyText"/>
        <w:spacing w:line="250" w:lineRule="exact" w:before="113"/>
        <w:ind w:left="100" w:right="209"/>
        <w:jc w:val="left"/>
      </w:pPr>
      <w:r>
        <w:rPr>
          <w:color w:val="231F20"/>
          <w:spacing w:val="-1"/>
        </w:rPr>
        <w:t>In</w:t>
      </w:r>
      <w:r>
        <w:rPr>
          <w:color w:val="231F20"/>
          <w:spacing w:val="-5"/>
        </w:rPr>
        <w:t> </w:t>
      </w:r>
      <w:r>
        <w:rPr>
          <w:color w:val="231F20"/>
        </w:rPr>
        <w:t>addition,</w:t>
      </w:r>
      <w:r>
        <w:rPr>
          <w:color w:val="231F20"/>
          <w:spacing w:val="-5"/>
        </w:rPr>
        <w:t> </w:t>
      </w:r>
      <w:r>
        <w:rPr>
          <w:color w:val="231F20"/>
        </w:rPr>
        <w:t>ABSTUDY</w:t>
      </w:r>
      <w:r>
        <w:rPr>
          <w:color w:val="231F20"/>
          <w:spacing w:val="-5"/>
        </w:rPr>
        <w:t> </w:t>
      </w:r>
      <w:r>
        <w:rPr>
          <w:color w:val="231F20"/>
          <w:spacing w:val="-1"/>
        </w:rPr>
        <w:t>supported</w:t>
      </w:r>
      <w:r>
        <w:rPr>
          <w:color w:val="231F20"/>
          <w:spacing w:val="-3"/>
        </w:rPr>
        <w:t> </w:t>
      </w:r>
      <w:r>
        <w:rPr>
          <w:color w:val="231F20"/>
          <w:spacing w:val="-1"/>
        </w:rPr>
        <w:t>students</w:t>
      </w:r>
      <w:r>
        <w:rPr>
          <w:color w:val="231F20"/>
          <w:spacing w:val="-5"/>
        </w:rPr>
        <w:t> </w:t>
      </w:r>
      <w:r>
        <w:rPr>
          <w:color w:val="231F20"/>
        </w:rPr>
        <w:t>from</w:t>
      </w:r>
      <w:r>
        <w:rPr>
          <w:color w:val="231F20"/>
          <w:spacing w:val="24"/>
          <w:w w:val="99"/>
        </w:rPr>
        <w:t> </w:t>
      </w:r>
      <w:r>
        <w:rPr>
          <w:color w:val="231F20"/>
        </w:rPr>
        <w:t>remote</w:t>
      </w:r>
      <w:r>
        <w:rPr>
          <w:color w:val="231F20"/>
          <w:spacing w:val="-6"/>
        </w:rPr>
        <w:t> </w:t>
      </w:r>
      <w:r>
        <w:rPr>
          <w:color w:val="231F20"/>
        </w:rPr>
        <w:t>and</w:t>
      </w:r>
      <w:r>
        <w:rPr>
          <w:color w:val="231F20"/>
          <w:spacing w:val="-6"/>
        </w:rPr>
        <w:t> </w:t>
      </w:r>
      <w:r>
        <w:rPr>
          <w:color w:val="231F20"/>
        </w:rPr>
        <w:t>very</w:t>
      </w:r>
      <w:r>
        <w:rPr>
          <w:color w:val="231F20"/>
          <w:spacing w:val="-5"/>
        </w:rPr>
        <w:t> </w:t>
      </w:r>
      <w:r>
        <w:rPr>
          <w:color w:val="231F20"/>
        </w:rPr>
        <w:t>remote</w:t>
      </w:r>
      <w:r>
        <w:rPr>
          <w:color w:val="231F20"/>
          <w:spacing w:val="-6"/>
        </w:rPr>
        <w:t> </w:t>
      </w:r>
      <w:r>
        <w:rPr>
          <w:color w:val="231F20"/>
          <w:spacing w:val="-1"/>
        </w:rPr>
        <w:t>locations</w:t>
      </w:r>
      <w:r>
        <w:rPr>
          <w:color w:val="231F20"/>
          <w:spacing w:val="-5"/>
        </w:rPr>
        <w:t> </w:t>
      </w:r>
      <w:r>
        <w:rPr>
          <w:color w:val="231F20"/>
        </w:rPr>
        <w:t>are</w:t>
      </w:r>
      <w:r>
        <w:rPr>
          <w:color w:val="231F20"/>
          <w:spacing w:val="-6"/>
        </w:rPr>
        <w:t> </w:t>
      </w:r>
      <w:r>
        <w:rPr>
          <w:color w:val="231F20"/>
        </w:rPr>
        <w:t>entitled</w:t>
      </w:r>
      <w:r>
        <w:rPr>
          <w:color w:val="231F20"/>
          <w:spacing w:val="22"/>
          <w:w w:val="99"/>
        </w:rPr>
        <w:t> </w:t>
      </w:r>
      <w:r>
        <w:rPr>
          <w:color w:val="231F20"/>
        </w:rPr>
        <w:t>to</w:t>
      </w:r>
      <w:r>
        <w:rPr>
          <w:color w:val="231F20"/>
          <w:spacing w:val="-5"/>
        </w:rPr>
        <w:t> </w:t>
      </w:r>
      <w:r>
        <w:rPr>
          <w:color w:val="231F20"/>
        </w:rPr>
        <w:t>a</w:t>
      </w:r>
      <w:r>
        <w:rPr>
          <w:color w:val="231F20"/>
          <w:spacing w:val="-4"/>
        </w:rPr>
        <w:t> </w:t>
      </w:r>
      <w:r>
        <w:rPr>
          <w:color w:val="231F20"/>
        </w:rPr>
        <w:t>non</w:t>
      </w:r>
      <w:r>
        <w:rPr>
          <w:color w:val="231F20"/>
          <w:spacing w:val="-6"/>
        </w:rPr>
        <w:t> </w:t>
      </w:r>
      <w:r>
        <w:rPr>
          <w:color w:val="231F20"/>
          <w:spacing w:val="-1"/>
        </w:rPr>
        <w:t>means</w:t>
      </w:r>
      <w:r>
        <w:rPr>
          <w:color w:val="231F20"/>
          <w:spacing w:val="-4"/>
        </w:rPr>
        <w:t> </w:t>
      </w:r>
      <w:r>
        <w:rPr>
          <w:color w:val="231F20"/>
        </w:rPr>
        <w:t>tested</w:t>
      </w:r>
      <w:r>
        <w:rPr>
          <w:color w:val="231F20"/>
          <w:spacing w:val="-6"/>
        </w:rPr>
        <w:t> </w:t>
      </w:r>
      <w:r>
        <w:rPr>
          <w:color w:val="231F20"/>
        </w:rPr>
        <w:t>remote</w:t>
      </w:r>
      <w:r>
        <w:rPr>
          <w:color w:val="231F20"/>
          <w:spacing w:val="-5"/>
        </w:rPr>
        <w:t> </w:t>
      </w:r>
      <w:r>
        <w:rPr>
          <w:color w:val="231F20"/>
        </w:rPr>
        <w:t>area</w:t>
      </w:r>
      <w:r>
        <w:rPr>
          <w:color w:val="231F20"/>
          <w:spacing w:val="-6"/>
        </w:rPr>
        <w:t> </w:t>
      </w:r>
      <w:r>
        <w:rPr>
          <w:color w:val="231F20"/>
        </w:rPr>
        <w:t>allowance.</w:t>
      </w:r>
      <w:r>
        <w:rPr>
          <w:color w:val="231F20"/>
          <w:spacing w:val="21"/>
          <w:w w:val="99"/>
        </w:rPr>
        <w:t> </w:t>
      </w:r>
      <w:r>
        <w:rPr>
          <w:color w:val="231F20"/>
        </w:rPr>
        <w:t>As</w:t>
      </w:r>
      <w:r>
        <w:rPr>
          <w:color w:val="231F20"/>
          <w:spacing w:val="-4"/>
        </w:rPr>
        <w:t> </w:t>
      </w:r>
      <w:r>
        <w:rPr>
          <w:color w:val="231F20"/>
        </w:rPr>
        <w:t>earlier</w:t>
      </w:r>
      <w:r>
        <w:rPr>
          <w:color w:val="231F20"/>
          <w:spacing w:val="-3"/>
        </w:rPr>
        <w:t> </w:t>
      </w:r>
      <w:r>
        <w:rPr>
          <w:color w:val="231F20"/>
        </w:rPr>
        <w:t>referenced</w:t>
      </w:r>
      <w:r>
        <w:rPr>
          <w:color w:val="231F20"/>
          <w:spacing w:val="-4"/>
        </w:rPr>
        <w:t> </w:t>
      </w:r>
      <w:r>
        <w:rPr>
          <w:color w:val="231F20"/>
          <w:spacing w:val="-1"/>
        </w:rPr>
        <w:t>in</w:t>
      </w:r>
      <w:r>
        <w:rPr>
          <w:color w:val="231F20"/>
          <w:spacing w:val="-3"/>
        </w:rPr>
        <w:t> </w:t>
      </w:r>
      <w:r>
        <w:rPr>
          <w:color w:val="231F20"/>
        </w:rPr>
        <w:t>this</w:t>
      </w:r>
      <w:r>
        <w:rPr>
          <w:color w:val="231F20"/>
          <w:spacing w:val="-4"/>
        </w:rPr>
        <w:t> </w:t>
      </w:r>
      <w:r>
        <w:rPr>
          <w:color w:val="231F20"/>
        </w:rPr>
        <w:t>report,</w:t>
      </w:r>
      <w:r>
        <w:rPr>
          <w:color w:val="231F20"/>
          <w:spacing w:val="-4"/>
        </w:rPr>
        <w:t> </w:t>
      </w:r>
      <w:r>
        <w:rPr>
          <w:color w:val="231F20"/>
          <w:spacing w:val="-1"/>
        </w:rPr>
        <w:t>in</w:t>
      </w:r>
      <w:r>
        <w:rPr>
          <w:color w:val="231F20"/>
          <w:spacing w:val="-3"/>
        </w:rPr>
        <w:t> </w:t>
      </w:r>
      <w:r>
        <w:rPr>
          <w:color w:val="231F20"/>
        </w:rPr>
        <w:t>the</w:t>
      </w:r>
      <w:r>
        <w:rPr>
          <w:color w:val="231F20"/>
          <w:spacing w:val="-4"/>
        </w:rPr>
        <w:t> </w:t>
      </w:r>
      <w:r>
        <w:rPr>
          <w:color w:val="231F20"/>
          <w:spacing w:val="-1"/>
        </w:rPr>
        <w:t>2016</w:t>
      </w:r>
      <w:r>
        <w:rPr>
          <w:color w:val="231F20"/>
          <w:spacing w:val="22"/>
        </w:rPr>
        <w:t> </w:t>
      </w:r>
      <w:r>
        <w:rPr>
          <w:rFonts w:ascii="Segoe UI"/>
          <w:color w:val="231F20"/>
        </w:rPr>
        <w:t>Census and for the first time, more than half of</w:t>
      </w:r>
      <w:r>
        <w:rPr>
          <w:rFonts w:ascii="Segoe UI"/>
          <w:color w:val="231F20"/>
        </w:rPr>
        <w:t> </w:t>
      </w:r>
      <w:r>
        <w:rPr>
          <w:color w:val="231F20"/>
        </w:rPr>
        <w:t>all</w:t>
      </w:r>
      <w:r>
        <w:rPr>
          <w:color w:val="231F20"/>
          <w:spacing w:val="-6"/>
        </w:rPr>
        <w:t> </w:t>
      </w:r>
      <w:r>
        <w:rPr>
          <w:color w:val="231F20"/>
        </w:rPr>
        <w:t>Aboriginal</w:t>
      </w:r>
      <w:r>
        <w:rPr>
          <w:color w:val="231F20"/>
          <w:spacing w:val="-5"/>
        </w:rPr>
        <w:t> </w:t>
      </w:r>
      <w:r>
        <w:rPr>
          <w:color w:val="231F20"/>
        </w:rPr>
        <w:t>and</w:t>
      </w:r>
      <w:r>
        <w:rPr>
          <w:color w:val="231F20"/>
          <w:spacing w:val="-6"/>
        </w:rPr>
        <w:t> </w:t>
      </w:r>
      <w:r>
        <w:rPr>
          <w:color w:val="231F20"/>
          <w:spacing w:val="-5"/>
        </w:rPr>
        <w:t>Torres </w:t>
      </w:r>
      <w:r>
        <w:rPr>
          <w:color w:val="231F20"/>
          <w:spacing w:val="-2"/>
        </w:rPr>
        <w:t>Strait</w:t>
      </w:r>
      <w:r>
        <w:rPr>
          <w:color w:val="231F20"/>
          <w:spacing w:val="-5"/>
        </w:rPr>
        <w:t> </w:t>
      </w:r>
      <w:r>
        <w:rPr>
          <w:color w:val="231F20"/>
          <w:spacing w:val="-1"/>
        </w:rPr>
        <w:t>Islander</w:t>
      </w:r>
      <w:r>
        <w:rPr>
          <w:color w:val="231F20"/>
          <w:spacing w:val="-5"/>
        </w:rPr>
        <w:t> </w:t>
      </w:r>
      <w:r>
        <w:rPr>
          <w:color w:val="231F20"/>
        </w:rPr>
        <w:t>people</w:t>
      </w:r>
      <w:r>
        <w:rPr>
          <w:color w:val="231F20"/>
          <w:spacing w:val="21"/>
          <w:w w:val="99"/>
        </w:rPr>
        <w:t> </w:t>
      </w:r>
      <w:r>
        <w:rPr>
          <w:color w:val="231F20"/>
          <w:spacing w:val="-1"/>
        </w:rPr>
        <w:t>in</w:t>
      </w:r>
      <w:r>
        <w:rPr>
          <w:color w:val="231F20"/>
          <w:spacing w:val="-4"/>
        </w:rPr>
        <w:t> </w:t>
      </w:r>
      <w:r>
        <w:rPr>
          <w:color w:val="231F20"/>
        </w:rPr>
        <w:t>very</w:t>
      </w:r>
      <w:r>
        <w:rPr>
          <w:color w:val="231F20"/>
          <w:spacing w:val="-4"/>
        </w:rPr>
        <w:t> </w:t>
      </w:r>
      <w:r>
        <w:rPr>
          <w:color w:val="231F20"/>
        </w:rPr>
        <w:t>remote</w:t>
      </w:r>
      <w:r>
        <w:rPr>
          <w:color w:val="231F20"/>
          <w:spacing w:val="-4"/>
        </w:rPr>
        <w:t> </w:t>
      </w:r>
      <w:r>
        <w:rPr>
          <w:color w:val="231F20"/>
        </w:rPr>
        <w:t>areas</w:t>
      </w:r>
      <w:r>
        <w:rPr>
          <w:color w:val="231F20"/>
          <w:spacing w:val="-5"/>
        </w:rPr>
        <w:t> </w:t>
      </w:r>
      <w:r>
        <w:rPr>
          <w:color w:val="231F20"/>
        </w:rPr>
        <w:t>were</w:t>
      </w:r>
      <w:r>
        <w:rPr>
          <w:color w:val="231F20"/>
          <w:spacing w:val="-5"/>
        </w:rPr>
        <w:t> </w:t>
      </w:r>
      <w:r>
        <w:rPr>
          <w:color w:val="231F20"/>
          <w:spacing w:val="-1"/>
        </w:rPr>
        <w:t>in</w:t>
      </w:r>
      <w:r>
        <w:rPr>
          <w:color w:val="231F20"/>
          <w:spacing w:val="-3"/>
        </w:rPr>
        <w:t> </w:t>
      </w:r>
      <w:r>
        <w:rPr>
          <w:color w:val="231F20"/>
          <w:spacing w:val="-1"/>
        </w:rPr>
        <w:t>income</w:t>
      </w:r>
      <w:r>
        <w:rPr>
          <w:color w:val="231F20"/>
          <w:spacing w:val="-4"/>
        </w:rPr>
        <w:t> </w:t>
      </w:r>
      <w:r>
        <w:rPr>
          <w:color w:val="231F20"/>
        </w:rPr>
        <w:t>poverty</w:t>
      </w:r>
      <w:r>
        <w:rPr>
          <w:color w:val="231F20"/>
          <w:spacing w:val="24"/>
          <w:w w:val="99"/>
        </w:rPr>
        <w:t> </w:t>
      </w:r>
      <w:r>
        <w:rPr>
          <w:color w:val="231F20"/>
        </w:rPr>
        <w:t>(Markham,</w:t>
      </w:r>
      <w:r>
        <w:rPr>
          <w:color w:val="231F20"/>
          <w:spacing w:val="-7"/>
        </w:rPr>
        <w:t> </w:t>
      </w:r>
      <w:r>
        <w:rPr>
          <w:color w:val="231F20"/>
          <w:spacing w:val="-1"/>
        </w:rPr>
        <w:t>2018).</w:t>
      </w:r>
      <w:r>
        <w:rPr>
          <w:color w:val="231F20"/>
          <w:spacing w:val="-6"/>
        </w:rPr>
        <w:t> </w:t>
      </w:r>
      <w:r>
        <w:rPr>
          <w:color w:val="231F20"/>
        </w:rPr>
        <w:t>The</w:t>
      </w:r>
      <w:r>
        <w:rPr>
          <w:color w:val="231F20"/>
          <w:spacing w:val="-5"/>
        </w:rPr>
        <w:t> </w:t>
      </w:r>
      <w:r>
        <w:rPr>
          <w:color w:val="231F20"/>
        </w:rPr>
        <w:t>ABSTUDY</w:t>
      </w:r>
      <w:r>
        <w:rPr>
          <w:color w:val="231F20"/>
          <w:spacing w:val="-7"/>
        </w:rPr>
        <w:t> </w:t>
      </w:r>
      <w:r>
        <w:rPr>
          <w:color w:val="231F20"/>
        </w:rPr>
        <w:t>remote</w:t>
      </w:r>
      <w:r>
        <w:rPr>
          <w:color w:val="231F20"/>
          <w:spacing w:val="-7"/>
        </w:rPr>
        <w:t> </w:t>
      </w:r>
      <w:r>
        <w:rPr>
          <w:color w:val="231F20"/>
        </w:rPr>
        <w:t>area</w:t>
      </w:r>
      <w:r>
        <w:rPr>
          <w:color w:val="231F20"/>
          <w:spacing w:val="21"/>
          <w:w w:val="99"/>
        </w:rPr>
        <w:t> </w:t>
      </w:r>
      <w:r>
        <w:rPr>
          <w:color w:val="231F20"/>
        </w:rPr>
        <w:t>allowance,</w:t>
      </w:r>
      <w:r>
        <w:rPr>
          <w:color w:val="231F20"/>
          <w:spacing w:val="-6"/>
        </w:rPr>
        <w:t> </w:t>
      </w:r>
      <w:r>
        <w:rPr>
          <w:color w:val="231F20"/>
        </w:rPr>
        <w:t>while</w:t>
      </w:r>
      <w:r>
        <w:rPr>
          <w:color w:val="231F20"/>
          <w:spacing w:val="-5"/>
        </w:rPr>
        <w:t> </w:t>
      </w:r>
      <w:r>
        <w:rPr>
          <w:color w:val="231F20"/>
        </w:rPr>
        <w:t>only</w:t>
      </w:r>
      <w:r>
        <w:rPr>
          <w:color w:val="231F20"/>
          <w:spacing w:val="-6"/>
        </w:rPr>
        <w:t> </w:t>
      </w:r>
      <w:r>
        <w:rPr>
          <w:color w:val="231F20"/>
          <w:spacing w:val="-1"/>
        </w:rPr>
        <w:t>$474.50</w:t>
      </w:r>
      <w:r>
        <w:rPr>
          <w:color w:val="231F20"/>
          <w:spacing w:val="-4"/>
        </w:rPr>
        <w:t> </w:t>
      </w:r>
      <w:r>
        <w:rPr>
          <w:color w:val="231F20"/>
        </w:rPr>
        <w:t>per</w:t>
      </w:r>
      <w:r>
        <w:rPr>
          <w:color w:val="231F20"/>
          <w:spacing w:val="-5"/>
        </w:rPr>
        <w:t> </w:t>
      </w:r>
      <w:r>
        <w:rPr>
          <w:color w:val="231F20"/>
          <w:spacing w:val="-1"/>
        </w:rPr>
        <w:t>student</w:t>
      </w:r>
      <w:r>
        <w:rPr>
          <w:color w:val="231F20"/>
          <w:spacing w:val="-5"/>
        </w:rPr>
        <w:t> </w:t>
      </w:r>
      <w:r>
        <w:rPr>
          <w:color w:val="231F20"/>
          <w:spacing w:val="-1"/>
        </w:rPr>
        <w:t>in</w:t>
      </w:r>
      <w:r>
        <w:rPr>
          <w:color w:val="231F20"/>
          <w:spacing w:val="22"/>
        </w:rPr>
        <w:t> </w:t>
      </w:r>
      <w:r>
        <w:rPr>
          <w:color w:val="231F20"/>
          <w:spacing w:val="-1"/>
        </w:rPr>
        <w:t>2019,</w:t>
      </w:r>
      <w:r>
        <w:rPr>
          <w:color w:val="231F20"/>
          <w:spacing w:val="-3"/>
        </w:rPr>
        <w:t> </w:t>
      </w:r>
      <w:r>
        <w:rPr>
          <w:color w:val="231F20"/>
          <w:spacing w:val="-1"/>
        </w:rPr>
        <w:t>is</w:t>
      </w:r>
      <w:r>
        <w:rPr>
          <w:color w:val="231F20"/>
          <w:spacing w:val="-4"/>
        </w:rPr>
        <w:t> </w:t>
      </w:r>
      <w:r>
        <w:rPr>
          <w:color w:val="231F20"/>
        </w:rPr>
        <w:t>therefore</w:t>
      </w:r>
      <w:r>
        <w:rPr>
          <w:color w:val="231F20"/>
          <w:spacing w:val="-4"/>
        </w:rPr>
        <w:t> </w:t>
      </w:r>
      <w:r>
        <w:rPr>
          <w:color w:val="231F20"/>
          <w:spacing w:val="-1"/>
        </w:rPr>
        <w:t>likely</w:t>
      </w:r>
      <w:r>
        <w:rPr>
          <w:color w:val="231F20"/>
          <w:spacing w:val="-3"/>
        </w:rPr>
        <w:t> </w:t>
      </w:r>
      <w:r>
        <w:rPr>
          <w:color w:val="231F20"/>
        </w:rPr>
        <w:t>to</w:t>
      </w:r>
      <w:r>
        <w:rPr>
          <w:color w:val="231F20"/>
          <w:spacing w:val="-3"/>
        </w:rPr>
        <w:t> </w:t>
      </w:r>
      <w:r>
        <w:rPr>
          <w:color w:val="231F20"/>
        </w:rPr>
        <w:t>contribute</w:t>
      </w:r>
      <w:r>
        <w:rPr>
          <w:color w:val="231F20"/>
          <w:spacing w:val="-4"/>
        </w:rPr>
        <w:t> </w:t>
      </w:r>
      <w:r>
        <w:rPr>
          <w:color w:val="231F20"/>
        </w:rPr>
        <w:t>to</w:t>
      </w:r>
      <w:r>
        <w:rPr>
          <w:color w:val="231F20"/>
          <w:spacing w:val="-3"/>
        </w:rPr>
        <w:t> </w:t>
      </w:r>
      <w:r>
        <w:rPr>
          <w:color w:val="231F20"/>
          <w:spacing w:val="-1"/>
        </w:rPr>
        <w:t>slightly</w:t>
      </w:r>
      <w:r>
        <w:rPr>
          <w:color w:val="231F20"/>
          <w:spacing w:val="23"/>
        </w:rPr>
        <w:t> </w:t>
      </w:r>
      <w:r>
        <w:rPr>
          <w:color w:val="231F20"/>
        </w:rPr>
        <w:t>higher</w:t>
      </w:r>
      <w:r>
        <w:rPr>
          <w:color w:val="231F20"/>
          <w:spacing w:val="-8"/>
        </w:rPr>
        <w:t> </w:t>
      </w:r>
      <w:r>
        <w:rPr>
          <w:color w:val="231F20"/>
        </w:rPr>
        <w:t>revenue</w:t>
      </w:r>
      <w:r>
        <w:rPr>
          <w:color w:val="231F20"/>
          <w:spacing w:val="-8"/>
        </w:rPr>
        <w:t> </w:t>
      </w:r>
      <w:r>
        <w:rPr>
          <w:color w:val="231F20"/>
        </w:rPr>
        <w:t>for</w:t>
      </w:r>
      <w:r>
        <w:rPr>
          <w:color w:val="231F20"/>
          <w:spacing w:val="-7"/>
        </w:rPr>
        <w:t> </w:t>
      </w:r>
      <w:r>
        <w:rPr>
          <w:color w:val="231F20"/>
        </w:rPr>
        <w:t>boarding</w:t>
      </w:r>
      <w:r>
        <w:rPr>
          <w:color w:val="231F20"/>
          <w:spacing w:val="-7"/>
        </w:rPr>
        <w:t> </w:t>
      </w:r>
      <w:r>
        <w:rPr>
          <w:color w:val="231F20"/>
        </w:rPr>
        <w:t>providers</w:t>
      </w:r>
      <w:r>
        <w:rPr>
          <w:color w:val="231F20"/>
          <w:spacing w:val="-8"/>
        </w:rPr>
        <w:t> </w:t>
      </w:r>
      <w:r>
        <w:rPr>
          <w:color w:val="231F20"/>
        </w:rPr>
        <w:t>to</w:t>
      </w:r>
      <w:r>
        <w:rPr>
          <w:color w:val="231F20"/>
          <w:w w:val="99"/>
        </w:rPr>
        <w:t> </w:t>
      </w:r>
      <w:r>
        <w:rPr>
          <w:color w:val="231F20"/>
        </w:rPr>
        <w:t>address</w:t>
      </w:r>
      <w:r>
        <w:rPr>
          <w:color w:val="231F20"/>
          <w:spacing w:val="-9"/>
        </w:rPr>
        <w:t> </w:t>
      </w:r>
      <w:r>
        <w:rPr>
          <w:color w:val="231F20"/>
        </w:rPr>
        <w:t>the</w:t>
      </w:r>
      <w:r>
        <w:rPr>
          <w:color w:val="231F20"/>
          <w:spacing w:val="-8"/>
        </w:rPr>
        <w:t> </w:t>
      </w:r>
      <w:r>
        <w:rPr>
          <w:color w:val="231F20"/>
        </w:rPr>
        <w:t>high</w:t>
      </w:r>
      <w:r>
        <w:rPr>
          <w:color w:val="231F20"/>
          <w:spacing w:val="-8"/>
        </w:rPr>
        <w:t> </w:t>
      </w:r>
      <w:r>
        <w:rPr>
          <w:color w:val="231F20"/>
        </w:rPr>
        <w:t>proportion</w:t>
      </w:r>
      <w:r>
        <w:rPr>
          <w:color w:val="231F20"/>
          <w:spacing w:val="-9"/>
        </w:rPr>
        <w:t> </w:t>
      </w:r>
      <w:r>
        <w:rPr>
          <w:color w:val="231F20"/>
        </w:rPr>
        <w:t>of</w:t>
      </w:r>
      <w:r>
        <w:rPr>
          <w:color w:val="231F20"/>
          <w:spacing w:val="-7"/>
        </w:rPr>
        <w:t> </w:t>
      </w:r>
      <w:r>
        <w:rPr>
          <w:color w:val="231F20"/>
        </w:rPr>
        <w:t>disadvantage</w:t>
      </w:r>
      <w:r>
        <w:rPr>
          <w:color w:val="231F20"/>
          <w:w w:val="99"/>
        </w:rPr>
        <w:t> </w:t>
      </w:r>
      <w:r>
        <w:rPr>
          <w:color w:val="231F20"/>
        </w:rPr>
        <w:t>experienced</w:t>
      </w:r>
      <w:r>
        <w:rPr>
          <w:color w:val="231F20"/>
          <w:spacing w:val="-8"/>
        </w:rPr>
        <w:t> </w:t>
      </w:r>
      <w:r>
        <w:rPr>
          <w:color w:val="231F20"/>
        </w:rPr>
        <w:t>by</w:t>
      </w:r>
      <w:r>
        <w:rPr>
          <w:color w:val="231F20"/>
          <w:spacing w:val="-6"/>
        </w:rPr>
        <w:t> </w:t>
      </w:r>
      <w:r>
        <w:rPr>
          <w:color w:val="231F20"/>
        </w:rPr>
        <w:t>boarders</w:t>
      </w:r>
      <w:r>
        <w:rPr>
          <w:color w:val="231F20"/>
          <w:spacing w:val="-8"/>
        </w:rPr>
        <w:t> </w:t>
      </w:r>
      <w:r>
        <w:rPr>
          <w:color w:val="231F20"/>
        </w:rPr>
        <w:t>from</w:t>
      </w:r>
      <w:r>
        <w:rPr>
          <w:color w:val="231F20"/>
          <w:spacing w:val="-6"/>
        </w:rPr>
        <w:t> </w:t>
      </w:r>
      <w:r>
        <w:rPr>
          <w:color w:val="231F20"/>
        </w:rPr>
        <w:t>remote</w:t>
      </w:r>
      <w:r>
        <w:rPr>
          <w:color w:val="231F20"/>
          <w:spacing w:val="-7"/>
        </w:rPr>
        <w:t> </w:t>
      </w:r>
      <w:r>
        <w:rPr>
          <w:color w:val="231F20"/>
        </w:rPr>
        <w:t>and</w:t>
      </w:r>
      <w:r>
        <w:rPr>
          <w:color w:val="231F20"/>
          <w:spacing w:val="-8"/>
        </w:rPr>
        <w:t> </w:t>
      </w:r>
      <w:r>
        <w:rPr>
          <w:color w:val="231F20"/>
        </w:rPr>
        <w:t>very</w:t>
      </w:r>
      <w:r>
        <w:rPr>
          <w:color w:val="231F20"/>
          <w:w w:val="99"/>
        </w:rPr>
        <w:t> </w:t>
      </w:r>
      <w:r>
        <w:rPr>
          <w:color w:val="231F20"/>
        </w:rPr>
        <w:t>remote</w:t>
      </w:r>
      <w:r>
        <w:rPr>
          <w:color w:val="231F20"/>
          <w:spacing w:val="-16"/>
        </w:rPr>
        <w:t> </w:t>
      </w:r>
      <w:r>
        <w:rPr>
          <w:color w:val="231F20"/>
          <w:spacing w:val="-1"/>
        </w:rPr>
        <w:t>locations.</w:t>
      </w:r>
      <w:r>
        <w:rPr/>
      </w:r>
    </w:p>
    <w:p>
      <w:pPr>
        <w:spacing w:after="0" w:line="250" w:lineRule="exact"/>
        <w:jc w:val="left"/>
        <w:sectPr>
          <w:type w:val="continuous"/>
          <w:pgSz w:w="11910" w:h="16840"/>
          <w:pgMar w:top="1580" w:bottom="280" w:left="1600" w:right="1300"/>
          <w:cols w:num="2" w:equalWidth="0">
            <w:col w:w="4280" w:space="255"/>
            <w:col w:w="4475"/>
          </w:cols>
        </w:sectPr>
      </w:pPr>
    </w:p>
    <w:p>
      <w:pPr>
        <w:spacing w:line="240" w:lineRule="auto" w:before="7"/>
        <w:rPr>
          <w:rFonts w:ascii="Segoe UI" w:hAnsi="Segoe UI" w:cs="Segoe UI" w:eastAsia="Segoe UI"/>
          <w:sz w:val="11"/>
          <w:szCs w:val="11"/>
        </w:rPr>
      </w:pPr>
    </w:p>
    <w:p>
      <w:pPr>
        <w:spacing w:line="200" w:lineRule="exact" w:before="78"/>
        <w:ind w:left="117" w:right="506" w:hanging="1"/>
        <w:jc w:val="left"/>
        <w:rPr>
          <w:rFonts w:ascii="Segoe UI Semibold" w:hAnsi="Segoe UI Semibold" w:cs="Segoe UI Semibold" w:eastAsia="Segoe UI Semibold"/>
          <w:sz w:val="9"/>
          <w:szCs w:val="9"/>
        </w:rPr>
      </w:pPr>
      <w:r>
        <w:rPr>
          <w:rFonts w:ascii="Segoe UI Semibold"/>
          <w:b/>
          <w:color w:val="666155"/>
          <w:spacing w:val="1"/>
          <w:sz w:val="16"/>
        </w:rPr>
        <w:t>TABLE</w:t>
      </w:r>
      <w:r>
        <w:rPr>
          <w:rFonts w:ascii="Segoe UI Semibold"/>
          <w:b/>
          <w:color w:val="666155"/>
          <w:spacing w:val="-1"/>
          <w:sz w:val="16"/>
        </w:rPr>
        <w:t> </w:t>
      </w:r>
      <w:r>
        <w:rPr>
          <w:rFonts w:ascii="Segoe UI Semibold"/>
          <w:b/>
          <w:color w:val="666155"/>
          <w:sz w:val="16"/>
        </w:rPr>
        <w:t>11: </w:t>
      </w:r>
      <w:r>
        <w:rPr>
          <w:rFonts w:ascii="Segoe UI Semibold"/>
          <w:b/>
          <w:color w:val="666155"/>
          <w:spacing w:val="3"/>
          <w:sz w:val="16"/>
        </w:rPr>
        <w:t>THE</w:t>
      </w:r>
      <w:r>
        <w:rPr>
          <w:rFonts w:ascii="Segoe UI Semibold"/>
          <w:b/>
          <w:color w:val="666155"/>
          <w:spacing w:val="2"/>
          <w:sz w:val="16"/>
        </w:rPr>
        <w:t> </w:t>
      </w:r>
      <w:r>
        <w:rPr>
          <w:rFonts w:ascii="Segoe UI Semibold"/>
          <w:b/>
          <w:color w:val="666155"/>
          <w:spacing w:val="4"/>
          <w:sz w:val="16"/>
        </w:rPr>
        <w:t>EFFECT</w:t>
      </w:r>
      <w:r>
        <w:rPr>
          <w:rFonts w:ascii="Segoe UI Semibold"/>
          <w:b/>
          <w:color w:val="666155"/>
          <w:spacing w:val="3"/>
          <w:sz w:val="16"/>
        </w:rPr>
        <w:t> </w:t>
      </w:r>
      <w:r>
        <w:rPr>
          <w:rFonts w:ascii="Segoe UI Semibold"/>
          <w:b/>
          <w:color w:val="666155"/>
          <w:spacing w:val="2"/>
          <w:sz w:val="16"/>
        </w:rPr>
        <w:t>OF </w:t>
      </w:r>
      <w:r>
        <w:rPr>
          <w:rFonts w:ascii="Segoe UI Semibold"/>
          <w:b/>
          <w:color w:val="666155"/>
          <w:spacing w:val="1"/>
          <w:sz w:val="16"/>
        </w:rPr>
        <w:t>PARENTAL</w:t>
      </w:r>
      <w:r>
        <w:rPr>
          <w:rFonts w:ascii="Segoe UI Semibold"/>
          <w:b/>
          <w:color w:val="666155"/>
          <w:spacing w:val="2"/>
          <w:sz w:val="16"/>
        </w:rPr>
        <w:t> </w:t>
      </w:r>
      <w:r>
        <w:rPr>
          <w:rFonts w:ascii="Segoe UI Semibold"/>
          <w:b/>
          <w:color w:val="666155"/>
          <w:spacing w:val="3"/>
          <w:sz w:val="16"/>
        </w:rPr>
        <w:t>INCOME FOR</w:t>
      </w:r>
      <w:r>
        <w:rPr>
          <w:rFonts w:ascii="Segoe UI Semibold"/>
          <w:b/>
          <w:color w:val="666155"/>
          <w:spacing w:val="2"/>
          <w:sz w:val="16"/>
        </w:rPr>
        <w:t> </w:t>
      </w:r>
      <w:r>
        <w:rPr>
          <w:rFonts w:ascii="Segoe UI Semibold"/>
          <w:b/>
          <w:color w:val="666155"/>
          <w:spacing w:val="-1"/>
          <w:sz w:val="16"/>
        </w:rPr>
        <w:t>TAX</w:t>
      </w:r>
      <w:r>
        <w:rPr>
          <w:rFonts w:ascii="Segoe UI Semibold"/>
          <w:b/>
          <w:color w:val="666155"/>
          <w:spacing w:val="3"/>
          <w:sz w:val="16"/>
        </w:rPr>
        <w:t> </w:t>
      </w:r>
      <w:r>
        <w:rPr>
          <w:rFonts w:ascii="Segoe UI Semibold"/>
          <w:b/>
          <w:color w:val="666155"/>
          <w:spacing w:val="4"/>
          <w:sz w:val="16"/>
        </w:rPr>
        <w:t>YEAR</w:t>
      </w:r>
      <w:r>
        <w:rPr>
          <w:rFonts w:ascii="Segoe UI Semibold"/>
          <w:b/>
          <w:color w:val="666155"/>
          <w:spacing w:val="-1"/>
          <w:sz w:val="16"/>
        </w:rPr>
        <w:t> </w:t>
      </w:r>
      <w:r>
        <w:rPr>
          <w:rFonts w:ascii="Segoe UI Semibold"/>
          <w:b/>
          <w:color w:val="666155"/>
          <w:sz w:val="16"/>
        </w:rPr>
        <w:t>2017</w:t>
      </w:r>
      <w:r>
        <w:rPr>
          <w:rFonts w:ascii="Segoe UI Semibold"/>
          <w:b/>
          <w:color w:val="666155"/>
          <w:position w:val="1"/>
          <w:sz w:val="16"/>
        </w:rPr>
        <w:t>-</w:t>
      </w:r>
      <w:r>
        <w:rPr>
          <w:rFonts w:ascii="Segoe UI Semibold"/>
          <w:b/>
          <w:color w:val="666155"/>
          <w:sz w:val="16"/>
        </w:rPr>
        <w:t>18 </w:t>
      </w:r>
      <w:r>
        <w:rPr>
          <w:rFonts w:ascii="Segoe UI Semibold"/>
          <w:b/>
          <w:color w:val="666155"/>
          <w:spacing w:val="2"/>
          <w:sz w:val="16"/>
        </w:rPr>
        <w:t>ON </w:t>
      </w:r>
      <w:r>
        <w:rPr>
          <w:rFonts w:ascii="Segoe UI Semibold"/>
          <w:b/>
          <w:color w:val="666155"/>
          <w:spacing w:val="4"/>
          <w:sz w:val="16"/>
        </w:rPr>
        <w:t>ABSTUDY</w:t>
      </w:r>
      <w:r>
        <w:rPr>
          <w:rFonts w:ascii="Segoe UI Semibold"/>
          <w:b/>
          <w:color w:val="666155"/>
          <w:spacing w:val="3"/>
          <w:sz w:val="16"/>
        </w:rPr>
        <w:t> </w:t>
      </w:r>
      <w:r>
        <w:rPr>
          <w:rFonts w:ascii="Segoe UI Semibold"/>
          <w:b/>
          <w:color w:val="666155"/>
          <w:spacing w:val="4"/>
          <w:sz w:val="16"/>
        </w:rPr>
        <w:t>MEANS</w:t>
      </w:r>
      <w:r>
        <w:rPr>
          <w:rFonts w:ascii="Segoe UI Semibold"/>
          <w:b/>
          <w:color w:val="666155"/>
          <w:spacing w:val="2"/>
          <w:sz w:val="16"/>
        </w:rPr>
        <w:t> </w:t>
      </w:r>
      <w:r>
        <w:rPr>
          <w:rFonts w:ascii="Segoe UI Semibold"/>
          <w:b/>
          <w:color w:val="666155"/>
          <w:spacing w:val="4"/>
          <w:sz w:val="16"/>
        </w:rPr>
        <w:t>TESTED</w:t>
      </w:r>
      <w:r>
        <w:rPr>
          <w:rFonts w:ascii="Segoe UI Semibold"/>
          <w:b/>
          <w:color w:val="666155"/>
          <w:spacing w:val="3"/>
          <w:sz w:val="16"/>
        </w:rPr>
        <w:t> </w:t>
      </w:r>
      <w:r>
        <w:rPr>
          <w:rFonts w:ascii="Segoe UI Semibold"/>
          <w:b/>
          <w:color w:val="666155"/>
          <w:spacing w:val="2"/>
          <w:sz w:val="16"/>
        </w:rPr>
        <w:t>PAYMENTS</w:t>
      </w:r>
      <w:r>
        <w:rPr>
          <w:rFonts w:ascii="Segoe UI Semibold"/>
          <w:b/>
          <w:color w:val="666155"/>
          <w:spacing w:val="59"/>
          <w:sz w:val="16"/>
        </w:rPr>
        <w:t> </w:t>
      </w:r>
      <w:r>
        <w:rPr>
          <w:rFonts w:ascii="Segoe UI Semibold"/>
          <w:b/>
          <w:color w:val="666155"/>
          <w:spacing w:val="2"/>
          <w:sz w:val="16"/>
        </w:rPr>
        <w:t>IN</w:t>
      </w:r>
      <w:r>
        <w:rPr>
          <w:rFonts w:ascii="Segoe UI Semibold"/>
          <w:b/>
          <w:color w:val="666155"/>
          <w:spacing w:val="5"/>
          <w:sz w:val="16"/>
        </w:rPr>
        <w:t> </w:t>
      </w:r>
      <w:r>
        <w:rPr>
          <w:rFonts w:ascii="Segoe UI Semibold"/>
          <w:b/>
          <w:color w:val="666155"/>
          <w:spacing w:val="-1"/>
          <w:sz w:val="16"/>
        </w:rPr>
        <w:t>2019</w:t>
      </w:r>
      <w:r>
        <w:rPr>
          <w:rFonts w:ascii="Segoe UI Semibold"/>
          <w:b/>
          <w:color w:val="666155"/>
          <w:spacing w:val="-1"/>
          <w:position w:val="5"/>
          <w:sz w:val="9"/>
        </w:rPr>
        <w:t>157</w:t>
      </w:r>
      <w:r>
        <w:rPr>
          <w:rFonts w:ascii="Segoe UI Semibold"/>
          <w:sz w:val="9"/>
        </w:rPr>
      </w:r>
    </w:p>
    <w:p>
      <w:pPr>
        <w:spacing w:line="240" w:lineRule="auto" w:before="12"/>
        <w:rPr>
          <w:rFonts w:ascii="Segoe UI Semibold" w:hAnsi="Segoe UI Semibold" w:cs="Segoe UI Semibold" w:eastAsia="Segoe UI Semibold"/>
          <w:b/>
          <w:bCs/>
          <w:sz w:val="11"/>
          <w:szCs w:val="11"/>
        </w:rPr>
      </w:pPr>
    </w:p>
    <w:tbl>
      <w:tblPr>
        <w:tblW w:w="0" w:type="auto"/>
        <w:jc w:val="left"/>
        <w:tblInd w:w="114" w:type="dxa"/>
        <w:tblLayout w:type="fixed"/>
        <w:tblCellMar>
          <w:top w:w="0" w:type="dxa"/>
          <w:left w:w="0" w:type="dxa"/>
          <w:bottom w:w="0" w:type="dxa"/>
          <w:right w:w="0" w:type="dxa"/>
        </w:tblCellMar>
        <w:tblLook w:val="01E0"/>
      </w:tblPr>
      <w:tblGrid>
        <w:gridCol w:w="1852"/>
        <w:gridCol w:w="6869"/>
      </w:tblGrid>
      <w:tr>
        <w:trPr>
          <w:trHeight w:val="343" w:hRule="exact"/>
        </w:trPr>
        <w:tc>
          <w:tcPr>
            <w:tcW w:w="1852"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left="152" w:right="0"/>
              <w:jc w:val="left"/>
              <w:rPr>
                <w:rFonts w:ascii="Segoe UI" w:hAnsi="Segoe UI" w:cs="Segoe UI" w:eastAsia="Segoe UI"/>
                <w:sz w:val="16"/>
                <w:szCs w:val="16"/>
              </w:rPr>
            </w:pPr>
            <w:r>
              <w:rPr>
                <w:rFonts w:ascii="Segoe UI"/>
                <w:color w:val="231F20"/>
                <w:sz w:val="16"/>
              </w:rPr>
              <w:t>Parental</w:t>
            </w:r>
            <w:r>
              <w:rPr>
                <w:rFonts w:ascii="Segoe UI"/>
                <w:color w:val="231F20"/>
                <w:spacing w:val="-6"/>
                <w:sz w:val="16"/>
              </w:rPr>
              <w:t> </w:t>
            </w:r>
            <w:r>
              <w:rPr>
                <w:rFonts w:ascii="Segoe UI"/>
                <w:color w:val="231F20"/>
                <w:spacing w:val="-1"/>
                <w:sz w:val="16"/>
              </w:rPr>
              <w:t>income</w:t>
            </w:r>
            <w:r>
              <w:rPr>
                <w:rFonts w:ascii="Segoe UI"/>
                <w:sz w:val="16"/>
              </w:rPr>
            </w:r>
          </w:p>
        </w:tc>
        <w:tc>
          <w:tcPr>
            <w:tcW w:w="6869"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left="108" w:right="0"/>
              <w:jc w:val="left"/>
              <w:rPr>
                <w:rFonts w:ascii="Segoe UI" w:hAnsi="Segoe UI" w:cs="Segoe UI" w:eastAsia="Segoe UI"/>
                <w:sz w:val="16"/>
                <w:szCs w:val="16"/>
              </w:rPr>
            </w:pPr>
            <w:r>
              <w:rPr>
                <w:rFonts w:ascii="Segoe UI"/>
                <w:color w:val="231F20"/>
                <w:sz w:val="16"/>
              </w:rPr>
              <w:t>Effect</w:t>
            </w:r>
            <w:r>
              <w:rPr>
                <w:rFonts w:ascii="Segoe UI"/>
                <w:color w:val="231F20"/>
                <w:spacing w:val="-2"/>
                <w:sz w:val="16"/>
              </w:rPr>
              <w:t> </w:t>
            </w:r>
            <w:r>
              <w:rPr>
                <w:rFonts w:ascii="Segoe UI"/>
                <w:color w:val="231F20"/>
                <w:sz w:val="16"/>
              </w:rPr>
              <w:t>on</w:t>
            </w:r>
            <w:r>
              <w:rPr>
                <w:rFonts w:ascii="Segoe UI"/>
                <w:color w:val="231F20"/>
                <w:spacing w:val="-2"/>
                <w:sz w:val="16"/>
              </w:rPr>
              <w:t> </w:t>
            </w:r>
            <w:r>
              <w:rPr>
                <w:rFonts w:ascii="Segoe UI"/>
                <w:color w:val="231F20"/>
                <w:sz w:val="16"/>
              </w:rPr>
              <w:t>payment</w:t>
            </w:r>
            <w:r>
              <w:rPr>
                <w:rFonts w:ascii="Segoe UI"/>
                <w:sz w:val="16"/>
              </w:rPr>
            </w:r>
          </w:p>
        </w:tc>
      </w:tr>
      <w:tr>
        <w:trPr>
          <w:trHeight w:val="348" w:hRule="exact"/>
        </w:trPr>
        <w:tc>
          <w:tcPr>
            <w:tcW w:w="1852"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08" w:right="0"/>
              <w:jc w:val="left"/>
              <w:rPr>
                <w:rFonts w:ascii="Segoe UI" w:hAnsi="Segoe UI" w:cs="Segoe UI" w:eastAsia="Segoe UI"/>
                <w:sz w:val="16"/>
                <w:szCs w:val="16"/>
              </w:rPr>
            </w:pPr>
            <w:r>
              <w:rPr>
                <w:rFonts w:ascii="Segoe UI"/>
                <w:color w:val="231F20"/>
                <w:spacing w:val="-1"/>
                <w:sz w:val="16"/>
              </w:rPr>
              <w:t>$53,728 </w:t>
            </w:r>
            <w:r>
              <w:rPr>
                <w:rFonts w:ascii="Segoe UI"/>
                <w:color w:val="231F20"/>
                <w:sz w:val="16"/>
              </w:rPr>
              <w:t>or</w:t>
            </w:r>
            <w:r>
              <w:rPr>
                <w:rFonts w:ascii="Segoe UI"/>
                <w:color w:val="231F20"/>
                <w:spacing w:val="-1"/>
                <w:sz w:val="16"/>
              </w:rPr>
              <w:t> less</w:t>
            </w:r>
            <w:r>
              <w:rPr>
                <w:rFonts w:ascii="Segoe UI"/>
                <w:sz w:val="16"/>
              </w:rPr>
            </w:r>
          </w:p>
        </w:tc>
        <w:tc>
          <w:tcPr>
            <w:tcW w:w="686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08" w:right="0"/>
              <w:jc w:val="left"/>
              <w:rPr>
                <w:rFonts w:ascii="Segoe UI" w:hAnsi="Segoe UI" w:cs="Segoe UI" w:eastAsia="Segoe UI"/>
                <w:sz w:val="16"/>
                <w:szCs w:val="16"/>
              </w:rPr>
            </w:pPr>
            <w:r>
              <w:rPr>
                <w:rFonts w:ascii="Segoe UI"/>
                <w:color w:val="231F20"/>
                <w:sz w:val="16"/>
              </w:rPr>
              <w:t>No</w:t>
            </w:r>
            <w:r>
              <w:rPr>
                <w:rFonts w:ascii="Segoe UI"/>
                <w:color w:val="231F20"/>
                <w:spacing w:val="-1"/>
                <w:sz w:val="16"/>
              </w:rPr>
              <w:t> </w:t>
            </w:r>
            <w:r>
              <w:rPr>
                <w:rFonts w:ascii="Segoe UI"/>
                <w:color w:val="231F20"/>
                <w:sz w:val="16"/>
              </w:rPr>
              <w:t>change, however</w:t>
            </w:r>
            <w:r>
              <w:rPr>
                <w:rFonts w:ascii="Segoe UI"/>
                <w:color w:val="231F20"/>
                <w:spacing w:val="-1"/>
                <w:sz w:val="16"/>
              </w:rPr>
              <w:t> </w:t>
            </w:r>
            <w:r>
              <w:rPr>
                <w:rFonts w:ascii="Segoe UI"/>
                <w:color w:val="231F20"/>
                <w:sz w:val="16"/>
              </w:rPr>
              <w:t>the maintenance income</w:t>
            </w:r>
            <w:r>
              <w:rPr>
                <w:rFonts w:ascii="Segoe UI"/>
                <w:color w:val="231F20"/>
                <w:spacing w:val="-1"/>
                <w:sz w:val="16"/>
              </w:rPr>
              <w:t> </w:t>
            </w:r>
            <w:r>
              <w:rPr>
                <w:rFonts w:ascii="Segoe UI"/>
                <w:color w:val="231F20"/>
                <w:sz w:val="16"/>
              </w:rPr>
              <w:t>test may</w:t>
            </w:r>
            <w:r>
              <w:rPr>
                <w:rFonts w:ascii="Segoe UI"/>
                <w:color w:val="231F20"/>
                <w:spacing w:val="-1"/>
                <w:sz w:val="16"/>
              </w:rPr>
              <w:t> </w:t>
            </w:r>
            <w:r>
              <w:rPr>
                <w:rFonts w:ascii="Segoe UI"/>
                <w:color w:val="231F20"/>
                <w:sz w:val="16"/>
              </w:rPr>
              <w:t>still affect it.</w:t>
            </w:r>
            <w:r>
              <w:rPr>
                <w:rFonts w:ascii="Segoe UI"/>
                <w:sz w:val="16"/>
              </w:rPr>
            </w:r>
          </w:p>
        </w:tc>
      </w:tr>
      <w:tr>
        <w:trPr>
          <w:trHeight w:val="343" w:hRule="exact"/>
        </w:trPr>
        <w:tc>
          <w:tcPr>
            <w:tcW w:w="1852"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08" w:right="0"/>
              <w:jc w:val="left"/>
              <w:rPr>
                <w:rFonts w:ascii="Segoe UI" w:hAnsi="Segoe UI" w:cs="Segoe UI" w:eastAsia="Segoe UI"/>
                <w:sz w:val="16"/>
                <w:szCs w:val="16"/>
              </w:rPr>
            </w:pPr>
            <w:r>
              <w:rPr>
                <w:rFonts w:ascii="Segoe UI"/>
                <w:color w:val="231F20"/>
                <w:sz w:val="16"/>
              </w:rPr>
              <w:t>More</w:t>
            </w:r>
            <w:r>
              <w:rPr>
                <w:rFonts w:ascii="Segoe UI"/>
                <w:color w:val="231F20"/>
                <w:spacing w:val="-4"/>
                <w:sz w:val="16"/>
              </w:rPr>
              <w:t> </w:t>
            </w:r>
            <w:r>
              <w:rPr>
                <w:rFonts w:ascii="Segoe UI"/>
                <w:color w:val="231F20"/>
                <w:sz w:val="16"/>
              </w:rPr>
              <w:t>than</w:t>
            </w:r>
            <w:r>
              <w:rPr>
                <w:rFonts w:ascii="Segoe UI"/>
                <w:color w:val="231F20"/>
                <w:spacing w:val="-4"/>
                <w:sz w:val="16"/>
              </w:rPr>
              <w:t> </w:t>
            </w:r>
            <w:r>
              <w:rPr>
                <w:rFonts w:ascii="Segoe UI"/>
                <w:color w:val="231F20"/>
                <w:sz w:val="16"/>
              </w:rPr>
              <w:t>$53,728</w:t>
            </w:r>
            <w:r>
              <w:rPr>
                <w:rFonts w:ascii="Segoe UI"/>
                <w:sz w:val="16"/>
              </w:rPr>
            </w:r>
          </w:p>
        </w:tc>
        <w:tc>
          <w:tcPr>
            <w:tcW w:w="6869"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08" w:right="0"/>
              <w:jc w:val="left"/>
              <w:rPr>
                <w:rFonts w:ascii="Segoe UI" w:hAnsi="Segoe UI" w:cs="Segoe UI" w:eastAsia="Segoe UI"/>
                <w:sz w:val="16"/>
                <w:szCs w:val="16"/>
              </w:rPr>
            </w:pPr>
            <w:r>
              <w:rPr>
                <w:rFonts w:ascii="Segoe UI"/>
                <w:color w:val="231F20"/>
                <w:spacing w:val="-1"/>
                <w:sz w:val="16"/>
              </w:rPr>
              <w:t>Reduced</w:t>
            </w:r>
            <w:r>
              <w:rPr>
                <w:rFonts w:ascii="Segoe UI"/>
                <w:color w:val="231F20"/>
                <w:spacing w:val="-4"/>
                <w:sz w:val="16"/>
              </w:rPr>
              <w:t> </w:t>
            </w:r>
            <w:r>
              <w:rPr>
                <w:rFonts w:ascii="Segoe UI"/>
                <w:color w:val="231F20"/>
                <w:sz w:val="16"/>
              </w:rPr>
              <w:t>by</w:t>
            </w:r>
            <w:r>
              <w:rPr>
                <w:rFonts w:ascii="Segoe UI"/>
                <w:color w:val="231F20"/>
                <w:spacing w:val="-3"/>
                <w:sz w:val="16"/>
              </w:rPr>
              <w:t> </w:t>
            </w:r>
            <w:r>
              <w:rPr>
                <w:rFonts w:ascii="Segoe UI"/>
                <w:color w:val="231F20"/>
                <w:spacing w:val="-1"/>
                <w:sz w:val="16"/>
              </w:rPr>
              <w:t>20</w:t>
            </w:r>
            <w:r>
              <w:rPr>
                <w:rFonts w:ascii="Segoe UI"/>
                <w:color w:val="231F20"/>
                <w:spacing w:val="-3"/>
                <w:sz w:val="16"/>
              </w:rPr>
              <w:t> </w:t>
            </w:r>
            <w:r>
              <w:rPr>
                <w:rFonts w:ascii="Segoe UI"/>
                <w:color w:val="231F20"/>
                <w:sz w:val="16"/>
              </w:rPr>
              <w:t>cents</w:t>
            </w:r>
            <w:r>
              <w:rPr>
                <w:rFonts w:ascii="Segoe UI"/>
                <w:color w:val="231F20"/>
                <w:spacing w:val="-4"/>
                <w:sz w:val="16"/>
              </w:rPr>
              <w:t> </w:t>
            </w:r>
            <w:r>
              <w:rPr>
                <w:rFonts w:ascii="Segoe UI"/>
                <w:color w:val="231F20"/>
                <w:sz w:val="16"/>
              </w:rPr>
              <w:t>for</w:t>
            </w:r>
            <w:r>
              <w:rPr>
                <w:rFonts w:ascii="Segoe UI"/>
                <w:color w:val="231F20"/>
                <w:spacing w:val="-3"/>
                <w:sz w:val="16"/>
              </w:rPr>
              <w:t> </w:t>
            </w:r>
            <w:r>
              <w:rPr>
                <w:rFonts w:ascii="Segoe UI"/>
                <w:color w:val="231F20"/>
                <w:sz w:val="16"/>
              </w:rPr>
              <w:t>every</w:t>
            </w:r>
            <w:r>
              <w:rPr>
                <w:rFonts w:ascii="Segoe UI"/>
                <w:color w:val="231F20"/>
                <w:spacing w:val="-3"/>
                <w:sz w:val="16"/>
              </w:rPr>
              <w:t> </w:t>
            </w:r>
            <w:r>
              <w:rPr>
                <w:rFonts w:ascii="Segoe UI"/>
                <w:color w:val="231F20"/>
                <w:sz w:val="16"/>
              </w:rPr>
              <w:t>dollar</w:t>
            </w:r>
            <w:r>
              <w:rPr>
                <w:rFonts w:ascii="Segoe UI"/>
                <w:color w:val="231F20"/>
                <w:spacing w:val="-4"/>
                <w:sz w:val="16"/>
              </w:rPr>
              <w:t> </w:t>
            </w:r>
            <w:r>
              <w:rPr>
                <w:rFonts w:ascii="Segoe UI"/>
                <w:color w:val="231F20"/>
                <w:sz w:val="16"/>
              </w:rPr>
              <w:t>over.</w:t>
            </w:r>
            <w:r>
              <w:rPr>
                <w:rFonts w:ascii="Segoe UI"/>
                <w:color w:val="231F20"/>
                <w:spacing w:val="-3"/>
                <w:sz w:val="16"/>
              </w:rPr>
              <w:t> </w:t>
            </w:r>
            <w:r>
              <w:rPr>
                <w:rFonts w:ascii="Segoe UI"/>
                <w:color w:val="231F20"/>
                <w:sz w:val="16"/>
              </w:rPr>
              <w:t>This</w:t>
            </w:r>
            <w:r>
              <w:rPr>
                <w:rFonts w:ascii="Segoe UI"/>
                <w:color w:val="231F20"/>
                <w:spacing w:val="-4"/>
                <w:sz w:val="16"/>
              </w:rPr>
              <w:t> </w:t>
            </w:r>
            <w:r>
              <w:rPr>
                <w:rFonts w:ascii="Segoe UI"/>
                <w:color w:val="231F20"/>
                <w:sz w:val="16"/>
              </w:rPr>
              <w:t>depends</w:t>
            </w:r>
            <w:r>
              <w:rPr>
                <w:rFonts w:ascii="Segoe UI"/>
                <w:color w:val="231F20"/>
                <w:spacing w:val="-3"/>
                <w:sz w:val="16"/>
              </w:rPr>
              <w:t> </w:t>
            </w:r>
            <w:r>
              <w:rPr>
                <w:rFonts w:ascii="Segoe UI"/>
                <w:color w:val="231F20"/>
                <w:sz w:val="16"/>
              </w:rPr>
              <w:t>on</w:t>
            </w:r>
            <w:r>
              <w:rPr>
                <w:rFonts w:ascii="Segoe UI"/>
                <w:color w:val="231F20"/>
                <w:spacing w:val="-4"/>
                <w:sz w:val="16"/>
              </w:rPr>
              <w:t> </w:t>
            </w:r>
            <w:r>
              <w:rPr>
                <w:rFonts w:ascii="Segoe UI"/>
                <w:color w:val="231F20"/>
                <w:sz w:val="16"/>
              </w:rPr>
              <w:t>number</w:t>
            </w:r>
            <w:r>
              <w:rPr>
                <w:rFonts w:ascii="Segoe UI"/>
                <w:color w:val="231F20"/>
                <w:spacing w:val="-3"/>
                <w:sz w:val="16"/>
              </w:rPr>
              <w:t> </w:t>
            </w:r>
            <w:r>
              <w:rPr>
                <w:rFonts w:ascii="Segoe UI"/>
                <w:color w:val="231F20"/>
                <w:sz w:val="16"/>
              </w:rPr>
              <w:t>of</w:t>
            </w:r>
            <w:r>
              <w:rPr>
                <w:rFonts w:ascii="Segoe UI"/>
                <w:color w:val="231F20"/>
                <w:spacing w:val="-3"/>
                <w:sz w:val="16"/>
              </w:rPr>
              <w:t> </w:t>
            </w:r>
            <w:r>
              <w:rPr>
                <w:rFonts w:ascii="Segoe UI"/>
                <w:color w:val="231F20"/>
                <w:sz w:val="16"/>
              </w:rPr>
              <w:t>children</w:t>
            </w:r>
            <w:r>
              <w:rPr>
                <w:rFonts w:ascii="Segoe UI"/>
                <w:color w:val="231F20"/>
                <w:spacing w:val="-4"/>
                <w:sz w:val="16"/>
              </w:rPr>
              <w:t> </w:t>
            </w:r>
            <w:r>
              <w:rPr>
                <w:rFonts w:ascii="Segoe UI"/>
                <w:color w:val="231F20"/>
                <w:spacing w:val="-1"/>
                <w:sz w:val="16"/>
              </w:rPr>
              <w:t>in</w:t>
            </w:r>
            <w:r>
              <w:rPr>
                <w:rFonts w:ascii="Segoe UI"/>
                <w:color w:val="231F20"/>
                <w:spacing w:val="-3"/>
                <w:sz w:val="16"/>
              </w:rPr>
              <w:t> </w:t>
            </w:r>
            <w:r>
              <w:rPr>
                <w:rFonts w:ascii="Segoe UI"/>
                <w:color w:val="231F20"/>
                <w:sz w:val="16"/>
              </w:rPr>
              <w:t>family</w:t>
            </w:r>
            <w:r>
              <w:rPr>
                <w:rFonts w:ascii="Segoe UI"/>
                <w:color w:val="231F20"/>
                <w:spacing w:val="-4"/>
                <w:sz w:val="16"/>
              </w:rPr>
              <w:t> </w:t>
            </w:r>
            <w:r>
              <w:rPr>
                <w:rFonts w:ascii="Segoe UI"/>
                <w:color w:val="231F20"/>
                <w:sz w:val="16"/>
              </w:rPr>
              <w:t>pool.</w:t>
            </w:r>
            <w:r>
              <w:rPr>
                <w:rFonts w:ascii="Segoe UI"/>
                <w:sz w:val="16"/>
              </w:rPr>
            </w:r>
          </w:p>
        </w:tc>
      </w:tr>
    </w:tbl>
    <w:p>
      <w:pPr>
        <w:spacing w:after="0" w:line="240" w:lineRule="auto"/>
        <w:jc w:val="left"/>
        <w:rPr>
          <w:rFonts w:ascii="Segoe UI" w:hAnsi="Segoe UI" w:cs="Segoe UI" w:eastAsia="Segoe UI"/>
          <w:sz w:val="16"/>
          <w:szCs w:val="16"/>
        </w:rPr>
        <w:sectPr>
          <w:type w:val="continuous"/>
          <w:pgSz w:w="11910" w:h="16840"/>
          <w:pgMar w:top="1580" w:bottom="280" w:left="1600" w:right="1300"/>
        </w:sectPr>
      </w:pPr>
    </w:p>
    <w:p>
      <w:pPr>
        <w:spacing w:line="240" w:lineRule="auto" w:before="0"/>
        <w:rPr>
          <w:rFonts w:ascii="Segoe UI Semibold" w:hAnsi="Segoe UI Semibold" w:cs="Segoe UI Semibold" w:eastAsia="Segoe UI Semibold"/>
          <w:b/>
          <w:bCs/>
          <w:sz w:val="20"/>
          <w:szCs w:val="20"/>
        </w:rPr>
      </w:pPr>
    </w:p>
    <w:p>
      <w:pPr>
        <w:spacing w:line="240" w:lineRule="auto" w:before="11"/>
        <w:rPr>
          <w:rFonts w:ascii="Segoe UI Semibold" w:hAnsi="Segoe UI Semibold" w:cs="Segoe UI Semibold" w:eastAsia="Segoe UI Semibold"/>
          <w:b/>
          <w:bCs/>
          <w:sz w:val="20"/>
          <w:szCs w:val="20"/>
        </w:rPr>
      </w:pPr>
    </w:p>
    <w:p>
      <w:pPr>
        <w:spacing w:after="0" w:line="240" w:lineRule="auto"/>
        <w:rPr>
          <w:rFonts w:ascii="Segoe UI Semibold" w:hAnsi="Segoe UI Semibold" w:cs="Segoe UI Semibold" w:eastAsia="Segoe UI Semibold"/>
          <w:sz w:val="20"/>
          <w:szCs w:val="20"/>
        </w:rPr>
        <w:sectPr>
          <w:footerReference w:type="even" r:id="rId80"/>
          <w:footerReference w:type="default" r:id="rId81"/>
          <w:pgSz w:w="11910" w:h="16840"/>
          <w:pgMar w:footer="691" w:header="0" w:top="1580" w:bottom="880" w:left="1300" w:right="1600"/>
        </w:sectPr>
      </w:pPr>
    </w:p>
    <w:p>
      <w:pPr>
        <w:pStyle w:val="BodyText"/>
        <w:spacing w:line="250" w:lineRule="exact" w:before="72"/>
        <w:ind w:right="0"/>
        <w:jc w:val="left"/>
      </w:pPr>
      <w:r>
        <w:rPr>
          <w:color w:val="231F20"/>
          <w:spacing w:val="-1"/>
        </w:rPr>
        <w:t>Reviewing</w:t>
      </w:r>
      <w:r>
        <w:rPr>
          <w:color w:val="231F20"/>
          <w:spacing w:val="-9"/>
        </w:rPr>
        <w:t> </w:t>
      </w:r>
      <w:r>
        <w:rPr>
          <w:color w:val="231F20"/>
        </w:rPr>
        <w:t>the</w:t>
      </w:r>
      <w:r>
        <w:rPr>
          <w:color w:val="231F20"/>
          <w:spacing w:val="-9"/>
        </w:rPr>
        <w:t> </w:t>
      </w:r>
      <w:r>
        <w:rPr>
          <w:color w:val="231F20"/>
          <w:spacing w:val="-1"/>
        </w:rPr>
        <w:t>structure</w:t>
      </w:r>
      <w:r>
        <w:rPr>
          <w:color w:val="231F20"/>
          <w:spacing w:val="-7"/>
        </w:rPr>
        <w:t> </w:t>
      </w:r>
      <w:r>
        <w:rPr>
          <w:color w:val="231F20"/>
        </w:rPr>
        <w:t>of</w:t>
      </w:r>
      <w:r>
        <w:rPr>
          <w:color w:val="231F20"/>
          <w:spacing w:val="-7"/>
        </w:rPr>
        <w:t> </w:t>
      </w:r>
      <w:r>
        <w:rPr>
          <w:color w:val="231F20"/>
        </w:rPr>
        <w:t>payments</w:t>
      </w:r>
      <w:r>
        <w:rPr>
          <w:color w:val="231F20"/>
          <w:spacing w:val="-9"/>
        </w:rPr>
        <w:t> </w:t>
      </w:r>
      <w:r>
        <w:rPr>
          <w:color w:val="231F20"/>
          <w:spacing w:val="-1"/>
        </w:rPr>
        <w:t>supporting</w:t>
      </w:r>
      <w:r>
        <w:rPr>
          <w:color w:val="231F20"/>
          <w:spacing w:val="24"/>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spacing w:val="-1"/>
        </w:rPr>
        <w:t>students</w:t>
      </w:r>
      <w:r>
        <w:rPr>
          <w:color w:val="231F20"/>
          <w:spacing w:val="-5"/>
        </w:rPr>
        <w:t> </w:t>
      </w:r>
      <w:r>
        <w:rPr>
          <w:color w:val="231F20"/>
        </w:rPr>
        <w:t>to</w:t>
      </w:r>
      <w:r>
        <w:rPr>
          <w:color w:val="231F20"/>
          <w:spacing w:val="-5"/>
        </w:rPr>
        <w:t> </w:t>
      </w:r>
      <w:r>
        <w:rPr>
          <w:color w:val="231F20"/>
          <w:spacing w:val="-1"/>
        </w:rPr>
        <w:t>include</w:t>
      </w:r>
      <w:r>
        <w:rPr>
          <w:color w:val="231F20"/>
          <w:spacing w:val="-4"/>
        </w:rPr>
        <w:t> </w:t>
      </w:r>
      <w:r>
        <w:rPr>
          <w:color w:val="231F20"/>
        </w:rPr>
        <w:t>an</w:t>
      </w:r>
      <w:r>
        <w:rPr>
          <w:color w:val="231F20"/>
          <w:spacing w:val="-6"/>
        </w:rPr>
        <w:t> </w:t>
      </w:r>
      <w:r>
        <w:rPr>
          <w:color w:val="231F20"/>
        </w:rPr>
        <w:t>expanded</w:t>
      </w:r>
      <w:r>
        <w:rPr>
          <w:color w:val="231F20"/>
          <w:spacing w:val="-4"/>
        </w:rPr>
        <w:t> </w:t>
      </w:r>
      <w:r>
        <w:rPr>
          <w:color w:val="231F20"/>
        </w:rPr>
        <w:t>or</w:t>
      </w:r>
      <w:r>
        <w:rPr>
          <w:color w:val="231F20"/>
          <w:spacing w:val="-5"/>
        </w:rPr>
        <w:t> </w:t>
      </w:r>
      <w:r>
        <w:rPr>
          <w:color w:val="231F20"/>
        </w:rPr>
        <w:t>directly</w:t>
      </w:r>
      <w:r>
        <w:rPr>
          <w:color w:val="231F20"/>
          <w:spacing w:val="23"/>
          <w:w w:val="99"/>
        </w:rPr>
        <w:t> </w:t>
      </w:r>
      <w:r>
        <w:rPr>
          <w:color w:val="231F20"/>
        </w:rPr>
        <w:t>targeted</w:t>
      </w:r>
      <w:r>
        <w:rPr>
          <w:color w:val="231F20"/>
          <w:spacing w:val="-8"/>
        </w:rPr>
        <w:t> </w:t>
      </w:r>
      <w:r>
        <w:rPr>
          <w:color w:val="231F20"/>
          <w:spacing w:val="-1"/>
        </w:rPr>
        <w:t>loading</w:t>
      </w:r>
      <w:r>
        <w:rPr>
          <w:color w:val="231F20"/>
          <w:spacing w:val="-7"/>
        </w:rPr>
        <w:t> </w:t>
      </w:r>
      <w:r>
        <w:rPr>
          <w:color w:val="231F20"/>
        </w:rPr>
        <w:t>for</w:t>
      </w:r>
      <w:r>
        <w:rPr>
          <w:color w:val="231F20"/>
          <w:spacing w:val="-7"/>
        </w:rPr>
        <w:t> </w:t>
      </w:r>
      <w:r>
        <w:rPr>
          <w:color w:val="231F20"/>
        </w:rPr>
        <w:t>disadvantage</w:t>
      </w:r>
      <w:r>
        <w:rPr>
          <w:color w:val="231F20"/>
          <w:spacing w:val="-8"/>
        </w:rPr>
        <w:t> </w:t>
      </w:r>
      <w:r>
        <w:rPr>
          <w:color w:val="231F20"/>
        </w:rPr>
        <w:t>or</w:t>
      </w:r>
      <w:r>
        <w:rPr>
          <w:color w:val="231F20"/>
          <w:spacing w:val="-7"/>
        </w:rPr>
        <w:t> </w:t>
      </w:r>
      <w:r>
        <w:rPr>
          <w:color w:val="231F20"/>
        </w:rPr>
        <w:t>need</w:t>
      </w:r>
      <w:r>
        <w:rPr>
          <w:color w:val="231F20"/>
          <w:spacing w:val="22"/>
          <w:w w:val="99"/>
        </w:rPr>
        <w:t> </w:t>
      </w:r>
      <w:r>
        <w:rPr>
          <w:rFonts w:ascii="Segoe UI"/>
          <w:color w:val="231F20"/>
        </w:rPr>
        <w:t>though would assist in addressing the financial</w:t>
      </w:r>
      <w:r>
        <w:rPr>
          <w:rFonts w:ascii="Segoe UI"/>
          <w:color w:val="231F20"/>
        </w:rPr>
        <w:t> </w:t>
      </w:r>
      <w:r>
        <w:rPr>
          <w:color w:val="231F20"/>
        </w:rPr>
        <w:t>pressures</w:t>
      </w:r>
      <w:r>
        <w:rPr>
          <w:color w:val="231F20"/>
          <w:spacing w:val="-7"/>
        </w:rPr>
        <w:t> </w:t>
      </w:r>
      <w:r>
        <w:rPr>
          <w:color w:val="231F20"/>
        </w:rPr>
        <w:t>faced</w:t>
      </w:r>
      <w:r>
        <w:rPr>
          <w:color w:val="231F20"/>
          <w:spacing w:val="-5"/>
        </w:rPr>
        <w:t> </w:t>
      </w:r>
      <w:r>
        <w:rPr>
          <w:color w:val="231F20"/>
        </w:rPr>
        <w:t>by</w:t>
      </w:r>
      <w:r>
        <w:rPr>
          <w:color w:val="231F20"/>
          <w:spacing w:val="-6"/>
        </w:rPr>
        <w:t> </w:t>
      </w:r>
      <w:r>
        <w:rPr>
          <w:color w:val="231F20"/>
          <w:spacing w:val="-1"/>
        </w:rPr>
        <w:t>many</w:t>
      </w:r>
      <w:r>
        <w:rPr>
          <w:color w:val="231F20"/>
          <w:spacing w:val="-5"/>
        </w:rPr>
        <w:t> </w:t>
      </w:r>
      <w:r>
        <w:rPr>
          <w:color w:val="231F20"/>
        </w:rPr>
        <w:t>Aboriginal</w:t>
      </w:r>
      <w:r>
        <w:rPr>
          <w:color w:val="231F20"/>
          <w:spacing w:val="-5"/>
        </w:rPr>
        <w:t> </w:t>
      </w:r>
      <w:r>
        <w:rPr>
          <w:color w:val="231F20"/>
        </w:rPr>
        <w:t>and</w:t>
      </w:r>
      <w:r>
        <w:rPr>
          <w:color w:val="231F20"/>
          <w:spacing w:val="-7"/>
        </w:rPr>
        <w:t> </w:t>
      </w:r>
      <w:r>
        <w:rPr>
          <w:color w:val="231F20"/>
          <w:spacing w:val="-5"/>
        </w:rPr>
        <w:t>Torres</w:t>
      </w:r>
      <w:r>
        <w:rPr>
          <w:color w:val="231F20"/>
          <w:spacing w:val="25"/>
          <w:w w:val="99"/>
        </w:rPr>
        <w:t> </w:t>
      </w:r>
      <w:r>
        <w:rPr>
          <w:color w:val="231F20"/>
          <w:spacing w:val="-2"/>
        </w:rPr>
        <w:t>Strait</w:t>
      </w:r>
      <w:r>
        <w:rPr>
          <w:color w:val="231F20"/>
          <w:spacing w:val="-8"/>
        </w:rPr>
        <w:t> </w:t>
      </w:r>
      <w:r>
        <w:rPr>
          <w:color w:val="231F20"/>
          <w:spacing w:val="-1"/>
        </w:rPr>
        <w:t>Islander</w:t>
      </w:r>
      <w:r>
        <w:rPr>
          <w:color w:val="231F20"/>
          <w:spacing w:val="-7"/>
        </w:rPr>
        <w:t> </w:t>
      </w:r>
      <w:r>
        <w:rPr>
          <w:color w:val="231F20"/>
        </w:rPr>
        <w:t>boarding</w:t>
      </w:r>
      <w:r>
        <w:rPr>
          <w:color w:val="231F20"/>
          <w:spacing w:val="-8"/>
        </w:rPr>
        <w:t> </w:t>
      </w:r>
      <w:r>
        <w:rPr>
          <w:color w:val="231F20"/>
        </w:rPr>
        <w:t>providers.</w:t>
      </w:r>
      <w:r>
        <w:rPr>
          <w:color w:val="231F20"/>
          <w:spacing w:val="-7"/>
        </w:rPr>
        <w:t> </w:t>
      </w:r>
      <w:r>
        <w:rPr>
          <w:color w:val="231F20"/>
          <w:spacing w:val="-1"/>
        </w:rPr>
        <w:t>It</w:t>
      </w:r>
      <w:r>
        <w:rPr>
          <w:color w:val="231F20"/>
          <w:spacing w:val="-7"/>
        </w:rPr>
        <w:t> </w:t>
      </w:r>
      <w:r>
        <w:rPr>
          <w:color w:val="231F20"/>
        </w:rPr>
        <w:t>would</w:t>
      </w:r>
      <w:r>
        <w:rPr/>
      </w:r>
    </w:p>
    <w:p>
      <w:pPr>
        <w:pStyle w:val="BodyText"/>
        <w:spacing w:line="250" w:lineRule="exact"/>
        <w:ind w:right="163"/>
        <w:jc w:val="left"/>
      </w:pPr>
      <w:r>
        <w:rPr>
          <w:color w:val="231F20"/>
        </w:rPr>
        <w:t>also</w:t>
      </w:r>
      <w:r>
        <w:rPr>
          <w:color w:val="231F20"/>
          <w:spacing w:val="-7"/>
        </w:rPr>
        <w:t> </w:t>
      </w:r>
      <w:r>
        <w:rPr>
          <w:color w:val="231F20"/>
        </w:rPr>
        <w:t>enable</w:t>
      </w:r>
      <w:r>
        <w:rPr>
          <w:color w:val="231F20"/>
          <w:spacing w:val="-6"/>
        </w:rPr>
        <w:t> </w:t>
      </w:r>
      <w:r>
        <w:rPr>
          <w:color w:val="231F20"/>
        </w:rPr>
        <w:t>providers</w:t>
      </w:r>
      <w:r>
        <w:rPr>
          <w:color w:val="231F20"/>
          <w:spacing w:val="-6"/>
        </w:rPr>
        <w:t> </w:t>
      </w:r>
      <w:r>
        <w:rPr>
          <w:color w:val="231F20"/>
        </w:rPr>
        <w:t>to</w:t>
      </w:r>
      <w:r>
        <w:rPr>
          <w:color w:val="231F20"/>
          <w:spacing w:val="-5"/>
        </w:rPr>
        <w:t> </w:t>
      </w:r>
      <w:r>
        <w:rPr>
          <w:color w:val="231F20"/>
        </w:rPr>
        <w:t>expand</w:t>
      </w:r>
      <w:r>
        <w:rPr>
          <w:color w:val="231F20"/>
          <w:spacing w:val="-6"/>
        </w:rPr>
        <w:t> </w:t>
      </w:r>
      <w:r>
        <w:rPr>
          <w:color w:val="231F20"/>
        </w:rPr>
        <w:t>or</w:t>
      </w:r>
      <w:r>
        <w:rPr>
          <w:color w:val="231F20"/>
          <w:spacing w:val="-5"/>
        </w:rPr>
        <w:t> </w:t>
      </w:r>
      <w:r>
        <w:rPr>
          <w:color w:val="231F20"/>
          <w:spacing w:val="-1"/>
        </w:rPr>
        <w:t>improve</w:t>
      </w:r>
      <w:r>
        <w:rPr>
          <w:color w:val="231F20"/>
          <w:spacing w:val="20"/>
          <w:w w:val="99"/>
        </w:rPr>
        <w:t> </w:t>
      </w:r>
      <w:r>
        <w:rPr>
          <w:color w:val="231F20"/>
        </w:rPr>
        <w:t>existing</w:t>
      </w:r>
      <w:r>
        <w:rPr>
          <w:color w:val="231F20"/>
          <w:spacing w:val="-6"/>
        </w:rPr>
        <w:t> </w:t>
      </w:r>
      <w:r>
        <w:rPr>
          <w:color w:val="231F20"/>
          <w:spacing w:val="-1"/>
        </w:rPr>
        <w:t>support</w:t>
      </w:r>
      <w:r>
        <w:rPr>
          <w:color w:val="231F20"/>
          <w:spacing w:val="-4"/>
        </w:rPr>
        <w:t> </w:t>
      </w:r>
      <w:r>
        <w:rPr>
          <w:color w:val="231F20"/>
          <w:spacing w:val="-1"/>
        </w:rPr>
        <w:t>services</w:t>
      </w:r>
      <w:r>
        <w:rPr>
          <w:color w:val="231F20"/>
          <w:spacing w:val="-4"/>
        </w:rPr>
        <w:t> </w:t>
      </w:r>
      <w:r>
        <w:rPr>
          <w:color w:val="231F20"/>
        </w:rPr>
        <w:t>for</w:t>
      </w:r>
      <w:r>
        <w:rPr>
          <w:color w:val="231F20"/>
          <w:spacing w:val="-5"/>
        </w:rPr>
        <w:t> </w:t>
      </w:r>
      <w:r>
        <w:rPr>
          <w:color w:val="231F20"/>
        </w:rPr>
        <w:t>boarders</w:t>
      </w:r>
      <w:r>
        <w:rPr>
          <w:color w:val="231F20"/>
          <w:spacing w:val="-5"/>
        </w:rPr>
        <w:t> </w:t>
      </w:r>
      <w:r>
        <w:rPr>
          <w:color w:val="231F20"/>
        </w:rPr>
        <w:t>from</w:t>
      </w:r>
      <w:r>
        <w:rPr>
          <w:color w:val="231F20"/>
          <w:spacing w:val="23"/>
          <w:w w:val="99"/>
        </w:rPr>
        <w:t> </w:t>
      </w:r>
      <w:r>
        <w:rPr>
          <w:color w:val="231F20"/>
        </w:rPr>
        <w:t>disadvantaged</w:t>
      </w:r>
      <w:r>
        <w:rPr>
          <w:color w:val="231F20"/>
          <w:spacing w:val="-14"/>
        </w:rPr>
        <w:t> </w:t>
      </w:r>
      <w:r>
        <w:rPr>
          <w:color w:val="231F20"/>
        </w:rPr>
        <w:t>and/or</w:t>
      </w:r>
      <w:r>
        <w:rPr>
          <w:color w:val="231F20"/>
          <w:spacing w:val="-13"/>
        </w:rPr>
        <w:t> </w:t>
      </w:r>
      <w:r>
        <w:rPr>
          <w:color w:val="231F20"/>
        </w:rPr>
        <w:t>trauma</w:t>
      </w:r>
      <w:r>
        <w:rPr>
          <w:color w:val="231F20"/>
          <w:spacing w:val="-14"/>
        </w:rPr>
        <w:t> </w:t>
      </w:r>
      <w:r>
        <w:rPr>
          <w:color w:val="231F20"/>
        </w:rPr>
        <w:t>backgrounds.</w:t>
      </w:r>
      <w:r>
        <w:rPr>
          <w:color w:val="231F20"/>
          <w:w w:val="99"/>
        </w:rPr>
        <w:t> </w:t>
      </w:r>
      <w:r>
        <w:rPr>
          <w:color w:val="231F20"/>
        </w:rPr>
        <w:t>The</w:t>
      </w:r>
      <w:r>
        <w:rPr>
          <w:color w:val="231F20"/>
          <w:spacing w:val="-4"/>
        </w:rPr>
        <w:t> </w:t>
      </w:r>
      <w:r>
        <w:rPr>
          <w:color w:val="231F20"/>
          <w:spacing w:val="-1"/>
        </w:rPr>
        <w:t>loading</w:t>
      </w:r>
      <w:r>
        <w:rPr>
          <w:color w:val="231F20"/>
          <w:spacing w:val="-4"/>
        </w:rPr>
        <w:t> </w:t>
      </w:r>
      <w:r>
        <w:rPr>
          <w:color w:val="231F20"/>
        </w:rPr>
        <w:t>could</w:t>
      </w:r>
      <w:r>
        <w:rPr>
          <w:color w:val="231F20"/>
          <w:spacing w:val="-5"/>
        </w:rPr>
        <w:t> </w:t>
      </w:r>
      <w:r>
        <w:rPr>
          <w:color w:val="231F20"/>
        </w:rPr>
        <w:t>be</w:t>
      </w:r>
      <w:r>
        <w:rPr>
          <w:color w:val="231F20"/>
          <w:spacing w:val="-4"/>
        </w:rPr>
        <w:t> </w:t>
      </w:r>
      <w:r>
        <w:rPr>
          <w:color w:val="231F20"/>
        </w:rPr>
        <w:t>based</w:t>
      </w:r>
      <w:r>
        <w:rPr>
          <w:color w:val="231F20"/>
          <w:spacing w:val="-5"/>
        </w:rPr>
        <w:t> </w:t>
      </w:r>
      <w:r>
        <w:rPr>
          <w:color w:val="231F20"/>
        </w:rPr>
        <w:t>on</w:t>
      </w:r>
      <w:r>
        <w:rPr>
          <w:color w:val="231F20"/>
          <w:spacing w:val="-4"/>
        </w:rPr>
        <w:t> </w:t>
      </w:r>
      <w:r>
        <w:rPr>
          <w:color w:val="231F20"/>
        </w:rPr>
        <w:t>the</w:t>
      </w:r>
      <w:r>
        <w:rPr>
          <w:color w:val="231F20"/>
          <w:spacing w:val="-5"/>
        </w:rPr>
        <w:t> </w:t>
      </w:r>
      <w:r>
        <w:rPr>
          <w:color w:val="231F20"/>
          <w:spacing w:val="-1"/>
        </w:rPr>
        <w:t>Schooling</w:t>
      </w:r>
      <w:r>
        <w:rPr>
          <w:color w:val="231F20"/>
          <w:spacing w:val="21"/>
        </w:rPr>
        <w:t> </w:t>
      </w:r>
      <w:r>
        <w:rPr>
          <w:color w:val="231F20"/>
          <w:spacing w:val="-1"/>
        </w:rPr>
        <w:t>Resource</w:t>
      </w:r>
      <w:r>
        <w:rPr>
          <w:color w:val="231F20"/>
          <w:spacing w:val="-16"/>
        </w:rPr>
        <w:t> </w:t>
      </w:r>
      <w:r>
        <w:rPr>
          <w:color w:val="231F20"/>
          <w:spacing w:val="-1"/>
        </w:rPr>
        <w:t>Standard</w:t>
      </w:r>
      <w:r>
        <w:rPr>
          <w:color w:val="231F20"/>
          <w:spacing w:val="-16"/>
        </w:rPr>
        <w:t> </w:t>
      </w:r>
      <w:r>
        <w:rPr>
          <w:color w:val="231F20"/>
          <w:spacing w:val="-1"/>
        </w:rPr>
        <w:t>socio-educational</w:t>
      </w:r>
      <w:r>
        <w:rPr>
          <w:color w:val="231F20"/>
          <w:spacing w:val="23"/>
          <w:w w:val="99"/>
        </w:rPr>
        <w:t> </w:t>
      </w:r>
      <w:r>
        <w:rPr>
          <w:color w:val="231F20"/>
        </w:rPr>
        <w:t>disadvantage</w:t>
      </w:r>
      <w:r>
        <w:rPr>
          <w:color w:val="231F20"/>
          <w:spacing w:val="-6"/>
        </w:rPr>
        <w:t> </w:t>
      </w:r>
      <w:r>
        <w:rPr>
          <w:color w:val="231F20"/>
          <w:spacing w:val="-1"/>
        </w:rPr>
        <w:t>loading</w:t>
      </w:r>
      <w:r>
        <w:rPr>
          <w:color w:val="231F20"/>
          <w:spacing w:val="-5"/>
        </w:rPr>
        <w:t> </w:t>
      </w:r>
      <w:r>
        <w:rPr>
          <w:color w:val="231F20"/>
          <w:spacing w:val="-1"/>
        </w:rPr>
        <w:t>set</w:t>
      </w:r>
      <w:r>
        <w:rPr>
          <w:color w:val="231F20"/>
          <w:spacing w:val="-5"/>
        </w:rPr>
        <w:t> </w:t>
      </w:r>
      <w:r>
        <w:rPr>
          <w:color w:val="231F20"/>
        </w:rPr>
        <w:t>out</w:t>
      </w:r>
      <w:r>
        <w:rPr>
          <w:color w:val="231F20"/>
          <w:spacing w:val="-5"/>
        </w:rPr>
        <w:t> </w:t>
      </w:r>
      <w:r>
        <w:rPr>
          <w:color w:val="231F20"/>
          <w:spacing w:val="-1"/>
        </w:rPr>
        <w:t>in</w:t>
      </w:r>
      <w:r>
        <w:rPr>
          <w:color w:val="231F20"/>
          <w:spacing w:val="-4"/>
        </w:rPr>
        <w:t> </w:t>
      </w:r>
      <w:r>
        <w:rPr>
          <w:color w:val="231F20"/>
        </w:rPr>
        <w:t>the</w:t>
      </w:r>
      <w:r>
        <w:rPr>
          <w:color w:val="231F20"/>
          <w:spacing w:val="-6"/>
        </w:rPr>
        <w:t> </w:t>
      </w:r>
      <w:r>
        <w:rPr>
          <w:rFonts w:ascii="Segoe UI" w:hAnsi="Segoe UI" w:cs="Segoe UI" w:eastAsia="Segoe UI"/>
          <w:i/>
          <w:color w:val="231F20"/>
          <w:spacing w:val="-1"/>
        </w:rPr>
        <w:t>Australian</w:t>
      </w:r>
      <w:r>
        <w:rPr>
          <w:rFonts w:ascii="Segoe UI" w:hAnsi="Segoe UI" w:cs="Segoe UI" w:eastAsia="Segoe UI"/>
          <w:i/>
          <w:color w:val="231F20"/>
          <w:spacing w:val="23"/>
          <w:w w:val="99"/>
        </w:rPr>
        <w:t> </w:t>
      </w:r>
      <w:r>
        <w:rPr>
          <w:rFonts w:ascii="Segoe UI" w:hAnsi="Segoe UI" w:cs="Segoe UI" w:eastAsia="Segoe UI"/>
          <w:i/>
          <w:color w:val="231F20"/>
        </w:rPr>
        <w:t>Education</w:t>
      </w:r>
      <w:r>
        <w:rPr>
          <w:rFonts w:ascii="Segoe UI" w:hAnsi="Segoe UI" w:cs="Segoe UI" w:eastAsia="Segoe UI"/>
          <w:i/>
          <w:color w:val="231F20"/>
          <w:spacing w:val="-3"/>
        </w:rPr>
        <w:t> </w:t>
      </w:r>
      <w:r>
        <w:rPr>
          <w:rFonts w:ascii="Segoe UI" w:hAnsi="Segoe UI" w:cs="Segoe UI" w:eastAsia="Segoe UI"/>
          <w:i/>
          <w:color w:val="231F20"/>
        </w:rPr>
        <w:t>Act</w:t>
      </w:r>
      <w:r>
        <w:rPr>
          <w:rFonts w:ascii="Segoe UI" w:hAnsi="Segoe UI" w:cs="Segoe UI" w:eastAsia="Segoe UI"/>
          <w:i/>
          <w:color w:val="231F20"/>
          <w:spacing w:val="-4"/>
        </w:rPr>
        <w:t> </w:t>
      </w:r>
      <w:r>
        <w:rPr>
          <w:rFonts w:ascii="Segoe UI" w:hAnsi="Segoe UI" w:cs="Segoe UI" w:eastAsia="Segoe UI"/>
          <w:i/>
          <w:color w:val="231F20"/>
        </w:rPr>
        <w:t>2013</w:t>
      </w:r>
      <w:r>
        <w:rPr>
          <w:color w:val="231F20"/>
        </w:rPr>
        <w:t>.</w:t>
      </w:r>
      <w:r>
        <w:rPr>
          <w:color w:val="231F20"/>
          <w:spacing w:val="-3"/>
        </w:rPr>
        <w:t> </w:t>
      </w:r>
      <w:r>
        <w:rPr>
          <w:color w:val="231F20"/>
        </w:rPr>
        <w:t>This</w:t>
      </w:r>
      <w:r>
        <w:rPr>
          <w:color w:val="231F20"/>
          <w:spacing w:val="-4"/>
        </w:rPr>
        <w:t> </w:t>
      </w:r>
      <w:r>
        <w:rPr>
          <w:color w:val="231F20"/>
          <w:spacing w:val="-1"/>
        </w:rPr>
        <w:t>loading</w:t>
      </w:r>
      <w:r>
        <w:rPr>
          <w:color w:val="231F20"/>
          <w:spacing w:val="-3"/>
        </w:rPr>
        <w:t> </w:t>
      </w:r>
      <w:r>
        <w:rPr>
          <w:color w:val="231F20"/>
        </w:rPr>
        <w:t>provides</w:t>
      </w:r>
      <w:r>
        <w:rPr>
          <w:color w:val="231F20"/>
          <w:spacing w:val="22"/>
          <w:w w:val="99"/>
        </w:rPr>
        <w:t> </w:t>
      </w:r>
      <w:r>
        <w:rPr>
          <w:color w:val="231F20"/>
        </w:rPr>
        <w:t>‘extra</w:t>
      </w:r>
      <w:r>
        <w:rPr>
          <w:color w:val="231F20"/>
          <w:spacing w:val="-5"/>
        </w:rPr>
        <w:t> </w:t>
      </w:r>
      <w:r>
        <w:rPr>
          <w:color w:val="231F20"/>
        </w:rPr>
        <w:t>funding’</w:t>
      </w:r>
      <w:r>
        <w:rPr>
          <w:color w:val="231F20"/>
          <w:spacing w:val="-5"/>
        </w:rPr>
        <w:t> </w:t>
      </w:r>
      <w:r>
        <w:rPr>
          <w:color w:val="231F20"/>
        </w:rPr>
        <w:t>on</w:t>
      </w:r>
      <w:r>
        <w:rPr>
          <w:color w:val="231F20"/>
          <w:spacing w:val="-5"/>
        </w:rPr>
        <w:t> </w:t>
      </w:r>
      <w:r>
        <w:rPr>
          <w:color w:val="231F20"/>
        </w:rPr>
        <w:t>top</w:t>
      </w:r>
      <w:r>
        <w:rPr>
          <w:color w:val="231F20"/>
          <w:spacing w:val="-5"/>
        </w:rPr>
        <w:t> </w:t>
      </w:r>
      <w:r>
        <w:rPr>
          <w:color w:val="231F20"/>
        </w:rPr>
        <w:t>of</w:t>
      </w:r>
      <w:r>
        <w:rPr>
          <w:color w:val="231F20"/>
          <w:spacing w:val="-5"/>
        </w:rPr>
        <w:t> </w:t>
      </w:r>
      <w:r>
        <w:rPr>
          <w:color w:val="231F20"/>
        </w:rPr>
        <w:t>the</w:t>
      </w:r>
      <w:r>
        <w:rPr>
          <w:color w:val="231F20"/>
          <w:spacing w:val="-6"/>
        </w:rPr>
        <w:t> </w:t>
      </w:r>
      <w:r>
        <w:rPr>
          <w:color w:val="231F20"/>
        </w:rPr>
        <w:t>base</w:t>
      </w:r>
      <w:r>
        <w:rPr>
          <w:color w:val="231F20"/>
          <w:spacing w:val="-6"/>
        </w:rPr>
        <w:t> </w:t>
      </w:r>
      <w:r>
        <w:rPr>
          <w:color w:val="231F20"/>
        </w:rPr>
        <w:t>amount</w:t>
      </w:r>
      <w:r>
        <w:rPr/>
      </w:r>
    </w:p>
    <w:p>
      <w:pPr>
        <w:pStyle w:val="BodyText"/>
        <w:spacing w:line="250" w:lineRule="exact"/>
        <w:ind w:right="0"/>
        <w:jc w:val="left"/>
      </w:pPr>
      <w:r>
        <w:rPr>
          <w:color w:val="231F20"/>
        </w:rPr>
        <w:t>for</w:t>
      </w:r>
      <w:r>
        <w:rPr>
          <w:color w:val="231F20"/>
          <w:spacing w:val="-7"/>
        </w:rPr>
        <w:t> </w:t>
      </w:r>
      <w:r>
        <w:rPr>
          <w:color w:val="231F20"/>
        </w:rPr>
        <w:t>each</w:t>
      </w:r>
      <w:r>
        <w:rPr>
          <w:color w:val="231F20"/>
          <w:spacing w:val="-6"/>
        </w:rPr>
        <w:t> </w:t>
      </w:r>
      <w:r>
        <w:rPr>
          <w:color w:val="231F20"/>
          <w:spacing w:val="-1"/>
        </w:rPr>
        <w:t>student</w:t>
      </w:r>
      <w:r>
        <w:rPr>
          <w:color w:val="231F20"/>
          <w:spacing w:val="-6"/>
        </w:rPr>
        <w:t> </w:t>
      </w:r>
      <w:r>
        <w:rPr>
          <w:color w:val="231F20"/>
        </w:rPr>
        <w:t>from</w:t>
      </w:r>
      <w:r>
        <w:rPr>
          <w:color w:val="231F20"/>
          <w:spacing w:val="-6"/>
        </w:rPr>
        <w:t> </w:t>
      </w:r>
      <w:r>
        <w:rPr>
          <w:color w:val="231F20"/>
        </w:rPr>
        <w:t>a</w:t>
      </w:r>
      <w:r>
        <w:rPr>
          <w:color w:val="231F20"/>
          <w:spacing w:val="-7"/>
        </w:rPr>
        <w:t> </w:t>
      </w:r>
      <w:r>
        <w:rPr>
          <w:color w:val="231F20"/>
          <w:spacing w:val="-1"/>
        </w:rPr>
        <w:t>socio-educationally</w:t>
      </w:r>
      <w:r>
        <w:rPr>
          <w:color w:val="231F20"/>
          <w:spacing w:val="33"/>
          <w:w w:val="99"/>
        </w:rPr>
        <w:t> </w:t>
      </w:r>
      <w:r>
        <w:rPr>
          <w:color w:val="231F20"/>
        </w:rPr>
        <w:t>disadvantaged</w:t>
      </w:r>
      <w:r>
        <w:rPr>
          <w:color w:val="231F20"/>
          <w:spacing w:val="-13"/>
        </w:rPr>
        <w:t> </w:t>
      </w:r>
      <w:r>
        <w:rPr>
          <w:color w:val="231F20"/>
        </w:rPr>
        <w:t>background.</w:t>
      </w:r>
      <w:r>
        <w:rPr>
          <w:color w:val="231F20"/>
          <w:spacing w:val="-12"/>
        </w:rPr>
        <w:t> </w:t>
      </w:r>
      <w:r>
        <w:rPr>
          <w:color w:val="231F20"/>
        </w:rPr>
        <w:t>The</w:t>
      </w:r>
      <w:r>
        <w:rPr>
          <w:color w:val="231F20"/>
          <w:spacing w:val="-11"/>
        </w:rPr>
        <w:t> </w:t>
      </w:r>
      <w:r>
        <w:rPr>
          <w:color w:val="231F20"/>
          <w:spacing w:val="-1"/>
        </w:rPr>
        <w:t>loading</w:t>
      </w:r>
      <w:r>
        <w:rPr>
          <w:color w:val="231F20"/>
          <w:spacing w:val="-1"/>
          <w:w w:val="99"/>
        </w:rPr>
        <w:t> </w:t>
      </w:r>
      <w:r>
        <w:rPr>
          <w:color w:val="231F20"/>
          <w:spacing w:val="20"/>
          <w:w w:val="99"/>
        </w:rPr>
        <w:t> </w:t>
      </w:r>
      <w:r>
        <w:rPr>
          <w:color w:val="231F20"/>
        </w:rPr>
        <w:t>amount</w:t>
      </w:r>
      <w:r>
        <w:rPr>
          <w:color w:val="231F20"/>
          <w:spacing w:val="-6"/>
        </w:rPr>
        <w:t> </w:t>
      </w:r>
      <w:r>
        <w:rPr>
          <w:color w:val="231F20"/>
          <w:spacing w:val="-1"/>
        </w:rPr>
        <w:t>is</w:t>
      </w:r>
      <w:r>
        <w:rPr>
          <w:color w:val="231F20"/>
          <w:spacing w:val="-5"/>
        </w:rPr>
        <w:t> </w:t>
      </w:r>
      <w:r>
        <w:rPr>
          <w:color w:val="231F20"/>
        </w:rPr>
        <w:t>based</w:t>
      </w:r>
      <w:r>
        <w:rPr>
          <w:color w:val="231F20"/>
          <w:spacing w:val="-5"/>
        </w:rPr>
        <w:t> </w:t>
      </w:r>
      <w:r>
        <w:rPr>
          <w:color w:val="231F20"/>
        </w:rPr>
        <w:t>on</w:t>
      </w:r>
      <w:r>
        <w:rPr>
          <w:color w:val="231F20"/>
          <w:spacing w:val="-4"/>
        </w:rPr>
        <w:t> </w:t>
      </w:r>
      <w:r>
        <w:rPr>
          <w:color w:val="231F20"/>
        </w:rPr>
        <w:t>the</w:t>
      </w:r>
      <w:r>
        <w:rPr>
          <w:color w:val="231F20"/>
          <w:spacing w:val="-5"/>
        </w:rPr>
        <w:t> </w:t>
      </w:r>
      <w:r>
        <w:rPr>
          <w:color w:val="231F20"/>
        </w:rPr>
        <w:t>percentage</w:t>
      </w:r>
      <w:r>
        <w:rPr>
          <w:color w:val="231F20"/>
          <w:spacing w:val="-5"/>
        </w:rPr>
        <w:t> </w:t>
      </w:r>
      <w:r>
        <w:rPr>
          <w:color w:val="231F20"/>
        </w:rPr>
        <w:t>of</w:t>
      </w:r>
      <w:r>
        <w:rPr>
          <w:color w:val="231F20"/>
          <w:spacing w:val="-4"/>
        </w:rPr>
        <w:t> </w:t>
      </w:r>
      <w:r>
        <w:rPr>
          <w:color w:val="231F20"/>
          <w:spacing w:val="-1"/>
        </w:rPr>
        <w:t>students</w:t>
      </w:r>
      <w:r>
        <w:rPr>
          <w:color w:val="231F20"/>
          <w:spacing w:val="21"/>
        </w:rPr>
        <w:t> </w:t>
      </w:r>
      <w:r>
        <w:rPr>
          <w:color w:val="231F20"/>
          <w:spacing w:val="-1"/>
        </w:rPr>
        <w:t>in</w:t>
      </w:r>
      <w:r>
        <w:rPr>
          <w:color w:val="231F20"/>
          <w:spacing w:val="-6"/>
        </w:rPr>
        <w:t> </w:t>
      </w:r>
      <w:r>
        <w:rPr>
          <w:color w:val="231F20"/>
        </w:rPr>
        <w:t>the</w:t>
      </w:r>
      <w:r>
        <w:rPr>
          <w:color w:val="231F20"/>
          <w:spacing w:val="-6"/>
        </w:rPr>
        <w:t> </w:t>
      </w:r>
      <w:r>
        <w:rPr>
          <w:color w:val="231F20"/>
          <w:spacing w:val="-1"/>
        </w:rPr>
        <w:t>lowest</w:t>
      </w:r>
      <w:r>
        <w:rPr>
          <w:color w:val="231F20"/>
          <w:spacing w:val="-6"/>
        </w:rPr>
        <w:t> </w:t>
      </w:r>
      <w:r>
        <w:rPr>
          <w:color w:val="231F20"/>
        </w:rPr>
        <w:t>two</w:t>
      </w:r>
      <w:r>
        <w:rPr>
          <w:color w:val="231F20"/>
          <w:spacing w:val="-5"/>
        </w:rPr>
        <w:t> </w:t>
      </w:r>
      <w:r>
        <w:rPr>
          <w:color w:val="231F20"/>
        </w:rPr>
        <w:t>quartiles</w:t>
      </w:r>
      <w:r>
        <w:rPr>
          <w:color w:val="231F20"/>
          <w:spacing w:val="-6"/>
        </w:rPr>
        <w:t> </w:t>
      </w:r>
      <w:r>
        <w:rPr>
          <w:color w:val="231F20"/>
        </w:rPr>
        <w:t>of</w:t>
      </w:r>
      <w:r>
        <w:rPr>
          <w:color w:val="231F20"/>
          <w:spacing w:val="-6"/>
        </w:rPr>
        <w:t> </w:t>
      </w:r>
      <w:r>
        <w:rPr>
          <w:color w:val="231F20"/>
          <w:spacing w:val="-1"/>
        </w:rPr>
        <w:t>socio-educational</w:t>
      </w:r>
      <w:r>
        <w:rPr>
          <w:color w:val="231F20"/>
          <w:spacing w:val="31"/>
          <w:w w:val="99"/>
        </w:rPr>
        <w:t> </w:t>
      </w:r>
      <w:r>
        <w:rPr>
          <w:color w:val="231F20"/>
        </w:rPr>
        <w:t>advantage</w:t>
      </w:r>
      <w:r>
        <w:rPr>
          <w:color w:val="231F20"/>
          <w:spacing w:val="-5"/>
        </w:rPr>
        <w:t> </w:t>
      </w:r>
      <w:r>
        <w:rPr>
          <w:color w:val="231F20"/>
        </w:rPr>
        <w:t>(ICSEA).</w:t>
      </w:r>
      <w:r>
        <w:rPr>
          <w:color w:val="231F20"/>
          <w:spacing w:val="-5"/>
        </w:rPr>
        <w:t> </w:t>
      </w:r>
      <w:r>
        <w:rPr>
          <w:color w:val="231F20"/>
          <w:spacing w:val="-1"/>
        </w:rPr>
        <w:t>In</w:t>
      </w:r>
      <w:r>
        <w:rPr>
          <w:color w:val="231F20"/>
          <w:spacing w:val="-4"/>
        </w:rPr>
        <w:t> </w:t>
      </w:r>
      <w:r>
        <w:rPr>
          <w:color w:val="231F20"/>
          <w:spacing w:val="-1"/>
        </w:rPr>
        <w:t>2019,</w:t>
      </w:r>
      <w:r>
        <w:rPr>
          <w:color w:val="231F20"/>
          <w:spacing w:val="-4"/>
        </w:rPr>
        <w:t> </w:t>
      </w:r>
      <w:r>
        <w:rPr>
          <w:color w:val="231F20"/>
        </w:rPr>
        <w:t>the</w:t>
      </w:r>
      <w:r>
        <w:rPr>
          <w:color w:val="231F20"/>
          <w:spacing w:val="-4"/>
        </w:rPr>
        <w:t> </w:t>
      </w:r>
      <w:r>
        <w:rPr>
          <w:color w:val="231F20"/>
          <w:spacing w:val="-1"/>
        </w:rPr>
        <w:t>socio-</w:t>
      </w:r>
      <w:r>
        <w:rPr>
          <w:color w:val="231F20"/>
          <w:spacing w:val="22"/>
        </w:rPr>
        <w:t> </w:t>
      </w:r>
      <w:r>
        <w:rPr>
          <w:color w:val="231F20"/>
        </w:rPr>
        <w:t>educational</w:t>
      </w:r>
      <w:r>
        <w:rPr>
          <w:color w:val="231F20"/>
          <w:spacing w:val="-10"/>
        </w:rPr>
        <w:t> </w:t>
      </w:r>
      <w:r>
        <w:rPr>
          <w:color w:val="231F20"/>
        </w:rPr>
        <w:t>disadvantage</w:t>
      </w:r>
      <w:r>
        <w:rPr>
          <w:color w:val="231F20"/>
          <w:spacing w:val="-10"/>
        </w:rPr>
        <w:t> </w:t>
      </w:r>
      <w:r>
        <w:rPr>
          <w:color w:val="231F20"/>
          <w:spacing w:val="-1"/>
        </w:rPr>
        <w:t>loading</w:t>
      </w:r>
      <w:r>
        <w:rPr>
          <w:color w:val="231F20"/>
          <w:spacing w:val="-9"/>
        </w:rPr>
        <w:t> </w:t>
      </w:r>
      <w:r>
        <w:rPr>
          <w:color w:val="231F20"/>
          <w:spacing w:val="-1"/>
        </w:rPr>
        <w:t>is</w:t>
      </w:r>
      <w:r>
        <w:rPr>
          <w:color w:val="231F20"/>
          <w:spacing w:val="-9"/>
        </w:rPr>
        <w:t> </w:t>
      </w:r>
      <w:r>
        <w:rPr>
          <w:color w:val="231F20"/>
        </w:rPr>
        <w:t>expected</w:t>
      </w:r>
      <w:r>
        <w:rPr>
          <w:color w:val="231F20"/>
          <w:spacing w:val="-10"/>
        </w:rPr>
        <w:t> </w:t>
      </w:r>
      <w:r>
        <w:rPr>
          <w:color w:val="231F20"/>
        </w:rPr>
        <w:t>to</w:t>
      </w:r>
      <w:r>
        <w:rPr>
          <w:color w:val="231F20"/>
          <w:spacing w:val="23"/>
          <w:w w:val="99"/>
        </w:rPr>
        <w:t> </w:t>
      </w:r>
      <w:r>
        <w:rPr>
          <w:color w:val="231F20"/>
        </w:rPr>
        <w:t>account</w:t>
      </w:r>
      <w:r>
        <w:rPr>
          <w:color w:val="231F20"/>
          <w:spacing w:val="-6"/>
        </w:rPr>
        <w:t> </w:t>
      </w:r>
      <w:r>
        <w:rPr>
          <w:color w:val="231F20"/>
        </w:rPr>
        <w:t>for</w:t>
      </w:r>
      <w:r>
        <w:rPr>
          <w:color w:val="231F20"/>
          <w:spacing w:val="-5"/>
        </w:rPr>
        <w:t> </w:t>
      </w:r>
      <w:r>
        <w:rPr>
          <w:color w:val="231F20"/>
          <w:spacing w:val="-1"/>
        </w:rPr>
        <w:t>9.5</w:t>
      </w:r>
      <w:r>
        <w:rPr>
          <w:color w:val="231F20"/>
          <w:spacing w:val="-5"/>
        </w:rPr>
        <w:t> </w:t>
      </w:r>
      <w:r>
        <w:rPr>
          <w:color w:val="231F20"/>
        </w:rPr>
        <w:t>per</w:t>
      </w:r>
      <w:r>
        <w:rPr>
          <w:color w:val="231F20"/>
          <w:spacing w:val="-5"/>
        </w:rPr>
        <w:t> </w:t>
      </w:r>
      <w:r>
        <w:rPr>
          <w:color w:val="231F20"/>
        </w:rPr>
        <w:t>cent</w:t>
      </w:r>
      <w:r>
        <w:rPr>
          <w:color w:val="231F20"/>
          <w:spacing w:val="-6"/>
        </w:rPr>
        <w:t> </w:t>
      </w:r>
      <w:r>
        <w:rPr>
          <w:color w:val="231F20"/>
        </w:rPr>
        <w:t>of</w:t>
      </w:r>
      <w:r>
        <w:rPr>
          <w:color w:val="231F20"/>
          <w:spacing w:val="-5"/>
        </w:rPr>
        <w:t> </w:t>
      </w:r>
      <w:r>
        <w:rPr>
          <w:color w:val="231F20"/>
        </w:rPr>
        <w:t>all</w:t>
      </w:r>
      <w:r>
        <w:rPr>
          <w:color w:val="231F20"/>
          <w:spacing w:val="-6"/>
        </w:rPr>
        <w:t> </w:t>
      </w:r>
      <w:r>
        <w:rPr>
          <w:color w:val="231F20"/>
          <w:spacing w:val="-1"/>
        </w:rPr>
        <w:t>Commonwealth</w:t>
      </w:r>
      <w:r>
        <w:rPr>
          <w:color w:val="231F20"/>
          <w:spacing w:val="21"/>
          <w:w w:val="99"/>
        </w:rPr>
        <w:t> </w:t>
      </w:r>
      <w:r>
        <w:rPr>
          <w:color w:val="231F20"/>
        </w:rPr>
        <w:t>recurrent</w:t>
      </w:r>
      <w:r>
        <w:rPr>
          <w:color w:val="231F20"/>
          <w:spacing w:val="-8"/>
        </w:rPr>
        <w:t> </w:t>
      </w:r>
      <w:r>
        <w:rPr>
          <w:color w:val="231F20"/>
          <w:spacing w:val="-1"/>
        </w:rPr>
        <w:t>school</w:t>
      </w:r>
      <w:r>
        <w:rPr>
          <w:color w:val="231F20"/>
          <w:spacing w:val="-6"/>
        </w:rPr>
        <w:t> </w:t>
      </w:r>
      <w:r>
        <w:rPr>
          <w:color w:val="231F20"/>
        </w:rPr>
        <w:t>funding,</w:t>
      </w:r>
      <w:r>
        <w:rPr>
          <w:color w:val="231F20"/>
          <w:spacing w:val="-7"/>
        </w:rPr>
        <w:t> </w:t>
      </w:r>
      <w:r>
        <w:rPr>
          <w:color w:val="231F20"/>
        </w:rPr>
        <w:t>highlighting</w:t>
      </w:r>
      <w:r>
        <w:rPr>
          <w:color w:val="231F20"/>
          <w:spacing w:val="-7"/>
        </w:rPr>
        <w:t> </w:t>
      </w:r>
      <w:r>
        <w:rPr>
          <w:color w:val="231F20"/>
          <w:spacing w:val="-1"/>
        </w:rPr>
        <w:t>its</w:t>
      </w:r>
      <w:r>
        <w:rPr>
          <w:color w:val="231F20"/>
          <w:spacing w:val="21"/>
        </w:rPr>
        <w:t> </w:t>
      </w:r>
      <w:r>
        <w:rPr>
          <w:color w:val="231F20"/>
          <w:spacing w:val="-1"/>
        </w:rPr>
        <w:t>importance</w:t>
      </w:r>
      <w:r>
        <w:rPr>
          <w:color w:val="231F20"/>
          <w:spacing w:val="-4"/>
        </w:rPr>
        <w:t> </w:t>
      </w:r>
      <w:r>
        <w:rPr>
          <w:color w:val="231F20"/>
        </w:rPr>
        <w:t>to</w:t>
      </w:r>
      <w:r>
        <w:rPr>
          <w:color w:val="231F20"/>
          <w:spacing w:val="-4"/>
        </w:rPr>
        <w:t> </w:t>
      </w:r>
      <w:r>
        <w:rPr>
          <w:color w:val="231F20"/>
          <w:spacing w:val="-1"/>
        </w:rPr>
        <w:t>schools</w:t>
      </w:r>
      <w:r>
        <w:rPr>
          <w:color w:val="231F20"/>
          <w:spacing w:val="-4"/>
        </w:rPr>
        <w:t> </w:t>
      </w:r>
      <w:r>
        <w:rPr>
          <w:color w:val="231F20"/>
          <w:spacing w:val="-1"/>
        </w:rPr>
        <w:t>in</w:t>
      </w:r>
      <w:r>
        <w:rPr>
          <w:color w:val="231F20"/>
          <w:spacing w:val="-4"/>
        </w:rPr>
        <w:t> </w:t>
      </w:r>
      <w:r>
        <w:rPr>
          <w:color w:val="231F20"/>
          <w:spacing w:val="-1"/>
        </w:rPr>
        <w:t>meeting</w:t>
      </w:r>
      <w:r>
        <w:rPr>
          <w:color w:val="231F20"/>
          <w:spacing w:val="-4"/>
        </w:rPr>
        <w:t> </w:t>
      </w:r>
      <w:r>
        <w:rPr>
          <w:color w:val="231F20"/>
        </w:rPr>
        <w:t>the</w:t>
      </w:r>
      <w:r>
        <w:rPr>
          <w:color w:val="231F20"/>
          <w:spacing w:val="-5"/>
        </w:rPr>
        <w:t> </w:t>
      </w:r>
      <w:r>
        <w:rPr>
          <w:color w:val="231F20"/>
        </w:rPr>
        <w:t>additional</w:t>
      </w:r>
      <w:r>
        <w:rPr>
          <w:color w:val="231F20"/>
          <w:spacing w:val="25"/>
          <w:w w:val="99"/>
        </w:rPr>
        <w:t> </w:t>
      </w:r>
      <w:r>
        <w:rPr>
          <w:color w:val="231F20"/>
        </w:rPr>
        <w:t>tuition</w:t>
      </w:r>
      <w:r>
        <w:rPr>
          <w:color w:val="231F20"/>
          <w:spacing w:val="-6"/>
        </w:rPr>
        <w:t> </w:t>
      </w:r>
      <w:r>
        <w:rPr>
          <w:color w:val="231F20"/>
        </w:rPr>
        <w:t>costs</w:t>
      </w:r>
      <w:r>
        <w:rPr>
          <w:color w:val="231F20"/>
          <w:spacing w:val="-6"/>
        </w:rPr>
        <w:t> </w:t>
      </w:r>
      <w:r>
        <w:rPr>
          <w:color w:val="231F20"/>
        </w:rPr>
        <w:t>of</w:t>
      </w:r>
      <w:r>
        <w:rPr>
          <w:color w:val="231F20"/>
          <w:spacing w:val="-5"/>
        </w:rPr>
        <w:t> </w:t>
      </w:r>
      <w:r>
        <w:rPr>
          <w:color w:val="231F20"/>
          <w:spacing w:val="-1"/>
        </w:rPr>
        <w:t>students</w:t>
      </w:r>
      <w:r>
        <w:rPr>
          <w:color w:val="231F20"/>
          <w:spacing w:val="-5"/>
        </w:rPr>
        <w:t> </w:t>
      </w:r>
      <w:r>
        <w:rPr>
          <w:color w:val="231F20"/>
        </w:rPr>
        <w:t>from</w:t>
      </w:r>
      <w:r>
        <w:rPr>
          <w:color w:val="231F20"/>
          <w:spacing w:val="-5"/>
        </w:rPr>
        <w:t> </w:t>
      </w:r>
      <w:r>
        <w:rPr>
          <w:color w:val="231F20"/>
        </w:rPr>
        <w:t>disadvantaged</w:t>
      </w:r>
      <w:r>
        <w:rPr>
          <w:color w:val="231F20"/>
          <w:spacing w:val="22"/>
          <w:w w:val="99"/>
        </w:rPr>
        <w:t> </w:t>
      </w:r>
      <w:r>
        <w:rPr>
          <w:color w:val="231F20"/>
          <w:spacing w:val="-1"/>
        </w:rPr>
        <w:t>backgrounds</w:t>
      </w:r>
      <w:r>
        <w:rPr>
          <w:rFonts w:ascii="Segoe UI Semibold"/>
          <w:b/>
          <w:color w:val="231F20"/>
          <w:spacing w:val="-1"/>
          <w:position w:val="7"/>
          <w:sz w:val="11"/>
        </w:rPr>
        <w:t>158</w:t>
      </w:r>
      <w:r>
        <w:rPr>
          <w:color w:val="231F20"/>
          <w:spacing w:val="-1"/>
        </w:rPr>
        <w:t>.</w:t>
      </w:r>
      <w:r>
        <w:rPr>
          <w:color w:val="231F20"/>
          <w:spacing w:val="-5"/>
        </w:rPr>
        <w:t> </w:t>
      </w:r>
      <w:r>
        <w:rPr>
          <w:color w:val="231F20"/>
          <w:spacing w:val="-1"/>
        </w:rPr>
        <w:t>Similar</w:t>
      </w:r>
      <w:r>
        <w:rPr>
          <w:color w:val="231F20"/>
          <w:spacing w:val="-4"/>
        </w:rPr>
        <w:t> </w:t>
      </w:r>
      <w:r>
        <w:rPr>
          <w:color w:val="231F20"/>
        </w:rPr>
        <w:t>direct</w:t>
      </w:r>
      <w:r>
        <w:rPr>
          <w:color w:val="231F20"/>
          <w:spacing w:val="-5"/>
        </w:rPr>
        <w:t> </w:t>
      </w:r>
      <w:r>
        <w:rPr>
          <w:color w:val="231F20"/>
        </w:rPr>
        <w:t>funding</w:t>
      </w:r>
      <w:r>
        <w:rPr>
          <w:color w:val="231F20"/>
          <w:spacing w:val="-4"/>
        </w:rPr>
        <w:t> </w:t>
      </w:r>
      <w:r>
        <w:rPr>
          <w:color w:val="231F20"/>
        </w:rPr>
        <w:t>for</w:t>
      </w:r>
      <w:r>
        <w:rPr>
          <w:color w:val="231F20"/>
          <w:spacing w:val="27"/>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boarders</w:t>
      </w:r>
      <w:r>
        <w:rPr>
          <w:color w:val="231F20"/>
          <w:spacing w:val="21"/>
          <w:w w:val="99"/>
        </w:rPr>
        <w:t> </w:t>
      </w:r>
      <w:r>
        <w:rPr>
          <w:color w:val="231F20"/>
        </w:rPr>
        <w:t>from</w:t>
      </w:r>
      <w:r>
        <w:rPr>
          <w:color w:val="231F20"/>
          <w:spacing w:val="-8"/>
        </w:rPr>
        <w:t> </w:t>
      </w:r>
      <w:r>
        <w:rPr>
          <w:color w:val="231F20"/>
        </w:rPr>
        <w:t>disadvantaged</w:t>
      </w:r>
      <w:r>
        <w:rPr>
          <w:color w:val="231F20"/>
          <w:spacing w:val="-9"/>
        </w:rPr>
        <w:t> </w:t>
      </w:r>
      <w:r>
        <w:rPr>
          <w:color w:val="231F20"/>
        </w:rPr>
        <w:t>backgrounds</w:t>
      </w:r>
      <w:r>
        <w:rPr>
          <w:color w:val="231F20"/>
          <w:spacing w:val="-8"/>
        </w:rPr>
        <w:t> </w:t>
      </w:r>
      <w:r>
        <w:rPr>
          <w:color w:val="231F20"/>
        </w:rPr>
        <w:t>would</w:t>
      </w:r>
      <w:r>
        <w:rPr>
          <w:color w:val="231F20"/>
          <w:spacing w:val="-9"/>
        </w:rPr>
        <w:t> </w:t>
      </w:r>
      <w:r>
        <w:rPr>
          <w:color w:val="231F20"/>
        </w:rPr>
        <w:t>be</w:t>
      </w:r>
      <w:r>
        <w:rPr>
          <w:color w:val="231F20"/>
          <w:spacing w:val="-7"/>
        </w:rPr>
        <w:t> </w:t>
      </w:r>
      <w:r>
        <w:rPr>
          <w:color w:val="231F20"/>
        </w:rPr>
        <w:t>of</w:t>
      </w:r>
      <w:r>
        <w:rPr>
          <w:color w:val="231F20"/>
          <w:w w:val="99"/>
        </w:rPr>
        <w:t> </w:t>
      </w:r>
      <w:r>
        <w:rPr>
          <w:color w:val="231F20"/>
        </w:rPr>
        <w:t>equal</w:t>
      </w:r>
      <w:r>
        <w:rPr>
          <w:color w:val="231F20"/>
          <w:spacing w:val="-6"/>
        </w:rPr>
        <w:t> </w:t>
      </w:r>
      <w:r>
        <w:rPr>
          <w:color w:val="231F20"/>
        </w:rPr>
        <w:t>value</w:t>
      </w:r>
      <w:r>
        <w:rPr>
          <w:color w:val="231F20"/>
          <w:spacing w:val="-5"/>
        </w:rPr>
        <w:t> </w:t>
      </w:r>
      <w:r>
        <w:rPr>
          <w:color w:val="231F20"/>
        </w:rPr>
        <w:t>to</w:t>
      </w:r>
      <w:r>
        <w:rPr>
          <w:color w:val="231F20"/>
          <w:spacing w:val="-4"/>
        </w:rPr>
        <w:t> </w:t>
      </w:r>
      <w:r>
        <w:rPr>
          <w:color w:val="231F20"/>
        </w:rPr>
        <w:t>boarding</w:t>
      </w:r>
      <w:r>
        <w:rPr>
          <w:color w:val="231F20"/>
          <w:spacing w:val="-6"/>
        </w:rPr>
        <w:t> </w:t>
      </w:r>
      <w:r>
        <w:rPr>
          <w:color w:val="231F20"/>
        </w:rPr>
        <w:t>providers</w:t>
      </w:r>
      <w:r>
        <w:rPr>
          <w:color w:val="231F20"/>
          <w:spacing w:val="-5"/>
        </w:rPr>
        <w:t> </w:t>
      </w:r>
      <w:r>
        <w:rPr>
          <w:color w:val="231F20"/>
          <w:spacing w:val="-1"/>
        </w:rPr>
        <w:t>in</w:t>
      </w:r>
      <w:r>
        <w:rPr>
          <w:color w:val="231F20"/>
          <w:spacing w:val="-5"/>
        </w:rPr>
        <w:t> </w:t>
      </w:r>
      <w:r>
        <w:rPr>
          <w:color w:val="231F20"/>
          <w:spacing w:val="-1"/>
        </w:rPr>
        <w:t>meeting</w:t>
      </w:r>
      <w:r>
        <w:rPr>
          <w:color w:val="231F20"/>
          <w:spacing w:val="21"/>
        </w:rPr>
        <w:t> </w:t>
      </w:r>
      <w:r>
        <w:rPr>
          <w:color w:val="231F20"/>
        </w:rPr>
        <w:t>the</w:t>
      </w:r>
      <w:r>
        <w:rPr>
          <w:color w:val="231F20"/>
          <w:spacing w:val="-9"/>
        </w:rPr>
        <w:t> </w:t>
      </w:r>
      <w:r>
        <w:rPr>
          <w:color w:val="231F20"/>
        </w:rPr>
        <w:t>recognised</w:t>
      </w:r>
      <w:r>
        <w:rPr>
          <w:color w:val="231F20"/>
          <w:spacing w:val="-9"/>
        </w:rPr>
        <w:t> </w:t>
      </w:r>
      <w:r>
        <w:rPr>
          <w:color w:val="231F20"/>
        </w:rPr>
        <w:t>additional</w:t>
      </w:r>
      <w:r>
        <w:rPr>
          <w:color w:val="231F20"/>
          <w:spacing w:val="-9"/>
        </w:rPr>
        <w:t> </w:t>
      </w:r>
      <w:r>
        <w:rPr>
          <w:color w:val="231F20"/>
        </w:rPr>
        <w:t>boarding</w:t>
      </w:r>
      <w:r>
        <w:rPr>
          <w:color w:val="231F20"/>
          <w:spacing w:val="-8"/>
        </w:rPr>
        <w:t> </w:t>
      </w:r>
      <w:r>
        <w:rPr>
          <w:color w:val="231F20"/>
        </w:rPr>
        <w:t>costs</w:t>
      </w:r>
      <w:r>
        <w:rPr>
          <w:color w:val="231F20"/>
        </w:rPr>
        <w:t> associated</w:t>
      </w:r>
      <w:r>
        <w:rPr>
          <w:color w:val="231F20"/>
          <w:spacing w:val="-14"/>
        </w:rPr>
        <w:t> </w:t>
      </w:r>
      <w:r>
        <w:rPr>
          <w:color w:val="231F20"/>
        </w:rPr>
        <w:t>with</w:t>
      </w:r>
      <w:r>
        <w:rPr>
          <w:color w:val="231F20"/>
          <w:spacing w:val="-14"/>
        </w:rPr>
        <w:t> </w:t>
      </w:r>
      <w:r>
        <w:rPr>
          <w:color w:val="231F20"/>
        </w:rPr>
        <w:t>disadvantage.</w:t>
      </w:r>
      <w:r>
        <w:rPr/>
      </w:r>
    </w:p>
    <w:p>
      <w:pPr>
        <w:pStyle w:val="Heading2"/>
        <w:spacing w:line="240" w:lineRule="auto"/>
        <w:ind w:right="0"/>
        <w:jc w:val="left"/>
        <w:rPr>
          <w:b w:val="0"/>
          <w:bCs w:val="0"/>
        </w:rPr>
      </w:pPr>
      <w:bookmarkStart w:name="_TOC_250017" w:id="19"/>
      <w:r>
        <w:rPr>
          <w:b w:val="0"/>
        </w:rPr>
        <w:br w:type="column"/>
      </w:r>
      <w:r>
        <w:rPr>
          <w:color w:val="452A70"/>
        </w:rPr>
        <w:t>Indigeneity</w:t>
      </w:r>
      <w:bookmarkEnd w:id="19"/>
      <w:r>
        <w:rPr>
          <w:b w:val="0"/>
        </w:rPr>
      </w:r>
    </w:p>
    <w:p>
      <w:pPr>
        <w:pStyle w:val="BodyText"/>
        <w:spacing w:line="250" w:lineRule="exact" w:before="111"/>
        <w:ind w:right="472"/>
        <w:jc w:val="left"/>
      </w:pPr>
      <w:r>
        <w:rPr>
          <w:color w:val="231F20"/>
        </w:rPr>
        <w:t>The</w:t>
      </w:r>
      <w:r>
        <w:rPr>
          <w:color w:val="231F20"/>
          <w:spacing w:val="-6"/>
        </w:rPr>
        <w:t> </w:t>
      </w:r>
      <w:r>
        <w:rPr>
          <w:color w:val="231F20"/>
        </w:rPr>
        <w:t>proportion</w:t>
      </w:r>
      <w:r>
        <w:rPr>
          <w:color w:val="231F20"/>
          <w:spacing w:val="-6"/>
        </w:rPr>
        <w:t> </w:t>
      </w:r>
      <w:r>
        <w:rPr>
          <w:color w:val="231F20"/>
        </w:rPr>
        <w:t>of</w:t>
      </w:r>
      <w:r>
        <w:rPr>
          <w:color w:val="231F20"/>
          <w:spacing w:val="-5"/>
        </w:rPr>
        <w:t> </w:t>
      </w:r>
      <w:r>
        <w:rPr>
          <w:color w:val="231F20"/>
        </w:rPr>
        <w:t>Aboriginal</w:t>
      </w:r>
      <w:r>
        <w:rPr>
          <w:color w:val="231F20"/>
          <w:spacing w:val="-6"/>
        </w:rPr>
        <w:t> </w:t>
      </w:r>
      <w:r>
        <w:rPr>
          <w:color w:val="231F20"/>
        </w:rPr>
        <w:t>and</w:t>
      </w:r>
      <w:r>
        <w:rPr>
          <w:color w:val="231F20"/>
          <w:spacing w:val="-6"/>
        </w:rPr>
        <w:t> </w:t>
      </w:r>
      <w:r>
        <w:rPr>
          <w:color w:val="231F20"/>
          <w:spacing w:val="-5"/>
        </w:rPr>
        <w:t>Torres</w:t>
      </w:r>
      <w:r>
        <w:rPr>
          <w:color w:val="231F20"/>
          <w:spacing w:val="23"/>
          <w:w w:val="99"/>
        </w:rPr>
        <w:t> </w:t>
      </w:r>
      <w:r>
        <w:rPr>
          <w:color w:val="231F20"/>
          <w:spacing w:val="-2"/>
        </w:rPr>
        <w:t>Strait</w:t>
      </w:r>
      <w:r>
        <w:rPr>
          <w:color w:val="231F20"/>
          <w:spacing w:val="-5"/>
        </w:rPr>
        <w:t> </w:t>
      </w:r>
      <w:r>
        <w:rPr>
          <w:color w:val="231F20"/>
          <w:spacing w:val="-1"/>
        </w:rPr>
        <w:t>Islander</w:t>
      </w:r>
      <w:r>
        <w:rPr>
          <w:color w:val="231F20"/>
          <w:spacing w:val="-3"/>
        </w:rPr>
        <w:t> </w:t>
      </w:r>
      <w:r>
        <w:rPr>
          <w:color w:val="231F20"/>
          <w:spacing w:val="-1"/>
        </w:rPr>
        <w:t>students</w:t>
      </w:r>
      <w:r>
        <w:rPr>
          <w:color w:val="231F20"/>
          <w:spacing w:val="-3"/>
        </w:rPr>
        <w:t> </w:t>
      </w:r>
      <w:r>
        <w:rPr>
          <w:color w:val="231F20"/>
        </w:rPr>
        <w:t>to</w:t>
      </w:r>
      <w:r>
        <w:rPr>
          <w:color w:val="231F20"/>
          <w:spacing w:val="-4"/>
        </w:rPr>
        <w:t> </w:t>
      </w:r>
      <w:r>
        <w:rPr>
          <w:color w:val="231F20"/>
        </w:rPr>
        <w:t>total</w:t>
      </w:r>
      <w:r>
        <w:rPr>
          <w:color w:val="231F20"/>
          <w:spacing w:val="-4"/>
        </w:rPr>
        <w:t> </w:t>
      </w:r>
      <w:r>
        <w:rPr>
          <w:color w:val="231F20"/>
        </w:rPr>
        <w:t>enrolments</w:t>
      </w:r>
      <w:r>
        <w:rPr>
          <w:color w:val="231F20"/>
          <w:spacing w:val="28"/>
        </w:rPr>
        <w:t> </w:t>
      </w:r>
      <w:r>
        <w:rPr>
          <w:color w:val="231F20"/>
        </w:rPr>
        <w:t>at</w:t>
      </w:r>
      <w:r>
        <w:rPr>
          <w:color w:val="231F20"/>
          <w:spacing w:val="-5"/>
        </w:rPr>
        <w:t> </w:t>
      </w:r>
      <w:r>
        <w:rPr>
          <w:color w:val="231F20"/>
        </w:rPr>
        <w:t>a</w:t>
      </w:r>
      <w:r>
        <w:rPr>
          <w:color w:val="231F20"/>
          <w:spacing w:val="-4"/>
        </w:rPr>
        <w:t> </w:t>
      </w:r>
      <w:r>
        <w:rPr>
          <w:color w:val="231F20"/>
        </w:rPr>
        <w:t>boarding</w:t>
      </w:r>
      <w:r>
        <w:rPr>
          <w:color w:val="231F20"/>
          <w:spacing w:val="-5"/>
        </w:rPr>
        <w:t> </w:t>
      </w:r>
      <w:r>
        <w:rPr>
          <w:color w:val="231F20"/>
        </w:rPr>
        <w:t>provider</w:t>
      </w:r>
      <w:r>
        <w:rPr>
          <w:color w:val="231F20"/>
          <w:spacing w:val="-5"/>
        </w:rPr>
        <w:t> </w:t>
      </w:r>
      <w:r>
        <w:rPr>
          <w:color w:val="231F20"/>
        </w:rPr>
        <w:t>has</w:t>
      </w:r>
      <w:r>
        <w:rPr>
          <w:color w:val="231F20"/>
          <w:spacing w:val="-5"/>
        </w:rPr>
        <w:t> </w:t>
      </w:r>
      <w:r>
        <w:rPr>
          <w:color w:val="231F20"/>
        </w:rPr>
        <w:t>an</w:t>
      </w:r>
      <w:r>
        <w:rPr>
          <w:color w:val="231F20"/>
          <w:spacing w:val="-5"/>
        </w:rPr>
        <w:t> </w:t>
      </w:r>
      <w:r>
        <w:rPr>
          <w:color w:val="231F20"/>
          <w:spacing w:val="-1"/>
        </w:rPr>
        <w:t>impact</w:t>
      </w:r>
      <w:r>
        <w:rPr>
          <w:color w:val="231F20"/>
          <w:spacing w:val="-4"/>
        </w:rPr>
        <w:t> </w:t>
      </w:r>
      <w:r>
        <w:rPr>
          <w:color w:val="231F20"/>
        </w:rPr>
        <w:t>on</w:t>
      </w:r>
      <w:r>
        <w:rPr>
          <w:color w:val="231F20"/>
          <w:spacing w:val="21"/>
          <w:w w:val="99"/>
        </w:rPr>
        <w:t> </w:t>
      </w:r>
      <w:r>
        <w:rPr>
          <w:color w:val="231F20"/>
        </w:rPr>
        <w:t>educational</w:t>
      </w:r>
      <w:r>
        <w:rPr>
          <w:color w:val="231F20"/>
          <w:spacing w:val="-7"/>
        </w:rPr>
        <w:t> </w:t>
      </w:r>
      <w:r>
        <w:rPr>
          <w:color w:val="231F20"/>
          <w:spacing w:val="-1"/>
        </w:rPr>
        <w:t>indicators</w:t>
      </w:r>
      <w:r>
        <w:rPr>
          <w:color w:val="231F20"/>
          <w:spacing w:val="-5"/>
        </w:rPr>
        <w:t> </w:t>
      </w:r>
      <w:r>
        <w:rPr>
          <w:color w:val="231F20"/>
        </w:rPr>
        <w:t>and</w:t>
      </w:r>
      <w:r>
        <w:rPr>
          <w:color w:val="231F20"/>
          <w:spacing w:val="-7"/>
        </w:rPr>
        <w:t> </w:t>
      </w:r>
      <w:r>
        <w:rPr>
          <w:color w:val="231F20"/>
        </w:rPr>
        <w:t>the</w:t>
      </w:r>
      <w:r>
        <w:rPr>
          <w:color w:val="231F20"/>
          <w:spacing w:val="-6"/>
        </w:rPr>
        <w:t> </w:t>
      </w:r>
      <w:r>
        <w:rPr>
          <w:color w:val="231F20"/>
        </w:rPr>
        <w:t>cost</w:t>
      </w:r>
      <w:r>
        <w:rPr>
          <w:color w:val="231F20"/>
          <w:spacing w:val="-6"/>
        </w:rPr>
        <w:t> </w:t>
      </w:r>
      <w:r>
        <w:rPr>
          <w:color w:val="231F20"/>
        </w:rPr>
        <w:t>of</w:t>
      </w:r>
      <w:r>
        <w:rPr>
          <w:color w:val="231F20"/>
          <w:spacing w:val="22"/>
          <w:w w:val="99"/>
        </w:rPr>
        <w:t> </w:t>
      </w:r>
      <w:r>
        <w:rPr>
          <w:color w:val="231F20"/>
        </w:rPr>
        <w:t>boarding.</w:t>
      </w:r>
      <w:r>
        <w:rPr/>
      </w:r>
    </w:p>
    <w:p>
      <w:pPr>
        <w:pStyle w:val="BodyText"/>
        <w:spacing w:line="250" w:lineRule="exact" w:before="113"/>
        <w:ind w:right="116"/>
        <w:jc w:val="left"/>
        <w:rPr>
          <w:rFonts w:ascii="Segoe UI Semibold" w:hAnsi="Segoe UI Semibold" w:cs="Segoe UI Semibold" w:eastAsia="Segoe UI Semibold"/>
          <w:sz w:val="11"/>
          <w:szCs w:val="11"/>
        </w:rPr>
      </w:pPr>
      <w:r>
        <w:rPr>
          <w:color w:val="231F20"/>
          <w:spacing w:val="-1"/>
        </w:rPr>
        <w:t>For</w:t>
      </w:r>
      <w:r>
        <w:rPr>
          <w:color w:val="231F20"/>
          <w:spacing w:val="-3"/>
        </w:rPr>
        <w:t> </w:t>
      </w:r>
      <w:r>
        <w:rPr>
          <w:color w:val="231F20"/>
        </w:rPr>
        <w:t>years</w:t>
      </w:r>
      <w:r>
        <w:rPr>
          <w:color w:val="231F20"/>
          <w:spacing w:val="-3"/>
        </w:rPr>
        <w:t> </w:t>
      </w:r>
      <w:r>
        <w:rPr>
          <w:color w:val="231F20"/>
        </w:rPr>
        <w:t>7</w:t>
      </w:r>
      <w:r>
        <w:rPr>
          <w:color w:val="231F20"/>
          <w:spacing w:val="-2"/>
        </w:rPr>
        <w:t> </w:t>
      </w:r>
      <w:r>
        <w:rPr>
          <w:color w:val="231F20"/>
        </w:rPr>
        <w:t>and</w:t>
      </w:r>
      <w:r>
        <w:rPr>
          <w:color w:val="231F20"/>
          <w:spacing w:val="-3"/>
        </w:rPr>
        <w:t> </w:t>
      </w:r>
      <w:r>
        <w:rPr>
          <w:color w:val="231F20"/>
        </w:rPr>
        <w:t>9</w:t>
      </w:r>
      <w:r>
        <w:rPr>
          <w:color w:val="231F20"/>
          <w:spacing w:val="-2"/>
        </w:rPr>
        <w:t> </w:t>
      </w:r>
      <w:r>
        <w:rPr>
          <w:color w:val="231F20"/>
          <w:spacing w:val="-1"/>
        </w:rPr>
        <w:t>in</w:t>
      </w:r>
      <w:r>
        <w:rPr>
          <w:color w:val="231F20"/>
          <w:spacing w:val="-2"/>
        </w:rPr>
        <w:t> </w:t>
      </w:r>
      <w:r>
        <w:rPr>
          <w:color w:val="231F20"/>
        </w:rPr>
        <w:t>both</w:t>
      </w:r>
      <w:r>
        <w:rPr>
          <w:color w:val="231F20"/>
          <w:spacing w:val="-3"/>
        </w:rPr>
        <w:t> </w:t>
      </w:r>
      <w:r>
        <w:rPr>
          <w:color w:val="231F20"/>
          <w:spacing w:val="-1"/>
        </w:rPr>
        <w:t>2016</w:t>
      </w:r>
      <w:r>
        <w:rPr>
          <w:color w:val="231F20"/>
          <w:spacing w:val="-2"/>
        </w:rPr>
        <w:t> </w:t>
      </w:r>
      <w:r>
        <w:rPr>
          <w:color w:val="231F20"/>
        </w:rPr>
        <w:t>and</w:t>
      </w:r>
      <w:r>
        <w:rPr>
          <w:color w:val="231F20"/>
          <w:spacing w:val="-3"/>
        </w:rPr>
        <w:t> </w:t>
      </w:r>
      <w:r>
        <w:rPr>
          <w:color w:val="231F20"/>
          <w:spacing w:val="-1"/>
        </w:rPr>
        <w:t>2017,</w:t>
      </w:r>
      <w:r>
        <w:rPr>
          <w:color w:val="231F20"/>
          <w:spacing w:val="-3"/>
        </w:rPr>
        <w:t> </w:t>
      </w:r>
      <w:r>
        <w:rPr>
          <w:color w:val="231F20"/>
        </w:rPr>
        <w:t>the</w:t>
      </w:r>
      <w:r>
        <w:rPr>
          <w:color w:val="231F20"/>
          <w:spacing w:val="25"/>
          <w:w w:val="99"/>
        </w:rPr>
        <w:t> </w:t>
      </w:r>
      <w:r>
        <w:rPr>
          <w:color w:val="231F20"/>
        </w:rPr>
        <w:t>NAPLAN</w:t>
      </w:r>
      <w:r>
        <w:rPr>
          <w:color w:val="231F20"/>
          <w:spacing w:val="-4"/>
        </w:rPr>
        <w:t> </w:t>
      </w:r>
      <w:r>
        <w:rPr>
          <w:color w:val="231F20"/>
        </w:rPr>
        <w:t>results</w:t>
      </w:r>
      <w:r>
        <w:rPr>
          <w:color w:val="231F20"/>
          <w:spacing w:val="-4"/>
        </w:rPr>
        <w:t> </w:t>
      </w:r>
      <w:r>
        <w:rPr>
          <w:color w:val="231F20"/>
        </w:rPr>
        <w:t>for</w:t>
      </w:r>
      <w:r>
        <w:rPr>
          <w:color w:val="231F20"/>
          <w:spacing w:val="-3"/>
        </w:rPr>
        <w:t> </w:t>
      </w:r>
      <w:r>
        <w:rPr>
          <w:color w:val="231F20"/>
        </w:rPr>
        <w:t>all</w:t>
      </w:r>
      <w:r>
        <w:rPr>
          <w:color w:val="231F20"/>
          <w:spacing w:val="-4"/>
        </w:rPr>
        <w:t> </w:t>
      </w:r>
      <w:r>
        <w:rPr>
          <w:color w:val="231F20"/>
        </w:rPr>
        <w:t>Aboriginal</w:t>
      </w:r>
      <w:r>
        <w:rPr>
          <w:color w:val="231F20"/>
          <w:spacing w:val="-4"/>
        </w:rPr>
        <w:t> </w:t>
      </w:r>
      <w:r>
        <w:rPr>
          <w:color w:val="231F20"/>
        </w:rPr>
        <w:t>and</w:t>
      </w:r>
      <w:r>
        <w:rPr>
          <w:color w:val="231F20"/>
          <w:spacing w:val="-4"/>
        </w:rPr>
        <w:t> </w:t>
      </w:r>
      <w:r>
        <w:rPr>
          <w:color w:val="231F20"/>
          <w:spacing w:val="-5"/>
        </w:rPr>
        <w:t>Torres</w:t>
      </w:r>
      <w:r>
        <w:rPr>
          <w:color w:val="231F20"/>
          <w:spacing w:val="29"/>
          <w:w w:val="99"/>
        </w:rPr>
        <w:t> </w:t>
      </w:r>
      <w:r>
        <w:rPr>
          <w:color w:val="231F20"/>
          <w:spacing w:val="-2"/>
        </w:rPr>
        <w:t>Strait</w:t>
      </w:r>
      <w:r>
        <w:rPr>
          <w:color w:val="231F20"/>
          <w:spacing w:val="-6"/>
        </w:rPr>
        <w:t> </w:t>
      </w:r>
      <w:r>
        <w:rPr>
          <w:color w:val="231F20"/>
          <w:spacing w:val="-1"/>
        </w:rPr>
        <w:t>Islander</w:t>
      </w:r>
      <w:r>
        <w:rPr>
          <w:color w:val="231F20"/>
          <w:spacing w:val="-4"/>
        </w:rPr>
        <w:t> </w:t>
      </w:r>
      <w:r>
        <w:rPr>
          <w:color w:val="231F20"/>
          <w:spacing w:val="-1"/>
        </w:rPr>
        <w:t>students</w:t>
      </w:r>
      <w:r>
        <w:rPr>
          <w:color w:val="231F20"/>
          <w:spacing w:val="-4"/>
        </w:rPr>
        <w:t> </w:t>
      </w:r>
      <w:r>
        <w:rPr>
          <w:color w:val="231F20"/>
        </w:rPr>
        <w:t>were</w:t>
      </w:r>
      <w:r>
        <w:rPr>
          <w:color w:val="231F20"/>
          <w:spacing w:val="-5"/>
        </w:rPr>
        <w:t> </w:t>
      </w:r>
      <w:r>
        <w:rPr>
          <w:color w:val="231F20"/>
        </w:rPr>
        <w:t>below</w:t>
      </w:r>
      <w:r>
        <w:rPr>
          <w:color w:val="231F20"/>
          <w:spacing w:val="-5"/>
        </w:rPr>
        <w:t> </w:t>
      </w:r>
      <w:r>
        <w:rPr>
          <w:color w:val="231F20"/>
        </w:rPr>
        <w:t>that</w:t>
      </w:r>
      <w:r>
        <w:rPr>
          <w:color w:val="231F20"/>
          <w:spacing w:val="-5"/>
        </w:rPr>
        <w:t> </w:t>
      </w:r>
      <w:r>
        <w:rPr>
          <w:color w:val="231F20"/>
        </w:rPr>
        <w:t>of</w:t>
      </w:r>
      <w:r>
        <w:rPr>
          <w:color w:val="231F20"/>
          <w:spacing w:val="-4"/>
        </w:rPr>
        <w:t> </w:t>
      </w:r>
      <w:r>
        <w:rPr>
          <w:color w:val="231F20"/>
        </w:rPr>
        <w:t>non</w:t>
      </w:r>
      <w:r>
        <w:rPr>
          <w:color w:val="231F20"/>
          <w:spacing w:val="28"/>
          <w:w w:val="99"/>
        </w:rPr>
        <w:t> </w:t>
      </w:r>
      <w:r>
        <w:rPr>
          <w:rFonts w:ascii="Segoe UI" w:hAnsi="Segoe UI" w:cs="Segoe UI" w:eastAsia="Segoe UI"/>
          <w:color w:val="231F20"/>
        </w:rPr>
        <w:t>Indigenous students in all five test domains (as</w:t>
      </w:r>
      <w:r>
        <w:rPr>
          <w:rFonts w:ascii="Segoe UI" w:hAnsi="Segoe UI" w:cs="Segoe UI" w:eastAsia="Segoe UI"/>
          <w:color w:val="231F20"/>
        </w:rPr>
        <w:t> </w:t>
      </w:r>
      <w:r>
        <w:rPr>
          <w:color w:val="231F20"/>
          <w:spacing w:val="-1"/>
        </w:rPr>
        <w:t>set</w:t>
      </w:r>
      <w:r>
        <w:rPr>
          <w:color w:val="231F20"/>
          <w:spacing w:val="-3"/>
        </w:rPr>
        <w:t> </w:t>
      </w:r>
      <w:r>
        <w:rPr>
          <w:color w:val="231F20"/>
          <w:spacing w:val="-1"/>
        </w:rPr>
        <w:t>in</w:t>
      </w:r>
      <w:r>
        <w:rPr>
          <w:color w:val="231F20"/>
          <w:spacing w:val="-2"/>
        </w:rPr>
        <w:t> </w:t>
      </w:r>
      <w:r>
        <w:rPr>
          <w:color w:val="231F20"/>
        </w:rPr>
        <w:t>the</w:t>
      </w:r>
      <w:r>
        <w:rPr>
          <w:color w:val="231F20"/>
          <w:spacing w:val="-4"/>
        </w:rPr>
        <w:t> </w:t>
      </w:r>
      <w:r>
        <w:rPr>
          <w:color w:val="231F20"/>
        </w:rPr>
        <w:t>table</w:t>
      </w:r>
      <w:r>
        <w:rPr>
          <w:color w:val="231F20"/>
          <w:spacing w:val="-3"/>
        </w:rPr>
        <w:t> </w:t>
      </w:r>
      <w:r>
        <w:rPr>
          <w:color w:val="231F20"/>
        </w:rPr>
        <w:t>below).</w:t>
      </w:r>
      <w:r>
        <w:rPr>
          <w:color w:val="231F20"/>
          <w:spacing w:val="-3"/>
        </w:rPr>
        <w:t> </w:t>
      </w:r>
      <w:r>
        <w:rPr>
          <w:color w:val="231F20"/>
        </w:rPr>
        <w:t>The</w:t>
      </w:r>
      <w:r>
        <w:rPr>
          <w:color w:val="231F20"/>
          <w:spacing w:val="-3"/>
        </w:rPr>
        <w:t> </w:t>
      </w:r>
      <w:r>
        <w:rPr>
          <w:color w:val="231F20"/>
          <w:spacing w:val="-1"/>
        </w:rPr>
        <w:t>Prime</w:t>
      </w:r>
      <w:r>
        <w:rPr>
          <w:color w:val="231F20"/>
          <w:spacing w:val="-2"/>
        </w:rPr>
        <w:t> </w:t>
      </w:r>
      <w:r>
        <w:rPr>
          <w:color w:val="231F20"/>
        </w:rPr>
        <w:t>Minister’s</w:t>
      </w:r>
      <w:r>
        <w:rPr>
          <w:color w:val="231F20"/>
          <w:spacing w:val="24"/>
        </w:rPr>
        <w:t> </w:t>
      </w:r>
      <w:r>
        <w:rPr>
          <w:color w:val="231F20"/>
          <w:spacing w:val="-1"/>
        </w:rPr>
        <w:t>2018</w:t>
      </w:r>
      <w:r>
        <w:rPr>
          <w:color w:val="231F20"/>
          <w:spacing w:val="-4"/>
        </w:rPr>
        <w:t> </w:t>
      </w:r>
      <w:r>
        <w:rPr>
          <w:color w:val="231F20"/>
          <w:spacing w:val="-1"/>
        </w:rPr>
        <w:t>Closing</w:t>
      </w:r>
      <w:r>
        <w:rPr>
          <w:color w:val="231F20"/>
          <w:spacing w:val="-4"/>
        </w:rPr>
        <w:t> </w:t>
      </w:r>
      <w:r>
        <w:rPr>
          <w:color w:val="231F20"/>
        </w:rPr>
        <w:t>the</w:t>
      </w:r>
      <w:r>
        <w:rPr>
          <w:color w:val="231F20"/>
          <w:spacing w:val="-5"/>
        </w:rPr>
        <w:t> </w:t>
      </w:r>
      <w:r>
        <w:rPr>
          <w:color w:val="231F20"/>
        </w:rPr>
        <w:t>Gap</w:t>
      </w:r>
      <w:r>
        <w:rPr>
          <w:color w:val="231F20"/>
          <w:spacing w:val="-4"/>
        </w:rPr>
        <w:t> </w:t>
      </w:r>
      <w:r>
        <w:rPr>
          <w:color w:val="231F20"/>
          <w:spacing w:val="-1"/>
        </w:rPr>
        <w:t>Report</w:t>
      </w:r>
      <w:r>
        <w:rPr>
          <w:color w:val="231F20"/>
          <w:spacing w:val="-3"/>
        </w:rPr>
        <w:t> </w:t>
      </w:r>
      <w:r>
        <w:rPr>
          <w:color w:val="231F20"/>
          <w:spacing w:val="-1"/>
        </w:rPr>
        <w:t>indicated</w:t>
      </w:r>
      <w:r>
        <w:rPr>
          <w:color w:val="231F20"/>
          <w:spacing w:val="-4"/>
        </w:rPr>
        <w:t> </w:t>
      </w:r>
      <w:r>
        <w:rPr>
          <w:color w:val="231F20"/>
        </w:rPr>
        <w:t>that</w:t>
      </w:r>
      <w:r>
        <w:rPr>
          <w:color w:val="231F20"/>
          <w:spacing w:val="24"/>
          <w:w w:val="99"/>
        </w:rPr>
        <w:t> </w:t>
      </w:r>
      <w:r>
        <w:rPr>
          <w:color w:val="231F20"/>
        </w:rPr>
        <w:t>there</w:t>
      </w:r>
      <w:r>
        <w:rPr>
          <w:color w:val="231F20"/>
          <w:spacing w:val="-4"/>
        </w:rPr>
        <w:t> </w:t>
      </w:r>
      <w:r>
        <w:rPr>
          <w:color w:val="231F20"/>
        </w:rPr>
        <w:t>remains</w:t>
      </w:r>
      <w:r>
        <w:rPr>
          <w:color w:val="231F20"/>
          <w:spacing w:val="-4"/>
        </w:rPr>
        <w:t> </w:t>
      </w:r>
      <w:r>
        <w:rPr>
          <w:color w:val="231F20"/>
        </w:rPr>
        <w:t>challenges</w:t>
      </w:r>
      <w:r>
        <w:rPr>
          <w:color w:val="231F20"/>
          <w:spacing w:val="-4"/>
        </w:rPr>
        <w:t> </w:t>
      </w:r>
      <w:r>
        <w:rPr>
          <w:color w:val="231F20"/>
          <w:spacing w:val="-1"/>
        </w:rPr>
        <w:t>in</w:t>
      </w:r>
      <w:r>
        <w:rPr>
          <w:color w:val="231F20"/>
          <w:spacing w:val="-3"/>
        </w:rPr>
        <w:t> </w:t>
      </w:r>
      <w:r>
        <w:rPr>
          <w:color w:val="231F20"/>
        </w:rPr>
        <w:t>closing</w:t>
      </w:r>
      <w:r>
        <w:rPr>
          <w:color w:val="231F20"/>
          <w:spacing w:val="-4"/>
        </w:rPr>
        <w:t> </w:t>
      </w:r>
      <w:r>
        <w:rPr>
          <w:color w:val="231F20"/>
        </w:rPr>
        <w:t>the</w:t>
      </w:r>
      <w:r>
        <w:rPr>
          <w:color w:val="231F20"/>
          <w:spacing w:val="-4"/>
        </w:rPr>
        <w:t> </w:t>
      </w:r>
      <w:r>
        <w:rPr>
          <w:color w:val="231F20"/>
        </w:rPr>
        <w:t>gap</w:t>
      </w:r>
      <w:r>
        <w:rPr>
          <w:color w:val="231F20"/>
          <w:spacing w:val="-3"/>
        </w:rPr>
        <w:t> </w:t>
      </w:r>
      <w:r>
        <w:rPr>
          <w:color w:val="231F20"/>
          <w:spacing w:val="-1"/>
        </w:rPr>
        <w:t>in</w:t>
      </w:r>
      <w:r>
        <w:rPr>
          <w:color w:val="231F20"/>
          <w:spacing w:val="20"/>
        </w:rPr>
        <w:t> </w:t>
      </w:r>
      <w:r>
        <w:rPr>
          <w:color w:val="231F20"/>
        </w:rPr>
        <w:t>terms</w:t>
      </w:r>
      <w:r>
        <w:rPr>
          <w:color w:val="231F20"/>
          <w:spacing w:val="-7"/>
        </w:rPr>
        <w:t> </w:t>
      </w:r>
      <w:r>
        <w:rPr>
          <w:color w:val="231F20"/>
        </w:rPr>
        <w:t>of</w:t>
      </w:r>
      <w:r>
        <w:rPr>
          <w:color w:val="231F20"/>
          <w:spacing w:val="-5"/>
        </w:rPr>
        <w:t> </w:t>
      </w:r>
      <w:r>
        <w:rPr>
          <w:color w:val="231F20"/>
          <w:spacing w:val="-1"/>
        </w:rPr>
        <w:t>literacy</w:t>
      </w:r>
      <w:r>
        <w:rPr>
          <w:color w:val="231F20"/>
          <w:spacing w:val="-5"/>
        </w:rPr>
        <w:t> </w:t>
      </w:r>
      <w:r>
        <w:rPr>
          <w:color w:val="231F20"/>
        </w:rPr>
        <w:t>and</w:t>
      </w:r>
      <w:r>
        <w:rPr>
          <w:color w:val="231F20"/>
          <w:spacing w:val="-7"/>
        </w:rPr>
        <w:t> </w:t>
      </w:r>
      <w:r>
        <w:rPr>
          <w:color w:val="231F20"/>
        </w:rPr>
        <w:t>numeracy</w:t>
      </w:r>
      <w:r>
        <w:rPr>
          <w:color w:val="231F20"/>
          <w:spacing w:val="-6"/>
        </w:rPr>
        <w:t> </w:t>
      </w:r>
      <w:r>
        <w:rPr>
          <w:color w:val="231F20"/>
        </w:rPr>
        <w:t>for</w:t>
      </w:r>
      <w:r>
        <w:rPr>
          <w:color w:val="231F20"/>
          <w:spacing w:val="-5"/>
        </w:rPr>
        <w:t> </w:t>
      </w:r>
      <w:r>
        <w:rPr>
          <w:color w:val="231F20"/>
        </w:rPr>
        <w:t>Aboriginal</w:t>
      </w:r>
      <w:r>
        <w:rPr>
          <w:color w:val="231F20"/>
          <w:spacing w:val="22"/>
          <w:w w:val="99"/>
        </w:rPr>
        <w:t> </w:t>
      </w:r>
      <w:r>
        <w:rPr>
          <w:color w:val="231F20"/>
        </w:rPr>
        <w:t>and</w:t>
      </w:r>
      <w:r>
        <w:rPr>
          <w:color w:val="231F20"/>
          <w:spacing w:val="-5"/>
        </w:rPr>
        <w:t> Torres</w:t>
      </w:r>
      <w:r>
        <w:rPr>
          <w:color w:val="231F20"/>
          <w:spacing w:val="-3"/>
        </w:rPr>
        <w:t> </w:t>
      </w:r>
      <w:r>
        <w:rPr>
          <w:color w:val="231F20"/>
          <w:spacing w:val="-2"/>
        </w:rPr>
        <w:t>Strait</w:t>
      </w:r>
      <w:r>
        <w:rPr>
          <w:color w:val="231F20"/>
          <w:spacing w:val="-4"/>
        </w:rPr>
        <w:t> </w:t>
      </w:r>
      <w:r>
        <w:rPr>
          <w:color w:val="231F20"/>
          <w:spacing w:val="-1"/>
        </w:rPr>
        <w:t>Islander</w:t>
      </w:r>
      <w:r>
        <w:rPr>
          <w:color w:val="231F20"/>
          <w:spacing w:val="-4"/>
        </w:rPr>
        <w:t> </w:t>
      </w:r>
      <w:r>
        <w:rPr>
          <w:color w:val="231F20"/>
          <w:spacing w:val="-1"/>
        </w:rPr>
        <w:t>students</w:t>
      </w:r>
      <w:r>
        <w:rPr>
          <w:color w:val="231F20"/>
          <w:spacing w:val="-3"/>
        </w:rPr>
        <w:t> </w:t>
      </w:r>
      <w:r>
        <w:rPr>
          <w:color w:val="231F20"/>
        </w:rPr>
        <w:t>with</w:t>
      </w:r>
      <w:r>
        <w:rPr>
          <w:color w:val="231F20"/>
          <w:spacing w:val="-4"/>
        </w:rPr>
        <w:t> </w:t>
      </w:r>
      <w:r>
        <w:rPr>
          <w:color w:val="231F20"/>
        </w:rPr>
        <w:t>the</w:t>
      </w:r>
      <w:r>
        <w:rPr>
          <w:color w:val="231F20"/>
          <w:spacing w:val="23"/>
          <w:w w:val="99"/>
        </w:rPr>
        <w:t> </w:t>
      </w:r>
      <w:r>
        <w:rPr>
          <w:color w:val="231F20"/>
        </w:rPr>
        <w:t>proportion</w:t>
      </w:r>
      <w:r>
        <w:rPr>
          <w:color w:val="231F20"/>
          <w:spacing w:val="-9"/>
        </w:rPr>
        <w:t> </w:t>
      </w:r>
      <w:r>
        <w:rPr>
          <w:color w:val="231F20"/>
        </w:rPr>
        <w:t>of</w:t>
      </w:r>
      <w:r>
        <w:rPr>
          <w:color w:val="231F20"/>
          <w:spacing w:val="-7"/>
        </w:rPr>
        <w:t> </w:t>
      </w:r>
      <w:r>
        <w:rPr>
          <w:color w:val="231F20"/>
          <w:spacing w:val="-1"/>
        </w:rPr>
        <w:t>Indigenous</w:t>
      </w:r>
      <w:r>
        <w:rPr>
          <w:color w:val="231F20"/>
          <w:spacing w:val="-8"/>
        </w:rPr>
        <w:t> </w:t>
      </w:r>
      <w:r>
        <w:rPr>
          <w:color w:val="231F20"/>
          <w:spacing w:val="-1"/>
        </w:rPr>
        <w:t>students</w:t>
      </w:r>
      <w:r>
        <w:rPr>
          <w:color w:val="231F20"/>
          <w:spacing w:val="-7"/>
        </w:rPr>
        <w:t> </w:t>
      </w:r>
      <w:r>
        <w:rPr>
          <w:color w:val="231F20"/>
        </w:rPr>
        <w:t>achieving</w:t>
      </w:r>
      <w:r>
        <w:rPr>
          <w:color w:val="231F20"/>
          <w:spacing w:val="23"/>
          <w:w w:val="99"/>
        </w:rPr>
        <w:t> </w:t>
      </w:r>
      <w:r>
        <w:rPr>
          <w:color w:val="231F20"/>
        </w:rPr>
        <w:t>national</w:t>
      </w:r>
      <w:r>
        <w:rPr>
          <w:color w:val="231F20"/>
          <w:spacing w:val="-6"/>
        </w:rPr>
        <w:t> </w:t>
      </w:r>
      <w:r>
        <w:rPr>
          <w:color w:val="231F20"/>
          <w:spacing w:val="-1"/>
        </w:rPr>
        <w:t>minimum</w:t>
      </w:r>
      <w:r>
        <w:rPr>
          <w:color w:val="231F20"/>
          <w:spacing w:val="-5"/>
        </w:rPr>
        <w:t> </w:t>
      </w:r>
      <w:r>
        <w:rPr>
          <w:color w:val="231F20"/>
          <w:spacing w:val="-1"/>
        </w:rPr>
        <w:t>standards</w:t>
      </w:r>
      <w:r>
        <w:rPr>
          <w:color w:val="231F20"/>
          <w:spacing w:val="-3"/>
        </w:rPr>
        <w:t> </w:t>
      </w:r>
      <w:r>
        <w:rPr>
          <w:color w:val="231F20"/>
          <w:spacing w:val="-1"/>
        </w:rPr>
        <w:t>in</w:t>
      </w:r>
      <w:r>
        <w:rPr>
          <w:color w:val="231F20"/>
          <w:spacing w:val="-5"/>
        </w:rPr>
        <w:t> </w:t>
      </w:r>
      <w:r>
        <w:rPr>
          <w:color w:val="231F20"/>
        </w:rPr>
        <w:t>NAPLAN</w:t>
      </w:r>
      <w:r>
        <w:rPr>
          <w:color w:val="231F20"/>
          <w:spacing w:val="-4"/>
        </w:rPr>
        <w:t> </w:t>
      </w:r>
      <w:r>
        <w:rPr>
          <w:color w:val="231F20"/>
        </w:rPr>
        <w:t>on</w:t>
      </w:r>
      <w:r>
        <w:rPr>
          <w:color w:val="231F20"/>
          <w:spacing w:val="29"/>
          <w:w w:val="99"/>
        </w:rPr>
        <w:t> </w:t>
      </w:r>
      <w:r>
        <w:rPr>
          <w:color w:val="231F20"/>
        </w:rPr>
        <w:t>track</w:t>
      </w:r>
      <w:r>
        <w:rPr>
          <w:color w:val="231F20"/>
          <w:spacing w:val="-4"/>
        </w:rPr>
        <w:t> </w:t>
      </w:r>
      <w:r>
        <w:rPr>
          <w:color w:val="231F20"/>
          <w:spacing w:val="-1"/>
        </w:rPr>
        <w:t>in</w:t>
      </w:r>
      <w:r>
        <w:rPr>
          <w:color w:val="231F20"/>
          <w:spacing w:val="-3"/>
        </w:rPr>
        <w:t> </w:t>
      </w:r>
      <w:r>
        <w:rPr>
          <w:color w:val="231F20"/>
        </w:rPr>
        <w:t>only</w:t>
      </w:r>
      <w:r>
        <w:rPr>
          <w:color w:val="231F20"/>
          <w:spacing w:val="-4"/>
        </w:rPr>
        <w:t> </w:t>
      </w:r>
      <w:r>
        <w:rPr>
          <w:color w:val="231F20"/>
        </w:rPr>
        <w:t>one</w:t>
      </w:r>
      <w:r>
        <w:rPr>
          <w:color w:val="231F20"/>
          <w:spacing w:val="-2"/>
        </w:rPr>
        <w:t> </w:t>
      </w:r>
      <w:r>
        <w:rPr>
          <w:color w:val="231F20"/>
        </w:rPr>
        <w:t>area</w:t>
      </w:r>
      <w:r>
        <w:rPr>
          <w:color w:val="231F20"/>
          <w:spacing w:val="-4"/>
        </w:rPr>
        <w:t> </w:t>
      </w:r>
      <w:r>
        <w:rPr>
          <w:color w:val="231F20"/>
        </w:rPr>
        <w:t>(year</w:t>
      </w:r>
      <w:r>
        <w:rPr>
          <w:color w:val="231F20"/>
          <w:spacing w:val="-4"/>
        </w:rPr>
        <w:t> </w:t>
      </w:r>
      <w:r>
        <w:rPr>
          <w:color w:val="231F20"/>
        </w:rPr>
        <w:t>9</w:t>
      </w:r>
      <w:r>
        <w:rPr>
          <w:color w:val="231F20"/>
          <w:spacing w:val="-3"/>
        </w:rPr>
        <w:t> </w:t>
      </w:r>
      <w:r>
        <w:rPr>
          <w:color w:val="231F20"/>
          <w:spacing w:val="-1"/>
        </w:rPr>
        <w:t>numeracy).</w:t>
      </w:r>
      <w:r>
        <w:rPr>
          <w:rFonts w:ascii="Segoe UI Semibold" w:hAnsi="Segoe UI Semibold" w:cs="Segoe UI Semibold" w:eastAsia="Segoe UI Semibold"/>
          <w:b/>
          <w:bCs/>
          <w:color w:val="231F20"/>
          <w:spacing w:val="-1"/>
          <w:position w:val="7"/>
          <w:sz w:val="11"/>
          <w:szCs w:val="11"/>
        </w:rPr>
        <w:t>159</w:t>
      </w:r>
      <w:r>
        <w:rPr>
          <w:rFonts w:ascii="Segoe UI Semibold" w:hAnsi="Segoe UI Semibold" w:cs="Segoe UI Semibold" w:eastAsia="Segoe UI Semibold"/>
          <w:sz w:val="11"/>
          <w:szCs w:val="11"/>
        </w:rPr>
      </w:r>
    </w:p>
    <w:p>
      <w:pPr>
        <w:pStyle w:val="BodyText"/>
        <w:spacing w:line="250" w:lineRule="exact" w:before="113"/>
        <w:ind w:right="140"/>
        <w:jc w:val="left"/>
      </w:pPr>
      <w:r>
        <w:rPr>
          <w:color w:val="231F20"/>
        </w:rPr>
        <w:t>Another</w:t>
      </w:r>
      <w:r>
        <w:rPr>
          <w:color w:val="231F20"/>
          <w:spacing w:val="-9"/>
        </w:rPr>
        <w:t> </w:t>
      </w:r>
      <w:r>
        <w:rPr>
          <w:color w:val="231F20"/>
          <w:spacing w:val="-1"/>
        </w:rPr>
        <w:t>measure</w:t>
      </w:r>
      <w:r>
        <w:rPr>
          <w:color w:val="231F20"/>
          <w:spacing w:val="-8"/>
        </w:rPr>
        <w:t> </w:t>
      </w:r>
      <w:r>
        <w:rPr>
          <w:color w:val="231F20"/>
        </w:rPr>
        <w:t>of</w:t>
      </w:r>
      <w:r>
        <w:rPr>
          <w:color w:val="231F20"/>
          <w:spacing w:val="-9"/>
        </w:rPr>
        <w:t> </w:t>
      </w:r>
      <w:r>
        <w:rPr>
          <w:color w:val="231F20"/>
          <w:spacing w:val="-1"/>
        </w:rPr>
        <w:t>student</w:t>
      </w:r>
      <w:r>
        <w:rPr>
          <w:color w:val="231F20"/>
          <w:spacing w:val="-8"/>
        </w:rPr>
        <w:t> </w:t>
      </w:r>
      <w:r>
        <w:rPr>
          <w:color w:val="231F20"/>
        </w:rPr>
        <w:t>educational</w:t>
      </w:r>
      <w:r>
        <w:rPr>
          <w:color w:val="231F20"/>
          <w:spacing w:val="23"/>
          <w:w w:val="99"/>
        </w:rPr>
        <w:t> </w:t>
      </w:r>
      <w:r>
        <w:rPr>
          <w:color w:val="231F20"/>
        </w:rPr>
        <w:t>outcomes</w:t>
      </w:r>
      <w:r>
        <w:rPr>
          <w:color w:val="231F20"/>
          <w:spacing w:val="-5"/>
        </w:rPr>
        <w:t> </w:t>
      </w:r>
      <w:r>
        <w:rPr>
          <w:color w:val="231F20"/>
          <w:spacing w:val="-1"/>
        </w:rPr>
        <w:t>is</w:t>
      </w:r>
      <w:r>
        <w:rPr>
          <w:color w:val="231F20"/>
          <w:spacing w:val="-4"/>
        </w:rPr>
        <w:t> </w:t>
      </w:r>
      <w:r>
        <w:rPr>
          <w:color w:val="231F20"/>
        </w:rPr>
        <w:t>attendance.</w:t>
      </w:r>
      <w:r>
        <w:rPr>
          <w:color w:val="231F20"/>
          <w:spacing w:val="-4"/>
        </w:rPr>
        <w:t> </w:t>
      </w:r>
      <w:r>
        <w:rPr>
          <w:color w:val="231F20"/>
          <w:spacing w:val="-1"/>
        </w:rPr>
        <w:t>Data</w:t>
      </w:r>
      <w:r>
        <w:rPr>
          <w:color w:val="231F20"/>
          <w:spacing w:val="-3"/>
        </w:rPr>
        <w:t> </w:t>
      </w:r>
      <w:r>
        <w:rPr>
          <w:color w:val="231F20"/>
        </w:rPr>
        <w:t>published</w:t>
      </w:r>
      <w:r>
        <w:rPr>
          <w:color w:val="231F20"/>
          <w:spacing w:val="-5"/>
        </w:rPr>
        <w:t> </w:t>
      </w:r>
      <w:r>
        <w:rPr>
          <w:color w:val="231F20"/>
        </w:rPr>
        <w:t>by</w:t>
      </w:r>
      <w:r>
        <w:rPr>
          <w:color w:val="231F20"/>
          <w:spacing w:val="-3"/>
        </w:rPr>
        <w:t> </w:t>
      </w:r>
      <w:r>
        <w:rPr>
          <w:color w:val="231F20"/>
          <w:spacing w:val="-3"/>
        </w:rPr>
      </w:r>
      <w:r>
        <w:rPr>
          <w:color w:val="231F20"/>
        </w:rPr>
        <w:t>the</w:t>
      </w:r>
      <w:r>
        <w:rPr>
          <w:color w:val="231F20"/>
          <w:spacing w:val="21"/>
        </w:rPr>
        <w:t> </w:t>
      </w:r>
      <w:r>
        <w:rPr>
          <w:color w:val="231F20"/>
        </w:rPr>
        <w:t>Australian</w:t>
      </w:r>
      <w:r>
        <w:rPr>
          <w:color w:val="231F20"/>
          <w:spacing w:val="-8"/>
        </w:rPr>
        <w:t> </w:t>
      </w:r>
      <w:r>
        <w:rPr>
          <w:color w:val="231F20"/>
          <w:spacing w:val="-1"/>
        </w:rPr>
        <w:t>Curriculum,</w:t>
      </w:r>
      <w:r>
        <w:rPr>
          <w:color w:val="231F20"/>
          <w:spacing w:val="-7"/>
        </w:rPr>
        <w:t> </w:t>
      </w:r>
      <w:r>
        <w:rPr>
          <w:color w:val="231F20"/>
        </w:rPr>
        <w:t>Assessment</w:t>
      </w:r>
      <w:r>
        <w:rPr>
          <w:color w:val="231F20"/>
          <w:spacing w:val="-9"/>
        </w:rPr>
        <w:t> </w:t>
      </w:r>
      <w:r>
        <w:rPr>
          <w:color w:val="231F20"/>
        </w:rPr>
        <w:t>and</w:t>
      </w:r>
      <w:r>
        <w:rPr>
          <w:color w:val="231F20"/>
          <w:spacing w:val="22"/>
          <w:w w:val="99"/>
        </w:rPr>
        <w:t> </w:t>
      </w:r>
      <w:r>
        <w:rPr>
          <w:color w:val="231F20"/>
          <w:spacing w:val="-1"/>
        </w:rPr>
        <w:t>Reporting</w:t>
      </w:r>
      <w:r>
        <w:rPr>
          <w:color w:val="231F20"/>
          <w:spacing w:val="-7"/>
        </w:rPr>
        <w:t> </w:t>
      </w:r>
      <w:r>
        <w:rPr>
          <w:color w:val="231F20"/>
        </w:rPr>
        <w:t>Authority</w:t>
      </w:r>
      <w:r>
        <w:rPr>
          <w:color w:val="231F20"/>
          <w:spacing w:val="-6"/>
        </w:rPr>
        <w:t> </w:t>
      </w:r>
      <w:r>
        <w:rPr>
          <w:color w:val="231F20"/>
          <w:spacing w:val="-2"/>
        </w:rPr>
        <w:t>(ACARA)</w:t>
      </w:r>
      <w:r>
        <w:rPr>
          <w:color w:val="231F20"/>
          <w:spacing w:val="-7"/>
        </w:rPr>
        <w:t> </w:t>
      </w:r>
      <w:r>
        <w:rPr>
          <w:color w:val="231F20"/>
          <w:spacing w:val="-1"/>
        </w:rPr>
        <w:t>indicates</w:t>
      </w:r>
      <w:r>
        <w:rPr>
          <w:color w:val="231F20"/>
          <w:spacing w:val="-6"/>
        </w:rPr>
        <w:t> </w:t>
      </w:r>
      <w:r>
        <w:rPr>
          <w:color w:val="231F20"/>
        </w:rPr>
        <w:t>that</w:t>
      </w:r>
      <w:r>
        <w:rPr>
          <w:color w:val="231F20"/>
          <w:spacing w:val="-7"/>
        </w:rPr>
        <w:t> </w:t>
      </w:r>
      <w:r>
        <w:rPr>
          <w:color w:val="231F20"/>
        </w:rPr>
        <w:t>the</w:t>
      </w:r>
      <w:r>
        <w:rPr>
          <w:color w:val="231F20"/>
          <w:spacing w:val="30"/>
          <w:w w:val="99"/>
        </w:rPr>
        <w:t> </w:t>
      </w:r>
      <w:r>
        <w:rPr>
          <w:color w:val="231F20"/>
        </w:rPr>
        <w:t>national</w:t>
      </w:r>
      <w:r>
        <w:rPr>
          <w:color w:val="231F20"/>
          <w:spacing w:val="-8"/>
        </w:rPr>
        <w:t> </w:t>
      </w:r>
      <w:r>
        <w:rPr>
          <w:color w:val="231F20"/>
          <w:spacing w:val="-1"/>
        </w:rPr>
        <w:t>school</w:t>
      </w:r>
      <w:r>
        <w:rPr>
          <w:color w:val="231F20"/>
          <w:spacing w:val="-6"/>
        </w:rPr>
        <w:t> </w:t>
      </w:r>
      <w:r>
        <w:rPr>
          <w:color w:val="231F20"/>
        </w:rPr>
        <w:t>attendance</w:t>
      </w:r>
      <w:r>
        <w:rPr>
          <w:color w:val="231F20"/>
          <w:spacing w:val="-8"/>
        </w:rPr>
        <w:t> </w:t>
      </w:r>
      <w:r>
        <w:rPr>
          <w:color w:val="231F20"/>
        </w:rPr>
        <w:t>rate</w:t>
      </w:r>
      <w:r>
        <w:rPr>
          <w:color w:val="231F20"/>
          <w:spacing w:val="-7"/>
        </w:rPr>
        <w:t> </w:t>
      </w:r>
      <w:r>
        <w:rPr>
          <w:color w:val="231F20"/>
        </w:rPr>
        <w:t>for</w:t>
      </w:r>
      <w:r>
        <w:rPr>
          <w:color w:val="231F20"/>
          <w:spacing w:val="-6"/>
        </w:rPr>
        <w:t> </w:t>
      </w:r>
      <w:r>
        <w:rPr>
          <w:color w:val="231F20"/>
        </w:rPr>
        <w:t>Aboriginal</w:t>
      </w:r>
      <w:r>
        <w:rPr>
          <w:color w:val="231F20"/>
          <w:spacing w:val="21"/>
          <w:w w:val="99"/>
        </w:rPr>
        <w:t> </w:t>
      </w:r>
      <w:r>
        <w:rPr>
          <w:color w:val="231F20"/>
        </w:rPr>
        <w:t>and</w:t>
      </w:r>
      <w:r>
        <w:rPr>
          <w:color w:val="231F20"/>
          <w:spacing w:val="-4"/>
        </w:rPr>
        <w:t> </w:t>
      </w:r>
      <w:r>
        <w:rPr>
          <w:color w:val="231F20"/>
          <w:spacing w:val="-5"/>
        </w:rPr>
        <w:t>Torres</w:t>
      </w:r>
      <w:r>
        <w:rPr>
          <w:color w:val="231F20"/>
          <w:spacing w:val="-2"/>
        </w:rPr>
        <w:t> Strait</w:t>
      </w:r>
      <w:r>
        <w:rPr>
          <w:color w:val="231F20"/>
          <w:spacing w:val="-4"/>
        </w:rPr>
        <w:t> </w:t>
      </w:r>
      <w:r>
        <w:rPr>
          <w:color w:val="231F20"/>
          <w:spacing w:val="-1"/>
        </w:rPr>
        <w:t>Islander</w:t>
      </w:r>
      <w:r>
        <w:rPr>
          <w:color w:val="231F20"/>
          <w:spacing w:val="-2"/>
        </w:rPr>
        <w:t> </w:t>
      </w:r>
      <w:r>
        <w:rPr>
          <w:color w:val="231F20"/>
          <w:spacing w:val="-1"/>
        </w:rPr>
        <w:t>students</w:t>
      </w:r>
      <w:r>
        <w:rPr>
          <w:color w:val="231F20"/>
          <w:spacing w:val="-2"/>
        </w:rPr>
        <w:t> </w:t>
      </w:r>
      <w:r>
        <w:rPr>
          <w:color w:val="231F20"/>
          <w:spacing w:val="-1"/>
        </w:rPr>
        <w:t>in</w:t>
      </w:r>
      <w:r>
        <w:rPr>
          <w:color w:val="231F20"/>
          <w:spacing w:val="-3"/>
        </w:rPr>
        <w:t> </w:t>
      </w:r>
      <w:r>
        <w:rPr>
          <w:color w:val="231F20"/>
          <w:spacing w:val="-1"/>
        </w:rPr>
        <w:t>2018</w:t>
      </w:r>
      <w:r>
        <w:rPr>
          <w:color w:val="231F20"/>
          <w:spacing w:val="-2"/>
        </w:rPr>
        <w:t> </w:t>
      </w:r>
      <w:r>
        <w:rPr>
          <w:color w:val="231F20"/>
        </w:rPr>
        <w:t>was</w:t>
      </w:r>
      <w:r>
        <w:rPr/>
      </w:r>
    </w:p>
    <w:p>
      <w:pPr>
        <w:pStyle w:val="BodyText"/>
        <w:spacing w:line="250" w:lineRule="exact"/>
        <w:ind w:right="375"/>
        <w:jc w:val="left"/>
      </w:pPr>
      <w:r>
        <w:rPr>
          <w:color w:val="231F20"/>
          <w:spacing w:val="-1"/>
        </w:rPr>
        <w:t>82.3</w:t>
      </w:r>
      <w:r>
        <w:rPr>
          <w:color w:val="231F20"/>
          <w:spacing w:val="-5"/>
        </w:rPr>
        <w:t> </w:t>
      </w:r>
      <w:r>
        <w:rPr>
          <w:color w:val="231F20"/>
        </w:rPr>
        <w:t>per</w:t>
      </w:r>
      <w:r>
        <w:rPr>
          <w:color w:val="231F20"/>
          <w:spacing w:val="-4"/>
        </w:rPr>
        <w:t> </w:t>
      </w:r>
      <w:r>
        <w:rPr>
          <w:color w:val="231F20"/>
        </w:rPr>
        <w:t>cent,</w:t>
      </w:r>
      <w:r>
        <w:rPr>
          <w:color w:val="231F20"/>
          <w:spacing w:val="-5"/>
        </w:rPr>
        <w:t> </w:t>
      </w:r>
      <w:r>
        <w:rPr>
          <w:color w:val="231F20"/>
        </w:rPr>
        <w:t>compared</w:t>
      </w:r>
      <w:r>
        <w:rPr>
          <w:color w:val="231F20"/>
          <w:spacing w:val="-6"/>
        </w:rPr>
        <w:t> </w:t>
      </w:r>
      <w:r>
        <w:rPr>
          <w:color w:val="231F20"/>
        </w:rPr>
        <w:t>to</w:t>
      </w:r>
      <w:r>
        <w:rPr>
          <w:color w:val="231F20"/>
          <w:spacing w:val="-4"/>
        </w:rPr>
        <w:t> </w:t>
      </w:r>
      <w:r>
        <w:rPr>
          <w:color w:val="231F20"/>
          <w:spacing w:val="-1"/>
        </w:rPr>
        <w:t>92.5</w:t>
      </w:r>
      <w:r>
        <w:rPr>
          <w:color w:val="231F20"/>
          <w:spacing w:val="-4"/>
        </w:rPr>
        <w:t> </w:t>
      </w:r>
      <w:r>
        <w:rPr>
          <w:color w:val="231F20"/>
        </w:rPr>
        <w:t>per</w:t>
      </w:r>
      <w:r>
        <w:rPr>
          <w:color w:val="231F20"/>
          <w:spacing w:val="-5"/>
        </w:rPr>
        <w:t> </w:t>
      </w:r>
      <w:r>
        <w:rPr>
          <w:color w:val="231F20"/>
        </w:rPr>
        <w:t>cent</w:t>
      </w:r>
      <w:r>
        <w:rPr>
          <w:color w:val="231F20"/>
          <w:spacing w:val="-5"/>
        </w:rPr>
        <w:t> </w:t>
      </w:r>
      <w:r>
        <w:rPr>
          <w:color w:val="231F20"/>
        </w:rPr>
        <w:t>for</w:t>
      </w:r>
      <w:r>
        <w:rPr>
          <w:color w:val="231F20"/>
          <w:spacing w:val="23"/>
          <w:w w:val="99"/>
        </w:rPr>
        <w:t> </w:t>
      </w:r>
      <w:r>
        <w:rPr>
          <w:color w:val="231F20"/>
        </w:rPr>
        <w:t>non</w:t>
      </w:r>
      <w:r>
        <w:rPr>
          <w:color w:val="231F20"/>
          <w:spacing w:val="-3"/>
        </w:rPr>
        <w:t> </w:t>
      </w:r>
      <w:r>
        <w:rPr>
          <w:color w:val="231F20"/>
          <w:spacing w:val="-1"/>
        </w:rPr>
        <w:t>Indigenous</w:t>
      </w:r>
      <w:r>
        <w:rPr>
          <w:color w:val="231F20"/>
          <w:spacing w:val="-2"/>
        </w:rPr>
        <w:t> </w:t>
      </w:r>
      <w:r>
        <w:rPr>
          <w:color w:val="231F20"/>
          <w:spacing w:val="-1"/>
        </w:rPr>
        <w:t>students</w:t>
      </w:r>
      <w:r>
        <w:rPr>
          <w:rFonts w:ascii="Segoe UI Semibold"/>
          <w:b/>
          <w:color w:val="231F20"/>
          <w:spacing w:val="-1"/>
          <w:position w:val="7"/>
          <w:sz w:val="11"/>
        </w:rPr>
        <w:t>160</w:t>
      </w:r>
      <w:r>
        <w:rPr>
          <w:color w:val="231F20"/>
          <w:spacing w:val="-1"/>
        </w:rPr>
        <w:t>.</w:t>
      </w:r>
      <w:r>
        <w:rPr/>
      </w:r>
    </w:p>
    <w:p>
      <w:pPr>
        <w:spacing w:after="0" w:line="250" w:lineRule="exact"/>
        <w:jc w:val="left"/>
        <w:sectPr>
          <w:type w:val="continuous"/>
          <w:pgSz w:w="11910" w:h="16840"/>
          <w:pgMar w:top="1580" w:bottom="280" w:left="1300" w:right="1600"/>
          <w:cols w:num="2" w:equalWidth="0">
            <w:col w:w="4370" w:space="222"/>
            <w:col w:w="4418"/>
          </w:cols>
        </w:sectPr>
      </w:pPr>
    </w:p>
    <w:p>
      <w:pPr>
        <w:spacing w:line="240" w:lineRule="auto" w:before="1"/>
        <w:rPr>
          <w:rFonts w:ascii="Segoe UI" w:hAnsi="Segoe UI" w:cs="Segoe UI" w:eastAsia="Segoe UI"/>
          <w:sz w:val="25"/>
          <w:szCs w:val="25"/>
        </w:rPr>
      </w:pPr>
    </w:p>
    <w:p>
      <w:pPr>
        <w:spacing w:line="200" w:lineRule="exact" w:before="70"/>
        <w:ind w:left="120" w:right="1008" w:firstLine="0"/>
        <w:jc w:val="left"/>
        <w:rPr>
          <w:rFonts w:ascii="Segoe UI Semibold" w:hAnsi="Segoe UI Semibold" w:cs="Segoe UI Semibold" w:eastAsia="Segoe UI Semibold"/>
          <w:sz w:val="16"/>
          <w:szCs w:val="16"/>
        </w:rPr>
      </w:pPr>
      <w:r>
        <w:rPr>
          <w:rFonts w:ascii="Segoe UI Semibold"/>
          <w:b/>
          <w:color w:val="666155"/>
          <w:spacing w:val="1"/>
          <w:sz w:val="16"/>
        </w:rPr>
        <w:t>TABLE</w:t>
      </w:r>
      <w:r>
        <w:rPr>
          <w:rFonts w:ascii="Segoe UI Semibold"/>
          <w:b/>
          <w:color w:val="666155"/>
          <w:spacing w:val="-2"/>
          <w:sz w:val="16"/>
        </w:rPr>
        <w:t> </w:t>
      </w:r>
      <w:r>
        <w:rPr>
          <w:rFonts w:ascii="Segoe UI Semibold"/>
          <w:b/>
          <w:color w:val="666155"/>
          <w:sz w:val="16"/>
        </w:rPr>
        <w:t>12:</w:t>
      </w:r>
      <w:r>
        <w:rPr>
          <w:rFonts w:ascii="Segoe UI Semibold"/>
          <w:b/>
          <w:color w:val="666155"/>
          <w:spacing w:val="-2"/>
          <w:sz w:val="16"/>
        </w:rPr>
        <w:t> </w:t>
      </w:r>
      <w:r>
        <w:rPr>
          <w:rFonts w:ascii="Segoe UI Semibold"/>
          <w:b/>
          <w:color w:val="666155"/>
          <w:spacing w:val="4"/>
          <w:sz w:val="16"/>
        </w:rPr>
        <w:t>NAPLAN</w:t>
      </w:r>
      <w:r>
        <w:rPr>
          <w:rFonts w:ascii="Segoe UI Semibold"/>
          <w:b/>
          <w:color w:val="666155"/>
          <w:spacing w:val="2"/>
          <w:sz w:val="16"/>
        </w:rPr>
        <w:t> </w:t>
      </w:r>
      <w:r>
        <w:rPr>
          <w:rFonts w:ascii="Segoe UI Semibold"/>
          <w:b/>
          <w:color w:val="666155"/>
          <w:spacing w:val="3"/>
          <w:sz w:val="16"/>
        </w:rPr>
        <w:t>COMPARISON</w:t>
      </w:r>
      <w:r>
        <w:rPr>
          <w:rFonts w:ascii="Segoe UI Semibold"/>
          <w:b/>
          <w:color w:val="666155"/>
          <w:spacing w:val="1"/>
          <w:sz w:val="16"/>
        </w:rPr>
        <w:t> </w:t>
      </w:r>
      <w:r>
        <w:rPr>
          <w:rFonts w:ascii="Segoe UI Semibold"/>
          <w:b/>
          <w:color w:val="666155"/>
          <w:spacing w:val="3"/>
          <w:sz w:val="16"/>
        </w:rPr>
        <w:t>RESULTS</w:t>
      </w:r>
      <w:r>
        <w:rPr>
          <w:rFonts w:ascii="Segoe UI Semibold"/>
          <w:b/>
          <w:color w:val="666155"/>
          <w:spacing w:val="1"/>
          <w:sz w:val="16"/>
        </w:rPr>
        <w:t> </w:t>
      </w:r>
      <w:r>
        <w:rPr>
          <w:rFonts w:ascii="Segoe UI Semibold"/>
          <w:b/>
          <w:color w:val="666155"/>
          <w:spacing w:val="3"/>
          <w:sz w:val="16"/>
        </w:rPr>
        <w:t>FOR</w:t>
      </w:r>
      <w:r>
        <w:rPr>
          <w:rFonts w:ascii="Segoe UI Semibold"/>
          <w:b/>
          <w:color w:val="666155"/>
          <w:spacing w:val="1"/>
          <w:sz w:val="16"/>
        </w:rPr>
        <w:t> </w:t>
      </w:r>
      <w:r>
        <w:rPr>
          <w:rFonts w:ascii="Segoe UI Semibold"/>
          <w:b/>
          <w:color w:val="666155"/>
          <w:spacing w:val="3"/>
          <w:sz w:val="16"/>
        </w:rPr>
        <w:t>ALL</w:t>
      </w:r>
      <w:r>
        <w:rPr>
          <w:rFonts w:ascii="Segoe UI Semibold"/>
          <w:b/>
          <w:color w:val="666155"/>
          <w:spacing w:val="1"/>
          <w:sz w:val="16"/>
        </w:rPr>
        <w:t> </w:t>
      </w:r>
      <w:r>
        <w:rPr>
          <w:rFonts w:ascii="Segoe UI Semibold"/>
          <w:b/>
          <w:color w:val="666155"/>
          <w:spacing w:val="4"/>
          <w:sz w:val="16"/>
        </w:rPr>
        <w:t>ABORIGINAL</w:t>
      </w:r>
      <w:r>
        <w:rPr>
          <w:rFonts w:ascii="Segoe UI Semibold"/>
          <w:b/>
          <w:color w:val="666155"/>
          <w:spacing w:val="1"/>
          <w:sz w:val="16"/>
        </w:rPr>
        <w:t> </w:t>
      </w:r>
      <w:r>
        <w:rPr>
          <w:rFonts w:ascii="Segoe UI Semibold"/>
          <w:b/>
          <w:color w:val="666155"/>
          <w:spacing w:val="3"/>
          <w:sz w:val="16"/>
        </w:rPr>
        <w:t>AND</w:t>
      </w:r>
      <w:r>
        <w:rPr>
          <w:rFonts w:ascii="Segoe UI Semibold"/>
          <w:b/>
          <w:color w:val="666155"/>
          <w:spacing w:val="2"/>
          <w:sz w:val="16"/>
        </w:rPr>
        <w:t> </w:t>
      </w:r>
      <w:r>
        <w:rPr>
          <w:rFonts w:ascii="Segoe UI Semibold"/>
          <w:b/>
          <w:color w:val="666155"/>
          <w:spacing w:val="3"/>
          <w:sz w:val="16"/>
        </w:rPr>
        <w:t>TORRES</w:t>
      </w:r>
      <w:r>
        <w:rPr>
          <w:rFonts w:ascii="Segoe UI Semibold"/>
          <w:b/>
          <w:color w:val="666155"/>
          <w:spacing w:val="1"/>
          <w:sz w:val="16"/>
        </w:rPr>
        <w:t> </w:t>
      </w:r>
      <w:r>
        <w:rPr>
          <w:rFonts w:ascii="Segoe UI Semibold"/>
          <w:b/>
          <w:color w:val="666155"/>
          <w:spacing w:val="4"/>
          <w:sz w:val="16"/>
        </w:rPr>
        <w:t>STRAIT</w:t>
      </w:r>
      <w:r>
        <w:rPr>
          <w:rFonts w:ascii="Segoe UI Semibold"/>
          <w:b/>
          <w:color w:val="666155"/>
          <w:spacing w:val="1"/>
          <w:sz w:val="16"/>
        </w:rPr>
        <w:t> </w:t>
      </w:r>
      <w:r>
        <w:rPr>
          <w:rFonts w:ascii="Segoe UI Semibold"/>
          <w:b/>
          <w:color w:val="666155"/>
          <w:spacing w:val="4"/>
          <w:sz w:val="16"/>
        </w:rPr>
        <w:t>ISLANDER</w:t>
      </w:r>
      <w:r>
        <w:rPr>
          <w:rFonts w:ascii="Segoe UI Semibold"/>
          <w:b/>
          <w:color w:val="666155"/>
          <w:spacing w:val="1"/>
          <w:sz w:val="16"/>
        </w:rPr>
        <w:t> </w:t>
      </w:r>
      <w:r>
        <w:rPr>
          <w:rFonts w:ascii="Segoe UI Semibold"/>
          <w:b/>
          <w:color w:val="666155"/>
          <w:spacing w:val="5"/>
          <w:sz w:val="16"/>
        </w:rPr>
        <w:t>AND</w:t>
      </w:r>
      <w:r>
        <w:rPr>
          <w:rFonts w:ascii="Segoe UI Semibold"/>
          <w:b/>
          <w:color w:val="666155"/>
          <w:spacing w:val="61"/>
          <w:sz w:val="16"/>
        </w:rPr>
        <w:t> </w:t>
      </w:r>
      <w:r>
        <w:rPr>
          <w:rFonts w:ascii="Segoe UI Semibold"/>
          <w:b/>
          <w:color w:val="666155"/>
          <w:spacing w:val="4"/>
          <w:sz w:val="16"/>
        </w:rPr>
        <w:t>NON</w:t>
      </w:r>
      <w:r>
        <w:rPr>
          <w:rFonts w:ascii="Segoe UI Semibold"/>
          <w:b/>
          <w:color w:val="666155"/>
          <w:spacing w:val="4"/>
          <w:position w:val="1"/>
          <w:sz w:val="16"/>
        </w:rPr>
        <w:t>-</w:t>
      </w:r>
      <w:r>
        <w:rPr>
          <w:rFonts w:ascii="Segoe UI Semibold"/>
          <w:b/>
          <w:color w:val="666155"/>
          <w:spacing w:val="4"/>
          <w:sz w:val="16"/>
        </w:rPr>
        <w:t>INDIGENOUS</w:t>
      </w:r>
      <w:r>
        <w:rPr>
          <w:rFonts w:ascii="Segoe UI Semibold"/>
          <w:b/>
          <w:color w:val="666155"/>
          <w:spacing w:val="2"/>
          <w:sz w:val="16"/>
        </w:rPr>
        <w:t> </w:t>
      </w:r>
      <w:r>
        <w:rPr>
          <w:rFonts w:ascii="Segoe UI Semibold"/>
          <w:b/>
          <w:color w:val="666155"/>
          <w:spacing w:val="4"/>
          <w:sz w:val="16"/>
        </w:rPr>
        <w:t>STUDENTS,</w:t>
      </w:r>
      <w:r>
        <w:rPr>
          <w:rFonts w:ascii="Segoe UI Semibold"/>
          <w:b/>
          <w:color w:val="666155"/>
          <w:spacing w:val="-3"/>
          <w:sz w:val="16"/>
        </w:rPr>
        <w:t> </w:t>
      </w:r>
      <w:r>
        <w:rPr>
          <w:rFonts w:ascii="Segoe UI Semibold"/>
          <w:b/>
          <w:color w:val="666155"/>
          <w:sz w:val="16"/>
        </w:rPr>
        <w:t>2016</w:t>
      </w:r>
      <w:r>
        <w:rPr>
          <w:rFonts w:ascii="Segoe UI Semibold"/>
          <w:b/>
          <w:color w:val="666155"/>
          <w:spacing w:val="-2"/>
          <w:sz w:val="16"/>
        </w:rPr>
        <w:t> </w:t>
      </w:r>
      <w:r>
        <w:rPr>
          <w:rFonts w:ascii="Segoe UI Semibold"/>
          <w:b/>
          <w:color w:val="666155"/>
          <w:sz w:val="16"/>
        </w:rPr>
        <w:t>&amp;</w:t>
      </w:r>
      <w:r>
        <w:rPr>
          <w:rFonts w:ascii="Segoe UI Semibold"/>
          <w:b/>
          <w:color w:val="666155"/>
          <w:spacing w:val="-3"/>
          <w:sz w:val="16"/>
        </w:rPr>
        <w:t> </w:t>
      </w:r>
      <w:r>
        <w:rPr>
          <w:rFonts w:ascii="Segoe UI Semibold"/>
          <w:b/>
          <w:color w:val="666155"/>
          <w:sz w:val="16"/>
        </w:rPr>
        <w:t>2017</w:t>
      </w:r>
      <w:r>
        <w:rPr>
          <w:rFonts w:ascii="Segoe UI Semibold"/>
          <w:sz w:val="16"/>
        </w:rPr>
      </w:r>
    </w:p>
    <w:p>
      <w:pPr>
        <w:spacing w:line="240" w:lineRule="auto" w:before="7"/>
        <w:rPr>
          <w:rFonts w:ascii="Segoe UI Semibold" w:hAnsi="Segoe UI Semibold" w:cs="Segoe UI Semibold" w:eastAsia="Segoe UI Semibold"/>
          <w:b/>
          <w:bCs/>
          <w:sz w:val="11"/>
          <w:szCs w:val="11"/>
        </w:rPr>
      </w:pPr>
    </w:p>
    <w:tbl>
      <w:tblPr>
        <w:tblW w:w="0" w:type="auto"/>
        <w:jc w:val="left"/>
        <w:tblInd w:w="117" w:type="dxa"/>
        <w:tblLayout w:type="fixed"/>
        <w:tblCellMar>
          <w:top w:w="0" w:type="dxa"/>
          <w:left w:w="0" w:type="dxa"/>
          <w:bottom w:w="0" w:type="dxa"/>
          <w:right w:w="0" w:type="dxa"/>
        </w:tblCellMar>
        <w:tblLook w:val="01E0"/>
      </w:tblPr>
      <w:tblGrid>
        <w:gridCol w:w="1072"/>
        <w:gridCol w:w="700"/>
        <w:gridCol w:w="700"/>
        <w:gridCol w:w="700"/>
        <w:gridCol w:w="700"/>
        <w:gridCol w:w="700"/>
        <w:gridCol w:w="700"/>
        <w:gridCol w:w="700"/>
        <w:gridCol w:w="700"/>
        <w:gridCol w:w="700"/>
        <w:gridCol w:w="700"/>
        <w:gridCol w:w="700"/>
      </w:tblGrid>
      <w:tr>
        <w:trPr>
          <w:trHeight w:val="439" w:hRule="exact"/>
        </w:trPr>
        <w:tc>
          <w:tcPr>
            <w:tcW w:w="1072" w:type="dxa"/>
            <w:vMerge w:val="restart"/>
            <w:tcBorders>
              <w:top w:val="nil" w:sz="6" w:space="0" w:color="auto"/>
              <w:left w:val="nil" w:sz="6" w:space="0" w:color="auto"/>
              <w:right w:val="single" w:sz="4" w:space="0" w:color="C1B5A9"/>
            </w:tcBorders>
          </w:tcPr>
          <w:p>
            <w:pPr/>
          </w:p>
        </w:tc>
        <w:tc>
          <w:tcPr>
            <w:tcW w:w="3502" w:type="dxa"/>
            <w:gridSpan w:val="5"/>
            <w:tcBorders>
              <w:top w:val="single" w:sz="4" w:space="0" w:color="C1B5A9"/>
              <w:left w:val="single" w:sz="4" w:space="0" w:color="C1B5A9"/>
              <w:bottom w:val="single" w:sz="4" w:space="0" w:color="C1B5A9"/>
              <w:right w:val="single" w:sz="4" w:space="0" w:color="C1B5A9"/>
            </w:tcBorders>
            <w:shd w:val="clear" w:color="auto" w:fill="E9E4DF"/>
          </w:tcPr>
          <w:p>
            <w:pPr>
              <w:pStyle w:val="TableParagraph"/>
              <w:spacing w:line="240" w:lineRule="auto" w:before="100"/>
              <w:ind w:right="0"/>
              <w:jc w:val="center"/>
              <w:rPr>
                <w:rFonts w:ascii="Segoe UI" w:hAnsi="Segoe UI" w:cs="Segoe UI" w:eastAsia="Segoe UI"/>
                <w:sz w:val="16"/>
                <w:szCs w:val="16"/>
              </w:rPr>
            </w:pPr>
            <w:r>
              <w:rPr>
                <w:rFonts w:ascii="Segoe UI"/>
                <w:b/>
                <w:color w:val="231F20"/>
                <w:spacing w:val="-1"/>
                <w:sz w:val="16"/>
              </w:rPr>
              <w:t>2017</w:t>
            </w:r>
            <w:r>
              <w:rPr>
                <w:rFonts w:ascii="Segoe UI"/>
                <w:sz w:val="16"/>
              </w:rPr>
            </w:r>
          </w:p>
        </w:tc>
        <w:tc>
          <w:tcPr>
            <w:tcW w:w="3502" w:type="dxa"/>
            <w:gridSpan w:val="5"/>
            <w:tcBorders>
              <w:top w:val="single" w:sz="4" w:space="0" w:color="C1B5A9"/>
              <w:left w:val="single" w:sz="4" w:space="0" w:color="C1B5A9"/>
              <w:bottom w:val="single" w:sz="4" w:space="0" w:color="C1B5A9"/>
              <w:right w:val="single" w:sz="4" w:space="0" w:color="C1B5A9"/>
            </w:tcBorders>
            <w:shd w:val="clear" w:color="auto" w:fill="D7CFC7"/>
          </w:tcPr>
          <w:p>
            <w:pPr>
              <w:pStyle w:val="TableParagraph"/>
              <w:spacing w:line="240" w:lineRule="auto" w:before="100"/>
              <w:ind w:right="0"/>
              <w:jc w:val="center"/>
              <w:rPr>
                <w:rFonts w:ascii="Segoe UI" w:hAnsi="Segoe UI" w:cs="Segoe UI" w:eastAsia="Segoe UI"/>
                <w:sz w:val="16"/>
                <w:szCs w:val="16"/>
              </w:rPr>
            </w:pPr>
            <w:r>
              <w:rPr>
                <w:rFonts w:ascii="Segoe UI"/>
                <w:b/>
                <w:color w:val="231F20"/>
                <w:spacing w:val="-1"/>
                <w:sz w:val="16"/>
              </w:rPr>
              <w:t>2016</w:t>
            </w:r>
            <w:r>
              <w:rPr>
                <w:rFonts w:ascii="Segoe UI"/>
                <w:sz w:val="16"/>
              </w:rPr>
            </w:r>
          </w:p>
        </w:tc>
        <w:tc>
          <w:tcPr>
            <w:tcW w:w="700" w:type="dxa"/>
            <w:vMerge w:val="restart"/>
            <w:tcBorders>
              <w:top w:val="single" w:sz="4" w:space="0" w:color="C1B5A9"/>
              <w:left w:val="single" w:sz="4" w:space="0" w:color="C1B5A9"/>
              <w:right w:val="single" w:sz="4" w:space="0" w:color="C1B5A9"/>
            </w:tcBorders>
            <w:shd w:val="clear" w:color="auto" w:fill="C6BBB0"/>
            <w:textDirection w:val="btLr"/>
          </w:tcPr>
          <w:p>
            <w:pPr>
              <w:pStyle w:val="TableParagraph"/>
              <w:spacing w:line="240" w:lineRule="auto" w:before="5"/>
              <w:ind w:right="0"/>
              <w:jc w:val="left"/>
              <w:rPr>
                <w:rFonts w:ascii="Segoe UI Semibold" w:hAnsi="Segoe UI Semibold" w:cs="Segoe UI Semibold" w:eastAsia="Segoe UI Semibold"/>
                <w:b/>
                <w:bCs/>
                <w:sz w:val="17"/>
                <w:szCs w:val="17"/>
              </w:rPr>
            </w:pPr>
          </w:p>
          <w:p>
            <w:pPr>
              <w:pStyle w:val="TableParagraph"/>
              <w:spacing w:line="240" w:lineRule="auto"/>
              <w:ind w:left="108" w:right="0"/>
              <w:jc w:val="left"/>
              <w:rPr>
                <w:rFonts w:ascii="Segoe UI" w:hAnsi="Segoe UI" w:cs="Segoe UI" w:eastAsia="Segoe UI"/>
                <w:sz w:val="16"/>
                <w:szCs w:val="16"/>
              </w:rPr>
            </w:pPr>
            <w:r>
              <w:rPr>
                <w:rFonts w:ascii="Segoe UI"/>
                <w:b/>
                <w:color w:val="231F20"/>
                <w:sz w:val="16"/>
              </w:rPr>
              <w:t>2</w:t>
            </w:r>
            <w:r>
              <w:rPr>
                <w:rFonts w:ascii="Segoe UI"/>
                <w:b/>
                <w:color w:val="231F20"/>
                <w:spacing w:val="-1"/>
                <w:sz w:val="16"/>
              </w:rPr>
              <w:t> year</w:t>
            </w:r>
            <w:r>
              <w:rPr>
                <w:rFonts w:ascii="Segoe UI"/>
                <w:b/>
                <w:color w:val="231F20"/>
                <w:sz w:val="16"/>
              </w:rPr>
              <w:t> </w:t>
            </w:r>
            <w:r>
              <w:rPr>
                <w:rFonts w:ascii="Segoe UI"/>
                <w:b/>
                <w:color w:val="231F20"/>
                <w:spacing w:val="-1"/>
                <w:sz w:val="16"/>
              </w:rPr>
              <w:t>average</w:t>
            </w:r>
            <w:r>
              <w:rPr>
                <w:rFonts w:ascii="Segoe UI"/>
                <w:sz w:val="16"/>
              </w:rPr>
            </w:r>
          </w:p>
        </w:tc>
      </w:tr>
      <w:tr>
        <w:trPr>
          <w:trHeight w:val="1017" w:hRule="exact"/>
        </w:trPr>
        <w:tc>
          <w:tcPr>
            <w:tcW w:w="1072" w:type="dxa"/>
            <w:vMerge/>
            <w:tcBorders>
              <w:left w:val="nil" w:sz="6" w:space="0" w:color="auto"/>
              <w:bottom w:val="single" w:sz="4" w:space="0" w:color="C1B5A9"/>
              <w:right w:val="single" w:sz="4" w:space="0" w:color="C1B5A9"/>
            </w:tcBorders>
          </w:tcPr>
          <w:p>
            <w:pPr/>
          </w:p>
        </w:tc>
        <w:tc>
          <w:tcPr>
            <w:tcW w:w="700" w:type="dxa"/>
            <w:tcBorders>
              <w:top w:val="single" w:sz="4" w:space="0" w:color="C1B5A9"/>
              <w:left w:val="single" w:sz="4" w:space="0" w:color="C1B5A9"/>
              <w:bottom w:val="single" w:sz="4" w:space="0" w:color="C1B5A9"/>
              <w:right w:val="single" w:sz="4" w:space="0" w:color="C1B5A9"/>
            </w:tcBorders>
            <w:shd w:val="clear" w:color="auto" w:fill="E9E4DF"/>
            <w:textDirection w:val="btLr"/>
          </w:tcPr>
          <w:p>
            <w:pPr>
              <w:pStyle w:val="TableParagraph"/>
              <w:spacing w:line="240" w:lineRule="auto"/>
              <w:ind w:right="0"/>
              <w:jc w:val="left"/>
              <w:rPr>
                <w:rFonts w:ascii="Segoe UI Semibold" w:hAnsi="Segoe UI Semibold" w:cs="Segoe UI Semibold" w:eastAsia="Segoe UI Semibold"/>
                <w:b/>
                <w:bCs/>
                <w:sz w:val="16"/>
                <w:szCs w:val="16"/>
              </w:rPr>
            </w:pPr>
          </w:p>
          <w:p>
            <w:pPr>
              <w:pStyle w:val="TableParagraph"/>
              <w:spacing w:line="240" w:lineRule="auto" w:before="10"/>
              <w:ind w:right="0"/>
              <w:jc w:val="left"/>
              <w:rPr>
                <w:rFonts w:ascii="Segoe UI Semibold" w:hAnsi="Segoe UI Semibold" w:cs="Segoe UI Semibold" w:eastAsia="Segoe UI Semibold"/>
                <w:b/>
                <w:bCs/>
                <w:sz w:val="14"/>
                <w:szCs w:val="14"/>
              </w:rPr>
            </w:pPr>
          </w:p>
          <w:p>
            <w:pPr>
              <w:pStyle w:val="TableParagraph"/>
              <w:spacing w:line="240" w:lineRule="auto"/>
              <w:ind w:left="108" w:right="0"/>
              <w:jc w:val="left"/>
              <w:rPr>
                <w:rFonts w:ascii="Segoe UI" w:hAnsi="Segoe UI" w:cs="Segoe UI" w:eastAsia="Segoe UI"/>
                <w:sz w:val="16"/>
                <w:szCs w:val="16"/>
              </w:rPr>
            </w:pPr>
            <w:r>
              <w:rPr>
                <w:rFonts w:ascii="Segoe UI"/>
                <w:color w:val="231F20"/>
                <w:spacing w:val="-1"/>
                <w:sz w:val="16"/>
              </w:rPr>
              <w:t>Reading</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shd w:val="clear" w:color="auto" w:fill="E9E4DF"/>
            <w:textDirection w:val="btLr"/>
          </w:tcPr>
          <w:p>
            <w:pPr>
              <w:pStyle w:val="TableParagraph"/>
              <w:spacing w:line="240" w:lineRule="auto"/>
              <w:ind w:right="0"/>
              <w:jc w:val="left"/>
              <w:rPr>
                <w:rFonts w:ascii="Segoe UI Semibold" w:hAnsi="Segoe UI Semibold" w:cs="Segoe UI Semibold" w:eastAsia="Segoe UI Semibold"/>
                <w:b/>
                <w:bCs/>
                <w:sz w:val="16"/>
                <w:szCs w:val="16"/>
              </w:rPr>
            </w:pPr>
          </w:p>
          <w:p>
            <w:pPr>
              <w:pStyle w:val="TableParagraph"/>
              <w:spacing w:line="240" w:lineRule="auto" w:before="10"/>
              <w:ind w:right="0"/>
              <w:jc w:val="left"/>
              <w:rPr>
                <w:rFonts w:ascii="Segoe UI Semibold" w:hAnsi="Segoe UI Semibold" w:cs="Segoe UI Semibold" w:eastAsia="Segoe UI Semibold"/>
                <w:b/>
                <w:bCs/>
                <w:sz w:val="14"/>
                <w:szCs w:val="14"/>
              </w:rPr>
            </w:pPr>
          </w:p>
          <w:p>
            <w:pPr>
              <w:pStyle w:val="TableParagraph"/>
              <w:spacing w:line="240" w:lineRule="auto"/>
              <w:ind w:left="108" w:right="0"/>
              <w:jc w:val="left"/>
              <w:rPr>
                <w:rFonts w:ascii="Segoe UI" w:hAnsi="Segoe UI" w:cs="Segoe UI" w:eastAsia="Segoe UI"/>
                <w:sz w:val="16"/>
                <w:szCs w:val="16"/>
              </w:rPr>
            </w:pPr>
            <w:r>
              <w:rPr>
                <w:rFonts w:ascii="Segoe UI"/>
                <w:color w:val="231F20"/>
                <w:sz w:val="16"/>
              </w:rPr>
              <w:t>Writing</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shd w:val="clear" w:color="auto" w:fill="E9E4DF"/>
            <w:textDirection w:val="btLr"/>
          </w:tcPr>
          <w:p>
            <w:pPr>
              <w:pStyle w:val="TableParagraph"/>
              <w:spacing w:line="240" w:lineRule="auto"/>
              <w:ind w:right="0"/>
              <w:jc w:val="left"/>
              <w:rPr>
                <w:rFonts w:ascii="Segoe UI Semibold" w:hAnsi="Segoe UI Semibold" w:cs="Segoe UI Semibold" w:eastAsia="Segoe UI Semibold"/>
                <w:b/>
                <w:bCs/>
                <w:sz w:val="16"/>
                <w:szCs w:val="16"/>
              </w:rPr>
            </w:pPr>
          </w:p>
          <w:p>
            <w:pPr>
              <w:pStyle w:val="TableParagraph"/>
              <w:spacing w:line="240" w:lineRule="auto" w:before="10"/>
              <w:ind w:right="0"/>
              <w:jc w:val="left"/>
              <w:rPr>
                <w:rFonts w:ascii="Segoe UI Semibold" w:hAnsi="Segoe UI Semibold" w:cs="Segoe UI Semibold" w:eastAsia="Segoe UI Semibold"/>
                <w:b/>
                <w:bCs/>
                <w:sz w:val="14"/>
                <w:szCs w:val="14"/>
              </w:rPr>
            </w:pPr>
          </w:p>
          <w:p>
            <w:pPr>
              <w:pStyle w:val="TableParagraph"/>
              <w:spacing w:line="240" w:lineRule="auto"/>
              <w:ind w:left="108" w:right="0"/>
              <w:jc w:val="left"/>
              <w:rPr>
                <w:rFonts w:ascii="Segoe UI" w:hAnsi="Segoe UI" w:cs="Segoe UI" w:eastAsia="Segoe UI"/>
                <w:sz w:val="16"/>
                <w:szCs w:val="16"/>
              </w:rPr>
            </w:pPr>
            <w:r>
              <w:rPr>
                <w:rFonts w:ascii="Segoe UI"/>
                <w:color w:val="231F20"/>
                <w:spacing w:val="-1"/>
                <w:sz w:val="16"/>
              </w:rPr>
              <w:t>Spelling</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shd w:val="clear" w:color="auto" w:fill="E9E4DF"/>
            <w:textDirection w:val="btLr"/>
          </w:tcPr>
          <w:p>
            <w:pPr>
              <w:pStyle w:val="TableParagraph"/>
              <w:spacing w:line="240" w:lineRule="auto"/>
              <w:ind w:right="0"/>
              <w:jc w:val="left"/>
              <w:rPr>
                <w:rFonts w:ascii="Segoe UI Semibold" w:hAnsi="Segoe UI Semibold" w:cs="Segoe UI Semibold" w:eastAsia="Segoe UI Semibold"/>
                <w:b/>
                <w:bCs/>
                <w:sz w:val="16"/>
                <w:szCs w:val="16"/>
              </w:rPr>
            </w:pPr>
          </w:p>
          <w:p>
            <w:pPr>
              <w:pStyle w:val="TableParagraph"/>
              <w:spacing w:line="240" w:lineRule="auto" w:before="10"/>
              <w:ind w:right="0"/>
              <w:jc w:val="left"/>
              <w:rPr>
                <w:rFonts w:ascii="Segoe UI Semibold" w:hAnsi="Segoe UI Semibold" w:cs="Segoe UI Semibold" w:eastAsia="Segoe UI Semibold"/>
                <w:b/>
                <w:bCs/>
                <w:sz w:val="14"/>
                <w:szCs w:val="14"/>
              </w:rPr>
            </w:pPr>
          </w:p>
          <w:p>
            <w:pPr>
              <w:pStyle w:val="TableParagraph"/>
              <w:spacing w:line="240" w:lineRule="auto"/>
              <w:ind w:left="108" w:right="0"/>
              <w:jc w:val="left"/>
              <w:rPr>
                <w:rFonts w:ascii="Segoe UI" w:hAnsi="Segoe UI" w:cs="Segoe UI" w:eastAsia="Segoe UI"/>
                <w:sz w:val="16"/>
                <w:szCs w:val="16"/>
              </w:rPr>
            </w:pPr>
            <w:r>
              <w:rPr>
                <w:rFonts w:ascii="Segoe UI"/>
                <w:color w:val="231F20"/>
                <w:sz w:val="16"/>
              </w:rPr>
              <w:t>Grammar</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shd w:val="clear" w:color="auto" w:fill="E9E4DF"/>
            <w:textDirection w:val="btLr"/>
          </w:tcPr>
          <w:p>
            <w:pPr>
              <w:pStyle w:val="TableParagraph"/>
              <w:spacing w:line="240" w:lineRule="auto"/>
              <w:ind w:right="0"/>
              <w:jc w:val="left"/>
              <w:rPr>
                <w:rFonts w:ascii="Segoe UI Semibold" w:hAnsi="Segoe UI Semibold" w:cs="Segoe UI Semibold" w:eastAsia="Segoe UI Semibold"/>
                <w:b/>
                <w:bCs/>
                <w:sz w:val="16"/>
                <w:szCs w:val="16"/>
              </w:rPr>
            </w:pPr>
          </w:p>
          <w:p>
            <w:pPr>
              <w:pStyle w:val="TableParagraph"/>
              <w:spacing w:line="240" w:lineRule="auto" w:before="10"/>
              <w:ind w:right="0"/>
              <w:jc w:val="left"/>
              <w:rPr>
                <w:rFonts w:ascii="Segoe UI Semibold" w:hAnsi="Segoe UI Semibold" w:cs="Segoe UI Semibold" w:eastAsia="Segoe UI Semibold"/>
                <w:b/>
                <w:bCs/>
                <w:sz w:val="14"/>
                <w:szCs w:val="14"/>
              </w:rPr>
            </w:pPr>
          </w:p>
          <w:p>
            <w:pPr>
              <w:pStyle w:val="TableParagraph"/>
              <w:spacing w:line="240" w:lineRule="auto"/>
              <w:ind w:left="108" w:right="0"/>
              <w:jc w:val="left"/>
              <w:rPr>
                <w:rFonts w:ascii="Segoe UI" w:hAnsi="Segoe UI" w:cs="Segoe UI" w:eastAsia="Segoe UI"/>
                <w:sz w:val="16"/>
                <w:szCs w:val="16"/>
              </w:rPr>
            </w:pPr>
            <w:r>
              <w:rPr>
                <w:rFonts w:ascii="Segoe UI"/>
                <w:color w:val="231F20"/>
                <w:sz w:val="16"/>
              </w:rPr>
              <w:t>Numeracy</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shd w:val="clear" w:color="auto" w:fill="D7CFC7"/>
            <w:textDirection w:val="btLr"/>
          </w:tcPr>
          <w:p>
            <w:pPr>
              <w:pStyle w:val="TableParagraph"/>
              <w:spacing w:line="240" w:lineRule="auto"/>
              <w:ind w:right="0"/>
              <w:jc w:val="left"/>
              <w:rPr>
                <w:rFonts w:ascii="Segoe UI Semibold" w:hAnsi="Segoe UI Semibold" w:cs="Segoe UI Semibold" w:eastAsia="Segoe UI Semibold"/>
                <w:b/>
                <w:bCs/>
                <w:sz w:val="16"/>
                <w:szCs w:val="16"/>
              </w:rPr>
            </w:pPr>
          </w:p>
          <w:p>
            <w:pPr>
              <w:pStyle w:val="TableParagraph"/>
              <w:spacing w:line="240" w:lineRule="auto" w:before="11"/>
              <w:ind w:right="0"/>
              <w:jc w:val="left"/>
              <w:rPr>
                <w:rFonts w:ascii="Segoe UI Semibold" w:hAnsi="Segoe UI Semibold" w:cs="Segoe UI Semibold" w:eastAsia="Segoe UI Semibold"/>
                <w:b/>
                <w:bCs/>
                <w:sz w:val="14"/>
                <w:szCs w:val="14"/>
              </w:rPr>
            </w:pPr>
          </w:p>
          <w:p>
            <w:pPr>
              <w:pStyle w:val="TableParagraph"/>
              <w:spacing w:line="240" w:lineRule="auto"/>
              <w:ind w:left="108" w:right="0"/>
              <w:jc w:val="left"/>
              <w:rPr>
                <w:rFonts w:ascii="Segoe UI" w:hAnsi="Segoe UI" w:cs="Segoe UI" w:eastAsia="Segoe UI"/>
                <w:sz w:val="16"/>
                <w:szCs w:val="16"/>
              </w:rPr>
            </w:pPr>
            <w:r>
              <w:rPr>
                <w:rFonts w:ascii="Segoe UI"/>
                <w:color w:val="231F20"/>
                <w:spacing w:val="-1"/>
                <w:sz w:val="16"/>
              </w:rPr>
              <w:t>Reading</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shd w:val="clear" w:color="auto" w:fill="D7CFC7"/>
            <w:textDirection w:val="btLr"/>
          </w:tcPr>
          <w:p>
            <w:pPr>
              <w:pStyle w:val="TableParagraph"/>
              <w:spacing w:line="240" w:lineRule="auto"/>
              <w:ind w:right="0"/>
              <w:jc w:val="left"/>
              <w:rPr>
                <w:rFonts w:ascii="Segoe UI Semibold" w:hAnsi="Segoe UI Semibold" w:cs="Segoe UI Semibold" w:eastAsia="Segoe UI Semibold"/>
                <w:b/>
                <w:bCs/>
                <w:sz w:val="16"/>
                <w:szCs w:val="16"/>
              </w:rPr>
            </w:pPr>
          </w:p>
          <w:p>
            <w:pPr>
              <w:pStyle w:val="TableParagraph"/>
              <w:spacing w:line="240" w:lineRule="auto" w:before="11"/>
              <w:ind w:right="0"/>
              <w:jc w:val="left"/>
              <w:rPr>
                <w:rFonts w:ascii="Segoe UI Semibold" w:hAnsi="Segoe UI Semibold" w:cs="Segoe UI Semibold" w:eastAsia="Segoe UI Semibold"/>
                <w:b/>
                <w:bCs/>
                <w:sz w:val="14"/>
                <w:szCs w:val="14"/>
              </w:rPr>
            </w:pPr>
          </w:p>
          <w:p>
            <w:pPr>
              <w:pStyle w:val="TableParagraph"/>
              <w:spacing w:line="240" w:lineRule="auto"/>
              <w:ind w:left="108" w:right="0"/>
              <w:jc w:val="left"/>
              <w:rPr>
                <w:rFonts w:ascii="Segoe UI" w:hAnsi="Segoe UI" w:cs="Segoe UI" w:eastAsia="Segoe UI"/>
                <w:sz w:val="16"/>
                <w:szCs w:val="16"/>
              </w:rPr>
            </w:pPr>
            <w:r>
              <w:rPr>
                <w:rFonts w:ascii="Segoe UI"/>
                <w:color w:val="231F20"/>
                <w:sz w:val="16"/>
              </w:rPr>
              <w:t>Writing</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shd w:val="clear" w:color="auto" w:fill="D7CFC7"/>
            <w:textDirection w:val="btLr"/>
          </w:tcPr>
          <w:p>
            <w:pPr>
              <w:pStyle w:val="TableParagraph"/>
              <w:spacing w:line="240" w:lineRule="auto"/>
              <w:ind w:right="0"/>
              <w:jc w:val="left"/>
              <w:rPr>
                <w:rFonts w:ascii="Segoe UI Semibold" w:hAnsi="Segoe UI Semibold" w:cs="Segoe UI Semibold" w:eastAsia="Segoe UI Semibold"/>
                <w:b/>
                <w:bCs/>
                <w:sz w:val="16"/>
                <w:szCs w:val="16"/>
              </w:rPr>
            </w:pPr>
          </w:p>
          <w:p>
            <w:pPr>
              <w:pStyle w:val="TableParagraph"/>
              <w:spacing w:line="240" w:lineRule="auto" w:before="11"/>
              <w:ind w:right="0"/>
              <w:jc w:val="left"/>
              <w:rPr>
                <w:rFonts w:ascii="Segoe UI Semibold" w:hAnsi="Segoe UI Semibold" w:cs="Segoe UI Semibold" w:eastAsia="Segoe UI Semibold"/>
                <w:b/>
                <w:bCs/>
                <w:sz w:val="14"/>
                <w:szCs w:val="14"/>
              </w:rPr>
            </w:pPr>
          </w:p>
          <w:p>
            <w:pPr>
              <w:pStyle w:val="TableParagraph"/>
              <w:spacing w:line="240" w:lineRule="auto"/>
              <w:ind w:left="108" w:right="0"/>
              <w:jc w:val="left"/>
              <w:rPr>
                <w:rFonts w:ascii="Segoe UI" w:hAnsi="Segoe UI" w:cs="Segoe UI" w:eastAsia="Segoe UI"/>
                <w:sz w:val="16"/>
                <w:szCs w:val="16"/>
              </w:rPr>
            </w:pPr>
            <w:r>
              <w:rPr>
                <w:rFonts w:ascii="Segoe UI"/>
                <w:color w:val="231F20"/>
                <w:spacing w:val="-1"/>
                <w:sz w:val="16"/>
              </w:rPr>
              <w:t>Spelling</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shd w:val="clear" w:color="auto" w:fill="D7CFC7"/>
            <w:textDirection w:val="btLr"/>
          </w:tcPr>
          <w:p>
            <w:pPr>
              <w:pStyle w:val="TableParagraph"/>
              <w:spacing w:line="240" w:lineRule="auto"/>
              <w:ind w:right="0"/>
              <w:jc w:val="left"/>
              <w:rPr>
                <w:rFonts w:ascii="Segoe UI Semibold" w:hAnsi="Segoe UI Semibold" w:cs="Segoe UI Semibold" w:eastAsia="Segoe UI Semibold"/>
                <w:b/>
                <w:bCs/>
                <w:sz w:val="16"/>
                <w:szCs w:val="16"/>
              </w:rPr>
            </w:pPr>
          </w:p>
          <w:p>
            <w:pPr>
              <w:pStyle w:val="TableParagraph"/>
              <w:spacing w:line="240" w:lineRule="auto" w:before="11"/>
              <w:ind w:right="0"/>
              <w:jc w:val="left"/>
              <w:rPr>
                <w:rFonts w:ascii="Segoe UI Semibold" w:hAnsi="Segoe UI Semibold" w:cs="Segoe UI Semibold" w:eastAsia="Segoe UI Semibold"/>
                <w:b/>
                <w:bCs/>
                <w:sz w:val="14"/>
                <w:szCs w:val="14"/>
              </w:rPr>
            </w:pPr>
          </w:p>
          <w:p>
            <w:pPr>
              <w:pStyle w:val="TableParagraph"/>
              <w:spacing w:line="240" w:lineRule="auto"/>
              <w:ind w:left="108" w:right="0"/>
              <w:jc w:val="left"/>
              <w:rPr>
                <w:rFonts w:ascii="Segoe UI" w:hAnsi="Segoe UI" w:cs="Segoe UI" w:eastAsia="Segoe UI"/>
                <w:sz w:val="16"/>
                <w:szCs w:val="16"/>
              </w:rPr>
            </w:pPr>
            <w:r>
              <w:rPr>
                <w:rFonts w:ascii="Segoe UI"/>
                <w:color w:val="231F20"/>
                <w:sz w:val="16"/>
              </w:rPr>
              <w:t>Grammar</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shd w:val="clear" w:color="auto" w:fill="D7CFC7"/>
            <w:textDirection w:val="btLr"/>
          </w:tcPr>
          <w:p>
            <w:pPr>
              <w:pStyle w:val="TableParagraph"/>
              <w:spacing w:line="240" w:lineRule="auto"/>
              <w:ind w:right="0"/>
              <w:jc w:val="left"/>
              <w:rPr>
                <w:rFonts w:ascii="Segoe UI Semibold" w:hAnsi="Segoe UI Semibold" w:cs="Segoe UI Semibold" w:eastAsia="Segoe UI Semibold"/>
                <w:b/>
                <w:bCs/>
                <w:sz w:val="16"/>
                <w:szCs w:val="16"/>
              </w:rPr>
            </w:pPr>
          </w:p>
          <w:p>
            <w:pPr>
              <w:pStyle w:val="TableParagraph"/>
              <w:spacing w:line="240" w:lineRule="auto" w:before="11"/>
              <w:ind w:right="0"/>
              <w:jc w:val="left"/>
              <w:rPr>
                <w:rFonts w:ascii="Segoe UI Semibold" w:hAnsi="Segoe UI Semibold" w:cs="Segoe UI Semibold" w:eastAsia="Segoe UI Semibold"/>
                <w:b/>
                <w:bCs/>
                <w:sz w:val="14"/>
                <w:szCs w:val="14"/>
              </w:rPr>
            </w:pPr>
          </w:p>
          <w:p>
            <w:pPr>
              <w:pStyle w:val="TableParagraph"/>
              <w:spacing w:line="240" w:lineRule="auto"/>
              <w:ind w:left="108" w:right="0"/>
              <w:jc w:val="left"/>
              <w:rPr>
                <w:rFonts w:ascii="Segoe UI" w:hAnsi="Segoe UI" w:cs="Segoe UI" w:eastAsia="Segoe UI"/>
                <w:sz w:val="16"/>
                <w:szCs w:val="16"/>
              </w:rPr>
            </w:pPr>
            <w:r>
              <w:rPr>
                <w:rFonts w:ascii="Segoe UI"/>
                <w:color w:val="231F20"/>
                <w:sz w:val="16"/>
              </w:rPr>
              <w:t>Numeracy</w:t>
            </w:r>
            <w:r>
              <w:rPr>
                <w:rFonts w:ascii="Segoe UI"/>
                <w:sz w:val="16"/>
              </w:rPr>
            </w:r>
          </w:p>
        </w:tc>
        <w:tc>
          <w:tcPr>
            <w:tcW w:w="700" w:type="dxa"/>
            <w:vMerge/>
            <w:tcBorders>
              <w:left w:val="single" w:sz="4" w:space="0" w:color="C1B5A9"/>
              <w:bottom w:val="single" w:sz="4" w:space="0" w:color="C1B5A9"/>
              <w:right w:val="single" w:sz="4" w:space="0" w:color="C1B5A9"/>
            </w:tcBorders>
            <w:shd w:val="clear" w:color="auto" w:fill="C6BBB0"/>
            <w:textDirection w:val="btLr"/>
          </w:tcPr>
          <w:p>
            <w:pPr/>
          </w:p>
        </w:tc>
      </w:tr>
      <w:tr>
        <w:trPr>
          <w:trHeight w:val="343" w:hRule="exact"/>
        </w:trPr>
        <w:tc>
          <w:tcPr>
            <w:tcW w:w="8777" w:type="dxa"/>
            <w:gridSpan w:val="12"/>
            <w:tcBorders>
              <w:top w:val="single" w:sz="4" w:space="0" w:color="C1B5A9"/>
              <w:left w:val="single" w:sz="4" w:space="0" w:color="C1B5A9"/>
              <w:bottom w:val="single" w:sz="4" w:space="0" w:color="C1B5A9"/>
              <w:right w:val="single" w:sz="4" w:space="0" w:color="C1B5A9"/>
            </w:tcBorders>
            <w:shd w:val="clear" w:color="auto" w:fill="666155"/>
          </w:tcPr>
          <w:p>
            <w:pPr>
              <w:pStyle w:val="TableParagraph"/>
              <w:spacing w:line="240" w:lineRule="auto" w:before="52"/>
              <w:ind w:left="108" w:right="0"/>
              <w:jc w:val="left"/>
              <w:rPr>
                <w:rFonts w:ascii="Segoe UI" w:hAnsi="Segoe UI" w:cs="Segoe UI" w:eastAsia="Segoe UI"/>
                <w:sz w:val="16"/>
                <w:szCs w:val="16"/>
              </w:rPr>
            </w:pPr>
            <w:r>
              <w:rPr>
                <w:rFonts w:ascii="Segoe UI"/>
                <w:b/>
                <w:color w:val="FFFFFF"/>
                <w:spacing w:val="-1"/>
                <w:sz w:val="16"/>
              </w:rPr>
              <w:t>Aboriginal and </w:t>
            </w:r>
            <w:r>
              <w:rPr>
                <w:rFonts w:ascii="Segoe UI"/>
                <w:b/>
                <w:color w:val="FFFFFF"/>
                <w:spacing w:val="-3"/>
                <w:sz w:val="16"/>
              </w:rPr>
              <w:t>Torres</w:t>
            </w:r>
            <w:r>
              <w:rPr>
                <w:rFonts w:ascii="Segoe UI"/>
                <w:b/>
                <w:color w:val="FFFFFF"/>
                <w:spacing w:val="-1"/>
                <w:sz w:val="16"/>
              </w:rPr>
              <w:t> </w:t>
            </w:r>
            <w:r>
              <w:rPr>
                <w:rFonts w:ascii="Segoe UI"/>
                <w:b/>
                <w:color w:val="FFFFFF"/>
                <w:spacing w:val="-2"/>
                <w:sz w:val="16"/>
              </w:rPr>
              <w:t>Strait</w:t>
            </w:r>
            <w:r>
              <w:rPr>
                <w:rFonts w:ascii="Segoe UI"/>
                <w:b/>
                <w:color w:val="FFFFFF"/>
                <w:sz w:val="16"/>
              </w:rPr>
              <w:t> Islander</w:t>
            </w:r>
            <w:r>
              <w:rPr>
                <w:rFonts w:ascii="Segoe UI"/>
                <w:b/>
                <w:color w:val="FFFFFF"/>
                <w:spacing w:val="-2"/>
                <w:sz w:val="16"/>
              </w:rPr>
              <w:t> </w:t>
            </w:r>
            <w:r>
              <w:rPr>
                <w:rFonts w:ascii="Segoe UI"/>
                <w:b/>
                <w:color w:val="FFFFFF"/>
                <w:sz w:val="16"/>
              </w:rPr>
              <w:t>students</w:t>
            </w:r>
            <w:r>
              <w:rPr>
                <w:rFonts w:ascii="Segoe UI"/>
                <w:sz w:val="16"/>
              </w:rPr>
            </w:r>
          </w:p>
        </w:tc>
      </w:tr>
      <w:tr>
        <w:trPr>
          <w:trHeight w:val="343" w:hRule="exact"/>
        </w:trPr>
        <w:tc>
          <w:tcPr>
            <w:tcW w:w="1072"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08" w:right="0"/>
              <w:jc w:val="left"/>
              <w:rPr>
                <w:rFonts w:ascii="Segoe UI" w:hAnsi="Segoe UI" w:cs="Segoe UI" w:eastAsia="Segoe UI"/>
                <w:sz w:val="16"/>
                <w:szCs w:val="16"/>
              </w:rPr>
            </w:pPr>
            <w:r>
              <w:rPr>
                <w:rFonts w:ascii="Segoe UI"/>
                <w:b/>
                <w:color w:val="231F20"/>
                <w:spacing w:val="-5"/>
                <w:sz w:val="16"/>
              </w:rPr>
              <w:t>Y</w:t>
            </w:r>
            <w:r>
              <w:rPr>
                <w:rFonts w:ascii="Segoe UI"/>
                <w:b/>
                <w:color w:val="231F20"/>
                <w:spacing w:val="-4"/>
                <w:sz w:val="16"/>
              </w:rPr>
              <w:t>ear</w:t>
            </w:r>
            <w:r>
              <w:rPr>
                <w:rFonts w:ascii="Segoe UI"/>
                <w:b/>
                <w:color w:val="231F20"/>
                <w:sz w:val="16"/>
              </w:rPr>
              <w:t> 7</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323" w:right="0"/>
              <w:jc w:val="left"/>
              <w:rPr>
                <w:rFonts w:ascii="Segoe UI" w:hAnsi="Segoe UI" w:cs="Segoe UI" w:eastAsia="Segoe UI"/>
                <w:sz w:val="16"/>
                <w:szCs w:val="16"/>
              </w:rPr>
            </w:pPr>
            <w:r>
              <w:rPr>
                <w:rFonts w:ascii="Segoe UI"/>
                <w:color w:val="231F20"/>
                <w:sz w:val="16"/>
              </w:rPr>
              <w:t>476</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435.4</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323" w:right="0"/>
              <w:jc w:val="left"/>
              <w:rPr>
                <w:rFonts w:ascii="Segoe UI" w:hAnsi="Segoe UI" w:cs="Segoe UI" w:eastAsia="Segoe UI"/>
                <w:sz w:val="16"/>
                <w:szCs w:val="16"/>
              </w:rPr>
            </w:pPr>
            <w:r>
              <w:rPr>
                <w:rFonts w:ascii="Segoe UI"/>
                <w:color w:val="231F20"/>
                <w:sz w:val="16"/>
              </w:rPr>
              <w:t>489</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323" w:right="0"/>
              <w:jc w:val="left"/>
              <w:rPr>
                <w:rFonts w:ascii="Segoe UI" w:hAnsi="Segoe UI" w:cs="Segoe UI" w:eastAsia="Segoe UI"/>
                <w:sz w:val="16"/>
                <w:szCs w:val="16"/>
              </w:rPr>
            </w:pPr>
            <w:r>
              <w:rPr>
                <w:rFonts w:ascii="Segoe UI"/>
                <w:color w:val="231F20"/>
                <w:sz w:val="16"/>
              </w:rPr>
              <w:t>466</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484.7</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476.2</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442.7</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482.4</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467.4</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479.8</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left="170" w:right="0"/>
              <w:jc w:val="left"/>
              <w:rPr>
                <w:rFonts w:ascii="Segoe UI" w:hAnsi="Segoe UI" w:cs="Segoe UI" w:eastAsia="Segoe UI"/>
                <w:sz w:val="16"/>
                <w:szCs w:val="16"/>
              </w:rPr>
            </w:pPr>
            <w:r>
              <w:rPr>
                <w:rFonts w:ascii="Segoe UI"/>
                <w:b/>
                <w:color w:val="231F20"/>
                <w:spacing w:val="-1"/>
                <w:sz w:val="16"/>
              </w:rPr>
              <w:t>470.0</w:t>
            </w:r>
            <w:r>
              <w:rPr>
                <w:rFonts w:ascii="Segoe UI"/>
                <w:sz w:val="16"/>
              </w:rPr>
            </w:r>
          </w:p>
        </w:tc>
      </w:tr>
      <w:tr>
        <w:trPr>
          <w:trHeight w:val="343" w:hRule="exact"/>
        </w:trPr>
        <w:tc>
          <w:tcPr>
            <w:tcW w:w="1072"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08" w:right="0"/>
              <w:jc w:val="left"/>
              <w:rPr>
                <w:rFonts w:ascii="Segoe UI" w:hAnsi="Segoe UI" w:cs="Segoe UI" w:eastAsia="Segoe UI"/>
                <w:sz w:val="16"/>
                <w:szCs w:val="16"/>
              </w:rPr>
            </w:pPr>
            <w:r>
              <w:rPr>
                <w:rFonts w:ascii="Segoe UI"/>
                <w:b/>
                <w:color w:val="231F20"/>
                <w:spacing w:val="-5"/>
                <w:sz w:val="16"/>
              </w:rPr>
              <w:t>Y</w:t>
            </w:r>
            <w:r>
              <w:rPr>
                <w:rFonts w:ascii="Segoe UI"/>
                <w:b/>
                <w:color w:val="231F20"/>
                <w:spacing w:val="-4"/>
                <w:sz w:val="16"/>
              </w:rPr>
              <w:t>ear</w:t>
            </w:r>
            <w:r>
              <w:rPr>
                <w:rFonts w:ascii="Segoe UI"/>
                <w:b/>
                <w:color w:val="231F20"/>
                <w:sz w:val="16"/>
              </w:rPr>
              <w:t> 9</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516.9</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465.4</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520.9</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500.2</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533.7</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520.2</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474.3</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519.4</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507.4</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526.6</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52"/>
              <w:ind w:left="170" w:right="0"/>
              <w:jc w:val="left"/>
              <w:rPr>
                <w:rFonts w:ascii="Segoe UI" w:hAnsi="Segoe UI" w:cs="Segoe UI" w:eastAsia="Segoe UI"/>
                <w:sz w:val="16"/>
                <w:szCs w:val="16"/>
              </w:rPr>
            </w:pPr>
            <w:r>
              <w:rPr>
                <w:rFonts w:ascii="Segoe UI"/>
                <w:b/>
                <w:color w:val="231F20"/>
                <w:spacing w:val="-1"/>
                <w:sz w:val="16"/>
              </w:rPr>
              <w:t>508.5</w:t>
            </w:r>
            <w:r>
              <w:rPr>
                <w:rFonts w:ascii="Segoe UI"/>
                <w:sz w:val="16"/>
              </w:rPr>
            </w:r>
          </w:p>
        </w:tc>
      </w:tr>
      <w:tr>
        <w:trPr>
          <w:trHeight w:val="343" w:hRule="exact"/>
        </w:trPr>
        <w:tc>
          <w:tcPr>
            <w:tcW w:w="4575" w:type="dxa"/>
            <w:gridSpan w:val="6"/>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08" w:right="0"/>
              <w:jc w:val="left"/>
              <w:rPr>
                <w:rFonts w:ascii="Segoe UI" w:hAnsi="Segoe UI" w:cs="Segoe UI" w:eastAsia="Segoe UI"/>
                <w:sz w:val="16"/>
                <w:szCs w:val="16"/>
              </w:rPr>
            </w:pPr>
            <w:r>
              <w:rPr>
                <w:rFonts w:ascii="Segoe UI"/>
                <w:b/>
                <w:i/>
                <w:color w:val="231F20"/>
                <w:spacing w:val="-1"/>
                <w:sz w:val="16"/>
              </w:rPr>
              <w:t>Overall</w:t>
            </w:r>
            <w:r>
              <w:rPr>
                <w:rFonts w:ascii="Segoe UI"/>
                <w:b/>
                <w:i/>
                <w:color w:val="231F20"/>
                <w:spacing w:val="-7"/>
                <w:sz w:val="16"/>
              </w:rPr>
              <w:t> </w:t>
            </w:r>
            <w:r>
              <w:rPr>
                <w:rFonts w:ascii="Segoe UI"/>
                <w:b/>
                <w:i/>
                <w:color w:val="231F20"/>
                <w:sz w:val="16"/>
              </w:rPr>
              <w:t>NAPLAN</w:t>
            </w:r>
            <w:r>
              <w:rPr>
                <w:rFonts w:ascii="Segoe UI"/>
                <w:b/>
                <w:i/>
                <w:color w:val="231F20"/>
                <w:spacing w:val="-6"/>
                <w:sz w:val="16"/>
              </w:rPr>
              <w:t> </w:t>
            </w:r>
            <w:r>
              <w:rPr>
                <w:rFonts w:ascii="Segoe UI"/>
                <w:b/>
                <w:i/>
                <w:color w:val="231F20"/>
                <w:spacing w:val="-1"/>
                <w:sz w:val="16"/>
              </w:rPr>
              <w:t>average</w:t>
            </w:r>
            <w:r>
              <w:rPr>
                <w:rFonts w:ascii="Segoe UI"/>
                <w:sz w:val="16"/>
              </w:rPr>
            </w:r>
          </w:p>
        </w:tc>
        <w:tc>
          <w:tcPr>
            <w:tcW w:w="4203" w:type="dxa"/>
            <w:gridSpan w:val="6"/>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right="106"/>
              <w:jc w:val="right"/>
              <w:rPr>
                <w:rFonts w:ascii="Segoe UI" w:hAnsi="Segoe UI" w:cs="Segoe UI" w:eastAsia="Segoe UI"/>
                <w:sz w:val="16"/>
                <w:szCs w:val="16"/>
              </w:rPr>
            </w:pPr>
            <w:r>
              <w:rPr>
                <w:rFonts w:ascii="Segoe UI"/>
                <w:b/>
                <w:i/>
                <w:color w:val="231F20"/>
                <w:spacing w:val="-1"/>
                <w:w w:val="95"/>
                <w:sz w:val="16"/>
              </w:rPr>
              <w:t>489.2</w:t>
            </w:r>
            <w:r>
              <w:rPr>
                <w:rFonts w:ascii="Segoe UI"/>
                <w:sz w:val="16"/>
              </w:rPr>
            </w:r>
          </w:p>
        </w:tc>
      </w:tr>
      <w:tr>
        <w:trPr>
          <w:trHeight w:val="343" w:hRule="exact"/>
        </w:trPr>
        <w:tc>
          <w:tcPr>
            <w:tcW w:w="8777" w:type="dxa"/>
            <w:gridSpan w:val="12"/>
            <w:tcBorders>
              <w:top w:val="single" w:sz="4" w:space="0" w:color="C1B5A9"/>
              <w:left w:val="single" w:sz="4" w:space="0" w:color="C1B5A9"/>
              <w:bottom w:val="single" w:sz="4" w:space="0" w:color="C1B5A9"/>
              <w:right w:val="single" w:sz="4" w:space="0" w:color="C1B5A9"/>
            </w:tcBorders>
            <w:shd w:val="clear" w:color="auto" w:fill="666155"/>
          </w:tcPr>
          <w:p>
            <w:pPr>
              <w:pStyle w:val="TableParagraph"/>
              <w:spacing w:line="240" w:lineRule="auto" w:before="52"/>
              <w:ind w:left="108" w:right="0"/>
              <w:jc w:val="left"/>
              <w:rPr>
                <w:rFonts w:ascii="Segoe UI" w:hAnsi="Segoe UI" w:cs="Segoe UI" w:eastAsia="Segoe UI"/>
                <w:sz w:val="16"/>
                <w:szCs w:val="16"/>
              </w:rPr>
            </w:pPr>
            <w:r>
              <w:rPr>
                <w:rFonts w:ascii="Segoe UI"/>
                <w:b/>
                <w:color w:val="FFFFFF"/>
                <w:sz w:val="16"/>
              </w:rPr>
              <w:t>Non-Indigenous</w:t>
            </w:r>
            <w:r>
              <w:rPr>
                <w:rFonts w:ascii="Segoe UI"/>
                <w:b/>
                <w:color w:val="FFFFFF"/>
                <w:spacing w:val="-1"/>
                <w:sz w:val="16"/>
              </w:rPr>
              <w:t> </w:t>
            </w:r>
            <w:r>
              <w:rPr>
                <w:rFonts w:ascii="Segoe UI"/>
                <w:b/>
                <w:color w:val="FFFFFF"/>
                <w:sz w:val="16"/>
              </w:rPr>
              <w:t>students</w:t>
            </w:r>
            <w:r>
              <w:rPr>
                <w:rFonts w:ascii="Segoe UI"/>
                <w:sz w:val="16"/>
              </w:rPr>
            </w:r>
          </w:p>
        </w:tc>
      </w:tr>
      <w:tr>
        <w:trPr>
          <w:trHeight w:val="343" w:hRule="exact"/>
        </w:trPr>
        <w:tc>
          <w:tcPr>
            <w:tcW w:w="1072"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08" w:right="0"/>
              <w:jc w:val="left"/>
              <w:rPr>
                <w:rFonts w:ascii="Segoe UI" w:hAnsi="Segoe UI" w:cs="Segoe UI" w:eastAsia="Segoe UI"/>
                <w:sz w:val="16"/>
                <w:szCs w:val="16"/>
              </w:rPr>
            </w:pPr>
            <w:r>
              <w:rPr>
                <w:rFonts w:ascii="Segoe UI"/>
                <w:b/>
                <w:color w:val="231F20"/>
                <w:spacing w:val="-5"/>
                <w:sz w:val="16"/>
              </w:rPr>
              <w:t>Y</w:t>
            </w:r>
            <w:r>
              <w:rPr>
                <w:rFonts w:ascii="Segoe UI"/>
                <w:b/>
                <w:color w:val="231F20"/>
                <w:spacing w:val="-4"/>
                <w:sz w:val="16"/>
              </w:rPr>
              <w:t>ear</w:t>
            </w:r>
            <w:r>
              <w:rPr>
                <w:rFonts w:ascii="Segoe UI"/>
                <w:b/>
                <w:color w:val="231F20"/>
                <w:sz w:val="16"/>
              </w:rPr>
              <w:t> 7</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548.9</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517.6</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553.2</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323" w:right="0"/>
              <w:jc w:val="left"/>
              <w:rPr>
                <w:rFonts w:ascii="Segoe UI" w:hAnsi="Segoe UI" w:cs="Segoe UI" w:eastAsia="Segoe UI"/>
                <w:sz w:val="16"/>
                <w:szCs w:val="16"/>
              </w:rPr>
            </w:pPr>
            <w:r>
              <w:rPr>
                <w:rFonts w:ascii="Segoe UI"/>
                <w:color w:val="231F20"/>
                <w:sz w:val="16"/>
              </w:rPr>
              <w:t>546</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323" w:right="0"/>
              <w:jc w:val="left"/>
              <w:rPr>
                <w:rFonts w:ascii="Segoe UI" w:hAnsi="Segoe UI" w:cs="Segoe UI" w:eastAsia="Segoe UI"/>
                <w:sz w:val="16"/>
                <w:szCs w:val="16"/>
              </w:rPr>
            </w:pPr>
            <w:r>
              <w:rPr>
                <w:rFonts w:ascii="Segoe UI"/>
                <w:color w:val="231F20"/>
                <w:sz w:val="16"/>
              </w:rPr>
              <w:t>558</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544.6</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519.3</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546.4</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544.2</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553.7</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70" w:right="0"/>
              <w:jc w:val="left"/>
              <w:rPr>
                <w:rFonts w:ascii="Segoe UI" w:hAnsi="Segoe UI" w:cs="Segoe UI" w:eastAsia="Segoe UI"/>
                <w:sz w:val="16"/>
                <w:szCs w:val="16"/>
              </w:rPr>
            </w:pPr>
            <w:r>
              <w:rPr>
                <w:rFonts w:ascii="Segoe UI"/>
                <w:b/>
                <w:color w:val="231F20"/>
                <w:spacing w:val="-1"/>
                <w:sz w:val="16"/>
              </w:rPr>
              <w:t>543.2</w:t>
            </w:r>
            <w:r>
              <w:rPr>
                <w:rFonts w:ascii="Segoe UI"/>
                <w:sz w:val="16"/>
              </w:rPr>
            </w:r>
          </w:p>
        </w:tc>
      </w:tr>
      <w:tr>
        <w:trPr>
          <w:trHeight w:val="343" w:hRule="exact"/>
        </w:trPr>
        <w:tc>
          <w:tcPr>
            <w:tcW w:w="1072"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08" w:right="0"/>
              <w:jc w:val="left"/>
              <w:rPr>
                <w:rFonts w:ascii="Segoe UI" w:hAnsi="Segoe UI" w:cs="Segoe UI" w:eastAsia="Segoe UI"/>
                <w:sz w:val="16"/>
                <w:szCs w:val="16"/>
              </w:rPr>
            </w:pPr>
            <w:r>
              <w:rPr>
                <w:rFonts w:ascii="Segoe UI"/>
                <w:b/>
                <w:color w:val="231F20"/>
                <w:spacing w:val="-5"/>
                <w:sz w:val="16"/>
              </w:rPr>
              <w:t>Y</w:t>
            </w:r>
            <w:r>
              <w:rPr>
                <w:rFonts w:ascii="Segoe UI"/>
                <w:b/>
                <w:color w:val="231F20"/>
                <w:spacing w:val="-4"/>
                <w:sz w:val="16"/>
              </w:rPr>
              <w:t>ear</w:t>
            </w:r>
            <w:r>
              <w:rPr>
                <w:rFonts w:ascii="Segoe UI"/>
                <w:b/>
                <w:color w:val="231F20"/>
                <w:sz w:val="16"/>
              </w:rPr>
              <w:t> 9</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584.6</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323" w:right="0"/>
              <w:jc w:val="left"/>
              <w:rPr>
                <w:rFonts w:ascii="Segoe UI" w:hAnsi="Segoe UI" w:cs="Segoe UI" w:eastAsia="Segoe UI"/>
                <w:sz w:val="16"/>
                <w:szCs w:val="16"/>
              </w:rPr>
            </w:pPr>
            <w:r>
              <w:rPr>
                <w:rFonts w:ascii="Segoe UI"/>
                <w:color w:val="231F20"/>
                <w:sz w:val="16"/>
              </w:rPr>
              <w:t>557</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584.9</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577.8</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595.3</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584.3</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553.5</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583.9</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572.9</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202" w:right="0"/>
              <w:jc w:val="left"/>
              <w:rPr>
                <w:rFonts w:ascii="Segoe UI" w:hAnsi="Segoe UI" w:cs="Segoe UI" w:eastAsia="Segoe UI"/>
                <w:sz w:val="16"/>
                <w:szCs w:val="16"/>
              </w:rPr>
            </w:pPr>
            <w:r>
              <w:rPr>
                <w:rFonts w:ascii="Segoe UI"/>
                <w:color w:val="231F20"/>
                <w:sz w:val="16"/>
              </w:rPr>
              <w:t>592.9</w:t>
            </w:r>
            <w:r>
              <w:rPr>
                <w:rFonts w:ascii="Segoe UI"/>
                <w:sz w:val="16"/>
              </w:rPr>
            </w:r>
          </w:p>
        </w:tc>
        <w:tc>
          <w:tcPr>
            <w:tcW w:w="700"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70" w:right="0"/>
              <w:jc w:val="left"/>
              <w:rPr>
                <w:rFonts w:ascii="Segoe UI" w:hAnsi="Segoe UI" w:cs="Segoe UI" w:eastAsia="Segoe UI"/>
                <w:sz w:val="16"/>
                <w:szCs w:val="16"/>
              </w:rPr>
            </w:pPr>
            <w:r>
              <w:rPr>
                <w:rFonts w:ascii="Segoe UI"/>
                <w:b/>
                <w:color w:val="231F20"/>
                <w:spacing w:val="-1"/>
                <w:sz w:val="16"/>
              </w:rPr>
              <w:t>578.7</w:t>
            </w:r>
            <w:r>
              <w:rPr>
                <w:rFonts w:ascii="Segoe UI"/>
                <w:sz w:val="16"/>
              </w:rPr>
            </w:r>
          </w:p>
        </w:tc>
      </w:tr>
      <w:tr>
        <w:trPr>
          <w:trHeight w:val="343" w:hRule="exact"/>
        </w:trPr>
        <w:tc>
          <w:tcPr>
            <w:tcW w:w="4575" w:type="dxa"/>
            <w:gridSpan w:val="6"/>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left="108" w:right="0"/>
              <w:jc w:val="left"/>
              <w:rPr>
                <w:rFonts w:ascii="Segoe UI" w:hAnsi="Segoe UI" w:cs="Segoe UI" w:eastAsia="Segoe UI"/>
                <w:sz w:val="16"/>
                <w:szCs w:val="16"/>
              </w:rPr>
            </w:pPr>
            <w:r>
              <w:rPr>
                <w:rFonts w:ascii="Segoe UI"/>
                <w:b/>
                <w:i/>
                <w:color w:val="231F20"/>
                <w:spacing w:val="-1"/>
                <w:sz w:val="16"/>
              </w:rPr>
              <w:t>Overall</w:t>
            </w:r>
            <w:r>
              <w:rPr>
                <w:rFonts w:ascii="Segoe UI"/>
                <w:b/>
                <w:i/>
                <w:color w:val="231F20"/>
                <w:spacing w:val="-7"/>
                <w:sz w:val="16"/>
              </w:rPr>
              <w:t> </w:t>
            </w:r>
            <w:r>
              <w:rPr>
                <w:rFonts w:ascii="Segoe UI"/>
                <w:b/>
                <w:i/>
                <w:color w:val="231F20"/>
                <w:sz w:val="16"/>
              </w:rPr>
              <w:t>NAPLAN</w:t>
            </w:r>
            <w:r>
              <w:rPr>
                <w:rFonts w:ascii="Segoe UI"/>
                <w:b/>
                <w:i/>
                <w:color w:val="231F20"/>
                <w:spacing w:val="-6"/>
                <w:sz w:val="16"/>
              </w:rPr>
              <w:t> </w:t>
            </w:r>
            <w:r>
              <w:rPr>
                <w:rFonts w:ascii="Segoe UI"/>
                <w:b/>
                <w:i/>
                <w:color w:val="231F20"/>
                <w:spacing w:val="-1"/>
                <w:sz w:val="16"/>
              </w:rPr>
              <w:t>average</w:t>
            </w:r>
            <w:r>
              <w:rPr>
                <w:rFonts w:ascii="Segoe UI"/>
                <w:sz w:val="16"/>
              </w:rPr>
            </w:r>
          </w:p>
        </w:tc>
        <w:tc>
          <w:tcPr>
            <w:tcW w:w="4203" w:type="dxa"/>
            <w:gridSpan w:val="6"/>
            <w:tcBorders>
              <w:top w:val="single" w:sz="4" w:space="0" w:color="C1B5A9"/>
              <w:left w:val="single" w:sz="4" w:space="0" w:color="C1B5A9"/>
              <w:bottom w:val="single" w:sz="4" w:space="0" w:color="C1B5A9"/>
              <w:right w:val="single" w:sz="4" w:space="0" w:color="C1B5A9"/>
            </w:tcBorders>
          </w:tcPr>
          <w:p>
            <w:pPr>
              <w:pStyle w:val="TableParagraph"/>
              <w:spacing w:line="240" w:lineRule="auto" w:before="52"/>
              <w:ind w:right="106"/>
              <w:jc w:val="right"/>
              <w:rPr>
                <w:rFonts w:ascii="Segoe UI" w:hAnsi="Segoe UI" w:cs="Segoe UI" w:eastAsia="Segoe UI"/>
                <w:sz w:val="16"/>
                <w:szCs w:val="16"/>
              </w:rPr>
            </w:pPr>
            <w:r>
              <w:rPr>
                <w:rFonts w:ascii="Segoe UI"/>
                <w:b/>
                <w:i/>
                <w:color w:val="231F20"/>
                <w:spacing w:val="-1"/>
                <w:w w:val="95"/>
                <w:sz w:val="16"/>
              </w:rPr>
              <w:t>560.9</w:t>
            </w:r>
            <w:r>
              <w:rPr>
                <w:rFonts w:ascii="Segoe UI"/>
                <w:sz w:val="16"/>
              </w:rPr>
            </w:r>
          </w:p>
        </w:tc>
      </w:tr>
    </w:tbl>
    <w:p>
      <w:pPr>
        <w:spacing w:after="0" w:line="240" w:lineRule="auto"/>
        <w:jc w:val="right"/>
        <w:rPr>
          <w:rFonts w:ascii="Segoe UI" w:hAnsi="Segoe UI" w:cs="Segoe UI" w:eastAsia="Segoe UI"/>
          <w:sz w:val="16"/>
          <w:szCs w:val="16"/>
        </w:rPr>
        <w:sectPr>
          <w:type w:val="continuous"/>
          <w:pgSz w:w="11910" w:h="16840"/>
          <w:pgMar w:top="1580" w:bottom="280" w:left="1300" w:right="1600"/>
        </w:sect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5"/>
        <w:rPr>
          <w:rFonts w:ascii="Segoe UI Semibold" w:hAnsi="Segoe UI Semibold" w:cs="Segoe UI Semibold" w:eastAsia="Segoe UI Semibold"/>
          <w:b/>
          <w:bCs/>
          <w:sz w:val="10"/>
          <w:szCs w:val="10"/>
        </w:rPr>
      </w:pPr>
    </w:p>
    <w:p>
      <w:pPr>
        <w:spacing w:line="200" w:lineRule="atLeast"/>
        <w:ind w:left="100" w:right="0" w:firstLine="0"/>
        <w:rPr>
          <w:rFonts w:ascii="Segoe UI Semibold" w:hAnsi="Segoe UI Semibold" w:cs="Segoe UI Semibold" w:eastAsia="Segoe UI Semibold"/>
          <w:sz w:val="20"/>
          <w:szCs w:val="20"/>
        </w:rPr>
      </w:pPr>
      <w:r>
        <w:rPr>
          <w:rFonts w:ascii="Segoe UI Semibold" w:hAnsi="Segoe UI Semibold" w:cs="Segoe UI Semibold" w:eastAsia="Segoe UI Semibold"/>
          <w:sz w:val="20"/>
          <w:szCs w:val="20"/>
        </w:rPr>
        <w:pict>
          <v:group style="width:439.4pt;height:247.3pt;mso-position-horizontal-relative:char;mso-position-vertical-relative:line" coordorigin="0,0" coordsize="8788,4946">
            <v:group style="position:absolute;left:100;top:100;width:8588;height:4746" coordorigin="100,100" coordsize="8588,4746">
              <v:shape style="position:absolute;left:100;top:100;width:8588;height:4746" coordorigin="100,100" coordsize="8588,4746" path="m100,4846l8687,4846,8687,100,100,100,100,4846xe" filled="false" stroked="true" strokeweight="10pt" strokecolor="#c1b5a9">
                <v:path arrowok="t"/>
              </v:shape>
            </v:group>
            <v:group style="position:absolute;left:543;top:1257;width:3676;height:3348" coordorigin="543,1257" coordsize="3676,3348">
              <v:shape style="position:absolute;left:543;top:1257;width:3676;height:3348" coordorigin="543,1257" coordsize="3676,3348" path="m543,4605l4219,4605,4219,1257,543,1257,543,4605xe" filled="true" fillcolor="#ffffff" stroked="false">
                <v:path arrowok="t"/>
                <v:fill type="solid"/>
              </v:shape>
            </v:group>
            <v:group style="position:absolute;left:3643;top:3384;width:575;height:2" coordorigin="3643,3384" coordsize="575,2">
              <v:shape style="position:absolute;left:3643;top:3384;width:575;height:2" coordorigin="3643,3384" coordsize="575,0" path="m3643,3384l4218,3384e" filled="false" stroked="true" strokeweight=".694pt" strokecolor="#dcddde">
                <v:path arrowok="t"/>
              </v:shape>
            </v:group>
            <v:group style="position:absolute;left:2558;top:3384;width:842;height:2" coordorigin="2558,3384" coordsize="842,2">
              <v:shape style="position:absolute;left:2558;top:3384;width:842;height:2" coordorigin="2558,3384" coordsize="842,0" path="m2558,3384l3399,3384e" filled="false" stroked="true" strokeweight=".694pt" strokecolor="#dcddde">
                <v:path arrowok="t"/>
              </v:shape>
            </v:group>
            <v:group style="position:absolute;left:1781;top:3384;width:533;height:2" coordorigin="1781,3384" coordsize="533,2">
              <v:shape style="position:absolute;left:1781;top:3384;width:533;height:2" coordorigin="1781,3384" coordsize="533,0" path="m1781,3384l2313,3384e" filled="false" stroked="true" strokeweight=".694pt" strokecolor="#dcddde">
                <v:path arrowok="t"/>
              </v:shape>
            </v:group>
            <v:group style="position:absolute;left:1472;top:3384;width:65;height:2" coordorigin="1472,3384" coordsize="65,2">
              <v:shape style="position:absolute;left:1472;top:3384;width:65;height:2" coordorigin="1472,3384" coordsize="65,0" path="m1472,3384l1536,3384e" filled="false" stroked="true" strokeweight=".694pt" strokecolor="#dcddde">
                <v:path arrowok="t"/>
              </v:shape>
            </v:group>
            <v:group style="position:absolute;left:962;top:3384;width:267;height:2" coordorigin="962,3384" coordsize="267,2">
              <v:shape style="position:absolute;left:962;top:3384;width:267;height:2" coordorigin="962,3384" coordsize="267,0" path="m962,3384l1228,3384e" filled="false" stroked="true" strokeweight=".694pt" strokecolor="#dcddde">
                <v:path arrowok="t"/>
              </v:shape>
            </v:group>
            <v:group style="position:absolute;left:3643;top:3073;width:575;height:2" coordorigin="3643,3073" coordsize="575,2">
              <v:shape style="position:absolute;left:3643;top:3073;width:575;height:2" coordorigin="3643,3073" coordsize="575,0" path="m3643,3073l4218,3073e" filled="false" stroked="true" strokeweight=".694pt" strokecolor="#dcddde">
                <v:path arrowok="t"/>
              </v:shape>
            </v:group>
            <v:group style="position:absolute;left:2558;top:3073;width:842;height:2" coordorigin="2558,3073" coordsize="842,2">
              <v:shape style="position:absolute;left:2558;top:3073;width:842;height:2" coordorigin="2558,3073" coordsize="842,0" path="m2558,3073l3399,3073e" filled="false" stroked="true" strokeweight=".694pt" strokecolor="#dcddde">
                <v:path arrowok="t"/>
              </v:shape>
            </v:group>
            <v:group style="position:absolute;left:1781;top:3073;width:533;height:2" coordorigin="1781,3073" coordsize="533,2">
              <v:shape style="position:absolute;left:1781;top:3073;width:533;height:2" coordorigin="1781,3073" coordsize="533,0" path="m1781,3073l2313,3073e" filled="false" stroked="true" strokeweight=".694pt" strokecolor="#dcddde">
                <v:path arrowok="t"/>
              </v:shape>
            </v:group>
            <v:group style="position:absolute;left:1472;top:3073;width:65;height:2" coordorigin="1472,3073" coordsize="65,2">
              <v:shape style="position:absolute;left:1472;top:3073;width:65;height:2" coordorigin="1472,3073" coordsize="65,0" path="m1472,3073l1536,3073e" filled="false" stroked="true" strokeweight=".694pt" strokecolor="#dcddde">
                <v:path arrowok="t"/>
              </v:shape>
            </v:group>
            <v:group style="position:absolute;left:962;top:3073;width:267;height:2" coordorigin="962,3073" coordsize="267,2">
              <v:shape style="position:absolute;left:962;top:3073;width:267;height:2" coordorigin="962,3073" coordsize="267,0" path="m962,3073l1228,3073e" filled="false" stroked="true" strokeweight=".694pt" strokecolor="#dcddde">
                <v:path arrowok="t"/>
              </v:shape>
            </v:group>
            <v:group style="position:absolute;left:2558;top:2762;width:1661;height:2" coordorigin="2558,2762" coordsize="1661,2">
              <v:shape style="position:absolute;left:2558;top:2762;width:1661;height:2" coordorigin="2558,2762" coordsize="1661,0" path="m2558,2762l4218,2762e" filled="false" stroked="true" strokeweight=".694pt" strokecolor="#dcddde">
                <v:path arrowok="t"/>
              </v:shape>
            </v:group>
            <v:group style="position:absolute;left:1781;top:2762;width:533;height:2" coordorigin="1781,2762" coordsize="533,2">
              <v:shape style="position:absolute;left:1781;top:2762;width:533;height:2" coordorigin="1781,2762" coordsize="533,0" path="m1781,2762l2313,2762e" filled="false" stroked="true" strokeweight=".694pt" strokecolor="#dcddde">
                <v:path arrowok="t"/>
              </v:shape>
            </v:group>
            <v:group style="position:absolute;left:1472;top:2762;width:65;height:2" coordorigin="1472,2762" coordsize="65,2">
              <v:shape style="position:absolute;left:1472;top:2762;width:65;height:2" coordorigin="1472,2762" coordsize="65,0" path="m1472,2762l1536,2762e" filled="false" stroked="true" strokeweight=".694pt" strokecolor="#dcddde">
                <v:path arrowok="t"/>
              </v:shape>
            </v:group>
            <v:group style="position:absolute;left:962;top:2762;width:267;height:2" coordorigin="962,2762" coordsize="267,2">
              <v:shape style="position:absolute;left:962;top:2762;width:267;height:2" coordorigin="962,2762" coordsize="267,0" path="m962,2762l1228,2762e" filled="false" stroked="true" strokeweight=".694pt" strokecolor="#dcddde">
                <v:path arrowok="t"/>
              </v:shape>
            </v:group>
            <v:group style="position:absolute;left:2558;top:2453;width:1661;height:2" coordorigin="2558,2453" coordsize="1661,2">
              <v:shape style="position:absolute;left:2558;top:2453;width:1661;height:2" coordorigin="2558,2453" coordsize="1661,0" path="m2558,2453l4218,2453e" filled="false" stroked="true" strokeweight=".694pt" strokecolor="#dcddde">
                <v:path arrowok="t"/>
              </v:shape>
            </v:group>
            <v:group style="position:absolute;left:1781;top:2453;width:533;height:2" coordorigin="1781,2453" coordsize="533,2">
              <v:shape style="position:absolute;left:1781;top:2453;width:533;height:2" coordorigin="1781,2453" coordsize="533,0" path="m1781,2453l2313,2453e" filled="false" stroked="true" strokeweight=".694pt" strokecolor="#dcddde">
                <v:path arrowok="t"/>
              </v:shape>
            </v:group>
            <v:group style="position:absolute;left:1472;top:2453;width:65;height:2" coordorigin="1472,2453" coordsize="65,2">
              <v:shape style="position:absolute;left:1472;top:2453;width:65;height:2" coordorigin="1472,2453" coordsize="65,0" path="m1472,2453l1536,2453e" filled="false" stroked="true" strokeweight=".694pt" strokecolor="#dcddde">
                <v:path arrowok="t"/>
              </v:shape>
            </v:group>
            <v:group style="position:absolute;left:962;top:2453;width:267;height:2" coordorigin="962,2453" coordsize="267,2">
              <v:shape style="position:absolute;left:962;top:2453;width:267;height:2" coordorigin="962,2453" coordsize="267,0" path="m962,2453l1228,2453e" filled="false" stroked="true" strokeweight=".694pt" strokecolor="#dcddde">
                <v:path arrowok="t"/>
              </v:shape>
            </v:group>
            <v:group style="position:absolute;left:1781;top:2143;width:2438;height:2" coordorigin="1781,2143" coordsize="2438,2">
              <v:shape style="position:absolute;left:1781;top:2143;width:2438;height:2" coordorigin="1781,2143" coordsize="2438,0" path="m1781,2143l4218,2143e" filled="false" stroked="true" strokeweight=".694pt" strokecolor="#dcddde">
                <v:path arrowok="t"/>
              </v:shape>
            </v:group>
            <v:group style="position:absolute;left:962;top:2143;width:575;height:2" coordorigin="962,2143" coordsize="575,2">
              <v:shape style="position:absolute;left:962;top:2143;width:575;height:2" coordorigin="962,2143" coordsize="575,0" path="m962,2143l1536,2143e" filled="false" stroked="true" strokeweight=".694pt" strokecolor="#dcddde">
                <v:path arrowok="t"/>
              </v:shape>
            </v:group>
            <v:group style="position:absolute;left:962;top:1832;width:3257;height:2" coordorigin="962,1832" coordsize="3257,2">
              <v:shape style="position:absolute;left:962;top:1832;width:3257;height:2" coordorigin="962,1832" coordsize="3257,0" path="m962,1832l4218,1832e" filled="false" stroked="true" strokeweight=".694pt" strokecolor="#dcddde">
                <v:path arrowok="t"/>
              </v:shape>
            </v:group>
            <v:group style="position:absolute;left:1228;top:2163;width:245;height:1532" coordorigin="1228,2163" coordsize="245,1532">
              <v:shape style="position:absolute;left:1228;top:2163;width:245;height:1532" coordorigin="1228,2163" coordsize="245,1532" path="m1472,2163l1228,2163,1228,3694,1472,3694,1472,2163xe" filled="true" fillcolor="#715990" stroked="false">
                <v:path arrowok="t"/>
                <v:fill type="solid"/>
              </v:shape>
            </v:group>
            <v:group style="position:absolute;left:2313;top:2305;width:245;height:1390" coordorigin="2313,2305" coordsize="245,1390">
              <v:shape style="position:absolute;left:2313;top:2305;width:245;height:1390" coordorigin="2313,2305" coordsize="245,1390" path="m2558,2305l2313,2305,2313,3694,2558,3694,2558,2305xe" filled="true" fillcolor="#715990" stroked="false">
                <v:path arrowok="t"/>
                <v:fill type="solid"/>
              </v:shape>
            </v:group>
            <v:group style="position:absolute;left:3399;top:2882;width:245;height:813" coordorigin="3399,2882" coordsize="245,813">
              <v:shape style="position:absolute;left:3399;top:2882;width:245;height:813" coordorigin="3399,2882" coordsize="245,813" path="m3643,2882l3399,2882,3399,3694,3643,3694,3643,2882xe" filled="true" fillcolor="#715990" stroked="false">
                <v:path arrowok="t"/>
                <v:fill type="solid"/>
              </v:shape>
            </v:group>
            <v:group style="position:absolute;left:1536;top:1952;width:245;height:1743" coordorigin="1536,1952" coordsize="245,1743">
              <v:shape style="position:absolute;left:1536;top:1952;width:245;height:1743" coordorigin="1536,1952" coordsize="245,1743" path="m1781,1952l1536,1952,1536,3694,1781,3694,1781,1952xe" filled="true" fillcolor="#a99bbc" stroked="false">
                <v:path arrowok="t"/>
                <v:fill type="solid"/>
              </v:shape>
            </v:group>
            <v:group style="position:absolute;left:3708;top:3701;width:245;height:2" coordorigin="3708,3701" coordsize="245,2">
              <v:shape style="position:absolute;left:3708;top:3701;width:245;height:2" coordorigin="3708,3701" coordsize="245,0" path="m3708,3701l3952,3701e" filled="false" stroked="true" strokeweight=".765pt" strokecolor="#a99bbc">
                <v:path arrowok="t"/>
              </v:shape>
            </v:group>
            <v:group style="position:absolute;left:2622;top:3701;width:245;height:2" coordorigin="2622,3701" coordsize="245,2">
              <v:shape style="position:absolute;left:2622;top:3701;width:245;height:2" coordorigin="2622,3701" coordsize="245,0" path="m2622,3701l2866,3701e" filled="false" stroked="true" strokeweight=".765pt" strokecolor="#a99bbc">
                <v:path arrowok="t"/>
              </v:shape>
            </v:group>
            <v:group style="position:absolute;left:962;top:3694;width:3257;height:2" coordorigin="962,3694" coordsize="3257,2">
              <v:shape style="position:absolute;left:962;top:3694;width:3257;height:2" coordorigin="962,3694" coordsize="3257,0" path="m962,3694l4218,3694e" filled="false" stroked="true" strokeweight=".694pt" strokecolor="#dcddde">
                <v:path arrowok="t"/>
              </v:shape>
            </v:group>
            <v:group style="position:absolute;left:917;top:4341;width:89;height:2" coordorigin="917,4341" coordsize="89,2">
              <v:shape style="position:absolute;left:917;top:4341;width:89;height:2" coordorigin="917,4341" coordsize="89,0" path="m917,4341l1006,4341e" filled="false" stroked="true" strokeweight="4.531pt" strokecolor="#715990">
                <v:path arrowok="t"/>
              </v:shape>
            </v:group>
            <v:group style="position:absolute;left:2483;top:4341;width:89;height:2" coordorigin="2483,4341" coordsize="89,2">
              <v:shape style="position:absolute;left:2483;top:4341;width:89;height:2" coordorigin="2483,4341" coordsize="89,0" path="m2483,4341l2572,4341e" filled="false" stroked="true" strokeweight="4.531pt" strokecolor="#a99bbc">
                <v:path arrowok="t"/>
              </v:shape>
            </v:group>
            <v:group style="position:absolute;left:4326;top:1257;width:3676;height:3332" coordorigin="4326,1257" coordsize="3676,3332">
              <v:shape style="position:absolute;left:4326;top:1257;width:3676;height:3332" coordorigin="4326,1257" coordsize="3676,3332" path="m4326,4589l8002,4589,8002,1257,4326,1257,4326,4589xe" filled="true" fillcolor="#ffffff" stroked="false">
                <v:path arrowok="t"/>
                <v:fill type="solid"/>
              </v:shape>
            </v:group>
            <v:group style="position:absolute;left:7448;top:3288;width:553;height:2" coordorigin="7448,3288" coordsize="553,2">
              <v:shape style="position:absolute;left:7448;top:3288;width:553;height:2" coordorigin="7448,3288" coordsize="553,0" path="m7448,3288l8001,3288e" filled="false" stroked="true" strokeweight=".694pt" strokecolor="#dcddde">
                <v:path arrowok="t"/>
              </v:shape>
            </v:group>
            <v:group style="position:absolute;left:6403;top:3288;width:811;height:2" coordorigin="6403,3288" coordsize="811,2">
              <v:shape style="position:absolute;left:6403;top:3288;width:811;height:2" coordorigin="6403,3288" coordsize="811,0" path="m6403,3288l7213,3288e" filled="false" stroked="true" strokeweight=".694pt" strokecolor="#dcddde">
                <v:path arrowok="t"/>
              </v:shape>
            </v:group>
            <v:group style="position:absolute;left:5655;top:3288;width:513;height:2" coordorigin="5655,3288" coordsize="513,2">
              <v:shape style="position:absolute;left:5655;top:3288;width:513;height:2" coordorigin="5655,3288" coordsize="513,0" path="m5655,3288l6167,3288e" filled="false" stroked="true" strokeweight=".694pt" strokecolor="#dcddde">
                <v:path arrowok="t"/>
              </v:shape>
            </v:group>
            <v:group style="position:absolute;left:5357;top:3288;width:63;height:2" coordorigin="5357,3288" coordsize="63,2">
              <v:shape style="position:absolute;left:5357;top:3288;width:63;height:2" coordorigin="5357,3288" coordsize="63,0" path="m5357,3288l5419,3288e" filled="false" stroked="true" strokeweight=".694pt" strokecolor="#dcddde">
                <v:path arrowok="t"/>
              </v:shape>
            </v:group>
            <v:group style="position:absolute;left:4866;top:3288;width:256;height:2" coordorigin="4866,3288" coordsize="256,2">
              <v:shape style="position:absolute;left:4866;top:3288;width:256;height:2" coordorigin="4866,3288" coordsize="256,0" path="m4866,3288l5122,3288e" filled="false" stroked="true" strokeweight=".694pt" strokecolor="#dcddde">
                <v:path arrowok="t"/>
              </v:shape>
            </v:group>
            <v:group style="position:absolute;left:6403;top:2802;width:1599;height:2" coordorigin="6403,2802" coordsize="1599,2">
              <v:shape style="position:absolute;left:6403;top:2802;width:1599;height:2" coordorigin="6403,2802" coordsize="1599,0" path="m6403,2802l8001,2802e" filled="false" stroked="true" strokeweight=".694pt" strokecolor="#dcddde">
                <v:path arrowok="t"/>
              </v:shape>
            </v:group>
            <v:group style="position:absolute;left:5655;top:2802;width:513;height:2" coordorigin="5655,2802" coordsize="513,2">
              <v:shape style="position:absolute;left:5655;top:2802;width:513;height:2" coordorigin="5655,2802" coordsize="513,0" path="m5655,2802l6167,2802e" filled="false" stroked="true" strokeweight=".694pt" strokecolor="#dcddde">
                <v:path arrowok="t"/>
              </v:shape>
            </v:group>
            <v:group style="position:absolute;left:5357;top:2802;width:63;height:2" coordorigin="5357,2802" coordsize="63,2">
              <v:shape style="position:absolute;left:5357;top:2802;width:63;height:2" coordorigin="5357,2802" coordsize="63,0" path="m5357,2802l5419,2802e" filled="false" stroked="true" strokeweight=".694pt" strokecolor="#dcddde">
                <v:path arrowok="t"/>
              </v:shape>
            </v:group>
            <v:group style="position:absolute;left:4866;top:2802;width:256;height:2" coordorigin="4866,2802" coordsize="256,2">
              <v:shape style="position:absolute;left:4866;top:2802;width:256;height:2" coordorigin="4866,2802" coordsize="256,0" path="m4866,2802l5122,2802e" filled="false" stroked="true" strokeweight=".694pt" strokecolor="#dcddde">
                <v:path arrowok="t"/>
              </v:shape>
            </v:group>
            <v:group style="position:absolute;left:5655;top:2316;width:2347;height:2" coordorigin="5655,2316" coordsize="2347,2">
              <v:shape style="position:absolute;left:5655;top:2316;width:2347;height:2" coordorigin="5655,2316" coordsize="2347,0" path="m5655,2316l8001,2316e" filled="false" stroked="true" strokeweight=".694pt" strokecolor="#dcddde">
                <v:path arrowok="t"/>
              </v:shape>
            </v:group>
            <v:group style="position:absolute;left:5357;top:2316;width:63;height:2" coordorigin="5357,2316" coordsize="63,2">
              <v:shape style="position:absolute;left:5357;top:2316;width:63;height:2" coordorigin="5357,2316" coordsize="63,0" path="m5357,2316l5419,2316e" filled="false" stroked="true" strokeweight=".694pt" strokecolor="#dcddde">
                <v:path arrowok="t"/>
              </v:shape>
            </v:group>
            <v:group style="position:absolute;left:4866;top:2316;width:256;height:2" coordorigin="4866,2316" coordsize="256,2">
              <v:shape style="position:absolute;left:4866;top:2316;width:256;height:2" coordorigin="4866,2316" coordsize="256,0" path="m4866,2316l5122,2316e" filled="false" stroked="true" strokeweight=".694pt" strokecolor="#dcddde">
                <v:path arrowok="t"/>
              </v:shape>
            </v:group>
            <v:group style="position:absolute;left:4866;top:1829;width:3136;height:2" coordorigin="4866,1829" coordsize="3136,2">
              <v:shape style="position:absolute;left:4866;top:1829;width:3136;height:2" coordorigin="4866,1829" coordsize="3136,0" path="m4866,1829l8001,1829e" filled="false" stroked="true" strokeweight=".694pt" strokecolor="#dcddde">
                <v:path arrowok="t"/>
              </v:shape>
            </v:group>
            <v:group style="position:absolute;left:5122;top:2262;width:236;height:1511" coordorigin="5122,2262" coordsize="236,1511">
              <v:shape style="position:absolute;left:5122;top:2262;width:236;height:1511" coordorigin="5122,2262" coordsize="236,1511" path="m5357,2262l5122,2262,5122,3773,5357,3773,5357,2262xe" filled="true" fillcolor="#715990" stroked="false">
                <v:path arrowok="t"/>
                <v:fill type="solid"/>
              </v:shape>
            </v:group>
            <v:group style="position:absolute;left:6167;top:2467;width:236;height:1307" coordorigin="6167,2467" coordsize="236,1307">
              <v:shape style="position:absolute;left:6167;top:2467;width:236;height:1307" coordorigin="6167,2467" coordsize="236,1307" path="m6403,2467l6167,2467,6167,3773,6403,3773,6403,2467xe" filled="true" fillcolor="#715990" stroked="false">
                <v:path arrowok="t"/>
                <v:fill type="solid"/>
              </v:shape>
            </v:group>
            <v:group style="position:absolute;left:7213;top:2957;width:236;height:816" coordorigin="7213,2957" coordsize="236,816">
              <v:shape style="position:absolute;left:7213;top:2957;width:236;height:816" coordorigin="7213,2957" coordsize="236,816" path="m7448,2957l7213,2957,7213,3773,7448,3773,7448,2957xe" filled="true" fillcolor="#715990" stroked="false">
                <v:path arrowok="t"/>
                <v:fill type="solid"/>
              </v:shape>
            </v:group>
            <v:group style="position:absolute;left:5419;top:2156;width:236;height:1619" coordorigin="5419,2156" coordsize="236,1619">
              <v:shape style="position:absolute;left:5419;top:2156;width:236;height:1619" coordorigin="5419,2156" coordsize="236,1619" path="m5655,2156l5419,2156,5419,3774,5655,3774,5655,2156xe" filled="true" fillcolor="#a99bbc" stroked="false">
                <v:path arrowok="t"/>
                <v:fill type="solid"/>
              </v:shape>
            </v:group>
            <v:group style="position:absolute;left:7510;top:3780;width:236;height:2" coordorigin="7510,3780" coordsize="236,2">
              <v:shape style="position:absolute;left:7510;top:3780;width:236;height:2" coordorigin="7510,3780" coordsize="236,0" path="m7510,3780l7746,3780e" filled="false" stroked="true" strokeweight=".654pt" strokecolor="#a99bbc">
                <v:path arrowok="t"/>
              </v:shape>
            </v:group>
            <v:group style="position:absolute;left:6465;top:3780;width:236;height:2" coordorigin="6465,3780" coordsize="236,2">
              <v:shape style="position:absolute;left:6465;top:3780;width:236;height:2" coordorigin="6465,3780" coordsize="236,0" path="m6465,3780l6700,3780e" filled="false" stroked="true" strokeweight=".654pt" strokecolor="#a99bbc">
                <v:path arrowok="t"/>
              </v:shape>
            </v:group>
            <v:group style="position:absolute;left:4866;top:3773;width:3136;height:2" coordorigin="4866,3773" coordsize="3136,2">
              <v:shape style="position:absolute;left:4866;top:3773;width:3136;height:2" coordorigin="4866,3773" coordsize="3136,0" path="m4866,3773l8001,3773e" filled="false" stroked="true" strokeweight=".694pt" strokecolor="#dcddde">
                <v:path arrowok="t"/>
              </v:shape>
            </v:group>
            <v:group style="position:absolute;left:4690;top:4325;width:89;height:2" coordorigin="4690,4325" coordsize="89,2">
              <v:shape style="position:absolute;left:4690;top:4325;width:89;height:2" coordorigin="4690,4325" coordsize="89,0" path="m4690,4325l4779,4325e" filled="false" stroked="true" strokeweight="4.531pt" strokecolor="#715990">
                <v:path arrowok="t"/>
              </v:shape>
            </v:group>
            <v:group style="position:absolute;left:6261;top:4325;width:89;height:2" coordorigin="6261,4325" coordsize="89,2">
              <v:shape style="position:absolute;left:6261;top:4325;width:89;height:2" coordorigin="6261,4325" coordsize="89,0" path="m6261,4325l6350,4325e" filled="false" stroked="true" strokeweight="4.531pt" strokecolor="#a99bbc">
                <v:path arrowok="t"/>
              </v:shape>
              <v:shape style="position:absolute;left:286;top:298;width:7787;height:360" type="#_x0000_t202" filled="false" stroked="false">
                <v:textbox inset="0,0,0,0">
                  <w:txbxContent>
                    <w:p>
                      <w:pPr>
                        <w:spacing w:line="164" w:lineRule="exact" w:before="0"/>
                        <w:ind w:left="0" w:right="0" w:firstLine="0"/>
                        <w:jc w:val="left"/>
                        <w:rPr>
                          <w:rFonts w:ascii="Segoe UI Semibold" w:hAnsi="Segoe UI Semibold" w:cs="Segoe UI Semibold" w:eastAsia="Segoe UI Semibold"/>
                          <w:sz w:val="16"/>
                          <w:szCs w:val="16"/>
                        </w:rPr>
                      </w:pPr>
                      <w:r>
                        <w:rPr>
                          <w:rFonts w:ascii="Segoe UI Semibold"/>
                          <w:b/>
                          <w:color w:val="666155"/>
                          <w:spacing w:val="4"/>
                          <w:sz w:val="16"/>
                        </w:rPr>
                        <w:t>GRAPH</w:t>
                      </w:r>
                      <w:r>
                        <w:rPr>
                          <w:rFonts w:ascii="Segoe UI Semibold"/>
                          <w:b/>
                          <w:color w:val="666155"/>
                          <w:spacing w:val="-3"/>
                          <w:sz w:val="16"/>
                        </w:rPr>
                        <w:t> </w:t>
                      </w:r>
                      <w:r>
                        <w:rPr>
                          <w:rFonts w:ascii="Segoe UI Semibold"/>
                          <w:b/>
                          <w:color w:val="666155"/>
                          <w:sz w:val="16"/>
                        </w:rPr>
                        <w:t>22:</w:t>
                      </w:r>
                      <w:r>
                        <w:rPr>
                          <w:rFonts w:ascii="Segoe UI Semibold"/>
                          <w:b/>
                          <w:color w:val="666155"/>
                          <w:spacing w:val="-3"/>
                          <w:sz w:val="16"/>
                        </w:rPr>
                        <w:t> </w:t>
                      </w:r>
                      <w:r>
                        <w:rPr>
                          <w:rFonts w:ascii="Segoe UI Semibold"/>
                          <w:b/>
                          <w:color w:val="666155"/>
                          <w:spacing w:val="3"/>
                          <w:sz w:val="16"/>
                        </w:rPr>
                        <w:t>EDUCATIONAL</w:t>
                      </w:r>
                      <w:r>
                        <w:rPr>
                          <w:rFonts w:ascii="Segoe UI Semibold"/>
                          <w:b/>
                          <w:color w:val="666155"/>
                          <w:sz w:val="16"/>
                        </w:rPr>
                        <w:t> </w:t>
                      </w:r>
                      <w:r>
                        <w:rPr>
                          <w:rFonts w:ascii="Segoe UI Semibold"/>
                          <w:b/>
                          <w:color w:val="666155"/>
                          <w:spacing w:val="2"/>
                          <w:sz w:val="16"/>
                        </w:rPr>
                        <w:t>INDICATORS</w:t>
                      </w:r>
                      <w:r>
                        <w:rPr>
                          <w:rFonts w:ascii="Segoe UI Semibold"/>
                          <w:b/>
                          <w:color w:val="666155"/>
                          <w:sz w:val="16"/>
                        </w:rPr>
                        <w:t> </w:t>
                      </w:r>
                      <w:r>
                        <w:rPr>
                          <w:rFonts w:ascii="Segoe UI Semibold"/>
                          <w:b/>
                          <w:color w:val="666155"/>
                          <w:spacing w:val="3"/>
                          <w:sz w:val="16"/>
                        </w:rPr>
                        <w:t>FOR</w:t>
                      </w:r>
                      <w:r>
                        <w:rPr>
                          <w:rFonts w:ascii="Segoe UI Semibold"/>
                          <w:b/>
                          <w:color w:val="666155"/>
                          <w:spacing w:val="-1"/>
                          <w:sz w:val="16"/>
                        </w:rPr>
                        <w:t> </w:t>
                      </w:r>
                      <w:r>
                        <w:rPr>
                          <w:rFonts w:ascii="Segoe UI Semibold"/>
                          <w:b/>
                          <w:color w:val="666155"/>
                          <w:spacing w:val="4"/>
                          <w:sz w:val="16"/>
                        </w:rPr>
                        <w:t>ABORIGINAL</w:t>
                      </w:r>
                      <w:r>
                        <w:rPr>
                          <w:rFonts w:ascii="Segoe UI Semibold"/>
                          <w:b/>
                          <w:color w:val="666155"/>
                          <w:spacing w:val="1"/>
                          <w:sz w:val="16"/>
                        </w:rPr>
                        <w:t> </w:t>
                      </w:r>
                      <w:r>
                        <w:rPr>
                          <w:rFonts w:ascii="Segoe UI Semibold"/>
                          <w:b/>
                          <w:color w:val="666155"/>
                          <w:spacing w:val="3"/>
                          <w:sz w:val="16"/>
                        </w:rPr>
                        <w:t>AND</w:t>
                      </w:r>
                      <w:r>
                        <w:rPr>
                          <w:rFonts w:ascii="Segoe UI Semibold"/>
                          <w:b/>
                          <w:color w:val="666155"/>
                          <w:sz w:val="16"/>
                        </w:rPr>
                        <w:t> </w:t>
                      </w:r>
                      <w:r>
                        <w:rPr>
                          <w:rFonts w:ascii="Segoe UI Semibold"/>
                          <w:b/>
                          <w:color w:val="666155"/>
                          <w:spacing w:val="3"/>
                          <w:sz w:val="16"/>
                        </w:rPr>
                        <w:t>TORRES</w:t>
                      </w:r>
                      <w:r>
                        <w:rPr>
                          <w:rFonts w:ascii="Segoe UI Semibold"/>
                          <w:b/>
                          <w:color w:val="666155"/>
                          <w:sz w:val="16"/>
                        </w:rPr>
                        <w:t> </w:t>
                      </w:r>
                      <w:r>
                        <w:rPr>
                          <w:rFonts w:ascii="Segoe UI Semibold"/>
                          <w:b/>
                          <w:color w:val="666155"/>
                          <w:spacing w:val="4"/>
                          <w:sz w:val="16"/>
                        </w:rPr>
                        <w:t>STRAIT</w:t>
                      </w:r>
                      <w:r>
                        <w:rPr>
                          <w:rFonts w:ascii="Segoe UI Semibold"/>
                          <w:b/>
                          <w:color w:val="666155"/>
                          <w:sz w:val="16"/>
                        </w:rPr>
                        <w:t> </w:t>
                      </w:r>
                      <w:r>
                        <w:rPr>
                          <w:rFonts w:ascii="Segoe UI Semibold"/>
                          <w:b/>
                          <w:color w:val="666155"/>
                          <w:spacing w:val="4"/>
                          <w:sz w:val="16"/>
                        </w:rPr>
                        <w:t>ISLANDER</w:t>
                      </w:r>
                      <w:r>
                        <w:rPr>
                          <w:rFonts w:ascii="Segoe UI Semibold"/>
                          <w:b/>
                          <w:color w:val="666155"/>
                          <w:spacing w:val="-1"/>
                          <w:sz w:val="16"/>
                        </w:rPr>
                        <w:t> </w:t>
                      </w:r>
                      <w:r>
                        <w:rPr>
                          <w:rFonts w:ascii="Segoe UI Semibold"/>
                          <w:b/>
                          <w:color w:val="666155"/>
                          <w:spacing w:val="4"/>
                          <w:sz w:val="16"/>
                        </w:rPr>
                        <w:t>BOARDERS</w:t>
                      </w:r>
                      <w:r>
                        <w:rPr>
                          <w:rFonts w:ascii="Segoe UI Semibold"/>
                          <w:sz w:val="16"/>
                        </w:rPr>
                      </w:r>
                    </w:p>
                    <w:p>
                      <w:pPr>
                        <w:spacing w:line="196" w:lineRule="exact" w:before="0"/>
                        <w:ind w:left="0" w:right="0" w:firstLine="0"/>
                        <w:jc w:val="left"/>
                        <w:rPr>
                          <w:rFonts w:ascii="Segoe UI Semibold" w:hAnsi="Segoe UI Semibold" w:cs="Segoe UI Semibold" w:eastAsia="Segoe UI Semibold"/>
                          <w:sz w:val="16"/>
                          <w:szCs w:val="16"/>
                        </w:rPr>
                      </w:pPr>
                      <w:r>
                        <w:rPr>
                          <w:rFonts w:ascii="Segoe UI Semibold"/>
                          <w:b/>
                          <w:color w:val="666155"/>
                          <w:sz w:val="16"/>
                        </w:rPr>
                        <w:t>BY </w:t>
                      </w:r>
                      <w:r>
                        <w:rPr>
                          <w:rFonts w:ascii="Segoe UI Semibold"/>
                          <w:b/>
                          <w:color w:val="666155"/>
                          <w:spacing w:val="4"/>
                          <w:sz w:val="16"/>
                        </w:rPr>
                        <w:t>PROPORTION</w:t>
                      </w:r>
                      <w:r>
                        <w:rPr>
                          <w:rFonts w:ascii="Segoe UI Semibold"/>
                          <w:b/>
                          <w:color w:val="666155"/>
                          <w:spacing w:val="1"/>
                          <w:sz w:val="16"/>
                        </w:rPr>
                        <w:t> </w:t>
                      </w:r>
                      <w:r>
                        <w:rPr>
                          <w:rFonts w:ascii="Segoe UI Semibold"/>
                          <w:b/>
                          <w:color w:val="666155"/>
                          <w:spacing w:val="2"/>
                          <w:sz w:val="16"/>
                        </w:rPr>
                        <w:t>OF</w:t>
                      </w:r>
                      <w:r>
                        <w:rPr>
                          <w:rFonts w:ascii="Segoe UI Semibold"/>
                          <w:b/>
                          <w:color w:val="666155"/>
                          <w:spacing w:val="1"/>
                          <w:sz w:val="16"/>
                        </w:rPr>
                        <w:t> </w:t>
                      </w:r>
                      <w:r>
                        <w:rPr>
                          <w:rFonts w:ascii="Segoe UI Semibold"/>
                          <w:b/>
                          <w:color w:val="666155"/>
                          <w:spacing w:val="4"/>
                          <w:sz w:val="16"/>
                        </w:rPr>
                        <w:t>ABORIGINAL</w:t>
                      </w:r>
                      <w:r>
                        <w:rPr>
                          <w:rFonts w:ascii="Segoe UI Semibold"/>
                          <w:b/>
                          <w:color w:val="666155"/>
                          <w:spacing w:val="1"/>
                          <w:sz w:val="16"/>
                        </w:rPr>
                        <w:t> </w:t>
                      </w:r>
                      <w:r>
                        <w:rPr>
                          <w:rFonts w:ascii="Segoe UI Semibold"/>
                          <w:b/>
                          <w:color w:val="666155"/>
                          <w:spacing w:val="3"/>
                          <w:sz w:val="16"/>
                        </w:rPr>
                        <w:t>AND</w:t>
                      </w:r>
                      <w:r>
                        <w:rPr>
                          <w:rFonts w:ascii="Segoe UI Semibold"/>
                          <w:b/>
                          <w:color w:val="666155"/>
                          <w:spacing w:val="1"/>
                          <w:sz w:val="16"/>
                        </w:rPr>
                        <w:t> </w:t>
                      </w:r>
                      <w:r>
                        <w:rPr>
                          <w:rFonts w:ascii="Segoe UI Semibold"/>
                          <w:b/>
                          <w:color w:val="666155"/>
                          <w:spacing w:val="3"/>
                          <w:sz w:val="16"/>
                        </w:rPr>
                        <w:t>TORRES</w:t>
                      </w:r>
                      <w:r>
                        <w:rPr>
                          <w:rFonts w:ascii="Segoe UI Semibold"/>
                          <w:b/>
                          <w:color w:val="666155"/>
                          <w:spacing w:val="1"/>
                          <w:sz w:val="16"/>
                        </w:rPr>
                        <w:t> </w:t>
                      </w:r>
                      <w:r>
                        <w:rPr>
                          <w:rFonts w:ascii="Segoe UI Semibold"/>
                          <w:b/>
                          <w:color w:val="666155"/>
                          <w:spacing w:val="4"/>
                          <w:sz w:val="16"/>
                        </w:rPr>
                        <w:t>STRAIT</w:t>
                      </w:r>
                      <w:r>
                        <w:rPr>
                          <w:rFonts w:ascii="Segoe UI Semibold"/>
                          <w:b/>
                          <w:color w:val="666155"/>
                          <w:spacing w:val="1"/>
                          <w:sz w:val="16"/>
                        </w:rPr>
                        <w:t> </w:t>
                      </w:r>
                      <w:r>
                        <w:rPr>
                          <w:rFonts w:ascii="Segoe UI Semibold"/>
                          <w:b/>
                          <w:color w:val="666155"/>
                          <w:spacing w:val="4"/>
                          <w:sz w:val="16"/>
                        </w:rPr>
                        <w:t>ISLANDER</w:t>
                      </w:r>
                      <w:r>
                        <w:rPr>
                          <w:rFonts w:ascii="Segoe UI Semibold"/>
                          <w:b/>
                          <w:color w:val="666155"/>
                          <w:spacing w:val="1"/>
                          <w:sz w:val="16"/>
                        </w:rPr>
                        <w:t> </w:t>
                      </w:r>
                      <w:r>
                        <w:rPr>
                          <w:rFonts w:ascii="Segoe UI Semibold"/>
                          <w:b/>
                          <w:color w:val="666155"/>
                          <w:spacing w:val="5"/>
                          <w:sz w:val="16"/>
                        </w:rPr>
                        <w:t>STUDENTS</w:t>
                      </w:r>
                      <w:r>
                        <w:rPr>
                          <w:rFonts w:ascii="Segoe UI Semibold"/>
                          <w:sz w:val="16"/>
                        </w:rPr>
                      </w:r>
                    </w:p>
                  </w:txbxContent>
                </v:textbox>
                <w10:wrap type="none"/>
              </v:shape>
              <v:shape style="position:absolute;left:1350;top:1014;width:2811;height:651" type="#_x0000_t202" filled="false" stroked="false">
                <v:textbox inset="0,0,0,0">
                  <w:txbxContent>
                    <w:p>
                      <w:pPr>
                        <w:spacing w:line="178" w:lineRule="exact" w:before="0"/>
                        <w:ind w:left="0" w:right="0" w:firstLine="62"/>
                        <w:jc w:val="left"/>
                        <w:rPr>
                          <w:rFonts w:ascii="Segoe UI" w:hAnsi="Segoe UI" w:cs="Segoe UI" w:eastAsia="Segoe UI"/>
                          <w:sz w:val="17"/>
                          <w:szCs w:val="17"/>
                        </w:rPr>
                      </w:pPr>
                      <w:r>
                        <w:rPr>
                          <w:rFonts w:ascii="Segoe UI"/>
                          <w:color w:val="77787B"/>
                          <w:w w:val="105"/>
                          <w:sz w:val="17"/>
                        </w:rPr>
                        <w:t>NAPLAN</w:t>
                      </w:r>
                      <w:r>
                        <w:rPr>
                          <w:rFonts w:ascii="Segoe UI"/>
                          <w:color w:val="77787B"/>
                          <w:spacing w:val="-11"/>
                          <w:w w:val="105"/>
                          <w:sz w:val="17"/>
                        </w:rPr>
                        <w:t> </w:t>
                      </w:r>
                      <w:r>
                        <w:rPr>
                          <w:rFonts w:ascii="Segoe UI"/>
                          <w:color w:val="77787B"/>
                          <w:w w:val="105"/>
                          <w:sz w:val="17"/>
                        </w:rPr>
                        <w:t>average</w:t>
                      </w:r>
                      <w:r>
                        <w:rPr>
                          <w:rFonts w:ascii="Segoe UI"/>
                          <w:color w:val="77787B"/>
                          <w:spacing w:val="-10"/>
                          <w:w w:val="105"/>
                          <w:sz w:val="17"/>
                        </w:rPr>
                        <w:t> </w:t>
                      </w:r>
                      <w:r>
                        <w:rPr>
                          <w:rFonts w:ascii="Segoe UI"/>
                          <w:color w:val="77787B"/>
                          <w:w w:val="105"/>
                          <w:sz w:val="17"/>
                        </w:rPr>
                        <w:t>by</w:t>
                      </w:r>
                      <w:r>
                        <w:rPr>
                          <w:rFonts w:ascii="Segoe UI"/>
                          <w:color w:val="77787B"/>
                          <w:spacing w:val="-6"/>
                          <w:w w:val="105"/>
                          <w:sz w:val="17"/>
                        </w:rPr>
                        <w:t> </w:t>
                      </w:r>
                      <w:r>
                        <w:rPr>
                          <w:rFonts w:ascii="Segoe UI"/>
                          <w:color w:val="77787B"/>
                          <w:w w:val="105"/>
                          <w:sz w:val="17"/>
                        </w:rPr>
                        <w:t>proportion</w:t>
                      </w:r>
                      <w:r>
                        <w:rPr>
                          <w:rFonts w:ascii="Segoe UI"/>
                          <w:color w:val="77787B"/>
                          <w:spacing w:val="-7"/>
                          <w:w w:val="105"/>
                          <w:sz w:val="17"/>
                        </w:rPr>
                        <w:t> </w:t>
                      </w:r>
                      <w:r>
                        <w:rPr>
                          <w:rFonts w:ascii="Segoe UI"/>
                          <w:color w:val="77787B"/>
                          <w:w w:val="105"/>
                          <w:sz w:val="17"/>
                        </w:rPr>
                        <w:t>of</w:t>
                      </w:r>
                      <w:r>
                        <w:rPr>
                          <w:rFonts w:ascii="Segoe UI"/>
                          <w:sz w:val="17"/>
                        </w:rPr>
                      </w:r>
                    </w:p>
                    <w:p>
                      <w:pPr>
                        <w:spacing w:line="249" w:lineRule="auto" w:before="11"/>
                        <w:ind w:left="1072" w:right="0" w:hanging="1073"/>
                        <w:jc w:val="left"/>
                        <w:rPr>
                          <w:rFonts w:ascii="Segoe UI" w:hAnsi="Segoe UI" w:cs="Segoe UI" w:eastAsia="Segoe UI"/>
                          <w:sz w:val="17"/>
                          <w:szCs w:val="17"/>
                        </w:rPr>
                      </w:pPr>
                      <w:r>
                        <w:rPr>
                          <w:rFonts w:ascii="Segoe UI"/>
                          <w:color w:val="77787B"/>
                          <w:w w:val="105"/>
                          <w:sz w:val="17"/>
                        </w:rPr>
                        <w:t>Aboriginal</w:t>
                      </w:r>
                      <w:r>
                        <w:rPr>
                          <w:rFonts w:ascii="Segoe UI"/>
                          <w:color w:val="77787B"/>
                          <w:spacing w:val="-7"/>
                          <w:w w:val="105"/>
                          <w:sz w:val="17"/>
                        </w:rPr>
                        <w:t> </w:t>
                      </w:r>
                      <w:r>
                        <w:rPr>
                          <w:rFonts w:ascii="Segoe UI"/>
                          <w:color w:val="77787B"/>
                          <w:w w:val="105"/>
                          <w:sz w:val="17"/>
                        </w:rPr>
                        <w:t>and</w:t>
                      </w:r>
                      <w:r>
                        <w:rPr>
                          <w:rFonts w:ascii="Segoe UI"/>
                          <w:color w:val="77787B"/>
                          <w:spacing w:val="-7"/>
                          <w:w w:val="105"/>
                          <w:sz w:val="17"/>
                        </w:rPr>
                        <w:t> </w:t>
                      </w:r>
                      <w:r>
                        <w:rPr>
                          <w:rFonts w:ascii="Segoe UI"/>
                          <w:color w:val="77787B"/>
                          <w:w w:val="105"/>
                          <w:sz w:val="17"/>
                        </w:rPr>
                        <w:t>Torres</w:t>
                      </w:r>
                      <w:r>
                        <w:rPr>
                          <w:rFonts w:ascii="Segoe UI"/>
                          <w:color w:val="77787B"/>
                          <w:spacing w:val="-10"/>
                          <w:w w:val="105"/>
                          <w:sz w:val="17"/>
                        </w:rPr>
                        <w:t> </w:t>
                      </w:r>
                      <w:r>
                        <w:rPr>
                          <w:rFonts w:ascii="Segoe UI"/>
                          <w:color w:val="77787B"/>
                          <w:w w:val="105"/>
                          <w:sz w:val="17"/>
                        </w:rPr>
                        <w:t>Strait</w:t>
                      </w:r>
                      <w:r>
                        <w:rPr>
                          <w:rFonts w:ascii="Segoe UI"/>
                          <w:color w:val="77787B"/>
                          <w:spacing w:val="-9"/>
                          <w:w w:val="105"/>
                          <w:sz w:val="17"/>
                        </w:rPr>
                        <w:t> </w:t>
                      </w:r>
                      <w:r>
                        <w:rPr>
                          <w:rFonts w:ascii="Segoe UI"/>
                          <w:color w:val="77787B"/>
                          <w:spacing w:val="-1"/>
                          <w:w w:val="105"/>
                          <w:sz w:val="17"/>
                        </w:rPr>
                        <w:t>Islander</w:t>
                      </w:r>
                      <w:r>
                        <w:rPr>
                          <w:rFonts w:ascii="Segoe UI"/>
                          <w:color w:val="77787B"/>
                          <w:spacing w:val="20"/>
                          <w:w w:val="104"/>
                          <w:sz w:val="17"/>
                        </w:rPr>
                        <w:t> </w:t>
                      </w:r>
                      <w:r>
                        <w:rPr>
                          <w:rFonts w:ascii="Segoe UI"/>
                          <w:color w:val="77787B"/>
                          <w:spacing w:val="-1"/>
                          <w:w w:val="105"/>
                          <w:sz w:val="17"/>
                        </w:rPr>
                        <w:t>students</w:t>
                      </w:r>
                      <w:r>
                        <w:rPr>
                          <w:rFonts w:ascii="Segoe UI"/>
                          <w:sz w:val="17"/>
                        </w:rPr>
                      </w:r>
                    </w:p>
                  </w:txbxContent>
                </v:textbox>
                <w10:wrap type="none"/>
              </v:shape>
              <v:shape style="position:absolute;left:5079;top:980;width:2701;height:651" type="#_x0000_t202" filled="false" stroked="false">
                <v:textbox inset="0,0,0,0">
                  <w:txbxContent>
                    <w:p>
                      <w:pPr>
                        <w:spacing w:line="178" w:lineRule="exact" w:before="0"/>
                        <w:ind w:left="0" w:right="0" w:firstLine="0"/>
                        <w:jc w:val="center"/>
                        <w:rPr>
                          <w:rFonts w:ascii="Segoe UI" w:hAnsi="Segoe UI" w:cs="Segoe UI" w:eastAsia="Segoe UI"/>
                          <w:sz w:val="17"/>
                          <w:szCs w:val="17"/>
                        </w:rPr>
                      </w:pPr>
                      <w:r>
                        <w:rPr>
                          <w:rFonts w:ascii="Segoe UI"/>
                          <w:color w:val="77787B"/>
                          <w:w w:val="105"/>
                          <w:sz w:val="17"/>
                        </w:rPr>
                        <w:t>Average</w:t>
                      </w:r>
                      <w:r>
                        <w:rPr>
                          <w:rFonts w:ascii="Segoe UI"/>
                          <w:color w:val="77787B"/>
                          <w:spacing w:val="-13"/>
                          <w:w w:val="105"/>
                          <w:sz w:val="17"/>
                        </w:rPr>
                        <w:t> </w:t>
                      </w:r>
                      <w:r>
                        <w:rPr>
                          <w:rFonts w:ascii="Segoe UI"/>
                          <w:color w:val="77787B"/>
                          <w:w w:val="105"/>
                          <w:sz w:val="17"/>
                        </w:rPr>
                        <w:t>attendance</w:t>
                      </w:r>
                      <w:r>
                        <w:rPr>
                          <w:rFonts w:ascii="Segoe UI"/>
                          <w:color w:val="77787B"/>
                          <w:spacing w:val="-8"/>
                          <w:w w:val="105"/>
                          <w:sz w:val="17"/>
                        </w:rPr>
                        <w:t> </w:t>
                      </w:r>
                      <w:r>
                        <w:rPr>
                          <w:rFonts w:ascii="Segoe UI"/>
                          <w:color w:val="77787B"/>
                          <w:w w:val="105"/>
                          <w:sz w:val="17"/>
                        </w:rPr>
                        <w:t>by</w:t>
                      </w:r>
                      <w:r>
                        <w:rPr>
                          <w:rFonts w:ascii="Segoe UI"/>
                          <w:color w:val="77787B"/>
                          <w:spacing w:val="-9"/>
                          <w:w w:val="105"/>
                          <w:sz w:val="17"/>
                        </w:rPr>
                        <w:t> </w:t>
                      </w:r>
                      <w:r>
                        <w:rPr>
                          <w:rFonts w:ascii="Segoe UI"/>
                          <w:color w:val="77787B"/>
                          <w:w w:val="105"/>
                          <w:sz w:val="17"/>
                        </w:rPr>
                        <w:t>proportion</w:t>
                      </w:r>
                      <w:r>
                        <w:rPr>
                          <w:rFonts w:ascii="Segoe UI"/>
                          <w:sz w:val="17"/>
                        </w:rPr>
                      </w:r>
                    </w:p>
                    <w:p>
                      <w:pPr>
                        <w:spacing w:line="249" w:lineRule="auto" w:before="11"/>
                        <w:ind w:left="170" w:right="164" w:firstLine="0"/>
                        <w:jc w:val="center"/>
                        <w:rPr>
                          <w:rFonts w:ascii="Segoe UI" w:hAnsi="Segoe UI" w:cs="Segoe UI" w:eastAsia="Segoe UI"/>
                          <w:sz w:val="17"/>
                          <w:szCs w:val="17"/>
                        </w:rPr>
                      </w:pPr>
                      <w:r>
                        <w:rPr>
                          <w:rFonts w:ascii="Segoe UI"/>
                          <w:color w:val="77787B"/>
                          <w:w w:val="105"/>
                          <w:sz w:val="17"/>
                        </w:rPr>
                        <w:t>of</w:t>
                      </w:r>
                      <w:r>
                        <w:rPr>
                          <w:rFonts w:ascii="Segoe UI"/>
                          <w:color w:val="77787B"/>
                          <w:spacing w:val="-6"/>
                          <w:w w:val="105"/>
                          <w:sz w:val="17"/>
                        </w:rPr>
                        <w:t> </w:t>
                      </w:r>
                      <w:r>
                        <w:rPr>
                          <w:rFonts w:ascii="Segoe UI"/>
                          <w:color w:val="77787B"/>
                          <w:w w:val="105"/>
                          <w:sz w:val="17"/>
                        </w:rPr>
                        <w:t>Aboriginal</w:t>
                      </w:r>
                      <w:r>
                        <w:rPr>
                          <w:rFonts w:ascii="Segoe UI"/>
                          <w:color w:val="77787B"/>
                          <w:spacing w:val="-5"/>
                          <w:w w:val="105"/>
                          <w:sz w:val="17"/>
                        </w:rPr>
                        <w:t> </w:t>
                      </w:r>
                      <w:r>
                        <w:rPr>
                          <w:rFonts w:ascii="Segoe UI"/>
                          <w:color w:val="77787B"/>
                          <w:w w:val="105"/>
                          <w:sz w:val="17"/>
                        </w:rPr>
                        <w:t>and</w:t>
                      </w:r>
                      <w:r>
                        <w:rPr>
                          <w:rFonts w:ascii="Segoe UI"/>
                          <w:color w:val="77787B"/>
                          <w:spacing w:val="-6"/>
                          <w:w w:val="105"/>
                          <w:sz w:val="17"/>
                        </w:rPr>
                        <w:t> </w:t>
                      </w:r>
                      <w:r>
                        <w:rPr>
                          <w:rFonts w:ascii="Segoe UI"/>
                          <w:color w:val="77787B"/>
                          <w:w w:val="105"/>
                          <w:sz w:val="17"/>
                        </w:rPr>
                        <w:t>Torres</w:t>
                      </w:r>
                      <w:r>
                        <w:rPr>
                          <w:rFonts w:ascii="Segoe UI"/>
                          <w:color w:val="77787B"/>
                          <w:spacing w:val="-6"/>
                          <w:w w:val="105"/>
                          <w:sz w:val="17"/>
                        </w:rPr>
                        <w:t> </w:t>
                      </w:r>
                      <w:r>
                        <w:rPr>
                          <w:rFonts w:ascii="Segoe UI"/>
                          <w:color w:val="77787B"/>
                          <w:w w:val="105"/>
                          <w:sz w:val="17"/>
                        </w:rPr>
                        <w:t>Strait</w:t>
                      </w:r>
                      <w:r>
                        <w:rPr>
                          <w:rFonts w:ascii="Segoe UI"/>
                          <w:color w:val="77787B"/>
                          <w:w w:val="104"/>
                          <w:sz w:val="17"/>
                        </w:rPr>
                        <w:t> </w:t>
                      </w:r>
                      <w:r>
                        <w:rPr>
                          <w:rFonts w:ascii="Segoe UI"/>
                          <w:color w:val="77787B"/>
                          <w:spacing w:val="-1"/>
                          <w:w w:val="105"/>
                          <w:sz w:val="17"/>
                        </w:rPr>
                        <w:t>Islander</w:t>
                      </w:r>
                      <w:r>
                        <w:rPr>
                          <w:rFonts w:ascii="Segoe UI"/>
                          <w:color w:val="77787B"/>
                          <w:spacing w:val="-14"/>
                          <w:w w:val="105"/>
                          <w:sz w:val="17"/>
                        </w:rPr>
                        <w:t> </w:t>
                      </w:r>
                      <w:r>
                        <w:rPr>
                          <w:rFonts w:ascii="Segoe UI"/>
                          <w:color w:val="77787B"/>
                          <w:spacing w:val="-1"/>
                          <w:w w:val="105"/>
                          <w:sz w:val="17"/>
                        </w:rPr>
                        <w:t>students</w:t>
                      </w:r>
                      <w:r>
                        <w:rPr>
                          <w:rFonts w:ascii="Segoe UI"/>
                          <w:sz w:val="17"/>
                        </w:rPr>
                      </w:r>
                    </w:p>
                  </w:txbxContent>
                </v:textbox>
                <w10:wrap type="none"/>
              </v:shape>
              <v:shape style="position:absolute;left:570;top:1765;width:4200;height:635" type="#_x0000_t202" filled="false" stroked="false">
                <v:textbox inset="0,0,0,0">
                  <w:txbxContent>
                    <w:p>
                      <w:pPr>
                        <w:tabs>
                          <w:tab w:pos="3838" w:val="left" w:leader="none"/>
                        </w:tabs>
                        <w:spacing w:line="153" w:lineRule="exact" w:before="0"/>
                        <w:ind w:left="0" w:right="0" w:firstLine="0"/>
                        <w:jc w:val="right"/>
                        <w:rPr>
                          <w:rFonts w:ascii="Segoe UI" w:hAnsi="Segoe UI" w:cs="Segoe UI" w:eastAsia="Segoe UI"/>
                          <w:sz w:val="15"/>
                          <w:szCs w:val="15"/>
                        </w:rPr>
                      </w:pPr>
                      <w:r>
                        <w:rPr>
                          <w:rFonts w:ascii="Segoe UI"/>
                          <w:color w:val="77787B"/>
                          <w:spacing w:val="-1"/>
                          <w:w w:val="95"/>
                          <w:sz w:val="15"/>
                        </w:rPr>
                        <w:t>600</w:t>
                        <w:tab/>
                        <w:t>100%</w:t>
                      </w:r>
                      <w:r>
                        <w:rPr>
                          <w:rFonts w:ascii="Segoe UI"/>
                          <w:sz w:val="15"/>
                        </w:rPr>
                      </w:r>
                    </w:p>
                    <w:p>
                      <w:pPr>
                        <w:spacing w:line="186" w:lineRule="exact" w:before="111"/>
                        <w:ind w:left="0" w:right="0" w:firstLine="0"/>
                        <w:jc w:val="left"/>
                        <w:rPr>
                          <w:rFonts w:ascii="Segoe UI" w:hAnsi="Segoe UI" w:cs="Segoe UI" w:eastAsia="Segoe UI"/>
                          <w:sz w:val="15"/>
                          <w:szCs w:val="15"/>
                        </w:rPr>
                      </w:pPr>
                      <w:r>
                        <w:rPr>
                          <w:rFonts w:ascii="Segoe UI"/>
                          <w:color w:val="77787B"/>
                          <w:spacing w:val="-1"/>
                          <w:sz w:val="15"/>
                        </w:rPr>
                        <w:t>550</w:t>
                      </w:r>
                      <w:r>
                        <w:rPr>
                          <w:rFonts w:ascii="Segoe UI"/>
                          <w:sz w:val="15"/>
                        </w:rPr>
                      </w:r>
                    </w:p>
                    <w:p>
                      <w:pPr>
                        <w:spacing w:line="184" w:lineRule="exact" w:before="0"/>
                        <w:ind w:left="0" w:right="0" w:firstLine="0"/>
                        <w:jc w:val="right"/>
                        <w:rPr>
                          <w:rFonts w:ascii="Segoe UI" w:hAnsi="Segoe UI" w:cs="Segoe UI" w:eastAsia="Segoe UI"/>
                          <w:sz w:val="15"/>
                          <w:szCs w:val="15"/>
                        </w:rPr>
                      </w:pPr>
                      <w:r>
                        <w:rPr>
                          <w:rFonts w:ascii="Segoe UI"/>
                          <w:color w:val="77787B"/>
                          <w:spacing w:val="-1"/>
                          <w:w w:val="95"/>
                          <w:sz w:val="15"/>
                        </w:rPr>
                        <w:t>90%</w:t>
                      </w:r>
                      <w:r>
                        <w:rPr>
                          <w:rFonts w:ascii="Segoe UI"/>
                          <w:sz w:val="15"/>
                        </w:rPr>
                      </w:r>
                    </w:p>
                  </w:txbxContent>
                </v:textbox>
                <w10:wrap type="none"/>
              </v:shape>
              <v:shape style="position:absolute;left:570;top:2389;width:240;height:460" type="#_x0000_t202" filled="false" stroked="false">
                <v:textbox inset="0,0,0,0">
                  <w:txbxContent>
                    <w:p>
                      <w:pPr>
                        <w:spacing w:line="151" w:lineRule="exact" w:before="0"/>
                        <w:ind w:left="0" w:right="0" w:firstLine="0"/>
                        <w:jc w:val="left"/>
                        <w:rPr>
                          <w:rFonts w:ascii="Segoe UI" w:hAnsi="Segoe UI" w:cs="Segoe UI" w:eastAsia="Segoe UI"/>
                          <w:sz w:val="15"/>
                          <w:szCs w:val="15"/>
                        </w:rPr>
                      </w:pPr>
                      <w:r>
                        <w:rPr>
                          <w:rFonts w:ascii="Segoe UI"/>
                          <w:color w:val="77787B"/>
                          <w:spacing w:val="-1"/>
                          <w:w w:val="95"/>
                          <w:sz w:val="15"/>
                        </w:rPr>
                        <w:t>500</w:t>
                      </w:r>
                      <w:r>
                        <w:rPr>
                          <w:rFonts w:ascii="Segoe UI"/>
                          <w:sz w:val="15"/>
                        </w:rPr>
                      </w:r>
                    </w:p>
                    <w:p>
                      <w:pPr>
                        <w:spacing w:line="198" w:lineRule="exact" w:before="111"/>
                        <w:ind w:left="0" w:right="0" w:firstLine="0"/>
                        <w:jc w:val="left"/>
                        <w:rPr>
                          <w:rFonts w:ascii="Segoe UI" w:hAnsi="Segoe UI" w:cs="Segoe UI" w:eastAsia="Segoe UI"/>
                          <w:sz w:val="15"/>
                          <w:szCs w:val="15"/>
                        </w:rPr>
                      </w:pPr>
                      <w:r>
                        <w:rPr>
                          <w:rFonts w:ascii="Segoe UI"/>
                          <w:color w:val="77787B"/>
                          <w:spacing w:val="-1"/>
                          <w:w w:val="95"/>
                          <w:sz w:val="15"/>
                        </w:rPr>
                        <w:t>450</w:t>
                      </w:r>
                      <w:r>
                        <w:rPr>
                          <w:rFonts w:ascii="Segoe UI"/>
                          <w:sz w:val="15"/>
                        </w:rPr>
                      </w:r>
                    </w:p>
                  </w:txbxContent>
                </v:textbox>
                <w10:wrap type="none"/>
              </v:shape>
              <v:shape style="position:absolute;left:4489;top:2737;width:282;height:149" type="#_x0000_t202" filled="false" stroked="false">
                <v:textbox inset="0,0,0,0">
                  <w:txbxContent>
                    <w:p>
                      <w:pPr>
                        <w:spacing w:line="149" w:lineRule="exact" w:before="0"/>
                        <w:ind w:left="0" w:right="0" w:firstLine="0"/>
                        <w:jc w:val="left"/>
                        <w:rPr>
                          <w:rFonts w:ascii="Segoe UI" w:hAnsi="Segoe UI" w:cs="Segoe UI" w:eastAsia="Segoe UI"/>
                          <w:sz w:val="15"/>
                          <w:szCs w:val="15"/>
                        </w:rPr>
                      </w:pPr>
                      <w:r>
                        <w:rPr>
                          <w:rFonts w:ascii="Segoe UI"/>
                          <w:color w:val="77787B"/>
                          <w:spacing w:val="-1"/>
                          <w:sz w:val="15"/>
                        </w:rPr>
                        <w:t>80%</w:t>
                      </w:r>
                      <w:r>
                        <w:rPr>
                          <w:rFonts w:ascii="Segoe UI"/>
                          <w:sz w:val="15"/>
                        </w:rPr>
                      </w:r>
                    </w:p>
                  </w:txbxContent>
                </v:textbox>
                <w10:wrap type="none"/>
              </v:shape>
              <v:shape style="position:absolute;left:570;top:3009;width:4200;height:460" type="#_x0000_t202" filled="false" stroked="false">
                <v:textbox inset="0,0,0,0">
                  <w:txbxContent>
                    <w:p>
                      <w:pPr>
                        <w:spacing w:line="151" w:lineRule="exact" w:before="0"/>
                        <w:ind w:left="0" w:right="0" w:firstLine="0"/>
                        <w:jc w:val="left"/>
                        <w:rPr>
                          <w:rFonts w:ascii="Segoe UI" w:hAnsi="Segoe UI" w:cs="Segoe UI" w:eastAsia="Segoe UI"/>
                          <w:sz w:val="15"/>
                          <w:szCs w:val="15"/>
                        </w:rPr>
                      </w:pPr>
                      <w:r>
                        <w:rPr>
                          <w:rFonts w:ascii="Segoe UI"/>
                          <w:color w:val="77787B"/>
                          <w:spacing w:val="-1"/>
                          <w:sz w:val="15"/>
                        </w:rPr>
                        <w:t>400</w:t>
                      </w:r>
                      <w:r>
                        <w:rPr>
                          <w:rFonts w:ascii="Segoe UI"/>
                          <w:sz w:val="15"/>
                        </w:rPr>
                      </w:r>
                    </w:p>
                    <w:p>
                      <w:pPr>
                        <w:tabs>
                          <w:tab w:pos="3918" w:val="left" w:leader="none"/>
                        </w:tabs>
                        <w:spacing w:line="294" w:lineRule="exact" w:before="14"/>
                        <w:ind w:left="0" w:right="0" w:firstLine="0"/>
                        <w:jc w:val="left"/>
                        <w:rPr>
                          <w:rFonts w:ascii="Segoe UI" w:hAnsi="Segoe UI" w:cs="Segoe UI" w:eastAsia="Segoe UI"/>
                          <w:sz w:val="15"/>
                          <w:szCs w:val="15"/>
                        </w:rPr>
                      </w:pPr>
                      <w:r>
                        <w:rPr>
                          <w:rFonts w:ascii="Segoe UI"/>
                          <w:color w:val="77787B"/>
                          <w:spacing w:val="-1"/>
                          <w:w w:val="95"/>
                          <w:position w:val="-9"/>
                          <w:sz w:val="15"/>
                        </w:rPr>
                        <w:t>350</w:t>
                        <w:tab/>
                      </w:r>
                      <w:r>
                        <w:rPr>
                          <w:rFonts w:ascii="Segoe UI"/>
                          <w:color w:val="77787B"/>
                          <w:spacing w:val="-1"/>
                          <w:sz w:val="15"/>
                        </w:rPr>
                        <w:t>70%</w:t>
                      </w:r>
                      <w:r>
                        <w:rPr>
                          <w:rFonts w:ascii="Segoe UI"/>
                          <w:sz w:val="15"/>
                        </w:rPr>
                      </w:r>
                    </w:p>
                  </w:txbxContent>
                </v:textbox>
                <w10:wrap type="none"/>
              </v:shape>
              <v:shape style="position:absolute;left:570;top:3630;width:240;height:149" type="#_x0000_t202" filled="false" stroked="false">
                <v:textbox inset="0,0,0,0">
                  <w:txbxContent>
                    <w:p>
                      <w:pPr>
                        <w:spacing w:line="149" w:lineRule="exact" w:before="0"/>
                        <w:ind w:left="0" w:right="0" w:firstLine="0"/>
                        <w:jc w:val="left"/>
                        <w:rPr>
                          <w:rFonts w:ascii="Segoe UI" w:hAnsi="Segoe UI" w:cs="Segoe UI" w:eastAsia="Segoe UI"/>
                          <w:sz w:val="15"/>
                          <w:szCs w:val="15"/>
                        </w:rPr>
                      </w:pPr>
                      <w:r>
                        <w:rPr>
                          <w:rFonts w:ascii="Segoe UI"/>
                          <w:color w:val="77787B"/>
                          <w:spacing w:val="-1"/>
                          <w:w w:val="95"/>
                          <w:sz w:val="15"/>
                        </w:rPr>
                        <w:t>300</w:t>
                      </w:r>
                      <w:r>
                        <w:rPr>
                          <w:rFonts w:ascii="Segoe UI"/>
                          <w:sz w:val="15"/>
                        </w:rPr>
                      </w:r>
                    </w:p>
                  </w:txbxContent>
                </v:textbox>
                <w10:wrap type="none"/>
              </v:shape>
              <v:shape style="position:absolute;left:4489;top:3709;width:282;height:149" type="#_x0000_t202" filled="false" stroked="false">
                <v:textbox inset="0,0,0,0">
                  <w:txbxContent>
                    <w:p>
                      <w:pPr>
                        <w:spacing w:line="149" w:lineRule="exact" w:before="0"/>
                        <w:ind w:left="0" w:right="0" w:firstLine="0"/>
                        <w:jc w:val="left"/>
                        <w:rPr>
                          <w:rFonts w:ascii="Segoe UI" w:hAnsi="Segoe UI" w:cs="Segoe UI" w:eastAsia="Segoe UI"/>
                          <w:sz w:val="15"/>
                          <w:szCs w:val="15"/>
                        </w:rPr>
                      </w:pPr>
                      <w:r>
                        <w:rPr>
                          <w:rFonts w:ascii="Segoe UI"/>
                          <w:color w:val="77787B"/>
                          <w:spacing w:val="-1"/>
                          <w:sz w:val="15"/>
                        </w:rPr>
                        <w:t>60%</w:t>
                      </w:r>
                      <w:r>
                        <w:rPr>
                          <w:rFonts w:ascii="Segoe UI"/>
                          <w:sz w:val="15"/>
                        </w:rPr>
                      </w:r>
                    </w:p>
                  </w:txbxContent>
                </v:textbox>
                <w10:wrap type="none"/>
              </v:shape>
              <v:shape style="position:absolute;left:1373;top:3847;width:264;height:149" type="#_x0000_t202" filled="false" stroked="false">
                <v:textbox inset="0,0,0,0">
                  <w:txbxContent>
                    <w:p>
                      <w:pPr>
                        <w:spacing w:line="149" w:lineRule="exact" w:before="0"/>
                        <w:ind w:left="0" w:right="0" w:firstLine="0"/>
                        <w:jc w:val="left"/>
                        <w:rPr>
                          <w:rFonts w:ascii="Segoe UI" w:hAnsi="Segoe UI" w:cs="Segoe UI" w:eastAsia="Segoe UI"/>
                          <w:sz w:val="15"/>
                          <w:szCs w:val="15"/>
                        </w:rPr>
                      </w:pPr>
                      <w:r>
                        <w:rPr>
                          <w:rFonts w:ascii="Segoe UI"/>
                          <w:color w:val="77787B"/>
                          <w:spacing w:val="-1"/>
                          <w:w w:val="95"/>
                          <w:sz w:val="15"/>
                        </w:rPr>
                        <w:t>Low</w:t>
                      </w:r>
                      <w:r>
                        <w:rPr>
                          <w:rFonts w:ascii="Segoe UI"/>
                          <w:sz w:val="15"/>
                        </w:rPr>
                      </w:r>
                    </w:p>
                  </w:txbxContent>
                </v:textbox>
                <w10:wrap type="none"/>
              </v:shape>
              <v:shape style="position:absolute;left:2318;top:3847;width:546;height:149" type="#_x0000_t202" filled="false" stroked="false">
                <v:textbox inset="0,0,0,0">
                  <w:txbxContent>
                    <w:p>
                      <w:pPr>
                        <w:spacing w:line="149" w:lineRule="exact" w:before="0"/>
                        <w:ind w:left="0" w:right="0" w:firstLine="0"/>
                        <w:jc w:val="left"/>
                        <w:rPr>
                          <w:rFonts w:ascii="Segoe UI" w:hAnsi="Segoe UI" w:cs="Segoe UI" w:eastAsia="Segoe UI"/>
                          <w:sz w:val="15"/>
                          <w:szCs w:val="15"/>
                        </w:rPr>
                      </w:pPr>
                      <w:r>
                        <w:rPr>
                          <w:rFonts w:ascii="Segoe UI"/>
                          <w:color w:val="77787B"/>
                          <w:spacing w:val="-1"/>
                          <w:w w:val="95"/>
                          <w:sz w:val="15"/>
                        </w:rPr>
                        <w:t>Medium</w:t>
                      </w:r>
                      <w:r>
                        <w:rPr>
                          <w:rFonts w:ascii="Segoe UI"/>
                          <w:sz w:val="15"/>
                        </w:rPr>
                      </w:r>
                    </w:p>
                  </w:txbxContent>
                </v:textbox>
                <w10:wrap type="none"/>
              </v:shape>
              <v:shape style="position:absolute;left:3520;top:3847;width:313;height:149" type="#_x0000_t202" filled="false" stroked="false">
                <v:textbox inset="0,0,0,0">
                  <w:txbxContent>
                    <w:p>
                      <w:pPr>
                        <w:spacing w:line="149" w:lineRule="exact" w:before="0"/>
                        <w:ind w:left="0" w:right="0" w:firstLine="0"/>
                        <w:jc w:val="left"/>
                        <w:rPr>
                          <w:rFonts w:ascii="Segoe UI" w:hAnsi="Segoe UI" w:cs="Segoe UI" w:eastAsia="Segoe UI"/>
                          <w:sz w:val="15"/>
                          <w:szCs w:val="15"/>
                        </w:rPr>
                      </w:pPr>
                      <w:r>
                        <w:rPr>
                          <w:rFonts w:ascii="Segoe UI"/>
                          <w:color w:val="77787B"/>
                          <w:spacing w:val="-1"/>
                          <w:sz w:val="15"/>
                        </w:rPr>
                        <w:t>High</w:t>
                      </w:r>
                      <w:r>
                        <w:rPr>
                          <w:rFonts w:ascii="Segoe UI"/>
                          <w:sz w:val="15"/>
                        </w:rPr>
                      </w:r>
                    </w:p>
                  </w:txbxContent>
                </v:textbox>
                <w10:wrap type="none"/>
              </v:shape>
              <v:shape style="position:absolute;left:5257;top:3926;width:264;height:149" type="#_x0000_t202" filled="false" stroked="false">
                <v:textbox inset="0,0,0,0">
                  <w:txbxContent>
                    <w:p>
                      <w:pPr>
                        <w:spacing w:line="149" w:lineRule="exact" w:before="0"/>
                        <w:ind w:left="0" w:right="0" w:firstLine="0"/>
                        <w:jc w:val="left"/>
                        <w:rPr>
                          <w:rFonts w:ascii="Segoe UI" w:hAnsi="Segoe UI" w:cs="Segoe UI" w:eastAsia="Segoe UI"/>
                          <w:sz w:val="15"/>
                          <w:szCs w:val="15"/>
                        </w:rPr>
                      </w:pPr>
                      <w:r>
                        <w:rPr>
                          <w:rFonts w:ascii="Segoe UI"/>
                          <w:color w:val="77787B"/>
                          <w:spacing w:val="-1"/>
                          <w:w w:val="95"/>
                          <w:sz w:val="15"/>
                        </w:rPr>
                        <w:t>Low</w:t>
                      </w:r>
                      <w:r>
                        <w:rPr>
                          <w:rFonts w:ascii="Segoe UI"/>
                          <w:sz w:val="15"/>
                        </w:rPr>
                      </w:r>
                    </w:p>
                  </w:txbxContent>
                </v:textbox>
                <w10:wrap type="none"/>
              </v:shape>
              <v:shape style="position:absolute;left:6162;top:3926;width:546;height:149" type="#_x0000_t202" filled="false" stroked="false">
                <v:textbox inset="0,0,0,0">
                  <w:txbxContent>
                    <w:p>
                      <w:pPr>
                        <w:spacing w:line="149" w:lineRule="exact" w:before="0"/>
                        <w:ind w:left="0" w:right="0" w:firstLine="0"/>
                        <w:jc w:val="left"/>
                        <w:rPr>
                          <w:rFonts w:ascii="Segoe UI" w:hAnsi="Segoe UI" w:cs="Segoe UI" w:eastAsia="Segoe UI"/>
                          <w:sz w:val="15"/>
                          <w:szCs w:val="15"/>
                        </w:rPr>
                      </w:pPr>
                      <w:r>
                        <w:rPr>
                          <w:rFonts w:ascii="Segoe UI"/>
                          <w:color w:val="77787B"/>
                          <w:spacing w:val="-1"/>
                          <w:w w:val="95"/>
                          <w:sz w:val="15"/>
                        </w:rPr>
                        <w:t>Medium</w:t>
                      </w:r>
                      <w:r>
                        <w:rPr>
                          <w:rFonts w:ascii="Segoe UI"/>
                          <w:sz w:val="15"/>
                        </w:rPr>
                      </w:r>
                    </w:p>
                  </w:txbxContent>
                </v:textbox>
                <w10:wrap type="none"/>
              </v:shape>
              <v:shape style="position:absolute;left:7323;top:3926;width:313;height:149" type="#_x0000_t202" filled="false" stroked="false">
                <v:textbox inset="0,0,0,0">
                  <w:txbxContent>
                    <w:p>
                      <w:pPr>
                        <w:spacing w:line="149" w:lineRule="exact" w:before="0"/>
                        <w:ind w:left="0" w:right="0" w:firstLine="0"/>
                        <w:jc w:val="left"/>
                        <w:rPr>
                          <w:rFonts w:ascii="Segoe UI" w:hAnsi="Segoe UI" w:cs="Segoe UI" w:eastAsia="Segoe UI"/>
                          <w:sz w:val="15"/>
                          <w:szCs w:val="15"/>
                        </w:rPr>
                      </w:pPr>
                      <w:r>
                        <w:rPr>
                          <w:rFonts w:ascii="Segoe UI"/>
                          <w:color w:val="77787B"/>
                          <w:spacing w:val="-1"/>
                          <w:w w:val="95"/>
                          <w:sz w:val="15"/>
                        </w:rPr>
                        <w:t>High</w:t>
                      </w:r>
                      <w:r>
                        <w:rPr>
                          <w:rFonts w:ascii="Segoe UI"/>
                          <w:sz w:val="15"/>
                        </w:rPr>
                      </w:r>
                    </w:p>
                  </w:txbxContent>
                </v:textbox>
                <w10:wrap type="none"/>
              </v:shape>
              <v:shape style="position:absolute;left:1043;top:4277;width:2866;height:149" type="#_x0000_t202" filled="false" stroked="false">
                <v:textbox inset="0,0,0,0">
                  <w:txbxContent>
                    <w:p>
                      <w:pPr>
                        <w:tabs>
                          <w:tab w:pos="1565" w:val="left" w:leader="none"/>
                        </w:tabs>
                        <w:spacing w:line="149" w:lineRule="exact" w:before="0"/>
                        <w:ind w:left="0" w:right="0" w:firstLine="0"/>
                        <w:jc w:val="left"/>
                        <w:rPr>
                          <w:rFonts w:ascii="Segoe UI" w:hAnsi="Segoe UI" w:cs="Segoe UI" w:eastAsia="Segoe UI"/>
                          <w:sz w:val="15"/>
                          <w:szCs w:val="15"/>
                        </w:rPr>
                      </w:pPr>
                      <w:r>
                        <w:rPr>
                          <w:rFonts w:ascii="Segoe UI"/>
                          <w:color w:val="77787B"/>
                          <w:spacing w:val="-1"/>
                          <w:sz w:val="15"/>
                        </w:rPr>
                        <w:t>Indigenous</w:t>
                      </w:r>
                      <w:r>
                        <w:rPr>
                          <w:rFonts w:ascii="Segoe UI"/>
                          <w:color w:val="77787B"/>
                          <w:spacing w:val="-14"/>
                          <w:sz w:val="15"/>
                        </w:rPr>
                        <w:t> </w:t>
                      </w:r>
                      <w:r>
                        <w:rPr>
                          <w:rFonts w:ascii="Segoe UI"/>
                          <w:color w:val="77787B"/>
                          <w:spacing w:val="-1"/>
                          <w:sz w:val="15"/>
                        </w:rPr>
                        <w:t>schools</w:t>
                        <w:tab/>
                        <w:t>Mainstream</w:t>
                      </w:r>
                      <w:r>
                        <w:rPr>
                          <w:rFonts w:ascii="Segoe UI"/>
                          <w:color w:val="77787B"/>
                          <w:spacing w:val="-15"/>
                          <w:sz w:val="15"/>
                        </w:rPr>
                        <w:t> </w:t>
                      </w:r>
                      <w:r>
                        <w:rPr>
                          <w:rFonts w:ascii="Segoe UI"/>
                          <w:color w:val="77787B"/>
                          <w:spacing w:val="-1"/>
                          <w:sz w:val="15"/>
                        </w:rPr>
                        <w:t>schools</w:t>
                      </w:r>
                      <w:r>
                        <w:rPr>
                          <w:rFonts w:ascii="Segoe UI"/>
                          <w:sz w:val="15"/>
                        </w:rPr>
                      </w:r>
                    </w:p>
                  </w:txbxContent>
                </v:textbox>
                <w10:wrap type="none"/>
              </v:shape>
              <v:shape style="position:absolute;left:4816;top:4261;width:2887;height:149" type="#_x0000_t202" filled="false" stroked="false">
                <v:textbox inset="0,0,0,0">
                  <w:txbxContent>
                    <w:p>
                      <w:pPr>
                        <w:tabs>
                          <w:tab w:pos="1570" w:val="left" w:leader="none"/>
                        </w:tabs>
                        <w:spacing w:line="149" w:lineRule="exact" w:before="0"/>
                        <w:ind w:left="0" w:right="0" w:firstLine="0"/>
                        <w:jc w:val="left"/>
                        <w:rPr>
                          <w:rFonts w:ascii="Segoe UI" w:hAnsi="Segoe UI" w:cs="Segoe UI" w:eastAsia="Segoe UI"/>
                          <w:sz w:val="15"/>
                          <w:szCs w:val="15"/>
                        </w:rPr>
                      </w:pPr>
                      <w:r>
                        <w:rPr>
                          <w:rFonts w:ascii="Segoe UI"/>
                          <w:color w:val="77787B"/>
                          <w:spacing w:val="-1"/>
                          <w:sz w:val="15"/>
                        </w:rPr>
                        <w:t>Indigenous</w:t>
                      </w:r>
                      <w:r>
                        <w:rPr>
                          <w:rFonts w:ascii="Segoe UI"/>
                          <w:color w:val="77787B"/>
                          <w:spacing w:val="-15"/>
                          <w:sz w:val="15"/>
                        </w:rPr>
                        <w:t> </w:t>
                      </w:r>
                      <w:r>
                        <w:rPr>
                          <w:rFonts w:ascii="Segoe UI"/>
                          <w:color w:val="77787B"/>
                          <w:spacing w:val="-1"/>
                          <w:sz w:val="15"/>
                        </w:rPr>
                        <w:t>Schools</w:t>
                        <w:tab/>
                        <w:t>Mainstream</w:t>
                      </w:r>
                      <w:r>
                        <w:rPr>
                          <w:rFonts w:ascii="Segoe UI"/>
                          <w:color w:val="77787B"/>
                          <w:spacing w:val="-14"/>
                          <w:sz w:val="15"/>
                        </w:rPr>
                        <w:t> </w:t>
                      </w:r>
                      <w:r>
                        <w:rPr>
                          <w:rFonts w:ascii="Segoe UI"/>
                          <w:color w:val="77787B"/>
                          <w:spacing w:val="-2"/>
                          <w:sz w:val="15"/>
                        </w:rPr>
                        <w:t>Schools</w:t>
                      </w:r>
                      <w:r>
                        <w:rPr>
                          <w:rFonts w:ascii="Segoe UI"/>
                          <w:sz w:val="15"/>
                        </w:rPr>
                      </w:r>
                    </w:p>
                  </w:txbxContent>
                </v:textbox>
                <w10:wrap type="none"/>
              </v:shape>
            </v:group>
          </v:group>
        </w:pict>
      </w:r>
      <w:r>
        <w:rPr>
          <w:rFonts w:ascii="Segoe UI Semibold" w:hAnsi="Segoe UI Semibold" w:cs="Segoe UI Semibold" w:eastAsia="Segoe UI Semibold"/>
          <w:sz w:val="20"/>
          <w:szCs w:val="20"/>
        </w:rPr>
      </w:r>
    </w:p>
    <w:p>
      <w:pPr>
        <w:spacing w:line="240" w:lineRule="auto" w:before="8"/>
        <w:rPr>
          <w:rFonts w:ascii="Segoe UI Semibold" w:hAnsi="Segoe UI Semibold" w:cs="Segoe UI Semibold" w:eastAsia="Segoe UI Semibold"/>
          <w:b/>
          <w:bCs/>
          <w:sz w:val="28"/>
          <w:szCs w:val="28"/>
        </w:rPr>
      </w:pPr>
    </w:p>
    <w:p>
      <w:pPr>
        <w:spacing w:after="0" w:line="240" w:lineRule="auto"/>
        <w:rPr>
          <w:rFonts w:ascii="Segoe UI Semibold" w:hAnsi="Segoe UI Semibold" w:cs="Segoe UI Semibold" w:eastAsia="Segoe UI Semibold"/>
          <w:sz w:val="28"/>
          <w:szCs w:val="28"/>
        </w:rPr>
        <w:sectPr>
          <w:pgSz w:w="11910" w:h="16840"/>
          <w:pgMar w:header="0" w:footer="691" w:top="1580" w:bottom="880" w:left="1600" w:right="1300"/>
        </w:sectPr>
      </w:pPr>
    </w:p>
    <w:p>
      <w:pPr>
        <w:spacing w:line="240" w:lineRule="auto" w:before="10"/>
        <w:rPr>
          <w:rFonts w:ascii="Segoe UI Semibold" w:hAnsi="Segoe UI Semibold" w:cs="Segoe UI Semibold" w:eastAsia="Segoe UI Semibold"/>
          <w:b/>
          <w:bCs/>
          <w:sz w:val="8"/>
          <w:szCs w:val="8"/>
        </w:rPr>
      </w:pPr>
    </w:p>
    <w:p>
      <w:pPr>
        <w:spacing w:line="200" w:lineRule="atLeast"/>
        <w:ind w:left="100" w:right="0" w:firstLine="0"/>
        <w:rPr>
          <w:rFonts w:ascii="Segoe UI Semibold" w:hAnsi="Segoe UI Semibold" w:cs="Segoe UI Semibold" w:eastAsia="Segoe UI Semibold"/>
          <w:sz w:val="20"/>
          <w:szCs w:val="20"/>
        </w:rPr>
      </w:pPr>
      <w:r>
        <w:rPr>
          <w:rFonts w:ascii="Segoe UI Semibold" w:hAnsi="Segoe UI Semibold" w:cs="Segoe UI Semibold" w:eastAsia="Segoe UI Semibold"/>
          <w:sz w:val="20"/>
          <w:szCs w:val="20"/>
        </w:rPr>
        <w:pict>
          <v:group style="width:209.8pt;height:14.2pt;mso-position-horizontal-relative:char;mso-position-vertical-relative:line" coordorigin="0,0" coordsize="4196,284">
            <v:group style="position:absolute;left:283;top:0;width:3912;height:284" coordorigin="283,0" coordsize="3912,284">
              <v:shape style="position:absolute;left:283;top:0;width:3912;height:284" coordorigin="283,0" coordsize="3912,284" path="m283,283l4195,283,4195,0,283,0,283,283xe" filled="true" fillcolor="#97bf3d" stroked="false">
                <v:path arrowok="t"/>
                <v:fill type="solid"/>
              </v:shape>
            </v:group>
            <v:group style="position:absolute;left:0;top:0;width:284;height:284" coordorigin="0,0" coordsize="284,284">
              <v:shape style="position:absolute;left:0;top:0;width:284;height:284" coordorigin="0,0" coordsize="284,284" path="m0,283l283,283,283,0,0,0,0,283xe" filled="true" fillcolor="#67973f" stroked="false">
                <v:path arrowok="t"/>
                <v:fill type="solid"/>
              </v:shape>
              <v:shape style="position:absolute;left:0;top:0;width:4196;height:284" type="#_x0000_t202" filled="false" stroked="false">
                <v:textbox inset="0,0,0,0">
                  <w:txbxContent>
                    <w:p>
                      <w:pPr>
                        <w:spacing w:before="5"/>
                        <w:ind w:left="368" w:right="0" w:firstLine="0"/>
                        <w:jc w:val="left"/>
                        <w:rPr>
                          <w:rFonts w:ascii="Segoe UI" w:hAnsi="Segoe UI" w:cs="Segoe UI" w:eastAsia="Segoe UI"/>
                          <w:sz w:val="18"/>
                          <w:szCs w:val="18"/>
                        </w:rPr>
                      </w:pPr>
                      <w:r>
                        <w:rPr>
                          <w:rFonts w:ascii="Segoe UI"/>
                          <w:b/>
                          <w:i/>
                          <w:color w:val="FFFFFF"/>
                          <w:spacing w:val="-1"/>
                          <w:sz w:val="18"/>
                        </w:rPr>
                        <w:t>Case</w:t>
                      </w:r>
                      <w:r>
                        <w:rPr>
                          <w:rFonts w:ascii="Segoe UI"/>
                          <w:b/>
                          <w:i/>
                          <w:color w:val="FFFFFF"/>
                          <w:spacing w:val="-4"/>
                          <w:sz w:val="18"/>
                        </w:rPr>
                        <w:t> </w:t>
                      </w:r>
                      <w:r>
                        <w:rPr>
                          <w:rFonts w:ascii="Segoe UI"/>
                          <w:b/>
                          <w:i/>
                          <w:color w:val="FFFFFF"/>
                          <w:sz w:val="18"/>
                        </w:rPr>
                        <w:t>study</w:t>
                      </w:r>
                      <w:r>
                        <w:rPr>
                          <w:rFonts w:ascii="Segoe UI"/>
                          <w:b/>
                          <w:i/>
                          <w:color w:val="FFFFFF"/>
                          <w:spacing w:val="-5"/>
                          <w:sz w:val="18"/>
                        </w:rPr>
                        <w:t> </w:t>
                      </w:r>
                      <w:r>
                        <w:rPr>
                          <w:rFonts w:ascii="Segoe UI"/>
                          <w:b/>
                          <w:i/>
                          <w:color w:val="FFFFFF"/>
                          <w:sz w:val="18"/>
                        </w:rPr>
                        <w:t>8</w:t>
                      </w:r>
                      <w:r>
                        <w:rPr>
                          <w:rFonts w:ascii="Segoe UI"/>
                          <w:sz w:val="18"/>
                        </w:rPr>
                      </w:r>
                    </w:p>
                  </w:txbxContent>
                </v:textbox>
                <w10:wrap type="none"/>
              </v:shape>
            </v:group>
          </v:group>
        </w:pict>
      </w:r>
      <w:r>
        <w:rPr>
          <w:rFonts w:ascii="Segoe UI Semibold" w:hAnsi="Segoe UI Semibold" w:cs="Segoe UI Semibold" w:eastAsia="Segoe UI Semibold"/>
          <w:sz w:val="20"/>
          <w:szCs w:val="20"/>
        </w:rPr>
      </w:r>
    </w:p>
    <w:p>
      <w:pPr>
        <w:pStyle w:val="Heading6"/>
        <w:spacing w:line="240" w:lineRule="auto" w:before="124"/>
        <w:ind w:right="15"/>
        <w:jc w:val="left"/>
        <w:rPr>
          <w:b w:val="0"/>
          <w:bCs w:val="0"/>
        </w:rPr>
      </w:pPr>
      <w:r>
        <w:rPr>
          <w:color w:val="67973F"/>
          <w:spacing w:val="-1"/>
        </w:rPr>
        <w:t>Improving</w:t>
      </w:r>
      <w:r>
        <w:rPr>
          <w:color w:val="67973F"/>
          <w:spacing w:val="-5"/>
        </w:rPr>
        <w:t> </w:t>
      </w:r>
      <w:r>
        <w:rPr>
          <w:color w:val="67973F"/>
          <w:spacing w:val="-1"/>
        </w:rPr>
        <w:t>attendance</w:t>
      </w:r>
      <w:r>
        <w:rPr>
          <w:b w:val="0"/>
        </w:rPr>
      </w:r>
    </w:p>
    <w:p>
      <w:pPr>
        <w:spacing w:line="265" w:lineRule="auto" w:before="138"/>
        <w:ind w:left="100" w:right="30" w:firstLine="0"/>
        <w:jc w:val="left"/>
        <w:rPr>
          <w:rFonts w:ascii="Segoe UI" w:hAnsi="Segoe UI" w:cs="Segoe UI" w:eastAsia="Segoe UI"/>
          <w:sz w:val="11"/>
          <w:szCs w:val="11"/>
        </w:rPr>
      </w:pPr>
      <w:r>
        <w:rPr>
          <w:rFonts w:ascii="Segoe UI"/>
          <w:color w:val="67973F"/>
          <w:sz w:val="19"/>
        </w:rPr>
        <w:t>The</w:t>
      </w:r>
      <w:r>
        <w:rPr>
          <w:rFonts w:ascii="Segoe UI"/>
          <w:color w:val="67973F"/>
          <w:spacing w:val="-7"/>
          <w:sz w:val="19"/>
        </w:rPr>
        <w:t> </w:t>
      </w:r>
      <w:r>
        <w:rPr>
          <w:rFonts w:ascii="Segoe UI"/>
          <w:color w:val="67973F"/>
          <w:sz w:val="19"/>
        </w:rPr>
        <w:t>average</w:t>
      </w:r>
      <w:r>
        <w:rPr>
          <w:rFonts w:ascii="Segoe UI"/>
          <w:color w:val="67973F"/>
          <w:spacing w:val="-6"/>
          <w:sz w:val="19"/>
        </w:rPr>
        <w:t> </w:t>
      </w:r>
      <w:r>
        <w:rPr>
          <w:rFonts w:ascii="Segoe UI"/>
          <w:color w:val="67973F"/>
          <w:sz w:val="19"/>
        </w:rPr>
        <w:t>attendance</w:t>
      </w:r>
      <w:r>
        <w:rPr>
          <w:rFonts w:ascii="Segoe UI"/>
          <w:color w:val="67973F"/>
          <w:spacing w:val="-7"/>
          <w:sz w:val="19"/>
        </w:rPr>
        <w:t> </w:t>
      </w:r>
      <w:r>
        <w:rPr>
          <w:rFonts w:ascii="Segoe UI"/>
          <w:color w:val="67973F"/>
          <w:sz w:val="19"/>
        </w:rPr>
        <w:t>rate</w:t>
      </w:r>
      <w:r>
        <w:rPr>
          <w:rFonts w:ascii="Segoe UI"/>
          <w:color w:val="67973F"/>
          <w:spacing w:val="-7"/>
          <w:sz w:val="19"/>
        </w:rPr>
        <w:t> </w:t>
      </w:r>
      <w:r>
        <w:rPr>
          <w:rFonts w:ascii="Segoe UI"/>
          <w:color w:val="67973F"/>
          <w:sz w:val="19"/>
        </w:rPr>
        <w:t>of</w:t>
      </w:r>
      <w:r>
        <w:rPr>
          <w:rFonts w:ascii="Segoe UI"/>
          <w:color w:val="67973F"/>
          <w:spacing w:val="-6"/>
          <w:sz w:val="19"/>
        </w:rPr>
        <w:t> </w:t>
      </w:r>
      <w:r>
        <w:rPr>
          <w:rFonts w:ascii="Segoe UI"/>
          <w:color w:val="67973F"/>
          <w:sz w:val="19"/>
        </w:rPr>
        <w:t>Aboriginal</w:t>
      </w:r>
      <w:r>
        <w:rPr>
          <w:rFonts w:ascii="Segoe UI"/>
          <w:color w:val="67973F"/>
          <w:spacing w:val="-6"/>
          <w:sz w:val="19"/>
        </w:rPr>
        <w:t> </w:t>
      </w:r>
      <w:r>
        <w:rPr>
          <w:rFonts w:ascii="Segoe UI"/>
          <w:color w:val="67973F"/>
          <w:sz w:val="19"/>
        </w:rPr>
        <w:t>and</w:t>
      </w:r>
      <w:r>
        <w:rPr>
          <w:rFonts w:ascii="Segoe UI"/>
          <w:color w:val="67973F"/>
          <w:w w:val="99"/>
          <w:sz w:val="19"/>
        </w:rPr>
        <w:t> </w:t>
      </w:r>
      <w:r>
        <w:rPr>
          <w:rFonts w:ascii="Segoe UI"/>
          <w:color w:val="67973F"/>
          <w:spacing w:val="-5"/>
          <w:sz w:val="19"/>
        </w:rPr>
        <w:t>Torres</w:t>
      </w:r>
      <w:r>
        <w:rPr>
          <w:rFonts w:ascii="Segoe UI"/>
          <w:color w:val="67973F"/>
          <w:spacing w:val="-2"/>
          <w:sz w:val="19"/>
        </w:rPr>
        <w:t> Strait</w:t>
      </w:r>
      <w:r>
        <w:rPr>
          <w:rFonts w:ascii="Segoe UI"/>
          <w:color w:val="67973F"/>
          <w:spacing w:val="-3"/>
          <w:sz w:val="19"/>
        </w:rPr>
        <w:t> </w:t>
      </w:r>
      <w:r>
        <w:rPr>
          <w:rFonts w:ascii="Segoe UI"/>
          <w:color w:val="67973F"/>
          <w:spacing w:val="-1"/>
          <w:sz w:val="19"/>
        </w:rPr>
        <w:t>Islander</w:t>
      </w:r>
      <w:r>
        <w:rPr>
          <w:rFonts w:ascii="Segoe UI"/>
          <w:color w:val="67973F"/>
          <w:spacing w:val="-2"/>
          <w:sz w:val="19"/>
        </w:rPr>
        <w:t> </w:t>
      </w:r>
      <w:r>
        <w:rPr>
          <w:rFonts w:ascii="Segoe UI"/>
          <w:color w:val="67973F"/>
          <w:spacing w:val="-1"/>
          <w:sz w:val="19"/>
        </w:rPr>
        <w:t>students in</w:t>
      </w:r>
      <w:r>
        <w:rPr>
          <w:rFonts w:ascii="Segoe UI"/>
          <w:color w:val="67973F"/>
          <w:spacing w:val="-2"/>
          <w:sz w:val="19"/>
        </w:rPr>
        <w:t> </w:t>
      </w:r>
      <w:r>
        <w:rPr>
          <w:rFonts w:ascii="Segoe UI"/>
          <w:color w:val="67973F"/>
          <w:spacing w:val="-1"/>
          <w:sz w:val="19"/>
        </w:rPr>
        <w:t>2018</w:t>
      </w:r>
      <w:r>
        <w:rPr>
          <w:rFonts w:ascii="Segoe UI"/>
          <w:color w:val="67973F"/>
          <w:spacing w:val="-2"/>
          <w:sz w:val="19"/>
        </w:rPr>
        <w:t> </w:t>
      </w:r>
      <w:r>
        <w:rPr>
          <w:rFonts w:ascii="Segoe UI"/>
          <w:color w:val="67973F"/>
          <w:sz w:val="19"/>
        </w:rPr>
        <w:t>at</w:t>
      </w:r>
      <w:r>
        <w:rPr>
          <w:rFonts w:ascii="Segoe UI"/>
          <w:color w:val="67973F"/>
          <w:spacing w:val="-1"/>
          <w:sz w:val="19"/>
        </w:rPr>
        <w:t> </w:t>
      </w:r>
      <w:r>
        <w:rPr>
          <w:rFonts w:ascii="Segoe UI"/>
          <w:color w:val="67973F"/>
          <w:sz w:val="19"/>
        </w:rPr>
        <w:t>the</w:t>
      </w:r>
      <w:r>
        <w:rPr>
          <w:rFonts w:ascii="Segoe UI"/>
          <w:color w:val="67973F"/>
          <w:spacing w:val="-3"/>
          <w:sz w:val="19"/>
        </w:rPr>
        <w:t> </w:t>
      </w:r>
      <w:r>
        <w:rPr>
          <w:rFonts w:ascii="Segoe UI"/>
          <w:color w:val="67973F"/>
          <w:spacing w:val="-1"/>
          <w:sz w:val="19"/>
        </w:rPr>
        <w:t>23</w:t>
      </w:r>
      <w:r>
        <w:rPr>
          <w:rFonts w:ascii="Segoe UI"/>
          <w:color w:val="67973F"/>
          <w:spacing w:val="28"/>
          <w:sz w:val="19"/>
        </w:rPr>
        <w:t> </w:t>
      </w:r>
      <w:r>
        <w:rPr>
          <w:rFonts w:ascii="Segoe UI"/>
          <w:color w:val="67973F"/>
          <w:spacing w:val="-1"/>
          <w:sz w:val="19"/>
        </w:rPr>
        <w:t>mainstream</w:t>
      </w:r>
      <w:r>
        <w:rPr>
          <w:rFonts w:ascii="Segoe UI"/>
          <w:color w:val="67973F"/>
          <w:spacing w:val="-2"/>
          <w:sz w:val="19"/>
        </w:rPr>
        <w:t> </w:t>
      </w:r>
      <w:r>
        <w:rPr>
          <w:rFonts w:ascii="Segoe UI"/>
          <w:color w:val="67973F"/>
          <w:sz w:val="19"/>
        </w:rPr>
        <w:t>boarding</w:t>
      </w:r>
      <w:r>
        <w:rPr>
          <w:rFonts w:ascii="Segoe UI"/>
          <w:color w:val="67973F"/>
          <w:spacing w:val="-4"/>
          <w:sz w:val="19"/>
        </w:rPr>
        <w:t> </w:t>
      </w:r>
      <w:r>
        <w:rPr>
          <w:rFonts w:ascii="Segoe UI"/>
          <w:color w:val="67973F"/>
          <w:spacing w:val="-1"/>
          <w:sz w:val="19"/>
        </w:rPr>
        <w:t>schools</w:t>
      </w:r>
      <w:r>
        <w:rPr>
          <w:rFonts w:ascii="Segoe UI"/>
          <w:color w:val="67973F"/>
          <w:spacing w:val="-3"/>
          <w:sz w:val="19"/>
        </w:rPr>
        <w:t> </w:t>
      </w:r>
      <w:r>
        <w:rPr>
          <w:rFonts w:ascii="Segoe UI"/>
          <w:color w:val="67973F"/>
          <w:spacing w:val="-1"/>
          <w:sz w:val="19"/>
        </w:rPr>
        <w:t>included</w:t>
      </w:r>
      <w:r>
        <w:rPr>
          <w:rFonts w:ascii="Segoe UI"/>
          <w:color w:val="67973F"/>
          <w:spacing w:val="-3"/>
          <w:sz w:val="19"/>
        </w:rPr>
        <w:t> </w:t>
      </w:r>
      <w:r>
        <w:rPr>
          <w:rFonts w:ascii="Segoe UI"/>
          <w:color w:val="67973F"/>
          <w:spacing w:val="-1"/>
          <w:sz w:val="19"/>
        </w:rPr>
        <w:t>in</w:t>
      </w:r>
      <w:r>
        <w:rPr>
          <w:rFonts w:ascii="Segoe UI"/>
          <w:color w:val="67973F"/>
          <w:spacing w:val="-3"/>
          <w:sz w:val="19"/>
        </w:rPr>
        <w:t> </w:t>
      </w:r>
      <w:r>
        <w:rPr>
          <w:rFonts w:ascii="Segoe UI"/>
          <w:color w:val="67973F"/>
          <w:sz w:val="19"/>
        </w:rPr>
        <w:t>this</w:t>
      </w:r>
      <w:r>
        <w:rPr>
          <w:rFonts w:ascii="Segoe UI"/>
          <w:color w:val="67973F"/>
          <w:spacing w:val="25"/>
          <w:sz w:val="19"/>
        </w:rPr>
        <w:t> </w:t>
      </w:r>
      <w:r>
        <w:rPr>
          <w:rFonts w:ascii="Segoe UI"/>
          <w:color w:val="67973F"/>
          <w:sz w:val="19"/>
        </w:rPr>
        <w:t>report</w:t>
      </w:r>
      <w:r>
        <w:rPr>
          <w:rFonts w:ascii="Segoe UI"/>
          <w:color w:val="67973F"/>
          <w:spacing w:val="-5"/>
          <w:sz w:val="19"/>
        </w:rPr>
        <w:t> </w:t>
      </w:r>
      <w:r>
        <w:rPr>
          <w:rFonts w:ascii="Segoe UI"/>
          <w:color w:val="67973F"/>
          <w:sz w:val="19"/>
        </w:rPr>
        <w:t>was</w:t>
      </w:r>
      <w:r>
        <w:rPr>
          <w:rFonts w:ascii="Segoe UI"/>
          <w:color w:val="67973F"/>
          <w:spacing w:val="-5"/>
          <w:sz w:val="19"/>
        </w:rPr>
        <w:t> </w:t>
      </w:r>
      <w:r>
        <w:rPr>
          <w:rFonts w:ascii="Segoe UI"/>
          <w:color w:val="67973F"/>
          <w:spacing w:val="-1"/>
          <w:sz w:val="19"/>
        </w:rPr>
        <w:t>92.7</w:t>
      </w:r>
      <w:r>
        <w:rPr>
          <w:rFonts w:ascii="Segoe UI"/>
          <w:color w:val="67973F"/>
          <w:spacing w:val="-4"/>
          <w:sz w:val="19"/>
        </w:rPr>
        <w:t> </w:t>
      </w:r>
      <w:r>
        <w:rPr>
          <w:rFonts w:ascii="Segoe UI"/>
          <w:color w:val="67973F"/>
          <w:sz w:val="19"/>
        </w:rPr>
        <w:t>per</w:t>
      </w:r>
      <w:r>
        <w:rPr>
          <w:rFonts w:ascii="Segoe UI"/>
          <w:color w:val="67973F"/>
          <w:spacing w:val="-4"/>
          <w:sz w:val="19"/>
        </w:rPr>
        <w:t> </w:t>
      </w:r>
      <w:r>
        <w:rPr>
          <w:rFonts w:ascii="Segoe UI"/>
          <w:color w:val="67973F"/>
          <w:sz w:val="19"/>
        </w:rPr>
        <w:t>cent,</w:t>
      </w:r>
      <w:r>
        <w:rPr>
          <w:rFonts w:ascii="Segoe UI"/>
          <w:color w:val="67973F"/>
          <w:spacing w:val="-4"/>
          <w:sz w:val="19"/>
        </w:rPr>
        <w:t> </w:t>
      </w:r>
      <w:r>
        <w:rPr>
          <w:rFonts w:ascii="Segoe UI"/>
          <w:color w:val="67973F"/>
          <w:sz w:val="19"/>
        </w:rPr>
        <w:t>and</w:t>
      </w:r>
      <w:r>
        <w:rPr>
          <w:rFonts w:ascii="Segoe UI"/>
          <w:color w:val="67973F"/>
          <w:spacing w:val="-5"/>
          <w:sz w:val="19"/>
        </w:rPr>
        <w:t> </w:t>
      </w:r>
      <w:r>
        <w:rPr>
          <w:rFonts w:ascii="Segoe UI"/>
          <w:color w:val="67973F"/>
          <w:sz w:val="19"/>
        </w:rPr>
        <w:t>only</w:t>
      </w:r>
      <w:r>
        <w:rPr>
          <w:rFonts w:ascii="Segoe UI"/>
          <w:color w:val="67973F"/>
          <w:spacing w:val="-5"/>
          <w:sz w:val="19"/>
        </w:rPr>
        <w:t> </w:t>
      </w:r>
      <w:r>
        <w:rPr>
          <w:rFonts w:ascii="Segoe UI"/>
          <w:color w:val="67973F"/>
          <w:spacing w:val="-1"/>
          <w:sz w:val="19"/>
        </w:rPr>
        <w:t>slightly</w:t>
      </w:r>
      <w:r>
        <w:rPr>
          <w:rFonts w:ascii="Segoe UI"/>
          <w:color w:val="67973F"/>
          <w:spacing w:val="-4"/>
          <w:sz w:val="19"/>
        </w:rPr>
        <w:t> </w:t>
      </w:r>
      <w:r>
        <w:rPr>
          <w:rFonts w:ascii="Segoe UI"/>
          <w:color w:val="67973F"/>
          <w:sz w:val="19"/>
        </w:rPr>
        <w:t>below</w:t>
      </w:r>
      <w:r>
        <w:rPr>
          <w:rFonts w:ascii="Segoe UI"/>
          <w:color w:val="67973F"/>
          <w:spacing w:val="23"/>
          <w:w w:val="99"/>
          <w:sz w:val="19"/>
        </w:rPr>
        <w:t> </w:t>
      </w:r>
      <w:r>
        <w:rPr>
          <w:rFonts w:ascii="Segoe UI"/>
          <w:color w:val="67973F"/>
          <w:sz w:val="19"/>
        </w:rPr>
        <w:t>the</w:t>
      </w:r>
      <w:r>
        <w:rPr>
          <w:rFonts w:ascii="Segoe UI"/>
          <w:color w:val="67973F"/>
          <w:spacing w:val="-6"/>
          <w:sz w:val="19"/>
        </w:rPr>
        <w:t> </w:t>
      </w:r>
      <w:r>
        <w:rPr>
          <w:rFonts w:ascii="Segoe UI"/>
          <w:color w:val="67973F"/>
          <w:sz w:val="19"/>
        </w:rPr>
        <w:t>rate</w:t>
      </w:r>
      <w:r>
        <w:rPr>
          <w:rFonts w:ascii="Segoe UI"/>
          <w:color w:val="67973F"/>
          <w:spacing w:val="-6"/>
          <w:sz w:val="19"/>
        </w:rPr>
        <w:t> </w:t>
      </w:r>
      <w:r>
        <w:rPr>
          <w:rFonts w:ascii="Segoe UI"/>
          <w:color w:val="67973F"/>
          <w:sz w:val="19"/>
        </w:rPr>
        <w:t>of</w:t>
      </w:r>
      <w:r>
        <w:rPr>
          <w:rFonts w:ascii="Segoe UI"/>
          <w:color w:val="67973F"/>
          <w:spacing w:val="-5"/>
          <w:sz w:val="19"/>
        </w:rPr>
        <w:t> </w:t>
      </w:r>
      <w:r>
        <w:rPr>
          <w:rFonts w:ascii="Segoe UI"/>
          <w:color w:val="67973F"/>
          <w:spacing w:val="-1"/>
          <w:sz w:val="19"/>
        </w:rPr>
        <w:t>94.4</w:t>
      </w:r>
      <w:r>
        <w:rPr>
          <w:rFonts w:ascii="Segoe UI"/>
          <w:color w:val="67973F"/>
          <w:spacing w:val="-4"/>
          <w:sz w:val="19"/>
        </w:rPr>
        <w:t> </w:t>
      </w:r>
      <w:r>
        <w:rPr>
          <w:rFonts w:ascii="Segoe UI"/>
          <w:color w:val="67973F"/>
          <w:sz w:val="19"/>
        </w:rPr>
        <w:t>per</w:t>
      </w:r>
      <w:r>
        <w:rPr>
          <w:rFonts w:ascii="Segoe UI"/>
          <w:color w:val="67973F"/>
          <w:spacing w:val="-5"/>
          <w:sz w:val="19"/>
        </w:rPr>
        <w:t> </w:t>
      </w:r>
      <w:r>
        <w:rPr>
          <w:rFonts w:ascii="Segoe UI"/>
          <w:color w:val="67973F"/>
          <w:sz w:val="19"/>
        </w:rPr>
        <w:t>cent</w:t>
      </w:r>
      <w:r>
        <w:rPr>
          <w:rFonts w:ascii="Segoe UI"/>
          <w:color w:val="67973F"/>
          <w:spacing w:val="-6"/>
          <w:sz w:val="19"/>
        </w:rPr>
        <w:t> </w:t>
      </w:r>
      <w:r>
        <w:rPr>
          <w:rFonts w:ascii="Segoe UI"/>
          <w:color w:val="67973F"/>
          <w:sz w:val="19"/>
        </w:rPr>
        <w:t>for</w:t>
      </w:r>
      <w:r>
        <w:rPr>
          <w:rFonts w:ascii="Segoe UI"/>
          <w:color w:val="67973F"/>
          <w:spacing w:val="-5"/>
          <w:sz w:val="19"/>
        </w:rPr>
        <w:t> </w:t>
      </w:r>
      <w:r>
        <w:rPr>
          <w:rFonts w:ascii="Segoe UI"/>
          <w:color w:val="67973F"/>
          <w:sz w:val="19"/>
        </w:rPr>
        <w:t>non-Indigenous</w:t>
      </w:r>
      <w:r>
        <w:rPr>
          <w:rFonts w:ascii="Segoe UI"/>
          <w:color w:val="67973F"/>
          <w:spacing w:val="21"/>
          <w:w w:val="99"/>
          <w:sz w:val="19"/>
        </w:rPr>
        <w:t> </w:t>
      </w:r>
      <w:r>
        <w:rPr>
          <w:rFonts w:ascii="Segoe UI"/>
          <w:color w:val="67973F"/>
          <w:spacing w:val="-1"/>
          <w:sz w:val="19"/>
        </w:rPr>
        <w:t>students</w:t>
      </w:r>
      <w:r>
        <w:rPr>
          <w:rFonts w:ascii="Segoe UI"/>
          <w:color w:val="67973F"/>
          <w:spacing w:val="-3"/>
          <w:sz w:val="19"/>
        </w:rPr>
        <w:t> </w:t>
      </w:r>
      <w:r>
        <w:rPr>
          <w:rFonts w:ascii="Segoe UI"/>
          <w:color w:val="67973F"/>
          <w:sz w:val="19"/>
        </w:rPr>
        <w:t>at</w:t>
      </w:r>
      <w:r>
        <w:rPr>
          <w:rFonts w:ascii="Segoe UI"/>
          <w:color w:val="67973F"/>
          <w:spacing w:val="-2"/>
          <w:sz w:val="19"/>
        </w:rPr>
        <w:t> </w:t>
      </w:r>
      <w:r>
        <w:rPr>
          <w:rFonts w:ascii="Segoe UI"/>
          <w:color w:val="67973F"/>
          <w:sz w:val="19"/>
        </w:rPr>
        <w:t>the</w:t>
      </w:r>
      <w:r>
        <w:rPr>
          <w:rFonts w:ascii="Segoe UI"/>
          <w:color w:val="67973F"/>
          <w:spacing w:val="-4"/>
          <w:sz w:val="19"/>
        </w:rPr>
        <w:t> </w:t>
      </w:r>
      <w:r>
        <w:rPr>
          <w:rFonts w:ascii="Segoe UI"/>
          <w:color w:val="67973F"/>
          <w:spacing w:val="-1"/>
          <w:sz w:val="19"/>
        </w:rPr>
        <w:t>same</w:t>
      </w:r>
      <w:r>
        <w:rPr>
          <w:rFonts w:ascii="Segoe UI"/>
          <w:color w:val="67973F"/>
          <w:spacing w:val="-2"/>
          <w:sz w:val="19"/>
        </w:rPr>
        <w:t> </w:t>
      </w:r>
      <w:r>
        <w:rPr>
          <w:rFonts w:ascii="Segoe UI"/>
          <w:color w:val="67973F"/>
          <w:sz w:val="19"/>
        </w:rPr>
        <w:t>boarding</w:t>
      </w:r>
      <w:r>
        <w:rPr>
          <w:rFonts w:ascii="Segoe UI"/>
          <w:color w:val="67973F"/>
          <w:spacing w:val="-4"/>
          <w:sz w:val="19"/>
        </w:rPr>
        <w:t> </w:t>
      </w:r>
      <w:r>
        <w:rPr>
          <w:rFonts w:ascii="Segoe UI"/>
          <w:color w:val="67973F"/>
          <w:spacing w:val="-1"/>
          <w:sz w:val="19"/>
        </w:rPr>
        <w:t>schools.</w:t>
      </w:r>
      <w:r>
        <w:rPr>
          <w:rFonts w:ascii="Segoe UI"/>
          <w:color w:val="67973F"/>
          <w:spacing w:val="-2"/>
          <w:sz w:val="19"/>
        </w:rPr>
        <w:t> </w:t>
      </w:r>
      <w:r>
        <w:rPr>
          <w:rFonts w:ascii="Segoe UI"/>
          <w:color w:val="67973F"/>
          <w:sz w:val="19"/>
        </w:rPr>
        <w:t>At</w:t>
      </w:r>
      <w:r>
        <w:rPr>
          <w:rFonts w:ascii="Segoe UI"/>
          <w:color w:val="67973F"/>
          <w:spacing w:val="-2"/>
          <w:sz w:val="19"/>
        </w:rPr>
        <w:t> </w:t>
      </w:r>
      <w:r>
        <w:rPr>
          <w:rFonts w:ascii="Segoe UI"/>
          <w:color w:val="67973F"/>
          <w:sz w:val="19"/>
        </w:rPr>
        <w:t>one</w:t>
      </w:r>
      <w:r>
        <w:rPr>
          <w:rFonts w:ascii="Segoe UI"/>
          <w:color w:val="67973F"/>
          <w:spacing w:val="24"/>
          <w:w w:val="99"/>
          <w:sz w:val="19"/>
        </w:rPr>
        <w:t> </w:t>
      </w:r>
      <w:r>
        <w:rPr>
          <w:rFonts w:ascii="Segoe UI"/>
          <w:color w:val="67973F"/>
          <w:spacing w:val="-1"/>
          <w:sz w:val="19"/>
        </w:rPr>
        <w:t>mainstream</w:t>
      </w:r>
      <w:r>
        <w:rPr>
          <w:rFonts w:ascii="Segoe UI"/>
          <w:color w:val="67973F"/>
          <w:spacing w:val="-6"/>
          <w:sz w:val="19"/>
        </w:rPr>
        <w:t> </w:t>
      </w:r>
      <w:r>
        <w:rPr>
          <w:rFonts w:ascii="Segoe UI"/>
          <w:color w:val="67973F"/>
          <w:sz w:val="19"/>
        </w:rPr>
        <w:t>boarding</w:t>
      </w:r>
      <w:r>
        <w:rPr>
          <w:rFonts w:ascii="Segoe UI"/>
          <w:color w:val="67973F"/>
          <w:spacing w:val="-8"/>
          <w:sz w:val="19"/>
        </w:rPr>
        <w:t> </w:t>
      </w:r>
      <w:r>
        <w:rPr>
          <w:rFonts w:ascii="Segoe UI"/>
          <w:color w:val="67973F"/>
          <w:sz w:val="19"/>
        </w:rPr>
        <w:t>provider</w:t>
      </w:r>
      <w:r>
        <w:rPr>
          <w:rFonts w:ascii="Segoe UI"/>
          <w:color w:val="67973F"/>
          <w:spacing w:val="-8"/>
          <w:sz w:val="19"/>
        </w:rPr>
        <w:t> </w:t>
      </w:r>
      <w:r>
        <w:rPr>
          <w:rFonts w:ascii="Segoe UI"/>
          <w:color w:val="67973F"/>
          <w:sz w:val="19"/>
        </w:rPr>
        <w:t>the</w:t>
      </w:r>
      <w:r>
        <w:rPr>
          <w:rFonts w:ascii="Segoe UI"/>
          <w:color w:val="67973F"/>
          <w:spacing w:val="-7"/>
          <w:sz w:val="19"/>
        </w:rPr>
        <w:t> </w:t>
      </w:r>
      <w:r>
        <w:rPr>
          <w:rFonts w:ascii="Segoe UI"/>
          <w:color w:val="67973F"/>
          <w:sz w:val="19"/>
        </w:rPr>
        <w:t>attendance</w:t>
      </w:r>
      <w:r>
        <w:rPr>
          <w:rFonts w:ascii="Segoe UI"/>
          <w:color w:val="67973F"/>
          <w:spacing w:val="22"/>
          <w:w w:val="99"/>
          <w:sz w:val="19"/>
        </w:rPr>
        <w:t> </w:t>
      </w:r>
      <w:r>
        <w:rPr>
          <w:rFonts w:ascii="Segoe UI"/>
          <w:color w:val="67973F"/>
          <w:sz w:val="19"/>
        </w:rPr>
        <w:t>rate</w:t>
      </w:r>
      <w:r>
        <w:rPr>
          <w:rFonts w:ascii="Segoe UI"/>
          <w:color w:val="67973F"/>
          <w:spacing w:val="-6"/>
          <w:sz w:val="19"/>
        </w:rPr>
        <w:t> </w:t>
      </w:r>
      <w:r>
        <w:rPr>
          <w:rFonts w:ascii="Segoe UI"/>
          <w:color w:val="67973F"/>
          <w:sz w:val="19"/>
        </w:rPr>
        <w:t>for</w:t>
      </w:r>
      <w:r>
        <w:rPr>
          <w:rFonts w:ascii="Segoe UI"/>
          <w:color w:val="67973F"/>
          <w:spacing w:val="-4"/>
          <w:sz w:val="19"/>
        </w:rPr>
        <w:t> </w:t>
      </w:r>
      <w:r>
        <w:rPr>
          <w:rFonts w:ascii="Segoe UI"/>
          <w:color w:val="67973F"/>
          <w:sz w:val="19"/>
        </w:rPr>
        <w:t>Aboriginal</w:t>
      </w:r>
      <w:r>
        <w:rPr>
          <w:rFonts w:ascii="Segoe UI"/>
          <w:color w:val="67973F"/>
          <w:spacing w:val="-5"/>
          <w:sz w:val="19"/>
        </w:rPr>
        <w:t> </w:t>
      </w:r>
      <w:r>
        <w:rPr>
          <w:rFonts w:ascii="Segoe UI"/>
          <w:color w:val="67973F"/>
          <w:sz w:val="19"/>
        </w:rPr>
        <w:t>and</w:t>
      </w:r>
      <w:r>
        <w:rPr>
          <w:rFonts w:ascii="Segoe UI"/>
          <w:color w:val="67973F"/>
          <w:spacing w:val="-5"/>
          <w:sz w:val="19"/>
        </w:rPr>
        <w:t> Torres </w:t>
      </w:r>
      <w:r>
        <w:rPr>
          <w:rFonts w:ascii="Segoe UI"/>
          <w:color w:val="67973F"/>
          <w:spacing w:val="-2"/>
          <w:sz w:val="19"/>
        </w:rPr>
        <w:t>Strait</w:t>
      </w:r>
      <w:r>
        <w:rPr>
          <w:rFonts w:ascii="Segoe UI"/>
          <w:color w:val="67973F"/>
          <w:spacing w:val="-5"/>
          <w:sz w:val="19"/>
        </w:rPr>
        <w:t> </w:t>
      </w:r>
      <w:r>
        <w:rPr>
          <w:rFonts w:ascii="Segoe UI"/>
          <w:color w:val="67973F"/>
          <w:spacing w:val="-1"/>
          <w:sz w:val="19"/>
        </w:rPr>
        <w:t>Islander</w:t>
      </w:r>
      <w:r>
        <w:rPr>
          <w:rFonts w:ascii="Segoe UI"/>
          <w:color w:val="67973F"/>
          <w:spacing w:val="20"/>
          <w:w w:val="99"/>
          <w:sz w:val="19"/>
        </w:rPr>
        <w:t> </w:t>
      </w:r>
      <w:r>
        <w:rPr>
          <w:rFonts w:ascii="Segoe UI"/>
          <w:color w:val="67973F"/>
          <w:spacing w:val="-1"/>
          <w:sz w:val="19"/>
        </w:rPr>
        <w:t>students</w:t>
      </w:r>
      <w:r>
        <w:rPr>
          <w:rFonts w:ascii="Segoe UI"/>
          <w:color w:val="67973F"/>
          <w:spacing w:val="-4"/>
          <w:sz w:val="19"/>
        </w:rPr>
        <w:t> </w:t>
      </w:r>
      <w:r>
        <w:rPr>
          <w:rFonts w:ascii="Segoe UI"/>
          <w:color w:val="67973F"/>
          <w:sz w:val="19"/>
        </w:rPr>
        <w:t>at</w:t>
      </w:r>
      <w:r>
        <w:rPr>
          <w:rFonts w:ascii="Segoe UI"/>
          <w:color w:val="67973F"/>
          <w:spacing w:val="-4"/>
          <w:sz w:val="19"/>
        </w:rPr>
        <w:t> </w:t>
      </w:r>
      <w:r>
        <w:rPr>
          <w:rFonts w:ascii="Segoe UI"/>
          <w:color w:val="67973F"/>
          <w:spacing w:val="-1"/>
          <w:sz w:val="19"/>
        </w:rPr>
        <w:t>95</w:t>
      </w:r>
      <w:r>
        <w:rPr>
          <w:rFonts w:ascii="Segoe UI"/>
          <w:color w:val="67973F"/>
          <w:spacing w:val="-3"/>
          <w:sz w:val="19"/>
        </w:rPr>
        <w:t> </w:t>
      </w:r>
      <w:r>
        <w:rPr>
          <w:rFonts w:ascii="Segoe UI"/>
          <w:color w:val="67973F"/>
          <w:sz w:val="19"/>
        </w:rPr>
        <w:t>per</w:t>
      </w:r>
      <w:r>
        <w:rPr>
          <w:rFonts w:ascii="Segoe UI"/>
          <w:color w:val="67973F"/>
          <w:spacing w:val="-4"/>
          <w:sz w:val="19"/>
        </w:rPr>
        <w:t> </w:t>
      </w:r>
      <w:r>
        <w:rPr>
          <w:rFonts w:ascii="Segoe UI"/>
          <w:color w:val="67973F"/>
          <w:sz w:val="19"/>
        </w:rPr>
        <w:t>cent</w:t>
      </w:r>
      <w:r>
        <w:rPr>
          <w:rFonts w:ascii="Segoe UI"/>
          <w:color w:val="67973F"/>
          <w:spacing w:val="-4"/>
          <w:sz w:val="19"/>
        </w:rPr>
        <w:t> </w:t>
      </w:r>
      <w:r>
        <w:rPr>
          <w:rFonts w:ascii="Segoe UI"/>
          <w:color w:val="67973F"/>
          <w:sz w:val="19"/>
        </w:rPr>
        <w:t>actually</w:t>
      </w:r>
      <w:r>
        <w:rPr>
          <w:rFonts w:ascii="Segoe UI"/>
          <w:color w:val="67973F"/>
          <w:spacing w:val="-5"/>
          <w:sz w:val="19"/>
        </w:rPr>
        <w:t> </w:t>
      </w:r>
      <w:r>
        <w:rPr>
          <w:rFonts w:ascii="Segoe UI"/>
          <w:color w:val="67973F"/>
          <w:sz w:val="19"/>
        </w:rPr>
        <w:t>exceeded</w:t>
      </w:r>
      <w:r>
        <w:rPr>
          <w:rFonts w:ascii="Segoe UI"/>
          <w:color w:val="67973F"/>
          <w:spacing w:val="-5"/>
          <w:sz w:val="19"/>
        </w:rPr>
        <w:t> </w:t>
      </w:r>
      <w:r>
        <w:rPr>
          <w:rFonts w:ascii="Segoe UI"/>
          <w:color w:val="67973F"/>
          <w:sz w:val="19"/>
        </w:rPr>
        <w:t>the</w:t>
      </w:r>
      <w:r>
        <w:rPr>
          <w:rFonts w:ascii="Segoe UI"/>
          <w:color w:val="67973F"/>
          <w:spacing w:val="23"/>
          <w:w w:val="99"/>
          <w:sz w:val="19"/>
        </w:rPr>
        <w:t> </w:t>
      </w:r>
      <w:r>
        <w:rPr>
          <w:rFonts w:ascii="Segoe UI"/>
          <w:color w:val="67973F"/>
          <w:sz w:val="19"/>
        </w:rPr>
        <w:t>attendance</w:t>
      </w:r>
      <w:r>
        <w:rPr>
          <w:rFonts w:ascii="Segoe UI"/>
          <w:color w:val="67973F"/>
          <w:spacing w:val="-10"/>
          <w:sz w:val="19"/>
        </w:rPr>
        <w:t> </w:t>
      </w:r>
      <w:r>
        <w:rPr>
          <w:rFonts w:ascii="Segoe UI"/>
          <w:color w:val="67973F"/>
          <w:sz w:val="19"/>
        </w:rPr>
        <w:t>rate</w:t>
      </w:r>
      <w:r>
        <w:rPr>
          <w:rFonts w:ascii="Segoe UI"/>
          <w:color w:val="67973F"/>
          <w:spacing w:val="-10"/>
          <w:sz w:val="19"/>
        </w:rPr>
        <w:t> </w:t>
      </w:r>
      <w:r>
        <w:rPr>
          <w:rFonts w:ascii="Segoe UI"/>
          <w:color w:val="67973F"/>
          <w:sz w:val="19"/>
        </w:rPr>
        <w:t>for</w:t>
      </w:r>
      <w:r>
        <w:rPr>
          <w:rFonts w:ascii="Segoe UI"/>
          <w:color w:val="67973F"/>
          <w:spacing w:val="-9"/>
          <w:sz w:val="19"/>
        </w:rPr>
        <w:t> </w:t>
      </w:r>
      <w:r>
        <w:rPr>
          <w:rFonts w:ascii="Segoe UI"/>
          <w:color w:val="67973F"/>
          <w:sz w:val="19"/>
        </w:rPr>
        <w:t>non-Indigenous</w:t>
      </w:r>
      <w:r>
        <w:rPr>
          <w:rFonts w:ascii="Segoe UI"/>
          <w:color w:val="67973F"/>
          <w:spacing w:val="-10"/>
          <w:sz w:val="19"/>
        </w:rPr>
        <w:t> </w:t>
      </w:r>
      <w:r>
        <w:rPr>
          <w:rFonts w:ascii="Segoe UI"/>
          <w:color w:val="67973F"/>
          <w:spacing w:val="-1"/>
          <w:sz w:val="19"/>
        </w:rPr>
        <w:t>students.</w:t>
      </w:r>
      <w:r>
        <w:rPr>
          <w:rFonts w:ascii="Segoe UI"/>
          <w:color w:val="67973F"/>
          <w:spacing w:val="-1"/>
          <w:position w:val="6"/>
          <w:sz w:val="11"/>
        </w:rPr>
        <w:t>161</w:t>
      </w:r>
      <w:r>
        <w:rPr>
          <w:rFonts w:ascii="Segoe UI"/>
          <w:sz w:val="11"/>
        </w:rPr>
      </w:r>
    </w:p>
    <w:p>
      <w:pPr>
        <w:spacing w:line="240" w:lineRule="auto" w:before="9"/>
        <w:rPr>
          <w:rFonts w:ascii="Segoe UI" w:hAnsi="Segoe UI" w:cs="Segoe UI" w:eastAsia="Segoe UI"/>
          <w:sz w:val="7"/>
          <w:szCs w:val="7"/>
        </w:rPr>
      </w:pPr>
    </w:p>
    <w:p>
      <w:pPr>
        <w:spacing w:line="40" w:lineRule="atLeast"/>
        <w:ind w:left="100" w:right="0" w:firstLine="0"/>
        <w:rPr>
          <w:rFonts w:ascii="Segoe UI" w:hAnsi="Segoe UI" w:cs="Segoe UI" w:eastAsia="Segoe UI"/>
          <w:sz w:val="4"/>
          <w:szCs w:val="4"/>
        </w:rPr>
      </w:pPr>
      <w:r>
        <w:rPr>
          <w:rFonts w:ascii="Segoe UI" w:hAnsi="Segoe UI" w:cs="Segoe UI" w:eastAsia="Segoe UI"/>
          <w:sz w:val="4"/>
          <w:szCs w:val="4"/>
        </w:rPr>
        <w:pict>
          <v:group style="width:209.8pt;height:2pt;mso-position-horizontal-relative:char;mso-position-vertical-relative:line" coordorigin="0,0" coordsize="4196,40">
            <v:group style="position:absolute;left:100;top:20;width:4036;height:2" coordorigin="100,20" coordsize="4036,2">
              <v:shape style="position:absolute;left:100;top:20;width:4036;height:2" coordorigin="100,20" coordsize="4036,0" path="m100,20l4135,20e" filled="false" stroked="true" strokeweight="2pt" strokecolor="#67973f">
                <v:path arrowok="t"/>
                <v:stroke dashstyle="dash"/>
              </v:shape>
            </v:group>
            <v:group style="position:absolute;left:20;top:20;width:2;height:2" coordorigin="20,20" coordsize="2,2">
              <v:shape style="position:absolute;left:20;top:20;width:2;height:2" coordorigin="20,20" coordsize="0,0" path="m20,20l20,20e" filled="false" stroked="true" strokeweight="2pt" strokecolor="#67973f">
                <v:path arrowok="t"/>
              </v:shape>
            </v:group>
            <v:group style="position:absolute;left:4175;top:20;width:2;height:2" coordorigin="4175,20" coordsize="2,2">
              <v:shape style="position:absolute;left:4175;top:20;width:2;height:2" coordorigin="4175,20" coordsize="0,0" path="m4175,20l4175,20e" filled="false" stroked="true" strokeweight="2pt" strokecolor="#67973f">
                <v:path arrowok="t"/>
              </v:shape>
            </v:group>
          </v:group>
        </w:pict>
      </w:r>
      <w:r>
        <w:rPr>
          <w:rFonts w:ascii="Segoe UI" w:hAnsi="Segoe UI" w:cs="Segoe UI" w:eastAsia="Segoe UI"/>
          <w:sz w:val="4"/>
          <w:szCs w:val="4"/>
        </w:rPr>
      </w:r>
    </w:p>
    <w:p>
      <w:pPr>
        <w:spacing w:line="240" w:lineRule="auto" w:before="9"/>
        <w:rPr>
          <w:rFonts w:ascii="Segoe UI" w:hAnsi="Segoe UI" w:cs="Segoe UI" w:eastAsia="Segoe UI"/>
          <w:sz w:val="17"/>
          <w:szCs w:val="17"/>
        </w:rPr>
      </w:pPr>
    </w:p>
    <w:p>
      <w:pPr>
        <w:pStyle w:val="BodyText"/>
        <w:spacing w:line="250" w:lineRule="exact"/>
        <w:ind w:left="100" w:right="22"/>
        <w:jc w:val="left"/>
      </w:pPr>
      <w:r>
        <w:rPr>
          <w:color w:val="231F20"/>
        </w:rPr>
        <w:t>The</w:t>
      </w:r>
      <w:r>
        <w:rPr>
          <w:color w:val="231F20"/>
          <w:spacing w:val="-6"/>
        </w:rPr>
        <w:t> </w:t>
      </w:r>
      <w:r>
        <w:rPr>
          <w:color w:val="231F20"/>
        </w:rPr>
        <w:t>Aboriginal</w:t>
      </w:r>
      <w:r>
        <w:rPr>
          <w:color w:val="231F20"/>
          <w:spacing w:val="-5"/>
        </w:rPr>
        <w:t> </w:t>
      </w:r>
      <w:r>
        <w:rPr>
          <w:color w:val="231F20"/>
        </w:rPr>
        <w:t>and</w:t>
      </w:r>
      <w:r>
        <w:rPr>
          <w:color w:val="231F20"/>
          <w:spacing w:val="-6"/>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29"/>
          <w:w w:val="99"/>
        </w:rPr>
        <w:t> </w:t>
      </w:r>
      <w:r>
        <w:rPr>
          <w:color w:val="231F20"/>
        </w:rPr>
        <w:t>boarding</w:t>
      </w:r>
      <w:r>
        <w:rPr>
          <w:color w:val="231F20"/>
          <w:spacing w:val="-7"/>
        </w:rPr>
        <w:t> </w:t>
      </w:r>
      <w:r>
        <w:rPr>
          <w:color w:val="231F20"/>
        </w:rPr>
        <w:t>providers</w:t>
      </w:r>
      <w:r>
        <w:rPr>
          <w:color w:val="231F20"/>
          <w:spacing w:val="-7"/>
        </w:rPr>
        <w:t> </w:t>
      </w:r>
      <w:r>
        <w:rPr>
          <w:color w:val="231F20"/>
        </w:rPr>
        <w:t>analysed</w:t>
      </w:r>
      <w:r>
        <w:rPr>
          <w:color w:val="231F20"/>
          <w:spacing w:val="-6"/>
        </w:rPr>
        <w:t> </w:t>
      </w:r>
      <w:r>
        <w:rPr>
          <w:color w:val="231F20"/>
          <w:spacing w:val="-1"/>
        </w:rPr>
        <w:t>in</w:t>
      </w:r>
      <w:r>
        <w:rPr>
          <w:color w:val="231F20"/>
          <w:spacing w:val="-6"/>
        </w:rPr>
        <w:t> </w:t>
      </w:r>
      <w:r>
        <w:rPr>
          <w:color w:val="231F20"/>
        </w:rPr>
        <w:t>this</w:t>
      </w:r>
      <w:r>
        <w:rPr>
          <w:color w:val="231F20"/>
          <w:spacing w:val="-6"/>
        </w:rPr>
        <w:t> </w:t>
      </w:r>
      <w:r>
        <w:rPr>
          <w:color w:val="231F20"/>
        </w:rPr>
        <w:t>report</w:t>
      </w:r>
      <w:r>
        <w:rPr>
          <w:color w:val="231F20"/>
          <w:spacing w:val="-7"/>
        </w:rPr>
        <w:t> </w:t>
      </w:r>
      <w:r>
        <w:rPr>
          <w:color w:val="231F20"/>
        </w:rPr>
        <w:t>have</w:t>
      </w:r>
      <w:r>
        <w:rPr>
          <w:color w:val="231F20"/>
          <w:spacing w:val="21"/>
          <w:w w:val="99"/>
        </w:rPr>
        <w:t> </w:t>
      </w:r>
      <w:r>
        <w:rPr>
          <w:rFonts w:ascii="Segoe UI"/>
          <w:color w:val="231F20"/>
        </w:rPr>
        <w:t>been classified into three categories according</w:t>
      </w:r>
      <w:r>
        <w:rPr>
          <w:rFonts w:ascii="Segoe UI"/>
          <w:color w:val="231F20"/>
        </w:rPr>
        <w:t> </w:t>
      </w:r>
      <w:r>
        <w:rPr>
          <w:color w:val="231F20"/>
        </w:rPr>
        <w:t>to</w:t>
      </w:r>
      <w:r>
        <w:rPr>
          <w:color w:val="231F20"/>
          <w:spacing w:val="-5"/>
        </w:rPr>
        <w:t> </w:t>
      </w:r>
      <w:r>
        <w:rPr>
          <w:color w:val="231F20"/>
        </w:rPr>
        <w:t>the</w:t>
      </w:r>
      <w:r>
        <w:rPr>
          <w:color w:val="231F20"/>
          <w:spacing w:val="-6"/>
        </w:rPr>
        <w:t> </w:t>
      </w:r>
      <w:r>
        <w:rPr>
          <w:color w:val="231F20"/>
        </w:rPr>
        <w:t>proportion</w:t>
      </w:r>
      <w:r>
        <w:rPr>
          <w:color w:val="231F20"/>
          <w:spacing w:val="-5"/>
        </w:rPr>
        <w:t> </w:t>
      </w:r>
      <w:r>
        <w:rPr>
          <w:color w:val="231F20"/>
        </w:rPr>
        <w:t>of</w:t>
      </w:r>
      <w:r>
        <w:rPr>
          <w:color w:val="231F20"/>
          <w:spacing w:val="-5"/>
        </w:rPr>
        <w:t> </w:t>
      </w:r>
      <w:r>
        <w:rPr>
          <w:color w:val="231F20"/>
        </w:rPr>
        <w:t>Aboriginal</w:t>
      </w:r>
      <w:r>
        <w:rPr>
          <w:color w:val="231F20"/>
          <w:spacing w:val="-5"/>
        </w:rPr>
        <w:t> </w:t>
      </w:r>
      <w:r>
        <w:rPr>
          <w:color w:val="231F20"/>
        </w:rPr>
        <w:t>and</w:t>
      </w:r>
      <w:r>
        <w:rPr>
          <w:color w:val="231F20"/>
          <w:spacing w:val="-5"/>
        </w:rPr>
        <w:t> Torres</w:t>
      </w:r>
      <w:r>
        <w:rPr>
          <w:color w:val="231F20"/>
          <w:spacing w:val="23"/>
          <w:w w:val="99"/>
        </w:rPr>
        <w:t> </w:t>
      </w:r>
      <w:r>
        <w:rPr>
          <w:color w:val="231F20"/>
          <w:spacing w:val="-2"/>
        </w:rPr>
        <w:t>Strait</w:t>
      </w:r>
      <w:r>
        <w:rPr>
          <w:color w:val="231F20"/>
          <w:spacing w:val="-7"/>
        </w:rPr>
        <w:t> </w:t>
      </w:r>
      <w:r>
        <w:rPr>
          <w:color w:val="231F20"/>
          <w:spacing w:val="-1"/>
        </w:rPr>
        <w:t>Islander</w:t>
      </w:r>
      <w:r>
        <w:rPr>
          <w:color w:val="231F20"/>
          <w:spacing w:val="-5"/>
        </w:rPr>
        <w:t> </w:t>
      </w:r>
      <w:r>
        <w:rPr>
          <w:color w:val="231F20"/>
        </w:rPr>
        <w:t>enrolments</w:t>
      </w:r>
      <w:r>
        <w:rPr>
          <w:color w:val="231F20"/>
          <w:spacing w:val="-7"/>
        </w:rPr>
        <w:t> </w:t>
      </w:r>
      <w:r>
        <w:rPr>
          <w:color w:val="231F20"/>
        </w:rPr>
        <w:t>to</w:t>
      </w:r>
      <w:r>
        <w:rPr>
          <w:color w:val="231F20"/>
          <w:spacing w:val="-5"/>
        </w:rPr>
        <w:t> </w:t>
      </w:r>
      <w:r>
        <w:rPr>
          <w:color w:val="231F20"/>
        </w:rPr>
        <w:t>total</w:t>
      </w:r>
      <w:r>
        <w:rPr>
          <w:color w:val="231F20"/>
          <w:spacing w:val="-6"/>
        </w:rPr>
        <w:t> </w:t>
      </w:r>
      <w:r>
        <w:rPr>
          <w:color w:val="231F20"/>
        </w:rPr>
        <w:t>enrolments.</w:t>
      </w:r>
      <w:r>
        <w:rPr>
          <w:color w:val="231F20"/>
          <w:spacing w:val="27"/>
          <w:w w:val="99"/>
        </w:rPr>
        <w:t> </w:t>
      </w:r>
      <w:r>
        <w:rPr>
          <w:color w:val="231F20"/>
        </w:rPr>
        <w:t>The</w:t>
      </w:r>
      <w:r>
        <w:rPr>
          <w:color w:val="231F20"/>
          <w:spacing w:val="-4"/>
        </w:rPr>
        <w:t> </w:t>
      </w:r>
      <w:r>
        <w:rPr>
          <w:color w:val="231F20"/>
        </w:rPr>
        <w:t>average</w:t>
      </w:r>
      <w:r>
        <w:rPr>
          <w:color w:val="231F20"/>
          <w:spacing w:val="-4"/>
        </w:rPr>
        <w:t> </w:t>
      </w:r>
      <w:r>
        <w:rPr>
          <w:color w:val="231F20"/>
        </w:rPr>
        <w:t>enrolments</w:t>
      </w:r>
      <w:r>
        <w:rPr>
          <w:color w:val="231F20"/>
          <w:spacing w:val="-5"/>
        </w:rPr>
        <w:t> </w:t>
      </w:r>
      <w:r>
        <w:rPr>
          <w:color w:val="231F20"/>
        </w:rPr>
        <w:t>over</w:t>
      </w:r>
      <w:r>
        <w:rPr>
          <w:color w:val="231F20"/>
          <w:spacing w:val="-3"/>
        </w:rPr>
        <w:t> </w:t>
      </w:r>
      <w:r>
        <w:rPr>
          <w:color w:val="231F20"/>
          <w:spacing w:val="-1"/>
        </w:rPr>
        <w:t>2016</w:t>
      </w:r>
      <w:r>
        <w:rPr>
          <w:color w:val="231F20"/>
          <w:spacing w:val="-4"/>
        </w:rPr>
        <w:t> </w:t>
      </w:r>
      <w:r>
        <w:rPr>
          <w:color w:val="231F20"/>
        </w:rPr>
        <w:t>and</w:t>
      </w:r>
      <w:r>
        <w:rPr/>
      </w:r>
    </w:p>
    <w:p>
      <w:pPr>
        <w:pStyle w:val="BodyText"/>
        <w:spacing w:line="250" w:lineRule="exact"/>
        <w:ind w:left="100" w:right="12"/>
        <w:jc w:val="left"/>
      </w:pPr>
      <w:r>
        <w:rPr>
          <w:color w:val="231F20"/>
          <w:spacing w:val="-1"/>
        </w:rPr>
        <w:t>2017</w:t>
      </w:r>
      <w:r>
        <w:rPr>
          <w:color w:val="231F20"/>
          <w:spacing w:val="-4"/>
        </w:rPr>
        <w:t> </w:t>
      </w:r>
      <w:r>
        <w:rPr>
          <w:color w:val="231F20"/>
        </w:rPr>
        <w:t>have</w:t>
      </w:r>
      <w:r>
        <w:rPr>
          <w:color w:val="231F20"/>
          <w:spacing w:val="-5"/>
        </w:rPr>
        <w:t> </w:t>
      </w:r>
      <w:r>
        <w:rPr>
          <w:color w:val="231F20"/>
        </w:rPr>
        <w:t>been</w:t>
      </w:r>
      <w:r>
        <w:rPr>
          <w:color w:val="231F20"/>
          <w:spacing w:val="-5"/>
        </w:rPr>
        <w:t> </w:t>
      </w:r>
      <w:r>
        <w:rPr>
          <w:color w:val="231F20"/>
        </w:rPr>
        <w:t>used.</w:t>
      </w:r>
      <w:r>
        <w:rPr>
          <w:color w:val="231F20"/>
          <w:spacing w:val="-5"/>
        </w:rPr>
        <w:t> </w:t>
      </w:r>
      <w:r>
        <w:rPr>
          <w:color w:val="231F20"/>
        </w:rPr>
        <w:t>This</w:t>
      </w:r>
      <w:r>
        <w:rPr>
          <w:color w:val="231F20"/>
          <w:spacing w:val="-5"/>
        </w:rPr>
        <w:t> </w:t>
      </w:r>
      <w:r>
        <w:rPr>
          <w:color w:val="231F20"/>
        </w:rPr>
        <w:t>data</w:t>
      </w:r>
      <w:r>
        <w:rPr>
          <w:color w:val="231F20"/>
          <w:spacing w:val="-5"/>
        </w:rPr>
        <w:t> </w:t>
      </w:r>
      <w:r>
        <w:rPr>
          <w:color w:val="231F20"/>
        </w:rPr>
        <w:t>was</w:t>
      </w:r>
      <w:r>
        <w:rPr>
          <w:color w:val="231F20"/>
          <w:spacing w:val="-5"/>
        </w:rPr>
        <w:t> </w:t>
      </w:r>
      <w:r>
        <w:rPr>
          <w:color w:val="231F20"/>
          <w:spacing w:val="-1"/>
        </w:rPr>
        <w:t>sourced</w:t>
      </w:r>
      <w:r>
        <w:rPr>
          <w:color w:val="231F20"/>
          <w:spacing w:val="21"/>
          <w:w w:val="99"/>
        </w:rPr>
        <w:t> </w:t>
      </w:r>
      <w:r>
        <w:rPr>
          <w:color w:val="231F20"/>
        </w:rPr>
        <w:t>from</w:t>
      </w:r>
      <w:r>
        <w:rPr>
          <w:color w:val="231F20"/>
          <w:spacing w:val="-6"/>
        </w:rPr>
        <w:t> </w:t>
      </w:r>
      <w:r>
        <w:rPr>
          <w:color w:val="231F20"/>
          <w:spacing w:val="-2"/>
        </w:rPr>
        <w:t>ACARA's</w:t>
      </w:r>
      <w:r>
        <w:rPr>
          <w:color w:val="231F20"/>
          <w:spacing w:val="-5"/>
        </w:rPr>
        <w:t> </w:t>
      </w:r>
      <w:r>
        <w:rPr>
          <w:color w:val="231F20"/>
        </w:rPr>
        <w:t>MySchool</w:t>
      </w:r>
      <w:r>
        <w:rPr>
          <w:color w:val="231F20"/>
          <w:spacing w:val="-7"/>
        </w:rPr>
        <w:t> </w:t>
      </w:r>
      <w:r>
        <w:rPr>
          <w:color w:val="231F20"/>
        </w:rPr>
        <w:t>website</w:t>
      </w:r>
      <w:r>
        <w:rPr>
          <w:color w:val="231F20"/>
          <w:spacing w:val="-6"/>
        </w:rPr>
        <w:t> </w:t>
      </w:r>
      <w:r>
        <w:rPr>
          <w:color w:val="231F20"/>
        </w:rPr>
        <w:t>and</w:t>
      </w:r>
      <w:r>
        <w:rPr>
          <w:color w:val="231F20"/>
          <w:spacing w:val="-7"/>
        </w:rPr>
        <w:t> </w:t>
      </w:r>
      <w:r>
        <w:rPr>
          <w:color w:val="231F20"/>
        </w:rPr>
        <w:t>from</w:t>
      </w:r>
      <w:r>
        <w:rPr>
          <w:color w:val="231F20"/>
          <w:spacing w:val="26"/>
          <w:w w:val="99"/>
        </w:rPr>
        <w:t> </w:t>
      </w:r>
      <w:r>
        <w:rPr>
          <w:color w:val="231F20"/>
        </w:rPr>
        <w:t>consultations</w:t>
      </w:r>
      <w:r>
        <w:rPr>
          <w:color w:val="231F20"/>
          <w:spacing w:val="-8"/>
        </w:rPr>
        <w:t> </w:t>
      </w:r>
      <w:r>
        <w:rPr>
          <w:color w:val="231F20"/>
        </w:rPr>
        <w:t>with</w:t>
      </w:r>
      <w:r>
        <w:rPr>
          <w:color w:val="231F20"/>
          <w:spacing w:val="-8"/>
        </w:rPr>
        <w:t> </w:t>
      </w:r>
      <w:r>
        <w:rPr>
          <w:color w:val="231F20"/>
        </w:rPr>
        <w:t>boarding</w:t>
      </w:r>
      <w:r>
        <w:rPr>
          <w:color w:val="231F20"/>
          <w:spacing w:val="-8"/>
        </w:rPr>
        <w:t> </w:t>
      </w:r>
      <w:r>
        <w:rPr>
          <w:color w:val="231F20"/>
        </w:rPr>
        <w:t>providers.</w:t>
      </w:r>
      <w:r>
        <w:rPr/>
      </w:r>
    </w:p>
    <w:p>
      <w:pPr>
        <w:pStyle w:val="BodyText"/>
        <w:spacing w:line="240" w:lineRule="auto" w:before="46"/>
        <w:ind w:left="100" w:right="0"/>
        <w:jc w:val="left"/>
      </w:pPr>
      <w:r>
        <w:rPr/>
        <w:br w:type="column"/>
      </w:r>
      <w:r>
        <w:rPr>
          <w:color w:val="231F20"/>
        </w:rPr>
        <w:t>The</w:t>
      </w:r>
      <w:r>
        <w:rPr>
          <w:color w:val="231F20"/>
          <w:spacing w:val="-6"/>
        </w:rPr>
        <w:t> </w:t>
      </w:r>
      <w:r>
        <w:rPr>
          <w:color w:val="231F20"/>
        </w:rPr>
        <w:t>categories</w:t>
      </w:r>
      <w:r>
        <w:rPr>
          <w:color w:val="231F20"/>
          <w:spacing w:val="-6"/>
        </w:rPr>
        <w:t> </w:t>
      </w:r>
      <w:r>
        <w:rPr>
          <w:color w:val="231F20"/>
        </w:rPr>
        <w:t>used</w:t>
      </w:r>
      <w:r>
        <w:rPr>
          <w:color w:val="231F20"/>
          <w:spacing w:val="-6"/>
        </w:rPr>
        <w:t> </w:t>
      </w:r>
      <w:r>
        <w:rPr>
          <w:color w:val="231F20"/>
        </w:rPr>
        <w:t>are:</w:t>
      </w:r>
      <w:r>
        <w:rPr/>
      </w:r>
    </w:p>
    <w:p>
      <w:pPr>
        <w:pStyle w:val="BodyText"/>
        <w:spacing w:line="250" w:lineRule="exact" w:before="113"/>
        <w:ind w:left="327" w:right="466" w:hanging="227"/>
        <w:jc w:val="left"/>
      </w:pPr>
      <w:r>
        <w:rPr>
          <w:rFonts w:ascii="Century Gothic" w:hAnsi="Century Gothic" w:cs="Century Gothic" w:eastAsia="Century Gothic"/>
          <w:color w:val="231F20"/>
        </w:rPr>
        <w:t>» </w:t>
      </w:r>
      <w:r>
        <w:rPr>
          <w:rFonts w:ascii="Century Gothic" w:hAnsi="Century Gothic" w:cs="Century Gothic" w:eastAsia="Century Gothic"/>
          <w:color w:val="231F20"/>
          <w:spacing w:val="19"/>
        </w:rPr>
        <w:t> </w:t>
      </w:r>
      <w:r>
        <w:rPr>
          <w:rFonts w:ascii="Segoe UI" w:hAnsi="Segoe UI" w:cs="Segoe UI" w:eastAsia="Segoe UI"/>
          <w:b/>
          <w:bCs/>
          <w:color w:val="231F20"/>
          <w:spacing w:val="-1"/>
        </w:rPr>
        <w:t>Low</w:t>
      </w:r>
      <w:r>
        <w:rPr>
          <w:color w:val="231F20"/>
          <w:spacing w:val="-1"/>
        </w:rPr>
        <w:t>—the</w:t>
      </w:r>
      <w:r>
        <w:rPr>
          <w:color w:val="231F20"/>
          <w:spacing w:val="-5"/>
        </w:rPr>
        <w:t> </w:t>
      </w:r>
      <w:r>
        <w:rPr>
          <w:color w:val="231F20"/>
        </w:rPr>
        <w:t>proportion</w:t>
      </w:r>
      <w:r>
        <w:rPr>
          <w:color w:val="231F20"/>
          <w:spacing w:val="-5"/>
        </w:rPr>
        <w:t> </w:t>
      </w:r>
      <w:r>
        <w:rPr>
          <w:color w:val="231F20"/>
        </w:rPr>
        <w:t>of</w:t>
      </w:r>
      <w:r>
        <w:rPr>
          <w:color w:val="231F20"/>
          <w:spacing w:val="-5"/>
        </w:rPr>
        <w:t> </w:t>
      </w:r>
      <w:r>
        <w:rPr>
          <w:color w:val="231F20"/>
        </w:rPr>
        <w:t>Aboriginal</w:t>
      </w:r>
      <w:r>
        <w:rPr>
          <w:color w:val="231F20"/>
          <w:spacing w:val="-4"/>
        </w:rPr>
        <w:t> </w:t>
      </w:r>
      <w:r>
        <w:rPr>
          <w:color w:val="231F20"/>
        </w:rPr>
        <w:t>and</w:t>
      </w:r>
      <w:r>
        <w:rPr>
          <w:color w:val="231F20"/>
          <w:spacing w:val="25"/>
          <w:w w:val="99"/>
        </w:rPr>
        <w:t> </w:t>
      </w:r>
      <w:r>
        <w:rPr>
          <w:color w:val="231F20"/>
          <w:spacing w:val="-5"/>
        </w:rPr>
        <w:t>Torres</w:t>
      </w:r>
      <w:r>
        <w:rPr>
          <w:color w:val="231F20"/>
          <w:spacing w:val="-4"/>
        </w:rPr>
        <w:t> </w:t>
      </w:r>
      <w:r>
        <w:rPr>
          <w:color w:val="231F20"/>
          <w:spacing w:val="-2"/>
        </w:rPr>
        <w:t>Strait</w:t>
      </w:r>
      <w:r>
        <w:rPr>
          <w:color w:val="231F20"/>
          <w:spacing w:val="-4"/>
        </w:rPr>
        <w:t> </w:t>
      </w:r>
      <w:r>
        <w:rPr>
          <w:color w:val="231F20"/>
          <w:spacing w:val="-1"/>
        </w:rPr>
        <w:t>Islander</w:t>
      </w:r>
      <w:r>
        <w:rPr>
          <w:color w:val="231F20"/>
          <w:spacing w:val="-3"/>
        </w:rPr>
        <w:t> </w:t>
      </w:r>
      <w:r>
        <w:rPr>
          <w:color w:val="231F20"/>
        </w:rPr>
        <w:t>enrolments</w:t>
      </w:r>
      <w:r>
        <w:rPr>
          <w:color w:val="231F20"/>
          <w:spacing w:val="-4"/>
        </w:rPr>
        <w:t> </w:t>
      </w:r>
      <w:r>
        <w:rPr>
          <w:color w:val="231F20"/>
          <w:spacing w:val="-1"/>
        </w:rPr>
        <w:t>is</w:t>
      </w:r>
      <w:r>
        <w:rPr>
          <w:color w:val="231F20"/>
          <w:spacing w:val="-4"/>
        </w:rPr>
        <w:t> </w:t>
      </w:r>
      <w:r>
        <w:rPr>
          <w:color w:val="231F20"/>
        </w:rPr>
        <w:t>below</w:t>
      </w:r>
      <w:r>
        <w:rPr>
          <w:color w:val="231F20"/>
          <w:spacing w:val="23"/>
          <w:w w:val="99"/>
        </w:rPr>
        <w:t> </w:t>
      </w:r>
      <w:r>
        <w:rPr>
          <w:color w:val="231F20"/>
        </w:rPr>
        <w:t>20</w:t>
      </w:r>
      <w:r>
        <w:rPr>
          <w:color w:val="231F20"/>
          <w:spacing w:val="-3"/>
        </w:rPr>
        <w:t> </w:t>
      </w:r>
      <w:r>
        <w:rPr>
          <w:color w:val="231F20"/>
        </w:rPr>
        <w:t>per</w:t>
      </w:r>
      <w:r>
        <w:rPr>
          <w:color w:val="231F20"/>
          <w:spacing w:val="-3"/>
        </w:rPr>
        <w:t> </w:t>
      </w:r>
      <w:r>
        <w:rPr>
          <w:color w:val="231F20"/>
        </w:rPr>
        <w:t>cent</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total</w:t>
      </w:r>
      <w:r>
        <w:rPr>
          <w:color w:val="231F20"/>
          <w:spacing w:val="-4"/>
        </w:rPr>
        <w:t> </w:t>
      </w:r>
      <w:r>
        <w:rPr>
          <w:color w:val="231F20"/>
        </w:rPr>
        <w:t>enrolments</w:t>
      </w:r>
      <w:r>
        <w:rPr/>
      </w:r>
    </w:p>
    <w:p>
      <w:pPr>
        <w:pStyle w:val="BodyText"/>
        <w:spacing w:line="250" w:lineRule="exact"/>
        <w:ind w:left="327" w:right="0"/>
        <w:jc w:val="left"/>
      </w:pPr>
      <w:r>
        <w:rPr>
          <w:color w:val="231F20"/>
        </w:rPr>
        <w:t>(5</w:t>
      </w:r>
      <w:r>
        <w:rPr>
          <w:color w:val="231F20"/>
          <w:spacing w:val="-12"/>
        </w:rPr>
        <w:t> </w:t>
      </w:r>
      <w:r>
        <w:rPr>
          <w:color w:val="231F20"/>
        </w:rPr>
        <w:t>providers)</w:t>
      </w:r>
      <w:r>
        <w:rPr/>
      </w:r>
    </w:p>
    <w:p>
      <w:pPr>
        <w:pStyle w:val="BodyText"/>
        <w:spacing w:line="240" w:lineRule="auto" w:before="97"/>
        <w:ind w:left="100" w:right="0"/>
        <w:jc w:val="left"/>
      </w:pPr>
      <w:r>
        <w:rPr>
          <w:rFonts w:ascii="Century Gothic" w:hAnsi="Century Gothic" w:cs="Century Gothic" w:eastAsia="Century Gothic"/>
          <w:color w:val="231F20"/>
        </w:rPr>
        <w:t>» </w:t>
      </w:r>
      <w:r>
        <w:rPr>
          <w:rFonts w:ascii="Century Gothic" w:hAnsi="Century Gothic" w:cs="Century Gothic" w:eastAsia="Century Gothic"/>
          <w:color w:val="231F20"/>
          <w:spacing w:val="25"/>
        </w:rPr>
        <w:t> </w:t>
      </w:r>
      <w:r>
        <w:rPr>
          <w:rFonts w:ascii="Segoe UI" w:hAnsi="Segoe UI" w:cs="Segoe UI" w:eastAsia="Segoe UI"/>
          <w:b/>
          <w:bCs/>
          <w:color w:val="231F20"/>
          <w:spacing w:val="-1"/>
        </w:rPr>
        <w:t>Medium</w:t>
      </w:r>
      <w:r>
        <w:rPr>
          <w:color w:val="231F20"/>
          <w:spacing w:val="-1"/>
        </w:rPr>
        <w:t>—20</w:t>
      </w:r>
      <w:r>
        <w:rPr>
          <w:color w:val="231F20"/>
          <w:spacing w:val="-4"/>
        </w:rPr>
        <w:t> </w:t>
      </w:r>
      <w:r>
        <w:rPr>
          <w:color w:val="231F20"/>
        </w:rPr>
        <w:t>to</w:t>
      </w:r>
      <w:r>
        <w:rPr>
          <w:color w:val="231F20"/>
          <w:spacing w:val="-2"/>
        </w:rPr>
        <w:t> </w:t>
      </w:r>
      <w:r>
        <w:rPr>
          <w:color w:val="231F20"/>
          <w:spacing w:val="-1"/>
        </w:rPr>
        <w:t>65</w:t>
      </w:r>
      <w:r>
        <w:rPr>
          <w:color w:val="231F20"/>
          <w:spacing w:val="-3"/>
        </w:rPr>
        <w:t> </w:t>
      </w:r>
      <w:r>
        <w:rPr>
          <w:color w:val="231F20"/>
        </w:rPr>
        <w:t>per</w:t>
      </w:r>
      <w:r>
        <w:rPr>
          <w:color w:val="231F20"/>
          <w:spacing w:val="-2"/>
        </w:rPr>
        <w:t> </w:t>
      </w:r>
      <w:r>
        <w:rPr>
          <w:color w:val="231F20"/>
        </w:rPr>
        <w:t>cent</w:t>
      </w:r>
      <w:r>
        <w:rPr>
          <w:color w:val="231F20"/>
          <w:spacing w:val="-3"/>
        </w:rPr>
        <w:t> </w:t>
      </w:r>
      <w:r>
        <w:rPr>
          <w:color w:val="231F20"/>
        </w:rPr>
        <w:t>(5</w:t>
      </w:r>
      <w:r>
        <w:rPr>
          <w:color w:val="231F20"/>
          <w:spacing w:val="-4"/>
        </w:rPr>
        <w:t> </w:t>
      </w:r>
      <w:r>
        <w:rPr>
          <w:color w:val="231F20"/>
        </w:rPr>
        <w:t>providers)</w:t>
      </w:r>
      <w:r>
        <w:rPr/>
      </w:r>
    </w:p>
    <w:p>
      <w:pPr>
        <w:pStyle w:val="BodyText"/>
        <w:spacing w:line="240" w:lineRule="auto" w:before="97"/>
        <w:ind w:left="100" w:right="0"/>
        <w:jc w:val="left"/>
      </w:pPr>
      <w:r>
        <w:rPr>
          <w:rFonts w:ascii="Century Gothic" w:hAnsi="Century Gothic" w:cs="Century Gothic" w:eastAsia="Century Gothic"/>
          <w:color w:val="231F20"/>
        </w:rPr>
        <w:t>» </w:t>
      </w:r>
      <w:r>
        <w:rPr>
          <w:rFonts w:ascii="Century Gothic" w:hAnsi="Century Gothic" w:cs="Century Gothic" w:eastAsia="Century Gothic"/>
          <w:color w:val="231F20"/>
          <w:spacing w:val="22"/>
        </w:rPr>
        <w:t> </w:t>
      </w:r>
      <w:r>
        <w:rPr>
          <w:rFonts w:ascii="Segoe UI" w:hAnsi="Segoe UI" w:cs="Segoe UI" w:eastAsia="Segoe UI"/>
          <w:b/>
          <w:bCs/>
          <w:color w:val="231F20"/>
          <w:spacing w:val="-1"/>
        </w:rPr>
        <w:t>High</w:t>
      </w:r>
      <w:r>
        <w:rPr>
          <w:color w:val="231F20"/>
          <w:spacing w:val="-1"/>
        </w:rPr>
        <w:t>—over</w:t>
      </w:r>
      <w:r>
        <w:rPr>
          <w:color w:val="231F20"/>
          <w:spacing w:val="-3"/>
        </w:rPr>
        <w:t> </w:t>
      </w:r>
      <w:r>
        <w:rPr>
          <w:color w:val="231F20"/>
          <w:spacing w:val="-1"/>
        </w:rPr>
        <w:t>65</w:t>
      </w:r>
      <w:r>
        <w:rPr>
          <w:color w:val="231F20"/>
          <w:spacing w:val="-4"/>
        </w:rPr>
        <w:t> </w:t>
      </w:r>
      <w:r>
        <w:rPr>
          <w:color w:val="231F20"/>
        </w:rPr>
        <w:t>per</w:t>
      </w:r>
      <w:r>
        <w:rPr>
          <w:color w:val="231F20"/>
          <w:spacing w:val="-3"/>
        </w:rPr>
        <w:t> </w:t>
      </w:r>
      <w:r>
        <w:rPr>
          <w:color w:val="231F20"/>
        </w:rPr>
        <w:t>cent</w:t>
      </w:r>
      <w:r>
        <w:rPr>
          <w:color w:val="231F20"/>
          <w:spacing w:val="-5"/>
        </w:rPr>
        <w:t> </w:t>
      </w:r>
      <w:r>
        <w:rPr>
          <w:color w:val="231F20"/>
        </w:rPr>
        <w:t>(17</w:t>
      </w:r>
      <w:r>
        <w:rPr>
          <w:color w:val="231F20"/>
          <w:spacing w:val="-4"/>
        </w:rPr>
        <w:t> </w:t>
      </w:r>
      <w:r>
        <w:rPr>
          <w:color w:val="231F20"/>
        </w:rPr>
        <w:t>providers)</w:t>
      </w:r>
      <w:r>
        <w:rPr/>
      </w:r>
    </w:p>
    <w:p>
      <w:pPr>
        <w:pStyle w:val="BodyText"/>
        <w:spacing w:line="250" w:lineRule="exact" w:before="113"/>
        <w:ind w:left="100" w:right="466"/>
        <w:jc w:val="left"/>
      </w:pPr>
      <w:r>
        <w:rPr>
          <w:color w:val="231F20"/>
        </w:rPr>
        <w:t>The</w:t>
      </w:r>
      <w:r>
        <w:rPr>
          <w:color w:val="231F20"/>
          <w:spacing w:val="-6"/>
        </w:rPr>
        <w:t> </w:t>
      </w:r>
      <w:r>
        <w:rPr>
          <w:color w:val="231F20"/>
        </w:rPr>
        <w:t>proportion</w:t>
      </w:r>
      <w:r>
        <w:rPr>
          <w:color w:val="231F20"/>
          <w:spacing w:val="-6"/>
        </w:rPr>
        <w:t> </w:t>
      </w:r>
      <w:r>
        <w:rPr>
          <w:color w:val="231F20"/>
        </w:rPr>
        <w:t>of</w:t>
      </w:r>
      <w:r>
        <w:rPr>
          <w:color w:val="231F20"/>
          <w:spacing w:val="-5"/>
        </w:rPr>
        <w:t> </w:t>
      </w:r>
      <w:r>
        <w:rPr>
          <w:color w:val="231F20"/>
        </w:rPr>
        <w:t>Aboriginal</w:t>
      </w:r>
      <w:r>
        <w:rPr>
          <w:color w:val="231F20"/>
          <w:spacing w:val="-6"/>
        </w:rPr>
        <w:t> </w:t>
      </w:r>
      <w:r>
        <w:rPr>
          <w:color w:val="231F20"/>
        </w:rPr>
        <w:t>and</w:t>
      </w:r>
      <w:r>
        <w:rPr>
          <w:color w:val="231F20"/>
          <w:spacing w:val="-6"/>
        </w:rPr>
        <w:t> </w:t>
      </w:r>
      <w:r>
        <w:rPr>
          <w:color w:val="231F20"/>
          <w:spacing w:val="-5"/>
        </w:rPr>
        <w:t>Torres</w:t>
      </w:r>
      <w:r>
        <w:rPr>
          <w:color w:val="231F20"/>
          <w:spacing w:val="23"/>
          <w:w w:val="99"/>
        </w:rPr>
        <w:t> </w:t>
      </w:r>
      <w:r>
        <w:rPr>
          <w:color w:val="231F20"/>
          <w:spacing w:val="-2"/>
        </w:rPr>
        <w:t>Strait</w:t>
      </w:r>
      <w:r>
        <w:rPr>
          <w:color w:val="231F20"/>
          <w:spacing w:val="-6"/>
        </w:rPr>
        <w:t> </w:t>
      </w:r>
      <w:r>
        <w:rPr>
          <w:color w:val="231F20"/>
          <w:spacing w:val="-1"/>
        </w:rPr>
        <w:t>Islander</w:t>
      </w:r>
      <w:r>
        <w:rPr>
          <w:color w:val="231F20"/>
          <w:spacing w:val="-5"/>
        </w:rPr>
        <w:t> </w:t>
      </w:r>
      <w:r>
        <w:rPr>
          <w:color w:val="231F20"/>
          <w:spacing w:val="-1"/>
        </w:rPr>
        <w:t>students</w:t>
      </w:r>
      <w:r>
        <w:rPr>
          <w:color w:val="231F20"/>
          <w:spacing w:val="-4"/>
        </w:rPr>
        <w:t> </w:t>
      </w:r>
      <w:r>
        <w:rPr>
          <w:color w:val="231F20"/>
        </w:rPr>
        <w:t>at</w:t>
      </w:r>
      <w:r>
        <w:rPr>
          <w:color w:val="231F20"/>
          <w:spacing w:val="-5"/>
        </w:rPr>
        <w:t> </w:t>
      </w:r>
      <w:r>
        <w:rPr>
          <w:color w:val="231F20"/>
        </w:rPr>
        <w:t>the</w:t>
      </w:r>
      <w:r>
        <w:rPr>
          <w:color w:val="231F20"/>
          <w:spacing w:val="-5"/>
        </w:rPr>
        <w:t> </w:t>
      </w:r>
      <w:r>
        <w:rPr>
          <w:color w:val="231F20"/>
        </w:rPr>
        <w:t>Aboriginal</w:t>
      </w:r>
      <w:r>
        <w:rPr>
          <w:color w:val="231F20"/>
          <w:spacing w:val="-6"/>
        </w:rPr>
        <w:t> </w:t>
      </w:r>
      <w:r>
        <w:rPr>
          <w:color w:val="231F20"/>
          <w:spacing w:val="-6"/>
        </w:rPr>
      </w:r>
      <w:r>
        <w:rPr>
          <w:color w:val="231F20"/>
        </w:rPr>
        <w:t>and</w:t>
      </w:r>
      <w:r>
        <w:rPr>
          <w:color w:val="231F20"/>
          <w:spacing w:val="27"/>
        </w:rPr>
        <w:t> </w:t>
      </w:r>
      <w:r>
        <w:rPr>
          <w:color w:val="231F20"/>
          <w:spacing w:val="-5"/>
        </w:rPr>
        <w:t>Torres</w:t>
      </w:r>
      <w:r>
        <w:rPr>
          <w:color w:val="231F20"/>
          <w:spacing w:val="-7"/>
        </w:rPr>
        <w:t> </w:t>
      </w:r>
      <w:r>
        <w:rPr>
          <w:color w:val="231F20"/>
          <w:spacing w:val="-2"/>
        </w:rPr>
        <w:t>Strait</w:t>
      </w:r>
      <w:r>
        <w:rPr>
          <w:color w:val="231F20"/>
          <w:spacing w:val="-8"/>
        </w:rPr>
        <w:t> </w:t>
      </w:r>
      <w:r>
        <w:rPr>
          <w:color w:val="231F20"/>
          <w:spacing w:val="-1"/>
        </w:rPr>
        <w:t>Islander</w:t>
      </w:r>
      <w:r>
        <w:rPr>
          <w:color w:val="231F20"/>
          <w:spacing w:val="-6"/>
        </w:rPr>
        <w:t> </w:t>
      </w:r>
      <w:r>
        <w:rPr>
          <w:color w:val="231F20"/>
        </w:rPr>
        <w:t>boarding</w:t>
      </w:r>
      <w:r>
        <w:rPr>
          <w:color w:val="231F20"/>
          <w:spacing w:val="-8"/>
        </w:rPr>
        <w:t> </w:t>
      </w:r>
      <w:r>
        <w:rPr>
          <w:color w:val="231F20"/>
        </w:rPr>
        <w:t>providers</w:t>
      </w:r>
      <w:r>
        <w:rPr>
          <w:color w:val="231F20"/>
          <w:spacing w:val="21"/>
          <w:w w:val="99"/>
        </w:rPr>
        <w:t> </w:t>
      </w:r>
      <w:r>
        <w:rPr>
          <w:color w:val="231F20"/>
        </w:rPr>
        <w:t>ranged</w:t>
      </w:r>
      <w:r>
        <w:rPr>
          <w:color w:val="231F20"/>
          <w:spacing w:val="-5"/>
        </w:rPr>
        <w:t> </w:t>
      </w:r>
      <w:r>
        <w:rPr>
          <w:color w:val="231F20"/>
        </w:rPr>
        <w:t>from</w:t>
      </w:r>
      <w:r>
        <w:rPr>
          <w:color w:val="231F20"/>
          <w:spacing w:val="-3"/>
        </w:rPr>
        <w:t> </w:t>
      </w:r>
      <w:r>
        <w:rPr>
          <w:color w:val="231F20"/>
        </w:rPr>
        <w:t>6</w:t>
      </w:r>
      <w:r>
        <w:rPr>
          <w:color w:val="231F20"/>
          <w:spacing w:val="-3"/>
        </w:rPr>
        <w:t> </w:t>
      </w:r>
      <w:r>
        <w:rPr>
          <w:color w:val="231F20"/>
        </w:rPr>
        <w:t>per</w:t>
      </w:r>
      <w:r>
        <w:rPr>
          <w:color w:val="231F20"/>
          <w:spacing w:val="-4"/>
        </w:rPr>
        <w:t> </w:t>
      </w:r>
      <w:r>
        <w:rPr>
          <w:color w:val="231F20"/>
        </w:rPr>
        <w:t>cent</w:t>
      </w:r>
      <w:r>
        <w:rPr>
          <w:color w:val="231F20"/>
          <w:spacing w:val="-4"/>
        </w:rPr>
        <w:t> </w:t>
      </w:r>
      <w:r>
        <w:rPr>
          <w:color w:val="231F20"/>
        </w:rPr>
        <w:t>to</w:t>
      </w:r>
      <w:r>
        <w:rPr>
          <w:color w:val="231F20"/>
          <w:spacing w:val="-3"/>
        </w:rPr>
        <w:t> </w:t>
      </w:r>
      <w:r>
        <w:rPr>
          <w:color w:val="231F20"/>
          <w:spacing w:val="-1"/>
        </w:rPr>
        <w:t>100</w:t>
      </w:r>
      <w:r>
        <w:rPr>
          <w:color w:val="231F20"/>
          <w:spacing w:val="-3"/>
        </w:rPr>
        <w:t> </w:t>
      </w:r>
      <w:r>
        <w:rPr>
          <w:color w:val="231F20"/>
        </w:rPr>
        <w:t>per</w:t>
      </w:r>
      <w:r>
        <w:rPr>
          <w:color w:val="231F20"/>
          <w:spacing w:val="-4"/>
        </w:rPr>
        <w:t> </w:t>
      </w:r>
      <w:r>
        <w:rPr>
          <w:color w:val="231F20"/>
        </w:rPr>
        <w:t>cent.</w:t>
      </w:r>
      <w:r>
        <w:rPr>
          <w:color w:val="231F20"/>
          <w:spacing w:val="-4"/>
        </w:rPr>
        <w:t> </w:t>
      </w:r>
      <w:r>
        <w:rPr>
          <w:color w:val="231F20"/>
        </w:rPr>
        <w:t>The</w:t>
      </w:r>
      <w:r>
        <w:rPr>
          <w:color w:val="231F20"/>
          <w:spacing w:val="21"/>
          <w:w w:val="99"/>
        </w:rPr>
        <w:t> </w:t>
      </w:r>
      <w:r>
        <w:rPr>
          <w:color w:val="231F20"/>
          <w:spacing w:val="-1"/>
        </w:rPr>
        <w:t>median</w:t>
      </w:r>
      <w:r>
        <w:rPr>
          <w:color w:val="231F20"/>
          <w:spacing w:val="-5"/>
        </w:rPr>
        <w:t> </w:t>
      </w:r>
      <w:r>
        <w:rPr>
          <w:color w:val="231F20"/>
        </w:rPr>
        <w:t>proportion</w:t>
      </w:r>
      <w:r>
        <w:rPr>
          <w:color w:val="231F20"/>
          <w:spacing w:val="-5"/>
        </w:rPr>
        <w:t> </w:t>
      </w:r>
      <w:r>
        <w:rPr>
          <w:color w:val="231F20"/>
        </w:rPr>
        <w:t>was</w:t>
      </w:r>
      <w:r>
        <w:rPr>
          <w:color w:val="231F20"/>
          <w:spacing w:val="-6"/>
        </w:rPr>
        <w:t> </w:t>
      </w:r>
      <w:r>
        <w:rPr>
          <w:color w:val="231F20"/>
          <w:spacing w:val="-1"/>
        </w:rPr>
        <w:t>98.8</w:t>
      </w:r>
      <w:r>
        <w:rPr>
          <w:color w:val="231F20"/>
          <w:spacing w:val="-4"/>
        </w:rPr>
        <w:t> </w:t>
      </w:r>
      <w:r>
        <w:rPr>
          <w:color w:val="231F20"/>
        </w:rPr>
        <w:t>per</w:t>
      </w:r>
      <w:r>
        <w:rPr>
          <w:color w:val="231F20"/>
          <w:spacing w:val="-5"/>
        </w:rPr>
        <w:t> </w:t>
      </w:r>
      <w:r>
        <w:rPr>
          <w:color w:val="231F20"/>
        </w:rPr>
        <w:t>cent</w:t>
      </w:r>
      <w:r>
        <w:rPr>
          <w:color w:val="231F20"/>
          <w:spacing w:val="-5"/>
        </w:rPr>
        <w:t> </w:t>
      </w:r>
      <w:r>
        <w:rPr>
          <w:color w:val="231F20"/>
        </w:rPr>
        <w:t>and</w:t>
      </w:r>
      <w:r>
        <w:rPr/>
      </w:r>
    </w:p>
    <w:p>
      <w:pPr>
        <w:pStyle w:val="BodyText"/>
        <w:spacing w:line="250" w:lineRule="exact"/>
        <w:ind w:left="100" w:right="491"/>
        <w:jc w:val="both"/>
      </w:pPr>
      <w:r>
        <w:rPr>
          <w:color w:val="231F20"/>
        </w:rPr>
        <w:t>at</w:t>
      </w:r>
      <w:r>
        <w:rPr>
          <w:color w:val="231F20"/>
          <w:spacing w:val="-4"/>
        </w:rPr>
        <w:t> </w:t>
      </w:r>
      <w:r>
        <w:rPr>
          <w:color w:val="231F20"/>
          <w:spacing w:val="-1"/>
        </w:rPr>
        <w:t>12</w:t>
      </w:r>
      <w:r>
        <w:rPr>
          <w:color w:val="231F20"/>
          <w:spacing w:val="-3"/>
        </w:rPr>
        <w:t> </w:t>
      </w:r>
      <w:r>
        <w:rPr>
          <w:color w:val="231F20"/>
        </w:rPr>
        <w:t>boarding</w:t>
      </w:r>
      <w:r>
        <w:rPr>
          <w:color w:val="231F20"/>
          <w:spacing w:val="-4"/>
        </w:rPr>
        <w:t> </w:t>
      </w:r>
      <w:r>
        <w:rPr>
          <w:color w:val="231F20"/>
        </w:rPr>
        <w:t>providers</w:t>
      </w:r>
      <w:r>
        <w:rPr>
          <w:color w:val="231F20"/>
          <w:spacing w:val="-4"/>
        </w:rPr>
        <w:t> </w:t>
      </w:r>
      <w:r>
        <w:rPr>
          <w:color w:val="231F20"/>
        </w:rPr>
        <w:t>(44</w:t>
      </w:r>
      <w:r>
        <w:rPr>
          <w:color w:val="231F20"/>
          <w:spacing w:val="-4"/>
        </w:rPr>
        <w:t> </w:t>
      </w:r>
      <w:r>
        <w:rPr>
          <w:color w:val="231F20"/>
        </w:rPr>
        <w:t>per</w:t>
      </w:r>
      <w:r>
        <w:rPr>
          <w:color w:val="231F20"/>
          <w:spacing w:val="-4"/>
        </w:rPr>
        <w:t> </w:t>
      </w:r>
      <w:r>
        <w:rPr>
          <w:color w:val="231F20"/>
        </w:rPr>
        <w:t>cent)</w:t>
      </w:r>
      <w:r>
        <w:rPr>
          <w:color w:val="231F20"/>
          <w:spacing w:val="-3"/>
        </w:rPr>
        <w:t> </w:t>
      </w:r>
      <w:r>
        <w:rPr>
          <w:color w:val="231F20"/>
        </w:rPr>
        <w:t>all</w:t>
      </w:r>
      <w:r>
        <w:rPr>
          <w:color w:val="231F20"/>
          <w:spacing w:val="-4"/>
        </w:rPr>
        <w:t> </w:t>
      </w:r>
      <w:r>
        <w:rPr>
          <w:color w:val="231F20"/>
        </w:rPr>
        <w:t>of</w:t>
      </w:r>
      <w:r>
        <w:rPr>
          <w:color w:val="231F20"/>
          <w:spacing w:val="21"/>
          <w:w w:val="99"/>
        </w:rPr>
        <w:t> </w:t>
      </w:r>
      <w:r>
        <w:rPr>
          <w:color w:val="231F20"/>
        </w:rPr>
        <w:t>the</w:t>
      </w:r>
      <w:r>
        <w:rPr>
          <w:color w:val="231F20"/>
          <w:spacing w:val="-5"/>
        </w:rPr>
        <w:t> </w:t>
      </w:r>
      <w:r>
        <w:rPr>
          <w:color w:val="231F20"/>
          <w:spacing w:val="-1"/>
        </w:rPr>
        <w:t>students</w:t>
      </w:r>
      <w:r>
        <w:rPr>
          <w:color w:val="231F20"/>
          <w:spacing w:val="-3"/>
        </w:rPr>
        <w:t> </w:t>
      </w:r>
      <w:r>
        <w:rPr>
          <w:color w:val="231F20"/>
        </w:rPr>
        <w:t>were</w:t>
      </w:r>
      <w:r>
        <w:rPr>
          <w:color w:val="231F20"/>
          <w:spacing w:val="-4"/>
        </w:rPr>
        <w:t> </w:t>
      </w:r>
      <w:r>
        <w:rPr>
          <w:color w:val="231F20"/>
        </w:rPr>
        <w:t>Aboriginal</w:t>
      </w:r>
      <w:r>
        <w:rPr>
          <w:color w:val="231F20"/>
          <w:spacing w:val="-3"/>
        </w:rPr>
        <w:t> </w:t>
      </w:r>
      <w:r>
        <w:rPr>
          <w:color w:val="231F20"/>
        </w:rPr>
        <w:t>or</w:t>
      </w:r>
      <w:r>
        <w:rPr>
          <w:color w:val="231F20"/>
          <w:spacing w:val="-3"/>
        </w:rPr>
        <w:t> </w:t>
      </w:r>
      <w:r>
        <w:rPr>
          <w:color w:val="231F20"/>
          <w:spacing w:val="-5"/>
        </w:rPr>
        <w:t>Torres</w:t>
      </w:r>
      <w:r>
        <w:rPr>
          <w:color w:val="231F20"/>
          <w:spacing w:val="-3"/>
        </w:rPr>
        <w:t> </w:t>
      </w:r>
      <w:r>
        <w:rPr>
          <w:color w:val="231F20"/>
          <w:spacing w:val="-2"/>
        </w:rPr>
        <w:t>Strait</w:t>
      </w:r>
      <w:r>
        <w:rPr>
          <w:color w:val="231F20"/>
          <w:spacing w:val="21"/>
          <w:w w:val="99"/>
        </w:rPr>
        <w:t> </w:t>
      </w:r>
      <w:r>
        <w:rPr>
          <w:color w:val="231F20"/>
          <w:spacing w:val="-1"/>
        </w:rPr>
        <w:t>Islander,</w:t>
      </w:r>
      <w:r>
        <w:rPr>
          <w:color w:val="231F20"/>
          <w:spacing w:val="-7"/>
        </w:rPr>
        <w:t> </w:t>
      </w:r>
      <w:r>
        <w:rPr>
          <w:color w:val="231F20"/>
        </w:rPr>
        <w:t>or</w:t>
      </w:r>
      <w:r>
        <w:rPr>
          <w:color w:val="231F20"/>
          <w:spacing w:val="-7"/>
        </w:rPr>
        <w:t> </w:t>
      </w:r>
      <w:r>
        <w:rPr>
          <w:color w:val="231F20"/>
        </w:rPr>
        <w:t>both.</w:t>
      </w:r>
      <w:r>
        <w:rPr/>
      </w:r>
    </w:p>
    <w:p>
      <w:pPr>
        <w:pStyle w:val="BodyText"/>
        <w:spacing w:line="250" w:lineRule="exact" w:before="113"/>
        <w:ind w:left="100" w:right="124"/>
        <w:jc w:val="left"/>
      </w:pPr>
      <w:r>
        <w:rPr>
          <w:color w:val="231F20"/>
        </w:rPr>
        <w:t>Grant</w:t>
      </w:r>
      <w:r>
        <w:rPr>
          <w:color w:val="231F20"/>
          <w:spacing w:val="-8"/>
        </w:rPr>
        <w:t> </w:t>
      </w:r>
      <w:r>
        <w:rPr>
          <w:color w:val="231F20"/>
        </w:rPr>
        <w:t>Thornton</w:t>
      </w:r>
      <w:r>
        <w:rPr>
          <w:color w:val="231F20"/>
          <w:spacing w:val="-9"/>
        </w:rPr>
        <w:t> </w:t>
      </w:r>
      <w:r>
        <w:rPr>
          <w:color w:val="231F20"/>
        </w:rPr>
        <w:t>found</w:t>
      </w:r>
      <w:r>
        <w:rPr>
          <w:color w:val="231F20"/>
          <w:spacing w:val="-7"/>
        </w:rPr>
        <w:t> </w:t>
      </w:r>
      <w:r>
        <w:rPr>
          <w:color w:val="231F20"/>
        </w:rPr>
        <w:t>that</w:t>
      </w:r>
      <w:r>
        <w:rPr>
          <w:color w:val="231F20"/>
          <w:spacing w:val="-9"/>
        </w:rPr>
        <w:t> </w:t>
      </w:r>
      <w:r>
        <w:rPr>
          <w:color w:val="231F20"/>
        </w:rPr>
        <w:t>boarding</w:t>
      </w:r>
      <w:r>
        <w:rPr>
          <w:color w:val="231F20"/>
          <w:spacing w:val="-9"/>
        </w:rPr>
        <w:t> </w:t>
      </w:r>
      <w:r>
        <w:rPr>
          <w:color w:val="231F20"/>
        </w:rPr>
        <w:t>providers</w:t>
      </w:r>
      <w:r>
        <w:rPr>
          <w:color w:val="231F20"/>
          <w:w w:val="99"/>
        </w:rPr>
        <w:t> </w:t>
      </w:r>
      <w:r>
        <w:rPr>
          <w:color w:val="231F20"/>
        </w:rPr>
        <w:t>with</w:t>
      </w:r>
      <w:r>
        <w:rPr>
          <w:color w:val="231F20"/>
          <w:spacing w:val="-6"/>
        </w:rPr>
        <w:t> </w:t>
      </w:r>
      <w:r>
        <w:rPr>
          <w:color w:val="231F20"/>
        </w:rPr>
        <w:t>a</w:t>
      </w:r>
      <w:r>
        <w:rPr>
          <w:color w:val="231F20"/>
          <w:spacing w:val="-5"/>
        </w:rPr>
        <w:t> </w:t>
      </w:r>
      <w:r>
        <w:rPr>
          <w:color w:val="231F20"/>
        </w:rPr>
        <w:t>high</w:t>
      </w:r>
      <w:r>
        <w:rPr>
          <w:color w:val="231F20"/>
          <w:spacing w:val="-5"/>
        </w:rPr>
        <w:t> </w:t>
      </w:r>
      <w:r>
        <w:rPr>
          <w:color w:val="231F20"/>
        </w:rPr>
        <w:t>proportion</w:t>
      </w:r>
      <w:r>
        <w:rPr>
          <w:color w:val="231F20"/>
          <w:spacing w:val="-6"/>
        </w:rPr>
        <w:t> </w:t>
      </w:r>
      <w:r>
        <w:rPr>
          <w:color w:val="231F20"/>
        </w:rPr>
        <w:t>of</w:t>
      </w:r>
      <w:r>
        <w:rPr>
          <w:color w:val="231F20"/>
          <w:spacing w:val="-4"/>
        </w:rPr>
        <w:t> </w:t>
      </w:r>
      <w:r>
        <w:rPr>
          <w:color w:val="231F20"/>
        </w:rPr>
        <w:t>Aboriginal</w:t>
      </w:r>
      <w:r>
        <w:rPr>
          <w:color w:val="231F20"/>
          <w:spacing w:val="-5"/>
        </w:rPr>
        <w:t> </w:t>
      </w:r>
      <w:r>
        <w:rPr>
          <w:color w:val="231F20"/>
        </w:rPr>
        <w:t>and</w:t>
      </w:r>
      <w:r>
        <w:rPr>
          <w:color w:val="231F20"/>
          <w:spacing w:val="-5"/>
        </w:rPr>
        <w:t> Torres</w:t>
      </w:r>
      <w:r>
        <w:rPr>
          <w:color w:val="231F20"/>
          <w:spacing w:val="23"/>
          <w:w w:val="99"/>
        </w:rPr>
        <w:t> </w:t>
      </w:r>
      <w:r>
        <w:rPr>
          <w:color w:val="231F20"/>
          <w:spacing w:val="-2"/>
        </w:rPr>
        <w:t>Strait</w:t>
      </w:r>
      <w:r>
        <w:rPr>
          <w:color w:val="231F20"/>
          <w:spacing w:val="-7"/>
        </w:rPr>
        <w:t> </w:t>
      </w:r>
      <w:r>
        <w:rPr>
          <w:color w:val="231F20"/>
          <w:spacing w:val="-1"/>
        </w:rPr>
        <w:t>Islander</w:t>
      </w:r>
      <w:r>
        <w:rPr>
          <w:color w:val="231F20"/>
          <w:spacing w:val="-5"/>
        </w:rPr>
        <w:t> </w:t>
      </w:r>
      <w:r>
        <w:rPr>
          <w:color w:val="231F20"/>
          <w:spacing w:val="-1"/>
        </w:rPr>
        <w:t>students</w:t>
      </w:r>
      <w:r>
        <w:rPr>
          <w:color w:val="231F20"/>
          <w:spacing w:val="-6"/>
        </w:rPr>
        <w:t> </w:t>
      </w:r>
      <w:r>
        <w:rPr>
          <w:color w:val="231F20"/>
        </w:rPr>
        <w:t>achieve</w:t>
      </w:r>
      <w:r>
        <w:rPr>
          <w:color w:val="231F20"/>
          <w:spacing w:val="-6"/>
        </w:rPr>
        <w:t> </w:t>
      </w:r>
      <w:r>
        <w:rPr>
          <w:color w:val="231F20"/>
          <w:spacing w:val="-1"/>
        </w:rPr>
        <w:t>lower</w:t>
      </w:r>
      <w:r>
        <w:rPr>
          <w:color w:val="231F20"/>
          <w:spacing w:val="-5"/>
        </w:rPr>
        <w:t> </w:t>
      </w:r>
      <w:r>
        <w:rPr>
          <w:color w:val="231F20"/>
        </w:rPr>
        <w:t>NAPLAN</w:t>
      </w:r>
      <w:r>
        <w:rPr>
          <w:color w:val="231F20"/>
          <w:spacing w:val="27"/>
        </w:rPr>
        <w:t> </w:t>
      </w:r>
      <w:r>
        <w:rPr>
          <w:color w:val="231F20"/>
        </w:rPr>
        <w:t>results</w:t>
      </w:r>
      <w:r>
        <w:rPr>
          <w:color w:val="231F20"/>
          <w:spacing w:val="-5"/>
        </w:rPr>
        <w:t> </w:t>
      </w:r>
      <w:r>
        <w:rPr>
          <w:color w:val="231F20"/>
        </w:rPr>
        <w:t>and</w:t>
      </w:r>
      <w:r>
        <w:rPr>
          <w:color w:val="231F20"/>
          <w:spacing w:val="-5"/>
        </w:rPr>
        <w:t> </w:t>
      </w:r>
      <w:r>
        <w:rPr>
          <w:color w:val="231F20"/>
        </w:rPr>
        <w:t>attendance</w:t>
      </w:r>
      <w:r>
        <w:rPr>
          <w:color w:val="231F20"/>
          <w:spacing w:val="-5"/>
        </w:rPr>
        <w:t> </w:t>
      </w:r>
      <w:r>
        <w:rPr>
          <w:color w:val="231F20"/>
        </w:rPr>
        <w:t>rates,</w:t>
      </w:r>
      <w:r>
        <w:rPr>
          <w:color w:val="231F20"/>
          <w:spacing w:val="-5"/>
        </w:rPr>
        <w:t> </w:t>
      </w:r>
      <w:r>
        <w:rPr>
          <w:color w:val="231F20"/>
        </w:rPr>
        <w:t>which</w:t>
      </w:r>
      <w:r>
        <w:rPr>
          <w:color w:val="231F20"/>
          <w:spacing w:val="-5"/>
        </w:rPr>
        <w:t> </w:t>
      </w:r>
      <w:r>
        <w:rPr>
          <w:color w:val="231F20"/>
          <w:spacing w:val="-1"/>
        </w:rPr>
        <w:t>is</w:t>
      </w:r>
      <w:r>
        <w:rPr>
          <w:color w:val="231F20"/>
          <w:spacing w:val="-4"/>
        </w:rPr>
        <w:t> </w:t>
      </w:r>
      <w:r>
        <w:rPr>
          <w:color w:val="231F20"/>
        </w:rPr>
        <w:t>consistent</w:t>
      </w:r>
      <w:r>
        <w:rPr>
          <w:color w:val="231F20"/>
          <w:spacing w:val="21"/>
        </w:rPr>
        <w:t> </w:t>
      </w:r>
      <w:r>
        <w:rPr>
          <w:color w:val="231F20"/>
        </w:rPr>
        <w:t>with</w:t>
      </w:r>
      <w:r>
        <w:rPr>
          <w:color w:val="231F20"/>
          <w:spacing w:val="-5"/>
        </w:rPr>
        <w:t> </w:t>
      </w:r>
      <w:r>
        <w:rPr>
          <w:color w:val="231F20"/>
        </w:rPr>
        <w:t>the</w:t>
      </w:r>
      <w:r>
        <w:rPr>
          <w:color w:val="231F20"/>
          <w:spacing w:val="-4"/>
        </w:rPr>
        <w:t> </w:t>
      </w:r>
      <w:r>
        <w:rPr>
          <w:color w:val="231F20"/>
          <w:spacing w:val="-2"/>
        </w:rPr>
        <w:t>ACARA</w:t>
      </w:r>
      <w:r>
        <w:rPr>
          <w:color w:val="231F20"/>
          <w:spacing w:val="-3"/>
        </w:rPr>
        <w:t> </w:t>
      </w:r>
      <w:r>
        <w:rPr>
          <w:color w:val="231F20"/>
        </w:rPr>
        <w:t>data,</w:t>
      </w:r>
      <w:r>
        <w:rPr>
          <w:color w:val="231F20"/>
          <w:spacing w:val="-4"/>
        </w:rPr>
        <w:t> </w:t>
      </w:r>
      <w:r>
        <w:rPr>
          <w:color w:val="231F20"/>
        </w:rPr>
        <w:t>and</w:t>
      </w:r>
      <w:r>
        <w:rPr>
          <w:color w:val="231F20"/>
          <w:spacing w:val="-4"/>
        </w:rPr>
        <w:t> </w:t>
      </w:r>
      <w:r>
        <w:rPr>
          <w:color w:val="231F20"/>
          <w:spacing w:val="-1"/>
        </w:rPr>
        <w:t>incur</w:t>
      </w:r>
      <w:r>
        <w:rPr>
          <w:color w:val="231F20"/>
          <w:spacing w:val="-3"/>
        </w:rPr>
        <w:t> </w:t>
      </w:r>
      <w:r>
        <w:rPr>
          <w:color w:val="231F20"/>
        </w:rPr>
        <w:t>greater</w:t>
      </w:r>
      <w:r>
        <w:rPr>
          <w:color w:val="231F20"/>
          <w:spacing w:val="-4"/>
        </w:rPr>
        <w:t> </w:t>
      </w:r>
      <w:r>
        <w:rPr>
          <w:color w:val="231F20"/>
        </w:rPr>
        <w:t>costs</w:t>
      </w:r>
      <w:r>
        <w:rPr>
          <w:color w:val="231F20"/>
          <w:spacing w:val="-4"/>
        </w:rPr>
        <w:t> </w:t>
      </w:r>
      <w:r>
        <w:rPr>
          <w:color w:val="231F20"/>
          <w:spacing w:val="-1"/>
        </w:rPr>
        <w:t>in</w:t>
      </w:r>
      <w:r>
        <w:rPr>
          <w:color w:val="231F20"/>
          <w:spacing w:val="23"/>
        </w:rPr>
        <w:t> </w:t>
      </w:r>
      <w:r>
        <w:rPr>
          <w:color w:val="231F20"/>
        </w:rPr>
        <w:t>delivering</w:t>
      </w:r>
      <w:r>
        <w:rPr>
          <w:color w:val="231F20"/>
          <w:spacing w:val="-9"/>
        </w:rPr>
        <w:t> </w:t>
      </w:r>
      <w:r>
        <w:rPr>
          <w:color w:val="231F20"/>
        </w:rPr>
        <w:t>boarding.</w:t>
      </w:r>
      <w:r>
        <w:rPr>
          <w:color w:val="231F20"/>
          <w:spacing w:val="-9"/>
        </w:rPr>
        <w:t> </w:t>
      </w:r>
      <w:r>
        <w:rPr>
          <w:color w:val="231F20"/>
        </w:rPr>
        <w:t>Attendance</w:t>
      </w:r>
      <w:r>
        <w:rPr>
          <w:color w:val="231F20"/>
          <w:spacing w:val="-8"/>
        </w:rPr>
        <w:t> </w:t>
      </w:r>
      <w:r>
        <w:rPr>
          <w:color w:val="231F20"/>
        </w:rPr>
        <w:t>ranged</w:t>
      </w:r>
      <w:r>
        <w:rPr>
          <w:color w:val="231F20"/>
          <w:spacing w:val="-9"/>
        </w:rPr>
        <w:t> </w:t>
      </w:r>
      <w:r>
        <w:rPr>
          <w:color w:val="231F20"/>
        </w:rPr>
        <w:t>from</w:t>
      </w:r>
      <w:r>
        <w:rPr>
          <w:color w:val="231F20"/>
          <w:spacing w:val="-9"/>
        </w:rPr>
        <w:t> </w:t>
      </w:r>
      <w:r>
        <w:rPr>
          <w:color w:val="231F20"/>
          <w:spacing w:val="-9"/>
        </w:rPr>
      </w:r>
      <w:r>
        <w:rPr>
          <w:color w:val="231F20"/>
        </w:rPr>
        <w:t>an</w:t>
      </w:r>
      <w:r>
        <w:rPr>
          <w:color w:val="231F20"/>
          <w:spacing w:val="-1"/>
        </w:rPr>
        <w:t> </w:t>
      </w:r>
      <w:r>
        <w:rPr>
          <w:color w:val="231F20"/>
        </w:rPr>
        <w:t>average</w:t>
      </w:r>
      <w:r>
        <w:rPr>
          <w:color w:val="231F20"/>
          <w:spacing w:val="-6"/>
        </w:rPr>
        <w:t> </w:t>
      </w:r>
      <w:r>
        <w:rPr>
          <w:color w:val="231F20"/>
        </w:rPr>
        <w:t>of</w:t>
      </w:r>
      <w:r>
        <w:rPr>
          <w:color w:val="231F20"/>
          <w:spacing w:val="-4"/>
        </w:rPr>
        <w:t> </w:t>
      </w:r>
      <w:r>
        <w:rPr>
          <w:color w:val="231F20"/>
          <w:spacing w:val="-1"/>
        </w:rPr>
        <w:t>77</w:t>
      </w:r>
      <w:r>
        <w:rPr>
          <w:color w:val="231F20"/>
          <w:spacing w:val="-5"/>
        </w:rPr>
        <w:t> </w:t>
      </w:r>
      <w:r>
        <w:rPr>
          <w:color w:val="231F20"/>
        </w:rPr>
        <w:t>per</w:t>
      </w:r>
      <w:r>
        <w:rPr>
          <w:color w:val="231F20"/>
          <w:spacing w:val="-5"/>
        </w:rPr>
        <w:t> </w:t>
      </w:r>
      <w:r>
        <w:rPr>
          <w:color w:val="231F20"/>
        </w:rPr>
        <w:t>cent</w:t>
      </w:r>
      <w:r>
        <w:rPr>
          <w:color w:val="231F20"/>
          <w:spacing w:val="-6"/>
        </w:rPr>
        <w:t> </w:t>
      </w:r>
      <w:r>
        <w:rPr>
          <w:color w:val="231F20"/>
        </w:rPr>
        <w:t>(high</w:t>
      </w:r>
      <w:r>
        <w:rPr>
          <w:color w:val="231F20"/>
          <w:spacing w:val="-5"/>
        </w:rPr>
        <w:t> </w:t>
      </w:r>
      <w:r>
        <w:rPr>
          <w:color w:val="231F20"/>
        </w:rPr>
        <w:t>proportion</w:t>
      </w:r>
      <w:r>
        <w:rPr>
          <w:color w:val="231F20"/>
          <w:spacing w:val="-6"/>
        </w:rPr>
        <w:t> </w:t>
      </w:r>
      <w:r>
        <w:rPr>
          <w:color w:val="231F20"/>
        </w:rPr>
        <w:t>of</w:t>
      </w:r>
      <w:r>
        <w:rPr>
          <w:color w:val="231F20"/>
          <w:spacing w:val="21"/>
          <w:w w:val="99"/>
        </w:rPr>
        <w:t> </w:t>
      </w:r>
      <w:r>
        <w:rPr>
          <w:color w:val="231F20"/>
        </w:rPr>
        <w:t>Aboriginal</w:t>
      </w:r>
      <w:r>
        <w:rPr>
          <w:color w:val="231F20"/>
          <w:spacing w:val="-6"/>
        </w:rPr>
        <w:t> </w:t>
      </w:r>
      <w:r>
        <w:rPr>
          <w:color w:val="231F20"/>
        </w:rPr>
        <w:t>and</w:t>
      </w:r>
      <w:r>
        <w:rPr>
          <w:color w:val="231F20"/>
          <w:spacing w:val="-6"/>
        </w:rPr>
        <w:t> </w:t>
      </w:r>
      <w:r>
        <w:rPr>
          <w:color w:val="231F20"/>
          <w:spacing w:val="-5"/>
        </w:rPr>
        <w:t>Torres</w:t>
      </w:r>
      <w:r>
        <w:rPr>
          <w:color w:val="231F20"/>
          <w:spacing w:val="-6"/>
        </w:rPr>
        <w:t> </w:t>
      </w:r>
      <w:r>
        <w:rPr>
          <w:color w:val="231F20"/>
          <w:spacing w:val="-2"/>
        </w:rPr>
        <w:t>Strait</w:t>
      </w:r>
      <w:r>
        <w:rPr>
          <w:color w:val="231F20"/>
          <w:spacing w:val="-6"/>
        </w:rPr>
        <w:t> </w:t>
      </w:r>
      <w:r>
        <w:rPr>
          <w:color w:val="231F20"/>
          <w:spacing w:val="-1"/>
        </w:rPr>
        <w:t>Islander</w:t>
      </w:r>
      <w:r>
        <w:rPr>
          <w:color w:val="231F20"/>
          <w:spacing w:val="-5"/>
        </w:rPr>
        <w:t> </w:t>
      </w:r>
      <w:r>
        <w:rPr>
          <w:color w:val="231F20"/>
          <w:spacing w:val="-1"/>
        </w:rPr>
        <w:t>students)</w:t>
      </w:r>
      <w:r>
        <w:rPr>
          <w:color w:val="231F20"/>
          <w:spacing w:val="-5"/>
        </w:rPr>
        <w:t> </w:t>
      </w:r>
      <w:r>
        <w:rPr>
          <w:color w:val="231F20"/>
        </w:rPr>
        <w:t>to</w:t>
      </w:r>
      <w:r>
        <w:rPr>
          <w:color w:val="231F20"/>
          <w:spacing w:val="23"/>
          <w:w w:val="99"/>
        </w:rPr>
        <w:t> </w:t>
      </w:r>
      <w:r>
        <w:rPr>
          <w:color w:val="231F20"/>
          <w:spacing w:val="-1"/>
        </w:rPr>
        <w:t>91</w:t>
      </w:r>
      <w:r>
        <w:rPr>
          <w:color w:val="231F20"/>
          <w:spacing w:val="-6"/>
        </w:rPr>
        <w:t> </w:t>
      </w:r>
      <w:r>
        <w:rPr>
          <w:color w:val="231F20"/>
        </w:rPr>
        <w:t>per</w:t>
      </w:r>
      <w:r>
        <w:rPr>
          <w:color w:val="231F20"/>
          <w:spacing w:val="-5"/>
        </w:rPr>
        <w:t> </w:t>
      </w:r>
      <w:r>
        <w:rPr>
          <w:color w:val="231F20"/>
        </w:rPr>
        <w:t>cent</w:t>
      </w:r>
      <w:r>
        <w:rPr>
          <w:color w:val="231F20"/>
          <w:spacing w:val="-6"/>
        </w:rPr>
        <w:t> </w:t>
      </w:r>
      <w:r>
        <w:rPr>
          <w:color w:val="231F20"/>
        </w:rPr>
        <w:t>(low</w:t>
      </w:r>
      <w:r>
        <w:rPr>
          <w:color w:val="231F20"/>
          <w:spacing w:val="-7"/>
        </w:rPr>
        <w:t> </w:t>
      </w:r>
      <w:r>
        <w:rPr>
          <w:color w:val="231F20"/>
        </w:rPr>
        <w:t>proportion).</w:t>
      </w:r>
      <w:r>
        <w:rPr>
          <w:color w:val="231F20"/>
          <w:spacing w:val="-6"/>
        </w:rPr>
        <w:t> </w:t>
      </w:r>
      <w:r>
        <w:rPr>
          <w:color w:val="231F20"/>
          <w:spacing w:val="-1"/>
        </w:rPr>
        <w:t>Average</w:t>
      </w:r>
      <w:r>
        <w:rPr>
          <w:color w:val="231F20"/>
          <w:spacing w:val="-5"/>
        </w:rPr>
        <w:t> </w:t>
      </w:r>
      <w:r>
        <w:rPr>
          <w:color w:val="231F20"/>
        </w:rPr>
        <w:t>NAPLAN</w:t>
      </w:r>
      <w:r>
        <w:rPr>
          <w:color w:val="231F20"/>
          <w:spacing w:val="28"/>
        </w:rPr>
        <w:t> </w:t>
      </w:r>
      <w:r>
        <w:rPr>
          <w:color w:val="231F20"/>
          <w:spacing w:val="-1"/>
        </w:rPr>
        <w:t>results</w:t>
      </w:r>
      <w:r>
        <w:rPr>
          <w:rFonts w:ascii="Segoe UI Semibold"/>
          <w:b/>
          <w:color w:val="231F20"/>
          <w:spacing w:val="-1"/>
          <w:position w:val="7"/>
          <w:sz w:val="11"/>
        </w:rPr>
        <w:t>162</w:t>
      </w:r>
      <w:r>
        <w:rPr>
          <w:rFonts w:ascii="Segoe UI Semibold"/>
          <w:b/>
          <w:color w:val="231F20"/>
          <w:spacing w:val="23"/>
          <w:position w:val="7"/>
          <w:sz w:val="11"/>
        </w:rPr>
        <w:t> </w:t>
      </w:r>
      <w:r>
        <w:rPr>
          <w:color w:val="231F20"/>
        </w:rPr>
        <w:t>ranged</w:t>
      </w:r>
      <w:r>
        <w:rPr>
          <w:color w:val="231F20"/>
          <w:spacing w:val="-3"/>
        </w:rPr>
        <w:t> </w:t>
      </w:r>
      <w:r>
        <w:rPr>
          <w:color w:val="231F20"/>
        </w:rPr>
        <w:t>from</w:t>
      </w:r>
      <w:r>
        <w:rPr>
          <w:color w:val="231F20"/>
          <w:spacing w:val="-1"/>
        </w:rPr>
        <w:t> 431 </w:t>
      </w:r>
      <w:r>
        <w:rPr>
          <w:color w:val="231F20"/>
        </w:rPr>
        <w:t>to</w:t>
      </w:r>
      <w:r>
        <w:rPr>
          <w:color w:val="231F20"/>
          <w:spacing w:val="-1"/>
        </w:rPr>
        <w:t> </w:t>
      </w:r>
      <w:r>
        <w:rPr>
          <w:color w:val="231F20"/>
        </w:rPr>
        <w:t>547.</w:t>
      </w:r>
      <w:r>
        <w:rPr/>
      </w:r>
    </w:p>
    <w:p>
      <w:pPr>
        <w:spacing w:after="0" w:line="250" w:lineRule="exact"/>
        <w:jc w:val="left"/>
        <w:sectPr>
          <w:type w:val="continuous"/>
          <w:pgSz w:w="11910" w:h="16840"/>
          <w:pgMar w:top="1580" w:bottom="280" w:left="1600" w:right="1300"/>
          <w:cols w:num="2" w:equalWidth="0">
            <w:col w:w="4266" w:space="270"/>
            <w:col w:w="4474"/>
          </w:cols>
        </w:sect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5"/>
        <w:rPr>
          <w:rFonts w:ascii="Segoe UI" w:hAnsi="Segoe UI" w:cs="Segoe UI" w:eastAsia="Segoe UI"/>
          <w:sz w:val="10"/>
          <w:szCs w:val="10"/>
        </w:rPr>
      </w:pPr>
    </w:p>
    <w:p>
      <w:pPr>
        <w:spacing w:line="200" w:lineRule="atLeast"/>
        <w:ind w:left="117" w:right="0" w:firstLine="0"/>
        <w:rPr>
          <w:rFonts w:ascii="Segoe UI" w:hAnsi="Segoe UI" w:cs="Segoe UI" w:eastAsia="Segoe UI"/>
          <w:sz w:val="20"/>
          <w:szCs w:val="20"/>
        </w:rPr>
      </w:pPr>
      <w:r>
        <w:rPr>
          <w:rFonts w:ascii="Segoe UI" w:hAnsi="Segoe UI" w:cs="Segoe UI" w:eastAsia="Segoe UI"/>
          <w:sz w:val="20"/>
          <w:szCs w:val="20"/>
        </w:rPr>
        <w:pict>
          <v:group style="width:439.4pt;height:247.3pt;mso-position-horizontal-relative:char;mso-position-vertical-relative:line" coordorigin="0,0" coordsize="8788,4946">
            <v:group style="position:absolute;left:100;top:100;width:8588;height:4746" coordorigin="100,100" coordsize="8588,4746">
              <v:shape style="position:absolute;left:100;top:100;width:8588;height:4746" coordorigin="100,100" coordsize="8588,4746" path="m100,4846l8687,4846,8687,100,100,100,100,4846xe" filled="false" stroked="true" strokeweight="10pt" strokecolor="#c1b5a9">
                <v:path arrowok="t"/>
              </v:shape>
            </v:group>
            <v:group style="position:absolute;left:7158;top:3438;width:1228;height:2" coordorigin="7158,3438" coordsize="1228,2">
              <v:shape style="position:absolute;left:7158;top:3438;width:1228;height:2" coordorigin="7158,3438" coordsize="1228,0" path="m7158,3438l8386,3438e" filled="false" stroked="true" strokeweight=".697pt" strokecolor="#dcddde">
                <v:path arrowok="t"/>
              </v:shape>
            </v:group>
            <v:group style="position:absolute;left:4799;top:3438;width:1831;height:2" coordorigin="4799,3438" coordsize="1831,2">
              <v:shape style="position:absolute;left:4799;top:3438;width:1831;height:2" coordorigin="4799,3438" coordsize="1831,0" path="m4799,3438l6629,3438e" filled="false" stroked="true" strokeweight=".697pt" strokecolor="#dcddde">
                <v:path arrowok="t"/>
              </v:shape>
            </v:group>
            <v:group style="position:absolute;left:3111;top:3438;width:1159;height:2" coordorigin="3111,3438" coordsize="1159,2">
              <v:shape style="position:absolute;left:3111;top:3438;width:1159;height:2" coordorigin="3111,3438" coordsize="1159,0" path="m3111,3438l4270,3438e" filled="false" stroked="true" strokeweight=".697pt" strokecolor="#dcddde">
                <v:path arrowok="t"/>
              </v:shape>
            </v:group>
            <v:group style="position:absolute;left:2437;top:3438;width:143;height:2" coordorigin="2437,3438" coordsize="143,2">
              <v:shape style="position:absolute;left:2437;top:3438;width:143;height:2" coordorigin="2437,3438" coordsize="143,0" path="m2437,3438l2580,3438e" filled="false" stroked="true" strokeweight=".697pt" strokecolor="#dcddde">
                <v:path arrowok="t"/>
              </v:shape>
            </v:group>
            <v:group style="position:absolute;left:1330;top:3438;width:579;height:2" coordorigin="1330,3438" coordsize="579,2">
              <v:shape style="position:absolute;left:1330;top:3438;width:579;height:2" coordorigin="1330,3438" coordsize="579,0" path="m1330,3438l1908,3438e" filled="false" stroked="true" strokeweight=".697pt" strokecolor="#dcddde">
                <v:path arrowok="t"/>
              </v:shape>
            </v:group>
            <v:group style="position:absolute;left:7158;top:2914;width:1228;height:2" coordorigin="7158,2914" coordsize="1228,2">
              <v:shape style="position:absolute;left:7158;top:2914;width:1228;height:2" coordorigin="7158,2914" coordsize="1228,0" path="m7158,2914l8386,2914e" filled="false" stroked="true" strokeweight=".697pt" strokecolor="#dcddde">
                <v:path arrowok="t"/>
              </v:shape>
            </v:group>
            <v:group style="position:absolute;left:4799;top:2914;width:1831;height:2" coordorigin="4799,2914" coordsize="1831,2">
              <v:shape style="position:absolute;left:4799;top:2914;width:1831;height:2" coordorigin="4799,2914" coordsize="1831,0" path="m4799,2914l6629,2914e" filled="false" stroked="true" strokeweight=".697pt" strokecolor="#dcddde">
                <v:path arrowok="t"/>
              </v:shape>
            </v:group>
            <v:group style="position:absolute;left:3111;top:2914;width:1159;height:2" coordorigin="3111,2914" coordsize="1159,2">
              <v:shape style="position:absolute;left:3111;top:2914;width:1159;height:2" coordorigin="3111,2914" coordsize="1159,0" path="m3111,2914l4270,2914e" filled="false" stroked="true" strokeweight=".697pt" strokecolor="#dcddde">
                <v:path arrowok="t"/>
              </v:shape>
            </v:group>
            <v:group style="position:absolute;left:2437;top:2914;width:143;height:2" coordorigin="2437,2914" coordsize="143,2">
              <v:shape style="position:absolute;left:2437;top:2914;width:143;height:2" coordorigin="2437,2914" coordsize="143,0" path="m2437,2914l2580,2914e" filled="false" stroked="true" strokeweight=".697pt" strokecolor="#dcddde">
                <v:path arrowok="t"/>
              </v:shape>
            </v:group>
            <v:group style="position:absolute;left:1330;top:2914;width:579;height:2" coordorigin="1330,2914" coordsize="579,2">
              <v:shape style="position:absolute;left:1330;top:2914;width:579;height:2" coordorigin="1330,2914" coordsize="579,0" path="m1330,2914l1908,2914e" filled="false" stroked="true" strokeweight=".697pt" strokecolor="#dcddde">
                <v:path arrowok="t"/>
              </v:shape>
            </v:group>
            <v:group style="position:absolute;left:7158;top:2389;width:1228;height:2" coordorigin="7158,2389" coordsize="1228,2">
              <v:shape style="position:absolute;left:7158;top:2389;width:1228;height:2" coordorigin="7158,2389" coordsize="1228,0" path="m7158,2389l8386,2389e" filled="false" stroked="true" strokeweight=".697pt" strokecolor="#dcddde">
                <v:path arrowok="t"/>
              </v:shape>
            </v:group>
            <v:group style="position:absolute;left:4799;top:2389;width:1831;height:2" coordorigin="4799,2389" coordsize="1831,2">
              <v:shape style="position:absolute;left:4799;top:2389;width:1831;height:2" coordorigin="4799,2389" coordsize="1831,0" path="m4799,2389l6629,2389e" filled="false" stroked="true" strokeweight=".697pt" strokecolor="#dcddde">
                <v:path arrowok="t"/>
              </v:shape>
            </v:group>
            <v:group style="position:absolute;left:3111;top:2389;width:1159;height:2" coordorigin="3111,2389" coordsize="1159,2">
              <v:shape style="position:absolute;left:3111;top:2389;width:1159;height:2" coordorigin="3111,2389" coordsize="1159,0" path="m3111,2389l4270,2389e" filled="false" stroked="true" strokeweight=".697pt" strokecolor="#dcddde">
                <v:path arrowok="t"/>
              </v:shape>
            </v:group>
            <v:group style="position:absolute;left:2437;top:2389;width:143;height:2" coordorigin="2437,2389" coordsize="143,2">
              <v:shape style="position:absolute;left:2437;top:2389;width:143;height:2" coordorigin="2437,2389" coordsize="143,0" path="m2437,2389l2580,2389e" filled="false" stroked="true" strokeweight=".697pt" strokecolor="#dcddde">
                <v:path arrowok="t"/>
              </v:shape>
            </v:group>
            <v:group style="position:absolute;left:1330;top:2389;width:579;height:2" coordorigin="1330,2389" coordsize="579,2">
              <v:shape style="position:absolute;left:1330;top:2389;width:579;height:2" coordorigin="1330,2389" coordsize="579,0" path="m1330,2389l1908,2389e" filled="false" stroked="true" strokeweight=".697pt" strokecolor="#dcddde">
                <v:path arrowok="t"/>
              </v:shape>
            </v:group>
            <v:group style="position:absolute;left:7158;top:1863;width:1228;height:2" coordorigin="7158,1863" coordsize="1228,2">
              <v:shape style="position:absolute;left:7158;top:1863;width:1228;height:2" coordorigin="7158,1863" coordsize="1228,0" path="m7158,1863l8386,1863e" filled="false" stroked="true" strokeweight=".697pt" strokecolor="#dcddde">
                <v:path arrowok="t"/>
              </v:shape>
            </v:group>
            <v:group style="position:absolute;left:4799;top:1863;width:1831;height:2" coordorigin="4799,1863" coordsize="1831,2">
              <v:shape style="position:absolute;left:4799;top:1863;width:1831;height:2" coordorigin="4799,1863" coordsize="1831,0" path="m4799,1863l6629,1863e" filled="false" stroked="true" strokeweight=".697pt" strokecolor="#dcddde">
                <v:path arrowok="t"/>
              </v:shape>
            </v:group>
            <v:group style="position:absolute;left:1330;top:1863;width:2941;height:2" coordorigin="1330,1863" coordsize="2941,2">
              <v:shape style="position:absolute;left:1330;top:1863;width:2941;height:2" coordorigin="1330,1863" coordsize="2941,0" path="m1330,1863l4270,1863e" filled="false" stroked="true" strokeweight=".697pt" strokecolor="#dcddde">
                <v:path arrowok="t"/>
              </v:shape>
            </v:group>
            <v:group style="position:absolute;left:1330;top:1338;width:7056;height:2" coordorigin="1330,1338" coordsize="7056,2">
              <v:shape style="position:absolute;left:1330;top:1338;width:7056;height:2" coordorigin="1330,1338" coordsize="7056,0" path="m1330,1338l8386,1338e" filled="false" stroked="true" strokeweight=".697pt" strokecolor="#dcddde">
                <v:path arrowok="t"/>
              </v:shape>
            </v:group>
            <v:group style="position:absolute;left:4270;top:1401;width:529;height:2562" coordorigin="4270,1401" coordsize="529,2562">
              <v:shape style="position:absolute;left:4270;top:1401;width:529;height:2562" coordorigin="4270,1401" coordsize="529,2562" path="m4799,1401l4270,1401,4270,3962,4799,3962,4799,1401xe" filled="true" fillcolor="#71598f" stroked="false">
                <v:path arrowok="t"/>
                <v:fill type="solid"/>
              </v:shape>
            </v:group>
            <v:group style="position:absolute;left:6629;top:1421;width:529;height:2542" coordorigin="6629,1421" coordsize="529,2542">
              <v:shape style="position:absolute;left:6629;top:1421;width:529;height:2542" coordorigin="6629,1421" coordsize="529,2542" path="m7158,1421l6629,1421,6629,3962,7158,3962,7158,1421xe" filled="true" fillcolor="#71598f" stroked="false">
                <v:path arrowok="t"/>
                <v:fill type="solid"/>
              </v:shape>
            </v:group>
            <v:group style="position:absolute;left:1908;top:2150;width:529;height:1812" coordorigin="1908,2150" coordsize="529,1812">
              <v:shape style="position:absolute;left:1908;top:2150;width:529;height:1812" coordorigin="1908,2150" coordsize="529,1812" path="m2437,2150l1908,2150,1908,3962,2437,3962,2437,2150xe" filled="true" fillcolor="#71598f" stroked="false">
                <v:path arrowok="t"/>
                <v:fill type="solid"/>
              </v:shape>
            </v:group>
            <v:group style="position:absolute;left:2580;top:1930;width:532;height:2033" coordorigin="2580,1930" coordsize="532,2033">
              <v:shape style="position:absolute;left:2580;top:1930;width:532;height:2033" coordorigin="2580,1930" coordsize="532,2033" path="m2580,3962l3111,3962,3111,1930,2580,1930,2580,3962xe" filled="true" fillcolor="#a99bbc" stroked="false">
                <v:path arrowok="t"/>
                <v:fill type="solid"/>
              </v:shape>
            </v:group>
            <v:group style="position:absolute;left:1330;top:3962;width:7056;height:2" coordorigin="1330,3962" coordsize="7056,2">
              <v:shape style="position:absolute;left:1330;top:3962;width:7056;height:2" coordorigin="1330,3962" coordsize="7056,0" path="m1330,3962l8386,3962e" filled="false" stroked="true" strokeweight=".697pt" strokecolor="#dcddde">
                <v:path arrowok="t"/>
              </v:shape>
            </v:group>
            <v:group style="position:absolute;left:1941;top:4443;width:90;height:2" coordorigin="1941,4443" coordsize="90,2">
              <v:shape style="position:absolute;left:1941;top:4443;width:90;height:2" coordorigin="1941,4443" coordsize="90,0" path="m1941,4443l2031,4443e" filled="false" stroked="true" strokeweight="4.555pt" strokecolor="#71598f">
                <v:path arrowok="t"/>
              </v:shape>
            </v:group>
            <v:group style="position:absolute;left:5452;top:4443;width:90;height:2" coordorigin="5452,4443" coordsize="90,2">
              <v:shape style="position:absolute;left:5452;top:4443;width:90;height:2" coordorigin="5452,4443" coordsize="90,0" path="m5452,4443l5541,4443e" filled="false" stroked="true" strokeweight="4.555pt" strokecolor="#a99bbc">
                <v:path arrowok="t"/>
              </v:shape>
              <v:shape style="position:absolute;left:286;top:298;width:7783;height:360" type="#_x0000_t202" filled="false" stroked="false">
                <v:textbox inset="0,0,0,0">
                  <w:txbxContent>
                    <w:p>
                      <w:pPr>
                        <w:spacing w:line="159" w:lineRule="exact" w:before="0"/>
                        <w:ind w:left="0" w:right="0" w:firstLine="0"/>
                        <w:jc w:val="left"/>
                        <w:rPr>
                          <w:rFonts w:ascii="Segoe UI Semibold" w:hAnsi="Segoe UI Semibold" w:cs="Segoe UI Semibold" w:eastAsia="Segoe UI Semibold"/>
                          <w:sz w:val="16"/>
                          <w:szCs w:val="16"/>
                        </w:rPr>
                      </w:pPr>
                      <w:r>
                        <w:rPr>
                          <w:rFonts w:ascii="Segoe UI Semibold"/>
                          <w:b/>
                          <w:color w:val="666155"/>
                          <w:spacing w:val="4"/>
                          <w:sz w:val="16"/>
                        </w:rPr>
                        <w:t>GRAPH</w:t>
                      </w:r>
                      <w:r>
                        <w:rPr>
                          <w:rFonts w:ascii="Segoe UI Semibold"/>
                          <w:b/>
                          <w:color w:val="666155"/>
                          <w:spacing w:val="-1"/>
                          <w:sz w:val="16"/>
                        </w:rPr>
                        <w:t> </w:t>
                      </w:r>
                      <w:r>
                        <w:rPr>
                          <w:rFonts w:ascii="Segoe UI Semibold"/>
                          <w:b/>
                          <w:color w:val="666155"/>
                          <w:sz w:val="16"/>
                        </w:rPr>
                        <w:t>23:</w:t>
                      </w:r>
                      <w:r>
                        <w:rPr>
                          <w:rFonts w:ascii="Segoe UI Semibold"/>
                          <w:b/>
                          <w:color w:val="666155"/>
                          <w:spacing w:val="-1"/>
                          <w:sz w:val="16"/>
                        </w:rPr>
                        <w:t> </w:t>
                      </w:r>
                      <w:r>
                        <w:rPr>
                          <w:rFonts w:ascii="Segoe UI Semibold"/>
                          <w:b/>
                          <w:color w:val="666155"/>
                          <w:spacing w:val="2"/>
                          <w:sz w:val="16"/>
                        </w:rPr>
                        <w:t>AVERAGE</w:t>
                      </w:r>
                      <w:r>
                        <w:rPr>
                          <w:rFonts w:ascii="Segoe UI Semibold"/>
                          <w:b/>
                          <w:color w:val="666155"/>
                          <w:spacing w:val="1"/>
                          <w:sz w:val="16"/>
                        </w:rPr>
                        <w:t> </w:t>
                      </w:r>
                      <w:r>
                        <w:rPr>
                          <w:rFonts w:ascii="Segoe UI Semibold"/>
                          <w:b/>
                          <w:color w:val="666155"/>
                          <w:spacing w:val="4"/>
                          <w:sz w:val="16"/>
                        </w:rPr>
                        <w:t>BOARDING</w:t>
                      </w:r>
                      <w:r>
                        <w:rPr>
                          <w:rFonts w:ascii="Segoe UI Semibold"/>
                          <w:b/>
                          <w:color w:val="666155"/>
                          <w:spacing w:val="2"/>
                          <w:sz w:val="16"/>
                        </w:rPr>
                        <w:t> </w:t>
                      </w:r>
                      <w:r>
                        <w:rPr>
                          <w:rFonts w:ascii="Segoe UI Semibold"/>
                          <w:b/>
                          <w:color w:val="666155"/>
                          <w:spacing w:val="3"/>
                          <w:sz w:val="16"/>
                        </w:rPr>
                        <w:t>COST</w:t>
                      </w:r>
                      <w:r>
                        <w:rPr>
                          <w:rFonts w:ascii="Segoe UI Semibold"/>
                          <w:b/>
                          <w:color w:val="666155"/>
                          <w:spacing w:val="2"/>
                          <w:sz w:val="16"/>
                        </w:rPr>
                        <w:t> </w:t>
                      </w:r>
                      <w:r>
                        <w:rPr>
                          <w:rFonts w:ascii="Segoe UI Semibold"/>
                          <w:b/>
                          <w:color w:val="666155"/>
                          <w:spacing w:val="3"/>
                          <w:sz w:val="16"/>
                        </w:rPr>
                        <w:t>PER</w:t>
                      </w:r>
                      <w:r>
                        <w:rPr>
                          <w:rFonts w:ascii="Segoe UI Semibold"/>
                          <w:b/>
                          <w:color w:val="666155"/>
                          <w:spacing w:val="2"/>
                          <w:sz w:val="16"/>
                        </w:rPr>
                        <w:t> </w:t>
                      </w:r>
                      <w:r>
                        <w:rPr>
                          <w:rFonts w:ascii="Segoe UI Semibold"/>
                          <w:b/>
                          <w:color w:val="666155"/>
                          <w:spacing w:val="4"/>
                          <w:sz w:val="16"/>
                        </w:rPr>
                        <w:t>BOARDER</w:t>
                      </w:r>
                      <w:r>
                        <w:rPr>
                          <w:rFonts w:ascii="Segoe UI Semibold"/>
                          <w:b/>
                          <w:color w:val="666155"/>
                          <w:spacing w:val="2"/>
                          <w:sz w:val="16"/>
                        </w:rPr>
                        <w:t> </w:t>
                      </w:r>
                      <w:r>
                        <w:rPr>
                          <w:rFonts w:ascii="Segoe UI Semibold"/>
                          <w:b/>
                          <w:color w:val="666155"/>
                          <w:sz w:val="16"/>
                        </w:rPr>
                        <w:t>BY</w:t>
                      </w:r>
                      <w:r>
                        <w:rPr>
                          <w:rFonts w:ascii="Segoe UI Semibold"/>
                          <w:b/>
                          <w:color w:val="666155"/>
                          <w:spacing w:val="1"/>
                          <w:sz w:val="16"/>
                        </w:rPr>
                        <w:t> </w:t>
                      </w:r>
                      <w:r>
                        <w:rPr>
                          <w:rFonts w:ascii="Segoe UI Semibold"/>
                          <w:b/>
                          <w:color w:val="666155"/>
                          <w:spacing w:val="4"/>
                          <w:sz w:val="16"/>
                        </w:rPr>
                        <w:t>PROPORTION</w:t>
                      </w:r>
                      <w:r>
                        <w:rPr>
                          <w:rFonts w:ascii="Segoe UI Semibold"/>
                          <w:b/>
                          <w:color w:val="666155"/>
                          <w:spacing w:val="2"/>
                          <w:sz w:val="16"/>
                        </w:rPr>
                        <w:t> OF </w:t>
                      </w:r>
                      <w:r>
                        <w:rPr>
                          <w:rFonts w:ascii="Segoe UI Semibold"/>
                          <w:b/>
                          <w:color w:val="666155"/>
                          <w:spacing w:val="4"/>
                          <w:sz w:val="16"/>
                        </w:rPr>
                        <w:t>ABORIGINAL</w:t>
                      </w:r>
                      <w:r>
                        <w:rPr>
                          <w:rFonts w:ascii="Segoe UI Semibold"/>
                          <w:b/>
                          <w:color w:val="666155"/>
                          <w:spacing w:val="2"/>
                          <w:sz w:val="16"/>
                        </w:rPr>
                        <w:t> </w:t>
                      </w:r>
                      <w:r>
                        <w:rPr>
                          <w:rFonts w:ascii="Segoe UI Semibold"/>
                          <w:b/>
                          <w:color w:val="666155"/>
                          <w:spacing w:val="3"/>
                          <w:sz w:val="16"/>
                        </w:rPr>
                        <w:t>AND</w:t>
                      </w:r>
                      <w:r>
                        <w:rPr>
                          <w:rFonts w:ascii="Segoe UI Semibold"/>
                          <w:b/>
                          <w:color w:val="666155"/>
                          <w:spacing w:val="2"/>
                          <w:sz w:val="16"/>
                        </w:rPr>
                        <w:t> </w:t>
                      </w:r>
                      <w:r>
                        <w:rPr>
                          <w:rFonts w:ascii="Segoe UI Semibold"/>
                          <w:b/>
                          <w:color w:val="666155"/>
                          <w:spacing w:val="4"/>
                          <w:sz w:val="16"/>
                        </w:rPr>
                        <w:t>TORRES</w:t>
                      </w:r>
                      <w:r>
                        <w:rPr>
                          <w:rFonts w:ascii="Segoe UI Semibold"/>
                          <w:sz w:val="16"/>
                        </w:rPr>
                      </w:r>
                    </w:p>
                    <w:p>
                      <w:pPr>
                        <w:spacing w:line="201" w:lineRule="exact" w:before="0"/>
                        <w:ind w:left="0" w:right="0" w:firstLine="0"/>
                        <w:jc w:val="left"/>
                        <w:rPr>
                          <w:rFonts w:ascii="Segoe UI Semibold" w:hAnsi="Segoe UI Semibold" w:cs="Segoe UI Semibold" w:eastAsia="Segoe UI Semibold"/>
                          <w:sz w:val="16"/>
                          <w:szCs w:val="16"/>
                        </w:rPr>
                      </w:pPr>
                      <w:r>
                        <w:rPr>
                          <w:rFonts w:ascii="Segoe UI Semibold" w:hAnsi="Segoe UI Semibold" w:cs="Segoe UI Semibold" w:eastAsia="Segoe UI Semibold"/>
                          <w:b/>
                          <w:bCs/>
                          <w:color w:val="666155"/>
                          <w:spacing w:val="4"/>
                          <w:sz w:val="16"/>
                          <w:szCs w:val="16"/>
                        </w:rPr>
                        <w:t>STRAIT</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ISLANDER</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spacing w:val="4"/>
                          <w:sz w:val="16"/>
                          <w:szCs w:val="16"/>
                        </w:rPr>
                        <w:t>STUDENTS,</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sz w:val="16"/>
                          <w:szCs w:val="16"/>
                        </w:rPr>
                        <w:t>2015</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position w:val="1"/>
                          <w:sz w:val="16"/>
                          <w:szCs w:val="16"/>
                        </w:rPr>
                        <w:t>—</w:t>
                      </w:r>
                      <w:r>
                        <w:rPr>
                          <w:rFonts w:ascii="Segoe UI Semibold" w:hAnsi="Segoe UI Semibold" w:cs="Segoe UI Semibold" w:eastAsia="Segoe UI Semibold"/>
                          <w:b/>
                          <w:bCs/>
                          <w:color w:val="666155"/>
                          <w:spacing w:val="-2"/>
                          <w:position w:val="1"/>
                          <w:sz w:val="16"/>
                          <w:szCs w:val="16"/>
                        </w:rPr>
                        <w:t> </w:t>
                      </w:r>
                      <w:r>
                        <w:rPr>
                          <w:rFonts w:ascii="Segoe UI Semibold" w:hAnsi="Segoe UI Semibold" w:cs="Segoe UI Semibold" w:eastAsia="Segoe UI Semibold"/>
                          <w:b/>
                          <w:bCs/>
                          <w:color w:val="666155"/>
                          <w:spacing w:val="-1"/>
                          <w:sz w:val="16"/>
                          <w:szCs w:val="16"/>
                        </w:rPr>
                        <w:t>2017</w:t>
                      </w:r>
                      <w:r>
                        <w:rPr>
                          <w:rFonts w:ascii="Segoe UI Semibold" w:hAnsi="Segoe UI Semibold" w:cs="Segoe UI Semibold" w:eastAsia="Segoe UI Semibold"/>
                          <w:sz w:val="16"/>
                          <w:szCs w:val="16"/>
                        </w:rPr>
                      </w:r>
                    </w:p>
                  </w:txbxContent>
                </v:textbox>
                <w10:wrap type="none"/>
              </v:shape>
              <v:shape style="position:absolute;left:622;top:1275;width:517;height:2773" type="#_x0000_t202" filled="false" stroked="false">
                <v:textbox inset="0,0,0,0">
                  <w:txbxContent>
                    <w:p>
                      <w:pPr>
                        <w:spacing w:line="151" w:lineRule="exact" w:before="0"/>
                        <w:ind w:left="0" w:right="0" w:firstLine="0"/>
                        <w:jc w:val="left"/>
                        <w:rPr>
                          <w:rFonts w:ascii="Segoe UI" w:hAnsi="Segoe UI" w:cs="Segoe UI" w:eastAsia="Segoe UI"/>
                          <w:sz w:val="15"/>
                          <w:szCs w:val="15"/>
                        </w:rPr>
                      </w:pPr>
                      <w:r>
                        <w:rPr>
                          <w:rFonts w:ascii="Segoe UI"/>
                          <w:color w:val="77787B"/>
                          <w:spacing w:val="-1"/>
                          <w:sz w:val="15"/>
                        </w:rPr>
                        <w:t>$25,000</w:t>
                      </w:r>
                      <w:r>
                        <w:rPr>
                          <w:rFonts w:ascii="Segoe UI"/>
                          <w:sz w:val="15"/>
                        </w:rPr>
                      </w:r>
                    </w:p>
                    <w:p>
                      <w:pPr>
                        <w:spacing w:line="240" w:lineRule="auto" w:before="0"/>
                        <w:rPr>
                          <w:rFonts w:ascii="Segoe UI" w:hAnsi="Segoe UI" w:cs="Segoe UI" w:eastAsia="Segoe UI"/>
                          <w:sz w:val="14"/>
                          <w:szCs w:val="14"/>
                        </w:rPr>
                      </w:pPr>
                    </w:p>
                    <w:p>
                      <w:pPr>
                        <w:spacing w:line="240" w:lineRule="auto" w:before="6"/>
                        <w:rPr>
                          <w:rFonts w:ascii="Segoe UI" w:hAnsi="Segoe UI" w:cs="Segoe UI" w:eastAsia="Segoe UI"/>
                          <w:sz w:val="10"/>
                          <w:szCs w:val="10"/>
                        </w:rPr>
                      </w:pPr>
                    </w:p>
                    <w:p>
                      <w:pPr>
                        <w:spacing w:before="0"/>
                        <w:ind w:left="0" w:right="0" w:firstLine="0"/>
                        <w:jc w:val="left"/>
                        <w:rPr>
                          <w:rFonts w:ascii="Segoe UI" w:hAnsi="Segoe UI" w:cs="Segoe UI" w:eastAsia="Segoe UI"/>
                          <w:sz w:val="15"/>
                          <w:szCs w:val="15"/>
                        </w:rPr>
                      </w:pPr>
                      <w:r>
                        <w:rPr>
                          <w:rFonts w:ascii="Segoe UI"/>
                          <w:color w:val="77787B"/>
                          <w:spacing w:val="-1"/>
                          <w:sz w:val="15"/>
                        </w:rPr>
                        <w:t>$20,000</w:t>
                      </w:r>
                      <w:r>
                        <w:rPr>
                          <w:rFonts w:ascii="Segoe UI"/>
                          <w:sz w:val="15"/>
                        </w:rPr>
                      </w:r>
                    </w:p>
                    <w:p>
                      <w:pPr>
                        <w:spacing w:line="240" w:lineRule="auto" w:before="0"/>
                        <w:rPr>
                          <w:rFonts w:ascii="Segoe UI" w:hAnsi="Segoe UI" w:cs="Segoe UI" w:eastAsia="Segoe UI"/>
                          <w:sz w:val="14"/>
                          <w:szCs w:val="14"/>
                        </w:rPr>
                      </w:pPr>
                    </w:p>
                    <w:p>
                      <w:pPr>
                        <w:spacing w:line="240" w:lineRule="auto" w:before="6"/>
                        <w:rPr>
                          <w:rFonts w:ascii="Segoe UI" w:hAnsi="Segoe UI" w:cs="Segoe UI" w:eastAsia="Segoe UI"/>
                          <w:sz w:val="10"/>
                          <w:szCs w:val="10"/>
                        </w:rPr>
                      </w:pPr>
                    </w:p>
                    <w:p>
                      <w:pPr>
                        <w:spacing w:before="0"/>
                        <w:ind w:left="0" w:right="0" w:firstLine="0"/>
                        <w:jc w:val="left"/>
                        <w:rPr>
                          <w:rFonts w:ascii="Segoe UI" w:hAnsi="Segoe UI" w:cs="Segoe UI" w:eastAsia="Segoe UI"/>
                          <w:sz w:val="15"/>
                          <w:szCs w:val="15"/>
                        </w:rPr>
                      </w:pPr>
                      <w:r>
                        <w:rPr>
                          <w:rFonts w:ascii="Segoe UI"/>
                          <w:color w:val="77787B"/>
                          <w:spacing w:val="-1"/>
                          <w:sz w:val="15"/>
                        </w:rPr>
                        <w:t>$15,000</w:t>
                      </w:r>
                      <w:r>
                        <w:rPr>
                          <w:rFonts w:ascii="Segoe UI"/>
                          <w:sz w:val="15"/>
                        </w:rPr>
                      </w:r>
                    </w:p>
                    <w:p>
                      <w:pPr>
                        <w:spacing w:line="240" w:lineRule="auto" w:before="0"/>
                        <w:rPr>
                          <w:rFonts w:ascii="Segoe UI" w:hAnsi="Segoe UI" w:cs="Segoe UI" w:eastAsia="Segoe UI"/>
                          <w:sz w:val="14"/>
                          <w:szCs w:val="14"/>
                        </w:rPr>
                      </w:pPr>
                    </w:p>
                    <w:p>
                      <w:pPr>
                        <w:spacing w:line="240" w:lineRule="auto" w:before="6"/>
                        <w:rPr>
                          <w:rFonts w:ascii="Segoe UI" w:hAnsi="Segoe UI" w:cs="Segoe UI" w:eastAsia="Segoe UI"/>
                          <w:sz w:val="10"/>
                          <w:szCs w:val="10"/>
                        </w:rPr>
                      </w:pPr>
                    </w:p>
                    <w:p>
                      <w:pPr>
                        <w:spacing w:before="0"/>
                        <w:ind w:left="0" w:right="0" w:firstLine="0"/>
                        <w:jc w:val="left"/>
                        <w:rPr>
                          <w:rFonts w:ascii="Segoe UI" w:hAnsi="Segoe UI" w:cs="Segoe UI" w:eastAsia="Segoe UI"/>
                          <w:sz w:val="15"/>
                          <w:szCs w:val="15"/>
                        </w:rPr>
                      </w:pPr>
                      <w:r>
                        <w:rPr>
                          <w:rFonts w:ascii="Segoe UI"/>
                          <w:color w:val="77787B"/>
                          <w:spacing w:val="-1"/>
                          <w:sz w:val="15"/>
                        </w:rPr>
                        <w:t>$10,000</w:t>
                      </w:r>
                      <w:r>
                        <w:rPr>
                          <w:rFonts w:ascii="Segoe UI"/>
                          <w:sz w:val="15"/>
                        </w:rPr>
                      </w:r>
                    </w:p>
                    <w:p>
                      <w:pPr>
                        <w:spacing w:line="240" w:lineRule="auto" w:before="0"/>
                        <w:rPr>
                          <w:rFonts w:ascii="Segoe UI" w:hAnsi="Segoe UI" w:cs="Segoe UI" w:eastAsia="Segoe UI"/>
                          <w:sz w:val="14"/>
                          <w:szCs w:val="14"/>
                        </w:rPr>
                      </w:pPr>
                    </w:p>
                    <w:p>
                      <w:pPr>
                        <w:spacing w:line="240" w:lineRule="auto" w:before="6"/>
                        <w:rPr>
                          <w:rFonts w:ascii="Segoe UI" w:hAnsi="Segoe UI" w:cs="Segoe UI" w:eastAsia="Segoe UI"/>
                          <w:sz w:val="10"/>
                          <w:szCs w:val="10"/>
                        </w:rPr>
                      </w:pPr>
                    </w:p>
                    <w:p>
                      <w:pPr>
                        <w:spacing w:before="0"/>
                        <w:ind w:left="80" w:right="0" w:firstLine="0"/>
                        <w:jc w:val="left"/>
                        <w:rPr>
                          <w:rFonts w:ascii="Segoe UI" w:hAnsi="Segoe UI" w:cs="Segoe UI" w:eastAsia="Segoe UI"/>
                          <w:sz w:val="15"/>
                          <w:szCs w:val="15"/>
                        </w:rPr>
                      </w:pPr>
                      <w:r>
                        <w:rPr>
                          <w:rFonts w:ascii="Segoe UI"/>
                          <w:color w:val="77787B"/>
                          <w:spacing w:val="-1"/>
                          <w:sz w:val="15"/>
                        </w:rPr>
                        <w:t>$5,000</w:t>
                      </w:r>
                      <w:r>
                        <w:rPr>
                          <w:rFonts w:ascii="Segoe UI"/>
                          <w:sz w:val="15"/>
                        </w:rPr>
                      </w:r>
                    </w:p>
                    <w:p>
                      <w:pPr>
                        <w:spacing w:line="240" w:lineRule="auto" w:before="0"/>
                        <w:rPr>
                          <w:rFonts w:ascii="Segoe UI" w:hAnsi="Segoe UI" w:cs="Segoe UI" w:eastAsia="Segoe UI"/>
                          <w:sz w:val="14"/>
                          <w:szCs w:val="14"/>
                        </w:rPr>
                      </w:pPr>
                    </w:p>
                    <w:p>
                      <w:pPr>
                        <w:spacing w:line="240" w:lineRule="auto" w:before="6"/>
                        <w:rPr>
                          <w:rFonts w:ascii="Segoe UI" w:hAnsi="Segoe UI" w:cs="Segoe UI" w:eastAsia="Segoe UI"/>
                          <w:sz w:val="10"/>
                          <w:szCs w:val="10"/>
                        </w:rPr>
                      </w:pPr>
                    </w:p>
                    <w:p>
                      <w:pPr>
                        <w:spacing w:line="198" w:lineRule="exact" w:before="0"/>
                        <w:ind w:left="0" w:right="0" w:firstLine="0"/>
                        <w:jc w:val="right"/>
                        <w:rPr>
                          <w:rFonts w:ascii="Segoe UI" w:hAnsi="Segoe UI" w:cs="Segoe UI" w:eastAsia="Segoe UI"/>
                          <w:sz w:val="15"/>
                          <w:szCs w:val="15"/>
                        </w:rPr>
                      </w:pPr>
                      <w:r>
                        <w:rPr>
                          <w:rFonts w:ascii="Segoe UI"/>
                          <w:color w:val="77787B"/>
                          <w:spacing w:val="-1"/>
                          <w:w w:val="95"/>
                          <w:sz w:val="15"/>
                        </w:rPr>
                        <w:t>$-</w:t>
                      </w:r>
                      <w:r>
                        <w:rPr>
                          <w:rFonts w:ascii="Segoe UI"/>
                          <w:sz w:val="15"/>
                        </w:rPr>
                      </w:r>
                    </w:p>
                  </w:txbxContent>
                </v:textbox>
                <w10:wrap type="none"/>
              </v:shape>
              <v:shape style="position:absolute;left:2377;top:4116;width:265;height:150" type="#_x0000_t202" filled="false" stroked="false">
                <v:textbox inset="0,0,0,0">
                  <w:txbxContent>
                    <w:p>
                      <w:pPr>
                        <w:spacing w:line="150" w:lineRule="exact" w:before="0"/>
                        <w:ind w:left="0" w:right="0" w:firstLine="0"/>
                        <w:jc w:val="left"/>
                        <w:rPr>
                          <w:rFonts w:ascii="Segoe UI" w:hAnsi="Segoe UI" w:cs="Segoe UI" w:eastAsia="Segoe UI"/>
                          <w:sz w:val="15"/>
                          <w:szCs w:val="15"/>
                        </w:rPr>
                      </w:pPr>
                      <w:r>
                        <w:rPr>
                          <w:rFonts w:ascii="Segoe UI"/>
                          <w:color w:val="77787B"/>
                          <w:spacing w:val="-1"/>
                          <w:sz w:val="15"/>
                        </w:rPr>
                        <w:t>Low</w:t>
                      </w:r>
                      <w:r>
                        <w:rPr>
                          <w:rFonts w:ascii="Segoe UI"/>
                          <w:sz w:val="15"/>
                        </w:rPr>
                      </w:r>
                    </w:p>
                  </w:txbxContent>
                </v:textbox>
                <w10:wrap type="none"/>
              </v:shape>
              <v:shape style="position:absolute;left:4596;top:4116;width:549;height:150" type="#_x0000_t202" filled="false" stroked="false">
                <v:textbox inset="0,0,0,0">
                  <w:txbxContent>
                    <w:p>
                      <w:pPr>
                        <w:spacing w:line="150" w:lineRule="exact" w:before="0"/>
                        <w:ind w:left="0" w:right="0" w:firstLine="0"/>
                        <w:jc w:val="left"/>
                        <w:rPr>
                          <w:rFonts w:ascii="Segoe UI" w:hAnsi="Segoe UI" w:cs="Segoe UI" w:eastAsia="Segoe UI"/>
                          <w:sz w:val="15"/>
                          <w:szCs w:val="15"/>
                        </w:rPr>
                      </w:pPr>
                      <w:r>
                        <w:rPr>
                          <w:rFonts w:ascii="Segoe UI"/>
                          <w:color w:val="77787B"/>
                          <w:spacing w:val="-1"/>
                          <w:sz w:val="15"/>
                        </w:rPr>
                        <w:t>Medium</w:t>
                      </w:r>
                      <w:r>
                        <w:rPr>
                          <w:rFonts w:ascii="Segoe UI"/>
                          <w:sz w:val="15"/>
                        </w:rPr>
                      </w:r>
                    </w:p>
                  </w:txbxContent>
                </v:textbox>
                <w10:wrap type="none"/>
              </v:shape>
              <v:shape style="position:absolute;left:7073;top:4116;width:315;height:150" type="#_x0000_t202" filled="false" stroked="false">
                <v:textbox inset="0,0,0,0">
                  <w:txbxContent>
                    <w:p>
                      <w:pPr>
                        <w:spacing w:line="150" w:lineRule="exact" w:before="0"/>
                        <w:ind w:left="0" w:right="0" w:firstLine="0"/>
                        <w:jc w:val="left"/>
                        <w:rPr>
                          <w:rFonts w:ascii="Segoe UI" w:hAnsi="Segoe UI" w:cs="Segoe UI" w:eastAsia="Segoe UI"/>
                          <w:sz w:val="15"/>
                          <w:szCs w:val="15"/>
                        </w:rPr>
                      </w:pPr>
                      <w:r>
                        <w:rPr>
                          <w:rFonts w:ascii="Segoe UI"/>
                          <w:color w:val="77787B"/>
                          <w:spacing w:val="-1"/>
                          <w:sz w:val="15"/>
                        </w:rPr>
                        <w:t>High</w:t>
                      </w:r>
                      <w:r>
                        <w:rPr>
                          <w:rFonts w:ascii="Segoe UI"/>
                          <w:sz w:val="15"/>
                        </w:rPr>
                      </w:r>
                    </w:p>
                  </w:txbxContent>
                </v:textbox>
                <w10:wrap type="none"/>
              </v:shape>
              <v:shape style="position:absolute;left:2068;top:4379;width:4944;height:150" type="#_x0000_t202" filled="false" stroked="false">
                <v:textbox inset="0,0,0,0">
                  <w:txbxContent>
                    <w:p>
                      <w:pPr>
                        <w:tabs>
                          <w:tab w:pos="3510" w:val="left" w:leader="none"/>
                        </w:tabs>
                        <w:spacing w:line="150" w:lineRule="exact" w:before="0"/>
                        <w:ind w:left="0" w:right="0" w:firstLine="0"/>
                        <w:jc w:val="left"/>
                        <w:rPr>
                          <w:rFonts w:ascii="Segoe UI" w:hAnsi="Segoe UI" w:cs="Segoe UI" w:eastAsia="Segoe UI"/>
                          <w:sz w:val="15"/>
                          <w:szCs w:val="15"/>
                        </w:rPr>
                      </w:pPr>
                      <w:r>
                        <w:rPr>
                          <w:rFonts w:ascii="Segoe UI"/>
                          <w:color w:val="77787B"/>
                          <w:spacing w:val="-1"/>
                          <w:sz w:val="15"/>
                        </w:rPr>
                        <w:t>Aboriginal</w:t>
                      </w:r>
                      <w:r>
                        <w:rPr>
                          <w:rFonts w:ascii="Segoe UI"/>
                          <w:color w:val="77787B"/>
                          <w:spacing w:val="-8"/>
                          <w:sz w:val="15"/>
                        </w:rPr>
                        <w:t> </w:t>
                      </w:r>
                      <w:r>
                        <w:rPr>
                          <w:rFonts w:ascii="Segoe UI"/>
                          <w:color w:val="77787B"/>
                          <w:spacing w:val="-1"/>
                          <w:sz w:val="15"/>
                        </w:rPr>
                        <w:t>and</w:t>
                      </w:r>
                      <w:r>
                        <w:rPr>
                          <w:rFonts w:ascii="Segoe UI"/>
                          <w:color w:val="77787B"/>
                          <w:spacing w:val="-8"/>
                          <w:sz w:val="15"/>
                        </w:rPr>
                        <w:t> </w:t>
                      </w:r>
                      <w:r>
                        <w:rPr>
                          <w:rFonts w:ascii="Segoe UI"/>
                          <w:color w:val="77787B"/>
                          <w:spacing w:val="-1"/>
                          <w:sz w:val="15"/>
                        </w:rPr>
                        <w:t>Torres</w:t>
                      </w:r>
                      <w:r>
                        <w:rPr>
                          <w:rFonts w:ascii="Segoe UI"/>
                          <w:color w:val="77787B"/>
                          <w:spacing w:val="-5"/>
                          <w:sz w:val="15"/>
                        </w:rPr>
                        <w:t> </w:t>
                      </w:r>
                      <w:r>
                        <w:rPr>
                          <w:rFonts w:ascii="Segoe UI"/>
                          <w:color w:val="77787B"/>
                          <w:spacing w:val="-1"/>
                          <w:sz w:val="15"/>
                        </w:rPr>
                        <w:t>Strait</w:t>
                      </w:r>
                      <w:r>
                        <w:rPr>
                          <w:rFonts w:ascii="Segoe UI"/>
                          <w:color w:val="77787B"/>
                          <w:spacing w:val="-7"/>
                          <w:sz w:val="15"/>
                        </w:rPr>
                        <w:t> </w:t>
                      </w:r>
                      <w:r>
                        <w:rPr>
                          <w:rFonts w:ascii="Segoe UI"/>
                          <w:color w:val="77787B"/>
                          <w:spacing w:val="-1"/>
                          <w:sz w:val="15"/>
                        </w:rPr>
                        <w:t>Islander</w:t>
                      </w:r>
                      <w:r>
                        <w:rPr>
                          <w:rFonts w:ascii="Segoe UI"/>
                          <w:color w:val="77787B"/>
                          <w:spacing w:val="-8"/>
                          <w:sz w:val="15"/>
                        </w:rPr>
                        <w:t> </w:t>
                      </w:r>
                      <w:r>
                        <w:rPr>
                          <w:rFonts w:ascii="Segoe UI"/>
                          <w:color w:val="77787B"/>
                          <w:spacing w:val="-1"/>
                          <w:sz w:val="15"/>
                        </w:rPr>
                        <w:t>providers</w:t>
                        <w:tab/>
                        <w:t>Mainstream</w:t>
                      </w:r>
                      <w:r>
                        <w:rPr>
                          <w:rFonts w:ascii="Segoe UI"/>
                          <w:color w:val="77787B"/>
                          <w:spacing w:val="-16"/>
                          <w:sz w:val="15"/>
                        </w:rPr>
                        <w:t> </w:t>
                      </w:r>
                      <w:r>
                        <w:rPr>
                          <w:rFonts w:ascii="Segoe UI"/>
                          <w:color w:val="77787B"/>
                          <w:spacing w:val="-1"/>
                          <w:sz w:val="15"/>
                        </w:rPr>
                        <w:t>providers</w:t>
                      </w:r>
                      <w:r>
                        <w:rPr>
                          <w:rFonts w:ascii="Segoe UI"/>
                          <w:sz w:val="15"/>
                        </w:rPr>
                      </w:r>
                    </w:p>
                  </w:txbxContent>
                </v:textbox>
                <w10:wrap type="none"/>
              </v:shape>
            </v:group>
          </v:group>
        </w:pict>
      </w:r>
      <w:r>
        <w:rPr>
          <w:rFonts w:ascii="Segoe UI" w:hAnsi="Segoe UI" w:cs="Segoe UI" w:eastAsia="Segoe UI"/>
          <w:sz w:val="20"/>
          <w:szCs w:val="20"/>
        </w:rPr>
      </w:r>
    </w:p>
    <w:p>
      <w:pPr>
        <w:spacing w:line="240" w:lineRule="auto" w:before="1"/>
        <w:rPr>
          <w:rFonts w:ascii="Segoe UI" w:hAnsi="Segoe UI" w:cs="Segoe UI" w:eastAsia="Segoe UI"/>
          <w:sz w:val="28"/>
          <w:szCs w:val="28"/>
        </w:rPr>
      </w:pPr>
    </w:p>
    <w:p>
      <w:pPr>
        <w:spacing w:after="0" w:line="240" w:lineRule="auto"/>
        <w:rPr>
          <w:rFonts w:ascii="Segoe UI" w:hAnsi="Segoe UI" w:cs="Segoe UI" w:eastAsia="Segoe UI"/>
          <w:sz w:val="28"/>
          <w:szCs w:val="28"/>
        </w:rPr>
        <w:sectPr>
          <w:footerReference w:type="even" r:id="rId82"/>
          <w:footerReference w:type="default" r:id="rId83"/>
          <w:pgSz w:w="11910" w:h="16840"/>
          <w:pgMar w:footer="691" w:header="0" w:top="1580" w:bottom="880" w:left="1300" w:right="1600"/>
          <w:pgNumType w:start="92"/>
        </w:sectPr>
      </w:pPr>
    </w:p>
    <w:p>
      <w:pPr>
        <w:pStyle w:val="BodyText"/>
        <w:spacing w:line="250" w:lineRule="exact" w:before="62"/>
        <w:ind w:right="83"/>
        <w:jc w:val="left"/>
      </w:pP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7"/>
        </w:rPr>
        <w:t> </w:t>
      </w:r>
      <w:r>
        <w:rPr>
          <w:color w:val="231F20"/>
        </w:rPr>
        <w:t>with</w:t>
      </w:r>
      <w:r>
        <w:rPr>
          <w:color w:val="231F20"/>
          <w:spacing w:val="-6"/>
        </w:rPr>
        <w:t> </w:t>
      </w:r>
      <w:r>
        <w:rPr>
          <w:color w:val="231F20"/>
        </w:rPr>
        <w:t>a</w:t>
      </w:r>
      <w:r>
        <w:rPr>
          <w:color w:val="231F20"/>
          <w:spacing w:val="-6"/>
        </w:rPr>
        <w:t> </w:t>
      </w:r>
      <w:r>
        <w:rPr>
          <w:color w:val="231F20"/>
        </w:rPr>
        <w:t>proportion</w:t>
      </w:r>
      <w:r>
        <w:rPr>
          <w:color w:val="231F20"/>
          <w:spacing w:val="-6"/>
        </w:rPr>
        <w:t> </w:t>
      </w:r>
      <w:r>
        <w:rPr>
          <w:color w:val="231F20"/>
        </w:rPr>
        <w:t>of</w:t>
      </w:r>
      <w:r>
        <w:rPr>
          <w:color w:val="231F20"/>
          <w:spacing w:val="-6"/>
        </w:rPr>
        <w:t> </w:t>
      </w:r>
      <w:r>
        <w:rPr>
          <w:color w:val="231F20"/>
          <w:spacing w:val="-1"/>
        </w:rPr>
        <w:t>more</w:t>
      </w:r>
      <w:r>
        <w:rPr>
          <w:color w:val="231F20"/>
          <w:spacing w:val="-5"/>
        </w:rPr>
        <w:t> </w:t>
      </w:r>
      <w:r>
        <w:rPr>
          <w:color w:val="231F20"/>
        </w:rPr>
        <w:t>than</w:t>
      </w:r>
      <w:r>
        <w:rPr/>
      </w:r>
    </w:p>
    <w:p>
      <w:pPr>
        <w:pStyle w:val="BodyText"/>
        <w:spacing w:line="250" w:lineRule="exact"/>
        <w:ind w:right="44" w:hanging="1"/>
        <w:jc w:val="left"/>
      </w:pPr>
      <w:r>
        <w:rPr>
          <w:color w:val="231F20"/>
        </w:rPr>
        <w:t>65</w:t>
      </w:r>
      <w:r>
        <w:rPr>
          <w:color w:val="231F20"/>
          <w:spacing w:val="-5"/>
        </w:rPr>
        <w:t> </w:t>
      </w:r>
      <w:r>
        <w:rPr>
          <w:color w:val="231F20"/>
        </w:rPr>
        <w:t>per</w:t>
      </w:r>
      <w:r>
        <w:rPr>
          <w:color w:val="231F20"/>
          <w:spacing w:val="-4"/>
        </w:rPr>
        <w:t> </w:t>
      </w:r>
      <w:r>
        <w:rPr>
          <w:color w:val="231F20"/>
        </w:rPr>
        <w:t>cent</w:t>
      </w:r>
      <w:r>
        <w:rPr>
          <w:color w:val="231F20"/>
          <w:spacing w:val="-5"/>
        </w:rPr>
        <w:t> </w:t>
      </w:r>
      <w:r>
        <w:rPr>
          <w:color w:val="231F20"/>
        </w:rPr>
        <w:t>Aboriginal</w:t>
      </w:r>
      <w:r>
        <w:rPr>
          <w:color w:val="231F20"/>
          <w:spacing w:val="-4"/>
        </w:rPr>
        <w:t> </w:t>
      </w:r>
      <w:r>
        <w:rPr>
          <w:color w:val="231F20"/>
        </w:rPr>
        <w:t>and</w:t>
      </w:r>
      <w:r>
        <w:rPr>
          <w:color w:val="231F20"/>
          <w:spacing w:val="-5"/>
        </w:rPr>
        <w:t> Torres</w:t>
      </w:r>
      <w:r>
        <w:rPr>
          <w:color w:val="231F20"/>
          <w:spacing w:val="-4"/>
        </w:rPr>
        <w:t> </w:t>
      </w:r>
      <w:r>
        <w:rPr>
          <w:color w:val="231F20"/>
          <w:spacing w:val="-2"/>
        </w:rPr>
        <w:t>Strait</w:t>
      </w:r>
      <w:r>
        <w:rPr>
          <w:color w:val="231F20"/>
          <w:spacing w:val="-6"/>
        </w:rPr>
        <w:t> </w:t>
      </w:r>
      <w:r>
        <w:rPr>
          <w:color w:val="231F20"/>
          <w:spacing w:val="-1"/>
        </w:rPr>
        <w:t>Islander</w:t>
      </w:r>
      <w:r>
        <w:rPr>
          <w:color w:val="231F20"/>
          <w:spacing w:val="29"/>
          <w:w w:val="99"/>
        </w:rPr>
        <w:t> </w:t>
      </w:r>
      <w:r>
        <w:rPr>
          <w:color w:val="231F20"/>
          <w:spacing w:val="-1"/>
        </w:rPr>
        <w:t>students</w:t>
      </w:r>
      <w:r>
        <w:rPr>
          <w:color w:val="231F20"/>
          <w:spacing w:val="-5"/>
        </w:rPr>
        <w:t> </w:t>
      </w:r>
      <w:r>
        <w:rPr>
          <w:color w:val="231F20"/>
          <w:spacing w:val="-1"/>
        </w:rPr>
        <w:t>incurred</w:t>
      </w:r>
      <w:r>
        <w:rPr>
          <w:color w:val="231F20"/>
          <w:spacing w:val="-4"/>
        </w:rPr>
        <w:t> </w:t>
      </w:r>
      <w:r>
        <w:rPr>
          <w:color w:val="231F20"/>
        </w:rPr>
        <w:t>an</w:t>
      </w:r>
      <w:r>
        <w:rPr>
          <w:color w:val="231F20"/>
          <w:spacing w:val="-6"/>
        </w:rPr>
        <w:t> </w:t>
      </w:r>
      <w:r>
        <w:rPr>
          <w:color w:val="231F20"/>
        </w:rPr>
        <w:t>average</w:t>
      </w:r>
      <w:r>
        <w:rPr>
          <w:color w:val="231F20"/>
          <w:spacing w:val="-5"/>
        </w:rPr>
        <w:t> </w:t>
      </w:r>
      <w:r>
        <w:rPr>
          <w:color w:val="231F20"/>
        </w:rPr>
        <w:t>cost</w:t>
      </w:r>
      <w:r>
        <w:rPr>
          <w:color w:val="231F20"/>
          <w:spacing w:val="-5"/>
        </w:rPr>
        <w:t> </w:t>
      </w:r>
      <w:r>
        <w:rPr>
          <w:color w:val="231F20"/>
        </w:rPr>
        <w:t>of</w:t>
      </w:r>
      <w:r>
        <w:rPr>
          <w:color w:val="231F20"/>
          <w:spacing w:val="-5"/>
        </w:rPr>
        <w:t> </w:t>
      </w:r>
      <w:r>
        <w:rPr>
          <w:color w:val="231F20"/>
        </w:rPr>
        <w:t>boarding</w:t>
      </w:r>
      <w:r>
        <w:rPr>
          <w:color w:val="231F20"/>
          <w:spacing w:val="23"/>
          <w:w w:val="99"/>
        </w:rPr>
        <w:t> </w:t>
      </w:r>
      <w:r>
        <w:rPr>
          <w:color w:val="231F20"/>
        </w:rPr>
        <w:t>of</w:t>
      </w:r>
      <w:r>
        <w:rPr>
          <w:color w:val="231F20"/>
          <w:spacing w:val="-4"/>
        </w:rPr>
        <w:t> </w:t>
      </w:r>
      <w:r>
        <w:rPr>
          <w:color w:val="231F20"/>
          <w:spacing w:val="-1"/>
        </w:rPr>
        <w:t>$24,229</w:t>
      </w:r>
      <w:r>
        <w:rPr>
          <w:color w:val="231F20"/>
          <w:spacing w:val="-4"/>
        </w:rPr>
        <w:t> </w:t>
      </w:r>
      <w:r>
        <w:rPr>
          <w:color w:val="231F20"/>
        </w:rPr>
        <w:t>per</w:t>
      </w:r>
      <w:r>
        <w:rPr>
          <w:color w:val="231F20"/>
          <w:spacing w:val="-4"/>
        </w:rPr>
        <w:t> </w:t>
      </w:r>
      <w:r>
        <w:rPr>
          <w:color w:val="231F20"/>
        </w:rPr>
        <w:t>boarder,</w:t>
      </w:r>
      <w:r>
        <w:rPr>
          <w:color w:val="231F20"/>
          <w:spacing w:val="-4"/>
        </w:rPr>
        <w:t> </w:t>
      </w:r>
      <w:r>
        <w:rPr>
          <w:color w:val="231F20"/>
        </w:rPr>
        <w:t>compared</w:t>
      </w:r>
      <w:r>
        <w:rPr>
          <w:color w:val="231F20"/>
          <w:spacing w:val="-5"/>
        </w:rPr>
        <w:t> </w:t>
      </w:r>
      <w:r>
        <w:rPr>
          <w:color w:val="231F20"/>
        </w:rPr>
        <w:t>to</w:t>
      </w:r>
      <w:r>
        <w:rPr>
          <w:color w:val="231F20"/>
          <w:spacing w:val="-3"/>
        </w:rPr>
        <w:t> </w:t>
      </w:r>
      <w:r>
        <w:rPr>
          <w:color w:val="231F20"/>
          <w:spacing w:val="-1"/>
        </w:rPr>
        <w:t>just</w:t>
      </w:r>
      <w:r>
        <w:rPr/>
      </w:r>
    </w:p>
    <w:p>
      <w:pPr>
        <w:pStyle w:val="BodyText"/>
        <w:spacing w:line="250" w:lineRule="exact"/>
        <w:ind w:right="83"/>
        <w:jc w:val="left"/>
      </w:pPr>
      <w:r>
        <w:rPr>
          <w:color w:val="231F20"/>
          <w:spacing w:val="-1"/>
        </w:rPr>
        <w:t>$17,267</w:t>
      </w:r>
      <w:r>
        <w:rPr>
          <w:color w:val="231F20"/>
          <w:spacing w:val="-6"/>
        </w:rPr>
        <w:t> </w:t>
      </w:r>
      <w:r>
        <w:rPr>
          <w:color w:val="231F20"/>
        </w:rPr>
        <w:t>for</w:t>
      </w:r>
      <w:r>
        <w:rPr>
          <w:color w:val="231F20"/>
          <w:spacing w:val="-5"/>
        </w:rPr>
        <w:t> </w:t>
      </w:r>
      <w:r>
        <w:rPr>
          <w:color w:val="231F20"/>
        </w:rPr>
        <w:t>those</w:t>
      </w:r>
      <w:r>
        <w:rPr>
          <w:color w:val="231F20"/>
          <w:spacing w:val="-6"/>
        </w:rPr>
        <w:t> </w:t>
      </w:r>
      <w:r>
        <w:rPr>
          <w:color w:val="231F20"/>
        </w:rPr>
        <w:t>providers</w:t>
      </w:r>
      <w:r>
        <w:rPr>
          <w:color w:val="231F20"/>
          <w:spacing w:val="-6"/>
        </w:rPr>
        <w:t> </w:t>
      </w:r>
      <w:r>
        <w:rPr>
          <w:color w:val="231F20"/>
        </w:rPr>
        <w:t>with</w:t>
      </w:r>
      <w:r>
        <w:rPr>
          <w:color w:val="231F20"/>
          <w:spacing w:val="-6"/>
        </w:rPr>
        <w:t> </w:t>
      </w:r>
      <w:r>
        <w:rPr>
          <w:color w:val="231F20"/>
        </w:rPr>
        <w:t>an</w:t>
      </w:r>
      <w:r>
        <w:rPr>
          <w:color w:val="231F20"/>
          <w:spacing w:val="-6"/>
        </w:rPr>
        <w:t> </w:t>
      </w:r>
      <w:r>
        <w:rPr>
          <w:color w:val="231F20"/>
        </w:rPr>
        <w:t>Aboriginal</w:t>
      </w:r>
      <w:r>
        <w:rPr>
          <w:color w:val="231F20"/>
          <w:spacing w:val="22"/>
          <w:w w:val="99"/>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spacing w:val="-1"/>
        </w:rPr>
        <w:t>student</w:t>
      </w:r>
      <w:r>
        <w:rPr>
          <w:color w:val="231F20"/>
          <w:spacing w:val="-6"/>
        </w:rPr>
        <w:t> </w:t>
      </w:r>
      <w:r>
        <w:rPr>
          <w:color w:val="231F20"/>
        </w:rPr>
        <w:t>population</w:t>
      </w:r>
      <w:r>
        <w:rPr>
          <w:color w:val="231F20"/>
          <w:spacing w:val="23"/>
          <w:w w:val="99"/>
        </w:rPr>
        <w:t> </w:t>
      </w:r>
      <w:r>
        <w:rPr>
          <w:color w:val="231F20"/>
          <w:spacing w:val="-1"/>
        </w:rPr>
        <w:t>less</w:t>
      </w:r>
      <w:r>
        <w:rPr>
          <w:color w:val="231F20"/>
          <w:spacing w:val="-3"/>
        </w:rPr>
        <w:t> </w:t>
      </w:r>
      <w:r>
        <w:rPr>
          <w:color w:val="231F20"/>
        </w:rPr>
        <w:t>than</w:t>
      </w:r>
      <w:r>
        <w:rPr>
          <w:color w:val="231F20"/>
          <w:spacing w:val="-4"/>
        </w:rPr>
        <w:t> </w:t>
      </w:r>
      <w:r>
        <w:rPr>
          <w:color w:val="231F20"/>
          <w:spacing w:val="-1"/>
        </w:rPr>
        <w:t>20</w:t>
      </w:r>
      <w:r>
        <w:rPr>
          <w:color w:val="231F20"/>
          <w:spacing w:val="-3"/>
        </w:rPr>
        <w:t> </w:t>
      </w:r>
      <w:r>
        <w:rPr>
          <w:color w:val="231F20"/>
        </w:rPr>
        <w:t>per</w:t>
      </w:r>
      <w:r>
        <w:rPr>
          <w:color w:val="231F20"/>
          <w:spacing w:val="-2"/>
        </w:rPr>
        <w:t> </w:t>
      </w:r>
      <w:r>
        <w:rPr>
          <w:color w:val="231F20"/>
        </w:rPr>
        <w:t>cent.</w:t>
      </w:r>
      <w:r>
        <w:rPr>
          <w:color w:val="231F20"/>
          <w:spacing w:val="-4"/>
        </w:rPr>
        <w:t> </w:t>
      </w:r>
      <w:r>
        <w:rPr>
          <w:color w:val="231F20"/>
        </w:rPr>
        <w:t>All</w:t>
      </w:r>
      <w:r>
        <w:rPr>
          <w:color w:val="231F20"/>
          <w:spacing w:val="-4"/>
        </w:rPr>
        <w:t> </w:t>
      </w:r>
      <w:r>
        <w:rPr>
          <w:color w:val="231F20"/>
          <w:spacing w:val="-1"/>
        </w:rPr>
        <w:t>mainstream</w:t>
      </w:r>
      <w:r>
        <w:rPr>
          <w:color w:val="231F20"/>
          <w:spacing w:val="-2"/>
        </w:rPr>
        <w:t> </w:t>
      </w:r>
      <w:r>
        <w:rPr>
          <w:color w:val="231F20"/>
        </w:rPr>
        <w:t>boarding</w:t>
      </w:r>
      <w:r>
        <w:rPr>
          <w:color w:val="231F20"/>
          <w:spacing w:val="24"/>
          <w:w w:val="99"/>
        </w:rPr>
        <w:t> </w:t>
      </w:r>
      <w:r>
        <w:rPr>
          <w:color w:val="231F20"/>
        </w:rPr>
        <w:t>providers</w:t>
      </w:r>
      <w:r>
        <w:rPr>
          <w:color w:val="231F20"/>
          <w:spacing w:val="-8"/>
        </w:rPr>
        <w:t> </w:t>
      </w:r>
      <w:r>
        <w:rPr>
          <w:color w:val="231F20"/>
        </w:rPr>
        <w:t>had</w:t>
      </w:r>
      <w:r>
        <w:rPr>
          <w:color w:val="231F20"/>
          <w:spacing w:val="-7"/>
        </w:rPr>
        <w:t> </w:t>
      </w:r>
      <w:r>
        <w:rPr>
          <w:color w:val="231F20"/>
        </w:rPr>
        <w:t>a</w:t>
      </w:r>
      <w:r>
        <w:rPr>
          <w:color w:val="231F20"/>
          <w:spacing w:val="-6"/>
        </w:rPr>
        <w:t> </w:t>
      </w:r>
      <w:r>
        <w:rPr>
          <w:color w:val="231F20"/>
        </w:rPr>
        <w:t>proportion</w:t>
      </w:r>
      <w:r>
        <w:rPr>
          <w:color w:val="231F20"/>
          <w:spacing w:val="-8"/>
        </w:rPr>
        <w:t> </w:t>
      </w:r>
      <w:r>
        <w:rPr>
          <w:color w:val="231F20"/>
        </w:rPr>
        <w:t>of</w:t>
      </w:r>
      <w:r>
        <w:rPr>
          <w:color w:val="231F20"/>
          <w:spacing w:val="-7"/>
        </w:rPr>
        <w:t> </w:t>
      </w:r>
      <w:r>
        <w:rPr>
          <w:color w:val="231F20"/>
        </w:rPr>
        <w:t>Aboriginal</w:t>
      </w:r>
      <w:r>
        <w:rPr/>
      </w:r>
    </w:p>
    <w:p>
      <w:pPr>
        <w:pStyle w:val="BodyText"/>
        <w:spacing w:line="250" w:lineRule="exact"/>
        <w:ind w:right="21"/>
        <w:jc w:val="left"/>
      </w:pPr>
      <w:r>
        <w:rPr>
          <w:color w:val="231F20"/>
        </w:rPr>
        <w:t>and</w:t>
      </w:r>
      <w:r>
        <w:rPr>
          <w:color w:val="231F20"/>
          <w:spacing w:val="-5"/>
        </w:rPr>
        <w:t> Torres</w:t>
      </w:r>
      <w:r>
        <w:rPr>
          <w:color w:val="231F20"/>
          <w:spacing w:val="-3"/>
        </w:rPr>
        <w:t> </w:t>
      </w:r>
      <w:r>
        <w:rPr>
          <w:color w:val="231F20"/>
          <w:spacing w:val="-2"/>
        </w:rPr>
        <w:t>Strait</w:t>
      </w:r>
      <w:r>
        <w:rPr>
          <w:color w:val="231F20"/>
          <w:spacing w:val="-4"/>
        </w:rPr>
        <w:t> </w:t>
      </w:r>
      <w:r>
        <w:rPr>
          <w:color w:val="231F20"/>
          <w:spacing w:val="-1"/>
        </w:rPr>
        <w:t>Islander</w:t>
      </w:r>
      <w:r>
        <w:rPr>
          <w:color w:val="231F20"/>
          <w:spacing w:val="-3"/>
        </w:rPr>
        <w:t> </w:t>
      </w:r>
      <w:r>
        <w:rPr>
          <w:color w:val="231F20"/>
        </w:rPr>
        <w:t>enrolments</w:t>
      </w:r>
      <w:r>
        <w:rPr>
          <w:color w:val="231F20"/>
          <w:spacing w:val="-4"/>
        </w:rPr>
        <w:t> </w:t>
      </w:r>
      <w:r>
        <w:rPr>
          <w:color w:val="231F20"/>
        </w:rPr>
        <w:t>to</w:t>
      </w:r>
      <w:r>
        <w:rPr>
          <w:color w:val="231F20"/>
          <w:spacing w:val="-4"/>
        </w:rPr>
        <w:t> </w:t>
      </w:r>
      <w:r>
        <w:rPr>
          <w:color w:val="231F20"/>
        </w:rPr>
        <w:t>total</w:t>
      </w:r>
      <w:r>
        <w:rPr>
          <w:color w:val="231F20"/>
          <w:spacing w:val="21"/>
          <w:w w:val="99"/>
        </w:rPr>
        <w:t> </w:t>
      </w:r>
      <w:r>
        <w:rPr>
          <w:color w:val="231F20"/>
        </w:rPr>
        <w:t>enrolments</w:t>
      </w:r>
      <w:r>
        <w:rPr>
          <w:color w:val="231F20"/>
          <w:spacing w:val="-6"/>
        </w:rPr>
        <w:t> </w:t>
      </w:r>
      <w:r>
        <w:rPr>
          <w:color w:val="231F20"/>
        </w:rPr>
        <w:t>below</w:t>
      </w:r>
      <w:r>
        <w:rPr>
          <w:color w:val="231F20"/>
          <w:spacing w:val="-5"/>
        </w:rPr>
        <w:t> </w:t>
      </w:r>
      <w:r>
        <w:rPr>
          <w:color w:val="231F20"/>
          <w:spacing w:val="-1"/>
        </w:rPr>
        <w:t>20</w:t>
      </w:r>
      <w:r>
        <w:rPr>
          <w:color w:val="231F20"/>
          <w:spacing w:val="-4"/>
        </w:rPr>
        <w:t> </w:t>
      </w:r>
      <w:r>
        <w:rPr>
          <w:color w:val="231F20"/>
        </w:rPr>
        <w:t>per</w:t>
      </w:r>
      <w:r>
        <w:rPr>
          <w:color w:val="231F20"/>
          <w:spacing w:val="-4"/>
        </w:rPr>
        <w:t> </w:t>
      </w:r>
      <w:r>
        <w:rPr>
          <w:color w:val="231F20"/>
        </w:rPr>
        <w:t>cent.</w:t>
      </w:r>
      <w:r>
        <w:rPr>
          <w:color w:val="231F20"/>
          <w:spacing w:val="-5"/>
        </w:rPr>
        <w:t> </w:t>
      </w:r>
      <w:r>
        <w:rPr>
          <w:color w:val="231F20"/>
        </w:rPr>
        <w:t>The</w:t>
      </w:r>
      <w:r>
        <w:rPr>
          <w:color w:val="231F20"/>
          <w:spacing w:val="-5"/>
        </w:rPr>
        <w:t> </w:t>
      </w:r>
      <w:r>
        <w:rPr>
          <w:color w:val="231F20"/>
        </w:rPr>
        <w:t>proportion</w:t>
      </w:r>
      <w:r>
        <w:rPr>
          <w:color w:val="231F20"/>
          <w:spacing w:val="21"/>
          <w:w w:val="99"/>
        </w:rPr>
        <w:t> </w:t>
      </w:r>
      <w:r>
        <w:rPr>
          <w:color w:val="231F20"/>
        </w:rPr>
        <w:t>of</w:t>
      </w:r>
      <w:r>
        <w:rPr>
          <w:color w:val="231F20"/>
          <w:spacing w:val="-5"/>
        </w:rPr>
        <w:t> </w:t>
      </w:r>
      <w:r>
        <w:rPr>
          <w:color w:val="231F20"/>
        </w:rPr>
        <w:t>Aboriginal</w:t>
      </w:r>
      <w:r>
        <w:rPr>
          <w:color w:val="231F20"/>
          <w:spacing w:val="-4"/>
        </w:rPr>
        <w:t> </w:t>
      </w:r>
      <w:r>
        <w:rPr>
          <w:color w:val="231F20"/>
        </w:rPr>
        <w:t>and</w:t>
      </w:r>
      <w:r>
        <w:rPr>
          <w:color w:val="231F20"/>
          <w:spacing w:val="-5"/>
        </w:rPr>
        <w:t> 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4"/>
        </w:rPr>
        <w:t> </w:t>
      </w:r>
      <w:r>
        <w:rPr>
          <w:color w:val="231F20"/>
          <w:spacing w:val="-1"/>
        </w:rPr>
        <w:t>students</w:t>
      </w:r>
      <w:r>
        <w:rPr>
          <w:color w:val="231F20"/>
          <w:spacing w:val="20"/>
        </w:rPr>
        <w:t> </w:t>
      </w:r>
      <w:r>
        <w:rPr>
          <w:color w:val="231F20"/>
        </w:rPr>
        <w:t>at</w:t>
      </w:r>
      <w:r>
        <w:rPr>
          <w:color w:val="231F20"/>
          <w:spacing w:val="-4"/>
        </w:rPr>
        <w:t> </w:t>
      </w:r>
      <w:r>
        <w:rPr>
          <w:color w:val="231F20"/>
          <w:spacing w:val="-1"/>
        </w:rPr>
        <w:t>mainstream</w:t>
      </w:r>
      <w:r>
        <w:rPr>
          <w:color w:val="231F20"/>
          <w:spacing w:val="-3"/>
        </w:rPr>
        <w:t> </w:t>
      </w:r>
      <w:r>
        <w:rPr>
          <w:color w:val="231F20"/>
        </w:rPr>
        <w:t>providers</w:t>
      </w:r>
      <w:r>
        <w:rPr>
          <w:color w:val="231F20"/>
          <w:spacing w:val="-5"/>
        </w:rPr>
        <w:t> </w:t>
      </w:r>
      <w:r>
        <w:rPr>
          <w:color w:val="231F20"/>
        </w:rPr>
        <w:t>ranged</w:t>
      </w:r>
      <w:r>
        <w:rPr>
          <w:color w:val="231F20"/>
          <w:spacing w:val="-5"/>
        </w:rPr>
        <w:t> </w:t>
      </w:r>
      <w:r>
        <w:rPr>
          <w:color w:val="231F20"/>
        </w:rPr>
        <w:t>from</w:t>
      </w:r>
      <w:r>
        <w:rPr>
          <w:color w:val="231F20"/>
          <w:spacing w:val="-4"/>
        </w:rPr>
        <w:t> </w:t>
      </w:r>
      <w:r>
        <w:rPr>
          <w:color w:val="231F20"/>
        </w:rPr>
        <w:t>1</w:t>
      </w:r>
      <w:r>
        <w:rPr>
          <w:color w:val="231F20"/>
          <w:spacing w:val="-4"/>
        </w:rPr>
        <w:t> </w:t>
      </w:r>
      <w:r>
        <w:rPr>
          <w:color w:val="231F20"/>
        </w:rPr>
        <w:t>per</w:t>
      </w:r>
      <w:r>
        <w:rPr>
          <w:color w:val="231F20"/>
          <w:spacing w:val="-5"/>
        </w:rPr>
        <w:t> </w:t>
      </w:r>
      <w:r>
        <w:rPr>
          <w:color w:val="231F20"/>
        </w:rPr>
        <w:t>cent</w:t>
      </w:r>
      <w:r>
        <w:rPr>
          <w:color w:val="231F20"/>
          <w:spacing w:val="22"/>
          <w:w w:val="99"/>
        </w:rPr>
        <w:t> </w:t>
      </w:r>
      <w:r>
        <w:rPr>
          <w:color w:val="231F20"/>
        </w:rPr>
        <w:t>to</w:t>
      </w:r>
      <w:r>
        <w:rPr>
          <w:color w:val="231F20"/>
          <w:spacing w:val="-3"/>
        </w:rPr>
        <w:t> </w:t>
      </w:r>
      <w:r>
        <w:rPr>
          <w:color w:val="231F20"/>
          <w:spacing w:val="-1"/>
        </w:rPr>
        <w:t>16</w:t>
      </w:r>
      <w:r>
        <w:rPr>
          <w:color w:val="231F20"/>
          <w:spacing w:val="-3"/>
        </w:rPr>
        <w:t> </w:t>
      </w:r>
      <w:r>
        <w:rPr>
          <w:color w:val="231F20"/>
        </w:rPr>
        <w:t>per</w:t>
      </w:r>
      <w:r>
        <w:rPr>
          <w:color w:val="231F20"/>
          <w:spacing w:val="-3"/>
        </w:rPr>
        <w:t> </w:t>
      </w:r>
      <w:r>
        <w:rPr>
          <w:color w:val="231F20"/>
        </w:rPr>
        <w:t>cent</w:t>
      </w:r>
      <w:r>
        <w:rPr>
          <w:color w:val="231F20"/>
          <w:spacing w:val="-4"/>
        </w:rPr>
        <w:t> </w:t>
      </w:r>
      <w:r>
        <w:rPr>
          <w:color w:val="231F20"/>
        </w:rPr>
        <w:t>and</w:t>
      </w:r>
      <w:r>
        <w:rPr>
          <w:color w:val="231F20"/>
          <w:spacing w:val="-4"/>
        </w:rPr>
        <w:t> </w:t>
      </w:r>
      <w:r>
        <w:rPr>
          <w:color w:val="231F20"/>
        </w:rPr>
        <w:t>the</w:t>
      </w:r>
      <w:r>
        <w:rPr>
          <w:color w:val="231F20"/>
          <w:spacing w:val="-3"/>
        </w:rPr>
        <w:t> </w:t>
      </w:r>
      <w:r>
        <w:rPr>
          <w:color w:val="231F20"/>
          <w:spacing w:val="-1"/>
        </w:rPr>
        <w:t>median</w:t>
      </w:r>
      <w:r>
        <w:rPr>
          <w:color w:val="231F20"/>
          <w:spacing w:val="-3"/>
        </w:rPr>
        <w:t> </w:t>
      </w:r>
      <w:r>
        <w:rPr>
          <w:color w:val="231F20"/>
        </w:rPr>
        <w:t>value</w:t>
      </w:r>
      <w:r>
        <w:rPr>
          <w:color w:val="231F20"/>
          <w:spacing w:val="-3"/>
        </w:rPr>
        <w:t> </w:t>
      </w:r>
      <w:r>
        <w:rPr>
          <w:color w:val="231F20"/>
        </w:rPr>
        <w:t>was</w:t>
      </w:r>
      <w:r>
        <w:rPr/>
      </w:r>
    </w:p>
    <w:p>
      <w:pPr>
        <w:pStyle w:val="BodyText"/>
        <w:spacing w:line="250" w:lineRule="exact"/>
        <w:ind w:right="377"/>
        <w:jc w:val="left"/>
      </w:pPr>
      <w:r>
        <w:rPr>
          <w:color w:val="231F20"/>
        </w:rPr>
        <w:t>2.5</w:t>
      </w:r>
      <w:r>
        <w:rPr>
          <w:color w:val="231F20"/>
          <w:spacing w:val="-4"/>
        </w:rPr>
        <w:t> </w:t>
      </w:r>
      <w:r>
        <w:rPr>
          <w:color w:val="231F20"/>
        </w:rPr>
        <w:t>per</w:t>
      </w:r>
      <w:r>
        <w:rPr>
          <w:color w:val="231F20"/>
          <w:spacing w:val="-4"/>
        </w:rPr>
        <w:t> </w:t>
      </w:r>
      <w:r>
        <w:rPr>
          <w:color w:val="231F20"/>
        </w:rPr>
        <w:t>cent</w:t>
      </w:r>
      <w:r>
        <w:rPr>
          <w:color w:val="231F20"/>
          <w:spacing w:val="-5"/>
        </w:rPr>
        <w:t> </w:t>
      </w:r>
      <w:r>
        <w:rPr>
          <w:color w:val="231F20"/>
        </w:rPr>
        <w:t>with</w:t>
      </w:r>
      <w:r>
        <w:rPr>
          <w:color w:val="231F20"/>
          <w:spacing w:val="-4"/>
        </w:rPr>
        <w:t> </w:t>
      </w:r>
      <w:r>
        <w:rPr>
          <w:color w:val="231F20"/>
        </w:rPr>
        <w:t>a</w:t>
      </w:r>
      <w:r>
        <w:rPr>
          <w:color w:val="231F20"/>
          <w:spacing w:val="-4"/>
        </w:rPr>
        <w:t> </w:t>
      </w:r>
      <w:r>
        <w:rPr>
          <w:color w:val="231F20"/>
        </w:rPr>
        <w:t>three</w:t>
      </w:r>
      <w:r>
        <w:rPr>
          <w:color w:val="231F20"/>
          <w:spacing w:val="-4"/>
        </w:rPr>
        <w:t> </w:t>
      </w:r>
      <w:r>
        <w:rPr>
          <w:color w:val="231F20"/>
        </w:rPr>
        <w:t>year</w:t>
      </w:r>
      <w:r>
        <w:rPr>
          <w:color w:val="231F20"/>
          <w:spacing w:val="-4"/>
        </w:rPr>
        <w:t> </w:t>
      </w:r>
      <w:r>
        <w:rPr>
          <w:color w:val="231F20"/>
        </w:rPr>
        <w:t>average</w:t>
      </w:r>
      <w:r>
        <w:rPr>
          <w:color w:val="231F20"/>
          <w:spacing w:val="-5"/>
        </w:rPr>
        <w:t> </w:t>
      </w:r>
      <w:r>
        <w:rPr>
          <w:color w:val="231F20"/>
        </w:rPr>
        <w:t>cost</w:t>
      </w:r>
      <w:r>
        <w:rPr>
          <w:color w:val="231F20"/>
        </w:rPr>
        <w:t> of</w:t>
      </w:r>
      <w:r>
        <w:rPr>
          <w:color w:val="231F20"/>
          <w:spacing w:val="-5"/>
        </w:rPr>
        <w:t> </w:t>
      </w:r>
      <w:r>
        <w:rPr>
          <w:color w:val="231F20"/>
          <w:spacing w:val="-1"/>
        </w:rPr>
        <w:t>$19,381</w:t>
      </w:r>
      <w:r>
        <w:rPr>
          <w:color w:val="231F20"/>
          <w:spacing w:val="-4"/>
        </w:rPr>
        <w:t> </w:t>
      </w:r>
      <w:r>
        <w:rPr>
          <w:color w:val="231F20"/>
        </w:rPr>
        <w:t>per</w:t>
      </w:r>
      <w:r>
        <w:rPr>
          <w:color w:val="231F20"/>
          <w:spacing w:val="-4"/>
        </w:rPr>
        <w:t> </w:t>
      </w:r>
      <w:r>
        <w:rPr>
          <w:color w:val="231F20"/>
        </w:rPr>
        <w:t>boarder.</w:t>
      </w:r>
      <w:r>
        <w:rPr/>
      </w:r>
    </w:p>
    <w:p>
      <w:pPr>
        <w:pStyle w:val="BodyText"/>
        <w:spacing w:line="250" w:lineRule="exact" w:before="113"/>
        <w:ind w:right="0"/>
        <w:jc w:val="left"/>
      </w:pPr>
      <w:r>
        <w:rPr>
          <w:color w:val="231F20"/>
        </w:rPr>
        <w:t>The</w:t>
      </w:r>
      <w:r>
        <w:rPr>
          <w:color w:val="231F20"/>
          <w:spacing w:val="-7"/>
        </w:rPr>
        <w:t> </w:t>
      </w:r>
      <w:r>
        <w:rPr>
          <w:color w:val="231F20"/>
          <w:spacing w:val="-1"/>
        </w:rPr>
        <w:t>shortfall</w:t>
      </w:r>
      <w:r>
        <w:rPr>
          <w:color w:val="231F20"/>
          <w:spacing w:val="-5"/>
        </w:rPr>
        <w:t> </w:t>
      </w:r>
      <w:r>
        <w:rPr>
          <w:color w:val="231F20"/>
        </w:rPr>
        <w:t>per</w:t>
      </w:r>
      <w:r>
        <w:rPr>
          <w:color w:val="231F20"/>
          <w:spacing w:val="-7"/>
        </w:rPr>
        <w:t> </w:t>
      </w:r>
      <w:r>
        <w:rPr>
          <w:color w:val="231F20"/>
        </w:rPr>
        <w:t>boarder</w:t>
      </w:r>
      <w:r>
        <w:rPr>
          <w:color w:val="231F20"/>
          <w:spacing w:val="-6"/>
        </w:rPr>
        <w:t> </w:t>
      </w:r>
      <w:r>
        <w:rPr>
          <w:color w:val="231F20"/>
        </w:rPr>
        <w:t>between</w:t>
      </w:r>
      <w:r>
        <w:rPr>
          <w:color w:val="231F20"/>
          <w:spacing w:val="-7"/>
        </w:rPr>
        <w:t> </w:t>
      </w:r>
      <w:r>
        <w:rPr>
          <w:color w:val="231F20"/>
        </w:rPr>
        <w:t>revenue</w:t>
      </w:r>
      <w:r>
        <w:rPr>
          <w:color w:val="231F20"/>
          <w:spacing w:val="-8"/>
        </w:rPr>
        <w:t> </w:t>
      </w:r>
      <w:r>
        <w:rPr>
          <w:color w:val="231F20"/>
        </w:rPr>
        <w:t>and</w:t>
      </w:r>
      <w:r>
        <w:rPr>
          <w:color w:val="231F20"/>
          <w:spacing w:val="22"/>
          <w:w w:val="99"/>
        </w:rPr>
        <w:t> </w:t>
      </w:r>
      <w:r>
        <w:rPr>
          <w:color w:val="231F20"/>
        </w:rPr>
        <w:t>costs</w:t>
      </w:r>
      <w:r>
        <w:rPr>
          <w:color w:val="231F20"/>
          <w:spacing w:val="-6"/>
        </w:rPr>
        <w:t> </w:t>
      </w:r>
      <w:r>
        <w:rPr>
          <w:color w:val="231F20"/>
        </w:rPr>
        <w:t>for</w:t>
      </w:r>
      <w:r>
        <w:rPr>
          <w:color w:val="231F20"/>
          <w:spacing w:val="-4"/>
        </w:rPr>
        <w:t> </w:t>
      </w:r>
      <w:r>
        <w:rPr>
          <w:color w:val="231F20"/>
        </w:rPr>
        <w:t>Aboriginal</w:t>
      </w:r>
      <w:r>
        <w:rPr>
          <w:color w:val="231F20"/>
          <w:spacing w:val="-4"/>
        </w:rPr>
        <w:t> </w:t>
      </w:r>
      <w:r>
        <w:rPr>
          <w:color w:val="231F20"/>
        </w:rPr>
        <w:t>and</w:t>
      </w:r>
      <w:r>
        <w:rPr>
          <w:color w:val="231F20"/>
          <w:spacing w:val="-5"/>
        </w:rPr>
        <w:t> 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29"/>
          <w:w w:val="99"/>
        </w:rPr>
        <w:t> </w:t>
      </w:r>
      <w:r>
        <w:rPr>
          <w:color w:val="231F20"/>
        </w:rPr>
        <w:t>boarding</w:t>
      </w:r>
      <w:r>
        <w:rPr>
          <w:color w:val="231F20"/>
          <w:spacing w:val="-8"/>
        </w:rPr>
        <w:t> </w:t>
      </w:r>
      <w:r>
        <w:rPr>
          <w:color w:val="231F20"/>
        </w:rPr>
        <w:t>providers</w:t>
      </w:r>
      <w:r>
        <w:rPr>
          <w:color w:val="231F20"/>
          <w:spacing w:val="-7"/>
        </w:rPr>
        <w:t> </w:t>
      </w:r>
      <w:r>
        <w:rPr>
          <w:color w:val="231F20"/>
        </w:rPr>
        <w:t>was</w:t>
      </w:r>
      <w:r>
        <w:rPr>
          <w:color w:val="231F20"/>
          <w:spacing w:val="-7"/>
        </w:rPr>
        <w:t> </w:t>
      </w:r>
      <w:r>
        <w:rPr>
          <w:color w:val="231F20"/>
        </w:rPr>
        <w:t>on</w:t>
      </w:r>
      <w:r>
        <w:rPr>
          <w:color w:val="231F20"/>
          <w:spacing w:val="-6"/>
        </w:rPr>
        <w:t> </w:t>
      </w:r>
      <w:r>
        <w:rPr>
          <w:color w:val="231F20"/>
        </w:rPr>
        <w:t>average</w:t>
      </w:r>
      <w:r>
        <w:rPr>
          <w:color w:val="231F20"/>
          <w:spacing w:val="-7"/>
        </w:rPr>
        <w:t> </w:t>
      </w:r>
      <w:r>
        <w:rPr>
          <w:color w:val="231F20"/>
        </w:rPr>
        <w:t>higher</w:t>
      </w:r>
      <w:r>
        <w:rPr>
          <w:color w:val="231F20"/>
          <w:spacing w:val="-8"/>
        </w:rPr>
        <w:t> </w:t>
      </w:r>
      <w:r>
        <w:rPr>
          <w:color w:val="231F20"/>
        </w:rPr>
        <w:t>for</w:t>
      </w:r>
      <w:r>
        <w:rPr>
          <w:color w:val="231F20"/>
          <w:w w:val="99"/>
        </w:rPr>
        <w:t> </w:t>
      </w:r>
      <w:r>
        <w:rPr>
          <w:color w:val="231F20"/>
        </w:rPr>
        <w:t>providers</w:t>
      </w:r>
      <w:r>
        <w:rPr>
          <w:color w:val="231F20"/>
          <w:spacing w:val="-6"/>
        </w:rPr>
        <w:t> </w:t>
      </w:r>
      <w:r>
        <w:rPr>
          <w:color w:val="231F20"/>
        </w:rPr>
        <w:t>with</w:t>
      </w:r>
      <w:r>
        <w:rPr>
          <w:color w:val="231F20"/>
          <w:spacing w:val="-5"/>
        </w:rPr>
        <w:t> </w:t>
      </w:r>
      <w:r>
        <w:rPr>
          <w:color w:val="231F20"/>
        </w:rPr>
        <w:t>a</w:t>
      </w:r>
      <w:r>
        <w:rPr>
          <w:color w:val="231F20"/>
          <w:spacing w:val="-4"/>
        </w:rPr>
        <w:t> </w:t>
      </w:r>
      <w:r>
        <w:rPr>
          <w:color w:val="231F20"/>
          <w:spacing w:val="-1"/>
        </w:rPr>
        <w:t>medium</w:t>
      </w:r>
      <w:r>
        <w:rPr>
          <w:color w:val="231F20"/>
          <w:spacing w:val="-5"/>
        </w:rPr>
        <w:t> </w:t>
      </w:r>
      <w:r>
        <w:rPr>
          <w:color w:val="231F20"/>
        </w:rPr>
        <w:t>or</w:t>
      </w:r>
      <w:r>
        <w:rPr>
          <w:color w:val="231F20"/>
          <w:spacing w:val="-4"/>
        </w:rPr>
        <w:t> </w:t>
      </w:r>
      <w:r>
        <w:rPr>
          <w:color w:val="231F20"/>
        </w:rPr>
        <w:t>high</w:t>
      </w:r>
      <w:r>
        <w:rPr>
          <w:color w:val="231F20"/>
          <w:spacing w:val="-5"/>
        </w:rPr>
        <w:t> </w:t>
      </w:r>
      <w:r>
        <w:rPr>
          <w:color w:val="231F20"/>
        </w:rPr>
        <w:t>proportion</w:t>
      </w:r>
      <w:r>
        <w:rPr>
          <w:color w:val="231F20"/>
          <w:spacing w:val="-6"/>
        </w:rPr>
        <w:t> </w:t>
      </w:r>
      <w:r>
        <w:rPr>
          <w:color w:val="231F20"/>
        </w:rPr>
        <w:t>of</w:t>
      </w:r>
      <w:r>
        <w:rPr>
          <w:color w:val="231F20"/>
          <w:spacing w:val="21"/>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boarders.</w:t>
      </w:r>
      <w:r>
        <w:rPr>
          <w:color w:val="231F20"/>
          <w:spacing w:val="21"/>
          <w:w w:val="99"/>
        </w:rPr>
        <w:t> </w:t>
      </w:r>
      <w:r>
        <w:rPr>
          <w:color w:val="231F20"/>
        </w:rPr>
        <w:t>The</w:t>
      </w:r>
      <w:r>
        <w:rPr>
          <w:color w:val="231F20"/>
          <w:spacing w:val="-6"/>
        </w:rPr>
        <w:t> </w:t>
      </w:r>
      <w:r>
        <w:rPr>
          <w:color w:val="231F20"/>
        </w:rPr>
        <w:t>three</w:t>
      </w:r>
      <w:r>
        <w:rPr>
          <w:color w:val="231F20"/>
          <w:spacing w:val="-7"/>
        </w:rPr>
        <w:t> </w:t>
      </w:r>
      <w:r>
        <w:rPr>
          <w:color w:val="231F20"/>
        </w:rPr>
        <w:t>year</w:t>
      </w:r>
      <w:r>
        <w:rPr>
          <w:color w:val="231F20"/>
          <w:spacing w:val="-6"/>
        </w:rPr>
        <w:t> </w:t>
      </w:r>
      <w:r>
        <w:rPr>
          <w:color w:val="231F20"/>
        </w:rPr>
        <w:t>average</w:t>
      </w:r>
      <w:r>
        <w:rPr>
          <w:color w:val="231F20"/>
          <w:spacing w:val="-7"/>
        </w:rPr>
        <w:t> </w:t>
      </w:r>
      <w:r>
        <w:rPr>
          <w:color w:val="231F20"/>
          <w:spacing w:val="-1"/>
        </w:rPr>
        <w:t>shortfall</w:t>
      </w:r>
      <w:r>
        <w:rPr>
          <w:color w:val="231F20"/>
          <w:spacing w:val="-5"/>
        </w:rPr>
        <w:t> </w:t>
      </w:r>
      <w:r>
        <w:rPr>
          <w:color w:val="231F20"/>
        </w:rPr>
        <w:t>per</w:t>
      </w:r>
      <w:r>
        <w:rPr>
          <w:color w:val="231F20"/>
          <w:spacing w:val="-6"/>
        </w:rPr>
        <w:t> </w:t>
      </w:r>
      <w:r>
        <w:rPr>
          <w:color w:val="231F20"/>
        </w:rPr>
        <w:t>boarder</w:t>
      </w:r>
      <w:r>
        <w:rPr>
          <w:color w:val="231F20"/>
          <w:spacing w:val="22"/>
          <w:w w:val="99"/>
        </w:rPr>
        <w:t> </w:t>
      </w:r>
      <w:r>
        <w:rPr>
          <w:color w:val="231F20"/>
        </w:rPr>
        <w:t>across</w:t>
      </w:r>
      <w:r>
        <w:rPr>
          <w:color w:val="231F20"/>
          <w:spacing w:val="-7"/>
        </w:rPr>
        <w:t> </w:t>
      </w:r>
      <w:r>
        <w:rPr>
          <w:color w:val="231F20"/>
          <w:spacing w:val="-1"/>
        </w:rPr>
        <w:t>2015—2017</w:t>
      </w:r>
      <w:r>
        <w:rPr>
          <w:color w:val="231F20"/>
          <w:spacing w:val="-6"/>
        </w:rPr>
        <w:t> </w:t>
      </w:r>
      <w:r>
        <w:rPr>
          <w:color w:val="231F20"/>
        </w:rPr>
        <w:t>by</w:t>
      </w:r>
      <w:r>
        <w:rPr>
          <w:color w:val="231F20"/>
          <w:spacing w:val="-5"/>
        </w:rPr>
        <w:t> </w:t>
      </w:r>
      <w:r>
        <w:rPr>
          <w:color w:val="231F20"/>
        </w:rPr>
        <w:t>proportion</w:t>
      </w:r>
      <w:r>
        <w:rPr>
          <w:color w:val="231F20"/>
          <w:spacing w:val="-7"/>
        </w:rPr>
        <w:t> </w:t>
      </w:r>
      <w:r>
        <w:rPr>
          <w:color w:val="231F20"/>
        </w:rPr>
        <w:t>of</w:t>
      </w:r>
      <w:r>
        <w:rPr>
          <w:color w:val="231F20"/>
          <w:spacing w:val="-6"/>
        </w:rPr>
        <w:t> </w:t>
      </w:r>
      <w:r>
        <w:rPr>
          <w:color w:val="231F20"/>
        </w:rPr>
        <w:t>Aboriginal</w:t>
      </w:r>
      <w:r>
        <w:rPr>
          <w:color w:val="231F20"/>
          <w:spacing w:val="22"/>
          <w:w w:val="99"/>
        </w:rPr>
        <w:t> </w:t>
      </w:r>
      <w:r>
        <w:rPr>
          <w:color w:val="231F20"/>
        </w:rPr>
        <w:t>and</w:t>
      </w:r>
      <w:r>
        <w:rPr>
          <w:color w:val="231F20"/>
          <w:spacing w:val="-4"/>
        </w:rPr>
        <w:t> </w:t>
      </w:r>
      <w:r>
        <w:rPr>
          <w:color w:val="231F20"/>
          <w:spacing w:val="-5"/>
        </w:rPr>
        <w:t>Torres</w:t>
      </w:r>
      <w:r>
        <w:rPr>
          <w:color w:val="231F20"/>
          <w:spacing w:val="-3"/>
        </w:rPr>
        <w:t> </w:t>
      </w:r>
      <w:r>
        <w:rPr>
          <w:color w:val="231F20"/>
          <w:spacing w:val="-2"/>
        </w:rPr>
        <w:t>Strait</w:t>
      </w:r>
      <w:r>
        <w:rPr>
          <w:color w:val="231F20"/>
          <w:spacing w:val="-4"/>
        </w:rPr>
        <w:t> </w:t>
      </w:r>
      <w:r>
        <w:rPr>
          <w:color w:val="231F20"/>
          <w:spacing w:val="-1"/>
        </w:rPr>
        <w:t>Islander</w:t>
      </w:r>
      <w:r>
        <w:rPr>
          <w:color w:val="231F20"/>
          <w:spacing w:val="-3"/>
        </w:rPr>
        <w:t> </w:t>
      </w:r>
      <w:r>
        <w:rPr>
          <w:color w:val="231F20"/>
          <w:spacing w:val="-1"/>
        </w:rPr>
        <w:t>students</w:t>
      </w:r>
      <w:r>
        <w:rPr>
          <w:color w:val="231F20"/>
          <w:spacing w:val="-2"/>
        </w:rPr>
        <w:t> </w:t>
      </w:r>
      <w:r>
        <w:rPr>
          <w:color w:val="231F20"/>
        </w:rPr>
        <w:t>was</w:t>
      </w:r>
      <w:r>
        <w:rPr>
          <w:color w:val="231F20"/>
          <w:spacing w:val="-4"/>
        </w:rPr>
        <w:t> </w:t>
      </w:r>
      <w:r>
        <w:rPr>
          <w:color w:val="231F20"/>
          <w:spacing w:val="-1"/>
        </w:rPr>
        <w:t>$5,934</w:t>
      </w:r>
      <w:r>
        <w:rPr>
          <w:color w:val="231F20"/>
          <w:spacing w:val="22"/>
        </w:rPr>
        <w:t> </w:t>
      </w:r>
      <w:r>
        <w:rPr>
          <w:color w:val="231F20"/>
        </w:rPr>
        <w:t>(high),</w:t>
      </w:r>
      <w:r>
        <w:rPr>
          <w:color w:val="231F20"/>
          <w:spacing w:val="-4"/>
        </w:rPr>
        <w:t> </w:t>
      </w:r>
      <w:r>
        <w:rPr>
          <w:color w:val="231F20"/>
          <w:spacing w:val="-1"/>
        </w:rPr>
        <w:t>$6,762</w:t>
      </w:r>
      <w:r>
        <w:rPr>
          <w:color w:val="231F20"/>
          <w:spacing w:val="-2"/>
        </w:rPr>
        <w:t> </w:t>
      </w:r>
      <w:r>
        <w:rPr>
          <w:color w:val="231F20"/>
        </w:rPr>
        <w:t>(medium)</w:t>
      </w:r>
      <w:r>
        <w:rPr>
          <w:color w:val="231F20"/>
          <w:spacing w:val="-4"/>
        </w:rPr>
        <w:t> </w:t>
      </w:r>
      <w:r>
        <w:rPr>
          <w:color w:val="231F20"/>
        </w:rPr>
        <w:t>and</w:t>
      </w:r>
      <w:r>
        <w:rPr>
          <w:color w:val="231F20"/>
          <w:spacing w:val="-3"/>
        </w:rPr>
        <w:t> </w:t>
      </w:r>
      <w:r>
        <w:rPr>
          <w:color w:val="231F20"/>
          <w:spacing w:val="-1"/>
        </w:rPr>
        <w:t>$4,226</w:t>
      </w:r>
      <w:r>
        <w:rPr>
          <w:color w:val="231F20"/>
          <w:spacing w:val="-2"/>
        </w:rPr>
        <w:t> </w:t>
      </w:r>
      <w:r>
        <w:rPr>
          <w:color w:val="231F20"/>
        </w:rPr>
        <w:t>(low)</w:t>
      </w:r>
      <w:r>
        <w:rPr>
          <w:color w:val="231F20"/>
          <w:spacing w:val="-4"/>
        </w:rPr>
        <w:t> </w:t>
      </w:r>
      <w:r>
        <w:rPr>
          <w:color w:val="231F20"/>
        </w:rPr>
        <w:t>and</w:t>
      </w:r>
      <w:r>
        <w:rPr>
          <w:color w:val="231F20"/>
          <w:spacing w:val="-3"/>
        </w:rPr>
        <w:t> </w:t>
      </w:r>
      <w:r>
        <w:rPr>
          <w:color w:val="231F20"/>
          <w:spacing w:val="-1"/>
        </w:rPr>
        <w:t>is</w:t>
      </w:r>
      <w:r>
        <w:rPr>
          <w:color w:val="231F20"/>
          <w:spacing w:val="22"/>
        </w:rPr>
        <w:t> </w:t>
      </w:r>
      <w:r>
        <w:rPr>
          <w:color w:val="231F20"/>
          <w:spacing w:val="-1"/>
        </w:rPr>
        <w:t>set</w:t>
      </w:r>
      <w:r>
        <w:rPr>
          <w:color w:val="231F20"/>
          <w:spacing w:val="-4"/>
        </w:rPr>
        <w:t> </w:t>
      </w:r>
      <w:r>
        <w:rPr>
          <w:color w:val="231F20"/>
        </w:rPr>
        <w:t>out</w:t>
      </w:r>
      <w:r>
        <w:rPr>
          <w:color w:val="231F20"/>
          <w:spacing w:val="-4"/>
        </w:rPr>
        <w:t> </w:t>
      </w:r>
      <w:r>
        <w:rPr>
          <w:color w:val="231F20"/>
          <w:spacing w:val="-1"/>
        </w:rPr>
        <w:t>in</w:t>
      </w:r>
      <w:r>
        <w:rPr>
          <w:color w:val="231F20"/>
          <w:spacing w:val="-4"/>
        </w:rPr>
        <w:t> </w:t>
      </w:r>
      <w:r>
        <w:rPr>
          <w:color w:val="231F20"/>
        </w:rPr>
        <w:t>the</w:t>
      </w:r>
      <w:r>
        <w:rPr>
          <w:color w:val="231F20"/>
          <w:spacing w:val="-5"/>
        </w:rPr>
        <w:t> </w:t>
      </w:r>
      <w:r>
        <w:rPr>
          <w:color w:val="231F20"/>
        </w:rPr>
        <w:t>following</w:t>
      </w:r>
      <w:r>
        <w:rPr>
          <w:color w:val="231F20"/>
          <w:spacing w:val="-4"/>
        </w:rPr>
        <w:t> </w:t>
      </w:r>
      <w:r>
        <w:rPr>
          <w:color w:val="231F20"/>
        </w:rPr>
        <w:t>graph.</w:t>
      </w:r>
      <w:r>
        <w:rPr/>
      </w:r>
    </w:p>
    <w:p>
      <w:pPr>
        <w:pStyle w:val="BodyText"/>
        <w:spacing w:line="250" w:lineRule="exact" w:before="62"/>
        <w:ind w:right="142"/>
        <w:jc w:val="left"/>
      </w:pPr>
      <w:r>
        <w:rPr/>
        <w:br w:type="column"/>
      </w:r>
      <w:r>
        <w:rPr>
          <w:color w:val="231F20"/>
        </w:rPr>
        <w:t>There</w:t>
      </w:r>
      <w:r>
        <w:rPr>
          <w:color w:val="231F20"/>
          <w:spacing w:val="-4"/>
        </w:rPr>
        <w:t> </w:t>
      </w:r>
      <w:r>
        <w:rPr>
          <w:color w:val="231F20"/>
          <w:spacing w:val="-1"/>
        </w:rPr>
        <w:t>is</w:t>
      </w:r>
      <w:r>
        <w:rPr>
          <w:color w:val="231F20"/>
          <w:spacing w:val="-5"/>
        </w:rPr>
        <w:t> </w:t>
      </w:r>
      <w:r>
        <w:rPr>
          <w:color w:val="231F20"/>
        </w:rPr>
        <w:t>no</w:t>
      </w:r>
      <w:r>
        <w:rPr>
          <w:color w:val="231F20"/>
          <w:spacing w:val="-4"/>
        </w:rPr>
        <w:t> </w:t>
      </w:r>
      <w:r>
        <w:rPr>
          <w:color w:val="231F20"/>
          <w:spacing w:val="-1"/>
        </w:rPr>
        <w:t>indication</w:t>
      </w:r>
      <w:r>
        <w:rPr>
          <w:color w:val="231F20"/>
          <w:spacing w:val="-4"/>
        </w:rPr>
        <w:t> </w:t>
      </w:r>
      <w:r>
        <w:rPr>
          <w:color w:val="231F20"/>
        </w:rPr>
        <w:t>that</w:t>
      </w:r>
      <w:r>
        <w:rPr>
          <w:color w:val="231F20"/>
          <w:spacing w:val="-5"/>
        </w:rPr>
        <w:t> </w:t>
      </w:r>
      <w:r>
        <w:rPr>
          <w:color w:val="231F20"/>
        </w:rPr>
        <w:t>there</w:t>
      </w:r>
      <w:r>
        <w:rPr>
          <w:color w:val="231F20"/>
          <w:spacing w:val="-5"/>
        </w:rPr>
        <w:t> </w:t>
      </w:r>
      <w:r>
        <w:rPr>
          <w:color w:val="231F20"/>
        </w:rPr>
        <w:t>are</w:t>
      </w:r>
      <w:r>
        <w:rPr>
          <w:color w:val="231F20"/>
          <w:spacing w:val="-4"/>
        </w:rPr>
        <w:t> </w:t>
      </w:r>
      <w:r>
        <w:rPr>
          <w:color w:val="231F20"/>
        </w:rPr>
        <w:t>economies</w:t>
      </w:r>
      <w:r>
        <w:rPr>
          <w:color w:val="231F20"/>
          <w:spacing w:val="23"/>
        </w:rPr>
        <w:t> </w:t>
      </w:r>
      <w:r>
        <w:rPr>
          <w:color w:val="231F20"/>
        </w:rPr>
        <w:t>of</w:t>
      </w:r>
      <w:r>
        <w:rPr>
          <w:color w:val="231F20"/>
          <w:spacing w:val="-6"/>
        </w:rPr>
        <w:t> </w:t>
      </w:r>
      <w:r>
        <w:rPr>
          <w:color w:val="231F20"/>
          <w:spacing w:val="-1"/>
        </w:rPr>
        <w:t>scale</w:t>
      </w:r>
      <w:r>
        <w:rPr>
          <w:color w:val="231F20"/>
          <w:spacing w:val="-6"/>
        </w:rPr>
        <w:t> </w:t>
      </w:r>
      <w:r>
        <w:rPr>
          <w:color w:val="231F20"/>
        </w:rPr>
        <w:t>achieved</w:t>
      </w:r>
      <w:r>
        <w:rPr>
          <w:color w:val="231F20"/>
          <w:spacing w:val="-6"/>
        </w:rPr>
        <w:t> </w:t>
      </w:r>
      <w:r>
        <w:rPr>
          <w:color w:val="231F20"/>
        </w:rPr>
        <w:t>by</w:t>
      </w:r>
      <w:r>
        <w:rPr>
          <w:color w:val="231F20"/>
          <w:spacing w:val="-6"/>
        </w:rPr>
        <w:t> </w:t>
      </w:r>
      <w:r>
        <w:rPr>
          <w:color w:val="231F20"/>
          <w:spacing w:val="-1"/>
        </w:rPr>
        <w:t>increasing</w:t>
      </w:r>
      <w:r>
        <w:rPr>
          <w:color w:val="231F20"/>
          <w:spacing w:val="-5"/>
        </w:rPr>
        <w:t> </w:t>
      </w:r>
      <w:r>
        <w:rPr>
          <w:color w:val="231F20"/>
        </w:rPr>
        <w:t>the</w:t>
      </w:r>
      <w:r>
        <w:rPr>
          <w:color w:val="231F20"/>
          <w:spacing w:val="-7"/>
        </w:rPr>
        <w:t> </w:t>
      </w:r>
      <w:r>
        <w:rPr>
          <w:color w:val="231F20"/>
        </w:rPr>
        <w:t>proportion</w:t>
      </w:r>
      <w:r>
        <w:rPr>
          <w:color w:val="231F20"/>
          <w:spacing w:val="23"/>
          <w:w w:val="99"/>
        </w:rPr>
        <w:t> </w:t>
      </w:r>
      <w:r>
        <w:rPr>
          <w:color w:val="231F20"/>
        </w:rPr>
        <w:t>of</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29"/>
          <w:w w:val="99"/>
        </w:rPr>
        <w:t> </w:t>
      </w:r>
      <w:r>
        <w:rPr>
          <w:color w:val="231F20"/>
        </w:rPr>
        <w:t>boarders.</w:t>
      </w:r>
      <w:r>
        <w:rPr>
          <w:color w:val="231F20"/>
          <w:spacing w:val="-7"/>
        </w:rPr>
        <w:t> </w:t>
      </w:r>
      <w:r>
        <w:rPr>
          <w:color w:val="231F20"/>
        </w:rPr>
        <w:t>The</w:t>
      </w:r>
      <w:r>
        <w:rPr>
          <w:color w:val="231F20"/>
          <w:spacing w:val="-6"/>
        </w:rPr>
        <w:t> </w:t>
      </w:r>
      <w:r>
        <w:rPr>
          <w:color w:val="231F20"/>
        </w:rPr>
        <w:t>data</w:t>
      </w:r>
      <w:r>
        <w:rPr>
          <w:color w:val="231F20"/>
          <w:spacing w:val="-6"/>
        </w:rPr>
        <w:t> </w:t>
      </w:r>
      <w:r>
        <w:rPr>
          <w:color w:val="231F20"/>
          <w:spacing w:val="-1"/>
        </w:rPr>
        <w:t>supports</w:t>
      </w:r>
      <w:r>
        <w:rPr>
          <w:color w:val="231F20"/>
          <w:spacing w:val="-6"/>
        </w:rPr>
        <w:t> </w:t>
      </w:r>
      <w:r>
        <w:rPr>
          <w:color w:val="231F20"/>
          <w:spacing w:val="-1"/>
        </w:rPr>
        <w:t>suggestions</w:t>
      </w:r>
      <w:r>
        <w:rPr>
          <w:color w:val="231F20"/>
          <w:spacing w:val="-5"/>
        </w:rPr>
        <w:t> </w:t>
      </w:r>
      <w:r>
        <w:rPr>
          <w:color w:val="231F20"/>
          <w:spacing w:val="-1"/>
        </w:rPr>
        <w:t>made</w:t>
      </w:r>
      <w:r>
        <w:rPr>
          <w:color w:val="231F20"/>
          <w:spacing w:val="22"/>
          <w:w w:val="99"/>
        </w:rPr>
        <w:t> </w:t>
      </w:r>
      <w:r>
        <w:rPr>
          <w:color w:val="231F20"/>
        </w:rPr>
        <w:t>by</w:t>
      </w:r>
      <w:r>
        <w:rPr>
          <w:color w:val="231F20"/>
          <w:spacing w:val="-6"/>
        </w:rPr>
        <w:t> </w:t>
      </w:r>
      <w:r>
        <w:rPr>
          <w:color w:val="231F20"/>
          <w:spacing w:val="-1"/>
        </w:rPr>
        <w:t>some</w:t>
      </w:r>
      <w:r>
        <w:rPr>
          <w:color w:val="231F20"/>
          <w:spacing w:val="-6"/>
        </w:rPr>
        <w:t> </w:t>
      </w:r>
      <w:r>
        <w:rPr>
          <w:color w:val="231F20"/>
        </w:rPr>
        <w:t>boarding</w:t>
      </w:r>
      <w:r>
        <w:rPr>
          <w:color w:val="231F20"/>
          <w:spacing w:val="-7"/>
        </w:rPr>
        <w:t> </w:t>
      </w:r>
      <w:r>
        <w:rPr>
          <w:color w:val="231F20"/>
        </w:rPr>
        <w:t>providers</w:t>
      </w:r>
      <w:r>
        <w:rPr>
          <w:color w:val="231F20"/>
          <w:spacing w:val="-7"/>
        </w:rPr>
        <w:t> </w:t>
      </w:r>
      <w:r>
        <w:rPr>
          <w:color w:val="231F20"/>
        </w:rPr>
        <w:t>that</w:t>
      </w:r>
      <w:r>
        <w:rPr>
          <w:color w:val="231F20"/>
          <w:spacing w:val="-6"/>
        </w:rPr>
        <w:t> </w:t>
      </w:r>
      <w:r>
        <w:rPr>
          <w:color w:val="231F20"/>
        </w:rPr>
        <w:t>funding</w:t>
      </w:r>
      <w:r>
        <w:rPr/>
      </w:r>
    </w:p>
    <w:p>
      <w:pPr>
        <w:pStyle w:val="BodyText"/>
        <w:spacing w:line="250" w:lineRule="exact"/>
        <w:ind w:right="140"/>
        <w:jc w:val="left"/>
      </w:pPr>
      <w:r>
        <w:rPr>
          <w:color w:val="231F20"/>
        </w:rPr>
        <w:t>for</w:t>
      </w:r>
      <w:r>
        <w:rPr>
          <w:color w:val="231F20"/>
          <w:spacing w:val="-5"/>
        </w:rPr>
        <w:t> </w:t>
      </w:r>
      <w:r>
        <w:rPr>
          <w:color w:val="231F20"/>
        </w:rPr>
        <w:t>boarding</w:t>
      </w:r>
      <w:r>
        <w:rPr>
          <w:color w:val="231F20"/>
          <w:spacing w:val="-6"/>
        </w:rPr>
        <w:t> </w:t>
      </w:r>
      <w:r>
        <w:rPr>
          <w:color w:val="231F20"/>
        </w:rPr>
        <w:t>at</w:t>
      </w:r>
      <w:r>
        <w:rPr>
          <w:color w:val="231F20"/>
          <w:spacing w:val="-4"/>
        </w:rPr>
        <w:t> </w:t>
      </w:r>
      <w:r>
        <w:rPr>
          <w:color w:val="231F20"/>
        </w:rPr>
        <w:t>Aboriginal</w:t>
      </w:r>
      <w:r>
        <w:rPr>
          <w:color w:val="231F20"/>
          <w:spacing w:val="-5"/>
        </w:rPr>
        <w:t> </w:t>
      </w:r>
      <w:r>
        <w:rPr>
          <w:color w:val="231F20"/>
        </w:rPr>
        <w:t>and</w:t>
      </w:r>
      <w:r>
        <w:rPr>
          <w:color w:val="231F20"/>
          <w:spacing w:val="-6"/>
        </w:rPr>
        <w:t> </w:t>
      </w:r>
      <w:r>
        <w:rPr>
          <w:color w:val="231F20"/>
          <w:spacing w:val="-5"/>
        </w:rPr>
        <w:t>Torres</w:t>
      </w:r>
      <w:r>
        <w:rPr>
          <w:color w:val="231F20"/>
          <w:spacing w:val="-4"/>
        </w:rPr>
        <w:t> </w:t>
      </w:r>
      <w:r>
        <w:rPr>
          <w:color w:val="231F20"/>
          <w:spacing w:val="-2"/>
        </w:rPr>
        <w:t>Strait</w:t>
      </w:r>
      <w:r>
        <w:rPr>
          <w:color w:val="231F20"/>
          <w:spacing w:val="28"/>
          <w:w w:val="99"/>
        </w:rPr>
        <w:t> </w:t>
      </w:r>
      <w:r>
        <w:rPr>
          <w:color w:val="231F20"/>
          <w:spacing w:val="-1"/>
        </w:rPr>
        <w:t>Islander</w:t>
      </w:r>
      <w:r>
        <w:rPr>
          <w:color w:val="231F20"/>
          <w:spacing w:val="-6"/>
        </w:rPr>
        <w:t> </w:t>
      </w:r>
      <w:r>
        <w:rPr>
          <w:color w:val="231F20"/>
        </w:rPr>
        <w:t>boarding</w:t>
      </w:r>
      <w:r>
        <w:rPr>
          <w:color w:val="231F20"/>
          <w:spacing w:val="-7"/>
        </w:rPr>
        <w:t> </w:t>
      </w:r>
      <w:r>
        <w:rPr>
          <w:color w:val="231F20"/>
          <w:spacing w:val="-1"/>
        </w:rPr>
        <w:t>should</w:t>
      </w:r>
      <w:r>
        <w:rPr>
          <w:color w:val="231F20"/>
          <w:spacing w:val="-5"/>
        </w:rPr>
        <w:t> </w:t>
      </w:r>
      <w:r>
        <w:rPr>
          <w:color w:val="231F20"/>
        </w:rPr>
        <w:t>attract</w:t>
      </w:r>
      <w:r>
        <w:rPr>
          <w:color w:val="231F20"/>
          <w:spacing w:val="-7"/>
        </w:rPr>
        <w:t> </w:t>
      </w:r>
      <w:r>
        <w:rPr>
          <w:color w:val="231F20"/>
        </w:rPr>
        <w:t>a</w:t>
      </w:r>
      <w:r>
        <w:rPr>
          <w:color w:val="231F20"/>
          <w:spacing w:val="-6"/>
        </w:rPr>
        <w:t> </w:t>
      </w:r>
      <w:r>
        <w:rPr>
          <w:color w:val="231F20"/>
          <w:spacing w:val="-1"/>
        </w:rPr>
        <w:t>loading</w:t>
      </w:r>
      <w:r>
        <w:rPr>
          <w:color w:val="231F20"/>
          <w:spacing w:val="22"/>
          <w:w w:val="99"/>
        </w:rPr>
        <w:t> </w:t>
      </w:r>
      <w:r>
        <w:rPr>
          <w:color w:val="231F20"/>
        </w:rPr>
        <w:t>based</w:t>
      </w:r>
      <w:r>
        <w:rPr>
          <w:color w:val="231F20"/>
          <w:spacing w:val="-7"/>
        </w:rPr>
        <w:t> </w:t>
      </w:r>
      <w:r>
        <w:rPr>
          <w:color w:val="231F20"/>
        </w:rPr>
        <w:t>on</w:t>
      </w:r>
      <w:r>
        <w:rPr>
          <w:color w:val="231F20"/>
          <w:spacing w:val="-6"/>
        </w:rPr>
        <w:t> </w:t>
      </w:r>
      <w:r>
        <w:rPr>
          <w:color w:val="231F20"/>
        </w:rPr>
        <w:t>the</w:t>
      </w:r>
      <w:r>
        <w:rPr>
          <w:color w:val="231F20"/>
          <w:spacing w:val="-7"/>
        </w:rPr>
        <w:t> </w:t>
      </w:r>
      <w:r>
        <w:rPr>
          <w:color w:val="231F20"/>
        </w:rPr>
        <w:t>proportion</w:t>
      </w:r>
      <w:r>
        <w:rPr>
          <w:color w:val="231F20"/>
          <w:spacing w:val="-6"/>
        </w:rPr>
        <w:t> </w:t>
      </w:r>
      <w:r>
        <w:rPr>
          <w:color w:val="231F20"/>
        </w:rPr>
        <w:t>of</w:t>
      </w:r>
      <w:r>
        <w:rPr>
          <w:color w:val="231F20"/>
          <w:spacing w:val="-6"/>
        </w:rPr>
        <w:t> </w:t>
      </w:r>
      <w:r>
        <w:rPr>
          <w:color w:val="231F20"/>
        </w:rPr>
        <w:t>Aboriginal</w:t>
      </w:r>
      <w:r>
        <w:rPr>
          <w:color w:val="231F20"/>
          <w:spacing w:val="-6"/>
        </w:rPr>
        <w:t> </w:t>
      </w:r>
      <w:r>
        <w:rPr>
          <w:color w:val="231F20"/>
        </w:rPr>
        <w:t>and</w:t>
      </w:r>
      <w:r>
        <w:rPr>
          <w:color w:val="231F20"/>
          <w:w w:val="99"/>
        </w:rPr>
        <w:t> </w:t>
      </w:r>
      <w:r>
        <w:rPr>
          <w:color w:val="231F20"/>
          <w:spacing w:val="-5"/>
        </w:rPr>
        <w:t>Torres</w:t>
      </w:r>
      <w:r>
        <w:rPr>
          <w:color w:val="231F20"/>
          <w:spacing w:val="-7"/>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boarders.</w:t>
      </w:r>
      <w:r>
        <w:rPr/>
      </w:r>
    </w:p>
    <w:p>
      <w:pPr>
        <w:pStyle w:val="BodyText"/>
        <w:spacing w:line="250" w:lineRule="exact" w:before="113"/>
        <w:ind w:right="106"/>
        <w:jc w:val="left"/>
      </w:pPr>
      <w:r>
        <w:rPr>
          <w:color w:val="231F20"/>
        </w:rPr>
        <w:t>As</w:t>
      </w:r>
      <w:r>
        <w:rPr>
          <w:color w:val="231F20"/>
          <w:spacing w:val="-10"/>
        </w:rPr>
        <w:t> </w:t>
      </w:r>
      <w:r>
        <w:rPr>
          <w:color w:val="231F20"/>
        </w:rPr>
        <w:t>with</w:t>
      </w:r>
      <w:r>
        <w:rPr>
          <w:color w:val="231F20"/>
          <w:spacing w:val="-9"/>
        </w:rPr>
        <w:t> </w:t>
      </w:r>
      <w:r>
        <w:rPr>
          <w:color w:val="231F20"/>
          <w:spacing w:val="-1"/>
        </w:rPr>
        <w:t>socio-educational</w:t>
      </w:r>
      <w:r>
        <w:rPr>
          <w:color w:val="231F20"/>
          <w:spacing w:val="-6"/>
        </w:rPr>
        <w:t> </w:t>
      </w:r>
      <w:r>
        <w:rPr>
          <w:color w:val="231F20"/>
        </w:rPr>
        <w:t>disadvantage,</w:t>
      </w:r>
      <w:r>
        <w:rPr>
          <w:color w:val="231F20"/>
          <w:spacing w:val="-9"/>
        </w:rPr>
        <w:t> </w:t>
      </w:r>
      <w:r>
        <w:rPr>
          <w:color w:val="231F20"/>
        </w:rPr>
        <w:t>a</w:t>
      </w:r>
      <w:r>
        <w:rPr>
          <w:color w:val="231F20"/>
          <w:spacing w:val="22"/>
          <w:w w:val="99"/>
        </w:rPr>
        <w:t> </w:t>
      </w:r>
      <w:r>
        <w:rPr>
          <w:color w:val="231F20"/>
          <w:spacing w:val="-1"/>
        </w:rPr>
        <w:t>similar</w:t>
      </w:r>
      <w:r>
        <w:rPr>
          <w:color w:val="231F20"/>
          <w:spacing w:val="-3"/>
        </w:rPr>
        <w:t> </w:t>
      </w:r>
      <w:r>
        <w:rPr>
          <w:color w:val="231F20"/>
          <w:spacing w:val="-1"/>
        </w:rPr>
        <w:t>loading</w:t>
      </w:r>
      <w:r>
        <w:rPr>
          <w:color w:val="231F20"/>
          <w:spacing w:val="-3"/>
        </w:rPr>
        <w:t> </w:t>
      </w:r>
      <w:r>
        <w:rPr>
          <w:color w:val="231F20"/>
        </w:rPr>
        <w:t>already</w:t>
      </w:r>
      <w:r>
        <w:rPr>
          <w:color w:val="231F20"/>
          <w:spacing w:val="-3"/>
        </w:rPr>
        <w:t> </w:t>
      </w:r>
      <w:r>
        <w:rPr>
          <w:color w:val="231F20"/>
        </w:rPr>
        <w:t>exists</w:t>
      </w:r>
      <w:r>
        <w:rPr>
          <w:color w:val="231F20"/>
          <w:spacing w:val="-4"/>
        </w:rPr>
        <w:t> </w:t>
      </w:r>
      <w:r>
        <w:rPr>
          <w:color w:val="231F20"/>
          <w:spacing w:val="-1"/>
        </w:rPr>
        <w:t>in</w:t>
      </w:r>
      <w:r>
        <w:rPr>
          <w:color w:val="231F20"/>
          <w:spacing w:val="-3"/>
        </w:rPr>
        <w:t> </w:t>
      </w:r>
      <w:r>
        <w:rPr>
          <w:color w:val="231F20"/>
        </w:rPr>
        <w:t>the</w:t>
      </w:r>
      <w:r>
        <w:rPr>
          <w:color w:val="231F20"/>
          <w:spacing w:val="-3"/>
        </w:rPr>
        <w:t> </w:t>
      </w:r>
      <w:r>
        <w:rPr>
          <w:color w:val="231F20"/>
          <w:spacing w:val="-1"/>
        </w:rPr>
        <w:t>Schooling</w:t>
      </w:r>
      <w:r>
        <w:rPr>
          <w:color w:val="231F20"/>
          <w:spacing w:val="23"/>
        </w:rPr>
        <w:t> </w:t>
      </w:r>
      <w:r>
        <w:rPr>
          <w:color w:val="231F20"/>
          <w:spacing w:val="-1"/>
        </w:rPr>
        <w:t>Resource</w:t>
      </w:r>
      <w:r>
        <w:rPr>
          <w:color w:val="231F20"/>
          <w:spacing w:val="-5"/>
        </w:rPr>
        <w:t> </w:t>
      </w:r>
      <w:r>
        <w:rPr>
          <w:color w:val="231F20"/>
          <w:spacing w:val="-1"/>
        </w:rPr>
        <w:t>Standard</w:t>
      </w:r>
      <w:r>
        <w:rPr>
          <w:color w:val="231F20"/>
          <w:spacing w:val="-5"/>
        </w:rPr>
        <w:t> </w:t>
      </w:r>
      <w:r>
        <w:rPr>
          <w:color w:val="231F20"/>
          <w:spacing w:val="-1"/>
        </w:rPr>
        <w:t>set</w:t>
      </w:r>
      <w:r>
        <w:rPr>
          <w:color w:val="231F20"/>
          <w:spacing w:val="-4"/>
        </w:rPr>
        <w:t> </w:t>
      </w:r>
      <w:r>
        <w:rPr>
          <w:color w:val="231F20"/>
        </w:rPr>
        <w:t>out</w:t>
      </w:r>
      <w:r>
        <w:rPr>
          <w:color w:val="231F20"/>
          <w:spacing w:val="-4"/>
        </w:rPr>
        <w:t> </w:t>
      </w:r>
      <w:r>
        <w:rPr>
          <w:color w:val="231F20"/>
          <w:spacing w:val="-1"/>
        </w:rPr>
        <w:t>in</w:t>
      </w:r>
      <w:r>
        <w:rPr>
          <w:color w:val="231F20"/>
          <w:spacing w:val="-4"/>
        </w:rPr>
        <w:t> </w:t>
      </w:r>
      <w:r>
        <w:rPr>
          <w:color w:val="231F20"/>
        </w:rPr>
        <w:t>the</w:t>
      </w:r>
      <w:r>
        <w:rPr>
          <w:color w:val="231F20"/>
          <w:spacing w:val="-5"/>
        </w:rPr>
        <w:t> </w:t>
      </w:r>
      <w:r>
        <w:rPr>
          <w:rFonts w:ascii="Segoe UI" w:hAnsi="Segoe UI" w:cs="Segoe UI" w:eastAsia="Segoe UI"/>
          <w:i/>
          <w:color w:val="231F20"/>
          <w:spacing w:val="-1"/>
        </w:rPr>
        <w:t>Australian</w:t>
      </w:r>
      <w:r>
        <w:rPr>
          <w:rFonts w:ascii="Segoe UI" w:hAnsi="Segoe UI" w:cs="Segoe UI" w:eastAsia="Segoe UI"/>
          <w:i/>
          <w:color w:val="231F20"/>
          <w:spacing w:val="27"/>
          <w:w w:val="99"/>
        </w:rPr>
        <w:t> </w:t>
      </w:r>
      <w:r>
        <w:rPr>
          <w:rFonts w:ascii="Segoe UI" w:hAnsi="Segoe UI" w:cs="Segoe UI" w:eastAsia="Segoe UI"/>
          <w:i/>
          <w:color w:val="231F20"/>
        </w:rPr>
        <w:t>Education</w:t>
      </w:r>
      <w:r>
        <w:rPr>
          <w:rFonts w:ascii="Segoe UI" w:hAnsi="Segoe UI" w:cs="Segoe UI" w:eastAsia="Segoe UI"/>
          <w:i/>
          <w:color w:val="231F20"/>
          <w:spacing w:val="-4"/>
        </w:rPr>
        <w:t> </w:t>
      </w:r>
      <w:r>
        <w:rPr>
          <w:rFonts w:ascii="Segoe UI" w:hAnsi="Segoe UI" w:cs="Segoe UI" w:eastAsia="Segoe UI"/>
          <w:i/>
          <w:color w:val="231F20"/>
        </w:rPr>
        <w:t>Act</w:t>
      </w:r>
      <w:r>
        <w:rPr>
          <w:rFonts w:ascii="Segoe UI" w:hAnsi="Segoe UI" w:cs="Segoe UI" w:eastAsia="Segoe UI"/>
          <w:i/>
          <w:color w:val="231F20"/>
          <w:spacing w:val="-4"/>
        </w:rPr>
        <w:t> </w:t>
      </w:r>
      <w:r>
        <w:rPr>
          <w:rFonts w:ascii="Segoe UI" w:hAnsi="Segoe UI" w:cs="Segoe UI" w:eastAsia="Segoe UI"/>
          <w:i/>
          <w:color w:val="231F20"/>
        </w:rPr>
        <w:t>2013</w:t>
      </w:r>
      <w:r>
        <w:rPr>
          <w:color w:val="231F20"/>
        </w:rPr>
        <w:t>.</w:t>
      </w:r>
      <w:r>
        <w:rPr>
          <w:color w:val="231F20"/>
          <w:spacing w:val="-3"/>
        </w:rPr>
        <w:t> </w:t>
      </w:r>
      <w:r>
        <w:rPr>
          <w:color w:val="231F20"/>
        </w:rPr>
        <w:t>‘This</w:t>
      </w:r>
      <w:r>
        <w:rPr>
          <w:color w:val="231F20"/>
          <w:spacing w:val="-4"/>
        </w:rPr>
        <w:t> </w:t>
      </w:r>
      <w:r>
        <w:rPr>
          <w:color w:val="231F20"/>
          <w:spacing w:val="-1"/>
        </w:rPr>
        <w:t>loading</w:t>
      </w:r>
      <w:r>
        <w:rPr>
          <w:color w:val="231F20"/>
          <w:spacing w:val="-3"/>
        </w:rPr>
        <w:t> </w:t>
      </w:r>
      <w:r>
        <w:rPr>
          <w:color w:val="231F20"/>
        </w:rPr>
        <w:t>provides</w:t>
      </w:r>
      <w:r>
        <w:rPr>
          <w:color w:val="231F20"/>
          <w:spacing w:val="-4"/>
        </w:rPr>
        <w:t> </w:t>
      </w:r>
      <w:r>
        <w:rPr>
          <w:color w:val="231F20"/>
        </w:rPr>
        <w:t>extra</w:t>
      </w:r>
      <w:r>
        <w:rPr>
          <w:color w:val="231F20"/>
          <w:spacing w:val="22"/>
          <w:w w:val="99"/>
        </w:rPr>
        <w:t> </w:t>
      </w:r>
      <w:r>
        <w:rPr>
          <w:color w:val="231F20"/>
        </w:rPr>
        <w:t>funding</w:t>
      </w:r>
      <w:r>
        <w:rPr>
          <w:color w:val="231F20"/>
          <w:spacing w:val="-5"/>
        </w:rPr>
        <w:t> </w:t>
      </w:r>
      <w:r>
        <w:rPr>
          <w:color w:val="231F20"/>
        </w:rPr>
        <w:t>on</w:t>
      </w:r>
      <w:r>
        <w:rPr>
          <w:color w:val="231F20"/>
          <w:spacing w:val="-4"/>
        </w:rPr>
        <w:t> </w:t>
      </w:r>
      <w:r>
        <w:rPr>
          <w:color w:val="231F20"/>
        </w:rPr>
        <w:t>top</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base</w:t>
      </w:r>
      <w:r>
        <w:rPr>
          <w:color w:val="231F20"/>
          <w:spacing w:val="-5"/>
        </w:rPr>
        <w:t> </w:t>
      </w:r>
      <w:r>
        <w:rPr>
          <w:color w:val="231F20"/>
        </w:rPr>
        <w:t>amount</w:t>
      </w:r>
      <w:r>
        <w:rPr>
          <w:color w:val="231F20"/>
          <w:spacing w:val="-6"/>
        </w:rPr>
        <w:t> </w:t>
      </w:r>
      <w:r>
        <w:rPr>
          <w:color w:val="231F20"/>
        </w:rPr>
        <w:t>for</w:t>
      </w:r>
      <w:r>
        <w:rPr>
          <w:color w:val="231F20"/>
          <w:spacing w:val="-4"/>
        </w:rPr>
        <w:t> </w:t>
      </w:r>
      <w:r>
        <w:rPr>
          <w:color w:val="231F20"/>
        </w:rPr>
        <w:t>each</w:t>
      </w:r>
      <w:r>
        <w:rPr>
          <w:color w:val="231F20"/>
          <w:w w:val="99"/>
        </w:rPr>
        <w:t> </w:t>
      </w:r>
      <w:r>
        <w:rPr>
          <w:color w:val="231F20"/>
        </w:rPr>
        <w:t>Aboriginal</w:t>
      </w:r>
      <w:r>
        <w:rPr>
          <w:color w:val="231F20"/>
          <w:spacing w:val="-6"/>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spacing w:val="-1"/>
        </w:rPr>
        <w:t>student.</w:t>
      </w:r>
      <w:r>
        <w:rPr/>
      </w:r>
    </w:p>
    <w:p>
      <w:pPr>
        <w:pStyle w:val="BodyText"/>
        <w:spacing w:line="250" w:lineRule="exact"/>
        <w:ind w:right="148"/>
        <w:jc w:val="left"/>
      </w:pPr>
      <w:r>
        <w:rPr>
          <w:color w:val="231F20"/>
        </w:rPr>
        <w:t>The</w:t>
      </w:r>
      <w:r>
        <w:rPr>
          <w:color w:val="231F20"/>
          <w:spacing w:val="-6"/>
        </w:rPr>
        <w:t> </w:t>
      </w:r>
      <w:r>
        <w:rPr>
          <w:color w:val="231F20"/>
        </w:rPr>
        <w:t>amount</w:t>
      </w:r>
      <w:r>
        <w:rPr>
          <w:color w:val="231F20"/>
          <w:spacing w:val="-6"/>
        </w:rPr>
        <w:t> </w:t>
      </w:r>
      <w:r>
        <w:rPr>
          <w:color w:val="231F20"/>
        </w:rPr>
        <w:t>of</w:t>
      </w:r>
      <w:r>
        <w:rPr>
          <w:color w:val="231F20"/>
          <w:spacing w:val="-5"/>
        </w:rPr>
        <w:t> </w:t>
      </w:r>
      <w:r>
        <w:rPr>
          <w:color w:val="231F20"/>
        </w:rPr>
        <w:t>extra</w:t>
      </w:r>
      <w:r>
        <w:rPr>
          <w:color w:val="231F20"/>
          <w:spacing w:val="-5"/>
        </w:rPr>
        <w:t> </w:t>
      </w:r>
      <w:r>
        <w:rPr>
          <w:color w:val="231F20"/>
        </w:rPr>
        <w:t>funding</w:t>
      </w:r>
      <w:r>
        <w:rPr>
          <w:color w:val="231F20"/>
          <w:spacing w:val="-5"/>
        </w:rPr>
        <w:t> </w:t>
      </w:r>
      <w:r>
        <w:rPr>
          <w:color w:val="231F20"/>
        </w:rPr>
        <w:t>for</w:t>
      </w:r>
      <w:r>
        <w:rPr>
          <w:color w:val="231F20"/>
          <w:spacing w:val="-6"/>
        </w:rPr>
        <w:t> </w:t>
      </w:r>
      <w:r>
        <w:rPr>
          <w:color w:val="231F20"/>
        </w:rPr>
        <w:t>each</w:t>
      </w:r>
      <w:r>
        <w:rPr>
          <w:color w:val="231F20"/>
          <w:spacing w:val="-5"/>
        </w:rPr>
        <w:t> </w:t>
      </w:r>
      <w:r>
        <w:rPr>
          <w:color w:val="231F20"/>
          <w:spacing w:val="-1"/>
        </w:rPr>
        <w:t>student</w:t>
      </w:r>
      <w:r>
        <w:rPr>
          <w:color w:val="231F20"/>
          <w:spacing w:val="20"/>
          <w:w w:val="99"/>
        </w:rPr>
        <w:t> </w:t>
      </w:r>
      <w:r>
        <w:rPr>
          <w:color w:val="231F20"/>
        </w:rPr>
        <w:t>depends</w:t>
      </w:r>
      <w:r>
        <w:rPr>
          <w:color w:val="231F20"/>
          <w:spacing w:val="-8"/>
        </w:rPr>
        <w:t> </w:t>
      </w:r>
      <w:r>
        <w:rPr>
          <w:color w:val="231F20"/>
        </w:rPr>
        <w:t>on</w:t>
      </w:r>
      <w:r>
        <w:rPr>
          <w:color w:val="231F20"/>
          <w:spacing w:val="-6"/>
        </w:rPr>
        <w:t> </w:t>
      </w:r>
      <w:r>
        <w:rPr>
          <w:color w:val="231F20"/>
        </w:rPr>
        <w:t>the</w:t>
      </w:r>
      <w:r>
        <w:rPr>
          <w:color w:val="231F20"/>
          <w:spacing w:val="-7"/>
        </w:rPr>
        <w:t> </w:t>
      </w:r>
      <w:r>
        <w:rPr>
          <w:color w:val="231F20"/>
        </w:rPr>
        <w:t>proportion</w:t>
      </w:r>
      <w:r>
        <w:rPr>
          <w:color w:val="231F20"/>
          <w:spacing w:val="-7"/>
        </w:rPr>
        <w:t> </w:t>
      </w:r>
      <w:r>
        <w:rPr>
          <w:color w:val="231F20"/>
        </w:rPr>
        <w:t>of</w:t>
      </w:r>
      <w:r>
        <w:rPr>
          <w:color w:val="231F20"/>
          <w:spacing w:val="-6"/>
        </w:rPr>
        <w:t> </w:t>
      </w:r>
      <w:r>
        <w:rPr>
          <w:color w:val="231F20"/>
        </w:rPr>
        <w:t>Aboriginal</w:t>
      </w:r>
      <w:r>
        <w:rPr>
          <w:color w:val="231F20"/>
          <w:spacing w:val="-6"/>
        </w:rPr>
        <w:t> </w:t>
      </w:r>
      <w:r>
        <w:rPr>
          <w:color w:val="231F20"/>
        </w:rPr>
        <w:t>and</w:t>
      </w:r>
      <w:r>
        <w:rPr>
          <w:color w:val="231F20"/>
          <w:w w:val="99"/>
        </w:rPr>
        <w:t> </w:t>
      </w:r>
      <w:r>
        <w:rPr>
          <w:color w:val="231F20"/>
          <w:spacing w:val="-5"/>
        </w:rPr>
        <w:t>Torres</w:t>
      </w:r>
      <w:r>
        <w:rPr>
          <w:color w:val="231F20"/>
          <w:spacing w:val="-2"/>
        </w:rPr>
        <w:t> Strait</w:t>
      </w:r>
      <w:r>
        <w:rPr>
          <w:color w:val="231F20"/>
          <w:spacing w:val="-3"/>
        </w:rPr>
        <w:t> </w:t>
      </w:r>
      <w:r>
        <w:rPr>
          <w:color w:val="231F20"/>
          <w:spacing w:val="-1"/>
        </w:rPr>
        <w:t>Islander students</w:t>
      </w:r>
      <w:r>
        <w:rPr>
          <w:color w:val="231F20"/>
          <w:spacing w:val="-2"/>
        </w:rPr>
        <w:t> </w:t>
      </w:r>
      <w:r>
        <w:rPr>
          <w:color w:val="231F20"/>
          <w:spacing w:val="-1"/>
        </w:rPr>
        <w:t>in </w:t>
      </w:r>
      <w:r>
        <w:rPr>
          <w:color w:val="231F20"/>
        </w:rPr>
        <w:t>a</w:t>
      </w:r>
      <w:r>
        <w:rPr>
          <w:color w:val="231F20"/>
          <w:spacing w:val="-2"/>
        </w:rPr>
        <w:t> </w:t>
      </w:r>
      <w:r>
        <w:rPr>
          <w:color w:val="231F20"/>
          <w:spacing w:val="-1"/>
        </w:rPr>
        <w:t>school. If</w:t>
      </w:r>
      <w:r>
        <w:rPr>
          <w:color w:val="231F20"/>
          <w:spacing w:val="26"/>
        </w:rPr>
        <w:t> </w:t>
      </w:r>
      <w:r>
        <w:rPr>
          <w:color w:val="231F20"/>
        </w:rPr>
        <w:t>there</w:t>
      </w:r>
      <w:r>
        <w:rPr>
          <w:color w:val="231F20"/>
          <w:spacing w:val="-4"/>
        </w:rPr>
        <w:t> </w:t>
      </w:r>
      <w:r>
        <w:rPr>
          <w:color w:val="231F20"/>
          <w:spacing w:val="-1"/>
        </w:rPr>
        <w:t>is</w:t>
      </w:r>
      <w:r>
        <w:rPr>
          <w:color w:val="231F20"/>
          <w:spacing w:val="-4"/>
        </w:rPr>
        <w:t> </w:t>
      </w:r>
      <w:r>
        <w:rPr>
          <w:color w:val="231F20"/>
        </w:rPr>
        <w:t>a</w:t>
      </w:r>
      <w:r>
        <w:rPr>
          <w:color w:val="231F20"/>
          <w:spacing w:val="-3"/>
        </w:rPr>
        <w:t> </w:t>
      </w:r>
      <w:r>
        <w:rPr>
          <w:color w:val="231F20"/>
          <w:spacing w:val="-1"/>
        </w:rPr>
        <w:t>single</w:t>
      </w:r>
      <w:r>
        <w:rPr>
          <w:color w:val="231F20"/>
          <w:spacing w:val="-3"/>
        </w:rPr>
        <w:t> </w:t>
      </w:r>
      <w:r>
        <w:rPr>
          <w:color w:val="231F20"/>
        </w:rPr>
        <w:t>Aboriginal</w:t>
      </w:r>
      <w:r>
        <w:rPr>
          <w:color w:val="231F20"/>
          <w:spacing w:val="-2"/>
        </w:rPr>
        <w:t> </w:t>
      </w:r>
      <w:r>
        <w:rPr>
          <w:color w:val="231F20"/>
        </w:rPr>
        <w:t>or</w:t>
      </w:r>
      <w:r>
        <w:rPr>
          <w:color w:val="231F20"/>
          <w:spacing w:val="-3"/>
        </w:rPr>
        <w:t> </w:t>
      </w:r>
      <w:r>
        <w:rPr>
          <w:color w:val="231F20"/>
          <w:spacing w:val="-5"/>
        </w:rPr>
        <w:t>Torres</w:t>
      </w:r>
      <w:r>
        <w:rPr>
          <w:color w:val="231F20"/>
          <w:spacing w:val="-3"/>
        </w:rPr>
        <w:t> </w:t>
      </w:r>
      <w:r>
        <w:rPr>
          <w:color w:val="231F20"/>
          <w:spacing w:val="-2"/>
        </w:rPr>
        <w:t>Strait</w:t>
      </w:r>
      <w:r>
        <w:rPr>
          <w:color w:val="231F20"/>
          <w:spacing w:val="23"/>
          <w:w w:val="99"/>
        </w:rPr>
        <w:t> </w:t>
      </w:r>
      <w:r>
        <w:rPr>
          <w:color w:val="231F20"/>
          <w:spacing w:val="-1"/>
        </w:rPr>
        <w:t>Islander</w:t>
      </w:r>
      <w:r>
        <w:rPr>
          <w:color w:val="231F20"/>
          <w:spacing w:val="-4"/>
        </w:rPr>
        <w:t> </w:t>
      </w:r>
      <w:r>
        <w:rPr>
          <w:color w:val="231F20"/>
          <w:spacing w:val="-1"/>
        </w:rPr>
        <w:t>student</w:t>
      </w:r>
      <w:r>
        <w:rPr>
          <w:color w:val="231F20"/>
          <w:spacing w:val="-4"/>
        </w:rPr>
        <w:t> </w:t>
      </w:r>
      <w:r>
        <w:rPr>
          <w:color w:val="231F20"/>
          <w:spacing w:val="-1"/>
        </w:rPr>
        <w:t>in</w:t>
      </w:r>
      <w:r>
        <w:rPr>
          <w:color w:val="231F20"/>
          <w:spacing w:val="-4"/>
        </w:rPr>
        <w:t> </w:t>
      </w:r>
      <w:r>
        <w:rPr>
          <w:color w:val="231F20"/>
        </w:rPr>
        <w:t>the</w:t>
      </w:r>
      <w:r>
        <w:rPr>
          <w:color w:val="231F20"/>
          <w:spacing w:val="-4"/>
        </w:rPr>
        <w:t> </w:t>
      </w:r>
      <w:r>
        <w:rPr>
          <w:color w:val="231F20"/>
          <w:spacing w:val="-1"/>
        </w:rPr>
        <w:t>school,</w:t>
      </w:r>
      <w:r>
        <w:rPr>
          <w:color w:val="231F20"/>
          <w:spacing w:val="-4"/>
        </w:rPr>
        <w:t> </w:t>
      </w:r>
      <w:r>
        <w:rPr>
          <w:color w:val="231F20"/>
        </w:rPr>
        <w:t>the</w:t>
      </w:r>
      <w:r>
        <w:rPr>
          <w:color w:val="231F20"/>
          <w:spacing w:val="-5"/>
        </w:rPr>
        <w:t> </w:t>
      </w:r>
      <w:r>
        <w:rPr>
          <w:color w:val="231F20"/>
          <w:spacing w:val="-1"/>
        </w:rPr>
        <w:t>loading</w:t>
      </w:r>
      <w:r>
        <w:rPr>
          <w:color w:val="231F20"/>
          <w:spacing w:val="-3"/>
        </w:rPr>
        <w:t> </w:t>
      </w:r>
      <w:r>
        <w:rPr>
          <w:color w:val="231F20"/>
          <w:spacing w:val="-1"/>
        </w:rPr>
        <w:t>is</w:t>
      </w:r>
      <w:r>
        <w:rPr>
          <w:color w:val="231F20"/>
          <w:spacing w:val="-1"/>
        </w:rPr>
        <w:t> </w:t>
      </w:r>
      <w:r>
        <w:rPr>
          <w:color w:val="231F20"/>
          <w:spacing w:val="25"/>
        </w:rPr>
        <w:t> </w:t>
      </w:r>
      <w:r>
        <w:rPr>
          <w:color w:val="231F20"/>
        </w:rPr>
        <w:t>20</w:t>
      </w:r>
      <w:r>
        <w:rPr>
          <w:color w:val="231F20"/>
          <w:spacing w:val="-3"/>
        </w:rPr>
        <w:t> </w:t>
      </w:r>
      <w:r>
        <w:rPr>
          <w:color w:val="231F20"/>
        </w:rPr>
        <w:t>per</w:t>
      </w:r>
      <w:r>
        <w:rPr>
          <w:color w:val="231F20"/>
          <w:spacing w:val="-3"/>
        </w:rPr>
        <w:t> </w:t>
      </w:r>
      <w:r>
        <w:rPr>
          <w:color w:val="231F20"/>
        </w:rPr>
        <w:t>cent</w:t>
      </w:r>
      <w:r>
        <w:rPr>
          <w:color w:val="231F20"/>
          <w:spacing w:val="-4"/>
        </w:rPr>
        <w:t> </w:t>
      </w:r>
      <w:r>
        <w:rPr>
          <w:color w:val="231F20"/>
        </w:rPr>
        <w:t>of</w:t>
      </w:r>
      <w:r>
        <w:rPr>
          <w:color w:val="231F20"/>
          <w:spacing w:val="-3"/>
        </w:rPr>
        <w:t> </w:t>
      </w:r>
      <w:r>
        <w:rPr>
          <w:color w:val="231F20"/>
        </w:rPr>
        <w:t>the</w:t>
      </w:r>
      <w:r>
        <w:rPr>
          <w:color w:val="231F20"/>
          <w:spacing w:val="-4"/>
        </w:rPr>
        <w:t> </w:t>
      </w:r>
      <w:r>
        <w:rPr>
          <w:color w:val="231F20"/>
        </w:rPr>
        <w:t>base</w:t>
      </w:r>
      <w:r>
        <w:rPr>
          <w:color w:val="231F20"/>
          <w:spacing w:val="-4"/>
        </w:rPr>
        <w:t> </w:t>
      </w:r>
      <w:r>
        <w:rPr>
          <w:color w:val="231F20"/>
        </w:rPr>
        <w:t>amount.</w:t>
      </w:r>
      <w:r>
        <w:rPr>
          <w:color w:val="231F20"/>
          <w:spacing w:val="-4"/>
        </w:rPr>
        <w:t> </w:t>
      </w:r>
      <w:r>
        <w:rPr>
          <w:color w:val="231F20"/>
          <w:spacing w:val="-1"/>
        </w:rPr>
        <w:t>If</w:t>
      </w:r>
      <w:r>
        <w:rPr>
          <w:color w:val="231F20"/>
          <w:spacing w:val="-3"/>
        </w:rPr>
        <w:t> </w:t>
      </w:r>
      <w:r>
        <w:rPr>
          <w:color w:val="231F20"/>
          <w:spacing w:val="-1"/>
        </w:rPr>
        <w:t>100</w:t>
      </w:r>
      <w:r>
        <w:rPr>
          <w:color w:val="231F20"/>
          <w:spacing w:val="-3"/>
        </w:rPr>
        <w:t> </w:t>
      </w:r>
      <w:r>
        <w:rPr>
          <w:color w:val="231F20"/>
        </w:rPr>
        <w:t>per</w:t>
      </w:r>
      <w:r>
        <w:rPr>
          <w:color w:val="231F20"/>
          <w:spacing w:val="-3"/>
        </w:rPr>
        <w:t> </w:t>
      </w:r>
      <w:r>
        <w:rPr>
          <w:color w:val="231F20"/>
        </w:rPr>
        <w:t>cent</w:t>
      </w:r>
      <w:r>
        <w:rPr>
          <w:color w:val="231F20"/>
          <w:spacing w:val="22"/>
          <w:w w:val="99"/>
        </w:rPr>
        <w:t> </w:t>
      </w:r>
      <w:r>
        <w:rPr>
          <w:color w:val="231F20"/>
        </w:rPr>
        <w:t>of</w:t>
      </w:r>
      <w:r>
        <w:rPr>
          <w:color w:val="231F20"/>
          <w:spacing w:val="-3"/>
        </w:rPr>
        <w:t> </w:t>
      </w:r>
      <w:r>
        <w:rPr>
          <w:color w:val="231F20"/>
        </w:rPr>
        <w:t>the</w:t>
      </w:r>
      <w:r>
        <w:rPr>
          <w:color w:val="231F20"/>
          <w:spacing w:val="-4"/>
        </w:rPr>
        <w:t> </w:t>
      </w:r>
      <w:r>
        <w:rPr>
          <w:color w:val="231F20"/>
          <w:spacing w:val="-1"/>
        </w:rPr>
        <w:t>students</w:t>
      </w:r>
      <w:r>
        <w:rPr>
          <w:color w:val="231F20"/>
          <w:spacing w:val="-3"/>
        </w:rPr>
        <w:t> </w:t>
      </w:r>
      <w:r>
        <w:rPr>
          <w:color w:val="231F20"/>
          <w:spacing w:val="-1"/>
        </w:rPr>
        <w:t>in</w:t>
      </w:r>
      <w:r>
        <w:rPr>
          <w:color w:val="231F20"/>
          <w:spacing w:val="-3"/>
        </w:rPr>
        <w:t> </w:t>
      </w:r>
      <w:r>
        <w:rPr>
          <w:color w:val="231F20"/>
        </w:rPr>
        <w:t>the</w:t>
      </w:r>
      <w:r>
        <w:rPr>
          <w:color w:val="231F20"/>
          <w:spacing w:val="-3"/>
        </w:rPr>
        <w:t> </w:t>
      </w:r>
      <w:r>
        <w:rPr>
          <w:color w:val="231F20"/>
          <w:spacing w:val="-1"/>
        </w:rPr>
        <w:t>school</w:t>
      </w:r>
      <w:r>
        <w:rPr>
          <w:color w:val="231F20"/>
          <w:spacing w:val="-3"/>
        </w:rPr>
        <w:t> </w:t>
      </w:r>
      <w:r>
        <w:rPr>
          <w:color w:val="231F20"/>
        </w:rPr>
        <w:t>are</w:t>
      </w:r>
      <w:r>
        <w:rPr>
          <w:color w:val="231F20"/>
          <w:spacing w:val="-4"/>
        </w:rPr>
        <w:t> </w:t>
      </w:r>
      <w:r>
        <w:rPr>
          <w:color w:val="231F20"/>
        </w:rPr>
        <w:t>Aboriginal</w:t>
      </w:r>
      <w:r>
        <w:rPr>
          <w:color w:val="231F20"/>
          <w:spacing w:val="24"/>
          <w:w w:val="99"/>
        </w:rPr>
        <w:t> </w:t>
      </w:r>
      <w:r>
        <w:rPr>
          <w:color w:val="231F20"/>
        </w:rPr>
        <w:t>and</w:t>
      </w:r>
      <w:r>
        <w:rPr>
          <w:color w:val="231F20"/>
          <w:spacing w:val="-7"/>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5"/>
        </w:rPr>
        <w:t> </w:t>
      </w:r>
      <w:r>
        <w:rPr>
          <w:color w:val="231F20"/>
          <w:spacing w:val="-1"/>
        </w:rPr>
        <w:t>students,</w:t>
      </w:r>
      <w:r>
        <w:rPr>
          <w:color w:val="231F20"/>
          <w:spacing w:val="-4"/>
        </w:rPr>
        <w:t> </w:t>
      </w:r>
      <w:r>
        <w:rPr>
          <w:color w:val="231F20"/>
        </w:rPr>
        <w:t>the</w:t>
      </w:r>
      <w:r>
        <w:rPr>
          <w:color w:val="231F20"/>
          <w:spacing w:val="-6"/>
        </w:rPr>
        <w:t> </w:t>
      </w:r>
      <w:r>
        <w:rPr>
          <w:color w:val="231F20"/>
          <w:spacing w:val="-1"/>
        </w:rPr>
        <w:t>loading</w:t>
      </w:r>
      <w:r>
        <w:rPr>
          <w:color w:val="231F20"/>
          <w:spacing w:val="22"/>
          <w:w w:val="99"/>
        </w:rPr>
        <w:t> </w:t>
      </w:r>
      <w:r>
        <w:rPr>
          <w:color w:val="231F20"/>
          <w:spacing w:val="-1"/>
        </w:rPr>
        <w:t>is</w:t>
      </w:r>
      <w:r>
        <w:rPr>
          <w:color w:val="231F20"/>
          <w:spacing w:val="-3"/>
        </w:rPr>
        <w:t> </w:t>
      </w:r>
      <w:r>
        <w:rPr>
          <w:color w:val="231F20"/>
          <w:spacing w:val="-1"/>
        </w:rPr>
        <w:t>120</w:t>
      </w:r>
      <w:r>
        <w:rPr>
          <w:color w:val="231F20"/>
          <w:spacing w:val="-2"/>
        </w:rPr>
        <w:t> </w:t>
      </w:r>
      <w:r>
        <w:rPr>
          <w:color w:val="231F20"/>
        </w:rPr>
        <w:t>per</w:t>
      </w:r>
      <w:r>
        <w:rPr>
          <w:color w:val="231F20"/>
          <w:spacing w:val="-2"/>
        </w:rPr>
        <w:t> </w:t>
      </w:r>
      <w:r>
        <w:rPr>
          <w:color w:val="231F20"/>
        </w:rPr>
        <w:t>cent</w:t>
      </w:r>
      <w:r>
        <w:rPr>
          <w:color w:val="231F20"/>
          <w:spacing w:val="-3"/>
        </w:rPr>
        <w:t> </w:t>
      </w:r>
      <w:r>
        <w:rPr>
          <w:color w:val="231F20"/>
        </w:rPr>
        <w:t>of</w:t>
      </w:r>
      <w:r>
        <w:rPr>
          <w:color w:val="231F20"/>
          <w:spacing w:val="-2"/>
        </w:rPr>
        <w:t> </w:t>
      </w:r>
      <w:r>
        <w:rPr>
          <w:color w:val="231F20"/>
        </w:rPr>
        <w:t>the</w:t>
      </w:r>
      <w:r>
        <w:rPr>
          <w:color w:val="231F20"/>
          <w:spacing w:val="-2"/>
        </w:rPr>
        <w:t> </w:t>
      </w:r>
      <w:r>
        <w:rPr>
          <w:color w:val="231F20"/>
        </w:rPr>
        <w:t>base</w:t>
      </w:r>
      <w:r>
        <w:rPr>
          <w:color w:val="231F20"/>
          <w:spacing w:val="-3"/>
        </w:rPr>
        <w:t> </w:t>
      </w:r>
      <w:r>
        <w:rPr>
          <w:color w:val="231F20"/>
          <w:spacing w:val="-1"/>
        </w:rPr>
        <w:t>amount.</w:t>
      </w:r>
      <w:r>
        <w:rPr>
          <w:rFonts w:ascii="Segoe UI Semibold" w:hAnsi="Segoe UI Semibold" w:cs="Segoe UI Semibold" w:eastAsia="Segoe UI Semibold"/>
          <w:b/>
          <w:bCs/>
          <w:color w:val="231F20"/>
          <w:spacing w:val="-1"/>
          <w:position w:val="7"/>
          <w:sz w:val="11"/>
          <w:szCs w:val="11"/>
        </w:rPr>
        <w:t>163</w:t>
      </w:r>
      <w:r>
        <w:rPr>
          <w:color w:val="231F20"/>
          <w:spacing w:val="-1"/>
        </w:rPr>
        <w:t>’</w:t>
      </w:r>
      <w:r>
        <w:rPr/>
      </w:r>
    </w:p>
    <w:p>
      <w:pPr>
        <w:spacing w:after="0" w:line="250" w:lineRule="exact"/>
        <w:jc w:val="left"/>
        <w:sectPr>
          <w:type w:val="continuous"/>
          <w:pgSz w:w="11910" w:h="16840"/>
          <w:pgMar w:top="1580" w:bottom="280" w:left="1300" w:right="1600"/>
          <w:cols w:num="2" w:equalWidth="0">
            <w:col w:w="4357" w:space="236"/>
            <w:col w:w="4417"/>
          </w:cols>
        </w:sect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12"/>
        <w:rPr>
          <w:rFonts w:ascii="Segoe UI" w:hAnsi="Segoe UI" w:cs="Segoe UI" w:eastAsia="Segoe UI"/>
          <w:sz w:val="27"/>
          <w:szCs w:val="27"/>
        </w:rPr>
      </w:pPr>
    </w:p>
    <w:p>
      <w:pPr>
        <w:spacing w:after="0" w:line="240" w:lineRule="auto"/>
        <w:rPr>
          <w:rFonts w:ascii="Segoe UI" w:hAnsi="Segoe UI" w:cs="Segoe UI" w:eastAsia="Segoe UI"/>
          <w:sz w:val="27"/>
          <w:szCs w:val="27"/>
        </w:rPr>
        <w:sectPr>
          <w:pgSz w:w="11910" w:h="16840"/>
          <w:pgMar w:header="0" w:footer="691" w:top="1580" w:bottom="880" w:left="1600" w:right="0"/>
        </w:sectPr>
      </w:pPr>
    </w:p>
    <w:p>
      <w:pPr>
        <w:pStyle w:val="Heading2"/>
        <w:spacing w:line="240" w:lineRule="auto"/>
        <w:ind w:left="100" w:right="59"/>
        <w:jc w:val="left"/>
        <w:rPr>
          <w:b w:val="0"/>
          <w:bCs w:val="0"/>
        </w:rPr>
      </w:pPr>
      <w:r>
        <w:rPr/>
        <w:pict>
          <v:group style="position:absolute;margin-left:85.039001pt;margin-top:-264.390594pt;width:439.4pt;height:247.3pt;mso-position-horizontal-relative:page;mso-position-vertical-relative:paragraph;z-index:8416" coordorigin="1701,-5288" coordsize="8788,4946">
            <v:group style="position:absolute;left:2906;top:-1519;width:7105;height:2" coordorigin="2906,-1519" coordsize="7105,2">
              <v:shape style="position:absolute;left:2906;top:-1519;width:7105;height:2" coordorigin="2906,-1519" coordsize="7105,0" path="m2906,-1519l10010,-1519e" filled="false" stroked="true" strokeweight=".75pt" strokecolor="#dcddde">
                <v:path arrowok="t"/>
              </v:shape>
            </v:group>
            <v:group style="position:absolute;left:6907;top:-1876;width:3104;height:2" coordorigin="6907,-1876" coordsize="3104,2">
              <v:shape style="position:absolute;left:6907;top:-1876;width:3104;height:2" coordorigin="6907,-1876" coordsize="3104,0" path="m6907,-1876l10010,-1876e" filled="false" stroked="true" strokeweight=".75pt" strokecolor="#dcddde">
                <v:path arrowok="t"/>
              </v:shape>
            </v:group>
            <v:group style="position:absolute;left:2906;top:-1876;width:3244;height:2" coordorigin="2906,-1876" coordsize="3244,2">
              <v:shape style="position:absolute;left:2906;top:-1876;width:3244;height:2" coordorigin="2906,-1876" coordsize="3244,0" path="m2906,-1876l6150,-1876e" filled="false" stroked="true" strokeweight=".75pt" strokecolor="#dcddde">
                <v:path arrowok="t"/>
              </v:shape>
            </v:group>
            <v:group style="position:absolute;left:4492;top:-2231;width:1658;height:2" coordorigin="4492,-2231" coordsize="1658,2">
              <v:shape style="position:absolute;left:4492;top:-2231;width:1658;height:2" coordorigin="4492,-2231" coordsize="1658,0" path="m4492,-2231l6150,-2231e" filled="false" stroked="true" strokeweight=".75pt" strokecolor="#dcddde">
                <v:path arrowok="t"/>
              </v:shape>
            </v:group>
            <v:group style="position:absolute;left:2906;top:-2231;width:829;height:2" coordorigin="2906,-2231" coordsize="829,2">
              <v:shape style="position:absolute;left:2906;top:-2231;width:829;height:2" coordorigin="2906,-2231" coordsize="829,0" path="m2906,-2231l3735,-2231e" filled="false" stroked="true" strokeweight=".75pt" strokecolor="#dcddde">
                <v:path arrowok="t"/>
              </v:shape>
            </v:group>
            <v:group style="position:absolute;left:4492;top:-2586;width:1658;height:2" coordorigin="4492,-2586" coordsize="1658,2">
              <v:shape style="position:absolute;left:4492;top:-2586;width:1658;height:2" coordorigin="4492,-2586" coordsize="1658,0" path="m4492,-2586l6150,-2586e" filled="false" stroked="true" strokeweight=".75pt" strokecolor="#dcddde">
                <v:path arrowok="t"/>
              </v:shape>
            </v:group>
            <v:group style="position:absolute;left:2906;top:-2586;width:829;height:2" coordorigin="2906,-2586" coordsize="829,2">
              <v:shape style="position:absolute;left:2906;top:-2586;width:829;height:2" coordorigin="2906,-2586" coordsize="829,0" path="m2906,-2586l3735,-2586e" filled="false" stroked="true" strokeweight=".75pt" strokecolor="#dcddde">
                <v:path arrowok="t"/>
              </v:shape>
            </v:group>
            <v:group style="position:absolute;left:4492;top:-2941;width:1658;height:2" coordorigin="4492,-2941" coordsize="1658,2">
              <v:shape style="position:absolute;left:4492;top:-2941;width:1658;height:2" coordorigin="4492,-2941" coordsize="1658,0" path="m4492,-2941l6150,-2941e" filled="false" stroked="true" strokeweight=".75pt" strokecolor="#dcddde">
                <v:path arrowok="t"/>
              </v:shape>
            </v:group>
            <v:group style="position:absolute;left:2906;top:-2941;width:829;height:2" coordorigin="2906,-2941" coordsize="829,2">
              <v:shape style="position:absolute;left:2906;top:-2941;width:829;height:2" coordorigin="2906,-2941" coordsize="829,0" path="m2906,-2941l3735,-2941e" filled="false" stroked="true" strokeweight=".75pt" strokecolor="#dcddde">
                <v:path arrowok="t"/>
              </v:shape>
            </v:group>
            <v:group style="position:absolute;left:4492;top:-3297;width:1658;height:2" coordorigin="4492,-3297" coordsize="1658,2">
              <v:shape style="position:absolute;left:4492;top:-3297;width:1658;height:2" coordorigin="4492,-3297" coordsize="1658,0" path="m4492,-3297l6150,-3297e" filled="false" stroked="true" strokeweight=".75pt" strokecolor="#dcddde">
                <v:path arrowok="t"/>
              </v:shape>
            </v:group>
            <v:group style="position:absolute;left:2906;top:-3297;width:829;height:2" coordorigin="2906,-3297" coordsize="829,2">
              <v:shape style="position:absolute;left:2906;top:-3297;width:829;height:2" coordorigin="2906,-3297" coordsize="829,0" path="m2906,-3297l3735,-3297e" filled="false" stroked="true" strokeweight=".75pt" strokecolor="#dcddde">
                <v:path arrowok="t"/>
              </v:shape>
            </v:group>
            <v:group style="position:absolute;left:4492;top:-3652;width:1658;height:2" coordorigin="4492,-3652" coordsize="1658,2">
              <v:shape style="position:absolute;left:4492;top:-3652;width:1658;height:2" coordorigin="4492,-3652" coordsize="1658,0" path="m4492,-3652l6150,-3652e" filled="false" stroked="true" strokeweight=".75pt" strokecolor="#dcddde">
                <v:path arrowok="t"/>
              </v:shape>
            </v:group>
            <v:group style="position:absolute;left:2906;top:-3652;width:829;height:2" coordorigin="2906,-3652" coordsize="829,2">
              <v:shape style="position:absolute;left:2906;top:-3652;width:829;height:2" coordorigin="2906,-3652" coordsize="829,0" path="m2906,-3652l3735,-3652e" filled="false" stroked="true" strokeweight=".75pt" strokecolor="#dcddde">
                <v:path arrowok="t"/>
              </v:shape>
            </v:group>
            <v:group style="position:absolute;left:3735;top:-4008;width:758;height:2110" coordorigin="3735,-4008" coordsize="758,2110">
              <v:shape style="position:absolute;left:3735;top:-4008;width:758;height:2110" coordorigin="3735,-4008" coordsize="758,2110" path="m3735,-1898l4492,-1898,4492,-4008,3735,-4008,3735,-1898xe" filled="true" fillcolor="#8165a3" stroked="false">
                <v:path arrowok="t"/>
                <v:fill type="solid"/>
              </v:shape>
            </v:group>
            <v:group style="position:absolute;left:6907;top:-2231;width:3104;height:2" coordorigin="6907,-2231" coordsize="3104,2">
              <v:shape style="position:absolute;left:6907;top:-2231;width:3104;height:2" coordorigin="6907,-2231" coordsize="3104,0" path="m6907,-2231l10010,-2231e" filled="false" stroked="true" strokeweight=".75pt" strokecolor="#dcddde">
                <v:path arrowok="t"/>
              </v:shape>
            </v:group>
            <v:group style="position:absolute;left:6907;top:-2586;width:1658;height:2" coordorigin="6907,-2586" coordsize="1658,2">
              <v:shape style="position:absolute;left:6907;top:-2586;width:1658;height:2" coordorigin="6907,-2586" coordsize="1658,0" path="m6907,-2586l8564,-2586e" filled="false" stroked="true" strokeweight=".75pt" strokecolor="#dcddde">
                <v:path arrowok="t"/>
              </v:shape>
            </v:group>
            <v:group style="position:absolute;left:6907;top:-2941;width:1658;height:2" coordorigin="6907,-2941" coordsize="1658,2">
              <v:shape style="position:absolute;left:6907;top:-2941;width:1658;height:2" coordorigin="6907,-2941" coordsize="1658,0" path="m6907,-2941l8564,-2941e" filled="false" stroked="true" strokeweight=".75pt" strokecolor="#dcddde">
                <v:path arrowok="t"/>
              </v:shape>
            </v:group>
            <v:group style="position:absolute;left:6907;top:-3297;width:1658;height:2" coordorigin="6907,-3297" coordsize="1658,2">
              <v:shape style="position:absolute;left:6907;top:-3297;width:1658;height:2" coordorigin="6907,-3297" coordsize="1658,0" path="m6907,-3297l8564,-3297e" filled="false" stroked="true" strokeweight=".75pt" strokecolor="#dcddde">
                <v:path arrowok="t"/>
              </v:shape>
            </v:group>
            <v:group style="position:absolute;left:6907;top:-3652;width:1658;height:2" coordorigin="6907,-3652" coordsize="1658,2">
              <v:shape style="position:absolute;left:6907;top:-3652;width:1658;height:2" coordorigin="6907,-3652" coordsize="1658,0" path="m6907,-3652l8564,-3652e" filled="false" stroked="true" strokeweight=".75pt" strokecolor="#dcddde">
                <v:path arrowok="t"/>
              </v:shape>
            </v:group>
            <v:group style="position:absolute;left:6150;top:-4008;width:758;height:2405" coordorigin="6150,-4008" coordsize="758,2405">
              <v:shape style="position:absolute;left:6150;top:-4008;width:758;height:2405" coordorigin="6150,-4008" coordsize="758,2405" path="m6150,-1604l6907,-1604,6907,-4008,6150,-4008,6150,-1604xe" filled="true" fillcolor="#8165a3" stroked="false">
                <v:path arrowok="t"/>
                <v:fill type="solid"/>
              </v:shape>
            </v:group>
            <v:group style="position:absolute;left:9323;top:-2586;width:688;height:2" coordorigin="9323,-2586" coordsize="688,2">
              <v:shape style="position:absolute;left:9323;top:-2586;width:688;height:2" coordorigin="9323,-2586" coordsize="688,0" path="m9323,-2586l10010,-2586e" filled="false" stroked="true" strokeweight=".75pt" strokecolor="#dcddde">
                <v:path arrowok="t"/>
              </v:shape>
            </v:group>
            <v:group style="position:absolute;left:9323;top:-2941;width:688;height:2" coordorigin="9323,-2941" coordsize="688,2">
              <v:shape style="position:absolute;left:9323;top:-2941;width:688;height:2" coordorigin="9323,-2941" coordsize="688,0" path="m9323,-2941l10010,-2941e" filled="false" stroked="true" strokeweight=".75pt" strokecolor="#dcddde">
                <v:path arrowok="t"/>
              </v:shape>
            </v:group>
            <v:group style="position:absolute;left:9323;top:-3297;width:688;height:2" coordorigin="9323,-3297" coordsize="688,2">
              <v:shape style="position:absolute;left:9323;top:-3297;width:688;height:2" coordorigin="9323,-3297" coordsize="688,0" path="m9323,-3297l10010,-3297e" filled="false" stroked="true" strokeweight=".75pt" strokecolor="#dcddde">
                <v:path arrowok="t"/>
              </v:shape>
            </v:group>
            <v:group style="position:absolute;left:9323;top:-3652;width:688;height:2" coordorigin="9323,-3652" coordsize="688,2">
              <v:shape style="position:absolute;left:9323;top:-3652;width:688;height:2" coordorigin="9323,-3652" coordsize="688,0" path="m9323,-3652l10010,-3652e" filled="false" stroked="true" strokeweight=".75pt" strokecolor="#dcddde">
                <v:path arrowok="t"/>
              </v:shape>
            </v:group>
            <v:group style="position:absolute;left:8564;top:-4008;width:759;height:1504" coordorigin="8564,-4008" coordsize="759,1504">
              <v:shape style="position:absolute;left:8564;top:-4008;width:759;height:1504" coordorigin="8564,-4008" coordsize="759,1504" path="m8564,-2505l9323,-2505,9323,-4008,8564,-4008,8564,-2505xe" filled="true" fillcolor="#8165a3" stroked="false">
                <v:path arrowok="t"/>
                <v:fill type="solid"/>
              </v:shape>
            </v:group>
            <v:group style="position:absolute;left:2906;top:-4008;width:7105;height:2" coordorigin="2906,-4008" coordsize="7105,2">
              <v:shape style="position:absolute;left:2906;top:-4008;width:7105;height:2" coordorigin="2906,-4008" coordsize="7105,0" path="m2906,-4008l10010,-4008e" filled="false" stroked="true" strokeweight=".75pt" strokecolor="#dcddde">
                <v:path arrowok="t"/>
              </v:shape>
            </v:group>
            <v:group style="position:absolute;left:5269;top:-1039;width:96;height:96" coordorigin="5269,-1039" coordsize="96,96">
              <v:shape style="position:absolute;left:5269;top:-1039;width:96;height:96" coordorigin="5269,-1039" coordsize="96,96" path="m5269,-1039l5365,-1039,5365,-943,5269,-943,5269,-1039xe" filled="true" fillcolor="#8165a3" stroked="false">
                <v:path arrowok="t"/>
                <v:fill type="solid"/>
              </v:shape>
            </v:group>
            <v:group style="position:absolute;left:5887;top:-1039;width:96;height:96" coordorigin="5887,-1039" coordsize="96,96">
              <v:shape style="position:absolute;left:5887;top:-1039;width:96;height:96" coordorigin="5887,-1039" coordsize="96,96" path="m5887,-1039l5983,-1039,5983,-943,5887,-943,5887,-1039xe" filled="true" fillcolor="#8165a3" stroked="false">
                <v:path arrowok="t"/>
                <v:fill type="solid"/>
              </v:shape>
            </v:group>
            <v:group style="position:absolute;left:6757;top:-1039;width:96;height:96" coordorigin="6757,-1039" coordsize="96,96">
              <v:shape style="position:absolute;left:6757;top:-1039;width:96;height:96" coordorigin="6757,-1039" coordsize="96,96" path="m6757,-1039l6853,-1039,6853,-943,6757,-943,6757,-1039xe" filled="true" fillcolor="#8165a3" stroked="false">
                <v:path arrowok="t"/>
                <v:fill type="solid"/>
              </v:shape>
            </v:group>
            <v:group style="position:absolute;left:1801;top:-5188;width:8588;height:4746" coordorigin="1801,-5188" coordsize="8588,4746">
              <v:shape style="position:absolute;left:1801;top:-5188;width:8588;height:4746" coordorigin="1801,-5188" coordsize="8588,4746" path="m1801,-442l10388,-442,10388,-5188,1801,-5188,1801,-442xe" filled="false" stroked="true" strokeweight="10pt" strokecolor="#c1b5a9">
                <v:path arrowok="t"/>
              </v:shape>
              <v:shape style="position:absolute;left:1987;top:-4989;width:7765;height:3797" type="#_x0000_t202" filled="false" stroked="false">
                <v:textbox inset="0,0,0,0">
                  <w:txbxContent>
                    <w:p>
                      <w:pPr>
                        <w:spacing w:line="164" w:lineRule="exact" w:before="0"/>
                        <w:ind w:left="0" w:right="0" w:firstLine="0"/>
                        <w:jc w:val="left"/>
                        <w:rPr>
                          <w:rFonts w:ascii="Segoe UI Semibold" w:hAnsi="Segoe UI Semibold" w:cs="Segoe UI Semibold" w:eastAsia="Segoe UI Semibold"/>
                          <w:sz w:val="16"/>
                          <w:szCs w:val="16"/>
                        </w:rPr>
                      </w:pPr>
                      <w:r>
                        <w:rPr>
                          <w:rFonts w:ascii="Segoe UI Semibold"/>
                          <w:b/>
                          <w:color w:val="666155"/>
                          <w:spacing w:val="4"/>
                          <w:sz w:val="16"/>
                        </w:rPr>
                        <w:t>GRAPH</w:t>
                      </w:r>
                      <w:r>
                        <w:rPr>
                          <w:rFonts w:ascii="Segoe UI Semibold"/>
                          <w:b/>
                          <w:color w:val="666155"/>
                          <w:spacing w:val="-2"/>
                          <w:sz w:val="16"/>
                        </w:rPr>
                        <w:t> </w:t>
                      </w:r>
                      <w:r>
                        <w:rPr>
                          <w:rFonts w:ascii="Segoe UI Semibold"/>
                          <w:b/>
                          <w:color w:val="666155"/>
                          <w:sz w:val="16"/>
                        </w:rPr>
                        <w:t>24:</w:t>
                      </w:r>
                      <w:r>
                        <w:rPr>
                          <w:rFonts w:ascii="Segoe UI Semibold"/>
                          <w:b/>
                          <w:color w:val="666155"/>
                          <w:spacing w:val="-2"/>
                          <w:sz w:val="16"/>
                        </w:rPr>
                        <w:t> </w:t>
                      </w:r>
                      <w:r>
                        <w:rPr>
                          <w:rFonts w:ascii="Segoe UI Semibold"/>
                          <w:b/>
                          <w:color w:val="666155"/>
                          <w:spacing w:val="4"/>
                          <w:sz w:val="16"/>
                        </w:rPr>
                        <w:t>THREE</w:t>
                      </w:r>
                      <w:r>
                        <w:rPr>
                          <w:rFonts w:ascii="Segoe UI Semibold"/>
                          <w:b/>
                          <w:color w:val="666155"/>
                          <w:spacing w:val="1"/>
                          <w:sz w:val="16"/>
                        </w:rPr>
                        <w:t> </w:t>
                      </w:r>
                      <w:r>
                        <w:rPr>
                          <w:rFonts w:ascii="Segoe UI Semibold"/>
                          <w:b/>
                          <w:color w:val="666155"/>
                          <w:spacing w:val="4"/>
                          <w:sz w:val="16"/>
                        </w:rPr>
                        <w:t>YEAR</w:t>
                      </w:r>
                      <w:r>
                        <w:rPr>
                          <w:rFonts w:ascii="Segoe UI Semibold"/>
                          <w:b/>
                          <w:color w:val="666155"/>
                          <w:spacing w:val="1"/>
                          <w:sz w:val="16"/>
                        </w:rPr>
                        <w:t> </w:t>
                      </w:r>
                      <w:r>
                        <w:rPr>
                          <w:rFonts w:ascii="Segoe UI Semibold"/>
                          <w:b/>
                          <w:color w:val="666155"/>
                          <w:spacing w:val="2"/>
                          <w:sz w:val="16"/>
                        </w:rPr>
                        <w:t>AVERAGE</w:t>
                      </w:r>
                      <w:r>
                        <w:rPr>
                          <w:rFonts w:ascii="Segoe UI Semibold"/>
                          <w:b/>
                          <w:color w:val="666155"/>
                          <w:spacing w:val="1"/>
                          <w:sz w:val="16"/>
                        </w:rPr>
                        <w:t> </w:t>
                      </w:r>
                      <w:r>
                        <w:rPr>
                          <w:rFonts w:ascii="Segoe UI Semibold"/>
                          <w:b/>
                          <w:color w:val="666155"/>
                          <w:spacing w:val="3"/>
                          <w:sz w:val="16"/>
                        </w:rPr>
                        <w:t>SHORTFALL</w:t>
                      </w:r>
                      <w:r>
                        <w:rPr>
                          <w:rFonts w:ascii="Segoe UI Semibold"/>
                          <w:b/>
                          <w:color w:val="666155"/>
                          <w:spacing w:val="1"/>
                          <w:sz w:val="16"/>
                        </w:rPr>
                        <w:t> </w:t>
                      </w:r>
                      <w:r>
                        <w:rPr>
                          <w:rFonts w:ascii="Segoe UI Semibold"/>
                          <w:b/>
                          <w:color w:val="666155"/>
                          <w:spacing w:val="3"/>
                          <w:sz w:val="16"/>
                        </w:rPr>
                        <w:t>PER</w:t>
                      </w:r>
                      <w:r>
                        <w:rPr>
                          <w:rFonts w:ascii="Segoe UI Semibold"/>
                          <w:b/>
                          <w:color w:val="666155"/>
                          <w:spacing w:val="1"/>
                          <w:sz w:val="16"/>
                        </w:rPr>
                        <w:t> </w:t>
                      </w:r>
                      <w:r>
                        <w:rPr>
                          <w:rFonts w:ascii="Segoe UI Semibold"/>
                          <w:b/>
                          <w:color w:val="666155"/>
                          <w:spacing w:val="4"/>
                          <w:sz w:val="16"/>
                        </w:rPr>
                        <w:t>BOARDER</w:t>
                      </w:r>
                      <w:r>
                        <w:rPr>
                          <w:rFonts w:ascii="Segoe UI Semibold"/>
                          <w:b/>
                          <w:color w:val="666155"/>
                          <w:spacing w:val="1"/>
                          <w:sz w:val="16"/>
                        </w:rPr>
                        <w:t> </w:t>
                      </w:r>
                      <w:r>
                        <w:rPr>
                          <w:rFonts w:ascii="Segoe UI Semibold"/>
                          <w:b/>
                          <w:color w:val="666155"/>
                          <w:spacing w:val="-3"/>
                          <w:sz w:val="16"/>
                        </w:rPr>
                        <w:t>AT</w:t>
                      </w:r>
                      <w:r>
                        <w:rPr>
                          <w:rFonts w:ascii="Segoe UI Semibold"/>
                          <w:b/>
                          <w:color w:val="666155"/>
                          <w:spacing w:val="1"/>
                          <w:sz w:val="16"/>
                        </w:rPr>
                        <w:t> </w:t>
                      </w:r>
                      <w:r>
                        <w:rPr>
                          <w:rFonts w:ascii="Segoe UI Semibold"/>
                          <w:b/>
                          <w:color w:val="666155"/>
                          <w:spacing w:val="4"/>
                          <w:sz w:val="16"/>
                        </w:rPr>
                        <w:t>ABORIGINAL</w:t>
                      </w:r>
                      <w:r>
                        <w:rPr>
                          <w:rFonts w:ascii="Segoe UI Semibold"/>
                          <w:b/>
                          <w:color w:val="666155"/>
                          <w:spacing w:val="2"/>
                          <w:sz w:val="16"/>
                        </w:rPr>
                        <w:t> </w:t>
                      </w:r>
                      <w:r>
                        <w:rPr>
                          <w:rFonts w:ascii="Segoe UI Semibold"/>
                          <w:b/>
                          <w:color w:val="666155"/>
                          <w:spacing w:val="3"/>
                          <w:sz w:val="16"/>
                        </w:rPr>
                        <w:t>AND</w:t>
                      </w:r>
                      <w:r>
                        <w:rPr>
                          <w:rFonts w:ascii="Segoe UI Semibold"/>
                          <w:b/>
                          <w:color w:val="666155"/>
                          <w:spacing w:val="1"/>
                          <w:sz w:val="16"/>
                        </w:rPr>
                        <w:t> </w:t>
                      </w:r>
                      <w:r>
                        <w:rPr>
                          <w:rFonts w:ascii="Segoe UI Semibold"/>
                          <w:b/>
                          <w:color w:val="666155"/>
                          <w:spacing w:val="3"/>
                          <w:sz w:val="16"/>
                        </w:rPr>
                        <w:t>TORRES</w:t>
                      </w:r>
                      <w:r>
                        <w:rPr>
                          <w:rFonts w:ascii="Segoe UI Semibold"/>
                          <w:b/>
                          <w:color w:val="666155"/>
                          <w:spacing w:val="1"/>
                          <w:sz w:val="16"/>
                        </w:rPr>
                        <w:t> </w:t>
                      </w:r>
                      <w:r>
                        <w:rPr>
                          <w:rFonts w:ascii="Segoe UI Semibold"/>
                          <w:b/>
                          <w:color w:val="666155"/>
                          <w:spacing w:val="5"/>
                          <w:sz w:val="16"/>
                        </w:rPr>
                        <w:t>STRAIT</w:t>
                      </w:r>
                      <w:r>
                        <w:rPr>
                          <w:rFonts w:ascii="Segoe UI Semibold"/>
                          <w:sz w:val="16"/>
                        </w:rPr>
                      </w:r>
                    </w:p>
                    <w:p>
                      <w:pPr>
                        <w:spacing w:line="200" w:lineRule="exact" w:before="6"/>
                        <w:ind w:left="0" w:right="0" w:firstLine="0"/>
                        <w:jc w:val="left"/>
                        <w:rPr>
                          <w:rFonts w:ascii="Segoe UI Semibold" w:hAnsi="Segoe UI Semibold" w:cs="Segoe UI Semibold" w:eastAsia="Segoe UI Semibold"/>
                          <w:sz w:val="16"/>
                          <w:szCs w:val="16"/>
                        </w:rPr>
                      </w:pPr>
                      <w:r>
                        <w:rPr>
                          <w:rFonts w:ascii="Segoe UI Semibold" w:hAnsi="Segoe UI Semibold" w:cs="Segoe UI Semibold" w:eastAsia="Segoe UI Semibold"/>
                          <w:b/>
                          <w:bCs/>
                          <w:color w:val="666155"/>
                          <w:spacing w:val="4"/>
                          <w:sz w:val="16"/>
                          <w:szCs w:val="16"/>
                        </w:rPr>
                        <w:t>ISLANDER</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4"/>
                          <w:sz w:val="16"/>
                          <w:szCs w:val="16"/>
                        </w:rPr>
                        <w:t>BOARDING</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4"/>
                          <w:sz w:val="16"/>
                          <w:szCs w:val="16"/>
                        </w:rPr>
                        <w:t>PROVIDERS</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2"/>
                          <w:sz w:val="16"/>
                          <w:szCs w:val="16"/>
                        </w:rPr>
                        <w:t>AS</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4"/>
                          <w:sz w:val="16"/>
                          <w:szCs w:val="16"/>
                        </w:rPr>
                        <w:t>PROPORTION</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2"/>
                          <w:sz w:val="16"/>
                          <w:szCs w:val="16"/>
                        </w:rPr>
                        <w:t>OF</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4"/>
                          <w:sz w:val="16"/>
                          <w:szCs w:val="16"/>
                        </w:rPr>
                        <w:t>ABORIGINAL</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AND</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3"/>
                          <w:sz w:val="16"/>
                          <w:szCs w:val="16"/>
                        </w:rPr>
                        <w:t>TORRES</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4"/>
                          <w:sz w:val="16"/>
                          <w:szCs w:val="16"/>
                        </w:rPr>
                        <w:t>STRAIT</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5"/>
                          <w:sz w:val="16"/>
                          <w:szCs w:val="16"/>
                        </w:rPr>
                        <w:t>ISLANDER</w:t>
                      </w:r>
                      <w:r>
                        <w:rPr>
                          <w:rFonts w:ascii="Segoe UI Semibold" w:hAnsi="Segoe UI Semibold" w:cs="Segoe UI Semibold" w:eastAsia="Segoe UI Semibold"/>
                          <w:b/>
                          <w:bCs/>
                          <w:color w:val="666155"/>
                          <w:spacing w:val="55"/>
                          <w:w w:val="99"/>
                          <w:sz w:val="16"/>
                          <w:szCs w:val="16"/>
                        </w:rPr>
                        <w:t> </w:t>
                      </w:r>
                      <w:r>
                        <w:rPr>
                          <w:rFonts w:ascii="Segoe UI Semibold" w:hAnsi="Segoe UI Semibold" w:cs="Segoe UI Semibold" w:eastAsia="Segoe UI Semibold"/>
                          <w:b/>
                          <w:bCs/>
                          <w:color w:val="666155"/>
                          <w:spacing w:val="4"/>
                          <w:sz w:val="16"/>
                          <w:szCs w:val="16"/>
                        </w:rPr>
                        <w:t>STUDENTS,</w:t>
                      </w:r>
                      <w:r>
                        <w:rPr>
                          <w:rFonts w:ascii="Segoe UI Semibold" w:hAnsi="Segoe UI Semibold" w:cs="Segoe UI Semibold" w:eastAsia="Segoe UI Semibold"/>
                          <w:b/>
                          <w:bCs/>
                          <w:color w:val="666155"/>
                          <w:sz w:val="16"/>
                          <w:szCs w:val="16"/>
                        </w:rPr>
                        <w:t> 2015 </w:t>
                      </w:r>
                      <w:r>
                        <w:rPr>
                          <w:rFonts w:ascii="Segoe UI Semibold" w:hAnsi="Segoe UI Semibold" w:cs="Segoe UI Semibold" w:eastAsia="Segoe UI Semibold"/>
                          <w:b/>
                          <w:bCs/>
                          <w:color w:val="666155"/>
                          <w:position w:val="1"/>
                          <w:sz w:val="16"/>
                          <w:szCs w:val="16"/>
                        </w:rPr>
                        <w:t>— </w:t>
                      </w:r>
                      <w:r>
                        <w:rPr>
                          <w:rFonts w:ascii="Segoe UI Semibold" w:hAnsi="Segoe UI Semibold" w:cs="Segoe UI Semibold" w:eastAsia="Segoe UI Semibold"/>
                          <w:b/>
                          <w:bCs/>
                          <w:color w:val="666155"/>
                          <w:spacing w:val="-1"/>
                          <w:sz w:val="16"/>
                          <w:szCs w:val="16"/>
                        </w:rPr>
                        <w:t>2017</w:t>
                      </w:r>
                      <w:r>
                        <w:rPr>
                          <w:rFonts w:ascii="Segoe UI Semibold" w:hAnsi="Segoe UI Semibold" w:cs="Segoe UI Semibold" w:eastAsia="Segoe UI Semibold"/>
                          <w:sz w:val="16"/>
                          <w:szCs w:val="16"/>
                        </w:rPr>
                      </w:r>
                    </w:p>
                    <w:p>
                      <w:pPr>
                        <w:spacing w:line="240" w:lineRule="auto" w:before="12"/>
                        <w:rPr>
                          <w:rFonts w:ascii="Segoe UI" w:hAnsi="Segoe UI" w:cs="Segoe UI" w:eastAsia="Segoe UI"/>
                          <w:sz w:val="21"/>
                          <w:szCs w:val="21"/>
                        </w:rPr>
                      </w:pPr>
                    </w:p>
                    <w:p>
                      <w:pPr>
                        <w:spacing w:before="0"/>
                        <w:ind w:left="668" w:right="0" w:firstLine="0"/>
                        <w:jc w:val="left"/>
                        <w:rPr>
                          <w:rFonts w:ascii="Segoe UI" w:hAnsi="Segoe UI" w:cs="Segoe UI" w:eastAsia="Segoe UI"/>
                          <w:sz w:val="16"/>
                          <w:szCs w:val="16"/>
                        </w:rPr>
                      </w:pPr>
                      <w:r>
                        <w:rPr>
                          <w:rFonts w:ascii="Segoe UI"/>
                          <w:color w:val="77787B"/>
                          <w:sz w:val="16"/>
                        </w:rPr>
                        <w:t>0</w:t>
                      </w:r>
                      <w:r>
                        <w:rPr>
                          <w:rFonts w:ascii="Segoe UI"/>
                          <w:sz w:val="16"/>
                        </w:rPr>
                      </w:r>
                    </w:p>
                    <w:p>
                      <w:pPr>
                        <w:spacing w:before="143"/>
                        <w:ind w:left="278" w:right="0" w:firstLine="0"/>
                        <w:jc w:val="left"/>
                        <w:rPr>
                          <w:rFonts w:ascii="Segoe UI" w:hAnsi="Segoe UI" w:cs="Segoe UI" w:eastAsia="Segoe UI"/>
                          <w:sz w:val="16"/>
                          <w:szCs w:val="16"/>
                        </w:rPr>
                      </w:pPr>
                      <w:r>
                        <w:rPr>
                          <w:rFonts w:ascii="Segoe UI"/>
                          <w:color w:val="77787B"/>
                          <w:spacing w:val="-1"/>
                          <w:sz w:val="16"/>
                        </w:rPr>
                        <w:t>(1,000)</w:t>
                      </w:r>
                      <w:r>
                        <w:rPr>
                          <w:rFonts w:ascii="Segoe UI"/>
                          <w:sz w:val="16"/>
                        </w:rPr>
                      </w:r>
                    </w:p>
                    <w:p>
                      <w:pPr>
                        <w:spacing w:before="142"/>
                        <w:ind w:left="278" w:right="0" w:firstLine="0"/>
                        <w:jc w:val="left"/>
                        <w:rPr>
                          <w:rFonts w:ascii="Segoe UI" w:hAnsi="Segoe UI" w:cs="Segoe UI" w:eastAsia="Segoe UI"/>
                          <w:sz w:val="16"/>
                          <w:szCs w:val="16"/>
                        </w:rPr>
                      </w:pPr>
                      <w:r>
                        <w:rPr>
                          <w:rFonts w:ascii="Segoe UI"/>
                          <w:color w:val="77787B"/>
                          <w:spacing w:val="-1"/>
                          <w:sz w:val="16"/>
                        </w:rPr>
                        <w:t>(2,000)</w:t>
                      </w:r>
                      <w:r>
                        <w:rPr>
                          <w:rFonts w:ascii="Segoe UI"/>
                          <w:sz w:val="16"/>
                        </w:rPr>
                      </w:r>
                    </w:p>
                    <w:p>
                      <w:pPr>
                        <w:spacing w:before="142"/>
                        <w:ind w:left="278" w:right="0" w:firstLine="0"/>
                        <w:jc w:val="left"/>
                        <w:rPr>
                          <w:rFonts w:ascii="Segoe UI" w:hAnsi="Segoe UI" w:cs="Segoe UI" w:eastAsia="Segoe UI"/>
                          <w:sz w:val="16"/>
                          <w:szCs w:val="16"/>
                        </w:rPr>
                      </w:pPr>
                      <w:r>
                        <w:rPr>
                          <w:rFonts w:ascii="Segoe UI"/>
                          <w:color w:val="77787B"/>
                          <w:spacing w:val="-1"/>
                          <w:sz w:val="16"/>
                        </w:rPr>
                        <w:t>(3,000)</w:t>
                      </w:r>
                      <w:r>
                        <w:rPr>
                          <w:rFonts w:ascii="Segoe UI"/>
                          <w:sz w:val="16"/>
                        </w:rPr>
                      </w:r>
                    </w:p>
                    <w:p>
                      <w:pPr>
                        <w:spacing w:before="142"/>
                        <w:ind w:left="278" w:right="0" w:firstLine="0"/>
                        <w:jc w:val="left"/>
                        <w:rPr>
                          <w:rFonts w:ascii="Segoe UI" w:hAnsi="Segoe UI" w:cs="Segoe UI" w:eastAsia="Segoe UI"/>
                          <w:sz w:val="16"/>
                          <w:szCs w:val="16"/>
                        </w:rPr>
                      </w:pPr>
                      <w:r>
                        <w:rPr>
                          <w:rFonts w:ascii="Segoe UI"/>
                          <w:color w:val="77787B"/>
                          <w:spacing w:val="-1"/>
                          <w:sz w:val="16"/>
                        </w:rPr>
                        <w:t>(4,000)</w:t>
                      </w:r>
                      <w:r>
                        <w:rPr>
                          <w:rFonts w:ascii="Segoe UI"/>
                          <w:sz w:val="16"/>
                        </w:rPr>
                      </w:r>
                    </w:p>
                    <w:p>
                      <w:pPr>
                        <w:spacing w:before="142"/>
                        <w:ind w:left="278" w:right="0" w:firstLine="0"/>
                        <w:jc w:val="left"/>
                        <w:rPr>
                          <w:rFonts w:ascii="Segoe UI" w:hAnsi="Segoe UI" w:cs="Segoe UI" w:eastAsia="Segoe UI"/>
                          <w:sz w:val="16"/>
                          <w:szCs w:val="16"/>
                        </w:rPr>
                      </w:pPr>
                      <w:r>
                        <w:rPr>
                          <w:rFonts w:ascii="Segoe UI"/>
                          <w:color w:val="77787B"/>
                          <w:spacing w:val="-1"/>
                          <w:sz w:val="16"/>
                        </w:rPr>
                        <w:t>(5,000)</w:t>
                      </w:r>
                      <w:r>
                        <w:rPr>
                          <w:rFonts w:ascii="Segoe UI"/>
                          <w:sz w:val="16"/>
                        </w:rPr>
                      </w:r>
                    </w:p>
                    <w:p>
                      <w:pPr>
                        <w:spacing w:before="142"/>
                        <w:ind w:left="278" w:right="0" w:firstLine="0"/>
                        <w:jc w:val="left"/>
                        <w:rPr>
                          <w:rFonts w:ascii="Segoe UI" w:hAnsi="Segoe UI" w:cs="Segoe UI" w:eastAsia="Segoe UI"/>
                          <w:sz w:val="16"/>
                          <w:szCs w:val="16"/>
                        </w:rPr>
                      </w:pPr>
                      <w:r>
                        <w:rPr>
                          <w:rFonts w:ascii="Segoe UI"/>
                          <w:color w:val="77787B"/>
                          <w:spacing w:val="-1"/>
                          <w:sz w:val="16"/>
                        </w:rPr>
                        <w:t>(6,000)</w:t>
                      </w:r>
                      <w:r>
                        <w:rPr>
                          <w:rFonts w:ascii="Segoe UI"/>
                          <w:sz w:val="16"/>
                        </w:rPr>
                      </w:r>
                    </w:p>
                    <w:p>
                      <w:pPr>
                        <w:spacing w:before="142"/>
                        <w:ind w:left="278" w:right="0" w:firstLine="0"/>
                        <w:jc w:val="left"/>
                        <w:rPr>
                          <w:rFonts w:ascii="Segoe UI" w:hAnsi="Segoe UI" w:cs="Segoe UI" w:eastAsia="Segoe UI"/>
                          <w:sz w:val="16"/>
                          <w:szCs w:val="16"/>
                        </w:rPr>
                      </w:pPr>
                      <w:r>
                        <w:rPr>
                          <w:rFonts w:ascii="Segoe UI"/>
                          <w:color w:val="77787B"/>
                          <w:spacing w:val="-1"/>
                          <w:sz w:val="16"/>
                        </w:rPr>
                        <w:t>(7,000)</w:t>
                      </w:r>
                      <w:r>
                        <w:rPr>
                          <w:rFonts w:ascii="Segoe UI"/>
                          <w:sz w:val="16"/>
                        </w:rPr>
                      </w:r>
                    </w:p>
                    <w:p>
                      <w:pPr>
                        <w:spacing w:line="211" w:lineRule="exact" w:before="22"/>
                        <w:ind w:left="1958" w:right="0" w:firstLine="0"/>
                        <w:jc w:val="left"/>
                        <w:rPr>
                          <w:rFonts w:ascii="Segoe UI" w:hAnsi="Segoe UI" w:cs="Segoe UI" w:eastAsia="Segoe UI"/>
                          <w:sz w:val="16"/>
                          <w:szCs w:val="16"/>
                        </w:rPr>
                      </w:pPr>
                      <w:r>
                        <w:rPr>
                          <w:rFonts w:ascii="Segoe UI"/>
                          <w:color w:val="77787B"/>
                          <w:spacing w:val="-1"/>
                          <w:sz w:val="16"/>
                        </w:rPr>
                        <w:t>High</w:t>
                      </w:r>
                      <w:r>
                        <w:rPr>
                          <w:rFonts w:ascii="Segoe UI"/>
                          <w:sz w:val="16"/>
                        </w:rPr>
                      </w:r>
                    </w:p>
                  </w:txbxContent>
                </v:textbox>
                <w10:wrap type="none"/>
              </v:shape>
              <v:shape style="position:absolute;left:5405;top:-1060;width:338;height:161" type="#_x0000_t202" filled="false" stroked="false">
                <v:textbox inset="0,0,0,0">
                  <w:txbxContent>
                    <w:p>
                      <w:pPr>
                        <w:spacing w:line="161" w:lineRule="exact" w:before="0"/>
                        <w:ind w:left="0" w:right="0" w:firstLine="0"/>
                        <w:jc w:val="left"/>
                        <w:rPr>
                          <w:rFonts w:ascii="Segoe UI" w:hAnsi="Segoe UI" w:cs="Segoe UI" w:eastAsia="Segoe UI"/>
                          <w:sz w:val="16"/>
                          <w:szCs w:val="16"/>
                        </w:rPr>
                      </w:pPr>
                      <w:r>
                        <w:rPr>
                          <w:rFonts w:ascii="Segoe UI"/>
                          <w:color w:val="77787B"/>
                          <w:spacing w:val="-1"/>
                          <w:sz w:val="16"/>
                        </w:rPr>
                        <w:t>High</w:t>
                      </w:r>
                      <w:r>
                        <w:rPr>
                          <w:rFonts w:ascii="Segoe UI"/>
                          <w:sz w:val="16"/>
                        </w:rPr>
                      </w:r>
                    </w:p>
                  </w:txbxContent>
                </v:textbox>
                <w10:wrap type="none"/>
              </v:shape>
              <v:shape style="position:absolute;left:6023;top:-1354;width:801;height:455" type="#_x0000_t202" filled="false" stroked="false">
                <v:textbox inset="0,0,0,0">
                  <w:txbxContent>
                    <w:p>
                      <w:pPr>
                        <w:spacing w:line="162" w:lineRule="exact" w:before="0"/>
                        <w:ind w:left="0" w:right="0" w:firstLine="210"/>
                        <w:jc w:val="left"/>
                        <w:rPr>
                          <w:rFonts w:ascii="Segoe UI" w:hAnsi="Segoe UI" w:cs="Segoe UI" w:eastAsia="Segoe UI"/>
                          <w:sz w:val="16"/>
                          <w:szCs w:val="16"/>
                        </w:rPr>
                      </w:pPr>
                      <w:r>
                        <w:rPr>
                          <w:rFonts w:ascii="Segoe UI"/>
                          <w:color w:val="77787B"/>
                          <w:spacing w:val="-1"/>
                          <w:sz w:val="16"/>
                        </w:rPr>
                        <w:t>Medium</w:t>
                      </w:r>
                      <w:r>
                        <w:rPr>
                          <w:rFonts w:ascii="Segoe UI"/>
                          <w:sz w:val="16"/>
                        </w:rPr>
                      </w:r>
                    </w:p>
                    <w:p>
                      <w:pPr>
                        <w:spacing w:line="211" w:lineRule="exact" w:before="80"/>
                        <w:ind w:left="0" w:right="0" w:firstLine="0"/>
                        <w:jc w:val="left"/>
                        <w:rPr>
                          <w:rFonts w:ascii="Segoe UI" w:hAnsi="Segoe UI" w:cs="Segoe UI" w:eastAsia="Segoe UI"/>
                          <w:sz w:val="16"/>
                          <w:szCs w:val="16"/>
                        </w:rPr>
                      </w:pPr>
                      <w:r>
                        <w:rPr>
                          <w:rFonts w:ascii="Segoe UI"/>
                          <w:color w:val="77787B"/>
                          <w:spacing w:val="-1"/>
                          <w:sz w:val="16"/>
                        </w:rPr>
                        <w:t>Medium</w:t>
                      </w:r>
                      <w:r>
                        <w:rPr>
                          <w:rFonts w:ascii="Segoe UI"/>
                          <w:sz w:val="16"/>
                        </w:rPr>
                      </w:r>
                    </w:p>
                  </w:txbxContent>
                </v:textbox>
                <w10:wrap type="none"/>
              </v:shape>
              <v:shape style="position:absolute;left:8801;top:-1354;width:285;height:161" type="#_x0000_t202" filled="false" stroked="false">
                <v:textbox inset="0,0,0,0">
                  <w:txbxContent>
                    <w:p>
                      <w:pPr>
                        <w:spacing w:line="161" w:lineRule="exact" w:before="0"/>
                        <w:ind w:left="0" w:right="0" w:firstLine="0"/>
                        <w:jc w:val="left"/>
                        <w:rPr>
                          <w:rFonts w:ascii="Segoe UI" w:hAnsi="Segoe UI" w:cs="Segoe UI" w:eastAsia="Segoe UI"/>
                          <w:sz w:val="16"/>
                          <w:szCs w:val="16"/>
                        </w:rPr>
                      </w:pPr>
                      <w:r>
                        <w:rPr>
                          <w:rFonts w:ascii="Segoe UI"/>
                          <w:color w:val="77787B"/>
                          <w:spacing w:val="-1"/>
                          <w:sz w:val="16"/>
                        </w:rPr>
                        <w:t>Low</w:t>
                      </w:r>
                      <w:r>
                        <w:rPr>
                          <w:rFonts w:ascii="Segoe UI"/>
                          <w:sz w:val="16"/>
                        </w:rPr>
                      </w:r>
                    </w:p>
                  </w:txbxContent>
                </v:textbox>
                <w10:wrap type="none"/>
              </v:shape>
              <v:shape style="position:absolute;left:6893;top:-1060;width:285;height:161" type="#_x0000_t202" filled="false" stroked="false">
                <v:textbox inset="0,0,0,0">
                  <w:txbxContent>
                    <w:p>
                      <w:pPr>
                        <w:spacing w:line="161" w:lineRule="exact" w:before="0"/>
                        <w:ind w:left="0" w:right="0" w:firstLine="0"/>
                        <w:jc w:val="left"/>
                        <w:rPr>
                          <w:rFonts w:ascii="Segoe UI" w:hAnsi="Segoe UI" w:cs="Segoe UI" w:eastAsia="Segoe UI"/>
                          <w:sz w:val="16"/>
                          <w:szCs w:val="16"/>
                        </w:rPr>
                      </w:pPr>
                      <w:r>
                        <w:rPr>
                          <w:rFonts w:ascii="Segoe UI"/>
                          <w:color w:val="77787B"/>
                          <w:spacing w:val="-1"/>
                          <w:sz w:val="16"/>
                        </w:rPr>
                        <w:t>Low</w:t>
                      </w:r>
                      <w:r>
                        <w:rPr>
                          <w:rFonts w:ascii="Segoe UI"/>
                          <w:sz w:val="16"/>
                        </w:rPr>
                      </w:r>
                    </w:p>
                  </w:txbxContent>
                </v:textbox>
                <w10:wrap type="none"/>
              </v:shape>
            </v:group>
            <w10:wrap type="none"/>
          </v:group>
        </w:pict>
      </w:r>
      <w:r>
        <w:rPr/>
        <w:pict>
          <v:shape style="position:absolute;margin-left:102.495453pt;margin-top:236.387558pt;width:10.050pt;height:6.35pt;mso-position-horizontal-relative:page;mso-position-vertical-relative:page;z-index:8440" type="#_x0000_t202" filled="false" stroked="false">
            <v:textbox inset="0,0,0,0" style="layout-flow:vertical;mso-layout-flow-alt:bottom-to-top">
              <w:txbxContent>
                <w:p>
                  <w:pPr>
                    <w:spacing w:line="182" w:lineRule="exact" w:before="0"/>
                    <w:ind w:left="20" w:right="0" w:firstLine="0"/>
                    <w:jc w:val="left"/>
                    <w:rPr>
                      <w:rFonts w:ascii="Segoe UI" w:hAnsi="Segoe UI" w:cs="Segoe UI" w:eastAsia="Segoe UI"/>
                      <w:sz w:val="16"/>
                      <w:szCs w:val="16"/>
                    </w:rPr>
                  </w:pPr>
                  <w:r>
                    <w:rPr>
                      <w:rFonts w:ascii="Segoe UI"/>
                      <w:color w:val="77787B"/>
                      <w:sz w:val="16"/>
                    </w:rPr>
                    <w:t>$</w:t>
                  </w:r>
                  <w:r>
                    <w:rPr>
                      <w:rFonts w:ascii="Segoe UI"/>
                      <w:sz w:val="16"/>
                    </w:rPr>
                  </w:r>
                </w:p>
              </w:txbxContent>
            </v:textbox>
            <w10:wrap type="none"/>
          </v:shape>
        </w:pict>
      </w:r>
      <w:bookmarkStart w:name="_TOC_250016" w:id="20"/>
      <w:r>
        <w:rPr>
          <w:color w:val="452A70"/>
          <w:spacing w:val="-1"/>
        </w:rPr>
        <w:t>Remoteness</w:t>
      </w:r>
      <w:bookmarkEnd w:id="20"/>
      <w:r>
        <w:rPr>
          <w:b w:val="0"/>
        </w:rPr>
      </w:r>
    </w:p>
    <w:p>
      <w:pPr>
        <w:pStyle w:val="BodyText"/>
        <w:spacing w:line="250" w:lineRule="exact" w:before="111"/>
        <w:ind w:left="100" w:right="0"/>
        <w:jc w:val="left"/>
      </w:pPr>
      <w:r>
        <w:rPr>
          <w:color w:val="231F20"/>
        </w:rPr>
        <w:t>The</w:t>
      </w:r>
      <w:r>
        <w:rPr>
          <w:color w:val="231F20"/>
          <w:spacing w:val="-3"/>
        </w:rPr>
        <w:t> </w:t>
      </w:r>
      <w:r>
        <w:rPr>
          <w:color w:val="231F20"/>
        </w:rPr>
        <w:t>data</w:t>
      </w:r>
      <w:r>
        <w:rPr>
          <w:color w:val="231F20"/>
          <w:spacing w:val="-4"/>
        </w:rPr>
        <w:t> </w:t>
      </w:r>
      <w:r>
        <w:rPr>
          <w:color w:val="231F20"/>
          <w:spacing w:val="-1"/>
        </w:rPr>
        <w:t>is</w:t>
      </w:r>
      <w:r>
        <w:rPr>
          <w:color w:val="231F20"/>
          <w:spacing w:val="-4"/>
        </w:rPr>
        <w:t> </w:t>
      </w:r>
      <w:r>
        <w:rPr>
          <w:color w:val="231F20"/>
          <w:spacing w:val="-1"/>
        </w:rPr>
        <w:t>inconclusive</w:t>
      </w:r>
      <w:r>
        <w:rPr>
          <w:color w:val="231F20"/>
          <w:spacing w:val="-2"/>
        </w:rPr>
        <w:t> </w:t>
      </w:r>
      <w:r>
        <w:rPr>
          <w:color w:val="231F20"/>
        </w:rPr>
        <w:t>as</w:t>
      </w:r>
      <w:r>
        <w:rPr>
          <w:color w:val="231F20"/>
          <w:spacing w:val="-4"/>
        </w:rPr>
        <w:t> </w:t>
      </w:r>
      <w:r>
        <w:rPr>
          <w:color w:val="231F20"/>
        </w:rPr>
        <w:t>to</w:t>
      </w:r>
      <w:r>
        <w:rPr>
          <w:color w:val="231F20"/>
          <w:spacing w:val="-3"/>
        </w:rPr>
        <w:t> </w:t>
      </w:r>
      <w:r>
        <w:rPr>
          <w:color w:val="231F20"/>
        </w:rPr>
        <w:t>whether</w:t>
      </w:r>
      <w:r>
        <w:rPr>
          <w:color w:val="231F20"/>
          <w:spacing w:val="23"/>
          <w:w w:val="99"/>
        </w:rPr>
        <w:t> </w:t>
      </w:r>
      <w:r>
        <w:rPr>
          <w:color w:val="231F20"/>
        </w:rPr>
        <w:t>remoteness</w:t>
      </w:r>
      <w:r>
        <w:rPr>
          <w:color w:val="231F20"/>
          <w:spacing w:val="-5"/>
        </w:rPr>
        <w:t> </w:t>
      </w:r>
      <w:r>
        <w:rPr>
          <w:color w:val="231F20"/>
          <w:spacing w:val="-1"/>
        </w:rPr>
        <w:t>is</w:t>
      </w:r>
      <w:r>
        <w:rPr>
          <w:color w:val="231F20"/>
          <w:spacing w:val="-3"/>
        </w:rPr>
        <w:t> </w:t>
      </w:r>
      <w:r>
        <w:rPr>
          <w:color w:val="231F20"/>
        </w:rPr>
        <w:t>a</w:t>
      </w:r>
      <w:r>
        <w:rPr>
          <w:color w:val="231F20"/>
          <w:spacing w:val="-2"/>
        </w:rPr>
        <w:t> </w:t>
      </w:r>
      <w:r>
        <w:rPr>
          <w:color w:val="231F20"/>
        </w:rPr>
        <w:t>factor</w:t>
      </w:r>
      <w:r>
        <w:rPr>
          <w:color w:val="231F20"/>
          <w:spacing w:val="-3"/>
        </w:rPr>
        <w:t> </w:t>
      </w:r>
      <w:r>
        <w:rPr>
          <w:color w:val="231F20"/>
          <w:spacing w:val="-1"/>
        </w:rPr>
        <w:t>in</w:t>
      </w:r>
      <w:r>
        <w:rPr>
          <w:color w:val="231F20"/>
          <w:spacing w:val="-2"/>
        </w:rPr>
        <w:t> </w:t>
      </w:r>
      <w:r>
        <w:rPr>
          <w:color w:val="231F20"/>
        </w:rPr>
        <w:t>the</w:t>
      </w:r>
      <w:r>
        <w:rPr>
          <w:color w:val="231F20"/>
          <w:spacing w:val="-4"/>
        </w:rPr>
        <w:t> </w:t>
      </w:r>
      <w:r>
        <w:rPr>
          <w:color w:val="231F20"/>
        </w:rPr>
        <w:t>cost</w:t>
      </w:r>
      <w:r>
        <w:rPr>
          <w:color w:val="231F20"/>
          <w:spacing w:val="-3"/>
        </w:rPr>
        <w:t> </w:t>
      </w:r>
      <w:r>
        <w:rPr>
          <w:color w:val="231F20"/>
        </w:rPr>
        <w:t>of</w:t>
      </w:r>
      <w:r>
        <w:rPr>
          <w:color w:val="231F20"/>
          <w:spacing w:val="-2"/>
        </w:rPr>
        <w:t> </w:t>
      </w:r>
      <w:r>
        <w:rPr>
          <w:color w:val="231F20"/>
        </w:rPr>
        <w:t>boarding</w:t>
      </w:r>
      <w:r>
        <w:rPr>
          <w:color w:val="231F20"/>
          <w:spacing w:val="22"/>
          <w:w w:val="99"/>
        </w:rPr>
        <w:t> </w:t>
      </w:r>
      <w:r>
        <w:rPr>
          <w:color w:val="231F20"/>
        </w:rPr>
        <w:t>provision</w:t>
      </w:r>
      <w:r>
        <w:rPr>
          <w:color w:val="231F20"/>
          <w:spacing w:val="-5"/>
        </w:rPr>
        <w:t> </w:t>
      </w:r>
      <w:r>
        <w:rPr>
          <w:color w:val="231F20"/>
        </w:rPr>
        <w:t>for</w:t>
      </w:r>
      <w:r>
        <w:rPr>
          <w:color w:val="231F20"/>
          <w:spacing w:val="-4"/>
        </w:rPr>
        <w:t> </w:t>
      </w:r>
      <w:r>
        <w:rPr>
          <w:color w:val="231F20"/>
        </w:rPr>
        <w:t>Aboriginal</w:t>
      </w:r>
      <w:r>
        <w:rPr>
          <w:color w:val="231F20"/>
          <w:spacing w:val="-3"/>
        </w:rPr>
        <w:t> </w:t>
      </w:r>
      <w:r>
        <w:rPr>
          <w:color w:val="231F20"/>
        </w:rPr>
        <w:t>and</w:t>
      </w:r>
      <w:r>
        <w:rPr>
          <w:color w:val="231F20"/>
          <w:spacing w:val="-5"/>
        </w:rPr>
        <w:t> Torres</w:t>
      </w:r>
      <w:r>
        <w:rPr>
          <w:color w:val="231F20"/>
          <w:spacing w:val="-3"/>
        </w:rPr>
        <w:t> </w:t>
      </w:r>
      <w:r>
        <w:rPr>
          <w:color w:val="231F20"/>
          <w:spacing w:val="-2"/>
        </w:rPr>
        <w:t>Strait</w:t>
      </w:r>
      <w:r>
        <w:rPr>
          <w:color w:val="231F20"/>
          <w:spacing w:val="29"/>
          <w:w w:val="99"/>
        </w:rPr>
        <w:t> </w:t>
      </w:r>
      <w:r>
        <w:rPr>
          <w:color w:val="231F20"/>
          <w:spacing w:val="-1"/>
        </w:rPr>
        <w:t>Islander</w:t>
      </w:r>
      <w:r>
        <w:rPr>
          <w:color w:val="231F20"/>
          <w:spacing w:val="-15"/>
        </w:rPr>
        <w:t> </w:t>
      </w:r>
      <w:r>
        <w:rPr>
          <w:color w:val="231F20"/>
          <w:spacing w:val="-1"/>
        </w:rPr>
        <w:t>students.</w:t>
      </w:r>
      <w:r>
        <w:rPr/>
      </w:r>
    </w:p>
    <w:p>
      <w:pPr>
        <w:spacing w:line="250" w:lineRule="exact" w:before="113"/>
        <w:ind w:left="100" w:right="0" w:firstLine="0"/>
        <w:jc w:val="left"/>
        <w:rPr>
          <w:rFonts w:ascii="Segoe UI" w:hAnsi="Segoe UI" w:cs="Segoe UI" w:eastAsia="Segoe UI"/>
          <w:sz w:val="20"/>
          <w:szCs w:val="20"/>
        </w:rPr>
      </w:pPr>
      <w:r>
        <w:rPr>
          <w:rFonts w:ascii="Segoe UI" w:hAnsi="Segoe UI" w:cs="Segoe UI" w:eastAsia="Segoe UI"/>
          <w:color w:val="231F20"/>
          <w:spacing w:val="-1"/>
          <w:sz w:val="20"/>
          <w:szCs w:val="20"/>
        </w:rPr>
        <w:t>Remoteness</w:t>
      </w:r>
      <w:r>
        <w:rPr>
          <w:rFonts w:ascii="Segoe UI" w:hAnsi="Segoe UI" w:cs="Segoe UI" w:eastAsia="Segoe UI"/>
          <w:color w:val="231F20"/>
          <w:spacing w:val="-4"/>
          <w:sz w:val="20"/>
          <w:szCs w:val="20"/>
        </w:rPr>
        <w:t> </w:t>
      </w:r>
      <w:r>
        <w:rPr>
          <w:rFonts w:ascii="Segoe UI" w:hAnsi="Segoe UI" w:cs="Segoe UI" w:eastAsia="Segoe UI"/>
          <w:color w:val="231F20"/>
          <w:spacing w:val="-1"/>
          <w:sz w:val="20"/>
          <w:szCs w:val="20"/>
        </w:rPr>
        <w:t>in</w:t>
      </w:r>
      <w:r>
        <w:rPr>
          <w:rFonts w:ascii="Segoe UI" w:hAnsi="Segoe UI" w:cs="Segoe UI" w:eastAsia="Segoe UI"/>
          <w:color w:val="231F20"/>
          <w:spacing w:val="-3"/>
          <w:sz w:val="20"/>
          <w:szCs w:val="20"/>
        </w:rPr>
        <w:t> </w:t>
      </w:r>
      <w:r>
        <w:rPr>
          <w:rFonts w:ascii="Segoe UI" w:hAnsi="Segoe UI" w:cs="Segoe UI" w:eastAsia="Segoe UI"/>
          <w:color w:val="231F20"/>
          <w:sz w:val="20"/>
          <w:szCs w:val="20"/>
        </w:rPr>
        <w:t>this</w:t>
      </w:r>
      <w:r>
        <w:rPr>
          <w:rFonts w:ascii="Segoe UI" w:hAnsi="Segoe UI" w:cs="Segoe UI" w:eastAsia="Segoe UI"/>
          <w:color w:val="231F20"/>
          <w:spacing w:val="-4"/>
          <w:sz w:val="20"/>
          <w:szCs w:val="20"/>
        </w:rPr>
        <w:t> </w:t>
      </w:r>
      <w:r>
        <w:rPr>
          <w:rFonts w:ascii="Segoe UI" w:hAnsi="Segoe UI" w:cs="Segoe UI" w:eastAsia="Segoe UI"/>
          <w:color w:val="231F20"/>
          <w:sz w:val="20"/>
          <w:szCs w:val="20"/>
        </w:rPr>
        <w:t>report</w:t>
      </w:r>
      <w:r>
        <w:rPr>
          <w:rFonts w:ascii="Segoe UI" w:hAnsi="Segoe UI" w:cs="Segoe UI" w:eastAsia="Segoe UI"/>
          <w:color w:val="231F20"/>
          <w:spacing w:val="-4"/>
          <w:sz w:val="20"/>
          <w:szCs w:val="20"/>
        </w:rPr>
        <w:t> </w:t>
      </w:r>
      <w:r>
        <w:rPr>
          <w:rFonts w:ascii="Segoe UI" w:hAnsi="Segoe UI" w:cs="Segoe UI" w:eastAsia="Segoe UI"/>
          <w:color w:val="231F20"/>
          <w:sz w:val="20"/>
          <w:szCs w:val="20"/>
        </w:rPr>
        <w:t>utilises</w:t>
      </w:r>
      <w:r>
        <w:rPr>
          <w:rFonts w:ascii="Segoe UI" w:hAnsi="Segoe UI" w:cs="Segoe UI" w:eastAsia="Segoe UI"/>
          <w:color w:val="231F20"/>
          <w:spacing w:val="-4"/>
          <w:sz w:val="20"/>
          <w:szCs w:val="20"/>
        </w:rPr>
        <w:t> </w:t>
      </w:r>
      <w:r>
        <w:rPr>
          <w:rFonts w:ascii="Segoe UI" w:hAnsi="Segoe UI" w:cs="Segoe UI" w:eastAsia="Segoe UI"/>
          <w:color w:val="231F20"/>
          <w:sz w:val="20"/>
          <w:szCs w:val="20"/>
        </w:rPr>
        <w:t>the</w:t>
      </w:r>
      <w:r>
        <w:rPr>
          <w:rFonts w:ascii="Segoe UI" w:hAnsi="Segoe UI" w:cs="Segoe UI" w:eastAsia="Segoe UI"/>
          <w:color w:val="231F20"/>
          <w:spacing w:val="-4"/>
          <w:sz w:val="20"/>
          <w:szCs w:val="20"/>
        </w:rPr>
        <w:t> </w:t>
      </w:r>
      <w:r>
        <w:rPr>
          <w:rFonts w:ascii="Segoe UI" w:hAnsi="Segoe UI" w:cs="Segoe UI" w:eastAsia="Segoe UI"/>
          <w:color w:val="231F20"/>
          <w:sz w:val="20"/>
          <w:szCs w:val="20"/>
        </w:rPr>
        <w:t>Australian</w:t>
      </w:r>
      <w:r>
        <w:rPr>
          <w:rFonts w:ascii="Segoe UI" w:hAnsi="Segoe UI" w:cs="Segoe UI" w:eastAsia="Segoe UI"/>
          <w:color w:val="231F20"/>
          <w:spacing w:val="25"/>
          <w:w w:val="99"/>
          <w:sz w:val="20"/>
          <w:szCs w:val="20"/>
        </w:rPr>
        <w:t> </w:t>
      </w:r>
      <w:r>
        <w:rPr>
          <w:rFonts w:ascii="Segoe UI" w:hAnsi="Segoe UI" w:cs="Segoe UI" w:eastAsia="Segoe UI"/>
          <w:color w:val="231F20"/>
          <w:spacing w:val="-1"/>
          <w:sz w:val="20"/>
          <w:szCs w:val="20"/>
        </w:rPr>
        <w:t>Bureau</w:t>
      </w:r>
      <w:r>
        <w:rPr>
          <w:rFonts w:ascii="Segoe UI" w:hAnsi="Segoe UI" w:cs="Segoe UI" w:eastAsia="Segoe UI"/>
          <w:color w:val="231F20"/>
          <w:spacing w:val="-7"/>
          <w:sz w:val="20"/>
          <w:szCs w:val="20"/>
        </w:rPr>
        <w:t> </w:t>
      </w:r>
      <w:r>
        <w:rPr>
          <w:rFonts w:ascii="Segoe UI" w:hAnsi="Segoe UI" w:cs="Segoe UI" w:eastAsia="Segoe UI"/>
          <w:color w:val="231F20"/>
          <w:sz w:val="20"/>
          <w:szCs w:val="20"/>
        </w:rPr>
        <w:t>of</w:t>
      </w:r>
      <w:r>
        <w:rPr>
          <w:rFonts w:ascii="Segoe UI" w:hAnsi="Segoe UI" w:cs="Segoe UI" w:eastAsia="Segoe UI"/>
          <w:color w:val="231F20"/>
          <w:spacing w:val="-6"/>
          <w:sz w:val="20"/>
          <w:szCs w:val="20"/>
        </w:rPr>
        <w:t> </w:t>
      </w:r>
      <w:r>
        <w:rPr>
          <w:rFonts w:ascii="Segoe UI" w:hAnsi="Segoe UI" w:cs="Segoe UI" w:eastAsia="Segoe UI"/>
          <w:color w:val="231F20"/>
          <w:spacing w:val="-1"/>
          <w:sz w:val="20"/>
          <w:szCs w:val="20"/>
        </w:rPr>
        <w:t>Statistics’</w:t>
      </w:r>
      <w:r>
        <w:rPr>
          <w:rFonts w:ascii="Segoe UI" w:hAnsi="Segoe UI" w:cs="Segoe UI" w:eastAsia="Segoe UI"/>
          <w:color w:val="231F20"/>
          <w:spacing w:val="-6"/>
          <w:sz w:val="20"/>
          <w:szCs w:val="20"/>
        </w:rPr>
        <w:t> </w:t>
      </w:r>
      <w:r>
        <w:rPr>
          <w:rFonts w:ascii="Segoe UI" w:hAnsi="Segoe UI" w:cs="Segoe UI" w:eastAsia="Segoe UI"/>
          <w:color w:val="231F20"/>
          <w:sz w:val="20"/>
          <w:szCs w:val="20"/>
        </w:rPr>
        <w:t>Australian</w:t>
      </w:r>
      <w:r>
        <w:rPr>
          <w:rFonts w:ascii="Segoe UI" w:hAnsi="Segoe UI" w:cs="Segoe UI" w:eastAsia="Segoe UI"/>
          <w:color w:val="231F20"/>
          <w:spacing w:val="-7"/>
          <w:sz w:val="20"/>
          <w:szCs w:val="20"/>
        </w:rPr>
        <w:t> </w:t>
      </w:r>
      <w:r>
        <w:rPr>
          <w:rFonts w:ascii="Segoe UI" w:hAnsi="Segoe UI" w:cs="Segoe UI" w:eastAsia="Segoe UI"/>
          <w:color w:val="231F20"/>
          <w:spacing w:val="-1"/>
          <w:sz w:val="20"/>
          <w:szCs w:val="20"/>
        </w:rPr>
        <w:t>Statistical</w:t>
      </w:r>
      <w:r>
        <w:rPr>
          <w:rFonts w:ascii="Segoe UI" w:hAnsi="Segoe UI" w:cs="Segoe UI" w:eastAsia="Segoe UI"/>
          <w:color w:val="231F20"/>
          <w:spacing w:val="30"/>
          <w:w w:val="99"/>
          <w:sz w:val="20"/>
          <w:szCs w:val="20"/>
        </w:rPr>
        <w:t> </w:t>
      </w:r>
      <w:r>
        <w:rPr>
          <w:rFonts w:ascii="Segoe UI" w:hAnsi="Segoe UI" w:cs="Segoe UI" w:eastAsia="Segoe UI"/>
          <w:color w:val="231F20"/>
          <w:sz w:val="20"/>
          <w:szCs w:val="20"/>
        </w:rPr>
        <w:t>Geography</w:t>
      </w:r>
      <w:r>
        <w:rPr>
          <w:rFonts w:ascii="Segoe UI" w:hAnsi="Segoe UI" w:cs="Segoe UI" w:eastAsia="Segoe UI"/>
          <w:color w:val="231F20"/>
          <w:spacing w:val="-9"/>
          <w:sz w:val="20"/>
          <w:szCs w:val="20"/>
        </w:rPr>
        <w:t> </w:t>
      </w:r>
      <w:r>
        <w:rPr>
          <w:rFonts w:ascii="Segoe UI" w:hAnsi="Segoe UI" w:cs="Segoe UI" w:eastAsia="Segoe UI"/>
          <w:color w:val="231F20"/>
          <w:spacing w:val="-1"/>
          <w:sz w:val="20"/>
          <w:szCs w:val="20"/>
        </w:rPr>
        <w:t>Standard</w:t>
      </w:r>
      <w:r>
        <w:rPr>
          <w:rFonts w:ascii="Segoe UI" w:hAnsi="Segoe UI" w:cs="Segoe UI" w:eastAsia="Segoe UI"/>
          <w:color w:val="231F20"/>
          <w:spacing w:val="-9"/>
          <w:sz w:val="20"/>
          <w:szCs w:val="20"/>
        </w:rPr>
        <w:t> </w:t>
      </w:r>
      <w:r>
        <w:rPr>
          <w:rFonts w:ascii="Segoe UI" w:hAnsi="Segoe UI" w:cs="Segoe UI" w:eastAsia="Segoe UI"/>
          <w:color w:val="231F20"/>
          <w:spacing w:val="-1"/>
          <w:sz w:val="20"/>
          <w:szCs w:val="20"/>
        </w:rPr>
        <w:t>Remoteness</w:t>
      </w:r>
      <w:r>
        <w:rPr>
          <w:rFonts w:ascii="Segoe UI" w:hAnsi="Segoe UI" w:cs="Segoe UI" w:eastAsia="Segoe UI"/>
          <w:color w:val="231F20"/>
          <w:spacing w:val="-9"/>
          <w:sz w:val="20"/>
          <w:szCs w:val="20"/>
        </w:rPr>
        <w:t> </w:t>
      </w:r>
      <w:r>
        <w:rPr>
          <w:rFonts w:ascii="Segoe UI" w:hAnsi="Segoe UI" w:cs="Segoe UI" w:eastAsia="Segoe UI"/>
          <w:color w:val="231F20"/>
          <w:spacing w:val="-1"/>
          <w:sz w:val="20"/>
          <w:szCs w:val="20"/>
        </w:rPr>
        <w:t>Structure,</w:t>
      </w:r>
      <w:r>
        <w:rPr>
          <w:rFonts w:ascii="Segoe UI" w:hAnsi="Segoe UI" w:cs="Segoe UI" w:eastAsia="Segoe UI"/>
          <w:color w:val="231F20"/>
          <w:spacing w:val="28"/>
          <w:w w:val="99"/>
          <w:sz w:val="20"/>
          <w:szCs w:val="20"/>
        </w:rPr>
        <w:t> </w:t>
      </w:r>
      <w:r>
        <w:rPr>
          <w:rFonts w:ascii="Segoe UI" w:hAnsi="Segoe UI" w:cs="Segoe UI" w:eastAsia="Segoe UI"/>
          <w:color w:val="231F20"/>
          <w:sz w:val="20"/>
          <w:szCs w:val="20"/>
        </w:rPr>
        <w:t>which</w:t>
      </w:r>
      <w:r>
        <w:rPr>
          <w:rFonts w:ascii="Segoe UI" w:hAnsi="Segoe UI" w:cs="Segoe UI" w:eastAsia="Segoe UI"/>
          <w:color w:val="231F20"/>
          <w:spacing w:val="-4"/>
          <w:sz w:val="20"/>
          <w:szCs w:val="20"/>
        </w:rPr>
        <w:t> </w:t>
      </w:r>
      <w:r>
        <w:rPr>
          <w:rFonts w:ascii="Segoe UI" w:hAnsi="Segoe UI" w:cs="Segoe UI" w:eastAsia="Segoe UI"/>
          <w:color w:val="231F20"/>
          <w:sz w:val="20"/>
          <w:szCs w:val="20"/>
        </w:rPr>
        <w:t>divides</w:t>
      </w:r>
      <w:r>
        <w:rPr>
          <w:rFonts w:ascii="Segoe UI" w:hAnsi="Segoe UI" w:cs="Segoe UI" w:eastAsia="Segoe UI"/>
          <w:color w:val="231F20"/>
          <w:spacing w:val="-4"/>
          <w:sz w:val="20"/>
          <w:szCs w:val="20"/>
        </w:rPr>
        <w:t> </w:t>
      </w:r>
      <w:r>
        <w:rPr>
          <w:rFonts w:ascii="Segoe UI" w:hAnsi="Segoe UI" w:cs="Segoe UI" w:eastAsia="Segoe UI"/>
          <w:color w:val="231F20"/>
          <w:sz w:val="20"/>
          <w:szCs w:val="20"/>
        </w:rPr>
        <w:t>Australia</w:t>
      </w:r>
      <w:r>
        <w:rPr>
          <w:rFonts w:ascii="Segoe UI" w:hAnsi="Segoe UI" w:cs="Segoe UI" w:eastAsia="Segoe UI"/>
          <w:color w:val="231F20"/>
          <w:spacing w:val="-3"/>
          <w:sz w:val="20"/>
          <w:szCs w:val="20"/>
        </w:rPr>
        <w:t> </w:t>
      </w:r>
      <w:r>
        <w:rPr>
          <w:rFonts w:ascii="Segoe UI" w:hAnsi="Segoe UI" w:cs="Segoe UI" w:eastAsia="Segoe UI"/>
          <w:color w:val="231F20"/>
          <w:spacing w:val="-1"/>
          <w:sz w:val="20"/>
          <w:szCs w:val="20"/>
        </w:rPr>
        <w:t>into</w:t>
      </w:r>
      <w:r>
        <w:rPr>
          <w:rFonts w:ascii="Segoe UI" w:hAnsi="Segoe UI" w:cs="Segoe UI" w:eastAsia="Segoe UI"/>
          <w:color w:val="231F20"/>
          <w:spacing w:val="-2"/>
          <w:sz w:val="20"/>
          <w:szCs w:val="20"/>
        </w:rPr>
        <w:t> </w:t>
      </w:r>
      <w:r>
        <w:rPr>
          <w:rFonts w:ascii="Segoe UI" w:hAnsi="Segoe UI" w:cs="Segoe UI" w:eastAsia="Segoe UI"/>
          <w:color w:val="231F20"/>
          <w:spacing w:val="-1"/>
          <w:sz w:val="20"/>
          <w:szCs w:val="20"/>
        </w:rPr>
        <w:t>‘</w:t>
      </w:r>
      <w:r>
        <w:rPr>
          <w:rFonts w:ascii="Segoe UI" w:hAnsi="Segoe UI" w:cs="Segoe UI" w:eastAsia="Segoe UI"/>
          <w:i/>
          <w:color w:val="231F20"/>
          <w:spacing w:val="-1"/>
          <w:sz w:val="20"/>
          <w:szCs w:val="20"/>
        </w:rPr>
        <w:t>five</w:t>
      </w:r>
      <w:r>
        <w:rPr>
          <w:rFonts w:ascii="Segoe UI" w:hAnsi="Segoe UI" w:cs="Segoe UI" w:eastAsia="Segoe UI"/>
          <w:i/>
          <w:color w:val="231F20"/>
          <w:spacing w:val="-3"/>
          <w:sz w:val="20"/>
          <w:szCs w:val="20"/>
        </w:rPr>
        <w:t> </w:t>
      </w:r>
      <w:r>
        <w:rPr>
          <w:rFonts w:ascii="Segoe UI" w:hAnsi="Segoe UI" w:cs="Segoe UI" w:eastAsia="Segoe UI"/>
          <w:i/>
          <w:color w:val="231F20"/>
          <w:spacing w:val="-1"/>
          <w:sz w:val="20"/>
          <w:szCs w:val="20"/>
        </w:rPr>
        <w:t>classes</w:t>
      </w:r>
      <w:r>
        <w:rPr>
          <w:rFonts w:ascii="Segoe UI" w:hAnsi="Segoe UI" w:cs="Segoe UI" w:eastAsia="Segoe UI"/>
          <w:i/>
          <w:color w:val="231F20"/>
          <w:spacing w:val="-3"/>
          <w:sz w:val="20"/>
          <w:szCs w:val="20"/>
        </w:rPr>
        <w:t> </w:t>
      </w:r>
      <w:r>
        <w:rPr>
          <w:rFonts w:ascii="Segoe UI" w:hAnsi="Segoe UI" w:cs="Segoe UI" w:eastAsia="Segoe UI"/>
          <w:i/>
          <w:color w:val="231F20"/>
          <w:spacing w:val="-2"/>
          <w:sz w:val="20"/>
          <w:szCs w:val="20"/>
        </w:rPr>
        <w:t>of</w:t>
      </w:r>
      <w:r>
        <w:rPr>
          <w:rFonts w:ascii="Segoe UI" w:hAnsi="Segoe UI" w:cs="Segoe UI" w:eastAsia="Segoe UI"/>
          <w:i/>
          <w:color w:val="231F20"/>
          <w:spacing w:val="29"/>
          <w:sz w:val="20"/>
          <w:szCs w:val="20"/>
        </w:rPr>
        <w:t> </w:t>
      </w:r>
      <w:r>
        <w:rPr>
          <w:rFonts w:ascii="Segoe UI" w:hAnsi="Segoe UI" w:cs="Segoe UI" w:eastAsia="Segoe UI"/>
          <w:i/>
          <w:color w:val="231F20"/>
          <w:sz w:val="20"/>
          <w:szCs w:val="20"/>
        </w:rPr>
        <w:t>remoteness</w:t>
      </w:r>
      <w:r>
        <w:rPr>
          <w:rFonts w:ascii="Segoe UI" w:hAnsi="Segoe UI" w:cs="Segoe UI" w:eastAsia="Segoe UI"/>
          <w:i/>
          <w:color w:val="231F20"/>
          <w:spacing w:val="-4"/>
          <w:sz w:val="20"/>
          <w:szCs w:val="20"/>
        </w:rPr>
        <w:t> </w:t>
      </w:r>
      <w:r>
        <w:rPr>
          <w:rFonts w:ascii="Segoe UI" w:hAnsi="Segoe UI" w:cs="Segoe UI" w:eastAsia="Segoe UI"/>
          <w:i/>
          <w:color w:val="231F20"/>
          <w:spacing w:val="-1"/>
          <w:sz w:val="20"/>
          <w:szCs w:val="20"/>
        </w:rPr>
        <w:t>on</w:t>
      </w:r>
      <w:r>
        <w:rPr>
          <w:rFonts w:ascii="Segoe UI" w:hAnsi="Segoe UI" w:cs="Segoe UI" w:eastAsia="Segoe UI"/>
          <w:i/>
          <w:color w:val="231F20"/>
          <w:spacing w:val="-3"/>
          <w:sz w:val="20"/>
          <w:szCs w:val="20"/>
        </w:rPr>
        <w:t> </w:t>
      </w:r>
      <w:r>
        <w:rPr>
          <w:rFonts w:ascii="Segoe UI" w:hAnsi="Segoe UI" w:cs="Segoe UI" w:eastAsia="Segoe UI"/>
          <w:i/>
          <w:color w:val="231F20"/>
          <w:spacing w:val="-1"/>
          <w:sz w:val="20"/>
          <w:szCs w:val="20"/>
        </w:rPr>
        <w:t>the</w:t>
      </w:r>
      <w:r>
        <w:rPr>
          <w:rFonts w:ascii="Segoe UI" w:hAnsi="Segoe UI" w:cs="Segoe UI" w:eastAsia="Segoe UI"/>
          <w:i/>
          <w:color w:val="231F20"/>
          <w:spacing w:val="-3"/>
          <w:sz w:val="20"/>
          <w:szCs w:val="20"/>
        </w:rPr>
        <w:t> </w:t>
      </w:r>
      <w:r>
        <w:rPr>
          <w:rFonts w:ascii="Segoe UI" w:hAnsi="Segoe UI" w:cs="Segoe UI" w:eastAsia="Segoe UI"/>
          <w:i/>
          <w:color w:val="231F20"/>
          <w:sz w:val="20"/>
          <w:szCs w:val="20"/>
        </w:rPr>
        <w:t>basis</w:t>
      </w:r>
      <w:r>
        <w:rPr>
          <w:rFonts w:ascii="Segoe UI" w:hAnsi="Segoe UI" w:cs="Segoe UI" w:eastAsia="Segoe UI"/>
          <w:i/>
          <w:color w:val="231F20"/>
          <w:spacing w:val="-2"/>
          <w:sz w:val="20"/>
          <w:szCs w:val="20"/>
        </w:rPr>
        <w:t> of</w:t>
      </w:r>
      <w:r>
        <w:rPr>
          <w:rFonts w:ascii="Segoe UI" w:hAnsi="Segoe UI" w:cs="Segoe UI" w:eastAsia="Segoe UI"/>
          <w:i/>
          <w:color w:val="231F20"/>
          <w:spacing w:val="-3"/>
          <w:sz w:val="20"/>
          <w:szCs w:val="20"/>
        </w:rPr>
        <w:t> </w:t>
      </w:r>
      <w:r>
        <w:rPr>
          <w:rFonts w:ascii="Segoe UI" w:hAnsi="Segoe UI" w:cs="Segoe UI" w:eastAsia="Segoe UI"/>
          <w:i/>
          <w:color w:val="231F20"/>
          <w:sz w:val="20"/>
          <w:szCs w:val="20"/>
        </w:rPr>
        <w:t>a</w:t>
      </w:r>
      <w:r>
        <w:rPr>
          <w:rFonts w:ascii="Segoe UI" w:hAnsi="Segoe UI" w:cs="Segoe UI" w:eastAsia="Segoe UI"/>
          <w:i/>
          <w:color w:val="231F20"/>
          <w:spacing w:val="-3"/>
          <w:sz w:val="20"/>
          <w:szCs w:val="20"/>
        </w:rPr>
        <w:t> </w:t>
      </w:r>
      <w:r>
        <w:rPr>
          <w:rFonts w:ascii="Segoe UI" w:hAnsi="Segoe UI" w:cs="Segoe UI" w:eastAsia="Segoe UI"/>
          <w:i/>
          <w:color w:val="231F20"/>
          <w:sz w:val="20"/>
          <w:szCs w:val="20"/>
        </w:rPr>
        <w:t>measure</w:t>
      </w:r>
      <w:r>
        <w:rPr>
          <w:rFonts w:ascii="Segoe UI" w:hAnsi="Segoe UI" w:cs="Segoe UI" w:eastAsia="Segoe UI"/>
          <w:i/>
          <w:color w:val="231F20"/>
          <w:spacing w:val="-4"/>
          <w:sz w:val="20"/>
          <w:szCs w:val="20"/>
        </w:rPr>
        <w:t> </w:t>
      </w:r>
      <w:r>
        <w:rPr>
          <w:rFonts w:ascii="Segoe UI" w:hAnsi="Segoe UI" w:cs="Segoe UI" w:eastAsia="Segoe UI"/>
          <w:i/>
          <w:color w:val="231F20"/>
          <w:spacing w:val="-2"/>
          <w:sz w:val="20"/>
          <w:szCs w:val="20"/>
        </w:rPr>
        <w:t>of</w:t>
      </w:r>
      <w:r>
        <w:rPr>
          <w:rFonts w:ascii="Segoe UI" w:hAnsi="Segoe UI" w:cs="Segoe UI" w:eastAsia="Segoe UI"/>
          <w:sz w:val="20"/>
          <w:szCs w:val="20"/>
        </w:rPr>
      </w:r>
    </w:p>
    <w:p>
      <w:pPr>
        <w:spacing w:line="250" w:lineRule="exact" w:before="0"/>
        <w:ind w:left="100" w:right="229" w:firstLine="0"/>
        <w:jc w:val="left"/>
        <w:rPr>
          <w:rFonts w:ascii="Segoe UI Semibold" w:hAnsi="Segoe UI Semibold" w:cs="Segoe UI Semibold" w:eastAsia="Segoe UI Semibold"/>
          <w:sz w:val="11"/>
          <w:szCs w:val="11"/>
        </w:rPr>
      </w:pPr>
      <w:r>
        <w:rPr>
          <w:rFonts w:ascii="Segoe UI" w:hAnsi="Segoe UI" w:cs="Segoe UI" w:eastAsia="Segoe UI"/>
          <w:i/>
          <w:color w:val="231F20"/>
          <w:spacing w:val="-1"/>
          <w:sz w:val="20"/>
          <w:szCs w:val="20"/>
        </w:rPr>
        <w:t>relative</w:t>
      </w:r>
      <w:r>
        <w:rPr>
          <w:rFonts w:ascii="Segoe UI" w:hAnsi="Segoe UI" w:cs="Segoe UI" w:eastAsia="Segoe UI"/>
          <w:i/>
          <w:color w:val="231F20"/>
          <w:spacing w:val="-5"/>
          <w:sz w:val="20"/>
          <w:szCs w:val="20"/>
        </w:rPr>
        <w:t> </w:t>
      </w:r>
      <w:r>
        <w:rPr>
          <w:rFonts w:ascii="Segoe UI" w:hAnsi="Segoe UI" w:cs="Segoe UI" w:eastAsia="Segoe UI"/>
          <w:i/>
          <w:color w:val="231F20"/>
          <w:spacing w:val="-1"/>
          <w:sz w:val="20"/>
          <w:szCs w:val="20"/>
        </w:rPr>
        <w:t>access</w:t>
      </w:r>
      <w:r>
        <w:rPr>
          <w:rFonts w:ascii="Segoe UI" w:hAnsi="Segoe UI" w:cs="Segoe UI" w:eastAsia="Segoe UI"/>
          <w:i/>
          <w:color w:val="231F20"/>
          <w:spacing w:val="-5"/>
          <w:sz w:val="20"/>
          <w:szCs w:val="20"/>
        </w:rPr>
        <w:t> </w:t>
      </w:r>
      <w:r>
        <w:rPr>
          <w:rFonts w:ascii="Segoe UI" w:hAnsi="Segoe UI" w:cs="Segoe UI" w:eastAsia="Segoe UI"/>
          <w:i/>
          <w:color w:val="231F20"/>
          <w:sz w:val="20"/>
          <w:szCs w:val="20"/>
        </w:rPr>
        <w:t>to</w:t>
      </w:r>
      <w:r>
        <w:rPr>
          <w:rFonts w:ascii="Segoe UI" w:hAnsi="Segoe UI" w:cs="Segoe UI" w:eastAsia="Segoe UI"/>
          <w:i/>
          <w:color w:val="231F20"/>
          <w:spacing w:val="-5"/>
          <w:sz w:val="20"/>
          <w:szCs w:val="20"/>
        </w:rPr>
        <w:t> </w:t>
      </w:r>
      <w:r>
        <w:rPr>
          <w:rFonts w:ascii="Segoe UI" w:hAnsi="Segoe UI" w:cs="Segoe UI" w:eastAsia="Segoe UI"/>
          <w:i/>
          <w:color w:val="231F20"/>
          <w:spacing w:val="-1"/>
          <w:sz w:val="20"/>
          <w:szCs w:val="20"/>
        </w:rPr>
        <w:t>services.</w:t>
      </w:r>
      <w:r>
        <w:rPr>
          <w:rFonts w:ascii="Segoe UI" w:hAnsi="Segoe UI" w:cs="Segoe UI" w:eastAsia="Segoe UI"/>
          <w:i/>
          <w:color w:val="231F20"/>
          <w:spacing w:val="-6"/>
          <w:sz w:val="20"/>
          <w:szCs w:val="20"/>
        </w:rPr>
        <w:t> </w:t>
      </w:r>
      <w:r>
        <w:rPr>
          <w:rFonts w:ascii="Segoe UI" w:hAnsi="Segoe UI" w:cs="Segoe UI" w:eastAsia="Segoe UI"/>
          <w:i/>
          <w:color w:val="231F20"/>
          <w:spacing w:val="-1"/>
          <w:sz w:val="20"/>
          <w:szCs w:val="20"/>
        </w:rPr>
        <w:t>Access</w:t>
      </w:r>
      <w:r>
        <w:rPr>
          <w:rFonts w:ascii="Segoe UI" w:hAnsi="Segoe UI" w:cs="Segoe UI" w:eastAsia="Segoe UI"/>
          <w:i/>
          <w:color w:val="231F20"/>
          <w:spacing w:val="-5"/>
          <w:sz w:val="20"/>
          <w:szCs w:val="20"/>
        </w:rPr>
        <w:t> </w:t>
      </w:r>
      <w:r>
        <w:rPr>
          <w:rFonts w:ascii="Segoe UI" w:hAnsi="Segoe UI" w:cs="Segoe UI" w:eastAsia="Segoe UI"/>
          <w:i/>
          <w:color w:val="231F20"/>
          <w:sz w:val="20"/>
          <w:szCs w:val="20"/>
        </w:rPr>
        <w:t>to</w:t>
      </w:r>
      <w:r>
        <w:rPr>
          <w:rFonts w:ascii="Segoe UI" w:hAnsi="Segoe UI" w:cs="Segoe UI" w:eastAsia="Segoe UI"/>
          <w:i/>
          <w:color w:val="231F20"/>
          <w:spacing w:val="-5"/>
          <w:sz w:val="20"/>
          <w:szCs w:val="20"/>
        </w:rPr>
        <w:t> </w:t>
      </w:r>
      <w:r>
        <w:rPr>
          <w:rFonts w:ascii="Segoe UI" w:hAnsi="Segoe UI" w:cs="Segoe UI" w:eastAsia="Segoe UI"/>
          <w:i/>
          <w:color w:val="231F20"/>
          <w:spacing w:val="-1"/>
          <w:sz w:val="20"/>
          <w:szCs w:val="20"/>
        </w:rPr>
        <w:t>services</w:t>
      </w:r>
      <w:r>
        <w:rPr>
          <w:rFonts w:ascii="Segoe UI" w:hAnsi="Segoe UI" w:cs="Segoe UI" w:eastAsia="Segoe UI"/>
          <w:i/>
          <w:color w:val="231F20"/>
          <w:spacing w:val="47"/>
          <w:w w:val="99"/>
          <w:sz w:val="20"/>
          <w:szCs w:val="20"/>
        </w:rPr>
        <w:t> </w:t>
      </w:r>
      <w:r>
        <w:rPr>
          <w:rFonts w:ascii="Segoe UI" w:hAnsi="Segoe UI" w:cs="Segoe UI" w:eastAsia="Segoe UI"/>
          <w:i/>
          <w:color w:val="231F20"/>
          <w:sz w:val="20"/>
          <w:szCs w:val="20"/>
        </w:rPr>
        <w:t>are</w:t>
      </w:r>
      <w:r>
        <w:rPr>
          <w:rFonts w:ascii="Segoe UI" w:hAnsi="Segoe UI" w:cs="Segoe UI" w:eastAsia="Segoe UI"/>
          <w:i/>
          <w:color w:val="231F20"/>
          <w:spacing w:val="-6"/>
          <w:sz w:val="20"/>
          <w:szCs w:val="20"/>
        </w:rPr>
        <w:t> </w:t>
      </w:r>
      <w:r>
        <w:rPr>
          <w:rFonts w:ascii="Segoe UI" w:hAnsi="Segoe UI" w:cs="Segoe UI" w:eastAsia="Segoe UI"/>
          <w:i/>
          <w:color w:val="231F20"/>
          <w:sz w:val="20"/>
          <w:szCs w:val="20"/>
        </w:rPr>
        <w:t>measured</w:t>
      </w:r>
      <w:r>
        <w:rPr>
          <w:rFonts w:ascii="Segoe UI" w:hAnsi="Segoe UI" w:cs="Segoe UI" w:eastAsia="Segoe UI"/>
          <w:i/>
          <w:color w:val="231F20"/>
          <w:spacing w:val="-7"/>
          <w:sz w:val="20"/>
          <w:szCs w:val="20"/>
        </w:rPr>
        <w:t> </w:t>
      </w:r>
      <w:r>
        <w:rPr>
          <w:rFonts w:ascii="Segoe UI" w:hAnsi="Segoe UI" w:cs="Segoe UI" w:eastAsia="Segoe UI"/>
          <w:i/>
          <w:color w:val="231F20"/>
          <w:spacing w:val="-1"/>
          <w:sz w:val="20"/>
          <w:szCs w:val="20"/>
        </w:rPr>
        <w:t>using</w:t>
      </w:r>
      <w:r>
        <w:rPr>
          <w:rFonts w:ascii="Segoe UI" w:hAnsi="Segoe UI" w:cs="Segoe UI" w:eastAsia="Segoe UI"/>
          <w:i/>
          <w:color w:val="231F20"/>
          <w:spacing w:val="-6"/>
          <w:sz w:val="20"/>
          <w:szCs w:val="20"/>
        </w:rPr>
        <w:t> </w:t>
      </w:r>
      <w:r>
        <w:rPr>
          <w:rFonts w:ascii="Segoe UI" w:hAnsi="Segoe UI" w:cs="Segoe UI" w:eastAsia="Segoe UI"/>
          <w:i/>
          <w:color w:val="231F20"/>
          <w:spacing w:val="-1"/>
          <w:sz w:val="20"/>
          <w:szCs w:val="20"/>
        </w:rPr>
        <w:t>the</w:t>
      </w:r>
      <w:r>
        <w:rPr>
          <w:rFonts w:ascii="Segoe UI" w:hAnsi="Segoe UI" w:cs="Segoe UI" w:eastAsia="Segoe UI"/>
          <w:i/>
          <w:color w:val="231F20"/>
          <w:spacing w:val="-5"/>
          <w:sz w:val="20"/>
          <w:szCs w:val="20"/>
        </w:rPr>
        <w:t> </w:t>
      </w:r>
      <w:r>
        <w:rPr>
          <w:rFonts w:ascii="Segoe UI" w:hAnsi="Segoe UI" w:cs="Segoe UI" w:eastAsia="Segoe UI"/>
          <w:i/>
          <w:color w:val="231F20"/>
          <w:spacing w:val="-1"/>
          <w:sz w:val="20"/>
          <w:szCs w:val="20"/>
        </w:rPr>
        <w:t>Accessibility</w:t>
      </w:r>
      <w:r>
        <w:rPr>
          <w:rFonts w:ascii="Segoe UI" w:hAnsi="Segoe UI" w:cs="Segoe UI" w:eastAsia="Segoe UI"/>
          <w:i/>
          <w:color w:val="231F20"/>
          <w:spacing w:val="-7"/>
          <w:sz w:val="20"/>
          <w:szCs w:val="20"/>
        </w:rPr>
        <w:t> </w:t>
      </w:r>
      <w:r>
        <w:rPr>
          <w:rFonts w:ascii="Segoe UI" w:hAnsi="Segoe UI" w:cs="Segoe UI" w:eastAsia="Segoe UI"/>
          <w:i/>
          <w:color w:val="231F20"/>
          <w:sz w:val="20"/>
          <w:szCs w:val="20"/>
        </w:rPr>
        <w:t>and</w:t>
      </w:r>
      <w:r>
        <w:rPr>
          <w:rFonts w:ascii="Segoe UI" w:hAnsi="Segoe UI" w:cs="Segoe UI" w:eastAsia="Segoe UI"/>
          <w:i/>
          <w:color w:val="231F20"/>
          <w:spacing w:val="21"/>
          <w:w w:val="99"/>
          <w:sz w:val="20"/>
          <w:szCs w:val="20"/>
        </w:rPr>
        <w:t> </w:t>
      </w:r>
      <w:r>
        <w:rPr>
          <w:rFonts w:ascii="Segoe UI" w:hAnsi="Segoe UI" w:cs="Segoe UI" w:eastAsia="Segoe UI"/>
          <w:i/>
          <w:color w:val="231F20"/>
          <w:spacing w:val="-1"/>
          <w:sz w:val="20"/>
          <w:szCs w:val="20"/>
        </w:rPr>
        <w:t>Remoteness Index</w:t>
      </w:r>
      <w:r>
        <w:rPr>
          <w:rFonts w:ascii="Segoe UI" w:hAnsi="Segoe UI" w:cs="Segoe UI" w:eastAsia="Segoe UI"/>
          <w:i/>
          <w:color w:val="231F20"/>
          <w:sz w:val="20"/>
          <w:szCs w:val="20"/>
        </w:rPr>
        <w:t> </w:t>
      </w:r>
      <w:r>
        <w:rPr>
          <w:rFonts w:ascii="Segoe UI" w:hAnsi="Segoe UI" w:cs="Segoe UI" w:eastAsia="Segoe UI"/>
          <w:i/>
          <w:color w:val="231F20"/>
          <w:spacing w:val="-2"/>
          <w:sz w:val="20"/>
          <w:szCs w:val="20"/>
        </w:rPr>
        <w:t>of</w:t>
      </w:r>
      <w:r>
        <w:rPr>
          <w:rFonts w:ascii="Segoe UI" w:hAnsi="Segoe UI" w:cs="Segoe UI" w:eastAsia="Segoe UI"/>
          <w:i/>
          <w:color w:val="231F20"/>
          <w:sz w:val="20"/>
          <w:szCs w:val="20"/>
        </w:rPr>
        <w:t> </w:t>
      </w:r>
      <w:r>
        <w:rPr>
          <w:rFonts w:ascii="Segoe UI" w:hAnsi="Segoe UI" w:cs="Segoe UI" w:eastAsia="Segoe UI"/>
          <w:i/>
          <w:color w:val="231F20"/>
          <w:spacing w:val="-1"/>
          <w:sz w:val="20"/>
          <w:szCs w:val="20"/>
        </w:rPr>
        <w:t>Australia</w:t>
      </w:r>
      <w:r>
        <w:rPr>
          <w:rFonts w:ascii="Segoe UI" w:hAnsi="Segoe UI" w:cs="Segoe UI" w:eastAsia="Segoe UI"/>
          <w:i/>
          <w:color w:val="231F20"/>
          <w:sz w:val="20"/>
          <w:szCs w:val="20"/>
        </w:rPr>
        <w:t> </w:t>
      </w:r>
      <w:r>
        <w:rPr>
          <w:rFonts w:ascii="Segoe UI" w:hAnsi="Segoe UI" w:cs="Segoe UI" w:eastAsia="Segoe UI"/>
          <w:i/>
          <w:color w:val="231F20"/>
          <w:spacing w:val="-1"/>
          <w:sz w:val="20"/>
          <w:szCs w:val="20"/>
        </w:rPr>
        <w:t>(ARIA+)</w:t>
      </w:r>
      <w:r>
        <w:rPr>
          <w:rFonts w:ascii="Segoe UI" w:hAnsi="Segoe UI" w:cs="Segoe UI" w:eastAsia="Segoe UI"/>
          <w:color w:val="231F20"/>
          <w:spacing w:val="-1"/>
          <w:sz w:val="20"/>
          <w:szCs w:val="20"/>
        </w:rPr>
        <w:t>.’</w:t>
      </w:r>
      <w:r>
        <w:rPr>
          <w:rFonts w:ascii="Segoe UI Semibold" w:hAnsi="Segoe UI Semibold" w:cs="Segoe UI Semibold" w:eastAsia="Segoe UI Semibold"/>
          <w:b/>
          <w:bCs/>
          <w:color w:val="231F20"/>
          <w:spacing w:val="-1"/>
          <w:position w:val="7"/>
          <w:sz w:val="11"/>
          <w:szCs w:val="11"/>
        </w:rPr>
        <w:t>164</w:t>
      </w:r>
      <w:r>
        <w:rPr>
          <w:rFonts w:ascii="Segoe UI Semibold" w:hAnsi="Segoe UI Semibold" w:cs="Segoe UI Semibold" w:eastAsia="Segoe UI Semibold"/>
          <w:sz w:val="11"/>
          <w:szCs w:val="11"/>
        </w:rPr>
      </w:r>
    </w:p>
    <w:p>
      <w:pPr>
        <w:pStyle w:val="BodyText"/>
        <w:spacing w:line="250" w:lineRule="exact" w:before="100"/>
        <w:ind w:left="100" w:right="1438"/>
        <w:jc w:val="left"/>
      </w:pPr>
      <w:r>
        <w:rPr/>
        <w:br w:type="column"/>
      </w:r>
      <w:r>
        <w:rPr>
          <w:rFonts w:ascii="Segoe UI"/>
          <w:color w:val="231F20"/>
        </w:rPr>
        <w:t>The five classes of remoteness and the number</w:t>
      </w:r>
      <w:r>
        <w:rPr>
          <w:rFonts w:ascii="Segoe UI"/>
          <w:color w:val="231F20"/>
        </w:rPr>
        <w:t> </w:t>
      </w:r>
      <w:r>
        <w:rPr>
          <w:color w:val="231F20"/>
        </w:rPr>
        <w:t>of</w:t>
      </w:r>
      <w:r>
        <w:rPr>
          <w:color w:val="231F20"/>
          <w:spacing w:val="-6"/>
        </w:rPr>
        <w:t> </w:t>
      </w:r>
      <w:r>
        <w:rPr>
          <w:color w:val="231F20"/>
        </w:rPr>
        <w:t>Aboriginal</w:t>
      </w:r>
      <w:r>
        <w:rPr>
          <w:color w:val="231F20"/>
          <w:spacing w:val="-5"/>
        </w:rPr>
        <w:t> </w:t>
      </w:r>
      <w:r>
        <w:rPr>
          <w:color w:val="231F20"/>
        </w:rPr>
        <w:t>and</w:t>
      </w:r>
      <w:r>
        <w:rPr>
          <w:color w:val="231F20"/>
          <w:spacing w:val="-7"/>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5"/>
        </w:rPr>
        <w:t> </w:t>
      </w:r>
      <w:r>
        <w:rPr>
          <w:color w:val="231F20"/>
        </w:rPr>
        <w:t>analysed</w:t>
      </w:r>
      <w:r>
        <w:rPr>
          <w:color w:val="231F20"/>
          <w:spacing w:val="-5"/>
        </w:rPr>
        <w:t> </w:t>
      </w:r>
      <w:r>
        <w:rPr>
          <w:color w:val="231F20"/>
          <w:spacing w:val="-1"/>
        </w:rPr>
        <w:t>in</w:t>
      </w:r>
      <w:r>
        <w:rPr>
          <w:color w:val="231F20"/>
          <w:spacing w:val="-3"/>
        </w:rPr>
        <w:t> </w:t>
      </w:r>
      <w:r>
        <w:rPr>
          <w:color w:val="231F20"/>
        </w:rPr>
        <w:t>this</w:t>
      </w:r>
      <w:r>
        <w:rPr>
          <w:color w:val="231F20"/>
          <w:spacing w:val="-5"/>
        </w:rPr>
        <w:t> </w:t>
      </w:r>
      <w:r>
        <w:rPr>
          <w:color w:val="231F20"/>
        </w:rPr>
        <w:t>report</w:t>
      </w:r>
      <w:r>
        <w:rPr>
          <w:color w:val="231F20"/>
          <w:spacing w:val="-5"/>
        </w:rPr>
        <w:t> </w:t>
      </w:r>
      <w:r>
        <w:rPr>
          <w:color w:val="231F20"/>
          <w:spacing w:val="-1"/>
        </w:rPr>
        <w:t>in</w:t>
      </w:r>
      <w:r>
        <w:rPr>
          <w:color w:val="231F20"/>
          <w:spacing w:val="-3"/>
        </w:rPr>
        <w:t> </w:t>
      </w:r>
      <w:r>
        <w:rPr>
          <w:color w:val="231F20"/>
        </w:rPr>
        <w:t>each</w:t>
      </w:r>
      <w:r>
        <w:rPr>
          <w:color w:val="231F20"/>
          <w:spacing w:val="-4"/>
        </w:rPr>
        <w:t> </w:t>
      </w:r>
      <w:r>
        <w:rPr>
          <w:color w:val="231F20"/>
        </w:rPr>
        <w:t>class</w:t>
      </w:r>
      <w:r>
        <w:rPr>
          <w:color w:val="231F20"/>
          <w:spacing w:val="22"/>
        </w:rPr>
        <w:t> </w:t>
      </w:r>
      <w:r>
        <w:rPr>
          <w:color w:val="231F20"/>
        </w:rPr>
        <w:t>are</w:t>
      </w:r>
      <w:r>
        <w:rPr>
          <w:color w:val="231F20"/>
          <w:spacing w:val="-5"/>
        </w:rPr>
        <w:t> </w:t>
      </w:r>
      <w:r>
        <w:rPr>
          <w:color w:val="231F20"/>
          <w:spacing w:val="-1"/>
        </w:rPr>
        <w:t>set</w:t>
      </w:r>
      <w:r>
        <w:rPr>
          <w:color w:val="231F20"/>
          <w:spacing w:val="-4"/>
        </w:rPr>
        <w:t> </w:t>
      </w:r>
      <w:r>
        <w:rPr>
          <w:color w:val="231F20"/>
        </w:rPr>
        <w:t>out</w:t>
      </w:r>
      <w:r>
        <w:rPr>
          <w:color w:val="231F20"/>
          <w:spacing w:val="-4"/>
        </w:rPr>
        <w:t> </w:t>
      </w:r>
      <w:r>
        <w:rPr>
          <w:color w:val="231F20"/>
        </w:rPr>
        <w:t>below:</w:t>
      </w:r>
      <w:r>
        <w:rPr/>
      </w:r>
    </w:p>
    <w:p>
      <w:pPr>
        <w:pStyle w:val="BodyText"/>
        <w:spacing w:line="250" w:lineRule="exact" w:before="113"/>
        <w:ind w:left="327" w:right="1522" w:hanging="227"/>
        <w:jc w:val="left"/>
      </w:pPr>
      <w:r>
        <w:rPr>
          <w:rFonts w:ascii="Century Gothic" w:hAnsi="Century Gothic"/>
          <w:color w:val="231F20"/>
        </w:rPr>
        <w:t>» </w:t>
      </w:r>
      <w:r>
        <w:rPr>
          <w:rFonts w:ascii="Century Gothic" w:hAnsi="Century Gothic"/>
          <w:color w:val="231F20"/>
          <w:spacing w:val="21"/>
        </w:rPr>
        <w:t> </w:t>
      </w:r>
      <w:r>
        <w:rPr>
          <w:color w:val="231F20"/>
        </w:rPr>
        <w:t>Major</w:t>
      </w:r>
      <w:r>
        <w:rPr>
          <w:color w:val="231F20"/>
          <w:spacing w:val="-4"/>
        </w:rPr>
        <w:t> </w:t>
      </w:r>
      <w:r>
        <w:rPr>
          <w:color w:val="231F20"/>
          <w:spacing w:val="-1"/>
        </w:rPr>
        <w:t>Cities</w:t>
      </w:r>
      <w:r>
        <w:rPr>
          <w:color w:val="231F20"/>
          <w:spacing w:val="-3"/>
        </w:rPr>
        <w:t> </w:t>
      </w:r>
      <w:r>
        <w:rPr>
          <w:color w:val="231F20"/>
        </w:rPr>
        <w:t>of</w:t>
      </w:r>
      <w:r>
        <w:rPr>
          <w:color w:val="231F20"/>
          <w:spacing w:val="-4"/>
        </w:rPr>
        <w:t> </w:t>
      </w:r>
      <w:r>
        <w:rPr>
          <w:color w:val="231F20"/>
        </w:rPr>
        <w:t>Australia</w:t>
      </w:r>
      <w:r>
        <w:rPr>
          <w:color w:val="231F20"/>
          <w:spacing w:val="-4"/>
        </w:rPr>
        <w:t> </w:t>
      </w:r>
      <w:r>
        <w:rPr>
          <w:color w:val="231F20"/>
        </w:rPr>
        <w:t>(four</w:t>
      </w:r>
      <w:r>
        <w:rPr>
          <w:color w:val="231F20"/>
          <w:spacing w:val="-5"/>
        </w:rPr>
        <w:t> </w:t>
      </w:r>
      <w:r>
        <w:rPr>
          <w:color w:val="231F20"/>
        </w:rPr>
        <w:t>boarding</w:t>
      </w:r>
      <w:r>
        <w:rPr>
          <w:color w:val="231F20"/>
          <w:spacing w:val="21"/>
          <w:w w:val="99"/>
        </w:rPr>
        <w:t> </w:t>
      </w:r>
      <w:r>
        <w:rPr>
          <w:color w:val="231F20"/>
        </w:rPr>
        <w:t>providers)</w:t>
      </w:r>
      <w:r>
        <w:rPr/>
      </w:r>
    </w:p>
    <w:p>
      <w:pPr>
        <w:pStyle w:val="BodyText"/>
        <w:spacing w:line="250" w:lineRule="exact" w:before="113"/>
        <w:ind w:left="327" w:right="1529" w:hanging="227"/>
        <w:jc w:val="left"/>
      </w:pPr>
      <w:r>
        <w:rPr>
          <w:rFonts w:ascii="Century Gothic" w:hAnsi="Century Gothic"/>
          <w:color w:val="231F20"/>
        </w:rPr>
        <w:t>» </w:t>
      </w:r>
      <w:r>
        <w:rPr>
          <w:rFonts w:ascii="Century Gothic" w:hAnsi="Century Gothic"/>
          <w:color w:val="231F20"/>
          <w:spacing w:val="18"/>
        </w:rPr>
        <w:t> </w:t>
      </w:r>
      <w:r>
        <w:rPr>
          <w:color w:val="231F20"/>
          <w:spacing w:val="-1"/>
        </w:rPr>
        <w:t>Inner</w:t>
      </w:r>
      <w:r>
        <w:rPr>
          <w:color w:val="231F20"/>
          <w:spacing w:val="-5"/>
        </w:rPr>
        <w:t> </w:t>
      </w:r>
      <w:r>
        <w:rPr>
          <w:color w:val="231F20"/>
          <w:spacing w:val="-1"/>
        </w:rPr>
        <w:t>Regional</w:t>
      </w:r>
      <w:r>
        <w:rPr>
          <w:color w:val="231F20"/>
          <w:spacing w:val="-6"/>
        </w:rPr>
        <w:t> </w:t>
      </w:r>
      <w:r>
        <w:rPr>
          <w:color w:val="231F20"/>
        </w:rPr>
        <w:t>Australia</w:t>
      </w:r>
      <w:r>
        <w:rPr>
          <w:color w:val="231F20"/>
          <w:spacing w:val="-5"/>
        </w:rPr>
        <w:t> </w:t>
      </w:r>
      <w:r>
        <w:rPr>
          <w:color w:val="231F20"/>
        </w:rPr>
        <w:t>(two</w:t>
      </w:r>
      <w:r>
        <w:rPr>
          <w:color w:val="231F20"/>
          <w:spacing w:val="-5"/>
        </w:rPr>
        <w:t> </w:t>
      </w:r>
      <w:r>
        <w:rPr>
          <w:color w:val="231F20"/>
        </w:rPr>
        <w:t>boarding</w:t>
      </w:r>
      <w:r>
        <w:rPr>
          <w:color w:val="231F20"/>
          <w:spacing w:val="23"/>
          <w:w w:val="99"/>
        </w:rPr>
        <w:t> </w:t>
      </w:r>
      <w:r>
        <w:rPr>
          <w:color w:val="231F20"/>
        </w:rPr>
        <w:t>providers)</w:t>
      </w:r>
      <w:r>
        <w:rPr/>
      </w:r>
    </w:p>
    <w:p>
      <w:pPr>
        <w:pStyle w:val="BodyText"/>
        <w:spacing w:line="250" w:lineRule="exact" w:before="113"/>
        <w:ind w:left="327" w:right="1522" w:hanging="227"/>
        <w:jc w:val="left"/>
      </w:pPr>
      <w:r>
        <w:rPr>
          <w:rFonts w:ascii="Century Gothic" w:hAnsi="Century Gothic"/>
          <w:color w:val="231F20"/>
        </w:rPr>
        <w:t>» </w:t>
      </w:r>
      <w:r>
        <w:rPr>
          <w:rFonts w:ascii="Century Gothic" w:hAnsi="Century Gothic"/>
          <w:color w:val="231F20"/>
          <w:spacing w:val="18"/>
        </w:rPr>
        <w:t> </w:t>
      </w:r>
      <w:r>
        <w:rPr>
          <w:color w:val="231F20"/>
        </w:rPr>
        <w:t>Outer</w:t>
      </w:r>
      <w:r>
        <w:rPr>
          <w:color w:val="231F20"/>
          <w:spacing w:val="-4"/>
        </w:rPr>
        <w:t> </w:t>
      </w:r>
      <w:r>
        <w:rPr>
          <w:color w:val="231F20"/>
          <w:spacing w:val="-1"/>
        </w:rPr>
        <w:t>Regional</w:t>
      </w:r>
      <w:r>
        <w:rPr>
          <w:color w:val="231F20"/>
          <w:spacing w:val="-6"/>
        </w:rPr>
        <w:t> </w:t>
      </w:r>
      <w:r>
        <w:rPr>
          <w:color w:val="231F20"/>
        </w:rPr>
        <w:t>Australia</w:t>
      </w:r>
      <w:r>
        <w:rPr>
          <w:color w:val="231F20"/>
          <w:spacing w:val="-5"/>
        </w:rPr>
        <w:t> </w:t>
      </w:r>
      <w:r>
        <w:rPr>
          <w:color w:val="231F20"/>
        </w:rPr>
        <w:t>(12</w:t>
      </w:r>
      <w:r>
        <w:rPr>
          <w:color w:val="231F20"/>
          <w:spacing w:val="-6"/>
        </w:rPr>
        <w:t> </w:t>
      </w:r>
      <w:r>
        <w:rPr>
          <w:color w:val="231F20"/>
        </w:rPr>
        <w:t>boarding</w:t>
      </w:r>
      <w:r>
        <w:rPr>
          <w:color w:val="231F20"/>
          <w:spacing w:val="22"/>
          <w:w w:val="99"/>
        </w:rPr>
        <w:t> </w:t>
      </w:r>
      <w:r>
        <w:rPr>
          <w:color w:val="231F20"/>
        </w:rPr>
        <w:t>providers)</w:t>
      </w:r>
      <w:r>
        <w:rPr/>
      </w:r>
    </w:p>
    <w:p>
      <w:pPr>
        <w:pStyle w:val="BodyText"/>
        <w:spacing w:line="240" w:lineRule="auto" w:before="97"/>
        <w:ind w:left="100" w:right="0"/>
        <w:jc w:val="left"/>
      </w:pPr>
      <w:r>
        <w:rPr>
          <w:rFonts w:ascii="Century Gothic" w:hAnsi="Century Gothic"/>
          <w:color w:val="231F20"/>
        </w:rPr>
        <w:t>» </w:t>
      </w:r>
      <w:r>
        <w:rPr>
          <w:rFonts w:ascii="Century Gothic" w:hAnsi="Century Gothic"/>
          <w:color w:val="231F20"/>
          <w:spacing w:val="18"/>
        </w:rPr>
        <w:t> </w:t>
      </w:r>
      <w:r>
        <w:rPr>
          <w:color w:val="231F20"/>
          <w:spacing w:val="-1"/>
        </w:rPr>
        <w:t>Remote</w:t>
      </w:r>
      <w:r>
        <w:rPr>
          <w:color w:val="231F20"/>
          <w:spacing w:val="-5"/>
        </w:rPr>
        <w:t> </w:t>
      </w:r>
      <w:r>
        <w:rPr>
          <w:color w:val="231F20"/>
        </w:rPr>
        <w:t>Australia</w:t>
      </w:r>
      <w:r>
        <w:rPr>
          <w:color w:val="231F20"/>
          <w:spacing w:val="-5"/>
        </w:rPr>
        <w:t> </w:t>
      </w:r>
      <w:r>
        <w:rPr>
          <w:color w:val="231F20"/>
        </w:rPr>
        <w:t>(three</w:t>
      </w:r>
      <w:r>
        <w:rPr>
          <w:color w:val="231F20"/>
          <w:spacing w:val="-6"/>
        </w:rPr>
        <w:t> </w:t>
      </w:r>
      <w:r>
        <w:rPr>
          <w:color w:val="231F20"/>
        </w:rPr>
        <w:t>boarding</w:t>
      </w:r>
      <w:r>
        <w:rPr>
          <w:color w:val="231F20"/>
          <w:spacing w:val="-6"/>
        </w:rPr>
        <w:t> </w:t>
      </w:r>
      <w:r>
        <w:rPr>
          <w:color w:val="231F20"/>
        </w:rPr>
        <w:t>providers)</w:t>
      </w:r>
      <w:r>
        <w:rPr/>
      </w:r>
    </w:p>
    <w:p>
      <w:pPr>
        <w:pStyle w:val="BodyText"/>
        <w:spacing w:line="250" w:lineRule="exact" w:before="113"/>
        <w:ind w:left="327" w:right="1522" w:hanging="227"/>
        <w:jc w:val="left"/>
      </w:pPr>
      <w:r>
        <w:rPr>
          <w:rFonts w:ascii="Century Gothic" w:hAnsi="Century Gothic"/>
          <w:color w:val="231F20"/>
        </w:rPr>
        <w:t>» </w:t>
      </w:r>
      <w:r>
        <w:rPr>
          <w:rFonts w:ascii="Century Gothic" w:hAnsi="Century Gothic"/>
          <w:color w:val="231F20"/>
          <w:spacing w:val="24"/>
        </w:rPr>
        <w:t> </w:t>
      </w:r>
      <w:r>
        <w:rPr>
          <w:color w:val="231F20"/>
          <w:spacing w:val="-4"/>
        </w:rPr>
        <w:t>V</w:t>
      </w:r>
      <w:r>
        <w:rPr>
          <w:color w:val="231F20"/>
          <w:spacing w:val="-5"/>
        </w:rPr>
        <w:t>ery</w:t>
      </w:r>
      <w:r>
        <w:rPr>
          <w:color w:val="231F20"/>
          <w:spacing w:val="-2"/>
        </w:rPr>
        <w:t> </w:t>
      </w:r>
      <w:r>
        <w:rPr>
          <w:color w:val="231F20"/>
          <w:spacing w:val="-1"/>
        </w:rPr>
        <w:t>Remote</w:t>
      </w:r>
      <w:r>
        <w:rPr>
          <w:color w:val="231F20"/>
          <w:spacing w:val="-4"/>
        </w:rPr>
        <w:t> </w:t>
      </w:r>
      <w:r>
        <w:rPr>
          <w:color w:val="231F20"/>
        </w:rPr>
        <w:t>Australia</w:t>
      </w:r>
      <w:r>
        <w:rPr>
          <w:color w:val="231F20"/>
          <w:spacing w:val="-3"/>
        </w:rPr>
        <w:t> </w:t>
      </w:r>
      <w:r>
        <w:rPr>
          <w:color w:val="231F20"/>
        </w:rPr>
        <w:t>(six</w:t>
      </w:r>
      <w:r>
        <w:rPr>
          <w:color w:val="231F20"/>
          <w:spacing w:val="-3"/>
        </w:rPr>
        <w:t> </w:t>
      </w:r>
      <w:r>
        <w:rPr>
          <w:color w:val="231F20"/>
        </w:rPr>
        <w:t>boarding</w:t>
      </w:r>
      <w:r>
        <w:rPr>
          <w:color w:val="231F20"/>
          <w:spacing w:val="23"/>
          <w:w w:val="99"/>
        </w:rPr>
        <w:t> </w:t>
      </w:r>
      <w:r>
        <w:rPr>
          <w:color w:val="231F20"/>
        </w:rPr>
        <w:t>providers).</w:t>
      </w:r>
      <w:r>
        <w:rPr/>
      </w:r>
    </w:p>
    <w:p>
      <w:pPr>
        <w:pStyle w:val="BodyText"/>
        <w:spacing w:line="250" w:lineRule="exact" w:before="113"/>
        <w:ind w:left="100" w:right="1490" w:hanging="1"/>
        <w:jc w:val="both"/>
      </w:pPr>
      <w:r>
        <w:rPr>
          <w:color w:val="231F20"/>
        </w:rPr>
        <w:t>Attendance</w:t>
      </w:r>
      <w:r>
        <w:rPr>
          <w:color w:val="231F20"/>
          <w:spacing w:val="-3"/>
        </w:rPr>
        <w:t> </w:t>
      </w:r>
      <w:r>
        <w:rPr>
          <w:color w:val="231F20"/>
          <w:spacing w:val="-1"/>
        </w:rPr>
        <w:t>rates</w:t>
      </w:r>
      <w:r>
        <w:rPr>
          <w:rFonts w:ascii="Segoe UI Semibold"/>
          <w:b/>
          <w:color w:val="231F20"/>
          <w:spacing w:val="-1"/>
          <w:position w:val="7"/>
          <w:sz w:val="11"/>
        </w:rPr>
        <w:t>165</w:t>
      </w:r>
      <w:r>
        <w:rPr>
          <w:rFonts w:ascii="Segoe UI Semibold"/>
          <w:b/>
          <w:color w:val="231F20"/>
          <w:spacing w:val="21"/>
          <w:position w:val="7"/>
          <w:sz w:val="11"/>
        </w:rPr>
        <w:t> </w:t>
      </w:r>
      <w:r>
        <w:rPr>
          <w:color w:val="231F20"/>
        </w:rPr>
        <w:t>for</w:t>
      </w:r>
      <w:r>
        <w:rPr>
          <w:color w:val="231F20"/>
          <w:spacing w:val="-2"/>
        </w:rPr>
        <w:t> </w:t>
      </w:r>
      <w:r>
        <w:rPr>
          <w:color w:val="231F20"/>
        </w:rPr>
        <w:t>all</w:t>
      </w:r>
      <w:r>
        <w:rPr>
          <w:color w:val="231F20"/>
          <w:spacing w:val="-4"/>
        </w:rPr>
        <w:t> </w:t>
      </w:r>
      <w:r>
        <w:rPr>
          <w:color w:val="231F20"/>
        </w:rPr>
        <w:t>Aboriginal</w:t>
      </w:r>
      <w:r>
        <w:rPr>
          <w:color w:val="231F20"/>
          <w:spacing w:val="-3"/>
        </w:rPr>
        <w:t> </w:t>
      </w:r>
      <w:r>
        <w:rPr>
          <w:color w:val="231F20"/>
        </w:rPr>
        <w:t>and</w:t>
      </w:r>
      <w:r>
        <w:rPr>
          <w:color w:val="231F20"/>
          <w:spacing w:val="-3"/>
        </w:rPr>
        <w:t> </w:t>
      </w:r>
      <w:r>
        <w:rPr>
          <w:color w:val="231F20"/>
          <w:spacing w:val="-5"/>
        </w:rPr>
        <w:t>Torres</w:t>
      </w:r>
      <w:r>
        <w:rPr>
          <w:color w:val="231F20"/>
          <w:spacing w:val="29"/>
          <w:w w:val="99"/>
        </w:rPr>
        <w:t> </w:t>
      </w:r>
      <w:r>
        <w:rPr>
          <w:color w:val="231F20"/>
          <w:spacing w:val="-2"/>
        </w:rPr>
        <w:t>Strait</w:t>
      </w:r>
      <w:r>
        <w:rPr>
          <w:color w:val="231F20"/>
          <w:spacing w:val="-5"/>
        </w:rPr>
        <w:t> </w:t>
      </w:r>
      <w:r>
        <w:rPr>
          <w:color w:val="231F20"/>
          <w:spacing w:val="-1"/>
        </w:rPr>
        <w:t>Islander</w:t>
      </w:r>
      <w:r>
        <w:rPr>
          <w:color w:val="231F20"/>
          <w:spacing w:val="-3"/>
        </w:rPr>
        <w:t> </w:t>
      </w:r>
      <w:r>
        <w:rPr>
          <w:color w:val="231F20"/>
          <w:spacing w:val="-1"/>
        </w:rPr>
        <w:t>students</w:t>
      </w:r>
      <w:r>
        <w:rPr>
          <w:color w:val="231F20"/>
          <w:spacing w:val="-4"/>
        </w:rPr>
        <w:t> </w:t>
      </w:r>
      <w:r>
        <w:rPr>
          <w:color w:val="231F20"/>
        </w:rPr>
        <w:t>are</w:t>
      </w:r>
      <w:r>
        <w:rPr>
          <w:color w:val="231F20"/>
          <w:spacing w:val="-4"/>
        </w:rPr>
        <w:t> </w:t>
      </w:r>
      <w:r>
        <w:rPr>
          <w:color w:val="231F20"/>
          <w:spacing w:val="-1"/>
        </w:rPr>
        <w:t>lower</w:t>
      </w:r>
      <w:r>
        <w:rPr>
          <w:color w:val="231F20"/>
          <w:spacing w:val="-4"/>
        </w:rPr>
        <w:t> </w:t>
      </w:r>
      <w:r>
        <w:rPr>
          <w:color w:val="231F20"/>
          <w:spacing w:val="-1"/>
        </w:rPr>
        <w:t>in</w:t>
      </w:r>
      <w:r>
        <w:rPr>
          <w:color w:val="231F20"/>
          <w:spacing w:val="-3"/>
        </w:rPr>
        <w:t> </w:t>
      </w:r>
      <w:r>
        <w:rPr>
          <w:color w:val="231F20"/>
        </w:rPr>
        <w:t>remote</w:t>
      </w:r>
      <w:r>
        <w:rPr>
          <w:color w:val="231F20"/>
          <w:spacing w:val="-5"/>
        </w:rPr>
        <w:t> </w:t>
      </w:r>
      <w:r>
        <w:rPr>
          <w:color w:val="231F20"/>
        </w:rPr>
        <w:t>and</w:t>
      </w:r>
      <w:r>
        <w:rPr>
          <w:color w:val="231F20"/>
          <w:spacing w:val="30"/>
          <w:w w:val="99"/>
        </w:rPr>
        <w:t> </w:t>
      </w:r>
      <w:r>
        <w:rPr>
          <w:color w:val="231F20"/>
        </w:rPr>
        <w:t>very</w:t>
      </w:r>
      <w:r>
        <w:rPr>
          <w:color w:val="231F20"/>
          <w:spacing w:val="-4"/>
        </w:rPr>
        <w:t> </w:t>
      </w:r>
      <w:r>
        <w:rPr>
          <w:color w:val="231F20"/>
        </w:rPr>
        <w:t>remote</w:t>
      </w:r>
      <w:r>
        <w:rPr>
          <w:color w:val="231F20"/>
          <w:spacing w:val="-5"/>
        </w:rPr>
        <w:t> </w:t>
      </w:r>
      <w:r>
        <w:rPr>
          <w:color w:val="231F20"/>
        </w:rPr>
        <w:t>areas,</w:t>
      </w:r>
      <w:r>
        <w:rPr>
          <w:color w:val="231F20"/>
          <w:spacing w:val="-5"/>
        </w:rPr>
        <w:t> </w:t>
      </w:r>
      <w:r>
        <w:rPr>
          <w:color w:val="231F20"/>
        </w:rPr>
        <w:t>as</w:t>
      </w:r>
      <w:r>
        <w:rPr>
          <w:color w:val="231F20"/>
          <w:spacing w:val="-5"/>
        </w:rPr>
        <w:t> </w:t>
      </w:r>
      <w:r>
        <w:rPr>
          <w:color w:val="231F20"/>
          <w:spacing w:val="-1"/>
        </w:rPr>
        <w:t>shown</w:t>
      </w:r>
      <w:r>
        <w:rPr>
          <w:color w:val="231F20"/>
          <w:spacing w:val="-4"/>
        </w:rPr>
        <w:t> </w:t>
      </w:r>
      <w:r>
        <w:rPr>
          <w:color w:val="231F20"/>
          <w:spacing w:val="-1"/>
        </w:rPr>
        <w:t>in</w:t>
      </w:r>
      <w:r>
        <w:rPr>
          <w:color w:val="231F20"/>
          <w:spacing w:val="-4"/>
        </w:rPr>
        <w:t> </w:t>
      </w:r>
      <w:r>
        <w:rPr>
          <w:color w:val="231F20"/>
        </w:rPr>
        <w:t>the</w:t>
      </w:r>
      <w:r>
        <w:rPr>
          <w:color w:val="231F20"/>
          <w:spacing w:val="-5"/>
        </w:rPr>
        <w:t> </w:t>
      </w:r>
      <w:r>
        <w:rPr>
          <w:color w:val="231F20"/>
        </w:rPr>
        <w:t>graph</w:t>
      </w:r>
      <w:r>
        <w:rPr>
          <w:color w:val="231F20"/>
          <w:spacing w:val="-5"/>
        </w:rPr>
        <w:t> </w:t>
      </w:r>
      <w:r>
        <w:rPr>
          <w:color w:val="231F20"/>
        </w:rPr>
        <w:t>25.</w:t>
      </w:r>
      <w:r>
        <w:rPr/>
      </w:r>
    </w:p>
    <w:p>
      <w:pPr>
        <w:spacing w:after="0" w:line="250" w:lineRule="exact"/>
        <w:jc w:val="both"/>
        <w:sectPr>
          <w:type w:val="continuous"/>
          <w:pgSz w:w="11910" w:h="16840"/>
          <w:pgMar w:top="1580" w:bottom="280" w:left="1600" w:right="0"/>
          <w:cols w:num="2" w:equalWidth="0">
            <w:col w:w="4284" w:space="252"/>
            <w:col w:w="5774"/>
          </w:cols>
        </w:sect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5"/>
        <w:rPr>
          <w:rFonts w:ascii="Segoe UI" w:hAnsi="Segoe UI" w:cs="Segoe UI" w:eastAsia="Segoe UI"/>
          <w:sz w:val="10"/>
          <w:szCs w:val="10"/>
        </w:rPr>
      </w:pPr>
    </w:p>
    <w:p>
      <w:pPr>
        <w:spacing w:line="200" w:lineRule="atLeast"/>
        <w:ind w:left="117" w:right="0" w:firstLine="0"/>
        <w:rPr>
          <w:rFonts w:ascii="Segoe UI" w:hAnsi="Segoe UI" w:cs="Segoe UI" w:eastAsia="Segoe UI"/>
          <w:sz w:val="20"/>
          <w:szCs w:val="20"/>
        </w:rPr>
      </w:pPr>
      <w:r>
        <w:rPr>
          <w:rFonts w:ascii="Segoe UI" w:hAnsi="Segoe UI" w:cs="Segoe UI" w:eastAsia="Segoe UI"/>
          <w:sz w:val="20"/>
          <w:szCs w:val="20"/>
        </w:rPr>
        <w:pict>
          <v:group style="width:439.4pt;height:247.3pt;mso-position-horizontal-relative:char;mso-position-vertical-relative:line" coordorigin="0,0" coordsize="8788,4946">
            <v:group style="position:absolute;left:100;top:100;width:8588;height:4746" coordorigin="100,100" coordsize="8588,4746">
              <v:shape style="position:absolute;left:100;top:100;width:8588;height:4746" coordorigin="100,100" coordsize="8588,4746" path="m100,4846l8687,4846,8687,100,100,100,100,4846xe" filled="false" stroked="true" strokeweight="10pt" strokecolor="#c1b5a9">
                <v:path arrowok="t"/>
              </v:shape>
              <v:shape style="position:absolute;left:501;top:1020;width:7785;height:3201" type="#_x0000_t75" stroked="false">
                <v:imagedata r:id="rId84" o:title=""/>
              </v:shape>
              <v:shape style="position:absolute;left:286;top:298;width:6148;height:160" type="#_x0000_t202" filled="false" stroked="false">
                <v:textbox inset="0,0,0,0">
                  <w:txbxContent>
                    <w:p>
                      <w:pPr>
                        <w:spacing w:line="160" w:lineRule="exact" w:before="0"/>
                        <w:ind w:left="0" w:right="0" w:firstLine="0"/>
                        <w:jc w:val="left"/>
                        <w:rPr>
                          <w:rFonts w:ascii="Segoe UI Semibold" w:hAnsi="Segoe UI Semibold" w:cs="Segoe UI Semibold" w:eastAsia="Segoe UI Semibold"/>
                          <w:sz w:val="9"/>
                          <w:szCs w:val="9"/>
                        </w:rPr>
                      </w:pPr>
                      <w:r>
                        <w:rPr>
                          <w:rFonts w:ascii="Segoe UI Semibold"/>
                          <w:b/>
                          <w:color w:val="666155"/>
                          <w:spacing w:val="4"/>
                          <w:sz w:val="16"/>
                        </w:rPr>
                        <w:t>GRAPH</w:t>
                      </w:r>
                      <w:r>
                        <w:rPr>
                          <w:rFonts w:ascii="Segoe UI Semibold"/>
                          <w:b/>
                          <w:color w:val="666155"/>
                          <w:spacing w:val="-2"/>
                          <w:sz w:val="16"/>
                        </w:rPr>
                        <w:t> </w:t>
                      </w:r>
                      <w:r>
                        <w:rPr>
                          <w:rFonts w:ascii="Segoe UI Semibold"/>
                          <w:b/>
                          <w:color w:val="666155"/>
                          <w:sz w:val="16"/>
                        </w:rPr>
                        <w:t>25:</w:t>
                      </w:r>
                      <w:r>
                        <w:rPr>
                          <w:rFonts w:ascii="Segoe UI Semibold"/>
                          <w:b/>
                          <w:color w:val="666155"/>
                          <w:spacing w:val="-1"/>
                          <w:sz w:val="16"/>
                        </w:rPr>
                        <w:t> </w:t>
                      </w:r>
                      <w:r>
                        <w:rPr>
                          <w:rFonts w:ascii="Segoe UI Semibold"/>
                          <w:b/>
                          <w:color w:val="666155"/>
                          <w:spacing w:val="4"/>
                          <w:sz w:val="16"/>
                        </w:rPr>
                        <w:t>STUDENT</w:t>
                      </w:r>
                      <w:r>
                        <w:rPr>
                          <w:rFonts w:ascii="Segoe UI Semibold"/>
                          <w:b/>
                          <w:color w:val="666155"/>
                          <w:spacing w:val="1"/>
                          <w:sz w:val="16"/>
                        </w:rPr>
                        <w:t> </w:t>
                      </w:r>
                      <w:r>
                        <w:rPr>
                          <w:rFonts w:ascii="Segoe UI Semibold"/>
                          <w:b/>
                          <w:color w:val="666155"/>
                          <w:spacing w:val="3"/>
                          <w:sz w:val="16"/>
                        </w:rPr>
                        <w:t>ATTENDANCE</w:t>
                      </w:r>
                      <w:r>
                        <w:rPr>
                          <w:rFonts w:ascii="Segoe UI Semibold"/>
                          <w:b/>
                          <w:color w:val="666155"/>
                          <w:spacing w:val="2"/>
                          <w:sz w:val="16"/>
                        </w:rPr>
                        <w:t> </w:t>
                      </w:r>
                      <w:r>
                        <w:rPr>
                          <w:rFonts w:ascii="Segoe UI Semibold"/>
                          <w:b/>
                          <w:color w:val="666155"/>
                          <w:spacing w:val="1"/>
                          <w:sz w:val="16"/>
                        </w:rPr>
                        <w:t>RATES,</w:t>
                      </w:r>
                      <w:r>
                        <w:rPr>
                          <w:rFonts w:ascii="Segoe UI Semibold"/>
                          <w:b/>
                          <w:color w:val="666155"/>
                          <w:spacing w:val="-2"/>
                          <w:sz w:val="16"/>
                        </w:rPr>
                        <w:t> </w:t>
                      </w:r>
                      <w:r>
                        <w:rPr>
                          <w:rFonts w:ascii="Segoe UI Semibold"/>
                          <w:b/>
                          <w:color w:val="666155"/>
                          <w:sz w:val="16"/>
                        </w:rPr>
                        <w:t>BY</w:t>
                      </w:r>
                      <w:r>
                        <w:rPr>
                          <w:rFonts w:ascii="Segoe UI Semibold"/>
                          <w:b/>
                          <w:color w:val="666155"/>
                          <w:spacing w:val="2"/>
                          <w:sz w:val="16"/>
                        </w:rPr>
                        <w:t> </w:t>
                      </w:r>
                      <w:r>
                        <w:rPr>
                          <w:rFonts w:ascii="Segoe UI Semibold"/>
                          <w:b/>
                          <w:color w:val="666155"/>
                          <w:spacing w:val="3"/>
                          <w:sz w:val="16"/>
                        </w:rPr>
                        <w:t>REMOTENESS,</w:t>
                      </w:r>
                      <w:r>
                        <w:rPr>
                          <w:rFonts w:ascii="Segoe UI Semibold"/>
                          <w:b/>
                          <w:color w:val="666155"/>
                          <w:spacing w:val="-2"/>
                          <w:sz w:val="16"/>
                        </w:rPr>
                        <w:t> </w:t>
                      </w:r>
                      <w:r>
                        <w:rPr>
                          <w:rFonts w:ascii="Segoe UI Semibold"/>
                          <w:b/>
                          <w:color w:val="666155"/>
                          <w:spacing w:val="4"/>
                          <w:sz w:val="16"/>
                        </w:rPr>
                        <w:t>SEMESTER</w:t>
                      </w:r>
                      <w:r>
                        <w:rPr>
                          <w:rFonts w:ascii="Segoe UI Semibold"/>
                          <w:b/>
                          <w:color w:val="666155"/>
                          <w:spacing w:val="-1"/>
                          <w:sz w:val="16"/>
                        </w:rPr>
                        <w:t> </w:t>
                      </w:r>
                      <w:r>
                        <w:rPr>
                          <w:rFonts w:ascii="Segoe UI Semibold"/>
                          <w:b/>
                          <w:color w:val="666155"/>
                          <w:sz w:val="16"/>
                        </w:rPr>
                        <w:t>1,</w:t>
                      </w:r>
                      <w:r>
                        <w:rPr>
                          <w:rFonts w:ascii="Segoe UI Semibold"/>
                          <w:b/>
                          <w:color w:val="666155"/>
                          <w:spacing w:val="-4"/>
                          <w:sz w:val="16"/>
                        </w:rPr>
                        <w:t> </w:t>
                      </w:r>
                      <w:r>
                        <w:rPr>
                          <w:rFonts w:ascii="Segoe UI Semibold"/>
                          <w:b/>
                          <w:color w:val="666155"/>
                          <w:spacing w:val="-1"/>
                          <w:sz w:val="16"/>
                        </w:rPr>
                        <w:t>2017</w:t>
                      </w:r>
                      <w:r>
                        <w:rPr>
                          <w:rFonts w:ascii="Segoe UI Semibold"/>
                          <w:b/>
                          <w:color w:val="666155"/>
                          <w:spacing w:val="-1"/>
                          <w:position w:val="5"/>
                          <w:sz w:val="9"/>
                        </w:rPr>
                        <w:t>166</w:t>
                      </w:r>
                      <w:r>
                        <w:rPr>
                          <w:rFonts w:ascii="Segoe UI Semibold"/>
                          <w:sz w:val="9"/>
                        </w:rPr>
                      </w:r>
                    </w:p>
                  </w:txbxContent>
                </v:textbox>
                <w10:wrap type="none"/>
              </v:shape>
            </v:group>
          </v:group>
        </w:pict>
      </w:r>
      <w:r>
        <w:rPr>
          <w:rFonts w:ascii="Segoe UI" w:hAnsi="Segoe UI" w:cs="Segoe UI" w:eastAsia="Segoe UI"/>
          <w:sz w:val="20"/>
          <w:szCs w:val="20"/>
        </w:rPr>
      </w:r>
    </w:p>
    <w:p>
      <w:pPr>
        <w:spacing w:line="240" w:lineRule="auto" w:before="2"/>
        <w:rPr>
          <w:rFonts w:ascii="Segoe UI" w:hAnsi="Segoe UI" w:cs="Segoe UI" w:eastAsia="Segoe UI"/>
          <w:sz w:val="18"/>
          <w:szCs w:val="18"/>
        </w:rPr>
      </w:pPr>
    </w:p>
    <w:p>
      <w:pPr>
        <w:spacing w:line="200" w:lineRule="atLeast"/>
        <w:ind w:left="117" w:right="0" w:firstLine="0"/>
        <w:rPr>
          <w:rFonts w:ascii="Segoe UI" w:hAnsi="Segoe UI" w:cs="Segoe UI" w:eastAsia="Segoe UI"/>
          <w:sz w:val="20"/>
          <w:szCs w:val="20"/>
        </w:rPr>
      </w:pPr>
      <w:r>
        <w:rPr>
          <w:rFonts w:ascii="Segoe UI" w:hAnsi="Segoe UI" w:cs="Segoe UI" w:eastAsia="Segoe UI"/>
          <w:sz w:val="20"/>
          <w:szCs w:val="20"/>
        </w:rPr>
        <w:pict>
          <v:group style="width:439.4pt;height:247.3pt;mso-position-horizontal-relative:char;mso-position-vertical-relative:line" coordorigin="0,0" coordsize="8788,4946">
            <v:group style="position:absolute;left:7151;top:3532;width:681;height:2" coordorigin="7151,3532" coordsize="681,2">
              <v:shape style="position:absolute;left:7151;top:3532;width:681;height:2" coordorigin="7151,3532" coordsize="681,0" path="m7151,3532l7832,3532e" filled="false" stroked="true" strokeweight=".691pt" strokecolor="#dcddde">
                <v:path arrowok="t"/>
              </v:shape>
            </v:group>
            <v:group style="position:absolute;left:5867;top:3532;width:998;height:2" coordorigin="5867,3532" coordsize="998,2">
              <v:shape style="position:absolute;left:5867;top:3532;width:998;height:2" coordorigin="5867,3532" coordsize="998,0" path="m5867,3532l6864,3532e" filled="false" stroked="true" strokeweight=".691pt" strokecolor="#dcddde">
                <v:path arrowok="t"/>
              </v:shape>
            </v:group>
            <v:group style="position:absolute;left:7151;top:3156;width:681;height:2" coordorigin="7151,3156" coordsize="681,2">
              <v:shape style="position:absolute;left:7151;top:3156;width:681;height:2" coordorigin="7151,3156" coordsize="681,0" path="m7151,3156l7832,3156e" filled="false" stroked="true" strokeweight=".691pt" strokecolor="#dcddde">
                <v:path arrowok="t"/>
              </v:shape>
            </v:group>
            <v:group style="position:absolute;left:4949;top:3156;width:1915;height:2" coordorigin="4949,3156" coordsize="1915,2">
              <v:shape style="position:absolute;left:4949;top:3156;width:1915;height:2" coordorigin="4949,3156" coordsize="1915,0" path="m4949,3156l6864,3156e" filled="false" stroked="true" strokeweight=".691pt" strokecolor="#dcddde">
                <v:path arrowok="t"/>
              </v:shape>
            </v:group>
            <v:group style="position:absolute;left:7151;top:2783;width:681;height:2" coordorigin="7151,2783" coordsize="681,2">
              <v:shape style="position:absolute;left:7151;top:2783;width:681;height:2" coordorigin="7151,2783" coordsize="681,0" path="m7151,2783l7832,2783e" filled="false" stroked="true" strokeweight=".691pt" strokecolor="#dcddde">
                <v:path arrowok="t"/>
              </v:shape>
            </v:group>
            <v:group style="position:absolute;left:4949;top:2783;width:1915;height:2" coordorigin="4949,2783" coordsize="1915,2">
              <v:shape style="position:absolute;left:4949;top:2783;width:1915;height:2" coordorigin="4949,2783" coordsize="1915,0" path="m4949,2783l6864,2783e" filled="false" stroked="true" strokeweight=".691pt" strokecolor="#dcddde">
                <v:path arrowok="t"/>
              </v:shape>
            </v:group>
            <v:group style="position:absolute;left:7151;top:2407;width:681;height:2" coordorigin="7151,2407" coordsize="681,2">
              <v:shape style="position:absolute;left:7151;top:2407;width:681;height:2" coordorigin="7151,2407" coordsize="681,0" path="m7151,2407l7832,2407e" filled="false" stroked="true" strokeweight=".691pt" strokecolor="#dcddde">
                <v:path arrowok="t"/>
              </v:shape>
            </v:group>
            <v:group style="position:absolute;left:4949;top:2407;width:1915;height:2" coordorigin="4949,2407" coordsize="1915,2">
              <v:shape style="position:absolute;left:4949;top:2407;width:1915;height:2" coordorigin="4949,2407" coordsize="1915,0" path="m4949,2407l6864,2407e" filled="false" stroked="true" strokeweight=".691pt" strokecolor="#dcddde">
                <v:path arrowok="t"/>
              </v:shape>
            </v:group>
            <v:group style="position:absolute;left:6864;top:2115;width:288;height:1792" coordorigin="6864,2115" coordsize="288,1792">
              <v:shape style="position:absolute;left:6864;top:2115;width:288;height:1792" coordorigin="6864,2115" coordsize="288,1792" path="m7151,2115l6864,2115,6864,3907,7151,3907,7151,2115xe" filled="true" fillcolor="#715990" stroked="false">
                <v:path arrowok="t"/>
                <v:fill type="solid"/>
              </v:shape>
            </v:group>
            <v:group style="position:absolute;left:4949;top:3532;width:631;height:2" coordorigin="4949,3532" coordsize="631,2">
              <v:shape style="position:absolute;left:4949;top:3532;width:631;height:2" coordorigin="4949,3532" coordsize="631,0" path="m4949,3532l5579,3532e" filled="false" stroked="true" strokeweight=".691pt" strokecolor="#dcddde">
                <v:path arrowok="t"/>
              </v:shape>
            </v:group>
            <v:group style="position:absolute;left:5579;top:3338;width:288;height:569" coordorigin="5579,3338" coordsize="288,569">
              <v:shape style="position:absolute;left:5579;top:3338;width:288;height:569" coordorigin="5579,3338" coordsize="288,569" path="m5867,3338l5579,3338,5579,3907,5867,3907,5867,3338xe" filled="true" fillcolor="#715990" stroked="false">
                <v:path arrowok="t"/>
                <v:fill type="solid"/>
              </v:shape>
            </v:group>
            <v:group style="position:absolute;left:4582;top:3532;width:78;height:2" coordorigin="4582,3532" coordsize="78,2">
              <v:shape style="position:absolute;left:4582;top:3532;width:78;height:2" coordorigin="4582,3532" coordsize="78,0" path="m4582,3532l4659,3532e" filled="false" stroked="true" strokeweight=".691pt" strokecolor="#dcddde">
                <v:path arrowok="t"/>
              </v:shape>
            </v:group>
            <v:group style="position:absolute;left:3664;top:3532;width:631;height:2" coordorigin="3664,3532" coordsize="631,2">
              <v:shape style="position:absolute;left:3664;top:3532;width:631;height:2" coordorigin="3664,3532" coordsize="631,0" path="m3664,3532l4294,3532e" filled="false" stroked="true" strokeweight=".691pt" strokecolor="#dcddde">
                <v:path arrowok="t"/>
              </v:shape>
            </v:group>
            <v:group style="position:absolute;left:4582;top:3156;width:78;height:2" coordorigin="4582,3156" coordsize="78,2">
              <v:shape style="position:absolute;left:4582;top:3156;width:78;height:2" coordorigin="4582,3156" coordsize="78,0" path="m4582,3156l4659,3156e" filled="false" stroked="true" strokeweight=".691pt" strokecolor="#dcddde">
                <v:path arrowok="t"/>
              </v:shape>
            </v:group>
            <v:group style="position:absolute;left:3664;top:3156;width:631;height:2" coordorigin="3664,3156" coordsize="631,2">
              <v:shape style="position:absolute;left:3664;top:3156;width:631;height:2" coordorigin="3664,3156" coordsize="631,0" path="m3664,3156l4294,3156e" filled="false" stroked="true" strokeweight=".691pt" strokecolor="#dcddde">
                <v:path arrowok="t"/>
              </v:shape>
            </v:group>
            <v:group style="position:absolute;left:4582;top:2783;width:78;height:2" coordorigin="4582,2783" coordsize="78,2">
              <v:shape style="position:absolute;left:4582;top:2783;width:78;height:2" coordorigin="4582,2783" coordsize="78,0" path="m4582,2783l4659,2783e" filled="false" stroked="true" strokeweight=".691pt" strokecolor="#dcddde">
                <v:path arrowok="t"/>
              </v:shape>
            </v:group>
            <v:group style="position:absolute;left:3664;top:2783;width:631;height:2" coordorigin="3664,2783" coordsize="631,2">
              <v:shape style="position:absolute;left:3664;top:2783;width:631;height:2" coordorigin="3664,2783" coordsize="631,0" path="m3664,2783l4294,2783e" filled="false" stroked="true" strokeweight=".691pt" strokecolor="#dcddde">
                <v:path arrowok="t"/>
              </v:shape>
            </v:group>
            <v:group style="position:absolute;left:4582;top:2407;width:78;height:2" coordorigin="4582,2407" coordsize="78,2">
              <v:shape style="position:absolute;left:4582;top:2407;width:78;height:2" coordorigin="4582,2407" coordsize="78,0" path="m4582,2407l4659,2407e" filled="false" stroked="true" strokeweight=".691pt" strokecolor="#dcddde">
                <v:path arrowok="t"/>
              </v:shape>
            </v:group>
            <v:group style="position:absolute;left:3664;top:2407;width:631;height:2" coordorigin="3664,2407" coordsize="631,2">
              <v:shape style="position:absolute;left:3664;top:2407;width:631;height:2" coordorigin="3664,2407" coordsize="631,0" path="m3664,2407l4294,2407e" filled="false" stroked="true" strokeweight=".691pt" strokecolor="#dcddde">
                <v:path arrowok="t"/>
              </v:shape>
            </v:group>
            <v:group style="position:absolute;left:3664;top:2031;width:996;height:2" coordorigin="3664,2031" coordsize="996,2">
              <v:shape style="position:absolute;left:3664;top:2031;width:996;height:2" coordorigin="3664,2031" coordsize="996,0" path="m3664,2031l4659,2031e" filled="false" stroked="true" strokeweight=".691pt" strokecolor="#dcddde">
                <v:path arrowok="t"/>
              </v:shape>
            </v:group>
            <v:group style="position:absolute;left:4294;top:2066;width:288;height:1841" coordorigin="4294,2066" coordsize="288,1841">
              <v:shape style="position:absolute;left:4294;top:2066;width:288;height:1841" coordorigin="4294,2066" coordsize="288,1841" path="m4582,2066l4294,2066,4294,3907,4582,3907,4582,2066xe" filled="true" fillcolor="#715990" stroked="false">
                <v:path arrowok="t"/>
                <v:fill type="solid"/>
              </v:shape>
            </v:group>
            <v:group style="position:absolute;left:4949;top:2031;width:2884;height:2" coordorigin="4949,2031" coordsize="2884,2">
              <v:shape style="position:absolute;left:4949;top:2031;width:2884;height:2" coordorigin="4949,2031" coordsize="2884,0" path="m4949,2031l7832,2031e" filled="false" stroked="true" strokeweight=".691pt" strokecolor="#dcddde">
                <v:path arrowok="t"/>
              </v:shape>
            </v:group>
            <v:group style="position:absolute;left:4949;top:1657;width:2884;height:2" coordorigin="4949,1657" coordsize="2884,2">
              <v:shape style="position:absolute;left:4949;top:1657;width:2884;height:2" coordorigin="4949,1657" coordsize="2884,0" path="m4949,1657l7832,1657e" filled="false" stroked="true" strokeweight=".691pt" strokecolor="#dcddde">
                <v:path arrowok="t"/>
              </v:shape>
            </v:group>
            <v:group style="position:absolute;left:3664;top:1657;width:996;height:2" coordorigin="3664,1657" coordsize="996,2">
              <v:shape style="position:absolute;left:3664;top:1657;width:996;height:2" coordorigin="3664,1657" coordsize="996,0" path="m3664,1657l4659,1657e" filled="false" stroked="true" strokeweight=".691pt" strokecolor="#dcddde">
                <v:path arrowok="t"/>
              </v:shape>
            </v:group>
            <v:group style="position:absolute;left:4659;top:1368;width:290;height:2539" coordorigin="4659,1368" coordsize="290,2539">
              <v:shape style="position:absolute;left:4659;top:1368;width:290;height:2539" coordorigin="4659,1368" coordsize="290,2539" path="m4949,1368l4659,1368,4659,3906,4949,3906,4949,1368xe" filled="true" fillcolor="#a99bbc" stroked="false">
                <v:path arrowok="t"/>
                <v:fill type="solid"/>
              </v:shape>
            </v:group>
            <v:group style="position:absolute;left:3297;top:3532;width:80;height:2" coordorigin="3297,3532" coordsize="80,2">
              <v:shape style="position:absolute;left:3297;top:3532;width:80;height:2" coordorigin="3297,3532" coordsize="80,0" path="m3297,3532l3377,3532e" filled="false" stroked="true" strokeweight=".691pt" strokecolor="#dcddde">
                <v:path arrowok="t"/>
              </v:shape>
            </v:group>
            <v:group style="position:absolute;left:2379;top:3532;width:631;height:2" coordorigin="2379,3532" coordsize="631,2">
              <v:shape style="position:absolute;left:2379;top:3532;width:631;height:2" coordorigin="2379,3532" coordsize="631,0" path="m2379,3532l3010,3532e" filled="false" stroked="true" strokeweight=".691pt" strokecolor="#dcddde">
                <v:path arrowok="t"/>
              </v:shape>
            </v:group>
            <v:group style="position:absolute;left:3297;top:3156;width:80;height:2" coordorigin="3297,3156" coordsize="80,2">
              <v:shape style="position:absolute;left:3297;top:3156;width:80;height:2" coordorigin="3297,3156" coordsize="80,0" path="m3297,3156l3377,3156e" filled="false" stroked="true" strokeweight=".691pt" strokecolor="#dcddde">
                <v:path arrowok="t"/>
              </v:shape>
            </v:group>
            <v:group style="position:absolute;left:2379;top:3156;width:631;height:2" coordorigin="2379,3156" coordsize="631,2">
              <v:shape style="position:absolute;left:2379;top:3156;width:631;height:2" coordorigin="2379,3156" coordsize="631,0" path="m2379,3156l3010,3156e" filled="false" stroked="true" strokeweight=".691pt" strokecolor="#dcddde">
                <v:path arrowok="t"/>
              </v:shape>
            </v:group>
            <v:group style="position:absolute;left:3297;top:2783;width:80;height:2" coordorigin="3297,2783" coordsize="80,2">
              <v:shape style="position:absolute;left:3297;top:2783;width:80;height:2" coordorigin="3297,2783" coordsize="80,0" path="m3297,2783l3377,2783e" filled="false" stroked="true" strokeweight=".691pt" strokecolor="#dcddde">
                <v:path arrowok="t"/>
              </v:shape>
            </v:group>
            <v:group style="position:absolute;left:2379;top:2783;width:631;height:2" coordorigin="2379,2783" coordsize="631,2">
              <v:shape style="position:absolute;left:2379;top:2783;width:631;height:2" coordorigin="2379,2783" coordsize="631,0" path="m2379,2783l3010,2783e" filled="false" stroked="true" strokeweight=".691pt" strokecolor="#dcddde">
                <v:path arrowok="t"/>
              </v:shape>
            </v:group>
            <v:group style="position:absolute;left:3297;top:2407;width:80;height:2" coordorigin="3297,2407" coordsize="80,2">
              <v:shape style="position:absolute;left:3297;top:2407;width:80;height:2" coordorigin="3297,2407" coordsize="80,0" path="m3297,2407l3377,2407e" filled="false" stroked="true" strokeweight=".691pt" strokecolor="#dcddde">
                <v:path arrowok="t"/>
              </v:shape>
            </v:group>
            <v:group style="position:absolute;left:2379;top:2407;width:631;height:2" coordorigin="2379,2407" coordsize="631,2">
              <v:shape style="position:absolute;left:2379;top:2407;width:631;height:2" coordorigin="2379,2407" coordsize="631,0" path="m2379,2407l3010,2407e" filled="false" stroked="true" strokeweight=".691pt" strokecolor="#dcddde">
                <v:path arrowok="t"/>
              </v:shape>
            </v:group>
            <v:group style="position:absolute;left:3297;top:2031;width:80;height:2" coordorigin="3297,2031" coordsize="80,2">
              <v:shape style="position:absolute;left:3297;top:2031;width:80;height:2" coordorigin="3297,2031" coordsize="80,0" path="m3297,2031l3377,2031e" filled="false" stroked="true" strokeweight=".691pt" strokecolor="#dcddde">
                <v:path arrowok="t"/>
              </v:shape>
            </v:group>
            <v:group style="position:absolute;left:2379;top:2031;width:631;height:2" coordorigin="2379,2031" coordsize="631,2">
              <v:shape style="position:absolute;left:2379;top:2031;width:631;height:2" coordorigin="2379,2031" coordsize="631,0" path="m2379,2031l3010,2031e" filled="false" stroked="true" strokeweight=".691pt" strokecolor="#dcddde">
                <v:path arrowok="t"/>
              </v:shape>
            </v:group>
            <v:group style="position:absolute;left:3010;top:1770;width:288;height:2137" coordorigin="3010,1770" coordsize="288,2137">
              <v:shape style="position:absolute;left:3010;top:1770;width:288;height:2137" coordorigin="3010,1770" coordsize="288,2137" path="m3297,1770l3010,1770,3010,3907,3297,3907,3297,1770xe" filled="true" fillcolor="#715990" stroked="false">
                <v:path arrowok="t"/>
                <v:fill type="solid"/>
              </v:shape>
            </v:group>
            <v:group style="position:absolute;left:2379;top:1657;width:998;height:2" coordorigin="2379,1657" coordsize="998,2">
              <v:shape style="position:absolute;left:2379;top:1657;width:998;height:2" coordorigin="2379,1657" coordsize="998,0" path="m2379,1657l3377,1657e" filled="false" stroked="true" strokeweight=".691pt" strokecolor="#dcddde">
                <v:path arrowok="t"/>
              </v:shape>
            </v:group>
            <v:group style="position:absolute;left:3377;top:1414;width:288;height:2493" coordorigin="3377,1414" coordsize="288,2493">
              <v:shape style="position:absolute;left:3377;top:1414;width:288;height:2493" coordorigin="3377,1414" coordsize="288,2493" path="m3664,1414l3377,1414,3377,3906,3664,3906,3664,1414xe" filled="true" fillcolor="#a99bbc" stroked="false">
                <v:path arrowok="t"/>
                <v:fill type="solid"/>
              </v:shape>
            </v:group>
            <v:group style="position:absolute;left:2015;top:3532;width:78;height:2" coordorigin="2015,3532" coordsize="78,2">
              <v:shape style="position:absolute;left:2015;top:3532;width:78;height:2" coordorigin="2015,3532" coordsize="78,0" path="m2015,3532l2092,3532e" filled="false" stroked="true" strokeweight=".691pt" strokecolor="#dcddde">
                <v:path arrowok="t"/>
              </v:shape>
            </v:group>
            <v:group style="position:absolute;left:1410;top:3532;width:315;height:2" coordorigin="1410,3532" coordsize="315,2">
              <v:shape style="position:absolute;left:1410;top:3532;width:315;height:2" coordorigin="1410,3532" coordsize="315,0" path="m1410,3532l1725,3532e" filled="false" stroked="true" strokeweight=".691pt" strokecolor="#dcddde">
                <v:path arrowok="t"/>
              </v:shape>
            </v:group>
            <v:group style="position:absolute;left:2015;top:3156;width:78;height:2" coordorigin="2015,3156" coordsize="78,2">
              <v:shape style="position:absolute;left:2015;top:3156;width:78;height:2" coordorigin="2015,3156" coordsize="78,0" path="m2015,3156l2092,3156e" filled="false" stroked="true" strokeweight=".691pt" strokecolor="#dcddde">
                <v:path arrowok="t"/>
              </v:shape>
            </v:group>
            <v:group style="position:absolute;left:1410;top:3156;width:315;height:2" coordorigin="1410,3156" coordsize="315,2">
              <v:shape style="position:absolute;left:1410;top:3156;width:315;height:2" coordorigin="1410,3156" coordsize="315,0" path="m1410,3156l1725,3156e" filled="false" stroked="true" strokeweight=".691pt" strokecolor="#dcddde">
                <v:path arrowok="t"/>
              </v:shape>
            </v:group>
            <v:group style="position:absolute;left:2015;top:2783;width:78;height:2" coordorigin="2015,2783" coordsize="78,2">
              <v:shape style="position:absolute;left:2015;top:2783;width:78;height:2" coordorigin="2015,2783" coordsize="78,0" path="m2015,2783l2092,2783e" filled="false" stroked="true" strokeweight=".691pt" strokecolor="#dcddde">
                <v:path arrowok="t"/>
              </v:shape>
            </v:group>
            <v:group style="position:absolute;left:1410;top:2783;width:315;height:2" coordorigin="1410,2783" coordsize="315,2">
              <v:shape style="position:absolute;left:1410;top:2783;width:315;height:2" coordorigin="1410,2783" coordsize="315,0" path="m1410,2783l1725,2783e" filled="false" stroked="true" strokeweight=".691pt" strokecolor="#dcddde">
                <v:path arrowok="t"/>
              </v:shape>
            </v:group>
            <v:group style="position:absolute;left:2015;top:2407;width:78;height:2" coordorigin="2015,2407" coordsize="78,2">
              <v:shape style="position:absolute;left:2015;top:2407;width:78;height:2" coordorigin="2015,2407" coordsize="78,0" path="m2015,2407l2092,2407e" filled="false" stroked="true" strokeweight=".691pt" strokecolor="#dcddde">
                <v:path arrowok="t"/>
              </v:shape>
            </v:group>
            <v:group style="position:absolute;left:1410;top:2407;width:315;height:2" coordorigin="1410,2407" coordsize="315,2">
              <v:shape style="position:absolute;left:1410;top:2407;width:315;height:2" coordorigin="1410,2407" coordsize="315,0" path="m1410,2407l1725,2407e" filled="false" stroked="true" strokeweight=".691pt" strokecolor="#dcddde">
                <v:path arrowok="t"/>
              </v:shape>
            </v:group>
            <v:group style="position:absolute;left:1725;top:2113;width:290;height:1794" coordorigin="1725,2113" coordsize="290,1794">
              <v:shape style="position:absolute;left:1725;top:2113;width:290;height:1794" coordorigin="1725,2113" coordsize="290,1794" path="m2015,2113l1725,2113,1725,3907,2015,3907,2015,2113xe" filled="true" fillcolor="#715990" stroked="false">
                <v:path arrowok="t"/>
                <v:fill type="solid"/>
              </v:shape>
            </v:group>
            <v:group style="position:absolute;left:1410;top:2031;width:682;height:2" coordorigin="1410,2031" coordsize="682,2">
              <v:shape style="position:absolute;left:1410;top:2031;width:682;height:2" coordorigin="1410,2031" coordsize="682,0" path="m1410,2031l2092,2031e" filled="false" stroked="true" strokeweight=".691pt" strokecolor="#dcddde">
                <v:path arrowok="t"/>
              </v:shape>
            </v:group>
            <v:group style="position:absolute;left:1410;top:1657;width:682;height:2" coordorigin="1410,1657" coordsize="682,2">
              <v:shape style="position:absolute;left:1410;top:1657;width:682;height:2" coordorigin="1410,1657" coordsize="682,0" path="m1410,1657l2092,1657e" filled="false" stroked="true" strokeweight=".691pt" strokecolor="#dcddde">
                <v:path arrowok="t"/>
              </v:shape>
            </v:group>
            <v:group style="position:absolute;left:2092;top:1425;width:288;height:2481" coordorigin="2092,1425" coordsize="288,2481">
              <v:shape style="position:absolute;left:2092;top:1425;width:288;height:2481" coordorigin="2092,1425" coordsize="288,2481" path="m2379,1425l2092,1425,2092,3906,2379,3906,2379,1425xe" filled="true" fillcolor="#a99bbc" stroked="false">
                <v:path arrowok="t"/>
                <v:fill type="solid"/>
              </v:shape>
            </v:group>
            <v:group style="position:absolute;left:7229;top:3913;width:288;height:2" coordorigin="7229,3913" coordsize="288,2">
              <v:shape style="position:absolute;left:7229;top:3913;width:288;height:2" coordorigin="7229,3913" coordsize="288,0" path="m7229,3913l7516,3913e" filled="false" stroked="true" strokeweight=".763pt" strokecolor="#a99bbc">
                <v:path arrowok="t"/>
              </v:shape>
            </v:group>
            <v:group style="position:absolute;left:5944;top:3913;width:290;height:2" coordorigin="5944,3913" coordsize="290,2">
              <v:shape style="position:absolute;left:5944;top:3913;width:290;height:2" coordorigin="5944,3913" coordsize="290,0" path="m5944,3913l6234,3913e" filled="false" stroked="true" strokeweight=".763pt" strokecolor="#a99bbc">
                <v:path arrowok="t"/>
              </v:shape>
            </v:group>
            <v:group style="position:absolute;left:1410;top:3907;width:6423;height:2" coordorigin="1410,3907" coordsize="6423,2">
              <v:shape style="position:absolute;left:1410;top:3907;width:6423;height:2" coordorigin="1410,3907" coordsize="6423,0" path="m1410,3907l7832,3907e" filled="false" stroked="true" strokeweight=".691pt" strokecolor="#dcddde">
                <v:path arrowok="t"/>
              </v:shape>
            </v:group>
            <v:group style="position:absolute;left:1410;top:1281;width:6423;height:2" coordorigin="1410,1281" coordsize="6423,2">
              <v:shape style="position:absolute;left:1410;top:1281;width:6423;height:2" coordorigin="1410,1281" coordsize="6423,0" path="m1410,1281l7832,1281e" filled="false" stroked="true" strokeweight=".691pt" strokecolor="#dcddde">
                <v:path arrowok="t"/>
              </v:shape>
            </v:group>
            <v:group style="position:absolute;left:1410;top:907;width:6423;height:2" coordorigin="1410,907" coordsize="6423,2">
              <v:shape style="position:absolute;left:1410;top:907;width:6423;height:2" coordorigin="1410,907" coordsize="6423,0" path="m1410,907l7832,907e" filled="false" stroked="true" strokeweight=".691pt" strokecolor="#dcddde">
                <v:path arrowok="t"/>
              </v:shape>
            </v:group>
            <v:group style="position:absolute;left:2879;top:4560;width:89;height:2" coordorigin="2879,4560" coordsize="89,2">
              <v:shape style="position:absolute;left:2879;top:4560;width:89;height:2" coordorigin="2879,4560" coordsize="89,0" path="m2879,4560l2968,4560e" filled="false" stroked="true" strokeweight="4.513pt" strokecolor="#715990">
                <v:path arrowok="t"/>
              </v:shape>
            </v:group>
            <v:group style="position:absolute;left:4500;top:4560;width:89;height:2" coordorigin="4500,4560" coordsize="89,2">
              <v:shape style="position:absolute;left:4500;top:4560;width:89;height:2" coordorigin="4500,4560" coordsize="89,0" path="m4500,4560l4588,4560e" filled="false" stroked="true" strokeweight="4.513pt" strokecolor="#a99bbc">
                <v:path arrowok="t"/>
              </v:shape>
            </v:group>
            <v:group style="position:absolute;left:100;top:100;width:8588;height:4746" coordorigin="100,100" coordsize="8588,4746">
              <v:shape style="position:absolute;left:100;top:100;width:8588;height:4746" coordorigin="100,100" coordsize="8588,4746" path="m100,4846l8687,4846,8687,100,100,100,100,4846xe" filled="false" stroked="true" strokeweight="10pt" strokecolor="#c1b5a9">
                <v:path arrowok="t"/>
              </v:shape>
              <v:shape style="position:absolute;left:0;top:0;width:8788;height:4946" type="#_x0000_t202" filled="false" stroked="false">
                <v:textbox inset="0,0,0,0">
                  <w:txbxContent>
                    <w:p>
                      <w:pPr>
                        <w:spacing w:line="240" w:lineRule="auto" w:before="2"/>
                        <w:rPr>
                          <w:rFonts w:ascii="Segoe UI" w:hAnsi="Segoe UI" w:cs="Segoe UI" w:eastAsia="Segoe UI"/>
                          <w:sz w:val="20"/>
                          <w:szCs w:val="20"/>
                        </w:rPr>
                      </w:pPr>
                    </w:p>
                    <w:p>
                      <w:pPr>
                        <w:spacing w:line="200" w:lineRule="exact" w:before="0"/>
                        <w:ind w:left="286" w:right="1140" w:firstLine="0"/>
                        <w:jc w:val="left"/>
                        <w:rPr>
                          <w:rFonts w:ascii="Segoe UI Semibold" w:hAnsi="Segoe UI Semibold" w:cs="Segoe UI Semibold" w:eastAsia="Segoe UI Semibold"/>
                          <w:sz w:val="16"/>
                          <w:szCs w:val="16"/>
                        </w:rPr>
                      </w:pPr>
                      <w:r>
                        <w:rPr>
                          <w:rFonts w:ascii="Segoe UI Semibold" w:hAnsi="Segoe UI Semibold" w:cs="Segoe UI Semibold" w:eastAsia="Segoe UI Semibold"/>
                          <w:b/>
                          <w:bCs/>
                          <w:color w:val="666155"/>
                          <w:spacing w:val="4"/>
                          <w:sz w:val="16"/>
                          <w:szCs w:val="16"/>
                        </w:rPr>
                        <w:t>GRAPH</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sz w:val="16"/>
                          <w:szCs w:val="16"/>
                        </w:rPr>
                        <w:t>26:</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2"/>
                          <w:sz w:val="16"/>
                          <w:szCs w:val="16"/>
                        </w:rPr>
                        <w:t>AVERAGE</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3"/>
                          <w:sz w:val="16"/>
                          <w:szCs w:val="16"/>
                        </w:rPr>
                        <w:t>ATTENDANCE</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AT</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4"/>
                          <w:sz w:val="16"/>
                          <w:szCs w:val="16"/>
                        </w:rPr>
                        <w:t>ABORIGINAL</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AND</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TORRES</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4"/>
                          <w:sz w:val="16"/>
                          <w:szCs w:val="16"/>
                        </w:rPr>
                        <w:t>STRAIT</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4"/>
                          <w:sz w:val="16"/>
                          <w:szCs w:val="16"/>
                        </w:rPr>
                        <w:t>ISLANDER</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BOARDING</w:t>
                      </w:r>
                      <w:r>
                        <w:rPr>
                          <w:rFonts w:ascii="Segoe UI Semibold" w:hAnsi="Segoe UI Semibold" w:cs="Segoe UI Semibold" w:eastAsia="Segoe UI Semibold"/>
                          <w:b/>
                          <w:bCs/>
                          <w:color w:val="666155"/>
                          <w:spacing w:val="67"/>
                          <w:w w:val="99"/>
                          <w:sz w:val="16"/>
                          <w:szCs w:val="16"/>
                        </w:rPr>
                        <w:t> </w:t>
                      </w:r>
                      <w:r>
                        <w:rPr>
                          <w:rFonts w:ascii="Segoe UI Semibold" w:hAnsi="Segoe UI Semibold" w:cs="Segoe UI Semibold" w:eastAsia="Segoe UI Semibold"/>
                          <w:b/>
                          <w:bCs/>
                          <w:color w:val="666155"/>
                          <w:spacing w:val="4"/>
                          <w:sz w:val="16"/>
                          <w:szCs w:val="16"/>
                        </w:rPr>
                        <w:t>PROVIDERS</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AND</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MAINSTREAM</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BOARDING</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PROVIDERS,</w:t>
                      </w:r>
                      <w:r>
                        <w:rPr>
                          <w:rFonts w:ascii="Segoe UI Semibold" w:hAnsi="Segoe UI Semibold" w:cs="Segoe UI Semibold" w:eastAsia="Segoe UI Semibold"/>
                          <w:b/>
                          <w:bCs/>
                          <w:color w:val="666155"/>
                          <w:spacing w:val="-4"/>
                          <w:sz w:val="16"/>
                          <w:szCs w:val="16"/>
                        </w:rPr>
                        <w:t> </w:t>
                      </w:r>
                      <w:r>
                        <w:rPr>
                          <w:rFonts w:ascii="Segoe UI Semibold" w:hAnsi="Segoe UI Semibold" w:cs="Segoe UI Semibold" w:eastAsia="Segoe UI Semibold"/>
                          <w:b/>
                          <w:bCs/>
                          <w:color w:val="666155"/>
                          <w:sz w:val="16"/>
                          <w:szCs w:val="16"/>
                        </w:rPr>
                        <w:t>2015</w:t>
                      </w:r>
                      <w:r>
                        <w:rPr>
                          <w:rFonts w:ascii="Segoe UI Semibold" w:hAnsi="Segoe UI Semibold" w:cs="Segoe UI Semibold" w:eastAsia="Segoe UI Semibold"/>
                          <w:b/>
                          <w:bCs/>
                          <w:color w:val="666155"/>
                          <w:spacing w:val="-4"/>
                          <w:sz w:val="16"/>
                          <w:szCs w:val="16"/>
                        </w:rPr>
                        <w:t> </w:t>
                      </w:r>
                      <w:r>
                        <w:rPr>
                          <w:rFonts w:ascii="Segoe UI Semibold" w:hAnsi="Segoe UI Semibold" w:cs="Segoe UI Semibold" w:eastAsia="Segoe UI Semibold"/>
                          <w:b/>
                          <w:bCs/>
                          <w:color w:val="666155"/>
                          <w:position w:val="1"/>
                          <w:sz w:val="16"/>
                          <w:szCs w:val="16"/>
                        </w:rPr>
                        <w:t>—</w:t>
                      </w:r>
                      <w:r>
                        <w:rPr>
                          <w:rFonts w:ascii="Segoe UI Semibold" w:hAnsi="Segoe UI Semibold" w:cs="Segoe UI Semibold" w:eastAsia="Segoe UI Semibold"/>
                          <w:b/>
                          <w:bCs/>
                          <w:color w:val="666155"/>
                          <w:spacing w:val="-3"/>
                          <w:position w:val="1"/>
                          <w:sz w:val="16"/>
                          <w:szCs w:val="16"/>
                        </w:rPr>
                        <w:t> </w:t>
                      </w:r>
                      <w:r>
                        <w:rPr>
                          <w:rFonts w:ascii="Segoe UI Semibold" w:hAnsi="Segoe UI Semibold" w:cs="Segoe UI Semibold" w:eastAsia="Segoe UI Semibold"/>
                          <w:b/>
                          <w:bCs/>
                          <w:color w:val="666155"/>
                          <w:spacing w:val="-1"/>
                          <w:sz w:val="16"/>
                          <w:szCs w:val="16"/>
                        </w:rPr>
                        <w:t>2017</w:t>
                      </w:r>
                      <w:r>
                        <w:rPr>
                          <w:rFonts w:ascii="Segoe UI Semibold" w:hAnsi="Segoe UI Semibold" w:cs="Segoe UI Semibold" w:eastAsia="Segoe UI Semibold"/>
                          <w:sz w:val="16"/>
                          <w:szCs w:val="16"/>
                        </w:rPr>
                      </w:r>
                    </w:p>
                    <w:p>
                      <w:pPr>
                        <w:spacing w:before="126"/>
                        <w:ind w:left="899" w:right="0" w:firstLine="0"/>
                        <w:jc w:val="left"/>
                        <w:rPr>
                          <w:rFonts w:ascii="Segoe UI" w:hAnsi="Segoe UI" w:cs="Segoe UI" w:eastAsia="Segoe UI"/>
                          <w:sz w:val="15"/>
                          <w:szCs w:val="15"/>
                        </w:rPr>
                      </w:pPr>
                      <w:r>
                        <w:rPr>
                          <w:rFonts w:ascii="Segoe UI"/>
                          <w:color w:val="77787B"/>
                          <w:spacing w:val="-1"/>
                          <w:sz w:val="15"/>
                        </w:rPr>
                        <w:t>100%</w:t>
                      </w:r>
                      <w:r>
                        <w:rPr>
                          <w:rFonts w:ascii="Segoe UI"/>
                          <w:sz w:val="15"/>
                        </w:rPr>
                      </w:r>
                    </w:p>
                    <w:p>
                      <w:pPr>
                        <w:spacing w:line="240" w:lineRule="auto" w:before="3"/>
                        <w:rPr>
                          <w:rFonts w:ascii="Segoe UI" w:hAnsi="Segoe UI" w:cs="Segoe UI" w:eastAsia="Segoe UI"/>
                          <w:sz w:val="13"/>
                          <w:szCs w:val="13"/>
                        </w:rPr>
                      </w:pPr>
                    </w:p>
                    <w:p>
                      <w:pPr>
                        <w:spacing w:before="0"/>
                        <w:ind w:left="979" w:right="0" w:firstLine="0"/>
                        <w:jc w:val="left"/>
                        <w:rPr>
                          <w:rFonts w:ascii="Segoe UI" w:hAnsi="Segoe UI" w:cs="Segoe UI" w:eastAsia="Segoe UI"/>
                          <w:sz w:val="15"/>
                          <w:szCs w:val="15"/>
                        </w:rPr>
                      </w:pPr>
                      <w:r>
                        <w:rPr>
                          <w:rFonts w:ascii="Segoe UI"/>
                          <w:color w:val="77787B"/>
                          <w:spacing w:val="-1"/>
                          <w:sz w:val="15"/>
                        </w:rPr>
                        <w:t>95%</w:t>
                      </w:r>
                      <w:r>
                        <w:rPr>
                          <w:rFonts w:ascii="Segoe UI"/>
                          <w:sz w:val="15"/>
                        </w:rPr>
                      </w:r>
                    </w:p>
                    <w:p>
                      <w:pPr>
                        <w:spacing w:line="240" w:lineRule="auto" w:before="2"/>
                        <w:rPr>
                          <w:rFonts w:ascii="Segoe UI" w:hAnsi="Segoe UI" w:cs="Segoe UI" w:eastAsia="Segoe UI"/>
                          <w:sz w:val="13"/>
                          <w:szCs w:val="13"/>
                        </w:rPr>
                      </w:pPr>
                    </w:p>
                    <w:p>
                      <w:pPr>
                        <w:spacing w:before="0"/>
                        <w:ind w:left="979" w:right="0" w:firstLine="0"/>
                        <w:jc w:val="left"/>
                        <w:rPr>
                          <w:rFonts w:ascii="Segoe UI" w:hAnsi="Segoe UI" w:cs="Segoe UI" w:eastAsia="Segoe UI"/>
                          <w:sz w:val="15"/>
                          <w:szCs w:val="15"/>
                        </w:rPr>
                      </w:pPr>
                      <w:r>
                        <w:rPr>
                          <w:rFonts w:ascii="Segoe UI"/>
                          <w:color w:val="77787B"/>
                          <w:spacing w:val="-1"/>
                          <w:sz w:val="15"/>
                        </w:rPr>
                        <w:t>90%</w:t>
                      </w:r>
                      <w:r>
                        <w:rPr>
                          <w:rFonts w:ascii="Segoe UI"/>
                          <w:sz w:val="15"/>
                        </w:rPr>
                      </w:r>
                    </w:p>
                    <w:p>
                      <w:pPr>
                        <w:spacing w:line="240" w:lineRule="auto" w:before="2"/>
                        <w:rPr>
                          <w:rFonts w:ascii="Segoe UI" w:hAnsi="Segoe UI" w:cs="Segoe UI" w:eastAsia="Segoe UI"/>
                          <w:sz w:val="13"/>
                          <w:szCs w:val="13"/>
                        </w:rPr>
                      </w:pPr>
                    </w:p>
                    <w:p>
                      <w:pPr>
                        <w:spacing w:before="0"/>
                        <w:ind w:left="979" w:right="0" w:firstLine="0"/>
                        <w:jc w:val="left"/>
                        <w:rPr>
                          <w:rFonts w:ascii="Segoe UI" w:hAnsi="Segoe UI" w:cs="Segoe UI" w:eastAsia="Segoe UI"/>
                          <w:sz w:val="15"/>
                          <w:szCs w:val="15"/>
                        </w:rPr>
                      </w:pPr>
                      <w:r>
                        <w:rPr>
                          <w:rFonts w:ascii="Segoe UI"/>
                          <w:color w:val="77787B"/>
                          <w:spacing w:val="-1"/>
                          <w:sz w:val="15"/>
                        </w:rPr>
                        <w:t>85%</w:t>
                      </w:r>
                      <w:r>
                        <w:rPr>
                          <w:rFonts w:ascii="Segoe UI"/>
                          <w:sz w:val="15"/>
                        </w:rPr>
                      </w:r>
                    </w:p>
                    <w:p>
                      <w:pPr>
                        <w:spacing w:line="240" w:lineRule="auto" w:before="2"/>
                        <w:rPr>
                          <w:rFonts w:ascii="Segoe UI" w:hAnsi="Segoe UI" w:cs="Segoe UI" w:eastAsia="Segoe UI"/>
                          <w:sz w:val="13"/>
                          <w:szCs w:val="13"/>
                        </w:rPr>
                      </w:pPr>
                    </w:p>
                    <w:p>
                      <w:pPr>
                        <w:spacing w:before="0"/>
                        <w:ind w:left="979" w:right="0" w:firstLine="0"/>
                        <w:jc w:val="left"/>
                        <w:rPr>
                          <w:rFonts w:ascii="Segoe UI" w:hAnsi="Segoe UI" w:cs="Segoe UI" w:eastAsia="Segoe UI"/>
                          <w:sz w:val="15"/>
                          <w:szCs w:val="15"/>
                        </w:rPr>
                      </w:pPr>
                      <w:r>
                        <w:rPr>
                          <w:rFonts w:ascii="Segoe UI"/>
                          <w:color w:val="77787B"/>
                          <w:spacing w:val="-1"/>
                          <w:sz w:val="15"/>
                        </w:rPr>
                        <w:t>80%</w:t>
                      </w:r>
                      <w:r>
                        <w:rPr>
                          <w:rFonts w:ascii="Segoe UI"/>
                          <w:sz w:val="15"/>
                        </w:rPr>
                      </w:r>
                    </w:p>
                    <w:p>
                      <w:pPr>
                        <w:spacing w:line="240" w:lineRule="auto" w:before="2"/>
                        <w:rPr>
                          <w:rFonts w:ascii="Segoe UI" w:hAnsi="Segoe UI" w:cs="Segoe UI" w:eastAsia="Segoe UI"/>
                          <w:sz w:val="13"/>
                          <w:szCs w:val="13"/>
                        </w:rPr>
                      </w:pPr>
                    </w:p>
                    <w:p>
                      <w:pPr>
                        <w:spacing w:before="0"/>
                        <w:ind w:left="979" w:right="0" w:firstLine="0"/>
                        <w:jc w:val="left"/>
                        <w:rPr>
                          <w:rFonts w:ascii="Segoe UI" w:hAnsi="Segoe UI" w:cs="Segoe UI" w:eastAsia="Segoe UI"/>
                          <w:sz w:val="15"/>
                          <w:szCs w:val="15"/>
                        </w:rPr>
                      </w:pPr>
                      <w:r>
                        <w:rPr>
                          <w:rFonts w:ascii="Segoe UI"/>
                          <w:color w:val="77787B"/>
                          <w:spacing w:val="-1"/>
                          <w:sz w:val="15"/>
                        </w:rPr>
                        <w:t>75%</w:t>
                      </w:r>
                      <w:r>
                        <w:rPr>
                          <w:rFonts w:ascii="Segoe UI"/>
                          <w:sz w:val="15"/>
                        </w:rPr>
                      </w:r>
                    </w:p>
                    <w:p>
                      <w:pPr>
                        <w:spacing w:line="240" w:lineRule="auto" w:before="2"/>
                        <w:rPr>
                          <w:rFonts w:ascii="Segoe UI" w:hAnsi="Segoe UI" w:cs="Segoe UI" w:eastAsia="Segoe UI"/>
                          <w:sz w:val="13"/>
                          <w:szCs w:val="13"/>
                        </w:rPr>
                      </w:pPr>
                    </w:p>
                    <w:p>
                      <w:pPr>
                        <w:spacing w:before="0"/>
                        <w:ind w:left="979" w:right="0" w:firstLine="0"/>
                        <w:jc w:val="left"/>
                        <w:rPr>
                          <w:rFonts w:ascii="Segoe UI" w:hAnsi="Segoe UI" w:cs="Segoe UI" w:eastAsia="Segoe UI"/>
                          <w:sz w:val="15"/>
                          <w:szCs w:val="15"/>
                        </w:rPr>
                      </w:pPr>
                      <w:r>
                        <w:rPr>
                          <w:rFonts w:ascii="Segoe UI"/>
                          <w:color w:val="77787B"/>
                          <w:spacing w:val="-1"/>
                          <w:sz w:val="15"/>
                        </w:rPr>
                        <w:t>70%</w:t>
                      </w:r>
                      <w:r>
                        <w:rPr>
                          <w:rFonts w:ascii="Segoe UI"/>
                          <w:sz w:val="15"/>
                        </w:rPr>
                      </w:r>
                    </w:p>
                    <w:p>
                      <w:pPr>
                        <w:spacing w:line="240" w:lineRule="auto" w:before="2"/>
                        <w:rPr>
                          <w:rFonts w:ascii="Segoe UI" w:hAnsi="Segoe UI" w:cs="Segoe UI" w:eastAsia="Segoe UI"/>
                          <w:sz w:val="13"/>
                          <w:szCs w:val="13"/>
                        </w:rPr>
                      </w:pPr>
                    </w:p>
                    <w:p>
                      <w:pPr>
                        <w:spacing w:before="0"/>
                        <w:ind w:left="979" w:right="0" w:firstLine="0"/>
                        <w:jc w:val="left"/>
                        <w:rPr>
                          <w:rFonts w:ascii="Segoe UI" w:hAnsi="Segoe UI" w:cs="Segoe UI" w:eastAsia="Segoe UI"/>
                          <w:sz w:val="15"/>
                          <w:szCs w:val="15"/>
                        </w:rPr>
                      </w:pPr>
                      <w:r>
                        <w:rPr>
                          <w:rFonts w:ascii="Segoe UI"/>
                          <w:color w:val="77787B"/>
                          <w:spacing w:val="-1"/>
                          <w:sz w:val="15"/>
                        </w:rPr>
                        <w:t>65%</w:t>
                      </w:r>
                      <w:r>
                        <w:rPr>
                          <w:rFonts w:ascii="Segoe UI"/>
                          <w:sz w:val="15"/>
                        </w:rPr>
                      </w:r>
                    </w:p>
                    <w:p>
                      <w:pPr>
                        <w:spacing w:line="240" w:lineRule="auto" w:before="2"/>
                        <w:rPr>
                          <w:rFonts w:ascii="Segoe UI" w:hAnsi="Segoe UI" w:cs="Segoe UI" w:eastAsia="Segoe UI"/>
                          <w:sz w:val="13"/>
                          <w:szCs w:val="13"/>
                        </w:rPr>
                      </w:pPr>
                    </w:p>
                    <w:p>
                      <w:pPr>
                        <w:spacing w:line="189" w:lineRule="exact" w:before="0"/>
                        <w:ind w:left="979" w:right="0" w:firstLine="0"/>
                        <w:jc w:val="left"/>
                        <w:rPr>
                          <w:rFonts w:ascii="Segoe UI" w:hAnsi="Segoe UI" w:cs="Segoe UI" w:eastAsia="Segoe UI"/>
                          <w:sz w:val="15"/>
                          <w:szCs w:val="15"/>
                        </w:rPr>
                      </w:pPr>
                      <w:r>
                        <w:rPr>
                          <w:rFonts w:ascii="Segoe UI"/>
                          <w:color w:val="77787B"/>
                          <w:spacing w:val="-1"/>
                          <w:sz w:val="15"/>
                        </w:rPr>
                        <w:t>60%</w:t>
                      </w:r>
                      <w:r>
                        <w:rPr>
                          <w:rFonts w:ascii="Segoe UI"/>
                          <w:sz w:val="15"/>
                        </w:rPr>
                      </w:r>
                    </w:p>
                    <w:p>
                      <w:pPr>
                        <w:tabs>
                          <w:tab w:pos="2865" w:val="left" w:leader="none"/>
                          <w:tab w:pos="3054" w:val="left" w:leader="none"/>
                          <w:tab w:pos="4130" w:val="left" w:leader="none"/>
                          <w:tab w:pos="4339" w:val="left" w:leader="none"/>
                          <w:tab w:pos="5350" w:val="left" w:leader="none"/>
                          <w:tab w:pos="6771" w:val="left" w:leader="none"/>
                          <w:tab w:pos="6908" w:val="left" w:leader="none"/>
                        </w:tabs>
                        <w:spacing w:line="235" w:lineRule="auto" w:before="0"/>
                        <w:ind w:left="1770" w:right="1175" w:hanging="192"/>
                        <w:jc w:val="left"/>
                        <w:rPr>
                          <w:rFonts w:ascii="Segoe UI" w:hAnsi="Segoe UI" w:cs="Segoe UI" w:eastAsia="Segoe UI"/>
                          <w:sz w:val="15"/>
                          <w:szCs w:val="15"/>
                        </w:rPr>
                      </w:pPr>
                      <w:r>
                        <w:rPr>
                          <w:rFonts w:ascii="Segoe UI"/>
                          <w:color w:val="77787B"/>
                          <w:sz w:val="15"/>
                        </w:rPr>
                        <w:t>Major</w:t>
                      </w:r>
                      <w:r>
                        <w:rPr>
                          <w:rFonts w:ascii="Segoe UI"/>
                          <w:color w:val="77787B"/>
                          <w:spacing w:val="-10"/>
                          <w:sz w:val="15"/>
                        </w:rPr>
                        <w:t> </w:t>
                      </w:r>
                      <w:r>
                        <w:rPr>
                          <w:rFonts w:ascii="Segoe UI"/>
                          <w:color w:val="77787B"/>
                          <w:sz w:val="15"/>
                        </w:rPr>
                        <w:t>Cities</w:t>
                      </w:r>
                      <w:r>
                        <w:rPr>
                          <w:rFonts w:ascii="Segoe UI"/>
                          <w:color w:val="77787B"/>
                          <w:spacing w:val="-10"/>
                          <w:sz w:val="15"/>
                        </w:rPr>
                        <w:t> </w:t>
                      </w:r>
                      <w:r>
                        <w:rPr>
                          <w:rFonts w:ascii="Segoe UI"/>
                          <w:color w:val="77787B"/>
                          <w:sz w:val="15"/>
                        </w:rPr>
                        <w:t>of</w:t>
                        <w:tab/>
                      </w:r>
                      <w:r>
                        <w:rPr>
                          <w:rFonts w:ascii="Segoe UI"/>
                          <w:color w:val="77787B"/>
                          <w:spacing w:val="-1"/>
                          <w:sz w:val="15"/>
                        </w:rPr>
                        <w:t>Inner</w:t>
                      </w:r>
                      <w:r>
                        <w:rPr>
                          <w:rFonts w:ascii="Segoe UI"/>
                          <w:color w:val="77787B"/>
                          <w:spacing w:val="-20"/>
                          <w:sz w:val="15"/>
                        </w:rPr>
                        <w:t> </w:t>
                      </w:r>
                      <w:r>
                        <w:rPr>
                          <w:rFonts w:ascii="Segoe UI"/>
                          <w:color w:val="77787B"/>
                          <w:spacing w:val="-1"/>
                          <w:sz w:val="15"/>
                        </w:rPr>
                        <w:t>Regional</w:t>
                        <w:tab/>
                        <w:t>Outer</w:t>
                      </w:r>
                      <w:r>
                        <w:rPr>
                          <w:rFonts w:ascii="Segoe UI"/>
                          <w:color w:val="77787B"/>
                          <w:spacing w:val="-20"/>
                          <w:sz w:val="15"/>
                        </w:rPr>
                        <w:t> </w:t>
                      </w:r>
                      <w:r>
                        <w:rPr>
                          <w:rFonts w:ascii="Segoe UI"/>
                          <w:color w:val="77787B"/>
                          <w:spacing w:val="-1"/>
                          <w:sz w:val="15"/>
                        </w:rPr>
                        <w:t>Regional</w:t>
                        <w:tab/>
                        <w:t>Remote</w:t>
                      </w:r>
                      <w:r>
                        <w:rPr>
                          <w:rFonts w:ascii="Segoe UI"/>
                          <w:color w:val="77787B"/>
                          <w:spacing w:val="-23"/>
                          <w:sz w:val="15"/>
                        </w:rPr>
                        <w:t> </w:t>
                      </w:r>
                      <w:r>
                        <w:rPr>
                          <w:rFonts w:ascii="Segoe UI"/>
                          <w:color w:val="77787B"/>
                          <w:spacing w:val="-1"/>
                          <w:sz w:val="15"/>
                        </w:rPr>
                        <w:t>Australia</w:t>
                        <w:tab/>
                      </w:r>
                      <w:r>
                        <w:rPr>
                          <w:rFonts w:ascii="Segoe UI"/>
                          <w:color w:val="77787B"/>
                          <w:spacing w:val="-3"/>
                          <w:sz w:val="15"/>
                        </w:rPr>
                        <w:t>Very</w:t>
                      </w:r>
                      <w:r>
                        <w:rPr>
                          <w:rFonts w:ascii="Segoe UI"/>
                          <w:color w:val="77787B"/>
                          <w:spacing w:val="-12"/>
                          <w:sz w:val="15"/>
                        </w:rPr>
                        <w:t> </w:t>
                      </w:r>
                      <w:r>
                        <w:rPr>
                          <w:rFonts w:ascii="Segoe UI"/>
                          <w:color w:val="77787B"/>
                          <w:spacing w:val="-1"/>
                          <w:sz w:val="15"/>
                        </w:rPr>
                        <w:t>Remote</w:t>
                      </w:r>
                      <w:r>
                        <w:rPr>
                          <w:rFonts w:ascii="Segoe UI"/>
                          <w:color w:val="77787B"/>
                          <w:spacing w:val="29"/>
                          <w:w w:val="98"/>
                          <w:sz w:val="15"/>
                        </w:rPr>
                        <w:t> </w:t>
                      </w:r>
                      <w:r>
                        <w:rPr>
                          <w:rFonts w:ascii="Segoe UI"/>
                          <w:color w:val="77787B"/>
                          <w:spacing w:val="-1"/>
                          <w:w w:val="95"/>
                          <w:sz w:val="15"/>
                        </w:rPr>
                        <w:t>Australia</w:t>
                        <w:tab/>
                        <w:tab/>
                        <w:t>Australia</w:t>
                        <w:tab/>
                        <w:tab/>
                        <w:t>Australia</w:t>
                        <w:tab/>
                        <w:tab/>
                        <w:tab/>
                      </w:r>
                      <w:r>
                        <w:rPr>
                          <w:rFonts w:ascii="Segoe UI"/>
                          <w:color w:val="77787B"/>
                          <w:spacing w:val="-1"/>
                          <w:sz w:val="15"/>
                        </w:rPr>
                        <w:t>Australia</w:t>
                      </w:r>
                      <w:r>
                        <w:rPr>
                          <w:rFonts w:ascii="Segoe UI"/>
                          <w:sz w:val="15"/>
                        </w:rPr>
                      </w:r>
                    </w:p>
                    <w:p>
                      <w:pPr>
                        <w:tabs>
                          <w:tab w:pos="4624" w:val="left" w:leader="none"/>
                        </w:tabs>
                        <w:spacing w:before="79"/>
                        <w:ind w:left="3004" w:right="0" w:firstLine="0"/>
                        <w:jc w:val="left"/>
                        <w:rPr>
                          <w:rFonts w:ascii="Segoe UI" w:hAnsi="Segoe UI" w:cs="Segoe UI" w:eastAsia="Segoe UI"/>
                          <w:sz w:val="15"/>
                          <w:szCs w:val="15"/>
                        </w:rPr>
                      </w:pPr>
                      <w:r>
                        <w:rPr>
                          <w:rFonts w:ascii="Segoe UI"/>
                          <w:color w:val="77787B"/>
                          <w:spacing w:val="-1"/>
                          <w:sz w:val="15"/>
                        </w:rPr>
                        <w:t>Indigenous</w:t>
                      </w:r>
                      <w:r>
                        <w:rPr>
                          <w:rFonts w:ascii="Segoe UI"/>
                          <w:color w:val="77787B"/>
                          <w:spacing w:val="-27"/>
                          <w:sz w:val="15"/>
                        </w:rPr>
                        <w:t> </w:t>
                      </w:r>
                      <w:r>
                        <w:rPr>
                          <w:rFonts w:ascii="Segoe UI"/>
                          <w:color w:val="77787B"/>
                          <w:spacing w:val="-1"/>
                          <w:sz w:val="15"/>
                        </w:rPr>
                        <w:t>schools</w:t>
                        <w:tab/>
                        <w:t>Mainstream</w:t>
                      </w:r>
                      <w:r>
                        <w:rPr>
                          <w:rFonts w:ascii="Segoe UI"/>
                          <w:color w:val="77787B"/>
                          <w:spacing w:val="-28"/>
                          <w:sz w:val="15"/>
                        </w:rPr>
                        <w:t> </w:t>
                      </w:r>
                      <w:r>
                        <w:rPr>
                          <w:rFonts w:ascii="Segoe UI"/>
                          <w:color w:val="77787B"/>
                          <w:spacing w:val="-1"/>
                          <w:sz w:val="15"/>
                        </w:rPr>
                        <w:t>schools</w:t>
                      </w:r>
                      <w:r>
                        <w:rPr>
                          <w:rFonts w:ascii="Segoe UI"/>
                          <w:sz w:val="15"/>
                        </w:rPr>
                      </w:r>
                    </w:p>
                  </w:txbxContent>
                </v:textbox>
                <w10:wrap type="none"/>
              </v:shape>
            </v:group>
          </v:group>
        </w:pict>
      </w:r>
      <w:r>
        <w:rPr>
          <w:rFonts w:ascii="Segoe UI" w:hAnsi="Segoe UI" w:cs="Segoe UI" w:eastAsia="Segoe UI"/>
          <w:sz w:val="20"/>
          <w:szCs w:val="20"/>
        </w:rPr>
      </w:r>
    </w:p>
    <w:p>
      <w:pPr>
        <w:spacing w:line="240" w:lineRule="auto" w:before="9"/>
        <w:rPr>
          <w:rFonts w:ascii="Segoe UI" w:hAnsi="Segoe UI" w:cs="Segoe UI" w:eastAsia="Segoe UI"/>
          <w:sz w:val="13"/>
          <w:szCs w:val="13"/>
        </w:rPr>
      </w:pPr>
    </w:p>
    <w:p>
      <w:pPr>
        <w:spacing w:after="0" w:line="240" w:lineRule="auto"/>
        <w:rPr>
          <w:rFonts w:ascii="Segoe UI" w:hAnsi="Segoe UI" w:cs="Segoe UI" w:eastAsia="Segoe UI"/>
          <w:sz w:val="13"/>
          <w:szCs w:val="13"/>
        </w:rPr>
        <w:sectPr>
          <w:pgSz w:w="11910" w:h="16840"/>
          <w:pgMar w:header="0" w:footer="691" w:top="1580" w:bottom="880" w:left="1300" w:right="1600"/>
        </w:sectPr>
      </w:pPr>
    </w:p>
    <w:p>
      <w:pPr>
        <w:pStyle w:val="BodyText"/>
        <w:spacing w:line="250" w:lineRule="exact" w:before="62"/>
        <w:ind w:right="1"/>
        <w:jc w:val="left"/>
      </w:pPr>
      <w:r>
        <w:rPr>
          <w:color w:val="231F20"/>
          <w:spacing w:val="-1"/>
        </w:rPr>
        <w:t>While</w:t>
      </w:r>
      <w:r>
        <w:rPr>
          <w:color w:val="231F20"/>
          <w:spacing w:val="-4"/>
        </w:rPr>
        <w:t> </w:t>
      </w:r>
      <w:r>
        <w:rPr>
          <w:color w:val="231F20"/>
        </w:rPr>
        <w:t>the</w:t>
      </w:r>
      <w:r>
        <w:rPr>
          <w:color w:val="231F20"/>
          <w:spacing w:val="-4"/>
        </w:rPr>
        <w:t> </w:t>
      </w:r>
      <w:r>
        <w:rPr>
          <w:color w:val="231F20"/>
        </w:rPr>
        <w:t>attendance</w:t>
      </w:r>
      <w:r>
        <w:rPr>
          <w:color w:val="231F20"/>
          <w:spacing w:val="-5"/>
        </w:rPr>
        <w:t> </w:t>
      </w:r>
      <w:r>
        <w:rPr>
          <w:color w:val="231F20"/>
        </w:rPr>
        <w:t>rates</w:t>
      </w:r>
      <w:r>
        <w:rPr>
          <w:color w:val="231F20"/>
          <w:spacing w:val="-4"/>
        </w:rPr>
        <w:t> </w:t>
      </w:r>
      <w:r>
        <w:rPr>
          <w:color w:val="231F20"/>
        </w:rPr>
        <w:t>of</w:t>
      </w:r>
      <w:r>
        <w:rPr>
          <w:color w:val="231F20"/>
          <w:spacing w:val="-4"/>
        </w:rPr>
        <w:t> </w:t>
      </w:r>
      <w:r>
        <w:rPr>
          <w:color w:val="231F20"/>
          <w:spacing w:val="-1"/>
        </w:rPr>
        <w:t>students</w:t>
      </w:r>
      <w:r>
        <w:rPr>
          <w:color w:val="231F20"/>
          <w:spacing w:val="-3"/>
        </w:rPr>
        <w:t> </w:t>
      </w:r>
      <w:r>
        <w:rPr>
          <w:color w:val="231F20"/>
        </w:rPr>
        <w:t>at</w:t>
      </w:r>
      <w:r>
        <w:rPr>
          <w:color w:val="231F20"/>
          <w:spacing w:val="23"/>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spacing w:val="-1"/>
        </w:rPr>
        <w:t>providers</w:t>
      </w:r>
      <w:r>
        <w:rPr>
          <w:rFonts w:ascii="Segoe UI Semibold"/>
          <w:b/>
          <w:color w:val="231F20"/>
          <w:spacing w:val="-1"/>
          <w:position w:val="7"/>
          <w:sz w:val="11"/>
        </w:rPr>
        <w:t>167</w:t>
      </w:r>
      <w:r>
        <w:rPr>
          <w:rFonts w:ascii="Segoe UI Semibold"/>
          <w:b/>
          <w:color w:val="231F20"/>
          <w:spacing w:val="22"/>
          <w:position w:val="7"/>
          <w:sz w:val="11"/>
        </w:rPr>
        <w:t> </w:t>
      </w:r>
      <w:r>
        <w:rPr>
          <w:color w:val="231F20"/>
          <w:spacing w:val="-1"/>
        </w:rPr>
        <w:t>is</w:t>
      </w:r>
      <w:r>
        <w:rPr>
          <w:color w:val="231F20"/>
          <w:spacing w:val="-4"/>
        </w:rPr>
        <w:t> </w:t>
      </w:r>
      <w:r>
        <w:rPr>
          <w:color w:val="231F20"/>
        </w:rPr>
        <w:t>below</w:t>
      </w:r>
      <w:r>
        <w:rPr>
          <w:color w:val="231F20"/>
          <w:spacing w:val="-3"/>
        </w:rPr>
        <w:t> </w:t>
      </w:r>
      <w:r>
        <w:rPr>
          <w:color w:val="231F20"/>
        </w:rPr>
        <w:t>the</w:t>
      </w:r>
      <w:r>
        <w:rPr>
          <w:color w:val="231F20"/>
          <w:spacing w:val="-3"/>
        </w:rPr>
        <w:t> </w:t>
      </w:r>
      <w:r>
        <w:rPr>
          <w:color w:val="231F20"/>
        </w:rPr>
        <w:t>rate</w:t>
      </w:r>
      <w:r>
        <w:rPr>
          <w:color w:val="231F20"/>
          <w:spacing w:val="-3"/>
        </w:rPr>
        <w:t> </w:t>
      </w:r>
      <w:r>
        <w:rPr>
          <w:color w:val="231F20"/>
        </w:rPr>
        <w:t>for</w:t>
      </w:r>
      <w:r>
        <w:rPr>
          <w:color w:val="231F20"/>
          <w:spacing w:val="-2"/>
        </w:rPr>
        <w:t> </w:t>
      </w:r>
      <w:r>
        <w:rPr>
          <w:color w:val="231F20"/>
        </w:rPr>
        <w:t>the</w:t>
      </w:r>
      <w:r>
        <w:rPr>
          <w:color w:val="231F20"/>
          <w:spacing w:val="-4"/>
        </w:rPr>
        <w:t> </w:t>
      </w:r>
      <w:r>
        <w:rPr>
          <w:color w:val="231F20"/>
          <w:spacing w:val="-1"/>
        </w:rPr>
        <w:t>mainstream</w:t>
      </w:r>
      <w:r>
        <w:rPr>
          <w:color w:val="231F20"/>
          <w:spacing w:val="20"/>
        </w:rPr>
        <w:t> </w:t>
      </w:r>
      <w:r>
        <w:rPr>
          <w:color w:val="231F20"/>
        </w:rPr>
        <w:t>boarding</w:t>
      </w:r>
      <w:r>
        <w:rPr>
          <w:color w:val="231F20"/>
          <w:spacing w:val="-8"/>
        </w:rPr>
        <w:t> </w:t>
      </w:r>
      <w:r>
        <w:rPr>
          <w:color w:val="231F20"/>
        </w:rPr>
        <w:t>providers</w:t>
      </w:r>
      <w:r>
        <w:rPr>
          <w:color w:val="231F20"/>
          <w:spacing w:val="-8"/>
        </w:rPr>
        <w:t> </w:t>
      </w:r>
      <w:r>
        <w:rPr>
          <w:color w:val="231F20"/>
          <w:spacing w:val="-1"/>
        </w:rPr>
        <w:t>it</w:t>
      </w:r>
      <w:r>
        <w:rPr>
          <w:color w:val="231F20"/>
          <w:spacing w:val="-6"/>
        </w:rPr>
        <w:t> </w:t>
      </w:r>
      <w:r>
        <w:rPr>
          <w:color w:val="231F20"/>
        </w:rPr>
        <w:t>exceeds</w:t>
      </w:r>
      <w:r>
        <w:rPr>
          <w:color w:val="231F20"/>
          <w:spacing w:val="-8"/>
        </w:rPr>
        <w:t> </w:t>
      </w:r>
      <w:r>
        <w:rPr>
          <w:color w:val="231F20"/>
        </w:rPr>
        <w:t>the</w:t>
      </w:r>
      <w:r>
        <w:rPr>
          <w:color w:val="231F20"/>
          <w:spacing w:val="-8"/>
        </w:rPr>
        <w:t> </w:t>
      </w:r>
      <w:r>
        <w:rPr>
          <w:color w:val="231F20"/>
        </w:rPr>
        <w:t>national</w:t>
      </w:r>
      <w:r>
        <w:rPr>
          <w:color w:val="231F20"/>
          <w:spacing w:val="21"/>
          <w:w w:val="99"/>
        </w:rPr>
        <w:t> </w:t>
      </w:r>
      <w:r>
        <w:rPr>
          <w:color w:val="231F20"/>
          <w:spacing w:val="-1"/>
        </w:rPr>
        <w:t>school</w:t>
      </w:r>
      <w:r>
        <w:rPr>
          <w:color w:val="231F20"/>
          <w:spacing w:val="-4"/>
        </w:rPr>
        <w:t> </w:t>
      </w:r>
      <w:r>
        <w:rPr>
          <w:color w:val="231F20"/>
        </w:rPr>
        <w:t>attendance</w:t>
      </w:r>
      <w:r>
        <w:rPr>
          <w:color w:val="231F20"/>
          <w:spacing w:val="-4"/>
        </w:rPr>
        <w:t> </w:t>
      </w:r>
      <w:r>
        <w:rPr>
          <w:color w:val="231F20"/>
        </w:rPr>
        <w:t>rate</w:t>
      </w:r>
      <w:r>
        <w:rPr>
          <w:color w:val="231F20"/>
          <w:spacing w:val="-5"/>
        </w:rPr>
        <w:t> </w:t>
      </w:r>
      <w:r>
        <w:rPr>
          <w:color w:val="231F20"/>
        </w:rPr>
        <w:t>of</w:t>
      </w:r>
      <w:r>
        <w:rPr>
          <w:color w:val="231F20"/>
          <w:spacing w:val="-3"/>
        </w:rPr>
        <w:t> </w:t>
      </w:r>
      <w:r>
        <w:rPr>
          <w:color w:val="231F20"/>
          <w:spacing w:val="-1"/>
        </w:rPr>
        <w:t>83.2</w:t>
      </w:r>
      <w:r>
        <w:rPr>
          <w:color w:val="231F20"/>
          <w:spacing w:val="-4"/>
        </w:rPr>
        <w:t> </w:t>
      </w:r>
      <w:r>
        <w:rPr>
          <w:color w:val="231F20"/>
        </w:rPr>
        <w:t>per</w:t>
      </w:r>
      <w:r>
        <w:rPr>
          <w:color w:val="231F20"/>
          <w:spacing w:val="-3"/>
        </w:rPr>
        <w:t> </w:t>
      </w:r>
      <w:r>
        <w:rPr>
          <w:color w:val="231F20"/>
        </w:rPr>
        <w:t>cent</w:t>
      </w:r>
      <w:r>
        <w:rPr>
          <w:color w:val="231F20"/>
          <w:spacing w:val="-5"/>
        </w:rPr>
        <w:t> </w:t>
      </w:r>
      <w:r>
        <w:rPr>
          <w:color w:val="231F20"/>
        </w:rPr>
        <w:t>for</w:t>
      </w:r>
      <w:r>
        <w:rPr>
          <w:color w:val="231F20"/>
          <w:spacing w:val="-3"/>
        </w:rPr>
        <w:t> </w:t>
      </w:r>
      <w:r>
        <w:rPr>
          <w:color w:val="231F20"/>
        </w:rPr>
        <w:t>all</w:t>
      </w:r>
      <w:r>
        <w:rPr>
          <w:color w:val="231F20"/>
          <w:spacing w:val="23"/>
        </w:rPr>
        <w:t> </w:t>
      </w:r>
      <w:r>
        <w:rPr>
          <w:color w:val="231F20"/>
        </w:rPr>
        <w:t>remoteness</w:t>
      </w:r>
      <w:r>
        <w:rPr>
          <w:color w:val="231F20"/>
          <w:spacing w:val="-8"/>
        </w:rPr>
        <w:t> </w:t>
      </w:r>
      <w:r>
        <w:rPr>
          <w:color w:val="231F20"/>
        </w:rPr>
        <w:t>categories,</w:t>
      </w:r>
      <w:r>
        <w:rPr>
          <w:color w:val="231F20"/>
          <w:spacing w:val="-7"/>
        </w:rPr>
        <w:t> </w:t>
      </w:r>
      <w:r>
        <w:rPr>
          <w:color w:val="231F20"/>
        </w:rPr>
        <w:t>other</w:t>
      </w:r>
      <w:r>
        <w:rPr>
          <w:color w:val="231F20"/>
          <w:spacing w:val="-5"/>
        </w:rPr>
        <w:t> </w:t>
      </w:r>
      <w:r>
        <w:rPr>
          <w:color w:val="231F20"/>
        </w:rPr>
        <w:t>than</w:t>
      </w:r>
      <w:r>
        <w:rPr>
          <w:color w:val="231F20"/>
          <w:spacing w:val="-7"/>
        </w:rPr>
        <w:t> </w:t>
      </w:r>
      <w:r>
        <w:rPr>
          <w:color w:val="231F20"/>
        </w:rPr>
        <w:t>remote.</w:t>
      </w:r>
      <w:r>
        <w:rPr>
          <w:color w:val="231F20"/>
          <w:spacing w:val="-7"/>
        </w:rPr>
        <w:t> </w:t>
      </w:r>
      <w:r>
        <w:rPr>
          <w:color w:val="231F20"/>
        </w:rPr>
        <w:t>The</w:t>
      </w:r>
      <w:r>
        <w:rPr>
          <w:color w:val="231F20"/>
          <w:w w:val="99"/>
        </w:rPr>
        <w:t> </w:t>
      </w:r>
      <w:r>
        <w:rPr>
          <w:rFonts w:ascii="Segoe UI"/>
          <w:color w:val="231F20"/>
        </w:rPr>
        <w:t>average attendance rate at the five very remote</w:t>
      </w:r>
      <w:r>
        <w:rPr>
          <w:rFonts w:ascii="Segoe UI"/>
          <w:color w:val="231F20"/>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6"/>
        </w:rPr>
        <w:t> </w:t>
      </w:r>
      <w:r>
        <w:rPr>
          <w:color w:val="231F20"/>
          <w:spacing w:val="-1"/>
        </w:rPr>
        <w:t>included</w:t>
      </w:r>
      <w:r>
        <w:rPr>
          <w:color w:val="231F20"/>
          <w:spacing w:val="-4"/>
        </w:rPr>
        <w:t> </w:t>
      </w:r>
      <w:r>
        <w:rPr>
          <w:color w:val="231F20"/>
          <w:spacing w:val="-1"/>
        </w:rPr>
        <w:t>in</w:t>
      </w:r>
      <w:r>
        <w:rPr>
          <w:color w:val="231F20"/>
          <w:spacing w:val="-4"/>
        </w:rPr>
        <w:t> </w:t>
      </w:r>
      <w:r>
        <w:rPr>
          <w:color w:val="231F20"/>
        </w:rPr>
        <w:t>the</w:t>
      </w:r>
      <w:r>
        <w:rPr>
          <w:color w:val="231F20"/>
          <w:spacing w:val="-5"/>
        </w:rPr>
        <w:t> </w:t>
      </w:r>
      <w:r>
        <w:rPr>
          <w:color w:val="231F20"/>
        </w:rPr>
        <w:t>data</w:t>
      </w:r>
      <w:r>
        <w:rPr>
          <w:color w:val="231F20"/>
          <w:spacing w:val="-5"/>
        </w:rPr>
        <w:t> </w:t>
      </w:r>
      <w:r>
        <w:rPr>
          <w:color w:val="231F20"/>
          <w:spacing w:val="-1"/>
        </w:rPr>
        <w:t>set</w:t>
      </w:r>
      <w:r>
        <w:rPr>
          <w:color w:val="231F20"/>
          <w:spacing w:val="-4"/>
        </w:rPr>
        <w:t> </w:t>
      </w:r>
      <w:r>
        <w:rPr>
          <w:color w:val="231F20"/>
        </w:rPr>
        <w:t>(84</w:t>
      </w:r>
      <w:r>
        <w:rPr>
          <w:color w:val="231F20"/>
          <w:spacing w:val="-5"/>
        </w:rPr>
        <w:t> </w:t>
      </w:r>
      <w:r>
        <w:rPr>
          <w:color w:val="231F20"/>
        </w:rPr>
        <w:t>per</w:t>
      </w:r>
      <w:r>
        <w:rPr>
          <w:color w:val="231F20"/>
          <w:spacing w:val="-4"/>
        </w:rPr>
        <w:t> </w:t>
      </w:r>
      <w:r>
        <w:rPr>
          <w:color w:val="231F20"/>
        </w:rPr>
        <w:t>cent)</w:t>
      </w:r>
      <w:r>
        <w:rPr>
          <w:color w:val="231F20"/>
          <w:spacing w:val="24"/>
          <w:w w:val="99"/>
        </w:rPr>
        <w:t> </w:t>
      </w:r>
      <w:r>
        <w:rPr>
          <w:color w:val="231F20"/>
        </w:rPr>
        <w:t>actually</w:t>
      </w:r>
      <w:r>
        <w:rPr>
          <w:color w:val="231F20"/>
          <w:spacing w:val="-8"/>
        </w:rPr>
        <w:t> </w:t>
      </w:r>
      <w:r>
        <w:rPr>
          <w:color w:val="231F20"/>
        </w:rPr>
        <w:t>exceeds</w:t>
      </w:r>
      <w:r>
        <w:rPr>
          <w:color w:val="231F20"/>
          <w:spacing w:val="-8"/>
        </w:rPr>
        <w:t> </w:t>
      </w:r>
      <w:r>
        <w:rPr>
          <w:color w:val="231F20"/>
        </w:rPr>
        <w:t>the</w:t>
      </w:r>
      <w:r>
        <w:rPr>
          <w:color w:val="231F20"/>
          <w:spacing w:val="-7"/>
        </w:rPr>
        <w:t> </w:t>
      </w:r>
      <w:r>
        <w:rPr>
          <w:color w:val="231F20"/>
        </w:rPr>
        <w:t>national</w:t>
      </w:r>
      <w:r>
        <w:rPr>
          <w:color w:val="231F20"/>
          <w:spacing w:val="-8"/>
        </w:rPr>
        <w:t> </w:t>
      </w:r>
      <w:r>
        <w:rPr>
          <w:color w:val="231F20"/>
        </w:rPr>
        <w:t>attendance</w:t>
      </w:r>
      <w:r>
        <w:rPr>
          <w:color w:val="231F20"/>
          <w:spacing w:val="-7"/>
        </w:rPr>
        <w:t> </w:t>
      </w:r>
      <w:r>
        <w:rPr>
          <w:color w:val="231F20"/>
        </w:rPr>
        <w:t>rate</w:t>
      </w:r>
      <w:r>
        <w:rPr>
          <w:color w:val="231F20"/>
          <w:spacing w:val="-7"/>
        </w:rPr>
        <w:t> </w:t>
      </w:r>
      <w:r>
        <w:rPr>
          <w:color w:val="231F20"/>
          <w:spacing w:val="-7"/>
        </w:rPr>
      </w:r>
      <w:r>
        <w:rPr>
          <w:color w:val="231F20"/>
        </w:rPr>
        <w:t>for</w:t>
      </w:r>
      <w:r>
        <w:rPr>
          <w:color w:val="231F20"/>
          <w:spacing w:val="-1"/>
        </w:rPr>
        <w:t> </w:t>
      </w:r>
      <w:r>
        <w:rPr>
          <w:color w:val="231F20"/>
        </w:rPr>
        <w:t>Aboriginal</w:t>
      </w:r>
      <w:r>
        <w:rPr>
          <w:color w:val="231F20"/>
          <w:spacing w:val="-6"/>
        </w:rPr>
        <w:t> </w:t>
      </w:r>
      <w:r>
        <w:rPr>
          <w:color w:val="231F20"/>
        </w:rPr>
        <w:t>and</w:t>
      </w:r>
      <w:r>
        <w:rPr>
          <w:color w:val="231F20"/>
          <w:spacing w:val="-5"/>
        </w:rPr>
        <w:t> Torres </w:t>
      </w:r>
      <w:r>
        <w:rPr>
          <w:color w:val="231F20"/>
          <w:spacing w:val="-2"/>
        </w:rPr>
        <w:t>Strait</w:t>
      </w:r>
      <w:r>
        <w:rPr>
          <w:color w:val="231F20"/>
          <w:spacing w:val="-5"/>
        </w:rPr>
        <w:t> </w:t>
      </w:r>
      <w:r>
        <w:rPr>
          <w:color w:val="231F20"/>
          <w:spacing w:val="-1"/>
        </w:rPr>
        <w:t>Islander</w:t>
      </w:r>
      <w:r>
        <w:rPr>
          <w:color w:val="231F20"/>
          <w:spacing w:val="-6"/>
        </w:rPr>
        <w:t> </w:t>
      </w:r>
      <w:r>
        <w:rPr>
          <w:color w:val="231F20"/>
          <w:spacing w:val="-1"/>
        </w:rPr>
        <w:t>students</w:t>
      </w:r>
      <w:r>
        <w:rPr/>
      </w:r>
    </w:p>
    <w:p>
      <w:pPr>
        <w:pStyle w:val="BodyText"/>
        <w:spacing w:line="250" w:lineRule="exact" w:before="62"/>
        <w:ind w:right="224"/>
        <w:jc w:val="left"/>
      </w:pPr>
      <w:r>
        <w:rPr/>
        <w:br w:type="column"/>
      </w:r>
      <w:r>
        <w:rPr>
          <w:color w:val="231F20"/>
        </w:rPr>
        <w:t>(83.2</w:t>
      </w:r>
      <w:r>
        <w:rPr>
          <w:color w:val="231F20"/>
          <w:spacing w:val="-7"/>
        </w:rPr>
        <w:t> </w:t>
      </w:r>
      <w:r>
        <w:rPr>
          <w:color w:val="231F20"/>
        </w:rPr>
        <w:t>per</w:t>
      </w:r>
      <w:r>
        <w:rPr>
          <w:color w:val="231F20"/>
          <w:spacing w:val="-6"/>
        </w:rPr>
        <w:t> </w:t>
      </w:r>
      <w:r>
        <w:rPr>
          <w:color w:val="231F20"/>
        </w:rPr>
        <w:t>cent)</w:t>
      </w:r>
      <w:r>
        <w:rPr>
          <w:color w:val="231F20"/>
          <w:spacing w:val="-6"/>
        </w:rPr>
        <w:t> </w:t>
      </w:r>
      <w:r>
        <w:rPr>
          <w:color w:val="231F20"/>
        </w:rPr>
        <w:t>and</w:t>
      </w:r>
      <w:r>
        <w:rPr>
          <w:color w:val="231F20"/>
          <w:spacing w:val="-7"/>
        </w:rPr>
        <w:t> </w:t>
      </w:r>
      <w:r>
        <w:rPr>
          <w:color w:val="231F20"/>
        </w:rPr>
        <w:t>the</w:t>
      </w:r>
      <w:r>
        <w:rPr>
          <w:color w:val="231F20"/>
          <w:spacing w:val="-6"/>
        </w:rPr>
        <w:t> </w:t>
      </w:r>
      <w:r>
        <w:rPr>
          <w:color w:val="231F20"/>
        </w:rPr>
        <w:t>average</w:t>
      </w:r>
      <w:r>
        <w:rPr>
          <w:color w:val="231F20"/>
          <w:spacing w:val="-7"/>
        </w:rPr>
        <w:t> </w:t>
      </w:r>
      <w:r>
        <w:rPr>
          <w:color w:val="231F20"/>
        </w:rPr>
        <w:t>attendance</w:t>
      </w:r>
      <w:r>
        <w:rPr>
          <w:color w:val="231F20"/>
          <w:w w:val="99"/>
        </w:rPr>
        <w:t> </w:t>
      </w:r>
      <w:r>
        <w:rPr>
          <w:color w:val="231F20"/>
        </w:rPr>
        <w:t>rate</w:t>
      </w:r>
      <w:r>
        <w:rPr>
          <w:color w:val="231F20"/>
          <w:spacing w:val="-5"/>
        </w:rPr>
        <w:t> </w:t>
      </w:r>
      <w:r>
        <w:rPr>
          <w:color w:val="231F20"/>
        </w:rPr>
        <w:t>of</w:t>
      </w:r>
      <w:r>
        <w:rPr>
          <w:color w:val="231F20"/>
          <w:spacing w:val="-4"/>
        </w:rPr>
        <w:t> </w:t>
      </w:r>
      <w:r>
        <w:rPr>
          <w:color w:val="231F20"/>
        </w:rPr>
        <w:t>all</w:t>
      </w:r>
      <w:r>
        <w:rPr>
          <w:color w:val="231F20"/>
          <w:spacing w:val="-5"/>
        </w:rPr>
        <w:t> </w:t>
      </w:r>
      <w:r>
        <w:rPr>
          <w:color w:val="231F20"/>
        </w:rPr>
        <w:t>Aboriginal</w:t>
      </w:r>
      <w:r>
        <w:rPr>
          <w:color w:val="231F20"/>
          <w:spacing w:val="-4"/>
        </w:rPr>
        <w:t> </w:t>
      </w:r>
      <w:r>
        <w:rPr>
          <w:color w:val="231F20"/>
        </w:rPr>
        <w:t>and</w:t>
      </w:r>
      <w:r>
        <w:rPr>
          <w:color w:val="231F20"/>
          <w:spacing w:val="-5"/>
        </w:rPr>
        <w:t> 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29"/>
          <w:w w:val="99"/>
        </w:rPr>
        <w:t> </w:t>
      </w:r>
      <w:r>
        <w:rPr>
          <w:color w:val="231F20"/>
          <w:spacing w:val="-1"/>
        </w:rPr>
        <w:t>students</w:t>
      </w:r>
      <w:r>
        <w:rPr>
          <w:color w:val="231F20"/>
          <w:spacing w:val="-4"/>
        </w:rPr>
        <w:t> </w:t>
      </w:r>
      <w:r>
        <w:rPr>
          <w:color w:val="231F20"/>
          <w:spacing w:val="-1"/>
        </w:rPr>
        <w:t>in</w:t>
      </w:r>
      <w:r>
        <w:rPr>
          <w:color w:val="231F20"/>
          <w:spacing w:val="-4"/>
        </w:rPr>
        <w:t> </w:t>
      </w:r>
      <w:r>
        <w:rPr>
          <w:color w:val="231F20"/>
        </w:rPr>
        <w:t>very</w:t>
      </w:r>
      <w:r>
        <w:rPr>
          <w:color w:val="231F20"/>
          <w:spacing w:val="-3"/>
        </w:rPr>
        <w:t> </w:t>
      </w:r>
      <w:r>
        <w:rPr>
          <w:color w:val="231F20"/>
        </w:rPr>
        <w:t>remote</w:t>
      </w:r>
      <w:r>
        <w:rPr>
          <w:color w:val="231F20"/>
          <w:spacing w:val="-5"/>
        </w:rPr>
        <w:t> </w:t>
      </w:r>
      <w:r>
        <w:rPr>
          <w:color w:val="231F20"/>
        </w:rPr>
        <w:t>areas</w:t>
      </w:r>
      <w:r>
        <w:rPr>
          <w:color w:val="231F20"/>
          <w:spacing w:val="-4"/>
        </w:rPr>
        <w:t> </w:t>
      </w:r>
      <w:r>
        <w:rPr>
          <w:color w:val="231F20"/>
        </w:rPr>
        <w:t>(65</w:t>
      </w:r>
      <w:r>
        <w:rPr>
          <w:color w:val="231F20"/>
          <w:spacing w:val="-5"/>
        </w:rPr>
        <w:t> </w:t>
      </w:r>
      <w:r>
        <w:rPr>
          <w:color w:val="231F20"/>
        </w:rPr>
        <w:t>per</w:t>
      </w:r>
      <w:r>
        <w:rPr>
          <w:color w:val="231F20"/>
          <w:spacing w:val="-4"/>
        </w:rPr>
        <w:t> </w:t>
      </w:r>
      <w:r>
        <w:rPr>
          <w:color w:val="231F20"/>
        </w:rPr>
        <w:t>cent).</w:t>
      </w:r>
      <w:r>
        <w:rPr/>
      </w:r>
    </w:p>
    <w:p>
      <w:pPr>
        <w:pStyle w:val="BodyText"/>
        <w:spacing w:line="250" w:lineRule="exact" w:before="113"/>
        <w:ind w:right="229"/>
        <w:jc w:val="left"/>
        <w:rPr>
          <w:rFonts w:ascii="Segoe UI" w:hAnsi="Segoe UI" w:cs="Segoe UI" w:eastAsia="Segoe UI"/>
        </w:rPr>
      </w:pPr>
      <w:r>
        <w:rPr>
          <w:color w:val="231F20"/>
          <w:spacing w:val="-1"/>
        </w:rPr>
        <w:t>In</w:t>
      </w:r>
      <w:r>
        <w:rPr>
          <w:color w:val="231F20"/>
          <w:spacing w:val="-3"/>
        </w:rPr>
        <w:t> </w:t>
      </w:r>
      <w:r>
        <w:rPr>
          <w:color w:val="231F20"/>
        </w:rPr>
        <w:t>the</w:t>
      </w:r>
      <w:r>
        <w:rPr>
          <w:color w:val="231F20"/>
          <w:spacing w:val="-4"/>
        </w:rPr>
        <w:t> </w:t>
      </w:r>
      <w:r>
        <w:rPr>
          <w:color w:val="231F20"/>
          <w:spacing w:val="-1"/>
        </w:rPr>
        <w:t>2016</w:t>
      </w:r>
      <w:r>
        <w:rPr>
          <w:color w:val="231F20"/>
          <w:spacing w:val="-2"/>
        </w:rPr>
        <w:t> </w:t>
      </w:r>
      <w:r>
        <w:rPr>
          <w:color w:val="231F20"/>
          <w:spacing w:val="-1"/>
        </w:rPr>
        <w:t>Census</w:t>
      </w:r>
      <w:r>
        <w:rPr>
          <w:color w:val="231F20"/>
          <w:spacing w:val="-3"/>
        </w:rPr>
        <w:t> </w:t>
      </w:r>
      <w:r>
        <w:rPr>
          <w:color w:val="231F20"/>
          <w:spacing w:val="-1"/>
        </w:rPr>
        <w:t>47</w:t>
      </w:r>
      <w:r>
        <w:rPr>
          <w:color w:val="231F20"/>
          <w:spacing w:val="-2"/>
        </w:rPr>
        <w:t> </w:t>
      </w:r>
      <w:r>
        <w:rPr>
          <w:color w:val="231F20"/>
        </w:rPr>
        <w:t>per</w:t>
      </w:r>
      <w:r>
        <w:rPr>
          <w:color w:val="231F20"/>
          <w:spacing w:val="-3"/>
        </w:rPr>
        <w:t> </w:t>
      </w:r>
      <w:r>
        <w:rPr>
          <w:color w:val="231F20"/>
        </w:rPr>
        <w:t>cent</w:t>
      </w:r>
      <w:r>
        <w:rPr>
          <w:color w:val="231F20"/>
          <w:spacing w:val="-3"/>
        </w:rPr>
        <w:t> </w:t>
      </w:r>
      <w:r>
        <w:rPr>
          <w:color w:val="231F20"/>
        </w:rPr>
        <w:t>of</w:t>
      </w:r>
      <w:r>
        <w:rPr>
          <w:color w:val="231F20"/>
          <w:spacing w:val="-3"/>
        </w:rPr>
        <w:t> </w:t>
      </w:r>
      <w:r>
        <w:rPr>
          <w:color w:val="231F20"/>
        </w:rPr>
        <w:t>Aboriginal</w:t>
      </w:r>
      <w:r>
        <w:rPr>
          <w:color w:val="231F20"/>
          <w:spacing w:val="25"/>
          <w:w w:val="99"/>
        </w:rPr>
        <w:t> </w:t>
      </w:r>
      <w:r>
        <w:rPr>
          <w:color w:val="231F20"/>
        </w:rPr>
        <w:t>and</w:t>
      </w:r>
      <w:r>
        <w:rPr>
          <w:color w:val="231F20"/>
          <w:spacing w:val="-5"/>
        </w:rPr>
        <w:t> Torres</w:t>
      </w:r>
      <w:r>
        <w:rPr>
          <w:color w:val="231F20"/>
          <w:spacing w:val="-4"/>
        </w:rPr>
        <w:t> </w:t>
      </w:r>
      <w:r>
        <w:rPr>
          <w:color w:val="231F20"/>
          <w:spacing w:val="-2"/>
        </w:rPr>
        <w:t>Strait</w:t>
      </w:r>
      <w:r>
        <w:rPr>
          <w:color w:val="231F20"/>
          <w:spacing w:val="-4"/>
        </w:rPr>
        <w:t> </w:t>
      </w:r>
      <w:r>
        <w:rPr>
          <w:color w:val="231F20"/>
          <w:spacing w:val="-1"/>
        </w:rPr>
        <w:t>Islander</w:t>
      </w:r>
      <w:r>
        <w:rPr>
          <w:color w:val="231F20"/>
          <w:spacing w:val="-4"/>
        </w:rPr>
        <w:t> </w:t>
      </w:r>
      <w:r>
        <w:rPr>
          <w:color w:val="231F20"/>
        </w:rPr>
        <w:t>people</w:t>
      </w:r>
      <w:r>
        <w:rPr>
          <w:color w:val="231F20"/>
          <w:spacing w:val="-5"/>
        </w:rPr>
        <w:t> </w:t>
      </w:r>
      <w:r>
        <w:rPr>
          <w:color w:val="231F20"/>
        </w:rPr>
        <w:t>aged</w:t>
      </w:r>
      <w:r>
        <w:rPr>
          <w:color w:val="231F20"/>
          <w:spacing w:val="-4"/>
        </w:rPr>
        <w:t> </w:t>
      </w:r>
      <w:r>
        <w:rPr>
          <w:color w:val="231F20"/>
          <w:spacing w:val="-1"/>
        </w:rPr>
        <w:t>20</w:t>
      </w:r>
      <w:r>
        <w:rPr>
          <w:color w:val="231F20"/>
          <w:spacing w:val="-4"/>
        </w:rPr>
        <w:t> </w:t>
      </w:r>
      <w:r>
        <w:rPr>
          <w:color w:val="231F20"/>
        </w:rPr>
        <w:t>to</w:t>
      </w:r>
      <w:r>
        <w:rPr>
          <w:color w:val="231F20"/>
          <w:spacing w:val="23"/>
          <w:w w:val="99"/>
        </w:rPr>
        <w:t> </w:t>
      </w:r>
      <w:r>
        <w:rPr>
          <w:color w:val="231F20"/>
        </w:rPr>
        <w:t>24</w:t>
      </w:r>
      <w:r>
        <w:rPr>
          <w:color w:val="231F20"/>
          <w:spacing w:val="-6"/>
        </w:rPr>
        <w:t> </w:t>
      </w:r>
      <w:r>
        <w:rPr>
          <w:color w:val="231F20"/>
        </w:rPr>
        <w:t>years</w:t>
      </w:r>
      <w:r>
        <w:rPr>
          <w:color w:val="231F20"/>
          <w:spacing w:val="-6"/>
        </w:rPr>
        <w:t> </w:t>
      </w:r>
      <w:r>
        <w:rPr>
          <w:color w:val="231F20"/>
        </w:rPr>
        <w:t>reported</w:t>
      </w:r>
      <w:r>
        <w:rPr>
          <w:color w:val="231F20"/>
          <w:spacing w:val="-7"/>
        </w:rPr>
        <w:t> </w:t>
      </w:r>
      <w:r>
        <w:rPr>
          <w:color w:val="231F20"/>
        </w:rPr>
        <w:t>that</w:t>
      </w:r>
      <w:r>
        <w:rPr>
          <w:color w:val="231F20"/>
          <w:spacing w:val="-6"/>
        </w:rPr>
        <w:t> </w:t>
      </w:r>
      <w:r>
        <w:rPr>
          <w:color w:val="231F20"/>
        </w:rPr>
        <w:t>they</w:t>
      </w:r>
      <w:r>
        <w:rPr>
          <w:color w:val="231F20"/>
          <w:spacing w:val="-6"/>
        </w:rPr>
        <w:t> </w:t>
      </w:r>
      <w:r>
        <w:rPr>
          <w:color w:val="231F20"/>
        </w:rPr>
        <w:t>had</w:t>
      </w:r>
      <w:r>
        <w:rPr>
          <w:color w:val="231F20"/>
          <w:spacing w:val="-6"/>
        </w:rPr>
        <w:t> </w:t>
      </w:r>
      <w:r>
        <w:rPr>
          <w:color w:val="231F20"/>
        </w:rPr>
        <w:t>completed</w:t>
      </w:r>
      <w:r>
        <w:rPr>
          <w:color w:val="231F20"/>
          <w:w w:val="99"/>
        </w:rPr>
        <w:t> </w:t>
      </w:r>
      <w:r>
        <w:rPr>
          <w:color w:val="231F20"/>
          <w:spacing w:val="-6"/>
        </w:rPr>
        <w:t>Year</w:t>
      </w:r>
      <w:r>
        <w:rPr>
          <w:color w:val="231F20"/>
          <w:spacing w:val="-4"/>
        </w:rPr>
        <w:t> </w:t>
      </w:r>
      <w:r>
        <w:rPr>
          <w:color w:val="231F20"/>
          <w:spacing w:val="-1"/>
        </w:rPr>
        <w:t>12</w:t>
      </w:r>
      <w:r>
        <w:rPr>
          <w:color w:val="231F20"/>
          <w:spacing w:val="-3"/>
        </w:rPr>
        <w:t> </w:t>
      </w:r>
      <w:r>
        <w:rPr>
          <w:color w:val="231F20"/>
        </w:rPr>
        <w:t>or</w:t>
      </w:r>
      <w:r>
        <w:rPr>
          <w:color w:val="231F20"/>
          <w:spacing w:val="-3"/>
        </w:rPr>
        <w:t> </w:t>
      </w:r>
      <w:r>
        <w:rPr>
          <w:color w:val="231F20"/>
          <w:spacing w:val="-1"/>
        </w:rPr>
        <w:t>its</w:t>
      </w:r>
      <w:r>
        <w:rPr>
          <w:color w:val="231F20"/>
          <w:spacing w:val="-4"/>
        </w:rPr>
        <w:t> </w:t>
      </w:r>
      <w:r>
        <w:rPr>
          <w:color w:val="231F20"/>
        </w:rPr>
        <w:t>equivalent—up</w:t>
      </w:r>
      <w:r>
        <w:rPr>
          <w:color w:val="231F20"/>
          <w:spacing w:val="-4"/>
        </w:rPr>
        <w:t> </w:t>
      </w:r>
      <w:r>
        <w:rPr>
          <w:color w:val="231F20"/>
        </w:rPr>
        <w:t>from</w:t>
      </w:r>
      <w:r>
        <w:rPr>
          <w:color w:val="231F20"/>
          <w:spacing w:val="-3"/>
        </w:rPr>
        <w:t> </w:t>
      </w:r>
      <w:r>
        <w:rPr>
          <w:color w:val="231F20"/>
          <w:spacing w:val="-1"/>
        </w:rPr>
        <w:t>32</w:t>
      </w:r>
      <w:r>
        <w:rPr>
          <w:color w:val="231F20"/>
          <w:spacing w:val="-3"/>
        </w:rPr>
        <w:t> </w:t>
      </w:r>
      <w:r>
        <w:rPr>
          <w:color w:val="231F20"/>
        </w:rPr>
        <w:t>per</w:t>
      </w:r>
      <w:r>
        <w:rPr>
          <w:color w:val="231F20"/>
          <w:spacing w:val="-4"/>
        </w:rPr>
        <w:t> </w:t>
      </w:r>
      <w:r>
        <w:rPr>
          <w:color w:val="231F20"/>
        </w:rPr>
        <w:t>cent</w:t>
      </w:r>
      <w:r>
        <w:rPr>
          <w:color w:val="231F20"/>
          <w:spacing w:val="26"/>
          <w:w w:val="99"/>
        </w:rPr>
        <w:t> </w:t>
      </w:r>
      <w:r>
        <w:rPr>
          <w:rFonts w:ascii="Segoe UI" w:hAnsi="Segoe UI" w:cs="Segoe UI" w:eastAsia="Segoe UI"/>
          <w:color w:val="231F20"/>
        </w:rPr>
        <w:t>in the 2006 Census. The comparable figure for</w:t>
      </w:r>
      <w:r>
        <w:rPr>
          <w:rFonts w:ascii="Segoe UI" w:hAnsi="Segoe UI" w:cs="Segoe UI" w:eastAsia="Segoe UI"/>
        </w:rPr>
      </w:r>
    </w:p>
    <w:p>
      <w:pPr>
        <w:pStyle w:val="BodyText"/>
        <w:spacing w:line="250" w:lineRule="exact"/>
        <w:ind w:right="106"/>
        <w:jc w:val="left"/>
        <w:rPr>
          <w:rFonts w:ascii="Segoe UI Semibold" w:hAnsi="Segoe UI Semibold" w:cs="Segoe UI Semibold" w:eastAsia="Segoe UI Semibold"/>
          <w:sz w:val="11"/>
          <w:szCs w:val="11"/>
        </w:rPr>
      </w:pPr>
      <w:r>
        <w:rPr>
          <w:color w:val="231F20"/>
        </w:rPr>
        <w:t>non-Indigenous</w:t>
      </w:r>
      <w:r>
        <w:rPr>
          <w:color w:val="231F20"/>
          <w:spacing w:val="-6"/>
        </w:rPr>
        <w:t> </w:t>
      </w:r>
      <w:r>
        <w:rPr>
          <w:color w:val="231F20"/>
        </w:rPr>
        <w:t>people</w:t>
      </w:r>
      <w:r>
        <w:rPr>
          <w:color w:val="231F20"/>
          <w:spacing w:val="-5"/>
        </w:rPr>
        <w:t> </w:t>
      </w:r>
      <w:r>
        <w:rPr>
          <w:color w:val="231F20"/>
          <w:spacing w:val="-1"/>
        </w:rPr>
        <w:t>in</w:t>
      </w:r>
      <w:r>
        <w:rPr>
          <w:color w:val="231F20"/>
          <w:spacing w:val="-5"/>
        </w:rPr>
        <w:t> </w:t>
      </w:r>
      <w:r>
        <w:rPr>
          <w:color w:val="231F20"/>
        </w:rPr>
        <w:t>the</w:t>
      </w:r>
      <w:r>
        <w:rPr>
          <w:color w:val="231F20"/>
          <w:spacing w:val="-5"/>
        </w:rPr>
        <w:t> </w:t>
      </w:r>
      <w:r>
        <w:rPr>
          <w:color w:val="231F20"/>
          <w:spacing w:val="-1"/>
        </w:rPr>
        <w:t>2016</w:t>
      </w:r>
      <w:r>
        <w:rPr>
          <w:color w:val="231F20"/>
          <w:spacing w:val="-4"/>
        </w:rPr>
        <w:t> </w:t>
      </w:r>
      <w:r>
        <w:rPr>
          <w:color w:val="231F20"/>
          <w:spacing w:val="-1"/>
        </w:rPr>
        <w:t>Census</w:t>
      </w:r>
      <w:r>
        <w:rPr>
          <w:color w:val="231F20"/>
          <w:spacing w:val="-5"/>
        </w:rPr>
        <w:t> </w:t>
      </w:r>
      <w:r>
        <w:rPr>
          <w:color w:val="231F20"/>
        </w:rPr>
        <w:t>was</w:t>
      </w:r>
      <w:r>
        <w:rPr>
          <w:color w:val="231F20"/>
          <w:spacing w:val="24"/>
          <w:w w:val="99"/>
        </w:rPr>
        <w:t> </w:t>
      </w:r>
      <w:r>
        <w:rPr>
          <w:color w:val="231F20"/>
          <w:spacing w:val="-1"/>
        </w:rPr>
        <w:t>79</w:t>
      </w:r>
      <w:r>
        <w:rPr>
          <w:color w:val="231F20"/>
          <w:spacing w:val="1"/>
        </w:rPr>
        <w:t> </w:t>
      </w:r>
      <w:r>
        <w:rPr>
          <w:color w:val="231F20"/>
        </w:rPr>
        <w:t>per</w:t>
      </w:r>
      <w:r>
        <w:rPr>
          <w:color w:val="231F20"/>
          <w:spacing w:val="1"/>
        </w:rPr>
        <w:t> </w:t>
      </w:r>
      <w:r>
        <w:rPr>
          <w:color w:val="231F20"/>
          <w:spacing w:val="-1"/>
        </w:rPr>
        <w:t>cent.</w:t>
      </w:r>
      <w:r>
        <w:rPr>
          <w:rFonts w:ascii="Segoe UI Semibold"/>
          <w:b/>
          <w:color w:val="231F20"/>
          <w:spacing w:val="-1"/>
          <w:position w:val="7"/>
          <w:sz w:val="11"/>
        </w:rPr>
        <w:t>168</w:t>
      </w:r>
      <w:r>
        <w:rPr>
          <w:rFonts w:ascii="Segoe UI Semibold"/>
          <w:sz w:val="11"/>
        </w:rPr>
      </w:r>
    </w:p>
    <w:p>
      <w:pPr>
        <w:spacing w:after="0" w:line="250" w:lineRule="exact"/>
        <w:jc w:val="left"/>
        <w:rPr>
          <w:rFonts w:ascii="Segoe UI Semibold" w:hAnsi="Segoe UI Semibold" w:cs="Segoe UI Semibold" w:eastAsia="Segoe UI Semibold"/>
          <w:sz w:val="11"/>
          <w:szCs w:val="11"/>
        </w:rPr>
        <w:sectPr>
          <w:type w:val="continuous"/>
          <w:pgSz w:w="11910" w:h="16840"/>
          <w:pgMar w:top="1580" w:bottom="280" w:left="1300" w:right="1600"/>
          <w:cols w:num="2" w:equalWidth="0">
            <w:col w:w="4369" w:space="223"/>
            <w:col w:w="4418"/>
          </w:cols>
        </w:sect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5"/>
        <w:rPr>
          <w:rFonts w:ascii="Segoe UI Semibold" w:hAnsi="Segoe UI Semibold" w:cs="Segoe UI Semibold" w:eastAsia="Segoe UI Semibold"/>
          <w:b/>
          <w:bCs/>
          <w:sz w:val="10"/>
          <w:szCs w:val="10"/>
        </w:rPr>
      </w:pPr>
    </w:p>
    <w:p>
      <w:pPr>
        <w:spacing w:line="200" w:lineRule="atLeast"/>
        <w:ind w:left="100" w:right="0" w:firstLine="0"/>
        <w:rPr>
          <w:rFonts w:ascii="Segoe UI Semibold" w:hAnsi="Segoe UI Semibold" w:cs="Segoe UI Semibold" w:eastAsia="Segoe UI Semibold"/>
          <w:sz w:val="20"/>
          <w:szCs w:val="20"/>
        </w:rPr>
      </w:pPr>
      <w:r>
        <w:rPr>
          <w:rFonts w:ascii="Segoe UI Semibold" w:hAnsi="Segoe UI Semibold" w:cs="Segoe UI Semibold" w:eastAsia="Segoe UI Semibold"/>
          <w:sz w:val="20"/>
          <w:szCs w:val="20"/>
        </w:rPr>
        <w:pict>
          <v:group style="width:439.4pt;height:247.3pt;mso-position-horizontal-relative:char;mso-position-vertical-relative:line" coordorigin="0,0" coordsize="8788,4946">
            <v:group style="position:absolute;left:100;top:100;width:8588;height:4746" coordorigin="100,100" coordsize="8588,4746">
              <v:shape style="position:absolute;left:100;top:100;width:8588;height:4746" coordorigin="100,100" coordsize="8588,4746" path="m100,4846l8687,4846,8687,100,100,100,100,4846xe" filled="false" stroked="true" strokeweight="10pt" strokecolor="#c1b5a9">
                <v:path arrowok="t"/>
              </v:shape>
            </v:group>
            <v:group style="position:absolute;left:7534;top:2920;width:779;height:2" coordorigin="7534,2920" coordsize="779,2">
              <v:shape style="position:absolute;left:7534;top:2920;width:779;height:2" coordorigin="7534,2920" coordsize="779,0" path="m7534,2920l8312,2920e" filled="false" stroked="true" strokeweight=".75pt" strokecolor="#dcddde">
                <v:path arrowok="t"/>
              </v:shape>
            </v:group>
            <v:group style="position:absolute;left:6063;top:2920;width:1140;height:2" coordorigin="6063,2920" coordsize="1140,2">
              <v:shape style="position:absolute;left:6063;top:2920;width:1140;height:2" coordorigin="6063,2920" coordsize="1140,0" path="m6063,2920l7203,2920e" filled="false" stroked="true" strokeweight=".75pt" strokecolor="#dcddde">
                <v:path arrowok="t"/>
              </v:shape>
            </v:group>
            <v:group style="position:absolute;left:5014;top:2920;width:720;height:2" coordorigin="5014,2920" coordsize="720,2">
              <v:shape style="position:absolute;left:5014;top:2920;width:720;height:2" coordorigin="5014,2920" coordsize="720,0" path="m5014,2920l5734,2920e" filled="false" stroked="true" strokeweight=".75pt" strokecolor="#dcddde">
                <v:path arrowok="t"/>
              </v:shape>
            </v:group>
            <v:group style="position:absolute;left:4594;top:2920;width:89;height:2" coordorigin="4594,2920" coordsize="89,2">
              <v:shape style="position:absolute;left:4594;top:2920;width:89;height:2" coordorigin="4594,2920" coordsize="89,0" path="m4594,2920l4683,2920e" filled="false" stroked="true" strokeweight=".75pt" strokecolor="#dcddde">
                <v:path arrowok="t"/>
              </v:shape>
            </v:group>
            <v:group style="position:absolute;left:3543;top:2920;width:723;height:2" coordorigin="3543,2920" coordsize="723,2">
              <v:shape style="position:absolute;left:3543;top:2920;width:723;height:2" coordorigin="3543,2920" coordsize="723,0" path="m3543,2920l4265,2920e" filled="false" stroked="true" strokeweight=".75pt" strokecolor="#dcddde">
                <v:path arrowok="t"/>
              </v:shape>
            </v:group>
            <v:group style="position:absolute;left:3125;top:2920;width:89;height:2" coordorigin="3125,2920" coordsize="89,2">
              <v:shape style="position:absolute;left:3125;top:2920;width:89;height:2" coordorigin="3125,2920" coordsize="89,0" path="m3125,2920l3214,2920e" filled="false" stroked="true" strokeweight=".75pt" strokecolor="#dcddde">
                <v:path arrowok="t"/>
              </v:shape>
            </v:group>
            <v:group style="position:absolute;left:2074;top:2920;width:723;height:2" coordorigin="2074,2920" coordsize="723,2">
              <v:shape style="position:absolute;left:2074;top:2920;width:723;height:2" coordorigin="2074,2920" coordsize="723,0" path="m2074,2920l2797,2920e" filled="false" stroked="true" strokeweight=".75pt" strokecolor="#dcddde">
                <v:path arrowok="t"/>
              </v:shape>
            </v:group>
            <v:group style="position:absolute;left:1657;top:2920;width:89;height:2" coordorigin="1657,2920" coordsize="89,2">
              <v:shape style="position:absolute;left:1657;top:2920;width:89;height:2" coordorigin="1657,2920" coordsize="89,0" path="m1657,2920l1745,2920e" filled="false" stroked="true" strokeweight=".75pt" strokecolor="#dcddde">
                <v:path arrowok="t"/>
              </v:shape>
            </v:group>
            <v:group style="position:absolute;left:966;top:2920;width:360;height:2" coordorigin="966,2920" coordsize="360,2">
              <v:shape style="position:absolute;left:966;top:2920;width:360;height:2" coordorigin="966,2920" coordsize="360,0" path="m966,2920l1325,2920e" filled="false" stroked="true" strokeweight=".75pt" strokecolor="#dcddde">
                <v:path arrowok="t"/>
              </v:shape>
            </v:group>
            <v:group style="position:absolute;left:7534;top:2553;width:779;height:2" coordorigin="7534,2553" coordsize="779,2">
              <v:shape style="position:absolute;left:7534;top:2553;width:779;height:2" coordorigin="7534,2553" coordsize="779,0" path="m7534,2553l8312,2553e" filled="false" stroked="true" strokeweight=".75pt" strokecolor="#dcddde">
                <v:path arrowok="t"/>
              </v:shape>
            </v:group>
            <v:group style="position:absolute;left:6063;top:2553;width:1140;height:2" coordorigin="6063,2553" coordsize="1140,2">
              <v:shape style="position:absolute;left:6063;top:2553;width:1140;height:2" coordorigin="6063,2553" coordsize="1140,0" path="m6063,2553l7203,2553e" filled="false" stroked="true" strokeweight=".75pt" strokecolor="#dcddde">
                <v:path arrowok="t"/>
              </v:shape>
            </v:group>
            <v:group style="position:absolute;left:5014;top:2553;width:720;height:2" coordorigin="5014,2553" coordsize="720,2">
              <v:shape style="position:absolute;left:5014;top:2553;width:720;height:2" coordorigin="5014,2553" coordsize="720,0" path="m5014,2553l5734,2553e" filled="false" stroked="true" strokeweight=".75pt" strokecolor="#dcddde">
                <v:path arrowok="t"/>
              </v:shape>
            </v:group>
            <v:group style="position:absolute;left:4594;top:2553;width:89;height:2" coordorigin="4594,2553" coordsize="89,2">
              <v:shape style="position:absolute;left:4594;top:2553;width:89;height:2" coordorigin="4594,2553" coordsize="89,0" path="m4594,2553l4683,2553e" filled="false" stroked="true" strokeweight=".75pt" strokecolor="#dcddde">
                <v:path arrowok="t"/>
              </v:shape>
            </v:group>
            <v:group style="position:absolute;left:3543;top:2553;width:723;height:2" coordorigin="3543,2553" coordsize="723,2">
              <v:shape style="position:absolute;left:3543;top:2553;width:723;height:2" coordorigin="3543,2553" coordsize="723,0" path="m3543,2553l4265,2553e" filled="false" stroked="true" strokeweight=".75pt" strokecolor="#dcddde">
                <v:path arrowok="t"/>
              </v:shape>
            </v:group>
            <v:group style="position:absolute;left:3125;top:2553;width:89;height:2" coordorigin="3125,2553" coordsize="89,2">
              <v:shape style="position:absolute;left:3125;top:2553;width:89;height:2" coordorigin="3125,2553" coordsize="89,0" path="m3125,2553l3214,2553e" filled="false" stroked="true" strokeweight=".75pt" strokecolor="#dcddde">
                <v:path arrowok="t"/>
              </v:shape>
            </v:group>
            <v:group style="position:absolute;left:2074;top:2553;width:723;height:2" coordorigin="2074,2553" coordsize="723,2">
              <v:shape style="position:absolute;left:2074;top:2553;width:723;height:2" coordorigin="2074,2553" coordsize="723,0" path="m2074,2553l2797,2553e" filled="false" stroked="true" strokeweight=".75pt" strokecolor="#dcddde">
                <v:path arrowok="t"/>
              </v:shape>
            </v:group>
            <v:group style="position:absolute;left:1657;top:2553;width:89;height:2" coordorigin="1657,2553" coordsize="89,2">
              <v:shape style="position:absolute;left:1657;top:2553;width:89;height:2" coordorigin="1657,2553" coordsize="89,0" path="m1657,2553l1745,2553e" filled="false" stroked="true" strokeweight=".75pt" strokecolor="#dcddde">
                <v:path arrowok="t"/>
              </v:shape>
            </v:group>
            <v:group style="position:absolute;left:966;top:2553;width:360;height:2" coordorigin="966,2553" coordsize="360,2">
              <v:shape style="position:absolute;left:966;top:2553;width:360;height:2" coordorigin="966,2553" coordsize="360,0" path="m966,2553l1325,2553e" filled="false" stroked="true" strokeweight=".75pt" strokecolor="#dcddde">
                <v:path arrowok="t"/>
              </v:shape>
            </v:group>
            <v:group style="position:absolute;left:7534;top:2188;width:779;height:2" coordorigin="7534,2188" coordsize="779,2">
              <v:shape style="position:absolute;left:7534;top:2188;width:779;height:2" coordorigin="7534,2188" coordsize="779,0" path="m7534,2188l8312,2188e" filled="false" stroked="true" strokeweight=".75pt" strokecolor="#dcddde">
                <v:path arrowok="t"/>
              </v:shape>
            </v:group>
            <v:group style="position:absolute;left:5014;top:2188;width:2189;height:2" coordorigin="5014,2188" coordsize="2189,2">
              <v:shape style="position:absolute;left:5014;top:2188;width:2189;height:2" coordorigin="5014,2188" coordsize="2189,0" path="m5014,2188l7203,2188e" filled="false" stroked="true" strokeweight=".75pt" strokecolor="#dcddde">
                <v:path arrowok="t"/>
              </v:shape>
            </v:group>
            <v:group style="position:absolute;left:4594;top:2188;width:89;height:2" coordorigin="4594,2188" coordsize="89,2">
              <v:shape style="position:absolute;left:4594;top:2188;width:89;height:2" coordorigin="4594,2188" coordsize="89,0" path="m4594,2188l4683,2188e" filled="false" stroked="true" strokeweight=".75pt" strokecolor="#dcddde">
                <v:path arrowok="t"/>
              </v:shape>
            </v:group>
            <v:group style="position:absolute;left:3543;top:2188;width:723;height:2" coordorigin="3543,2188" coordsize="723,2">
              <v:shape style="position:absolute;left:3543;top:2188;width:723;height:2" coordorigin="3543,2188" coordsize="723,0" path="m3543,2188l4265,2188e" filled="false" stroked="true" strokeweight=".75pt" strokecolor="#dcddde">
                <v:path arrowok="t"/>
              </v:shape>
            </v:group>
            <v:group style="position:absolute;left:3125;top:2188;width:89;height:2" coordorigin="3125,2188" coordsize="89,2">
              <v:shape style="position:absolute;left:3125;top:2188;width:89;height:2" coordorigin="3125,2188" coordsize="89,0" path="m3125,2188l3214,2188e" filled="false" stroked="true" strokeweight=".75pt" strokecolor="#dcddde">
                <v:path arrowok="t"/>
              </v:shape>
            </v:group>
            <v:group style="position:absolute;left:2074;top:2188;width:723;height:2" coordorigin="2074,2188" coordsize="723,2">
              <v:shape style="position:absolute;left:2074;top:2188;width:723;height:2" coordorigin="2074,2188" coordsize="723,0" path="m2074,2188l2797,2188e" filled="false" stroked="true" strokeweight=".75pt" strokecolor="#dcddde">
                <v:path arrowok="t"/>
              </v:shape>
            </v:group>
            <v:group style="position:absolute;left:1657;top:2188;width:89;height:2" coordorigin="1657,2188" coordsize="89,2">
              <v:shape style="position:absolute;left:1657;top:2188;width:89;height:2" coordorigin="1657,2188" coordsize="89,0" path="m1657,2188l1745,2188e" filled="false" stroked="true" strokeweight=".75pt" strokecolor="#dcddde">
                <v:path arrowok="t"/>
              </v:shape>
            </v:group>
            <v:group style="position:absolute;left:966;top:2188;width:360;height:2" coordorigin="966,2188" coordsize="360,2">
              <v:shape style="position:absolute;left:966;top:2188;width:360;height:2" coordorigin="966,2188" coordsize="360,0" path="m966,2188l1325,2188e" filled="false" stroked="true" strokeweight=".75pt" strokecolor="#dcddde">
                <v:path arrowok="t"/>
              </v:shape>
            </v:group>
            <v:group style="position:absolute;left:5014;top:1823;width:3299;height:2" coordorigin="5014,1823" coordsize="3299,2">
              <v:shape style="position:absolute;left:5014;top:1823;width:3299;height:2" coordorigin="5014,1823" coordsize="3299,0" path="m5014,1823l8312,1823e" filled="false" stroked="true" strokeweight=".75pt" strokecolor="#dcddde">
                <v:path arrowok="t"/>
              </v:shape>
            </v:group>
            <v:group style="position:absolute;left:3543;top:1823;width:1140;height:2" coordorigin="3543,1823" coordsize="1140,2">
              <v:shape style="position:absolute;left:3543;top:1823;width:1140;height:2" coordorigin="3543,1823" coordsize="1140,0" path="m3543,1823l4683,1823e" filled="false" stroked="true" strokeweight=".75pt" strokecolor="#dcddde">
                <v:path arrowok="t"/>
              </v:shape>
            </v:group>
            <v:group style="position:absolute;left:2074;top:1823;width:1140;height:2" coordorigin="2074,1823" coordsize="1140,2">
              <v:shape style="position:absolute;left:2074;top:1823;width:1140;height:2" coordorigin="2074,1823" coordsize="1140,0" path="m2074,1823l3214,1823e" filled="false" stroked="true" strokeweight=".75pt" strokecolor="#dcddde">
                <v:path arrowok="t"/>
              </v:shape>
            </v:group>
            <v:group style="position:absolute;left:966;top:1823;width:780;height:2" coordorigin="966,1823" coordsize="780,2">
              <v:shape style="position:absolute;left:966;top:1823;width:780;height:2" coordorigin="966,1823" coordsize="780,0" path="m966,1823l1745,1823e" filled="false" stroked="true" strokeweight=".75pt" strokecolor="#dcddde">
                <v:path arrowok="t"/>
              </v:shape>
            </v:group>
            <v:group style="position:absolute;left:3543;top:1458;width:4770;height:2" coordorigin="3543,1458" coordsize="4770,2">
              <v:shape style="position:absolute;left:3543;top:1458;width:4770;height:2" coordorigin="3543,1458" coordsize="4770,0" path="m3543,1458l8312,1458e" filled="false" stroked="true" strokeweight=".75pt" strokecolor="#dcddde">
                <v:path arrowok="t"/>
              </v:shape>
            </v:group>
            <v:group style="position:absolute;left:2074;top:1458;width:1140;height:2" coordorigin="2074,1458" coordsize="1140,2">
              <v:shape style="position:absolute;left:2074;top:1458;width:1140;height:2" coordorigin="2074,1458" coordsize="1140,0" path="m2074,1458l3214,1458e" filled="false" stroked="true" strokeweight=".75pt" strokecolor="#dcddde">
                <v:path arrowok="t"/>
              </v:shape>
            </v:group>
            <v:group style="position:absolute;left:966;top:1458;width:780;height:2" coordorigin="966,1458" coordsize="780,2">
              <v:shape style="position:absolute;left:966;top:1458;width:780;height:2" coordorigin="966,1458" coordsize="780,0" path="m966,1458l1745,1458e" filled="false" stroked="true" strokeweight=".75pt" strokecolor="#dcddde">
                <v:path arrowok="t"/>
              </v:shape>
            </v:group>
            <v:group style="position:absolute;left:966;top:1092;width:7347;height:2" coordorigin="966,1092" coordsize="7347,2">
              <v:shape style="position:absolute;left:966;top:1092;width:7347;height:2" coordorigin="966,1092" coordsize="7347,0" path="m966,1092l8312,1092e" filled="false" stroked="true" strokeweight=".75pt" strokecolor="#dcddde">
                <v:path arrowok="t"/>
              </v:shape>
            </v:group>
            <v:group style="position:absolute;left:4265;top:1818;width:329;height:1467" coordorigin="4265,1818" coordsize="329,1467">
              <v:shape style="position:absolute;left:4265;top:1818;width:329;height:1467" coordorigin="4265,1818" coordsize="329,1467" path="m4594,1818l4265,1818,4265,3284,4594,3284,4594,1818xe" filled="true" fillcolor="#71598f" stroked="false">
                <v:path arrowok="t"/>
                <v:fill type="solid"/>
              </v:shape>
            </v:group>
            <v:group style="position:absolute;left:1325;top:1850;width:332;height:1435" coordorigin="1325,1850" coordsize="332,1435">
              <v:shape style="position:absolute;left:1325;top:1850;width:332;height:1435" coordorigin="1325,1850" coordsize="332,1435" path="m1657,1850l1325,1850,1325,3284,1657,3284,1657,1850xe" filled="true" fillcolor="#71598f" stroked="false">
                <v:path arrowok="t"/>
                <v:fill type="solid"/>
              </v:shape>
            </v:group>
            <v:group style="position:absolute;left:2797;top:1991;width:329;height:1294" coordorigin="2797,1991" coordsize="329,1294">
              <v:shape style="position:absolute;left:2797;top:1991;width:329;height:1294" coordorigin="2797,1991" coordsize="329,1294" path="m3125,1991l2797,1991,2797,3284,3125,3284,3125,1991xe" filled="true" fillcolor="#71598f" stroked="false">
                <v:path arrowok="t"/>
                <v:fill type="solid"/>
              </v:shape>
            </v:group>
            <v:group style="position:absolute;left:7203;top:1996;width:332;height:1289" coordorigin="7203,1996" coordsize="332,1289">
              <v:shape style="position:absolute;left:7203;top:1996;width:332;height:1289" coordorigin="7203,1996" coordsize="332,1289" path="m7534,1996l7203,1996,7203,3284,7534,3284,7534,1996xe" filled="true" fillcolor="#71598f" stroked="false">
                <v:path arrowok="t"/>
                <v:fill type="solid"/>
              </v:shape>
            </v:group>
            <v:group style="position:absolute;left:5734;top:2505;width:329;height:780" coordorigin="5734,2505" coordsize="329,780">
              <v:shape style="position:absolute;left:5734;top:2505;width:329;height:780" coordorigin="5734,2505" coordsize="329,780" path="m6063,2505l5734,2505,5734,3284,6063,3284,6063,2505xe" filled="true" fillcolor="#71598f" stroked="false">
                <v:path arrowok="t"/>
                <v:fill type="solid"/>
              </v:shape>
            </v:group>
            <v:group style="position:absolute;left:1745;top:1146;width:329;height:2139" coordorigin="1745,1146" coordsize="329,2139">
              <v:shape style="position:absolute;left:1745;top:1146;width:329;height:2139" coordorigin="1745,1146" coordsize="329,2139" path="m2074,1146l1745,1146,1745,3285,2074,3285,2074,1146xe" filled="true" fillcolor="#a99bbc" stroked="false">
                <v:path arrowok="t"/>
                <v:fill type="solid"/>
              </v:shape>
            </v:group>
            <v:group style="position:absolute;left:3214;top:1286;width:329;height:2000" coordorigin="3214,1286" coordsize="329,2000">
              <v:shape style="position:absolute;left:3214;top:1286;width:329;height:2000" coordorigin="3214,1286" coordsize="329,2000" path="m3543,1286l3214,1286,3214,3285,3543,3285,3543,1286xe" filled="true" fillcolor="#a99bbc" stroked="false">
                <v:path arrowok="t"/>
                <v:fill type="solid"/>
              </v:shape>
            </v:group>
            <v:group style="position:absolute;left:4683;top:1468;width:332;height:1817" coordorigin="4683,1468" coordsize="332,1817">
              <v:shape style="position:absolute;left:4683;top:1468;width:332;height:1817" coordorigin="4683,1468" coordsize="332,1817" path="m5014,1468l4683,1468,4683,3285,5014,3285,5014,1468xe" filled="true" fillcolor="#a99bbc" stroked="false">
                <v:path arrowok="t"/>
                <v:fill type="solid"/>
              </v:shape>
            </v:group>
            <v:group style="position:absolute;left:7623;top:3292;width:329;height:2" coordorigin="7623,3292" coordsize="329,2">
              <v:shape style="position:absolute;left:7623;top:3292;width:329;height:2" coordorigin="7623,3292" coordsize="329,0" path="m7623,3292l7952,3292e" filled="false" stroked="true" strokeweight=".819pt" strokecolor="#a99bbc">
                <v:path arrowok="t"/>
              </v:shape>
            </v:group>
            <v:group style="position:absolute;left:6152;top:3292;width:332;height:2" coordorigin="6152,3292" coordsize="332,2">
              <v:shape style="position:absolute;left:6152;top:3292;width:332;height:2" coordorigin="6152,3292" coordsize="332,0" path="m6152,3292l6483,3292e" filled="false" stroked="true" strokeweight=".819pt" strokecolor="#a99bbc">
                <v:path arrowok="t"/>
              </v:shape>
            </v:group>
            <v:group style="position:absolute;left:966;top:3284;width:7347;height:2" coordorigin="966,3284" coordsize="7347,2">
              <v:shape style="position:absolute;left:966;top:3284;width:7347;height:2" coordorigin="966,3284" coordsize="7347,0" path="m966,3284l8312,3284e" filled="false" stroked="true" strokeweight=".75pt" strokecolor="#dcddde">
                <v:path arrowok="t"/>
              </v:shape>
            </v:group>
            <v:group style="position:absolute;left:2850;top:4269;width:96;height:96" coordorigin="2850,4269" coordsize="96,96">
              <v:shape style="position:absolute;left:2850;top:4269;width:96;height:96" coordorigin="2850,4269" coordsize="96,96" path="m2850,4269l2945,4269,2945,4365,2850,4365,2850,4269xe" filled="true" fillcolor="#71598f" stroked="false">
                <v:path arrowok="t"/>
                <v:fill type="solid"/>
              </v:shape>
            </v:group>
            <v:group style="position:absolute;left:4608;top:4269;width:96;height:96" coordorigin="4608,4269" coordsize="96,96">
              <v:shape style="position:absolute;left:4608;top:4269;width:96;height:96" coordorigin="4608,4269" coordsize="96,96" path="m4608,4269l4704,4269,4704,4365,4608,4365,4608,4269xe" filled="true" fillcolor="#a99bbc" stroked="false">
                <v:path arrowok="t"/>
                <v:fill type="solid"/>
              </v:shape>
              <v:shape style="position:absolute;left:286;top:290;width:5370;height:169" type="#_x0000_t202" filled="false" stroked="false">
                <v:textbox inset="0,0,0,0">
                  <w:txbxContent>
                    <w:p>
                      <w:pPr>
                        <w:spacing w:line="169" w:lineRule="exact" w:before="0"/>
                        <w:ind w:left="0" w:right="0" w:firstLine="0"/>
                        <w:jc w:val="left"/>
                        <w:rPr>
                          <w:rFonts w:ascii="Segoe UI Semibold" w:hAnsi="Segoe UI Semibold" w:cs="Segoe UI Semibold" w:eastAsia="Segoe UI Semibold"/>
                          <w:sz w:val="16"/>
                          <w:szCs w:val="16"/>
                        </w:rPr>
                      </w:pPr>
                      <w:r>
                        <w:rPr>
                          <w:rFonts w:ascii="Segoe UI Semibold" w:hAnsi="Segoe UI Semibold" w:cs="Segoe UI Semibold" w:eastAsia="Segoe UI Semibold"/>
                          <w:b/>
                          <w:bCs/>
                          <w:color w:val="666155"/>
                          <w:spacing w:val="4"/>
                          <w:sz w:val="16"/>
                          <w:szCs w:val="16"/>
                        </w:rPr>
                        <w:t>GRAPH</w:t>
                      </w:r>
                      <w:r>
                        <w:rPr>
                          <w:rFonts w:ascii="Segoe UI Semibold" w:hAnsi="Segoe UI Semibold" w:cs="Segoe UI Semibold" w:eastAsia="Segoe UI Semibold"/>
                          <w:b/>
                          <w:bCs/>
                          <w:color w:val="666155"/>
                          <w:sz w:val="16"/>
                          <w:szCs w:val="16"/>
                        </w:rPr>
                        <w:t> 27: </w:t>
                      </w:r>
                      <w:r>
                        <w:rPr>
                          <w:rFonts w:ascii="Segoe UI Semibold" w:hAnsi="Segoe UI Semibold" w:cs="Segoe UI Semibold" w:eastAsia="Segoe UI Semibold"/>
                          <w:b/>
                          <w:bCs/>
                          <w:color w:val="666155"/>
                          <w:spacing w:val="2"/>
                          <w:sz w:val="16"/>
                          <w:szCs w:val="16"/>
                        </w:rPr>
                        <w:t>AVERAGE</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spacing w:val="4"/>
                          <w:sz w:val="16"/>
                          <w:szCs w:val="16"/>
                        </w:rPr>
                        <w:t>NAPLAN</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spacing w:val="-3"/>
                          <w:sz w:val="16"/>
                          <w:szCs w:val="16"/>
                        </w:rPr>
                        <w:t>AT</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spacing w:val="4"/>
                          <w:sz w:val="16"/>
                          <w:szCs w:val="16"/>
                        </w:rPr>
                        <w:t>BOARDING</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spacing w:val="4"/>
                          <w:sz w:val="16"/>
                          <w:szCs w:val="16"/>
                        </w:rPr>
                        <w:t>PROVIDERS,</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z w:val="16"/>
                          <w:szCs w:val="16"/>
                        </w:rPr>
                        <w:t>2015</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position w:val="1"/>
                          <w:sz w:val="16"/>
                          <w:szCs w:val="16"/>
                        </w:rPr>
                        <w:t>—</w:t>
                      </w:r>
                      <w:r>
                        <w:rPr>
                          <w:rFonts w:ascii="Segoe UI Semibold" w:hAnsi="Segoe UI Semibold" w:cs="Segoe UI Semibold" w:eastAsia="Segoe UI Semibold"/>
                          <w:b/>
                          <w:bCs/>
                          <w:color w:val="666155"/>
                          <w:spacing w:val="-2"/>
                          <w:position w:val="1"/>
                          <w:sz w:val="16"/>
                          <w:szCs w:val="16"/>
                        </w:rPr>
                        <w:t> </w:t>
                      </w:r>
                      <w:r>
                        <w:rPr>
                          <w:rFonts w:ascii="Segoe UI Semibold" w:hAnsi="Segoe UI Semibold" w:cs="Segoe UI Semibold" w:eastAsia="Segoe UI Semibold"/>
                          <w:b/>
                          <w:bCs/>
                          <w:color w:val="666155"/>
                          <w:spacing w:val="-1"/>
                          <w:sz w:val="16"/>
                          <w:szCs w:val="16"/>
                        </w:rPr>
                        <w:t>2017</w:t>
                      </w:r>
                      <w:r>
                        <w:rPr>
                          <w:rFonts w:ascii="Segoe UI Semibold" w:hAnsi="Segoe UI Semibold" w:cs="Segoe UI Semibold" w:eastAsia="Segoe UI Semibold"/>
                          <w:sz w:val="16"/>
                          <w:szCs w:val="16"/>
                        </w:rPr>
                      </w:r>
                    </w:p>
                  </w:txbxContent>
                </v:textbox>
                <w10:wrap type="none"/>
              </v:shape>
              <v:shape style="position:absolute;left:543;top:1023;width:260;height:2353" type="#_x0000_t202" filled="false" stroked="false">
                <v:textbox inset="0,0,0,0">
                  <w:txbxContent>
                    <w:p>
                      <w:pPr>
                        <w:spacing w:line="162" w:lineRule="exact" w:before="0"/>
                        <w:ind w:left="0" w:right="0" w:firstLine="0"/>
                        <w:jc w:val="left"/>
                        <w:rPr>
                          <w:rFonts w:ascii="Segoe UI" w:hAnsi="Segoe UI" w:cs="Segoe UI" w:eastAsia="Segoe UI"/>
                          <w:sz w:val="16"/>
                          <w:szCs w:val="16"/>
                        </w:rPr>
                      </w:pPr>
                      <w:r>
                        <w:rPr>
                          <w:rFonts w:ascii="Segoe UI"/>
                          <w:color w:val="77787B"/>
                          <w:spacing w:val="-1"/>
                          <w:sz w:val="16"/>
                        </w:rPr>
                        <w:t>600</w:t>
                      </w:r>
                      <w:r>
                        <w:rPr>
                          <w:rFonts w:ascii="Segoe UI"/>
                          <w:sz w:val="16"/>
                        </w:rPr>
                      </w:r>
                    </w:p>
                    <w:p>
                      <w:pPr>
                        <w:spacing w:line="240" w:lineRule="auto" w:before="6"/>
                        <w:rPr>
                          <w:rFonts w:ascii="Segoe UI Semibold" w:hAnsi="Segoe UI Semibold" w:cs="Segoe UI Semibold" w:eastAsia="Segoe UI Semibold"/>
                          <w:b/>
                          <w:bCs/>
                          <w:sz w:val="11"/>
                          <w:szCs w:val="11"/>
                        </w:rPr>
                      </w:pPr>
                    </w:p>
                    <w:p>
                      <w:pPr>
                        <w:spacing w:before="0"/>
                        <w:ind w:left="0" w:right="0" w:firstLine="0"/>
                        <w:jc w:val="left"/>
                        <w:rPr>
                          <w:rFonts w:ascii="Segoe UI" w:hAnsi="Segoe UI" w:cs="Segoe UI" w:eastAsia="Segoe UI"/>
                          <w:sz w:val="16"/>
                          <w:szCs w:val="16"/>
                        </w:rPr>
                      </w:pPr>
                      <w:r>
                        <w:rPr>
                          <w:rFonts w:ascii="Segoe UI"/>
                          <w:color w:val="77787B"/>
                          <w:spacing w:val="-1"/>
                          <w:sz w:val="16"/>
                        </w:rPr>
                        <w:t>550</w:t>
                      </w:r>
                      <w:r>
                        <w:rPr>
                          <w:rFonts w:ascii="Segoe UI"/>
                          <w:sz w:val="16"/>
                        </w:rPr>
                      </w:r>
                    </w:p>
                    <w:p>
                      <w:pPr>
                        <w:spacing w:line="240" w:lineRule="auto" w:before="6"/>
                        <w:rPr>
                          <w:rFonts w:ascii="Segoe UI Semibold" w:hAnsi="Segoe UI Semibold" w:cs="Segoe UI Semibold" w:eastAsia="Segoe UI Semibold"/>
                          <w:b/>
                          <w:bCs/>
                          <w:sz w:val="11"/>
                          <w:szCs w:val="11"/>
                        </w:rPr>
                      </w:pPr>
                    </w:p>
                    <w:p>
                      <w:pPr>
                        <w:spacing w:before="0"/>
                        <w:ind w:left="0" w:right="0" w:firstLine="0"/>
                        <w:jc w:val="left"/>
                        <w:rPr>
                          <w:rFonts w:ascii="Segoe UI" w:hAnsi="Segoe UI" w:cs="Segoe UI" w:eastAsia="Segoe UI"/>
                          <w:sz w:val="16"/>
                          <w:szCs w:val="16"/>
                        </w:rPr>
                      </w:pPr>
                      <w:r>
                        <w:rPr>
                          <w:rFonts w:ascii="Segoe UI"/>
                          <w:color w:val="77787B"/>
                          <w:spacing w:val="-1"/>
                          <w:sz w:val="16"/>
                        </w:rPr>
                        <w:t>500</w:t>
                      </w:r>
                      <w:r>
                        <w:rPr>
                          <w:rFonts w:ascii="Segoe UI"/>
                          <w:sz w:val="16"/>
                        </w:rPr>
                      </w:r>
                    </w:p>
                    <w:p>
                      <w:pPr>
                        <w:spacing w:line="240" w:lineRule="auto" w:before="6"/>
                        <w:rPr>
                          <w:rFonts w:ascii="Segoe UI Semibold" w:hAnsi="Segoe UI Semibold" w:cs="Segoe UI Semibold" w:eastAsia="Segoe UI Semibold"/>
                          <w:b/>
                          <w:bCs/>
                          <w:sz w:val="11"/>
                          <w:szCs w:val="11"/>
                        </w:rPr>
                      </w:pPr>
                    </w:p>
                    <w:p>
                      <w:pPr>
                        <w:spacing w:before="0"/>
                        <w:ind w:left="0" w:right="0" w:firstLine="0"/>
                        <w:jc w:val="left"/>
                        <w:rPr>
                          <w:rFonts w:ascii="Segoe UI" w:hAnsi="Segoe UI" w:cs="Segoe UI" w:eastAsia="Segoe UI"/>
                          <w:sz w:val="16"/>
                          <w:szCs w:val="16"/>
                        </w:rPr>
                      </w:pPr>
                      <w:r>
                        <w:rPr>
                          <w:rFonts w:ascii="Segoe UI"/>
                          <w:color w:val="77787B"/>
                          <w:spacing w:val="-1"/>
                          <w:sz w:val="16"/>
                        </w:rPr>
                        <w:t>450</w:t>
                      </w:r>
                      <w:r>
                        <w:rPr>
                          <w:rFonts w:ascii="Segoe UI"/>
                          <w:sz w:val="16"/>
                        </w:rPr>
                      </w:r>
                    </w:p>
                    <w:p>
                      <w:pPr>
                        <w:spacing w:line="240" w:lineRule="auto" w:before="6"/>
                        <w:rPr>
                          <w:rFonts w:ascii="Segoe UI Semibold" w:hAnsi="Segoe UI Semibold" w:cs="Segoe UI Semibold" w:eastAsia="Segoe UI Semibold"/>
                          <w:b/>
                          <w:bCs/>
                          <w:sz w:val="11"/>
                          <w:szCs w:val="11"/>
                        </w:rPr>
                      </w:pPr>
                    </w:p>
                    <w:p>
                      <w:pPr>
                        <w:spacing w:before="0"/>
                        <w:ind w:left="0" w:right="0" w:firstLine="0"/>
                        <w:jc w:val="left"/>
                        <w:rPr>
                          <w:rFonts w:ascii="Segoe UI" w:hAnsi="Segoe UI" w:cs="Segoe UI" w:eastAsia="Segoe UI"/>
                          <w:sz w:val="16"/>
                          <w:szCs w:val="16"/>
                        </w:rPr>
                      </w:pPr>
                      <w:r>
                        <w:rPr>
                          <w:rFonts w:ascii="Segoe UI"/>
                          <w:color w:val="77787B"/>
                          <w:spacing w:val="-1"/>
                          <w:sz w:val="16"/>
                        </w:rPr>
                        <w:t>400</w:t>
                      </w:r>
                      <w:r>
                        <w:rPr>
                          <w:rFonts w:ascii="Segoe UI"/>
                          <w:sz w:val="16"/>
                        </w:rPr>
                      </w:r>
                    </w:p>
                    <w:p>
                      <w:pPr>
                        <w:spacing w:line="240" w:lineRule="auto" w:before="6"/>
                        <w:rPr>
                          <w:rFonts w:ascii="Segoe UI Semibold" w:hAnsi="Segoe UI Semibold" w:cs="Segoe UI Semibold" w:eastAsia="Segoe UI Semibold"/>
                          <w:b/>
                          <w:bCs/>
                          <w:sz w:val="11"/>
                          <w:szCs w:val="11"/>
                        </w:rPr>
                      </w:pPr>
                    </w:p>
                    <w:p>
                      <w:pPr>
                        <w:spacing w:before="0"/>
                        <w:ind w:left="0" w:right="0" w:firstLine="0"/>
                        <w:jc w:val="left"/>
                        <w:rPr>
                          <w:rFonts w:ascii="Segoe UI" w:hAnsi="Segoe UI" w:cs="Segoe UI" w:eastAsia="Segoe UI"/>
                          <w:sz w:val="16"/>
                          <w:szCs w:val="16"/>
                        </w:rPr>
                      </w:pPr>
                      <w:r>
                        <w:rPr>
                          <w:rFonts w:ascii="Segoe UI"/>
                          <w:color w:val="77787B"/>
                          <w:spacing w:val="-1"/>
                          <w:sz w:val="16"/>
                        </w:rPr>
                        <w:t>350</w:t>
                      </w:r>
                      <w:r>
                        <w:rPr>
                          <w:rFonts w:ascii="Segoe UI"/>
                          <w:sz w:val="16"/>
                        </w:rPr>
                      </w:r>
                    </w:p>
                    <w:p>
                      <w:pPr>
                        <w:spacing w:line="240" w:lineRule="auto" w:before="6"/>
                        <w:rPr>
                          <w:rFonts w:ascii="Segoe UI Semibold" w:hAnsi="Segoe UI Semibold" w:cs="Segoe UI Semibold" w:eastAsia="Segoe UI Semibold"/>
                          <w:b/>
                          <w:bCs/>
                          <w:sz w:val="11"/>
                          <w:szCs w:val="11"/>
                        </w:rPr>
                      </w:pPr>
                    </w:p>
                    <w:p>
                      <w:pPr>
                        <w:spacing w:line="211" w:lineRule="exact" w:before="0"/>
                        <w:ind w:left="0" w:right="0" w:firstLine="0"/>
                        <w:jc w:val="left"/>
                        <w:rPr>
                          <w:rFonts w:ascii="Segoe UI" w:hAnsi="Segoe UI" w:cs="Segoe UI" w:eastAsia="Segoe UI"/>
                          <w:sz w:val="16"/>
                          <w:szCs w:val="16"/>
                        </w:rPr>
                      </w:pPr>
                      <w:r>
                        <w:rPr>
                          <w:rFonts w:ascii="Segoe UI"/>
                          <w:color w:val="77787B"/>
                          <w:spacing w:val="-1"/>
                          <w:sz w:val="16"/>
                        </w:rPr>
                        <w:t>300</w:t>
                      </w:r>
                      <w:r>
                        <w:rPr>
                          <w:rFonts w:ascii="Segoe UI"/>
                          <w:sz w:val="16"/>
                        </w:rPr>
                      </w:r>
                    </w:p>
                  </w:txbxContent>
                </v:textbox>
                <w10:wrap type="none"/>
              </v:shape>
              <v:shape style="position:absolute;left:1187;top:3451;width:1033;height:374" type="#_x0000_t202" filled="false" stroked="false">
                <v:textbox inset="0,0,0,0">
                  <w:txbxContent>
                    <w:p>
                      <w:pPr>
                        <w:spacing w:line="162" w:lineRule="exact" w:before="0"/>
                        <w:ind w:left="0" w:right="0" w:firstLine="0"/>
                        <w:jc w:val="center"/>
                        <w:rPr>
                          <w:rFonts w:ascii="Segoe UI" w:hAnsi="Segoe UI" w:cs="Segoe UI" w:eastAsia="Segoe UI"/>
                          <w:sz w:val="16"/>
                          <w:szCs w:val="16"/>
                        </w:rPr>
                      </w:pPr>
                      <w:r>
                        <w:rPr>
                          <w:rFonts w:ascii="Segoe UI"/>
                          <w:color w:val="77787B"/>
                          <w:sz w:val="16"/>
                        </w:rPr>
                        <w:t>Major Cities of</w:t>
                      </w:r>
                      <w:r>
                        <w:rPr>
                          <w:rFonts w:ascii="Segoe UI"/>
                          <w:sz w:val="16"/>
                        </w:rPr>
                      </w:r>
                    </w:p>
                    <w:p>
                      <w:pPr>
                        <w:spacing w:line="211" w:lineRule="exact" w:before="0"/>
                        <w:ind w:left="0" w:right="5" w:firstLine="0"/>
                        <w:jc w:val="center"/>
                        <w:rPr>
                          <w:rFonts w:ascii="Segoe UI" w:hAnsi="Segoe UI" w:cs="Segoe UI" w:eastAsia="Segoe UI"/>
                          <w:sz w:val="16"/>
                          <w:szCs w:val="16"/>
                        </w:rPr>
                      </w:pPr>
                      <w:r>
                        <w:rPr>
                          <w:rFonts w:ascii="Segoe UI"/>
                          <w:color w:val="77787B"/>
                          <w:spacing w:val="-1"/>
                          <w:sz w:val="16"/>
                        </w:rPr>
                        <w:t>Australia</w:t>
                      </w:r>
                      <w:r>
                        <w:rPr>
                          <w:rFonts w:ascii="Segoe UI"/>
                          <w:sz w:val="16"/>
                        </w:rPr>
                      </w:r>
                    </w:p>
                  </w:txbxContent>
                </v:textbox>
                <w10:wrap type="none"/>
              </v:shape>
              <v:shape style="position:absolute;left:2658;top:3451;width:1024;height:374" type="#_x0000_t202" filled="false" stroked="false">
                <v:textbox inset="0,0,0,0">
                  <w:txbxContent>
                    <w:p>
                      <w:pPr>
                        <w:spacing w:line="162" w:lineRule="exact" w:before="0"/>
                        <w:ind w:left="0" w:right="0" w:firstLine="0"/>
                        <w:jc w:val="center"/>
                        <w:rPr>
                          <w:rFonts w:ascii="Segoe UI" w:hAnsi="Segoe UI" w:cs="Segoe UI" w:eastAsia="Segoe UI"/>
                          <w:sz w:val="16"/>
                          <w:szCs w:val="16"/>
                        </w:rPr>
                      </w:pPr>
                      <w:r>
                        <w:rPr>
                          <w:rFonts w:ascii="Segoe UI"/>
                          <w:color w:val="77787B"/>
                          <w:spacing w:val="-1"/>
                          <w:sz w:val="16"/>
                        </w:rPr>
                        <w:t>Inner Regional</w:t>
                      </w:r>
                      <w:r>
                        <w:rPr>
                          <w:rFonts w:ascii="Segoe UI"/>
                          <w:sz w:val="16"/>
                        </w:rPr>
                      </w:r>
                    </w:p>
                    <w:p>
                      <w:pPr>
                        <w:spacing w:line="211" w:lineRule="exact" w:before="0"/>
                        <w:ind w:left="0" w:right="0" w:firstLine="0"/>
                        <w:jc w:val="center"/>
                        <w:rPr>
                          <w:rFonts w:ascii="Segoe UI" w:hAnsi="Segoe UI" w:cs="Segoe UI" w:eastAsia="Segoe UI"/>
                          <w:sz w:val="16"/>
                          <w:szCs w:val="16"/>
                        </w:rPr>
                      </w:pPr>
                      <w:r>
                        <w:rPr>
                          <w:rFonts w:ascii="Segoe UI"/>
                          <w:color w:val="77787B"/>
                          <w:spacing w:val="-1"/>
                          <w:sz w:val="16"/>
                        </w:rPr>
                        <w:t>Australia</w:t>
                      </w:r>
                      <w:r>
                        <w:rPr>
                          <w:rFonts w:ascii="Segoe UI"/>
                          <w:sz w:val="16"/>
                        </w:rPr>
                      </w:r>
                    </w:p>
                  </w:txbxContent>
                </v:textbox>
                <w10:wrap type="none"/>
              </v:shape>
              <v:shape style="position:absolute;left:4107;top:3451;width:2603;height:374" type="#_x0000_t202" filled="false" stroked="false">
                <v:textbox inset="0,0,0,0">
                  <w:txbxContent>
                    <w:p>
                      <w:pPr>
                        <w:tabs>
                          <w:tab w:pos="1399" w:val="left" w:leader="none"/>
                        </w:tabs>
                        <w:spacing w:line="162" w:lineRule="exact" w:before="0"/>
                        <w:ind w:left="226" w:right="0" w:hanging="227"/>
                        <w:jc w:val="left"/>
                        <w:rPr>
                          <w:rFonts w:ascii="Segoe UI" w:hAnsi="Segoe UI" w:cs="Segoe UI" w:eastAsia="Segoe UI"/>
                          <w:sz w:val="16"/>
                          <w:szCs w:val="16"/>
                        </w:rPr>
                      </w:pPr>
                      <w:r>
                        <w:rPr>
                          <w:rFonts w:ascii="Segoe UI"/>
                          <w:color w:val="77787B"/>
                          <w:spacing w:val="-1"/>
                          <w:sz w:val="16"/>
                        </w:rPr>
                        <w:t>Outer</w:t>
                      </w:r>
                      <w:r>
                        <w:rPr>
                          <w:rFonts w:ascii="Segoe UI"/>
                          <w:color w:val="77787B"/>
                          <w:spacing w:val="1"/>
                          <w:sz w:val="16"/>
                        </w:rPr>
                        <w:t> </w:t>
                      </w:r>
                      <w:r>
                        <w:rPr>
                          <w:rFonts w:ascii="Segoe UI"/>
                          <w:color w:val="77787B"/>
                          <w:spacing w:val="-1"/>
                          <w:sz w:val="16"/>
                        </w:rPr>
                        <w:t>Regional</w:t>
                        <w:tab/>
                        <w:t>Remote Australia</w:t>
                      </w:r>
                      <w:r>
                        <w:rPr>
                          <w:rFonts w:ascii="Segoe UI"/>
                          <w:sz w:val="16"/>
                        </w:rPr>
                      </w:r>
                    </w:p>
                    <w:p>
                      <w:pPr>
                        <w:spacing w:line="211" w:lineRule="exact" w:before="0"/>
                        <w:ind w:left="226" w:right="0" w:firstLine="0"/>
                        <w:jc w:val="left"/>
                        <w:rPr>
                          <w:rFonts w:ascii="Segoe UI" w:hAnsi="Segoe UI" w:cs="Segoe UI" w:eastAsia="Segoe UI"/>
                          <w:sz w:val="16"/>
                          <w:szCs w:val="16"/>
                        </w:rPr>
                      </w:pPr>
                      <w:r>
                        <w:rPr>
                          <w:rFonts w:ascii="Segoe UI"/>
                          <w:color w:val="77787B"/>
                          <w:spacing w:val="-1"/>
                          <w:sz w:val="16"/>
                        </w:rPr>
                        <w:t>Australia</w:t>
                      </w:r>
                      <w:r>
                        <w:rPr>
                          <w:rFonts w:ascii="Segoe UI"/>
                          <w:sz w:val="16"/>
                        </w:rPr>
                      </w:r>
                    </w:p>
                  </w:txbxContent>
                </v:textbox>
                <w10:wrap type="none"/>
              </v:shape>
              <v:shape style="position:absolute;left:7124;top:3451;width:911;height:374" type="#_x0000_t202" filled="false" stroked="false">
                <v:textbox inset="0,0,0,0">
                  <w:txbxContent>
                    <w:p>
                      <w:pPr>
                        <w:spacing w:line="162" w:lineRule="exact" w:before="0"/>
                        <w:ind w:left="0" w:right="0" w:firstLine="0"/>
                        <w:jc w:val="center"/>
                        <w:rPr>
                          <w:rFonts w:ascii="Segoe UI" w:hAnsi="Segoe UI" w:cs="Segoe UI" w:eastAsia="Segoe UI"/>
                          <w:sz w:val="16"/>
                          <w:szCs w:val="16"/>
                        </w:rPr>
                      </w:pPr>
                      <w:r>
                        <w:rPr>
                          <w:rFonts w:ascii="Segoe UI"/>
                          <w:color w:val="77787B"/>
                          <w:spacing w:val="-2"/>
                          <w:sz w:val="16"/>
                        </w:rPr>
                        <w:t>Very</w:t>
                      </w:r>
                      <w:r>
                        <w:rPr>
                          <w:rFonts w:ascii="Segoe UI"/>
                          <w:color w:val="77787B"/>
                          <w:spacing w:val="2"/>
                          <w:sz w:val="16"/>
                        </w:rPr>
                        <w:t> </w:t>
                      </w:r>
                      <w:r>
                        <w:rPr>
                          <w:rFonts w:ascii="Segoe UI"/>
                          <w:color w:val="77787B"/>
                          <w:spacing w:val="-1"/>
                          <w:sz w:val="16"/>
                        </w:rPr>
                        <w:t>Remote</w:t>
                      </w:r>
                      <w:r>
                        <w:rPr>
                          <w:rFonts w:ascii="Segoe UI"/>
                          <w:sz w:val="16"/>
                        </w:rPr>
                      </w:r>
                    </w:p>
                    <w:p>
                      <w:pPr>
                        <w:spacing w:line="211" w:lineRule="exact" w:before="0"/>
                        <w:ind w:left="0" w:right="2" w:firstLine="0"/>
                        <w:jc w:val="center"/>
                        <w:rPr>
                          <w:rFonts w:ascii="Segoe UI" w:hAnsi="Segoe UI" w:cs="Segoe UI" w:eastAsia="Segoe UI"/>
                          <w:sz w:val="16"/>
                          <w:szCs w:val="16"/>
                        </w:rPr>
                      </w:pPr>
                      <w:r>
                        <w:rPr>
                          <w:rFonts w:ascii="Segoe UI"/>
                          <w:color w:val="77787B"/>
                          <w:spacing w:val="-1"/>
                          <w:sz w:val="16"/>
                        </w:rPr>
                        <w:t>Australia</w:t>
                      </w:r>
                      <w:r>
                        <w:rPr>
                          <w:rFonts w:ascii="Segoe UI"/>
                          <w:sz w:val="16"/>
                        </w:rPr>
                      </w:r>
                    </w:p>
                  </w:txbxContent>
                </v:textbox>
                <w10:wrap type="none"/>
              </v:shape>
              <v:shape style="position:absolute;left:2986;top:4248;width:1358;height:161" type="#_x0000_t202" filled="false" stroked="false">
                <v:textbox inset="0,0,0,0">
                  <w:txbxContent>
                    <w:p>
                      <w:pPr>
                        <w:spacing w:line="161" w:lineRule="exact" w:before="0"/>
                        <w:ind w:left="0" w:right="0" w:firstLine="0"/>
                        <w:jc w:val="left"/>
                        <w:rPr>
                          <w:rFonts w:ascii="Segoe UI" w:hAnsi="Segoe UI" w:cs="Segoe UI" w:eastAsia="Segoe UI"/>
                          <w:sz w:val="16"/>
                          <w:szCs w:val="16"/>
                        </w:rPr>
                      </w:pPr>
                      <w:r>
                        <w:rPr>
                          <w:rFonts w:ascii="Segoe UI"/>
                          <w:color w:val="77787B"/>
                          <w:spacing w:val="-1"/>
                          <w:sz w:val="16"/>
                        </w:rPr>
                        <w:t>Indigenous schools</w:t>
                      </w:r>
                      <w:r>
                        <w:rPr>
                          <w:rFonts w:ascii="Segoe UI"/>
                          <w:sz w:val="16"/>
                        </w:rPr>
                      </w:r>
                    </w:p>
                  </w:txbxContent>
                </v:textbox>
                <w10:wrap type="none"/>
              </v:shape>
              <v:shape style="position:absolute;left:4744;top:4248;width:1406;height:161" type="#_x0000_t202" filled="false" stroked="false">
                <v:textbox inset="0,0,0,0">
                  <w:txbxContent>
                    <w:p>
                      <w:pPr>
                        <w:spacing w:line="161" w:lineRule="exact" w:before="0"/>
                        <w:ind w:left="0" w:right="0" w:firstLine="0"/>
                        <w:jc w:val="left"/>
                        <w:rPr>
                          <w:rFonts w:ascii="Segoe UI" w:hAnsi="Segoe UI" w:cs="Segoe UI" w:eastAsia="Segoe UI"/>
                          <w:sz w:val="16"/>
                          <w:szCs w:val="16"/>
                        </w:rPr>
                      </w:pPr>
                      <w:r>
                        <w:rPr>
                          <w:rFonts w:ascii="Segoe UI"/>
                          <w:color w:val="77787B"/>
                          <w:spacing w:val="-1"/>
                          <w:sz w:val="16"/>
                        </w:rPr>
                        <w:t>Mainstream schools</w:t>
                      </w:r>
                      <w:r>
                        <w:rPr>
                          <w:rFonts w:ascii="Segoe UI"/>
                          <w:sz w:val="16"/>
                        </w:rPr>
                      </w:r>
                    </w:p>
                  </w:txbxContent>
                </v:textbox>
                <w10:wrap type="none"/>
              </v:shape>
            </v:group>
          </v:group>
        </w:pict>
      </w:r>
      <w:r>
        <w:rPr>
          <w:rFonts w:ascii="Segoe UI Semibold" w:hAnsi="Segoe UI Semibold" w:cs="Segoe UI Semibold" w:eastAsia="Segoe UI Semibold"/>
          <w:sz w:val="20"/>
          <w:szCs w:val="20"/>
        </w:rPr>
      </w:r>
    </w:p>
    <w:p>
      <w:pPr>
        <w:spacing w:line="240" w:lineRule="auto" w:before="11"/>
        <w:rPr>
          <w:rFonts w:ascii="Segoe UI Semibold" w:hAnsi="Segoe UI Semibold" w:cs="Segoe UI Semibold" w:eastAsia="Segoe UI Semibold"/>
          <w:b/>
          <w:bCs/>
          <w:sz w:val="13"/>
          <w:szCs w:val="13"/>
        </w:rPr>
      </w:pPr>
    </w:p>
    <w:p>
      <w:pPr>
        <w:spacing w:after="0" w:line="240" w:lineRule="auto"/>
        <w:rPr>
          <w:rFonts w:ascii="Segoe UI Semibold" w:hAnsi="Segoe UI Semibold" w:cs="Segoe UI Semibold" w:eastAsia="Segoe UI Semibold"/>
          <w:sz w:val="13"/>
          <w:szCs w:val="13"/>
        </w:rPr>
        <w:sectPr>
          <w:pgSz w:w="11910" w:h="16840"/>
          <w:pgMar w:header="0" w:footer="691" w:top="1580" w:bottom="880" w:left="1600" w:right="1300"/>
        </w:sectPr>
      </w:pPr>
    </w:p>
    <w:p>
      <w:pPr>
        <w:pStyle w:val="BodyText"/>
        <w:spacing w:line="250" w:lineRule="exact" w:before="62"/>
        <w:ind w:left="100" w:right="156"/>
        <w:jc w:val="left"/>
      </w:pPr>
      <w:r>
        <w:rPr>
          <w:color w:val="231F20"/>
          <w:spacing w:val="-6"/>
        </w:rPr>
        <w:t>Year</w:t>
      </w:r>
      <w:r>
        <w:rPr>
          <w:color w:val="231F20"/>
          <w:spacing w:val="-4"/>
        </w:rPr>
        <w:t> </w:t>
      </w:r>
      <w:r>
        <w:rPr>
          <w:color w:val="231F20"/>
          <w:spacing w:val="-1"/>
        </w:rPr>
        <w:t>12</w:t>
      </w:r>
      <w:r>
        <w:rPr>
          <w:color w:val="231F20"/>
          <w:spacing w:val="-3"/>
        </w:rPr>
        <w:t> </w:t>
      </w:r>
      <w:r>
        <w:rPr>
          <w:color w:val="231F20"/>
        </w:rPr>
        <w:t>attainment</w:t>
      </w:r>
      <w:r>
        <w:rPr>
          <w:color w:val="231F20"/>
          <w:spacing w:val="-4"/>
        </w:rPr>
        <w:t> </w:t>
      </w:r>
      <w:r>
        <w:rPr>
          <w:color w:val="231F20"/>
        </w:rPr>
        <w:t>rates</w:t>
      </w:r>
      <w:r>
        <w:rPr>
          <w:color w:val="231F20"/>
          <w:spacing w:val="-4"/>
        </w:rPr>
        <w:t> </w:t>
      </w:r>
      <w:r>
        <w:rPr>
          <w:color w:val="231F20"/>
        </w:rPr>
        <w:t>are</w:t>
      </w:r>
      <w:r>
        <w:rPr>
          <w:color w:val="231F20"/>
          <w:spacing w:val="-4"/>
        </w:rPr>
        <w:t> </w:t>
      </w:r>
      <w:r>
        <w:rPr>
          <w:color w:val="231F20"/>
        </w:rPr>
        <w:t>also</w:t>
      </w:r>
      <w:r>
        <w:rPr>
          <w:color w:val="231F20"/>
          <w:spacing w:val="-4"/>
        </w:rPr>
        <w:t> </w:t>
      </w:r>
      <w:r>
        <w:rPr>
          <w:color w:val="231F20"/>
          <w:spacing w:val="-1"/>
        </w:rPr>
        <w:t>lower</w:t>
      </w:r>
      <w:r>
        <w:rPr>
          <w:color w:val="231F20"/>
          <w:spacing w:val="-3"/>
        </w:rPr>
        <w:t> </w:t>
      </w:r>
      <w:r>
        <w:rPr>
          <w:color w:val="231F20"/>
          <w:spacing w:val="-1"/>
        </w:rPr>
        <w:t>in</w:t>
      </w:r>
      <w:r>
        <w:rPr>
          <w:color w:val="231F20"/>
          <w:spacing w:val="24"/>
        </w:rPr>
        <w:t> </w:t>
      </w:r>
      <w:r>
        <w:rPr>
          <w:color w:val="231F20"/>
        </w:rPr>
        <w:t>remote</w:t>
      </w:r>
      <w:r>
        <w:rPr>
          <w:color w:val="231F20"/>
          <w:spacing w:val="-6"/>
        </w:rPr>
        <w:t> </w:t>
      </w:r>
      <w:r>
        <w:rPr>
          <w:color w:val="231F20"/>
        </w:rPr>
        <w:t>and</w:t>
      </w:r>
      <w:r>
        <w:rPr>
          <w:color w:val="231F20"/>
          <w:spacing w:val="-5"/>
        </w:rPr>
        <w:t> </w:t>
      </w:r>
      <w:r>
        <w:rPr>
          <w:color w:val="231F20"/>
        </w:rPr>
        <w:t>very</w:t>
      </w:r>
      <w:r>
        <w:rPr>
          <w:color w:val="231F20"/>
          <w:spacing w:val="-4"/>
        </w:rPr>
        <w:t> </w:t>
      </w:r>
      <w:r>
        <w:rPr>
          <w:color w:val="231F20"/>
        </w:rPr>
        <w:t>remote</w:t>
      </w:r>
      <w:r>
        <w:rPr>
          <w:color w:val="231F20"/>
          <w:spacing w:val="-5"/>
        </w:rPr>
        <w:t> </w:t>
      </w:r>
      <w:r>
        <w:rPr>
          <w:color w:val="231F20"/>
        </w:rPr>
        <w:t>areas.</w:t>
      </w:r>
      <w:r>
        <w:rPr>
          <w:color w:val="231F20"/>
          <w:spacing w:val="-5"/>
        </w:rPr>
        <w:t> </w:t>
      </w:r>
      <w:r>
        <w:rPr>
          <w:color w:val="231F20"/>
          <w:spacing w:val="-1"/>
        </w:rPr>
        <w:t>In</w:t>
      </w:r>
      <w:r>
        <w:rPr>
          <w:color w:val="231F20"/>
          <w:spacing w:val="-4"/>
        </w:rPr>
        <w:t> </w:t>
      </w:r>
      <w:r>
        <w:rPr>
          <w:color w:val="231F20"/>
          <w:spacing w:val="-1"/>
        </w:rPr>
        <w:t>2014-15</w:t>
      </w:r>
      <w:r>
        <w:rPr>
          <w:color w:val="231F20"/>
          <w:spacing w:val="21"/>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5"/>
        </w:rPr>
        <w:t> </w:t>
      </w:r>
      <w:r>
        <w:rPr>
          <w:color w:val="231F20"/>
          <w:spacing w:val="-1"/>
        </w:rPr>
        <w:t>Islander</w:t>
      </w:r>
      <w:r>
        <w:rPr>
          <w:color w:val="231F20"/>
          <w:spacing w:val="-4"/>
        </w:rPr>
        <w:t> </w:t>
      </w:r>
      <w:r>
        <w:rPr>
          <w:color w:val="231F20"/>
        </w:rPr>
        <w:t>year</w:t>
      </w:r>
      <w:r>
        <w:rPr>
          <w:color w:val="231F20"/>
          <w:spacing w:val="-5"/>
        </w:rPr>
        <w:t> </w:t>
      </w:r>
      <w:r>
        <w:rPr>
          <w:color w:val="231F20"/>
          <w:spacing w:val="-1"/>
        </w:rPr>
        <w:t>12</w:t>
      </w:r>
      <w:r>
        <w:rPr>
          <w:color w:val="231F20"/>
          <w:spacing w:val="20"/>
        </w:rPr>
        <w:t> </w:t>
      </w:r>
      <w:r>
        <w:rPr>
          <w:color w:val="231F20"/>
        </w:rPr>
        <w:t>attainment</w:t>
      </w:r>
      <w:r>
        <w:rPr>
          <w:color w:val="231F20"/>
          <w:spacing w:val="-7"/>
        </w:rPr>
        <w:t> </w:t>
      </w:r>
      <w:r>
        <w:rPr>
          <w:color w:val="231F20"/>
        </w:rPr>
        <w:t>rates</w:t>
      </w:r>
      <w:r>
        <w:rPr>
          <w:color w:val="231F20"/>
          <w:spacing w:val="-7"/>
        </w:rPr>
        <w:t> </w:t>
      </w:r>
      <w:r>
        <w:rPr>
          <w:color w:val="231F20"/>
          <w:spacing w:val="-1"/>
        </w:rPr>
        <w:t>in</w:t>
      </w:r>
      <w:r>
        <w:rPr>
          <w:color w:val="231F20"/>
          <w:spacing w:val="-5"/>
        </w:rPr>
        <w:t> </w:t>
      </w:r>
      <w:r>
        <w:rPr>
          <w:color w:val="231F20"/>
        </w:rPr>
        <w:t>remote</w:t>
      </w:r>
      <w:r>
        <w:rPr>
          <w:color w:val="231F20"/>
          <w:spacing w:val="-7"/>
        </w:rPr>
        <w:t> </w:t>
      </w:r>
      <w:r>
        <w:rPr>
          <w:color w:val="231F20"/>
        </w:rPr>
        <w:t>and</w:t>
      </w:r>
      <w:r>
        <w:rPr>
          <w:color w:val="231F20"/>
          <w:spacing w:val="-6"/>
        </w:rPr>
        <w:t> </w:t>
      </w:r>
      <w:r>
        <w:rPr>
          <w:color w:val="231F20"/>
        </w:rPr>
        <w:t>very</w:t>
      </w:r>
      <w:r>
        <w:rPr>
          <w:color w:val="231F20"/>
          <w:spacing w:val="-6"/>
        </w:rPr>
        <w:t> </w:t>
      </w:r>
      <w:r>
        <w:rPr>
          <w:color w:val="231F20"/>
        </w:rPr>
        <w:t>remote</w:t>
      </w:r>
      <w:r>
        <w:rPr>
          <w:color w:val="231F20"/>
          <w:spacing w:val="21"/>
          <w:w w:val="99"/>
        </w:rPr>
        <w:t> </w:t>
      </w:r>
      <w:r>
        <w:rPr>
          <w:color w:val="231F20"/>
        </w:rPr>
        <w:t>regions</w:t>
      </w:r>
      <w:r>
        <w:rPr>
          <w:color w:val="231F20"/>
          <w:spacing w:val="-6"/>
        </w:rPr>
        <w:t> </w:t>
      </w:r>
      <w:r>
        <w:rPr>
          <w:color w:val="231F20"/>
        </w:rPr>
        <w:t>was</w:t>
      </w:r>
      <w:r>
        <w:rPr>
          <w:color w:val="231F20"/>
          <w:spacing w:val="-5"/>
        </w:rPr>
        <w:t> </w:t>
      </w:r>
      <w:r>
        <w:rPr>
          <w:color w:val="231F20"/>
          <w:spacing w:val="-1"/>
        </w:rPr>
        <w:t>41.7</w:t>
      </w:r>
      <w:r>
        <w:rPr>
          <w:color w:val="231F20"/>
          <w:spacing w:val="-5"/>
        </w:rPr>
        <w:t> </w:t>
      </w:r>
      <w:r>
        <w:rPr>
          <w:color w:val="231F20"/>
        </w:rPr>
        <w:t>per</w:t>
      </w:r>
      <w:r>
        <w:rPr>
          <w:color w:val="231F20"/>
          <w:spacing w:val="-4"/>
        </w:rPr>
        <w:t> </w:t>
      </w:r>
      <w:r>
        <w:rPr>
          <w:color w:val="231F20"/>
        </w:rPr>
        <w:t>cent</w:t>
      </w:r>
      <w:r>
        <w:rPr>
          <w:color w:val="231F20"/>
          <w:spacing w:val="45"/>
        </w:rPr>
        <w:t> </w:t>
      </w:r>
      <w:r>
        <w:rPr>
          <w:color w:val="231F20"/>
        </w:rPr>
        <w:t>compared</w:t>
      </w:r>
      <w:r>
        <w:rPr>
          <w:color w:val="231F20"/>
          <w:spacing w:val="-6"/>
        </w:rPr>
        <w:t> </w:t>
      </w:r>
      <w:r>
        <w:rPr>
          <w:color w:val="231F20"/>
        </w:rPr>
        <w:t>to</w:t>
      </w:r>
      <w:r>
        <w:rPr/>
      </w:r>
    </w:p>
    <w:p>
      <w:pPr>
        <w:pStyle w:val="BodyText"/>
        <w:spacing w:line="250" w:lineRule="exact"/>
        <w:ind w:left="100" w:right="0"/>
        <w:jc w:val="left"/>
        <w:rPr>
          <w:rFonts w:ascii="Segoe UI Semibold" w:hAnsi="Segoe UI Semibold" w:cs="Segoe UI Semibold" w:eastAsia="Segoe UI Semibold"/>
          <w:sz w:val="11"/>
          <w:szCs w:val="11"/>
        </w:rPr>
      </w:pPr>
      <w:r>
        <w:rPr>
          <w:color w:val="231F20"/>
        </w:rPr>
        <w:t>63.1</w:t>
      </w:r>
      <w:r>
        <w:rPr>
          <w:color w:val="231F20"/>
          <w:spacing w:val="-2"/>
        </w:rPr>
        <w:t> </w:t>
      </w:r>
      <w:r>
        <w:rPr>
          <w:color w:val="231F20"/>
        </w:rPr>
        <w:t>per</w:t>
      </w:r>
      <w:r>
        <w:rPr>
          <w:color w:val="231F20"/>
          <w:spacing w:val="-2"/>
        </w:rPr>
        <w:t> </w:t>
      </w:r>
      <w:r>
        <w:rPr>
          <w:color w:val="231F20"/>
        </w:rPr>
        <w:t>cent</w:t>
      </w:r>
      <w:r>
        <w:rPr>
          <w:color w:val="231F20"/>
          <w:spacing w:val="-2"/>
        </w:rPr>
        <w:t> </w:t>
      </w:r>
      <w:r>
        <w:rPr>
          <w:color w:val="231F20"/>
        </w:rPr>
        <w:t>for</w:t>
      </w:r>
      <w:r>
        <w:rPr>
          <w:color w:val="231F20"/>
          <w:spacing w:val="-2"/>
        </w:rPr>
        <w:t> </w:t>
      </w:r>
      <w:r>
        <w:rPr>
          <w:color w:val="231F20"/>
          <w:spacing w:val="-1"/>
        </w:rPr>
        <w:t>major cities.</w:t>
      </w:r>
      <w:r>
        <w:rPr>
          <w:rFonts w:ascii="Segoe UI Semibold"/>
          <w:b/>
          <w:color w:val="231F20"/>
          <w:spacing w:val="-1"/>
          <w:position w:val="7"/>
          <w:sz w:val="11"/>
        </w:rPr>
        <w:t>169</w:t>
      </w:r>
      <w:r>
        <w:rPr>
          <w:rFonts w:ascii="Segoe UI Semibold"/>
          <w:sz w:val="11"/>
        </w:rPr>
      </w:r>
    </w:p>
    <w:p>
      <w:pPr>
        <w:pStyle w:val="BodyText"/>
        <w:spacing w:line="250" w:lineRule="exact" w:before="113"/>
        <w:ind w:left="100" w:right="0"/>
        <w:jc w:val="left"/>
      </w:pPr>
      <w:r>
        <w:rPr>
          <w:color w:val="231F20"/>
        </w:rPr>
        <w:t>NAPLAN</w:t>
      </w:r>
      <w:r>
        <w:rPr>
          <w:color w:val="231F20"/>
          <w:spacing w:val="-4"/>
        </w:rPr>
        <w:t> </w:t>
      </w:r>
      <w:r>
        <w:rPr>
          <w:color w:val="231F20"/>
        </w:rPr>
        <w:t>results</w:t>
      </w:r>
      <w:r>
        <w:rPr>
          <w:color w:val="231F20"/>
          <w:spacing w:val="-4"/>
        </w:rPr>
        <w:t> </w:t>
      </w:r>
      <w:r>
        <w:rPr>
          <w:color w:val="231F20"/>
        </w:rPr>
        <w:t>for</w:t>
      </w:r>
      <w:r>
        <w:rPr>
          <w:color w:val="231F20"/>
          <w:spacing w:val="-3"/>
        </w:rPr>
        <w:t> </w:t>
      </w:r>
      <w:r>
        <w:rPr>
          <w:color w:val="231F20"/>
          <w:spacing w:val="-1"/>
        </w:rPr>
        <w:t>students</w:t>
      </w:r>
      <w:r>
        <w:rPr>
          <w:color w:val="231F20"/>
          <w:spacing w:val="-3"/>
        </w:rPr>
        <w:t> </w:t>
      </w:r>
      <w:r>
        <w:rPr>
          <w:color w:val="231F20"/>
        </w:rPr>
        <w:t>at</w:t>
      </w:r>
      <w:r>
        <w:rPr>
          <w:color w:val="231F20"/>
          <w:spacing w:val="-3"/>
        </w:rPr>
        <w:t> </w:t>
      </w:r>
      <w:r>
        <w:rPr>
          <w:color w:val="231F20"/>
        </w:rPr>
        <w:t>the</w:t>
      </w:r>
      <w:r>
        <w:rPr>
          <w:color w:val="231F20"/>
          <w:spacing w:val="-4"/>
        </w:rPr>
        <w:t> </w:t>
      </w:r>
      <w:r>
        <w:rPr>
          <w:color w:val="231F20"/>
        </w:rPr>
        <w:t>very</w:t>
      </w:r>
      <w:r>
        <w:rPr>
          <w:color w:val="231F20"/>
          <w:spacing w:val="-3"/>
        </w:rPr>
        <w:t> </w:t>
      </w:r>
      <w:r>
        <w:rPr>
          <w:color w:val="231F20"/>
        </w:rPr>
        <w:t>remote</w:t>
      </w:r>
      <w:r>
        <w:rPr>
          <w:color w:val="231F20"/>
          <w:spacing w:val="27"/>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8"/>
        </w:rPr>
        <w:t> </w:t>
      </w:r>
      <w:r>
        <w:rPr>
          <w:color w:val="231F20"/>
        </w:rPr>
        <w:t>are</w:t>
      </w:r>
      <w:r>
        <w:rPr>
          <w:color w:val="231F20"/>
          <w:spacing w:val="-8"/>
        </w:rPr>
        <w:t> </w:t>
      </w:r>
      <w:r>
        <w:rPr>
          <w:color w:val="231F20"/>
        </w:rPr>
        <w:t>higher</w:t>
      </w:r>
      <w:r>
        <w:rPr>
          <w:color w:val="231F20"/>
          <w:spacing w:val="-7"/>
        </w:rPr>
        <w:t> </w:t>
      </w:r>
      <w:r>
        <w:rPr>
          <w:color w:val="231F20"/>
        </w:rPr>
        <w:t>than</w:t>
      </w:r>
      <w:r>
        <w:rPr>
          <w:color w:val="231F20"/>
          <w:spacing w:val="-8"/>
        </w:rPr>
        <w:t> </w:t>
      </w:r>
      <w:r>
        <w:rPr>
          <w:color w:val="231F20"/>
        </w:rPr>
        <w:t>expected,</w:t>
      </w:r>
      <w:r>
        <w:rPr>
          <w:color w:val="231F20"/>
          <w:spacing w:val="-6"/>
        </w:rPr>
        <w:t> </w:t>
      </w:r>
      <w:r>
        <w:rPr>
          <w:color w:val="231F20"/>
        </w:rPr>
        <w:t>with</w:t>
      </w:r>
      <w:r>
        <w:rPr/>
      </w:r>
    </w:p>
    <w:p>
      <w:pPr>
        <w:pStyle w:val="BodyText"/>
        <w:spacing w:line="250" w:lineRule="exact"/>
        <w:ind w:left="100" w:right="234"/>
        <w:jc w:val="both"/>
      </w:pPr>
      <w:r>
        <w:rPr>
          <w:color w:val="231F20"/>
        </w:rPr>
        <w:t>better</w:t>
      </w:r>
      <w:r>
        <w:rPr>
          <w:color w:val="231F20"/>
          <w:spacing w:val="-6"/>
        </w:rPr>
        <w:t> </w:t>
      </w:r>
      <w:r>
        <w:rPr>
          <w:color w:val="231F20"/>
        </w:rPr>
        <w:t>outcomes</w:t>
      </w:r>
      <w:r>
        <w:rPr>
          <w:color w:val="231F20"/>
          <w:spacing w:val="-6"/>
        </w:rPr>
        <w:t> </w:t>
      </w:r>
      <w:r>
        <w:rPr>
          <w:color w:val="231F20"/>
        </w:rPr>
        <w:t>than</w:t>
      </w:r>
      <w:r>
        <w:rPr>
          <w:color w:val="231F20"/>
          <w:spacing w:val="-6"/>
        </w:rPr>
        <w:t> </w:t>
      </w:r>
      <w:r>
        <w:rPr>
          <w:color w:val="231F20"/>
        </w:rPr>
        <w:t>remote</w:t>
      </w:r>
      <w:r>
        <w:rPr>
          <w:color w:val="231F20"/>
          <w:spacing w:val="-6"/>
        </w:rPr>
        <w:t> </w:t>
      </w:r>
      <w:r>
        <w:rPr>
          <w:color w:val="231F20"/>
        </w:rPr>
        <w:t>Aboriginal</w:t>
      </w:r>
      <w:r>
        <w:rPr>
          <w:color w:val="231F20"/>
          <w:spacing w:val="-5"/>
        </w:rPr>
        <w:t> </w:t>
      </w:r>
      <w:r>
        <w:rPr>
          <w:color w:val="231F20"/>
        </w:rPr>
        <w:t>and</w:t>
      </w:r>
      <w:r>
        <w:rPr>
          <w:color w:val="231F20"/>
          <w:w w:val="99"/>
        </w:rPr>
        <w:t> </w:t>
      </w:r>
      <w:r>
        <w:rPr>
          <w:color w:val="231F20"/>
          <w:spacing w:val="-5"/>
        </w:rPr>
        <w:t>Torres </w:t>
      </w:r>
      <w:r>
        <w:rPr>
          <w:color w:val="231F20"/>
          <w:spacing w:val="-2"/>
        </w:rPr>
        <w:t>Strait</w:t>
      </w:r>
      <w:r>
        <w:rPr>
          <w:color w:val="231F20"/>
          <w:spacing w:val="-5"/>
        </w:rPr>
        <w:t> </w:t>
      </w:r>
      <w:r>
        <w:rPr>
          <w:color w:val="231F20"/>
          <w:spacing w:val="-1"/>
        </w:rPr>
        <w:t>Islander</w:t>
      </w:r>
      <w:r>
        <w:rPr>
          <w:color w:val="231F20"/>
          <w:spacing w:val="-5"/>
        </w:rPr>
        <w:t> </w:t>
      </w:r>
      <w:r>
        <w:rPr>
          <w:color w:val="231F20"/>
        </w:rPr>
        <w:t>boarding</w:t>
      </w:r>
      <w:r>
        <w:rPr>
          <w:color w:val="231F20"/>
          <w:spacing w:val="-5"/>
        </w:rPr>
        <w:t> </w:t>
      </w:r>
      <w:r>
        <w:rPr>
          <w:color w:val="231F20"/>
        </w:rPr>
        <w:t>providers</w:t>
      </w:r>
      <w:r>
        <w:rPr>
          <w:color w:val="231F20"/>
          <w:spacing w:val="-5"/>
        </w:rPr>
        <w:t> </w:t>
      </w:r>
      <w:r>
        <w:rPr>
          <w:color w:val="231F20"/>
        </w:rPr>
        <w:t>and</w:t>
      </w:r>
      <w:r>
        <w:rPr>
          <w:color w:val="231F20"/>
          <w:spacing w:val="21"/>
          <w:w w:val="99"/>
        </w:rPr>
        <w:t> </w:t>
      </w:r>
      <w:r>
        <w:rPr>
          <w:color w:val="231F20"/>
        </w:rPr>
        <w:t>equivalent</w:t>
      </w:r>
      <w:r>
        <w:rPr>
          <w:color w:val="231F20"/>
          <w:spacing w:val="-5"/>
        </w:rPr>
        <w:t> </w:t>
      </w:r>
      <w:r>
        <w:rPr>
          <w:color w:val="231F20"/>
        </w:rPr>
        <w:t>to</w:t>
      </w:r>
      <w:r>
        <w:rPr>
          <w:color w:val="231F20"/>
          <w:spacing w:val="-4"/>
        </w:rPr>
        <w:t> </w:t>
      </w:r>
      <w:r>
        <w:rPr>
          <w:color w:val="231F20"/>
        </w:rPr>
        <w:t>outcomes</w:t>
      </w:r>
      <w:r>
        <w:rPr>
          <w:color w:val="231F20"/>
          <w:spacing w:val="-5"/>
        </w:rPr>
        <w:t> </w:t>
      </w:r>
      <w:r>
        <w:rPr>
          <w:color w:val="231F20"/>
        </w:rPr>
        <w:t>at</w:t>
      </w:r>
      <w:r>
        <w:rPr>
          <w:color w:val="231F20"/>
          <w:spacing w:val="-4"/>
        </w:rPr>
        <w:t> </w:t>
      </w:r>
      <w:r>
        <w:rPr>
          <w:color w:val="231F20"/>
        </w:rPr>
        <w:t>the</w:t>
      </w:r>
      <w:r>
        <w:rPr>
          <w:color w:val="231F20"/>
          <w:spacing w:val="-4"/>
        </w:rPr>
        <w:t> </w:t>
      </w:r>
      <w:r>
        <w:rPr>
          <w:color w:val="231F20"/>
          <w:spacing w:val="-1"/>
        </w:rPr>
        <w:t>inner</w:t>
      </w:r>
      <w:r>
        <w:rPr>
          <w:color w:val="231F20"/>
          <w:spacing w:val="-4"/>
        </w:rPr>
        <w:t> </w:t>
      </w:r>
      <w:r>
        <w:rPr>
          <w:color w:val="231F20"/>
        </w:rPr>
        <w:t>regional</w:t>
      </w:r>
      <w:r>
        <w:rPr>
          <w:color w:val="231F20"/>
          <w:spacing w:val="21"/>
          <w:w w:val="99"/>
        </w:rPr>
        <w:t> </w:t>
      </w:r>
      <w:r>
        <w:rPr>
          <w:color w:val="231F20"/>
        </w:rPr>
        <w:t>providers.</w:t>
      </w:r>
      <w:r>
        <w:rPr/>
      </w:r>
    </w:p>
    <w:p>
      <w:pPr>
        <w:pStyle w:val="BodyText"/>
        <w:spacing w:line="250" w:lineRule="exact" w:before="113"/>
        <w:ind w:left="100" w:right="130"/>
        <w:jc w:val="left"/>
      </w:pPr>
      <w:r>
        <w:rPr>
          <w:rFonts w:ascii="Segoe UI"/>
          <w:color w:val="231F20"/>
        </w:rPr>
        <w:t>All five of the very remote Aboriginal and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7"/>
        </w:rPr>
        <w:t> </w:t>
      </w:r>
      <w:r>
        <w:rPr>
          <w:color w:val="231F20"/>
        </w:rPr>
        <w:t>providers</w:t>
      </w:r>
      <w:r>
        <w:rPr>
          <w:color w:val="231F20"/>
          <w:spacing w:val="-7"/>
        </w:rPr>
        <w:t> </w:t>
      </w:r>
      <w:r>
        <w:rPr>
          <w:color w:val="231F20"/>
        </w:rPr>
        <w:t>are</w:t>
      </w:r>
      <w:r>
        <w:rPr>
          <w:color w:val="231F20"/>
          <w:spacing w:val="21"/>
          <w:w w:val="99"/>
        </w:rPr>
        <w:t> </w:t>
      </w:r>
      <w:r>
        <w:rPr>
          <w:color w:val="231F20"/>
        </w:rPr>
        <w:t>categorised</w:t>
      </w:r>
      <w:r>
        <w:rPr>
          <w:color w:val="231F20"/>
          <w:spacing w:val="-4"/>
        </w:rPr>
        <w:t> </w:t>
      </w:r>
      <w:r>
        <w:rPr>
          <w:color w:val="231F20"/>
        </w:rPr>
        <w:t>as</w:t>
      </w:r>
      <w:r>
        <w:rPr>
          <w:color w:val="231F20"/>
          <w:spacing w:val="-4"/>
        </w:rPr>
        <w:t> </w:t>
      </w:r>
      <w:r>
        <w:rPr>
          <w:color w:val="231F20"/>
          <w:spacing w:val="-1"/>
        </w:rPr>
        <w:t>small</w:t>
      </w:r>
      <w:r>
        <w:rPr>
          <w:color w:val="231F20"/>
          <w:spacing w:val="-2"/>
        </w:rPr>
        <w:t> </w:t>
      </w:r>
      <w:r>
        <w:rPr>
          <w:color w:val="231F20"/>
        </w:rPr>
        <w:t>or</w:t>
      </w:r>
      <w:r>
        <w:rPr>
          <w:color w:val="231F20"/>
          <w:spacing w:val="-3"/>
        </w:rPr>
        <w:t> </w:t>
      </w:r>
      <w:r>
        <w:rPr>
          <w:color w:val="231F20"/>
        </w:rPr>
        <w:t>very</w:t>
      </w:r>
      <w:r>
        <w:rPr>
          <w:color w:val="231F20"/>
          <w:spacing w:val="-3"/>
        </w:rPr>
        <w:t> </w:t>
      </w:r>
      <w:r>
        <w:rPr>
          <w:color w:val="231F20"/>
          <w:spacing w:val="-1"/>
        </w:rPr>
        <w:t>small.</w:t>
      </w:r>
      <w:r>
        <w:rPr>
          <w:color w:val="231F20"/>
          <w:spacing w:val="-2"/>
        </w:rPr>
        <w:t> </w:t>
      </w:r>
      <w:r>
        <w:rPr>
          <w:color w:val="231F20"/>
          <w:spacing w:val="-1"/>
        </w:rPr>
        <w:t>While</w:t>
      </w:r>
      <w:r>
        <w:rPr>
          <w:color w:val="231F20"/>
          <w:spacing w:val="22"/>
        </w:rPr>
        <w:t> </w:t>
      </w:r>
      <w:r>
        <w:rPr>
          <w:color w:val="231F20"/>
        </w:rPr>
        <w:t>caution</w:t>
      </w:r>
      <w:r>
        <w:rPr>
          <w:color w:val="231F20"/>
          <w:spacing w:val="-5"/>
        </w:rPr>
        <w:t> </w:t>
      </w:r>
      <w:r>
        <w:rPr>
          <w:color w:val="231F20"/>
          <w:spacing w:val="-1"/>
        </w:rPr>
        <w:t>is</w:t>
      </w:r>
      <w:r>
        <w:rPr>
          <w:color w:val="231F20"/>
          <w:spacing w:val="-5"/>
        </w:rPr>
        <w:t> </w:t>
      </w:r>
      <w:r>
        <w:rPr>
          <w:color w:val="231F20"/>
        </w:rPr>
        <w:t>required</w:t>
      </w:r>
      <w:r>
        <w:rPr>
          <w:color w:val="231F20"/>
          <w:spacing w:val="-4"/>
        </w:rPr>
        <w:t> </w:t>
      </w:r>
      <w:r>
        <w:rPr>
          <w:color w:val="231F20"/>
        </w:rPr>
        <w:t>given</w:t>
      </w:r>
      <w:r>
        <w:rPr>
          <w:color w:val="231F20"/>
          <w:spacing w:val="-5"/>
        </w:rPr>
        <w:t> </w:t>
      </w:r>
      <w:r>
        <w:rPr>
          <w:color w:val="231F20"/>
        </w:rPr>
        <w:t>the</w:t>
      </w:r>
      <w:r>
        <w:rPr>
          <w:color w:val="231F20"/>
          <w:spacing w:val="-4"/>
        </w:rPr>
        <w:t> </w:t>
      </w:r>
      <w:r>
        <w:rPr>
          <w:color w:val="231F20"/>
          <w:spacing w:val="-1"/>
        </w:rPr>
        <w:t>small</w:t>
      </w:r>
      <w:r>
        <w:rPr>
          <w:color w:val="231F20"/>
          <w:spacing w:val="-4"/>
        </w:rPr>
        <w:t> </w:t>
      </w:r>
      <w:r>
        <w:rPr>
          <w:color w:val="231F20"/>
          <w:spacing w:val="-1"/>
        </w:rPr>
        <w:t>sample</w:t>
      </w:r>
      <w:r>
        <w:rPr>
          <w:color w:val="231F20"/>
          <w:spacing w:val="22"/>
        </w:rPr>
        <w:t> </w:t>
      </w:r>
      <w:r>
        <w:rPr>
          <w:color w:val="231F20"/>
          <w:spacing w:val="-1"/>
        </w:rPr>
        <w:t>size,</w:t>
      </w:r>
      <w:r>
        <w:rPr>
          <w:color w:val="231F20"/>
          <w:spacing w:val="-4"/>
        </w:rPr>
        <w:t> </w:t>
      </w:r>
      <w:r>
        <w:rPr>
          <w:color w:val="231F20"/>
        </w:rPr>
        <w:t>the</w:t>
      </w:r>
      <w:r>
        <w:rPr>
          <w:color w:val="231F20"/>
          <w:spacing w:val="-5"/>
        </w:rPr>
        <w:t> </w:t>
      </w:r>
      <w:r>
        <w:rPr>
          <w:color w:val="231F20"/>
        </w:rPr>
        <w:t>data</w:t>
      </w:r>
      <w:r>
        <w:rPr>
          <w:color w:val="231F20"/>
          <w:spacing w:val="-5"/>
        </w:rPr>
        <w:t> </w:t>
      </w:r>
      <w:r>
        <w:rPr>
          <w:color w:val="231F20"/>
          <w:spacing w:val="-1"/>
        </w:rPr>
        <w:t>supports</w:t>
      </w:r>
      <w:r>
        <w:rPr>
          <w:color w:val="231F20"/>
          <w:spacing w:val="-4"/>
        </w:rPr>
        <w:t> </w:t>
      </w:r>
      <w:r>
        <w:rPr>
          <w:color w:val="231F20"/>
          <w:spacing w:val="-1"/>
        </w:rPr>
        <w:t>some</w:t>
      </w:r>
      <w:r>
        <w:rPr>
          <w:color w:val="231F20"/>
          <w:spacing w:val="-4"/>
        </w:rPr>
        <w:t> </w:t>
      </w:r>
      <w:r>
        <w:rPr>
          <w:color w:val="231F20"/>
        </w:rPr>
        <w:t>of</w:t>
      </w:r>
      <w:r>
        <w:rPr>
          <w:color w:val="231F20"/>
          <w:spacing w:val="-4"/>
        </w:rPr>
        <w:t> </w:t>
      </w:r>
      <w:r>
        <w:rPr>
          <w:color w:val="231F20"/>
        </w:rPr>
        <w:t>the</w:t>
      </w:r>
      <w:r>
        <w:rPr>
          <w:color w:val="231F20"/>
          <w:spacing w:val="-5"/>
        </w:rPr>
        <w:t> </w:t>
      </w:r>
      <w:r>
        <w:rPr>
          <w:color w:val="231F20"/>
        </w:rPr>
        <w:t>anecdotal</w:t>
      </w:r>
      <w:r>
        <w:rPr>
          <w:color w:val="231F20"/>
          <w:spacing w:val="24"/>
          <w:w w:val="99"/>
        </w:rPr>
        <w:t> </w:t>
      </w:r>
      <w:r>
        <w:rPr>
          <w:color w:val="231F20"/>
        </w:rPr>
        <w:t>feedback</w:t>
      </w:r>
      <w:r>
        <w:rPr>
          <w:color w:val="231F20"/>
          <w:spacing w:val="-5"/>
        </w:rPr>
        <w:t> </w:t>
      </w:r>
      <w:r>
        <w:rPr>
          <w:color w:val="231F20"/>
        </w:rPr>
        <w:t>received</w:t>
      </w:r>
      <w:r>
        <w:rPr>
          <w:color w:val="231F20"/>
          <w:spacing w:val="-6"/>
        </w:rPr>
        <w:t> </w:t>
      </w:r>
      <w:r>
        <w:rPr>
          <w:color w:val="231F20"/>
        </w:rPr>
        <w:t>that</w:t>
      </w:r>
      <w:r>
        <w:rPr>
          <w:color w:val="231F20"/>
          <w:spacing w:val="-6"/>
        </w:rPr>
        <w:t> </w:t>
      </w:r>
      <w:r>
        <w:rPr>
          <w:color w:val="231F20"/>
          <w:spacing w:val="-1"/>
        </w:rPr>
        <w:t>smaller</w:t>
      </w:r>
      <w:r>
        <w:rPr>
          <w:color w:val="231F20"/>
          <w:spacing w:val="-4"/>
        </w:rPr>
        <w:t> </w:t>
      </w:r>
      <w:r>
        <w:rPr>
          <w:color w:val="231F20"/>
          <w:spacing w:val="-1"/>
        </w:rPr>
        <w:t>specialised</w:t>
      </w:r>
      <w:r>
        <w:rPr>
          <w:color w:val="231F20"/>
          <w:spacing w:val="21"/>
        </w:rPr>
        <w:t> </w:t>
      </w:r>
      <w:r>
        <w:rPr>
          <w:color w:val="231F20"/>
        </w:rPr>
        <w:t>boarding</w:t>
      </w:r>
      <w:r>
        <w:rPr>
          <w:color w:val="231F20"/>
          <w:spacing w:val="-5"/>
        </w:rPr>
        <w:t> </w:t>
      </w:r>
      <w:r>
        <w:rPr>
          <w:color w:val="231F20"/>
        </w:rPr>
        <w:t>facilities</w:t>
      </w:r>
      <w:r>
        <w:rPr>
          <w:color w:val="231F20"/>
          <w:spacing w:val="-4"/>
        </w:rPr>
        <w:t> </w:t>
      </w:r>
      <w:r>
        <w:rPr>
          <w:color w:val="231F20"/>
          <w:spacing w:val="-1"/>
        </w:rPr>
        <w:t>in</w:t>
      </w:r>
      <w:r>
        <w:rPr>
          <w:color w:val="231F20"/>
          <w:spacing w:val="-4"/>
        </w:rPr>
        <w:t> </w:t>
      </w:r>
      <w:r>
        <w:rPr>
          <w:color w:val="231F20"/>
        </w:rPr>
        <w:t>very</w:t>
      </w:r>
      <w:r>
        <w:rPr>
          <w:color w:val="231F20"/>
          <w:spacing w:val="-3"/>
        </w:rPr>
        <w:t> </w:t>
      </w:r>
      <w:r>
        <w:rPr>
          <w:color w:val="231F20"/>
        </w:rPr>
        <w:t>remote</w:t>
      </w:r>
      <w:r>
        <w:rPr>
          <w:color w:val="231F20"/>
          <w:spacing w:val="-5"/>
        </w:rPr>
        <w:t> </w:t>
      </w:r>
      <w:r>
        <w:rPr>
          <w:color w:val="231F20"/>
          <w:spacing w:val="-1"/>
        </w:rPr>
        <w:t>locations</w:t>
      </w:r>
      <w:r>
        <w:rPr>
          <w:color w:val="231F20"/>
          <w:spacing w:val="-3"/>
        </w:rPr>
        <w:t> </w:t>
      </w:r>
      <w:r>
        <w:rPr>
          <w:color w:val="231F20"/>
        </w:rPr>
        <w:t>are</w:t>
      </w:r>
      <w:r>
        <w:rPr>
          <w:color w:val="231F20"/>
          <w:spacing w:val="23"/>
          <w:w w:val="99"/>
        </w:rPr>
        <w:t> </w:t>
      </w:r>
      <w:r>
        <w:rPr>
          <w:color w:val="231F20"/>
        </w:rPr>
        <w:t>able</w:t>
      </w:r>
      <w:r>
        <w:rPr>
          <w:color w:val="231F20"/>
          <w:spacing w:val="-7"/>
        </w:rPr>
        <w:t> </w:t>
      </w:r>
      <w:r>
        <w:rPr>
          <w:color w:val="231F20"/>
        </w:rPr>
        <w:t>to</w:t>
      </w:r>
      <w:r>
        <w:rPr>
          <w:color w:val="231F20"/>
          <w:spacing w:val="-5"/>
        </w:rPr>
        <w:t> </w:t>
      </w:r>
      <w:r>
        <w:rPr>
          <w:color w:val="231F20"/>
        </w:rPr>
        <w:t>achieve</w:t>
      </w:r>
      <w:r>
        <w:rPr>
          <w:color w:val="231F20"/>
          <w:spacing w:val="-6"/>
        </w:rPr>
        <w:t> </w:t>
      </w:r>
      <w:r>
        <w:rPr>
          <w:color w:val="231F20"/>
        </w:rPr>
        <w:t>higher</w:t>
      </w:r>
      <w:r>
        <w:rPr>
          <w:color w:val="231F20"/>
          <w:spacing w:val="-6"/>
        </w:rPr>
        <w:t> </w:t>
      </w:r>
      <w:r>
        <w:rPr>
          <w:color w:val="231F20"/>
          <w:spacing w:val="-1"/>
        </w:rPr>
        <w:t>levels</w:t>
      </w:r>
      <w:r>
        <w:rPr>
          <w:color w:val="231F20"/>
          <w:spacing w:val="-5"/>
        </w:rPr>
        <w:t> </w:t>
      </w:r>
      <w:r>
        <w:rPr>
          <w:color w:val="231F20"/>
        </w:rPr>
        <w:t>of</w:t>
      </w:r>
      <w:r>
        <w:rPr>
          <w:color w:val="231F20"/>
          <w:spacing w:val="-5"/>
        </w:rPr>
        <w:t> </w:t>
      </w:r>
      <w:r>
        <w:rPr>
          <w:color w:val="231F20"/>
        </w:rPr>
        <w:t>engagement</w:t>
      </w:r>
      <w:r>
        <w:rPr>
          <w:color w:val="231F20"/>
          <w:spacing w:val="21"/>
          <w:w w:val="99"/>
        </w:rPr>
        <w:t> </w:t>
      </w:r>
      <w:r>
        <w:rPr>
          <w:color w:val="231F20"/>
        </w:rPr>
        <w:t>with</w:t>
      </w:r>
      <w:r>
        <w:rPr>
          <w:color w:val="231F20"/>
          <w:spacing w:val="-7"/>
        </w:rPr>
        <w:t> </w:t>
      </w:r>
      <w:r>
        <w:rPr>
          <w:color w:val="231F20"/>
        </w:rPr>
        <w:t>Aboriginal</w:t>
      </w:r>
      <w:r>
        <w:rPr>
          <w:color w:val="231F20"/>
          <w:spacing w:val="-5"/>
        </w:rPr>
        <w:t> </w:t>
      </w:r>
      <w:r>
        <w:rPr>
          <w:color w:val="231F20"/>
        </w:rPr>
        <w:t>and</w:t>
      </w:r>
      <w:r>
        <w:rPr>
          <w:color w:val="231F20"/>
          <w:spacing w:val="-6"/>
        </w:rPr>
        <w:t> </w:t>
      </w:r>
      <w:r>
        <w:rPr>
          <w:color w:val="231F20"/>
          <w:spacing w:val="-5"/>
        </w:rPr>
        <w:t>Torres </w:t>
      </w:r>
      <w:r>
        <w:rPr>
          <w:color w:val="231F20"/>
          <w:spacing w:val="-2"/>
        </w:rPr>
        <w:t>Strait</w:t>
      </w:r>
      <w:r>
        <w:rPr>
          <w:color w:val="231F20"/>
          <w:spacing w:val="-7"/>
        </w:rPr>
        <w:t> </w:t>
      </w:r>
      <w:r>
        <w:rPr>
          <w:color w:val="231F20"/>
          <w:spacing w:val="-1"/>
        </w:rPr>
        <w:t>Islander</w:t>
      </w:r>
      <w:r>
        <w:rPr>
          <w:color w:val="231F20"/>
          <w:spacing w:val="29"/>
          <w:w w:val="99"/>
        </w:rPr>
        <w:t> </w:t>
      </w:r>
      <w:r>
        <w:rPr>
          <w:color w:val="231F20"/>
          <w:spacing w:val="-1"/>
        </w:rPr>
        <w:t>students</w:t>
      </w:r>
      <w:r>
        <w:rPr>
          <w:color w:val="231F20"/>
          <w:spacing w:val="-8"/>
        </w:rPr>
        <w:t> </w:t>
      </w:r>
      <w:r>
        <w:rPr>
          <w:color w:val="231F20"/>
        </w:rPr>
        <w:t>and</w:t>
      </w:r>
      <w:r>
        <w:rPr>
          <w:color w:val="231F20"/>
          <w:spacing w:val="-8"/>
        </w:rPr>
        <w:t> </w:t>
      </w:r>
      <w:r>
        <w:rPr>
          <w:color w:val="231F20"/>
        </w:rPr>
        <w:t>better</w:t>
      </w:r>
      <w:r>
        <w:rPr>
          <w:color w:val="231F20"/>
          <w:spacing w:val="-8"/>
        </w:rPr>
        <w:t> </w:t>
      </w:r>
      <w:r>
        <w:rPr>
          <w:color w:val="231F20"/>
        </w:rPr>
        <w:t>educational</w:t>
      </w:r>
      <w:r>
        <w:rPr>
          <w:color w:val="231F20"/>
          <w:spacing w:val="-8"/>
        </w:rPr>
        <w:t> </w:t>
      </w:r>
      <w:r>
        <w:rPr>
          <w:color w:val="231F20"/>
        </w:rPr>
        <w:t>outcomes.</w:t>
      </w:r>
      <w:r>
        <w:rPr/>
      </w:r>
    </w:p>
    <w:p>
      <w:pPr>
        <w:pStyle w:val="BodyText"/>
        <w:spacing w:line="250" w:lineRule="exact" w:before="113"/>
        <w:ind w:left="100" w:right="73"/>
        <w:jc w:val="left"/>
      </w:pPr>
      <w:r>
        <w:rPr>
          <w:color w:val="231F20"/>
        </w:rPr>
        <w:t>A</w:t>
      </w:r>
      <w:r>
        <w:rPr>
          <w:color w:val="231F20"/>
          <w:spacing w:val="-7"/>
        </w:rPr>
        <w:t> </w:t>
      </w:r>
      <w:r>
        <w:rPr>
          <w:color w:val="231F20"/>
        </w:rPr>
        <w:t>number</w:t>
      </w:r>
      <w:r>
        <w:rPr>
          <w:color w:val="231F20"/>
          <w:spacing w:val="-7"/>
        </w:rPr>
        <w:t> </w:t>
      </w:r>
      <w:r>
        <w:rPr>
          <w:color w:val="231F20"/>
        </w:rPr>
        <w:t>of</w:t>
      </w:r>
      <w:r>
        <w:rPr>
          <w:color w:val="231F20"/>
          <w:spacing w:val="-6"/>
        </w:rPr>
        <w:t> </w:t>
      </w:r>
      <w:r>
        <w:rPr>
          <w:color w:val="231F20"/>
        </w:rPr>
        <w:t>boarding</w:t>
      </w:r>
      <w:r>
        <w:rPr>
          <w:color w:val="231F20"/>
          <w:spacing w:val="-7"/>
        </w:rPr>
        <w:t> </w:t>
      </w:r>
      <w:r>
        <w:rPr>
          <w:color w:val="231F20"/>
        </w:rPr>
        <w:t>providers</w:t>
      </w:r>
      <w:r>
        <w:rPr>
          <w:color w:val="231F20"/>
          <w:spacing w:val="-7"/>
        </w:rPr>
        <w:t> </w:t>
      </w:r>
      <w:r>
        <w:rPr>
          <w:color w:val="231F20"/>
        </w:rPr>
        <w:t>noted</w:t>
      </w:r>
      <w:r>
        <w:rPr>
          <w:color w:val="231F20"/>
          <w:w w:val="99"/>
        </w:rPr>
        <w:t> </w:t>
      </w:r>
      <w:r>
        <w:rPr>
          <w:color w:val="231F20"/>
        </w:rPr>
        <w:t>additional</w:t>
      </w:r>
      <w:r>
        <w:rPr>
          <w:color w:val="231F20"/>
          <w:spacing w:val="-10"/>
        </w:rPr>
        <w:t> </w:t>
      </w:r>
      <w:r>
        <w:rPr>
          <w:color w:val="231F20"/>
        </w:rPr>
        <w:t>costs</w:t>
      </w:r>
      <w:r>
        <w:rPr>
          <w:color w:val="231F20"/>
          <w:spacing w:val="-9"/>
        </w:rPr>
        <w:t> </w:t>
      </w:r>
      <w:r>
        <w:rPr>
          <w:color w:val="231F20"/>
        </w:rPr>
        <w:t>associated</w:t>
      </w:r>
      <w:r>
        <w:rPr>
          <w:color w:val="231F20"/>
          <w:spacing w:val="-9"/>
        </w:rPr>
        <w:t> </w:t>
      </w:r>
      <w:r>
        <w:rPr>
          <w:color w:val="231F20"/>
        </w:rPr>
        <w:t>with</w:t>
      </w:r>
      <w:r>
        <w:rPr>
          <w:color w:val="231F20"/>
          <w:spacing w:val="-9"/>
        </w:rPr>
        <w:t> </w:t>
      </w:r>
      <w:r>
        <w:rPr>
          <w:color w:val="231F20"/>
        </w:rPr>
        <w:t>remoteness,</w:t>
      </w:r>
      <w:r>
        <w:rPr>
          <w:color w:val="231F20"/>
          <w:w w:val="99"/>
        </w:rPr>
        <w:t> </w:t>
      </w:r>
      <w:r>
        <w:rPr>
          <w:rFonts w:ascii="Segoe UI"/>
          <w:color w:val="231F20"/>
        </w:rPr>
        <w:t>particularly around staffing costs, electricity</w:t>
      </w:r>
      <w:r>
        <w:rPr>
          <w:rFonts w:ascii="Segoe UI"/>
          <w:color w:val="231F20"/>
        </w:rPr>
        <w:t> </w:t>
      </w:r>
      <w:r>
        <w:rPr>
          <w:color w:val="231F20"/>
        </w:rPr>
        <w:t>and</w:t>
      </w:r>
      <w:r>
        <w:rPr>
          <w:color w:val="231F20"/>
          <w:spacing w:val="-6"/>
        </w:rPr>
        <w:t> </w:t>
      </w:r>
      <w:r>
        <w:rPr>
          <w:color w:val="231F20"/>
        </w:rPr>
        <w:t>freight.</w:t>
      </w:r>
      <w:r>
        <w:rPr>
          <w:color w:val="231F20"/>
          <w:spacing w:val="-4"/>
        </w:rPr>
        <w:t> </w:t>
      </w:r>
      <w:r>
        <w:rPr>
          <w:color w:val="231F20"/>
        </w:rPr>
        <w:t>The</w:t>
      </w:r>
      <w:r>
        <w:rPr>
          <w:color w:val="231F20"/>
          <w:spacing w:val="-5"/>
        </w:rPr>
        <w:t> </w:t>
      </w:r>
      <w:r>
        <w:rPr>
          <w:color w:val="231F20"/>
        </w:rPr>
        <w:t>three</w:t>
      </w:r>
      <w:r>
        <w:rPr>
          <w:color w:val="231F20"/>
          <w:spacing w:val="-5"/>
        </w:rPr>
        <w:t> </w:t>
      </w:r>
      <w:r>
        <w:rPr>
          <w:color w:val="231F20"/>
        </w:rPr>
        <w:t>year</w:t>
      </w:r>
      <w:r>
        <w:rPr>
          <w:color w:val="231F20"/>
          <w:spacing w:val="-5"/>
        </w:rPr>
        <w:t> </w:t>
      </w:r>
      <w:r>
        <w:rPr>
          <w:color w:val="231F20"/>
        </w:rPr>
        <w:t>average</w:t>
      </w:r>
      <w:r>
        <w:rPr>
          <w:color w:val="231F20"/>
          <w:spacing w:val="-5"/>
        </w:rPr>
        <w:t> </w:t>
      </w:r>
      <w:r>
        <w:rPr>
          <w:color w:val="231F20"/>
        </w:rPr>
        <w:t>cost</w:t>
      </w:r>
      <w:r>
        <w:rPr>
          <w:color w:val="231F20"/>
          <w:spacing w:val="-6"/>
        </w:rPr>
        <w:t> </w:t>
      </w:r>
      <w:r>
        <w:rPr>
          <w:color w:val="231F20"/>
        </w:rPr>
        <w:t>per</w:t>
      </w:r>
      <w:r>
        <w:rPr>
          <w:color w:val="231F20"/>
          <w:w w:val="99"/>
        </w:rPr>
        <w:t> </w:t>
      </w:r>
      <w:r>
        <w:rPr>
          <w:color w:val="231F20"/>
        </w:rPr>
        <w:t>boarder</w:t>
      </w:r>
      <w:r>
        <w:rPr>
          <w:color w:val="231F20"/>
          <w:spacing w:val="-6"/>
        </w:rPr>
        <w:t> </w:t>
      </w:r>
      <w:r>
        <w:rPr>
          <w:color w:val="231F20"/>
        </w:rPr>
        <w:t>was</w:t>
      </w:r>
      <w:r>
        <w:rPr>
          <w:color w:val="231F20"/>
          <w:spacing w:val="-6"/>
        </w:rPr>
        <w:t> </w:t>
      </w:r>
      <w:r>
        <w:rPr>
          <w:color w:val="231F20"/>
        </w:rPr>
        <w:t>highest</w:t>
      </w:r>
      <w:r>
        <w:rPr>
          <w:color w:val="231F20"/>
          <w:spacing w:val="-6"/>
        </w:rPr>
        <w:t> </w:t>
      </w:r>
      <w:r>
        <w:rPr>
          <w:color w:val="231F20"/>
        </w:rPr>
        <w:t>at</w:t>
      </w:r>
      <w:r>
        <w:rPr>
          <w:color w:val="231F20"/>
          <w:spacing w:val="-5"/>
        </w:rPr>
        <w:t> </w:t>
      </w:r>
      <w:r>
        <w:rPr>
          <w:color w:val="231F20"/>
        </w:rPr>
        <w:t>very</w:t>
      </w:r>
      <w:r>
        <w:rPr>
          <w:color w:val="231F20"/>
          <w:spacing w:val="-5"/>
        </w:rPr>
        <w:t> </w:t>
      </w:r>
      <w:r>
        <w:rPr>
          <w:color w:val="231F20"/>
        </w:rPr>
        <w:t>remote</w:t>
      </w:r>
      <w:r>
        <w:rPr>
          <w:color w:val="231F20"/>
          <w:spacing w:val="-7"/>
        </w:rPr>
        <w:t> </w:t>
      </w:r>
      <w:r>
        <w:rPr>
          <w:color w:val="231F20"/>
        </w:rPr>
        <w:t>Aboriginal</w:t>
      </w:r>
      <w:r>
        <w:rPr/>
      </w:r>
    </w:p>
    <w:p>
      <w:pPr>
        <w:pStyle w:val="BodyText"/>
        <w:spacing w:line="250" w:lineRule="exact" w:before="62"/>
        <w:ind w:left="100" w:right="132"/>
        <w:jc w:val="left"/>
      </w:pPr>
      <w:r>
        <w:rPr/>
        <w:br w:type="column"/>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7"/>
        </w:rPr>
        <w:t> </w:t>
      </w:r>
      <w:r>
        <w:rPr>
          <w:color w:val="231F20"/>
        </w:rPr>
        <w:t>providers</w:t>
      </w:r>
      <w:r>
        <w:rPr>
          <w:color w:val="231F20"/>
          <w:spacing w:val="21"/>
          <w:w w:val="99"/>
        </w:rPr>
        <w:t> </w:t>
      </w:r>
      <w:r>
        <w:rPr>
          <w:color w:val="231F20"/>
        </w:rPr>
        <w:t>($28,208).</w:t>
      </w:r>
      <w:r>
        <w:rPr>
          <w:color w:val="231F20"/>
          <w:spacing w:val="-7"/>
        </w:rPr>
        <w:t> </w:t>
      </w:r>
      <w:r>
        <w:rPr>
          <w:color w:val="231F20"/>
        </w:rPr>
        <w:t>However,</w:t>
      </w:r>
      <w:r>
        <w:rPr>
          <w:color w:val="231F20"/>
          <w:spacing w:val="-6"/>
        </w:rPr>
        <w:t> </w:t>
      </w:r>
      <w:r>
        <w:rPr>
          <w:color w:val="231F20"/>
        </w:rPr>
        <w:t>the</w:t>
      </w:r>
      <w:r>
        <w:rPr>
          <w:color w:val="231F20"/>
          <w:spacing w:val="-7"/>
        </w:rPr>
        <w:t> </w:t>
      </w:r>
      <w:r>
        <w:rPr>
          <w:color w:val="231F20"/>
        </w:rPr>
        <w:t>average</w:t>
      </w:r>
      <w:r>
        <w:rPr>
          <w:color w:val="231F20"/>
          <w:spacing w:val="-6"/>
        </w:rPr>
        <w:t> </w:t>
      </w:r>
      <w:r>
        <w:rPr>
          <w:color w:val="231F20"/>
        </w:rPr>
        <w:t>cost</w:t>
      </w:r>
      <w:r>
        <w:rPr>
          <w:color w:val="231F20"/>
          <w:spacing w:val="-7"/>
        </w:rPr>
        <w:t> </w:t>
      </w:r>
      <w:r>
        <w:rPr>
          <w:color w:val="231F20"/>
        </w:rPr>
        <w:t>of</w:t>
      </w:r>
      <w:r>
        <w:rPr>
          <w:color w:val="231F20"/>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6"/>
        </w:rPr>
        <w:t> </w:t>
      </w:r>
      <w:r>
        <w:rPr>
          <w:color w:val="231F20"/>
          <w:spacing w:val="-1"/>
        </w:rPr>
        <w:t>in</w:t>
      </w:r>
      <w:r>
        <w:rPr>
          <w:color w:val="231F20"/>
          <w:spacing w:val="-5"/>
        </w:rPr>
        <w:t> </w:t>
      </w:r>
      <w:r>
        <w:rPr>
          <w:color w:val="231F20"/>
          <w:spacing w:val="-1"/>
        </w:rPr>
        <w:t>major</w:t>
      </w:r>
      <w:r>
        <w:rPr>
          <w:color w:val="231F20"/>
          <w:spacing w:val="-5"/>
        </w:rPr>
        <w:t> </w:t>
      </w:r>
      <w:r>
        <w:rPr>
          <w:color w:val="231F20"/>
        </w:rPr>
        <w:t>cities</w:t>
      </w:r>
      <w:r>
        <w:rPr>
          <w:color w:val="231F20"/>
          <w:spacing w:val="-6"/>
        </w:rPr>
        <w:t> </w:t>
      </w:r>
      <w:r>
        <w:rPr>
          <w:color w:val="231F20"/>
        </w:rPr>
        <w:t>($25,021)</w:t>
      </w:r>
      <w:r>
        <w:rPr>
          <w:color w:val="231F20"/>
          <w:spacing w:val="-6"/>
        </w:rPr>
        <w:t> </w:t>
      </w:r>
      <w:r>
        <w:rPr>
          <w:color w:val="231F20"/>
        </w:rPr>
        <w:t>and</w:t>
      </w:r>
      <w:r>
        <w:rPr>
          <w:color w:val="231F20"/>
          <w:spacing w:val="-6"/>
        </w:rPr>
        <w:t> </w:t>
      </w:r>
      <w:r>
        <w:rPr>
          <w:color w:val="231F20"/>
        </w:rPr>
        <w:t>outer</w:t>
      </w:r>
      <w:r>
        <w:rPr>
          <w:color w:val="231F20"/>
          <w:spacing w:val="22"/>
          <w:w w:val="99"/>
        </w:rPr>
        <w:t> </w:t>
      </w:r>
      <w:r>
        <w:rPr>
          <w:color w:val="231F20"/>
        </w:rPr>
        <w:t>regional</w:t>
      </w:r>
      <w:r>
        <w:rPr>
          <w:color w:val="231F20"/>
          <w:spacing w:val="-7"/>
        </w:rPr>
        <w:t> </w:t>
      </w:r>
      <w:r>
        <w:rPr>
          <w:color w:val="231F20"/>
        </w:rPr>
        <w:t>areas</w:t>
      </w:r>
      <w:r>
        <w:rPr>
          <w:color w:val="231F20"/>
          <w:spacing w:val="-6"/>
        </w:rPr>
        <w:t> </w:t>
      </w:r>
      <w:r>
        <w:rPr>
          <w:color w:val="231F20"/>
        </w:rPr>
        <w:t>($26,384)</w:t>
      </w:r>
      <w:r>
        <w:rPr>
          <w:color w:val="231F20"/>
          <w:spacing w:val="-6"/>
        </w:rPr>
        <w:t> </w:t>
      </w:r>
      <w:r>
        <w:rPr>
          <w:color w:val="231F20"/>
        </w:rPr>
        <w:t>was</w:t>
      </w:r>
      <w:r>
        <w:rPr>
          <w:color w:val="231F20"/>
          <w:spacing w:val="-7"/>
        </w:rPr>
        <w:t> </w:t>
      </w:r>
      <w:r>
        <w:rPr>
          <w:color w:val="231F20"/>
        </w:rPr>
        <w:t>only</w:t>
      </w:r>
      <w:r>
        <w:rPr>
          <w:color w:val="231F20"/>
          <w:spacing w:val="-6"/>
        </w:rPr>
        <w:t> </w:t>
      </w:r>
      <w:r>
        <w:rPr>
          <w:color w:val="231F20"/>
          <w:spacing w:val="-1"/>
        </w:rPr>
        <w:t>slightly</w:t>
      </w:r>
      <w:r>
        <w:rPr>
          <w:color w:val="231F20"/>
          <w:spacing w:val="-5"/>
        </w:rPr>
        <w:t> </w:t>
      </w:r>
      <w:r>
        <w:rPr>
          <w:color w:val="231F20"/>
          <w:spacing w:val="-1"/>
        </w:rPr>
        <w:t>lower</w:t>
      </w:r>
      <w:r>
        <w:rPr>
          <w:color w:val="231F20"/>
          <w:spacing w:val="21"/>
          <w:w w:val="99"/>
        </w:rPr>
        <w:t> </w:t>
      </w:r>
      <w:r>
        <w:rPr>
          <w:color w:val="231F20"/>
        </w:rPr>
        <w:t>very</w:t>
      </w:r>
      <w:r>
        <w:rPr>
          <w:color w:val="231F20"/>
          <w:spacing w:val="-7"/>
        </w:rPr>
        <w:t> </w:t>
      </w:r>
      <w:r>
        <w:rPr>
          <w:color w:val="231F20"/>
        </w:rPr>
        <w:t>remote</w:t>
      </w:r>
      <w:r>
        <w:rPr>
          <w:color w:val="231F20"/>
          <w:spacing w:val="-7"/>
        </w:rPr>
        <w:t> </w:t>
      </w:r>
      <w:r>
        <w:rPr>
          <w:color w:val="231F20"/>
        </w:rPr>
        <w:t>providers</w:t>
      </w:r>
      <w:r>
        <w:rPr>
          <w:color w:val="231F20"/>
          <w:spacing w:val="-8"/>
        </w:rPr>
        <w:t> </w:t>
      </w:r>
      <w:r>
        <w:rPr>
          <w:color w:val="231F20"/>
        </w:rPr>
        <w:t>and</w:t>
      </w:r>
      <w:r>
        <w:rPr>
          <w:color w:val="231F20"/>
          <w:spacing w:val="-7"/>
        </w:rPr>
        <w:t> </w:t>
      </w:r>
      <w:r>
        <w:rPr>
          <w:color w:val="231F20"/>
        </w:rPr>
        <w:t>actually</w:t>
      </w:r>
      <w:r>
        <w:rPr>
          <w:color w:val="231F20"/>
          <w:spacing w:val="-7"/>
        </w:rPr>
        <w:t> </w:t>
      </w:r>
      <w:r>
        <w:rPr>
          <w:color w:val="231F20"/>
        </w:rPr>
        <w:t>higher</w:t>
      </w:r>
      <w:r>
        <w:rPr>
          <w:color w:val="231F20"/>
          <w:spacing w:val="-7"/>
        </w:rPr>
        <w:t> </w:t>
      </w:r>
      <w:r>
        <w:rPr>
          <w:color w:val="231F20"/>
        </w:rPr>
        <w:t>than</w:t>
      </w:r>
      <w:r>
        <w:rPr>
          <w:color w:val="231F20"/>
          <w:w w:val="99"/>
        </w:rPr>
        <w:t> </w:t>
      </w:r>
      <w:r>
        <w:rPr>
          <w:color w:val="231F20"/>
        </w:rPr>
        <w:t>remote</w:t>
      </w:r>
      <w:r>
        <w:rPr>
          <w:color w:val="231F20"/>
          <w:spacing w:val="-13"/>
        </w:rPr>
        <w:t> </w:t>
      </w:r>
      <w:r>
        <w:rPr>
          <w:color w:val="231F20"/>
        </w:rPr>
        <w:t>providers</w:t>
      </w:r>
      <w:r>
        <w:rPr>
          <w:color w:val="231F20"/>
          <w:spacing w:val="-13"/>
        </w:rPr>
        <w:t> </w:t>
      </w:r>
      <w:r>
        <w:rPr>
          <w:color w:val="231F20"/>
        </w:rPr>
        <w:t>($19,441).</w:t>
      </w:r>
      <w:r>
        <w:rPr/>
      </w:r>
    </w:p>
    <w:p>
      <w:pPr>
        <w:pStyle w:val="BodyText"/>
        <w:spacing w:line="250" w:lineRule="exact" w:before="113"/>
        <w:ind w:left="100" w:right="119"/>
        <w:jc w:val="left"/>
      </w:pPr>
      <w:r>
        <w:rPr>
          <w:color w:val="231F20"/>
        </w:rPr>
        <w:t>The</w:t>
      </w:r>
      <w:r>
        <w:rPr>
          <w:color w:val="231F20"/>
          <w:spacing w:val="-4"/>
        </w:rPr>
        <w:t> </w:t>
      </w:r>
      <w:r>
        <w:rPr>
          <w:color w:val="231F20"/>
        </w:rPr>
        <w:t>two</w:t>
      </w:r>
      <w:r>
        <w:rPr>
          <w:color w:val="231F20"/>
          <w:spacing w:val="-3"/>
        </w:rPr>
        <w:t> </w:t>
      </w:r>
      <w:r>
        <w:rPr>
          <w:color w:val="231F20"/>
        </w:rPr>
        <w:t>highest</w:t>
      </w:r>
      <w:r>
        <w:rPr>
          <w:color w:val="231F20"/>
          <w:spacing w:val="-4"/>
        </w:rPr>
        <w:t> </w:t>
      </w:r>
      <w:r>
        <w:rPr>
          <w:color w:val="231F20"/>
        </w:rPr>
        <w:t>cost</w:t>
      </w:r>
      <w:r>
        <w:rPr>
          <w:color w:val="231F20"/>
          <w:spacing w:val="-4"/>
        </w:rPr>
        <w:t> </w:t>
      </w:r>
      <w:r>
        <w:rPr>
          <w:color w:val="231F20"/>
          <w:spacing w:val="-1"/>
        </w:rPr>
        <w:t>individual</w:t>
      </w:r>
      <w:r>
        <w:rPr>
          <w:color w:val="231F20"/>
          <w:spacing w:val="-3"/>
        </w:rPr>
        <w:t> </w:t>
      </w:r>
      <w:r>
        <w:rPr>
          <w:color w:val="231F20"/>
        </w:rPr>
        <w:t>Aboriginal</w:t>
      </w:r>
      <w:r>
        <w:rPr>
          <w:color w:val="231F20"/>
          <w:spacing w:val="-3"/>
        </w:rPr>
        <w:t> </w:t>
      </w:r>
      <w:r>
        <w:rPr>
          <w:color w:val="231F20"/>
        </w:rPr>
        <w:t>and</w:t>
      </w:r>
      <w:r>
        <w:rPr>
          <w:color w:val="231F20"/>
          <w:spacing w:val="22"/>
          <w:w w:val="99"/>
        </w:rPr>
        <w:t> </w:t>
      </w:r>
      <w:r>
        <w:rPr>
          <w:color w:val="231F20"/>
          <w:spacing w:val="-5"/>
        </w:rPr>
        <w:t>Torres</w:t>
      </w:r>
      <w:r>
        <w:rPr>
          <w:color w:val="231F20"/>
          <w:spacing w:val="-7"/>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7"/>
        </w:rPr>
        <w:t> </w:t>
      </w:r>
      <w:r>
        <w:rPr>
          <w:color w:val="231F20"/>
        </w:rPr>
        <w:t>providers</w:t>
      </w:r>
      <w:r>
        <w:rPr>
          <w:color w:val="231F20"/>
          <w:spacing w:val="-7"/>
        </w:rPr>
        <w:t> </w:t>
      </w:r>
      <w:r>
        <w:rPr>
          <w:color w:val="231F20"/>
        </w:rPr>
        <w:t>were</w:t>
      </w:r>
      <w:r>
        <w:rPr>
          <w:color w:val="231F20"/>
          <w:spacing w:val="21"/>
          <w:w w:val="99"/>
        </w:rPr>
        <w:t> </w:t>
      </w:r>
      <w:r>
        <w:rPr>
          <w:color w:val="231F20"/>
        </w:rPr>
        <w:t>actually</w:t>
      </w:r>
      <w:r>
        <w:rPr>
          <w:color w:val="231F20"/>
          <w:spacing w:val="-6"/>
        </w:rPr>
        <w:t> </w:t>
      </w:r>
      <w:r>
        <w:rPr>
          <w:color w:val="231F20"/>
          <w:spacing w:val="-1"/>
        </w:rPr>
        <w:t>located</w:t>
      </w:r>
      <w:r>
        <w:rPr>
          <w:color w:val="231F20"/>
          <w:spacing w:val="-5"/>
        </w:rPr>
        <w:t> </w:t>
      </w:r>
      <w:r>
        <w:rPr>
          <w:color w:val="231F20"/>
          <w:spacing w:val="-1"/>
        </w:rPr>
        <w:t>in</w:t>
      </w:r>
      <w:r>
        <w:rPr>
          <w:color w:val="231F20"/>
          <w:spacing w:val="-4"/>
        </w:rPr>
        <w:t> </w:t>
      </w:r>
      <w:r>
        <w:rPr>
          <w:color w:val="231F20"/>
        </w:rPr>
        <w:t>a</w:t>
      </w:r>
      <w:r>
        <w:rPr>
          <w:color w:val="231F20"/>
          <w:spacing w:val="-5"/>
        </w:rPr>
        <w:t> </w:t>
      </w:r>
      <w:r>
        <w:rPr>
          <w:color w:val="231F20"/>
          <w:spacing w:val="-1"/>
        </w:rPr>
        <w:t>major</w:t>
      </w:r>
      <w:r>
        <w:rPr>
          <w:color w:val="231F20"/>
          <w:spacing w:val="-4"/>
        </w:rPr>
        <w:t> </w:t>
      </w:r>
      <w:r>
        <w:rPr>
          <w:color w:val="231F20"/>
        </w:rPr>
        <w:t>regional</w:t>
      </w:r>
      <w:r>
        <w:rPr>
          <w:color w:val="231F20"/>
          <w:spacing w:val="-6"/>
        </w:rPr>
        <w:t> </w:t>
      </w:r>
      <w:r>
        <w:rPr>
          <w:color w:val="231F20"/>
        </w:rPr>
        <w:t>centre</w:t>
      </w:r>
      <w:r>
        <w:rPr>
          <w:color w:val="231F20"/>
          <w:spacing w:val="-5"/>
        </w:rPr>
        <w:t> </w:t>
      </w:r>
      <w:r>
        <w:rPr>
          <w:color w:val="231F20"/>
        </w:rPr>
        <w:t>and</w:t>
      </w:r>
      <w:r>
        <w:rPr>
          <w:color w:val="231F20"/>
          <w:spacing w:val="-6"/>
        </w:rPr>
        <w:t> </w:t>
      </w:r>
      <w:r>
        <w:rPr>
          <w:color w:val="231F20"/>
        </w:rPr>
        <w:t>a</w:t>
      </w:r>
      <w:r>
        <w:rPr>
          <w:color w:val="231F20"/>
          <w:spacing w:val="24"/>
          <w:w w:val="99"/>
        </w:rPr>
        <w:t> </w:t>
      </w:r>
      <w:r>
        <w:rPr>
          <w:color w:val="231F20"/>
        </w:rPr>
        <w:t>capital</w:t>
      </w:r>
      <w:r>
        <w:rPr>
          <w:color w:val="231F20"/>
          <w:spacing w:val="-5"/>
        </w:rPr>
        <w:t> </w:t>
      </w:r>
      <w:r>
        <w:rPr>
          <w:color w:val="231F20"/>
        </w:rPr>
        <w:t>city.</w:t>
      </w:r>
      <w:r>
        <w:rPr>
          <w:color w:val="231F20"/>
          <w:spacing w:val="-5"/>
        </w:rPr>
        <w:t> </w:t>
      </w:r>
      <w:r>
        <w:rPr>
          <w:color w:val="231F20"/>
        </w:rPr>
        <w:t>The</w:t>
      </w:r>
      <w:r>
        <w:rPr>
          <w:color w:val="231F20"/>
          <w:spacing w:val="-4"/>
        </w:rPr>
        <w:t> </w:t>
      </w:r>
      <w:r>
        <w:rPr>
          <w:color w:val="231F20"/>
        </w:rPr>
        <w:t>high</w:t>
      </w:r>
      <w:r>
        <w:rPr>
          <w:color w:val="231F20"/>
          <w:spacing w:val="-4"/>
        </w:rPr>
        <w:t> </w:t>
      </w:r>
      <w:r>
        <w:rPr>
          <w:color w:val="231F20"/>
        </w:rPr>
        <w:t>cost</w:t>
      </w:r>
      <w:r>
        <w:rPr>
          <w:color w:val="231F20"/>
          <w:spacing w:val="-5"/>
        </w:rPr>
        <w:t> </w:t>
      </w:r>
      <w:r>
        <w:rPr>
          <w:color w:val="231F20"/>
        </w:rPr>
        <w:t>of</w:t>
      </w:r>
      <w:r>
        <w:rPr>
          <w:color w:val="231F20"/>
          <w:spacing w:val="-4"/>
        </w:rPr>
        <w:t> </w:t>
      </w:r>
      <w:r>
        <w:rPr>
          <w:color w:val="231F20"/>
        </w:rPr>
        <w:t>these</w:t>
      </w:r>
      <w:r>
        <w:rPr>
          <w:color w:val="231F20"/>
          <w:spacing w:val="-5"/>
        </w:rPr>
        <w:t> </w:t>
      </w:r>
      <w:r>
        <w:rPr>
          <w:color w:val="231F20"/>
        </w:rPr>
        <w:t>two</w:t>
      </w:r>
      <w:r>
        <w:rPr>
          <w:color w:val="231F20"/>
          <w:spacing w:val="-4"/>
        </w:rPr>
        <w:t> </w:t>
      </w:r>
      <w:r>
        <w:rPr>
          <w:color w:val="231F20"/>
        </w:rPr>
        <w:t>providers</w:t>
      </w:r>
      <w:r>
        <w:rPr>
          <w:color w:val="231F20"/>
          <w:w w:val="99"/>
        </w:rPr>
        <w:t> </w:t>
      </w:r>
      <w:r>
        <w:rPr>
          <w:color w:val="231F20"/>
        </w:rPr>
        <w:t>was</w:t>
      </w:r>
      <w:r>
        <w:rPr>
          <w:color w:val="231F20"/>
          <w:spacing w:val="-5"/>
        </w:rPr>
        <w:t> </w:t>
      </w:r>
      <w:r>
        <w:rPr>
          <w:color w:val="231F20"/>
        </w:rPr>
        <w:t>however</w:t>
      </w:r>
      <w:r>
        <w:rPr>
          <w:color w:val="231F20"/>
          <w:spacing w:val="-4"/>
        </w:rPr>
        <w:t> </w:t>
      </w:r>
      <w:r>
        <w:rPr>
          <w:color w:val="231F20"/>
        </w:rPr>
        <w:t>a</w:t>
      </w:r>
      <w:r>
        <w:rPr>
          <w:color w:val="231F20"/>
          <w:spacing w:val="-4"/>
        </w:rPr>
        <w:t> </w:t>
      </w:r>
      <w:r>
        <w:rPr>
          <w:color w:val="231F20"/>
        </w:rPr>
        <w:t>factor</w:t>
      </w:r>
      <w:r>
        <w:rPr>
          <w:color w:val="231F20"/>
          <w:spacing w:val="-4"/>
        </w:rPr>
        <w:t> </w:t>
      </w:r>
      <w:r>
        <w:rPr>
          <w:color w:val="231F20"/>
        </w:rPr>
        <w:t>of</w:t>
      </w:r>
      <w:r>
        <w:rPr>
          <w:color w:val="231F20"/>
          <w:spacing w:val="-4"/>
        </w:rPr>
        <w:t> </w:t>
      </w:r>
      <w:r>
        <w:rPr>
          <w:color w:val="231F20"/>
        </w:rPr>
        <w:t>the</w:t>
      </w:r>
      <w:r>
        <w:rPr>
          <w:color w:val="231F20"/>
          <w:spacing w:val="-5"/>
        </w:rPr>
        <w:t> </w:t>
      </w:r>
      <w:r>
        <w:rPr>
          <w:color w:val="231F20"/>
          <w:spacing w:val="-1"/>
        </w:rPr>
        <w:t>model</w:t>
      </w:r>
      <w:r>
        <w:rPr>
          <w:color w:val="231F20"/>
          <w:spacing w:val="-4"/>
        </w:rPr>
        <w:t> </w:t>
      </w:r>
      <w:r>
        <w:rPr>
          <w:color w:val="231F20"/>
        </w:rPr>
        <w:t>of</w:t>
      </w:r>
      <w:r>
        <w:rPr>
          <w:color w:val="231F20"/>
          <w:spacing w:val="-4"/>
        </w:rPr>
        <w:t> </w:t>
      </w:r>
      <w:r>
        <w:rPr>
          <w:color w:val="231F20"/>
        </w:rPr>
        <w:t>boarding</w:t>
      </w:r>
      <w:r>
        <w:rPr>
          <w:color w:val="231F20"/>
          <w:spacing w:val="21"/>
          <w:w w:val="99"/>
        </w:rPr>
        <w:t> </w:t>
      </w:r>
      <w:r>
        <w:rPr>
          <w:color w:val="231F20"/>
        </w:rPr>
        <w:t>provided</w:t>
      </w:r>
      <w:r>
        <w:rPr>
          <w:color w:val="231F20"/>
          <w:spacing w:val="-7"/>
        </w:rPr>
        <w:t> </w:t>
      </w:r>
      <w:r>
        <w:rPr>
          <w:color w:val="231F20"/>
        </w:rPr>
        <w:t>rather</w:t>
      </w:r>
      <w:r>
        <w:rPr>
          <w:color w:val="231F20"/>
          <w:spacing w:val="-7"/>
        </w:rPr>
        <w:t> </w:t>
      </w:r>
      <w:r>
        <w:rPr>
          <w:color w:val="231F20"/>
        </w:rPr>
        <w:t>than</w:t>
      </w:r>
      <w:r>
        <w:rPr>
          <w:color w:val="231F20"/>
          <w:spacing w:val="-6"/>
        </w:rPr>
        <w:t> </w:t>
      </w:r>
      <w:r>
        <w:rPr>
          <w:color w:val="231F20"/>
          <w:spacing w:val="-1"/>
        </w:rPr>
        <w:t>location.</w:t>
      </w:r>
      <w:r>
        <w:rPr>
          <w:color w:val="231F20"/>
          <w:spacing w:val="-6"/>
        </w:rPr>
        <w:t> </w:t>
      </w:r>
      <w:r>
        <w:rPr>
          <w:color w:val="231F20"/>
        </w:rPr>
        <w:t>The</w:t>
      </w:r>
      <w:r>
        <w:rPr>
          <w:color w:val="231F20"/>
          <w:spacing w:val="-5"/>
        </w:rPr>
        <w:t> </w:t>
      </w:r>
      <w:r>
        <w:rPr>
          <w:color w:val="231F20"/>
          <w:spacing w:val="-1"/>
        </w:rPr>
        <w:t>lowest</w:t>
      </w:r>
      <w:r>
        <w:rPr>
          <w:color w:val="231F20"/>
          <w:spacing w:val="-6"/>
        </w:rPr>
        <w:t> </w:t>
      </w:r>
      <w:r>
        <w:rPr>
          <w:color w:val="231F20"/>
        </w:rPr>
        <w:t>cost</w:t>
      </w:r>
      <w:r>
        <w:rPr>
          <w:color w:val="231F20"/>
          <w:spacing w:val="23"/>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7"/>
        </w:rPr>
        <w:t> </w:t>
      </w:r>
      <w:r>
        <w:rPr>
          <w:color w:val="231F20"/>
        </w:rPr>
        <w:t>were</w:t>
      </w:r>
      <w:r>
        <w:rPr>
          <w:color w:val="231F20"/>
          <w:spacing w:val="-6"/>
        </w:rPr>
        <w:t> </w:t>
      </w:r>
      <w:r>
        <w:rPr>
          <w:color w:val="231F20"/>
          <w:spacing w:val="-1"/>
        </w:rPr>
        <w:t>located</w:t>
      </w:r>
      <w:r>
        <w:rPr>
          <w:color w:val="231F20"/>
          <w:spacing w:val="-5"/>
        </w:rPr>
        <w:t> </w:t>
      </w:r>
      <w:r>
        <w:rPr>
          <w:color w:val="231F20"/>
          <w:spacing w:val="-1"/>
        </w:rPr>
        <w:t>in</w:t>
      </w:r>
      <w:r>
        <w:rPr>
          <w:color w:val="231F20"/>
          <w:spacing w:val="-5"/>
        </w:rPr>
        <w:t> </w:t>
      </w:r>
      <w:r>
        <w:rPr>
          <w:color w:val="231F20"/>
        </w:rPr>
        <w:t>remote</w:t>
      </w:r>
      <w:r>
        <w:rPr>
          <w:color w:val="231F20"/>
          <w:spacing w:val="-6"/>
        </w:rPr>
        <w:t> </w:t>
      </w:r>
      <w:r>
        <w:rPr>
          <w:color w:val="231F20"/>
          <w:spacing w:val="-1"/>
        </w:rPr>
        <w:t>locations</w:t>
      </w:r>
      <w:r>
        <w:rPr/>
      </w:r>
    </w:p>
    <w:p>
      <w:pPr>
        <w:pStyle w:val="BodyText"/>
        <w:spacing w:line="250" w:lineRule="exact"/>
        <w:ind w:left="100" w:right="500"/>
        <w:jc w:val="both"/>
      </w:pPr>
      <w:r>
        <w:rPr>
          <w:color w:val="231F20"/>
        </w:rPr>
        <w:t>but</w:t>
      </w:r>
      <w:r>
        <w:rPr>
          <w:color w:val="231F20"/>
          <w:spacing w:val="-5"/>
        </w:rPr>
        <w:t> </w:t>
      </w:r>
      <w:r>
        <w:rPr>
          <w:color w:val="231F20"/>
        </w:rPr>
        <w:t>the</w:t>
      </w:r>
      <w:r>
        <w:rPr>
          <w:color w:val="231F20"/>
          <w:spacing w:val="-4"/>
        </w:rPr>
        <w:t> </w:t>
      </w:r>
      <w:r>
        <w:rPr>
          <w:color w:val="231F20"/>
          <w:spacing w:val="-1"/>
        </w:rPr>
        <w:t>model</w:t>
      </w:r>
      <w:r>
        <w:rPr>
          <w:color w:val="231F20"/>
          <w:spacing w:val="-3"/>
        </w:rPr>
        <w:t> </w:t>
      </w:r>
      <w:r>
        <w:rPr>
          <w:color w:val="231F20"/>
        </w:rPr>
        <w:t>of</w:t>
      </w:r>
      <w:r>
        <w:rPr>
          <w:color w:val="231F20"/>
          <w:spacing w:val="-3"/>
        </w:rPr>
        <w:t> </w:t>
      </w:r>
      <w:r>
        <w:rPr>
          <w:color w:val="231F20"/>
        </w:rPr>
        <w:t>boarding</w:t>
      </w:r>
      <w:r>
        <w:rPr>
          <w:color w:val="231F20"/>
          <w:spacing w:val="-4"/>
        </w:rPr>
        <w:t> </w:t>
      </w:r>
      <w:r>
        <w:rPr>
          <w:color w:val="231F20"/>
        </w:rPr>
        <w:t>delivery</w:t>
      </w:r>
      <w:r>
        <w:rPr>
          <w:color w:val="231F20"/>
          <w:spacing w:val="-4"/>
        </w:rPr>
        <w:t> </w:t>
      </w:r>
      <w:r>
        <w:rPr>
          <w:color w:val="231F20"/>
        </w:rPr>
        <w:t>of</w:t>
      </w:r>
      <w:r>
        <w:rPr>
          <w:color w:val="231F20"/>
          <w:spacing w:val="-3"/>
        </w:rPr>
        <w:t> </w:t>
      </w:r>
      <w:r>
        <w:rPr>
          <w:color w:val="231F20"/>
        </w:rPr>
        <w:t>these</w:t>
      </w:r>
      <w:r>
        <w:rPr>
          <w:color w:val="231F20"/>
          <w:spacing w:val="21"/>
        </w:rPr>
        <w:t> </w:t>
      </w:r>
      <w:r>
        <w:rPr>
          <w:color w:val="231F20"/>
        </w:rPr>
        <w:t>providers</w:t>
      </w:r>
      <w:r>
        <w:rPr>
          <w:color w:val="231F20"/>
          <w:spacing w:val="-5"/>
        </w:rPr>
        <w:t> </w:t>
      </w:r>
      <w:r>
        <w:rPr>
          <w:color w:val="231F20"/>
        </w:rPr>
        <w:t>had</w:t>
      </w:r>
      <w:r>
        <w:rPr>
          <w:color w:val="231F20"/>
          <w:spacing w:val="-5"/>
        </w:rPr>
        <w:t> </w:t>
      </w:r>
      <w:r>
        <w:rPr>
          <w:color w:val="231F20"/>
        </w:rPr>
        <w:t>a</w:t>
      </w:r>
      <w:r>
        <w:rPr>
          <w:color w:val="231F20"/>
          <w:spacing w:val="-4"/>
        </w:rPr>
        <w:t> </w:t>
      </w:r>
      <w:r>
        <w:rPr>
          <w:color w:val="231F20"/>
        </w:rPr>
        <w:t>greater</w:t>
      </w:r>
      <w:r>
        <w:rPr>
          <w:color w:val="231F20"/>
          <w:spacing w:val="-5"/>
        </w:rPr>
        <w:t> </w:t>
      </w:r>
      <w:r>
        <w:rPr>
          <w:color w:val="231F20"/>
          <w:spacing w:val="-1"/>
        </w:rPr>
        <w:t>impact</w:t>
      </w:r>
      <w:r>
        <w:rPr>
          <w:color w:val="231F20"/>
          <w:spacing w:val="-4"/>
        </w:rPr>
        <w:t> </w:t>
      </w:r>
      <w:r>
        <w:rPr>
          <w:color w:val="231F20"/>
        </w:rPr>
        <w:t>on</w:t>
      </w:r>
      <w:r>
        <w:rPr>
          <w:color w:val="231F20"/>
          <w:spacing w:val="-4"/>
        </w:rPr>
        <w:t> </w:t>
      </w:r>
      <w:r>
        <w:rPr>
          <w:color w:val="231F20"/>
        </w:rPr>
        <w:t>cost</w:t>
      </w:r>
      <w:r>
        <w:rPr>
          <w:color w:val="231F20"/>
          <w:spacing w:val="-5"/>
        </w:rPr>
        <w:t> </w:t>
      </w:r>
      <w:r>
        <w:rPr>
          <w:color w:val="231F20"/>
        </w:rPr>
        <w:t>than</w:t>
      </w:r>
      <w:r>
        <w:rPr>
          <w:color w:val="231F20"/>
          <w:spacing w:val="21"/>
          <w:w w:val="99"/>
        </w:rPr>
        <w:t> </w:t>
      </w:r>
      <w:r>
        <w:rPr>
          <w:color w:val="231F20"/>
          <w:spacing w:val="-1"/>
        </w:rPr>
        <w:t>location.</w:t>
      </w:r>
      <w:r>
        <w:rPr/>
      </w:r>
    </w:p>
    <w:p>
      <w:pPr>
        <w:pStyle w:val="BodyText"/>
        <w:spacing w:line="250" w:lineRule="exact" w:before="113"/>
        <w:ind w:left="100" w:right="124"/>
        <w:jc w:val="left"/>
      </w:pPr>
      <w:r>
        <w:rPr>
          <w:color w:val="231F20"/>
        </w:rPr>
        <w:t>The</w:t>
      </w:r>
      <w:r>
        <w:rPr>
          <w:color w:val="231F20"/>
          <w:spacing w:val="-6"/>
        </w:rPr>
        <w:t> </w:t>
      </w:r>
      <w:r>
        <w:rPr>
          <w:color w:val="231F20"/>
          <w:spacing w:val="-1"/>
        </w:rPr>
        <w:t>23</w:t>
      </w:r>
      <w:r>
        <w:rPr>
          <w:color w:val="231F20"/>
          <w:spacing w:val="-5"/>
        </w:rPr>
        <w:t> </w:t>
      </w:r>
      <w:r>
        <w:rPr>
          <w:color w:val="231F20"/>
          <w:spacing w:val="-1"/>
        </w:rPr>
        <w:t>mainstream</w:t>
      </w:r>
      <w:r>
        <w:rPr>
          <w:color w:val="231F20"/>
          <w:spacing w:val="-5"/>
        </w:rPr>
        <w:t> </w:t>
      </w:r>
      <w:r>
        <w:rPr>
          <w:color w:val="231F20"/>
        </w:rPr>
        <w:t>boarding</w:t>
      </w:r>
      <w:r>
        <w:rPr>
          <w:color w:val="231F20"/>
          <w:spacing w:val="-6"/>
        </w:rPr>
        <w:t> </w:t>
      </w:r>
      <w:r>
        <w:rPr>
          <w:color w:val="231F20"/>
        </w:rPr>
        <w:t>providers</w:t>
      </w:r>
      <w:r>
        <w:rPr>
          <w:color w:val="231F20"/>
          <w:spacing w:val="-7"/>
        </w:rPr>
        <w:t> </w:t>
      </w:r>
      <w:r>
        <w:rPr>
          <w:color w:val="231F20"/>
        </w:rPr>
        <w:t>analysed</w:t>
      </w:r>
      <w:r>
        <w:rPr>
          <w:color w:val="231F20"/>
          <w:spacing w:val="23"/>
          <w:w w:val="99"/>
        </w:rPr>
        <w:t> </w:t>
      </w:r>
      <w:r>
        <w:rPr>
          <w:color w:val="231F20"/>
          <w:spacing w:val="-1"/>
        </w:rPr>
        <w:t>in</w:t>
      </w:r>
      <w:r>
        <w:rPr>
          <w:color w:val="231F20"/>
          <w:spacing w:val="-4"/>
        </w:rPr>
        <w:t> </w:t>
      </w:r>
      <w:r>
        <w:rPr>
          <w:color w:val="231F20"/>
        </w:rPr>
        <w:t>this</w:t>
      </w:r>
      <w:r>
        <w:rPr>
          <w:color w:val="231F20"/>
          <w:spacing w:val="-4"/>
        </w:rPr>
        <w:t> </w:t>
      </w:r>
      <w:r>
        <w:rPr>
          <w:color w:val="231F20"/>
        </w:rPr>
        <w:t>report</w:t>
      </w:r>
      <w:r>
        <w:rPr>
          <w:color w:val="231F20"/>
          <w:spacing w:val="-4"/>
        </w:rPr>
        <w:t> </w:t>
      </w:r>
      <w:r>
        <w:rPr>
          <w:color w:val="231F20"/>
        </w:rPr>
        <w:t>were</w:t>
      </w:r>
      <w:r>
        <w:rPr>
          <w:color w:val="231F20"/>
          <w:spacing w:val="-4"/>
        </w:rPr>
        <w:t> </w:t>
      </w:r>
      <w:r>
        <w:rPr>
          <w:color w:val="231F20"/>
          <w:spacing w:val="-1"/>
        </w:rPr>
        <w:t>located</w:t>
      </w:r>
      <w:r>
        <w:rPr>
          <w:color w:val="231F20"/>
          <w:spacing w:val="-4"/>
        </w:rPr>
        <w:t> </w:t>
      </w:r>
      <w:r>
        <w:rPr>
          <w:color w:val="231F20"/>
          <w:spacing w:val="-1"/>
        </w:rPr>
        <w:t>in</w:t>
      </w:r>
      <w:r>
        <w:rPr>
          <w:color w:val="231F20"/>
          <w:spacing w:val="-3"/>
        </w:rPr>
        <w:t> </w:t>
      </w:r>
      <w:r>
        <w:rPr>
          <w:color w:val="231F20"/>
          <w:spacing w:val="-1"/>
        </w:rPr>
        <w:t>major</w:t>
      </w:r>
      <w:r>
        <w:rPr>
          <w:color w:val="231F20"/>
          <w:spacing w:val="-3"/>
        </w:rPr>
        <w:t> </w:t>
      </w:r>
      <w:r>
        <w:rPr>
          <w:color w:val="231F20"/>
        </w:rPr>
        <w:t>cities,</w:t>
      </w:r>
      <w:r>
        <w:rPr>
          <w:color w:val="231F20"/>
          <w:spacing w:val="-4"/>
        </w:rPr>
        <w:t> </w:t>
      </w:r>
      <w:r>
        <w:rPr>
          <w:color w:val="231F20"/>
          <w:spacing w:val="-1"/>
        </w:rPr>
        <w:t>inner</w:t>
      </w:r>
      <w:r>
        <w:rPr>
          <w:color w:val="231F20"/>
          <w:spacing w:val="24"/>
          <w:w w:val="99"/>
        </w:rPr>
        <w:t> </w:t>
      </w:r>
      <w:r>
        <w:rPr>
          <w:color w:val="231F20"/>
        </w:rPr>
        <w:t>regional</w:t>
      </w:r>
      <w:r>
        <w:rPr>
          <w:color w:val="231F20"/>
          <w:spacing w:val="-7"/>
        </w:rPr>
        <w:t> </w:t>
      </w:r>
      <w:r>
        <w:rPr>
          <w:color w:val="231F20"/>
        </w:rPr>
        <w:t>and</w:t>
      </w:r>
      <w:r>
        <w:rPr>
          <w:color w:val="231F20"/>
          <w:spacing w:val="-7"/>
        </w:rPr>
        <w:t> </w:t>
      </w:r>
      <w:r>
        <w:rPr>
          <w:color w:val="231F20"/>
        </w:rPr>
        <w:t>outer</w:t>
      </w:r>
      <w:r>
        <w:rPr>
          <w:color w:val="231F20"/>
          <w:spacing w:val="-7"/>
        </w:rPr>
        <w:t> </w:t>
      </w:r>
      <w:r>
        <w:rPr>
          <w:color w:val="231F20"/>
        </w:rPr>
        <w:t>regional</w:t>
      </w:r>
      <w:r>
        <w:rPr>
          <w:color w:val="231F20"/>
          <w:spacing w:val="-7"/>
        </w:rPr>
        <w:t> </w:t>
      </w:r>
      <w:r>
        <w:rPr>
          <w:color w:val="231F20"/>
        </w:rPr>
        <w:t>areas.</w:t>
      </w:r>
      <w:r>
        <w:rPr>
          <w:color w:val="231F20"/>
          <w:spacing w:val="-7"/>
        </w:rPr>
        <w:t> </w:t>
      </w:r>
      <w:r>
        <w:rPr>
          <w:color w:val="231F20"/>
        </w:rPr>
        <w:t>There</w:t>
      </w:r>
      <w:r>
        <w:rPr>
          <w:color w:val="231F20"/>
          <w:spacing w:val="-6"/>
        </w:rPr>
        <w:t> </w:t>
      </w:r>
      <w:r>
        <w:rPr>
          <w:color w:val="231F20"/>
        </w:rPr>
        <w:t>only</w:t>
      </w:r>
      <w:r>
        <w:rPr>
          <w:color w:val="231F20"/>
          <w:w w:val="99"/>
        </w:rPr>
        <w:t> </w:t>
      </w:r>
      <w:r>
        <w:rPr>
          <w:color w:val="231F20"/>
          <w:spacing w:val="-1"/>
        </w:rPr>
        <w:t>slight</w:t>
      </w:r>
      <w:r>
        <w:rPr>
          <w:color w:val="231F20"/>
          <w:spacing w:val="-5"/>
        </w:rPr>
        <w:t> </w:t>
      </w:r>
      <w:r>
        <w:rPr>
          <w:color w:val="231F20"/>
        </w:rPr>
        <w:t>variations</w:t>
      </w:r>
      <w:r>
        <w:rPr>
          <w:color w:val="231F20"/>
          <w:spacing w:val="-4"/>
        </w:rPr>
        <w:t> </w:t>
      </w:r>
      <w:r>
        <w:rPr>
          <w:color w:val="231F20"/>
          <w:spacing w:val="-1"/>
        </w:rPr>
        <w:t>in</w:t>
      </w:r>
      <w:r>
        <w:rPr>
          <w:color w:val="231F20"/>
          <w:spacing w:val="-4"/>
        </w:rPr>
        <w:t> </w:t>
      </w:r>
      <w:r>
        <w:rPr>
          <w:color w:val="231F20"/>
        </w:rPr>
        <w:t>the</w:t>
      </w:r>
      <w:r>
        <w:rPr>
          <w:color w:val="231F20"/>
          <w:spacing w:val="-5"/>
        </w:rPr>
        <w:t> </w:t>
      </w:r>
      <w:r>
        <w:rPr>
          <w:color w:val="231F20"/>
        </w:rPr>
        <w:t>average</w:t>
      </w:r>
      <w:r>
        <w:rPr>
          <w:color w:val="231F20"/>
          <w:spacing w:val="-5"/>
        </w:rPr>
        <w:t> </w:t>
      </w:r>
      <w:r>
        <w:rPr>
          <w:color w:val="231F20"/>
        </w:rPr>
        <w:t>cost</w:t>
      </w:r>
      <w:r>
        <w:rPr>
          <w:color w:val="231F20"/>
          <w:spacing w:val="-5"/>
        </w:rPr>
        <w:t> </w:t>
      </w:r>
      <w:r>
        <w:rPr>
          <w:color w:val="231F20"/>
        </w:rPr>
        <w:t>of</w:t>
      </w:r>
      <w:r>
        <w:rPr>
          <w:color w:val="231F20"/>
          <w:spacing w:val="-4"/>
        </w:rPr>
        <w:t> </w:t>
      </w:r>
      <w:r>
        <w:rPr>
          <w:color w:val="231F20"/>
        </w:rPr>
        <w:t>boarding</w:t>
      </w:r>
      <w:r>
        <w:rPr>
          <w:color w:val="231F20"/>
          <w:spacing w:val="23"/>
          <w:w w:val="99"/>
        </w:rPr>
        <w:t> </w:t>
      </w:r>
      <w:r>
        <w:rPr>
          <w:rFonts w:ascii="Segoe UI"/>
          <w:color w:val="231F20"/>
        </w:rPr>
        <w:t>provision between remoteness classifications of</w:t>
      </w:r>
      <w:r>
        <w:rPr>
          <w:rFonts w:ascii="Segoe UI"/>
          <w:color w:val="231F20"/>
        </w:rPr>
        <w:t> </w:t>
      </w:r>
      <w:r>
        <w:rPr>
          <w:color w:val="231F20"/>
        </w:rPr>
        <w:t>the</w:t>
      </w:r>
      <w:r>
        <w:rPr>
          <w:color w:val="231F20"/>
          <w:spacing w:val="-8"/>
        </w:rPr>
        <w:t> </w:t>
      </w:r>
      <w:r>
        <w:rPr>
          <w:color w:val="231F20"/>
          <w:spacing w:val="-1"/>
        </w:rPr>
        <w:t>mainstream</w:t>
      </w:r>
      <w:r>
        <w:rPr>
          <w:color w:val="231F20"/>
          <w:spacing w:val="-6"/>
        </w:rPr>
        <w:t> </w:t>
      </w:r>
      <w:r>
        <w:rPr>
          <w:color w:val="231F20"/>
        </w:rPr>
        <w:t>boarding</w:t>
      </w:r>
      <w:r>
        <w:rPr>
          <w:color w:val="231F20"/>
          <w:spacing w:val="-8"/>
        </w:rPr>
        <w:t> </w:t>
      </w:r>
      <w:r>
        <w:rPr>
          <w:color w:val="231F20"/>
        </w:rPr>
        <w:t>providers,</w:t>
      </w:r>
      <w:r>
        <w:rPr>
          <w:color w:val="231F20"/>
          <w:spacing w:val="-8"/>
        </w:rPr>
        <w:t> </w:t>
      </w:r>
      <w:r>
        <w:rPr>
          <w:color w:val="231F20"/>
        </w:rPr>
        <w:t>although</w:t>
      </w:r>
      <w:r>
        <w:rPr>
          <w:color w:val="231F20"/>
          <w:spacing w:val="22"/>
          <w:w w:val="99"/>
        </w:rPr>
        <w:t> </w:t>
      </w:r>
      <w:r>
        <w:rPr>
          <w:color w:val="231F20"/>
        </w:rPr>
        <w:t>there</w:t>
      </w:r>
      <w:r>
        <w:rPr>
          <w:color w:val="231F20"/>
          <w:spacing w:val="-6"/>
        </w:rPr>
        <w:t> </w:t>
      </w:r>
      <w:r>
        <w:rPr>
          <w:color w:val="231F20"/>
        </w:rPr>
        <w:t>were</w:t>
      </w:r>
      <w:r>
        <w:rPr>
          <w:color w:val="231F20"/>
          <w:spacing w:val="-5"/>
        </w:rPr>
        <w:t> </w:t>
      </w:r>
      <w:r>
        <w:rPr>
          <w:color w:val="231F20"/>
        </w:rPr>
        <w:t>no</w:t>
      </w:r>
      <w:r>
        <w:rPr>
          <w:color w:val="231F20"/>
          <w:spacing w:val="-4"/>
        </w:rPr>
        <w:t> </w:t>
      </w:r>
      <w:r>
        <w:rPr>
          <w:color w:val="231F20"/>
          <w:spacing w:val="-1"/>
        </w:rPr>
        <w:t>mainstream</w:t>
      </w:r>
      <w:r>
        <w:rPr>
          <w:color w:val="231F20"/>
          <w:spacing w:val="-4"/>
        </w:rPr>
        <w:t> </w:t>
      </w:r>
      <w:r>
        <w:rPr>
          <w:color w:val="231F20"/>
        </w:rPr>
        <w:t>providers</w:t>
      </w:r>
      <w:r>
        <w:rPr>
          <w:color w:val="231F20"/>
          <w:spacing w:val="-5"/>
        </w:rPr>
        <w:t> </w:t>
      </w:r>
      <w:r>
        <w:rPr>
          <w:color w:val="231F20"/>
          <w:spacing w:val="-1"/>
        </w:rPr>
        <w:t>located</w:t>
      </w:r>
      <w:r>
        <w:rPr>
          <w:color w:val="231F20"/>
          <w:spacing w:val="-4"/>
        </w:rPr>
        <w:t> </w:t>
      </w:r>
      <w:r>
        <w:rPr>
          <w:color w:val="231F20"/>
          <w:spacing w:val="-1"/>
        </w:rPr>
        <w:t>in</w:t>
      </w:r>
      <w:r>
        <w:rPr>
          <w:color w:val="231F20"/>
          <w:spacing w:val="22"/>
        </w:rPr>
        <w:t> </w:t>
      </w:r>
      <w:r>
        <w:rPr>
          <w:color w:val="231F20"/>
        </w:rPr>
        <w:t>remote</w:t>
      </w:r>
      <w:r>
        <w:rPr>
          <w:color w:val="231F20"/>
          <w:spacing w:val="-8"/>
        </w:rPr>
        <w:t> </w:t>
      </w:r>
      <w:r>
        <w:rPr>
          <w:color w:val="231F20"/>
        </w:rPr>
        <w:t>or</w:t>
      </w:r>
      <w:r>
        <w:rPr>
          <w:color w:val="231F20"/>
          <w:spacing w:val="-7"/>
        </w:rPr>
        <w:t> </w:t>
      </w:r>
      <w:r>
        <w:rPr>
          <w:color w:val="231F20"/>
        </w:rPr>
        <w:t>very</w:t>
      </w:r>
      <w:r>
        <w:rPr>
          <w:color w:val="231F20"/>
          <w:spacing w:val="-6"/>
        </w:rPr>
        <w:t> </w:t>
      </w:r>
      <w:r>
        <w:rPr>
          <w:color w:val="231F20"/>
        </w:rPr>
        <w:t>remote</w:t>
      </w:r>
      <w:r>
        <w:rPr>
          <w:color w:val="231F20"/>
          <w:spacing w:val="-8"/>
        </w:rPr>
        <w:t> </w:t>
      </w:r>
      <w:r>
        <w:rPr>
          <w:color w:val="231F20"/>
          <w:spacing w:val="-1"/>
        </w:rPr>
        <w:t>locations.</w:t>
      </w:r>
      <w:r>
        <w:rPr/>
      </w:r>
    </w:p>
    <w:p>
      <w:pPr>
        <w:spacing w:after="0" w:line="250" w:lineRule="exact"/>
        <w:jc w:val="left"/>
        <w:sectPr>
          <w:type w:val="continuous"/>
          <w:pgSz w:w="11910" w:h="16840"/>
          <w:pgMar w:top="1580" w:bottom="280" w:left="1600" w:right="1300"/>
          <w:cols w:num="2" w:equalWidth="0">
            <w:col w:w="4289" w:space="246"/>
            <w:col w:w="4475"/>
          </w:cols>
        </w:sectPr>
      </w:pPr>
    </w:p>
    <w:p>
      <w:pPr>
        <w:spacing w:line="240" w:lineRule="auto" w:before="0"/>
        <w:rPr>
          <w:rFonts w:ascii="Segoe UI" w:hAnsi="Segoe UI" w:cs="Segoe UI" w:eastAsia="Segoe UI"/>
          <w:sz w:val="20"/>
          <w:szCs w:val="20"/>
        </w:rPr>
      </w:pPr>
      <w:r>
        <w:rPr/>
        <w:pict>
          <v:shape style="position:absolute;margin-left:112.451454pt;margin-top:348.890961pt;width:8.8pt;height:5.65pt;mso-position-horizontal-relative:page;mso-position-vertical-relative:page;z-index:9160" type="#_x0000_t202" filled="false" stroked="false">
            <v:textbox inset="0,0,0,0" style="layout-flow:vertical;mso-layout-flow-alt:bottom-to-top">
              <w:txbxContent>
                <w:p>
                  <w:pPr>
                    <w:spacing w:line="155" w:lineRule="exact" w:before="0"/>
                    <w:ind w:left="20" w:right="0" w:firstLine="0"/>
                    <w:jc w:val="left"/>
                    <w:rPr>
                      <w:rFonts w:ascii="Segoe UI" w:hAnsi="Segoe UI" w:cs="Segoe UI" w:eastAsia="Segoe UI"/>
                      <w:sz w:val="13"/>
                      <w:szCs w:val="13"/>
                    </w:rPr>
                  </w:pPr>
                  <w:r>
                    <w:rPr>
                      <w:rFonts w:ascii="Segoe UI"/>
                      <w:color w:val="77787B"/>
                      <w:w w:val="103"/>
                      <w:sz w:val="13"/>
                    </w:rPr>
                    <w:t>$</w:t>
                  </w:r>
                  <w:r>
                    <w:rPr>
                      <w:rFonts w:ascii="Segoe UI"/>
                      <w:sz w:val="13"/>
                    </w:rPr>
                  </w:r>
                </w:p>
              </w:txbxContent>
            </v:textbox>
            <w10:wrap type="none"/>
          </v:shape>
        </w:pict>
      </w:r>
    </w:p>
    <w:p>
      <w:pPr>
        <w:spacing w:line="240" w:lineRule="auto" w:before="11"/>
        <w:rPr>
          <w:rFonts w:ascii="Segoe UI" w:hAnsi="Segoe UI" w:cs="Segoe UI" w:eastAsia="Segoe UI"/>
          <w:sz w:val="21"/>
          <w:szCs w:val="21"/>
        </w:rPr>
      </w:pPr>
    </w:p>
    <w:p>
      <w:pPr>
        <w:spacing w:line="206" w:lineRule="exact" w:before="57"/>
        <w:ind w:left="140" w:right="0" w:firstLine="0"/>
        <w:jc w:val="left"/>
        <w:rPr>
          <w:rFonts w:ascii="Segoe UI Semibold" w:hAnsi="Segoe UI Semibold" w:cs="Segoe UI Semibold" w:eastAsia="Segoe UI Semibold"/>
          <w:sz w:val="16"/>
          <w:szCs w:val="16"/>
        </w:rPr>
      </w:pPr>
      <w:r>
        <w:rPr>
          <w:rFonts w:ascii="Segoe UI Semibold"/>
          <w:b/>
          <w:color w:val="666155"/>
          <w:spacing w:val="1"/>
          <w:sz w:val="16"/>
        </w:rPr>
        <w:t>TABLE</w:t>
      </w:r>
      <w:r>
        <w:rPr>
          <w:rFonts w:ascii="Segoe UI Semibold"/>
          <w:b/>
          <w:color w:val="666155"/>
          <w:spacing w:val="-2"/>
          <w:sz w:val="16"/>
        </w:rPr>
        <w:t> </w:t>
      </w:r>
      <w:r>
        <w:rPr>
          <w:rFonts w:ascii="Segoe UI Semibold"/>
          <w:b/>
          <w:color w:val="666155"/>
          <w:sz w:val="16"/>
        </w:rPr>
        <w:t>13:</w:t>
      </w:r>
      <w:r>
        <w:rPr>
          <w:rFonts w:ascii="Segoe UI Semibold"/>
          <w:b/>
          <w:color w:val="666155"/>
          <w:spacing w:val="-2"/>
          <w:sz w:val="16"/>
        </w:rPr>
        <w:t> </w:t>
      </w:r>
      <w:r>
        <w:rPr>
          <w:rFonts w:ascii="Segoe UI Semibold"/>
          <w:b/>
          <w:color w:val="666155"/>
          <w:spacing w:val="4"/>
          <w:sz w:val="16"/>
        </w:rPr>
        <w:t>THREE</w:t>
      </w:r>
      <w:r>
        <w:rPr>
          <w:rFonts w:ascii="Segoe UI Semibold"/>
          <w:b/>
          <w:color w:val="666155"/>
          <w:spacing w:val="2"/>
          <w:sz w:val="16"/>
        </w:rPr>
        <w:t> </w:t>
      </w:r>
      <w:r>
        <w:rPr>
          <w:rFonts w:ascii="Segoe UI Semibold"/>
          <w:b/>
          <w:color w:val="666155"/>
          <w:spacing w:val="4"/>
          <w:sz w:val="16"/>
        </w:rPr>
        <w:t>YEAR</w:t>
      </w:r>
      <w:r>
        <w:rPr>
          <w:rFonts w:ascii="Segoe UI Semibold"/>
          <w:b/>
          <w:color w:val="666155"/>
          <w:spacing w:val="1"/>
          <w:sz w:val="16"/>
        </w:rPr>
        <w:t> </w:t>
      </w:r>
      <w:r>
        <w:rPr>
          <w:rFonts w:ascii="Segoe UI Semibold"/>
          <w:b/>
          <w:color w:val="666155"/>
          <w:spacing w:val="2"/>
          <w:sz w:val="16"/>
        </w:rPr>
        <w:t>AVERAGE</w:t>
      </w:r>
      <w:r>
        <w:rPr>
          <w:rFonts w:ascii="Segoe UI Semibold"/>
          <w:b/>
          <w:color w:val="666155"/>
          <w:spacing w:val="1"/>
          <w:sz w:val="16"/>
        </w:rPr>
        <w:t> </w:t>
      </w:r>
      <w:r>
        <w:rPr>
          <w:rFonts w:ascii="Segoe UI Semibold"/>
          <w:b/>
          <w:color w:val="666155"/>
          <w:spacing w:val="3"/>
          <w:sz w:val="16"/>
        </w:rPr>
        <w:t>COST</w:t>
      </w:r>
      <w:r>
        <w:rPr>
          <w:rFonts w:ascii="Segoe UI Semibold"/>
          <w:b/>
          <w:color w:val="666155"/>
          <w:spacing w:val="1"/>
          <w:sz w:val="16"/>
        </w:rPr>
        <w:t> </w:t>
      </w:r>
      <w:r>
        <w:rPr>
          <w:rFonts w:ascii="Segoe UI Semibold"/>
          <w:b/>
          <w:color w:val="666155"/>
          <w:spacing w:val="2"/>
          <w:sz w:val="16"/>
        </w:rPr>
        <w:t>OF </w:t>
      </w:r>
      <w:r>
        <w:rPr>
          <w:rFonts w:ascii="Segoe UI Semibold"/>
          <w:b/>
          <w:color w:val="666155"/>
          <w:spacing w:val="4"/>
          <w:sz w:val="16"/>
        </w:rPr>
        <w:t>BOARDING</w:t>
      </w:r>
      <w:r>
        <w:rPr>
          <w:rFonts w:ascii="Segoe UI Semibold"/>
          <w:b/>
          <w:color w:val="666155"/>
          <w:spacing w:val="1"/>
          <w:sz w:val="16"/>
        </w:rPr>
        <w:t> </w:t>
      </w:r>
      <w:r>
        <w:rPr>
          <w:rFonts w:ascii="Segoe UI Semibold"/>
          <w:b/>
          <w:color w:val="666155"/>
          <w:spacing w:val="4"/>
          <w:sz w:val="16"/>
        </w:rPr>
        <w:t>PROVISION</w:t>
      </w:r>
      <w:r>
        <w:rPr>
          <w:rFonts w:ascii="Segoe UI Semibold"/>
          <w:b/>
          <w:color w:val="666155"/>
          <w:spacing w:val="1"/>
          <w:sz w:val="16"/>
        </w:rPr>
        <w:t> </w:t>
      </w:r>
      <w:r>
        <w:rPr>
          <w:rFonts w:ascii="Segoe UI Semibold"/>
          <w:b/>
          <w:color w:val="666155"/>
          <w:spacing w:val="3"/>
          <w:sz w:val="16"/>
        </w:rPr>
        <w:t>PER</w:t>
      </w:r>
      <w:r>
        <w:rPr>
          <w:rFonts w:ascii="Segoe UI Semibold"/>
          <w:b/>
          <w:color w:val="666155"/>
          <w:spacing w:val="1"/>
          <w:sz w:val="16"/>
        </w:rPr>
        <w:t> </w:t>
      </w:r>
      <w:r>
        <w:rPr>
          <w:rFonts w:ascii="Segoe UI Semibold"/>
          <w:b/>
          <w:color w:val="666155"/>
          <w:spacing w:val="4"/>
          <w:sz w:val="16"/>
        </w:rPr>
        <w:t>BOARDER</w:t>
      </w:r>
      <w:r>
        <w:rPr>
          <w:rFonts w:ascii="Segoe UI Semibold"/>
          <w:b/>
          <w:color w:val="666155"/>
          <w:spacing w:val="2"/>
          <w:sz w:val="16"/>
        </w:rPr>
        <w:t> </w:t>
      </w:r>
      <w:r>
        <w:rPr>
          <w:rFonts w:ascii="Segoe UI Semibold"/>
          <w:b/>
          <w:color w:val="666155"/>
          <w:spacing w:val="-3"/>
          <w:sz w:val="16"/>
        </w:rPr>
        <w:t>AT</w:t>
      </w:r>
      <w:r>
        <w:rPr>
          <w:rFonts w:ascii="Segoe UI Semibold"/>
          <w:b/>
          <w:color w:val="666155"/>
          <w:spacing w:val="1"/>
          <w:sz w:val="16"/>
        </w:rPr>
        <w:t> </w:t>
      </w:r>
      <w:r>
        <w:rPr>
          <w:rFonts w:ascii="Segoe UI Semibold"/>
          <w:b/>
          <w:color w:val="666155"/>
          <w:spacing w:val="4"/>
          <w:sz w:val="16"/>
        </w:rPr>
        <w:t>ABORIGINAL</w:t>
      </w:r>
      <w:r>
        <w:rPr>
          <w:rFonts w:ascii="Segoe UI Semibold"/>
          <w:sz w:val="16"/>
        </w:rPr>
      </w:r>
    </w:p>
    <w:p>
      <w:pPr>
        <w:spacing w:line="200" w:lineRule="exact" w:before="6"/>
        <w:ind w:left="140" w:right="1166" w:firstLine="0"/>
        <w:jc w:val="left"/>
        <w:rPr>
          <w:rFonts w:ascii="Segoe UI Semibold" w:hAnsi="Segoe UI Semibold" w:cs="Segoe UI Semibold" w:eastAsia="Segoe UI Semibold"/>
          <w:sz w:val="16"/>
          <w:szCs w:val="16"/>
        </w:rPr>
      </w:pPr>
      <w:r>
        <w:rPr>
          <w:rFonts w:ascii="Segoe UI Semibold" w:hAnsi="Segoe UI Semibold" w:cs="Segoe UI Semibold" w:eastAsia="Segoe UI Semibold"/>
          <w:b/>
          <w:bCs/>
          <w:color w:val="666155"/>
          <w:spacing w:val="3"/>
          <w:sz w:val="16"/>
          <w:szCs w:val="16"/>
        </w:rPr>
        <w:t>AND</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3"/>
          <w:sz w:val="16"/>
          <w:szCs w:val="16"/>
        </w:rPr>
        <w:t>TORRES</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STRAIT</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ISLANDER</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4"/>
          <w:sz w:val="16"/>
          <w:szCs w:val="16"/>
        </w:rPr>
        <w:t>BOARDING</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PROVIDERS</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AND</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MAINSTREAM</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4"/>
          <w:sz w:val="16"/>
          <w:szCs w:val="16"/>
        </w:rPr>
        <w:t>BOARDING</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PROVIDERS</w:t>
      </w:r>
      <w:r>
        <w:rPr>
          <w:rFonts w:ascii="Segoe UI Semibold" w:hAnsi="Segoe UI Semibold" w:cs="Segoe UI Semibold" w:eastAsia="Segoe UI Semibold"/>
          <w:b/>
          <w:bCs/>
          <w:color w:val="666155"/>
          <w:spacing w:val="67"/>
          <w:w w:val="99"/>
          <w:sz w:val="16"/>
          <w:szCs w:val="16"/>
        </w:rPr>
        <w:t> </w:t>
      </w:r>
      <w:r>
        <w:rPr>
          <w:rFonts w:ascii="Segoe UI Semibold" w:hAnsi="Segoe UI Semibold" w:cs="Segoe UI Semibold" w:eastAsia="Segoe UI Semibold"/>
          <w:b/>
          <w:bCs/>
          <w:color w:val="666155"/>
          <w:sz w:val="16"/>
          <w:szCs w:val="16"/>
        </w:rPr>
        <w:t>BY</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3"/>
          <w:sz w:val="16"/>
          <w:szCs w:val="16"/>
        </w:rPr>
        <w:t>REMOTENESS</w:t>
      </w:r>
      <w:r>
        <w:rPr>
          <w:rFonts w:ascii="Segoe UI Semibold" w:hAnsi="Segoe UI Semibold" w:cs="Segoe UI Semibold" w:eastAsia="Segoe UI Semibold"/>
          <w:b/>
          <w:bCs/>
          <w:color w:val="666155"/>
          <w:sz w:val="16"/>
          <w:szCs w:val="16"/>
        </w:rPr>
        <w:t> 2015</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position w:val="1"/>
          <w:sz w:val="16"/>
          <w:szCs w:val="16"/>
        </w:rPr>
        <w:t>—</w:t>
      </w:r>
      <w:r>
        <w:rPr>
          <w:rFonts w:ascii="Segoe UI Semibold" w:hAnsi="Segoe UI Semibold" w:cs="Segoe UI Semibold" w:eastAsia="Segoe UI Semibold"/>
          <w:b/>
          <w:bCs/>
          <w:color w:val="666155"/>
          <w:spacing w:val="-3"/>
          <w:position w:val="1"/>
          <w:sz w:val="16"/>
          <w:szCs w:val="16"/>
        </w:rPr>
        <w:t> </w:t>
      </w:r>
      <w:r>
        <w:rPr>
          <w:rFonts w:ascii="Segoe UI Semibold" w:hAnsi="Segoe UI Semibold" w:cs="Segoe UI Semibold" w:eastAsia="Segoe UI Semibold"/>
          <w:b/>
          <w:bCs/>
          <w:color w:val="666155"/>
          <w:spacing w:val="-1"/>
          <w:sz w:val="16"/>
          <w:szCs w:val="16"/>
        </w:rPr>
        <w:t>2017</w:t>
      </w:r>
      <w:r>
        <w:rPr>
          <w:rFonts w:ascii="Segoe UI Semibold" w:hAnsi="Segoe UI Semibold" w:cs="Segoe UI Semibold" w:eastAsia="Segoe UI Semibold"/>
          <w:sz w:val="16"/>
          <w:szCs w:val="16"/>
        </w:rPr>
      </w:r>
    </w:p>
    <w:p>
      <w:pPr>
        <w:spacing w:line="240" w:lineRule="auto" w:before="10"/>
        <w:rPr>
          <w:rFonts w:ascii="Segoe UI Semibold" w:hAnsi="Segoe UI Semibold" w:cs="Segoe UI Semibold" w:eastAsia="Segoe UI Semibold"/>
          <w:b/>
          <w:bCs/>
          <w:sz w:val="9"/>
          <w:szCs w:val="9"/>
        </w:rPr>
      </w:pPr>
    </w:p>
    <w:tbl>
      <w:tblPr>
        <w:tblW w:w="0" w:type="auto"/>
        <w:jc w:val="left"/>
        <w:tblInd w:w="137" w:type="dxa"/>
        <w:tblLayout w:type="fixed"/>
        <w:tblCellMar>
          <w:top w:w="0" w:type="dxa"/>
          <w:left w:w="0" w:type="dxa"/>
          <w:bottom w:w="0" w:type="dxa"/>
          <w:right w:w="0" w:type="dxa"/>
        </w:tblCellMar>
        <w:tblLook w:val="01E0"/>
      </w:tblPr>
      <w:tblGrid>
        <w:gridCol w:w="3165"/>
        <w:gridCol w:w="1121"/>
        <w:gridCol w:w="1121"/>
        <w:gridCol w:w="1121"/>
        <w:gridCol w:w="1121"/>
        <w:gridCol w:w="1121"/>
      </w:tblGrid>
      <w:tr>
        <w:trPr>
          <w:trHeight w:val="511" w:hRule="exact"/>
        </w:trPr>
        <w:tc>
          <w:tcPr>
            <w:tcW w:w="3165"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12"/>
              <w:ind w:left="74" w:right="0"/>
              <w:jc w:val="left"/>
              <w:rPr>
                <w:rFonts w:ascii="Segoe UI" w:hAnsi="Segoe UI" w:cs="Segoe UI" w:eastAsia="Segoe UI"/>
                <w:sz w:val="18"/>
                <w:szCs w:val="18"/>
              </w:rPr>
            </w:pPr>
            <w:r>
              <w:rPr>
                <w:rFonts w:ascii="Segoe UI"/>
                <w:color w:val="231F20"/>
                <w:sz w:val="18"/>
              </w:rPr>
              <w:t>$</w:t>
            </w:r>
            <w:r>
              <w:rPr>
                <w:rFonts w:ascii="Segoe UI"/>
                <w:sz w:val="18"/>
              </w:rPr>
            </w:r>
          </w:p>
        </w:tc>
        <w:tc>
          <w:tcPr>
            <w:tcW w:w="1121"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12"/>
              <w:ind w:left="74" w:right="0"/>
              <w:jc w:val="left"/>
              <w:rPr>
                <w:rFonts w:ascii="Segoe UI" w:hAnsi="Segoe UI" w:cs="Segoe UI" w:eastAsia="Segoe UI"/>
                <w:sz w:val="18"/>
                <w:szCs w:val="18"/>
              </w:rPr>
            </w:pPr>
            <w:r>
              <w:rPr>
                <w:rFonts w:ascii="Segoe UI"/>
                <w:color w:val="231F20"/>
                <w:sz w:val="18"/>
              </w:rPr>
              <w:t>Major</w:t>
            </w:r>
            <w:r>
              <w:rPr>
                <w:rFonts w:ascii="Segoe UI"/>
                <w:color w:val="231F20"/>
                <w:spacing w:val="-5"/>
                <w:sz w:val="18"/>
              </w:rPr>
              <w:t> </w:t>
            </w:r>
            <w:r>
              <w:rPr>
                <w:rFonts w:ascii="Segoe UI"/>
                <w:color w:val="231F20"/>
                <w:sz w:val="18"/>
              </w:rPr>
              <w:t>cities</w:t>
            </w:r>
            <w:r>
              <w:rPr>
                <w:rFonts w:ascii="Segoe UI"/>
                <w:sz w:val="18"/>
              </w:rPr>
            </w:r>
          </w:p>
        </w:tc>
        <w:tc>
          <w:tcPr>
            <w:tcW w:w="1121"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20" w:lineRule="exact" w:before="30"/>
              <w:ind w:left="74" w:right="384"/>
              <w:jc w:val="left"/>
              <w:rPr>
                <w:rFonts w:ascii="Segoe UI" w:hAnsi="Segoe UI" w:cs="Segoe UI" w:eastAsia="Segoe UI"/>
                <w:sz w:val="18"/>
                <w:szCs w:val="18"/>
              </w:rPr>
            </w:pPr>
            <w:r>
              <w:rPr>
                <w:rFonts w:ascii="Segoe UI"/>
                <w:color w:val="231F20"/>
                <w:spacing w:val="-1"/>
                <w:sz w:val="18"/>
              </w:rPr>
              <w:t>Inner</w:t>
            </w:r>
            <w:r>
              <w:rPr>
                <w:rFonts w:ascii="Segoe UI"/>
                <w:color w:val="231F20"/>
                <w:spacing w:val="20"/>
                <w:w w:val="99"/>
                <w:sz w:val="18"/>
              </w:rPr>
              <w:t> </w:t>
            </w:r>
            <w:r>
              <w:rPr>
                <w:rFonts w:ascii="Segoe UI"/>
                <w:color w:val="231F20"/>
                <w:w w:val="95"/>
                <w:sz w:val="18"/>
              </w:rPr>
              <w:t>regional</w:t>
            </w:r>
            <w:r>
              <w:rPr>
                <w:rFonts w:ascii="Segoe UI"/>
                <w:sz w:val="18"/>
              </w:rPr>
            </w:r>
          </w:p>
        </w:tc>
        <w:tc>
          <w:tcPr>
            <w:tcW w:w="1121"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20" w:lineRule="exact" w:before="30"/>
              <w:ind w:left="74" w:right="384"/>
              <w:jc w:val="left"/>
              <w:rPr>
                <w:rFonts w:ascii="Segoe UI" w:hAnsi="Segoe UI" w:cs="Segoe UI" w:eastAsia="Segoe UI"/>
                <w:sz w:val="18"/>
                <w:szCs w:val="18"/>
              </w:rPr>
            </w:pPr>
            <w:r>
              <w:rPr>
                <w:rFonts w:ascii="Segoe UI"/>
                <w:color w:val="231F20"/>
                <w:sz w:val="18"/>
              </w:rPr>
              <w:t>Outer</w:t>
            </w:r>
            <w:r>
              <w:rPr>
                <w:rFonts w:ascii="Segoe UI"/>
                <w:color w:val="231F20"/>
                <w:w w:val="99"/>
                <w:sz w:val="18"/>
              </w:rPr>
              <w:t> </w:t>
            </w:r>
            <w:r>
              <w:rPr>
                <w:rFonts w:ascii="Segoe UI"/>
                <w:color w:val="231F20"/>
                <w:w w:val="95"/>
                <w:sz w:val="18"/>
              </w:rPr>
              <w:t>regional</w:t>
            </w:r>
            <w:r>
              <w:rPr>
                <w:rFonts w:ascii="Segoe UI"/>
                <w:sz w:val="18"/>
              </w:rPr>
            </w:r>
          </w:p>
        </w:tc>
        <w:tc>
          <w:tcPr>
            <w:tcW w:w="1121"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12"/>
              <w:ind w:left="74" w:right="0"/>
              <w:jc w:val="left"/>
              <w:rPr>
                <w:rFonts w:ascii="Segoe UI" w:hAnsi="Segoe UI" w:cs="Segoe UI" w:eastAsia="Segoe UI"/>
                <w:sz w:val="18"/>
                <w:szCs w:val="18"/>
              </w:rPr>
            </w:pPr>
            <w:r>
              <w:rPr>
                <w:rFonts w:ascii="Segoe UI"/>
                <w:color w:val="231F20"/>
                <w:spacing w:val="-1"/>
                <w:sz w:val="18"/>
              </w:rPr>
              <w:t>Remote</w:t>
            </w:r>
            <w:r>
              <w:rPr>
                <w:rFonts w:ascii="Segoe UI"/>
                <w:sz w:val="18"/>
              </w:rPr>
            </w:r>
          </w:p>
        </w:tc>
        <w:tc>
          <w:tcPr>
            <w:tcW w:w="1121" w:type="dxa"/>
            <w:tcBorders>
              <w:top w:val="single" w:sz="4" w:space="0" w:color="C1B5A9"/>
              <w:left w:val="single" w:sz="4" w:space="0" w:color="C1B5A9"/>
              <w:bottom w:val="single" w:sz="4" w:space="0" w:color="C1B5A9"/>
              <w:right w:val="single" w:sz="4" w:space="0" w:color="C1B5A9"/>
            </w:tcBorders>
            <w:shd w:val="clear" w:color="auto" w:fill="C1B5A9"/>
          </w:tcPr>
          <w:p>
            <w:pPr>
              <w:pStyle w:val="TableParagraph"/>
              <w:spacing w:line="240" w:lineRule="auto" w:before="12"/>
              <w:ind w:left="74" w:right="0"/>
              <w:jc w:val="left"/>
              <w:rPr>
                <w:rFonts w:ascii="Segoe UI" w:hAnsi="Segoe UI" w:cs="Segoe UI" w:eastAsia="Segoe UI"/>
                <w:sz w:val="18"/>
                <w:szCs w:val="18"/>
              </w:rPr>
            </w:pPr>
            <w:r>
              <w:rPr>
                <w:rFonts w:ascii="Segoe UI"/>
                <w:color w:val="231F20"/>
                <w:spacing w:val="-3"/>
                <w:sz w:val="18"/>
              </w:rPr>
              <w:t>Very</w:t>
            </w:r>
            <w:r>
              <w:rPr>
                <w:rFonts w:ascii="Segoe UI"/>
                <w:color w:val="231F20"/>
                <w:spacing w:val="-15"/>
                <w:sz w:val="18"/>
              </w:rPr>
              <w:t> </w:t>
            </w:r>
            <w:r>
              <w:rPr>
                <w:rFonts w:ascii="Segoe UI"/>
                <w:color w:val="231F20"/>
                <w:sz w:val="18"/>
              </w:rPr>
              <w:t>remote</w:t>
            </w:r>
            <w:r>
              <w:rPr>
                <w:rFonts w:ascii="Segoe UI"/>
                <w:sz w:val="18"/>
              </w:rPr>
            </w:r>
          </w:p>
        </w:tc>
      </w:tr>
      <w:tr>
        <w:trPr>
          <w:trHeight w:val="516" w:hRule="exact"/>
        </w:trPr>
        <w:tc>
          <w:tcPr>
            <w:tcW w:w="3165" w:type="dxa"/>
            <w:tcBorders>
              <w:top w:val="single" w:sz="4" w:space="0" w:color="C1B5A9"/>
              <w:left w:val="single" w:sz="4" w:space="0" w:color="C1B5A9"/>
              <w:bottom w:val="single" w:sz="4" w:space="0" w:color="C1B5A9"/>
              <w:right w:val="single" w:sz="4" w:space="0" w:color="C1B5A9"/>
            </w:tcBorders>
          </w:tcPr>
          <w:p>
            <w:pPr>
              <w:pStyle w:val="TableParagraph"/>
              <w:spacing w:line="220" w:lineRule="exact" w:before="30"/>
              <w:ind w:left="74" w:right="249"/>
              <w:jc w:val="left"/>
              <w:rPr>
                <w:rFonts w:ascii="Segoe UI" w:hAnsi="Segoe UI" w:cs="Segoe UI" w:eastAsia="Segoe UI"/>
                <w:sz w:val="18"/>
                <w:szCs w:val="18"/>
              </w:rPr>
            </w:pPr>
            <w:r>
              <w:rPr>
                <w:rFonts w:ascii="Segoe UI"/>
                <w:color w:val="231F20"/>
                <w:sz w:val="18"/>
              </w:rPr>
              <w:t>Aboriginal</w:t>
            </w:r>
            <w:r>
              <w:rPr>
                <w:rFonts w:ascii="Segoe UI"/>
                <w:color w:val="231F20"/>
                <w:spacing w:val="-7"/>
                <w:sz w:val="18"/>
              </w:rPr>
              <w:t> </w:t>
            </w:r>
            <w:r>
              <w:rPr>
                <w:rFonts w:ascii="Segoe UI"/>
                <w:color w:val="231F20"/>
                <w:sz w:val="18"/>
              </w:rPr>
              <w:t>and</w:t>
            </w:r>
            <w:r>
              <w:rPr>
                <w:rFonts w:ascii="Segoe UI"/>
                <w:color w:val="231F20"/>
                <w:spacing w:val="-7"/>
                <w:sz w:val="18"/>
              </w:rPr>
              <w:t> </w:t>
            </w:r>
            <w:r>
              <w:rPr>
                <w:rFonts w:ascii="Segoe UI"/>
                <w:color w:val="231F20"/>
                <w:spacing w:val="-3"/>
                <w:sz w:val="18"/>
              </w:rPr>
              <w:t>Torres</w:t>
            </w:r>
            <w:r>
              <w:rPr>
                <w:rFonts w:ascii="Segoe UI"/>
                <w:color w:val="231F20"/>
                <w:spacing w:val="-7"/>
                <w:sz w:val="18"/>
              </w:rPr>
              <w:t> </w:t>
            </w:r>
            <w:r>
              <w:rPr>
                <w:rFonts w:ascii="Segoe UI"/>
                <w:color w:val="231F20"/>
                <w:spacing w:val="-1"/>
                <w:sz w:val="18"/>
              </w:rPr>
              <w:t>Strait</w:t>
            </w:r>
            <w:r>
              <w:rPr>
                <w:rFonts w:ascii="Segoe UI"/>
                <w:color w:val="231F20"/>
                <w:spacing w:val="-7"/>
                <w:sz w:val="18"/>
              </w:rPr>
              <w:t> </w:t>
            </w:r>
            <w:r>
              <w:rPr>
                <w:rFonts w:ascii="Segoe UI"/>
                <w:color w:val="231F20"/>
                <w:spacing w:val="-1"/>
                <w:sz w:val="18"/>
              </w:rPr>
              <w:t>Islander</w:t>
            </w:r>
            <w:r>
              <w:rPr>
                <w:rFonts w:ascii="Segoe UI"/>
                <w:color w:val="231F20"/>
                <w:spacing w:val="20"/>
                <w:w w:val="99"/>
                <w:sz w:val="18"/>
              </w:rPr>
              <w:t> </w:t>
            </w:r>
            <w:r>
              <w:rPr>
                <w:rFonts w:ascii="Segoe UI"/>
                <w:color w:val="231F20"/>
                <w:sz w:val="18"/>
              </w:rPr>
              <w:t>boarding</w:t>
            </w:r>
            <w:r>
              <w:rPr>
                <w:rFonts w:ascii="Segoe UI"/>
                <w:color w:val="231F20"/>
                <w:spacing w:val="-16"/>
                <w:sz w:val="18"/>
              </w:rPr>
              <w:t> </w:t>
            </w:r>
            <w:r>
              <w:rPr>
                <w:rFonts w:ascii="Segoe UI"/>
                <w:color w:val="231F20"/>
                <w:sz w:val="18"/>
              </w:rPr>
              <w:t>providers</w:t>
            </w:r>
            <w:r>
              <w:rPr>
                <w:rFonts w:ascii="Segoe UI"/>
                <w:sz w:val="18"/>
              </w:rPr>
            </w:r>
          </w:p>
        </w:tc>
        <w:tc>
          <w:tcPr>
            <w:tcW w:w="1121"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11"/>
              <w:ind w:left="74" w:right="0"/>
              <w:jc w:val="left"/>
              <w:rPr>
                <w:rFonts w:ascii="Segoe UI" w:hAnsi="Segoe UI" w:cs="Segoe UI" w:eastAsia="Segoe UI"/>
                <w:sz w:val="18"/>
                <w:szCs w:val="18"/>
              </w:rPr>
            </w:pPr>
            <w:r>
              <w:rPr>
                <w:rFonts w:ascii="Segoe UI"/>
                <w:color w:val="231F20"/>
                <w:sz w:val="18"/>
              </w:rPr>
              <w:t>25,021</w:t>
            </w:r>
            <w:r>
              <w:rPr>
                <w:rFonts w:ascii="Segoe UI"/>
                <w:sz w:val="18"/>
              </w:rPr>
            </w:r>
          </w:p>
        </w:tc>
        <w:tc>
          <w:tcPr>
            <w:tcW w:w="1121"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11"/>
              <w:ind w:left="74" w:right="0"/>
              <w:jc w:val="left"/>
              <w:rPr>
                <w:rFonts w:ascii="Segoe UI" w:hAnsi="Segoe UI" w:cs="Segoe UI" w:eastAsia="Segoe UI"/>
                <w:sz w:val="18"/>
                <w:szCs w:val="18"/>
              </w:rPr>
            </w:pPr>
            <w:r>
              <w:rPr>
                <w:rFonts w:ascii="Segoe UI"/>
                <w:color w:val="231F20"/>
                <w:sz w:val="18"/>
              </w:rPr>
              <w:t>17,534</w:t>
            </w:r>
            <w:r>
              <w:rPr>
                <w:rFonts w:ascii="Segoe UI"/>
                <w:sz w:val="18"/>
              </w:rPr>
            </w:r>
          </w:p>
        </w:tc>
        <w:tc>
          <w:tcPr>
            <w:tcW w:w="1121"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11"/>
              <w:ind w:left="74" w:right="0"/>
              <w:jc w:val="left"/>
              <w:rPr>
                <w:rFonts w:ascii="Segoe UI" w:hAnsi="Segoe UI" w:cs="Segoe UI" w:eastAsia="Segoe UI"/>
                <w:sz w:val="18"/>
                <w:szCs w:val="18"/>
              </w:rPr>
            </w:pPr>
            <w:r>
              <w:rPr>
                <w:rFonts w:ascii="Segoe UI"/>
                <w:color w:val="231F20"/>
                <w:sz w:val="18"/>
              </w:rPr>
              <w:t>26,384</w:t>
            </w:r>
            <w:r>
              <w:rPr>
                <w:rFonts w:ascii="Segoe UI"/>
                <w:sz w:val="18"/>
              </w:rPr>
            </w:r>
          </w:p>
        </w:tc>
        <w:tc>
          <w:tcPr>
            <w:tcW w:w="1121"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11"/>
              <w:ind w:left="74" w:right="0"/>
              <w:jc w:val="left"/>
              <w:rPr>
                <w:rFonts w:ascii="Segoe UI" w:hAnsi="Segoe UI" w:cs="Segoe UI" w:eastAsia="Segoe UI"/>
                <w:sz w:val="18"/>
                <w:szCs w:val="18"/>
              </w:rPr>
            </w:pPr>
            <w:r>
              <w:rPr>
                <w:rFonts w:ascii="Segoe UI"/>
                <w:color w:val="231F20"/>
                <w:sz w:val="18"/>
              </w:rPr>
              <w:t>19,441</w:t>
            </w:r>
            <w:r>
              <w:rPr>
                <w:rFonts w:ascii="Segoe UI"/>
                <w:sz w:val="18"/>
              </w:rPr>
            </w:r>
          </w:p>
        </w:tc>
        <w:tc>
          <w:tcPr>
            <w:tcW w:w="1121"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11"/>
              <w:ind w:left="74" w:right="0"/>
              <w:jc w:val="left"/>
              <w:rPr>
                <w:rFonts w:ascii="Segoe UI" w:hAnsi="Segoe UI" w:cs="Segoe UI" w:eastAsia="Segoe UI"/>
                <w:sz w:val="18"/>
                <w:szCs w:val="18"/>
              </w:rPr>
            </w:pPr>
            <w:r>
              <w:rPr>
                <w:rFonts w:ascii="Segoe UI"/>
                <w:color w:val="231F20"/>
                <w:sz w:val="18"/>
              </w:rPr>
              <w:t>28,208</w:t>
            </w:r>
            <w:r>
              <w:rPr>
                <w:rFonts w:ascii="Segoe UI"/>
                <w:sz w:val="18"/>
              </w:rPr>
            </w:r>
          </w:p>
        </w:tc>
      </w:tr>
      <w:tr>
        <w:trPr>
          <w:trHeight w:val="291" w:hRule="exact"/>
        </w:trPr>
        <w:tc>
          <w:tcPr>
            <w:tcW w:w="3165"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11"/>
              <w:ind w:left="74" w:right="0"/>
              <w:jc w:val="left"/>
              <w:rPr>
                <w:rFonts w:ascii="Segoe UI" w:hAnsi="Segoe UI" w:cs="Segoe UI" w:eastAsia="Segoe UI"/>
                <w:sz w:val="18"/>
                <w:szCs w:val="18"/>
              </w:rPr>
            </w:pPr>
            <w:r>
              <w:rPr>
                <w:rFonts w:ascii="Segoe UI"/>
                <w:color w:val="231F20"/>
                <w:sz w:val="18"/>
              </w:rPr>
              <w:t>Mainstream</w:t>
            </w:r>
            <w:r>
              <w:rPr>
                <w:rFonts w:ascii="Segoe UI"/>
                <w:color w:val="231F20"/>
                <w:spacing w:val="-14"/>
                <w:sz w:val="18"/>
              </w:rPr>
              <w:t> </w:t>
            </w:r>
            <w:r>
              <w:rPr>
                <w:rFonts w:ascii="Segoe UI"/>
                <w:color w:val="231F20"/>
                <w:sz w:val="18"/>
              </w:rPr>
              <w:t>boarding</w:t>
            </w:r>
            <w:r>
              <w:rPr>
                <w:rFonts w:ascii="Segoe UI"/>
                <w:color w:val="231F20"/>
                <w:spacing w:val="-13"/>
                <w:sz w:val="18"/>
              </w:rPr>
              <w:t> </w:t>
            </w:r>
            <w:r>
              <w:rPr>
                <w:rFonts w:ascii="Segoe UI"/>
                <w:color w:val="231F20"/>
                <w:sz w:val="18"/>
              </w:rPr>
              <w:t>providers</w:t>
            </w:r>
            <w:r>
              <w:rPr>
                <w:rFonts w:ascii="Segoe UI"/>
                <w:sz w:val="18"/>
              </w:rPr>
            </w:r>
          </w:p>
        </w:tc>
        <w:tc>
          <w:tcPr>
            <w:tcW w:w="1121"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11"/>
              <w:ind w:left="74" w:right="0"/>
              <w:jc w:val="left"/>
              <w:rPr>
                <w:rFonts w:ascii="Segoe UI" w:hAnsi="Segoe UI" w:cs="Segoe UI" w:eastAsia="Segoe UI"/>
                <w:sz w:val="18"/>
                <w:szCs w:val="18"/>
              </w:rPr>
            </w:pPr>
            <w:r>
              <w:rPr>
                <w:rFonts w:ascii="Segoe UI"/>
                <w:color w:val="231F20"/>
                <w:sz w:val="18"/>
              </w:rPr>
              <w:t>20,881</w:t>
            </w:r>
            <w:r>
              <w:rPr>
                <w:rFonts w:ascii="Segoe UI"/>
                <w:sz w:val="18"/>
              </w:rPr>
            </w:r>
          </w:p>
        </w:tc>
        <w:tc>
          <w:tcPr>
            <w:tcW w:w="1121"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11"/>
              <w:ind w:left="74" w:right="0"/>
              <w:jc w:val="left"/>
              <w:rPr>
                <w:rFonts w:ascii="Segoe UI" w:hAnsi="Segoe UI" w:cs="Segoe UI" w:eastAsia="Segoe UI"/>
                <w:sz w:val="18"/>
                <w:szCs w:val="18"/>
              </w:rPr>
            </w:pPr>
            <w:r>
              <w:rPr>
                <w:rFonts w:ascii="Segoe UI"/>
                <w:color w:val="231F20"/>
                <w:sz w:val="18"/>
              </w:rPr>
              <w:t>18,984</w:t>
            </w:r>
            <w:r>
              <w:rPr>
                <w:rFonts w:ascii="Segoe UI"/>
                <w:sz w:val="18"/>
              </w:rPr>
            </w:r>
          </w:p>
        </w:tc>
        <w:tc>
          <w:tcPr>
            <w:tcW w:w="1121"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11"/>
              <w:ind w:left="74" w:right="0"/>
              <w:jc w:val="left"/>
              <w:rPr>
                <w:rFonts w:ascii="Segoe UI" w:hAnsi="Segoe UI" w:cs="Segoe UI" w:eastAsia="Segoe UI"/>
                <w:sz w:val="18"/>
                <w:szCs w:val="18"/>
              </w:rPr>
            </w:pPr>
            <w:r>
              <w:rPr>
                <w:rFonts w:ascii="Segoe UI"/>
                <w:color w:val="231F20"/>
                <w:sz w:val="18"/>
              </w:rPr>
              <w:t>18,970</w:t>
            </w:r>
            <w:r>
              <w:rPr>
                <w:rFonts w:ascii="Segoe UI"/>
                <w:sz w:val="18"/>
              </w:rPr>
            </w:r>
          </w:p>
        </w:tc>
        <w:tc>
          <w:tcPr>
            <w:tcW w:w="1121"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11"/>
              <w:ind w:left="74" w:right="0"/>
              <w:jc w:val="left"/>
              <w:rPr>
                <w:rFonts w:ascii="Segoe UI" w:hAnsi="Segoe UI" w:cs="Segoe UI" w:eastAsia="Segoe UI"/>
                <w:sz w:val="18"/>
                <w:szCs w:val="18"/>
              </w:rPr>
            </w:pPr>
            <w:r>
              <w:rPr>
                <w:rFonts w:ascii="Segoe UI"/>
                <w:color w:val="231F20"/>
                <w:sz w:val="18"/>
              </w:rPr>
              <w:t>-</w:t>
            </w:r>
            <w:r>
              <w:rPr>
                <w:rFonts w:ascii="Segoe UI"/>
                <w:sz w:val="18"/>
              </w:rPr>
            </w:r>
          </w:p>
        </w:tc>
        <w:tc>
          <w:tcPr>
            <w:tcW w:w="1121" w:type="dxa"/>
            <w:tcBorders>
              <w:top w:val="single" w:sz="4" w:space="0" w:color="C1B5A9"/>
              <w:left w:val="single" w:sz="4" w:space="0" w:color="C1B5A9"/>
              <w:bottom w:val="single" w:sz="4" w:space="0" w:color="C1B5A9"/>
              <w:right w:val="single" w:sz="4" w:space="0" w:color="C1B5A9"/>
            </w:tcBorders>
          </w:tcPr>
          <w:p>
            <w:pPr>
              <w:pStyle w:val="TableParagraph"/>
              <w:spacing w:line="240" w:lineRule="auto" w:before="11"/>
              <w:ind w:left="74" w:right="0"/>
              <w:jc w:val="left"/>
              <w:rPr>
                <w:rFonts w:ascii="Segoe UI" w:hAnsi="Segoe UI" w:cs="Segoe UI" w:eastAsia="Segoe UI"/>
                <w:sz w:val="18"/>
                <w:szCs w:val="18"/>
              </w:rPr>
            </w:pPr>
            <w:r>
              <w:rPr>
                <w:rFonts w:ascii="Segoe UI"/>
                <w:color w:val="231F20"/>
                <w:sz w:val="18"/>
              </w:rPr>
              <w:t>-</w:t>
            </w:r>
            <w:r>
              <w:rPr>
                <w:rFonts w:ascii="Segoe UI"/>
                <w:sz w:val="18"/>
              </w:rPr>
            </w:r>
          </w:p>
        </w:tc>
      </w:tr>
    </w:tbl>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0"/>
        <w:rPr>
          <w:rFonts w:ascii="Segoe UI Semibold" w:hAnsi="Segoe UI Semibold" w:cs="Segoe UI Semibold" w:eastAsia="Segoe UI Semibold"/>
          <w:b/>
          <w:bCs/>
          <w:sz w:val="20"/>
          <w:szCs w:val="20"/>
        </w:rPr>
      </w:pPr>
    </w:p>
    <w:p>
      <w:pPr>
        <w:spacing w:line="240" w:lineRule="auto" w:before="11"/>
        <w:rPr>
          <w:rFonts w:ascii="Segoe UI Semibold" w:hAnsi="Segoe UI Semibold" w:cs="Segoe UI Semibold" w:eastAsia="Segoe UI Semibold"/>
          <w:b/>
          <w:bCs/>
          <w:sz w:val="10"/>
          <w:szCs w:val="10"/>
        </w:rPr>
      </w:pPr>
    </w:p>
    <w:p>
      <w:pPr>
        <w:spacing w:line="200" w:lineRule="atLeast"/>
        <w:ind w:left="137" w:right="0" w:firstLine="0"/>
        <w:rPr>
          <w:rFonts w:ascii="Segoe UI Semibold" w:hAnsi="Segoe UI Semibold" w:cs="Segoe UI Semibold" w:eastAsia="Segoe UI Semibold"/>
          <w:sz w:val="20"/>
          <w:szCs w:val="20"/>
        </w:rPr>
      </w:pPr>
      <w:r>
        <w:rPr>
          <w:rFonts w:ascii="Segoe UI Semibold" w:hAnsi="Segoe UI Semibold" w:cs="Segoe UI Semibold" w:eastAsia="Segoe UI Semibold"/>
          <w:sz w:val="20"/>
          <w:szCs w:val="20"/>
        </w:rPr>
        <w:pict>
          <v:group style="width:439.4pt;height:14.2pt;mso-position-horizontal-relative:char;mso-position-vertical-relative:line" coordorigin="0,0" coordsize="8788,284">
            <v:group style="position:absolute;left:283;top:0;width:8504;height:284" coordorigin="283,0" coordsize="8504,284">
              <v:shape style="position:absolute;left:283;top:0;width:8504;height:284" coordorigin="283,0" coordsize="8504,284" path="m283,283l8787,283,8787,0,283,0,283,283xe" filled="true" fillcolor="#97bf3d" stroked="false">
                <v:path arrowok="t"/>
                <v:fill type="solid"/>
              </v:shape>
            </v:group>
            <v:group style="position:absolute;left:0;top:0;width:284;height:284" coordorigin="0,0" coordsize="284,284">
              <v:shape style="position:absolute;left:0;top:0;width:284;height:284" coordorigin="0,0" coordsize="284,284" path="m0,283l283,283,283,0,0,0,0,283xe" filled="true" fillcolor="#67973f" stroked="false">
                <v:path arrowok="t"/>
                <v:fill type="solid"/>
              </v:shape>
              <v:shape style="position:absolute;left:0;top:0;width:8788;height:284" type="#_x0000_t202" filled="false" stroked="false">
                <v:textbox inset="0,0,0,0">
                  <w:txbxContent>
                    <w:p>
                      <w:pPr>
                        <w:spacing w:before="5"/>
                        <w:ind w:left="368" w:right="0" w:firstLine="0"/>
                        <w:jc w:val="left"/>
                        <w:rPr>
                          <w:rFonts w:ascii="Segoe UI" w:hAnsi="Segoe UI" w:cs="Segoe UI" w:eastAsia="Segoe UI"/>
                          <w:sz w:val="18"/>
                          <w:szCs w:val="18"/>
                        </w:rPr>
                      </w:pPr>
                      <w:r>
                        <w:rPr>
                          <w:rFonts w:ascii="Segoe UI"/>
                          <w:b/>
                          <w:i/>
                          <w:color w:val="FFFFFF"/>
                          <w:spacing w:val="-1"/>
                          <w:sz w:val="18"/>
                        </w:rPr>
                        <w:t>Case</w:t>
                      </w:r>
                      <w:r>
                        <w:rPr>
                          <w:rFonts w:ascii="Segoe UI"/>
                          <w:b/>
                          <w:i/>
                          <w:color w:val="FFFFFF"/>
                          <w:spacing w:val="-4"/>
                          <w:sz w:val="18"/>
                        </w:rPr>
                        <w:t> </w:t>
                      </w:r>
                      <w:r>
                        <w:rPr>
                          <w:rFonts w:ascii="Segoe UI"/>
                          <w:b/>
                          <w:i/>
                          <w:color w:val="FFFFFF"/>
                          <w:sz w:val="18"/>
                        </w:rPr>
                        <w:t>study</w:t>
                      </w:r>
                      <w:r>
                        <w:rPr>
                          <w:rFonts w:ascii="Segoe UI"/>
                          <w:b/>
                          <w:i/>
                          <w:color w:val="FFFFFF"/>
                          <w:spacing w:val="-5"/>
                          <w:sz w:val="18"/>
                        </w:rPr>
                        <w:t> </w:t>
                      </w:r>
                      <w:r>
                        <w:rPr>
                          <w:rFonts w:ascii="Segoe UI"/>
                          <w:b/>
                          <w:i/>
                          <w:color w:val="FFFFFF"/>
                          <w:sz w:val="18"/>
                        </w:rPr>
                        <w:t>9</w:t>
                      </w:r>
                      <w:r>
                        <w:rPr>
                          <w:rFonts w:ascii="Segoe UI"/>
                          <w:sz w:val="18"/>
                        </w:rPr>
                      </w:r>
                    </w:p>
                  </w:txbxContent>
                </v:textbox>
                <w10:wrap type="none"/>
              </v:shape>
            </v:group>
          </v:group>
        </w:pict>
      </w:r>
      <w:r>
        <w:rPr>
          <w:rFonts w:ascii="Segoe UI Semibold" w:hAnsi="Segoe UI Semibold" w:cs="Segoe UI Semibold" w:eastAsia="Segoe UI Semibold"/>
          <w:sz w:val="20"/>
          <w:szCs w:val="20"/>
        </w:rPr>
      </w:r>
    </w:p>
    <w:p>
      <w:pPr>
        <w:spacing w:line="240" w:lineRule="auto" w:before="11"/>
        <w:rPr>
          <w:rFonts w:ascii="Segoe UI Semibold" w:hAnsi="Segoe UI Semibold" w:cs="Segoe UI Semibold" w:eastAsia="Segoe UI Semibold"/>
          <w:b/>
          <w:bCs/>
          <w:sz w:val="5"/>
          <w:szCs w:val="5"/>
        </w:rPr>
      </w:pPr>
    </w:p>
    <w:p>
      <w:pPr>
        <w:pStyle w:val="Heading6"/>
        <w:spacing w:line="240" w:lineRule="auto"/>
        <w:ind w:left="137" w:right="0"/>
        <w:jc w:val="left"/>
        <w:rPr>
          <w:b w:val="0"/>
          <w:bCs w:val="0"/>
        </w:rPr>
      </w:pPr>
      <w:r>
        <w:rPr/>
        <w:pict>
          <v:group style="position:absolute;margin-left:70.865997pt;margin-top:-283.210693pt;width:439.4pt;height:247.3pt;mso-position-horizontal-relative:page;mso-position-vertical-relative:paragraph;z-index:9136" coordorigin="1417,-5664" coordsize="8788,4946">
            <v:group style="position:absolute;left:1517;top:-5564;width:8588;height:4746" coordorigin="1517,-5564" coordsize="8588,4746">
              <v:shape style="position:absolute;left:1517;top:-5564;width:8588;height:4746" coordorigin="1517,-5564" coordsize="8588,4746" path="m1517,-819l10105,-819,10105,-5564,1517,-5564,1517,-819xe" filled="false" stroked="true" strokeweight="10pt" strokecolor="#c1b5a9">
                <v:path arrowok="t"/>
              </v:shape>
            </v:group>
            <v:group style="position:absolute;left:8489;top:-2235;width:656;height:2" coordorigin="8489,-2235" coordsize="656,2">
              <v:shape style="position:absolute;left:8489;top:-2235;width:656;height:2" coordorigin="8489,-2235" coordsize="656,0" path="m8489,-2235l9144,-2235e" filled="false" stroked="true" strokeweight=".63pt" strokecolor="#dcddde">
                <v:path arrowok="t"/>
              </v:shape>
            </v:group>
            <v:group style="position:absolute;left:7251;top:-2235;width:960;height:2" coordorigin="7251,-2235" coordsize="960,2">
              <v:shape style="position:absolute;left:7251;top:-2235;width:960;height:2" coordorigin="7251,-2235" coordsize="960,0" path="m7251,-2235l8211,-2235e" filled="false" stroked="true" strokeweight=".63pt" strokecolor="#dcddde">
                <v:path arrowok="t"/>
              </v:shape>
            </v:group>
            <v:group style="position:absolute;left:6364;top:-2235;width:609;height:2" coordorigin="6364,-2235" coordsize="609,2">
              <v:shape style="position:absolute;left:6364;top:-2235;width:609;height:2" coordorigin="6364,-2235" coordsize="609,0" path="m6364,-2235l6973,-2235e" filled="false" stroked="true" strokeweight=".63pt" strokecolor="#dcddde">
                <v:path arrowok="t"/>
              </v:shape>
            </v:group>
            <v:group style="position:absolute;left:6011;top:-2235;width:75;height:2" coordorigin="6011,-2235" coordsize="75,2">
              <v:shape style="position:absolute;left:6011;top:-2235;width:75;height:2" coordorigin="6011,-2235" coordsize="75,0" path="m6011,-2235l6086,-2235e" filled="false" stroked="true" strokeweight=".63pt" strokecolor="#dcddde">
                <v:path arrowok="t"/>
              </v:shape>
            </v:group>
            <v:group style="position:absolute;left:5126;top:-2235;width:607;height:2" coordorigin="5126,-2235" coordsize="607,2">
              <v:shape style="position:absolute;left:5126;top:-2235;width:607;height:2" coordorigin="5126,-2235" coordsize="607,0" path="m5126,-2235l5733,-2235e" filled="false" stroked="true" strokeweight=".63pt" strokecolor="#dcddde">
                <v:path arrowok="t"/>
              </v:shape>
            </v:group>
            <v:group style="position:absolute;left:4773;top:-2235;width:75;height:2" coordorigin="4773,-2235" coordsize="75,2">
              <v:shape style="position:absolute;left:4773;top:-2235;width:75;height:2" coordorigin="4773,-2235" coordsize="75,0" path="m4773,-2235l4848,-2235e" filled="false" stroked="true" strokeweight=".63pt" strokecolor="#dcddde">
                <v:path arrowok="t"/>
              </v:shape>
            </v:group>
            <v:group style="position:absolute;left:3886;top:-2235;width:609;height:2" coordorigin="3886,-2235" coordsize="609,2">
              <v:shape style="position:absolute;left:3886;top:-2235;width:609;height:2" coordorigin="3886,-2235" coordsize="609,0" path="m3886,-2235l4495,-2235e" filled="false" stroked="true" strokeweight=".63pt" strokecolor="#dcddde">
                <v:path arrowok="t"/>
              </v:shape>
            </v:group>
            <v:group style="position:absolute;left:3533;top:-2235;width:77;height:2" coordorigin="3533,-2235" coordsize="77,2">
              <v:shape style="position:absolute;left:3533;top:-2235;width:77;height:2" coordorigin="3533,-2235" coordsize="77,0" path="m3533,-2235l3610,-2235e" filled="false" stroked="true" strokeweight=".63pt" strokecolor="#dcddde">
                <v:path arrowok="t"/>
              </v:shape>
            </v:group>
            <v:group style="position:absolute;left:2952;top:-2235;width:306;height:2" coordorigin="2952,-2235" coordsize="306,2">
              <v:shape style="position:absolute;left:2952;top:-2235;width:306;height:2" coordorigin="2952,-2235" coordsize="306,0" path="m2952,-2235l3257,-2235e" filled="false" stroked="true" strokeweight=".63pt" strokecolor="#dcddde">
                <v:path arrowok="t"/>
              </v:shape>
            </v:group>
            <v:group style="position:absolute;left:8489;top:-2786;width:656;height:2" coordorigin="8489,-2786" coordsize="656,2">
              <v:shape style="position:absolute;left:8489;top:-2786;width:656;height:2" coordorigin="8489,-2786" coordsize="656,0" path="m8489,-2786l9144,-2786e" filled="false" stroked="true" strokeweight=".63pt" strokecolor="#dcddde">
                <v:path arrowok="t"/>
              </v:shape>
            </v:group>
            <v:group style="position:absolute;left:7251;top:-2786;width:960;height:2" coordorigin="7251,-2786" coordsize="960,2">
              <v:shape style="position:absolute;left:7251;top:-2786;width:960;height:2" coordorigin="7251,-2786" coordsize="960,0" path="m7251,-2786l8211,-2786e" filled="false" stroked="true" strokeweight=".63pt" strokecolor="#dcddde">
                <v:path arrowok="t"/>
              </v:shape>
            </v:group>
            <v:group style="position:absolute;left:6364;top:-2786;width:609;height:2" coordorigin="6364,-2786" coordsize="609,2">
              <v:shape style="position:absolute;left:6364;top:-2786;width:609;height:2" coordorigin="6364,-2786" coordsize="609,0" path="m6364,-2786l6973,-2786e" filled="false" stroked="true" strokeweight=".63pt" strokecolor="#dcddde">
                <v:path arrowok="t"/>
              </v:shape>
            </v:group>
            <v:group style="position:absolute;left:6011;top:-2786;width:75;height:2" coordorigin="6011,-2786" coordsize="75,2">
              <v:shape style="position:absolute;left:6011;top:-2786;width:75;height:2" coordorigin="6011,-2786" coordsize="75,0" path="m6011,-2786l6086,-2786e" filled="false" stroked="true" strokeweight=".63pt" strokecolor="#dcddde">
                <v:path arrowok="t"/>
              </v:shape>
            </v:group>
            <v:group style="position:absolute;left:5126;top:-2786;width:607;height:2" coordorigin="5126,-2786" coordsize="607,2">
              <v:shape style="position:absolute;left:5126;top:-2786;width:607;height:2" coordorigin="5126,-2786" coordsize="607,0" path="m5126,-2786l5733,-2786e" filled="false" stroked="true" strokeweight=".63pt" strokecolor="#dcddde">
                <v:path arrowok="t"/>
              </v:shape>
            </v:group>
            <v:group style="position:absolute;left:4773;top:-2786;width:75;height:2" coordorigin="4773,-2786" coordsize="75,2">
              <v:shape style="position:absolute;left:4773;top:-2786;width:75;height:2" coordorigin="4773,-2786" coordsize="75,0" path="m4773,-2786l4848,-2786e" filled="false" stroked="true" strokeweight=".63pt" strokecolor="#dcddde">
                <v:path arrowok="t"/>
              </v:shape>
            </v:group>
            <v:group style="position:absolute;left:3886;top:-2786;width:609;height:2" coordorigin="3886,-2786" coordsize="609,2">
              <v:shape style="position:absolute;left:3886;top:-2786;width:609;height:2" coordorigin="3886,-2786" coordsize="609,0" path="m3886,-2786l4495,-2786e" filled="false" stroked="true" strokeweight=".63pt" strokecolor="#dcddde">
                <v:path arrowok="t"/>
              </v:shape>
            </v:group>
            <v:group style="position:absolute;left:3533;top:-2786;width:77;height:2" coordorigin="3533,-2786" coordsize="77,2">
              <v:shape style="position:absolute;left:3533;top:-2786;width:77;height:2" coordorigin="3533,-2786" coordsize="77,0" path="m3533,-2786l3610,-2786e" filled="false" stroked="true" strokeweight=".63pt" strokecolor="#dcddde">
                <v:path arrowok="t"/>
              </v:shape>
            </v:group>
            <v:group style="position:absolute;left:2952;top:-2786;width:306;height:2" coordorigin="2952,-2786" coordsize="306,2">
              <v:shape style="position:absolute;left:2952;top:-2786;width:306;height:2" coordorigin="2952,-2786" coordsize="306,0" path="m2952,-2786l3257,-2786e" filled="false" stroked="true" strokeweight=".63pt" strokecolor="#dcddde">
                <v:path arrowok="t"/>
              </v:shape>
            </v:group>
            <v:group style="position:absolute;left:8489;top:-3336;width:656;height:2" coordorigin="8489,-3336" coordsize="656,2">
              <v:shape style="position:absolute;left:8489;top:-3336;width:656;height:2" coordorigin="8489,-3336" coordsize="656,0" path="m8489,-3336l9144,-3336e" filled="false" stroked="true" strokeweight=".63pt" strokecolor="#dcddde">
                <v:path arrowok="t"/>
              </v:shape>
            </v:group>
            <v:group style="position:absolute;left:7251;top:-3336;width:960;height:2" coordorigin="7251,-3336" coordsize="960,2">
              <v:shape style="position:absolute;left:7251;top:-3336;width:960;height:2" coordorigin="7251,-3336" coordsize="960,0" path="m7251,-3336l8211,-3336e" filled="false" stroked="true" strokeweight=".63pt" strokecolor="#dcddde">
                <v:path arrowok="t"/>
              </v:shape>
            </v:group>
            <v:group style="position:absolute;left:6364;top:-3336;width:609;height:2" coordorigin="6364,-3336" coordsize="609,2">
              <v:shape style="position:absolute;left:6364;top:-3336;width:609;height:2" coordorigin="6364,-3336" coordsize="609,0" path="m6364,-3336l6973,-3336e" filled="false" stroked="true" strokeweight=".63pt" strokecolor="#dcddde">
                <v:path arrowok="t"/>
              </v:shape>
            </v:group>
            <v:group style="position:absolute;left:6011;top:-3336;width:75;height:2" coordorigin="6011,-3336" coordsize="75,2">
              <v:shape style="position:absolute;left:6011;top:-3336;width:75;height:2" coordorigin="6011,-3336" coordsize="75,0" path="m6011,-3336l6086,-3336e" filled="false" stroked="true" strokeweight=".63pt" strokecolor="#dcddde">
                <v:path arrowok="t"/>
              </v:shape>
            </v:group>
            <v:group style="position:absolute;left:5126;top:-3336;width:607;height:2" coordorigin="5126,-3336" coordsize="607,2">
              <v:shape style="position:absolute;left:5126;top:-3336;width:607;height:2" coordorigin="5126,-3336" coordsize="607,0" path="m5126,-3336l5733,-3336e" filled="false" stroked="true" strokeweight=".63pt" strokecolor="#dcddde">
                <v:path arrowok="t"/>
              </v:shape>
            </v:group>
            <v:group style="position:absolute;left:4773;top:-3336;width:75;height:2" coordorigin="4773,-3336" coordsize="75,2">
              <v:shape style="position:absolute;left:4773;top:-3336;width:75;height:2" coordorigin="4773,-3336" coordsize="75,0" path="m4773,-3336l4848,-3336e" filled="false" stroked="true" strokeweight=".63pt" strokecolor="#dcddde">
                <v:path arrowok="t"/>
              </v:shape>
            </v:group>
            <v:group style="position:absolute;left:3886;top:-3336;width:609;height:2" coordorigin="3886,-3336" coordsize="609,2">
              <v:shape style="position:absolute;left:3886;top:-3336;width:609;height:2" coordorigin="3886,-3336" coordsize="609,0" path="m3886,-3336l4495,-3336e" filled="false" stroked="true" strokeweight=".63pt" strokecolor="#dcddde">
                <v:path arrowok="t"/>
              </v:shape>
            </v:group>
            <v:group style="position:absolute;left:3533;top:-3336;width:77;height:2" coordorigin="3533,-3336" coordsize="77,2">
              <v:shape style="position:absolute;left:3533;top:-3336;width:77;height:2" coordorigin="3533,-3336" coordsize="77,0" path="m3533,-3336l3610,-3336e" filled="false" stroked="true" strokeweight=".63pt" strokecolor="#dcddde">
                <v:path arrowok="t"/>
              </v:shape>
            </v:group>
            <v:group style="position:absolute;left:2952;top:-3336;width:306;height:2" coordorigin="2952,-3336" coordsize="306,2">
              <v:shape style="position:absolute;left:2952;top:-3336;width:306;height:2" coordorigin="2952,-3336" coordsize="306,0" path="m2952,-3336l3257,-3336e" filled="false" stroked="true" strokeweight=".63pt" strokecolor="#dcddde">
                <v:path arrowok="t"/>
              </v:shape>
            </v:group>
            <v:group style="position:absolute;left:8489;top:-3886;width:656;height:2" coordorigin="8489,-3886" coordsize="656,2">
              <v:shape style="position:absolute;left:8489;top:-3886;width:656;height:2" coordorigin="8489,-3886" coordsize="656,0" path="m8489,-3886l9144,-3886e" filled="false" stroked="true" strokeweight=".63pt" strokecolor="#dcddde">
                <v:path arrowok="t"/>
              </v:shape>
            </v:group>
            <v:group style="position:absolute;left:6011;top:-3886;width:2200;height:2" coordorigin="6011,-3886" coordsize="2200,2">
              <v:shape style="position:absolute;left:6011;top:-3886;width:2200;height:2" coordorigin="6011,-3886" coordsize="2200,0" path="m6011,-3886l8211,-3886e" filled="false" stroked="true" strokeweight=".63pt" strokecolor="#dcddde">
                <v:path arrowok="t"/>
              </v:shape>
            </v:group>
            <v:group style="position:absolute;left:3886;top:-3886;width:1847;height:2" coordorigin="3886,-3886" coordsize="1847,2">
              <v:shape style="position:absolute;left:3886;top:-3886;width:1847;height:2" coordorigin="3886,-3886" coordsize="1847,0" path="m3886,-3886l5733,-3886e" filled="false" stroked="true" strokeweight=".63pt" strokecolor="#dcddde">
                <v:path arrowok="t"/>
              </v:shape>
            </v:group>
            <v:group style="position:absolute;left:3533;top:-3886;width:77;height:2" coordorigin="3533,-3886" coordsize="77,2">
              <v:shape style="position:absolute;left:3533;top:-3886;width:77;height:2" coordorigin="3533,-3886" coordsize="77,0" path="m3533,-3886l3610,-3886e" filled="false" stroked="true" strokeweight=".63pt" strokecolor="#dcddde">
                <v:path arrowok="t"/>
              </v:shape>
            </v:group>
            <v:group style="position:absolute;left:2952;top:-3886;width:306;height:2" coordorigin="2952,-3886" coordsize="306,2">
              <v:shape style="position:absolute;left:2952;top:-3886;width:306;height:2" coordorigin="2952,-3886" coordsize="306,0" path="m2952,-3886l3257,-3886e" filled="false" stroked="true" strokeweight=".63pt" strokecolor="#dcddde">
                <v:path arrowok="t"/>
              </v:shape>
            </v:group>
            <v:group style="position:absolute;left:8489;top:-4437;width:656;height:2" coordorigin="8489,-4437" coordsize="656,2">
              <v:shape style="position:absolute;left:8489;top:-4437;width:656;height:2" coordorigin="8489,-4437" coordsize="656,0" path="m8489,-4437l9144,-4437e" filled="false" stroked="true" strokeweight=".63pt" strokecolor="#dcddde">
                <v:path arrowok="t"/>
              </v:shape>
            </v:group>
            <v:group style="position:absolute;left:6011;top:-4437;width:2200;height:2" coordorigin="6011,-4437" coordsize="2200,2">
              <v:shape style="position:absolute;left:6011;top:-4437;width:2200;height:2" coordorigin="6011,-4437" coordsize="2200,0" path="m6011,-4437l8211,-4437e" filled="false" stroked="true" strokeweight=".63pt" strokecolor="#dcddde">
                <v:path arrowok="t"/>
              </v:shape>
            </v:group>
            <v:group style="position:absolute;left:2952;top:-4437;width:2781;height:2" coordorigin="2952,-4437" coordsize="2781,2">
              <v:shape style="position:absolute;left:2952;top:-4437;width:2781;height:2" coordorigin="2952,-4437" coordsize="2781,0" path="m2952,-4437l5733,-4437e" filled="false" stroked="true" strokeweight=".63pt" strokecolor="#dcddde">
                <v:path arrowok="t"/>
              </v:shape>
            </v:group>
            <v:group style="position:absolute;left:2952;top:-4988;width:6193;height:2" coordorigin="2952,-4988" coordsize="6193,2">
              <v:shape style="position:absolute;left:2952;top:-4988;width:6193;height:2" coordorigin="2952,-4988" coordsize="6193,0" path="m2952,-4988l9144,-4988e" filled="false" stroked="true" strokeweight=".63pt" strokecolor="#dcddde">
                <v:path arrowok="t"/>
              </v:shape>
            </v:group>
            <v:group style="position:absolute;left:3257;top:-4441;width:277;height:2756" coordorigin="3257,-4441" coordsize="277,2756">
              <v:shape style="position:absolute;left:3257;top:-4441;width:277;height:2756" coordorigin="3257,-4441" coordsize="277,2756" path="m3533,-4441l3257,-4441,3257,-1685,3533,-1685,3533,-4441xe" filled="true" fillcolor="#715990" stroked="false">
                <v:path arrowok="t"/>
                <v:fill type="solid"/>
              </v:shape>
            </v:group>
            <v:group style="position:absolute;left:4495;top:-3616;width:279;height:1932" coordorigin="4495,-3616" coordsize="279,1932">
              <v:shape style="position:absolute;left:4495;top:-3616;width:279;height:1932" coordorigin="4495,-3616" coordsize="279,1932" path="m4773,-3616l4495,-3616,4495,-1685,4773,-1685,4773,-3616xe" filled="true" fillcolor="#715990" stroked="false">
                <v:path arrowok="t"/>
                <v:fill type="solid"/>
              </v:shape>
            </v:group>
            <v:group style="position:absolute;left:5733;top:-4590;width:279;height:2906" coordorigin="5733,-4590" coordsize="279,2906">
              <v:shape style="position:absolute;left:5733;top:-4590;width:279;height:2906" coordorigin="5733,-4590" coordsize="279,2906" path="m6011,-4590l5733,-4590,5733,-1685,6011,-1685,6011,-4590xe" filled="true" fillcolor="#715990" stroked="false">
                <v:path arrowok="t"/>
                <v:fill type="solid"/>
              </v:shape>
            </v:group>
            <v:group style="position:absolute;left:6973;top:-3826;width:279;height:2142" coordorigin="6973,-3826" coordsize="279,2142">
              <v:shape style="position:absolute;left:6973;top:-3826;width:279;height:2142" coordorigin="6973,-3826" coordsize="279,2142" path="m7251,-3826l6973,-3826,6973,-1685,7251,-1685,7251,-3826xe" filled="true" fillcolor="#715990" stroked="false">
                <v:path arrowok="t"/>
                <v:fill type="solid"/>
              </v:shape>
            </v:group>
            <v:group style="position:absolute;left:8211;top:-4792;width:279;height:3107" coordorigin="8211,-4792" coordsize="279,3107">
              <v:shape style="position:absolute;left:8211;top:-4792;width:279;height:3107" coordorigin="8211,-4792" coordsize="279,3107" path="m8489,-4792l8211,-4792,8211,-1685,8489,-1685,8489,-4792xe" filled="true" fillcolor="#715990" stroked="false">
                <v:path arrowok="t"/>
                <v:fill type="solid"/>
              </v:shape>
            </v:group>
            <v:group style="position:absolute;left:3610;top:-3985;width:277;height:2301" coordorigin="3610,-3985" coordsize="277,2301">
              <v:shape style="position:absolute;left:3610;top:-3985;width:277;height:2301" coordorigin="3610,-3985" coordsize="277,2301" path="m3886,-3985l3610,-3985,3610,-1685,3886,-1685,3886,-3985xe" filled="true" fillcolor="#a99bbc" stroked="false">
                <v:path arrowok="t"/>
                <v:fill type="solid"/>
              </v:shape>
            </v:group>
            <v:group style="position:absolute;left:4848;top:-3776;width:279;height:2091" coordorigin="4848,-3776" coordsize="279,2091">
              <v:shape style="position:absolute;left:4848;top:-3776;width:279;height:2091" coordorigin="4848,-3776" coordsize="279,2091" path="m5126,-3776l4848,-3776,4848,-1685,5126,-1685,5126,-3776xe" filled="true" fillcolor="#a99bbc" stroked="false">
                <v:path arrowok="t"/>
                <v:fill type="solid"/>
              </v:shape>
            </v:group>
            <v:group style="position:absolute;left:6086;top:-3774;width:279;height:2089" coordorigin="6086,-3774" coordsize="279,2089">
              <v:shape style="position:absolute;left:6086;top:-3774;width:279;height:2089" coordorigin="6086,-3774" coordsize="279,2089" path="m6364,-3774l6086,-3774,6086,-1685,6364,-1685,6364,-3774xe" filled="true" fillcolor="#a99bbc" stroked="false">
                <v:path arrowok="t"/>
                <v:fill type="solid"/>
              </v:shape>
            </v:group>
            <v:group style="position:absolute;left:2952;top:-1685;width:6193;height:2" coordorigin="2952,-1685" coordsize="6193,2">
              <v:shape style="position:absolute;left:2952;top:-1685;width:6193;height:2" coordorigin="2952,-1685" coordsize="6193,0" path="m2952,-1685l9144,-1685e" filled="false" stroked="true" strokeweight=".63pt" strokecolor="#dcddde">
                <v:path arrowok="t"/>
              </v:shape>
            </v:group>
            <v:group style="position:absolute;left:2876;top:-1247;width:81;height:2" coordorigin="2876,-1247" coordsize="81,2">
              <v:shape style="position:absolute;left:2876;top:-1247;width:81;height:2" coordorigin="2876,-1247" coordsize="81,0" path="m2876,-1247l2956,-1247e" filled="false" stroked="true" strokeweight="4.124pt" strokecolor="#715990">
                <v:path arrowok="t"/>
              </v:shape>
            </v:group>
            <v:group style="position:absolute;left:6597;top:-1247;width:81;height:2" coordorigin="6597,-1247" coordsize="81,2">
              <v:shape style="position:absolute;left:6597;top:-1247;width:81;height:2" coordorigin="6597,-1247" coordsize="81,0" path="m6597,-1247l6678,-1247e" filled="false" stroked="true" strokeweight="4.124pt" strokecolor="#a99bbc">
                <v:path arrowok="t"/>
              </v:shape>
              <v:shape style="position:absolute;left:1704;top:-5365;width:7419;height:454" type="#_x0000_t202" filled="false" stroked="false">
                <v:textbox inset="0,0,0,0">
                  <w:txbxContent>
                    <w:p>
                      <w:pPr>
                        <w:spacing w:line="179" w:lineRule="exact" w:before="0"/>
                        <w:ind w:left="718" w:right="0" w:hanging="719"/>
                        <w:jc w:val="left"/>
                        <w:rPr>
                          <w:rFonts w:ascii="Segoe UI Semibold" w:hAnsi="Segoe UI Semibold" w:cs="Segoe UI Semibold" w:eastAsia="Segoe UI Semibold"/>
                          <w:sz w:val="16"/>
                          <w:szCs w:val="16"/>
                        </w:rPr>
                      </w:pPr>
                      <w:r>
                        <w:rPr>
                          <w:rFonts w:ascii="Segoe UI Semibold" w:hAnsi="Segoe UI Semibold" w:cs="Segoe UI Semibold" w:eastAsia="Segoe UI Semibold"/>
                          <w:b/>
                          <w:bCs/>
                          <w:color w:val="666155"/>
                          <w:spacing w:val="4"/>
                          <w:sz w:val="16"/>
                          <w:szCs w:val="16"/>
                        </w:rPr>
                        <w:t>GRAPH</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z w:val="16"/>
                          <w:szCs w:val="16"/>
                        </w:rPr>
                        <w:t>28: </w:t>
                      </w:r>
                      <w:r>
                        <w:rPr>
                          <w:rFonts w:ascii="Segoe UI Semibold" w:hAnsi="Segoe UI Semibold" w:cs="Segoe UI Semibold" w:eastAsia="Segoe UI Semibold"/>
                          <w:b/>
                          <w:bCs/>
                          <w:color w:val="666155"/>
                          <w:spacing w:val="4"/>
                          <w:sz w:val="16"/>
                          <w:szCs w:val="16"/>
                        </w:rPr>
                        <w:t>THREE</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YEAR</w:t>
                      </w:r>
                      <w:r>
                        <w:rPr>
                          <w:rFonts w:ascii="Segoe UI Semibold" w:hAnsi="Segoe UI Semibold" w:cs="Segoe UI Semibold" w:eastAsia="Segoe UI Semibold"/>
                          <w:b/>
                          <w:bCs/>
                          <w:color w:val="666155"/>
                          <w:spacing w:val="2"/>
                          <w:sz w:val="16"/>
                          <w:szCs w:val="16"/>
                        </w:rPr>
                        <w:t> AVERAGE</w:t>
                      </w:r>
                      <w:r>
                        <w:rPr>
                          <w:rFonts w:ascii="Segoe UI Semibold" w:hAnsi="Segoe UI Semibold" w:cs="Segoe UI Semibold" w:eastAsia="Segoe UI Semibold"/>
                          <w:b/>
                          <w:bCs/>
                          <w:color w:val="666155"/>
                          <w:spacing w:val="3"/>
                          <w:sz w:val="16"/>
                          <w:szCs w:val="16"/>
                        </w:rPr>
                        <w:t> COST</w:t>
                      </w:r>
                      <w:r>
                        <w:rPr>
                          <w:rFonts w:ascii="Segoe UI Semibold" w:hAnsi="Segoe UI Semibold" w:cs="Segoe UI Semibold" w:eastAsia="Segoe UI Semibold"/>
                          <w:b/>
                          <w:bCs/>
                          <w:color w:val="666155"/>
                          <w:spacing w:val="2"/>
                          <w:sz w:val="16"/>
                          <w:szCs w:val="16"/>
                        </w:rPr>
                        <w:t> OF </w:t>
                      </w:r>
                      <w:r>
                        <w:rPr>
                          <w:rFonts w:ascii="Segoe UI Semibold" w:hAnsi="Segoe UI Semibold" w:cs="Segoe UI Semibold" w:eastAsia="Segoe UI Semibold"/>
                          <w:b/>
                          <w:bCs/>
                          <w:color w:val="666155"/>
                          <w:spacing w:val="4"/>
                          <w:sz w:val="16"/>
                          <w:szCs w:val="16"/>
                        </w:rPr>
                        <w:t>BOARDING</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spacing w:val="4"/>
                          <w:sz w:val="16"/>
                          <w:szCs w:val="16"/>
                        </w:rPr>
                        <w:t>PROVISION</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z w:val="16"/>
                          <w:szCs w:val="16"/>
                        </w:rPr>
                        <w:t>BY</w:t>
                      </w:r>
                      <w:r>
                        <w:rPr>
                          <w:rFonts w:ascii="Segoe UI Semibold" w:hAnsi="Segoe UI Semibold" w:cs="Segoe UI Semibold" w:eastAsia="Segoe UI Semibold"/>
                          <w:b/>
                          <w:bCs/>
                          <w:color w:val="666155"/>
                          <w:spacing w:val="3"/>
                          <w:sz w:val="16"/>
                          <w:szCs w:val="16"/>
                        </w:rPr>
                        <w:t> REMOTENESS</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z w:val="16"/>
                          <w:szCs w:val="16"/>
                        </w:rPr>
                        <w:t>2015</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position w:val="1"/>
                          <w:sz w:val="16"/>
                          <w:szCs w:val="16"/>
                        </w:rPr>
                        <w:t>—</w:t>
                      </w:r>
                      <w:r>
                        <w:rPr>
                          <w:rFonts w:ascii="Segoe UI Semibold" w:hAnsi="Segoe UI Semibold" w:cs="Segoe UI Semibold" w:eastAsia="Segoe UI Semibold"/>
                          <w:b/>
                          <w:bCs/>
                          <w:color w:val="666155"/>
                          <w:spacing w:val="-2"/>
                          <w:position w:val="1"/>
                          <w:sz w:val="16"/>
                          <w:szCs w:val="16"/>
                        </w:rPr>
                        <w:t> </w:t>
                      </w:r>
                      <w:r>
                        <w:rPr>
                          <w:rFonts w:ascii="Segoe UI Semibold" w:hAnsi="Segoe UI Semibold" w:cs="Segoe UI Semibold" w:eastAsia="Segoe UI Semibold"/>
                          <w:b/>
                          <w:bCs/>
                          <w:color w:val="666155"/>
                          <w:spacing w:val="-1"/>
                          <w:sz w:val="16"/>
                          <w:szCs w:val="16"/>
                        </w:rPr>
                        <w:t>2017</w:t>
                      </w:r>
                      <w:r>
                        <w:rPr>
                          <w:rFonts w:ascii="Segoe UI Semibold" w:hAnsi="Segoe UI Semibold" w:cs="Segoe UI Semibold" w:eastAsia="Segoe UI Semibold"/>
                          <w:sz w:val="16"/>
                          <w:szCs w:val="16"/>
                        </w:rPr>
                      </w:r>
                    </w:p>
                    <w:p>
                      <w:pPr>
                        <w:spacing w:before="102"/>
                        <w:ind w:left="718" w:right="0" w:firstLine="0"/>
                        <w:jc w:val="left"/>
                        <w:rPr>
                          <w:rFonts w:ascii="Segoe UI" w:hAnsi="Segoe UI" w:cs="Segoe UI" w:eastAsia="Segoe UI"/>
                          <w:sz w:val="13"/>
                          <w:szCs w:val="13"/>
                        </w:rPr>
                      </w:pPr>
                      <w:r>
                        <w:rPr>
                          <w:rFonts w:ascii="Segoe UI"/>
                          <w:color w:val="77787B"/>
                          <w:spacing w:val="-1"/>
                          <w:w w:val="105"/>
                          <w:sz w:val="13"/>
                        </w:rPr>
                        <w:t>30,000</w:t>
                      </w:r>
                      <w:r>
                        <w:rPr>
                          <w:rFonts w:ascii="Segoe UI"/>
                          <w:sz w:val="13"/>
                        </w:rPr>
                      </w:r>
                    </w:p>
                  </w:txbxContent>
                </v:textbox>
                <w10:wrap type="none"/>
              </v:shape>
              <v:shape style="position:absolute;left:2422;top:-4496;width:392;height:136" type="#_x0000_t202" filled="false" stroked="false">
                <v:textbox inset="0,0,0,0">
                  <w:txbxContent>
                    <w:p>
                      <w:pPr>
                        <w:spacing w:line="135" w:lineRule="exact" w:before="0"/>
                        <w:ind w:left="0" w:right="0" w:firstLine="0"/>
                        <w:jc w:val="left"/>
                        <w:rPr>
                          <w:rFonts w:ascii="Segoe UI" w:hAnsi="Segoe UI" w:cs="Segoe UI" w:eastAsia="Segoe UI"/>
                          <w:sz w:val="13"/>
                          <w:szCs w:val="13"/>
                        </w:rPr>
                      </w:pPr>
                      <w:r>
                        <w:rPr>
                          <w:rFonts w:ascii="Segoe UI"/>
                          <w:color w:val="77787B"/>
                          <w:spacing w:val="-1"/>
                          <w:sz w:val="13"/>
                        </w:rPr>
                        <w:t>25,000</w:t>
                      </w:r>
                      <w:r>
                        <w:rPr>
                          <w:rFonts w:ascii="Segoe UI"/>
                          <w:sz w:val="13"/>
                        </w:rPr>
                      </w:r>
                    </w:p>
                  </w:txbxContent>
                </v:textbox>
                <w10:wrap type="none"/>
              </v:shape>
              <v:shape style="position:absolute;left:2422;top:-3945;width:392;height:136" type="#_x0000_t202" filled="false" stroked="false">
                <v:textbox inset="0,0,0,0">
                  <w:txbxContent>
                    <w:p>
                      <w:pPr>
                        <w:spacing w:line="135" w:lineRule="exact" w:before="0"/>
                        <w:ind w:left="0" w:right="0" w:firstLine="0"/>
                        <w:jc w:val="left"/>
                        <w:rPr>
                          <w:rFonts w:ascii="Segoe UI" w:hAnsi="Segoe UI" w:cs="Segoe UI" w:eastAsia="Segoe UI"/>
                          <w:sz w:val="13"/>
                          <w:szCs w:val="13"/>
                        </w:rPr>
                      </w:pPr>
                      <w:r>
                        <w:rPr>
                          <w:rFonts w:ascii="Segoe UI"/>
                          <w:color w:val="77787B"/>
                          <w:spacing w:val="-1"/>
                          <w:sz w:val="13"/>
                        </w:rPr>
                        <w:t>20,000</w:t>
                      </w:r>
                      <w:r>
                        <w:rPr>
                          <w:rFonts w:ascii="Segoe UI"/>
                          <w:sz w:val="13"/>
                        </w:rPr>
                      </w:r>
                    </w:p>
                  </w:txbxContent>
                </v:textbox>
                <w10:wrap type="none"/>
              </v:shape>
              <v:shape style="position:absolute;left:2422;top:-3395;width:392;height:136" type="#_x0000_t202" filled="false" stroked="false">
                <v:textbox inset="0,0,0,0">
                  <w:txbxContent>
                    <w:p>
                      <w:pPr>
                        <w:spacing w:line="135" w:lineRule="exact" w:before="0"/>
                        <w:ind w:left="0" w:right="0" w:firstLine="0"/>
                        <w:jc w:val="left"/>
                        <w:rPr>
                          <w:rFonts w:ascii="Segoe UI" w:hAnsi="Segoe UI" w:cs="Segoe UI" w:eastAsia="Segoe UI"/>
                          <w:sz w:val="13"/>
                          <w:szCs w:val="13"/>
                        </w:rPr>
                      </w:pPr>
                      <w:r>
                        <w:rPr>
                          <w:rFonts w:ascii="Segoe UI"/>
                          <w:color w:val="77787B"/>
                          <w:spacing w:val="-1"/>
                          <w:sz w:val="13"/>
                        </w:rPr>
                        <w:t>15,000</w:t>
                      </w:r>
                      <w:r>
                        <w:rPr>
                          <w:rFonts w:ascii="Segoe UI"/>
                          <w:sz w:val="13"/>
                        </w:rPr>
                      </w:r>
                    </w:p>
                  </w:txbxContent>
                </v:textbox>
                <w10:wrap type="none"/>
              </v:shape>
              <v:shape style="position:absolute;left:2422;top:-2844;width:392;height:136" type="#_x0000_t202" filled="false" stroked="false">
                <v:textbox inset="0,0,0,0">
                  <w:txbxContent>
                    <w:p>
                      <w:pPr>
                        <w:spacing w:line="135" w:lineRule="exact" w:before="0"/>
                        <w:ind w:left="0" w:right="0" w:firstLine="0"/>
                        <w:jc w:val="left"/>
                        <w:rPr>
                          <w:rFonts w:ascii="Segoe UI" w:hAnsi="Segoe UI" w:cs="Segoe UI" w:eastAsia="Segoe UI"/>
                          <w:sz w:val="13"/>
                          <w:szCs w:val="13"/>
                        </w:rPr>
                      </w:pPr>
                      <w:r>
                        <w:rPr>
                          <w:rFonts w:ascii="Segoe UI"/>
                          <w:color w:val="77787B"/>
                          <w:spacing w:val="-1"/>
                          <w:sz w:val="13"/>
                        </w:rPr>
                        <w:t>10,000</w:t>
                      </w:r>
                      <w:r>
                        <w:rPr>
                          <w:rFonts w:ascii="Segoe UI"/>
                          <w:sz w:val="13"/>
                        </w:rPr>
                      </w:r>
                    </w:p>
                  </w:txbxContent>
                </v:textbox>
                <w10:wrap type="none"/>
              </v:shape>
              <v:shape style="position:absolute;left:2495;top:-2293;width:320;height:136" type="#_x0000_t202" filled="false" stroked="false">
                <v:textbox inset="0,0,0,0">
                  <w:txbxContent>
                    <w:p>
                      <w:pPr>
                        <w:spacing w:line="135" w:lineRule="exact" w:before="0"/>
                        <w:ind w:left="0" w:right="0" w:firstLine="0"/>
                        <w:jc w:val="left"/>
                        <w:rPr>
                          <w:rFonts w:ascii="Segoe UI" w:hAnsi="Segoe UI" w:cs="Segoe UI" w:eastAsia="Segoe UI"/>
                          <w:sz w:val="13"/>
                          <w:szCs w:val="13"/>
                        </w:rPr>
                      </w:pPr>
                      <w:r>
                        <w:rPr>
                          <w:rFonts w:ascii="Segoe UI"/>
                          <w:color w:val="77787B"/>
                          <w:spacing w:val="-1"/>
                          <w:sz w:val="13"/>
                        </w:rPr>
                        <w:t>5,000</w:t>
                      </w:r>
                      <w:r>
                        <w:rPr>
                          <w:rFonts w:ascii="Segoe UI"/>
                          <w:sz w:val="13"/>
                        </w:rPr>
                      </w:r>
                    </w:p>
                  </w:txbxContent>
                </v:textbox>
                <w10:wrap type="none"/>
              </v:shape>
              <v:shape style="position:absolute;left:2742;top:-1743;width:73;height:136" type="#_x0000_t202" filled="false" stroked="false">
                <v:textbox inset="0,0,0,0">
                  <w:txbxContent>
                    <w:p>
                      <w:pPr>
                        <w:spacing w:line="135" w:lineRule="exact" w:before="0"/>
                        <w:ind w:left="0" w:right="0" w:firstLine="0"/>
                        <w:jc w:val="left"/>
                        <w:rPr>
                          <w:rFonts w:ascii="Segoe UI" w:hAnsi="Segoe UI" w:cs="Segoe UI" w:eastAsia="Segoe UI"/>
                          <w:sz w:val="13"/>
                          <w:szCs w:val="13"/>
                        </w:rPr>
                      </w:pPr>
                      <w:r>
                        <w:rPr>
                          <w:rFonts w:ascii="Segoe UI"/>
                          <w:color w:val="77787B"/>
                          <w:sz w:val="13"/>
                        </w:rPr>
                        <w:t>0</w:t>
                      </w:r>
                      <w:r>
                        <w:rPr>
                          <w:rFonts w:ascii="Segoe UI"/>
                          <w:sz w:val="13"/>
                        </w:rPr>
                      </w:r>
                    </w:p>
                  </w:txbxContent>
                </v:textbox>
                <w10:wrap type="none"/>
              </v:shape>
              <v:shape style="position:absolute;left:3229;top:-1546;width:686;height:136" type="#_x0000_t202" filled="false" stroked="false">
                <v:textbox inset="0,0,0,0">
                  <w:txbxContent>
                    <w:p>
                      <w:pPr>
                        <w:spacing w:line="135" w:lineRule="exact" w:before="0"/>
                        <w:ind w:left="0" w:right="0" w:firstLine="0"/>
                        <w:jc w:val="left"/>
                        <w:rPr>
                          <w:rFonts w:ascii="Segoe UI" w:hAnsi="Segoe UI" w:cs="Segoe UI" w:eastAsia="Segoe UI"/>
                          <w:sz w:val="13"/>
                          <w:szCs w:val="13"/>
                        </w:rPr>
                      </w:pPr>
                      <w:r>
                        <w:rPr>
                          <w:rFonts w:ascii="Segoe UI"/>
                          <w:color w:val="77787B"/>
                          <w:spacing w:val="-1"/>
                          <w:w w:val="105"/>
                          <w:sz w:val="13"/>
                        </w:rPr>
                        <w:t>Major</w:t>
                      </w:r>
                      <w:r>
                        <w:rPr>
                          <w:rFonts w:ascii="Segoe UI"/>
                          <w:color w:val="77787B"/>
                          <w:spacing w:val="-14"/>
                          <w:w w:val="105"/>
                          <w:sz w:val="13"/>
                        </w:rPr>
                        <w:t> </w:t>
                      </w:r>
                      <w:r>
                        <w:rPr>
                          <w:rFonts w:ascii="Segoe UI"/>
                          <w:color w:val="77787B"/>
                          <w:spacing w:val="-1"/>
                          <w:w w:val="105"/>
                          <w:sz w:val="13"/>
                        </w:rPr>
                        <w:t>cities</w:t>
                      </w:r>
                      <w:r>
                        <w:rPr>
                          <w:rFonts w:ascii="Segoe UI"/>
                          <w:sz w:val="13"/>
                        </w:rPr>
                      </w:r>
                    </w:p>
                  </w:txbxContent>
                </v:textbox>
                <w10:wrap type="none"/>
              </v:shape>
              <v:shape style="position:absolute;left:4397;top:-1546;width:2082;height:136" type="#_x0000_t202" filled="false" stroked="false">
                <v:textbox inset="0,0,0,0">
                  <w:txbxContent>
                    <w:p>
                      <w:pPr>
                        <w:tabs>
                          <w:tab w:pos="1221" w:val="left" w:leader="none"/>
                        </w:tabs>
                        <w:spacing w:line="135" w:lineRule="exact" w:before="0"/>
                        <w:ind w:left="0" w:right="0" w:firstLine="0"/>
                        <w:jc w:val="left"/>
                        <w:rPr>
                          <w:rFonts w:ascii="Segoe UI" w:hAnsi="Segoe UI" w:cs="Segoe UI" w:eastAsia="Segoe UI"/>
                          <w:sz w:val="13"/>
                          <w:szCs w:val="13"/>
                        </w:rPr>
                      </w:pPr>
                      <w:r>
                        <w:rPr>
                          <w:rFonts w:ascii="Segoe UI"/>
                          <w:color w:val="77787B"/>
                          <w:spacing w:val="-1"/>
                          <w:w w:val="105"/>
                          <w:sz w:val="13"/>
                        </w:rPr>
                        <w:t>Inner</w:t>
                      </w:r>
                      <w:r>
                        <w:rPr>
                          <w:rFonts w:ascii="Segoe UI"/>
                          <w:color w:val="77787B"/>
                          <w:spacing w:val="-17"/>
                          <w:w w:val="105"/>
                          <w:sz w:val="13"/>
                        </w:rPr>
                        <w:t> </w:t>
                      </w:r>
                      <w:r>
                        <w:rPr>
                          <w:rFonts w:ascii="Segoe UI"/>
                          <w:color w:val="77787B"/>
                          <w:spacing w:val="-1"/>
                          <w:w w:val="105"/>
                          <w:sz w:val="13"/>
                        </w:rPr>
                        <w:t>regional</w:t>
                        <w:tab/>
                        <w:t>Outer</w:t>
                      </w:r>
                      <w:r>
                        <w:rPr>
                          <w:rFonts w:ascii="Segoe UI"/>
                          <w:color w:val="77787B"/>
                          <w:spacing w:val="-15"/>
                          <w:w w:val="105"/>
                          <w:sz w:val="13"/>
                        </w:rPr>
                        <w:t> </w:t>
                      </w:r>
                      <w:r>
                        <w:rPr>
                          <w:rFonts w:ascii="Segoe UI"/>
                          <w:color w:val="77787B"/>
                          <w:spacing w:val="-1"/>
                          <w:w w:val="105"/>
                          <w:sz w:val="13"/>
                        </w:rPr>
                        <w:t>regional</w:t>
                      </w:r>
                      <w:r>
                        <w:rPr>
                          <w:rFonts w:ascii="Segoe UI"/>
                          <w:sz w:val="13"/>
                        </w:rPr>
                      </w:r>
                    </w:p>
                  </w:txbxContent>
                </v:textbox>
                <w10:wrap type="none"/>
              </v:shape>
              <v:shape style="position:absolute;left:7058;top:-1546;width:462;height:136" type="#_x0000_t202" filled="false" stroked="false">
                <v:textbox inset="0,0,0,0">
                  <w:txbxContent>
                    <w:p>
                      <w:pPr>
                        <w:spacing w:line="135" w:lineRule="exact" w:before="0"/>
                        <w:ind w:left="0" w:right="0" w:firstLine="0"/>
                        <w:jc w:val="left"/>
                        <w:rPr>
                          <w:rFonts w:ascii="Segoe UI" w:hAnsi="Segoe UI" w:cs="Segoe UI" w:eastAsia="Segoe UI"/>
                          <w:sz w:val="13"/>
                          <w:szCs w:val="13"/>
                        </w:rPr>
                      </w:pPr>
                      <w:r>
                        <w:rPr>
                          <w:rFonts w:ascii="Segoe UI"/>
                          <w:color w:val="77787B"/>
                          <w:spacing w:val="-1"/>
                          <w:sz w:val="13"/>
                        </w:rPr>
                        <w:t>Remote</w:t>
                      </w:r>
                      <w:r>
                        <w:rPr>
                          <w:rFonts w:ascii="Segoe UI"/>
                          <w:sz w:val="13"/>
                        </w:rPr>
                      </w:r>
                    </w:p>
                  </w:txbxContent>
                </v:textbox>
                <w10:wrap type="none"/>
              </v:shape>
              <v:shape style="position:absolute;left:8162;top:-1546;width:730;height:136" type="#_x0000_t202" filled="false" stroked="false">
                <v:textbox inset="0,0,0,0">
                  <w:txbxContent>
                    <w:p>
                      <w:pPr>
                        <w:spacing w:line="135" w:lineRule="exact" w:before="0"/>
                        <w:ind w:left="0" w:right="0" w:firstLine="0"/>
                        <w:jc w:val="left"/>
                        <w:rPr>
                          <w:rFonts w:ascii="Segoe UI" w:hAnsi="Segoe UI" w:cs="Segoe UI" w:eastAsia="Segoe UI"/>
                          <w:sz w:val="13"/>
                          <w:szCs w:val="13"/>
                        </w:rPr>
                      </w:pPr>
                      <w:r>
                        <w:rPr>
                          <w:rFonts w:ascii="Segoe UI"/>
                          <w:color w:val="77787B"/>
                          <w:spacing w:val="-1"/>
                          <w:w w:val="105"/>
                          <w:sz w:val="13"/>
                        </w:rPr>
                        <w:t>Very</w:t>
                      </w:r>
                      <w:r>
                        <w:rPr>
                          <w:rFonts w:ascii="Segoe UI"/>
                          <w:color w:val="77787B"/>
                          <w:spacing w:val="-14"/>
                          <w:w w:val="105"/>
                          <w:sz w:val="13"/>
                        </w:rPr>
                        <w:t> </w:t>
                      </w:r>
                      <w:r>
                        <w:rPr>
                          <w:rFonts w:ascii="Segoe UI"/>
                          <w:color w:val="77787B"/>
                          <w:spacing w:val="-1"/>
                          <w:w w:val="105"/>
                          <w:sz w:val="13"/>
                        </w:rPr>
                        <w:t>remote</w:t>
                      </w:r>
                      <w:r>
                        <w:rPr>
                          <w:rFonts w:ascii="Segoe UI"/>
                          <w:sz w:val="13"/>
                        </w:rPr>
                      </w:r>
                    </w:p>
                  </w:txbxContent>
                </v:textbox>
                <w10:wrap type="none"/>
              </v:shape>
              <v:shape style="position:absolute;left:2990;top:-1305;width:5594;height:136" type="#_x0000_t202" filled="false" stroked="false">
                <v:textbox inset="0,0,0,0">
                  <w:txbxContent>
                    <w:p>
                      <w:pPr>
                        <w:tabs>
                          <w:tab w:pos="3721" w:val="left" w:leader="none"/>
                        </w:tabs>
                        <w:spacing w:line="135" w:lineRule="exact" w:before="0"/>
                        <w:ind w:left="0" w:right="0" w:firstLine="0"/>
                        <w:jc w:val="left"/>
                        <w:rPr>
                          <w:rFonts w:ascii="Segoe UI" w:hAnsi="Segoe UI" w:cs="Segoe UI" w:eastAsia="Segoe UI"/>
                          <w:sz w:val="13"/>
                          <w:szCs w:val="13"/>
                        </w:rPr>
                      </w:pPr>
                      <w:r>
                        <w:rPr>
                          <w:rFonts w:ascii="Segoe UI"/>
                          <w:color w:val="77787B"/>
                          <w:spacing w:val="-1"/>
                          <w:w w:val="105"/>
                          <w:sz w:val="13"/>
                        </w:rPr>
                        <w:t>Aboriginal</w:t>
                      </w:r>
                      <w:r>
                        <w:rPr>
                          <w:rFonts w:ascii="Segoe UI"/>
                          <w:color w:val="77787B"/>
                          <w:spacing w:val="-12"/>
                          <w:w w:val="105"/>
                          <w:sz w:val="13"/>
                        </w:rPr>
                        <w:t> </w:t>
                      </w:r>
                      <w:r>
                        <w:rPr>
                          <w:rFonts w:ascii="Segoe UI"/>
                          <w:color w:val="77787B"/>
                          <w:spacing w:val="-1"/>
                          <w:w w:val="105"/>
                          <w:sz w:val="13"/>
                        </w:rPr>
                        <w:t>and</w:t>
                      </w:r>
                      <w:r>
                        <w:rPr>
                          <w:rFonts w:ascii="Segoe UI"/>
                          <w:color w:val="77787B"/>
                          <w:spacing w:val="-12"/>
                          <w:w w:val="105"/>
                          <w:sz w:val="13"/>
                        </w:rPr>
                        <w:t> </w:t>
                      </w:r>
                      <w:r>
                        <w:rPr>
                          <w:rFonts w:ascii="Segoe UI"/>
                          <w:color w:val="77787B"/>
                          <w:spacing w:val="-1"/>
                          <w:w w:val="105"/>
                          <w:sz w:val="13"/>
                        </w:rPr>
                        <w:t>Torres</w:t>
                      </w:r>
                      <w:r>
                        <w:rPr>
                          <w:rFonts w:ascii="Segoe UI"/>
                          <w:color w:val="77787B"/>
                          <w:spacing w:val="-10"/>
                          <w:w w:val="105"/>
                          <w:sz w:val="13"/>
                        </w:rPr>
                        <w:t> </w:t>
                      </w:r>
                      <w:r>
                        <w:rPr>
                          <w:rFonts w:ascii="Segoe UI"/>
                          <w:color w:val="77787B"/>
                          <w:spacing w:val="-1"/>
                          <w:w w:val="105"/>
                          <w:sz w:val="13"/>
                        </w:rPr>
                        <w:t>Strait</w:t>
                      </w:r>
                      <w:r>
                        <w:rPr>
                          <w:rFonts w:ascii="Segoe UI"/>
                          <w:color w:val="77787B"/>
                          <w:spacing w:val="-11"/>
                          <w:w w:val="105"/>
                          <w:sz w:val="13"/>
                        </w:rPr>
                        <w:t> </w:t>
                      </w:r>
                      <w:r>
                        <w:rPr>
                          <w:rFonts w:ascii="Segoe UI"/>
                          <w:color w:val="77787B"/>
                          <w:spacing w:val="-1"/>
                          <w:w w:val="105"/>
                          <w:sz w:val="13"/>
                        </w:rPr>
                        <w:t>Islander</w:t>
                      </w:r>
                      <w:r>
                        <w:rPr>
                          <w:rFonts w:ascii="Segoe UI"/>
                          <w:color w:val="77787B"/>
                          <w:spacing w:val="-12"/>
                          <w:w w:val="105"/>
                          <w:sz w:val="13"/>
                        </w:rPr>
                        <w:t> </w:t>
                      </w:r>
                      <w:r>
                        <w:rPr>
                          <w:rFonts w:ascii="Segoe UI"/>
                          <w:color w:val="77787B"/>
                          <w:w w:val="105"/>
                          <w:sz w:val="13"/>
                        </w:rPr>
                        <w:t>boarding</w:t>
                      </w:r>
                      <w:r>
                        <w:rPr>
                          <w:rFonts w:ascii="Segoe UI"/>
                          <w:color w:val="77787B"/>
                          <w:spacing w:val="-11"/>
                          <w:w w:val="105"/>
                          <w:sz w:val="13"/>
                        </w:rPr>
                        <w:t> </w:t>
                      </w:r>
                      <w:r>
                        <w:rPr>
                          <w:rFonts w:ascii="Segoe UI"/>
                          <w:color w:val="77787B"/>
                          <w:spacing w:val="-1"/>
                          <w:w w:val="105"/>
                          <w:sz w:val="13"/>
                        </w:rPr>
                        <w:t>providers</w:t>
                        <w:tab/>
                        <w:t>Mainstream</w:t>
                      </w:r>
                      <w:r>
                        <w:rPr>
                          <w:rFonts w:ascii="Segoe UI"/>
                          <w:color w:val="77787B"/>
                          <w:spacing w:val="-19"/>
                          <w:w w:val="105"/>
                          <w:sz w:val="13"/>
                        </w:rPr>
                        <w:t> </w:t>
                      </w:r>
                      <w:r>
                        <w:rPr>
                          <w:rFonts w:ascii="Segoe UI"/>
                          <w:color w:val="77787B"/>
                          <w:spacing w:val="-1"/>
                          <w:w w:val="105"/>
                          <w:sz w:val="13"/>
                        </w:rPr>
                        <w:t>boarding</w:t>
                      </w:r>
                      <w:r>
                        <w:rPr>
                          <w:rFonts w:ascii="Segoe UI"/>
                          <w:color w:val="77787B"/>
                          <w:spacing w:val="-19"/>
                          <w:w w:val="105"/>
                          <w:sz w:val="13"/>
                        </w:rPr>
                        <w:t> </w:t>
                      </w:r>
                      <w:r>
                        <w:rPr>
                          <w:rFonts w:ascii="Segoe UI"/>
                          <w:color w:val="77787B"/>
                          <w:spacing w:val="-1"/>
                          <w:w w:val="105"/>
                          <w:sz w:val="13"/>
                        </w:rPr>
                        <w:t>providers</w:t>
                      </w:r>
                      <w:r>
                        <w:rPr>
                          <w:rFonts w:ascii="Segoe UI"/>
                          <w:sz w:val="13"/>
                        </w:rPr>
                      </w:r>
                    </w:p>
                  </w:txbxContent>
                </v:textbox>
                <w10:wrap type="none"/>
              </v:shape>
            </v:group>
            <w10:wrap type="none"/>
          </v:group>
        </w:pict>
      </w:r>
      <w:r>
        <w:rPr>
          <w:color w:val="67973F"/>
        </w:rPr>
        <w:t>Case</w:t>
      </w:r>
      <w:r>
        <w:rPr>
          <w:color w:val="67973F"/>
          <w:spacing w:val="-1"/>
        </w:rPr>
        <w:t> </w:t>
      </w:r>
      <w:r>
        <w:rPr>
          <w:color w:val="67973F"/>
        </w:rPr>
        <w:t>study</w:t>
      </w:r>
      <w:r>
        <w:rPr>
          <w:color w:val="67973F"/>
          <w:spacing w:val="-2"/>
        </w:rPr>
        <w:t> </w:t>
      </w:r>
      <w:r>
        <w:rPr>
          <w:color w:val="67973F"/>
          <w:spacing w:val="-1"/>
        </w:rPr>
        <w:t>9: </w:t>
      </w:r>
      <w:r>
        <w:rPr>
          <w:color w:val="67973F"/>
        </w:rPr>
        <w:t>The</w:t>
      </w:r>
      <w:r>
        <w:rPr>
          <w:color w:val="67973F"/>
          <w:spacing w:val="-2"/>
        </w:rPr>
        <w:t> </w:t>
      </w:r>
      <w:r>
        <w:rPr>
          <w:color w:val="67973F"/>
        </w:rPr>
        <w:t>cost</w:t>
      </w:r>
      <w:r>
        <w:rPr>
          <w:color w:val="67973F"/>
          <w:spacing w:val="-2"/>
        </w:rPr>
        <w:t> of </w:t>
      </w:r>
      <w:r>
        <w:rPr>
          <w:color w:val="67973F"/>
          <w:spacing w:val="-1"/>
        </w:rPr>
        <w:t>remoteness</w:t>
      </w:r>
      <w:r>
        <w:rPr>
          <w:b w:val="0"/>
        </w:rPr>
      </w:r>
    </w:p>
    <w:p>
      <w:pPr>
        <w:spacing w:line="249" w:lineRule="auto" w:before="118"/>
        <w:ind w:left="137" w:right="404" w:firstLine="0"/>
        <w:jc w:val="left"/>
        <w:rPr>
          <w:rFonts w:ascii="Segoe UI" w:hAnsi="Segoe UI" w:cs="Segoe UI" w:eastAsia="Segoe UI"/>
          <w:sz w:val="19"/>
          <w:szCs w:val="19"/>
        </w:rPr>
      </w:pPr>
      <w:r>
        <w:rPr>
          <w:rFonts w:ascii="Segoe UI" w:hAnsi="Segoe UI" w:cs="Segoe UI" w:eastAsia="Segoe UI"/>
          <w:color w:val="67973F"/>
          <w:sz w:val="19"/>
          <w:szCs w:val="19"/>
        </w:rPr>
        <w:t>One</w:t>
      </w:r>
      <w:r>
        <w:rPr>
          <w:rFonts w:ascii="Segoe UI" w:hAnsi="Segoe UI" w:cs="Segoe UI" w:eastAsia="Segoe UI"/>
          <w:color w:val="67973F"/>
          <w:spacing w:val="-6"/>
          <w:sz w:val="19"/>
          <w:szCs w:val="19"/>
        </w:rPr>
        <w:t> </w:t>
      </w:r>
      <w:r>
        <w:rPr>
          <w:rFonts w:ascii="Segoe UI" w:hAnsi="Segoe UI" w:cs="Segoe UI" w:eastAsia="Segoe UI"/>
          <w:color w:val="67973F"/>
          <w:sz w:val="19"/>
          <w:szCs w:val="19"/>
        </w:rPr>
        <w:t>boarding</w:t>
      </w:r>
      <w:r>
        <w:rPr>
          <w:rFonts w:ascii="Segoe UI" w:hAnsi="Segoe UI" w:cs="Segoe UI" w:eastAsia="Segoe UI"/>
          <w:color w:val="67973F"/>
          <w:spacing w:val="-5"/>
          <w:sz w:val="19"/>
          <w:szCs w:val="19"/>
        </w:rPr>
        <w:t> </w:t>
      </w:r>
      <w:r>
        <w:rPr>
          <w:rFonts w:ascii="Segoe UI" w:hAnsi="Segoe UI" w:cs="Segoe UI" w:eastAsia="Segoe UI"/>
          <w:color w:val="67973F"/>
          <w:sz w:val="19"/>
          <w:szCs w:val="19"/>
        </w:rPr>
        <w:t>provider</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in</w:t>
      </w:r>
      <w:r>
        <w:rPr>
          <w:rFonts w:ascii="Segoe UI" w:hAnsi="Segoe UI" w:cs="Segoe UI" w:eastAsia="Segoe UI"/>
          <w:color w:val="67973F"/>
          <w:spacing w:val="-4"/>
          <w:sz w:val="19"/>
          <w:szCs w:val="19"/>
        </w:rPr>
        <w:t> </w:t>
      </w:r>
      <w:r>
        <w:rPr>
          <w:rFonts w:ascii="Segoe UI" w:hAnsi="Segoe UI" w:cs="Segoe UI" w:eastAsia="Segoe UI"/>
          <w:color w:val="67973F"/>
          <w:sz w:val="19"/>
          <w:szCs w:val="19"/>
        </w:rPr>
        <w:t>a</w:t>
      </w:r>
      <w:r>
        <w:rPr>
          <w:rFonts w:ascii="Segoe UI" w:hAnsi="Segoe UI" w:cs="Segoe UI" w:eastAsia="Segoe UI"/>
          <w:color w:val="67973F"/>
          <w:spacing w:val="-4"/>
          <w:sz w:val="19"/>
          <w:szCs w:val="19"/>
        </w:rPr>
        <w:t> </w:t>
      </w:r>
      <w:r>
        <w:rPr>
          <w:rFonts w:ascii="Segoe UI" w:hAnsi="Segoe UI" w:cs="Segoe UI" w:eastAsia="Segoe UI"/>
          <w:color w:val="67973F"/>
          <w:sz w:val="19"/>
          <w:szCs w:val="19"/>
        </w:rPr>
        <w:t>very</w:t>
      </w:r>
      <w:r>
        <w:rPr>
          <w:rFonts w:ascii="Segoe UI" w:hAnsi="Segoe UI" w:cs="Segoe UI" w:eastAsia="Segoe UI"/>
          <w:color w:val="67973F"/>
          <w:spacing w:val="-4"/>
          <w:sz w:val="19"/>
          <w:szCs w:val="19"/>
        </w:rPr>
        <w:t> </w:t>
      </w:r>
      <w:r>
        <w:rPr>
          <w:rFonts w:ascii="Segoe UI" w:hAnsi="Segoe UI" w:cs="Segoe UI" w:eastAsia="Segoe UI"/>
          <w:color w:val="67973F"/>
          <w:sz w:val="19"/>
          <w:szCs w:val="19"/>
        </w:rPr>
        <w:t>remote</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location</w:t>
      </w:r>
      <w:r>
        <w:rPr>
          <w:rFonts w:ascii="Segoe UI" w:hAnsi="Segoe UI" w:cs="Segoe UI" w:eastAsia="Segoe UI"/>
          <w:color w:val="67973F"/>
          <w:spacing w:val="-4"/>
          <w:sz w:val="19"/>
          <w:szCs w:val="19"/>
        </w:rPr>
        <w:t> </w:t>
      </w:r>
      <w:r>
        <w:rPr>
          <w:rFonts w:ascii="Segoe UI" w:hAnsi="Segoe UI" w:cs="Segoe UI" w:eastAsia="Segoe UI"/>
          <w:color w:val="67973F"/>
          <w:sz w:val="19"/>
          <w:szCs w:val="19"/>
        </w:rPr>
        <w:t>provided</w:t>
      </w:r>
      <w:r>
        <w:rPr>
          <w:rFonts w:ascii="Segoe UI" w:hAnsi="Segoe UI" w:cs="Segoe UI" w:eastAsia="Segoe UI"/>
          <w:color w:val="67973F"/>
          <w:spacing w:val="-5"/>
          <w:sz w:val="19"/>
          <w:szCs w:val="19"/>
        </w:rPr>
        <w:t> </w:t>
      </w:r>
      <w:r>
        <w:rPr>
          <w:rFonts w:ascii="Segoe UI" w:hAnsi="Segoe UI" w:cs="Segoe UI" w:eastAsia="Segoe UI"/>
          <w:color w:val="67973F"/>
          <w:sz w:val="19"/>
          <w:szCs w:val="19"/>
        </w:rPr>
        <w:t>examples</w:t>
      </w:r>
      <w:r>
        <w:rPr>
          <w:rFonts w:ascii="Segoe UI" w:hAnsi="Segoe UI" w:cs="Segoe UI" w:eastAsia="Segoe UI"/>
          <w:color w:val="67973F"/>
          <w:spacing w:val="-6"/>
          <w:sz w:val="19"/>
          <w:szCs w:val="19"/>
        </w:rPr>
        <w:t> </w:t>
      </w:r>
      <w:r>
        <w:rPr>
          <w:rFonts w:ascii="Segoe UI" w:hAnsi="Segoe UI" w:cs="Segoe UI" w:eastAsia="Segoe UI"/>
          <w:color w:val="67973F"/>
          <w:sz w:val="19"/>
          <w:szCs w:val="19"/>
        </w:rPr>
        <w:t>of</w:t>
      </w:r>
      <w:r>
        <w:rPr>
          <w:rFonts w:ascii="Segoe UI" w:hAnsi="Segoe UI" w:cs="Segoe UI" w:eastAsia="Segoe UI"/>
          <w:color w:val="67973F"/>
          <w:spacing w:val="-4"/>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5"/>
          <w:sz w:val="19"/>
          <w:szCs w:val="19"/>
        </w:rPr>
        <w:t> </w:t>
      </w:r>
      <w:r>
        <w:rPr>
          <w:rFonts w:ascii="Segoe UI" w:hAnsi="Segoe UI" w:cs="Segoe UI" w:eastAsia="Segoe UI"/>
          <w:color w:val="67973F"/>
          <w:sz w:val="19"/>
          <w:szCs w:val="19"/>
        </w:rPr>
        <w:t>additional</w:t>
      </w:r>
      <w:r>
        <w:rPr>
          <w:rFonts w:ascii="Segoe UI" w:hAnsi="Segoe UI" w:cs="Segoe UI" w:eastAsia="Segoe UI"/>
          <w:color w:val="67973F"/>
          <w:spacing w:val="-5"/>
          <w:sz w:val="19"/>
          <w:szCs w:val="19"/>
        </w:rPr>
        <w:t> </w:t>
      </w:r>
      <w:r>
        <w:rPr>
          <w:rFonts w:ascii="Segoe UI" w:hAnsi="Segoe UI" w:cs="Segoe UI" w:eastAsia="Segoe UI"/>
          <w:color w:val="67973F"/>
          <w:sz w:val="19"/>
          <w:szCs w:val="19"/>
        </w:rPr>
        <w:t>costs</w:t>
      </w:r>
      <w:r>
        <w:rPr>
          <w:rFonts w:ascii="Segoe UI" w:hAnsi="Segoe UI" w:cs="Segoe UI" w:eastAsia="Segoe UI"/>
          <w:color w:val="67973F"/>
          <w:spacing w:val="-5"/>
          <w:sz w:val="19"/>
          <w:szCs w:val="19"/>
        </w:rPr>
        <w:t> </w:t>
      </w:r>
      <w:r>
        <w:rPr>
          <w:rFonts w:ascii="Segoe UI" w:hAnsi="Segoe UI" w:cs="Segoe UI" w:eastAsia="Segoe UI"/>
          <w:color w:val="67973F"/>
          <w:sz w:val="19"/>
          <w:szCs w:val="19"/>
        </w:rPr>
        <w:t>of</w:t>
      </w:r>
      <w:r>
        <w:rPr>
          <w:rFonts w:ascii="Segoe UI" w:hAnsi="Segoe UI" w:cs="Segoe UI" w:eastAsia="Segoe UI"/>
          <w:color w:val="67973F"/>
          <w:spacing w:val="23"/>
          <w:w w:val="99"/>
          <w:sz w:val="19"/>
          <w:szCs w:val="19"/>
        </w:rPr>
        <w:t> </w:t>
      </w:r>
      <w:r>
        <w:rPr>
          <w:rFonts w:ascii="Segoe UI" w:hAnsi="Segoe UI" w:cs="Segoe UI" w:eastAsia="Segoe UI"/>
          <w:color w:val="67973F"/>
          <w:sz w:val="19"/>
          <w:szCs w:val="19"/>
        </w:rPr>
        <w:t>remoteness.</w:t>
      </w:r>
      <w:r>
        <w:rPr>
          <w:rFonts w:ascii="Segoe UI" w:hAnsi="Segoe UI" w:cs="Segoe UI" w:eastAsia="Segoe UI"/>
          <w:color w:val="67973F"/>
          <w:spacing w:val="-6"/>
          <w:sz w:val="19"/>
          <w:szCs w:val="19"/>
        </w:rPr>
        <w:t> </w:t>
      </w:r>
      <w:r>
        <w:rPr>
          <w:rFonts w:ascii="Segoe UI" w:hAnsi="Segoe UI" w:cs="Segoe UI" w:eastAsia="Segoe UI"/>
          <w:color w:val="67973F"/>
          <w:sz w:val="19"/>
          <w:szCs w:val="19"/>
        </w:rPr>
        <w:t>Over</w:t>
      </w:r>
      <w:r>
        <w:rPr>
          <w:rFonts w:ascii="Segoe UI" w:hAnsi="Segoe UI" w:cs="Segoe UI" w:eastAsia="Segoe UI"/>
          <w:color w:val="67973F"/>
          <w:spacing w:val="-4"/>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4"/>
          <w:sz w:val="19"/>
          <w:szCs w:val="19"/>
        </w:rPr>
        <w:t> </w:t>
      </w:r>
      <w:r>
        <w:rPr>
          <w:rFonts w:ascii="Segoe UI" w:hAnsi="Segoe UI" w:cs="Segoe UI" w:eastAsia="Segoe UI"/>
          <w:color w:val="67973F"/>
          <w:sz w:val="19"/>
          <w:szCs w:val="19"/>
        </w:rPr>
        <w:t>three</w:t>
      </w:r>
      <w:r>
        <w:rPr>
          <w:rFonts w:ascii="Segoe UI" w:hAnsi="Segoe UI" w:cs="Segoe UI" w:eastAsia="Segoe UI"/>
          <w:color w:val="67973F"/>
          <w:spacing w:val="-5"/>
          <w:sz w:val="19"/>
          <w:szCs w:val="19"/>
        </w:rPr>
        <w:t> </w:t>
      </w:r>
      <w:r>
        <w:rPr>
          <w:rFonts w:ascii="Segoe UI" w:hAnsi="Segoe UI" w:cs="Segoe UI" w:eastAsia="Segoe UI"/>
          <w:color w:val="67973F"/>
          <w:sz w:val="19"/>
          <w:szCs w:val="19"/>
        </w:rPr>
        <w:t>year</w:t>
      </w:r>
      <w:r>
        <w:rPr>
          <w:rFonts w:ascii="Segoe UI" w:hAnsi="Segoe UI" w:cs="Segoe UI" w:eastAsia="Segoe UI"/>
          <w:color w:val="67973F"/>
          <w:spacing w:val="-4"/>
          <w:sz w:val="19"/>
          <w:szCs w:val="19"/>
        </w:rPr>
        <w:t> </w:t>
      </w:r>
      <w:r>
        <w:rPr>
          <w:rFonts w:ascii="Segoe UI" w:hAnsi="Segoe UI" w:cs="Segoe UI" w:eastAsia="Segoe UI"/>
          <w:color w:val="67973F"/>
          <w:sz w:val="19"/>
          <w:szCs w:val="19"/>
        </w:rPr>
        <w:t>period</w:t>
      </w:r>
      <w:r>
        <w:rPr>
          <w:rFonts w:ascii="Segoe UI" w:hAnsi="Segoe UI" w:cs="Segoe UI" w:eastAsia="Segoe UI"/>
          <w:color w:val="67973F"/>
          <w:spacing w:val="-4"/>
          <w:sz w:val="19"/>
          <w:szCs w:val="19"/>
        </w:rPr>
        <w:t> </w:t>
      </w:r>
      <w:r>
        <w:rPr>
          <w:rFonts w:ascii="Segoe UI" w:hAnsi="Segoe UI" w:cs="Segoe UI" w:eastAsia="Segoe UI"/>
          <w:color w:val="67973F"/>
          <w:sz w:val="19"/>
          <w:szCs w:val="19"/>
        </w:rPr>
        <w:t>from</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2015</w:t>
      </w:r>
      <w:r>
        <w:rPr>
          <w:rFonts w:ascii="Segoe UI" w:hAnsi="Segoe UI" w:cs="Segoe UI" w:eastAsia="Segoe UI"/>
          <w:color w:val="67973F"/>
          <w:spacing w:val="-3"/>
          <w:sz w:val="19"/>
          <w:szCs w:val="19"/>
        </w:rPr>
        <w:t> </w:t>
      </w:r>
      <w:r>
        <w:rPr>
          <w:rFonts w:ascii="Segoe UI" w:hAnsi="Segoe UI" w:cs="Segoe UI" w:eastAsia="Segoe UI"/>
          <w:color w:val="67973F"/>
          <w:sz w:val="19"/>
          <w:szCs w:val="19"/>
        </w:rPr>
        <w:t>—</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2017</w:t>
      </w:r>
      <w:r>
        <w:rPr>
          <w:rFonts w:ascii="Segoe UI" w:hAnsi="Segoe UI" w:cs="Segoe UI" w:eastAsia="Segoe UI"/>
          <w:color w:val="67973F"/>
          <w:spacing w:val="-4"/>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4"/>
          <w:sz w:val="19"/>
          <w:szCs w:val="19"/>
        </w:rPr>
        <w:t> </w:t>
      </w:r>
      <w:r>
        <w:rPr>
          <w:rFonts w:ascii="Segoe UI" w:hAnsi="Segoe UI" w:cs="Segoe UI" w:eastAsia="Segoe UI"/>
          <w:color w:val="67973F"/>
          <w:sz w:val="19"/>
          <w:szCs w:val="19"/>
        </w:rPr>
        <w:t>provider</w:t>
      </w:r>
      <w:r>
        <w:rPr>
          <w:rFonts w:ascii="Segoe UI" w:hAnsi="Segoe UI" w:cs="Segoe UI" w:eastAsia="Segoe UI"/>
          <w:color w:val="67973F"/>
          <w:spacing w:val="-5"/>
          <w:sz w:val="19"/>
          <w:szCs w:val="19"/>
        </w:rPr>
        <w:t> </w:t>
      </w:r>
      <w:r>
        <w:rPr>
          <w:rFonts w:ascii="Segoe UI" w:hAnsi="Segoe UI" w:cs="Segoe UI" w:eastAsia="Segoe UI"/>
          <w:color w:val="67973F"/>
          <w:sz w:val="19"/>
          <w:szCs w:val="19"/>
        </w:rPr>
        <w:t>paid</w:t>
      </w:r>
      <w:r>
        <w:rPr>
          <w:rFonts w:ascii="Segoe UI" w:hAnsi="Segoe UI" w:cs="Segoe UI" w:eastAsia="Segoe UI"/>
          <w:color w:val="67973F"/>
          <w:spacing w:val="-5"/>
          <w:sz w:val="19"/>
          <w:szCs w:val="19"/>
        </w:rPr>
        <w:t> </w:t>
      </w:r>
      <w:r>
        <w:rPr>
          <w:rFonts w:ascii="Segoe UI" w:hAnsi="Segoe UI" w:cs="Segoe UI" w:eastAsia="Segoe UI"/>
          <w:color w:val="67973F"/>
          <w:sz w:val="19"/>
          <w:szCs w:val="19"/>
        </w:rPr>
        <w:t>an</w:t>
      </w:r>
      <w:r>
        <w:rPr>
          <w:rFonts w:ascii="Segoe UI" w:hAnsi="Segoe UI" w:cs="Segoe UI" w:eastAsia="Segoe UI"/>
          <w:color w:val="67973F"/>
          <w:spacing w:val="-4"/>
          <w:sz w:val="19"/>
          <w:szCs w:val="19"/>
        </w:rPr>
        <w:t> </w:t>
      </w:r>
      <w:r>
        <w:rPr>
          <w:rFonts w:ascii="Segoe UI" w:hAnsi="Segoe UI" w:cs="Segoe UI" w:eastAsia="Segoe UI"/>
          <w:color w:val="67973F"/>
          <w:sz w:val="19"/>
          <w:szCs w:val="19"/>
        </w:rPr>
        <w:t>average</w:t>
      </w:r>
      <w:r>
        <w:rPr>
          <w:rFonts w:ascii="Segoe UI" w:hAnsi="Segoe UI" w:cs="Segoe UI" w:eastAsia="Segoe UI"/>
          <w:color w:val="67973F"/>
          <w:spacing w:val="-5"/>
          <w:sz w:val="19"/>
          <w:szCs w:val="19"/>
        </w:rPr>
        <w:t> </w:t>
      </w:r>
      <w:r>
        <w:rPr>
          <w:rFonts w:ascii="Segoe UI" w:hAnsi="Segoe UI" w:cs="Segoe UI" w:eastAsia="Segoe UI"/>
          <w:color w:val="67973F"/>
          <w:sz w:val="19"/>
          <w:szCs w:val="19"/>
        </w:rPr>
        <w:t>of</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$32,890</w:t>
      </w:r>
      <w:r>
        <w:rPr>
          <w:rFonts w:ascii="Segoe UI" w:hAnsi="Segoe UI" w:cs="Segoe UI" w:eastAsia="Segoe UI"/>
          <w:color w:val="67973F"/>
          <w:spacing w:val="-1"/>
          <w:sz w:val="19"/>
          <w:szCs w:val="19"/>
        </w:rPr>
        <w:t> </w:t>
      </w:r>
      <w:r>
        <w:rPr>
          <w:rFonts w:ascii="Segoe UI" w:hAnsi="Segoe UI" w:cs="Segoe UI" w:eastAsia="Segoe UI"/>
          <w:color w:val="67973F"/>
          <w:spacing w:val="22"/>
          <w:sz w:val="19"/>
          <w:szCs w:val="19"/>
        </w:rPr>
        <w:t> </w:t>
      </w:r>
      <w:r>
        <w:rPr>
          <w:rFonts w:ascii="Segoe UI" w:hAnsi="Segoe UI" w:cs="Segoe UI" w:eastAsia="Segoe UI"/>
          <w:color w:val="67973F"/>
          <w:sz w:val="19"/>
          <w:szCs w:val="19"/>
        </w:rPr>
        <w:t>per</w:t>
      </w:r>
      <w:r>
        <w:rPr>
          <w:rFonts w:ascii="Segoe UI" w:hAnsi="Segoe UI" w:cs="Segoe UI" w:eastAsia="Segoe UI"/>
          <w:color w:val="67973F"/>
          <w:spacing w:val="-5"/>
          <w:sz w:val="19"/>
          <w:szCs w:val="19"/>
        </w:rPr>
        <w:t> </w:t>
      </w:r>
      <w:r>
        <w:rPr>
          <w:rFonts w:ascii="Segoe UI" w:hAnsi="Segoe UI" w:cs="Segoe UI" w:eastAsia="Segoe UI"/>
          <w:color w:val="67973F"/>
          <w:sz w:val="19"/>
          <w:szCs w:val="19"/>
        </w:rPr>
        <w:t>annum</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in</w:t>
      </w:r>
      <w:r>
        <w:rPr>
          <w:rFonts w:ascii="Segoe UI" w:hAnsi="Segoe UI" w:cs="Segoe UI" w:eastAsia="Segoe UI"/>
          <w:color w:val="67973F"/>
          <w:spacing w:val="-4"/>
          <w:sz w:val="19"/>
          <w:szCs w:val="19"/>
        </w:rPr>
        <w:t> </w:t>
      </w:r>
      <w:r>
        <w:rPr>
          <w:rFonts w:ascii="Segoe UI" w:hAnsi="Segoe UI" w:cs="Segoe UI" w:eastAsia="Segoe UI"/>
          <w:color w:val="67973F"/>
          <w:sz w:val="19"/>
          <w:szCs w:val="19"/>
        </w:rPr>
        <w:t>freight</w:t>
      </w:r>
      <w:r>
        <w:rPr>
          <w:rFonts w:ascii="Segoe UI" w:hAnsi="Segoe UI" w:cs="Segoe UI" w:eastAsia="Segoe UI"/>
          <w:color w:val="67973F"/>
          <w:spacing w:val="-4"/>
          <w:sz w:val="19"/>
          <w:szCs w:val="19"/>
        </w:rPr>
        <w:t> </w:t>
      </w:r>
      <w:r>
        <w:rPr>
          <w:rFonts w:ascii="Segoe UI" w:hAnsi="Segoe UI" w:cs="Segoe UI" w:eastAsia="Segoe UI"/>
          <w:color w:val="67973F"/>
          <w:sz w:val="19"/>
          <w:szCs w:val="19"/>
        </w:rPr>
        <w:t>($539</w:t>
      </w:r>
      <w:r>
        <w:rPr>
          <w:rFonts w:ascii="Segoe UI" w:hAnsi="Segoe UI" w:cs="Segoe UI" w:eastAsia="Segoe UI"/>
          <w:color w:val="67973F"/>
          <w:spacing w:val="-5"/>
          <w:sz w:val="19"/>
          <w:szCs w:val="19"/>
        </w:rPr>
        <w:t> </w:t>
      </w:r>
      <w:r>
        <w:rPr>
          <w:rFonts w:ascii="Segoe UI" w:hAnsi="Segoe UI" w:cs="Segoe UI" w:eastAsia="Segoe UI"/>
          <w:color w:val="67973F"/>
          <w:sz w:val="19"/>
          <w:szCs w:val="19"/>
        </w:rPr>
        <w:t>per</w:t>
      </w:r>
      <w:r>
        <w:rPr>
          <w:rFonts w:ascii="Segoe UI" w:hAnsi="Segoe UI" w:cs="Segoe UI" w:eastAsia="Segoe UI"/>
          <w:color w:val="67973F"/>
          <w:spacing w:val="-4"/>
          <w:sz w:val="19"/>
          <w:szCs w:val="19"/>
        </w:rPr>
        <w:t> </w:t>
      </w:r>
      <w:r>
        <w:rPr>
          <w:rFonts w:ascii="Segoe UI" w:hAnsi="Segoe UI" w:cs="Segoe UI" w:eastAsia="Segoe UI"/>
          <w:color w:val="67973F"/>
          <w:sz w:val="19"/>
          <w:szCs w:val="19"/>
        </w:rPr>
        <w:t>boarder).</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Despite</w:t>
      </w:r>
      <w:r>
        <w:rPr>
          <w:rFonts w:ascii="Segoe UI" w:hAnsi="Segoe UI" w:cs="Segoe UI" w:eastAsia="Segoe UI"/>
          <w:color w:val="67973F"/>
          <w:spacing w:val="-4"/>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5"/>
          <w:sz w:val="19"/>
          <w:szCs w:val="19"/>
        </w:rPr>
        <w:t> </w:t>
      </w:r>
      <w:r>
        <w:rPr>
          <w:rFonts w:ascii="Segoe UI" w:hAnsi="Segoe UI" w:cs="Segoe UI" w:eastAsia="Segoe UI"/>
          <w:color w:val="67973F"/>
          <w:sz w:val="19"/>
          <w:szCs w:val="19"/>
        </w:rPr>
        <w:t>higher</w:t>
      </w:r>
      <w:r>
        <w:rPr>
          <w:rFonts w:ascii="Segoe UI" w:hAnsi="Segoe UI" w:cs="Segoe UI" w:eastAsia="Segoe UI"/>
          <w:color w:val="67973F"/>
          <w:spacing w:val="-5"/>
          <w:sz w:val="19"/>
          <w:szCs w:val="19"/>
        </w:rPr>
        <w:t> </w:t>
      </w:r>
      <w:r>
        <w:rPr>
          <w:rFonts w:ascii="Segoe UI" w:hAnsi="Segoe UI" w:cs="Segoe UI" w:eastAsia="Segoe UI"/>
          <w:color w:val="67973F"/>
          <w:sz w:val="19"/>
          <w:szCs w:val="19"/>
        </w:rPr>
        <w:t>costs</w:t>
      </w:r>
      <w:r>
        <w:rPr>
          <w:rFonts w:ascii="Segoe UI" w:hAnsi="Segoe UI" w:cs="Segoe UI" w:eastAsia="Segoe UI"/>
          <w:color w:val="67973F"/>
          <w:spacing w:val="-5"/>
          <w:sz w:val="19"/>
          <w:szCs w:val="19"/>
        </w:rPr>
        <w:t> </w:t>
      </w:r>
      <w:r>
        <w:rPr>
          <w:rFonts w:ascii="Segoe UI" w:hAnsi="Segoe UI" w:cs="Segoe UI" w:eastAsia="Segoe UI"/>
          <w:color w:val="67973F"/>
          <w:sz w:val="19"/>
          <w:szCs w:val="19"/>
        </w:rPr>
        <w:t>associated</w:t>
      </w:r>
      <w:r>
        <w:rPr>
          <w:rFonts w:ascii="Segoe UI" w:hAnsi="Segoe UI" w:cs="Segoe UI" w:eastAsia="Segoe UI"/>
          <w:color w:val="67973F"/>
          <w:spacing w:val="-5"/>
          <w:sz w:val="19"/>
          <w:szCs w:val="19"/>
        </w:rPr>
        <w:t> </w:t>
      </w:r>
      <w:r>
        <w:rPr>
          <w:rFonts w:ascii="Segoe UI" w:hAnsi="Segoe UI" w:cs="Segoe UI" w:eastAsia="Segoe UI"/>
          <w:color w:val="67973F"/>
          <w:sz w:val="19"/>
          <w:szCs w:val="19"/>
        </w:rPr>
        <w:t>with</w:t>
      </w:r>
      <w:r>
        <w:rPr>
          <w:rFonts w:ascii="Segoe UI" w:hAnsi="Segoe UI" w:cs="Segoe UI" w:eastAsia="Segoe UI"/>
          <w:color w:val="67973F"/>
          <w:spacing w:val="-5"/>
          <w:sz w:val="19"/>
          <w:szCs w:val="19"/>
        </w:rPr>
        <w:t> </w:t>
      </w:r>
      <w:r>
        <w:rPr>
          <w:rFonts w:ascii="Segoe UI" w:hAnsi="Segoe UI" w:cs="Segoe UI" w:eastAsia="Segoe UI"/>
          <w:color w:val="67973F"/>
          <w:sz w:val="19"/>
          <w:szCs w:val="19"/>
        </w:rPr>
        <w:t>remoteness,</w:t>
      </w:r>
      <w:r>
        <w:rPr>
          <w:rFonts w:ascii="Segoe UI" w:hAnsi="Segoe UI" w:cs="Segoe UI" w:eastAsia="Segoe UI"/>
          <w:color w:val="67973F"/>
          <w:spacing w:val="-6"/>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23"/>
          <w:w w:val="99"/>
          <w:sz w:val="19"/>
          <w:szCs w:val="19"/>
        </w:rPr>
        <w:t> </w:t>
      </w:r>
      <w:r>
        <w:rPr>
          <w:rFonts w:ascii="Segoe UI" w:hAnsi="Segoe UI" w:cs="Segoe UI" w:eastAsia="Segoe UI"/>
          <w:color w:val="67973F"/>
          <w:sz w:val="19"/>
          <w:szCs w:val="19"/>
        </w:rPr>
        <w:t>provider</w:t>
      </w:r>
      <w:r>
        <w:rPr>
          <w:rFonts w:ascii="Segoe UI" w:hAnsi="Segoe UI" w:cs="Segoe UI" w:eastAsia="Segoe UI"/>
          <w:color w:val="67973F"/>
          <w:spacing w:val="-5"/>
          <w:sz w:val="19"/>
          <w:szCs w:val="19"/>
        </w:rPr>
        <w:t> </w:t>
      </w:r>
      <w:r>
        <w:rPr>
          <w:rFonts w:ascii="Segoe UI" w:hAnsi="Segoe UI" w:cs="Segoe UI" w:eastAsia="Segoe UI"/>
          <w:color w:val="67973F"/>
          <w:sz w:val="19"/>
          <w:szCs w:val="19"/>
        </w:rPr>
        <w:t>has</w:t>
      </w:r>
      <w:r>
        <w:rPr>
          <w:rFonts w:ascii="Segoe UI" w:hAnsi="Segoe UI" w:cs="Segoe UI" w:eastAsia="Segoe UI"/>
          <w:color w:val="67973F"/>
          <w:spacing w:val="-5"/>
          <w:sz w:val="19"/>
          <w:szCs w:val="19"/>
        </w:rPr>
        <w:t> </w:t>
      </w:r>
      <w:r>
        <w:rPr>
          <w:rFonts w:ascii="Segoe UI" w:hAnsi="Segoe UI" w:cs="Segoe UI" w:eastAsia="Segoe UI"/>
          <w:color w:val="67973F"/>
          <w:sz w:val="19"/>
          <w:szCs w:val="19"/>
        </w:rPr>
        <w:t>taken</w:t>
      </w:r>
      <w:r>
        <w:rPr>
          <w:rFonts w:ascii="Segoe UI" w:hAnsi="Segoe UI" w:cs="Segoe UI" w:eastAsia="Segoe UI"/>
          <w:color w:val="67973F"/>
          <w:spacing w:val="-5"/>
          <w:sz w:val="19"/>
          <w:szCs w:val="19"/>
        </w:rPr>
        <w:t> </w:t>
      </w:r>
      <w:r>
        <w:rPr>
          <w:rFonts w:ascii="Segoe UI" w:hAnsi="Segoe UI" w:cs="Segoe UI" w:eastAsia="Segoe UI"/>
          <w:color w:val="67973F"/>
          <w:sz w:val="19"/>
          <w:szCs w:val="19"/>
        </w:rPr>
        <w:t>a</w:t>
      </w:r>
      <w:r>
        <w:rPr>
          <w:rFonts w:ascii="Segoe UI" w:hAnsi="Segoe UI" w:cs="Segoe UI" w:eastAsia="Segoe UI"/>
          <w:color w:val="67973F"/>
          <w:spacing w:val="-4"/>
          <w:sz w:val="19"/>
          <w:szCs w:val="19"/>
        </w:rPr>
        <w:t> </w:t>
      </w:r>
      <w:r>
        <w:rPr>
          <w:rFonts w:ascii="Segoe UI" w:hAnsi="Segoe UI" w:cs="Segoe UI" w:eastAsia="Segoe UI"/>
          <w:color w:val="67973F"/>
          <w:sz w:val="19"/>
          <w:szCs w:val="19"/>
        </w:rPr>
        <w:t>deliberate</w:t>
      </w:r>
      <w:r>
        <w:rPr>
          <w:rFonts w:ascii="Segoe UI" w:hAnsi="Segoe UI" w:cs="Segoe UI" w:eastAsia="Segoe UI"/>
          <w:color w:val="67973F"/>
          <w:spacing w:val="-4"/>
          <w:sz w:val="19"/>
          <w:szCs w:val="19"/>
        </w:rPr>
        <w:t> </w:t>
      </w:r>
      <w:r>
        <w:rPr>
          <w:rFonts w:ascii="Segoe UI" w:hAnsi="Segoe UI" w:cs="Segoe UI" w:eastAsia="Segoe UI"/>
          <w:color w:val="67973F"/>
          <w:sz w:val="19"/>
          <w:szCs w:val="19"/>
        </w:rPr>
        <w:t>approach</w:t>
      </w:r>
      <w:r>
        <w:rPr>
          <w:rFonts w:ascii="Segoe UI" w:hAnsi="Segoe UI" w:cs="Segoe UI" w:eastAsia="Segoe UI"/>
          <w:color w:val="67973F"/>
          <w:spacing w:val="-5"/>
          <w:sz w:val="19"/>
          <w:szCs w:val="19"/>
        </w:rPr>
        <w:t> </w:t>
      </w:r>
      <w:r>
        <w:rPr>
          <w:rFonts w:ascii="Segoe UI" w:hAnsi="Segoe UI" w:cs="Segoe UI" w:eastAsia="Segoe UI"/>
          <w:color w:val="67973F"/>
          <w:sz w:val="19"/>
          <w:szCs w:val="19"/>
        </w:rPr>
        <w:t>to</w:t>
      </w:r>
      <w:r>
        <w:rPr>
          <w:rFonts w:ascii="Segoe UI" w:hAnsi="Segoe UI" w:cs="Segoe UI" w:eastAsia="Segoe UI"/>
          <w:color w:val="67973F"/>
          <w:spacing w:val="-4"/>
          <w:sz w:val="19"/>
          <w:szCs w:val="19"/>
        </w:rPr>
        <w:t> </w:t>
      </w:r>
      <w:r>
        <w:rPr>
          <w:rFonts w:ascii="Segoe UI" w:hAnsi="Segoe UI" w:cs="Segoe UI" w:eastAsia="Segoe UI"/>
          <w:color w:val="67973F"/>
          <w:sz w:val="19"/>
          <w:szCs w:val="19"/>
        </w:rPr>
        <w:t>reduce</w:t>
      </w:r>
      <w:r>
        <w:rPr>
          <w:rFonts w:ascii="Segoe UI" w:hAnsi="Segoe UI" w:cs="Segoe UI" w:eastAsia="Segoe UI"/>
          <w:color w:val="67973F"/>
          <w:spacing w:val="-5"/>
          <w:sz w:val="19"/>
          <w:szCs w:val="19"/>
        </w:rPr>
        <w:t> </w:t>
      </w:r>
      <w:r>
        <w:rPr>
          <w:rFonts w:ascii="Segoe UI" w:hAnsi="Segoe UI" w:cs="Segoe UI" w:eastAsia="Segoe UI"/>
          <w:color w:val="67973F"/>
          <w:sz w:val="19"/>
          <w:szCs w:val="19"/>
        </w:rPr>
        <w:t>costs</w:t>
      </w:r>
      <w:r>
        <w:rPr>
          <w:rFonts w:ascii="Segoe UI" w:hAnsi="Segoe UI" w:cs="Segoe UI" w:eastAsia="Segoe UI"/>
          <w:color w:val="67973F"/>
          <w:spacing w:val="-5"/>
          <w:sz w:val="19"/>
          <w:szCs w:val="19"/>
        </w:rPr>
        <w:t> </w:t>
      </w:r>
      <w:r>
        <w:rPr>
          <w:rFonts w:ascii="Segoe UI" w:hAnsi="Segoe UI" w:cs="Segoe UI" w:eastAsia="Segoe UI"/>
          <w:color w:val="67973F"/>
          <w:sz w:val="19"/>
          <w:szCs w:val="19"/>
        </w:rPr>
        <w:t>to</w:t>
      </w:r>
      <w:r>
        <w:rPr>
          <w:rFonts w:ascii="Segoe UI" w:hAnsi="Segoe UI" w:cs="Segoe UI" w:eastAsia="Segoe UI"/>
          <w:color w:val="67973F"/>
          <w:spacing w:val="-4"/>
          <w:sz w:val="19"/>
          <w:szCs w:val="19"/>
        </w:rPr>
        <w:t> </w:t>
      </w:r>
      <w:r>
        <w:rPr>
          <w:rFonts w:ascii="Segoe UI" w:hAnsi="Segoe UI" w:cs="Segoe UI" w:eastAsia="Segoe UI"/>
          <w:color w:val="67973F"/>
          <w:sz w:val="19"/>
          <w:szCs w:val="19"/>
        </w:rPr>
        <w:t>ensure</w:t>
      </w:r>
      <w:r>
        <w:rPr>
          <w:rFonts w:ascii="Segoe UI" w:hAnsi="Segoe UI" w:cs="Segoe UI" w:eastAsia="Segoe UI"/>
          <w:color w:val="67973F"/>
          <w:spacing w:val="-4"/>
          <w:sz w:val="19"/>
          <w:szCs w:val="19"/>
        </w:rPr>
        <w:t> </w:t>
      </w:r>
      <w:r>
        <w:rPr>
          <w:rFonts w:ascii="Segoe UI" w:hAnsi="Segoe UI" w:cs="Segoe UI" w:eastAsia="Segoe UI"/>
          <w:color w:val="67973F"/>
          <w:sz w:val="19"/>
          <w:szCs w:val="19"/>
        </w:rPr>
        <w:t>their</w:t>
      </w:r>
      <w:r>
        <w:rPr>
          <w:rFonts w:ascii="Segoe UI" w:hAnsi="Segoe UI" w:cs="Segoe UI" w:eastAsia="Segoe UI"/>
          <w:color w:val="67973F"/>
          <w:spacing w:val="-5"/>
          <w:sz w:val="19"/>
          <w:szCs w:val="19"/>
        </w:rPr>
        <w:t> </w:t>
      </w:r>
      <w:r>
        <w:rPr>
          <w:rFonts w:ascii="Segoe UI" w:hAnsi="Segoe UI" w:cs="Segoe UI" w:eastAsia="Segoe UI"/>
          <w:color w:val="67973F"/>
          <w:sz w:val="19"/>
          <w:szCs w:val="19"/>
        </w:rPr>
        <w:t>fees</w:t>
      </w:r>
      <w:r>
        <w:rPr>
          <w:rFonts w:ascii="Segoe UI" w:hAnsi="Segoe UI" w:cs="Segoe UI" w:eastAsia="Segoe UI"/>
          <w:color w:val="67973F"/>
          <w:spacing w:val="-5"/>
          <w:sz w:val="19"/>
          <w:szCs w:val="19"/>
        </w:rPr>
        <w:t> </w:t>
      </w:r>
      <w:r>
        <w:rPr>
          <w:rFonts w:ascii="Segoe UI" w:hAnsi="Segoe UI" w:cs="Segoe UI" w:eastAsia="Segoe UI"/>
          <w:color w:val="67973F"/>
          <w:sz w:val="19"/>
          <w:szCs w:val="19"/>
        </w:rPr>
        <w:t>remain</w:t>
      </w:r>
      <w:r>
        <w:rPr>
          <w:rFonts w:ascii="Segoe UI" w:hAnsi="Segoe UI" w:cs="Segoe UI" w:eastAsia="Segoe UI"/>
          <w:color w:val="67973F"/>
          <w:spacing w:val="-5"/>
          <w:sz w:val="19"/>
          <w:szCs w:val="19"/>
        </w:rPr>
        <w:t> </w:t>
      </w:r>
      <w:r>
        <w:rPr>
          <w:rFonts w:ascii="Segoe UI" w:hAnsi="Segoe UI" w:cs="Segoe UI" w:eastAsia="Segoe UI"/>
          <w:color w:val="67973F"/>
          <w:sz w:val="19"/>
          <w:szCs w:val="19"/>
        </w:rPr>
        <w:t>competitive</w:t>
      </w:r>
      <w:r>
        <w:rPr>
          <w:rFonts w:ascii="Segoe UI" w:hAnsi="Segoe UI" w:cs="Segoe UI" w:eastAsia="Segoe UI"/>
          <w:color w:val="67973F"/>
          <w:spacing w:val="-4"/>
          <w:sz w:val="19"/>
          <w:szCs w:val="19"/>
        </w:rPr>
        <w:t> </w:t>
      </w:r>
      <w:r>
        <w:rPr>
          <w:rFonts w:ascii="Segoe UI" w:hAnsi="Segoe UI" w:cs="Segoe UI" w:eastAsia="Segoe UI"/>
          <w:color w:val="67973F"/>
          <w:sz w:val="19"/>
          <w:szCs w:val="19"/>
        </w:rPr>
        <w:t>with</w:t>
      </w:r>
      <w:r>
        <w:rPr>
          <w:rFonts w:ascii="Segoe UI" w:hAnsi="Segoe UI" w:cs="Segoe UI" w:eastAsia="Segoe UI"/>
          <w:color w:val="67973F"/>
          <w:w w:val="99"/>
          <w:sz w:val="19"/>
          <w:szCs w:val="19"/>
        </w:rPr>
        <w:t> </w:t>
      </w:r>
      <w:r>
        <w:rPr>
          <w:rFonts w:ascii="Segoe UI" w:hAnsi="Segoe UI" w:cs="Segoe UI" w:eastAsia="Segoe UI"/>
          <w:color w:val="67973F"/>
          <w:sz w:val="19"/>
          <w:szCs w:val="19"/>
        </w:rPr>
        <w:t>boarding</w:t>
      </w:r>
      <w:r>
        <w:rPr>
          <w:rFonts w:ascii="Segoe UI" w:hAnsi="Segoe UI" w:cs="Segoe UI" w:eastAsia="Segoe UI"/>
          <w:color w:val="67973F"/>
          <w:spacing w:val="-7"/>
          <w:sz w:val="19"/>
          <w:szCs w:val="19"/>
        </w:rPr>
        <w:t> </w:t>
      </w:r>
      <w:r>
        <w:rPr>
          <w:rFonts w:ascii="Segoe UI" w:hAnsi="Segoe UI" w:cs="Segoe UI" w:eastAsia="Segoe UI"/>
          <w:color w:val="67973F"/>
          <w:sz w:val="19"/>
          <w:szCs w:val="19"/>
        </w:rPr>
        <w:t>providers</w:t>
      </w:r>
      <w:r>
        <w:rPr>
          <w:rFonts w:ascii="Segoe UI" w:hAnsi="Segoe UI" w:cs="Segoe UI" w:eastAsia="Segoe UI"/>
          <w:color w:val="67973F"/>
          <w:spacing w:val="-7"/>
          <w:sz w:val="19"/>
          <w:szCs w:val="19"/>
        </w:rPr>
        <w:t> </w:t>
      </w:r>
      <w:r>
        <w:rPr>
          <w:rFonts w:ascii="Segoe UI" w:hAnsi="Segoe UI" w:cs="Segoe UI" w:eastAsia="Segoe UI"/>
          <w:color w:val="67973F"/>
          <w:spacing w:val="-1"/>
          <w:sz w:val="19"/>
          <w:szCs w:val="19"/>
        </w:rPr>
        <w:t>in</w:t>
      </w:r>
      <w:r>
        <w:rPr>
          <w:rFonts w:ascii="Segoe UI" w:hAnsi="Segoe UI" w:cs="Segoe UI" w:eastAsia="Segoe UI"/>
          <w:color w:val="67973F"/>
          <w:spacing w:val="-5"/>
          <w:sz w:val="19"/>
          <w:szCs w:val="19"/>
        </w:rPr>
        <w:t> </w:t>
      </w:r>
      <w:r>
        <w:rPr>
          <w:rFonts w:ascii="Segoe UI" w:hAnsi="Segoe UI" w:cs="Segoe UI" w:eastAsia="Segoe UI"/>
          <w:color w:val="67973F"/>
          <w:sz w:val="19"/>
          <w:szCs w:val="19"/>
        </w:rPr>
        <w:t>capital</w:t>
      </w:r>
      <w:r>
        <w:rPr>
          <w:rFonts w:ascii="Segoe UI" w:hAnsi="Segoe UI" w:cs="Segoe UI" w:eastAsia="Segoe UI"/>
          <w:color w:val="67973F"/>
          <w:spacing w:val="-7"/>
          <w:sz w:val="19"/>
          <w:szCs w:val="19"/>
        </w:rPr>
        <w:t> </w:t>
      </w:r>
      <w:r>
        <w:rPr>
          <w:rFonts w:ascii="Segoe UI" w:hAnsi="Segoe UI" w:cs="Segoe UI" w:eastAsia="Segoe UI"/>
          <w:color w:val="67973F"/>
          <w:sz w:val="19"/>
          <w:szCs w:val="19"/>
        </w:rPr>
        <w:t>cities</w:t>
      </w:r>
      <w:r>
        <w:rPr>
          <w:rFonts w:ascii="Segoe UI" w:hAnsi="Segoe UI" w:cs="Segoe UI" w:eastAsia="Segoe UI"/>
          <w:color w:val="67973F"/>
          <w:spacing w:val="-7"/>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6"/>
          <w:sz w:val="19"/>
          <w:szCs w:val="19"/>
        </w:rPr>
        <w:t> </w:t>
      </w:r>
      <w:r>
        <w:rPr>
          <w:rFonts w:ascii="Segoe UI" w:hAnsi="Segoe UI" w:cs="Segoe UI" w:eastAsia="Segoe UI"/>
          <w:color w:val="67973F"/>
          <w:sz w:val="19"/>
          <w:szCs w:val="19"/>
        </w:rPr>
        <w:t>regional</w:t>
      </w:r>
      <w:r>
        <w:rPr>
          <w:rFonts w:ascii="Segoe UI" w:hAnsi="Segoe UI" w:cs="Segoe UI" w:eastAsia="Segoe UI"/>
          <w:color w:val="67973F"/>
          <w:spacing w:val="-7"/>
          <w:sz w:val="19"/>
          <w:szCs w:val="19"/>
        </w:rPr>
        <w:t> </w:t>
      </w:r>
      <w:r>
        <w:rPr>
          <w:rFonts w:ascii="Segoe UI" w:hAnsi="Segoe UI" w:cs="Segoe UI" w:eastAsia="Segoe UI"/>
          <w:color w:val="67973F"/>
          <w:sz w:val="19"/>
          <w:szCs w:val="19"/>
        </w:rPr>
        <w:t>centres.</w:t>
      </w:r>
      <w:r>
        <w:rPr>
          <w:rFonts w:ascii="Segoe UI" w:hAnsi="Segoe UI" w:cs="Segoe UI" w:eastAsia="Segoe UI"/>
          <w:color w:val="67973F"/>
          <w:spacing w:val="-6"/>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6"/>
          <w:sz w:val="19"/>
          <w:szCs w:val="19"/>
        </w:rPr>
        <w:t> </w:t>
      </w:r>
      <w:r>
        <w:rPr>
          <w:rFonts w:ascii="Segoe UI" w:hAnsi="Segoe UI" w:cs="Segoe UI" w:eastAsia="Segoe UI"/>
          <w:color w:val="67973F"/>
          <w:sz w:val="19"/>
          <w:szCs w:val="19"/>
        </w:rPr>
        <w:t>provider,</w:t>
      </w:r>
      <w:r>
        <w:rPr>
          <w:rFonts w:ascii="Segoe UI" w:hAnsi="Segoe UI" w:cs="Segoe UI" w:eastAsia="Segoe UI"/>
          <w:color w:val="67973F"/>
          <w:spacing w:val="-7"/>
          <w:sz w:val="19"/>
          <w:szCs w:val="19"/>
        </w:rPr>
        <w:t> </w:t>
      </w:r>
      <w:r>
        <w:rPr>
          <w:rFonts w:ascii="Segoe UI" w:hAnsi="Segoe UI" w:cs="Segoe UI" w:eastAsia="Segoe UI"/>
          <w:color w:val="67973F"/>
          <w:sz w:val="19"/>
          <w:szCs w:val="19"/>
        </w:rPr>
        <w:t>a</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standalone</w:t>
      </w:r>
      <w:r>
        <w:rPr>
          <w:rFonts w:ascii="Segoe UI" w:hAnsi="Segoe UI" w:cs="Segoe UI" w:eastAsia="Segoe UI"/>
          <w:color w:val="67973F"/>
          <w:spacing w:val="-5"/>
          <w:sz w:val="19"/>
          <w:szCs w:val="19"/>
        </w:rPr>
        <w:t> </w:t>
      </w:r>
      <w:r>
        <w:rPr>
          <w:rFonts w:ascii="Segoe UI" w:hAnsi="Segoe UI" w:cs="Segoe UI" w:eastAsia="Segoe UI"/>
          <w:color w:val="67973F"/>
          <w:sz w:val="19"/>
          <w:szCs w:val="19"/>
        </w:rPr>
        <w:t>boarding</w:t>
      </w:r>
      <w:r>
        <w:rPr>
          <w:rFonts w:ascii="Segoe UI" w:hAnsi="Segoe UI" w:cs="Segoe UI" w:eastAsia="Segoe UI"/>
          <w:color w:val="67973F"/>
          <w:spacing w:val="-7"/>
          <w:sz w:val="19"/>
          <w:szCs w:val="19"/>
        </w:rPr>
        <w:t> </w:t>
      </w:r>
      <w:r>
        <w:rPr>
          <w:rFonts w:ascii="Segoe UI" w:hAnsi="Segoe UI" w:cs="Segoe UI" w:eastAsia="Segoe UI"/>
          <w:color w:val="67973F"/>
          <w:sz w:val="19"/>
          <w:szCs w:val="19"/>
        </w:rPr>
        <w:t>provider,</w:t>
      </w:r>
      <w:r>
        <w:rPr>
          <w:rFonts w:ascii="Segoe UI" w:hAnsi="Segoe UI" w:cs="Segoe UI" w:eastAsia="Segoe UI"/>
          <w:color w:val="67973F"/>
          <w:spacing w:val="23"/>
          <w:w w:val="99"/>
          <w:sz w:val="19"/>
          <w:szCs w:val="19"/>
        </w:rPr>
        <w:t> </w:t>
      </w:r>
      <w:r>
        <w:rPr>
          <w:rFonts w:ascii="Segoe UI" w:hAnsi="Segoe UI" w:cs="Segoe UI" w:eastAsia="Segoe UI"/>
          <w:color w:val="67973F"/>
          <w:sz w:val="19"/>
          <w:szCs w:val="19"/>
        </w:rPr>
        <w:t>also</w:t>
      </w:r>
      <w:r>
        <w:rPr>
          <w:rFonts w:ascii="Segoe UI" w:hAnsi="Segoe UI" w:cs="Segoe UI" w:eastAsia="Segoe UI"/>
          <w:color w:val="67973F"/>
          <w:spacing w:val="-7"/>
          <w:sz w:val="19"/>
          <w:szCs w:val="19"/>
        </w:rPr>
        <w:t> </w:t>
      </w:r>
      <w:r>
        <w:rPr>
          <w:rFonts w:ascii="Segoe UI" w:hAnsi="Segoe UI" w:cs="Segoe UI" w:eastAsia="Segoe UI"/>
          <w:color w:val="67973F"/>
          <w:sz w:val="19"/>
          <w:szCs w:val="19"/>
        </w:rPr>
        <w:t>noted</w:t>
      </w:r>
      <w:r>
        <w:rPr>
          <w:rFonts w:ascii="Segoe UI" w:hAnsi="Segoe UI" w:cs="Segoe UI" w:eastAsia="Segoe UI"/>
          <w:color w:val="67973F"/>
          <w:spacing w:val="-7"/>
          <w:sz w:val="19"/>
          <w:szCs w:val="19"/>
        </w:rPr>
        <w:t> </w:t>
      </w:r>
      <w:r>
        <w:rPr>
          <w:rFonts w:ascii="Segoe UI" w:hAnsi="Segoe UI" w:cs="Segoe UI" w:eastAsia="Segoe UI"/>
          <w:color w:val="67973F"/>
          <w:sz w:val="19"/>
          <w:szCs w:val="19"/>
        </w:rPr>
        <w:t>that</w:t>
      </w:r>
      <w:r>
        <w:rPr>
          <w:rFonts w:ascii="Segoe UI" w:hAnsi="Segoe UI" w:cs="Segoe UI" w:eastAsia="Segoe UI"/>
          <w:color w:val="67973F"/>
          <w:spacing w:val="-7"/>
          <w:sz w:val="19"/>
          <w:szCs w:val="19"/>
        </w:rPr>
        <w:t> </w:t>
      </w:r>
      <w:r>
        <w:rPr>
          <w:rFonts w:ascii="Segoe UI" w:hAnsi="Segoe UI" w:cs="Segoe UI" w:eastAsia="Segoe UI"/>
          <w:color w:val="67973F"/>
          <w:sz w:val="19"/>
          <w:szCs w:val="19"/>
        </w:rPr>
        <w:t>while</w:t>
      </w:r>
      <w:r>
        <w:rPr>
          <w:rFonts w:ascii="Segoe UI" w:hAnsi="Segoe UI" w:cs="Segoe UI" w:eastAsia="Segoe UI"/>
          <w:color w:val="67973F"/>
          <w:spacing w:val="-6"/>
          <w:sz w:val="19"/>
          <w:szCs w:val="19"/>
        </w:rPr>
        <w:t> </w:t>
      </w:r>
      <w:r>
        <w:rPr>
          <w:rFonts w:ascii="Segoe UI" w:hAnsi="Segoe UI" w:cs="Segoe UI" w:eastAsia="Segoe UI"/>
          <w:color w:val="67973F"/>
          <w:spacing w:val="-1"/>
          <w:sz w:val="19"/>
          <w:szCs w:val="19"/>
        </w:rPr>
        <w:t>Commonwealth</w:t>
      </w:r>
      <w:r>
        <w:rPr>
          <w:rFonts w:ascii="Segoe UI" w:hAnsi="Segoe UI" w:cs="Segoe UI" w:eastAsia="Segoe UI"/>
          <w:color w:val="67973F"/>
          <w:spacing w:val="-6"/>
          <w:sz w:val="19"/>
          <w:szCs w:val="19"/>
        </w:rPr>
        <w:t> </w:t>
      </w:r>
      <w:r>
        <w:rPr>
          <w:rFonts w:ascii="Segoe UI" w:hAnsi="Segoe UI" w:cs="Segoe UI" w:eastAsia="Segoe UI"/>
          <w:color w:val="67973F"/>
          <w:sz w:val="19"/>
          <w:szCs w:val="19"/>
        </w:rPr>
        <w:t>recurrent</w:t>
      </w:r>
      <w:r>
        <w:rPr>
          <w:rFonts w:ascii="Segoe UI" w:hAnsi="Segoe UI" w:cs="Segoe UI" w:eastAsia="Segoe UI"/>
          <w:color w:val="67973F"/>
          <w:spacing w:val="-7"/>
          <w:sz w:val="19"/>
          <w:szCs w:val="19"/>
        </w:rPr>
        <w:t> </w:t>
      </w:r>
      <w:r>
        <w:rPr>
          <w:rFonts w:ascii="Segoe UI" w:hAnsi="Segoe UI" w:cs="Segoe UI" w:eastAsia="Segoe UI"/>
          <w:color w:val="67973F"/>
          <w:sz w:val="19"/>
          <w:szCs w:val="19"/>
        </w:rPr>
        <w:t>funding</w:t>
      </w:r>
      <w:r>
        <w:rPr>
          <w:rFonts w:ascii="Segoe UI" w:hAnsi="Segoe UI" w:cs="Segoe UI" w:eastAsia="Segoe UI"/>
          <w:color w:val="67973F"/>
          <w:spacing w:val="-6"/>
          <w:sz w:val="19"/>
          <w:szCs w:val="19"/>
        </w:rPr>
        <w:t> </w:t>
      </w:r>
      <w:r>
        <w:rPr>
          <w:rFonts w:ascii="Segoe UI" w:hAnsi="Segoe UI" w:cs="Segoe UI" w:eastAsia="Segoe UI"/>
          <w:color w:val="67973F"/>
          <w:sz w:val="19"/>
          <w:szCs w:val="19"/>
        </w:rPr>
        <w:t>for</w:t>
      </w:r>
      <w:r>
        <w:rPr>
          <w:rFonts w:ascii="Segoe UI" w:hAnsi="Segoe UI" w:cs="Segoe UI" w:eastAsia="Segoe UI"/>
          <w:color w:val="67973F"/>
          <w:spacing w:val="-5"/>
          <w:sz w:val="19"/>
          <w:szCs w:val="19"/>
        </w:rPr>
        <w:t> </w:t>
      </w:r>
      <w:r>
        <w:rPr>
          <w:rFonts w:ascii="Segoe UI" w:hAnsi="Segoe UI" w:cs="Segoe UI" w:eastAsia="Segoe UI"/>
          <w:color w:val="67973F"/>
          <w:sz w:val="19"/>
          <w:szCs w:val="19"/>
        </w:rPr>
        <w:t>tuition</w:t>
      </w:r>
      <w:r>
        <w:rPr>
          <w:rFonts w:ascii="Segoe UI" w:hAnsi="Segoe UI" w:cs="Segoe UI" w:eastAsia="Segoe UI"/>
          <w:color w:val="67973F"/>
          <w:spacing w:val="-7"/>
          <w:sz w:val="19"/>
          <w:szCs w:val="19"/>
        </w:rPr>
        <w:t> </w:t>
      </w:r>
      <w:r>
        <w:rPr>
          <w:rFonts w:ascii="Segoe UI" w:hAnsi="Segoe UI" w:cs="Segoe UI" w:eastAsia="Segoe UI"/>
          <w:color w:val="67973F"/>
          <w:sz w:val="19"/>
          <w:szCs w:val="19"/>
        </w:rPr>
        <w:t>received</w:t>
      </w:r>
      <w:r>
        <w:rPr>
          <w:rFonts w:ascii="Segoe UI" w:hAnsi="Segoe UI" w:cs="Segoe UI" w:eastAsia="Segoe UI"/>
          <w:color w:val="67973F"/>
          <w:spacing w:val="-7"/>
          <w:sz w:val="19"/>
          <w:szCs w:val="19"/>
        </w:rPr>
        <w:t> </w:t>
      </w:r>
      <w:r>
        <w:rPr>
          <w:rFonts w:ascii="Segoe UI" w:hAnsi="Segoe UI" w:cs="Segoe UI" w:eastAsia="Segoe UI"/>
          <w:color w:val="67973F"/>
          <w:sz w:val="19"/>
          <w:szCs w:val="19"/>
        </w:rPr>
        <w:t>a</w:t>
      </w:r>
      <w:r>
        <w:rPr>
          <w:rFonts w:ascii="Segoe UI" w:hAnsi="Segoe UI" w:cs="Segoe UI" w:eastAsia="Segoe UI"/>
          <w:color w:val="67973F"/>
          <w:spacing w:val="-6"/>
          <w:sz w:val="19"/>
          <w:szCs w:val="19"/>
        </w:rPr>
        <w:t> </w:t>
      </w:r>
      <w:r>
        <w:rPr>
          <w:rFonts w:ascii="Segoe UI" w:hAnsi="Segoe UI" w:cs="Segoe UI" w:eastAsia="Segoe UI"/>
          <w:color w:val="67973F"/>
          <w:spacing w:val="-1"/>
          <w:sz w:val="19"/>
          <w:szCs w:val="19"/>
        </w:rPr>
        <w:t>loading</w:t>
      </w:r>
      <w:r>
        <w:rPr>
          <w:rFonts w:ascii="Segoe UI" w:hAnsi="Segoe UI" w:cs="Segoe UI" w:eastAsia="Segoe UI"/>
          <w:color w:val="67973F"/>
          <w:spacing w:val="-5"/>
          <w:sz w:val="19"/>
          <w:szCs w:val="19"/>
        </w:rPr>
        <w:t> </w:t>
      </w:r>
      <w:r>
        <w:rPr>
          <w:rFonts w:ascii="Segoe UI" w:hAnsi="Segoe UI" w:cs="Segoe UI" w:eastAsia="Segoe UI"/>
          <w:color w:val="67973F"/>
          <w:sz w:val="19"/>
          <w:szCs w:val="19"/>
        </w:rPr>
        <w:t>for</w:t>
      </w:r>
      <w:r>
        <w:rPr>
          <w:rFonts w:ascii="Segoe UI" w:hAnsi="Segoe UI" w:cs="Segoe UI" w:eastAsia="Segoe UI"/>
          <w:color w:val="67973F"/>
          <w:spacing w:val="-6"/>
          <w:sz w:val="19"/>
          <w:szCs w:val="19"/>
        </w:rPr>
        <w:t> </w:t>
      </w:r>
      <w:r>
        <w:rPr>
          <w:rFonts w:ascii="Segoe UI" w:hAnsi="Segoe UI" w:cs="Segoe UI" w:eastAsia="Segoe UI"/>
          <w:color w:val="67973F"/>
          <w:sz w:val="19"/>
          <w:szCs w:val="19"/>
        </w:rPr>
        <w:t>remoteness,</w:t>
      </w:r>
      <w:r>
        <w:rPr>
          <w:rFonts w:ascii="Segoe UI" w:hAnsi="Segoe UI" w:cs="Segoe UI" w:eastAsia="Segoe UI"/>
          <w:color w:val="67973F"/>
          <w:spacing w:val="23"/>
          <w:w w:val="99"/>
          <w:sz w:val="19"/>
          <w:szCs w:val="19"/>
        </w:rPr>
        <w:t> </w:t>
      </w:r>
      <w:r>
        <w:rPr>
          <w:rFonts w:ascii="Segoe UI" w:hAnsi="Segoe UI" w:cs="Segoe UI" w:eastAsia="Segoe UI"/>
          <w:color w:val="67973F"/>
          <w:sz w:val="19"/>
          <w:szCs w:val="19"/>
        </w:rPr>
        <w:t>ABSTUDY</w:t>
      </w:r>
      <w:r>
        <w:rPr>
          <w:rFonts w:ascii="Segoe UI" w:hAnsi="Segoe UI" w:cs="Segoe UI" w:eastAsia="Segoe UI"/>
          <w:color w:val="67973F"/>
          <w:spacing w:val="-5"/>
          <w:sz w:val="19"/>
          <w:szCs w:val="19"/>
        </w:rPr>
        <w:t> </w:t>
      </w:r>
      <w:r>
        <w:rPr>
          <w:rFonts w:ascii="Segoe UI" w:hAnsi="Segoe UI" w:cs="Segoe UI" w:eastAsia="Segoe UI"/>
          <w:color w:val="67973F"/>
          <w:sz w:val="19"/>
          <w:szCs w:val="19"/>
        </w:rPr>
        <w:t>did</w:t>
      </w:r>
      <w:r>
        <w:rPr>
          <w:rFonts w:ascii="Segoe UI" w:hAnsi="Segoe UI" w:cs="Segoe UI" w:eastAsia="Segoe UI"/>
          <w:color w:val="67973F"/>
          <w:spacing w:val="-4"/>
          <w:sz w:val="19"/>
          <w:szCs w:val="19"/>
        </w:rPr>
        <w:t> </w:t>
      </w:r>
      <w:r>
        <w:rPr>
          <w:rFonts w:ascii="Segoe UI" w:hAnsi="Segoe UI" w:cs="Segoe UI" w:eastAsia="Segoe UI"/>
          <w:color w:val="67973F"/>
          <w:sz w:val="19"/>
          <w:szCs w:val="19"/>
        </w:rPr>
        <w:t>not</w:t>
      </w:r>
      <w:r>
        <w:rPr>
          <w:rFonts w:ascii="Segoe UI" w:hAnsi="Segoe UI" w:cs="Segoe UI" w:eastAsia="Segoe UI"/>
          <w:color w:val="67973F"/>
          <w:spacing w:val="-3"/>
          <w:sz w:val="19"/>
          <w:szCs w:val="19"/>
        </w:rPr>
        <w:t> </w:t>
      </w:r>
      <w:r>
        <w:rPr>
          <w:rFonts w:ascii="Segoe UI" w:hAnsi="Segoe UI" w:cs="Segoe UI" w:eastAsia="Segoe UI"/>
          <w:color w:val="67973F"/>
          <w:sz w:val="19"/>
          <w:szCs w:val="19"/>
        </w:rPr>
        <w:t>attract</w:t>
      </w:r>
      <w:r>
        <w:rPr>
          <w:rFonts w:ascii="Segoe UI" w:hAnsi="Segoe UI" w:cs="Segoe UI" w:eastAsia="Segoe UI"/>
          <w:color w:val="67973F"/>
          <w:spacing w:val="-4"/>
          <w:sz w:val="19"/>
          <w:szCs w:val="19"/>
        </w:rPr>
        <w:t> </w:t>
      </w:r>
      <w:r>
        <w:rPr>
          <w:rFonts w:ascii="Segoe UI" w:hAnsi="Segoe UI" w:cs="Segoe UI" w:eastAsia="Segoe UI"/>
          <w:color w:val="67973F"/>
          <w:sz w:val="19"/>
          <w:szCs w:val="19"/>
        </w:rPr>
        <w:t>a</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similar</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loading</w:t>
      </w:r>
      <w:r>
        <w:rPr>
          <w:rFonts w:ascii="Segoe UI" w:hAnsi="Segoe UI" w:cs="Segoe UI" w:eastAsia="Segoe UI"/>
          <w:color w:val="67973F"/>
          <w:spacing w:val="-3"/>
          <w:sz w:val="19"/>
          <w:szCs w:val="19"/>
        </w:rPr>
        <w:t> </w:t>
      </w:r>
      <w:r>
        <w:rPr>
          <w:rFonts w:ascii="Segoe UI" w:hAnsi="Segoe UI" w:cs="Segoe UI" w:eastAsia="Segoe UI"/>
          <w:color w:val="67973F"/>
          <w:sz w:val="19"/>
          <w:szCs w:val="19"/>
        </w:rPr>
        <w:t>to</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meet</w:t>
      </w:r>
      <w:r>
        <w:rPr>
          <w:rFonts w:ascii="Segoe UI" w:hAnsi="Segoe UI" w:cs="Segoe UI" w:eastAsia="Segoe UI"/>
          <w:color w:val="67973F"/>
          <w:spacing w:val="-4"/>
          <w:sz w:val="19"/>
          <w:szCs w:val="19"/>
        </w:rPr>
        <w:t> </w:t>
      </w:r>
      <w:r>
        <w:rPr>
          <w:rFonts w:ascii="Segoe UI" w:hAnsi="Segoe UI" w:cs="Segoe UI" w:eastAsia="Segoe UI"/>
          <w:color w:val="67973F"/>
          <w:sz w:val="19"/>
          <w:szCs w:val="19"/>
        </w:rPr>
        <w:t>higher</w:t>
      </w:r>
      <w:r>
        <w:rPr>
          <w:rFonts w:ascii="Segoe UI" w:hAnsi="Segoe UI" w:cs="Segoe UI" w:eastAsia="Segoe UI"/>
          <w:color w:val="67973F"/>
          <w:spacing w:val="-4"/>
          <w:sz w:val="19"/>
          <w:szCs w:val="19"/>
        </w:rPr>
        <w:t> </w:t>
      </w:r>
      <w:r>
        <w:rPr>
          <w:rFonts w:ascii="Segoe UI" w:hAnsi="Segoe UI" w:cs="Segoe UI" w:eastAsia="Segoe UI"/>
          <w:color w:val="67973F"/>
          <w:sz w:val="19"/>
          <w:szCs w:val="19"/>
        </w:rPr>
        <w:t>boarding</w:t>
      </w:r>
      <w:r>
        <w:rPr>
          <w:rFonts w:ascii="Segoe UI" w:hAnsi="Segoe UI" w:cs="Segoe UI" w:eastAsia="Segoe UI"/>
          <w:color w:val="67973F"/>
          <w:spacing w:val="-4"/>
          <w:sz w:val="19"/>
          <w:szCs w:val="19"/>
        </w:rPr>
        <w:t> </w:t>
      </w:r>
      <w:r>
        <w:rPr>
          <w:rFonts w:ascii="Segoe UI" w:hAnsi="Segoe UI" w:cs="Segoe UI" w:eastAsia="Segoe UI"/>
          <w:color w:val="67973F"/>
          <w:sz w:val="19"/>
          <w:szCs w:val="19"/>
        </w:rPr>
        <w:t>fees</w:t>
      </w:r>
      <w:r>
        <w:rPr>
          <w:rFonts w:ascii="Segoe UI" w:hAnsi="Segoe UI" w:cs="Segoe UI" w:eastAsia="Segoe UI"/>
          <w:color w:val="67973F"/>
          <w:spacing w:val="-4"/>
          <w:sz w:val="19"/>
          <w:szCs w:val="19"/>
        </w:rPr>
        <w:t> </w:t>
      </w:r>
      <w:r>
        <w:rPr>
          <w:rFonts w:ascii="Segoe UI" w:hAnsi="Segoe UI" w:cs="Segoe UI" w:eastAsia="Segoe UI"/>
          <w:color w:val="67973F"/>
          <w:sz w:val="19"/>
          <w:szCs w:val="19"/>
        </w:rPr>
        <w:t>at</w:t>
      </w:r>
      <w:r>
        <w:rPr>
          <w:rFonts w:ascii="Segoe UI" w:hAnsi="Segoe UI" w:cs="Segoe UI" w:eastAsia="Segoe UI"/>
          <w:color w:val="67973F"/>
          <w:spacing w:val="-3"/>
          <w:sz w:val="19"/>
          <w:szCs w:val="19"/>
        </w:rPr>
        <w:t> </w:t>
      </w:r>
      <w:r>
        <w:rPr>
          <w:rFonts w:ascii="Segoe UI" w:hAnsi="Segoe UI" w:cs="Segoe UI" w:eastAsia="Segoe UI"/>
          <w:color w:val="67973F"/>
          <w:sz w:val="19"/>
          <w:szCs w:val="19"/>
        </w:rPr>
        <w:t>a</w:t>
      </w:r>
      <w:r>
        <w:rPr>
          <w:rFonts w:ascii="Segoe UI" w:hAnsi="Segoe UI" w:cs="Segoe UI" w:eastAsia="Segoe UI"/>
          <w:color w:val="67973F"/>
          <w:spacing w:val="-3"/>
          <w:sz w:val="19"/>
          <w:szCs w:val="19"/>
        </w:rPr>
        <w:t> </w:t>
      </w:r>
      <w:r>
        <w:rPr>
          <w:rFonts w:ascii="Segoe UI" w:hAnsi="Segoe UI" w:cs="Segoe UI" w:eastAsia="Segoe UI"/>
          <w:color w:val="67973F"/>
          <w:sz w:val="19"/>
          <w:szCs w:val="19"/>
        </w:rPr>
        <w:t>remote</w:t>
      </w:r>
      <w:r>
        <w:rPr>
          <w:rFonts w:ascii="Segoe UI" w:hAnsi="Segoe UI" w:cs="Segoe UI" w:eastAsia="Segoe UI"/>
          <w:color w:val="67973F"/>
          <w:spacing w:val="-4"/>
          <w:sz w:val="19"/>
          <w:szCs w:val="19"/>
        </w:rPr>
        <w:t> </w:t>
      </w:r>
      <w:r>
        <w:rPr>
          <w:rFonts w:ascii="Segoe UI" w:hAnsi="Segoe UI" w:cs="Segoe UI" w:eastAsia="Segoe UI"/>
          <w:color w:val="67973F"/>
          <w:sz w:val="19"/>
          <w:szCs w:val="19"/>
        </w:rPr>
        <w:t>or</w:t>
      </w:r>
      <w:r>
        <w:rPr>
          <w:rFonts w:ascii="Segoe UI" w:hAnsi="Segoe UI" w:cs="Segoe UI" w:eastAsia="Segoe UI"/>
          <w:color w:val="67973F"/>
          <w:spacing w:val="-3"/>
          <w:sz w:val="19"/>
          <w:szCs w:val="19"/>
        </w:rPr>
        <w:t> </w:t>
      </w:r>
      <w:r>
        <w:rPr>
          <w:rFonts w:ascii="Segoe UI" w:hAnsi="Segoe UI" w:cs="Segoe UI" w:eastAsia="Segoe UI"/>
          <w:color w:val="67973F"/>
          <w:sz w:val="19"/>
          <w:szCs w:val="19"/>
        </w:rPr>
        <w:t>very</w:t>
      </w:r>
      <w:r>
        <w:rPr>
          <w:rFonts w:ascii="Segoe UI" w:hAnsi="Segoe UI" w:cs="Segoe UI" w:eastAsia="Segoe UI"/>
          <w:color w:val="67973F"/>
          <w:spacing w:val="-3"/>
          <w:sz w:val="19"/>
          <w:szCs w:val="19"/>
        </w:rPr>
        <w:t> </w:t>
      </w:r>
      <w:r>
        <w:rPr>
          <w:rFonts w:ascii="Segoe UI" w:hAnsi="Segoe UI" w:cs="Segoe UI" w:eastAsia="Segoe UI"/>
          <w:color w:val="67973F"/>
          <w:sz w:val="19"/>
          <w:szCs w:val="19"/>
        </w:rPr>
        <w:t>remote</w:t>
      </w:r>
      <w:r>
        <w:rPr>
          <w:rFonts w:ascii="Segoe UI" w:hAnsi="Segoe UI" w:cs="Segoe UI" w:eastAsia="Segoe UI"/>
          <w:color w:val="67973F"/>
          <w:spacing w:val="24"/>
          <w:w w:val="99"/>
          <w:sz w:val="19"/>
          <w:szCs w:val="19"/>
        </w:rPr>
        <w:t> </w:t>
      </w:r>
      <w:r>
        <w:rPr>
          <w:rFonts w:ascii="Segoe UI" w:hAnsi="Segoe UI" w:cs="Segoe UI" w:eastAsia="Segoe UI"/>
          <w:color w:val="67973F"/>
          <w:sz w:val="19"/>
          <w:szCs w:val="19"/>
        </w:rPr>
        <w:t>provider.</w:t>
      </w:r>
      <w:r>
        <w:rPr>
          <w:rFonts w:ascii="Segoe UI" w:hAnsi="Segoe UI" w:cs="Segoe UI" w:eastAsia="Segoe UI"/>
          <w:color w:val="67973F"/>
          <w:spacing w:val="-5"/>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maximum</w:t>
      </w:r>
      <w:r>
        <w:rPr>
          <w:rFonts w:ascii="Segoe UI" w:hAnsi="Segoe UI" w:cs="Segoe UI" w:eastAsia="Segoe UI"/>
          <w:color w:val="67973F"/>
          <w:spacing w:val="-4"/>
          <w:sz w:val="19"/>
          <w:szCs w:val="19"/>
        </w:rPr>
        <w:t> </w:t>
      </w:r>
      <w:r>
        <w:rPr>
          <w:rFonts w:ascii="Segoe UI" w:hAnsi="Segoe UI" w:cs="Segoe UI" w:eastAsia="Segoe UI"/>
          <w:color w:val="67973F"/>
          <w:sz w:val="19"/>
          <w:szCs w:val="19"/>
        </w:rPr>
        <w:t>ABSTUDY</w:t>
      </w:r>
      <w:r>
        <w:rPr>
          <w:rFonts w:ascii="Segoe UI" w:hAnsi="Segoe UI" w:cs="Segoe UI" w:eastAsia="Segoe UI"/>
          <w:color w:val="67973F"/>
          <w:spacing w:val="-4"/>
          <w:sz w:val="19"/>
          <w:szCs w:val="19"/>
        </w:rPr>
        <w:t> </w:t>
      </w:r>
      <w:r>
        <w:rPr>
          <w:rFonts w:ascii="Segoe UI" w:hAnsi="Segoe UI" w:cs="Segoe UI" w:eastAsia="Segoe UI"/>
          <w:color w:val="67973F"/>
          <w:sz w:val="19"/>
          <w:szCs w:val="19"/>
        </w:rPr>
        <w:t>entitlement</w:t>
      </w:r>
      <w:r>
        <w:rPr>
          <w:rFonts w:ascii="Segoe UI" w:hAnsi="Segoe UI" w:cs="Segoe UI" w:eastAsia="Segoe UI"/>
          <w:color w:val="67973F"/>
          <w:spacing w:val="-4"/>
          <w:sz w:val="19"/>
          <w:szCs w:val="19"/>
        </w:rPr>
        <w:t> </w:t>
      </w:r>
      <w:r>
        <w:rPr>
          <w:rFonts w:ascii="Segoe UI" w:hAnsi="Segoe UI" w:cs="Segoe UI" w:eastAsia="Segoe UI"/>
          <w:color w:val="67973F"/>
          <w:sz w:val="19"/>
          <w:szCs w:val="19"/>
        </w:rPr>
        <w:t>to</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meet</w:t>
      </w:r>
      <w:r>
        <w:rPr>
          <w:rFonts w:ascii="Segoe UI" w:hAnsi="Segoe UI" w:cs="Segoe UI" w:eastAsia="Segoe UI"/>
          <w:color w:val="67973F"/>
          <w:spacing w:val="-3"/>
          <w:sz w:val="19"/>
          <w:szCs w:val="19"/>
        </w:rPr>
        <w:t> </w:t>
      </w:r>
      <w:r>
        <w:rPr>
          <w:rFonts w:ascii="Segoe UI" w:hAnsi="Segoe UI" w:cs="Segoe UI" w:eastAsia="Segoe UI"/>
          <w:color w:val="67973F"/>
          <w:sz w:val="19"/>
          <w:szCs w:val="19"/>
        </w:rPr>
        <w:t>boarding</w:t>
      </w:r>
      <w:r>
        <w:rPr>
          <w:rFonts w:ascii="Segoe UI" w:hAnsi="Segoe UI" w:cs="Segoe UI" w:eastAsia="Segoe UI"/>
          <w:color w:val="67973F"/>
          <w:spacing w:val="-5"/>
          <w:sz w:val="19"/>
          <w:szCs w:val="19"/>
        </w:rPr>
        <w:t> </w:t>
      </w:r>
      <w:r>
        <w:rPr>
          <w:rFonts w:ascii="Segoe UI" w:hAnsi="Segoe UI" w:cs="Segoe UI" w:eastAsia="Segoe UI"/>
          <w:color w:val="67973F"/>
          <w:sz w:val="19"/>
          <w:szCs w:val="19"/>
        </w:rPr>
        <w:t>fees</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is</w:t>
      </w:r>
      <w:r>
        <w:rPr>
          <w:rFonts w:ascii="Segoe UI" w:hAnsi="Segoe UI" w:cs="Segoe UI" w:eastAsia="Segoe UI"/>
          <w:color w:val="67973F"/>
          <w:spacing w:val="-4"/>
          <w:sz w:val="19"/>
          <w:szCs w:val="19"/>
        </w:rPr>
        <w:t> </w:t>
      </w:r>
      <w:r>
        <w:rPr>
          <w:rFonts w:ascii="Segoe UI" w:hAnsi="Segoe UI" w:cs="Segoe UI" w:eastAsia="Segoe UI"/>
          <w:color w:val="67973F"/>
          <w:sz w:val="19"/>
          <w:szCs w:val="19"/>
        </w:rPr>
        <w:t>currently</w:t>
      </w:r>
      <w:r>
        <w:rPr>
          <w:rFonts w:ascii="Segoe UI" w:hAnsi="Segoe UI" w:cs="Segoe UI" w:eastAsia="Segoe UI"/>
          <w:color w:val="67973F"/>
          <w:spacing w:val="-5"/>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same</w:t>
      </w:r>
      <w:r>
        <w:rPr>
          <w:rFonts w:ascii="Segoe UI" w:hAnsi="Segoe UI" w:cs="Segoe UI" w:eastAsia="Segoe UI"/>
          <w:color w:val="67973F"/>
          <w:spacing w:val="-4"/>
          <w:sz w:val="19"/>
          <w:szCs w:val="19"/>
        </w:rPr>
        <w:t> </w:t>
      </w:r>
      <w:r>
        <w:rPr>
          <w:rFonts w:ascii="Segoe UI" w:hAnsi="Segoe UI" w:cs="Segoe UI" w:eastAsia="Segoe UI"/>
          <w:color w:val="67973F"/>
          <w:sz w:val="19"/>
          <w:szCs w:val="19"/>
        </w:rPr>
        <w:t>whether</w:t>
      </w:r>
      <w:r>
        <w:rPr>
          <w:rFonts w:ascii="Segoe UI" w:hAnsi="Segoe UI" w:cs="Segoe UI" w:eastAsia="Segoe UI"/>
          <w:color w:val="67973F"/>
          <w:spacing w:val="-4"/>
          <w:sz w:val="19"/>
          <w:szCs w:val="19"/>
        </w:rPr>
        <w:t> </w:t>
      </w:r>
      <w:r>
        <w:rPr>
          <w:rFonts w:ascii="Segoe UI" w:hAnsi="Segoe UI" w:cs="Segoe UI" w:eastAsia="Segoe UI"/>
          <w:color w:val="67973F"/>
          <w:sz w:val="19"/>
          <w:szCs w:val="19"/>
        </w:rPr>
        <w:t>a</w:t>
      </w:r>
      <w:r>
        <w:rPr>
          <w:rFonts w:ascii="Segoe UI" w:hAnsi="Segoe UI" w:cs="Segoe UI" w:eastAsia="Segoe UI"/>
          <w:color w:val="67973F"/>
          <w:spacing w:val="25"/>
          <w:w w:val="99"/>
          <w:sz w:val="19"/>
          <w:szCs w:val="19"/>
        </w:rPr>
        <w:t> </w:t>
      </w:r>
      <w:r>
        <w:rPr>
          <w:rFonts w:ascii="Segoe UI" w:hAnsi="Segoe UI" w:cs="Segoe UI" w:eastAsia="Segoe UI"/>
          <w:color w:val="67973F"/>
          <w:spacing w:val="-1"/>
          <w:sz w:val="19"/>
          <w:szCs w:val="19"/>
        </w:rPr>
        <w:t>student</w:t>
      </w:r>
      <w:r>
        <w:rPr>
          <w:rFonts w:ascii="Segoe UI" w:hAnsi="Segoe UI" w:cs="Segoe UI" w:eastAsia="Segoe UI"/>
          <w:color w:val="67973F"/>
          <w:spacing w:val="-6"/>
          <w:sz w:val="19"/>
          <w:szCs w:val="19"/>
        </w:rPr>
        <w:t> </w:t>
      </w:r>
      <w:r>
        <w:rPr>
          <w:rFonts w:ascii="Segoe UI" w:hAnsi="Segoe UI" w:cs="Segoe UI" w:eastAsia="Segoe UI"/>
          <w:color w:val="67973F"/>
          <w:sz w:val="19"/>
          <w:szCs w:val="19"/>
        </w:rPr>
        <w:t>attended</w:t>
      </w:r>
      <w:r>
        <w:rPr>
          <w:rFonts w:ascii="Segoe UI" w:hAnsi="Segoe UI" w:cs="Segoe UI" w:eastAsia="Segoe UI"/>
          <w:color w:val="67973F"/>
          <w:spacing w:val="-6"/>
          <w:sz w:val="19"/>
          <w:szCs w:val="19"/>
        </w:rPr>
        <w:t> </w:t>
      </w:r>
      <w:r>
        <w:rPr>
          <w:rFonts w:ascii="Segoe UI" w:hAnsi="Segoe UI" w:cs="Segoe UI" w:eastAsia="Segoe UI"/>
          <w:color w:val="67973F"/>
          <w:sz w:val="19"/>
          <w:szCs w:val="19"/>
        </w:rPr>
        <w:t>a</w:t>
      </w:r>
      <w:r>
        <w:rPr>
          <w:rFonts w:ascii="Segoe UI" w:hAnsi="Segoe UI" w:cs="Segoe UI" w:eastAsia="Segoe UI"/>
          <w:color w:val="67973F"/>
          <w:spacing w:val="-5"/>
          <w:sz w:val="19"/>
          <w:szCs w:val="19"/>
        </w:rPr>
        <w:t> </w:t>
      </w:r>
      <w:r>
        <w:rPr>
          <w:rFonts w:ascii="Segoe UI" w:hAnsi="Segoe UI" w:cs="Segoe UI" w:eastAsia="Segoe UI"/>
          <w:color w:val="67973F"/>
          <w:sz w:val="19"/>
          <w:szCs w:val="19"/>
        </w:rPr>
        <w:t>capital</w:t>
      </w:r>
      <w:r>
        <w:rPr>
          <w:rFonts w:ascii="Segoe UI" w:hAnsi="Segoe UI" w:cs="Segoe UI" w:eastAsia="Segoe UI"/>
          <w:color w:val="67973F"/>
          <w:spacing w:val="-6"/>
          <w:sz w:val="19"/>
          <w:szCs w:val="19"/>
        </w:rPr>
        <w:t> </w:t>
      </w:r>
      <w:r>
        <w:rPr>
          <w:rFonts w:ascii="Segoe UI" w:hAnsi="Segoe UI" w:cs="Segoe UI" w:eastAsia="Segoe UI"/>
          <w:color w:val="67973F"/>
          <w:sz w:val="19"/>
          <w:szCs w:val="19"/>
        </w:rPr>
        <w:t>city</w:t>
      </w:r>
      <w:r>
        <w:rPr>
          <w:rFonts w:ascii="Segoe UI" w:hAnsi="Segoe UI" w:cs="Segoe UI" w:eastAsia="Segoe UI"/>
          <w:color w:val="67973F"/>
          <w:spacing w:val="-7"/>
          <w:sz w:val="19"/>
          <w:szCs w:val="19"/>
        </w:rPr>
        <w:t> </w:t>
      </w:r>
      <w:r>
        <w:rPr>
          <w:rFonts w:ascii="Segoe UI" w:hAnsi="Segoe UI" w:cs="Segoe UI" w:eastAsia="Segoe UI"/>
          <w:color w:val="67973F"/>
          <w:sz w:val="19"/>
          <w:szCs w:val="19"/>
        </w:rPr>
        <w:t>boarding</w:t>
      </w:r>
      <w:r>
        <w:rPr>
          <w:rFonts w:ascii="Segoe UI" w:hAnsi="Segoe UI" w:cs="Segoe UI" w:eastAsia="Segoe UI"/>
          <w:color w:val="67973F"/>
          <w:spacing w:val="-6"/>
          <w:sz w:val="19"/>
          <w:szCs w:val="19"/>
        </w:rPr>
        <w:t> </w:t>
      </w:r>
      <w:r>
        <w:rPr>
          <w:rFonts w:ascii="Segoe UI" w:hAnsi="Segoe UI" w:cs="Segoe UI" w:eastAsia="Segoe UI"/>
          <w:color w:val="67973F"/>
          <w:sz w:val="19"/>
          <w:szCs w:val="19"/>
        </w:rPr>
        <w:t>provider</w:t>
      </w:r>
      <w:r>
        <w:rPr>
          <w:rFonts w:ascii="Segoe UI" w:hAnsi="Segoe UI" w:cs="Segoe UI" w:eastAsia="Segoe UI"/>
          <w:color w:val="67973F"/>
          <w:spacing w:val="-6"/>
          <w:sz w:val="19"/>
          <w:szCs w:val="19"/>
        </w:rPr>
        <w:t> </w:t>
      </w:r>
      <w:r>
        <w:rPr>
          <w:rFonts w:ascii="Segoe UI" w:hAnsi="Segoe UI" w:cs="Segoe UI" w:eastAsia="Segoe UI"/>
          <w:color w:val="67973F"/>
          <w:sz w:val="19"/>
          <w:szCs w:val="19"/>
        </w:rPr>
        <w:t>or</w:t>
      </w:r>
      <w:r>
        <w:rPr>
          <w:rFonts w:ascii="Segoe UI" w:hAnsi="Segoe UI" w:cs="Segoe UI" w:eastAsia="Segoe UI"/>
          <w:color w:val="67973F"/>
          <w:spacing w:val="-5"/>
          <w:sz w:val="19"/>
          <w:szCs w:val="19"/>
        </w:rPr>
        <w:t> </w:t>
      </w:r>
      <w:r>
        <w:rPr>
          <w:rFonts w:ascii="Segoe UI" w:hAnsi="Segoe UI" w:cs="Segoe UI" w:eastAsia="Segoe UI"/>
          <w:color w:val="67973F"/>
          <w:sz w:val="19"/>
          <w:szCs w:val="19"/>
        </w:rPr>
        <w:t>a</w:t>
      </w:r>
      <w:r>
        <w:rPr>
          <w:rFonts w:ascii="Segoe UI" w:hAnsi="Segoe UI" w:cs="Segoe UI" w:eastAsia="Segoe UI"/>
          <w:color w:val="67973F"/>
          <w:spacing w:val="-6"/>
          <w:sz w:val="19"/>
          <w:szCs w:val="19"/>
        </w:rPr>
        <w:t> </w:t>
      </w:r>
      <w:r>
        <w:rPr>
          <w:rFonts w:ascii="Segoe UI" w:hAnsi="Segoe UI" w:cs="Segoe UI" w:eastAsia="Segoe UI"/>
          <w:color w:val="67973F"/>
          <w:sz w:val="19"/>
          <w:szCs w:val="19"/>
        </w:rPr>
        <w:t>very</w:t>
      </w:r>
      <w:r>
        <w:rPr>
          <w:rFonts w:ascii="Segoe UI" w:hAnsi="Segoe UI" w:cs="Segoe UI" w:eastAsia="Segoe UI"/>
          <w:color w:val="67973F"/>
          <w:spacing w:val="-5"/>
          <w:sz w:val="19"/>
          <w:szCs w:val="19"/>
        </w:rPr>
        <w:t> </w:t>
      </w:r>
      <w:r>
        <w:rPr>
          <w:rFonts w:ascii="Segoe UI" w:hAnsi="Segoe UI" w:cs="Segoe UI" w:eastAsia="Segoe UI"/>
          <w:color w:val="67973F"/>
          <w:sz w:val="19"/>
          <w:szCs w:val="19"/>
        </w:rPr>
        <w:t>remote</w:t>
      </w:r>
      <w:r>
        <w:rPr>
          <w:rFonts w:ascii="Segoe UI" w:hAnsi="Segoe UI" w:cs="Segoe UI" w:eastAsia="Segoe UI"/>
          <w:color w:val="67973F"/>
          <w:spacing w:val="-6"/>
          <w:sz w:val="19"/>
          <w:szCs w:val="19"/>
        </w:rPr>
        <w:t> </w:t>
      </w:r>
      <w:r>
        <w:rPr>
          <w:rFonts w:ascii="Segoe UI" w:hAnsi="Segoe UI" w:cs="Segoe UI" w:eastAsia="Segoe UI"/>
          <w:color w:val="67973F"/>
          <w:sz w:val="19"/>
          <w:szCs w:val="19"/>
        </w:rPr>
        <w:t>provider.</w:t>
      </w:r>
      <w:r>
        <w:rPr>
          <w:rFonts w:ascii="Segoe UI" w:hAnsi="Segoe UI" w:cs="Segoe UI" w:eastAsia="Segoe UI"/>
          <w:sz w:val="19"/>
          <w:szCs w:val="19"/>
        </w:rPr>
      </w:r>
    </w:p>
    <w:p>
      <w:pPr>
        <w:spacing w:line="240" w:lineRule="auto" w:before="8"/>
        <w:rPr>
          <w:rFonts w:ascii="Segoe UI" w:hAnsi="Segoe UI" w:cs="Segoe UI" w:eastAsia="Segoe UI"/>
          <w:sz w:val="15"/>
          <w:szCs w:val="15"/>
        </w:rPr>
      </w:pPr>
    </w:p>
    <w:p>
      <w:pPr>
        <w:spacing w:line="40" w:lineRule="atLeast"/>
        <w:ind w:left="137" w:right="0" w:firstLine="0"/>
        <w:rPr>
          <w:rFonts w:ascii="Segoe UI" w:hAnsi="Segoe UI" w:cs="Segoe UI" w:eastAsia="Segoe UI"/>
          <w:sz w:val="4"/>
          <w:szCs w:val="4"/>
        </w:rPr>
      </w:pPr>
      <w:r>
        <w:rPr>
          <w:rFonts w:ascii="Segoe UI" w:hAnsi="Segoe UI" w:cs="Segoe UI" w:eastAsia="Segoe UI"/>
          <w:sz w:val="4"/>
          <w:szCs w:val="4"/>
        </w:rPr>
        <w:pict>
          <v:group style="width:439.4pt;height:2pt;mso-position-horizontal-relative:char;mso-position-vertical-relative:line" coordorigin="0,0" coordsize="8788,40">
            <v:group style="position:absolute;left:100;top:20;width:8627;height:2" coordorigin="100,20" coordsize="8627,2">
              <v:shape style="position:absolute;left:100;top:20;width:8627;height:2" coordorigin="100,20" coordsize="8627,0" path="m100,20l8727,20e" filled="false" stroked="true" strokeweight="2pt" strokecolor="#67973f">
                <v:path arrowok="t"/>
                <v:stroke dashstyle="dash"/>
              </v:shape>
            </v:group>
            <v:group style="position:absolute;left:20;top:20;width:2;height:2" coordorigin="20,20" coordsize="2,2">
              <v:shape style="position:absolute;left:20;top:20;width:2;height:2" coordorigin="20,20" coordsize="0,0" path="m20,20l20,20e" filled="false" stroked="true" strokeweight="2pt" strokecolor="#67973f">
                <v:path arrowok="t"/>
              </v:shape>
            </v:group>
            <v:group style="position:absolute;left:8767;top:20;width:2;height:2" coordorigin="8767,20" coordsize="2,2">
              <v:shape style="position:absolute;left:8767;top:20;width:2;height:2" coordorigin="8767,20" coordsize="0,0" path="m8767,20l8767,20e" filled="false" stroked="true" strokeweight="2pt" strokecolor="#67973f">
                <v:path arrowok="t"/>
              </v:shape>
            </v:group>
          </v:group>
        </w:pict>
      </w:r>
      <w:r>
        <w:rPr>
          <w:rFonts w:ascii="Segoe UI" w:hAnsi="Segoe UI" w:cs="Segoe UI" w:eastAsia="Segoe UI"/>
          <w:sz w:val="4"/>
          <w:szCs w:val="4"/>
        </w:rPr>
      </w:r>
    </w:p>
    <w:p>
      <w:pPr>
        <w:spacing w:line="240" w:lineRule="auto" w:before="13"/>
        <w:rPr>
          <w:rFonts w:ascii="Segoe UI" w:hAnsi="Segoe UI" w:cs="Segoe UI" w:eastAsia="Segoe UI"/>
          <w:sz w:val="12"/>
          <w:szCs w:val="12"/>
        </w:rPr>
      </w:pPr>
    </w:p>
    <w:p>
      <w:pPr>
        <w:pStyle w:val="BodyText"/>
        <w:spacing w:line="239" w:lineRule="auto" w:before="47"/>
        <w:ind w:left="108" w:right="0"/>
        <w:jc w:val="left"/>
      </w:pPr>
      <w:r>
        <w:rPr>
          <w:color w:val="231F20"/>
          <w:spacing w:val="-1"/>
        </w:rPr>
        <w:t>Despite</w:t>
      </w:r>
      <w:r>
        <w:rPr>
          <w:color w:val="231F20"/>
          <w:spacing w:val="-6"/>
        </w:rPr>
        <w:t> </w:t>
      </w:r>
      <w:r>
        <w:rPr>
          <w:color w:val="231F20"/>
        </w:rPr>
        <w:t>the</w:t>
      </w:r>
      <w:r>
        <w:rPr>
          <w:color w:val="231F20"/>
          <w:spacing w:val="-6"/>
        </w:rPr>
        <w:t> </w:t>
      </w:r>
      <w:r>
        <w:rPr>
          <w:color w:val="231F20"/>
        </w:rPr>
        <w:t>additional</w:t>
      </w:r>
      <w:r>
        <w:rPr>
          <w:color w:val="231F20"/>
          <w:spacing w:val="-6"/>
        </w:rPr>
        <w:t> </w:t>
      </w:r>
      <w:r>
        <w:rPr>
          <w:color w:val="231F20"/>
        </w:rPr>
        <w:t>costs</w:t>
      </w:r>
      <w:r>
        <w:rPr>
          <w:color w:val="231F20"/>
          <w:spacing w:val="-6"/>
        </w:rPr>
        <w:t> </w:t>
      </w:r>
      <w:r>
        <w:rPr>
          <w:color w:val="231F20"/>
        </w:rPr>
        <w:t>associated</w:t>
      </w:r>
      <w:r>
        <w:rPr>
          <w:color w:val="231F20"/>
          <w:spacing w:val="-6"/>
        </w:rPr>
        <w:t> </w:t>
      </w:r>
      <w:r>
        <w:rPr>
          <w:color w:val="231F20"/>
        </w:rPr>
        <w:t>with</w:t>
      </w:r>
      <w:r>
        <w:rPr>
          <w:color w:val="231F20"/>
          <w:spacing w:val="-6"/>
        </w:rPr>
        <w:t> </w:t>
      </w:r>
      <w:r>
        <w:rPr>
          <w:color w:val="231F20"/>
        </w:rPr>
        <w:t>remoteness,</w:t>
      </w:r>
      <w:r>
        <w:rPr>
          <w:color w:val="231F20"/>
          <w:spacing w:val="-7"/>
        </w:rPr>
        <w:t> </w:t>
      </w:r>
      <w:r>
        <w:rPr>
          <w:color w:val="231F20"/>
        </w:rPr>
        <w:t>Grant</w:t>
      </w:r>
      <w:r>
        <w:rPr>
          <w:color w:val="231F20"/>
          <w:spacing w:val="-6"/>
        </w:rPr>
        <w:t> </w:t>
      </w:r>
      <w:r>
        <w:rPr>
          <w:color w:val="231F20"/>
        </w:rPr>
        <w:t>Thornton</w:t>
      </w:r>
      <w:r>
        <w:rPr>
          <w:color w:val="231F20"/>
          <w:spacing w:val="-6"/>
        </w:rPr>
        <w:t> </w:t>
      </w:r>
      <w:r>
        <w:rPr>
          <w:color w:val="231F20"/>
        </w:rPr>
        <w:t>found</w:t>
      </w:r>
      <w:r>
        <w:rPr>
          <w:color w:val="231F20"/>
          <w:spacing w:val="-5"/>
        </w:rPr>
        <w:t> </w:t>
      </w:r>
      <w:r>
        <w:rPr>
          <w:color w:val="231F20"/>
        </w:rPr>
        <w:t>that</w:t>
      </w:r>
      <w:r>
        <w:rPr>
          <w:color w:val="231F20"/>
          <w:spacing w:val="-6"/>
        </w:rPr>
        <w:t> </w:t>
      </w:r>
      <w:r>
        <w:rPr>
          <w:color w:val="231F20"/>
        </w:rPr>
        <w:t>a</w:t>
      </w:r>
      <w:r>
        <w:rPr>
          <w:color w:val="231F20"/>
          <w:spacing w:val="-5"/>
        </w:rPr>
        <w:t> </w:t>
      </w:r>
      <w:r>
        <w:rPr>
          <w:color w:val="231F20"/>
        </w:rPr>
        <w:t>number</w:t>
      </w:r>
      <w:r>
        <w:rPr>
          <w:color w:val="231F20"/>
          <w:spacing w:val="-6"/>
        </w:rPr>
        <w:t> </w:t>
      </w:r>
      <w:r>
        <w:rPr>
          <w:color w:val="231F20"/>
        </w:rPr>
        <w:t>of</w:t>
      </w:r>
      <w:r>
        <w:rPr>
          <w:color w:val="231F20"/>
          <w:spacing w:val="22"/>
          <w:w w:val="99"/>
        </w:rPr>
        <w:t> </w:t>
      </w:r>
      <w:r>
        <w:rPr>
          <w:color w:val="231F20"/>
        </w:rPr>
        <w:t>Aboriginal</w:t>
      </w:r>
      <w:r>
        <w:rPr>
          <w:color w:val="231F20"/>
          <w:spacing w:val="-6"/>
        </w:rPr>
        <w:t> </w:t>
      </w:r>
      <w:r>
        <w:rPr>
          <w:color w:val="231F20"/>
        </w:rPr>
        <w:t>and</w:t>
      </w:r>
      <w:r>
        <w:rPr>
          <w:color w:val="231F20"/>
          <w:spacing w:val="-6"/>
        </w:rPr>
        <w:t> </w:t>
      </w:r>
      <w:r>
        <w:rPr>
          <w:color w:val="231F20"/>
          <w:spacing w:val="-5"/>
        </w:rPr>
        <w:t>Torres</w:t>
      </w:r>
      <w:r>
        <w:rPr>
          <w:color w:val="231F20"/>
          <w:spacing w:val="-6"/>
        </w:rPr>
        <w:t> </w:t>
      </w:r>
      <w:r>
        <w:rPr>
          <w:color w:val="231F20"/>
          <w:spacing w:val="-2"/>
        </w:rPr>
        <w:t>Strait</w:t>
      </w:r>
      <w:r>
        <w:rPr>
          <w:color w:val="231F20"/>
          <w:spacing w:val="-6"/>
        </w:rPr>
        <w:t> </w:t>
      </w:r>
      <w:r>
        <w:rPr>
          <w:color w:val="231F20"/>
          <w:spacing w:val="-1"/>
        </w:rPr>
        <w:t>Islander</w:t>
      </w:r>
      <w:r>
        <w:rPr>
          <w:color w:val="231F20"/>
          <w:spacing w:val="-6"/>
        </w:rPr>
        <w:t> </w:t>
      </w:r>
      <w:r>
        <w:rPr>
          <w:color w:val="231F20"/>
        </w:rPr>
        <w:t>boarding</w:t>
      </w:r>
      <w:r>
        <w:rPr>
          <w:color w:val="231F20"/>
          <w:spacing w:val="-6"/>
        </w:rPr>
        <w:t> </w:t>
      </w:r>
      <w:r>
        <w:rPr>
          <w:color w:val="231F20"/>
        </w:rPr>
        <w:t>providers</w:t>
      </w:r>
      <w:r>
        <w:rPr>
          <w:color w:val="231F20"/>
          <w:spacing w:val="-6"/>
        </w:rPr>
        <w:t> </w:t>
      </w:r>
      <w:r>
        <w:rPr>
          <w:color w:val="231F20"/>
        </w:rPr>
        <w:t>are</w:t>
      </w:r>
      <w:r>
        <w:rPr>
          <w:color w:val="231F20"/>
          <w:spacing w:val="-7"/>
        </w:rPr>
        <w:t> </w:t>
      </w:r>
      <w:r>
        <w:rPr>
          <w:color w:val="231F20"/>
        </w:rPr>
        <w:t>embracing</w:t>
      </w:r>
      <w:r>
        <w:rPr>
          <w:color w:val="231F20"/>
          <w:spacing w:val="-6"/>
        </w:rPr>
        <w:t> </w:t>
      </w:r>
      <w:r>
        <w:rPr>
          <w:color w:val="231F20"/>
        </w:rPr>
        <w:t>remoteness</w:t>
      </w:r>
      <w:r>
        <w:rPr>
          <w:color w:val="231F20"/>
          <w:spacing w:val="-7"/>
        </w:rPr>
        <w:t> </w:t>
      </w:r>
      <w:r>
        <w:rPr>
          <w:color w:val="231F20"/>
        </w:rPr>
        <w:t>to</w:t>
      </w:r>
      <w:r>
        <w:rPr>
          <w:color w:val="231F20"/>
          <w:spacing w:val="-6"/>
        </w:rPr>
        <w:t> </w:t>
      </w:r>
      <w:r>
        <w:rPr>
          <w:color w:val="231F20"/>
        </w:rPr>
        <w:t>provide</w:t>
      </w:r>
      <w:r>
        <w:rPr>
          <w:color w:val="231F20"/>
          <w:spacing w:val="-6"/>
        </w:rPr>
        <w:t> </w:t>
      </w:r>
      <w:r>
        <w:rPr>
          <w:color w:val="231F20"/>
        </w:rPr>
        <w:t>better</w:t>
      </w:r>
      <w:r>
        <w:rPr>
          <w:color w:val="231F20"/>
          <w:spacing w:val="21"/>
          <w:w w:val="99"/>
        </w:rPr>
        <w:t> </w:t>
      </w:r>
      <w:r>
        <w:rPr>
          <w:color w:val="231F20"/>
        </w:rPr>
        <w:t>outcomes</w:t>
      </w:r>
      <w:r>
        <w:rPr>
          <w:color w:val="231F20"/>
          <w:spacing w:val="-6"/>
        </w:rPr>
        <w:t> </w:t>
      </w:r>
      <w:r>
        <w:rPr>
          <w:color w:val="231F20"/>
        </w:rPr>
        <w:t>for</w:t>
      </w:r>
      <w:r>
        <w:rPr>
          <w:color w:val="231F20"/>
          <w:spacing w:val="-5"/>
        </w:rPr>
        <w:t> </w:t>
      </w:r>
      <w:r>
        <w:rPr>
          <w:color w:val="231F20"/>
        </w:rPr>
        <w:t>boarders</w:t>
      </w:r>
      <w:r>
        <w:rPr>
          <w:color w:val="231F20"/>
          <w:spacing w:val="-6"/>
        </w:rPr>
        <w:t> </w:t>
      </w:r>
      <w:r>
        <w:rPr>
          <w:color w:val="231F20"/>
        </w:rPr>
        <w:t>and</w:t>
      </w:r>
      <w:r>
        <w:rPr>
          <w:color w:val="231F20"/>
          <w:spacing w:val="-6"/>
        </w:rPr>
        <w:t> </w:t>
      </w:r>
      <w:r>
        <w:rPr>
          <w:color w:val="231F20"/>
        </w:rPr>
        <w:t>reduce</w:t>
      </w:r>
      <w:r>
        <w:rPr>
          <w:color w:val="231F20"/>
          <w:spacing w:val="-6"/>
        </w:rPr>
        <w:t> </w:t>
      </w:r>
      <w:r>
        <w:rPr>
          <w:color w:val="231F20"/>
        </w:rPr>
        <w:t>homesickness</w:t>
      </w:r>
      <w:r>
        <w:rPr>
          <w:color w:val="231F20"/>
          <w:spacing w:val="-6"/>
        </w:rPr>
        <w:t> </w:t>
      </w:r>
      <w:r>
        <w:rPr>
          <w:color w:val="231F20"/>
        </w:rPr>
        <w:t>and</w:t>
      </w:r>
      <w:r>
        <w:rPr>
          <w:color w:val="231F20"/>
          <w:spacing w:val="-6"/>
        </w:rPr>
        <w:t> </w:t>
      </w:r>
      <w:r>
        <w:rPr>
          <w:color w:val="231F20"/>
        </w:rPr>
        <w:t>cultural</w:t>
      </w:r>
      <w:r>
        <w:rPr>
          <w:color w:val="231F20"/>
          <w:spacing w:val="-6"/>
        </w:rPr>
        <w:t> </w:t>
      </w:r>
      <w:r>
        <w:rPr>
          <w:color w:val="231F20"/>
        </w:rPr>
        <w:t>disconnect.</w:t>
      </w:r>
      <w:r>
        <w:rPr/>
      </w:r>
    </w:p>
    <w:p>
      <w:pPr>
        <w:spacing w:after="0" w:line="239" w:lineRule="auto"/>
        <w:jc w:val="left"/>
        <w:sectPr>
          <w:pgSz w:w="11910" w:h="16840"/>
          <w:pgMar w:header="0" w:footer="691" w:top="1580" w:bottom="880" w:left="1280" w:right="1580"/>
        </w:sect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5"/>
        <w:rPr>
          <w:rFonts w:ascii="Segoe UI" w:hAnsi="Segoe UI" w:cs="Segoe UI" w:eastAsia="Segoe UI"/>
          <w:sz w:val="10"/>
          <w:szCs w:val="10"/>
        </w:rPr>
      </w:pPr>
    </w:p>
    <w:p>
      <w:pPr>
        <w:spacing w:line="200" w:lineRule="atLeast"/>
        <w:ind w:left="100" w:right="0" w:firstLine="0"/>
        <w:rPr>
          <w:rFonts w:ascii="Segoe UI" w:hAnsi="Segoe UI" w:cs="Segoe UI" w:eastAsia="Segoe UI"/>
          <w:sz w:val="20"/>
          <w:szCs w:val="20"/>
        </w:rPr>
      </w:pPr>
      <w:r>
        <w:rPr>
          <w:rFonts w:ascii="Segoe UI" w:hAnsi="Segoe UI" w:cs="Segoe UI" w:eastAsia="Segoe UI"/>
          <w:sz w:val="20"/>
          <w:szCs w:val="20"/>
        </w:rPr>
        <w:pict>
          <v:group style="width:439.4pt;height:14.2pt;mso-position-horizontal-relative:char;mso-position-vertical-relative:line" coordorigin="0,0" coordsize="8788,284">
            <v:group style="position:absolute;left:283;top:0;width:8504;height:284" coordorigin="283,0" coordsize="8504,284">
              <v:shape style="position:absolute;left:283;top:0;width:8504;height:284" coordorigin="283,0" coordsize="8504,284" path="m283,283l8787,283,8787,0,283,0,283,283xe" filled="true" fillcolor="#97bf3d" stroked="false">
                <v:path arrowok="t"/>
                <v:fill type="solid"/>
              </v:shape>
            </v:group>
            <v:group style="position:absolute;left:0;top:0;width:284;height:284" coordorigin="0,0" coordsize="284,284">
              <v:shape style="position:absolute;left:0;top:0;width:284;height:284" coordorigin="0,0" coordsize="284,284" path="m0,283l283,283,283,0,0,0,0,283xe" filled="true" fillcolor="#67973f" stroked="false">
                <v:path arrowok="t"/>
                <v:fill type="solid"/>
              </v:shape>
              <v:shape style="position:absolute;left:0;top:0;width:8788;height:284" type="#_x0000_t202" filled="false" stroked="false">
                <v:textbox inset="0,0,0,0">
                  <w:txbxContent>
                    <w:p>
                      <w:pPr>
                        <w:spacing w:before="5"/>
                        <w:ind w:left="368" w:right="0" w:firstLine="0"/>
                        <w:jc w:val="left"/>
                        <w:rPr>
                          <w:rFonts w:ascii="Segoe UI" w:hAnsi="Segoe UI" w:cs="Segoe UI" w:eastAsia="Segoe UI"/>
                          <w:sz w:val="18"/>
                          <w:szCs w:val="18"/>
                        </w:rPr>
                      </w:pPr>
                      <w:r>
                        <w:rPr>
                          <w:rFonts w:ascii="Segoe UI"/>
                          <w:b/>
                          <w:i/>
                          <w:color w:val="FFFFFF"/>
                          <w:spacing w:val="-1"/>
                          <w:sz w:val="18"/>
                        </w:rPr>
                        <w:t>Case</w:t>
                      </w:r>
                      <w:r>
                        <w:rPr>
                          <w:rFonts w:ascii="Segoe UI"/>
                          <w:b/>
                          <w:i/>
                          <w:color w:val="FFFFFF"/>
                          <w:spacing w:val="-4"/>
                          <w:sz w:val="18"/>
                        </w:rPr>
                        <w:t> </w:t>
                      </w:r>
                      <w:r>
                        <w:rPr>
                          <w:rFonts w:ascii="Segoe UI"/>
                          <w:b/>
                          <w:i/>
                          <w:color w:val="FFFFFF"/>
                          <w:sz w:val="18"/>
                        </w:rPr>
                        <w:t>study</w:t>
                      </w:r>
                      <w:r>
                        <w:rPr>
                          <w:rFonts w:ascii="Segoe UI"/>
                          <w:b/>
                          <w:i/>
                          <w:color w:val="FFFFFF"/>
                          <w:spacing w:val="-5"/>
                          <w:sz w:val="18"/>
                        </w:rPr>
                        <w:t> </w:t>
                      </w:r>
                      <w:r>
                        <w:rPr>
                          <w:rFonts w:ascii="Segoe UI"/>
                          <w:b/>
                          <w:i/>
                          <w:color w:val="FFFFFF"/>
                          <w:spacing w:val="-1"/>
                          <w:sz w:val="18"/>
                        </w:rPr>
                        <w:t>10</w:t>
                      </w:r>
                      <w:r>
                        <w:rPr>
                          <w:rFonts w:ascii="Segoe UI"/>
                          <w:sz w:val="18"/>
                        </w:rPr>
                      </w:r>
                    </w:p>
                  </w:txbxContent>
                </v:textbox>
                <w10:wrap type="none"/>
              </v:shape>
            </v:group>
          </v:group>
        </w:pict>
      </w:r>
      <w:r>
        <w:rPr>
          <w:rFonts w:ascii="Segoe UI" w:hAnsi="Segoe UI" w:cs="Segoe UI" w:eastAsia="Segoe UI"/>
          <w:sz w:val="20"/>
          <w:szCs w:val="20"/>
        </w:rPr>
      </w:r>
    </w:p>
    <w:p>
      <w:pPr>
        <w:spacing w:line="240" w:lineRule="auto" w:before="11"/>
        <w:rPr>
          <w:rFonts w:ascii="Segoe UI" w:hAnsi="Segoe UI" w:cs="Segoe UI" w:eastAsia="Segoe UI"/>
          <w:sz w:val="5"/>
          <w:szCs w:val="5"/>
        </w:rPr>
      </w:pPr>
    </w:p>
    <w:p>
      <w:pPr>
        <w:pStyle w:val="Heading6"/>
        <w:spacing w:line="240" w:lineRule="auto"/>
        <w:ind w:right="0"/>
        <w:jc w:val="left"/>
        <w:rPr>
          <w:b w:val="0"/>
          <w:bCs w:val="0"/>
        </w:rPr>
      </w:pPr>
      <w:r>
        <w:rPr>
          <w:color w:val="67973F"/>
          <w:spacing w:val="-1"/>
        </w:rPr>
        <w:t>Embracing</w:t>
      </w:r>
      <w:r>
        <w:rPr>
          <w:color w:val="67973F"/>
          <w:spacing w:val="-6"/>
        </w:rPr>
        <w:t> </w:t>
      </w:r>
      <w:r>
        <w:rPr>
          <w:color w:val="67973F"/>
          <w:spacing w:val="-1"/>
        </w:rPr>
        <w:t>remoteness</w:t>
      </w:r>
      <w:r>
        <w:rPr>
          <w:b w:val="0"/>
        </w:rPr>
      </w:r>
    </w:p>
    <w:p>
      <w:pPr>
        <w:spacing w:line="246" w:lineRule="auto" w:before="118"/>
        <w:ind w:left="100" w:right="140" w:firstLine="0"/>
        <w:jc w:val="left"/>
        <w:rPr>
          <w:rFonts w:ascii="Segoe UI" w:hAnsi="Segoe UI" w:cs="Segoe UI" w:eastAsia="Segoe UI"/>
          <w:sz w:val="19"/>
          <w:szCs w:val="19"/>
        </w:rPr>
      </w:pPr>
      <w:r>
        <w:rPr>
          <w:rFonts w:ascii="Segoe UI" w:hAnsi="Segoe UI" w:cs="Segoe UI" w:eastAsia="Segoe UI"/>
          <w:color w:val="67973F"/>
          <w:sz w:val="19"/>
          <w:szCs w:val="19"/>
        </w:rPr>
        <w:t>One</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small</w:t>
      </w:r>
      <w:r>
        <w:rPr>
          <w:rFonts w:ascii="Segoe UI" w:hAnsi="Segoe UI" w:cs="Segoe UI" w:eastAsia="Segoe UI"/>
          <w:color w:val="67973F"/>
          <w:spacing w:val="-3"/>
          <w:sz w:val="19"/>
          <w:szCs w:val="19"/>
        </w:rPr>
        <w:t> </w:t>
      </w:r>
      <w:r>
        <w:rPr>
          <w:rFonts w:ascii="Segoe UI" w:hAnsi="Segoe UI" w:cs="Segoe UI" w:eastAsia="Segoe UI"/>
          <w:color w:val="67973F"/>
          <w:sz w:val="19"/>
          <w:szCs w:val="19"/>
        </w:rPr>
        <w:t>Aboriginal</w:t>
      </w:r>
      <w:r>
        <w:rPr>
          <w:rFonts w:ascii="Segoe UI" w:hAnsi="Segoe UI" w:cs="Segoe UI" w:eastAsia="Segoe UI"/>
          <w:color w:val="67973F"/>
          <w:spacing w:val="-3"/>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5"/>
          <w:sz w:val="19"/>
          <w:szCs w:val="19"/>
        </w:rPr>
        <w:t> Torres</w:t>
      </w:r>
      <w:r>
        <w:rPr>
          <w:rFonts w:ascii="Segoe UI" w:hAnsi="Segoe UI" w:cs="Segoe UI" w:eastAsia="Segoe UI"/>
          <w:color w:val="67973F"/>
          <w:spacing w:val="-3"/>
          <w:sz w:val="19"/>
          <w:szCs w:val="19"/>
        </w:rPr>
        <w:t> </w:t>
      </w:r>
      <w:r>
        <w:rPr>
          <w:rFonts w:ascii="Segoe UI" w:hAnsi="Segoe UI" w:cs="Segoe UI" w:eastAsia="Segoe UI"/>
          <w:color w:val="67973F"/>
          <w:spacing w:val="-2"/>
          <w:sz w:val="19"/>
          <w:szCs w:val="19"/>
        </w:rPr>
        <w:t>Strait</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Islander</w:t>
      </w:r>
      <w:r>
        <w:rPr>
          <w:rFonts w:ascii="Segoe UI" w:hAnsi="Segoe UI" w:cs="Segoe UI" w:eastAsia="Segoe UI"/>
          <w:color w:val="67973F"/>
          <w:spacing w:val="-4"/>
          <w:sz w:val="19"/>
          <w:szCs w:val="19"/>
        </w:rPr>
        <w:t> </w:t>
      </w:r>
      <w:r>
        <w:rPr>
          <w:rFonts w:ascii="Segoe UI" w:hAnsi="Segoe UI" w:cs="Segoe UI" w:eastAsia="Segoe UI"/>
          <w:color w:val="67973F"/>
          <w:sz w:val="19"/>
          <w:szCs w:val="19"/>
        </w:rPr>
        <w:t>boarding</w:t>
      </w:r>
      <w:r>
        <w:rPr>
          <w:rFonts w:ascii="Segoe UI" w:hAnsi="Segoe UI" w:cs="Segoe UI" w:eastAsia="Segoe UI"/>
          <w:color w:val="67973F"/>
          <w:spacing w:val="-4"/>
          <w:sz w:val="19"/>
          <w:szCs w:val="19"/>
        </w:rPr>
        <w:t> </w:t>
      </w:r>
      <w:r>
        <w:rPr>
          <w:rFonts w:ascii="Segoe UI" w:hAnsi="Segoe UI" w:cs="Segoe UI" w:eastAsia="Segoe UI"/>
          <w:color w:val="67973F"/>
          <w:sz w:val="19"/>
          <w:szCs w:val="19"/>
        </w:rPr>
        <w:t>provider</w:t>
      </w:r>
      <w:r>
        <w:rPr>
          <w:rFonts w:ascii="Segoe UI" w:hAnsi="Segoe UI" w:cs="Segoe UI" w:eastAsia="Segoe UI"/>
          <w:color w:val="67973F"/>
          <w:spacing w:val="-4"/>
          <w:sz w:val="19"/>
          <w:szCs w:val="19"/>
        </w:rPr>
        <w:t> </w:t>
      </w:r>
      <w:r>
        <w:rPr>
          <w:rFonts w:ascii="Segoe UI" w:hAnsi="Segoe UI" w:cs="Segoe UI" w:eastAsia="Segoe UI"/>
          <w:color w:val="67973F"/>
          <w:sz w:val="19"/>
          <w:szCs w:val="19"/>
        </w:rPr>
        <w:t>established</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its</w:t>
      </w:r>
      <w:r>
        <w:rPr>
          <w:rFonts w:ascii="Segoe UI" w:hAnsi="Segoe UI" w:cs="Segoe UI" w:eastAsia="Segoe UI"/>
          <w:color w:val="67973F"/>
          <w:spacing w:val="-3"/>
          <w:sz w:val="19"/>
          <w:szCs w:val="19"/>
        </w:rPr>
        <w:t> </w:t>
      </w:r>
      <w:r>
        <w:rPr>
          <w:rFonts w:ascii="Segoe UI" w:hAnsi="Segoe UI" w:cs="Segoe UI" w:eastAsia="Segoe UI"/>
          <w:color w:val="67973F"/>
          <w:sz w:val="19"/>
          <w:szCs w:val="19"/>
        </w:rPr>
        <w:t>facilities</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in</w:t>
      </w:r>
      <w:r>
        <w:rPr>
          <w:rFonts w:ascii="Segoe UI" w:hAnsi="Segoe UI" w:cs="Segoe UI" w:eastAsia="Segoe UI"/>
          <w:color w:val="67973F"/>
          <w:spacing w:val="-4"/>
          <w:sz w:val="19"/>
          <w:szCs w:val="19"/>
        </w:rPr>
        <w:t> </w:t>
      </w:r>
      <w:r>
        <w:rPr>
          <w:rFonts w:ascii="Segoe UI" w:hAnsi="Segoe UI" w:cs="Segoe UI" w:eastAsia="Segoe UI"/>
          <w:color w:val="67973F"/>
          <w:sz w:val="19"/>
          <w:szCs w:val="19"/>
        </w:rPr>
        <w:t>a</w:t>
      </w:r>
      <w:r>
        <w:rPr>
          <w:rFonts w:ascii="Segoe UI" w:hAnsi="Segoe UI" w:cs="Segoe UI" w:eastAsia="Segoe UI"/>
          <w:color w:val="67973F"/>
          <w:spacing w:val="-3"/>
          <w:sz w:val="19"/>
          <w:szCs w:val="19"/>
        </w:rPr>
        <w:t> </w:t>
      </w:r>
      <w:r>
        <w:rPr>
          <w:rFonts w:ascii="Segoe UI" w:hAnsi="Segoe UI" w:cs="Segoe UI" w:eastAsia="Segoe UI"/>
          <w:color w:val="67973F"/>
          <w:sz w:val="19"/>
          <w:szCs w:val="19"/>
        </w:rPr>
        <w:t>very</w:t>
      </w:r>
      <w:r>
        <w:rPr>
          <w:rFonts w:ascii="Segoe UI" w:hAnsi="Segoe UI" w:cs="Segoe UI" w:eastAsia="Segoe UI"/>
          <w:color w:val="67973F"/>
          <w:spacing w:val="-4"/>
          <w:sz w:val="19"/>
          <w:szCs w:val="19"/>
        </w:rPr>
        <w:t> </w:t>
      </w:r>
      <w:r>
        <w:rPr>
          <w:rFonts w:ascii="Segoe UI" w:hAnsi="Segoe UI" w:cs="Segoe UI" w:eastAsia="Segoe UI"/>
          <w:color w:val="67973F"/>
          <w:spacing w:val="-4"/>
          <w:sz w:val="19"/>
          <w:szCs w:val="19"/>
        </w:rPr>
      </w:r>
      <w:r>
        <w:rPr>
          <w:rFonts w:ascii="Segoe UI" w:hAnsi="Segoe UI" w:cs="Segoe UI" w:eastAsia="Segoe UI"/>
          <w:color w:val="67973F"/>
          <w:sz w:val="19"/>
          <w:szCs w:val="19"/>
        </w:rPr>
        <w:t>remote</w:t>
      </w:r>
      <w:r>
        <w:rPr>
          <w:rFonts w:ascii="Segoe UI" w:hAnsi="Segoe UI" w:cs="Segoe UI" w:eastAsia="Segoe UI"/>
          <w:color w:val="67973F"/>
          <w:spacing w:val="28"/>
          <w:sz w:val="19"/>
          <w:szCs w:val="19"/>
        </w:rPr>
        <w:t> </w:t>
      </w:r>
      <w:r>
        <w:rPr>
          <w:rFonts w:ascii="Segoe UI" w:hAnsi="Segoe UI" w:cs="Segoe UI" w:eastAsia="Segoe UI"/>
          <w:color w:val="67973F"/>
          <w:spacing w:val="-1"/>
          <w:sz w:val="19"/>
          <w:szCs w:val="19"/>
        </w:rPr>
        <w:t>location</w:t>
      </w:r>
      <w:r>
        <w:rPr>
          <w:rFonts w:ascii="Segoe UI" w:hAnsi="Segoe UI" w:cs="Segoe UI" w:eastAsia="Segoe UI"/>
          <w:color w:val="67973F"/>
          <w:spacing w:val="-3"/>
          <w:sz w:val="19"/>
          <w:szCs w:val="19"/>
        </w:rPr>
        <w:t> </w:t>
      </w:r>
      <w:r>
        <w:rPr>
          <w:rFonts w:ascii="Segoe UI" w:hAnsi="Segoe UI" w:cs="Segoe UI" w:eastAsia="Segoe UI"/>
          <w:color w:val="67973F"/>
          <w:sz w:val="19"/>
          <w:szCs w:val="19"/>
        </w:rPr>
        <w:t>away</w:t>
      </w:r>
      <w:r>
        <w:rPr>
          <w:rFonts w:ascii="Segoe UI" w:hAnsi="Segoe UI" w:cs="Segoe UI" w:eastAsia="Segoe UI"/>
          <w:color w:val="67973F"/>
          <w:spacing w:val="-3"/>
          <w:sz w:val="19"/>
          <w:szCs w:val="19"/>
        </w:rPr>
        <w:t> </w:t>
      </w:r>
      <w:r>
        <w:rPr>
          <w:rFonts w:ascii="Segoe UI" w:hAnsi="Segoe UI" w:cs="Segoe UI" w:eastAsia="Segoe UI"/>
          <w:color w:val="67973F"/>
          <w:sz w:val="19"/>
          <w:szCs w:val="19"/>
        </w:rPr>
        <w:t>from</w:t>
      </w:r>
      <w:r>
        <w:rPr>
          <w:rFonts w:ascii="Segoe UI" w:hAnsi="Segoe UI" w:cs="Segoe UI" w:eastAsia="Segoe UI"/>
          <w:color w:val="67973F"/>
          <w:spacing w:val="-2"/>
          <w:sz w:val="19"/>
          <w:szCs w:val="19"/>
        </w:rPr>
        <w:t> </w:t>
      </w:r>
      <w:r>
        <w:rPr>
          <w:rFonts w:ascii="Segoe UI" w:hAnsi="Segoe UI" w:cs="Segoe UI" w:eastAsia="Segoe UI"/>
          <w:color w:val="67973F"/>
          <w:sz w:val="19"/>
          <w:szCs w:val="19"/>
        </w:rPr>
        <w:t>home</w:t>
      </w:r>
      <w:r>
        <w:rPr>
          <w:rFonts w:ascii="Segoe UI" w:hAnsi="Segoe UI" w:cs="Segoe UI" w:eastAsia="Segoe UI"/>
          <w:color w:val="67973F"/>
          <w:spacing w:val="-3"/>
          <w:sz w:val="19"/>
          <w:szCs w:val="19"/>
        </w:rPr>
        <w:t> </w:t>
      </w:r>
      <w:r>
        <w:rPr>
          <w:rFonts w:ascii="Segoe UI" w:hAnsi="Segoe UI" w:cs="Segoe UI" w:eastAsia="Segoe UI"/>
          <w:color w:val="67973F"/>
          <w:sz w:val="19"/>
          <w:szCs w:val="19"/>
        </w:rPr>
        <w:t>communities</w:t>
      </w:r>
      <w:r>
        <w:rPr>
          <w:rFonts w:ascii="Segoe UI" w:hAnsi="Segoe UI" w:cs="Segoe UI" w:eastAsia="Segoe UI"/>
          <w:color w:val="67973F"/>
          <w:spacing w:val="-3"/>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made</w:t>
      </w:r>
      <w:r>
        <w:rPr>
          <w:rFonts w:ascii="Segoe UI" w:hAnsi="Segoe UI" w:cs="Segoe UI" w:eastAsia="Segoe UI"/>
          <w:color w:val="67973F"/>
          <w:spacing w:val="-2"/>
          <w:sz w:val="19"/>
          <w:szCs w:val="19"/>
        </w:rPr>
        <w:t> </w:t>
      </w:r>
      <w:r>
        <w:rPr>
          <w:rFonts w:ascii="Segoe UI" w:hAnsi="Segoe UI" w:cs="Segoe UI" w:eastAsia="Segoe UI"/>
          <w:color w:val="67973F"/>
          <w:sz w:val="19"/>
          <w:szCs w:val="19"/>
        </w:rPr>
        <w:t>a</w:t>
      </w:r>
      <w:r>
        <w:rPr>
          <w:rFonts w:ascii="Segoe UI" w:hAnsi="Segoe UI" w:cs="Segoe UI" w:eastAsia="Segoe UI"/>
          <w:color w:val="67973F"/>
          <w:spacing w:val="-2"/>
          <w:sz w:val="19"/>
          <w:szCs w:val="19"/>
        </w:rPr>
        <w:t> </w:t>
      </w:r>
      <w:r>
        <w:rPr>
          <w:rFonts w:ascii="Segoe UI" w:hAnsi="Segoe UI" w:cs="Segoe UI" w:eastAsia="Segoe UI"/>
          <w:color w:val="67973F"/>
          <w:sz w:val="19"/>
          <w:szCs w:val="19"/>
        </w:rPr>
        <w:t>conscious</w:t>
      </w:r>
      <w:r>
        <w:rPr>
          <w:rFonts w:ascii="Segoe UI" w:hAnsi="Segoe UI" w:cs="Segoe UI" w:eastAsia="Segoe UI"/>
          <w:color w:val="67973F"/>
          <w:spacing w:val="-3"/>
          <w:sz w:val="19"/>
          <w:szCs w:val="19"/>
        </w:rPr>
        <w:t> </w:t>
      </w:r>
      <w:r>
        <w:rPr>
          <w:rFonts w:ascii="Segoe UI" w:hAnsi="Segoe UI" w:cs="Segoe UI" w:eastAsia="Segoe UI"/>
          <w:color w:val="67973F"/>
          <w:sz w:val="19"/>
          <w:szCs w:val="19"/>
        </w:rPr>
        <w:t>decision</w:t>
      </w:r>
      <w:r>
        <w:rPr>
          <w:rFonts w:ascii="Segoe UI" w:hAnsi="Segoe UI" w:cs="Segoe UI" w:eastAsia="Segoe UI"/>
          <w:color w:val="67973F"/>
          <w:spacing w:val="-3"/>
          <w:sz w:val="19"/>
          <w:szCs w:val="19"/>
        </w:rPr>
        <w:t> </w:t>
      </w:r>
      <w:r>
        <w:rPr>
          <w:rFonts w:ascii="Segoe UI" w:hAnsi="Segoe UI" w:cs="Segoe UI" w:eastAsia="Segoe UI"/>
          <w:color w:val="67973F"/>
          <w:sz w:val="19"/>
          <w:szCs w:val="19"/>
        </w:rPr>
        <w:t>to</w:t>
      </w:r>
      <w:r>
        <w:rPr>
          <w:rFonts w:ascii="Segoe UI" w:hAnsi="Segoe UI" w:cs="Segoe UI" w:eastAsia="Segoe UI"/>
          <w:color w:val="67973F"/>
          <w:spacing w:val="-2"/>
          <w:sz w:val="19"/>
          <w:szCs w:val="19"/>
        </w:rPr>
        <w:t> </w:t>
      </w:r>
      <w:r>
        <w:rPr>
          <w:rFonts w:ascii="Segoe UI" w:hAnsi="Segoe UI" w:cs="Segoe UI" w:eastAsia="Segoe UI"/>
          <w:color w:val="67973F"/>
          <w:sz w:val="19"/>
          <w:szCs w:val="19"/>
        </w:rPr>
        <w:t>not</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install</w:t>
      </w:r>
      <w:r>
        <w:rPr>
          <w:rFonts w:ascii="Segoe UI" w:hAnsi="Segoe UI" w:cs="Segoe UI" w:eastAsia="Segoe UI"/>
          <w:color w:val="67973F"/>
          <w:spacing w:val="-2"/>
          <w:sz w:val="19"/>
          <w:szCs w:val="19"/>
        </w:rPr>
        <w:t> </w:t>
      </w:r>
      <w:r>
        <w:rPr>
          <w:rFonts w:ascii="Segoe UI" w:hAnsi="Segoe UI" w:cs="Segoe UI" w:eastAsia="Segoe UI"/>
          <w:color w:val="67973F"/>
          <w:sz w:val="19"/>
          <w:szCs w:val="19"/>
        </w:rPr>
        <w:t>a</w:t>
      </w:r>
      <w:r>
        <w:rPr>
          <w:rFonts w:ascii="Segoe UI" w:hAnsi="Segoe UI" w:cs="Segoe UI" w:eastAsia="Segoe UI"/>
          <w:color w:val="67973F"/>
          <w:spacing w:val="-2"/>
          <w:sz w:val="19"/>
          <w:szCs w:val="19"/>
        </w:rPr>
        <w:t> </w:t>
      </w:r>
      <w:r>
        <w:rPr>
          <w:rFonts w:ascii="Segoe UI" w:hAnsi="Segoe UI" w:cs="Segoe UI" w:eastAsia="Segoe UI"/>
          <w:color w:val="67973F"/>
          <w:spacing w:val="-1"/>
          <w:sz w:val="19"/>
          <w:szCs w:val="19"/>
        </w:rPr>
        <w:t>mobile</w:t>
      </w:r>
      <w:r>
        <w:rPr>
          <w:rFonts w:ascii="Segoe UI" w:hAnsi="Segoe UI" w:cs="Segoe UI" w:eastAsia="Segoe UI"/>
          <w:color w:val="67973F"/>
          <w:spacing w:val="-1"/>
          <w:sz w:val="19"/>
          <w:szCs w:val="19"/>
        </w:rPr>
        <w:t> </w:t>
      </w:r>
      <w:r>
        <w:rPr>
          <w:rFonts w:ascii="Segoe UI" w:hAnsi="Segoe UI" w:cs="Segoe UI" w:eastAsia="Segoe UI"/>
          <w:color w:val="67973F"/>
          <w:spacing w:val="3"/>
          <w:sz w:val="19"/>
          <w:szCs w:val="19"/>
        </w:rPr>
        <w:t>         </w:t>
      </w:r>
      <w:r>
        <w:rPr>
          <w:rFonts w:ascii="Segoe UI" w:hAnsi="Segoe UI" w:cs="Segoe UI" w:eastAsia="Segoe UI"/>
          <w:color w:val="67973F"/>
          <w:sz w:val="19"/>
          <w:szCs w:val="19"/>
        </w:rPr>
        <w:t>phone</w:t>
      </w:r>
      <w:r>
        <w:rPr>
          <w:rFonts w:ascii="Segoe UI" w:hAnsi="Segoe UI" w:cs="Segoe UI" w:eastAsia="Segoe UI"/>
          <w:color w:val="67973F"/>
          <w:spacing w:val="-1"/>
          <w:sz w:val="19"/>
          <w:szCs w:val="19"/>
        </w:rPr>
        <w:t> </w:t>
      </w:r>
      <w:r>
        <w:rPr>
          <w:rFonts w:ascii="Segoe UI" w:hAnsi="Segoe UI" w:cs="Segoe UI" w:eastAsia="Segoe UI"/>
          <w:color w:val="67973F"/>
          <w:sz w:val="19"/>
          <w:szCs w:val="19"/>
        </w:rPr>
        <w:t>tower at the</w:t>
      </w:r>
      <w:r>
        <w:rPr>
          <w:rFonts w:ascii="Segoe UI" w:hAnsi="Segoe UI" w:cs="Segoe UI" w:eastAsia="Segoe UI"/>
          <w:color w:val="67973F"/>
          <w:spacing w:val="-1"/>
          <w:sz w:val="19"/>
          <w:szCs w:val="19"/>
        </w:rPr>
        <w:t> </w:t>
      </w:r>
      <w:r>
        <w:rPr>
          <w:rFonts w:ascii="Segoe UI" w:hAnsi="Segoe UI" w:cs="Segoe UI" w:eastAsia="Segoe UI"/>
          <w:color w:val="67973F"/>
          <w:sz w:val="19"/>
          <w:szCs w:val="19"/>
        </w:rPr>
        <w:t>location to minimise</w:t>
      </w:r>
      <w:r>
        <w:rPr>
          <w:rFonts w:ascii="Segoe UI" w:hAnsi="Segoe UI" w:cs="Segoe UI" w:eastAsia="Segoe UI"/>
          <w:color w:val="67973F"/>
          <w:spacing w:val="-1"/>
          <w:sz w:val="19"/>
          <w:szCs w:val="19"/>
        </w:rPr>
        <w:t> </w:t>
      </w:r>
      <w:r>
        <w:rPr>
          <w:rFonts w:ascii="Segoe UI" w:hAnsi="Segoe UI" w:cs="Segoe UI" w:eastAsia="Segoe UI"/>
          <w:color w:val="67973F"/>
          <w:sz w:val="19"/>
          <w:szCs w:val="19"/>
        </w:rPr>
        <w:t>community distractions that</w:t>
      </w:r>
      <w:r>
        <w:rPr>
          <w:rFonts w:ascii="Segoe UI" w:hAnsi="Segoe UI" w:cs="Segoe UI" w:eastAsia="Segoe UI"/>
          <w:color w:val="67973F"/>
          <w:spacing w:val="-1"/>
          <w:sz w:val="19"/>
          <w:szCs w:val="19"/>
        </w:rPr>
        <w:t> </w:t>
      </w:r>
      <w:r>
        <w:rPr>
          <w:rFonts w:ascii="Segoe UI" w:hAnsi="Segoe UI" w:cs="Segoe UI" w:eastAsia="Segoe UI"/>
          <w:color w:val="67973F"/>
          <w:sz w:val="19"/>
          <w:szCs w:val="19"/>
        </w:rPr>
        <w:t>can affect attendance.</w:t>
      </w:r>
      <w:r>
        <w:rPr>
          <w:rFonts w:ascii="Segoe UI" w:hAnsi="Segoe UI" w:cs="Segoe UI" w:eastAsia="Segoe UI"/>
          <w:color w:val="67973F"/>
          <w:spacing w:val="-1"/>
          <w:sz w:val="19"/>
          <w:szCs w:val="19"/>
        </w:rPr>
        <w:t> </w:t>
      </w:r>
      <w:r>
        <w:rPr>
          <w:rFonts w:ascii="Segoe UI" w:hAnsi="Segoe UI" w:cs="Segoe UI" w:eastAsia="Segoe UI"/>
          <w:color w:val="67973F"/>
          <w:sz w:val="19"/>
          <w:szCs w:val="19"/>
        </w:rPr>
        <w:t>The provider</w:t>
      </w:r>
      <w:r>
        <w:rPr>
          <w:rFonts w:ascii="Segoe UI" w:hAnsi="Segoe UI" w:cs="Segoe UI" w:eastAsia="Segoe UI"/>
          <w:color w:val="67973F"/>
          <w:sz w:val="19"/>
          <w:szCs w:val="19"/>
        </w:rPr>
        <w:t> </w:t>
      </w:r>
      <w:r>
        <w:rPr>
          <w:rFonts w:ascii="Segoe UI" w:hAnsi="Segoe UI" w:cs="Segoe UI" w:eastAsia="Segoe UI"/>
          <w:color w:val="67973F"/>
          <w:sz w:val="19"/>
          <w:szCs w:val="19"/>
        </w:rPr>
        <w:t>also</w:t>
      </w:r>
      <w:r>
        <w:rPr>
          <w:rFonts w:ascii="Segoe UI" w:hAnsi="Segoe UI" w:cs="Segoe UI" w:eastAsia="Segoe UI"/>
          <w:color w:val="67973F"/>
          <w:spacing w:val="-5"/>
          <w:sz w:val="19"/>
          <w:szCs w:val="19"/>
        </w:rPr>
        <w:t> </w:t>
      </w:r>
      <w:r>
        <w:rPr>
          <w:rFonts w:ascii="Segoe UI" w:hAnsi="Segoe UI" w:cs="Segoe UI" w:eastAsia="Segoe UI"/>
          <w:color w:val="67973F"/>
          <w:sz w:val="19"/>
          <w:szCs w:val="19"/>
        </w:rPr>
        <w:t>provides</w:t>
      </w:r>
      <w:r>
        <w:rPr>
          <w:rFonts w:ascii="Segoe UI" w:hAnsi="Segoe UI" w:cs="Segoe UI" w:eastAsia="Segoe UI"/>
          <w:color w:val="67973F"/>
          <w:spacing w:val="-4"/>
          <w:sz w:val="19"/>
          <w:szCs w:val="19"/>
        </w:rPr>
        <w:t> </w:t>
      </w:r>
      <w:r>
        <w:rPr>
          <w:rFonts w:ascii="Segoe UI" w:hAnsi="Segoe UI" w:cs="Segoe UI" w:eastAsia="Segoe UI"/>
          <w:color w:val="67973F"/>
          <w:sz w:val="19"/>
          <w:szCs w:val="19"/>
        </w:rPr>
        <w:t>a</w:t>
      </w:r>
      <w:r>
        <w:rPr>
          <w:rFonts w:ascii="Segoe UI" w:hAnsi="Segoe UI" w:cs="Segoe UI" w:eastAsia="Segoe UI"/>
          <w:color w:val="67973F"/>
          <w:spacing w:val="-3"/>
          <w:sz w:val="19"/>
          <w:szCs w:val="19"/>
        </w:rPr>
        <w:t> </w:t>
      </w:r>
      <w:r>
        <w:rPr>
          <w:rFonts w:ascii="Segoe UI" w:hAnsi="Segoe UI" w:cs="Segoe UI" w:eastAsia="Segoe UI"/>
          <w:color w:val="67973F"/>
          <w:sz w:val="19"/>
          <w:szCs w:val="19"/>
        </w:rPr>
        <w:t>wide</w:t>
      </w:r>
      <w:r>
        <w:rPr>
          <w:rFonts w:ascii="Segoe UI" w:hAnsi="Segoe UI" w:cs="Segoe UI" w:eastAsia="Segoe UI"/>
          <w:color w:val="67973F"/>
          <w:spacing w:val="-4"/>
          <w:sz w:val="19"/>
          <w:szCs w:val="19"/>
        </w:rPr>
        <w:t> </w:t>
      </w:r>
      <w:r>
        <w:rPr>
          <w:rFonts w:ascii="Segoe UI" w:hAnsi="Segoe UI" w:cs="Segoe UI" w:eastAsia="Segoe UI"/>
          <w:color w:val="67973F"/>
          <w:sz w:val="19"/>
          <w:szCs w:val="19"/>
        </w:rPr>
        <w:t>range</w:t>
      </w:r>
      <w:r>
        <w:rPr>
          <w:rFonts w:ascii="Segoe UI" w:hAnsi="Segoe UI" w:cs="Segoe UI" w:eastAsia="Segoe UI"/>
          <w:color w:val="67973F"/>
          <w:spacing w:val="-5"/>
          <w:sz w:val="19"/>
          <w:szCs w:val="19"/>
        </w:rPr>
        <w:t> </w:t>
      </w:r>
      <w:r>
        <w:rPr>
          <w:rFonts w:ascii="Segoe UI" w:hAnsi="Segoe UI" w:cs="Segoe UI" w:eastAsia="Segoe UI"/>
          <w:color w:val="67973F"/>
          <w:sz w:val="19"/>
          <w:szCs w:val="19"/>
        </w:rPr>
        <w:t>of</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sporting</w:t>
      </w:r>
      <w:r>
        <w:rPr>
          <w:rFonts w:ascii="Segoe UI" w:hAnsi="Segoe UI" w:cs="Segoe UI" w:eastAsia="Segoe UI"/>
          <w:color w:val="67973F"/>
          <w:spacing w:val="-3"/>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4"/>
          <w:sz w:val="19"/>
          <w:szCs w:val="19"/>
        </w:rPr>
        <w:t> </w:t>
      </w:r>
      <w:r>
        <w:rPr>
          <w:rFonts w:ascii="Segoe UI" w:hAnsi="Segoe UI" w:cs="Segoe UI" w:eastAsia="Segoe UI"/>
          <w:color w:val="67973F"/>
          <w:sz w:val="19"/>
          <w:szCs w:val="19"/>
        </w:rPr>
        <w:t>other</w:t>
      </w:r>
      <w:r>
        <w:rPr>
          <w:rFonts w:ascii="Segoe UI" w:hAnsi="Segoe UI" w:cs="Segoe UI" w:eastAsia="Segoe UI"/>
          <w:color w:val="67973F"/>
          <w:spacing w:val="-4"/>
          <w:sz w:val="19"/>
          <w:szCs w:val="19"/>
        </w:rPr>
        <w:t> </w:t>
      </w:r>
      <w:r>
        <w:rPr>
          <w:rFonts w:ascii="Segoe UI" w:hAnsi="Segoe UI" w:cs="Segoe UI" w:eastAsia="Segoe UI"/>
          <w:color w:val="67973F"/>
          <w:sz w:val="19"/>
          <w:szCs w:val="19"/>
        </w:rPr>
        <w:t>activities</w:t>
      </w:r>
      <w:r>
        <w:rPr>
          <w:rFonts w:ascii="Segoe UI" w:hAnsi="Segoe UI" w:cs="Segoe UI" w:eastAsia="Segoe UI"/>
          <w:color w:val="67973F"/>
          <w:spacing w:val="-4"/>
          <w:sz w:val="19"/>
          <w:szCs w:val="19"/>
        </w:rPr>
        <w:t> </w:t>
      </w:r>
      <w:r>
        <w:rPr>
          <w:rFonts w:ascii="Segoe UI" w:hAnsi="Segoe UI" w:cs="Segoe UI" w:eastAsia="Segoe UI"/>
          <w:color w:val="67973F"/>
          <w:sz w:val="19"/>
          <w:szCs w:val="19"/>
        </w:rPr>
        <w:t>to</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keep</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students</w:t>
      </w:r>
      <w:r>
        <w:rPr>
          <w:rFonts w:ascii="Segoe UI" w:hAnsi="Segoe UI" w:cs="Segoe UI" w:eastAsia="Segoe UI"/>
          <w:color w:val="67973F"/>
          <w:spacing w:val="-4"/>
          <w:sz w:val="19"/>
          <w:szCs w:val="19"/>
        </w:rPr>
        <w:t> </w:t>
      </w:r>
      <w:r>
        <w:rPr>
          <w:rFonts w:ascii="Segoe UI" w:hAnsi="Segoe UI" w:cs="Segoe UI" w:eastAsia="Segoe UI"/>
          <w:color w:val="67973F"/>
          <w:sz w:val="19"/>
          <w:szCs w:val="19"/>
        </w:rPr>
        <w:t>engaged</w:t>
      </w:r>
      <w:r>
        <w:rPr>
          <w:rFonts w:ascii="Segoe UI" w:hAnsi="Segoe UI" w:cs="Segoe UI" w:eastAsia="Segoe UI"/>
          <w:color w:val="67973F"/>
          <w:spacing w:val="-3"/>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4"/>
          <w:sz w:val="19"/>
          <w:szCs w:val="19"/>
        </w:rPr>
        <w:t> </w:t>
      </w:r>
      <w:r>
        <w:rPr>
          <w:rFonts w:ascii="Segoe UI" w:hAnsi="Segoe UI" w:cs="Segoe UI" w:eastAsia="Segoe UI"/>
          <w:color w:val="67973F"/>
          <w:sz w:val="19"/>
          <w:szCs w:val="19"/>
        </w:rPr>
        <w:t>‘to</w:t>
      </w:r>
      <w:r>
        <w:rPr>
          <w:rFonts w:ascii="Segoe UI" w:hAnsi="Segoe UI" w:cs="Segoe UI" w:eastAsia="Segoe UI"/>
          <w:color w:val="67973F"/>
          <w:spacing w:val="-3"/>
          <w:sz w:val="19"/>
          <w:szCs w:val="19"/>
        </w:rPr>
        <w:t> </w:t>
      </w:r>
      <w:r>
        <w:rPr>
          <w:rFonts w:ascii="Segoe UI" w:hAnsi="Segoe UI" w:cs="Segoe UI" w:eastAsia="Segoe UI"/>
          <w:color w:val="67973F"/>
          <w:sz w:val="19"/>
          <w:szCs w:val="19"/>
        </w:rPr>
        <w:t>assist</w:t>
      </w:r>
      <w:r>
        <w:rPr>
          <w:rFonts w:ascii="Segoe UI" w:hAnsi="Segoe UI" w:cs="Segoe UI" w:eastAsia="Segoe UI"/>
          <w:color w:val="67973F"/>
          <w:spacing w:val="24"/>
          <w:sz w:val="19"/>
          <w:szCs w:val="19"/>
        </w:rPr>
        <w:t> </w:t>
      </w:r>
      <w:r>
        <w:rPr>
          <w:rFonts w:ascii="Segoe UI" w:hAnsi="Segoe UI" w:cs="Segoe UI" w:eastAsia="Segoe UI"/>
          <w:color w:val="67973F"/>
          <w:spacing w:val="-1"/>
          <w:sz w:val="19"/>
          <w:szCs w:val="19"/>
        </w:rPr>
        <w:t>students</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in</w:t>
      </w:r>
      <w:r>
        <w:rPr>
          <w:rFonts w:ascii="Segoe UI" w:hAnsi="Segoe UI" w:cs="Segoe UI" w:eastAsia="Segoe UI"/>
          <w:color w:val="67973F"/>
          <w:spacing w:val="-3"/>
          <w:sz w:val="19"/>
          <w:szCs w:val="19"/>
        </w:rPr>
        <w:t> </w:t>
      </w:r>
      <w:r>
        <w:rPr>
          <w:rFonts w:ascii="Segoe UI" w:hAnsi="Segoe UI" w:cs="Segoe UI" w:eastAsia="Segoe UI"/>
          <w:color w:val="67973F"/>
          <w:sz w:val="19"/>
          <w:szCs w:val="19"/>
        </w:rPr>
        <w:t>developing</w:t>
      </w:r>
      <w:r>
        <w:rPr>
          <w:rFonts w:ascii="Segoe UI" w:hAnsi="Segoe UI" w:cs="Segoe UI" w:eastAsia="Segoe UI"/>
          <w:color w:val="67973F"/>
          <w:spacing w:val="-4"/>
          <w:sz w:val="19"/>
          <w:szCs w:val="19"/>
        </w:rPr>
        <w:t> </w:t>
      </w:r>
      <w:r>
        <w:rPr>
          <w:rFonts w:ascii="Segoe UI" w:hAnsi="Segoe UI" w:cs="Segoe UI" w:eastAsia="Segoe UI"/>
          <w:color w:val="67973F"/>
          <w:sz w:val="19"/>
          <w:szCs w:val="19"/>
        </w:rPr>
        <w:t>resilience</w:t>
      </w:r>
      <w:r>
        <w:rPr>
          <w:rFonts w:ascii="Segoe UI" w:hAnsi="Segoe UI" w:cs="Segoe UI" w:eastAsia="Segoe UI"/>
          <w:color w:val="67973F"/>
          <w:spacing w:val="-5"/>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learning</w:t>
      </w:r>
      <w:r>
        <w:rPr>
          <w:rFonts w:ascii="Segoe UI" w:hAnsi="Segoe UI" w:cs="Segoe UI" w:eastAsia="Segoe UI"/>
          <w:color w:val="67973F"/>
          <w:spacing w:val="-3"/>
          <w:sz w:val="19"/>
          <w:szCs w:val="19"/>
        </w:rPr>
        <w:t> </w:t>
      </w:r>
      <w:r>
        <w:rPr>
          <w:rFonts w:ascii="Segoe UI" w:hAnsi="Segoe UI" w:cs="Segoe UI" w:eastAsia="Segoe UI"/>
          <w:color w:val="67973F"/>
          <w:sz w:val="19"/>
          <w:szCs w:val="19"/>
        </w:rPr>
        <w:t>how</w:t>
      </w:r>
      <w:r>
        <w:rPr>
          <w:rFonts w:ascii="Segoe UI" w:hAnsi="Segoe UI" w:cs="Segoe UI" w:eastAsia="Segoe UI"/>
          <w:color w:val="67973F"/>
          <w:spacing w:val="-3"/>
          <w:sz w:val="19"/>
          <w:szCs w:val="19"/>
        </w:rPr>
        <w:t> </w:t>
      </w:r>
      <w:r>
        <w:rPr>
          <w:rFonts w:ascii="Segoe UI" w:hAnsi="Segoe UI" w:cs="Segoe UI" w:eastAsia="Segoe UI"/>
          <w:color w:val="67973F"/>
          <w:sz w:val="19"/>
          <w:szCs w:val="19"/>
        </w:rPr>
        <w:t>to</w:t>
      </w:r>
      <w:r>
        <w:rPr>
          <w:rFonts w:ascii="Segoe UI" w:hAnsi="Segoe UI" w:cs="Segoe UI" w:eastAsia="Segoe UI"/>
          <w:color w:val="67973F"/>
          <w:spacing w:val="-3"/>
          <w:sz w:val="19"/>
          <w:szCs w:val="19"/>
        </w:rPr>
        <w:t> </w:t>
      </w:r>
      <w:r>
        <w:rPr>
          <w:rFonts w:ascii="Segoe UI" w:hAnsi="Segoe UI" w:cs="Segoe UI" w:eastAsia="Segoe UI"/>
          <w:color w:val="67973F"/>
          <w:sz w:val="19"/>
          <w:szCs w:val="19"/>
        </w:rPr>
        <w:t>cope</w:t>
      </w:r>
      <w:r>
        <w:rPr>
          <w:rFonts w:ascii="Segoe UI" w:hAnsi="Segoe UI" w:cs="Segoe UI" w:eastAsia="Segoe UI"/>
          <w:color w:val="67973F"/>
          <w:spacing w:val="-4"/>
          <w:sz w:val="19"/>
          <w:szCs w:val="19"/>
        </w:rPr>
        <w:t> </w:t>
      </w:r>
      <w:r>
        <w:rPr>
          <w:rFonts w:ascii="Segoe UI" w:hAnsi="Segoe UI" w:cs="Segoe UI" w:eastAsia="Segoe UI"/>
          <w:color w:val="67973F"/>
          <w:sz w:val="19"/>
          <w:szCs w:val="19"/>
        </w:rPr>
        <w:t>with</w:t>
      </w:r>
      <w:r>
        <w:rPr>
          <w:rFonts w:ascii="Segoe UI" w:hAnsi="Segoe UI" w:cs="Segoe UI" w:eastAsia="Segoe UI"/>
          <w:color w:val="67973F"/>
          <w:spacing w:val="-4"/>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4"/>
          <w:sz w:val="19"/>
          <w:szCs w:val="19"/>
        </w:rPr>
        <w:t> </w:t>
      </w:r>
      <w:r>
        <w:rPr>
          <w:rFonts w:ascii="Segoe UI" w:hAnsi="Segoe UI" w:cs="Segoe UI" w:eastAsia="Segoe UI"/>
          <w:color w:val="67973F"/>
          <w:sz w:val="19"/>
          <w:szCs w:val="19"/>
        </w:rPr>
        <w:t>demands</w:t>
      </w:r>
      <w:r>
        <w:rPr>
          <w:rFonts w:ascii="Segoe UI" w:hAnsi="Segoe UI" w:cs="Segoe UI" w:eastAsia="Segoe UI"/>
          <w:color w:val="67973F"/>
          <w:spacing w:val="-4"/>
          <w:sz w:val="19"/>
          <w:szCs w:val="19"/>
        </w:rPr>
        <w:t> </w:t>
      </w:r>
      <w:r>
        <w:rPr>
          <w:rFonts w:ascii="Segoe UI" w:hAnsi="Segoe UI" w:cs="Segoe UI" w:eastAsia="Segoe UI"/>
          <w:color w:val="67973F"/>
          <w:sz w:val="19"/>
          <w:szCs w:val="19"/>
        </w:rPr>
        <w:t>of</w:t>
      </w:r>
      <w:r>
        <w:rPr>
          <w:rFonts w:ascii="Segoe UI" w:hAnsi="Segoe UI" w:cs="Segoe UI" w:eastAsia="Segoe UI"/>
          <w:color w:val="67973F"/>
          <w:spacing w:val="-3"/>
          <w:sz w:val="19"/>
          <w:szCs w:val="19"/>
        </w:rPr>
        <w:t> </w:t>
      </w:r>
      <w:r>
        <w:rPr>
          <w:rFonts w:ascii="Segoe UI" w:hAnsi="Segoe UI" w:cs="Segoe UI" w:eastAsia="Segoe UI"/>
          <w:color w:val="67973F"/>
          <w:sz w:val="19"/>
          <w:szCs w:val="19"/>
        </w:rPr>
        <w:t>boarding</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school</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life’</w:t>
      </w:r>
      <w:r>
        <w:rPr>
          <w:rFonts w:ascii="Segoe UI" w:hAnsi="Segoe UI" w:cs="Segoe UI" w:eastAsia="Segoe UI"/>
          <w:sz w:val="19"/>
          <w:szCs w:val="19"/>
        </w:rPr>
      </w:r>
    </w:p>
    <w:p>
      <w:pPr>
        <w:spacing w:line="256" w:lineRule="auto" w:before="0"/>
        <w:ind w:left="100" w:right="401" w:firstLine="0"/>
        <w:jc w:val="both"/>
        <w:rPr>
          <w:rFonts w:ascii="Segoe UI" w:hAnsi="Segoe UI" w:cs="Segoe UI" w:eastAsia="Segoe UI"/>
          <w:sz w:val="19"/>
          <w:szCs w:val="19"/>
        </w:rPr>
      </w:pPr>
      <w:r>
        <w:rPr>
          <w:rFonts w:ascii="Segoe UI"/>
          <w:color w:val="67973F"/>
          <w:spacing w:val="-1"/>
          <w:sz w:val="19"/>
        </w:rPr>
        <w:t>in</w:t>
      </w:r>
      <w:r>
        <w:rPr>
          <w:rFonts w:ascii="Segoe UI"/>
          <w:color w:val="67973F"/>
          <w:spacing w:val="-4"/>
          <w:sz w:val="19"/>
        </w:rPr>
        <w:t> </w:t>
      </w:r>
      <w:r>
        <w:rPr>
          <w:rFonts w:ascii="Segoe UI"/>
          <w:color w:val="67973F"/>
          <w:sz w:val="19"/>
        </w:rPr>
        <w:t>the</w:t>
      </w:r>
      <w:r>
        <w:rPr>
          <w:rFonts w:ascii="Segoe UI"/>
          <w:color w:val="67973F"/>
          <w:spacing w:val="-5"/>
          <w:sz w:val="19"/>
        </w:rPr>
        <w:t> </w:t>
      </w:r>
      <w:r>
        <w:rPr>
          <w:rFonts w:ascii="Segoe UI"/>
          <w:color w:val="67973F"/>
          <w:sz w:val="19"/>
        </w:rPr>
        <w:t>remote</w:t>
      </w:r>
      <w:r>
        <w:rPr>
          <w:rFonts w:ascii="Segoe UI"/>
          <w:color w:val="67973F"/>
          <w:spacing w:val="-5"/>
          <w:sz w:val="19"/>
        </w:rPr>
        <w:t> </w:t>
      </w:r>
      <w:r>
        <w:rPr>
          <w:rFonts w:ascii="Segoe UI"/>
          <w:color w:val="67973F"/>
          <w:spacing w:val="-1"/>
          <w:sz w:val="19"/>
        </w:rPr>
        <w:t>location.</w:t>
      </w:r>
      <w:r>
        <w:rPr>
          <w:rFonts w:ascii="Segoe UI"/>
          <w:color w:val="67973F"/>
          <w:spacing w:val="-4"/>
          <w:sz w:val="19"/>
        </w:rPr>
        <w:t> </w:t>
      </w:r>
      <w:r>
        <w:rPr>
          <w:rFonts w:ascii="Segoe UI"/>
          <w:color w:val="67973F"/>
          <w:sz w:val="19"/>
        </w:rPr>
        <w:t>The</w:t>
      </w:r>
      <w:r>
        <w:rPr>
          <w:rFonts w:ascii="Segoe UI"/>
          <w:color w:val="67973F"/>
          <w:spacing w:val="-4"/>
          <w:sz w:val="19"/>
        </w:rPr>
        <w:t> </w:t>
      </w:r>
      <w:r>
        <w:rPr>
          <w:rFonts w:ascii="Segoe UI"/>
          <w:color w:val="67973F"/>
          <w:sz w:val="19"/>
        </w:rPr>
        <w:t>attendance</w:t>
      </w:r>
      <w:r>
        <w:rPr>
          <w:rFonts w:ascii="Segoe UI"/>
          <w:color w:val="67973F"/>
          <w:spacing w:val="-5"/>
          <w:sz w:val="19"/>
        </w:rPr>
        <w:t> </w:t>
      </w:r>
      <w:r>
        <w:rPr>
          <w:rFonts w:ascii="Segoe UI"/>
          <w:color w:val="67973F"/>
          <w:sz w:val="19"/>
        </w:rPr>
        <w:t>rate</w:t>
      </w:r>
      <w:r>
        <w:rPr>
          <w:rFonts w:ascii="Segoe UI"/>
          <w:color w:val="67973F"/>
          <w:spacing w:val="-5"/>
          <w:sz w:val="19"/>
        </w:rPr>
        <w:t> </w:t>
      </w:r>
      <w:r>
        <w:rPr>
          <w:rFonts w:ascii="Segoe UI"/>
          <w:color w:val="67973F"/>
          <w:sz w:val="19"/>
        </w:rPr>
        <w:t>at</w:t>
      </w:r>
      <w:r>
        <w:rPr>
          <w:rFonts w:ascii="Segoe UI"/>
          <w:color w:val="67973F"/>
          <w:spacing w:val="-4"/>
          <w:sz w:val="19"/>
        </w:rPr>
        <w:t> </w:t>
      </w:r>
      <w:r>
        <w:rPr>
          <w:rFonts w:ascii="Segoe UI"/>
          <w:color w:val="67973F"/>
          <w:sz w:val="19"/>
        </w:rPr>
        <w:t>the</w:t>
      </w:r>
      <w:r>
        <w:rPr>
          <w:rFonts w:ascii="Segoe UI"/>
          <w:color w:val="67973F"/>
          <w:spacing w:val="-4"/>
          <w:sz w:val="19"/>
        </w:rPr>
        <w:t> </w:t>
      </w:r>
      <w:r>
        <w:rPr>
          <w:rFonts w:ascii="Segoe UI"/>
          <w:color w:val="67973F"/>
          <w:sz w:val="19"/>
        </w:rPr>
        <w:t>boarding</w:t>
      </w:r>
      <w:r>
        <w:rPr>
          <w:rFonts w:ascii="Segoe UI"/>
          <w:color w:val="67973F"/>
          <w:spacing w:val="-5"/>
          <w:sz w:val="19"/>
        </w:rPr>
        <w:t> </w:t>
      </w:r>
      <w:r>
        <w:rPr>
          <w:rFonts w:ascii="Segoe UI"/>
          <w:color w:val="67973F"/>
          <w:sz w:val="19"/>
        </w:rPr>
        <w:t>provider</w:t>
      </w:r>
      <w:r>
        <w:rPr>
          <w:rFonts w:ascii="Segoe UI"/>
          <w:color w:val="67973F"/>
          <w:spacing w:val="-5"/>
          <w:sz w:val="19"/>
        </w:rPr>
        <w:t> </w:t>
      </w:r>
      <w:r>
        <w:rPr>
          <w:rFonts w:ascii="Segoe UI"/>
          <w:color w:val="67973F"/>
          <w:spacing w:val="-1"/>
          <w:sz w:val="19"/>
        </w:rPr>
        <w:t>in</w:t>
      </w:r>
      <w:r>
        <w:rPr>
          <w:rFonts w:ascii="Segoe UI"/>
          <w:color w:val="67973F"/>
          <w:spacing w:val="-4"/>
          <w:sz w:val="19"/>
        </w:rPr>
        <w:t> </w:t>
      </w:r>
      <w:r>
        <w:rPr>
          <w:rFonts w:ascii="Segoe UI"/>
          <w:color w:val="67973F"/>
          <w:spacing w:val="-1"/>
          <w:sz w:val="19"/>
        </w:rPr>
        <w:t>2017</w:t>
      </w:r>
      <w:r>
        <w:rPr>
          <w:rFonts w:ascii="Segoe UI"/>
          <w:color w:val="67973F"/>
          <w:spacing w:val="-4"/>
          <w:sz w:val="19"/>
        </w:rPr>
        <w:t> </w:t>
      </w:r>
      <w:r>
        <w:rPr>
          <w:rFonts w:ascii="Segoe UI"/>
          <w:color w:val="67973F"/>
          <w:sz w:val="19"/>
        </w:rPr>
        <w:t>(75.5</w:t>
      </w:r>
      <w:r>
        <w:rPr>
          <w:rFonts w:ascii="Segoe UI"/>
          <w:color w:val="67973F"/>
          <w:spacing w:val="-5"/>
          <w:sz w:val="19"/>
        </w:rPr>
        <w:t> </w:t>
      </w:r>
      <w:r>
        <w:rPr>
          <w:rFonts w:ascii="Segoe UI"/>
          <w:color w:val="67973F"/>
          <w:sz w:val="19"/>
        </w:rPr>
        <w:t>per</w:t>
      </w:r>
      <w:r>
        <w:rPr>
          <w:rFonts w:ascii="Segoe UI"/>
          <w:color w:val="67973F"/>
          <w:spacing w:val="-4"/>
          <w:sz w:val="19"/>
        </w:rPr>
        <w:t> </w:t>
      </w:r>
      <w:r>
        <w:rPr>
          <w:rFonts w:ascii="Segoe UI"/>
          <w:color w:val="67973F"/>
          <w:sz w:val="19"/>
        </w:rPr>
        <w:t>cent)</w:t>
      </w:r>
      <w:r>
        <w:rPr>
          <w:rFonts w:ascii="Segoe UI"/>
          <w:color w:val="67973F"/>
          <w:spacing w:val="-4"/>
          <w:sz w:val="19"/>
        </w:rPr>
        <w:t> </w:t>
      </w:r>
      <w:r>
        <w:rPr>
          <w:rFonts w:ascii="Segoe UI"/>
          <w:color w:val="67973F"/>
          <w:sz w:val="19"/>
        </w:rPr>
        <w:t>exceeded</w:t>
      </w:r>
      <w:r>
        <w:rPr>
          <w:rFonts w:ascii="Segoe UI"/>
          <w:color w:val="67973F"/>
          <w:spacing w:val="25"/>
          <w:w w:val="99"/>
          <w:sz w:val="19"/>
        </w:rPr>
        <w:t> </w:t>
      </w:r>
      <w:r>
        <w:rPr>
          <w:rFonts w:ascii="Segoe UI"/>
          <w:color w:val="67973F"/>
          <w:sz w:val="19"/>
        </w:rPr>
        <w:t>the</w:t>
      </w:r>
      <w:r>
        <w:rPr>
          <w:rFonts w:ascii="Segoe UI"/>
          <w:color w:val="67973F"/>
          <w:spacing w:val="-5"/>
          <w:sz w:val="19"/>
        </w:rPr>
        <w:t> </w:t>
      </w:r>
      <w:r>
        <w:rPr>
          <w:rFonts w:ascii="Segoe UI"/>
          <w:color w:val="67973F"/>
          <w:sz w:val="19"/>
        </w:rPr>
        <w:t>attendance</w:t>
      </w:r>
      <w:r>
        <w:rPr>
          <w:rFonts w:ascii="Segoe UI"/>
          <w:color w:val="67973F"/>
          <w:spacing w:val="-4"/>
          <w:sz w:val="19"/>
        </w:rPr>
        <w:t> </w:t>
      </w:r>
      <w:r>
        <w:rPr>
          <w:rFonts w:ascii="Segoe UI"/>
          <w:color w:val="67973F"/>
          <w:sz w:val="19"/>
        </w:rPr>
        <w:t>rate</w:t>
      </w:r>
      <w:r>
        <w:rPr>
          <w:rFonts w:ascii="Segoe UI"/>
          <w:color w:val="67973F"/>
          <w:spacing w:val="-4"/>
          <w:sz w:val="19"/>
        </w:rPr>
        <w:t> </w:t>
      </w:r>
      <w:r>
        <w:rPr>
          <w:rFonts w:ascii="Segoe UI"/>
          <w:color w:val="67973F"/>
          <w:sz w:val="19"/>
        </w:rPr>
        <w:t>at</w:t>
      </w:r>
      <w:r>
        <w:rPr>
          <w:rFonts w:ascii="Segoe UI"/>
          <w:color w:val="67973F"/>
          <w:spacing w:val="-3"/>
          <w:sz w:val="19"/>
        </w:rPr>
        <w:t> </w:t>
      </w:r>
      <w:r>
        <w:rPr>
          <w:rFonts w:ascii="Segoe UI"/>
          <w:color w:val="67973F"/>
          <w:sz w:val="19"/>
        </w:rPr>
        <w:t>the</w:t>
      </w:r>
      <w:r>
        <w:rPr>
          <w:rFonts w:ascii="Segoe UI"/>
          <w:color w:val="67973F"/>
          <w:spacing w:val="-5"/>
          <w:sz w:val="19"/>
        </w:rPr>
        <w:t> </w:t>
      </w:r>
      <w:r>
        <w:rPr>
          <w:rFonts w:ascii="Segoe UI"/>
          <w:color w:val="67973F"/>
          <w:sz w:val="19"/>
        </w:rPr>
        <w:t>other</w:t>
      </w:r>
      <w:r>
        <w:rPr>
          <w:rFonts w:ascii="Segoe UI"/>
          <w:color w:val="67973F"/>
          <w:spacing w:val="-3"/>
          <w:sz w:val="19"/>
        </w:rPr>
        <w:t> </w:t>
      </w:r>
      <w:r>
        <w:rPr>
          <w:rFonts w:ascii="Segoe UI"/>
          <w:color w:val="67973F"/>
          <w:spacing w:val="-1"/>
          <w:sz w:val="19"/>
        </w:rPr>
        <w:t>secondary</w:t>
      </w:r>
      <w:r>
        <w:rPr>
          <w:rFonts w:ascii="Segoe UI"/>
          <w:color w:val="67973F"/>
          <w:spacing w:val="-2"/>
          <w:sz w:val="19"/>
        </w:rPr>
        <w:t> </w:t>
      </w:r>
      <w:r>
        <w:rPr>
          <w:rFonts w:ascii="Segoe UI"/>
          <w:color w:val="67973F"/>
          <w:spacing w:val="-1"/>
          <w:sz w:val="19"/>
        </w:rPr>
        <w:t>school</w:t>
      </w:r>
      <w:r>
        <w:rPr>
          <w:rFonts w:ascii="Segoe UI"/>
          <w:color w:val="67973F"/>
          <w:spacing w:val="-4"/>
          <w:sz w:val="19"/>
        </w:rPr>
        <w:t> </w:t>
      </w:r>
      <w:r>
        <w:rPr>
          <w:rFonts w:ascii="Segoe UI"/>
          <w:color w:val="67973F"/>
          <w:spacing w:val="-1"/>
          <w:sz w:val="19"/>
        </w:rPr>
        <w:t>in</w:t>
      </w:r>
      <w:r>
        <w:rPr>
          <w:rFonts w:ascii="Segoe UI"/>
          <w:color w:val="67973F"/>
          <w:spacing w:val="-3"/>
          <w:sz w:val="19"/>
        </w:rPr>
        <w:t> </w:t>
      </w:r>
      <w:r>
        <w:rPr>
          <w:rFonts w:ascii="Segoe UI"/>
          <w:color w:val="67973F"/>
          <w:sz w:val="19"/>
        </w:rPr>
        <w:t>the</w:t>
      </w:r>
      <w:r>
        <w:rPr>
          <w:rFonts w:ascii="Segoe UI"/>
          <w:color w:val="67973F"/>
          <w:spacing w:val="-4"/>
          <w:sz w:val="19"/>
        </w:rPr>
        <w:t> </w:t>
      </w:r>
      <w:r>
        <w:rPr>
          <w:rFonts w:ascii="Segoe UI"/>
          <w:color w:val="67973F"/>
          <w:sz w:val="19"/>
        </w:rPr>
        <w:t>region</w:t>
      </w:r>
      <w:r>
        <w:rPr>
          <w:rFonts w:ascii="Segoe UI"/>
          <w:color w:val="67973F"/>
          <w:spacing w:val="-4"/>
          <w:sz w:val="19"/>
        </w:rPr>
        <w:t> </w:t>
      </w:r>
      <w:r>
        <w:rPr>
          <w:rFonts w:ascii="Segoe UI"/>
          <w:color w:val="67973F"/>
          <w:sz w:val="19"/>
        </w:rPr>
        <w:t>(62</w:t>
      </w:r>
      <w:r>
        <w:rPr>
          <w:rFonts w:ascii="Segoe UI"/>
          <w:color w:val="67973F"/>
          <w:spacing w:val="-4"/>
          <w:sz w:val="19"/>
        </w:rPr>
        <w:t> </w:t>
      </w:r>
      <w:r>
        <w:rPr>
          <w:rFonts w:ascii="Segoe UI"/>
          <w:color w:val="67973F"/>
          <w:sz w:val="19"/>
        </w:rPr>
        <w:t>per</w:t>
      </w:r>
      <w:r>
        <w:rPr>
          <w:rFonts w:ascii="Segoe UI"/>
          <w:color w:val="67973F"/>
          <w:spacing w:val="-4"/>
          <w:sz w:val="19"/>
        </w:rPr>
        <w:t> </w:t>
      </w:r>
      <w:r>
        <w:rPr>
          <w:rFonts w:ascii="Segoe UI"/>
          <w:color w:val="67973F"/>
          <w:sz w:val="19"/>
        </w:rPr>
        <w:t>cent)</w:t>
      </w:r>
      <w:r>
        <w:rPr>
          <w:rFonts w:ascii="Segoe UI"/>
          <w:color w:val="67973F"/>
          <w:spacing w:val="-3"/>
          <w:sz w:val="19"/>
        </w:rPr>
        <w:t> </w:t>
      </w:r>
      <w:r>
        <w:rPr>
          <w:rFonts w:ascii="Segoe UI"/>
          <w:color w:val="67973F"/>
          <w:sz w:val="19"/>
        </w:rPr>
        <w:t>by</w:t>
      </w:r>
      <w:r>
        <w:rPr>
          <w:rFonts w:ascii="Segoe UI"/>
          <w:color w:val="67973F"/>
          <w:spacing w:val="-3"/>
          <w:sz w:val="19"/>
        </w:rPr>
        <w:t> </w:t>
      </w:r>
      <w:r>
        <w:rPr>
          <w:rFonts w:ascii="Segoe UI"/>
          <w:color w:val="67973F"/>
          <w:spacing w:val="-1"/>
          <w:sz w:val="19"/>
        </w:rPr>
        <w:t>13.5</w:t>
      </w:r>
      <w:r>
        <w:rPr>
          <w:rFonts w:ascii="Segoe UI"/>
          <w:color w:val="67973F"/>
          <w:spacing w:val="-4"/>
          <w:sz w:val="19"/>
        </w:rPr>
        <w:t> </w:t>
      </w:r>
      <w:r>
        <w:rPr>
          <w:rFonts w:ascii="Segoe UI"/>
          <w:color w:val="67973F"/>
          <w:sz w:val="19"/>
        </w:rPr>
        <w:t>per</w:t>
      </w:r>
      <w:r>
        <w:rPr>
          <w:rFonts w:ascii="Segoe UI"/>
          <w:color w:val="67973F"/>
          <w:spacing w:val="-3"/>
          <w:sz w:val="19"/>
        </w:rPr>
        <w:t> </w:t>
      </w:r>
      <w:r>
        <w:rPr>
          <w:rFonts w:ascii="Segoe UI"/>
          <w:color w:val="67973F"/>
          <w:sz w:val="19"/>
        </w:rPr>
        <w:t>cent</w:t>
      </w:r>
      <w:r>
        <w:rPr>
          <w:rFonts w:ascii="Segoe UI"/>
          <w:color w:val="67973F"/>
          <w:spacing w:val="-4"/>
          <w:sz w:val="19"/>
        </w:rPr>
        <w:t> </w:t>
      </w:r>
      <w:r>
        <w:rPr>
          <w:rFonts w:ascii="Segoe UI"/>
          <w:color w:val="67973F"/>
          <w:sz w:val="19"/>
        </w:rPr>
        <w:t>and</w:t>
      </w:r>
      <w:r>
        <w:rPr>
          <w:rFonts w:ascii="Segoe UI"/>
          <w:color w:val="67973F"/>
          <w:spacing w:val="-4"/>
          <w:sz w:val="19"/>
        </w:rPr>
        <w:t> </w:t>
      </w:r>
      <w:r>
        <w:rPr>
          <w:rFonts w:ascii="Segoe UI"/>
          <w:color w:val="67973F"/>
          <w:sz w:val="19"/>
        </w:rPr>
        <w:t>the</w:t>
      </w:r>
      <w:r>
        <w:rPr>
          <w:rFonts w:ascii="Segoe UI"/>
          <w:color w:val="67973F"/>
          <w:spacing w:val="25"/>
          <w:w w:val="99"/>
          <w:sz w:val="19"/>
        </w:rPr>
        <w:t> </w:t>
      </w:r>
      <w:r>
        <w:rPr>
          <w:rFonts w:ascii="Segoe UI"/>
          <w:color w:val="67973F"/>
          <w:spacing w:val="-1"/>
          <w:sz w:val="19"/>
        </w:rPr>
        <w:t>jurisdiction</w:t>
      </w:r>
      <w:r>
        <w:rPr>
          <w:rFonts w:ascii="Segoe UI"/>
          <w:color w:val="67973F"/>
          <w:spacing w:val="-4"/>
          <w:sz w:val="19"/>
        </w:rPr>
        <w:t> </w:t>
      </w:r>
      <w:r>
        <w:rPr>
          <w:rFonts w:ascii="Segoe UI"/>
          <w:color w:val="67973F"/>
          <w:sz w:val="19"/>
        </w:rPr>
        <w:t>wide</w:t>
      </w:r>
      <w:r>
        <w:rPr>
          <w:rFonts w:ascii="Segoe UI"/>
          <w:color w:val="67973F"/>
          <w:spacing w:val="-5"/>
          <w:sz w:val="19"/>
        </w:rPr>
        <w:t> </w:t>
      </w:r>
      <w:r>
        <w:rPr>
          <w:rFonts w:ascii="Segoe UI"/>
          <w:color w:val="67973F"/>
          <w:sz w:val="19"/>
        </w:rPr>
        <w:t>attendance</w:t>
      </w:r>
      <w:r>
        <w:rPr>
          <w:rFonts w:ascii="Segoe UI"/>
          <w:color w:val="67973F"/>
          <w:spacing w:val="-4"/>
          <w:sz w:val="19"/>
        </w:rPr>
        <w:t> </w:t>
      </w:r>
      <w:r>
        <w:rPr>
          <w:rFonts w:ascii="Segoe UI"/>
          <w:color w:val="67973F"/>
          <w:sz w:val="19"/>
        </w:rPr>
        <w:t>rate</w:t>
      </w:r>
      <w:r>
        <w:rPr>
          <w:rFonts w:ascii="Segoe UI"/>
          <w:color w:val="67973F"/>
          <w:spacing w:val="-5"/>
          <w:sz w:val="19"/>
        </w:rPr>
        <w:t> </w:t>
      </w:r>
      <w:r>
        <w:rPr>
          <w:rFonts w:ascii="Segoe UI"/>
          <w:color w:val="67973F"/>
          <w:sz w:val="19"/>
        </w:rPr>
        <w:t>of</w:t>
      </w:r>
      <w:r>
        <w:rPr>
          <w:rFonts w:ascii="Segoe UI"/>
          <w:color w:val="67973F"/>
          <w:spacing w:val="-3"/>
          <w:sz w:val="19"/>
        </w:rPr>
        <w:t> </w:t>
      </w:r>
      <w:r>
        <w:rPr>
          <w:rFonts w:ascii="Segoe UI"/>
          <w:color w:val="67973F"/>
          <w:spacing w:val="-1"/>
          <w:sz w:val="19"/>
        </w:rPr>
        <w:t>66</w:t>
      </w:r>
      <w:r>
        <w:rPr>
          <w:rFonts w:ascii="Segoe UI"/>
          <w:color w:val="67973F"/>
          <w:spacing w:val="-4"/>
          <w:sz w:val="19"/>
        </w:rPr>
        <w:t> </w:t>
      </w:r>
      <w:r>
        <w:rPr>
          <w:rFonts w:ascii="Segoe UI"/>
          <w:color w:val="67973F"/>
          <w:sz w:val="19"/>
        </w:rPr>
        <w:t>per</w:t>
      </w:r>
      <w:r>
        <w:rPr>
          <w:rFonts w:ascii="Segoe UI"/>
          <w:color w:val="67973F"/>
          <w:spacing w:val="-4"/>
          <w:sz w:val="19"/>
        </w:rPr>
        <w:t> </w:t>
      </w:r>
      <w:r>
        <w:rPr>
          <w:rFonts w:ascii="Segoe UI"/>
          <w:color w:val="67973F"/>
          <w:sz w:val="19"/>
        </w:rPr>
        <w:t>cent.</w:t>
      </w:r>
      <w:r>
        <w:rPr>
          <w:rFonts w:ascii="Segoe UI"/>
          <w:sz w:val="19"/>
        </w:rPr>
      </w:r>
    </w:p>
    <w:p>
      <w:pPr>
        <w:spacing w:line="240" w:lineRule="auto" w:before="6"/>
        <w:rPr>
          <w:rFonts w:ascii="Segoe UI" w:hAnsi="Segoe UI" w:cs="Segoe UI" w:eastAsia="Segoe UI"/>
          <w:sz w:val="18"/>
          <w:szCs w:val="18"/>
        </w:rPr>
      </w:pPr>
    </w:p>
    <w:p>
      <w:pPr>
        <w:spacing w:line="200" w:lineRule="atLeast"/>
        <w:ind w:left="100" w:right="0" w:firstLine="0"/>
        <w:rPr>
          <w:rFonts w:ascii="Segoe UI" w:hAnsi="Segoe UI" w:cs="Segoe UI" w:eastAsia="Segoe UI"/>
          <w:sz w:val="20"/>
          <w:szCs w:val="20"/>
        </w:rPr>
      </w:pPr>
      <w:r>
        <w:rPr>
          <w:rFonts w:ascii="Segoe UI" w:hAnsi="Segoe UI" w:cs="Segoe UI" w:eastAsia="Segoe UI"/>
          <w:sz w:val="20"/>
          <w:szCs w:val="20"/>
        </w:rPr>
        <w:pict>
          <v:group style="width:439.4pt;height:106.6pt;mso-position-horizontal-relative:char;mso-position-vertical-relative:line" coordorigin="0,0" coordsize="8788,2132">
            <v:shape style="position:absolute;left:811;top:0;width:1456;height:2131" type="#_x0000_t75" stroked="false">
              <v:imagedata r:id="rId45" o:title=""/>
            </v:shape>
            <v:group style="position:absolute;left:283;top:737;width:8504;height:284" coordorigin="283,737" coordsize="8504,284">
              <v:shape style="position:absolute;left:283;top:737;width:8504;height:284" coordorigin="283,737" coordsize="8504,284" path="m283,1021l8787,1021,8787,737,283,737,283,1021xe" filled="true" fillcolor="#97bf3d" stroked="false">
                <v:path arrowok="t"/>
                <v:fill type="solid"/>
              </v:shape>
            </v:group>
            <v:group style="position:absolute;left:0;top:737;width:284;height:284" coordorigin="0,737" coordsize="284,284">
              <v:shape style="position:absolute;left:0;top:737;width:284;height:284" coordorigin="0,737" coordsize="284,284" path="m0,1021l283,1021,283,737,0,737,0,1021xe" filled="true" fillcolor="#67973f" stroked="false">
                <v:path arrowok="t"/>
                <v:fill type="solid"/>
              </v:shape>
              <v:shape style="position:absolute;left:369;top:791;width:1156;height:180" type="#_x0000_t202" filled="false" stroked="false">
                <v:textbox inset="0,0,0,0">
                  <w:txbxContent>
                    <w:p>
                      <w:pPr>
                        <w:spacing w:line="180" w:lineRule="exact" w:before="0"/>
                        <w:ind w:left="0" w:right="0" w:firstLine="0"/>
                        <w:jc w:val="left"/>
                        <w:rPr>
                          <w:rFonts w:ascii="Segoe UI" w:hAnsi="Segoe UI" w:cs="Segoe UI" w:eastAsia="Segoe UI"/>
                          <w:sz w:val="18"/>
                          <w:szCs w:val="18"/>
                        </w:rPr>
                      </w:pPr>
                      <w:r>
                        <w:rPr>
                          <w:rFonts w:ascii="Segoe UI"/>
                          <w:b/>
                          <w:i/>
                          <w:color w:val="FFFFFF"/>
                          <w:spacing w:val="-1"/>
                          <w:sz w:val="18"/>
                        </w:rPr>
                        <w:t>Case</w:t>
                      </w:r>
                      <w:r>
                        <w:rPr>
                          <w:rFonts w:ascii="Segoe UI"/>
                          <w:b/>
                          <w:i/>
                          <w:color w:val="FFFFFF"/>
                          <w:spacing w:val="-4"/>
                          <w:sz w:val="18"/>
                        </w:rPr>
                        <w:t> </w:t>
                      </w:r>
                      <w:r>
                        <w:rPr>
                          <w:rFonts w:ascii="Segoe UI"/>
                          <w:b/>
                          <w:i/>
                          <w:color w:val="FFFFFF"/>
                          <w:sz w:val="18"/>
                        </w:rPr>
                        <w:t>study</w:t>
                      </w:r>
                      <w:r>
                        <w:rPr>
                          <w:rFonts w:ascii="Segoe UI"/>
                          <w:b/>
                          <w:i/>
                          <w:color w:val="FFFFFF"/>
                          <w:spacing w:val="-5"/>
                          <w:sz w:val="18"/>
                        </w:rPr>
                        <w:t> </w:t>
                      </w:r>
                      <w:r>
                        <w:rPr>
                          <w:rFonts w:ascii="Segoe UI"/>
                          <w:b/>
                          <w:i/>
                          <w:color w:val="FFFFFF"/>
                          <w:spacing w:val="-1"/>
                          <w:sz w:val="18"/>
                        </w:rPr>
                        <w:t>11</w:t>
                      </w:r>
                      <w:r>
                        <w:rPr>
                          <w:rFonts w:ascii="Segoe UI"/>
                          <w:sz w:val="18"/>
                        </w:rPr>
                      </w:r>
                    </w:p>
                  </w:txbxContent>
                </v:textbox>
                <w10:wrap type="none"/>
              </v:shape>
              <v:shape style="position:absolute;left:2880;top:1452;width:5439;height:480" type="#_x0000_t202" filled="false" stroked="false">
                <v:textbox inset="0,0,0,0">
                  <w:txbxContent>
                    <w:p>
                      <w:pPr>
                        <w:spacing w:line="212" w:lineRule="exact" w:before="0"/>
                        <w:ind w:left="0" w:right="0" w:firstLine="0"/>
                        <w:jc w:val="left"/>
                        <w:rPr>
                          <w:rFonts w:ascii="Segoe UI" w:hAnsi="Segoe UI" w:cs="Segoe UI" w:eastAsia="Segoe UI"/>
                          <w:sz w:val="20"/>
                          <w:szCs w:val="20"/>
                        </w:rPr>
                      </w:pPr>
                      <w:r>
                        <w:rPr>
                          <w:rFonts w:ascii="Segoe UI"/>
                          <w:b/>
                          <w:color w:val="67973F"/>
                          <w:sz w:val="20"/>
                        </w:rPr>
                        <w:t>Connecting</w:t>
                      </w:r>
                      <w:r>
                        <w:rPr>
                          <w:rFonts w:ascii="Segoe UI"/>
                          <w:b/>
                          <w:color w:val="67973F"/>
                          <w:spacing w:val="-1"/>
                          <w:sz w:val="20"/>
                        </w:rPr>
                        <w:t> culture</w:t>
                      </w:r>
                      <w:r>
                        <w:rPr>
                          <w:rFonts w:ascii="Segoe UI"/>
                          <w:b/>
                          <w:color w:val="67973F"/>
                          <w:sz w:val="20"/>
                        </w:rPr>
                        <w:t> </w:t>
                      </w:r>
                      <w:r>
                        <w:rPr>
                          <w:rFonts w:ascii="Segoe UI"/>
                          <w:b/>
                          <w:color w:val="67973F"/>
                          <w:spacing w:val="-1"/>
                          <w:sz w:val="20"/>
                        </w:rPr>
                        <w:t>with</w:t>
                      </w:r>
                      <w:r>
                        <w:rPr>
                          <w:rFonts w:ascii="Segoe UI"/>
                          <w:b/>
                          <w:color w:val="67973F"/>
                          <w:sz w:val="20"/>
                        </w:rPr>
                        <w:t> education,</w:t>
                      </w:r>
                      <w:r>
                        <w:rPr>
                          <w:rFonts w:ascii="Segoe UI"/>
                          <w:b/>
                          <w:color w:val="67973F"/>
                          <w:spacing w:val="-1"/>
                          <w:sz w:val="20"/>
                        </w:rPr>
                        <w:t> </w:t>
                      </w:r>
                      <w:r>
                        <w:rPr>
                          <w:rFonts w:ascii="Segoe UI"/>
                          <w:b/>
                          <w:color w:val="67973F"/>
                          <w:sz w:val="20"/>
                        </w:rPr>
                        <w:t>The</w:t>
                      </w:r>
                      <w:r>
                        <w:rPr>
                          <w:rFonts w:ascii="Segoe UI"/>
                          <w:b/>
                          <w:color w:val="67973F"/>
                          <w:spacing w:val="-1"/>
                          <w:sz w:val="20"/>
                        </w:rPr>
                        <w:t> Yiramalay/Wesley</w:t>
                      </w:r>
                      <w:r>
                        <w:rPr>
                          <w:rFonts w:ascii="Segoe UI"/>
                          <w:sz w:val="20"/>
                        </w:rPr>
                      </w:r>
                    </w:p>
                    <w:p>
                      <w:pPr>
                        <w:spacing w:line="254" w:lineRule="exact" w:before="14"/>
                        <w:ind w:left="0" w:right="0" w:firstLine="0"/>
                        <w:jc w:val="left"/>
                        <w:rPr>
                          <w:rFonts w:ascii="Segoe UI" w:hAnsi="Segoe UI" w:cs="Segoe UI" w:eastAsia="Segoe UI"/>
                          <w:sz w:val="11"/>
                          <w:szCs w:val="11"/>
                        </w:rPr>
                      </w:pPr>
                      <w:r>
                        <w:rPr>
                          <w:rFonts w:ascii="Segoe UI"/>
                          <w:b/>
                          <w:color w:val="67973F"/>
                          <w:spacing w:val="-2"/>
                          <w:sz w:val="20"/>
                        </w:rPr>
                        <w:t>Studio</w:t>
                      </w:r>
                      <w:r>
                        <w:rPr>
                          <w:rFonts w:ascii="Segoe UI"/>
                          <w:b/>
                          <w:color w:val="67973F"/>
                          <w:sz w:val="20"/>
                        </w:rPr>
                        <w:t> School,</w:t>
                      </w:r>
                      <w:r>
                        <w:rPr>
                          <w:rFonts w:ascii="Segoe UI"/>
                          <w:b/>
                          <w:color w:val="67973F"/>
                          <w:spacing w:val="-1"/>
                          <w:sz w:val="20"/>
                        </w:rPr>
                        <w:t> Fitzroy</w:t>
                      </w:r>
                      <w:r>
                        <w:rPr>
                          <w:rFonts w:ascii="Segoe UI"/>
                          <w:b/>
                          <w:color w:val="67973F"/>
                          <w:sz w:val="20"/>
                        </w:rPr>
                        <w:t> </w:t>
                      </w:r>
                      <w:r>
                        <w:rPr>
                          <w:rFonts w:ascii="Segoe UI"/>
                          <w:b/>
                          <w:color w:val="67973F"/>
                          <w:spacing w:val="-1"/>
                          <w:sz w:val="20"/>
                        </w:rPr>
                        <w:t>Crossing,</w:t>
                      </w:r>
                      <w:r>
                        <w:rPr>
                          <w:rFonts w:ascii="Segoe UI"/>
                          <w:b/>
                          <w:color w:val="67973F"/>
                          <w:spacing w:val="1"/>
                          <w:sz w:val="20"/>
                        </w:rPr>
                        <w:t> </w:t>
                      </w:r>
                      <w:r>
                        <w:rPr>
                          <w:rFonts w:ascii="Segoe UI"/>
                          <w:b/>
                          <w:color w:val="67973F"/>
                          <w:spacing w:val="-1"/>
                          <w:sz w:val="20"/>
                        </w:rPr>
                        <w:t>Western</w:t>
                      </w:r>
                      <w:r>
                        <w:rPr>
                          <w:rFonts w:ascii="Segoe UI"/>
                          <w:b/>
                          <w:color w:val="67973F"/>
                          <w:spacing w:val="1"/>
                          <w:sz w:val="20"/>
                        </w:rPr>
                        <w:t> </w:t>
                      </w:r>
                      <w:r>
                        <w:rPr>
                          <w:rFonts w:ascii="Segoe UI"/>
                          <w:b/>
                          <w:color w:val="67973F"/>
                          <w:spacing w:val="-1"/>
                          <w:sz w:val="20"/>
                        </w:rPr>
                        <w:t>Australia</w:t>
                      </w:r>
                      <w:r>
                        <w:rPr>
                          <w:rFonts w:ascii="Segoe UI"/>
                          <w:b/>
                          <w:color w:val="67973F"/>
                          <w:spacing w:val="-1"/>
                          <w:position w:val="7"/>
                          <w:sz w:val="11"/>
                        </w:rPr>
                        <w:t>170</w:t>
                      </w:r>
                      <w:r>
                        <w:rPr>
                          <w:rFonts w:ascii="Segoe UI"/>
                          <w:sz w:val="11"/>
                        </w:rPr>
                      </w:r>
                    </w:p>
                  </w:txbxContent>
                </v:textbox>
                <w10:wrap type="none"/>
              </v:shape>
            </v:group>
          </v:group>
        </w:pict>
      </w:r>
      <w:r>
        <w:rPr>
          <w:rFonts w:ascii="Segoe UI" w:hAnsi="Segoe UI" w:cs="Segoe UI" w:eastAsia="Segoe UI"/>
          <w:sz w:val="20"/>
          <w:szCs w:val="20"/>
        </w:rPr>
      </w:r>
    </w:p>
    <w:p>
      <w:pPr>
        <w:spacing w:line="240" w:lineRule="auto" w:before="2"/>
        <w:rPr>
          <w:rFonts w:ascii="Segoe UI" w:hAnsi="Segoe UI" w:cs="Segoe UI" w:eastAsia="Segoe UI"/>
          <w:sz w:val="12"/>
          <w:szCs w:val="12"/>
        </w:rPr>
      </w:pPr>
    </w:p>
    <w:p>
      <w:pPr>
        <w:spacing w:line="246" w:lineRule="auto" w:before="49"/>
        <w:ind w:left="100" w:right="210" w:firstLine="0"/>
        <w:jc w:val="left"/>
        <w:rPr>
          <w:rFonts w:ascii="Segoe UI" w:hAnsi="Segoe UI" w:cs="Segoe UI" w:eastAsia="Segoe UI"/>
          <w:sz w:val="19"/>
          <w:szCs w:val="19"/>
        </w:rPr>
      </w:pPr>
      <w:r>
        <w:rPr>
          <w:rFonts w:ascii="Segoe UI" w:hAnsi="Segoe UI" w:cs="Segoe UI" w:eastAsia="Segoe UI"/>
          <w:color w:val="67973F"/>
          <w:sz w:val="19"/>
          <w:szCs w:val="19"/>
        </w:rPr>
        <w:t>‘In</w:t>
      </w:r>
      <w:r>
        <w:rPr>
          <w:rFonts w:ascii="Segoe UI" w:hAnsi="Segoe UI" w:cs="Segoe UI" w:eastAsia="Segoe UI"/>
          <w:color w:val="67973F"/>
          <w:spacing w:val="-5"/>
          <w:sz w:val="19"/>
          <w:szCs w:val="19"/>
        </w:rPr>
        <w:t> </w:t>
      </w:r>
      <w:r>
        <w:rPr>
          <w:rFonts w:ascii="Segoe UI" w:hAnsi="Segoe UI" w:cs="Segoe UI" w:eastAsia="Segoe UI"/>
          <w:color w:val="67973F"/>
          <w:sz w:val="19"/>
          <w:szCs w:val="19"/>
        </w:rPr>
        <w:t>November</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2004,</w:t>
      </w:r>
      <w:r>
        <w:rPr>
          <w:rFonts w:ascii="Segoe UI" w:hAnsi="Segoe UI" w:cs="Segoe UI" w:eastAsia="Segoe UI"/>
          <w:color w:val="67973F"/>
          <w:spacing w:val="-4"/>
          <w:sz w:val="19"/>
          <w:szCs w:val="19"/>
        </w:rPr>
        <w:t> </w:t>
      </w:r>
      <w:r>
        <w:rPr>
          <w:rFonts w:ascii="Segoe UI" w:hAnsi="Segoe UI" w:cs="Segoe UI" w:eastAsia="Segoe UI"/>
          <w:color w:val="67973F"/>
          <w:sz w:val="19"/>
          <w:szCs w:val="19"/>
        </w:rPr>
        <w:t>a</w:t>
      </w:r>
      <w:r>
        <w:rPr>
          <w:rFonts w:ascii="Segoe UI" w:hAnsi="Segoe UI" w:cs="Segoe UI" w:eastAsia="Segoe UI"/>
          <w:color w:val="67973F"/>
          <w:spacing w:val="-5"/>
          <w:sz w:val="19"/>
          <w:szCs w:val="19"/>
        </w:rPr>
        <w:t> </w:t>
      </w:r>
      <w:r>
        <w:rPr>
          <w:rFonts w:ascii="Segoe UI" w:hAnsi="Segoe UI" w:cs="Segoe UI" w:eastAsia="Segoe UI"/>
          <w:color w:val="67973F"/>
          <w:sz w:val="19"/>
          <w:szCs w:val="19"/>
        </w:rPr>
        <w:t>unique</w:t>
      </w:r>
      <w:r>
        <w:rPr>
          <w:rFonts w:ascii="Segoe UI" w:hAnsi="Segoe UI" w:cs="Segoe UI" w:eastAsia="Segoe UI"/>
          <w:color w:val="67973F"/>
          <w:spacing w:val="-5"/>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6"/>
          <w:sz w:val="19"/>
          <w:szCs w:val="19"/>
        </w:rPr>
        <w:t> </w:t>
      </w:r>
      <w:r>
        <w:rPr>
          <w:rFonts w:ascii="Segoe UI" w:hAnsi="Segoe UI" w:cs="Segoe UI" w:eastAsia="Segoe UI"/>
          <w:color w:val="67973F"/>
          <w:spacing w:val="-1"/>
          <w:sz w:val="19"/>
          <w:szCs w:val="19"/>
        </w:rPr>
        <w:t>special</w:t>
      </w:r>
      <w:r>
        <w:rPr>
          <w:rFonts w:ascii="Segoe UI" w:hAnsi="Segoe UI" w:cs="Segoe UI" w:eastAsia="Segoe UI"/>
          <w:color w:val="67973F"/>
          <w:spacing w:val="-4"/>
          <w:sz w:val="19"/>
          <w:szCs w:val="19"/>
        </w:rPr>
        <w:t> </w:t>
      </w:r>
      <w:r>
        <w:rPr>
          <w:rFonts w:ascii="Segoe UI" w:hAnsi="Segoe UI" w:cs="Segoe UI" w:eastAsia="Segoe UI"/>
          <w:color w:val="67973F"/>
          <w:sz w:val="19"/>
          <w:szCs w:val="19"/>
        </w:rPr>
        <w:t>partnership</w:t>
      </w:r>
      <w:r>
        <w:rPr>
          <w:rFonts w:ascii="Segoe UI" w:hAnsi="Segoe UI" w:cs="Segoe UI" w:eastAsia="Segoe UI"/>
          <w:color w:val="67973F"/>
          <w:spacing w:val="-6"/>
          <w:sz w:val="19"/>
          <w:szCs w:val="19"/>
        </w:rPr>
        <w:t> </w:t>
      </w:r>
      <w:r>
        <w:rPr>
          <w:rFonts w:ascii="Segoe UI" w:hAnsi="Segoe UI" w:cs="Segoe UI" w:eastAsia="Segoe UI"/>
          <w:color w:val="67973F"/>
          <w:sz w:val="19"/>
          <w:szCs w:val="19"/>
        </w:rPr>
        <w:t>between</w:t>
      </w:r>
      <w:r>
        <w:rPr>
          <w:rFonts w:ascii="Segoe UI" w:hAnsi="Segoe UI" w:cs="Segoe UI" w:eastAsia="Segoe UI"/>
          <w:color w:val="67973F"/>
          <w:spacing w:val="-5"/>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6"/>
          <w:sz w:val="19"/>
          <w:szCs w:val="19"/>
        </w:rPr>
        <w:t> </w:t>
      </w:r>
      <w:r>
        <w:rPr>
          <w:rFonts w:ascii="Segoe UI" w:hAnsi="Segoe UI" w:cs="Segoe UI" w:eastAsia="Segoe UI"/>
          <w:color w:val="67973F"/>
          <w:spacing w:val="-1"/>
          <w:sz w:val="19"/>
          <w:szCs w:val="19"/>
        </w:rPr>
        <w:t>Bunuba</w:t>
      </w:r>
      <w:r>
        <w:rPr>
          <w:rFonts w:ascii="Segoe UI" w:hAnsi="Segoe UI" w:cs="Segoe UI" w:eastAsia="Segoe UI"/>
          <w:color w:val="67973F"/>
          <w:spacing w:val="-4"/>
          <w:sz w:val="19"/>
          <w:szCs w:val="19"/>
        </w:rPr>
        <w:t> </w:t>
      </w:r>
      <w:r>
        <w:rPr>
          <w:rFonts w:ascii="Segoe UI" w:hAnsi="Segoe UI" w:cs="Segoe UI" w:eastAsia="Segoe UI"/>
          <w:color w:val="67973F"/>
          <w:sz w:val="19"/>
          <w:szCs w:val="19"/>
        </w:rPr>
        <w:t>Aboriginal</w:t>
      </w:r>
      <w:r>
        <w:rPr>
          <w:rFonts w:ascii="Segoe UI" w:hAnsi="Segoe UI" w:cs="Segoe UI" w:eastAsia="Segoe UI"/>
          <w:color w:val="67973F"/>
          <w:spacing w:val="-5"/>
          <w:sz w:val="19"/>
          <w:szCs w:val="19"/>
        </w:rPr>
        <w:t> </w:t>
      </w:r>
      <w:r>
        <w:rPr>
          <w:rFonts w:ascii="Segoe UI" w:hAnsi="Segoe UI" w:cs="Segoe UI" w:eastAsia="Segoe UI"/>
          <w:color w:val="67973F"/>
          <w:sz w:val="19"/>
          <w:szCs w:val="19"/>
        </w:rPr>
        <w:t>people</w:t>
      </w:r>
      <w:r>
        <w:rPr>
          <w:rFonts w:ascii="Segoe UI" w:hAnsi="Segoe UI" w:cs="Segoe UI" w:eastAsia="Segoe UI"/>
          <w:color w:val="67973F"/>
          <w:spacing w:val="-5"/>
          <w:sz w:val="19"/>
          <w:szCs w:val="19"/>
        </w:rPr>
        <w:t> </w:t>
      </w:r>
      <w:r>
        <w:rPr>
          <w:rFonts w:ascii="Segoe UI" w:hAnsi="Segoe UI" w:cs="Segoe UI" w:eastAsia="Segoe UI"/>
          <w:color w:val="67973F"/>
          <w:sz w:val="19"/>
          <w:szCs w:val="19"/>
        </w:rPr>
        <w:t>of</w:t>
      </w:r>
      <w:r>
        <w:rPr>
          <w:rFonts w:ascii="Segoe UI" w:hAnsi="Segoe UI" w:cs="Segoe UI" w:eastAsia="Segoe UI"/>
          <w:color w:val="67973F"/>
          <w:spacing w:val="-5"/>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24"/>
          <w:w w:val="99"/>
          <w:sz w:val="19"/>
          <w:szCs w:val="19"/>
        </w:rPr>
        <w:t> </w:t>
      </w:r>
      <w:r>
        <w:rPr>
          <w:rFonts w:ascii="Segoe UI" w:hAnsi="Segoe UI" w:cs="Segoe UI" w:eastAsia="Segoe UI"/>
          <w:color w:val="67973F"/>
          <w:spacing w:val="-1"/>
          <w:sz w:val="19"/>
          <w:szCs w:val="19"/>
        </w:rPr>
        <w:t>Fitzroy</w:t>
      </w:r>
      <w:r>
        <w:rPr>
          <w:rFonts w:ascii="Segoe UI" w:hAnsi="Segoe UI" w:cs="Segoe UI" w:eastAsia="Segoe UI"/>
          <w:color w:val="67973F"/>
          <w:spacing w:val="-3"/>
          <w:sz w:val="19"/>
          <w:szCs w:val="19"/>
        </w:rPr>
        <w:t> Valley</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Community</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in</w:t>
      </w:r>
      <w:r>
        <w:rPr>
          <w:rFonts w:ascii="Segoe UI" w:hAnsi="Segoe UI" w:cs="Segoe UI" w:eastAsia="Segoe UI"/>
          <w:color w:val="67973F"/>
          <w:spacing w:val="-3"/>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Kimberley,</w:t>
      </w:r>
      <w:r>
        <w:rPr>
          <w:rFonts w:ascii="Segoe UI" w:hAnsi="Segoe UI" w:cs="Segoe UI" w:eastAsia="Segoe UI"/>
          <w:color w:val="67973F"/>
          <w:spacing w:val="-3"/>
          <w:sz w:val="19"/>
          <w:szCs w:val="19"/>
        </w:rPr>
        <w:t> </w:t>
      </w:r>
      <w:r>
        <w:rPr>
          <w:rFonts w:ascii="Segoe UI" w:hAnsi="Segoe UI" w:cs="Segoe UI" w:eastAsia="Segoe UI"/>
          <w:color w:val="67973F"/>
          <w:spacing w:val="-2"/>
          <w:sz w:val="19"/>
          <w:szCs w:val="19"/>
        </w:rPr>
        <w:t>Western</w:t>
      </w:r>
      <w:r>
        <w:rPr>
          <w:rFonts w:ascii="Segoe UI" w:hAnsi="Segoe UI" w:cs="Segoe UI" w:eastAsia="Segoe UI"/>
          <w:color w:val="67973F"/>
          <w:spacing w:val="-4"/>
          <w:sz w:val="19"/>
          <w:szCs w:val="19"/>
        </w:rPr>
        <w:t> </w:t>
      </w:r>
      <w:r>
        <w:rPr>
          <w:rFonts w:ascii="Segoe UI" w:hAnsi="Segoe UI" w:cs="Segoe UI" w:eastAsia="Segoe UI"/>
          <w:color w:val="67973F"/>
          <w:sz w:val="19"/>
          <w:szCs w:val="19"/>
        </w:rPr>
        <w:t>Australia,</w:t>
      </w:r>
      <w:r>
        <w:rPr>
          <w:rFonts w:ascii="Segoe UI" w:hAnsi="Segoe UI" w:cs="Segoe UI" w:eastAsia="Segoe UI"/>
          <w:color w:val="67973F"/>
          <w:spacing w:val="-3"/>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3"/>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4"/>
          <w:sz w:val="19"/>
          <w:szCs w:val="19"/>
        </w:rPr>
        <w:t> </w:t>
      </w:r>
      <w:r>
        <w:rPr>
          <w:rFonts w:ascii="Segoe UI" w:hAnsi="Segoe UI" w:cs="Segoe UI" w:eastAsia="Segoe UI"/>
          <w:color w:val="67973F"/>
          <w:sz w:val="19"/>
          <w:szCs w:val="19"/>
        </w:rPr>
        <w:t>community</w:t>
      </w:r>
      <w:r>
        <w:rPr>
          <w:rFonts w:ascii="Segoe UI" w:hAnsi="Segoe UI" w:cs="Segoe UI" w:eastAsia="Segoe UI"/>
          <w:color w:val="67973F"/>
          <w:spacing w:val="-4"/>
          <w:sz w:val="19"/>
          <w:szCs w:val="19"/>
        </w:rPr>
        <w:t> </w:t>
      </w:r>
      <w:r>
        <w:rPr>
          <w:rFonts w:ascii="Segoe UI" w:hAnsi="Segoe UI" w:cs="Segoe UI" w:eastAsia="Segoe UI"/>
          <w:color w:val="67973F"/>
          <w:sz w:val="19"/>
          <w:szCs w:val="19"/>
        </w:rPr>
        <w:t>of</w:t>
      </w:r>
      <w:r>
        <w:rPr>
          <w:rFonts w:ascii="Segoe UI" w:hAnsi="Segoe UI" w:cs="Segoe UI" w:eastAsia="Segoe UI"/>
          <w:color w:val="67973F"/>
          <w:spacing w:val="-3"/>
          <w:sz w:val="19"/>
          <w:szCs w:val="19"/>
        </w:rPr>
        <w:t> </w:t>
      </w:r>
      <w:r>
        <w:rPr>
          <w:rFonts w:ascii="Segoe UI" w:hAnsi="Segoe UI" w:cs="Segoe UI" w:eastAsia="Segoe UI"/>
          <w:color w:val="67973F"/>
          <w:spacing w:val="-2"/>
          <w:sz w:val="19"/>
          <w:szCs w:val="19"/>
        </w:rPr>
        <w:t>Wesley</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College</w:t>
      </w:r>
      <w:r>
        <w:rPr>
          <w:rFonts w:ascii="Segoe UI" w:hAnsi="Segoe UI" w:cs="Segoe UI" w:eastAsia="Segoe UI"/>
          <w:color w:val="67973F"/>
          <w:spacing w:val="36"/>
          <w:sz w:val="19"/>
          <w:szCs w:val="19"/>
        </w:rPr>
        <w:t> </w:t>
      </w:r>
      <w:r>
        <w:rPr>
          <w:rFonts w:ascii="Segoe UI" w:hAnsi="Segoe UI" w:cs="Segoe UI" w:eastAsia="Segoe UI"/>
          <w:color w:val="67973F"/>
          <w:sz w:val="19"/>
          <w:szCs w:val="19"/>
        </w:rPr>
        <w:t>Melbourne,</w:t>
      </w:r>
      <w:r>
        <w:rPr>
          <w:rFonts w:ascii="Segoe UI" w:hAnsi="Segoe UI" w:cs="Segoe UI" w:eastAsia="Segoe UI"/>
          <w:color w:val="67973F"/>
          <w:spacing w:val="-6"/>
          <w:sz w:val="19"/>
          <w:szCs w:val="19"/>
        </w:rPr>
        <w:t> </w:t>
      </w:r>
      <w:r>
        <w:rPr>
          <w:rFonts w:ascii="Segoe UI" w:hAnsi="Segoe UI" w:cs="Segoe UI" w:eastAsia="Segoe UI"/>
          <w:color w:val="67973F"/>
          <w:sz w:val="19"/>
          <w:szCs w:val="19"/>
        </w:rPr>
        <w:t>was</w:t>
      </w:r>
      <w:r>
        <w:rPr>
          <w:rFonts w:ascii="Segoe UI" w:hAnsi="Segoe UI" w:cs="Segoe UI" w:eastAsia="Segoe UI"/>
          <w:color w:val="67973F"/>
          <w:spacing w:val="-6"/>
          <w:sz w:val="19"/>
          <w:szCs w:val="19"/>
        </w:rPr>
        <w:t> </w:t>
      </w:r>
      <w:r>
        <w:rPr>
          <w:rFonts w:ascii="Segoe UI" w:hAnsi="Segoe UI" w:cs="Segoe UI" w:eastAsia="Segoe UI"/>
          <w:color w:val="67973F"/>
          <w:sz w:val="19"/>
          <w:szCs w:val="19"/>
        </w:rPr>
        <w:t>established</w:t>
      </w:r>
      <w:r>
        <w:rPr>
          <w:rFonts w:ascii="Segoe UI" w:hAnsi="Segoe UI" w:cs="Segoe UI" w:eastAsia="Segoe UI"/>
          <w:color w:val="67973F"/>
          <w:spacing w:val="-6"/>
          <w:sz w:val="19"/>
          <w:szCs w:val="19"/>
        </w:rPr>
        <w:t> </w:t>
      </w:r>
      <w:r>
        <w:rPr>
          <w:rFonts w:ascii="Segoe UI" w:hAnsi="Segoe UI" w:cs="Segoe UI" w:eastAsia="Segoe UI"/>
          <w:color w:val="67973F"/>
          <w:sz w:val="19"/>
          <w:szCs w:val="19"/>
        </w:rPr>
        <w:t>to</w:t>
      </w:r>
      <w:r>
        <w:rPr>
          <w:rFonts w:ascii="Segoe UI" w:hAnsi="Segoe UI" w:cs="Segoe UI" w:eastAsia="Segoe UI"/>
          <w:color w:val="67973F"/>
          <w:spacing w:val="-5"/>
          <w:sz w:val="19"/>
          <w:szCs w:val="19"/>
        </w:rPr>
        <w:t> </w:t>
      </w:r>
      <w:r>
        <w:rPr>
          <w:rFonts w:ascii="Segoe UI" w:hAnsi="Segoe UI" w:cs="Segoe UI" w:eastAsia="Segoe UI"/>
          <w:color w:val="67973F"/>
          <w:sz w:val="19"/>
          <w:szCs w:val="19"/>
        </w:rPr>
        <w:t>bring</w:t>
      </w:r>
      <w:r>
        <w:rPr>
          <w:rFonts w:ascii="Segoe UI" w:hAnsi="Segoe UI" w:cs="Segoe UI" w:eastAsia="Segoe UI"/>
          <w:color w:val="67973F"/>
          <w:spacing w:val="-6"/>
          <w:sz w:val="19"/>
          <w:szCs w:val="19"/>
        </w:rPr>
        <w:t> </w:t>
      </w:r>
      <w:r>
        <w:rPr>
          <w:rFonts w:ascii="Segoe UI" w:hAnsi="Segoe UI" w:cs="Segoe UI" w:eastAsia="Segoe UI"/>
          <w:color w:val="67973F"/>
          <w:sz w:val="19"/>
          <w:szCs w:val="19"/>
        </w:rPr>
        <w:t>about</w:t>
      </w:r>
      <w:r>
        <w:rPr>
          <w:rFonts w:ascii="Segoe UI" w:hAnsi="Segoe UI" w:cs="Segoe UI" w:eastAsia="Segoe UI"/>
          <w:color w:val="67973F"/>
          <w:spacing w:val="-6"/>
          <w:sz w:val="19"/>
          <w:szCs w:val="19"/>
        </w:rPr>
        <w:t> </w:t>
      </w:r>
      <w:r>
        <w:rPr>
          <w:rFonts w:ascii="Segoe UI" w:hAnsi="Segoe UI" w:cs="Segoe UI" w:eastAsia="Segoe UI"/>
          <w:color w:val="67973F"/>
          <w:sz w:val="19"/>
          <w:szCs w:val="19"/>
        </w:rPr>
        <w:t>positive</w:t>
      </w:r>
      <w:r>
        <w:rPr>
          <w:rFonts w:ascii="Segoe UI" w:hAnsi="Segoe UI" w:cs="Segoe UI" w:eastAsia="Segoe UI"/>
          <w:color w:val="67973F"/>
          <w:spacing w:val="-6"/>
          <w:sz w:val="19"/>
          <w:szCs w:val="19"/>
        </w:rPr>
        <w:t> </w:t>
      </w:r>
      <w:r>
        <w:rPr>
          <w:rFonts w:ascii="Segoe UI" w:hAnsi="Segoe UI" w:cs="Segoe UI" w:eastAsia="Segoe UI"/>
          <w:color w:val="67973F"/>
          <w:sz w:val="19"/>
          <w:szCs w:val="19"/>
        </w:rPr>
        <w:t>change</w:t>
      </w:r>
      <w:r>
        <w:rPr>
          <w:rFonts w:ascii="Segoe UI" w:hAnsi="Segoe UI" w:cs="Segoe UI" w:eastAsia="Segoe UI"/>
          <w:color w:val="67973F"/>
          <w:spacing w:val="-6"/>
          <w:sz w:val="19"/>
          <w:szCs w:val="19"/>
        </w:rPr>
        <w:t> </w:t>
      </w:r>
      <w:r>
        <w:rPr>
          <w:rFonts w:ascii="Segoe UI" w:hAnsi="Segoe UI" w:cs="Segoe UI" w:eastAsia="Segoe UI"/>
          <w:color w:val="67973F"/>
          <w:sz w:val="19"/>
          <w:szCs w:val="19"/>
        </w:rPr>
        <w:t>through</w:t>
      </w:r>
      <w:r>
        <w:rPr>
          <w:rFonts w:ascii="Segoe UI" w:hAnsi="Segoe UI" w:cs="Segoe UI" w:eastAsia="Segoe UI"/>
          <w:color w:val="67973F"/>
          <w:spacing w:val="-6"/>
          <w:sz w:val="19"/>
          <w:szCs w:val="19"/>
        </w:rPr>
        <w:t> </w:t>
      </w:r>
      <w:r>
        <w:rPr>
          <w:rFonts w:ascii="Segoe UI" w:hAnsi="Segoe UI" w:cs="Segoe UI" w:eastAsia="Segoe UI"/>
          <w:color w:val="67973F"/>
          <w:sz w:val="19"/>
          <w:szCs w:val="19"/>
        </w:rPr>
        <w:t>education.</w:t>
      </w:r>
      <w:r>
        <w:rPr>
          <w:rFonts w:ascii="Segoe UI" w:hAnsi="Segoe UI" w:cs="Segoe UI" w:eastAsia="Segoe UI"/>
          <w:sz w:val="19"/>
          <w:szCs w:val="19"/>
        </w:rPr>
      </w:r>
    </w:p>
    <w:p>
      <w:pPr>
        <w:spacing w:line="246" w:lineRule="auto" w:before="113"/>
        <w:ind w:left="100" w:right="167" w:firstLine="0"/>
        <w:jc w:val="left"/>
        <w:rPr>
          <w:rFonts w:ascii="Segoe UI" w:hAnsi="Segoe UI" w:cs="Segoe UI" w:eastAsia="Segoe UI"/>
          <w:sz w:val="19"/>
          <w:szCs w:val="19"/>
        </w:rPr>
      </w:pPr>
      <w:r>
        <w:rPr>
          <w:rFonts w:ascii="Segoe UI"/>
          <w:color w:val="67973F"/>
          <w:sz w:val="19"/>
        </w:rPr>
        <w:t>The</w:t>
      </w:r>
      <w:r>
        <w:rPr>
          <w:rFonts w:ascii="Segoe UI"/>
          <w:color w:val="67973F"/>
          <w:spacing w:val="-5"/>
          <w:sz w:val="19"/>
        </w:rPr>
        <w:t> </w:t>
      </w:r>
      <w:r>
        <w:rPr>
          <w:rFonts w:ascii="Segoe UI"/>
          <w:color w:val="67973F"/>
          <w:spacing w:val="-1"/>
          <w:sz w:val="19"/>
        </w:rPr>
        <w:t>Yiramalay/Wesley</w:t>
      </w:r>
      <w:r>
        <w:rPr>
          <w:rFonts w:ascii="Segoe UI"/>
          <w:color w:val="67973F"/>
          <w:spacing w:val="-5"/>
          <w:sz w:val="19"/>
        </w:rPr>
        <w:t> </w:t>
      </w:r>
      <w:r>
        <w:rPr>
          <w:rFonts w:ascii="Segoe UI"/>
          <w:color w:val="67973F"/>
          <w:spacing w:val="-2"/>
          <w:sz w:val="19"/>
        </w:rPr>
        <w:t>Studio</w:t>
      </w:r>
      <w:r>
        <w:rPr>
          <w:rFonts w:ascii="Segoe UI"/>
          <w:color w:val="67973F"/>
          <w:spacing w:val="-6"/>
          <w:sz w:val="19"/>
        </w:rPr>
        <w:t> </w:t>
      </w:r>
      <w:r>
        <w:rPr>
          <w:rFonts w:ascii="Segoe UI"/>
          <w:color w:val="67973F"/>
          <w:spacing w:val="-1"/>
          <w:sz w:val="19"/>
        </w:rPr>
        <w:t>School</w:t>
      </w:r>
      <w:r>
        <w:rPr>
          <w:rFonts w:ascii="Segoe UI"/>
          <w:color w:val="67973F"/>
          <w:spacing w:val="-4"/>
          <w:sz w:val="19"/>
        </w:rPr>
        <w:t> </w:t>
      </w:r>
      <w:r>
        <w:rPr>
          <w:rFonts w:ascii="Segoe UI"/>
          <w:color w:val="67973F"/>
          <w:spacing w:val="-1"/>
          <w:sz w:val="19"/>
        </w:rPr>
        <w:t>is</w:t>
      </w:r>
      <w:r>
        <w:rPr>
          <w:rFonts w:ascii="Segoe UI"/>
          <w:color w:val="67973F"/>
          <w:spacing w:val="-6"/>
          <w:sz w:val="19"/>
        </w:rPr>
        <w:t> </w:t>
      </w:r>
      <w:r>
        <w:rPr>
          <w:rFonts w:ascii="Segoe UI"/>
          <w:color w:val="67973F"/>
          <w:sz w:val="19"/>
        </w:rPr>
        <w:t>named</w:t>
      </w:r>
      <w:r>
        <w:rPr>
          <w:rFonts w:ascii="Segoe UI"/>
          <w:color w:val="67973F"/>
          <w:spacing w:val="-5"/>
          <w:sz w:val="19"/>
        </w:rPr>
        <w:t> </w:t>
      </w:r>
      <w:r>
        <w:rPr>
          <w:rFonts w:ascii="Segoe UI"/>
          <w:color w:val="67973F"/>
          <w:sz w:val="19"/>
        </w:rPr>
        <w:t>after</w:t>
      </w:r>
      <w:r>
        <w:rPr>
          <w:rFonts w:ascii="Segoe UI"/>
          <w:color w:val="67973F"/>
          <w:spacing w:val="-6"/>
          <w:sz w:val="19"/>
        </w:rPr>
        <w:t> </w:t>
      </w:r>
      <w:r>
        <w:rPr>
          <w:rFonts w:ascii="Segoe UI"/>
          <w:color w:val="67973F"/>
          <w:sz w:val="19"/>
        </w:rPr>
        <w:t>the</w:t>
      </w:r>
      <w:r>
        <w:rPr>
          <w:rFonts w:ascii="Segoe UI"/>
          <w:color w:val="67973F"/>
          <w:spacing w:val="-5"/>
          <w:sz w:val="19"/>
        </w:rPr>
        <w:t> </w:t>
      </w:r>
      <w:r>
        <w:rPr>
          <w:rFonts w:ascii="Segoe UI"/>
          <w:color w:val="67973F"/>
          <w:sz w:val="19"/>
        </w:rPr>
        <w:t>Yiramalay</w:t>
      </w:r>
      <w:r>
        <w:rPr>
          <w:rFonts w:ascii="Segoe UI"/>
          <w:color w:val="67973F"/>
          <w:spacing w:val="-5"/>
          <w:sz w:val="19"/>
        </w:rPr>
        <w:t> </w:t>
      </w:r>
      <w:r>
        <w:rPr>
          <w:rFonts w:ascii="Segoe UI"/>
          <w:color w:val="67973F"/>
          <w:spacing w:val="-1"/>
          <w:sz w:val="19"/>
        </w:rPr>
        <w:t>Spring</w:t>
      </w:r>
      <w:r>
        <w:rPr>
          <w:rFonts w:ascii="Segoe UI"/>
          <w:color w:val="67973F"/>
          <w:spacing w:val="-5"/>
          <w:sz w:val="19"/>
        </w:rPr>
        <w:t> </w:t>
      </w:r>
      <w:r>
        <w:rPr>
          <w:rFonts w:ascii="Segoe UI"/>
          <w:color w:val="67973F"/>
          <w:sz w:val="19"/>
        </w:rPr>
        <w:t>and</w:t>
      </w:r>
      <w:r>
        <w:rPr>
          <w:rFonts w:ascii="Segoe UI"/>
          <w:color w:val="67973F"/>
          <w:spacing w:val="-5"/>
          <w:sz w:val="19"/>
        </w:rPr>
        <w:t> </w:t>
      </w:r>
      <w:r>
        <w:rPr>
          <w:rFonts w:ascii="Segoe UI"/>
          <w:color w:val="67973F"/>
          <w:spacing w:val="-1"/>
          <w:sz w:val="19"/>
        </w:rPr>
        <w:t>is</w:t>
      </w:r>
      <w:r>
        <w:rPr>
          <w:rFonts w:ascii="Segoe UI"/>
          <w:color w:val="67973F"/>
          <w:spacing w:val="-6"/>
          <w:sz w:val="19"/>
        </w:rPr>
        <w:t> </w:t>
      </w:r>
      <w:r>
        <w:rPr>
          <w:rFonts w:ascii="Segoe UI"/>
          <w:color w:val="67973F"/>
          <w:spacing w:val="-1"/>
          <w:sz w:val="19"/>
        </w:rPr>
        <w:t>located</w:t>
      </w:r>
      <w:r>
        <w:rPr>
          <w:rFonts w:ascii="Segoe UI"/>
          <w:color w:val="67973F"/>
          <w:spacing w:val="-4"/>
          <w:sz w:val="19"/>
        </w:rPr>
        <w:t> </w:t>
      </w:r>
      <w:r>
        <w:rPr>
          <w:rFonts w:ascii="Segoe UI"/>
          <w:color w:val="67973F"/>
          <w:sz w:val="19"/>
        </w:rPr>
        <w:t>on</w:t>
      </w:r>
      <w:r>
        <w:rPr>
          <w:rFonts w:ascii="Segoe UI"/>
          <w:color w:val="67973F"/>
          <w:spacing w:val="-5"/>
          <w:sz w:val="19"/>
        </w:rPr>
        <w:t> </w:t>
      </w:r>
      <w:r>
        <w:rPr>
          <w:rFonts w:ascii="Segoe UI"/>
          <w:color w:val="67973F"/>
          <w:sz w:val="19"/>
        </w:rPr>
        <w:t>Leopold</w:t>
      </w:r>
      <w:r>
        <w:rPr>
          <w:rFonts w:ascii="Segoe UI"/>
          <w:color w:val="67973F"/>
          <w:spacing w:val="37"/>
          <w:w w:val="99"/>
          <w:sz w:val="19"/>
        </w:rPr>
        <w:t> </w:t>
      </w:r>
      <w:r>
        <w:rPr>
          <w:rFonts w:ascii="Segoe UI"/>
          <w:color w:val="67973F"/>
          <w:spacing w:val="-1"/>
          <w:sz w:val="19"/>
        </w:rPr>
        <w:t>Downs</w:t>
      </w:r>
      <w:r>
        <w:rPr>
          <w:rFonts w:ascii="Segoe UI"/>
          <w:color w:val="67973F"/>
          <w:spacing w:val="-4"/>
          <w:sz w:val="19"/>
        </w:rPr>
        <w:t> </w:t>
      </w:r>
      <w:r>
        <w:rPr>
          <w:rFonts w:ascii="Segoe UI"/>
          <w:color w:val="67973F"/>
          <w:spacing w:val="-1"/>
          <w:sz w:val="19"/>
        </w:rPr>
        <w:t>Station</w:t>
      </w:r>
      <w:r>
        <w:rPr>
          <w:rFonts w:ascii="Segoe UI"/>
          <w:color w:val="67973F"/>
          <w:spacing w:val="-5"/>
          <w:sz w:val="19"/>
        </w:rPr>
        <w:t> </w:t>
      </w:r>
      <w:r>
        <w:rPr>
          <w:rFonts w:ascii="Segoe UI"/>
          <w:color w:val="67973F"/>
          <w:sz w:val="19"/>
        </w:rPr>
        <w:t>at</w:t>
      </w:r>
      <w:r>
        <w:rPr>
          <w:rFonts w:ascii="Segoe UI"/>
          <w:color w:val="67973F"/>
          <w:spacing w:val="-3"/>
          <w:sz w:val="19"/>
        </w:rPr>
        <w:t> </w:t>
      </w:r>
      <w:r>
        <w:rPr>
          <w:rFonts w:ascii="Segoe UI"/>
          <w:color w:val="67973F"/>
          <w:sz w:val="19"/>
        </w:rPr>
        <w:t>the</w:t>
      </w:r>
      <w:r>
        <w:rPr>
          <w:rFonts w:ascii="Segoe UI"/>
          <w:color w:val="67973F"/>
          <w:spacing w:val="-5"/>
          <w:sz w:val="19"/>
        </w:rPr>
        <w:t> </w:t>
      </w:r>
      <w:r>
        <w:rPr>
          <w:rFonts w:ascii="Segoe UI"/>
          <w:color w:val="67973F"/>
          <w:sz w:val="19"/>
        </w:rPr>
        <w:t>Yiramalay</w:t>
      </w:r>
      <w:r>
        <w:rPr>
          <w:rFonts w:ascii="Segoe UI"/>
          <w:color w:val="67973F"/>
          <w:spacing w:val="-4"/>
          <w:sz w:val="19"/>
        </w:rPr>
        <w:t> </w:t>
      </w:r>
      <w:r>
        <w:rPr>
          <w:rFonts w:ascii="Segoe UI"/>
          <w:color w:val="67973F"/>
          <w:spacing w:val="-1"/>
          <w:sz w:val="19"/>
        </w:rPr>
        <w:t>Community,</w:t>
      </w:r>
      <w:r>
        <w:rPr>
          <w:rFonts w:ascii="Segoe UI"/>
          <w:color w:val="67973F"/>
          <w:spacing w:val="-4"/>
          <w:sz w:val="19"/>
        </w:rPr>
        <w:t> </w:t>
      </w:r>
      <w:r>
        <w:rPr>
          <w:rFonts w:ascii="Segoe UI"/>
          <w:color w:val="67973F"/>
          <w:sz w:val="19"/>
        </w:rPr>
        <w:t>which</w:t>
      </w:r>
      <w:r>
        <w:rPr>
          <w:rFonts w:ascii="Segoe UI"/>
          <w:color w:val="67973F"/>
          <w:spacing w:val="-4"/>
          <w:sz w:val="19"/>
        </w:rPr>
        <w:t> </w:t>
      </w:r>
      <w:r>
        <w:rPr>
          <w:rFonts w:ascii="Segoe UI"/>
          <w:color w:val="67973F"/>
          <w:spacing w:val="-1"/>
          <w:sz w:val="19"/>
        </w:rPr>
        <w:t>is</w:t>
      </w:r>
      <w:r>
        <w:rPr>
          <w:rFonts w:ascii="Segoe UI"/>
          <w:color w:val="67973F"/>
          <w:spacing w:val="-5"/>
          <w:sz w:val="19"/>
        </w:rPr>
        <w:t> </w:t>
      </w:r>
      <w:r>
        <w:rPr>
          <w:rFonts w:ascii="Segoe UI"/>
          <w:color w:val="67973F"/>
          <w:sz w:val="19"/>
        </w:rPr>
        <w:t>approximately</w:t>
      </w:r>
      <w:r>
        <w:rPr>
          <w:rFonts w:ascii="Segoe UI"/>
          <w:color w:val="67973F"/>
          <w:spacing w:val="-4"/>
          <w:sz w:val="19"/>
        </w:rPr>
        <w:t> </w:t>
      </w:r>
      <w:r>
        <w:rPr>
          <w:rFonts w:ascii="Segoe UI"/>
          <w:color w:val="67973F"/>
          <w:spacing w:val="-1"/>
          <w:sz w:val="19"/>
        </w:rPr>
        <w:t>80kms</w:t>
      </w:r>
      <w:r>
        <w:rPr>
          <w:rFonts w:ascii="Segoe UI"/>
          <w:color w:val="67973F"/>
          <w:spacing w:val="-5"/>
          <w:sz w:val="19"/>
        </w:rPr>
        <w:t> </w:t>
      </w:r>
      <w:r>
        <w:rPr>
          <w:rFonts w:ascii="Segoe UI"/>
          <w:color w:val="67973F"/>
          <w:sz w:val="19"/>
        </w:rPr>
        <w:t>north</w:t>
      </w:r>
      <w:r>
        <w:rPr>
          <w:rFonts w:ascii="Segoe UI"/>
          <w:color w:val="67973F"/>
          <w:spacing w:val="-4"/>
          <w:sz w:val="19"/>
        </w:rPr>
        <w:t> </w:t>
      </w:r>
      <w:r>
        <w:rPr>
          <w:rFonts w:ascii="Segoe UI"/>
          <w:color w:val="67973F"/>
          <w:sz w:val="19"/>
        </w:rPr>
        <w:t>west</w:t>
      </w:r>
      <w:r>
        <w:rPr>
          <w:rFonts w:ascii="Segoe UI"/>
          <w:color w:val="67973F"/>
          <w:spacing w:val="-4"/>
          <w:sz w:val="19"/>
        </w:rPr>
        <w:t> </w:t>
      </w:r>
      <w:r>
        <w:rPr>
          <w:rFonts w:ascii="Segoe UI"/>
          <w:color w:val="67973F"/>
          <w:sz w:val="19"/>
        </w:rPr>
        <w:t>of</w:t>
      </w:r>
      <w:r>
        <w:rPr>
          <w:rFonts w:ascii="Segoe UI"/>
          <w:color w:val="67973F"/>
          <w:spacing w:val="-4"/>
          <w:sz w:val="19"/>
        </w:rPr>
        <w:t> </w:t>
      </w:r>
      <w:r>
        <w:rPr>
          <w:rFonts w:ascii="Segoe UI"/>
          <w:color w:val="67973F"/>
          <w:spacing w:val="-1"/>
          <w:sz w:val="19"/>
        </w:rPr>
        <w:t>Fitzroy</w:t>
      </w:r>
      <w:r>
        <w:rPr>
          <w:rFonts w:ascii="Segoe UI"/>
          <w:color w:val="67973F"/>
          <w:spacing w:val="-3"/>
          <w:sz w:val="19"/>
        </w:rPr>
        <w:t> </w:t>
      </w:r>
      <w:r>
        <w:rPr>
          <w:rFonts w:ascii="Segoe UI"/>
          <w:color w:val="67973F"/>
          <w:spacing w:val="-1"/>
          <w:sz w:val="19"/>
        </w:rPr>
        <w:t>Crossing</w:t>
      </w:r>
      <w:r>
        <w:rPr>
          <w:rFonts w:ascii="Segoe UI"/>
          <w:color w:val="67973F"/>
          <w:spacing w:val="25"/>
          <w:sz w:val="19"/>
        </w:rPr>
        <w:t> </w:t>
      </w:r>
      <w:r>
        <w:rPr>
          <w:rFonts w:ascii="Segoe UI"/>
          <w:color w:val="67973F"/>
          <w:spacing w:val="-1"/>
          <w:sz w:val="19"/>
        </w:rPr>
        <w:t>in</w:t>
      </w:r>
      <w:r>
        <w:rPr>
          <w:rFonts w:ascii="Segoe UI"/>
          <w:color w:val="67973F"/>
          <w:spacing w:val="-4"/>
          <w:sz w:val="19"/>
        </w:rPr>
        <w:t> </w:t>
      </w:r>
      <w:r>
        <w:rPr>
          <w:rFonts w:ascii="Segoe UI"/>
          <w:color w:val="67973F"/>
          <w:sz w:val="19"/>
        </w:rPr>
        <w:t>the</w:t>
      </w:r>
      <w:r>
        <w:rPr>
          <w:rFonts w:ascii="Segoe UI"/>
          <w:color w:val="67973F"/>
          <w:spacing w:val="-4"/>
          <w:sz w:val="19"/>
        </w:rPr>
        <w:t> </w:t>
      </w:r>
      <w:r>
        <w:rPr>
          <w:rFonts w:ascii="Segoe UI"/>
          <w:color w:val="67973F"/>
          <w:spacing w:val="-1"/>
          <w:sz w:val="19"/>
        </w:rPr>
        <w:t>Kimberley</w:t>
      </w:r>
      <w:r>
        <w:rPr>
          <w:rFonts w:ascii="Segoe UI"/>
          <w:color w:val="67973F"/>
          <w:spacing w:val="-3"/>
          <w:sz w:val="19"/>
        </w:rPr>
        <w:t> </w:t>
      </w:r>
      <w:r>
        <w:rPr>
          <w:rFonts w:ascii="Segoe UI"/>
          <w:color w:val="67973F"/>
          <w:spacing w:val="-1"/>
          <w:sz w:val="19"/>
        </w:rPr>
        <w:t>Region</w:t>
      </w:r>
      <w:r>
        <w:rPr>
          <w:rFonts w:ascii="Segoe UI"/>
          <w:color w:val="67973F"/>
          <w:spacing w:val="-4"/>
          <w:sz w:val="19"/>
        </w:rPr>
        <w:t> </w:t>
      </w:r>
      <w:r>
        <w:rPr>
          <w:rFonts w:ascii="Segoe UI"/>
          <w:color w:val="67973F"/>
          <w:sz w:val="19"/>
        </w:rPr>
        <w:t>of</w:t>
      </w:r>
      <w:r>
        <w:rPr>
          <w:rFonts w:ascii="Segoe UI"/>
          <w:color w:val="67973F"/>
          <w:spacing w:val="-3"/>
          <w:sz w:val="19"/>
        </w:rPr>
        <w:t> </w:t>
      </w:r>
      <w:r>
        <w:rPr>
          <w:rFonts w:ascii="Segoe UI"/>
          <w:color w:val="67973F"/>
          <w:spacing w:val="-2"/>
          <w:sz w:val="19"/>
        </w:rPr>
        <w:t>Western</w:t>
      </w:r>
      <w:r>
        <w:rPr>
          <w:rFonts w:ascii="Segoe UI"/>
          <w:color w:val="67973F"/>
          <w:spacing w:val="-4"/>
          <w:sz w:val="19"/>
        </w:rPr>
        <w:t> </w:t>
      </w:r>
      <w:r>
        <w:rPr>
          <w:rFonts w:ascii="Segoe UI"/>
          <w:color w:val="67973F"/>
          <w:sz w:val="19"/>
        </w:rPr>
        <w:t>Australia.</w:t>
      </w:r>
      <w:r>
        <w:rPr>
          <w:rFonts w:ascii="Segoe UI"/>
          <w:color w:val="67973F"/>
          <w:spacing w:val="-4"/>
          <w:sz w:val="19"/>
        </w:rPr>
        <w:t> </w:t>
      </w:r>
      <w:r>
        <w:rPr>
          <w:rFonts w:ascii="Segoe UI"/>
          <w:color w:val="67973F"/>
          <w:sz w:val="19"/>
        </w:rPr>
        <w:t>The</w:t>
      </w:r>
      <w:r>
        <w:rPr>
          <w:rFonts w:ascii="Segoe UI"/>
          <w:color w:val="67973F"/>
          <w:spacing w:val="-3"/>
          <w:sz w:val="19"/>
        </w:rPr>
        <w:t> </w:t>
      </w:r>
      <w:r>
        <w:rPr>
          <w:rFonts w:ascii="Segoe UI"/>
          <w:color w:val="67973F"/>
          <w:spacing w:val="-1"/>
          <w:sz w:val="19"/>
        </w:rPr>
        <w:t>studio</w:t>
      </w:r>
      <w:r>
        <w:rPr>
          <w:rFonts w:ascii="Segoe UI"/>
          <w:color w:val="67973F"/>
          <w:spacing w:val="-3"/>
          <w:sz w:val="19"/>
        </w:rPr>
        <w:t> </w:t>
      </w:r>
      <w:r>
        <w:rPr>
          <w:rFonts w:ascii="Segoe UI"/>
          <w:color w:val="67973F"/>
          <w:spacing w:val="-1"/>
          <w:sz w:val="19"/>
        </w:rPr>
        <w:t>school</w:t>
      </w:r>
      <w:r>
        <w:rPr>
          <w:rFonts w:ascii="Segoe UI"/>
          <w:color w:val="67973F"/>
          <w:spacing w:val="-3"/>
          <w:sz w:val="19"/>
        </w:rPr>
        <w:t> </w:t>
      </w:r>
      <w:r>
        <w:rPr>
          <w:rFonts w:ascii="Segoe UI"/>
          <w:color w:val="67973F"/>
          <w:sz w:val="19"/>
        </w:rPr>
        <w:t>began</w:t>
      </w:r>
      <w:r>
        <w:rPr>
          <w:rFonts w:ascii="Segoe UI"/>
          <w:color w:val="67973F"/>
          <w:spacing w:val="-4"/>
          <w:sz w:val="19"/>
        </w:rPr>
        <w:t> </w:t>
      </w:r>
      <w:r>
        <w:rPr>
          <w:rFonts w:ascii="Segoe UI"/>
          <w:color w:val="67973F"/>
          <w:sz w:val="19"/>
        </w:rPr>
        <w:t>operations</w:t>
      </w:r>
      <w:r>
        <w:rPr>
          <w:rFonts w:ascii="Segoe UI"/>
          <w:color w:val="67973F"/>
          <w:spacing w:val="-4"/>
          <w:sz w:val="19"/>
        </w:rPr>
        <w:t> </w:t>
      </w:r>
      <w:r>
        <w:rPr>
          <w:rFonts w:ascii="Segoe UI"/>
          <w:color w:val="67973F"/>
          <w:sz w:val="19"/>
        </w:rPr>
        <w:t>on</w:t>
      </w:r>
      <w:r>
        <w:rPr>
          <w:rFonts w:ascii="Segoe UI"/>
          <w:color w:val="67973F"/>
          <w:spacing w:val="-4"/>
          <w:sz w:val="19"/>
        </w:rPr>
        <w:t> </w:t>
      </w:r>
      <w:r>
        <w:rPr>
          <w:rFonts w:ascii="Segoe UI"/>
          <w:color w:val="67973F"/>
          <w:spacing w:val="-1"/>
          <w:sz w:val="19"/>
        </w:rPr>
        <w:t>15</w:t>
      </w:r>
      <w:r>
        <w:rPr>
          <w:rFonts w:ascii="Segoe UI"/>
          <w:color w:val="67973F"/>
          <w:spacing w:val="-3"/>
          <w:sz w:val="19"/>
        </w:rPr>
        <w:t> </w:t>
      </w:r>
      <w:r>
        <w:rPr>
          <w:rFonts w:ascii="Segoe UI"/>
          <w:color w:val="67973F"/>
          <w:sz w:val="19"/>
        </w:rPr>
        <w:t>August</w:t>
      </w:r>
      <w:r>
        <w:rPr>
          <w:rFonts w:ascii="Segoe UI"/>
          <w:color w:val="67973F"/>
          <w:spacing w:val="-3"/>
          <w:sz w:val="19"/>
        </w:rPr>
        <w:t> </w:t>
      </w:r>
      <w:r>
        <w:rPr>
          <w:rFonts w:ascii="Segoe UI"/>
          <w:color w:val="67973F"/>
          <w:spacing w:val="-1"/>
          <w:sz w:val="19"/>
        </w:rPr>
        <w:t>2010.</w:t>
      </w:r>
      <w:r>
        <w:rPr>
          <w:rFonts w:ascii="Segoe UI"/>
          <w:sz w:val="19"/>
        </w:rPr>
      </w:r>
    </w:p>
    <w:p>
      <w:pPr>
        <w:spacing w:line="246" w:lineRule="auto" w:before="113"/>
        <w:ind w:left="100" w:right="279" w:firstLine="0"/>
        <w:jc w:val="left"/>
        <w:rPr>
          <w:rFonts w:ascii="Segoe UI" w:hAnsi="Segoe UI" w:cs="Segoe UI" w:eastAsia="Segoe UI"/>
          <w:sz w:val="19"/>
          <w:szCs w:val="19"/>
        </w:rPr>
      </w:pPr>
      <w:r>
        <w:rPr>
          <w:rFonts w:ascii="Segoe UI"/>
          <w:color w:val="67973F"/>
          <w:spacing w:val="-1"/>
          <w:sz w:val="19"/>
        </w:rPr>
        <w:t>In</w:t>
      </w:r>
      <w:r>
        <w:rPr>
          <w:rFonts w:ascii="Segoe UI"/>
          <w:color w:val="67973F"/>
          <w:spacing w:val="-5"/>
          <w:sz w:val="19"/>
        </w:rPr>
        <w:t> </w:t>
      </w:r>
      <w:r>
        <w:rPr>
          <w:rFonts w:ascii="Segoe UI"/>
          <w:color w:val="67973F"/>
          <w:sz w:val="19"/>
        </w:rPr>
        <w:t>a</w:t>
      </w:r>
      <w:r>
        <w:rPr>
          <w:rFonts w:ascii="Segoe UI"/>
          <w:color w:val="67973F"/>
          <w:spacing w:val="-5"/>
          <w:sz w:val="19"/>
        </w:rPr>
        <w:t> </w:t>
      </w:r>
      <w:r>
        <w:rPr>
          <w:rFonts w:ascii="Segoe UI"/>
          <w:color w:val="67973F"/>
          <w:sz w:val="19"/>
        </w:rPr>
        <w:t>new</w:t>
      </w:r>
      <w:r>
        <w:rPr>
          <w:rFonts w:ascii="Segoe UI"/>
          <w:color w:val="67973F"/>
          <w:spacing w:val="-4"/>
          <w:sz w:val="19"/>
        </w:rPr>
        <w:t> </w:t>
      </w:r>
      <w:r>
        <w:rPr>
          <w:rFonts w:ascii="Segoe UI"/>
          <w:color w:val="67973F"/>
          <w:spacing w:val="-1"/>
          <w:sz w:val="19"/>
        </w:rPr>
        <w:t>model</w:t>
      </w:r>
      <w:r>
        <w:rPr>
          <w:rFonts w:ascii="Segoe UI"/>
          <w:color w:val="67973F"/>
          <w:spacing w:val="-5"/>
          <w:sz w:val="19"/>
        </w:rPr>
        <w:t> </w:t>
      </w:r>
      <w:r>
        <w:rPr>
          <w:rFonts w:ascii="Segoe UI"/>
          <w:color w:val="67973F"/>
          <w:sz w:val="19"/>
        </w:rPr>
        <w:t>of</w:t>
      </w:r>
      <w:r>
        <w:rPr>
          <w:rFonts w:ascii="Segoe UI"/>
          <w:color w:val="67973F"/>
          <w:spacing w:val="-5"/>
          <w:sz w:val="19"/>
        </w:rPr>
        <w:t> </w:t>
      </w:r>
      <w:r>
        <w:rPr>
          <w:rFonts w:ascii="Segoe UI"/>
          <w:color w:val="67973F"/>
          <w:spacing w:val="-1"/>
          <w:sz w:val="19"/>
        </w:rPr>
        <w:t>schooling,</w:t>
      </w:r>
      <w:r>
        <w:rPr>
          <w:rFonts w:ascii="Segoe UI"/>
          <w:color w:val="67973F"/>
          <w:spacing w:val="-3"/>
          <w:sz w:val="19"/>
        </w:rPr>
        <w:t> </w:t>
      </w:r>
      <w:r>
        <w:rPr>
          <w:rFonts w:ascii="Segoe UI"/>
          <w:color w:val="67973F"/>
          <w:sz w:val="19"/>
        </w:rPr>
        <w:t>Yiramalay</w:t>
      </w:r>
      <w:r>
        <w:rPr>
          <w:rFonts w:ascii="Segoe UI"/>
          <w:color w:val="67973F"/>
          <w:spacing w:val="-6"/>
          <w:sz w:val="19"/>
        </w:rPr>
        <w:t> </w:t>
      </w:r>
      <w:r>
        <w:rPr>
          <w:rFonts w:ascii="Segoe UI"/>
          <w:color w:val="67973F"/>
          <w:sz w:val="19"/>
        </w:rPr>
        <w:t>brings</w:t>
      </w:r>
      <w:r>
        <w:rPr>
          <w:rFonts w:ascii="Segoe UI"/>
          <w:color w:val="67973F"/>
          <w:spacing w:val="-5"/>
          <w:sz w:val="19"/>
        </w:rPr>
        <w:t> </w:t>
      </w:r>
      <w:r>
        <w:rPr>
          <w:rFonts w:ascii="Segoe UI"/>
          <w:color w:val="67973F"/>
          <w:sz w:val="19"/>
        </w:rPr>
        <w:t>together</w:t>
      </w:r>
      <w:r>
        <w:rPr>
          <w:rFonts w:ascii="Segoe UI"/>
          <w:color w:val="67973F"/>
          <w:spacing w:val="-6"/>
          <w:sz w:val="19"/>
        </w:rPr>
        <w:t> </w:t>
      </w:r>
      <w:r>
        <w:rPr>
          <w:rFonts w:ascii="Segoe UI"/>
          <w:color w:val="67973F"/>
          <w:sz w:val="19"/>
        </w:rPr>
        <w:t>Aboriginal</w:t>
      </w:r>
      <w:r>
        <w:rPr>
          <w:rFonts w:ascii="Segoe UI"/>
          <w:color w:val="67973F"/>
          <w:spacing w:val="-5"/>
          <w:sz w:val="19"/>
        </w:rPr>
        <w:t> </w:t>
      </w:r>
      <w:r>
        <w:rPr>
          <w:rFonts w:ascii="Segoe UI"/>
          <w:color w:val="67973F"/>
          <w:sz w:val="19"/>
        </w:rPr>
        <w:t>and</w:t>
      </w:r>
      <w:r>
        <w:rPr>
          <w:rFonts w:ascii="Segoe UI"/>
          <w:color w:val="67973F"/>
          <w:spacing w:val="-5"/>
          <w:sz w:val="19"/>
        </w:rPr>
        <w:t> </w:t>
      </w:r>
      <w:r>
        <w:rPr>
          <w:rFonts w:ascii="Segoe UI"/>
          <w:color w:val="67973F"/>
          <w:sz w:val="19"/>
        </w:rPr>
        <w:t>non-Aboriginal</w:t>
      </w:r>
      <w:r>
        <w:rPr>
          <w:rFonts w:ascii="Segoe UI"/>
          <w:color w:val="67973F"/>
          <w:spacing w:val="-6"/>
          <w:sz w:val="19"/>
        </w:rPr>
        <w:t> </w:t>
      </w:r>
      <w:r>
        <w:rPr>
          <w:rFonts w:ascii="Segoe UI"/>
          <w:color w:val="67973F"/>
          <w:spacing w:val="-1"/>
          <w:sz w:val="19"/>
        </w:rPr>
        <w:t>students</w:t>
      </w:r>
      <w:r>
        <w:rPr>
          <w:rFonts w:ascii="Segoe UI"/>
          <w:color w:val="67973F"/>
          <w:spacing w:val="-4"/>
          <w:sz w:val="19"/>
        </w:rPr>
        <w:t> </w:t>
      </w:r>
      <w:r>
        <w:rPr>
          <w:rFonts w:ascii="Segoe UI"/>
          <w:color w:val="67973F"/>
          <w:spacing w:val="-1"/>
          <w:sz w:val="19"/>
        </w:rPr>
        <w:t>in</w:t>
      </w:r>
      <w:r>
        <w:rPr>
          <w:rFonts w:ascii="Segoe UI"/>
          <w:color w:val="67973F"/>
          <w:spacing w:val="-1"/>
          <w:sz w:val="19"/>
        </w:rPr>
        <w:t> </w:t>
      </w:r>
      <w:r>
        <w:rPr>
          <w:rFonts w:ascii="Segoe UI"/>
          <w:color w:val="67973F"/>
          <w:spacing w:val="12"/>
          <w:sz w:val="19"/>
        </w:rPr>
        <w:t>  </w:t>
      </w:r>
      <w:r>
        <w:rPr>
          <w:rFonts w:ascii="Segoe UI"/>
          <w:color w:val="67973F"/>
          <w:sz w:val="19"/>
        </w:rPr>
        <w:t>both</w:t>
      </w:r>
      <w:r>
        <w:rPr>
          <w:rFonts w:ascii="Segoe UI"/>
          <w:color w:val="67973F"/>
          <w:spacing w:val="-6"/>
          <w:sz w:val="19"/>
        </w:rPr>
        <w:t> </w:t>
      </w:r>
      <w:r>
        <w:rPr>
          <w:rFonts w:ascii="Segoe UI"/>
          <w:color w:val="67973F"/>
          <w:sz w:val="19"/>
        </w:rPr>
        <w:t>remote</w:t>
      </w:r>
      <w:r>
        <w:rPr>
          <w:rFonts w:ascii="Segoe UI"/>
          <w:color w:val="67973F"/>
          <w:spacing w:val="-5"/>
          <w:sz w:val="19"/>
        </w:rPr>
        <w:t> </w:t>
      </w:r>
      <w:r>
        <w:rPr>
          <w:rFonts w:ascii="Segoe UI"/>
          <w:color w:val="67973F"/>
          <w:sz w:val="19"/>
        </w:rPr>
        <w:t>outback</w:t>
      </w:r>
      <w:r>
        <w:rPr>
          <w:rFonts w:ascii="Segoe UI"/>
          <w:color w:val="67973F"/>
          <w:spacing w:val="-5"/>
          <w:sz w:val="19"/>
        </w:rPr>
        <w:t> </w:t>
      </w:r>
      <w:r>
        <w:rPr>
          <w:rFonts w:ascii="Segoe UI"/>
          <w:color w:val="67973F"/>
          <w:sz w:val="19"/>
        </w:rPr>
        <w:t>and</w:t>
      </w:r>
      <w:r>
        <w:rPr>
          <w:rFonts w:ascii="Segoe UI"/>
          <w:color w:val="67973F"/>
          <w:spacing w:val="-5"/>
          <w:sz w:val="19"/>
        </w:rPr>
        <w:t> </w:t>
      </w:r>
      <w:r>
        <w:rPr>
          <w:rFonts w:ascii="Segoe UI"/>
          <w:color w:val="67973F"/>
          <w:sz w:val="19"/>
        </w:rPr>
        <w:t>urban</w:t>
      </w:r>
      <w:r>
        <w:rPr>
          <w:rFonts w:ascii="Segoe UI"/>
          <w:color w:val="67973F"/>
          <w:spacing w:val="-4"/>
          <w:sz w:val="19"/>
        </w:rPr>
        <w:t> </w:t>
      </w:r>
      <w:r>
        <w:rPr>
          <w:rFonts w:ascii="Segoe UI"/>
          <w:color w:val="67973F"/>
          <w:sz w:val="19"/>
        </w:rPr>
        <w:t>Australian</w:t>
      </w:r>
      <w:r>
        <w:rPr>
          <w:rFonts w:ascii="Segoe UI"/>
          <w:color w:val="67973F"/>
          <w:spacing w:val="-4"/>
          <w:sz w:val="19"/>
        </w:rPr>
        <w:t> </w:t>
      </w:r>
      <w:r>
        <w:rPr>
          <w:rFonts w:ascii="Segoe UI"/>
          <w:color w:val="67973F"/>
          <w:sz w:val="19"/>
        </w:rPr>
        <w:t>environments.</w:t>
      </w:r>
      <w:r>
        <w:rPr>
          <w:rFonts w:ascii="Segoe UI"/>
          <w:color w:val="67973F"/>
          <w:spacing w:val="-5"/>
          <w:sz w:val="19"/>
        </w:rPr>
        <w:t> </w:t>
      </w:r>
      <w:r>
        <w:rPr>
          <w:rFonts w:ascii="Segoe UI"/>
          <w:color w:val="67973F"/>
          <w:sz w:val="19"/>
        </w:rPr>
        <w:t>The</w:t>
      </w:r>
      <w:r>
        <w:rPr>
          <w:rFonts w:ascii="Segoe UI"/>
          <w:color w:val="67973F"/>
          <w:spacing w:val="-5"/>
          <w:sz w:val="19"/>
        </w:rPr>
        <w:t> </w:t>
      </w:r>
      <w:r>
        <w:rPr>
          <w:rFonts w:ascii="Segoe UI"/>
          <w:color w:val="67973F"/>
          <w:sz w:val="19"/>
        </w:rPr>
        <w:t>concept</w:t>
      </w:r>
      <w:r>
        <w:rPr>
          <w:rFonts w:ascii="Segoe UI"/>
          <w:color w:val="67973F"/>
          <w:spacing w:val="-5"/>
          <w:sz w:val="19"/>
        </w:rPr>
        <w:t> </w:t>
      </w:r>
      <w:r>
        <w:rPr>
          <w:rFonts w:ascii="Segoe UI"/>
          <w:color w:val="67973F"/>
          <w:sz w:val="19"/>
        </w:rPr>
        <w:t>of</w:t>
      </w:r>
      <w:r>
        <w:rPr>
          <w:rFonts w:ascii="Segoe UI"/>
          <w:color w:val="67973F"/>
          <w:spacing w:val="-4"/>
          <w:sz w:val="19"/>
        </w:rPr>
        <w:t> </w:t>
      </w:r>
      <w:r>
        <w:rPr>
          <w:rFonts w:ascii="Segoe UI"/>
          <w:color w:val="67973F"/>
          <w:sz w:val="19"/>
        </w:rPr>
        <w:t>the</w:t>
      </w:r>
      <w:r>
        <w:rPr>
          <w:rFonts w:ascii="Segoe UI"/>
          <w:color w:val="67973F"/>
          <w:spacing w:val="-5"/>
          <w:sz w:val="19"/>
        </w:rPr>
        <w:t> </w:t>
      </w:r>
      <w:r>
        <w:rPr>
          <w:rFonts w:ascii="Segoe UI"/>
          <w:color w:val="67973F"/>
          <w:spacing w:val="-1"/>
          <w:sz w:val="19"/>
        </w:rPr>
        <w:t>studio</w:t>
      </w:r>
      <w:r>
        <w:rPr>
          <w:rFonts w:ascii="Segoe UI"/>
          <w:color w:val="67973F"/>
          <w:spacing w:val="-4"/>
          <w:sz w:val="19"/>
        </w:rPr>
        <w:t> </w:t>
      </w:r>
      <w:r>
        <w:rPr>
          <w:rFonts w:ascii="Segoe UI"/>
          <w:color w:val="67973F"/>
          <w:spacing w:val="-1"/>
          <w:sz w:val="19"/>
        </w:rPr>
        <w:t>school</w:t>
      </w:r>
      <w:r>
        <w:rPr>
          <w:rFonts w:ascii="Segoe UI"/>
          <w:color w:val="67973F"/>
          <w:spacing w:val="-4"/>
          <w:sz w:val="19"/>
        </w:rPr>
        <w:t> </w:t>
      </w:r>
      <w:r>
        <w:rPr>
          <w:rFonts w:ascii="Segoe UI"/>
          <w:color w:val="67973F"/>
          <w:spacing w:val="-1"/>
          <w:sz w:val="19"/>
        </w:rPr>
        <w:t>is</w:t>
      </w:r>
      <w:r>
        <w:rPr>
          <w:rFonts w:ascii="Segoe UI"/>
          <w:color w:val="67973F"/>
          <w:spacing w:val="-5"/>
          <w:sz w:val="19"/>
        </w:rPr>
        <w:t> </w:t>
      </w:r>
      <w:r>
        <w:rPr>
          <w:rFonts w:ascii="Segoe UI"/>
          <w:color w:val="67973F"/>
          <w:sz w:val="19"/>
        </w:rPr>
        <w:t>a</w:t>
      </w:r>
      <w:r>
        <w:rPr>
          <w:rFonts w:ascii="Segoe UI"/>
          <w:color w:val="67973F"/>
          <w:spacing w:val="-5"/>
          <w:sz w:val="19"/>
        </w:rPr>
        <w:t> </w:t>
      </w:r>
      <w:r>
        <w:rPr>
          <w:rFonts w:ascii="Segoe UI"/>
          <w:color w:val="67973F"/>
          <w:sz w:val="19"/>
        </w:rPr>
        <w:t>place</w:t>
      </w:r>
      <w:r>
        <w:rPr>
          <w:rFonts w:ascii="Segoe UI"/>
          <w:color w:val="67973F"/>
          <w:spacing w:val="-4"/>
          <w:sz w:val="19"/>
        </w:rPr>
        <w:t> </w:t>
      </w:r>
      <w:r>
        <w:rPr>
          <w:rFonts w:ascii="Segoe UI"/>
          <w:color w:val="67973F"/>
          <w:spacing w:val="-4"/>
          <w:sz w:val="19"/>
        </w:rPr>
      </w:r>
      <w:r>
        <w:rPr>
          <w:rFonts w:ascii="Segoe UI"/>
          <w:color w:val="67973F"/>
          <w:sz w:val="19"/>
        </w:rPr>
        <w:t>of</w:t>
      </w:r>
      <w:r>
        <w:rPr>
          <w:rFonts w:ascii="Segoe UI"/>
          <w:color w:val="67973F"/>
          <w:spacing w:val="24"/>
          <w:sz w:val="19"/>
        </w:rPr>
        <w:t> </w:t>
      </w:r>
      <w:r>
        <w:rPr>
          <w:rFonts w:ascii="Segoe UI"/>
          <w:color w:val="67973F"/>
          <w:sz w:val="19"/>
        </w:rPr>
        <w:t>hands-on</w:t>
      </w:r>
      <w:r>
        <w:rPr>
          <w:rFonts w:ascii="Segoe UI"/>
          <w:color w:val="67973F"/>
          <w:spacing w:val="-5"/>
          <w:sz w:val="19"/>
        </w:rPr>
        <w:t> </w:t>
      </w:r>
      <w:r>
        <w:rPr>
          <w:rFonts w:ascii="Segoe UI"/>
          <w:color w:val="67973F"/>
          <w:sz w:val="19"/>
        </w:rPr>
        <w:t>practical,</w:t>
      </w:r>
      <w:r>
        <w:rPr>
          <w:rFonts w:ascii="Segoe UI"/>
          <w:color w:val="67973F"/>
          <w:spacing w:val="-5"/>
          <w:sz w:val="19"/>
        </w:rPr>
        <w:t> </w:t>
      </w:r>
      <w:r>
        <w:rPr>
          <w:rFonts w:ascii="Segoe UI"/>
          <w:color w:val="67973F"/>
          <w:sz w:val="19"/>
        </w:rPr>
        <w:t>work-related</w:t>
      </w:r>
      <w:r>
        <w:rPr>
          <w:rFonts w:ascii="Segoe UI"/>
          <w:color w:val="67973F"/>
          <w:spacing w:val="-5"/>
          <w:sz w:val="19"/>
        </w:rPr>
        <w:t> </w:t>
      </w:r>
      <w:r>
        <w:rPr>
          <w:rFonts w:ascii="Segoe UI"/>
          <w:color w:val="67973F"/>
          <w:spacing w:val="-1"/>
          <w:sz w:val="19"/>
        </w:rPr>
        <w:t>learning</w:t>
      </w:r>
      <w:r>
        <w:rPr>
          <w:rFonts w:ascii="Segoe UI"/>
          <w:color w:val="67973F"/>
          <w:spacing w:val="-4"/>
          <w:sz w:val="19"/>
        </w:rPr>
        <w:t> </w:t>
      </w:r>
      <w:r>
        <w:rPr>
          <w:rFonts w:ascii="Segoe UI"/>
          <w:color w:val="67973F"/>
          <w:sz w:val="19"/>
        </w:rPr>
        <w:t>on</w:t>
      </w:r>
      <w:r>
        <w:rPr>
          <w:rFonts w:ascii="Segoe UI"/>
          <w:color w:val="67973F"/>
          <w:spacing w:val="-3"/>
          <w:sz w:val="19"/>
        </w:rPr>
        <w:t> </w:t>
      </w:r>
      <w:r>
        <w:rPr>
          <w:rFonts w:ascii="Segoe UI"/>
          <w:color w:val="67973F"/>
          <w:sz w:val="19"/>
        </w:rPr>
        <w:t>country</w:t>
      </w:r>
      <w:r>
        <w:rPr>
          <w:rFonts w:ascii="Segoe UI"/>
          <w:color w:val="67973F"/>
          <w:spacing w:val="-5"/>
          <w:sz w:val="19"/>
        </w:rPr>
        <w:t> </w:t>
      </w:r>
      <w:r>
        <w:rPr>
          <w:rFonts w:ascii="Segoe UI"/>
          <w:color w:val="67973F"/>
          <w:sz w:val="19"/>
        </w:rPr>
        <w:t>which</w:t>
      </w:r>
      <w:r>
        <w:rPr>
          <w:rFonts w:ascii="Segoe UI"/>
          <w:color w:val="67973F"/>
          <w:spacing w:val="-4"/>
          <w:sz w:val="19"/>
        </w:rPr>
        <w:t> </w:t>
      </w:r>
      <w:r>
        <w:rPr>
          <w:rFonts w:ascii="Segoe UI"/>
          <w:color w:val="67973F"/>
          <w:sz w:val="19"/>
        </w:rPr>
        <w:t>allows</w:t>
      </w:r>
      <w:r>
        <w:rPr>
          <w:rFonts w:ascii="Segoe UI"/>
          <w:color w:val="67973F"/>
          <w:spacing w:val="-5"/>
          <w:sz w:val="19"/>
        </w:rPr>
        <w:t> </w:t>
      </w:r>
      <w:r>
        <w:rPr>
          <w:rFonts w:ascii="Segoe UI"/>
          <w:color w:val="67973F"/>
          <w:spacing w:val="-1"/>
          <w:sz w:val="19"/>
        </w:rPr>
        <w:t>students</w:t>
      </w:r>
      <w:r>
        <w:rPr>
          <w:rFonts w:ascii="Segoe UI"/>
          <w:color w:val="67973F"/>
          <w:spacing w:val="-3"/>
          <w:sz w:val="19"/>
        </w:rPr>
        <w:t> </w:t>
      </w:r>
      <w:r>
        <w:rPr>
          <w:rFonts w:ascii="Segoe UI"/>
          <w:color w:val="67973F"/>
          <w:spacing w:val="-1"/>
          <w:sz w:val="19"/>
        </w:rPr>
        <w:t>in</w:t>
      </w:r>
      <w:r>
        <w:rPr>
          <w:rFonts w:ascii="Segoe UI"/>
          <w:color w:val="67973F"/>
          <w:spacing w:val="-4"/>
          <w:sz w:val="19"/>
        </w:rPr>
        <w:t> </w:t>
      </w:r>
      <w:r>
        <w:rPr>
          <w:rFonts w:ascii="Segoe UI"/>
          <w:color w:val="67973F"/>
          <w:spacing w:val="-5"/>
          <w:sz w:val="19"/>
        </w:rPr>
        <w:t>Years</w:t>
      </w:r>
      <w:r>
        <w:rPr>
          <w:rFonts w:ascii="Segoe UI"/>
          <w:color w:val="67973F"/>
          <w:spacing w:val="-3"/>
          <w:sz w:val="19"/>
        </w:rPr>
        <w:t> </w:t>
      </w:r>
      <w:r>
        <w:rPr>
          <w:rFonts w:ascii="Segoe UI"/>
          <w:color w:val="67973F"/>
          <w:spacing w:val="-1"/>
          <w:sz w:val="19"/>
        </w:rPr>
        <w:t>10,</w:t>
      </w:r>
      <w:r>
        <w:rPr>
          <w:rFonts w:ascii="Segoe UI"/>
          <w:color w:val="67973F"/>
          <w:spacing w:val="-4"/>
          <w:sz w:val="19"/>
        </w:rPr>
        <w:t> </w:t>
      </w:r>
      <w:r>
        <w:rPr>
          <w:rFonts w:ascii="Segoe UI"/>
          <w:color w:val="67973F"/>
          <w:spacing w:val="-1"/>
          <w:sz w:val="19"/>
        </w:rPr>
        <w:t>11</w:t>
      </w:r>
      <w:r>
        <w:rPr>
          <w:rFonts w:ascii="Segoe UI"/>
          <w:color w:val="67973F"/>
          <w:spacing w:val="-4"/>
          <w:sz w:val="19"/>
        </w:rPr>
        <w:t> </w:t>
      </w:r>
      <w:r>
        <w:rPr>
          <w:rFonts w:ascii="Segoe UI"/>
          <w:color w:val="67973F"/>
          <w:sz w:val="19"/>
        </w:rPr>
        <w:t>and</w:t>
      </w:r>
      <w:r>
        <w:rPr>
          <w:rFonts w:ascii="Segoe UI"/>
          <w:color w:val="67973F"/>
          <w:spacing w:val="-4"/>
          <w:sz w:val="19"/>
        </w:rPr>
        <w:t> </w:t>
      </w:r>
      <w:r>
        <w:rPr>
          <w:rFonts w:ascii="Segoe UI"/>
          <w:color w:val="67973F"/>
          <w:spacing w:val="-1"/>
          <w:sz w:val="19"/>
        </w:rPr>
        <w:t>12</w:t>
      </w:r>
      <w:r>
        <w:rPr>
          <w:rFonts w:ascii="Segoe UI"/>
          <w:color w:val="67973F"/>
          <w:spacing w:val="-4"/>
          <w:sz w:val="19"/>
        </w:rPr>
        <w:t> </w:t>
      </w:r>
      <w:r>
        <w:rPr>
          <w:rFonts w:ascii="Segoe UI"/>
          <w:color w:val="67973F"/>
          <w:sz w:val="19"/>
        </w:rPr>
        <w:t>to</w:t>
      </w:r>
      <w:r>
        <w:rPr>
          <w:rFonts w:ascii="Segoe UI"/>
          <w:color w:val="67973F"/>
          <w:spacing w:val="29"/>
          <w:w w:val="99"/>
          <w:sz w:val="19"/>
        </w:rPr>
        <w:t> </w:t>
      </w:r>
      <w:r>
        <w:rPr>
          <w:rFonts w:ascii="Segoe UI"/>
          <w:color w:val="67973F"/>
          <w:sz w:val="19"/>
        </w:rPr>
        <w:t>build</w:t>
      </w:r>
      <w:r>
        <w:rPr>
          <w:rFonts w:ascii="Segoe UI"/>
          <w:color w:val="67973F"/>
          <w:spacing w:val="-6"/>
          <w:sz w:val="19"/>
        </w:rPr>
        <w:t> </w:t>
      </w:r>
      <w:r>
        <w:rPr>
          <w:rFonts w:ascii="Segoe UI"/>
          <w:color w:val="67973F"/>
          <w:sz w:val="19"/>
        </w:rPr>
        <w:t>relationships</w:t>
      </w:r>
      <w:r>
        <w:rPr>
          <w:rFonts w:ascii="Segoe UI"/>
          <w:color w:val="67973F"/>
          <w:spacing w:val="-6"/>
          <w:sz w:val="19"/>
        </w:rPr>
        <w:t> </w:t>
      </w:r>
      <w:r>
        <w:rPr>
          <w:rFonts w:ascii="Segoe UI"/>
          <w:color w:val="67973F"/>
          <w:sz w:val="19"/>
        </w:rPr>
        <w:t>and</w:t>
      </w:r>
      <w:r>
        <w:rPr>
          <w:rFonts w:ascii="Segoe UI"/>
          <w:color w:val="67973F"/>
          <w:spacing w:val="-6"/>
          <w:sz w:val="19"/>
        </w:rPr>
        <w:t> </w:t>
      </w:r>
      <w:r>
        <w:rPr>
          <w:rFonts w:ascii="Segoe UI"/>
          <w:color w:val="67973F"/>
          <w:sz w:val="19"/>
        </w:rPr>
        <w:t>to</w:t>
      </w:r>
      <w:r>
        <w:rPr>
          <w:rFonts w:ascii="Segoe UI"/>
          <w:color w:val="67973F"/>
          <w:spacing w:val="-5"/>
          <w:sz w:val="19"/>
        </w:rPr>
        <w:t> </w:t>
      </w:r>
      <w:r>
        <w:rPr>
          <w:rFonts w:ascii="Segoe UI"/>
          <w:color w:val="67973F"/>
          <w:sz w:val="19"/>
        </w:rPr>
        <w:t>participate</w:t>
      </w:r>
      <w:r>
        <w:rPr>
          <w:rFonts w:ascii="Segoe UI"/>
          <w:color w:val="67973F"/>
          <w:spacing w:val="-5"/>
          <w:sz w:val="19"/>
        </w:rPr>
        <w:t> </w:t>
      </w:r>
      <w:r>
        <w:rPr>
          <w:rFonts w:ascii="Segoe UI"/>
          <w:color w:val="67973F"/>
          <w:sz w:val="19"/>
        </w:rPr>
        <w:t>fully</w:t>
      </w:r>
      <w:r>
        <w:rPr>
          <w:rFonts w:ascii="Segoe UI"/>
          <w:color w:val="67973F"/>
          <w:spacing w:val="-6"/>
          <w:sz w:val="19"/>
        </w:rPr>
        <w:t> </w:t>
      </w:r>
      <w:r>
        <w:rPr>
          <w:rFonts w:ascii="Segoe UI"/>
          <w:color w:val="67973F"/>
          <w:spacing w:val="-1"/>
          <w:sz w:val="19"/>
        </w:rPr>
        <w:t>in</w:t>
      </w:r>
      <w:r>
        <w:rPr>
          <w:rFonts w:ascii="Segoe UI"/>
          <w:color w:val="67973F"/>
          <w:spacing w:val="-4"/>
          <w:sz w:val="19"/>
        </w:rPr>
        <w:t> </w:t>
      </w:r>
      <w:r>
        <w:rPr>
          <w:rFonts w:ascii="Segoe UI"/>
          <w:color w:val="67973F"/>
          <w:sz w:val="19"/>
        </w:rPr>
        <w:t>the</w:t>
      </w:r>
      <w:r>
        <w:rPr>
          <w:rFonts w:ascii="Segoe UI"/>
          <w:color w:val="67973F"/>
          <w:spacing w:val="-6"/>
          <w:sz w:val="19"/>
        </w:rPr>
        <w:t> </w:t>
      </w:r>
      <w:r>
        <w:rPr>
          <w:rFonts w:ascii="Segoe UI"/>
          <w:color w:val="67973F"/>
          <w:sz w:val="19"/>
        </w:rPr>
        <w:t>opportunities</w:t>
      </w:r>
      <w:r>
        <w:rPr>
          <w:rFonts w:ascii="Segoe UI"/>
          <w:color w:val="67973F"/>
          <w:spacing w:val="-6"/>
          <w:sz w:val="19"/>
        </w:rPr>
        <w:t> </w:t>
      </w:r>
      <w:r>
        <w:rPr>
          <w:rFonts w:ascii="Segoe UI"/>
          <w:color w:val="67973F"/>
          <w:sz w:val="19"/>
        </w:rPr>
        <w:t>for</w:t>
      </w:r>
      <w:r>
        <w:rPr>
          <w:rFonts w:ascii="Segoe UI"/>
          <w:color w:val="67973F"/>
          <w:spacing w:val="-4"/>
          <w:sz w:val="19"/>
        </w:rPr>
        <w:t> </w:t>
      </w:r>
      <w:r>
        <w:rPr>
          <w:rFonts w:ascii="Segoe UI"/>
          <w:color w:val="67973F"/>
          <w:spacing w:val="-1"/>
          <w:sz w:val="19"/>
        </w:rPr>
        <w:t>industry</w:t>
      </w:r>
      <w:r>
        <w:rPr>
          <w:rFonts w:ascii="Segoe UI"/>
          <w:color w:val="67973F"/>
          <w:spacing w:val="-5"/>
          <w:sz w:val="19"/>
        </w:rPr>
        <w:t> </w:t>
      </w:r>
      <w:r>
        <w:rPr>
          <w:rFonts w:ascii="Segoe UI"/>
          <w:color w:val="67973F"/>
          <w:spacing w:val="-1"/>
          <w:sz w:val="19"/>
        </w:rPr>
        <w:t>learning</w:t>
      </w:r>
      <w:r>
        <w:rPr>
          <w:rFonts w:ascii="Segoe UI"/>
          <w:color w:val="67973F"/>
          <w:spacing w:val="-4"/>
          <w:sz w:val="19"/>
        </w:rPr>
        <w:t> </w:t>
      </w:r>
      <w:r>
        <w:rPr>
          <w:rFonts w:ascii="Segoe UI"/>
          <w:color w:val="67973F"/>
          <w:sz w:val="19"/>
        </w:rPr>
        <w:t>and</w:t>
      </w:r>
      <w:r>
        <w:rPr>
          <w:rFonts w:ascii="Segoe UI"/>
          <w:color w:val="67973F"/>
          <w:spacing w:val="-6"/>
          <w:sz w:val="19"/>
        </w:rPr>
        <w:t> </w:t>
      </w:r>
      <w:r>
        <w:rPr>
          <w:rFonts w:ascii="Segoe UI"/>
          <w:color w:val="67973F"/>
          <w:sz w:val="19"/>
        </w:rPr>
        <w:t>personal/social</w:t>
      </w:r>
      <w:r>
        <w:rPr>
          <w:rFonts w:ascii="Segoe UI"/>
          <w:color w:val="67973F"/>
          <w:spacing w:val="24"/>
          <w:w w:val="99"/>
          <w:sz w:val="19"/>
        </w:rPr>
        <w:t> </w:t>
      </w:r>
      <w:r>
        <w:rPr>
          <w:rFonts w:ascii="Segoe UI"/>
          <w:color w:val="67973F"/>
          <w:spacing w:val="-1"/>
          <w:sz w:val="19"/>
        </w:rPr>
        <w:t>learning</w:t>
      </w:r>
      <w:r>
        <w:rPr>
          <w:rFonts w:ascii="Segoe UI"/>
          <w:color w:val="67973F"/>
          <w:spacing w:val="-5"/>
          <w:sz w:val="19"/>
        </w:rPr>
        <w:t> </w:t>
      </w:r>
      <w:r>
        <w:rPr>
          <w:rFonts w:ascii="Segoe UI"/>
          <w:color w:val="67973F"/>
          <w:sz w:val="19"/>
        </w:rPr>
        <w:t>across</w:t>
      </w:r>
      <w:r>
        <w:rPr>
          <w:rFonts w:ascii="Segoe UI"/>
          <w:color w:val="67973F"/>
          <w:spacing w:val="-5"/>
          <w:sz w:val="19"/>
        </w:rPr>
        <w:t> </w:t>
      </w:r>
      <w:r>
        <w:rPr>
          <w:rFonts w:ascii="Segoe UI"/>
          <w:color w:val="67973F"/>
          <w:sz w:val="19"/>
        </w:rPr>
        <w:t>cultures</w:t>
      </w:r>
      <w:r>
        <w:rPr>
          <w:rFonts w:ascii="Segoe UI"/>
          <w:color w:val="67973F"/>
          <w:spacing w:val="-6"/>
          <w:sz w:val="19"/>
        </w:rPr>
        <w:t> </w:t>
      </w:r>
      <w:r>
        <w:rPr>
          <w:rFonts w:ascii="Segoe UI"/>
          <w:color w:val="67973F"/>
          <w:spacing w:val="-1"/>
          <w:sz w:val="19"/>
        </w:rPr>
        <w:t>in</w:t>
      </w:r>
      <w:r>
        <w:rPr>
          <w:rFonts w:ascii="Segoe UI"/>
          <w:color w:val="67973F"/>
          <w:spacing w:val="-4"/>
          <w:sz w:val="19"/>
        </w:rPr>
        <w:t> </w:t>
      </w:r>
      <w:r>
        <w:rPr>
          <w:rFonts w:ascii="Segoe UI"/>
          <w:color w:val="67973F"/>
          <w:sz w:val="19"/>
        </w:rPr>
        <w:t>a</w:t>
      </w:r>
      <w:r>
        <w:rPr>
          <w:rFonts w:ascii="Segoe UI"/>
          <w:color w:val="67973F"/>
          <w:spacing w:val="-4"/>
          <w:sz w:val="19"/>
        </w:rPr>
        <w:t> </w:t>
      </w:r>
      <w:r>
        <w:rPr>
          <w:rFonts w:ascii="Segoe UI"/>
          <w:color w:val="67973F"/>
          <w:sz w:val="19"/>
        </w:rPr>
        <w:t>residential</w:t>
      </w:r>
      <w:r>
        <w:rPr>
          <w:rFonts w:ascii="Segoe UI"/>
          <w:color w:val="67973F"/>
          <w:spacing w:val="-7"/>
          <w:sz w:val="19"/>
        </w:rPr>
        <w:t> </w:t>
      </w:r>
      <w:r>
        <w:rPr>
          <w:rFonts w:ascii="Segoe UI"/>
          <w:color w:val="67973F"/>
          <w:spacing w:val="-1"/>
          <w:sz w:val="19"/>
        </w:rPr>
        <w:t>setting.</w:t>
      </w:r>
      <w:r>
        <w:rPr>
          <w:rFonts w:ascii="Segoe UI"/>
          <w:color w:val="67973F"/>
          <w:spacing w:val="-4"/>
          <w:sz w:val="19"/>
        </w:rPr>
        <w:t> </w:t>
      </w:r>
      <w:r>
        <w:rPr>
          <w:rFonts w:ascii="Segoe UI"/>
          <w:color w:val="67973F"/>
          <w:sz w:val="19"/>
        </w:rPr>
        <w:t>The</w:t>
      </w:r>
      <w:r>
        <w:rPr>
          <w:rFonts w:ascii="Segoe UI"/>
          <w:color w:val="67973F"/>
          <w:spacing w:val="-5"/>
          <w:sz w:val="19"/>
        </w:rPr>
        <w:t> </w:t>
      </w:r>
      <w:r>
        <w:rPr>
          <w:rFonts w:ascii="Segoe UI"/>
          <w:color w:val="67973F"/>
          <w:spacing w:val="-1"/>
          <w:sz w:val="19"/>
        </w:rPr>
        <w:t>location</w:t>
      </w:r>
      <w:r>
        <w:rPr>
          <w:rFonts w:ascii="Segoe UI"/>
          <w:color w:val="67973F"/>
          <w:spacing w:val="-4"/>
          <w:sz w:val="19"/>
        </w:rPr>
        <w:t> </w:t>
      </w:r>
      <w:r>
        <w:rPr>
          <w:rFonts w:ascii="Segoe UI"/>
          <w:color w:val="67973F"/>
          <w:sz w:val="19"/>
        </w:rPr>
        <w:t>and</w:t>
      </w:r>
      <w:r>
        <w:rPr>
          <w:rFonts w:ascii="Segoe UI"/>
          <w:color w:val="67973F"/>
          <w:spacing w:val="-5"/>
          <w:sz w:val="19"/>
        </w:rPr>
        <w:t> </w:t>
      </w:r>
      <w:r>
        <w:rPr>
          <w:rFonts w:ascii="Segoe UI"/>
          <w:color w:val="67973F"/>
          <w:sz w:val="19"/>
        </w:rPr>
        <w:t>residential</w:t>
      </w:r>
      <w:r>
        <w:rPr>
          <w:rFonts w:ascii="Segoe UI"/>
          <w:color w:val="67973F"/>
          <w:spacing w:val="-7"/>
          <w:sz w:val="19"/>
        </w:rPr>
        <w:t> </w:t>
      </w:r>
      <w:r>
        <w:rPr>
          <w:rFonts w:ascii="Segoe UI"/>
          <w:color w:val="67973F"/>
          <w:sz w:val="19"/>
        </w:rPr>
        <w:t>nature</w:t>
      </w:r>
      <w:r>
        <w:rPr>
          <w:rFonts w:ascii="Segoe UI"/>
          <w:color w:val="67973F"/>
          <w:spacing w:val="-4"/>
          <w:sz w:val="19"/>
        </w:rPr>
        <w:t> </w:t>
      </w:r>
      <w:r>
        <w:rPr>
          <w:rFonts w:ascii="Segoe UI"/>
          <w:color w:val="67973F"/>
          <w:sz w:val="19"/>
        </w:rPr>
        <w:t>of</w:t>
      </w:r>
      <w:r>
        <w:rPr>
          <w:rFonts w:ascii="Segoe UI"/>
          <w:color w:val="67973F"/>
          <w:spacing w:val="-5"/>
          <w:sz w:val="19"/>
        </w:rPr>
        <w:t> </w:t>
      </w:r>
      <w:r>
        <w:rPr>
          <w:rFonts w:ascii="Segoe UI"/>
          <w:color w:val="67973F"/>
          <w:sz w:val="19"/>
        </w:rPr>
        <w:t>the</w:t>
      </w:r>
      <w:r>
        <w:rPr>
          <w:rFonts w:ascii="Segoe UI"/>
          <w:color w:val="67973F"/>
          <w:spacing w:val="-5"/>
          <w:sz w:val="19"/>
        </w:rPr>
        <w:t> </w:t>
      </w:r>
      <w:r>
        <w:rPr>
          <w:rFonts w:ascii="Segoe UI"/>
          <w:color w:val="67973F"/>
          <w:spacing w:val="-1"/>
          <w:sz w:val="19"/>
        </w:rPr>
        <w:t>studio</w:t>
      </w:r>
      <w:r>
        <w:rPr>
          <w:rFonts w:ascii="Segoe UI"/>
          <w:color w:val="67973F"/>
          <w:spacing w:val="-4"/>
          <w:sz w:val="19"/>
        </w:rPr>
        <w:t> </w:t>
      </w:r>
      <w:r>
        <w:rPr>
          <w:rFonts w:ascii="Segoe UI"/>
          <w:color w:val="67973F"/>
          <w:spacing w:val="-1"/>
          <w:sz w:val="19"/>
        </w:rPr>
        <w:t>school</w:t>
      </w:r>
      <w:r>
        <w:rPr>
          <w:rFonts w:ascii="Segoe UI"/>
          <w:color w:val="67973F"/>
          <w:spacing w:val="25"/>
          <w:sz w:val="19"/>
        </w:rPr>
        <w:t> </w:t>
      </w:r>
      <w:r>
        <w:rPr>
          <w:rFonts w:ascii="Segoe UI"/>
          <w:color w:val="67973F"/>
          <w:sz w:val="19"/>
        </w:rPr>
        <w:t>allows</w:t>
      </w:r>
      <w:r>
        <w:rPr>
          <w:rFonts w:ascii="Segoe UI"/>
          <w:color w:val="67973F"/>
          <w:spacing w:val="-3"/>
          <w:sz w:val="19"/>
        </w:rPr>
        <w:t> </w:t>
      </w:r>
      <w:r>
        <w:rPr>
          <w:rFonts w:ascii="Segoe UI"/>
          <w:color w:val="67973F"/>
          <w:spacing w:val="-1"/>
          <w:sz w:val="19"/>
        </w:rPr>
        <w:t>students</w:t>
      </w:r>
      <w:r>
        <w:rPr>
          <w:rFonts w:ascii="Segoe UI"/>
          <w:color w:val="67973F"/>
          <w:spacing w:val="-2"/>
          <w:sz w:val="19"/>
        </w:rPr>
        <w:t> </w:t>
      </w:r>
      <w:r>
        <w:rPr>
          <w:rFonts w:ascii="Segoe UI"/>
          <w:color w:val="67973F"/>
          <w:sz w:val="19"/>
        </w:rPr>
        <w:t>to</w:t>
      </w:r>
      <w:r>
        <w:rPr>
          <w:rFonts w:ascii="Segoe UI"/>
          <w:color w:val="67973F"/>
          <w:spacing w:val="-1"/>
          <w:sz w:val="19"/>
        </w:rPr>
        <w:t> </w:t>
      </w:r>
      <w:r>
        <w:rPr>
          <w:rFonts w:ascii="Segoe UI"/>
          <w:color w:val="67973F"/>
          <w:sz w:val="19"/>
        </w:rPr>
        <w:t>be</w:t>
      </w:r>
      <w:r>
        <w:rPr>
          <w:rFonts w:ascii="Segoe UI"/>
          <w:color w:val="67973F"/>
          <w:spacing w:val="-2"/>
          <w:sz w:val="19"/>
        </w:rPr>
        <w:t> </w:t>
      </w:r>
      <w:r>
        <w:rPr>
          <w:rFonts w:ascii="Segoe UI"/>
          <w:color w:val="67973F"/>
          <w:sz w:val="19"/>
        </w:rPr>
        <w:t>fully</w:t>
      </w:r>
      <w:r>
        <w:rPr>
          <w:rFonts w:ascii="Segoe UI"/>
          <w:color w:val="67973F"/>
          <w:spacing w:val="-2"/>
          <w:sz w:val="19"/>
        </w:rPr>
        <w:t> </w:t>
      </w:r>
      <w:r>
        <w:rPr>
          <w:rFonts w:ascii="Segoe UI"/>
          <w:color w:val="67973F"/>
          <w:spacing w:val="-1"/>
          <w:sz w:val="19"/>
        </w:rPr>
        <w:t>immersed</w:t>
      </w:r>
      <w:r>
        <w:rPr>
          <w:rFonts w:ascii="Segoe UI"/>
          <w:color w:val="67973F"/>
          <w:spacing w:val="-2"/>
          <w:sz w:val="19"/>
        </w:rPr>
        <w:t> </w:t>
      </w:r>
      <w:r>
        <w:rPr>
          <w:rFonts w:ascii="Segoe UI"/>
          <w:color w:val="67973F"/>
          <w:spacing w:val="-1"/>
          <w:sz w:val="19"/>
        </w:rPr>
        <w:t>in</w:t>
      </w:r>
      <w:r>
        <w:rPr>
          <w:rFonts w:ascii="Segoe UI"/>
          <w:color w:val="67973F"/>
          <w:spacing w:val="-2"/>
          <w:sz w:val="19"/>
        </w:rPr>
        <w:t> </w:t>
      </w:r>
      <w:r>
        <w:rPr>
          <w:rFonts w:ascii="Segoe UI"/>
          <w:color w:val="67973F"/>
          <w:sz w:val="19"/>
        </w:rPr>
        <w:t>the</w:t>
      </w:r>
      <w:r>
        <w:rPr>
          <w:rFonts w:ascii="Segoe UI"/>
          <w:color w:val="67973F"/>
          <w:spacing w:val="-2"/>
          <w:sz w:val="19"/>
        </w:rPr>
        <w:t> </w:t>
      </w:r>
      <w:r>
        <w:rPr>
          <w:rFonts w:ascii="Segoe UI"/>
          <w:color w:val="67973F"/>
          <w:sz w:val="19"/>
        </w:rPr>
        <w:t>culture</w:t>
      </w:r>
      <w:r>
        <w:rPr>
          <w:rFonts w:ascii="Segoe UI"/>
          <w:color w:val="67973F"/>
          <w:spacing w:val="-3"/>
          <w:sz w:val="19"/>
        </w:rPr>
        <w:t> </w:t>
      </w:r>
      <w:r>
        <w:rPr>
          <w:rFonts w:ascii="Segoe UI"/>
          <w:color w:val="67973F"/>
          <w:sz w:val="19"/>
        </w:rPr>
        <w:t>and</w:t>
      </w:r>
      <w:r>
        <w:rPr>
          <w:rFonts w:ascii="Segoe UI"/>
          <w:color w:val="67973F"/>
          <w:spacing w:val="-2"/>
          <w:sz w:val="19"/>
        </w:rPr>
        <w:t> </w:t>
      </w:r>
      <w:r>
        <w:rPr>
          <w:rFonts w:ascii="Segoe UI"/>
          <w:color w:val="67973F"/>
          <w:spacing w:val="-1"/>
          <w:sz w:val="19"/>
        </w:rPr>
        <w:t>local</w:t>
      </w:r>
      <w:r>
        <w:rPr>
          <w:rFonts w:ascii="Segoe UI"/>
          <w:color w:val="67973F"/>
          <w:spacing w:val="-2"/>
          <w:sz w:val="19"/>
        </w:rPr>
        <w:t> </w:t>
      </w:r>
      <w:r>
        <w:rPr>
          <w:rFonts w:ascii="Segoe UI"/>
          <w:color w:val="67973F"/>
          <w:sz w:val="19"/>
        </w:rPr>
        <w:t>community</w:t>
      </w:r>
      <w:r>
        <w:rPr>
          <w:rFonts w:ascii="Segoe UI"/>
          <w:color w:val="67973F"/>
          <w:spacing w:val="-2"/>
          <w:sz w:val="19"/>
        </w:rPr>
        <w:t> </w:t>
      </w:r>
      <w:r>
        <w:rPr>
          <w:rFonts w:ascii="Segoe UI"/>
          <w:color w:val="67973F"/>
          <w:sz w:val="19"/>
        </w:rPr>
        <w:t>whether</w:t>
      </w:r>
      <w:r>
        <w:rPr>
          <w:rFonts w:ascii="Segoe UI"/>
          <w:color w:val="67973F"/>
          <w:spacing w:val="-3"/>
          <w:sz w:val="19"/>
        </w:rPr>
        <w:t> </w:t>
      </w:r>
      <w:r>
        <w:rPr>
          <w:rFonts w:ascii="Segoe UI"/>
          <w:color w:val="67973F"/>
          <w:spacing w:val="-1"/>
          <w:sz w:val="19"/>
        </w:rPr>
        <w:t>in</w:t>
      </w:r>
      <w:r>
        <w:rPr>
          <w:rFonts w:ascii="Segoe UI"/>
          <w:color w:val="67973F"/>
          <w:spacing w:val="-2"/>
          <w:sz w:val="19"/>
        </w:rPr>
        <w:t> </w:t>
      </w:r>
      <w:r>
        <w:rPr>
          <w:rFonts w:ascii="Segoe UI"/>
          <w:color w:val="67973F"/>
          <w:sz w:val="19"/>
        </w:rPr>
        <w:t>the</w:t>
      </w:r>
      <w:r>
        <w:rPr>
          <w:rFonts w:ascii="Segoe UI"/>
          <w:color w:val="67973F"/>
          <w:spacing w:val="-2"/>
          <w:sz w:val="19"/>
        </w:rPr>
        <w:t> </w:t>
      </w:r>
      <w:r>
        <w:rPr>
          <w:rFonts w:ascii="Segoe UI"/>
          <w:color w:val="67973F"/>
          <w:spacing w:val="-1"/>
          <w:sz w:val="19"/>
        </w:rPr>
        <w:t>Kimberley</w:t>
      </w:r>
      <w:r>
        <w:rPr>
          <w:rFonts w:ascii="Segoe UI"/>
          <w:color w:val="67973F"/>
          <w:spacing w:val="-2"/>
          <w:sz w:val="19"/>
        </w:rPr>
        <w:t> </w:t>
      </w:r>
      <w:r>
        <w:rPr>
          <w:rFonts w:ascii="Segoe UI"/>
          <w:color w:val="67973F"/>
          <w:sz w:val="19"/>
        </w:rPr>
        <w:t>or</w:t>
      </w:r>
      <w:r>
        <w:rPr>
          <w:rFonts w:ascii="Segoe UI"/>
          <w:color w:val="67973F"/>
          <w:spacing w:val="-1"/>
          <w:sz w:val="19"/>
        </w:rPr>
        <w:t> in</w:t>
      </w:r>
      <w:r>
        <w:rPr>
          <w:rFonts w:ascii="Segoe UI"/>
          <w:sz w:val="19"/>
        </w:rPr>
      </w:r>
    </w:p>
    <w:p>
      <w:pPr>
        <w:spacing w:line="246" w:lineRule="auto" w:before="0"/>
        <w:ind w:left="100" w:right="210" w:firstLine="0"/>
        <w:jc w:val="left"/>
        <w:rPr>
          <w:rFonts w:ascii="Segoe UI" w:hAnsi="Segoe UI" w:cs="Segoe UI" w:eastAsia="Segoe UI"/>
          <w:sz w:val="19"/>
          <w:szCs w:val="19"/>
        </w:rPr>
      </w:pPr>
      <w:r>
        <w:rPr>
          <w:rFonts w:ascii="Segoe UI" w:hAnsi="Segoe UI" w:cs="Segoe UI" w:eastAsia="Segoe UI"/>
          <w:color w:val="67973F"/>
          <w:sz w:val="19"/>
          <w:szCs w:val="19"/>
        </w:rPr>
        <w:t>Melbourne.</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Students</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spend</w:t>
      </w:r>
      <w:r>
        <w:rPr>
          <w:rFonts w:ascii="Segoe UI" w:hAnsi="Segoe UI" w:cs="Segoe UI" w:eastAsia="Segoe UI"/>
          <w:color w:val="67973F"/>
          <w:spacing w:val="-4"/>
          <w:sz w:val="19"/>
          <w:szCs w:val="19"/>
        </w:rPr>
        <w:t> </w:t>
      </w:r>
      <w:r>
        <w:rPr>
          <w:rFonts w:ascii="Segoe UI" w:hAnsi="Segoe UI" w:cs="Segoe UI" w:eastAsia="Segoe UI"/>
          <w:color w:val="67973F"/>
          <w:sz w:val="19"/>
          <w:szCs w:val="19"/>
        </w:rPr>
        <w:t>two</w:t>
      </w:r>
      <w:r>
        <w:rPr>
          <w:rFonts w:ascii="Segoe UI" w:hAnsi="Segoe UI" w:cs="Segoe UI" w:eastAsia="Segoe UI"/>
          <w:color w:val="67973F"/>
          <w:spacing w:val="-4"/>
          <w:sz w:val="19"/>
          <w:szCs w:val="19"/>
        </w:rPr>
        <w:t> </w:t>
      </w:r>
      <w:r>
        <w:rPr>
          <w:rFonts w:ascii="Segoe UI" w:hAnsi="Segoe UI" w:cs="Segoe UI" w:eastAsia="Segoe UI"/>
          <w:color w:val="67973F"/>
          <w:sz w:val="19"/>
          <w:szCs w:val="19"/>
        </w:rPr>
        <w:t>terms</w:t>
      </w:r>
      <w:r>
        <w:rPr>
          <w:rFonts w:ascii="Segoe UI" w:hAnsi="Segoe UI" w:cs="Segoe UI" w:eastAsia="Segoe UI"/>
          <w:color w:val="67973F"/>
          <w:spacing w:val="-5"/>
          <w:sz w:val="19"/>
          <w:szCs w:val="19"/>
        </w:rPr>
        <w:t> </w:t>
      </w:r>
      <w:r>
        <w:rPr>
          <w:rFonts w:ascii="Segoe UI" w:hAnsi="Segoe UI" w:cs="Segoe UI" w:eastAsia="Segoe UI"/>
          <w:color w:val="67973F"/>
          <w:sz w:val="19"/>
          <w:szCs w:val="19"/>
        </w:rPr>
        <w:t>of</w:t>
      </w:r>
      <w:r>
        <w:rPr>
          <w:rFonts w:ascii="Segoe UI" w:hAnsi="Segoe UI" w:cs="Segoe UI" w:eastAsia="Segoe UI"/>
          <w:color w:val="67973F"/>
          <w:spacing w:val="-4"/>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school</w:t>
      </w:r>
      <w:r>
        <w:rPr>
          <w:rFonts w:ascii="Segoe UI" w:hAnsi="Segoe UI" w:cs="Segoe UI" w:eastAsia="Segoe UI"/>
          <w:color w:val="67973F"/>
          <w:spacing w:val="-4"/>
          <w:sz w:val="19"/>
          <w:szCs w:val="19"/>
        </w:rPr>
        <w:t> </w:t>
      </w:r>
      <w:r>
        <w:rPr>
          <w:rFonts w:ascii="Segoe UI" w:hAnsi="Segoe UI" w:cs="Segoe UI" w:eastAsia="Segoe UI"/>
          <w:color w:val="67973F"/>
          <w:sz w:val="19"/>
          <w:szCs w:val="19"/>
        </w:rPr>
        <w:t>year</w:t>
      </w:r>
      <w:r>
        <w:rPr>
          <w:rFonts w:ascii="Segoe UI" w:hAnsi="Segoe UI" w:cs="Segoe UI" w:eastAsia="Segoe UI"/>
          <w:color w:val="67973F"/>
          <w:spacing w:val="-4"/>
          <w:sz w:val="19"/>
          <w:szCs w:val="19"/>
        </w:rPr>
        <w:t> </w:t>
      </w:r>
      <w:r>
        <w:rPr>
          <w:rFonts w:ascii="Segoe UI" w:hAnsi="Segoe UI" w:cs="Segoe UI" w:eastAsia="Segoe UI"/>
          <w:color w:val="67973F"/>
          <w:sz w:val="19"/>
          <w:szCs w:val="19"/>
        </w:rPr>
        <w:t>on</w:t>
      </w:r>
      <w:r>
        <w:rPr>
          <w:rFonts w:ascii="Segoe UI" w:hAnsi="Segoe UI" w:cs="Segoe UI" w:eastAsia="Segoe UI"/>
          <w:color w:val="67973F"/>
          <w:spacing w:val="-4"/>
          <w:sz w:val="19"/>
          <w:szCs w:val="19"/>
        </w:rPr>
        <w:t> </w:t>
      </w:r>
      <w:r>
        <w:rPr>
          <w:rFonts w:ascii="Segoe UI" w:hAnsi="Segoe UI" w:cs="Segoe UI" w:eastAsia="Segoe UI"/>
          <w:color w:val="67973F"/>
          <w:sz w:val="19"/>
          <w:szCs w:val="19"/>
        </w:rPr>
        <w:t>country</w:t>
      </w:r>
      <w:r>
        <w:rPr>
          <w:rFonts w:ascii="Segoe UI" w:hAnsi="Segoe UI" w:cs="Segoe UI" w:eastAsia="Segoe UI"/>
          <w:color w:val="67973F"/>
          <w:spacing w:val="-5"/>
          <w:sz w:val="19"/>
          <w:szCs w:val="19"/>
        </w:rPr>
        <w:t> </w:t>
      </w:r>
      <w:r>
        <w:rPr>
          <w:rFonts w:ascii="Segoe UI" w:hAnsi="Segoe UI" w:cs="Segoe UI" w:eastAsia="Segoe UI"/>
          <w:color w:val="67973F"/>
          <w:sz w:val="19"/>
          <w:szCs w:val="19"/>
        </w:rPr>
        <w:t>at</w:t>
      </w:r>
      <w:r>
        <w:rPr>
          <w:rFonts w:ascii="Segoe UI" w:hAnsi="Segoe UI" w:cs="Segoe UI" w:eastAsia="Segoe UI"/>
          <w:color w:val="67973F"/>
          <w:spacing w:val="-4"/>
          <w:sz w:val="19"/>
          <w:szCs w:val="19"/>
        </w:rPr>
        <w:t> </w:t>
      </w:r>
      <w:r>
        <w:rPr>
          <w:rFonts w:ascii="Segoe UI" w:hAnsi="Segoe UI" w:cs="Segoe UI" w:eastAsia="Segoe UI"/>
          <w:color w:val="67973F"/>
          <w:sz w:val="19"/>
          <w:szCs w:val="19"/>
        </w:rPr>
        <w:t>Yiramalay</w:t>
      </w:r>
      <w:r>
        <w:rPr>
          <w:rFonts w:ascii="Segoe UI" w:hAnsi="Segoe UI" w:cs="Segoe UI" w:eastAsia="Segoe UI"/>
          <w:color w:val="67973F"/>
          <w:spacing w:val="-4"/>
          <w:sz w:val="19"/>
          <w:szCs w:val="19"/>
        </w:rPr>
        <w:t> </w:t>
      </w:r>
      <w:r>
        <w:rPr>
          <w:rFonts w:ascii="Segoe UI" w:hAnsi="Segoe UI" w:cs="Segoe UI" w:eastAsia="Segoe UI"/>
          <w:color w:val="67973F"/>
          <w:sz w:val="19"/>
          <w:szCs w:val="19"/>
        </w:rPr>
        <w:t>during</w:t>
      </w:r>
      <w:r>
        <w:rPr>
          <w:rFonts w:ascii="Segoe UI" w:hAnsi="Segoe UI" w:cs="Segoe UI" w:eastAsia="Segoe UI"/>
          <w:color w:val="67973F"/>
          <w:spacing w:val="-5"/>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5"/>
          <w:sz w:val="19"/>
          <w:szCs w:val="19"/>
        </w:rPr>
        <w:t> </w:t>
      </w:r>
      <w:r>
        <w:rPr>
          <w:rFonts w:ascii="Segoe UI" w:hAnsi="Segoe UI" w:cs="Segoe UI" w:eastAsia="Segoe UI"/>
          <w:color w:val="67973F"/>
          <w:sz w:val="19"/>
          <w:szCs w:val="19"/>
        </w:rPr>
        <w:t>dry</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season</w:t>
      </w:r>
      <w:r>
        <w:rPr>
          <w:rFonts w:ascii="Segoe UI" w:hAnsi="Segoe UI" w:cs="Segoe UI" w:eastAsia="Segoe UI"/>
          <w:color w:val="67973F"/>
          <w:spacing w:val="23"/>
          <w:sz w:val="19"/>
          <w:szCs w:val="19"/>
        </w:rPr>
        <w:t> </w:t>
      </w:r>
      <w:r>
        <w:rPr>
          <w:rFonts w:ascii="Segoe UI" w:hAnsi="Segoe UI" w:cs="Segoe UI" w:eastAsia="Segoe UI"/>
          <w:color w:val="67973F"/>
          <w:spacing w:val="-5"/>
          <w:sz w:val="19"/>
          <w:szCs w:val="19"/>
        </w:rPr>
        <w:t>(T</w:t>
      </w:r>
      <w:r>
        <w:rPr>
          <w:rFonts w:ascii="Segoe UI" w:hAnsi="Segoe UI" w:cs="Segoe UI" w:eastAsia="Segoe UI"/>
          <w:color w:val="67973F"/>
          <w:spacing w:val="-4"/>
          <w:sz w:val="19"/>
          <w:szCs w:val="19"/>
        </w:rPr>
        <w:t>erms</w:t>
      </w:r>
      <w:r>
        <w:rPr>
          <w:rFonts w:ascii="Segoe UI" w:hAnsi="Segoe UI" w:cs="Segoe UI" w:eastAsia="Segoe UI"/>
          <w:color w:val="67973F"/>
          <w:spacing w:val="-3"/>
          <w:sz w:val="19"/>
          <w:szCs w:val="19"/>
        </w:rPr>
        <w:t> </w:t>
      </w:r>
      <w:r>
        <w:rPr>
          <w:rFonts w:ascii="Segoe UI" w:hAnsi="Segoe UI" w:cs="Segoe UI" w:eastAsia="Segoe UI"/>
          <w:color w:val="67973F"/>
          <w:sz w:val="19"/>
          <w:szCs w:val="19"/>
        </w:rPr>
        <w:t>2</w:t>
      </w:r>
      <w:r>
        <w:rPr>
          <w:rFonts w:ascii="Segoe UI" w:hAnsi="Segoe UI" w:cs="Segoe UI" w:eastAsia="Segoe UI"/>
          <w:color w:val="67973F"/>
          <w:spacing w:val="-3"/>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3)</w:t>
      </w:r>
      <w:r>
        <w:rPr>
          <w:rFonts w:ascii="Segoe UI" w:hAnsi="Segoe UI" w:cs="Segoe UI" w:eastAsia="Segoe UI"/>
          <w:color w:val="67973F"/>
          <w:spacing w:val="-2"/>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3"/>
          <w:sz w:val="19"/>
          <w:szCs w:val="19"/>
        </w:rPr>
        <w:t> </w:t>
      </w:r>
      <w:r>
        <w:rPr>
          <w:rFonts w:ascii="Segoe UI" w:hAnsi="Segoe UI" w:cs="Segoe UI" w:eastAsia="Segoe UI"/>
          <w:color w:val="67973F"/>
          <w:sz w:val="19"/>
          <w:szCs w:val="19"/>
        </w:rPr>
        <w:t>two</w:t>
      </w:r>
      <w:r>
        <w:rPr>
          <w:rFonts w:ascii="Segoe UI" w:hAnsi="Segoe UI" w:cs="Segoe UI" w:eastAsia="Segoe UI"/>
          <w:color w:val="67973F"/>
          <w:spacing w:val="-2"/>
          <w:sz w:val="19"/>
          <w:szCs w:val="19"/>
        </w:rPr>
        <w:t> </w:t>
      </w:r>
      <w:r>
        <w:rPr>
          <w:rFonts w:ascii="Segoe UI" w:hAnsi="Segoe UI" w:cs="Segoe UI" w:eastAsia="Segoe UI"/>
          <w:color w:val="67973F"/>
          <w:sz w:val="19"/>
          <w:szCs w:val="19"/>
        </w:rPr>
        <w:t>terms</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in</w:t>
      </w:r>
      <w:r>
        <w:rPr>
          <w:rFonts w:ascii="Segoe UI" w:hAnsi="Segoe UI" w:cs="Segoe UI" w:eastAsia="Segoe UI"/>
          <w:color w:val="67973F"/>
          <w:spacing w:val="-2"/>
          <w:sz w:val="19"/>
          <w:szCs w:val="19"/>
        </w:rPr>
        <w:t> </w:t>
      </w:r>
      <w:r>
        <w:rPr>
          <w:rFonts w:ascii="Segoe UI" w:hAnsi="Segoe UI" w:cs="Segoe UI" w:eastAsia="Segoe UI"/>
          <w:color w:val="67973F"/>
          <w:sz w:val="19"/>
          <w:szCs w:val="19"/>
        </w:rPr>
        <w:t>Melbourne</w:t>
      </w:r>
      <w:r>
        <w:rPr>
          <w:rFonts w:ascii="Segoe UI" w:hAnsi="Segoe UI" w:cs="Segoe UI" w:eastAsia="Segoe UI"/>
          <w:color w:val="67973F"/>
          <w:spacing w:val="-3"/>
          <w:sz w:val="19"/>
          <w:szCs w:val="19"/>
        </w:rPr>
        <w:t> </w:t>
      </w:r>
      <w:r>
        <w:rPr>
          <w:rFonts w:ascii="Segoe UI" w:hAnsi="Segoe UI" w:cs="Segoe UI" w:eastAsia="Segoe UI"/>
          <w:color w:val="67973F"/>
          <w:spacing w:val="-5"/>
          <w:sz w:val="19"/>
          <w:szCs w:val="19"/>
        </w:rPr>
        <w:t>(T</w:t>
      </w:r>
      <w:r>
        <w:rPr>
          <w:rFonts w:ascii="Segoe UI" w:hAnsi="Segoe UI" w:cs="Segoe UI" w:eastAsia="Segoe UI"/>
          <w:color w:val="67973F"/>
          <w:spacing w:val="-4"/>
          <w:sz w:val="19"/>
          <w:szCs w:val="19"/>
        </w:rPr>
        <w:t>erms</w:t>
      </w:r>
      <w:r>
        <w:rPr>
          <w:rFonts w:ascii="Segoe UI" w:hAnsi="Segoe UI" w:cs="Segoe UI" w:eastAsia="Segoe UI"/>
          <w:color w:val="67973F"/>
          <w:spacing w:val="-3"/>
          <w:sz w:val="19"/>
          <w:szCs w:val="19"/>
        </w:rPr>
        <w:t> </w:t>
      </w:r>
      <w:r>
        <w:rPr>
          <w:rFonts w:ascii="Segoe UI" w:hAnsi="Segoe UI" w:cs="Segoe UI" w:eastAsia="Segoe UI"/>
          <w:color w:val="67973F"/>
          <w:sz w:val="19"/>
          <w:szCs w:val="19"/>
        </w:rPr>
        <w:t>1</w:t>
      </w:r>
      <w:r>
        <w:rPr>
          <w:rFonts w:ascii="Segoe UI" w:hAnsi="Segoe UI" w:cs="Segoe UI" w:eastAsia="Segoe UI"/>
          <w:color w:val="67973F"/>
          <w:spacing w:val="-2"/>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4)</w:t>
      </w:r>
      <w:r>
        <w:rPr>
          <w:rFonts w:ascii="Segoe UI" w:hAnsi="Segoe UI" w:cs="Segoe UI" w:eastAsia="Segoe UI"/>
          <w:color w:val="67973F"/>
          <w:spacing w:val="-2"/>
          <w:sz w:val="19"/>
          <w:szCs w:val="19"/>
        </w:rPr>
        <w:t> </w:t>
      </w:r>
      <w:r>
        <w:rPr>
          <w:rFonts w:ascii="Segoe UI" w:hAnsi="Segoe UI" w:cs="Segoe UI" w:eastAsia="Segoe UI"/>
          <w:color w:val="67973F"/>
          <w:sz w:val="19"/>
          <w:szCs w:val="19"/>
        </w:rPr>
        <w:t>at</w:t>
      </w:r>
      <w:r>
        <w:rPr>
          <w:rFonts w:ascii="Segoe UI" w:hAnsi="Segoe UI" w:cs="Segoe UI" w:eastAsia="Segoe UI"/>
          <w:color w:val="67973F"/>
          <w:spacing w:val="-2"/>
          <w:sz w:val="19"/>
          <w:szCs w:val="19"/>
        </w:rPr>
        <w:t> Wesley</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College.</w:t>
      </w:r>
      <w:r>
        <w:rPr>
          <w:rFonts w:ascii="Segoe UI" w:hAnsi="Segoe UI" w:cs="Segoe UI" w:eastAsia="Segoe UI"/>
          <w:color w:val="67973F"/>
          <w:spacing w:val="-2"/>
          <w:sz w:val="19"/>
          <w:szCs w:val="19"/>
        </w:rPr>
        <w:t> </w:t>
      </w:r>
      <w:r>
        <w:rPr>
          <w:rFonts w:ascii="Segoe UI" w:hAnsi="Segoe UI" w:cs="Segoe UI" w:eastAsia="Segoe UI"/>
          <w:color w:val="67973F"/>
          <w:sz w:val="19"/>
          <w:szCs w:val="19"/>
        </w:rPr>
        <w:t>Although</w:t>
      </w:r>
      <w:r>
        <w:rPr>
          <w:rFonts w:ascii="Segoe UI" w:hAnsi="Segoe UI" w:cs="Segoe UI" w:eastAsia="Segoe UI"/>
          <w:color w:val="67973F"/>
          <w:spacing w:val="-2"/>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3"/>
          <w:sz w:val="19"/>
          <w:szCs w:val="19"/>
        </w:rPr>
        <w:t> </w:t>
      </w:r>
      <w:r>
        <w:rPr>
          <w:rFonts w:ascii="Segoe UI" w:hAnsi="Segoe UI" w:cs="Segoe UI" w:eastAsia="Segoe UI"/>
          <w:color w:val="67973F"/>
          <w:sz w:val="19"/>
          <w:szCs w:val="19"/>
        </w:rPr>
        <w:t>business</w:t>
      </w:r>
      <w:r>
        <w:rPr>
          <w:rFonts w:ascii="Segoe UI" w:hAnsi="Segoe UI" w:cs="Segoe UI" w:eastAsia="Segoe UI"/>
          <w:color w:val="67973F"/>
          <w:spacing w:val="35"/>
          <w:sz w:val="19"/>
          <w:szCs w:val="19"/>
        </w:rPr>
        <w:t> </w:t>
      </w:r>
      <w:r>
        <w:rPr>
          <w:rFonts w:ascii="Segoe UI" w:hAnsi="Segoe UI" w:cs="Segoe UI" w:eastAsia="Segoe UI"/>
          <w:color w:val="67973F"/>
          <w:sz w:val="19"/>
          <w:szCs w:val="19"/>
        </w:rPr>
        <w:t>model allows flexibility to cater for each individual boarder’s needs.</w:t>
      </w:r>
      <w:r>
        <w:rPr>
          <w:rFonts w:ascii="Segoe UI" w:hAnsi="Segoe UI" w:cs="Segoe UI" w:eastAsia="Segoe UI"/>
          <w:sz w:val="19"/>
          <w:szCs w:val="19"/>
        </w:rPr>
      </w:r>
    </w:p>
    <w:p>
      <w:pPr>
        <w:spacing w:before="113"/>
        <w:ind w:left="100" w:right="0" w:firstLine="0"/>
        <w:jc w:val="left"/>
        <w:rPr>
          <w:rFonts w:ascii="Segoe UI" w:hAnsi="Segoe UI" w:cs="Segoe UI" w:eastAsia="Segoe UI"/>
          <w:sz w:val="19"/>
          <w:szCs w:val="19"/>
        </w:rPr>
      </w:pPr>
      <w:r>
        <w:rPr>
          <w:rFonts w:ascii="Segoe UI"/>
          <w:color w:val="67973F"/>
          <w:spacing w:val="-2"/>
          <w:sz w:val="19"/>
        </w:rPr>
        <w:t>Wesley</w:t>
      </w:r>
      <w:r>
        <w:rPr>
          <w:rFonts w:ascii="Segoe UI"/>
          <w:color w:val="67973F"/>
          <w:spacing w:val="-6"/>
          <w:sz w:val="19"/>
        </w:rPr>
        <w:t> </w:t>
      </w:r>
      <w:r>
        <w:rPr>
          <w:rFonts w:ascii="Segoe UI"/>
          <w:color w:val="67973F"/>
          <w:spacing w:val="-1"/>
          <w:sz w:val="19"/>
        </w:rPr>
        <w:t>College,</w:t>
      </w:r>
      <w:r>
        <w:rPr>
          <w:rFonts w:ascii="Segoe UI"/>
          <w:color w:val="67973F"/>
          <w:spacing w:val="-5"/>
          <w:sz w:val="19"/>
        </w:rPr>
        <w:t> </w:t>
      </w:r>
      <w:r>
        <w:rPr>
          <w:rFonts w:ascii="Segoe UI"/>
          <w:color w:val="67973F"/>
          <w:sz w:val="19"/>
        </w:rPr>
        <w:t>Melbourne,</w:t>
      </w:r>
      <w:r>
        <w:rPr>
          <w:rFonts w:ascii="Segoe UI"/>
          <w:color w:val="67973F"/>
          <w:spacing w:val="-5"/>
          <w:sz w:val="19"/>
        </w:rPr>
        <w:t> </w:t>
      </w:r>
      <w:r>
        <w:rPr>
          <w:rFonts w:ascii="Segoe UI"/>
          <w:color w:val="67973F"/>
          <w:spacing w:val="-1"/>
          <w:sz w:val="19"/>
        </w:rPr>
        <w:t>is</w:t>
      </w:r>
      <w:r>
        <w:rPr>
          <w:rFonts w:ascii="Segoe UI"/>
          <w:color w:val="67973F"/>
          <w:spacing w:val="-5"/>
          <w:sz w:val="19"/>
        </w:rPr>
        <w:t> </w:t>
      </w:r>
      <w:r>
        <w:rPr>
          <w:rFonts w:ascii="Segoe UI"/>
          <w:color w:val="67973F"/>
          <w:sz w:val="19"/>
        </w:rPr>
        <w:t>the</w:t>
      </w:r>
      <w:r>
        <w:rPr>
          <w:rFonts w:ascii="Segoe UI"/>
          <w:color w:val="67973F"/>
          <w:spacing w:val="-6"/>
          <w:sz w:val="19"/>
        </w:rPr>
        <w:t> </w:t>
      </w:r>
      <w:r>
        <w:rPr>
          <w:rFonts w:ascii="Segoe UI"/>
          <w:color w:val="67973F"/>
          <w:sz w:val="19"/>
        </w:rPr>
        <w:t>educational</w:t>
      </w:r>
      <w:r>
        <w:rPr>
          <w:rFonts w:ascii="Segoe UI"/>
          <w:color w:val="67973F"/>
          <w:spacing w:val="-5"/>
          <w:sz w:val="19"/>
        </w:rPr>
        <w:t> </w:t>
      </w:r>
      <w:r>
        <w:rPr>
          <w:rFonts w:ascii="Segoe UI"/>
          <w:color w:val="67973F"/>
          <w:sz w:val="19"/>
        </w:rPr>
        <w:t>provider</w:t>
      </w:r>
      <w:r>
        <w:rPr>
          <w:rFonts w:ascii="Segoe UI"/>
          <w:color w:val="67973F"/>
          <w:spacing w:val="-6"/>
          <w:sz w:val="19"/>
        </w:rPr>
        <w:t> </w:t>
      </w:r>
      <w:r>
        <w:rPr>
          <w:rFonts w:ascii="Segoe UI"/>
          <w:color w:val="67973F"/>
          <w:sz w:val="19"/>
        </w:rPr>
        <w:t>of</w:t>
      </w:r>
      <w:r>
        <w:rPr>
          <w:rFonts w:ascii="Segoe UI"/>
          <w:color w:val="67973F"/>
          <w:spacing w:val="-5"/>
          <w:sz w:val="19"/>
        </w:rPr>
        <w:t> </w:t>
      </w:r>
      <w:r>
        <w:rPr>
          <w:rFonts w:ascii="Segoe UI"/>
          <w:color w:val="67973F"/>
          <w:sz w:val="19"/>
        </w:rPr>
        <w:t>the</w:t>
      </w:r>
      <w:r>
        <w:rPr>
          <w:rFonts w:ascii="Segoe UI"/>
          <w:color w:val="67973F"/>
          <w:spacing w:val="-5"/>
          <w:sz w:val="19"/>
        </w:rPr>
        <w:t> </w:t>
      </w:r>
      <w:r>
        <w:rPr>
          <w:rFonts w:ascii="Segoe UI"/>
          <w:color w:val="67973F"/>
          <w:spacing w:val="-2"/>
          <w:sz w:val="19"/>
        </w:rPr>
        <w:t>Studio</w:t>
      </w:r>
      <w:r>
        <w:rPr>
          <w:rFonts w:ascii="Segoe UI"/>
          <w:color w:val="67973F"/>
          <w:spacing w:val="-6"/>
          <w:sz w:val="19"/>
        </w:rPr>
        <w:t> </w:t>
      </w:r>
      <w:r>
        <w:rPr>
          <w:rFonts w:ascii="Segoe UI"/>
          <w:color w:val="67973F"/>
          <w:spacing w:val="-1"/>
          <w:sz w:val="19"/>
        </w:rPr>
        <w:t>School</w:t>
      </w:r>
      <w:r>
        <w:rPr>
          <w:rFonts w:ascii="Segoe UI"/>
          <w:color w:val="67973F"/>
          <w:spacing w:val="-5"/>
          <w:sz w:val="19"/>
        </w:rPr>
        <w:t> </w:t>
      </w:r>
      <w:r>
        <w:rPr>
          <w:rFonts w:ascii="Segoe UI"/>
          <w:color w:val="67973F"/>
          <w:sz w:val="19"/>
        </w:rPr>
        <w:t>educational</w:t>
      </w:r>
      <w:r>
        <w:rPr>
          <w:rFonts w:ascii="Segoe UI"/>
          <w:color w:val="67973F"/>
          <w:spacing w:val="-5"/>
          <w:sz w:val="19"/>
        </w:rPr>
        <w:t> </w:t>
      </w:r>
      <w:r>
        <w:rPr>
          <w:rFonts w:ascii="Segoe UI"/>
          <w:color w:val="67973F"/>
          <w:sz w:val="19"/>
        </w:rPr>
        <w:t>programs</w:t>
      </w:r>
      <w:r>
        <w:rPr>
          <w:rFonts w:ascii="Segoe UI"/>
          <w:sz w:val="19"/>
        </w:rPr>
      </w:r>
    </w:p>
    <w:p>
      <w:pPr>
        <w:spacing w:line="246" w:lineRule="auto" w:before="7"/>
        <w:ind w:left="100" w:right="279" w:firstLine="0"/>
        <w:jc w:val="left"/>
        <w:rPr>
          <w:rFonts w:ascii="Segoe UI" w:hAnsi="Segoe UI" w:cs="Segoe UI" w:eastAsia="Segoe UI"/>
          <w:sz w:val="19"/>
          <w:szCs w:val="19"/>
        </w:rPr>
      </w:pPr>
      <w:r>
        <w:rPr>
          <w:rFonts w:ascii="Segoe UI"/>
          <w:color w:val="67973F"/>
          <w:sz w:val="19"/>
        </w:rPr>
        <w:t>at</w:t>
      </w:r>
      <w:r>
        <w:rPr>
          <w:rFonts w:ascii="Segoe UI"/>
          <w:color w:val="67973F"/>
          <w:spacing w:val="-1"/>
          <w:sz w:val="19"/>
        </w:rPr>
        <w:t> </w:t>
      </w:r>
      <w:r>
        <w:rPr>
          <w:rFonts w:ascii="Segoe UI"/>
          <w:color w:val="67973F"/>
          <w:sz w:val="19"/>
        </w:rPr>
        <w:t>both Yiramalay and in</w:t>
      </w:r>
      <w:r>
        <w:rPr>
          <w:rFonts w:ascii="Segoe UI"/>
          <w:color w:val="67973F"/>
          <w:spacing w:val="-1"/>
          <w:sz w:val="19"/>
        </w:rPr>
        <w:t> </w:t>
      </w:r>
      <w:r>
        <w:rPr>
          <w:rFonts w:ascii="Segoe UI"/>
          <w:color w:val="67973F"/>
          <w:sz w:val="19"/>
        </w:rPr>
        <w:t>Melbourne. All teaching and</w:t>
      </w:r>
      <w:r>
        <w:rPr>
          <w:rFonts w:ascii="Segoe UI"/>
          <w:color w:val="67973F"/>
          <w:spacing w:val="-1"/>
          <w:sz w:val="19"/>
        </w:rPr>
        <w:t> </w:t>
      </w:r>
      <w:r>
        <w:rPr>
          <w:rFonts w:ascii="Segoe UI"/>
          <w:color w:val="67973F"/>
          <w:sz w:val="19"/>
        </w:rPr>
        <w:t>pastoral staff are appointed</w:t>
      </w:r>
      <w:r>
        <w:rPr>
          <w:rFonts w:ascii="Segoe UI"/>
          <w:color w:val="67973F"/>
          <w:spacing w:val="-1"/>
          <w:sz w:val="19"/>
        </w:rPr>
        <w:t> </w:t>
      </w:r>
      <w:r>
        <w:rPr>
          <w:rFonts w:ascii="Segoe UI"/>
          <w:color w:val="67973F"/>
          <w:sz w:val="19"/>
        </w:rPr>
        <w:t>by </w:t>
      </w:r>
      <w:r>
        <w:rPr>
          <w:rFonts w:ascii="Segoe UI"/>
          <w:color w:val="67973F"/>
          <w:spacing w:val="-2"/>
          <w:sz w:val="19"/>
        </w:rPr>
        <w:t>Wesley</w:t>
      </w:r>
      <w:r>
        <w:rPr>
          <w:rFonts w:ascii="Segoe UI"/>
          <w:color w:val="67973F"/>
          <w:sz w:val="19"/>
        </w:rPr>
        <w:t> College</w:t>
      </w:r>
      <w:r>
        <w:rPr>
          <w:rFonts w:ascii="Segoe UI"/>
          <w:color w:val="67973F"/>
          <w:spacing w:val="23"/>
          <w:sz w:val="19"/>
        </w:rPr>
        <w:t> </w:t>
      </w:r>
      <w:r>
        <w:rPr>
          <w:rFonts w:ascii="Segoe UI"/>
          <w:color w:val="67973F"/>
          <w:sz w:val="19"/>
        </w:rPr>
        <w:t>and</w:t>
      </w:r>
      <w:r>
        <w:rPr>
          <w:rFonts w:ascii="Segoe UI"/>
          <w:color w:val="67973F"/>
          <w:spacing w:val="-6"/>
          <w:sz w:val="19"/>
        </w:rPr>
        <w:t> </w:t>
      </w:r>
      <w:r>
        <w:rPr>
          <w:rFonts w:ascii="Segoe UI"/>
          <w:color w:val="67973F"/>
          <w:spacing w:val="-1"/>
          <w:sz w:val="19"/>
        </w:rPr>
        <w:t>local</w:t>
      </w:r>
      <w:r>
        <w:rPr>
          <w:rFonts w:ascii="Segoe UI"/>
          <w:color w:val="67973F"/>
          <w:spacing w:val="-4"/>
          <w:sz w:val="19"/>
        </w:rPr>
        <w:t> </w:t>
      </w:r>
      <w:r>
        <w:rPr>
          <w:rFonts w:ascii="Segoe UI"/>
          <w:color w:val="67973F"/>
          <w:sz w:val="19"/>
        </w:rPr>
        <w:t>people</w:t>
      </w:r>
      <w:r>
        <w:rPr>
          <w:rFonts w:ascii="Segoe UI"/>
          <w:color w:val="67973F"/>
          <w:spacing w:val="-5"/>
          <w:sz w:val="19"/>
        </w:rPr>
        <w:t> </w:t>
      </w:r>
      <w:r>
        <w:rPr>
          <w:rFonts w:ascii="Segoe UI"/>
          <w:color w:val="67973F"/>
          <w:sz w:val="19"/>
        </w:rPr>
        <w:t>are</w:t>
      </w:r>
      <w:r>
        <w:rPr>
          <w:rFonts w:ascii="Segoe UI"/>
          <w:color w:val="67973F"/>
          <w:spacing w:val="-5"/>
          <w:sz w:val="19"/>
        </w:rPr>
        <w:t> </w:t>
      </w:r>
      <w:r>
        <w:rPr>
          <w:rFonts w:ascii="Segoe UI"/>
          <w:color w:val="67973F"/>
          <w:spacing w:val="-1"/>
          <w:sz w:val="19"/>
        </w:rPr>
        <w:t>involved</w:t>
      </w:r>
      <w:r>
        <w:rPr>
          <w:rFonts w:ascii="Segoe UI"/>
          <w:color w:val="67973F"/>
          <w:spacing w:val="-4"/>
          <w:sz w:val="19"/>
        </w:rPr>
        <w:t> </w:t>
      </w:r>
      <w:r>
        <w:rPr>
          <w:rFonts w:ascii="Segoe UI"/>
          <w:color w:val="67973F"/>
          <w:spacing w:val="-1"/>
          <w:sz w:val="19"/>
        </w:rPr>
        <w:t>in</w:t>
      </w:r>
      <w:r>
        <w:rPr>
          <w:rFonts w:ascii="Segoe UI"/>
          <w:color w:val="67973F"/>
          <w:spacing w:val="-4"/>
          <w:sz w:val="19"/>
        </w:rPr>
        <w:t> </w:t>
      </w:r>
      <w:r>
        <w:rPr>
          <w:rFonts w:ascii="Segoe UI"/>
          <w:color w:val="67973F"/>
          <w:sz w:val="19"/>
        </w:rPr>
        <w:t>the</w:t>
      </w:r>
      <w:r>
        <w:rPr>
          <w:rFonts w:ascii="Segoe UI"/>
          <w:color w:val="67973F"/>
          <w:spacing w:val="-5"/>
          <w:sz w:val="19"/>
        </w:rPr>
        <w:t> </w:t>
      </w:r>
      <w:r>
        <w:rPr>
          <w:rFonts w:ascii="Segoe UI"/>
          <w:color w:val="67973F"/>
          <w:sz w:val="19"/>
        </w:rPr>
        <w:t>development</w:t>
      </w:r>
      <w:r>
        <w:rPr>
          <w:rFonts w:ascii="Segoe UI"/>
          <w:color w:val="67973F"/>
          <w:spacing w:val="-5"/>
          <w:sz w:val="19"/>
        </w:rPr>
        <w:t> </w:t>
      </w:r>
      <w:r>
        <w:rPr>
          <w:rFonts w:ascii="Segoe UI"/>
          <w:color w:val="67973F"/>
          <w:sz w:val="19"/>
        </w:rPr>
        <w:t>and</w:t>
      </w:r>
      <w:r>
        <w:rPr>
          <w:rFonts w:ascii="Segoe UI"/>
          <w:color w:val="67973F"/>
          <w:spacing w:val="-5"/>
          <w:sz w:val="19"/>
        </w:rPr>
        <w:t> </w:t>
      </w:r>
      <w:r>
        <w:rPr>
          <w:rFonts w:ascii="Segoe UI"/>
          <w:color w:val="67973F"/>
          <w:sz w:val="19"/>
        </w:rPr>
        <w:t>delivery</w:t>
      </w:r>
      <w:r>
        <w:rPr>
          <w:rFonts w:ascii="Segoe UI"/>
          <w:color w:val="67973F"/>
          <w:spacing w:val="-5"/>
          <w:sz w:val="19"/>
        </w:rPr>
        <w:t> </w:t>
      </w:r>
      <w:r>
        <w:rPr>
          <w:rFonts w:ascii="Segoe UI"/>
          <w:color w:val="67973F"/>
          <w:sz w:val="19"/>
        </w:rPr>
        <w:t>of</w:t>
      </w:r>
      <w:r>
        <w:rPr>
          <w:rFonts w:ascii="Segoe UI"/>
          <w:color w:val="67973F"/>
          <w:spacing w:val="-4"/>
          <w:sz w:val="19"/>
        </w:rPr>
        <w:t> </w:t>
      </w:r>
      <w:r>
        <w:rPr>
          <w:rFonts w:ascii="Segoe UI"/>
          <w:color w:val="67973F"/>
          <w:sz w:val="19"/>
        </w:rPr>
        <w:t>the</w:t>
      </w:r>
      <w:r>
        <w:rPr>
          <w:rFonts w:ascii="Segoe UI"/>
          <w:color w:val="67973F"/>
          <w:spacing w:val="-5"/>
          <w:sz w:val="19"/>
        </w:rPr>
        <w:t> </w:t>
      </w:r>
      <w:r>
        <w:rPr>
          <w:rFonts w:ascii="Segoe UI"/>
          <w:color w:val="67973F"/>
          <w:spacing w:val="-1"/>
          <w:sz w:val="19"/>
        </w:rPr>
        <w:t>language,</w:t>
      </w:r>
      <w:r>
        <w:rPr>
          <w:rFonts w:ascii="Segoe UI"/>
          <w:color w:val="67973F"/>
          <w:spacing w:val="-4"/>
          <w:sz w:val="19"/>
        </w:rPr>
        <w:t> </w:t>
      </w:r>
      <w:r>
        <w:rPr>
          <w:rFonts w:ascii="Segoe UI"/>
          <w:color w:val="67973F"/>
          <w:sz w:val="19"/>
        </w:rPr>
        <w:t>culture,</w:t>
      </w:r>
      <w:r>
        <w:rPr>
          <w:rFonts w:ascii="Segoe UI"/>
          <w:color w:val="67973F"/>
          <w:spacing w:val="-5"/>
          <w:sz w:val="19"/>
        </w:rPr>
        <w:t> </w:t>
      </w:r>
      <w:r>
        <w:rPr>
          <w:rFonts w:ascii="Segoe UI"/>
          <w:color w:val="67973F"/>
          <w:sz w:val="19"/>
        </w:rPr>
        <w:t>history</w:t>
      </w:r>
      <w:r>
        <w:rPr>
          <w:rFonts w:ascii="Segoe UI"/>
          <w:color w:val="67973F"/>
          <w:spacing w:val="-5"/>
          <w:sz w:val="19"/>
        </w:rPr>
        <w:t> </w:t>
      </w:r>
      <w:r>
        <w:rPr>
          <w:rFonts w:ascii="Segoe UI"/>
          <w:color w:val="67973F"/>
          <w:sz w:val="19"/>
        </w:rPr>
        <w:t>and</w:t>
      </w:r>
      <w:r>
        <w:rPr>
          <w:rFonts w:ascii="Segoe UI"/>
          <w:color w:val="67973F"/>
          <w:spacing w:val="-5"/>
          <w:sz w:val="19"/>
        </w:rPr>
        <w:t> </w:t>
      </w:r>
      <w:r>
        <w:rPr>
          <w:rFonts w:ascii="Segoe UI"/>
          <w:color w:val="67973F"/>
          <w:sz w:val="19"/>
        </w:rPr>
        <w:t>on</w:t>
      </w:r>
      <w:r>
        <w:rPr>
          <w:rFonts w:ascii="Segoe UI"/>
          <w:color w:val="67973F"/>
          <w:spacing w:val="25"/>
          <w:w w:val="99"/>
          <w:sz w:val="19"/>
        </w:rPr>
        <w:t> </w:t>
      </w:r>
      <w:r>
        <w:rPr>
          <w:rFonts w:ascii="Segoe UI"/>
          <w:color w:val="67973F"/>
          <w:sz w:val="19"/>
        </w:rPr>
        <w:t>country</w:t>
      </w:r>
      <w:r>
        <w:rPr>
          <w:rFonts w:ascii="Segoe UI"/>
          <w:color w:val="67973F"/>
          <w:spacing w:val="-6"/>
          <w:sz w:val="19"/>
        </w:rPr>
        <w:t> </w:t>
      </w:r>
      <w:r>
        <w:rPr>
          <w:rFonts w:ascii="Segoe UI"/>
          <w:color w:val="67973F"/>
          <w:sz w:val="19"/>
        </w:rPr>
        <w:t>aspects</w:t>
      </w:r>
      <w:r>
        <w:rPr>
          <w:rFonts w:ascii="Segoe UI"/>
          <w:color w:val="67973F"/>
          <w:spacing w:val="-6"/>
          <w:sz w:val="19"/>
        </w:rPr>
        <w:t> </w:t>
      </w:r>
      <w:r>
        <w:rPr>
          <w:rFonts w:ascii="Segoe UI"/>
          <w:color w:val="67973F"/>
          <w:sz w:val="19"/>
        </w:rPr>
        <w:t>of</w:t>
      </w:r>
      <w:r>
        <w:rPr>
          <w:rFonts w:ascii="Segoe UI"/>
          <w:color w:val="67973F"/>
          <w:spacing w:val="-4"/>
          <w:sz w:val="19"/>
        </w:rPr>
        <w:t> </w:t>
      </w:r>
      <w:r>
        <w:rPr>
          <w:rFonts w:ascii="Segoe UI"/>
          <w:color w:val="67973F"/>
          <w:sz w:val="19"/>
        </w:rPr>
        <w:t>the</w:t>
      </w:r>
      <w:r>
        <w:rPr>
          <w:rFonts w:ascii="Segoe UI"/>
          <w:color w:val="67973F"/>
          <w:spacing w:val="-6"/>
          <w:sz w:val="19"/>
        </w:rPr>
        <w:t> </w:t>
      </w:r>
      <w:r>
        <w:rPr>
          <w:rFonts w:ascii="Segoe UI"/>
          <w:color w:val="67973F"/>
          <w:sz w:val="19"/>
        </w:rPr>
        <w:t>program.</w:t>
      </w:r>
      <w:r>
        <w:rPr>
          <w:rFonts w:ascii="Segoe UI"/>
          <w:sz w:val="19"/>
        </w:rPr>
      </w:r>
    </w:p>
    <w:p>
      <w:pPr>
        <w:spacing w:line="246" w:lineRule="auto" w:before="113"/>
        <w:ind w:left="100" w:right="210" w:firstLine="0"/>
        <w:jc w:val="left"/>
        <w:rPr>
          <w:rFonts w:ascii="Segoe UI" w:hAnsi="Segoe UI" w:cs="Segoe UI" w:eastAsia="Segoe UI"/>
          <w:sz w:val="19"/>
          <w:szCs w:val="19"/>
        </w:rPr>
      </w:pPr>
      <w:r>
        <w:rPr>
          <w:rFonts w:ascii="Segoe UI" w:hAnsi="Segoe UI" w:cs="Segoe UI" w:eastAsia="Segoe UI"/>
          <w:color w:val="67973F"/>
          <w:spacing w:val="-1"/>
          <w:sz w:val="19"/>
          <w:szCs w:val="19"/>
        </w:rPr>
        <w:t>Average</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student</w:t>
      </w:r>
      <w:r>
        <w:rPr>
          <w:rFonts w:ascii="Segoe UI" w:hAnsi="Segoe UI" w:cs="Segoe UI" w:eastAsia="Segoe UI"/>
          <w:color w:val="67973F"/>
          <w:spacing w:val="-3"/>
          <w:sz w:val="19"/>
          <w:szCs w:val="19"/>
        </w:rPr>
        <w:t> </w:t>
      </w:r>
      <w:r>
        <w:rPr>
          <w:rFonts w:ascii="Segoe UI" w:hAnsi="Segoe UI" w:cs="Segoe UI" w:eastAsia="Segoe UI"/>
          <w:color w:val="67973F"/>
          <w:sz w:val="19"/>
          <w:szCs w:val="19"/>
        </w:rPr>
        <w:t>attendance</w:t>
      </w:r>
      <w:r>
        <w:rPr>
          <w:rFonts w:ascii="Segoe UI" w:hAnsi="Segoe UI" w:cs="Segoe UI" w:eastAsia="Segoe UI"/>
          <w:color w:val="67973F"/>
          <w:spacing w:val="-4"/>
          <w:sz w:val="19"/>
          <w:szCs w:val="19"/>
        </w:rPr>
        <w:t> </w:t>
      </w:r>
      <w:r>
        <w:rPr>
          <w:rFonts w:ascii="Segoe UI" w:hAnsi="Segoe UI" w:cs="Segoe UI" w:eastAsia="Segoe UI"/>
          <w:color w:val="67973F"/>
          <w:sz w:val="19"/>
          <w:szCs w:val="19"/>
        </w:rPr>
        <w:t>over</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2016</w:t>
      </w:r>
      <w:r>
        <w:rPr>
          <w:rFonts w:ascii="Segoe UI" w:hAnsi="Segoe UI" w:cs="Segoe UI" w:eastAsia="Segoe UI"/>
          <w:color w:val="67973F"/>
          <w:spacing w:val="-3"/>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2017</w:t>
      </w:r>
      <w:r>
        <w:rPr>
          <w:rFonts w:ascii="Segoe UI" w:hAnsi="Segoe UI" w:cs="Segoe UI" w:eastAsia="Segoe UI"/>
          <w:color w:val="67973F"/>
          <w:spacing w:val="-3"/>
          <w:sz w:val="19"/>
          <w:szCs w:val="19"/>
        </w:rPr>
        <w:t> </w:t>
      </w:r>
      <w:r>
        <w:rPr>
          <w:rFonts w:ascii="Segoe UI" w:hAnsi="Segoe UI" w:cs="Segoe UI" w:eastAsia="Segoe UI"/>
          <w:color w:val="67973F"/>
          <w:sz w:val="19"/>
          <w:szCs w:val="19"/>
        </w:rPr>
        <w:t>was</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82</w:t>
      </w:r>
      <w:r>
        <w:rPr>
          <w:rFonts w:ascii="Segoe UI" w:hAnsi="Segoe UI" w:cs="Segoe UI" w:eastAsia="Segoe UI"/>
          <w:color w:val="67973F"/>
          <w:spacing w:val="-3"/>
          <w:sz w:val="19"/>
          <w:szCs w:val="19"/>
        </w:rPr>
        <w:t> </w:t>
      </w:r>
      <w:r>
        <w:rPr>
          <w:rFonts w:ascii="Segoe UI" w:hAnsi="Segoe UI" w:cs="Segoe UI" w:eastAsia="Segoe UI"/>
          <w:color w:val="67973F"/>
          <w:sz w:val="19"/>
          <w:szCs w:val="19"/>
        </w:rPr>
        <w:t>per</w:t>
      </w:r>
      <w:r>
        <w:rPr>
          <w:rFonts w:ascii="Segoe UI" w:hAnsi="Segoe UI" w:cs="Segoe UI" w:eastAsia="Segoe UI"/>
          <w:color w:val="67973F"/>
          <w:spacing w:val="-3"/>
          <w:sz w:val="19"/>
          <w:szCs w:val="19"/>
        </w:rPr>
        <w:t> </w:t>
      </w:r>
      <w:r>
        <w:rPr>
          <w:rFonts w:ascii="Segoe UI" w:hAnsi="Segoe UI" w:cs="Segoe UI" w:eastAsia="Segoe UI"/>
          <w:color w:val="67973F"/>
          <w:sz w:val="19"/>
          <w:szCs w:val="19"/>
        </w:rPr>
        <w:t>cent</w:t>
      </w:r>
      <w:r>
        <w:rPr>
          <w:rFonts w:ascii="Segoe UI" w:hAnsi="Segoe UI" w:cs="Segoe UI" w:eastAsia="Segoe UI"/>
          <w:color w:val="67973F"/>
          <w:spacing w:val="-4"/>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70</w:t>
      </w:r>
      <w:r>
        <w:rPr>
          <w:rFonts w:ascii="Segoe UI" w:hAnsi="Segoe UI" w:cs="Segoe UI" w:eastAsia="Segoe UI"/>
          <w:color w:val="67973F"/>
          <w:spacing w:val="-3"/>
          <w:sz w:val="19"/>
          <w:szCs w:val="19"/>
        </w:rPr>
        <w:t> </w:t>
      </w:r>
      <w:r>
        <w:rPr>
          <w:rFonts w:ascii="Segoe UI" w:hAnsi="Segoe UI" w:cs="Segoe UI" w:eastAsia="Segoe UI"/>
          <w:color w:val="67973F"/>
          <w:sz w:val="19"/>
          <w:szCs w:val="19"/>
        </w:rPr>
        <w:t>per</w:t>
      </w:r>
      <w:r>
        <w:rPr>
          <w:rFonts w:ascii="Segoe UI" w:hAnsi="Segoe UI" w:cs="Segoe UI" w:eastAsia="Segoe UI"/>
          <w:color w:val="67973F"/>
          <w:spacing w:val="-3"/>
          <w:sz w:val="19"/>
          <w:szCs w:val="19"/>
        </w:rPr>
        <w:t> </w:t>
      </w:r>
      <w:r>
        <w:rPr>
          <w:rFonts w:ascii="Segoe UI" w:hAnsi="Segoe UI" w:cs="Segoe UI" w:eastAsia="Segoe UI"/>
          <w:color w:val="67973F"/>
          <w:sz w:val="19"/>
          <w:szCs w:val="19"/>
        </w:rPr>
        <w:t>cent</w:t>
      </w:r>
      <w:r>
        <w:rPr>
          <w:rFonts w:ascii="Segoe UI" w:hAnsi="Segoe UI" w:cs="Segoe UI" w:eastAsia="Segoe UI"/>
          <w:color w:val="67973F"/>
          <w:spacing w:val="-4"/>
          <w:sz w:val="19"/>
          <w:szCs w:val="19"/>
        </w:rPr>
        <w:t> </w:t>
      </w:r>
      <w:r>
        <w:rPr>
          <w:rFonts w:ascii="Segoe UI" w:hAnsi="Segoe UI" w:cs="Segoe UI" w:eastAsia="Segoe UI"/>
          <w:color w:val="67973F"/>
          <w:sz w:val="19"/>
          <w:szCs w:val="19"/>
        </w:rPr>
        <w:t>of</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students</w:t>
      </w:r>
      <w:r>
        <w:rPr>
          <w:rFonts w:ascii="Segoe UI" w:hAnsi="Segoe UI" w:cs="Segoe UI" w:eastAsia="Segoe UI"/>
          <w:color w:val="67973F"/>
          <w:spacing w:val="-3"/>
          <w:sz w:val="19"/>
          <w:szCs w:val="19"/>
        </w:rPr>
        <w:t> </w:t>
      </w:r>
      <w:r>
        <w:rPr>
          <w:rFonts w:ascii="Segoe UI" w:hAnsi="Segoe UI" w:cs="Segoe UI" w:eastAsia="Segoe UI"/>
          <w:color w:val="67973F"/>
          <w:sz w:val="19"/>
          <w:szCs w:val="19"/>
        </w:rPr>
        <w:t>at</w:t>
      </w:r>
      <w:r>
        <w:rPr>
          <w:rFonts w:ascii="Segoe UI" w:hAnsi="Segoe UI" w:cs="Segoe UI" w:eastAsia="Segoe UI"/>
          <w:color w:val="67973F"/>
          <w:spacing w:val="30"/>
          <w:w w:val="99"/>
          <w:sz w:val="19"/>
          <w:szCs w:val="19"/>
        </w:rPr>
        <w:t> </w:t>
      </w:r>
      <w:r>
        <w:rPr>
          <w:rFonts w:ascii="Segoe UI" w:hAnsi="Segoe UI" w:cs="Segoe UI" w:eastAsia="Segoe UI"/>
          <w:color w:val="67973F"/>
          <w:sz w:val="19"/>
          <w:szCs w:val="19"/>
        </w:rPr>
        <w:t>Yiramalay</w:t>
      </w:r>
      <w:r>
        <w:rPr>
          <w:rFonts w:ascii="Segoe UI" w:hAnsi="Segoe UI" w:cs="Segoe UI" w:eastAsia="Segoe UI"/>
          <w:color w:val="67973F"/>
          <w:spacing w:val="-6"/>
          <w:sz w:val="19"/>
          <w:szCs w:val="19"/>
        </w:rPr>
        <w:t> </w:t>
      </w:r>
      <w:r>
        <w:rPr>
          <w:rFonts w:ascii="Segoe UI" w:hAnsi="Segoe UI" w:cs="Segoe UI" w:eastAsia="Segoe UI"/>
          <w:color w:val="67973F"/>
          <w:sz w:val="19"/>
          <w:szCs w:val="19"/>
        </w:rPr>
        <w:t>completed</w:t>
      </w:r>
      <w:r>
        <w:rPr>
          <w:rFonts w:ascii="Segoe UI" w:hAnsi="Segoe UI" w:cs="Segoe UI" w:eastAsia="Segoe UI"/>
          <w:color w:val="67973F"/>
          <w:spacing w:val="-5"/>
          <w:sz w:val="19"/>
          <w:szCs w:val="19"/>
        </w:rPr>
        <w:t> </w:t>
      </w:r>
      <w:r>
        <w:rPr>
          <w:rFonts w:ascii="Segoe UI" w:hAnsi="Segoe UI" w:cs="Segoe UI" w:eastAsia="Segoe UI"/>
          <w:color w:val="67973F"/>
          <w:sz w:val="19"/>
          <w:szCs w:val="19"/>
        </w:rPr>
        <w:t>year</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12</w:t>
      </w:r>
      <w:r>
        <w:rPr>
          <w:rFonts w:ascii="Segoe UI" w:hAnsi="Segoe UI" w:cs="Segoe UI" w:eastAsia="Segoe UI"/>
          <w:color w:val="67973F"/>
          <w:spacing w:val="-5"/>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80</w:t>
      </w:r>
      <w:r>
        <w:rPr>
          <w:rFonts w:ascii="Segoe UI" w:hAnsi="Segoe UI" w:cs="Segoe UI" w:eastAsia="Segoe UI"/>
          <w:color w:val="67973F"/>
          <w:spacing w:val="-5"/>
          <w:sz w:val="19"/>
          <w:szCs w:val="19"/>
        </w:rPr>
        <w:t> </w:t>
      </w:r>
      <w:r>
        <w:rPr>
          <w:rFonts w:ascii="Segoe UI" w:hAnsi="Segoe UI" w:cs="Segoe UI" w:eastAsia="Segoe UI"/>
          <w:color w:val="67973F"/>
          <w:sz w:val="19"/>
          <w:szCs w:val="19"/>
        </w:rPr>
        <w:t>per</w:t>
      </w:r>
      <w:r>
        <w:rPr>
          <w:rFonts w:ascii="Segoe UI" w:hAnsi="Segoe UI" w:cs="Segoe UI" w:eastAsia="Segoe UI"/>
          <w:color w:val="67973F"/>
          <w:spacing w:val="-4"/>
          <w:sz w:val="19"/>
          <w:szCs w:val="19"/>
        </w:rPr>
        <w:t> </w:t>
      </w:r>
      <w:r>
        <w:rPr>
          <w:rFonts w:ascii="Segoe UI" w:hAnsi="Segoe UI" w:cs="Segoe UI" w:eastAsia="Segoe UI"/>
          <w:color w:val="67973F"/>
          <w:sz w:val="19"/>
          <w:szCs w:val="19"/>
        </w:rPr>
        <w:t>cent</w:t>
      </w:r>
      <w:r>
        <w:rPr>
          <w:rFonts w:ascii="Segoe UI" w:hAnsi="Segoe UI" w:cs="Segoe UI" w:eastAsia="Segoe UI"/>
          <w:color w:val="67973F"/>
          <w:spacing w:val="-6"/>
          <w:sz w:val="19"/>
          <w:szCs w:val="19"/>
        </w:rPr>
        <w:t> </w:t>
      </w:r>
      <w:r>
        <w:rPr>
          <w:rFonts w:ascii="Segoe UI" w:hAnsi="Segoe UI" w:cs="Segoe UI" w:eastAsia="Segoe UI"/>
          <w:color w:val="67973F"/>
          <w:sz w:val="19"/>
          <w:szCs w:val="19"/>
        </w:rPr>
        <w:t>completed</w:t>
      </w:r>
      <w:r>
        <w:rPr>
          <w:rFonts w:ascii="Segoe UI" w:hAnsi="Segoe UI" w:cs="Segoe UI" w:eastAsia="Segoe UI"/>
          <w:color w:val="67973F"/>
          <w:spacing w:val="-5"/>
          <w:sz w:val="19"/>
          <w:szCs w:val="19"/>
        </w:rPr>
        <w:t> </w:t>
      </w:r>
      <w:r>
        <w:rPr>
          <w:rFonts w:ascii="Segoe UI" w:hAnsi="Segoe UI" w:cs="Segoe UI" w:eastAsia="Segoe UI"/>
          <w:color w:val="67973F"/>
          <w:sz w:val="19"/>
          <w:szCs w:val="19"/>
        </w:rPr>
        <w:t>year</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11—all</w:t>
      </w:r>
      <w:r>
        <w:rPr>
          <w:rFonts w:ascii="Segoe UI" w:hAnsi="Segoe UI" w:cs="Segoe UI" w:eastAsia="Segoe UI"/>
          <w:color w:val="67973F"/>
          <w:spacing w:val="-4"/>
          <w:sz w:val="19"/>
          <w:szCs w:val="19"/>
        </w:rPr>
        <w:t> </w:t>
      </w:r>
      <w:r>
        <w:rPr>
          <w:rFonts w:ascii="Segoe UI" w:hAnsi="Segoe UI" w:cs="Segoe UI" w:eastAsia="Segoe UI"/>
          <w:color w:val="67973F"/>
          <w:sz w:val="19"/>
          <w:szCs w:val="19"/>
        </w:rPr>
        <w:t>well</w:t>
      </w:r>
      <w:r>
        <w:rPr>
          <w:rFonts w:ascii="Segoe UI" w:hAnsi="Segoe UI" w:cs="Segoe UI" w:eastAsia="Segoe UI"/>
          <w:color w:val="67973F"/>
          <w:spacing w:val="-6"/>
          <w:sz w:val="19"/>
          <w:szCs w:val="19"/>
        </w:rPr>
        <w:t> </w:t>
      </w:r>
      <w:r>
        <w:rPr>
          <w:rFonts w:ascii="Segoe UI" w:hAnsi="Segoe UI" w:cs="Segoe UI" w:eastAsia="Segoe UI"/>
          <w:color w:val="67973F"/>
          <w:sz w:val="19"/>
          <w:szCs w:val="19"/>
        </w:rPr>
        <w:t>above</w:t>
      </w:r>
      <w:r>
        <w:rPr>
          <w:rFonts w:ascii="Segoe UI" w:hAnsi="Segoe UI" w:cs="Segoe UI" w:eastAsia="Segoe UI"/>
          <w:color w:val="67973F"/>
          <w:spacing w:val="-5"/>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6"/>
          <w:sz w:val="19"/>
          <w:szCs w:val="19"/>
        </w:rPr>
        <w:t> </w:t>
      </w:r>
      <w:r>
        <w:rPr>
          <w:rFonts w:ascii="Segoe UI" w:hAnsi="Segoe UI" w:cs="Segoe UI" w:eastAsia="Segoe UI"/>
          <w:color w:val="67973F"/>
          <w:sz w:val="19"/>
          <w:szCs w:val="19"/>
        </w:rPr>
        <w:t>national</w:t>
      </w:r>
      <w:r>
        <w:rPr>
          <w:rFonts w:ascii="Segoe UI" w:hAnsi="Segoe UI" w:cs="Segoe UI" w:eastAsia="Segoe UI"/>
          <w:color w:val="67973F"/>
          <w:spacing w:val="-5"/>
          <w:sz w:val="19"/>
          <w:szCs w:val="19"/>
        </w:rPr>
        <w:t> </w:t>
      </w:r>
      <w:r>
        <w:rPr>
          <w:rFonts w:ascii="Segoe UI" w:hAnsi="Segoe UI" w:cs="Segoe UI" w:eastAsia="Segoe UI"/>
          <w:color w:val="67973F"/>
          <w:sz w:val="19"/>
          <w:szCs w:val="19"/>
        </w:rPr>
        <w:t>averages</w:t>
      </w:r>
      <w:r>
        <w:rPr>
          <w:rFonts w:ascii="Segoe UI" w:hAnsi="Segoe UI" w:cs="Segoe UI" w:eastAsia="Segoe UI"/>
          <w:color w:val="67973F"/>
          <w:spacing w:val="24"/>
          <w:w w:val="99"/>
          <w:sz w:val="19"/>
          <w:szCs w:val="19"/>
        </w:rPr>
        <w:t> </w:t>
      </w:r>
      <w:r>
        <w:rPr>
          <w:rFonts w:ascii="Segoe UI" w:hAnsi="Segoe UI" w:cs="Segoe UI" w:eastAsia="Segoe UI"/>
          <w:color w:val="67973F"/>
          <w:sz w:val="19"/>
          <w:szCs w:val="19"/>
        </w:rPr>
        <w:t>for</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students</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in</w:t>
      </w:r>
      <w:r>
        <w:rPr>
          <w:rFonts w:ascii="Segoe UI" w:hAnsi="Segoe UI" w:cs="Segoe UI" w:eastAsia="Segoe UI"/>
          <w:color w:val="67973F"/>
          <w:spacing w:val="-3"/>
          <w:sz w:val="19"/>
          <w:szCs w:val="19"/>
        </w:rPr>
        <w:t> </w:t>
      </w:r>
      <w:r>
        <w:rPr>
          <w:rFonts w:ascii="Segoe UI" w:hAnsi="Segoe UI" w:cs="Segoe UI" w:eastAsia="Segoe UI"/>
          <w:color w:val="67973F"/>
          <w:sz w:val="19"/>
          <w:szCs w:val="19"/>
        </w:rPr>
        <w:t>very</w:t>
      </w:r>
      <w:r>
        <w:rPr>
          <w:rFonts w:ascii="Segoe UI" w:hAnsi="Segoe UI" w:cs="Segoe UI" w:eastAsia="Segoe UI"/>
          <w:color w:val="67973F"/>
          <w:spacing w:val="-3"/>
          <w:sz w:val="19"/>
          <w:szCs w:val="19"/>
        </w:rPr>
        <w:t> </w:t>
      </w:r>
      <w:r>
        <w:rPr>
          <w:rFonts w:ascii="Segoe UI" w:hAnsi="Segoe UI" w:cs="Segoe UI" w:eastAsia="Segoe UI"/>
          <w:color w:val="67973F"/>
          <w:sz w:val="19"/>
          <w:szCs w:val="19"/>
        </w:rPr>
        <w:t>remote</w:t>
      </w:r>
      <w:r>
        <w:rPr>
          <w:rFonts w:ascii="Segoe UI" w:hAnsi="Segoe UI" w:cs="Segoe UI" w:eastAsia="Segoe UI"/>
          <w:color w:val="67973F"/>
          <w:spacing w:val="-3"/>
          <w:sz w:val="19"/>
          <w:szCs w:val="19"/>
        </w:rPr>
        <w:t> </w:t>
      </w:r>
      <w:r>
        <w:rPr>
          <w:rFonts w:ascii="Segoe UI" w:hAnsi="Segoe UI" w:cs="Segoe UI" w:eastAsia="Segoe UI"/>
          <w:color w:val="67973F"/>
          <w:sz w:val="19"/>
          <w:szCs w:val="19"/>
        </w:rPr>
        <w:t>areas.</w:t>
      </w:r>
      <w:r>
        <w:rPr>
          <w:rFonts w:ascii="Segoe UI" w:hAnsi="Segoe UI" w:cs="Segoe UI" w:eastAsia="Segoe UI"/>
          <w:color w:val="67973F"/>
          <w:spacing w:val="-4"/>
          <w:sz w:val="19"/>
          <w:szCs w:val="19"/>
        </w:rPr>
        <w:t> </w:t>
      </w:r>
      <w:r>
        <w:rPr>
          <w:rFonts w:ascii="Segoe UI" w:hAnsi="Segoe UI" w:cs="Segoe UI" w:eastAsia="Segoe UI"/>
          <w:color w:val="67973F"/>
          <w:sz w:val="19"/>
          <w:szCs w:val="19"/>
        </w:rPr>
        <w:t>Nearly</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75</w:t>
      </w:r>
      <w:r>
        <w:rPr>
          <w:rFonts w:ascii="Segoe UI" w:hAnsi="Segoe UI" w:cs="Segoe UI" w:eastAsia="Segoe UI"/>
          <w:color w:val="67973F"/>
          <w:spacing w:val="-3"/>
          <w:sz w:val="19"/>
          <w:szCs w:val="19"/>
        </w:rPr>
        <w:t> </w:t>
      </w:r>
      <w:r>
        <w:rPr>
          <w:rFonts w:ascii="Segoe UI" w:hAnsi="Segoe UI" w:cs="Segoe UI" w:eastAsia="Segoe UI"/>
          <w:color w:val="67973F"/>
          <w:sz w:val="19"/>
          <w:szCs w:val="19"/>
        </w:rPr>
        <w:t>per</w:t>
      </w:r>
      <w:r>
        <w:rPr>
          <w:rFonts w:ascii="Segoe UI" w:hAnsi="Segoe UI" w:cs="Segoe UI" w:eastAsia="Segoe UI"/>
          <w:color w:val="67973F"/>
          <w:spacing w:val="-3"/>
          <w:sz w:val="19"/>
          <w:szCs w:val="19"/>
        </w:rPr>
        <w:t> </w:t>
      </w:r>
      <w:r>
        <w:rPr>
          <w:rFonts w:ascii="Segoe UI" w:hAnsi="Segoe UI" w:cs="Segoe UI" w:eastAsia="Segoe UI"/>
          <w:color w:val="67973F"/>
          <w:sz w:val="19"/>
          <w:szCs w:val="19"/>
        </w:rPr>
        <w:t>cent</w:t>
      </w:r>
      <w:r>
        <w:rPr>
          <w:rFonts w:ascii="Segoe UI" w:hAnsi="Segoe UI" w:cs="Segoe UI" w:eastAsia="Segoe UI"/>
          <w:color w:val="67973F"/>
          <w:spacing w:val="-3"/>
          <w:sz w:val="19"/>
          <w:szCs w:val="19"/>
        </w:rPr>
        <w:t> </w:t>
      </w:r>
      <w:r>
        <w:rPr>
          <w:rFonts w:ascii="Segoe UI" w:hAnsi="Segoe UI" w:cs="Segoe UI" w:eastAsia="Segoe UI"/>
          <w:color w:val="67973F"/>
          <w:sz w:val="19"/>
          <w:szCs w:val="19"/>
        </w:rPr>
        <w:t>of</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students</w:t>
      </w:r>
      <w:r>
        <w:rPr>
          <w:rFonts w:ascii="Segoe UI" w:hAnsi="Segoe UI" w:cs="Segoe UI" w:eastAsia="Segoe UI"/>
          <w:color w:val="67973F"/>
          <w:spacing w:val="-3"/>
          <w:sz w:val="19"/>
          <w:szCs w:val="19"/>
        </w:rPr>
        <w:t> </w:t>
      </w:r>
      <w:r>
        <w:rPr>
          <w:rFonts w:ascii="Segoe UI" w:hAnsi="Segoe UI" w:cs="Segoe UI" w:eastAsia="Segoe UI"/>
          <w:color w:val="67973F"/>
          <w:sz w:val="19"/>
          <w:szCs w:val="19"/>
        </w:rPr>
        <w:t>go</w:t>
      </w:r>
      <w:r>
        <w:rPr>
          <w:rFonts w:ascii="Segoe UI" w:hAnsi="Segoe UI" w:cs="Segoe UI" w:eastAsia="Segoe UI"/>
          <w:color w:val="67973F"/>
          <w:spacing w:val="-3"/>
          <w:sz w:val="19"/>
          <w:szCs w:val="19"/>
        </w:rPr>
        <w:t> </w:t>
      </w:r>
      <w:r>
        <w:rPr>
          <w:rFonts w:ascii="Segoe UI" w:hAnsi="Segoe UI" w:cs="Segoe UI" w:eastAsia="Segoe UI"/>
          <w:color w:val="67973F"/>
          <w:sz w:val="19"/>
          <w:szCs w:val="19"/>
        </w:rPr>
        <w:t>on</w:t>
      </w:r>
      <w:r>
        <w:rPr>
          <w:rFonts w:ascii="Segoe UI" w:hAnsi="Segoe UI" w:cs="Segoe UI" w:eastAsia="Segoe UI"/>
          <w:color w:val="67973F"/>
          <w:spacing w:val="-3"/>
          <w:sz w:val="19"/>
          <w:szCs w:val="19"/>
        </w:rPr>
        <w:t> </w:t>
      </w:r>
      <w:r>
        <w:rPr>
          <w:rFonts w:ascii="Segoe UI" w:hAnsi="Segoe UI" w:cs="Segoe UI" w:eastAsia="Segoe UI"/>
          <w:color w:val="67973F"/>
          <w:sz w:val="19"/>
          <w:szCs w:val="19"/>
        </w:rPr>
        <w:t>to</w:t>
      </w:r>
      <w:r>
        <w:rPr>
          <w:rFonts w:ascii="Segoe UI" w:hAnsi="Segoe UI" w:cs="Segoe UI" w:eastAsia="Segoe UI"/>
          <w:color w:val="67973F"/>
          <w:spacing w:val="-3"/>
          <w:sz w:val="19"/>
          <w:szCs w:val="19"/>
        </w:rPr>
        <w:t> </w:t>
      </w:r>
      <w:r>
        <w:rPr>
          <w:rFonts w:ascii="Segoe UI" w:hAnsi="Segoe UI" w:cs="Segoe UI" w:eastAsia="Segoe UI"/>
          <w:color w:val="67973F"/>
          <w:sz w:val="19"/>
          <w:szCs w:val="19"/>
        </w:rPr>
        <w:t>employment</w:t>
      </w:r>
      <w:r>
        <w:rPr>
          <w:rFonts w:ascii="Segoe UI" w:hAnsi="Segoe UI" w:cs="Segoe UI" w:eastAsia="Segoe UI"/>
          <w:color w:val="67973F"/>
          <w:spacing w:val="-3"/>
          <w:sz w:val="19"/>
          <w:szCs w:val="19"/>
        </w:rPr>
        <w:t> </w:t>
      </w:r>
      <w:r>
        <w:rPr>
          <w:rFonts w:ascii="Segoe UI" w:hAnsi="Segoe UI" w:cs="Segoe UI" w:eastAsia="Segoe UI"/>
          <w:color w:val="67973F"/>
          <w:sz w:val="19"/>
          <w:szCs w:val="19"/>
        </w:rPr>
        <w:t>continued</w:t>
      </w:r>
      <w:r>
        <w:rPr>
          <w:rFonts w:ascii="Segoe UI" w:hAnsi="Segoe UI" w:cs="Segoe UI" w:eastAsia="Segoe UI"/>
          <w:color w:val="67973F"/>
          <w:spacing w:val="25"/>
          <w:w w:val="99"/>
          <w:sz w:val="19"/>
          <w:szCs w:val="19"/>
        </w:rPr>
        <w:t> </w:t>
      </w:r>
      <w:r>
        <w:rPr>
          <w:rFonts w:ascii="Segoe UI" w:hAnsi="Segoe UI" w:cs="Segoe UI" w:eastAsia="Segoe UI"/>
          <w:color w:val="67973F"/>
          <w:sz w:val="19"/>
          <w:szCs w:val="19"/>
        </w:rPr>
        <w:t>education.</w:t>
      </w:r>
      <w:r>
        <w:rPr>
          <w:rFonts w:ascii="Segoe UI" w:hAnsi="Segoe UI" w:cs="Segoe UI" w:eastAsia="Segoe UI"/>
          <w:color w:val="67973F"/>
          <w:spacing w:val="-5"/>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school</w:t>
      </w:r>
      <w:r>
        <w:rPr>
          <w:rFonts w:ascii="Segoe UI" w:hAnsi="Segoe UI" w:cs="Segoe UI" w:eastAsia="Segoe UI"/>
          <w:color w:val="67973F"/>
          <w:spacing w:val="-4"/>
          <w:sz w:val="19"/>
          <w:szCs w:val="19"/>
        </w:rPr>
        <w:t> </w:t>
      </w:r>
      <w:r>
        <w:rPr>
          <w:rFonts w:ascii="Segoe UI" w:hAnsi="Segoe UI" w:cs="Segoe UI" w:eastAsia="Segoe UI"/>
          <w:color w:val="67973F"/>
          <w:sz w:val="19"/>
          <w:szCs w:val="19"/>
        </w:rPr>
        <w:t>has</w:t>
      </w:r>
      <w:r>
        <w:rPr>
          <w:rFonts w:ascii="Segoe UI" w:hAnsi="Segoe UI" w:cs="Segoe UI" w:eastAsia="Segoe UI"/>
          <w:color w:val="67973F"/>
          <w:spacing w:val="-6"/>
          <w:sz w:val="19"/>
          <w:szCs w:val="19"/>
        </w:rPr>
        <w:t> </w:t>
      </w:r>
      <w:r>
        <w:rPr>
          <w:rFonts w:ascii="Segoe UI" w:hAnsi="Segoe UI" w:cs="Segoe UI" w:eastAsia="Segoe UI"/>
          <w:color w:val="67973F"/>
          <w:sz w:val="19"/>
          <w:szCs w:val="19"/>
        </w:rPr>
        <w:t>also</w:t>
      </w:r>
      <w:r>
        <w:rPr>
          <w:rFonts w:ascii="Segoe UI" w:hAnsi="Segoe UI" w:cs="Segoe UI" w:eastAsia="Segoe UI"/>
          <w:color w:val="67973F"/>
          <w:spacing w:val="-5"/>
          <w:sz w:val="19"/>
          <w:szCs w:val="19"/>
        </w:rPr>
        <w:t> </w:t>
      </w:r>
      <w:r>
        <w:rPr>
          <w:rFonts w:ascii="Segoe UI" w:hAnsi="Segoe UI" w:cs="Segoe UI" w:eastAsia="Segoe UI"/>
          <w:color w:val="67973F"/>
          <w:sz w:val="19"/>
          <w:szCs w:val="19"/>
        </w:rPr>
        <w:t>reported</w:t>
      </w:r>
      <w:r>
        <w:rPr>
          <w:rFonts w:ascii="Segoe UI" w:hAnsi="Segoe UI" w:cs="Segoe UI" w:eastAsia="Segoe UI"/>
          <w:color w:val="67973F"/>
          <w:spacing w:val="-6"/>
          <w:sz w:val="19"/>
          <w:szCs w:val="19"/>
        </w:rPr>
        <w:t> </w:t>
      </w:r>
      <w:r>
        <w:rPr>
          <w:rFonts w:ascii="Segoe UI" w:hAnsi="Segoe UI" w:cs="Segoe UI" w:eastAsia="Segoe UI"/>
          <w:color w:val="67973F"/>
          <w:spacing w:val="-1"/>
          <w:sz w:val="19"/>
          <w:szCs w:val="19"/>
        </w:rPr>
        <w:t>measurable</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improvements</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in</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student</w:t>
      </w:r>
      <w:r>
        <w:rPr>
          <w:rFonts w:ascii="Segoe UI" w:hAnsi="Segoe UI" w:cs="Segoe UI" w:eastAsia="Segoe UI"/>
          <w:color w:val="67973F"/>
          <w:spacing w:val="-4"/>
          <w:sz w:val="19"/>
          <w:szCs w:val="19"/>
        </w:rPr>
        <w:t> </w:t>
      </w:r>
      <w:r>
        <w:rPr>
          <w:rFonts w:ascii="Segoe UI" w:hAnsi="Segoe UI" w:cs="Segoe UI" w:eastAsia="Segoe UI"/>
          <w:color w:val="67973F"/>
          <w:sz w:val="19"/>
          <w:szCs w:val="19"/>
        </w:rPr>
        <w:t>health—increased</w:t>
      </w:r>
      <w:r>
        <w:rPr>
          <w:rFonts w:ascii="Segoe UI" w:hAnsi="Segoe UI" w:cs="Segoe UI" w:eastAsia="Segoe UI"/>
          <w:color w:val="67973F"/>
          <w:spacing w:val="-6"/>
          <w:sz w:val="19"/>
          <w:szCs w:val="19"/>
        </w:rPr>
        <w:t> </w:t>
      </w:r>
      <w:r>
        <w:rPr>
          <w:rFonts w:ascii="Segoe UI" w:hAnsi="Segoe UI" w:cs="Segoe UI" w:eastAsia="Segoe UI"/>
          <w:color w:val="67973F"/>
          <w:spacing w:val="-1"/>
          <w:sz w:val="19"/>
          <w:szCs w:val="19"/>
        </w:rPr>
        <w:t>mental</w:t>
      </w:r>
      <w:r>
        <w:rPr>
          <w:rFonts w:ascii="Segoe UI" w:hAnsi="Segoe UI" w:cs="Segoe UI" w:eastAsia="Segoe UI"/>
          <w:color w:val="67973F"/>
          <w:spacing w:val="25"/>
          <w:sz w:val="19"/>
          <w:szCs w:val="19"/>
        </w:rPr>
        <w:t> </w:t>
      </w:r>
      <w:r>
        <w:rPr>
          <w:rFonts w:ascii="Segoe UI" w:hAnsi="Segoe UI" w:cs="Segoe UI" w:eastAsia="Segoe UI"/>
          <w:color w:val="67973F"/>
          <w:sz w:val="19"/>
          <w:szCs w:val="19"/>
        </w:rPr>
        <w:t>well-being, improved sleep and improved physical fitness.’</w:t>
      </w:r>
      <w:r>
        <w:rPr>
          <w:rFonts w:ascii="Segoe UI" w:hAnsi="Segoe UI" w:cs="Segoe UI" w:eastAsia="Segoe UI"/>
          <w:sz w:val="19"/>
          <w:szCs w:val="19"/>
        </w:rPr>
      </w:r>
    </w:p>
    <w:p>
      <w:pPr>
        <w:spacing w:line="246" w:lineRule="auto" w:before="113"/>
        <w:ind w:left="100" w:right="167" w:firstLine="0"/>
        <w:jc w:val="left"/>
        <w:rPr>
          <w:rFonts w:ascii="Segoe UI" w:hAnsi="Segoe UI" w:cs="Segoe UI" w:eastAsia="Segoe UI"/>
          <w:sz w:val="19"/>
          <w:szCs w:val="19"/>
        </w:rPr>
      </w:pPr>
      <w:r>
        <w:rPr>
          <w:rFonts w:ascii="Segoe UI"/>
          <w:color w:val="67973F"/>
          <w:sz w:val="19"/>
        </w:rPr>
        <w:t>The</w:t>
      </w:r>
      <w:r>
        <w:rPr>
          <w:rFonts w:ascii="Segoe UI"/>
          <w:color w:val="67973F"/>
          <w:spacing w:val="-3"/>
          <w:sz w:val="19"/>
        </w:rPr>
        <w:t> </w:t>
      </w:r>
      <w:r>
        <w:rPr>
          <w:rFonts w:ascii="Segoe UI"/>
          <w:color w:val="67973F"/>
          <w:spacing w:val="-1"/>
          <w:sz w:val="19"/>
        </w:rPr>
        <w:t>Yiramalay/Wesley</w:t>
      </w:r>
      <w:r>
        <w:rPr>
          <w:rFonts w:ascii="Segoe UI"/>
          <w:color w:val="67973F"/>
          <w:spacing w:val="-4"/>
          <w:sz w:val="19"/>
        </w:rPr>
        <w:t> </w:t>
      </w:r>
      <w:r>
        <w:rPr>
          <w:rFonts w:ascii="Segoe UI"/>
          <w:color w:val="67973F"/>
          <w:spacing w:val="-2"/>
          <w:sz w:val="19"/>
        </w:rPr>
        <w:t>Studio</w:t>
      </w:r>
      <w:r>
        <w:rPr>
          <w:rFonts w:ascii="Segoe UI"/>
          <w:color w:val="67973F"/>
          <w:spacing w:val="-3"/>
          <w:sz w:val="19"/>
        </w:rPr>
        <w:t> </w:t>
      </w:r>
      <w:r>
        <w:rPr>
          <w:rFonts w:ascii="Segoe UI"/>
          <w:color w:val="67973F"/>
          <w:spacing w:val="-1"/>
          <w:sz w:val="19"/>
        </w:rPr>
        <w:t>School</w:t>
      </w:r>
      <w:r>
        <w:rPr>
          <w:rFonts w:ascii="Segoe UI"/>
          <w:color w:val="67973F"/>
          <w:spacing w:val="-3"/>
          <w:sz w:val="19"/>
        </w:rPr>
        <w:t> </w:t>
      </w:r>
      <w:r>
        <w:rPr>
          <w:rFonts w:ascii="Segoe UI"/>
          <w:color w:val="67973F"/>
          <w:sz w:val="19"/>
        </w:rPr>
        <w:t>employs</w:t>
      </w:r>
      <w:r>
        <w:rPr>
          <w:rFonts w:ascii="Segoe UI"/>
          <w:color w:val="67973F"/>
          <w:spacing w:val="-4"/>
          <w:sz w:val="19"/>
        </w:rPr>
        <w:t> </w:t>
      </w:r>
      <w:r>
        <w:rPr>
          <w:rFonts w:ascii="Segoe UI"/>
          <w:color w:val="67973F"/>
          <w:sz w:val="19"/>
        </w:rPr>
        <w:t>people</w:t>
      </w:r>
      <w:r>
        <w:rPr>
          <w:rFonts w:ascii="Segoe UI"/>
          <w:color w:val="67973F"/>
          <w:spacing w:val="-3"/>
          <w:sz w:val="19"/>
        </w:rPr>
        <w:t> </w:t>
      </w:r>
      <w:r>
        <w:rPr>
          <w:rFonts w:ascii="Segoe UI"/>
          <w:color w:val="67973F"/>
          <w:sz w:val="19"/>
        </w:rPr>
        <w:t>from</w:t>
      </w:r>
      <w:r>
        <w:rPr>
          <w:rFonts w:ascii="Segoe UI"/>
          <w:color w:val="67973F"/>
          <w:spacing w:val="-3"/>
          <w:sz w:val="19"/>
        </w:rPr>
        <w:t> </w:t>
      </w:r>
      <w:r>
        <w:rPr>
          <w:rFonts w:ascii="Segoe UI"/>
          <w:color w:val="67973F"/>
          <w:sz w:val="19"/>
        </w:rPr>
        <w:t>the</w:t>
      </w:r>
      <w:r>
        <w:rPr>
          <w:rFonts w:ascii="Segoe UI"/>
          <w:color w:val="67973F"/>
          <w:spacing w:val="-3"/>
          <w:sz w:val="19"/>
        </w:rPr>
        <w:t> </w:t>
      </w:r>
      <w:r>
        <w:rPr>
          <w:rFonts w:ascii="Segoe UI"/>
          <w:color w:val="67973F"/>
          <w:sz w:val="19"/>
        </w:rPr>
        <w:t>home</w:t>
      </w:r>
      <w:r>
        <w:rPr>
          <w:rFonts w:ascii="Segoe UI"/>
          <w:color w:val="67973F"/>
          <w:spacing w:val="-4"/>
          <w:sz w:val="19"/>
        </w:rPr>
        <w:t> </w:t>
      </w:r>
      <w:r>
        <w:rPr>
          <w:rFonts w:ascii="Segoe UI"/>
          <w:color w:val="67973F"/>
          <w:sz w:val="19"/>
        </w:rPr>
        <w:t>communities</w:t>
      </w:r>
      <w:r>
        <w:rPr>
          <w:rFonts w:ascii="Segoe UI"/>
          <w:color w:val="67973F"/>
          <w:spacing w:val="-4"/>
          <w:sz w:val="19"/>
        </w:rPr>
        <w:t> </w:t>
      </w:r>
      <w:r>
        <w:rPr>
          <w:rFonts w:ascii="Segoe UI"/>
          <w:color w:val="67973F"/>
          <w:sz w:val="19"/>
        </w:rPr>
        <w:t>of</w:t>
      </w:r>
      <w:r>
        <w:rPr>
          <w:rFonts w:ascii="Segoe UI"/>
          <w:color w:val="67973F"/>
          <w:spacing w:val="-2"/>
          <w:sz w:val="19"/>
        </w:rPr>
        <w:t> </w:t>
      </w:r>
      <w:r>
        <w:rPr>
          <w:rFonts w:ascii="Segoe UI"/>
          <w:color w:val="67973F"/>
          <w:spacing w:val="-1"/>
          <w:sz w:val="19"/>
        </w:rPr>
        <w:t>students</w:t>
      </w:r>
      <w:r>
        <w:rPr>
          <w:rFonts w:ascii="Segoe UI"/>
          <w:color w:val="67973F"/>
          <w:spacing w:val="-3"/>
          <w:sz w:val="19"/>
        </w:rPr>
        <w:t> </w:t>
      </w:r>
      <w:r>
        <w:rPr>
          <w:rFonts w:ascii="Segoe UI"/>
          <w:color w:val="67973F"/>
          <w:sz w:val="19"/>
        </w:rPr>
        <w:t>to</w:t>
      </w:r>
      <w:r>
        <w:rPr>
          <w:rFonts w:ascii="Segoe UI"/>
          <w:color w:val="67973F"/>
          <w:spacing w:val="-2"/>
          <w:sz w:val="19"/>
        </w:rPr>
        <w:t> </w:t>
      </w:r>
      <w:r>
        <w:rPr>
          <w:rFonts w:ascii="Segoe UI"/>
          <w:color w:val="67973F"/>
          <w:sz w:val="19"/>
        </w:rPr>
        <w:t>act</w:t>
      </w:r>
      <w:r>
        <w:rPr>
          <w:rFonts w:ascii="Segoe UI"/>
          <w:color w:val="67973F"/>
          <w:spacing w:val="-4"/>
          <w:sz w:val="19"/>
        </w:rPr>
        <w:t> </w:t>
      </w:r>
      <w:r>
        <w:rPr>
          <w:rFonts w:ascii="Segoe UI"/>
          <w:color w:val="67973F"/>
          <w:sz w:val="19"/>
        </w:rPr>
        <w:t>as</w:t>
      </w:r>
      <w:r>
        <w:rPr>
          <w:rFonts w:ascii="Segoe UI"/>
          <w:color w:val="67973F"/>
          <w:spacing w:val="31"/>
          <w:sz w:val="19"/>
        </w:rPr>
        <w:t> </w:t>
      </w:r>
      <w:r>
        <w:rPr>
          <w:rFonts w:ascii="Segoe UI"/>
          <w:color w:val="67973F"/>
          <w:spacing w:val="-1"/>
          <w:sz w:val="19"/>
        </w:rPr>
        <w:t>mentors</w:t>
      </w:r>
      <w:r>
        <w:rPr>
          <w:rFonts w:ascii="Segoe UI"/>
          <w:color w:val="67973F"/>
          <w:spacing w:val="-6"/>
          <w:sz w:val="19"/>
        </w:rPr>
        <w:t> </w:t>
      </w:r>
      <w:r>
        <w:rPr>
          <w:rFonts w:ascii="Segoe UI"/>
          <w:color w:val="67973F"/>
          <w:sz w:val="19"/>
        </w:rPr>
        <w:t>for</w:t>
      </w:r>
      <w:r>
        <w:rPr>
          <w:rFonts w:ascii="Segoe UI"/>
          <w:color w:val="67973F"/>
          <w:spacing w:val="-5"/>
          <w:sz w:val="19"/>
        </w:rPr>
        <w:t> </w:t>
      </w:r>
      <w:r>
        <w:rPr>
          <w:rFonts w:ascii="Segoe UI"/>
          <w:color w:val="67973F"/>
          <w:sz w:val="19"/>
        </w:rPr>
        <w:t>boarders</w:t>
      </w:r>
      <w:r>
        <w:rPr>
          <w:rFonts w:ascii="Segoe UI"/>
          <w:color w:val="67973F"/>
          <w:spacing w:val="-6"/>
          <w:sz w:val="19"/>
        </w:rPr>
        <w:t> </w:t>
      </w:r>
      <w:r>
        <w:rPr>
          <w:rFonts w:ascii="Segoe UI"/>
          <w:color w:val="67973F"/>
          <w:sz w:val="19"/>
        </w:rPr>
        <w:t>to</w:t>
      </w:r>
      <w:r>
        <w:rPr>
          <w:rFonts w:ascii="Segoe UI"/>
          <w:color w:val="67973F"/>
          <w:spacing w:val="-5"/>
          <w:sz w:val="19"/>
        </w:rPr>
        <w:t> </w:t>
      </w:r>
      <w:r>
        <w:rPr>
          <w:rFonts w:ascii="Segoe UI"/>
          <w:color w:val="67973F"/>
          <w:spacing w:val="-1"/>
          <w:sz w:val="19"/>
        </w:rPr>
        <w:t>support</w:t>
      </w:r>
      <w:r>
        <w:rPr>
          <w:rFonts w:ascii="Segoe UI"/>
          <w:color w:val="67973F"/>
          <w:spacing w:val="-6"/>
          <w:sz w:val="19"/>
        </w:rPr>
        <w:t> </w:t>
      </w:r>
      <w:r>
        <w:rPr>
          <w:rFonts w:ascii="Segoe UI"/>
          <w:color w:val="67973F"/>
          <w:sz w:val="19"/>
        </w:rPr>
        <w:t>their</w:t>
      </w:r>
      <w:r>
        <w:rPr>
          <w:rFonts w:ascii="Segoe UI"/>
          <w:color w:val="67973F"/>
          <w:spacing w:val="-6"/>
          <w:sz w:val="19"/>
        </w:rPr>
        <w:t> </w:t>
      </w:r>
      <w:r>
        <w:rPr>
          <w:rFonts w:ascii="Segoe UI"/>
          <w:color w:val="67973F"/>
          <w:sz w:val="19"/>
        </w:rPr>
        <w:t>health</w:t>
      </w:r>
      <w:r>
        <w:rPr>
          <w:rFonts w:ascii="Segoe UI"/>
          <w:color w:val="67973F"/>
          <w:spacing w:val="-6"/>
          <w:sz w:val="19"/>
        </w:rPr>
        <w:t> </w:t>
      </w:r>
      <w:r>
        <w:rPr>
          <w:rFonts w:ascii="Segoe UI"/>
          <w:color w:val="67973F"/>
          <w:sz w:val="19"/>
        </w:rPr>
        <w:t>and</w:t>
      </w:r>
      <w:r>
        <w:rPr>
          <w:rFonts w:ascii="Segoe UI"/>
          <w:color w:val="67973F"/>
          <w:spacing w:val="-6"/>
          <w:sz w:val="19"/>
        </w:rPr>
        <w:t> </w:t>
      </w:r>
      <w:r>
        <w:rPr>
          <w:rFonts w:ascii="Segoe UI"/>
          <w:color w:val="67973F"/>
          <w:sz w:val="19"/>
        </w:rPr>
        <w:t>well</w:t>
      </w:r>
      <w:r>
        <w:rPr>
          <w:rFonts w:ascii="Segoe UI"/>
          <w:color w:val="67973F"/>
          <w:spacing w:val="-6"/>
          <w:sz w:val="19"/>
        </w:rPr>
        <w:t> </w:t>
      </w:r>
      <w:r>
        <w:rPr>
          <w:rFonts w:ascii="Segoe UI"/>
          <w:color w:val="67973F"/>
          <w:sz w:val="19"/>
        </w:rPr>
        <w:t>being</w:t>
      </w:r>
      <w:r>
        <w:rPr>
          <w:rFonts w:ascii="Segoe UI"/>
          <w:color w:val="67973F"/>
          <w:spacing w:val="-6"/>
          <w:sz w:val="19"/>
        </w:rPr>
        <w:t> </w:t>
      </w:r>
      <w:r>
        <w:rPr>
          <w:rFonts w:ascii="Segoe UI"/>
          <w:color w:val="67973F"/>
          <w:sz w:val="19"/>
        </w:rPr>
        <w:t>and</w:t>
      </w:r>
      <w:r>
        <w:rPr>
          <w:rFonts w:ascii="Segoe UI"/>
          <w:color w:val="67973F"/>
          <w:spacing w:val="-6"/>
          <w:sz w:val="19"/>
        </w:rPr>
        <w:t> </w:t>
      </w:r>
      <w:r>
        <w:rPr>
          <w:rFonts w:ascii="Segoe UI"/>
          <w:color w:val="67973F"/>
          <w:spacing w:val="-1"/>
          <w:sz w:val="19"/>
        </w:rPr>
        <w:t>maintain</w:t>
      </w:r>
      <w:r>
        <w:rPr>
          <w:rFonts w:ascii="Segoe UI"/>
          <w:color w:val="67973F"/>
          <w:spacing w:val="-6"/>
          <w:sz w:val="19"/>
        </w:rPr>
        <w:t> </w:t>
      </w:r>
      <w:r>
        <w:rPr>
          <w:rFonts w:ascii="Segoe UI"/>
          <w:color w:val="67973F"/>
          <w:sz w:val="19"/>
        </w:rPr>
        <w:t>connection</w:t>
      </w:r>
      <w:r>
        <w:rPr>
          <w:rFonts w:ascii="Segoe UI"/>
          <w:color w:val="67973F"/>
          <w:spacing w:val="-6"/>
          <w:sz w:val="19"/>
        </w:rPr>
        <w:t> </w:t>
      </w:r>
      <w:r>
        <w:rPr>
          <w:rFonts w:ascii="Segoe UI"/>
          <w:color w:val="67973F"/>
          <w:sz w:val="19"/>
        </w:rPr>
        <w:t>with</w:t>
      </w:r>
      <w:r>
        <w:rPr>
          <w:rFonts w:ascii="Segoe UI"/>
          <w:color w:val="67973F"/>
          <w:spacing w:val="-6"/>
          <w:sz w:val="19"/>
        </w:rPr>
        <w:t> </w:t>
      </w:r>
      <w:r>
        <w:rPr>
          <w:rFonts w:ascii="Segoe UI"/>
          <w:color w:val="67973F"/>
          <w:sz w:val="19"/>
        </w:rPr>
        <w:t>culture</w:t>
      </w:r>
      <w:r>
        <w:rPr>
          <w:rFonts w:ascii="Segoe UI"/>
          <w:color w:val="67973F"/>
          <w:spacing w:val="-6"/>
          <w:sz w:val="19"/>
        </w:rPr>
        <w:t> </w:t>
      </w:r>
      <w:r>
        <w:rPr>
          <w:rFonts w:ascii="Segoe UI"/>
          <w:color w:val="67973F"/>
          <w:sz w:val="19"/>
        </w:rPr>
        <w:t>and</w:t>
      </w:r>
      <w:r>
        <w:rPr>
          <w:rFonts w:ascii="Segoe UI"/>
          <w:color w:val="67973F"/>
          <w:spacing w:val="24"/>
          <w:w w:val="99"/>
          <w:sz w:val="19"/>
        </w:rPr>
        <w:t> </w:t>
      </w:r>
      <w:r>
        <w:rPr>
          <w:rFonts w:ascii="Segoe UI"/>
          <w:color w:val="67973F"/>
          <w:sz w:val="19"/>
        </w:rPr>
        <w:t>community.</w:t>
      </w:r>
      <w:r>
        <w:rPr>
          <w:rFonts w:ascii="Segoe UI"/>
          <w:sz w:val="19"/>
        </w:rPr>
      </w:r>
    </w:p>
    <w:p>
      <w:pPr>
        <w:spacing w:after="0" w:line="246" w:lineRule="auto"/>
        <w:jc w:val="left"/>
        <w:rPr>
          <w:rFonts w:ascii="Segoe UI" w:hAnsi="Segoe UI" w:cs="Segoe UI" w:eastAsia="Segoe UI"/>
          <w:sz w:val="19"/>
          <w:szCs w:val="19"/>
        </w:rPr>
        <w:sectPr>
          <w:pgSz w:w="11910" w:h="16840"/>
          <w:pgMar w:header="0" w:footer="691" w:top="1580" w:bottom="880" w:left="1600" w:right="1300"/>
        </w:sectPr>
      </w:pPr>
    </w:p>
    <w:p>
      <w:pPr>
        <w:spacing w:line="240" w:lineRule="auto" w:before="0"/>
        <w:rPr>
          <w:rFonts w:ascii="Segoe UI" w:hAnsi="Segoe UI" w:cs="Segoe UI" w:eastAsia="Segoe UI"/>
          <w:sz w:val="20"/>
          <w:szCs w:val="20"/>
        </w:rPr>
      </w:pPr>
    </w:p>
    <w:p>
      <w:pPr>
        <w:spacing w:line="240" w:lineRule="auto" w:before="8"/>
        <w:rPr>
          <w:rFonts w:ascii="Segoe UI" w:hAnsi="Segoe UI" w:cs="Segoe UI" w:eastAsia="Segoe UI"/>
          <w:sz w:val="21"/>
          <w:szCs w:val="21"/>
        </w:rPr>
      </w:pPr>
    </w:p>
    <w:p>
      <w:pPr>
        <w:spacing w:after="0" w:line="240" w:lineRule="auto"/>
        <w:rPr>
          <w:rFonts w:ascii="Segoe UI" w:hAnsi="Segoe UI" w:cs="Segoe UI" w:eastAsia="Segoe UI"/>
          <w:sz w:val="21"/>
          <w:szCs w:val="21"/>
        </w:rPr>
        <w:sectPr>
          <w:pgSz w:w="11910" w:h="16840"/>
          <w:pgMar w:header="0" w:footer="691" w:top="1580" w:bottom="880" w:left="1300" w:right="1620"/>
        </w:sectPr>
      </w:pPr>
    </w:p>
    <w:p>
      <w:pPr>
        <w:pStyle w:val="BodyText"/>
        <w:spacing w:line="250" w:lineRule="exact" w:before="62"/>
        <w:ind w:right="566"/>
        <w:jc w:val="left"/>
      </w:pPr>
      <w:r>
        <w:rPr>
          <w:color w:val="231F20"/>
          <w:spacing w:val="-1"/>
        </w:rPr>
        <w:t>While</w:t>
      </w:r>
      <w:r>
        <w:rPr>
          <w:color w:val="231F20"/>
          <w:spacing w:val="-3"/>
        </w:rPr>
        <w:t> </w:t>
      </w:r>
      <w:r>
        <w:rPr>
          <w:color w:val="231F20"/>
        </w:rPr>
        <w:t>the</w:t>
      </w:r>
      <w:r>
        <w:rPr>
          <w:color w:val="231F20"/>
          <w:spacing w:val="-3"/>
        </w:rPr>
        <w:t> </w:t>
      </w:r>
      <w:r>
        <w:rPr>
          <w:color w:val="231F20"/>
        </w:rPr>
        <w:t>data</w:t>
      </w:r>
      <w:r>
        <w:rPr>
          <w:color w:val="231F20"/>
          <w:spacing w:val="-3"/>
        </w:rPr>
        <w:t> </w:t>
      </w:r>
      <w:r>
        <w:rPr>
          <w:color w:val="231F20"/>
          <w:spacing w:val="-1"/>
        </w:rPr>
        <w:t>is</w:t>
      </w:r>
      <w:r>
        <w:rPr>
          <w:color w:val="231F20"/>
          <w:spacing w:val="-3"/>
        </w:rPr>
        <w:t> </w:t>
      </w:r>
      <w:r>
        <w:rPr>
          <w:color w:val="231F20"/>
          <w:spacing w:val="-1"/>
        </w:rPr>
        <w:t>inconclusive</w:t>
      </w:r>
      <w:r>
        <w:rPr>
          <w:color w:val="231F20"/>
          <w:spacing w:val="-3"/>
        </w:rPr>
        <w:t> </w:t>
      </w:r>
      <w:r>
        <w:rPr>
          <w:color w:val="231F20"/>
          <w:spacing w:val="-1"/>
        </w:rPr>
        <w:t>in</w:t>
      </w:r>
      <w:r>
        <w:rPr>
          <w:color w:val="231F20"/>
          <w:spacing w:val="-2"/>
        </w:rPr>
        <w:t> </w:t>
      </w:r>
      <w:r>
        <w:rPr>
          <w:color w:val="231F20"/>
        </w:rPr>
        <w:t>relation</w:t>
      </w:r>
      <w:r>
        <w:rPr>
          <w:color w:val="231F20"/>
          <w:spacing w:val="25"/>
          <w:w w:val="99"/>
        </w:rPr>
        <w:t> </w:t>
      </w:r>
      <w:r>
        <w:rPr>
          <w:color w:val="231F20"/>
        </w:rPr>
        <w:t>to</w:t>
      </w:r>
      <w:r>
        <w:rPr>
          <w:color w:val="231F20"/>
          <w:spacing w:val="-3"/>
        </w:rPr>
        <w:t> </w:t>
      </w:r>
      <w:r>
        <w:rPr>
          <w:color w:val="231F20"/>
        </w:rPr>
        <w:t>remoteness</w:t>
      </w:r>
      <w:r>
        <w:rPr>
          <w:color w:val="231F20"/>
          <w:spacing w:val="-4"/>
        </w:rPr>
        <w:t> </w:t>
      </w:r>
      <w:r>
        <w:rPr>
          <w:color w:val="231F20"/>
        </w:rPr>
        <w:t>as</w:t>
      </w:r>
      <w:r>
        <w:rPr>
          <w:color w:val="231F20"/>
          <w:spacing w:val="-4"/>
        </w:rPr>
        <w:t> </w:t>
      </w:r>
      <w:r>
        <w:rPr>
          <w:color w:val="231F20"/>
        </w:rPr>
        <w:t>a</w:t>
      </w:r>
      <w:r>
        <w:rPr>
          <w:color w:val="231F20"/>
          <w:spacing w:val="-2"/>
        </w:rPr>
        <w:t> </w:t>
      </w:r>
      <w:r>
        <w:rPr>
          <w:color w:val="231F20"/>
        </w:rPr>
        <w:t>determinant</w:t>
      </w:r>
      <w:r>
        <w:rPr>
          <w:color w:val="231F20"/>
          <w:spacing w:val="-4"/>
        </w:rPr>
        <w:t> </w:t>
      </w:r>
      <w:r>
        <w:rPr>
          <w:color w:val="231F20"/>
        </w:rPr>
        <w:t>of</w:t>
      </w:r>
      <w:r>
        <w:rPr>
          <w:color w:val="231F20"/>
          <w:spacing w:val="-2"/>
        </w:rPr>
        <w:t> </w:t>
      </w:r>
      <w:r>
        <w:rPr>
          <w:color w:val="231F20"/>
        </w:rPr>
        <w:t>cost</w:t>
      </w:r>
      <w:r>
        <w:rPr>
          <w:color w:val="231F20"/>
          <w:spacing w:val="-4"/>
        </w:rPr>
        <w:t> </w:t>
      </w:r>
      <w:r>
        <w:rPr>
          <w:color w:val="231F20"/>
        </w:rPr>
        <w:t>of</w:t>
      </w:r>
      <w:r>
        <w:rPr/>
      </w:r>
    </w:p>
    <w:p>
      <w:pPr>
        <w:pStyle w:val="BodyText"/>
        <w:spacing w:line="250" w:lineRule="exact"/>
        <w:ind w:right="35"/>
        <w:jc w:val="left"/>
      </w:pPr>
      <w:r>
        <w:rPr>
          <w:color w:val="231F20"/>
        </w:rPr>
        <w:t>boarding,</w:t>
      </w:r>
      <w:r>
        <w:rPr>
          <w:color w:val="231F20"/>
          <w:spacing w:val="-8"/>
        </w:rPr>
        <w:t> </w:t>
      </w:r>
      <w:r>
        <w:rPr>
          <w:color w:val="231F20"/>
          <w:spacing w:val="-1"/>
        </w:rPr>
        <w:t>logic</w:t>
      </w:r>
      <w:r>
        <w:rPr>
          <w:color w:val="231F20"/>
          <w:spacing w:val="-6"/>
        </w:rPr>
        <w:t> </w:t>
      </w:r>
      <w:r>
        <w:rPr>
          <w:color w:val="231F20"/>
        </w:rPr>
        <w:t>and</w:t>
      </w:r>
      <w:r>
        <w:rPr>
          <w:color w:val="231F20"/>
          <w:spacing w:val="-7"/>
        </w:rPr>
        <w:t> </w:t>
      </w:r>
      <w:r>
        <w:rPr>
          <w:color w:val="231F20"/>
        </w:rPr>
        <w:t>the</w:t>
      </w:r>
      <w:r>
        <w:rPr>
          <w:color w:val="231F20"/>
          <w:spacing w:val="-7"/>
        </w:rPr>
        <w:t> </w:t>
      </w:r>
      <w:r>
        <w:rPr>
          <w:color w:val="231F20"/>
        </w:rPr>
        <w:t>anecdotal</w:t>
      </w:r>
      <w:r>
        <w:rPr>
          <w:color w:val="231F20"/>
          <w:spacing w:val="-8"/>
        </w:rPr>
        <w:t> </w:t>
      </w:r>
      <w:r>
        <w:rPr>
          <w:color w:val="231F20"/>
        </w:rPr>
        <w:t>evidence</w:t>
      </w:r>
      <w:r>
        <w:rPr>
          <w:color w:val="231F20"/>
          <w:spacing w:val="21"/>
          <w:w w:val="99"/>
        </w:rPr>
        <w:t> </w:t>
      </w:r>
      <w:r>
        <w:rPr>
          <w:color w:val="231F20"/>
        </w:rPr>
        <w:t>provided</w:t>
      </w:r>
      <w:r>
        <w:rPr>
          <w:color w:val="231F20"/>
          <w:spacing w:val="-6"/>
        </w:rPr>
        <w:t> </w:t>
      </w:r>
      <w:r>
        <w:rPr>
          <w:color w:val="231F20"/>
        </w:rPr>
        <w:t>during</w:t>
      </w:r>
      <w:r>
        <w:rPr>
          <w:color w:val="231F20"/>
          <w:spacing w:val="-6"/>
        </w:rPr>
        <w:t> </w:t>
      </w:r>
      <w:r>
        <w:rPr>
          <w:color w:val="231F20"/>
        </w:rPr>
        <w:t>consultations</w:t>
      </w:r>
      <w:r>
        <w:rPr>
          <w:color w:val="231F20"/>
          <w:spacing w:val="-6"/>
        </w:rPr>
        <w:t> </w:t>
      </w:r>
      <w:r>
        <w:rPr>
          <w:color w:val="231F20"/>
        </w:rPr>
        <w:t>would</w:t>
      </w:r>
      <w:r>
        <w:rPr>
          <w:color w:val="231F20"/>
          <w:spacing w:val="-6"/>
        </w:rPr>
        <w:t> </w:t>
      </w:r>
      <w:r>
        <w:rPr>
          <w:color w:val="231F20"/>
          <w:spacing w:val="-1"/>
        </w:rPr>
        <w:t>suggest</w:t>
      </w:r>
      <w:r>
        <w:rPr>
          <w:color w:val="231F20"/>
          <w:spacing w:val="20"/>
        </w:rPr>
        <w:t> </w:t>
      </w:r>
      <w:r>
        <w:rPr>
          <w:color w:val="231F20"/>
        </w:rPr>
        <w:t>that</w:t>
      </w:r>
      <w:r>
        <w:rPr>
          <w:color w:val="231F20"/>
          <w:spacing w:val="-7"/>
        </w:rPr>
        <w:t> </w:t>
      </w:r>
      <w:r>
        <w:rPr>
          <w:color w:val="231F20"/>
        </w:rPr>
        <w:t>boarding</w:t>
      </w:r>
      <w:r>
        <w:rPr>
          <w:color w:val="231F20"/>
          <w:spacing w:val="-6"/>
        </w:rPr>
        <w:t> </w:t>
      </w:r>
      <w:r>
        <w:rPr>
          <w:color w:val="231F20"/>
          <w:spacing w:val="-1"/>
        </w:rPr>
        <w:t>in</w:t>
      </w:r>
      <w:r>
        <w:rPr>
          <w:color w:val="231F20"/>
          <w:spacing w:val="-5"/>
        </w:rPr>
        <w:t> </w:t>
      </w:r>
      <w:r>
        <w:rPr>
          <w:color w:val="231F20"/>
        </w:rPr>
        <w:t>remote</w:t>
      </w:r>
      <w:r>
        <w:rPr>
          <w:color w:val="231F20"/>
          <w:spacing w:val="-6"/>
        </w:rPr>
        <w:t> </w:t>
      </w:r>
      <w:r>
        <w:rPr>
          <w:color w:val="231F20"/>
        </w:rPr>
        <w:t>and</w:t>
      </w:r>
      <w:r>
        <w:rPr>
          <w:color w:val="231F20"/>
          <w:spacing w:val="-6"/>
        </w:rPr>
        <w:t> </w:t>
      </w:r>
      <w:r>
        <w:rPr>
          <w:color w:val="231F20"/>
        </w:rPr>
        <w:t>very</w:t>
      </w:r>
      <w:r>
        <w:rPr>
          <w:color w:val="231F20"/>
          <w:spacing w:val="-6"/>
        </w:rPr>
        <w:t> </w:t>
      </w:r>
      <w:r>
        <w:rPr>
          <w:color w:val="231F20"/>
        </w:rPr>
        <w:t>remote</w:t>
      </w:r>
      <w:r>
        <w:rPr>
          <w:color w:val="231F20"/>
          <w:spacing w:val="21"/>
          <w:w w:val="99"/>
        </w:rPr>
        <w:t> </w:t>
      </w:r>
      <w:r>
        <w:rPr>
          <w:color w:val="231F20"/>
          <w:spacing w:val="-1"/>
        </w:rPr>
        <w:t>locations</w:t>
      </w:r>
      <w:r>
        <w:rPr>
          <w:color w:val="231F20"/>
          <w:spacing w:val="-5"/>
        </w:rPr>
        <w:t> </w:t>
      </w:r>
      <w:r>
        <w:rPr>
          <w:color w:val="231F20"/>
        </w:rPr>
        <w:t>would</w:t>
      </w:r>
      <w:r>
        <w:rPr>
          <w:color w:val="231F20"/>
          <w:spacing w:val="-5"/>
        </w:rPr>
        <w:t> </w:t>
      </w:r>
      <w:r>
        <w:rPr>
          <w:color w:val="231F20"/>
        </w:rPr>
        <w:t>be</w:t>
      </w:r>
      <w:r>
        <w:rPr>
          <w:color w:val="231F20"/>
          <w:spacing w:val="-4"/>
        </w:rPr>
        <w:t> </w:t>
      </w:r>
      <w:r>
        <w:rPr>
          <w:color w:val="231F20"/>
          <w:spacing w:val="-1"/>
        </w:rPr>
        <w:t>more</w:t>
      </w:r>
      <w:r>
        <w:rPr>
          <w:color w:val="231F20"/>
          <w:spacing w:val="-4"/>
        </w:rPr>
        <w:t> </w:t>
      </w:r>
      <w:r>
        <w:rPr>
          <w:color w:val="231F20"/>
        </w:rPr>
        <w:t>costly</w:t>
      </w:r>
      <w:r>
        <w:rPr>
          <w:color w:val="231F20"/>
          <w:spacing w:val="-5"/>
        </w:rPr>
        <w:t> </w:t>
      </w:r>
      <w:r>
        <w:rPr>
          <w:color w:val="231F20"/>
        </w:rPr>
        <w:t>than</w:t>
      </w:r>
      <w:r>
        <w:rPr>
          <w:color w:val="231F20"/>
          <w:spacing w:val="-5"/>
        </w:rPr>
        <w:t> </w:t>
      </w:r>
      <w:r>
        <w:rPr>
          <w:color w:val="231F20"/>
        </w:rPr>
        <w:t>providing</w:t>
      </w:r>
      <w:r>
        <w:rPr>
          <w:color w:val="231F20"/>
          <w:spacing w:val="23"/>
          <w:w w:val="99"/>
        </w:rPr>
        <w:t> </w:t>
      </w:r>
      <w:r>
        <w:rPr>
          <w:color w:val="231F20"/>
        </w:rPr>
        <w:t>the</w:t>
      </w:r>
      <w:r>
        <w:rPr>
          <w:color w:val="231F20"/>
          <w:spacing w:val="-5"/>
        </w:rPr>
        <w:t> </w:t>
      </w:r>
      <w:r>
        <w:rPr>
          <w:color w:val="231F20"/>
          <w:spacing w:val="-1"/>
        </w:rPr>
        <w:t>same</w:t>
      </w:r>
      <w:r>
        <w:rPr>
          <w:color w:val="231F20"/>
          <w:spacing w:val="-3"/>
        </w:rPr>
        <w:t> </w:t>
      </w:r>
      <w:r>
        <w:rPr>
          <w:color w:val="231F20"/>
          <w:spacing w:val="-1"/>
        </w:rPr>
        <w:t>service</w:t>
      </w:r>
      <w:r>
        <w:rPr>
          <w:color w:val="231F20"/>
          <w:spacing w:val="-3"/>
        </w:rPr>
        <w:t> </w:t>
      </w:r>
      <w:r>
        <w:rPr>
          <w:color w:val="231F20"/>
          <w:spacing w:val="-1"/>
        </w:rPr>
        <w:t>in</w:t>
      </w:r>
      <w:r>
        <w:rPr>
          <w:color w:val="231F20"/>
          <w:spacing w:val="-3"/>
        </w:rPr>
        <w:t> </w:t>
      </w:r>
      <w:r>
        <w:rPr>
          <w:color w:val="231F20"/>
        </w:rPr>
        <w:t>other</w:t>
      </w:r>
      <w:r>
        <w:rPr>
          <w:color w:val="231F20"/>
          <w:spacing w:val="-3"/>
        </w:rPr>
        <w:t> </w:t>
      </w:r>
      <w:r>
        <w:rPr>
          <w:color w:val="231F20"/>
        </w:rPr>
        <w:t>areas.</w:t>
      </w:r>
      <w:r>
        <w:rPr>
          <w:color w:val="231F20"/>
          <w:spacing w:val="-4"/>
        </w:rPr>
        <w:t> </w:t>
      </w:r>
      <w:r>
        <w:rPr>
          <w:color w:val="231F20"/>
        </w:rPr>
        <w:t>The</w:t>
      </w:r>
      <w:r>
        <w:rPr>
          <w:color w:val="231F20"/>
          <w:spacing w:val="-3"/>
        </w:rPr>
        <w:t> </w:t>
      </w:r>
      <w:r>
        <w:rPr>
          <w:color w:val="231F20"/>
          <w:spacing w:val="-1"/>
        </w:rPr>
        <w:t>Schooling</w:t>
      </w:r>
      <w:r>
        <w:rPr>
          <w:color w:val="231F20"/>
          <w:spacing w:val="23"/>
        </w:rPr>
        <w:t> </w:t>
      </w:r>
      <w:r>
        <w:rPr>
          <w:color w:val="231F20"/>
          <w:spacing w:val="-1"/>
        </w:rPr>
        <w:t>Resource</w:t>
      </w:r>
      <w:r>
        <w:rPr>
          <w:color w:val="231F20"/>
          <w:spacing w:val="-12"/>
        </w:rPr>
        <w:t> </w:t>
      </w:r>
      <w:r>
        <w:rPr>
          <w:color w:val="231F20"/>
          <w:spacing w:val="-1"/>
        </w:rPr>
        <w:t>Standard</w:t>
      </w:r>
      <w:r>
        <w:rPr>
          <w:color w:val="231F20"/>
          <w:spacing w:val="-12"/>
        </w:rPr>
        <w:t> </w:t>
      </w:r>
      <w:r>
        <w:rPr>
          <w:color w:val="231F20"/>
        </w:rPr>
        <w:t>for</w:t>
      </w:r>
      <w:r>
        <w:rPr>
          <w:color w:val="231F20"/>
          <w:spacing w:val="-11"/>
        </w:rPr>
        <w:t> </w:t>
      </w:r>
      <w:r>
        <w:rPr>
          <w:color w:val="231F20"/>
        </w:rPr>
        <w:t>recurrent</w:t>
      </w:r>
      <w:r>
        <w:rPr>
          <w:color w:val="231F20"/>
          <w:spacing w:val="-13"/>
        </w:rPr>
        <w:t> </w:t>
      </w:r>
      <w:r>
        <w:rPr>
          <w:color w:val="231F20"/>
          <w:spacing w:val="-1"/>
        </w:rPr>
        <w:t>Commonwealth</w:t>
      </w:r>
      <w:r>
        <w:rPr>
          <w:color w:val="231F20"/>
          <w:spacing w:val="23"/>
          <w:w w:val="99"/>
        </w:rPr>
        <w:t> </w:t>
      </w:r>
      <w:r>
        <w:rPr>
          <w:color w:val="231F20"/>
          <w:spacing w:val="-1"/>
        </w:rPr>
        <w:t>school</w:t>
      </w:r>
      <w:r>
        <w:rPr>
          <w:color w:val="231F20"/>
          <w:spacing w:val="-3"/>
        </w:rPr>
        <w:t> </w:t>
      </w:r>
      <w:r>
        <w:rPr>
          <w:color w:val="231F20"/>
        </w:rPr>
        <w:t>funding</w:t>
      </w:r>
      <w:r>
        <w:rPr>
          <w:color w:val="231F20"/>
          <w:spacing w:val="-3"/>
        </w:rPr>
        <w:t> </w:t>
      </w:r>
      <w:r>
        <w:rPr>
          <w:color w:val="231F20"/>
        </w:rPr>
        <w:t>reaches</w:t>
      </w:r>
      <w:r>
        <w:rPr>
          <w:color w:val="231F20"/>
          <w:spacing w:val="-4"/>
        </w:rPr>
        <w:t> </w:t>
      </w:r>
      <w:r>
        <w:rPr>
          <w:color w:val="231F20"/>
        </w:rPr>
        <w:t>this</w:t>
      </w:r>
      <w:r>
        <w:rPr>
          <w:color w:val="231F20"/>
          <w:spacing w:val="-3"/>
        </w:rPr>
        <w:t> </w:t>
      </w:r>
      <w:r>
        <w:rPr>
          <w:color w:val="231F20"/>
          <w:spacing w:val="-1"/>
        </w:rPr>
        <w:t>same</w:t>
      </w:r>
      <w:r>
        <w:rPr>
          <w:color w:val="231F20"/>
          <w:spacing w:val="-3"/>
        </w:rPr>
        <w:t> </w:t>
      </w:r>
      <w:r>
        <w:rPr>
          <w:color w:val="231F20"/>
        </w:rPr>
        <w:t>conclusion</w:t>
      </w:r>
      <w:r>
        <w:rPr>
          <w:color w:val="231F20"/>
          <w:spacing w:val="23"/>
        </w:rPr>
        <w:t> </w:t>
      </w:r>
      <w:r>
        <w:rPr>
          <w:color w:val="231F20"/>
        </w:rPr>
        <w:t>and</w:t>
      </w:r>
      <w:r>
        <w:rPr>
          <w:color w:val="231F20"/>
          <w:spacing w:val="-5"/>
        </w:rPr>
        <w:t> </w:t>
      </w:r>
      <w:r>
        <w:rPr>
          <w:color w:val="231F20"/>
          <w:spacing w:val="-1"/>
        </w:rPr>
        <w:t>includes</w:t>
      </w:r>
      <w:r>
        <w:rPr>
          <w:color w:val="231F20"/>
          <w:spacing w:val="-3"/>
        </w:rPr>
        <w:t> </w:t>
      </w:r>
      <w:r>
        <w:rPr>
          <w:color w:val="231F20"/>
        </w:rPr>
        <w:t>a</w:t>
      </w:r>
      <w:r>
        <w:rPr>
          <w:color w:val="231F20"/>
          <w:spacing w:val="-3"/>
        </w:rPr>
        <w:t> </w:t>
      </w:r>
      <w:r>
        <w:rPr>
          <w:color w:val="231F20"/>
        </w:rPr>
        <w:t>‘school</w:t>
      </w:r>
      <w:r>
        <w:rPr>
          <w:color w:val="231F20"/>
          <w:spacing w:val="-4"/>
        </w:rPr>
        <w:t> </w:t>
      </w:r>
      <w:r>
        <w:rPr>
          <w:color w:val="231F20"/>
          <w:spacing w:val="-1"/>
        </w:rPr>
        <w:t>location</w:t>
      </w:r>
      <w:r>
        <w:rPr>
          <w:color w:val="231F20"/>
          <w:spacing w:val="-3"/>
        </w:rPr>
        <w:t> </w:t>
      </w:r>
      <w:r>
        <w:rPr>
          <w:color w:val="231F20"/>
          <w:spacing w:val="-1"/>
        </w:rPr>
        <w:t>loading’.</w:t>
      </w:r>
      <w:r>
        <w:rPr>
          <w:color w:val="231F20"/>
          <w:spacing w:val="-3"/>
        </w:rPr>
        <w:t> </w:t>
      </w:r>
      <w:r>
        <w:rPr>
          <w:color w:val="231F20"/>
        </w:rPr>
        <w:t>‘This</w:t>
      </w:r>
      <w:r>
        <w:rPr>
          <w:color w:val="231F20"/>
          <w:spacing w:val="24"/>
        </w:rPr>
        <w:t> </w:t>
      </w:r>
      <w:r>
        <w:rPr>
          <w:color w:val="231F20"/>
          <w:spacing w:val="-1"/>
        </w:rPr>
        <w:t>loading</w:t>
      </w:r>
      <w:r>
        <w:rPr>
          <w:color w:val="231F20"/>
          <w:spacing w:val="-5"/>
        </w:rPr>
        <w:t> </w:t>
      </w:r>
      <w:r>
        <w:rPr>
          <w:color w:val="231F20"/>
        </w:rPr>
        <w:t>provides</w:t>
      </w:r>
      <w:r>
        <w:rPr>
          <w:color w:val="231F20"/>
          <w:spacing w:val="-6"/>
        </w:rPr>
        <w:t> </w:t>
      </w:r>
      <w:r>
        <w:rPr>
          <w:color w:val="231F20"/>
        </w:rPr>
        <w:t>extra</w:t>
      </w:r>
      <w:r>
        <w:rPr>
          <w:color w:val="231F20"/>
          <w:spacing w:val="-4"/>
        </w:rPr>
        <w:t> </w:t>
      </w:r>
      <w:r>
        <w:rPr>
          <w:color w:val="231F20"/>
        </w:rPr>
        <w:t>funding</w:t>
      </w:r>
      <w:r>
        <w:rPr>
          <w:color w:val="231F20"/>
          <w:spacing w:val="-5"/>
        </w:rPr>
        <w:t> </w:t>
      </w:r>
      <w:r>
        <w:rPr>
          <w:color w:val="231F20"/>
        </w:rPr>
        <w:t>for</w:t>
      </w:r>
      <w:r>
        <w:rPr>
          <w:color w:val="231F20"/>
          <w:spacing w:val="-5"/>
        </w:rPr>
        <w:t> </w:t>
      </w:r>
      <w:r>
        <w:rPr>
          <w:color w:val="231F20"/>
          <w:spacing w:val="-1"/>
        </w:rPr>
        <w:t>schools</w:t>
      </w:r>
      <w:r>
        <w:rPr>
          <w:color w:val="231F20"/>
          <w:spacing w:val="-4"/>
        </w:rPr>
        <w:t> </w:t>
      </w:r>
      <w:r>
        <w:rPr>
          <w:color w:val="231F20"/>
          <w:spacing w:val="-1"/>
        </w:rPr>
        <w:t>in</w:t>
      </w:r>
      <w:r>
        <w:rPr>
          <w:color w:val="231F20"/>
          <w:spacing w:val="22"/>
        </w:rPr>
        <w:t> </w:t>
      </w:r>
      <w:r>
        <w:rPr>
          <w:color w:val="231F20"/>
        </w:rPr>
        <w:t>regional</w:t>
      </w:r>
      <w:r>
        <w:rPr>
          <w:color w:val="231F20"/>
          <w:spacing w:val="-7"/>
        </w:rPr>
        <w:t> </w:t>
      </w:r>
      <w:r>
        <w:rPr>
          <w:color w:val="231F20"/>
        </w:rPr>
        <w:t>and</w:t>
      </w:r>
      <w:r>
        <w:rPr>
          <w:color w:val="231F20"/>
          <w:spacing w:val="-6"/>
        </w:rPr>
        <w:t> </w:t>
      </w:r>
      <w:r>
        <w:rPr>
          <w:color w:val="231F20"/>
        </w:rPr>
        <w:t>remote</w:t>
      </w:r>
      <w:r>
        <w:rPr>
          <w:color w:val="231F20"/>
          <w:spacing w:val="-7"/>
        </w:rPr>
        <w:t> </w:t>
      </w:r>
      <w:r>
        <w:rPr>
          <w:color w:val="231F20"/>
          <w:spacing w:val="-1"/>
        </w:rPr>
        <w:t>locations</w:t>
      </w:r>
      <w:r>
        <w:rPr>
          <w:color w:val="231F20"/>
          <w:spacing w:val="-5"/>
        </w:rPr>
        <w:t> </w:t>
      </w:r>
      <w:r>
        <w:rPr>
          <w:color w:val="231F20"/>
          <w:spacing w:val="-1"/>
        </w:rPr>
        <w:t>in</w:t>
      </w:r>
      <w:r>
        <w:rPr>
          <w:color w:val="231F20"/>
          <w:spacing w:val="-5"/>
        </w:rPr>
        <w:t> </w:t>
      </w:r>
      <w:r>
        <w:rPr>
          <w:color w:val="231F20"/>
        </w:rPr>
        <w:t>recognition</w:t>
      </w:r>
      <w:r>
        <w:rPr>
          <w:color w:val="231F20"/>
          <w:spacing w:val="23"/>
          <w:w w:val="99"/>
        </w:rPr>
        <w:t> </w:t>
      </w:r>
      <w:r>
        <w:rPr>
          <w:color w:val="231F20"/>
        </w:rPr>
        <w:t>that</w:t>
      </w:r>
      <w:r>
        <w:rPr>
          <w:color w:val="231F20"/>
          <w:spacing w:val="-5"/>
        </w:rPr>
        <w:t> </w:t>
      </w:r>
      <w:r>
        <w:rPr>
          <w:color w:val="231F20"/>
          <w:spacing w:val="-1"/>
        </w:rPr>
        <w:t>it</w:t>
      </w:r>
      <w:r>
        <w:rPr>
          <w:color w:val="231F20"/>
          <w:spacing w:val="-4"/>
        </w:rPr>
        <w:t> </w:t>
      </w:r>
      <w:r>
        <w:rPr>
          <w:color w:val="231F20"/>
        </w:rPr>
        <w:t>generally</w:t>
      </w:r>
      <w:r>
        <w:rPr>
          <w:color w:val="231F20"/>
          <w:spacing w:val="-4"/>
        </w:rPr>
        <w:t> </w:t>
      </w:r>
      <w:r>
        <w:rPr>
          <w:color w:val="231F20"/>
        </w:rPr>
        <w:t>costs</w:t>
      </w:r>
      <w:r>
        <w:rPr>
          <w:color w:val="231F20"/>
          <w:spacing w:val="-5"/>
        </w:rPr>
        <w:t> </w:t>
      </w:r>
      <w:r>
        <w:rPr>
          <w:color w:val="231F20"/>
          <w:spacing w:val="-1"/>
        </w:rPr>
        <w:t>more</w:t>
      </w:r>
      <w:r>
        <w:rPr>
          <w:color w:val="231F20"/>
          <w:spacing w:val="-3"/>
        </w:rPr>
        <w:t> </w:t>
      </w:r>
      <w:r>
        <w:rPr>
          <w:color w:val="231F20"/>
        </w:rPr>
        <w:t>to</w:t>
      </w:r>
      <w:r>
        <w:rPr>
          <w:color w:val="231F20"/>
          <w:spacing w:val="-4"/>
        </w:rPr>
        <w:t> </w:t>
      </w:r>
      <w:r>
        <w:rPr>
          <w:color w:val="231F20"/>
        </w:rPr>
        <w:t>educate</w:t>
      </w:r>
      <w:r>
        <w:rPr>
          <w:color w:val="231F20"/>
          <w:spacing w:val="-4"/>
        </w:rPr>
        <w:t> </w:t>
      </w:r>
      <w:r>
        <w:rPr>
          <w:color w:val="231F20"/>
          <w:spacing w:val="-1"/>
        </w:rPr>
        <w:t>students</w:t>
      </w:r>
      <w:r>
        <w:rPr>
          <w:color w:val="231F20"/>
          <w:spacing w:val="22"/>
        </w:rPr>
        <w:t> </w:t>
      </w:r>
      <w:r>
        <w:rPr>
          <w:color w:val="231F20"/>
        </w:rPr>
        <w:t>going</w:t>
      </w:r>
      <w:r>
        <w:rPr>
          <w:color w:val="231F20"/>
          <w:spacing w:val="-6"/>
        </w:rPr>
        <w:t> </w:t>
      </w:r>
      <w:r>
        <w:rPr>
          <w:color w:val="231F20"/>
        </w:rPr>
        <w:t>to</w:t>
      </w:r>
      <w:r>
        <w:rPr>
          <w:color w:val="231F20"/>
          <w:spacing w:val="-4"/>
        </w:rPr>
        <w:t> </w:t>
      </w:r>
      <w:r>
        <w:rPr>
          <w:color w:val="231F20"/>
          <w:spacing w:val="-1"/>
        </w:rPr>
        <w:t>school</w:t>
      </w:r>
      <w:r>
        <w:rPr>
          <w:color w:val="231F20"/>
          <w:spacing w:val="-4"/>
        </w:rPr>
        <w:t> </w:t>
      </w:r>
      <w:r>
        <w:rPr>
          <w:color w:val="231F20"/>
          <w:spacing w:val="-1"/>
        </w:rPr>
        <w:t>in</w:t>
      </w:r>
      <w:r>
        <w:rPr>
          <w:color w:val="231F20"/>
          <w:spacing w:val="-4"/>
        </w:rPr>
        <w:t> </w:t>
      </w:r>
      <w:r>
        <w:rPr>
          <w:color w:val="231F20"/>
        </w:rPr>
        <w:t>regional</w:t>
      </w:r>
      <w:r>
        <w:rPr>
          <w:color w:val="231F20"/>
          <w:spacing w:val="-5"/>
        </w:rPr>
        <w:t> </w:t>
      </w:r>
      <w:r>
        <w:rPr>
          <w:color w:val="231F20"/>
        </w:rPr>
        <w:t>and</w:t>
      </w:r>
      <w:r>
        <w:rPr>
          <w:color w:val="231F20"/>
          <w:spacing w:val="-5"/>
        </w:rPr>
        <w:t> </w:t>
      </w:r>
      <w:r>
        <w:rPr>
          <w:color w:val="231F20"/>
        </w:rPr>
        <w:t>remote</w:t>
      </w:r>
      <w:r>
        <w:rPr>
          <w:color w:val="231F20"/>
          <w:spacing w:val="-5"/>
        </w:rPr>
        <w:t> </w:t>
      </w:r>
      <w:r>
        <w:rPr>
          <w:color w:val="231F20"/>
        </w:rPr>
        <w:t>areas</w:t>
      </w:r>
      <w:r>
        <w:rPr>
          <w:color w:val="231F20"/>
          <w:spacing w:val="23"/>
          <w:w w:val="99"/>
        </w:rPr>
        <w:t> </w:t>
      </w:r>
      <w:r>
        <w:rPr>
          <w:color w:val="231F20"/>
        </w:rPr>
        <w:t>than</w:t>
      </w:r>
      <w:r>
        <w:rPr>
          <w:color w:val="231F20"/>
          <w:spacing w:val="-4"/>
        </w:rPr>
        <w:t> </w:t>
      </w:r>
      <w:r>
        <w:rPr>
          <w:color w:val="231F20"/>
          <w:spacing w:val="-1"/>
        </w:rPr>
        <w:t>it</w:t>
      </w:r>
      <w:r>
        <w:rPr>
          <w:color w:val="231F20"/>
          <w:spacing w:val="-2"/>
        </w:rPr>
        <w:t> </w:t>
      </w:r>
      <w:r>
        <w:rPr>
          <w:color w:val="231F20"/>
        </w:rPr>
        <w:t>does</w:t>
      </w:r>
      <w:r>
        <w:rPr>
          <w:color w:val="231F20"/>
          <w:spacing w:val="-3"/>
        </w:rPr>
        <w:t> </w:t>
      </w:r>
      <w:r>
        <w:rPr>
          <w:color w:val="231F20"/>
        </w:rPr>
        <w:t>for</w:t>
      </w:r>
      <w:r>
        <w:rPr>
          <w:color w:val="231F20"/>
          <w:spacing w:val="-2"/>
        </w:rPr>
        <w:t> </w:t>
      </w:r>
      <w:r>
        <w:rPr>
          <w:color w:val="231F20"/>
          <w:spacing w:val="-1"/>
        </w:rPr>
        <w:t>students</w:t>
      </w:r>
      <w:r>
        <w:rPr>
          <w:color w:val="231F20"/>
          <w:spacing w:val="-3"/>
        </w:rPr>
        <w:t> </w:t>
      </w:r>
      <w:r>
        <w:rPr>
          <w:color w:val="231F20"/>
          <w:spacing w:val="-1"/>
        </w:rPr>
        <w:t>in</w:t>
      </w:r>
      <w:r>
        <w:rPr>
          <w:color w:val="231F20"/>
          <w:spacing w:val="-2"/>
        </w:rPr>
        <w:t> </w:t>
      </w:r>
      <w:r>
        <w:rPr>
          <w:color w:val="231F20"/>
          <w:spacing w:val="-1"/>
        </w:rPr>
        <w:t>city-based</w:t>
      </w:r>
      <w:r>
        <w:rPr>
          <w:color w:val="231F20"/>
          <w:spacing w:val="-3"/>
        </w:rPr>
        <w:t> </w:t>
      </w:r>
      <w:r>
        <w:rPr>
          <w:color w:val="231F20"/>
          <w:spacing w:val="-1"/>
        </w:rPr>
        <w:t>schools.</w:t>
      </w:r>
      <w:r>
        <w:rPr>
          <w:color w:val="231F20"/>
          <w:spacing w:val="24"/>
        </w:rPr>
        <w:t> </w:t>
      </w:r>
      <w:r>
        <w:rPr>
          <w:color w:val="231F20"/>
        </w:rPr>
        <w:t>The</w:t>
      </w:r>
      <w:r>
        <w:rPr>
          <w:color w:val="231F20"/>
          <w:spacing w:val="-3"/>
        </w:rPr>
        <w:t> </w:t>
      </w:r>
      <w:r>
        <w:rPr>
          <w:color w:val="231F20"/>
          <w:spacing w:val="-1"/>
        </w:rPr>
        <w:t>loading</w:t>
      </w:r>
      <w:r>
        <w:rPr>
          <w:color w:val="231F20"/>
          <w:spacing w:val="-3"/>
        </w:rPr>
        <w:t> </w:t>
      </w:r>
      <w:r>
        <w:rPr>
          <w:color w:val="231F20"/>
          <w:spacing w:val="-1"/>
        </w:rPr>
        <w:t>is</w:t>
      </w:r>
      <w:r>
        <w:rPr>
          <w:color w:val="231F20"/>
          <w:spacing w:val="-3"/>
        </w:rPr>
        <w:t> </w:t>
      </w:r>
      <w:r>
        <w:rPr>
          <w:color w:val="231F20"/>
        </w:rPr>
        <w:t>based</w:t>
      </w:r>
      <w:r>
        <w:rPr>
          <w:color w:val="231F20"/>
          <w:spacing w:val="-4"/>
        </w:rPr>
        <w:t> </w:t>
      </w:r>
      <w:r>
        <w:rPr>
          <w:color w:val="231F20"/>
        </w:rPr>
        <w:t>on</w:t>
      </w:r>
      <w:r>
        <w:rPr>
          <w:color w:val="231F20"/>
          <w:spacing w:val="-3"/>
        </w:rPr>
        <w:t> </w:t>
      </w:r>
      <w:r>
        <w:rPr>
          <w:color w:val="231F20"/>
        </w:rPr>
        <w:t>a</w:t>
      </w:r>
      <w:r>
        <w:rPr>
          <w:color w:val="231F20"/>
          <w:spacing w:val="-2"/>
        </w:rPr>
        <w:t> </w:t>
      </w:r>
      <w:r>
        <w:rPr>
          <w:color w:val="231F20"/>
          <w:spacing w:val="-1"/>
        </w:rPr>
        <w:t>school's</w:t>
      </w:r>
      <w:r>
        <w:rPr>
          <w:color w:val="231F20"/>
          <w:spacing w:val="-3"/>
        </w:rPr>
        <w:t> </w:t>
      </w:r>
      <w:r>
        <w:rPr>
          <w:color w:val="231F20"/>
        </w:rPr>
        <w:t>Accessibility/</w:t>
      </w:r>
      <w:r>
        <w:rPr>
          <w:color w:val="231F20"/>
          <w:spacing w:val="24"/>
        </w:rPr>
        <w:t> </w:t>
      </w:r>
      <w:r>
        <w:rPr>
          <w:color w:val="231F20"/>
          <w:spacing w:val="-1"/>
        </w:rPr>
        <w:t>Remoteness</w:t>
      </w:r>
      <w:r>
        <w:rPr>
          <w:color w:val="231F20"/>
          <w:spacing w:val="-6"/>
        </w:rPr>
        <w:t> </w:t>
      </w:r>
      <w:r>
        <w:rPr>
          <w:color w:val="231F20"/>
          <w:spacing w:val="-1"/>
        </w:rPr>
        <w:t>Index</w:t>
      </w:r>
      <w:r>
        <w:rPr>
          <w:color w:val="231F20"/>
          <w:spacing w:val="-5"/>
        </w:rPr>
        <w:t> </w:t>
      </w:r>
      <w:r>
        <w:rPr>
          <w:color w:val="231F20"/>
        </w:rPr>
        <w:t>of</w:t>
      </w:r>
      <w:r>
        <w:rPr>
          <w:color w:val="231F20"/>
          <w:spacing w:val="-5"/>
        </w:rPr>
        <w:t> </w:t>
      </w:r>
      <w:r>
        <w:rPr>
          <w:color w:val="231F20"/>
        </w:rPr>
        <w:t>Australia</w:t>
      </w:r>
      <w:r>
        <w:rPr>
          <w:color w:val="231F20"/>
          <w:spacing w:val="-5"/>
        </w:rPr>
        <w:t> </w:t>
      </w:r>
      <w:r>
        <w:rPr>
          <w:color w:val="231F20"/>
        </w:rPr>
        <w:t>(ARIA)</w:t>
      </w:r>
      <w:r>
        <w:rPr>
          <w:color w:val="231F20"/>
          <w:spacing w:val="-6"/>
        </w:rPr>
        <w:t> </w:t>
      </w:r>
      <w:r>
        <w:rPr>
          <w:color w:val="231F20"/>
          <w:spacing w:val="-1"/>
        </w:rPr>
        <w:t>score,</w:t>
      </w:r>
      <w:r>
        <w:rPr/>
      </w:r>
    </w:p>
    <w:p>
      <w:pPr>
        <w:pStyle w:val="BodyText"/>
        <w:spacing w:line="250" w:lineRule="exact"/>
        <w:ind w:right="221"/>
        <w:jc w:val="left"/>
        <w:rPr>
          <w:rFonts w:ascii="Segoe UI Semibold" w:hAnsi="Segoe UI Semibold" w:cs="Segoe UI Semibold" w:eastAsia="Segoe UI Semibold"/>
          <w:sz w:val="11"/>
          <w:szCs w:val="11"/>
        </w:rPr>
      </w:pPr>
      <w:r>
        <w:rPr>
          <w:color w:val="231F20"/>
        </w:rPr>
        <w:t>a</w:t>
      </w:r>
      <w:r>
        <w:rPr>
          <w:color w:val="231F20"/>
          <w:spacing w:val="-3"/>
        </w:rPr>
        <w:t> </w:t>
      </w:r>
      <w:r>
        <w:rPr>
          <w:color w:val="231F20"/>
          <w:spacing w:val="-1"/>
        </w:rPr>
        <w:t>measure</w:t>
      </w:r>
      <w:r>
        <w:rPr>
          <w:color w:val="231F20"/>
          <w:spacing w:val="-3"/>
        </w:rPr>
        <w:t> </w:t>
      </w:r>
      <w:r>
        <w:rPr>
          <w:color w:val="231F20"/>
        </w:rPr>
        <w:t>of</w:t>
      </w:r>
      <w:r>
        <w:rPr>
          <w:color w:val="231F20"/>
          <w:spacing w:val="-2"/>
        </w:rPr>
        <w:t> </w:t>
      </w:r>
      <w:r>
        <w:rPr>
          <w:color w:val="231F20"/>
        </w:rPr>
        <w:t>the</w:t>
      </w:r>
      <w:r>
        <w:rPr>
          <w:color w:val="231F20"/>
          <w:spacing w:val="-4"/>
        </w:rPr>
        <w:t> </w:t>
      </w:r>
      <w:r>
        <w:rPr>
          <w:color w:val="231F20"/>
        </w:rPr>
        <w:t>remoteness</w:t>
      </w:r>
      <w:r>
        <w:rPr>
          <w:color w:val="231F20"/>
          <w:spacing w:val="-4"/>
        </w:rPr>
        <w:t> </w:t>
      </w:r>
      <w:r>
        <w:rPr>
          <w:color w:val="231F20"/>
        </w:rPr>
        <w:t>or</w:t>
      </w:r>
      <w:r>
        <w:rPr>
          <w:color w:val="231F20"/>
          <w:spacing w:val="-3"/>
        </w:rPr>
        <w:t> </w:t>
      </w:r>
      <w:r>
        <w:rPr>
          <w:color w:val="231F20"/>
        </w:rPr>
        <w:t>accessibility</w:t>
      </w:r>
      <w:r>
        <w:rPr>
          <w:color w:val="231F20"/>
          <w:spacing w:val="22"/>
        </w:rPr>
        <w:t> </w:t>
      </w:r>
      <w:r>
        <w:rPr>
          <w:color w:val="231F20"/>
        </w:rPr>
        <w:t>of</w:t>
      </w:r>
      <w:r>
        <w:rPr>
          <w:color w:val="231F20"/>
          <w:spacing w:val="-5"/>
        </w:rPr>
        <w:t> </w:t>
      </w:r>
      <w:r>
        <w:rPr>
          <w:color w:val="231F20"/>
        </w:rPr>
        <w:t>every</w:t>
      </w:r>
      <w:r>
        <w:rPr>
          <w:color w:val="231F20"/>
          <w:spacing w:val="-5"/>
        </w:rPr>
        <w:t> </w:t>
      </w:r>
      <w:r>
        <w:rPr>
          <w:color w:val="231F20"/>
          <w:spacing w:val="-1"/>
        </w:rPr>
        <w:t>location</w:t>
      </w:r>
      <w:r>
        <w:rPr>
          <w:color w:val="231F20"/>
          <w:spacing w:val="-4"/>
        </w:rPr>
        <w:t> </w:t>
      </w:r>
      <w:r>
        <w:rPr>
          <w:color w:val="231F20"/>
          <w:spacing w:val="-1"/>
        </w:rPr>
        <w:t>in</w:t>
      </w:r>
      <w:r>
        <w:rPr>
          <w:color w:val="231F20"/>
          <w:spacing w:val="-5"/>
        </w:rPr>
        <w:t> </w:t>
      </w:r>
      <w:r>
        <w:rPr>
          <w:color w:val="231F20"/>
        </w:rPr>
        <w:t>Australia,</w:t>
      </w:r>
      <w:r>
        <w:rPr>
          <w:color w:val="231F20"/>
          <w:spacing w:val="-5"/>
        </w:rPr>
        <w:t> </w:t>
      </w:r>
      <w:r>
        <w:rPr>
          <w:color w:val="231F20"/>
        </w:rPr>
        <w:t>as</w:t>
      </w:r>
      <w:r>
        <w:rPr>
          <w:color w:val="231F20"/>
          <w:spacing w:val="-5"/>
        </w:rPr>
        <w:t> </w:t>
      </w:r>
      <w:r>
        <w:rPr>
          <w:color w:val="231F20"/>
        </w:rPr>
        <w:t>a</w:t>
      </w:r>
      <w:r>
        <w:rPr>
          <w:color w:val="231F20"/>
          <w:spacing w:val="-5"/>
        </w:rPr>
        <w:t> </w:t>
      </w:r>
      <w:r>
        <w:rPr>
          <w:color w:val="231F20"/>
        </w:rPr>
        <w:t>percentage</w:t>
      </w:r>
      <w:r>
        <w:rPr>
          <w:color w:val="231F20"/>
          <w:spacing w:val="23"/>
          <w:w w:val="99"/>
        </w:rPr>
        <w:t> </w:t>
      </w:r>
      <w:r>
        <w:rPr>
          <w:color w:val="231F20"/>
        </w:rPr>
        <w:t>to</w:t>
      </w:r>
      <w:r>
        <w:rPr>
          <w:color w:val="231F20"/>
          <w:spacing w:val="-5"/>
        </w:rPr>
        <w:t> </w:t>
      </w:r>
      <w:r>
        <w:rPr>
          <w:color w:val="231F20"/>
        </w:rPr>
        <w:t>both</w:t>
      </w:r>
      <w:r>
        <w:rPr>
          <w:color w:val="231F20"/>
          <w:spacing w:val="-5"/>
        </w:rPr>
        <w:t> </w:t>
      </w:r>
      <w:r>
        <w:rPr>
          <w:color w:val="231F20"/>
        </w:rPr>
        <w:t>the</w:t>
      </w:r>
      <w:r>
        <w:rPr>
          <w:color w:val="231F20"/>
          <w:spacing w:val="-6"/>
        </w:rPr>
        <w:t> </w:t>
      </w:r>
      <w:r>
        <w:rPr>
          <w:color w:val="231F20"/>
        </w:rPr>
        <w:t>per</w:t>
      </w:r>
      <w:r>
        <w:rPr>
          <w:color w:val="231F20"/>
          <w:spacing w:val="-4"/>
        </w:rPr>
        <w:t> </w:t>
      </w:r>
      <w:r>
        <w:rPr>
          <w:color w:val="231F20"/>
          <w:spacing w:val="-1"/>
        </w:rPr>
        <w:t>student</w:t>
      </w:r>
      <w:r>
        <w:rPr>
          <w:color w:val="231F20"/>
          <w:spacing w:val="-5"/>
        </w:rPr>
        <w:t> </w:t>
      </w:r>
      <w:r>
        <w:rPr>
          <w:color w:val="231F20"/>
        </w:rPr>
        <w:t>base</w:t>
      </w:r>
      <w:r>
        <w:rPr>
          <w:color w:val="231F20"/>
          <w:spacing w:val="-5"/>
        </w:rPr>
        <w:t> </w:t>
      </w:r>
      <w:r>
        <w:rPr>
          <w:color w:val="231F20"/>
        </w:rPr>
        <w:t>amount</w:t>
      </w:r>
      <w:r>
        <w:rPr>
          <w:color w:val="231F20"/>
          <w:spacing w:val="-6"/>
        </w:rPr>
        <w:t> </w:t>
      </w:r>
      <w:r>
        <w:rPr>
          <w:color w:val="231F20"/>
        </w:rPr>
        <w:t>and</w:t>
      </w:r>
      <w:r>
        <w:rPr>
          <w:color w:val="231F20"/>
          <w:spacing w:val="-5"/>
        </w:rPr>
        <w:t> </w:t>
      </w:r>
      <w:r>
        <w:rPr>
          <w:color w:val="231F20"/>
        </w:rPr>
        <w:t>the</w:t>
      </w:r>
      <w:r>
        <w:rPr>
          <w:color w:val="231F20"/>
          <w:spacing w:val="22"/>
          <w:w w:val="99"/>
        </w:rPr>
        <w:t> </w:t>
      </w:r>
      <w:r>
        <w:rPr>
          <w:color w:val="231F20"/>
          <w:spacing w:val="-1"/>
        </w:rPr>
        <w:t>school's</w:t>
      </w:r>
      <w:r>
        <w:rPr>
          <w:color w:val="231F20"/>
        </w:rPr>
        <w:t> </w:t>
      </w:r>
      <w:r>
        <w:rPr>
          <w:color w:val="231F20"/>
          <w:spacing w:val="-1"/>
        </w:rPr>
        <w:t>size</w:t>
      </w:r>
      <w:r>
        <w:rPr>
          <w:color w:val="231F20"/>
          <w:spacing w:val="1"/>
        </w:rPr>
        <w:t> </w:t>
      </w:r>
      <w:r>
        <w:rPr>
          <w:color w:val="231F20"/>
          <w:spacing w:val="-1"/>
        </w:rPr>
        <w:t>loading.’</w:t>
      </w:r>
      <w:r>
        <w:rPr>
          <w:rFonts w:ascii="Segoe UI Semibold" w:hAnsi="Segoe UI Semibold" w:cs="Segoe UI Semibold" w:eastAsia="Segoe UI Semibold"/>
          <w:b/>
          <w:bCs/>
          <w:color w:val="231F20"/>
          <w:spacing w:val="-1"/>
          <w:position w:val="7"/>
          <w:sz w:val="11"/>
          <w:szCs w:val="11"/>
        </w:rPr>
        <w:t>171</w:t>
      </w:r>
      <w:r>
        <w:rPr>
          <w:rFonts w:ascii="Segoe UI Semibold" w:hAnsi="Segoe UI Semibold" w:cs="Segoe UI Semibold" w:eastAsia="Segoe UI Semibold"/>
          <w:sz w:val="11"/>
          <w:szCs w:val="11"/>
        </w:rPr>
      </w:r>
    </w:p>
    <w:p>
      <w:pPr>
        <w:spacing w:line="240" w:lineRule="auto" w:before="10"/>
        <w:rPr>
          <w:rFonts w:ascii="Segoe UI Semibold" w:hAnsi="Segoe UI Semibold" w:cs="Segoe UI Semibold" w:eastAsia="Segoe UI Semibold"/>
          <w:b/>
          <w:bCs/>
          <w:sz w:val="20"/>
          <w:szCs w:val="20"/>
        </w:rPr>
      </w:pPr>
    </w:p>
    <w:p>
      <w:pPr>
        <w:pStyle w:val="Heading2"/>
        <w:spacing w:line="240" w:lineRule="auto" w:before="0"/>
        <w:ind w:right="0"/>
        <w:jc w:val="left"/>
        <w:rPr>
          <w:b w:val="0"/>
          <w:bCs w:val="0"/>
        </w:rPr>
      </w:pPr>
      <w:bookmarkStart w:name="_TOC_250015" w:id="21"/>
      <w:r>
        <w:rPr>
          <w:color w:val="452A70"/>
          <w:spacing w:val="-1"/>
        </w:rPr>
        <w:t>Age </w:t>
      </w:r>
      <w:r>
        <w:rPr>
          <w:color w:val="452A70"/>
          <w:spacing w:val="-3"/>
        </w:rPr>
        <w:t>of</w:t>
      </w:r>
      <w:r>
        <w:rPr>
          <w:color w:val="452A70"/>
          <w:spacing w:val="-2"/>
        </w:rPr>
        <w:t> </w:t>
      </w:r>
      <w:r>
        <w:rPr>
          <w:color w:val="452A70"/>
          <w:spacing w:val="-1"/>
        </w:rPr>
        <w:t>boarders</w:t>
      </w:r>
      <w:bookmarkEnd w:id="21"/>
      <w:r>
        <w:rPr>
          <w:b w:val="0"/>
        </w:rPr>
      </w:r>
    </w:p>
    <w:p>
      <w:pPr>
        <w:pStyle w:val="BodyText"/>
        <w:spacing w:line="250" w:lineRule="exact" w:before="111"/>
        <w:ind w:right="49"/>
        <w:jc w:val="left"/>
      </w:pPr>
      <w:r>
        <w:rPr>
          <w:rFonts w:ascii="Segoe UI"/>
          <w:color w:val="231F20"/>
        </w:rPr>
        <w:t>A not insignificant number of Aboriginal and </w:t>
      </w:r>
      <w:r>
        <w:rPr>
          <w:color w:val="231F20"/>
          <w:spacing w:val="-5"/>
        </w:rPr>
        <w:t>Torres </w:t>
      </w:r>
      <w:r>
        <w:rPr>
          <w:color w:val="231F20"/>
          <w:spacing w:val="-2"/>
        </w:rPr>
        <w:t>Strait</w:t>
      </w:r>
      <w:r>
        <w:rPr>
          <w:color w:val="231F20"/>
          <w:spacing w:val="-5"/>
        </w:rPr>
        <w:t> </w:t>
      </w:r>
      <w:r>
        <w:rPr>
          <w:color w:val="231F20"/>
          <w:spacing w:val="-1"/>
        </w:rPr>
        <w:t>Islander</w:t>
      </w:r>
      <w:r>
        <w:rPr>
          <w:color w:val="231F20"/>
          <w:spacing w:val="-4"/>
        </w:rPr>
        <w:t> </w:t>
      </w:r>
      <w:r>
        <w:rPr>
          <w:color w:val="231F20"/>
        </w:rPr>
        <w:t>and</w:t>
      </w:r>
      <w:r>
        <w:rPr>
          <w:color w:val="231F20"/>
          <w:spacing w:val="-5"/>
        </w:rPr>
        <w:t> </w:t>
      </w:r>
      <w:r>
        <w:rPr>
          <w:color w:val="231F20"/>
          <w:spacing w:val="-1"/>
        </w:rPr>
        <w:t>mainstream</w:t>
      </w:r>
      <w:r>
        <w:rPr>
          <w:color w:val="231F20"/>
          <w:spacing w:val="-4"/>
        </w:rPr>
        <w:t> </w:t>
      </w:r>
      <w:r>
        <w:rPr>
          <w:color w:val="231F20"/>
        </w:rPr>
        <w:t>boarding</w:t>
      </w:r>
      <w:r>
        <w:rPr>
          <w:color w:val="231F20"/>
          <w:spacing w:val="23"/>
          <w:w w:val="99"/>
        </w:rPr>
        <w:t> </w:t>
      </w:r>
      <w:r>
        <w:rPr>
          <w:color w:val="231F20"/>
        </w:rPr>
        <w:t>providers</w:t>
      </w:r>
      <w:r>
        <w:rPr>
          <w:color w:val="231F20"/>
          <w:spacing w:val="-5"/>
        </w:rPr>
        <w:t> </w:t>
      </w:r>
      <w:r>
        <w:rPr>
          <w:color w:val="231F20"/>
        </w:rPr>
        <w:t>receiving</w:t>
      </w:r>
      <w:r>
        <w:rPr>
          <w:color w:val="231F20"/>
          <w:spacing w:val="-6"/>
        </w:rPr>
        <w:t> </w:t>
      </w:r>
      <w:r>
        <w:rPr>
          <w:color w:val="231F20"/>
        </w:rPr>
        <w:t>ABSTUDY</w:t>
      </w:r>
      <w:r>
        <w:rPr>
          <w:color w:val="231F20"/>
          <w:spacing w:val="-5"/>
        </w:rPr>
        <w:t> </w:t>
      </w:r>
      <w:r>
        <w:rPr>
          <w:color w:val="231F20"/>
          <w:spacing w:val="-1"/>
        </w:rPr>
        <w:t>living</w:t>
      </w:r>
      <w:r>
        <w:rPr>
          <w:color w:val="231F20"/>
          <w:spacing w:val="-4"/>
        </w:rPr>
        <w:t> </w:t>
      </w:r>
      <w:r>
        <w:rPr>
          <w:color w:val="231F20"/>
          <w:spacing w:val="-1"/>
        </w:rPr>
        <w:t>allowance</w:t>
      </w:r>
      <w:r>
        <w:rPr>
          <w:rFonts w:ascii="Segoe UI Semibold"/>
          <w:b/>
          <w:color w:val="231F20"/>
          <w:spacing w:val="-1"/>
          <w:position w:val="7"/>
          <w:sz w:val="11"/>
        </w:rPr>
        <w:t>172</w:t>
      </w:r>
      <w:r>
        <w:rPr>
          <w:rFonts w:ascii="Segoe UI Semibold"/>
          <w:b/>
          <w:color w:val="231F20"/>
          <w:spacing w:val="29"/>
          <w:w w:val="106"/>
          <w:position w:val="7"/>
          <w:sz w:val="11"/>
        </w:rPr>
        <w:t> </w:t>
      </w:r>
      <w:r>
        <w:rPr>
          <w:rFonts w:ascii="Segoe UI"/>
          <w:color w:val="231F20"/>
        </w:rPr>
        <w:t>charge</w:t>
      </w:r>
      <w:r>
        <w:rPr>
          <w:rFonts w:ascii="Segoe UI"/>
          <w:color w:val="231F20"/>
          <w:spacing w:val="-2"/>
        </w:rPr>
        <w:t> </w:t>
      </w:r>
      <w:r>
        <w:rPr>
          <w:rFonts w:ascii="Segoe UI"/>
          <w:color w:val="231F20"/>
        </w:rPr>
        <w:t>differential</w:t>
      </w:r>
      <w:r>
        <w:rPr>
          <w:rFonts w:ascii="Segoe UI"/>
          <w:color w:val="231F20"/>
          <w:spacing w:val="-2"/>
        </w:rPr>
        <w:t> </w:t>
      </w:r>
      <w:r>
        <w:rPr>
          <w:rFonts w:ascii="Segoe UI"/>
          <w:color w:val="231F20"/>
        </w:rPr>
        <w:t>fees</w:t>
      </w:r>
      <w:r>
        <w:rPr>
          <w:rFonts w:ascii="Segoe UI"/>
          <w:color w:val="231F20"/>
          <w:spacing w:val="-1"/>
        </w:rPr>
        <w:t> </w:t>
      </w:r>
      <w:r>
        <w:rPr>
          <w:rFonts w:ascii="Segoe UI"/>
          <w:color w:val="231F20"/>
        </w:rPr>
        <w:t>based</w:t>
      </w:r>
      <w:r>
        <w:rPr>
          <w:rFonts w:ascii="Segoe UI"/>
          <w:color w:val="231F20"/>
          <w:spacing w:val="-2"/>
        </w:rPr>
        <w:t> </w:t>
      </w:r>
      <w:r>
        <w:rPr>
          <w:rFonts w:ascii="Segoe UI"/>
          <w:color w:val="231F20"/>
        </w:rPr>
        <w:t>on</w:t>
      </w:r>
      <w:r>
        <w:rPr>
          <w:rFonts w:ascii="Segoe UI"/>
          <w:color w:val="231F20"/>
          <w:spacing w:val="-1"/>
        </w:rPr>
        <w:t> </w:t>
      </w:r>
      <w:r>
        <w:rPr>
          <w:rFonts w:ascii="Segoe UI"/>
          <w:color w:val="231F20"/>
        </w:rPr>
        <w:t>age,</w:t>
      </w:r>
      <w:r>
        <w:rPr>
          <w:rFonts w:ascii="Segoe UI"/>
          <w:color w:val="231F20"/>
          <w:spacing w:val="-2"/>
        </w:rPr>
        <w:t> </w:t>
      </w:r>
      <w:r>
        <w:rPr>
          <w:rFonts w:ascii="Segoe UI"/>
          <w:color w:val="231F20"/>
        </w:rPr>
        <w:t>usually</w:t>
      </w:r>
      <w:r>
        <w:rPr>
          <w:rFonts w:ascii="Segoe UI"/>
          <w:color w:val="231F20"/>
        </w:rPr>
        <w:t> </w:t>
      </w:r>
      <w:r>
        <w:rPr>
          <w:color w:val="231F20"/>
        </w:rPr>
        <w:t>higher</w:t>
      </w:r>
      <w:r>
        <w:rPr>
          <w:color w:val="231F20"/>
          <w:spacing w:val="-8"/>
        </w:rPr>
        <w:t> </w:t>
      </w:r>
      <w:r>
        <w:rPr>
          <w:color w:val="231F20"/>
        </w:rPr>
        <w:t>for</w:t>
      </w:r>
      <w:r>
        <w:rPr>
          <w:color w:val="231F20"/>
          <w:spacing w:val="-7"/>
        </w:rPr>
        <w:t> </w:t>
      </w:r>
      <w:r>
        <w:rPr>
          <w:color w:val="231F20"/>
        </w:rPr>
        <w:t>older</w:t>
      </w:r>
      <w:r>
        <w:rPr>
          <w:color w:val="231F20"/>
          <w:spacing w:val="-7"/>
        </w:rPr>
        <w:t> </w:t>
      </w:r>
      <w:r>
        <w:rPr>
          <w:color w:val="231F20"/>
        </w:rPr>
        <w:t>boarders.</w:t>
      </w:r>
      <w:r>
        <w:rPr/>
      </w:r>
    </w:p>
    <w:p>
      <w:pPr>
        <w:pStyle w:val="BodyText"/>
        <w:spacing w:line="250" w:lineRule="exact" w:before="113"/>
        <w:ind w:right="63"/>
        <w:jc w:val="left"/>
        <w:rPr>
          <w:rFonts w:ascii="Segoe UI" w:hAnsi="Segoe UI" w:cs="Segoe UI" w:eastAsia="Segoe UI"/>
        </w:rPr>
      </w:pPr>
      <w:r>
        <w:rPr>
          <w:color w:val="231F20"/>
        </w:rPr>
        <w:t>Grant</w:t>
      </w:r>
      <w:r>
        <w:rPr>
          <w:color w:val="231F20"/>
          <w:spacing w:val="-7"/>
        </w:rPr>
        <w:t> </w:t>
      </w:r>
      <w:r>
        <w:rPr>
          <w:color w:val="231F20"/>
        </w:rPr>
        <w:t>Thornton</w:t>
      </w:r>
      <w:r>
        <w:rPr>
          <w:color w:val="231F20"/>
          <w:spacing w:val="-7"/>
        </w:rPr>
        <w:t> </w:t>
      </w:r>
      <w:r>
        <w:rPr>
          <w:color w:val="231F20"/>
        </w:rPr>
        <w:t>found</w:t>
      </w:r>
      <w:r>
        <w:rPr>
          <w:color w:val="231F20"/>
          <w:spacing w:val="-6"/>
        </w:rPr>
        <w:t> </w:t>
      </w:r>
      <w:r>
        <w:rPr>
          <w:color w:val="231F20"/>
        </w:rPr>
        <w:t>no</w:t>
      </w:r>
      <w:r>
        <w:rPr>
          <w:color w:val="231F20"/>
          <w:spacing w:val="-6"/>
        </w:rPr>
        <w:t> </w:t>
      </w:r>
      <w:r>
        <w:rPr>
          <w:color w:val="231F20"/>
        </w:rPr>
        <w:t>reliable</w:t>
      </w:r>
      <w:r>
        <w:rPr>
          <w:color w:val="231F20"/>
          <w:spacing w:val="-7"/>
        </w:rPr>
        <w:t> </w:t>
      </w:r>
      <w:r>
        <w:rPr>
          <w:color w:val="231F20"/>
        </w:rPr>
        <w:t>evidence</w:t>
      </w:r>
      <w:r>
        <w:rPr>
          <w:color w:val="231F20"/>
          <w:spacing w:val="-7"/>
        </w:rPr>
        <w:t> </w:t>
      </w:r>
      <w:r>
        <w:rPr>
          <w:color w:val="231F20"/>
        </w:rPr>
        <w:t>to</w:t>
      </w:r>
      <w:r>
        <w:rPr>
          <w:color w:val="231F20"/>
          <w:w w:val="99"/>
        </w:rPr>
        <w:t> </w:t>
      </w:r>
      <w:r>
        <w:rPr>
          <w:rFonts w:ascii="Segoe UI"/>
          <w:color w:val="231F20"/>
        </w:rPr>
        <w:t>support a finding that age plays a contributing</w:t>
      </w:r>
      <w:r>
        <w:rPr>
          <w:rFonts w:ascii="Segoe UI"/>
          <w:color w:val="231F20"/>
        </w:rPr>
        <w:t> </w:t>
      </w:r>
      <w:r>
        <w:rPr>
          <w:color w:val="231F20"/>
        </w:rPr>
        <w:t>factor</w:t>
      </w:r>
      <w:r>
        <w:rPr>
          <w:color w:val="231F20"/>
          <w:spacing w:val="-4"/>
        </w:rPr>
        <w:t> </w:t>
      </w:r>
      <w:r>
        <w:rPr>
          <w:color w:val="231F20"/>
          <w:spacing w:val="-1"/>
        </w:rPr>
        <w:t>in</w:t>
      </w:r>
      <w:r>
        <w:rPr>
          <w:color w:val="231F20"/>
          <w:spacing w:val="-4"/>
        </w:rPr>
        <w:t> </w:t>
      </w:r>
      <w:r>
        <w:rPr>
          <w:color w:val="231F20"/>
        </w:rPr>
        <w:t>the</w:t>
      </w:r>
      <w:r>
        <w:rPr>
          <w:color w:val="231F20"/>
          <w:spacing w:val="-5"/>
        </w:rPr>
        <w:t> </w:t>
      </w:r>
      <w:r>
        <w:rPr>
          <w:color w:val="231F20"/>
        </w:rPr>
        <w:t>cost</w:t>
      </w:r>
      <w:r>
        <w:rPr>
          <w:color w:val="231F20"/>
          <w:spacing w:val="-5"/>
        </w:rPr>
        <w:t> </w:t>
      </w:r>
      <w:r>
        <w:rPr>
          <w:color w:val="231F20"/>
        </w:rPr>
        <w:t>of</w:t>
      </w:r>
      <w:r>
        <w:rPr>
          <w:color w:val="231F20"/>
          <w:spacing w:val="-3"/>
        </w:rPr>
        <w:t> </w:t>
      </w:r>
      <w:r>
        <w:rPr>
          <w:color w:val="231F20"/>
        </w:rPr>
        <w:t>boarding</w:t>
      </w:r>
      <w:r>
        <w:rPr>
          <w:color w:val="231F20"/>
          <w:spacing w:val="-5"/>
        </w:rPr>
        <w:t> </w:t>
      </w:r>
      <w:r>
        <w:rPr>
          <w:color w:val="231F20"/>
        </w:rPr>
        <w:t>or</w:t>
      </w:r>
      <w:r>
        <w:rPr>
          <w:color w:val="231F20"/>
          <w:spacing w:val="-4"/>
        </w:rPr>
        <w:t> </w:t>
      </w:r>
      <w:r>
        <w:rPr>
          <w:color w:val="231F20"/>
          <w:spacing w:val="-1"/>
        </w:rPr>
        <w:t>support</w:t>
      </w:r>
      <w:r>
        <w:rPr>
          <w:color w:val="231F20"/>
          <w:spacing w:val="21"/>
          <w:w w:val="99"/>
        </w:rPr>
        <w:t> </w:t>
      </w:r>
      <w:r>
        <w:rPr>
          <w:color w:val="231F20"/>
          <w:spacing w:val="-1"/>
        </w:rPr>
        <w:t>services</w:t>
      </w:r>
      <w:r>
        <w:rPr>
          <w:color w:val="231F20"/>
          <w:spacing w:val="-5"/>
        </w:rPr>
        <w:t> </w:t>
      </w:r>
      <w:r>
        <w:rPr>
          <w:color w:val="231F20"/>
        </w:rPr>
        <w:t>for</w:t>
      </w:r>
      <w:r>
        <w:rPr>
          <w:color w:val="231F20"/>
          <w:spacing w:val="-4"/>
        </w:rPr>
        <w:t> </w:t>
      </w:r>
      <w:r>
        <w:rPr>
          <w:color w:val="231F20"/>
        </w:rPr>
        <w:t>Aboriginal</w:t>
      </w:r>
      <w:r>
        <w:rPr>
          <w:color w:val="231F20"/>
          <w:spacing w:val="-4"/>
        </w:rPr>
        <w:t> </w:t>
      </w:r>
      <w:r>
        <w:rPr>
          <w:color w:val="231F20"/>
        </w:rPr>
        <w:t>and</w:t>
      </w:r>
      <w:r>
        <w:rPr>
          <w:color w:val="231F20"/>
          <w:spacing w:val="-5"/>
        </w:rPr>
        <w:t> 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20"/>
          <w:w w:val="99"/>
        </w:rPr>
        <w:t> </w:t>
      </w:r>
      <w:r>
        <w:rPr>
          <w:rFonts w:ascii="Segoe UI"/>
          <w:color w:val="231F20"/>
        </w:rPr>
        <w:t>students. This finding was supported by most</w:t>
      </w:r>
      <w:r>
        <w:rPr>
          <w:rFonts w:ascii="Segoe UI"/>
        </w:rPr>
      </w:r>
    </w:p>
    <w:p>
      <w:pPr>
        <w:pStyle w:val="BodyText"/>
        <w:spacing w:line="250" w:lineRule="exact"/>
        <w:ind w:right="85"/>
        <w:jc w:val="left"/>
        <w:rPr>
          <w:rFonts w:ascii="Segoe UI Semibold" w:hAnsi="Segoe UI Semibold" w:cs="Segoe UI Semibold" w:eastAsia="Segoe UI Semibold"/>
          <w:sz w:val="11"/>
          <w:szCs w:val="11"/>
        </w:rPr>
      </w:pPr>
      <w:r>
        <w:rPr>
          <w:color w:val="231F20"/>
        </w:rPr>
        <w:t>of</w:t>
      </w:r>
      <w:r>
        <w:rPr>
          <w:color w:val="231F20"/>
          <w:spacing w:val="-5"/>
        </w:rPr>
        <w:t> </w:t>
      </w:r>
      <w:r>
        <w:rPr>
          <w:color w:val="231F20"/>
        </w:rPr>
        <w:t>the</w:t>
      </w:r>
      <w:r>
        <w:rPr>
          <w:color w:val="231F20"/>
          <w:spacing w:val="-6"/>
        </w:rPr>
        <w:t> </w:t>
      </w:r>
      <w:r>
        <w:rPr>
          <w:color w:val="231F20"/>
        </w:rPr>
        <w:t>consultations</w:t>
      </w:r>
      <w:r>
        <w:rPr>
          <w:color w:val="231F20"/>
          <w:spacing w:val="-6"/>
        </w:rPr>
        <w:t> </w:t>
      </w:r>
      <w:r>
        <w:rPr>
          <w:color w:val="231F20"/>
        </w:rPr>
        <w:t>with</w:t>
      </w:r>
      <w:r>
        <w:rPr>
          <w:color w:val="231F20"/>
          <w:spacing w:val="-6"/>
        </w:rPr>
        <w:t> </w:t>
      </w:r>
      <w:r>
        <w:rPr>
          <w:color w:val="231F20"/>
        </w:rPr>
        <w:t>boarding</w:t>
      </w:r>
      <w:r>
        <w:rPr>
          <w:color w:val="231F20"/>
          <w:spacing w:val="-6"/>
        </w:rPr>
        <w:t> </w:t>
      </w:r>
      <w:r>
        <w:rPr>
          <w:color w:val="231F20"/>
        </w:rPr>
        <w:t>providers</w:t>
      </w:r>
      <w:r>
        <w:rPr>
          <w:color w:val="231F20"/>
          <w:w w:val="99"/>
        </w:rPr>
        <w:t> </w:t>
      </w:r>
      <w:r>
        <w:rPr>
          <w:color w:val="231F20"/>
        </w:rPr>
        <w:t>and</w:t>
      </w:r>
      <w:r>
        <w:rPr>
          <w:color w:val="231F20"/>
          <w:spacing w:val="-6"/>
        </w:rPr>
        <w:t> </w:t>
      </w:r>
      <w:r>
        <w:rPr>
          <w:color w:val="231F20"/>
        </w:rPr>
        <w:t>peak</w:t>
      </w:r>
      <w:r>
        <w:rPr>
          <w:color w:val="231F20"/>
          <w:spacing w:val="-6"/>
        </w:rPr>
        <w:t> </w:t>
      </w:r>
      <w:r>
        <w:rPr>
          <w:color w:val="231F20"/>
        </w:rPr>
        <w:t>bodies.</w:t>
      </w:r>
      <w:r>
        <w:rPr>
          <w:color w:val="231F20"/>
          <w:spacing w:val="-5"/>
        </w:rPr>
        <w:t> </w:t>
      </w:r>
      <w:r>
        <w:rPr>
          <w:color w:val="231F20"/>
        </w:rPr>
        <w:t>This</w:t>
      </w:r>
      <w:r>
        <w:rPr>
          <w:color w:val="231F20"/>
          <w:spacing w:val="-6"/>
        </w:rPr>
        <w:t> </w:t>
      </w:r>
      <w:r>
        <w:rPr>
          <w:color w:val="231F20"/>
        </w:rPr>
        <w:t>would</w:t>
      </w:r>
      <w:r>
        <w:rPr>
          <w:color w:val="231F20"/>
          <w:spacing w:val="-5"/>
        </w:rPr>
        <w:t> </w:t>
      </w:r>
      <w:r>
        <w:rPr>
          <w:color w:val="231F20"/>
        </w:rPr>
        <w:t>tend</w:t>
      </w:r>
      <w:r>
        <w:rPr>
          <w:color w:val="231F20"/>
          <w:spacing w:val="-6"/>
        </w:rPr>
        <w:t> </w:t>
      </w:r>
      <w:r>
        <w:rPr>
          <w:color w:val="231F20"/>
        </w:rPr>
        <w:t>to</w:t>
      </w:r>
      <w:r>
        <w:rPr>
          <w:color w:val="231F20"/>
          <w:spacing w:val="-5"/>
        </w:rPr>
        <w:t> </w:t>
      </w:r>
      <w:r>
        <w:rPr>
          <w:color w:val="231F20"/>
          <w:spacing w:val="-1"/>
        </w:rPr>
        <w:t>support</w:t>
      </w:r>
      <w:r>
        <w:rPr>
          <w:color w:val="231F20"/>
          <w:spacing w:val="20"/>
          <w:w w:val="99"/>
        </w:rPr>
        <w:t> </w:t>
      </w:r>
      <w:r>
        <w:rPr>
          <w:color w:val="231F20"/>
        </w:rPr>
        <w:t>the</w:t>
      </w:r>
      <w:r>
        <w:rPr>
          <w:color w:val="231F20"/>
          <w:spacing w:val="-5"/>
        </w:rPr>
        <w:t> </w:t>
      </w:r>
      <w:r>
        <w:rPr>
          <w:color w:val="231F20"/>
        </w:rPr>
        <w:t>combination</w:t>
      </w:r>
      <w:r>
        <w:rPr>
          <w:color w:val="231F20"/>
          <w:spacing w:val="-5"/>
        </w:rPr>
        <w:t> </w:t>
      </w:r>
      <w:r>
        <w:rPr>
          <w:color w:val="231F20"/>
        </w:rPr>
        <w:t>of</w:t>
      </w:r>
      <w:r>
        <w:rPr>
          <w:color w:val="231F20"/>
          <w:spacing w:val="-4"/>
        </w:rPr>
        <w:t> </w:t>
      </w:r>
      <w:r>
        <w:rPr>
          <w:color w:val="231F20"/>
        </w:rPr>
        <w:t>the</w:t>
      </w:r>
      <w:r>
        <w:rPr>
          <w:color w:val="231F20"/>
          <w:spacing w:val="-5"/>
        </w:rPr>
        <w:t> </w:t>
      </w:r>
      <w:r>
        <w:rPr>
          <w:color w:val="231F20"/>
        </w:rPr>
        <w:t>ABSTUDY</w:t>
      </w:r>
      <w:r>
        <w:rPr>
          <w:color w:val="231F20"/>
          <w:spacing w:val="-5"/>
        </w:rPr>
        <w:t> </w:t>
      </w:r>
      <w:r>
        <w:rPr>
          <w:color w:val="231F20"/>
        </w:rPr>
        <w:t>under</w:t>
      </w:r>
      <w:r>
        <w:rPr>
          <w:color w:val="231F20"/>
          <w:spacing w:val="-4"/>
        </w:rPr>
        <w:t> </w:t>
      </w:r>
      <w:r>
        <w:rPr>
          <w:color w:val="231F20"/>
          <w:spacing w:val="-1"/>
        </w:rPr>
        <w:t>16</w:t>
      </w:r>
      <w:r>
        <w:rPr>
          <w:color w:val="231F20"/>
          <w:spacing w:val="19"/>
        </w:rPr>
        <w:t> </w:t>
      </w:r>
      <w:r>
        <w:rPr>
          <w:color w:val="231F20"/>
          <w:spacing w:val="-1"/>
        </w:rPr>
        <w:t>supplement</w:t>
      </w:r>
      <w:r>
        <w:rPr>
          <w:color w:val="231F20"/>
          <w:spacing w:val="-3"/>
        </w:rPr>
        <w:t> </w:t>
      </w:r>
      <w:r>
        <w:rPr>
          <w:color w:val="231F20"/>
        </w:rPr>
        <w:t>with</w:t>
      </w:r>
      <w:r>
        <w:rPr>
          <w:color w:val="231F20"/>
          <w:spacing w:val="-4"/>
        </w:rPr>
        <w:t> </w:t>
      </w:r>
      <w:r>
        <w:rPr>
          <w:color w:val="231F20"/>
        </w:rPr>
        <w:t>the</w:t>
      </w:r>
      <w:r>
        <w:rPr>
          <w:color w:val="231F20"/>
          <w:spacing w:val="-4"/>
        </w:rPr>
        <w:t> </w:t>
      </w:r>
      <w:r>
        <w:rPr>
          <w:color w:val="231F20"/>
        </w:rPr>
        <w:t>ABSTUDY</w:t>
      </w:r>
      <w:r>
        <w:rPr>
          <w:color w:val="231F20"/>
          <w:spacing w:val="-4"/>
        </w:rPr>
        <w:t> </w:t>
      </w:r>
      <w:r>
        <w:rPr>
          <w:color w:val="231F20"/>
          <w:spacing w:val="-1"/>
        </w:rPr>
        <w:t>living</w:t>
      </w:r>
      <w:r>
        <w:rPr>
          <w:color w:val="231F20"/>
          <w:spacing w:val="-3"/>
        </w:rPr>
        <w:t> </w:t>
      </w:r>
      <w:r>
        <w:rPr>
          <w:color w:val="231F20"/>
        </w:rPr>
        <w:t>allowance</w:t>
      </w:r>
      <w:r>
        <w:rPr>
          <w:color w:val="231F20"/>
          <w:spacing w:val="23"/>
          <w:w w:val="99"/>
        </w:rPr>
        <w:t> </w:t>
      </w:r>
      <w:r>
        <w:rPr>
          <w:color w:val="231F20"/>
        </w:rPr>
        <w:t>to</w:t>
      </w:r>
      <w:r>
        <w:rPr>
          <w:color w:val="231F20"/>
          <w:spacing w:val="-4"/>
        </w:rPr>
        <w:t> </w:t>
      </w:r>
      <w:r>
        <w:rPr>
          <w:color w:val="231F20"/>
        </w:rPr>
        <w:t>create</w:t>
      </w:r>
      <w:r>
        <w:rPr>
          <w:color w:val="231F20"/>
          <w:spacing w:val="-3"/>
        </w:rPr>
        <w:t> </w:t>
      </w:r>
      <w:r>
        <w:rPr>
          <w:color w:val="231F20"/>
        </w:rPr>
        <w:t>consistent</w:t>
      </w:r>
      <w:r>
        <w:rPr>
          <w:color w:val="231F20"/>
          <w:spacing w:val="-5"/>
        </w:rPr>
        <w:t> </w:t>
      </w:r>
      <w:r>
        <w:rPr>
          <w:color w:val="231F20"/>
        </w:rPr>
        <w:t>ABSTUDY</w:t>
      </w:r>
      <w:r>
        <w:rPr>
          <w:color w:val="231F20"/>
          <w:spacing w:val="-4"/>
        </w:rPr>
        <w:t> </w:t>
      </w:r>
      <w:r>
        <w:rPr>
          <w:color w:val="231F20"/>
          <w:spacing w:val="-1"/>
        </w:rPr>
        <w:t>living</w:t>
      </w:r>
      <w:r>
        <w:rPr>
          <w:color w:val="231F20"/>
          <w:spacing w:val="-3"/>
        </w:rPr>
        <w:t> </w:t>
      </w:r>
      <w:r>
        <w:rPr>
          <w:color w:val="231F20"/>
        </w:rPr>
        <w:t>allowances</w:t>
      </w:r>
      <w:r>
        <w:rPr>
          <w:color w:val="231F20"/>
          <w:spacing w:val="21"/>
          <w:w w:val="99"/>
        </w:rPr>
        <w:t> </w:t>
      </w:r>
      <w:r>
        <w:rPr>
          <w:color w:val="231F20"/>
        </w:rPr>
        <w:t>for</w:t>
      </w:r>
      <w:r>
        <w:rPr>
          <w:color w:val="231F20"/>
          <w:spacing w:val="-2"/>
        </w:rPr>
        <w:t> </w:t>
      </w:r>
      <w:r>
        <w:rPr>
          <w:color w:val="231F20"/>
        </w:rPr>
        <w:t>boarding</w:t>
      </w:r>
      <w:r>
        <w:rPr>
          <w:color w:val="231F20"/>
          <w:spacing w:val="-3"/>
        </w:rPr>
        <w:t> </w:t>
      </w:r>
      <w:r>
        <w:rPr>
          <w:color w:val="231F20"/>
          <w:spacing w:val="-1"/>
        </w:rPr>
        <w:t>students</w:t>
      </w:r>
      <w:r>
        <w:rPr>
          <w:color w:val="231F20"/>
          <w:spacing w:val="-2"/>
        </w:rPr>
        <w:t> </w:t>
      </w:r>
      <w:r>
        <w:rPr>
          <w:color w:val="231F20"/>
        </w:rPr>
        <w:t>from</w:t>
      </w:r>
      <w:r>
        <w:rPr>
          <w:color w:val="231F20"/>
          <w:spacing w:val="-2"/>
        </w:rPr>
        <w:t> </w:t>
      </w:r>
      <w:r>
        <w:rPr>
          <w:color w:val="231F20"/>
        </w:rPr>
        <w:t>1</w:t>
      </w:r>
      <w:r>
        <w:rPr>
          <w:color w:val="231F20"/>
          <w:spacing w:val="-2"/>
        </w:rPr>
        <w:t> </w:t>
      </w:r>
      <w:r>
        <w:rPr>
          <w:color w:val="231F20"/>
        </w:rPr>
        <w:t>January</w:t>
      </w:r>
      <w:r>
        <w:rPr>
          <w:color w:val="231F20"/>
          <w:spacing w:val="-2"/>
        </w:rPr>
        <w:t> </w:t>
      </w:r>
      <w:r>
        <w:rPr>
          <w:color w:val="231F20"/>
          <w:spacing w:val="-1"/>
        </w:rPr>
        <w:t>2019.</w:t>
      </w:r>
      <w:r>
        <w:rPr>
          <w:rFonts w:ascii="Segoe UI Semibold"/>
          <w:b/>
          <w:color w:val="231F20"/>
          <w:spacing w:val="-1"/>
          <w:position w:val="7"/>
          <w:sz w:val="11"/>
        </w:rPr>
        <w:t>173</w:t>
      </w:r>
      <w:r>
        <w:rPr>
          <w:rFonts w:ascii="Segoe UI Semibold"/>
          <w:sz w:val="11"/>
        </w:rPr>
      </w:r>
    </w:p>
    <w:p>
      <w:pPr>
        <w:pStyle w:val="BodyText"/>
        <w:spacing w:line="250" w:lineRule="exact" w:before="113"/>
        <w:ind w:right="196"/>
        <w:jc w:val="left"/>
      </w:pPr>
      <w:r>
        <w:rPr>
          <w:color w:val="231F20"/>
        </w:rPr>
        <w:t>All</w:t>
      </w:r>
      <w:r>
        <w:rPr>
          <w:color w:val="231F20"/>
          <w:spacing w:val="-9"/>
        </w:rPr>
        <w:t> </w:t>
      </w:r>
      <w:r>
        <w:rPr>
          <w:color w:val="231F20"/>
        </w:rPr>
        <w:t>boarding</w:t>
      </w:r>
      <w:r>
        <w:rPr>
          <w:color w:val="231F20"/>
          <w:spacing w:val="-8"/>
        </w:rPr>
        <w:t> </w:t>
      </w:r>
      <w:r>
        <w:rPr>
          <w:color w:val="231F20"/>
        </w:rPr>
        <w:t>providers</w:t>
      </w:r>
      <w:r>
        <w:rPr>
          <w:color w:val="231F20"/>
          <w:spacing w:val="-8"/>
        </w:rPr>
        <w:t> </w:t>
      </w:r>
      <w:r>
        <w:rPr>
          <w:color w:val="231F20"/>
        </w:rPr>
        <w:t>highlighted</w:t>
      </w:r>
      <w:r>
        <w:rPr>
          <w:color w:val="231F20"/>
          <w:spacing w:val="-9"/>
        </w:rPr>
        <w:t> </w:t>
      </w:r>
      <w:r>
        <w:rPr>
          <w:color w:val="231F20"/>
        </w:rPr>
        <w:t>the</w:t>
      </w:r>
      <w:r>
        <w:rPr>
          <w:color w:val="231F20"/>
          <w:w w:val="99"/>
        </w:rPr>
        <w:t> </w:t>
      </w:r>
      <w:r>
        <w:rPr>
          <w:color w:val="231F20"/>
          <w:spacing w:val="-1"/>
        </w:rPr>
        <w:t>importance</w:t>
      </w:r>
      <w:r>
        <w:rPr>
          <w:color w:val="231F20"/>
          <w:spacing w:val="-4"/>
        </w:rPr>
        <w:t> </w:t>
      </w:r>
      <w:r>
        <w:rPr>
          <w:color w:val="231F20"/>
        </w:rPr>
        <w:t>and</w:t>
      </w:r>
      <w:r>
        <w:rPr>
          <w:color w:val="231F20"/>
          <w:spacing w:val="-5"/>
        </w:rPr>
        <w:t> </w:t>
      </w:r>
      <w:r>
        <w:rPr>
          <w:color w:val="231F20"/>
        </w:rPr>
        <w:t>cost</w:t>
      </w:r>
      <w:r>
        <w:rPr>
          <w:color w:val="231F20"/>
          <w:spacing w:val="-5"/>
        </w:rPr>
        <w:t> </w:t>
      </w:r>
      <w:r>
        <w:rPr>
          <w:color w:val="231F20"/>
        </w:rPr>
        <w:t>of</w:t>
      </w:r>
      <w:r>
        <w:rPr>
          <w:color w:val="231F20"/>
          <w:spacing w:val="-4"/>
        </w:rPr>
        <w:t> </w:t>
      </w:r>
      <w:r>
        <w:rPr>
          <w:color w:val="231F20"/>
          <w:spacing w:val="-1"/>
        </w:rPr>
        <w:t>successfully</w:t>
      </w:r>
      <w:r>
        <w:rPr>
          <w:color w:val="231F20"/>
          <w:spacing w:val="21"/>
        </w:rPr>
        <w:t> </w:t>
      </w:r>
      <w:r>
        <w:rPr>
          <w:color w:val="231F20"/>
        </w:rPr>
        <w:t>transitioning</w:t>
      </w:r>
      <w:r>
        <w:rPr>
          <w:color w:val="231F20"/>
          <w:spacing w:val="-8"/>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7"/>
        </w:rPr>
        <w:t> </w:t>
      </w:r>
      <w:r>
        <w:rPr>
          <w:color w:val="231F20"/>
          <w:spacing w:val="-2"/>
        </w:rPr>
        <w:t>Strait</w:t>
      </w:r>
      <w:r>
        <w:rPr>
          <w:color w:val="231F20"/>
          <w:spacing w:val="29"/>
          <w:w w:val="99"/>
        </w:rPr>
        <w:t> </w:t>
      </w:r>
      <w:r>
        <w:rPr>
          <w:color w:val="231F20"/>
          <w:spacing w:val="-1"/>
        </w:rPr>
        <w:t>Islander</w:t>
      </w:r>
      <w:r>
        <w:rPr>
          <w:color w:val="231F20"/>
          <w:spacing w:val="-7"/>
        </w:rPr>
        <w:t> </w:t>
      </w:r>
      <w:r>
        <w:rPr>
          <w:color w:val="231F20"/>
          <w:spacing w:val="-1"/>
        </w:rPr>
        <w:t>students</w:t>
      </w:r>
      <w:r>
        <w:rPr>
          <w:color w:val="231F20"/>
          <w:spacing w:val="-6"/>
        </w:rPr>
        <w:t> </w:t>
      </w:r>
      <w:r>
        <w:rPr>
          <w:color w:val="231F20"/>
          <w:spacing w:val="-1"/>
        </w:rPr>
        <w:t>into</w:t>
      </w:r>
      <w:r>
        <w:rPr>
          <w:color w:val="231F20"/>
          <w:spacing w:val="-6"/>
        </w:rPr>
        <w:t> </w:t>
      </w:r>
      <w:r>
        <w:rPr>
          <w:color w:val="231F20"/>
        </w:rPr>
        <w:t>boarding.</w:t>
      </w:r>
      <w:r>
        <w:rPr>
          <w:color w:val="231F20"/>
          <w:spacing w:val="-7"/>
        </w:rPr>
        <w:t> </w:t>
      </w:r>
      <w:r>
        <w:rPr>
          <w:color w:val="231F20"/>
        </w:rPr>
        <w:t>The</w:t>
      </w:r>
      <w:r>
        <w:rPr>
          <w:color w:val="231F20"/>
          <w:spacing w:val="-6"/>
        </w:rPr>
        <w:t> </w:t>
      </w:r>
      <w:r>
        <w:rPr>
          <w:color w:val="231F20"/>
        </w:rPr>
        <w:t>providers</w:t>
      </w:r>
      <w:r>
        <w:rPr>
          <w:color w:val="231F20"/>
          <w:spacing w:val="24"/>
          <w:w w:val="99"/>
        </w:rPr>
        <w:t> </w:t>
      </w:r>
      <w:r>
        <w:rPr>
          <w:color w:val="231F20"/>
        </w:rPr>
        <w:t>have</w:t>
      </w:r>
      <w:r>
        <w:rPr>
          <w:color w:val="231F20"/>
          <w:spacing w:val="-5"/>
        </w:rPr>
        <w:t> </w:t>
      </w:r>
      <w:r>
        <w:rPr>
          <w:color w:val="231F20"/>
        </w:rPr>
        <w:t>extensive</w:t>
      </w:r>
      <w:r>
        <w:rPr>
          <w:color w:val="231F20"/>
          <w:spacing w:val="-4"/>
        </w:rPr>
        <w:t> </w:t>
      </w:r>
      <w:r>
        <w:rPr>
          <w:color w:val="231F20"/>
          <w:spacing w:val="-1"/>
        </w:rPr>
        <w:t>support</w:t>
      </w:r>
      <w:r>
        <w:rPr>
          <w:color w:val="231F20"/>
          <w:spacing w:val="-3"/>
        </w:rPr>
        <w:t> </w:t>
      </w:r>
      <w:r>
        <w:rPr>
          <w:color w:val="231F20"/>
          <w:spacing w:val="-1"/>
        </w:rPr>
        <w:t>services</w:t>
      </w:r>
      <w:r>
        <w:rPr>
          <w:color w:val="231F20"/>
          <w:spacing w:val="-3"/>
        </w:rPr>
        <w:t> </w:t>
      </w:r>
      <w:r>
        <w:rPr>
          <w:color w:val="231F20"/>
          <w:spacing w:val="-1"/>
        </w:rPr>
        <w:t>in</w:t>
      </w:r>
      <w:r>
        <w:rPr>
          <w:color w:val="231F20"/>
          <w:spacing w:val="-3"/>
        </w:rPr>
        <w:t> </w:t>
      </w:r>
      <w:r>
        <w:rPr>
          <w:color w:val="231F20"/>
        </w:rPr>
        <w:t>place</w:t>
      </w:r>
      <w:r>
        <w:rPr/>
      </w:r>
    </w:p>
    <w:p>
      <w:pPr>
        <w:pStyle w:val="BodyText"/>
        <w:spacing w:line="250" w:lineRule="exact"/>
        <w:ind w:right="63"/>
        <w:jc w:val="left"/>
      </w:pPr>
      <w:r>
        <w:rPr>
          <w:color w:val="231F20"/>
        </w:rPr>
        <w:t>for</w:t>
      </w:r>
      <w:r>
        <w:rPr>
          <w:color w:val="231F20"/>
          <w:spacing w:val="-4"/>
        </w:rPr>
        <w:t> </w:t>
      </w:r>
      <w:r>
        <w:rPr>
          <w:color w:val="231F20"/>
          <w:spacing w:val="-1"/>
        </w:rPr>
        <w:t>students</w:t>
      </w:r>
      <w:r>
        <w:rPr>
          <w:color w:val="231F20"/>
          <w:spacing w:val="-3"/>
        </w:rPr>
        <w:t> </w:t>
      </w:r>
      <w:r>
        <w:rPr>
          <w:color w:val="231F20"/>
        </w:rPr>
        <w:t>and</w:t>
      </w:r>
      <w:r>
        <w:rPr>
          <w:color w:val="231F20"/>
          <w:spacing w:val="-5"/>
        </w:rPr>
        <w:t> </w:t>
      </w:r>
      <w:r>
        <w:rPr>
          <w:color w:val="231F20"/>
        </w:rPr>
        <w:t>families</w:t>
      </w:r>
      <w:r>
        <w:rPr>
          <w:color w:val="231F20"/>
          <w:spacing w:val="-4"/>
        </w:rPr>
        <w:t> </w:t>
      </w:r>
      <w:r>
        <w:rPr>
          <w:color w:val="231F20"/>
        </w:rPr>
        <w:t>to</w:t>
      </w:r>
      <w:r>
        <w:rPr>
          <w:color w:val="231F20"/>
          <w:spacing w:val="-4"/>
        </w:rPr>
        <w:t> </w:t>
      </w:r>
      <w:r>
        <w:rPr>
          <w:color w:val="231F20"/>
        </w:rPr>
        <w:t>ameliorate</w:t>
      </w:r>
      <w:r>
        <w:rPr>
          <w:color w:val="231F20"/>
          <w:spacing w:val="22"/>
          <w:w w:val="99"/>
        </w:rPr>
        <w:t> </w:t>
      </w:r>
      <w:r>
        <w:rPr>
          <w:color w:val="231F20"/>
        </w:rPr>
        <w:t>homesickness</w:t>
      </w:r>
      <w:r>
        <w:rPr>
          <w:color w:val="231F20"/>
          <w:spacing w:val="-6"/>
        </w:rPr>
        <w:t> </w:t>
      </w:r>
      <w:r>
        <w:rPr>
          <w:color w:val="231F20"/>
        </w:rPr>
        <w:t>and</w:t>
      </w:r>
      <w:r>
        <w:rPr>
          <w:color w:val="231F20"/>
          <w:spacing w:val="-6"/>
        </w:rPr>
        <w:t> </w:t>
      </w:r>
      <w:r>
        <w:rPr>
          <w:color w:val="231F20"/>
        </w:rPr>
        <w:t>cultural</w:t>
      </w:r>
      <w:r>
        <w:rPr>
          <w:color w:val="231F20"/>
          <w:spacing w:val="-6"/>
        </w:rPr>
        <w:t> </w:t>
      </w:r>
      <w:r>
        <w:rPr>
          <w:color w:val="231F20"/>
        </w:rPr>
        <w:t>disconnect,</w:t>
      </w:r>
      <w:r>
        <w:rPr>
          <w:color w:val="231F20"/>
          <w:spacing w:val="-6"/>
        </w:rPr>
        <w:t> </w:t>
      </w:r>
      <w:r>
        <w:rPr>
          <w:color w:val="231F20"/>
        </w:rPr>
        <w:t>and</w:t>
      </w:r>
      <w:r>
        <w:rPr>
          <w:color w:val="231F20"/>
          <w:spacing w:val="-6"/>
        </w:rPr>
        <w:t> </w:t>
      </w:r>
      <w:r>
        <w:rPr>
          <w:color w:val="231F20"/>
        </w:rPr>
        <w:t>to</w:t>
      </w:r>
      <w:r>
        <w:rPr>
          <w:color w:val="231F20"/>
          <w:w w:val="99"/>
        </w:rPr>
        <w:t> </w:t>
      </w:r>
      <w:r>
        <w:rPr>
          <w:color w:val="231F20"/>
        </w:rPr>
        <w:t>address</w:t>
      </w:r>
      <w:r>
        <w:rPr>
          <w:color w:val="231F20"/>
          <w:spacing w:val="-7"/>
        </w:rPr>
        <w:t> </w:t>
      </w:r>
      <w:r>
        <w:rPr>
          <w:color w:val="231F20"/>
        </w:rPr>
        <w:t>the</w:t>
      </w:r>
      <w:r>
        <w:rPr>
          <w:color w:val="231F20"/>
          <w:spacing w:val="-6"/>
        </w:rPr>
        <w:t> </w:t>
      </w:r>
      <w:r>
        <w:rPr>
          <w:color w:val="231F20"/>
        </w:rPr>
        <w:t>high</w:t>
      </w:r>
      <w:r>
        <w:rPr>
          <w:color w:val="231F20"/>
          <w:spacing w:val="-6"/>
        </w:rPr>
        <w:t> </w:t>
      </w:r>
      <w:r>
        <w:rPr>
          <w:color w:val="231F20"/>
          <w:spacing w:val="-1"/>
        </w:rPr>
        <w:t>levels</w:t>
      </w:r>
      <w:r>
        <w:rPr>
          <w:color w:val="231F20"/>
          <w:spacing w:val="-5"/>
        </w:rPr>
        <w:t> </w:t>
      </w:r>
      <w:r>
        <w:rPr>
          <w:color w:val="231F20"/>
        </w:rPr>
        <w:t>of</w:t>
      </w:r>
      <w:r>
        <w:rPr>
          <w:color w:val="231F20"/>
          <w:spacing w:val="-5"/>
        </w:rPr>
        <w:t> </w:t>
      </w:r>
      <w:r>
        <w:rPr>
          <w:color w:val="231F20"/>
        </w:rPr>
        <w:t>disadvantage</w:t>
      </w:r>
      <w:r>
        <w:rPr>
          <w:color w:val="231F20"/>
          <w:spacing w:val="-6"/>
        </w:rPr>
        <w:t> </w:t>
      </w:r>
      <w:r>
        <w:rPr>
          <w:color w:val="231F20"/>
        </w:rPr>
        <w:t>and</w:t>
      </w:r>
      <w:r>
        <w:rPr>
          <w:color w:val="231F20"/>
          <w:spacing w:val="21"/>
          <w:w w:val="99"/>
        </w:rPr>
        <w:t> </w:t>
      </w:r>
      <w:r>
        <w:rPr>
          <w:color w:val="231F20"/>
        </w:rPr>
        <w:t>trauma</w:t>
      </w:r>
      <w:r>
        <w:rPr>
          <w:color w:val="231F20"/>
          <w:spacing w:val="-9"/>
        </w:rPr>
        <w:t> </w:t>
      </w:r>
      <w:r>
        <w:rPr>
          <w:color w:val="231F20"/>
        </w:rPr>
        <w:t>backgrounds</w:t>
      </w:r>
      <w:r>
        <w:rPr>
          <w:color w:val="231F20"/>
          <w:spacing w:val="-9"/>
        </w:rPr>
        <w:t> </w:t>
      </w:r>
      <w:r>
        <w:rPr>
          <w:color w:val="231F20"/>
        </w:rPr>
        <w:t>within</w:t>
      </w:r>
      <w:r>
        <w:rPr>
          <w:color w:val="231F20"/>
          <w:spacing w:val="-8"/>
        </w:rPr>
        <w:t> </w:t>
      </w:r>
      <w:r>
        <w:rPr>
          <w:color w:val="231F20"/>
        </w:rPr>
        <w:t>the</w:t>
      </w:r>
      <w:r>
        <w:rPr>
          <w:color w:val="231F20"/>
          <w:spacing w:val="-9"/>
        </w:rPr>
        <w:t> </w:t>
      </w:r>
      <w:r>
        <w:rPr>
          <w:color w:val="231F20"/>
        </w:rPr>
        <w:t>Aboriginal</w:t>
      </w:r>
      <w:r>
        <w:rPr>
          <w:color w:val="231F20"/>
          <w:spacing w:val="-8"/>
        </w:rPr>
        <w:t> </w:t>
      </w:r>
      <w:r>
        <w:rPr>
          <w:color w:val="231F20"/>
        </w:rPr>
        <w:t>and</w:t>
      </w:r>
      <w:r>
        <w:rPr>
          <w:color w:val="231F20"/>
          <w:w w:val="99"/>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boarder</w:t>
      </w:r>
      <w:r>
        <w:rPr>
          <w:color w:val="231F20"/>
          <w:spacing w:val="-6"/>
        </w:rPr>
        <w:t> </w:t>
      </w:r>
      <w:r>
        <w:rPr>
          <w:color w:val="231F20"/>
        </w:rPr>
        <w:t>cohort.</w:t>
      </w:r>
      <w:r>
        <w:rPr/>
      </w:r>
    </w:p>
    <w:p>
      <w:pPr>
        <w:pStyle w:val="BodyText"/>
        <w:spacing w:line="250" w:lineRule="exact" w:before="62"/>
        <w:ind w:right="422"/>
        <w:jc w:val="left"/>
      </w:pPr>
      <w:r>
        <w:rPr/>
        <w:br w:type="column"/>
      </w:r>
      <w:r>
        <w:rPr>
          <w:color w:val="231F20"/>
        </w:rPr>
        <w:t>These</w:t>
      </w:r>
      <w:r>
        <w:rPr>
          <w:color w:val="231F20"/>
          <w:spacing w:val="-5"/>
        </w:rPr>
        <w:t> </w:t>
      </w:r>
      <w:r>
        <w:rPr>
          <w:color w:val="231F20"/>
          <w:spacing w:val="-1"/>
        </w:rPr>
        <w:t>support</w:t>
      </w:r>
      <w:r>
        <w:rPr>
          <w:color w:val="231F20"/>
          <w:spacing w:val="-4"/>
        </w:rPr>
        <w:t> </w:t>
      </w:r>
      <w:r>
        <w:rPr>
          <w:color w:val="231F20"/>
          <w:spacing w:val="-1"/>
        </w:rPr>
        <w:t>services</w:t>
      </w:r>
      <w:r>
        <w:rPr>
          <w:color w:val="231F20"/>
          <w:spacing w:val="-4"/>
        </w:rPr>
        <w:t> </w:t>
      </w:r>
      <w:r>
        <w:rPr>
          <w:color w:val="231F20"/>
        </w:rPr>
        <w:t>are</w:t>
      </w:r>
      <w:r>
        <w:rPr>
          <w:color w:val="231F20"/>
          <w:spacing w:val="-4"/>
        </w:rPr>
        <w:t> </w:t>
      </w:r>
      <w:r>
        <w:rPr>
          <w:color w:val="231F20"/>
        </w:rPr>
        <w:t>expensive.</w:t>
      </w:r>
      <w:r>
        <w:rPr>
          <w:color w:val="231F20"/>
          <w:spacing w:val="-5"/>
        </w:rPr>
        <w:t> </w:t>
      </w:r>
      <w:r>
        <w:rPr>
          <w:color w:val="231F20"/>
        </w:rPr>
        <w:t>Most</w:t>
      </w:r>
      <w:r>
        <w:rPr>
          <w:color w:val="231F20"/>
          <w:spacing w:val="23"/>
        </w:rPr>
        <w:t> </w:t>
      </w:r>
      <w:r>
        <w:rPr>
          <w:color w:val="231F20"/>
          <w:spacing w:val="-1"/>
        </w:rPr>
        <w:t>students</w:t>
      </w:r>
      <w:r>
        <w:rPr>
          <w:color w:val="231F20"/>
          <w:spacing w:val="-5"/>
        </w:rPr>
        <w:t> </w:t>
      </w:r>
      <w:r>
        <w:rPr>
          <w:color w:val="231F20"/>
        </w:rPr>
        <w:t>transitioning</w:t>
      </w:r>
      <w:r>
        <w:rPr>
          <w:color w:val="231F20"/>
          <w:spacing w:val="-6"/>
        </w:rPr>
        <w:t> </w:t>
      </w:r>
      <w:r>
        <w:rPr>
          <w:color w:val="231F20"/>
        </w:rPr>
        <w:t>to</w:t>
      </w:r>
      <w:r>
        <w:rPr>
          <w:color w:val="231F20"/>
          <w:spacing w:val="-5"/>
        </w:rPr>
        <w:t> </w:t>
      </w:r>
      <w:r>
        <w:rPr>
          <w:color w:val="231F20"/>
        </w:rPr>
        <w:t>boarding</w:t>
      </w:r>
      <w:r>
        <w:rPr>
          <w:color w:val="231F20"/>
          <w:spacing w:val="-6"/>
        </w:rPr>
        <w:t> </w:t>
      </w:r>
      <w:r>
        <w:rPr>
          <w:color w:val="231F20"/>
        </w:rPr>
        <w:t>are</w:t>
      </w:r>
      <w:r>
        <w:rPr>
          <w:color w:val="231F20"/>
          <w:spacing w:val="-5"/>
        </w:rPr>
        <w:t> </w:t>
      </w:r>
      <w:r>
        <w:rPr>
          <w:color w:val="231F20"/>
          <w:spacing w:val="-1"/>
        </w:rPr>
        <w:t>in</w:t>
      </w:r>
      <w:r>
        <w:rPr>
          <w:color w:val="231F20"/>
          <w:spacing w:val="21"/>
        </w:rPr>
        <w:t> </w:t>
      </w:r>
      <w:r>
        <w:rPr>
          <w:color w:val="231F20"/>
        </w:rPr>
        <w:t>the</w:t>
      </w:r>
      <w:r>
        <w:rPr>
          <w:color w:val="231F20"/>
          <w:spacing w:val="-6"/>
        </w:rPr>
        <w:t> </w:t>
      </w:r>
      <w:r>
        <w:rPr>
          <w:color w:val="231F20"/>
        </w:rPr>
        <w:t>younger</w:t>
      </w:r>
      <w:r>
        <w:rPr>
          <w:color w:val="231F20"/>
          <w:spacing w:val="-6"/>
        </w:rPr>
        <w:t> </w:t>
      </w:r>
      <w:r>
        <w:rPr>
          <w:color w:val="231F20"/>
        </w:rPr>
        <w:t>age</w:t>
      </w:r>
      <w:r>
        <w:rPr>
          <w:color w:val="231F20"/>
          <w:spacing w:val="-5"/>
        </w:rPr>
        <w:t> </w:t>
      </w:r>
      <w:r>
        <w:rPr>
          <w:color w:val="231F20"/>
        </w:rPr>
        <w:t>groups</w:t>
      </w:r>
      <w:r>
        <w:rPr>
          <w:color w:val="231F20"/>
          <w:spacing w:val="-6"/>
        </w:rPr>
        <w:t> </w:t>
      </w:r>
      <w:r>
        <w:rPr>
          <w:color w:val="231F20"/>
        </w:rPr>
        <w:t>but</w:t>
      </w:r>
      <w:r>
        <w:rPr>
          <w:color w:val="231F20"/>
          <w:spacing w:val="-5"/>
        </w:rPr>
        <w:t> </w:t>
      </w:r>
      <w:r>
        <w:rPr>
          <w:color w:val="231F20"/>
        </w:rPr>
        <w:t>older</w:t>
      </w:r>
      <w:r>
        <w:rPr>
          <w:color w:val="231F20"/>
          <w:spacing w:val="-5"/>
        </w:rPr>
        <w:t> </w:t>
      </w:r>
      <w:r>
        <w:rPr>
          <w:color w:val="231F20"/>
          <w:spacing w:val="-1"/>
        </w:rPr>
        <w:t>students</w:t>
      </w:r>
      <w:r>
        <w:rPr>
          <w:color w:val="231F20"/>
          <w:spacing w:val="20"/>
        </w:rPr>
        <w:t> </w:t>
      </w:r>
      <w:r>
        <w:rPr>
          <w:rFonts w:ascii="Segoe UI"/>
          <w:color w:val="231F20"/>
        </w:rPr>
        <w:t>also transition to boarding for the first time</w:t>
      </w:r>
      <w:r>
        <w:rPr>
          <w:rFonts w:ascii="Segoe UI"/>
          <w:color w:val="231F20"/>
        </w:rPr>
        <w:t> </w:t>
      </w:r>
      <w:r>
        <w:rPr>
          <w:color w:val="231F20"/>
        </w:rPr>
        <w:t>and</w:t>
      </w:r>
      <w:r>
        <w:rPr>
          <w:color w:val="231F20"/>
          <w:spacing w:val="-6"/>
        </w:rPr>
        <w:t> </w:t>
      </w:r>
      <w:r>
        <w:rPr>
          <w:color w:val="231F20"/>
        </w:rPr>
        <w:t>access</w:t>
      </w:r>
      <w:r>
        <w:rPr>
          <w:color w:val="231F20"/>
          <w:spacing w:val="-5"/>
        </w:rPr>
        <w:t> </w:t>
      </w:r>
      <w:r>
        <w:rPr>
          <w:color w:val="231F20"/>
        </w:rPr>
        <w:t>transition</w:t>
      </w:r>
      <w:r>
        <w:rPr>
          <w:color w:val="231F20"/>
          <w:spacing w:val="-5"/>
        </w:rPr>
        <w:t> </w:t>
      </w:r>
      <w:r>
        <w:rPr>
          <w:color w:val="231F20"/>
          <w:spacing w:val="-1"/>
        </w:rPr>
        <w:t>support</w:t>
      </w:r>
      <w:r>
        <w:rPr>
          <w:color w:val="231F20"/>
          <w:spacing w:val="-5"/>
        </w:rPr>
        <w:t> </w:t>
      </w:r>
      <w:r>
        <w:rPr>
          <w:color w:val="231F20"/>
          <w:spacing w:val="-1"/>
        </w:rPr>
        <w:t>services.</w:t>
      </w:r>
      <w:r>
        <w:rPr>
          <w:color w:val="231F20"/>
          <w:spacing w:val="-3"/>
        </w:rPr>
        <w:t> </w:t>
      </w:r>
      <w:r>
        <w:rPr>
          <w:color w:val="231F20"/>
        </w:rPr>
        <w:t>The</w:t>
      </w:r>
      <w:r>
        <w:rPr>
          <w:color w:val="231F20"/>
          <w:spacing w:val="23"/>
          <w:w w:val="99"/>
        </w:rPr>
        <w:t> </w:t>
      </w:r>
      <w:r>
        <w:rPr>
          <w:color w:val="231F20"/>
        </w:rPr>
        <w:t>cost</w:t>
      </w:r>
      <w:r>
        <w:rPr>
          <w:color w:val="231F20"/>
          <w:spacing w:val="-4"/>
        </w:rPr>
        <w:t> </w:t>
      </w:r>
      <w:r>
        <w:rPr>
          <w:color w:val="231F20"/>
        </w:rPr>
        <w:t>of</w:t>
      </w:r>
      <w:r>
        <w:rPr>
          <w:color w:val="231F20"/>
          <w:spacing w:val="-2"/>
        </w:rPr>
        <w:t> </w:t>
      </w:r>
      <w:r>
        <w:rPr>
          <w:color w:val="231F20"/>
        </w:rPr>
        <w:t>these</w:t>
      </w:r>
      <w:r>
        <w:rPr>
          <w:color w:val="231F20"/>
          <w:spacing w:val="-4"/>
        </w:rPr>
        <w:t> </w:t>
      </w:r>
      <w:r>
        <w:rPr>
          <w:color w:val="231F20"/>
          <w:spacing w:val="-1"/>
        </w:rPr>
        <w:t>services</w:t>
      </w:r>
      <w:r>
        <w:rPr>
          <w:color w:val="231F20"/>
          <w:spacing w:val="-2"/>
        </w:rPr>
        <w:t> </w:t>
      </w:r>
      <w:r>
        <w:rPr>
          <w:color w:val="231F20"/>
        </w:rPr>
        <w:t>though</w:t>
      </w:r>
      <w:r>
        <w:rPr>
          <w:color w:val="231F20"/>
          <w:spacing w:val="-3"/>
        </w:rPr>
        <w:t> </w:t>
      </w:r>
      <w:r>
        <w:rPr>
          <w:color w:val="231F20"/>
        </w:rPr>
        <w:t>are</w:t>
      </w:r>
      <w:r>
        <w:rPr>
          <w:color w:val="231F20"/>
          <w:spacing w:val="-4"/>
        </w:rPr>
        <w:t> </w:t>
      </w:r>
      <w:r>
        <w:rPr>
          <w:color w:val="231F20"/>
        </w:rPr>
        <w:t>a</w:t>
      </w:r>
      <w:r>
        <w:rPr>
          <w:color w:val="231F20"/>
          <w:spacing w:val="-2"/>
        </w:rPr>
        <w:t> </w:t>
      </w:r>
      <w:r>
        <w:rPr>
          <w:color w:val="231F20"/>
        </w:rPr>
        <w:t>factor</w:t>
      </w:r>
      <w:r>
        <w:rPr>
          <w:color w:val="231F20"/>
          <w:spacing w:val="-2"/>
        </w:rPr>
        <w:t> </w:t>
      </w:r>
      <w:r>
        <w:rPr>
          <w:color w:val="231F20"/>
        </w:rPr>
        <w:t>of</w:t>
      </w:r>
      <w:r>
        <w:rPr/>
      </w:r>
    </w:p>
    <w:p>
      <w:pPr>
        <w:pStyle w:val="BodyText"/>
        <w:spacing w:line="242" w:lineRule="exact"/>
        <w:ind w:right="0"/>
        <w:jc w:val="left"/>
        <w:rPr>
          <w:rFonts w:ascii="Segoe UI" w:hAnsi="Segoe UI" w:cs="Segoe UI" w:eastAsia="Segoe UI"/>
        </w:rPr>
      </w:pPr>
      <w:r>
        <w:rPr>
          <w:rFonts w:ascii="Segoe UI"/>
          <w:color w:val="231F20"/>
        </w:rPr>
        <w:t>transitioning to boarding for the first time or to</w:t>
      </w:r>
      <w:r>
        <w:rPr>
          <w:rFonts w:ascii="Segoe UI"/>
        </w:rPr>
      </w:r>
    </w:p>
    <w:p>
      <w:pPr>
        <w:pStyle w:val="BodyText"/>
        <w:spacing w:line="258" w:lineRule="exact"/>
        <w:ind w:right="0"/>
        <w:jc w:val="left"/>
      </w:pPr>
      <w:r>
        <w:rPr>
          <w:color w:val="231F20"/>
        </w:rPr>
        <w:t>a</w:t>
      </w:r>
      <w:r>
        <w:rPr>
          <w:color w:val="231F20"/>
          <w:spacing w:val="-6"/>
        </w:rPr>
        <w:t> </w:t>
      </w:r>
      <w:r>
        <w:rPr>
          <w:color w:val="231F20"/>
        </w:rPr>
        <w:t>new</w:t>
      </w:r>
      <w:r>
        <w:rPr>
          <w:color w:val="231F20"/>
          <w:spacing w:val="-5"/>
        </w:rPr>
        <w:t> </w:t>
      </w:r>
      <w:r>
        <w:rPr>
          <w:color w:val="231F20"/>
        </w:rPr>
        <w:t>boarding</w:t>
      </w:r>
      <w:r>
        <w:rPr>
          <w:color w:val="231F20"/>
          <w:spacing w:val="-6"/>
        </w:rPr>
        <w:t> </w:t>
      </w:r>
      <w:r>
        <w:rPr>
          <w:color w:val="231F20"/>
        </w:rPr>
        <w:t>provider,</w:t>
      </w:r>
      <w:r>
        <w:rPr>
          <w:color w:val="231F20"/>
          <w:spacing w:val="-6"/>
        </w:rPr>
        <w:t> </w:t>
      </w:r>
      <w:r>
        <w:rPr>
          <w:color w:val="231F20"/>
        </w:rPr>
        <w:t>and</w:t>
      </w:r>
      <w:r>
        <w:rPr>
          <w:color w:val="231F20"/>
          <w:spacing w:val="-6"/>
        </w:rPr>
        <w:t> </w:t>
      </w:r>
      <w:r>
        <w:rPr>
          <w:color w:val="231F20"/>
        </w:rPr>
        <w:t>not</w:t>
      </w:r>
      <w:r>
        <w:rPr>
          <w:color w:val="231F20"/>
          <w:spacing w:val="-5"/>
        </w:rPr>
        <w:t> </w:t>
      </w:r>
      <w:r>
        <w:rPr>
          <w:color w:val="231F20"/>
        </w:rPr>
        <w:t>age.</w:t>
      </w:r>
      <w:r>
        <w:rPr/>
      </w:r>
    </w:p>
    <w:p>
      <w:pPr>
        <w:spacing w:line="240" w:lineRule="auto" w:before="10"/>
        <w:rPr>
          <w:rFonts w:ascii="Segoe UI" w:hAnsi="Segoe UI" w:cs="Segoe UI" w:eastAsia="Segoe UI"/>
          <w:sz w:val="20"/>
          <w:szCs w:val="20"/>
        </w:rPr>
      </w:pPr>
    </w:p>
    <w:p>
      <w:pPr>
        <w:pStyle w:val="Heading2"/>
        <w:spacing w:line="240" w:lineRule="auto" w:before="0"/>
        <w:ind w:right="0"/>
        <w:jc w:val="left"/>
        <w:rPr>
          <w:b w:val="0"/>
          <w:bCs w:val="0"/>
        </w:rPr>
      </w:pPr>
      <w:bookmarkStart w:name="_TOC_250014" w:id="22"/>
      <w:r>
        <w:rPr>
          <w:color w:val="452A70"/>
        </w:rPr>
        <w:t>Special</w:t>
      </w:r>
      <w:r>
        <w:rPr>
          <w:color w:val="452A70"/>
          <w:spacing w:val="-2"/>
        </w:rPr>
        <w:t> </w:t>
      </w:r>
      <w:r>
        <w:rPr>
          <w:color w:val="452A70"/>
          <w:spacing w:val="-1"/>
        </w:rPr>
        <w:t>assistance</w:t>
      </w:r>
      <w:r>
        <w:rPr>
          <w:color w:val="452A70"/>
        </w:rPr>
        <w:t> schools</w:t>
      </w:r>
      <w:bookmarkEnd w:id="22"/>
      <w:r>
        <w:rPr>
          <w:b w:val="0"/>
        </w:rPr>
      </w:r>
    </w:p>
    <w:p>
      <w:pPr>
        <w:pStyle w:val="BodyText"/>
        <w:spacing w:line="250" w:lineRule="exact" w:before="111"/>
        <w:ind w:right="722"/>
        <w:jc w:val="left"/>
      </w:pPr>
      <w:r>
        <w:rPr>
          <w:color w:val="231F20"/>
          <w:spacing w:val="-1"/>
        </w:rPr>
        <w:t>Special</w:t>
      </w:r>
      <w:r>
        <w:rPr>
          <w:color w:val="231F20"/>
          <w:spacing w:val="1"/>
        </w:rPr>
        <w:t> </w:t>
      </w:r>
      <w:r>
        <w:rPr>
          <w:color w:val="231F20"/>
        </w:rPr>
        <w:t>assistance</w:t>
      </w:r>
      <w:r>
        <w:rPr>
          <w:color w:val="231F20"/>
          <w:spacing w:val="1"/>
        </w:rPr>
        <w:t> </w:t>
      </w:r>
      <w:r>
        <w:rPr>
          <w:color w:val="231F20"/>
          <w:spacing w:val="-1"/>
        </w:rPr>
        <w:t>schools</w:t>
      </w:r>
      <w:r>
        <w:rPr>
          <w:color w:val="231F20"/>
          <w:spacing w:val="1"/>
        </w:rPr>
        <w:t> </w:t>
      </w:r>
      <w:r>
        <w:rPr>
          <w:color w:val="231F20"/>
          <w:spacing w:val="-1"/>
        </w:rPr>
        <w:t>(SAS)</w:t>
      </w:r>
      <w:r>
        <w:rPr>
          <w:rFonts w:ascii="Segoe UI Semibold"/>
          <w:b/>
          <w:color w:val="231F20"/>
          <w:spacing w:val="-1"/>
          <w:position w:val="7"/>
          <w:sz w:val="11"/>
        </w:rPr>
        <w:t>174</w:t>
      </w:r>
      <w:r>
        <w:rPr>
          <w:rFonts w:ascii="Segoe UI Semibold"/>
          <w:b/>
          <w:color w:val="231F20"/>
          <w:spacing w:val="26"/>
          <w:position w:val="7"/>
          <w:sz w:val="11"/>
        </w:rPr>
        <w:t> </w:t>
      </w:r>
      <w:r>
        <w:rPr>
          <w:color w:val="231F20"/>
        </w:rPr>
        <w:t>play</w:t>
      </w:r>
      <w:r>
        <w:rPr>
          <w:color w:val="231F20"/>
          <w:spacing w:val="28"/>
          <w:w w:val="99"/>
        </w:rPr>
        <w:t> </w:t>
      </w:r>
      <w:r>
        <w:rPr>
          <w:color w:val="231F20"/>
        </w:rPr>
        <w:t>an</w:t>
      </w:r>
      <w:r>
        <w:rPr>
          <w:color w:val="231F20"/>
          <w:spacing w:val="-4"/>
        </w:rPr>
        <w:t> </w:t>
      </w:r>
      <w:r>
        <w:rPr>
          <w:color w:val="231F20"/>
          <w:spacing w:val="-1"/>
        </w:rPr>
        <w:t>important</w:t>
      </w:r>
      <w:r>
        <w:rPr>
          <w:color w:val="231F20"/>
          <w:spacing w:val="-3"/>
        </w:rPr>
        <w:t> </w:t>
      </w:r>
      <w:r>
        <w:rPr>
          <w:color w:val="231F20"/>
        </w:rPr>
        <w:t>role</w:t>
      </w:r>
      <w:r>
        <w:rPr>
          <w:color w:val="231F20"/>
          <w:spacing w:val="-4"/>
        </w:rPr>
        <w:t> </w:t>
      </w:r>
      <w:r>
        <w:rPr>
          <w:color w:val="231F20"/>
          <w:spacing w:val="-1"/>
        </w:rPr>
        <w:t>in</w:t>
      </w:r>
      <w:r>
        <w:rPr>
          <w:color w:val="231F20"/>
          <w:spacing w:val="-3"/>
        </w:rPr>
        <w:t> </w:t>
      </w:r>
      <w:r>
        <w:rPr>
          <w:color w:val="231F20"/>
          <w:spacing w:val="-1"/>
        </w:rPr>
        <w:t>meeting</w:t>
      </w:r>
      <w:r>
        <w:rPr>
          <w:color w:val="231F20"/>
          <w:spacing w:val="-3"/>
        </w:rPr>
        <w:t> </w:t>
      </w:r>
      <w:r>
        <w:rPr>
          <w:color w:val="231F20"/>
        </w:rPr>
        <w:t>the</w:t>
      </w:r>
      <w:r>
        <w:rPr>
          <w:color w:val="231F20"/>
          <w:spacing w:val="-4"/>
        </w:rPr>
        <w:t> </w:t>
      </w:r>
      <w:r>
        <w:rPr>
          <w:color w:val="231F20"/>
        </w:rPr>
        <w:t>needs</w:t>
      </w:r>
      <w:r>
        <w:rPr>
          <w:color w:val="231F20"/>
          <w:spacing w:val="24"/>
        </w:rPr>
        <w:t> </w:t>
      </w:r>
      <w:r>
        <w:rPr>
          <w:color w:val="231F20"/>
        </w:rPr>
        <w:t>of</w:t>
      </w:r>
      <w:r>
        <w:rPr>
          <w:color w:val="231F20"/>
          <w:spacing w:val="-4"/>
        </w:rPr>
        <w:t> </w:t>
      </w:r>
      <w:r>
        <w:rPr>
          <w:color w:val="231F20"/>
          <w:spacing w:val="-1"/>
        </w:rPr>
        <w:t>students</w:t>
      </w:r>
      <w:r>
        <w:rPr>
          <w:color w:val="231F20"/>
          <w:spacing w:val="-4"/>
        </w:rPr>
        <w:t> </w:t>
      </w:r>
      <w:r>
        <w:rPr>
          <w:color w:val="231F20"/>
        </w:rPr>
        <w:t>that</w:t>
      </w:r>
      <w:r>
        <w:rPr>
          <w:color w:val="231F20"/>
          <w:spacing w:val="-5"/>
        </w:rPr>
        <w:t> </w:t>
      </w:r>
      <w:r>
        <w:rPr>
          <w:color w:val="231F20"/>
        </w:rPr>
        <w:t>have</w:t>
      </w:r>
      <w:r>
        <w:rPr>
          <w:color w:val="231F20"/>
          <w:spacing w:val="-4"/>
        </w:rPr>
        <w:t> </w:t>
      </w:r>
      <w:r>
        <w:rPr>
          <w:color w:val="231F20"/>
        </w:rPr>
        <w:t>had</w:t>
      </w:r>
      <w:r>
        <w:rPr>
          <w:color w:val="231F20"/>
          <w:spacing w:val="-4"/>
        </w:rPr>
        <w:t> </w:t>
      </w:r>
      <w:r>
        <w:rPr>
          <w:color w:val="231F20"/>
        </w:rPr>
        <w:t>a</w:t>
      </w:r>
      <w:r>
        <w:rPr>
          <w:color w:val="231F20"/>
          <w:spacing w:val="-4"/>
        </w:rPr>
        <w:t> </w:t>
      </w:r>
      <w:r>
        <w:rPr>
          <w:color w:val="231F20"/>
        </w:rPr>
        <w:t>disrupted</w:t>
      </w:r>
      <w:r>
        <w:rPr/>
      </w:r>
    </w:p>
    <w:p>
      <w:pPr>
        <w:pStyle w:val="BodyText"/>
        <w:spacing w:line="250" w:lineRule="exact"/>
        <w:ind w:right="445"/>
        <w:jc w:val="left"/>
      </w:pPr>
      <w:r>
        <w:rPr>
          <w:color w:val="231F20"/>
        </w:rPr>
        <w:t>education</w:t>
      </w:r>
      <w:r>
        <w:rPr>
          <w:color w:val="231F20"/>
          <w:spacing w:val="-8"/>
        </w:rPr>
        <w:t> </w:t>
      </w:r>
      <w:r>
        <w:rPr>
          <w:color w:val="231F20"/>
        </w:rPr>
        <w:t>due</w:t>
      </w:r>
      <w:r>
        <w:rPr>
          <w:color w:val="231F20"/>
          <w:spacing w:val="-8"/>
        </w:rPr>
        <w:t> </w:t>
      </w:r>
      <w:r>
        <w:rPr>
          <w:color w:val="231F20"/>
        </w:rPr>
        <w:t>to</w:t>
      </w:r>
      <w:r>
        <w:rPr>
          <w:color w:val="231F20"/>
          <w:spacing w:val="-6"/>
        </w:rPr>
        <w:t> </w:t>
      </w:r>
      <w:r>
        <w:rPr>
          <w:color w:val="231F20"/>
        </w:rPr>
        <w:t>disadvantage.</w:t>
      </w:r>
      <w:r>
        <w:rPr>
          <w:color w:val="231F20"/>
          <w:spacing w:val="-8"/>
        </w:rPr>
        <w:t> </w:t>
      </w:r>
      <w:r>
        <w:rPr>
          <w:color w:val="231F20"/>
        </w:rPr>
        <w:t>A</w:t>
      </w:r>
      <w:r>
        <w:rPr>
          <w:color w:val="231F20"/>
          <w:spacing w:val="-7"/>
        </w:rPr>
        <w:t> </w:t>
      </w:r>
      <w:r>
        <w:rPr>
          <w:color w:val="231F20"/>
        </w:rPr>
        <w:t>number</w:t>
      </w:r>
      <w:r>
        <w:rPr>
          <w:color w:val="231F20"/>
          <w:w w:val="99"/>
        </w:rPr>
        <w:t> </w:t>
      </w:r>
      <w:r>
        <w:rPr>
          <w:color w:val="231F20"/>
        </w:rPr>
        <w:t>of</w:t>
      </w:r>
      <w:r>
        <w:rPr>
          <w:color w:val="231F20"/>
          <w:spacing w:val="-4"/>
        </w:rPr>
        <w:t> </w:t>
      </w:r>
      <w:r>
        <w:rPr>
          <w:color w:val="231F20"/>
        </w:rPr>
        <w:t>new</w:t>
      </w:r>
      <w:r>
        <w:rPr>
          <w:color w:val="231F20"/>
          <w:spacing w:val="-4"/>
        </w:rPr>
        <w:t> </w:t>
      </w:r>
      <w:r>
        <w:rPr>
          <w:color w:val="231F20"/>
          <w:spacing w:val="-1"/>
        </w:rPr>
        <w:t>small</w:t>
      </w:r>
      <w:r>
        <w:rPr>
          <w:color w:val="231F20"/>
          <w:spacing w:val="-3"/>
        </w:rPr>
        <w:t> </w:t>
      </w:r>
      <w:r>
        <w:rPr>
          <w:color w:val="231F20"/>
          <w:spacing w:val="-1"/>
        </w:rPr>
        <w:t>scale</w:t>
      </w:r>
      <w:r>
        <w:rPr>
          <w:color w:val="231F20"/>
          <w:spacing w:val="-4"/>
        </w:rPr>
        <w:t> </w:t>
      </w:r>
      <w:r>
        <w:rPr>
          <w:color w:val="231F20"/>
          <w:spacing w:val="-1"/>
        </w:rPr>
        <w:t>SAS</w:t>
      </w:r>
      <w:r>
        <w:rPr>
          <w:color w:val="231F20"/>
          <w:spacing w:val="-4"/>
        </w:rPr>
        <w:t> </w:t>
      </w:r>
      <w:r>
        <w:rPr>
          <w:color w:val="231F20"/>
        </w:rPr>
        <w:t>boarding</w:t>
      </w:r>
      <w:r>
        <w:rPr>
          <w:color w:val="231F20"/>
          <w:spacing w:val="-4"/>
        </w:rPr>
        <w:t> </w:t>
      </w:r>
      <w:r>
        <w:rPr>
          <w:color w:val="231F20"/>
        </w:rPr>
        <w:t>providers</w:t>
      </w:r>
      <w:r>
        <w:rPr>
          <w:color w:val="231F20"/>
          <w:spacing w:val="24"/>
          <w:w w:val="99"/>
        </w:rPr>
        <w:t> </w:t>
      </w:r>
      <w:r>
        <w:rPr>
          <w:color w:val="231F20"/>
          <w:spacing w:val="-1"/>
        </w:rPr>
        <w:t>specialising</w:t>
      </w:r>
      <w:r>
        <w:rPr>
          <w:color w:val="231F20"/>
          <w:spacing w:val="-3"/>
        </w:rPr>
        <w:t> </w:t>
      </w:r>
      <w:r>
        <w:rPr>
          <w:color w:val="231F20"/>
          <w:spacing w:val="-1"/>
        </w:rPr>
        <w:t>in</w:t>
      </w:r>
      <w:r>
        <w:rPr>
          <w:color w:val="231F20"/>
          <w:spacing w:val="-3"/>
        </w:rPr>
        <w:t> </w:t>
      </w:r>
      <w:r>
        <w:rPr>
          <w:color w:val="231F20"/>
        </w:rPr>
        <w:t>Aboriginal</w:t>
      </w:r>
      <w:r>
        <w:rPr>
          <w:color w:val="231F20"/>
          <w:spacing w:val="-3"/>
        </w:rPr>
        <w:t> </w:t>
      </w:r>
      <w:r>
        <w:rPr>
          <w:color w:val="231F20"/>
        </w:rPr>
        <w:t>and</w:t>
      </w:r>
      <w:r>
        <w:rPr>
          <w:color w:val="231F20"/>
          <w:spacing w:val="-4"/>
        </w:rPr>
        <w:t> </w:t>
      </w:r>
      <w:r>
        <w:rPr>
          <w:color w:val="231F20"/>
          <w:spacing w:val="-5"/>
        </w:rPr>
        <w:t>Torres</w:t>
      </w:r>
      <w:r>
        <w:rPr>
          <w:color w:val="231F20"/>
          <w:spacing w:val="-3"/>
        </w:rPr>
        <w:t> </w:t>
      </w:r>
      <w:r>
        <w:rPr>
          <w:color w:val="231F20"/>
          <w:spacing w:val="-2"/>
        </w:rPr>
        <w:t>Strait</w:t>
      </w:r>
      <w:r>
        <w:rPr>
          <w:color w:val="231F20"/>
          <w:spacing w:val="23"/>
          <w:w w:val="99"/>
        </w:rPr>
        <w:t> </w:t>
      </w:r>
      <w:r>
        <w:rPr>
          <w:color w:val="231F20"/>
          <w:spacing w:val="-1"/>
        </w:rPr>
        <w:t>Islander</w:t>
      </w:r>
      <w:r>
        <w:rPr>
          <w:color w:val="231F20"/>
          <w:spacing w:val="-7"/>
        </w:rPr>
        <w:t> </w:t>
      </w:r>
      <w:r>
        <w:rPr>
          <w:color w:val="231F20"/>
        </w:rPr>
        <w:t>boarding</w:t>
      </w:r>
      <w:r>
        <w:rPr>
          <w:color w:val="231F20"/>
          <w:spacing w:val="-7"/>
        </w:rPr>
        <w:t> </w:t>
      </w:r>
      <w:r>
        <w:rPr>
          <w:color w:val="231F20"/>
        </w:rPr>
        <w:t>have</w:t>
      </w:r>
      <w:r>
        <w:rPr>
          <w:color w:val="231F20"/>
          <w:spacing w:val="-7"/>
        </w:rPr>
        <w:t> </w:t>
      </w:r>
      <w:r>
        <w:rPr>
          <w:color w:val="231F20"/>
        </w:rPr>
        <w:t>opened</w:t>
      </w:r>
      <w:r>
        <w:rPr>
          <w:color w:val="231F20"/>
          <w:spacing w:val="-8"/>
        </w:rPr>
        <w:t> </w:t>
      </w:r>
      <w:r>
        <w:rPr>
          <w:color w:val="231F20"/>
          <w:spacing w:val="-1"/>
        </w:rPr>
        <w:t>in</w:t>
      </w:r>
      <w:r>
        <w:rPr>
          <w:color w:val="231F20"/>
          <w:spacing w:val="-6"/>
        </w:rPr>
        <w:t> </w:t>
      </w:r>
      <w:r>
        <w:rPr>
          <w:color w:val="231F20"/>
        </w:rPr>
        <w:t>recent</w:t>
      </w:r>
      <w:r>
        <w:rPr>
          <w:color w:val="231F20"/>
          <w:spacing w:val="23"/>
          <w:w w:val="99"/>
        </w:rPr>
        <w:t> </w:t>
      </w:r>
      <w:r>
        <w:rPr>
          <w:color w:val="231F20"/>
        </w:rPr>
        <w:t>years,</w:t>
      </w:r>
      <w:r>
        <w:rPr>
          <w:color w:val="231F20"/>
          <w:spacing w:val="-5"/>
        </w:rPr>
        <w:t> </w:t>
      </w:r>
      <w:r>
        <w:rPr>
          <w:color w:val="231F20"/>
          <w:spacing w:val="-1"/>
        </w:rPr>
        <w:t>such</w:t>
      </w:r>
      <w:r>
        <w:rPr>
          <w:color w:val="231F20"/>
          <w:spacing w:val="-3"/>
        </w:rPr>
        <w:t> </w:t>
      </w:r>
      <w:r>
        <w:rPr>
          <w:color w:val="231F20"/>
        </w:rPr>
        <w:t>as</w:t>
      </w:r>
      <w:r>
        <w:rPr>
          <w:color w:val="231F20"/>
          <w:spacing w:val="-4"/>
        </w:rPr>
        <w:t> </w:t>
      </w:r>
      <w:r>
        <w:rPr>
          <w:color w:val="231F20"/>
        </w:rPr>
        <w:t>the</w:t>
      </w:r>
      <w:r>
        <w:rPr>
          <w:color w:val="231F20"/>
          <w:spacing w:val="-5"/>
        </w:rPr>
        <w:t> </w:t>
      </w:r>
      <w:r>
        <w:rPr>
          <w:color w:val="231F20"/>
        </w:rPr>
        <w:t>Holy</w:t>
      </w:r>
      <w:r>
        <w:rPr>
          <w:color w:val="231F20"/>
          <w:spacing w:val="-4"/>
        </w:rPr>
        <w:t> </w:t>
      </w:r>
      <w:r>
        <w:rPr>
          <w:color w:val="231F20"/>
          <w:spacing w:val="-1"/>
        </w:rPr>
        <w:t>Spirit</w:t>
      </w:r>
      <w:r>
        <w:rPr>
          <w:color w:val="231F20"/>
          <w:spacing w:val="-3"/>
        </w:rPr>
        <w:t> </w:t>
      </w:r>
      <w:r>
        <w:rPr>
          <w:color w:val="231F20"/>
        </w:rPr>
        <w:t>boarding</w:t>
      </w:r>
      <w:r>
        <w:rPr>
          <w:color w:val="231F20"/>
          <w:spacing w:val="23"/>
          <w:w w:val="99"/>
        </w:rPr>
        <w:t> </w:t>
      </w:r>
      <w:r>
        <w:rPr>
          <w:color w:val="231F20"/>
        </w:rPr>
        <w:t>campus</w:t>
      </w:r>
      <w:r>
        <w:rPr>
          <w:color w:val="231F20"/>
          <w:spacing w:val="-7"/>
        </w:rPr>
        <w:t> </w:t>
      </w:r>
      <w:r>
        <w:rPr>
          <w:color w:val="231F20"/>
          <w:spacing w:val="-1"/>
        </w:rPr>
        <w:t>in</w:t>
      </w:r>
      <w:r>
        <w:rPr>
          <w:color w:val="231F20"/>
          <w:spacing w:val="-5"/>
        </w:rPr>
        <w:t> </w:t>
      </w:r>
      <w:r>
        <w:rPr>
          <w:color w:val="231F20"/>
          <w:spacing w:val="-1"/>
        </w:rPr>
        <w:t>Cooktown,</w:t>
      </w:r>
      <w:r>
        <w:rPr>
          <w:color w:val="231F20"/>
          <w:spacing w:val="-5"/>
        </w:rPr>
        <w:t> </w:t>
      </w:r>
      <w:r>
        <w:rPr>
          <w:color w:val="231F20"/>
        </w:rPr>
        <w:t>Queensland.</w:t>
      </w:r>
      <w:r>
        <w:rPr>
          <w:color w:val="231F20"/>
          <w:spacing w:val="-6"/>
        </w:rPr>
        <w:t> </w:t>
      </w:r>
      <w:r>
        <w:rPr>
          <w:color w:val="231F20"/>
        </w:rPr>
        <w:t>These</w:t>
      </w:r>
      <w:r>
        <w:rPr/>
      </w:r>
    </w:p>
    <w:p>
      <w:pPr>
        <w:pStyle w:val="BodyText"/>
        <w:spacing w:line="250" w:lineRule="exact"/>
        <w:ind w:right="133"/>
        <w:jc w:val="left"/>
      </w:pPr>
      <w:r>
        <w:rPr>
          <w:rFonts w:ascii="Segoe UI"/>
          <w:color w:val="231F20"/>
        </w:rPr>
        <w:t>facilities provide an individualised, flexible and </w:t>
      </w:r>
      <w:r>
        <w:rPr>
          <w:color w:val="231F20"/>
        </w:rPr>
        <w:t>culturally</w:t>
      </w:r>
      <w:r>
        <w:rPr>
          <w:color w:val="231F20"/>
          <w:spacing w:val="-11"/>
        </w:rPr>
        <w:t> </w:t>
      </w:r>
      <w:r>
        <w:rPr>
          <w:color w:val="231F20"/>
        </w:rPr>
        <w:t>appropriate</w:t>
      </w:r>
      <w:r>
        <w:rPr>
          <w:color w:val="231F20"/>
          <w:spacing w:val="-11"/>
        </w:rPr>
        <w:t> </w:t>
      </w:r>
      <w:r>
        <w:rPr>
          <w:color w:val="231F20"/>
          <w:spacing w:val="-1"/>
        </w:rPr>
        <w:t>learning</w:t>
      </w:r>
      <w:r>
        <w:rPr>
          <w:color w:val="231F20"/>
          <w:spacing w:val="-10"/>
        </w:rPr>
        <w:t> </w:t>
      </w:r>
      <w:r>
        <w:rPr>
          <w:color w:val="231F20"/>
        </w:rPr>
        <w:t>environment</w:t>
      </w:r>
      <w:r>
        <w:rPr>
          <w:color w:val="231F20"/>
          <w:spacing w:val="-11"/>
        </w:rPr>
        <w:t> </w:t>
      </w:r>
      <w:r>
        <w:rPr>
          <w:color w:val="231F20"/>
        </w:rPr>
        <w:t>for</w:t>
      </w:r>
      <w:r>
        <w:rPr>
          <w:color w:val="231F20"/>
          <w:spacing w:val="22"/>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boarders,</w:t>
      </w:r>
      <w:r>
        <w:rPr>
          <w:color w:val="231F20"/>
          <w:spacing w:val="21"/>
          <w:w w:val="99"/>
        </w:rPr>
        <w:t> </w:t>
      </w:r>
      <w:r>
        <w:rPr>
          <w:color w:val="231F20"/>
        </w:rPr>
        <w:t>as</w:t>
      </w:r>
      <w:r>
        <w:rPr>
          <w:color w:val="231F20"/>
          <w:spacing w:val="-4"/>
        </w:rPr>
        <w:t> </w:t>
      </w:r>
      <w:r>
        <w:rPr>
          <w:color w:val="231F20"/>
        </w:rPr>
        <w:t>well</w:t>
      </w:r>
      <w:r>
        <w:rPr>
          <w:color w:val="231F20"/>
          <w:spacing w:val="-3"/>
        </w:rPr>
        <w:t> </w:t>
      </w:r>
      <w:r>
        <w:rPr>
          <w:color w:val="231F20"/>
        </w:rPr>
        <w:t>as</w:t>
      </w:r>
      <w:r>
        <w:rPr>
          <w:color w:val="231F20"/>
          <w:spacing w:val="-3"/>
        </w:rPr>
        <w:t> </w:t>
      </w:r>
      <w:r>
        <w:rPr>
          <w:color w:val="231F20"/>
        </w:rPr>
        <w:t>providing</w:t>
      </w:r>
      <w:r>
        <w:rPr>
          <w:color w:val="231F20"/>
          <w:spacing w:val="-4"/>
        </w:rPr>
        <w:t> </w:t>
      </w:r>
      <w:r>
        <w:rPr>
          <w:color w:val="231F20"/>
        </w:rPr>
        <w:t>access</w:t>
      </w:r>
      <w:r>
        <w:rPr>
          <w:color w:val="231F20"/>
          <w:spacing w:val="-3"/>
        </w:rPr>
        <w:t> </w:t>
      </w:r>
      <w:r>
        <w:rPr>
          <w:color w:val="231F20"/>
        </w:rPr>
        <w:t>to</w:t>
      </w:r>
      <w:r>
        <w:rPr>
          <w:color w:val="231F20"/>
          <w:spacing w:val="-2"/>
        </w:rPr>
        <w:t> </w:t>
      </w:r>
      <w:r>
        <w:rPr>
          <w:color w:val="231F20"/>
        </w:rPr>
        <w:t>counselling,</w:t>
      </w:r>
      <w:r>
        <w:rPr>
          <w:color w:val="231F20"/>
        </w:rPr>
        <w:t> </w:t>
      </w:r>
      <w:r>
        <w:rPr>
          <w:color w:val="231F20"/>
          <w:spacing w:val="-1"/>
        </w:rPr>
        <w:t>social</w:t>
      </w:r>
      <w:r>
        <w:rPr>
          <w:color w:val="231F20"/>
          <w:spacing w:val="-5"/>
        </w:rPr>
        <w:t> </w:t>
      </w:r>
      <w:r>
        <w:rPr>
          <w:color w:val="231F20"/>
        </w:rPr>
        <w:t>and</w:t>
      </w:r>
      <w:r>
        <w:rPr>
          <w:color w:val="231F20"/>
          <w:spacing w:val="-5"/>
        </w:rPr>
        <w:t> </w:t>
      </w:r>
      <w:r>
        <w:rPr>
          <w:color w:val="231F20"/>
        </w:rPr>
        <w:t>emotional</w:t>
      </w:r>
      <w:r>
        <w:rPr>
          <w:color w:val="231F20"/>
          <w:spacing w:val="-5"/>
        </w:rPr>
        <w:t> </w:t>
      </w:r>
      <w:r>
        <w:rPr>
          <w:color w:val="231F20"/>
        </w:rPr>
        <w:t>well-being</w:t>
      </w:r>
      <w:r>
        <w:rPr>
          <w:color w:val="231F20"/>
          <w:spacing w:val="-7"/>
        </w:rPr>
        <w:t> </w:t>
      </w:r>
      <w:r>
        <w:rPr>
          <w:color w:val="231F20"/>
        </w:rPr>
        <w:t>and</w:t>
      </w:r>
      <w:r>
        <w:rPr>
          <w:color w:val="231F20"/>
          <w:spacing w:val="-5"/>
        </w:rPr>
        <w:t> </w:t>
      </w:r>
      <w:r>
        <w:rPr>
          <w:color w:val="231F20"/>
        </w:rPr>
        <w:t>health</w:t>
      </w:r>
      <w:r>
        <w:rPr>
          <w:color w:val="231F20"/>
          <w:spacing w:val="21"/>
          <w:w w:val="99"/>
        </w:rPr>
        <w:t> </w:t>
      </w:r>
      <w:r>
        <w:rPr>
          <w:color w:val="231F20"/>
          <w:spacing w:val="-1"/>
        </w:rPr>
        <w:t>services</w:t>
      </w:r>
      <w:r>
        <w:rPr>
          <w:color w:val="231F20"/>
          <w:spacing w:val="-6"/>
        </w:rPr>
        <w:t> </w:t>
      </w:r>
      <w:r>
        <w:rPr>
          <w:color w:val="231F20"/>
        </w:rPr>
        <w:t>aimed</w:t>
      </w:r>
      <w:r>
        <w:rPr>
          <w:color w:val="231F20"/>
          <w:spacing w:val="-6"/>
        </w:rPr>
        <w:t> </w:t>
      </w:r>
      <w:r>
        <w:rPr>
          <w:color w:val="231F20"/>
        </w:rPr>
        <w:t>at</w:t>
      </w:r>
      <w:r>
        <w:rPr>
          <w:color w:val="231F20"/>
          <w:spacing w:val="-5"/>
        </w:rPr>
        <w:t> </w:t>
      </w:r>
      <w:r>
        <w:rPr>
          <w:color w:val="231F20"/>
        </w:rPr>
        <w:t>addressing</w:t>
      </w:r>
      <w:r>
        <w:rPr>
          <w:color w:val="231F20"/>
          <w:spacing w:val="-7"/>
        </w:rPr>
        <w:t> </w:t>
      </w:r>
      <w:r>
        <w:rPr>
          <w:color w:val="231F20"/>
        </w:rPr>
        <w:t>disadvantage</w:t>
      </w:r>
      <w:r>
        <w:rPr>
          <w:color w:val="231F20"/>
          <w:spacing w:val="-6"/>
        </w:rPr>
        <w:t> </w:t>
      </w:r>
      <w:r>
        <w:rPr>
          <w:color w:val="231F20"/>
        </w:rPr>
        <w:t>and</w:t>
      </w:r>
      <w:r>
        <w:rPr>
          <w:color w:val="231F20"/>
          <w:spacing w:val="22"/>
          <w:w w:val="99"/>
        </w:rPr>
        <w:t> </w:t>
      </w:r>
      <w:r>
        <w:rPr>
          <w:color w:val="231F20"/>
        </w:rPr>
        <w:t>disability.</w:t>
      </w:r>
      <w:r>
        <w:rPr/>
      </w:r>
    </w:p>
    <w:p>
      <w:pPr>
        <w:pStyle w:val="BodyText"/>
        <w:spacing w:line="250" w:lineRule="exact" w:before="113"/>
        <w:ind w:right="105"/>
        <w:jc w:val="left"/>
      </w:pPr>
      <w:r>
        <w:rPr>
          <w:color w:val="231F20"/>
        </w:rPr>
        <w:t>As</w:t>
      </w:r>
      <w:r>
        <w:rPr>
          <w:color w:val="231F20"/>
          <w:spacing w:val="-6"/>
        </w:rPr>
        <w:t> </w:t>
      </w:r>
      <w:r>
        <w:rPr>
          <w:color w:val="231F20"/>
        </w:rPr>
        <w:t>expected,</w:t>
      </w:r>
      <w:r>
        <w:rPr>
          <w:color w:val="231F20"/>
          <w:spacing w:val="-4"/>
        </w:rPr>
        <w:t> </w:t>
      </w:r>
      <w:r>
        <w:rPr>
          <w:color w:val="231F20"/>
          <w:spacing w:val="-1"/>
        </w:rPr>
        <w:t>special</w:t>
      </w:r>
      <w:r>
        <w:rPr>
          <w:color w:val="231F20"/>
          <w:spacing w:val="-4"/>
        </w:rPr>
        <w:t> </w:t>
      </w:r>
      <w:r>
        <w:rPr>
          <w:color w:val="231F20"/>
        </w:rPr>
        <w:t>assistance</w:t>
      </w:r>
      <w:r>
        <w:rPr>
          <w:color w:val="231F20"/>
          <w:spacing w:val="-5"/>
        </w:rPr>
        <w:t> </w:t>
      </w:r>
      <w:r>
        <w:rPr>
          <w:color w:val="231F20"/>
        </w:rPr>
        <w:t>boarding</w:t>
      </w:r>
      <w:r>
        <w:rPr>
          <w:color w:val="231F20"/>
          <w:spacing w:val="22"/>
          <w:w w:val="99"/>
        </w:rPr>
        <w:t> </w:t>
      </w:r>
      <w:r>
        <w:rPr>
          <w:color w:val="231F20"/>
          <w:spacing w:val="-1"/>
        </w:rPr>
        <w:t>schools</w:t>
      </w:r>
      <w:r>
        <w:rPr>
          <w:color w:val="231F20"/>
          <w:spacing w:val="-2"/>
        </w:rPr>
        <w:t> </w:t>
      </w:r>
      <w:r>
        <w:rPr>
          <w:color w:val="231F20"/>
        </w:rPr>
        <w:t>have</w:t>
      </w:r>
      <w:r>
        <w:rPr>
          <w:color w:val="231F20"/>
          <w:spacing w:val="-3"/>
        </w:rPr>
        <w:t> </w:t>
      </w:r>
      <w:r>
        <w:rPr>
          <w:color w:val="231F20"/>
          <w:spacing w:val="-1"/>
        </w:rPr>
        <w:t>lower</w:t>
      </w:r>
      <w:r>
        <w:rPr>
          <w:color w:val="231F20"/>
          <w:spacing w:val="-2"/>
        </w:rPr>
        <w:t> </w:t>
      </w:r>
      <w:r>
        <w:rPr>
          <w:color w:val="231F20"/>
        </w:rPr>
        <w:t>outcomes</w:t>
      </w:r>
      <w:r>
        <w:rPr>
          <w:color w:val="231F20"/>
          <w:spacing w:val="-3"/>
        </w:rPr>
        <w:t> </w:t>
      </w:r>
      <w:r>
        <w:rPr>
          <w:color w:val="231F20"/>
          <w:spacing w:val="-1"/>
        </w:rPr>
        <w:t>in </w:t>
      </w:r>
      <w:r>
        <w:rPr>
          <w:color w:val="231F20"/>
        </w:rPr>
        <w:t>terms</w:t>
      </w:r>
      <w:r>
        <w:rPr>
          <w:color w:val="231F20"/>
          <w:spacing w:val="-3"/>
        </w:rPr>
        <w:t> </w:t>
      </w:r>
      <w:r>
        <w:rPr>
          <w:color w:val="231F20"/>
        </w:rPr>
        <w:t>of</w:t>
      </w:r>
      <w:r>
        <w:rPr>
          <w:color w:val="231F20"/>
          <w:spacing w:val="24"/>
          <w:w w:val="99"/>
        </w:rPr>
        <w:t> </w:t>
      </w:r>
      <w:r>
        <w:rPr>
          <w:rFonts w:ascii="Segoe UI"/>
          <w:color w:val="231F20"/>
        </w:rPr>
        <w:t>attendance, formal qualifications (graduations)</w:t>
      </w:r>
      <w:r>
        <w:rPr>
          <w:rFonts w:ascii="Segoe UI"/>
          <w:color w:val="231F20"/>
        </w:rPr>
        <w:t> </w:t>
      </w:r>
      <w:r>
        <w:rPr>
          <w:color w:val="231F20"/>
        </w:rPr>
        <w:t>and</w:t>
      </w:r>
      <w:r>
        <w:rPr>
          <w:color w:val="231F20"/>
          <w:spacing w:val="-5"/>
        </w:rPr>
        <w:t> </w:t>
      </w:r>
      <w:r>
        <w:rPr>
          <w:color w:val="231F20"/>
        </w:rPr>
        <w:t>NAPLAN</w:t>
      </w:r>
      <w:r>
        <w:rPr>
          <w:color w:val="231F20"/>
          <w:spacing w:val="-4"/>
        </w:rPr>
        <w:t> </w:t>
      </w:r>
      <w:r>
        <w:rPr>
          <w:color w:val="231F20"/>
        </w:rPr>
        <w:t>results</w:t>
      </w:r>
      <w:r>
        <w:rPr>
          <w:color w:val="231F20"/>
          <w:spacing w:val="-5"/>
        </w:rPr>
        <w:t> </w:t>
      </w:r>
      <w:r>
        <w:rPr>
          <w:color w:val="231F20"/>
        </w:rPr>
        <w:t>compared</w:t>
      </w:r>
      <w:r>
        <w:rPr>
          <w:color w:val="231F20"/>
          <w:spacing w:val="-5"/>
        </w:rPr>
        <w:t> </w:t>
      </w:r>
      <w:r>
        <w:rPr>
          <w:color w:val="231F20"/>
        </w:rPr>
        <w:t>to</w:t>
      </w:r>
      <w:r>
        <w:rPr>
          <w:color w:val="231F20"/>
          <w:spacing w:val="-3"/>
        </w:rPr>
        <w:t> </w:t>
      </w:r>
      <w:r>
        <w:rPr>
          <w:color w:val="231F20"/>
        </w:rPr>
        <w:t>non-SAS</w:t>
      </w:r>
      <w:r>
        <w:rPr>
          <w:color w:val="231F20"/>
          <w:spacing w:val="25"/>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spacing w:val="-1"/>
        </w:rPr>
        <w:t>schools.</w:t>
      </w:r>
      <w:r>
        <w:rPr>
          <w:color w:val="231F20"/>
          <w:spacing w:val="-4"/>
        </w:rPr>
        <w:t> </w:t>
      </w:r>
      <w:r>
        <w:rPr>
          <w:color w:val="231F20"/>
          <w:spacing w:val="-1"/>
        </w:rPr>
        <w:t>Despite</w:t>
      </w:r>
      <w:r>
        <w:rPr>
          <w:color w:val="231F20"/>
          <w:spacing w:val="-3"/>
        </w:rPr>
        <w:t> </w:t>
      </w:r>
      <w:r>
        <w:rPr>
          <w:color w:val="231F20"/>
        </w:rPr>
        <w:t>the</w:t>
      </w:r>
      <w:r>
        <w:rPr>
          <w:color w:val="231F20"/>
          <w:spacing w:val="-4"/>
        </w:rPr>
        <w:t> </w:t>
      </w:r>
      <w:r>
        <w:rPr>
          <w:color w:val="231F20"/>
        </w:rPr>
        <w:t>higher</w:t>
      </w:r>
      <w:r>
        <w:rPr>
          <w:color w:val="231F20"/>
          <w:spacing w:val="-4"/>
        </w:rPr>
        <w:t> </w:t>
      </w:r>
      <w:r>
        <w:rPr>
          <w:color w:val="231F20"/>
        </w:rPr>
        <w:t>needs</w:t>
      </w:r>
      <w:r>
        <w:rPr>
          <w:color w:val="231F20"/>
          <w:spacing w:val="-4"/>
        </w:rPr>
        <w:t> </w:t>
      </w:r>
      <w:r>
        <w:rPr>
          <w:color w:val="231F20"/>
        </w:rPr>
        <w:t>of</w:t>
      </w:r>
      <w:r>
        <w:rPr>
          <w:color w:val="231F20"/>
          <w:spacing w:val="-3"/>
        </w:rPr>
        <w:t> </w:t>
      </w:r>
      <w:r>
        <w:rPr>
          <w:color w:val="231F20"/>
          <w:spacing w:val="-1"/>
        </w:rPr>
        <w:t>students,</w:t>
      </w:r>
      <w:r>
        <w:rPr>
          <w:color w:val="231F20"/>
          <w:spacing w:val="22"/>
          <w:w w:val="99"/>
        </w:rPr>
        <w:t> </w:t>
      </w:r>
      <w:r>
        <w:rPr>
          <w:color w:val="231F20"/>
        </w:rPr>
        <w:t>the</w:t>
      </w:r>
      <w:r>
        <w:rPr>
          <w:color w:val="231F20"/>
          <w:spacing w:val="-7"/>
        </w:rPr>
        <w:t> </w:t>
      </w:r>
      <w:r>
        <w:rPr>
          <w:color w:val="231F20"/>
        </w:rPr>
        <w:t>three-year</w:t>
      </w:r>
      <w:r>
        <w:rPr>
          <w:color w:val="231F20"/>
          <w:spacing w:val="-6"/>
        </w:rPr>
        <w:t> </w:t>
      </w:r>
      <w:r>
        <w:rPr>
          <w:color w:val="231F20"/>
        </w:rPr>
        <w:t>average</w:t>
      </w:r>
      <w:r>
        <w:rPr>
          <w:color w:val="231F20"/>
          <w:spacing w:val="-6"/>
        </w:rPr>
        <w:t> </w:t>
      </w:r>
      <w:r>
        <w:rPr>
          <w:color w:val="231F20"/>
        </w:rPr>
        <w:t>cost</w:t>
      </w:r>
      <w:r>
        <w:rPr>
          <w:color w:val="231F20"/>
          <w:spacing w:val="-7"/>
        </w:rPr>
        <w:t> </w:t>
      </w:r>
      <w:r>
        <w:rPr>
          <w:color w:val="231F20"/>
        </w:rPr>
        <w:t>of</w:t>
      </w:r>
      <w:r>
        <w:rPr>
          <w:color w:val="231F20"/>
          <w:spacing w:val="-5"/>
        </w:rPr>
        <w:t> </w:t>
      </w:r>
      <w:r>
        <w:rPr>
          <w:color w:val="231F20"/>
        </w:rPr>
        <w:t>boarding</w:t>
      </w:r>
      <w:r>
        <w:rPr>
          <w:color w:val="231F20"/>
          <w:spacing w:val="-6"/>
        </w:rPr>
        <w:t> </w:t>
      </w:r>
      <w:r>
        <w:rPr>
          <w:color w:val="231F20"/>
        </w:rPr>
        <w:t>per</w:t>
      </w:r>
      <w:r>
        <w:rPr>
          <w:color w:val="231F20"/>
          <w:w w:val="99"/>
        </w:rPr>
        <w:t> </w:t>
      </w:r>
      <w:r>
        <w:rPr>
          <w:color w:val="231F20"/>
        </w:rPr>
        <w:t>boarder</w:t>
      </w:r>
      <w:r>
        <w:rPr>
          <w:color w:val="231F20"/>
          <w:spacing w:val="-4"/>
        </w:rPr>
        <w:t> </w:t>
      </w:r>
      <w:r>
        <w:rPr>
          <w:color w:val="231F20"/>
        </w:rPr>
        <w:t>at</w:t>
      </w:r>
      <w:r>
        <w:rPr>
          <w:color w:val="231F20"/>
          <w:spacing w:val="-3"/>
        </w:rPr>
        <w:t> </w:t>
      </w:r>
      <w:r>
        <w:rPr>
          <w:color w:val="231F20"/>
          <w:spacing w:val="-1"/>
        </w:rPr>
        <w:t>such</w:t>
      </w:r>
      <w:r>
        <w:rPr>
          <w:color w:val="231F20"/>
          <w:spacing w:val="-3"/>
        </w:rPr>
        <w:t> </w:t>
      </w:r>
      <w:r>
        <w:rPr>
          <w:color w:val="231F20"/>
          <w:spacing w:val="-1"/>
        </w:rPr>
        <w:t>SAS</w:t>
      </w:r>
      <w:r>
        <w:rPr>
          <w:color w:val="231F20"/>
          <w:spacing w:val="-3"/>
        </w:rPr>
        <w:t> </w:t>
      </w:r>
      <w:r>
        <w:rPr>
          <w:color w:val="231F20"/>
        </w:rPr>
        <w:t>at</w:t>
      </w:r>
      <w:r>
        <w:rPr>
          <w:color w:val="231F20"/>
          <w:spacing w:val="-3"/>
        </w:rPr>
        <w:t> </w:t>
      </w:r>
      <w:r>
        <w:rPr>
          <w:color w:val="231F20"/>
          <w:spacing w:val="-1"/>
        </w:rPr>
        <w:t>$22,623</w:t>
      </w:r>
      <w:r>
        <w:rPr>
          <w:color w:val="231F20"/>
          <w:spacing w:val="-3"/>
        </w:rPr>
        <w:t> </w:t>
      </w:r>
      <w:r>
        <w:rPr>
          <w:color w:val="231F20"/>
          <w:spacing w:val="-1"/>
        </w:rPr>
        <w:t>is</w:t>
      </w:r>
      <w:r>
        <w:rPr>
          <w:color w:val="231F20"/>
          <w:spacing w:val="-5"/>
        </w:rPr>
        <w:t> </w:t>
      </w:r>
      <w:r>
        <w:rPr>
          <w:color w:val="231F20"/>
        </w:rPr>
        <w:t>unexpectedly</w:t>
      </w:r>
      <w:r>
        <w:rPr>
          <w:color w:val="231F20"/>
          <w:spacing w:val="25"/>
          <w:w w:val="99"/>
        </w:rPr>
        <w:t> </w:t>
      </w:r>
      <w:r>
        <w:rPr>
          <w:color w:val="231F20"/>
        </w:rPr>
        <w:t>comparable</w:t>
      </w:r>
      <w:r>
        <w:rPr>
          <w:color w:val="231F20"/>
          <w:spacing w:val="-7"/>
        </w:rPr>
        <w:t> </w:t>
      </w:r>
      <w:r>
        <w:rPr>
          <w:color w:val="231F20"/>
        </w:rPr>
        <w:t>to</w:t>
      </w:r>
      <w:r>
        <w:rPr>
          <w:color w:val="231F20"/>
          <w:spacing w:val="-5"/>
        </w:rPr>
        <w:t> </w:t>
      </w:r>
      <w:r>
        <w:rPr>
          <w:color w:val="231F20"/>
        </w:rPr>
        <w:t>the</w:t>
      </w:r>
      <w:r>
        <w:rPr>
          <w:color w:val="231F20"/>
          <w:spacing w:val="-6"/>
        </w:rPr>
        <w:t> </w:t>
      </w:r>
      <w:r>
        <w:rPr>
          <w:color w:val="231F20"/>
        </w:rPr>
        <w:t>average</w:t>
      </w:r>
      <w:r>
        <w:rPr>
          <w:color w:val="231F20"/>
          <w:spacing w:val="-7"/>
        </w:rPr>
        <w:t> </w:t>
      </w:r>
      <w:r>
        <w:rPr>
          <w:color w:val="231F20"/>
        </w:rPr>
        <w:t>cost</w:t>
      </w:r>
      <w:r>
        <w:rPr>
          <w:color w:val="231F20"/>
          <w:spacing w:val="-6"/>
        </w:rPr>
        <w:t> </w:t>
      </w:r>
      <w:r>
        <w:rPr>
          <w:color w:val="231F20"/>
        </w:rPr>
        <w:t>of</w:t>
      </w:r>
      <w:r>
        <w:rPr>
          <w:color w:val="231F20"/>
          <w:spacing w:val="-5"/>
        </w:rPr>
        <w:t> </w:t>
      </w:r>
      <w:r>
        <w:rPr>
          <w:color w:val="231F20"/>
        </w:rPr>
        <w:t>boarding</w:t>
      </w:r>
      <w:r>
        <w:rPr/>
      </w:r>
    </w:p>
    <w:p>
      <w:pPr>
        <w:pStyle w:val="BodyText"/>
        <w:spacing w:line="250" w:lineRule="exact"/>
        <w:ind w:right="327"/>
        <w:jc w:val="left"/>
        <w:rPr>
          <w:rFonts w:ascii="Segoe UI Semibold" w:hAnsi="Segoe UI Semibold" w:cs="Segoe UI Semibold" w:eastAsia="Segoe UI Semibold"/>
          <w:sz w:val="11"/>
          <w:szCs w:val="11"/>
        </w:rPr>
      </w:pPr>
      <w:r>
        <w:rPr>
          <w:color w:val="231F20"/>
        </w:rPr>
        <w:t>at</w:t>
      </w:r>
      <w:r>
        <w:rPr>
          <w:color w:val="231F20"/>
          <w:spacing w:val="-2"/>
        </w:rPr>
        <w:t> </w:t>
      </w:r>
      <w:r>
        <w:rPr>
          <w:color w:val="231F20"/>
        </w:rPr>
        <w:t>non</w:t>
      </w:r>
      <w:r>
        <w:rPr>
          <w:color w:val="231F20"/>
          <w:spacing w:val="-3"/>
        </w:rPr>
        <w:t> </w:t>
      </w:r>
      <w:r>
        <w:rPr>
          <w:color w:val="231F20"/>
          <w:spacing w:val="-1"/>
        </w:rPr>
        <w:t>SAS</w:t>
      </w:r>
      <w:r>
        <w:rPr>
          <w:color w:val="231F20"/>
          <w:spacing w:val="-2"/>
        </w:rPr>
        <w:t> </w:t>
      </w:r>
      <w:r>
        <w:rPr>
          <w:color w:val="231F20"/>
        </w:rPr>
        <w:t>at</w:t>
      </w:r>
      <w:r>
        <w:rPr>
          <w:color w:val="231F20"/>
          <w:spacing w:val="-1"/>
        </w:rPr>
        <w:t> $22,956.</w:t>
      </w:r>
      <w:r>
        <w:rPr>
          <w:rFonts w:ascii="Segoe UI Semibold" w:hAnsi="Segoe UI Semibold" w:cs="Segoe UI Semibold" w:eastAsia="Segoe UI Semibold"/>
          <w:b/>
          <w:bCs/>
          <w:color w:val="231F20"/>
          <w:spacing w:val="-1"/>
          <w:position w:val="7"/>
          <w:sz w:val="11"/>
          <w:szCs w:val="11"/>
        </w:rPr>
        <w:t>175</w:t>
      </w:r>
      <w:r>
        <w:rPr>
          <w:rFonts w:ascii="Segoe UI Semibold" w:hAnsi="Segoe UI Semibold" w:cs="Segoe UI Semibold" w:eastAsia="Segoe UI Semibold"/>
          <w:b/>
          <w:bCs/>
          <w:color w:val="231F20"/>
          <w:spacing w:val="22"/>
          <w:position w:val="7"/>
          <w:sz w:val="11"/>
          <w:szCs w:val="11"/>
        </w:rPr>
        <w:t> </w:t>
      </w:r>
      <w:r>
        <w:rPr>
          <w:color w:val="231F20"/>
          <w:spacing w:val="-1"/>
        </w:rPr>
        <w:t>SAS</w:t>
      </w:r>
      <w:r>
        <w:rPr>
          <w:color w:val="231F20"/>
          <w:spacing w:val="-2"/>
        </w:rPr>
        <w:t> </w:t>
      </w:r>
      <w:r>
        <w:rPr>
          <w:color w:val="231F20"/>
        </w:rPr>
        <w:t>receive</w:t>
      </w:r>
      <w:r>
        <w:rPr>
          <w:color w:val="231F20"/>
          <w:spacing w:val="21"/>
          <w:w w:val="99"/>
        </w:rPr>
        <w:t> </w:t>
      </w:r>
      <w:r>
        <w:rPr>
          <w:color w:val="231F20"/>
        </w:rPr>
        <w:t>additional</w:t>
      </w:r>
      <w:r>
        <w:rPr>
          <w:color w:val="231F20"/>
          <w:spacing w:val="-7"/>
        </w:rPr>
        <w:t> </w:t>
      </w:r>
      <w:r>
        <w:rPr>
          <w:color w:val="231F20"/>
        </w:rPr>
        <w:t>funding</w:t>
      </w:r>
      <w:r>
        <w:rPr>
          <w:color w:val="231F20"/>
          <w:spacing w:val="-6"/>
        </w:rPr>
        <w:t> </w:t>
      </w:r>
      <w:r>
        <w:rPr>
          <w:color w:val="231F20"/>
        </w:rPr>
        <w:t>to</w:t>
      </w:r>
      <w:r>
        <w:rPr>
          <w:color w:val="231F20"/>
          <w:spacing w:val="-6"/>
        </w:rPr>
        <w:t> </w:t>
      </w:r>
      <w:r>
        <w:rPr>
          <w:color w:val="231F20"/>
          <w:spacing w:val="-1"/>
        </w:rPr>
        <w:t>meet</w:t>
      </w:r>
      <w:r>
        <w:rPr>
          <w:color w:val="231F20"/>
          <w:spacing w:val="-6"/>
        </w:rPr>
        <w:t> </w:t>
      </w:r>
      <w:r>
        <w:rPr>
          <w:color w:val="231F20"/>
        </w:rPr>
        <w:t>the</w:t>
      </w:r>
      <w:r>
        <w:rPr>
          <w:color w:val="231F20"/>
          <w:spacing w:val="-7"/>
        </w:rPr>
        <w:t> </w:t>
      </w:r>
      <w:r>
        <w:rPr>
          <w:color w:val="231F20"/>
        </w:rPr>
        <w:t>additional</w:t>
      </w:r>
      <w:r>
        <w:rPr>
          <w:color w:val="231F20"/>
          <w:spacing w:val="21"/>
          <w:w w:val="99"/>
        </w:rPr>
        <w:t> </w:t>
      </w:r>
      <w:r>
        <w:rPr>
          <w:color w:val="231F20"/>
        </w:rPr>
        <w:t>cost</w:t>
      </w:r>
      <w:r>
        <w:rPr>
          <w:color w:val="231F20"/>
          <w:spacing w:val="-5"/>
        </w:rPr>
        <w:t> </w:t>
      </w:r>
      <w:r>
        <w:rPr>
          <w:color w:val="231F20"/>
        </w:rPr>
        <w:t>of</w:t>
      </w:r>
      <w:r>
        <w:rPr>
          <w:color w:val="231F20"/>
          <w:spacing w:val="-3"/>
        </w:rPr>
        <w:t> </w:t>
      </w:r>
      <w:r>
        <w:rPr>
          <w:color w:val="231F20"/>
        </w:rPr>
        <w:t>educating</w:t>
      </w:r>
      <w:r>
        <w:rPr>
          <w:color w:val="231F20"/>
          <w:spacing w:val="-3"/>
        </w:rPr>
        <w:t> </w:t>
      </w:r>
      <w:r>
        <w:rPr>
          <w:color w:val="231F20"/>
        </w:rPr>
        <w:t>their</w:t>
      </w:r>
      <w:r>
        <w:rPr>
          <w:color w:val="231F20"/>
          <w:spacing w:val="-5"/>
        </w:rPr>
        <w:t> </w:t>
      </w:r>
      <w:r>
        <w:rPr>
          <w:color w:val="231F20"/>
          <w:spacing w:val="-1"/>
        </w:rPr>
        <w:t>students</w:t>
      </w:r>
      <w:r>
        <w:rPr>
          <w:color w:val="231F20"/>
          <w:spacing w:val="-3"/>
        </w:rPr>
        <w:t> </w:t>
      </w:r>
      <w:r>
        <w:rPr>
          <w:color w:val="231F20"/>
        </w:rPr>
        <w:t>but</w:t>
      </w:r>
      <w:r>
        <w:rPr>
          <w:color w:val="231F20"/>
          <w:spacing w:val="-4"/>
        </w:rPr>
        <w:t> </w:t>
      </w:r>
      <w:r>
        <w:rPr>
          <w:color w:val="231F20"/>
        </w:rPr>
        <w:t>not</w:t>
      </w:r>
      <w:r>
        <w:rPr>
          <w:color w:val="231F20"/>
          <w:spacing w:val="-4"/>
        </w:rPr>
        <w:t> </w:t>
      </w:r>
      <w:r>
        <w:rPr>
          <w:color w:val="231F20"/>
        </w:rPr>
        <w:t>for</w:t>
      </w:r>
      <w:r>
        <w:rPr>
          <w:color w:val="231F20"/>
          <w:spacing w:val="22"/>
          <w:w w:val="99"/>
        </w:rPr>
        <w:t> </w:t>
      </w:r>
      <w:r>
        <w:rPr>
          <w:color w:val="231F20"/>
        </w:rPr>
        <w:t>boarding.</w:t>
      </w:r>
      <w:r>
        <w:rPr>
          <w:color w:val="231F20"/>
          <w:spacing w:val="-7"/>
        </w:rPr>
        <w:t> </w:t>
      </w:r>
      <w:r>
        <w:rPr>
          <w:color w:val="231F20"/>
          <w:spacing w:val="-1"/>
        </w:rPr>
        <w:t>SAS</w:t>
      </w:r>
      <w:r>
        <w:rPr>
          <w:color w:val="231F20"/>
          <w:spacing w:val="-5"/>
        </w:rPr>
        <w:t> </w:t>
      </w:r>
      <w:r>
        <w:rPr>
          <w:color w:val="231F20"/>
        </w:rPr>
        <w:t>are</w:t>
      </w:r>
      <w:r>
        <w:rPr>
          <w:color w:val="231F20"/>
          <w:spacing w:val="-7"/>
        </w:rPr>
        <w:t> </w:t>
      </w:r>
      <w:r>
        <w:rPr>
          <w:color w:val="231F20"/>
        </w:rPr>
        <w:t>exempt</w:t>
      </w:r>
      <w:r>
        <w:rPr>
          <w:color w:val="231F20"/>
          <w:spacing w:val="-6"/>
        </w:rPr>
        <w:t> </w:t>
      </w:r>
      <w:r>
        <w:rPr>
          <w:color w:val="231F20"/>
        </w:rPr>
        <w:t>from</w:t>
      </w:r>
      <w:r>
        <w:rPr>
          <w:color w:val="231F20"/>
          <w:spacing w:val="-6"/>
        </w:rPr>
        <w:t> </w:t>
      </w:r>
      <w:r>
        <w:rPr>
          <w:color w:val="231F20"/>
        </w:rPr>
        <w:t>the</w:t>
      </w:r>
      <w:r>
        <w:rPr>
          <w:color w:val="231F20"/>
          <w:spacing w:val="-6"/>
        </w:rPr>
        <w:t> </w:t>
      </w:r>
      <w:r>
        <w:rPr>
          <w:color w:val="231F20"/>
        </w:rPr>
        <w:t>‘capacity</w:t>
      </w:r>
      <w:r>
        <w:rPr>
          <w:color w:val="231F20"/>
          <w:spacing w:val="21"/>
          <w:w w:val="99"/>
        </w:rPr>
        <w:t> </w:t>
      </w:r>
      <w:r>
        <w:rPr>
          <w:color w:val="231F20"/>
        </w:rPr>
        <w:t>to</w:t>
      </w:r>
      <w:r>
        <w:rPr>
          <w:color w:val="231F20"/>
          <w:spacing w:val="-6"/>
        </w:rPr>
        <w:t> </w:t>
      </w:r>
      <w:r>
        <w:rPr>
          <w:color w:val="231F20"/>
        </w:rPr>
        <w:t>contribute’</w:t>
      </w:r>
      <w:r>
        <w:rPr>
          <w:color w:val="231F20"/>
          <w:spacing w:val="-6"/>
        </w:rPr>
        <w:t> </w:t>
      </w:r>
      <w:r>
        <w:rPr>
          <w:color w:val="231F20"/>
        </w:rPr>
        <w:t>discount</w:t>
      </w:r>
      <w:r>
        <w:rPr>
          <w:color w:val="231F20"/>
          <w:spacing w:val="-7"/>
        </w:rPr>
        <w:t> </w:t>
      </w:r>
      <w:r>
        <w:rPr>
          <w:color w:val="231F20"/>
        </w:rPr>
        <w:t>applied</w:t>
      </w:r>
      <w:r>
        <w:rPr>
          <w:color w:val="231F20"/>
          <w:spacing w:val="-6"/>
        </w:rPr>
        <w:t> </w:t>
      </w:r>
      <w:r>
        <w:rPr>
          <w:color w:val="231F20"/>
        </w:rPr>
        <w:t>to</w:t>
      </w:r>
      <w:r>
        <w:rPr>
          <w:color w:val="231F20"/>
          <w:spacing w:val="-6"/>
        </w:rPr>
        <w:t> </w:t>
      </w:r>
      <w:r>
        <w:rPr>
          <w:color w:val="231F20"/>
          <w:spacing w:val="-1"/>
        </w:rPr>
        <w:t>Schooling</w:t>
      </w:r>
      <w:r>
        <w:rPr>
          <w:color w:val="231F20"/>
          <w:spacing w:val="20"/>
        </w:rPr>
        <w:t> </w:t>
      </w:r>
      <w:r>
        <w:rPr>
          <w:color w:val="231F20"/>
          <w:spacing w:val="-1"/>
        </w:rPr>
        <w:t>Resource</w:t>
      </w:r>
      <w:r>
        <w:rPr>
          <w:color w:val="231F20"/>
          <w:spacing w:val="-8"/>
        </w:rPr>
        <w:t> </w:t>
      </w:r>
      <w:r>
        <w:rPr>
          <w:color w:val="231F20"/>
          <w:spacing w:val="-1"/>
        </w:rPr>
        <w:t>Standard</w:t>
      </w:r>
      <w:r>
        <w:rPr>
          <w:color w:val="231F20"/>
          <w:spacing w:val="-8"/>
        </w:rPr>
        <w:t> </w:t>
      </w:r>
      <w:r>
        <w:rPr>
          <w:color w:val="231F20"/>
        </w:rPr>
        <w:t>funding</w:t>
      </w:r>
      <w:r>
        <w:rPr>
          <w:color w:val="231F20"/>
          <w:spacing w:val="-8"/>
        </w:rPr>
        <w:t> </w:t>
      </w:r>
      <w:r>
        <w:rPr>
          <w:color w:val="231F20"/>
        </w:rPr>
        <w:t>(Gonski</w:t>
      </w:r>
      <w:r>
        <w:rPr>
          <w:color w:val="231F20"/>
          <w:spacing w:val="-8"/>
        </w:rPr>
        <w:t> </w:t>
      </w:r>
      <w:r>
        <w:rPr>
          <w:color w:val="231F20"/>
        </w:rPr>
        <w:t>funding)</w:t>
      </w:r>
      <w:r>
        <w:rPr>
          <w:color w:val="231F20"/>
          <w:spacing w:val="23"/>
          <w:w w:val="99"/>
        </w:rPr>
        <w:t> </w:t>
      </w:r>
      <w:r>
        <w:rPr>
          <w:color w:val="231F20"/>
        </w:rPr>
        <w:t>and</w:t>
      </w:r>
      <w:r>
        <w:rPr>
          <w:color w:val="231F20"/>
          <w:spacing w:val="-4"/>
        </w:rPr>
        <w:t> </w:t>
      </w:r>
      <w:r>
        <w:rPr>
          <w:color w:val="231F20"/>
        </w:rPr>
        <w:t>receive</w:t>
      </w:r>
      <w:r>
        <w:rPr>
          <w:color w:val="231F20"/>
          <w:spacing w:val="-3"/>
        </w:rPr>
        <w:t> </w:t>
      </w:r>
      <w:r>
        <w:rPr>
          <w:color w:val="231F20"/>
        </w:rPr>
        <w:t>a</w:t>
      </w:r>
      <w:r>
        <w:rPr>
          <w:color w:val="231F20"/>
          <w:spacing w:val="-2"/>
        </w:rPr>
        <w:t> </w:t>
      </w:r>
      <w:r>
        <w:rPr>
          <w:color w:val="231F20"/>
          <w:spacing w:val="-1"/>
        </w:rPr>
        <w:t>disability</w:t>
      </w:r>
      <w:r>
        <w:rPr>
          <w:rFonts w:ascii="Segoe UI Semibold" w:hAnsi="Segoe UI Semibold" w:cs="Segoe UI Semibold" w:eastAsia="Segoe UI Semibold"/>
          <w:b/>
          <w:bCs/>
          <w:color w:val="231F20"/>
          <w:spacing w:val="-1"/>
          <w:position w:val="7"/>
          <w:sz w:val="11"/>
          <w:szCs w:val="11"/>
        </w:rPr>
        <w:t>176</w:t>
      </w:r>
      <w:r>
        <w:rPr>
          <w:rFonts w:ascii="Segoe UI Semibold" w:hAnsi="Segoe UI Semibold" w:cs="Segoe UI Semibold" w:eastAsia="Segoe UI Semibold"/>
          <w:b/>
          <w:bCs/>
          <w:color w:val="231F20"/>
          <w:spacing w:val="22"/>
          <w:position w:val="7"/>
          <w:sz w:val="11"/>
          <w:szCs w:val="11"/>
        </w:rPr>
        <w:t> </w:t>
      </w:r>
      <w:r>
        <w:rPr>
          <w:color w:val="231F20"/>
          <w:spacing w:val="-1"/>
        </w:rPr>
        <w:t>loading</w:t>
      </w:r>
      <w:r>
        <w:rPr>
          <w:color w:val="231F20"/>
          <w:spacing w:val="-3"/>
        </w:rPr>
        <w:t> </w:t>
      </w:r>
      <w:r>
        <w:rPr>
          <w:color w:val="231F20"/>
        </w:rPr>
        <w:t>for</w:t>
      </w:r>
      <w:r>
        <w:rPr>
          <w:color w:val="231F20"/>
          <w:spacing w:val="-2"/>
        </w:rPr>
        <w:t> </w:t>
      </w:r>
      <w:r>
        <w:rPr>
          <w:color w:val="231F20"/>
        </w:rPr>
        <w:t>each</w:t>
      </w:r>
      <w:r>
        <w:rPr>
          <w:color w:val="231F20"/>
          <w:spacing w:val="23"/>
          <w:w w:val="99"/>
        </w:rPr>
        <w:t> </w:t>
      </w:r>
      <w:r>
        <w:rPr>
          <w:color w:val="231F20"/>
          <w:spacing w:val="-1"/>
        </w:rPr>
        <w:t>student</w:t>
      </w:r>
      <w:r>
        <w:rPr>
          <w:color w:val="231F20"/>
          <w:spacing w:val="-6"/>
        </w:rPr>
        <w:t> </w:t>
      </w:r>
      <w:r>
        <w:rPr>
          <w:color w:val="231F20"/>
        </w:rPr>
        <w:t>based</w:t>
      </w:r>
      <w:r>
        <w:rPr>
          <w:color w:val="231F20"/>
          <w:spacing w:val="-6"/>
        </w:rPr>
        <w:t> </w:t>
      </w:r>
      <w:r>
        <w:rPr>
          <w:color w:val="231F20"/>
        </w:rPr>
        <w:t>on</w:t>
      </w:r>
      <w:r>
        <w:rPr>
          <w:color w:val="231F20"/>
          <w:spacing w:val="-5"/>
        </w:rPr>
        <w:t> </w:t>
      </w:r>
      <w:r>
        <w:rPr>
          <w:color w:val="231F20"/>
        </w:rPr>
        <w:t>the</w:t>
      </w:r>
      <w:r>
        <w:rPr>
          <w:color w:val="231F20"/>
          <w:spacing w:val="-6"/>
        </w:rPr>
        <w:t> </w:t>
      </w:r>
      <w:r>
        <w:rPr>
          <w:color w:val="231F20"/>
        </w:rPr>
        <w:t>Nationally</w:t>
      </w:r>
      <w:r>
        <w:rPr>
          <w:color w:val="231F20"/>
          <w:spacing w:val="-6"/>
        </w:rPr>
        <w:t> </w:t>
      </w:r>
      <w:r>
        <w:rPr>
          <w:color w:val="231F20"/>
          <w:spacing w:val="-1"/>
        </w:rPr>
        <w:t>Consistent</w:t>
      </w:r>
      <w:r>
        <w:rPr>
          <w:color w:val="231F20"/>
          <w:spacing w:val="21"/>
        </w:rPr>
        <w:t> </w:t>
      </w:r>
      <w:r>
        <w:rPr>
          <w:color w:val="231F20"/>
          <w:spacing w:val="-1"/>
        </w:rPr>
        <w:t>Collection</w:t>
      </w:r>
      <w:r>
        <w:rPr>
          <w:color w:val="231F20"/>
          <w:spacing w:val="-4"/>
        </w:rPr>
        <w:t> </w:t>
      </w:r>
      <w:r>
        <w:rPr>
          <w:color w:val="231F20"/>
        </w:rPr>
        <w:t>of</w:t>
      </w:r>
      <w:r>
        <w:rPr>
          <w:color w:val="231F20"/>
          <w:spacing w:val="-3"/>
        </w:rPr>
        <w:t> </w:t>
      </w:r>
      <w:r>
        <w:rPr>
          <w:color w:val="231F20"/>
          <w:spacing w:val="-1"/>
        </w:rPr>
        <w:t>Data</w:t>
      </w:r>
      <w:r>
        <w:rPr>
          <w:color w:val="231F20"/>
          <w:spacing w:val="-3"/>
        </w:rPr>
        <w:t> </w:t>
      </w:r>
      <w:r>
        <w:rPr>
          <w:color w:val="231F20"/>
        </w:rPr>
        <w:t>on</w:t>
      </w:r>
      <w:r>
        <w:rPr>
          <w:color w:val="231F20"/>
          <w:spacing w:val="-3"/>
        </w:rPr>
        <w:t> </w:t>
      </w:r>
      <w:r>
        <w:rPr>
          <w:color w:val="231F20"/>
          <w:spacing w:val="-1"/>
        </w:rPr>
        <w:t>School</w:t>
      </w:r>
      <w:r>
        <w:rPr>
          <w:color w:val="231F20"/>
          <w:spacing w:val="-3"/>
        </w:rPr>
        <w:t> </w:t>
      </w:r>
      <w:r>
        <w:rPr>
          <w:color w:val="231F20"/>
          <w:spacing w:val="-1"/>
        </w:rPr>
        <w:t>Students</w:t>
      </w:r>
      <w:r>
        <w:rPr>
          <w:color w:val="231F20"/>
          <w:spacing w:val="-4"/>
        </w:rPr>
        <w:t> </w:t>
      </w:r>
      <w:r>
        <w:rPr>
          <w:color w:val="231F20"/>
        </w:rPr>
        <w:t>with</w:t>
      </w:r>
      <w:r>
        <w:rPr>
          <w:color w:val="231F20"/>
          <w:spacing w:val="25"/>
          <w:w w:val="99"/>
        </w:rPr>
        <w:t> </w:t>
      </w:r>
      <w:r>
        <w:rPr>
          <w:color w:val="231F20"/>
          <w:spacing w:val="-1"/>
        </w:rPr>
        <w:t>Disability.</w:t>
      </w:r>
      <w:r>
        <w:rPr>
          <w:rFonts w:ascii="Segoe UI Semibold" w:hAnsi="Segoe UI Semibold" w:cs="Segoe UI Semibold" w:eastAsia="Segoe UI Semibold"/>
          <w:b/>
          <w:bCs/>
          <w:color w:val="231F20"/>
          <w:spacing w:val="-1"/>
          <w:position w:val="7"/>
          <w:sz w:val="11"/>
          <w:szCs w:val="11"/>
        </w:rPr>
        <w:t>177</w:t>
      </w:r>
      <w:r>
        <w:rPr>
          <w:rFonts w:ascii="Segoe UI Semibold" w:hAnsi="Segoe UI Semibold" w:cs="Segoe UI Semibold" w:eastAsia="Segoe UI Semibold"/>
          <w:sz w:val="11"/>
          <w:szCs w:val="11"/>
        </w:rPr>
      </w:r>
    </w:p>
    <w:p>
      <w:pPr>
        <w:spacing w:after="0" w:line="250" w:lineRule="exact"/>
        <w:jc w:val="left"/>
        <w:rPr>
          <w:rFonts w:ascii="Segoe UI Semibold" w:hAnsi="Segoe UI Semibold" w:cs="Segoe UI Semibold" w:eastAsia="Segoe UI Semibold"/>
          <w:sz w:val="11"/>
          <w:szCs w:val="11"/>
        </w:rPr>
        <w:sectPr>
          <w:type w:val="continuous"/>
          <w:pgSz w:w="11910" w:h="16840"/>
          <w:pgMar w:top="1580" w:bottom="280" w:left="1300" w:right="1620"/>
          <w:cols w:num="2" w:equalWidth="0">
            <w:col w:w="4369" w:space="223"/>
            <w:col w:w="4398"/>
          </w:cols>
        </w:sectPr>
      </w:pPr>
    </w:p>
    <w:p>
      <w:pPr>
        <w:spacing w:line="240" w:lineRule="auto" w:before="0"/>
        <w:rPr>
          <w:rFonts w:ascii="Times New Roman" w:hAnsi="Times New Roman" w:cs="Times New Roman" w:eastAsia="Times New Roman"/>
          <w:sz w:val="20"/>
          <w:szCs w:val="20"/>
        </w:rPr>
      </w:pPr>
      <w:r>
        <w:rPr/>
        <w:pict>
          <v:group style="position:absolute;margin-left:85.039001pt;margin-top:113.387016pt;width:439.4pt;height:247.3pt;mso-position-horizontal-relative:page;mso-position-vertical-relative:page;z-index:-220624" coordorigin="1701,2268" coordsize="8788,4946">
            <v:group style="position:absolute;left:1801;top:2368;width:8588;height:4746" coordorigin="1801,2368" coordsize="8588,4746">
              <v:shape style="position:absolute;left:1801;top:2368;width:8588;height:4746" coordorigin="1801,2368" coordsize="8588,4746" path="m1801,7113l10388,7113,10388,2368,1801,2368,1801,7113xe" filled="false" stroked="true" strokeweight="10pt" strokecolor="#c1b5a9">
                <v:path arrowok="t"/>
              </v:shape>
            </v:group>
            <v:group style="position:absolute;left:2098;top:3345;width:3902;height:3276" coordorigin="2098,3345" coordsize="3902,3276">
              <v:shape style="position:absolute;left:2098;top:3345;width:3902;height:3276" coordorigin="2098,3345" coordsize="3902,3276" path="m2098,6620l6000,6620,6000,3345,2098,3345,2098,6620xe" filled="true" fillcolor="#ffffff" stroked="false">
                <v:path arrowok="t"/>
                <v:fill type="solid"/>
              </v:shape>
            </v:group>
            <v:group style="position:absolute;left:2530;top:3838;width:3471;height:2" coordorigin="2530,3838" coordsize="3471,2">
              <v:shape style="position:absolute;left:2530;top:3838;width:3471;height:2" coordorigin="2530,3838" coordsize="3471,0" path="m2530,3838l6000,3838e" filled="false" stroked="true" strokeweight=".714pt" strokecolor="#dcddde">
                <v:path arrowok="t"/>
              </v:shape>
            </v:group>
            <v:group style="position:absolute;left:6419;top:3345;width:3697;height:3283" coordorigin="6419,3345" coordsize="3697,3283">
              <v:shape style="position:absolute;left:6419;top:3345;width:3697;height:3283" coordorigin="6419,3345" coordsize="3697,3283" path="m6419,6628l10116,6628,10116,3345,6419,3345,6419,6628xe" filled="true" fillcolor="#ffffff" stroked="false">
                <v:path arrowok="t"/>
                <v:fill type="solid"/>
              </v:shape>
            </v:group>
            <v:group style="position:absolute;left:9756;top:5621;width:359;height:2" coordorigin="9756,5621" coordsize="359,2">
              <v:shape style="position:absolute;left:9756;top:5621;width:359;height:2" coordorigin="9756,5621" coordsize="359,0" path="m9756,5621l10115,5621e" filled="false" stroked="true" strokeweight=".714pt" strokecolor="#dcddde">
                <v:path arrowok="t"/>
              </v:shape>
            </v:group>
            <v:group style="position:absolute;left:8709;top:5621;width:721;height:2" coordorigin="8709,5621" coordsize="721,2">
              <v:shape style="position:absolute;left:8709;top:5621;width:721;height:2" coordorigin="8709,5621" coordsize="721,0" path="m8709,5621l9429,5621e" filled="false" stroked="true" strokeweight=".714pt" strokecolor="#dcddde">
                <v:path arrowok="t"/>
              </v:shape>
            </v:group>
            <v:group style="position:absolute;left:7662;top:5621;width:721;height:2" coordorigin="7662,5621" coordsize="721,2">
              <v:shape style="position:absolute;left:7662;top:5621;width:721;height:2" coordorigin="7662,5621" coordsize="721,0" path="m7662,5621l8382,5621e" filled="false" stroked="true" strokeweight=".714pt" strokecolor="#dcddde">
                <v:path arrowok="t"/>
              </v:shape>
            </v:group>
            <v:group style="position:absolute;left:6975;top:5621;width:360;height:2" coordorigin="6975,5621" coordsize="360,2">
              <v:shape style="position:absolute;left:6975;top:5621;width:360;height:2" coordorigin="6975,5621" coordsize="360,0" path="m6975,5621l7335,5621e" filled="false" stroked="true" strokeweight=".714pt" strokecolor="#dcddde">
                <v:path arrowok="t"/>
              </v:shape>
            </v:group>
            <v:group style="position:absolute;left:9756;top:5368;width:359;height:2" coordorigin="9756,5368" coordsize="359,2">
              <v:shape style="position:absolute;left:9756;top:5368;width:359;height:2" coordorigin="9756,5368" coordsize="359,0" path="m9756,5368l10115,5368e" filled="false" stroked="true" strokeweight=".714pt" strokecolor="#dcddde">
                <v:path arrowok="t"/>
              </v:shape>
            </v:group>
            <v:group style="position:absolute;left:8709;top:5368;width:721;height:2" coordorigin="8709,5368" coordsize="721,2">
              <v:shape style="position:absolute;left:8709;top:5368;width:721;height:2" coordorigin="8709,5368" coordsize="721,0" path="m8709,5368l9429,5368e" filled="false" stroked="true" strokeweight=".714pt" strokecolor="#dcddde">
                <v:path arrowok="t"/>
              </v:shape>
            </v:group>
            <v:group style="position:absolute;left:7662;top:5368;width:721;height:2" coordorigin="7662,5368" coordsize="721,2">
              <v:shape style="position:absolute;left:7662;top:5368;width:721;height:2" coordorigin="7662,5368" coordsize="721,0" path="m7662,5368l8382,5368e" filled="false" stroked="true" strokeweight=".714pt" strokecolor="#dcddde">
                <v:path arrowok="t"/>
              </v:shape>
            </v:group>
            <v:group style="position:absolute;left:6975;top:5368;width:360;height:2" coordorigin="6975,5368" coordsize="360,2">
              <v:shape style="position:absolute;left:6975;top:5368;width:360;height:2" coordorigin="6975,5368" coordsize="360,0" path="m6975,5368l7335,5368e" filled="false" stroked="true" strokeweight=".714pt" strokecolor="#dcddde">
                <v:path arrowok="t"/>
              </v:shape>
            </v:group>
            <v:group style="position:absolute;left:9756;top:5112;width:359;height:2" coordorigin="9756,5112" coordsize="359,2">
              <v:shape style="position:absolute;left:9756;top:5112;width:359;height:2" coordorigin="9756,5112" coordsize="359,0" path="m9756,5112l10115,5112e" filled="false" stroked="true" strokeweight=".714pt" strokecolor="#dcddde">
                <v:path arrowok="t"/>
              </v:shape>
            </v:group>
            <v:group style="position:absolute;left:8709;top:5112;width:721;height:2" coordorigin="8709,5112" coordsize="721,2">
              <v:shape style="position:absolute;left:8709;top:5112;width:721;height:2" coordorigin="8709,5112" coordsize="721,0" path="m8709,5112l9429,5112e" filled="false" stroked="true" strokeweight=".714pt" strokecolor="#dcddde">
                <v:path arrowok="t"/>
              </v:shape>
            </v:group>
            <v:group style="position:absolute;left:6975;top:5112;width:1407;height:2" coordorigin="6975,5112" coordsize="1407,2">
              <v:shape style="position:absolute;left:6975;top:5112;width:1407;height:2" coordorigin="6975,5112" coordsize="1407,0" path="m6975,5112l8382,5112e" filled="false" stroked="true" strokeweight=".714pt" strokecolor="#dcddde">
                <v:path arrowok="t"/>
              </v:shape>
            </v:group>
            <v:group style="position:absolute;left:9756;top:4858;width:359;height:2" coordorigin="9756,4858" coordsize="359,2">
              <v:shape style="position:absolute;left:9756;top:4858;width:359;height:2" coordorigin="9756,4858" coordsize="359,0" path="m9756,4858l10115,4858e" filled="false" stroked="true" strokeweight=".714pt" strokecolor="#dcddde">
                <v:path arrowok="t"/>
              </v:shape>
            </v:group>
            <v:group style="position:absolute;left:8709;top:4858;width:721;height:2" coordorigin="8709,4858" coordsize="721,2">
              <v:shape style="position:absolute;left:8709;top:4858;width:721;height:2" coordorigin="8709,4858" coordsize="721,0" path="m8709,4858l9429,4858e" filled="false" stroked="true" strokeweight=".714pt" strokecolor="#dcddde">
                <v:path arrowok="t"/>
              </v:shape>
            </v:group>
            <v:group style="position:absolute;left:6975;top:4858;width:1407;height:2" coordorigin="6975,4858" coordsize="1407,2">
              <v:shape style="position:absolute;left:6975;top:4858;width:1407;height:2" coordorigin="6975,4858" coordsize="1407,0" path="m6975,4858l8382,4858e" filled="false" stroked="true" strokeweight=".714pt" strokecolor="#dcddde">
                <v:path arrowok="t"/>
              </v:shape>
            </v:group>
            <v:group style="position:absolute;left:9756;top:4604;width:359;height:2" coordorigin="9756,4604" coordsize="359,2">
              <v:shape style="position:absolute;left:9756;top:4604;width:359;height:2" coordorigin="9756,4604" coordsize="359,0" path="m9756,4604l10115,4604e" filled="false" stroked="true" strokeweight=".714pt" strokecolor="#dcddde">
                <v:path arrowok="t"/>
              </v:shape>
            </v:group>
            <v:group style="position:absolute;left:6975;top:4604;width:2455;height:2" coordorigin="6975,4604" coordsize="2455,2">
              <v:shape style="position:absolute;left:6975;top:4604;width:2455;height:2" coordorigin="6975,4604" coordsize="2455,0" path="m6975,4604l9429,4604e" filled="false" stroked="true" strokeweight=".714pt" strokecolor="#dcddde">
                <v:path arrowok="t"/>
              </v:shape>
            </v:group>
            <v:group style="position:absolute;left:9756;top:4348;width:359;height:2" coordorigin="9756,4348" coordsize="359,2">
              <v:shape style="position:absolute;left:9756;top:4348;width:359;height:2" coordorigin="9756,4348" coordsize="359,0" path="m9756,4348l10115,4348e" filled="false" stroked="true" strokeweight=".714pt" strokecolor="#dcddde">
                <v:path arrowok="t"/>
              </v:shape>
            </v:group>
            <v:group style="position:absolute;left:6975;top:4348;width:2455;height:2" coordorigin="6975,4348" coordsize="2455,2">
              <v:shape style="position:absolute;left:6975;top:4348;width:2455;height:2" coordorigin="6975,4348" coordsize="2455,0" path="m6975,4348l9429,4348e" filled="false" stroked="true" strokeweight=".714pt" strokecolor="#dcddde">
                <v:path arrowok="t"/>
              </v:shape>
            </v:group>
            <v:group style="position:absolute;left:6975;top:4094;width:3140;height:2" coordorigin="6975,4094" coordsize="3140,2">
              <v:shape style="position:absolute;left:6975;top:4094;width:3140;height:2" coordorigin="6975,4094" coordsize="3140,0" path="m6975,4094l10115,4094e" filled="false" stroked="true" strokeweight=".714pt" strokecolor="#dcddde">
                <v:path arrowok="t"/>
              </v:shape>
            </v:group>
            <v:group style="position:absolute;left:6975;top:3839;width:3140;height:2" coordorigin="6975,3839" coordsize="3140,2">
              <v:shape style="position:absolute;left:6975;top:3839;width:3140;height:2" coordorigin="6975,3839" coordsize="3140,0" path="m6975,3839l10115,3839e" filled="false" stroked="true" strokeweight=".714pt" strokecolor="#dcddde">
                <v:path arrowok="t"/>
              </v:shape>
            </v:group>
            <v:group style="position:absolute;left:7335;top:5173;width:327;height:704" coordorigin="7335,5173" coordsize="327,704">
              <v:shape style="position:absolute;left:7335;top:5173;width:327;height:704" coordorigin="7335,5173" coordsize="327,704" path="m7662,5173l7335,5173,7335,5877,7662,5877,7662,5173xe" filled="true" fillcolor="#8164a2" stroked="false">
                <v:path arrowok="t"/>
                <v:fill type="solid"/>
              </v:shape>
            </v:group>
            <v:group style="position:absolute;left:8382;top:4684;width:327;height:1193" coordorigin="8382,4684" coordsize="327,1193">
              <v:shape style="position:absolute;left:8382;top:4684;width:327;height:1193" coordorigin="8382,4684" coordsize="327,1193" path="m8709,4684l8382,4684,8382,5877,8709,5877,8709,4684xe" filled="true" fillcolor="#8164a2" stroked="false">
                <v:path arrowok="t"/>
                <v:fill type="solid"/>
              </v:shape>
            </v:group>
            <v:group style="position:absolute;left:9429;top:4181;width:327;height:1696" coordorigin="9429,4181" coordsize="327,1696">
              <v:shape style="position:absolute;left:9429;top:4181;width:327;height:1696" coordorigin="9429,4181" coordsize="327,1696" path="m9756,4181l9429,4181,9429,5877,9756,5877,9756,4181xe" filled="true" fillcolor="#8164a2" stroked="false">
                <v:path arrowok="t"/>
                <v:fill type="solid"/>
              </v:shape>
            </v:group>
            <v:group style="position:absolute;left:6975;top:5877;width:3140;height:2" coordorigin="6975,5877" coordsize="3140,2">
              <v:shape style="position:absolute;left:6975;top:5877;width:3140;height:2" coordorigin="6975,5877" coordsize="3140,0" path="m6975,5877l10115,5877e" filled="false" stroked="true" strokeweight=".714pt" strokecolor="#dcddde">
                <v:path arrowok="t"/>
              </v:shape>
              <v:shape style="position:absolute;left:1987;top:2601;width:7870;height:360" type="#_x0000_t202" filled="false" stroked="false">
                <v:textbox inset="0,0,0,0">
                  <w:txbxContent>
                    <w:p>
                      <w:pPr>
                        <w:spacing w:line="159" w:lineRule="exact" w:before="0"/>
                        <w:ind w:left="0" w:right="0" w:firstLine="0"/>
                        <w:jc w:val="left"/>
                        <w:rPr>
                          <w:rFonts w:ascii="Segoe UI Semibold" w:hAnsi="Segoe UI Semibold" w:cs="Segoe UI Semibold" w:eastAsia="Segoe UI Semibold"/>
                          <w:sz w:val="16"/>
                          <w:szCs w:val="16"/>
                        </w:rPr>
                      </w:pPr>
                      <w:r>
                        <w:rPr>
                          <w:rFonts w:ascii="Segoe UI Semibold"/>
                          <w:b/>
                          <w:color w:val="666155"/>
                          <w:spacing w:val="4"/>
                          <w:sz w:val="16"/>
                        </w:rPr>
                        <w:t>GRAPH</w:t>
                      </w:r>
                      <w:r>
                        <w:rPr>
                          <w:rFonts w:ascii="Segoe UI Semibold"/>
                          <w:b/>
                          <w:color w:val="666155"/>
                          <w:spacing w:val="-3"/>
                          <w:sz w:val="16"/>
                        </w:rPr>
                        <w:t> </w:t>
                      </w:r>
                      <w:r>
                        <w:rPr>
                          <w:rFonts w:ascii="Segoe UI Semibold"/>
                          <w:b/>
                          <w:color w:val="666155"/>
                          <w:sz w:val="16"/>
                        </w:rPr>
                        <w:t>29:</w:t>
                      </w:r>
                      <w:r>
                        <w:rPr>
                          <w:rFonts w:ascii="Segoe UI Semibold"/>
                          <w:b/>
                          <w:color w:val="666155"/>
                          <w:spacing w:val="-2"/>
                          <w:sz w:val="16"/>
                        </w:rPr>
                        <w:t> </w:t>
                      </w:r>
                      <w:r>
                        <w:rPr>
                          <w:rFonts w:ascii="Segoe UI Semibold"/>
                          <w:b/>
                          <w:color w:val="666155"/>
                          <w:spacing w:val="4"/>
                          <w:sz w:val="16"/>
                        </w:rPr>
                        <w:t>ABORIGINAL</w:t>
                      </w:r>
                      <w:r>
                        <w:rPr>
                          <w:rFonts w:ascii="Segoe UI Semibold"/>
                          <w:b/>
                          <w:color w:val="666155"/>
                          <w:spacing w:val="1"/>
                          <w:sz w:val="16"/>
                        </w:rPr>
                        <w:t> </w:t>
                      </w:r>
                      <w:r>
                        <w:rPr>
                          <w:rFonts w:ascii="Segoe UI Semibold"/>
                          <w:b/>
                          <w:color w:val="666155"/>
                          <w:spacing w:val="3"/>
                          <w:sz w:val="16"/>
                        </w:rPr>
                        <w:t>AND</w:t>
                      </w:r>
                      <w:r>
                        <w:rPr>
                          <w:rFonts w:ascii="Segoe UI Semibold"/>
                          <w:b/>
                          <w:color w:val="666155"/>
                          <w:spacing w:val="1"/>
                          <w:sz w:val="16"/>
                        </w:rPr>
                        <w:t> </w:t>
                      </w:r>
                      <w:r>
                        <w:rPr>
                          <w:rFonts w:ascii="Segoe UI Semibold"/>
                          <w:b/>
                          <w:color w:val="666155"/>
                          <w:spacing w:val="3"/>
                          <w:sz w:val="16"/>
                        </w:rPr>
                        <w:t>TORRES</w:t>
                      </w:r>
                      <w:r>
                        <w:rPr>
                          <w:rFonts w:ascii="Segoe UI Semibold"/>
                          <w:b/>
                          <w:color w:val="666155"/>
                          <w:sz w:val="16"/>
                        </w:rPr>
                        <w:t> </w:t>
                      </w:r>
                      <w:r>
                        <w:rPr>
                          <w:rFonts w:ascii="Segoe UI Semibold"/>
                          <w:b/>
                          <w:color w:val="666155"/>
                          <w:spacing w:val="4"/>
                          <w:sz w:val="16"/>
                        </w:rPr>
                        <w:t>STRAIT</w:t>
                      </w:r>
                      <w:r>
                        <w:rPr>
                          <w:rFonts w:ascii="Segoe UI Semibold"/>
                          <w:b/>
                          <w:color w:val="666155"/>
                          <w:spacing w:val="1"/>
                          <w:sz w:val="16"/>
                        </w:rPr>
                        <w:t> </w:t>
                      </w:r>
                      <w:r>
                        <w:rPr>
                          <w:rFonts w:ascii="Segoe UI Semibold"/>
                          <w:b/>
                          <w:color w:val="666155"/>
                          <w:spacing w:val="4"/>
                          <w:sz w:val="16"/>
                        </w:rPr>
                        <w:t>ISLANDER</w:t>
                      </w:r>
                      <w:r>
                        <w:rPr>
                          <w:rFonts w:ascii="Segoe UI Semibold"/>
                          <w:b/>
                          <w:color w:val="666155"/>
                          <w:sz w:val="16"/>
                        </w:rPr>
                        <w:t> </w:t>
                      </w:r>
                      <w:r>
                        <w:rPr>
                          <w:rFonts w:ascii="Segoe UI Semibold"/>
                          <w:b/>
                          <w:color w:val="666155"/>
                          <w:spacing w:val="4"/>
                          <w:sz w:val="16"/>
                        </w:rPr>
                        <w:t>SPECIAL</w:t>
                      </w:r>
                      <w:r>
                        <w:rPr>
                          <w:rFonts w:ascii="Segoe UI Semibold"/>
                          <w:b/>
                          <w:color w:val="666155"/>
                          <w:spacing w:val="1"/>
                          <w:sz w:val="16"/>
                        </w:rPr>
                        <w:t> </w:t>
                      </w:r>
                      <w:r>
                        <w:rPr>
                          <w:rFonts w:ascii="Segoe UI Semibold"/>
                          <w:b/>
                          <w:color w:val="666155"/>
                          <w:spacing w:val="3"/>
                          <w:sz w:val="16"/>
                        </w:rPr>
                        <w:t>ASSISTANCE</w:t>
                      </w:r>
                      <w:r>
                        <w:rPr>
                          <w:rFonts w:ascii="Segoe UI Semibold"/>
                          <w:b/>
                          <w:color w:val="666155"/>
                          <w:sz w:val="16"/>
                        </w:rPr>
                        <w:t> </w:t>
                      </w:r>
                      <w:r>
                        <w:rPr>
                          <w:rFonts w:ascii="Segoe UI Semibold"/>
                          <w:b/>
                          <w:color w:val="666155"/>
                          <w:spacing w:val="4"/>
                          <w:sz w:val="16"/>
                        </w:rPr>
                        <w:t>BOARDING</w:t>
                      </w:r>
                      <w:r>
                        <w:rPr>
                          <w:rFonts w:ascii="Segoe UI Semibold"/>
                          <w:b/>
                          <w:color w:val="666155"/>
                          <w:spacing w:val="1"/>
                          <w:sz w:val="16"/>
                        </w:rPr>
                        <w:t> </w:t>
                      </w:r>
                      <w:r>
                        <w:rPr>
                          <w:rFonts w:ascii="Segoe UI Semibold"/>
                          <w:b/>
                          <w:color w:val="666155"/>
                          <w:spacing w:val="4"/>
                          <w:sz w:val="16"/>
                        </w:rPr>
                        <w:t>PROVIDERS</w:t>
                      </w:r>
                      <w:r>
                        <w:rPr>
                          <w:rFonts w:ascii="Segoe UI Semibold"/>
                          <w:sz w:val="16"/>
                        </w:rPr>
                      </w:r>
                    </w:p>
                    <w:p>
                      <w:pPr>
                        <w:spacing w:line="201" w:lineRule="exact" w:before="0"/>
                        <w:ind w:left="0" w:right="0" w:firstLine="0"/>
                        <w:jc w:val="left"/>
                        <w:rPr>
                          <w:rFonts w:ascii="Segoe UI Semibold" w:hAnsi="Segoe UI Semibold" w:cs="Segoe UI Semibold" w:eastAsia="Segoe UI Semibold"/>
                          <w:sz w:val="16"/>
                          <w:szCs w:val="16"/>
                        </w:rPr>
                      </w:pPr>
                      <w:r>
                        <w:rPr>
                          <w:rFonts w:ascii="Segoe UI Semibold" w:hAnsi="Segoe UI Semibold" w:cs="Segoe UI Semibold" w:eastAsia="Segoe UI Semibold"/>
                          <w:b/>
                          <w:bCs/>
                          <w:color w:val="666155"/>
                          <w:spacing w:val="3"/>
                          <w:sz w:val="16"/>
                          <w:szCs w:val="16"/>
                        </w:rPr>
                        <w:t>AND</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MAINSTREAM</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spacing w:val="4"/>
                          <w:sz w:val="16"/>
                          <w:szCs w:val="16"/>
                        </w:rPr>
                        <w:t>BOARDING</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PROVIDERS,</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4"/>
                          <w:sz w:val="16"/>
                          <w:szCs w:val="16"/>
                        </w:rPr>
                        <w:t>NAPLAN</w:t>
                      </w:r>
                      <w:r>
                        <w:rPr>
                          <w:rFonts w:ascii="Segoe UI Semibold" w:hAnsi="Segoe UI Semibold" w:cs="Segoe UI Semibold" w:eastAsia="Segoe UI Semibold"/>
                          <w:b/>
                          <w:bCs/>
                          <w:color w:val="666155"/>
                          <w:spacing w:val="3"/>
                          <w:sz w:val="16"/>
                          <w:szCs w:val="16"/>
                        </w:rPr>
                        <w:t> RESULTS</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3"/>
                          <w:sz w:val="16"/>
                          <w:szCs w:val="16"/>
                        </w:rPr>
                        <w:t>AND ATTENDANCE,</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z w:val="16"/>
                          <w:szCs w:val="16"/>
                        </w:rPr>
                        <w:t>2015</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position w:val="1"/>
                          <w:sz w:val="16"/>
                          <w:szCs w:val="16"/>
                        </w:rPr>
                        <w:t>—</w:t>
                      </w:r>
                      <w:r>
                        <w:rPr>
                          <w:rFonts w:ascii="Segoe UI Semibold" w:hAnsi="Segoe UI Semibold" w:cs="Segoe UI Semibold" w:eastAsia="Segoe UI Semibold"/>
                          <w:b/>
                          <w:bCs/>
                          <w:color w:val="666155"/>
                          <w:spacing w:val="-2"/>
                          <w:position w:val="1"/>
                          <w:sz w:val="16"/>
                          <w:szCs w:val="16"/>
                        </w:rPr>
                        <w:t> </w:t>
                      </w:r>
                      <w:r>
                        <w:rPr>
                          <w:rFonts w:ascii="Segoe UI Semibold" w:hAnsi="Segoe UI Semibold" w:cs="Segoe UI Semibold" w:eastAsia="Segoe UI Semibold"/>
                          <w:b/>
                          <w:bCs/>
                          <w:color w:val="666155"/>
                          <w:spacing w:val="-1"/>
                          <w:sz w:val="16"/>
                          <w:szCs w:val="16"/>
                        </w:rPr>
                        <w:t>2017</w:t>
                      </w:r>
                      <w:r>
                        <w:rPr>
                          <w:rFonts w:ascii="Segoe UI Semibold" w:hAnsi="Segoe UI Semibold" w:cs="Segoe UI Semibold" w:eastAsia="Segoe UI Semibold"/>
                          <w:sz w:val="16"/>
                          <w:szCs w:val="16"/>
                        </w:rPr>
                      </w:r>
                    </w:p>
                  </w:txbxContent>
                </v:textbox>
                <w10:wrap type="none"/>
              </v:shape>
              <v:shape style="position:absolute;left:3341;top:3462;width:1412;height:183" type="#_x0000_t202" filled="false" stroked="false">
                <v:textbox inset="0,0,0,0">
                  <w:txbxContent>
                    <w:p>
                      <w:pPr>
                        <w:spacing w:line="183" w:lineRule="exact" w:before="0"/>
                        <w:ind w:left="0" w:right="0" w:firstLine="0"/>
                        <w:jc w:val="left"/>
                        <w:rPr>
                          <w:rFonts w:ascii="Segoe UI" w:hAnsi="Segoe UI" w:cs="Segoe UI" w:eastAsia="Segoe UI"/>
                          <w:sz w:val="18"/>
                          <w:szCs w:val="18"/>
                        </w:rPr>
                      </w:pPr>
                      <w:r>
                        <w:rPr>
                          <w:rFonts w:ascii="Segoe UI"/>
                          <w:color w:val="77787B"/>
                          <w:sz w:val="18"/>
                        </w:rPr>
                        <w:t>Average</w:t>
                      </w:r>
                      <w:r>
                        <w:rPr>
                          <w:rFonts w:ascii="Segoe UI"/>
                          <w:color w:val="77787B"/>
                          <w:spacing w:val="9"/>
                          <w:sz w:val="18"/>
                        </w:rPr>
                        <w:t> </w:t>
                      </w:r>
                      <w:r>
                        <w:rPr>
                          <w:rFonts w:ascii="Segoe UI"/>
                          <w:color w:val="77787B"/>
                          <w:sz w:val="18"/>
                        </w:rPr>
                        <w:t>NAPLAN</w:t>
                      </w:r>
                      <w:r>
                        <w:rPr>
                          <w:rFonts w:ascii="Segoe UI"/>
                          <w:sz w:val="18"/>
                        </w:rPr>
                      </w:r>
                    </w:p>
                  </w:txbxContent>
                </v:textbox>
                <w10:wrap type="none"/>
              </v:shape>
              <v:shape style="position:absolute;left:7461;top:3462;width:1612;height:183" type="#_x0000_t202" filled="false" stroked="false">
                <v:textbox inset="0,0,0,0">
                  <w:txbxContent>
                    <w:p>
                      <w:pPr>
                        <w:spacing w:line="183" w:lineRule="exact" w:before="0"/>
                        <w:ind w:left="0" w:right="0" w:firstLine="0"/>
                        <w:jc w:val="left"/>
                        <w:rPr>
                          <w:rFonts w:ascii="Segoe UI" w:hAnsi="Segoe UI" w:cs="Segoe UI" w:eastAsia="Segoe UI"/>
                          <w:sz w:val="18"/>
                          <w:szCs w:val="18"/>
                        </w:rPr>
                      </w:pPr>
                      <w:r>
                        <w:rPr>
                          <w:rFonts w:ascii="Segoe UI"/>
                          <w:color w:val="77787B"/>
                          <w:sz w:val="18"/>
                        </w:rPr>
                        <w:t>Average</w:t>
                      </w:r>
                      <w:r>
                        <w:rPr>
                          <w:rFonts w:ascii="Segoe UI"/>
                          <w:color w:val="77787B"/>
                          <w:spacing w:val="11"/>
                          <w:sz w:val="18"/>
                        </w:rPr>
                        <w:t> </w:t>
                      </w:r>
                      <w:r>
                        <w:rPr>
                          <w:rFonts w:ascii="Segoe UI"/>
                          <w:color w:val="77787B"/>
                          <w:sz w:val="18"/>
                        </w:rPr>
                        <w:t>attendance</w:t>
                      </w:r>
                      <w:r>
                        <w:rPr>
                          <w:rFonts w:ascii="Segoe UI"/>
                          <w:sz w:val="18"/>
                        </w:rPr>
                      </w:r>
                    </w:p>
                  </w:txbxContent>
                </v:textbox>
                <w10:wrap type="none"/>
              </v:shape>
              <v:shape style="position:absolute;left:2127;top:3772;width:247;height:1905" type="#_x0000_t202" filled="false" stroked="false">
                <v:textbox inset="0,0,0,0">
                  <w:txbxContent>
                    <w:p>
                      <w:pPr>
                        <w:spacing w:line="154" w:lineRule="exact" w:before="0"/>
                        <w:ind w:left="0" w:right="0" w:firstLine="0"/>
                        <w:jc w:val="left"/>
                        <w:rPr>
                          <w:rFonts w:ascii="Segoe UI" w:hAnsi="Segoe UI" w:cs="Segoe UI" w:eastAsia="Segoe UI"/>
                          <w:sz w:val="15"/>
                          <w:szCs w:val="15"/>
                        </w:rPr>
                      </w:pPr>
                      <w:r>
                        <w:rPr>
                          <w:rFonts w:ascii="Segoe UI"/>
                          <w:color w:val="77787B"/>
                          <w:spacing w:val="-1"/>
                          <w:sz w:val="15"/>
                        </w:rPr>
                        <w:t>600</w:t>
                      </w:r>
                      <w:r>
                        <w:rPr>
                          <w:rFonts w:ascii="Segoe UI"/>
                          <w:sz w:val="15"/>
                        </w:rPr>
                      </w:r>
                    </w:p>
                    <w:p>
                      <w:pPr>
                        <w:spacing w:before="92"/>
                        <w:ind w:left="0" w:right="0" w:firstLine="0"/>
                        <w:jc w:val="left"/>
                        <w:rPr>
                          <w:rFonts w:ascii="Segoe UI" w:hAnsi="Segoe UI" w:cs="Segoe UI" w:eastAsia="Segoe UI"/>
                          <w:sz w:val="15"/>
                          <w:szCs w:val="15"/>
                        </w:rPr>
                      </w:pPr>
                      <w:r>
                        <w:rPr>
                          <w:rFonts w:ascii="Segoe UI"/>
                          <w:color w:val="77787B"/>
                          <w:spacing w:val="-1"/>
                          <w:sz w:val="15"/>
                        </w:rPr>
                        <w:t>550</w:t>
                      </w:r>
                      <w:r>
                        <w:rPr>
                          <w:rFonts w:ascii="Segoe UI"/>
                          <w:sz w:val="15"/>
                        </w:rPr>
                      </w:r>
                    </w:p>
                    <w:p>
                      <w:pPr>
                        <w:spacing w:before="92"/>
                        <w:ind w:left="0" w:right="0" w:firstLine="0"/>
                        <w:jc w:val="left"/>
                        <w:rPr>
                          <w:rFonts w:ascii="Segoe UI" w:hAnsi="Segoe UI" w:cs="Segoe UI" w:eastAsia="Segoe UI"/>
                          <w:sz w:val="15"/>
                          <w:szCs w:val="15"/>
                        </w:rPr>
                      </w:pPr>
                      <w:r>
                        <w:rPr>
                          <w:rFonts w:ascii="Segoe UI"/>
                          <w:color w:val="77787B"/>
                          <w:spacing w:val="-1"/>
                          <w:sz w:val="15"/>
                        </w:rPr>
                        <w:t>500</w:t>
                      </w:r>
                      <w:r>
                        <w:rPr>
                          <w:rFonts w:ascii="Segoe UI"/>
                          <w:sz w:val="15"/>
                        </w:rPr>
                      </w:r>
                    </w:p>
                    <w:p>
                      <w:pPr>
                        <w:spacing w:before="92"/>
                        <w:ind w:left="0" w:right="0" w:firstLine="0"/>
                        <w:jc w:val="left"/>
                        <w:rPr>
                          <w:rFonts w:ascii="Segoe UI" w:hAnsi="Segoe UI" w:cs="Segoe UI" w:eastAsia="Segoe UI"/>
                          <w:sz w:val="15"/>
                          <w:szCs w:val="15"/>
                        </w:rPr>
                      </w:pPr>
                      <w:r>
                        <w:rPr>
                          <w:rFonts w:ascii="Segoe UI"/>
                          <w:color w:val="77787B"/>
                          <w:spacing w:val="-1"/>
                          <w:sz w:val="15"/>
                        </w:rPr>
                        <w:t>450</w:t>
                      </w:r>
                      <w:r>
                        <w:rPr>
                          <w:rFonts w:ascii="Segoe UI"/>
                          <w:sz w:val="15"/>
                        </w:rPr>
                      </w:r>
                    </w:p>
                    <w:p>
                      <w:pPr>
                        <w:spacing w:before="92"/>
                        <w:ind w:left="0" w:right="0" w:firstLine="0"/>
                        <w:jc w:val="left"/>
                        <w:rPr>
                          <w:rFonts w:ascii="Segoe UI" w:hAnsi="Segoe UI" w:cs="Segoe UI" w:eastAsia="Segoe UI"/>
                          <w:sz w:val="15"/>
                          <w:szCs w:val="15"/>
                        </w:rPr>
                      </w:pPr>
                      <w:r>
                        <w:rPr>
                          <w:rFonts w:ascii="Segoe UI"/>
                          <w:color w:val="77787B"/>
                          <w:spacing w:val="-1"/>
                          <w:sz w:val="15"/>
                        </w:rPr>
                        <w:t>400</w:t>
                      </w:r>
                      <w:r>
                        <w:rPr>
                          <w:rFonts w:ascii="Segoe UI"/>
                          <w:sz w:val="15"/>
                        </w:rPr>
                      </w:r>
                    </w:p>
                    <w:p>
                      <w:pPr>
                        <w:spacing w:before="92"/>
                        <w:ind w:left="0" w:right="0" w:firstLine="0"/>
                        <w:jc w:val="left"/>
                        <w:rPr>
                          <w:rFonts w:ascii="Segoe UI" w:hAnsi="Segoe UI" w:cs="Segoe UI" w:eastAsia="Segoe UI"/>
                          <w:sz w:val="15"/>
                          <w:szCs w:val="15"/>
                        </w:rPr>
                      </w:pPr>
                      <w:r>
                        <w:rPr>
                          <w:rFonts w:ascii="Segoe UI"/>
                          <w:color w:val="77787B"/>
                          <w:spacing w:val="-1"/>
                          <w:sz w:val="15"/>
                        </w:rPr>
                        <w:t>350</w:t>
                      </w:r>
                      <w:r>
                        <w:rPr>
                          <w:rFonts w:ascii="Segoe UI"/>
                          <w:sz w:val="15"/>
                        </w:rPr>
                      </w:r>
                    </w:p>
                    <w:p>
                      <w:pPr>
                        <w:spacing w:line="199" w:lineRule="exact" w:before="92"/>
                        <w:ind w:left="0" w:right="0" w:firstLine="0"/>
                        <w:jc w:val="left"/>
                        <w:rPr>
                          <w:rFonts w:ascii="Segoe UI" w:hAnsi="Segoe UI" w:cs="Segoe UI" w:eastAsia="Segoe UI"/>
                          <w:sz w:val="15"/>
                          <w:szCs w:val="15"/>
                        </w:rPr>
                      </w:pPr>
                      <w:r>
                        <w:rPr>
                          <w:rFonts w:ascii="Segoe UI"/>
                          <w:color w:val="77787B"/>
                          <w:spacing w:val="-1"/>
                          <w:sz w:val="15"/>
                        </w:rPr>
                        <w:t>300</w:t>
                      </w:r>
                      <w:r>
                        <w:rPr>
                          <w:rFonts w:ascii="Segoe UI"/>
                          <w:sz w:val="15"/>
                        </w:rPr>
                      </w:r>
                    </w:p>
                  </w:txbxContent>
                </v:textbox>
                <w10:wrap type="none"/>
              </v:shape>
              <v:shape style="position:absolute;left:2761;top:5747;width:696;height:559" type="#_x0000_t202" filled="false" stroked="false">
                <v:textbox inset="0,0,0,0">
                  <w:txbxContent>
                    <w:p>
                      <w:pPr>
                        <w:spacing w:line="154" w:lineRule="exact" w:before="0"/>
                        <w:ind w:left="-2" w:right="0" w:firstLine="0"/>
                        <w:jc w:val="center"/>
                        <w:rPr>
                          <w:rFonts w:ascii="Segoe UI" w:hAnsi="Segoe UI" w:cs="Segoe UI" w:eastAsia="Segoe UI"/>
                          <w:sz w:val="15"/>
                          <w:szCs w:val="15"/>
                        </w:rPr>
                      </w:pPr>
                      <w:r>
                        <w:rPr>
                          <w:rFonts w:ascii="Segoe UI"/>
                          <w:color w:val="77787B"/>
                          <w:spacing w:val="-1"/>
                          <w:sz w:val="15"/>
                        </w:rPr>
                        <w:t>Special</w:t>
                      </w:r>
                      <w:r>
                        <w:rPr>
                          <w:rFonts w:ascii="Segoe UI"/>
                          <w:sz w:val="15"/>
                        </w:rPr>
                      </w:r>
                    </w:p>
                    <w:p>
                      <w:pPr>
                        <w:spacing w:line="244" w:lineRule="auto" w:before="3"/>
                        <w:ind w:left="0" w:right="0" w:firstLine="0"/>
                        <w:jc w:val="center"/>
                        <w:rPr>
                          <w:rFonts w:ascii="Segoe UI" w:hAnsi="Segoe UI" w:cs="Segoe UI" w:eastAsia="Segoe UI"/>
                          <w:sz w:val="15"/>
                          <w:szCs w:val="15"/>
                        </w:rPr>
                      </w:pPr>
                      <w:r>
                        <w:rPr>
                          <w:rFonts w:ascii="Segoe UI"/>
                          <w:color w:val="77787B"/>
                          <w:spacing w:val="-1"/>
                          <w:sz w:val="15"/>
                        </w:rPr>
                        <w:t>Assistance</w:t>
                      </w:r>
                      <w:r>
                        <w:rPr>
                          <w:rFonts w:ascii="Segoe UI"/>
                          <w:color w:val="77787B"/>
                          <w:spacing w:val="22"/>
                          <w:w w:val="102"/>
                          <w:sz w:val="15"/>
                        </w:rPr>
                        <w:t> </w:t>
                      </w:r>
                      <w:r>
                        <w:rPr>
                          <w:rFonts w:ascii="Segoe UI"/>
                          <w:color w:val="77787B"/>
                          <w:spacing w:val="-1"/>
                          <w:sz w:val="15"/>
                        </w:rPr>
                        <w:t>Schools</w:t>
                      </w:r>
                      <w:r>
                        <w:rPr>
                          <w:rFonts w:ascii="Segoe UI"/>
                          <w:sz w:val="15"/>
                        </w:rPr>
                      </w:r>
                    </w:p>
                  </w:txbxContent>
                </v:textbox>
                <w10:wrap type="none"/>
              </v:shape>
              <v:shape style="position:absolute;left:3959;top:5747;width:613;height:154" type="#_x0000_t202" filled="false" stroked="false">
                <v:textbox inset="0,0,0,0">
                  <w:txbxContent>
                    <w:p>
                      <w:pPr>
                        <w:spacing w:line="153" w:lineRule="exact" w:before="0"/>
                        <w:ind w:left="0" w:right="0" w:firstLine="0"/>
                        <w:jc w:val="left"/>
                        <w:rPr>
                          <w:rFonts w:ascii="Segoe UI" w:hAnsi="Segoe UI" w:cs="Segoe UI" w:eastAsia="Segoe UI"/>
                          <w:sz w:val="15"/>
                          <w:szCs w:val="15"/>
                        </w:rPr>
                      </w:pPr>
                      <w:r>
                        <w:rPr>
                          <w:rFonts w:ascii="Segoe UI"/>
                          <w:color w:val="77787B"/>
                          <w:spacing w:val="-1"/>
                          <w:sz w:val="15"/>
                        </w:rPr>
                        <w:t>Non-SAS</w:t>
                      </w:r>
                      <w:r>
                        <w:rPr>
                          <w:rFonts w:ascii="Segoe UI"/>
                          <w:sz w:val="15"/>
                        </w:rPr>
                      </w:r>
                    </w:p>
                  </w:txbxContent>
                </v:textbox>
                <w10:wrap type="none"/>
              </v:shape>
              <v:shape style="position:absolute;left:5024;top:5747;width:798;height:154" type="#_x0000_t202" filled="false" stroked="false">
                <v:textbox inset="0,0,0,0">
                  <w:txbxContent>
                    <w:p>
                      <w:pPr>
                        <w:spacing w:line="153" w:lineRule="exact" w:before="0"/>
                        <w:ind w:left="0" w:right="0" w:firstLine="0"/>
                        <w:jc w:val="left"/>
                        <w:rPr>
                          <w:rFonts w:ascii="Segoe UI" w:hAnsi="Segoe UI" w:cs="Segoe UI" w:eastAsia="Segoe UI"/>
                          <w:sz w:val="15"/>
                          <w:szCs w:val="15"/>
                        </w:rPr>
                      </w:pPr>
                      <w:r>
                        <w:rPr>
                          <w:rFonts w:ascii="Segoe UI"/>
                          <w:color w:val="77787B"/>
                          <w:spacing w:val="-1"/>
                          <w:sz w:val="15"/>
                        </w:rPr>
                        <w:t>Mainstream</w:t>
                      </w:r>
                      <w:r>
                        <w:rPr>
                          <w:rFonts w:ascii="Segoe UI"/>
                          <w:sz w:val="15"/>
                        </w:rPr>
                      </w:r>
                    </w:p>
                  </w:txbxContent>
                </v:textbox>
                <w10:wrap type="none"/>
              </v:shape>
              <v:shape style="position:absolute;left:6448;top:3774;width:373;height:2190" type="#_x0000_t202" filled="false" stroked="false">
                <v:textbox inset="0,0,0,0">
                  <w:txbxContent>
                    <w:p>
                      <w:pPr>
                        <w:spacing w:line="154" w:lineRule="exact" w:before="0"/>
                        <w:ind w:left="0" w:right="0" w:firstLine="0"/>
                        <w:jc w:val="left"/>
                        <w:rPr>
                          <w:rFonts w:ascii="Segoe UI" w:hAnsi="Segoe UI" w:cs="Segoe UI" w:eastAsia="Segoe UI"/>
                          <w:sz w:val="15"/>
                          <w:szCs w:val="15"/>
                        </w:rPr>
                      </w:pPr>
                      <w:r>
                        <w:rPr>
                          <w:rFonts w:ascii="Segoe UI"/>
                          <w:color w:val="77787B"/>
                          <w:spacing w:val="-1"/>
                          <w:sz w:val="15"/>
                        </w:rPr>
                        <w:t>100%</w:t>
                      </w:r>
                      <w:r>
                        <w:rPr>
                          <w:rFonts w:ascii="Segoe UI"/>
                          <w:sz w:val="15"/>
                        </w:rPr>
                      </w:r>
                    </w:p>
                    <w:p>
                      <w:pPr>
                        <w:spacing w:before="55"/>
                        <w:ind w:left="82" w:right="0" w:firstLine="0"/>
                        <w:jc w:val="left"/>
                        <w:rPr>
                          <w:rFonts w:ascii="Segoe UI" w:hAnsi="Segoe UI" w:cs="Segoe UI" w:eastAsia="Segoe UI"/>
                          <w:sz w:val="15"/>
                          <w:szCs w:val="15"/>
                        </w:rPr>
                      </w:pPr>
                      <w:r>
                        <w:rPr>
                          <w:rFonts w:ascii="Segoe UI"/>
                          <w:color w:val="77787B"/>
                          <w:spacing w:val="-1"/>
                          <w:sz w:val="15"/>
                        </w:rPr>
                        <w:t>95%</w:t>
                      </w:r>
                      <w:r>
                        <w:rPr>
                          <w:rFonts w:ascii="Segoe UI"/>
                          <w:sz w:val="15"/>
                        </w:rPr>
                      </w:r>
                    </w:p>
                    <w:p>
                      <w:pPr>
                        <w:spacing w:before="55"/>
                        <w:ind w:left="82" w:right="0" w:firstLine="0"/>
                        <w:jc w:val="left"/>
                        <w:rPr>
                          <w:rFonts w:ascii="Segoe UI" w:hAnsi="Segoe UI" w:cs="Segoe UI" w:eastAsia="Segoe UI"/>
                          <w:sz w:val="15"/>
                          <w:szCs w:val="15"/>
                        </w:rPr>
                      </w:pPr>
                      <w:r>
                        <w:rPr>
                          <w:rFonts w:ascii="Segoe UI"/>
                          <w:color w:val="77787B"/>
                          <w:spacing w:val="-1"/>
                          <w:sz w:val="15"/>
                        </w:rPr>
                        <w:t>90%</w:t>
                      </w:r>
                      <w:r>
                        <w:rPr>
                          <w:rFonts w:ascii="Segoe UI"/>
                          <w:sz w:val="15"/>
                        </w:rPr>
                      </w:r>
                    </w:p>
                    <w:p>
                      <w:pPr>
                        <w:spacing w:before="55"/>
                        <w:ind w:left="82" w:right="0" w:firstLine="0"/>
                        <w:jc w:val="left"/>
                        <w:rPr>
                          <w:rFonts w:ascii="Segoe UI" w:hAnsi="Segoe UI" w:cs="Segoe UI" w:eastAsia="Segoe UI"/>
                          <w:sz w:val="15"/>
                          <w:szCs w:val="15"/>
                        </w:rPr>
                      </w:pPr>
                      <w:r>
                        <w:rPr>
                          <w:rFonts w:ascii="Segoe UI"/>
                          <w:color w:val="77787B"/>
                          <w:spacing w:val="-1"/>
                          <w:sz w:val="15"/>
                        </w:rPr>
                        <w:t>85%</w:t>
                      </w:r>
                      <w:r>
                        <w:rPr>
                          <w:rFonts w:ascii="Segoe UI"/>
                          <w:sz w:val="15"/>
                        </w:rPr>
                      </w:r>
                    </w:p>
                    <w:p>
                      <w:pPr>
                        <w:spacing w:before="55"/>
                        <w:ind w:left="82" w:right="0" w:firstLine="0"/>
                        <w:jc w:val="left"/>
                        <w:rPr>
                          <w:rFonts w:ascii="Segoe UI" w:hAnsi="Segoe UI" w:cs="Segoe UI" w:eastAsia="Segoe UI"/>
                          <w:sz w:val="15"/>
                          <w:szCs w:val="15"/>
                        </w:rPr>
                      </w:pPr>
                      <w:r>
                        <w:rPr>
                          <w:rFonts w:ascii="Segoe UI"/>
                          <w:color w:val="77787B"/>
                          <w:spacing w:val="-1"/>
                          <w:sz w:val="15"/>
                        </w:rPr>
                        <w:t>80%</w:t>
                      </w:r>
                      <w:r>
                        <w:rPr>
                          <w:rFonts w:ascii="Segoe UI"/>
                          <w:sz w:val="15"/>
                        </w:rPr>
                      </w:r>
                    </w:p>
                    <w:p>
                      <w:pPr>
                        <w:spacing w:before="55"/>
                        <w:ind w:left="82" w:right="0" w:firstLine="0"/>
                        <w:jc w:val="left"/>
                        <w:rPr>
                          <w:rFonts w:ascii="Segoe UI" w:hAnsi="Segoe UI" w:cs="Segoe UI" w:eastAsia="Segoe UI"/>
                          <w:sz w:val="15"/>
                          <w:szCs w:val="15"/>
                        </w:rPr>
                      </w:pPr>
                      <w:r>
                        <w:rPr>
                          <w:rFonts w:ascii="Segoe UI"/>
                          <w:color w:val="77787B"/>
                          <w:spacing w:val="-1"/>
                          <w:sz w:val="15"/>
                        </w:rPr>
                        <w:t>75%</w:t>
                      </w:r>
                      <w:r>
                        <w:rPr>
                          <w:rFonts w:ascii="Segoe UI"/>
                          <w:sz w:val="15"/>
                        </w:rPr>
                      </w:r>
                    </w:p>
                    <w:p>
                      <w:pPr>
                        <w:spacing w:before="55"/>
                        <w:ind w:left="82" w:right="0" w:firstLine="0"/>
                        <w:jc w:val="left"/>
                        <w:rPr>
                          <w:rFonts w:ascii="Segoe UI" w:hAnsi="Segoe UI" w:cs="Segoe UI" w:eastAsia="Segoe UI"/>
                          <w:sz w:val="15"/>
                          <w:szCs w:val="15"/>
                        </w:rPr>
                      </w:pPr>
                      <w:r>
                        <w:rPr>
                          <w:rFonts w:ascii="Segoe UI"/>
                          <w:color w:val="77787B"/>
                          <w:spacing w:val="-1"/>
                          <w:sz w:val="15"/>
                        </w:rPr>
                        <w:t>70%</w:t>
                      </w:r>
                      <w:r>
                        <w:rPr>
                          <w:rFonts w:ascii="Segoe UI"/>
                          <w:sz w:val="15"/>
                        </w:rPr>
                      </w:r>
                    </w:p>
                    <w:p>
                      <w:pPr>
                        <w:spacing w:before="55"/>
                        <w:ind w:left="82" w:right="0" w:firstLine="0"/>
                        <w:jc w:val="left"/>
                        <w:rPr>
                          <w:rFonts w:ascii="Segoe UI" w:hAnsi="Segoe UI" w:cs="Segoe UI" w:eastAsia="Segoe UI"/>
                          <w:sz w:val="15"/>
                          <w:szCs w:val="15"/>
                        </w:rPr>
                      </w:pPr>
                      <w:r>
                        <w:rPr>
                          <w:rFonts w:ascii="Segoe UI"/>
                          <w:color w:val="77787B"/>
                          <w:spacing w:val="-1"/>
                          <w:sz w:val="15"/>
                        </w:rPr>
                        <w:t>65%</w:t>
                      </w:r>
                      <w:r>
                        <w:rPr>
                          <w:rFonts w:ascii="Segoe UI"/>
                          <w:sz w:val="15"/>
                        </w:rPr>
                      </w:r>
                    </w:p>
                    <w:p>
                      <w:pPr>
                        <w:spacing w:line="199" w:lineRule="exact" w:before="55"/>
                        <w:ind w:left="82" w:right="0" w:firstLine="0"/>
                        <w:jc w:val="left"/>
                        <w:rPr>
                          <w:rFonts w:ascii="Segoe UI" w:hAnsi="Segoe UI" w:cs="Segoe UI" w:eastAsia="Segoe UI"/>
                          <w:sz w:val="15"/>
                          <w:szCs w:val="15"/>
                        </w:rPr>
                      </w:pPr>
                      <w:r>
                        <w:rPr>
                          <w:rFonts w:ascii="Segoe UI"/>
                          <w:color w:val="77787B"/>
                          <w:spacing w:val="-1"/>
                          <w:sz w:val="15"/>
                        </w:rPr>
                        <w:t>60%</w:t>
                      </w:r>
                      <w:r>
                        <w:rPr>
                          <w:rFonts w:ascii="Segoe UI"/>
                          <w:sz w:val="15"/>
                        </w:rPr>
                      </w:r>
                    </w:p>
                  </w:txbxContent>
                </v:textbox>
                <w10:wrap type="none"/>
              </v:shape>
              <v:shape style="position:absolute;left:7151;top:6035;width:696;height:559" type="#_x0000_t202" filled="false" stroked="false">
                <v:textbox inset="0,0,0,0">
                  <w:txbxContent>
                    <w:p>
                      <w:pPr>
                        <w:spacing w:line="154" w:lineRule="exact" w:before="0"/>
                        <w:ind w:left="-2" w:right="0" w:firstLine="0"/>
                        <w:jc w:val="center"/>
                        <w:rPr>
                          <w:rFonts w:ascii="Segoe UI" w:hAnsi="Segoe UI" w:cs="Segoe UI" w:eastAsia="Segoe UI"/>
                          <w:sz w:val="15"/>
                          <w:szCs w:val="15"/>
                        </w:rPr>
                      </w:pPr>
                      <w:r>
                        <w:rPr>
                          <w:rFonts w:ascii="Segoe UI"/>
                          <w:color w:val="77787B"/>
                          <w:spacing w:val="-1"/>
                          <w:sz w:val="15"/>
                        </w:rPr>
                        <w:t>Special</w:t>
                      </w:r>
                      <w:r>
                        <w:rPr>
                          <w:rFonts w:ascii="Segoe UI"/>
                          <w:sz w:val="15"/>
                        </w:rPr>
                      </w:r>
                    </w:p>
                    <w:p>
                      <w:pPr>
                        <w:spacing w:line="244" w:lineRule="auto" w:before="3"/>
                        <w:ind w:left="0" w:right="0" w:firstLine="0"/>
                        <w:jc w:val="center"/>
                        <w:rPr>
                          <w:rFonts w:ascii="Segoe UI" w:hAnsi="Segoe UI" w:cs="Segoe UI" w:eastAsia="Segoe UI"/>
                          <w:sz w:val="15"/>
                          <w:szCs w:val="15"/>
                        </w:rPr>
                      </w:pPr>
                      <w:r>
                        <w:rPr>
                          <w:rFonts w:ascii="Segoe UI"/>
                          <w:color w:val="77787B"/>
                          <w:spacing w:val="-1"/>
                          <w:sz w:val="15"/>
                        </w:rPr>
                        <w:t>Assistance</w:t>
                      </w:r>
                      <w:r>
                        <w:rPr>
                          <w:rFonts w:ascii="Segoe UI"/>
                          <w:color w:val="77787B"/>
                          <w:spacing w:val="22"/>
                          <w:w w:val="102"/>
                          <w:sz w:val="15"/>
                        </w:rPr>
                        <w:t> </w:t>
                      </w:r>
                      <w:r>
                        <w:rPr>
                          <w:rFonts w:ascii="Segoe UI"/>
                          <w:color w:val="77787B"/>
                          <w:spacing w:val="-1"/>
                          <w:sz w:val="15"/>
                        </w:rPr>
                        <w:t>Schools</w:t>
                      </w:r>
                      <w:r>
                        <w:rPr>
                          <w:rFonts w:ascii="Segoe UI"/>
                          <w:sz w:val="15"/>
                        </w:rPr>
                      </w:r>
                    </w:p>
                  </w:txbxContent>
                </v:textbox>
                <w10:wrap type="none"/>
              </v:shape>
              <v:shape style="position:absolute;left:8240;top:6035;width:613;height:154" type="#_x0000_t202" filled="false" stroked="false">
                <v:textbox inset="0,0,0,0">
                  <w:txbxContent>
                    <w:p>
                      <w:pPr>
                        <w:spacing w:line="153" w:lineRule="exact" w:before="0"/>
                        <w:ind w:left="0" w:right="0" w:firstLine="0"/>
                        <w:jc w:val="left"/>
                        <w:rPr>
                          <w:rFonts w:ascii="Segoe UI" w:hAnsi="Segoe UI" w:cs="Segoe UI" w:eastAsia="Segoe UI"/>
                          <w:sz w:val="15"/>
                          <w:szCs w:val="15"/>
                        </w:rPr>
                      </w:pPr>
                      <w:r>
                        <w:rPr>
                          <w:rFonts w:ascii="Segoe UI"/>
                          <w:color w:val="77787B"/>
                          <w:spacing w:val="-1"/>
                          <w:sz w:val="15"/>
                        </w:rPr>
                        <w:t>Non-SAS</w:t>
                      </w:r>
                      <w:r>
                        <w:rPr>
                          <w:rFonts w:ascii="Segoe UI"/>
                          <w:sz w:val="15"/>
                        </w:rPr>
                      </w:r>
                    </w:p>
                  </w:txbxContent>
                </v:textbox>
                <w10:wrap type="none"/>
              </v:shape>
              <v:shape style="position:absolute;left:9195;top:6035;width:798;height:154" type="#_x0000_t202" filled="false" stroked="false">
                <v:textbox inset="0,0,0,0">
                  <w:txbxContent>
                    <w:p>
                      <w:pPr>
                        <w:spacing w:line="153" w:lineRule="exact" w:before="0"/>
                        <w:ind w:left="0" w:right="0" w:firstLine="0"/>
                        <w:jc w:val="left"/>
                        <w:rPr>
                          <w:rFonts w:ascii="Segoe UI" w:hAnsi="Segoe UI" w:cs="Segoe UI" w:eastAsia="Segoe UI"/>
                          <w:sz w:val="15"/>
                          <w:szCs w:val="15"/>
                        </w:rPr>
                      </w:pPr>
                      <w:r>
                        <w:rPr>
                          <w:rFonts w:ascii="Segoe UI"/>
                          <w:color w:val="77787B"/>
                          <w:spacing w:val="-1"/>
                          <w:sz w:val="15"/>
                        </w:rPr>
                        <w:t>Mainstream</w:t>
                      </w:r>
                      <w:r>
                        <w:rPr>
                          <w:rFonts w:ascii="Segoe UI"/>
                          <w:sz w:val="15"/>
                        </w:rPr>
                      </w:r>
                    </w:p>
                  </w:txbxContent>
                </v:textbox>
                <w10:wrap type="none"/>
              </v:shape>
            </v:group>
            <w10:wrap type="none"/>
          </v:group>
        </w:pict>
      </w:r>
      <w:r>
        <w:rPr/>
        <w:pict>
          <v:group style="position:absolute;margin-left:85.039001pt;margin-top:387.678009pt;width:439.4pt;height:247.3pt;mso-position-horizontal-relative:page;mso-position-vertical-relative:page;z-index:9616" coordorigin="1701,7754" coordsize="8788,4946">
            <v:group style="position:absolute;left:1801;top:7854;width:8588;height:4746" coordorigin="1801,7854" coordsize="8588,4746">
              <v:shape style="position:absolute;left:1801;top:7854;width:8588;height:4746" coordorigin="1801,7854" coordsize="8588,4746" path="m1801,12599l10388,12599,10388,7854,1801,7854,1801,12599xe" filled="false" stroked="true" strokeweight="10pt" strokecolor="#c1b5a9">
                <v:path arrowok="t"/>
              </v:shape>
            </v:group>
            <v:group style="position:absolute;left:2104;top:8647;width:7996;height:3786" coordorigin="2104,8647" coordsize="7996,3786">
              <v:shape style="position:absolute;left:2104;top:8647;width:7996;height:3786" coordorigin="2104,8647" coordsize="7996,3786" path="m2104,8647l10099,8647,10099,12433,2104,12433,2104,8647xe" filled="true" fillcolor="#ffffff" stroked="false">
                <v:path arrowok="t"/>
                <v:fill type="solid"/>
              </v:shape>
            </v:group>
            <v:group style="position:absolute;left:2929;top:11542;width:7126;height:2" coordorigin="2929,11542" coordsize="7126,2">
              <v:shape style="position:absolute;left:2929;top:11542;width:7126;height:2" coordorigin="2929,11542" coordsize="7126,0" path="m2929,11542l10055,11542e" filled="false" stroked="true" strokeweight=".712pt" strokecolor="#dcddde">
                <v:path arrowok="t"/>
              </v:shape>
            </v:group>
            <v:group style="position:absolute;left:9472;top:11146;width:583;height:2" coordorigin="9472,11146" coordsize="583,2">
              <v:shape style="position:absolute;left:9472;top:11146;width:583;height:2" coordorigin="9472,11146" coordsize="583,0" path="m9472,11146l10055,11146e" filled="false" stroked="true" strokeweight=".712pt" strokecolor="#dcddde">
                <v:path arrowok="t"/>
              </v:shape>
            </v:group>
            <v:group style="position:absolute;left:8795;top:11146;width:144;height:2" coordorigin="8795,11146" coordsize="144,2">
              <v:shape style="position:absolute;left:8795;top:11146;width:144;height:2" coordorigin="8795,11146" coordsize="144,0" path="m8795,11146l8939,11146e" filled="false" stroked="true" strokeweight=".712pt" strokecolor="#dcddde">
                <v:path arrowok="t"/>
              </v:shape>
            </v:group>
            <v:group style="position:absolute;left:2929;top:11146;width:5335;height:2" coordorigin="2929,11146" coordsize="5335,2">
              <v:shape style="position:absolute;left:2929;top:11146;width:5335;height:2" coordorigin="2929,11146" coordsize="5335,0" path="m2929,11146l8264,11146e" filled="false" stroked="true" strokeweight=".712pt" strokecolor="#dcddde">
                <v:path arrowok="t"/>
              </v:shape>
            </v:group>
            <v:group style="position:absolute;left:7097;top:10350;width:2959;height:2" coordorigin="7097,10350" coordsize="2959,2">
              <v:shape style="position:absolute;left:7097;top:10350;width:2959;height:2" coordorigin="7097,10350" coordsize="2959,0" path="m7097,10350l10055,10350e" filled="false" stroked="true" strokeweight=".712pt" strokecolor="#dcddde">
                <v:path arrowok="t"/>
              </v:shape>
            </v:group>
            <v:group style="position:absolute;left:6419;top:10350;width:144;height:2" coordorigin="6419,10350" coordsize="144,2">
              <v:shape style="position:absolute;left:6419;top:10350;width:144;height:2" coordorigin="6419,10350" coordsize="144,0" path="m6419,10350l6563,10350e" filled="false" stroked="true" strokeweight=".712pt" strokecolor="#dcddde">
                <v:path arrowok="t"/>
              </v:shape>
            </v:group>
            <v:group style="position:absolute;left:4721;top:10350;width:1168;height:2" coordorigin="4721,10350" coordsize="1168,2">
              <v:shape style="position:absolute;left:4721;top:10350;width:1168;height:2" coordorigin="4721,10350" coordsize="1168,0" path="m4721,10350l5888,10350e" filled="false" stroked="true" strokeweight=".712pt" strokecolor="#dcddde">
                <v:path arrowok="t"/>
              </v:shape>
            </v:group>
            <v:group style="position:absolute;left:4046;top:10350;width:144;height:2" coordorigin="4046,10350" coordsize="144,2">
              <v:shape style="position:absolute;left:4046;top:10350;width:144;height:2" coordorigin="4046,10350" coordsize="144,0" path="m4046,10350l4190,10350e" filled="false" stroked="true" strokeweight=".712pt" strokecolor="#dcddde">
                <v:path arrowok="t"/>
              </v:shape>
            </v:group>
            <v:group style="position:absolute;left:2929;top:10350;width:583;height:2" coordorigin="2929,10350" coordsize="583,2">
              <v:shape style="position:absolute;left:2929;top:10350;width:583;height:2" coordorigin="2929,10350" coordsize="583,0" path="m2929,10350l3512,10350e" filled="false" stroked="true" strokeweight=".712pt" strokecolor="#dcddde">
                <v:path arrowok="t"/>
              </v:shape>
            </v:group>
            <v:group style="position:absolute;left:7097;top:9951;width:2959;height:2" coordorigin="7097,9951" coordsize="2959,2">
              <v:shape style="position:absolute;left:7097;top:9951;width:2959;height:2" coordorigin="7097,9951" coordsize="2959,0" path="m7097,9951l10055,9951e" filled="false" stroked="true" strokeweight=".712pt" strokecolor="#dcddde">
                <v:path arrowok="t"/>
              </v:shape>
            </v:group>
            <v:group style="position:absolute;left:6419;top:9951;width:144;height:2" coordorigin="6419,9951" coordsize="144,2">
              <v:shape style="position:absolute;left:6419;top:9951;width:144;height:2" coordorigin="6419,9951" coordsize="144,0" path="m6419,9951l6563,9951e" filled="false" stroked="true" strokeweight=".712pt" strokecolor="#dcddde">
                <v:path arrowok="t"/>
              </v:shape>
            </v:group>
            <v:group style="position:absolute;left:4721;top:9951;width:1168;height:2" coordorigin="4721,9951" coordsize="1168,2">
              <v:shape style="position:absolute;left:4721;top:9951;width:1168;height:2" coordorigin="4721,9951" coordsize="1168,0" path="m4721,9951l5888,9951e" filled="false" stroked="true" strokeweight=".712pt" strokecolor="#dcddde">
                <v:path arrowok="t"/>
              </v:shape>
            </v:group>
            <v:group style="position:absolute;left:4046;top:9951;width:144;height:2" coordorigin="4046,9951" coordsize="144,2">
              <v:shape style="position:absolute;left:4046;top:9951;width:144;height:2" coordorigin="4046,9951" coordsize="144,0" path="m4046,9951l4190,9951e" filled="false" stroked="true" strokeweight=".712pt" strokecolor="#dcddde">
                <v:path arrowok="t"/>
              </v:shape>
            </v:group>
            <v:group style="position:absolute;left:2929;top:9951;width:583;height:2" coordorigin="2929,9951" coordsize="583,2">
              <v:shape style="position:absolute;left:2929;top:9951;width:583;height:2" coordorigin="2929,9951" coordsize="583,0" path="m2929,9951l3512,9951e" filled="false" stroked="true" strokeweight=".712pt" strokecolor="#dcddde">
                <v:path arrowok="t"/>
              </v:shape>
            </v:group>
            <v:group style="position:absolute;left:7097;top:9552;width:2959;height:2" coordorigin="7097,9552" coordsize="2959,2">
              <v:shape style="position:absolute;left:7097;top:9552;width:2959;height:2" coordorigin="7097,9552" coordsize="2959,0" path="m7097,9552l10055,9552e" filled="false" stroked="true" strokeweight=".712pt" strokecolor="#dcddde">
                <v:path arrowok="t"/>
              </v:shape>
            </v:group>
            <v:group style="position:absolute;left:6419;top:9552;width:144;height:2" coordorigin="6419,9552" coordsize="144,2">
              <v:shape style="position:absolute;left:6419;top:9552;width:144;height:2" coordorigin="6419,9552" coordsize="144,0" path="m6419,9552l6563,9552e" filled="false" stroked="true" strokeweight=".712pt" strokecolor="#dcddde">
                <v:path arrowok="t"/>
              </v:shape>
            </v:group>
            <v:group style="position:absolute;left:4721;top:9552;width:1168;height:2" coordorigin="4721,9552" coordsize="1168,2">
              <v:shape style="position:absolute;left:4721;top:9552;width:1168;height:2" coordorigin="4721,9552" coordsize="1168,0" path="m4721,9552l5888,9552e" filled="false" stroked="true" strokeweight=".712pt" strokecolor="#dcddde">
                <v:path arrowok="t"/>
              </v:shape>
            </v:group>
            <v:group style="position:absolute;left:2929;top:9552;width:1261;height:2" coordorigin="2929,9552" coordsize="1261,2">
              <v:shape style="position:absolute;left:2929;top:9552;width:1261;height:2" coordorigin="2929,9552" coordsize="1261,0" path="m2929,9552l4190,9552e" filled="false" stroked="true" strokeweight=".712pt" strokecolor="#dcddde">
                <v:path arrowok="t"/>
              </v:shape>
            </v:group>
            <v:group style="position:absolute;left:7097;top:9155;width:2959;height:2" coordorigin="7097,9155" coordsize="2959,2">
              <v:shape style="position:absolute;left:7097;top:9155;width:2959;height:2" coordorigin="7097,9155" coordsize="2959,0" path="m7097,9155l10055,9155e" filled="false" stroked="true" strokeweight=".712pt" strokecolor="#dcddde">
                <v:path arrowok="t"/>
              </v:shape>
            </v:group>
            <v:group style="position:absolute;left:6419;top:9155;width:144;height:2" coordorigin="6419,9155" coordsize="144,2">
              <v:shape style="position:absolute;left:6419;top:9155;width:144;height:2" coordorigin="6419,9155" coordsize="144,0" path="m6419,9155l6563,9155e" filled="false" stroked="true" strokeweight=".712pt" strokecolor="#dcddde">
                <v:path arrowok="t"/>
              </v:shape>
            </v:group>
            <v:group style="position:absolute;left:2929;top:9155;width:2959;height:2" coordorigin="2929,9155" coordsize="2959,2">
              <v:shape style="position:absolute;left:2929;top:9155;width:2959;height:2" coordorigin="2929,9155" coordsize="2959,0" path="m2929,9155l5888,9155e" filled="false" stroked="true" strokeweight=".712pt" strokecolor="#dcddde">
                <v:path arrowok="t"/>
              </v:shape>
            </v:group>
            <v:group style="position:absolute;left:2929;top:8757;width:7126;height:2" coordorigin="2929,8757" coordsize="7126,2">
              <v:shape style="position:absolute;left:2929;top:8757;width:7126;height:2" coordorigin="2929,8757" coordsize="7126,0" path="m2929,8757l10055,8757e" filled="false" stroked="true" strokeweight=".712pt" strokecolor="#dcddde">
                <v:path arrowok="t"/>
              </v:shape>
            </v:group>
            <v:group style="position:absolute;left:3512;top:9547;width:534;height:1200" coordorigin="3512,9547" coordsize="534,1200">
              <v:shape style="position:absolute;left:3512;top:9547;width:534;height:1200" coordorigin="3512,9547" coordsize="534,1200" path="m4046,9547l3512,9547,3512,10747,4046,10747,4046,9547xe" filled="true" fillcolor="#71598f" stroked="false">
                <v:path arrowok="t"/>
                <v:fill type="solid"/>
              </v:shape>
            </v:group>
            <v:group style="position:absolute;left:5888;top:8945;width:532;height:1802" coordorigin="5888,8945" coordsize="532,1802">
              <v:shape style="position:absolute;left:5888;top:8945;width:532;height:1802" coordorigin="5888,8945" coordsize="532,1802" path="m6419,8945l5888,8945,5888,10747,6419,10747,6419,8945xe" filled="true" fillcolor="#71598f" stroked="false">
                <v:path arrowok="t"/>
                <v:fill type="solid"/>
              </v:shape>
            </v:group>
            <v:group style="position:absolute;left:8264;top:10747;width:532;height:600" coordorigin="8264,10747" coordsize="532,600">
              <v:shape style="position:absolute;left:8264;top:10747;width:532;height:600" coordorigin="8264,10747" coordsize="532,600" path="m8795,10747l8264,10747,8264,11346,8795,11346,8795,10747xe" filled="true" fillcolor="#71598f" stroked="false">
                <v:path arrowok="t"/>
                <v:fill type="solid"/>
              </v:shape>
            </v:group>
            <v:group style="position:absolute;left:4190;top:9406;width:532;height:1341" coordorigin="4190,9406" coordsize="532,1341">
              <v:shape style="position:absolute;left:4190;top:9406;width:532;height:1341" coordorigin="4190,9406" coordsize="532,1341" path="m4721,9406l4190,9406,4190,10747,4721,10747,4721,9406xe" filled="true" fillcolor="#a99bbc" stroked="false">
                <v:path arrowok="t"/>
                <v:fill type="solid"/>
              </v:shape>
            </v:group>
            <v:group style="position:absolute;left:6563;top:8920;width:534;height:1827" coordorigin="6563,8920" coordsize="534,1827">
              <v:shape style="position:absolute;left:6563;top:8920;width:534;height:1827" coordorigin="6563,8920" coordsize="534,1827" path="m7097,8920l6563,8920,6563,10747,7097,10747,7097,8920xe" filled="true" fillcolor="#a99bbc" stroked="false">
                <v:path arrowok="t"/>
                <v:fill type="solid"/>
              </v:shape>
            </v:group>
            <v:group style="position:absolute;left:8939;top:10747;width:534;height:486" coordorigin="8939,10747" coordsize="534,486">
              <v:shape style="position:absolute;left:8939;top:10747;width:534;height:486" coordorigin="8939,10747" coordsize="534,486" path="m9472,10747l8939,10747,8939,11232,9472,11232,9472,10747xe" filled="true" fillcolor="#a99bbc" stroked="false">
                <v:path arrowok="t"/>
                <v:fill type="solid"/>
              </v:shape>
            </v:group>
            <v:group style="position:absolute;left:2929;top:10747;width:7126;height:2" coordorigin="2929,10747" coordsize="7126,2">
              <v:shape style="position:absolute;left:2929;top:10747;width:7126;height:2" coordorigin="2929,10747" coordsize="7126,0" path="m2929,10747l10055,10747e" filled="false" stroked="true" strokeweight=".712pt" strokecolor="#dcddde">
                <v:path arrowok="t"/>
              </v:shape>
            </v:group>
            <v:group style="position:absolute;left:5504;top:12116;width:91;height:91" coordorigin="5504,12116" coordsize="91,91">
              <v:shape style="position:absolute;left:5504;top:12116;width:91;height:91" coordorigin="5504,12116" coordsize="91,91" path="m5504,12116l5595,12116,5595,12207,5504,12207,5504,12116xe" filled="true" fillcolor="#71598f" stroked="false">
                <v:path arrowok="t"/>
                <v:fill type="solid"/>
              </v:shape>
            </v:group>
            <v:group style="position:absolute;left:6028;top:12116;width:91;height:91" coordorigin="6028,12116" coordsize="91,91">
              <v:shape style="position:absolute;left:6028;top:12116;width:91;height:91" coordorigin="6028,12116" coordsize="91,91" path="m6028,12116l6119,12116,6119,12207,6028,12207,6028,12116xe" filled="true" fillcolor="#a99bbc" stroked="false">
                <v:path arrowok="t"/>
                <v:fill type="solid"/>
              </v:shape>
              <v:shape style="position:absolute;left:1701;top:7754;width:8788;height:4946" type="#_x0000_t202" filled="false" stroked="false">
                <v:textbox inset="0,0,0,0">
                  <w:txbxContent>
                    <w:p>
                      <w:pPr>
                        <w:spacing w:line="240" w:lineRule="auto" w:before="0"/>
                        <w:rPr>
                          <w:rFonts w:ascii="Times New Roman" w:hAnsi="Times New Roman" w:cs="Times New Roman" w:eastAsia="Times New Roman"/>
                          <w:sz w:val="16"/>
                          <w:szCs w:val="16"/>
                        </w:rPr>
                      </w:pPr>
                    </w:p>
                    <w:p>
                      <w:pPr>
                        <w:spacing w:line="200" w:lineRule="exact" w:before="119"/>
                        <w:ind w:left="286" w:right="635" w:firstLine="0"/>
                        <w:jc w:val="left"/>
                        <w:rPr>
                          <w:rFonts w:ascii="Segoe UI Semibold" w:hAnsi="Segoe UI Semibold" w:cs="Segoe UI Semibold" w:eastAsia="Segoe UI Semibold"/>
                          <w:sz w:val="16"/>
                          <w:szCs w:val="16"/>
                        </w:rPr>
                      </w:pPr>
                      <w:r>
                        <w:rPr>
                          <w:rFonts w:ascii="Segoe UI Semibold" w:hAnsi="Segoe UI Semibold" w:cs="Segoe UI Semibold" w:eastAsia="Segoe UI Semibold"/>
                          <w:b/>
                          <w:bCs/>
                          <w:color w:val="666155"/>
                          <w:spacing w:val="4"/>
                          <w:sz w:val="16"/>
                          <w:szCs w:val="16"/>
                        </w:rPr>
                        <w:t>GRAPH</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z w:val="16"/>
                          <w:szCs w:val="16"/>
                        </w:rPr>
                        <w:t>30:</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ABORIGINAL</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AND</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TORRES</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STRAIT</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ISLANDER</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SPECIAL</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3"/>
                          <w:sz w:val="16"/>
                          <w:szCs w:val="16"/>
                        </w:rPr>
                        <w:t>ASSISTANCE</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pacing w:val="4"/>
                          <w:sz w:val="16"/>
                          <w:szCs w:val="16"/>
                        </w:rPr>
                        <w:t>SCHOOLS,</w:t>
                      </w:r>
                      <w:r>
                        <w:rPr>
                          <w:rFonts w:ascii="Segoe UI Semibold" w:hAnsi="Segoe UI Semibold" w:cs="Segoe UI Semibold" w:eastAsia="Segoe UI Semibold"/>
                          <w:b/>
                          <w:bCs/>
                          <w:color w:val="666155"/>
                          <w:spacing w:val="-2"/>
                          <w:sz w:val="16"/>
                          <w:szCs w:val="16"/>
                        </w:rPr>
                        <w:t> </w:t>
                      </w:r>
                      <w:r>
                        <w:rPr>
                          <w:rFonts w:ascii="Segoe UI Semibold" w:hAnsi="Segoe UI Semibold" w:cs="Segoe UI Semibold" w:eastAsia="Segoe UI Semibold"/>
                          <w:b/>
                          <w:bCs/>
                          <w:color w:val="666155"/>
                          <w:spacing w:val="4"/>
                          <w:sz w:val="16"/>
                          <w:szCs w:val="16"/>
                        </w:rPr>
                        <w:t>THREE</w:t>
                      </w:r>
                      <w:r>
                        <w:rPr>
                          <w:rFonts w:ascii="Segoe UI Semibold" w:hAnsi="Segoe UI Semibold" w:cs="Segoe UI Semibold" w:eastAsia="Segoe UI Semibold"/>
                          <w:b/>
                          <w:bCs/>
                          <w:color w:val="666155"/>
                          <w:spacing w:val="4"/>
                          <w:position w:val="1"/>
                          <w:sz w:val="16"/>
                          <w:szCs w:val="16"/>
                        </w:rPr>
                        <w:t>-</w:t>
                      </w:r>
                      <w:r>
                        <w:rPr>
                          <w:rFonts w:ascii="Segoe UI Semibold" w:hAnsi="Segoe UI Semibold" w:cs="Segoe UI Semibold" w:eastAsia="Segoe UI Semibold"/>
                          <w:b/>
                          <w:bCs/>
                          <w:color w:val="666155"/>
                          <w:spacing w:val="4"/>
                          <w:sz w:val="16"/>
                          <w:szCs w:val="16"/>
                        </w:rPr>
                        <w:t>YEAR</w:t>
                      </w:r>
                      <w:r>
                        <w:rPr>
                          <w:rFonts w:ascii="Segoe UI Semibold" w:hAnsi="Segoe UI Semibold" w:cs="Segoe UI Semibold" w:eastAsia="Segoe UI Semibold"/>
                          <w:b/>
                          <w:bCs/>
                          <w:color w:val="666155"/>
                          <w:spacing w:val="44"/>
                          <w:w w:val="99"/>
                          <w:sz w:val="16"/>
                          <w:szCs w:val="16"/>
                        </w:rPr>
                        <w:t> </w:t>
                      </w:r>
                      <w:r>
                        <w:rPr>
                          <w:rFonts w:ascii="Segoe UI Semibold" w:hAnsi="Segoe UI Semibold" w:cs="Segoe UI Semibold" w:eastAsia="Segoe UI Semibold"/>
                          <w:b/>
                          <w:bCs/>
                          <w:color w:val="666155"/>
                          <w:spacing w:val="4"/>
                          <w:sz w:val="16"/>
                          <w:szCs w:val="16"/>
                        </w:rPr>
                        <w:t>REVENUE,</w:t>
                      </w:r>
                      <w:r>
                        <w:rPr>
                          <w:rFonts w:ascii="Segoe UI Semibold" w:hAnsi="Segoe UI Semibold" w:cs="Segoe UI Semibold" w:eastAsia="Segoe UI Semibold"/>
                          <w:b/>
                          <w:bCs/>
                          <w:color w:val="666155"/>
                          <w:sz w:val="16"/>
                          <w:szCs w:val="16"/>
                        </w:rPr>
                        <w:t> </w:t>
                      </w:r>
                      <w:r>
                        <w:rPr>
                          <w:rFonts w:ascii="Segoe UI Semibold" w:hAnsi="Segoe UI Semibold" w:cs="Segoe UI Semibold" w:eastAsia="Segoe UI Semibold"/>
                          <w:b/>
                          <w:bCs/>
                          <w:color w:val="666155"/>
                          <w:spacing w:val="3"/>
                          <w:sz w:val="16"/>
                          <w:szCs w:val="16"/>
                        </w:rPr>
                        <w:t>COSTS AND </w:t>
                      </w:r>
                      <w:r>
                        <w:rPr>
                          <w:rFonts w:ascii="Segoe UI Semibold" w:hAnsi="Segoe UI Semibold" w:cs="Segoe UI Semibold" w:eastAsia="Segoe UI Semibold"/>
                          <w:b/>
                          <w:bCs/>
                          <w:color w:val="666155"/>
                          <w:spacing w:val="2"/>
                          <w:sz w:val="16"/>
                          <w:szCs w:val="16"/>
                        </w:rPr>
                        <w:t>DEFICIT,</w:t>
                      </w:r>
                      <w:r>
                        <w:rPr>
                          <w:rFonts w:ascii="Segoe UI Semibold" w:hAnsi="Segoe UI Semibold" w:cs="Segoe UI Semibold" w:eastAsia="Segoe UI Semibold"/>
                          <w:b/>
                          <w:bCs/>
                          <w:color w:val="666155"/>
                          <w:spacing w:val="-1"/>
                          <w:sz w:val="16"/>
                          <w:szCs w:val="16"/>
                        </w:rPr>
                        <w:t> </w:t>
                      </w:r>
                      <w:r>
                        <w:rPr>
                          <w:rFonts w:ascii="Segoe UI Semibold" w:hAnsi="Segoe UI Semibold" w:cs="Segoe UI Semibold" w:eastAsia="Segoe UI Semibold"/>
                          <w:b/>
                          <w:bCs/>
                          <w:color w:val="666155"/>
                          <w:sz w:val="16"/>
                          <w:szCs w:val="16"/>
                        </w:rPr>
                        <w:t>2015</w:t>
                      </w:r>
                      <w:r>
                        <w:rPr>
                          <w:rFonts w:ascii="Segoe UI Semibold" w:hAnsi="Segoe UI Semibold" w:cs="Segoe UI Semibold" w:eastAsia="Segoe UI Semibold"/>
                          <w:b/>
                          <w:bCs/>
                          <w:color w:val="666155"/>
                          <w:spacing w:val="-3"/>
                          <w:sz w:val="16"/>
                          <w:szCs w:val="16"/>
                        </w:rPr>
                        <w:t> </w:t>
                      </w:r>
                      <w:r>
                        <w:rPr>
                          <w:rFonts w:ascii="Segoe UI Semibold" w:hAnsi="Segoe UI Semibold" w:cs="Segoe UI Semibold" w:eastAsia="Segoe UI Semibold"/>
                          <w:b/>
                          <w:bCs/>
                          <w:color w:val="666155"/>
                          <w:position w:val="1"/>
                          <w:sz w:val="16"/>
                          <w:szCs w:val="16"/>
                        </w:rPr>
                        <w:t>—</w:t>
                      </w:r>
                      <w:r>
                        <w:rPr>
                          <w:rFonts w:ascii="Segoe UI Semibold" w:hAnsi="Segoe UI Semibold" w:cs="Segoe UI Semibold" w:eastAsia="Segoe UI Semibold"/>
                          <w:b/>
                          <w:bCs/>
                          <w:color w:val="666155"/>
                          <w:spacing w:val="-1"/>
                          <w:position w:val="1"/>
                          <w:sz w:val="16"/>
                          <w:szCs w:val="16"/>
                        </w:rPr>
                        <w:t> </w:t>
                      </w:r>
                      <w:r>
                        <w:rPr>
                          <w:rFonts w:ascii="Segoe UI Semibold" w:hAnsi="Segoe UI Semibold" w:cs="Segoe UI Semibold" w:eastAsia="Segoe UI Semibold"/>
                          <w:b/>
                          <w:bCs/>
                          <w:color w:val="666155"/>
                          <w:spacing w:val="-1"/>
                          <w:sz w:val="16"/>
                          <w:szCs w:val="16"/>
                        </w:rPr>
                        <w:t>2017</w:t>
                      </w:r>
                      <w:r>
                        <w:rPr>
                          <w:rFonts w:ascii="Segoe UI Semibold" w:hAnsi="Segoe UI Semibold" w:cs="Segoe UI Semibold" w:eastAsia="Segoe UI Semibold"/>
                          <w:sz w:val="16"/>
                          <w:szCs w:val="16"/>
                        </w:rPr>
                      </w:r>
                    </w:p>
                    <w:p>
                      <w:pPr>
                        <w:spacing w:line="240" w:lineRule="auto" w:before="5"/>
                        <w:rPr>
                          <w:rFonts w:ascii="Times New Roman" w:hAnsi="Times New Roman" w:cs="Times New Roman" w:eastAsia="Times New Roman"/>
                          <w:sz w:val="16"/>
                          <w:szCs w:val="16"/>
                        </w:rPr>
                      </w:pPr>
                    </w:p>
                    <w:p>
                      <w:pPr>
                        <w:spacing w:before="0"/>
                        <w:ind w:left="629" w:right="0" w:firstLine="0"/>
                        <w:jc w:val="left"/>
                        <w:rPr>
                          <w:rFonts w:ascii="Segoe UI" w:hAnsi="Segoe UI" w:cs="Segoe UI" w:eastAsia="Segoe UI"/>
                          <w:sz w:val="15"/>
                          <w:szCs w:val="15"/>
                        </w:rPr>
                      </w:pPr>
                      <w:r>
                        <w:rPr>
                          <w:rFonts w:ascii="Segoe UI"/>
                          <w:color w:val="77787B"/>
                          <w:spacing w:val="-1"/>
                          <w:sz w:val="15"/>
                        </w:rPr>
                        <w:t>25,000</w:t>
                      </w:r>
                      <w:r>
                        <w:rPr>
                          <w:rFonts w:ascii="Segoe UI"/>
                          <w:sz w:val="15"/>
                        </w:rPr>
                      </w:r>
                    </w:p>
                    <w:p>
                      <w:pPr>
                        <w:spacing w:line="240" w:lineRule="auto" w:before="3"/>
                        <w:rPr>
                          <w:rFonts w:ascii="Times New Roman" w:hAnsi="Times New Roman" w:cs="Times New Roman" w:eastAsia="Times New Roman"/>
                          <w:sz w:val="17"/>
                          <w:szCs w:val="17"/>
                        </w:rPr>
                      </w:pPr>
                    </w:p>
                    <w:p>
                      <w:pPr>
                        <w:spacing w:before="0"/>
                        <w:ind w:left="629" w:right="0" w:firstLine="0"/>
                        <w:jc w:val="left"/>
                        <w:rPr>
                          <w:rFonts w:ascii="Segoe UI" w:hAnsi="Segoe UI" w:cs="Segoe UI" w:eastAsia="Segoe UI"/>
                          <w:sz w:val="15"/>
                          <w:szCs w:val="15"/>
                        </w:rPr>
                      </w:pPr>
                      <w:r>
                        <w:rPr>
                          <w:rFonts w:ascii="Segoe UI"/>
                          <w:color w:val="77787B"/>
                          <w:spacing w:val="-1"/>
                          <w:sz w:val="15"/>
                        </w:rPr>
                        <w:t>20,000</w:t>
                      </w:r>
                      <w:r>
                        <w:rPr>
                          <w:rFonts w:ascii="Segoe UI"/>
                          <w:sz w:val="15"/>
                        </w:rPr>
                      </w:r>
                    </w:p>
                    <w:p>
                      <w:pPr>
                        <w:spacing w:line="240" w:lineRule="auto" w:before="3"/>
                        <w:rPr>
                          <w:rFonts w:ascii="Times New Roman" w:hAnsi="Times New Roman" w:cs="Times New Roman" w:eastAsia="Times New Roman"/>
                          <w:sz w:val="17"/>
                          <w:szCs w:val="17"/>
                        </w:rPr>
                      </w:pPr>
                    </w:p>
                    <w:p>
                      <w:pPr>
                        <w:spacing w:before="0"/>
                        <w:ind w:left="629" w:right="0" w:firstLine="0"/>
                        <w:jc w:val="left"/>
                        <w:rPr>
                          <w:rFonts w:ascii="Segoe UI" w:hAnsi="Segoe UI" w:cs="Segoe UI" w:eastAsia="Segoe UI"/>
                          <w:sz w:val="15"/>
                          <w:szCs w:val="15"/>
                        </w:rPr>
                      </w:pPr>
                      <w:r>
                        <w:rPr>
                          <w:rFonts w:ascii="Segoe UI"/>
                          <w:color w:val="77787B"/>
                          <w:spacing w:val="-1"/>
                          <w:sz w:val="15"/>
                        </w:rPr>
                        <w:t>15,000</w:t>
                      </w:r>
                      <w:r>
                        <w:rPr>
                          <w:rFonts w:ascii="Segoe UI"/>
                          <w:sz w:val="15"/>
                        </w:rPr>
                      </w:r>
                    </w:p>
                    <w:p>
                      <w:pPr>
                        <w:spacing w:line="240" w:lineRule="auto" w:before="3"/>
                        <w:rPr>
                          <w:rFonts w:ascii="Times New Roman" w:hAnsi="Times New Roman" w:cs="Times New Roman" w:eastAsia="Times New Roman"/>
                          <w:sz w:val="17"/>
                          <w:szCs w:val="17"/>
                        </w:rPr>
                      </w:pPr>
                    </w:p>
                    <w:p>
                      <w:pPr>
                        <w:spacing w:before="0"/>
                        <w:ind w:left="629" w:right="0" w:firstLine="0"/>
                        <w:jc w:val="left"/>
                        <w:rPr>
                          <w:rFonts w:ascii="Segoe UI" w:hAnsi="Segoe UI" w:cs="Segoe UI" w:eastAsia="Segoe UI"/>
                          <w:sz w:val="15"/>
                          <w:szCs w:val="15"/>
                        </w:rPr>
                      </w:pPr>
                      <w:r>
                        <w:rPr>
                          <w:rFonts w:ascii="Segoe UI"/>
                          <w:color w:val="77787B"/>
                          <w:spacing w:val="-1"/>
                          <w:sz w:val="15"/>
                        </w:rPr>
                        <w:t>10,000</w:t>
                      </w:r>
                      <w:r>
                        <w:rPr>
                          <w:rFonts w:ascii="Segoe UI"/>
                          <w:sz w:val="15"/>
                        </w:rPr>
                      </w:r>
                    </w:p>
                    <w:p>
                      <w:pPr>
                        <w:spacing w:line="240" w:lineRule="auto" w:before="3"/>
                        <w:rPr>
                          <w:rFonts w:ascii="Times New Roman" w:hAnsi="Times New Roman" w:cs="Times New Roman" w:eastAsia="Times New Roman"/>
                          <w:sz w:val="17"/>
                          <w:szCs w:val="17"/>
                        </w:rPr>
                      </w:pPr>
                    </w:p>
                    <w:p>
                      <w:pPr>
                        <w:spacing w:before="0"/>
                        <w:ind w:left="0" w:right="7000" w:firstLine="0"/>
                        <w:jc w:val="center"/>
                        <w:rPr>
                          <w:rFonts w:ascii="Segoe UI" w:hAnsi="Segoe UI" w:cs="Segoe UI" w:eastAsia="Segoe UI"/>
                          <w:sz w:val="15"/>
                          <w:szCs w:val="15"/>
                        </w:rPr>
                      </w:pPr>
                      <w:r>
                        <w:rPr>
                          <w:rFonts w:ascii="Segoe UI"/>
                          <w:color w:val="77787B"/>
                          <w:spacing w:val="-1"/>
                          <w:sz w:val="15"/>
                        </w:rPr>
                        <w:t>5,000</w:t>
                      </w:r>
                      <w:r>
                        <w:rPr>
                          <w:rFonts w:ascii="Segoe UI"/>
                          <w:sz w:val="15"/>
                        </w:rPr>
                      </w:r>
                    </w:p>
                    <w:p>
                      <w:pPr>
                        <w:spacing w:line="240" w:lineRule="auto" w:before="3"/>
                        <w:rPr>
                          <w:rFonts w:ascii="Times New Roman" w:hAnsi="Times New Roman" w:cs="Times New Roman" w:eastAsia="Times New Roman"/>
                          <w:sz w:val="17"/>
                          <w:szCs w:val="17"/>
                        </w:rPr>
                      </w:pPr>
                    </w:p>
                    <w:p>
                      <w:pPr>
                        <w:spacing w:before="0"/>
                        <w:ind w:left="990" w:right="0" w:firstLine="0"/>
                        <w:jc w:val="left"/>
                        <w:rPr>
                          <w:rFonts w:ascii="Segoe UI" w:hAnsi="Segoe UI" w:cs="Segoe UI" w:eastAsia="Segoe UI"/>
                          <w:sz w:val="15"/>
                          <w:szCs w:val="15"/>
                        </w:rPr>
                      </w:pPr>
                      <w:r>
                        <w:rPr>
                          <w:rFonts w:ascii="Segoe UI"/>
                          <w:color w:val="77787B"/>
                          <w:sz w:val="15"/>
                        </w:rPr>
                        <w:t>0</w:t>
                      </w:r>
                      <w:r>
                        <w:rPr>
                          <w:rFonts w:ascii="Segoe UI"/>
                          <w:sz w:val="15"/>
                        </w:rPr>
                      </w:r>
                    </w:p>
                    <w:p>
                      <w:pPr>
                        <w:spacing w:line="240" w:lineRule="auto" w:before="3"/>
                        <w:rPr>
                          <w:rFonts w:ascii="Times New Roman" w:hAnsi="Times New Roman" w:cs="Times New Roman" w:eastAsia="Times New Roman"/>
                          <w:sz w:val="17"/>
                          <w:szCs w:val="17"/>
                        </w:rPr>
                      </w:pPr>
                    </w:p>
                    <w:p>
                      <w:pPr>
                        <w:spacing w:before="0"/>
                        <w:ind w:left="620" w:right="0" w:firstLine="0"/>
                        <w:jc w:val="left"/>
                        <w:rPr>
                          <w:rFonts w:ascii="Segoe UI" w:hAnsi="Segoe UI" w:cs="Segoe UI" w:eastAsia="Segoe UI"/>
                          <w:sz w:val="15"/>
                          <w:szCs w:val="15"/>
                        </w:rPr>
                      </w:pPr>
                      <w:r>
                        <w:rPr>
                          <w:rFonts w:ascii="Segoe UI"/>
                          <w:color w:val="77787B"/>
                          <w:spacing w:val="-1"/>
                          <w:sz w:val="15"/>
                        </w:rPr>
                        <w:t>(5,000)</w:t>
                      </w:r>
                      <w:r>
                        <w:rPr>
                          <w:rFonts w:ascii="Segoe UI"/>
                          <w:sz w:val="15"/>
                        </w:rPr>
                      </w:r>
                    </w:p>
                    <w:p>
                      <w:pPr>
                        <w:spacing w:line="240" w:lineRule="auto" w:before="3"/>
                        <w:rPr>
                          <w:rFonts w:ascii="Times New Roman" w:hAnsi="Times New Roman" w:cs="Times New Roman" w:eastAsia="Times New Roman"/>
                          <w:sz w:val="17"/>
                          <w:szCs w:val="17"/>
                        </w:rPr>
                      </w:pPr>
                    </w:p>
                    <w:p>
                      <w:pPr>
                        <w:spacing w:before="0"/>
                        <w:ind w:left="0" w:right="7175" w:firstLine="0"/>
                        <w:jc w:val="center"/>
                        <w:rPr>
                          <w:rFonts w:ascii="Segoe UI" w:hAnsi="Segoe UI" w:cs="Segoe UI" w:eastAsia="Segoe UI"/>
                          <w:sz w:val="15"/>
                          <w:szCs w:val="15"/>
                        </w:rPr>
                      </w:pPr>
                      <w:r>
                        <w:rPr>
                          <w:rFonts w:ascii="Segoe UI"/>
                          <w:color w:val="77787B"/>
                          <w:spacing w:val="-1"/>
                          <w:sz w:val="15"/>
                        </w:rPr>
                        <w:t>(10,000)</w:t>
                      </w:r>
                      <w:r>
                        <w:rPr>
                          <w:rFonts w:ascii="Segoe UI"/>
                          <w:sz w:val="15"/>
                        </w:rPr>
                      </w:r>
                    </w:p>
                    <w:p>
                      <w:pPr>
                        <w:tabs>
                          <w:tab w:pos="4456" w:val="left" w:leader="none"/>
                          <w:tab w:pos="4609" w:val="left" w:leader="none"/>
                          <w:tab w:pos="6715" w:val="left" w:leader="none"/>
                        </w:tabs>
                        <w:spacing w:line="476" w:lineRule="auto" w:before="23"/>
                        <w:ind w:left="3932" w:right="1165" w:hanging="1765"/>
                        <w:jc w:val="left"/>
                        <w:rPr>
                          <w:rFonts w:ascii="Segoe UI" w:hAnsi="Segoe UI" w:cs="Segoe UI" w:eastAsia="Segoe UI"/>
                          <w:sz w:val="15"/>
                          <w:szCs w:val="15"/>
                        </w:rPr>
                      </w:pPr>
                      <w:r>
                        <w:rPr>
                          <w:rFonts w:ascii="Segoe UI"/>
                          <w:color w:val="77787B"/>
                          <w:spacing w:val="-1"/>
                          <w:sz w:val="15"/>
                        </w:rPr>
                        <w:t>Income</w:t>
                        <w:tab/>
                        <w:tab/>
                        <w:tab/>
                        <w:t>Costs</w:t>
                      </w:r>
                      <w:r>
                        <w:rPr>
                          <w:rFonts w:ascii="Segoe UI"/>
                          <w:color w:val="77787B"/>
                          <w:sz w:val="15"/>
                        </w:rPr>
                        <w:tab/>
                      </w:r>
                      <w:r>
                        <w:rPr>
                          <w:rFonts w:ascii="Segoe UI"/>
                          <w:color w:val="77787B"/>
                          <w:sz w:val="15"/>
                        </w:rPr>
                        <w:t> </w:t>
                      </w:r>
                      <w:r>
                        <w:rPr>
                          <w:rFonts w:ascii="Segoe UI"/>
                          <w:color w:val="77787B"/>
                          <w:spacing w:val="-1"/>
                          <w:sz w:val="15"/>
                        </w:rPr>
                        <w:t>Surplus/(loss)</w:t>
                      </w:r>
                      <w:r>
                        <w:rPr>
                          <w:rFonts w:ascii="Segoe UI"/>
                          <w:color w:val="77787B"/>
                          <w:spacing w:val="9"/>
                          <w:sz w:val="15"/>
                        </w:rPr>
                        <w:t> </w:t>
                      </w:r>
                      <w:r>
                        <w:rPr>
                          <w:rFonts w:ascii="Segoe UI"/>
                          <w:color w:val="77787B"/>
                          <w:spacing w:val="9"/>
                          <w:sz w:val="15"/>
                        </w:rPr>
                      </w:r>
                      <w:r>
                        <w:rPr>
                          <w:rFonts w:ascii="Segoe UI"/>
                          <w:color w:val="77787B"/>
                          <w:spacing w:val="-1"/>
                          <w:sz w:val="15"/>
                        </w:rPr>
                        <w:t>SAS</w:t>
                        <w:tab/>
                        <w:t>Non-SAS</w:t>
                      </w:r>
                      <w:r>
                        <w:rPr>
                          <w:rFonts w:ascii="Segoe UI"/>
                          <w:sz w:val="15"/>
                        </w:rPr>
                      </w:r>
                    </w:p>
                  </w:txbxContent>
                </v:textbox>
                <w10:wrap type="none"/>
              </v:shape>
            </v:group>
            <w10:wrap type="none"/>
          </v:group>
        </w:pict>
      </w:r>
      <w:r>
        <w:rPr/>
        <w:pict>
          <v:shape style="position:absolute;margin-left:104.239876pt;margin-top:504.439819pt;width:9.65pt;height:6.15pt;mso-position-horizontal-relative:page;mso-position-vertical-relative:page;z-index:9640" type="#_x0000_t202" filled="false" stroked="false">
            <v:textbox inset="0,0,0,0" style="layout-flow:vertical;mso-layout-flow-alt:bottom-to-top">
              <w:txbxContent>
                <w:p>
                  <w:pPr>
                    <w:spacing w:line="174" w:lineRule="exact" w:before="0"/>
                    <w:ind w:left="20" w:right="0" w:firstLine="0"/>
                    <w:jc w:val="left"/>
                    <w:rPr>
                      <w:rFonts w:ascii="Segoe UI" w:hAnsi="Segoe UI" w:cs="Segoe UI" w:eastAsia="Segoe UI"/>
                      <w:sz w:val="15"/>
                      <w:szCs w:val="15"/>
                    </w:rPr>
                  </w:pPr>
                  <w:r>
                    <w:rPr>
                      <w:rFonts w:ascii="Segoe UI"/>
                      <w:color w:val="77787B"/>
                      <w:w w:val="101"/>
                      <w:sz w:val="15"/>
                    </w:rPr>
                    <w:t>$</w:t>
                  </w:r>
                  <w:r>
                    <w:rPr>
                      <w:rFonts w:ascii="Segoe UI"/>
                      <w:sz w:val="15"/>
                    </w:rPr>
                  </w:r>
                </w:p>
              </w:txbxContent>
            </v:textbox>
            <w10:wrap type="none"/>
          </v:shape>
        </w:pict>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11"/>
        <w:rPr>
          <w:rFonts w:ascii="Times New Roman" w:hAnsi="Times New Roman" w:cs="Times New Roman" w:eastAsia="Times New Roman"/>
          <w:sz w:val="23"/>
          <w:szCs w:val="23"/>
        </w:rPr>
      </w:pPr>
    </w:p>
    <w:tbl>
      <w:tblPr>
        <w:tblW w:w="0" w:type="auto"/>
        <w:jc w:val="left"/>
        <w:tblInd w:w="922" w:type="dxa"/>
        <w:tblLayout w:type="fixed"/>
        <w:tblCellMar>
          <w:top w:w="0" w:type="dxa"/>
          <w:left w:w="0" w:type="dxa"/>
          <w:bottom w:w="0" w:type="dxa"/>
          <w:right w:w="0" w:type="dxa"/>
        </w:tblCellMar>
        <w:tblLook w:val="01E0"/>
      </w:tblPr>
      <w:tblGrid>
        <w:gridCol w:w="398"/>
        <w:gridCol w:w="361"/>
        <w:gridCol w:w="796"/>
        <w:gridCol w:w="361"/>
        <w:gridCol w:w="796"/>
        <w:gridCol w:w="361"/>
        <w:gridCol w:w="398"/>
      </w:tblGrid>
      <w:tr>
        <w:trPr>
          <w:trHeight w:val="181" w:hRule="exact"/>
        </w:trPr>
        <w:tc>
          <w:tcPr>
            <w:tcW w:w="2711" w:type="dxa"/>
            <w:gridSpan w:val="5"/>
            <w:tcBorders>
              <w:top w:val="nil" w:sz="6" w:space="0" w:color="auto"/>
              <w:left w:val="nil" w:sz="6" w:space="0" w:color="auto"/>
              <w:bottom w:val="single" w:sz="6" w:space="0" w:color="DCDDDE"/>
              <w:right w:val="nil" w:sz="6" w:space="0" w:color="auto"/>
            </w:tcBorders>
          </w:tcPr>
          <w:p>
            <w:pPr/>
          </w:p>
        </w:tc>
        <w:tc>
          <w:tcPr>
            <w:tcW w:w="361" w:type="dxa"/>
            <w:vMerge w:val="restart"/>
            <w:tcBorders>
              <w:top w:val="nil" w:sz="6" w:space="0" w:color="auto"/>
              <w:left w:val="nil" w:sz="6" w:space="0" w:color="auto"/>
              <w:right w:val="nil" w:sz="6" w:space="0" w:color="auto"/>
            </w:tcBorders>
            <w:shd w:val="clear" w:color="auto" w:fill="8164A2"/>
          </w:tcPr>
          <w:p>
            <w:pPr/>
          </w:p>
        </w:tc>
        <w:tc>
          <w:tcPr>
            <w:tcW w:w="398" w:type="dxa"/>
            <w:tcBorders>
              <w:top w:val="nil" w:sz="6" w:space="0" w:color="auto"/>
              <w:left w:val="nil" w:sz="6" w:space="0" w:color="auto"/>
              <w:bottom w:val="single" w:sz="6" w:space="0" w:color="DCDDDE"/>
              <w:right w:val="nil" w:sz="6" w:space="0" w:color="auto"/>
            </w:tcBorders>
          </w:tcPr>
          <w:p>
            <w:pPr/>
          </w:p>
        </w:tc>
      </w:tr>
      <w:tr>
        <w:trPr>
          <w:trHeight w:val="290" w:hRule="exact"/>
        </w:trPr>
        <w:tc>
          <w:tcPr>
            <w:tcW w:w="2711" w:type="dxa"/>
            <w:gridSpan w:val="5"/>
            <w:tcBorders>
              <w:top w:val="single" w:sz="6" w:space="0" w:color="DCDDDE"/>
              <w:left w:val="nil" w:sz="6" w:space="0" w:color="auto"/>
              <w:bottom w:val="single" w:sz="6" w:space="0" w:color="DCDDDE"/>
              <w:right w:val="nil" w:sz="6" w:space="0" w:color="auto"/>
            </w:tcBorders>
          </w:tcPr>
          <w:p>
            <w:pPr/>
          </w:p>
        </w:tc>
        <w:tc>
          <w:tcPr>
            <w:tcW w:w="361" w:type="dxa"/>
            <w:vMerge/>
            <w:tcBorders>
              <w:left w:val="nil" w:sz="6" w:space="0" w:color="auto"/>
              <w:right w:val="nil" w:sz="6" w:space="0" w:color="auto"/>
            </w:tcBorders>
            <w:shd w:val="clear" w:color="auto" w:fill="8164A2"/>
          </w:tcPr>
          <w:p>
            <w:pPr/>
          </w:p>
        </w:tc>
        <w:tc>
          <w:tcPr>
            <w:tcW w:w="398" w:type="dxa"/>
            <w:tcBorders>
              <w:top w:val="single" w:sz="6" w:space="0" w:color="DCDDDE"/>
              <w:left w:val="nil" w:sz="6" w:space="0" w:color="auto"/>
              <w:bottom w:val="single" w:sz="6" w:space="0" w:color="DCDDDE"/>
              <w:right w:val="nil" w:sz="6" w:space="0" w:color="auto"/>
            </w:tcBorders>
          </w:tcPr>
          <w:p>
            <w:pPr/>
          </w:p>
        </w:tc>
      </w:tr>
      <w:tr>
        <w:trPr>
          <w:trHeight w:val="293" w:hRule="exact"/>
        </w:trPr>
        <w:tc>
          <w:tcPr>
            <w:tcW w:w="1554" w:type="dxa"/>
            <w:gridSpan w:val="3"/>
            <w:tcBorders>
              <w:top w:val="single" w:sz="6" w:space="0" w:color="DCDDDE"/>
              <w:left w:val="nil" w:sz="6" w:space="0" w:color="auto"/>
              <w:bottom w:val="single" w:sz="6" w:space="0" w:color="DCDDDE"/>
              <w:right w:val="nil" w:sz="6" w:space="0" w:color="auto"/>
            </w:tcBorders>
          </w:tcPr>
          <w:p>
            <w:pPr/>
          </w:p>
        </w:tc>
        <w:tc>
          <w:tcPr>
            <w:tcW w:w="361" w:type="dxa"/>
            <w:vMerge w:val="restart"/>
            <w:tcBorders>
              <w:top w:val="single" w:sz="6" w:space="0" w:color="DCDDDE"/>
              <w:left w:val="nil" w:sz="6" w:space="0" w:color="auto"/>
              <w:right w:val="nil" w:sz="6" w:space="0" w:color="auto"/>
            </w:tcBorders>
            <w:shd w:val="clear" w:color="auto" w:fill="8164A2"/>
          </w:tcPr>
          <w:p>
            <w:pPr/>
          </w:p>
        </w:tc>
        <w:tc>
          <w:tcPr>
            <w:tcW w:w="796" w:type="dxa"/>
            <w:tcBorders>
              <w:top w:val="single" w:sz="6" w:space="0" w:color="DCDDDE"/>
              <w:left w:val="nil" w:sz="6" w:space="0" w:color="auto"/>
              <w:bottom w:val="single" w:sz="6" w:space="0" w:color="DCDDDE"/>
              <w:right w:val="nil" w:sz="6" w:space="0" w:color="auto"/>
            </w:tcBorders>
          </w:tcPr>
          <w:p>
            <w:pPr/>
          </w:p>
        </w:tc>
        <w:tc>
          <w:tcPr>
            <w:tcW w:w="361" w:type="dxa"/>
            <w:vMerge/>
            <w:tcBorders>
              <w:left w:val="nil" w:sz="6" w:space="0" w:color="auto"/>
              <w:right w:val="nil" w:sz="6" w:space="0" w:color="auto"/>
            </w:tcBorders>
            <w:shd w:val="clear" w:color="auto" w:fill="8164A2"/>
          </w:tcPr>
          <w:p>
            <w:pPr/>
          </w:p>
        </w:tc>
        <w:tc>
          <w:tcPr>
            <w:tcW w:w="398" w:type="dxa"/>
            <w:tcBorders>
              <w:top w:val="single" w:sz="6" w:space="0" w:color="DCDDDE"/>
              <w:left w:val="nil" w:sz="6" w:space="0" w:color="auto"/>
              <w:bottom w:val="single" w:sz="6" w:space="0" w:color="DCDDDE"/>
              <w:right w:val="nil" w:sz="6" w:space="0" w:color="auto"/>
            </w:tcBorders>
          </w:tcPr>
          <w:p>
            <w:pPr/>
          </w:p>
        </w:tc>
      </w:tr>
      <w:tr>
        <w:trPr>
          <w:trHeight w:val="283" w:hRule="exact"/>
        </w:trPr>
        <w:tc>
          <w:tcPr>
            <w:tcW w:w="1554" w:type="dxa"/>
            <w:gridSpan w:val="3"/>
            <w:tcBorders>
              <w:top w:val="single" w:sz="6" w:space="0" w:color="DCDDDE"/>
              <w:left w:val="nil" w:sz="6" w:space="0" w:color="auto"/>
              <w:bottom w:val="nil" w:sz="6" w:space="0" w:color="auto"/>
              <w:right w:val="nil" w:sz="6" w:space="0" w:color="auto"/>
            </w:tcBorders>
          </w:tcPr>
          <w:p>
            <w:pPr/>
          </w:p>
        </w:tc>
        <w:tc>
          <w:tcPr>
            <w:tcW w:w="361" w:type="dxa"/>
            <w:vMerge/>
            <w:tcBorders>
              <w:left w:val="nil" w:sz="6" w:space="0" w:color="auto"/>
              <w:right w:val="nil" w:sz="6" w:space="0" w:color="auto"/>
            </w:tcBorders>
            <w:shd w:val="clear" w:color="auto" w:fill="8164A2"/>
          </w:tcPr>
          <w:p>
            <w:pPr/>
          </w:p>
        </w:tc>
        <w:tc>
          <w:tcPr>
            <w:tcW w:w="796" w:type="dxa"/>
            <w:tcBorders>
              <w:top w:val="single" w:sz="6" w:space="0" w:color="DCDDDE"/>
              <w:left w:val="nil" w:sz="6" w:space="0" w:color="auto"/>
              <w:bottom w:val="single" w:sz="6" w:space="0" w:color="DCDDDE"/>
              <w:right w:val="nil" w:sz="6" w:space="0" w:color="auto"/>
            </w:tcBorders>
          </w:tcPr>
          <w:p>
            <w:pPr/>
          </w:p>
        </w:tc>
        <w:tc>
          <w:tcPr>
            <w:tcW w:w="361" w:type="dxa"/>
            <w:vMerge/>
            <w:tcBorders>
              <w:left w:val="nil" w:sz="6" w:space="0" w:color="auto"/>
              <w:right w:val="nil" w:sz="6" w:space="0" w:color="auto"/>
            </w:tcBorders>
            <w:shd w:val="clear" w:color="auto" w:fill="8164A2"/>
          </w:tcPr>
          <w:p>
            <w:pPr/>
          </w:p>
        </w:tc>
        <w:tc>
          <w:tcPr>
            <w:tcW w:w="398" w:type="dxa"/>
            <w:tcBorders>
              <w:top w:val="single" w:sz="6" w:space="0" w:color="DCDDDE"/>
              <w:left w:val="nil" w:sz="6" w:space="0" w:color="auto"/>
              <w:bottom w:val="single" w:sz="6" w:space="0" w:color="DCDDDE"/>
              <w:right w:val="nil" w:sz="6" w:space="0" w:color="auto"/>
            </w:tcBorders>
          </w:tcPr>
          <w:p>
            <w:pPr/>
          </w:p>
        </w:tc>
      </w:tr>
      <w:tr>
        <w:trPr>
          <w:trHeight w:val="290" w:hRule="exact"/>
        </w:trPr>
        <w:tc>
          <w:tcPr>
            <w:tcW w:w="398" w:type="dxa"/>
            <w:tcBorders>
              <w:top w:val="single" w:sz="6" w:space="0" w:color="DCDDDE"/>
              <w:left w:val="nil" w:sz="6" w:space="0" w:color="auto"/>
              <w:bottom w:val="single" w:sz="6" w:space="0" w:color="DCDDDE"/>
              <w:right w:val="nil" w:sz="6" w:space="0" w:color="auto"/>
            </w:tcBorders>
          </w:tcPr>
          <w:p>
            <w:pPr/>
          </w:p>
        </w:tc>
        <w:tc>
          <w:tcPr>
            <w:tcW w:w="361" w:type="dxa"/>
            <w:vMerge w:val="restart"/>
            <w:tcBorders>
              <w:top w:val="nil" w:sz="6" w:space="0" w:color="auto"/>
              <w:left w:val="nil" w:sz="6" w:space="0" w:color="auto"/>
              <w:right w:val="nil" w:sz="6" w:space="0" w:color="auto"/>
            </w:tcBorders>
            <w:shd w:val="clear" w:color="auto" w:fill="8164A2"/>
          </w:tcPr>
          <w:p>
            <w:pPr/>
          </w:p>
        </w:tc>
        <w:tc>
          <w:tcPr>
            <w:tcW w:w="796" w:type="dxa"/>
            <w:tcBorders>
              <w:top w:val="single" w:sz="6" w:space="0" w:color="DCDDDE"/>
              <w:left w:val="nil" w:sz="6" w:space="0" w:color="auto"/>
              <w:bottom w:val="single" w:sz="6" w:space="0" w:color="DCDDDE"/>
              <w:right w:val="nil" w:sz="6" w:space="0" w:color="auto"/>
            </w:tcBorders>
          </w:tcPr>
          <w:p>
            <w:pPr/>
          </w:p>
        </w:tc>
        <w:tc>
          <w:tcPr>
            <w:tcW w:w="361" w:type="dxa"/>
            <w:vMerge/>
            <w:tcBorders>
              <w:left w:val="nil" w:sz="6" w:space="0" w:color="auto"/>
              <w:right w:val="nil" w:sz="6" w:space="0" w:color="auto"/>
            </w:tcBorders>
            <w:shd w:val="clear" w:color="auto" w:fill="8164A2"/>
          </w:tcPr>
          <w:p>
            <w:pPr/>
          </w:p>
        </w:tc>
        <w:tc>
          <w:tcPr>
            <w:tcW w:w="796" w:type="dxa"/>
            <w:tcBorders>
              <w:top w:val="single" w:sz="6" w:space="0" w:color="DCDDDE"/>
              <w:left w:val="nil" w:sz="6" w:space="0" w:color="auto"/>
              <w:bottom w:val="single" w:sz="6" w:space="0" w:color="DCDDDE"/>
              <w:right w:val="nil" w:sz="6" w:space="0" w:color="auto"/>
            </w:tcBorders>
          </w:tcPr>
          <w:p>
            <w:pPr/>
          </w:p>
        </w:tc>
        <w:tc>
          <w:tcPr>
            <w:tcW w:w="361" w:type="dxa"/>
            <w:vMerge/>
            <w:tcBorders>
              <w:left w:val="nil" w:sz="6" w:space="0" w:color="auto"/>
              <w:right w:val="nil" w:sz="6" w:space="0" w:color="auto"/>
            </w:tcBorders>
            <w:shd w:val="clear" w:color="auto" w:fill="8164A2"/>
          </w:tcPr>
          <w:p>
            <w:pPr/>
          </w:p>
        </w:tc>
        <w:tc>
          <w:tcPr>
            <w:tcW w:w="398" w:type="dxa"/>
            <w:tcBorders>
              <w:top w:val="single" w:sz="6" w:space="0" w:color="DCDDDE"/>
              <w:left w:val="nil" w:sz="6" w:space="0" w:color="auto"/>
              <w:bottom w:val="single" w:sz="6" w:space="0" w:color="DCDDDE"/>
              <w:right w:val="nil" w:sz="6" w:space="0" w:color="auto"/>
            </w:tcBorders>
          </w:tcPr>
          <w:p>
            <w:pPr/>
          </w:p>
        </w:tc>
      </w:tr>
      <w:tr>
        <w:trPr>
          <w:trHeight w:val="293" w:hRule="exact"/>
        </w:trPr>
        <w:tc>
          <w:tcPr>
            <w:tcW w:w="398" w:type="dxa"/>
            <w:tcBorders>
              <w:top w:val="single" w:sz="6" w:space="0" w:color="DCDDDE"/>
              <w:left w:val="nil" w:sz="6" w:space="0" w:color="auto"/>
              <w:bottom w:val="single" w:sz="6" w:space="0" w:color="DCDDDE"/>
              <w:right w:val="nil" w:sz="6" w:space="0" w:color="auto"/>
            </w:tcBorders>
          </w:tcPr>
          <w:p>
            <w:pPr/>
          </w:p>
        </w:tc>
        <w:tc>
          <w:tcPr>
            <w:tcW w:w="361" w:type="dxa"/>
            <w:vMerge/>
            <w:tcBorders>
              <w:left w:val="nil" w:sz="6" w:space="0" w:color="auto"/>
              <w:bottom w:val="single" w:sz="6" w:space="0" w:color="DCDDDE"/>
              <w:right w:val="nil" w:sz="6" w:space="0" w:color="auto"/>
            </w:tcBorders>
            <w:shd w:val="clear" w:color="auto" w:fill="8164A2"/>
          </w:tcPr>
          <w:p>
            <w:pPr/>
          </w:p>
        </w:tc>
        <w:tc>
          <w:tcPr>
            <w:tcW w:w="796" w:type="dxa"/>
            <w:tcBorders>
              <w:top w:val="single" w:sz="6" w:space="0" w:color="DCDDDE"/>
              <w:left w:val="nil" w:sz="6" w:space="0" w:color="auto"/>
              <w:bottom w:val="single" w:sz="6" w:space="0" w:color="DCDDDE"/>
              <w:right w:val="nil" w:sz="6" w:space="0" w:color="auto"/>
            </w:tcBorders>
          </w:tcPr>
          <w:p>
            <w:pPr/>
          </w:p>
        </w:tc>
        <w:tc>
          <w:tcPr>
            <w:tcW w:w="361" w:type="dxa"/>
            <w:vMerge/>
            <w:tcBorders>
              <w:left w:val="nil" w:sz="6" w:space="0" w:color="auto"/>
              <w:bottom w:val="single" w:sz="6" w:space="0" w:color="DCDDDE"/>
              <w:right w:val="nil" w:sz="6" w:space="0" w:color="auto"/>
            </w:tcBorders>
            <w:shd w:val="clear" w:color="auto" w:fill="8164A2"/>
          </w:tcPr>
          <w:p>
            <w:pPr/>
          </w:p>
        </w:tc>
        <w:tc>
          <w:tcPr>
            <w:tcW w:w="796" w:type="dxa"/>
            <w:tcBorders>
              <w:top w:val="single" w:sz="6" w:space="0" w:color="DCDDDE"/>
              <w:left w:val="nil" w:sz="6" w:space="0" w:color="auto"/>
              <w:bottom w:val="single" w:sz="6" w:space="0" w:color="DCDDDE"/>
              <w:right w:val="nil" w:sz="6" w:space="0" w:color="auto"/>
            </w:tcBorders>
          </w:tcPr>
          <w:p>
            <w:pPr/>
          </w:p>
        </w:tc>
        <w:tc>
          <w:tcPr>
            <w:tcW w:w="361" w:type="dxa"/>
            <w:vMerge/>
            <w:tcBorders>
              <w:left w:val="nil" w:sz="6" w:space="0" w:color="auto"/>
              <w:bottom w:val="single" w:sz="6" w:space="0" w:color="DCDDDE"/>
              <w:right w:val="nil" w:sz="6" w:space="0" w:color="auto"/>
            </w:tcBorders>
            <w:shd w:val="clear" w:color="auto" w:fill="8164A2"/>
          </w:tcPr>
          <w:p>
            <w:pPr/>
          </w:p>
        </w:tc>
        <w:tc>
          <w:tcPr>
            <w:tcW w:w="398" w:type="dxa"/>
            <w:tcBorders>
              <w:top w:val="single" w:sz="6" w:space="0" w:color="DCDDDE"/>
              <w:left w:val="nil" w:sz="6" w:space="0" w:color="auto"/>
              <w:bottom w:val="single" w:sz="6" w:space="0" w:color="DCDDDE"/>
              <w:right w:val="nil" w:sz="6" w:space="0" w:color="auto"/>
            </w:tcBorders>
          </w:tcPr>
          <w:p>
            <w:pPr/>
          </w:p>
        </w:tc>
      </w:tr>
    </w:tbl>
    <w:p>
      <w:pPr>
        <w:spacing w:after="0"/>
        <w:sectPr>
          <w:pgSz w:w="11910" w:h="16840"/>
          <w:pgMar w:header="0" w:footer="691" w:top="1580" w:bottom="880" w:left="1600" w:right="1300"/>
        </w:sectPr>
      </w:pPr>
    </w:p>
    <w:p>
      <w:pPr>
        <w:spacing w:line="240" w:lineRule="auto" w:before="0"/>
        <w:rPr>
          <w:rFonts w:ascii="Times New Roman" w:hAnsi="Times New Roman" w:cs="Times New Roman" w:eastAsia="Times New Roman"/>
          <w:sz w:val="20"/>
          <w:szCs w:val="20"/>
        </w:rPr>
      </w:pPr>
    </w:p>
    <w:p>
      <w:pPr>
        <w:spacing w:line="240" w:lineRule="auto" w:before="3"/>
        <w:rPr>
          <w:rFonts w:ascii="Times New Roman" w:hAnsi="Times New Roman" w:cs="Times New Roman" w:eastAsia="Times New Roman"/>
          <w:sz w:val="27"/>
          <w:szCs w:val="27"/>
        </w:rPr>
      </w:pPr>
    </w:p>
    <w:p>
      <w:pPr>
        <w:spacing w:after="0" w:line="240" w:lineRule="auto"/>
        <w:rPr>
          <w:rFonts w:ascii="Times New Roman" w:hAnsi="Times New Roman" w:cs="Times New Roman" w:eastAsia="Times New Roman"/>
          <w:sz w:val="27"/>
          <w:szCs w:val="27"/>
        </w:rPr>
        <w:sectPr>
          <w:footerReference w:type="even" r:id="rId85"/>
          <w:footerReference w:type="default" r:id="rId86"/>
          <w:pgSz w:w="11910" w:h="16840"/>
          <w:pgMar w:footer="691" w:header="0" w:top="1580" w:bottom="880" w:left="1300" w:right="1600"/>
        </w:sectPr>
      </w:pPr>
    </w:p>
    <w:p>
      <w:pPr>
        <w:pStyle w:val="Heading2"/>
        <w:spacing w:line="360" w:lineRule="exact" w:before="71"/>
        <w:ind w:right="79"/>
        <w:jc w:val="left"/>
        <w:rPr>
          <w:b w:val="0"/>
          <w:bCs w:val="0"/>
        </w:rPr>
      </w:pPr>
      <w:bookmarkStart w:name="_TOC_250013" w:id="23"/>
      <w:r>
        <w:rPr>
          <w:color w:val="452A70"/>
          <w:spacing w:val="-6"/>
        </w:rPr>
        <w:t>T</w:t>
      </w:r>
      <w:r>
        <w:rPr>
          <w:color w:val="452A70"/>
          <w:spacing w:val="-5"/>
        </w:rPr>
        <w:t>ype</w:t>
      </w:r>
      <w:r>
        <w:rPr>
          <w:color w:val="452A70"/>
          <w:spacing w:val="-1"/>
        </w:rPr>
        <w:t> </w:t>
      </w:r>
      <w:r>
        <w:rPr>
          <w:color w:val="452A70"/>
          <w:spacing w:val="-3"/>
        </w:rPr>
        <w:t>of</w:t>
      </w:r>
      <w:r>
        <w:rPr>
          <w:color w:val="452A70"/>
          <w:spacing w:val="-1"/>
        </w:rPr>
        <w:t> </w:t>
      </w:r>
      <w:r>
        <w:rPr>
          <w:color w:val="452A70"/>
          <w:spacing w:val="-2"/>
        </w:rPr>
        <w:t>boarding</w:t>
      </w:r>
      <w:r>
        <w:rPr>
          <w:color w:val="452A70"/>
          <w:spacing w:val="29"/>
        </w:rPr>
        <w:t> </w:t>
      </w:r>
      <w:r>
        <w:rPr>
          <w:color w:val="452A70"/>
          <w:spacing w:val="-1"/>
        </w:rPr>
        <w:t>accommodation</w:t>
      </w:r>
      <w:bookmarkEnd w:id="23"/>
      <w:r>
        <w:rPr>
          <w:b w:val="0"/>
        </w:rPr>
      </w:r>
    </w:p>
    <w:p>
      <w:pPr>
        <w:pStyle w:val="BodyText"/>
        <w:spacing w:line="250" w:lineRule="exact" w:before="119"/>
        <w:ind w:right="123"/>
        <w:jc w:val="left"/>
        <w:rPr>
          <w:rFonts w:ascii="Segoe UI" w:hAnsi="Segoe UI" w:cs="Segoe UI" w:eastAsia="Segoe UI"/>
        </w:rPr>
      </w:pPr>
      <w:r>
        <w:rPr>
          <w:color w:val="231F20"/>
        </w:rPr>
        <w:t>Grant</w:t>
      </w:r>
      <w:r>
        <w:rPr>
          <w:color w:val="231F20"/>
          <w:spacing w:val="-6"/>
        </w:rPr>
        <w:t> </w:t>
      </w:r>
      <w:r>
        <w:rPr>
          <w:color w:val="231F20"/>
        </w:rPr>
        <w:t>Thornton</w:t>
      </w:r>
      <w:r>
        <w:rPr>
          <w:color w:val="231F20"/>
          <w:spacing w:val="-7"/>
        </w:rPr>
        <w:t> </w:t>
      </w:r>
      <w:r>
        <w:rPr>
          <w:color w:val="231F20"/>
        </w:rPr>
        <w:t>found</w:t>
      </w:r>
      <w:r>
        <w:rPr>
          <w:color w:val="231F20"/>
          <w:spacing w:val="-5"/>
        </w:rPr>
        <w:t> </w:t>
      </w:r>
      <w:r>
        <w:rPr>
          <w:color w:val="231F20"/>
        </w:rPr>
        <w:t>no</w:t>
      </w:r>
      <w:r>
        <w:rPr>
          <w:color w:val="231F20"/>
          <w:spacing w:val="-6"/>
        </w:rPr>
        <w:t> </w:t>
      </w:r>
      <w:r>
        <w:rPr>
          <w:color w:val="231F20"/>
        </w:rPr>
        <w:t>discernible</w:t>
      </w:r>
      <w:r>
        <w:rPr>
          <w:color w:val="231F20"/>
          <w:spacing w:val="-6"/>
        </w:rPr>
        <w:t> </w:t>
      </w:r>
      <w:r>
        <w:rPr>
          <w:color w:val="231F20"/>
        </w:rPr>
        <w:t>variance</w:t>
      </w:r>
      <w:r>
        <w:rPr>
          <w:color w:val="231F20"/>
          <w:w w:val="99"/>
        </w:rPr>
        <w:t> </w:t>
      </w:r>
      <w:r>
        <w:rPr>
          <w:color w:val="231F20"/>
          <w:spacing w:val="-1"/>
        </w:rPr>
        <w:t>in</w:t>
      </w:r>
      <w:r>
        <w:rPr>
          <w:color w:val="231F20"/>
          <w:spacing w:val="-4"/>
        </w:rPr>
        <w:t> </w:t>
      </w:r>
      <w:r>
        <w:rPr>
          <w:color w:val="231F20"/>
        </w:rPr>
        <w:t>average</w:t>
      </w:r>
      <w:r>
        <w:rPr>
          <w:color w:val="231F20"/>
          <w:spacing w:val="-5"/>
        </w:rPr>
        <w:t> </w:t>
      </w:r>
      <w:r>
        <w:rPr>
          <w:color w:val="231F20"/>
        </w:rPr>
        <w:t>cost</w:t>
      </w:r>
      <w:r>
        <w:rPr>
          <w:color w:val="231F20"/>
          <w:spacing w:val="-5"/>
        </w:rPr>
        <w:t> </w:t>
      </w:r>
      <w:r>
        <w:rPr>
          <w:color w:val="231F20"/>
        </w:rPr>
        <w:t>based</w:t>
      </w:r>
      <w:r>
        <w:rPr>
          <w:color w:val="231F20"/>
          <w:spacing w:val="-5"/>
        </w:rPr>
        <w:t> </w:t>
      </w:r>
      <w:r>
        <w:rPr>
          <w:color w:val="231F20"/>
        </w:rPr>
        <w:t>on</w:t>
      </w:r>
      <w:r>
        <w:rPr>
          <w:color w:val="231F20"/>
          <w:spacing w:val="-4"/>
        </w:rPr>
        <w:t> </w:t>
      </w:r>
      <w:r>
        <w:rPr>
          <w:color w:val="231F20"/>
        </w:rPr>
        <w:t>the</w:t>
      </w:r>
      <w:r>
        <w:rPr>
          <w:color w:val="231F20"/>
          <w:spacing w:val="-5"/>
        </w:rPr>
        <w:t> </w:t>
      </w:r>
      <w:r>
        <w:rPr>
          <w:color w:val="231F20"/>
        </w:rPr>
        <w:t>type</w:t>
      </w:r>
      <w:r>
        <w:rPr>
          <w:color w:val="231F20"/>
          <w:spacing w:val="-5"/>
        </w:rPr>
        <w:t> </w:t>
      </w:r>
      <w:r>
        <w:rPr>
          <w:color w:val="231F20"/>
        </w:rPr>
        <w:t>of</w:t>
      </w:r>
      <w:r>
        <w:rPr>
          <w:color w:val="231F20"/>
          <w:spacing w:val="-4"/>
        </w:rPr>
        <w:t> </w:t>
      </w:r>
      <w:r>
        <w:rPr>
          <w:color w:val="231F20"/>
        </w:rPr>
        <w:t>boarding</w:t>
      </w:r>
      <w:r>
        <w:rPr>
          <w:color w:val="231F20"/>
          <w:spacing w:val="21"/>
          <w:w w:val="99"/>
        </w:rPr>
        <w:t> </w:t>
      </w:r>
      <w:r>
        <w:rPr>
          <w:color w:val="231F20"/>
        </w:rPr>
        <w:t>accommodation.</w:t>
      </w:r>
      <w:r>
        <w:rPr>
          <w:color w:val="231F20"/>
          <w:spacing w:val="-6"/>
        </w:rPr>
        <w:t> </w:t>
      </w:r>
      <w:r>
        <w:rPr>
          <w:color w:val="231F20"/>
        </w:rPr>
        <w:t>This</w:t>
      </w:r>
      <w:r>
        <w:rPr>
          <w:color w:val="231F20"/>
          <w:spacing w:val="-5"/>
        </w:rPr>
        <w:t> </w:t>
      </w:r>
      <w:r>
        <w:rPr>
          <w:color w:val="231F20"/>
          <w:spacing w:val="-1"/>
        </w:rPr>
        <w:t>is</w:t>
      </w:r>
      <w:r>
        <w:rPr>
          <w:color w:val="231F20"/>
          <w:spacing w:val="-5"/>
        </w:rPr>
        <w:t> </w:t>
      </w:r>
      <w:r>
        <w:rPr>
          <w:color w:val="231F20"/>
        </w:rPr>
        <w:t>consistent</w:t>
      </w:r>
      <w:r>
        <w:rPr>
          <w:color w:val="231F20"/>
          <w:spacing w:val="-6"/>
        </w:rPr>
        <w:t> </w:t>
      </w:r>
      <w:r>
        <w:rPr>
          <w:color w:val="231F20"/>
        </w:rPr>
        <w:t>with</w:t>
      </w:r>
      <w:r>
        <w:rPr>
          <w:color w:val="231F20"/>
          <w:spacing w:val="-5"/>
        </w:rPr>
        <w:t> </w:t>
      </w:r>
      <w:r>
        <w:rPr>
          <w:color w:val="231F20"/>
        </w:rPr>
        <w:t>the</w:t>
      </w:r>
      <w:r>
        <w:rPr>
          <w:color w:val="231F20"/>
          <w:spacing w:val="21"/>
          <w:w w:val="99"/>
        </w:rPr>
        <w:t> </w:t>
      </w:r>
      <w:r>
        <w:rPr>
          <w:rFonts w:ascii="Segoe UI"/>
          <w:color w:val="231F20"/>
        </w:rPr>
        <w:t>findings of KPMG, 2016.</w:t>
      </w:r>
      <w:r>
        <w:rPr>
          <w:rFonts w:ascii="Segoe UI"/>
        </w:rPr>
      </w:r>
    </w:p>
    <w:p>
      <w:pPr>
        <w:pStyle w:val="BodyText"/>
        <w:spacing w:line="250" w:lineRule="exact" w:before="113"/>
        <w:ind w:right="0"/>
        <w:jc w:val="left"/>
      </w:pP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8"/>
        </w:rPr>
        <w:t> </w:t>
      </w:r>
      <w:r>
        <w:rPr>
          <w:color w:val="231F20"/>
        </w:rPr>
        <w:t>deliver</w:t>
      </w:r>
      <w:r>
        <w:rPr>
          <w:color w:val="231F20"/>
          <w:spacing w:val="-8"/>
        </w:rPr>
        <w:t> </w:t>
      </w:r>
      <w:r>
        <w:rPr>
          <w:color w:val="231F20"/>
        </w:rPr>
        <w:t>boarding</w:t>
      </w:r>
      <w:r>
        <w:rPr>
          <w:color w:val="231F20"/>
          <w:spacing w:val="-8"/>
        </w:rPr>
        <w:t> </w:t>
      </w:r>
      <w:r>
        <w:rPr>
          <w:color w:val="231F20"/>
        </w:rPr>
        <w:t>through</w:t>
      </w:r>
      <w:r>
        <w:rPr>
          <w:color w:val="231F20"/>
          <w:spacing w:val="-8"/>
        </w:rPr>
        <w:t> </w:t>
      </w:r>
      <w:r>
        <w:rPr>
          <w:color w:val="231F20"/>
        </w:rPr>
        <w:t>a</w:t>
      </w:r>
      <w:r>
        <w:rPr>
          <w:color w:val="231F20"/>
          <w:spacing w:val="-7"/>
        </w:rPr>
        <w:t> </w:t>
      </w:r>
      <w:r>
        <w:rPr>
          <w:color w:val="231F20"/>
        </w:rPr>
        <w:t>wide</w:t>
      </w:r>
      <w:r>
        <w:rPr>
          <w:color w:val="231F20"/>
          <w:w w:val="99"/>
        </w:rPr>
        <w:t> </w:t>
      </w:r>
      <w:r>
        <w:rPr>
          <w:color w:val="231F20"/>
        </w:rPr>
        <w:t>variety</w:t>
      </w:r>
      <w:r>
        <w:rPr>
          <w:color w:val="231F20"/>
          <w:spacing w:val="-9"/>
        </w:rPr>
        <w:t> </w:t>
      </w:r>
      <w:r>
        <w:rPr>
          <w:color w:val="231F20"/>
        </w:rPr>
        <w:t>of</w:t>
      </w:r>
      <w:r>
        <w:rPr>
          <w:color w:val="231F20"/>
          <w:spacing w:val="-9"/>
        </w:rPr>
        <w:t> </w:t>
      </w:r>
      <w:r>
        <w:rPr>
          <w:color w:val="231F20"/>
        </w:rPr>
        <w:t>boarding</w:t>
      </w:r>
      <w:r>
        <w:rPr>
          <w:color w:val="231F20"/>
          <w:spacing w:val="-10"/>
        </w:rPr>
        <w:t> </w:t>
      </w:r>
      <w:r>
        <w:rPr>
          <w:color w:val="231F20"/>
        </w:rPr>
        <w:t>accommodation</w:t>
      </w:r>
      <w:r>
        <w:rPr>
          <w:color w:val="231F20"/>
          <w:spacing w:val="-10"/>
        </w:rPr>
        <w:t> </w:t>
      </w:r>
      <w:r>
        <w:rPr>
          <w:color w:val="231F20"/>
        </w:rPr>
        <w:t>types.</w:t>
      </w:r>
      <w:r>
        <w:rPr/>
      </w:r>
    </w:p>
    <w:p>
      <w:pPr>
        <w:pStyle w:val="BodyText"/>
        <w:spacing w:line="250" w:lineRule="exact"/>
        <w:ind w:right="3"/>
        <w:jc w:val="left"/>
      </w:pPr>
      <w:r>
        <w:rPr>
          <w:color w:val="231F20"/>
        </w:rPr>
        <w:t>This</w:t>
      </w:r>
      <w:r>
        <w:rPr>
          <w:color w:val="231F20"/>
          <w:spacing w:val="-6"/>
        </w:rPr>
        <w:t> </w:t>
      </w:r>
      <w:r>
        <w:rPr>
          <w:color w:val="231F20"/>
          <w:spacing w:val="-1"/>
        </w:rPr>
        <w:t>includes</w:t>
      </w:r>
      <w:r>
        <w:rPr>
          <w:color w:val="231F20"/>
          <w:spacing w:val="-5"/>
        </w:rPr>
        <w:t> </w:t>
      </w:r>
      <w:r>
        <w:rPr>
          <w:color w:val="231F20"/>
        </w:rPr>
        <w:t>traditional</w:t>
      </w:r>
      <w:r>
        <w:rPr>
          <w:color w:val="231F20"/>
          <w:spacing w:val="-6"/>
        </w:rPr>
        <w:t> </w:t>
      </w:r>
      <w:r>
        <w:rPr>
          <w:color w:val="231F20"/>
        </w:rPr>
        <w:t>dormitories,</w:t>
      </w:r>
      <w:r>
        <w:rPr>
          <w:color w:val="231F20"/>
          <w:spacing w:val="-6"/>
        </w:rPr>
        <w:t> </w:t>
      </w:r>
      <w:r>
        <w:rPr>
          <w:color w:val="231F20"/>
        </w:rPr>
        <w:t>family</w:t>
      </w:r>
      <w:r>
        <w:rPr>
          <w:color w:val="231F20"/>
          <w:spacing w:val="22"/>
        </w:rPr>
        <w:t> </w:t>
      </w:r>
      <w:r>
        <w:rPr>
          <w:rFonts w:ascii="Segoe UI"/>
          <w:color w:val="231F20"/>
        </w:rPr>
        <w:t>group</w:t>
      </w:r>
      <w:r>
        <w:rPr>
          <w:rFonts w:ascii="Segoe UI"/>
          <w:color w:val="231F20"/>
          <w:spacing w:val="-2"/>
        </w:rPr>
        <w:t> </w:t>
      </w:r>
      <w:r>
        <w:rPr>
          <w:rFonts w:ascii="Segoe UI"/>
          <w:color w:val="231F20"/>
        </w:rPr>
        <w:t>homes,</w:t>
      </w:r>
      <w:r>
        <w:rPr>
          <w:rFonts w:ascii="Segoe UI"/>
          <w:color w:val="231F20"/>
          <w:spacing w:val="-1"/>
        </w:rPr>
        <w:t> </w:t>
      </w:r>
      <w:r>
        <w:rPr>
          <w:rFonts w:ascii="Segoe UI"/>
          <w:color w:val="231F20"/>
        </w:rPr>
        <w:t>accommodation</w:t>
      </w:r>
      <w:r>
        <w:rPr>
          <w:rFonts w:ascii="Segoe UI"/>
          <w:color w:val="231F20"/>
          <w:spacing w:val="-2"/>
        </w:rPr>
        <w:t> </w:t>
      </w:r>
      <w:r>
        <w:rPr>
          <w:rFonts w:ascii="Segoe UI"/>
          <w:color w:val="231F20"/>
        </w:rPr>
        <w:t>pods,</w:t>
      </w:r>
      <w:r>
        <w:rPr>
          <w:rFonts w:ascii="Segoe UI"/>
          <w:color w:val="231F20"/>
          <w:spacing w:val="-1"/>
        </w:rPr>
        <w:t> </w:t>
      </w:r>
      <w:r>
        <w:rPr>
          <w:rFonts w:ascii="Segoe UI"/>
          <w:color w:val="231F20"/>
        </w:rPr>
        <w:t>offsite</w:t>
      </w:r>
      <w:r>
        <w:rPr>
          <w:rFonts w:ascii="Segoe UI"/>
          <w:color w:val="231F20"/>
          <w:w w:val="99"/>
        </w:rPr>
        <w:t> </w:t>
      </w:r>
      <w:r>
        <w:rPr>
          <w:color w:val="231F20"/>
          <w:spacing w:val="-1"/>
        </w:rPr>
        <w:t>standalone</w:t>
      </w:r>
      <w:r>
        <w:rPr>
          <w:color w:val="231F20"/>
          <w:spacing w:val="-3"/>
        </w:rPr>
        <w:t> </w:t>
      </w:r>
      <w:r>
        <w:rPr>
          <w:color w:val="231F20"/>
        </w:rPr>
        <w:t>residences</w:t>
      </w:r>
      <w:r>
        <w:rPr>
          <w:color w:val="231F20"/>
          <w:spacing w:val="-6"/>
        </w:rPr>
        <w:t> </w:t>
      </w:r>
      <w:r>
        <w:rPr>
          <w:color w:val="231F20"/>
        </w:rPr>
        <w:t>that</w:t>
      </w:r>
      <w:r>
        <w:rPr>
          <w:color w:val="231F20"/>
          <w:spacing w:val="-4"/>
        </w:rPr>
        <w:t> </w:t>
      </w:r>
      <w:r>
        <w:rPr>
          <w:color w:val="231F20"/>
        </w:rPr>
        <w:t>are</w:t>
      </w:r>
      <w:r>
        <w:rPr>
          <w:color w:val="231F20"/>
          <w:spacing w:val="-5"/>
        </w:rPr>
        <w:t> </w:t>
      </w:r>
      <w:r>
        <w:rPr>
          <w:color w:val="231F20"/>
        </w:rPr>
        <w:t>not</w:t>
      </w:r>
      <w:r>
        <w:rPr>
          <w:color w:val="231F20"/>
          <w:spacing w:val="-4"/>
        </w:rPr>
        <w:t> </w:t>
      </w:r>
      <w:r>
        <w:rPr>
          <w:color w:val="231F20"/>
        </w:rPr>
        <w:t>part</w:t>
      </w:r>
      <w:r>
        <w:rPr>
          <w:color w:val="231F20"/>
          <w:spacing w:val="-3"/>
        </w:rPr>
        <w:t> </w:t>
      </w:r>
      <w:r>
        <w:rPr>
          <w:color w:val="231F20"/>
        </w:rPr>
        <w:t>of</w:t>
      </w:r>
      <w:r>
        <w:rPr>
          <w:color w:val="231F20"/>
          <w:spacing w:val="-4"/>
        </w:rPr>
        <w:t> </w:t>
      </w:r>
      <w:r>
        <w:rPr>
          <w:color w:val="231F20"/>
        </w:rPr>
        <w:t>a</w:t>
      </w:r>
      <w:r>
        <w:rPr>
          <w:color w:val="231F20"/>
          <w:spacing w:val="22"/>
          <w:w w:val="99"/>
        </w:rPr>
        <w:t> </w:t>
      </w:r>
      <w:r>
        <w:rPr>
          <w:color w:val="231F20"/>
          <w:spacing w:val="-1"/>
        </w:rPr>
        <w:t>school</w:t>
      </w:r>
      <w:r>
        <w:rPr>
          <w:color w:val="231F20"/>
          <w:spacing w:val="-9"/>
        </w:rPr>
        <w:t> </w:t>
      </w:r>
      <w:r>
        <w:rPr>
          <w:color w:val="231F20"/>
          <w:spacing w:val="-1"/>
        </w:rPr>
        <w:t>structure</w:t>
      </w:r>
      <w:r>
        <w:rPr>
          <w:color w:val="231F20"/>
          <w:spacing w:val="-7"/>
        </w:rPr>
        <w:t> </w:t>
      </w:r>
      <w:r>
        <w:rPr>
          <w:color w:val="231F20"/>
        </w:rPr>
        <w:t>or</w:t>
      </w:r>
      <w:r>
        <w:rPr>
          <w:color w:val="231F20"/>
          <w:spacing w:val="-8"/>
        </w:rPr>
        <w:t> </w:t>
      </w:r>
      <w:r>
        <w:rPr>
          <w:color w:val="231F20"/>
        </w:rPr>
        <w:t>accommodation</w:t>
      </w:r>
      <w:r>
        <w:rPr>
          <w:color w:val="231F20"/>
          <w:spacing w:val="-9"/>
        </w:rPr>
        <w:t> </w:t>
      </w:r>
      <w:r>
        <w:rPr>
          <w:color w:val="231F20"/>
        </w:rPr>
        <w:t>designed</w:t>
      </w:r>
      <w:r>
        <w:rPr>
          <w:color w:val="231F20"/>
          <w:spacing w:val="23"/>
          <w:w w:val="99"/>
        </w:rPr>
        <w:t> </w:t>
      </w:r>
      <w:r>
        <w:rPr>
          <w:rFonts w:ascii="Segoe UI"/>
          <w:color w:val="231F20"/>
        </w:rPr>
        <w:t>and developed specifically to meet the needs of</w:t>
      </w:r>
      <w:r>
        <w:rPr>
          <w:rFonts w:ascii="Segoe UI"/>
          <w:color w:val="231F20"/>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spacing w:val="-1"/>
        </w:rPr>
        <w:t>students,</w:t>
      </w:r>
      <w:r>
        <w:rPr>
          <w:color w:val="231F20"/>
          <w:spacing w:val="20"/>
          <w:w w:val="99"/>
        </w:rPr>
        <w:t> </w:t>
      </w:r>
      <w:r>
        <w:rPr>
          <w:rFonts w:ascii="Segoe UI"/>
          <w:color w:val="231F20"/>
        </w:rPr>
        <w:t>and</w:t>
      </w:r>
      <w:r>
        <w:rPr>
          <w:rFonts w:ascii="Segoe UI"/>
          <w:color w:val="231F20"/>
          <w:spacing w:val="-2"/>
        </w:rPr>
        <w:t> </w:t>
      </w:r>
      <w:r>
        <w:rPr>
          <w:rFonts w:ascii="Segoe UI"/>
          <w:color w:val="231F20"/>
        </w:rPr>
        <w:t>models</w:t>
      </w:r>
      <w:r>
        <w:rPr>
          <w:rFonts w:ascii="Segoe UI"/>
          <w:color w:val="231F20"/>
          <w:spacing w:val="-1"/>
        </w:rPr>
        <w:t> </w:t>
      </w:r>
      <w:r>
        <w:rPr>
          <w:rFonts w:ascii="Segoe UI"/>
          <w:color w:val="231F20"/>
        </w:rPr>
        <w:t>combining</w:t>
      </w:r>
      <w:r>
        <w:rPr>
          <w:rFonts w:ascii="Segoe UI"/>
          <w:color w:val="231F20"/>
          <w:spacing w:val="-1"/>
        </w:rPr>
        <w:t> </w:t>
      </w:r>
      <w:r>
        <w:rPr>
          <w:rFonts w:ascii="Segoe UI"/>
          <w:color w:val="231F20"/>
        </w:rPr>
        <w:t>a</w:t>
      </w:r>
      <w:r>
        <w:rPr>
          <w:rFonts w:ascii="Segoe UI"/>
          <w:color w:val="231F20"/>
          <w:spacing w:val="-1"/>
        </w:rPr>
        <w:t> </w:t>
      </w:r>
      <w:r>
        <w:rPr>
          <w:rFonts w:ascii="Segoe UI"/>
          <w:color w:val="231F20"/>
        </w:rPr>
        <w:t>number</w:t>
      </w:r>
      <w:r>
        <w:rPr>
          <w:rFonts w:ascii="Segoe UI"/>
          <w:color w:val="231F20"/>
          <w:spacing w:val="-2"/>
        </w:rPr>
        <w:t> </w:t>
      </w:r>
      <w:r>
        <w:rPr>
          <w:rFonts w:ascii="Segoe UI"/>
          <w:color w:val="231F20"/>
        </w:rPr>
        <w:t>of</w:t>
      </w:r>
      <w:r>
        <w:rPr>
          <w:rFonts w:ascii="Segoe UI"/>
          <w:color w:val="231F20"/>
          <w:spacing w:val="-1"/>
        </w:rPr>
        <w:t> </w:t>
      </w:r>
      <w:r>
        <w:rPr>
          <w:rFonts w:ascii="Segoe UI"/>
          <w:color w:val="231F20"/>
        </w:rPr>
        <w:t>different</w:t>
      </w:r>
      <w:r>
        <w:rPr>
          <w:rFonts w:ascii="Segoe UI"/>
          <w:color w:val="231F20"/>
          <w:w w:val="99"/>
        </w:rPr>
        <w:t> </w:t>
      </w:r>
      <w:r>
        <w:rPr>
          <w:color w:val="231F20"/>
        </w:rPr>
        <w:t>types</w:t>
      </w:r>
      <w:r>
        <w:rPr>
          <w:color w:val="231F20"/>
          <w:spacing w:val="-10"/>
        </w:rPr>
        <w:t> </w:t>
      </w:r>
      <w:r>
        <w:rPr>
          <w:color w:val="231F20"/>
        </w:rPr>
        <w:t>of</w:t>
      </w:r>
      <w:r>
        <w:rPr>
          <w:color w:val="231F20"/>
          <w:spacing w:val="-8"/>
        </w:rPr>
        <w:t> </w:t>
      </w:r>
      <w:r>
        <w:rPr>
          <w:color w:val="231F20"/>
        </w:rPr>
        <w:t>residence</w:t>
      </w:r>
      <w:r>
        <w:rPr>
          <w:color w:val="231F20"/>
          <w:spacing w:val="-10"/>
        </w:rPr>
        <w:t> </w:t>
      </w:r>
      <w:r>
        <w:rPr>
          <w:color w:val="231F20"/>
        </w:rPr>
        <w:t>and</w:t>
      </w:r>
      <w:r>
        <w:rPr>
          <w:color w:val="231F20"/>
          <w:spacing w:val="-9"/>
        </w:rPr>
        <w:t> </w:t>
      </w:r>
      <w:r>
        <w:rPr>
          <w:color w:val="231F20"/>
        </w:rPr>
        <w:t>accommodation.</w:t>
      </w:r>
      <w:r>
        <w:rPr/>
      </w:r>
    </w:p>
    <w:p>
      <w:pPr>
        <w:pStyle w:val="BodyText"/>
        <w:spacing w:line="250" w:lineRule="exact" w:before="113"/>
        <w:ind w:left="570" w:right="273"/>
        <w:jc w:val="left"/>
        <w:rPr>
          <w:rFonts w:ascii="Segoe UI Semibold" w:hAnsi="Segoe UI Semibold" w:cs="Segoe UI Semibold" w:eastAsia="Segoe UI Semibold"/>
          <w:sz w:val="11"/>
          <w:szCs w:val="11"/>
        </w:rPr>
      </w:pPr>
      <w:r>
        <w:rPr>
          <w:rFonts w:ascii="Segoe UI Semibold"/>
          <w:b/>
          <w:color w:val="00779B"/>
          <w:spacing w:val="-1"/>
        </w:rPr>
        <w:t>Boarding</w:t>
      </w:r>
      <w:r>
        <w:rPr>
          <w:rFonts w:ascii="Segoe UI Semibold"/>
          <w:b/>
          <w:color w:val="00779B"/>
          <w:spacing w:val="-2"/>
        </w:rPr>
        <w:t> </w:t>
      </w:r>
      <w:r>
        <w:rPr>
          <w:rFonts w:ascii="Segoe UI Semibold"/>
          <w:b/>
          <w:color w:val="00779B"/>
          <w:spacing w:val="-1"/>
        </w:rPr>
        <w:t>Australia </w:t>
      </w:r>
      <w:r>
        <w:rPr>
          <w:rFonts w:ascii="Segoe UI Semibold"/>
          <w:b/>
          <w:color w:val="00779B"/>
        </w:rPr>
        <w:t>has</w:t>
      </w:r>
      <w:r>
        <w:rPr>
          <w:rFonts w:ascii="Segoe UI Semibold"/>
          <w:b/>
          <w:color w:val="00779B"/>
          <w:spacing w:val="-1"/>
        </w:rPr>
        <w:t> seen</w:t>
      </w:r>
      <w:r>
        <w:rPr>
          <w:rFonts w:ascii="Segoe UI Semibold"/>
          <w:b/>
          <w:color w:val="00779B"/>
          <w:spacing w:val="-2"/>
        </w:rPr>
        <w:t> </w:t>
      </w:r>
      <w:r>
        <w:rPr>
          <w:rFonts w:ascii="Segoe UI Semibold"/>
          <w:b/>
          <w:color w:val="00779B"/>
        </w:rPr>
        <w:t>a</w:t>
      </w:r>
      <w:r>
        <w:rPr>
          <w:rFonts w:ascii="Segoe UI Semibold"/>
          <w:b/>
          <w:color w:val="00779B"/>
          <w:spacing w:val="-1"/>
        </w:rPr>
        <w:t> range </w:t>
      </w:r>
      <w:r>
        <w:rPr>
          <w:rFonts w:ascii="Segoe UI Semibold"/>
          <w:b/>
          <w:color w:val="00779B"/>
          <w:spacing w:val="-2"/>
        </w:rPr>
        <w:t>of</w:t>
      </w:r>
      <w:r>
        <w:rPr>
          <w:rFonts w:ascii="Segoe UI Semibold"/>
          <w:b/>
          <w:color w:val="00779B"/>
          <w:spacing w:val="28"/>
          <w:w w:val="99"/>
        </w:rPr>
        <w:t> </w:t>
      </w:r>
      <w:r>
        <w:rPr>
          <w:rFonts w:ascii="Segoe UI Semibold"/>
          <w:b/>
          <w:color w:val="00779B"/>
          <w:spacing w:val="-1"/>
        </w:rPr>
        <w:t>innovative</w:t>
      </w:r>
      <w:r>
        <w:rPr>
          <w:rFonts w:ascii="Segoe UI Semibold"/>
          <w:b/>
          <w:color w:val="00779B"/>
          <w:spacing w:val="-4"/>
        </w:rPr>
        <w:t> </w:t>
      </w:r>
      <w:r>
        <w:rPr>
          <w:rFonts w:ascii="Segoe UI Semibold"/>
          <w:b/>
          <w:color w:val="00779B"/>
        </w:rPr>
        <w:t>and</w:t>
      </w:r>
      <w:r>
        <w:rPr>
          <w:rFonts w:ascii="Segoe UI Semibold"/>
          <w:b/>
          <w:color w:val="00779B"/>
          <w:spacing w:val="-4"/>
        </w:rPr>
        <w:t> </w:t>
      </w:r>
      <w:r>
        <w:rPr>
          <w:rFonts w:ascii="Segoe UI Semibold"/>
          <w:b/>
          <w:color w:val="00779B"/>
          <w:spacing w:val="-1"/>
        </w:rPr>
        <w:t>emerging</w:t>
      </w:r>
      <w:r>
        <w:rPr>
          <w:rFonts w:ascii="Segoe UI Semibold"/>
          <w:b/>
          <w:color w:val="00779B"/>
          <w:spacing w:val="-4"/>
        </w:rPr>
        <w:t> </w:t>
      </w:r>
      <w:r>
        <w:rPr>
          <w:rFonts w:ascii="Segoe UI Semibold"/>
          <w:b/>
          <w:color w:val="00779B"/>
          <w:spacing w:val="-1"/>
        </w:rPr>
        <w:t>approaches</w:t>
      </w:r>
      <w:r>
        <w:rPr>
          <w:rFonts w:ascii="Segoe UI Semibold"/>
          <w:b/>
          <w:color w:val="00779B"/>
          <w:spacing w:val="29"/>
        </w:rPr>
        <w:t> </w:t>
      </w:r>
      <w:r>
        <w:rPr>
          <w:rFonts w:ascii="Segoe UI Semibold"/>
          <w:b/>
          <w:color w:val="00779B"/>
          <w:spacing w:val="-1"/>
        </w:rPr>
        <w:t>to</w:t>
      </w:r>
      <w:r>
        <w:rPr>
          <w:rFonts w:ascii="Segoe UI Semibold"/>
          <w:b/>
          <w:color w:val="00779B"/>
          <w:spacing w:val="-4"/>
        </w:rPr>
        <w:t> </w:t>
      </w:r>
      <w:r>
        <w:rPr>
          <w:rFonts w:ascii="Segoe UI Semibold"/>
          <w:b/>
          <w:color w:val="00779B"/>
        </w:rPr>
        <w:t>Indigenous</w:t>
      </w:r>
      <w:r>
        <w:rPr>
          <w:rFonts w:ascii="Segoe UI Semibold"/>
          <w:b/>
          <w:color w:val="00779B"/>
          <w:spacing w:val="-4"/>
        </w:rPr>
        <w:t> </w:t>
      </w:r>
      <w:r>
        <w:rPr>
          <w:rFonts w:ascii="Segoe UI Semibold"/>
          <w:b/>
          <w:color w:val="00779B"/>
          <w:spacing w:val="-1"/>
        </w:rPr>
        <w:t>boarding</w:t>
      </w:r>
      <w:r>
        <w:rPr>
          <w:rFonts w:ascii="Segoe UI Semibold"/>
          <w:b/>
          <w:color w:val="00779B"/>
          <w:spacing w:val="-3"/>
        </w:rPr>
        <w:t> </w:t>
      </w:r>
      <w:r>
        <w:rPr>
          <w:rFonts w:ascii="Segoe UI Semibold"/>
          <w:b/>
          <w:color w:val="00779B"/>
          <w:spacing w:val="-1"/>
        </w:rPr>
        <w:t>emerge</w:t>
      </w:r>
      <w:r>
        <w:rPr>
          <w:rFonts w:ascii="Segoe UI Semibold"/>
          <w:b/>
          <w:color w:val="00779B"/>
          <w:spacing w:val="-3"/>
        </w:rPr>
        <w:t> </w:t>
      </w:r>
      <w:r>
        <w:rPr>
          <w:rFonts w:ascii="Segoe UI Semibold"/>
          <w:b/>
          <w:color w:val="00779B"/>
          <w:spacing w:val="-1"/>
        </w:rPr>
        <w:t>in</w:t>
      </w:r>
      <w:r>
        <w:rPr>
          <w:rFonts w:ascii="Segoe UI Semibold"/>
          <w:b/>
          <w:color w:val="00779B"/>
          <w:spacing w:val="24"/>
        </w:rPr>
        <w:t> </w:t>
      </w:r>
      <w:r>
        <w:rPr>
          <w:rFonts w:ascii="Segoe UI Semibold"/>
          <w:b/>
          <w:color w:val="00779B"/>
          <w:spacing w:val="-1"/>
        </w:rPr>
        <w:t>recent</w:t>
      </w:r>
      <w:r>
        <w:rPr>
          <w:rFonts w:ascii="Segoe UI Semibold"/>
          <w:b/>
          <w:color w:val="00779B"/>
          <w:spacing w:val="-2"/>
        </w:rPr>
        <w:t> </w:t>
      </w:r>
      <w:r>
        <w:rPr>
          <w:rFonts w:ascii="Segoe UI Semibold"/>
          <w:b/>
          <w:color w:val="00779B"/>
          <w:spacing w:val="-1"/>
        </w:rPr>
        <w:t>years. Such approaches</w:t>
      </w:r>
      <w:r>
        <w:rPr>
          <w:rFonts w:ascii="Segoe UI Semibold"/>
          <w:b/>
          <w:color w:val="00779B"/>
          <w:spacing w:val="-2"/>
        </w:rPr>
        <w:t> </w:t>
      </w:r>
      <w:r>
        <w:rPr>
          <w:rFonts w:ascii="Segoe UI Semibold"/>
          <w:b/>
          <w:color w:val="00779B"/>
          <w:spacing w:val="-1"/>
        </w:rPr>
        <w:t>include</w:t>
      </w:r>
      <w:r>
        <w:rPr>
          <w:rFonts w:ascii="Segoe UI Semibold"/>
          <w:b/>
          <w:color w:val="00779B"/>
          <w:spacing w:val="28"/>
        </w:rPr>
        <w:t> </w:t>
      </w:r>
      <w:r>
        <w:rPr>
          <w:rFonts w:ascii="Segoe UI Semibold"/>
          <w:b/>
          <w:color w:val="00779B"/>
          <w:spacing w:val="-1"/>
        </w:rPr>
        <w:t>derivatives </w:t>
      </w:r>
      <w:r>
        <w:rPr>
          <w:rFonts w:ascii="Segoe UI Semibold"/>
          <w:b/>
          <w:color w:val="00779B"/>
          <w:spacing w:val="-2"/>
        </w:rPr>
        <w:t>of</w:t>
      </w:r>
      <w:r>
        <w:rPr>
          <w:rFonts w:ascii="Segoe UI Semibold"/>
          <w:b/>
          <w:color w:val="00779B"/>
          <w:spacing w:val="-1"/>
        </w:rPr>
        <w:t> the</w:t>
      </w:r>
      <w:r>
        <w:rPr>
          <w:rFonts w:ascii="Segoe UI Semibold"/>
          <w:b/>
          <w:color w:val="00779B"/>
        </w:rPr>
        <w:t> family</w:t>
      </w:r>
      <w:r>
        <w:rPr>
          <w:rFonts w:ascii="Segoe UI Semibold"/>
          <w:b/>
          <w:color w:val="00779B"/>
          <w:spacing w:val="-2"/>
        </w:rPr>
        <w:t> </w:t>
      </w:r>
      <w:r>
        <w:rPr>
          <w:rFonts w:ascii="Segoe UI Semibold"/>
          <w:b/>
          <w:color w:val="00779B"/>
          <w:spacing w:val="-1"/>
        </w:rPr>
        <w:t>group</w:t>
      </w:r>
      <w:r>
        <w:rPr>
          <w:rFonts w:ascii="Segoe UI Semibold"/>
          <w:b/>
          <w:color w:val="00779B"/>
        </w:rPr>
        <w:t> home</w:t>
      </w:r>
      <w:r>
        <w:rPr>
          <w:rFonts w:ascii="Segoe UI Semibold"/>
          <w:b/>
          <w:color w:val="00779B"/>
          <w:spacing w:val="27"/>
        </w:rPr>
        <w:t> </w:t>
      </w:r>
      <w:r>
        <w:rPr>
          <w:rFonts w:ascii="Segoe UI Semibold"/>
          <w:b/>
          <w:color w:val="00779B"/>
        </w:rPr>
        <w:t>model,</w:t>
      </w:r>
      <w:r>
        <w:rPr>
          <w:rFonts w:ascii="Segoe UI Semibold"/>
          <w:b/>
          <w:color w:val="00779B"/>
          <w:spacing w:val="-1"/>
        </w:rPr>
        <w:t> hostel</w:t>
      </w:r>
      <w:r>
        <w:rPr>
          <w:rFonts w:ascii="Segoe UI Semibold"/>
          <w:b/>
          <w:color w:val="00779B"/>
        </w:rPr>
        <w:t> accommodation</w:t>
      </w:r>
      <w:r>
        <w:rPr>
          <w:rFonts w:ascii="Segoe UI Semibold"/>
          <w:b/>
          <w:color w:val="00779B"/>
          <w:spacing w:val="-1"/>
        </w:rPr>
        <w:t> </w:t>
      </w:r>
      <w:r>
        <w:rPr>
          <w:rFonts w:ascii="Segoe UI Semibold"/>
          <w:b/>
          <w:color w:val="00779B"/>
        </w:rPr>
        <w:t>and</w:t>
      </w:r>
      <w:r>
        <w:rPr>
          <w:rFonts w:ascii="Segoe UI Semibold"/>
          <w:b/>
          <w:color w:val="00779B"/>
          <w:spacing w:val="23"/>
        </w:rPr>
        <w:t> </w:t>
      </w:r>
      <w:r>
        <w:rPr>
          <w:rFonts w:ascii="Segoe UI Semibold"/>
          <w:b/>
          <w:color w:val="00779B"/>
        </w:rPr>
        <w:t>dormitory</w:t>
      </w:r>
      <w:r>
        <w:rPr>
          <w:rFonts w:ascii="Segoe UI Semibold"/>
          <w:b/>
          <w:color w:val="00779B"/>
          <w:spacing w:val="-4"/>
        </w:rPr>
        <w:t> </w:t>
      </w:r>
      <w:r>
        <w:rPr>
          <w:rFonts w:ascii="Segoe UI Semibold"/>
          <w:b/>
          <w:color w:val="00779B"/>
          <w:spacing w:val="-1"/>
        </w:rPr>
        <w:t>style</w:t>
      </w:r>
      <w:r>
        <w:rPr>
          <w:rFonts w:ascii="Segoe UI Semibold"/>
          <w:b/>
          <w:color w:val="00779B"/>
          <w:spacing w:val="-3"/>
        </w:rPr>
        <w:t> </w:t>
      </w:r>
      <w:r>
        <w:rPr>
          <w:rFonts w:ascii="Segoe UI Semibold"/>
          <w:b/>
          <w:color w:val="00779B"/>
          <w:spacing w:val="-1"/>
        </w:rPr>
        <w:t>boarding</w:t>
      </w:r>
      <w:r>
        <w:rPr>
          <w:rFonts w:ascii="Segoe UI Semibold"/>
          <w:b/>
          <w:color w:val="00779B"/>
          <w:spacing w:val="-3"/>
        </w:rPr>
        <w:t> </w:t>
      </w:r>
      <w:r>
        <w:rPr>
          <w:rFonts w:ascii="Segoe UI Semibold"/>
          <w:b/>
          <w:color w:val="00779B"/>
          <w:spacing w:val="-1"/>
        </w:rPr>
        <w:t>schools.</w:t>
      </w:r>
      <w:r>
        <w:rPr>
          <w:rFonts w:ascii="Segoe UI Semibold"/>
          <w:b/>
          <w:color w:val="00779B"/>
          <w:spacing w:val="-3"/>
        </w:rPr>
        <w:t> </w:t>
      </w:r>
      <w:r>
        <w:rPr>
          <w:rFonts w:ascii="Segoe UI Semibold"/>
          <w:b/>
          <w:color w:val="00779B"/>
        </w:rPr>
        <w:t>Each</w:t>
      </w:r>
      <w:r>
        <w:rPr>
          <w:rFonts w:ascii="Segoe UI Semibold"/>
          <w:b/>
          <w:color w:val="00779B"/>
          <w:spacing w:val="21"/>
          <w:w w:val="99"/>
        </w:rPr>
        <w:t> </w:t>
      </w:r>
      <w:r>
        <w:rPr>
          <w:rFonts w:ascii="Segoe UI Semibold"/>
          <w:b/>
          <w:color w:val="00779B"/>
        </w:rPr>
        <w:t>model</w:t>
      </w:r>
      <w:r>
        <w:rPr>
          <w:rFonts w:ascii="Segoe UI Semibold"/>
          <w:b/>
          <w:color w:val="00779B"/>
          <w:spacing w:val="-3"/>
        </w:rPr>
        <w:t> </w:t>
      </w:r>
      <w:r>
        <w:rPr>
          <w:rFonts w:ascii="Segoe UI Semibold"/>
          <w:b/>
          <w:color w:val="00779B"/>
        </w:rPr>
        <w:t>has</w:t>
      </w:r>
      <w:r>
        <w:rPr>
          <w:rFonts w:ascii="Segoe UI Semibold"/>
          <w:b/>
          <w:color w:val="00779B"/>
          <w:spacing w:val="-1"/>
        </w:rPr>
        <w:t> strengths</w:t>
      </w:r>
      <w:r>
        <w:rPr>
          <w:rFonts w:ascii="Segoe UI Semibold"/>
          <w:b/>
          <w:color w:val="00779B"/>
          <w:spacing w:val="-2"/>
        </w:rPr>
        <w:t> </w:t>
      </w:r>
      <w:r>
        <w:rPr>
          <w:rFonts w:ascii="Segoe UI Semibold"/>
          <w:b/>
          <w:color w:val="00779B"/>
        </w:rPr>
        <w:t>and</w:t>
      </w:r>
      <w:r>
        <w:rPr>
          <w:rFonts w:ascii="Segoe UI Semibold"/>
          <w:b/>
          <w:color w:val="00779B"/>
          <w:spacing w:val="-2"/>
        </w:rPr>
        <w:t> </w:t>
      </w:r>
      <w:r>
        <w:rPr>
          <w:rFonts w:ascii="Segoe UI Semibold"/>
          <w:b/>
          <w:color w:val="00779B"/>
          <w:spacing w:val="-1"/>
        </w:rPr>
        <w:t>weaknesses,</w:t>
      </w:r>
      <w:r>
        <w:rPr>
          <w:rFonts w:ascii="Segoe UI Semibold"/>
          <w:b/>
          <w:color w:val="00779B"/>
          <w:spacing w:val="20"/>
        </w:rPr>
        <w:t> </w:t>
      </w:r>
      <w:r>
        <w:rPr>
          <w:rFonts w:ascii="Segoe UI Semibold"/>
          <w:b/>
          <w:color w:val="00779B"/>
        </w:rPr>
        <w:t>and</w:t>
      </w:r>
      <w:r>
        <w:rPr>
          <w:rFonts w:ascii="Segoe UI Semibold"/>
          <w:b/>
          <w:color w:val="00779B"/>
          <w:spacing w:val="-1"/>
        </w:rPr>
        <w:t> parents are attracted to different</w:t>
      </w:r>
      <w:r>
        <w:rPr>
          <w:rFonts w:ascii="Segoe UI Semibold"/>
          <w:b/>
          <w:color w:val="00779B"/>
          <w:spacing w:val="37"/>
        </w:rPr>
        <w:t> </w:t>
      </w:r>
      <w:r>
        <w:rPr>
          <w:rFonts w:ascii="Segoe UI Semibold"/>
          <w:b/>
          <w:color w:val="00779B"/>
          <w:spacing w:val="-1"/>
        </w:rPr>
        <w:t>elements</w:t>
      </w:r>
      <w:r>
        <w:rPr>
          <w:rFonts w:ascii="Segoe UI Semibold"/>
          <w:b/>
          <w:color w:val="00779B"/>
          <w:spacing w:val="3"/>
        </w:rPr>
        <w:t> </w:t>
      </w:r>
      <w:r>
        <w:rPr>
          <w:rFonts w:ascii="Segoe UI Semibold"/>
          <w:b/>
          <w:color w:val="00779B"/>
          <w:spacing w:val="-2"/>
        </w:rPr>
        <w:t>of</w:t>
      </w:r>
      <w:r>
        <w:rPr>
          <w:rFonts w:ascii="Segoe UI Semibold"/>
          <w:b/>
          <w:color w:val="00779B"/>
          <w:spacing w:val="3"/>
        </w:rPr>
        <w:t> </w:t>
      </w:r>
      <w:r>
        <w:rPr>
          <w:rFonts w:ascii="Segoe UI Semibold"/>
          <w:b/>
          <w:color w:val="00779B"/>
          <w:spacing w:val="-1"/>
        </w:rPr>
        <w:t>each</w:t>
      </w:r>
      <w:r>
        <w:rPr>
          <w:rFonts w:ascii="Segoe UI Semibold"/>
          <w:b/>
          <w:color w:val="00779B"/>
          <w:spacing w:val="3"/>
        </w:rPr>
        <w:t> </w:t>
      </w:r>
      <w:r>
        <w:rPr>
          <w:rFonts w:ascii="Segoe UI Semibold"/>
          <w:b/>
          <w:color w:val="00779B"/>
          <w:spacing w:val="-1"/>
        </w:rPr>
        <w:t>model.</w:t>
      </w:r>
      <w:r>
        <w:rPr>
          <w:rFonts w:ascii="Segoe UI Semibold"/>
          <w:b/>
          <w:color w:val="00779B"/>
          <w:spacing w:val="-1"/>
          <w:position w:val="7"/>
          <w:sz w:val="11"/>
        </w:rPr>
        <w:t>178</w:t>
      </w:r>
      <w:r>
        <w:rPr>
          <w:rFonts w:ascii="Segoe UI Semibold"/>
          <w:sz w:val="11"/>
        </w:rPr>
      </w:r>
    </w:p>
    <w:p>
      <w:pPr>
        <w:pStyle w:val="BodyText"/>
        <w:spacing w:line="250" w:lineRule="exact" w:before="113"/>
        <w:ind w:right="0"/>
        <w:jc w:val="left"/>
      </w:pPr>
      <w:r>
        <w:rPr>
          <w:color w:val="231F20"/>
        </w:rPr>
        <w:t>There</w:t>
      </w:r>
      <w:r>
        <w:rPr>
          <w:color w:val="231F20"/>
          <w:spacing w:val="-5"/>
        </w:rPr>
        <w:t> </w:t>
      </w:r>
      <w:r>
        <w:rPr>
          <w:color w:val="231F20"/>
          <w:spacing w:val="-1"/>
        </w:rPr>
        <w:t>is</w:t>
      </w:r>
      <w:r>
        <w:rPr>
          <w:color w:val="231F20"/>
          <w:spacing w:val="-5"/>
        </w:rPr>
        <w:t> </w:t>
      </w:r>
      <w:r>
        <w:rPr>
          <w:color w:val="231F20"/>
        </w:rPr>
        <w:t>no</w:t>
      </w:r>
      <w:r>
        <w:rPr>
          <w:color w:val="231F20"/>
          <w:spacing w:val="-4"/>
        </w:rPr>
        <w:t> </w:t>
      </w:r>
      <w:r>
        <w:rPr>
          <w:color w:val="231F20"/>
        </w:rPr>
        <w:t>one</w:t>
      </w:r>
      <w:r>
        <w:rPr>
          <w:color w:val="231F20"/>
          <w:spacing w:val="-4"/>
        </w:rPr>
        <w:t> </w:t>
      </w:r>
      <w:r>
        <w:rPr>
          <w:color w:val="231F20"/>
        </w:rPr>
        <w:t>type</w:t>
      </w:r>
      <w:r>
        <w:rPr>
          <w:color w:val="231F20"/>
          <w:spacing w:val="-5"/>
        </w:rPr>
        <w:t> </w:t>
      </w:r>
      <w:r>
        <w:rPr>
          <w:color w:val="231F20"/>
        </w:rPr>
        <w:t>of</w:t>
      </w:r>
      <w:r>
        <w:rPr>
          <w:color w:val="231F20"/>
          <w:spacing w:val="-4"/>
        </w:rPr>
        <w:t> </w:t>
      </w:r>
      <w:r>
        <w:rPr>
          <w:color w:val="231F20"/>
        </w:rPr>
        <w:t>boarding</w:t>
      </w:r>
      <w:r>
        <w:rPr>
          <w:color w:val="231F20"/>
          <w:spacing w:val="21"/>
          <w:w w:val="99"/>
        </w:rPr>
        <w:t> </w:t>
      </w:r>
      <w:r>
        <w:rPr>
          <w:color w:val="231F20"/>
        </w:rPr>
        <w:t>accommodation</w:t>
      </w:r>
      <w:r>
        <w:rPr>
          <w:color w:val="231F20"/>
          <w:spacing w:val="-5"/>
        </w:rPr>
        <w:t> </w:t>
      </w:r>
      <w:r>
        <w:rPr>
          <w:color w:val="231F20"/>
        </w:rPr>
        <w:t>that</w:t>
      </w:r>
      <w:r>
        <w:rPr>
          <w:color w:val="231F20"/>
          <w:spacing w:val="-4"/>
        </w:rPr>
        <w:t> </w:t>
      </w:r>
      <w:r>
        <w:rPr>
          <w:color w:val="231F20"/>
        </w:rPr>
        <w:t>will</w:t>
      </w:r>
      <w:r>
        <w:rPr>
          <w:color w:val="231F20"/>
          <w:spacing w:val="-4"/>
        </w:rPr>
        <w:t> </w:t>
      </w:r>
      <w:r>
        <w:rPr>
          <w:color w:val="231F20"/>
          <w:spacing w:val="-1"/>
        </w:rPr>
        <w:t>meet</w:t>
      </w:r>
      <w:r>
        <w:rPr>
          <w:color w:val="231F20"/>
          <w:spacing w:val="-3"/>
        </w:rPr>
        <w:t> </w:t>
      </w:r>
      <w:r>
        <w:rPr>
          <w:color w:val="231F20"/>
        </w:rPr>
        <w:t>the</w:t>
      </w:r>
      <w:r>
        <w:rPr>
          <w:color w:val="231F20"/>
          <w:spacing w:val="-5"/>
        </w:rPr>
        <w:t> </w:t>
      </w:r>
      <w:r>
        <w:rPr>
          <w:color w:val="231F20"/>
        </w:rPr>
        <w:t>needs</w:t>
      </w:r>
      <w:r>
        <w:rPr>
          <w:color w:val="231F20"/>
          <w:spacing w:val="-4"/>
        </w:rPr>
        <w:t> </w:t>
      </w:r>
      <w:r>
        <w:rPr>
          <w:color w:val="231F20"/>
        </w:rPr>
        <w:t>of</w:t>
      </w:r>
      <w:r>
        <w:rPr>
          <w:color w:val="231F20"/>
          <w:spacing w:val="-3"/>
        </w:rPr>
        <w:t> </w:t>
      </w:r>
      <w:r>
        <w:rPr>
          <w:color w:val="231F20"/>
        </w:rPr>
        <w:t>all</w:t>
      </w:r>
      <w:r>
        <w:rPr>
          <w:color w:val="231F20"/>
          <w:spacing w:val="21"/>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boarders.</w:t>
      </w:r>
      <w:r>
        <w:rPr>
          <w:color w:val="231F20"/>
          <w:spacing w:val="21"/>
          <w:w w:val="99"/>
        </w:rPr>
        <w:t> </w:t>
      </w:r>
      <w:r>
        <w:rPr>
          <w:rFonts w:ascii="Segoe UI"/>
          <w:color w:val="231F20"/>
        </w:rPr>
        <w:t>The</w:t>
      </w:r>
      <w:r>
        <w:rPr>
          <w:rFonts w:ascii="Segoe UI"/>
          <w:color w:val="231F20"/>
          <w:spacing w:val="-1"/>
        </w:rPr>
        <w:t> </w:t>
      </w:r>
      <w:r>
        <w:rPr>
          <w:rFonts w:ascii="Segoe UI"/>
          <w:color w:val="231F20"/>
        </w:rPr>
        <w:t>variety</w:t>
      </w:r>
      <w:r>
        <w:rPr>
          <w:rFonts w:ascii="Segoe UI"/>
          <w:color w:val="231F20"/>
          <w:spacing w:val="-1"/>
        </w:rPr>
        <w:t> </w:t>
      </w:r>
      <w:r>
        <w:rPr>
          <w:rFonts w:ascii="Segoe UI"/>
          <w:color w:val="231F20"/>
        </w:rPr>
        <w:t>of</w:t>
      </w:r>
      <w:r>
        <w:rPr>
          <w:rFonts w:ascii="Segoe UI"/>
          <w:color w:val="231F20"/>
          <w:spacing w:val="-1"/>
        </w:rPr>
        <w:t> </w:t>
      </w:r>
      <w:r>
        <w:rPr>
          <w:rFonts w:ascii="Segoe UI"/>
          <w:color w:val="231F20"/>
        </w:rPr>
        <w:t>accommodation types</w:t>
      </w:r>
      <w:r>
        <w:rPr>
          <w:rFonts w:ascii="Segoe UI"/>
          <w:color w:val="231F20"/>
          <w:spacing w:val="-1"/>
        </w:rPr>
        <w:t> </w:t>
      </w:r>
      <w:r>
        <w:rPr>
          <w:rFonts w:ascii="Segoe UI"/>
          <w:color w:val="231F20"/>
        </w:rPr>
        <w:t>on</w:t>
      </w:r>
      <w:r>
        <w:rPr>
          <w:rFonts w:ascii="Segoe UI"/>
          <w:color w:val="231F20"/>
          <w:spacing w:val="-1"/>
        </w:rPr>
        <w:t> </w:t>
      </w:r>
      <w:r>
        <w:rPr>
          <w:rFonts w:ascii="Segoe UI"/>
          <w:color w:val="231F20"/>
        </w:rPr>
        <w:t>offer</w:t>
      </w:r>
      <w:r>
        <w:rPr>
          <w:rFonts w:ascii="Segoe UI"/>
          <w:color w:val="231F20"/>
          <w:w w:val="99"/>
        </w:rPr>
        <w:t> </w:t>
      </w:r>
      <w:r>
        <w:rPr>
          <w:color w:val="231F20"/>
        </w:rPr>
        <w:t>across</w:t>
      </w:r>
      <w:r>
        <w:rPr>
          <w:color w:val="231F20"/>
          <w:spacing w:val="-7"/>
        </w:rPr>
        <w:t> </w:t>
      </w:r>
      <w:r>
        <w:rPr>
          <w:color w:val="231F20"/>
        </w:rPr>
        <w:t>Australia</w:t>
      </w:r>
      <w:r>
        <w:rPr>
          <w:color w:val="231F20"/>
          <w:spacing w:val="-5"/>
        </w:rPr>
        <w:t> </w:t>
      </w:r>
      <w:r>
        <w:rPr>
          <w:color w:val="231F20"/>
        </w:rPr>
        <w:t>provide</w:t>
      </w:r>
      <w:r>
        <w:rPr>
          <w:color w:val="231F20"/>
          <w:spacing w:val="-7"/>
        </w:rPr>
        <w:t> </w:t>
      </w:r>
      <w:r>
        <w:rPr>
          <w:color w:val="231F20"/>
        </w:rPr>
        <w:t>options</w:t>
      </w:r>
      <w:r>
        <w:rPr>
          <w:color w:val="231F20"/>
          <w:spacing w:val="-6"/>
        </w:rPr>
        <w:t> </w:t>
      </w:r>
      <w:r>
        <w:rPr>
          <w:color w:val="231F20"/>
        </w:rPr>
        <w:t>for</w:t>
      </w:r>
      <w:r>
        <w:rPr>
          <w:color w:val="231F20"/>
          <w:spacing w:val="-5"/>
        </w:rPr>
        <w:t> </w:t>
      </w:r>
      <w:r>
        <w:rPr>
          <w:color w:val="231F20"/>
        </w:rPr>
        <w:t>parents</w:t>
      </w:r>
      <w:r>
        <w:rPr>
          <w:color w:val="231F20"/>
          <w:spacing w:val="-7"/>
        </w:rPr>
        <w:t> </w:t>
      </w:r>
      <w:r>
        <w:rPr>
          <w:color w:val="231F20"/>
        </w:rPr>
        <w:t>and</w:t>
      </w:r>
      <w:r>
        <w:rPr>
          <w:color w:val="231F20"/>
          <w:w w:val="99"/>
        </w:rPr>
        <w:t> </w:t>
      </w:r>
      <w:r>
        <w:rPr>
          <w:color w:val="231F20"/>
        </w:rPr>
        <w:t>their</w:t>
      </w:r>
      <w:r>
        <w:rPr>
          <w:color w:val="231F20"/>
          <w:spacing w:val="-13"/>
        </w:rPr>
        <w:t> </w:t>
      </w:r>
      <w:r>
        <w:rPr>
          <w:color w:val="231F20"/>
        </w:rPr>
        <w:t>children.</w:t>
      </w:r>
      <w:r>
        <w:rPr/>
      </w:r>
    </w:p>
    <w:p>
      <w:pPr>
        <w:pStyle w:val="BodyText"/>
        <w:spacing w:line="250" w:lineRule="exact" w:before="113"/>
        <w:ind w:right="0"/>
        <w:jc w:val="left"/>
      </w:pP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10"/>
        </w:rPr>
        <w:t> </w:t>
      </w:r>
      <w:r>
        <w:rPr>
          <w:color w:val="231F20"/>
        </w:rPr>
        <w:t>highlighted</w:t>
      </w:r>
      <w:r>
        <w:rPr>
          <w:color w:val="231F20"/>
          <w:spacing w:val="-9"/>
        </w:rPr>
        <w:t> </w:t>
      </w:r>
      <w:r>
        <w:rPr>
          <w:color w:val="231F20"/>
        </w:rPr>
        <w:t>the</w:t>
      </w:r>
      <w:r>
        <w:rPr>
          <w:color w:val="231F20"/>
          <w:spacing w:val="-9"/>
        </w:rPr>
        <w:t> </w:t>
      </w:r>
      <w:r>
        <w:rPr>
          <w:color w:val="231F20"/>
          <w:spacing w:val="-1"/>
        </w:rPr>
        <w:t>importance</w:t>
      </w:r>
      <w:r>
        <w:rPr>
          <w:color w:val="231F20"/>
          <w:spacing w:val="-9"/>
        </w:rPr>
        <w:t> </w:t>
      </w:r>
      <w:r>
        <w:rPr>
          <w:color w:val="231F20"/>
        </w:rPr>
        <w:t>of</w:t>
      </w:r>
      <w:r>
        <w:rPr>
          <w:color w:val="231F20"/>
          <w:spacing w:val="22"/>
          <w:w w:val="99"/>
        </w:rPr>
        <w:t> </w:t>
      </w:r>
      <w:r>
        <w:rPr>
          <w:color w:val="231F20"/>
        </w:rPr>
        <w:t>providing</w:t>
      </w:r>
      <w:r>
        <w:rPr>
          <w:color w:val="231F20"/>
          <w:spacing w:val="-12"/>
        </w:rPr>
        <w:t> </w:t>
      </w:r>
      <w:r>
        <w:rPr>
          <w:color w:val="231F20"/>
        </w:rPr>
        <w:t>‘culturally</w:t>
      </w:r>
      <w:r>
        <w:rPr>
          <w:color w:val="231F20"/>
          <w:spacing w:val="-11"/>
        </w:rPr>
        <w:t> </w:t>
      </w:r>
      <w:r>
        <w:rPr>
          <w:color w:val="231F20"/>
          <w:spacing w:val="-1"/>
        </w:rPr>
        <w:t>safe</w:t>
      </w:r>
      <w:r>
        <w:rPr>
          <w:color w:val="231F20"/>
          <w:spacing w:val="-11"/>
        </w:rPr>
        <w:t> </w:t>
      </w:r>
      <w:r>
        <w:rPr>
          <w:color w:val="231F20"/>
        </w:rPr>
        <w:t>accommodation’.</w:t>
      </w:r>
      <w:r>
        <w:rPr/>
      </w:r>
    </w:p>
    <w:p>
      <w:pPr>
        <w:pStyle w:val="BodyText"/>
        <w:spacing w:line="250" w:lineRule="exact"/>
        <w:ind w:right="79"/>
        <w:jc w:val="left"/>
      </w:pPr>
      <w:r>
        <w:rPr>
          <w:color w:val="231F20"/>
        </w:rPr>
        <w:t>A</w:t>
      </w:r>
      <w:r>
        <w:rPr>
          <w:color w:val="231F20"/>
          <w:spacing w:val="-6"/>
        </w:rPr>
        <w:t> </w:t>
      </w:r>
      <w:r>
        <w:rPr>
          <w:color w:val="231F20"/>
        </w:rPr>
        <w:t>number</w:t>
      </w:r>
      <w:r>
        <w:rPr>
          <w:color w:val="231F20"/>
          <w:spacing w:val="-7"/>
        </w:rPr>
        <w:t> </w:t>
      </w:r>
      <w:r>
        <w:rPr>
          <w:color w:val="231F20"/>
        </w:rPr>
        <w:t>of</w:t>
      </w:r>
      <w:r>
        <w:rPr>
          <w:color w:val="231F20"/>
          <w:spacing w:val="-6"/>
        </w:rPr>
        <w:t> </w:t>
      </w:r>
      <w:r>
        <w:rPr>
          <w:color w:val="231F20"/>
        </w:rPr>
        <w:t>providers</w:t>
      </w:r>
      <w:r>
        <w:rPr>
          <w:color w:val="231F20"/>
          <w:spacing w:val="-7"/>
        </w:rPr>
        <w:t> </w:t>
      </w:r>
      <w:r>
        <w:rPr>
          <w:color w:val="231F20"/>
        </w:rPr>
        <w:t>noted</w:t>
      </w:r>
      <w:r>
        <w:rPr>
          <w:color w:val="231F20"/>
          <w:spacing w:val="-7"/>
        </w:rPr>
        <w:t> </w:t>
      </w:r>
      <w:r>
        <w:rPr>
          <w:color w:val="231F20"/>
        </w:rPr>
        <w:t>the</w:t>
      </w:r>
      <w:r>
        <w:rPr>
          <w:color w:val="231F20"/>
          <w:spacing w:val="-7"/>
        </w:rPr>
        <w:t> </w:t>
      </w:r>
      <w:r>
        <w:rPr>
          <w:color w:val="231F20"/>
          <w:spacing w:val="-1"/>
        </w:rPr>
        <w:t>importance</w:t>
      </w:r>
      <w:r>
        <w:rPr>
          <w:color w:val="231F20"/>
          <w:spacing w:val="-1"/>
          <w:w w:val="99"/>
        </w:rPr>
        <w:t> </w:t>
      </w:r>
      <w:r>
        <w:rPr>
          <w:color w:val="231F20"/>
          <w:spacing w:val="20"/>
          <w:w w:val="99"/>
        </w:rPr>
        <w:t> </w:t>
      </w:r>
      <w:r>
        <w:rPr>
          <w:color w:val="231F20"/>
        </w:rPr>
        <w:t>of</w:t>
      </w:r>
      <w:r>
        <w:rPr>
          <w:color w:val="231F20"/>
          <w:spacing w:val="-4"/>
        </w:rPr>
        <w:t> </w:t>
      </w:r>
      <w:r>
        <w:rPr>
          <w:color w:val="231F20"/>
        </w:rPr>
        <w:t>also</w:t>
      </w:r>
      <w:r>
        <w:rPr>
          <w:color w:val="231F20"/>
          <w:spacing w:val="-5"/>
        </w:rPr>
        <w:t> </w:t>
      </w:r>
      <w:r>
        <w:rPr>
          <w:color w:val="231F20"/>
        </w:rPr>
        <w:t>providing</w:t>
      </w:r>
      <w:r>
        <w:rPr>
          <w:color w:val="231F20"/>
          <w:spacing w:val="-5"/>
        </w:rPr>
        <w:t> </w:t>
      </w:r>
      <w:r>
        <w:rPr>
          <w:color w:val="231F20"/>
        </w:rPr>
        <w:t>options</w:t>
      </w:r>
      <w:r>
        <w:rPr>
          <w:color w:val="231F20"/>
          <w:spacing w:val="-4"/>
        </w:rPr>
        <w:t> </w:t>
      </w:r>
      <w:r>
        <w:rPr>
          <w:color w:val="231F20"/>
        </w:rPr>
        <w:t>for</w:t>
      </w:r>
      <w:r>
        <w:rPr>
          <w:color w:val="231F20"/>
          <w:spacing w:val="-4"/>
        </w:rPr>
        <w:t> </w:t>
      </w:r>
      <w:r>
        <w:rPr>
          <w:color w:val="231F20"/>
          <w:spacing w:val="-1"/>
        </w:rPr>
        <w:t>shared</w:t>
      </w:r>
      <w:r>
        <w:rPr>
          <w:color w:val="231F20"/>
          <w:spacing w:val="20"/>
          <w:w w:val="99"/>
        </w:rPr>
        <w:t> </w:t>
      </w:r>
      <w:r>
        <w:rPr>
          <w:color w:val="231F20"/>
        </w:rPr>
        <w:t>accommodation</w:t>
      </w:r>
      <w:r>
        <w:rPr>
          <w:color w:val="231F20"/>
          <w:spacing w:val="-11"/>
        </w:rPr>
        <w:t> </w:t>
      </w:r>
      <w:r>
        <w:rPr>
          <w:color w:val="231F20"/>
        </w:rPr>
        <w:t>(dormitories,</w:t>
      </w:r>
      <w:r>
        <w:rPr>
          <w:color w:val="231F20"/>
          <w:spacing w:val="-12"/>
        </w:rPr>
        <w:t> </w:t>
      </w:r>
      <w:r>
        <w:rPr>
          <w:color w:val="231F20"/>
          <w:spacing w:val="-1"/>
        </w:rPr>
        <w:t>multiple</w:t>
      </w:r>
      <w:r>
        <w:rPr>
          <w:color w:val="231F20"/>
          <w:spacing w:val="-9"/>
        </w:rPr>
        <w:t> </w:t>
      </w:r>
      <w:r>
        <w:rPr>
          <w:color w:val="231F20"/>
        </w:rPr>
        <w:t>bed</w:t>
      </w:r>
      <w:r>
        <w:rPr>
          <w:color w:val="231F20"/>
          <w:spacing w:val="22"/>
          <w:w w:val="99"/>
        </w:rPr>
        <w:t> </w:t>
      </w:r>
      <w:r>
        <w:rPr>
          <w:color w:val="231F20"/>
        </w:rPr>
        <w:t>rooms</w:t>
      </w:r>
      <w:r>
        <w:rPr>
          <w:color w:val="231F20"/>
          <w:spacing w:val="-5"/>
        </w:rPr>
        <w:t> </w:t>
      </w:r>
      <w:r>
        <w:rPr>
          <w:color w:val="231F20"/>
        </w:rPr>
        <w:t>or</w:t>
      </w:r>
      <w:r>
        <w:rPr>
          <w:color w:val="231F20"/>
          <w:spacing w:val="-4"/>
        </w:rPr>
        <w:t> </w:t>
      </w:r>
      <w:r>
        <w:rPr>
          <w:color w:val="231F20"/>
        </w:rPr>
        <w:t>pods)</w:t>
      </w:r>
      <w:r>
        <w:rPr>
          <w:color w:val="231F20"/>
          <w:spacing w:val="-4"/>
        </w:rPr>
        <w:t> </w:t>
      </w:r>
      <w:r>
        <w:rPr>
          <w:color w:val="231F20"/>
        </w:rPr>
        <w:t>for</w:t>
      </w:r>
      <w:r>
        <w:rPr>
          <w:color w:val="231F20"/>
          <w:spacing w:val="-4"/>
        </w:rPr>
        <w:t> </w:t>
      </w:r>
      <w:r>
        <w:rPr>
          <w:color w:val="231F20"/>
        </w:rPr>
        <w:t>Aboriginal</w:t>
      </w:r>
      <w:r>
        <w:rPr>
          <w:color w:val="231F20"/>
          <w:spacing w:val="-3"/>
        </w:rPr>
        <w:t> </w:t>
      </w:r>
      <w:r>
        <w:rPr>
          <w:color w:val="231F20"/>
        </w:rPr>
        <w:t>and</w:t>
      </w:r>
      <w:r>
        <w:rPr>
          <w:color w:val="231F20"/>
          <w:spacing w:val="-5"/>
        </w:rPr>
        <w:t> Torres</w:t>
      </w:r>
      <w:r>
        <w:rPr>
          <w:color w:val="231F20"/>
          <w:spacing w:val="-3"/>
        </w:rPr>
        <w:t> </w:t>
      </w:r>
      <w:r>
        <w:rPr>
          <w:color w:val="231F20"/>
          <w:spacing w:val="-2"/>
        </w:rPr>
        <w:t>Strait</w:t>
      </w:r>
      <w:r>
        <w:rPr>
          <w:color w:val="231F20"/>
          <w:spacing w:val="29"/>
          <w:w w:val="99"/>
        </w:rPr>
        <w:t> </w:t>
      </w:r>
      <w:r>
        <w:rPr>
          <w:color w:val="231F20"/>
          <w:spacing w:val="-1"/>
        </w:rPr>
        <w:t>Islander</w:t>
      </w:r>
      <w:r>
        <w:rPr>
          <w:color w:val="231F20"/>
          <w:spacing w:val="-7"/>
        </w:rPr>
        <w:t> </w:t>
      </w:r>
      <w:r>
        <w:rPr>
          <w:color w:val="231F20"/>
        </w:rPr>
        <w:t>boarders</w:t>
      </w:r>
      <w:r>
        <w:rPr>
          <w:color w:val="231F20"/>
          <w:spacing w:val="-7"/>
        </w:rPr>
        <w:t> </w:t>
      </w:r>
      <w:r>
        <w:rPr>
          <w:color w:val="231F20"/>
        </w:rPr>
        <w:t>to</w:t>
      </w:r>
      <w:r>
        <w:rPr>
          <w:color w:val="231F20"/>
          <w:spacing w:val="-7"/>
        </w:rPr>
        <w:t> </w:t>
      </w:r>
      <w:r>
        <w:rPr>
          <w:color w:val="231F20"/>
        </w:rPr>
        <w:t>ameliorate</w:t>
      </w:r>
      <w:r>
        <w:rPr>
          <w:color w:val="231F20"/>
          <w:spacing w:val="-7"/>
        </w:rPr>
        <w:t> </w:t>
      </w:r>
      <w:r>
        <w:rPr>
          <w:color w:val="231F20"/>
        </w:rPr>
        <w:t>homesickness.</w:t>
      </w:r>
      <w:r>
        <w:rPr>
          <w:color w:val="231F20"/>
          <w:spacing w:val="22"/>
        </w:rPr>
        <w:t> </w:t>
      </w:r>
      <w:r>
        <w:rPr>
          <w:color w:val="231F20"/>
        </w:rPr>
        <w:t>Examples</w:t>
      </w:r>
      <w:r>
        <w:rPr>
          <w:color w:val="231F20"/>
          <w:spacing w:val="-6"/>
        </w:rPr>
        <w:t> </w:t>
      </w:r>
      <w:r>
        <w:rPr>
          <w:color w:val="231F20"/>
        </w:rPr>
        <w:t>were</w:t>
      </w:r>
      <w:r>
        <w:rPr>
          <w:color w:val="231F20"/>
          <w:spacing w:val="-5"/>
        </w:rPr>
        <w:t> </w:t>
      </w:r>
      <w:r>
        <w:rPr>
          <w:color w:val="231F20"/>
        </w:rPr>
        <w:t>provided</w:t>
      </w:r>
      <w:r>
        <w:rPr>
          <w:color w:val="231F20"/>
          <w:spacing w:val="-5"/>
        </w:rPr>
        <w:t> </w:t>
      </w:r>
      <w:r>
        <w:rPr>
          <w:color w:val="231F20"/>
        </w:rPr>
        <w:t>of</w:t>
      </w:r>
      <w:r>
        <w:rPr>
          <w:color w:val="231F20"/>
          <w:spacing w:val="-5"/>
        </w:rPr>
        <w:t> </w:t>
      </w:r>
      <w:r>
        <w:rPr>
          <w:color w:val="231F20"/>
        </w:rPr>
        <w:t>boarders</w:t>
      </w:r>
      <w:r>
        <w:rPr>
          <w:color w:val="231F20"/>
          <w:spacing w:val="-5"/>
        </w:rPr>
        <w:t> </w:t>
      </w:r>
      <w:r>
        <w:rPr>
          <w:color w:val="231F20"/>
          <w:spacing w:val="-1"/>
        </w:rPr>
        <w:t>moving</w:t>
      </w:r>
      <w:r>
        <w:rPr>
          <w:color w:val="231F20"/>
          <w:spacing w:val="20"/>
        </w:rPr>
        <w:t> </w:t>
      </w:r>
      <w:r>
        <w:rPr>
          <w:color w:val="231F20"/>
        </w:rPr>
        <w:t>their</w:t>
      </w:r>
      <w:r>
        <w:rPr>
          <w:color w:val="231F20"/>
          <w:spacing w:val="-4"/>
        </w:rPr>
        <w:t> </w:t>
      </w:r>
      <w:r>
        <w:rPr>
          <w:color w:val="231F20"/>
        </w:rPr>
        <w:t>bed</w:t>
      </w:r>
      <w:r>
        <w:rPr>
          <w:color w:val="231F20"/>
          <w:spacing w:val="-4"/>
        </w:rPr>
        <w:t> </w:t>
      </w:r>
      <w:r>
        <w:rPr>
          <w:color w:val="231F20"/>
        </w:rPr>
        <w:t>or</w:t>
      </w:r>
      <w:r>
        <w:rPr>
          <w:color w:val="231F20"/>
          <w:spacing w:val="-2"/>
        </w:rPr>
        <w:t> </w:t>
      </w:r>
      <w:r>
        <w:rPr>
          <w:color w:val="231F20"/>
          <w:spacing w:val="-1"/>
        </w:rPr>
        <w:t>mattress</w:t>
      </w:r>
      <w:r>
        <w:rPr>
          <w:color w:val="231F20"/>
          <w:spacing w:val="-3"/>
        </w:rPr>
        <w:t> </w:t>
      </w:r>
      <w:r>
        <w:rPr>
          <w:color w:val="231F20"/>
        </w:rPr>
        <w:t>from</w:t>
      </w:r>
      <w:r>
        <w:rPr>
          <w:color w:val="231F20"/>
          <w:spacing w:val="-3"/>
        </w:rPr>
        <w:t> </w:t>
      </w:r>
      <w:r>
        <w:rPr>
          <w:color w:val="231F20"/>
        </w:rPr>
        <w:t>a</w:t>
      </w:r>
      <w:r>
        <w:rPr>
          <w:color w:val="231F20"/>
          <w:spacing w:val="-2"/>
        </w:rPr>
        <w:t> </w:t>
      </w:r>
      <w:r>
        <w:rPr>
          <w:color w:val="231F20"/>
          <w:spacing w:val="-1"/>
        </w:rPr>
        <w:t>single</w:t>
      </w:r>
      <w:r>
        <w:rPr>
          <w:color w:val="231F20"/>
          <w:spacing w:val="-3"/>
        </w:rPr>
        <w:t> </w:t>
      </w:r>
      <w:r>
        <w:rPr>
          <w:color w:val="231F20"/>
        </w:rPr>
        <w:t>room</w:t>
      </w:r>
      <w:r>
        <w:rPr>
          <w:color w:val="231F20"/>
          <w:spacing w:val="-4"/>
        </w:rPr>
        <w:t> </w:t>
      </w:r>
      <w:r>
        <w:rPr>
          <w:color w:val="231F20"/>
        </w:rPr>
        <w:t>to</w:t>
      </w:r>
      <w:r>
        <w:rPr>
          <w:color w:val="231F20"/>
          <w:spacing w:val="-2"/>
        </w:rPr>
        <w:t> </w:t>
      </w:r>
      <w:r>
        <w:rPr>
          <w:color w:val="231F20"/>
        </w:rPr>
        <w:t>the</w:t>
      </w:r>
      <w:r>
        <w:rPr/>
      </w:r>
    </w:p>
    <w:p>
      <w:pPr>
        <w:pStyle w:val="BodyText"/>
        <w:spacing w:line="250" w:lineRule="exact"/>
        <w:ind w:right="0"/>
        <w:jc w:val="left"/>
      </w:pPr>
      <w:r>
        <w:rPr>
          <w:color w:val="231F20"/>
        </w:rPr>
        <w:t>room</w:t>
      </w:r>
      <w:r>
        <w:rPr>
          <w:color w:val="231F20"/>
          <w:spacing w:val="-5"/>
        </w:rPr>
        <w:t> </w:t>
      </w:r>
      <w:r>
        <w:rPr>
          <w:color w:val="231F20"/>
        </w:rPr>
        <w:t>of</w:t>
      </w:r>
      <w:r>
        <w:rPr>
          <w:color w:val="231F20"/>
          <w:spacing w:val="-3"/>
        </w:rPr>
        <w:t> </w:t>
      </w:r>
      <w:r>
        <w:rPr>
          <w:color w:val="231F20"/>
        </w:rPr>
        <w:t>a</w:t>
      </w:r>
      <w:r>
        <w:rPr>
          <w:color w:val="231F20"/>
          <w:spacing w:val="-3"/>
        </w:rPr>
        <w:t> </w:t>
      </w:r>
      <w:r>
        <w:rPr>
          <w:color w:val="231F20"/>
        </w:rPr>
        <w:t>friend</w:t>
      </w:r>
      <w:r>
        <w:rPr>
          <w:color w:val="231F20"/>
          <w:spacing w:val="-4"/>
        </w:rPr>
        <w:t> </w:t>
      </w:r>
      <w:r>
        <w:rPr>
          <w:color w:val="231F20"/>
        </w:rPr>
        <w:t>as</w:t>
      </w:r>
      <w:r>
        <w:rPr>
          <w:color w:val="231F20"/>
          <w:spacing w:val="-4"/>
        </w:rPr>
        <w:t> </w:t>
      </w:r>
      <w:r>
        <w:rPr>
          <w:color w:val="231F20"/>
        </w:rPr>
        <w:t>a</w:t>
      </w:r>
      <w:r>
        <w:rPr>
          <w:color w:val="231F20"/>
          <w:spacing w:val="-3"/>
        </w:rPr>
        <w:t> </w:t>
      </w:r>
      <w:r>
        <w:rPr>
          <w:color w:val="231F20"/>
        </w:rPr>
        <w:t>coping</w:t>
      </w:r>
      <w:r>
        <w:rPr>
          <w:color w:val="231F20"/>
          <w:spacing w:val="-4"/>
        </w:rPr>
        <w:t> </w:t>
      </w:r>
      <w:r>
        <w:rPr>
          <w:color w:val="231F20"/>
          <w:spacing w:val="-1"/>
        </w:rPr>
        <w:t>mechanism</w:t>
      </w:r>
      <w:r>
        <w:rPr>
          <w:color w:val="231F20"/>
          <w:spacing w:val="-4"/>
        </w:rPr>
        <w:t> </w:t>
      </w:r>
      <w:r>
        <w:rPr>
          <w:color w:val="231F20"/>
        </w:rPr>
        <w:t>against</w:t>
      </w:r>
      <w:r>
        <w:rPr>
          <w:color w:val="231F20"/>
          <w:spacing w:val="22"/>
          <w:w w:val="99"/>
        </w:rPr>
        <w:t> </w:t>
      </w:r>
      <w:r>
        <w:rPr>
          <w:color w:val="231F20"/>
        </w:rPr>
        <w:t>homesickness.</w:t>
      </w:r>
      <w:r>
        <w:rPr/>
      </w:r>
    </w:p>
    <w:p>
      <w:pPr>
        <w:pStyle w:val="BodyText"/>
        <w:spacing w:line="250" w:lineRule="exact" w:before="72"/>
        <w:ind w:right="451"/>
        <w:jc w:val="both"/>
        <w:rPr>
          <w:rFonts w:ascii="Segoe UI" w:hAnsi="Segoe UI" w:cs="Segoe UI" w:eastAsia="Segoe UI"/>
        </w:rPr>
      </w:pPr>
      <w:r>
        <w:rPr/>
        <w:br w:type="column"/>
      </w:r>
      <w:r>
        <w:rPr>
          <w:color w:val="231F20"/>
        </w:rPr>
        <w:t>Marrara</w:t>
      </w:r>
      <w:r>
        <w:rPr>
          <w:color w:val="231F20"/>
          <w:spacing w:val="-3"/>
        </w:rPr>
        <w:t> </w:t>
      </w:r>
      <w:r>
        <w:rPr>
          <w:color w:val="231F20"/>
          <w:spacing w:val="-1"/>
        </w:rPr>
        <w:t>Christian</w:t>
      </w:r>
      <w:r>
        <w:rPr>
          <w:color w:val="231F20"/>
          <w:spacing w:val="-2"/>
        </w:rPr>
        <w:t> </w:t>
      </w:r>
      <w:r>
        <w:rPr>
          <w:color w:val="231F20"/>
          <w:spacing w:val="-1"/>
        </w:rPr>
        <w:t>College</w:t>
      </w:r>
      <w:r>
        <w:rPr>
          <w:color w:val="231F20"/>
          <w:spacing w:val="-3"/>
        </w:rPr>
        <w:t> </w:t>
      </w:r>
      <w:r>
        <w:rPr>
          <w:color w:val="231F20"/>
          <w:spacing w:val="-1"/>
        </w:rPr>
        <w:t>in</w:t>
      </w:r>
      <w:r>
        <w:rPr>
          <w:color w:val="231F20"/>
          <w:spacing w:val="-2"/>
        </w:rPr>
        <w:t> </w:t>
      </w:r>
      <w:r>
        <w:rPr>
          <w:color w:val="231F20"/>
          <w:spacing w:val="-1"/>
        </w:rPr>
        <w:t>Darwin</w:t>
      </w:r>
      <w:r>
        <w:rPr>
          <w:color w:val="231F20"/>
          <w:spacing w:val="-3"/>
        </w:rPr>
        <w:t> </w:t>
      </w:r>
      <w:r>
        <w:rPr>
          <w:color w:val="231F20"/>
          <w:spacing w:val="-1"/>
        </w:rPr>
        <w:t>in</w:t>
      </w:r>
      <w:r>
        <w:rPr>
          <w:color w:val="231F20"/>
          <w:spacing w:val="-2"/>
        </w:rPr>
        <w:t> </w:t>
      </w:r>
      <w:r>
        <w:rPr>
          <w:color w:val="231F20"/>
        </w:rPr>
        <w:t>the</w:t>
      </w:r>
      <w:r>
        <w:rPr>
          <w:color w:val="231F20"/>
          <w:spacing w:val="26"/>
          <w:w w:val="99"/>
        </w:rPr>
        <w:t> </w:t>
      </w:r>
      <w:r>
        <w:rPr>
          <w:color w:val="231F20"/>
        </w:rPr>
        <w:t>Northern</w:t>
      </w:r>
      <w:r>
        <w:rPr>
          <w:color w:val="231F20"/>
          <w:spacing w:val="-4"/>
        </w:rPr>
        <w:t> </w:t>
      </w:r>
      <w:r>
        <w:rPr>
          <w:color w:val="231F20"/>
          <w:spacing w:val="-3"/>
        </w:rPr>
        <w:t>Territory</w:t>
      </w:r>
      <w:r>
        <w:rPr>
          <w:color w:val="231F20"/>
          <w:spacing w:val="-4"/>
        </w:rPr>
        <w:t> </w:t>
      </w:r>
      <w:r>
        <w:rPr>
          <w:color w:val="231F20"/>
        </w:rPr>
        <w:t>operates</w:t>
      </w:r>
      <w:r>
        <w:rPr>
          <w:color w:val="231F20"/>
          <w:spacing w:val="-5"/>
        </w:rPr>
        <w:t> </w:t>
      </w:r>
      <w:r>
        <w:rPr>
          <w:color w:val="231F20"/>
        </w:rPr>
        <w:t>a</w:t>
      </w:r>
      <w:r>
        <w:rPr>
          <w:color w:val="231F20"/>
          <w:spacing w:val="-4"/>
        </w:rPr>
        <w:t> </w:t>
      </w:r>
      <w:r>
        <w:rPr>
          <w:color w:val="231F20"/>
        </w:rPr>
        <w:t>family</w:t>
      </w:r>
      <w:r>
        <w:rPr>
          <w:color w:val="231F20"/>
          <w:spacing w:val="-5"/>
        </w:rPr>
        <w:t> </w:t>
      </w:r>
      <w:r>
        <w:rPr>
          <w:color w:val="231F20"/>
        </w:rPr>
        <w:t>group</w:t>
      </w:r>
      <w:r>
        <w:rPr>
          <w:color w:val="231F20"/>
          <w:spacing w:val="27"/>
          <w:w w:val="99"/>
        </w:rPr>
        <w:t> </w:t>
      </w:r>
      <w:r>
        <w:rPr>
          <w:color w:val="231F20"/>
        </w:rPr>
        <w:t>home</w:t>
      </w:r>
      <w:r>
        <w:rPr>
          <w:color w:val="231F20"/>
          <w:spacing w:val="-3"/>
        </w:rPr>
        <w:t> </w:t>
      </w:r>
      <w:r>
        <w:rPr>
          <w:color w:val="231F20"/>
        </w:rPr>
        <w:t>boarding</w:t>
      </w:r>
      <w:r>
        <w:rPr>
          <w:color w:val="231F20"/>
          <w:spacing w:val="-3"/>
        </w:rPr>
        <w:t> </w:t>
      </w:r>
      <w:r>
        <w:rPr>
          <w:color w:val="231F20"/>
          <w:spacing w:val="-1"/>
        </w:rPr>
        <w:t>model,</w:t>
      </w:r>
      <w:r>
        <w:rPr>
          <w:color w:val="231F20"/>
          <w:spacing w:val="-2"/>
        </w:rPr>
        <w:t> </w:t>
      </w:r>
      <w:r>
        <w:rPr>
          <w:color w:val="231F20"/>
        </w:rPr>
        <w:t>with</w:t>
      </w:r>
      <w:r>
        <w:rPr>
          <w:color w:val="231F20"/>
          <w:spacing w:val="-3"/>
        </w:rPr>
        <w:t> </w:t>
      </w:r>
      <w:r>
        <w:rPr>
          <w:color w:val="231F20"/>
          <w:spacing w:val="-1"/>
        </w:rPr>
        <w:t>students living</w:t>
      </w:r>
      <w:r>
        <w:rPr>
          <w:color w:val="231F20"/>
          <w:spacing w:val="22"/>
        </w:rPr>
        <w:t> </w:t>
      </w:r>
      <w:r>
        <w:rPr>
          <w:color w:val="231F20"/>
          <w:spacing w:val="-1"/>
        </w:rPr>
        <w:t>in</w:t>
      </w:r>
      <w:r>
        <w:rPr>
          <w:color w:val="231F20"/>
          <w:spacing w:val="-3"/>
        </w:rPr>
        <w:t> </w:t>
      </w:r>
      <w:r>
        <w:rPr>
          <w:color w:val="231F20"/>
        </w:rPr>
        <w:t>family</w:t>
      </w:r>
      <w:r>
        <w:rPr>
          <w:color w:val="231F20"/>
          <w:spacing w:val="-4"/>
        </w:rPr>
        <w:t> </w:t>
      </w:r>
      <w:r>
        <w:rPr>
          <w:color w:val="231F20"/>
        </w:rPr>
        <w:t>group</w:t>
      </w:r>
      <w:r>
        <w:rPr>
          <w:color w:val="231F20"/>
          <w:spacing w:val="-4"/>
        </w:rPr>
        <w:t> </w:t>
      </w:r>
      <w:r>
        <w:rPr>
          <w:color w:val="231F20"/>
        </w:rPr>
        <w:t>homes</w:t>
      </w:r>
      <w:r>
        <w:rPr>
          <w:color w:val="231F20"/>
          <w:spacing w:val="-3"/>
        </w:rPr>
        <w:t> </w:t>
      </w:r>
      <w:r>
        <w:rPr>
          <w:color w:val="231F20"/>
        </w:rPr>
        <w:t>(two</w:t>
      </w:r>
      <w:r>
        <w:rPr>
          <w:color w:val="231F20"/>
          <w:spacing w:val="-4"/>
        </w:rPr>
        <w:t> </w:t>
      </w:r>
      <w:r>
        <w:rPr>
          <w:color w:val="231F20"/>
        </w:rPr>
        <w:t>are</w:t>
      </w:r>
      <w:r>
        <w:rPr>
          <w:color w:val="231F20"/>
          <w:spacing w:val="-4"/>
        </w:rPr>
        <w:t> </w:t>
      </w:r>
      <w:r>
        <w:rPr>
          <w:color w:val="231F20"/>
          <w:spacing w:val="-1"/>
        </w:rPr>
        <w:t>located</w:t>
      </w:r>
      <w:r>
        <w:rPr>
          <w:color w:val="231F20"/>
          <w:spacing w:val="-3"/>
        </w:rPr>
        <w:t> </w:t>
      </w:r>
      <w:r>
        <w:rPr>
          <w:color w:val="231F20"/>
        </w:rPr>
        <w:t>on-</w:t>
      </w:r>
      <w:r>
        <w:rPr>
          <w:color w:val="231F20"/>
          <w:spacing w:val="23"/>
          <w:w w:val="99"/>
        </w:rPr>
        <w:t> </w:t>
      </w:r>
      <w:r>
        <w:rPr>
          <w:rFonts w:ascii="Segoe UI"/>
          <w:color w:val="231F20"/>
        </w:rPr>
        <w:t>campus</w:t>
      </w:r>
      <w:r>
        <w:rPr>
          <w:rFonts w:ascii="Segoe UI"/>
          <w:color w:val="231F20"/>
          <w:spacing w:val="-1"/>
        </w:rPr>
        <w:t> </w:t>
      </w:r>
      <w:r>
        <w:rPr>
          <w:rFonts w:ascii="Segoe UI"/>
          <w:color w:val="231F20"/>
        </w:rPr>
        <w:t>and eight</w:t>
      </w:r>
      <w:r>
        <w:rPr>
          <w:rFonts w:ascii="Segoe UI"/>
          <w:color w:val="231F20"/>
          <w:spacing w:val="-1"/>
        </w:rPr>
        <w:t> </w:t>
      </w:r>
      <w:r>
        <w:rPr>
          <w:rFonts w:ascii="Segoe UI"/>
          <w:color w:val="231F20"/>
        </w:rPr>
        <w:t>off campus). KPMG,</w:t>
      </w:r>
      <w:r>
        <w:rPr>
          <w:rFonts w:ascii="Segoe UI"/>
          <w:color w:val="231F20"/>
          <w:spacing w:val="-1"/>
        </w:rPr>
        <w:t> </w:t>
      </w:r>
      <w:r>
        <w:rPr>
          <w:rFonts w:ascii="Segoe UI"/>
          <w:color w:val="231F20"/>
        </w:rPr>
        <w:t>2016</w:t>
      </w:r>
      <w:r>
        <w:rPr>
          <w:rFonts w:ascii="Segoe UI"/>
          <w:color w:val="231F20"/>
        </w:rPr>
        <w:t> identified Marrara as the lowest cost per</w:t>
      </w:r>
      <w:r>
        <w:rPr>
          <w:rFonts w:ascii="Segoe UI"/>
        </w:rPr>
      </w:r>
    </w:p>
    <w:p>
      <w:pPr>
        <w:pStyle w:val="BodyText"/>
        <w:spacing w:line="250" w:lineRule="exact"/>
        <w:ind w:right="181"/>
        <w:jc w:val="left"/>
      </w:pPr>
      <w:r>
        <w:rPr>
          <w:color w:val="231F20"/>
        </w:rPr>
        <w:t>boarder</w:t>
      </w:r>
      <w:r>
        <w:rPr>
          <w:color w:val="231F20"/>
          <w:spacing w:val="-6"/>
        </w:rPr>
        <w:t> </w:t>
      </w:r>
      <w:r>
        <w:rPr>
          <w:color w:val="231F20"/>
          <w:spacing w:val="-1"/>
        </w:rPr>
        <w:t>model</w:t>
      </w:r>
      <w:r>
        <w:rPr>
          <w:color w:val="231F20"/>
          <w:spacing w:val="-5"/>
        </w:rPr>
        <w:t> </w:t>
      </w:r>
      <w:r>
        <w:rPr>
          <w:color w:val="231F20"/>
        </w:rPr>
        <w:t>of</w:t>
      </w:r>
      <w:r>
        <w:rPr>
          <w:color w:val="231F20"/>
          <w:spacing w:val="-6"/>
        </w:rPr>
        <w:t> </w:t>
      </w:r>
      <w:r>
        <w:rPr>
          <w:color w:val="231F20"/>
        </w:rPr>
        <w:t>the</w:t>
      </w:r>
      <w:r>
        <w:rPr>
          <w:color w:val="231F20"/>
          <w:spacing w:val="-6"/>
        </w:rPr>
        <w:t> </w:t>
      </w:r>
      <w:r>
        <w:rPr>
          <w:color w:val="231F20"/>
        </w:rPr>
        <w:t>eight</w:t>
      </w:r>
      <w:r>
        <w:rPr>
          <w:color w:val="231F20"/>
          <w:spacing w:val="-7"/>
        </w:rPr>
        <w:t> </w:t>
      </w:r>
      <w:r>
        <w:rPr>
          <w:color w:val="231F20"/>
        </w:rPr>
        <w:t>boarding</w:t>
      </w:r>
      <w:r>
        <w:rPr>
          <w:color w:val="231F20"/>
          <w:spacing w:val="-6"/>
        </w:rPr>
        <w:t> </w:t>
      </w:r>
      <w:r>
        <w:rPr>
          <w:color w:val="231F20"/>
        </w:rPr>
        <w:t>providers</w:t>
      </w:r>
      <w:r>
        <w:rPr>
          <w:color w:val="231F20"/>
          <w:spacing w:val="21"/>
          <w:w w:val="99"/>
        </w:rPr>
        <w:t> </w:t>
      </w:r>
      <w:r>
        <w:rPr>
          <w:color w:val="231F20"/>
          <w:spacing w:val="-1"/>
        </w:rPr>
        <w:t>included</w:t>
      </w:r>
      <w:r>
        <w:rPr>
          <w:color w:val="231F20"/>
          <w:spacing w:val="-5"/>
        </w:rPr>
        <w:t> </w:t>
      </w:r>
      <w:r>
        <w:rPr>
          <w:color w:val="231F20"/>
          <w:spacing w:val="-1"/>
        </w:rPr>
        <w:t>in</w:t>
      </w:r>
      <w:r>
        <w:rPr>
          <w:color w:val="231F20"/>
          <w:spacing w:val="-4"/>
        </w:rPr>
        <w:t> </w:t>
      </w:r>
      <w:r>
        <w:rPr>
          <w:color w:val="231F20"/>
          <w:spacing w:val="-1"/>
        </w:rPr>
        <w:t>its</w:t>
      </w:r>
      <w:r>
        <w:rPr>
          <w:color w:val="231F20"/>
          <w:spacing w:val="-5"/>
        </w:rPr>
        <w:t> </w:t>
      </w:r>
      <w:r>
        <w:rPr>
          <w:color w:val="231F20"/>
        </w:rPr>
        <w:t>review.</w:t>
      </w:r>
      <w:r>
        <w:rPr>
          <w:color w:val="231F20"/>
          <w:spacing w:val="-5"/>
        </w:rPr>
        <w:t> </w:t>
      </w:r>
      <w:r>
        <w:rPr>
          <w:color w:val="231F20"/>
        </w:rPr>
        <w:t>Another</w:t>
      </w:r>
      <w:r>
        <w:rPr>
          <w:color w:val="231F20"/>
          <w:spacing w:val="-4"/>
        </w:rPr>
        <w:t> </w:t>
      </w:r>
      <w:r>
        <w:rPr>
          <w:color w:val="231F20"/>
        </w:rPr>
        <w:t>family</w:t>
      </w:r>
      <w:r>
        <w:rPr>
          <w:color w:val="231F20"/>
          <w:spacing w:val="-6"/>
        </w:rPr>
        <w:t> </w:t>
      </w:r>
      <w:r>
        <w:rPr>
          <w:color w:val="231F20"/>
        </w:rPr>
        <w:t>group</w:t>
      </w:r>
      <w:r>
        <w:rPr>
          <w:color w:val="231F20"/>
          <w:spacing w:val="24"/>
          <w:w w:val="99"/>
        </w:rPr>
        <w:t> </w:t>
      </w:r>
      <w:r>
        <w:rPr>
          <w:color w:val="231F20"/>
        </w:rPr>
        <w:t>home</w:t>
      </w:r>
      <w:r>
        <w:rPr>
          <w:color w:val="231F20"/>
          <w:spacing w:val="-6"/>
        </w:rPr>
        <w:t> </w:t>
      </w:r>
      <w:r>
        <w:rPr>
          <w:color w:val="231F20"/>
        </w:rPr>
        <w:t>boarding</w:t>
      </w:r>
      <w:r>
        <w:rPr>
          <w:color w:val="231F20"/>
          <w:spacing w:val="-6"/>
        </w:rPr>
        <w:t> </w:t>
      </w:r>
      <w:r>
        <w:rPr>
          <w:color w:val="231F20"/>
        </w:rPr>
        <w:t>provider,</w:t>
      </w:r>
      <w:r>
        <w:rPr>
          <w:color w:val="231F20"/>
          <w:spacing w:val="-5"/>
        </w:rPr>
        <w:t> </w:t>
      </w:r>
      <w:r>
        <w:rPr>
          <w:color w:val="231F20"/>
        </w:rPr>
        <w:t>Tiwi</w:t>
      </w:r>
      <w:r>
        <w:rPr>
          <w:color w:val="231F20"/>
          <w:spacing w:val="-6"/>
        </w:rPr>
        <w:t> </w:t>
      </w:r>
      <w:r>
        <w:rPr>
          <w:color w:val="231F20"/>
          <w:spacing w:val="-1"/>
        </w:rPr>
        <w:t>College,</w:t>
      </w:r>
      <w:r>
        <w:rPr>
          <w:color w:val="231F20"/>
          <w:spacing w:val="-4"/>
        </w:rPr>
        <w:t> </w:t>
      </w:r>
      <w:r>
        <w:rPr>
          <w:color w:val="231F20"/>
        </w:rPr>
        <w:t>was</w:t>
      </w:r>
      <w:r>
        <w:rPr>
          <w:color w:val="231F20"/>
          <w:w w:val="99"/>
        </w:rPr>
        <w:t> </w:t>
      </w:r>
      <w:r>
        <w:rPr>
          <w:color w:val="231F20"/>
          <w:spacing w:val="22"/>
          <w:w w:val="99"/>
        </w:rPr>
        <w:t> </w:t>
      </w:r>
      <w:r>
        <w:rPr>
          <w:color w:val="231F20"/>
        </w:rPr>
        <w:t>also</w:t>
      </w:r>
      <w:r>
        <w:rPr>
          <w:color w:val="231F20"/>
          <w:spacing w:val="-4"/>
        </w:rPr>
        <w:t> </w:t>
      </w:r>
      <w:r>
        <w:rPr>
          <w:color w:val="231F20"/>
          <w:spacing w:val="-1"/>
        </w:rPr>
        <w:t>included</w:t>
      </w:r>
      <w:r>
        <w:rPr>
          <w:color w:val="231F20"/>
          <w:spacing w:val="-2"/>
        </w:rPr>
        <w:t> </w:t>
      </w:r>
      <w:r>
        <w:rPr>
          <w:color w:val="231F20"/>
          <w:spacing w:val="-1"/>
        </w:rPr>
        <w:t>in</w:t>
      </w:r>
      <w:r>
        <w:rPr>
          <w:color w:val="231F20"/>
          <w:spacing w:val="-2"/>
        </w:rPr>
        <w:t> </w:t>
      </w:r>
      <w:r>
        <w:rPr>
          <w:color w:val="231F20"/>
        </w:rPr>
        <w:t>the</w:t>
      </w:r>
      <w:r>
        <w:rPr>
          <w:color w:val="231F20"/>
          <w:spacing w:val="-3"/>
        </w:rPr>
        <w:t> </w:t>
      </w:r>
      <w:r>
        <w:rPr>
          <w:color w:val="231F20"/>
          <w:spacing w:val="-1"/>
        </w:rPr>
        <w:t>KPMG,</w:t>
      </w:r>
      <w:r>
        <w:rPr>
          <w:color w:val="231F20"/>
          <w:spacing w:val="-3"/>
        </w:rPr>
        <w:t> </w:t>
      </w:r>
      <w:r>
        <w:rPr>
          <w:color w:val="231F20"/>
          <w:spacing w:val="-1"/>
        </w:rPr>
        <w:t>2016</w:t>
      </w:r>
      <w:r>
        <w:rPr>
          <w:rFonts w:ascii="Segoe UI Semibold" w:hAnsi="Segoe UI Semibold" w:cs="Segoe UI Semibold" w:eastAsia="Segoe UI Semibold"/>
          <w:b/>
          <w:bCs/>
          <w:color w:val="231F20"/>
          <w:spacing w:val="-1"/>
          <w:position w:val="7"/>
          <w:sz w:val="11"/>
          <w:szCs w:val="11"/>
        </w:rPr>
        <w:t>179</w:t>
      </w:r>
      <w:r>
        <w:rPr>
          <w:rFonts w:ascii="Segoe UI Semibold" w:hAnsi="Segoe UI Semibold" w:cs="Segoe UI Semibold" w:eastAsia="Segoe UI Semibold"/>
          <w:b/>
          <w:bCs/>
          <w:color w:val="231F20"/>
          <w:spacing w:val="23"/>
          <w:position w:val="7"/>
          <w:sz w:val="11"/>
          <w:szCs w:val="11"/>
        </w:rPr>
        <w:t> </w:t>
      </w:r>
      <w:r>
        <w:rPr>
          <w:color w:val="231F20"/>
        </w:rPr>
        <w:t>review</w:t>
      </w:r>
      <w:r>
        <w:rPr>
          <w:color w:val="231F20"/>
          <w:spacing w:val="-4"/>
        </w:rPr>
        <w:t> </w:t>
      </w:r>
      <w:r>
        <w:rPr>
          <w:color w:val="231F20"/>
        </w:rPr>
        <w:t>and</w:t>
      </w:r>
      <w:r>
        <w:rPr>
          <w:color w:val="231F20"/>
          <w:spacing w:val="28"/>
          <w:w w:val="99"/>
        </w:rPr>
        <w:t> </w:t>
      </w:r>
      <w:r>
        <w:rPr>
          <w:color w:val="231F20"/>
          <w:spacing w:val="-1"/>
        </w:rPr>
        <w:t>it</w:t>
      </w:r>
      <w:r>
        <w:rPr>
          <w:color w:val="231F20"/>
          <w:spacing w:val="-4"/>
        </w:rPr>
        <w:t> </w:t>
      </w:r>
      <w:r>
        <w:rPr>
          <w:color w:val="231F20"/>
        </w:rPr>
        <w:t>was</w:t>
      </w:r>
      <w:r>
        <w:rPr>
          <w:color w:val="231F20"/>
          <w:spacing w:val="-4"/>
        </w:rPr>
        <w:t> </w:t>
      </w:r>
      <w:r>
        <w:rPr>
          <w:color w:val="231F20"/>
        </w:rPr>
        <w:t>the</w:t>
      </w:r>
      <w:r>
        <w:rPr>
          <w:color w:val="231F20"/>
          <w:spacing w:val="-4"/>
        </w:rPr>
        <w:t> </w:t>
      </w:r>
      <w:r>
        <w:rPr>
          <w:color w:val="231F20"/>
        </w:rPr>
        <w:t>highest</w:t>
      </w:r>
      <w:r>
        <w:rPr>
          <w:color w:val="231F20"/>
          <w:spacing w:val="-4"/>
        </w:rPr>
        <w:t> </w:t>
      </w:r>
      <w:r>
        <w:rPr>
          <w:color w:val="231F20"/>
        </w:rPr>
        <w:t>cost</w:t>
      </w:r>
      <w:r>
        <w:rPr>
          <w:color w:val="231F20"/>
          <w:spacing w:val="-4"/>
        </w:rPr>
        <w:t> </w:t>
      </w:r>
      <w:r>
        <w:rPr>
          <w:color w:val="231F20"/>
        </w:rPr>
        <w:t>per</w:t>
      </w:r>
      <w:r>
        <w:rPr>
          <w:color w:val="231F20"/>
          <w:spacing w:val="-3"/>
        </w:rPr>
        <w:t> </w:t>
      </w:r>
      <w:r>
        <w:rPr>
          <w:color w:val="231F20"/>
        </w:rPr>
        <w:t>boarder</w:t>
      </w:r>
      <w:r>
        <w:rPr>
          <w:color w:val="231F20"/>
          <w:spacing w:val="-4"/>
        </w:rPr>
        <w:t> </w:t>
      </w:r>
      <w:r>
        <w:rPr>
          <w:color w:val="231F20"/>
        </w:rPr>
        <w:t>provider</w:t>
      </w:r>
      <w:r>
        <w:rPr>
          <w:color w:val="231F20"/>
          <w:spacing w:val="-4"/>
        </w:rPr>
        <w:t> </w:t>
      </w:r>
      <w:r>
        <w:rPr>
          <w:color w:val="231F20"/>
        </w:rPr>
        <w:t>of</w:t>
      </w:r>
      <w:r>
        <w:rPr>
          <w:color w:val="231F20"/>
          <w:spacing w:val="21"/>
          <w:w w:val="99"/>
        </w:rPr>
        <w:t> </w:t>
      </w:r>
      <w:r>
        <w:rPr>
          <w:color w:val="231F20"/>
        </w:rPr>
        <w:t>the</w:t>
      </w:r>
      <w:r>
        <w:rPr>
          <w:color w:val="231F20"/>
          <w:spacing w:val="-5"/>
        </w:rPr>
        <w:t> </w:t>
      </w:r>
      <w:r>
        <w:rPr>
          <w:color w:val="231F20"/>
        </w:rPr>
        <w:t>eight</w:t>
      </w:r>
      <w:r>
        <w:rPr>
          <w:color w:val="231F20"/>
          <w:spacing w:val="-5"/>
        </w:rPr>
        <w:t> </w:t>
      </w:r>
      <w:r>
        <w:rPr>
          <w:color w:val="231F20"/>
        </w:rPr>
        <w:t>providers.</w:t>
      </w:r>
      <w:r>
        <w:rPr>
          <w:color w:val="231F20"/>
          <w:spacing w:val="-5"/>
        </w:rPr>
        <w:t> </w:t>
      </w:r>
      <w:r>
        <w:rPr>
          <w:color w:val="231F20"/>
        </w:rPr>
        <w:t>This</w:t>
      </w:r>
      <w:r>
        <w:rPr>
          <w:color w:val="231F20"/>
          <w:spacing w:val="-5"/>
        </w:rPr>
        <w:t> </w:t>
      </w:r>
      <w:r>
        <w:rPr>
          <w:color w:val="231F20"/>
        </w:rPr>
        <w:t>was</w:t>
      </w:r>
      <w:r>
        <w:rPr>
          <w:color w:val="231F20"/>
          <w:spacing w:val="-5"/>
        </w:rPr>
        <w:t> </w:t>
      </w:r>
      <w:r>
        <w:rPr>
          <w:color w:val="231F20"/>
        </w:rPr>
        <w:t>consistent</w:t>
      </w:r>
      <w:r>
        <w:rPr>
          <w:color w:val="231F20"/>
          <w:spacing w:val="-5"/>
        </w:rPr>
        <w:t> </w:t>
      </w:r>
      <w:r>
        <w:rPr>
          <w:color w:val="231F20"/>
        </w:rPr>
        <w:t>with</w:t>
      </w:r>
      <w:r>
        <w:rPr>
          <w:color w:val="231F20"/>
          <w:w w:val="99"/>
        </w:rPr>
        <w:t> </w:t>
      </w:r>
      <w:r>
        <w:rPr>
          <w:rFonts w:ascii="Segoe UI" w:hAnsi="Segoe UI" w:cs="Segoe UI" w:eastAsia="Segoe UI"/>
          <w:color w:val="231F20"/>
        </w:rPr>
        <w:t>Grant Thornton’s findings. This would suggest</w:t>
      </w:r>
      <w:r>
        <w:rPr>
          <w:rFonts w:ascii="Segoe UI" w:hAnsi="Segoe UI" w:cs="Segoe UI" w:eastAsia="Segoe UI"/>
          <w:color w:val="231F20"/>
        </w:rPr>
        <w:t> </w:t>
      </w:r>
      <w:r>
        <w:rPr>
          <w:color w:val="231F20"/>
        </w:rPr>
        <w:t>that</w:t>
      </w:r>
      <w:r>
        <w:rPr>
          <w:color w:val="231F20"/>
          <w:spacing w:val="-6"/>
        </w:rPr>
        <w:t> </w:t>
      </w:r>
      <w:r>
        <w:rPr>
          <w:color w:val="231F20"/>
        </w:rPr>
        <w:t>the</w:t>
      </w:r>
      <w:r>
        <w:rPr>
          <w:color w:val="231F20"/>
          <w:spacing w:val="-5"/>
        </w:rPr>
        <w:t> </w:t>
      </w:r>
      <w:r>
        <w:rPr>
          <w:color w:val="231F20"/>
        </w:rPr>
        <w:t>average</w:t>
      </w:r>
      <w:r>
        <w:rPr>
          <w:color w:val="231F20"/>
          <w:spacing w:val="-5"/>
        </w:rPr>
        <w:t> </w:t>
      </w:r>
      <w:r>
        <w:rPr>
          <w:color w:val="231F20"/>
        </w:rPr>
        <w:t>cost</w:t>
      </w:r>
      <w:r>
        <w:rPr>
          <w:color w:val="231F20"/>
          <w:spacing w:val="-5"/>
        </w:rPr>
        <w:t> </w:t>
      </w:r>
      <w:r>
        <w:rPr>
          <w:color w:val="231F20"/>
        </w:rPr>
        <w:t>per</w:t>
      </w:r>
      <w:r>
        <w:rPr>
          <w:color w:val="231F20"/>
          <w:spacing w:val="-4"/>
        </w:rPr>
        <w:t> </w:t>
      </w:r>
      <w:r>
        <w:rPr>
          <w:color w:val="231F20"/>
        </w:rPr>
        <w:t>boarder</w:t>
      </w:r>
      <w:r>
        <w:rPr>
          <w:color w:val="231F20"/>
          <w:spacing w:val="-4"/>
        </w:rPr>
        <w:t> </w:t>
      </w:r>
      <w:r>
        <w:rPr>
          <w:color w:val="231F20"/>
        </w:rPr>
        <w:t>was</w:t>
      </w:r>
      <w:r>
        <w:rPr>
          <w:color w:val="231F20"/>
          <w:spacing w:val="-5"/>
        </w:rPr>
        <w:t> </w:t>
      </w:r>
      <w:r>
        <w:rPr>
          <w:color w:val="231F20"/>
        </w:rPr>
        <w:t>a</w:t>
      </w:r>
      <w:r>
        <w:rPr>
          <w:color w:val="231F20"/>
          <w:spacing w:val="-4"/>
        </w:rPr>
        <w:t> </w:t>
      </w:r>
      <w:r>
        <w:rPr>
          <w:color w:val="231F20"/>
        </w:rPr>
        <w:t>factor</w:t>
      </w:r>
      <w:r>
        <w:rPr>
          <w:color w:val="231F20"/>
          <w:w w:val="99"/>
        </w:rPr>
        <w:t> </w:t>
      </w:r>
      <w:r>
        <w:rPr>
          <w:color w:val="231F20"/>
        </w:rPr>
        <w:t>of</w:t>
      </w:r>
      <w:r>
        <w:rPr>
          <w:color w:val="231F20"/>
          <w:spacing w:val="-6"/>
        </w:rPr>
        <w:t> </w:t>
      </w:r>
      <w:r>
        <w:rPr>
          <w:color w:val="231F20"/>
        </w:rPr>
        <w:t>variables</w:t>
      </w:r>
      <w:r>
        <w:rPr>
          <w:color w:val="231F20"/>
          <w:spacing w:val="-5"/>
        </w:rPr>
        <w:t> </w:t>
      </w:r>
      <w:r>
        <w:rPr>
          <w:color w:val="231F20"/>
        </w:rPr>
        <w:t>other</w:t>
      </w:r>
      <w:r>
        <w:rPr>
          <w:color w:val="231F20"/>
          <w:spacing w:val="-6"/>
        </w:rPr>
        <w:t> </w:t>
      </w:r>
      <w:r>
        <w:rPr>
          <w:color w:val="231F20"/>
        </w:rPr>
        <w:t>than</w:t>
      </w:r>
      <w:r>
        <w:rPr>
          <w:color w:val="231F20"/>
          <w:spacing w:val="-6"/>
        </w:rPr>
        <w:t> </w:t>
      </w:r>
      <w:r>
        <w:rPr>
          <w:color w:val="231F20"/>
        </w:rPr>
        <w:t>type</w:t>
      </w:r>
      <w:r>
        <w:rPr>
          <w:color w:val="231F20"/>
          <w:spacing w:val="-6"/>
        </w:rPr>
        <w:t> </w:t>
      </w:r>
      <w:r>
        <w:rPr>
          <w:color w:val="231F20"/>
        </w:rPr>
        <w:t>of</w:t>
      </w:r>
      <w:r>
        <w:rPr>
          <w:color w:val="231F20"/>
          <w:spacing w:val="-5"/>
        </w:rPr>
        <w:t> </w:t>
      </w:r>
      <w:r>
        <w:rPr>
          <w:color w:val="231F20"/>
        </w:rPr>
        <w:t>boarding</w:t>
      </w:r>
      <w:r>
        <w:rPr>
          <w:color w:val="231F20"/>
          <w:w w:val="99"/>
        </w:rPr>
        <w:t> </w:t>
      </w:r>
      <w:r>
        <w:rPr>
          <w:color w:val="231F20"/>
        </w:rPr>
        <w:t>accommodation.</w:t>
      </w:r>
      <w:r>
        <w:rPr/>
      </w:r>
    </w:p>
    <w:p>
      <w:pPr>
        <w:spacing w:line="240" w:lineRule="auto" w:before="10"/>
        <w:rPr>
          <w:rFonts w:ascii="Segoe UI" w:hAnsi="Segoe UI" w:cs="Segoe UI" w:eastAsia="Segoe UI"/>
          <w:sz w:val="20"/>
          <w:szCs w:val="20"/>
        </w:rPr>
      </w:pPr>
    </w:p>
    <w:p>
      <w:pPr>
        <w:pStyle w:val="Heading2"/>
        <w:spacing w:line="240" w:lineRule="auto" w:before="0"/>
        <w:ind w:right="0"/>
        <w:jc w:val="left"/>
        <w:rPr>
          <w:b w:val="0"/>
          <w:bCs w:val="0"/>
        </w:rPr>
      </w:pPr>
      <w:bookmarkStart w:name="_TOC_250012" w:id="24"/>
      <w:r>
        <w:rPr>
          <w:color w:val="452A70"/>
          <w:spacing w:val="-2"/>
        </w:rPr>
        <w:t>Standalone </w:t>
      </w:r>
      <w:r>
        <w:rPr>
          <w:color w:val="452A70"/>
        </w:rPr>
        <w:t>v</w:t>
      </w:r>
      <w:r>
        <w:rPr>
          <w:color w:val="452A70"/>
          <w:spacing w:val="-2"/>
        </w:rPr>
        <w:t> </w:t>
      </w:r>
      <w:r>
        <w:rPr>
          <w:color w:val="452A70"/>
        </w:rPr>
        <w:t>combined</w:t>
      </w:r>
      <w:bookmarkEnd w:id="24"/>
      <w:r>
        <w:rPr>
          <w:b w:val="0"/>
        </w:rPr>
      </w:r>
    </w:p>
    <w:p>
      <w:pPr>
        <w:pStyle w:val="BodyText"/>
        <w:spacing w:line="250" w:lineRule="exact" w:before="111"/>
        <w:ind w:right="564"/>
        <w:jc w:val="left"/>
      </w:pPr>
      <w:r>
        <w:rPr>
          <w:color w:val="231F20"/>
        </w:rPr>
        <w:t>As</w:t>
      </w:r>
      <w:r>
        <w:rPr>
          <w:color w:val="231F20"/>
          <w:spacing w:val="-4"/>
        </w:rPr>
        <w:t> </w:t>
      </w:r>
      <w:r>
        <w:rPr>
          <w:color w:val="231F20"/>
        </w:rPr>
        <w:t>discussed</w:t>
      </w:r>
      <w:r>
        <w:rPr>
          <w:color w:val="231F20"/>
          <w:spacing w:val="-4"/>
        </w:rPr>
        <w:t> </w:t>
      </w:r>
      <w:r>
        <w:rPr>
          <w:color w:val="231F20"/>
          <w:spacing w:val="-1"/>
        </w:rPr>
        <w:t>in</w:t>
      </w:r>
      <w:r>
        <w:rPr>
          <w:color w:val="231F20"/>
          <w:spacing w:val="-3"/>
        </w:rPr>
        <w:t> </w:t>
      </w:r>
      <w:r>
        <w:rPr>
          <w:color w:val="231F20"/>
          <w:spacing w:val="-2"/>
        </w:rPr>
        <w:t>Part</w:t>
      </w:r>
      <w:r>
        <w:rPr>
          <w:color w:val="231F20"/>
          <w:spacing w:val="-4"/>
        </w:rPr>
        <w:t> </w:t>
      </w:r>
      <w:r>
        <w:rPr>
          <w:color w:val="231F20"/>
          <w:spacing w:val="-1"/>
        </w:rPr>
        <w:t>12,</w:t>
      </w:r>
      <w:r>
        <w:rPr>
          <w:color w:val="231F20"/>
          <w:spacing w:val="-3"/>
        </w:rPr>
        <w:t> </w:t>
      </w:r>
      <w:r>
        <w:rPr>
          <w:color w:val="231F20"/>
        </w:rPr>
        <w:t>Aboriginal</w:t>
      </w:r>
      <w:r>
        <w:rPr>
          <w:color w:val="231F20"/>
          <w:spacing w:val="-3"/>
        </w:rPr>
        <w:t> </w:t>
      </w:r>
      <w:r>
        <w:rPr>
          <w:color w:val="231F20"/>
        </w:rPr>
        <w:t>and</w:t>
      </w:r>
      <w:r>
        <w:rPr>
          <w:color w:val="231F20"/>
          <w:spacing w:val="23"/>
          <w:w w:val="99"/>
        </w:rPr>
        <w:t> </w:t>
      </w:r>
      <w:r>
        <w:rPr>
          <w:color w:val="231F20"/>
          <w:spacing w:val="-5"/>
        </w:rPr>
        <w:t>Torres</w:t>
      </w:r>
      <w:r>
        <w:rPr>
          <w:color w:val="231F20"/>
          <w:spacing w:val="-7"/>
        </w:rPr>
        <w:t> </w:t>
      </w:r>
      <w:r>
        <w:rPr>
          <w:color w:val="231F20"/>
          <w:spacing w:val="-2"/>
        </w:rPr>
        <w:t>Strait</w:t>
      </w:r>
      <w:r>
        <w:rPr>
          <w:color w:val="231F20"/>
          <w:spacing w:val="-8"/>
        </w:rPr>
        <w:t> </w:t>
      </w:r>
      <w:r>
        <w:rPr>
          <w:color w:val="231F20"/>
          <w:spacing w:val="-1"/>
        </w:rPr>
        <w:t>Islander</w:t>
      </w:r>
      <w:r>
        <w:rPr>
          <w:color w:val="231F20"/>
          <w:spacing w:val="-6"/>
        </w:rPr>
        <w:t> </w:t>
      </w:r>
      <w:r>
        <w:rPr>
          <w:color w:val="231F20"/>
        </w:rPr>
        <w:t>boarding</w:t>
      </w:r>
      <w:r>
        <w:rPr>
          <w:color w:val="231F20"/>
          <w:spacing w:val="-8"/>
        </w:rPr>
        <w:t> </w:t>
      </w:r>
      <w:r>
        <w:rPr>
          <w:color w:val="231F20"/>
        </w:rPr>
        <w:t>providers</w:t>
      </w:r>
      <w:r>
        <w:rPr>
          <w:color w:val="231F20"/>
          <w:spacing w:val="21"/>
          <w:w w:val="99"/>
        </w:rPr>
        <w:t> </w:t>
      </w:r>
      <w:r>
        <w:rPr>
          <w:color w:val="231F20"/>
        </w:rPr>
        <w:t>are</w:t>
      </w:r>
      <w:r>
        <w:rPr>
          <w:color w:val="231F20"/>
          <w:spacing w:val="-5"/>
        </w:rPr>
        <w:t> </w:t>
      </w:r>
      <w:r>
        <w:rPr>
          <w:color w:val="231F20"/>
          <w:spacing w:val="-1"/>
        </w:rPr>
        <w:t>structured</w:t>
      </w:r>
      <w:r>
        <w:rPr>
          <w:color w:val="231F20"/>
          <w:spacing w:val="-2"/>
        </w:rPr>
        <w:t> </w:t>
      </w:r>
      <w:r>
        <w:rPr>
          <w:color w:val="231F20"/>
        </w:rPr>
        <w:t>as</w:t>
      </w:r>
      <w:r>
        <w:rPr>
          <w:color w:val="231F20"/>
          <w:spacing w:val="-4"/>
        </w:rPr>
        <w:t> </w:t>
      </w:r>
      <w:r>
        <w:rPr>
          <w:color w:val="231F20"/>
        </w:rPr>
        <w:t>either</w:t>
      </w:r>
      <w:r>
        <w:rPr>
          <w:color w:val="231F20"/>
          <w:spacing w:val="-4"/>
        </w:rPr>
        <w:t> </w:t>
      </w:r>
      <w:r>
        <w:rPr>
          <w:color w:val="231F20"/>
        </w:rPr>
        <w:t>part</w:t>
      </w:r>
      <w:r>
        <w:rPr>
          <w:color w:val="231F20"/>
          <w:spacing w:val="-3"/>
        </w:rPr>
        <w:t> </w:t>
      </w:r>
      <w:r>
        <w:rPr>
          <w:color w:val="231F20"/>
        </w:rPr>
        <w:t>of</w:t>
      </w:r>
      <w:r>
        <w:rPr>
          <w:color w:val="231F20"/>
          <w:spacing w:val="-3"/>
        </w:rPr>
        <w:t> </w:t>
      </w:r>
      <w:r>
        <w:rPr>
          <w:color w:val="231F20"/>
        </w:rPr>
        <w:t>a</w:t>
      </w:r>
      <w:r>
        <w:rPr>
          <w:color w:val="231F20"/>
          <w:spacing w:val="-4"/>
        </w:rPr>
        <w:t> </w:t>
      </w:r>
      <w:r>
        <w:rPr>
          <w:color w:val="231F20"/>
          <w:spacing w:val="-1"/>
        </w:rPr>
        <w:t>school</w:t>
      </w:r>
      <w:r>
        <w:rPr/>
      </w:r>
    </w:p>
    <w:p>
      <w:pPr>
        <w:pStyle w:val="BodyText"/>
        <w:spacing w:line="250" w:lineRule="exact"/>
        <w:ind w:right="229"/>
        <w:jc w:val="left"/>
      </w:pPr>
      <w:r>
        <w:rPr>
          <w:color w:val="231F20"/>
          <w:spacing w:val="-1"/>
        </w:rPr>
        <w:t>structure</w:t>
      </w:r>
      <w:r>
        <w:rPr>
          <w:color w:val="231F20"/>
          <w:spacing w:val="-5"/>
        </w:rPr>
        <w:t> </w:t>
      </w:r>
      <w:r>
        <w:rPr>
          <w:color w:val="231F20"/>
        </w:rPr>
        <w:t>(boarding</w:t>
      </w:r>
      <w:r>
        <w:rPr>
          <w:color w:val="231F20"/>
          <w:spacing w:val="-7"/>
        </w:rPr>
        <w:t> </w:t>
      </w:r>
      <w:r>
        <w:rPr>
          <w:color w:val="231F20"/>
          <w:spacing w:val="-1"/>
        </w:rPr>
        <w:t>schools)</w:t>
      </w:r>
      <w:r>
        <w:rPr>
          <w:color w:val="231F20"/>
          <w:spacing w:val="-5"/>
        </w:rPr>
        <w:t> </w:t>
      </w:r>
      <w:r>
        <w:rPr>
          <w:color w:val="231F20"/>
        </w:rPr>
        <w:t>or</w:t>
      </w:r>
      <w:r>
        <w:rPr>
          <w:color w:val="231F20"/>
          <w:spacing w:val="-6"/>
        </w:rPr>
        <w:t> </w:t>
      </w:r>
      <w:r>
        <w:rPr>
          <w:color w:val="231F20"/>
        </w:rPr>
        <w:t>as</w:t>
      </w:r>
      <w:r>
        <w:rPr>
          <w:color w:val="231F20"/>
          <w:spacing w:val="-7"/>
        </w:rPr>
        <w:t> </w:t>
      </w:r>
      <w:r>
        <w:rPr>
          <w:color w:val="231F20"/>
          <w:spacing w:val="-1"/>
        </w:rPr>
        <w:t>standalone</w:t>
      </w:r>
      <w:r>
        <w:rPr>
          <w:color w:val="231F20"/>
          <w:spacing w:val="22"/>
          <w:w w:val="99"/>
        </w:rPr>
        <w:t> </w:t>
      </w:r>
      <w:r>
        <w:rPr>
          <w:color w:val="231F20"/>
        </w:rPr>
        <w:t>facilities</w:t>
      </w:r>
      <w:r>
        <w:rPr>
          <w:color w:val="231F20"/>
          <w:spacing w:val="-7"/>
        </w:rPr>
        <w:t> </w:t>
      </w:r>
      <w:r>
        <w:rPr>
          <w:color w:val="231F20"/>
        </w:rPr>
        <w:t>with</w:t>
      </w:r>
      <w:r>
        <w:rPr>
          <w:color w:val="231F20"/>
          <w:spacing w:val="-7"/>
        </w:rPr>
        <w:t> </w:t>
      </w:r>
      <w:r>
        <w:rPr>
          <w:color w:val="231F20"/>
        </w:rPr>
        <w:t>boarders</w:t>
      </w:r>
      <w:r>
        <w:rPr>
          <w:color w:val="231F20"/>
          <w:spacing w:val="-6"/>
        </w:rPr>
        <w:t> </w:t>
      </w:r>
      <w:r>
        <w:rPr>
          <w:color w:val="231F20"/>
        </w:rPr>
        <w:t>attending</w:t>
      </w:r>
      <w:r>
        <w:rPr>
          <w:color w:val="231F20"/>
          <w:spacing w:val="-7"/>
        </w:rPr>
        <w:t> </w:t>
      </w:r>
      <w:r>
        <w:rPr>
          <w:color w:val="231F20"/>
        </w:rPr>
        <w:t>nearby</w:t>
      </w:r>
      <w:r>
        <w:rPr>
          <w:color w:val="231F20"/>
          <w:spacing w:val="-5"/>
        </w:rPr>
        <w:t> </w:t>
      </w:r>
      <w:r>
        <w:rPr>
          <w:color w:val="231F20"/>
        </w:rPr>
        <w:t>or</w:t>
      </w:r>
      <w:r>
        <w:rPr>
          <w:color w:val="231F20"/>
          <w:w w:val="99"/>
        </w:rPr>
        <w:t> </w:t>
      </w:r>
      <w:r>
        <w:rPr>
          <w:color w:val="231F20"/>
        </w:rPr>
        <w:t>associated</w:t>
      </w:r>
      <w:r>
        <w:rPr>
          <w:color w:val="231F20"/>
          <w:spacing w:val="-6"/>
        </w:rPr>
        <w:t> </w:t>
      </w:r>
      <w:r>
        <w:rPr>
          <w:color w:val="231F20"/>
          <w:spacing w:val="-1"/>
        </w:rPr>
        <w:t>schools.</w:t>
      </w:r>
      <w:r>
        <w:rPr>
          <w:color w:val="231F20"/>
          <w:spacing w:val="-5"/>
        </w:rPr>
        <w:t> </w:t>
      </w:r>
      <w:r>
        <w:rPr>
          <w:color w:val="231F20"/>
          <w:spacing w:val="-1"/>
        </w:rPr>
        <w:t>Boarding</w:t>
      </w:r>
      <w:r>
        <w:rPr>
          <w:color w:val="231F20"/>
          <w:spacing w:val="-5"/>
        </w:rPr>
        <w:t> </w:t>
      </w:r>
      <w:r>
        <w:rPr>
          <w:color w:val="231F20"/>
          <w:spacing w:val="-1"/>
        </w:rPr>
        <w:t>schools</w:t>
      </w:r>
      <w:r>
        <w:rPr>
          <w:color w:val="231F20"/>
          <w:spacing w:val="-4"/>
        </w:rPr>
        <w:t> </w:t>
      </w:r>
      <w:r>
        <w:rPr>
          <w:color w:val="231F20"/>
        </w:rPr>
        <w:t>are</w:t>
      </w:r>
      <w:r>
        <w:rPr>
          <w:color w:val="231F20"/>
          <w:spacing w:val="-6"/>
        </w:rPr>
        <w:t> </w:t>
      </w:r>
      <w:r>
        <w:rPr>
          <w:color w:val="231F20"/>
        </w:rPr>
        <w:t>able</w:t>
      </w:r>
      <w:r>
        <w:rPr>
          <w:color w:val="231F20"/>
          <w:spacing w:val="24"/>
          <w:w w:val="99"/>
        </w:rPr>
        <w:t> </w:t>
      </w:r>
      <w:r>
        <w:rPr>
          <w:color w:val="231F20"/>
        </w:rPr>
        <w:t>to</w:t>
      </w:r>
      <w:r>
        <w:rPr>
          <w:color w:val="231F20"/>
          <w:spacing w:val="-5"/>
        </w:rPr>
        <w:t> </w:t>
      </w:r>
      <w:r>
        <w:rPr>
          <w:color w:val="231F20"/>
        </w:rPr>
        <w:t>utilise</w:t>
      </w:r>
      <w:r>
        <w:rPr>
          <w:color w:val="231F20"/>
          <w:spacing w:val="-6"/>
        </w:rPr>
        <w:t> </w:t>
      </w:r>
      <w:r>
        <w:rPr>
          <w:color w:val="231F20"/>
          <w:spacing w:val="-1"/>
        </w:rPr>
        <w:t>Commonwealth</w:t>
      </w:r>
      <w:r>
        <w:rPr>
          <w:color w:val="231F20"/>
          <w:spacing w:val="-5"/>
        </w:rPr>
        <w:t> </w:t>
      </w:r>
      <w:r>
        <w:rPr>
          <w:color w:val="231F20"/>
        </w:rPr>
        <w:t>recurrent</w:t>
      </w:r>
      <w:r>
        <w:rPr>
          <w:color w:val="231F20"/>
          <w:spacing w:val="-6"/>
        </w:rPr>
        <w:t> </w:t>
      </w:r>
      <w:r>
        <w:rPr>
          <w:color w:val="231F20"/>
        </w:rPr>
        <w:t>‘in</w:t>
      </w:r>
      <w:r>
        <w:rPr>
          <w:color w:val="231F20"/>
          <w:spacing w:val="-4"/>
        </w:rPr>
        <w:t> </w:t>
      </w:r>
      <w:r>
        <w:rPr>
          <w:color w:val="231F20"/>
          <w:spacing w:val="-1"/>
        </w:rPr>
        <w:t>school</w:t>
      </w:r>
      <w:r>
        <w:rPr>
          <w:color w:val="231F20"/>
          <w:spacing w:val="21"/>
        </w:rPr>
        <w:t> </w:t>
      </w:r>
      <w:r>
        <w:rPr>
          <w:color w:val="231F20"/>
        </w:rPr>
        <w:t>educational’</w:t>
      </w:r>
      <w:r>
        <w:rPr>
          <w:color w:val="231F20"/>
          <w:spacing w:val="-7"/>
        </w:rPr>
        <w:t> </w:t>
      </w:r>
      <w:r>
        <w:rPr>
          <w:color w:val="231F20"/>
        </w:rPr>
        <w:t>funding</w:t>
      </w:r>
      <w:r>
        <w:rPr>
          <w:color w:val="231F20"/>
          <w:spacing w:val="-7"/>
        </w:rPr>
        <w:t> </w:t>
      </w:r>
      <w:r>
        <w:rPr>
          <w:color w:val="231F20"/>
        </w:rPr>
        <w:t>to</w:t>
      </w:r>
      <w:r>
        <w:rPr>
          <w:color w:val="231F20"/>
          <w:spacing w:val="-6"/>
        </w:rPr>
        <w:t> </w:t>
      </w:r>
      <w:r>
        <w:rPr>
          <w:color w:val="231F20"/>
        </w:rPr>
        <w:t>contribute</w:t>
      </w:r>
      <w:r>
        <w:rPr>
          <w:color w:val="231F20"/>
          <w:spacing w:val="-7"/>
        </w:rPr>
        <w:t> </w:t>
      </w:r>
      <w:r>
        <w:rPr>
          <w:color w:val="231F20"/>
        </w:rPr>
        <w:t>to</w:t>
      </w:r>
      <w:r>
        <w:rPr>
          <w:color w:val="231F20"/>
          <w:spacing w:val="-6"/>
        </w:rPr>
        <w:t> </w:t>
      </w:r>
      <w:r>
        <w:rPr>
          <w:color w:val="231F20"/>
        </w:rPr>
        <w:t>costs</w:t>
      </w:r>
      <w:r>
        <w:rPr>
          <w:color w:val="231F20"/>
        </w:rPr>
        <w:t> associated</w:t>
      </w:r>
      <w:r>
        <w:rPr>
          <w:color w:val="231F20"/>
          <w:spacing w:val="-11"/>
        </w:rPr>
        <w:t> </w:t>
      </w:r>
      <w:r>
        <w:rPr>
          <w:color w:val="231F20"/>
        </w:rPr>
        <w:t>with</w:t>
      </w:r>
      <w:r>
        <w:rPr>
          <w:color w:val="231F20"/>
          <w:spacing w:val="-11"/>
        </w:rPr>
        <w:t> </w:t>
      </w:r>
      <w:r>
        <w:rPr>
          <w:color w:val="231F20"/>
          <w:spacing w:val="-1"/>
        </w:rPr>
        <w:t>supporting</w:t>
      </w:r>
      <w:r>
        <w:rPr>
          <w:color w:val="231F20"/>
          <w:spacing w:val="-9"/>
        </w:rPr>
        <w:t> </w:t>
      </w:r>
      <w:r>
        <w:rPr>
          <w:color w:val="231F20"/>
        </w:rPr>
        <w:t>boarding</w:t>
      </w:r>
      <w:r>
        <w:rPr>
          <w:color w:val="231F20"/>
          <w:spacing w:val="-10"/>
        </w:rPr>
        <w:t> </w:t>
      </w:r>
      <w:r>
        <w:rPr>
          <w:color w:val="231F20"/>
          <w:spacing w:val="-1"/>
        </w:rPr>
        <w:t>students.</w:t>
      </w:r>
      <w:r>
        <w:rPr/>
      </w:r>
    </w:p>
    <w:p>
      <w:pPr>
        <w:pStyle w:val="BodyText"/>
        <w:spacing w:line="250" w:lineRule="exact"/>
        <w:ind w:right="438"/>
        <w:jc w:val="left"/>
      </w:pPr>
      <w:r>
        <w:rPr>
          <w:color w:val="231F20"/>
          <w:spacing w:val="-1"/>
        </w:rPr>
        <w:t>Standalone</w:t>
      </w:r>
      <w:r>
        <w:rPr>
          <w:color w:val="231F20"/>
          <w:spacing w:val="-10"/>
        </w:rPr>
        <w:t> </w:t>
      </w:r>
      <w:r>
        <w:rPr>
          <w:color w:val="231F20"/>
        </w:rPr>
        <w:t>boarding</w:t>
      </w:r>
      <w:r>
        <w:rPr>
          <w:color w:val="231F20"/>
          <w:spacing w:val="-9"/>
        </w:rPr>
        <w:t> </w:t>
      </w:r>
      <w:r>
        <w:rPr>
          <w:color w:val="231F20"/>
        </w:rPr>
        <w:t>providers</w:t>
      </w:r>
      <w:r>
        <w:rPr>
          <w:color w:val="231F20"/>
          <w:spacing w:val="-10"/>
        </w:rPr>
        <w:t> </w:t>
      </w:r>
      <w:r>
        <w:rPr>
          <w:color w:val="231F20"/>
        </w:rPr>
        <w:t>are</w:t>
      </w:r>
      <w:r>
        <w:rPr>
          <w:color w:val="231F20"/>
          <w:spacing w:val="-9"/>
        </w:rPr>
        <w:t> </w:t>
      </w:r>
      <w:r>
        <w:rPr>
          <w:color w:val="231F20"/>
        </w:rPr>
        <w:t>unable</w:t>
      </w:r>
      <w:r>
        <w:rPr>
          <w:color w:val="231F20"/>
          <w:spacing w:val="23"/>
          <w:w w:val="99"/>
        </w:rPr>
        <w:t> </w:t>
      </w:r>
      <w:r>
        <w:rPr>
          <w:color w:val="231F20"/>
        </w:rPr>
        <w:t>to</w:t>
      </w:r>
      <w:r>
        <w:rPr>
          <w:color w:val="231F20"/>
          <w:spacing w:val="-4"/>
        </w:rPr>
        <w:t> </w:t>
      </w:r>
      <w:r>
        <w:rPr>
          <w:color w:val="231F20"/>
        </w:rPr>
        <w:t>access</w:t>
      </w:r>
      <w:r>
        <w:rPr>
          <w:color w:val="231F20"/>
          <w:spacing w:val="-4"/>
        </w:rPr>
        <w:t> </w:t>
      </w:r>
      <w:r>
        <w:rPr>
          <w:color w:val="231F20"/>
        </w:rPr>
        <w:t>this</w:t>
      </w:r>
      <w:r>
        <w:rPr>
          <w:color w:val="231F20"/>
          <w:spacing w:val="-4"/>
        </w:rPr>
        <w:t> </w:t>
      </w:r>
      <w:r>
        <w:rPr>
          <w:color w:val="231F20"/>
        </w:rPr>
        <w:t>funding.</w:t>
      </w:r>
      <w:r>
        <w:rPr>
          <w:color w:val="231F20"/>
          <w:spacing w:val="-3"/>
        </w:rPr>
        <w:t> </w:t>
      </w:r>
      <w:r>
        <w:rPr>
          <w:color w:val="231F20"/>
          <w:spacing w:val="-1"/>
        </w:rPr>
        <w:t>For</w:t>
      </w:r>
      <w:r>
        <w:rPr>
          <w:color w:val="231F20"/>
          <w:spacing w:val="-4"/>
        </w:rPr>
        <w:t> </w:t>
      </w:r>
      <w:r>
        <w:rPr>
          <w:color w:val="231F20"/>
          <w:spacing w:val="-1"/>
        </w:rPr>
        <w:t>instance,</w:t>
      </w:r>
      <w:r>
        <w:rPr>
          <w:color w:val="231F20"/>
          <w:spacing w:val="-3"/>
        </w:rPr>
        <w:t> </w:t>
      </w:r>
      <w:r>
        <w:rPr>
          <w:color w:val="231F20"/>
        </w:rPr>
        <w:t>the</w:t>
      </w:r>
      <w:r>
        <w:rPr>
          <w:color w:val="231F20"/>
          <w:spacing w:val="-4"/>
        </w:rPr>
        <w:t> </w:t>
      </w:r>
      <w:r>
        <w:rPr>
          <w:color w:val="231F20"/>
        </w:rPr>
        <w:t>cost</w:t>
      </w:r>
      <w:r>
        <w:rPr>
          <w:color w:val="231F20"/>
          <w:spacing w:val="23"/>
        </w:rPr>
        <w:t> </w:t>
      </w:r>
      <w:r>
        <w:rPr>
          <w:color w:val="231F20"/>
        </w:rPr>
        <w:t>of</w:t>
      </w:r>
      <w:r>
        <w:rPr>
          <w:color w:val="231F20"/>
          <w:spacing w:val="-4"/>
        </w:rPr>
        <w:t> </w:t>
      </w:r>
      <w:r>
        <w:rPr>
          <w:color w:val="231F20"/>
        </w:rPr>
        <w:t>a</w:t>
      </w:r>
      <w:r>
        <w:rPr>
          <w:color w:val="231F20"/>
          <w:spacing w:val="-3"/>
        </w:rPr>
        <w:t> </w:t>
      </w:r>
      <w:r>
        <w:rPr>
          <w:color w:val="231F20"/>
        </w:rPr>
        <w:t>counsellor</w:t>
      </w:r>
      <w:r>
        <w:rPr>
          <w:color w:val="231F20"/>
          <w:spacing w:val="-4"/>
        </w:rPr>
        <w:t> </w:t>
      </w:r>
      <w:r>
        <w:rPr>
          <w:color w:val="231F20"/>
        </w:rPr>
        <w:t>at</w:t>
      </w:r>
      <w:r>
        <w:rPr>
          <w:color w:val="231F20"/>
          <w:spacing w:val="-3"/>
        </w:rPr>
        <w:t> </w:t>
      </w:r>
      <w:r>
        <w:rPr>
          <w:color w:val="231F20"/>
        </w:rPr>
        <w:t>a</w:t>
      </w:r>
      <w:r>
        <w:rPr>
          <w:color w:val="231F20"/>
          <w:spacing w:val="-3"/>
        </w:rPr>
        <w:t> </w:t>
      </w:r>
      <w:r>
        <w:rPr>
          <w:color w:val="231F20"/>
        </w:rPr>
        <w:t>boarding</w:t>
      </w:r>
      <w:r>
        <w:rPr>
          <w:color w:val="231F20"/>
          <w:spacing w:val="-4"/>
        </w:rPr>
        <w:t> </w:t>
      </w:r>
      <w:r>
        <w:rPr>
          <w:color w:val="231F20"/>
          <w:spacing w:val="-1"/>
        </w:rPr>
        <w:t>school</w:t>
      </w:r>
      <w:r>
        <w:rPr>
          <w:color w:val="231F20"/>
          <w:spacing w:val="-3"/>
        </w:rPr>
        <w:t> </w:t>
      </w:r>
      <w:r>
        <w:rPr>
          <w:color w:val="231F20"/>
          <w:spacing w:val="-1"/>
        </w:rPr>
        <w:t>may</w:t>
      </w:r>
      <w:r>
        <w:rPr>
          <w:color w:val="231F20"/>
          <w:spacing w:val="-3"/>
        </w:rPr>
        <w:t> </w:t>
      </w:r>
      <w:r>
        <w:rPr>
          <w:color w:val="231F20"/>
        </w:rPr>
        <w:t>be</w:t>
      </w:r>
      <w:r>
        <w:rPr>
          <w:color w:val="231F20"/>
          <w:spacing w:val="23"/>
          <w:w w:val="99"/>
        </w:rPr>
        <w:t> </w:t>
      </w:r>
      <w:r>
        <w:rPr>
          <w:color w:val="231F20"/>
          <w:spacing w:val="-1"/>
        </w:rPr>
        <w:t>split</w:t>
      </w:r>
      <w:r>
        <w:rPr>
          <w:color w:val="231F20"/>
          <w:spacing w:val="-7"/>
        </w:rPr>
        <w:t> </w:t>
      </w:r>
      <w:r>
        <w:rPr>
          <w:color w:val="231F20"/>
        </w:rPr>
        <w:t>between</w:t>
      </w:r>
      <w:r>
        <w:rPr>
          <w:color w:val="231F20"/>
          <w:spacing w:val="-7"/>
        </w:rPr>
        <w:t> </w:t>
      </w:r>
      <w:r>
        <w:rPr>
          <w:color w:val="231F20"/>
        </w:rPr>
        <w:t>tuition</w:t>
      </w:r>
      <w:r>
        <w:rPr>
          <w:color w:val="231F20"/>
          <w:spacing w:val="-8"/>
        </w:rPr>
        <w:t> </w:t>
      </w:r>
      <w:r>
        <w:rPr>
          <w:color w:val="231F20"/>
        </w:rPr>
        <w:t>and</w:t>
      </w:r>
      <w:r>
        <w:rPr>
          <w:color w:val="231F20"/>
          <w:spacing w:val="-7"/>
        </w:rPr>
        <w:t> </w:t>
      </w:r>
      <w:r>
        <w:rPr>
          <w:color w:val="231F20"/>
        </w:rPr>
        <w:t>boarding,</w:t>
      </w:r>
      <w:r>
        <w:rPr>
          <w:color w:val="231F20"/>
          <w:spacing w:val="-8"/>
        </w:rPr>
        <w:t> </w:t>
      </w:r>
      <w:r>
        <w:rPr>
          <w:color w:val="231F20"/>
        </w:rPr>
        <w:t>whereas</w:t>
      </w:r>
      <w:r>
        <w:rPr/>
      </w:r>
    </w:p>
    <w:p>
      <w:pPr>
        <w:pStyle w:val="BodyText"/>
        <w:spacing w:line="250" w:lineRule="exact"/>
        <w:ind w:right="140"/>
        <w:jc w:val="left"/>
      </w:pPr>
      <w:r>
        <w:rPr>
          <w:color w:val="231F20"/>
        </w:rPr>
        <w:t>at</w:t>
      </w:r>
      <w:r>
        <w:rPr>
          <w:color w:val="231F20"/>
          <w:spacing w:val="-5"/>
        </w:rPr>
        <w:t> </w:t>
      </w:r>
      <w:r>
        <w:rPr>
          <w:color w:val="231F20"/>
        </w:rPr>
        <w:t>a</w:t>
      </w:r>
      <w:r>
        <w:rPr>
          <w:color w:val="231F20"/>
          <w:spacing w:val="-4"/>
        </w:rPr>
        <w:t> </w:t>
      </w:r>
      <w:r>
        <w:rPr>
          <w:color w:val="231F20"/>
          <w:spacing w:val="-1"/>
        </w:rPr>
        <w:t>standalone</w:t>
      </w:r>
      <w:r>
        <w:rPr>
          <w:color w:val="231F20"/>
          <w:spacing w:val="-4"/>
        </w:rPr>
        <w:t> </w:t>
      </w:r>
      <w:r>
        <w:rPr>
          <w:color w:val="231F20"/>
        </w:rPr>
        <w:t>boarding</w:t>
      </w:r>
      <w:r>
        <w:rPr>
          <w:color w:val="231F20"/>
          <w:spacing w:val="-5"/>
        </w:rPr>
        <w:t> </w:t>
      </w:r>
      <w:r>
        <w:rPr>
          <w:color w:val="231F20"/>
        </w:rPr>
        <w:t>provider</w:t>
      </w:r>
      <w:r>
        <w:rPr>
          <w:color w:val="231F20"/>
          <w:spacing w:val="-6"/>
        </w:rPr>
        <w:t> </w:t>
      </w:r>
      <w:r>
        <w:rPr>
          <w:color w:val="231F20"/>
        </w:rPr>
        <w:t>the</w:t>
      </w:r>
      <w:r>
        <w:rPr>
          <w:color w:val="231F20"/>
          <w:spacing w:val="-5"/>
        </w:rPr>
        <w:t> </w:t>
      </w:r>
      <w:r>
        <w:rPr>
          <w:color w:val="231F20"/>
        </w:rPr>
        <w:t>cost</w:t>
      </w:r>
      <w:r>
        <w:rPr>
          <w:color w:val="231F20"/>
          <w:spacing w:val="-5"/>
        </w:rPr>
        <w:t> </w:t>
      </w:r>
      <w:r>
        <w:rPr>
          <w:color w:val="231F20"/>
          <w:spacing w:val="-1"/>
        </w:rPr>
        <w:t>is</w:t>
      </w:r>
      <w:r>
        <w:rPr>
          <w:color w:val="231F20"/>
          <w:spacing w:val="21"/>
        </w:rPr>
        <w:t> </w:t>
      </w:r>
      <w:r>
        <w:rPr>
          <w:color w:val="231F20"/>
        </w:rPr>
        <w:t>entirely</w:t>
      </w:r>
      <w:r>
        <w:rPr>
          <w:color w:val="231F20"/>
          <w:spacing w:val="-8"/>
        </w:rPr>
        <w:t> </w:t>
      </w:r>
      <w:r>
        <w:rPr>
          <w:color w:val="231F20"/>
        </w:rPr>
        <w:t>a</w:t>
      </w:r>
      <w:r>
        <w:rPr>
          <w:color w:val="231F20"/>
          <w:spacing w:val="-7"/>
        </w:rPr>
        <w:t> </w:t>
      </w:r>
      <w:r>
        <w:rPr>
          <w:color w:val="231F20"/>
        </w:rPr>
        <w:t>boarding</w:t>
      </w:r>
      <w:r>
        <w:rPr>
          <w:color w:val="231F20"/>
          <w:spacing w:val="-7"/>
        </w:rPr>
        <w:t> </w:t>
      </w:r>
      <w:r>
        <w:rPr>
          <w:color w:val="231F20"/>
        </w:rPr>
        <w:t>cost.</w:t>
      </w:r>
      <w:r>
        <w:rPr/>
      </w:r>
    </w:p>
    <w:p>
      <w:pPr>
        <w:pStyle w:val="BodyText"/>
        <w:spacing w:line="250" w:lineRule="exact" w:before="113"/>
        <w:ind w:right="106"/>
        <w:jc w:val="left"/>
      </w:pPr>
      <w:r>
        <w:rPr>
          <w:color w:val="231F20"/>
        </w:rPr>
        <w:t>Grant</w:t>
      </w:r>
      <w:r>
        <w:rPr>
          <w:color w:val="231F20"/>
          <w:spacing w:val="-6"/>
        </w:rPr>
        <w:t> </w:t>
      </w:r>
      <w:r>
        <w:rPr>
          <w:color w:val="231F20"/>
        </w:rPr>
        <w:t>Thornton</w:t>
      </w:r>
      <w:r>
        <w:rPr>
          <w:color w:val="231F20"/>
          <w:spacing w:val="-7"/>
        </w:rPr>
        <w:t> </w:t>
      </w:r>
      <w:r>
        <w:rPr>
          <w:color w:val="231F20"/>
        </w:rPr>
        <w:t>also</w:t>
      </w:r>
      <w:r>
        <w:rPr>
          <w:color w:val="231F20"/>
          <w:spacing w:val="-7"/>
        </w:rPr>
        <w:t> </w:t>
      </w:r>
      <w:r>
        <w:rPr>
          <w:color w:val="231F20"/>
        </w:rPr>
        <w:t>found</w:t>
      </w:r>
      <w:r>
        <w:rPr>
          <w:color w:val="231F20"/>
          <w:spacing w:val="-5"/>
        </w:rPr>
        <w:t> </w:t>
      </w:r>
      <w:r>
        <w:rPr>
          <w:color w:val="231F20"/>
        </w:rPr>
        <w:t>a</w:t>
      </w:r>
      <w:r>
        <w:rPr>
          <w:color w:val="231F20"/>
          <w:spacing w:val="-6"/>
        </w:rPr>
        <w:t> </w:t>
      </w:r>
      <w:r>
        <w:rPr>
          <w:color w:val="231F20"/>
          <w:spacing w:val="-1"/>
        </w:rPr>
        <w:t>strong</w:t>
      </w:r>
      <w:r>
        <w:rPr>
          <w:color w:val="231F20"/>
          <w:spacing w:val="-6"/>
        </w:rPr>
        <w:t> </w:t>
      </w:r>
      <w:r>
        <w:rPr>
          <w:color w:val="231F20"/>
        </w:rPr>
        <w:t>correlation</w:t>
      </w:r>
      <w:r>
        <w:rPr>
          <w:color w:val="231F20"/>
          <w:spacing w:val="21"/>
          <w:w w:val="99"/>
        </w:rPr>
        <w:t> </w:t>
      </w:r>
      <w:r>
        <w:rPr>
          <w:color w:val="231F20"/>
        </w:rPr>
        <w:t>between</w:t>
      </w:r>
      <w:r>
        <w:rPr>
          <w:color w:val="231F20"/>
          <w:spacing w:val="-9"/>
        </w:rPr>
        <w:t> </w:t>
      </w:r>
      <w:r>
        <w:rPr>
          <w:color w:val="231F20"/>
        </w:rPr>
        <w:t>the</w:t>
      </w:r>
      <w:r>
        <w:rPr>
          <w:color w:val="231F20"/>
          <w:spacing w:val="-9"/>
        </w:rPr>
        <w:t> </w:t>
      </w:r>
      <w:r>
        <w:rPr>
          <w:color w:val="231F20"/>
        </w:rPr>
        <w:t>operational</w:t>
      </w:r>
      <w:r>
        <w:rPr>
          <w:color w:val="231F20"/>
          <w:spacing w:val="-9"/>
        </w:rPr>
        <w:t> </w:t>
      </w:r>
      <w:r>
        <w:rPr>
          <w:color w:val="231F20"/>
          <w:spacing w:val="-1"/>
        </w:rPr>
        <w:t>performance</w:t>
      </w:r>
      <w:r>
        <w:rPr>
          <w:color w:val="231F20"/>
          <w:spacing w:val="-8"/>
        </w:rPr>
        <w:t> </w:t>
      </w:r>
      <w:r>
        <w:rPr>
          <w:color w:val="231F20"/>
        </w:rPr>
        <w:t>of</w:t>
      </w:r>
      <w:r>
        <w:rPr>
          <w:color w:val="231F20"/>
          <w:spacing w:val="-9"/>
        </w:rPr>
        <w:t> </w:t>
      </w:r>
      <w:r>
        <w:rPr>
          <w:color w:val="231F20"/>
          <w:spacing w:val="-1"/>
        </w:rPr>
        <w:t>school</w:t>
      </w:r>
      <w:r>
        <w:rPr>
          <w:color w:val="231F20"/>
          <w:spacing w:val="20"/>
        </w:rPr>
        <w:t> </w:t>
      </w:r>
      <w:r>
        <w:rPr>
          <w:color w:val="231F20"/>
        </w:rPr>
        <w:t>and</w:t>
      </w:r>
      <w:r>
        <w:rPr>
          <w:color w:val="231F20"/>
          <w:spacing w:val="-7"/>
        </w:rPr>
        <w:t> </w:t>
      </w:r>
      <w:r>
        <w:rPr>
          <w:color w:val="231F20"/>
        </w:rPr>
        <w:t>boarding</w:t>
      </w:r>
      <w:r>
        <w:rPr>
          <w:color w:val="231F20"/>
          <w:spacing w:val="-6"/>
        </w:rPr>
        <w:t> </w:t>
      </w:r>
      <w:r>
        <w:rPr>
          <w:color w:val="231F20"/>
        </w:rPr>
        <w:t>operations</w:t>
      </w:r>
      <w:r>
        <w:rPr>
          <w:color w:val="231F20"/>
          <w:spacing w:val="-6"/>
        </w:rPr>
        <w:t> </w:t>
      </w:r>
      <w:r>
        <w:rPr>
          <w:color w:val="231F20"/>
        </w:rPr>
        <w:t>at</w:t>
      </w:r>
      <w:r>
        <w:rPr>
          <w:color w:val="231F20"/>
          <w:spacing w:val="-5"/>
        </w:rPr>
        <w:t> </w:t>
      </w:r>
      <w:r>
        <w:rPr>
          <w:color w:val="231F20"/>
        </w:rPr>
        <w:t>boarding</w:t>
      </w:r>
      <w:r>
        <w:rPr>
          <w:color w:val="231F20"/>
          <w:spacing w:val="-6"/>
        </w:rPr>
        <w:t> </w:t>
      </w:r>
      <w:r>
        <w:rPr>
          <w:color w:val="231F20"/>
          <w:spacing w:val="-1"/>
        </w:rPr>
        <w:t>schools.</w:t>
      </w:r>
      <w:r>
        <w:rPr>
          <w:color w:val="231F20"/>
          <w:spacing w:val="-6"/>
        </w:rPr>
        <w:t> </w:t>
      </w:r>
      <w:r>
        <w:rPr>
          <w:color w:val="231F20"/>
          <w:spacing w:val="-6"/>
        </w:rPr>
      </w:r>
      <w:r>
        <w:rPr>
          <w:color w:val="231F20"/>
          <w:spacing w:val="-1"/>
        </w:rPr>
        <w:t>If</w:t>
      </w:r>
      <w:r>
        <w:rPr>
          <w:color w:val="231F20"/>
          <w:spacing w:val="22"/>
        </w:rPr>
        <w:t> </w:t>
      </w:r>
      <w:r>
        <w:rPr>
          <w:color w:val="231F20"/>
        </w:rPr>
        <w:t>the</w:t>
      </w:r>
      <w:r>
        <w:rPr>
          <w:color w:val="231F20"/>
          <w:spacing w:val="-5"/>
        </w:rPr>
        <w:t> </w:t>
      </w:r>
      <w:r>
        <w:rPr>
          <w:color w:val="231F20"/>
          <w:spacing w:val="-1"/>
        </w:rPr>
        <w:t>school</w:t>
      </w:r>
      <w:r>
        <w:rPr>
          <w:color w:val="231F20"/>
          <w:spacing w:val="-4"/>
        </w:rPr>
        <w:t> </w:t>
      </w:r>
      <w:r>
        <w:rPr>
          <w:color w:val="231F20"/>
        </w:rPr>
        <w:t>was</w:t>
      </w:r>
      <w:r>
        <w:rPr>
          <w:color w:val="231F20"/>
          <w:spacing w:val="-5"/>
        </w:rPr>
        <w:t> </w:t>
      </w:r>
      <w:r>
        <w:rPr>
          <w:color w:val="231F20"/>
        </w:rPr>
        <w:t>performing</w:t>
      </w:r>
      <w:r>
        <w:rPr>
          <w:color w:val="231F20"/>
          <w:spacing w:val="-4"/>
        </w:rPr>
        <w:t> </w:t>
      </w:r>
      <w:r>
        <w:rPr>
          <w:color w:val="231F20"/>
        </w:rPr>
        <w:t>well,</w:t>
      </w:r>
      <w:r>
        <w:rPr>
          <w:color w:val="231F20"/>
          <w:spacing w:val="-5"/>
        </w:rPr>
        <w:t> </w:t>
      </w:r>
      <w:r>
        <w:rPr>
          <w:color w:val="231F20"/>
          <w:spacing w:val="-1"/>
        </w:rPr>
        <w:t>so</w:t>
      </w:r>
      <w:r>
        <w:rPr>
          <w:color w:val="231F20"/>
          <w:spacing w:val="-4"/>
        </w:rPr>
        <w:t> </w:t>
      </w:r>
      <w:r>
        <w:rPr>
          <w:color w:val="231F20"/>
        </w:rPr>
        <w:t>was</w:t>
      </w:r>
      <w:r>
        <w:rPr>
          <w:color w:val="231F20"/>
          <w:spacing w:val="-5"/>
        </w:rPr>
        <w:t> </w:t>
      </w:r>
      <w:r>
        <w:rPr>
          <w:color w:val="231F20"/>
        </w:rPr>
        <w:t>the</w:t>
      </w:r>
      <w:r>
        <w:rPr>
          <w:color w:val="231F20"/>
          <w:spacing w:val="23"/>
          <w:w w:val="99"/>
        </w:rPr>
        <w:t> </w:t>
      </w:r>
      <w:r>
        <w:rPr>
          <w:color w:val="231F20"/>
        </w:rPr>
        <w:t>boarding</w:t>
      </w:r>
      <w:r>
        <w:rPr>
          <w:color w:val="231F20"/>
          <w:spacing w:val="-8"/>
        </w:rPr>
        <w:t> </w:t>
      </w:r>
      <w:r>
        <w:rPr>
          <w:color w:val="231F20"/>
        </w:rPr>
        <w:t>residence,</w:t>
      </w:r>
      <w:r>
        <w:rPr>
          <w:color w:val="231F20"/>
          <w:spacing w:val="-8"/>
        </w:rPr>
        <w:t> </w:t>
      </w:r>
      <w:r>
        <w:rPr>
          <w:color w:val="231F20"/>
        </w:rPr>
        <w:t>and</w:t>
      </w:r>
      <w:r>
        <w:rPr>
          <w:color w:val="231F20"/>
          <w:spacing w:val="-7"/>
        </w:rPr>
        <w:t> </w:t>
      </w:r>
      <w:r>
        <w:rPr>
          <w:color w:val="231F20"/>
        </w:rPr>
        <w:t>vice</w:t>
      </w:r>
      <w:r>
        <w:rPr>
          <w:color w:val="231F20"/>
          <w:spacing w:val="-7"/>
        </w:rPr>
        <w:t> </w:t>
      </w:r>
      <w:r>
        <w:rPr>
          <w:color w:val="231F20"/>
        </w:rPr>
        <w:t>versa.</w:t>
      </w:r>
      <w:r>
        <w:rPr/>
      </w:r>
    </w:p>
    <w:p>
      <w:pPr>
        <w:pStyle w:val="BodyText"/>
        <w:spacing w:line="250" w:lineRule="exact" w:before="113"/>
        <w:ind w:right="224"/>
        <w:jc w:val="left"/>
      </w:pPr>
      <w:r>
        <w:rPr>
          <w:color w:val="231F20"/>
          <w:spacing w:val="-1"/>
        </w:rPr>
        <w:t>Five</w:t>
      </w:r>
      <w:r>
        <w:rPr>
          <w:color w:val="231F20"/>
          <w:spacing w:val="-4"/>
        </w:rPr>
        <w:t> </w:t>
      </w:r>
      <w:r>
        <w:rPr>
          <w:color w:val="231F20"/>
        </w:rPr>
        <w:t>of</w:t>
      </w:r>
      <w:r>
        <w:rPr>
          <w:color w:val="231F20"/>
          <w:spacing w:val="-4"/>
        </w:rPr>
        <w:t> </w:t>
      </w:r>
      <w:r>
        <w:rPr>
          <w:color w:val="231F20"/>
        </w:rPr>
        <w:t>the</w:t>
      </w:r>
      <w:r>
        <w:rPr>
          <w:color w:val="231F20"/>
          <w:spacing w:val="-5"/>
        </w:rPr>
        <w:t> </w:t>
      </w:r>
      <w:r>
        <w:rPr>
          <w:color w:val="231F20"/>
        </w:rPr>
        <w:t>Aboriginal</w:t>
      </w:r>
      <w:r>
        <w:rPr>
          <w:color w:val="231F20"/>
          <w:spacing w:val="-4"/>
        </w:rPr>
        <w:t> </w:t>
      </w:r>
      <w:r>
        <w:rPr>
          <w:color w:val="231F20"/>
        </w:rPr>
        <w:t>and</w:t>
      </w:r>
      <w:r>
        <w:rPr>
          <w:color w:val="231F20"/>
          <w:spacing w:val="-5"/>
        </w:rPr>
        <w:t> Torres</w:t>
      </w:r>
      <w:r>
        <w:rPr>
          <w:color w:val="231F20"/>
          <w:spacing w:val="-4"/>
        </w:rPr>
        <w:t> </w:t>
      </w:r>
      <w:r>
        <w:rPr>
          <w:color w:val="231F20"/>
          <w:spacing w:val="-1"/>
        </w:rPr>
        <w:t>Islander</w:t>
      </w:r>
      <w:r>
        <w:rPr>
          <w:color w:val="231F20"/>
          <w:spacing w:val="25"/>
          <w:w w:val="99"/>
        </w:rPr>
        <w:t> </w:t>
      </w:r>
      <w:r>
        <w:rPr>
          <w:color w:val="231F20"/>
        </w:rPr>
        <w:t>boarding</w:t>
      </w:r>
      <w:r>
        <w:rPr>
          <w:color w:val="231F20"/>
          <w:spacing w:val="-6"/>
        </w:rPr>
        <w:t> </w:t>
      </w:r>
      <w:r>
        <w:rPr>
          <w:color w:val="231F20"/>
        </w:rPr>
        <w:t>providers</w:t>
      </w:r>
      <w:r>
        <w:rPr>
          <w:color w:val="231F20"/>
          <w:spacing w:val="-6"/>
        </w:rPr>
        <w:t> </w:t>
      </w:r>
      <w:r>
        <w:rPr>
          <w:color w:val="231F20"/>
          <w:spacing w:val="-1"/>
        </w:rPr>
        <w:t>included</w:t>
      </w:r>
      <w:r>
        <w:rPr>
          <w:color w:val="231F20"/>
          <w:spacing w:val="-5"/>
        </w:rPr>
        <w:t> </w:t>
      </w:r>
      <w:r>
        <w:rPr>
          <w:color w:val="231F20"/>
          <w:spacing w:val="-1"/>
        </w:rPr>
        <w:t>in</w:t>
      </w:r>
      <w:r>
        <w:rPr>
          <w:color w:val="231F20"/>
          <w:spacing w:val="-5"/>
        </w:rPr>
        <w:t> </w:t>
      </w:r>
      <w:r>
        <w:rPr>
          <w:color w:val="231F20"/>
        </w:rPr>
        <w:t>the</w:t>
      </w:r>
      <w:r>
        <w:rPr>
          <w:color w:val="231F20"/>
          <w:spacing w:val="-6"/>
        </w:rPr>
        <w:t> </w:t>
      </w:r>
      <w:r>
        <w:rPr>
          <w:color w:val="231F20"/>
        </w:rPr>
        <w:t>analysis</w:t>
      </w:r>
      <w:r>
        <w:rPr>
          <w:color w:val="231F20"/>
          <w:spacing w:val="-6"/>
        </w:rPr>
        <w:t> </w:t>
      </w:r>
      <w:r>
        <w:rPr>
          <w:color w:val="231F20"/>
        </w:rPr>
        <w:t>for</w:t>
      </w:r>
      <w:r>
        <w:rPr>
          <w:color w:val="231F20"/>
          <w:spacing w:val="23"/>
          <w:w w:val="99"/>
        </w:rPr>
        <w:t> </w:t>
      </w:r>
      <w:r>
        <w:rPr>
          <w:color w:val="231F20"/>
        </w:rPr>
        <w:t>this</w:t>
      </w:r>
      <w:r>
        <w:rPr>
          <w:color w:val="231F20"/>
          <w:spacing w:val="-6"/>
        </w:rPr>
        <w:t> </w:t>
      </w:r>
      <w:r>
        <w:rPr>
          <w:color w:val="231F20"/>
        </w:rPr>
        <w:t>report</w:t>
      </w:r>
      <w:r>
        <w:rPr>
          <w:color w:val="231F20"/>
          <w:spacing w:val="-6"/>
        </w:rPr>
        <w:t> </w:t>
      </w:r>
      <w:r>
        <w:rPr>
          <w:color w:val="231F20"/>
        </w:rPr>
        <w:t>are</w:t>
      </w:r>
      <w:r>
        <w:rPr>
          <w:color w:val="231F20"/>
          <w:spacing w:val="-6"/>
        </w:rPr>
        <w:t> </w:t>
      </w:r>
      <w:r>
        <w:rPr>
          <w:color w:val="231F20"/>
          <w:spacing w:val="-1"/>
        </w:rPr>
        <w:t>standalone.</w:t>
      </w:r>
      <w:r>
        <w:rPr>
          <w:color w:val="231F20"/>
          <w:spacing w:val="-4"/>
        </w:rPr>
        <w:t> </w:t>
      </w:r>
      <w:r>
        <w:rPr>
          <w:color w:val="231F20"/>
        </w:rPr>
        <w:t>The</w:t>
      </w:r>
      <w:r>
        <w:rPr>
          <w:color w:val="231F20"/>
          <w:spacing w:val="-4"/>
        </w:rPr>
        <w:t> </w:t>
      </w:r>
      <w:r>
        <w:rPr>
          <w:color w:val="231F20"/>
        </w:rPr>
        <w:t>average</w:t>
      </w:r>
      <w:r>
        <w:rPr>
          <w:color w:val="231F20"/>
          <w:spacing w:val="-6"/>
        </w:rPr>
        <w:t> </w:t>
      </w:r>
      <w:r>
        <w:rPr>
          <w:color w:val="231F20"/>
        </w:rPr>
        <w:t>cost</w:t>
      </w:r>
      <w:r>
        <w:rPr>
          <w:color w:val="231F20"/>
          <w:spacing w:val="22"/>
        </w:rPr>
        <w:t> </w:t>
      </w:r>
      <w:r>
        <w:rPr>
          <w:rFonts w:ascii="Segoe UI"/>
          <w:color w:val="231F20"/>
        </w:rPr>
        <w:t>per boarder in 2017 at the five standalone</w:t>
      </w:r>
      <w:r>
        <w:rPr>
          <w:rFonts w:ascii="Segoe UI"/>
          <w:color w:val="231F20"/>
        </w:rPr>
        <w:t> </w:t>
      </w:r>
      <w:r>
        <w:rPr>
          <w:color w:val="231F20"/>
        </w:rPr>
        <w:t>providers</w:t>
      </w:r>
      <w:r>
        <w:rPr>
          <w:color w:val="231F20"/>
          <w:spacing w:val="-7"/>
        </w:rPr>
        <w:t> </w:t>
      </w:r>
      <w:r>
        <w:rPr>
          <w:color w:val="231F20"/>
        </w:rPr>
        <w:t>all</w:t>
      </w:r>
      <w:r>
        <w:rPr>
          <w:color w:val="231F20"/>
          <w:spacing w:val="-7"/>
        </w:rPr>
        <w:t> </w:t>
      </w:r>
      <w:r>
        <w:rPr>
          <w:color w:val="231F20"/>
        </w:rPr>
        <w:t>exceeded</w:t>
      </w:r>
      <w:r>
        <w:rPr>
          <w:color w:val="231F20"/>
          <w:spacing w:val="-7"/>
        </w:rPr>
        <w:t> </w:t>
      </w:r>
      <w:r>
        <w:rPr>
          <w:color w:val="231F20"/>
        </w:rPr>
        <w:t>the</w:t>
      </w:r>
      <w:r>
        <w:rPr>
          <w:color w:val="231F20"/>
          <w:spacing w:val="-7"/>
        </w:rPr>
        <w:t> </w:t>
      </w:r>
      <w:r>
        <w:rPr>
          <w:color w:val="231F20"/>
        </w:rPr>
        <w:t>three</w:t>
      </w:r>
      <w:r>
        <w:rPr>
          <w:color w:val="231F20"/>
          <w:spacing w:val="-6"/>
        </w:rPr>
        <w:t> </w:t>
      </w:r>
      <w:r>
        <w:rPr>
          <w:color w:val="231F20"/>
        </w:rPr>
        <w:t>year</w:t>
      </w:r>
      <w:r>
        <w:rPr>
          <w:color w:val="231F20"/>
          <w:spacing w:val="-6"/>
        </w:rPr>
        <w:t> </w:t>
      </w:r>
      <w:r>
        <w:rPr>
          <w:color w:val="231F20"/>
        </w:rPr>
        <w:t>average</w:t>
      </w:r>
      <w:r>
        <w:rPr>
          <w:color w:val="231F20"/>
          <w:w w:val="99"/>
        </w:rPr>
        <w:t> </w:t>
      </w:r>
      <w:r>
        <w:rPr>
          <w:color w:val="231F20"/>
        </w:rPr>
        <w:t>annual</w:t>
      </w:r>
      <w:r>
        <w:rPr>
          <w:color w:val="231F20"/>
          <w:spacing w:val="-6"/>
        </w:rPr>
        <w:t> </w:t>
      </w:r>
      <w:r>
        <w:rPr>
          <w:color w:val="231F20"/>
        </w:rPr>
        <w:t>cost</w:t>
      </w:r>
      <w:r>
        <w:rPr>
          <w:color w:val="231F20"/>
          <w:spacing w:val="-5"/>
        </w:rPr>
        <w:t> </w:t>
      </w:r>
      <w:r>
        <w:rPr>
          <w:color w:val="231F20"/>
        </w:rPr>
        <w:t>per</w:t>
      </w:r>
      <w:r>
        <w:rPr>
          <w:color w:val="231F20"/>
          <w:spacing w:val="-5"/>
        </w:rPr>
        <w:t> </w:t>
      </w:r>
      <w:r>
        <w:rPr>
          <w:color w:val="231F20"/>
        </w:rPr>
        <w:t>boarder</w:t>
      </w:r>
      <w:r>
        <w:rPr>
          <w:color w:val="231F20"/>
          <w:spacing w:val="-4"/>
        </w:rPr>
        <w:t> </w:t>
      </w:r>
      <w:r>
        <w:rPr>
          <w:color w:val="231F20"/>
        </w:rPr>
        <w:t>at</w:t>
      </w:r>
      <w:r>
        <w:rPr>
          <w:color w:val="231F20"/>
          <w:spacing w:val="-5"/>
        </w:rPr>
        <w:t> </w:t>
      </w:r>
      <w:r>
        <w:rPr>
          <w:color w:val="231F20"/>
        </w:rPr>
        <w:t>all</w:t>
      </w:r>
      <w:r>
        <w:rPr>
          <w:color w:val="231F20"/>
          <w:spacing w:val="-5"/>
        </w:rPr>
        <w:t> </w:t>
      </w:r>
      <w:r>
        <w:rPr>
          <w:color w:val="231F20"/>
        </w:rPr>
        <w:t>Aboriginal</w:t>
      </w:r>
      <w:r>
        <w:rPr/>
      </w:r>
    </w:p>
    <w:p>
      <w:pPr>
        <w:pStyle w:val="BodyText"/>
        <w:spacing w:line="250" w:lineRule="exact"/>
        <w:ind w:right="116"/>
        <w:jc w:val="left"/>
      </w:pP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7"/>
        </w:rPr>
        <w:t> </w:t>
      </w:r>
      <w:r>
        <w:rPr>
          <w:color w:val="231F20"/>
        </w:rPr>
        <w:t>providers</w:t>
      </w:r>
      <w:r>
        <w:rPr>
          <w:color w:val="231F20"/>
          <w:spacing w:val="21"/>
          <w:w w:val="99"/>
        </w:rPr>
        <w:t> </w:t>
      </w:r>
      <w:r>
        <w:rPr>
          <w:color w:val="231F20"/>
        </w:rPr>
        <w:t>($22,927).</w:t>
      </w:r>
      <w:r>
        <w:rPr>
          <w:color w:val="231F20"/>
          <w:spacing w:val="-7"/>
        </w:rPr>
        <w:t> </w:t>
      </w:r>
      <w:r>
        <w:rPr>
          <w:color w:val="231F20"/>
        </w:rPr>
        <w:t>The</w:t>
      </w:r>
      <w:r>
        <w:rPr>
          <w:color w:val="231F20"/>
          <w:spacing w:val="-5"/>
        </w:rPr>
        <w:t> </w:t>
      </w:r>
      <w:r>
        <w:rPr>
          <w:color w:val="231F20"/>
        </w:rPr>
        <w:t>average</w:t>
      </w:r>
      <w:r>
        <w:rPr>
          <w:color w:val="231F20"/>
          <w:spacing w:val="-6"/>
        </w:rPr>
        <w:t> </w:t>
      </w:r>
      <w:r>
        <w:rPr>
          <w:color w:val="231F20"/>
        </w:rPr>
        <w:t>cost</w:t>
      </w:r>
      <w:r>
        <w:rPr>
          <w:color w:val="231F20"/>
          <w:spacing w:val="-7"/>
        </w:rPr>
        <w:t> </w:t>
      </w:r>
      <w:r>
        <w:rPr>
          <w:color w:val="231F20"/>
        </w:rPr>
        <w:t>at</w:t>
      </w:r>
      <w:r>
        <w:rPr>
          <w:color w:val="231F20"/>
          <w:spacing w:val="-5"/>
        </w:rPr>
        <w:t> </w:t>
      </w:r>
      <w:r>
        <w:rPr>
          <w:color w:val="231F20"/>
        </w:rPr>
        <w:t>one</w:t>
      </w:r>
      <w:r>
        <w:rPr>
          <w:color w:val="231F20"/>
          <w:spacing w:val="-5"/>
        </w:rPr>
        <w:t> </w:t>
      </w:r>
      <w:r>
        <w:rPr>
          <w:color w:val="231F20"/>
        </w:rPr>
        <w:t>boarding</w:t>
      </w:r>
      <w:r>
        <w:rPr>
          <w:color w:val="231F20"/>
          <w:w w:val="99"/>
        </w:rPr>
        <w:t> </w:t>
      </w:r>
      <w:r>
        <w:rPr>
          <w:color w:val="231F20"/>
        </w:rPr>
        <w:t>provider</w:t>
      </w:r>
      <w:r>
        <w:rPr>
          <w:color w:val="231F20"/>
          <w:spacing w:val="-6"/>
        </w:rPr>
        <w:t> </w:t>
      </w:r>
      <w:r>
        <w:rPr>
          <w:color w:val="231F20"/>
          <w:spacing w:val="-1"/>
        </w:rPr>
        <w:t>in</w:t>
      </w:r>
      <w:r>
        <w:rPr>
          <w:color w:val="231F20"/>
          <w:spacing w:val="-4"/>
        </w:rPr>
        <w:t> </w:t>
      </w:r>
      <w:r>
        <w:rPr>
          <w:color w:val="231F20"/>
          <w:spacing w:val="-1"/>
        </w:rPr>
        <w:t>2017</w:t>
      </w:r>
      <w:r>
        <w:rPr>
          <w:color w:val="231F20"/>
          <w:spacing w:val="-4"/>
        </w:rPr>
        <w:t> </w:t>
      </w:r>
      <w:r>
        <w:rPr>
          <w:color w:val="231F20"/>
        </w:rPr>
        <w:t>though</w:t>
      </w:r>
      <w:r>
        <w:rPr>
          <w:color w:val="231F20"/>
          <w:spacing w:val="-5"/>
        </w:rPr>
        <w:t> </w:t>
      </w:r>
      <w:r>
        <w:rPr>
          <w:color w:val="231F20"/>
        </w:rPr>
        <w:t>was</w:t>
      </w:r>
      <w:r>
        <w:rPr>
          <w:color w:val="231F20"/>
          <w:spacing w:val="-5"/>
        </w:rPr>
        <w:t> </w:t>
      </w:r>
      <w:r>
        <w:rPr>
          <w:color w:val="231F20"/>
          <w:spacing w:val="-1"/>
        </w:rPr>
        <w:t>lower</w:t>
      </w:r>
      <w:r>
        <w:rPr>
          <w:color w:val="231F20"/>
          <w:spacing w:val="-4"/>
        </w:rPr>
        <w:t> </w:t>
      </w:r>
      <w:r>
        <w:rPr>
          <w:color w:val="231F20"/>
        </w:rPr>
        <w:t>than</w:t>
      </w:r>
      <w:r>
        <w:rPr>
          <w:color w:val="231F20"/>
          <w:spacing w:val="-5"/>
        </w:rPr>
        <w:t> </w:t>
      </w:r>
      <w:r>
        <w:rPr>
          <w:color w:val="231F20"/>
        </w:rPr>
        <w:t>the</w:t>
      </w:r>
      <w:r>
        <w:rPr>
          <w:color w:val="231F20"/>
          <w:spacing w:val="24"/>
          <w:w w:val="99"/>
        </w:rPr>
        <w:t> </w:t>
      </w:r>
      <w:r>
        <w:rPr>
          <w:color w:val="231F20"/>
          <w:spacing w:val="-1"/>
        </w:rPr>
        <w:t>2017</w:t>
      </w:r>
      <w:r>
        <w:rPr>
          <w:color w:val="231F20"/>
          <w:spacing w:val="-4"/>
        </w:rPr>
        <w:t> </w:t>
      </w:r>
      <w:r>
        <w:rPr>
          <w:color w:val="231F20"/>
          <w:spacing w:val="-1"/>
        </w:rPr>
        <w:t>median</w:t>
      </w:r>
      <w:r>
        <w:rPr>
          <w:color w:val="231F20"/>
          <w:spacing w:val="-3"/>
        </w:rPr>
        <w:t> </w:t>
      </w:r>
      <w:r>
        <w:rPr>
          <w:color w:val="231F20"/>
        </w:rPr>
        <w:t>average</w:t>
      </w:r>
      <w:r>
        <w:rPr>
          <w:color w:val="231F20"/>
          <w:spacing w:val="-4"/>
        </w:rPr>
        <w:t> </w:t>
      </w:r>
      <w:r>
        <w:rPr>
          <w:color w:val="231F20"/>
        </w:rPr>
        <w:t>cost</w:t>
      </w:r>
      <w:r>
        <w:rPr>
          <w:color w:val="231F20"/>
          <w:spacing w:val="-4"/>
        </w:rPr>
        <w:t> </w:t>
      </w:r>
      <w:r>
        <w:rPr>
          <w:color w:val="231F20"/>
        </w:rPr>
        <w:t>of</w:t>
      </w:r>
      <w:r>
        <w:rPr>
          <w:color w:val="231F20"/>
          <w:spacing w:val="-4"/>
        </w:rPr>
        <w:t> </w:t>
      </w:r>
      <w:r>
        <w:rPr>
          <w:color w:val="231F20"/>
          <w:spacing w:val="-1"/>
        </w:rPr>
        <w:t>$25,012.</w:t>
      </w:r>
      <w:r>
        <w:rPr>
          <w:color w:val="231F20"/>
          <w:spacing w:val="-3"/>
        </w:rPr>
        <w:t> </w:t>
      </w:r>
      <w:r>
        <w:rPr>
          <w:color w:val="231F20"/>
        </w:rPr>
        <w:t>The</w:t>
      </w:r>
      <w:r>
        <w:rPr>
          <w:color w:val="231F20"/>
          <w:spacing w:val="24"/>
          <w:w w:val="99"/>
        </w:rPr>
        <w:t> </w:t>
      </w:r>
      <w:r>
        <w:rPr>
          <w:color w:val="231F20"/>
        </w:rPr>
        <w:t>average</w:t>
      </w:r>
      <w:r>
        <w:rPr>
          <w:color w:val="231F20"/>
          <w:spacing w:val="-5"/>
        </w:rPr>
        <w:t> </w:t>
      </w:r>
      <w:r>
        <w:rPr>
          <w:color w:val="231F20"/>
        </w:rPr>
        <w:t>cost</w:t>
      </w:r>
      <w:r>
        <w:rPr>
          <w:color w:val="231F20"/>
          <w:spacing w:val="-4"/>
        </w:rPr>
        <w:t> </w:t>
      </w:r>
      <w:r>
        <w:rPr>
          <w:color w:val="231F20"/>
        </w:rPr>
        <w:t>per</w:t>
      </w:r>
      <w:r>
        <w:rPr>
          <w:color w:val="231F20"/>
          <w:spacing w:val="-3"/>
        </w:rPr>
        <w:t> </w:t>
      </w:r>
      <w:r>
        <w:rPr>
          <w:color w:val="231F20"/>
        </w:rPr>
        <w:t>boarder</w:t>
      </w:r>
      <w:r>
        <w:rPr>
          <w:color w:val="231F20"/>
          <w:spacing w:val="-4"/>
        </w:rPr>
        <w:t> </w:t>
      </w:r>
      <w:r>
        <w:rPr>
          <w:color w:val="231F20"/>
          <w:spacing w:val="-1"/>
        </w:rPr>
        <w:t>in</w:t>
      </w:r>
      <w:r>
        <w:rPr>
          <w:color w:val="231F20"/>
          <w:spacing w:val="-3"/>
        </w:rPr>
        <w:t> </w:t>
      </w:r>
      <w:r>
        <w:rPr>
          <w:color w:val="231F20"/>
          <w:spacing w:val="-1"/>
        </w:rPr>
        <w:t>2017</w:t>
      </w:r>
      <w:r>
        <w:rPr>
          <w:color w:val="231F20"/>
          <w:spacing w:val="-3"/>
        </w:rPr>
        <w:t> </w:t>
      </w:r>
      <w:r>
        <w:rPr>
          <w:color w:val="231F20"/>
        </w:rPr>
        <w:t>at</w:t>
      </w:r>
      <w:r>
        <w:rPr>
          <w:color w:val="231F20"/>
          <w:spacing w:val="-3"/>
        </w:rPr>
        <w:t> </w:t>
      </w:r>
      <w:r>
        <w:rPr>
          <w:color w:val="231F20"/>
        </w:rPr>
        <w:t>the</w:t>
      </w:r>
      <w:r>
        <w:rPr>
          <w:color w:val="231F20"/>
          <w:spacing w:val="-5"/>
        </w:rPr>
        <w:t> </w:t>
      </w:r>
      <w:r>
        <w:rPr>
          <w:color w:val="231F20"/>
        </w:rPr>
        <w:t>other</w:t>
      </w:r>
      <w:r>
        <w:rPr>
          <w:color w:val="231F20"/>
          <w:spacing w:val="22"/>
          <w:w w:val="99"/>
        </w:rPr>
        <w:t> </w:t>
      </w:r>
      <w:r>
        <w:rPr>
          <w:rFonts w:ascii="Segoe UI"/>
          <w:color w:val="231F20"/>
        </w:rPr>
        <w:t>standalone boarding providers significantly</w:t>
      </w:r>
      <w:r>
        <w:rPr>
          <w:rFonts w:ascii="Segoe UI"/>
          <w:color w:val="231F20"/>
        </w:rPr>
        <w:t> </w:t>
      </w:r>
      <w:r>
        <w:rPr>
          <w:color w:val="231F20"/>
        </w:rPr>
        <w:t>exceeded</w:t>
      </w:r>
      <w:r>
        <w:rPr>
          <w:color w:val="231F20"/>
          <w:spacing w:val="-8"/>
        </w:rPr>
        <w:t> </w:t>
      </w:r>
      <w:r>
        <w:rPr>
          <w:color w:val="231F20"/>
        </w:rPr>
        <w:t>the</w:t>
      </w:r>
      <w:r>
        <w:rPr>
          <w:color w:val="231F20"/>
          <w:spacing w:val="-7"/>
        </w:rPr>
        <w:t> </w:t>
      </w:r>
      <w:r>
        <w:rPr>
          <w:color w:val="231F20"/>
          <w:spacing w:val="-1"/>
        </w:rPr>
        <w:t>2017</w:t>
      </w:r>
      <w:r>
        <w:rPr>
          <w:color w:val="231F20"/>
          <w:spacing w:val="-6"/>
        </w:rPr>
        <w:t> </w:t>
      </w:r>
      <w:r>
        <w:rPr>
          <w:color w:val="231F20"/>
          <w:spacing w:val="-1"/>
        </w:rPr>
        <w:t>median.</w:t>
      </w:r>
      <w:r>
        <w:rPr/>
      </w:r>
    </w:p>
    <w:p>
      <w:pPr>
        <w:spacing w:after="0" w:line="250" w:lineRule="exact"/>
        <w:jc w:val="left"/>
        <w:sectPr>
          <w:type w:val="continuous"/>
          <w:pgSz w:w="11910" w:h="16840"/>
          <w:pgMar w:top="1580" w:bottom="280" w:left="1300" w:right="1600"/>
          <w:cols w:num="2" w:equalWidth="0">
            <w:col w:w="4364" w:space="228"/>
            <w:col w:w="4418"/>
          </w:cols>
        </w:sectPr>
      </w:pPr>
    </w:p>
    <w:p>
      <w:pPr>
        <w:spacing w:line="240" w:lineRule="auto" w:before="0"/>
        <w:rPr>
          <w:rFonts w:ascii="Segoe UI" w:hAnsi="Segoe UI" w:cs="Segoe UI" w:eastAsia="Segoe UI"/>
          <w:sz w:val="20"/>
          <w:szCs w:val="20"/>
        </w:rPr>
      </w:pPr>
    </w:p>
    <w:p>
      <w:pPr>
        <w:spacing w:line="240" w:lineRule="auto" w:before="8"/>
        <w:rPr>
          <w:rFonts w:ascii="Segoe UI" w:hAnsi="Segoe UI" w:cs="Segoe UI" w:eastAsia="Segoe UI"/>
          <w:sz w:val="21"/>
          <w:szCs w:val="21"/>
        </w:rPr>
      </w:pPr>
    </w:p>
    <w:p>
      <w:pPr>
        <w:spacing w:after="0" w:line="240" w:lineRule="auto"/>
        <w:rPr>
          <w:rFonts w:ascii="Segoe UI" w:hAnsi="Segoe UI" w:cs="Segoe UI" w:eastAsia="Segoe UI"/>
          <w:sz w:val="21"/>
          <w:szCs w:val="21"/>
        </w:rPr>
        <w:sectPr>
          <w:pgSz w:w="11910" w:h="16840"/>
          <w:pgMar w:header="0" w:footer="691" w:top="1580" w:bottom="880" w:left="1600" w:right="1300"/>
        </w:sectPr>
      </w:pPr>
    </w:p>
    <w:p>
      <w:pPr>
        <w:pStyle w:val="BodyText"/>
        <w:spacing w:line="250" w:lineRule="exact" w:before="62"/>
        <w:ind w:left="100" w:right="225"/>
        <w:jc w:val="left"/>
      </w:pPr>
      <w:r>
        <w:rPr>
          <w:rFonts w:ascii="Segoe UI"/>
          <w:color w:val="231F20"/>
        </w:rPr>
        <w:t>The data justifies consideration of a loading </w:t>
      </w:r>
      <w:r>
        <w:rPr>
          <w:color w:val="231F20"/>
        </w:rPr>
        <w:t>or</w:t>
      </w:r>
      <w:r>
        <w:rPr>
          <w:color w:val="231F20"/>
          <w:spacing w:val="-8"/>
        </w:rPr>
        <w:t> </w:t>
      </w:r>
      <w:r>
        <w:rPr>
          <w:color w:val="231F20"/>
        </w:rPr>
        <w:t>additional</w:t>
      </w:r>
      <w:r>
        <w:rPr>
          <w:color w:val="231F20"/>
          <w:spacing w:val="-8"/>
        </w:rPr>
        <w:t> </w:t>
      </w:r>
      <w:r>
        <w:rPr>
          <w:color w:val="231F20"/>
        </w:rPr>
        <w:t>funding</w:t>
      </w:r>
      <w:r>
        <w:rPr>
          <w:color w:val="231F20"/>
          <w:spacing w:val="-7"/>
        </w:rPr>
        <w:t> </w:t>
      </w:r>
      <w:r>
        <w:rPr>
          <w:color w:val="231F20"/>
          <w:spacing w:val="-1"/>
        </w:rPr>
        <w:t>support</w:t>
      </w:r>
      <w:r>
        <w:rPr>
          <w:color w:val="231F20"/>
          <w:spacing w:val="-8"/>
        </w:rPr>
        <w:t> </w:t>
      </w:r>
      <w:r>
        <w:rPr>
          <w:color w:val="231F20"/>
        </w:rPr>
        <w:t>for</w:t>
      </w:r>
      <w:r>
        <w:rPr>
          <w:color w:val="231F20"/>
          <w:spacing w:val="-7"/>
        </w:rPr>
        <w:t> </w:t>
      </w:r>
      <w:r>
        <w:rPr>
          <w:color w:val="231F20"/>
          <w:spacing w:val="-1"/>
        </w:rPr>
        <w:t>standalone</w:t>
      </w:r>
      <w:r>
        <w:rPr>
          <w:color w:val="231F20"/>
          <w:spacing w:val="21"/>
          <w:w w:val="99"/>
        </w:rPr>
        <w:t> </w:t>
      </w:r>
      <w:r>
        <w:rPr>
          <w:color w:val="231F20"/>
        </w:rPr>
        <w:t>boarding</w:t>
      </w:r>
      <w:r>
        <w:rPr>
          <w:color w:val="231F20"/>
          <w:spacing w:val="-18"/>
        </w:rPr>
        <w:t> </w:t>
      </w:r>
      <w:r>
        <w:rPr>
          <w:color w:val="231F20"/>
        </w:rPr>
        <w:t>providers.</w:t>
      </w:r>
      <w:r>
        <w:rPr/>
      </w:r>
    </w:p>
    <w:p>
      <w:pPr>
        <w:spacing w:line="240" w:lineRule="auto" w:before="1"/>
        <w:rPr>
          <w:rFonts w:ascii="Segoe UI" w:hAnsi="Segoe UI" w:cs="Segoe UI" w:eastAsia="Segoe UI"/>
          <w:sz w:val="25"/>
          <w:szCs w:val="25"/>
        </w:rPr>
      </w:pPr>
    </w:p>
    <w:p>
      <w:pPr>
        <w:pStyle w:val="Heading2"/>
        <w:spacing w:line="360" w:lineRule="exact" w:before="0"/>
        <w:ind w:left="100" w:right="73"/>
        <w:jc w:val="left"/>
        <w:rPr>
          <w:b w:val="0"/>
          <w:bCs w:val="0"/>
        </w:rPr>
      </w:pPr>
      <w:bookmarkStart w:name="_TOC_250011" w:id="25"/>
      <w:r>
        <w:rPr>
          <w:color w:val="452A70"/>
          <w:spacing w:val="-1"/>
        </w:rPr>
        <w:t>Sector</w:t>
      </w:r>
      <w:r>
        <w:rPr>
          <w:color w:val="452A70"/>
          <w:spacing w:val="-8"/>
        </w:rPr>
        <w:t> </w:t>
      </w:r>
      <w:r>
        <w:rPr>
          <w:color w:val="452A70"/>
          <w:spacing w:val="-1"/>
        </w:rPr>
        <w:t>restructuring</w:t>
      </w:r>
      <w:r>
        <w:rPr>
          <w:color w:val="452A70"/>
          <w:spacing w:val="24"/>
        </w:rPr>
        <w:t> </w:t>
      </w:r>
      <w:r>
        <w:rPr>
          <w:color w:val="452A70"/>
        </w:rPr>
        <w:t>challenges</w:t>
      </w:r>
      <w:r>
        <w:rPr>
          <w:color w:val="452A70"/>
          <w:spacing w:val="-1"/>
        </w:rPr>
        <w:t> and</w:t>
      </w:r>
      <w:r>
        <w:rPr>
          <w:color w:val="452A70"/>
        </w:rPr>
        <w:t> costs</w:t>
      </w:r>
      <w:bookmarkEnd w:id="25"/>
      <w:r>
        <w:rPr>
          <w:b w:val="0"/>
        </w:rPr>
      </w:r>
    </w:p>
    <w:p>
      <w:pPr>
        <w:pStyle w:val="BodyText"/>
        <w:spacing w:line="250" w:lineRule="exact" w:before="119"/>
        <w:ind w:left="100" w:right="73"/>
        <w:jc w:val="left"/>
      </w:pPr>
      <w:r>
        <w:rPr>
          <w:color w:val="231F20"/>
        </w:rPr>
        <w:t>There</w:t>
      </w:r>
      <w:r>
        <w:rPr>
          <w:color w:val="231F20"/>
          <w:spacing w:val="-5"/>
        </w:rPr>
        <w:t> </w:t>
      </w:r>
      <w:r>
        <w:rPr>
          <w:color w:val="231F20"/>
          <w:spacing w:val="-1"/>
        </w:rPr>
        <w:t>is</w:t>
      </w:r>
      <w:r>
        <w:rPr>
          <w:color w:val="231F20"/>
          <w:spacing w:val="-6"/>
        </w:rPr>
        <w:t> </w:t>
      </w:r>
      <w:r>
        <w:rPr>
          <w:color w:val="231F20"/>
        </w:rPr>
        <w:t>a</w:t>
      </w:r>
      <w:r>
        <w:rPr>
          <w:color w:val="231F20"/>
          <w:spacing w:val="-5"/>
        </w:rPr>
        <w:t> </w:t>
      </w:r>
      <w:r>
        <w:rPr>
          <w:color w:val="231F20"/>
        </w:rPr>
        <w:t>transition</w:t>
      </w:r>
      <w:r>
        <w:rPr>
          <w:color w:val="231F20"/>
          <w:spacing w:val="-6"/>
        </w:rPr>
        <w:t> </w:t>
      </w:r>
      <w:r>
        <w:rPr>
          <w:color w:val="231F20"/>
        </w:rPr>
        <w:t>occurring</w:t>
      </w:r>
      <w:r>
        <w:rPr>
          <w:color w:val="231F20"/>
          <w:spacing w:val="-5"/>
        </w:rPr>
        <w:t> </w:t>
      </w:r>
      <w:r>
        <w:rPr>
          <w:color w:val="231F20"/>
          <w:spacing w:val="-1"/>
        </w:rPr>
        <w:t>in</w:t>
      </w:r>
      <w:r>
        <w:rPr>
          <w:color w:val="231F20"/>
          <w:spacing w:val="-5"/>
        </w:rPr>
        <w:t> </w:t>
      </w:r>
      <w:r>
        <w:rPr>
          <w:color w:val="231F20"/>
        </w:rPr>
        <w:t>the</w:t>
      </w:r>
      <w:r>
        <w:rPr>
          <w:color w:val="231F20"/>
          <w:spacing w:val="-6"/>
        </w:rPr>
        <w:t> </w:t>
      </w:r>
      <w:r>
        <w:rPr>
          <w:color w:val="231F20"/>
        </w:rPr>
        <w:t>Aboriginal</w:t>
      </w:r>
      <w:r>
        <w:rPr>
          <w:color w:val="231F20"/>
          <w:spacing w:val="22"/>
          <w:w w:val="99"/>
        </w:rPr>
        <w:t> </w:t>
      </w:r>
      <w:r>
        <w:rPr>
          <w:color w:val="231F20"/>
        </w:rPr>
        <w:t>and</w:t>
      </w:r>
      <w:r>
        <w:rPr>
          <w:color w:val="231F20"/>
          <w:spacing w:val="-7"/>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6"/>
        </w:rPr>
        <w:t> </w:t>
      </w:r>
      <w:r>
        <w:rPr>
          <w:color w:val="231F20"/>
        </w:rPr>
        <w:t>boarding</w:t>
      </w:r>
      <w:r>
        <w:rPr>
          <w:color w:val="231F20"/>
          <w:spacing w:val="-6"/>
        </w:rPr>
        <w:t> </w:t>
      </w:r>
      <w:r>
        <w:rPr>
          <w:color w:val="231F20"/>
          <w:spacing w:val="-1"/>
        </w:rPr>
        <w:t>sector</w:t>
      </w:r>
      <w:r>
        <w:rPr/>
      </w:r>
    </w:p>
    <w:p>
      <w:pPr>
        <w:pStyle w:val="BodyText"/>
        <w:spacing w:line="250" w:lineRule="exact"/>
        <w:ind w:left="100" w:right="390"/>
        <w:jc w:val="left"/>
      </w:pPr>
      <w:r>
        <w:rPr>
          <w:color w:val="231F20"/>
        </w:rPr>
        <w:t>away</w:t>
      </w:r>
      <w:r>
        <w:rPr>
          <w:color w:val="231F20"/>
          <w:spacing w:val="-6"/>
        </w:rPr>
        <w:t> </w:t>
      </w:r>
      <w:r>
        <w:rPr>
          <w:color w:val="231F20"/>
        </w:rPr>
        <w:t>from</w:t>
      </w:r>
      <w:r>
        <w:rPr>
          <w:color w:val="231F20"/>
          <w:spacing w:val="-5"/>
        </w:rPr>
        <w:t> </w:t>
      </w:r>
      <w:r>
        <w:rPr>
          <w:color w:val="231F20"/>
        </w:rPr>
        <w:t>the</w:t>
      </w:r>
      <w:r>
        <w:rPr>
          <w:color w:val="231F20"/>
          <w:spacing w:val="-6"/>
        </w:rPr>
        <w:t> </w:t>
      </w:r>
      <w:r>
        <w:rPr>
          <w:color w:val="231F20"/>
        </w:rPr>
        <w:t>traditional</w:t>
      </w:r>
      <w:r>
        <w:rPr>
          <w:color w:val="231F20"/>
          <w:spacing w:val="-6"/>
        </w:rPr>
        <w:t> </w:t>
      </w:r>
      <w:r>
        <w:rPr>
          <w:color w:val="231F20"/>
          <w:spacing w:val="-1"/>
        </w:rPr>
        <w:t>long</w:t>
      </w:r>
      <w:r>
        <w:rPr>
          <w:color w:val="231F20"/>
          <w:spacing w:val="-5"/>
        </w:rPr>
        <w:t> </w:t>
      </w:r>
      <w:r>
        <w:rPr>
          <w:color w:val="231F20"/>
        </w:rPr>
        <w:t>established</w:t>
      </w:r>
      <w:r>
        <w:rPr>
          <w:color w:val="231F20"/>
          <w:spacing w:val="21"/>
        </w:rPr>
        <w:t> </w:t>
      </w:r>
      <w:r>
        <w:rPr>
          <w:color w:val="231F20"/>
          <w:spacing w:val="-1"/>
        </w:rPr>
        <w:t>large</w:t>
      </w:r>
      <w:r>
        <w:rPr>
          <w:color w:val="231F20"/>
          <w:spacing w:val="-5"/>
        </w:rPr>
        <w:t> </w:t>
      </w:r>
      <w:r>
        <w:rPr>
          <w:color w:val="231F20"/>
        </w:rPr>
        <w:t>boarding</w:t>
      </w:r>
      <w:r>
        <w:rPr>
          <w:color w:val="231F20"/>
          <w:spacing w:val="-6"/>
        </w:rPr>
        <w:t> </w:t>
      </w:r>
      <w:r>
        <w:rPr>
          <w:color w:val="231F20"/>
        </w:rPr>
        <w:t>providers</w:t>
      </w:r>
      <w:r>
        <w:rPr>
          <w:color w:val="231F20"/>
          <w:spacing w:val="-5"/>
        </w:rPr>
        <w:t> </w:t>
      </w:r>
      <w:r>
        <w:rPr>
          <w:color w:val="231F20"/>
        </w:rPr>
        <w:t>to</w:t>
      </w:r>
      <w:r>
        <w:rPr>
          <w:color w:val="231F20"/>
          <w:spacing w:val="-5"/>
        </w:rPr>
        <w:t> </w:t>
      </w:r>
      <w:r>
        <w:rPr>
          <w:color w:val="231F20"/>
        </w:rPr>
        <w:t>a</w:t>
      </w:r>
      <w:r>
        <w:rPr>
          <w:color w:val="231F20"/>
          <w:spacing w:val="-4"/>
        </w:rPr>
        <w:t> </w:t>
      </w:r>
      <w:r>
        <w:rPr>
          <w:color w:val="231F20"/>
        </w:rPr>
        <w:t>new</w:t>
      </w:r>
      <w:r>
        <w:rPr>
          <w:color w:val="231F20"/>
          <w:spacing w:val="-5"/>
        </w:rPr>
        <w:t> </w:t>
      </w:r>
      <w:r>
        <w:rPr>
          <w:color w:val="231F20"/>
          <w:spacing w:val="-1"/>
        </w:rPr>
        <w:t>model</w:t>
      </w:r>
      <w:r>
        <w:rPr>
          <w:color w:val="231F20"/>
          <w:spacing w:val="-1"/>
        </w:rPr>
        <w:t> </w:t>
      </w:r>
      <w:r>
        <w:rPr>
          <w:color w:val="231F20"/>
          <w:spacing w:val="21"/>
        </w:rPr>
        <w:t> </w:t>
      </w:r>
      <w:r>
        <w:rPr>
          <w:color w:val="231F20"/>
        </w:rPr>
        <w:t>of</w:t>
      </w:r>
      <w:r>
        <w:rPr>
          <w:color w:val="231F20"/>
          <w:spacing w:val="-5"/>
        </w:rPr>
        <w:t> </w:t>
      </w:r>
      <w:r>
        <w:rPr>
          <w:color w:val="231F20"/>
        </w:rPr>
        <w:t>boarding</w:t>
      </w:r>
      <w:r>
        <w:rPr>
          <w:color w:val="231F20"/>
          <w:spacing w:val="-6"/>
        </w:rPr>
        <w:t> </w:t>
      </w:r>
      <w:r>
        <w:rPr>
          <w:color w:val="231F20"/>
        </w:rPr>
        <w:t>provider</w:t>
      </w:r>
      <w:r>
        <w:rPr>
          <w:color w:val="231F20"/>
          <w:spacing w:val="-6"/>
        </w:rPr>
        <w:t> </w:t>
      </w:r>
      <w:r>
        <w:rPr>
          <w:color w:val="231F20"/>
        </w:rPr>
        <w:t>that</w:t>
      </w:r>
      <w:r>
        <w:rPr>
          <w:color w:val="231F20"/>
          <w:spacing w:val="-5"/>
        </w:rPr>
        <w:t> </w:t>
      </w:r>
      <w:r>
        <w:rPr>
          <w:color w:val="231F20"/>
        </w:rPr>
        <w:t>caters</w:t>
      </w:r>
      <w:r>
        <w:rPr>
          <w:color w:val="231F20"/>
          <w:spacing w:val="-6"/>
        </w:rPr>
        <w:t> </w:t>
      </w:r>
      <w:r>
        <w:rPr>
          <w:color w:val="231F20"/>
        </w:rPr>
        <w:t>for</w:t>
      </w:r>
      <w:r>
        <w:rPr>
          <w:color w:val="231F20"/>
          <w:spacing w:val="-5"/>
        </w:rPr>
        <w:t> </w:t>
      </w:r>
      <w:r>
        <w:rPr>
          <w:color w:val="231F20"/>
          <w:spacing w:val="-1"/>
        </w:rPr>
        <w:t>smaller</w:t>
      </w:r>
      <w:r>
        <w:rPr/>
      </w:r>
    </w:p>
    <w:p>
      <w:pPr>
        <w:pStyle w:val="BodyText"/>
        <w:spacing w:line="250" w:lineRule="exact"/>
        <w:ind w:left="100" w:right="73"/>
        <w:jc w:val="left"/>
      </w:pPr>
      <w:r>
        <w:rPr>
          <w:color w:val="231F20"/>
        </w:rPr>
        <w:t>numbers</w:t>
      </w:r>
      <w:r>
        <w:rPr>
          <w:color w:val="231F20"/>
          <w:spacing w:val="-5"/>
        </w:rPr>
        <w:t> </w:t>
      </w:r>
      <w:r>
        <w:rPr>
          <w:color w:val="231F20"/>
        </w:rPr>
        <w:t>of</w:t>
      </w:r>
      <w:r>
        <w:rPr>
          <w:color w:val="231F20"/>
          <w:spacing w:val="-4"/>
        </w:rPr>
        <w:t> </w:t>
      </w:r>
      <w:r>
        <w:rPr>
          <w:color w:val="231F20"/>
        </w:rPr>
        <w:t>boarders,</w:t>
      </w:r>
      <w:r>
        <w:rPr>
          <w:color w:val="231F20"/>
          <w:spacing w:val="-5"/>
        </w:rPr>
        <w:t> </w:t>
      </w:r>
      <w:r>
        <w:rPr>
          <w:color w:val="231F20"/>
        </w:rPr>
        <w:t>usually</w:t>
      </w:r>
      <w:r>
        <w:rPr>
          <w:color w:val="231F20"/>
          <w:spacing w:val="-5"/>
        </w:rPr>
        <w:t> </w:t>
      </w:r>
      <w:r>
        <w:rPr>
          <w:color w:val="231F20"/>
        </w:rPr>
        <w:t>from</w:t>
      </w:r>
      <w:r>
        <w:rPr>
          <w:color w:val="231F20"/>
          <w:spacing w:val="-4"/>
        </w:rPr>
        <w:t> </w:t>
      </w:r>
      <w:r>
        <w:rPr>
          <w:color w:val="231F20"/>
        </w:rPr>
        <w:t>a</w:t>
      </w:r>
      <w:r>
        <w:rPr>
          <w:color w:val="231F20"/>
          <w:spacing w:val="-4"/>
        </w:rPr>
        <w:t> </w:t>
      </w:r>
      <w:r>
        <w:rPr>
          <w:color w:val="231F20"/>
        </w:rPr>
        <w:t>common</w:t>
      </w:r>
      <w:r>
        <w:rPr>
          <w:color w:val="231F20"/>
        </w:rPr>
        <w:t> background</w:t>
      </w:r>
      <w:r>
        <w:rPr>
          <w:color w:val="231F20"/>
          <w:spacing w:val="-9"/>
        </w:rPr>
        <w:t> </w:t>
      </w:r>
      <w:r>
        <w:rPr>
          <w:color w:val="231F20"/>
        </w:rPr>
        <w:t>or</w:t>
      </w:r>
      <w:r>
        <w:rPr>
          <w:color w:val="231F20"/>
          <w:spacing w:val="-8"/>
        </w:rPr>
        <w:t> </w:t>
      </w:r>
      <w:r>
        <w:rPr>
          <w:color w:val="231F20"/>
        </w:rPr>
        <w:t>home</w:t>
      </w:r>
      <w:r>
        <w:rPr>
          <w:color w:val="231F20"/>
          <w:spacing w:val="-8"/>
        </w:rPr>
        <w:t> </w:t>
      </w:r>
      <w:r>
        <w:rPr>
          <w:color w:val="231F20"/>
        </w:rPr>
        <w:t>geographical</w:t>
      </w:r>
      <w:r>
        <w:rPr>
          <w:color w:val="231F20"/>
          <w:spacing w:val="-9"/>
        </w:rPr>
        <w:t> </w:t>
      </w:r>
      <w:r>
        <w:rPr>
          <w:color w:val="231F20"/>
        </w:rPr>
        <w:t>region.</w:t>
      </w:r>
      <w:r>
        <w:rPr/>
      </w:r>
    </w:p>
    <w:p>
      <w:pPr>
        <w:pStyle w:val="BodyText"/>
        <w:spacing w:line="250" w:lineRule="exact"/>
        <w:ind w:left="100" w:right="0"/>
        <w:jc w:val="left"/>
      </w:pPr>
      <w:r>
        <w:rPr>
          <w:color w:val="231F20"/>
          <w:spacing w:val="-1"/>
        </w:rPr>
        <w:t>In</w:t>
      </w:r>
      <w:r>
        <w:rPr>
          <w:color w:val="231F20"/>
          <w:spacing w:val="-3"/>
        </w:rPr>
        <w:t> </w:t>
      </w:r>
      <w:r>
        <w:rPr>
          <w:color w:val="231F20"/>
        </w:rPr>
        <w:t>the</w:t>
      </w:r>
      <w:r>
        <w:rPr>
          <w:color w:val="231F20"/>
          <w:spacing w:val="-4"/>
        </w:rPr>
        <w:t> </w:t>
      </w:r>
      <w:r>
        <w:rPr>
          <w:color w:val="231F20"/>
          <w:spacing w:val="-1"/>
        </w:rPr>
        <w:t>last</w:t>
      </w:r>
      <w:r>
        <w:rPr>
          <w:color w:val="231F20"/>
          <w:spacing w:val="-3"/>
        </w:rPr>
        <w:t> </w:t>
      </w:r>
      <w:r>
        <w:rPr>
          <w:color w:val="231F20"/>
        </w:rPr>
        <w:t>decade</w:t>
      </w:r>
      <w:r>
        <w:rPr>
          <w:color w:val="231F20"/>
          <w:spacing w:val="-4"/>
        </w:rPr>
        <w:t> </w:t>
      </w:r>
      <w:r>
        <w:rPr>
          <w:color w:val="231F20"/>
        </w:rPr>
        <w:t>a</w:t>
      </w:r>
      <w:r>
        <w:rPr>
          <w:color w:val="231F20"/>
          <w:spacing w:val="-3"/>
        </w:rPr>
        <w:t> </w:t>
      </w:r>
      <w:r>
        <w:rPr>
          <w:color w:val="231F20"/>
        </w:rPr>
        <w:t>number</w:t>
      </w:r>
      <w:r>
        <w:rPr>
          <w:color w:val="231F20"/>
          <w:spacing w:val="-3"/>
        </w:rPr>
        <w:t> </w:t>
      </w:r>
      <w:r>
        <w:rPr>
          <w:color w:val="231F20"/>
        </w:rPr>
        <w:t>of</w:t>
      </w:r>
      <w:r>
        <w:rPr>
          <w:color w:val="231F20"/>
          <w:spacing w:val="-3"/>
        </w:rPr>
        <w:t> </w:t>
      </w:r>
      <w:r>
        <w:rPr>
          <w:color w:val="231F20"/>
        </w:rPr>
        <w:t>new</w:t>
      </w:r>
      <w:r>
        <w:rPr>
          <w:color w:val="231F20"/>
          <w:spacing w:val="-3"/>
        </w:rPr>
        <w:t> </w:t>
      </w:r>
      <w:r>
        <w:rPr>
          <w:color w:val="231F20"/>
          <w:spacing w:val="-1"/>
        </w:rPr>
        <w:t>smaller</w:t>
      </w:r>
      <w:r>
        <w:rPr>
          <w:color w:val="231F20"/>
          <w:spacing w:val="22"/>
        </w:rPr>
        <w:t> </w:t>
      </w:r>
      <w:r>
        <w:rPr>
          <w:color w:val="231F20"/>
        </w:rPr>
        <w:t>boarding</w:t>
      </w:r>
      <w:r>
        <w:rPr>
          <w:color w:val="231F20"/>
          <w:spacing w:val="-5"/>
        </w:rPr>
        <w:t> </w:t>
      </w:r>
      <w:r>
        <w:rPr>
          <w:color w:val="231F20"/>
        </w:rPr>
        <w:t>providers</w:t>
      </w:r>
      <w:r>
        <w:rPr>
          <w:color w:val="231F20"/>
          <w:spacing w:val="-5"/>
        </w:rPr>
        <w:t> </w:t>
      </w:r>
      <w:r>
        <w:rPr>
          <w:color w:val="231F20"/>
        </w:rPr>
        <w:t>or</w:t>
      </w:r>
      <w:r>
        <w:rPr>
          <w:color w:val="231F20"/>
          <w:spacing w:val="-4"/>
        </w:rPr>
        <w:t> </w:t>
      </w:r>
      <w:r>
        <w:rPr>
          <w:color w:val="231F20"/>
        </w:rPr>
        <w:t>campuses</w:t>
      </w:r>
      <w:r>
        <w:rPr>
          <w:color w:val="231F20"/>
          <w:spacing w:val="-5"/>
        </w:rPr>
        <w:t> </w:t>
      </w:r>
      <w:r>
        <w:rPr>
          <w:color w:val="231F20"/>
        </w:rPr>
        <w:t>of</w:t>
      </w:r>
      <w:r>
        <w:rPr>
          <w:color w:val="231F20"/>
          <w:spacing w:val="-4"/>
        </w:rPr>
        <w:t> </w:t>
      </w:r>
      <w:r>
        <w:rPr>
          <w:color w:val="231F20"/>
        </w:rPr>
        <w:t>existing</w:t>
      </w:r>
      <w:r>
        <w:rPr>
          <w:color w:val="231F20"/>
        </w:rPr>
        <w:t> facilities</w:t>
      </w:r>
      <w:r>
        <w:rPr>
          <w:color w:val="231F20"/>
          <w:spacing w:val="-5"/>
        </w:rPr>
        <w:t> </w:t>
      </w:r>
      <w:r>
        <w:rPr>
          <w:color w:val="231F20"/>
        </w:rPr>
        <w:t>have</w:t>
      </w:r>
      <w:r>
        <w:rPr>
          <w:color w:val="231F20"/>
          <w:spacing w:val="-4"/>
        </w:rPr>
        <w:t> </w:t>
      </w:r>
      <w:r>
        <w:rPr>
          <w:color w:val="231F20"/>
        </w:rPr>
        <w:t>also</w:t>
      </w:r>
      <w:r>
        <w:rPr>
          <w:color w:val="231F20"/>
          <w:spacing w:val="-5"/>
        </w:rPr>
        <w:t> </w:t>
      </w:r>
      <w:r>
        <w:rPr>
          <w:color w:val="231F20"/>
        </w:rPr>
        <w:t>opened</w:t>
      </w:r>
      <w:r>
        <w:rPr>
          <w:color w:val="231F20"/>
          <w:spacing w:val="-4"/>
        </w:rPr>
        <w:t> </w:t>
      </w:r>
      <w:r>
        <w:rPr>
          <w:color w:val="231F20"/>
          <w:spacing w:val="-1"/>
        </w:rPr>
        <w:t>in</w:t>
      </w:r>
      <w:r>
        <w:rPr>
          <w:color w:val="231F20"/>
          <w:spacing w:val="-4"/>
        </w:rPr>
        <w:t> </w:t>
      </w:r>
      <w:r>
        <w:rPr>
          <w:color w:val="231F20"/>
        </w:rPr>
        <w:t>remote</w:t>
      </w:r>
      <w:r>
        <w:rPr>
          <w:color w:val="231F20"/>
          <w:spacing w:val="-4"/>
        </w:rPr>
        <w:t> </w:t>
      </w:r>
      <w:r>
        <w:rPr>
          <w:color w:val="231F20"/>
        </w:rPr>
        <w:t>and</w:t>
      </w:r>
      <w:r>
        <w:rPr>
          <w:color w:val="231F20"/>
          <w:spacing w:val="-5"/>
        </w:rPr>
        <w:t> </w:t>
      </w:r>
      <w:r>
        <w:rPr>
          <w:color w:val="231F20"/>
        </w:rPr>
        <w:t>very</w:t>
      </w:r>
      <w:r>
        <w:rPr>
          <w:color w:val="231F20"/>
          <w:spacing w:val="21"/>
          <w:w w:val="99"/>
        </w:rPr>
        <w:t> </w:t>
      </w:r>
      <w:r>
        <w:rPr>
          <w:color w:val="231F20"/>
        </w:rPr>
        <w:t>remote</w:t>
      </w:r>
      <w:r>
        <w:rPr>
          <w:color w:val="231F20"/>
          <w:spacing w:val="-6"/>
        </w:rPr>
        <w:t> </w:t>
      </w:r>
      <w:r>
        <w:rPr>
          <w:color w:val="231F20"/>
          <w:spacing w:val="-1"/>
        </w:rPr>
        <w:t>locations</w:t>
      </w:r>
      <w:r>
        <w:rPr>
          <w:color w:val="231F20"/>
          <w:spacing w:val="-5"/>
        </w:rPr>
        <w:t> </w:t>
      </w:r>
      <w:r>
        <w:rPr>
          <w:color w:val="231F20"/>
        </w:rPr>
        <w:t>to</w:t>
      </w:r>
      <w:r>
        <w:rPr>
          <w:color w:val="231F20"/>
          <w:spacing w:val="-4"/>
        </w:rPr>
        <w:t> </w:t>
      </w:r>
      <w:r>
        <w:rPr>
          <w:color w:val="231F20"/>
        </w:rPr>
        <w:t>reduce</w:t>
      </w:r>
      <w:r>
        <w:rPr>
          <w:color w:val="231F20"/>
          <w:spacing w:val="-6"/>
        </w:rPr>
        <w:t> </w:t>
      </w:r>
      <w:r>
        <w:rPr>
          <w:color w:val="231F20"/>
        </w:rPr>
        <w:t>the</w:t>
      </w:r>
      <w:r>
        <w:rPr>
          <w:color w:val="231F20"/>
          <w:spacing w:val="-5"/>
        </w:rPr>
        <w:t> </w:t>
      </w:r>
      <w:r>
        <w:rPr>
          <w:color w:val="231F20"/>
          <w:spacing w:val="-1"/>
        </w:rPr>
        <w:t>incidence</w:t>
      </w:r>
      <w:r>
        <w:rPr>
          <w:color w:val="231F20"/>
          <w:spacing w:val="-5"/>
        </w:rPr>
        <w:t> </w:t>
      </w:r>
      <w:r>
        <w:rPr>
          <w:color w:val="231F20"/>
        </w:rPr>
        <w:t>of</w:t>
      </w:r>
      <w:r>
        <w:rPr>
          <w:color w:val="231F20"/>
          <w:spacing w:val="23"/>
          <w:w w:val="99"/>
        </w:rPr>
        <w:t> </w:t>
      </w:r>
      <w:r>
        <w:rPr>
          <w:color w:val="231F20"/>
        </w:rPr>
        <w:t>homesickness</w:t>
      </w:r>
      <w:r>
        <w:rPr>
          <w:color w:val="231F20"/>
          <w:spacing w:val="-5"/>
        </w:rPr>
        <w:t> </w:t>
      </w:r>
      <w:r>
        <w:rPr>
          <w:color w:val="231F20"/>
        </w:rPr>
        <w:t>and</w:t>
      </w:r>
      <w:r>
        <w:rPr>
          <w:color w:val="231F20"/>
          <w:spacing w:val="-4"/>
        </w:rPr>
        <w:t> </w:t>
      </w:r>
      <w:r>
        <w:rPr>
          <w:color w:val="231F20"/>
        </w:rPr>
        <w:t>cultural</w:t>
      </w:r>
      <w:r>
        <w:rPr>
          <w:color w:val="231F20"/>
          <w:spacing w:val="-4"/>
        </w:rPr>
        <w:t> </w:t>
      </w:r>
      <w:r>
        <w:rPr>
          <w:color w:val="231F20"/>
        </w:rPr>
        <w:t>and</w:t>
      </w:r>
      <w:r>
        <w:rPr>
          <w:color w:val="231F20"/>
          <w:spacing w:val="-5"/>
        </w:rPr>
        <w:t> </w:t>
      </w:r>
      <w:r>
        <w:rPr>
          <w:color w:val="231F20"/>
        </w:rPr>
        <w:t>community</w:t>
      </w:r>
      <w:r>
        <w:rPr>
          <w:color w:val="231F20"/>
        </w:rPr>
        <w:t> disconnect.</w:t>
      </w:r>
      <w:r>
        <w:rPr>
          <w:color w:val="231F20"/>
          <w:spacing w:val="-9"/>
        </w:rPr>
        <w:t> </w:t>
      </w:r>
      <w:r>
        <w:rPr>
          <w:color w:val="231F20"/>
          <w:spacing w:val="-1"/>
        </w:rPr>
        <w:t>Smaller</w:t>
      </w:r>
      <w:r>
        <w:rPr>
          <w:color w:val="231F20"/>
          <w:spacing w:val="-8"/>
        </w:rPr>
        <w:t> </w:t>
      </w:r>
      <w:r>
        <w:rPr>
          <w:color w:val="231F20"/>
        </w:rPr>
        <w:t>boarding</w:t>
      </w:r>
      <w:r>
        <w:rPr>
          <w:color w:val="231F20"/>
          <w:spacing w:val="-8"/>
        </w:rPr>
        <w:t> </w:t>
      </w:r>
      <w:r>
        <w:rPr>
          <w:color w:val="231F20"/>
        </w:rPr>
        <w:t>providers</w:t>
      </w:r>
      <w:r>
        <w:rPr>
          <w:color w:val="231F20"/>
          <w:spacing w:val="-9"/>
        </w:rPr>
        <w:t> </w:t>
      </w:r>
      <w:r>
        <w:rPr>
          <w:color w:val="231F20"/>
        </w:rPr>
        <w:t>are</w:t>
      </w:r>
      <w:r>
        <w:rPr>
          <w:color w:val="231F20"/>
          <w:spacing w:val="-8"/>
        </w:rPr>
        <w:t> </w:t>
      </w:r>
      <w:r>
        <w:rPr>
          <w:color w:val="231F20"/>
        </w:rPr>
        <w:t>able</w:t>
      </w:r>
      <w:r>
        <w:rPr>
          <w:color w:val="231F20"/>
          <w:spacing w:val="26"/>
          <w:w w:val="99"/>
        </w:rPr>
        <w:t> </w:t>
      </w:r>
      <w:r>
        <w:rPr>
          <w:rFonts w:ascii="Segoe UI"/>
          <w:color w:val="231F20"/>
        </w:rPr>
        <w:t>to provide</w:t>
      </w:r>
      <w:r>
        <w:rPr>
          <w:rFonts w:ascii="Segoe UI"/>
          <w:color w:val="231F20"/>
          <w:spacing w:val="-1"/>
        </w:rPr>
        <w:t> </w:t>
      </w:r>
      <w:r>
        <w:rPr>
          <w:rFonts w:ascii="Segoe UI"/>
          <w:color w:val="231F20"/>
        </w:rPr>
        <w:t>flexible tailored services for high</w:t>
      </w:r>
      <w:r>
        <w:rPr>
          <w:rFonts w:ascii="Segoe UI"/>
          <w:color w:val="231F20"/>
        </w:rPr>
        <w:t> </w:t>
      </w:r>
      <w:r>
        <w:rPr>
          <w:color w:val="231F20"/>
        </w:rPr>
        <w:t>needs</w:t>
      </w:r>
      <w:r>
        <w:rPr>
          <w:color w:val="231F20"/>
          <w:spacing w:val="-5"/>
        </w:rPr>
        <w:t> </w:t>
      </w:r>
      <w:r>
        <w:rPr>
          <w:color w:val="231F20"/>
        </w:rPr>
        <w:t>boarding</w:t>
      </w:r>
      <w:r>
        <w:rPr>
          <w:color w:val="231F20"/>
          <w:spacing w:val="-5"/>
        </w:rPr>
        <w:t> </w:t>
      </w:r>
      <w:r>
        <w:rPr>
          <w:color w:val="231F20"/>
          <w:spacing w:val="-1"/>
        </w:rPr>
        <w:t>students</w:t>
      </w:r>
      <w:r>
        <w:rPr>
          <w:color w:val="231F20"/>
          <w:spacing w:val="-4"/>
        </w:rPr>
        <w:t> </w:t>
      </w:r>
      <w:r>
        <w:rPr>
          <w:color w:val="231F20"/>
        </w:rPr>
        <w:t>and</w:t>
      </w:r>
      <w:r>
        <w:rPr>
          <w:color w:val="231F20"/>
          <w:spacing w:val="-5"/>
        </w:rPr>
        <w:t> </w:t>
      </w:r>
      <w:r>
        <w:rPr>
          <w:color w:val="231F20"/>
        </w:rPr>
        <w:t>adapt</w:t>
      </w:r>
      <w:r>
        <w:rPr>
          <w:color w:val="231F20"/>
          <w:spacing w:val="-5"/>
        </w:rPr>
        <w:t> </w:t>
      </w:r>
      <w:r>
        <w:rPr>
          <w:color w:val="231F20"/>
        </w:rPr>
        <w:t>faster</w:t>
      </w:r>
      <w:r>
        <w:rPr>
          <w:color w:val="231F20"/>
          <w:spacing w:val="-4"/>
        </w:rPr>
        <w:t> </w:t>
      </w:r>
      <w:r>
        <w:rPr>
          <w:color w:val="231F20"/>
        </w:rPr>
        <w:t>to</w:t>
      </w:r>
      <w:r>
        <w:rPr>
          <w:color w:val="231F20"/>
          <w:spacing w:val="22"/>
          <w:w w:val="99"/>
        </w:rPr>
        <w:t> </w:t>
      </w:r>
      <w:r>
        <w:rPr>
          <w:color w:val="231F20"/>
        </w:rPr>
        <w:t>changing</w:t>
      </w:r>
      <w:r>
        <w:rPr>
          <w:color w:val="231F20"/>
          <w:spacing w:val="-6"/>
        </w:rPr>
        <w:t> </w:t>
      </w:r>
      <w:r>
        <w:rPr>
          <w:color w:val="231F20"/>
        </w:rPr>
        <w:t>funding,</w:t>
      </w:r>
      <w:r>
        <w:rPr>
          <w:color w:val="231F20"/>
          <w:spacing w:val="-5"/>
        </w:rPr>
        <w:t> </w:t>
      </w:r>
      <w:r>
        <w:rPr>
          <w:color w:val="231F20"/>
        </w:rPr>
        <w:t>enrolments</w:t>
      </w:r>
      <w:r>
        <w:rPr>
          <w:color w:val="231F20"/>
          <w:spacing w:val="-6"/>
        </w:rPr>
        <w:t> </w:t>
      </w:r>
      <w:r>
        <w:rPr>
          <w:color w:val="231F20"/>
        </w:rPr>
        <w:t>and</w:t>
      </w:r>
      <w:r>
        <w:rPr>
          <w:color w:val="231F20"/>
          <w:spacing w:val="-5"/>
        </w:rPr>
        <w:t> </w:t>
      </w:r>
      <w:r>
        <w:rPr>
          <w:color w:val="231F20"/>
        </w:rPr>
        <w:t>costs.</w:t>
      </w:r>
      <w:r>
        <w:rPr/>
      </w:r>
    </w:p>
    <w:p>
      <w:pPr>
        <w:spacing w:line="250" w:lineRule="exact" w:before="113"/>
        <w:ind w:left="100" w:right="146" w:firstLine="0"/>
        <w:jc w:val="left"/>
        <w:rPr>
          <w:rFonts w:ascii="Segoe UI Semibold" w:hAnsi="Segoe UI Semibold" w:cs="Segoe UI Semibold" w:eastAsia="Segoe UI Semibold"/>
          <w:sz w:val="11"/>
          <w:szCs w:val="11"/>
        </w:rPr>
      </w:pPr>
      <w:r>
        <w:rPr>
          <w:rFonts w:ascii="Segoe UI" w:hAnsi="Segoe UI" w:cs="Segoe UI" w:eastAsia="Segoe UI"/>
          <w:color w:val="231F20"/>
          <w:sz w:val="20"/>
          <w:szCs w:val="20"/>
        </w:rPr>
        <w:t>"</w:t>
      </w:r>
      <w:r>
        <w:rPr>
          <w:rFonts w:ascii="Segoe UI" w:hAnsi="Segoe UI" w:cs="Segoe UI" w:eastAsia="Segoe UI"/>
          <w:i/>
          <w:color w:val="231F20"/>
          <w:sz w:val="20"/>
          <w:szCs w:val="20"/>
        </w:rPr>
        <w:t>We need to understand where it is we are</w:t>
      </w:r>
      <w:r>
        <w:rPr>
          <w:rFonts w:ascii="Segoe UI" w:hAnsi="Segoe UI" w:cs="Segoe UI" w:eastAsia="Segoe UI"/>
          <w:i/>
          <w:color w:val="231F20"/>
          <w:sz w:val="20"/>
          <w:szCs w:val="20"/>
        </w:rPr>
        <w:t> getting results so we can hone in on those and apply the methods elsewhere. ….. Ultimately, we need to find local solutions that empower parents and children and deliver what is needed</w:t>
      </w:r>
      <w:r>
        <w:rPr>
          <w:rFonts w:ascii="Segoe UI" w:hAnsi="Segoe UI" w:cs="Segoe UI" w:eastAsia="Segoe UI"/>
          <w:i/>
          <w:color w:val="231F20"/>
          <w:spacing w:val="2"/>
          <w:sz w:val="20"/>
          <w:szCs w:val="20"/>
        </w:rPr>
        <w:t> </w:t>
      </w:r>
      <w:r>
        <w:rPr>
          <w:rFonts w:ascii="Segoe UI" w:hAnsi="Segoe UI" w:cs="Segoe UI" w:eastAsia="Segoe UI"/>
          <w:i/>
          <w:color w:val="231F20"/>
          <w:sz w:val="20"/>
          <w:szCs w:val="20"/>
        </w:rPr>
        <w:t>in</w:t>
      </w:r>
      <w:r>
        <w:rPr>
          <w:rFonts w:ascii="Segoe UI" w:hAnsi="Segoe UI" w:cs="Segoe UI" w:eastAsia="Segoe UI"/>
          <w:i/>
          <w:color w:val="231F20"/>
          <w:spacing w:val="2"/>
          <w:sz w:val="20"/>
          <w:szCs w:val="20"/>
        </w:rPr>
        <w:t> </w:t>
      </w:r>
      <w:r>
        <w:rPr>
          <w:rFonts w:ascii="Segoe UI" w:hAnsi="Segoe UI" w:cs="Segoe UI" w:eastAsia="Segoe UI"/>
          <w:i/>
          <w:color w:val="231F20"/>
          <w:sz w:val="20"/>
          <w:szCs w:val="20"/>
        </w:rPr>
        <w:t>their</w:t>
      </w:r>
      <w:r>
        <w:rPr>
          <w:rFonts w:ascii="Segoe UI" w:hAnsi="Segoe UI" w:cs="Segoe UI" w:eastAsia="Segoe UI"/>
          <w:i/>
          <w:color w:val="231F20"/>
          <w:spacing w:val="3"/>
          <w:sz w:val="20"/>
          <w:szCs w:val="20"/>
        </w:rPr>
        <w:t> </w:t>
      </w:r>
      <w:r>
        <w:rPr>
          <w:rFonts w:ascii="Segoe UI" w:hAnsi="Segoe UI" w:cs="Segoe UI" w:eastAsia="Segoe UI"/>
          <w:i/>
          <w:color w:val="231F20"/>
          <w:sz w:val="20"/>
          <w:szCs w:val="20"/>
        </w:rPr>
        <w:t>particular</w:t>
      </w:r>
      <w:r>
        <w:rPr>
          <w:rFonts w:ascii="Segoe UI" w:hAnsi="Segoe UI" w:cs="Segoe UI" w:eastAsia="Segoe UI"/>
          <w:i/>
          <w:color w:val="231F20"/>
          <w:spacing w:val="2"/>
          <w:sz w:val="20"/>
          <w:szCs w:val="20"/>
        </w:rPr>
        <w:t> </w:t>
      </w:r>
      <w:r>
        <w:rPr>
          <w:rFonts w:ascii="Segoe UI" w:hAnsi="Segoe UI" w:cs="Segoe UI" w:eastAsia="Segoe UI"/>
          <w:i/>
          <w:color w:val="231F20"/>
          <w:spacing w:val="-1"/>
          <w:sz w:val="20"/>
          <w:szCs w:val="20"/>
        </w:rPr>
        <w:t>community</w:t>
      </w:r>
      <w:r>
        <w:rPr>
          <w:rFonts w:ascii="Segoe UI" w:hAnsi="Segoe UI" w:cs="Segoe UI" w:eastAsia="Segoe UI"/>
          <w:color w:val="231F20"/>
          <w:spacing w:val="-1"/>
          <w:sz w:val="20"/>
          <w:szCs w:val="20"/>
        </w:rPr>
        <w:t>.</w:t>
      </w:r>
      <w:r>
        <w:rPr>
          <w:rFonts w:ascii="Segoe UI" w:hAnsi="Segoe UI" w:cs="Segoe UI" w:eastAsia="Segoe UI"/>
          <w:color w:val="231F20"/>
          <w:spacing w:val="-1"/>
          <w:sz w:val="20"/>
          <w:szCs w:val="20"/>
        </w:rPr>
        <w:t>"</w:t>
      </w:r>
      <w:r>
        <w:rPr>
          <w:rFonts w:ascii="Segoe UI Semibold" w:hAnsi="Segoe UI Semibold" w:cs="Segoe UI Semibold" w:eastAsia="Segoe UI Semibold"/>
          <w:b/>
          <w:bCs/>
          <w:color w:val="231F20"/>
          <w:spacing w:val="-1"/>
          <w:position w:val="7"/>
          <w:sz w:val="11"/>
          <w:szCs w:val="11"/>
        </w:rPr>
        <w:t>180</w:t>
      </w:r>
      <w:r>
        <w:rPr>
          <w:rFonts w:ascii="Segoe UI Semibold" w:hAnsi="Segoe UI Semibold" w:cs="Segoe UI Semibold" w:eastAsia="Segoe UI Semibold"/>
          <w:sz w:val="11"/>
          <w:szCs w:val="11"/>
        </w:rPr>
      </w:r>
    </w:p>
    <w:p>
      <w:pPr>
        <w:spacing w:line="240" w:lineRule="auto" w:before="10"/>
        <w:rPr>
          <w:rFonts w:ascii="Segoe UI Semibold" w:hAnsi="Segoe UI Semibold" w:cs="Segoe UI Semibold" w:eastAsia="Segoe UI Semibold"/>
          <w:b/>
          <w:bCs/>
          <w:sz w:val="8"/>
          <w:szCs w:val="8"/>
        </w:rPr>
      </w:pPr>
      <w:r>
        <w:rPr/>
        <w:br w:type="column"/>
      </w:r>
      <w:r>
        <w:rPr>
          <w:rFonts w:ascii="Segoe UI Semibold"/>
          <w:b/>
          <w:sz w:val="8"/>
        </w:rPr>
      </w:r>
    </w:p>
    <w:p>
      <w:pPr>
        <w:spacing w:line="200" w:lineRule="atLeast"/>
        <w:ind w:left="100" w:right="0" w:firstLine="0"/>
        <w:rPr>
          <w:rFonts w:ascii="Segoe UI Semibold" w:hAnsi="Segoe UI Semibold" w:cs="Segoe UI Semibold" w:eastAsia="Segoe UI Semibold"/>
          <w:sz w:val="20"/>
          <w:szCs w:val="20"/>
        </w:rPr>
      </w:pPr>
      <w:r>
        <w:rPr>
          <w:rFonts w:ascii="Segoe UI Semibold" w:hAnsi="Segoe UI Semibold" w:cs="Segoe UI Semibold" w:eastAsia="Segoe UI Semibold"/>
          <w:sz w:val="20"/>
          <w:szCs w:val="20"/>
        </w:rPr>
        <w:pict>
          <v:group style="width:209.8pt;height:14.2pt;mso-position-horizontal-relative:char;mso-position-vertical-relative:line" coordorigin="0,0" coordsize="4196,284">
            <v:group style="position:absolute;left:283;top:0;width:3912;height:284" coordorigin="283,0" coordsize="3912,284">
              <v:shape style="position:absolute;left:283;top:0;width:3912;height:284" coordorigin="283,0" coordsize="3912,284" path="m283,283l4195,283,4195,0,283,0,283,283xe" filled="true" fillcolor="#97bf3d" stroked="false">
                <v:path arrowok="t"/>
                <v:fill type="solid"/>
              </v:shape>
            </v:group>
            <v:group style="position:absolute;left:0;top:0;width:284;height:284" coordorigin="0,0" coordsize="284,284">
              <v:shape style="position:absolute;left:0;top:0;width:284;height:284" coordorigin="0,0" coordsize="284,284" path="m0,283l283,283,283,0,0,0,0,283xe" filled="true" fillcolor="#67973f" stroked="false">
                <v:path arrowok="t"/>
                <v:fill type="solid"/>
              </v:shape>
              <v:shape style="position:absolute;left:0;top:0;width:4196;height:284" type="#_x0000_t202" filled="false" stroked="false">
                <v:textbox inset="0,0,0,0">
                  <w:txbxContent>
                    <w:p>
                      <w:pPr>
                        <w:spacing w:before="5"/>
                        <w:ind w:left="368" w:right="0" w:firstLine="0"/>
                        <w:jc w:val="left"/>
                        <w:rPr>
                          <w:rFonts w:ascii="Segoe UI" w:hAnsi="Segoe UI" w:cs="Segoe UI" w:eastAsia="Segoe UI"/>
                          <w:sz w:val="18"/>
                          <w:szCs w:val="18"/>
                        </w:rPr>
                      </w:pPr>
                      <w:r>
                        <w:rPr>
                          <w:rFonts w:ascii="Segoe UI"/>
                          <w:b/>
                          <w:i/>
                          <w:color w:val="FFFFFF"/>
                          <w:spacing w:val="-1"/>
                          <w:sz w:val="18"/>
                        </w:rPr>
                        <w:t>Case</w:t>
                      </w:r>
                      <w:r>
                        <w:rPr>
                          <w:rFonts w:ascii="Segoe UI"/>
                          <w:b/>
                          <w:i/>
                          <w:color w:val="FFFFFF"/>
                          <w:spacing w:val="-4"/>
                          <w:sz w:val="18"/>
                        </w:rPr>
                        <w:t> </w:t>
                      </w:r>
                      <w:r>
                        <w:rPr>
                          <w:rFonts w:ascii="Segoe UI"/>
                          <w:b/>
                          <w:i/>
                          <w:color w:val="FFFFFF"/>
                          <w:sz w:val="18"/>
                        </w:rPr>
                        <w:t>study</w:t>
                      </w:r>
                      <w:r>
                        <w:rPr>
                          <w:rFonts w:ascii="Segoe UI"/>
                          <w:b/>
                          <w:i/>
                          <w:color w:val="FFFFFF"/>
                          <w:spacing w:val="-5"/>
                          <w:sz w:val="18"/>
                        </w:rPr>
                        <w:t> </w:t>
                      </w:r>
                      <w:r>
                        <w:rPr>
                          <w:rFonts w:ascii="Segoe UI"/>
                          <w:b/>
                          <w:i/>
                          <w:color w:val="FFFFFF"/>
                          <w:spacing w:val="-1"/>
                          <w:sz w:val="18"/>
                        </w:rPr>
                        <w:t>12</w:t>
                      </w:r>
                      <w:r>
                        <w:rPr>
                          <w:rFonts w:ascii="Segoe UI"/>
                          <w:sz w:val="18"/>
                        </w:rPr>
                      </w:r>
                    </w:p>
                  </w:txbxContent>
                </v:textbox>
                <w10:wrap type="none"/>
              </v:shape>
            </v:group>
          </v:group>
        </w:pict>
      </w:r>
      <w:r>
        <w:rPr>
          <w:rFonts w:ascii="Segoe UI Semibold" w:hAnsi="Segoe UI Semibold" w:cs="Segoe UI Semibold" w:eastAsia="Segoe UI Semibold"/>
          <w:sz w:val="20"/>
          <w:szCs w:val="20"/>
        </w:rPr>
      </w:r>
    </w:p>
    <w:p>
      <w:pPr>
        <w:spacing w:line="240" w:lineRule="auto" w:before="11"/>
        <w:rPr>
          <w:rFonts w:ascii="Segoe UI Semibold" w:hAnsi="Segoe UI Semibold" w:cs="Segoe UI Semibold" w:eastAsia="Segoe UI Semibold"/>
          <w:b/>
          <w:bCs/>
          <w:sz w:val="17"/>
          <w:szCs w:val="17"/>
        </w:rPr>
      </w:pPr>
    </w:p>
    <w:p>
      <w:pPr>
        <w:pStyle w:val="Heading6"/>
        <w:spacing w:line="240" w:lineRule="auto" w:before="0"/>
        <w:ind w:right="0"/>
        <w:jc w:val="left"/>
        <w:rPr>
          <w:b w:val="0"/>
          <w:bCs w:val="0"/>
        </w:rPr>
      </w:pPr>
      <w:r>
        <w:rPr>
          <w:color w:val="67973F"/>
          <w:spacing w:val="-1"/>
        </w:rPr>
        <w:t>Dawurr</w:t>
      </w:r>
      <w:r>
        <w:rPr>
          <w:color w:val="67973F"/>
        </w:rPr>
        <w:t> </w:t>
      </w:r>
      <w:r>
        <w:rPr>
          <w:color w:val="67973F"/>
          <w:spacing w:val="-1"/>
        </w:rPr>
        <w:t>Boarding</w:t>
      </w:r>
      <w:r>
        <w:rPr>
          <w:b w:val="0"/>
        </w:rPr>
      </w:r>
    </w:p>
    <w:p>
      <w:pPr>
        <w:pStyle w:val="Heading7"/>
        <w:spacing w:line="252" w:lineRule="auto"/>
        <w:ind w:right="132"/>
        <w:jc w:val="left"/>
        <w:rPr>
          <w:b w:val="0"/>
          <w:bCs w:val="0"/>
          <w:i w:val="0"/>
        </w:rPr>
      </w:pPr>
      <w:r>
        <w:rPr>
          <w:i/>
          <w:color w:val="67973F"/>
        </w:rPr>
        <w:t>Nhulunbuy</w:t>
      </w:r>
      <w:r>
        <w:rPr>
          <w:i/>
          <w:color w:val="67973F"/>
          <w:spacing w:val="-4"/>
        </w:rPr>
        <w:t> </w:t>
      </w:r>
      <w:r>
        <w:rPr>
          <w:i/>
          <w:color w:val="67973F"/>
          <w:spacing w:val="-1"/>
        </w:rPr>
        <w:t>High,</w:t>
      </w:r>
      <w:r>
        <w:rPr>
          <w:i/>
          <w:color w:val="67973F"/>
          <w:spacing w:val="-4"/>
        </w:rPr>
        <w:t> </w:t>
      </w:r>
      <w:r>
        <w:rPr>
          <w:i/>
          <w:color w:val="67973F"/>
        </w:rPr>
        <w:t>Dawurr</w:t>
      </w:r>
      <w:r>
        <w:rPr>
          <w:i/>
          <w:color w:val="67973F"/>
          <w:spacing w:val="-4"/>
        </w:rPr>
        <w:t> </w:t>
      </w:r>
      <w:r>
        <w:rPr>
          <w:i/>
          <w:color w:val="67973F"/>
          <w:spacing w:val="-1"/>
        </w:rPr>
        <w:t>Boarding,</w:t>
      </w:r>
      <w:r>
        <w:rPr>
          <w:i/>
          <w:color w:val="67973F"/>
          <w:spacing w:val="24"/>
        </w:rPr>
        <w:t> </w:t>
      </w:r>
      <w:r>
        <w:rPr>
          <w:i/>
          <w:color w:val="67973F"/>
        </w:rPr>
        <w:t>Nhulunbuy</w:t>
      </w:r>
      <w:r>
        <w:rPr>
          <w:i/>
          <w:color w:val="67973F"/>
          <w:spacing w:val="-5"/>
        </w:rPr>
        <w:t> </w:t>
      </w:r>
      <w:r>
        <w:rPr>
          <w:i/>
          <w:color w:val="67973F"/>
        </w:rPr>
        <w:t>No</w:t>
      </w:r>
      <w:r>
        <w:rPr>
          <w:i/>
          <w:color w:val="67973F"/>
          <w:spacing w:val="6"/>
        </w:rPr>
        <w:t>r</w:t>
      </w:r>
      <w:r>
        <w:rPr>
          <w:i/>
          <w:color w:val="67973F"/>
        </w:rPr>
        <w:t>the</w:t>
      </w:r>
      <w:r>
        <w:rPr>
          <w:i/>
          <w:color w:val="67973F"/>
          <w:spacing w:val="1"/>
        </w:rPr>
        <w:t>r</w:t>
      </w:r>
      <w:r>
        <w:rPr>
          <w:i/>
          <w:color w:val="67973F"/>
        </w:rPr>
        <w:t>n</w:t>
      </w:r>
      <w:r>
        <w:rPr>
          <w:i/>
          <w:color w:val="67973F"/>
          <w:spacing w:val="-4"/>
        </w:rPr>
        <w:t> </w:t>
      </w:r>
      <w:r>
        <w:rPr>
          <w:i/>
          <w:color w:val="67973F"/>
          <w:spacing w:val="-25"/>
        </w:rPr>
        <w:t>T</w:t>
      </w:r>
      <w:r>
        <w:rPr>
          <w:i/>
          <w:color w:val="67973F"/>
        </w:rPr>
        <w:t>err</w:t>
      </w:r>
      <w:r>
        <w:rPr>
          <w:i/>
          <w:color w:val="67973F"/>
          <w:spacing w:val="-1"/>
        </w:rPr>
        <w:t>ito</w:t>
      </w:r>
      <w:r>
        <w:rPr>
          <w:i/>
          <w:color w:val="67973F"/>
          <w:spacing w:val="9"/>
        </w:rPr>
        <w:t>r</w:t>
      </w:r>
      <w:r>
        <w:rPr>
          <w:i/>
          <w:color w:val="67973F"/>
        </w:rPr>
        <w:t>y</w:t>
      </w:r>
      <w:r>
        <w:rPr>
          <w:b w:val="0"/>
          <w:i w:val="0"/>
        </w:rPr>
      </w:r>
    </w:p>
    <w:p>
      <w:pPr>
        <w:spacing w:line="265" w:lineRule="auto" w:before="124"/>
        <w:ind w:left="100" w:right="379" w:firstLine="0"/>
        <w:jc w:val="left"/>
        <w:rPr>
          <w:rFonts w:ascii="Segoe UI" w:hAnsi="Segoe UI" w:cs="Segoe UI" w:eastAsia="Segoe UI"/>
          <w:sz w:val="19"/>
          <w:szCs w:val="19"/>
        </w:rPr>
      </w:pPr>
      <w:r>
        <w:rPr>
          <w:rFonts w:ascii="Segoe UI" w:hAnsi="Segoe UI" w:cs="Segoe UI" w:eastAsia="Segoe UI"/>
          <w:color w:val="67973F"/>
          <w:spacing w:val="-1"/>
          <w:sz w:val="19"/>
          <w:szCs w:val="19"/>
        </w:rPr>
        <w:t>Dawurr</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Boarding</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is</w:t>
      </w:r>
      <w:r>
        <w:rPr>
          <w:rFonts w:ascii="Segoe UI" w:hAnsi="Segoe UI" w:cs="Segoe UI" w:eastAsia="Segoe UI"/>
          <w:color w:val="67973F"/>
          <w:spacing w:val="-6"/>
          <w:sz w:val="19"/>
          <w:szCs w:val="19"/>
        </w:rPr>
        <w:t> </w:t>
      </w:r>
      <w:r>
        <w:rPr>
          <w:rFonts w:ascii="Segoe UI" w:hAnsi="Segoe UI" w:cs="Segoe UI" w:eastAsia="Segoe UI"/>
          <w:color w:val="67973F"/>
          <w:sz w:val="19"/>
          <w:szCs w:val="19"/>
        </w:rPr>
        <w:t>part</w:t>
      </w:r>
      <w:r>
        <w:rPr>
          <w:rFonts w:ascii="Segoe UI" w:hAnsi="Segoe UI" w:cs="Segoe UI" w:eastAsia="Segoe UI"/>
          <w:color w:val="67973F"/>
          <w:spacing w:val="-5"/>
          <w:sz w:val="19"/>
          <w:szCs w:val="19"/>
        </w:rPr>
        <w:t> </w:t>
      </w:r>
      <w:r>
        <w:rPr>
          <w:rFonts w:ascii="Segoe UI" w:hAnsi="Segoe UI" w:cs="Segoe UI" w:eastAsia="Segoe UI"/>
          <w:color w:val="67973F"/>
          <w:sz w:val="19"/>
          <w:szCs w:val="19"/>
        </w:rPr>
        <w:t>of</w:t>
      </w:r>
      <w:r>
        <w:rPr>
          <w:rFonts w:ascii="Segoe UI" w:hAnsi="Segoe UI" w:cs="Segoe UI" w:eastAsia="Segoe UI"/>
          <w:color w:val="67973F"/>
          <w:spacing w:val="-5"/>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6"/>
          <w:sz w:val="19"/>
          <w:szCs w:val="19"/>
        </w:rPr>
        <w:t> </w:t>
      </w:r>
      <w:r>
        <w:rPr>
          <w:rFonts w:ascii="Segoe UI" w:hAnsi="Segoe UI" w:cs="Segoe UI" w:eastAsia="Segoe UI"/>
          <w:color w:val="67973F"/>
          <w:sz w:val="19"/>
          <w:szCs w:val="19"/>
        </w:rPr>
        <w:t>Northern</w:t>
      </w:r>
      <w:r>
        <w:rPr>
          <w:rFonts w:ascii="Segoe UI" w:hAnsi="Segoe UI" w:cs="Segoe UI" w:eastAsia="Segoe UI"/>
          <w:color w:val="67973F"/>
          <w:spacing w:val="24"/>
          <w:w w:val="99"/>
          <w:sz w:val="19"/>
          <w:szCs w:val="19"/>
        </w:rPr>
        <w:t> </w:t>
      </w:r>
      <w:r>
        <w:rPr>
          <w:rFonts w:ascii="Segoe UI" w:hAnsi="Segoe UI" w:cs="Segoe UI" w:eastAsia="Segoe UI"/>
          <w:color w:val="67973F"/>
          <w:spacing w:val="-3"/>
          <w:sz w:val="19"/>
          <w:szCs w:val="19"/>
        </w:rPr>
        <w:t>Territory</w:t>
      </w:r>
      <w:r>
        <w:rPr>
          <w:rFonts w:ascii="Segoe UI" w:hAnsi="Segoe UI" w:cs="Segoe UI" w:eastAsia="Segoe UI"/>
          <w:color w:val="67973F"/>
          <w:spacing w:val="-10"/>
          <w:sz w:val="19"/>
          <w:szCs w:val="19"/>
        </w:rPr>
        <w:t> </w:t>
      </w:r>
      <w:r>
        <w:rPr>
          <w:rFonts w:ascii="Segoe UI" w:hAnsi="Segoe UI" w:cs="Segoe UI" w:eastAsia="Segoe UI"/>
          <w:color w:val="67973F"/>
          <w:sz w:val="19"/>
          <w:szCs w:val="19"/>
        </w:rPr>
        <w:t>Government’s</w:t>
      </w:r>
      <w:r>
        <w:rPr>
          <w:rFonts w:ascii="Segoe UI" w:hAnsi="Segoe UI" w:cs="Segoe UI" w:eastAsia="Segoe UI"/>
          <w:color w:val="67973F"/>
          <w:spacing w:val="-10"/>
          <w:sz w:val="19"/>
          <w:szCs w:val="19"/>
        </w:rPr>
        <w:t> </w:t>
      </w:r>
      <w:r>
        <w:rPr>
          <w:rFonts w:ascii="Segoe UI" w:hAnsi="Segoe UI" w:cs="Segoe UI" w:eastAsia="Segoe UI"/>
          <w:color w:val="67973F"/>
          <w:sz w:val="19"/>
          <w:szCs w:val="19"/>
        </w:rPr>
        <w:t>Nhulunbuy</w:t>
      </w:r>
      <w:r>
        <w:rPr>
          <w:rFonts w:ascii="Segoe UI" w:hAnsi="Segoe UI" w:cs="Segoe UI" w:eastAsia="Segoe UI"/>
          <w:color w:val="67973F"/>
          <w:spacing w:val="-9"/>
          <w:sz w:val="19"/>
          <w:szCs w:val="19"/>
        </w:rPr>
        <w:t> </w:t>
      </w:r>
      <w:r>
        <w:rPr>
          <w:rFonts w:ascii="Segoe UI" w:hAnsi="Segoe UI" w:cs="Segoe UI" w:eastAsia="Segoe UI"/>
          <w:color w:val="67973F"/>
          <w:sz w:val="19"/>
          <w:szCs w:val="19"/>
        </w:rPr>
        <w:t>High</w:t>
      </w:r>
      <w:r>
        <w:rPr>
          <w:rFonts w:ascii="Segoe UI" w:hAnsi="Segoe UI" w:cs="Segoe UI" w:eastAsia="Segoe UI"/>
          <w:color w:val="67973F"/>
          <w:spacing w:val="-11"/>
          <w:sz w:val="19"/>
          <w:szCs w:val="19"/>
        </w:rPr>
        <w:t> </w:t>
      </w:r>
      <w:r>
        <w:rPr>
          <w:rFonts w:ascii="Segoe UI" w:hAnsi="Segoe UI" w:cs="Segoe UI" w:eastAsia="Segoe UI"/>
          <w:color w:val="67973F"/>
          <w:spacing w:val="-1"/>
          <w:sz w:val="19"/>
          <w:szCs w:val="19"/>
        </w:rPr>
        <w:t>School.</w:t>
      </w:r>
      <w:r>
        <w:rPr>
          <w:rFonts w:ascii="Segoe UI" w:hAnsi="Segoe UI" w:cs="Segoe UI" w:eastAsia="Segoe UI"/>
          <w:color w:val="67973F"/>
          <w:spacing w:val="28"/>
          <w:w w:val="99"/>
          <w:sz w:val="19"/>
          <w:szCs w:val="19"/>
        </w:rPr>
        <w:t> </w:t>
      </w:r>
      <w:r>
        <w:rPr>
          <w:rFonts w:ascii="Segoe UI" w:hAnsi="Segoe UI" w:cs="Segoe UI" w:eastAsia="Segoe UI"/>
          <w:color w:val="67973F"/>
          <w:sz w:val="19"/>
          <w:szCs w:val="19"/>
        </w:rPr>
        <w:t>It accepted its first students in 2017. It was</w:t>
      </w:r>
      <w:r>
        <w:rPr>
          <w:rFonts w:ascii="Segoe UI" w:hAnsi="Segoe UI" w:cs="Segoe UI" w:eastAsia="Segoe UI"/>
          <w:color w:val="67973F"/>
          <w:sz w:val="19"/>
          <w:szCs w:val="19"/>
        </w:rPr>
        <w:t> </w:t>
      </w:r>
      <w:r>
        <w:rPr>
          <w:rFonts w:ascii="Segoe UI" w:hAnsi="Segoe UI" w:cs="Segoe UI" w:eastAsia="Segoe UI"/>
          <w:color w:val="67973F"/>
          <w:spacing w:val="-1"/>
          <w:sz w:val="19"/>
          <w:szCs w:val="19"/>
        </w:rPr>
        <w:t>jointly</w:t>
      </w:r>
      <w:r>
        <w:rPr>
          <w:rFonts w:ascii="Segoe UI" w:hAnsi="Segoe UI" w:cs="Segoe UI" w:eastAsia="Segoe UI"/>
          <w:color w:val="67973F"/>
          <w:spacing w:val="-5"/>
          <w:sz w:val="19"/>
          <w:szCs w:val="19"/>
        </w:rPr>
        <w:t> </w:t>
      </w:r>
      <w:r>
        <w:rPr>
          <w:rFonts w:ascii="Segoe UI" w:hAnsi="Segoe UI" w:cs="Segoe UI" w:eastAsia="Segoe UI"/>
          <w:color w:val="67973F"/>
          <w:sz w:val="19"/>
          <w:szCs w:val="19"/>
        </w:rPr>
        <w:t>funded</w:t>
      </w:r>
      <w:r>
        <w:rPr>
          <w:rFonts w:ascii="Segoe UI" w:hAnsi="Segoe UI" w:cs="Segoe UI" w:eastAsia="Segoe UI"/>
          <w:color w:val="67973F"/>
          <w:spacing w:val="-5"/>
          <w:sz w:val="19"/>
          <w:szCs w:val="19"/>
        </w:rPr>
        <w:t> </w:t>
      </w:r>
      <w:r>
        <w:rPr>
          <w:rFonts w:ascii="Segoe UI" w:hAnsi="Segoe UI" w:cs="Segoe UI" w:eastAsia="Segoe UI"/>
          <w:color w:val="67973F"/>
          <w:sz w:val="19"/>
          <w:szCs w:val="19"/>
        </w:rPr>
        <w:t>by</w:t>
      </w:r>
      <w:r>
        <w:rPr>
          <w:rFonts w:ascii="Segoe UI" w:hAnsi="Segoe UI" w:cs="Segoe UI" w:eastAsia="Segoe UI"/>
          <w:color w:val="67973F"/>
          <w:spacing w:val="-5"/>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6"/>
          <w:sz w:val="19"/>
          <w:szCs w:val="19"/>
        </w:rPr>
        <w:t> </w:t>
      </w:r>
      <w:r>
        <w:rPr>
          <w:rFonts w:ascii="Segoe UI" w:hAnsi="Segoe UI" w:cs="Segoe UI" w:eastAsia="Segoe UI"/>
          <w:color w:val="67973F"/>
          <w:sz w:val="19"/>
          <w:szCs w:val="19"/>
        </w:rPr>
        <w:t>Northern</w:t>
      </w:r>
      <w:r>
        <w:rPr>
          <w:rFonts w:ascii="Segoe UI" w:hAnsi="Segoe UI" w:cs="Segoe UI" w:eastAsia="Segoe UI"/>
          <w:color w:val="67973F"/>
          <w:spacing w:val="-4"/>
          <w:sz w:val="19"/>
          <w:szCs w:val="19"/>
        </w:rPr>
        <w:t> </w:t>
      </w:r>
      <w:r>
        <w:rPr>
          <w:rFonts w:ascii="Segoe UI" w:hAnsi="Segoe UI" w:cs="Segoe UI" w:eastAsia="Segoe UI"/>
          <w:color w:val="67973F"/>
          <w:spacing w:val="-3"/>
          <w:sz w:val="19"/>
          <w:szCs w:val="19"/>
        </w:rPr>
        <w:t>Territory</w:t>
      </w:r>
      <w:r>
        <w:rPr>
          <w:rFonts w:ascii="Segoe UI" w:hAnsi="Segoe UI" w:cs="Segoe UI" w:eastAsia="Segoe UI"/>
          <w:color w:val="67973F"/>
          <w:spacing w:val="-5"/>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30"/>
          <w:w w:val="99"/>
          <w:sz w:val="19"/>
          <w:szCs w:val="19"/>
        </w:rPr>
        <w:t> </w:t>
      </w:r>
      <w:r>
        <w:rPr>
          <w:rFonts w:ascii="Segoe UI" w:hAnsi="Segoe UI" w:cs="Segoe UI" w:eastAsia="Segoe UI"/>
          <w:color w:val="67973F"/>
          <w:spacing w:val="-1"/>
          <w:sz w:val="19"/>
          <w:szCs w:val="19"/>
        </w:rPr>
        <w:t>Commonwealth</w:t>
      </w:r>
      <w:r>
        <w:rPr>
          <w:rFonts w:ascii="Segoe UI" w:hAnsi="Segoe UI" w:cs="Segoe UI" w:eastAsia="Segoe UI"/>
          <w:color w:val="67973F"/>
          <w:spacing w:val="-12"/>
          <w:sz w:val="19"/>
          <w:szCs w:val="19"/>
        </w:rPr>
        <w:t> </w:t>
      </w:r>
      <w:r>
        <w:rPr>
          <w:rFonts w:ascii="Segoe UI" w:hAnsi="Segoe UI" w:cs="Segoe UI" w:eastAsia="Segoe UI"/>
          <w:color w:val="67973F"/>
          <w:sz w:val="19"/>
          <w:szCs w:val="19"/>
        </w:rPr>
        <w:t>Government</w:t>
      </w:r>
      <w:r>
        <w:rPr>
          <w:rFonts w:ascii="Segoe UI" w:hAnsi="Segoe UI" w:cs="Segoe UI" w:eastAsia="Segoe UI"/>
          <w:color w:val="67973F"/>
          <w:spacing w:val="-12"/>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13"/>
          <w:sz w:val="19"/>
          <w:szCs w:val="19"/>
        </w:rPr>
        <w:t> </w:t>
      </w:r>
      <w:r>
        <w:rPr>
          <w:rFonts w:ascii="Segoe UI" w:hAnsi="Segoe UI" w:cs="Segoe UI" w:eastAsia="Segoe UI"/>
          <w:color w:val="67973F"/>
          <w:sz w:val="19"/>
          <w:szCs w:val="19"/>
        </w:rPr>
        <w:t>represents</w:t>
      </w:r>
      <w:r>
        <w:rPr>
          <w:rFonts w:ascii="Segoe UI" w:hAnsi="Segoe UI" w:cs="Segoe UI" w:eastAsia="Segoe UI"/>
          <w:sz w:val="19"/>
          <w:szCs w:val="19"/>
        </w:rPr>
      </w:r>
    </w:p>
    <w:p>
      <w:pPr>
        <w:spacing w:line="265" w:lineRule="auto" w:before="0"/>
        <w:ind w:left="100" w:right="243" w:firstLine="0"/>
        <w:jc w:val="left"/>
        <w:rPr>
          <w:rFonts w:ascii="Segoe UI" w:hAnsi="Segoe UI" w:cs="Segoe UI" w:eastAsia="Segoe UI"/>
          <w:sz w:val="19"/>
          <w:szCs w:val="19"/>
        </w:rPr>
      </w:pPr>
      <w:r>
        <w:rPr>
          <w:rFonts w:ascii="Segoe UI"/>
          <w:color w:val="67973F"/>
          <w:sz w:val="19"/>
        </w:rPr>
        <w:t>an</w:t>
      </w:r>
      <w:r>
        <w:rPr>
          <w:rFonts w:ascii="Segoe UI"/>
          <w:color w:val="67973F"/>
          <w:spacing w:val="-4"/>
          <w:sz w:val="19"/>
        </w:rPr>
        <w:t> </w:t>
      </w:r>
      <w:r>
        <w:rPr>
          <w:rFonts w:ascii="Segoe UI"/>
          <w:color w:val="67973F"/>
          <w:spacing w:val="-1"/>
          <w:sz w:val="19"/>
        </w:rPr>
        <w:t>investment</w:t>
      </w:r>
      <w:r>
        <w:rPr>
          <w:rFonts w:ascii="Segoe UI"/>
          <w:color w:val="67973F"/>
          <w:spacing w:val="-2"/>
          <w:sz w:val="19"/>
        </w:rPr>
        <w:t> </w:t>
      </w:r>
      <w:r>
        <w:rPr>
          <w:rFonts w:ascii="Segoe UI"/>
          <w:color w:val="67973F"/>
          <w:sz w:val="19"/>
        </w:rPr>
        <w:t>of</w:t>
      </w:r>
      <w:r>
        <w:rPr>
          <w:rFonts w:ascii="Segoe UI"/>
          <w:color w:val="67973F"/>
          <w:spacing w:val="-3"/>
          <w:sz w:val="19"/>
        </w:rPr>
        <w:t> </w:t>
      </w:r>
      <w:r>
        <w:rPr>
          <w:rFonts w:ascii="Segoe UI"/>
          <w:color w:val="67973F"/>
          <w:spacing w:val="-1"/>
          <w:sz w:val="19"/>
        </w:rPr>
        <w:t>$20</w:t>
      </w:r>
      <w:r>
        <w:rPr>
          <w:rFonts w:ascii="Segoe UI"/>
          <w:color w:val="67973F"/>
          <w:spacing w:val="-2"/>
          <w:sz w:val="19"/>
        </w:rPr>
        <w:t> </w:t>
      </w:r>
      <w:r>
        <w:rPr>
          <w:rFonts w:ascii="Segoe UI"/>
          <w:color w:val="67973F"/>
          <w:spacing w:val="-1"/>
          <w:sz w:val="19"/>
        </w:rPr>
        <w:t>million</w:t>
      </w:r>
      <w:r>
        <w:rPr>
          <w:rFonts w:ascii="Segoe UI"/>
          <w:color w:val="67973F"/>
          <w:spacing w:val="-3"/>
          <w:sz w:val="19"/>
        </w:rPr>
        <w:t> </w:t>
      </w:r>
      <w:r>
        <w:rPr>
          <w:rFonts w:ascii="Segoe UI"/>
          <w:color w:val="67973F"/>
          <w:spacing w:val="-1"/>
          <w:sz w:val="19"/>
        </w:rPr>
        <w:t>into</w:t>
      </w:r>
      <w:r>
        <w:rPr>
          <w:rFonts w:ascii="Segoe UI"/>
          <w:color w:val="67973F"/>
          <w:spacing w:val="-2"/>
          <w:sz w:val="19"/>
        </w:rPr>
        <w:t> </w:t>
      </w:r>
      <w:r>
        <w:rPr>
          <w:rFonts w:ascii="Segoe UI"/>
          <w:color w:val="67973F"/>
          <w:sz w:val="19"/>
        </w:rPr>
        <w:t>boarding</w:t>
      </w:r>
      <w:r>
        <w:rPr>
          <w:rFonts w:ascii="Segoe UI"/>
          <w:color w:val="67973F"/>
          <w:spacing w:val="-4"/>
          <w:sz w:val="19"/>
        </w:rPr>
        <w:t> </w:t>
      </w:r>
      <w:r>
        <w:rPr>
          <w:rFonts w:ascii="Segoe UI"/>
          <w:color w:val="67973F"/>
          <w:sz w:val="19"/>
        </w:rPr>
        <w:t>for</w:t>
      </w:r>
      <w:r>
        <w:rPr>
          <w:rFonts w:ascii="Segoe UI"/>
          <w:color w:val="67973F"/>
          <w:spacing w:val="25"/>
          <w:w w:val="99"/>
          <w:sz w:val="19"/>
        </w:rPr>
        <w:t> </w:t>
      </w:r>
      <w:r>
        <w:rPr>
          <w:rFonts w:ascii="Segoe UI"/>
          <w:color w:val="67973F"/>
          <w:sz w:val="19"/>
        </w:rPr>
        <w:t>Aboriginal</w:t>
      </w:r>
      <w:r>
        <w:rPr>
          <w:rFonts w:ascii="Segoe UI"/>
          <w:color w:val="67973F"/>
          <w:spacing w:val="-5"/>
          <w:sz w:val="19"/>
        </w:rPr>
        <w:t> </w:t>
      </w:r>
      <w:r>
        <w:rPr>
          <w:rFonts w:ascii="Segoe UI"/>
          <w:color w:val="67973F"/>
          <w:spacing w:val="-1"/>
          <w:sz w:val="19"/>
        </w:rPr>
        <w:t>students</w:t>
      </w:r>
      <w:r>
        <w:rPr>
          <w:rFonts w:ascii="Segoe UI"/>
          <w:color w:val="67973F"/>
          <w:spacing w:val="-5"/>
          <w:sz w:val="19"/>
        </w:rPr>
        <w:t> </w:t>
      </w:r>
      <w:r>
        <w:rPr>
          <w:rFonts w:ascii="Segoe UI"/>
          <w:color w:val="67973F"/>
          <w:spacing w:val="-1"/>
          <w:sz w:val="19"/>
        </w:rPr>
        <w:t>in</w:t>
      </w:r>
      <w:r>
        <w:rPr>
          <w:rFonts w:ascii="Segoe UI"/>
          <w:color w:val="67973F"/>
          <w:spacing w:val="-5"/>
          <w:sz w:val="19"/>
        </w:rPr>
        <w:t> </w:t>
      </w:r>
      <w:r>
        <w:rPr>
          <w:rFonts w:ascii="Segoe UI"/>
          <w:color w:val="67973F"/>
          <w:sz w:val="19"/>
        </w:rPr>
        <w:t>North</w:t>
      </w:r>
      <w:r>
        <w:rPr>
          <w:rFonts w:ascii="Segoe UI"/>
          <w:color w:val="67973F"/>
          <w:spacing w:val="-4"/>
          <w:sz w:val="19"/>
        </w:rPr>
        <w:t> </w:t>
      </w:r>
      <w:r>
        <w:rPr>
          <w:rFonts w:ascii="Segoe UI"/>
          <w:color w:val="67973F"/>
          <w:sz w:val="19"/>
        </w:rPr>
        <w:t>East</w:t>
      </w:r>
      <w:r>
        <w:rPr>
          <w:rFonts w:ascii="Segoe UI"/>
          <w:color w:val="67973F"/>
          <w:spacing w:val="-6"/>
          <w:sz w:val="19"/>
        </w:rPr>
        <w:t> </w:t>
      </w:r>
      <w:r>
        <w:rPr>
          <w:rFonts w:ascii="Segoe UI"/>
          <w:color w:val="67973F"/>
          <w:sz w:val="19"/>
        </w:rPr>
        <w:t>Arnhem</w:t>
      </w:r>
      <w:r>
        <w:rPr>
          <w:rFonts w:ascii="Segoe UI"/>
          <w:color w:val="67973F"/>
          <w:spacing w:val="-5"/>
          <w:sz w:val="19"/>
        </w:rPr>
        <w:t> </w:t>
      </w:r>
      <w:r>
        <w:rPr>
          <w:rFonts w:ascii="Segoe UI"/>
          <w:color w:val="67973F"/>
          <w:sz w:val="19"/>
        </w:rPr>
        <w:t>Land.</w:t>
      </w:r>
      <w:r>
        <w:rPr>
          <w:rFonts w:ascii="Segoe UI"/>
          <w:sz w:val="19"/>
        </w:rPr>
      </w:r>
    </w:p>
    <w:p>
      <w:pPr>
        <w:spacing w:line="265" w:lineRule="auto" w:before="113"/>
        <w:ind w:left="100" w:right="243" w:firstLine="0"/>
        <w:jc w:val="left"/>
        <w:rPr>
          <w:rFonts w:ascii="Segoe UI" w:hAnsi="Segoe UI" w:cs="Segoe UI" w:eastAsia="Segoe UI"/>
          <w:sz w:val="19"/>
          <w:szCs w:val="19"/>
        </w:rPr>
      </w:pPr>
      <w:r>
        <w:rPr>
          <w:rFonts w:ascii="Segoe UI" w:hAnsi="Segoe UI" w:cs="Segoe UI" w:eastAsia="Segoe UI"/>
          <w:color w:val="67973F"/>
          <w:sz w:val="19"/>
          <w:szCs w:val="19"/>
        </w:rPr>
        <w:t>The</w:t>
      </w:r>
      <w:r>
        <w:rPr>
          <w:rFonts w:ascii="Segoe UI" w:hAnsi="Segoe UI" w:cs="Segoe UI" w:eastAsia="Segoe UI"/>
          <w:color w:val="67973F"/>
          <w:spacing w:val="-3"/>
          <w:sz w:val="19"/>
          <w:szCs w:val="19"/>
        </w:rPr>
        <w:t> </w:t>
      </w:r>
      <w:r>
        <w:rPr>
          <w:rFonts w:ascii="Segoe UI" w:hAnsi="Segoe UI" w:cs="Segoe UI" w:eastAsia="Segoe UI"/>
          <w:color w:val="67973F"/>
          <w:sz w:val="19"/>
          <w:szCs w:val="19"/>
        </w:rPr>
        <w:t>aim</w:t>
      </w:r>
      <w:r>
        <w:rPr>
          <w:rFonts w:ascii="Segoe UI" w:hAnsi="Segoe UI" w:cs="Segoe UI" w:eastAsia="Segoe UI"/>
          <w:color w:val="67973F"/>
          <w:spacing w:val="-4"/>
          <w:sz w:val="19"/>
          <w:szCs w:val="19"/>
        </w:rPr>
        <w:t> </w:t>
      </w:r>
      <w:r>
        <w:rPr>
          <w:rFonts w:ascii="Segoe UI" w:hAnsi="Segoe UI" w:cs="Segoe UI" w:eastAsia="Segoe UI"/>
          <w:color w:val="67973F"/>
          <w:sz w:val="19"/>
          <w:szCs w:val="19"/>
        </w:rPr>
        <w:t>of</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Dawurr</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is</w:t>
      </w:r>
      <w:r>
        <w:rPr>
          <w:rFonts w:ascii="Segoe UI" w:hAnsi="Segoe UI" w:cs="Segoe UI" w:eastAsia="Segoe UI"/>
          <w:color w:val="67973F"/>
          <w:spacing w:val="-4"/>
          <w:sz w:val="19"/>
          <w:szCs w:val="19"/>
        </w:rPr>
        <w:t> </w:t>
      </w:r>
      <w:r>
        <w:rPr>
          <w:rFonts w:ascii="Segoe UI" w:hAnsi="Segoe UI" w:cs="Segoe UI" w:eastAsia="Segoe UI"/>
          <w:color w:val="67973F"/>
          <w:sz w:val="19"/>
          <w:szCs w:val="19"/>
        </w:rPr>
        <w:t>to</w:t>
      </w:r>
      <w:r>
        <w:rPr>
          <w:rFonts w:ascii="Segoe UI" w:hAnsi="Segoe UI" w:cs="Segoe UI" w:eastAsia="Segoe UI"/>
          <w:color w:val="67973F"/>
          <w:spacing w:val="-2"/>
          <w:sz w:val="19"/>
          <w:szCs w:val="19"/>
        </w:rPr>
        <w:t> </w:t>
      </w:r>
      <w:r>
        <w:rPr>
          <w:rFonts w:ascii="Segoe UI" w:hAnsi="Segoe UI" w:cs="Segoe UI" w:eastAsia="Segoe UI"/>
          <w:color w:val="67973F"/>
          <w:sz w:val="19"/>
          <w:szCs w:val="19"/>
        </w:rPr>
        <w:t>‘provide</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students</w:t>
      </w:r>
      <w:r>
        <w:rPr>
          <w:rFonts w:ascii="Segoe UI" w:hAnsi="Segoe UI" w:cs="Segoe UI" w:eastAsia="Segoe UI"/>
          <w:color w:val="67973F"/>
          <w:spacing w:val="-3"/>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24"/>
          <w:w w:val="99"/>
          <w:sz w:val="19"/>
          <w:szCs w:val="19"/>
        </w:rPr>
        <w:t> </w:t>
      </w:r>
      <w:r>
        <w:rPr>
          <w:rFonts w:ascii="Segoe UI" w:hAnsi="Segoe UI" w:cs="Segoe UI" w:eastAsia="Segoe UI"/>
          <w:color w:val="67973F"/>
          <w:sz w:val="19"/>
          <w:szCs w:val="19"/>
        </w:rPr>
        <w:t>their</w:t>
      </w:r>
      <w:r>
        <w:rPr>
          <w:rFonts w:ascii="Segoe UI" w:hAnsi="Segoe UI" w:cs="Segoe UI" w:eastAsia="Segoe UI"/>
          <w:color w:val="67973F"/>
          <w:spacing w:val="-6"/>
          <w:sz w:val="19"/>
          <w:szCs w:val="19"/>
        </w:rPr>
        <w:t> </w:t>
      </w:r>
      <w:r>
        <w:rPr>
          <w:rFonts w:ascii="Segoe UI" w:hAnsi="Segoe UI" w:cs="Segoe UI" w:eastAsia="Segoe UI"/>
          <w:color w:val="67973F"/>
          <w:sz w:val="19"/>
          <w:szCs w:val="19"/>
        </w:rPr>
        <w:t>parents</w:t>
      </w:r>
      <w:r>
        <w:rPr>
          <w:rFonts w:ascii="Segoe UI" w:hAnsi="Segoe UI" w:cs="Segoe UI" w:eastAsia="Segoe UI"/>
          <w:color w:val="67973F"/>
          <w:spacing w:val="-5"/>
          <w:sz w:val="19"/>
          <w:szCs w:val="19"/>
        </w:rPr>
        <w:t> </w:t>
      </w:r>
      <w:r>
        <w:rPr>
          <w:rFonts w:ascii="Segoe UI" w:hAnsi="Segoe UI" w:cs="Segoe UI" w:eastAsia="Segoe UI"/>
          <w:color w:val="67973F"/>
          <w:sz w:val="19"/>
          <w:szCs w:val="19"/>
        </w:rPr>
        <w:t>with</w:t>
      </w:r>
      <w:r>
        <w:rPr>
          <w:rFonts w:ascii="Segoe UI" w:hAnsi="Segoe UI" w:cs="Segoe UI" w:eastAsia="Segoe UI"/>
          <w:color w:val="67973F"/>
          <w:spacing w:val="-5"/>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5"/>
          <w:sz w:val="19"/>
          <w:szCs w:val="19"/>
        </w:rPr>
        <w:t> </w:t>
      </w:r>
      <w:r>
        <w:rPr>
          <w:rFonts w:ascii="Segoe UI" w:hAnsi="Segoe UI" w:cs="Segoe UI" w:eastAsia="Segoe UI"/>
          <w:color w:val="67973F"/>
          <w:sz w:val="19"/>
          <w:szCs w:val="19"/>
        </w:rPr>
        <w:t>choice</w:t>
      </w:r>
      <w:r>
        <w:rPr>
          <w:rFonts w:ascii="Segoe UI" w:hAnsi="Segoe UI" w:cs="Segoe UI" w:eastAsia="Segoe UI"/>
          <w:color w:val="67973F"/>
          <w:spacing w:val="-5"/>
          <w:sz w:val="19"/>
          <w:szCs w:val="19"/>
        </w:rPr>
        <w:t> </w:t>
      </w:r>
      <w:r>
        <w:rPr>
          <w:rFonts w:ascii="Segoe UI" w:hAnsi="Segoe UI" w:cs="Segoe UI" w:eastAsia="Segoe UI"/>
          <w:color w:val="67973F"/>
          <w:sz w:val="19"/>
          <w:szCs w:val="19"/>
        </w:rPr>
        <w:t>of</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schooling</w:t>
      </w:r>
      <w:r>
        <w:rPr>
          <w:rFonts w:ascii="Segoe UI" w:hAnsi="Segoe UI" w:cs="Segoe UI" w:eastAsia="Segoe UI"/>
          <w:color w:val="67973F"/>
          <w:spacing w:val="-4"/>
          <w:sz w:val="19"/>
          <w:szCs w:val="19"/>
        </w:rPr>
        <w:t> </w:t>
      </w:r>
      <w:r>
        <w:rPr>
          <w:rFonts w:ascii="Segoe UI" w:hAnsi="Segoe UI" w:cs="Segoe UI" w:eastAsia="Segoe UI"/>
          <w:color w:val="67973F"/>
          <w:sz w:val="19"/>
          <w:szCs w:val="19"/>
        </w:rPr>
        <w:t>closer</w:t>
      </w:r>
      <w:r>
        <w:rPr>
          <w:rFonts w:ascii="Segoe UI" w:hAnsi="Segoe UI" w:cs="Segoe UI" w:eastAsia="Segoe UI"/>
          <w:color w:val="67973F"/>
          <w:spacing w:val="22"/>
          <w:w w:val="99"/>
          <w:sz w:val="19"/>
          <w:szCs w:val="19"/>
        </w:rPr>
        <w:t> </w:t>
      </w:r>
      <w:r>
        <w:rPr>
          <w:rFonts w:ascii="Segoe UI" w:hAnsi="Segoe UI" w:cs="Segoe UI" w:eastAsia="Segoe UI"/>
          <w:color w:val="67973F"/>
          <w:sz w:val="19"/>
          <w:szCs w:val="19"/>
        </w:rPr>
        <w:t>to</w:t>
      </w:r>
      <w:r>
        <w:rPr>
          <w:rFonts w:ascii="Segoe UI" w:hAnsi="Segoe UI" w:cs="Segoe UI" w:eastAsia="Segoe UI"/>
          <w:color w:val="67973F"/>
          <w:spacing w:val="-4"/>
          <w:sz w:val="19"/>
          <w:szCs w:val="19"/>
        </w:rPr>
        <w:t> </w:t>
      </w:r>
      <w:r>
        <w:rPr>
          <w:rFonts w:ascii="Segoe UI" w:hAnsi="Segoe UI" w:cs="Segoe UI" w:eastAsia="Segoe UI"/>
          <w:color w:val="67973F"/>
          <w:sz w:val="19"/>
          <w:szCs w:val="19"/>
        </w:rPr>
        <w:t>home’.</w:t>
      </w:r>
      <w:r>
        <w:rPr>
          <w:rFonts w:ascii="Segoe UI" w:hAnsi="Segoe UI" w:cs="Segoe UI" w:eastAsia="Segoe UI"/>
          <w:color w:val="67973F"/>
          <w:spacing w:val="-4"/>
          <w:sz w:val="19"/>
          <w:szCs w:val="19"/>
        </w:rPr>
        <w:t> </w:t>
      </w:r>
      <w:r>
        <w:rPr>
          <w:rFonts w:ascii="Segoe UI" w:hAnsi="Segoe UI" w:cs="Segoe UI" w:eastAsia="Segoe UI"/>
          <w:color w:val="67973F"/>
          <w:sz w:val="19"/>
          <w:szCs w:val="19"/>
        </w:rPr>
        <w:t>All</w:t>
      </w:r>
      <w:r>
        <w:rPr>
          <w:rFonts w:ascii="Segoe UI" w:hAnsi="Segoe UI" w:cs="Segoe UI" w:eastAsia="Segoe UI"/>
          <w:color w:val="67973F"/>
          <w:spacing w:val="-4"/>
          <w:sz w:val="19"/>
          <w:szCs w:val="19"/>
        </w:rPr>
        <w:t> </w:t>
      </w:r>
      <w:r>
        <w:rPr>
          <w:rFonts w:ascii="Segoe UI" w:hAnsi="Segoe UI" w:cs="Segoe UI" w:eastAsia="Segoe UI"/>
          <w:color w:val="67973F"/>
          <w:sz w:val="19"/>
          <w:szCs w:val="19"/>
        </w:rPr>
        <w:t>of</w:t>
      </w:r>
      <w:r>
        <w:rPr>
          <w:rFonts w:ascii="Segoe UI" w:hAnsi="Segoe UI" w:cs="Segoe UI" w:eastAsia="Segoe UI"/>
          <w:color w:val="67973F"/>
          <w:spacing w:val="-3"/>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4"/>
          <w:sz w:val="19"/>
          <w:szCs w:val="19"/>
        </w:rPr>
        <w:t> </w:t>
      </w:r>
      <w:r>
        <w:rPr>
          <w:rFonts w:ascii="Segoe UI" w:hAnsi="Segoe UI" w:cs="Segoe UI" w:eastAsia="Segoe UI"/>
          <w:color w:val="67973F"/>
          <w:sz w:val="19"/>
          <w:szCs w:val="19"/>
        </w:rPr>
        <w:t>boarders</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in</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2018</w:t>
      </w:r>
      <w:r>
        <w:rPr>
          <w:rFonts w:ascii="Segoe UI" w:hAnsi="Segoe UI" w:cs="Segoe UI" w:eastAsia="Segoe UI"/>
          <w:color w:val="67973F"/>
          <w:spacing w:val="-3"/>
          <w:sz w:val="19"/>
          <w:szCs w:val="19"/>
        </w:rPr>
        <w:t> </w:t>
      </w:r>
      <w:r>
        <w:rPr>
          <w:rFonts w:ascii="Segoe UI" w:hAnsi="Segoe UI" w:cs="Segoe UI" w:eastAsia="Segoe UI"/>
          <w:color w:val="67973F"/>
          <w:sz w:val="19"/>
          <w:szCs w:val="19"/>
        </w:rPr>
        <w:t>were</w:t>
      </w:r>
      <w:r>
        <w:rPr>
          <w:rFonts w:ascii="Segoe UI" w:hAnsi="Segoe UI" w:cs="Segoe UI" w:eastAsia="Segoe UI"/>
          <w:color w:val="67973F"/>
          <w:spacing w:val="-4"/>
          <w:sz w:val="19"/>
          <w:szCs w:val="19"/>
        </w:rPr>
        <w:t> </w:t>
      </w:r>
      <w:r>
        <w:rPr>
          <w:rFonts w:ascii="Segoe UI" w:hAnsi="Segoe UI" w:cs="Segoe UI" w:eastAsia="Segoe UI"/>
          <w:color w:val="67973F"/>
          <w:sz w:val="19"/>
          <w:szCs w:val="19"/>
        </w:rPr>
        <w:t>from</w:t>
      </w:r>
      <w:r>
        <w:rPr>
          <w:rFonts w:ascii="Segoe UI" w:hAnsi="Segoe UI" w:cs="Segoe UI" w:eastAsia="Segoe UI"/>
          <w:color w:val="67973F"/>
          <w:spacing w:val="22"/>
          <w:w w:val="99"/>
          <w:sz w:val="19"/>
          <w:szCs w:val="19"/>
        </w:rPr>
        <w:t> </w:t>
      </w:r>
      <w:r>
        <w:rPr>
          <w:rFonts w:ascii="Segoe UI" w:hAnsi="Segoe UI" w:cs="Segoe UI" w:eastAsia="Segoe UI"/>
          <w:color w:val="67973F"/>
          <w:sz w:val="19"/>
          <w:szCs w:val="19"/>
        </w:rPr>
        <w:t>Arnhem</w:t>
      </w:r>
      <w:r>
        <w:rPr>
          <w:rFonts w:ascii="Segoe UI" w:hAnsi="Segoe UI" w:cs="Segoe UI" w:eastAsia="Segoe UI"/>
          <w:color w:val="67973F"/>
          <w:spacing w:val="-6"/>
          <w:sz w:val="19"/>
          <w:szCs w:val="19"/>
        </w:rPr>
        <w:t> </w:t>
      </w:r>
      <w:r>
        <w:rPr>
          <w:rFonts w:ascii="Segoe UI" w:hAnsi="Segoe UI" w:cs="Segoe UI" w:eastAsia="Segoe UI"/>
          <w:color w:val="67973F"/>
          <w:sz w:val="19"/>
          <w:szCs w:val="19"/>
        </w:rPr>
        <w:t>Land</w:t>
      </w:r>
      <w:r>
        <w:rPr>
          <w:rFonts w:ascii="Segoe UI" w:hAnsi="Segoe UI" w:cs="Segoe UI" w:eastAsia="Segoe UI"/>
          <w:color w:val="67973F"/>
          <w:spacing w:val="-6"/>
          <w:sz w:val="19"/>
          <w:szCs w:val="19"/>
        </w:rPr>
        <w:t> </w:t>
      </w:r>
      <w:r>
        <w:rPr>
          <w:rFonts w:ascii="Segoe UI" w:hAnsi="Segoe UI" w:cs="Segoe UI" w:eastAsia="Segoe UI"/>
          <w:color w:val="67973F"/>
          <w:sz w:val="19"/>
          <w:szCs w:val="19"/>
        </w:rPr>
        <w:t>but</w:t>
      </w:r>
      <w:r>
        <w:rPr>
          <w:rFonts w:ascii="Segoe UI" w:hAnsi="Segoe UI" w:cs="Segoe UI" w:eastAsia="Segoe UI"/>
          <w:color w:val="67973F"/>
          <w:spacing w:val="-7"/>
          <w:sz w:val="19"/>
          <w:szCs w:val="19"/>
        </w:rPr>
        <w:t> </w:t>
      </w:r>
      <w:r>
        <w:rPr>
          <w:rFonts w:ascii="Segoe UI" w:hAnsi="Segoe UI" w:cs="Segoe UI" w:eastAsia="Segoe UI"/>
          <w:color w:val="67973F"/>
          <w:sz w:val="19"/>
          <w:szCs w:val="19"/>
        </w:rPr>
        <w:t>none</w:t>
      </w:r>
      <w:r>
        <w:rPr>
          <w:rFonts w:ascii="Segoe UI" w:hAnsi="Segoe UI" w:cs="Segoe UI" w:eastAsia="Segoe UI"/>
          <w:color w:val="67973F"/>
          <w:spacing w:val="-6"/>
          <w:sz w:val="19"/>
          <w:szCs w:val="19"/>
        </w:rPr>
        <w:t> </w:t>
      </w:r>
      <w:r>
        <w:rPr>
          <w:rFonts w:ascii="Segoe UI" w:hAnsi="Segoe UI" w:cs="Segoe UI" w:eastAsia="Segoe UI"/>
          <w:color w:val="67973F"/>
          <w:sz w:val="19"/>
          <w:szCs w:val="19"/>
        </w:rPr>
        <w:t>were</w:t>
      </w:r>
      <w:r>
        <w:rPr>
          <w:rFonts w:ascii="Segoe UI" w:hAnsi="Segoe UI" w:cs="Segoe UI" w:eastAsia="Segoe UI"/>
          <w:color w:val="67973F"/>
          <w:spacing w:val="-6"/>
          <w:sz w:val="19"/>
          <w:szCs w:val="19"/>
        </w:rPr>
        <w:t> </w:t>
      </w:r>
      <w:r>
        <w:rPr>
          <w:rFonts w:ascii="Segoe UI" w:hAnsi="Segoe UI" w:cs="Segoe UI" w:eastAsia="Segoe UI"/>
          <w:color w:val="67973F"/>
          <w:sz w:val="19"/>
          <w:szCs w:val="19"/>
        </w:rPr>
        <w:t>from</w:t>
      </w:r>
      <w:r>
        <w:rPr>
          <w:rFonts w:ascii="Segoe UI" w:hAnsi="Segoe UI" w:cs="Segoe UI" w:eastAsia="Segoe UI"/>
          <w:color w:val="67973F"/>
          <w:spacing w:val="-6"/>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6"/>
          <w:sz w:val="19"/>
          <w:szCs w:val="19"/>
        </w:rPr>
        <w:t> </w:t>
      </w:r>
      <w:r>
        <w:rPr>
          <w:rFonts w:ascii="Segoe UI" w:hAnsi="Segoe UI" w:cs="Segoe UI" w:eastAsia="Segoe UI"/>
          <w:color w:val="67973F"/>
          <w:sz w:val="19"/>
          <w:szCs w:val="19"/>
        </w:rPr>
        <w:t>Laynhapuy</w:t>
      </w:r>
      <w:r>
        <w:rPr>
          <w:rFonts w:ascii="Segoe UI" w:hAnsi="Segoe UI" w:cs="Segoe UI" w:eastAsia="Segoe UI"/>
          <w:color w:val="67973F"/>
          <w:w w:val="99"/>
          <w:sz w:val="19"/>
          <w:szCs w:val="19"/>
        </w:rPr>
        <w:t> </w:t>
      </w:r>
      <w:r>
        <w:rPr>
          <w:rFonts w:ascii="Segoe UI" w:hAnsi="Segoe UI" w:cs="Segoe UI" w:eastAsia="Segoe UI"/>
          <w:color w:val="67973F"/>
          <w:sz w:val="19"/>
          <w:szCs w:val="19"/>
        </w:rPr>
        <w:t>homelands,</w:t>
      </w:r>
      <w:r>
        <w:rPr>
          <w:rFonts w:ascii="Segoe UI" w:hAnsi="Segoe UI" w:cs="Segoe UI" w:eastAsia="Segoe UI"/>
          <w:color w:val="67973F"/>
          <w:spacing w:val="-4"/>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3"/>
          <w:sz w:val="19"/>
          <w:szCs w:val="19"/>
        </w:rPr>
        <w:t> </w:t>
      </w:r>
      <w:r>
        <w:rPr>
          <w:rFonts w:ascii="Segoe UI" w:hAnsi="Segoe UI" w:cs="Segoe UI" w:eastAsia="Segoe UI"/>
          <w:color w:val="67973F"/>
          <w:sz w:val="19"/>
          <w:szCs w:val="19"/>
        </w:rPr>
        <w:t>remote</w:t>
      </w:r>
      <w:r>
        <w:rPr>
          <w:rFonts w:ascii="Segoe UI" w:hAnsi="Segoe UI" w:cs="Segoe UI" w:eastAsia="Segoe UI"/>
          <w:color w:val="67973F"/>
          <w:spacing w:val="-3"/>
          <w:sz w:val="19"/>
          <w:szCs w:val="19"/>
        </w:rPr>
        <w:t> </w:t>
      </w:r>
      <w:r>
        <w:rPr>
          <w:rFonts w:ascii="Segoe UI" w:hAnsi="Segoe UI" w:cs="Segoe UI" w:eastAsia="Segoe UI"/>
          <w:color w:val="67973F"/>
          <w:sz w:val="19"/>
          <w:szCs w:val="19"/>
        </w:rPr>
        <w:t>homelands</w:t>
      </w:r>
      <w:r>
        <w:rPr>
          <w:rFonts w:ascii="Segoe UI" w:hAnsi="Segoe UI" w:cs="Segoe UI" w:eastAsia="Segoe UI"/>
          <w:color w:val="67973F"/>
          <w:spacing w:val="-3"/>
          <w:sz w:val="19"/>
          <w:szCs w:val="19"/>
        </w:rPr>
        <w:t> </w:t>
      </w:r>
      <w:r>
        <w:rPr>
          <w:rFonts w:ascii="Segoe UI" w:hAnsi="Segoe UI" w:cs="Segoe UI" w:eastAsia="Segoe UI"/>
          <w:color w:val="67973F"/>
          <w:sz w:val="19"/>
          <w:szCs w:val="19"/>
        </w:rPr>
        <w:t>closest</w:t>
      </w:r>
      <w:r>
        <w:rPr>
          <w:rFonts w:ascii="Segoe UI" w:hAnsi="Segoe UI" w:cs="Segoe UI" w:eastAsia="Segoe UI"/>
          <w:color w:val="67973F"/>
          <w:spacing w:val="-3"/>
          <w:sz w:val="19"/>
          <w:szCs w:val="19"/>
        </w:rPr>
        <w:t> </w:t>
      </w:r>
      <w:r>
        <w:rPr>
          <w:rFonts w:ascii="Segoe UI" w:hAnsi="Segoe UI" w:cs="Segoe UI" w:eastAsia="Segoe UI"/>
          <w:color w:val="67973F"/>
          <w:sz w:val="19"/>
          <w:szCs w:val="19"/>
        </w:rPr>
        <w:t>to</w:t>
      </w:r>
      <w:r>
        <w:rPr>
          <w:rFonts w:ascii="Segoe UI" w:hAnsi="Segoe UI" w:cs="Segoe UI" w:eastAsia="Segoe UI"/>
          <w:color w:val="67973F"/>
          <w:w w:val="99"/>
          <w:sz w:val="19"/>
          <w:szCs w:val="19"/>
        </w:rPr>
        <w:t> </w:t>
      </w:r>
      <w:r>
        <w:rPr>
          <w:rFonts w:ascii="Segoe UI" w:hAnsi="Segoe UI" w:cs="Segoe UI" w:eastAsia="Segoe UI"/>
          <w:color w:val="67973F"/>
          <w:sz w:val="19"/>
          <w:szCs w:val="19"/>
        </w:rPr>
        <w:t>Nhulunbuy.</w:t>
      </w:r>
      <w:r>
        <w:rPr>
          <w:rFonts w:ascii="Segoe UI" w:hAnsi="Segoe UI" w:cs="Segoe UI" w:eastAsia="Segoe UI"/>
          <w:color w:val="67973F"/>
          <w:spacing w:val="-6"/>
          <w:sz w:val="19"/>
          <w:szCs w:val="19"/>
        </w:rPr>
        <w:t> </w:t>
      </w:r>
      <w:r>
        <w:rPr>
          <w:rFonts w:ascii="Segoe UI" w:hAnsi="Segoe UI" w:cs="Segoe UI" w:eastAsia="Segoe UI"/>
          <w:color w:val="67973F"/>
          <w:sz w:val="19"/>
          <w:szCs w:val="19"/>
        </w:rPr>
        <w:t>Most</w:t>
      </w:r>
      <w:r>
        <w:rPr>
          <w:rFonts w:ascii="Segoe UI" w:hAnsi="Segoe UI" w:cs="Segoe UI" w:eastAsia="Segoe UI"/>
          <w:color w:val="67973F"/>
          <w:spacing w:val="-6"/>
          <w:sz w:val="19"/>
          <w:szCs w:val="19"/>
        </w:rPr>
        <w:t> </w:t>
      </w:r>
      <w:r>
        <w:rPr>
          <w:rFonts w:ascii="Segoe UI" w:hAnsi="Segoe UI" w:cs="Segoe UI" w:eastAsia="Segoe UI"/>
          <w:color w:val="67973F"/>
          <w:sz w:val="19"/>
          <w:szCs w:val="19"/>
        </w:rPr>
        <w:t>of</w:t>
      </w:r>
      <w:r>
        <w:rPr>
          <w:rFonts w:ascii="Segoe UI" w:hAnsi="Segoe UI" w:cs="Segoe UI" w:eastAsia="Segoe UI"/>
          <w:color w:val="67973F"/>
          <w:spacing w:val="-5"/>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6"/>
          <w:sz w:val="19"/>
          <w:szCs w:val="19"/>
        </w:rPr>
        <w:t> </w:t>
      </w:r>
      <w:r>
        <w:rPr>
          <w:rFonts w:ascii="Segoe UI" w:hAnsi="Segoe UI" w:cs="Segoe UI" w:eastAsia="Segoe UI"/>
          <w:color w:val="67973F"/>
          <w:sz w:val="19"/>
          <w:szCs w:val="19"/>
        </w:rPr>
        <w:t>boarders</w:t>
      </w:r>
      <w:r>
        <w:rPr>
          <w:rFonts w:ascii="Segoe UI" w:hAnsi="Segoe UI" w:cs="Segoe UI" w:eastAsia="Segoe UI"/>
          <w:color w:val="67973F"/>
          <w:spacing w:val="-6"/>
          <w:sz w:val="19"/>
          <w:szCs w:val="19"/>
        </w:rPr>
        <w:t> </w:t>
      </w:r>
      <w:r>
        <w:rPr>
          <w:rFonts w:ascii="Segoe UI" w:hAnsi="Segoe UI" w:cs="Segoe UI" w:eastAsia="Segoe UI"/>
          <w:color w:val="67973F"/>
          <w:sz w:val="19"/>
          <w:szCs w:val="19"/>
        </w:rPr>
        <w:t>came</w:t>
      </w:r>
      <w:r>
        <w:rPr>
          <w:rFonts w:ascii="Segoe UI" w:hAnsi="Segoe UI" w:cs="Segoe UI" w:eastAsia="Segoe UI"/>
          <w:color w:val="67973F"/>
          <w:spacing w:val="-6"/>
          <w:sz w:val="19"/>
          <w:szCs w:val="19"/>
        </w:rPr>
        <w:t> </w:t>
      </w:r>
      <w:r>
        <w:rPr>
          <w:rFonts w:ascii="Segoe UI" w:hAnsi="Segoe UI" w:cs="Segoe UI" w:eastAsia="Segoe UI"/>
          <w:color w:val="67973F"/>
          <w:sz w:val="19"/>
          <w:szCs w:val="19"/>
        </w:rPr>
        <w:t>from</w:t>
      </w:r>
      <w:r>
        <w:rPr>
          <w:rFonts w:ascii="Segoe UI" w:hAnsi="Segoe UI" w:cs="Segoe UI" w:eastAsia="Segoe UI"/>
          <w:color w:val="67973F"/>
          <w:w w:val="99"/>
          <w:sz w:val="19"/>
          <w:szCs w:val="19"/>
        </w:rPr>
        <w:t> </w:t>
      </w:r>
      <w:r>
        <w:rPr>
          <w:rFonts w:ascii="Segoe UI" w:hAnsi="Segoe UI" w:cs="Segoe UI" w:eastAsia="Segoe UI"/>
          <w:color w:val="67973F"/>
          <w:sz w:val="19"/>
          <w:szCs w:val="19"/>
        </w:rPr>
        <w:t>home</w:t>
      </w:r>
      <w:r>
        <w:rPr>
          <w:rFonts w:ascii="Segoe UI" w:hAnsi="Segoe UI" w:cs="Segoe UI" w:eastAsia="Segoe UI"/>
          <w:color w:val="67973F"/>
          <w:spacing w:val="-1"/>
          <w:sz w:val="19"/>
          <w:szCs w:val="19"/>
        </w:rPr>
        <w:t> </w:t>
      </w:r>
      <w:r>
        <w:rPr>
          <w:rFonts w:ascii="Segoe UI" w:hAnsi="Segoe UI" w:cs="Segoe UI" w:eastAsia="Segoe UI"/>
          <w:color w:val="67973F"/>
          <w:sz w:val="19"/>
          <w:szCs w:val="19"/>
        </w:rPr>
        <w:t>communities on</w:t>
      </w:r>
      <w:r>
        <w:rPr>
          <w:rFonts w:ascii="Segoe UI" w:hAnsi="Segoe UI" w:cs="Segoe UI" w:eastAsia="Segoe UI"/>
          <w:color w:val="67973F"/>
          <w:spacing w:val="-1"/>
          <w:sz w:val="19"/>
          <w:szCs w:val="19"/>
        </w:rPr>
        <w:t> </w:t>
      </w:r>
      <w:r>
        <w:rPr>
          <w:rFonts w:ascii="Segoe UI" w:hAnsi="Segoe UI" w:cs="Segoe UI" w:eastAsia="Segoe UI"/>
          <w:color w:val="67973F"/>
          <w:sz w:val="19"/>
          <w:szCs w:val="19"/>
        </w:rPr>
        <w:t>islands off the</w:t>
      </w:r>
      <w:r>
        <w:rPr>
          <w:rFonts w:ascii="Segoe UI" w:hAnsi="Segoe UI" w:cs="Segoe UI" w:eastAsia="Segoe UI"/>
          <w:color w:val="67973F"/>
          <w:spacing w:val="-1"/>
          <w:sz w:val="19"/>
          <w:szCs w:val="19"/>
        </w:rPr>
        <w:t> </w:t>
      </w:r>
      <w:r>
        <w:rPr>
          <w:rFonts w:ascii="Segoe UI" w:hAnsi="Segoe UI" w:cs="Segoe UI" w:eastAsia="Segoe UI"/>
          <w:color w:val="67973F"/>
          <w:sz w:val="19"/>
          <w:szCs w:val="19"/>
        </w:rPr>
        <w:t>Arnhem</w:t>
      </w:r>
      <w:r>
        <w:rPr>
          <w:rFonts w:ascii="Segoe UI" w:hAnsi="Segoe UI" w:cs="Segoe UI" w:eastAsia="Segoe UI"/>
          <w:color w:val="67973F"/>
          <w:sz w:val="19"/>
          <w:szCs w:val="19"/>
        </w:rPr>
        <w:t> </w:t>
      </w:r>
      <w:r>
        <w:rPr>
          <w:rFonts w:ascii="Segoe UI" w:hAnsi="Segoe UI" w:cs="Segoe UI" w:eastAsia="Segoe UI"/>
          <w:color w:val="67973F"/>
          <w:sz w:val="19"/>
          <w:szCs w:val="19"/>
        </w:rPr>
        <w:t>Land</w:t>
      </w:r>
      <w:r>
        <w:rPr>
          <w:rFonts w:ascii="Segoe UI" w:hAnsi="Segoe UI" w:cs="Segoe UI" w:eastAsia="Segoe UI"/>
          <w:color w:val="67973F"/>
          <w:spacing w:val="-10"/>
          <w:sz w:val="19"/>
          <w:szCs w:val="19"/>
        </w:rPr>
        <w:t> </w:t>
      </w:r>
      <w:r>
        <w:rPr>
          <w:rFonts w:ascii="Segoe UI" w:hAnsi="Segoe UI" w:cs="Segoe UI" w:eastAsia="Segoe UI"/>
          <w:color w:val="67973F"/>
          <w:sz w:val="19"/>
          <w:szCs w:val="19"/>
        </w:rPr>
        <w:t>coast.</w:t>
      </w:r>
      <w:r>
        <w:rPr>
          <w:rFonts w:ascii="Segoe UI" w:hAnsi="Segoe UI" w:cs="Segoe UI" w:eastAsia="Segoe UI"/>
          <w:sz w:val="19"/>
          <w:szCs w:val="19"/>
        </w:rPr>
      </w:r>
    </w:p>
    <w:p>
      <w:pPr>
        <w:spacing w:line="265" w:lineRule="auto" w:before="113"/>
        <w:ind w:left="100" w:right="268" w:firstLine="0"/>
        <w:jc w:val="left"/>
        <w:rPr>
          <w:rFonts w:ascii="Segoe UI" w:hAnsi="Segoe UI" w:cs="Segoe UI" w:eastAsia="Segoe UI"/>
          <w:sz w:val="19"/>
          <w:szCs w:val="19"/>
        </w:rPr>
      </w:pPr>
      <w:r>
        <w:rPr>
          <w:rFonts w:ascii="Segoe UI" w:hAnsi="Segoe UI" w:cs="Segoe UI" w:eastAsia="Segoe UI"/>
          <w:color w:val="67973F"/>
          <w:spacing w:val="-1"/>
          <w:sz w:val="19"/>
          <w:szCs w:val="19"/>
        </w:rPr>
        <w:t>Dawurr</w:t>
      </w:r>
      <w:r>
        <w:rPr>
          <w:rFonts w:ascii="Segoe UI" w:hAnsi="Segoe UI" w:cs="Segoe UI" w:eastAsia="Segoe UI"/>
          <w:color w:val="67973F"/>
          <w:spacing w:val="-4"/>
          <w:sz w:val="19"/>
          <w:szCs w:val="19"/>
        </w:rPr>
        <w:t> </w:t>
      </w:r>
      <w:r>
        <w:rPr>
          <w:rFonts w:ascii="Segoe UI" w:hAnsi="Segoe UI" w:cs="Segoe UI" w:eastAsia="Segoe UI"/>
          <w:color w:val="67973F"/>
          <w:sz w:val="19"/>
          <w:szCs w:val="19"/>
        </w:rPr>
        <w:t>boarding</w:t>
      </w:r>
      <w:r>
        <w:rPr>
          <w:rFonts w:ascii="Segoe UI" w:hAnsi="Segoe UI" w:cs="Segoe UI" w:eastAsia="Segoe UI"/>
          <w:color w:val="67973F"/>
          <w:spacing w:val="-5"/>
          <w:sz w:val="19"/>
          <w:szCs w:val="19"/>
        </w:rPr>
        <w:t> </w:t>
      </w:r>
      <w:r>
        <w:rPr>
          <w:rFonts w:ascii="Segoe UI" w:hAnsi="Segoe UI" w:cs="Segoe UI" w:eastAsia="Segoe UI"/>
          <w:color w:val="67973F"/>
          <w:sz w:val="19"/>
          <w:szCs w:val="19"/>
        </w:rPr>
        <w:t>has</w:t>
      </w:r>
      <w:r>
        <w:rPr>
          <w:rFonts w:ascii="Segoe UI" w:hAnsi="Segoe UI" w:cs="Segoe UI" w:eastAsia="Segoe UI"/>
          <w:color w:val="67973F"/>
          <w:spacing w:val="-5"/>
          <w:sz w:val="19"/>
          <w:szCs w:val="19"/>
        </w:rPr>
        <w:t> </w:t>
      </w:r>
      <w:r>
        <w:rPr>
          <w:rFonts w:ascii="Segoe UI" w:hAnsi="Segoe UI" w:cs="Segoe UI" w:eastAsia="Segoe UI"/>
          <w:color w:val="67973F"/>
          <w:sz w:val="19"/>
          <w:szCs w:val="19"/>
        </w:rPr>
        <w:t>capacity</w:t>
      </w:r>
      <w:r>
        <w:rPr>
          <w:rFonts w:ascii="Segoe UI" w:hAnsi="Segoe UI" w:cs="Segoe UI" w:eastAsia="Segoe UI"/>
          <w:color w:val="67973F"/>
          <w:spacing w:val="-5"/>
          <w:sz w:val="19"/>
          <w:szCs w:val="19"/>
        </w:rPr>
        <w:t> </w:t>
      </w:r>
      <w:r>
        <w:rPr>
          <w:rFonts w:ascii="Segoe UI" w:hAnsi="Segoe UI" w:cs="Segoe UI" w:eastAsia="Segoe UI"/>
          <w:color w:val="67973F"/>
          <w:sz w:val="19"/>
          <w:szCs w:val="19"/>
        </w:rPr>
        <w:t>for</w:t>
      </w:r>
      <w:r>
        <w:rPr>
          <w:rFonts w:ascii="Segoe UI" w:hAnsi="Segoe UI" w:cs="Segoe UI" w:eastAsia="Segoe UI"/>
          <w:color w:val="67973F"/>
          <w:spacing w:val="-4"/>
          <w:sz w:val="19"/>
          <w:szCs w:val="19"/>
        </w:rPr>
        <w:t> </w:t>
      </w:r>
      <w:r>
        <w:rPr>
          <w:rFonts w:ascii="Segoe UI" w:hAnsi="Segoe UI" w:cs="Segoe UI" w:eastAsia="Segoe UI"/>
          <w:color w:val="67973F"/>
          <w:sz w:val="19"/>
          <w:szCs w:val="19"/>
        </w:rPr>
        <w:t>up</w:t>
      </w:r>
      <w:r>
        <w:rPr>
          <w:rFonts w:ascii="Segoe UI" w:hAnsi="Segoe UI" w:cs="Segoe UI" w:eastAsia="Segoe UI"/>
          <w:color w:val="67973F"/>
          <w:spacing w:val="-3"/>
          <w:sz w:val="19"/>
          <w:szCs w:val="19"/>
        </w:rPr>
        <w:t> </w:t>
      </w:r>
      <w:r>
        <w:rPr>
          <w:rFonts w:ascii="Segoe UI" w:hAnsi="Segoe UI" w:cs="Segoe UI" w:eastAsia="Segoe UI"/>
          <w:color w:val="67973F"/>
          <w:sz w:val="19"/>
          <w:szCs w:val="19"/>
        </w:rPr>
        <w:t>to</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40</w:t>
      </w:r>
      <w:r>
        <w:rPr>
          <w:rFonts w:ascii="Segoe UI" w:hAnsi="Segoe UI" w:cs="Segoe UI" w:eastAsia="Segoe UI"/>
          <w:color w:val="67973F"/>
          <w:spacing w:val="21"/>
          <w:sz w:val="19"/>
          <w:szCs w:val="19"/>
        </w:rPr>
        <w:t> </w:t>
      </w:r>
      <w:r>
        <w:rPr>
          <w:rFonts w:ascii="Segoe UI" w:hAnsi="Segoe UI" w:cs="Segoe UI" w:eastAsia="Segoe UI"/>
          <w:color w:val="67973F"/>
          <w:sz w:val="19"/>
          <w:szCs w:val="19"/>
        </w:rPr>
        <w:t>boarders</w:t>
      </w:r>
      <w:r>
        <w:rPr>
          <w:rFonts w:ascii="Segoe UI" w:hAnsi="Segoe UI" w:cs="Segoe UI" w:eastAsia="Segoe UI"/>
          <w:color w:val="67973F"/>
          <w:spacing w:val="-7"/>
          <w:sz w:val="19"/>
          <w:szCs w:val="19"/>
        </w:rPr>
        <w:t> </w:t>
      </w:r>
      <w:r>
        <w:rPr>
          <w:rFonts w:ascii="Segoe UI" w:hAnsi="Segoe UI" w:cs="Segoe UI" w:eastAsia="Segoe UI"/>
          <w:color w:val="67973F"/>
          <w:spacing w:val="-1"/>
          <w:sz w:val="19"/>
          <w:szCs w:val="19"/>
        </w:rPr>
        <w:t>in</w:t>
      </w:r>
      <w:r>
        <w:rPr>
          <w:rFonts w:ascii="Segoe UI" w:hAnsi="Segoe UI" w:cs="Segoe UI" w:eastAsia="Segoe UI"/>
          <w:color w:val="67973F"/>
          <w:spacing w:val="-5"/>
          <w:sz w:val="19"/>
          <w:szCs w:val="19"/>
        </w:rPr>
        <w:t> </w:t>
      </w:r>
      <w:r>
        <w:rPr>
          <w:rFonts w:ascii="Segoe UI" w:hAnsi="Segoe UI" w:cs="Segoe UI" w:eastAsia="Segoe UI"/>
          <w:color w:val="67973F"/>
          <w:sz w:val="19"/>
          <w:szCs w:val="19"/>
        </w:rPr>
        <w:t>one,</w:t>
      </w:r>
      <w:r>
        <w:rPr>
          <w:rFonts w:ascii="Segoe UI" w:hAnsi="Segoe UI" w:cs="Segoe UI" w:eastAsia="Segoe UI"/>
          <w:color w:val="67973F"/>
          <w:spacing w:val="-5"/>
          <w:sz w:val="19"/>
          <w:szCs w:val="19"/>
        </w:rPr>
        <w:t> </w:t>
      </w:r>
      <w:r>
        <w:rPr>
          <w:rFonts w:ascii="Segoe UI" w:hAnsi="Segoe UI" w:cs="Segoe UI" w:eastAsia="Segoe UI"/>
          <w:color w:val="67973F"/>
          <w:sz w:val="19"/>
          <w:szCs w:val="19"/>
        </w:rPr>
        <w:t>two</w:t>
      </w:r>
      <w:r>
        <w:rPr>
          <w:rFonts w:ascii="Segoe UI" w:hAnsi="Segoe UI" w:cs="Segoe UI" w:eastAsia="Segoe UI"/>
          <w:color w:val="67973F"/>
          <w:spacing w:val="-5"/>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6"/>
          <w:sz w:val="19"/>
          <w:szCs w:val="19"/>
        </w:rPr>
        <w:t> </w:t>
      </w:r>
      <w:r>
        <w:rPr>
          <w:rFonts w:ascii="Segoe UI" w:hAnsi="Segoe UI" w:cs="Segoe UI" w:eastAsia="Segoe UI"/>
          <w:color w:val="67973F"/>
          <w:sz w:val="19"/>
          <w:szCs w:val="19"/>
        </w:rPr>
        <w:t>four</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student</w:t>
      </w:r>
      <w:r>
        <w:rPr>
          <w:rFonts w:ascii="Segoe UI" w:hAnsi="Segoe UI" w:cs="Segoe UI" w:eastAsia="Segoe UI"/>
          <w:color w:val="67973F"/>
          <w:spacing w:val="-6"/>
          <w:sz w:val="19"/>
          <w:szCs w:val="19"/>
        </w:rPr>
        <w:t> </w:t>
      </w:r>
      <w:r>
        <w:rPr>
          <w:rFonts w:ascii="Segoe UI" w:hAnsi="Segoe UI" w:cs="Segoe UI" w:eastAsia="Segoe UI"/>
          <w:color w:val="67973F"/>
          <w:sz w:val="19"/>
          <w:szCs w:val="19"/>
        </w:rPr>
        <w:t>bedrooms.</w:t>
      </w:r>
      <w:r>
        <w:rPr>
          <w:rFonts w:ascii="Segoe UI" w:hAnsi="Segoe UI" w:cs="Segoe UI" w:eastAsia="Segoe UI"/>
          <w:color w:val="67973F"/>
          <w:spacing w:val="23"/>
          <w:w w:val="99"/>
          <w:sz w:val="19"/>
          <w:szCs w:val="19"/>
        </w:rPr>
        <w:t> </w:t>
      </w:r>
      <w:r>
        <w:rPr>
          <w:rFonts w:ascii="Segoe UI" w:hAnsi="Segoe UI" w:cs="Segoe UI" w:eastAsia="Segoe UI"/>
          <w:color w:val="67973F"/>
          <w:spacing w:val="-1"/>
          <w:sz w:val="19"/>
          <w:szCs w:val="19"/>
        </w:rPr>
        <w:t>It</w:t>
      </w:r>
      <w:r>
        <w:rPr>
          <w:rFonts w:ascii="Segoe UI" w:hAnsi="Segoe UI" w:cs="Segoe UI" w:eastAsia="Segoe UI"/>
          <w:color w:val="67973F"/>
          <w:spacing w:val="-4"/>
          <w:sz w:val="19"/>
          <w:szCs w:val="19"/>
        </w:rPr>
        <w:t> </w:t>
      </w:r>
      <w:r>
        <w:rPr>
          <w:rFonts w:ascii="Segoe UI" w:hAnsi="Segoe UI" w:cs="Segoe UI" w:eastAsia="Segoe UI"/>
          <w:color w:val="67973F"/>
          <w:sz w:val="19"/>
          <w:szCs w:val="19"/>
        </w:rPr>
        <w:t>has</w:t>
      </w:r>
      <w:r>
        <w:rPr>
          <w:rFonts w:ascii="Segoe UI" w:hAnsi="Segoe UI" w:cs="Segoe UI" w:eastAsia="Segoe UI"/>
          <w:color w:val="67973F"/>
          <w:spacing w:val="-4"/>
          <w:sz w:val="19"/>
          <w:szCs w:val="19"/>
        </w:rPr>
        <w:t> </w:t>
      </w:r>
      <w:r>
        <w:rPr>
          <w:rFonts w:ascii="Segoe UI" w:hAnsi="Segoe UI" w:cs="Segoe UI" w:eastAsia="Segoe UI"/>
          <w:color w:val="67973F"/>
          <w:sz w:val="19"/>
          <w:szCs w:val="19"/>
        </w:rPr>
        <w:t>a</w:t>
      </w:r>
      <w:r>
        <w:rPr>
          <w:rFonts w:ascii="Segoe UI" w:hAnsi="Segoe UI" w:cs="Segoe UI" w:eastAsia="Segoe UI"/>
          <w:color w:val="67973F"/>
          <w:spacing w:val="-3"/>
          <w:sz w:val="19"/>
          <w:szCs w:val="19"/>
        </w:rPr>
        <w:t> </w:t>
      </w:r>
      <w:r>
        <w:rPr>
          <w:rFonts w:ascii="Segoe UI" w:hAnsi="Segoe UI" w:cs="Segoe UI" w:eastAsia="Segoe UI"/>
          <w:color w:val="67973F"/>
          <w:sz w:val="19"/>
          <w:szCs w:val="19"/>
        </w:rPr>
        <w:t>commercial</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kitchen</w:t>
      </w:r>
      <w:r>
        <w:rPr>
          <w:rFonts w:ascii="Segoe UI" w:hAnsi="Segoe UI" w:cs="Segoe UI" w:eastAsia="Segoe UI"/>
          <w:color w:val="67973F"/>
          <w:spacing w:val="-3"/>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4"/>
          <w:sz w:val="19"/>
          <w:szCs w:val="19"/>
        </w:rPr>
        <w:t> </w:t>
      </w:r>
      <w:r>
        <w:rPr>
          <w:rFonts w:ascii="Segoe UI" w:hAnsi="Segoe UI" w:cs="Segoe UI" w:eastAsia="Segoe UI"/>
          <w:color w:val="67973F"/>
          <w:sz w:val="19"/>
          <w:szCs w:val="19"/>
        </w:rPr>
        <w:t>dining</w:t>
      </w:r>
      <w:r>
        <w:rPr>
          <w:rFonts w:ascii="Segoe UI" w:hAnsi="Segoe UI" w:cs="Segoe UI" w:eastAsia="Segoe UI"/>
          <w:color w:val="67973F"/>
          <w:spacing w:val="-4"/>
          <w:sz w:val="19"/>
          <w:szCs w:val="19"/>
        </w:rPr>
        <w:t> </w:t>
      </w:r>
      <w:r>
        <w:rPr>
          <w:rFonts w:ascii="Segoe UI" w:hAnsi="Segoe UI" w:cs="Segoe UI" w:eastAsia="Segoe UI"/>
          <w:color w:val="67973F"/>
          <w:sz w:val="19"/>
          <w:szCs w:val="19"/>
        </w:rPr>
        <w:t>room,</w:t>
      </w:r>
      <w:r>
        <w:rPr>
          <w:rFonts w:ascii="Segoe UI" w:hAnsi="Segoe UI" w:cs="Segoe UI" w:eastAsia="Segoe UI"/>
          <w:color w:val="67973F"/>
          <w:spacing w:val="23"/>
          <w:w w:val="99"/>
          <w:sz w:val="19"/>
          <w:szCs w:val="19"/>
        </w:rPr>
        <w:t> </w:t>
      </w:r>
      <w:r>
        <w:rPr>
          <w:rFonts w:ascii="Segoe UI" w:hAnsi="Segoe UI" w:cs="Segoe UI" w:eastAsia="Segoe UI"/>
          <w:color w:val="67973F"/>
          <w:sz w:val="19"/>
          <w:szCs w:val="19"/>
        </w:rPr>
        <w:t>tuition</w:t>
      </w:r>
      <w:r>
        <w:rPr>
          <w:rFonts w:ascii="Segoe UI" w:hAnsi="Segoe UI" w:cs="Segoe UI" w:eastAsia="Segoe UI"/>
          <w:color w:val="67973F"/>
          <w:spacing w:val="-6"/>
          <w:sz w:val="19"/>
          <w:szCs w:val="19"/>
        </w:rPr>
        <w:t> </w:t>
      </w:r>
      <w:r>
        <w:rPr>
          <w:rFonts w:ascii="Segoe UI" w:hAnsi="Segoe UI" w:cs="Segoe UI" w:eastAsia="Segoe UI"/>
          <w:color w:val="67973F"/>
          <w:sz w:val="19"/>
          <w:szCs w:val="19"/>
        </w:rPr>
        <w:t>rooms,</w:t>
      </w:r>
      <w:r>
        <w:rPr>
          <w:rFonts w:ascii="Segoe UI" w:hAnsi="Segoe UI" w:cs="Segoe UI" w:eastAsia="Segoe UI"/>
          <w:color w:val="67973F"/>
          <w:spacing w:val="-6"/>
          <w:sz w:val="19"/>
          <w:szCs w:val="19"/>
        </w:rPr>
        <w:t> </w:t>
      </w:r>
      <w:r>
        <w:rPr>
          <w:rFonts w:ascii="Segoe UI" w:hAnsi="Segoe UI" w:cs="Segoe UI" w:eastAsia="Segoe UI"/>
          <w:color w:val="67973F"/>
          <w:sz w:val="19"/>
          <w:szCs w:val="19"/>
        </w:rPr>
        <w:t>a</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multi-purpose</w:t>
      </w:r>
      <w:r>
        <w:rPr>
          <w:rFonts w:ascii="Segoe UI" w:hAnsi="Segoe UI" w:cs="Segoe UI" w:eastAsia="Segoe UI"/>
          <w:color w:val="67973F"/>
          <w:spacing w:val="-4"/>
          <w:sz w:val="19"/>
          <w:szCs w:val="19"/>
        </w:rPr>
        <w:t> </w:t>
      </w:r>
      <w:r>
        <w:rPr>
          <w:rFonts w:ascii="Segoe UI" w:hAnsi="Segoe UI" w:cs="Segoe UI" w:eastAsia="Segoe UI"/>
          <w:color w:val="67973F"/>
          <w:sz w:val="19"/>
          <w:szCs w:val="19"/>
        </w:rPr>
        <w:t>art</w:t>
      </w:r>
      <w:r>
        <w:rPr>
          <w:rFonts w:ascii="Segoe UI" w:hAnsi="Segoe UI" w:cs="Segoe UI" w:eastAsia="Segoe UI"/>
          <w:color w:val="67973F"/>
          <w:spacing w:val="-6"/>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6"/>
          <w:sz w:val="19"/>
          <w:szCs w:val="19"/>
        </w:rPr>
        <w:t> </w:t>
      </w:r>
      <w:r>
        <w:rPr>
          <w:rFonts w:ascii="Segoe UI" w:hAnsi="Segoe UI" w:cs="Segoe UI" w:eastAsia="Segoe UI"/>
          <w:color w:val="67973F"/>
          <w:spacing w:val="-1"/>
          <w:sz w:val="19"/>
          <w:szCs w:val="19"/>
        </w:rPr>
        <w:t>music</w:t>
      </w:r>
      <w:r>
        <w:rPr>
          <w:rFonts w:ascii="Segoe UI" w:hAnsi="Segoe UI" w:cs="Segoe UI" w:eastAsia="Segoe UI"/>
          <w:color w:val="67973F"/>
          <w:spacing w:val="21"/>
          <w:sz w:val="19"/>
          <w:szCs w:val="19"/>
        </w:rPr>
        <w:t> </w:t>
      </w:r>
      <w:r>
        <w:rPr>
          <w:rFonts w:ascii="Segoe UI" w:hAnsi="Segoe UI" w:cs="Segoe UI" w:eastAsia="Segoe UI"/>
          <w:color w:val="67973F"/>
          <w:sz w:val="19"/>
          <w:szCs w:val="19"/>
        </w:rPr>
        <w:t>centre,</w:t>
      </w:r>
      <w:r>
        <w:rPr>
          <w:rFonts w:ascii="Segoe UI" w:hAnsi="Segoe UI" w:cs="Segoe UI" w:eastAsia="Segoe UI"/>
          <w:color w:val="67973F"/>
          <w:spacing w:val="-5"/>
          <w:sz w:val="19"/>
          <w:szCs w:val="19"/>
        </w:rPr>
        <w:t> </w:t>
      </w:r>
      <w:r>
        <w:rPr>
          <w:rFonts w:ascii="Segoe UI" w:hAnsi="Segoe UI" w:cs="Segoe UI" w:eastAsia="Segoe UI"/>
          <w:color w:val="67973F"/>
          <w:sz w:val="19"/>
          <w:szCs w:val="19"/>
        </w:rPr>
        <w:t>amphitheatre</w:t>
      </w:r>
      <w:r>
        <w:rPr>
          <w:rFonts w:ascii="Segoe UI" w:hAnsi="Segoe UI" w:cs="Segoe UI" w:eastAsia="Segoe UI"/>
          <w:color w:val="67973F"/>
          <w:spacing w:val="-6"/>
          <w:sz w:val="19"/>
          <w:szCs w:val="19"/>
        </w:rPr>
        <w:t> </w:t>
      </w:r>
      <w:r>
        <w:rPr>
          <w:rFonts w:ascii="Segoe UI" w:hAnsi="Segoe UI" w:cs="Segoe UI" w:eastAsia="Segoe UI"/>
          <w:color w:val="67973F"/>
          <w:sz w:val="19"/>
          <w:szCs w:val="19"/>
        </w:rPr>
        <w:t>as</w:t>
      </w:r>
      <w:r>
        <w:rPr>
          <w:rFonts w:ascii="Segoe UI" w:hAnsi="Segoe UI" w:cs="Segoe UI" w:eastAsia="Segoe UI"/>
          <w:color w:val="67973F"/>
          <w:spacing w:val="-5"/>
          <w:sz w:val="19"/>
          <w:szCs w:val="19"/>
        </w:rPr>
        <w:t> </w:t>
      </w:r>
      <w:r>
        <w:rPr>
          <w:rFonts w:ascii="Segoe UI" w:hAnsi="Segoe UI" w:cs="Segoe UI" w:eastAsia="Segoe UI"/>
          <w:color w:val="67973F"/>
          <w:sz w:val="19"/>
          <w:szCs w:val="19"/>
        </w:rPr>
        <w:t>well</w:t>
      </w:r>
      <w:r>
        <w:rPr>
          <w:rFonts w:ascii="Segoe UI" w:hAnsi="Segoe UI" w:cs="Segoe UI" w:eastAsia="Segoe UI"/>
          <w:color w:val="67973F"/>
          <w:spacing w:val="-6"/>
          <w:sz w:val="19"/>
          <w:szCs w:val="19"/>
        </w:rPr>
        <w:t> </w:t>
      </w:r>
      <w:r>
        <w:rPr>
          <w:rFonts w:ascii="Segoe UI" w:hAnsi="Segoe UI" w:cs="Segoe UI" w:eastAsia="Segoe UI"/>
          <w:color w:val="67973F"/>
          <w:sz w:val="19"/>
          <w:szCs w:val="19"/>
        </w:rPr>
        <w:t>as</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sporting</w:t>
      </w:r>
      <w:r>
        <w:rPr>
          <w:rFonts w:ascii="Segoe UI" w:hAnsi="Segoe UI" w:cs="Segoe UI" w:eastAsia="Segoe UI"/>
          <w:color w:val="67973F"/>
          <w:spacing w:val="-5"/>
          <w:sz w:val="19"/>
          <w:szCs w:val="19"/>
        </w:rPr>
        <w:t> </w:t>
      </w:r>
      <w:r>
        <w:rPr>
          <w:rFonts w:ascii="Segoe UI" w:hAnsi="Segoe UI" w:cs="Segoe UI" w:eastAsia="Segoe UI"/>
          <w:color w:val="67973F"/>
          <w:sz w:val="19"/>
          <w:szCs w:val="19"/>
        </w:rPr>
        <w:t>facilities</w:t>
      </w:r>
      <w:r>
        <w:rPr>
          <w:rFonts w:ascii="Segoe UI" w:hAnsi="Segoe UI" w:cs="Segoe UI" w:eastAsia="Segoe UI"/>
          <w:color w:val="67973F"/>
          <w:spacing w:val="22"/>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7"/>
          <w:sz w:val="19"/>
          <w:szCs w:val="19"/>
        </w:rPr>
        <w:t> </w:t>
      </w:r>
      <w:r>
        <w:rPr>
          <w:rFonts w:ascii="Segoe UI" w:hAnsi="Segoe UI" w:cs="Segoe UI" w:eastAsia="Segoe UI"/>
          <w:color w:val="67973F"/>
          <w:sz w:val="19"/>
          <w:szCs w:val="19"/>
        </w:rPr>
        <w:t>open</w:t>
      </w:r>
      <w:r>
        <w:rPr>
          <w:rFonts w:ascii="Segoe UI" w:hAnsi="Segoe UI" w:cs="Segoe UI" w:eastAsia="Segoe UI"/>
          <w:color w:val="67973F"/>
          <w:spacing w:val="-5"/>
          <w:sz w:val="19"/>
          <w:szCs w:val="19"/>
        </w:rPr>
        <w:t> </w:t>
      </w:r>
      <w:r>
        <w:rPr>
          <w:rFonts w:ascii="Segoe UI" w:hAnsi="Segoe UI" w:cs="Segoe UI" w:eastAsia="Segoe UI"/>
          <w:color w:val="67973F"/>
          <w:sz w:val="19"/>
          <w:szCs w:val="19"/>
        </w:rPr>
        <w:t>plan</w:t>
      </w:r>
      <w:r>
        <w:rPr>
          <w:rFonts w:ascii="Segoe UI" w:hAnsi="Segoe UI" w:cs="Segoe UI" w:eastAsia="Segoe UI"/>
          <w:color w:val="67973F"/>
          <w:spacing w:val="-7"/>
          <w:sz w:val="19"/>
          <w:szCs w:val="19"/>
        </w:rPr>
        <w:t> </w:t>
      </w:r>
      <w:r>
        <w:rPr>
          <w:rFonts w:ascii="Segoe UI" w:hAnsi="Segoe UI" w:cs="Segoe UI" w:eastAsia="Segoe UI"/>
          <w:color w:val="67973F"/>
          <w:sz w:val="19"/>
          <w:szCs w:val="19"/>
        </w:rPr>
        <w:t>gardens.</w:t>
      </w:r>
      <w:r>
        <w:rPr>
          <w:rFonts w:ascii="Segoe UI" w:hAnsi="Segoe UI" w:cs="Segoe UI" w:eastAsia="Segoe UI"/>
          <w:color w:val="67973F"/>
          <w:spacing w:val="-6"/>
          <w:sz w:val="19"/>
          <w:szCs w:val="19"/>
        </w:rPr>
        <w:t> </w:t>
      </w:r>
      <w:r>
        <w:rPr>
          <w:rFonts w:ascii="Segoe UI" w:hAnsi="Segoe UI" w:cs="Segoe UI" w:eastAsia="Segoe UI"/>
          <w:color w:val="67973F"/>
          <w:sz w:val="19"/>
          <w:szCs w:val="19"/>
        </w:rPr>
        <w:t>“During</w:t>
      </w:r>
      <w:r>
        <w:rPr>
          <w:rFonts w:ascii="Segoe UI" w:hAnsi="Segoe UI" w:cs="Segoe UI" w:eastAsia="Segoe UI"/>
          <w:color w:val="67973F"/>
          <w:spacing w:val="-6"/>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7"/>
          <w:sz w:val="19"/>
          <w:szCs w:val="19"/>
        </w:rPr>
        <w:t> </w:t>
      </w:r>
      <w:r>
        <w:rPr>
          <w:rFonts w:ascii="Segoe UI" w:hAnsi="Segoe UI" w:cs="Segoe UI" w:eastAsia="Segoe UI"/>
          <w:color w:val="67973F"/>
          <w:sz w:val="19"/>
          <w:szCs w:val="19"/>
        </w:rPr>
        <w:t>planning,</w:t>
      </w:r>
      <w:r>
        <w:rPr>
          <w:rFonts w:ascii="Segoe UI" w:hAnsi="Segoe UI" w:cs="Segoe UI" w:eastAsia="Segoe UI"/>
          <w:color w:val="67973F"/>
          <w:spacing w:val="-6"/>
          <w:sz w:val="19"/>
          <w:szCs w:val="19"/>
        </w:rPr>
        <w:t> </w:t>
      </w:r>
      <w:r>
        <w:rPr>
          <w:rFonts w:ascii="Segoe UI" w:hAnsi="Segoe UI" w:cs="Segoe UI" w:eastAsia="Segoe UI"/>
          <w:color w:val="67973F"/>
          <w:sz w:val="19"/>
          <w:szCs w:val="19"/>
        </w:rPr>
        <w:t>we</w:t>
      </w:r>
      <w:r>
        <w:rPr>
          <w:rFonts w:ascii="Segoe UI" w:hAnsi="Segoe UI" w:cs="Segoe UI" w:eastAsia="Segoe UI"/>
          <w:color w:val="67973F"/>
          <w:w w:val="99"/>
          <w:sz w:val="19"/>
          <w:szCs w:val="19"/>
        </w:rPr>
        <w:t> </w:t>
      </w:r>
      <w:r>
        <w:rPr>
          <w:rFonts w:ascii="Segoe UI" w:hAnsi="Segoe UI" w:cs="Segoe UI" w:eastAsia="Segoe UI"/>
          <w:color w:val="67973F"/>
          <w:sz w:val="19"/>
          <w:szCs w:val="19"/>
        </w:rPr>
        <w:t>recognised</w:t>
      </w:r>
      <w:r>
        <w:rPr>
          <w:rFonts w:ascii="Segoe UI" w:hAnsi="Segoe UI" w:cs="Segoe UI" w:eastAsia="Segoe UI"/>
          <w:color w:val="67973F"/>
          <w:spacing w:val="-8"/>
          <w:sz w:val="19"/>
          <w:szCs w:val="19"/>
        </w:rPr>
        <w:t> </w:t>
      </w:r>
      <w:r>
        <w:rPr>
          <w:rFonts w:ascii="Segoe UI" w:hAnsi="Segoe UI" w:cs="Segoe UI" w:eastAsia="Segoe UI"/>
          <w:color w:val="67973F"/>
          <w:sz w:val="19"/>
          <w:szCs w:val="19"/>
        </w:rPr>
        <w:t>that</w:t>
      </w:r>
      <w:r>
        <w:rPr>
          <w:rFonts w:ascii="Segoe UI" w:hAnsi="Segoe UI" w:cs="Segoe UI" w:eastAsia="Segoe UI"/>
          <w:color w:val="67973F"/>
          <w:spacing w:val="-7"/>
          <w:sz w:val="19"/>
          <w:szCs w:val="19"/>
        </w:rPr>
        <w:t> </w:t>
      </w:r>
      <w:r>
        <w:rPr>
          <w:rFonts w:ascii="Segoe UI" w:hAnsi="Segoe UI" w:cs="Segoe UI" w:eastAsia="Segoe UI"/>
          <w:color w:val="67973F"/>
          <w:sz w:val="19"/>
          <w:szCs w:val="19"/>
        </w:rPr>
        <w:t>distance</w:t>
      </w:r>
      <w:r>
        <w:rPr>
          <w:rFonts w:ascii="Segoe UI" w:hAnsi="Segoe UI" w:cs="Segoe UI" w:eastAsia="Segoe UI"/>
          <w:color w:val="67973F"/>
          <w:spacing w:val="-7"/>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7"/>
          <w:sz w:val="19"/>
          <w:szCs w:val="19"/>
        </w:rPr>
        <w:t> </w:t>
      </w:r>
      <w:r>
        <w:rPr>
          <w:rFonts w:ascii="Segoe UI" w:hAnsi="Segoe UI" w:cs="Segoe UI" w:eastAsia="Segoe UI"/>
          <w:color w:val="67973F"/>
          <w:sz w:val="19"/>
          <w:szCs w:val="19"/>
        </w:rPr>
        <w:t>being</w:t>
      </w:r>
      <w:r>
        <w:rPr>
          <w:rFonts w:ascii="Segoe UI" w:hAnsi="Segoe UI" w:cs="Segoe UI" w:eastAsia="Segoe UI"/>
          <w:color w:val="67973F"/>
          <w:spacing w:val="-7"/>
          <w:sz w:val="19"/>
          <w:szCs w:val="19"/>
        </w:rPr>
        <w:t> </w:t>
      </w:r>
      <w:r>
        <w:rPr>
          <w:rFonts w:ascii="Segoe UI" w:hAnsi="Segoe UI" w:cs="Segoe UI" w:eastAsia="Segoe UI"/>
          <w:color w:val="67973F"/>
          <w:sz w:val="19"/>
          <w:szCs w:val="19"/>
        </w:rPr>
        <w:t>away</w:t>
      </w:r>
      <w:r>
        <w:rPr>
          <w:rFonts w:ascii="Segoe UI" w:hAnsi="Segoe UI" w:cs="Segoe UI" w:eastAsia="Segoe UI"/>
          <w:color w:val="67973F"/>
          <w:spacing w:val="-7"/>
          <w:sz w:val="19"/>
          <w:szCs w:val="19"/>
        </w:rPr>
        <w:t> </w:t>
      </w:r>
      <w:r>
        <w:rPr>
          <w:rFonts w:ascii="Segoe UI" w:hAnsi="Segoe UI" w:cs="Segoe UI" w:eastAsia="Segoe UI"/>
          <w:color w:val="67973F"/>
          <w:sz w:val="19"/>
          <w:szCs w:val="19"/>
        </w:rPr>
        <w:t>from</w:t>
      </w:r>
      <w:r>
        <w:rPr>
          <w:rFonts w:ascii="Segoe UI" w:hAnsi="Segoe UI" w:cs="Segoe UI" w:eastAsia="Segoe UI"/>
          <w:color w:val="67973F"/>
          <w:w w:val="99"/>
          <w:sz w:val="19"/>
          <w:szCs w:val="19"/>
        </w:rPr>
        <w:t> </w:t>
      </w:r>
      <w:r>
        <w:rPr>
          <w:rFonts w:ascii="Segoe UI" w:hAnsi="Segoe UI" w:cs="Segoe UI" w:eastAsia="Segoe UI"/>
          <w:color w:val="67973F"/>
          <w:sz w:val="19"/>
          <w:szCs w:val="19"/>
        </w:rPr>
        <w:t>family</w:t>
      </w:r>
      <w:r>
        <w:rPr>
          <w:rFonts w:ascii="Segoe UI" w:hAnsi="Segoe UI" w:cs="Segoe UI" w:eastAsia="Segoe UI"/>
          <w:color w:val="67973F"/>
          <w:spacing w:val="-4"/>
          <w:sz w:val="19"/>
          <w:szCs w:val="19"/>
        </w:rPr>
        <w:t> </w:t>
      </w:r>
      <w:r>
        <w:rPr>
          <w:rFonts w:ascii="Segoe UI" w:hAnsi="Segoe UI" w:cs="Segoe UI" w:eastAsia="Segoe UI"/>
          <w:color w:val="67973F"/>
          <w:sz w:val="19"/>
          <w:szCs w:val="19"/>
        </w:rPr>
        <w:t>was</w:t>
      </w:r>
      <w:r>
        <w:rPr>
          <w:rFonts w:ascii="Segoe UI" w:hAnsi="Segoe UI" w:cs="Segoe UI" w:eastAsia="Segoe UI"/>
          <w:color w:val="67973F"/>
          <w:spacing w:val="-4"/>
          <w:sz w:val="19"/>
          <w:szCs w:val="19"/>
        </w:rPr>
        <w:t> </w:t>
      </w:r>
      <w:r>
        <w:rPr>
          <w:rFonts w:ascii="Segoe UI" w:hAnsi="Segoe UI" w:cs="Segoe UI" w:eastAsia="Segoe UI"/>
          <w:color w:val="67973F"/>
          <w:sz w:val="19"/>
          <w:szCs w:val="19"/>
        </w:rPr>
        <w:t>going</w:t>
      </w:r>
      <w:r>
        <w:rPr>
          <w:rFonts w:ascii="Segoe UI" w:hAnsi="Segoe UI" w:cs="Segoe UI" w:eastAsia="Segoe UI"/>
          <w:color w:val="67973F"/>
          <w:spacing w:val="-4"/>
          <w:sz w:val="19"/>
          <w:szCs w:val="19"/>
        </w:rPr>
        <w:t> </w:t>
      </w:r>
      <w:r>
        <w:rPr>
          <w:rFonts w:ascii="Segoe UI" w:hAnsi="Segoe UI" w:cs="Segoe UI" w:eastAsia="Segoe UI"/>
          <w:color w:val="67973F"/>
          <w:sz w:val="19"/>
          <w:szCs w:val="19"/>
        </w:rPr>
        <w:t>to</w:t>
      </w:r>
      <w:r>
        <w:rPr>
          <w:rFonts w:ascii="Segoe UI" w:hAnsi="Segoe UI" w:cs="Segoe UI" w:eastAsia="Segoe UI"/>
          <w:color w:val="67973F"/>
          <w:spacing w:val="-3"/>
          <w:sz w:val="19"/>
          <w:szCs w:val="19"/>
        </w:rPr>
        <w:t> </w:t>
      </w:r>
      <w:r>
        <w:rPr>
          <w:rFonts w:ascii="Segoe UI" w:hAnsi="Segoe UI" w:cs="Segoe UI" w:eastAsia="Segoe UI"/>
          <w:color w:val="67973F"/>
          <w:sz w:val="19"/>
          <w:szCs w:val="19"/>
        </w:rPr>
        <w:t>be</w:t>
      </w:r>
      <w:r>
        <w:rPr>
          <w:rFonts w:ascii="Segoe UI" w:hAnsi="Segoe UI" w:cs="Segoe UI" w:eastAsia="Segoe UI"/>
          <w:color w:val="67973F"/>
          <w:spacing w:val="-3"/>
          <w:sz w:val="19"/>
          <w:szCs w:val="19"/>
        </w:rPr>
        <w:t> </w:t>
      </w:r>
      <w:r>
        <w:rPr>
          <w:rFonts w:ascii="Segoe UI" w:hAnsi="Segoe UI" w:cs="Segoe UI" w:eastAsia="Segoe UI"/>
          <w:color w:val="67973F"/>
          <w:sz w:val="19"/>
          <w:szCs w:val="19"/>
        </w:rPr>
        <w:t>a</w:t>
      </w:r>
      <w:r>
        <w:rPr>
          <w:rFonts w:ascii="Segoe UI" w:hAnsi="Segoe UI" w:cs="Segoe UI" w:eastAsia="Segoe UI"/>
          <w:color w:val="67973F"/>
          <w:spacing w:val="-3"/>
          <w:sz w:val="19"/>
          <w:szCs w:val="19"/>
        </w:rPr>
        <w:t> </w:t>
      </w:r>
      <w:r>
        <w:rPr>
          <w:rFonts w:ascii="Segoe UI" w:hAnsi="Segoe UI" w:cs="Segoe UI" w:eastAsia="Segoe UI"/>
          <w:color w:val="67973F"/>
          <w:sz w:val="19"/>
          <w:szCs w:val="19"/>
        </w:rPr>
        <w:t>challenge</w:t>
      </w:r>
      <w:r>
        <w:rPr>
          <w:rFonts w:ascii="Segoe UI" w:hAnsi="Segoe UI" w:cs="Segoe UI" w:eastAsia="Segoe UI"/>
          <w:color w:val="67973F"/>
          <w:spacing w:val="-4"/>
          <w:sz w:val="19"/>
          <w:szCs w:val="19"/>
        </w:rPr>
        <w:t> </w:t>
      </w:r>
      <w:r>
        <w:rPr>
          <w:rFonts w:ascii="Segoe UI" w:hAnsi="Segoe UI" w:cs="Segoe UI" w:eastAsia="Segoe UI"/>
          <w:color w:val="67973F"/>
          <w:sz w:val="19"/>
          <w:szCs w:val="19"/>
        </w:rPr>
        <w:t>for</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students</w:t>
      </w:r>
      <w:r>
        <w:rPr>
          <w:rFonts w:ascii="Segoe UI" w:hAnsi="Segoe UI" w:cs="Segoe UI" w:eastAsia="Segoe UI"/>
          <w:color w:val="67973F"/>
          <w:spacing w:val="20"/>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5"/>
          <w:sz w:val="19"/>
          <w:szCs w:val="19"/>
        </w:rPr>
        <w:t> </w:t>
      </w:r>
      <w:r>
        <w:rPr>
          <w:rFonts w:ascii="Segoe UI" w:hAnsi="Segoe UI" w:cs="Segoe UI" w:eastAsia="Segoe UI"/>
          <w:color w:val="67973F"/>
          <w:sz w:val="19"/>
          <w:szCs w:val="19"/>
        </w:rPr>
        <w:t>we</w:t>
      </w:r>
      <w:r>
        <w:rPr>
          <w:rFonts w:ascii="Segoe UI" w:hAnsi="Segoe UI" w:cs="Segoe UI" w:eastAsia="Segoe UI"/>
          <w:color w:val="67973F"/>
          <w:spacing w:val="-5"/>
          <w:sz w:val="19"/>
          <w:szCs w:val="19"/>
        </w:rPr>
        <w:t> </w:t>
      </w:r>
      <w:r>
        <w:rPr>
          <w:rFonts w:ascii="Segoe UI" w:hAnsi="Segoe UI" w:cs="Segoe UI" w:eastAsia="Segoe UI"/>
          <w:color w:val="67973F"/>
          <w:sz w:val="19"/>
          <w:szCs w:val="19"/>
        </w:rPr>
        <w:t>have</w:t>
      </w:r>
      <w:r>
        <w:rPr>
          <w:rFonts w:ascii="Segoe UI" w:hAnsi="Segoe UI" w:cs="Segoe UI" w:eastAsia="Segoe UI"/>
          <w:color w:val="67973F"/>
          <w:spacing w:val="-5"/>
          <w:sz w:val="19"/>
          <w:szCs w:val="19"/>
        </w:rPr>
        <w:t> </w:t>
      </w:r>
      <w:r>
        <w:rPr>
          <w:rFonts w:ascii="Segoe UI" w:hAnsi="Segoe UI" w:cs="Segoe UI" w:eastAsia="Segoe UI"/>
          <w:color w:val="67973F"/>
          <w:sz w:val="19"/>
          <w:szCs w:val="19"/>
        </w:rPr>
        <w:t>extensive</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support</w:t>
      </w:r>
      <w:r>
        <w:rPr>
          <w:rFonts w:ascii="Segoe UI" w:hAnsi="Segoe UI" w:cs="Segoe UI" w:eastAsia="Segoe UI"/>
          <w:color w:val="67973F"/>
          <w:spacing w:val="-5"/>
          <w:sz w:val="19"/>
          <w:szCs w:val="19"/>
        </w:rPr>
        <w:t> </w:t>
      </w:r>
      <w:r>
        <w:rPr>
          <w:rFonts w:ascii="Segoe UI" w:hAnsi="Segoe UI" w:cs="Segoe UI" w:eastAsia="Segoe UI"/>
          <w:color w:val="67973F"/>
          <w:sz w:val="19"/>
          <w:szCs w:val="19"/>
        </w:rPr>
        <w:t>programs</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in</w:t>
      </w:r>
      <w:r>
        <w:rPr>
          <w:rFonts w:ascii="Segoe UI" w:hAnsi="Segoe UI" w:cs="Segoe UI" w:eastAsia="Segoe UI"/>
          <w:color w:val="67973F"/>
          <w:spacing w:val="-1"/>
          <w:sz w:val="19"/>
          <w:szCs w:val="19"/>
        </w:rPr>
        <w:t> </w:t>
      </w:r>
      <w:r>
        <w:rPr>
          <w:rFonts w:ascii="Segoe UI" w:hAnsi="Segoe UI" w:cs="Segoe UI" w:eastAsia="Segoe UI"/>
          <w:color w:val="67973F"/>
          <w:spacing w:val="21"/>
          <w:sz w:val="19"/>
          <w:szCs w:val="19"/>
        </w:rPr>
        <w:t> </w:t>
      </w:r>
      <w:r>
        <w:rPr>
          <w:rFonts w:ascii="Segoe UI" w:hAnsi="Segoe UI" w:cs="Segoe UI" w:eastAsia="Segoe UI"/>
          <w:color w:val="67973F"/>
          <w:sz w:val="19"/>
          <w:szCs w:val="19"/>
        </w:rPr>
        <w:t>place</w:t>
      </w:r>
      <w:r>
        <w:rPr>
          <w:rFonts w:ascii="Segoe UI" w:hAnsi="Segoe UI" w:cs="Segoe UI" w:eastAsia="Segoe UI"/>
          <w:color w:val="67973F"/>
          <w:spacing w:val="-5"/>
          <w:sz w:val="19"/>
          <w:szCs w:val="19"/>
        </w:rPr>
        <w:t> </w:t>
      </w:r>
      <w:r>
        <w:rPr>
          <w:rFonts w:ascii="Segoe UI" w:hAnsi="Segoe UI" w:cs="Segoe UI" w:eastAsia="Segoe UI"/>
          <w:color w:val="67973F"/>
          <w:sz w:val="19"/>
          <w:szCs w:val="19"/>
        </w:rPr>
        <w:t>to</w:t>
      </w:r>
      <w:r>
        <w:rPr>
          <w:rFonts w:ascii="Segoe UI" w:hAnsi="Segoe UI" w:cs="Segoe UI" w:eastAsia="Segoe UI"/>
          <w:color w:val="67973F"/>
          <w:spacing w:val="-3"/>
          <w:sz w:val="19"/>
          <w:szCs w:val="19"/>
        </w:rPr>
        <w:t> </w:t>
      </w:r>
      <w:r>
        <w:rPr>
          <w:rFonts w:ascii="Segoe UI" w:hAnsi="Segoe UI" w:cs="Segoe UI" w:eastAsia="Segoe UI"/>
          <w:color w:val="67973F"/>
          <w:sz w:val="19"/>
          <w:szCs w:val="19"/>
        </w:rPr>
        <w:t>help</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students</w:t>
      </w:r>
      <w:r>
        <w:rPr>
          <w:rFonts w:ascii="Segoe UI" w:hAnsi="Segoe UI" w:cs="Segoe UI" w:eastAsia="Segoe UI"/>
          <w:color w:val="67973F"/>
          <w:spacing w:val="-3"/>
          <w:sz w:val="19"/>
          <w:szCs w:val="19"/>
        </w:rPr>
        <w:t> </w:t>
      </w:r>
      <w:r>
        <w:rPr>
          <w:rFonts w:ascii="Segoe UI" w:hAnsi="Segoe UI" w:cs="Segoe UI" w:eastAsia="Segoe UI"/>
          <w:color w:val="67973F"/>
          <w:sz w:val="19"/>
          <w:szCs w:val="19"/>
        </w:rPr>
        <w:t>transition</w:t>
      </w:r>
      <w:r>
        <w:rPr>
          <w:rFonts w:ascii="Segoe UI" w:hAnsi="Segoe UI" w:cs="Segoe UI" w:eastAsia="Segoe UI"/>
          <w:color w:val="67973F"/>
          <w:spacing w:val="-5"/>
          <w:sz w:val="19"/>
          <w:szCs w:val="19"/>
        </w:rPr>
        <w:t> </w:t>
      </w:r>
      <w:r>
        <w:rPr>
          <w:rFonts w:ascii="Segoe UI" w:hAnsi="Segoe UI" w:cs="Segoe UI" w:eastAsia="Segoe UI"/>
          <w:color w:val="67973F"/>
          <w:spacing w:val="-1"/>
          <w:sz w:val="19"/>
          <w:szCs w:val="19"/>
        </w:rPr>
        <w:t>smoothly</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into</w:t>
      </w:r>
      <w:r>
        <w:rPr>
          <w:rFonts w:ascii="Segoe UI" w:hAnsi="Segoe UI" w:cs="Segoe UI" w:eastAsia="Segoe UI"/>
          <w:sz w:val="19"/>
          <w:szCs w:val="19"/>
        </w:rPr>
      </w:r>
    </w:p>
    <w:p>
      <w:pPr>
        <w:spacing w:line="265" w:lineRule="auto" w:before="0"/>
        <w:ind w:left="100" w:right="243" w:firstLine="0"/>
        <w:jc w:val="left"/>
        <w:rPr>
          <w:rFonts w:ascii="Segoe UI" w:hAnsi="Segoe UI" w:cs="Segoe UI" w:eastAsia="Segoe UI"/>
          <w:sz w:val="19"/>
          <w:szCs w:val="19"/>
        </w:rPr>
      </w:pPr>
      <w:r>
        <w:rPr>
          <w:rFonts w:ascii="Segoe UI" w:hAnsi="Segoe UI" w:cs="Segoe UI" w:eastAsia="Segoe UI"/>
          <w:color w:val="67973F"/>
          <w:sz w:val="19"/>
          <w:szCs w:val="19"/>
        </w:rPr>
        <w:t>boarding</w:t>
      </w:r>
      <w:r>
        <w:rPr>
          <w:rFonts w:ascii="Segoe UI" w:hAnsi="Segoe UI" w:cs="Segoe UI" w:eastAsia="Segoe UI"/>
          <w:color w:val="67973F"/>
          <w:spacing w:val="-7"/>
          <w:sz w:val="19"/>
          <w:szCs w:val="19"/>
        </w:rPr>
        <w:t> </w:t>
      </w:r>
      <w:r>
        <w:rPr>
          <w:rFonts w:ascii="Segoe UI" w:hAnsi="Segoe UI" w:cs="Segoe UI" w:eastAsia="Segoe UI"/>
          <w:color w:val="67973F"/>
          <w:spacing w:val="-1"/>
          <w:sz w:val="19"/>
          <w:szCs w:val="19"/>
        </w:rPr>
        <w:t>life,”</w:t>
      </w:r>
      <w:r>
        <w:rPr>
          <w:rFonts w:ascii="Segoe UI" w:hAnsi="Segoe UI" w:cs="Segoe UI" w:eastAsia="Segoe UI"/>
          <w:color w:val="67973F"/>
          <w:spacing w:val="-6"/>
          <w:sz w:val="19"/>
          <w:szCs w:val="19"/>
        </w:rPr>
        <w:t> </w:t>
      </w:r>
      <w:r>
        <w:rPr>
          <w:rFonts w:ascii="Segoe UI" w:hAnsi="Segoe UI" w:cs="Segoe UI" w:eastAsia="Segoe UI"/>
          <w:color w:val="67973F"/>
          <w:spacing w:val="-1"/>
          <w:sz w:val="19"/>
          <w:szCs w:val="19"/>
        </w:rPr>
        <w:t>Sabina</w:t>
      </w:r>
      <w:r>
        <w:rPr>
          <w:rFonts w:ascii="Segoe UI" w:hAnsi="Segoe UI" w:cs="Segoe UI" w:eastAsia="Segoe UI"/>
          <w:color w:val="67973F"/>
          <w:spacing w:val="-6"/>
          <w:sz w:val="19"/>
          <w:szCs w:val="19"/>
        </w:rPr>
        <w:t> </w:t>
      </w:r>
      <w:r>
        <w:rPr>
          <w:rFonts w:ascii="Segoe UI" w:hAnsi="Segoe UI" w:cs="Segoe UI" w:eastAsia="Segoe UI"/>
          <w:color w:val="67973F"/>
          <w:spacing w:val="-1"/>
          <w:sz w:val="19"/>
          <w:szCs w:val="19"/>
        </w:rPr>
        <w:t>Smith,</w:t>
      </w:r>
      <w:r>
        <w:rPr>
          <w:rFonts w:ascii="Segoe UI" w:hAnsi="Segoe UI" w:cs="Segoe UI" w:eastAsia="Segoe UI"/>
          <w:color w:val="67973F"/>
          <w:spacing w:val="-7"/>
          <w:sz w:val="19"/>
          <w:szCs w:val="19"/>
        </w:rPr>
        <w:t> </w:t>
      </w:r>
      <w:r>
        <w:rPr>
          <w:rFonts w:ascii="Segoe UI" w:hAnsi="Segoe UI" w:cs="Segoe UI" w:eastAsia="Segoe UI"/>
          <w:color w:val="67973F"/>
          <w:spacing w:val="-1"/>
          <w:sz w:val="19"/>
          <w:szCs w:val="19"/>
        </w:rPr>
        <w:t>Principal,</w:t>
      </w:r>
      <w:r>
        <w:rPr>
          <w:rFonts w:ascii="Segoe UI" w:hAnsi="Segoe UI" w:cs="Segoe UI" w:eastAsia="Segoe UI"/>
          <w:color w:val="67973F"/>
          <w:spacing w:val="-6"/>
          <w:sz w:val="19"/>
          <w:szCs w:val="19"/>
        </w:rPr>
        <w:t> </w:t>
      </w:r>
      <w:r>
        <w:rPr>
          <w:rFonts w:ascii="Segoe UI" w:hAnsi="Segoe UI" w:cs="Segoe UI" w:eastAsia="Segoe UI"/>
          <w:color w:val="67973F"/>
          <w:sz w:val="19"/>
          <w:szCs w:val="19"/>
        </w:rPr>
        <w:t>Nhulunbuy</w:t>
      </w:r>
      <w:r>
        <w:rPr>
          <w:rFonts w:ascii="Segoe UI" w:hAnsi="Segoe UI" w:cs="Segoe UI" w:eastAsia="Segoe UI"/>
          <w:color w:val="67973F"/>
          <w:spacing w:val="25"/>
          <w:w w:val="99"/>
          <w:sz w:val="19"/>
          <w:szCs w:val="19"/>
        </w:rPr>
        <w:t> </w:t>
      </w:r>
      <w:r>
        <w:rPr>
          <w:rFonts w:ascii="Segoe UI" w:hAnsi="Segoe UI" w:cs="Segoe UI" w:eastAsia="Segoe UI"/>
          <w:color w:val="67973F"/>
          <w:spacing w:val="-1"/>
          <w:sz w:val="19"/>
          <w:szCs w:val="19"/>
        </w:rPr>
        <w:t>High.</w:t>
      </w:r>
      <w:r>
        <w:rPr>
          <w:rFonts w:ascii="Segoe UI" w:hAnsi="Segoe UI" w:cs="Segoe UI" w:eastAsia="Segoe UI"/>
          <w:color w:val="67973F"/>
          <w:spacing w:val="-1"/>
          <w:position w:val="6"/>
          <w:sz w:val="11"/>
          <w:szCs w:val="11"/>
        </w:rPr>
        <w:t>181</w:t>
      </w:r>
      <w:r>
        <w:rPr>
          <w:rFonts w:ascii="Segoe UI" w:hAnsi="Segoe UI" w:cs="Segoe UI" w:eastAsia="Segoe UI"/>
          <w:color w:val="67973F"/>
          <w:spacing w:val="15"/>
          <w:position w:val="6"/>
          <w:sz w:val="11"/>
          <w:szCs w:val="11"/>
        </w:rPr>
        <w:t> </w:t>
      </w:r>
      <w:r>
        <w:rPr>
          <w:rFonts w:ascii="Segoe UI" w:hAnsi="Segoe UI" w:cs="Segoe UI" w:eastAsia="Segoe UI"/>
          <w:color w:val="67973F"/>
          <w:spacing w:val="-1"/>
          <w:sz w:val="19"/>
          <w:szCs w:val="19"/>
        </w:rPr>
        <w:t>Dawurr</w:t>
      </w:r>
      <w:r>
        <w:rPr>
          <w:rFonts w:ascii="Segoe UI" w:hAnsi="Segoe UI" w:cs="Segoe UI" w:eastAsia="Segoe UI"/>
          <w:color w:val="67973F"/>
          <w:spacing w:val="-7"/>
          <w:sz w:val="19"/>
          <w:szCs w:val="19"/>
        </w:rPr>
        <w:t> </w:t>
      </w:r>
      <w:r>
        <w:rPr>
          <w:rFonts w:ascii="Segoe UI" w:hAnsi="Segoe UI" w:cs="Segoe UI" w:eastAsia="Segoe UI"/>
          <w:color w:val="67973F"/>
          <w:spacing w:val="-1"/>
          <w:sz w:val="19"/>
          <w:szCs w:val="19"/>
        </w:rPr>
        <w:t>Boarding</w:t>
      </w:r>
      <w:r>
        <w:rPr>
          <w:rFonts w:ascii="Segoe UI" w:hAnsi="Segoe UI" w:cs="Segoe UI" w:eastAsia="Segoe UI"/>
          <w:color w:val="67973F"/>
          <w:spacing w:val="-6"/>
          <w:sz w:val="19"/>
          <w:szCs w:val="19"/>
        </w:rPr>
        <w:t> </w:t>
      </w:r>
      <w:r>
        <w:rPr>
          <w:rFonts w:ascii="Segoe UI" w:hAnsi="Segoe UI" w:cs="Segoe UI" w:eastAsia="Segoe UI"/>
          <w:color w:val="67973F"/>
          <w:spacing w:val="-1"/>
          <w:sz w:val="19"/>
          <w:szCs w:val="19"/>
        </w:rPr>
        <w:t>is</w:t>
      </w:r>
      <w:r>
        <w:rPr>
          <w:rFonts w:ascii="Segoe UI" w:hAnsi="Segoe UI" w:cs="Segoe UI" w:eastAsia="Segoe UI"/>
          <w:color w:val="67973F"/>
          <w:spacing w:val="-7"/>
          <w:sz w:val="19"/>
          <w:szCs w:val="19"/>
        </w:rPr>
        <w:t> </w:t>
      </w:r>
      <w:r>
        <w:rPr>
          <w:rFonts w:ascii="Segoe UI" w:hAnsi="Segoe UI" w:cs="Segoe UI" w:eastAsia="Segoe UI"/>
          <w:color w:val="67973F"/>
          <w:sz w:val="19"/>
          <w:szCs w:val="19"/>
        </w:rPr>
        <w:t>funded</w:t>
      </w:r>
      <w:r>
        <w:rPr>
          <w:rFonts w:ascii="Segoe UI" w:hAnsi="Segoe UI" w:cs="Segoe UI" w:eastAsia="Segoe UI"/>
          <w:color w:val="67973F"/>
          <w:spacing w:val="-6"/>
          <w:sz w:val="19"/>
          <w:szCs w:val="19"/>
        </w:rPr>
        <w:t> </w:t>
      </w:r>
      <w:r>
        <w:rPr>
          <w:rFonts w:ascii="Segoe UI" w:hAnsi="Segoe UI" w:cs="Segoe UI" w:eastAsia="Segoe UI"/>
          <w:color w:val="67973F"/>
          <w:sz w:val="19"/>
          <w:szCs w:val="19"/>
        </w:rPr>
        <w:t>through</w:t>
      </w:r>
      <w:r>
        <w:rPr>
          <w:rFonts w:ascii="Segoe UI" w:hAnsi="Segoe UI" w:cs="Segoe UI" w:eastAsia="Segoe UI"/>
          <w:color w:val="67973F"/>
          <w:spacing w:val="21"/>
          <w:w w:val="99"/>
          <w:sz w:val="19"/>
          <w:szCs w:val="19"/>
        </w:rPr>
        <w:t> </w:t>
      </w:r>
      <w:r>
        <w:rPr>
          <w:rFonts w:ascii="Segoe UI" w:hAnsi="Segoe UI" w:cs="Segoe UI" w:eastAsia="Segoe UI"/>
          <w:color w:val="67973F"/>
          <w:sz w:val="19"/>
          <w:szCs w:val="19"/>
        </w:rPr>
        <w:t>ABSTUDY</w:t>
      </w:r>
      <w:r>
        <w:rPr>
          <w:rFonts w:ascii="Segoe UI" w:hAnsi="Segoe UI" w:cs="Segoe UI" w:eastAsia="Segoe UI"/>
          <w:color w:val="67973F"/>
          <w:spacing w:val="-7"/>
          <w:sz w:val="19"/>
          <w:szCs w:val="19"/>
        </w:rPr>
        <w:t> </w:t>
      </w:r>
      <w:r>
        <w:rPr>
          <w:rFonts w:ascii="Segoe UI" w:hAnsi="Segoe UI" w:cs="Segoe UI" w:eastAsia="Segoe UI"/>
          <w:color w:val="67973F"/>
          <w:sz w:val="19"/>
          <w:szCs w:val="19"/>
        </w:rPr>
        <w:t>payments</w:t>
      </w:r>
      <w:r>
        <w:rPr>
          <w:rFonts w:ascii="Segoe UI" w:hAnsi="Segoe UI" w:cs="Segoe UI" w:eastAsia="Segoe UI"/>
          <w:color w:val="67973F"/>
          <w:spacing w:val="-7"/>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7"/>
          <w:sz w:val="19"/>
          <w:szCs w:val="19"/>
        </w:rPr>
        <w:t> </w:t>
      </w:r>
      <w:r>
        <w:rPr>
          <w:rFonts w:ascii="Segoe UI" w:hAnsi="Segoe UI" w:cs="Segoe UI" w:eastAsia="Segoe UI"/>
          <w:color w:val="67973F"/>
          <w:sz w:val="19"/>
          <w:szCs w:val="19"/>
        </w:rPr>
        <w:t>targeted</w:t>
      </w:r>
      <w:r>
        <w:rPr>
          <w:rFonts w:ascii="Segoe UI" w:hAnsi="Segoe UI" w:cs="Segoe UI" w:eastAsia="Segoe UI"/>
          <w:color w:val="67973F"/>
          <w:spacing w:val="-7"/>
          <w:sz w:val="19"/>
          <w:szCs w:val="19"/>
        </w:rPr>
        <w:t> </w:t>
      </w:r>
      <w:r>
        <w:rPr>
          <w:rFonts w:ascii="Segoe UI" w:hAnsi="Segoe UI" w:cs="Segoe UI" w:eastAsia="Segoe UI"/>
          <w:color w:val="67973F"/>
          <w:sz w:val="19"/>
          <w:szCs w:val="19"/>
        </w:rPr>
        <w:t>funding</w:t>
      </w:r>
      <w:r>
        <w:rPr>
          <w:rFonts w:ascii="Segoe UI" w:hAnsi="Segoe UI" w:cs="Segoe UI" w:eastAsia="Segoe UI"/>
          <w:color w:val="67973F"/>
          <w:spacing w:val="-5"/>
          <w:sz w:val="19"/>
          <w:szCs w:val="19"/>
        </w:rPr>
        <w:t> </w:t>
      </w:r>
      <w:r>
        <w:rPr>
          <w:rFonts w:ascii="Segoe UI" w:hAnsi="Segoe UI" w:cs="Segoe UI" w:eastAsia="Segoe UI"/>
          <w:color w:val="67973F"/>
          <w:sz w:val="19"/>
          <w:szCs w:val="19"/>
        </w:rPr>
        <w:t>from</w:t>
      </w:r>
      <w:r>
        <w:rPr>
          <w:rFonts w:ascii="Segoe UI" w:hAnsi="Segoe UI" w:cs="Segoe UI" w:eastAsia="Segoe UI"/>
          <w:color w:val="67973F"/>
          <w:w w:val="99"/>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11"/>
          <w:sz w:val="19"/>
          <w:szCs w:val="19"/>
        </w:rPr>
        <w:t> </w:t>
      </w:r>
      <w:r>
        <w:rPr>
          <w:rFonts w:ascii="Segoe UI" w:hAnsi="Segoe UI" w:cs="Segoe UI" w:eastAsia="Segoe UI"/>
          <w:color w:val="67973F"/>
          <w:sz w:val="19"/>
          <w:szCs w:val="19"/>
        </w:rPr>
        <w:t>Northern</w:t>
      </w:r>
      <w:r>
        <w:rPr>
          <w:rFonts w:ascii="Segoe UI" w:hAnsi="Segoe UI" w:cs="Segoe UI" w:eastAsia="Segoe UI"/>
          <w:color w:val="67973F"/>
          <w:spacing w:val="-9"/>
          <w:sz w:val="19"/>
          <w:szCs w:val="19"/>
        </w:rPr>
        <w:t> </w:t>
      </w:r>
      <w:r>
        <w:rPr>
          <w:rFonts w:ascii="Segoe UI" w:hAnsi="Segoe UI" w:cs="Segoe UI" w:eastAsia="Segoe UI"/>
          <w:color w:val="67973F"/>
          <w:spacing w:val="-3"/>
          <w:sz w:val="19"/>
          <w:szCs w:val="19"/>
        </w:rPr>
        <w:t>Territory</w:t>
      </w:r>
      <w:r>
        <w:rPr>
          <w:rFonts w:ascii="Segoe UI" w:hAnsi="Segoe UI" w:cs="Segoe UI" w:eastAsia="Segoe UI"/>
          <w:color w:val="67973F"/>
          <w:spacing w:val="-10"/>
          <w:sz w:val="19"/>
          <w:szCs w:val="19"/>
        </w:rPr>
        <w:t> </w:t>
      </w:r>
      <w:r>
        <w:rPr>
          <w:rFonts w:ascii="Segoe UI" w:hAnsi="Segoe UI" w:cs="Segoe UI" w:eastAsia="Segoe UI"/>
          <w:color w:val="67973F"/>
          <w:sz w:val="19"/>
          <w:szCs w:val="19"/>
        </w:rPr>
        <w:t>Government.</w:t>
      </w:r>
      <w:r>
        <w:rPr>
          <w:rFonts w:ascii="Segoe UI" w:hAnsi="Segoe UI" w:cs="Segoe UI" w:eastAsia="Segoe UI"/>
          <w:sz w:val="19"/>
          <w:szCs w:val="19"/>
        </w:rPr>
      </w:r>
    </w:p>
    <w:p>
      <w:pPr>
        <w:spacing w:after="0" w:line="265" w:lineRule="auto"/>
        <w:jc w:val="left"/>
        <w:rPr>
          <w:rFonts w:ascii="Segoe UI" w:hAnsi="Segoe UI" w:cs="Segoe UI" w:eastAsia="Segoe UI"/>
          <w:sz w:val="19"/>
          <w:szCs w:val="19"/>
        </w:rPr>
        <w:sectPr>
          <w:type w:val="continuous"/>
          <w:pgSz w:w="11910" w:h="16840"/>
          <w:pgMar w:top="1580" w:bottom="280" w:left="1600" w:right="1300"/>
          <w:cols w:num="2" w:equalWidth="0">
            <w:col w:w="4297" w:space="239"/>
            <w:col w:w="4474"/>
          </w:cols>
        </w:sectPr>
      </w:pPr>
    </w:p>
    <w:p>
      <w:pPr>
        <w:spacing w:line="240" w:lineRule="auto" w:before="7"/>
        <w:rPr>
          <w:rFonts w:ascii="Segoe UI" w:hAnsi="Segoe UI" w:cs="Segoe UI" w:eastAsia="Segoe UI"/>
          <w:sz w:val="19"/>
          <w:szCs w:val="19"/>
        </w:rPr>
      </w:pPr>
    </w:p>
    <w:p>
      <w:pPr>
        <w:spacing w:line="40" w:lineRule="atLeast"/>
        <w:ind w:left="4636" w:right="0" w:firstLine="0"/>
        <w:rPr>
          <w:rFonts w:ascii="Segoe UI" w:hAnsi="Segoe UI" w:cs="Segoe UI" w:eastAsia="Segoe UI"/>
          <w:sz w:val="4"/>
          <w:szCs w:val="4"/>
        </w:rPr>
      </w:pPr>
      <w:r>
        <w:rPr>
          <w:rFonts w:ascii="Segoe UI" w:hAnsi="Segoe UI" w:cs="Segoe UI" w:eastAsia="Segoe UI"/>
          <w:sz w:val="4"/>
          <w:szCs w:val="4"/>
        </w:rPr>
        <w:pict>
          <v:group style="width:209.8pt;height:2pt;mso-position-horizontal-relative:char;mso-position-vertical-relative:line" coordorigin="0,0" coordsize="4196,40">
            <v:group style="position:absolute;left:100;top:20;width:4036;height:2" coordorigin="100,20" coordsize="4036,2">
              <v:shape style="position:absolute;left:100;top:20;width:4036;height:2" coordorigin="100,20" coordsize="4036,0" path="m100,20l4135,20e" filled="false" stroked="true" strokeweight="2pt" strokecolor="#67973f">
                <v:path arrowok="t"/>
                <v:stroke dashstyle="dash"/>
              </v:shape>
            </v:group>
            <v:group style="position:absolute;left:20;top:20;width:2;height:2" coordorigin="20,20" coordsize="2,2">
              <v:shape style="position:absolute;left:20;top:20;width:2;height:2" coordorigin="20,20" coordsize="0,0" path="m20,20l20,20e" filled="false" stroked="true" strokeweight="2pt" strokecolor="#67973f">
                <v:path arrowok="t"/>
              </v:shape>
            </v:group>
            <v:group style="position:absolute;left:4175;top:20;width:2;height:2" coordorigin="4175,20" coordsize="2,2">
              <v:shape style="position:absolute;left:4175;top:20;width:2;height:2" coordorigin="4175,20" coordsize="0,0" path="m4175,20l4175,20e" filled="false" stroked="true" strokeweight="2pt" strokecolor="#67973f">
                <v:path arrowok="t"/>
              </v:shape>
            </v:group>
          </v:group>
        </w:pict>
      </w:r>
      <w:r>
        <w:rPr>
          <w:rFonts w:ascii="Segoe UI" w:hAnsi="Segoe UI" w:cs="Segoe UI" w:eastAsia="Segoe UI"/>
          <w:sz w:val="4"/>
          <w:szCs w:val="4"/>
        </w:rPr>
      </w:r>
    </w:p>
    <w:p>
      <w:pPr>
        <w:spacing w:after="0" w:line="40" w:lineRule="atLeast"/>
        <w:rPr>
          <w:rFonts w:ascii="Segoe UI" w:hAnsi="Segoe UI" w:cs="Segoe UI" w:eastAsia="Segoe UI"/>
          <w:sz w:val="4"/>
          <w:szCs w:val="4"/>
        </w:rPr>
        <w:sectPr>
          <w:type w:val="continuous"/>
          <w:pgSz w:w="11910" w:h="16840"/>
          <w:pgMar w:top="1580" w:bottom="280" w:left="1600" w:right="1300"/>
        </w:sectPr>
      </w:pPr>
    </w:p>
    <w:p>
      <w:pPr>
        <w:spacing w:line="240" w:lineRule="auto" w:before="0"/>
        <w:rPr>
          <w:rFonts w:ascii="Segoe UI" w:hAnsi="Segoe UI" w:cs="Segoe UI" w:eastAsia="Segoe UI"/>
          <w:sz w:val="20"/>
          <w:szCs w:val="20"/>
        </w:rPr>
      </w:pPr>
    </w:p>
    <w:p>
      <w:pPr>
        <w:spacing w:line="240" w:lineRule="auto" w:before="8"/>
        <w:rPr>
          <w:rFonts w:ascii="Segoe UI" w:hAnsi="Segoe UI" w:cs="Segoe UI" w:eastAsia="Segoe UI"/>
          <w:sz w:val="21"/>
          <w:szCs w:val="21"/>
        </w:rPr>
      </w:pPr>
    </w:p>
    <w:p>
      <w:pPr>
        <w:spacing w:after="0" w:line="240" w:lineRule="auto"/>
        <w:rPr>
          <w:rFonts w:ascii="Segoe UI" w:hAnsi="Segoe UI" w:cs="Segoe UI" w:eastAsia="Segoe UI"/>
          <w:sz w:val="21"/>
          <w:szCs w:val="21"/>
        </w:rPr>
        <w:sectPr>
          <w:footerReference w:type="even" r:id="rId87"/>
          <w:footerReference w:type="default" r:id="rId88"/>
          <w:pgSz w:w="11910" w:h="16840"/>
          <w:pgMar w:footer="691" w:header="0" w:top="1580" w:bottom="880" w:left="1300" w:right="1600"/>
          <w:pgNumType w:start="102"/>
        </w:sectPr>
      </w:pPr>
    </w:p>
    <w:p>
      <w:pPr>
        <w:spacing w:line="240" w:lineRule="auto" w:before="10"/>
        <w:rPr>
          <w:rFonts w:ascii="Segoe UI" w:hAnsi="Segoe UI" w:cs="Segoe UI" w:eastAsia="Segoe UI"/>
          <w:sz w:val="8"/>
          <w:szCs w:val="8"/>
        </w:rPr>
      </w:pPr>
    </w:p>
    <w:p>
      <w:pPr>
        <w:spacing w:line="200" w:lineRule="atLeast"/>
        <w:ind w:left="117" w:right="0" w:firstLine="0"/>
        <w:rPr>
          <w:rFonts w:ascii="Segoe UI" w:hAnsi="Segoe UI" w:cs="Segoe UI" w:eastAsia="Segoe UI"/>
          <w:sz w:val="20"/>
          <w:szCs w:val="20"/>
        </w:rPr>
      </w:pPr>
      <w:r>
        <w:rPr>
          <w:rFonts w:ascii="Segoe UI" w:hAnsi="Segoe UI" w:cs="Segoe UI" w:eastAsia="Segoe UI"/>
          <w:sz w:val="20"/>
          <w:szCs w:val="20"/>
        </w:rPr>
        <w:pict>
          <v:group style="width:209.8pt;height:14.2pt;mso-position-horizontal-relative:char;mso-position-vertical-relative:line" coordorigin="0,0" coordsize="4196,284">
            <v:group style="position:absolute;left:283;top:0;width:3912;height:284" coordorigin="283,0" coordsize="3912,284">
              <v:shape style="position:absolute;left:283;top:0;width:3912;height:284" coordorigin="283,0" coordsize="3912,284" path="m283,283l4195,283,4195,0,283,0,283,283xe" filled="true" fillcolor="#97bf3d" stroked="false">
                <v:path arrowok="t"/>
                <v:fill type="solid"/>
              </v:shape>
            </v:group>
            <v:group style="position:absolute;left:0;top:0;width:284;height:284" coordorigin="0,0" coordsize="284,284">
              <v:shape style="position:absolute;left:0;top:0;width:284;height:284" coordorigin="0,0" coordsize="284,284" path="m0,283l283,283,283,0,0,0,0,283xe" filled="true" fillcolor="#67973f" stroked="false">
                <v:path arrowok="t"/>
                <v:fill type="solid"/>
              </v:shape>
              <v:shape style="position:absolute;left:0;top:0;width:4196;height:284" type="#_x0000_t202" filled="false" stroked="false">
                <v:textbox inset="0,0,0,0">
                  <w:txbxContent>
                    <w:p>
                      <w:pPr>
                        <w:spacing w:before="5"/>
                        <w:ind w:left="368" w:right="0" w:firstLine="0"/>
                        <w:jc w:val="left"/>
                        <w:rPr>
                          <w:rFonts w:ascii="Segoe UI" w:hAnsi="Segoe UI" w:cs="Segoe UI" w:eastAsia="Segoe UI"/>
                          <w:sz w:val="18"/>
                          <w:szCs w:val="18"/>
                        </w:rPr>
                      </w:pPr>
                      <w:r>
                        <w:rPr>
                          <w:rFonts w:ascii="Segoe UI"/>
                          <w:b/>
                          <w:i/>
                          <w:color w:val="FFFFFF"/>
                          <w:spacing w:val="-1"/>
                          <w:sz w:val="18"/>
                        </w:rPr>
                        <w:t>Case</w:t>
                      </w:r>
                      <w:r>
                        <w:rPr>
                          <w:rFonts w:ascii="Segoe UI"/>
                          <w:b/>
                          <w:i/>
                          <w:color w:val="FFFFFF"/>
                          <w:spacing w:val="-4"/>
                          <w:sz w:val="18"/>
                        </w:rPr>
                        <w:t> </w:t>
                      </w:r>
                      <w:r>
                        <w:rPr>
                          <w:rFonts w:ascii="Segoe UI"/>
                          <w:b/>
                          <w:i/>
                          <w:color w:val="FFFFFF"/>
                          <w:sz w:val="18"/>
                        </w:rPr>
                        <w:t>study</w:t>
                      </w:r>
                      <w:r>
                        <w:rPr>
                          <w:rFonts w:ascii="Segoe UI"/>
                          <w:b/>
                          <w:i/>
                          <w:color w:val="FFFFFF"/>
                          <w:spacing w:val="-5"/>
                          <w:sz w:val="18"/>
                        </w:rPr>
                        <w:t> </w:t>
                      </w:r>
                      <w:r>
                        <w:rPr>
                          <w:rFonts w:ascii="Segoe UI"/>
                          <w:b/>
                          <w:i/>
                          <w:color w:val="FFFFFF"/>
                          <w:spacing w:val="-1"/>
                          <w:sz w:val="18"/>
                        </w:rPr>
                        <w:t>13</w:t>
                      </w:r>
                      <w:r>
                        <w:rPr>
                          <w:rFonts w:ascii="Segoe UI"/>
                          <w:sz w:val="18"/>
                        </w:rPr>
                      </w:r>
                    </w:p>
                  </w:txbxContent>
                </v:textbox>
                <w10:wrap type="none"/>
              </v:shape>
            </v:group>
          </v:group>
        </w:pict>
      </w:r>
      <w:r>
        <w:rPr>
          <w:rFonts w:ascii="Segoe UI" w:hAnsi="Segoe UI" w:cs="Segoe UI" w:eastAsia="Segoe UI"/>
          <w:sz w:val="20"/>
          <w:szCs w:val="20"/>
        </w:rPr>
      </w:r>
    </w:p>
    <w:p>
      <w:pPr>
        <w:spacing w:line="240" w:lineRule="auto" w:before="11"/>
        <w:rPr>
          <w:rFonts w:ascii="Segoe UI" w:hAnsi="Segoe UI" w:cs="Segoe UI" w:eastAsia="Segoe UI"/>
          <w:sz w:val="17"/>
          <w:szCs w:val="17"/>
        </w:rPr>
      </w:pPr>
    </w:p>
    <w:p>
      <w:pPr>
        <w:pStyle w:val="Heading6"/>
        <w:spacing w:line="240" w:lineRule="auto" w:before="0"/>
        <w:ind w:left="117" w:right="6"/>
        <w:jc w:val="left"/>
        <w:rPr>
          <w:b w:val="0"/>
          <w:bCs w:val="0"/>
        </w:rPr>
      </w:pPr>
      <w:r>
        <w:rPr>
          <w:color w:val="67973F"/>
        </w:rPr>
        <w:t>Tiwi</w:t>
      </w:r>
      <w:r>
        <w:rPr>
          <w:color w:val="67973F"/>
          <w:spacing w:val="-1"/>
        </w:rPr>
        <w:t> </w:t>
      </w:r>
      <w:r>
        <w:rPr>
          <w:color w:val="67973F"/>
        </w:rPr>
        <w:t>College,</w:t>
      </w:r>
      <w:r>
        <w:rPr>
          <w:color w:val="67973F"/>
          <w:spacing w:val="-1"/>
        </w:rPr>
        <w:t> Pickataramoor</w:t>
      </w:r>
      <w:r>
        <w:rPr>
          <w:b w:val="0"/>
        </w:rPr>
      </w:r>
    </w:p>
    <w:p>
      <w:pPr>
        <w:pStyle w:val="Heading7"/>
        <w:spacing w:line="252" w:lineRule="auto"/>
        <w:ind w:left="117" w:right="0"/>
        <w:jc w:val="left"/>
        <w:rPr>
          <w:b w:val="0"/>
          <w:bCs w:val="0"/>
          <w:i w:val="0"/>
        </w:rPr>
      </w:pPr>
      <w:r>
        <w:rPr>
          <w:i/>
          <w:color w:val="67973F"/>
        </w:rPr>
        <w:t>Tiwi</w:t>
      </w:r>
      <w:r>
        <w:rPr>
          <w:i/>
          <w:color w:val="67973F"/>
          <w:spacing w:val="-4"/>
        </w:rPr>
        <w:t> </w:t>
      </w:r>
      <w:r>
        <w:rPr>
          <w:i/>
          <w:color w:val="67973F"/>
          <w:spacing w:val="-1"/>
        </w:rPr>
        <w:t>College,</w:t>
      </w:r>
      <w:r>
        <w:rPr>
          <w:i/>
          <w:color w:val="67973F"/>
          <w:spacing w:val="-4"/>
        </w:rPr>
        <w:t> </w:t>
      </w:r>
      <w:r>
        <w:rPr>
          <w:i/>
          <w:color w:val="67973F"/>
          <w:spacing w:val="-2"/>
        </w:rPr>
        <w:t>Pickataramoor,</w:t>
      </w:r>
      <w:r>
        <w:rPr>
          <w:i/>
          <w:color w:val="67973F"/>
          <w:spacing w:val="-3"/>
        </w:rPr>
        <w:t> </w:t>
      </w:r>
      <w:r>
        <w:rPr>
          <w:i/>
          <w:color w:val="67973F"/>
        </w:rPr>
        <w:t>Melville</w:t>
      </w:r>
      <w:r>
        <w:rPr>
          <w:i/>
          <w:color w:val="67973F"/>
          <w:spacing w:val="-4"/>
        </w:rPr>
        <w:t> </w:t>
      </w:r>
      <w:r>
        <w:rPr>
          <w:i/>
          <w:color w:val="67973F"/>
        </w:rPr>
        <w:t>Island,</w:t>
      </w:r>
      <w:r>
        <w:rPr>
          <w:i/>
          <w:color w:val="67973F"/>
          <w:spacing w:val="21"/>
          <w:w w:val="99"/>
        </w:rPr>
        <w:t> </w:t>
      </w:r>
      <w:r>
        <w:rPr>
          <w:i/>
          <w:color w:val="67973F"/>
        </w:rPr>
        <w:t>No</w:t>
      </w:r>
      <w:r>
        <w:rPr>
          <w:i/>
          <w:color w:val="67973F"/>
          <w:spacing w:val="6"/>
        </w:rPr>
        <w:t>r</w:t>
      </w:r>
      <w:r>
        <w:rPr>
          <w:i/>
          <w:color w:val="67973F"/>
        </w:rPr>
        <w:t>the</w:t>
      </w:r>
      <w:r>
        <w:rPr>
          <w:i/>
          <w:color w:val="67973F"/>
          <w:spacing w:val="1"/>
        </w:rPr>
        <w:t>r</w:t>
      </w:r>
      <w:r>
        <w:rPr>
          <w:i/>
          <w:color w:val="67973F"/>
        </w:rPr>
        <w:t>n</w:t>
      </w:r>
      <w:r>
        <w:rPr>
          <w:i/>
          <w:color w:val="67973F"/>
          <w:spacing w:val="-8"/>
        </w:rPr>
        <w:t> </w:t>
      </w:r>
      <w:r>
        <w:rPr>
          <w:i/>
          <w:color w:val="67973F"/>
          <w:spacing w:val="-25"/>
        </w:rPr>
        <w:t>T</w:t>
      </w:r>
      <w:r>
        <w:rPr>
          <w:i/>
          <w:color w:val="67973F"/>
        </w:rPr>
        <w:t>err</w:t>
      </w:r>
      <w:r>
        <w:rPr>
          <w:i/>
          <w:color w:val="67973F"/>
          <w:spacing w:val="-1"/>
        </w:rPr>
        <w:t>ito</w:t>
      </w:r>
      <w:r>
        <w:rPr>
          <w:i/>
          <w:color w:val="67973F"/>
          <w:spacing w:val="9"/>
        </w:rPr>
        <w:t>r</w:t>
      </w:r>
      <w:r>
        <w:rPr>
          <w:i/>
          <w:color w:val="67973F"/>
        </w:rPr>
        <w:t>y</w:t>
      </w:r>
      <w:r>
        <w:rPr>
          <w:b w:val="0"/>
          <w:i w:val="0"/>
        </w:rPr>
      </w:r>
    </w:p>
    <w:p>
      <w:pPr>
        <w:spacing w:line="265" w:lineRule="auto" w:before="124"/>
        <w:ind w:left="117" w:right="137" w:firstLine="0"/>
        <w:jc w:val="left"/>
        <w:rPr>
          <w:rFonts w:ascii="Segoe UI" w:hAnsi="Segoe UI" w:cs="Segoe UI" w:eastAsia="Segoe UI"/>
          <w:sz w:val="19"/>
          <w:szCs w:val="19"/>
        </w:rPr>
      </w:pPr>
      <w:r>
        <w:rPr>
          <w:rFonts w:ascii="Segoe UI"/>
          <w:color w:val="67973F"/>
          <w:sz w:val="19"/>
        </w:rPr>
        <w:t>Tiwi</w:t>
      </w:r>
      <w:r>
        <w:rPr>
          <w:rFonts w:ascii="Segoe UI"/>
          <w:color w:val="67973F"/>
          <w:spacing w:val="-5"/>
          <w:sz w:val="19"/>
        </w:rPr>
        <w:t> </w:t>
      </w:r>
      <w:r>
        <w:rPr>
          <w:rFonts w:ascii="Segoe UI"/>
          <w:color w:val="67973F"/>
          <w:spacing w:val="-1"/>
          <w:sz w:val="19"/>
        </w:rPr>
        <w:t>College</w:t>
      </w:r>
      <w:r>
        <w:rPr>
          <w:rFonts w:ascii="Segoe UI"/>
          <w:color w:val="67973F"/>
          <w:spacing w:val="-4"/>
          <w:sz w:val="19"/>
        </w:rPr>
        <w:t> </w:t>
      </w:r>
      <w:r>
        <w:rPr>
          <w:rFonts w:ascii="Segoe UI"/>
          <w:color w:val="67973F"/>
          <w:spacing w:val="-1"/>
          <w:sz w:val="19"/>
        </w:rPr>
        <w:t>is</w:t>
      </w:r>
      <w:r>
        <w:rPr>
          <w:rFonts w:ascii="Segoe UI"/>
          <w:color w:val="67973F"/>
          <w:spacing w:val="-5"/>
          <w:sz w:val="19"/>
        </w:rPr>
        <w:t> </w:t>
      </w:r>
      <w:r>
        <w:rPr>
          <w:rFonts w:ascii="Segoe UI"/>
          <w:color w:val="67973F"/>
          <w:sz w:val="19"/>
        </w:rPr>
        <w:t>an</w:t>
      </w:r>
      <w:r>
        <w:rPr>
          <w:rFonts w:ascii="Segoe UI"/>
          <w:color w:val="67973F"/>
          <w:spacing w:val="-5"/>
          <w:sz w:val="19"/>
        </w:rPr>
        <w:t> </w:t>
      </w:r>
      <w:r>
        <w:rPr>
          <w:rFonts w:ascii="Segoe UI"/>
          <w:color w:val="67973F"/>
          <w:spacing w:val="-1"/>
          <w:sz w:val="19"/>
        </w:rPr>
        <w:t>independent</w:t>
      </w:r>
      <w:r>
        <w:rPr>
          <w:rFonts w:ascii="Segoe UI"/>
          <w:color w:val="67973F"/>
          <w:spacing w:val="-4"/>
          <w:sz w:val="19"/>
        </w:rPr>
        <w:t> </w:t>
      </w:r>
      <w:r>
        <w:rPr>
          <w:rFonts w:ascii="Segoe UI"/>
          <w:color w:val="67973F"/>
          <w:sz w:val="19"/>
        </w:rPr>
        <w:t>boarding</w:t>
      </w:r>
      <w:r>
        <w:rPr>
          <w:rFonts w:ascii="Segoe UI"/>
          <w:color w:val="67973F"/>
          <w:spacing w:val="-5"/>
          <w:sz w:val="19"/>
        </w:rPr>
        <w:t> </w:t>
      </w:r>
      <w:r>
        <w:rPr>
          <w:rFonts w:ascii="Segoe UI"/>
          <w:color w:val="67973F"/>
          <w:spacing w:val="-1"/>
          <w:sz w:val="19"/>
        </w:rPr>
        <w:t>school</w:t>
      </w:r>
      <w:r>
        <w:rPr>
          <w:rFonts w:ascii="Segoe UI"/>
          <w:color w:val="67973F"/>
          <w:spacing w:val="23"/>
          <w:sz w:val="19"/>
        </w:rPr>
        <w:t> </w:t>
      </w:r>
      <w:r>
        <w:rPr>
          <w:rFonts w:ascii="Segoe UI"/>
          <w:color w:val="67973F"/>
          <w:sz w:val="19"/>
        </w:rPr>
        <w:t>established</w:t>
      </w:r>
      <w:r>
        <w:rPr>
          <w:rFonts w:ascii="Segoe UI"/>
          <w:color w:val="67973F"/>
          <w:spacing w:val="-4"/>
          <w:sz w:val="19"/>
        </w:rPr>
        <w:t> </w:t>
      </w:r>
      <w:r>
        <w:rPr>
          <w:rFonts w:ascii="Segoe UI"/>
          <w:color w:val="67973F"/>
          <w:spacing w:val="-1"/>
          <w:sz w:val="19"/>
        </w:rPr>
        <w:t>in</w:t>
      </w:r>
      <w:r>
        <w:rPr>
          <w:rFonts w:ascii="Segoe UI"/>
          <w:color w:val="67973F"/>
          <w:spacing w:val="-3"/>
          <w:sz w:val="19"/>
        </w:rPr>
        <w:t> </w:t>
      </w:r>
      <w:r>
        <w:rPr>
          <w:rFonts w:ascii="Segoe UI"/>
          <w:color w:val="67973F"/>
          <w:spacing w:val="-1"/>
          <w:sz w:val="19"/>
        </w:rPr>
        <w:t>2008.</w:t>
      </w:r>
      <w:r>
        <w:rPr>
          <w:rFonts w:ascii="Segoe UI"/>
          <w:color w:val="67973F"/>
          <w:spacing w:val="-2"/>
          <w:sz w:val="19"/>
        </w:rPr>
        <w:t> </w:t>
      </w:r>
      <w:r>
        <w:rPr>
          <w:rFonts w:ascii="Segoe UI"/>
          <w:color w:val="67973F"/>
          <w:spacing w:val="-1"/>
          <w:sz w:val="19"/>
        </w:rPr>
        <w:t>It</w:t>
      </w:r>
      <w:r>
        <w:rPr>
          <w:rFonts w:ascii="Segoe UI"/>
          <w:color w:val="67973F"/>
          <w:spacing w:val="-3"/>
          <w:sz w:val="19"/>
        </w:rPr>
        <w:t> </w:t>
      </w:r>
      <w:r>
        <w:rPr>
          <w:rFonts w:ascii="Segoe UI"/>
          <w:color w:val="67973F"/>
          <w:spacing w:val="-1"/>
          <w:sz w:val="19"/>
        </w:rPr>
        <w:t>is</w:t>
      </w:r>
      <w:r>
        <w:rPr>
          <w:rFonts w:ascii="Segoe UI"/>
          <w:color w:val="67973F"/>
          <w:spacing w:val="-3"/>
          <w:sz w:val="19"/>
        </w:rPr>
        <w:t> </w:t>
      </w:r>
      <w:r>
        <w:rPr>
          <w:rFonts w:ascii="Segoe UI"/>
          <w:color w:val="67973F"/>
          <w:sz w:val="19"/>
        </w:rPr>
        <w:t>owned</w:t>
      </w:r>
      <w:r>
        <w:rPr>
          <w:rFonts w:ascii="Segoe UI"/>
          <w:color w:val="67973F"/>
          <w:spacing w:val="-3"/>
          <w:sz w:val="19"/>
        </w:rPr>
        <w:t> </w:t>
      </w:r>
      <w:r>
        <w:rPr>
          <w:rFonts w:ascii="Segoe UI"/>
          <w:color w:val="67973F"/>
          <w:sz w:val="19"/>
        </w:rPr>
        <w:t>and</w:t>
      </w:r>
      <w:r>
        <w:rPr>
          <w:rFonts w:ascii="Segoe UI"/>
          <w:color w:val="67973F"/>
          <w:spacing w:val="-3"/>
          <w:sz w:val="19"/>
        </w:rPr>
        <w:t> </w:t>
      </w:r>
      <w:r>
        <w:rPr>
          <w:rFonts w:ascii="Segoe UI"/>
          <w:color w:val="67973F"/>
          <w:spacing w:val="-1"/>
          <w:sz w:val="19"/>
        </w:rPr>
        <w:t>managed</w:t>
      </w:r>
      <w:r>
        <w:rPr>
          <w:rFonts w:ascii="Segoe UI"/>
          <w:color w:val="67973F"/>
          <w:spacing w:val="24"/>
          <w:w w:val="99"/>
          <w:sz w:val="19"/>
        </w:rPr>
        <w:t> </w:t>
      </w:r>
      <w:r>
        <w:rPr>
          <w:rFonts w:ascii="Segoe UI"/>
          <w:color w:val="67973F"/>
          <w:sz w:val="19"/>
        </w:rPr>
        <w:t>by</w:t>
      </w:r>
      <w:r>
        <w:rPr>
          <w:rFonts w:ascii="Segoe UI"/>
          <w:color w:val="67973F"/>
          <w:spacing w:val="-5"/>
          <w:sz w:val="19"/>
        </w:rPr>
        <w:t> </w:t>
      </w:r>
      <w:r>
        <w:rPr>
          <w:rFonts w:ascii="Segoe UI"/>
          <w:color w:val="67973F"/>
          <w:sz w:val="19"/>
        </w:rPr>
        <w:t>Tiwi</w:t>
      </w:r>
      <w:r>
        <w:rPr>
          <w:rFonts w:ascii="Segoe UI"/>
          <w:color w:val="67973F"/>
          <w:spacing w:val="-5"/>
          <w:sz w:val="19"/>
        </w:rPr>
        <w:t> </w:t>
      </w:r>
      <w:r>
        <w:rPr>
          <w:rFonts w:ascii="Segoe UI"/>
          <w:color w:val="67973F"/>
          <w:spacing w:val="-1"/>
          <w:sz w:val="19"/>
        </w:rPr>
        <w:t>Islanders</w:t>
      </w:r>
      <w:r>
        <w:rPr>
          <w:rFonts w:ascii="Segoe UI"/>
          <w:color w:val="67973F"/>
          <w:spacing w:val="-5"/>
          <w:sz w:val="19"/>
        </w:rPr>
        <w:t> </w:t>
      </w:r>
      <w:r>
        <w:rPr>
          <w:rFonts w:ascii="Segoe UI"/>
          <w:color w:val="67973F"/>
          <w:sz w:val="19"/>
        </w:rPr>
        <w:t>through</w:t>
      </w:r>
      <w:r>
        <w:rPr>
          <w:rFonts w:ascii="Segoe UI"/>
          <w:color w:val="67973F"/>
          <w:spacing w:val="-5"/>
          <w:sz w:val="19"/>
        </w:rPr>
        <w:t> </w:t>
      </w:r>
      <w:r>
        <w:rPr>
          <w:rFonts w:ascii="Segoe UI"/>
          <w:color w:val="67973F"/>
          <w:sz w:val="19"/>
        </w:rPr>
        <w:t>the</w:t>
      </w:r>
      <w:r>
        <w:rPr>
          <w:rFonts w:ascii="Segoe UI"/>
          <w:color w:val="67973F"/>
          <w:spacing w:val="-5"/>
          <w:sz w:val="19"/>
        </w:rPr>
        <w:t> </w:t>
      </w:r>
      <w:r>
        <w:rPr>
          <w:rFonts w:ascii="Segoe UI"/>
          <w:color w:val="67973F"/>
          <w:sz w:val="19"/>
        </w:rPr>
        <w:t>Tiwi</w:t>
      </w:r>
      <w:r>
        <w:rPr>
          <w:rFonts w:ascii="Segoe UI"/>
          <w:color w:val="67973F"/>
          <w:spacing w:val="-6"/>
          <w:sz w:val="19"/>
        </w:rPr>
        <w:t> </w:t>
      </w:r>
      <w:r>
        <w:rPr>
          <w:rFonts w:ascii="Segoe UI"/>
          <w:color w:val="67973F"/>
          <w:sz w:val="19"/>
        </w:rPr>
        <w:t>Education</w:t>
      </w:r>
      <w:r>
        <w:rPr>
          <w:rFonts w:ascii="Segoe UI"/>
          <w:color w:val="67973F"/>
          <w:spacing w:val="22"/>
          <w:w w:val="99"/>
          <w:sz w:val="19"/>
        </w:rPr>
        <w:t> </w:t>
      </w:r>
      <w:r>
        <w:rPr>
          <w:rFonts w:ascii="Segoe UI"/>
          <w:color w:val="67973F"/>
          <w:spacing w:val="-1"/>
          <w:sz w:val="19"/>
        </w:rPr>
        <w:t>Board.</w:t>
      </w:r>
      <w:r>
        <w:rPr>
          <w:rFonts w:ascii="Segoe UI"/>
          <w:color w:val="67973F"/>
          <w:spacing w:val="-5"/>
          <w:sz w:val="19"/>
        </w:rPr>
        <w:t> </w:t>
      </w:r>
      <w:r>
        <w:rPr>
          <w:rFonts w:ascii="Segoe UI"/>
          <w:color w:val="67973F"/>
          <w:spacing w:val="-1"/>
          <w:sz w:val="19"/>
        </w:rPr>
        <w:t>It</w:t>
      </w:r>
      <w:r>
        <w:rPr>
          <w:rFonts w:ascii="Segoe UI"/>
          <w:color w:val="67973F"/>
          <w:spacing w:val="-4"/>
          <w:sz w:val="19"/>
        </w:rPr>
        <w:t> </w:t>
      </w:r>
      <w:r>
        <w:rPr>
          <w:rFonts w:ascii="Segoe UI"/>
          <w:color w:val="67973F"/>
          <w:spacing w:val="-1"/>
          <w:sz w:val="19"/>
        </w:rPr>
        <w:t>is</w:t>
      </w:r>
      <w:r>
        <w:rPr>
          <w:rFonts w:ascii="Segoe UI"/>
          <w:color w:val="67973F"/>
          <w:spacing w:val="-5"/>
          <w:sz w:val="19"/>
        </w:rPr>
        <w:t> </w:t>
      </w:r>
      <w:r>
        <w:rPr>
          <w:rFonts w:ascii="Segoe UI"/>
          <w:color w:val="67973F"/>
          <w:spacing w:val="-1"/>
          <w:sz w:val="19"/>
        </w:rPr>
        <w:t>located</w:t>
      </w:r>
      <w:r>
        <w:rPr>
          <w:rFonts w:ascii="Segoe UI"/>
          <w:color w:val="67973F"/>
          <w:spacing w:val="-4"/>
          <w:sz w:val="19"/>
        </w:rPr>
        <w:t> </w:t>
      </w:r>
      <w:r>
        <w:rPr>
          <w:rFonts w:ascii="Segoe UI"/>
          <w:color w:val="67973F"/>
          <w:sz w:val="19"/>
        </w:rPr>
        <w:t>at</w:t>
      </w:r>
      <w:r>
        <w:rPr>
          <w:rFonts w:ascii="Segoe UI"/>
          <w:color w:val="67973F"/>
          <w:spacing w:val="-4"/>
          <w:sz w:val="19"/>
        </w:rPr>
        <w:t> </w:t>
      </w:r>
      <w:r>
        <w:rPr>
          <w:rFonts w:ascii="Segoe UI"/>
          <w:color w:val="67973F"/>
          <w:spacing w:val="-1"/>
          <w:sz w:val="19"/>
        </w:rPr>
        <w:t>Pickataramoor</w:t>
      </w:r>
      <w:r>
        <w:rPr>
          <w:rFonts w:ascii="Segoe UI"/>
          <w:color w:val="67973F"/>
          <w:spacing w:val="-4"/>
          <w:sz w:val="19"/>
        </w:rPr>
        <w:t> </w:t>
      </w:r>
      <w:r>
        <w:rPr>
          <w:rFonts w:ascii="Segoe UI"/>
          <w:color w:val="67973F"/>
          <w:sz w:val="19"/>
        </w:rPr>
        <w:t>on</w:t>
      </w:r>
      <w:r>
        <w:rPr>
          <w:rFonts w:ascii="Segoe UI"/>
          <w:color w:val="67973F"/>
          <w:spacing w:val="-4"/>
          <w:sz w:val="19"/>
        </w:rPr>
        <w:t> </w:t>
      </w:r>
      <w:r>
        <w:rPr>
          <w:rFonts w:ascii="Segoe UI"/>
          <w:color w:val="67973F"/>
          <w:sz w:val="19"/>
        </w:rPr>
        <w:t>Melville</w:t>
      </w:r>
      <w:r>
        <w:rPr>
          <w:rFonts w:ascii="Segoe UI"/>
          <w:color w:val="67973F"/>
          <w:spacing w:val="26"/>
          <w:sz w:val="19"/>
        </w:rPr>
        <w:t> </w:t>
      </w:r>
      <w:r>
        <w:rPr>
          <w:rFonts w:ascii="Segoe UI"/>
          <w:color w:val="67973F"/>
          <w:spacing w:val="-1"/>
          <w:sz w:val="19"/>
        </w:rPr>
        <w:t>Island,</w:t>
      </w:r>
      <w:r>
        <w:rPr>
          <w:rFonts w:ascii="Segoe UI"/>
          <w:color w:val="67973F"/>
          <w:spacing w:val="-7"/>
          <w:sz w:val="19"/>
        </w:rPr>
        <w:t> </w:t>
      </w:r>
      <w:r>
        <w:rPr>
          <w:rFonts w:ascii="Segoe UI"/>
          <w:color w:val="67973F"/>
          <w:sz w:val="19"/>
        </w:rPr>
        <w:t>approximately</w:t>
      </w:r>
      <w:r>
        <w:rPr>
          <w:rFonts w:ascii="Segoe UI"/>
          <w:color w:val="67973F"/>
          <w:spacing w:val="-7"/>
          <w:sz w:val="19"/>
        </w:rPr>
        <w:t> </w:t>
      </w:r>
      <w:r>
        <w:rPr>
          <w:rFonts w:ascii="Segoe UI"/>
          <w:color w:val="67973F"/>
          <w:spacing w:val="-1"/>
          <w:sz w:val="19"/>
        </w:rPr>
        <w:t>50kms</w:t>
      </w:r>
      <w:r>
        <w:rPr>
          <w:rFonts w:ascii="Segoe UI"/>
          <w:color w:val="67973F"/>
          <w:spacing w:val="-7"/>
          <w:sz w:val="19"/>
        </w:rPr>
        <w:t> </w:t>
      </w:r>
      <w:r>
        <w:rPr>
          <w:rFonts w:ascii="Segoe UI"/>
          <w:color w:val="67973F"/>
          <w:sz w:val="19"/>
        </w:rPr>
        <w:t>from</w:t>
      </w:r>
      <w:r>
        <w:rPr>
          <w:rFonts w:ascii="Segoe UI"/>
          <w:color w:val="67973F"/>
          <w:spacing w:val="-6"/>
          <w:sz w:val="19"/>
        </w:rPr>
        <w:t> </w:t>
      </w:r>
      <w:r>
        <w:rPr>
          <w:rFonts w:ascii="Segoe UI"/>
          <w:color w:val="67973F"/>
          <w:sz w:val="19"/>
        </w:rPr>
        <w:t>the</w:t>
      </w:r>
      <w:r>
        <w:rPr>
          <w:rFonts w:ascii="Segoe UI"/>
          <w:color w:val="67973F"/>
          <w:spacing w:val="-7"/>
          <w:sz w:val="19"/>
        </w:rPr>
        <w:t> </w:t>
      </w:r>
      <w:r>
        <w:rPr>
          <w:rFonts w:ascii="Segoe UI"/>
          <w:color w:val="67973F"/>
          <w:sz w:val="19"/>
        </w:rPr>
        <w:t>nearest</w:t>
      </w:r>
      <w:r>
        <w:rPr>
          <w:rFonts w:ascii="Segoe UI"/>
          <w:color w:val="67973F"/>
          <w:spacing w:val="23"/>
          <w:w w:val="99"/>
          <w:sz w:val="19"/>
        </w:rPr>
        <w:t> </w:t>
      </w:r>
      <w:r>
        <w:rPr>
          <w:rFonts w:ascii="Segoe UI"/>
          <w:color w:val="67973F"/>
          <w:sz w:val="19"/>
        </w:rPr>
        <w:t>community.</w:t>
      </w:r>
      <w:r>
        <w:rPr>
          <w:rFonts w:ascii="Segoe UI"/>
          <w:color w:val="67973F"/>
          <w:spacing w:val="-5"/>
          <w:sz w:val="19"/>
        </w:rPr>
        <w:t> </w:t>
      </w:r>
      <w:r>
        <w:rPr>
          <w:rFonts w:ascii="Segoe UI"/>
          <w:color w:val="67973F"/>
          <w:sz w:val="19"/>
        </w:rPr>
        <w:t>There</w:t>
      </w:r>
      <w:r>
        <w:rPr>
          <w:rFonts w:ascii="Segoe UI"/>
          <w:color w:val="67973F"/>
          <w:spacing w:val="-3"/>
          <w:sz w:val="19"/>
        </w:rPr>
        <w:t> </w:t>
      </w:r>
      <w:r>
        <w:rPr>
          <w:rFonts w:ascii="Segoe UI"/>
          <w:color w:val="67973F"/>
          <w:spacing w:val="-1"/>
          <w:sz w:val="19"/>
        </w:rPr>
        <w:t>is</w:t>
      </w:r>
      <w:r>
        <w:rPr>
          <w:rFonts w:ascii="Segoe UI"/>
          <w:color w:val="67973F"/>
          <w:spacing w:val="-5"/>
          <w:sz w:val="19"/>
        </w:rPr>
        <w:t> </w:t>
      </w:r>
      <w:r>
        <w:rPr>
          <w:rFonts w:ascii="Segoe UI"/>
          <w:color w:val="67973F"/>
          <w:sz w:val="19"/>
        </w:rPr>
        <w:t>no</w:t>
      </w:r>
      <w:r>
        <w:rPr>
          <w:rFonts w:ascii="Segoe UI"/>
          <w:color w:val="67973F"/>
          <w:spacing w:val="-3"/>
          <w:sz w:val="19"/>
        </w:rPr>
        <w:t> </w:t>
      </w:r>
      <w:r>
        <w:rPr>
          <w:rFonts w:ascii="Segoe UI"/>
          <w:color w:val="67973F"/>
          <w:spacing w:val="-1"/>
          <w:sz w:val="19"/>
        </w:rPr>
        <w:t>mobile</w:t>
      </w:r>
      <w:r>
        <w:rPr>
          <w:rFonts w:ascii="Segoe UI"/>
          <w:color w:val="67973F"/>
          <w:spacing w:val="-3"/>
          <w:sz w:val="19"/>
        </w:rPr>
        <w:t> </w:t>
      </w:r>
      <w:r>
        <w:rPr>
          <w:rFonts w:ascii="Segoe UI"/>
          <w:color w:val="67973F"/>
          <w:sz w:val="19"/>
        </w:rPr>
        <w:t>phone</w:t>
      </w:r>
      <w:r>
        <w:rPr>
          <w:rFonts w:ascii="Segoe UI"/>
          <w:color w:val="67973F"/>
          <w:spacing w:val="-5"/>
          <w:sz w:val="19"/>
        </w:rPr>
        <w:t> </w:t>
      </w:r>
      <w:r>
        <w:rPr>
          <w:rFonts w:ascii="Segoe UI"/>
          <w:color w:val="67973F"/>
          <w:sz w:val="19"/>
        </w:rPr>
        <w:t>reception</w:t>
      </w:r>
      <w:r>
        <w:rPr>
          <w:rFonts w:ascii="Segoe UI"/>
          <w:color w:val="67973F"/>
          <w:spacing w:val="23"/>
          <w:w w:val="99"/>
          <w:sz w:val="19"/>
        </w:rPr>
        <w:t> </w:t>
      </w:r>
      <w:r>
        <w:rPr>
          <w:rFonts w:ascii="Segoe UI"/>
          <w:color w:val="67973F"/>
          <w:spacing w:val="-1"/>
          <w:sz w:val="19"/>
        </w:rPr>
        <w:t>in</w:t>
      </w:r>
      <w:r>
        <w:rPr>
          <w:rFonts w:ascii="Segoe UI"/>
          <w:color w:val="67973F"/>
          <w:spacing w:val="-13"/>
          <w:sz w:val="19"/>
        </w:rPr>
        <w:t> </w:t>
      </w:r>
      <w:r>
        <w:rPr>
          <w:rFonts w:ascii="Segoe UI"/>
          <w:color w:val="67973F"/>
          <w:spacing w:val="-1"/>
          <w:sz w:val="19"/>
        </w:rPr>
        <w:t>Pickataramoor.</w:t>
      </w:r>
      <w:r>
        <w:rPr>
          <w:rFonts w:ascii="Segoe UI"/>
          <w:sz w:val="19"/>
        </w:rPr>
      </w:r>
    </w:p>
    <w:p>
      <w:pPr>
        <w:spacing w:line="265" w:lineRule="auto" w:before="113"/>
        <w:ind w:left="117" w:right="101" w:firstLine="0"/>
        <w:jc w:val="left"/>
        <w:rPr>
          <w:rFonts w:ascii="Segoe UI" w:hAnsi="Segoe UI" w:cs="Segoe UI" w:eastAsia="Segoe UI"/>
          <w:sz w:val="19"/>
          <w:szCs w:val="19"/>
        </w:rPr>
      </w:pPr>
      <w:r>
        <w:rPr>
          <w:rFonts w:ascii="Segoe UI"/>
          <w:color w:val="67973F"/>
          <w:sz w:val="19"/>
        </w:rPr>
        <w:t>The</w:t>
      </w:r>
      <w:r>
        <w:rPr>
          <w:rFonts w:ascii="Segoe UI"/>
          <w:color w:val="67973F"/>
          <w:spacing w:val="-4"/>
          <w:sz w:val="19"/>
        </w:rPr>
        <w:t> </w:t>
      </w:r>
      <w:r>
        <w:rPr>
          <w:rFonts w:ascii="Segoe UI"/>
          <w:color w:val="67973F"/>
          <w:sz w:val="19"/>
        </w:rPr>
        <w:t>Tiwi</w:t>
      </w:r>
      <w:r>
        <w:rPr>
          <w:rFonts w:ascii="Segoe UI"/>
          <w:color w:val="67973F"/>
          <w:spacing w:val="-5"/>
          <w:sz w:val="19"/>
        </w:rPr>
        <w:t> </w:t>
      </w:r>
      <w:r>
        <w:rPr>
          <w:rFonts w:ascii="Segoe UI"/>
          <w:color w:val="67973F"/>
          <w:sz w:val="19"/>
        </w:rPr>
        <w:t>elders</w:t>
      </w:r>
      <w:r>
        <w:rPr>
          <w:rFonts w:ascii="Segoe UI"/>
          <w:color w:val="67973F"/>
          <w:spacing w:val="-4"/>
          <w:sz w:val="19"/>
        </w:rPr>
        <w:t> </w:t>
      </w:r>
      <w:r>
        <w:rPr>
          <w:rFonts w:ascii="Segoe UI"/>
          <w:color w:val="67973F"/>
          <w:sz w:val="19"/>
        </w:rPr>
        <w:t>that</w:t>
      </w:r>
      <w:r>
        <w:rPr>
          <w:rFonts w:ascii="Segoe UI"/>
          <w:color w:val="67973F"/>
          <w:spacing w:val="-5"/>
          <w:sz w:val="19"/>
        </w:rPr>
        <w:t> </w:t>
      </w:r>
      <w:r>
        <w:rPr>
          <w:rFonts w:ascii="Segoe UI"/>
          <w:color w:val="67973F"/>
          <w:sz w:val="19"/>
        </w:rPr>
        <w:t>had</w:t>
      </w:r>
      <w:r>
        <w:rPr>
          <w:rFonts w:ascii="Segoe UI"/>
          <w:color w:val="67973F"/>
          <w:spacing w:val="-4"/>
          <w:sz w:val="19"/>
        </w:rPr>
        <w:t> </w:t>
      </w:r>
      <w:r>
        <w:rPr>
          <w:rFonts w:ascii="Segoe UI"/>
          <w:color w:val="67973F"/>
          <w:sz w:val="19"/>
        </w:rPr>
        <w:t>the</w:t>
      </w:r>
      <w:r>
        <w:rPr>
          <w:rFonts w:ascii="Segoe UI"/>
          <w:color w:val="67973F"/>
          <w:spacing w:val="-4"/>
          <w:sz w:val="19"/>
        </w:rPr>
        <w:t> </w:t>
      </w:r>
      <w:r>
        <w:rPr>
          <w:rFonts w:ascii="Segoe UI"/>
          <w:color w:val="67973F"/>
          <w:sz w:val="19"/>
        </w:rPr>
        <w:t>original</w:t>
      </w:r>
      <w:r>
        <w:rPr>
          <w:rFonts w:ascii="Segoe UI"/>
          <w:color w:val="67973F"/>
          <w:spacing w:val="-5"/>
          <w:sz w:val="19"/>
        </w:rPr>
        <w:t> </w:t>
      </w:r>
      <w:r>
        <w:rPr>
          <w:rFonts w:ascii="Segoe UI"/>
          <w:color w:val="67973F"/>
          <w:sz w:val="19"/>
        </w:rPr>
        <w:t>vision</w:t>
      </w:r>
      <w:r>
        <w:rPr>
          <w:rFonts w:ascii="Segoe UI"/>
          <w:color w:val="67973F"/>
          <w:spacing w:val="-5"/>
          <w:sz w:val="19"/>
        </w:rPr>
        <w:t> </w:t>
      </w:r>
      <w:r>
        <w:rPr>
          <w:rFonts w:ascii="Segoe UI"/>
          <w:color w:val="67973F"/>
          <w:sz w:val="19"/>
        </w:rPr>
        <w:t>for</w:t>
      </w:r>
      <w:r>
        <w:rPr>
          <w:rFonts w:ascii="Segoe UI"/>
          <w:color w:val="67973F"/>
          <w:w w:val="99"/>
          <w:sz w:val="19"/>
        </w:rPr>
        <w:t> </w:t>
      </w:r>
      <w:r>
        <w:rPr>
          <w:rFonts w:ascii="Segoe UI"/>
          <w:color w:val="67973F"/>
          <w:sz w:val="19"/>
        </w:rPr>
        <w:t>the</w:t>
      </w:r>
      <w:r>
        <w:rPr>
          <w:rFonts w:ascii="Segoe UI"/>
          <w:color w:val="67973F"/>
          <w:spacing w:val="-6"/>
          <w:sz w:val="19"/>
        </w:rPr>
        <w:t> </w:t>
      </w:r>
      <w:r>
        <w:rPr>
          <w:rFonts w:ascii="Segoe UI"/>
          <w:color w:val="67973F"/>
          <w:sz w:val="19"/>
        </w:rPr>
        <w:t>college</w:t>
      </w:r>
      <w:r>
        <w:rPr>
          <w:rFonts w:ascii="Segoe UI"/>
          <w:color w:val="67973F"/>
          <w:spacing w:val="-5"/>
          <w:sz w:val="19"/>
        </w:rPr>
        <w:t> </w:t>
      </w:r>
      <w:r>
        <w:rPr>
          <w:rFonts w:ascii="Segoe UI"/>
          <w:color w:val="67973F"/>
          <w:sz w:val="19"/>
        </w:rPr>
        <w:t>wanted</w:t>
      </w:r>
      <w:r>
        <w:rPr>
          <w:rFonts w:ascii="Segoe UI"/>
          <w:color w:val="67973F"/>
          <w:spacing w:val="-6"/>
          <w:sz w:val="19"/>
        </w:rPr>
        <w:t> </w:t>
      </w:r>
      <w:r>
        <w:rPr>
          <w:rFonts w:ascii="Segoe UI"/>
          <w:color w:val="67973F"/>
          <w:spacing w:val="-1"/>
          <w:sz w:val="19"/>
        </w:rPr>
        <w:t>it</w:t>
      </w:r>
      <w:r>
        <w:rPr>
          <w:rFonts w:ascii="Segoe UI"/>
          <w:color w:val="67973F"/>
          <w:spacing w:val="-4"/>
          <w:sz w:val="19"/>
        </w:rPr>
        <w:t> </w:t>
      </w:r>
      <w:r>
        <w:rPr>
          <w:rFonts w:ascii="Segoe UI"/>
          <w:color w:val="67973F"/>
          <w:spacing w:val="-1"/>
          <w:sz w:val="19"/>
        </w:rPr>
        <w:t>located</w:t>
      </w:r>
      <w:r>
        <w:rPr>
          <w:rFonts w:ascii="Segoe UI"/>
          <w:color w:val="67973F"/>
          <w:spacing w:val="-5"/>
          <w:sz w:val="19"/>
        </w:rPr>
        <w:t> </w:t>
      </w:r>
      <w:r>
        <w:rPr>
          <w:rFonts w:ascii="Segoe UI"/>
          <w:color w:val="67973F"/>
          <w:sz w:val="19"/>
        </w:rPr>
        <w:t>central</w:t>
      </w:r>
      <w:r>
        <w:rPr>
          <w:rFonts w:ascii="Segoe UI"/>
          <w:color w:val="67973F"/>
          <w:spacing w:val="-5"/>
          <w:sz w:val="19"/>
        </w:rPr>
        <w:t> </w:t>
      </w:r>
      <w:r>
        <w:rPr>
          <w:rFonts w:ascii="Segoe UI"/>
          <w:color w:val="67973F"/>
          <w:sz w:val="19"/>
        </w:rPr>
        <w:t>to</w:t>
      </w:r>
      <w:r>
        <w:rPr>
          <w:rFonts w:ascii="Segoe UI"/>
          <w:color w:val="67973F"/>
          <w:spacing w:val="-5"/>
          <w:sz w:val="19"/>
        </w:rPr>
        <w:t> </w:t>
      </w:r>
      <w:r>
        <w:rPr>
          <w:rFonts w:ascii="Segoe UI"/>
          <w:color w:val="67973F"/>
          <w:sz w:val="19"/>
        </w:rPr>
        <w:t>the</w:t>
      </w:r>
      <w:r>
        <w:rPr>
          <w:rFonts w:ascii="Segoe UI"/>
          <w:color w:val="67973F"/>
          <w:spacing w:val="-5"/>
          <w:sz w:val="19"/>
        </w:rPr>
        <w:t> </w:t>
      </w:r>
      <w:r>
        <w:rPr>
          <w:rFonts w:ascii="Segoe UI"/>
          <w:color w:val="67973F"/>
          <w:sz w:val="19"/>
        </w:rPr>
        <w:t>three</w:t>
      </w:r>
      <w:r>
        <w:rPr>
          <w:rFonts w:ascii="Segoe UI"/>
          <w:color w:val="67973F"/>
          <w:spacing w:val="23"/>
          <w:w w:val="99"/>
          <w:sz w:val="19"/>
        </w:rPr>
        <w:t> </w:t>
      </w:r>
      <w:r>
        <w:rPr>
          <w:rFonts w:ascii="Segoe UI"/>
          <w:color w:val="67973F"/>
          <w:spacing w:val="-1"/>
          <w:sz w:val="19"/>
        </w:rPr>
        <w:t>main</w:t>
      </w:r>
      <w:r>
        <w:rPr>
          <w:rFonts w:ascii="Segoe UI"/>
          <w:color w:val="67973F"/>
          <w:spacing w:val="-2"/>
          <w:sz w:val="19"/>
        </w:rPr>
        <w:t> </w:t>
      </w:r>
      <w:r>
        <w:rPr>
          <w:rFonts w:ascii="Segoe UI"/>
          <w:color w:val="67973F"/>
          <w:sz w:val="19"/>
        </w:rPr>
        <w:t>communities</w:t>
      </w:r>
      <w:r>
        <w:rPr>
          <w:rFonts w:ascii="Segoe UI"/>
          <w:color w:val="67973F"/>
          <w:spacing w:val="-3"/>
          <w:sz w:val="19"/>
        </w:rPr>
        <w:t> </w:t>
      </w:r>
      <w:r>
        <w:rPr>
          <w:rFonts w:ascii="Segoe UI"/>
          <w:color w:val="67973F"/>
          <w:sz w:val="19"/>
        </w:rPr>
        <w:t>on</w:t>
      </w:r>
      <w:r>
        <w:rPr>
          <w:rFonts w:ascii="Segoe UI"/>
          <w:color w:val="67973F"/>
          <w:spacing w:val="-1"/>
          <w:sz w:val="19"/>
        </w:rPr>
        <w:t> </w:t>
      </w:r>
      <w:r>
        <w:rPr>
          <w:rFonts w:ascii="Segoe UI"/>
          <w:color w:val="67973F"/>
          <w:sz w:val="19"/>
        </w:rPr>
        <w:t>the</w:t>
      </w:r>
      <w:r>
        <w:rPr>
          <w:rFonts w:ascii="Segoe UI"/>
          <w:color w:val="67973F"/>
          <w:spacing w:val="-3"/>
          <w:sz w:val="19"/>
        </w:rPr>
        <w:t> </w:t>
      </w:r>
      <w:r>
        <w:rPr>
          <w:rFonts w:ascii="Segoe UI"/>
          <w:color w:val="67973F"/>
          <w:sz w:val="19"/>
        </w:rPr>
        <w:t>Tiwi</w:t>
      </w:r>
      <w:r>
        <w:rPr>
          <w:rFonts w:ascii="Segoe UI"/>
          <w:color w:val="67973F"/>
          <w:spacing w:val="-2"/>
          <w:sz w:val="19"/>
        </w:rPr>
        <w:t> </w:t>
      </w:r>
      <w:r>
        <w:rPr>
          <w:rFonts w:ascii="Segoe UI"/>
          <w:color w:val="67973F"/>
          <w:spacing w:val="-1"/>
          <w:sz w:val="19"/>
        </w:rPr>
        <w:t>islands</w:t>
      </w:r>
      <w:r>
        <w:rPr>
          <w:rFonts w:ascii="Segoe UI"/>
          <w:color w:val="67973F"/>
          <w:spacing w:val="-2"/>
          <w:sz w:val="19"/>
        </w:rPr>
        <w:t> </w:t>
      </w:r>
      <w:r>
        <w:rPr>
          <w:rFonts w:ascii="Segoe UI"/>
          <w:color w:val="67973F"/>
          <w:sz w:val="19"/>
        </w:rPr>
        <w:t>but</w:t>
      </w:r>
      <w:r>
        <w:rPr>
          <w:rFonts w:ascii="Segoe UI"/>
          <w:color w:val="67973F"/>
          <w:spacing w:val="-3"/>
          <w:sz w:val="19"/>
        </w:rPr>
        <w:t> </w:t>
      </w:r>
      <w:r>
        <w:rPr>
          <w:rFonts w:ascii="Segoe UI"/>
          <w:color w:val="67973F"/>
          <w:spacing w:val="-1"/>
          <w:sz w:val="19"/>
        </w:rPr>
        <w:t>still</w:t>
      </w:r>
      <w:r>
        <w:rPr>
          <w:rFonts w:ascii="Segoe UI"/>
          <w:sz w:val="19"/>
        </w:rPr>
      </w:r>
    </w:p>
    <w:p>
      <w:pPr>
        <w:spacing w:line="265" w:lineRule="auto" w:before="0"/>
        <w:ind w:left="117" w:right="11" w:firstLine="0"/>
        <w:jc w:val="left"/>
        <w:rPr>
          <w:rFonts w:ascii="Segoe UI" w:hAnsi="Segoe UI" w:cs="Segoe UI" w:eastAsia="Segoe UI"/>
          <w:sz w:val="19"/>
          <w:szCs w:val="19"/>
        </w:rPr>
      </w:pPr>
      <w:r>
        <w:rPr>
          <w:rFonts w:ascii="Segoe UI" w:hAnsi="Segoe UI" w:cs="Segoe UI" w:eastAsia="Segoe UI"/>
          <w:color w:val="67973F"/>
          <w:spacing w:val="-1"/>
          <w:sz w:val="19"/>
          <w:szCs w:val="19"/>
        </w:rPr>
        <w:t>isolated</w:t>
      </w:r>
      <w:r>
        <w:rPr>
          <w:rFonts w:ascii="Segoe UI" w:hAnsi="Segoe UI" w:cs="Segoe UI" w:eastAsia="Segoe UI"/>
          <w:color w:val="67973F"/>
          <w:spacing w:val="-2"/>
          <w:sz w:val="19"/>
          <w:szCs w:val="19"/>
        </w:rPr>
        <w:t> </w:t>
      </w:r>
      <w:r>
        <w:rPr>
          <w:rFonts w:ascii="Segoe UI" w:hAnsi="Segoe UI" w:cs="Segoe UI" w:eastAsia="Segoe UI"/>
          <w:color w:val="67973F"/>
          <w:sz w:val="19"/>
          <w:szCs w:val="19"/>
        </w:rPr>
        <w:t>from</w:t>
      </w:r>
      <w:r>
        <w:rPr>
          <w:rFonts w:ascii="Segoe UI" w:hAnsi="Segoe UI" w:cs="Segoe UI" w:eastAsia="Segoe UI"/>
          <w:color w:val="67973F"/>
          <w:spacing w:val="-2"/>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2"/>
          <w:sz w:val="19"/>
          <w:szCs w:val="19"/>
        </w:rPr>
        <w:t> </w:t>
      </w:r>
      <w:r>
        <w:rPr>
          <w:rFonts w:ascii="Segoe UI" w:hAnsi="Segoe UI" w:cs="Segoe UI" w:eastAsia="Segoe UI"/>
          <w:color w:val="67973F"/>
          <w:sz w:val="19"/>
          <w:szCs w:val="19"/>
        </w:rPr>
        <w:t>communities</w:t>
      </w:r>
      <w:r>
        <w:rPr>
          <w:rFonts w:ascii="Segoe UI" w:hAnsi="Segoe UI" w:cs="Segoe UI" w:eastAsia="Segoe UI"/>
          <w:color w:val="67973F"/>
          <w:spacing w:val="-3"/>
          <w:sz w:val="19"/>
          <w:szCs w:val="19"/>
        </w:rPr>
        <w:t> </w:t>
      </w:r>
      <w:r>
        <w:rPr>
          <w:rFonts w:ascii="Segoe UI" w:hAnsi="Segoe UI" w:cs="Segoe UI" w:eastAsia="Segoe UI"/>
          <w:color w:val="67973F"/>
          <w:sz w:val="19"/>
          <w:szCs w:val="19"/>
        </w:rPr>
        <w:t>of</w:t>
      </w:r>
      <w:r>
        <w:rPr>
          <w:rFonts w:ascii="Segoe UI" w:hAnsi="Segoe UI" w:cs="Segoe UI" w:eastAsia="Segoe UI"/>
          <w:color w:val="67973F"/>
          <w:spacing w:val="-1"/>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islands.</w:t>
      </w:r>
      <w:r>
        <w:rPr>
          <w:rFonts w:ascii="Segoe UI" w:hAnsi="Segoe UI" w:cs="Segoe UI" w:eastAsia="Segoe UI"/>
          <w:color w:val="67973F"/>
          <w:spacing w:val="-2"/>
          <w:sz w:val="19"/>
          <w:szCs w:val="19"/>
        </w:rPr>
        <w:t> </w:t>
      </w:r>
      <w:r>
        <w:rPr>
          <w:rFonts w:ascii="Segoe UI" w:hAnsi="Segoe UI" w:cs="Segoe UI" w:eastAsia="Segoe UI"/>
          <w:color w:val="67973F"/>
          <w:sz w:val="19"/>
          <w:szCs w:val="19"/>
        </w:rPr>
        <w:t>This</w:t>
      </w:r>
      <w:r>
        <w:rPr>
          <w:rFonts w:ascii="Segoe UI" w:hAnsi="Segoe UI" w:cs="Segoe UI" w:eastAsia="Segoe UI"/>
          <w:color w:val="67973F"/>
          <w:spacing w:val="23"/>
          <w:sz w:val="19"/>
          <w:szCs w:val="19"/>
        </w:rPr>
        <w:t> </w:t>
      </w:r>
      <w:r>
        <w:rPr>
          <w:rFonts w:ascii="Segoe UI" w:hAnsi="Segoe UI" w:cs="Segoe UI" w:eastAsia="Segoe UI"/>
          <w:color w:val="67973F"/>
          <w:sz w:val="19"/>
          <w:szCs w:val="19"/>
        </w:rPr>
        <w:t>enables</w:t>
      </w:r>
      <w:r>
        <w:rPr>
          <w:rFonts w:ascii="Segoe UI" w:hAnsi="Segoe UI" w:cs="Segoe UI" w:eastAsia="Segoe UI"/>
          <w:color w:val="67973F"/>
          <w:spacing w:val="-3"/>
          <w:sz w:val="19"/>
          <w:szCs w:val="19"/>
        </w:rPr>
        <w:t> </w:t>
      </w:r>
      <w:r>
        <w:rPr>
          <w:rFonts w:ascii="Segoe UI" w:hAnsi="Segoe UI" w:cs="Segoe UI" w:eastAsia="Segoe UI"/>
          <w:color w:val="67973F"/>
          <w:spacing w:val="-1"/>
          <w:sz w:val="19"/>
          <w:szCs w:val="19"/>
        </w:rPr>
        <w:t>students</w:t>
      </w:r>
      <w:r>
        <w:rPr>
          <w:rFonts w:ascii="Segoe UI" w:hAnsi="Segoe UI" w:cs="Segoe UI" w:eastAsia="Segoe UI"/>
          <w:color w:val="67973F"/>
          <w:spacing w:val="-2"/>
          <w:sz w:val="19"/>
          <w:szCs w:val="19"/>
        </w:rPr>
        <w:t> </w:t>
      </w:r>
      <w:r>
        <w:rPr>
          <w:rFonts w:ascii="Segoe UI" w:hAnsi="Segoe UI" w:cs="Segoe UI" w:eastAsia="Segoe UI"/>
          <w:color w:val="67973F"/>
          <w:sz w:val="19"/>
          <w:szCs w:val="19"/>
        </w:rPr>
        <w:t>to</w:t>
      </w:r>
      <w:r>
        <w:rPr>
          <w:rFonts w:ascii="Segoe UI" w:hAnsi="Segoe UI" w:cs="Segoe UI" w:eastAsia="Segoe UI"/>
          <w:color w:val="67973F"/>
          <w:spacing w:val="-1"/>
          <w:sz w:val="19"/>
          <w:szCs w:val="19"/>
        </w:rPr>
        <w:t> </w:t>
      </w:r>
      <w:r>
        <w:rPr>
          <w:rFonts w:ascii="Segoe UI" w:hAnsi="Segoe UI" w:cs="Segoe UI" w:eastAsia="Segoe UI"/>
          <w:color w:val="67973F"/>
          <w:sz w:val="19"/>
          <w:szCs w:val="19"/>
        </w:rPr>
        <w:t>be</w:t>
      </w:r>
      <w:r>
        <w:rPr>
          <w:rFonts w:ascii="Segoe UI" w:hAnsi="Segoe UI" w:cs="Segoe UI" w:eastAsia="Segoe UI"/>
          <w:color w:val="67973F"/>
          <w:spacing w:val="-2"/>
          <w:sz w:val="19"/>
          <w:szCs w:val="19"/>
        </w:rPr>
        <w:t> </w:t>
      </w:r>
      <w:r>
        <w:rPr>
          <w:rFonts w:ascii="Segoe UI" w:hAnsi="Segoe UI" w:cs="Segoe UI" w:eastAsia="Segoe UI"/>
          <w:color w:val="67973F"/>
          <w:sz w:val="19"/>
          <w:szCs w:val="19"/>
        </w:rPr>
        <w:t>‘on</w:t>
      </w:r>
      <w:r>
        <w:rPr>
          <w:rFonts w:ascii="Segoe UI" w:hAnsi="Segoe UI" w:cs="Segoe UI" w:eastAsia="Segoe UI"/>
          <w:color w:val="67973F"/>
          <w:spacing w:val="-2"/>
          <w:sz w:val="19"/>
          <w:szCs w:val="19"/>
        </w:rPr>
        <w:t> </w:t>
      </w:r>
      <w:r>
        <w:rPr>
          <w:rFonts w:ascii="Segoe UI" w:hAnsi="Segoe UI" w:cs="Segoe UI" w:eastAsia="Segoe UI"/>
          <w:color w:val="67973F"/>
          <w:spacing w:val="-1"/>
          <w:sz w:val="19"/>
          <w:szCs w:val="19"/>
        </w:rPr>
        <w:t>site </w:t>
      </w:r>
      <w:r>
        <w:rPr>
          <w:rFonts w:ascii="Segoe UI" w:hAnsi="Segoe UI" w:cs="Segoe UI" w:eastAsia="Segoe UI"/>
          <w:color w:val="67973F"/>
          <w:sz w:val="19"/>
          <w:szCs w:val="19"/>
        </w:rPr>
        <w:t>and</w:t>
      </w:r>
      <w:r>
        <w:rPr>
          <w:rFonts w:ascii="Segoe UI" w:hAnsi="Segoe UI" w:cs="Segoe UI" w:eastAsia="Segoe UI"/>
          <w:color w:val="67973F"/>
          <w:spacing w:val="-3"/>
          <w:sz w:val="19"/>
          <w:szCs w:val="19"/>
        </w:rPr>
        <w:t> </w:t>
      </w:r>
      <w:r>
        <w:rPr>
          <w:rFonts w:ascii="Segoe UI" w:hAnsi="Segoe UI" w:cs="Segoe UI" w:eastAsia="Segoe UI"/>
          <w:color w:val="67973F"/>
          <w:sz w:val="19"/>
          <w:szCs w:val="19"/>
        </w:rPr>
        <w:t>thus</w:t>
      </w:r>
      <w:r>
        <w:rPr>
          <w:rFonts w:ascii="Segoe UI" w:hAnsi="Segoe UI" w:cs="Segoe UI" w:eastAsia="Segoe UI"/>
          <w:color w:val="67973F"/>
          <w:spacing w:val="-3"/>
          <w:sz w:val="19"/>
          <w:szCs w:val="19"/>
        </w:rPr>
        <w:t> </w:t>
      </w:r>
      <w:r>
        <w:rPr>
          <w:rFonts w:ascii="Segoe UI" w:hAnsi="Segoe UI" w:cs="Segoe UI" w:eastAsia="Segoe UI"/>
          <w:color w:val="67973F"/>
          <w:sz w:val="19"/>
          <w:szCs w:val="19"/>
        </w:rPr>
        <w:t>able</w:t>
      </w:r>
      <w:r>
        <w:rPr>
          <w:rFonts w:ascii="Segoe UI" w:hAnsi="Segoe UI" w:cs="Segoe UI" w:eastAsia="Segoe UI"/>
          <w:color w:val="67973F"/>
          <w:spacing w:val="-2"/>
          <w:sz w:val="19"/>
          <w:szCs w:val="19"/>
        </w:rPr>
        <w:t> </w:t>
      </w:r>
      <w:r>
        <w:rPr>
          <w:rFonts w:ascii="Segoe UI" w:hAnsi="Segoe UI" w:cs="Segoe UI" w:eastAsia="Segoe UI"/>
          <w:color w:val="67973F"/>
          <w:sz w:val="19"/>
          <w:szCs w:val="19"/>
        </w:rPr>
        <w:t>to</w:t>
      </w:r>
      <w:r>
        <w:rPr>
          <w:rFonts w:ascii="Segoe UI" w:hAnsi="Segoe UI" w:cs="Segoe UI" w:eastAsia="Segoe UI"/>
          <w:color w:val="67973F"/>
          <w:spacing w:val="23"/>
          <w:w w:val="99"/>
          <w:sz w:val="19"/>
          <w:szCs w:val="19"/>
        </w:rPr>
        <w:t> </w:t>
      </w:r>
      <w:r>
        <w:rPr>
          <w:rFonts w:ascii="Segoe UI" w:hAnsi="Segoe UI" w:cs="Segoe UI" w:eastAsia="Segoe UI"/>
          <w:color w:val="67973F"/>
          <w:sz w:val="19"/>
          <w:szCs w:val="19"/>
        </w:rPr>
        <w:t>be</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involved</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in</w:t>
      </w:r>
      <w:r>
        <w:rPr>
          <w:rFonts w:ascii="Segoe UI" w:hAnsi="Segoe UI" w:cs="Segoe UI" w:eastAsia="Segoe UI"/>
          <w:color w:val="67973F"/>
          <w:spacing w:val="-3"/>
          <w:sz w:val="19"/>
          <w:szCs w:val="19"/>
        </w:rPr>
        <w:t> </w:t>
      </w:r>
      <w:r>
        <w:rPr>
          <w:rFonts w:ascii="Segoe UI" w:hAnsi="Segoe UI" w:cs="Segoe UI" w:eastAsia="Segoe UI"/>
          <w:color w:val="67973F"/>
          <w:sz w:val="19"/>
          <w:szCs w:val="19"/>
        </w:rPr>
        <w:t>a</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24</w:t>
      </w:r>
      <w:r>
        <w:rPr>
          <w:rFonts w:ascii="Segoe UI" w:hAnsi="Segoe UI" w:cs="Segoe UI" w:eastAsia="Segoe UI"/>
          <w:color w:val="67973F"/>
          <w:spacing w:val="-3"/>
          <w:sz w:val="19"/>
          <w:szCs w:val="19"/>
        </w:rPr>
        <w:t> </w:t>
      </w:r>
      <w:r>
        <w:rPr>
          <w:rFonts w:ascii="Segoe UI" w:hAnsi="Segoe UI" w:cs="Segoe UI" w:eastAsia="Segoe UI"/>
          <w:color w:val="67973F"/>
          <w:sz w:val="19"/>
          <w:szCs w:val="19"/>
        </w:rPr>
        <w:t>hour</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learning</w:t>
      </w:r>
      <w:r>
        <w:rPr>
          <w:rFonts w:ascii="Segoe UI" w:hAnsi="Segoe UI" w:cs="Segoe UI" w:eastAsia="Segoe UI"/>
          <w:color w:val="67973F"/>
          <w:spacing w:val="-3"/>
          <w:sz w:val="19"/>
          <w:szCs w:val="19"/>
        </w:rPr>
        <w:t> </w:t>
      </w:r>
      <w:r>
        <w:rPr>
          <w:rFonts w:ascii="Segoe UI" w:hAnsi="Segoe UI" w:cs="Segoe UI" w:eastAsia="Segoe UI"/>
          <w:color w:val="67973F"/>
          <w:sz w:val="19"/>
          <w:szCs w:val="19"/>
        </w:rPr>
        <w:t>environment,</w:t>
      </w:r>
      <w:r>
        <w:rPr>
          <w:rFonts w:ascii="Segoe UI" w:hAnsi="Segoe UI" w:cs="Segoe UI" w:eastAsia="Segoe UI"/>
          <w:color w:val="67973F"/>
          <w:spacing w:val="25"/>
          <w:w w:val="99"/>
          <w:sz w:val="19"/>
          <w:szCs w:val="19"/>
        </w:rPr>
        <w:t> </w:t>
      </w:r>
      <w:r>
        <w:rPr>
          <w:rFonts w:ascii="Segoe UI" w:hAnsi="Segoe UI" w:cs="Segoe UI" w:eastAsia="Segoe UI"/>
          <w:color w:val="67973F"/>
          <w:sz w:val="19"/>
          <w:szCs w:val="19"/>
        </w:rPr>
        <w:t>uninterrupted</w:t>
      </w:r>
      <w:r>
        <w:rPr>
          <w:rFonts w:ascii="Segoe UI" w:hAnsi="Segoe UI" w:cs="Segoe UI" w:eastAsia="Segoe UI"/>
          <w:color w:val="67973F"/>
          <w:spacing w:val="-6"/>
          <w:sz w:val="19"/>
          <w:szCs w:val="19"/>
        </w:rPr>
        <w:t> </w:t>
      </w:r>
      <w:r>
        <w:rPr>
          <w:rFonts w:ascii="Segoe UI" w:hAnsi="Segoe UI" w:cs="Segoe UI" w:eastAsia="Segoe UI"/>
          <w:color w:val="67973F"/>
          <w:spacing w:val="-1"/>
          <w:sz w:val="19"/>
          <w:szCs w:val="19"/>
        </w:rPr>
        <w:t>in</w:t>
      </w:r>
      <w:r>
        <w:rPr>
          <w:rFonts w:ascii="Segoe UI" w:hAnsi="Segoe UI" w:cs="Segoe UI" w:eastAsia="Segoe UI"/>
          <w:color w:val="67973F"/>
          <w:spacing w:val="-4"/>
          <w:sz w:val="19"/>
          <w:szCs w:val="19"/>
        </w:rPr>
        <w:t> </w:t>
      </w:r>
      <w:r>
        <w:rPr>
          <w:rFonts w:ascii="Segoe UI" w:hAnsi="Segoe UI" w:cs="Segoe UI" w:eastAsia="Segoe UI"/>
          <w:color w:val="67973F"/>
          <w:sz w:val="19"/>
          <w:szCs w:val="19"/>
        </w:rPr>
        <w:t>order</w:t>
      </w:r>
      <w:r>
        <w:rPr>
          <w:rFonts w:ascii="Segoe UI" w:hAnsi="Segoe UI" w:cs="Segoe UI" w:eastAsia="Segoe UI"/>
          <w:color w:val="67973F"/>
          <w:spacing w:val="-4"/>
          <w:sz w:val="19"/>
          <w:szCs w:val="19"/>
        </w:rPr>
        <w:t> </w:t>
      </w:r>
      <w:r>
        <w:rPr>
          <w:rFonts w:ascii="Segoe UI" w:hAnsi="Segoe UI" w:cs="Segoe UI" w:eastAsia="Segoe UI"/>
          <w:color w:val="67973F"/>
          <w:sz w:val="19"/>
          <w:szCs w:val="19"/>
        </w:rPr>
        <w:t>to</w:t>
      </w:r>
      <w:r>
        <w:rPr>
          <w:rFonts w:ascii="Segoe UI" w:hAnsi="Segoe UI" w:cs="Segoe UI" w:eastAsia="Segoe UI"/>
          <w:color w:val="67973F"/>
          <w:spacing w:val="-4"/>
          <w:sz w:val="19"/>
          <w:szCs w:val="19"/>
        </w:rPr>
        <w:t> </w:t>
      </w:r>
      <w:r>
        <w:rPr>
          <w:rFonts w:ascii="Segoe UI" w:hAnsi="Segoe UI" w:cs="Segoe UI" w:eastAsia="Segoe UI"/>
          <w:color w:val="67973F"/>
          <w:sz w:val="19"/>
          <w:szCs w:val="19"/>
        </w:rPr>
        <w:t>help</w:t>
      </w:r>
      <w:r>
        <w:rPr>
          <w:rFonts w:ascii="Segoe UI" w:hAnsi="Segoe UI" w:cs="Segoe UI" w:eastAsia="Segoe UI"/>
          <w:color w:val="67973F"/>
          <w:spacing w:val="-5"/>
          <w:sz w:val="19"/>
          <w:szCs w:val="19"/>
        </w:rPr>
        <w:t> </w:t>
      </w:r>
      <w:r>
        <w:rPr>
          <w:rFonts w:ascii="Segoe UI" w:hAnsi="Segoe UI" w:cs="Segoe UI" w:eastAsia="Segoe UI"/>
          <w:color w:val="67973F"/>
          <w:sz w:val="19"/>
          <w:szCs w:val="19"/>
        </w:rPr>
        <w:t>them</w:t>
      </w:r>
      <w:r>
        <w:rPr>
          <w:rFonts w:ascii="Segoe UI" w:hAnsi="Segoe UI" w:cs="Segoe UI" w:eastAsia="Segoe UI"/>
          <w:color w:val="67973F"/>
          <w:spacing w:val="-5"/>
          <w:sz w:val="19"/>
          <w:szCs w:val="19"/>
        </w:rPr>
        <w:t> </w:t>
      </w:r>
      <w:r>
        <w:rPr>
          <w:rFonts w:ascii="Segoe UI" w:hAnsi="Segoe UI" w:cs="Segoe UI" w:eastAsia="Segoe UI"/>
          <w:color w:val="67973F"/>
          <w:sz w:val="19"/>
          <w:szCs w:val="19"/>
        </w:rPr>
        <w:t>be</w:t>
      </w:r>
      <w:r>
        <w:rPr>
          <w:rFonts w:ascii="Segoe UI" w:hAnsi="Segoe UI" w:cs="Segoe UI" w:eastAsia="Segoe UI"/>
          <w:color w:val="67973F"/>
          <w:spacing w:val="-4"/>
          <w:sz w:val="19"/>
          <w:szCs w:val="19"/>
        </w:rPr>
        <w:t> </w:t>
      </w:r>
      <w:r>
        <w:rPr>
          <w:rFonts w:ascii="Segoe UI" w:hAnsi="Segoe UI" w:cs="Segoe UI" w:eastAsia="Segoe UI"/>
          <w:color w:val="67973F"/>
          <w:spacing w:val="-1"/>
          <w:sz w:val="19"/>
          <w:szCs w:val="19"/>
        </w:rPr>
        <w:t>"work</w:t>
      </w:r>
      <w:r>
        <w:rPr>
          <w:rFonts w:ascii="Segoe UI" w:hAnsi="Segoe UI" w:cs="Segoe UI" w:eastAsia="Segoe UI"/>
          <w:color w:val="67973F"/>
          <w:spacing w:val="21"/>
          <w:w w:val="99"/>
          <w:sz w:val="19"/>
          <w:szCs w:val="19"/>
        </w:rPr>
        <w:t> </w:t>
      </w:r>
      <w:r>
        <w:rPr>
          <w:rFonts w:ascii="Segoe UI" w:hAnsi="Segoe UI" w:cs="Segoe UI" w:eastAsia="Segoe UI"/>
          <w:color w:val="67973F"/>
          <w:sz w:val="19"/>
          <w:szCs w:val="19"/>
        </w:rPr>
        <w:t>ready"’.</w:t>
      </w:r>
      <w:r>
        <w:rPr>
          <w:rFonts w:ascii="Segoe UI" w:hAnsi="Segoe UI" w:cs="Segoe UI" w:eastAsia="Segoe UI"/>
          <w:color w:val="67973F"/>
          <w:spacing w:val="-7"/>
          <w:sz w:val="19"/>
          <w:szCs w:val="19"/>
        </w:rPr>
        <w:t> </w:t>
      </w:r>
      <w:r>
        <w:rPr>
          <w:rFonts w:ascii="Segoe UI" w:hAnsi="Segoe UI" w:cs="Segoe UI" w:eastAsia="Segoe UI"/>
          <w:color w:val="67973F"/>
          <w:sz w:val="19"/>
          <w:szCs w:val="19"/>
        </w:rPr>
        <w:t>Locating</w:t>
      </w:r>
      <w:r>
        <w:rPr>
          <w:rFonts w:ascii="Segoe UI" w:hAnsi="Segoe UI" w:cs="Segoe UI" w:eastAsia="Segoe UI"/>
          <w:color w:val="67973F"/>
          <w:spacing w:val="-6"/>
          <w:sz w:val="19"/>
          <w:szCs w:val="19"/>
        </w:rPr>
        <w:t> </w:t>
      </w:r>
      <w:r>
        <w:rPr>
          <w:rFonts w:ascii="Segoe UI" w:hAnsi="Segoe UI" w:cs="Segoe UI" w:eastAsia="Segoe UI"/>
          <w:color w:val="67973F"/>
          <w:sz w:val="19"/>
          <w:szCs w:val="19"/>
        </w:rPr>
        <w:t>the</w:t>
      </w:r>
      <w:r>
        <w:rPr>
          <w:rFonts w:ascii="Segoe UI" w:hAnsi="Segoe UI" w:cs="Segoe UI" w:eastAsia="Segoe UI"/>
          <w:color w:val="67973F"/>
          <w:spacing w:val="-6"/>
          <w:sz w:val="19"/>
          <w:szCs w:val="19"/>
        </w:rPr>
        <w:t> </w:t>
      </w:r>
      <w:r>
        <w:rPr>
          <w:rFonts w:ascii="Segoe UI" w:hAnsi="Segoe UI" w:cs="Segoe UI" w:eastAsia="Segoe UI"/>
          <w:color w:val="67973F"/>
          <w:sz w:val="19"/>
          <w:szCs w:val="19"/>
        </w:rPr>
        <w:t>college</w:t>
      </w:r>
      <w:r>
        <w:rPr>
          <w:rFonts w:ascii="Segoe UI" w:hAnsi="Segoe UI" w:cs="Segoe UI" w:eastAsia="Segoe UI"/>
          <w:color w:val="67973F"/>
          <w:spacing w:val="-6"/>
          <w:sz w:val="19"/>
          <w:szCs w:val="19"/>
        </w:rPr>
        <w:t> </w:t>
      </w:r>
      <w:r>
        <w:rPr>
          <w:rFonts w:ascii="Segoe UI" w:hAnsi="Segoe UI" w:cs="Segoe UI" w:eastAsia="Segoe UI"/>
          <w:color w:val="67973F"/>
          <w:sz w:val="19"/>
          <w:szCs w:val="19"/>
        </w:rPr>
        <w:t>on</w:t>
      </w:r>
      <w:r>
        <w:rPr>
          <w:rFonts w:ascii="Segoe UI" w:hAnsi="Segoe UI" w:cs="Segoe UI" w:eastAsia="Segoe UI"/>
          <w:color w:val="67973F"/>
          <w:spacing w:val="-5"/>
          <w:sz w:val="19"/>
          <w:szCs w:val="19"/>
        </w:rPr>
        <w:t> </w:t>
      </w:r>
      <w:r>
        <w:rPr>
          <w:rFonts w:ascii="Segoe UI" w:hAnsi="Segoe UI" w:cs="Segoe UI" w:eastAsia="Segoe UI"/>
          <w:color w:val="67973F"/>
          <w:sz w:val="19"/>
          <w:szCs w:val="19"/>
        </w:rPr>
        <w:t>country</w:t>
      </w:r>
      <w:r>
        <w:rPr>
          <w:rFonts w:ascii="Segoe UI" w:hAnsi="Segoe UI" w:cs="Segoe UI" w:eastAsia="Segoe UI"/>
          <w:color w:val="67973F"/>
          <w:spacing w:val="-6"/>
          <w:sz w:val="19"/>
          <w:szCs w:val="19"/>
        </w:rPr>
        <w:t> </w:t>
      </w:r>
      <w:r>
        <w:rPr>
          <w:rFonts w:ascii="Segoe UI" w:hAnsi="Segoe UI" w:cs="Segoe UI" w:eastAsia="Segoe UI"/>
          <w:color w:val="67973F"/>
          <w:sz w:val="19"/>
          <w:szCs w:val="19"/>
        </w:rPr>
        <w:t>has</w:t>
      </w:r>
      <w:r>
        <w:rPr>
          <w:rFonts w:ascii="Segoe UI" w:hAnsi="Segoe UI" w:cs="Segoe UI" w:eastAsia="Segoe UI"/>
          <w:color w:val="67973F"/>
          <w:sz w:val="19"/>
          <w:szCs w:val="19"/>
        </w:rPr>
        <w:t> enabled</w:t>
      </w:r>
      <w:r>
        <w:rPr>
          <w:rFonts w:ascii="Segoe UI" w:hAnsi="Segoe UI" w:cs="Segoe UI" w:eastAsia="Segoe UI"/>
          <w:color w:val="67973F"/>
          <w:spacing w:val="-7"/>
          <w:sz w:val="19"/>
          <w:szCs w:val="19"/>
        </w:rPr>
        <w:t> </w:t>
      </w:r>
      <w:r>
        <w:rPr>
          <w:rFonts w:ascii="Segoe UI" w:hAnsi="Segoe UI" w:cs="Segoe UI" w:eastAsia="Segoe UI"/>
          <w:color w:val="67973F"/>
          <w:spacing w:val="-1"/>
          <w:sz w:val="19"/>
          <w:szCs w:val="19"/>
        </w:rPr>
        <w:t>students</w:t>
      </w:r>
      <w:r>
        <w:rPr>
          <w:rFonts w:ascii="Segoe UI" w:hAnsi="Segoe UI" w:cs="Segoe UI" w:eastAsia="Segoe UI"/>
          <w:color w:val="67973F"/>
          <w:spacing w:val="-5"/>
          <w:sz w:val="19"/>
          <w:szCs w:val="19"/>
        </w:rPr>
        <w:t> </w:t>
      </w:r>
      <w:r>
        <w:rPr>
          <w:rFonts w:ascii="Segoe UI" w:hAnsi="Segoe UI" w:cs="Segoe UI" w:eastAsia="Segoe UI"/>
          <w:color w:val="67973F"/>
          <w:sz w:val="19"/>
          <w:szCs w:val="19"/>
        </w:rPr>
        <w:t>to</w:t>
      </w:r>
      <w:r>
        <w:rPr>
          <w:rFonts w:ascii="Segoe UI" w:hAnsi="Segoe UI" w:cs="Segoe UI" w:eastAsia="Segoe UI"/>
          <w:color w:val="67973F"/>
          <w:spacing w:val="-5"/>
          <w:sz w:val="19"/>
          <w:szCs w:val="19"/>
        </w:rPr>
        <w:t> </w:t>
      </w:r>
      <w:r>
        <w:rPr>
          <w:rFonts w:ascii="Segoe UI" w:hAnsi="Segoe UI" w:cs="Segoe UI" w:eastAsia="Segoe UI"/>
          <w:color w:val="67973F"/>
          <w:sz w:val="19"/>
          <w:szCs w:val="19"/>
        </w:rPr>
        <w:t>remain</w:t>
      </w:r>
      <w:r>
        <w:rPr>
          <w:rFonts w:ascii="Segoe UI" w:hAnsi="Segoe UI" w:cs="Segoe UI" w:eastAsia="Segoe UI"/>
          <w:color w:val="67973F"/>
          <w:spacing w:val="-6"/>
          <w:sz w:val="19"/>
          <w:szCs w:val="19"/>
        </w:rPr>
        <w:t> </w:t>
      </w:r>
      <w:r>
        <w:rPr>
          <w:rFonts w:ascii="Segoe UI" w:hAnsi="Segoe UI" w:cs="Segoe UI" w:eastAsia="Segoe UI"/>
          <w:color w:val="67973F"/>
          <w:sz w:val="19"/>
          <w:szCs w:val="19"/>
        </w:rPr>
        <w:t>connected</w:t>
      </w:r>
      <w:r>
        <w:rPr>
          <w:rFonts w:ascii="Segoe UI" w:hAnsi="Segoe UI" w:cs="Segoe UI" w:eastAsia="Segoe UI"/>
          <w:color w:val="67973F"/>
          <w:spacing w:val="-6"/>
          <w:sz w:val="19"/>
          <w:szCs w:val="19"/>
        </w:rPr>
        <w:t> </w:t>
      </w:r>
      <w:r>
        <w:rPr>
          <w:rFonts w:ascii="Segoe UI" w:hAnsi="Segoe UI" w:cs="Segoe UI" w:eastAsia="Segoe UI"/>
          <w:color w:val="67973F"/>
          <w:sz w:val="19"/>
          <w:szCs w:val="19"/>
        </w:rPr>
        <w:t>with</w:t>
      </w:r>
      <w:r>
        <w:rPr>
          <w:rFonts w:ascii="Segoe UI" w:hAnsi="Segoe UI" w:cs="Segoe UI" w:eastAsia="Segoe UI"/>
          <w:color w:val="67973F"/>
          <w:spacing w:val="-6"/>
          <w:sz w:val="19"/>
          <w:szCs w:val="19"/>
        </w:rPr>
        <w:t> </w:t>
      </w:r>
      <w:r>
        <w:rPr>
          <w:rFonts w:ascii="Segoe UI" w:hAnsi="Segoe UI" w:cs="Segoe UI" w:eastAsia="Segoe UI"/>
          <w:color w:val="67973F"/>
          <w:sz w:val="19"/>
          <w:szCs w:val="19"/>
        </w:rPr>
        <w:t>their</w:t>
      </w:r>
      <w:r>
        <w:rPr>
          <w:rFonts w:ascii="Segoe UI" w:hAnsi="Segoe UI" w:cs="Segoe UI" w:eastAsia="Segoe UI"/>
          <w:color w:val="67973F"/>
          <w:spacing w:val="22"/>
          <w:w w:val="99"/>
          <w:sz w:val="19"/>
          <w:szCs w:val="19"/>
        </w:rPr>
        <w:t> </w:t>
      </w:r>
      <w:r>
        <w:rPr>
          <w:rFonts w:ascii="Segoe UI" w:hAnsi="Segoe UI" w:cs="Segoe UI" w:eastAsia="Segoe UI"/>
          <w:color w:val="67973F"/>
          <w:sz w:val="19"/>
          <w:szCs w:val="19"/>
        </w:rPr>
        <w:t>community</w:t>
      </w:r>
      <w:r>
        <w:rPr>
          <w:rFonts w:ascii="Segoe UI" w:hAnsi="Segoe UI" w:cs="Segoe UI" w:eastAsia="Segoe UI"/>
          <w:color w:val="67973F"/>
          <w:spacing w:val="-6"/>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6"/>
          <w:sz w:val="19"/>
          <w:szCs w:val="19"/>
        </w:rPr>
        <w:t> </w:t>
      </w:r>
      <w:r>
        <w:rPr>
          <w:rFonts w:ascii="Segoe UI" w:hAnsi="Segoe UI" w:cs="Segoe UI" w:eastAsia="Segoe UI"/>
          <w:color w:val="67973F"/>
          <w:sz w:val="19"/>
          <w:szCs w:val="19"/>
        </w:rPr>
        <w:t>culture.</w:t>
      </w:r>
      <w:r>
        <w:rPr>
          <w:rFonts w:ascii="Segoe UI" w:hAnsi="Segoe UI" w:cs="Segoe UI" w:eastAsia="Segoe UI"/>
          <w:sz w:val="19"/>
          <w:szCs w:val="19"/>
        </w:rPr>
      </w:r>
    </w:p>
    <w:p>
      <w:pPr>
        <w:spacing w:line="265" w:lineRule="auto" w:before="113"/>
        <w:ind w:left="117" w:right="232" w:firstLine="0"/>
        <w:jc w:val="left"/>
        <w:rPr>
          <w:rFonts w:ascii="Segoe UI" w:hAnsi="Segoe UI" w:cs="Segoe UI" w:eastAsia="Segoe UI"/>
          <w:sz w:val="19"/>
          <w:szCs w:val="19"/>
        </w:rPr>
      </w:pPr>
      <w:r>
        <w:rPr>
          <w:rFonts w:ascii="Segoe UI"/>
          <w:color w:val="67973F"/>
          <w:spacing w:val="-1"/>
          <w:sz w:val="19"/>
        </w:rPr>
        <w:t>Students</w:t>
      </w:r>
      <w:r>
        <w:rPr>
          <w:rFonts w:ascii="Segoe UI"/>
          <w:color w:val="67973F"/>
          <w:spacing w:val="-6"/>
          <w:sz w:val="19"/>
        </w:rPr>
        <w:t> </w:t>
      </w:r>
      <w:r>
        <w:rPr>
          <w:rFonts w:ascii="Segoe UI"/>
          <w:color w:val="67973F"/>
          <w:sz w:val="19"/>
        </w:rPr>
        <w:t>board</w:t>
      </w:r>
      <w:r>
        <w:rPr>
          <w:rFonts w:ascii="Segoe UI"/>
          <w:color w:val="67973F"/>
          <w:spacing w:val="-5"/>
          <w:sz w:val="19"/>
        </w:rPr>
        <w:t> </w:t>
      </w:r>
      <w:r>
        <w:rPr>
          <w:rFonts w:ascii="Segoe UI"/>
          <w:color w:val="67973F"/>
          <w:sz w:val="19"/>
        </w:rPr>
        <w:t>during</w:t>
      </w:r>
      <w:r>
        <w:rPr>
          <w:rFonts w:ascii="Segoe UI"/>
          <w:color w:val="67973F"/>
          <w:spacing w:val="-6"/>
          <w:sz w:val="19"/>
        </w:rPr>
        <w:t> </w:t>
      </w:r>
      <w:r>
        <w:rPr>
          <w:rFonts w:ascii="Segoe UI"/>
          <w:color w:val="67973F"/>
          <w:sz w:val="19"/>
        </w:rPr>
        <w:t>the</w:t>
      </w:r>
      <w:r>
        <w:rPr>
          <w:rFonts w:ascii="Segoe UI"/>
          <w:color w:val="67973F"/>
          <w:spacing w:val="-6"/>
          <w:sz w:val="19"/>
        </w:rPr>
        <w:t> </w:t>
      </w:r>
      <w:r>
        <w:rPr>
          <w:rFonts w:ascii="Segoe UI"/>
          <w:color w:val="67973F"/>
          <w:sz w:val="19"/>
        </w:rPr>
        <w:t>week</w:t>
      </w:r>
      <w:r>
        <w:rPr>
          <w:rFonts w:ascii="Segoe UI"/>
          <w:color w:val="67973F"/>
          <w:spacing w:val="-6"/>
          <w:sz w:val="19"/>
        </w:rPr>
        <w:t> </w:t>
      </w:r>
      <w:r>
        <w:rPr>
          <w:rFonts w:ascii="Segoe UI"/>
          <w:color w:val="67973F"/>
          <w:sz w:val="19"/>
        </w:rPr>
        <w:t>and</w:t>
      </w:r>
      <w:r>
        <w:rPr>
          <w:rFonts w:ascii="Segoe UI"/>
          <w:color w:val="67973F"/>
          <w:spacing w:val="-6"/>
          <w:sz w:val="19"/>
        </w:rPr>
        <w:t> </w:t>
      </w:r>
      <w:r>
        <w:rPr>
          <w:rFonts w:ascii="Segoe UI"/>
          <w:color w:val="67973F"/>
          <w:sz w:val="19"/>
        </w:rPr>
        <w:t>are</w:t>
      </w:r>
      <w:r>
        <w:rPr>
          <w:rFonts w:ascii="Segoe UI"/>
          <w:color w:val="67973F"/>
          <w:spacing w:val="21"/>
          <w:w w:val="99"/>
          <w:sz w:val="19"/>
        </w:rPr>
        <w:t> </w:t>
      </w:r>
      <w:r>
        <w:rPr>
          <w:rFonts w:ascii="Segoe UI"/>
          <w:color w:val="67973F"/>
          <w:sz w:val="19"/>
        </w:rPr>
        <w:t>accommodated</w:t>
      </w:r>
      <w:r>
        <w:rPr>
          <w:rFonts w:ascii="Segoe UI"/>
          <w:color w:val="67973F"/>
          <w:spacing w:val="-6"/>
          <w:sz w:val="19"/>
        </w:rPr>
        <w:t> </w:t>
      </w:r>
      <w:r>
        <w:rPr>
          <w:rFonts w:ascii="Segoe UI"/>
          <w:color w:val="67973F"/>
          <w:spacing w:val="-1"/>
          <w:sz w:val="19"/>
        </w:rPr>
        <w:t>in</w:t>
      </w:r>
      <w:r>
        <w:rPr>
          <w:rFonts w:ascii="Segoe UI"/>
          <w:color w:val="67973F"/>
          <w:spacing w:val="-4"/>
          <w:sz w:val="19"/>
        </w:rPr>
        <w:t> </w:t>
      </w:r>
      <w:r>
        <w:rPr>
          <w:rFonts w:ascii="Segoe UI"/>
          <w:color w:val="67973F"/>
          <w:sz w:val="19"/>
        </w:rPr>
        <w:t>family</w:t>
      </w:r>
      <w:r>
        <w:rPr>
          <w:rFonts w:ascii="Segoe UI"/>
          <w:color w:val="67973F"/>
          <w:spacing w:val="-6"/>
          <w:sz w:val="19"/>
        </w:rPr>
        <w:t> </w:t>
      </w:r>
      <w:r>
        <w:rPr>
          <w:rFonts w:ascii="Segoe UI"/>
          <w:color w:val="67973F"/>
          <w:sz w:val="19"/>
        </w:rPr>
        <w:t>group</w:t>
      </w:r>
      <w:r>
        <w:rPr>
          <w:rFonts w:ascii="Segoe UI"/>
          <w:color w:val="67973F"/>
          <w:spacing w:val="-5"/>
          <w:sz w:val="19"/>
        </w:rPr>
        <w:t> </w:t>
      </w:r>
      <w:r>
        <w:rPr>
          <w:rFonts w:ascii="Segoe UI"/>
          <w:color w:val="67973F"/>
          <w:sz w:val="19"/>
        </w:rPr>
        <w:t>homes.</w:t>
      </w:r>
      <w:r>
        <w:rPr>
          <w:rFonts w:ascii="Segoe UI"/>
          <w:color w:val="67973F"/>
          <w:spacing w:val="-6"/>
          <w:sz w:val="19"/>
        </w:rPr>
        <w:t> </w:t>
      </w:r>
      <w:r>
        <w:rPr>
          <w:rFonts w:ascii="Segoe UI"/>
          <w:color w:val="67973F"/>
          <w:sz w:val="19"/>
        </w:rPr>
        <w:t>They</w:t>
      </w:r>
      <w:r>
        <w:rPr>
          <w:rFonts w:ascii="Segoe UI"/>
          <w:color w:val="67973F"/>
          <w:spacing w:val="21"/>
          <w:w w:val="99"/>
          <w:sz w:val="19"/>
        </w:rPr>
        <w:t> </w:t>
      </w:r>
      <w:r>
        <w:rPr>
          <w:rFonts w:ascii="Segoe UI"/>
          <w:color w:val="67973F"/>
          <w:sz w:val="19"/>
        </w:rPr>
        <w:t>return</w:t>
      </w:r>
      <w:r>
        <w:rPr>
          <w:rFonts w:ascii="Segoe UI"/>
          <w:color w:val="67973F"/>
          <w:spacing w:val="-4"/>
          <w:sz w:val="19"/>
        </w:rPr>
        <w:t> </w:t>
      </w:r>
      <w:r>
        <w:rPr>
          <w:rFonts w:ascii="Segoe UI"/>
          <w:color w:val="67973F"/>
          <w:sz w:val="19"/>
        </w:rPr>
        <w:t>to</w:t>
      </w:r>
      <w:r>
        <w:rPr>
          <w:rFonts w:ascii="Segoe UI"/>
          <w:color w:val="67973F"/>
          <w:spacing w:val="-3"/>
          <w:sz w:val="19"/>
        </w:rPr>
        <w:t> </w:t>
      </w:r>
      <w:r>
        <w:rPr>
          <w:rFonts w:ascii="Segoe UI"/>
          <w:color w:val="67973F"/>
          <w:sz w:val="19"/>
        </w:rPr>
        <w:t>their</w:t>
      </w:r>
      <w:r>
        <w:rPr>
          <w:rFonts w:ascii="Segoe UI"/>
          <w:color w:val="67973F"/>
          <w:spacing w:val="-4"/>
          <w:sz w:val="19"/>
        </w:rPr>
        <w:t> </w:t>
      </w:r>
      <w:r>
        <w:rPr>
          <w:rFonts w:ascii="Segoe UI"/>
          <w:color w:val="67973F"/>
          <w:sz w:val="19"/>
        </w:rPr>
        <w:t>home</w:t>
      </w:r>
      <w:r>
        <w:rPr>
          <w:rFonts w:ascii="Segoe UI"/>
          <w:color w:val="67973F"/>
          <w:spacing w:val="-4"/>
          <w:sz w:val="19"/>
        </w:rPr>
        <w:t> </w:t>
      </w:r>
      <w:r>
        <w:rPr>
          <w:rFonts w:ascii="Segoe UI"/>
          <w:color w:val="67973F"/>
          <w:sz w:val="19"/>
        </w:rPr>
        <w:t>communities</w:t>
      </w:r>
      <w:r>
        <w:rPr>
          <w:rFonts w:ascii="Segoe UI"/>
          <w:color w:val="67973F"/>
          <w:spacing w:val="-4"/>
          <w:sz w:val="19"/>
        </w:rPr>
        <w:t> </w:t>
      </w:r>
      <w:r>
        <w:rPr>
          <w:rFonts w:ascii="Segoe UI"/>
          <w:color w:val="67973F"/>
          <w:sz w:val="19"/>
        </w:rPr>
        <w:t>on</w:t>
      </w:r>
      <w:r>
        <w:rPr>
          <w:rFonts w:ascii="Segoe UI"/>
          <w:color w:val="67973F"/>
          <w:spacing w:val="-3"/>
          <w:sz w:val="19"/>
        </w:rPr>
        <w:t> </w:t>
      </w:r>
      <w:r>
        <w:rPr>
          <w:rFonts w:ascii="Segoe UI"/>
          <w:color w:val="67973F"/>
          <w:spacing w:val="-1"/>
          <w:sz w:val="19"/>
        </w:rPr>
        <w:t>Friday</w:t>
      </w:r>
      <w:r>
        <w:rPr>
          <w:rFonts w:ascii="Segoe UI"/>
          <w:color w:val="67973F"/>
          <w:spacing w:val="20"/>
          <w:w w:val="99"/>
          <w:sz w:val="19"/>
        </w:rPr>
        <w:t> </w:t>
      </w:r>
      <w:r>
        <w:rPr>
          <w:rFonts w:ascii="Segoe UI"/>
          <w:color w:val="67973F"/>
          <w:sz w:val="19"/>
        </w:rPr>
        <w:t>afternoon</w:t>
      </w:r>
      <w:r>
        <w:rPr>
          <w:rFonts w:ascii="Segoe UI"/>
          <w:color w:val="67973F"/>
          <w:spacing w:val="-5"/>
          <w:sz w:val="19"/>
        </w:rPr>
        <w:t> </w:t>
      </w:r>
      <w:r>
        <w:rPr>
          <w:rFonts w:ascii="Segoe UI"/>
          <w:color w:val="67973F"/>
          <w:sz w:val="19"/>
        </w:rPr>
        <w:t>of</w:t>
      </w:r>
      <w:r>
        <w:rPr>
          <w:rFonts w:ascii="Segoe UI"/>
          <w:color w:val="67973F"/>
          <w:spacing w:val="-3"/>
          <w:sz w:val="19"/>
        </w:rPr>
        <w:t> </w:t>
      </w:r>
      <w:r>
        <w:rPr>
          <w:rFonts w:ascii="Segoe UI"/>
          <w:color w:val="67973F"/>
          <w:sz w:val="19"/>
        </w:rPr>
        <w:t>each</w:t>
      </w:r>
      <w:r>
        <w:rPr>
          <w:rFonts w:ascii="Segoe UI"/>
          <w:color w:val="67973F"/>
          <w:spacing w:val="-4"/>
          <w:sz w:val="19"/>
        </w:rPr>
        <w:t> </w:t>
      </w:r>
      <w:r>
        <w:rPr>
          <w:rFonts w:ascii="Segoe UI"/>
          <w:color w:val="67973F"/>
          <w:sz w:val="19"/>
        </w:rPr>
        <w:t>week.</w:t>
      </w:r>
      <w:r>
        <w:rPr>
          <w:rFonts w:ascii="Segoe UI"/>
          <w:color w:val="67973F"/>
          <w:spacing w:val="-4"/>
          <w:sz w:val="19"/>
        </w:rPr>
        <w:t> </w:t>
      </w:r>
      <w:r>
        <w:rPr>
          <w:rFonts w:ascii="Segoe UI"/>
          <w:color w:val="67973F"/>
          <w:sz w:val="19"/>
        </w:rPr>
        <w:t>The</w:t>
      </w:r>
      <w:r>
        <w:rPr>
          <w:rFonts w:ascii="Segoe UI"/>
          <w:color w:val="67973F"/>
          <w:spacing w:val="-4"/>
          <w:sz w:val="19"/>
        </w:rPr>
        <w:t> </w:t>
      </w:r>
      <w:r>
        <w:rPr>
          <w:rFonts w:ascii="Segoe UI"/>
          <w:color w:val="67973F"/>
          <w:sz w:val="19"/>
        </w:rPr>
        <w:t>cost</w:t>
      </w:r>
      <w:r>
        <w:rPr>
          <w:rFonts w:ascii="Segoe UI"/>
          <w:color w:val="67973F"/>
          <w:spacing w:val="-4"/>
          <w:sz w:val="19"/>
        </w:rPr>
        <w:t> </w:t>
      </w:r>
      <w:r>
        <w:rPr>
          <w:rFonts w:ascii="Segoe UI"/>
          <w:color w:val="67973F"/>
          <w:sz w:val="19"/>
        </w:rPr>
        <w:t>of</w:t>
      </w:r>
      <w:r>
        <w:rPr>
          <w:rFonts w:ascii="Segoe UI"/>
          <w:color w:val="67973F"/>
          <w:spacing w:val="-4"/>
          <w:sz w:val="19"/>
        </w:rPr>
        <w:t> </w:t>
      </w:r>
      <w:r>
        <w:rPr>
          <w:rFonts w:ascii="Segoe UI"/>
          <w:color w:val="67973F"/>
          <w:sz w:val="19"/>
        </w:rPr>
        <w:t>this</w:t>
      </w:r>
      <w:r>
        <w:rPr>
          <w:rFonts w:ascii="Segoe UI"/>
          <w:color w:val="67973F"/>
          <w:spacing w:val="-4"/>
          <w:sz w:val="19"/>
        </w:rPr>
        <w:t> </w:t>
      </w:r>
      <w:r>
        <w:rPr>
          <w:rFonts w:ascii="Segoe UI"/>
          <w:color w:val="67973F"/>
          <w:sz w:val="19"/>
        </w:rPr>
        <w:t>travel</w:t>
      </w:r>
      <w:r>
        <w:rPr>
          <w:rFonts w:ascii="Segoe UI"/>
          <w:color w:val="67973F"/>
          <w:w w:val="99"/>
          <w:sz w:val="19"/>
        </w:rPr>
        <w:t> </w:t>
      </w:r>
      <w:r>
        <w:rPr>
          <w:rFonts w:ascii="Segoe UI"/>
          <w:color w:val="67973F"/>
          <w:spacing w:val="-1"/>
          <w:sz w:val="19"/>
        </w:rPr>
        <w:t>is</w:t>
      </w:r>
      <w:r>
        <w:rPr>
          <w:rFonts w:ascii="Segoe UI"/>
          <w:color w:val="67973F"/>
          <w:spacing w:val="-5"/>
          <w:sz w:val="19"/>
        </w:rPr>
        <w:t> </w:t>
      </w:r>
      <w:r>
        <w:rPr>
          <w:rFonts w:ascii="Segoe UI"/>
          <w:color w:val="67973F"/>
          <w:sz w:val="19"/>
        </w:rPr>
        <w:t>borne</w:t>
      </w:r>
      <w:r>
        <w:rPr>
          <w:rFonts w:ascii="Segoe UI"/>
          <w:color w:val="67973F"/>
          <w:spacing w:val="-5"/>
          <w:sz w:val="19"/>
        </w:rPr>
        <w:t> </w:t>
      </w:r>
      <w:r>
        <w:rPr>
          <w:rFonts w:ascii="Segoe UI"/>
          <w:color w:val="67973F"/>
          <w:sz w:val="19"/>
        </w:rPr>
        <w:t>by</w:t>
      </w:r>
      <w:r>
        <w:rPr>
          <w:rFonts w:ascii="Segoe UI"/>
          <w:color w:val="67973F"/>
          <w:spacing w:val="-3"/>
          <w:sz w:val="19"/>
        </w:rPr>
        <w:t> </w:t>
      </w:r>
      <w:r>
        <w:rPr>
          <w:rFonts w:ascii="Segoe UI"/>
          <w:color w:val="67973F"/>
          <w:sz w:val="19"/>
        </w:rPr>
        <w:t>the</w:t>
      </w:r>
      <w:r>
        <w:rPr>
          <w:rFonts w:ascii="Segoe UI"/>
          <w:color w:val="67973F"/>
          <w:spacing w:val="-5"/>
          <w:sz w:val="19"/>
        </w:rPr>
        <w:t> </w:t>
      </w:r>
      <w:r>
        <w:rPr>
          <w:rFonts w:ascii="Segoe UI"/>
          <w:color w:val="67973F"/>
          <w:sz w:val="19"/>
        </w:rPr>
        <w:t>college</w:t>
      </w:r>
      <w:r>
        <w:rPr>
          <w:rFonts w:ascii="Segoe UI"/>
          <w:color w:val="67973F"/>
          <w:spacing w:val="-4"/>
          <w:sz w:val="19"/>
        </w:rPr>
        <w:t> </w:t>
      </w:r>
      <w:r>
        <w:rPr>
          <w:rFonts w:ascii="Segoe UI"/>
          <w:color w:val="67973F"/>
          <w:sz w:val="19"/>
        </w:rPr>
        <w:t>and</w:t>
      </w:r>
      <w:r>
        <w:rPr>
          <w:rFonts w:ascii="Segoe UI"/>
          <w:color w:val="67973F"/>
          <w:spacing w:val="-5"/>
          <w:sz w:val="19"/>
        </w:rPr>
        <w:t> </w:t>
      </w:r>
      <w:r>
        <w:rPr>
          <w:rFonts w:ascii="Segoe UI"/>
          <w:color w:val="67973F"/>
          <w:sz w:val="19"/>
        </w:rPr>
        <w:t>not</w:t>
      </w:r>
      <w:r>
        <w:rPr>
          <w:rFonts w:ascii="Segoe UI"/>
          <w:color w:val="67973F"/>
          <w:spacing w:val="-3"/>
          <w:sz w:val="19"/>
        </w:rPr>
        <w:t> </w:t>
      </w:r>
      <w:r>
        <w:rPr>
          <w:rFonts w:ascii="Segoe UI"/>
          <w:color w:val="67973F"/>
          <w:spacing w:val="-1"/>
          <w:sz w:val="19"/>
        </w:rPr>
        <w:t>met</w:t>
      </w:r>
      <w:r>
        <w:rPr>
          <w:rFonts w:ascii="Segoe UI"/>
          <w:color w:val="67973F"/>
          <w:spacing w:val="-4"/>
          <w:sz w:val="19"/>
        </w:rPr>
        <w:t> </w:t>
      </w:r>
      <w:r>
        <w:rPr>
          <w:rFonts w:ascii="Segoe UI"/>
          <w:color w:val="67973F"/>
          <w:sz w:val="19"/>
        </w:rPr>
        <w:t>through</w:t>
      </w:r>
      <w:r>
        <w:rPr>
          <w:rFonts w:ascii="Segoe UI"/>
          <w:color w:val="67973F"/>
          <w:spacing w:val="22"/>
          <w:w w:val="99"/>
          <w:sz w:val="19"/>
        </w:rPr>
        <w:t> </w:t>
      </w:r>
      <w:r>
        <w:rPr>
          <w:rFonts w:ascii="Segoe UI"/>
          <w:color w:val="67973F"/>
          <w:sz w:val="19"/>
        </w:rPr>
        <w:t>ABSTUDY</w:t>
      </w:r>
      <w:r>
        <w:rPr>
          <w:rFonts w:ascii="Segoe UI"/>
          <w:color w:val="67973F"/>
          <w:spacing w:val="-7"/>
          <w:sz w:val="19"/>
        </w:rPr>
        <w:t> </w:t>
      </w:r>
      <w:r>
        <w:rPr>
          <w:rFonts w:ascii="Segoe UI"/>
          <w:color w:val="67973F"/>
          <w:sz w:val="19"/>
        </w:rPr>
        <w:t>travel.</w:t>
      </w:r>
      <w:r>
        <w:rPr>
          <w:rFonts w:ascii="Segoe UI"/>
          <w:sz w:val="19"/>
        </w:rPr>
      </w:r>
    </w:p>
    <w:p>
      <w:pPr>
        <w:spacing w:before="113"/>
        <w:ind w:left="117" w:right="6" w:firstLine="0"/>
        <w:jc w:val="left"/>
        <w:rPr>
          <w:rFonts w:ascii="Segoe UI" w:hAnsi="Segoe UI" w:cs="Segoe UI" w:eastAsia="Segoe UI"/>
          <w:sz w:val="19"/>
          <w:szCs w:val="19"/>
        </w:rPr>
      </w:pPr>
      <w:r>
        <w:rPr>
          <w:rFonts w:ascii="Segoe UI"/>
          <w:color w:val="67973F"/>
          <w:sz w:val="19"/>
        </w:rPr>
        <w:t>The</w:t>
      </w:r>
      <w:r>
        <w:rPr>
          <w:rFonts w:ascii="Segoe UI"/>
          <w:color w:val="67973F"/>
          <w:spacing w:val="-3"/>
          <w:sz w:val="19"/>
        </w:rPr>
        <w:t> </w:t>
      </w:r>
      <w:r>
        <w:rPr>
          <w:rFonts w:ascii="Segoe UI"/>
          <w:color w:val="67973F"/>
          <w:sz w:val="19"/>
        </w:rPr>
        <w:t>average</w:t>
      </w:r>
      <w:r>
        <w:rPr>
          <w:rFonts w:ascii="Segoe UI"/>
          <w:color w:val="67973F"/>
          <w:spacing w:val="-4"/>
          <w:sz w:val="19"/>
        </w:rPr>
        <w:t> </w:t>
      </w:r>
      <w:r>
        <w:rPr>
          <w:rFonts w:ascii="Segoe UI"/>
          <w:color w:val="67973F"/>
          <w:sz w:val="19"/>
        </w:rPr>
        <w:t>cost</w:t>
      </w:r>
      <w:r>
        <w:rPr>
          <w:rFonts w:ascii="Segoe UI"/>
          <w:color w:val="67973F"/>
          <w:spacing w:val="-4"/>
          <w:sz w:val="19"/>
        </w:rPr>
        <w:t> </w:t>
      </w:r>
      <w:r>
        <w:rPr>
          <w:rFonts w:ascii="Segoe UI"/>
          <w:color w:val="67973F"/>
          <w:sz w:val="19"/>
        </w:rPr>
        <w:t>per</w:t>
      </w:r>
      <w:r>
        <w:rPr>
          <w:rFonts w:ascii="Segoe UI"/>
          <w:color w:val="67973F"/>
          <w:spacing w:val="-3"/>
          <w:sz w:val="19"/>
        </w:rPr>
        <w:t> </w:t>
      </w:r>
      <w:r>
        <w:rPr>
          <w:rFonts w:ascii="Segoe UI"/>
          <w:color w:val="67973F"/>
          <w:spacing w:val="-1"/>
          <w:sz w:val="19"/>
        </w:rPr>
        <w:t>student</w:t>
      </w:r>
      <w:r>
        <w:rPr>
          <w:rFonts w:ascii="Segoe UI"/>
          <w:color w:val="67973F"/>
          <w:spacing w:val="-3"/>
          <w:sz w:val="19"/>
        </w:rPr>
        <w:t> </w:t>
      </w:r>
      <w:r>
        <w:rPr>
          <w:rFonts w:ascii="Segoe UI"/>
          <w:color w:val="67973F"/>
          <w:sz w:val="19"/>
        </w:rPr>
        <w:t>of</w:t>
      </w:r>
      <w:r>
        <w:rPr>
          <w:rFonts w:ascii="Segoe UI"/>
          <w:color w:val="67973F"/>
          <w:spacing w:val="-3"/>
          <w:sz w:val="19"/>
        </w:rPr>
        <w:t> </w:t>
      </w:r>
      <w:r>
        <w:rPr>
          <w:rFonts w:ascii="Segoe UI"/>
          <w:color w:val="67973F"/>
          <w:sz w:val="19"/>
        </w:rPr>
        <w:t>Tiwi</w:t>
      </w:r>
      <w:r>
        <w:rPr>
          <w:rFonts w:ascii="Segoe UI"/>
          <w:color w:val="67973F"/>
          <w:spacing w:val="-4"/>
          <w:sz w:val="19"/>
        </w:rPr>
        <w:t> </w:t>
      </w:r>
      <w:r>
        <w:rPr>
          <w:rFonts w:ascii="Segoe UI"/>
          <w:color w:val="67973F"/>
          <w:spacing w:val="-1"/>
          <w:sz w:val="19"/>
        </w:rPr>
        <w:t>College</w:t>
      </w:r>
      <w:r>
        <w:rPr>
          <w:rFonts w:ascii="Segoe UI"/>
          <w:color w:val="67973F"/>
          <w:spacing w:val="-3"/>
          <w:sz w:val="19"/>
        </w:rPr>
        <w:t> </w:t>
      </w:r>
      <w:r>
        <w:rPr>
          <w:rFonts w:ascii="Segoe UI"/>
          <w:color w:val="67973F"/>
          <w:spacing w:val="-1"/>
          <w:sz w:val="19"/>
        </w:rPr>
        <w:t>is</w:t>
      </w:r>
      <w:r>
        <w:rPr>
          <w:rFonts w:ascii="Segoe UI"/>
          <w:sz w:val="19"/>
        </w:rPr>
      </w:r>
    </w:p>
    <w:p>
      <w:pPr>
        <w:pStyle w:val="BodyText"/>
        <w:spacing w:line="250" w:lineRule="exact" w:before="62"/>
        <w:ind w:right="503"/>
        <w:jc w:val="left"/>
      </w:pPr>
      <w:r>
        <w:rPr/>
        <w:br w:type="column"/>
      </w:r>
      <w:r>
        <w:rPr>
          <w:color w:val="231F20"/>
        </w:rPr>
        <w:t>The</w:t>
      </w:r>
      <w:r>
        <w:rPr>
          <w:color w:val="231F20"/>
          <w:spacing w:val="-6"/>
        </w:rPr>
        <w:t> </w:t>
      </w:r>
      <w:r>
        <w:rPr>
          <w:color w:val="231F20"/>
        </w:rPr>
        <w:t>current</w:t>
      </w:r>
      <w:r>
        <w:rPr>
          <w:color w:val="231F20"/>
          <w:spacing w:val="-6"/>
        </w:rPr>
        <w:t> </w:t>
      </w:r>
      <w:r>
        <w:rPr>
          <w:color w:val="231F20"/>
        </w:rPr>
        <w:t>trend</w:t>
      </w:r>
      <w:r>
        <w:rPr>
          <w:color w:val="231F20"/>
          <w:spacing w:val="-7"/>
        </w:rPr>
        <w:t> </w:t>
      </w:r>
      <w:r>
        <w:rPr>
          <w:color w:val="231F20"/>
        </w:rPr>
        <w:t>away</w:t>
      </w:r>
      <w:r>
        <w:rPr>
          <w:color w:val="231F20"/>
          <w:spacing w:val="-7"/>
        </w:rPr>
        <w:t> </w:t>
      </w:r>
      <w:r>
        <w:rPr>
          <w:color w:val="231F20"/>
        </w:rPr>
        <w:t>from</w:t>
      </w:r>
      <w:r>
        <w:rPr>
          <w:color w:val="231F20"/>
          <w:spacing w:val="-6"/>
        </w:rPr>
        <w:t> </w:t>
      </w:r>
      <w:r>
        <w:rPr>
          <w:color w:val="231F20"/>
        </w:rPr>
        <w:t>the</w:t>
      </w:r>
      <w:r>
        <w:rPr>
          <w:color w:val="231F20"/>
          <w:spacing w:val="-6"/>
        </w:rPr>
        <w:t> </w:t>
      </w:r>
      <w:r>
        <w:rPr>
          <w:color w:val="231F20"/>
        </w:rPr>
        <w:t>traditional</w:t>
      </w:r>
      <w:r>
        <w:rPr>
          <w:color w:val="231F20"/>
          <w:w w:val="99"/>
        </w:rPr>
        <w:t> </w:t>
      </w:r>
      <w:r>
        <w:rPr>
          <w:color w:val="231F20"/>
          <w:spacing w:val="-1"/>
        </w:rPr>
        <w:t>long</w:t>
      </w:r>
      <w:r>
        <w:rPr>
          <w:color w:val="231F20"/>
          <w:spacing w:val="-6"/>
        </w:rPr>
        <w:t> </w:t>
      </w:r>
      <w:r>
        <w:rPr>
          <w:color w:val="231F20"/>
        </w:rPr>
        <w:t>established</w:t>
      </w:r>
      <w:r>
        <w:rPr>
          <w:color w:val="231F20"/>
          <w:spacing w:val="-6"/>
        </w:rPr>
        <w:t> </w:t>
      </w:r>
      <w:r>
        <w:rPr>
          <w:color w:val="231F20"/>
          <w:spacing w:val="-1"/>
        </w:rPr>
        <w:t>large</w:t>
      </w:r>
      <w:r>
        <w:rPr>
          <w:color w:val="231F20"/>
          <w:spacing w:val="-5"/>
        </w:rPr>
        <w:t> </w:t>
      </w:r>
      <w:r>
        <w:rPr>
          <w:color w:val="231F20"/>
        </w:rPr>
        <w:t>Aboriginal</w:t>
      </w:r>
      <w:r>
        <w:rPr>
          <w:color w:val="231F20"/>
          <w:spacing w:val="-5"/>
        </w:rPr>
        <w:t> </w:t>
      </w:r>
      <w:r>
        <w:rPr>
          <w:color w:val="231F20"/>
        </w:rPr>
        <w:t>and</w:t>
      </w:r>
      <w:r>
        <w:rPr>
          <w:color w:val="231F20"/>
          <w:spacing w:val="23"/>
          <w:w w:val="99"/>
        </w:rPr>
        <w:t> </w:t>
      </w:r>
      <w:r>
        <w:rPr>
          <w:color w:val="231F20"/>
          <w:spacing w:val="-5"/>
        </w:rPr>
        <w:t>Torres</w:t>
      </w:r>
      <w:r>
        <w:rPr>
          <w:color w:val="231F20"/>
          <w:spacing w:val="-6"/>
        </w:rPr>
        <w:t> </w:t>
      </w:r>
      <w:r>
        <w:rPr>
          <w:color w:val="231F20"/>
          <w:spacing w:val="-2"/>
        </w:rPr>
        <w:t>Strait</w:t>
      </w:r>
      <w:r>
        <w:rPr>
          <w:color w:val="231F20"/>
          <w:spacing w:val="-6"/>
        </w:rPr>
        <w:t> </w:t>
      </w:r>
      <w:r>
        <w:rPr>
          <w:color w:val="231F20"/>
          <w:spacing w:val="-1"/>
        </w:rPr>
        <w:t>Islander</w:t>
      </w:r>
      <w:r>
        <w:rPr>
          <w:color w:val="231F20"/>
          <w:spacing w:val="-5"/>
        </w:rPr>
        <w:t> </w:t>
      </w:r>
      <w:r>
        <w:rPr>
          <w:color w:val="231F20"/>
        </w:rPr>
        <w:t>boarding</w:t>
      </w:r>
      <w:r>
        <w:rPr>
          <w:color w:val="231F20"/>
          <w:spacing w:val="-7"/>
        </w:rPr>
        <w:t> </w:t>
      </w:r>
      <w:r>
        <w:rPr>
          <w:color w:val="231F20"/>
        </w:rPr>
        <w:t>providers</w:t>
      </w:r>
      <w:r>
        <w:rPr>
          <w:color w:val="231F20"/>
          <w:spacing w:val="-6"/>
        </w:rPr>
        <w:t> </w:t>
      </w:r>
      <w:r>
        <w:rPr>
          <w:color w:val="231F20"/>
          <w:spacing w:val="-1"/>
        </w:rPr>
        <w:t>is</w:t>
      </w:r>
      <w:r>
        <w:rPr>
          <w:color w:val="231F20"/>
          <w:spacing w:val="20"/>
        </w:rPr>
        <w:t> </w:t>
      </w:r>
      <w:r>
        <w:rPr>
          <w:color w:val="231F20"/>
          <w:spacing w:val="-1"/>
        </w:rPr>
        <w:t>interesting</w:t>
      </w:r>
      <w:r>
        <w:rPr>
          <w:color w:val="231F20"/>
          <w:spacing w:val="-6"/>
        </w:rPr>
        <w:t> </w:t>
      </w:r>
      <w:r>
        <w:rPr>
          <w:color w:val="231F20"/>
        </w:rPr>
        <w:t>as</w:t>
      </w:r>
      <w:r>
        <w:rPr>
          <w:color w:val="231F20"/>
          <w:spacing w:val="-6"/>
        </w:rPr>
        <w:t> </w:t>
      </w:r>
      <w:r>
        <w:rPr>
          <w:color w:val="231F20"/>
          <w:spacing w:val="-1"/>
        </w:rPr>
        <w:t>it</w:t>
      </w:r>
      <w:r>
        <w:rPr>
          <w:color w:val="231F20"/>
          <w:spacing w:val="-5"/>
        </w:rPr>
        <w:t> </w:t>
      </w:r>
      <w:r>
        <w:rPr>
          <w:color w:val="231F20"/>
          <w:spacing w:val="-1"/>
        </w:rPr>
        <w:t>is</w:t>
      </w:r>
      <w:r>
        <w:rPr>
          <w:color w:val="231F20"/>
          <w:spacing w:val="-6"/>
        </w:rPr>
        <w:t> </w:t>
      </w:r>
      <w:r>
        <w:rPr>
          <w:color w:val="231F20"/>
        </w:rPr>
        <w:t>diametrically</w:t>
      </w:r>
      <w:r>
        <w:rPr>
          <w:color w:val="231F20"/>
          <w:spacing w:val="-6"/>
        </w:rPr>
        <w:t> </w:t>
      </w:r>
      <w:r>
        <w:rPr>
          <w:color w:val="231F20"/>
        </w:rPr>
        <w:t>opposed</w:t>
      </w:r>
      <w:r>
        <w:rPr>
          <w:color w:val="231F20"/>
          <w:spacing w:val="-6"/>
        </w:rPr>
        <w:t> </w:t>
      </w:r>
      <w:r>
        <w:rPr>
          <w:color w:val="231F20"/>
        </w:rPr>
        <w:t>to</w:t>
      </w:r>
      <w:r>
        <w:rPr/>
      </w:r>
    </w:p>
    <w:p>
      <w:pPr>
        <w:pStyle w:val="BodyText"/>
        <w:spacing w:line="250" w:lineRule="exact"/>
        <w:ind w:right="229"/>
        <w:jc w:val="left"/>
      </w:pPr>
      <w:r>
        <w:rPr>
          <w:color w:val="231F20"/>
        </w:rPr>
        <w:t>the</w:t>
      </w:r>
      <w:r>
        <w:rPr>
          <w:color w:val="231F20"/>
          <w:spacing w:val="-6"/>
        </w:rPr>
        <w:t> </w:t>
      </w:r>
      <w:r>
        <w:rPr>
          <w:color w:val="231F20"/>
        </w:rPr>
        <w:t>trend</w:t>
      </w:r>
      <w:r>
        <w:rPr>
          <w:color w:val="231F20"/>
          <w:spacing w:val="-5"/>
        </w:rPr>
        <w:t> </w:t>
      </w:r>
      <w:r>
        <w:rPr>
          <w:color w:val="231F20"/>
        </w:rPr>
        <w:t>that</w:t>
      </w:r>
      <w:r>
        <w:rPr>
          <w:color w:val="231F20"/>
          <w:spacing w:val="-6"/>
        </w:rPr>
        <w:t> </w:t>
      </w:r>
      <w:r>
        <w:rPr>
          <w:color w:val="231F20"/>
        </w:rPr>
        <w:t>occurred</w:t>
      </w:r>
      <w:r>
        <w:rPr>
          <w:color w:val="231F20"/>
          <w:spacing w:val="-4"/>
        </w:rPr>
        <w:t> </w:t>
      </w:r>
      <w:r>
        <w:rPr>
          <w:color w:val="231F20"/>
        </w:rPr>
        <w:t>before</w:t>
      </w:r>
      <w:r>
        <w:rPr>
          <w:color w:val="231F20"/>
          <w:spacing w:val="-6"/>
        </w:rPr>
        <w:t> </w:t>
      </w:r>
      <w:r>
        <w:rPr>
          <w:color w:val="231F20"/>
        </w:rPr>
        <w:t>the</w:t>
      </w:r>
      <w:r>
        <w:rPr>
          <w:color w:val="231F20"/>
          <w:spacing w:val="-5"/>
        </w:rPr>
        <w:t> </w:t>
      </w:r>
      <w:r>
        <w:rPr>
          <w:color w:val="231F20"/>
        </w:rPr>
        <w:t>year</w:t>
      </w:r>
      <w:r>
        <w:rPr>
          <w:color w:val="231F20"/>
          <w:spacing w:val="-5"/>
        </w:rPr>
        <w:t> </w:t>
      </w:r>
      <w:r>
        <w:rPr>
          <w:color w:val="231F20"/>
          <w:spacing w:val="-1"/>
        </w:rPr>
        <w:t>2000.</w:t>
      </w:r>
      <w:r>
        <w:rPr>
          <w:color w:val="231F20"/>
          <w:spacing w:val="20"/>
        </w:rPr>
        <w:t> </w:t>
      </w:r>
      <w:r>
        <w:rPr>
          <w:color w:val="231F20"/>
          <w:spacing w:val="-1"/>
        </w:rPr>
        <w:t>In</w:t>
      </w:r>
      <w:r>
        <w:rPr>
          <w:color w:val="231F20"/>
          <w:spacing w:val="-4"/>
        </w:rPr>
        <w:t> </w:t>
      </w:r>
      <w:r>
        <w:rPr>
          <w:color w:val="231F20"/>
        </w:rPr>
        <w:t>a</w:t>
      </w:r>
      <w:r>
        <w:rPr>
          <w:color w:val="231F20"/>
          <w:spacing w:val="-3"/>
        </w:rPr>
        <w:t> </w:t>
      </w:r>
      <w:r>
        <w:rPr>
          <w:color w:val="231F20"/>
          <w:spacing w:val="-1"/>
        </w:rPr>
        <w:t>2014</w:t>
      </w:r>
      <w:r>
        <w:rPr>
          <w:color w:val="231F20"/>
          <w:spacing w:val="-3"/>
        </w:rPr>
        <w:t> </w:t>
      </w:r>
      <w:r>
        <w:rPr>
          <w:color w:val="231F20"/>
          <w:spacing w:val="-1"/>
        </w:rPr>
        <w:t>paper</w:t>
      </w:r>
      <w:r>
        <w:rPr>
          <w:rFonts w:ascii="Segoe UI Semibold" w:hAnsi="Segoe UI Semibold" w:cs="Segoe UI Semibold" w:eastAsia="Segoe UI Semibold"/>
          <w:b/>
          <w:bCs/>
          <w:color w:val="231F20"/>
          <w:spacing w:val="-1"/>
          <w:position w:val="7"/>
          <w:sz w:val="11"/>
          <w:szCs w:val="11"/>
        </w:rPr>
        <w:t>183</w:t>
      </w:r>
      <w:r>
        <w:rPr>
          <w:color w:val="231F20"/>
          <w:spacing w:val="-1"/>
        </w:rPr>
        <w:t>,</w:t>
      </w:r>
      <w:r>
        <w:rPr>
          <w:color w:val="231F20"/>
          <w:spacing w:val="-3"/>
        </w:rPr>
        <w:t> </w:t>
      </w:r>
      <w:r>
        <w:rPr>
          <w:color w:val="231F20"/>
          <w:spacing w:val="-1"/>
        </w:rPr>
        <w:t>Indigenous</w:t>
      </w:r>
      <w:r>
        <w:rPr>
          <w:color w:val="231F20"/>
          <w:spacing w:val="-3"/>
        </w:rPr>
        <w:t> </w:t>
      </w:r>
      <w:r>
        <w:rPr>
          <w:color w:val="231F20"/>
        </w:rPr>
        <w:t>Education</w:t>
      </w:r>
      <w:r>
        <w:rPr>
          <w:color w:val="231F20"/>
          <w:spacing w:val="-4"/>
        </w:rPr>
        <w:t> </w:t>
      </w:r>
      <w:r>
        <w:rPr>
          <w:color w:val="231F20"/>
        </w:rPr>
        <w:t>and</w:t>
      </w:r>
      <w:r>
        <w:rPr>
          <w:color w:val="231F20"/>
          <w:spacing w:val="30"/>
          <w:w w:val="99"/>
        </w:rPr>
        <w:t> </w:t>
      </w:r>
      <w:r>
        <w:rPr>
          <w:color w:val="231F20"/>
          <w:spacing w:val="-1"/>
        </w:rPr>
        <w:t>Boarding</w:t>
      </w:r>
      <w:r>
        <w:rPr>
          <w:color w:val="231F20"/>
          <w:spacing w:val="-5"/>
        </w:rPr>
        <w:t> </w:t>
      </w:r>
      <w:r>
        <w:rPr>
          <w:color w:val="231F20"/>
        </w:rPr>
        <w:t>Australia</w:t>
      </w:r>
      <w:r>
        <w:rPr>
          <w:color w:val="231F20"/>
          <w:spacing w:val="-5"/>
        </w:rPr>
        <w:t> </w:t>
      </w:r>
      <w:r>
        <w:rPr>
          <w:color w:val="231F20"/>
        </w:rPr>
        <w:t>noted</w:t>
      </w:r>
      <w:r>
        <w:rPr>
          <w:color w:val="231F20"/>
          <w:spacing w:val="-6"/>
        </w:rPr>
        <w:t> </w:t>
      </w:r>
      <w:r>
        <w:rPr>
          <w:color w:val="231F20"/>
        </w:rPr>
        <w:t>that</w:t>
      </w:r>
      <w:r>
        <w:rPr>
          <w:color w:val="231F20"/>
          <w:spacing w:val="-6"/>
        </w:rPr>
        <w:t> </w:t>
      </w:r>
      <w:r>
        <w:rPr>
          <w:color w:val="231F20"/>
          <w:spacing w:val="-1"/>
        </w:rPr>
        <w:t>most</w:t>
      </w:r>
      <w:r>
        <w:rPr>
          <w:color w:val="231F20"/>
          <w:spacing w:val="-5"/>
        </w:rPr>
        <w:t> </w:t>
      </w:r>
      <w:r>
        <w:rPr>
          <w:color w:val="231F20"/>
        </w:rPr>
        <w:t>of</w:t>
      </w:r>
      <w:r>
        <w:rPr>
          <w:color w:val="231F20"/>
          <w:spacing w:val="-4"/>
        </w:rPr>
        <w:t> </w:t>
      </w:r>
      <w:r>
        <w:rPr>
          <w:color w:val="231F20"/>
        </w:rPr>
        <w:t>the</w:t>
      </w:r>
      <w:r>
        <w:rPr>
          <w:color w:val="231F20"/>
          <w:spacing w:val="23"/>
          <w:w w:val="99"/>
        </w:rPr>
        <w:t> </w:t>
      </w:r>
      <w:r>
        <w:rPr>
          <w:color w:val="231F20"/>
        </w:rPr>
        <w:t>original</w:t>
      </w:r>
      <w:r>
        <w:rPr>
          <w:color w:val="231F20"/>
          <w:spacing w:val="-7"/>
        </w:rPr>
        <w:t> </w:t>
      </w:r>
      <w:r>
        <w:rPr>
          <w:color w:val="231F20"/>
        </w:rPr>
        <w:t>network</w:t>
      </w:r>
      <w:r>
        <w:rPr>
          <w:color w:val="231F20"/>
          <w:spacing w:val="-6"/>
        </w:rPr>
        <w:t> </w:t>
      </w:r>
      <w:r>
        <w:rPr>
          <w:color w:val="231F20"/>
        </w:rPr>
        <w:t>of</w:t>
      </w:r>
      <w:r>
        <w:rPr>
          <w:color w:val="231F20"/>
          <w:spacing w:val="-7"/>
        </w:rPr>
        <w:t> </w:t>
      </w:r>
      <w:r>
        <w:rPr>
          <w:color w:val="231F20"/>
          <w:spacing w:val="-1"/>
        </w:rPr>
        <w:t>smaller</w:t>
      </w:r>
      <w:r>
        <w:rPr>
          <w:color w:val="231F20"/>
          <w:spacing w:val="-6"/>
        </w:rPr>
        <w:t> </w:t>
      </w:r>
      <w:r>
        <w:rPr>
          <w:color w:val="231F20"/>
        </w:rPr>
        <w:t>remote</w:t>
      </w:r>
      <w:r>
        <w:rPr>
          <w:color w:val="231F20"/>
          <w:spacing w:val="-6"/>
        </w:rPr>
        <w:t> </w:t>
      </w:r>
      <w:r>
        <w:rPr>
          <w:color w:val="231F20"/>
        </w:rPr>
        <w:t>boarding</w:t>
      </w:r>
      <w:r>
        <w:rPr>
          <w:color w:val="231F20"/>
          <w:spacing w:val="22"/>
          <w:w w:val="99"/>
        </w:rPr>
        <w:t> </w:t>
      </w:r>
      <w:r>
        <w:rPr>
          <w:color w:val="231F20"/>
        </w:rPr>
        <w:t>residences,</w:t>
      </w:r>
      <w:r>
        <w:rPr>
          <w:color w:val="231F20"/>
          <w:spacing w:val="-8"/>
        </w:rPr>
        <w:t> </w:t>
      </w:r>
      <w:r>
        <w:rPr>
          <w:color w:val="231F20"/>
        </w:rPr>
        <w:t>often</w:t>
      </w:r>
      <w:r>
        <w:rPr>
          <w:color w:val="231F20"/>
          <w:spacing w:val="-7"/>
        </w:rPr>
        <w:t> </w:t>
      </w:r>
      <w:r>
        <w:rPr>
          <w:color w:val="231F20"/>
        </w:rPr>
        <w:t>with</w:t>
      </w:r>
      <w:r>
        <w:rPr>
          <w:color w:val="231F20"/>
          <w:spacing w:val="-7"/>
        </w:rPr>
        <w:t> </w:t>
      </w:r>
      <w:r>
        <w:rPr>
          <w:color w:val="231F20"/>
        </w:rPr>
        <w:t>a</w:t>
      </w:r>
      <w:r>
        <w:rPr>
          <w:color w:val="231F20"/>
          <w:spacing w:val="-5"/>
        </w:rPr>
        <w:t> </w:t>
      </w:r>
      <w:r>
        <w:rPr>
          <w:color w:val="231F20"/>
        </w:rPr>
        <w:t>high</w:t>
      </w:r>
      <w:r>
        <w:rPr>
          <w:color w:val="231F20"/>
          <w:spacing w:val="-7"/>
        </w:rPr>
        <w:t> </w:t>
      </w:r>
      <w:r>
        <w:rPr>
          <w:color w:val="231F20"/>
        </w:rPr>
        <w:t>proportion</w:t>
      </w:r>
      <w:r>
        <w:rPr>
          <w:color w:val="231F20"/>
          <w:spacing w:val="-7"/>
        </w:rPr>
        <w:t> </w:t>
      </w:r>
      <w:r>
        <w:rPr>
          <w:color w:val="231F20"/>
        </w:rPr>
        <w:t>of</w:t>
      </w:r>
      <w:r>
        <w:rPr>
          <w:color w:val="231F20"/>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boarders,</w:t>
      </w:r>
      <w:r>
        <w:rPr>
          <w:color w:val="231F20"/>
          <w:spacing w:val="21"/>
          <w:w w:val="99"/>
        </w:rPr>
        <w:t> </w:t>
      </w:r>
      <w:r>
        <w:rPr>
          <w:color w:val="231F20"/>
        </w:rPr>
        <w:t>had</w:t>
      </w:r>
      <w:r>
        <w:rPr>
          <w:color w:val="231F20"/>
          <w:spacing w:val="-4"/>
        </w:rPr>
        <w:t> </w:t>
      </w:r>
      <w:r>
        <w:rPr>
          <w:color w:val="231F20"/>
        </w:rPr>
        <w:t>closed</w:t>
      </w:r>
      <w:r>
        <w:rPr>
          <w:color w:val="231F20"/>
          <w:spacing w:val="-5"/>
        </w:rPr>
        <w:t> </w:t>
      </w:r>
      <w:r>
        <w:rPr>
          <w:color w:val="231F20"/>
        </w:rPr>
        <w:t>over</w:t>
      </w:r>
      <w:r>
        <w:rPr>
          <w:color w:val="231F20"/>
          <w:spacing w:val="-3"/>
        </w:rPr>
        <w:t> </w:t>
      </w:r>
      <w:r>
        <w:rPr>
          <w:color w:val="231F20"/>
        </w:rPr>
        <w:t>time</w:t>
      </w:r>
      <w:r>
        <w:rPr>
          <w:color w:val="231F20"/>
          <w:spacing w:val="-5"/>
        </w:rPr>
        <w:t> </w:t>
      </w:r>
      <w:r>
        <w:rPr>
          <w:color w:val="231F20"/>
        </w:rPr>
        <w:t>and</w:t>
      </w:r>
      <w:r>
        <w:rPr>
          <w:color w:val="231F20"/>
          <w:spacing w:val="-5"/>
        </w:rPr>
        <w:t> </w:t>
      </w:r>
      <w:r>
        <w:rPr>
          <w:color w:val="231F20"/>
        </w:rPr>
        <w:t>boarders</w:t>
      </w:r>
      <w:r>
        <w:rPr>
          <w:color w:val="231F20"/>
          <w:spacing w:val="-4"/>
        </w:rPr>
        <w:t> </w:t>
      </w:r>
      <w:r>
        <w:rPr>
          <w:color w:val="231F20"/>
        </w:rPr>
        <w:t>had</w:t>
      </w:r>
      <w:r>
        <w:rPr>
          <w:color w:val="231F20"/>
          <w:w w:val="99"/>
        </w:rPr>
        <w:t> </w:t>
      </w:r>
      <w:r>
        <w:rPr>
          <w:color w:val="231F20"/>
        </w:rPr>
        <w:t>‘migrated</w:t>
      </w:r>
      <w:r>
        <w:rPr>
          <w:color w:val="231F20"/>
          <w:spacing w:val="-7"/>
        </w:rPr>
        <w:t> </w:t>
      </w:r>
      <w:r>
        <w:rPr>
          <w:color w:val="231F20"/>
        </w:rPr>
        <w:t>to</w:t>
      </w:r>
      <w:r>
        <w:rPr>
          <w:color w:val="231F20"/>
          <w:spacing w:val="-6"/>
        </w:rPr>
        <w:t> </w:t>
      </w:r>
      <w:r>
        <w:rPr>
          <w:color w:val="231F20"/>
          <w:spacing w:val="-1"/>
        </w:rPr>
        <w:t>larger</w:t>
      </w:r>
      <w:r>
        <w:rPr>
          <w:color w:val="231F20"/>
          <w:spacing w:val="-6"/>
        </w:rPr>
        <w:t> </w:t>
      </w:r>
      <w:r>
        <w:rPr>
          <w:color w:val="231F20"/>
        </w:rPr>
        <w:t>regional</w:t>
      </w:r>
      <w:r>
        <w:rPr>
          <w:color w:val="231F20"/>
          <w:spacing w:val="-7"/>
        </w:rPr>
        <w:t> </w:t>
      </w:r>
      <w:r>
        <w:rPr>
          <w:color w:val="231F20"/>
        </w:rPr>
        <w:t>boarding</w:t>
      </w:r>
      <w:r>
        <w:rPr>
          <w:color w:val="231F20"/>
          <w:spacing w:val="-7"/>
        </w:rPr>
        <w:t> </w:t>
      </w:r>
      <w:r>
        <w:rPr>
          <w:color w:val="231F20"/>
          <w:spacing w:val="-1"/>
        </w:rPr>
        <w:t>schools’.</w:t>
      </w:r>
      <w:r>
        <w:rPr>
          <w:color w:val="231F20"/>
          <w:spacing w:val="21"/>
        </w:rPr>
        <w:t> </w:t>
      </w:r>
      <w:r>
        <w:rPr>
          <w:color w:val="231F20"/>
        </w:rPr>
        <w:t>As</w:t>
      </w:r>
      <w:r>
        <w:rPr>
          <w:color w:val="231F20"/>
          <w:spacing w:val="-7"/>
        </w:rPr>
        <w:t> </w:t>
      </w:r>
      <w:r>
        <w:rPr>
          <w:color w:val="231F20"/>
        </w:rPr>
        <w:t>a</w:t>
      </w:r>
      <w:r>
        <w:rPr>
          <w:color w:val="231F20"/>
          <w:spacing w:val="-6"/>
        </w:rPr>
        <w:t> </w:t>
      </w:r>
      <w:r>
        <w:rPr>
          <w:color w:val="231F20"/>
        </w:rPr>
        <w:t>result,</w:t>
      </w:r>
      <w:r>
        <w:rPr>
          <w:color w:val="231F20"/>
          <w:spacing w:val="-7"/>
        </w:rPr>
        <w:t> </w:t>
      </w:r>
      <w:r>
        <w:rPr>
          <w:color w:val="231F20"/>
        </w:rPr>
        <w:t>the</w:t>
      </w:r>
      <w:r>
        <w:rPr>
          <w:color w:val="231F20"/>
          <w:spacing w:val="-7"/>
        </w:rPr>
        <w:t> </w:t>
      </w:r>
      <w:r>
        <w:rPr>
          <w:color w:val="231F20"/>
        </w:rPr>
        <w:t>Northern</w:t>
      </w:r>
      <w:r>
        <w:rPr>
          <w:color w:val="231F20"/>
          <w:spacing w:val="-6"/>
        </w:rPr>
        <w:t> </w:t>
      </w:r>
      <w:r>
        <w:rPr>
          <w:color w:val="231F20"/>
          <w:spacing w:val="-3"/>
        </w:rPr>
        <w:t>Territory</w:t>
      </w:r>
      <w:r>
        <w:rPr>
          <w:color w:val="231F20"/>
          <w:spacing w:val="-6"/>
        </w:rPr>
        <w:t> </w:t>
      </w:r>
      <w:r>
        <w:rPr>
          <w:color w:val="231F20"/>
        </w:rPr>
        <w:t>Government</w:t>
      </w:r>
      <w:r>
        <w:rPr>
          <w:color w:val="231F20"/>
          <w:spacing w:val="27"/>
          <w:w w:val="99"/>
        </w:rPr>
        <w:t> </w:t>
      </w:r>
      <w:r>
        <w:rPr>
          <w:color w:val="231F20"/>
        </w:rPr>
        <w:t>was</w:t>
      </w:r>
      <w:r>
        <w:rPr>
          <w:color w:val="231F20"/>
          <w:spacing w:val="-5"/>
        </w:rPr>
        <w:t> </w:t>
      </w:r>
      <w:r>
        <w:rPr>
          <w:color w:val="231F20"/>
        </w:rPr>
        <w:t>‘focussing</w:t>
      </w:r>
      <w:r>
        <w:rPr>
          <w:color w:val="231F20"/>
          <w:spacing w:val="-5"/>
        </w:rPr>
        <w:t> </w:t>
      </w:r>
      <w:r>
        <w:rPr>
          <w:color w:val="231F20"/>
          <w:spacing w:val="-1"/>
        </w:rPr>
        <w:t>its</w:t>
      </w:r>
      <w:r>
        <w:rPr>
          <w:color w:val="231F20"/>
          <w:spacing w:val="-4"/>
        </w:rPr>
        <w:t> </w:t>
      </w:r>
      <w:r>
        <w:rPr>
          <w:color w:val="231F20"/>
        </w:rPr>
        <w:t>future</w:t>
      </w:r>
      <w:r>
        <w:rPr>
          <w:color w:val="231F20"/>
          <w:spacing w:val="-4"/>
        </w:rPr>
        <w:t> </w:t>
      </w:r>
      <w:r>
        <w:rPr>
          <w:color w:val="231F20"/>
        </w:rPr>
        <w:t>funding</w:t>
      </w:r>
      <w:r>
        <w:rPr>
          <w:color w:val="231F20"/>
          <w:spacing w:val="-4"/>
        </w:rPr>
        <w:t> </w:t>
      </w:r>
      <w:r>
        <w:rPr>
          <w:color w:val="231F20"/>
        </w:rPr>
        <w:t>on</w:t>
      </w:r>
      <w:r>
        <w:rPr>
          <w:color w:val="231F20"/>
          <w:spacing w:val="-3"/>
        </w:rPr>
        <w:t> </w:t>
      </w:r>
      <w:r>
        <w:rPr>
          <w:color w:val="231F20"/>
          <w:spacing w:val="-1"/>
        </w:rPr>
        <w:t>larger</w:t>
      </w:r>
      <w:r>
        <w:rPr>
          <w:color w:val="231F20"/>
          <w:spacing w:val="21"/>
          <w:w w:val="99"/>
        </w:rPr>
        <w:t> </w:t>
      </w:r>
      <w:r>
        <w:rPr>
          <w:color w:val="231F20"/>
        </w:rPr>
        <w:t>boarding</w:t>
      </w:r>
      <w:r>
        <w:rPr>
          <w:color w:val="231F20"/>
          <w:spacing w:val="-10"/>
        </w:rPr>
        <w:t> </w:t>
      </w:r>
      <w:r>
        <w:rPr>
          <w:color w:val="231F20"/>
          <w:spacing w:val="-1"/>
        </w:rPr>
        <w:t>schools’.</w:t>
      </w:r>
      <w:r>
        <w:rPr/>
      </w:r>
    </w:p>
    <w:p>
      <w:pPr>
        <w:pStyle w:val="BodyText"/>
        <w:spacing w:line="250" w:lineRule="exact" w:before="113"/>
        <w:ind w:right="100"/>
        <w:jc w:val="left"/>
      </w:pPr>
      <w:r>
        <w:rPr>
          <w:color w:val="231F20"/>
        </w:rPr>
        <w:t>The</w:t>
      </w:r>
      <w:r>
        <w:rPr>
          <w:color w:val="231F20"/>
          <w:spacing w:val="-5"/>
        </w:rPr>
        <w:t> </w:t>
      </w:r>
      <w:r>
        <w:rPr>
          <w:color w:val="231F20"/>
        </w:rPr>
        <w:t>transition</w:t>
      </w:r>
      <w:r>
        <w:rPr>
          <w:color w:val="231F20"/>
          <w:spacing w:val="-6"/>
        </w:rPr>
        <w:t> </w:t>
      </w:r>
      <w:r>
        <w:rPr>
          <w:color w:val="231F20"/>
          <w:spacing w:val="-1"/>
        </w:rPr>
        <w:t>in</w:t>
      </w:r>
      <w:r>
        <w:rPr>
          <w:color w:val="231F20"/>
          <w:spacing w:val="-5"/>
        </w:rPr>
        <w:t> </w:t>
      </w:r>
      <w:r>
        <w:rPr>
          <w:color w:val="231F20"/>
        </w:rPr>
        <w:t>the</w:t>
      </w:r>
      <w:r>
        <w:rPr>
          <w:color w:val="231F20"/>
          <w:spacing w:val="-5"/>
        </w:rPr>
        <w:t> </w:t>
      </w:r>
      <w:r>
        <w:rPr>
          <w:color w:val="231F20"/>
          <w:spacing w:val="-1"/>
        </w:rPr>
        <w:t>sector</w:t>
      </w:r>
      <w:r>
        <w:rPr>
          <w:color w:val="231F20"/>
          <w:spacing w:val="-5"/>
        </w:rPr>
        <w:t> </w:t>
      </w:r>
      <w:r>
        <w:rPr>
          <w:color w:val="231F20"/>
        </w:rPr>
        <w:t>away</w:t>
      </w:r>
      <w:r>
        <w:rPr>
          <w:color w:val="231F20"/>
          <w:spacing w:val="-6"/>
        </w:rPr>
        <w:t> </w:t>
      </w:r>
      <w:r>
        <w:rPr>
          <w:color w:val="231F20"/>
        </w:rPr>
        <w:t>from</w:t>
      </w:r>
      <w:r>
        <w:rPr>
          <w:color w:val="231F20"/>
          <w:spacing w:val="-4"/>
        </w:rPr>
        <w:t> </w:t>
      </w:r>
      <w:r>
        <w:rPr>
          <w:color w:val="231F20"/>
          <w:spacing w:val="-1"/>
        </w:rPr>
        <w:t>large</w:t>
      </w:r>
      <w:r>
        <w:rPr>
          <w:color w:val="231F20"/>
          <w:spacing w:val="22"/>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6"/>
        </w:rPr>
        <w:t> </w:t>
      </w:r>
      <w:r>
        <w:rPr>
          <w:color w:val="231F20"/>
        </w:rPr>
        <w:t>has</w:t>
      </w:r>
      <w:r>
        <w:rPr>
          <w:color w:val="231F20"/>
          <w:spacing w:val="-5"/>
        </w:rPr>
        <w:t> </w:t>
      </w:r>
      <w:r>
        <w:rPr>
          <w:color w:val="231F20"/>
        </w:rPr>
        <w:t>had</w:t>
      </w:r>
      <w:r>
        <w:rPr>
          <w:color w:val="231F20"/>
          <w:spacing w:val="-4"/>
        </w:rPr>
        <w:t> </w:t>
      </w:r>
      <w:r>
        <w:rPr>
          <w:color w:val="231F20"/>
        </w:rPr>
        <w:t>an</w:t>
      </w:r>
      <w:r>
        <w:rPr>
          <w:color w:val="231F20"/>
          <w:spacing w:val="-5"/>
        </w:rPr>
        <w:t> </w:t>
      </w:r>
      <w:r>
        <w:rPr>
          <w:color w:val="231F20"/>
          <w:spacing w:val="-1"/>
        </w:rPr>
        <w:t>impact</w:t>
      </w:r>
      <w:r>
        <w:rPr>
          <w:color w:val="231F20"/>
          <w:spacing w:val="-4"/>
        </w:rPr>
        <w:t> </w:t>
      </w:r>
      <w:r>
        <w:rPr>
          <w:color w:val="231F20"/>
        </w:rPr>
        <w:t>on</w:t>
      </w:r>
      <w:r>
        <w:rPr>
          <w:color w:val="231F20"/>
          <w:spacing w:val="-5"/>
        </w:rPr>
        <w:t> </w:t>
      </w:r>
      <w:r>
        <w:rPr>
          <w:color w:val="231F20"/>
        </w:rPr>
        <w:t>the</w:t>
      </w:r>
      <w:r>
        <w:rPr>
          <w:color w:val="231F20"/>
          <w:spacing w:val="-5"/>
        </w:rPr>
        <w:t> </w:t>
      </w:r>
      <w:r>
        <w:rPr>
          <w:color w:val="231F20"/>
          <w:spacing w:val="-1"/>
        </w:rPr>
        <w:t>large</w:t>
      </w:r>
      <w:r>
        <w:rPr>
          <w:color w:val="231F20"/>
          <w:spacing w:val="21"/>
          <w:w w:val="99"/>
        </w:rPr>
        <w:t> </w:t>
      </w:r>
      <w:r>
        <w:rPr>
          <w:color w:val="231F20"/>
        </w:rPr>
        <w:t>providers</w:t>
      </w:r>
      <w:r>
        <w:rPr>
          <w:color w:val="231F20"/>
          <w:spacing w:val="-6"/>
        </w:rPr>
        <w:t> </w:t>
      </w:r>
      <w:r>
        <w:rPr>
          <w:color w:val="231F20"/>
          <w:spacing w:val="-1"/>
        </w:rPr>
        <w:t>in</w:t>
      </w:r>
      <w:r>
        <w:rPr>
          <w:color w:val="231F20"/>
          <w:spacing w:val="-6"/>
        </w:rPr>
        <w:t> </w:t>
      </w:r>
      <w:r>
        <w:rPr>
          <w:color w:val="231F20"/>
        </w:rPr>
        <w:t>terms</w:t>
      </w:r>
      <w:r>
        <w:rPr>
          <w:color w:val="231F20"/>
          <w:spacing w:val="-6"/>
        </w:rPr>
        <w:t> </w:t>
      </w:r>
      <w:r>
        <w:rPr>
          <w:color w:val="231F20"/>
        </w:rPr>
        <w:t>of</w:t>
      </w:r>
      <w:r>
        <w:rPr>
          <w:color w:val="231F20"/>
          <w:spacing w:val="-5"/>
        </w:rPr>
        <w:t> </w:t>
      </w:r>
      <w:r>
        <w:rPr>
          <w:color w:val="231F20"/>
        </w:rPr>
        <w:t>enrolment</w:t>
      </w:r>
      <w:r>
        <w:rPr>
          <w:color w:val="231F20"/>
          <w:spacing w:val="-6"/>
        </w:rPr>
        <w:t> </w:t>
      </w:r>
      <w:r>
        <w:rPr>
          <w:color w:val="231F20"/>
        </w:rPr>
        <w:t>numbers</w:t>
      </w:r>
      <w:r>
        <w:rPr>
          <w:color w:val="231F20"/>
          <w:spacing w:val="-6"/>
        </w:rPr>
        <w:t> </w:t>
      </w:r>
      <w:r>
        <w:rPr>
          <w:color w:val="231F20"/>
        </w:rPr>
        <w:t>and</w:t>
      </w:r>
      <w:r>
        <w:rPr>
          <w:color w:val="231F20"/>
          <w:spacing w:val="21"/>
          <w:w w:val="99"/>
        </w:rPr>
        <w:t> </w:t>
      </w:r>
      <w:r>
        <w:rPr>
          <w:rFonts w:ascii="Segoe UI"/>
          <w:color w:val="231F20"/>
        </w:rPr>
        <w:t>financial performance. One large well respected</w:t>
      </w:r>
      <w:r>
        <w:rPr>
          <w:rFonts w:ascii="Segoe UI"/>
          <w:color w:val="231F20"/>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w:t>
      </w:r>
      <w:r>
        <w:rPr>
          <w:color w:val="231F20"/>
          <w:spacing w:val="-6"/>
        </w:rPr>
        <w:t> </w:t>
      </w:r>
      <w:r>
        <w:rPr>
          <w:color w:val="231F20"/>
        </w:rPr>
        <w:t>that</w:t>
      </w:r>
      <w:r>
        <w:rPr>
          <w:color w:val="231F20"/>
          <w:spacing w:val="-5"/>
        </w:rPr>
        <w:t> </w:t>
      </w:r>
      <w:r>
        <w:rPr>
          <w:color w:val="231F20"/>
        </w:rPr>
        <w:t>has</w:t>
      </w:r>
      <w:r>
        <w:rPr>
          <w:color w:val="231F20"/>
          <w:spacing w:val="-6"/>
        </w:rPr>
        <w:t> </w:t>
      </w:r>
      <w:r>
        <w:rPr>
          <w:color w:val="231F20"/>
        </w:rPr>
        <w:t>been</w:t>
      </w:r>
      <w:r>
        <w:rPr>
          <w:color w:val="231F20"/>
          <w:spacing w:val="-5"/>
        </w:rPr>
        <w:t> </w:t>
      </w:r>
      <w:r>
        <w:rPr>
          <w:color w:val="231F20"/>
          <w:spacing w:val="-1"/>
        </w:rPr>
        <w:t>in</w:t>
      </w:r>
      <w:r>
        <w:rPr>
          <w:color w:val="231F20"/>
          <w:spacing w:val="-5"/>
        </w:rPr>
        <w:t> </w:t>
      </w:r>
      <w:r>
        <w:rPr>
          <w:color w:val="231F20"/>
        </w:rPr>
        <w:t>operation</w:t>
      </w:r>
      <w:r>
        <w:rPr>
          <w:color w:val="231F20"/>
          <w:spacing w:val="-5"/>
        </w:rPr>
        <w:t> </w:t>
      </w:r>
      <w:r>
        <w:rPr>
          <w:color w:val="231F20"/>
        </w:rPr>
        <w:t>for</w:t>
      </w:r>
      <w:r>
        <w:rPr>
          <w:color w:val="231F20"/>
          <w:spacing w:val="-4"/>
        </w:rPr>
        <w:t> </w:t>
      </w:r>
      <w:r>
        <w:rPr>
          <w:color w:val="231F20"/>
          <w:spacing w:val="-1"/>
        </w:rPr>
        <w:t>more</w:t>
      </w:r>
      <w:r>
        <w:rPr>
          <w:color w:val="231F20"/>
          <w:spacing w:val="21"/>
          <w:w w:val="99"/>
        </w:rPr>
        <w:t> </w:t>
      </w:r>
      <w:r>
        <w:rPr>
          <w:color w:val="231F20"/>
        </w:rPr>
        <w:t>than</w:t>
      </w:r>
      <w:r>
        <w:rPr>
          <w:color w:val="231F20"/>
          <w:spacing w:val="-5"/>
        </w:rPr>
        <w:t> </w:t>
      </w:r>
      <w:r>
        <w:rPr>
          <w:color w:val="231F20"/>
          <w:spacing w:val="-1"/>
        </w:rPr>
        <w:t>50</w:t>
      </w:r>
      <w:r>
        <w:rPr>
          <w:color w:val="231F20"/>
          <w:spacing w:val="-4"/>
        </w:rPr>
        <w:t> </w:t>
      </w:r>
      <w:r>
        <w:rPr>
          <w:color w:val="231F20"/>
        </w:rPr>
        <w:t>years,</w:t>
      </w:r>
      <w:r>
        <w:rPr>
          <w:color w:val="231F20"/>
          <w:spacing w:val="-4"/>
        </w:rPr>
        <w:t> </w:t>
      </w:r>
      <w:r>
        <w:rPr>
          <w:color w:val="231F20"/>
        </w:rPr>
        <w:t>has</w:t>
      </w:r>
      <w:r>
        <w:rPr>
          <w:color w:val="231F20"/>
          <w:spacing w:val="-5"/>
        </w:rPr>
        <w:t> </w:t>
      </w:r>
      <w:r>
        <w:rPr>
          <w:color w:val="231F20"/>
          <w:spacing w:val="-1"/>
        </w:rPr>
        <w:t>seen</w:t>
      </w:r>
      <w:r>
        <w:rPr>
          <w:color w:val="231F20"/>
          <w:spacing w:val="-4"/>
        </w:rPr>
        <w:t> </w:t>
      </w:r>
      <w:r>
        <w:rPr>
          <w:color w:val="231F20"/>
          <w:spacing w:val="-1"/>
        </w:rPr>
        <w:t>its</w:t>
      </w:r>
      <w:r>
        <w:rPr>
          <w:color w:val="231F20"/>
          <w:spacing w:val="-3"/>
        </w:rPr>
        <w:t> </w:t>
      </w:r>
      <w:r>
        <w:rPr>
          <w:color w:val="231F20"/>
        </w:rPr>
        <w:t>predominately</w:t>
      </w:r>
      <w:r>
        <w:rPr>
          <w:color w:val="231F20"/>
          <w:spacing w:val="24"/>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population</w:t>
      </w:r>
      <w:r>
        <w:rPr>
          <w:color w:val="231F20"/>
          <w:spacing w:val="-6"/>
        </w:rPr>
        <w:t> </w:t>
      </w:r>
      <w:r>
        <w:rPr>
          <w:color w:val="231F20"/>
        </w:rPr>
        <w:t>decline</w:t>
      </w:r>
      <w:r>
        <w:rPr>
          <w:color w:val="231F20"/>
          <w:spacing w:val="-6"/>
        </w:rPr>
        <w:t> </w:t>
      </w:r>
      <w:r>
        <w:rPr>
          <w:color w:val="231F20"/>
        </w:rPr>
        <w:t>from</w:t>
      </w:r>
      <w:r>
        <w:rPr>
          <w:color w:val="231F20"/>
          <w:spacing w:val="-4"/>
        </w:rPr>
        <w:t> </w:t>
      </w:r>
      <w:r>
        <w:rPr>
          <w:color w:val="231F20"/>
          <w:spacing w:val="-1"/>
        </w:rPr>
        <w:t>177</w:t>
      </w:r>
      <w:r>
        <w:rPr>
          <w:color w:val="231F20"/>
          <w:spacing w:val="-5"/>
        </w:rPr>
        <w:t> </w:t>
      </w:r>
      <w:r>
        <w:rPr>
          <w:color w:val="231F20"/>
        </w:rPr>
        <w:t>boarders</w:t>
      </w:r>
      <w:r>
        <w:rPr>
          <w:color w:val="231F20"/>
          <w:spacing w:val="-6"/>
        </w:rPr>
        <w:t> </w:t>
      </w:r>
      <w:r>
        <w:rPr>
          <w:color w:val="231F20"/>
          <w:spacing w:val="-1"/>
        </w:rPr>
        <w:t>in</w:t>
      </w:r>
      <w:r>
        <w:rPr>
          <w:color w:val="231F20"/>
          <w:spacing w:val="-4"/>
        </w:rPr>
        <w:t> </w:t>
      </w:r>
      <w:r>
        <w:rPr>
          <w:color w:val="231F20"/>
          <w:spacing w:val="-1"/>
        </w:rPr>
        <w:t>2012</w:t>
      </w:r>
      <w:r>
        <w:rPr>
          <w:color w:val="231F20"/>
          <w:spacing w:val="22"/>
        </w:rPr>
        <w:t> </w:t>
      </w:r>
      <w:r>
        <w:rPr>
          <w:color w:val="231F20"/>
        </w:rPr>
        <w:t>to</w:t>
      </w:r>
      <w:r>
        <w:rPr>
          <w:color w:val="231F20"/>
          <w:spacing w:val="-3"/>
        </w:rPr>
        <w:t> </w:t>
      </w:r>
      <w:r>
        <w:rPr>
          <w:color w:val="231F20"/>
          <w:spacing w:val="-1"/>
        </w:rPr>
        <w:t>74</w:t>
      </w:r>
      <w:r>
        <w:rPr>
          <w:color w:val="231F20"/>
          <w:spacing w:val="-2"/>
        </w:rPr>
        <w:t> </w:t>
      </w:r>
      <w:r>
        <w:rPr>
          <w:color w:val="231F20"/>
          <w:spacing w:val="-1"/>
        </w:rPr>
        <w:t>in</w:t>
      </w:r>
      <w:r>
        <w:rPr>
          <w:color w:val="231F20"/>
          <w:spacing w:val="-3"/>
        </w:rPr>
        <w:t> </w:t>
      </w:r>
      <w:r>
        <w:rPr>
          <w:color w:val="231F20"/>
          <w:spacing w:val="-1"/>
        </w:rPr>
        <w:t>2018</w:t>
      </w:r>
      <w:r>
        <w:rPr>
          <w:color w:val="231F20"/>
          <w:spacing w:val="-2"/>
        </w:rPr>
        <w:t> </w:t>
      </w:r>
      <w:r>
        <w:rPr>
          <w:color w:val="231F20"/>
        </w:rPr>
        <w:t>(a</w:t>
      </w:r>
      <w:r>
        <w:rPr>
          <w:color w:val="231F20"/>
          <w:spacing w:val="-3"/>
        </w:rPr>
        <w:t> </w:t>
      </w:r>
      <w:r>
        <w:rPr>
          <w:color w:val="231F20"/>
          <w:spacing w:val="-1"/>
        </w:rPr>
        <w:t>58</w:t>
      </w:r>
      <w:r>
        <w:rPr>
          <w:color w:val="231F20"/>
          <w:spacing w:val="-2"/>
        </w:rPr>
        <w:t> </w:t>
      </w:r>
      <w:r>
        <w:rPr>
          <w:color w:val="231F20"/>
        </w:rPr>
        <w:t>per</w:t>
      </w:r>
      <w:r>
        <w:rPr>
          <w:color w:val="231F20"/>
          <w:spacing w:val="-3"/>
        </w:rPr>
        <w:t> </w:t>
      </w:r>
      <w:r>
        <w:rPr>
          <w:color w:val="231F20"/>
        </w:rPr>
        <w:t>cent</w:t>
      </w:r>
      <w:r>
        <w:rPr>
          <w:color w:val="231F20"/>
          <w:spacing w:val="-3"/>
        </w:rPr>
        <w:t> </w:t>
      </w:r>
      <w:r>
        <w:rPr>
          <w:color w:val="231F20"/>
        </w:rPr>
        <w:t>reduction).</w:t>
      </w:r>
      <w:r>
        <w:rPr/>
      </w:r>
    </w:p>
    <w:p>
      <w:pPr>
        <w:pStyle w:val="BodyText"/>
        <w:spacing w:line="250" w:lineRule="exact" w:before="113"/>
        <w:ind w:right="116"/>
        <w:jc w:val="left"/>
      </w:pPr>
      <w:r>
        <w:rPr>
          <w:color w:val="231F20"/>
          <w:spacing w:val="-1"/>
        </w:rPr>
        <w:t>In</w:t>
      </w:r>
      <w:r>
        <w:rPr>
          <w:color w:val="231F20"/>
          <w:spacing w:val="-5"/>
        </w:rPr>
        <w:t> </w:t>
      </w:r>
      <w:r>
        <w:rPr>
          <w:color w:val="231F20"/>
          <w:spacing w:val="-1"/>
        </w:rPr>
        <w:t>February</w:t>
      </w:r>
      <w:r>
        <w:rPr>
          <w:color w:val="231F20"/>
          <w:spacing w:val="-3"/>
        </w:rPr>
        <w:t> </w:t>
      </w:r>
      <w:r>
        <w:rPr>
          <w:color w:val="231F20"/>
          <w:spacing w:val="-1"/>
        </w:rPr>
        <w:t>2018,</w:t>
      </w:r>
      <w:r>
        <w:rPr>
          <w:color w:val="231F20"/>
          <w:spacing w:val="-5"/>
        </w:rPr>
        <w:t> </w:t>
      </w:r>
      <w:r>
        <w:rPr>
          <w:color w:val="231F20"/>
        </w:rPr>
        <w:t>the</w:t>
      </w:r>
      <w:r>
        <w:rPr>
          <w:color w:val="231F20"/>
          <w:spacing w:val="-5"/>
        </w:rPr>
        <w:t> </w:t>
      </w:r>
      <w:r>
        <w:rPr>
          <w:color w:val="231F20"/>
          <w:spacing w:val="-1"/>
        </w:rPr>
        <w:t>Independent</w:t>
      </w:r>
      <w:r>
        <w:rPr>
          <w:color w:val="231F20"/>
          <w:spacing w:val="-4"/>
        </w:rPr>
        <w:t> </w:t>
      </w:r>
      <w:r>
        <w:rPr>
          <w:color w:val="231F20"/>
          <w:spacing w:val="-1"/>
        </w:rPr>
        <w:t>Schools</w:t>
      </w:r>
      <w:r>
        <w:rPr>
          <w:color w:val="231F20"/>
          <w:spacing w:val="24"/>
        </w:rPr>
        <w:t> </w:t>
      </w:r>
      <w:r>
        <w:rPr>
          <w:color w:val="231F20"/>
          <w:spacing w:val="-1"/>
        </w:rPr>
        <w:t>Council</w:t>
      </w:r>
      <w:r>
        <w:rPr>
          <w:color w:val="231F20"/>
          <w:spacing w:val="-4"/>
        </w:rPr>
        <w:t> </w:t>
      </w:r>
      <w:r>
        <w:rPr>
          <w:color w:val="231F20"/>
        </w:rPr>
        <w:t>of</w:t>
      </w:r>
      <w:r>
        <w:rPr>
          <w:color w:val="231F20"/>
          <w:spacing w:val="-3"/>
        </w:rPr>
        <w:t> </w:t>
      </w:r>
      <w:r>
        <w:rPr>
          <w:color w:val="231F20"/>
        </w:rPr>
        <w:t>Australia</w:t>
      </w:r>
      <w:r>
        <w:rPr>
          <w:color w:val="231F20"/>
          <w:spacing w:val="-3"/>
        </w:rPr>
        <w:t> </w:t>
      </w:r>
      <w:r>
        <w:rPr>
          <w:color w:val="231F20"/>
          <w:spacing w:val="-1"/>
        </w:rPr>
        <w:t>issued</w:t>
      </w:r>
      <w:r>
        <w:rPr>
          <w:color w:val="231F20"/>
          <w:spacing w:val="-3"/>
        </w:rPr>
        <w:t> </w:t>
      </w:r>
      <w:r>
        <w:rPr>
          <w:color w:val="231F20"/>
        </w:rPr>
        <w:t>a</w:t>
      </w:r>
      <w:r>
        <w:rPr>
          <w:color w:val="231F20"/>
          <w:spacing w:val="-4"/>
        </w:rPr>
        <w:t> </w:t>
      </w:r>
      <w:r>
        <w:rPr>
          <w:color w:val="231F20"/>
          <w:spacing w:val="-1"/>
        </w:rPr>
        <w:t>media</w:t>
      </w:r>
      <w:r>
        <w:rPr>
          <w:color w:val="231F20"/>
          <w:spacing w:val="-3"/>
        </w:rPr>
        <w:t> </w:t>
      </w:r>
      <w:r>
        <w:rPr>
          <w:color w:val="231F20"/>
          <w:spacing w:val="-1"/>
        </w:rPr>
        <w:t>statement</w:t>
      </w:r>
      <w:r>
        <w:rPr>
          <w:color w:val="231F20"/>
          <w:spacing w:val="23"/>
          <w:w w:val="99"/>
        </w:rPr>
        <w:t> </w:t>
      </w:r>
      <w:r>
        <w:rPr>
          <w:color w:val="231F20"/>
        </w:rPr>
        <w:t>highlighting</w:t>
      </w:r>
      <w:r>
        <w:rPr>
          <w:color w:val="231F20"/>
          <w:spacing w:val="-8"/>
        </w:rPr>
        <w:t> </w:t>
      </w:r>
      <w:r>
        <w:rPr>
          <w:color w:val="231F20"/>
        </w:rPr>
        <w:t>the</w:t>
      </w:r>
      <w:r>
        <w:rPr>
          <w:color w:val="231F20"/>
          <w:spacing w:val="-8"/>
        </w:rPr>
        <w:t> </w:t>
      </w:r>
      <w:r>
        <w:rPr>
          <w:color w:val="231F20"/>
          <w:spacing w:val="-1"/>
        </w:rPr>
        <w:t>issue.</w:t>
      </w:r>
      <w:r>
        <w:rPr/>
      </w:r>
    </w:p>
    <w:p>
      <w:pPr>
        <w:pStyle w:val="BodyText"/>
        <w:spacing w:line="250" w:lineRule="exact" w:before="113"/>
        <w:ind w:left="570" w:right="663"/>
        <w:jc w:val="left"/>
        <w:rPr>
          <w:rFonts w:ascii="Segoe UI Semibold" w:hAnsi="Segoe UI Semibold" w:cs="Segoe UI Semibold" w:eastAsia="Segoe UI Semibold"/>
        </w:rPr>
      </w:pPr>
      <w:r>
        <w:rPr>
          <w:rFonts w:ascii="Segoe UI Semibold"/>
          <w:b/>
          <w:color w:val="00779B"/>
        </w:rPr>
        <w:t>The</w:t>
      </w:r>
      <w:r>
        <w:rPr>
          <w:rFonts w:ascii="Segoe UI Semibold"/>
          <w:b/>
          <w:color w:val="00779B"/>
          <w:spacing w:val="-1"/>
        </w:rPr>
        <w:t> </w:t>
      </w:r>
      <w:r>
        <w:rPr>
          <w:rFonts w:ascii="Segoe UI Semibold"/>
          <w:b/>
          <w:color w:val="00779B"/>
        </w:rPr>
        <w:t>Independent</w:t>
      </w:r>
      <w:r>
        <w:rPr>
          <w:rFonts w:ascii="Segoe UI Semibold"/>
          <w:b/>
          <w:color w:val="00779B"/>
          <w:spacing w:val="-3"/>
        </w:rPr>
        <w:t> </w:t>
      </w:r>
      <w:r>
        <w:rPr>
          <w:rFonts w:ascii="Segoe UI Semibold"/>
          <w:b/>
          <w:color w:val="00779B"/>
          <w:spacing w:val="-1"/>
        </w:rPr>
        <w:t>Schools</w:t>
      </w:r>
      <w:r>
        <w:rPr>
          <w:rFonts w:ascii="Segoe UI Semibold"/>
          <w:b/>
          <w:color w:val="00779B"/>
        </w:rPr>
        <w:t> </w:t>
      </w:r>
      <w:r>
        <w:rPr>
          <w:rFonts w:ascii="Segoe UI Semibold"/>
          <w:b/>
          <w:color w:val="00779B"/>
          <w:spacing w:val="-1"/>
        </w:rPr>
        <w:t>Council</w:t>
      </w:r>
      <w:r>
        <w:rPr>
          <w:rFonts w:ascii="Segoe UI Semibold"/>
          <w:b/>
          <w:color w:val="00779B"/>
          <w:spacing w:val="21"/>
        </w:rPr>
        <w:t> </w:t>
      </w:r>
      <w:r>
        <w:rPr>
          <w:rFonts w:ascii="Segoe UI Semibold"/>
          <w:b/>
          <w:color w:val="00779B"/>
          <w:spacing w:val="-2"/>
        </w:rPr>
        <w:t>of</w:t>
      </w:r>
      <w:r>
        <w:rPr>
          <w:rFonts w:ascii="Segoe UI Semibold"/>
          <w:b/>
          <w:color w:val="00779B"/>
          <w:spacing w:val="-1"/>
        </w:rPr>
        <w:t> Australia</w:t>
      </w:r>
      <w:r>
        <w:rPr>
          <w:rFonts w:ascii="Segoe UI Semibold"/>
          <w:b/>
          <w:color w:val="00779B"/>
        </w:rPr>
        <w:t> (ISCA)</w:t>
      </w:r>
      <w:r>
        <w:rPr>
          <w:rFonts w:ascii="Segoe UI Semibold"/>
          <w:b/>
          <w:color w:val="00779B"/>
          <w:spacing w:val="-1"/>
        </w:rPr>
        <w:t> is</w:t>
      </w:r>
      <w:r>
        <w:rPr>
          <w:rFonts w:ascii="Segoe UI Semibold"/>
          <w:b/>
          <w:color w:val="00779B"/>
        </w:rPr>
        <w:t> </w:t>
      </w:r>
      <w:r>
        <w:rPr>
          <w:rFonts w:ascii="Segoe UI Semibold"/>
          <w:b/>
          <w:color w:val="00779B"/>
          <w:spacing w:val="-1"/>
        </w:rPr>
        <w:t>warning</w:t>
      </w:r>
      <w:r>
        <w:rPr>
          <w:rFonts w:ascii="Segoe UI Semibold"/>
          <w:b/>
          <w:color w:val="00779B"/>
        </w:rPr>
        <w:t> </w:t>
      </w:r>
      <w:r>
        <w:rPr>
          <w:rFonts w:ascii="Segoe UI Semibold"/>
          <w:b/>
          <w:color w:val="00779B"/>
          <w:spacing w:val="-1"/>
        </w:rPr>
        <w:t>that</w:t>
      </w:r>
      <w:r>
        <w:rPr>
          <w:rFonts w:ascii="Segoe UI Semibold"/>
          <w:b/>
          <w:color w:val="00779B"/>
          <w:spacing w:val="23"/>
        </w:rPr>
        <w:t> </w:t>
      </w:r>
      <w:r>
        <w:rPr>
          <w:rFonts w:ascii="Segoe UI Semibold"/>
          <w:b/>
          <w:color w:val="00779B"/>
          <w:spacing w:val="-1"/>
        </w:rPr>
        <w:t>there</w:t>
      </w:r>
      <w:r>
        <w:rPr>
          <w:rFonts w:ascii="Segoe UI Semibold"/>
          <w:b/>
          <w:color w:val="00779B"/>
          <w:spacing w:val="-2"/>
        </w:rPr>
        <w:t> </w:t>
      </w:r>
      <w:r>
        <w:rPr>
          <w:rFonts w:ascii="Segoe UI Semibold"/>
          <w:b/>
          <w:color w:val="00779B"/>
        </w:rPr>
        <w:t>may</w:t>
      </w:r>
      <w:r>
        <w:rPr>
          <w:rFonts w:ascii="Segoe UI Semibold"/>
          <w:b/>
          <w:color w:val="00779B"/>
          <w:spacing w:val="-1"/>
        </w:rPr>
        <w:t> not </w:t>
      </w:r>
      <w:r>
        <w:rPr>
          <w:rFonts w:ascii="Segoe UI Semibold"/>
          <w:b/>
          <w:color w:val="00779B"/>
        </w:rPr>
        <w:t>be</w:t>
      </w:r>
      <w:r>
        <w:rPr>
          <w:rFonts w:ascii="Segoe UI Semibold"/>
          <w:b/>
          <w:color w:val="00779B"/>
          <w:spacing w:val="-1"/>
        </w:rPr>
        <w:t> </w:t>
      </w:r>
      <w:r>
        <w:rPr>
          <w:rFonts w:ascii="Segoe UI Semibold"/>
          <w:b/>
          <w:color w:val="00779B"/>
        </w:rPr>
        <w:t>any</w:t>
      </w:r>
      <w:r>
        <w:rPr>
          <w:rFonts w:ascii="Segoe UI Semibold"/>
          <w:b/>
          <w:color w:val="00779B"/>
          <w:spacing w:val="-2"/>
        </w:rPr>
        <w:t> </w:t>
      </w:r>
      <w:r>
        <w:rPr>
          <w:rFonts w:ascii="Segoe UI Semibold"/>
          <w:b/>
          <w:color w:val="00779B"/>
          <w:spacing w:val="-1"/>
        </w:rPr>
        <w:t>large-scale</w:t>
      </w:r>
      <w:r>
        <w:rPr>
          <w:rFonts w:ascii="Segoe UI Semibold"/>
          <w:b/>
          <w:color w:val="00779B"/>
          <w:spacing w:val="29"/>
        </w:rPr>
        <w:t> </w:t>
      </w:r>
      <w:r>
        <w:rPr>
          <w:rFonts w:ascii="Segoe UI Semibold"/>
          <w:b/>
          <w:color w:val="00779B"/>
        </w:rPr>
        <w:t>Independent</w:t>
      </w:r>
      <w:r>
        <w:rPr>
          <w:rFonts w:ascii="Segoe UI Semibold"/>
          <w:b/>
          <w:color w:val="00779B"/>
          <w:spacing w:val="-6"/>
        </w:rPr>
        <w:t> </w:t>
      </w:r>
      <w:r>
        <w:rPr>
          <w:rFonts w:ascii="Segoe UI Semibold"/>
          <w:b/>
          <w:color w:val="00779B"/>
          <w:spacing w:val="-1"/>
        </w:rPr>
        <w:t>boarding</w:t>
      </w:r>
      <w:r>
        <w:rPr>
          <w:rFonts w:ascii="Segoe UI Semibold"/>
          <w:b/>
          <w:color w:val="00779B"/>
          <w:spacing w:val="-3"/>
        </w:rPr>
        <w:t> </w:t>
      </w:r>
      <w:r>
        <w:rPr>
          <w:rFonts w:ascii="Segoe UI Semibold"/>
          <w:b/>
          <w:color w:val="00779B"/>
          <w:spacing w:val="-1"/>
        </w:rPr>
        <w:t>schools</w:t>
      </w:r>
      <w:r>
        <w:rPr>
          <w:rFonts w:ascii="Segoe UI Semibold"/>
          <w:b/>
          <w:color w:val="00779B"/>
          <w:spacing w:val="-2"/>
        </w:rPr>
        <w:t> </w:t>
      </w:r>
      <w:r>
        <w:rPr>
          <w:rFonts w:ascii="Segoe UI Semibold"/>
          <w:b/>
          <w:color w:val="00779B"/>
        </w:rPr>
        <w:t>for</w:t>
      </w:r>
      <w:r>
        <w:rPr>
          <w:rFonts w:ascii="Segoe UI Semibold"/>
          <w:b/>
          <w:color w:val="00779B"/>
          <w:spacing w:val="25"/>
        </w:rPr>
        <w:t> </w:t>
      </w:r>
      <w:r>
        <w:rPr>
          <w:rFonts w:ascii="Segoe UI Semibold"/>
          <w:b/>
          <w:color w:val="00779B"/>
        </w:rPr>
        <w:t>Indigenous</w:t>
      </w:r>
      <w:r>
        <w:rPr>
          <w:rFonts w:ascii="Segoe UI Semibold"/>
          <w:b/>
          <w:color w:val="00779B"/>
          <w:spacing w:val="-2"/>
        </w:rPr>
        <w:t> </w:t>
      </w:r>
      <w:r>
        <w:rPr>
          <w:rFonts w:ascii="Segoe UI Semibold"/>
          <w:b/>
          <w:color w:val="00779B"/>
        </w:rPr>
        <w:t>secondary</w:t>
      </w:r>
      <w:r>
        <w:rPr>
          <w:rFonts w:ascii="Segoe UI Semibold"/>
          <w:b/>
          <w:color w:val="00779B"/>
          <w:spacing w:val="-1"/>
        </w:rPr>
        <w:t> students</w:t>
      </w:r>
      <w:r>
        <w:rPr>
          <w:rFonts w:ascii="Segoe UI Semibold"/>
        </w:rPr>
      </w:r>
    </w:p>
    <w:p>
      <w:pPr>
        <w:spacing w:after="0" w:line="250" w:lineRule="exact"/>
        <w:jc w:val="left"/>
        <w:rPr>
          <w:rFonts w:ascii="Segoe UI Semibold" w:hAnsi="Segoe UI Semibold" w:cs="Segoe UI Semibold" w:eastAsia="Segoe UI Semibold"/>
        </w:rPr>
        <w:sectPr>
          <w:type w:val="continuous"/>
          <w:pgSz w:w="11910" w:h="16840"/>
          <w:pgMar w:top="1580" w:bottom="280" w:left="1300" w:right="1600"/>
          <w:cols w:num="2" w:equalWidth="0">
            <w:col w:w="4283" w:space="309"/>
            <w:col w:w="4418"/>
          </w:cols>
        </w:sectPr>
      </w:pPr>
    </w:p>
    <w:p>
      <w:pPr>
        <w:spacing w:line="127" w:lineRule="exact" w:before="0"/>
        <w:ind w:left="117" w:right="0" w:firstLine="0"/>
        <w:jc w:val="left"/>
        <w:rPr>
          <w:rFonts w:ascii="Segoe UI" w:hAnsi="Segoe UI" w:cs="Segoe UI" w:eastAsia="Segoe UI"/>
          <w:sz w:val="11"/>
          <w:szCs w:val="11"/>
        </w:rPr>
      </w:pPr>
      <w:r>
        <w:rPr>
          <w:rFonts w:ascii="Segoe UI"/>
          <w:color w:val="67973F"/>
          <w:sz w:val="19"/>
        </w:rPr>
        <w:t>relatively</w:t>
      </w:r>
      <w:r>
        <w:rPr>
          <w:rFonts w:ascii="Segoe UI"/>
          <w:color w:val="67973F"/>
          <w:spacing w:val="-7"/>
          <w:sz w:val="19"/>
        </w:rPr>
        <w:t> </w:t>
      </w:r>
      <w:r>
        <w:rPr>
          <w:rFonts w:ascii="Segoe UI"/>
          <w:color w:val="67973F"/>
          <w:sz w:val="19"/>
        </w:rPr>
        <w:t>high</w:t>
      </w:r>
      <w:r>
        <w:rPr>
          <w:rFonts w:ascii="Segoe UI"/>
          <w:color w:val="67973F"/>
          <w:spacing w:val="-6"/>
          <w:sz w:val="19"/>
        </w:rPr>
        <w:t> </w:t>
      </w:r>
      <w:r>
        <w:rPr>
          <w:rFonts w:ascii="Segoe UI"/>
          <w:color w:val="67973F"/>
          <w:sz w:val="19"/>
        </w:rPr>
        <w:t>at</w:t>
      </w:r>
      <w:r>
        <w:rPr>
          <w:rFonts w:ascii="Segoe UI"/>
          <w:color w:val="67973F"/>
          <w:spacing w:val="-5"/>
          <w:sz w:val="19"/>
        </w:rPr>
        <w:t> </w:t>
      </w:r>
      <w:r>
        <w:rPr>
          <w:rFonts w:ascii="Segoe UI"/>
          <w:color w:val="67973F"/>
          <w:spacing w:val="-1"/>
          <w:sz w:val="19"/>
        </w:rPr>
        <w:t>$81,800</w:t>
      </w:r>
      <w:r>
        <w:rPr>
          <w:rFonts w:ascii="Segoe UI"/>
          <w:color w:val="67973F"/>
          <w:spacing w:val="-5"/>
          <w:sz w:val="19"/>
        </w:rPr>
        <w:t> </w:t>
      </w:r>
      <w:r>
        <w:rPr>
          <w:rFonts w:ascii="Segoe UI"/>
          <w:color w:val="67973F"/>
          <w:spacing w:val="-1"/>
          <w:sz w:val="19"/>
        </w:rPr>
        <w:t>($31,032</w:t>
      </w:r>
      <w:r>
        <w:rPr>
          <w:rFonts w:ascii="Segoe UI"/>
          <w:color w:val="67973F"/>
          <w:spacing w:val="-1"/>
          <w:position w:val="6"/>
          <w:sz w:val="11"/>
        </w:rPr>
        <w:t>182</w:t>
      </w:r>
      <w:r>
        <w:rPr>
          <w:rFonts w:ascii="Segoe UI"/>
          <w:sz w:val="11"/>
        </w:rPr>
      </w:r>
    </w:p>
    <w:p>
      <w:pPr>
        <w:spacing w:line="126" w:lineRule="exact" w:before="0"/>
        <w:ind w:left="12" w:right="0" w:firstLine="0"/>
        <w:jc w:val="left"/>
        <w:rPr>
          <w:rFonts w:ascii="Segoe UI" w:hAnsi="Segoe UI" w:cs="Segoe UI" w:eastAsia="Segoe UI"/>
          <w:sz w:val="19"/>
          <w:szCs w:val="19"/>
        </w:rPr>
      </w:pPr>
      <w:r>
        <w:rPr/>
        <w:br w:type="column"/>
      </w:r>
      <w:r>
        <w:rPr>
          <w:rFonts w:ascii="Segoe UI"/>
          <w:color w:val="67973F"/>
          <w:sz w:val="19"/>
        </w:rPr>
        <w:t>for</w:t>
      </w:r>
      <w:r>
        <w:rPr>
          <w:rFonts w:ascii="Segoe UI"/>
          <w:color w:val="67973F"/>
          <w:spacing w:val="-10"/>
          <w:sz w:val="19"/>
        </w:rPr>
        <w:t> </w:t>
      </w:r>
      <w:r>
        <w:rPr>
          <w:rFonts w:ascii="Segoe UI"/>
          <w:color w:val="67973F"/>
          <w:sz w:val="19"/>
        </w:rPr>
        <w:t>boarding</w:t>
      </w:r>
      <w:r>
        <w:rPr>
          <w:rFonts w:ascii="Segoe UI"/>
          <w:sz w:val="19"/>
        </w:rPr>
      </w:r>
    </w:p>
    <w:p>
      <w:pPr>
        <w:pStyle w:val="BodyText"/>
        <w:spacing w:line="204" w:lineRule="exact"/>
        <w:ind w:right="0"/>
        <w:jc w:val="left"/>
        <w:rPr>
          <w:rFonts w:ascii="Segoe UI Semibold" w:hAnsi="Segoe UI Semibold" w:cs="Segoe UI Semibold" w:eastAsia="Segoe UI Semibold"/>
        </w:rPr>
      </w:pPr>
      <w:r>
        <w:rPr/>
        <w:br w:type="column"/>
      </w:r>
      <w:r>
        <w:rPr>
          <w:rFonts w:ascii="Segoe UI Semibold"/>
          <w:b/>
          <w:color w:val="00779B"/>
          <w:spacing w:val="-1"/>
        </w:rPr>
        <w:t>remaining</w:t>
      </w:r>
      <w:r>
        <w:rPr>
          <w:rFonts w:ascii="Segoe UI Semibold"/>
          <w:b/>
          <w:color w:val="00779B"/>
        </w:rPr>
        <w:t> </w:t>
      </w:r>
      <w:r>
        <w:rPr>
          <w:rFonts w:ascii="Segoe UI Semibold"/>
          <w:b/>
          <w:color w:val="00779B"/>
          <w:spacing w:val="-1"/>
        </w:rPr>
        <w:t>unless</w:t>
      </w:r>
      <w:r>
        <w:rPr>
          <w:rFonts w:ascii="Segoe UI Semibold"/>
          <w:b/>
          <w:color w:val="00779B"/>
        </w:rPr>
        <w:t> </w:t>
      </w:r>
      <w:r>
        <w:rPr>
          <w:rFonts w:ascii="Segoe UI Semibold"/>
          <w:b/>
          <w:color w:val="00779B"/>
          <w:spacing w:val="-1"/>
        </w:rPr>
        <w:t>changes</w:t>
      </w:r>
      <w:r>
        <w:rPr>
          <w:rFonts w:ascii="Segoe UI Semibold"/>
          <w:b/>
          <w:color w:val="00779B"/>
        </w:rPr>
        <w:t> </w:t>
      </w:r>
      <w:r>
        <w:rPr>
          <w:rFonts w:ascii="Segoe UI Semibold"/>
          <w:b/>
          <w:color w:val="00779B"/>
          <w:spacing w:val="-1"/>
        </w:rPr>
        <w:t>are urgently</w:t>
      </w:r>
      <w:r>
        <w:rPr>
          <w:rFonts w:ascii="Segoe UI Semibold"/>
        </w:rPr>
      </w:r>
    </w:p>
    <w:p>
      <w:pPr>
        <w:spacing w:after="0" w:line="204" w:lineRule="exact"/>
        <w:jc w:val="left"/>
        <w:rPr>
          <w:rFonts w:ascii="Segoe UI Semibold" w:hAnsi="Segoe UI Semibold" w:cs="Segoe UI Semibold" w:eastAsia="Segoe UI Semibold"/>
        </w:rPr>
        <w:sectPr>
          <w:type w:val="continuous"/>
          <w:pgSz w:w="11910" w:h="16840"/>
          <w:pgMar w:top="1580" w:bottom="280" w:left="1300" w:right="1600"/>
          <w:cols w:num="3" w:equalWidth="0">
            <w:col w:w="3155" w:space="40"/>
            <w:col w:w="1065" w:space="787"/>
            <w:col w:w="3963"/>
          </w:cols>
        </w:sectPr>
      </w:pPr>
    </w:p>
    <w:p>
      <w:pPr>
        <w:spacing w:line="202" w:lineRule="exact" w:before="0"/>
        <w:ind w:left="117" w:right="156" w:firstLine="0"/>
        <w:jc w:val="left"/>
        <w:rPr>
          <w:rFonts w:ascii="Segoe UI" w:hAnsi="Segoe UI" w:cs="Segoe UI" w:eastAsia="Segoe UI"/>
          <w:sz w:val="19"/>
          <w:szCs w:val="19"/>
        </w:rPr>
      </w:pPr>
      <w:r>
        <w:rPr>
          <w:rFonts w:ascii="Segoe UI"/>
          <w:color w:val="67973F"/>
          <w:sz w:val="19"/>
        </w:rPr>
        <w:t>costs)</w:t>
      </w:r>
      <w:r>
        <w:rPr>
          <w:rFonts w:ascii="Segoe UI"/>
          <w:color w:val="67973F"/>
          <w:spacing w:val="-4"/>
          <w:sz w:val="19"/>
        </w:rPr>
        <w:t> </w:t>
      </w:r>
      <w:r>
        <w:rPr>
          <w:rFonts w:ascii="Segoe UI"/>
          <w:color w:val="67973F"/>
          <w:sz w:val="19"/>
        </w:rPr>
        <w:t>but</w:t>
      </w:r>
      <w:r>
        <w:rPr>
          <w:rFonts w:ascii="Segoe UI"/>
          <w:color w:val="67973F"/>
          <w:spacing w:val="-3"/>
          <w:sz w:val="19"/>
        </w:rPr>
        <w:t> </w:t>
      </w:r>
      <w:r>
        <w:rPr>
          <w:rFonts w:ascii="Segoe UI"/>
          <w:color w:val="67973F"/>
          <w:sz w:val="19"/>
        </w:rPr>
        <w:t>the</w:t>
      </w:r>
      <w:r>
        <w:rPr>
          <w:rFonts w:ascii="Segoe UI"/>
          <w:color w:val="67973F"/>
          <w:spacing w:val="-3"/>
          <w:sz w:val="19"/>
        </w:rPr>
        <w:t> </w:t>
      </w:r>
      <w:r>
        <w:rPr>
          <w:rFonts w:ascii="Segoe UI"/>
          <w:color w:val="67973F"/>
          <w:sz w:val="19"/>
        </w:rPr>
        <w:t>college</w:t>
      </w:r>
      <w:r>
        <w:rPr>
          <w:rFonts w:ascii="Segoe UI"/>
          <w:color w:val="67973F"/>
          <w:spacing w:val="-3"/>
          <w:sz w:val="19"/>
        </w:rPr>
        <w:t> </w:t>
      </w:r>
      <w:r>
        <w:rPr>
          <w:rFonts w:ascii="Segoe UI"/>
          <w:color w:val="67973F"/>
          <w:sz w:val="19"/>
        </w:rPr>
        <w:t>has</w:t>
      </w:r>
      <w:r>
        <w:rPr>
          <w:rFonts w:ascii="Segoe UI"/>
          <w:color w:val="67973F"/>
          <w:spacing w:val="-4"/>
          <w:sz w:val="19"/>
        </w:rPr>
        <w:t> </w:t>
      </w:r>
      <w:r>
        <w:rPr>
          <w:rFonts w:ascii="Segoe UI"/>
          <w:color w:val="67973F"/>
          <w:sz w:val="19"/>
        </w:rPr>
        <w:t>been</w:t>
      </w:r>
      <w:r>
        <w:rPr>
          <w:rFonts w:ascii="Segoe UI"/>
          <w:color w:val="67973F"/>
          <w:spacing w:val="-3"/>
          <w:sz w:val="19"/>
        </w:rPr>
        <w:t> </w:t>
      </w:r>
      <w:r>
        <w:rPr>
          <w:rFonts w:ascii="Segoe UI"/>
          <w:color w:val="67973F"/>
          <w:spacing w:val="-1"/>
          <w:sz w:val="19"/>
        </w:rPr>
        <w:t>successful</w:t>
      </w:r>
      <w:r>
        <w:rPr>
          <w:rFonts w:ascii="Segoe UI"/>
          <w:color w:val="67973F"/>
          <w:spacing w:val="-2"/>
          <w:sz w:val="19"/>
        </w:rPr>
        <w:t> </w:t>
      </w:r>
      <w:r>
        <w:rPr>
          <w:rFonts w:ascii="Segoe UI"/>
          <w:color w:val="67973F"/>
          <w:spacing w:val="-1"/>
          <w:sz w:val="19"/>
        </w:rPr>
        <w:t>in</w:t>
      </w:r>
      <w:r>
        <w:rPr>
          <w:rFonts w:ascii="Segoe UI"/>
          <w:sz w:val="19"/>
        </w:rPr>
      </w:r>
    </w:p>
    <w:p>
      <w:pPr>
        <w:spacing w:line="265" w:lineRule="auto" w:before="27"/>
        <w:ind w:left="117" w:right="180" w:firstLine="0"/>
        <w:jc w:val="left"/>
        <w:rPr>
          <w:rFonts w:ascii="Segoe UI" w:hAnsi="Segoe UI" w:cs="Segoe UI" w:eastAsia="Segoe UI"/>
          <w:sz w:val="19"/>
          <w:szCs w:val="19"/>
        </w:rPr>
      </w:pPr>
      <w:r>
        <w:rPr>
          <w:rFonts w:ascii="Segoe UI"/>
          <w:color w:val="67973F"/>
          <w:sz w:val="19"/>
        </w:rPr>
        <w:t>delivering</w:t>
      </w:r>
      <w:r>
        <w:rPr>
          <w:rFonts w:ascii="Segoe UI"/>
          <w:color w:val="67973F"/>
          <w:spacing w:val="-10"/>
          <w:sz w:val="19"/>
        </w:rPr>
        <w:t> </w:t>
      </w:r>
      <w:r>
        <w:rPr>
          <w:rFonts w:ascii="Segoe UI"/>
          <w:color w:val="67973F"/>
          <w:spacing w:val="-1"/>
          <w:sz w:val="19"/>
        </w:rPr>
        <w:t>improved</w:t>
      </w:r>
      <w:r>
        <w:rPr>
          <w:rFonts w:ascii="Segoe UI"/>
          <w:color w:val="67973F"/>
          <w:spacing w:val="-9"/>
          <w:sz w:val="19"/>
        </w:rPr>
        <w:t> </w:t>
      </w:r>
      <w:r>
        <w:rPr>
          <w:rFonts w:ascii="Segoe UI"/>
          <w:color w:val="67973F"/>
          <w:sz w:val="19"/>
        </w:rPr>
        <w:t>educational</w:t>
      </w:r>
      <w:r>
        <w:rPr>
          <w:rFonts w:ascii="Segoe UI"/>
          <w:color w:val="67973F"/>
          <w:spacing w:val="-9"/>
          <w:sz w:val="19"/>
        </w:rPr>
        <w:t> </w:t>
      </w:r>
      <w:r>
        <w:rPr>
          <w:rFonts w:ascii="Segoe UI"/>
          <w:color w:val="67973F"/>
          <w:sz w:val="19"/>
        </w:rPr>
        <w:t>outcomes</w:t>
      </w:r>
      <w:r>
        <w:rPr>
          <w:rFonts w:ascii="Segoe UI"/>
          <w:color w:val="67973F"/>
          <w:sz w:val="19"/>
        </w:rPr>
        <w:t> </w:t>
      </w:r>
      <w:r>
        <w:rPr>
          <w:rFonts w:ascii="Segoe UI"/>
          <w:color w:val="67973F"/>
          <w:spacing w:val="22"/>
          <w:sz w:val="19"/>
        </w:rPr>
        <w:t> </w:t>
      </w:r>
      <w:r>
        <w:rPr>
          <w:rFonts w:ascii="Segoe UI"/>
          <w:color w:val="67973F"/>
          <w:sz w:val="19"/>
        </w:rPr>
        <w:t>with</w:t>
      </w:r>
      <w:r>
        <w:rPr>
          <w:rFonts w:ascii="Segoe UI"/>
          <w:color w:val="67973F"/>
          <w:spacing w:val="-5"/>
          <w:sz w:val="19"/>
        </w:rPr>
        <w:t> </w:t>
      </w:r>
      <w:r>
        <w:rPr>
          <w:rFonts w:ascii="Segoe UI"/>
          <w:color w:val="67973F"/>
          <w:sz w:val="19"/>
        </w:rPr>
        <w:t>NAPLAN</w:t>
      </w:r>
      <w:r>
        <w:rPr>
          <w:rFonts w:ascii="Segoe UI"/>
          <w:color w:val="67973F"/>
          <w:spacing w:val="-3"/>
          <w:sz w:val="19"/>
        </w:rPr>
        <w:t> </w:t>
      </w:r>
      <w:r>
        <w:rPr>
          <w:rFonts w:ascii="Segoe UI"/>
          <w:color w:val="67973F"/>
          <w:sz w:val="19"/>
        </w:rPr>
        <w:t>results</w:t>
      </w:r>
      <w:r>
        <w:rPr>
          <w:rFonts w:ascii="Segoe UI"/>
          <w:color w:val="67973F"/>
          <w:spacing w:val="-4"/>
          <w:sz w:val="19"/>
        </w:rPr>
        <w:t> </w:t>
      </w:r>
      <w:r>
        <w:rPr>
          <w:rFonts w:ascii="Segoe UI"/>
          <w:color w:val="67973F"/>
          <w:spacing w:val="-1"/>
          <w:sz w:val="19"/>
        </w:rPr>
        <w:t>improving</w:t>
      </w:r>
      <w:r>
        <w:rPr>
          <w:rFonts w:ascii="Segoe UI"/>
          <w:color w:val="67973F"/>
          <w:spacing w:val="-4"/>
          <w:sz w:val="19"/>
        </w:rPr>
        <w:t> </w:t>
      </w:r>
      <w:r>
        <w:rPr>
          <w:rFonts w:ascii="Segoe UI"/>
          <w:color w:val="67973F"/>
          <w:spacing w:val="-1"/>
          <w:sz w:val="19"/>
        </w:rPr>
        <w:t>since</w:t>
      </w:r>
      <w:r>
        <w:rPr>
          <w:rFonts w:ascii="Segoe UI"/>
          <w:color w:val="67973F"/>
          <w:spacing w:val="-3"/>
          <w:sz w:val="19"/>
        </w:rPr>
        <w:t> </w:t>
      </w:r>
      <w:r>
        <w:rPr>
          <w:rFonts w:ascii="Segoe UI"/>
          <w:color w:val="67973F"/>
          <w:spacing w:val="-1"/>
          <w:sz w:val="19"/>
        </w:rPr>
        <w:t>2008,</w:t>
      </w:r>
      <w:r>
        <w:rPr>
          <w:rFonts w:ascii="Segoe UI"/>
          <w:color w:val="67973F"/>
          <w:spacing w:val="-3"/>
          <w:sz w:val="19"/>
        </w:rPr>
        <w:t> </w:t>
      </w:r>
      <w:r>
        <w:rPr>
          <w:rFonts w:ascii="Segoe UI"/>
          <w:color w:val="67973F"/>
          <w:sz w:val="19"/>
        </w:rPr>
        <w:t>and</w:t>
      </w:r>
      <w:r>
        <w:rPr>
          <w:rFonts w:ascii="Segoe UI"/>
          <w:color w:val="67973F"/>
          <w:spacing w:val="29"/>
          <w:w w:val="99"/>
          <w:sz w:val="19"/>
        </w:rPr>
        <w:t> </w:t>
      </w:r>
      <w:r>
        <w:rPr>
          <w:rFonts w:ascii="Segoe UI"/>
          <w:color w:val="67973F"/>
          <w:sz w:val="19"/>
        </w:rPr>
        <w:t>consistently</w:t>
      </w:r>
      <w:r>
        <w:rPr>
          <w:rFonts w:ascii="Segoe UI"/>
          <w:color w:val="67973F"/>
          <w:spacing w:val="-8"/>
          <w:sz w:val="19"/>
        </w:rPr>
        <w:t> </w:t>
      </w:r>
      <w:r>
        <w:rPr>
          <w:rFonts w:ascii="Segoe UI"/>
          <w:color w:val="67973F"/>
          <w:sz w:val="19"/>
        </w:rPr>
        <w:t>high</w:t>
      </w:r>
      <w:r>
        <w:rPr>
          <w:rFonts w:ascii="Segoe UI"/>
          <w:color w:val="67973F"/>
          <w:spacing w:val="-7"/>
          <w:sz w:val="19"/>
        </w:rPr>
        <w:t> </w:t>
      </w:r>
      <w:r>
        <w:rPr>
          <w:rFonts w:ascii="Segoe UI"/>
          <w:color w:val="67973F"/>
          <w:sz w:val="19"/>
        </w:rPr>
        <w:t>attendance</w:t>
      </w:r>
      <w:r>
        <w:rPr>
          <w:rFonts w:ascii="Segoe UI"/>
          <w:color w:val="67973F"/>
          <w:spacing w:val="-7"/>
          <w:sz w:val="19"/>
        </w:rPr>
        <w:t> </w:t>
      </w:r>
      <w:r>
        <w:rPr>
          <w:rFonts w:ascii="Segoe UI"/>
          <w:color w:val="67973F"/>
          <w:sz w:val="19"/>
        </w:rPr>
        <w:t>rates</w:t>
      </w:r>
      <w:r>
        <w:rPr>
          <w:rFonts w:ascii="Segoe UI"/>
          <w:color w:val="67973F"/>
          <w:spacing w:val="-7"/>
          <w:sz w:val="19"/>
        </w:rPr>
        <w:t> </w:t>
      </w:r>
      <w:r>
        <w:rPr>
          <w:rFonts w:ascii="Segoe UI"/>
          <w:color w:val="67973F"/>
          <w:sz w:val="19"/>
        </w:rPr>
        <w:t>(average</w:t>
      </w:r>
      <w:r>
        <w:rPr>
          <w:rFonts w:ascii="Segoe UI"/>
          <w:sz w:val="19"/>
        </w:rPr>
      </w:r>
    </w:p>
    <w:p>
      <w:pPr>
        <w:spacing w:line="265" w:lineRule="auto" w:before="0"/>
        <w:ind w:left="117" w:right="38" w:firstLine="0"/>
        <w:jc w:val="left"/>
        <w:rPr>
          <w:rFonts w:ascii="Segoe UI" w:hAnsi="Segoe UI" w:cs="Segoe UI" w:eastAsia="Segoe UI"/>
          <w:sz w:val="19"/>
          <w:szCs w:val="19"/>
        </w:rPr>
      </w:pPr>
      <w:r>
        <w:rPr>
          <w:rFonts w:ascii="Segoe UI"/>
          <w:color w:val="67973F"/>
          <w:spacing w:val="-1"/>
          <w:sz w:val="19"/>
        </w:rPr>
        <w:t>student</w:t>
      </w:r>
      <w:r>
        <w:rPr>
          <w:rFonts w:ascii="Segoe UI"/>
          <w:color w:val="67973F"/>
          <w:spacing w:val="-6"/>
          <w:sz w:val="19"/>
        </w:rPr>
        <w:t> </w:t>
      </w:r>
      <w:r>
        <w:rPr>
          <w:rFonts w:ascii="Segoe UI"/>
          <w:color w:val="67973F"/>
          <w:sz w:val="19"/>
        </w:rPr>
        <w:t>attendance</w:t>
      </w:r>
      <w:r>
        <w:rPr>
          <w:rFonts w:ascii="Segoe UI"/>
          <w:color w:val="67973F"/>
          <w:spacing w:val="-6"/>
          <w:sz w:val="19"/>
        </w:rPr>
        <w:t> </w:t>
      </w:r>
      <w:r>
        <w:rPr>
          <w:rFonts w:ascii="Segoe UI"/>
          <w:color w:val="67973F"/>
          <w:sz w:val="19"/>
        </w:rPr>
        <w:t>rates</w:t>
      </w:r>
      <w:r>
        <w:rPr>
          <w:rFonts w:ascii="Segoe UI"/>
          <w:color w:val="67973F"/>
          <w:spacing w:val="-6"/>
          <w:sz w:val="19"/>
        </w:rPr>
        <w:t> </w:t>
      </w:r>
      <w:r>
        <w:rPr>
          <w:rFonts w:ascii="Segoe UI"/>
          <w:color w:val="67973F"/>
          <w:sz w:val="19"/>
        </w:rPr>
        <w:t>at</w:t>
      </w:r>
      <w:r>
        <w:rPr>
          <w:rFonts w:ascii="Segoe UI"/>
          <w:color w:val="67973F"/>
          <w:spacing w:val="-5"/>
          <w:sz w:val="19"/>
        </w:rPr>
        <w:t> </w:t>
      </w:r>
      <w:r>
        <w:rPr>
          <w:rFonts w:ascii="Segoe UI"/>
          <w:color w:val="67973F"/>
          <w:sz w:val="19"/>
        </w:rPr>
        <w:t>Tiwi</w:t>
      </w:r>
      <w:r>
        <w:rPr>
          <w:rFonts w:ascii="Segoe UI"/>
          <w:color w:val="67973F"/>
          <w:spacing w:val="-6"/>
          <w:sz w:val="19"/>
        </w:rPr>
        <w:t> </w:t>
      </w:r>
      <w:r>
        <w:rPr>
          <w:rFonts w:ascii="Segoe UI"/>
          <w:color w:val="67973F"/>
          <w:spacing w:val="-1"/>
          <w:sz w:val="19"/>
        </w:rPr>
        <w:t>College</w:t>
      </w:r>
      <w:r>
        <w:rPr>
          <w:rFonts w:ascii="Segoe UI"/>
          <w:color w:val="67973F"/>
          <w:spacing w:val="-5"/>
          <w:sz w:val="19"/>
        </w:rPr>
        <w:t> </w:t>
      </w:r>
      <w:r>
        <w:rPr>
          <w:rFonts w:ascii="Segoe UI"/>
          <w:color w:val="67973F"/>
          <w:sz w:val="19"/>
        </w:rPr>
        <w:t>exceed</w:t>
      </w:r>
      <w:r>
        <w:rPr>
          <w:rFonts w:ascii="Segoe UI"/>
          <w:color w:val="67973F"/>
          <w:spacing w:val="23"/>
          <w:w w:val="99"/>
          <w:sz w:val="19"/>
        </w:rPr>
        <w:t> </w:t>
      </w:r>
      <w:r>
        <w:rPr>
          <w:rFonts w:ascii="Segoe UI"/>
          <w:color w:val="67973F"/>
          <w:sz w:val="19"/>
        </w:rPr>
        <w:t>the</w:t>
      </w:r>
      <w:r>
        <w:rPr>
          <w:rFonts w:ascii="Segoe UI"/>
          <w:color w:val="67973F"/>
          <w:spacing w:val="-6"/>
          <w:sz w:val="19"/>
        </w:rPr>
        <w:t> </w:t>
      </w:r>
      <w:r>
        <w:rPr>
          <w:rFonts w:ascii="Segoe UI"/>
          <w:color w:val="67973F"/>
          <w:sz w:val="19"/>
        </w:rPr>
        <w:t>all</w:t>
      </w:r>
      <w:r>
        <w:rPr>
          <w:rFonts w:ascii="Segoe UI"/>
          <w:color w:val="67973F"/>
          <w:spacing w:val="-6"/>
          <w:sz w:val="19"/>
        </w:rPr>
        <w:t> </w:t>
      </w:r>
      <w:r>
        <w:rPr>
          <w:rFonts w:ascii="Segoe UI"/>
          <w:color w:val="67973F"/>
          <w:sz w:val="19"/>
        </w:rPr>
        <w:t>Northern</w:t>
      </w:r>
      <w:r>
        <w:rPr>
          <w:rFonts w:ascii="Segoe UI"/>
          <w:color w:val="67973F"/>
          <w:spacing w:val="-5"/>
          <w:sz w:val="19"/>
        </w:rPr>
        <w:t> </w:t>
      </w:r>
      <w:r>
        <w:rPr>
          <w:rFonts w:ascii="Segoe UI"/>
          <w:color w:val="67973F"/>
          <w:spacing w:val="-3"/>
          <w:sz w:val="19"/>
        </w:rPr>
        <w:t>Territory</w:t>
      </w:r>
      <w:r>
        <w:rPr>
          <w:rFonts w:ascii="Segoe UI"/>
          <w:color w:val="67973F"/>
          <w:spacing w:val="-6"/>
          <w:sz w:val="19"/>
        </w:rPr>
        <w:t> </w:t>
      </w:r>
      <w:r>
        <w:rPr>
          <w:rFonts w:ascii="Segoe UI"/>
          <w:color w:val="67973F"/>
          <w:sz w:val="19"/>
        </w:rPr>
        <w:t>average</w:t>
      </w:r>
      <w:r>
        <w:rPr>
          <w:rFonts w:ascii="Segoe UI"/>
          <w:color w:val="67973F"/>
          <w:spacing w:val="-5"/>
          <w:sz w:val="19"/>
        </w:rPr>
        <w:t> </w:t>
      </w:r>
      <w:r>
        <w:rPr>
          <w:rFonts w:ascii="Segoe UI"/>
          <w:color w:val="67973F"/>
          <w:sz w:val="19"/>
        </w:rPr>
        <w:t>and</w:t>
      </w:r>
      <w:r>
        <w:rPr>
          <w:rFonts w:ascii="Segoe UI"/>
          <w:color w:val="67973F"/>
          <w:spacing w:val="-6"/>
          <w:sz w:val="19"/>
        </w:rPr>
        <w:t> </w:t>
      </w:r>
      <w:r>
        <w:rPr>
          <w:rFonts w:ascii="Segoe UI"/>
          <w:color w:val="67973F"/>
          <w:sz w:val="19"/>
        </w:rPr>
        <w:t>the</w:t>
      </w:r>
      <w:r>
        <w:rPr>
          <w:rFonts w:ascii="Segoe UI"/>
          <w:color w:val="67973F"/>
          <w:spacing w:val="28"/>
          <w:w w:val="99"/>
          <w:sz w:val="19"/>
        </w:rPr>
        <w:t> </w:t>
      </w:r>
      <w:r>
        <w:rPr>
          <w:rFonts w:ascii="Segoe UI"/>
          <w:color w:val="67973F"/>
          <w:sz w:val="19"/>
        </w:rPr>
        <w:t>attendance</w:t>
      </w:r>
      <w:r>
        <w:rPr>
          <w:rFonts w:ascii="Segoe UI"/>
          <w:color w:val="67973F"/>
          <w:spacing w:val="-6"/>
          <w:sz w:val="19"/>
        </w:rPr>
        <w:t> </w:t>
      </w:r>
      <w:r>
        <w:rPr>
          <w:rFonts w:ascii="Segoe UI"/>
          <w:color w:val="67973F"/>
          <w:sz w:val="19"/>
        </w:rPr>
        <w:t>rate</w:t>
      </w:r>
      <w:r>
        <w:rPr>
          <w:rFonts w:ascii="Segoe UI"/>
          <w:color w:val="67973F"/>
          <w:spacing w:val="-6"/>
          <w:sz w:val="19"/>
        </w:rPr>
        <w:t> </w:t>
      </w:r>
      <w:r>
        <w:rPr>
          <w:rFonts w:ascii="Segoe UI"/>
          <w:color w:val="67973F"/>
          <w:sz w:val="19"/>
        </w:rPr>
        <w:t>of</w:t>
      </w:r>
      <w:r>
        <w:rPr>
          <w:rFonts w:ascii="Segoe UI"/>
          <w:color w:val="67973F"/>
          <w:spacing w:val="-5"/>
          <w:sz w:val="19"/>
        </w:rPr>
        <w:t> </w:t>
      </w:r>
      <w:r>
        <w:rPr>
          <w:rFonts w:ascii="Segoe UI"/>
          <w:color w:val="67973F"/>
          <w:sz w:val="19"/>
        </w:rPr>
        <w:t>the</w:t>
      </w:r>
      <w:r>
        <w:rPr>
          <w:rFonts w:ascii="Segoe UI"/>
          <w:color w:val="67973F"/>
          <w:spacing w:val="-6"/>
          <w:sz w:val="19"/>
        </w:rPr>
        <w:t> </w:t>
      </w:r>
      <w:r>
        <w:rPr>
          <w:rFonts w:ascii="Segoe UI"/>
          <w:color w:val="67973F"/>
          <w:sz w:val="19"/>
        </w:rPr>
        <w:t>other</w:t>
      </w:r>
      <w:r>
        <w:rPr>
          <w:rFonts w:ascii="Segoe UI"/>
          <w:color w:val="67973F"/>
          <w:spacing w:val="-5"/>
          <w:sz w:val="19"/>
        </w:rPr>
        <w:t> </w:t>
      </w:r>
      <w:r>
        <w:rPr>
          <w:rFonts w:ascii="Segoe UI"/>
          <w:color w:val="67973F"/>
          <w:spacing w:val="-1"/>
          <w:sz w:val="19"/>
        </w:rPr>
        <w:t>secondary</w:t>
      </w:r>
      <w:r>
        <w:rPr>
          <w:rFonts w:ascii="Segoe UI"/>
          <w:color w:val="67973F"/>
          <w:spacing w:val="-5"/>
          <w:sz w:val="19"/>
        </w:rPr>
        <w:t> </w:t>
      </w:r>
      <w:r>
        <w:rPr>
          <w:rFonts w:ascii="Segoe UI"/>
          <w:color w:val="67973F"/>
          <w:spacing w:val="-1"/>
          <w:sz w:val="19"/>
        </w:rPr>
        <w:t>school</w:t>
      </w:r>
      <w:r>
        <w:rPr>
          <w:rFonts w:ascii="Segoe UI"/>
          <w:color w:val="67973F"/>
          <w:spacing w:val="-1"/>
          <w:sz w:val="19"/>
        </w:rPr>
        <w:t> </w:t>
      </w:r>
      <w:r>
        <w:rPr>
          <w:rFonts w:ascii="Segoe UI"/>
          <w:color w:val="67973F"/>
          <w:spacing w:val="21"/>
          <w:sz w:val="19"/>
        </w:rPr>
        <w:t> </w:t>
      </w:r>
      <w:r>
        <w:rPr>
          <w:rFonts w:ascii="Segoe UI"/>
          <w:color w:val="67973F"/>
          <w:sz w:val="19"/>
        </w:rPr>
        <w:t>on</w:t>
      </w:r>
      <w:r>
        <w:rPr>
          <w:rFonts w:ascii="Segoe UI"/>
          <w:color w:val="67973F"/>
          <w:spacing w:val="-3"/>
          <w:sz w:val="19"/>
        </w:rPr>
        <w:t> </w:t>
      </w:r>
      <w:r>
        <w:rPr>
          <w:rFonts w:ascii="Segoe UI"/>
          <w:color w:val="67973F"/>
          <w:sz w:val="19"/>
        </w:rPr>
        <w:t>the</w:t>
      </w:r>
      <w:r>
        <w:rPr>
          <w:rFonts w:ascii="Segoe UI"/>
          <w:color w:val="67973F"/>
          <w:spacing w:val="-4"/>
          <w:sz w:val="19"/>
        </w:rPr>
        <w:t> </w:t>
      </w:r>
      <w:r>
        <w:rPr>
          <w:rFonts w:ascii="Segoe UI"/>
          <w:color w:val="67973F"/>
          <w:sz w:val="19"/>
        </w:rPr>
        <w:t>Tiwi</w:t>
      </w:r>
      <w:r>
        <w:rPr>
          <w:rFonts w:ascii="Segoe UI"/>
          <w:color w:val="67973F"/>
          <w:spacing w:val="-3"/>
          <w:sz w:val="19"/>
        </w:rPr>
        <w:t> </w:t>
      </w:r>
      <w:r>
        <w:rPr>
          <w:rFonts w:ascii="Segoe UI"/>
          <w:color w:val="67973F"/>
          <w:spacing w:val="-1"/>
          <w:sz w:val="19"/>
        </w:rPr>
        <w:t>Islands).</w:t>
      </w:r>
      <w:r>
        <w:rPr>
          <w:rFonts w:ascii="Segoe UI"/>
          <w:color w:val="67973F"/>
          <w:spacing w:val="-3"/>
          <w:sz w:val="19"/>
        </w:rPr>
        <w:t> </w:t>
      </w:r>
      <w:r>
        <w:rPr>
          <w:rFonts w:ascii="Segoe UI"/>
          <w:color w:val="67973F"/>
          <w:sz w:val="19"/>
        </w:rPr>
        <w:t>The</w:t>
      </w:r>
      <w:r>
        <w:rPr>
          <w:rFonts w:ascii="Segoe UI"/>
          <w:color w:val="67973F"/>
          <w:spacing w:val="-2"/>
          <w:sz w:val="19"/>
        </w:rPr>
        <w:t> </w:t>
      </w:r>
      <w:r>
        <w:rPr>
          <w:rFonts w:ascii="Segoe UI"/>
          <w:color w:val="67973F"/>
          <w:sz w:val="19"/>
        </w:rPr>
        <w:t>high</w:t>
      </w:r>
      <w:r>
        <w:rPr>
          <w:rFonts w:ascii="Segoe UI"/>
          <w:color w:val="67973F"/>
          <w:spacing w:val="-4"/>
          <w:sz w:val="19"/>
        </w:rPr>
        <w:t> </w:t>
      </w:r>
      <w:r>
        <w:rPr>
          <w:rFonts w:ascii="Segoe UI"/>
          <w:color w:val="67973F"/>
          <w:sz w:val="19"/>
        </w:rPr>
        <w:t>cost</w:t>
      </w:r>
      <w:r>
        <w:rPr>
          <w:rFonts w:ascii="Segoe UI"/>
          <w:color w:val="67973F"/>
          <w:spacing w:val="-3"/>
          <w:sz w:val="19"/>
        </w:rPr>
        <w:t> </w:t>
      </w:r>
      <w:r>
        <w:rPr>
          <w:rFonts w:ascii="Segoe UI"/>
          <w:color w:val="67973F"/>
          <w:spacing w:val="-1"/>
          <w:sz w:val="19"/>
        </w:rPr>
        <w:t>is</w:t>
      </w:r>
      <w:r>
        <w:rPr>
          <w:rFonts w:ascii="Segoe UI"/>
          <w:color w:val="67973F"/>
          <w:spacing w:val="-4"/>
          <w:sz w:val="19"/>
        </w:rPr>
        <w:t> </w:t>
      </w:r>
      <w:r>
        <w:rPr>
          <w:rFonts w:ascii="Segoe UI"/>
          <w:color w:val="67973F"/>
          <w:sz w:val="19"/>
        </w:rPr>
        <w:t>related</w:t>
      </w:r>
      <w:r>
        <w:rPr>
          <w:rFonts w:ascii="Segoe UI"/>
          <w:color w:val="67973F"/>
          <w:spacing w:val="-3"/>
          <w:sz w:val="19"/>
        </w:rPr>
        <w:t> </w:t>
      </w:r>
      <w:r>
        <w:rPr>
          <w:rFonts w:ascii="Segoe UI"/>
          <w:color w:val="67973F"/>
          <w:sz w:val="19"/>
        </w:rPr>
        <w:t>to</w:t>
      </w:r>
      <w:r>
        <w:rPr>
          <w:rFonts w:ascii="Segoe UI"/>
          <w:color w:val="67973F"/>
          <w:spacing w:val="23"/>
          <w:w w:val="99"/>
          <w:sz w:val="19"/>
        </w:rPr>
        <w:t> </w:t>
      </w:r>
      <w:r>
        <w:rPr>
          <w:rFonts w:ascii="Segoe UI"/>
          <w:color w:val="67973F"/>
          <w:sz w:val="19"/>
        </w:rPr>
        <w:t>the</w:t>
      </w:r>
      <w:r>
        <w:rPr>
          <w:rFonts w:ascii="Segoe UI"/>
          <w:color w:val="67973F"/>
          <w:spacing w:val="-6"/>
          <w:sz w:val="19"/>
        </w:rPr>
        <w:t> </w:t>
      </w:r>
      <w:r>
        <w:rPr>
          <w:rFonts w:ascii="Segoe UI"/>
          <w:color w:val="67973F"/>
          <w:sz w:val="19"/>
        </w:rPr>
        <w:t>remoteness</w:t>
      </w:r>
      <w:r>
        <w:rPr>
          <w:rFonts w:ascii="Segoe UI"/>
          <w:color w:val="67973F"/>
          <w:spacing w:val="-6"/>
          <w:sz w:val="19"/>
        </w:rPr>
        <w:t> </w:t>
      </w:r>
      <w:r>
        <w:rPr>
          <w:rFonts w:ascii="Segoe UI"/>
          <w:color w:val="67973F"/>
          <w:sz w:val="19"/>
        </w:rPr>
        <w:t>of</w:t>
      </w:r>
      <w:r>
        <w:rPr>
          <w:rFonts w:ascii="Segoe UI"/>
          <w:color w:val="67973F"/>
          <w:spacing w:val="-4"/>
          <w:sz w:val="19"/>
        </w:rPr>
        <w:t> </w:t>
      </w:r>
      <w:r>
        <w:rPr>
          <w:rFonts w:ascii="Segoe UI"/>
          <w:color w:val="67973F"/>
          <w:sz w:val="19"/>
        </w:rPr>
        <w:t>the</w:t>
      </w:r>
      <w:r>
        <w:rPr>
          <w:rFonts w:ascii="Segoe UI"/>
          <w:color w:val="67973F"/>
          <w:spacing w:val="-5"/>
          <w:sz w:val="19"/>
        </w:rPr>
        <w:t> </w:t>
      </w:r>
      <w:r>
        <w:rPr>
          <w:rFonts w:ascii="Segoe UI"/>
          <w:color w:val="67973F"/>
          <w:sz w:val="19"/>
        </w:rPr>
        <w:t>boarding</w:t>
      </w:r>
      <w:r>
        <w:rPr>
          <w:rFonts w:ascii="Segoe UI"/>
          <w:color w:val="67973F"/>
          <w:spacing w:val="-5"/>
          <w:sz w:val="19"/>
        </w:rPr>
        <w:t> </w:t>
      </w:r>
      <w:r>
        <w:rPr>
          <w:rFonts w:ascii="Segoe UI"/>
          <w:color w:val="67973F"/>
          <w:sz w:val="19"/>
        </w:rPr>
        <w:t>provider,</w:t>
      </w:r>
      <w:r>
        <w:rPr>
          <w:rFonts w:ascii="Segoe UI"/>
          <w:color w:val="67973F"/>
          <w:spacing w:val="-6"/>
          <w:sz w:val="19"/>
        </w:rPr>
        <w:t> </w:t>
      </w:r>
      <w:r>
        <w:rPr>
          <w:rFonts w:ascii="Segoe UI"/>
          <w:color w:val="67973F"/>
          <w:sz w:val="19"/>
        </w:rPr>
        <w:t>but</w:t>
      </w:r>
      <w:r>
        <w:rPr>
          <w:rFonts w:ascii="Segoe UI"/>
          <w:color w:val="67973F"/>
          <w:w w:val="99"/>
          <w:sz w:val="19"/>
        </w:rPr>
        <w:t> </w:t>
      </w:r>
      <w:r>
        <w:rPr>
          <w:rFonts w:ascii="Segoe UI"/>
          <w:color w:val="67973F"/>
          <w:sz w:val="19"/>
        </w:rPr>
        <w:t>also</w:t>
      </w:r>
      <w:r>
        <w:rPr>
          <w:rFonts w:ascii="Segoe UI"/>
          <w:color w:val="67973F"/>
          <w:spacing w:val="-4"/>
          <w:sz w:val="19"/>
        </w:rPr>
        <w:t> </w:t>
      </w:r>
      <w:r>
        <w:rPr>
          <w:rFonts w:ascii="Segoe UI"/>
          <w:color w:val="67973F"/>
          <w:spacing w:val="-1"/>
          <w:sz w:val="19"/>
        </w:rPr>
        <w:t>its</w:t>
      </w:r>
      <w:r>
        <w:rPr>
          <w:rFonts w:ascii="Segoe UI"/>
          <w:color w:val="67973F"/>
          <w:spacing w:val="-3"/>
          <w:sz w:val="19"/>
        </w:rPr>
        <w:t> </w:t>
      </w:r>
      <w:r>
        <w:rPr>
          <w:rFonts w:ascii="Segoe UI"/>
          <w:color w:val="67973F"/>
          <w:spacing w:val="-1"/>
          <w:sz w:val="19"/>
        </w:rPr>
        <w:t>intensive</w:t>
      </w:r>
      <w:r>
        <w:rPr>
          <w:rFonts w:ascii="Segoe UI"/>
          <w:color w:val="67973F"/>
          <w:spacing w:val="-3"/>
          <w:sz w:val="19"/>
        </w:rPr>
        <w:t> </w:t>
      </w:r>
      <w:r>
        <w:rPr>
          <w:rFonts w:ascii="Segoe UI"/>
          <w:color w:val="67973F"/>
          <w:spacing w:val="-1"/>
          <w:sz w:val="19"/>
        </w:rPr>
        <w:t>support</w:t>
      </w:r>
      <w:r>
        <w:rPr>
          <w:rFonts w:ascii="Segoe UI"/>
          <w:color w:val="67973F"/>
          <w:spacing w:val="-3"/>
          <w:sz w:val="19"/>
        </w:rPr>
        <w:t> </w:t>
      </w:r>
      <w:r>
        <w:rPr>
          <w:rFonts w:ascii="Segoe UI"/>
          <w:color w:val="67973F"/>
          <w:spacing w:val="-1"/>
          <w:sz w:val="19"/>
        </w:rPr>
        <w:t>services</w:t>
      </w:r>
      <w:r>
        <w:rPr>
          <w:rFonts w:ascii="Segoe UI"/>
          <w:color w:val="67973F"/>
          <w:spacing w:val="-2"/>
          <w:sz w:val="19"/>
        </w:rPr>
        <w:t> </w:t>
      </w:r>
      <w:r>
        <w:rPr>
          <w:rFonts w:ascii="Segoe UI"/>
          <w:color w:val="67973F"/>
          <w:sz w:val="19"/>
        </w:rPr>
        <w:t>for</w:t>
      </w:r>
      <w:r>
        <w:rPr>
          <w:rFonts w:ascii="Segoe UI"/>
          <w:color w:val="67973F"/>
          <w:spacing w:val="-3"/>
          <w:sz w:val="19"/>
        </w:rPr>
        <w:t> </w:t>
      </w:r>
      <w:r>
        <w:rPr>
          <w:rFonts w:ascii="Segoe UI"/>
          <w:color w:val="67973F"/>
          <w:sz w:val="19"/>
        </w:rPr>
        <w:t>boarders,</w:t>
      </w:r>
      <w:r>
        <w:rPr>
          <w:rFonts w:ascii="Segoe UI"/>
          <w:color w:val="67973F"/>
          <w:spacing w:val="25"/>
          <w:w w:val="99"/>
          <w:sz w:val="19"/>
        </w:rPr>
        <w:t> </w:t>
      </w:r>
      <w:r>
        <w:rPr>
          <w:rFonts w:ascii="Segoe UI"/>
          <w:color w:val="67973F"/>
          <w:spacing w:val="-1"/>
          <w:sz w:val="19"/>
        </w:rPr>
        <w:t>including</w:t>
      </w:r>
      <w:r>
        <w:rPr>
          <w:rFonts w:ascii="Segoe UI"/>
          <w:color w:val="67973F"/>
          <w:spacing w:val="-8"/>
          <w:sz w:val="19"/>
        </w:rPr>
        <w:t> </w:t>
      </w:r>
      <w:r>
        <w:rPr>
          <w:rFonts w:ascii="Segoe UI"/>
          <w:color w:val="67973F"/>
          <w:spacing w:val="-1"/>
          <w:sz w:val="19"/>
        </w:rPr>
        <w:t>its</w:t>
      </w:r>
      <w:r>
        <w:rPr>
          <w:rFonts w:ascii="Segoe UI"/>
          <w:color w:val="67973F"/>
          <w:spacing w:val="-7"/>
          <w:sz w:val="19"/>
        </w:rPr>
        <w:t> </w:t>
      </w:r>
      <w:r>
        <w:rPr>
          <w:rFonts w:ascii="Segoe UI"/>
          <w:color w:val="67973F"/>
          <w:spacing w:val="-1"/>
          <w:sz w:val="19"/>
        </w:rPr>
        <w:t>Restorative</w:t>
      </w:r>
      <w:r>
        <w:rPr>
          <w:rFonts w:ascii="Segoe UI"/>
          <w:color w:val="67973F"/>
          <w:spacing w:val="-8"/>
          <w:sz w:val="19"/>
        </w:rPr>
        <w:t> </w:t>
      </w:r>
      <w:r>
        <w:rPr>
          <w:rFonts w:ascii="Segoe UI"/>
          <w:color w:val="67973F"/>
          <w:spacing w:val="-1"/>
          <w:sz w:val="19"/>
        </w:rPr>
        <w:t>Practices</w:t>
      </w:r>
      <w:r>
        <w:rPr>
          <w:rFonts w:ascii="Segoe UI"/>
          <w:color w:val="67973F"/>
          <w:spacing w:val="-7"/>
          <w:sz w:val="19"/>
        </w:rPr>
        <w:t> </w:t>
      </w:r>
      <w:r>
        <w:rPr>
          <w:rFonts w:ascii="Segoe UI"/>
          <w:color w:val="67973F"/>
          <w:sz w:val="19"/>
        </w:rPr>
        <w:t>framework.</w:t>
      </w:r>
      <w:r>
        <w:rPr>
          <w:rFonts w:ascii="Segoe UI"/>
          <w:color w:val="67973F"/>
          <w:spacing w:val="-7"/>
          <w:sz w:val="19"/>
        </w:rPr>
        <w:t> </w:t>
      </w:r>
      <w:r>
        <w:rPr>
          <w:rFonts w:ascii="Segoe UI"/>
          <w:color w:val="67973F"/>
          <w:sz w:val="19"/>
        </w:rPr>
        <w:t>The</w:t>
      </w:r>
      <w:r>
        <w:rPr>
          <w:rFonts w:ascii="Segoe UI"/>
          <w:sz w:val="19"/>
        </w:rPr>
      </w:r>
    </w:p>
    <w:p>
      <w:pPr>
        <w:spacing w:line="265" w:lineRule="auto" w:before="0"/>
        <w:ind w:left="117" w:right="0" w:firstLine="0"/>
        <w:jc w:val="left"/>
        <w:rPr>
          <w:rFonts w:ascii="Segoe UI" w:hAnsi="Segoe UI" w:cs="Segoe UI" w:eastAsia="Segoe UI"/>
          <w:sz w:val="19"/>
          <w:szCs w:val="19"/>
        </w:rPr>
      </w:pPr>
      <w:r>
        <w:rPr>
          <w:rFonts w:ascii="Segoe UI" w:hAnsi="Segoe UI" w:cs="Segoe UI" w:eastAsia="Segoe UI"/>
          <w:color w:val="67973F"/>
          <w:sz w:val="19"/>
          <w:szCs w:val="19"/>
        </w:rPr>
        <w:t>college’s</w:t>
      </w:r>
      <w:r>
        <w:rPr>
          <w:rFonts w:ascii="Segoe UI" w:hAnsi="Segoe UI" w:cs="Segoe UI" w:eastAsia="Segoe UI"/>
          <w:color w:val="67973F"/>
          <w:spacing w:val="-7"/>
          <w:sz w:val="19"/>
          <w:szCs w:val="19"/>
        </w:rPr>
        <w:t> </w:t>
      </w:r>
      <w:r>
        <w:rPr>
          <w:rFonts w:ascii="Segoe UI" w:hAnsi="Segoe UI" w:cs="Segoe UI" w:eastAsia="Segoe UI"/>
          <w:color w:val="67973F"/>
          <w:spacing w:val="-1"/>
          <w:sz w:val="19"/>
          <w:szCs w:val="19"/>
        </w:rPr>
        <w:t>success</w:t>
      </w:r>
      <w:r>
        <w:rPr>
          <w:rFonts w:ascii="Segoe UI" w:hAnsi="Segoe UI" w:cs="Segoe UI" w:eastAsia="Segoe UI"/>
          <w:color w:val="67973F"/>
          <w:spacing w:val="-5"/>
          <w:sz w:val="19"/>
          <w:szCs w:val="19"/>
        </w:rPr>
        <w:t> </w:t>
      </w:r>
      <w:r>
        <w:rPr>
          <w:rFonts w:ascii="Segoe UI" w:hAnsi="Segoe UI" w:cs="Segoe UI" w:eastAsia="Segoe UI"/>
          <w:color w:val="67973F"/>
          <w:sz w:val="19"/>
          <w:szCs w:val="19"/>
        </w:rPr>
        <w:t>attracts</w:t>
      </w:r>
      <w:r>
        <w:rPr>
          <w:rFonts w:ascii="Segoe UI" w:hAnsi="Segoe UI" w:cs="Segoe UI" w:eastAsia="Segoe UI"/>
          <w:color w:val="67973F"/>
          <w:spacing w:val="-6"/>
          <w:sz w:val="19"/>
          <w:szCs w:val="19"/>
        </w:rPr>
        <w:t> </w:t>
      </w:r>
      <w:r>
        <w:rPr>
          <w:rFonts w:ascii="Segoe UI" w:hAnsi="Segoe UI" w:cs="Segoe UI" w:eastAsia="Segoe UI"/>
          <w:color w:val="67973F"/>
          <w:sz w:val="19"/>
          <w:szCs w:val="19"/>
        </w:rPr>
        <w:t>generous</w:t>
      </w:r>
      <w:r>
        <w:rPr>
          <w:rFonts w:ascii="Segoe UI" w:hAnsi="Segoe UI" w:cs="Segoe UI" w:eastAsia="Segoe UI"/>
          <w:color w:val="67973F"/>
          <w:spacing w:val="-6"/>
          <w:sz w:val="19"/>
          <w:szCs w:val="19"/>
        </w:rPr>
        <w:t> </w:t>
      </w:r>
      <w:r>
        <w:rPr>
          <w:rFonts w:ascii="Segoe UI" w:hAnsi="Segoe UI" w:cs="Segoe UI" w:eastAsia="Segoe UI"/>
          <w:color w:val="67973F"/>
          <w:sz w:val="19"/>
          <w:szCs w:val="19"/>
        </w:rPr>
        <w:t>donations</w:t>
      </w:r>
      <w:r>
        <w:rPr>
          <w:rFonts w:ascii="Segoe UI" w:hAnsi="Segoe UI" w:cs="Segoe UI" w:eastAsia="Segoe UI"/>
          <w:color w:val="67973F"/>
          <w:spacing w:val="-6"/>
          <w:sz w:val="19"/>
          <w:szCs w:val="19"/>
        </w:rPr>
        <w:t> </w:t>
      </w:r>
      <w:r>
        <w:rPr>
          <w:rFonts w:ascii="Segoe UI" w:hAnsi="Segoe UI" w:cs="Segoe UI" w:eastAsia="Segoe UI"/>
          <w:color w:val="67973F"/>
          <w:sz w:val="19"/>
          <w:szCs w:val="19"/>
        </w:rPr>
        <w:t>and</w:t>
      </w:r>
      <w:r>
        <w:rPr>
          <w:rFonts w:ascii="Segoe UI" w:hAnsi="Segoe UI" w:cs="Segoe UI" w:eastAsia="Segoe UI"/>
          <w:color w:val="67973F"/>
          <w:spacing w:val="22"/>
          <w:w w:val="99"/>
          <w:sz w:val="19"/>
          <w:szCs w:val="19"/>
        </w:rPr>
        <w:t> </w:t>
      </w:r>
      <w:r>
        <w:rPr>
          <w:rFonts w:ascii="Segoe UI" w:hAnsi="Segoe UI" w:cs="Segoe UI" w:eastAsia="Segoe UI"/>
          <w:color w:val="67973F"/>
          <w:sz w:val="19"/>
          <w:szCs w:val="19"/>
        </w:rPr>
        <w:t>philanthropic</w:t>
      </w:r>
      <w:r>
        <w:rPr>
          <w:rFonts w:ascii="Segoe UI" w:hAnsi="Segoe UI" w:cs="Segoe UI" w:eastAsia="Segoe UI"/>
          <w:color w:val="67973F"/>
          <w:spacing w:val="-20"/>
          <w:sz w:val="19"/>
          <w:szCs w:val="19"/>
        </w:rPr>
        <w:t> </w:t>
      </w:r>
      <w:r>
        <w:rPr>
          <w:rFonts w:ascii="Segoe UI" w:hAnsi="Segoe UI" w:cs="Segoe UI" w:eastAsia="Segoe UI"/>
          <w:color w:val="67973F"/>
          <w:spacing w:val="-1"/>
          <w:sz w:val="19"/>
          <w:szCs w:val="19"/>
        </w:rPr>
        <w:t>support.</w:t>
      </w:r>
      <w:r>
        <w:rPr>
          <w:rFonts w:ascii="Segoe UI" w:hAnsi="Segoe UI" w:cs="Segoe UI" w:eastAsia="Segoe UI"/>
          <w:sz w:val="19"/>
          <w:szCs w:val="19"/>
        </w:rPr>
      </w:r>
    </w:p>
    <w:p>
      <w:pPr>
        <w:pStyle w:val="BodyText"/>
        <w:spacing w:line="250" w:lineRule="exact" w:before="46"/>
        <w:ind w:right="124"/>
        <w:jc w:val="left"/>
        <w:rPr>
          <w:rFonts w:ascii="Segoe UI Semibold" w:hAnsi="Segoe UI Semibold" w:cs="Segoe UI Semibold" w:eastAsia="Segoe UI Semibold"/>
        </w:rPr>
      </w:pPr>
      <w:r>
        <w:rPr/>
        <w:br w:type="column"/>
      </w:r>
      <w:r>
        <w:rPr>
          <w:rFonts w:ascii="Segoe UI Semibold"/>
          <w:b/>
          <w:color w:val="00779B"/>
        </w:rPr>
        <w:t>made</w:t>
      </w:r>
      <w:r>
        <w:rPr>
          <w:rFonts w:ascii="Segoe UI Semibold"/>
          <w:b/>
          <w:color w:val="00779B"/>
          <w:spacing w:val="-2"/>
        </w:rPr>
        <w:t> </w:t>
      </w:r>
      <w:r>
        <w:rPr>
          <w:rFonts w:ascii="Segoe UI Semibold"/>
          <w:b/>
          <w:color w:val="00779B"/>
          <w:spacing w:val="-1"/>
        </w:rPr>
        <w:t>to</w:t>
      </w:r>
      <w:r>
        <w:rPr>
          <w:rFonts w:ascii="Segoe UI Semibold"/>
          <w:b/>
          <w:color w:val="00779B"/>
          <w:spacing w:val="-2"/>
        </w:rPr>
        <w:t> </w:t>
      </w:r>
      <w:r>
        <w:rPr>
          <w:rFonts w:ascii="Segoe UI Semibold"/>
          <w:b/>
          <w:color w:val="00779B"/>
          <w:spacing w:val="-1"/>
        </w:rPr>
        <w:t>the structure</w:t>
      </w:r>
      <w:r>
        <w:rPr>
          <w:rFonts w:ascii="Segoe UI Semibold"/>
          <w:b/>
          <w:color w:val="00779B"/>
          <w:spacing w:val="-2"/>
        </w:rPr>
        <w:t> </w:t>
      </w:r>
      <w:r>
        <w:rPr>
          <w:rFonts w:ascii="Segoe UI Semibold"/>
          <w:b/>
          <w:color w:val="00779B"/>
        </w:rPr>
        <w:t>and</w:t>
      </w:r>
      <w:r>
        <w:rPr>
          <w:rFonts w:ascii="Segoe UI Semibold"/>
          <w:b/>
          <w:color w:val="00779B"/>
          <w:spacing w:val="-2"/>
        </w:rPr>
        <w:t> </w:t>
      </w:r>
      <w:r>
        <w:rPr>
          <w:rFonts w:ascii="Segoe UI Semibold"/>
          <w:b/>
          <w:color w:val="00779B"/>
          <w:spacing w:val="-1"/>
        </w:rPr>
        <w:t>level </w:t>
      </w:r>
      <w:r>
        <w:rPr>
          <w:rFonts w:ascii="Segoe UI Semibold"/>
          <w:b/>
          <w:color w:val="00779B"/>
          <w:spacing w:val="-2"/>
        </w:rPr>
        <w:t>of</w:t>
      </w:r>
      <w:r>
        <w:rPr>
          <w:rFonts w:ascii="Segoe UI Semibold"/>
          <w:b/>
          <w:color w:val="00779B"/>
          <w:spacing w:val="22"/>
          <w:w w:val="99"/>
        </w:rPr>
        <w:t> </w:t>
      </w:r>
      <w:r>
        <w:rPr>
          <w:rFonts w:ascii="Segoe UI Semibold"/>
          <w:b/>
          <w:color w:val="00779B"/>
          <w:spacing w:val="-1"/>
        </w:rPr>
        <w:t>ABSTUDY</w:t>
      </w:r>
      <w:r>
        <w:rPr>
          <w:rFonts w:ascii="Segoe UI Semibold"/>
          <w:b/>
          <w:color w:val="00779B"/>
        </w:rPr>
        <w:t> funding.</w:t>
      </w:r>
      <w:r>
        <w:rPr>
          <w:rFonts w:ascii="Segoe UI Semibold"/>
        </w:rPr>
      </w:r>
    </w:p>
    <w:p>
      <w:pPr>
        <w:pStyle w:val="BodyText"/>
        <w:spacing w:line="250" w:lineRule="exact" w:before="113"/>
        <w:ind w:right="464"/>
        <w:jc w:val="left"/>
        <w:rPr>
          <w:rFonts w:ascii="Segoe UI Semibold" w:hAnsi="Segoe UI Semibold" w:cs="Segoe UI Semibold" w:eastAsia="Segoe UI Semibold"/>
        </w:rPr>
      </w:pPr>
      <w:r>
        <w:rPr>
          <w:rFonts w:ascii="Segoe UI Semibold" w:hAnsi="Segoe UI Semibold" w:cs="Segoe UI Semibold" w:eastAsia="Segoe UI Semibold"/>
          <w:b/>
          <w:bCs/>
          <w:color w:val="00779B"/>
        </w:rPr>
        <w:t>ISCA</w:t>
      </w:r>
      <w:r>
        <w:rPr>
          <w:rFonts w:ascii="Segoe UI Semibold" w:hAnsi="Segoe UI Semibold" w:cs="Segoe UI Semibold" w:eastAsia="Segoe UI Semibold"/>
          <w:b/>
          <w:bCs/>
          <w:color w:val="00779B"/>
          <w:spacing w:val="-4"/>
        </w:rPr>
        <w:t> </w:t>
      </w:r>
      <w:r>
        <w:rPr>
          <w:rFonts w:ascii="Segoe UI Semibold" w:hAnsi="Segoe UI Semibold" w:cs="Segoe UI Semibold" w:eastAsia="Segoe UI Semibold"/>
          <w:b/>
          <w:bCs/>
          <w:color w:val="00779B"/>
          <w:spacing w:val="-1"/>
        </w:rPr>
        <w:t>commissioned</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a</w:t>
      </w:r>
      <w:r>
        <w:rPr>
          <w:rFonts w:ascii="Segoe UI Semibold" w:hAnsi="Segoe UI Semibold" w:cs="Segoe UI Semibold" w:eastAsia="Segoe UI Semibold"/>
          <w:b/>
          <w:bCs/>
          <w:color w:val="00779B"/>
          <w:spacing w:val="-2"/>
        </w:rPr>
        <w:t> comprehensive</w:t>
      </w:r>
      <w:r>
        <w:rPr>
          <w:rFonts w:ascii="Segoe UI Semibold" w:hAnsi="Segoe UI Semibold" w:cs="Segoe UI Semibold" w:eastAsia="Segoe UI Semibold"/>
          <w:b/>
          <w:bCs/>
          <w:color w:val="00779B"/>
          <w:spacing w:val="27"/>
        </w:rPr>
        <w:t> </w:t>
      </w:r>
      <w:r>
        <w:rPr>
          <w:rFonts w:ascii="Segoe UI Semibold" w:hAnsi="Segoe UI Semibold" w:cs="Segoe UI Semibold" w:eastAsia="Segoe UI Semibold"/>
          <w:b/>
          <w:bCs/>
          <w:color w:val="00779B"/>
          <w:spacing w:val="-1"/>
        </w:rPr>
        <w:t>ABSTUDY review</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last year</w:t>
      </w:r>
      <w:r>
        <w:rPr>
          <w:rFonts w:ascii="Segoe UI Semibold" w:hAnsi="Segoe UI Semibold" w:cs="Segoe UI Semibold" w:eastAsia="Segoe UI Semibold"/>
          <w:b/>
          <w:bCs/>
          <w:color w:val="00779B"/>
        </w:rPr>
        <w:t> by</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the</w:t>
      </w:r>
      <w:r>
        <w:rPr>
          <w:rFonts w:ascii="Segoe UI Semibold" w:hAnsi="Segoe UI Semibold" w:cs="Segoe UI Semibold" w:eastAsia="Segoe UI Semibold"/>
          <w:b/>
          <w:bCs/>
          <w:color w:val="00779B"/>
          <w:spacing w:val="22"/>
        </w:rPr>
        <w:t> </w:t>
      </w:r>
      <w:r>
        <w:rPr>
          <w:rFonts w:ascii="Segoe UI Semibold" w:hAnsi="Segoe UI Semibold" w:cs="Segoe UI Semibold" w:eastAsia="Segoe UI Semibold"/>
          <w:b/>
          <w:bCs/>
          <w:color w:val="00779B"/>
          <w:spacing w:val="-1"/>
        </w:rPr>
        <w:t>Centre </w:t>
      </w:r>
      <w:r>
        <w:rPr>
          <w:rFonts w:ascii="Segoe UI Semibold" w:hAnsi="Segoe UI Semibold" w:cs="Segoe UI Semibold" w:eastAsia="Segoe UI Semibold"/>
          <w:b/>
          <w:bCs/>
          <w:color w:val="00779B"/>
        </w:rPr>
        <w:t>for</w:t>
      </w:r>
      <w:r>
        <w:rPr>
          <w:rFonts w:ascii="Segoe UI Semibold" w:hAnsi="Segoe UI Semibold" w:cs="Segoe UI Semibold" w:eastAsia="Segoe UI Semibold"/>
          <w:b/>
          <w:bCs/>
          <w:color w:val="00779B"/>
          <w:spacing w:val="-1"/>
        </w:rPr>
        <w:t> Aboriginal</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Economic</w:t>
      </w:r>
      <w:r>
        <w:rPr>
          <w:rFonts w:ascii="Segoe UI Semibold" w:hAnsi="Segoe UI Semibold" w:cs="Segoe UI Semibold" w:eastAsia="Segoe UI Semibold"/>
          <w:b/>
          <w:bCs/>
          <w:color w:val="00779B"/>
          <w:spacing w:val="26"/>
        </w:rPr>
        <w:t> </w:t>
      </w:r>
      <w:r>
        <w:rPr>
          <w:rFonts w:ascii="Segoe UI Semibold" w:hAnsi="Segoe UI Semibold" w:cs="Segoe UI Semibold" w:eastAsia="Segoe UI Semibold"/>
          <w:b/>
          <w:bCs/>
          <w:color w:val="00779B"/>
          <w:spacing w:val="-2"/>
        </w:rPr>
        <w:t>Policy</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spacing w:val="-2"/>
        </w:rPr>
        <w:t>Research</w:t>
      </w:r>
      <w:r>
        <w:rPr>
          <w:rFonts w:ascii="Segoe UI Semibold" w:hAnsi="Segoe UI Semibold" w:cs="Segoe UI Semibold" w:eastAsia="Segoe UI Semibold"/>
          <w:b/>
          <w:bCs/>
          <w:color w:val="00779B"/>
        </w:rPr>
        <w:t> at</w:t>
      </w:r>
      <w:r>
        <w:rPr>
          <w:rFonts w:ascii="Segoe UI Semibold" w:hAnsi="Segoe UI Semibold" w:cs="Segoe UI Semibold" w:eastAsia="Segoe UI Semibold"/>
          <w:b/>
          <w:bCs/>
          <w:color w:val="00779B"/>
          <w:spacing w:val="-1"/>
        </w:rPr>
        <w:t> the Australian</w:t>
      </w:r>
      <w:r>
        <w:rPr>
          <w:rFonts w:ascii="Segoe UI Semibold" w:hAnsi="Segoe UI Semibold" w:cs="Segoe UI Semibold" w:eastAsia="Segoe UI Semibold"/>
          <w:b/>
          <w:bCs/>
          <w:color w:val="00779B"/>
          <w:spacing w:val="25"/>
        </w:rPr>
        <w:t> </w:t>
      </w:r>
      <w:r>
        <w:rPr>
          <w:rFonts w:ascii="Segoe UI Semibold" w:hAnsi="Segoe UI Semibold" w:cs="Segoe UI Semibold" w:eastAsia="Segoe UI Semibold"/>
          <w:b/>
          <w:bCs/>
          <w:color w:val="00779B"/>
          <w:spacing w:val="-1"/>
        </w:rPr>
        <w:t>National University</w:t>
      </w:r>
      <w:r>
        <w:rPr>
          <w:rFonts w:ascii="Segoe UI Semibold" w:hAnsi="Segoe UI Semibold" w:cs="Segoe UI Semibold" w:eastAsia="Segoe UI Semibold"/>
          <w:b/>
          <w:bCs/>
          <w:color w:val="00779B"/>
        </w:rPr>
        <w:t> (ANU).</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The</w:t>
      </w:r>
      <w:r>
        <w:rPr>
          <w:rFonts w:ascii="Segoe UI Semibold" w:hAnsi="Segoe UI Semibold" w:cs="Segoe UI Semibold" w:eastAsia="Segoe UI Semibold"/>
          <w:b/>
          <w:bCs/>
          <w:color w:val="00779B"/>
          <w:spacing w:val="24"/>
        </w:rPr>
        <w:t> </w:t>
      </w:r>
      <w:r>
        <w:rPr>
          <w:rFonts w:ascii="Segoe UI Semibold" w:hAnsi="Segoe UI Semibold" w:cs="Segoe UI Semibold" w:eastAsia="Segoe UI Semibold"/>
          <w:b/>
          <w:bCs/>
          <w:color w:val="00779B"/>
          <w:spacing w:val="-1"/>
        </w:rPr>
        <w:t>report,</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“Barriers </w:t>
      </w:r>
      <w:r>
        <w:rPr>
          <w:rFonts w:ascii="Segoe UI Semibold" w:hAnsi="Segoe UI Semibold" w:cs="Segoe UI Semibold" w:eastAsia="Segoe UI Semibold"/>
          <w:b/>
          <w:bCs/>
          <w:color w:val="00779B"/>
        </w:rPr>
        <w:t>and</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spacing w:val="-2"/>
        </w:rPr>
        <w:t>Bureaucracy,</w:t>
      </w:r>
      <w:r>
        <w:rPr>
          <w:rFonts w:ascii="Segoe UI Semibold" w:hAnsi="Segoe UI Semibold" w:cs="Segoe UI Semibold" w:eastAsia="Segoe UI Semibold"/>
        </w:rPr>
      </w:r>
    </w:p>
    <w:p>
      <w:pPr>
        <w:pStyle w:val="BodyText"/>
        <w:spacing w:line="250" w:lineRule="exact"/>
        <w:ind w:right="124"/>
        <w:jc w:val="left"/>
        <w:rPr>
          <w:rFonts w:ascii="Segoe UI Semibold" w:hAnsi="Segoe UI Semibold" w:cs="Segoe UI Semibold" w:eastAsia="Segoe UI Semibold"/>
        </w:rPr>
      </w:pPr>
      <w:r>
        <w:rPr>
          <w:rFonts w:ascii="Segoe UI Semibold" w:hAnsi="Segoe UI Semibold" w:cs="Segoe UI Semibold" w:eastAsia="Segoe UI Semibold"/>
          <w:b/>
          <w:bCs/>
          <w:color w:val="00779B"/>
        </w:rPr>
        <w:t>Bridges</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rPr>
        <w:t>and</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2"/>
        </w:rPr>
        <w:t>Brokers”,</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highlighted</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that</w:t>
      </w:r>
      <w:r>
        <w:rPr>
          <w:rFonts w:ascii="Segoe UI Semibold" w:hAnsi="Segoe UI Semibold" w:cs="Segoe UI Semibold" w:eastAsia="Segoe UI Semibold"/>
          <w:b/>
          <w:bCs/>
          <w:color w:val="00779B"/>
          <w:spacing w:val="28"/>
        </w:rPr>
        <w:t> </w:t>
      </w:r>
      <w:r>
        <w:rPr>
          <w:rFonts w:ascii="Segoe UI Semibold" w:hAnsi="Segoe UI Semibold" w:cs="Segoe UI Semibold" w:eastAsia="Segoe UI Semibold"/>
          <w:b/>
          <w:bCs/>
          <w:color w:val="00779B"/>
        </w:rPr>
        <w:t>Independent</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schools</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were struggling</w:t>
      </w:r>
      <w:r>
        <w:rPr>
          <w:rFonts w:ascii="Segoe UI Semibold" w:hAnsi="Segoe UI Semibold" w:cs="Segoe UI Semibold" w:eastAsia="Segoe UI Semibold"/>
          <w:b/>
          <w:bCs/>
          <w:color w:val="00779B"/>
          <w:spacing w:val="21"/>
        </w:rPr>
        <w:t> </w:t>
      </w:r>
      <w:r>
        <w:rPr>
          <w:rFonts w:ascii="Segoe UI Semibold" w:hAnsi="Segoe UI Semibold" w:cs="Segoe UI Semibold" w:eastAsia="Segoe UI Semibold"/>
          <w:b/>
          <w:bCs/>
          <w:color w:val="00779B"/>
        </w:rPr>
        <w:t>with</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rPr>
        <w:t>significant</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issues</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associated</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rPr>
        <w:t>with</w:t>
      </w:r>
      <w:r>
        <w:rPr>
          <w:rFonts w:ascii="Segoe UI Semibold" w:hAnsi="Segoe UI Semibold" w:cs="Segoe UI Semibold" w:eastAsia="Segoe UI Semibold"/>
          <w:b/>
          <w:bCs/>
          <w:color w:val="00779B"/>
          <w:spacing w:val="29"/>
        </w:rPr>
        <w:t> </w:t>
      </w:r>
      <w:r>
        <w:rPr>
          <w:rFonts w:ascii="Segoe UI Semibold" w:hAnsi="Segoe UI Semibold" w:cs="Segoe UI Semibold" w:eastAsia="Segoe UI Semibold"/>
          <w:b/>
          <w:bCs/>
          <w:color w:val="00779B"/>
        </w:rPr>
        <w:t>managing</w:t>
      </w:r>
      <w:r>
        <w:rPr>
          <w:rFonts w:ascii="Segoe UI Semibold" w:hAnsi="Segoe UI Semibold" w:cs="Segoe UI Semibold" w:eastAsia="Segoe UI Semibold"/>
          <w:b/>
          <w:bCs/>
          <w:color w:val="00779B"/>
          <w:spacing w:val="-11"/>
        </w:rPr>
        <w:t> </w:t>
      </w:r>
      <w:r>
        <w:rPr>
          <w:rFonts w:ascii="Segoe UI Semibold" w:hAnsi="Segoe UI Semibold" w:cs="Segoe UI Semibold" w:eastAsia="Segoe UI Semibold"/>
          <w:b/>
          <w:bCs/>
          <w:color w:val="00779B"/>
          <w:spacing w:val="-4"/>
        </w:rPr>
        <w:t>ABSTUDY.</w:t>
      </w:r>
      <w:r>
        <w:rPr>
          <w:rFonts w:ascii="Segoe UI Semibold" w:hAnsi="Segoe UI Semibold" w:cs="Segoe UI Semibold" w:eastAsia="Segoe UI Semibold"/>
        </w:rPr>
      </w:r>
    </w:p>
    <w:p>
      <w:pPr>
        <w:pStyle w:val="BodyText"/>
        <w:spacing w:line="240" w:lineRule="auto" w:before="135"/>
        <w:ind w:right="0"/>
        <w:jc w:val="left"/>
        <w:rPr>
          <w:rFonts w:ascii="Segoe UI Semibold" w:hAnsi="Segoe UI Semibold" w:cs="Segoe UI Semibold" w:eastAsia="Segoe UI Semibold"/>
        </w:rPr>
      </w:pPr>
      <w:r>
        <w:rPr>
          <w:rFonts w:ascii="Segoe UI Semibold" w:hAnsi="Segoe UI Semibold" w:cs="Segoe UI Semibold" w:eastAsia="Segoe UI Semibold"/>
          <w:b/>
          <w:bCs/>
          <w:color w:val="00779B"/>
          <w:spacing w:val="-1"/>
        </w:rPr>
        <w:t>……</w:t>
      </w:r>
      <w:r>
        <w:rPr>
          <w:rFonts w:ascii="Segoe UI Semibold" w:hAnsi="Segoe UI Semibold" w:cs="Segoe UI Semibold" w:eastAsia="Segoe UI Semibold"/>
        </w:rPr>
      </w:r>
    </w:p>
    <w:p>
      <w:pPr>
        <w:spacing w:after="0" w:line="240" w:lineRule="auto"/>
        <w:jc w:val="left"/>
        <w:rPr>
          <w:rFonts w:ascii="Segoe UI Semibold" w:hAnsi="Segoe UI Semibold" w:cs="Segoe UI Semibold" w:eastAsia="Segoe UI Semibold"/>
        </w:rPr>
        <w:sectPr>
          <w:type w:val="continuous"/>
          <w:pgSz w:w="11910" w:h="16840"/>
          <w:pgMar w:top="1580" w:bottom="280" w:left="1300" w:right="1600"/>
          <w:cols w:num="2" w:equalWidth="0">
            <w:col w:w="4287" w:space="759"/>
            <w:col w:w="3964"/>
          </w:cols>
        </w:sectPr>
      </w:pPr>
    </w:p>
    <w:p>
      <w:pPr>
        <w:spacing w:line="240" w:lineRule="auto" w:before="10"/>
        <w:rPr>
          <w:rFonts w:ascii="Segoe UI Semibold" w:hAnsi="Segoe UI Semibold" w:cs="Segoe UI Semibold" w:eastAsia="Segoe UI Semibold"/>
          <w:b/>
          <w:bCs/>
          <w:sz w:val="18"/>
          <w:szCs w:val="18"/>
        </w:rPr>
      </w:pPr>
    </w:p>
    <w:p>
      <w:pPr>
        <w:spacing w:line="40" w:lineRule="atLeast"/>
        <w:ind w:left="117" w:right="0" w:firstLine="0"/>
        <w:rPr>
          <w:rFonts w:ascii="Segoe UI Semibold" w:hAnsi="Segoe UI Semibold" w:cs="Segoe UI Semibold" w:eastAsia="Segoe UI Semibold"/>
          <w:sz w:val="4"/>
          <w:szCs w:val="4"/>
        </w:rPr>
      </w:pPr>
      <w:r>
        <w:rPr>
          <w:rFonts w:ascii="Segoe UI Semibold" w:hAnsi="Segoe UI Semibold" w:cs="Segoe UI Semibold" w:eastAsia="Segoe UI Semibold"/>
          <w:sz w:val="4"/>
          <w:szCs w:val="4"/>
        </w:rPr>
        <w:pict>
          <v:group style="width:209.8pt;height:2pt;mso-position-horizontal-relative:char;mso-position-vertical-relative:line" coordorigin="0,0" coordsize="4196,40">
            <v:group style="position:absolute;left:100;top:20;width:4036;height:2" coordorigin="100,20" coordsize="4036,2">
              <v:shape style="position:absolute;left:100;top:20;width:4036;height:2" coordorigin="100,20" coordsize="4036,0" path="m100,20l4135,20e" filled="false" stroked="true" strokeweight="2pt" strokecolor="#67973f">
                <v:path arrowok="t"/>
                <v:stroke dashstyle="dash"/>
              </v:shape>
            </v:group>
            <v:group style="position:absolute;left:20;top:20;width:2;height:2" coordorigin="20,20" coordsize="2,2">
              <v:shape style="position:absolute;left:20;top:20;width:2;height:2" coordorigin="20,20" coordsize="0,0" path="m20,20l20,20e" filled="false" stroked="true" strokeweight="2pt" strokecolor="#67973f">
                <v:path arrowok="t"/>
              </v:shape>
            </v:group>
            <v:group style="position:absolute;left:4175;top:20;width:2;height:2" coordorigin="4175,20" coordsize="2,2">
              <v:shape style="position:absolute;left:4175;top:20;width:2;height:2" coordorigin="4175,20" coordsize="0,0" path="m4175,20l4175,20e" filled="false" stroked="true" strokeweight="2pt" strokecolor="#67973f">
                <v:path arrowok="t"/>
              </v:shape>
            </v:group>
          </v:group>
        </w:pict>
      </w:r>
      <w:r>
        <w:rPr>
          <w:rFonts w:ascii="Segoe UI Semibold" w:hAnsi="Segoe UI Semibold" w:cs="Segoe UI Semibold" w:eastAsia="Segoe UI Semibold"/>
          <w:sz w:val="4"/>
          <w:szCs w:val="4"/>
        </w:rPr>
      </w:r>
    </w:p>
    <w:p>
      <w:pPr>
        <w:spacing w:after="0" w:line="40" w:lineRule="atLeast"/>
        <w:rPr>
          <w:rFonts w:ascii="Segoe UI Semibold" w:hAnsi="Segoe UI Semibold" w:cs="Segoe UI Semibold" w:eastAsia="Segoe UI Semibold"/>
          <w:sz w:val="4"/>
          <w:szCs w:val="4"/>
        </w:rPr>
        <w:sectPr>
          <w:type w:val="continuous"/>
          <w:pgSz w:w="11910" w:h="16840"/>
          <w:pgMar w:top="1580" w:bottom="280" w:left="1300" w:right="1600"/>
        </w:sectPr>
      </w:pPr>
    </w:p>
    <w:p>
      <w:pPr>
        <w:spacing w:line="240" w:lineRule="auto" w:before="0"/>
        <w:rPr>
          <w:rFonts w:ascii="Segoe UI Semibold" w:hAnsi="Segoe UI Semibold" w:cs="Segoe UI Semibold" w:eastAsia="Segoe UI Semibold"/>
          <w:b/>
          <w:bCs/>
          <w:sz w:val="20"/>
          <w:szCs w:val="20"/>
        </w:rPr>
      </w:pPr>
    </w:p>
    <w:p>
      <w:pPr>
        <w:spacing w:line="240" w:lineRule="auto" w:before="8"/>
        <w:rPr>
          <w:rFonts w:ascii="Segoe UI Semibold" w:hAnsi="Segoe UI Semibold" w:cs="Segoe UI Semibold" w:eastAsia="Segoe UI Semibold"/>
          <w:b/>
          <w:bCs/>
          <w:sz w:val="21"/>
          <w:szCs w:val="21"/>
        </w:rPr>
      </w:pPr>
    </w:p>
    <w:p>
      <w:pPr>
        <w:spacing w:after="0" w:line="240" w:lineRule="auto"/>
        <w:rPr>
          <w:rFonts w:ascii="Segoe UI Semibold" w:hAnsi="Segoe UI Semibold" w:cs="Segoe UI Semibold" w:eastAsia="Segoe UI Semibold"/>
          <w:sz w:val="21"/>
          <w:szCs w:val="21"/>
        </w:rPr>
        <w:sectPr>
          <w:pgSz w:w="11910" w:h="16840"/>
          <w:pgMar w:header="0" w:footer="691" w:top="1580" w:bottom="880" w:left="1600" w:right="1300"/>
        </w:sectPr>
      </w:pPr>
    </w:p>
    <w:p>
      <w:pPr>
        <w:pStyle w:val="BodyText"/>
        <w:spacing w:line="250" w:lineRule="exact" w:before="62"/>
        <w:ind w:left="554" w:right="299"/>
        <w:jc w:val="left"/>
        <w:rPr>
          <w:rFonts w:ascii="Segoe UI Semibold" w:hAnsi="Segoe UI Semibold" w:cs="Segoe UI Semibold" w:eastAsia="Segoe UI Semibold"/>
        </w:rPr>
      </w:pPr>
      <w:r>
        <w:rPr>
          <w:rFonts w:ascii="Segoe UI Semibold" w:hAnsi="Segoe UI Semibold" w:cs="Segoe UI Semibold" w:eastAsia="Segoe UI Semibold"/>
          <w:b/>
          <w:bCs/>
          <w:color w:val="00779B"/>
        </w:rPr>
        <w:t>ISCA</w:t>
      </w:r>
      <w:r>
        <w:rPr>
          <w:rFonts w:ascii="Segoe UI Semibold" w:hAnsi="Segoe UI Semibold" w:cs="Segoe UI Semibold" w:eastAsia="Segoe UI Semibold"/>
          <w:b/>
          <w:bCs/>
          <w:color w:val="00779B"/>
          <w:spacing w:val="-2"/>
        </w:rPr>
        <w:t> Executive Director</w:t>
      </w:r>
      <w:r>
        <w:rPr>
          <w:rFonts w:ascii="Segoe UI Semibold" w:hAnsi="Segoe UI Semibold" w:cs="Segoe UI Semibold" w:eastAsia="Segoe UI Semibold"/>
          <w:b/>
          <w:bCs/>
          <w:color w:val="00779B"/>
          <w:spacing w:val="-1"/>
        </w:rPr>
        <w:t> Colette</w:t>
      </w:r>
      <w:r>
        <w:rPr>
          <w:rFonts w:ascii="Segoe UI Semibold" w:hAnsi="Segoe UI Semibold" w:cs="Segoe UI Semibold" w:eastAsia="Segoe UI Semibold"/>
          <w:b/>
          <w:bCs/>
          <w:color w:val="00779B"/>
          <w:spacing w:val="41"/>
        </w:rPr>
        <w:t> </w:t>
      </w:r>
      <w:r>
        <w:rPr>
          <w:rFonts w:ascii="Segoe UI Semibold" w:hAnsi="Segoe UI Semibold" w:cs="Segoe UI Semibold" w:eastAsia="Segoe UI Semibold"/>
          <w:b/>
          <w:bCs/>
          <w:color w:val="00779B"/>
          <w:spacing w:val="-1"/>
        </w:rPr>
        <w:t>Colman</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said,</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2"/>
        </w:rPr>
        <w:t>“The</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Independent</w:t>
      </w:r>
      <w:r>
        <w:rPr>
          <w:rFonts w:ascii="Segoe UI Semibold" w:hAnsi="Segoe UI Semibold" w:cs="Segoe UI Semibold" w:eastAsia="Segoe UI Semibold"/>
          <w:b/>
          <w:bCs/>
          <w:color w:val="00779B"/>
          <w:spacing w:val="23"/>
        </w:rPr>
        <w:t> </w:t>
      </w:r>
      <w:r>
        <w:rPr>
          <w:rFonts w:ascii="Segoe UI Semibold" w:hAnsi="Segoe UI Semibold" w:cs="Segoe UI Semibold" w:eastAsia="Segoe UI Semibold"/>
          <w:b/>
          <w:bCs/>
          <w:color w:val="00779B"/>
          <w:spacing w:val="-1"/>
        </w:rPr>
        <w:t>sector</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is</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currently</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2"/>
        </w:rPr>
        <w:t>Australia’s</w:t>
      </w:r>
      <w:r>
        <w:rPr>
          <w:rFonts w:ascii="Segoe UI Semibold" w:hAnsi="Segoe UI Semibold" w:cs="Segoe UI Semibold" w:eastAsia="Segoe UI Semibold"/>
          <w:b/>
          <w:bCs/>
          <w:color w:val="00779B"/>
          <w:spacing w:val="-1"/>
        </w:rPr>
        <w:t> largest</w:t>
      </w:r>
      <w:r>
        <w:rPr>
          <w:rFonts w:ascii="Segoe UI Semibold" w:hAnsi="Segoe UI Semibold" w:cs="Segoe UI Semibold" w:eastAsia="Segoe UI Semibold"/>
          <w:b/>
          <w:bCs/>
          <w:color w:val="00779B"/>
          <w:spacing w:val="25"/>
        </w:rPr>
        <w:t> </w:t>
      </w:r>
      <w:r>
        <w:rPr>
          <w:rFonts w:ascii="Segoe UI Semibold" w:hAnsi="Segoe UI Semibold" w:cs="Segoe UI Semibold" w:eastAsia="Segoe UI Semibold"/>
          <w:b/>
          <w:bCs/>
          <w:color w:val="00779B"/>
          <w:spacing w:val="-1"/>
        </w:rPr>
        <w:t>provider</w:t>
      </w:r>
      <w:r>
        <w:rPr>
          <w:rFonts w:ascii="Segoe UI Semibold" w:hAnsi="Segoe UI Semibold" w:cs="Segoe UI Semibold" w:eastAsia="Segoe UI Semibold"/>
          <w:b/>
          <w:bCs/>
          <w:color w:val="00779B"/>
          <w:spacing w:val="-4"/>
        </w:rPr>
        <w:t> </w:t>
      </w:r>
      <w:r>
        <w:rPr>
          <w:rFonts w:ascii="Segoe UI Semibold" w:hAnsi="Segoe UI Semibold" w:cs="Segoe UI Semibold" w:eastAsia="Segoe UI Semibold"/>
          <w:b/>
          <w:bCs/>
          <w:color w:val="00779B"/>
          <w:spacing w:val="-2"/>
        </w:rPr>
        <w:t>of</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rPr>
        <w:t>Indigenous</w:t>
      </w:r>
      <w:r>
        <w:rPr>
          <w:rFonts w:ascii="Segoe UI Semibold" w:hAnsi="Segoe UI Semibold" w:cs="Segoe UI Semibold" w:eastAsia="Segoe UI Semibold"/>
          <w:b/>
          <w:bCs/>
          <w:color w:val="00779B"/>
          <w:spacing w:val="-5"/>
        </w:rPr>
        <w:t> </w:t>
      </w:r>
      <w:r>
        <w:rPr>
          <w:rFonts w:ascii="Segoe UI Semibold" w:hAnsi="Segoe UI Semibold" w:cs="Segoe UI Semibold" w:eastAsia="Segoe UI Semibold"/>
          <w:b/>
          <w:bCs/>
          <w:color w:val="00779B"/>
          <w:spacing w:val="-1"/>
        </w:rPr>
        <w:t>boarding</w:t>
      </w:r>
      <w:r>
        <w:rPr>
          <w:rFonts w:ascii="Segoe UI Semibold" w:hAnsi="Segoe UI Semibold" w:cs="Segoe UI Semibold" w:eastAsia="Segoe UI Semibold"/>
          <w:b/>
          <w:bCs/>
          <w:color w:val="00779B"/>
          <w:spacing w:val="25"/>
          <w:w w:val="99"/>
        </w:rPr>
        <w:t> </w:t>
      </w:r>
      <w:r>
        <w:rPr>
          <w:rFonts w:ascii="Segoe UI Semibold" w:hAnsi="Segoe UI Semibold" w:cs="Segoe UI Semibold" w:eastAsia="Segoe UI Semibold"/>
          <w:b/>
          <w:bCs/>
          <w:color w:val="00779B"/>
        </w:rPr>
        <w:t>facilities,</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rPr>
        <w:t>and</w:t>
      </w:r>
      <w:r>
        <w:rPr>
          <w:rFonts w:ascii="Segoe UI Semibold" w:hAnsi="Segoe UI Semibold" w:cs="Segoe UI Semibold" w:eastAsia="Segoe UI Semibold"/>
          <w:b/>
          <w:bCs/>
          <w:color w:val="00779B"/>
          <w:spacing w:val="-1"/>
        </w:rPr>
        <w:t> is</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frequently the</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only</w:t>
      </w:r>
      <w:r>
        <w:rPr>
          <w:rFonts w:ascii="Segoe UI Semibold" w:hAnsi="Segoe UI Semibold" w:cs="Segoe UI Semibold" w:eastAsia="Segoe UI Semibold"/>
          <w:b/>
          <w:bCs/>
          <w:color w:val="00779B"/>
          <w:spacing w:val="23"/>
        </w:rPr>
        <w:t> </w:t>
      </w:r>
      <w:r>
        <w:rPr>
          <w:rFonts w:ascii="Segoe UI Semibold" w:hAnsi="Segoe UI Semibold" w:cs="Segoe UI Semibold" w:eastAsia="Segoe UI Semibold"/>
          <w:b/>
          <w:bCs/>
          <w:color w:val="00779B"/>
          <w:spacing w:val="-1"/>
        </w:rPr>
        <w:t>provider</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2"/>
        </w:rPr>
        <w:t>of </w:t>
      </w:r>
      <w:r>
        <w:rPr>
          <w:rFonts w:ascii="Segoe UI Semibold" w:hAnsi="Segoe UI Semibold" w:cs="Segoe UI Semibold" w:eastAsia="Segoe UI Semibold"/>
          <w:b/>
          <w:bCs/>
          <w:color w:val="00779B"/>
          <w:spacing w:val="-1"/>
        </w:rPr>
        <w:t>educational</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boarding</w:t>
      </w:r>
      <w:r>
        <w:rPr>
          <w:rFonts w:ascii="Segoe UI Semibold" w:hAnsi="Segoe UI Semibold" w:cs="Segoe UI Semibold" w:eastAsia="Segoe UI Semibold"/>
          <w:b/>
          <w:bCs/>
          <w:color w:val="00779B"/>
          <w:spacing w:val="-4"/>
        </w:rPr>
        <w:t> </w:t>
      </w:r>
      <w:r>
        <w:rPr>
          <w:rFonts w:ascii="Segoe UI Semibold" w:hAnsi="Segoe UI Semibold" w:cs="Segoe UI Semibold" w:eastAsia="Segoe UI Semibold"/>
          <w:b/>
          <w:bCs/>
          <w:color w:val="00779B"/>
        </w:rPr>
        <w:t>for</w:t>
      </w:r>
      <w:r>
        <w:rPr>
          <w:rFonts w:ascii="Segoe UI Semibold" w:hAnsi="Segoe UI Semibold" w:cs="Segoe UI Semibold" w:eastAsia="Segoe UI Semibold"/>
          <w:b/>
          <w:bCs/>
          <w:color w:val="00779B"/>
          <w:spacing w:val="26"/>
        </w:rPr>
        <w:t> </w:t>
      </w:r>
      <w:r>
        <w:rPr>
          <w:rFonts w:ascii="Segoe UI Semibold" w:hAnsi="Segoe UI Semibold" w:cs="Segoe UI Semibold" w:eastAsia="Segoe UI Semibold"/>
          <w:b/>
          <w:bCs/>
          <w:color w:val="00779B"/>
          <w:spacing w:val="-1"/>
        </w:rPr>
        <w:t>these students</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in locations</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outside</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2"/>
        </w:rPr>
        <w:t>of</w:t>
      </w:r>
      <w:r>
        <w:rPr>
          <w:rFonts w:ascii="Segoe UI Semibold" w:hAnsi="Segoe UI Semibold" w:cs="Segoe UI Semibold" w:eastAsia="Segoe UI Semibold"/>
          <w:b/>
          <w:bCs/>
          <w:color w:val="00779B"/>
          <w:spacing w:val="27"/>
          <w:w w:val="99"/>
        </w:rPr>
        <w:t> </w:t>
      </w:r>
      <w:r>
        <w:rPr>
          <w:rFonts w:ascii="Segoe UI Semibold" w:hAnsi="Segoe UI Semibold" w:cs="Segoe UI Semibold" w:eastAsia="Segoe UI Semibold"/>
          <w:b/>
          <w:bCs/>
          <w:color w:val="00779B"/>
          <w:spacing w:val="-1"/>
        </w:rPr>
        <w:t>metropolitan</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areas.</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Currently</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there</w:t>
      </w:r>
      <w:r>
        <w:rPr>
          <w:rFonts w:ascii="Segoe UI Semibold" w:hAnsi="Segoe UI Semibold" w:cs="Segoe UI Semibold" w:eastAsia="Segoe UI Semibold"/>
        </w:rPr>
      </w:r>
    </w:p>
    <w:p>
      <w:pPr>
        <w:pStyle w:val="BodyText"/>
        <w:spacing w:line="250" w:lineRule="exact"/>
        <w:ind w:left="554" w:right="74"/>
        <w:jc w:val="left"/>
        <w:rPr>
          <w:rFonts w:ascii="Segoe UI Semibold" w:hAnsi="Segoe UI Semibold" w:cs="Segoe UI Semibold" w:eastAsia="Segoe UI Semibold"/>
        </w:rPr>
      </w:pPr>
      <w:r>
        <w:rPr>
          <w:rFonts w:ascii="Segoe UI Semibold"/>
          <w:b/>
          <w:color w:val="00779B"/>
          <w:spacing w:val="-1"/>
        </w:rPr>
        <w:t>are around 12,500</w:t>
      </w:r>
      <w:r>
        <w:rPr>
          <w:rFonts w:ascii="Segoe UI Semibold"/>
          <w:b/>
          <w:color w:val="00779B"/>
        </w:rPr>
        <w:t> Indigenous</w:t>
      </w:r>
      <w:r>
        <w:rPr>
          <w:rFonts w:ascii="Segoe UI Semibold"/>
          <w:b/>
          <w:color w:val="00779B"/>
          <w:spacing w:val="-3"/>
        </w:rPr>
        <w:t> </w:t>
      </w:r>
      <w:r>
        <w:rPr>
          <w:rFonts w:ascii="Segoe UI Semibold"/>
          <w:b/>
          <w:color w:val="00779B"/>
          <w:spacing w:val="-1"/>
        </w:rPr>
        <w:t>students</w:t>
      </w:r>
      <w:r>
        <w:rPr>
          <w:rFonts w:ascii="Segoe UI Semibold"/>
          <w:b/>
          <w:color w:val="00779B"/>
          <w:spacing w:val="23"/>
        </w:rPr>
        <w:t> </w:t>
      </w:r>
      <w:r>
        <w:rPr>
          <w:rFonts w:ascii="Segoe UI Semibold"/>
          <w:b/>
          <w:color w:val="00779B"/>
          <w:spacing w:val="-1"/>
        </w:rPr>
        <w:t>in </w:t>
      </w:r>
      <w:r>
        <w:rPr>
          <w:rFonts w:ascii="Segoe UI Semibold"/>
          <w:b/>
          <w:color w:val="00779B"/>
        </w:rPr>
        <w:t>Independent</w:t>
      </w:r>
      <w:r>
        <w:rPr>
          <w:rFonts w:ascii="Segoe UI Semibold"/>
          <w:b/>
          <w:color w:val="00779B"/>
          <w:spacing w:val="-3"/>
        </w:rPr>
        <w:t> </w:t>
      </w:r>
      <w:r>
        <w:rPr>
          <w:rFonts w:ascii="Segoe UI Semibold"/>
          <w:b/>
          <w:color w:val="00779B"/>
          <w:spacing w:val="-1"/>
        </w:rPr>
        <w:t>schools</w:t>
      </w:r>
      <w:r>
        <w:rPr>
          <w:rFonts w:ascii="Segoe UI Semibold"/>
          <w:b/>
          <w:color w:val="00779B"/>
        </w:rPr>
        <w:t> </w:t>
      </w:r>
      <w:r>
        <w:rPr>
          <w:rFonts w:ascii="Segoe UI Semibold"/>
          <w:b/>
          <w:color w:val="00779B"/>
          <w:spacing w:val="-1"/>
        </w:rPr>
        <w:t>with</w:t>
      </w:r>
      <w:r>
        <w:rPr>
          <w:rFonts w:ascii="Segoe UI Semibold"/>
          <w:b/>
          <w:color w:val="00779B"/>
        </w:rPr>
        <w:t> </w:t>
      </w:r>
      <w:r>
        <w:rPr>
          <w:rFonts w:ascii="Segoe UI Semibold"/>
          <w:b/>
          <w:color w:val="00779B"/>
          <w:spacing w:val="-1"/>
        </w:rPr>
        <w:t>around</w:t>
      </w:r>
      <w:r>
        <w:rPr>
          <w:rFonts w:ascii="Segoe UI Semibold"/>
          <w:b/>
          <w:color w:val="00779B"/>
          <w:spacing w:val="23"/>
        </w:rPr>
        <w:t> </w:t>
      </w:r>
      <w:r>
        <w:rPr>
          <w:rFonts w:ascii="Segoe UI Semibold"/>
          <w:b/>
          <w:color w:val="00779B"/>
          <w:spacing w:val="-1"/>
        </w:rPr>
        <w:t>2,400 </w:t>
      </w:r>
      <w:r>
        <w:rPr>
          <w:rFonts w:ascii="Segoe UI Semibold"/>
          <w:b/>
          <w:color w:val="00779B"/>
          <w:spacing w:val="-2"/>
        </w:rPr>
        <w:t>of</w:t>
      </w:r>
      <w:r>
        <w:rPr>
          <w:rFonts w:ascii="Segoe UI Semibold"/>
          <w:b/>
          <w:color w:val="00779B"/>
          <w:spacing w:val="-1"/>
        </w:rPr>
        <w:t> these students boarding.</w:t>
      </w:r>
      <w:r>
        <w:rPr>
          <w:rFonts w:ascii="Segoe UI Semibold"/>
        </w:rPr>
      </w:r>
    </w:p>
    <w:p>
      <w:pPr>
        <w:pStyle w:val="BodyText"/>
        <w:spacing w:line="250" w:lineRule="exact"/>
        <w:ind w:left="554" w:right="299"/>
        <w:jc w:val="left"/>
        <w:rPr>
          <w:rFonts w:ascii="Segoe UI Semibold" w:hAnsi="Segoe UI Semibold" w:cs="Segoe UI Semibold" w:eastAsia="Segoe UI Semibold"/>
          <w:sz w:val="11"/>
          <w:szCs w:val="11"/>
        </w:rPr>
      </w:pPr>
      <w:r>
        <w:rPr>
          <w:rFonts w:ascii="Segoe UI Semibold" w:hAnsi="Segoe UI Semibold" w:cs="Segoe UI Semibold" w:eastAsia="Segoe UI Semibold"/>
          <w:b/>
          <w:bCs/>
          <w:color w:val="00779B"/>
          <w:spacing w:val="-3"/>
        </w:rPr>
        <w:t>However,</w:t>
      </w:r>
      <w:r>
        <w:rPr>
          <w:rFonts w:ascii="Segoe UI Semibold" w:hAnsi="Segoe UI Semibold" w:cs="Segoe UI Semibold" w:eastAsia="Segoe UI Semibold"/>
          <w:b/>
          <w:bCs/>
          <w:color w:val="00779B"/>
          <w:spacing w:val="-4"/>
        </w:rPr>
        <w:t> </w:t>
      </w:r>
      <w:r>
        <w:rPr>
          <w:rFonts w:ascii="Segoe UI Semibold" w:hAnsi="Segoe UI Semibold" w:cs="Segoe UI Semibold" w:eastAsia="Segoe UI Semibold"/>
          <w:b/>
          <w:bCs/>
          <w:color w:val="00779B"/>
          <w:spacing w:val="-1"/>
        </w:rPr>
        <w:t>around</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250</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spacing w:val="-1"/>
        </w:rPr>
        <w:t>boarding</w:t>
      </w:r>
      <w:r>
        <w:rPr>
          <w:rFonts w:ascii="Segoe UI Semibold" w:hAnsi="Segoe UI Semibold" w:cs="Segoe UI Semibold" w:eastAsia="Segoe UI Semibold"/>
          <w:b/>
          <w:bCs/>
          <w:color w:val="00779B"/>
          <w:spacing w:val="-3"/>
        </w:rPr>
        <w:t> </w:t>
      </w:r>
      <w:r>
        <w:rPr>
          <w:rFonts w:ascii="Segoe UI Semibold" w:hAnsi="Segoe UI Semibold" w:cs="Segoe UI Semibold" w:eastAsia="Segoe UI Semibold"/>
          <w:b/>
          <w:bCs/>
          <w:color w:val="00779B"/>
        </w:rPr>
        <w:t>beds</w:t>
      </w:r>
      <w:r>
        <w:rPr>
          <w:rFonts w:ascii="Segoe UI Semibold" w:hAnsi="Segoe UI Semibold" w:cs="Segoe UI Semibold" w:eastAsia="Segoe UI Semibold"/>
          <w:b/>
          <w:bCs/>
          <w:color w:val="00779B"/>
          <w:spacing w:val="27"/>
          <w:w w:val="99"/>
        </w:rPr>
        <w:t> </w:t>
      </w:r>
      <w:r>
        <w:rPr>
          <w:rFonts w:ascii="Segoe UI Semibold" w:hAnsi="Segoe UI Semibold" w:cs="Segoe UI Semibold" w:eastAsia="Segoe UI Semibold"/>
          <w:b/>
          <w:bCs/>
          <w:color w:val="00779B"/>
          <w:spacing w:val="-1"/>
        </w:rPr>
        <w:t>have already</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closed</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in the</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last</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two</w:t>
      </w:r>
      <w:r>
        <w:rPr>
          <w:rFonts w:ascii="Segoe UI Semibold" w:hAnsi="Segoe UI Semibold" w:cs="Segoe UI Semibold" w:eastAsia="Segoe UI Semibold"/>
          <w:b/>
          <w:bCs/>
          <w:color w:val="00779B"/>
          <w:spacing w:val="30"/>
        </w:rPr>
        <w:t> </w:t>
      </w:r>
      <w:r>
        <w:rPr>
          <w:rFonts w:ascii="Segoe UI Semibold" w:hAnsi="Segoe UI Semibold" w:cs="Segoe UI Semibold" w:eastAsia="Segoe UI Semibold"/>
          <w:b/>
          <w:bCs/>
          <w:color w:val="00779B"/>
          <w:spacing w:val="-1"/>
        </w:rPr>
        <w:t>years</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with</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the</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potential</w:t>
      </w:r>
      <w:r>
        <w:rPr>
          <w:rFonts w:ascii="Segoe UI Semibold" w:hAnsi="Segoe UI Semibold" w:cs="Segoe UI Semibold" w:eastAsia="Segoe UI Semibold"/>
          <w:b/>
          <w:bCs/>
          <w:color w:val="00779B"/>
        </w:rPr>
        <w:t> for</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a</w:t>
      </w:r>
      <w:r>
        <w:rPr>
          <w:rFonts w:ascii="Segoe UI Semibold" w:hAnsi="Segoe UI Semibold" w:cs="Segoe UI Semibold" w:eastAsia="Segoe UI Semibold"/>
          <w:b/>
          <w:bCs/>
          <w:color w:val="00779B"/>
          <w:spacing w:val="-1"/>
        </w:rPr>
        <w:t> </w:t>
      </w:r>
      <w:r>
        <w:rPr>
          <w:rFonts w:ascii="Segoe UI Semibold" w:hAnsi="Segoe UI Semibold" w:cs="Segoe UI Semibold" w:eastAsia="Segoe UI Semibold"/>
          <w:b/>
          <w:bCs/>
          <w:color w:val="00779B"/>
        </w:rPr>
        <w:t>further</w:t>
      </w:r>
      <w:r>
        <w:rPr>
          <w:rFonts w:ascii="Segoe UI Semibold" w:hAnsi="Segoe UI Semibold" w:cs="Segoe UI Semibold" w:eastAsia="Segoe UI Semibold"/>
          <w:b/>
          <w:bCs/>
          <w:color w:val="00779B"/>
          <w:spacing w:val="27"/>
        </w:rPr>
        <w:t> </w:t>
      </w:r>
      <w:r>
        <w:rPr>
          <w:rFonts w:ascii="Segoe UI Semibold" w:hAnsi="Segoe UI Semibold" w:cs="Segoe UI Semibold" w:eastAsia="Segoe UI Semibold"/>
          <w:b/>
          <w:bCs/>
          <w:color w:val="00779B"/>
          <w:spacing w:val="-1"/>
        </w:rPr>
        <w:t>200 </w:t>
      </w:r>
      <w:r>
        <w:rPr>
          <w:rFonts w:ascii="Segoe UI Semibold" w:hAnsi="Segoe UI Semibold" w:cs="Segoe UI Semibold" w:eastAsia="Segoe UI Semibold"/>
          <w:b/>
          <w:bCs/>
          <w:color w:val="00779B"/>
        </w:rPr>
        <w:t>beds</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to close in</w:t>
      </w:r>
      <w:r>
        <w:rPr>
          <w:rFonts w:ascii="Segoe UI Semibold" w:hAnsi="Segoe UI Semibold" w:cs="Segoe UI Semibold" w:eastAsia="Segoe UI Semibold"/>
          <w:b/>
          <w:bCs/>
          <w:color w:val="00779B"/>
          <w:spacing w:val="-2"/>
        </w:rPr>
        <w:t> </w:t>
      </w:r>
      <w:r>
        <w:rPr>
          <w:rFonts w:ascii="Segoe UI Semibold" w:hAnsi="Segoe UI Semibold" w:cs="Segoe UI Semibold" w:eastAsia="Segoe UI Semibold"/>
          <w:b/>
          <w:bCs/>
          <w:color w:val="00779B"/>
          <w:spacing w:val="-1"/>
        </w:rPr>
        <w:t>the</w:t>
      </w:r>
      <w:r>
        <w:rPr>
          <w:rFonts w:ascii="Segoe UI Semibold" w:hAnsi="Segoe UI Semibold" w:cs="Segoe UI Semibold" w:eastAsia="Segoe UI Semibold"/>
          <w:b/>
          <w:bCs/>
          <w:color w:val="00779B"/>
        </w:rPr>
        <w:t> </w:t>
      </w:r>
      <w:r>
        <w:rPr>
          <w:rFonts w:ascii="Segoe UI Semibold" w:hAnsi="Segoe UI Semibold" w:cs="Segoe UI Semibold" w:eastAsia="Segoe UI Semibold"/>
          <w:b/>
          <w:bCs/>
          <w:color w:val="00779B"/>
          <w:spacing w:val="-1"/>
        </w:rPr>
        <w:t>next 12</w:t>
      </w:r>
      <w:r>
        <w:rPr>
          <w:rFonts w:ascii="Segoe UI Semibold" w:hAnsi="Segoe UI Semibold" w:cs="Segoe UI Semibold" w:eastAsia="Segoe UI Semibold"/>
          <w:b/>
          <w:bCs/>
          <w:color w:val="00779B"/>
          <w:spacing w:val="25"/>
        </w:rPr>
        <w:t> </w:t>
      </w:r>
      <w:r>
        <w:rPr>
          <w:rFonts w:ascii="Segoe UI Semibold" w:hAnsi="Segoe UI Semibold" w:cs="Segoe UI Semibold" w:eastAsia="Segoe UI Semibold"/>
          <w:b/>
          <w:bCs/>
          <w:color w:val="00779B"/>
          <w:spacing w:val="-2"/>
        </w:rPr>
        <w:t>months.”</w:t>
      </w:r>
      <w:r>
        <w:rPr>
          <w:rFonts w:ascii="Segoe UI Semibold" w:hAnsi="Segoe UI Semibold" w:cs="Segoe UI Semibold" w:eastAsia="Segoe UI Semibold"/>
          <w:b/>
          <w:bCs/>
          <w:color w:val="00779B"/>
          <w:spacing w:val="-2"/>
          <w:position w:val="7"/>
          <w:sz w:val="11"/>
          <w:szCs w:val="11"/>
        </w:rPr>
        <w:t>184</w:t>
      </w:r>
      <w:r>
        <w:rPr>
          <w:rFonts w:ascii="Segoe UI Semibold" w:hAnsi="Segoe UI Semibold" w:cs="Segoe UI Semibold" w:eastAsia="Segoe UI Semibold"/>
          <w:sz w:val="11"/>
          <w:szCs w:val="11"/>
        </w:rPr>
      </w:r>
    </w:p>
    <w:p>
      <w:pPr>
        <w:pStyle w:val="BodyText"/>
        <w:spacing w:line="250" w:lineRule="exact" w:before="113"/>
        <w:ind w:left="100" w:right="0"/>
        <w:jc w:val="left"/>
      </w:pPr>
      <w:r>
        <w:rPr>
          <w:color w:val="231F20"/>
        </w:rPr>
        <w:t>A</w:t>
      </w:r>
      <w:r>
        <w:rPr>
          <w:color w:val="231F20"/>
          <w:spacing w:val="-4"/>
        </w:rPr>
        <w:t> </w:t>
      </w:r>
      <w:r>
        <w:rPr>
          <w:color w:val="231F20"/>
        </w:rPr>
        <w:t>number</w:t>
      </w:r>
      <w:r>
        <w:rPr>
          <w:color w:val="231F20"/>
          <w:spacing w:val="-4"/>
        </w:rPr>
        <w:t> </w:t>
      </w:r>
      <w:r>
        <w:rPr>
          <w:color w:val="231F20"/>
        </w:rPr>
        <w:t>of</w:t>
      </w:r>
      <w:r>
        <w:rPr>
          <w:color w:val="231F20"/>
          <w:spacing w:val="-3"/>
        </w:rPr>
        <w:t> </w:t>
      </w:r>
      <w:r>
        <w:rPr>
          <w:color w:val="231F20"/>
        </w:rPr>
        <w:t>the</w:t>
      </w:r>
      <w:r>
        <w:rPr>
          <w:color w:val="231F20"/>
          <w:spacing w:val="-4"/>
        </w:rPr>
        <w:t> </w:t>
      </w:r>
      <w:r>
        <w:rPr>
          <w:color w:val="231F20"/>
          <w:spacing w:val="-1"/>
        </w:rPr>
        <w:t>smaller</w:t>
      </w:r>
      <w:r>
        <w:rPr>
          <w:color w:val="231F20"/>
          <w:spacing w:val="-4"/>
        </w:rPr>
        <w:t> </w:t>
      </w:r>
      <w:r>
        <w:rPr>
          <w:color w:val="231F20"/>
          <w:spacing w:val="-1"/>
        </w:rPr>
        <w:t>specialised</w:t>
      </w:r>
      <w:r>
        <w:rPr>
          <w:color w:val="231F20"/>
          <w:spacing w:val="-2"/>
        </w:rPr>
        <w:t> </w:t>
      </w:r>
      <w:r>
        <w:rPr>
          <w:color w:val="231F20"/>
        </w:rPr>
        <w:t>boarding</w:t>
      </w:r>
      <w:r>
        <w:rPr>
          <w:color w:val="231F20"/>
          <w:spacing w:val="23"/>
          <w:w w:val="99"/>
        </w:rPr>
        <w:t> </w:t>
      </w:r>
      <w:r>
        <w:rPr>
          <w:color w:val="231F20"/>
        </w:rPr>
        <w:t>providers</w:t>
      </w:r>
      <w:r>
        <w:rPr>
          <w:color w:val="231F20"/>
          <w:spacing w:val="-4"/>
        </w:rPr>
        <w:t> </w:t>
      </w:r>
      <w:r>
        <w:rPr>
          <w:color w:val="231F20"/>
        </w:rPr>
        <w:t>have</w:t>
      </w:r>
      <w:r>
        <w:rPr>
          <w:color w:val="231F20"/>
          <w:spacing w:val="-4"/>
        </w:rPr>
        <w:t> </w:t>
      </w:r>
      <w:r>
        <w:rPr>
          <w:color w:val="231F20"/>
        </w:rPr>
        <w:t>also</w:t>
      </w:r>
      <w:r>
        <w:rPr>
          <w:color w:val="231F20"/>
          <w:spacing w:val="-4"/>
        </w:rPr>
        <w:t> </w:t>
      </w:r>
      <w:r>
        <w:rPr>
          <w:color w:val="231F20"/>
        </w:rPr>
        <w:t>been</w:t>
      </w:r>
      <w:r>
        <w:rPr>
          <w:color w:val="231F20"/>
          <w:spacing w:val="-4"/>
        </w:rPr>
        <w:t> </w:t>
      </w:r>
      <w:r>
        <w:rPr>
          <w:color w:val="231F20"/>
        </w:rPr>
        <w:t>established</w:t>
      </w:r>
      <w:r>
        <w:rPr>
          <w:color w:val="231F20"/>
          <w:spacing w:val="-3"/>
        </w:rPr>
        <w:t> </w:t>
      </w:r>
      <w:r>
        <w:rPr>
          <w:color w:val="231F20"/>
        </w:rPr>
        <w:t>as</w:t>
      </w:r>
      <w:r>
        <w:rPr>
          <w:color w:val="231F20"/>
          <w:spacing w:val="-4"/>
        </w:rPr>
        <w:t> </w:t>
      </w:r>
      <w:r>
        <w:rPr>
          <w:color w:val="231F20"/>
          <w:spacing w:val="-1"/>
        </w:rPr>
        <w:t>special</w:t>
      </w:r>
      <w:r>
        <w:rPr>
          <w:color w:val="231F20"/>
          <w:spacing w:val="20"/>
        </w:rPr>
        <w:t> </w:t>
      </w:r>
      <w:r>
        <w:rPr>
          <w:color w:val="231F20"/>
        </w:rPr>
        <w:t>assistance</w:t>
      </w:r>
      <w:r>
        <w:rPr>
          <w:color w:val="231F20"/>
          <w:spacing w:val="-5"/>
        </w:rPr>
        <w:t> </w:t>
      </w:r>
      <w:r>
        <w:rPr>
          <w:color w:val="231F20"/>
          <w:spacing w:val="-1"/>
        </w:rPr>
        <w:t>schools</w:t>
      </w:r>
      <w:r>
        <w:rPr>
          <w:color w:val="231F20"/>
          <w:spacing w:val="-4"/>
        </w:rPr>
        <w:t> </w:t>
      </w:r>
      <w:r>
        <w:rPr>
          <w:color w:val="231F20"/>
        </w:rPr>
        <w:t>to</w:t>
      </w:r>
      <w:r>
        <w:rPr>
          <w:color w:val="231F20"/>
          <w:spacing w:val="-3"/>
        </w:rPr>
        <w:t> </w:t>
      </w:r>
      <w:r>
        <w:rPr>
          <w:color w:val="231F20"/>
        </w:rPr>
        <w:t>cater</w:t>
      </w:r>
      <w:r>
        <w:rPr>
          <w:color w:val="231F20"/>
          <w:spacing w:val="-4"/>
        </w:rPr>
        <w:t> </w:t>
      </w:r>
      <w:r>
        <w:rPr>
          <w:color w:val="231F20"/>
        </w:rPr>
        <w:t>for</w:t>
      </w:r>
      <w:r>
        <w:rPr>
          <w:color w:val="231F20"/>
          <w:spacing w:val="-3"/>
        </w:rPr>
        <w:t> </w:t>
      </w:r>
      <w:r>
        <w:rPr>
          <w:color w:val="231F20"/>
        </w:rPr>
        <w:t>Aboriginal</w:t>
      </w:r>
      <w:r>
        <w:rPr/>
      </w:r>
    </w:p>
    <w:p>
      <w:pPr>
        <w:pStyle w:val="BodyText"/>
        <w:spacing w:line="250" w:lineRule="exact"/>
        <w:ind w:left="100" w:right="74"/>
        <w:jc w:val="left"/>
      </w:pPr>
      <w:r>
        <w:rPr>
          <w:color w:val="231F20"/>
        </w:rPr>
        <w:t>and</w:t>
      </w:r>
      <w:r>
        <w:rPr>
          <w:color w:val="231F20"/>
          <w:spacing w:val="-5"/>
        </w:rPr>
        <w:t> Torres</w:t>
      </w:r>
      <w:r>
        <w:rPr>
          <w:color w:val="231F20"/>
          <w:spacing w:val="-4"/>
        </w:rPr>
        <w:t> </w:t>
      </w:r>
      <w:r>
        <w:rPr>
          <w:color w:val="231F20"/>
          <w:spacing w:val="-2"/>
        </w:rPr>
        <w:t>Strait</w:t>
      </w:r>
      <w:r>
        <w:rPr>
          <w:color w:val="231F20"/>
          <w:spacing w:val="-4"/>
        </w:rPr>
        <w:t> </w:t>
      </w:r>
      <w:r>
        <w:rPr>
          <w:color w:val="231F20"/>
          <w:spacing w:val="-1"/>
        </w:rPr>
        <w:t>Islander</w:t>
      </w:r>
      <w:r>
        <w:rPr>
          <w:color w:val="231F20"/>
          <w:spacing w:val="-4"/>
        </w:rPr>
        <w:t> </w:t>
      </w:r>
      <w:r>
        <w:rPr>
          <w:color w:val="231F20"/>
          <w:spacing w:val="-1"/>
        </w:rPr>
        <w:t>students</w:t>
      </w:r>
      <w:r>
        <w:rPr>
          <w:color w:val="231F20"/>
          <w:spacing w:val="-4"/>
        </w:rPr>
        <w:t> </w:t>
      </w:r>
      <w:r>
        <w:rPr>
          <w:color w:val="231F20"/>
        </w:rPr>
        <w:t>with</w:t>
      </w:r>
      <w:r>
        <w:rPr>
          <w:color w:val="231F20"/>
          <w:spacing w:val="-4"/>
        </w:rPr>
        <w:t> </w:t>
      </w:r>
      <w:r>
        <w:rPr>
          <w:color w:val="231F20"/>
        </w:rPr>
        <w:t>high-</w:t>
      </w:r>
      <w:r>
        <w:rPr>
          <w:color w:val="231F20"/>
          <w:spacing w:val="23"/>
          <w:w w:val="99"/>
        </w:rPr>
        <w:t> </w:t>
      </w:r>
      <w:r>
        <w:rPr>
          <w:color w:val="231F20"/>
          <w:spacing w:val="-1"/>
        </w:rPr>
        <w:t>level</w:t>
      </w:r>
      <w:r>
        <w:rPr>
          <w:color w:val="231F20"/>
          <w:spacing w:val="-7"/>
        </w:rPr>
        <w:t> </w:t>
      </w:r>
      <w:r>
        <w:rPr>
          <w:color w:val="231F20"/>
        </w:rPr>
        <w:t>needs,</w:t>
      </w:r>
      <w:r>
        <w:rPr>
          <w:color w:val="231F20"/>
          <w:spacing w:val="-7"/>
        </w:rPr>
        <w:t> </w:t>
      </w:r>
      <w:r>
        <w:rPr>
          <w:color w:val="231F20"/>
          <w:spacing w:val="-1"/>
        </w:rPr>
        <w:t>severe</w:t>
      </w:r>
      <w:r>
        <w:rPr>
          <w:color w:val="231F20"/>
          <w:spacing w:val="-7"/>
        </w:rPr>
        <w:t> </w:t>
      </w:r>
      <w:r>
        <w:rPr>
          <w:color w:val="231F20"/>
        </w:rPr>
        <w:t>trauma</w:t>
      </w:r>
      <w:r>
        <w:rPr>
          <w:color w:val="231F20"/>
          <w:spacing w:val="-7"/>
        </w:rPr>
        <w:t> </w:t>
      </w:r>
      <w:r>
        <w:rPr>
          <w:color w:val="231F20"/>
        </w:rPr>
        <w:t>backgrounds</w:t>
      </w:r>
      <w:r>
        <w:rPr>
          <w:color w:val="231F20"/>
          <w:spacing w:val="-8"/>
        </w:rPr>
        <w:t> </w:t>
      </w:r>
      <w:r>
        <w:rPr>
          <w:color w:val="231F20"/>
        </w:rPr>
        <w:t>and</w:t>
      </w:r>
      <w:r>
        <w:rPr>
          <w:color w:val="231F20"/>
          <w:spacing w:val="23"/>
          <w:w w:val="99"/>
        </w:rPr>
        <w:t> </w:t>
      </w:r>
      <w:r>
        <w:rPr>
          <w:color w:val="231F20"/>
        </w:rPr>
        <w:t>behavioural</w:t>
      </w:r>
      <w:r>
        <w:rPr>
          <w:color w:val="231F20"/>
          <w:spacing w:val="-9"/>
        </w:rPr>
        <w:t> </w:t>
      </w:r>
      <w:r>
        <w:rPr>
          <w:color w:val="231F20"/>
          <w:spacing w:val="-1"/>
        </w:rPr>
        <w:t>issues.</w:t>
      </w:r>
      <w:r>
        <w:rPr>
          <w:color w:val="231F20"/>
          <w:spacing w:val="-8"/>
        </w:rPr>
        <w:t> </w:t>
      </w:r>
      <w:r>
        <w:rPr>
          <w:color w:val="231F20"/>
        </w:rPr>
        <w:t>Another</w:t>
      </w:r>
      <w:r>
        <w:rPr>
          <w:color w:val="231F20"/>
          <w:spacing w:val="-8"/>
        </w:rPr>
        <w:t> </w:t>
      </w:r>
      <w:r>
        <w:rPr>
          <w:color w:val="231F20"/>
        </w:rPr>
        <w:t>noticeable</w:t>
      </w:r>
      <w:r>
        <w:rPr>
          <w:color w:val="231F20"/>
          <w:spacing w:val="-9"/>
        </w:rPr>
        <w:t> </w:t>
      </w:r>
      <w:r>
        <w:rPr>
          <w:color w:val="231F20"/>
        </w:rPr>
        <w:t>trend</w:t>
      </w:r>
      <w:r>
        <w:rPr>
          <w:color w:val="231F20"/>
          <w:spacing w:val="22"/>
          <w:w w:val="99"/>
        </w:rPr>
        <w:t> </w:t>
      </w:r>
      <w:r>
        <w:rPr>
          <w:color w:val="231F20"/>
          <w:spacing w:val="-1"/>
        </w:rPr>
        <w:t>is</w:t>
      </w:r>
      <w:r>
        <w:rPr>
          <w:color w:val="231F20"/>
          <w:spacing w:val="-9"/>
        </w:rPr>
        <w:t> </w:t>
      </w:r>
      <w:r>
        <w:rPr>
          <w:color w:val="231F20"/>
        </w:rPr>
        <w:t>for</w:t>
      </w:r>
      <w:r>
        <w:rPr>
          <w:color w:val="231F20"/>
          <w:spacing w:val="-7"/>
        </w:rPr>
        <w:t> </w:t>
      </w:r>
      <w:r>
        <w:rPr>
          <w:color w:val="231F20"/>
        </w:rPr>
        <w:t>philanthropics,</w:t>
      </w:r>
      <w:r>
        <w:rPr>
          <w:color w:val="231F20"/>
          <w:spacing w:val="-8"/>
        </w:rPr>
        <w:t> </w:t>
      </w:r>
      <w:r>
        <w:rPr>
          <w:color w:val="231F20"/>
          <w:spacing w:val="-1"/>
        </w:rPr>
        <w:t>sporting</w:t>
      </w:r>
      <w:r>
        <w:rPr>
          <w:color w:val="231F20"/>
          <w:spacing w:val="-8"/>
        </w:rPr>
        <w:t> </w:t>
      </w:r>
      <w:r>
        <w:rPr>
          <w:color w:val="231F20"/>
        </w:rPr>
        <w:t>organisations</w:t>
      </w:r>
      <w:r>
        <w:rPr>
          <w:color w:val="231F20"/>
          <w:spacing w:val="-8"/>
        </w:rPr>
        <w:t> </w:t>
      </w:r>
      <w:r>
        <w:rPr>
          <w:color w:val="231F20"/>
        </w:rPr>
        <w:t>or</w:t>
      </w:r>
      <w:r>
        <w:rPr>
          <w:color w:val="231F20"/>
          <w:spacing w:val="23"/>
          <w:w w:val="99"/>
        </w:rPr>
        <w:t> </w:t>
      </w:r>
      <w:r>
        <w:rPr>
          <w:color w:val="231F20"/>
          <w:spacing w:val="-1"/>
        </w:rPr>
        <w:t>large</w:t>
      </w:r>
      <w:r>
        <w:rPr>
          <w:color w:val="231F20"/>
          <w:spacing w:val="-2"/>
        </w:rPr>
        <w:t> </w:t>
      </w:r>
      <w:r>
        <w:rPr>
          <w:color w:val="231F20"/>
          <w:spacing w:val="-1"/>
        </w:rPr>
        <w:t>mainstream schools</w:t>
      </w:r>
      <w:r>
        <w:rPr>
          <w:color w:val="231F20"/>
          <w:spacing w:val="-2"/>
        </w:rPr>
        <w:t> </w:t>
      </w:r>
      <w:r>
        <w:rPr>
          <w:color w:val="231F20"/>
        </w:rPr>
        <w:t>for</w:t>
      </w:r>
      <w:r>
        <w:rPr>
          <w:color w:val="231F20"/>
          <w:spacing w:val="-2"/>
        </w:rPr>
        <w:t> </w:t>
      </w:r>
      <w:r>
        <w:rPr>
          <w:color w:val="231F20"/>
        </w:rPr>
        <w:t>to</w:t>
      </w:r>
      <w:r>
        <w:rPr>
          <w:color w:val="231F20"/>
          <w:spacing w:val="-1"/>
        </w:rPr>
        <w:t> </w:t>
      </w:r>
      <w:r>
        <w:rPr>
          <w:color w:val="231F20"/>
        </w:rPr>
        <w:t>establish</w:t>
      </w:r>
      <w:r>
        <w:rPr>
          <w:color w:val="231F20"/>
          <w:spacing w:val="-3"/>
        </w:rPr>
        <w:t> </w:t>
      </w:r>
      <w:r>
        <w:rPr>
          <w:color w:val="231F20"/>
        </w:rPr>
        <w:t>or</w:t>
      </w:r>
      <w:r>
        <w:rPr>
          <w:color w:val="231F20"/>
          <w:spacing w:val="24"/>
          <w:w w:val="99"/>
        </w:rPr>
        <w:t> </w:t>
      </w:r>
      <w:r>
        <w:rPr>
          <w:color w:val="231F20"/>
          <w:spacing w:val="-1"/>
        </w:rPr>
        <w:t>support</w:t>
      </w:r>
      <w:r>
        <w:rPr>
          <w:color w:val="231F20"/>
          <w:spacing w:val="-6"/>
        </w:rPr>
        <w:t> </w:t>
      </w:r>
      <w:r>
        <w:rPr>
          <w:color w:val="231F20"/>
          <w:spacing w:val="-1"/>
        </w:rPr>
        <w:t>smaller</w:t>
      </w:r>
      <w:r>
        <w:rPr>
          <w:color w:val="231F20"/>
          <w:spacing w:val="-6"/>
        </w:rPr>
        <w:t> </w:t>
      </w:r>
      <w:r>
        <w:rPr>
          <w:color w:val="231F20"/>
          <w:spacing w:val="-1"/>
        </w:rPr>
        <w:t>specialist</w:t>
      </w:r>
      <w:r>
        <w:rPr>
          <w:color w:val="231F20"/>
          <w:spacing w:val="-5"/>
        </w:rPr>
        <w:t> </w:t>
      </w:r>
      <w:r>
        <w:rPr>
          <w:color w:val="231F20"/>
        </w:rPr>
        <w:t>boarding</w:t>
      </w:r>
      <w:r>
        <w:rPr>
          <w:color w:val="231F20"/>
          <w:spacing w:val="-7"/>
        </w:rPr>
        <w:t> </w:t>
      </w:r>
      <w:r>
        <w:rPr>
          <w:color w:val="231F20"/>
        </w:rPr>
        <w:t>providers</w:t>
      </w:r>
      <w:r>
        <w:rPr>
          <w:color w:val="231F20"/>
          <w:spacing w:val="24"/>
          <w:w w:val="99"/>
        </w:rPr>
        <w:t> </w:t>
      </w:r>
      <w:r>
        <w:rPr>
          <w:color w:val="231F20"/>
        </w:rPr>
        <w:t>as</w:t>
      </w:r>
      <w:r>
        <w:rPr>
          <w:color w:val="231F20"/>
          <w:spacing w:val="-5"/>
        </w:rPr>
        <w:t> </w:t>
      </w:r>
      <w:r>
        <w:rPr>
          <w:color w:val="231F20"/>
        </w:rPr>
        <w:t>a</w:t>
      </w:r>
      <w:r>
        <w:rPr>
          <w:color w:val="231F20"/>
          <w:spacing w:val="-4"/>
        </w:rPr>
        <w:t> </w:t>
      </w:r>
      <w:r>
        <w:rPr>
          <w:color w:val="231F20"/>
        </w:rPr>
        <w:t>genuine</w:t>
      </w:r>
      <w:r>
        <w:rPr>
          <w:color w:val="231F20"/>
          <w:spacing w:val="-5"/>
        </w:rPr>
        <w:t> </w:t>
      </w:r>
      <w:r>
        <w:rPr>
          <w:color w:val="231F20"/>
        </w:rPr>
        <w:t>contribution</w:t>
      </w:r>
      <w:r>
        <w:rPr>
          <w:color w:val="231F20"/>
          <w:spacing w:val="-5"/>
        </w:rPr>
        <w:t> </w:t>
      </w:r>
      <w:r>
        <w:rPr>
          <w:color w:val="231F20"/>
        </w:rPr>
        <w:t>to</w:t>
      </w:r>
      <w:r>
        <w:rPr>
          <w:color w:val="231F20"/>
          <w:spacing w:val="-4"/>
        </w:rPr>
        <w:t> </w:t>
      </w:r>
      <w:r>
        <w:rPr>
          <w:color w:val="231F20"/>
        </w:rPr>
        <w:t>closing</w:t>
      </w:r>
      <w:r>
        <w:rPr>
          <w:color w:val="231F20"/>
          <w:spacing w:val="-5"/>
        </w:rPr>
        <w:t> </w:t>
      </w:r>
      <w:r>
        <w:rPr>
          <w:color w:val="231F20"/>
        </w:rPr>
        <w:t>the</w:t>
      </w:r>
      <w:r>
        <w:rPr/>
      </w:r>
    </w:p>
    <w:p>
      <w:pPr>
        <w:pStyle w:val="BodyText"/>
        <w:spacing w:line="250" w:lineRule="exact"/>
        <w:ind w:left="100" w:right="299"/>
        <w:jc w:val="left"/>
      </w:pPr>
      <w:r>
        <w:rPr>
          <w:color w:val="231F20"/>
        </w:rPr>
        <w:t>gap</w:t>
      </w:r>
      <w:r>
        <w:rPr>
          <w:color w:val="231F20"/>
          <w:spacing w:val="-5"/>
        </w:rPr>
        <w:t> </w:t>
      </w:r>
      <w:r>
        <w:rPr>
          <w:color w:val="231F20"/>
          <w:spacing w:val="-1"/>
        </w:rPr>
        <w:t>in</w:t>
      </w:r>
      <w:r>
        <w:rPr>
          <w:color w:val="231F20"/>
          <w:spacing w:val="-4"/>
        </w:rPr>
        <w:t> </w:t>
      </w:r>
      <w:r>
        <w:rPr>
          <w:color w:val="231F20"/>
        </w:rPr>
        <w:t>Aboriginal</w:t>
      </w:r>
      <w:r>
        <w:rPr>
          <w:color w:val="231F20"/>
          <w:spacing w:val="-4"/>
        </w:rPr>
        <w:t> </w:t>
      </w:r>
      <w:r>
        <w:rPr>
          <w:color w:val="231F20"/>
        </w:rPr>
        <w:t>and</w:t>
      </w:r>
      <w:r>
        <w:rPr>
          <w:color w:val="231F20"/>
          <w:spacing w:val="-6"/>
        </w:rPr>
        <w:t> </w:t>
      </w:r>
      <w:r>
        <w:rPr>
          <w:color w:val="231F20"/>
          <w:spacing w:val="-5"/>
        </w:rPr>
        <w:t>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20"/>
          <w:w w:val="99"/>
        </w:rPr>
        <w:t> </w:t>
      </w:r>
      <w:r>
        <w:rPr>
          <w:color w:val="231F20"/>
        </w:rPr>
        <w:t>educational</w:t>
      </w:r>
      <w:r>
        <w:rPr>
          <w:color w:val="231F20"/>
          <w:spacing w:val="-21"/>
        </w:rPr>
        <w:t> </w:t>
      </w:r>
      <w:r>
        <w:rPr>
          <w:color w:val="231F20"/>
        </w:rPr>
        <w:t>outcomes.</w:t>
      </w:r>
      <w:r>
        <w:rPr/>
      </w:r>
    </w:p>
    <w:p>
      <w:pPr>
        <w:spacing w:line="240" w:lineRule="auto" w:before="10"/>
        <w:rPr>
          <w:rFonts w:ascii="Segoe UI" w:hAnsi="Segoe UI" w:cs="Segoe UI" w:eastAsia="Segoe UI"/>
          <w:sz w:val="8"/>
          <w:szCs w:val="8"/>
        </w:rPr>
      </w:pPr>
      <w:r>
        <w:rPr/>
        <w:br w:type="column"/>
      </w:r>
      <w:r>
        <w:rPr>
          <w:rFonts w:ascii="Segoe UI"/>
          <w:sz w:val="8"/>
        </w:rPr>
      </w:r>
    </w:p>
    <w:p>
      <w:pPr>
        <w:spacing w:line="200" w:lineRule="atLeast"/>
        <w:ind w:left="100" w:right="0" w:firstLine="0"/>
        <w:rPr>
          <w:rFonts w:ascii="Segoe UI" w:hAnsi="Segoe UI" w:cs="Segoe UI" w:eastAsia="Segoe UI"/>
          <w:sz w:val="20"/>
          <w:szCs w:val="20"/>
        </w:rPr>
      </w:pPr>
      <w:r>
        <w:rPr>
          <w:rFonts w:ascii="Segoe UI" w:hAnsi="Segoe UI" w:cs="Segoe UI" w:eastAsia="Segoe UI"/>
          <w:sz w:val="20"/>
          <w:szCs w:val="20"/>
        </w:rPr>
        <w:pict>
          <v:group style="width:209.8pt;height:14.2pt;mso-position-horizontal-relative:char;mso-position-vertical-relative:line" coordorigin="0,0" coordsize="4196,284">
            <v:group style="position:absolute;left:283;top:0;width:3912;height:284" coordorigin="283,0" coordsize="3912,284">
              <v:shape style="position:absolute;left:283;top:0;width:3912;height:284" coordorigin="283,0" coordsize="3912,284" path="m283,283l4195,283,4195,0,283,0,283,283xe" filled="true" fillcolor="#97bf3d" stroked="false">
                <v:path arrowok="t"/>
                <v:fill type="solid"/>
              </v:shape>
            </v:group>
            <v:group style="position:absolute;left:0;top:0;width:284;height:284" coordorigin="0,0" coordsize="284,284">
              <v:shape style="position:absolute;left:0;top:0;width:284;height:284" coordorigin="0,0" coordsize="284,284" path="m0,283l283,283,283,0,0,0,0,283xe" filled="true" fillcolor="#67973f" stroked="false">
                <v:path arrowok="t"/>
                <v:fill type="solid"/>
              </v:shape>
              <v:shape style="position:absolute;left:0;top:0;width:4196;height:284" type="#_x0000_t202" filled="false" stroked="false">
                <v:textbox inset="0,0,0,0">
                  <w:txbxContent>
                    <w:p>
                      <w:pPr>
                        <w:spacing w:before="5"/>
                        <w:ind w:left="368" w:right="0" w:firstLine="0"/>
                        <w:jc w:val="left"/>
                        <w:rPr>
                          <w:rFonts w:ascii="Segoe UI" w:hAnsi="Segoe UI" w:cs="Segoe UI" w:eastAsia="Segoe UI"/>
                          <w:sz w:val="18"/>
                          <w:szCs w:val="18"/>
                        </w:rPr>
                      </w:pPr>
                      <w:r>
                        <w:rPr>
                          <w:rFonts w:ascii="Segoe UI"/>
                          <w:b/>
                          <w:i/>
                          <w:color w:val="FFFFFF"/>
                          <w:spacing w:val="-1"/>
                          <w:sz w:val="18"/>
                        </w:rPr>
                        <w:t>Case</w:t>
                      </w:r>
                      <w:r>
                        <w:rPr>
                          <w:rFonts w:ascii="Segoe UI"/>
                          <w:b/>
                          <w:i/>
                          <w:color w:val="FFFFFF"/>
                          <w:spacing w:val="-4"/>
                          <w:sz w:val="18"/>
                        </w:rPr>
                        <w:t> </w:t>
                      </w:r>
                      <w:r>
                        <w:rPr>
                          <w:rFonts w:ascii="Segoe UI"/>
                          <w:b/>
                          <w:i/>
                          <w:color w:val="FFFFFF"/>
                          <w:sz w:val="18"/>
                        </w:rPr>
                        <w:t>study</w:t>
                      </w:r>
                      <w:r>
                        <w:rPr>
                          <w:rFonts w:ascii="Segoe UI"/>
                          <w:b/>
                          <w:i/>
                          <w:color w:val="FFFFFF"/>
                          <w:spacing w:val="-5"/>
                          <w:sz w:val="18"/>
                        </w:rPr>
                        <w:t> </w:t>
                      </w:r>
                      <w:r>
                        <w:rPr>
                          <w:rFonts w:ascii="Segoe UI"/>
                          <w:b/>
                          <w:i/>
                          <w:color w:val="FFFFFF"/>
                          <w:spacing w:val="-1"/>
                          <w:sz w:val="18"/>
                        </w:rPr>
                        <w:t>14</w:t>
                      </w:r>
                      <w:r>
                        <w:rPr>
                          <w:rFonts w:ascii="Segoe UI"/>
                          <w:sz w:val="18"/>
                        </w:rPr>
                      </w:r>
                    </w:p>
                  </w:txbxContent>
                </v:textbox>
                <w10:wrap type="none"/>
              </v:shape>
            </v:group>
          </v:group>
        </w:pict>
      </w:r>
      <w:r>
        <w:rPr>
          <w:rFonts w:ascii="Segoe UI" w:hAnsi="Segoe UI" w:cs="Segoe UI" w:eastAsia="Segoe UI"/>
          <w:sz w:val="20"/>
          <w:szCs w:val="20"/>
        </w:rPr>
      </w:r>
    </w:p>
    <w:p>
      <w:pPr>
        <w:spacing w:line="240" w:lineRule="auto" w:before="11"/>
        <w:rPr>
          <w:rFonts w:ascii="Segoe UI" w:hAnsi="Segoe UI" w:cs="Segoe UI" w:eastAsia="Segoe UI"/>
          <w:sz w:val="17"/>
          <w:szCs w:val="17"/>
        </w:rPr>
      </w:pPr>
    </w:p>
    <w:p>
      <w:pPr>
        <w:pStyle w:val="Heading6"/>
        <w:spacing w:line="240" w:lineRule="auto" w:before="0"/>
        <w:ind w:right="0"/>
        <w:jc w:val="left"/>
        <w:rPr>
          <w:b w:val="0"/>
          <w:bCs w:val="0"/>
        </w:rPr>
      </w:pPr>
      <w:r>
        <w:rPr>
          <w:color w:val="67973F"/>
          <w:spacing w:val="-1"/>
        </w:rPr>
        <w:t>Holy</w:t>
      </w:r>
      <w:r>
        <w:rPr>
          <w:color w:val="67973F"/>
          <w:spacing w:val="-2"/>
        </w:rPr>
        <w:t> </w:t>
      </w:r>
      <w:r>
        <w:rPr>
          <w:color w:val="67973F"/>
          <w:spacing w:val="-1"/>
        </w:rPr>
        <w:t>Spirit,</w:t>
      </w:r>
      <w:r>
        <w:rPr>
          <w:color w:val="67973F"/>
          <w:spacing w:val="-2"/>
        </w:rPr>
        <w:t> </w:t>
      </w:r>
      <w:r>
        <w:rPr>
          <w:color w:val="67973F"/>
          <w:spacing w:val="-1"/>
        </w:rPr>
        <w:t>Cooktown</w:t>
      </w:r>
      <w:r>
        <w:rPr>
          <w:b w:val="0"/>
        </w:rPr>
      </w:r>
    </w:p>
    <w:p>
      <w:pPr>
        <w:pStyle w:val="Heading7"/>
        <w:spacing w:line="240" w:lineRule="auto"/>
        <w:ind w:right="0"/>
        <w:jc w:val="left"/>
        <w:rPr>
          <w:b w:val="0"/>
          <w:bCs w:val="0"/>
          <w:i w:val="0"/>
        </w:rPr>
      </w:pPr>
      <w:r>
        <w:rPr>
          <w:i/>
          <w:color w:val="67973F"/>
          <w:spacing w:val="-1"/>
        </w:rPr>
        <w:t>Holy Spirit,</w:t>
      </w:r>
      <w:r>
        <w:rPr>
          <w:i/>
          <w:color w:val="67973F"/>
        </w:rPr>
        <w:t> </w:t>
      </w:r>
      <w:r>
        <w:rPr>
          <w:i/>
          <w:color w:val="67973F"/>
          <w:spacing w:val="-1"/>
        </w:rPr>
        <w:t>Cooktown,</w:t>
      </w:r>
      <w:r>
        <w:rPr>
          <w:i/>
          <w:color w:val="67973F"/>
          <w:spacing w:val="-2"/>
        </w:rPr>
        <w:t> </w:t>
      </w:r>
      <w:r>
        <w:rPr>
          <w:i/>
          <w:color w:val="67973F"/>
        </w:rPr>
        <w:t>Queensland</w:t>
      </w:r>
      <w:r>
        <w:rPr>
          <w:b w:val="0"/>
          <w:i w:val="0"/>
        </w:rPr>
      </w:r>
    </w:p>
    <w:p>
      <w:pPr>
        <w:spacing w:line="265" w:lineRule="auto" w:before="138"/>
        <w:ind w:left="100" w:right="309" w:firstLine="0"/>
        <w:jc w:val="left"/>
        <w:rPr>
          <w:rFonts w:ascii="Segoe UI" w:hAnsi="Segoe UI" w:cs="Segoe UI" w:eastAsia="Segoe UI"/>
          <w:sz w:val="19"/>
          <w:szCs w:val="19"/>
        </w:rPr>
      </w:pPr>
      <w:r>
        <w:rPr>
          <w:rFonts w:ascii="Segoe UI"/>
          <w:color w:val="67973F"/>
          <w:sz w:val="19"/>
        </w:rPr>
        <w:t>Holy</w:t>
      </w:r>
      <w:r>
        <w:rPr>
          <w:rFonts w:ascii="Segoe UI"/>
          <w:color w:val="67973F"/>
          <w:spacing w:val="-3"/>
          <w:sz w:val="19"/>
        </w:rPr>
        <w:t> </w:t>
      </w:r>
      <w:r>
        <w:rPr>
          <w:rFonts w:ascii="Segoe UI"/>
          <w:color w:val="67973F"/>
          <w:spacing w:val="-1"/>
          <w:sz w:val="19"/>
        </w:rPr>
        <w:t>Spirit</w:t>
      </w:r>
      <w:r>
        <w:rPr>
          <w:rFonts w:ascii="Segoe UI"/>
          <w:color w:val="67973F"/>
          <w:spacing w:val="-2"/>
          <w:sz w:val="19"/>
        </w:rPr>
        <w:t> </w:t>
      </w:r>
      <w:r>
        <w:rPr>
          <w:rFonts w:ascii="Segoe UI"/>
          <w:color w:val="67973F"/>
          <w:spacing w:val="-1"/>
          <w:sz w:val="19"/>
        </w:rPr>
        <w:t>is</w:t>
      </w:r>
      <w:r>
        <w:rPr>
          <w:rFonts w:ascii="Segoe UI"/>
          <w:color w:val="67973F"/>
          <w:spacing w:val="-2"/>
          <w:sz w:val="19"/>
        </w:rPr>
        <w:t> </w:t>
      </w:r>
      <w:r>
        <w:rPr>
          <w:rFonts w:ascii="Segoe UI"/>
          <w:color w:val="67973F"/>
          <w:sz w:val="19"/>
        </w:rPr>
        <w:t>a</w:t>
      </w:r>
      <w:r>
        <w:rPr>
          <w:rFonts w:ascii="Segoe UI"/>
          <w:color w:val="67973F"/>
          <w:spacing w:val="-2"/>
          <w:sz w:val="19"/>
        </w:rPr>
        <w:t> </w:t>
      </w:r>
      <w:r>
        <w:rPr>
          <w:rFonts w:ascii="Segoe UI"/>
          <w:color w:val="67973F"/>
          <w:spacing w:val="-1"/>
          <w:sz w:val="19"/>
        </w:rPr>
        <w:t>Catholic</w:t>
      </w:r>
      <w:r>
        <w:rPr>
          <w:rFonts w:ascii="Segoe UI"/>
          <w:color w:val="67973F"/>
          <w:spacing w:val="-2"/>
          <w:sz w:val="19"/>
        </w:rPr>
        <w:t> </w:t>
      </w:r>
      <w:r>
        <w:rPr>
          <w:rFonts w:ascii="Segoe UI"/>
          <w:color w:val="67973F"/>
          <w:spacing w:val="-1"/>
          <w:sz w:val="19"/>
        </w:rPr>
        <w:t>special </w:t>
      </w:r>
      <w:r>
        <w:rPr>
          <w:rFonts w:ascii="Segoe UI"/>
          <w:color w:val="67973F"/>
          <w:sz w:val="19"/>
        </w:rPr>
        <w:t>assistance</w:t>
      </w:r>
      <w:r>
        <w:rPr>
          <w:rFonts w:ascii="Segoe UI"/>
          <w:color w:val="67973F"/>
          <w:spacing w:val="-3"/>
          <w:sz w:val="19"/>
        </w:rPr>
        <w:t> </w:t>
      </w:r>
      <w:r>
        <w:rPr>
          <w:rFonts w:ascii="Segoe UI"/>
          <w:color w:val="67973F"/>
          <w:spacing w:val="-1"/>
          <w:sz w:val="19"/>
        </w:rPr>
        <w:t>school</w:t>
      </w:r>
      <w:r>
        <w:rPr>
          <w:rFonts w:ascii="Segoe UI"/>
          <w:color w:val="67973F"/>
          <w:spacing w:val="24"/>
          <w:sz w:val="19"/>
        </w:rPr>
        <w:t> </w:t>
      </w:r>
      <w:r>
        <w:rPr>
          <w:rFonts w:ascii="Segoe UI"/>
          <w:color w:val="67973F"/>
          <w:sz w:val="19"/>
        </w:rPr>
        <w:t>for</w:t>
      </w:r>
      <w:r>
        <w:rPr>
          <w:rFonts w:ascii="Segoe UI"/>
          <w:color w:val="67973F"/>
          <w:spacing w:val="-5"/>
          <w:sz w:val="19"/>
        </w:rPr>
        <w:t> </w:t>
      </w:r>
      <w:r>
        <w:rPr>
          <w:rFonts w:ascii="Segoe UI"/>
          <w:color w:val="67973F"/>
          <w:sz w:val="19"/>
        </w:rPr>
        <w:t>high</w:t>
      </w:r>
      <w:r>
        <w:rPr>
          <w:rFonts w:ascii="Segoe UI"/>
          <w:color w:val="67973F"/>
          <w:spacing w:val="-5"/>
          <w:sz w:val="19"/>
        </w:rPr>
        <w:t> </w:t>
      </w:r>
      <w:r>
        <w:rPr>
          <w:rFonts w:ascii="Segoe UI"/>
          <w:color w:val="67973F"/>
          <w:sz w:val="19"/>
        </w:rPr>
        <w:t>needs</w:t>
      </w:r>
      <w:r>
        <w:rPr>
          <w:rFonts w:ascii="Segoe UI"/>
          <w:color w:val="67973F"/>
          <w:spacing w:val="-5"/>
          <w:sz w:val="19"/>
        </w:rPr>
        <w:t> </w:t>
      </w:r>
      <w:r>
        <w:rPr>
          <w:rFonts w:ascii="Segoe UI"/>
          <w:color w:val="67973F"/>
          <w:sz w:val="19"/>
        </w:rPr>
        <w:t>Aboriginal</w:t>
      </w:r>
      <w:r>
        <w:rPr>
          <w:rFonts w:ascii="Segoe UI"/>
          <w:color w:val="67973F"/>
          <w:spacing w:val="-4"/>
          <w:sz w:val="19"/>
        </w:rPr>
        <w:t> </w:t>
      </w:r>
      <w:r>
        <w:rPr>
          <w:rFonts w:ascii="Segoe UI"/>
          <w:color w:val="67973F"/>
          <w:spacing w:val="-1"/>
          <w:sz w:val="19"/>
        </w:rPr>
        <w:t>students</w:t>
      </w:r>
      <w:r>
        <w:rPr>
          <w:rFonts w:ascii="Segoe UI"/>
          <w:color w:val="67973F"/>
          <w:spacing w:val="-5"/>
          <w:sz w:val="19"/>
        </w:rPr>
        <w:t> </w:t>
      </w:r>
      <w:r>
        <w:rPr>
          <w:rFonts w:ascii="Segoe UI"/>
          <w:color w:val="67973F"/>
          <w:sz w:val="19"/>
        </w:rPr>
        <w:t>and</w:t>
      </w:r>
      <w:r>
        <w:rPr>
          <w:rFonts w:ascii="Segoe UI"/>
          <w:color w:val="67973F"/>
          <w:spacing w:val="-5"/>
          <w:sz w:val="19"/>
        </w:rPr>
        <w:t> </w:t>
      </w:r>
      <w:r>
        <w:rPr>
          <w:rFonts w:ascii="Segoe UI"/>
          <w:color w:val="67973F"/>
          <w:sz w:val="19"/>
        </w:rPr>
        <w:t>operates</w:t>
      </w:r>
      <w:r>
        <w:rPr>
          <w:rFonts w:ascii="Segoe UI"/>
          <w:color w:val="67973F"/>
          <w:spacing w:val="22"/>
          <w:w w:val="99"/>
          <w:sz w:val="19"/>
        </w:rPr>
        <w:t> </w:t>
      </w:r>
      <w:r>
        <w:rPr>
          <w:rFonts w:ascii="Segoe UI"/>
          <w:color w:val="67973F"/>
          <w:sz w:val="19"/>
        </w:rPr>
        <w:t>across</w:t>
      </w:r>
      <w:r>
        <w:rPr>
          <w:rFonts w:ascii="Segoe UI"/>
          <w:color w:val="67973F"/>
          <w:spacing w:val="-5"/>
          <w:sz w:val="19"/>
        </w:rPr>
        <w:t> </w:t>
      </w:r>
      <w:r>
        <w:rPr>
          <w:rFonts w:ascii="Segoe UI"/>
          <w:color w:val="67973F"/>
          <w:sz w:val="19"/>
        </w:rPr>
        <w:t>two</w:t>
      </w:r>
      <w:r>
        <w:rPr>
          <w:rFonts w:ascii="Segoe UI"/>
          <w:color w:val="67973F"/>
          <w:spacing w:val="-3"/>
          <w:sz w:val="19"/>
        </w:rPr>
        <w:t> </w:t>
      </w:r>
      <w:r>
        <w:rPr>
          <w:rFonts w:ascii="Segoe UI"/>
          <w:color w:val="67973F"/>
          <w:sz w:val="19"/>
        </w:rPr>
        <w:t>campuses,</w:t>
      </w:r>
      <w:r>
        <w:rPr>
          <w:rFonts w:ascii="Segoe UI"/>
          <w:color w:val="67973F"/>
          <w:spacing w:val="-4"/>
          <w:sz w:val="19"/>
        </w:rPr>
        <w:t> </w:t>
      </w:r>
      <w:r>
        <w:rPr>
          <w:rFonts w:ascii="Segoe UI"/>
          <w:color w:val="67973F"/>
          <w:sz w:val="19"/>
        </w:rPr>
        <w:t>one</w:t>
      </w:r>
      <w:r>
        <w:rPr>
          <w:rFonts w:ascii="Segoe UI"/>
          <w:color w:val="67973F"/>
          <w:spacing w:val="-3"/>
          <w:sz w:val="19"/>
        </w:rPr>
        <w:t> </w:t>
      </w:r>
      <w:r>
        <w:rPr>
          <w:rFonts w:ascii="Segoe UI"/>
          <w:color w:val="67973F"/>
          <w:spacing w:val="-1"/>
          <w:sz w:val="19"/>
        </w:rPr>
        <w:t>in</w:t>
      </w:r>
      <w:r>
        <w:rPr>
          <w:rFonts w:ascii="Segoe UI"/>
          <w:color w:val="67973F"/>
          <w:spacing w:val="-4"/>
          <w:sz w:val="19"/>
        </w:rPr>
        <w:t> </w:t>
      </w:r>
      <w:r>
        <w:rPr>
          <w:rFonts w:ascii="Segoe UI"/>
          <w:color w:val="67973F"/>
          <w:sz w:val="19"/>
        </w:rPr>
        <w:t>Manoora,</w:t>
      </w:r>
      <w:r>
        <w:rPr>
          <w:rFonts w:ascii="Segoe UI"/>
          <w:color w:val="67973F"/>
          <w:spacing w:val="-3"/>
          <w:sz w:val="19"/>
        </w:rPr>
        <w:t> </w:t>
      </w:r>
      <w:r>
        <w:rPr>
          <w:rFonts w:ascii="Segoe UI"/>
          <w:color w:val="67973F"/>
          <w:spacing w:val="-1"/>
          <w:sz w:val="19"/>
        </w:rPr>
        <w:t>Cairns</w:t>
      </w:r>
      <w:r>
        <w:rPr>
          <w:rFonts w:ascii="Segoe UI"/>
          <w:color w:val="67973F"/>
          <w:spacing w:val="21"/>
          <w:sz w:val="19"/>
        </w:rPr>
        <w:t> </w:t>
      </w:r>
      <w:r>
        <w:rPr>
          <w:rFonts w:ascii="Segoe UI"/>
          <w:color w:val="67973F"/>
          <w:sz w:val="19"/>
        </w:rPr>
        <w:t>and</w:t>
      </w:r>
      <w:r>
        <w:rPr>
          <w:rFonts w:ascii="Segoe UI"/>
          <w:color w:val="67973F"/>
          <w:spacing w:val="-6"/>
          <w:sz w:val="19"/>
        </w:rPr>
        <w:t> </w:t>
      </w:r>
      <w:r>
        <w:rPr>
          <w:rFonts w:ascii="Segoe UI"/>
          <w:color w:val="67973F"/>
          <w:sz w:val="19"/>
        </w:rPr>
        <w:t>a</w:t>
      </w:r>
      <w:r>
        <w:rPr>
          <w:rFonts w:ascii="Segoe UI"/>
          <w:color w:val="67973F"/>
          <w:spacing w:val="-4"/>
          <w:sz w:val="19"/>
        </w:rPr>
        <w:t> </w:t>
      </w:r>
      <w:r>
        <w:rPr>
          <w:rFonts w:ascii="Segoe UI"/>
          <w:color w:val="67973F"/>
          <w:sz w:val="19"/>
        </w:rPr>
        <w:t>co-ed</w:t>
      </w:r>
      <w:r>
        <w:rPr>
          <w:rFonts w:ascii="Segoe UI"/>
          <w:color w:val="67973F"/>
          <w:spacing w:val="-5"/>
          <w:sz w:val="19"/>
        </w:rPr>
        <w:t> </w:t>
      </w:r>
      <w:r>
        <w:rPr>
          <w:rFonts w:ascii="Segoe UI"/>
          <w:color w:val="67973F"/>
          <w:sz w:val="19"/>
        </w:rPr>
        <w:t>boarding</w:t>
      </w:r>
      <w:r>
        <w:rPr>
          <w:rFonts w:ascii="Segoe UI"/>
          <w:color w:val="67973F"/>
          <w:spacing w:val="-6"/>
          <w:sz w:val="19"/>
        </w:rPr>
        <w:t> </w:t>
      </w:r>
      <w:r>
        <w:rPr>
          <w:rFonts w:ascii="Segoe UI"/>
          <w:color w:val="67973F"/>
          <w:sz w:val="19"/>
        </w:rPr>
        <w:t>facility</w:t>
      </w:r>
      <w:r>
        <w:rPr>
          <w:rFonts w:ascii="Segoe UI"/>
          <w:color w:val="67973F"/>
          <w:spacing w:val="-5"/>
          <w:sz w:val="19"/>
        </w:rPr>
        <w:t> </w:t>
      </w:r>
      <w:r>
        <w:rPr>
          <w:rFonts w:ascii="Segoe UI"/>
          <w:color w:val="67973F"/>
          <w:spacing w:val="-1"/>
          <w:sz w:val="19"/>
        </w:rPr>
        <w:t>in</w:t>
      </w:r>
      <w:r>
        <w:rPr>
          <w:rFonts w:ascii="Segoe UI"/>
          <w:color w:val="67973F"/>
          <w:spacing w:val="-4"/>
          <w:sz w:val="19"/>
        </w:rPr>
        <w:t> </w:t>
      </w:r>
      <w:r>
        <w:rPr>
          <w:rFonts w:ascii="Segoe UI"/>
          <w:color w:val="67973F"/>
          <w:spacing w:val="-1"/>
          <w:sz w:val="19"/>
        </w:rPr>
        <w:t>Cooktown.</w:t>
      </w:r>
      <w:r>
        <w:rPr>
          <w:rFonts w:ascii="Segoe UI"/>
          <w:sz w:val="19"/>
        </w:rPr>
      </w:r>
    </w:p>
    <w:p>
      <w:pPr>
        <w:spacing w:line="265" w:lineRule="auto" w:before="0"/>
        <w:ind w:left="100" w:right="243" w:firstLine="0"/>
        <w:jc w:val="left"/>
        <w:rPr>
          <w:rFonts w:ascii="Segoe UI" w:hAnsi="Segoe UI" w:cs="Segoe UI" w:eastAsia="Segoe UI"/>
          <w:sz w:val="19"/>
          <w:szCs w:val="19"/>
        </w:rPr>
      </w:pPr>
      <w:r>
        <w:rPr>
          <w:rFonts w:ascii="Segoe UI"/>
          <w:color w:val="67973F"/>
          <w:spacing w:val="-1"/>
          <w:sz w:val="19"/>
        </w:rPr>
        <w:t>Boarding</w:t>
      </w:r>
      <w:r>
        <w:rPr>
          <w:rFonts w:ascii="Segoe UI"/>
          <w:color w:val="67973F"/>
          <w:spacing w:val="-4"/>
          <w:sz w:val="19"/>
        </w:rPr>
        <w:t> </w:t>
      </w:r>
      <w:r>
        <w:rPr>
          <w:rFonts w:ascii="Segoe UI"/>
          <w:color w:val="67973F"/>
          <w:sz w:val="19"/>
        </w:rPr>
        <w:t>opened</w:t>
      </w:r>
      <w:r>
        <w:rPr>
          <w:rFonts w:ascii="Segoe UI"/>
          <w:color w:val="67973F"/>
          <w:spacing w:val="-4"/>
          <w:sz w:val="19"/>
        </w:rPr>
        <w:t> </w:t>
      </w:r>
      <w:r>
        <w:rPr>
          <w:rFonts w:ascii="Segoe UI"/>
          <w:color w:val="67973F"/>
          <w:spacing w:val="-1"/>
          <w:sz w:val="19"/>
        </w:rPr>
        <w:t>in</w:t>
      </w:r>
      <w:r>
        <w:rPr>
          <w:rFonts w:ascii="Segoe UI"/>
          <w:color w:val="67973F"/>
          <w:spacing w:val="-4"/>
          <w:sz w:val="19"/>
        </w:rPr>
        <w:t> </w:t>
      </w:r>
      <w:r>
        <w:rPr>
          <w:rFonts w:ascii="Segoe UI"/>
          <w:color w:val="67973F"/>
          <w:spacing w:val="-1"/>
          <w:sz w:val="19"/>
        </w:rPr>
        <w:t>mid-2015</w:t>
      </w:r>
      <w:r>
        <w:rPr>
          <w:rFonts w:ascii="Segoe UI"/>
          <w:color w:val="67973F"/>
          <w:spacing w:val="-3"/>
          <w:sz w:val="19"/>
        </w:rPr>
        <w:t> </w:t>
      </w:r>
      <w:r>
        <w:rPr>
          <w:rFonts w:ascii="Segoe UI"/>
          <w:color w:val="67973F"/>
          <w:spacing w:val="-1"/>
          <w:sz w:val="19"/>
        </w:rPr>
        <w:t>in</w:t>
      </w:r>
      <w:r>
        <w:rPr>
          <w:rFonts w:ascii="Segoe UI"/>
          <w:color w:val="67973F"/>
          <w:spacing w:val="-4"/>
          <w:sz w:val="19"/>
        </w:rPr>
        <w:t> </w:t>
      </w:r>
      <w:r>
        <w:rPr>
          <w:rFonts w:ascii="Segoe UI"/>
          <w:color w:val="67973F"/>
          <w:sz w:val="19"/>
        </w:rPr>
        <w:t>response</w:t>
      </w:r>
      <w:r>
        <w:rPr>
          <w:rFonts w:ascii="Segoe UI"/>
          <w:color w:val="67973F"/>
          <w:spacing w:val="-4"/>
          <w:sz w:val="19"/>
        </w:rPr>
        <w:t> </w:t>
      </w:r>
      <w:r>
        <w:rPr>
          <w:rFonts w:ascii="Segoe UI"/>
          <w:color w:val="67973F"/>
          <w:sz w:val="19"/>
        </w:rPr>
        <w:t>to</w:t>
      </w:r>
      <w:r>
        <w:rPr>
          <w:rFonts w:ascii="Segoe UI"/>
          <w:color w:val="67973F"/>
          <w:spacing w:val="-4"/>
          <w:sz w:val="19"/>
        </w:rPr>
        <w:t> </w:t>
      </w:r>
      <w:r>
        <w:rPr>
          <w:rFonts w:ascii="Segoe UI"/>
          <w:color w:val="67973F"/>
          <w:sz w:val="19"/>
        </w:rPr>
        <w:t>a</w:t>
      </w:r>
      <w:r>
        <w:rPr>
          <w:rFonts w:ascii="Segoe UI"/>
          <w:color w:val="67973F"/>
          <w:spacing w:val="25"/>
          <w:w w:val="99"/>
          <w:sz w:val="19"/>
        </w:rPr>
        <w:t> </w:t>
      </w:r>
      <w:r>
        <w:rPr>
          <w:rFonts w:ascii="Segoe UI"/>
          <w:color w:val="67973F"/>
          <w:sz w:val="19"/>
        </w:rPr>
        <w:t>need</w:t>
      </w:r>
      <w:r>
        <w:rPr>
          <w:rFonts w:ascii="Segoe UI"/>
          <w:color w:val="67973F"/>
          <w:spacing w:val="-5"/>
          <w:sz w:val="19"/>
        </w:rPr>
        <w:t> </w:t>
      </w:r>
      <w:r>
        <w:rPr>
          <w:rFonts w:ascii="Segoe UI"/>
          <w:color w:val="67973F"/>
          <w:sz w:val="19"/>
        </w:rPr>
        <w:t>to</w:t>
      </w:r>
      <w:r>
        <w:rPr>
          <w:rFonts w:ascii="Segoe UI"/>
          <w:color w:val="67973F"/>
          <w:spacing w:val="-4"/>
          <w:sz w:val="19"/>
        </w:rPr>
        <w:t> </w:t>
      </w:r>
      <w:r>
        <w:rPr>
          <w:rFonts w:ascii="Segoe UI"/>
          <w:color w:val="67973F"/>
          <w:sz w:val="19"/>
        </w:rPr>
        <w:t>provide</w:t>
      </w:r>
      <w:r>
        <w:rPr>
          <w:rFonts w:ascii="Segoe UI"/>
          <w:color w:val="67973F"/>
          <w:spacing w:val="-5"/>
          <w:sz w:val="19"/>
        </w:rPr>
        <w:t> </w:t>
      </w:r>
      <w:r>
        <w:rPr>
          <w:rFonts w:ascii="Segoe UI"/>
          <w:color w:val="67973F"/>
          <w:sz w:val="19"/>
        </w:rPr>
        <w:t>boarding</w:t>
      </w:r>
      <w:r>
        <w:rPr>
          <w:rFonts w:ascii="Segoe UI"/>
          <w:color w:val="67973F"/>
          <w:spacing w:val="-4"/>
          <w:sz w:val="19"/>
        </w:rPr>
        <w:t> </w:t>
      </w:r>
      <w:r>
        <w:rPr>
          <w:rFonts w:ascii="Segoe UI"/>
          <w:color w:val="67973F"/>
          <w:sz w:val="19"/>
        </w:rPr>
        <w:t>options</w:t>
      </w:r>
      <w:r>
        <w:rPr>
          <w:rFonts w:ascii="Segoe UI"/>
          <w:color w:val="67973F"/>
          <w:spacing w:val="-5"/>
          <w:sz w:val="19"/>
        </w:rPr>
        <w:t> </w:t>
      </w:r>
      <w:r>
        <w:rPr>
          <w:rFonts w:ascii="Segoe UI"/>
          <w:color w:val="67973F"/>
          <w:sz w:val="19"/>
        </w:rPr>
        <w:t>for</w:t>
      </w:r>
      <w:r>
        <w:rPr>
          <w:rFonts w:ascii="Segoe UI"/>
          <w:color w:val="67973F"/>
          <w:spacing w:val="-4"/>
          <w:sz w:val="19"/>
        </w:rPr>
        <w:t> </w:t>
      </w:r>
      <w:r>
        <w:rPr>
          <w:rFonts w:ascii="Segoe UI"/>
          <w:color w:val="67973F"/>
          <w:spacing w:val="-1"/>
          <w:sz w:val="19"/>
        </w:rPr>
        <w:t>Cape</w:t>
      </w:r>
      <w:r>
        <w:rPr>
          <w:rFonts w:ascii="Segoe UI"/>
          <w:color w:val="67973F"/>
          <w:spacing w:val="-4"/>
          <w:sz w:val="19"/>
        </w:rPr>
        <w:t> </w:t>
      </w:r>
      <w:r>
        <w:rPr>
          <w:rFonts w:ascii="Segoe UI"/>
          <w:color w:val="67973F"/>
          <w:spacing w:val="-6"/>
          <w:sz w:val="19"/>
        </w:rPr>
        <w:t>York</w:t>
      </w:r>
      <w:r>
        <w:rPr>
          <w:rFonts w:ascii="Segoe UI"/>
          <w:color w:val="67973F"/>
          <w:spacing w:val="24"/>
          <w:w w:val="99"/>
          <w:sz w:val="19"/>
        </w:rPr>
        <w:t> </w:t>
      </w:r>
      <w:r>
        <w:rPr>
          <w:rFonts w:ascii="Segoe UI"/>
          <w:color w:val="67973F"/>
          <w:spacing w:val="-1"/>
          <w:sz w:val="19"/>
        </w:rPr>
        <w:t>students,</w:t>
      </w:r>
      <w:r>
        <w:rPr>
          <w:rFonts w:ascii="Segoe UI"/>
          <w:color w:val="67973F"/>
          <w:spacing w:val="-5"/>
          <w:sz w:val="19"/>
        </w:rPr>
        <w:t> </w:t>
      </w:r>
      <w:r>
        <w:rPr>
          <w:rFonts w:ascii="Segoe UI"/>
          <w:color w:val="67973F"/>
          <w:sz w:val="19"/>
        </w:rPr>
        <w:t>particularly</w:t>
      </w:r>
      <w:r>
        <w:rPr>
          <w:rFonts w:ascii="Segoe UI"/>
          <w:color w:val="67973F"/>
          <w:spacing w:val="-7"/>
          <w:sz w:val="19"/>
        </w:rPr>
        <w:t> </w:t>
      </w:r>
      <w:r>
        <w:rPr>
          <w:rFonts w:ascii="Segoe UI"/>
          <w:color w:val="67973F"/>
          <w:sz w:val="19"/>
        </w:rPr>
        <w:t>those</w:t>
      </w:r>
      <w:r>
        <w:rPr>
          <w:rFonts w:ascii="Segoe UI"/>
          <w:color w:val="67973F"/>
          <w:spacing w:val="-6"/>
          <w:sz w:val="19"/>
        </w:rPr>
        <w:t> </w:t>
      </w:r>
      <w:r>
        <w:rPr>
          <w:rFonts w:ascii="Segoe UI"/>
          <w:color w:val="67973F"/>
          <w:sz w:val="19"/>
        </w:rPr>
        <w:t>from</w:t>
      </w:r>
      <w:r>
        <w:rPr>
          <w:rFonts w:ascii="Segoe UI"/>
          <w:color w:val="67973F"/>
          <w:spacing w:val="-6"/>
          <w:sz w:val="19"/>
        </w:rPr>
        <w:t> </w:t>
      </w:r>
      <w:r>
        <w:rPr>
          <w:rFonts w:ascii="Segoe UI"/>
          <w:color w:val="67973F"/>
          <w:sz w:val="19"/>
        </w:rPr>
        <w:t>the</w:t>
      </w:r>
      <w:r>
        <w:rPr>
          <w:rFonts w:ascii="Segoe UI"/>
          <w:color w:val="67973F"/>
          <w:spacing w:val="-7"/>
          <w:sz w:val="19"/>
        </w:rPr>
        <w:t> </w:t>
      </w:r>
      <w:r>
        <w:rPr>
          <w:rFonts w:ascii="Segoe UI"/>
          <w:color w:val="67973F"/>
          <w:sz w:val="19"/>
        </w:rPr>
        <w:t>community</w:t>
      </w:r>
      <w:r>
        <w:rPr>
          <w:rFonts w:ascii="Segoe UI"/>
          <w:color w:val="67973F"/>
          <w:spacing w:val="22"/>
          <w:sz w:val="19"/>
        </w:rPr>
        <w:t> </w:t>
      </w:r>
      <w:r>
        <w:rPr>
          <w:rFonts w:ascii="Segoe UI"/>
          <w:color w:val="67973F"/>
          <w:sz w:val="19"/>
        </w:rPr>
        <w:t>of</w:t>
      </w:r>
      <w:r>
        <w:rPr>
          <w:rFonts w:ascii="Segoe UI"/>
          <w:color w:val="67973F"/>
          <w:spacing w:val="-11"/>
          <w:sz w:val="19"/>
        </w:rPr>
        <w:t> </w:t>
      </w:r>
      <w:r>
        <w:rPr>
          <w:rFonts w:ascii="Segoe UI"/>
          <w:color w:val="67973F"/>
          <w:sz w:val="19"/>
        </w:rPr>
        <w:t>Hopevale.</w:t>
      </w:r>
      <w:r>
        <w:rPr>
          <w:rFonts w:ascii="Segoe UI"/>
          <w:sz w:val="19"/>
        </w:rPr>
      </w:r>
    </w:p>
    <w:p>
      <w:pPr>
        <w:spacing w:line="265" w:lineRule="auto" w:before="113"/>
        <w:ind w:left="100" w:right="132" w:firstLine="0"/>
        <w:jc w:val="left"/>
        <w:rPr>
          <w:rFonts w:ascii="Segoe UI" w:hAnsi="Segoe UI" w:cs="Segoe UI" w:eastAsia="Segoe UI"/>
          <w:sz w:val="19"/>
          <w:szCs w:val="19"/>
        </w:rPr>
      </w:pPr>
      <w:r>
        <w:rPr>
          <w:rFonts w:ascii="Segoe UI"/>
          <w:color w:val="67973F"/>
          <w:sz w:val="19"/>
        </w:rPr>
        <w:t>The</w:t>
      </w:r>
      <w:r>
        <w:rPr>
          <w:rFonts w:ascii="Segoe UI"/>
          <w:color w:val="67973F"/>
          <w:spacing w:val="-4"/>
          <w:sz w:val="19"/>
        </w:rPr>
        <w:t> </w:t>
      </w:r>
      <w:r>
        <w:rPr>
          <w:rFonts w:ascii="Segoe UI"/>
          <w:color w:val="67973F"/>
          <w:spacing w:val="-1"/>
          <w:sz w:val="19"/>
        </w:rPr>
        <w:t>Cooktown</w:t>
      </w:r>
      <w:r>
        <w:rPr>
          <w:rFonts w:ascii="Segoe UI"/>
          <w:color w:val="67973F"/>
          <w:spacing w:val="-3"/>
          <w:sz w:val="19"/>
        </w:rPr>
        <w:t> </w:t>
      </w:r>
      <w:r>
        <w:rPr>
          <w:rFonts w:ascii="Segoe UI"/>
          <w:color w:val="67973F"/>
          <w:sz w:val="19"/>
        </w:rPr>
        <w:t>campus</w:t>
      </w:r>
      <w:r>
        <w:rPr>
          <w:rFonts w:ascii="Segoe UI"/>
          <w:color w:val="67973F"/>
          <w:spacing w:val="-4"/>
          <w:sz w:val="19"/>
        </w:rPr>
        <w:t> </w:t>
      </w:r>
      <w:r>
        <w:rPr>
          <w:rFonts w:ascii="Segoe UI"/>
          <w:color w:val="67973F"/>
          <w:sz w:val="19"/>
        </w:rPr>
        <w:t>has</w:t>
      </w:r>
      <w:r>
        <w:rPr>
          <w:rFonts w:ascii="Segoe UI"/>
          <w:color w:val="67973F"/>
          <w:spacing w:val="-4"/>
          <w:sz w:val="19"/>
        </w:rPr>
        <w:t> </w:t>
      </w:r>
      <w:r>
        <w:rPr>
          <w:rFonts w:ascii="Segoe UI"/>
          <w:color w:val="67973F"/>
          <w:sz w:val="19"/>
        </w:rPr>
        <w:t>a</w:t>
      </w:r>
      <w:r>
        <w:rPr>
          <w:rFonts w:ascii="Segoe UI"/>
          <w:color w:val="67973F"/>
          <w:spacing w:val="-3"/>
          <w:sz w:val="19"/>
        </w:rPr>
        <w:t> </w:t>
      </w:r>
      <w:r>
        <w:rPr>
          <w:rFonts w:ascii="Segoe UI"/>
          <w:color w:val="67973F"/>
          <w:sz w:val="19"/>
        </w:rPr>
        <w:t>capacity</w:t>
      </w:r>
      <w:r>
        <w:rPr>
          <w:rFonts w:ascii="Segoe UI"/>
          <w:color w:val="67973F"/>
          <w:spacing w:val="-4"/>
          <w:sz w:val="19"/>
        </w:rPr>
        <w:t> </w:t>
      </w:r>
      <w:r>
        <w:rPr>
          <w:rFonts w:ascii="Segoe UI"/>
          <w:color w:val="67973F"/>
          <w:sz w:val="19"/>
        </w:rPr>
        <w:t>for</w:t>
      </w:r>
      <w:r>
        <w:rPr>
          <w:rFonts w:ascii="Segoe UI"/>
          <w:color w:val="67973F"/>
          <w:spacing w:val="-3"/>
          <w:sz w:val="19"/>
        </w:rPr>
        <w:t> </w:t>
      </w:r>
      <w:r>
        <w:rPr>
          <w:rFonts w:ascii="Segoe UI"/>
          <w:color w:val="67973F"/>
          <w:spacing w:val="-1"/>
          <w:sz w:val="19"/>
        </w:rPr>
        <w:t>38</w:t>
      </w:r>
      <w:r>
        <w:rPr>
          <w:rFonts w:ascii="Segoe UI"/>
          <w:color w:val="67973F"/>
          <w:spacing w:val="21"/>
          <w:sz w:val="19"/>
        </w:rPr>
        <w:t> </w:t>
      </w:r>
      <w:r>
        <w:rPr>
          <w:rFonts w:ascii="Segoe UI"/>
          <w:color w:val="67973F"/>
          <w:sz w:val="19"/>
        </w:rPr>
        <w:t>boarders</w:t>
      </w:r>
      <w:r>
        <w:rPr>
          <w:rFonts w:ascii="Segoe UI"/>
          <w:color w:val="67973F"/>
          <w:spacing w:val="-5"/>
          <w:sz w:val="19"/>
        </w:rPr>
        <w:t> </w:t>
      </w:r>
      <w:r>
        <w:rPr>
          <w:rFonts w:ascii="Segoe UI"/>
          <w:color w:val="67973F"/>
          <w:sz w:val="19"/>
        </w:rPr>
        <w:t>and</w:t>
      </w:r>
      <w:r>
        <w:rPr>
          <w:rFonts w:ascii="Segoe UI"/>
          <w:color w:val="67973F"/>
          <w:spacing w:val="-4"/>
          <w:sz w:val="19"/>
        </w:rPr>
        <w:t> </w:t>
      </w:r>
      <w:r>
        <w:rPr>
          <w:rFonts w:ascii="Segoe UI"/>
          <w:color w:val="67973F"/>
          <w:spacing w:val="-1"/>
          <w:sz w:val="19"/>
        </w:rPr>
        <w:t>in</w:t>
      </w:r>
      <w:r>
        <w:rPr>
          <w:rFonts w:ascii="Segoe UI"/>
          <w:color w:val="67973F"/>
          <w:spacing w:val="-4"/>
          <w:sz w:val="19"/>
        </w:rPr>
        <w:t> </w:t>
      </w:r>
      <w:r>
        <w:rPr>
          <w:rFonts w:ascii="Segoe UI"/>
          <w:color w:val="67973F"/>
          <w:sz w:val="19"/>
        </w:rPr>
        <w:t>term</w:t>
      </w:r>
      <w:r>
        <w:rPr>
          <w:rFonts w:ascii="Segoe UI"/>
          <w:color w:val="67973F"/>
          <w:spacing w:val="-4"/>
          <w:sz w:val="19"/>
        </w:rPr>
        <w:t> </w:t>
      </w:r>
      <w:r>
        <w:rPr>
          <w:rFonts w:ascii="Segoe UI"/>
          <w:color w:val="67973F"/>
          <w:spacing w:val="-1"/>
          <w:sz w:val="19"/>
        </w:rPr>
        <w:t>3,</w:t>
      </w:r>
      <w:r>
        <w:rPr>
          <w:rFonts w:ascii="Segoe UI"/>
          <w:color w:val="67973F"/>
          <w:spacing w:val="-4"/>
          <w:sz w:val="19"/>
        </w:rPr>
        <w:t> </w:t>
      </w:r>
      <w:r>
        <w:rPr>
          <w:rFonts w:ascii="Segoe UI"/>
          <w:color w:val="67973F"/>
          <w:spacing w:val="-1"/>
          <w:sz w:val="19"/>
        </w:rPr>
        <w:t>2018</w:t>
      </w:r>
      <w:r>
        <w:rPr>
          <w:rFonts w:ascii="Segoe UI"/>
          <w:color w:val="67973F"/>
          <w:spacing w:val="-4"/>
          <w:sz w:val="19"/>
        </w:rPr>
        <w:t> </w:t>
      </w:r>
      <w:r>
        <w:rPr>
          <w:rFonts w:ascii="Segoe UI"/>
          <w:color w:val="67973F"/>
          <w:sz w:val="19"/>
        </w:rPr>
        <w:t>had</w:t>
      </w:r>
      <w:r>
        <w:rPr>
          <w:rFonts w:ascii="Segoe UI"/>
          <w:color w:val="67973F"/>
          <w:spacing w:val="-3"/>
          <w:sz w:val="19"/>
        </w:rPr>
        <w:t> </w:t>
      </w:r>
      <w:r>
        <w:rPr>
          <w:rFonts w:ascii="Segoe UI"/>
          <w:color w:val="67973F"/>
          <w:sz w:val="19"/>
        </w:rPr>
        <w:t>an</w:t>
      </w:r>
      <w:r>
        <w:rPr>
          <w:rFonts w:ascii="Segoe UI"/>
          <w:color w:val="67973F"/>
          <w:spacing w:val="-5"/>
          <w:sz w:val="19"/>
        </w:rPr>
        <w:t> </w:t>
      </w:r>
      <w:r>
        <w:rPr>
          <w:rFonts w:ascii="Segoe UI"/>
          <w:color w:val="67973F"/>
          <w:sz w:val="19"/>
        </w:rPr>
        <w:t>enrolment</w:t>
      </w:r>
      <w:r>
        <w:rPr>
          <w:rFonts w:ascii="Segoe UI"/>
          <w:color w:val="67973F"/>
          <w:spacing w:val="-4"/>
          <w:sz w:val="19"/>
        </w:rPr>
        <w:t> </w:t>
      </w:r>
      <w:r>
        <w:rPr>
          <w:rFonts w:ascii="Segoe UI"/>
          <w:color w:val="67973F"/>
          <w:sz w:val="19"/>
        </w:rPr>
        <w:t>of</w:t>
      </w:r>
      <w:r>
        <w:rPr>
          <w:rFonts w:ascii="Segoe UI"/>
          <w:sz w:val="19"/>
        </w:rPr>
      </w:r>
    </w:p>
    <w:p>
      <w:pPr>
        <w:spacing w:line="265" w:lineRule="auto" w:before="0"/>
        <w:ind w:left="100" w:right="243" w:firstLine="0"/>
        <w:jc w:val="left"/>
        <w:rPr>
          <w:rFonts w:ascii="Segoe UI" w:hAnsi="Segoe UI" w:cs="Segoe UI" w:eastAsia="Segoe UI"/>
          <w:sz w:val="19"/>
          <w:szCs w:val="19"/>
        </w:rPr>
      </w:pPr>
      <w:r>
        <w:rPr>
          <w:rFonts w:ascii="Segoe UI"/>
          <w:color w:val="67973F"/>
          <w:spacing w:val="-1"/>
          <w:sz w:val="19"/>
        </w:rPr>
        <w:t>26.</w:t>
      </w:r>
      <w:r>
        <w:rPr>
          <w:rFonts w:ascii="Segoe UI"/>
          <w:color w:val="67973F"/>
          <w:spacing w:val="-6"/>
          <w:sz w:val="19"/>
        </w:rPr>
        <w:t> </w:t>
      </w:r>
      <w:r>
        <w:rPr>
          <w:rFonts w:ascii="Segoe UI"/>
          <w:color w:val="67973F"/>
          <w:sz w:val="19"/>
        </w:rPr>
        <w:t>The</w:t>
      </w:r>
      <w:r>
        <w:rPr>
          <w:rFonts w:ascii="Segoe UI"/>
          <w:color w:val="67973F"/>
          <w:spacing w:val="-5"/>
          <w:sz w:val="19"/>
        </w:rPr>
        <w:t> </w:t>
      </w:r>
      <w:r>
        <w:rPr>
          <w:rFonts w:ascii="Segoe UI"/>
          <w:color w:val="67973F"/>
          <w:spacing w:val="-1"/>
          <w:sz w:val="19"/>
        </w:rPr>
        <w:t>majority</w:t>
      </w:r>
      <w:r>
        <w:rPr>
          <w:rFonts w:ascii="Segoe UI"/>
          <w:color w:val="67973F"/>
          <w:spacing w:val="-5"/>
          <w:sz w:val="19"/>
        </w:rPr>
        <w:t> </w:t>
      </w:r>
      <w:r>
        <w:rPr>
          <w:rFonts w:ascii="Segoe UI"/>
          <w:color w:val="67973F"/>
          <w:sz w:val="19"/>
        </w:rPr>
        <w:t>of</w:t>
      </w:r>
      <w:r>
        <w:rPr>
          <w:rFonts w:ascii="Segoe UI"/>
          <w:color w:val="67973F"/>
          <w:spacing w:val="-5"/>
          <w:sz w:val="19"/>
        </w:rPr>
        <w:t> </w:t>
      </w:r>
      <w:r>
        <w:rPr>
          <w:rFonts w:ascii="Segoe UI"/>
          <w:color w:val="67973F"/>
          <w:sz w:val="19"/>
        </w:rPr>
        <w:t>boarders</w:t>
      </w:r>
      <w:r>
        <w:rPr>
          <w:rFonts w:ascii="Segoe UI"/>
          <w:color w:val="67973F"/>
          <w:spacing w:val="-6"/>
          <w:sz w:val="19"/>
        </w:rPr>
        <w:t> </w:t>
      </w:r>
      <w:r>
        <w:rPr>
          <w:rFonts w:ascii="Segoe UI"/>
          <w:color w:val="67973F"/>
          <w:sz w:val="19"/>
        </w:rPr>
        <w:t>are</w:t>
      </w:r>
      <w:r>
        <w:rPr>
          <w:rFonts w:ascii="Segoe UI"/>
          <w:color w:val="67973F"/>
          <w:spacing w:val="-6"/>
          <w:sz w:val="19"/>
        </w:rPr>
        <w:t> </w:t>
      </w:r>
      <w:r>
        <w:rPr>
          <w:rFonts w:ascii="Segoe UI"/>
          <w:color w:val="67973F"/>
          <w:sz w:val="19"/>
        </w:rPr>
        <w:t>from</w:t>
      </w:r>
      <w:r>
        <w:rPr>
          <w:rFonts w:ascii="Segoe UI"/>
          <w:color w:val="67973F"/>
          <w:spacing w:val="-6"/>
          <w:sz w:val="19"/>
        </w:rPr>
        <w:t> </w:t>
      </w:r>
      <w:r>
        <w:rPr>
          <w:rFonts w:ascii="Segoe UI"/>
          <w:color w:val="67973F"/>
          <w:sz w:val="19"/>
        </w:rPr>
        <w:t>Hopevale</w:t>
      </w:r>
      <w:r>
        <w:rPr>
          <w:rFonts w:ascii="Segoe UI"/>
          <w:color w:val="67973F"/>
          <w:spacing w:val="23"/>
          <w:w w:val="99"/>
          <w:sz w:val="19"/>
        </w:rPr>
        <w:t> </w:t>
      </w:r>
      <w:r>
        <w:rPr>
          <w:rFonts w:ascii="Segoe UI"/>
          <w:color w:val="67973F"/>
          <w:sz w:val="19"/>
        </w:rPr>
        <w:t>and</w:t>
      </w:r>
      <w:r>
        <w:rPr>
          <w:rFonts w:ascii="Segoe UI"/>
          <w:color w:val="67973F"/>
          <w:spacing w:val="-4"/>
          <w:sz w:val="19"/>
        </w:rPr>
        <w:t> </w:t>
      </w:r>
      <w:r>
        <w:rPr>
          <w:rFonts w:ascii="Segoe UI"/>
          <w:color w:val="67973F"/>
          <w:sz w:val="19"/>
        </w:rPr>
        <w:t>they</w:t>
      </w:r>
      <w:r>
        <w:rPr>
          <w:rFonts w:ascii="Segoe UI"/>
          <w:color w:val="67973F"/>
          <w:spacing w:val="-4"/>
          <w:sz w:val="19"/>
        </w:rPr>
        <w:t> </w:t>
      </w:r>
      <w:r>
        <w:rPr>
          <w:rFonts w:ascii="Segoe UI"/>
          <w:color w:val="67973F"/>
          <w:sz w:val="19"/>
        </w:rPr>
        <w:t>are</w:t>
      </w:r>
      <w:r>
        <w:rPr>
          <w:rFonts w:ascii="Segoe UI"/>
          <w:color w:val="67973F"/>
          <w:spacing w:val="-4"/>
          <w:sz w:val="19"/>
        </w:rPr>
        <w:t> </w:t>
      </w:r>
      <w:r>
        <w:rPr>
          <w:rFonts w:ascii="Segoe UI"/>
          <w:color w:val="67973F"/>
          <w:sz w:val="19"/>
        </w:rPr>
        <w:t>free</w:t>
      </w:r>
      <w:r>
        <w:rPr>
          <w:rFonts w:ascii="Segoe UI"/>
          <w:color w:val="67973F"/>
          <w:spacing w:val="-3"/>
          <w:sz w:val="19"/>
        </w:rPr>
        <w:t> </w:t>
      </w:r>
      <w:r>
        <w:rPr>
          <w:rFonts w:ascii="Segoe UI"/>
          <w:color w:val="67973F"/>
          <w:sz w:val="19"/>
        </w:rPr>
        <w:t>to</w:t>
      </w:r>
      <w:r>
        <w:rPr>
          <w:rFonts w:ascii="Segoe UI"/>
          <w:color w:val="67973F"/>
          <w:spacing w:val="-3"/>
          <w:sz w:val="19"/>
        </w:rPr>
        <w:t> </w:t>
      </w:r>
      <w:r>
        <w:rPr>
          <w:rFonts w:ascii="Segoe UI"/>
          <w:color w:val="67973F"/>
          <w:sz w:val="19"/>
        </w:rPr>
        <w:t>return</w:t>
      </w:r>
      <w:r>
        <w:rPr>
          <w:rFonts w:ascii="Segoe UI"/>
          <w:color w:val="67973F"/>
          <w:spacing w:val="-4"/>
          <w:sz w:val="19"/>
        </w:rPr>
        <w:t> </w:t>
      </w:r>
      <w:r>
        <w:rPr>
          <w:rFonts w:ascii="Segoe UI"/>
          <w:color w:val="67973F"/>
          <w:sz w:val="19"/>
        </w:rPr>
        <w:t>to</w:t>
      </w:r>
      <w:r>
        <w:rPr>
          <w:rFonts w:ascii="Segoe UI"/>
          <w:color w:val="67973F"/>
          <w:spacing w:val="-3"/>
          <w:sz w:val="19"/>
        </w:rPr>
        <w:t> </w:t>
      </w:r>
      <w:r>
        <w:rPr>
          <w:rFonts w:ascii="Segoe UI"/>
          <w:color w:val="67973F"/>
          <w:sz w:val="19"/>
        </w:rPr>
        <w:t>community</w:t>
      </w:r>
      <w:r>
        <w:rPr>
          <w:rFonts w:ascii="Segoe UI"/>
          <w:color w:val="67973F"/>
          <w:spacing w:val="-4"/>
          <w:sz w:val="19"/>
        </w:rPr>
        <w:t> </w:t>
      </w:r>
      <w:r>
        <w:rPr>
          <w:rFonts w:ascii="Segoe UI"/>
          <w:color w:val="67973F"/>
          <w:sz w:val="19"/>
        </w:rPr>
        <w:t>on</w:t>
      </w:r>
      <w:r>
        <w:rPr>
          <w:rFonts w:ascii="Segoe UI"/>
          <w:color w:val="67973F"/>
          <w:w w:val="99"/>
          <w:sz w:val="19"/>
        </w:rPr>
        <w:t> </w:t>
      </w:r>
      <w:r>
        <w:rPr>
          <w:rFonts w:ascii="Segoe UI"/>
          <w:color w:val="67973F"/>
          <w:sz w:val="19"/>
        </w:rPr>
        <w:t>weekends.</w:t>
      </w:r>
      <w:r>
        <w:rPr>
          <w:rFonts w:ascii="Segoe UI"/>
          <w:sz w:val="19"/>
        </w:rPr>
      </w:r>
    </w:p>
    <w:p>
      <w:pPr>
        <w:spacing w:line="265" w:lineRule="auto" w:before="113"/>
        <w:ind w:left="100" w:right="132" w:firstLine="0"/>
        <w:jc w:val="left"/>
        <w:rPr>
          <w:rFonts w:ascii="Segoe UI" w:hAnsi="Segoe UI" w:cs="Segoe UI" w:eastAsia="Segoe UI"/>
          <w:sz w:val="19"/>
          <w:szCs w:val="19"/>
        </w:rPr>
      </w:pPr>
      <w:r>
        <w:rPr>
          <w:rFonts w:ascii="Segoe UI"/>
          <w:color w:val="67973F"/>
          <w:sz w:val="19"/>
        </w:rPr>
        <w:t>Holy</w:t>
      </w:r>
      <w:r>
        <w:rPr>
          <w:rFonts w:ascii="Segoe UI"/>
          <w:color w:val="67973F"/>
          <w:spacing w:val="-5"/>
          <w:sz w:val="19"/>
        </w:rPr>
        <w:t> </w:t>
      </w:r>
      <w:r>
        <w:rPr>
          <w:rFonts w:ascii="Segoe UI"/>
          <w:color w:val="67973F"/>
          <w:spacing w:val="-1"/>
          <w:sz w:val="19"/>
        </w:rPr>
        <w:t>Spirit</w:t>
      </w:r>
      <w:r>
        <w:rPr>
          <w:rFonts w:ascii="Segoe UI"/>
          <w:color w:val="67973F"/>
          <w:spacing w:val="-3"/>
          <w:sz w:val="19"/>
        </w:rPr>
        <w:t> </w:t>
      </w:r>
      <w:r>
        <w:rPr>
          <w:rFonts w:ascii="Segoe UI"/>
          <w:color w:val="67973F"/>
          <w:sz w:val="19"/>
        </w:rPr>
        <w:t>focusses</w:t>
      </w:r>
      <w:r>
        <w:rPr>
          <w:rFonts w:ascii="Segoe UI"/>
          <w:color w:val="67973F"/>
          <w:spacing w:val="-4"/>
          <w:sz w:val="19"/>
        </w:rPr>
        <w:t> </w:t>
      </w:r>
      <w:r>
        <w:rPr>
          <w:rFonts w:ascii="Segoe UI"/>
          <w:color w:val="67973F"/>
          <w:sz w:val="19"/>
        </w:rPr>
        <w:t>on</w:t>
      </w:r>
      <w:r>
        <w:rPr>
          <w:rFonts w:ascii="Segoe UI"/>
          <w:color w:val="67973F"/>
          <w:spacing w:val="-4"/>
          <w:sz w:val="19"/>
        </w:rPr>
        <w:t> </w:t>
      </w:r>
      <w:r>
        <w:rPr>
          <w:rFonts w:ascii="Segoe UI"/>
          <w:color w:val="67973F"/>
          <w:spacing w:val="-1"/>
          <w:sz w:val="19"/>
        </w:rPr>
        <w:t>students</w:t>
      </w:r>
      <w:r>
        <w:rPr>
          <w:rFonts w:ascii="Segoe UI"/>
          <w:color w:val="67973F"/>
          <w:spacing w:val="-3"/>
          <w:sz w:val="19"/>
        </w:rPr>
        <w:t> </w:t>
      </w:r>
      <w:r>
        <w:rPr>
          <w:rFonts w:ascii="Segoe UI"/>
          <w:color w:val="67973F"/>
          <w:sz w:val="19"/>
        </w:rPr>
        <w:t>that</w:t>
      </w:r>
      <w:r>
        <w:rPr>
          <w:rFonts w:ascii="Segoe UI"/>
          <w:color w:val="67973F"/>
          <w:spacing w:val="-4"/>
          <w:sz w:val="19"/>
        </w:rPr>
        <w:t> </w:t>
      </w:r>
      <w:r>
        <w:rPr>
          <w:rFonts w:ascii="Segoe UI"/>
          <w:color w:val="67973F"/>
          <w:sz w:val="19"/>
        </w:rPr>
        <w:t>dis-engaged</w:t>
      </w:r>
      <w:r>
        <w:rPr>
          <w:rFonts w:ascii="Segoe UI"/>
          <w:color w:val="67973F"/>
          <w:spacing w:val="23"/>
          <w:w w:val="99"/>
          <w:sz w:val="19"/>
        </w:rPr>
        <w:t> </w:t>
      </w:r>
      <w:r>
        <w:rPr>
          <w:rFonts w:ascii="Segoe UI"/>
          <w:color w:val="67973F"/>
          <w:sz w:val="19"/>
        </w:rPr>
        <w:t>from</w:t>
      </w:r>
      <w:r>
        <w:rPr>
          <w:rFonts w:ascii="Segoe UI"/>
          <w:color w:val="67973F"/>
          <w:spacing w:val="-5"/>
          <w:sz w:val="19"/>
        </w:rPr>
        <w:t> </w:t>
      </w:r>
      <w:r>
        <w:rPr>
          <w:rFonts w:ascii="Segoe UI"/>
          <w:color w:val="67973F"/>
          <w:spacing w:val="-1"/>
          <w:sz w:val="19"/>
        </w:rPr>
        <w:t>mainstream</w:t>
      </w:r>
      <w:r>
        <w:rPr>
          <w:rFonts w:ascii="Segoe UI"/>
          <w:color w:val="67973F"/>
          <w:spacing w:val="-4"/>
          <w:sz w:val="19"/>
        </w:rPr>
        <w:t> </w:t>
      </w:r>
      <w:r>
        <w:rPr>
          <w:rFonts w:ascii="Segoe UI"/>
          <w:color w:val="67973F"/>
          <w:sz w:val="19"/>
        </w:rPr>
        <w:t>education</w:t>
      </w:r>
      <w:r>
        <w:rPr>
          <w:rFonts w:ascii="Segoe UI"/>
          <w:color w:val="67973F"/>
          <w:spacing w:val="-6"/>
          <w:sz w:val="19"/>
        </w:rPr>
        <w:t> </w:t>
      </w:r>
      <w:r>
        <w:rPr>
          <w:rFonts w:ascii="Segoe UI"/>
          <w:color w:val="67973F"/>
          <w:sz w:val="19"/>
        </w:rPr>
        <w:t>and</w:t>
      </w:r>
      <w:r>
        <w:rPr>
          <w:rFonts w:ascii="Segoe UI"/>
          <w:color w:val="67973F"/>
          <w:spacing w:val="-5"/>
          <w:sz w:val="19"/>
        </w:rPr>
        <w:t> </w:t>
      </w:r>
      <w:r>
        <w:rPr>
          <w:rFonts w:ascii="Segoe UI"/>
          <w:color w:val="67973F"/>
          <w:sz w:val="19"/>
        </w:rPr>
        <w:t>provides</w:t>
      </w:r>
      <w:r>
        <w:rPr>
          <w:rFonts w:ascii="Segoe UI"/>
          <w:color w:val="67973F"/>
          <w:spacing w:val="-6"/>
          <w:sz w:val="19"/>
        </w:rPr>
        <w:t> </w:t>
      </w:r>
      <w:r>
        <w:rPr>
          <w:rFonts w:ascii="Segoe UI"/>
          <w:color w:val="67973F"/>
          <w:sz w:val="19"/>
        </w:rPr>
        <w:t>a</w:t>
      </w:r>
      <w:r>
        <w:rPr>
          <w:rFonts w:ascii="Segoe UI"/>
          <w:color w:val="67973F"/>
          <w:spacing w:val="22"/>
          <w:w w:val="99"/>
          <w:sz w:val="19"/>
        </w:rPr>
        <w:t> </w:t>
      </w:r>
      <w:r>
        <w:rPr>
          <w:rFonts w:ascii="Segoe UI"/>
          <w:color w:val="67973F"/>
          <w:sz w:val="19"/>
        </w:rPr>
        <w:t>modified school program for students based</w:t>
      </w:r>
      <w:r>
        <w:rPr>
          <w:rFonts w:ascii="Segoe UI"/>
          <w:sz w:val="19"/>
        </w:rPr>
      </w:r>
    </w:p>
    <w:p>
      <w:pPr>
        <w:spacing w:line="265" w:lineRule="auto" w:before="0"/>
        <w:ind w:left="100" w:right="247" w:firstLine="0"/>
        <w:jc w:val="left"/>
        <w:rPr>
          <w:rFonts w:ascii="Segoe UI" w:hAnsi="Segoe UI" w:cs="Segoe UI" w:eastAsia="Segoe UI"/>
          <w:sz w:val="19"/>
          <w:szCs w:val="19"/>
        </w:rPr>
      </w:pPr>
      <w:r>
        <w:rPr>
          <w:rFonts w:ascii="Segoe UI"/>
          <w:color w:val="67973F"/>
          <w:sz w:val="19"/>
        </w:rPr>
        <w:t>on</w:t>
      </w:r>
      <w:r>
        <w:rPr>
          <w:rFonts w:ascii="Segoe UI"/>
          <w:color w:val="67973F"/>
          <w:spacing w:val="-5"/>
          <w:sz w:val="19"/>
        </w:rPr>
        <w:t> </w:t>
      </w:r>
      <w:r>
        <w:rPr>
          <w:rFonts w:ascii="Segoe UI"/>
          <w:color w:val="67973F"/>
          <w:sz w:val="19"/>
        </w:rPr>
        <w:t>an</w:t>
      </w:r>
      <w:r>
        <w:rPr>
          <w:rFonts w:ascii="Segoe UI"/>
          <w:color w:val="67973F"/>
          <w:spacing w:val="-5"/>
          <w:sz w:val="19"/>
        </w:rPr>
        <w:t> </w:t>
      </w:r>
      <w:r>
        <w:rPr>
          <w:rFonts w:ascii="Segoe UI"/>
          <w:color w:val="67973F"/>
          <w:spacing w:val="-1"/>
          <w:sz w:val="19"/>
        </w:rPr>
        <w:t>individual</w:t>
      </w:r>
      <w:r>
        <w:rPr>
          <w:rFonts w:ascii="Segoe UI"/>
          <w:color w:val="67973F"/>
          <w:spacing w:val="-4"/>
          <w:sz w:val="19"/>
        </w:rPr>
        <w:t> </w:t>
      </w:r>
      <w:r>
        <w:rPr>
          <w:rFonts w:ascii="Segoe UI"/>
          <w:color w:val="67973F"/>
          <w:sz w:val="19"/>
        </w:rPr>
        <w:t>development</w:t>
      </w:r>
      <w:r>
        <w:rPr>
          <w:rFonts w:ascii="Segoe UI"/>
          <w:color w:val="67973F"/>
          <w:spacing w:val="-5"/>
          <w:sz w:val="19"/>
        </w:rPr>
        <w:t> </w:t>
      </w:r>
      <w:r>
        <w:rPr>
          <w:rFonts w:ascii="Segoe UI"/>
          <w:color w:val="67973F"/>
          <w:sz w:val="19"/>
        </w:rPr>
        <w:t>plan</w:t>
      </w:r>
      <w:r>
        <w:rPr>
          <w:rFonts w:ascii="Segoe UI"/>
          <w:color w:val="67973F"/>
          <w:spacing w:val="-5"/>
          <w:sz w:val="19"/>
        </w:rPr>
        <w:t> </w:t>
      </w:r>
      <w:r>
        <w:rPr>
          <w:rFonts w:ascii="Segoe UI"/>
          <w:color w:val="67973F"/>
          <w:sz w:val="19"/>
        </w:rPr>
        <w:t>for</w:t>
      </w:r>
      <w:r>
        <w:rPr>
          <w:rFonts w:ascii="Segoe UI"/>
          <w:color w:val="67973F"/>
          <w:spacing w:val="-5"/>
          <w:sz w:val="19"/>
        </w:rPr>
        <w:t> </w:t>
      </w:r>
      <w:r>
        <w:rPr>
          <w:rFonts w:ascii="Segoe UI"/>
          <w:color w:val="67973F"/>
          <w:sz w:val="19"/>
        </w:rPr>
        <w:t>each</w:t>
      </w:r>
      <w:r>
        <w:rPr>
          <w:rFonts w:ascii="Segoe UI"/>
          <w:color w:val="67973F"/>
          <w:spacing w:val="22"/>
          <w:w w:val="99"/>
          <w:sz w:val="19"/>
        </w:rPr>
        <w:t> </w:t>
      </w:r>
      <w:r>
        <w:rPr>
          <w:rFonts w:ascii="Segoe UI"/>
          <w:color w:val="67973F"/>
          <w:spacing w:val="-1"/>
          <w:sz w:val="19"/>
        </w:rPr>
        <w:t>student.</w:t>
      </w:r>
      <w:r>
        <w:rPr>
          <w:rFonts w:ascii="Segoe UI"/>
          <w:color w:val="67973F"/>
          <w:spacing w:val="-8"/>
          <w:sz w:val="19"/>
        </w:rPr>
        <w:t> </w:t>
      </w:r>
      <w:r>
        <w:rPr>
          <w:rFonts w:ascii="Segoe UI"/>
          <w:color w:val="67973F"/>
          <w:sz w:val="19"/>
        </w:rPr>
        <w:t>The</w:t>
      </w:r>
      <w:r>
        <w:rPr>
          <w:rFonts w:ascii="Segoe UI"/>
          <w:color w:val="67973F"/>
          <w:spacing w:val="-8"/>
          <w:sz w:val="19"/>
        </w:rPr>
        <w:t> </w:t>
      </w:r>
      <w:r>
        <w:rPr>
          <w:rFonts w:ascii="Segoe UI"/>
          <w:color w:val="67973F"/>
          <w:sz w:val="19"/>
        </w:rPr>
        <w:t>development</w:t>
      </w:r>
      <w:r>
        <w:rPr>
          <w:rFonts w:ascii="Segoe UI"/>
          <w:color w:val="67973F"/>
          <w:spacing w:val="-8"/>
          <w:sz w:val="19"/>
        </w:rPr>
        <w:t> </w:t>
      </w:r>
      <w:r>
        <w:rPr>
          <w:rFonts w:ascii="Segoe UI"/>
          <w:color w:val="67973F"/>
          <w:sz w:val="19"/>
        </w:rPr>
        <w:t>plan</w:t>
      </w:r>
      <w:r>
        <w:rPr>
          <w:rFonts w:ascii="Segoe UI"/>
          <w:color w:val="67973F"/>
          <w:spacing w:val="-8"/>
          <w:sz w:val="19"/>
        </w:rPr>
        <w:t> </w:t>
      </w:r>
      <w:r>
        <w:rPr>
          <w:rFonts w:ascii="Segoe UI"/>
          <w:color w:val="67973F"/>
          <w:sz w:val="19"/>
        </w:rPr>
        <w:t>typically</w:t>
      </w:r>
      <w:r>
        <w:rPr>
          <w:rFonts w:ascii="Segoe UI"/>
          <w:color w:val="67973F"/>
          <w:spacing w:val="-9"/>
          <w:sz w:val="19"/>
        </w:rPr>
        <w:t> </w:t>
      </w:r>
      <w:r>
        <w:rPr>
          <w:rFonts w:ascii="Segoe UI"/>
          <w:color w:val="67973F"/>
          <w:spacing w:val="-1"/>
          <w:sz w:val="19"/>
        </w:rPr>
        <w:t>include</w:t>
      </w:r>
      <w:r>
        <w:rPr>
          <w:rFonts w:ascii="Segoe UI"/>
          <w:color w:val="67973F"/>
          <w:spacing w:val="21"/>
          <w:w w:val="99"/>
          <w:sz w:val="19"/>
        </w:rPr>
        <w:t> </w:t>
      </w:r>
      <w:r>
        <w:rPr>
          <w:rFonts w:ascii="Segoe UI"/>
          <w:color w:val="67973F"/>
          <w:sz w:val="19"/>
        </w:rPr>
        <w:t>employment</w:t>
      </w:r>
      <w:r>
        <w:rPr>
          <w:rFonts w:ascii="Segoe UI"/>
          <w:color w:val="67973F"/>
          <w:spacing w:val="-4"/>
          <w:sz w:val="19"/>
        </w:rPr>
        <w:t> </w:t>
      </w:r>
      <w:r>
        <w:rPr>
          <w:rFonts w:ascii="Segoe UI"/>
          <w:color w:val="67973F"/>
          <w:sz w:val="19"/>
        </w:rPr>
        <w:t>and</w:t>
      </w:r>
      <w:r>
        <w:rPr>
          <w:rFonts w:ascii="Segoe UI"/>
          <w:color w:val="67973F"/>
          <w:spacing w:val="-3"/>
          <w:sz w:val="19"/>
        </w:rPr>
        <w:t> </w:t>
      </w:r>
      <w:r>
        <w:rPr>
          <w:rFonts w:ascii="Segoe UI"/>
          <w:color w:val="67973F"/>
          <w:sz w:val="19"/>
        </w:rPr>
        <w:t>training</w:t>
      </w:r>
      <w:r>
        <w:rPr>
          <w:rFonts w:ascii="Segoe UI"/>
          <w:color w:val="67973F"/>
          <w:spacing w:val="-3"/>
          <w:sz w:val="19"/>
        </w:rPr>
        <w:t> </w:t>
      </w:r>
      <w:r>
        <w:rPr>
          <w:rFonts w:ascii="Segoe UI"/>
          <w:color w:val="67973F"/>
          <w:sz w:val="19"/>
        </w:rPr>
        <w:t>options</w:t>
      </w:r>
      <w:r>
        <w:rPr>
          <w:rFonts w:ascii="Segoe UI"/>
          <w:color w:val="67973F"/>
          <w:spacing w:val="-3"/>
          <w:sz w:val="19"/>
        </w:rPr>
        <w:t> </w:t>
      </w:r>
      <w:r>
        <w:rPr>
          <w:rFonts w:ascii="Segoe UI"/>
          <w:color w:val="67973F"/>
          <w:sz w:val="19"/>
        </w:rPr>
        <w:t>as</w:t>
      </w:r>
      <w:r>
        <w:rPr>
          <w:rFonts w:ascii="Segoe UI"/>
          <w:color w:val="67973F"/>
          <w:spacing w:val="-3"/>
          <w:sz w:val="19"/>
        </w:rPr>
        <w:t> </w:t>
      </w:r>
      <w:r>
        <w:rPr>
          <w:rFonts w:ascii="Segoe UI"/>
          <w:color w:val="67973F"/>
          <w:sz w:val="19"/>
        </w:rPr>
        <w:t>well</w:t>
      </w:r>
      <w:r>
        <w:rPr>
          <w:rFonts w:ascii="Segoe UI"/>
          <w:color w:val="67973F"/>
          <w:spacing w:val="-3"/>
          <w:sz w:val="19"/>
        </w:rPr>
        <w:t> </w:t>
      </w:r>
      <w:r>
        <w:rPr>
          <w:rFonts w:ascii="Segoe UI"/>
          <w:color w:val="67973F"/>
          <w:sz w:val="19"/>
        </w:rPr>
        <w:t>as</w:t>
      </w:r>
      <w:r>
        <w:rPr>
          <w:rFonts w:ascii="Segoe UI"/>
          <w:color w:val="67973F"/>
          <w:sz w:val="19"/>
        </w:rPr>
        <w:t> transitioning</w:t>
      </w:r>
      <w:r>
        <w:rPr>
          <w:rFonts w:ascii="Segoe UI"/>
          <w:color w:val="67973F"/>
          <w:spacing w:val="-6"/>
          <w:sz w:val="19"/>
        </w:rPr>
        <w:t> </w:t>
      </w:r>
      <w:r>
        <w:rPr>
          <w:rFonts w:ascii="Segoe UI"/>
          <w:color w:val="67973F"/>
          <w:sz w:val="19"/>
        </w:rPr>
        <w:t>to</w:t>
      </w:r>
      <w:r>
        <w:rPr>
          <w:rFonts w:ascii="Segoe UI"/>
          <w:color w:val="67973F"/>
          <w:spacing w:val="-4"/>
          <w:sz w:val="19"/>
        </w:rPr>
        <w:t> </w:t>
      </w:r>
      <w:r>
        <w:rPr>
          <w:rFonts w:ascii="Segoe UI"/>
          <w:color w:val="67973F"/>
          <w:spacing w:val="-1"/>
          <w:sz w:val="19"/>
        </w:rPr>
        <w:t>mainstream</w:t>
      </w:r>
      <w:r>
        <w:rPr>
          <w:rFonts w:ascii="Segoe UI"/>
          <w:color w:val="67973F"/>
          <w:spacing w:val="-4"/>
          <w:sz w:val="19"/>
        </w:rPr>
        <w:t> </w:t>
      </w:r>
      <w:r>
        <w:rPr>
          <w:rFonts w:ascii="Segoe UI"/>
          <w:color w:val="67973F"/>
          <w:spacing w:val="-1"/>
          <w:sz w:val="19"/>
        </w:rPr>
        <w:t>schools</w:t>
      </w:r>
      <w:r>
        <w:rPr>
          <w:rFonts w:ascii="Segoe UI"/>
          <w:color w:val="67973F"/>
          <w:spacing w:val="-4"/>
          <w:sz w:val="19"/>
        </w:rPr>
        <w:t> </w:t>
      </w:r>
      <w:r>
        <w:rPr>
          <w:rFonts w:ascii="Segoe UI"/>
          <w:color w:val="67973F"/>
          <w:sz w:val="19"/>
        </w:rPr>
        <w:t>or</w:t>
      </w:r>
      <w:r>
        <w:rPr>
          <w:rFonts w:ascii="Segoe UI"/>
          <w:color w:val="67973F"/>
          <w:spacing w:val="-4"/>
          <w:sz w:val="19"/>
        </w:rPr>
        <w:t> </w:t>
      </w:r>
      <w:r>
        <w:rPr>
          <w:rFonts w:ascii="Segoe UI"/>
          <w:color w:val="67973F"/>
          <w:sz w:val="19"/>
        </w:rPr>
        <w:t>boarding</w:t>
      </w:r>
      <w:r>
        <w:rPr>
          <w:rFonts w:ascii="Segoe UI"/>
          <w:color w:val="67973F"/>
          <w:spacing w:val="23"/>
          <w:w w:val="99"/>
          <w:sz w:val="19"/>
        </w:rPr>
        <w:t> </w:t>
      </w:r>
      <w:r>
        <w:rPr>
          <w:rFonts w:ascii="Segoe UI"/>
          <w:color w:val="67973F"/>
          <w:sz w:val="19"/>
        </w:rPr>
        <w:t>providers.</w:t>
      </w:r>
      <w:r>
        <w:rPr>
          <w:rFonts w:ascii="Segoe UI"/>
          <w:color w:val="67973F"/>
          <w:spacing w:val="-7"/>
          <w:sz w:val="19"/>
        </w:rPr>
        <w:t> </w:t>
      </w:r>
      <w:r>
        <w:rPr>
          <w:rFonts w:ascii="Segoe UI"/>
          <w:color w:val="67973F"/>
          <w:sz w:val="19"/>
        </w:rPr>
        <w:t>Holy</w:t>
      </w:r>
      <w:r>
        <w:rPr>
          <w:rFonts w:ascii="Segoe UI"/>
          <w:color w:val="67973F"/>
          <w:spacing w:val="-7"/>
          <w:sz w:val="19"/>
        </w:rPr>
        <w:t> </w:t>
      </w:r>
      <w:r>
        <w:rPr>
          <w:rFonts w:ascii="Segoe UI"/>
          <w:color w:val="67973F"/>
          <w:spacing w:val="-1"/>
          <w:sz w:val="19"/>
        </w:rPr>
        <w:t>Spirit</w:t>
      </w:r>
      <w:r>
        <w:rPr>
          <w:rFonts w:ascii="Segoe UI"/>
          <w:color w:val="67973F"/>
          <w:spacing w:val="-6"/>
          <w:sz w:val="19"/>
        </w:rPr>
        <w:t> </w:t>
      </w:r>
      <w:r>
        <w:rPr>
          <w:rFonts w:ascii="Segoe UI"/>
          <w:color w:val="67973F"/>
          <w:sz w:val="19"/>
        </w:rPr>
        <w:t>has</w:t>
      </w:r>
      <w:r>
        <w:rPr>
          <w:rFonts w:ascii="Segoe UI"/>
          <w:color w:val="67973F"/>
          <w:spacing w:val="-7"/>
          <w:sz w:val="19"/>
        </w:rPr>
        <w:t> </w:t>
      </w:r>
      <w:r>
        <w:rPr>
          <w:rFonts w:ascii="Segoe UI"/>
          <w:color w:val="67973F"/>
          <w:sz w:val="19"/>
        </w:rPr>
        <w:t>comparatively</w:t>
      </w:r>
      <w:r>
        <w:rPr>
          <w:rFonts w:ascii="Segoe UI"/>
          <w:color w:val="67973F"/>
          <w:spacing w:val="-7"/>
          <w:sz w:val="19"/>
        </w:rPr>
        <w:t> </w:t>
      </w:r>
      <w:r>
        <w:rPr>
          <w:rFonts w:ascii="Segoe UI"/>
          <w:color w:val="67973F"/>
          <w:sz w:val="19"/>
        </w:rPr>
        <w:t>higher</w:t>
      </w:r>
      <w:r>
        <w:rPr>
          <w:rFonts w:ascii="Segoe UI"/>
          <w:color w:val="67973F"/>
          <w:spacing w:val="21"/>
          <w:w w:val="99"/>
          <w:sz w:val="19"/>
        </w:rPr>
        <w:t> </w:t>
      </w:r>
      <w:r>
        <w:rPr>
          <w:rFonts w:ascii="Segoe UI"/>
          <w:color w:val="67973F"/>
          <w:sz w:val="19"/>
        </w:rPr>
        <w:t>staff</w:t>
      </w:r>
      <w:r>
        <w:rPr>
          <w:rFonts w:ascii="Segoe UI"/>
          <w:color w:val="67973F"/>
          <w:spacing w:val="-1"/>
          <w:sz w:val="19"/>
        </w:rPr>
        <w:t> </w:t>
      </w:r>
      <w:r>
        <w:rPr>
          <w:rFonts w:ascii="Segoe UI"/>
          <w:color w:val="67973F"/>
          <w:sz w:val="19"/>
        </w:rPr>
        <w:t>to</w:t>
      </w:r>
      <w:r>
        <w:rPr>
          <w:rFonts w:ascii="Segoe UI"/>
          <w:color w:val="67973F"/>
          <w:spacing w:val="-1"/>
          <w:sz w:val="19"/>
        </w:rPr>
        <w:t> </w:t>
      </w:r>
      <w:r>
        <w:rPr>
          <w:rFonts w:ascii="Segoe UI"/>
          <w:color w:val="67973F"/>
          <w:sz w:val="19"/>
        </w:rPr>
        <w:t>student ratios</w:t>
      </w:r>
      <w:r>
        <w:rPr>
          <w:rFonts w:ascii="Segoe UI"/>
          <w:color w:val="67973F"/>
          <w:spacing w:val="-1"/>
          <w:sz w:val="19"/>
        </w:rPr>
        <w:t> </w:t>
      </w:r>
      <w:r>
        <w:rPr>
          <w:rFonts w:ascii="Segoe UI"/>
          <w:color w:val="67973F"/>
          <w:sz w:val="19"/>
        </w:rPr>
        <w:t>than other</w:t>
      </w:r>
      <w:r>
        <w:rPr>
          <w:rFonts w:ascii="Segoe UI"/>
          <w:color w:val="67973F"/>
          <w:spacing w:val="-1"/>
          <w:sz w:val="19"/>
        </w:rPr>
        <w:t> </w:t>
      </w:r>
      <w:r>
        <w:rPr>
          <w:rFonts w:ascii="Segoe UI"/>
          <w:color w:val="67973F"/>
          <w:sz w:val="19"/>
        </w:rPr>
        <w:t>comparable</w:t>
      </w:r>
      <w:r>
        <w:rPr>
          <w:rFonts w:ascii="Segoe UI"/>
          <w:color w:val="67973F"/>
          <w:sz w:val="19"/>
        </w:rPr>
        <w:t> </w:t>
      </w:r>
      <w:r>
        <w:rPr>
          <w:rFonts w:ascii="Segoe UI"/>
          <w:color w:val="67973F"/>
          <w:sz w:val="19"/>
        </w:rPr>
        <w:t>boarding</w:t>
      </w:r>
      <w:r>
        <w:rPr>
          <w:rFonts w:ascii="Segoe UI"/>
          <w:color w:val="67973F"/>
          <w:spacing w:val="-6"/>
          <w:sz w:val="19"/>
        </w:rPr>
        <w:t> </w:t>
      </w:r>
      <w:r>
        <w:rPr>
          <w:rFonts w:ascii="Segoe UI"/>
          <w:color w:val="67973F"/>
          <w:sz w:val="19"/>
        </w:rPr>
        <w:t>providers</w:t>
      </w:r>
      <w:r>
        <w:rPr>
          <w:rFonts w:ascii="Segoe UI"/>
          <w:color w:val="67973F"/>
          <w:spacing w:val="-6"/>
          <w:sz w:val="19"/>
        </w:rPr>
        <w:t> </w:t>
      </w:r>
      <w:r>
        <w:rPr>
          <w:rFonts w:ascii="Segoe UI"/>
          <w:color w:val="67973F"/>
          <w:spacing w:val="-1"/>
          <w:sz w:val="19"/>
        </w:rPr>
        <w:t>in</w:t>
      </w:r>
      <w:r>
        <w:rPr>
          <w:rFonts w:ascii="Segoe UI"/>
          <w:color w:val="67973F"/>
          <w:spacing w:val="-5"/>
          <w:sz w:val="19"/>
        </w:rPr>
        <w:t> </w:t>
      </w:r>
      <w:r>
        <w:rPr>
          <w:rFonts w:ascii="Segoe UI"/>
          <w:color w:val="67973F"/>
          <w:sz w:val="19"/>
        </w:rPr>
        <w:t>remote</w:t>
      </w:r>
      <w:r>
        <w:rPr>
          <w:rFonts w:ascii="Segoe UI"/>
          <w:color w:val="67973F"/>
          <w:spacing w:val="-6"/>
          <w:sz w:val="19"/>
        </w:rPr>
        <w:t> </w:t>
      </w:r>
      <w:r>
        <w:rPr>
          <w:rFonts w:ascii="Segoe UI"/>
          <w:color w:val="67973F"/>
          <w:sz w:val="19"/>
        </w:rPr>
        <w:t>areas</w:t>
      </w:r>
      <w:r>
        <w:rPr>
          <w:rFonts w:ascii="Segoe UI"/>
          <w:color w:val="67973F"/>
          <w:spacing w:val="-5"/>
          <w:sz w:val="19"/>
        </w:rPr>
        <w:t> </w:t>
      </w:r>
      <w:r>
        <w:rPr>
          <w:rFonts w:ascii="Segoe UI"/>
          <w:color w:val="67973F"/>
          <w:sz w:val="19"/>
        </w:rPr>
        <w:t>but</w:t>
      </w:r>
      <w:r>
        <w:rPr>
          <w:rFonts w:ascii="Segoe UI"/>
          <w:color w:val="67973F"/>
          <w:spacing w:val="-6"/>
          <w:sz w:val="19"/>
        </w:rPr>
        <w:t> </w:t>
      </w:r>
      <w:r>
        <w:rPr>
          <w:rFonts w:ascii="Segoe UI"/>
          <w:color w:val="67973F"/>
          <w:sz w:val="19"/>
        </w:rPr>
        <w:t>focuses</w:t>
      </w:r>
      <w:r>
        <w:rPr>
          <w:rFonts w:ascii="Segoe UI"/>
          <w:color w:val="67973F"/>
          <w:spacing w:val="21"/>
          <w:sz w:val="19"/>
        </w:rPr>
        <w:t> </w:t>
      </w:r>
      <w:r>
        <w:rPr>
          <w:rFonts w:ascii="Segoe UI"/>
          <w:color w:val="67973F"/>
          <w:sz w:val="19"/>
        </w:rPr>
        <w:t>on</w:t>
      </w:r>
      <w:r>
        <w:rPr>
          <w:rFonts w:ascii="Segoe UI"/>
          <w:color w:val="67973F"/>
          <w:spacing w:val="-1"/>
          <w:sz w:val="19"/>
        </w:rPr>
        <w:t> </w:t>
      </w:r>
      <w:r>
        <w:rPr>
          <w:rFonts w:ascii="Segoe UI"/>
          <w:color w:val="67973F"/>
          <w:sz w:val="19"/>
        </w:rPr>
        <w:t>employing the</w:t>
      </w:r>
      <w:r>
        <w:rPr>
          <w:rFonts w:ascii="Segoe UI"/>
          <w:color w:val="67973F"/>
          <w:spacing w:val="-1"/>
          <w:sz w:val="19"/>
        </w:rPr>
        <w:t> </w:t>
      </w:r>
      <w:r>
        <w:rPr>
          <w:rFonts w:ascii="Segoe UI"/>
          <w:color w:val="67973F"/>
          <w:sz w:val="19"/>
        </w:rPr>
        <w:t>right staff</w:t>
      </w:r>
      <w:r>
        <w:rPr>
          <w:rFonts w:ascii="Segoe UI"/>
          <w:color w:val="67973F"/>
          <w:spacing w:val="-1"/>
          <w:sz w:val="19"/>
        </w:rPr>
        <w:t> </w:t>
      </w:r>
      <w:r>
        <w:rPr>
          <w:rFonts w:ascii="Segoe UI"/>
          <w:color w:val="67973F"/>
          <w:sz w:val="19"/>
        </w:rPr>
        <w:t>with the</w:t>
      </w:r>
      <w:r>
        <w:rPr>
          <w:rFonts w:ascii="Segoe UI"/>
          <w:color w:val="67973F"/>
          <w:spacing w:val="-1"/>
          <w:sz w:val="19"/>
        </w:rPr>
        <w:t> </w:t>
      </w:r>
      <w:r>
        <w:rPr>
          <w:rFonts w:ascii="Segoe UI"/>
          <w:color w:val="67973F"/>
          <w:sz w:val="19"/>
        </w:rPr>
        <w:t>skills and</w:t>
      </w:r>
      <w:r>
        <w:rPr>
          <w:rFonts w:ascii="Segoe UI"/>
          <w:color w:val="67973F"/>
          <w:sz w:val="19"/>
        </w:rPr>
        <w:t> </w:t>
      </w:r>
      <w:r>
        <w:rPr>
          <w:rFonts w:ascii="Segoe UI"/>
          <w:color w:val="67973F"/>
          <w:sz w:val="19"/>
        </w:rPr>
        <w:t>background</w:t>
      </w:r>
      <w:r>
        <w:rPr>
          <w:rFonts w:ascii="Segoe UI"/>
          <w:color w:val="67973F"/>
          <w:spacing w:val="-6"/>
          <w:sz w:val="19"/>
        </w:rPr>
        <w:t> </w:t>
      </w:r>
      <w:r>
        <w:rPr>
          <w:rFonts w:ascii="Segoe UI"/>
          <w:color w:val="67973F"/>
          <w:sz w:val="19"/>
        </w:rPr>
        <w:t>to</w:t>
      </w:r>
      <w:r>
        <w:rPr>
          <w:rFonts w:ascii="Segoe UI"/>
          <w:color w:val="67973F"/>
          <w:spacing w:val="-4"/>
          <w:sz w:val="19"/>
        </w:rPr>
        <w:t> </w:t>
      </w:r>
      <w:r>
        <w:rPr>
          <w:rFonts w:ascii="Segoe UI"/>
          <w:color w:val="67973F"/>
          <w:sz w:val="19"/>
        </w:rPr>
        <w:t>work</w:t>
      </w:r>
      <w:r>
        <w:rPr>
          <w:rFonts w:ascii="Segoe UI"/>
          <w:color w:val="67973F"/>
          <w:spacing w:val="-6"/>
          <w:sz w:val="19"/>
        </w:rPr>
        <w:t> </w:t>
      </w:r>
      <w:r>
        <w:rPr>
          <w:rFonts w:ascii="Segoe UI"/>
          <w:color w:val="67973F"/>
          <w:sz w:val="19"/>
        </w:rPr>
        <w:t>with</w:t>
      </w:r>
      <w:r>
        <w:rPr>
          <w:rFonts w:ascii="Segoe UI"/>
          <w:color w:val="67973F"/>
          <w:spacing w:val="-5"/>
          <w:sz w:val="19"/>
        </w:rPr>
        <w:t> </w:t>
      </w:r>
      <w:r>
        <w:rPr>
          <w:rFonts w:ascii="Segoe UI"/>
          <w:color w:val="67973F"/>
          <w:spacing w:val="-1"/>
          <w:sz w:val="19"/>
        </w:rPr>
        <w:t>its</w:t>
      </w:r>
      <w:r>
        <w:rPr>
          <w:rFonts w:ascii="Segoe UI"/>
          <w:color w:val="67973F"/>
          <w:spacing w:val="-5"/>
          <w:sz w:val="19"/>
        </w:rPr>
        <w:t> </w:t>
      </w:r>
      <w:r>
        <w:rPr>
          <w:rFonts w:ascii="Segoe UI"/>
          <w:color w:val="67973F"/>
          <w:sz w:val="19"/>
        </w:rPr>
        <w:t>high</w:t>
      </w:r>
      <w:r>
        <w:rPr>
          <w:rFonts w:ascii="Segoe UI"/>
          <w:color w:val="67973F"/>
          <w:spacing w:val="-5"/>
          <w:sz w:val="19"/>
        </w:rPr>
        <w:t> </w:t>
      </w:r>
      <w:r>
        <w:rPr>
          <w:rFonts w:ascii="Segoe UI"/>
          <w:color w:val="67973F"/>
          <w:sz w:val="19"/>
        </w:rPr>
        <w:t>needs</w:t>
      </w:r>
      <w:r>
        <w:rPr>
          <w:rFonts w:ascii="Segoe UI"/>
          <w:color w:val="67973F"/>
          <w:spacing w:val="-5"/>
          <w:sz w:val="19"/>
        </w:rPr>
        <w:t> </w:t>
      </w:r>
      <w:r>
        <w:rPr>
          <w:rFonts w:ascii="Segoe UI"/>
          <w:color w:val="67973F"/>
          <w:spacing w:val="-1"/>
          <w:sz w:val="19"/>
        </w:rPr>
        <w:t>students.</w:t>
      </w:r>
      <w:r>
        <w:rPr>
          <w:rFonts w:ascii="Segoe UI"/>
          <w:sz w:val="19"/>
        </w:rPr>
      </w:r>
    </w:p>
    <w:p>
      <w:pPr>
        <w:spacing w:line="265" w:lineRule="auto" w:before="113"/>
        <w:ind w:left="100" w:right="243" w:firstLine="0"/>
        <w:jc w:val="left"/>
        <w:rPr>
          <w:rFonts w:ascii="Segoe UI" w:hAnsi="Segoe UI" w:cs="Segoe UI" w:eastAsia="Segoe UI"/>
          <w:sz w:val="19"/>
          <w:szCs w:val="19"/>
        </w:rPr>
      </w:pPr>
      <w:r>
        <w:rPr>
          <w:rFonts w:ascii="Segoe UI"/>
          <w:color w:val="67973F"/>
          <w:spacing w:val="-1"/>
          <w:sz w:val="19"/>
        </w:rPr>
        <w:t>Construction</w:t>
      </w:r>
      <w:r>
        <w:rPr>
          <w:rFonts w:ascii="Segoe UI"/>
          <w:color w:val="67973F"/>
          <w:spacing w:val="-5"/>
          <w:sz w:val="19"/>
        </w:rPr>
        <w:t> </w:t>
      </w:r>
      <w:r>
        <w:rPr>
          <w:rFonts w:ascii="Segoe UI"/>
          <w:color w:val="67973F"/>
          <w:sz w:val="19"/>
        </w:rPr>
        <w:t>of</w:t>
      </w:r>
      <w:r>
        <w:rPr>
          <w:rFonts w:ascii="Segoe UI"/>
          <w:color w:val="67973F"/>
          <w:spacing w:val="-5"/>
          <w:sz w:val="19"/>
        </w:rPr>
        <w:t> </w:t>
      </w:r>
      <w:r>
        <w:rPr>
          <w:rFonts w:ascii="Segoe UI"/>
          <w:color w:val="67973F"/>
          <w:sz w:val="19"/>
        </w:rPr>
        <w:t>the</w:t>
      </w:r>
      <w:r>
        <w:rPr>
          <w:rFonts w:ascii="Segoe UI"/>
          <w:color w:val="67973F"/>
          <w:spacing w:val="-5"/>
          <w:sz w:val="19"/>
        </w:rPr>
        <w:t> </w:t>
      </w:r>
      <w:r>
        <w:rPr>
          <w:rFonts w:ascii="Segoe UI"/>
          <w:color w:val="67973F"/>
          <w:sz w:val="19"/>
        </w:rPr>
        <w:t>boarding</w:t>
      </w:r>
      <w:r>
        <w:rPr>
          <w:rFonts w:ascii="Segoe UI"/>
          <w:color w:val="67973F"/>
          <w:spacing w:val="-6"/>
          <w:sz w:val="19"/>
        </w:rPr>
        <w:t> </w:t>
      </w:r>
      <w:r>
        <w:rPr>
          <w:rFonts w:ascii="Segoe UI"/>
          <w:color w:val="67973F"/>
          <w:sz w:val="19"/>
        </w:rPr>
        <w:t>facilities</w:t>
      </w:r>
      <w:r>
        <w:rPr>
          <w:rFonts w:ascii="Segoe UI"/>
          <w:color w:val="67973F"/>
          <w:spacing w:val="-5"/>
          <w:sz w:val="19"/>
        </w:rPr>
        <w:t> </w:t>
      </w:r>
      <w:r>
        <w:rPr>
          <w:rFonts w:ascii="Segoe UI"/>
          <w:color w:val="67973F"/>
          <w:spacing w:val="-1"/>
          <w:sz w:val="19"/>
        </w:rPr>
        <w:t>in</w:t>
      </w:r>
      <w:r>
        <w:rPr>
          <w:rFonts w:ascii="Segoe UI"/>
          <w:color w:val="67973F"/>
          <w:spacing w:val="21"/>
          <w:sz w:val="19"/>
        </w:rPr>
        <w:t> </w:t>
      </w:r>
      <w:r>
        <w:rPr>
          <w:rFonts w:ascii="Segoe UI"/>
          <w:color w:val="67973F"/>
          <w:spacing w:val="-1"/>
          <w:sz w:val="19"/>
        </w:rPr>
        <w:t>Cooktown</w:t>
      </w:r>
      <w:r>
        <w:rPr>
          <w:rFonts w:ascii="Segoe UI"/>
          <w:color w:val="67973F"/>
          <w:spacing w:val="-7"/>
          <w:sz w:val="19"/>
        </w:rPr>
        <w:t> </w:t>
      </w:r>
      <w:r>
        <w:rPr>
          <w:rFonts w:ascii="Segoe UI"/>
          <w:color w:val="67973F"/>
          <w:sz w:val="19"/>
        </w:rPr>
        <w:t>was</w:t>
      </w:r>
      <w:r>
        <w:rPr>
          <w:rFonts w:ascii="Segoe UI"/>
          <w:color w:val="67973F"/>
          <w:spacing w:val="-7"/>
          <w:sz w:val="19"/>
        </w:rPr>
        <w:t> </w:t>
      </w:r>
      <w:r>
        <w:rPr>
          <w:rFonts w:ascii="Segoe UI"/>
          <w:color w:val="67973F"/>
          <w:sz w:val="19"/>
        </w:rPr>
        <w:t>funded</w:t>
      </w:r>
      <w:r>
        <w:rPr>
          <w:rFonts w:ascii="Segoe UI"/>
          <w:color w:val="67973F"/>
          <w:spacing w:val="-7"/>
          <w:sz w:val="19"/>
        </w:rPr>
        <w:t> </w:t>
      </w:r>
      <w:r>
        <w:rPr>
          <w:rFonts w:ascii="Segoe UI"/>
          <w:color w:val="67973F"/>
          <w:sz w:val="19"/>
        </w:rPr>
        <w:t>by</w:t>
      </w:r>
      <w:r>
        <w:rPr>
          <w:rFonts w:ascii="Segoe UI"/>
          <w:color w:val="67973F"/>
          <w:spacing w:val="-6"/>
          <w:sz w:val="19"/>
        </w:rPr>
        <w:t> </w:t>
      </w:r>
      <w:r>
        <w:rPr>
          <w:rFonts w:ascii="Segoe UI"/>
          <w:color w:val="67973F"/>
          <w:sz w:val="19"/>
        </w:rPr>
        <w:t>the</w:t>
      </w:r>
      <w:r>
        <w:rPr>
          <w:rFonts w:ascii="Segoe UI"/>
          <w:color w:val="67973F"/>
          <w:spacing w:val="-8"/>
          <w:sz w:val="19"/>
        </w:rPr>
        <w:t> </w:t>
      </w:r>
      <w:r>
        <w:rPr>
          <w:rFonts w:ascii="Segoe UI"/>
          <w:color w:val="67973F"/>
          <w:sz w:val="19"/>
        </w:rPr>
        <w:t>Queensland</w:t>
      </w:r>
      <w:r>
        <w:rPr>
          <w:rFonts w:ascii="Segoe UI"/>
          <w:color w:val="67973F"/>
          <w:spacing w:val="22"/>
          <w:w w:val="99"/>
          <w:sz w:val="19"/>
        </w:rPr>
        <w:t> </w:t>
      </w:r>
      <w:r>
        <w:rPr>
          <w:rFonts w:ascii="Segoe UI"/>
          <w:color w:val="67973F"/>
          <w:sz w:val="19"/>
        </w:rPr>
        <w:t>Government.</w:t>
      </w:r>
      <w:r>
        <w:rPr>
          <w:rFonts w:ascii="Segoe UI"/>
          <w:sz w:val="19"/>
        </w:rPr>
      </w:r>
    </w:p>
    <w:p>
      <w:pPr>
        <w:spacing w:line="265" w:lineRule="auto" w:before="113"/>
        <w:ind w:left="100" w:right="132" w:firstLine="0"/>
        <w:jc w:val="left"/>
        <w:rPr>
          <w:rFonts w:ascii="Segoe UI" w:hAnsi="Segoe UI" w:cs="Segoe UI" w:eastAsia="Segoe UI"/>
          <w:sz w:val="19"/>
          <w:szCs w:val="19"/>
        </w:rPr>
      </w:pPr>
      <w:r>
        <w:rPr>
          <w:rFonts w:ascii="Segoe UI"/>
          <w:color w:val="67973F"/>
          <w:sz w:val="19"/>
        </w:rPr>
        <w:t>The</w:t>
      </w:r>
      <w:r>
        <w:rPr>
          <w:rFonts w:ascii="Segoe UI"/>
          <w:color w:val="67973F"/>
          <w:spacing w:val="-5"/>
          <w:sz w:val="19"/>
        </w:rPr>
        <w:t> </w:t>
      </w:r>
      <w:r>
        <w:rPr>
          <w:rFonts w:ascii="Segoe UI"/>
          <w:color w:val="67973F"/>
          <w:sz w:val="19"/>
        </w:rPr>
        <w:t>operations</w:t>
      </w:r>
      <w:r>
        <w:rPr>
          <w:rFonts w:ascii="Segoe UI"/>
          <w:color w:val="67973F"/>
          <w:spacing w:val="-6"/>
          <w:sz w:val="19"/>
        </w:rPr>
        <w:t> </w:t>
      </w:r>
      <w:r>
        <w:rPr>
          <w:rFonts w:ascii="Segoe UI"/>
          <w:color w:val="67973F"/>
          <w:sz w:val="19"/>
        </w:rPr>
        <w:t>of</w:t>
      </w:r>
      <w:r>
        <w:rPr>
          <w:rFonts w:ascii="Segoe UI"/>
          <w:color w:val="67973F"/>
          <w:spacing w:val="-5"/>
          <w:sz w:val="19"/>
        </w:rPr>
        <w:t> </w:t>
      </w:r>
      <w:r>
        <w:rPr>
          <w:rFonts w:ascii="Segoe UI"/>
          <w:color w:val="67973F"/>
          <w:sz w:val="19"/>
        </w:rPr>
        <w:t>the</w:t>
      </w:r>
      <w:r>
        <w:rPr>
          <w:rFonts w:ascii="Segoe UI"/>
          <w:color w:val="67973F"/>
          <w:spacing w:val="-5"/>
          <w:sz w:val="19"/>
        </w:rPr>
        <w:t> </w:t>
      </w:r>
      <w:r>
        <w:rPr>
          <w:rFonts w:ascii="Segoe UI"/>
          <w:color w:val="67973F"/>
          <w:sz w:val="19"/>
        </w:rPr>
        <w:t>boarding</w:t>
      </w:r>
      <w:r>
        <w:rPr>
          <w:rFonts w:ascii="Segoe UI"/>
          <w:color w:val="67973F"/>
          <w:spacing w:val="-6"/>
          <w:sz w:val="19"/>
        </w:rPr>
        <w:t> </w:t>
      </w:r>
      <w:r>
        <w:rPr>
          <w:rFonts w:ascii="Segoe UI"/>
          <w:color w:val="67973F"/>
          <w:sz w:val="19"/>
        </w:rPr>
        <w:t>facility</w:t>
      </w:r>
      <w:r>
        <w:rPr>
          <w:rFonts w:ascii="Segoe UI"/>
          <w:color w:val="67973F"/>
          <w:spacing w:val="-6"/>
          <w:sz w:val="19"/>
        </w:rPr>
        <w:t> </w:t>
      </w:r>
      <w:r>
        <w:rPr>
          <w:rFonts w:ascii="Segoe UI"/>
          <w:color w:val="67973F"/>
          <w:sz w:val="19"/>
        </w:rPr>
        <w:t>are</w:t>
      </w:r>
      <w:r>
        <w:rPr>
          <w:rFonts w:ascii="Segoe UI"/>
          <w:color w:val="67973F"/>
          <w:spacing w:val="-5"/>
          <w:sz w:val="19"/>
        </w:rPr>
        <w:t> </w:t>
      </w:r>
      <w:r>
        <w:rPr>
          <w:rFonts w:ascii="Segoe UI"/>
          <w:color w:val="67973F"/>
          <w:sz w:val="19"/>
        </w:rPr>
        <w:t>entirely</w:t>
      </w:r>
      <w:r>
        <w:rPr>
          <w:rFonts w:ascii="Segoe UI"/>
          <w:color w:val="67973F"/>
          <w:w w:val="99"/>
          <w:sz w:val="19"/>
        </w:rPr>
        <w:t> </w:t>
      </w:r>
      <w:r>
        <w:rPr>
          <w:rFonts w:ascii="Segoe UI"/>
          <w:color w:val="67973F"/>
          <w:sz w:val="19"/>
        </w:rPr>
        <w:t>funded</w:t>
      </w:r>
      <w:r>
        <w:rPr>
          <w:rFonts w:ascii="Segoe UI"/>
          <w:color w:val="67973F"/>
          <w:spacing w:val="-7"/>
          <w:sz w:val="19"/>
        </w:rPr>
        <w:t> </w:t>
      </w:r>
      <w:r>
        <w:rPr>
          <w:rFonts w:ascii="Segoe UI"/>
          <w:color w:val="67973F"/>
          <w:sz w:val="19"/>
        </w:rPr>
        <w:t>from</w:t>
      </w:r>
      <w:r>
        <w:rPr>
          <w:rFonts w:ascii="Segoe UI"/>
          <w:color w:val="67973F"/>
          <w:spacing w:val="-6"/>
          <w:sz w:val="19"/>
        </w:rPr>
        <w:t> </w:t>
      </w:r>
      <w:r>
        <w:rPr>
          <w:rFonts w:ascii="Segoe UI"/>
          <w:color w:val="67973F"/>
          <w:sz w:val="19"/>
        </w:rPr>
        <w:t>ABSTUDY</w:t>
      </w:r>
      <w:r>
        <w:rPr>
          <w:rFonts w:ascii="Segoe UI"/>
          <w:color w:val="67973F"/>
          <w:spacing w:val="-7"/>
          <w:sz w:val="19"/>
        </w:rPr>
        <w:t> </w:t>
      </w:r>
      <w:r>
        <w:rPr>
          <w:rFonts w:ascii="Segoe UI"/>
          <w:color w:val="67973F"/>
          <w:sz w:val="19"/>
        </w:rPr>
        <w:t>receipts</w:t>
      </w:r>
      <w:r>
        <w:rPr>
          <w:rFonts w:ascii="Segoe UI"/>
          <w:color w:val="67973F"/>
          <w:spacing w:val="-6"/>
          <w:sz w:val="19"/>
        </w:rPr>
        <w:t> </w:t>
      </w:r>
      <w:r>
        <w:rPr>
          <w:rFonts w:ascii="Segoe UI"/>
          <w:color w:val="67973F"/>
          <w:sz w:val="19"/>
        </w:rPr>
        <w:t>and</w:t>
      </w:r>
      <w:r>
        <w:rPr>
          <w:rFonts w:ascii="Segoe UI"/>
          <w:color w:val="67973F"/>
          <w:spacing w:val="-7"/>
          <w:sz w:val="19"/>
        </w:rPr>
        <w:t> </w:t>
      </w:r>
      <w:r>
        <w:rPr>
          <w:rFonts w:ascii="Segoe UI"/>
          <w:color w:val="67973F"/>
          <w:sz w:val="19"/>
        </w:rPr>
        <w:t>government</w:t>
      </w:r>
      <w:r>
        <w:rPr>
          <w:rFonts w:ascii="Segoe UI"/>
          <w:color w:val="67973F"/>
          <w:w w:val="99"/>
          <w:sz w:val="19"/>
        </w:rPr>
        <w:t> </w:t>
      </w:r>
      <w:r>
        <w:rPr>
          <w:rFonts w:ascii="Segoe UI"/>
          <w:color w:val="67973F"/>
          <w:sz w:val="19"/>
        </w:rPr>
        <w:t>recurrent</w:t>
      </w:r>
      <w:r>
        <w:rPr>
          <w:rFonts w:ascii="Segoe UI"/>
          <w:color w:val="67973F"/>
          <w:spacing w:val="-6"/>
          <w:sz w:val="19"/>
        </w:rPr>
        <w:t> </w:t>
      </w:r>
      <w:r>
        <w:rPr>
          <w:rFonts w:ascii="Segoe UI"/>
          <w:color w:val="67973F"/>
          <w:sz w:val="19"/>
        </w:rPr>
        <w:t>funding.</w:t>
      </w:r>
      <w:r>
        <w:rPr>
          <w:rFonts w:ascii="Segoe UI"/>
          <w:color w:val="67973F"/>
          <w:spacing w:val="-4"/>
          <w:sz w:val="19"/>
        </w:rPr>
        <w:t> </w:t>
      </w:r>
      <w:r>
        <w:rPr>
          <w:rFonts w:ascii="Segoe UI"/>
          <w:color w:val="67973F"/>
          <w:sz w:val="19"/>
        </w:rPr>
        <w:t>The</w:t>
      </w:r>
      <w:r>
        <w:rPr>
          <w:rFonts w:ascii="Segoe UI"/>
          <w:color w:val="67973F"/>
          <w:spacing w:val="-5"/>
          <w:sz w:val="19"/>
        </w:rPr>
        <w:t> </w:t>
      </w:r>
      <w:r>
        <w:rPr>
          <w:rFonts w:ascii="Segoe UI"/>
          <w:color w:val="67973F"/>
          <w:spacing w:val="-1"/>
          <w:sz w:val="19"/>
        </w:rPr>
        <w:t>school</w:t>
      </w:r>
      <w:r>
        <w:rPr>
          <w:rFonts w:ascii="Segoe UI"/>
          <w:color w:val="67973F"/>
          <w:spacing w:val="-4"/>
          <w:sz w:val="19"/>
        </w:rPr>
        <w:t> </w:t>
      </w:r>
      <w:r>
        <w:rPr>
          <w:rFonts w:ascii="Segoe UI"/>
          <w:color w:val="67973F"/>
          <w:sz w:val="19"/>
        </w:rPr>
        <w:t>generates</w:t>
      </w:r>
      <w:r>
        <w:rPr>
          <w:rFonts w:ascii="Segoe UI"/>
          <w:color w:val="67973F"/>
          <w:spacing w:val="-6"/>
          <w:sz w:val="19"/>
        </w:rPr>
        <w:t> </w:t>
      </w:r>
      <w:r>
        <w:rPr>
          <w:rFonts w:ascii="Segoe UI"/>
          <w:color w:val="67973F"/>
          <w:sz w:val="19"/>
        </w:rPr>
        <w:t>a</w:t>
      </w:r>
      <w:r>
        <w:rPr>
          <w:rFonts w:ascii="Segoe UI"/>
          <w:color w:val="67973F"/>
          <w:spacing w:val="-4"/>
          <w:sz w:val="19"/>
        </w:rPr>
        <w:t> </w:t>
      </w:r>
      <w:r>
        <w:rPr>
          <w:rFonts w:ascii="Segoe UI"/>
          <w:color w:val="67973F"/>
          <w:spacing w:val="-1"/>
          <w:sz w:val="19"/>
        </w:rPr>
        <w:t>small</w:t>
      </w:r>
      <w:r>
        <w:rPr>
          <w:rFonts w:ascii="Segoe UI"/>
          <w:color w:val="67973F"/>
          <w:spacing w:val="21"/>
          <w:sz w:val="19"/>
        </w:rPr>
        <w:t> </w:t>
      </w:r>
      <w:r>
        <w:rPr>
          <w:rFonts w:ascii="Segoe UI"/>
          <w:color w:val="67973F"/>
          <w:spacing w:val="-1"/>
          <w:sz w:val="19"/>
        </w:rPr>
        <w:t>surplus</w:t>
      </w:r>
      <w:r>
        <w:rPr>
          <w:rFonts w:ascii="Segoe UI"/>
          <w:color w:val="67973F"/>
          <w:spacing w:val="-6"/>
          <w:sz w:val="19"/>
        </w:rPr>
        <w:t> </w:t>
      </w:r>
      <w:r>
        <w:rPr>
          <w:rFonts w:ascii="Segoe UI"/>
          <w:color w:val="67973F"/>
          <w:sz w:val="19"/>
        </w:rPr>
        <w:t>each</w:t>
      </w:r>
      <w:r>
        <w:rPr>
          <w:rFonts w:ascii="Segoe UI"/>
          <w:color w:val="67973F"/>
          <w:spacing w:val="-6"/>
          <w:sz w:val="19"/>
        </w:rPr>
        <w:t> </w:t>
      </w:r>
      <w:r>
        <w:rPr>
          <w:rFonts w:ascii="Segoe UI"/>
          <w:color w:val="67973F"/>
          <w:sz w:val="19"/>
        </w:rPr>
        <w:t>year</w:t>
      </w:r>
      <w:r>
        <w:rPr>
          <w:rFonts w:ascii="Segoe UI"/>
          <w:color w:val="67973F"/>
          <w:spacing w:val="-6"/>
          <w:sz w:val="19"/>
        </w:rPr>
        <w:t> </w:t>
      </w:r>
      <w:r>
        <w:rPr>
          <w:rFonts w:ascii="Segoe UI"/>
          <w:color w:val="67973F"/>
          <w:sz w:val="19"/>
        </w:rPr>
        <w:t>before</w:t>
      </w:r>
      <w:r>
        <w:rPr>
          <w:rFonts w:ascii="Segoe UI"/>
          <w:color w:val="67973F"/>
          <w:spacing w:val="-7"/>
          <w:sz w:val="19"/>
        </w:rPr>
        <w:t> </w:t>
      </w:r>
      <w:r>
        <w:rPr>
          <w:rFonts w:ascii="Segoe UI"/>
          <w:color w:val="67973F"/>
          <w:sz w:val="19"/>
        </w:rPr>
        <w:t>depreciation.</w:t>
      </w:r>
      <w:r>
        <w:rPr>
          <w:rFonts w:ascii="Segoe UI"/>
          <w:sz w:val="19"/>
        </w:rPr>
      </w:r>
    </w:p>
    <w:p>
      <w:pPr>
        <w:spacing w:after="0" w:line="265" w:lineRule="auto"/>
        <w:jc w:val="left"/>
        <w:rPr>
          <w:rFonts w:ascii="Segoe UI" w:hAnsi="Segoe UI" w:cs="Segoe UI" w:eastAsia="Segoe UI"/>
          <w:sz w:val="19"/>
          <w:szCs w:val="19"/>
        </w:rPr>
        <w:sectPr>
          <w:type w:val="continuous"/>
          <w:pgSz w:w="11910" w:h="16840"/>
          <w:pgMar w:top="1580" w:bottom="280" w:left="1600" w:right="1300"/>
          <w:cols w:num="2" w:equalWidth="0">
            <w:col w:w="4241" w:space="295"/>
            <w:col w:w="4474"/>
          </w:cols>
        </w:sectPr>
      </w:pPr>
    </w:p>
    <w:p>
      <w:pPr>
        <w:spacing w:line="240" w:lineRule="auto" w:before="5"/>
        <w:rPr>
          <w:rFonts w:ascii="Segoe UI" w:hAnsi="Segoe UI" w:cs="Segoe UI" w:eastAsia="Segoe UI"/>
          <w:sz w:val="11"/>
          <w:szCs w:val="11"/>
        </w:rPr>
      </w:pPr>
    </w:p>
    <w:p>
      <w:pPr>
        <w:spacing w:line="40" w:lineRule="atLeast"/>
        <w:ind w:left="4636" w:right="0" w:firstLine="0"/>
        <w:rPr>
          <w:rFonts w:ascii="Segoe UI" w:hAnsi="Segoe UI" w:cs="Segoe UI" w:eastAsia="Segoe UI"/>
          <w:sz w:val="4"/>
          <w:szCs w:val="4"/>
        </w:rPr>
      </w:pPr>
      <w:r>
        <w:rPr>
          <w:rFonts w:ascii="Segoe UI" w:hAnsi="Segoe UI" w:cs="Segoe UI" w:eastAsia="Segoe UI"/>
          <w:sz w:val="4"/>
          <w:szCs w:val="4"/>
        </w:rPr>
        <w:pict>
          <v:group style="width:209.8pt;height:2pt;mso-position-horizontal-relative:char;mso-position-vertical-relative:line" coordorigin="0,0" coordsize="4196,40">
            <v:group style="position:absolute;left:100;top:20;width:4036;height:2" coordorigin="100,20" coordsize="4036,2">
              <v:shape style="position:absolute;left:100;top:20;width:4036;height:2" coordorigin="100,20" coordsize="4036,0" path="m100,20l4135,20e" filled="false" stroked="true" strokeweight="2pt" strokecolor="#67973f">
                <v:path arrowok="t"/>
                <v:stroke dashstyle="dash"/>
              </v:shape>
            </v:group>
            <v:group style="position:absolute;left:20;top:20;width:2;height:2" coordorigin="20,20" coordsize="2,2">
              <v:shape style="position:absolute;left:20;top:20;width:2;height:2" coordorigin="20,20" coordsize="0,0" path="m20,20l20,20e" filled="false" stroked="true" strokeweight="2pt" strokecolor="#67973f">
                <v:path arrowok="t"/>
              </v:shape>
            </v:group>
            <v:group style="position:absolute;left:4175;top:20;width:2;height:2" coordorigin="4175,20" coordsize="2,2">
              <v:shape style="position:absolute;left:4175;top:20;width:2;height:2" coordorigin="4175,20" coordsize="0,0" path="m4175,20l4175,20e" filled="false" stroked="true" strokeweight="2pt" strokecolor="#67973f">
                <v:path arrowok="t"/>
              </v:shape>
            </v:group>
          </v:group>
        </w:pict>
      </w:r>
      <w:r>
        <w:rPr>
          <w:rFonts w:ascii="Segoe UI" w:hAnsi="Segoe UI" w:cs="Segoe UI" w:eastAsia="Segoe UI"/>
          <w:sz w:val="4"/>
          <w:szCs w:val="4"/>
        </w:rPr>
      </w:r>
    </w:p>
    <w:p>
      <w:pPr>
        <w:spacing w:after="0" w:line="40" w:lineRule="atLeast"/>
        <w:rPr>
          <w:rFonts w:ascii="Segoe UI" w:hAnsi="Segoe UI" w:cs="Segoe UI" w:eastAsia="Segoe UI"/>
          <w:sz w:val="4"/>
          <w:szCs w:val="4"/>
        </w:rPr>
        <w:sectPr>
          <w:type w:val="continuous"/>
          <w:pgSz w:w="11910" w:h="16840"/>
          <w:pgMar w:top="1580" w:bottom="280" w:left="1600" w:right="1300"/>
        </w:sect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12"/>
        <w:rPr>
          <w:rFonts w:ascii="Segoe UI" w:hAnsi="Segoe UI" w:cs="Segoe UI" w:eastAsia="Segoe UI"/>
          <w:sz w:val="11"/>
          <w:szCs w:val="11"/>
        </w:rPr>
      </w:pPr>
    </w:p>
    <w:p>
      <w:pPr>
        <w:spacing w:line="200" w:lineRule="atLeast"/>
        <w:ind w:left="137" w:right="0" w:firstLine="0"/>
        <w:rPr>
          <w:rFonts w:ascii="Segoe UI" w:hAnsi="Segoe UI" w:cs="Segoe UI" w:eastAsia="Segoe UI"/>
          <w:sz w:val="20"/>
          <w:szCs w:val="20"/>
        </w:rPr>
      </w:pPr>
      <w:r>
        <w:rPr>
          <w:rFonts w:ascii="Segoe UI" w:hAnsi="Segoe UI" w:cs="Segoe UI" w:eastAsia="Segoe UI"/>
          <w:sz w:val="20"/>
          <w:szCs w:val="20"/>
        </w:rPr>
        <w:pict>
          <v:shape style="width:437.4pt;height:151.1pt;mso-position-horizontal-relative:char;mso-position-vertical-relative:line" type="#_x0000_t202" filled="true" fillcolor="#ecf1f5" stroked="true" strokeweight="2pt" strokecolor="#355f92">
            <v:textbox inset="0,0,0,0">
              <w:txbxContent>
                <w:p>
                  <w:pPr>
                    <w:spacing w:before="159"/>
                    <w:ind w:left="243" w:right="0" w:firstLine="0"/>
                    <w:jc w:val="left"/>
                    <w:rPr>
                      <w:rFonts w:ascii="Segoe UI Semibold" w:hAnsi="Segoe UI Semibold" w:cs="Segoe UI Semibold" w:eastAsia="Segoe UI Semibold"/>
                      <w:sz w:val="24"/>
                      <w:szCs w:val="24"/>
                    </w:rPr>
                  </w:pPr>
                  <w:r>
                    <w:rPr>
                      <w:rFonts w:ascii="Segoe UI Semibold"/>
                      <w:b/>
                      <w:color w:val="452A70"/>
                      <w:spacing w:val="-2"/>
                      <w:sz w:val="24"/>
                    </w:rPr>
                    <w:t>RECOMMENDATION</w:t>
                  </w:r>
                  <w:r>
                    <w:rPr>
                      <w:rFonts w:ascii="Segoe UI Semibold"/>
                      <w:b/>
                      <w:color w:val="452A70"/>
                      <w:spacing w:val="-8"/>
                      <w:sz w:val="24"/>
                    </w:rPr>
                    <w:t> </w:t>
                  </w:r>
                  <w:r>
                    <w:rPr>
                      <w:rFonts w:ascii="Segoe UI Semibold"/>
                      <w:b/>
                      <w:color w:val="452A70"/>
                      <w:spacing w:val="-1"/>
                      <w:sz w:val="24"/>
                    </w:rPr>
                    <w:t>10:</w:t>
                  </w:r>
                  <w:r>
                    <w:rPr>
                      <w:rFonts w:ascii="Segoe UI Semibold"/>
                      <w:b/>
                      <w:color w:val="452A70"/>
                      <w:spacing w:val="-6"/>
                      <w:sz w:val="24"/>
                    </w:rPr>
                    <w:t> </w:t>
                  </w:r>
                  <w:r>
                    <w:rPr>
                      <w:rFonts w:ascii="Segoe UI Semibold"/>
                      <w:b/>
                      <w:color w:val="452A70"/>
                      <w:spacing w:val="-3"/>
                      <w:sz w:val="24"/>
                    </w:rPr>
                    <w:t>SECTOR</w:t>
                  </w:r>
                  <w:r>
                    <w:rPr>
                      <w:rFonts w:ascii="Segoe UI Semibold"/>
                      <w:b/>
                      <w:color w:val="452A70"/>
                      <w:spacing w:val="-6"/>
                      <w:sz w:val="24"/>
                    </w:rPr>
                    <w:t> </w:t>
                  </w:r>
                  <w:r>
                    <w:rPr>
                      <w:rFonts w:ascii="Segoe UI Semibold"/>
                      <w:b/>
                      <w:color w:val="452A70"/>
                      <w:spacing w:val="-1"/>
                      <w:sz w:val="24"/>
                    </w:rPr>
                    <w:t>CHANGE</w:t>
                  </w:r>
                  <w:r>
                    <w:rPr>
                      <w:rFonts w:ascii="Segoe UI Semibold"/>
                      <w:sz w:val="24"/>
                    </w:rPr>
                  </w:r>
                </w:p>
                <w:p>
                  <w:pPr>
                    <w:spacing w:line="258" w:lineRule="exact" w:before="115"/>
                    <w:ind w:left="243" w:right="0" w:firstLine="0"/>
                    <w:jc w:val="left"/>
                    <w:rPr>
                      <w:rFonts w:ascii="Segoe UI" w:hAnsi="Segoe UI" w:cs="Segoe UI" w:eastAsia="Segoe UI"/>
                      <w:sz w:val="20"/>
                      <w:szCs w:val="20"/>
                    </w:rPr>
                  </w:pPr>
                  <w:r>
                    <w:rPr>
                      <w:rFonts w:ascii="Segoe UI"/>
                      <w:color w:val="452A70"/>
                      <w:sz w:val="20"/>
                    </w:rPr>
                    <w:t>Provide advice on transitioning and restructuring to boarding providers experiencing difficulty</w:t>
                  </w:r>
                  <w:r>
                    <w:rPr>
                      <w:rFonts w:ascii="Segoe UI"/>
                      <w:sz w:val="20"/>
                    </w:rPr>
                  </w:r>
                </w:p>
                <w:p>
                  <w:pPr>
                    <w:spacing w:line="258" w:lineRule="exact" w:before="0"/>
                    <w:ind w:left="243" w:right="0" w:firstLine="0"/>
                    <w:jc w:val="left"/>
                    <w:rPr>
                      <w:rFonts w:ascii="Segoe UI" w:hAnsi="Segoe UI" w:cs="Segoe UI" w:eastAsia="Segoe UI"/>
                      <w:sz w:val="20"/>
                      <w:szCs w:val="20"/>
                    </w:rPr>
                  </w:pPr>
                  <w:r>
                    <w:rPr>
                      <w:rFonts w:ascii="Segoe UI"/>
                      <w:color w:val="452A70"/>
                      <w:sz w:val="20"/>
                    </w:rPr>
                    <w:t>with</w:t>
                  </w:r>
                  <w:r>
                    <w:rPr>
                      <w:rFonts w:ascii="Segoe UI"/>
                      <w:color w:val="452A70"/>
                      <w:spacing w:val="-6"/>
                      <w:sz w:val="20"/>
                    </w:rPr>
                    <w:t> </w:t>
                  </w:r>
                  <w:r>
                    <w:rPr>
                      <w:rFonts w:ascii="Segoe UI"/>
                      <w:color w:val="452A70"/>
                      <w:sz w:val="20"/>
                    </w:rPr>
                    <w:t>changing</w:t>
                  </w:r>
                  <w:r>
                    <w:rPr>
                      <w:rFonts w:ascii="Segoe UI"/>
                      <w:color w:val="452A70"/>
                      <w:spacing w:val="-6"/>
                      <w:sz w:val="20"/>
                    </w:rPr>
                    <w:t> </w:t>
                  </w:r>
                  <w:r>
                    <w:rPr>
                      <w:rFonts w:ascii="Segoe UI"/>
                      <w:color w:val="452A70"/>
                      <w:sz w:val="20"/>
                    </w:rPr>
                    <w:t>trends</w:t>
                  </w:r>
                  <w:r>
                    <w:rPr>
                      <w:rFonts w:ascii="Segoe UI"/>
                      <w:color w:val="452A70"/>
                      <w:spacing w:val="-6"/>
                      <w:sz w:val="20"/>
                    </w:rPr>
                    <w:t> </w:t>
                  </w:r>
                  <w:r>
                    <w:rPr>
                      <w:rFonts w:ascii="Segoe UI"/>
                      <w:color w:val="452A70"/>
                      <w:spacing w:val="-1"/>
                      <w:sz w:val="20"/>
                    </w:rPr>
                    <w:t>in</w:t>
                  </w:r>
                  <w:r>
                    <w:rPr>
                      <w:rFonts w:ascii="Segoe UI"/>
                      <w:color w:val="452A70"/>
                      <w:spacing w:val="-5"/>
                      <w:sz w:val="20"/>
                    </w:rPr>
                    <w:t> </w:t>
                  </w:r>
                  <w:r>
                    <w:rPr>
                      <w:rFonts w:ascii="Segoe UI"/>
                      <w:color w:val="452A70"/>
                      <w:sz w:val="20"/>
                    </w:rPr>
                    <w:t>boarding</w:t>
                  </w:r>
                  <w:r>
                    <w:rPr>
                      <w:rFonts w:ascii="Segoe UI"/>
                      <w:color w:val="452A70"/>
                      <w:spacing w:val="-6"/>
                      <w:sz w:val="20"/>
                    </w:rPr>
                    <w:t> </w:t>
                  </w:r>
                  <w:r>
                    <w:rPr>
                      <w:rFonts w:ascii="Segoe UI"/>
                      <w:color w:val="452A70"/>
                      <w:sz w:val="20"/>
                    </w:rPr>
                    <w:t>provision</w:t>
                  </w:r>
                  <w:r>
                    <w:rPr>
                      <w:rFonts w:ascii="Segoe UI"/>
                      <w:color w:val="452A70"/>
                      <w:spacing w:val="-6"/>
                      <w:sz w:val="20"/>
                    </w:rPr>
                    <w:t> </w:t>
                  </w:r>
                  <w:r>
                    <w:rPr>
                      <w:rFonts w:ascii="Segoe UI"/>
                      <w:color w:val="452A70"/>
                      <w:sz w:val="20"/>
                    </w:rPr>
                    <w:t>for</w:t>
                  </w:r>
                  <w:r>
                    <w:rPr>
                      <w:rFonts w:ascii="Segoe UI"/>
                      <w:color w:val="452A70"/>
                      <w:spacing w:val="-4"/>
                      <w:sz w:val="20"/>
                    </w:rPr>
                    <w:t> </w:t>
                  </w:r>
                  <w:r>
                    <w:rPr>
                      <w:rFonts w:ascii="Segoe UI"/>
                      <w:color w:val="452A70"/>
                      <w:sz w:val="20"/>
                    </w:rPr>
                    <w:t>Aboriginal</w:t>
                  </w:r>
                  <w:r>
                    <w:rPr>
                      <w:rFonts w:ascii="Segoe UI"/>
                      <w:color w:val="452A70"/>
                      <w:spacing w:val="-5"/>
                      <w:sz w:val="20"/>
                    </w:rPr>
                    <w:t> </w:t>
                  </w:r>
                  <w:r>
                    <w:rPr>
                      <w:rFonts w:ascii="Segoe UI"/>
                      <w:color w:val="452A70"/>
                      <w:sz w:val="20"/>
                    </w:rPr>
                    <w:t>and</w:t>
                  </w:r>
                  <w:r>
                    <w:rPr>
                      <w:rFonts w:ascii="Segoe UI"/>
                      <w:color w:val="452A70"/>
                      <w:spacing w:val="-6"/>
                      <w:sz w:val="20"/>
                    </w:rPr>
                    <w:t> </w:t>
                  </w:r>
                  <w:r>
                    <w:rPr>
                      <w:rFonts w:ascii="Segoe UI"/>
                      <w:color w:val="452A70"/>
                      <w:spacing w:val="-5"/>
                      <w:sz w:val="20"/>
                    </w:rPr>
                    <w:t>Torres </w:t>
                  </w:r>
                  <w:r>
                    <w:rPr>
                      <w:rFonts w:ascii="Segoe UI"/>
                      <w:color w:val="452A70"/>
                      <w:spacing w:val="-2"/>
                      <w:sz w:val="20"/>
                    </w:rPr>
                    <w:t>Strait</w:t>
                  </w:r>
                  <w:r>
                    <w:rPr>
                      <w:rFonts w:ascii="Segoe UI"/>
                      <w:color w:val="452A70"/>
                      <w:spacing w:val="-6"/>
                      <w:sz w:val="20"/>
                    </w:rPr>
                    <w:t> </w:t>
                  </w:r>
                  <w:r>
                    <w:rPr>
                      <w:rFonts w:ascii="Segoe UI"/>
                      <w:color w:val="452A70"/>
                      <w:spacing w:val="-1"/>
                      <w:sz w:val="20"/>
                    </w:rPr>
                    <w:t>Islander</w:t>
                  </w:r>
                  <w:r>
                    <w:rPr>
                      <w:rFonts w:ascii="Segoe UI"/>
                      <w:color w:val="452A70"/>
                      <w:spacing w:val="-5"/>
                      <w:sz w:val="20"/>
                    </w:rPr>
                    <w:t> </w:t>
                  </w:r>
                  <w:r>
                    <w:rPr>
                      <w:rFonts w:ascii="Segoe UI"/>
                      <w:color w:val="452A70"/>
                      <w:spacing w:val="-1"/>
                      <w:sz w:val="20"/>
                    </w:rPr>
                    <w:t>students.</w:t>
                  </w:r>
                  <w:r>
                    <w:rPr>
                      <w:rFonts w:ascii="Segoe UI"/>
                      <w:sz w:val="20"/>
                    </w:rPr>
                  </w:r>
                </w:p>
                <w:p>
                  <w:pPr>
                    <w:spacing w:line="250" w:lineRule="exact" w:before="113"/>
                    <w:ind w:left="243" w:right="171" w:firstLine="0"/>
                    <w:jc w:val="left"/>
                    <w:rPr>
                      <w:rFonts w:ascii="Segoe UI" w:hAnsi="Segoe UI" w:cs="Segoe UI" w:eastAsia="Segoe UI"/>
                      <w:sz w:val="20"/>
                      <w:szCs w:val="20"/>
                    </w:rPr>
                  </w:pPr>
                  <w:r>
                    <w:rPr>
                      <w:rFonts w:ascii="Segoe UI"/>
                      <w:color w:val="452A70"/>
                      <w:sz w:val="20"/>
                    </w:rPr>
                    <w:t>The</w:t>
                  </w:r>
                  <w:r>
                    <w:rPr>
                      <w:rFonts w:ascii="Segoe UI"/>
                      <w:color w:val="452A70"/>
                      <w:spacing w:val="-5"/>
                      <w:sz w:val="20"/>
                    </w:rPr>
                    <w:t> </w:t>
                  </w:r>
                  <w:r>
                    <w:rPr>
                      <w:rFonts w:ascii="Segoe UI"/>
                      <w:color w:val="452A70"/>
                      <w:sz w:val="20"/>
                    </w:rPr>
                    <w:t>professional</w:t>
                  </w:r>
                  <w:r>
                    <w:rPr>
                      <w:rFonts w:ascii="Segoe UI"/>
                      <w:color w:val="452A70"/>
                      <w:spacing w:val="-6"/>
                      <w:sz w:val="20"/>
                    </w:rPr>
                    <w:t> </w:t>
                  </w:r>
                  <w:r>
                    <w:rPr>
                      <w:rFonts w:ascii="Segoe UI"/>
                      <w:color w:val="452A70"/>
                      <w:sz w:val="20"/>
                    </w:rPr>
                    <w:t>networks</w:t>
                  </w:r>
                  <w:r>
                    <w:rPr>
                      <w:rFonts w:ascii="Segoe UI"/>
                      <w:color w:val="452A70"/>
                      <w:spacing w:val="-6"/>
                      <w:sz w:val="20"/>
                    </w:rPr>
                    <w:t> </w:t>
                  </w:r>
                  <w:r>
                    <w:rPr>
                      <w:rFonts w:ascii="Segoe UI"/>
                      <w:color w:val="452A70"/>
                      <w:sz w:val="20"/>
                    </w:rPr>
                    <w:t>of</w:t>
                  </w:r>
                  <w:r>
                    <w:rPr>
                      <w:rFonts w:ascii="Segoe UI"/>
                      <w:color w:val="452A70"/>
                      <w:spacing w:val="-5"/>
                      <w:sz w:val="20"/>
                    </w:rPr>
                    <w:t> </w:t>
                  </w:r>
                  <w:r>
                    <w:rPr>
                      <w:rFonts w:ascii="Segoe UI"/>
                      <w:color w:val="452A70"/>
                      <w:sz w:val="20"/>
                    </w:rPr>
                    <w:t>Aboriginal</w:t>
                  </w:r>
                  <w:r>
                    <w:rPr>
                      <w:rFonts w:ascii="Segoe UI"/>
                      <w:color w:val="452A70"/>
                      <w:spacing w:val="-5"/>
                      <w:sz w:val="20"/>
                    </w:rPr>
                    <w:t> </w:t>
                  </w:r>
                  <w:r>
                    <w:rPr>
                      <w:rFonts w:ascii="Segoe UI"/>
                      <w:color w:val="452A70"/>
                      <w:sz w:val="20"/>
                    </w:rPr>
                    <w:t>and</w:t>
                  </w:r>
                  <w:r>
                    <w:rPr>
                      <w:rFonts w:ascii="Segoe UI"/>
                      <w:color w:val="452A70"/>
                      <w:spacing w:val="-5"/>
                      <w:sz w:val="20"/>
                    </w:rPr>
                    <w:t> Torres </w:t>
                  </w:r>
                  <w:r>
                    <w:rPr>
                      <w:rFonts w:ascii="Segoe UI"/>
                      <w:color w:val="452A70"/>
                      <w:spacing w:val="-2"/>
                      <w:sz w:val="20"/>
                    </w:rPr>
                    <w:t>Strait</w:t>
                  </w:r>
                  <w:r>
                    <w:rPr>
                      <w:rFonts w:ascii="Segoe UI"/>
                      <w:color w:val="452A70"/>
                      <w:spacing w:val="-6"/>
                      <w:sz w:val="20"/>
                    </w:rPr>
                    <w:t> </w:t>
                  </w:r>
                  <w:r>
                    <w:rPr>
                      <w:rFonts w:ascii="Segoe UI"/>
                      <w:color w:val="452A70"/>
                      <w:spacing w:val="-1"/>
                      <w:sz w:val="20"/>
                    </w:rPr>
                    <w:t>Islander</w:t>
                  </w:r>
                  <w:r>
                    <w:rPr>
                      <w:rFonts w:ascii="Segoe UI"/>
                      <w:color w:val="452A70"/>
                      <w:spacing w:val="-5"/>
                      <w:sz w:val="20"/>
                    </w:rPr>
                    <w:t> </w:t>
                  </w:r>
                  <w:r>
                    <w:rPr>
                      <w:rFonts w:ascii="Segoe UI"/>
                      <w:color w:val="452A70"/>
                      <w:sz w:val="20"/>
                    </w:rPr>
                    <w:t>boarding</w:t>
                  </w:r>
                  <w:r>
                    <w:rPr>
                      <w:rFonts w:ascii="Segoe UI"/>
                      <w:color w:val="452A70"/>
                      <w:spacing w:val="-6"/>
                      <w:sz w:val="20"/>
                    </w:rPr>
                    <w:t> </w:t>
                  </w:r>
                  <w:r>
                    <w:rPr>
                      <w:rFonts w:ascii="Segoe UI"/>
                      <w:color w:val="452A70"/>
                      <w:sz w:val="20"/>
                    </w:rPr>
                    <w:t>providers</w:t>
                  </w:r>
                  <w:r>
                    <w:rPr>
                      <w:rFonts w:ascii="Segoe UI"/>
                      <w:color w:val="452A70"/>
                      <w:spacing w:val="-6"/>
                      <w:sz w:val="20"/>
                    </w:rPr>
                    <w:t> </w:t>
                  </w:r>
                  <w:r>
                    <w:rPr>
                      <w:rFonts w:ascii="Segoe UI"/>
                      <w:color w:val="452A70"/>
                      <w:sz w:val="20"/>
                    </w:rPr>
                    <w:t>and</w:t>
                  </w:r>
                  <w:r>
                    <w:rPr>
                      <w:rFonts w:ascii="Segoe UI"/>
                      <w:color w:val="452A70"/>
                      <w:spacing w:val="-5"/>
                      <w:sz w:val="20"/>
                    </w:rPr>
                    <w:t> </w:t>
                  </w:r>
                  <w:r>
                    <w:rPr>
                      <w:rFonts w:ascii="Segoe UI"/>
                      <w:color w:val="452A70"/>
                      <w:sz w:val="20"/>
                    </w:rPr>
                    <w:t>the</w:t>
                  </w:r>
                  <w:r>
                    <w:rPr>
                      <w:rFonts w:ascii="Segoe UI"/>
                      <w:color w:val="452A70"/>
                      <w:spacing w:val="21"/>
                      <w:w w:val="99"/>
                      <w:sz w:val="20"/>
                    </w:rPr>
                    <w:t> </w:t>
                  </w:r>
                  <w:r>
                    <w:rPr>
                      <w:rFonts w:ascii="Segoe UI"/>
                      <w:color w:val="452A70"/>
                      <w:sz w:val="20"/>
                    </w:rPr>
                    <w:t>composition</w:t>
                  </w:r>
                  <w:r>
                    <w:rPr>
                      <w:rFonts w:ascii="Segoe UI"/>
                      <w:color w:val="452A70"/>
                      <w:spacing w:val="-6"/>
                      <w:sz w:val="20"/>
                    </w:rPr>
                    <w:t> </w:t>
                  </w:r>
                  <w:r>
                    <w:rPr>
                      <w:rFonts w:ascii="Segoe UI"/>
                      <w:color w:val="452A70"/>
                      <w:sz w:val="20"/>
                    </w:rPr>
                    <w:t>of</w:t>
                  </w:r>
                  <w:r>
                    <w:rPr>
                      <w:rFonts w:ascii="Segoe UI"/>
                      <w:color w:val="452A70"/>
                      <w:spacing w:val="-4"/>
                      <w:sz w:val="20"/>
                    </w:rPr>
                    <w:t> </w:t>
                  </w:r>
                  <w:r>
                    <w:rPr>
                      <w:rFonts w:ascii="Segoe UI"/>
                      <w:color w:val="452A70"/>
                      <w:sz w:val="20"/>
                    </w:rPr>
                    <w:t>their</w:t>
                  </w:r>
                  <w:r>
                    <w:rPr>
                      <w:rFonts w:ascii="Segoe UI"/>
                      <w:color w:val="452A70"/>
                      <w:spacing w:val="-5"/>
                      <w:sz w:val="20"/>
                    </w:rPr>
                    <w:t> </w:t>
                  </w:r>
                  <w:r>
                    <w:rPr>
                      <w:rFonts w:ascii="Segoe UI"/>
                      <w:color w:val="452A70"/>
                      <w:sz w:val="20"/>
                    </w:rPr>
                    <w:t>boards</w:t>
                  </w:r>
                  <w:r>
                    <w:rPr>
                      <w:rFonts w:ascii="Segoe UI"/>
                      <w:color w:val="452A70"/>
                      <w:spacing w:val="-5"/>
                      <w:sz w:val="20"/>
                    </w:rPr>
                    <w:t> </w:t>
                  </w:r>
                  <w:r>
                    <w:rPr>
                      <w:rFonts w:ascii="Segoe UI"/>
                      <w:color w:val="452A70"/>
                      <w:spacing w:val="-1"/>
                      <w:sz w:val="20"/>
                    </w:rPr>
                    <w:t>should</w:t>
                  </w:r>
                  <w:r>
                    <w:rPr>
                      <w:rFonts w:ascii="Segoe UI"/>
                      <w:color w:val="452A70"/>
                      <w:spacing w:val="-5"/>
                      <w:sz w:val="20"/>
                    </w:rPr>
                    <w:t> </w:t>
                  </w:r>
                  <w:r>
                    <w:rPr>
                      <w:rFonts w:ascii="Segoe UI"/>
                      <w:color w:val="452A70"/>
                      <w:spacing w:val="-1"/>
                      <w:sz w:val="20"/>
                    </w:rPr>
                    <w:t>include</w:t>
                  </w:r>
                  <w:r>
                    <w:rPr>
                      <w:rFonts w:ascii="Segoe UI"/>
                      <w:color w:val="452A70"/>
                      <w:spacing w:val="-4"/>
                      <w:sz w:val="20"/>
                    </w:rPr>
                    <w:t> </w:t>
                  </w:r>
                  <w:r>
                    <w:rPr>
                      <w:rFonts w:ascii="Segoe UI"/>
                      <w:color w:val="452A70"/>
                      <w:sz w:val="20"/>
                    </w:rPr>
                    <w:t>a</w:t>
                  </w:r>
                  <w:r>
                    <w:rPr>
                      <w:rFonts w:ascii="Segoe UI"/>
                      <w:color w:val="452A70"/>
                      <w:spacing w:val="-4"/>
                      <w:sz w:val="20"/>
                    </w:rPr>
                    <w:t> </w:t>
                  </w:r>
                  <w:r>
                    <w:rPr>
                      <w:rFonts w:ascii="Segoe UI"/>
                      <w:color w:val="452A70"/>
                      <w:sz w:val="20"/>
                    </w:rPr>
                    <w:t>greater</w:t>
                  </w:r>
                  <w:r>
                    <w:rPr>
                      <w:rFonts w:ascii="Segoe UI"/>
                      <w:color w:val="452A70"/>
                      <w:spacing w:val="-5"/>
                      <w:sz w:val="20"/>
                    </w:rPr>
                    <w:t> </w:t>
                  </w:r>
                  <w:r>
                    <w:rPr>
                      <w:rFonts w:ascii="Segoe UI"/>
                      <w:color w:val="452A70"/>
                      <w:sz w:val="20"/>
                    </w:rPr>
                    <w:t>diversity</w:t>
                  </w:r>
                  <w:r>
                    <w:rPr>
                      <w:rFonts w:ascii="Segoe UI"/>
                      <w:color w:val="452A70"/>
                      <w:spacing w:val="-5"/>
                      <w:sz w:val="20"/>
                    </w:rPr>
                    <w:t> </w:t>
                  </w:r>
                  <w:r>
                    <w:rPr>
                      <w:rFonts w:ascii="Segoe UI"/>
                      <w:color w:val="452A70"/>
                      <w:sz w:val="20"/>
                    </w:rPr>
                    <w:t>of</w:t>
                  </w:r>
                  <w:r>
                    <w:rPr>
                      <w:rFonts w:ascii="Segoe UI"/>
                      <w:color w:val="452A70"/>
                      <w:spacing w:val="-5"/>
                      <w:sz w:val="20"/>
                    </w:rPr>
                    <w:t> </w:t>
                  </w:r>
                  <w:r>
                    <w:rPr>
                      <w:rFonts w:ascii="Segoe UI"/>
                      <w:color w:val="452A70"/>
                      <w:spacing w:val="-1"/>
                      <w:sz w:val="20"/>
                    </w:rPr>
                    <w:t>skills</w:t>
                  </w:r>
                  <w:r>
                    <w:rPr>
                      <w:rFonts w:ascii="Segoe UI"/>
                      <w:color w:val="452A70"/>
                      <w:spacing w:val="-4"/>
                      <w:sz w:val="20"/>
                    </w:rPr>
                    <w:t> </w:t>
                  </w:r>
                  <w:r>
                    <w:rPr>
                      <w:rFonts w:ascii="Segoe UI"/>
                      <w:color w:val="452A70"/>
                      <w:sz w:val="20"/>
                    </w:rPr>
                    <w:t>and</w:t>
                  </w:r>
                  <w:r>
                    <w:rPr>
                      <w:rFonts w:ascii="Segoe UI"/>
                      <w:color w:val="452A70"/>
                      <w:spacing w:val="-5"/>
                      <w:sz w:val="20"/>
                    </w:rPr>
                    <w:t> </w:t>
                  </w:r>
                  <w:r>
                    <w:rPr>
                      <w:rFonts w:ascii="Segoe UI"/>
                      <w:color w:val="452A70"/>
                      <w:sz w:val="20"/>
                    </w:rPr>
                    <w:t>experience</w:t>
                  </w:r>
                  <w:r>
                    <w:rPr>
                      <w:rFonts w:ascii="Segoe UI"/>
                      <w:color w:val="452A70"/>
                      <w:spacing w:val="-5"/>
                      <w:sz w:val="20"/>
                    </w:rPr>
                    <w:t> </w:t>
                  </w:r>
                  <w:r>
                    <w:rPr>
                      <w:rFonts w:ascii="Segoe UI"/>
                      <w:color w:val="452A70"/>
                      <w:sz w:val="20"/>
                    </w:rPr>
                    <w:t>relevant</w:t>
                  </w:r>
                  <w:r>
                    <w:rPr>
                      <w:rFonts w:ascii="Segoe UI"/>
                      <w:color w:val="452A70"/>
                      <w:spacing w:val="24"/>
                      <w:w w:val="99"/>
                      <w:sz w:val="20"/>
                    </w:rPr>
                    <w:t> </w:t>
                  </w:r>
                  <w:r>
                    <w:rPr>
                      <w:rFonts w:ascii="Segoe UI"/>
                      <w:color w:val="452A70"/>
                      <w:sz w:val="20"/>
                    </w:rPr>
                    <w:t>to financial management, boarding and cultural practices. Increase awareness of existing</w:t>
                  </w:r>
                  <w:r>
                    <w:rPr>
                      <w:rFonts w:ascii="Segoe UI"/>
                      <w:color w:val="452A70"/>
                      <w:sz w:val="20"/>
                    </w:rPr>
                    <w:t> programs to assist not for profits in regional, remote and very remote regions to identify, recruit and train appropriately qualified directors and committee members, particularly </w:t>
                  </w:r>
                  <w:r>
                    <w:rPr>
                      <w:rFonts w:ascii="Segoe UI"/>
                      <w:color w:val="452A70"/>
                      <w:sz w:val="20"/>
                    </w:rPr>
                    <w:t>Aboriginal</w:t>
                  </w:r>
                  <w:r>
                    <w:rPr>
                      <w:rFonts w:ascii="Segoe UI"/>
                      <w:color w:val="452A70"/>
                      <w:spacing w:val="-6"/>
                      <w:sz w:val="20"/>
                    </w:rPr>
                    <w:t> </w:t>
                  </w:r>
                  <w:r>
                    <w:rPr>
                      <w:rFonts w:ascii="Segoe UI"/>
                      <w:color w:val="452A70"/>
                      <w:sz w:val="20"/>
                    </w:rPr>
                    <w:t>and</w:t>
                  </w:r>
                  <w:r>
                    <w:rPr>
                      <w:rFonts w:ascii="Segoe UI"/>
                      <w:color w:val="452A70"/>
                      <w:spacing w:val="-7"/>
                      <w:sz w:val="20"/>
                    </w:rPr>
                    <w:t> </w:t>
                  </w:r>
                  <w:r>
                    <w:rPr>
                      <w:rFonts w:ascii="Segoe UI"/>
                      <w:color w:val="452A70"/>
                      <w:spacing w:val="-5"/>
                      <w:sz w:val="20"/>
                    </w:rPr>
                    <w:t>Torres</w:t>
                  </w:r>
                  <w:r>
                    <w:rPr>
                      <w:rFonts w:ascii="Segoe UI"/>
                      <w:color w:val="452A70"/>
                      <w:spacing w:val="-6"/>
                      <w:sz w:val="20"/>
                    </w:rPr>
                    <w:t> </w:t>
                  </w:r>
                  <w:r>
                    <w:rPr>
                      <w:rFonts w:ascii="Segoe UI"/>
                      <w:color w:val="452A70"/>
                      <w:spacing w:val="-2"/>
                      <w:sz w:val="20"/>
                    </w:rPr>
                    <w:t>Strait</w:t>
                  </w:r>
                  <w:r>
                    <w:rPr>
                      <w:rFonts w:ascii="Segoe UI"/>
                      <w:color w:val="452A70"/>
                      <w:spacing w:val="-7"/>
                      <w:sz w:val="20"/>
                    </w:rPr>
                    <w:t> </w:t>
                  </w:r>
                  <w:r>
                    <w:rPr>
                      <w:rFonts w:ascii="Segoe UI"/>
                      <w:color w:val="452A70"/>
                      <w:spacing w:val="-1"/>
                      <w:sz w:val="20"/>
                    </w:rPr>
                    <w:t>Islander</w:t>
                  </w:r>
                  <w:r>
                    <w:rPr>
                      <w:rFonts w:ascii="Segoe UI"/>
                      <w:color w:val="452A70"/>
                      <w:spacing w:val="-5"/>
                      <w:sz w:val="20"/>
                    </w:rPr>
                    <w:t> </w:t>
                  </w:r>
                  <w:r>
                    <w:rPr>
                      <w:rFonts w:ascii="Segoe UI"/>
                      <w:color w:val="452A70"/>
                      <w:sz w:val="20"/>
                    </w:rPr>
                    <w:t>people.</w:t>
                  </w:r>
                  <w:r>
                    <w:rPr>
                      <w:rFonts w:ascii="Segoe UI"/>
                      <w:sz w:val="20"/>
                    </w:rPr>
                  </w:r>
                </w:p>
              </w:txbxContent>
            </v:textbox>
            <v:fill type="solid"/>
            <v:stroke dashstyle="dash"/>
            <w10:wrap type="none"/>
          </v:shape>
        </w:pict>
      </w:r>
      <w:r>
        <w:rPr>
          <w:rFonts w:ascii="Segoe UI" w:hAnsi="Segoe UI" w:cs="Segoe UI" w:eastAsia="Segoe UI"/>
          <w:sz w:val="20"/>
          <w:szCs w:val="20"/>
        </w:rPr>
      </w:r>
    </w:p>
    <w:p>
      <w:pPr>
        <w:spacing w:line="240" w:lineRule="auto" w:before="2"/>
        <w:rPr>
          <w:rFonts w:ascii="Segoe UI" w:hAnsi="Segoe UI" w:cs="Segoe UI" w:eastAsia="Segoe UI"/>
          <w:sz w:val="16"/>
          <w:szCs w:val="16"/>
        </w:rPr>
      </w:pPr>
    </w:p>
    <w:p>
      <w:pPr>
        <w:spacing w:after="0" w:line="240" w:lineRule="auto"/>
        <w:rPr>
          <w:rFonts w:ascii="Segoe UI" w:hAnsi="Segoe UI" w:cs="Segoe UI" w:eastAsia="Segoe UI"/>
          <w:sz w:val="16"/>
          <w:szCs w:val="16"/>
        </w:rPr>
        <w:sectPr>
          <w:pgSz w:w="11910" w:h="16840"/>
          <w:pgMar w:header="0" w:footer="691" w:top="1580" w:bottom="880" w:left="1300" w:right="1600"/>
        </w:sectPr>
      </w:pPr>
    </w:p>
    <w:p>
      <w:pPr>
        <w:pStyle w:val="BodyText"/>
        <w:spacing w:line="250" w:lineRule="exact" w:before="62"/>
        <w:ind w:right="69"/>
        <w:jc w:val="left"/>
      </w:pPr>
      <w:r>
        <w:rPr/>
        <w:pict>
          <v:group style="position:absolute;margin-left:71.866096pt;margin-top:-10.771283pt;width:.1pt;height:.1pt;mso-position-horizontal-relative:page;mso-position-vertical-relative:paragraph;z-index:-220288" coordorigin="1437,-215" coordsize="2,2">
            <v:shape style="position:absolute;left:1437;top:-215;width:2;height:2" coordorigin="1437,-215" coordsize="0,0" path="m1437,-215l1437,-215e" filled="false" stroked="true" strokeweight="2pt" strokecolor="#355f92">
              <v:path arrowok="t"/>
            </v:shape>
            <w10:wrap type="none"/>
          </v:group>
        </w:pict>
      </w:r>
      <w:r>
        <w:rPr/>
        <w:pict>
          <v:group style="position:absolute;margin-left:509.236115pt;margin-top:-10.771283pt;width:.1pt;height:.1pt;mso-position-horizontal-relative:page;mso-position-vertical-relative:paragraph;z-index:-220264" coordorigin="10185,-215" coordsize="2,2">
            <v:shape style="position:absolute;left:10185;top:-215;width:2;height:2" coordorigin="10185,-215" coordsize="0,0" path="m10185,-215l10185,-215e" filled="false" stroked="true" strokeweight="2pt" strokecolor="#355f92">
              <v:path arrowok="t"/>
            </v:shape>
            <w10:wrap type="none"/>
          </v:group>
        </w:pict>
      </w:r>
      <w:r>
        <w:rPr/>
        <w:pict>
          <v:group style="position:absolute;margin-left:509.236115pt;margin-top:114.386414pt;width:.1pt;height:.1pt;mso-position-horizontal-relative:page;mso-position-vertical-relative:page;z-index:-220240" coordorigin="10185,2288" coordsize="2,2">
            <v:shape style="position:absolute;left:10185;top:2288;width:2;height:2" coordorigin="10185,2288" coordsize="0,0" path="m10185,2288l10185,2288e" filled="false" stroked="true" strokeweight="2pt" strokecolor="#355f92">
              <v:path arrowok="t"/>
            </v:shape>
            <w10:wrap type="none"/>
          </v:group>
        </w:pict>
      </w:r>
      <w:r>
        <w:rPr/>
        <w:pict>
          <v:group style="position:absolute;margin-left:71.866096pt;margin-top:114.386414pt;width:.1pt;height:.1pt;mso-position-horizontal-relative:page;mso-position-vertical-relative:page;z-index:-220216" coordorigin="1437,2288" coordsize="2,2">
            <v:shape style="position:absolute;left:1437;top:2288;width:2;height:2" coordorigin="1437,2288" coordsize="0,0" path="m1437,2288l1437,2288e" filled="false" stroked="true" strokeweight="2pt" strokecolor="#355f92">
              <v:path arrowok="t"/>
            </v:shape>
            <w10:wrap type="none"/>
          </v:group>
        </w:pict>
      </w:r>
      <w:r>
        <w:rPr>
          <w:color w:val="231F20"/>
        </w:rPr>
        <w:t>Long</w:t>
      </w:r>
      <w:r>
        <w:rPr>
          <w:color w:val="231F20"/>
          <w:spacing w:val="-7"/>
        </w:rPr>
        <w:t> </w:t>
      </w:r>
      <w:r>
        <w:rPr>
          <w:color w:val="231F20"/>
        </w:rPr>
        <w:t>established</w:t>
      </w:r>
      <w:r>
        <w:rPr>
          <w:color w:val="231F20"/>
          <w:spacing w:val="-6"/>
        </w:rPr>
        <w:t> </w:t>
      </w:r>
      <w:r>
        <w:rPr>
          <w:color w:val="231F20"/>
        </w:rPr>
        <w:t>regional</w:t>
      </w:r>
      <w:r>
        <w:rPr>
          <w:color w:val="231F20"/>
          <w:spacing w:val="-6"/>
        </w:rPr>
        <w:t> </w:t>
      </w:r>
      <w:r>
        <w:rPr>
          <w:color w:val="231F20"/>
        </w:rPr>
        <w:t>and</w:t>
      </w:r>
      <w:r>
        <w:rPr>
          <w:color w:val="231F20"/>
          <w:spacing w:val="-7"/>
        </w:rPr>
        <w:t> </w:t>
      </w:r>
      <w:r>
        <w:rPr>
          <w:color w:val="231F20"/>
        </w:rPr>
        <w:t>remote</w:t>
      </w:r>
      <w:r>
        <w:rPr>
          <w:color w:val="231F20"/>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5"/>
        </w:rPr>
        <w:t> </w:t>
      </w:r>
      <w:r>
        <w:rPr>
          <w:color w:val="231F20"/>
        </w:rPr>
        <w:t>also</w:t>
      </w:r>
      <w:r>
        <w:rPr>
          <w:color w:val="231F20"/>
          <w:spacing w:val="-4"/>
        </w:rPr>
        <w:t> </w:t>
      </w:r>
      <w:r>
        <w:rPr>
          <w:color w:val="231F20"/>
          <w:spacing w:val="-1"/>
        </w:rPr>
        <w:t>spoke</w:t>
      </w:r>
      <w:r>
        <w:rPr>
          <w:color w:val="231F20"/>
          <w:spacing w:val="-4"/>
        </w:rPr>
        <w:t> </w:t>
      </w:r>
      <w:r>
        <w:rPr>
          <w:color w:val="231F20"/>
        </w:rPr>
        <w:t>of</w:t>
      </w:r>
      <w:r>
        <w:rPr>
          <w:color w:val="231F20"/>
          <w:spacing w:val="-3"/>
        </w:rPr>
        <w:t> </w:t>
      </w:r>
      <w:r>
        <w:rPr>
          <w:color w:val="231F20"/>
        </w:rPr>
        <w:t>the</w:t>
      </w:r>
      <w:r>
        <w:rPr>
          <w:color w:val="231F20"/>
          <w:spacing w:val="-4"/>
        </w:rPr>
        <w:t> </w:t>
      </w:r>
      <w:r>
        <w:rPr>
          <w:color w:val="231F20"/>
          <w:spacing w:val="-1"/>
        </w:rPr>
        <w:t>impact</w:t>
      </w:r>
      <w:r>
        <w:rPr>
          <w:color w:val="231F20"/>
          <w:spacing w:val="-4"/>
        </w:rPr>
        <w:t> </w:t>
      </w:r>
      <w:r>
        <w:rPr>
          <w:color w:val="231F20"/>
        </w:rPr>
        <w:t>of</w:t>
      </w:r>
      <w:r>
        <w:rPr>
          <w:color w:val="231F20"/>
          <w:spacing w:val="-3"/>
        </w:rPr>
        <w:t> </w:t>
      </w:r>
      <w:r>
        <w:rPr>
          <w:color w:val="231F20"/>
        </w:rPr>
        <w:t>the</w:t>
      </w:r>
      <w:r>
        <w:rPr>
          <w:color w:val="231F20"/>
          <w:spacing w:val="23"/>
          <w:w w:val="99"/>
        </w:rPr>
        <w:t> </w:t>
      </w:r>
      <w:r>
        <w:rPr>
          <w:color w:val="231F20"/>
          <w:spacing w:val="-1"/>
        </w:rPr>
        <w:t>increasing</w:t>
      </w:r>
      <w:r>
        <w:rPr>
          <w:color w:val="231F20"/>
          <w:spacing w:val="-6"/>
        </w:rPr>
        <w:t> </w:t>
      </w:r>
      <w:r>
        <w:rPr>
          <w:color w:val="231F20"/>
          <w:spacing w:val="-1"/>
        </w:rPr>
        <w:t>investment</w:t>
      </w:r>
      <w:r>
        <w:rPr>
          <w:color w:val="231F20"/>
          <w:spacing w:val="-5"/>
        </w:rPr>
        <w:t> </w:t>
      </w:r>
      <w:r>
        <w:rPr>
          <w:color w:val="231F20"/>
        </w:rPr>
        <w:t>by</w:t>
      </w:r>
      <w:r>
        <w:rPr>
          <w:color w:val="231F20"/>
          <w:spacing w:val="-5"/>
        </w:rPr>
        <w:t> </w:t>
      </w:r>
      <w:r>
        <w:rPr>
          <w:color w:val="231F20"/>
          <w:spacing w:val="-1"/>
        </w:rPr>
        <w:t>largely</w:t>
      </w:r>
      <w:r>
        <w:rPr>
          <w:color w:val="231F20"/>
          <w:spacing w:val="-5"/>
        </w:rPr>
        <w:t> </w:t>
      </w:r>
      <w:r>
        <w:rPr>
          <w:color w:val="231F20"/>
        </w:rPr>
        <w:t>capital</w:t>
      </w:r>
      <w:r>
        <w:rPr>
          <w:color w:val="231F20"/>
          <w:spacing w:val="-6"/>
        </w:rPr>
        <w:t> </w:t>
      </w:r>
      <w:r>
        <w:rPr>
          <w:color w:val="231F20"/>
        </w:rPr>
        <w:t>city</w:t>
      </w:r>
      <w:r>
        <w:rPr>
          <w:color w:val="231F20"/>
          <w:spacing w:val="24"/>
          <w:w w:val="99"/>
        </w:rPr>
        <w:t> </w:t>
      </w:r>
      <w:r>
        <w:rPr>
          <w:color w:val="231F20"/>
        </w:rPr>
        <w:t>based</w:t>
      </w:r>
      <w:r>
        <w:rPr>
          <w:color w:val="231F20"/>
          <w:spacing w:val="-7"/>
        </w:rPr>
        <w:t> </w:t>
      </w:r>
      <w:r>
        <w:rPr>
          <w:color w:val="231F20"/>
          <w:spacing w:val="-1"/>
        </w:rPr>
        <w:t>mainstream</w:t>
      </w:r>
      <w:r>
        <w:rPr>
          <w:color w:val="231F20"/>
          <w:spacing w:val="-4"/>
        </w:rPr>
        <w:t> </w:t>
      </w:r>
      <w:r>
        <w:rPr>
          <w:color w:val="231F20"/>
        </w:rPr>
        <w:t>boarding</w:t>
      </w:r>
      <w:r>
        <w:rPr>
          <w:color w:val="231F20"/>
          <w:spacing w:val="-7"/>
        </w:rPr>
        <w:t> </w:t>
      </w:r>
      <w:r>
        <w:rPr>
          <w:color w:val="231F20"/>
        </w:rPr>
        <w:t>providers</w:t>
      </w:r>
      <w:r>
        <w:rPr>
          <w:color w:val="231F20"/>
          <w:spacing w:val="-6"/>
        </w:rPr>
        <w:t> </w:t>
      </w:r>
      <w:r>
        <w:rPr>
          <w:color w:val="231F20"/>
          <w:spacing w:val="-1"/>
        </w:rPr>
        <w:t>in</w:t>
      </w:r>
      <w:r>
        <w:rPr>
          <w:color w:val="231F20"/>
          <w:spacing w:val="21"/>
        </w:rPr>
        <w:t> </w:t>
      </w:r>
      <w:r>
        <w:rPr>
          <w:color w:val="231F20"/>
        </w:rPr>
        <w:t>boarding</w:t>
      </w:r>
      <w:r>
        <w:rPr>
          <w:color w:val="231F20"/>
          <w:spacing w:val="-7"/>
        </w:rPr>
        <w:t> </w:t>
      </w:r>
      <w:r>
        <w:rPr>
          <w:color w:val="231F20"/>
        </w:rPr>
        <w:t>for</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w:t>
      </w:r>
      <w:r>
        <w:rPr>
          <w:color w:val="231F20"/>
          <w:spacing w:val="-6"/>
        </w:rPr>
        <w:t> </w:t>
      </w:r>
      <w:r>
        <w:rPr>
          <w:color w:val="231F20"/>
          <w:spacing w:val="-2"/>
        </w:rPr>
        <w:t>Strait</w:t>
      </w:r>
      <w:r>
        <w:rPr>
          <w:color w:val="231F20"/>
          <w:spacing w:val="29"/>
          <w:w w:val="99"/>
        </w:rPr>
        <w:t> </w:t>
      </w:r>
      <w:r>
        <w:rPr>
          <w:color w:val="231F20"/>
          <w:spacing w:val="-1"/>
        </w:rPr>
        <w:t>Islander</w:t>
      </w:r>
      <w:r>
        <w:rPr>
          <w:color w:val="231F20"/>
          <w:spacing w:val="-6"/>
        </w:rPr>
        <w:t> </w:t>
      </w:r>
      <w:r>
        <w:rPr>
          <w:color w:val="231F20"/>
          <w:spacing w:val="-1"/>
        </w:rPr>
        <w:t>students</w:t>
      </w:r>
      <w:r>
        <w:rPr>
          <w:color w:val="231F20"/>
          <w:spacing w:val="-6"/>
        </w:rPr>
        <w:t> </w:t>
      </w:r>
      <w:r>
        <w:rPr>
          <w:color w:val="231F20"/>
        </w:rPr>
        <w:t>from</w:t>
      </w:r>
      <w:r>
        <w:rPr>
          <w:color w:val="231F20"/>
          <w:spacing w:val="-6"/>
        </w:rPr>
        <w:t> </w:t>
      </w:r>
      <w:r>
        <w:rPr>
          <w:color w:val="231F20"/>
        </w:rPr>
        <w:t>regional,</w:t>
      </w:r>
      <w:r>
        <w:rPr>
          <w:color w:val="231F20"/>
          <w:spacing w:val="-6"/>
        </w:rPr>
        <w:t> </w:t>
      </w:r>
      <w:r>
        <w:rPr>
          <w:color w:val="231F20"/>
        </w:rPr>
        <w:t>remote</w:t>
      </w:r>
      <w:r>
        <w:rPr>
          <w:color w:val="231F20"/>
          <w:spacing w:val="-7"/>
        </w:rPr>
        <w:t> </w:t>
      </w:r>
      <w:r>
        <w:rPr>
          <w:color w:val="231F20"/>
        </w:rPr>
        <w:t>and</w:t>
      </w:r>
      <w:r>
        <w:rPr>
          <w:color w:val="231F20"/>
          <w:spacing w:val="23"/>
          <w:w w:val="99"/>
        </w:rPr>
        <w:t> </w:t>
      </w:r>
      <w:r>
        <w:rPr>
          <w:color w:val="231F20"/>
        </w:rPr>
        <w:t>very</w:t>
      </w:r>
      <w:r>
        <w:rPr>
          <w:color w:val="231F20"/>
          <w:spacing w:val="-5"/>
        </w:rPr>
        <w:t> </w:t>
      </w:r>
      <w:r>
        <w:rPr>
          <w:color w:val="231F20"/>
        </w:rPr>
        <w:t>remote</w:t>
      </w:r>
      <w:r>
        <w:rPr>
          <w:color w:val="231F20"/>
          <w:spacing w:val="-5"/>
        </w:rPr>
        <w:t> </w:t>
      </w:r>
      <w:r>
        <w:rPr>
          <w:color w:val="231F20"/>
        </w:rPr>
        <w:t>areas.</w:t>
      </w:r>
      <w:r>
        <w:rPr>
          <w:color w:val="231F20"/>
          <w:spacing w:val="-6"/>
        </w:rPr>
        <w:t> </w:t>
      </w:r>
      <w:r>
        <w:rPr>
          <w:color w:val="231F20"/>
        </w:rPr>
        <w:t>These</w:t>
      </w:r>
      <w:r>
        <w:rPr>
          <w:color w:val="231F20"/>
          <w:spacing w:val="-5"/>
        </w:rPr>
        <w:t> </w:t>
      </w:r>
      <w:r>
        <w:rPr>
          <w:color w:val="231F20"/>
        </w:rPr>
        <w:t>providers</w:t>
      </w:r>
      <w:r>
        <w:rPr>
          <w:color w:val="231F20"/>
          <w:spacing w:val="-6"/>
        </w:rPr>
        <w:t> </w:t>
      </w:r>
      <w:r>
        <w:rPr>
          <w:color w:val="231F20"/>
        </w:rPr>
        <w:t>and</w:t>
      </w:r>
      <w:r>
        <w:rPr>
          <w:color w:val="231F20"/>
          <w:spacing w:val="-5"/>
        </w:rPr>
        <w:t> </w:t>
      </w:r>
      <w:r>
        <w:rPr>
          <w:color w:val="231F20"/>
          <w:spacing w:val="-1"/>
        </w:rPr>
        <w:t>some</w:t>
      </w:r>
      <w:r>
        <w:rPr>
          <w:color w:val="231F20"/>
          <w:spacing w:val="19"/>
        </w:rPr>
        <w:t> </w:t>
      </w:r>
      <w:r>
        <w:rPr>
          <w:color w:val="231F20"/>
        </w:rPr>
        <w:t>of</w:t>
      </w:r>
      <w:r>
        <w:rPr>
          <w:color w:val="231F20"/>
          <w:spacing w:val="-5"/>
        </w:rPr>
        <w:t> </w:t>
      </w:r>
      <w:r>
        <w:rPr>
          <w:color w:val="231F20"/>
        </w:rPr>
        <w:t>the</w:t>
      </w:r>
      <w:r>
        <w:rPr>
          <w:color w:val="231F20"/>
          <w:spacing w:val="-6"/>
        </w:rPr>
        <w:t> </w:t>
      </w:r>
      <w:r>
        <w:rPr>
          <w:color w:val="231F20"/>
        </w:rPr>
        <w:t>peak</w:t>
      </w:r>
      <w:r>
        <w:rPr>
          <w:color w:val="231F20"/>
          <w:spacing w:val="-5"/>
        </w:rPr>
        <w:t> </w:t>
      </w:r>
      <w:r>
        <w:rPr>
          <w:color w:val="231F20"/>
        </w:rPr>
        <w:t>bodies</w:t>
      </w:r>
      <w:r>
        <w:rPr>
          <w:color w:val="231F20"/>
          <w:spacing w:val="-6"/>
        </w:rPr>
        <w:t> </w:t>
      </w:r>
      <w:r>
        <w:rPr>
          <w:color w:val="231F20"/>
        </w:rPr>
        <w:t>raised</w:t>
      </w:r>
      <w:r>
        <w:rPr>
          <w:color w:val="231F20"/>
          <w:spacing w:val="-5"/>
        </w:rPr>
        <w:t> </w:t>
      </w:r>
      <w:r>
        <w:rPr>
          <w:color w:val="231F20"/>
        </w:rPr>
        <w:t>concerns</w:t>
      </w:r>
      <w:r>
        <w:rPr>
          <w:color w:val="231F20"/>
          <w:spacing w:val="-5"/>
        </w:rPr>
        <w:t> </w:t>
      </w:r>
      <w:r>
        <w:rPr>
          <w:color w:val="231F20"/>
        </w:rPr>
        <w:t>about</w:t>
      </w:r>
      <w:r>
        <w:rPr>
          <w:color w:val="231F20"/>
          <w:spacing w:val="-6"/>
        </w:rPr>
        <w:t> </w:t>
      </w:r>
      <w:r>
        <w:rPr>
          <w:color w:val="231F20"/>
        </w:rPr>
        <w:t>what</w:t>
      </w:r>
      <w:r>
        <w:rPr>
          <w:color w:val="231F20"/>
          <w:w w:val="99"/>
        </w:rPr>
        <w:t> </w:t>
      </w:r>
      <w:r>
        <w:rPr>
          <w:color w:val="231F20"/>
          <w:spacing w:val="-1"/>
        </w:rPr>
        <w:t>is</w:t>
      </w:r>
      <w:r>
        <w:rPr>
          <w:color w:val="231F20"/>
          <w:spacing w:val="-4"/>
        </w:rPr>
        <w:t> </w:t>
      </w:r>
      <w:r>
        <w:rPr>
          <w:color w:val="231F20"/>
        </w:rPr>
        <w:t>referred</w:t>
      </w:r>
      <w:r>
        <w:rPr>
          <w:color w:val="231F20"/>
          <w:spacing w:val="-4"/>
        </w:rPr>
        <w:t> </w:t>
      </w:r>
      <w:r>
        <w:rPr>
          <w:color w:val="231F20"/>
        </w:rPr>
        <w:t>to</w:t>
      </w:r>
      <w:r>
        <w:rPr>
          <w:color w:val="231F20"/>
          <w:spacing w:val="-3"/>
        </w:rPr>
        <w:t> </w:t>
      </w:r>
      <w:r>
        <w:rPr>
          <w:color w:val="231F20"/>
          <w:spacing w:val="-1"/>
        </w:rPr>
        <w:t>in</w:t>
      </w:r>
      <w:r>
        <w:rPr>
          <w:color w:val="231F20"/>
          <w:spacing w:val="-3"/>
        </w:rPr>
        <w:t> </w:t>
      </w:r>
      <w:r>
        <w:rPr>
          <w:color w:val="231F20"/>
        </w:rPr>
        <w:t>the</w:t>
      </w:r>
      <w:r>
        <w:rPr>
          <w:color w:val="231F20"/>
          <w:spacing w:val="-4"/>
        </w:rPr>
        <w:t> </w:t>
      </w:r>
      <w:r>
        <w:rPr>
          <w:color w:val="231F20"/>
          <w:spacing w:val="-1"/>
        </w:rPr>
        <w:t>sector</w:t>
      </w:r>
      <w:r>
        <w:rPr>
          <w:color w:val="231F20"/>
          <w:spacing w:val="-3"/>
        </w:rPr>
        <w:t> </w:t>
      </w:r>
      <w:r>
        <w:rPr>
          <w:color w:val="231F20"/>
        </w:rPr>
        <w:t>as</w:t>
      </w:r>
      <w:r>
        <w:rPr>
          <w:color w:val="231F20"/>
          <w:spacing w:val="-4"/>
        </w:rPr>
        <w:t> </w:t>
      </w:r>
      <w:r>
        <w:rPr>
          <w:color w:val="231F20"/>
        </w:rPr>
        <w:t>‘cherry</w:t>
      </w:r>
      <w:r>
        <w:rPr>
          <w:color w:val="231F20"/>
          <w:spacing w:val="-2"/>
        </w:rPr>
        <w:t> </w:t>
      </w:r>
      <w:r>
        <w:rPr>
          <w:color w:val="231F20"/>
        </w:rPr>
        <w:t>picking’</w:t>
      </w:r>
      <w:r>
        <w:rPr>
          <w:color w:val="231F20"/>
        </w:rPr>
        <w:t> </w:t>
      </w:r>
      <w:r>
        <w:rPr>
          <w:color w:val="231F20"/>
          <w:spacing w:val="24"/>
        </w:rPr>
        <w:t> </w:t>
      </w:r>
      <w:r>
        <w:rPr>
          <w:color w:val="231F20"/>
        </w:rPr>
        <w:t>or</w:t>
      </w:r>
      <w:r>
        <w:rPr>
          <w:color w:val="231F20"/>
          <w:spacing w:val="-8"/>
        </w:rPr>
        <w:t> </w:t>
      </w:r>
      <w:r>
        <w:rPr>
          <w:color w:val="231F20"/>
        </w:rPr>
        <w:t>‘harvesting’</w:t>
      </w:r>
      <w:r>
        <w:rPr>
          <w:color w:val="231F20"/>
          <w:spacing w:val="-8"/>
        </w:rPr>
        <w:t> </w:t>
      </w:r>
      <w:r>
        <w:rPr>
          <w:color w:val="231F20"/>
        </w:rPr>
        <w:t>of</w:t>
      </w:r>
      <w:r>
        <w:rPr>
          <w:color w:val="231F20"/>
          <w:spacing w:val="-7"/>
        </w:rPr>
        <w:t> </w:t>
      </w:r>
      <w:r>
        <w:rPr>
          <w:color w:val="231F20"/>
        </w:rPr>
        <w:t>potential</w:t>
      </w:r>
      <w:r>
        <w:rPr>
          <w:color w:val="231F20"/>
          <w:spacing w:val="-9"/>
        </w:rPr>
        <w:t> </w:t>
      </w:r>
      <w:r>
        <w:rPr>
          <w:color w:val="231F20"/>
        </w:rPr>
        <w:t>boarding</w:t>
      </w:r>
      <w:r>
        <w:rPr>
          <w:color w:val="231F20"/>
          <w:spacing w:val="-8"/>
        </w:rPr>
        <w:t> </w:t>
      </w:r>
      <w:r>
        <w:rPr>
          <w:color w:val="231F20"/>
          <w:spacing w:val="-1"/>
        </w:rPr>
        <w:t>students.</w:t>
      </w:r>
      <w:r>
        <w:rPr>
          <w:color w:val="231F20"/>
          <w:spacing w:val="20"/>
          <w:w w:val="99"/>
        </w:rPr>
        <w:t> </w:t>
      </w:r>
      <w:r>
        <w:rPr>
          <w:color w:val="231F20"/>
          <w:spacing w:val="-1"/>
        </w:rPr>
        <w:t>While</w:t>
      </w:r>
      <w:r>
        <w:rPr>
          <w:color w:val="231F20"/>
          <w:spacing w:val="-5"/>
        </w:rPr>
        <w:t> </w:t>
      </w:r>
      <w:r>
        <w:rPr>
          <w:color w:val="231F20"/>
        </w:rPr>
        <w:t>the</w:t>
      </w:r>
      <w:r>
        <w:rPr>
          <w:color w:val="231F20"/>
          <w:spacing w:val="-5"/>
        </w:rPr>
        <w:t> </w:t>
      </w:r>
      <w:r>
        <w:rPr>
          <w:color w:val="231F20"/>
          <w:spacing w:val="-1"/>
        </w:rPr>
        <w:t>intervention</w:t>
      </w:r>
      <w:r>
        <w:rPr>
          <w:color w:val="231F20"/>
          <w:spacing w:val="-5"/>
        </w:rPr>
        <w:t> </w:t>
      </w:r>
      <w:r>
        <w:rPr>
          <w:color w:val="231F20"/>
        </w:rPr>
        <w:t>of</w:t>
      </w:r>
      <w:r>
        <w:rPr>
          <w:color w:val="231F20"/>
          <w:spacing w:val="-4"/>
        </w:rPr>
        <w:t> </w:t>
      </w:r>
      <w:r>
        <w:rPr>
          <w:color w:val="231F20"/>
          <w:spacing w:val="-1"/>
        </w:rPr>
        <w:t>leading</w:t>
      </w:r>
      <w:r>
        <w:rPr>
          <w:color w:val="231F20"/>
          <w:spacing w:val="-4"/>
        </w:rPr>
        <w:t> </w:t>
      </w:r>
      <w:r>
        <w:rPr>
          <w:color w:val="231F20"/>
          <w:spacing w:val="-1"/>
        </w:rPr>
        <w:t>mainstream</w:t>
      </w:r>
      <w:r>
        <w:rPr>
          <w:color w:val="231F20"/>
          <w:spacing w:val="23"/>
        </w:rPr>
        <w:t> </w:t>
      </w:r>
      <w:r>
        <w:rPr>
          <w:color w:val="231F20"/>
          <w:spacing w:val="-1"/>
        </w:rPr>
        <w:t>schools</w:t>
      </w:r>
      <w:r>
        <w:rPr>
          <w:color w:val="231F20"/>
          <w:spacing w:val="-4"/>
        </w:rPr>
        <w:t> </w:t>
      </w:r>
      <w:r>
        <w:rPr>
          <w:color w:val="231F20"/>
          <w:spacing w:val="-1"/>
        </w:rPr>
        <w:t>into</w:t>
      </w:r>
      <w:r>
        <w:rPr>
          <w:color w:val="231F20"/>
          <w:spacing w:val="-3"/>
        </w:rPr>
        <w:t> </w:t>
      </w:r>
      <w:r>
        <w:rPr>
          <w:color w:val="231F20"/>
        </w:rPr>
        <w:t>the</w:t>
      </w:r>
      <w:r>
        <w:rPr>
          <w:color w:val="231F20"/>
          <w:spacing w:val="-4"/>
        </w:rPr>
        <w:t> </w:t>
      </w:r>
      <w:r>
        <w:rPr>
          <w:color w:val="231F20"/>
        </w:rPr>
        <w:t>provision</w:t>
      </w:r>
      <w:r>
        <w:rPr>
          <w:color w:val="231F20"/>
          <w:spacing w:val="-4"/>
        </w:rPr>
        <w:t> </w:t>
      </w:r>
      <w:r>
        <w:rPr>
          <w:color w:val="231F20"/>
        </w:rPr>
        <w:t>of</w:t>
      </w:r>
      <w:r>
        <w:rPr>
          <w:color w:val="231F20"/>
          <w:spacing w:val="-3"/>
        </w:rPr>
        <w:t> </w:t>
      </w:r>
      <w:r>
        <w:rPr>
          <w:color w:val="231F20"/>
        </w:rPr>
        <w:t>boarding</w:t>
      </w:r>
      <w:r>
        <w:rPr>
          <w:color w:val="231F20"/>
          <w:spacing w:val="-4"/>
        </w:rPr>
        <w:t> </w:t>
      </w:r>
      <w:r>
        <w:rPr>
          <w:color w:val="231F20"/>
        </w:rPr>
        <w:t>for</w:t>
      </w:r>
      <w:r>
        <w:rPr>
          <w:color w:val="231F20"/>
          <w:spacing w:val="23"/>
          <w:w w:val="99"/>
        </w:rPr>
        <w:t> </w:t>
      </w:r>
      <w:r>
        <w:rPr>
          <w:color w:val="231F20"/>
        </w:rPr>
        <w:t>Aboriginal</w:t>
      </w:r>
      <w:r>
        <w:rPr>
          <w:color w:val="231F20"/>
          <w:spacing w:val="-4"/>
        </w:rPr>
        <w:t> </w:t>
      </w:r>
      <w:r>
        <w:rPr>
          <w:color w:val="231F20"/>
        </w:rPr>
        <w:t>and</w:t>
      </w:r>
      <w:r>
        <w:rPr>
          <w:color w:val="231F20"/>
          <w:spacing w:val="-5"/>
        </w:rPr>
        <w:t> Torres</w:t>
      </w:r>
      <w:r>
        <w:rPr>
          <w:color w:val="231F20"/>
          <w:spacing w:val="-4"/>
        </w:rPr>
        <w:t> </w:t>
      </w:r>
      <w:r>
        <w:rPr>
          <w:color w:val="231F20"/>
          <w:spacing w:val="-2"/>
        </w:rPr>
        <w:t>Strait</w:t>
      </w:r>
      <w:r>
        <w:rPr>
          <w:color w:val="231F20"/>
          <w:spacing w:val="-4"/>
        </w:rPr>
        <w:t> </w:t>
      </w:r>
      <w:r>
        <w:rPr>
          <w:color w:val="231F20"/>
          <w:spacing w:val="-1"/>
        </w:rPr>
        <w:t>Islander</w:t>
      </w:r>
      <w:r>
        <w:rPr>
          <w:color w:val="231F20"/>
          <w:spacing w:val="-4"/>
        </w:rPr>
        <w:t> </w:t>
      </w:r>
      <w:r>
        <w:rPr>
          <w:color w:val="231F20"/>
          <w:spacing w:val="-1"/>
        </w:rPr>
        <w:t>students</w:t>
      </w:r>
      <w:r>
        <w:rPr>
          <w:color w:val="231F20"/>
          <w:spacing w:val="-4"/>
        </w:rPr>
        <w:t> </w:t>
      </w:r>
      <w:r>
        <w:rPr>
          <w:color w:val="231F20"/>
          <w:spacing w:val="-1"/>
        </w:rPr>
        <w:t>is</w:t>
      </w:r>
      <w:r>
        <w:rPr>
          <w:color w:val="231F20"/>
          <w:spacing w:val="22"/>
        </w:rPr>
        <w:t> </w:t>
      </w:r>
      <w:r>
        <w:rPr>
          <w:color w:val="231F20"/>
        </w:rPr>
        <w:t>welcomed,</w:t>
      </w:r>
      <w:r>
        <w:rPr>
          <w:color w:val="231F20"/>
          <w:spacing w:val="-6"/>
        </w:rPr>
        <w:t> </w:t>
      </w:r>
      <w:r>
        <w:rPr>
          <w:color w:val="231F20"/>
          <w:spacing w:val="-1"/>
        </w:rPr>
        <w:t>it</w:t>
      </w:r>
      <w:r>
        <w:rPr>
          <w:color w:val="231F20"/>
          <w:spacing w:val="-4"/>
        </w:rPr>
        <w:t> </w:t>
      </w:r>
      <w:r>
        <w:rPr>
          <w:color w:val="231F20"/>
          <w:spacing w:val="-1"/>
        </w:rPr>
        <w:t>is</w:t>
      </w:r>
      <w:r>
        <w:rPr>
          <w:color w:val="231F20"/>
          <w:spacing w:val="-5"/>
        </w:rPr>
        <w:t> </w:t>
      </w:r>
      <w:r>
        <w:rPr>
          <w:color w:val="231F20"/>
        </w:rPr>
        <w:t>recognised</w:t>
      </w:r>
      <w:r>
        <w:rPr>
          <w:color w:val="231F20"/>
          <w:spacing w:val="-6"/>
        </w:rPr>
        <w:t> </w:t>
      </w:r>
      <w:r>
        <w:rPr>
          <w:color w:val="231F20"/>
        </w:rPr>
        <w:t>that</w:t>
      </w:r>
      <w:r>
        <w:rPr>
          <w:color w:val="231F20"/>
          <w:spacing w:val="-5"/>
        </w:rPr>
        <w:t> </w:t>
      </w:r>
      <w:r>
        <w:rPr>
          <w:color w:val="231F20"/>
        </w:rPr>
        <w:t>this</w:t>
      </w:r>
      <w:r>
        <w:rPr>
          <w:color w:val="231F20"/>
          <w:spacing w:val="-5"/>
        </w:rPr>
        <w:t> </w:t>
      </w:r>
      <w:r>
        <w:rPr>
          <w:color w:val="231F20"/>
          <w:spacing w:val="-1"/>
        </w:rPr>
        <w:t>is</w:t>
      </w:r>
      <w:r>
        <w:rPr>
          <w:color w:val="231F20"/>
          <w:spacing w:val="-6"/>
        </w:rPr>
        <w:t> </w:t>
      </w:r>
      <w:r>
        <w:rPr>
          <w:color w:val="231F20"/>
        </w:rPr>
        <w:t>placing</w:t>
      </w:r>
      <w:r>
        <w:rPr/>
      </w:r>
    </w:p>
    <w:p>
      <w:pPr>
        <w:pStyle w:val="BodyText"/>
        <w:spacing w:line="250" w:lineRule="exact"/>
        <w:ind w:right="0"/>
        <w:jc w:val="left"/>
      </w:pPr>
      <w:r>
        <w:rPr>
          <w:rFonts w:ascii="Segoe UI"/>
          <w:color w:val="231F20"/>
        </w:rPr>
        <w:t>increased financial pressure on some Aboriginal </w:t>
      </w:r>
      <w:r>
        <w:rPr>
          <w:color w:val="231F20"/>
        </w:rPr>
        <w:t>and</w:t>
      </w:r>
      <w:r>
        <w:rPr>
          <w:color w:val="231F20"/>
          <w:spacing w:val="-7"/>
        </w:rPr>
        <w:t> </w:t>
      </w:r>
      <w:r>
        <w:rPr>
          <w:color w:val="231F20"/>
          <w:spacing w:val="-5"/>
        </w:rPr>
        <w:t>Torres</w:t>
      </w:r>
      <w:r>
        <w:rPr>
          <w:color w:val="231F20"/>
          <w:spacing w:val="-7"/>
        </w:rPr>
        <w:t> </w:t>
      </w:r>
      <w:r>
        <w:rPr>
          <w:color w:val="231F20"/>
          <w:spacing w:val="-2"/>
        </w:rPr>
        <w:t>Strait</w:t>
      </w:r>
      <w:r>
        <w:rPr>
          <w:color w:val="231F20"/>
          <w:spacing w:val="-6"/>
        </w:rPr>
        <w:t> </w:t>
      </w:r>
      <w:r>
        <w:rPr>
          <w:color w:val="231F20"/>
          <w:spacing w:val="-1"/>
        </w:rPr>
        <w:t>Islander</w:t>
      </w:r>
      <w:r>
        <w:rPr>
          <w:color w:val="231F20"/>
          <w:spacing w:val="-7"/>
        </w:rPr>
        <w:t> </w:t>
      </w:r>
      <w:r>
        <w:rPr>
          <w:color w:val="231F20"/>
        </w:rPr>
        <w:t>boarding</w:t>
      </w:r>
      <w:r>
        <w:rPr>
          <w:color w:val="231F20"/>
          <w:spacing w:val="-7"/>
        </w:rPr>
        <w:t> </w:t>
      </w:r>
      <w:r>
        <w:rPr>
          <w:color w:val="231F20"/>
        </w:rPr>
        <w:t>providers,</w:t>
      </w:r>
      <w:r>
        <w:rPr>
          <w:color w:val="231F20"/>
          <w:spacing w:val="21"/>
          <w:w w:val="99"/>
        </w:rPr>
        <w:t> </w:t>
      </w:r>
      <w:r>
        <w:rPr>
          <w:color w:val="231F20"/>
        </w:rPr>
        <w:t>particularly</w:t>
      </w:r>
      <w:r>
        <w:rPr>
          <w:color w:val="231F20"/>
          <w:spacing w:val="-7"/>
        </w:rPr>
        <w:t> </w:t>
      </w:r>
      <w:r>
        <w:rPr>
          <w:color w:val="231F20"/>
        </w:rPr>
        <w:t>the</w:t>
      </w:r>
      <w:r>
        <w:rPr>
          <w:color w:val="231F20"/>
          <w:spacing w:val="-6"/>
        </w:rPr>
        <w:t> </w:t>
      </w:r>
      <w:r>
        <w:rPr>
          <w:color w:val="231F20"/>
          <w:spacing w:val="-1"/>
        </w:rPr>
        <w:t>larger</w:t>
      </w:r>
      <w:r>
        <w:rPr>
          <w:color w:val="231F20"/>
          <w:spacing w:val="-6"/>
        </w:rPr>
        <w:t> </w:t>
      </w:r>
      <w:r>
        <w:rPr>
          <w:color w:val="231F20"/>
          <w:spacing w:val="-1"/>
        </w:rPr>
        <w:t>long</w:t>
      </w:r>
      <w:r>
        <w:rPr>
          <w:color w:val="231F20"/>
          <w:spacing w:val="-5"/>
        </w:rPr>
        <w:t> </w:t>
      </w:r>
      <w:r>
        <w:rPr>
          <w:color w:val="231F20"/>
        </w:rPr>
        <w:t>established</w:t>
      </w:r>
      <w:r>
        <w:rPr>
          <w:color w:val="231F20"/>
          <w:spacing w:val="23"/>
        </w:rPr>
        <w:t> </w:t>
      </w:r>
      <w:r>
        <w:rPr>
          <w:rFonts w:ascii="Segoe UI"/>
          <w:color w:val="231F20"/>
        </w:rPr>
        <w:t>providers. This financial pressure is attributable</w:t>
      </w:r>
      <w:r>
        <w:rPr>
          <w:rFonts w:ascii="Segoe UI"/>
          <w:color w:val="231F20"/>
        </w:rPr>
        <w:t> </w:t>
      </w:r>
      <w:r>
        <w:rPr>
          <w:color w:val="231F20"/>
        </w:rPr>
        <w:t>to</w:t>
      </w:r>
      <w:r>
        <w:rPr>
          <w:color w:val="231F20"/>
          <w:spacing w:val="-4"/>
        </w:rPr>
        <w:t> </w:t>
      </w:r>
      <w:r>
        <w:rPr>
          <w:color w:val="231F20"/>
        </w:rPr>
        <w:t>a</w:t>
      </w:r>
      <w:r>
        <w:rPr>
          <w:color w:val="231F20"/>
          <w:spacing w:val="-4"/>
        </w:rPr>
        <w:t> </w:t>
      </w:r>
      <w:r>
        <w:rPr>
          <w:color w:val="231F20"/>
        </w:rPr>
        <w:t>number</w:t>
      </w:r>
      <w:r>
        <w:rPr>
          <w:color w:val="231F20"/>
          <w:spacing w:val="-5"/>
        </w:rPr>
        <w:t> </w:t>
      </w:r>
      <w:r>
        <w:rPr>
          <w:color w:val="231F20"/>
        </w:rPr>
        <w:t>of</w:t>
      </w:r>
      <w:r>
        <w:rPr>
          <w:color w:val="231F20"/>
          <w:spacing w:val="-3"/>
        </w:rPr>
        <w:t> </w:t>
      </w:r>
      <w:r>
        <w:rPr>
          <w:color w:val="231F20"/>
        </w:rPr>
        <w:t>factors,</w:t>
      </w:r>
      <w:r>
        <w:rPr>
          <w:color w:val="231F20"/>
          <w:spacing w:val="-4"/>
        </w:rPr>
        <w:t> </w:t>
      </w:r>
      <w:r>
        <w:rPr>
          <w:color w:val="231F20"/>
        </w:rPr>
        <w:t>but</w:t>
      </w:r>
      <w:r>
        <w:rPr>
          <w:color w:val="231F20"/>
          <w:spacing w:val="-5"/>
        </w:rPr>
        <w:t> </w:t>
      </w:r>
      <w:r>
        <w:rPr>
          <w:color w:val="231F20"/>
        </w:rPr>
        <w:t>the</w:t>
      </w:r>
      <w:r>
        <w:rPr>
          <w:color w:val="231F20"/>
          <w:spacing w:val="-4"/>
        </w:rPr>
        <w:t> </w:t>
      </w:r>
      <w:r>
        <w:rPr>
          <w:color w:val="231F20"/>
          <w:spacing w:val="-1"/>
        </w:rPr>
        <w:t>main</w:t>
      </w:r>
      <w:r>
        <w:rPr>
          <w:color w:val="231F20"/>
          <w:spacing w:val="-4"/>
        </w:rPr>
        <w:t> </w:t>
      </w:r>
      <w:r>
        <w:rPr>
          <w:color w:val="231F20"/>
        </w:rPr>
        <w:t>two</w:t>
      </w:r>
      <w:r>
        <w:rPr>
          <w:color w:val="231F20"/>
          <w:spacing w:val="-4"/>
        </w:rPr>
        <w:t> </w:t>
      </w:r>
      <w:r>
        <w:rPr>
          <w:color w:val="231F20"/>
          <w:spacing w:val="-4"/>
        </w:rPr>
      </w:r>
      <w:r>
        <w:rPr>
          <w:color w:val="231F20"/>
        </w:rPr>
        <w:t>factors</w:t>
      </w:r>
      <w:r>
        <w:rPr>
          <w:color w:val="231F20"/>
          <w:spacing w:val="21"/>
        </w:rPr>
        <w:t> </w:t>
      </w:r>
      <w:r>
        <w:rPr>
          <w:color w:val="231F20"/>
        </w:rPr>
        <w:t>are</w:t>
      </w:r>
      <w:r>
        <w:rPr>
          <w:color w:val="231F20"/>
          <w:spacing w:val="-7"/>
        </w:rPr>
        <w:t> </w:t>
      </w:r>
      <w:r>
        <w:rPr>
          <w:color w:val="231F20"/>
        </w:rPr>
        <w:t>reduced</w:t>
      </w:r>
      <w:r>
        <w:rPr>
          <w:color w:val="231F20"/>
          <w:spacing w:val="-7"/>
        </w:rPr>
        <w:t> </w:t>
      </w:r>
      <w:r>
        <w:rPr>
          <w:color w:val="231F20"/>
        </w:rPr>
        <w:t>enrolments</w:t>
      </w:r>
      <w:r>
        <w:rPr>
          <w:color w:val="231F20"/>
          <w:spacing w:val="-6"/>
        </w:rPr>
        <w:t> </w:t>
      </w:r>
      <w:r>
        <w:rPr>
          <w:color w:val="231F20"/>
        </w:rPr>
        <w:t>from</w:t>
      </w:r>
      <w:r>
        <w:rPr>
          <w:color w:val="231F20"/>
          <w:spacing w:val="-6"/>
        </w:rPr>
        <w:t> </w:t>
      </w:r>
      <w:r>
        <w:rPr>
          <w:color w:val="231F20"/>
          <w:spacing w:val="-1"/>
        </w:rPr>
        <w:t>increased</w:t>
      </w:r>
      <w:r>
        <w:rPr>
          <w:color w:val="231F20"/>
          <w:spacing w:val="20"/>
          <w:w w:val="99"/>
        </w:rPr>
        <w:t> </w:t>
      </w:r>
      <w:r>
        <w:rPr>
          <w:color w:val="231F20"/>
        </w:rPr>
        <w:t>competition</w:t>
      </w:r>
      <w:r>
        <w:rPr>
          <w:color w:val="231F20"/>
          <w:spacing w:val="-7"/>
        </w:rPr>
        <w:t> </w:t>
      </w:r>
      <w:r>
        <w:rPr>
          <w:color w:val="231F20"/>
        </w:rPr>
        <w:t>and</w:t>
      </w:r>
      <w:r>
        <w:rPr>
          <w:color w:val="231F20"/>
          <w:spacing w:val="-7"/>
        </w:rPr>
        <w:t> </w:t>
      </w:r>
      <w:r>
        <w:rPr>
          <w:color w:val="231F20"/>
        </w:rPr>
        <w:t>a</w:t>
      </w:r>
      <w:r>
        <w:rPr>
          <w:color w:val="231F20"/>
          <w:spacing w:val="-6"/>
        </w:rPr>
        <w:t> </w:t>
      </w:r>
      <w:r>
        <w:rPr>
          <w:color w:val="231F20"/>
        </w:rPr>
        <w:t>higher</w:t>
      </w:r>
      <w:r>
        <w:rPr>
          <w:color w:val="231F20"/>
          <w:spacing w:val="-7"/>
        </w:rPr>
        <w:t> </w:t>
      </w:r>
      <w:r>
        <w:rPr>
          <w:color w:val="231F20"/>
        </w:rPr>
        <w:t>proportion</w:t>
      </w:r>
      <w:r>
        <w:rPr>
          <w:color w:val="231F20"/>
          <w:spacing w:val="-7"/>
        </w:rPr>
        <w:t> </w:t>
      </w:r>
      <w:r>
        <w:rPr>
          <w:color w:val="231F20"/>
        </w:rPr>
        <w:t>of</w:t>
      </w:r>
      <w:r>
        <w:rPr>
          <w:color w:val="231F20"/>
          <w:spacing w:val="-6"/>
        </w:rPr>
        <w:t> </w:t>
      </w:r>
      <w:r>
        <w:rPr>
          <w:color w:val="231F20"/>
        </w:rPr>
        <w:t>high</w:t>
      </w:r>
      <w:r>
        <w:rPr>
          <w:color w:val="231F20"/>
          <w:w w:val="99"/>
        </w:rPr>
        <w:t> </w:t>
      </w:r>
      <w:r>
        <w:rPr>
          <w:color w:val="231F20"/>
        </w:rPr>
        <w:t>needs</w:t>
      </w:r>
      <w:r>
        <w:rPr>
          <w:color w:val="231F20"/>
          <w:spacing w:val="-6"/>
        </w:rPr>
        <w:t> </w:t>
      </w:r>
      <w:r>
        <w:rPr>
          <w:color w:val="231F20"/>
          <w:spacing w:val="-1"/>
        </w:rPr>
        <w:t>students,</w:t>
      </w:r>
      <w:r>
        <w:rPr>
          <w:color w:val="231F20"/>
          <w:spacing w:val="-4"/>
        </w:rPr>
        <w:t> </w:t>
      </w:r>
      <w:r>
        <w:rPr>
          <w:color w:val="231F20"/>
        </w:rPr>
        <w:t>requiring</w:t>
      </w:r>
      <w:r>
        <w:rPr>
          <w:color w:val="231F20"/>
          <w:spacing w:val="-6"/>
        </w:rPr>
        <w:t> </w:t>
      </w:r>
      <w:r>
        <w:rPr>
          <w:color w:val="231F20"/>
        </w:rPr>
        <w:t>a</w:t>
      </w:r>
      <w:r>
        <w:rPr>
          <w:color w:val="231F20"/>
          <w:spacing w:val="-4"/>
        </w:rPr>
        <w:t> </w:t>
      </w:r>
      <w:r>
        <w:rPr>
          <w:color w:val="231F20"/>
        </w:rPr>
        <w:t>greater</w:t>
      </w:r>
      <w:r>
        <w:rPr>
          <w:color w:val="231F20"/>
          <w:spacing w:val="-6"/>
        </w:rPr>
        <w:t> </w:t>
      </w:r>
      <w:r>
        <w:rPr>
          <w:color w:val="231F20"/>
          <w:spacing w:val="-1"/>
        </w:rPr>
        <w:t>investment</w:t>
      </w:r>
      <w:r>
        <w:rPr>
          <w:color w:val="231F20"/>
          <w:spacing w:val="21"/>
        </w:rPr>
        <w:t> </w:t>
      </w:r>
      <w:r>
        <w:rPr>
          <w:color w:val="231F20"/>
          <w:spacing w:val="-1"/>
        </w:rPr>
        <w:t>in</w:t>
      </w:r>
      <w:r>
        <w:rPr>
          <w:color w:val="231F20"/>
          <w:spacing w:val="-4"/>
        </w:rPr>
        <w:t> </w:t>
      </w:r>
      <w:r>
        <w:rPr>
          <w:color w:val="231F20"/>
          <w:spacing w:val="-1"/>
        </w:rPr>
        <w:t>support</w:t>
      </w:r>
      <w:r>
        <w:rPr>
          <w:color w:val="231F20"/>
          <w:spacing w:val="-3"/>
        </w:rPr>
        <w:t> </w:t>
      </w:r>
      <w:r>
        <w:rPr>
          <w:color w:val="231F20"/>
          <w:spacing w:val="-1"/>
        </w:rPr>
        <w:t>services.</w:t>
      </w:r>
      <w:r>
        <w:rPr/>
      </w:r>
    </w:p>
    <w:p>
      <w:pPr>
        <w:pStyle w:val="BodyText"/>
        <w:spacing w:line="250" w:lineRule="exact" w:before="62"/>
        <w:ind w:right="140"/>
        <w:jc w:val="left"/>
      </w:pPr>
      <w:r>
        <w:rPr/>
        <w:br w:type="column"/>
      </w:r>
      <w:r>
        <w:rPr>
          <w:color w:val="231F20"/>
        </w:rPr>
        <w:t>Guenther,</w:t>
      </w:r>
      <w:r>
        <w:rPr>
          <w:color w:val="231F20"/>
          <w:spacing w:val="-4"/>
        </w:rPr>
        <w:t> </w:t>
      </w:r>
      <w:r>
        <w:rPr>
          <w:color w:val="231F20"/>
          <w:spacing w:val="-1"/>
        </w:rPr>
        <w:t>2017</w:t>
      </w:r>
      <w:r>
        <w:rPr>
          <w:rFonts w:ascii="Segoe UI Semibold"/>
          <w:b/>
          <w:color w:val="231F20"/>
          <w:spacing w:val="-1"/>
          <w:position w:val="7"/>
          <w:sz w:val="11"/>
        </w:rPr>
        <w:t>185</w:t>
      </w:r>
      <w:r>
        <w:rPr>
          <w:rFonts w:ascii="Segoe UI Semibold"/>
          <w:b/>
          <w:color w:val="231F20"/>
          <w:spacing w:val="21"/>
          <w:position w:val="7"/>
          <w:sz w:val="11"/>
        </w:rPr>
        <w:t> </w:t>
      </w:r>
      <w:r>
        <w:rPr>
          <w:color w:val="231F20"/>
        </w:rPr>
        <w:t>addressed</w:t>
      </w:r>
      <w:r>
        <w:rPr>
          <w:color w:val="231F20"/>
          <w:spacing w:val="-4"/>
        </w:rPr>
        <w:t> </w:t>
      </w:r>
      <w:r>
        <w:rPr>
          <w:color w:val="231F20"/>
        </w:rPr>
        <w:t>cherry</w:t>
      </w:r>
      <w:r>
        <w:rPr>
          <w:color w:val="231F20"/>
          <w:spacing w:val="-3"/>
        </w:rPr>
        <w:t> </w:t>
      </w:r>
      <w:r>
        <w:rPr>
          <w:color w:val="231F20"/>
        </w:rPr>
        <w:t>picking</w:t>
      </w:r>
      <w:r>
        <w:rPr>
          <w:color w:val="231F20"/>
          <w:spacing w:val="-5"/>
        </w:rPr>
        <w:t> </w:t>
      </w:r>
      <w:r>
        <w:rPr>
          <w:color w:val="231F20"/>
        </w:rPr>
        <w:t>and</w:t>
      </w:r>
      <w:r>
        <w:rPr>
          <w:color w:val="231F20"/>
          <w:spacing w:val="24"/>
          <w:w w:val="99"/>
        </w:rPr>
        <w:t> </w:t>
      </w:r>
      <w:r>
        <w:rPr>
          <w:color w:val="231F20"/>
        </w:rPr>
        <w:t>noted</w:t>
      </w:r>
      <w:r>
        <w:rPr>
          <w:color w:val="231F20"/>
          <w:spacing w:val="-4"/>
        </w:rPr>
        <w:t> </w:t>
      </w:r>
      <w:r>
        <w:rPr>
          <w:color w:val="231F20"/>
        </w:rPr>
        <w:t>that</w:t>
      </w:r>
      <w:r>
        <w:rPr>
          <w:color w:val="231F20"/>
          <w:spacing w:val="-3"/>
        </w:rPr>
        <w:t> </w:t>
      </w:r>
      <w:r>
        <w:rPr>
          <w:color w:val="231F20"/>
          <w:spacing w:val="-1"/>
        </w:rPr>
        <w:t>limiting</w:t>
      </w:r>
      <w:r>
        <w:rPr>
          <w:color w:val="231F20"/>
          <w:spacing w:val="-3"/>
        </w:rPr>
        <w:t> </w:t>
      </w:r>
      <w:r>
        <w:rPr>
          <w:color w:val="231F20"/>
          <w:spacing w:val="-1"/>
        </w:rPr>
        <w:t>investment</w:t>
      </w:r>
      <w:r>
        <w:rPr>
          <w:color w:val="231F20"/>
          <w:spacing w:val="-3"/>
        </w:rPr>
        <w:t> </w:t>
      </w:r>
      <w:r>
        <w:rPr>
          <w:color w:val="231F20"/>
        </w:rPr>
        <w:t>to</w:t>
      </w:r>
      <w:r>
        <w:rPr>
          <w:color w:val="231F20"/>
          <w:spacing w:val="-2"/>
        </w:rPr>
        <w:t> </w:t>
      </w:r>
      <w:r>
        <w:rPr>
          <w:color w:val="231F20"/>
        </w:rPr>
        <w:t>a</w:t>
      </w:r>
      <w:r>
        <w:rPr>
          <w:color w:val="231F20"/>
          <w:spacing w:val="-3"/>
        </w:rPr>
        <w:t> </w:t>
      </w:r>
      <w:r>
        <w:rPr>
          <w:color w:val="231F20"/>
        </w:rPr>
        <w:t>narrow</w:t>
      </w:r>
      <w:r>
        <w:rPr>
          <w:color w:val="231F20"/>
          <w:spacing w:val="-2"/>
        </w:rPr>
        <w:t> </w:t>
      </w:r>
      <w:r>
        <w:rPr>
          <w:color w:val="231F20"/>
          <w:spacing w:val="-1"/>
        </w:rPr>
        <w:t>set</w:t>
      </w:r>
      <w:r>
        <w:rPr>
          <w:color w:val="231F20"/>
          <w:spacing w:val="22"/>
        </w:rPr>
        <w:t> </w:t>
      </w:r>
      <w:r>
        <w:rPr>
          <w:color w:val="231F20"/>
        </w:rPr>
        <w:t>of</w:t>
      </w:r>
      <w:r>
        <w:rPr>
          <w:color w:val="231F20"/>
          <w:spacing w:val="-4"/>
        </w:rPr>
        <w:t> </w:t>
      </w:r>
      <w:r>
        <w:rPr>
          <w:color w:val="231F20"/>
          <w:spacing w:val="-1"/>
        </w:rPr>
        <w:t>students</w:t>
      </w:r>
      <w:r>
        <w:rPr>
          <w:color w:val="231F20"/>
          <w:spacing w:val="-4"/>
        </w:rPr>
        <w:t> </w:t>
      </w:r>
      <w:r>
        <w:rPr>
          <w:color w:val="231F20"/>
        </w:rPr>
        <w:t>with</w:t>
      </w:r>
      <w:r>
        <w:rPr>
          <w:color w:val="231F20"/>
          <w:spacing w:val="-5"/>
        </w:rPr>
        <w:t> </w:t>
      </w:r>
      <w:r>
        <w:rPr>
          <w:color w:val="231F20"/>
          <w:spacing w:val="-1"/>
        </w:rPr>
        <w:t>strong</w:t>
      </w:r>
      <w:r>
        <w:rPr>
          <w:color w:val="231F20"/>
          <w:spacing w:val="-4"/>
        </w:rPr>
        <w:t> </w:t>
      </w:r>
      <w:r>
        <w:rPr>
          <w:color w:val="231F20"/>
        </w:rPr>
        <w:t>attributes</w:t>
      </w:r>
      <w:r>
        <w:rPr>
          <w:color w:val="231F20"/>
          <w:spacing w:val="-5"/>
        </w:rPr>
        <w:t> </w:t>
      </w:r>
      <w:r>
        <w:rPr>
          <w:color w:val="231F20"/>
        </w:rPr>
        <w:t>will</w:t>
      </w:r>
      <w:r>
        <w:rPr>
          <w:color w:val="231F20"/>
          <w:spacing w:val="-4"/>
        </w:rPr>
        <w:t> </w:t>
      </w:r>
      <w:r>
        <w:rPr>
          <w:color w:val="231F20"/>
        </w:rPr>
        <w:t>deliver</w:t>
      </w:r>
      <w:r>
        <w:rPr>
          <w:color w:val="231F20"/>
          <w:spacing w:val="-5"/>
        </w:rPr>
        <w:t> </w:t>
      </w:r>
      <w:r>
        <w:rPr>
          <w:color w:val="231F20"/>
        </w:rPr>
        <w:t>a</w:t>
      </w:r>
      <w:r>
        <w:rPr>
          <w:color w:val="231F20"/>
          <w:spacing w:val="23"/>
          <w:w w:val="99"/>
        </w:rPr>
        <w:t> </w:t>
      </w:r>
      <w:r>
        <w:rPr>
          <w:color w:val="231F20"/>
        </w:rPr>
        <w:t>narrow</w:t>
      </w:r>
      <w:r>
        <w:rPr>
          <w:color w:val="231F20"/>
          <w:spacing w:val="-3"/>
        </w:rPr>
        <w:t> </w:t>
      </w:r>
      <w:r>
        <w:rPr>
          <w:color w:val="231F20"/>
          <w:spacing w:val="-1"/>
        </w:rPr>
        <w:t>set</w:t>
      </w:r>
      <w:r>
        <w:rPr>
          <w:color w:val="231F20"/>
          <w:spacing w:val="-3"/>
        </w:rPr>
        <w:t> </w:t>
      </w:r>
      <w:r>
        <w:rPr>
          <w:color w:val="231F20"/>
        </w:rPr>
        <w:t>of</w:t>
      </w:r>
      <w:r>
        <w:rPr>
          <w:color w:val="231F20"/>
          <w:spacing w:val="-3"/>
        </w:rPr>
        <w:t> </w:t>
      </w:r>
      <w:r>
        <w:rPr>
          <w:color w:val="231F20"/>
        </w:rPr>
        <w:t>outcomes</w:t>
      </w:r>
      <w:r>
        <w:rPr>
          <w:color w:val="231F20"/>
          <w:spacing w:val="-3"/>
        </w:rPr>
        <w:t> </w:t>
      </w:r>
      <w:r>
        <w:rPr>
          <w:color w:val="231F20"/>
        </w:rPr>
        <w:t>and</w:t>
      </w:r>
      <w:r>
        <w:rPr>
          <w:color w:val="231F20"/>
          <w:spacing w:val="-4"/>
        </w:rPr>
        <w:t> </w:t>
      </w:r>
      <w:r>
        <w:rPr>
          <w:color w:val="231F20"/>
        </w:rPr>
        <w:t>not</w:t>
      </w:r>
      <w:r>
        <w:rPr>
          <w:color w:val="231F20"/>
          <w:spacing w:val="-2"/>
        </w:rPr>
        <w:t> </w:t>
      </w:r>
      <w:r>
        <w:rPr>
          <w:color w:val="231F20"/>
        </w:rPr>
        <w:t>have</w:t>
      </w:r>
      <w:r>
        <w:rPr>
          <w:color w:val="231F20"/>
          <w:spacing w:val="-4"/>
        </w:rPr>
        <w:t> </w:t>
      </w:r>
      <w:r>
        <w:rPr>
          <w:color w:val="231F20"/>
        </w:rPr>
        <w:t>the</w:t>
      </w:r>
      <w:r>
        <w:rPr>
          <w:color w:val="231F20"/>
          <w:spacing w:val="-4"/>
        </w:rPr>
        <w:t> </w:t>
      </w:r>
      <w:r>
        <w:rPr>
          <w:color w:val="231F20"/>
          <w:spacing w:val="-1"/>
        </w:rPr>
        <w:t>same</w:t>
      </w:r>
      <w:r>
        <w:rPr>
          <w:color w:val="231F20"/>
          <w:spacing w:val="21"/>
        </w:rPr>
        <w:t> </w:t>
      </w:r>
      <w:r>
        <w:rPr>
          <w:color w:val="231F20"/>
        </w:rPr>
        <w:t>outcomes</w:t>
      </w:r>
      <w:r>
        <w:rPr>
          <w:color w:val="231F20"/>
          <w:spacing w:val="-5"/>
        </w:rPr>
        <w:t> </w:t>
      </w:r>
      <w:r>
        <w:rPr>
          <w:color w:val="231F20"/>
        </w:rPr>
        <w:t>as</w:t>
      </w:r>
      <w:r>
        <w:rPr>
          <w:color w:val="231F20"/>
          <w:spacing w:val="-4"/>
        </w:rPr>
        <w:t> </w:t>
      </w:r>
      <w:r>
        <w:rPr>
          <w:color w:val="231F20"/>
        </w:rPr>
        <w:t>broader</w:t>
      </w:r>
      <w:r>
        <w:rPr>
          <w:color w:val="231F20"/>
          <w:spacing w:val="-3"/>
        </w:rPr>
        <w:t> </w:t>
      </w:r>
      <w:r>
        <w:rPr>
          <w:color w:val="231F20"/>
          <w:spacing w:val="-1"/>
        </w:rPr>
        <w:t>investment</w:t>
      </w:r>
      <w:r>
        <w:rPr>
          <w:color w:val="231F20"/>
          <w:spacing w:val="-3"/>
        </w:rPr>
        <w:t> </w:t>
      </w:r>
      <w:r>
        <w:rPr>
          <w:color w:val="231F20"/>
          <w:spacing w:val="-1"/>
        </w:rPr>
        <w:t>in</w:t>
      </w:r>
      <w:r>
        <w:rPr>
          <w:color w:val="231F20"/>
          <w:spacing w:val="-3"/>
        </w:rPr>
        <w:t> </w:t>
      </w:r>
      <w:r>
        <w:rPr>
          <w:color w:val="231F20"/>
        </w:rPr>
        <w:t>boarding.</w:t>
      </w:r>
      <w:r>
        <w:rPr/>
      </w:r>
    </w:p>
    <w:p>
      <w:pPr>
        <w:pStyle w:val="BodyText"/>
        <w:spacing w:line="250" w:lineRule="exact" w:before="113"/>
        <w:ind w:right="357"/>
        <w:jc w:val="left"/>
      </w:pPr>
      <w:r>
        <w:rPr>
          <w:color w:val="231F20"/>
          <w:spacing w:val="-1"/>
        </w:rPr>
        <w:t>Some</w:t>
      </w:r>
      <w:r>
        <w:rPr>
          <w:color w:val="231F20"/>
          <w:spacing w:val="-5"/>
        </w:rPr>
        <w:t> </w:t>
      </w:r>
      <w:r>
        <w:rPr>
          <w:color w:val="231F20"/>
        </w:rPr>
        <w:t>Aboriginal</w:t>
      </w:r>
      <w:r>
        <w:rPr>
          <w:color w:val="231F20"/>
          <w:spacing w:val="-5"/>
        </w:rPr>
        <w:t> </w:t>
      </w:r>
      <w:r>
        <w:rPr>
          <w:color w:val="231F20"/>
        </w:rPr>
        <w:t>and</w:t>
      </w:r>
      <w:r>
        <w:rPr>
          <w:color w:val="231F20"/>
          <w:spacing w:val="-5"/>
        </w:rPr>
        <w:t> Torres</w:t>
      </w:r>
      <w:r>
        <w:rPr>
          <w:color w:val="231F20"/>
          <w:spacing w:val="-4"/>
        </w:rPr>
        <w:t> </w:t>
      </w:r>
      <w:r>
        <w:rPr>
          <w:color w:val="231F20"/>
          <w:spacing w:val="-2"/>
        </w:rPr>
        <w:t>Strait</w:t>
      </w:r>
      <w:r>
        <w:rPr>
          <w:color w:val="231F20"/>
          <w:spacing w:val="-6"/>
        </w:rPr>
        <w:t> </w:t>
      </w:r>
      <w:r>
        <w:rPr>
          <w:color w:val="231F20"/>
          <w:spacing w:val="-1"/>
        </w:rPr>
        <w:t>Islander</w:t>
      </w:r>
      <w:r>
        <w:rPr>
          <w:color w:val="231F20"/>
          <w:spacing w:val="20"/>
          <w:w w:val="99"/>
        </w:rPr>
        <w:t> </w:t>
      </w:r>
      <w:r>
        <w:rPr>
          <w:color w:val="231F20"/>
        </w:rPr>
        <w:t>boarding</w:t>
      </w:r>
      <w:r>
        <w:rPr>
          <w:color w:val="231F20"/>
          <w:spacing w:val="-7"/>
        </w:rPr>
        <w:t> </w:t>
      </w:r>
      <w:r>
        <w:rPr>
          <w:color w:val="231F20"/>
        </w:rPr>
        <w:t>providers</w:t>
      </w:r>
      <w:r>
        <w:rPr>
          <w:color w:val="231F20"/>
          <w:spacing w:val="-7"/>
        </w:rPr>
        <w:t> </w:t>
      </w:r>
      <w:r>
        <w:rPr>
          <w:color w:val="231F20"/>
          <w:spacing w:val="-1"/>
        </w:rPr>
        <w:t>may</w:t>
      </w:r>
      <w:r>
        <w:rPr>
          <w:color w:val="231F20"/>
          <w:spacing w:val="-5"/>
        </w:rPr>
        <w:t> </w:t>
      </w:r>
      <w:r>
        <w:rPr>
          <w:color w:val="231F20"/>
        </w:rPr>
        <w:t>require</w:t>
      </w:r>
      <w:r>
        <w:rPr>
          <w:color w:val="231F20"/>
          <w:spacing w:val="-7"/>
        </w:rPr>
        <w:t> </w:t>
      </w:r>
      <w:r>
        <w:rPr>
          <w:color w:val="231F20"/>
        </w:rPr>
        <w:t>assistance</w:t>
      </w:r>
      <w:r>
        <w:rPr>
          <w:color w:val="231F20"/>
          <w:spacing w:val="21"/>
        </w:rPr>
        <w:t> </w:t>
      </w:r>
      <w:r>
        <w:rPr>
          <w:color w:val="231F20"/>
        </w:rPr>
        <w:t>with</w:t>
      </w:r>
      <w:r>
        <w:rPr>
          <w:color w:val="231F20"/>
          <w:spacing w:val="-7"/>
        </w:rPr>
        <w:t> </w:t>
      </w:r>
      <w:r>
        <w:rPr>
          <w:color w:val="231F20"/>
        </w:rPr>
        <w:t>restructuring</w:t>
      </w:r>
      <w:r>
        <w:rPr>
          <w:color w:val="231F20"/>
          <w:spacing w:val="-7"/>
        </w:rPr>
        <w:t> </w:t>
      </w:r>
      <w:r>
        <w:rPr>
          <w:color w:val="231F20"/>
        </w:rPr>
        <w:t>to</w:t>
      </w:r>
      <w:r>
        <w:rPr>
          <w:color w:val="231F20"/>
          <w:spacing w:val="-5"/>
        </w:rPr>
        <w:t> </w:t>
      </w:r>
      <w:r>
        <w:rPr>
          <w:color w:val="231F20"/>
          <w:spacing w:val="-1"/>
        </w:rPr>
        <w:t>meet</w:t>
      </w:r>
      <w:r>
        <w:rPr>
          <w:color w:val="231F20"/>
          <w:spacing w:val="-5"/>
        </w:rPr>
        <w:t> </w:t>
      </w:r>
      <w:r>
        <w:rPr>
          <w:color w:val="231F20"/>
        </w:rPr>
        <w:t>the</w:t>
      </w:r>
      <w:r>
        <w:rPr>
          <w:color w:val="231F20"/>
          <w:spacing w:val="-6"/>
        </w:rPr>
        <w:t> </w:t>
      </w:r>
      <w:r>
        <w:rPr>
          <w:color w:val="231F20"/>
        </w:rPr>
        <w:t>challenges</w:t>
      </w:r>
      <w:r>
        <w:rPr>
          <w:color w:val="231F20"/>
          <w:spacing w:val="-6"/>
        </w:rPr>
        <w:t> </w:t>
      </w:r>
      <w:r>
        <w:rPr>
          <w:color w:val="231F20"/>
        </w:rPr>
        <w:t>of</w:t>
      </w:r>
      <w:r>
        <w:rPr>
          <w:color w:val="231F20"/>
          <w:spacing w:val="21"/>
          <w:w w:val="99"/>
        </w:rPr>
        <w:t> </w:t>
      </w:r>
      <w:r>
        <w:rPr>
          <w:color w:val="231F20"/>
        </w:rPr>
        <w:t>the</w:t>
      </w:r>
      <w:r>
        <w:rPr>
          <w:color w:val="231F20"/>
          <w:spacing w:val="-6"/>
        </w:rPr>
        <w:t> </w:t>
      </w:r>
      <w:r>
        <w:rPr>
          <w:color w:val="231F20"/>
        </w:rPr>
        <w:t>changing</w:t>
      </w:r>
      <w:r>
        <w:rPr>
          <w:color w:val="231F20"/>
          <w:spacing w:val="-6"/>
        </w:rPr>
        <w:t> </w:t>
      </w:r>
      <w:r>
        <w:rPr>
          <w:color w:val="231F20"/>
        </w:rPr>
        <w:t>trends</w:t>
      </w:r>
      <w:r>
        <w:rPr>
          <w:color w:val="231F20"/>
          <w:spacing w:val="-6"/>
        </w:rPr>
        <w:t> </w:t>
      </w:r>
      <w:r>
        <w:rPr>
          <w:color w:val="231F20"/>
          <w:spacing w:val="-1"/>
        </w:rPr>
        <w:t>in</w:t>
      </w:r>
      <w:r>
        <w:rPr>
          <w:color w:val="231F20"/>
          <w:spacing w:val="-4"/>
        </w:rPr>
        <w:t> </w:t>
      </w:r>
      <w:r>
        <w:rPr>
          <w:color w:val="231F20"/>
        </w:rPr>
        <w:t>Aboriginal</w:t>
      </w:r>
      <w:r>
        <w:rPr>
          <w:color w:val="231F20"/>
          <w:spacing w:val="-5"/>
        </w:rPr>
        <w:t> </w:t>
      </w:r>
      <w:r>
        <w:rPr>
          <w:color w:val="231F20"/>
        </w:rPr>
        <w:t>and</w:t>
      </w:r>
      <w:r>
        <w:rPr>
          <w:color w:val="231F20"/>
          <w:spacing w:val="-6"/>
        </w:rPr>
        <w:t> </w:t>
      </w:r>
      <w:r>
        <w:rPr>
          <w:color w:val="231F20"/>
          <w:spacing w:val="-5"/>
        </w:rPr>
        <w:t>Torres</w:t>
      </w:r>
      <w:r>
        <w:rPr>
          <w:color w:val="231F20"/>
          <w:spacing w:val="24"/>
          <w:w w:val="99"/>
        </w:rPr>
        <w:t> </w:t>
      </w:r>
      <w:r>
        <w:rPr>
          <w:color w:val="231F20"/>
          <w:spacing w:val="-2"/>
        </w:rPr>
        <w:t>Strait</w:t>
      </w:r>
      <w:r>
        <w:rPr>
          <w:color w:val="231F20"/>
          <w:spacing w:val="-6"/>
        </w:rPr>
        <w:t> </w:t>
      </w:r>
      <w:r>
        <w:rPr>
          <w:color w:val="231F20"/>
          <w:spacing w:val="-1"/>
        </w:rPr>
        <w:t>Islander</w:t>
      </w:r>
      <w:r>
        <w:rPr>
          <w:color w:val="231F20"/>
          <w:spacing w:val="-5"/>
        </w:rPr>
        <w:t> </w:t>
      </w:r>
      <w:r>
        <w:rPr>
          <w:color w:val="231F20"/>
        </w:rPr>
        <w:t>boarding.</w:t>
      </w:r>
      <w:r>
        <w:rPr>
          <w:color w:val="231F20"/>
          <w:spacing w:val="-6"/>
        </w:rPr>
        <w:t> </w:t>
      </w:r>
      <w:r>
        <w:rPr>
          <w:color w:val="231F20"/>
          <w:spacing w:val="-1"/>
        </w:rPr>
        <w:t>Such</w:t>
      </w:r>
      <w:r>
        <w:rPr>
          <w:color w:val="231F20"/>
          <w:spacing w:val="-4"/>
        </w:rPr>
        <w:t> </w:t>
      </w:r>
      <w:r>
        <w:rPr>
          <w:color w:val="231F20"/>
        </w:rPr>
        <w:t>assistance</w:t>
      </w:r>
      <w:r>
        <w:rPr>
          <w:color w:val="231F20"/>
          <w:spacing w:val="28"/>
        </w:rPr>
        <w:t> </w:t>
      </w:r>
      <w:r>
        <w:rPr>
          <w:color w:val="231F20"/>
        </w:rPr>
        <w:t>could</w:t>
      </w:r>
      <w:r>
        <w:rPr>
          <w:color w:val="231F20"/>
          <w:spacing w:val="-11"/>
        </w:rPr>
        <w:t> </w:t>
      </w:r>
      <w:r>
        <w:rPr>
          <w:color w:val="231F20"/>
          <w:spacing w:val="-1"/>
        </w:rPr>
        <w:t>include</w:t>
      </w:r>
      <w:r>
        <w:rPr>
          <w:color w:val="231F20"/>
          <w:spacing w:val="-9"/>
        </w:rPr>
        <w:t> </w:t>
      </w:r>
      <w:r>
        <w:rPr>
          <w:color w:val="231F20"/>
        </w:rPr>
        <w:t>restructuring</w:t>
      </w:r>
      <w:r>
        <w:rPr>
          <w:color w:val="231F20"/>
          <w:spacing w:val="-11"/>
        </w:rPr>
        <w:t> </w:t>
      </w:r>
      <w:r>
        <w:rPr>
          <w:color w:val="231F20"/>
        </w:rPr>
        <w:t>funding,</w:t>
      </w:r>
      <w:r>
        <w:rPr>
          <w:color w:val="231F20"/>
          <w:spacing w:val="-9"/>
        </w:rPr>
        <w:t> </w:t>
      </w:r>
      <w:r>
        <w:rPr>
          <w:color w:val="231F20"/>
        </w:rPr>
        <w:t>external</w:t>
      </w:r>
      <w:r>
        <w:rPr>
          <w:color w:val="231F20"/>
          <w:spacing w:val="22"/>
          <w:w w:val="99"/>
        </w:rPr>
        <w:t> </w:t>
      </w:r>
      <w:r>
        <w:rPr>
          <w:color w:val="231F20"/>
        </w:rPr>
        <w:t>advice</w:t>
      </w:r>
      <w:r>
        <w:rPr>
          <w:color w:val="231F20"/>
          <w:spacing w:val="-6"/>
        </w:rPr>
        <w:t> </w:t>
      </w:r>
      <w:r>
        <w:rPr>
          <w:color w:val="231F20"/>
        </w:rPr>
        <w:t>on</w:t>
      </w:r>
      <w:r>
        <w:rPr>
          <w:color w:val="231F20"/>
          <w:spacing w:val="-4"/>
        </w:rPr>
        <w:t> </w:t>
      </w:r>
      <w:r>
        <w:rPr>
          <w:color w:val="231F20"/>
        </w:rPr>
        <w:t>boarding</w:t>
      </w:r>
      <w:r>
        <w:rPr>
          <w:color w:val="231F20"/>
          <w:spacing w:val="-6"/>
        </w:rPr>
        <w:t> </w:t>
      </w:r>
      <w:r>
        <w:rPr>
          <w:color w:val="231F20"/>
        </w:rPr>
        <w:t>delivery</w:t>
      </w:r>
      <w:r>
        <w:rPr>
          <w:color w:val="231F20"/>
          <w:spacing w:val="-5"/>
        </w:rPr>
        <w:t> </w:t>
      </w:r>
      <w:r>
        <w:rPr>
          <w:color w:val="231F20"/>
        </w:rPr>
        <w:t>and</w:t>
      </w:r>
      <w:r>
        <w:rPr>
          <w:color w:val="231F20"/>
          <w:spacing w:val="-5"/>
        </w:rPr>
        <w:t> </w:t>
      </w:r>
      <w:r>
        <w:rPr>
          <w:color w:val="231F20"/>
        </w:rPr>
        <w:t>the</w:t>
      </w:r>
      <w:r>
        <w:rPr>
          <w:color w:val="231F20"/>
          <w:spacing w:val="-6"/>
        </w:rPr>
        <w:t> </w:t>
      </w:r>
      <w:r>
        <w:rPr>
          <w:color w:val="231F20"/>
        </w:rPr>
        <w:t>use</w:t>
      </w:r>
      <w:r>
        <w:rPr>
          <w:color w:val="231F20"/>
          <w:spacing w:val="-5"/>
        </w:rPr>
        <w:t> </w:t>
      </w:r>
      <w:r>
        <w:rPr>
          <w:color w:val="231F20"/>
        </w:rPr>
        <w:t>of</w:t>
      </w:r>
      <w:r>
        <w:rPr/>
      </w:r>
    </w:p>
    <w:p>
      <w:pPr>
        <w:pStyle w:val="BodyText"/>
        <w:spacing w:line="250" w:lineRule="exact"/>
        <w:ind w:right="140"/>
        <w:jc w:val="left"/>
      </w:pPr>
      <w:r>
        <w:rPr>
          <w:color w:val="231F20"/>
        </w:rPr>
        <w:t>underutilised</w:t>
      </w:r>
      <w:r>
        <w:rPr>
          <w:color w:val="231F20"/>
          <w:spacing w:val="-6"/>
        </w:rPr>
        <w:t> </w:t>
      </w:r>
      <w:r>
        <w:rPr>
          <w:color w:val="231F20"/>
        </w:rPr>
        <w:t>facilities,</w:t>
      </w:r>
      <w:r>
        <w:rPr>
          <w:color w:val="231F20"/>
          <w:spacing w:val="-5"/>
        </w:rPr>
        <w:t> </w:t>
      </w:r>
      <w:r>
        <w:rPr>
          <w:color w:val="231F20"/>
        </w:rPr>
        <w:t>and</w:t>
      </w:r>
      <w:r>
        <w:rPr>
          <w:color w:val="231F20"/>
          <w:spacing w:val="-6"/>
        </w:rPr>
        <w:t> </w:t>
      </w:r>
      <w:r>
        <w:rPr>
          <w:color w:val="231F20"/>
          <w:spacing w:val="-1"/>
        </w:rPr>
        <w:t>support</w:t>
      </w:r>
      <w:r>
        <w:rPr>
          <w:color w:val="231F20"/>
          <w:spacing w:val="-4"/>
        </w:rPr>
        <w:t> </w:t>
      </w:r>
      <w:r>
        <w:rPr>
          <w:color w:val="231F20"/>
        </w:rPr>
        <w:t>to</w:t>
      </w:r>
      <w:r>
        <w:rPr>
          <w:color w:val="231F20"/>
          <w:spacing w:val="-5"/>
        </w:rPr>
        <w:t> </w:t>
      </w:r>
      <w:r>
        <w:rPr>
          <w:color w:val="231F20"/>
        </w:rPr>
        <w:t>build</w:t>
      </w:r>
      <w:r>
        <w:rPr>
          <w:color w:val="231F20"/>
          <w:spacing w:val="-5"/>
        </w:rPr>
        <w:t> </w:t>
      </w:r>
      <w:r>
        <w:rPr>
          <w:color w:val="231F20"/>
        </w:rPr>
        <w:t>the</w:t>
      </w:r>
      <w:r>
        <w:rPr>
          <w:color w:val="231F20"/>
          <w:spacing w:val="22"/>
          <w:w w:val="99"/>
        </w:rPr>
        <w:t> </w:t>
      </w:r>
      <w:r>
        <w:rPr>
          <w:color w:val="231F20"/>
          <w:spacing w:val="-1"/>
        </w:rPr>
        <w:t>internal</w:t>
      </w:r>
      <w:r>
        <w:rPr>
          <w:color w:val="231F20"/>
          <w:spacing w:val="-9"/>
        </w:rPr>
        <w:t> </w:t>
      </w:r>
      <w:r>
        <w:rPr>
          <w:color w:val="231F20"/>
        </w:rPr>
        <w:t>capacity</w:t>
      </w:r>
      <w:r>
        <w:rPr>
          <w:color w:val="231F20"/>
          <w:spacing w:val="-9"/>
        </w:rPr>
        <w:t> </w:t>
      </w:r>
      <w:r>
        <w:rPr>
          <w:color w:val="231F20"/>
        </w:rPr>
        <w:t>of</w:t>
      </w:r>
      <w:r>
        <w:rPr>
          <w:color w:val="231F20"/>
          <w:spacing w:val="-8"/>
        </w:rPr>
        <w:t> </w:t>
      </w:r>
      <w:r>
        <w:rPr>
          <w:color w:val="231F20"/>
        </w:rPr>
        <w:t>boarding</w:t>
      </w:r>
      <w:r>
        <w:rPr>
          <w:color w:val="231F20"/>
          <w:spacing w:val="-9"/>
        </w:rPr>
        <w:t> </w:t>
      </w:r>
      <w:r>
        <w:rPr>
          <w:color w:val="231F20"/>
        </w:rPr>
        <w:t>providers.</w:t>
      </w:r>
      <w:r>
        <w:rPr/>
      </w:r>
    </w:p>
    <w:p>
      <w:pPr>
        <w:pStyle w:val="BodyText"/>
        <w:spacing w:line="250" w:lineRule="exact" w:before="113"/>
        <w:ind w:right="140"/>
        <w:jc w:val="left"/>
      </w:pPr>
      <w:r>
        <w:rPr>
          <w:color w:val="231F20"/>
          <w:spacing w:val="-1"/>
        </w:rPr>
        <w:t>Scholarship</w:t>
      </w:r>
      <w:r>
        <w:rPr>
          <w:color w:val="231F20"/>
          <w:spacing w:val="-4"/>
        </w:rPr>
        <w:t> </w:t>
      </w:r>
      <w:r>
        <w:rPr>
          <w:color w:val="231F20"/>
        </w:rPr>
        <w:t>and</w:t>
      </w:r>
      <w:r>
        <w:rPr>
          <w:color w:val="231F20"/>
          <w:spacing w:val="-5"/>
        </w:rPr>
        <w:t> </w:t>
      </w:r>
      <w:r>
        <w:rPr>
          <w:color w:val="231F20"/>
          <w:spacing w:val="-1"/>
        </w:rPr>
        <w:t>social</w:t>
      </w:r>
      <w:r>
        <w:rPr>
          <w:color w:val="231F20"/>
          <w:spacing w:val="-5"/>
        </w:rPr>
        <w:t> </w:t>
      </w:r>
      <w:r>
        <w:rPr>
          <w:color w:val="231F20"/>
        </w:rPr>
        <w:t>programs</w:t>
      </w:r>
      <w:r>
        <w:rPr>
          <w:color w:val="231F20"/>
          <w:spacing w:val="-5"/>
        </w:rPr>
        <w:t> </w:t>
      </w:r>
      <w:r>
        <w:rPr>
          <w:color w:val="231F20"/>
        </w:rPr>
        <w:t>have</w:t>
      </w:r>
      <w:r>
        <w:rPr>
          <w:color w:val="231F20"/>
          <w:spacing w:val="-5"/>
        </w:rPr>
        <w:t> </w:t>
      </w:r>
      <w:r>
        <w:rPr>
          <w:color w:val="231F20"/>
        </w:rPr>
        <w:t>also</w:t>
      </w:r>
      <w:r>
        <w:rPr>
          <w:color w:val="231F20"/>
          <w:spacing w:val="-6"/>
        </w:rPr>
        <w:t> </w:t>
      </w:r>
      <w:r>
        <w:rPr>
          <w:color w:val="231F20"/>
          <w:spacing w:val="-1"/>
        </w:rPr>
        <w:t>led</w:t>
      </w:r>
      <w:r>
        <w:rPr>
          <w:color w:val="231F20"/>
          <w:spacing w:val="22"/>
        </w:rPr>
        <w:t> </w:t>
      </w:r>
      <w:r>
        <w:rPr>
          <w:color w:val="231F20"/>
        </w:rPr>
        <w:t>to</w:t>
      </w:r>
      <w:r>
        <w:rPr>
          <w:color w:val="231F20"/>
          <w:spacing w:val="-5"/>
        </w:rPr>
        <w:t> </w:t>
      </w:r>
      <w:r>
        <w:rPr>
          <w:color w:val="231F20"/>
        </w:rPr>
        <w:t>changes</w:t>
      </w:r>
      <w:r>
        <w:rPr>
          <w:color w:val="231F20"/>
          <w:spacing w:val="-6"/>
        </w:rPr>
        <w:t> </w:t>
      </w:r>
      <w:r>
        <w:rPr>
          <w:color w:val="231F20"/>
          <w:spacing w:val="-1"/>
        </w:rPr>
        <w:t>in</w:t>
      </w:r>
      <w:r>
        <w:rPr>
          <w:color w:val="231F20"/>
          <w:spacing w:val="-5"/>
        </w:rPr>
        <w:t> </w:t>
      </w:r>
      <w:r>
        <w:rPr>
          <w:color w:val="231F20"/>
        </w:rPr>
        <w:t>the</w:t>
      </w:r>
      <w:r>
        <w:rPr>
          <w:color w:val="231F20"/>
          <w:spacing w:val="-6"/>
        </w:rPr>
        <w:t> </w:t>
      </w:r>
      <w:r>
        <w:rPr>
          <w:color w:val="231F20"/>
          <w:spacing w:val="-1"/>
        </w:rPr>
        <w:t>sector.</w:t>
      </w:r>
      <w:r>
        <w:rPr>
          <w:color w:val="231F20"/>
          <w:spacing w:val="-5"/>
        </w:rPr>
        <w:t> </w:t>
      </w:r>
      <w:r>
        <w:rPr>
          <w:color w:val="231F20"/>
        </w:rPr>
        <w:t>Greater</w:t>
      </w:r>
      <w:r>
        <w:rPr>
          <w:color w:val="231F20"/>
          <w:spacing w:val="-5"/>
        </w:rPr>
        <w:t> </w:t>
      </w:r>
      <w:r>
        <w:rPr>
          <w:color w:val="231F20"/>
        </w:rPr>
        <w:t>numbers</w:t>
      </w:r>
      <w:r>
        <w:rPr>
          <w:color w:val="231F20"/>
          <w:spacing w:val="-5"/>
        </w:rPr>
        <w:t> </w:t>
      </w:r>
      <w:r>
        <w:rPr>
          <w:color w:val="231F20"/>
        </w:rPr>
        <w:t>of</w:t>
      </w:r>
      <w:r>
        <w:rPr>
          <w:color w:val="231F20"/>
          <w:spacing w:val="23"/>
          <w:w w:val="99"/>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5"/>
        </w:rPr>
        <w:t> </w:t>
      </w:r>
      <w:r>
        <w:rPr>
          <w:color w:val="231F20"/>
          <w:spacing w:val="-1"/>
        </w:rPr>
        <w:t>Islander</w:t>
      </w:r>
      <w:r>
        <w:rPr>
          <w:color w:val="231F20"/>
          <w:spacing w:val="-5"/>
        </w:rPr>
        <w:t> </w:t>
      </w:r>
      <w:r>
        <w:rPr>
          <w:color w:val="231F20"/>
          <w:spacing w:val="-1"/>
        </w:rPr>
        <w:t>students</w:t>
      </w:r>
      <w:r>
        <w:rPr>
          <w:color w:val="231F20"/>
          <w:spacing w:val="20"/>
        </w:rPr>
        <w:t> </w:t>
      </w:r>
      <w:r>
        <w:rPr>
          <w:color w:val="231F20"/>
        </w:rPr>
        <w:t>now</w:t>
      </w:r>
      <w:r>
        <w:rPr>
          <w:color w:val="231F20"/>
          <w:spacing w:val="-5"/>
        </w:rPr>
        <w:t> </w:t>
      </w:r>
      <w:r>
        <w:rPr>
          <w:color w:val="231F20"/>
        </w:rPr>
        <w:t>have</w:t>
      </w:r>
      <w:r>
        <w:rPr>
          <w:color w:val="231F20"/>
          <w:spacing w:val="-6"/>
        </w:rPr>
        <w:t> </w:t>
      </w:r>
      <w:r>
        <w:rPr>
          <w:color w:val="231F20"/>
        </w:rPr>
        <w:t>the</w:t>
      </w:r>
      <w:r>
        <w:rPr>
          <w:color w:val="231F20"/>
          <w:spacing w:val="-6"/>
        </w:rPr>
        <w:t> </w:t>
      </w:r>
      <w:r>
        <w:rPr>
          <w:color w:val="231F20"/>
        </w:rPr>
        <w:t>opportunity</w:t>
      </w:r>
      <w:r>
        <w:rPr>
          <w:color w:val="231F20"/>
          <w:spacing w:val="-6"/>
        </w:rPr>
        <w:t> </w:t>
      </w:r>
      <w:r>
        <w:rPr>
          <w:color w:val="231F20"/>
        </w:rPr>
        <w:t>to</w:t>
      </w:r>
      <w:r>
        <w:rPr>
          <w:color w:val="231F20"/>
          <w:spacing w:val="-5"/>
        </w:rPr>
        <w:t> </w:t>
      </w:r>
      <w:r>
        <w:rPr>
          <w:color w:val="231F20"/>
        </w:rPr>
        <w:t>access</w:t>
      </w:r>
      <w:r>
        <w:rPr>
          <w:color w:val="231F20"/>
          <w:spacing w:val="-6"/>
        </w:rPr>
        <w:t> </w:t>
      </w:r>
      <w:r>
        <w:rPr>
          <w:color w:val="231F20"/>
          <w:spacing w:val="-1"/>
        </w:rPr>
        <w:t>leading</w:t>
      </w:r>
      <w:r>
        <w:rPr>
          <w:color w:val="231F20"/>
          <w:spacing w:val="20"/>
          <w:w w:val="99"/>
        </w:rPr>
        <w:t> </w:t>
      </w:r>
      <w:r>
        <w:rPr>
          <w:color w:val="231F20"/>
        </w:rPr>
        <w:t>Australian</w:t>
      </w:r>
      <w:r>
        <w:rPr>
          <w:color w:val="231F20"/>
          <w:spacing w:val="-4"/>
        </w:rPr>
        <w:t> </w:t>
      </w:r>
      <w:r>
        <w:rPr>
          <w:color w:val="231F20"/>
          <w:spacing w:val="-1"/>
        </w:rPr>
        <w:t>schools</w:t>
      </w:r>
      <w:r>
        <w:rPr>
          <w:color w:val="231F20"/>
          <w:spacing w:val="-4"/>
        </w:rPr>
        <w:t> </w:t>
      </w:r>
      <w:r>
        <w:rPr>
          <w:color w:val="231F20"/>
          <w:spacing w:val="-1"/>
        </w:rPr>
        <w:t>in</w:t>
      </w:r>
      <w:r>
        <w:rPr>
          <w:color w:val="231F20"/>
          <w:spacing w:val="-4"/>
        </w:rPr>
        <w:t> </w:t>
      </w:r>
      <w:r>
        <w:rPr>
          <w:color w:val="231F20"/>
          <w:spacing w:val="-1"/>
        </w:rPr>
        <w:t>state</w:t>
      </w:r>
      <w:r>
        <w:rPr>
          <w:color w:val="231F20"/>
          <w:spacing w:val="-3"/>
        </w:rPr>
        <w:t> </w:t>
      </w:r>
      <w:r>
        <w:rPr>
          <w:color w:val="231F20"/>
        </w:rPr>
        <w:t>capital</w:t>
      </w:r>
      <w:r>
        <w:rPr>
          <w:color w:val="231F20"/>
          <w:spacing w:val="-5"/>
        </w:rPr>
        <w:t> </w:t>
      </w:r>
      <w:r>
        <w:rPr>
          <w:color w:val="231F20"/>
        </w:rPr>
        <w:t>cities</w:t>
      </w:r>
      <w:r>
        <w:rPr>
          <w:color w:val="231F20"/>
          <w:spacing w:val="-5"/>
        </w:rPr>
        <w:t> </w:t>
      </w:r>
      <w:r>
        <w:rPr>
          <w:color w:val="231F20"/>
        </w:rPr>
        <w:t>and</w:t>
      </w:r>
      <w:r>
        <w:rPr>
          <w:color w:val="231F20"/>
          <w:spacing w:val="24"/>
          <w:w w:val="99"/>
        </w:rPr>
        <w:t> </w:t>
      </w:r>
      <w:r>
        <w:rPr>
          <w:color w:val="231F20"/>
          <w:spacing w:val="-1"/>
        </w:rPr>
        <w:t>major</w:t>
      </w:r>
      <w:r>
        <w:rPr>
          <w:color w:val="231F20"/>
          <w:spacing w:val="-8"/>
        </w:rPr>
        <w:t> </w:t>
      </w:r>
      <w:r>
        <w:rPr>
          <w:color w:val="231F20"/>
        </w:rPr>
        <w:t>regional</w:t>
      </w:r>
      <w:r>
        <w:rPr>
          <w:color w:val="231F20"/>
          <w:spacing w:val="-8"/>
        </w:rPr>
        <w:t> </w:t>
      </w:r>
      <w:r>
        <w:rPr>
          <w:color w:val="231F20"/>
        </w:rPr>
        <w:t>centres</w:t>
      </w:r>
      <w:r>
        <w:rPr>
          <w:color w:val="231F20"/>
          <w:spacing w:val="-8"/>
        </w:rPr>
        <w:t> </w:t>
      </w:r>
      <w:r>
        <w:rPr>
          <w:color w:val="231F20"/>
        </w:rPr>
        <w:t>around</w:t>
      </w:r>
      <w:r>
        <w:rPr>
          <w:color w:val="231F20"/>
          <w:spacing w:val="-7"/>
        </w:rPr>
        <w:t> </w:t>
      </w:r>
      <w:r>
        <w:rPr>
          <w:color w:val="231F20"/>
        </w:rPr>
        <w:t>the</w:t>
      </w:r>
      <w:r>
        <w:rPr>
          <w:color w:val="231F20"/>
          <w:spacing w:val="-8"/>
        </w:rPr>
        <w:t> </w:t>
      </w:r>
      <w:r>
        <w:rPr>
          <w:color w:val="231F20"/>
        </w:rPr>
        <w:t>country.</w:t>
      </w:r>
      <w:r>
        <w:rPr/>
      </w:r>
    </w:p>
    <w:p>
      <w:pPr>
        <w:pStyle w:val="BodyText"/>
        <w:spacing w:line="250" w:lineRule="exact"/>
        <w:ind w:right="140"/>
        <w:jc w:val="left"/>
      </w:pPr>
      <w:r>
        <w:rPr>
          <w:color w:val="231F20"/>
        </w:rPr>
        <w:t>These</w:t>
      </w:r>
      <w:r>
        <w:rPr>
          <w:color w:val="231F20"/>
          <w:spacing w:val="-7"/>
        </w:rPr>
        <w:t> </w:t>
      </w:r>
      <w:r>
        <w:rPr>
          <w:color w:val="231F20"/>
        </w:rPr>
        <w:t>programs</w:t>
      </w:r>
      <w:r>
        <w:rPr>
          <w:color w:val="231F20"/>
          <w:spacing w:val="-7"/>
        </w:rPr>
        <w:t> </w:t>
      </w:r>
      <w:r>
        <w:rPr>
          <w:color w:val="231F20"/>
        </w:rPr>
        <w:t>usually</w:t>
      </w:r>
      <w:r>
        <w:rPr>
          <w:color w:val="231F20"/>
          <w:spacing w:val="-6"/>
        </w:rPr>
        <w:t> </w:t>
      </w:r>
      <w:r>
        <w:rPr>
          <w:color w:val="231F20"/>
        </w:rPr>
        <w:t>target</w:t>
      </w:r>
      <w:r>
        <w:rPr>
          <w:color w:val="231F20"/>
          <w:spacing w:val="-7"/>
        </w:rPr>
        <w:t> </w:t>
      </w:r>
      <w:r>
        <w:rPr>
          <w:color w:val="231F20"/>
        </w:rPr>
        <w:t>high</w:t>
      </w:r>
      <w:r>
        <w:rPr>
          <w:color w:val="231F20"/>
          <w:spacing w:val="-6"/>
        </w:rPr>
        <w:t> </w:t>
      </w:r>
      <w:r>
        <w:rPr>
          <w:color w:val="231F20"/>
        </w:rPr>
        <w:t>performing</w:t>
      </w:r>
      <w:r>
        <w:rPr>
          <w:color w:val="231F20"/>
          <w:w w:val="99"/>
        </w:rPr>
        <w:t> </w:t>
      </w:r>
      <w:r>
        <w:rPr>
          <w:color w:val="231F20"/>
          <w:spacing w:val="-1"/>
        </w:rPr>
        <w:t>students</w:t>
      </w:r>
      <w:r>
        <w:rPr>
          <w:color w:val="231F20"/>
          <w:spacing w:val="-5"/>
        </w:rPr>
        <w:t> </w:t>
      </w:r>
      <w:r>
        <w:rPr>
          <w:color w:val="231F20"/>
        </w:rPr>
        <w:t>and</w:t>
      </w:r>
      <w:r>
        <w:rPr>
          <w:color w:val="231F20"/>
          <w:spacing w:val="-5"/>
        </w:rPr>
        <w:t> </w:t>
      </w:r>
      <w:r>
        <w:rPr>
          <w:color w:val="231F20"/>
        </w:rPr>
        <w:t>have</w:t>
      </w:r>
      <w:r>
        <w:rPr>
          <w:color w:val="231F20"/>
          <w:spacing w:val="-5"/>
        </w:rPr>
        <w:t> </w:t>
      </w:r>
      <w:r>
        <w:rPr>
          <w:color w:val="231F20"/>
          <w:spacing w:val="-1"/>
        </w:rPr>
        <w:t>impacted</w:t>
      </w:r>
      <w:r>
        <w:rPr>
          <w:color w:val="231F20"/>
          <w:spacing w:val="-4"/>
        </w:rPr>
        <w:t> </w:t>
      </w:r>
      <w:r>
        <w:rPr>
          <w:color w:val="231F20"/>
        </w:rPr>
        <w:t>upon</w:t>
      </w:r>
      <w:r>
        <w:rPr>
          <w:color w:val="231F20"/>
          <w:spacing w:val="-5"/>
        </w:rPr>
        <w:t> </w:t>
      </w:r>
      <w:r>
        <w:rPr>
          <w:color w:val="231F20"/>
        </w:rPr>
        <w:t>enrolments</w:t>
      </w:r>
      <w:r>
        <w:rPr>
          <w:color w:val="231F20"/>
          <w:spacing w:val="23"/>
        </w:rPr>
        <w:t> </w:t>
      </w:r>
      <w:r>
        <w:rPr>
          <w:color w:val="231F20"/>
        </w:rPr>
        <w:t>at</w:t>
      </w:r>
      <w:r>
        <w:rPr>
          <w:color w:val="231F20"/>
          <w:spacing w:val="-6"/>
        </w:rPr>
        <w:t> </w:t>
      </w:r>
      <w:r>
        <w:rPr>
          <w:color w:val="231F20"/>
        </w:rPr>
        <w:t>the</w:t>
      </w:r>
      <w:r>
        <w:rPr>
          <w:color w:val="231F20"/>
          <w:spacing w:val="-6"/>
        </w:rPr>
        <w:t> </w:t>
      </w:r>
      <w:r>
        <w:rPr>
          <w:color w:val="231F20"/>
        </w:rPr>
        <w:t>traditional</w:t>
      </w:r>
      <w:r>
        <w:rPr>
          <w:color w:val="231F20"/>
          <w:spacing w:val="-6"/>
        </w:rPr>
        <w:t> </w:t>
      </w:r>
      <w:r>
        <w:rPr>
          <w:color w:val="231F20"/>
          <w:spacing w:val="-1"/>
        </w:rPr>
        <w:t>long</w:t>
      </w:r>
      <w:r>
        <w:rPr>
          <w:color w:val="231F20"/>
          <w:spacing w:val="-6"/>
        </w:rPr>
        <w:t> </w:t>
      </w:r>
      <w:r>
        <w:rPr>
          <w:color w:val="231F20"/>
        </w:rPr>
        <w:t>established</w:t>
      </w:r>
      <w:r>
        <w:rPr>
          <w:color w:val="231F20"/>
          <w:spacing w:val="-6"/>
        </w:rPr>
        <w:t> </w:t>
      </w:r>
      <w:r>
        <w:rPr>
          <w:color w:val="231F20"/>
        </w:rPr>
        <w:t>Aboriginal</w:t>
      </w:r>
      <w:r>
        <w:rPr>
          <w:color w:val="231F20"/>
          <w:spacing w:val="21"/>
          <w:w w:val="99"/>
        </w:rPr>
        <w:t> </w:t>
      </w:r>
      <w:r>
        <w:rPr>
          <w:color w:val="231F20"/>
        </w:rPr>
        <w:t>and</w:t>
      </w:r>
      <w:r>
        <w:rPr>
          <w:color w:val="231F20"/>
          <w:spacing w:val="-7"/>
        </w:rPr>
        <w:t> </w:t>
      </w:r>
      <w:r>
        <w:rPr>
          <w:color w:val="231F20"/>
          <w:spacing w:val="-5"/>
        </w:rPr>
        <w:t>Torres</w:t>
      </w:r>
      <w:r>
        <w:rPr>
          <w:color w:val="231F20"/>
          <w:spacing w:val="-7"/>
        </w:rPr>
        <w:t> </w:t>
      </w:r>
      <w:r>
        <w:rPr>
          <w:color w:val="231F20"/>
          <w:spacing w:val="-2"/>
        </w:rPr>
        <w:t>Strait</w:t>
      </w:r>
      <w:r>
        <w:rPr>
          <w:color w:val="231F20"/>
          <w:spacing w:val="-6"/>
        </w:rPr>
        <w:t> </w:t>
      </w:r>
      <w:r>
        <w:rPr>
          <w:color w:val="231F20"/>
          <w:spacing w:val="-1"/>
        </w:rPr>
        <w:t>Islander</w:t>
      </w:r>
      <w:r>
        <w:rPr>
          <w:color w:val="231F20"/>
          <w:spacing w:val="-7"/>
        </w:rPr>
        <w:t> </w:t>
      </w:r>
      <w:r>
        <w:rPr>
          <w:color w:val="231F20"/>
        </w:rPr>
        <w:t>boarding</w:t>
      </w:r>
      <w:r>
        <w:rPr>
          <w:color w:val="231F20"/>
          <w:spacing w:val="-7"/>
        </w:rPr>
        <w:t> </w:t>
      </w:r>
      <w:r>
        <w:rPr>
          <w:color w:val="231F20"/>
        </w:rPr>
        <w:t>providers.</w:t>
      </w:r>
      <w:r>
        <w:rPr/>
      </w:r>
    </w:p>
    <w:p>
      <w:pPr>
        <w:spacing w:after="0" w:line="250" w:lineRule="exact"/>
        <w:jc w:val="left"/>
        <w:sectPr>
          <w:type w:val="continuous"/>
          <w:pgSz w:w="11910" w:h="16840"/>
          <w:pgMar w:top="1580" w:bottom="280" w:left="1300" w:right="1600"/>
          <w:cols w:num="2" w:equalWidth="0">
            <w:col w:w="4329" w:space="264"/>
            <w:col w:w="4417"/>
          </w:cols>
        </w:sectPr>
      </w:pPr>
    </w:p>
    <w:p>
      <w:pPr>
        <w:spacing w:line="240" w:lineRule="auto" w:before="0"/>
        <w:rPr>
          <w:rFonts w:ascii="Segoe UI" w:hAnsi="Segoe UI" w:cs="Segoe UI" w:eastAsia="Segoe UI"/>
          <w:sz w:val="20"/>
          <w:szCs w:val="20"/>
        </w:rPr>
      </w:pPr>
    </w:p>
    <w:p>
      <w:pPr>
        <w:spacing w:line="240" w:lineRule="auto" w:before="8"/>
        <w:rPr>
          <w:rFonts w:ascii="Segoe UI" w:hAnsi="Segoe UI" w:cs="Segoe UI" w:eastAsia="Segoe UI"/>
          <w:sz w:val="21"/>
          <w:szCs w:val="21"/>
        </w:rPr>
      </w:pPr>
    </w:p>
    <w:p>
      <w:pPr>
        <w:spacing w:after="0" w:line="240" w:lineRule="auto"/>
        <w:rPr>
          <w:rFonts w:ascii="Segoe UI" w:hAnsi="Segoe UI" w:cs="Segoe UI" w:eastAsia="Segoe UI"/>
          <w:sz w:val="21"/>
          <w:szCs w:val="21"/>
        </w:rPr>
        <w:sectPr>
          <w:pgSz w:w="11910" w:h="16840"/>
          <w:pgMar w:header="0" w:footer="691" w:top="1580" w:bottom="880" w:left="1600" w:right="1300"/>
        </w:sectPr>
      </w:pPr>
    </w:p>
    <w:p>
      <w:pPr>
        <w:pStyle w:val="BodyText"/>
        <w:spacing w:line="250" w:lineRule="exact" w:before="62"/>
        <w:ind w:left="100" w:right="119"/>
        <w:jc w:val="left"/>
      </w:pP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boarders</w:t>
      </w:r>
      <w:r>
        <w:rPr>
          <w:color w:val="231F20"/>
          <w:spacing w:val="21"/>
          <w:w w:val="99"/>
        </w:rPr>
        <w:t> </w:t>
      </w:r>
      <w:r>
        <w:rPr>
          <w:color w:val="231F20"/>
        </w:rPr>
        <w:t>that</w:t>
      </w:r>
      <w:r>
        <w:rPr>
          <w:color w:val="231F20"/>
          <w:spacing w:val="-5"/>
        </w:rPr>
        <w:t> </w:t>
      </w:r>
      <w:r>
        <w:rPr>
          <w:color w:val="231F20"/>
          <w:spacing w:val="-1"/>
        </w:rPr>
        <w:t>may</w:t>
      </w:r>
      <w:r>
        <w:rPr>
          <w:color w:val="231F20"/>
          <w:spacing w:val="-4"/>
        </w:rPr>
        <w:t> </w:t>
      </w:r>
      <w:r>
        <w:rPr>
          <w:color w:val="231F20"/>
        </w:rPr>
        <w:t>have</w:t>
      </w:r>
      <w:r>
        <w:rPr>
          <w:color w:val="231F20"/>
          <w:spacing w:val="-5"/>
        </w:rPr>
        <w:t> </w:t>
      </w:r>
      <w:r>
        <w:rPr>
          <w:color w:val="231F20"/>
          <w:spacing w:val="-1"/>
        </w:rPr>
        <w:t>in</w:t>
      </w:r>
      <w:r>
        <w:rPr>
          <w:color w:val="231F20"/>
          <w:spacing w:val="-4"/>
        </w:rPr>
        <w:t> </w:t>
      </w:r>
      <w:r>
        <w:rPr>
          <w:color w:val="231F20"/>
        </w:rPr>
        <w:t>the</w:t>
      </w:r>
      <w:r>
        <w:rPr>
          <w:color w:val="231F20"/>
          <w:spacing w:val="-5"/>
        </w:rPr>
        <w:t> </w:t>
      </w:r>
      <w:r>
        <w:rPr>
          <w:color w:val="231F20"/>
        </w:rPr>
        <w:t>past</w:t>
      </w:r>
      <w:r>
        <w:rPr>
          <w:color w:val="231F20"/>
          <w:spacing w:val="-4"/>
        </w:rPr>
        <w:t> </w:t>
      </w:r>
      <w:r>
        <w:rPr>
          <w:color w:val="231F20"/>
        </w:rPr>
        <w:t>attended</w:t>
      </w:r>
      <w:r>
        <w:rPr>
          <w:color w:val="231F20"/>
          <w:spacing w:val="-5"/>
        </w:rPr>
        <w:t> </w:t>
      </w:r>
      <w:r>
        <w:rPr>
          <w:color w:val="231F20"/>
          <w:spacing w:val="-1"/>
        </w:rPr>
        <w:t>large</w:t>
      </w:r>
      <w:r>
        <w:rPr>
          <w:color w:val="231F20"/>
          <w:spacing w:val="22"/>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10"/>
        </w:rPr>
        <w:t> </w:t>
      </w:r>
      <w:r>
        <w:rPr>
          <w:color w:val="231F20"/>
        </w:rPr>
        <w:t>are</w:t>
      </w:r>
      <w:r>
        <w:rPr>
          <w:color w:val="231F20"/>
          <w:spacing w:val="-9"/>
        </w:rPr>
        <w:t> </w:t>
      </w:r>
      <w:r>
        <w:rPr>
          <w:color w:val="231F20"/>
        </w:rPr>
        <w:t>now</w:t>
      </w:r>
      <w:r>
        <w:rPr>
          <w:color w:val="231F20"/>
          <w:spacing w:val="-9"/>
        </w:rPr>
        <w:t> </w:t>
      </w:r>
      <w:r>
        <w:rPr>
          <w:color w:val="231F20"/>
          <w:spacing w:val="-1"/>
        </w:rPr>
        <w:t>increasingly</w:t>
      </w:r>
      <w:r>
        <w:rPr>
          <w:color w:val="231F20"/>
          <w:spacing w:val="-8"/>
        </w:rPr>
        <w:t> </w:t>
      </w:r>
      <w:r>
        <w:rPr>
          <w:color w:val="231F20"/>
        </w:rPr>
        <w:t>attending</w:t>
      </w:r>
      <w:r>
        <w:rPr>
          <w:color w:val="231F20"/>
          <w:spacing w:val="22"/>
          <w:w w:val="99"/>
        </w:rPr>
        <w:t> </w:t>
      </w:r>
      <w:r>
        <w:rPr>
          <w:color w:val="231F20"/>
          <w:spacing w:val="-1"/>
        </w:rPr>
        <w:t>large</w:t>
      </w:r>
      <w:r>
        <w:rPr>
          <w:color w:val="231F20"/>
          <w:spacing w:val="-5"/>
        </w:rPr>
        <w:t> </w:t>
      </w:r>
      <w:r>
        <w:rPr>
          <w:color w:val="231F20"/>
          <w:spacing w:val="-1"/>
        </w:rPr>
        <w:t>mainstream</w:t>
      </w:r>
      <w:r>
        <w:rPr>
          <w:color w:val="231F20"/>
          <w:spacing w:val="-3"/>
        </w:rPr>
        <w:t> </w:t>
      </w:r>
      <w:r>
        <w:rPr>
          <w:color w:val="231F20"/>
        </w:rPr>
        <w:t>boarding</w:t>
      </w:r>
      <w:r>
        <w:rPr>
          <w:color w:val="231F20"/>
          <w:spacing w:val="-6"/>
        </w:rPr>
        <w:t> </w:t>
      </w:r>
      <w:r>
        <w:rPr>
          <w:color w:val="231F20"/>
        </w:rPr>
        <w:t>providers</w:t>
      </w:r>
      <w:r>
        <w:rPr>
          <w:color w:val="231F20"/>
          <w:spacing w:val="-5"/>
        </w:rPr>
        <w:t> </w:t>
      </w:r>
      <w:r>
        <w:rPr>
          <w:color w:val="231F20"/>
        </w:rPr>
        <w:t>as</w:t>
      </w:r>
      <w:r>
        <w:rPr>
          <w:color w:val="231F20"/>
          <w:spacing w:val="-5"/>
        </w:rPr>
        <w:t> </w:t>
      </w:r>
      <w:r>
        <w:rPr>
          <w:color w:val="231F20"/>
        </w:rPr>
        <w:t>a</w:t>
      </w:r>
      <w:r>
        <w:rPr>
          <w:color w:val="231F20"/>
          <w:spacing w:val="23"/>
          <w:w w:val="99"/>
        </w:rPr>
        <w:t> </w:t>
      </w:r>
      <w:r>
        <w:rPr>
          <w:color w:val="231F20"/>
        </w:rPr>
        <w:t>result</w:t>
      </w:r>
      <w:r>
        <w:rPr>
          <w:color w:val="231F20"/>
          <w:spacing w:val="-5"/>
        </w:rPr>
        <w:t> </w:t>
      </w:r>
      <w:r>
        <w:rPr>
          <w:color w:val="231F20"/>
        </w:rPr>
        <w:t>of</w:t>
      </w:r>
      <w:r>
        <w:rPr>
          <w:color w:val="231F20"/>
          <w:spacing w:val="-4"/>
        </w:rPr>
        <w:t> </w:t>
      </w:r>
      <w:r>
        <w:rPr>
          <w:color w:val="231F20"/>
          <w:spacing w:val="-1"/>
        </w:rPr>
        <w:t>scholarships,</w:t>
      </w:r>
      <w:r>
        <w:rPr>
          <w:color w:val="231F20"/>
          <w:spacing w:val="-2"/>
        </w:rPr>
        <w:t> </w:t>
      </w:r>
      <w:r>
        <w:rPr>
          <w:color w:val="231F20"/>
        </w:rPr>
        <w:t>ongoing</w:t>
      </w:r>
      <w:r>
        <w:rPr>
          <w:color w:val="231F20"/>
          <w:spacing w:val="-5"/>
        </w:rPr>
        <w:t> </w:t>
      </w:r>
      <w:r>
        <w:rPr>
          <w:color w:val="231F20"/>
          <w:spacing w:val="-1"/>
        </w:rPr>
        <w:t>investment</w:t>
      </w:r>
      <w:r>
        <w:rPr>
          <w:color w:val="231F20"/>
          <w:spacing w:val="21"/>
        </w:rPr>
        <w:t> </w:t>
      </w:r>
      <w:r>
        <w:rPr>
          <w:color w:val="231F20"/>
        </w:rPr>
        <w:t>through</w:t>
      </w:r>
      <w:r>
        <w:rPr>
          <w:color w:val="231F20"/>
          <w:spacing w:val="-9"/>
        </w:rPr>
        <w:t> </w:t>
      </w:r>
      <w:r>
        <w:rPr>
          <w:color w:val="231F20"/>
        </w:rPr>
        <w:t>ABSTUDY</w:t>
      </w:r>
      <w:r>
        <w:rPr>
          <w:color w:val="231F20"/>
          <w:spacing w:val="-8"/>
        </w:rPr>
        <w:t> </w:t>
      </w:r>
      <w:r>
        <w:rPr>
          <w:color w:val="231F20"/>
        </w:rPr>
        <w:t>and</w:t>
      </w:r>
      <w:r>
        <w:rPr>
          <w:color w:val="231F20"/>
          <w:spacing w:val="-8"/>
        </w:rPr>
        <w:t> </w:t>
      </w:r>
      <w:r>
        <w:rPr>
          <w:color w:val="231F20"/>
          <w:spacing w:val="-1"/>
        </w:rPr>
        <w:t>increasing</w:t>
      </w:r>
      <w:r>
        <w:rPr>
          <w:color w:val="231F20"/>
          <w:spacing w:val="-7"/>
        </w:rPr>
        <w:t> </w:t>
      </w:r>
      <w:r>
        <w:rPr>
          <w:color w:val="231F20"/>
        </w:rPr>
        <w:t>household</w:t>
      </w:r>
      <w:r>
        <w:rPr>
          <w:color w:val="231F20"/>
          <w:spacing w:val="22"/>
          <w:w w:val="99"/>
        </w:rPr>
        <w:t> </w:t>
      </w:r>
      <w:r>
        <w:rPr>
          <w:color w:val="231F20"/>
          <w:spacing w:val="-1"/>
        </w:rPr>
        <w:t>incomes</w:t>
      </w:r>
      <w:r>
        <w:rPr>
          <w:color w:val="231F20"/>
          <w:spacing w:val="-6"/>
        </w:rPr>
        <w:t> </w:t>
      </w:r>
      <w:r>
        <w:rPr>
          <w:color w:val="231F20"/>
        </w:rPr>
        <w:t>(median</w:t>
      </w:r>
      <w:r>
        <w:rPr>
          <w:color w:val="231F20"/>
          <w:spacing w:val="-7"/>
        </w:rPr>
        <w:t> </w:t>
      </w:r>
      <w:r>
        <w:rPr>
          <w:color w:val="231F20"/>
        </w:rPr>
        <w:t>weekly</w:t>
      </w:r>
      <w:r>
        <w:rPr>
          <w:color w:val="231F20"/>
          <w:spacing w:val="-6"/>
        </w:rPr>
        <w:t> </w:t>
      </w:r>
      <w:r>
        <w:rPr>
          <w:color w:val="231F20"/>
        </w:rPr>
        <w:t>household</w:t>
      </w:r>
      <w:r>
        <w:rPr>
          <w:color w:val="231F20"/>
          <w:spacing w:val="-7"/>
        </w:rPr>
        <w:t> </w:t>
      </w:r>
      <w:r>
        <w:rPr>
          <w:color w:val="231F20"/>
          <w:spacing w:val="-1"/>
        </w:rPr>
        <w:t>income</w:t>
      </w:r>
      <w:r>
        <w:rPr/>
      </w:r>
    </w:p>
    <w:p>
      <w:pPr>
        <w:pStyle w:val="BodyText"/>
        <w:spacing w:line="250" w:lineRule="exact"/>
        <w:ind w:left="100" w:right="0"/>
        <w:jc w:val="left"/>
      </w:pPr>
      <w:r>
        <w:rPr>
          <w:color w:val="231F20"/>
        </w:rPr>
        <w:t>for</w:t>
      </w:r>
      <w:r>
        <w:rPr>
          <w:color w:val="231F20"/>
          <w:spacing w:val="-6"/>
        </w:rPr>
        <w:t> </w:t>
      </w:r>
      <w:r>
        <w:rPr>
          <w:color w:val="231F20"/>
        </w:rPr>
        <w:t>Aboriginal</w:t>
      </w:r>
      <w:r>
        <w:rPr>
          <w:color w:val="231F20"/>
          <w:spacing w:val="-5"/>
        </w:rPr>
        <w:t> </w:t>
      </w:r>
      <w:r>
        <w:rPr>
          <w:color w:val="231F20"/>
        </w:rPr>
        <w:t>and</w:t>
      </w:r>
      <w:r>
        <w:rPr>
          <w:color w:val="231F20"/>
          <w:spacing w:val="-6"/>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6"/>
        </w:rPr>
        <w:t> </w:t>
      </w:r>
      <w:r>
        <w:rPr>
          <w:color w:val="231F20"/>
        </w:rPr>
        <w:t>people</w:t>
      </w:r>
      <w:r>
        <w:rPr>
          <w:color w:val="231F20"/>
          <w:spacing w:val="21"/>
          <w:w w:val="99"/>
        </w:rPr>
        <w:t> </w:t>
      </w:r>
      <w:r>
        <w:rPr>
          <w:color w:val="231F20"/>
          <w:spacing w:val="-1"/>
        </w:rPr>
        <w:t>increased</w:t>
      </w:r>
      <w:r>
        <w:rPr>
          <w:color w:val="231F20"/>
          <w:spacing w:val="-3"/>
        </w:rPr>
        <w:t> </w:t>
      </w:r>
      <w:r>
        <w:rPr>
          <w:color w:val="231F20"/>
        </w:rPr>
        <w:t>from</w:t>
      </w:r>
      <w:r>
        <w:rPr>
          <w:color w:val="231F20"/>
          <w:spacing w:val="-2"/>
        </w:rPr>
        <w:t> </w:t>
      </w:r>
      <w:r>
        <w:rPr>
          <w:color w:val="231F20"/>
          <w:spacing w:val="-1"/>
        </w:rPr>
        <w:t>$991</w:t>
      </w:r>
      <w:r>
        <w:rPr>
          <w:color w:val="231F20"/>
          <w:spacing w:val="-3"/>
        </w:rPr>
        <w:t> </w:t>
      </w:r>
      <w:r>
        <w:rPr>
          <w:color w:val="231F20"/>
          <w:spacing w:val="-1"/>
        </w:rPr>
        <w:t>in</w:t>
      </w:r>
      <w:r>
        <w:rPr>
          <w:color w:val="231F20"/>
          <w:spacing w:val="-2"/>
        </w:rPr>
        <w:t> </w:t>
      </w:r>
      <w:r>
        <w:rPr>
          <w:color w:val="231F20"/>
        </w:rPr>
        <w:t>the</w:t>
      </w:r>
      <w:r>
        <w:rPr>
          <w:color w:val="231F20"/>
          <w:spacing w:val="-4"/>
        </w:rPr>
        <w:t> </w:t>
      </w:r>
      <w:r>
        <w:rPr>
          <w:color w:val="231F20"/>
          <w:spacing w:val="-1"/>
        </w:rPr>
        <w:t>2011</w:t>
      </w:r>
      <w:r>
        <w:rPr>
          <w:color w:val="231F20"/>
          <w:spacing w:val="-2"/>
        </w:rPr>
        <w:t> </w:t>
      </w:r>
      <w:r>
        <w:rPr>
          <w:color w:val="231F20"/>
          <w:spacing w:val="-1"/>
        </w:rPr>
        <w:t>Census</w:t>
      </w:r>
      <w:r>
        <w:rPr>
          <w:color w:val="231F20"/>
          <w:spacing w:val="-3"/>
        </w:rPr>
        <w:t> </w:t>
      </w:r>
      <w:r>
        <w:rPr>
          <w:color w:val="231F20"/>
        </w:rPr>
        <w:t>to</w:t>
      </w:r>
      <w:r>
        <w:rPr/>
      </w:r>
    </w:p>
    <w:p>
      <w:pPr>
        <w:pStyle w:val="BodyText"/>
        <w:spacing w:line="250" w:lineRule="exact"/>
        <w:ind w:left="100" w:right="0"/>
        <w:jc w:val="left"/>
      </w:pPr>
      <w:r>
        <w:rPr>
          <w:color w:val="231F20"/>
          <w:spacing w:val="-1"/>
        </w:rPr>
        <w:t>$1,203</w:t>
      </w:r>
      <w:r>
        <w:rPr>
          <w:color w:val="231F20"/>
          <w:spacing w:val="-2"/>
        </w:rPr>
        <w:t> </w:t>
      </w:r>
      <w:r>
        <w:rPr>
          <w:color w:val="231F20"/>
          <w:spacing w:val="-1"/>
        </w:rPr>
        <w:t>in </w:t>
      </w:r>
      <w:r>
        <w:rPr>
          <w:color w:val="231F20"/>
        </w:rPr>
        <w:t>the</w:t>
      </w:r>
      <w:r>
        <w:rPr>
          <w:color w:val="231F20"/>
          <w:spacing w:val="-3"/>
        </w:rPr>
        <w:t> </w:t>
      </w:r>
      <w:r>
        <w:rPr>
          <w:color w:val="231F20"/>
          <w:spacing w:val="-1"/>
        </w:rPr>
        <w:t>2016 Census </w:t>
      </w:r>
      <w:r>
        <w:rPr>
          <w:color w:val="231F20"/>
        </w:rPr>
        <w:t>(a</w:t>
      </w:r>
      <w:r>
        <w:rPr>
          <w:color w:val="231F20"/>
          <w:spacing w:val="-2"/>
        </w:rPr>
        <w:t> </w:t>
      </w:r>
      <w:r>
        <w:rPr>
          <w:color w:val="231F20"/>
          <w:spacing w:val="-1"/>
        </w:rPr>
        <w:t>21 </w:t>
      </w:r>
      <w:r>
        <w:rPr>
          <w:color w:val="231F20"/>
        </w:rPr>
        <w:t>per</w:t>
      </w:r>
      <w:r>
        <w:rPr>
          <w:color w:val="231F20"/>
          <w:spacing w:val="-2"/>
        </w:rPr>
        <w:t> </w:t>
      </w:r>
      <w:r>
        <w:rPr>
          <w:color w:val="231F20"/>
        </w:rPr>
        <w:t>cent</w:t>
      </w:r>
      <w:r>
        <w:rPr>
          <w:color w:val="231F20"/>
          <w:spacing w:val="26"/>
          <w:w w:val="99"/>
        </w:rPr>
        <w:t> </w:t>
      </w:r>
      <w:r>
        <w:rPr>
          <w:color w:val="231F20"/>
          <w:spacing w:val="-1"/>
        </w:rPr>
        <w:t>increase)</w:t>
      </w:r>
      <w:r>
        <w:rPr>
          <w:rFonts w:ascii="Segoe UI Semibold"/>
          <w:b/>
          <w:color w:val="231F20"/>
          <w:spacing w:val="-1"/>
          <w:position w:val="7"/>
          <w:sz w:val="11"/>
        </w:rPr>
        <w:t>186</w:t>
      </w:r>
      <w:r>
        <w:rPr>
          <w:color w:val="231F20"/>
          <w:spacing w:val="-1"/>
        </w:rPr>
        <w:t>).</w:t>
      </w:r>
      <w:r>
        <w:rPr/>
      </w:r>
    </w:p>
    <w:p>
      <w:pPr>
        <w:pStyle w:val="BodyText"/>
        <w:spacing w:line="250" w:lineRule="exact" w:before="113"/>
        <w:ind w:left="100" w:right="0"/>
        <w:jc w:val="left"/>
      </w:pPr>
      <w:r>
        <w:rPr>
          <w:color w:val="231F20"/>
        </w:rPr>
        <w:t>A</w:t>
      </w:r>
      <w:r>
        <w:rPr>
          <w:color w:val="231F20"/>
          <w:spacing w:val="-8"/>
        </w:rPr>
        <w:t> </w:t>
      </w:r>
      <w:r>
        <w:rPr>
          <w:color w:val="231F20"/>
        </w:rPr>
        <w:t>relevant</w:t>
      </w:r>
      <w:r>
        <w:rPr>
          <w:color w:val="231F20"/>
          <w:spacing w:val="-9"/>
        </w:rPr>
        <w:t> </w:t>
      </w:r>
      <w:r>
        <w:rPr>
          <w:color w:val="231F20"/>
        </w:rPr>
        <w:t>recommendation</w:t>
      </w:r>
      <w:r>
        <w:rPr>
          <w:color w:val="231F20"/>
          <w:spacing w:val="-10"/>
        </w:rPr>
        <w:t> </w:t>
      </w:r>
      <w:r>
        <w:rPr>
          <w:color w:val="231F20"/>
        </w:rPr>
        <w:t>relating</w:t>
      </w:r>
      <w:r>
        <w:rPr>
          <w:color w:val="231F20"/>
          <w:spacing w:val="-8"/>
        </w:rPr>
        <w:t> </w:t>
      </w:r>
      <w:r>
        <w:rPr>
          <w:color w:val="231F20"/>
        </w:rPr>
        <w:t>to</w:t>
      </w:r>
      <w:r>
        <w:rPr>
          <w:color w:val="231F20"/>
          <w:w w:val="99"/>
        </w:rPr>
        <w:t> </w:t>
      </w:r>
      <w:r>
        <w:rPr>
          <w:color w:val="231F20"/>
          <w:spacing w:val="-1"/>
        </w:rPr>
        <w:t>scholarships</w:t>
      </w:r>
      <w:r>
        <w:rPr>
          <w:color w:val="231F20"/>
          <w:spacing w:val="-2"/>
        </w:rPr>
        <w:t> </w:t>
      </w:r>
      <w:r>
        <w:rPr>
          <w:color w:val="231F20"/>
          <w:spacing w:val="-1"/>
        </w:rPr>
        <w:t>is</w:t>
      </w:r>
      <w:r>
        <w:rPr>
          <w:color w:val="231F20"/>
          <w:spacing w:val="-3"/>
        </w:rPr>
        <w:t> </w:t>
      </w:r>
      <w:r>
        <w:rPr>
          <w:color w:val="231F20"/>
          <w:spacing w:val="-1"/>
        </w:rPr>
        <w:t>made</w:t>
      </w:r>
      <w:r>
        <w:rPr>
          <w:color w:val="231F20"/>
          <w:spacing w:val="-2"/>
        </w:rPr>
        <w:t> </w:t>
      </w:r>
      <w:r>
        <w:rPr>
          <w:color w:val="231F20"/>
          <w:spacing w:val="-1"/>
        </w:rPr>
        <w:t>in</w:t>
      </w:r>
      <w:r>
        <w:rPr>
          <w:color w:val="231F20"/>
          <w:spacing w:val="-3"/>
        </w:rPr>
        <w:t> </w:t>
      </w:r>
      <w:r>
        <w:rPr>
          <w:color w:val="231F20"/>
          <w:spacing w:val="-2"/>
        </w:rPr>
        <w:t>Part</w:t>
      </w:r>
      <w:r>
        <w:rPr>
          <w:color w:val="231F20"/>
          <w:spacing w:val="-3"/>
        </w:rPr>
        <w:t> </w:t>
      </w:r>
      <w:r>
        <w:rPr>
          <w:color w:val="231F20"/>
          <w:spacing w:val="-1"/>
        </w:rPr>
        <w:t>10</w:t>
      </w:r>
      <w:r>
        <w:rPr>
          <w:color w:val="231F20"/>
          <w:spacing w:val="-2"/>
        </w:rPr>
        <w:t> </w:t>
      </w:r>
      <w:r>
        <w:rPr>
          <w:color w:val="231F20"/>
        </w:rPr>
        <w:t>and</w:t>
      </w:r>
      <w:r>
        <w:rPr>
          <w:color w:val="231F20"/>
          <w:spacing w:val="-4"/>
        </w:rPr>
        <w:t> </w:t>
      </w:r>
      <w:r>
        <w:rPr>
          <w:color w:val="231F20"/>
          <w:spacing w:val="-1"/>
        </w:rPr>
        <w:t>is</w:t>
      </w:r>
      <w:r>
        <w:rPr>
          <w:color w:val="231F20"/>
          <w:spacing w:val="-3"/>
        </w:rPr>
        <w:t> </w:t>
      </w:r>
      <w:r>
        <w:rPr>
          <w:color w:val="231F20"/>
        </w:rPr>
        <w:t>repeated</w:t>
      </w:r>
      <w:r>
        <w:rPr>
          <w:color w:val="231F20"/>
          <w:spacing w:val="28"/>
          <w:w w:val="99"/>
        </w:rPr>
        <w:t> </w:t>
      </w:r>
      <w:r>
        <w:rPr>
          <w:color w:val="231F20"/>
        </w:rPr>
        <w:t>below.</w:t>
      </w:r>
      <w:r>
        <w:rPr/>
      </w:r>
    </w:p>
    <w:p>
      <w:pPr>
        <w:spacing w:line="240" w:lineRule="auto" w:before="10"/>
        <w:rPr>
          <w:rFonts w:ascii="Segoe UI" w:hAnsi="Segoe UI" w:cs="Segoe UI" w:eastAsia="Segoe UI"/>
          <w:sz w:val="20"/>
          <w:szCs w:val="20"/>
        </w:rPr>
      </w:pPr>
    </w:p>
    <w:p>
      <w:pPr>
        <w:pStyle w:val="Heading2"/>
        <w:spacing w:line="240" w:lineRule="auto" w:before="0"/>
        <w:ind w:left="100" w:right="0"/>
        <w:jc w:val="left"/>
        <w:rPr>
          <w:b w:val="0"/>
          <w:bCs w:val="0"/>
        </w:rPr>
      </w:pPr>
      <w:bookmarkStart w:name="_TOC_250010" w:id="26"/>
      <w:r>
        <w:rPr>
          <w:color w:val="452A70"/>
          <w:spacing w:val="-1"/>
        </w:rPr>
        <w:t>Critical</w:t>
      </w:r>
      <w:r>
        <w:rPr>
          <w:color w:val="452A70"/>
          <w:spacing w:val="-4"/>
        </w:rPr>
        <w:t> </w:t>
      </w:r>
      <w:r>
        <w:rPr>
          <w:color w:val="452A70"/>
        </w:rPr>
        <w:t>mass</w:t>
      </w:r>
      <w:r>
        <w:rPr>
          <w:color w:val="452A70"/>
          <w:spacing w:val="-4"/>
        </w:rPr>
        <w:t> </w:t>
      </w:r>
      <w:r>
        <w:rPr>
          <w:color w:val="452A70"/>
          <w:spacing w:val="-1"/>
        </w:rPr>
        <w:t>for</w:t>
      </w:r>
      <w:r>
        <w:rPr>
          <w:color w:val="452A70"/>
          <w:spacing w:val="-3"/>
        </w:rPr>
        <w:t> </w:t>
      </w:r>
      <w:r>
        <w:rPr>
          <w:color w:val="452A70"/>
          <w:spacing w:val="-2"/>
        </w:rPr>
        <w:t>boarding</w:t>
      </w:r>
      <w:bookmarkEnd w:id="26"/>
      <w:r>
        <w:rPr>
          <w:b w:val="0"/>
        </w:rPr>
      </w:r>
    </w:p>
    <w:p>
      <w:pPr>
        <w:pStyle w:val="BodyText"/>
        <w:spacing w:line="250" w:lineRule="exact" w:before="111"/>
        <w:ind w:left="100" w:right="0"/>
        <w:jc w:val="left"/>
      </w:pPr>
      <w:r>
        <w:rPr>
          <w:color w:val="231F20"/>
          <w:spacing w:val="-1"/>
        </w:rPr>
        <w:t>Is</w:t>
      </w:r>
      <w:r>
        <w:rPr>
          <w:color w:val="231F20"/>
          <w:spacing w:val="-5"/>
        </w:rPr>
        <w:t> </w:t>
      </w:r>
      <w:r>
        <w:rPr>
          <w:color w:val="231F20"/>
        </w:rPr>
        <w:t>there</w:t>
      </w:r>
      <w:r>
        <w:rPr>
          <w:color w:val="231F20"/>
          <w:spacing w:val="-5"/>
        </w:rPr>
        <w:t> </w:t>
      </w:r>
      <w:r>
        <w:rPr>
          <w:color w:val="231F20"/>
        </w:rPr>
        <w:t>a</w:t>
      </w:r>
      <w:r>
        <w:rPr>
          <w:color w:val="231F20"/>
          <w:spacing w:val="-4"/>
        </w:rPr>
        <w:t> </w:t>
      </w:r>
      <w:r>
        <w:rPr>
          <w:color w:val="231F20"/>
          <w:spacing w:val="-1"/>
        </w:rPr>
        <w:t>minimum</w:t>
      </w:r>
      <w:r>
        <w:rPr>
          <w:color w:val="231F20"/>
          <w:spacing w:val="-3"/>
        </w:rPr>
        <w:t> </w:t>
      </w:r>
      <w:r>
        <w:rPr>
          <w:color w:val="231F20"/>
        </w:rPr>
        <w:t>number</w:t>
      </w:r>
      <w:r>
        <w:rPr>
          <w:color w:val="231F20"/>
          <w:spacing w:val="-5"/>
        </w:rPr>
        <w:t> </w:t>
      </w:r>
      <w:r>
        <w:rPr>
          <w:color w:val="231F20"/>
        </w:rPr>
        <w:t>of</w:t>
      </w:r>
      <w:r>
        <w:rPr>
          <w:color w:val="231F20"/>
          <w:spacing w:val="-4"/>
        </w:rPr>
        <w:t> </w:t>
      </w:r>
      <w:r>
        <w:rPr>
          <w:color w:val="231F20"/>
        </w:rPr>
        <w:t>boarders</w:t>
      </w:r>
      <w:r>
        <w:rPr>
          <w:color w:val="231F20"/>
          <w:spacing w:val="23"/>
          <w:w w:val="99"/>
        </w:rPr>
        <w:t> </w:t>
      </w:r>
      <w:r>
        <w:rPr>
          <w:color w:val="231F20"/>
        </w:rPr>
        <w:t>required</w:t>
      </w:r>
      <w:r>
        <w:rPr>
          <w:color w:val="231F20"/>
          <w:spacing w:val="-5"/>
        </w:rPr>
        <w:t> </w:t>
      </w:r>
      <w:r>
        <w:rPr>
          <w:color w:val="231F20"/>
        </w:rPr>
        <w:t>to</w:t>
      </w:r>
      <w:r>
        <w:rPr>
          <w:color w:val="231F20"/>
          <w:spacing w:val="-3"/>
        </w:rPr>
        <w:t> </w:t>
      </w:r>
      <w:r>
        <w:rPr>
          <w:color w:val="231F20"/>
          <w:spacing w:val="-1"/>
        </w:rPr>
        <w:t>make</w:t>
      </w:r>
      <w:r>
        <w:rPr>
          <w:color w:val="231F20"/>
          <w:spacing w:val="-3"/>
        </w:rPr>
        <w:t> </w:t>
      </w:r>
      <w:r>
        <w:rPr>
          <w:color w:val="231F20"/>
        </w:rPr>
        <w:t>a</w:t>
      </w:r>
      <w:r>
        <w:rPr>
          <w:color w:val="231F20"/>
          <w:spacing w:val="-3"/>
        </w:rPr>
        <w:t> </w:t>
      </w:r>
      <w:r>
        <w:rPr>
          <w:color w:val="231F20"/>
        </w:rPr>
        <w:t>boarding</w:t>
      </w:r>
      <w:r>
        <w:rPr>
          <w:color w:val="231F20"/>
          <w:spacing w:val="-4"/>
        </w:rPr>
        <w:t> </w:t>
      </w:r>
      <w:r>
        <w:rPr>
          <w:color w:val="231F20"/>
        </w:rPr>
        <w:t>facility</w:t>
      </w:r>
      <w:r>
        <w:rPr>
          <w:color w:val="231F20"/>
          <w:spacing w:val="-4"/>
        </w:rPr>
        <w:t> </w:t>
      </w:r>
      <w:r>
        <w:rPr>
          <w:color w:val="231F20"/>
        </w:rPr>
        <w:t>viable</w:t>
      </w:r>
      <w:r>
        <w:rPr>
          <w:color w:val="231F20"/>
          <w:spacing w:val="21"/>
        </w:rPr>
        <w:t> </w:t>
      </w:r>
      <w:r>
        <w:rPr>
          <w:color w:val="231F20"/>
        </w:rPr>
        <w:t>based</w:t>
      </w:r>
      <w:r>
        <w:rPr>
          <w:color w:val="231F20"/>
          <w:spacing w:val="-7"/>
        </w:rPr>
        <w:t> </w:t>
      </w:r>
      <w:r>
        <w:rPr>
          <w:color w:val="231F20"/>
        </w:rPr>
        <w:t>on</w:t>
      </w:r>
      <w:r>
        <w:rPr>
          <w:color w:val="231F20"/>
          <w:spacing w:val="-6"/>
        </w:rPr>
        <w:t> </w:t>
      </w:r>
      <w:r>
        <w:rPr>
          <w:color w:val="231F20"/>
        </w:rPr>
        <w:t>existing</w:t>
      </w:r>
      <w:r>
        <w:rPr>
          <w:color w:val="231F20"/>
          <w:spacing w:val="-7"/>
        </w:rPr>
        <w:t> </w:t>
      </w:r>
      <w:r>
        <w:rPr>
          <w:color w:val="231F20"/>
        </w:rPr>
        <w:t>available</w:t>
      </w:r>
      <w:r>
        <w:rPr>
          <w:color w:val="231F20"/>
          <w:spacing w:val="-6"/>
        </w:rPr>
        <w:t> </w:t>
      </w:r>
      <w:r>
        <w:rPr>
          <w:color w:val="231F20"/>
        </w:rPr>
        <w:t>funding?</w:t>
      </w:r>
      <w:r>
        <w:rPr/>
      </w:r>
    </w:p>
    <w:p>
      <w:pPr>
        <w:pStyle w:val="BodyText"/>
        <w:spacing w:line="250" w:lineRule="exact" w:before="113"/>
        <w:ind w:left="100" w:right="167"/>
        <w:jc w:val="left"/>
      </w:pPr>
      <w:r>
        <w:rPr>
          <w:rFonts w:ascii="Segoe UI"/>
          <w:color w:val="231F20"/>
        </w:rPr>
        <w:t>It is difficult to accurately determine a critical </w:t>
      </w:r>
      <w:r>
        <w:rPr>
          <w:color w:val="231F20"/>
          <w:spacing w:val="-1"/>
        </w:rPr>
        <w:t>mass</w:t>
      </w:r>
      <w:r>
        <w:rPr>
          <w:color w:val="231F20"/>
          <w:spacing w:val="-6"/>
        </w:rPr>
        <w:t> </w:t>
      </w:r>
      <w:r>
        <w:rPr>
          <w:color w:val="231F20"/>
        </w:rPr>
        <w:t>for</w:t>
      </w:r>
      <w:r>
        <w:rPr>
          <w:color w:val="231F20"/>
          <w:spacing w:val="-6"/>
        </w:rPr>
        <w:t> </w:t>
      </w:r>
      <w:r>
        <w:rPr>
          <w:color w:val="231F20"/>
        </w:rPr>
        <w:t>boarding</w:t>
      </w:r>
      <w:r>
        <w:rPr>
          <w:color w:val="231F20"/>
          <w:spacing w:val="-7"/>
        </w:rPr>
        <w:t> </w:t>
      </w:r>
      <w:r>
        <w:rPr>
          <w:color w:val="231F20"/>
        </w:rPr>
        <w:t>delivery</w:t>
      </w:r>
      <w:r>
        <w:rPr>
          <w:color w:val="231F20"/>
          <w:spacing w:val="-7"/>
        </w:rPr>
        <w:t> </w:t>
      </w:r>
      <w:r>
        <w:rPr>
          <w:color w:val="231F20"/>
        </w:rPr>
        <w:t>for</w:t>
      </w:r>
      <w:r>
        <w:rPr>
          <w:color w:val="231F20"/>
          <w:spacing w:val="-5"/>
        </w:rPr>
        <w:t> </w:t>
      </w:r>
      <w:r>
        <w:rPr>
          <w:color w:val="231F20"/>
        </w:rPr>
        <w:t>Aboriginal</w:t>
      </w:r>
      <w:r>
        <w:rPr>
          <w:color w:val="231F20"/>
          <w:spacing w:val="21"/>
          <w:w w:val="99"/>
        </w:rPr>
        <w:t> </w:t>
      </w:r>
      <w:r>
        <w:rPr>
          <w:color w:val="231F20"/>
        </w:rPr>
        <w:t>and</w:t>
      </w:r>
      <w:r>
        <w:rPr>
          <w:color w:val="231F20"/>
          <w:spacing w:val="-5"/>
        </w:rPr>
        <w:t> Torres</w:t>
      </w:r>
      <w:r>
        <w:rPr>
          <w:color w:val="231F20"/>
          <w:spacing w:val="-3"/>
        </w:rPr>
        <w:t> </w:t>
      </w:r>
      <w:r>
        <w:rPr>
          <w:color w:val="231F20"/>
          <w:spacing w:val="-2"/>
        </w:rPr>
        <w:t>Strait</w:t>
      </w:r>
      <w:r>
        <w:rPr>
          <w:color w:val="231F20"/>
          <w:spacing w:val="-5"/>
        </w:rPr>
        <w:t> </w:t>
      </w:r>
      <w:r>
        <w:rPr>
          <w:color w:val="231F20"/>
          <w:spacing w:val="-1"/>
        </w:rPr>
        <w:t>Islander</w:t>
      </w:r>
      <w:r>
        <w:rPr>
          <w:color w:val="231F20"/>
          <w:spacing w:val="-3"/>
        </w:rPr>
        <w:t> </w:t>
      </w:r>
      <w:r>
        <w:rPr>
          <w:color w:val="231F20"/>
          <w:spacing w:val="-1"/>
        </w:rPr>
        <w:t>students</w:t>
      </w:r>
      <w:r>
        <w:rPr>
          <w:color w:val="231F20"/>
          <w:spacing w:val="-4"/>
        </w:rPr>
        <w:t> </w:t>
      </w:r>
      <w:r>
        <w:rPr>
          <w:color w:val="231F20"/>
        </w:rPr>
        <w:t>given</w:t>
      </w:r>
      <w:r>
        <w:rPr>
          <w:color w:val="231F20"/>
          <w:spacing w:val="-4"/>
        </w:rPr>
        <w:t> </w:t>
      </w:r>
      <w:r>
        <w:rPr>
          <w:color w:val="231F20"/>
        </w:rPr>
        <w:t>the</w:t>
      </w:r>
      <w:r>
        <w:rPr>
          <w:color w:val="231F20"/>
          <w:spacing w:val="23"/>
          <w:w w:val="99"/>
        </w:rPr>
        <w:t> </w:t>
      </w:r>
      <w:r>
        <w:rPr>
          <w:rFonts w:ascii="Segoe UI"/>
          <w:color w:val="231F20"/>
        </w:rPr>
        <w:t>significant variances in the type and purpose</w:t>
      </w:r>
      <w:r>
        <w:rPr>
          <w:rFonts w:ascii="Segoe UI"/>
          <w:color w:val="231F20"/>
        </w:rPr>
        <w:t> </w:t>
      </w:r>
      <w:r>
        <w:rPr>
          <w:color w:val="231F20"/>
        </w:rPr>
        <w:t>of</w:t>
      </w:r>
      <w:r>
        <w:rPr>
          <w:color w:val="231F20"/>
          <w:spacing w:val="-5"/>
        </w:rPr>
        <w:t> </w:t>
      </w:r>
      <w:r>
        <w:rPr>
          <w:color w:val="231F20"/>
        </w:rPr>
        <w:t>boarding</w:t>
      </w:r>
      <w:r>
        <w:rPr>
          <w:color w:val="231F20"/>
          <w:spacing w:val="-5"/>
        </w:rPr>
        <w:t> </w:t>
      </w:r>
      <w:r>
        <w:rPr>
          <w:color w:val="231F20"/>
        </w:rPr>
        <w:t>at</w:t>
      </w:r>
      <w:r>
        <w:rPr>
          <w:color w:val="231F20"/>
          <w:spacing w:val="-5"/>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28"/>
          <w:w w:val="99"/>
        </w:rPr>
        <w:t> </w:t>
      </w:r>
      <w:r>
        <w:rPr>
          <w:color w:val="231F20"/>
          <w:spacing w:val="-1"/>
        </w:rPr>
        <w:t>Islander</w:t>
      </w:r>
      <w:r>
        <w:rPr>
          <w:color w:val="231F20"/>
          <w:spacing w:val="-10"/>
        </w:rPr>
        <w:t> </w:t>
      </w:r>
      <w:r>
        <w:rPr>
          <w:color w:val="231F20"/>
        </w:rPr>
        <w:t>boarding</w:t>
      </w:r>
      <w:r>
        <w:rPr>
          <w:color w:val="231F20"/>
          <w:spacing w:val="-10"/>
        </w:rPr>
        <w:t> </w:t>
      </w:r>
      <w:r>
        <w:rPr>
          <w:color w:val="231F20"/>
        </w:rPr>
        <w:t>providers.</w:t>
      </w:r>
      <w:r>
        <w:rPr>
          <w:color w:val="231F20"/>
          <w:spacing w:val="-10"/>
        </w:rPr>
        <w:t> </w:t>
      </w:r>
      <w:r>
        <w:rPr>
          <w:color w:val="231F20"/>
        </w:rPr>
        <w:t>One</w:t>
      </w:r>
      <w:r>
        <w:rPr>
          <w:color w:val="231F20"/>
          <w:spacing w:val="-10"/>
        </w:rPr>
        <w:t> </w:t>
      </w:r>
      <w:r>
        <w:rPr>
          <w:color w:val="231F20"/>
        </w:rPr>
        <w:t>Aboriginal</w:t>
      </w:r>
      <w:r>
        <w:rPr/>
      </w:r>
    </w:p>
    <w:p>
      <w:pPr>
        <w:pStyle w:val="BodyText"/>
        <w:spacing w:line="250" w:lineRule="exact"/>
        <w:ind w:left="100" w:right="0"/>
        <w:jc w:val="left"/>
      </w:pPr>
      <w:r>
        <w:rPr>
          <w:color w:val="231F20"/>
        </w:rPr>
        <w:t>and</w:t>
      </w:r>
      <w:r>
        <w:rPr>
          <w:color w:val="231F20"/>
          <w:spacing w:val="-6"/>
        </w:rPr>
        <w:t> </w:t>
      </w:r>
      <w:r>
        <w:rPr>
          <w:color w:val="231F20"/>
          <w:spacing w:val="-5"/>
        </w:rPr>
        <w:t>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4"/>
        </w:rPr>
        <w:t> </w:t>
      </w:r>
      <w:r>
        <w:rPr>
          <w:color w:val="231F20"/>
        </w:rPr>
        <w:t>boarding</w:t>
      </w:r>
      <w:r>
        <w:rPr>
          <w:color w:val="231F20"/>
          <w:spacing w:val="-5"/>
        </w:rPr>
        <w:t> </w:t>
      </w:r>
      <w:r>
        <w:rPr>
          <w:color w:val="231F20"/>
          <w:spacing w:val="-1"/>
        </w:rPr>
        <w:t>school</w:t>
      </w:r>
      <w:r>
        <w:rPr>
          <w:color w:val="231F20"/>
          <w:spacing w:val="-4"/>
        </w:rPr>
        <w:t> </w:t>
      </w:r>
      <w:r>
        <w:rPr>
          <w:color w:val="231F20"/>
        </w:rPr>
        <w:t>(the</w:t>
      </w:r>
      <w:r>
        <w:rPr>
          <w:color w:val="231F20"/>
          <w:spacing w:val="23"/>
          <w:w w:val="99"/>
        </w:rPr>
        <w:t> </w:t>
      </w:r>
      <w:r>
        <w:rPr>
          <w:color w:val="231F20"/>
        </w:rPr>
        <w:t>boarding</w:t>
      </w:r>
      <w:r>
        <w:rPr>
          <w:color w:val="231F20"/>
          <w:spacing w:val="-5"/>
        </w:rPr>
        <w:t> </w:t>
      </w:r>
      <w:r>
        <w:rPr>
          <w:color w:val="231F20"/>
        </w:rPr>
        <w:t>residence</w:t>
      </w:r>
      <w:r>
        <w:rPr>
          <w:color w:val="231F20"/>
          <w:spacing w:val="-6"/>
        </w:rPr>
        <w:t> </w:t>
      </w:r>
      <w:r>
        <w:rPr>
          <w:color w:val="231F20"/>
          <w:spacing w:val="-1"/>
        </w:rPr>
        <w:t>is</w:t>
      </w:r>
      <w:r>
        <w:rPr>
          <w:color w:val="231F20"/>
          <w:spacing w:val="-5"/>
        </w:rPr>
        <w:t> </w:t>
      </w:r>
      <w:r>
        <w:rPr>
          <w:color w:val="231F20"/>
        </w:rPr>
        <w:t>part</w:t>
      </w:r>
      <w:r>
        <w:rPr>
          <w:color w:val="231F20"/>
          <w:spacing w:val="-3"/>
        </w:rPr>
        <w:t> </w:t>
      </w:r>
      <w:r>
        <w:rPr>
          <w:color w:val="231F20"/>
        </w:rPr>
        <w:t>of</w:t>
      </w:r>
      <w:r>
        <w:rPr>
          <w:color w:val="231F20"/>
          <w:spacing w:val="-4"/>
        </w:rPr>
        <w:t> </w:t>
      </w:r>
      <w:r>
        <w:rPr>
          <w:color w:val="231F20"/>
        </w:rPr>
        <w:t>a</w:t>
      </w:r>
      <w:r>
        <w:rPr>
          <w:color w:val="231F20"/>
          <w:spacing w:val="-4"/>
        </w:rPr>
        <w:t> </w:t>
      </w:r>
      <w:r>
        <w:rPr>
          <w:color w:val="231F20"/>
          <w:spacing w:val="-1"/>
        </w:rPr>
        <w:t>school)</w:t>
      </w:r>
      <w:r>
        <w:rPr>
          <w:color w:val="231F20"/>
          <w:spacing w:val="-4"/>
        </w:rPr>
        <w:t> </w:t>
      </w:r>
      <w:r>
        <w:rPr>
          <w:color w:val="231F20"/>
          <w:spacing w:val="-1"/>
        </w:rPr>
        <w:t>in</w:t>
      </w:r>
      <w:r>
        <w:rPr>
          <w:color w:val="231F20"/>
          <w:spacing w:val="-4"/>
        </w:rPr>
        <w:t> </w:t>
      </w:r>
      <w:r>
        <w:rPr>
          <w:color w:val="231F20"/>
        </w:rPr>
        <w:t>a</w:t>
      </w:r>
      <w:r>
        <w:rPr>
          <w:color w:val="231F20"/>
          <w:spacing w:val="24"/>
          <w:w w:val="99"/>
        </w:rPr>
        <w:t> </w:t>
      </w:r>
      <w:r>
        <w:rPr>
          <w:color w:val="231F20"/>
        </w:rPr>
        <w:t>remote</w:t>
      </w:r>
      <w:r>
        <w:rPr>
          <w:color w:val="231F20"/>
          <w:spacing w:val="-6"/>
        </w:rPr>
        <w:t> </w:t>
      </w:r>
      <w:r>
        <w:rPr>
          <w:color w:val="231F20"/>
          <w:spacing w:val="-1"/>
        </w:rPr>
        <w:t>location</w:t>
      </w:r>
      <w:r>
        <w:rPr>
          <w:color w:val="231F20"/>
          <w:spacing w:val="-5"/>
        </w:rPr>
        <w:t> </w:t>
      </w:r>
      <w:r>
        <w:rPr>
          <w:color w:val="231F20"/>
        </w:rPr>
        <w:t>has</w:t>
      </w:r>
      <w:r>
        <w:rPr>
          <w:color w:val="231F20"/>
          <w:spacing w:val="-5"/>
        </w:rPr>
        <w:t> </w:t>
      </w:r>
      <w:r>
        <w:rPr>
          <w:color w:val="231F20"/>
        </w:rPr>
        <w:t>undertaken</w:t>
      </w:r>
      <w:r>
        <w:rPr>
          <w:color w:val="231F20"/>
          <w:spacing w:val="-6"/>
        </w:rPr>
        <w:t> </w:t>
      </w:r>
      <w:r>
        <w:rPr>
          <w:color w:val="231F20"/>
        </w:rPr>
        <w:t>an</w:t>
      </w:r>
      <w:r>
        <w:rPr>
          <w:color w:val="231F20"/>
          <w:spacing w:val="-5"/>
        </w:rPr>
        <w:t> </w:t>
      </w:r>
      <w:r>
        <w:rPr>
          <w:color w:val="231F20"/>
        </w:rPr>
        <w:t>analysis</w:t>
      </w:r>
      <w:r>
        <w:rPr>
          <w:color w:val="231F20"/>
          <w:spacing w:val="-6"/>
        </w:rPr>
        <w:t> </w:t>
      </w:r>
      <w:r>
        <w:rPr>
          <w:color w:val="231F20"/>
        </w:rPr>
        <w:t>of</w:t>
      </w:r>
      <w:r>
        <w:rPr>
          <w:color w:val="231F20"/>
          <w:spacing w:val="22"/>
          <w:w w:val="99"/>
        </w:rPr>
        <w:t> </w:t>
      </w:r>
      <w:r>
        <w:rPr>
          <w:color w:val="231F20"/>
        </w:rPr>
        <w:t>the</w:t>
      </w:r>
      <w:r>
        <w:rPr>
          <w:color w:val="231F20"/>
          <w:spacing w:val="-5"/>
        </w:rPr>
        <w:t> </w:t>
      </w:r>
      <w:r>
        <w:rPr>
          <w:color w:val="231F20"/>
        </w:rPr>
        <w:t>critical</w:t>
      </w:r>
      <w:r>
        <w:rPr>
          <w:color w:val="231F20"/>
          <w:spacing w:val="-5"/>
        </w:rPr>
        <w:t> </w:t>
      </w:r>
      <w:r>
        <w:rPr>
          <w:color w:val="231F20"/>
          <w:spacing w:val="-1"/>
        </w:rPr>
        <w:t>mass</w:t>
      </w:r>
      <w:r>
        <w:rPr>
          <w:color w:val="231F20"/>
          <w:spacing w:val="-4"/>
        </w:rPr>
        <w:t> </w:t>
      </w:r>
      <w:r>
        <w:rPr>
          <w:color w:val="231F20"/>
        </w:rPr>
        <w:t>required</w:t>
      </w:r>
      <w:r>
        <w:rPr>
          <w:color w:val="231F20"/>
          <w:spacing w:val="-5"/>
        </w:rPr>
        <w:t> </w:t>
      </w:r>
      <w:r>
        <w:rPr>
          <w:color w:val="231F20"/>
        </w:rPr>
        <w:t>for</w:t>
      </w:r>
      <w:r>
        <w:rPr>
          <w:color w:val="231F20"/>
          <w:spacing w:val="-4"/>
        </w:rPr>
        <w:t> </w:t>
      </w:r>
      <w:r>
        <w:rPr>
          <w:color w:val="231F20"/>
        </w:rPr>
        <w:t>a</w:t>
      </w:r>
      <w:r>
        <w:rPr>
          <w:color w:val="231F20"/>
          <w:spacing w:val="-4"/>
        </w:rPr>
        <w:t> </w:t>
      </w:r>
      <w:r>
        <w:rPr>
          <w:color w:val="231F20"/>
        </w:rPr>
        <w:t>viable</w:t>
      </w:r>
      <w:r>
        <w:rPr>
          <w:color w:val="231F20"/>
          <w:spacing w:val="-4"/>
        </w:rPr>
        <w:t> </w:t>
      </w:r>
      <w:r>
        <w:rPr>
          <w:color w:val="231F20"/>
        </w:rPr>
        <w:t>boarding</w:t>
      </w:r>
      <w:r>
        <w:rPr>
          <w:color w:val="231F20"/>
          <w:spacing w:val="21"/>
          <w:w w:val="99"/>
        </w:rPr>
        <w:t> </w:t>
      </w:r>
      <w:r>
        <w:rPr>
          <w:color w:val="231F20"/>
        </w:rPr>
        <w:t>house</w:t>
      </w:r>
      <w:r>
        <w:rPr>
          <w:color w:val="231F20"/>
          <w:spacing w:val="-5"/>
        </w:rPr>
        <w:t> </w:t>
      </w:r>
      <w:r>
        <w:rPr>
          <w:color w:val="231F20"/>
        </w:rPr>
        <w:t>and</w:t>
      </w:r>
      <w:r>
        <w:rPr>
          <w:color w:val="231F20"/>
          <w:spacing w:val="-5"/>
        </w:rPr>
        <w:t> </w:t>
      </w:r>
      <w:r>
        <w:rPr>
          <w:color w:val="231F20"/>
        </w:rPr>
        <w:t>calculated</w:t>
      </w:r>
      <w:r>
        <w:rPr>
          <w:color w:val="231F20"/>
          <w:spacing w:val="-5"/>
        </w:rPr>
        <w:t> </w:t>
      </w:r>
      <w:r>
        <w:rPr>
          <w:color w:val="231F20"/>
        </w:rPr>
        <w:t>that</w:t>
      </w:r>
      <w:r>
        <w:rPr>
          <w:color w:val="231F20"/>
          <w:spacing w:val="-5"/>
        </w:rPr>
        <w:t> </w:t>
      </w:r>
      <w:r>
        <w:rPr>
          <w:color w:val="231F20"/>
          <w:spacing w:val="-1"/>
        </w:rPr>
        <w:t>it</w:t>
      </w:r>
      <w:r>
        <w:rPr>
          <w:color w:val="231F20"/>
          <w:spacing w:val="-4"/>
        </w:rPr>
        <w:t> </w:t>
      </w:r>
      <w:r>
        <w:rPr>
          <w:color w:val="231F20"/>
        </w:rPr>
        <w:t>requires</w:t>
      </w:r>
      <w:r>
        <w:rPr>
          <w:color w:val="231F20"/>
          <w:spacing w:val="-4"/>
        </w:rPr>
        <w:t> </w:t>
      </w:r>
      <w:r>
        <w:rPr>
          <w:color w:val="231F20"/>
          <w:spacing w:val="-1"/>
        </w:rPr>
        <w:t>48</w:t>
      </w:r>
      <w:r>
        <w:rPr>
          <w:color w:val="231F20"/>
          <w:spacing w:val="20"/>
        </w:rPr>
        <w:t> </w:t>
      </w:r>
      <w:r>
        <w:rPr>
          <w:color w:val="231F20"/>
        </w:rPr>
        <w:t>boarders</w:t>
      </w:r>
      <w:r>
        <w:rPr>
          <w:color w:val="231F20"/>
          <w:spacing w:val="-6"/>
        </w:rPr>
        <w:t> </w:t>
      </w:r>
      <w:r>
        <w:rPr>
          <w:color w:val="231F20"/>
        </w:rPr>
        <w:t>at</w:t>
      </w:r>
      <w:r>
        <w:rPr>
          <w:color w:val="231F20"/>
          <w:spacing w:val="-4"/>
        </w:rPr>
        <w:t> </w:t>
      </w:r>
      <w:r>
        <w:rPr>
          <w:color w:val="231F20"/>
        </w:rPr>
        <w:t>that</w:t>
      </w:r>
      <w:r>
        <w:rPr>
          <w:color w:val="231F20"/>
          <w:spacing w:val="-5"/>
        </w:rPr>
        <w:t> </w:t>
      </w:r>
      <w:r>
        <w:rPr>
          <w:color w:val="231F20"/>
        </w:rPr>
        <w:t>particular</w:t>
      </w:r>
      <w:r>
        <w:rPr>
          <w:color w:val="231F20"/>
          <w:spacing w:val="-5"/>
        </w:rPr>
        <w:t> </w:t>
      </w:r>
      <w:r>
        <w:rPr>
          <w:color w:val="231F20"/>
          <w:spacing w:val="-1"/>
        </w:rPr>
        <w:t>school</w:t>
      </w:r>
      <w:r>
        <w:rPr>
          <w:color w:val="231F20"/>
          <w:spacing w:val="-5"/>
        </w:rPr>
        <w:t> </w:t>
      </w:r>
      <w:r>
        <w:rPr>
          <w:color w:val="231F20"/>
        </w:rPr>
        <w:t>for</w:t>
      </w:r>
      <w:r>
        <w:rPr>
          <w:color w:val="231F20"/>
          <w:spacing w:val="-4"/>
        </w:rPr>
        <w:t> </w:t>
      </w:r>
      <w:r>
        <w:rPr>
          <w:color w:val="231F20"/>
        </w:rPr>
        <w:t>a</w:t>
      </w:r>
      <w:r>
        <w:rPr>
          <w:color w:val="231F20"/>
          <w:spacing w:val="-4"/>
        </w:rPr>
        <w:t> </w:t>
      </w:r>
      <w:r>
        <w:rPr>
          <w:color w:val="231F20"/>
        </w:rPr>
        <w:t>break</w:t>
      </w:r>
      <w:r>
        <w:rPr>
          <w:color w:val="231F20"/>
          <w:spacing w:val="21"/>
          <w:w w:val="99"/>
        </w:rPr>
        <w:t> </w:t>
      </w:r>
      <w:r>
        <w:rPr>
          <w:color w:val="231F20"/>
        </w:rPr>
        <w:t>even</w:t>
      </w:r>
      <w:r>
        <w:rPr>
          <w:color w:val="231F20"/>
          <w:spacing w:val="-5"/>
        </w:rPr>
        <w:t> </w:t>
      </w:r>
      <w:r>
        <w:rPr>
          <w:color w:val="231F20"/>
        </w:rPr>
        <w:t>position.</w:t>
      </w:r>
      <w:r>
        <w:rPr>
          <w:color w:val="231F20"/>
          <w:spacing w:val="-5"/>
        </w:rPr>
        <w:t> </w:t>
      </w:r>
      <w:r>
        <w:rPr>
          <w:color w:val="231F20"/>
        </w:rPr>
        <w:t>However,</w:t>
      </w:r>
      <w:r>
        <w:rPr>
          <w:color w:val="231F20"/>
          <w:spacing w:val="-3"/>
        </w:rPr>
        <w:t> </w:t>
      </w:r>
      <w:r>
        <w:rPr>
          <w:color w:val="231F20"/>
        </w:rPr>
        <w:t>this</w:t>
      </w:r>
      <w:r>
        <w:rPr>
          <w:color w:val="231F20"/>
          <w:spacing w:val="-5"/>
        </w:rPr>
        <w:t> </w:t>
      </w:r>
      <w:r>
        <w:rPr>
          <w:color w:val="231F20"/>
        </w:rPr>
        <w:t>number</w:t>
      </w:r>
      <w:r>
        <w:rPr>
          <w:color w:val="231F20"/>
          <w:spacing w:val="-4"/>
        </w:rPr>
        <w:t> </w:t>
      </w:r>
      <w:r>
        <w:rPr>
          <w:color w:val="231F20"/>
        </w:rPr>
        <w:t>will</w:t>
      </w:r>
      <w:r>
        <w:rPr>
          <w:color w:val="231F20"/>
          <w:spacing w:val="-5"/>
        </w:rPr>
        <w:t> </w:t>
      </w:r>
      <w:r>
        <w:rPr>
          <w:color w:val="231F20"/>
        </w:rPr>
        <w:t>be</w:t>
      </w:r>
      <w:r>
        <w:rPr>
          <w:color w:val="231F20"/>
          <w:w w:val="99"/>
        </w:rPr>
        <w:t> </w:t>
      </w:r>
      <w:r>
        <w:rPr>
          <w:rFonts w:ascii="Segoe UI"/>
          <w:color w:val="231F20"/>
        </w:rPr>
        <w:t>very</w:t>
      </w:r>
      <w:r>
        <w:rPr>
          <w:rFonts w:ascii="Segoe UI"/>
          <w:color w:val="231F20"/>
          <w:spacing w:val="-2"/>
        </w:rPr>
        <w:t> </w:t>
      </w:r>
      <w:r>
        <w:rPr>
          <w:rFonts w:ascii="Segoe UI"/>
          <w:color w:val="231F20"/>
        </w:rPr>
        <w:t>different</w:t>
      </w:r>
      <w:r>
        <w:rPr>
          <w:rFonts w:ascii="Segoe UI"/>
          <w:color w:val="231F20"/>
          <w:spacing w:val="-1"/>
        </w:rPr>
        <w:t> </w:t>
      </w:r>
      <w:r>
        <w:rPr>
          <w:rFonts w:ascii="Segoe UI"/>
          <w:color w:val="231F20"/>
        </w:rPr>
        <w:t>for</w:t>
      </w:r>
      <w:r>
        <w:rPr>
          <w:rFonts w:ascii="Segoe UI"/>
          <w:color w:val="231F20"/>
          <w:spacing w:val="-1"/>
        </w:rPr>
        <w:t> </w:t>
      </w:r>
      <w:r>
        <w:rPr>
          <w:rFonts w:ascii="Segoe UI"/>
          <w:color w:val="231F20"/>
        </w:rPr>
        <w:t>other</w:t>
      </w:r>
      <w:r>
        <w:rPr>
          <w:rFonts w:ascii="Segoe UI"/>
          <w:color w:val="231F20"/>
          <w:spacing w:val="-1"/>
        </w:rPr>
        <w:t> </w:t>
      </w:r>
      <w:r>
        <w:rPr>
          <w:rFonts w:ascii="Segoe UI"/>
          <w:color w:val="231F20"/>
        </w:rPr>
        <w:t>boarding</w:t>
      </w:r>
      <w:r>
        <w:rPr>
          <w:rFonts w:ascii="Segoe UI"/>
          <w:color w:val="231F20"/>
          <w:spacing w:val="-2"/>
        </w:rPr>
        <w:t> </w:t>
      </w:r>
      <w:r>
        <w:rPr>
          <w:rFonts w:ascii="Segoe UI"/>
          <w:color w:val="231F20"/>
        </w:rPr>
        <w:t>providers</w:t>
      </w:r>
      <w:r>
        <w:rPr>
          <w:rFonts w:ascii="Segoe UI"/>
          <w:color w:val="231F20"/>
          <w:spacing w:val="-1"/>
        </w:rPr>
        <w:t> </w:t>
      </w:r>
      <w:r>
        <w:rPr>
          <w:rFonts w:ascii="Segoe UI"/>
          <w:color w:val="231F20"/>
        </w:rPr>
        <w:t>as</w:t>
      </w:r>
      <w:r>
        <w:rPr>
          <w:rFonts w:ascii="Segoe UI"/>
          <w:color w:val="231F20"/>
        </w:rPr>
        <w:t> the boarding revenue, cost and loss figures </w:t>
      </w:r>
      <w:r>
        <w:rPr>
          <w:color w:val="231F20"/>
        </w:rPr>
        <w:t>vary</w:t>
      </w:r>
      <w:r>
        <w:rPr>
          <w:color w:val="231F20"/>
          <w:spacing w:val="-7"/>
        </w:rPr>
        <w:t> </w:t>
      </w:r>
      <w:r>
        <w:rPr>
          <w:color w:val="231F20"/>
        </w:rPr>
        <w:t>from</w:t>
      </w:r>
      <w:r>
        <w:rPr>
          <w:color w:val="231F20"/>
          <w:spacing w:val="-7"/>
        </w:rPr>
        <w:t> </w:t>
      </w:r>
      <w:r>
        <w:rPr>
          <w:color w:val="231F20"/>
        </w:rPr>
        <w:t>boarding</w:t>
      </w:r>
      <w:r>
        <w:rPr>
          <w:color w:val="231F20"/>
          <w:spacing w:val="-7"/>
        </w:rPr>
        <w:t> </w:t>
      </w:r>
      <w:r>
        <w:rPr>
          <w:color w:val="231F20"/>
        </w:rPr>
        <w:t>provider</w:t>
      </w:r>
      <w:r>
        <w:rPr>
          <w:color w:val="231F20"/>
          <w:spacing w:val="-8"/>
        </w:rPr>
        <w:t> </w:t>
      </w:r>
      <w:r>
        <w:rPr>
          <w:color w:val="231F20"/>
        </w:rPr>
        <w:t>to</w:t>
      </w:r>
      <w:r>
        <w:rPr>
          <w:color w:val="231F20"/>
          <w:spacing w:val="-7"/>
        </w:rPr>
        <w:t> </w:t>
      </w:r>
      <w:r>
        <w:rPr>
          <w:color w:val="231F20"/>
        </w:rPr>
        <w:t>boarding</w:t>
      </w:r>
      <w:r>
        <w:rPr>
          <w:color w:val="231F20"/>
          <w:w w:val="99"/>
        </w:rPr>
        <w:t> </w:t>
      </w:r>
      <w:r>
        <w:rPr>
          <w:color w:val="231F20"/>
        </w:rPr>
        <w:t>provider.</w:t>
      </w:r>
      <w:r>
        <w:rPr/>
      </w:r>
    </w:p>
    <w:p>
      <w:pPr>
        <w:pStyle w:val="BodyText"/>
        <w:spacing w:line="250" w:lineRule="exact" w:before="62"/>
        <w:ind w:left="100" w:right="124"/>
        <w:jc w:val="left"/>
      </w:pPr>
      <w:r>
        <w:rPr/>
        <w:br w:type="column"/>
      </w:r>
      <w:r>
        <w:rPr>
          <w:color w:val="231F20"/>
        </w:rPr>
        <w:t>As</w:t>
      </w:r>
      <w:r>
        <w:rPr>
          <w:color w:val="231F20"/>
          <w:spacing w:val="-5"/>
        </w:rPr>
        <w:t> </w:t>
      </w:r>
      <w:r>
        <w:rPr>
          <w:color w:val="231F20"/>
        </w:rPr>
        <w:t>referred</w:t>
      </w:r>
      <w:r>
        <w:rPr>
          <w:color w:val="231F20"/>
          <w:spacing w:val="-5"/>
        </w:rPr>
        <w:t> </w:t>
      </w:r>
      <w:r>
        <w:rPr>
          <w:color w:val="231F20"/>
        </w:rPr>
        <w:t>to</w:t>
      </w:r>
      <w:r>
        <w:rPr>
          <w:color w:val="231F20"/>
          <w:spacing w:val="-3"/>
        </w:rPr>
        <w:t> </w:t>
      </w:r>
      <w:r>
        <w:rPr>
          <w:color w:val="231F20"/>
        </w:rPr>
        <w:t>previously</w:t>
      </w:r>
      <w:r>
        <w:rPr>
          <w:color w:val="231F20"/>
          <w:spacing w:val="-5"/>
        </w:rPr>
        <w:t> </w:t>
      </w:r>
      <w:r>
        <w:rPr>
          <w:color w:val="231F20"/>
          <w:spacing w:val="-1"/>
        </w:rPr>
        <w:t>in</w:t>
      </w:r>
      <w:r>
        <w:rPr>
          <w:color w:val="231F20"/>
          <w:spacing w:val="-3"/>
        </w:rPr>
        <w:t> </w:t>
      </w:r>
      <w:r>
        <w:rPr>
          <w:color w:val="231F20"/>
        </w:rPr>
        <w:t>this</w:t>
      </w:r>
      <w:r>
        <w:rPr>
          <w:color w:val="231F20"/>
          <w:spacing w:val="-5"/>
        </w:rPr>
        <w:t> </w:t>
      </w:r>
      <w:r>
        <w:rPr>
          <w:color w:val="231F20"/>
        </w:rPr>
        <w:t>part,</w:t>
      </w:r>
      <w:r>
        <w:rPr>
          <w:color w:val="231F20"/>
          <w:spacing w:val="-4"/>
        </w:rPr>
        <w:t> </w:t>
      </w:r>
      <w:r>
        <w:rPr>
          <w:color w:val="231F20"/>
        </w:rPr>
        <w:t>the</w:t>
      </w:r>
      <w:r>
        <w:rPr>
          <w:color w:val="231F20"/>
          <w:spacing w:val="-4"/>
        </w:rPr>
        <w:t> </w:t>
      </w:r>
      <w:r>
        <w:rPr>
          <w:color w:val="231F20"/>
        </w:rPr>
        <w:t>data</w:t>
      </w:r>
      <w:r>
        <w:rPr>
          <w:color w:val="231F20"/>
          <w:spacing w:val="21"/>
          <w:w w:val="99"/>
        </w:rPr>
        <w:t> </w:t>
      </w:r>
      <w:r>
        <w:rPr>
          <w:color w:val="231F20"/>
          <w:spacing w:val="-1"/>
        </w:rPr>
        <w:t>suggests</w:t>
      </w:r>
      <w:r>
        <w:rPr>
          <w:color w:val="231F20"/>
          <w:spacing w:val="-4"/>
        </w:rPr>
        <w:t> </w:t>
      </w:r>
      <w:r>
        <w:rPr>
          <w:color w:val="231F20"/>
        </w:rPr>
        <w:t>the</w:t>
      </w:r>
      <w:r>
        <w:rPr>
          <w:color w:val="231F20"/>
          <w:spacing w:val="-5"/>
        </w:rPr>
        <w:t> </w:t>
      </w:r>
      <w:r>
        <w:rPr>
          <w:color w:val="231F20"/>
        </w:rPr>
        <w:t>average</w:t>
      </w:r>
      <w:r>
        <w:rPr>
          <w:color w:val="231F20"/>
          <w:spacing w:val="-4"/>
        </w:rPr>
        <w:t> </w:t>
      </w:r>
      <w:r>
        <w:rPr>
          <w:color w:val="231F20"/>
        </w:rPr>
        <w:t>cost</w:t>
      </w:r>
      <w:r>
        <w:rPr>
          <w:color w:val="231F20"/>
          <w:spacing w:val="-5"/>
        </w:rPr>
        <w:t> </w:t>
      </w:r>
      <w:r>
        <w:rPr>
          <w:color w:val="231F20"/>
        </w:rPr>
        <w:t>per</w:t>
      </w:r>
      <w:r>
        <w:rPr>
          <w:color w:val="231F20"/>
          <w:spacing w:val="-4"/>
        </w:rPr>
        <w:t> </w:t>
      </w:r>
      <w:r>
        <w:rPr>
          <w:color w:val="231F20"/>
        </w:rPr>
        <w:t>boarder</w:t>
      </w:r>
      <w:r>
        <w:rPr>
          <w:color w:val="231F20"/>
          <w:spacing w:val="-3"/>
        </w:rPr>
        <w:t> </w:t>
      </w:r>
      <w:r>
        <w:rPr>
          <w:color w:val="231F20"/>
          <w:spacing w:val="-1"/>
        </w:rPr>
        <w:t>is</w:t>
      </w:r>
      <w:r>
        <w:rPr>
          <w:color w:val="231F20"/>
          <w:spacing w:val="-5"/>
        </w:rPr>
        <w:t> </w:t>
      </w:r>
      <w:r>
        <w:rPr>
          <w:color w:val="231F20"/>
        </w:rPr>
        <w:t>higher</w:t>
      </w:r>
      <w:r>
        <w:rPr>
          <w:color w:val="231F20"/>
          <w:spacing w:val="23"/>
          <w:w w:val="99"/>
        </w:rPr>
        <w:t> </w:t>
      </w:r>
      <w:r>
        <w:rPr>
          <w:color w:val="231F20"/>
        </w:rPr>
        <w:t>for</w:t>
      </w:r>
      <w:r>
        <w:rPr>
          <w:color w:val="231F20"/>
          <w:spacing w:val="-5"/>
        </w:rPr>
        <w:t> </w:t>
      </w:r>
      <w:r>
        <w:rPr>
          <w:color w:val="231F20"/>
          <w:spacing w:val="-1"/>
        </w:rPr>
        <w:t>smaller</w:t>
      </w:r>
      <w:r>
        <w:rPr>
          <w:color w:val="231F20"/>
          <w:spacing w:val="-4"/>
        </w:rPr>
        <w:t> </w:t>
      </w:r>
      <w:r>
        <w:rPr>
          <w:color w:val="231F20"/>
        </w:rPr>
        <w:t>Aboriginal</w:t>
      </w:r>
      <w:r>
        <w:rPr>
          <w:color w:val="231F20"/>
          <w:spacing w:val="-4"/>
        </w:rPr>
        <w:t> </w:t>
      </w:r>
      <w:r>
        <w:rPr>
          <w:color w:val="231F20"/>
        </w:rPr>
        <w:t>and</w:t>
      </w:r>
      <w:r>
        <w:rPr>
          <w:color w:val="231F20"/>
          <w:spacing w:val="-5"/>
        </w:rPr>
        <w:t> 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20"/>
          <w:w w:val="99"/>
        </w:rPr>
        <w:t> </w:t>
      </w:r>
      <w:r>
        <w:rPr>
          <w:color w:val="231F20"/>
        </w:rPr>
        <w:t>boarding</w:t>
      </w:r>
      <w:r>
        <w:rPr>
          <w:color w:val="231F20"/>
          <w:spacing w:val="-7"/>
        </w:rPr>
        <w:t> </w:t>
      </w:r>
      <w:r>
        <w:rPr>
          <w:color w:val="231F20"/>
        </w:rPr>
        <w:t>providers.</w:t>
      </w:r>
      <w:r>
        <w:rPr>
          <w:color w:val="231F20"/>
          <w:spacing w:val="-7"/>
        </w:rPr>
        <w:t> </w:t>
      </w:r>
      <w:r>
        <w:rPr>
          <w:color w:val="231F20"/>
        </w:rPr>
        <w:t>The</w:t>
      </w:r>
      <w:r>
        <w:rPr>
          <w:color w:val="231F20"/>
          <w:spacing w:val="-6"/>
        </w:rPr>
        <w:t> </w:t>
      </w:r>
      <w:r>
        <w:rPr>
          <w:color w:val="231F20"/>
        </w:rPr>
        <w:t>average</w:t>
      </w:r>
      <w:r>
        <w:rPr>
          <w:color w:val="231F20"/>
          <w:spacing w:val="-6"/>
        </w:rPr>
        <w:t> </w:t>
      </w:r>
      <w:r>
        <w:rPr>
          <w:color w:val="231F20"/>
        </w:rPr>
        <w:t>cost</w:t>
      </w:r>
      <w:r>
        <w:rPr>
          <w:color w:val="231F20"/>
          <w:spacing w:val="-7"/>
        </w:rPr>
        <w:t> </w:t>
      </w:r>
      <w:r>
        <w:rPr>
          <w:color w:val="231F20"/>
        </w:rPr>
        <w:t>of</w:t>
      </w:r>
      <w:r>
        <w:rPr>
          <w:color w:val="231F20"/>
          <w:w w:val="99"/>
        </w:rPr>
        <w:t> </w:t>
      </w:r>
      <w:r>
        <w:rPr>
          <w:color w:val="231F20"/>
        </w:rPr>
        <w:t>boarding</w:t>
      </w:r>
      <w:r>
        <w:rPr>
          <w:color w:val="231F20"/>
          <w:spacing w:val="-6"/>
        </w:rPr>
        <w:t> </w:t>
      </w:r>
      <w:r>
        <w:rPr>
          <w:color w:val="231F20"/>
        </w:rPr>
        <w:t>at</w:t>
      </w:r>
      <w:r>
        <w:rPr>
          <w:color w:val="231F20"/>
          <w:spacing w:val="-5"/>
        </w:rPr>
        <w:t> </w:t>
      </w:r>
      <w:r>
        <w:rPr>
          <w:color w:val="231F20"/>
        </w:rPr>
        <w:t>very</w:t>
      </w:r>
      <w:r>
        <w:rPr>
          <w:color w:val="231F20"/>
          <w:spacing w:val="-5"/>
        </w:rPr>
        <w:t> </w:t>
      </w:r>
      <w:r>
        <w:rPr>
          <w:color w:val="231F20"/>
          <w:spacing w:val="-1"/>
        </w:rPr>
        <w:t>small</w:t>
      </w:r>
      <w:r>
        <w:rPr>
          <w:color w:val="231F20"/>
          <w:spacing w:val="-5"/>
        </w:rPr>
        <w:t> </w:t>
      </w:r>
      <w:r>
        <w:rPr>
          <w:color w:val="231F20"/>
        </w:rPr>
        <w:t>boarding</w:t>
      </w:r>
      <w:r>
        <w:rPr>
          <w:color w:val="231F20"/>
          <w:spacing w:val="-6"/>
        </w:rPr>
        <w:t> </w:t>
      </w:r>
      <w:r>
        <w:rPr>
          <w:color w:val="231F20"/>
        </w:rPr>
        <w:t>providers</w:t>
      </w:r>
      <w:r>
        <w:rPr>
          <w:color w:val="231F20"/>
          <w:spacing w:val="-6"/>
        </w:rPr>
        <w:t> </w:t>
      </w:r>
      <w:r>
        <w:rPr>
          <w:color w:val="231F20"/>
        </w:rPr>
        <w:t>(less</w:t>
      </w:r>
      <w:r>
        <w:rPr>
          <w:color w:val="231F20"/>
          <w:spacing w:val="21"/>
        </w:rPr>
        <w:t> </w:t>
      </w:r>
      <w:r>
        <w:rPr>
          <w:color w:val="231F20"/>
        </w:rPr>
        <w:t>than</w:t>
      </w:r>
      <w:r>
        <w:rPr>
          <w:color w:val="231F20"/>
          <w:spacing w:val="-7"/>
        </w:rPr>
        <w:t> </w:t>
      </w:r>
      <w:r>
        <w:rPr>
          <w:color w:val="231F20"/>
          <w:spacing w:val="-1"/>
        </w:rPr>
        <w:t>50</w:t>
      </w:r>
      <w:r>
        <w:rPr>
          <w:color w:val="231F20"/>
          <w:spacing w:val="-5"/>
        </w:rPr>
        <w:t> </w:t>
      </w:r>
      <w:r>
        <w:rPr>
          <w:color w:val="231F20"/>
          <w:spacing w:val="-1"/>
        </w:rPr>
        <w:t>students)</w:t>
      </w:r>
      <w:r>
        <w:rPr>
          <w:color w:val="231F20"/>
          <w:spacing w:val="-4"/>
        </w:rPr>
        <w:t> </w:t>
      </w:r>
      <w:r>
        <w:rPr>
          <w:color w:val="231F20"/>
        </w:rPr>
        <w:t>and</w:t>
      </w:r>
      <w:r>
        <w:rPr>
          <w:color w:val="231F20"/>
          <w:spacing w:val="-7"/>
        </w:rPr>
        <w:t> </w:t>
      </w:r>
      <w:r>
        <w:rPr>
          <w:color w:val="231F20"/>
          <w:spacing w:val="-1"/>
        </w:rPr>
        <w:t>small</w:t>
      </w:r>
      <w:r>
        <w:rPr>
          <w:color w:val="231F20"/>
          <w:spacing w:val="-5"/>
        </w:rPr>
        <w:t> </w:t>
      </w:r>
      <w:r>
        <w:rPr>
          <w:color w:val="231F20"/>
        </w:rPr>
        <w:t>boarding</w:t>
      </w:r>
      <w:r>
        <w:rPr>
          <w:color w:val="231F20"/>
          <w:spacing w:val="-6"/>
        </w:rPr>
        <w:t> </w:t>
      </w:r>
      <w:r>
        <w:rPr>
          <w:color w:val="231F20"/>
        </w:rPr>
        <w:t>providers</w:t>
      </w:r>
      <w:r>
        <w:rPr>
          <w:color w:val="231F20"/>
          <w:spacing w:val="24"/>
          <w:w w:val="99"/>
        </w:rPr>
        <w:t> </w:t>
      </w:r>
      <w:r>
        <w:rPr>
          <w:color w:val="231F20"/>
        </w:rPr>
        <w:t>(50</w:t>
      </w:r>
      <w:r>
        <w:rPr>
          <w:color w:val="231F20"/>
          <w:spacing w:val="-4"/>
        </w:rPr>
        <w:t> </w:t>
      </w:r>
      <w:r>
        <w:rPr>
          <w:color w:val="231F20"/>
        </w:rPr>
        <w:t>–</w:t>
      </w:r>
      <w:r>
        <w:rPr>
          <w:color w:val="231F20"/>
          <w:spacing w:val="-2"/>
        </w:rPr>
        <w:t> </w:t>
      </w:r>
      <w:r>
        <w:rPr>
          <w:color w:val="231F20"/>
          <w:spacing w:val="-1"/>
        </w:rPr>
        <w:t>225</w:t>
      </w:r>
      <w:r>
        <w:rPr>
          <w:color w:val="231F20"/>
          <w:spacing w:val="-3"/>
        </w:rPr>
        <w:t> </w:t>
      </w:r>
      <w:r>
        <w:rPr>
          <w:color w:val="231F20"/>
          <w:spacing w:val="-1"/>
        </w:rPr>
        <w:t>students)</w:t>
      </w:r>
      <w:r>
        <w:rPr>
          <w:color w:val="231F20"/>
          <w:spacing w:val="-2"/>
        </w:rPr>
        <w:t> </w:t>
      </w:r>
      <w:r>
        <w:rPr>
          <w:color w:val="231F20"/>
        </w:rPr>
        <w:t>was</w:t>
      </w:r>
      <w:r>
        <w:rPr>
          <w:color w:val="231F20"/>
          <w:spacing w:val="-3"/>
        </w:rPr>
        <w:t> </w:t>
      </w:r>
      <w:r>
        <w:rPr>
          <w:color w:val="231F20"/>
          <w:spacing w:val="-1"/>
        </w:rPr>
        <w:t>$30,956</w:t>
      </w:r>
      <w:r>
        <w:rPr>
          <w:color w:val="231F20"/>
          <w:spacing w:val="-3"/>
        </w:rPr>
        <w:t> </w:t>
      </w:r>
      <w:r>
        <w:rPr>
          <w:color w:val="231F20"/>
        </w:rPr>
        <w:t>and</w:t>
      </w:r>
      <w:r>
        <w:rPr>
          <w:color w:val="231F20"/>
          <w:spacing w:val="-3"/>
        </w:rPr>
        <w:t> </w:t>
      </w:r>
      <w:r>
        <w:rPr>
          <w:color w:val="231F20"/>
          <w:spacing w:val="-1"/>
        </w:rPr>
        <w:t>$22,136</w:t>
      </w:r>
      <w:r>
        <w:rPr>
          <w:color w:val="231F20"/>
          <w:spacing w:val="23"/>
        </w:rPr>
        <w:t> </w:t>
      </w:r>
      <w:r>
        <w:rPr>
          <w:color w:val="231F20"/>
        </w:rPr>
        <w:t>respectively,</w:t>
      </w:r>
      <w:r>
        <w:rPr>
          <w:color w:val="231F20"/>
          <w:spacing w:val="-8"/>
        </w:rPr>
        <w:t> </w:t>
      </w:r>
      <w:r>
        <w:rPr>
          <w:color w:val="231F20"/>
        </w:rPr>
        <w:t>compared</w:t>
      </w:r>
      <w:r>
        <w:rPr>
          <w:color w:val="231F20"/>
          <w:spacing w:val="-7"/>
        </w:rPr>
        <w:t> </w:t>
      </w:r>
      <w:r>
        <w:rPr>
          <w:color w:val="231F20"/>
        </w:rPr>
        <w:t>to</w:t>
      </w:r>
      <w:r>
        <w:rPr>
          <w:color w:val="231F20"/>
          <w:spacing w:val="-5"/>
        </w:rPr>
        <w:t> </w:t>
      </w:r>
      <w:r>
        <w:rPr>
          <w:color w:val="231F20"/>
          <w:spacing w:val="-1"/>
        </w:rPr>
        <w:t>$16,845</w:t>
      </w:r>
      <w:r>
        <w:rPr>
          <w:color w:val="231F20"/>
          <w:spacing w:val="-6"/>
        </w:rPr>
        <w:t> </w:t>
      </w:r>
      <w:r>
        <w:rPr>
          <w:color w:val="231F20"/>
        </w:rPr>
        <w:t>for</w:t>
      </w:r>
      <w:r>
        <w:rPr>
          <w:color w:val="231F20"/>
          <w:spacing w:val="-6"/>
        </w:rPr>
        <w:t> </w:t>
      </w:r>
      <w:r>
        <w:rPr>
          <w:color w:val="231F20"/>
          <w:spacing w:val="-1"/>
        </w:rPr>
        <w:t>large</w:t>
      </w:r>
      <w:r>
        <w:rPr>
          <w:color w:val="231F20"/>
          <w:spacing w:val="21"/>
          <w:w w:val="99"/>
        </w:rPr>
        <w:t> </w:t>
      </w:r>
      <w:r>
        <w:rPr>
          <w:color w:val="231F20"/>
          <w:spacing w:val="-1"/>
        </w:rPr>
        <w:t>schools</w:t>
      </w:r>
      <w:r>
        <w:rPr>
          <w:color w:val="231F20"/>
          <w:spacing w:val="-5"/>
        </w:rPr>
        <w:t> </w:t>
      </w:r>
      <w:r>
        <w:rPr>
          <w:color w:val="231F20"/>
        </w:rPr>
        <w:t>(over</w:t>
      </w:r>
      <w:r>
        <w:rPr>
          <w:color w:val="231F20"/>
          <w:spacing w:val="-5"/>
        </w:rPr>
        <w:t> </w:t>
      </w:r>
      <w:r>
        <w:rPr>
          <w:color w:val="231F20"/>
          <w:spacing w:val="-1"/>
        </w:rPr>
        <w:t>600</w:t>
      </w:r>
      <w:r>
        <w:rPr>
          <w:color w:val="231F20"/>
          <w:spacing w:val="-5"/>
        </w:rPr>
        <w:t> </w:t>
      </w:r>
      <w:r>
        <w:rPr>
          <w:color w:val="231F20"/>
          <w:spacing w:val="-1"/>
        </w:rPr>
        <w:t>students).</w:t>
      </w:r>
      <w:r>
        <w:rPr/>
      </w:r>
    </w:p>
    <w:p>
      <w:pPr>
        <w:pStyle w:val="BodyText"/>
        <w:spacing w:line="250" w:lineRule="exact" w:before="113"/>
        <w:ind w:left="100" w:right="281"/>
        <w:jc w:val="left"/>
      </w:pPr>
      <w:r>
        <w:rPr>
          <w:color w:val="231F20"/>
          <w:spacing w:val="-1"/>
        </w:rPr>
        <w:t>When</w:t>
      </w:r>
      <w:r>
        <w:rPr>
          <w:color w:val="231F20"/>
          <w:spacing w:val="-4"/>
        </w:rPr>
        <w:t> </w:t>
      </w:r>
      <w:r>
        <w:rPr>
          <w:color w:val="231F20"/>
        </w:rPr>
        <w:t>comparing</w:t>
      </w:r>
      <w:r>
        <w:rPr>
          <w:color w:val="231F20"/>
          <w:spacing w:val="-5"/>
        </w:rPr>
        <w:t> </w:t>
      </w:r>
      <w:r>
        <w:rPr>
          <w:color w:val="231F20"/>
        </w:rPr>
        <w:t>the</w:t>
      </w:r>
      <w:r>
        <w:rPr>
          <w:color w:val="231F20"/>
          <w:spacing w:val="-4"/>
        </w:rPr>
        <w:t> </w:t>
      </w:r>
      <w:r>
        <w:rPr>
          <w:color w:val="231F20"/>
          <w:spacing w:val="-1"/>
        </w:rPr>
        <w:t>maximum</w:t>
      </w:r>
      <w:r>
        <w:rPr>
          <w:color w:val="231F20"/>
          <w:spacing w:val="-4"/>
        </w:rPr>
        <w:t> </w:t>
      </w:r>
      <w:r>
        <w:rPr>
          <w:color w:val="231F20"/>
        </w:rPr>
        <w:t>possible</w:t>
      </w:r>
      <w:r>
        <w:rPr>
          <w:color w:val="231F20"/>
          <w:spacing w:val="-4"/>
        </w:rPr>
        <w:t> </w:t>
      </w:r>
      <w:r>
        <w:rPr>
          <w:color w:val="231F20"/>
          <w:spacing w:val="-1"/>
        </w:rPr>
        <w:t>level</w:t>
      </w:r>
      <w:r>
        <w:rPr>
          <w:color w:val="231F20"/>
          <w:spacing w:val="22"/>
        </w:rPr>
        <w:t> </w:t>
      </w:r>
      <w:r>
        <w:rPr>
          <w:color w:val="231F20"/>
        </w:rPr>
        <w:t>of</w:t>
      </w:r>
      <w:r>
        <w:rPr>
          <w:color w:val="231F20"/>
          <w:spacing w:val="-1"/>
        </w:rPr>
        <w:t> </w:t>
      </w:r>
      <w:r>
        <w:rPr>
          <w:color w:val="231F20"/>
        </w:rPr>
        <w:t>ABSTUDY</w:t>
      </w:r>
      <w:r>
        <w:rPr>
          <w:color w:val="231F20"/>
          <w:spacing w:val="-1"/>
        </w:rPr>
        <w:t> in 2019</w:t>
      </w:r>
      <w:r>
        <w:rPr>
          <w:color w:val="231F20"/>
        </w:rPr>
        <w:t> of</w:t>
      </w:r>
      <w:r>
        <w:rPr>
          <w:color w:val="231F20"/>
          <w:spacing w:val="-1"/>
        </w:rPr>
        <w:t> $27,478</w:t>
      </w:r>
      <w:r>
        <w:rPr>
          <w:rFonts w:ascii="Segoe UI Semibold"/>
          <w:b/>
          <w:color w:val="231F20"/>
          <w:spacing w:val="-1"/>
          <w:position w:val="7"/>
          <w:sz w:val="11"/>
        </w:rPr>
        <w:t>187</w:t>
      </w:r>
      <w:r>
        <w:rPr>
          <w:rFonts w:ascii="Segoe UI Semibold"/>
          <w:b/>
          <w:color w:val="231F20"/>
          <w:spacing w:val="24"/>
          <w:position w:val="7"/>
          <w:sz w:val="11"/>
        </w:rPr>
        <w:t> </w:t>
      </w:r>
      <w:r>
        <w:rPr>
          <w:color w:val="231F20"/>
        </w:rPr>
        <w:t>against</w:t>
      </w:r>
      <w:r>
        <w:rPr>
          <w:color w:val="231F20"/>
          <w:spacing w:val="-1"/>
        </w:rPr>
        <w:t> </w:t>
      </w:r>
      <w:r>
        <w:rPr>
          <w:color w:val="231F20"/>
        </w:rPr>
        <w:t>the</w:t>
      </w:r>
      <w:r>
        <w:rPr>
          <w:color w:val="231F20"/>
          <w:spacing w:val="21"/>
          <w:w w:val="99"/>
        </w:rPr>
        <w:t> </w:t>
      </w:r>
      <w:r>
        <w:rPr>
          <w:color w:val="231F20"/>
        </w:rPr>
        <w:t>average</w:t>
      </w:r>
      <w:r>
        <w:rPr>
          <w:color w:val="231F20"/>
          <w:spacing w:val="-4"/>
        </w:rPr>
        <w:t> </w:t>
      </w:r>
      <w:r>
        <w:rPr>
          <w:color w:val="231F20"/>
        </w:rPr>
        <w:t>cost</w:t>
      </w:r>
      <w:r>
        <w:rPr>
          <w:color w:val="231F20"/>
          <w:spacing w:val="-4"/>
        </w:rPr>
        <w:t> </w:t>
      </w:r>
      <w:r>
        <w:rPr>
          <w:color w:val="231F20"/>
        </w:rPr>
        <w:t>of</w:t>
      </w:r>
      <w:r>
        <w:rPr>
          <w:color w:val="231F20"/>
          <w:spacing w:val="-3"/>
        </w:rPr>
        <w:t> </w:t>
      </w:r>
      <w:r>
        <w:rPr>
          <w:color w:val="231F20"/>
        </w:rPr>
        <w:t>boarding</w:t>
      </w:r>
      <w:r>
        <w:rPr>
          <w:color w:val="231F20"/>
          <w:spacing w:val="-4"/>
        </w:rPr>
        <w:t> </w:t>
      </w:r>
      <w:r>
        <w:rPr>
          <w:color w:val="231F20"/>
          <w:spacing w:val="-1"/>
        </w:rPr>
        <w:t>in</w:t>
      </w:r>
      <w:r>
        <w:rPr>
          <w:color w:val="231F20"/>
          <w:spacing w:val="-3"/>
        </w:rPr>
        <w:t> </w:t>
      </w:r>
      <w:r>
        <w:rPr>
          <w:color w:val="231F20"/>
          <w:spacing w:val="-1"/>
        </w:rPr>
        <w:t>small</w:t>
      </w:r>
      <w:r>
        <w:rPr>
          <w:color w:val="231F20"/>
          <w:spacing w:val="-3"/>
        </w:rPr>
        <w:t> </w:t>
      </w:r>
      <w:r>
        <w:rPr>
          <w:color w:val="231F20"/>
        </w:rPr>
        <w:t>and</w:t>
      </w:r>
      <w:r>
        <w:rPr>
          <w:color w:val="231F20"/>
          <w:spacing w:val="-4"/>
        </w:rPr>
        <w:t> </w:t>
      </w:r>
      <w:r>
        <w:rPr>
          <w:color w:val="231F20"/>
          <w:spacing w:val="-1"/>
        </w:rPr>
        <w:t>medium</w:t>
      </w:r>
      <w:r>
        <w:rPr>
          <w:color w:val="231F20"/>
          <w:spacing w:val="22"/>
        </w:rPr>
        <w:t> </w:t>
      </w:r>
      <w:r>
        <w:rPr>
          <w:color w:val="231F20"/>
        </w:rPr>
        <w:t>boarding</w:t>
      </w:r>
      <w:r>
        <w:rPr>
          <w:color w:val="231F20"/>
          <w:spacing w:val="-6"/>
        </w:rPr>
        <w:t> </w:t>
      </w:r>
      <w:r>
        <w:rPr>
          <w:color w:val="231F20"/>
        </w:rPr>
        <w:t>providers,</w:t>
      </w:r>
      <w:r>
        <w:rPr>
          <w:color w:val="231F20"/>
          <w:spacing w:val="-6"/>
        </w:rPr>
        <w:t> </w:t>
      </w:r>
      <w:r>
        <w:rPr>
          <w:color w:val="231F20"/>
        </w:rPr>
        <w:t>the</w:t>
      </w:r>
      <w:r>
        <w:rPr>
          <w:color w:val="231F20"/>
          <w:spacing w:val="-6"/>
        </w:rPr>
        <w:t> </w:t>
      </w:r>
      <w:r>
        <w:rPr>
          <w:color w:val="231F20"/>
        </w:rPr>
        <w:t>data</w:t>
      </w:r>
      <w:r>
        <w:rPr>
          <w:color w:val="231F20"/>
          <w:spacing w:val="-6"/>
        </w:rPr>
        <w:t> </w:t>
      </w:r>
      <w:r>
        <w:rPr>
          <w:color w:val="231F20"/>
          <w:spacing w:val="-1"/>
        </w:rPr>
        <w:t>suggests</w:t>
      </w:r>
      <w:r>
        <w:rPr>
          <w:color w:val="231F20"/>
          <w:spacing w:val="-5"/>
        </w:rPr>
        <w:t> </w:t>
      </w:r>
      <w:r>
        <w:rPr>
          <w:color w:val="231F20"/>
        </w:rPr>
        <w:t>that</w:t>
      </w:r>
      <w:r>
        <w:rPr>
          <w:color w:val="231F20"/>
          <w:spacing w:val="-6"/>
        </w:rPr>
        <w:t> </w:t>
      </w:r>
      <w:r>
        <w:rPr>
          <w:color w:val="231F20"/>
        </w:rPr>
        <w:t>the</w:t>
      </w:r>
      <w:r>
        <w:rPr>
          <w:color w:val="231F20"/>
          <w:spacing w:val="22"/>
          <w:w w:val="99"/>
        </w:rPr>
        <w:t> </w:t>
      </w:r>
      <w:r>
        <w:rPr>
          <w:color w:val="231F20"/>
        </w:rPr>
        <w:t>average</w:t>
      </w:r>
      <w:r>
        <w:rPr>
          <w:color w:val="231F20"/>
          <w:spacing w:val="-5"/>
        </w:rPr>
        <w:t> </w:t>
      </w:r>
      <w:r>
        <w:rPr>
          <w:color w:val="231F20"/>
        </w:rPr>
        <w:t>boarding</w:t>
      </w:r>
      <w:r>
        <w:rPr>
          <w:color w:val="231F20"/>
          <w:spacing w:val="-5"/>
        </w:rPr>
        <w:t> </w:t>
      </w:r>
      <w:r>
        <w:rPr>
          <w:color w:val="231F20"/>
        </w:rPr>
        <w:t>facility</w:t>
      </w:r>
      <w:r>
        <w:rPr>
          <w:color w:val="231F20"/>
          <w:spacing w:val="-5"/>
        </w:rPr>
        <w:t> </w:t>
      </w:r>
      <w:r>
        <w:rPr>
          <w:color w:val="231F20"/>
        </w:rPr>
        <w:t>with</w:t>
      </w:r>
      <w:r>
        <w:rPr>
          <w:color w:val="231F20"/>
          <w:spacing w:val="-5"/>
        </w:rPr>
        <w:t> </w:t>
      </w:r>
      <w:r>
        <w:rPr>
          <w:color w:val="231F20"/>
          <w:spacing w:val="-1"/>
        </w:rPr>
        <w:t>less</w:t>
      </w:r>
      <w:r>
        <w:rPr>
          <w:color w:val="231F20"/>
          <w:spacing w:val="-3"/>
        </w:rPr>
        <w:t> </w:t>
      </w:r>
      <w:r>
        <w:rPr>
          <w:color w:val="231F20"/>
        </w:rPr>
        <w:t>than</w:t>
      </w:r>
      <w:r>
        <w:rPr>
          <w:color w:val="231F20"/>
          <w:spacing w:val="-5"/>
        </w:rPr>
        <w:t> </w:t>
      </w:r>
      <w:r>
        <w:rPr>
          <w:color w:val="231F20"/>
          <w:spacing w:val="-1"/>
        </w:rPr>
        <w:t>225</w:t>
      </w:r>
      <w:r>
        <w:rPr>
          <w:color w:val="231F20"/>
          <w:spacing w:val="21"/>
        </w:rPr>
        <w:t> </w:t>
      </w:r>
      <w:r>
        <w:rPr>
          <w:color w:val="231F20"/>
        </w:rPr>
        <w:t>total</w:t>
      </w:r>
      <w:r>
        <w:rPr>
          <w:color w:val="231F20"/>
          <w:spacing w:val="-5"/>
        </w:rPr>
        <w:t> </w:t>
      </w:r>
      <w:r>
        <w:rPr>
          <w:color w:val="231F20"/>
          <w:spacing w:val="-1"/>
        </w:rPr>
        <w:t>students</w:t>
      </w:r>
      <w:r>
        <w:rPr>
          <w:color w:val="231F20"/>
          <w:spacing w:val="-4"/>
        </w:rPr>
        <w:t> </w:t>
      </w:r>
      <w:r>
        <w:rPr>
          <w:color w:val="231F20"/>
        </w:rPr>
        <w:t>will</w:t>
      </w:r>
      <w:r>
        <w:rPr>
          <w:color w:val="231F20"/>
          <w:spacing w:val="-5"/>
        </w:rPr>
        <w:t> </w:t>
      </w:r>
      <w:r>
        <w:rPr>
          <w:color w:val="231F20"/>
        </w:rPr>
        <w:t>require</w:t>
      </w:r>
      <w:r>
        <w:rPr>
          <w:color w:val="231F20"/>
          <w:spacing w:val="-5"/>
        </w:rPr>
        <w:t> </w:t>
      </w:r>
      <w:r>
        <w:rPr>
          <w:color w:val="231F20"/>
        </w:rPr>
        <w:t>additional</w:t>
      </w:r>
      <w:r>
        <w:rPr>
          <w:color w:val="231F20"/>
          <w:spacing w:val="-5"/>
        </w:rPr>
        <w:t> </w:t>
      </w:r>
      <w:r>
        <w:rPr>
          <w:color w:val="231F20"/>
          <w:spacing w:val="-1"/>
        </w:rPr>
        <w:t>sources</w:t>
      </w:r>
      <w:r>
        <w:rPr>
          <w:color w:val="231F20"/>
          <w:spacing w:val="-1"/>
        </w:rPr>
        <w:t> </w:t>
      </w:r>
      <w:r>
        <w:rPr>
          <w:color w:val="231F20"/>
          <w:spacing w:val="21"/>
        </w:rPr>
        <w:t> </w:t>
      </w:r>
      <w:r>
        <w:rPr>
          <w:color w:val="231F20"/>
        </w:rPr>
        <w:t>of</w:t>
      </w:r>
      <w:r>
        <w:rPr>
          <w:color w:val="231F20"/>
          <w:spacing w:val="-4"/>
        </w:rPr>
        <w:t> </w:t>
      </w:r>
      <w:r>
        <w:rPr>
          <w:color w:val="231F20"/>
        </w:rPr>
        <w:t>revenue</w:t>
      </w:r>
      <w:r>
        <w:rPr>
          <w:color w:val="231F20"/>
          <w:spacing w:val="-3"/>
        </w:rPr>
        <w:t> </w:t>
      </w:r>
      <w:r>
        <w:rPr>
          <w:color w:val="231F20"/>
        </w:rPr>
        <w:t>or</w:t>
      </w:r>
      <w:r>
        <w:rPr>
          <w:color w:val="231F20"/>
          <w:spacing w:val="-4"/>
        </w:rPr>
        <w:t> </w:t>
      </w:r>
      <w:r>
        <w:rPr>
          <w:color w:val="231F20"/>
        </w:rPr>
        <w:t>funding</w:t>
      </w:r>
      <w:r>
        <w:rPr>
          <w:color w:val="231F20"/>
          <w:spacing w:val="-3"/>
        </w:rPr>
        <w:t> </w:t>
      </w:r>
      <w:r>
        <w:rPr>
          <w:color w:val="231F20"/>
        </w:rPr>
        <w:t>to</w:t>
      </w:r>
      <w:r>
        <w:rPr>
          <w:color w:val="231F20"/>
          <w:spacing w:val="-3"/>
        </w:rPr>
        <w:t> </w:t>
      </w:r>
      <w:r>
        <w:rPr>
          <w:color w:val="231F20"/>
          <w:spacing w:val="-1"/>
        </w:rPr>
        <w:t>meet</w:t>
      </w:r>
      <w:r>
        <w:rPr>
          <w:color w:val="231F20"/>
          <w:spacing w:val="-3"/>
        </w:rPr>
        <w:t> </w:t>
      </w:r>
      <w:r>
        <w:rPr>
          <w:color w:val="231F20"/>
        </w:rPr>
        <w:t>the</w:t>
      </w:r>
      <w:r>
        <w:rPr>
          <w:color w:val="231F20"/>
          <w:spacing w:val="-4"/>
        </w:rPr>
        <w:t> </w:t>
      </w:r>
      <w:r>
        <w:rPr>
          <w:color w:val="231F20"/>
        </w:rPr>
        <w:t>cost</w:t>
      </w:r>
      <w:r>
        <w:rPr>
          <w:color w:val="231F20"/>
          <w:spacing w:val="-4"/>
        </w:rPr>
        <w:t> </w:t>
      </w:r>
      <w:r>
        <w:rPr>
          <w:color w:val="231F20"/>
        </w:rPr>
        <w:t>of</w:t>
      </w:r>
      <w:r>
        <w:rPr>
          <w:color w:val="231F20"/>
          <w:spacing w:val="21"/>
          <w:w w:val="99"/>
        </w:rPr>
        <w:t> </w:t>
      </w:r>
      <w:r>
        <w:rPr>
          <w:color w:val="231F20"/>
        </w:rPr>
        <w:t>boarding.</w:t>
      </w:r>
      <w:r>
        <w:rPr/>
      </w:r>
    </w:p>
    <w:p>
      <w:pPr>
        <w:pStyle w:val="BodyText"/>
        <w:spacing w:line="250" w:lineRule="exact" w:before="113"/>
        <w:ind w:left="100" w:right="247"/>
        <w:jc w:val="left"/>
      </w:pPr>
      <w:r>
        <w:rPr/>
        <w:pict>
          <v:group style="position:absolute;margin-left:523.409424pt;margin-top:338.286316pt;width:.1pt;height:.1pt;mso-position-horizontal-relative:page;mso-position-vertical-relative:paragraph;z-index:-220120" coordorigin="10468,6766" coordsize="2,2">
            <v:shape style="position:absolute;left:10468;top:6766;width:2;height:2" coordorigin="10468,6766" coordsize="0,0" path="m10468,6766l10468,6766e" filled="false" stroked="true" strokeweight="1pt" strokecolor="#355f92">
              <v:path arrowok="t"/>
            </v:shape>
            <w10:wrap type="none"/>
          </v:group>
        </w:pict>
      </w:r>
      <w:r>
        <w:rPr/>
        <w:pict>
          <v:group style="position:absolute;margin-left:86.039398pt;margin-top:338.286316pt;width:.1pt;height:.1pt;mso-position-horizontal-relative:page;mso-position-vertical-relative:paragraph;z-index:-220096" coordorigin="1721,6766" coordsize="2,2">
            <v:shape style="position:absolute;left:1721;top:6766;width:2;height:2" coordorigin="1721,6766" coordsize="0,0" path="m1721,6766l1721,6766e" filled="false" stroked="true" strokeweight="1pt" strokecolor="#355f92">
              <v:path arrowok="t"/>
            </v:shape>
            <w10:wrap type="none"/>
          </v:group>
        </w:pict>
      </w:r>
      <w:r>
        <w:rPr>
          <w:color w:val="231F20"/>
        </w:rPr>
        <w:t>However,</w:t>
      </w:r>
      <w:r>
        <w:rPr>
          <w:color w:val="231F20"/>
          <w:spacing w:val="-6"/>
        </w:rPr>
        <w:t> </w:t>
      </w:r>
      <w:r>
        <w:rPr>
          <w:color w:val="231F20"/>
        </w:rPr>
        <w:t>the</w:t>
      </w:r>
      <w:r>
        <w:rPr>
          <w:color w:val="231F20"/>
          <w:spacing w:val="-5"/>
        </w:rPr>
        <w:t> </w:t>
      </w:r>
      <w:r>
        <w:rPr>
          <w:color w:val="231F20"/>
        </w:rPr>
        <w:t>providers</w:t>
      </w:r>
      <w:r>
        <w:rPr>
          <w:color w:val="231F20"/>
          <w:spacing w:val="-6"/>
        </w:rPr>
        <w:t> </w:t>
      </w:r>
      <w:r>
        <w:rPr>
          <w:color w:val="231F20"/>
        </w:rPr>
        <w:t>established</w:t>
      </w:r>
      <w:r>
        <w:rPr>
          <w:color w:val="231F20"/>
          <w:spacing w:val="-6"/>
        </w:rPr>
        <w:t> </w:t>
      </w:r>
      <w:r>
        <w:rPr>
          <w:color w:val="231F20"/>
          <w:spacing w:val="-1"/>
        </w:rPr>
        <w:t>in</w:t>
      </w:r>
      <w:r>
        <w:rPr>
          <w:color w:val="231F20"/>
          <w:spacing w:val="-5"/>
        </w:rPr>
        <w:t> </w:t>
      </w:r>
      <w:r>
        <w:rPr>
          <w:color w:val="231F20"/>
        </w:rPr>
        <w:t>recent</w:t>
      </w:r>
      <w:r>
        <w:rPr>
          <w:color w:val="231F20"/>
          <w:spacing w:val="21"/>
          <w:w w:val="99"/>
        </w:rPr>
        <w:t> </w:t>
      </w:r>
      <w:r>
        <w:rPr>
          <w:color w:val="231F20"/>
        </w:rPr>
        <w:t>years</w:t>
      </w:r>
      <w:r>
        <w:rPr>
          <w:color w:val="231F20"/>
          <w:spacing w:val="-5"/>
        </w:rPr>
        <w:t> </w:t>
      </w:r>
      <w:r>
        <w:rPr>
          <w:color w:val="231F20"/>
        </w:rPr>
        <w:t>that</w:t>
      </w:r>
      <w:r>
        <w:rPr>
          <w:color w:val="231F20"/>
          <w:spacing w:val="-5"/>
        </w:rPr>
        <w:t> </w:t>
      </w:r>
      <w:r>
        <w:rPr>
          <w:color w:val="231F20"/>
        </w:rPr>
        <w:t>are</w:t>
      </w:r>
      <w:r>
        <w:rPr>
          <w:color w:val="231F20"/>
          <w:spacing w:val="-4"/>
        </w:rPr>
        <w:t> </w:t>
      </w:r>
      <w:r>
        <w:rPr>
          <w:color w:val="231F20"/>
        </w:rPr>
        <w:t>based</w:t>
      </w:r>
      <w:r>
        <w:rPr>
          <w:color w:val="231F20"/>
          <w:spacing w:val="-5"/>
        </w:rPr>
        <w:t> </w:t>
      </w:r>
      <w:r>
        <w:rPr>
          <w:color w:val="231F20"/>
        </w:rPr>
        <w:t>on</w:t>
      </w:r>
      <w:r>
        <w:rPr>
          <w:color w:val="231F20"/>
          <w:spacing w:val="-4"/>
        </w:rPr>
        <w:t> </w:t>
      </w:r>
      <w:r>
        <w:rPr>
          <w:color w:val="231F20"/>
        </w:rPr>
        <w:t>newer</w:t>
      </w:r>
      <w:r>
        <w:rPr>
          <w:color w:val="231F20"/>
          <w:spacing w:val="-3"/>
        </w:rPr>
        <w:t> </w:t>
      </w:r>
      <w:r>
        <w:rPr>
          <w:color w:val="231F20"/>
          <w:spacing w:val="-1"/>
        </w:rPr>
        <w:t>models</w:t>
      </w:r>
      <w:r>
        <w:rPr>
          <w:color w:val="231F20"/>
          <w:spacing w:val="-4"/>
        </w:rPr>
        <w:t> </w:t>
      </w:r>
      <w:r>
        <w:rPr>
          <w:color w:val="231F20"/>
        </w:rPr>
        <w:t>of</w:t>
      </w:r>
      <w:r>
        <w:rPr>
          <w:color w:val="231F20"/>
          <w:spacing w:val="21"/>
          <w:w w:val="99"/>
        </w:rPr>
        <w:t> </w:t>
      </w:r>
      <w:r>
        <w:rPr>
          <w:color w:val="231F20"/>
        </w:rPr>
        <w:t>boarding</w:t>
      </w:r>
      <w:r>
        <w:rPr>
          <w:color w:val="231F20"/>
          <w:spacing w:val="-8"/>
        </w:rPr>
        <w:t> </w:t>
      </w:r>
      <w:r>
        <w:rPr>
          <w:color w:val="231F20"/>
        </w:rPr>
        <w:t>delivery</w:t>
      </w:r>
      <w:r>
        <w:rPr>
          <w:color w:val="231F20"/>
          <w:spacing w:val="-8"/>
        </w:rPr>
        <w:t> </w:t>
      </w:r>
      <w:r>
        <w:rPr>
          <w:color w:val="231F20"/>
        </w:rPr>
        <w:t>have</w:t>
      </w:r>
      <w:r>
        <w:rPr>
          <w:color w:val="231F20"/>
          <w:spacing w:val="-8"/>
        </w:rPr>
        <w:t> </w:t>
      </w:r>
      <w:r>
        <w:rPr>
          <w:color w:val="231F20"/>
          <w:spacing w:val="-1"/>
        </w:rPr>
        <w:t>indicated</w:t>
      </w:r>
      <w:r>
        <w:rPr>
          <w:color w:val="231F20"/>
          <w:spacing w:val="-6"/>
        </w:rPr>
        <w:t> </w:t>
      </w:r>
      <w:r>
        <w:rPr>
          <w:color w:val="231F20"/>
        </w:rPr>
        <w:t>that</w:t>
      </w:r>
      <w:r>
        <w:rPr>
          <w:color w:val="231F20"/>
          <w:spacing w:val="-8"/>
        </w:rPr>
        <w:t> </w:t>
      </w:r>
      <w:r>
        <w:rPr>
          <w:color w:val="231F20"/>
        </w:rPr>
        <w:t>the</w:t>
      </w:r>
      <w:r>
        <w:rPr>
          <w:color w:val="231F20"/>
          <w:w w:val="99"/>
        </w:rPr>
        <w:t> </w:t>
      </w:r>
      <w:r>
        <w:rPr>
          <w:color w:val="231F20"/>
          <w:spacing w:val="22"/>
          <w:w w:val="99"/>
        </w:rPr>
        <w:t> </w:t>
      </w:r>
      <w:r>
        <w:rPr>
          <w:color w:val="231F20"/>
        </w:rPr>
        <w:t>focus</w:t>
      </w:r>
      <w:r>
        <w:rPr>
          <w:color w:val="231F20"/>
          <w:spacing w:val="-4"/>
        </w:rPr>
        <w:t> </w:t>
      </w:r>
      <w:r>
        <w:rPr>
          <w:color w:val="231F20"/>
          <w:spacing w:val="-1"/>
        </w:rPr>
        <w:t>should</w:t>
      </w:r>
      <w:r>
        <w:rPr>
          <w:color w:val="231F20"/>
          <w:spacing w:val="-2"/>
        </w:rPr>
        <w:t> </w:t>
      </w:r>
      <w:r>
        <w:rPr>
          <w:color w:val="231F20"/>
        </w:rPr>
        <w:t>not</w:t>
      </w:r>
      <w:r>
        <w:rPr>
          <w:color w:val="231F20"/>
          <w:spacing w:val="-3"/>
        </w:rPr>
        <w:t> </w:t>
      </w:r>
      <w:r>
        <w:rPr>
          <w:color w:val="231F20"/>
        </w:rPr>
        <w:t>be</w:t>
      </w:r>
      <w:r>
        <w:rPr>
          <w:color w:val="231F20"/>
          <w:spacing w:val="-2"/>
        </w:rPr>
        <w:t> </w:t>
      </w:r>
      <w:r>
        <w:rPr>
          <w:color w:val="231F20"/>
        </w:rPr>
        <w:t>on</w:t>
      </w:r>
      <w:r>
        <w:rPr>
          <w:color w:val="231F20"/>
          <w:spacing w:val="-2"/>
        </w:rPr>
        <w:t> </w:t>
      </w:r>
      <w:r>
        <w:rPr>
          <w:color w:val="231F20"/>
        </w:rPr>
        <w:t>critical</w:t>
      </w:r>
      <w:r>
        <w:rPr>
          <w:color w:val="231F20"/>
          <w:spacing w:val="-4"/>
        </w:rPr>
        <w:t> </w:t>
      </w:r>
      <w:r>
        <w:rPr>
          <w:color w:val="231F20"/>
          <w:spacing w:val="-1"/>
        </w:rPr>
        <w:t>mass</w:t>
      </w:r>
      <w:r>
        <w:rPr>
          <w:color w:val="231F20"/>
          <w:spacing w:val="-2"/>
        </w:rPr>
        <w:t> </w:t>
      </w:r>
      <w:r>
        <w:rPr>
          <w:color w:val="231F20"/>
        </w:rPr>
        <w:t>and</w:t>
      </w:r>
      <w:r>
        <w:rPr>
          <w:color w:val="231F20"/>
          <w:spacing w:val="23"/>
          <w:w w:val="99"/>
        </w:rPr>
        <w:t> </w:t>
      </w:r>
      <w:r>
        <w:rPr>
          <w:color w:val="231F20"/>
        </w:rPr>
        <w:t>viability,</w:t>
      </w:r>
      <w:r>
        <w:rPr>
          <w:color w:val="231F20"/>
          <w:spacing w:val="-4"/>
        </w:rPr>
        <w:t> </w:t>
      </w:r>
      <w:r>
        <w:rPr>
          <w:color w:val="231F20"/>
        </w:rPr>
        <w:t>but</w:t>
      </w:r>
      <w:r>
        <w:rPr>
          <w:color w:val="231F20"/>
          <w:spacing w:val="-4"/>
        </w:rPr>
        <w:t> </w:t>
      </w:r>
      <w:r>
        <w:rPr>
          <w:color w:val="231F20"/>
        </w:rPr>
        <w:t>rather</w:t>
      </w:r>
      <w:r>
        <w:rPr>
          <w:color w:val="231F20"/>
          <w:spacing w:val="-4"/>
        </w:rPr>
        <w:t> </w:t>
      </w:r>
      <w:r>
        <w:rPr>
          <w:color w:val="231F20"/>
        </w:rPr>
        <w:t>on</w:t>
      </w:r>
      <w:r>
        <w:rPr>
          <w:color w:val="231F20"/>
          <w:spacing w:val="-3"/>
        </w:rPr>
        <w:t> </w:t>
      </w:r>
      <w:r>
        <w:rPr>
          <w:color w:val="231F20"/>
        </w:rPr>
        <w:t>the</w:t>
      </w:r>
      <w:r>
        <w:rPr>
          <w:color w:val="231F20"/>
          <w:spacing w:val="-4"/>
        </w:rPr>
        <w:t> </w:t>
      </w:r>
      <w:r>
        <w:rPr>
          <w:color w:val="231F20"/>
        </w:rPr>
        <w:t>best</w:t>
      </w:r>
      <w:r>
        <w:rPr>
          <w:color w:val="231F20"/>
          <w:spacing w:val="-5"/>
        </w:rPr>
        <w:t> </w:t>
      </w:r>
      <w:r>
        <w:rPr>
          <w:color w:val="231F20"/>
          <w:spacing w:val="-1"/>
        </w:rPr>
        <w:t>model</w:t>
      </w:r>
      <w:r>
        <w:rPr>
          <w:color w:val="231F20"/>
          <w:spacing w:val="-3"/>
        </w:rPr>
        <w:t> </w:t>
      </w:r>
      <w:r>
        <w:rPr>
          <w:color w:val="231F20"/>
        </w:rPr>
        <w:t>to</w:t>
      </w:r>
      <w:r>
        <w:rPr>
          <w:color w:val="231F20"/>
          <w:spacing w:val="21"/>
          <w:w w:val="99"/>
        </w:rPr>
        <w:t> </w:t>
      </w:r>
      <w:r>
        <w:rPr>
          <w:color w:val="231F20"/>
        </w:rPr>
        <w:t>deliver</w:t>
      </w:r>
      <w:r>
        <w:rPr>
          <w:color w:val="231F20"/>
          <w:spacing w:val="-6"/>
        </w:rPr>
        <w:t> </w:t>
      </w:r>
      <w:r>
        <w:rPr>
          <w:color w:val="231F20"/>
        </w:rPr>
        <w:t>positive</w:t>
      </w:r>
      <w:r>
        <w:rPr>
          <w:color w:val="231F20"/>
          <w:spacing w:val="-5"/>
        </w:rPr>
        <w:t> </w:t>
      </w:r>
      <w:r>
        <w:rPr>
          <w:color w:val="231F20"/>
        </w:rPr>
        <w:t>outcomes</w:t>
      </w:r>
      <w:r>
        <w:rPr>
          <w:color w:val="231F20"/>
          <w:spacing w:val="-5"/>
        </w:rPr>
        <w:t> </w:t>
      </w:r>
      <w:r>
        <w:rPr>
          <w:color w:val="231F20"/>
        </w:rPr>
        <w:t>for</w:t>
      </w:r>
      <w:r>
        <w:rPr>
          <w:color w:val="231F20"/>
          <w:spacing w:val="-4"/>
        </w:rPr>
        <w:t> </w:t>
      </w:r>
      <w:r>
        <w:rPr>
          <w:color w:val="231F20"/>
        </w:rPr>
        <w:t>Aboriginal</w:t>
      </w:r>
      <w:r>
        <w:rPr>
          <w:color w:val="231F20"/>
          <w:spacing w:val="-4"/>
        </w:rPr>
        <w:t> </w:t>
      </w:r>
      <w:r>
        <w:rPr>
          <w:color w:val="231F20"/>
        </w:rPr>
        <w:t>and</w:t>
      </w:r>
      <w:r>
        <w:rPr>
          <w:color w:val="231F20"/>
          <w:w w:val="99"/>
        </w:rPr>
        <w:t> </w:t>
      </w:r>
      <w:r>
        <w:rPr>
          <w:color w:val="231F20"/>
          <w:spacing w:val="-5"/>
        </w:rPr>
        <w:t>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4"/>
        </w:rPr>
        <w:t> </w:t>
      </w:r>
      <w:r>
        <w:rPr>
          <w:color w:val="231F20"/>
          <w:spacing w:val="-1"/>
        </w:rPr>
        <w:t>students.</w:t>
      </w:r>
      <w:r>
        <w:rPr>
          <w:color w:val="231F20"/>
          <w:spacing w:val="-3"/>
        </w:rPr>
        <w:t> </w:t>
      </w:r>
      <w:r>
        <w:rPr>
          <w:color w:val="231F20"/>
        </w:rPr>
        <w:t>There</w:t>
      </w:r>
      <w:r>
        <w:rPr>
          <w:color w:val="231F20"/>
          <w:spacing w:val="-5"/>
        </w:rPr>
        <w:t> </w:t>
      </w:r>
      <w:r>
        <w:rPr>
          <w:color w:val="231F20"/>
          <w:spacing w:val="-1"/>
        </w:rPr>
        <w:t>is</w:t>
      </w:r>
      <w:r>
        <w:rPr>
          <w:color w:val="231F20"/>
          <w:spacing w:val="-4"/>
        </w:rPr>
        <w:t> </w:t>
      </w:r>
      <w:r>
        <w:rPr>
          <w:color w:val="231F20"/>
        </w:rPr>
        <w:t>a</w:t>
      </w:r>
      <w:r>
        <w:rPr>
          <w:color w:val="231F20"/>
          <w:spacing w:val="25"/>
          <w:w w:val="99"/>
        </w:rPr>
        <w:t> </w:t>
      </w:r>
      <w:r>
        <w:rPr>
          <w:color w:val="231F20"/>
        </w:rPr>
        <w:t>current</w:t>
      </w:r>
      <w:r>
        <w:rPr>
          <w:color w:val="231F20"/>
          <w:spacing w:val="-5"/>
        </w:rPr>
        <w:t> </w:t>
      </w:r>
      <w:r>
        <w:rPr>
          <w:color w:val="231F20"/>
        </w:rPr>
        <w:t>trend</w:t>
      </w:r>
      <w:r>
        <w:rPr>
          <w:color w:val="231F20"/>
          <w:spacing w:val="-5"/>
        </w:rPr>
        <w:t> </w:t>
      </w:r>
      <w:r>
        <w:rPr>
          <w:color w:val="231F20"/>
        </w:rPr>
        <w:t>to</w:t>
      </w:r>
      <w:r>
        <w:rPr>
          <w:color w:val="231F20"/>
          <w:spacing w:val="-4"/>
        </w:rPr>
        <w:t> </w:t>
      </w:r>
      <w:r>
        <w:rPr>
          <w:color w:val="231F20"/>
        </w:rPr>
        <w:t>establish</w:t>
      </w:r>
      <w:r>
        <w:rPr>
          <w:color w:val="231F20"/>
          <w:spacing w:val="-5"/>
        </w:rPr>
        <w:t> </w:t>
      </w:r>
      <w:r>
        <w:rPr>
          <w:color w:val="231F20"/>
          <w:spacing w:val="-1"/>
        </w:rPr>
        <w:t>smaller</w:t>
      </w:r>
      <w:r>
        <w:rPr>
          <w:color w:val="231F20"/>
          <w:spacing w:val="-4"/>
        </w:rPr>
        <w:t> </w:t>
      </w:r>
      <w:r>
        <w:rPr>
          <w:color w:val="231F20"/>
        </w:rPr>
        <w:t>boarding</w:t>
      </w:r>
      <w:r>
        <w:rPr>
          <w:color w:val="231F20"/>
          <w:spacing w:val="22"/>
          <w:w w:val="99"/>
        </w:rPr>
        <w:t> </w:t>
      </w:r>
      <w:r>
        <w:rPr>
          <w:color w:val="231F20"/>
        </w:rPr>
        <w:t>providers,</w:t>
      </w:r>
      <w:r>
        <w:rPr>
          <w:color w:val="231F20"/>
          <w:spacing w:val="-8"/>
        </w:rPr>
        <w:t> </w:t>
      </w:r>
      <w:r>
        <w:rPr>
          <w:color w:val="231F20"/>
          <w:spacing w:val="-1"/>
        </w:rPr>
        <w:t>increasingly</w:t>
      </w:r>
      <w:r>
        <w:rPr>
          <w:color w:val="231F20"/>
          <w:spacing w:val="-7"/>
        </w:rPr>
        <w:t> </w:t>
      </w:r>
      <w:r>
        <w:rPr>
          <w:color w:val="231F20"/>
        </w:rPr>
        <w:t>based</w:t>
      </w:r>
      <w:r>
        <w:rPr>
          <w:color w:val="231F20"/>
          <w:spacing w:val="-8"/>
        </w:rPr>
        <w:t> </w:t>
      </w:r>
      <w:r>
        <w:rPr>
          <w:color w:val="231F20"/>
          <w:spacing w:val="-1"/>
        </w:rPr>
        <w:t>in</w:t>
      </w:r>
      <w:r>
        <w:rPr>
          <w:color w:val="231F20"/>
          <w:spacing w:val="-7"/>
        </w:rPr>
        <w:t> </w:t>
      </w:r>
      <w:r>
        <w:rPr>
          <w:color w:val="231F20"/>
        </w:rPr>
        <w:t>very</w:t>
      </w:r>
      <w:r>
        <w:rPr>
          <w:color w:val="231F20"/>
          <w:spacing w:val="-7"/>
        </w:rPr>
        <w:t> </w:t>
      </w:r>
      <w:r>
        <w:rPr>
          <w:color w:val="231F20"/>
        </w:rPr>
        <w:t>remote</w:t>
      </w:r>
      <w:r>
        <w:rPr>
          <w:color w:val="231F20"/>
          <w:spacing w:val="23"/>
          <w:w w:val="99"/>
        </w:rPr>
        <w:t> </w:t>
      </w:r>
      <w:r>
        <w:rPr>
          <w:rFonts w:ascii="Segoe UI"/>
          <w:color w:val="231F20"/>
        </w:rPr>
        <w:t>locations, catering to specific cohorts of</w:t>
      </w:r>
      <w:r>
        <w:rPr>
          <w:rFonts w:ascii="Segoe UI"/>
          <w:color w:val="231F20"/>
        </w:rPr>
        <w:t> </w:t>
      </w:r>
      <w:r>
        <w:rPr>
          <w:color w:val="231F20"/>
          <w:spacing w:val="-1"/>
        </w:rPr>
        <w:t>students</w:t>
      </w:r>
      <w:r>
        <w:rPr>
          <w:color w:val="231F20"/>
          <w:spacing w:val="-7"/>
        </w:rPr>
        <w:t> </w:t>
      </w:r>
      <w:r>
        <w:rPr>
          <w:color w:val="231F20"/>
        </w:rPr>
        <w:t>and</w:t>
      </w:r>
      <w:r>
        <w:rPr>
          <w:color w:val="231F20"/>
          <w:spacing w:val="-6"/>
        </w:rPr>
        <w:t> </w:t>
      </w:r>
      <w:r>
        <w:rPr>
          <w:color w:val="231F20"/>
        </w:rPr>
        <w:t>their</w:t>
      </w:r>
      <w:r>
        <w:rPr>
          <w:color w:val="231F20"/>
          <w:spacing w:val="-7"/>
        </w:rPr>
        <w:t> </w:t>
      </w:r>
      <w:r>
        <w:rPr>
          <w:color w:val="231F20"/>
        </w:rPr>
        <w:t>needs.</w:t>
      </w:r>
      <w:r>
        <w:rPr>
          <w:color w:val="231F20"/>
          <w:spacing w:val="-7"/>
        </w:rPr>
        <w:t> </w:t>
      </w:r>
      <w:r>
        <w:rPr>
          <w:color w:val="231F20"/>
          <w:spacing w:val="-2"/>
        </w:rPr>
        <w:t>Traditional</w:t>
      </w:r>
      <w:r>
        <w:rPr>
          <w:color w:val="231F20"/>
          <w:spacing w:val="-8"/>
        </w:rPr>
        <w:t> </w:t>
      </w:r>
      <w:r>
        <w:rPr>
          <w:color w:val="231F20"/>
        </w:rPr>
        <w:t>thinking</w:t>
      </w:r>
      <w:r>
        <w:rPr>
          <w:color w:val="231F20"/>
          <w:spacing w:val="26"/>
          <w:w w:val="99"/>
        </w:rPr>
        <w:t> </w:t>
      </w:r>
      <w:r>
        <w:rPr>
          <w:color w:val="231F20"/>
        </w:rPr>
        <w:t>has</w:t>
      </w:r>
      <w:r>
        <w:rPr>
          <w:color w:val="231F20"/>
          <w:spacing w:val="-7"/>
        </w:rPr>
        <w:t> </w:t>
      </w:r>
      <w:r>
        <w:rPr>
          <w:color w:val="231F20"/>
        </w:rPr>
        <w:t>been</w:t>
      </w:r>
      <w:r>
        <w:rPr>
          <w:color w:val="231F20"/>
          <w:spacing w:val="-6"/>
        </w:rPr>
        <w:t> </w:t>
      </w:r>
      <w:r>
        <w:rPr>
          <w:color w:val="231F20"/>
        </w:rPr>
        <w:t>to</w:t>
      </w:r>
      <w:r>
        <w:rPr>
          <w:color w:val="231F20"/>
          <w:spacing w:val="-6"/>
        </w:rPr>
        <w:t> </w:t>
      </w:r>
      <w:r>
        <w:rPr>
          <w:color w:val="231F20"/>
        </w:rPr>
        <w:t>create</w:t>
      </w:r>
      <w:r>
        <w:rPr>
          <w:color w:val="231F20"/>
          <w:spacing w:val="-6"/>
        </w:rPr>
        <w:t> </w:t>
      </w:r>
      <w:r>
        <w:rPr>
          <w:color w:val="231F20"/>
          <w:spacing w:val="-1"/>
        </w:rPr>
        <w:t>larger</w:t>
      </w:r>
      <w:r>
        <w:rPr>
          <w:color w:val="231F20"/>
          <w:spacing w:val="-5"/>
        </w:rPr>
        <w:t> </w:t>
      </w:r>
      <w:r>
        <w:rPr>
          <w:color w:val="231F20"/>
        </w:rPr>
        <w:t>boarding</w:t>
      </w:r>
      <w:r>
        <w:rPr>
          <w:color w:val="231F20"/>
          <w:spacing w:val="-7"/>
        </w:rPr>
        <w:t> </w:t>
      </w:r>
      <w:r>
        <w:rPr>
          <w:color w:val="231F20"/>
        </w:rPr>
        <w:t>providers</w:t>
      </w:r>
      <w:r>
        <w:rPr>
          <w:color w:val="231F20"/>
          <w:spacing w:val="21"/>
          <w:w w:val="99"/>
        </w:rPr>
        <w:t> </w:t>
      </w:r>
      <w:r>
        <w:rPr>
          <w:rFonts w:ascii="Segoe UI"/>
          <w:color w:val="231F20"/>
        </w:rPr>
        <w:t>to</w:t>
      </w:r>
      <w:r>
        <w:rPr>
          <w:rFonts w:ascii="Segoe UI"/>
          <w:color w:val="231F20"/>
          <w:spacing w:val="-1"/>
        </w:rPr>
        <w:t> </w:t>
      </w:r>
      <w:r>
        <w:rPr>
          <w:rFonts w:ascii="Segoe UI"/>
          <w:color w:val="231F20"/>
        </w:rPr>
        <w:t>leverage off</w:t>
      </w:r>
      <w:r>
        <w:rPr>
          <w:rFonts w:ascii="Segoe UI"/>
          <w:color w:val="231F20"/>
          <w:spacing w:val="-1"/>
        </w:rPr>
        <w:t> </w:t>
      </w:r>
      <w:r>
        <w:rPr>
          <w:rFonts w:ascii="Segoe UI"/>
          <w:color w:val="231F20"/>
        </w:rPr>
        <w:t>economies of scale.</w:t>
      </w:r>
      <w:r>
        <w:rPr>
          <w:rFonts w:ascii="Segoe UI"/>
          <w:color w:val="231F20"/>
          <w:spacing w:val="-1"/>
        </w:rPr>
        <w:t> </w:t>
      </w:r>
      <w:r>
        <w:rPr>
          <w:rFonts w:ascii="Segoe UI"/>
          <w:color w:val="231F20"/>
        </w:rPr>
        <w:t>The smaller</w:t>
      </w:r>
      <w:r>
        <w:rPr>
          <w:rFonts w:ascii="Segoe UI"/>
          <w:color w:val="231F20"/>
        </w:rPr>
        <w:t> </w:t>
      </w:r>
      <w:r>
        <w:rPr>
          <w:color w:val="231F20"/>
        </w:rPr>
        <w:t>boarding</w:t>
      </w:r>
      <w:r>
        <w:rPr>
          <w:color w:val="231F20"/>
          <w:spacing w:val="-7"/>
        </w:rPr>
        <w:t> </w:t>
      </w:r>
      <w:r>
        <w:rPr>
          <w:color w:val="231F20"/>
        </w:rPr>
        <w:t>providers,</w:t>
      </w:r>
      <w:r>
        <w:rPr>
          <w:color w:val="231F20"/>
          <w:spacing w:val="-7"/>
        </w:rPr>
        <w:t> </w:t>
      </w:r>
      <w:r>
        <w:rPr>
          <w:color w:val="231F20"/>
        </w:rPr>
        <w:t>and</w:t>
      </w:r>
      <w:r>
        <w:rPr>
          <w:color w:val="231F20"/>
          <w:spacing w:val="-6"/>
        </w:rPr>
        <w:t> </w:t>
      </w:r>
      <w:r>
        <w:rPr>
          <w:color w:val="231F20"/>
        </w:rPr>
        <w:t>one</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former</w:t>
      </w:r>
      <w:r>
        <w:rPr>
          <w:color w:val="231F20"/>
          <w:w w:val="99"/>
        </w:rPr>
        <w:t> </w:t>
      </w:r>
      <w:r>
        <w:rPr>
          <w:color w:val="231F20"/>
          <w:spacing w:val="-1"/>
        </w:rPr>
        <w:t>larger</w:t>
      </w:r>
      <w:r>
        <w:rPr>
          <w:color w:val="231F20"/>
          <w:spacing w:val="-7"/>
        </w:rPr>
        <w:t> </w:t>
      </w:r>
      <w:r>
        <w:rPr>
          <w:color w:val="231F20"/>
        </w:rPr>
        <w:t>providers,</w:t>
      </w:r>
      <w:r>
        <w:rPr>
          <w:color w:val="231F20"/>
          <w:spacing w:val="-7"/>
        </w:rPr>
        <w:t> </w:t>
      </w:r>
      <w:r>
        <w:rPr>
          <w:color w:val="231F20"/>
        </w:rPr>
        <w:t>Haileybury</w:t>
      </w:r>
      <w:r>
        <w:rPr>
          <w:color w:val="231F20"/>
          <w:spacing w:val="-7"/>
        </w:rPr>
        <w:t> </w:t>
      </w:r>
      <w:r>
        <w:rPr>
          <w:color w:val="231F20"/>
          <w:spacing w:val="-1"/>
        </w:rPr>
        <w:t>Rendall</w:t>
      </w:r>
      <w:r>
        <w:rPr>
          <w:color w:val="231F20"/>
          <w:spacing w:val="-7"/>
        </w:rPr>
        <w:t> </w:t>
      </w:r>
      <w:r>
        <w:rPr>
          <w:color w:val="231F20"/>
        </w:rPr>
        <w:t>that</w:t>
      </w:r>
      <w:r>
        <w:rPr>
          <w:color w:val="231F20"/>
          <w:spacing w:val="-8"/>
        </w:rPr>
        <w:t> </w:t>
      </w:r>
      <w:r>
        <w:rPr>
          <w:color w:val="231F20"/>
        </w:rPr>
        <w:t>has</w:t>
      </w:r>
      <w:r>
        <w:rPr>
          <w:color w:val="231F20"/>
          <w:spacing w:val="22"/>
        </w:rPr>
        <w:t> </w:t>
      </w:r>
      <w:r>
        <w:rPr>
          <w:rFonts w:ascii="Segoe UI"/>
          <w:color w:val="231F20"/>
        </w:rPr>
        <w:t>significantly reduced the number of boarders,</w:t>
      </w:r>
      <w:r>
        <w:rPr>
          <w:rFonts w:ascii="Segoe UI"/>
          <w:color w:val="231F20"/>
        </w:rPr>
        <w:t> have indicated that the benefits of boarding </w:t>
      </w:r>
      <w:r>
        <w:rPr>
          <w:color w:val="231F20"/>
        </w:rPr>
        <w:t>for</w:t>
      </w:r>
      <w:r>
        <w:rPr>
          <w:color w:val="231F20"/>
          <w:spacing w:val="-6"/>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6"/>
        </w:rPr>
        <w:t> </w:t>
      </w:r>
      <w:r>
        <w:rPr>
          <w:color w:val="231F20"/>
          <w:spacing w:val="-1"/>
        </w:rPr>
        <w:t>Islander</w:t>
      </w:r>
      <w:r>
        <w:rPr>
          <w:color w:val="231F20"/>
          <w:spacing w:val="29"/>
          <w:w w:val="99"/>
        </w:rPr>
        <w:t> </w:t>
      </w:r>
      <w:r>
        <w:rPr>
          <w:color w:val="231F20"/>
        </w:rPr>
        <w:t>boarders</w:t>
      </w:r>
      <w:r>
        <w:rPr>
          <w:color w:val="231F20"/>
          <w:spacing w:val="-5"/>
        </w:rPr>
        <w:t> </w:t>
      </w:r>
      <w:r>
        <w:rPr>
          <w:color w:val="231F20"/>
        </w:rPr>
        <w:t>diminish</w:t>
      </w:r>
      <w:r>
        <w:rPr>
          <w:color w:val="231F20"/>
          <w:spacing w:val="-4"/>
        </w:rPr>
        <w:t> </w:t>
      </w:r>
      <w:r>
        <w:rPr>
          <w:color w:val="231F20"/>
        </w:rPr>
        <w:t>as</w:t>
      </w:r>
      <w:r>
        <w:rPr>
          <w:color w:val="231F20"/>
          <w:spacing w:val="-4"/>
        </w:rPr>
        <w:t> </w:t>
      </w:r>
      <w:r>
        <w:rPr>
          <w:color w:val="231F20"/>
        </w:rPr>
        <w:t>the</w:t>
      </w:r>
      <w:r>
        <w:rPr>
          <w:color w:val="231F20"/>
          <w:spacing w:val="-5"/>
        </w:rPr>
        <w:t> </w:t>
      </w:r>
      <w:r>
        <w:rPr>
          <w:color w:val="231F20"/>
          <w:spacing w:val="-1"/>
        </w:rPr>
        <w:t>size</w:t>
      </w:r>
      <w:r>
        <w:rPr>
          <w:color w:val="231F20"/>
          <w:spacing w:val="-3"/>
        </w:rPr>
        <w:t> </w:t>
      </w:r>
      <w:r>
        <w:rPr>
          <w:color w:val="231F20"/>
        </w:rPr>
        <w:t>of</w:t>
      </w:r>
      <w:r>
        <w:rPr>
          <w:color w:val="231F20"/>
          <w:spacing w:val="-4"/>
        </w:rPr>
        <w:t> </w:t>
      </w:r>
      <w:r>
        <w:rPr>
          <w:color w:val="231F20"/>
        </w:rPr>
        <w:t>the</w:t>
      </w:r>
      <w:r>
        <w:rPr>
          <w:color w:val="231F20"/>
          <w:spacing w:val="-4"/>
        </w:rPr>
        <w:t> </w:t>
      </w:r>
      <w:r>
        <w:rPr>
          <w:color w:val="231F20"/>
        </w:rPr>
        <w:t>boarding</w:t>
      </w:r>
      <w:r>
        <w:rPr>
          <w:color w:val="231F20"/>
          <w:spacing w:val="21"/>
          <w:w w:val="99"/>
        </w:rPr>
        <w:t> </w:t>
      </w:r>
      <w:r>
        <w:rPr>
          <w:rFonts w:ascii="Segoe UI"/>
          <w:color w:val="231F20"/>
        </w:rPr>
        <w:t>facility</w:t>
      </w:r>
      <w:r>
        <w:rPr>
          <w:rFonts w:ascii="Segoe UI"/>
          <w:color w:val="231F20"/>
          <w:spacing w:val="-2"/>
        </w:rPr>
        <w:t> </w:t>
      </w:r>
      <w:r>
        <w:rPr>
          <w:rFonts w:ascii="Segoe UI"/>
          <w:color w:val="231F20"/>
        </w:rPr>
        <w:t>increases.</w:t>
      </w:r>
      <w:r>
        <w:rPr>
          <w:rFonts w:ascii="Segoe UI"/>
          <w:color w:val="231F20"/>
          <w:spacing w:val="-1"/>
        </w:rPr>
        <w:t> </w:t>
      </w:r>
      <w:r>
        <w:rPr>
          <w:rFonts w:ascii="Segoe UI"/>
          <w:color w:val="231F20"/>
        </w:rPr>
        <w:t>The</w:t>
      </w:r>
      <w:r>
        <w:rPr>
          <w:rFonts w:ascii="Segoe UI"/>
          <w:color w:val="231F20"/>
          <w:spacing w:val="-2"/>
        </w:rPr>
        <w:t> </w:t>
      </w:r>
      <w:r>
        <w:rPr>
          <w:rFonts w:ascii="Segoe UI"/>
          <w:color w:val="231F20"/>
        </w:rPr>
        <w:t>view</w:t>
      </w:r>
      <w:r>
        <w:rPr>
          <w:rFonts w:ascii="Segoe UI"/>
          <w:color w:val="231F20"/>
          <w:spacing w:val="-1"/>
        </w:rPr>
        <w:t> </w:t>
      </w:r>
      <w:r>
        <w:rPr>
          <w:rFonts w:ascii="Segoe UI"/>
          <w:color w:val="231F20"/>
        </w:rPr>
        <w:t>proffered</w:t>
      </w:r>
      <w:r>
        <w:rPr>
          <w:rFonts w:ascii="Segoe UI"/>
          <w:color w:val="231F20"/>
          <w:spacing w:val="-1"/>
        </w:rPr>
        <w:t> </w:t>
      </w:r>
      <w:r>
        <w:rPr>
          <w:rFonts w:ascii="Segoe UI"/>
          <w:color w:val="231F20"/>
        </w:rPr>
        <w:t>was</w:t>
      </w:r>
      <w:r>
        <w:rPr>
          <w:rFonts w:ascii="Segoe UI"/>
          <w:color w:val="231F20"/>
          <w:spacing w:val="-2"/>
        </w:rPr>
        <w:t> </w:t>
      </w:r>
      <w:r>
        <w:rPr>
          <w:rFonts w:ascii="Segoe UI"/>
          <w:color w:val="231F20"/>
        </w:rPr>
        <w:t>that</w:t>
      </w:r>
      <w:r>
        <w:rPr>
          <w:rFonts w:ascii="Segoe UI"/>
          <w:color w:val="231F20"/>
        </w:rPr>
        <w:t> </w:t>
      </w:r>
      <w:r>
        <w:rPr>
          <w:color w:val="231F20"/>
        </w:rPr>
        <w:t>as</w:t>
      </w:r>
      <w:r>
        <w:rPr>
          <w:color w:val="231F20"/>
          <w:spacing w:val="-6"/>
        </w:rPr>
        <w:t> </w:t>
      </w:r>
      <w:r>
        <w:rPr>
          <w:color w:val="231F20"/>
          <w:spacing w:val="-1"/>
        </w:rPr>
        <w:t>size</w:t>
      </w:r>
      <w:r>
        <w:rPr>
          <w:color w:val="231F20"/>
          <w:spacing w:val="-4"/>
        </w:rPr>
        <w:t> </w:t>
      </w:r>
      <w:r>
        <w:rPr>
          <w:color w:val="231F20"/>
          <w:spacing w:val="-1"/>
        </w:rPr>
        <w:t>increases</w:t>
      </w:r>
      <w:r>
        <w:rPr>
          <w:color w:val="231F20"/>
          <w:spacing w:val="-5"/>
        </w:rPr>
        <w:t> </w:t>
      </w:r>
      <w:r>
        <w:rPr>
          <w:color w:val="231F20"/>
        </w:rPr>
        <w:t>the</w:t>
      </w:r>
      <w:r>
        <w:rPr>
          <w:color w:val="231F20"/>
          <w:spacing w:val="-5"/>
        </w:rPr>
        <w:t> </w:t>
      </w:r>
      <w:r>
        <w:rPr>
          <w:color w:val="231F20"/>
        </w:rPr>
        <w:t>ability</w:t>
      </w:r>
      <w:r>
        <w:rPr>
          <w:color w:val="231F20"/>
          <w:spacing w:val="-5"/>
        </w:rPr>
        <w:t> </w:t>
      </w:r>
      <w:r>
        <w:rPr>
          <w:color w:val="231F20"/>
        </w:rPr>
        <w:t>to</w:t>
      </w:r>
      <w:r>
        <w:rPr>
          <w:color w:val="231F20"/>
          <w:spacing w:val="-5"/>
        </w:rPr>
        <w:t> </w:t>
      </w:r>
      <w:r>
        <w:rPr>
          <w:color w:val="231F20"/>
        </w:rPr>
        <w:t>deliver</w:t>
      </w:r>
      <w:r>
        <w:rPr>
          <w:color w:val="231F20"/>
          <w:spacing w:val="-5"/>
        </w:rPr>
        <w:t> </w:t>
      </w:r>
      <w:r>
        <w:rPr>
          <w:color w:val="231F20"/>
        </w:rPr>
        <w:t>tailored</w:t>
      </w:r>
      <w:r>
        <w:rPr>
          <w:color w:val="231F20"/>
          <w:spacing w:val="23"/>
          <w:w w:val="99"/>
        </w:rPr>
        <w:t> </w:t>
      </w:r>
      <w:r>
        <w:rPr>
          <w:color w:val="231F20"/>
        </w:rPr>
        <w:t>and</w:t>
      </w:r>
      <w:r>
        <w:rPr>
          <w:color w:val="231F20"/>
          <w:spacing w:val="-7"/>
        </w:rPr>
        <w:t> </w:t>
      </w:r>
      <w:r>
        <w:rPr>
          <w:color w:val="231F20"/>
        </w:rPr>
        <w:t>personal</w:t>
      </w:r>
      <w:r>
        <w:rPr>
          <w:color w:val="231F20"/>
          <w:spacing w:val="-6"/>
        </w:rPr>
        <w:t> </w:t>
      </w:r>
      <w:r>
        <w:rPr>
          <w:color w:val="231F20"/>
          <w:spacing w:val="-1"/>
        </w:rPr>
        <w:t>support</w:t>
      </w:r>
      <w:r>
        <w:rPr>
          <w:color w:val="231F20"/>
          <w:spacing w:val="-5"/>
        </w:rPr>
        <w:t> </w:t>
      </w:r>
      <w:r>
        <w:rPr>
          <w:color w:val="231F20"/>
          <w:spacing w:val="-1"/>
        </w:rPr>
        <w:t>services</w:t>
      </w:r>
      <w:r>
        <w:rPr>
          <w:color w:val="231F20"/>
          <w:spacing w:val="-6"/>
        </w:rPr>
        <w:t> </w:t>
      </w:r>
      <w:r>
        <w:rPr>
          <w:color w:val="231F20"/>
        </w:rPr>
        <w:t>to</w:t>
      </w:r>
      <w:r>
        <w:rPr>
          <w:color w:val="231F20"/>
          <w:spacing w:val="-5"/>
        </w:rPr>
        <w:t> </w:t>
      </w:r>
      <w:r>
        <w:rPr>
          <w:color w:val="231F20"/>
        </w:rPr>
        <w:t>address</w:t>
      </w:r>
      <w:r>
        <w:rPr>
          <w:color w:val="231F20"/>
          <w:spacing w:val="23"/>
          <w:w w:val="99"/>
        </w:rPr>
        <w:t> </w:t>
      </w:r>
      <w:r>
        <w:rPr>
          <w:color w:val="231F20"/>
        </w:rPr>
        <w:t>disadvantage</w:t>
      </w:r>
      <w:r>
        <w:rPr>
          <w:color w:val="231F20"/>
          <w:spacing w:val="-7"/>
        </w:rPr>
        <w:t> </w:t>
      </w:r>
      <w:r>
        <w:rPr>
          <w:color w:val="231F20"/>
        </w:rPr>
        <w:t>decreases</w:t>
      </w:r>
      <w:r>
        <w:rPr>
          <w:color w:val="231F20"/>
          <w:spacing w:val="-7"/>
        </w:rPr>
        <w:t> </w:t>
      </w:r>
      <w:r>
        <w:rPr>
          <w:color w:val="231F20"/>
        </w:rPr>
        <w:t>and</w:t>
      </w:r>
      <w:r>
        <w:rPr>
          <w:color w:val="231F20"/>
          <w:spacing w:val="-6"/>
        </w:rPr>
        <w:t> </w:t>
      </w:r>
      <w:r>
        <w:rPr>
          <w:color w:val="231F20"/>
        </w:rPr>
        <w:t>the</w:t>
      </w:r>
      <w:r>
        <w:rPr>
          <w:color w:val="231F20"/>
          <w:spacing w:val="-7"/>
        </w:rPr>
        <w:t> </w:t>
      </w:r>
      <w:r>
        <w:rPr>
          <w:color w:val="231F20"/>
        </w:rPr>
        <w:t>possibility</w:t>
      </w:r>
      <w:r>
        <w:rPr>
          <w:color w:val="231F20"/>
          <w:spacing w:val="-7"/>
        </w:rPr>
        <w:t> </w:t>
      </w:r>
      <w:r>
        <w:rPr>
          <w:color w:val="231F20"/>
        </w:rPr>
        <w:t>of</w:t>
      </w:r>
      <w:r>
        <w:rPr>
          <w:color w:val="231F20"/>
          <w:w w:val="99"/>
        </w:rPr>
        <w:t> </w:t>
      </w:r>
      <w:r>
        <w:rPr>
          <w:rFonts w:ascii="Segoe UI"/>
          <w:color w:val="231F20"/>
        </w:rPr>
        <w:t>conflict</w:t>
      </w:r>
      <w:r>
        <w:rPr>
          <w:rFonts w:ascii="Segoe UI"/>
          <w:color w:val="231F20"/>
          <w:spacing w:val="-2"/>
        </w:rPr>
        <w:t> </w:t>
      </w:r>
      <w:r>
        <w:rPr>
          <w:rFonts w:ascii="Segoe UI"/>
          <w:color w:val="231F20"/>
        </w:rPr>
        <w:t>between</w:t>
      </w:r>
      <w:r>
        <w:rPr>
          <w:rFonts w:ascii="Segoe UI"/>
          <w:color w:val="231F20"/>
          <w:spacing w:val="-1"/>
        </w:rPr>
        <w:t> </w:t>
      </w:r>
      <w:r>
        <w:rPr>
          <w:rFonts w:ascii="Segoe UI"/>
          <w:color w:val="231F20"/>
        </w:rPr>
        <w:t>boarders</w:t>
      </w:r>
      <w:r>
        <w:rPr>
          <w:rFonts w:ascii="Segoe UI"/>
          <w:color w:val="231F20"/>
          <w:spacing w:val="-2"/>
        </w:rPr>
        <w:t> </w:t>
      </w:r>
      <w:r>
        <w:rPr>
          <w:rFonts w:ascii="Segoe UI"/>
          <w:color w:val="231F20"/>
        </w:rPr>
        <w:t>of</w:t>
      </w:r>
      <w:r>
        <w:rPr>
          <w:rFonts w:ascii="Segoe UI"/>
          <w:color w:val="231F20"/>
          <w:spacing w:val="-1"/>
        </w:rPr>
        <w:t> </w:t>
      </w:r>
      <w:r>
        <w:rPr>
          <w:rFonts w:ascii="Segoe UI"/>
          <w:color w:val="231F20"/>
        </w:rPr>
        <w:t>different</w:t>
      </w:r>
      <w:r>
        <w:rPr>
          <w:rFonts w:ascii="Segoe UI"/>
          <w:color w:val="231F20"/>
          <w:spacing w:val="-2"/>
        </w:rPr>
        <w:t> </w:t>
      </w:r>
      <w:r>
        <w:rPr>
          <w:rFonts w:ascii="Segoe UI"/>
          <w:color w:val="231F20"/>
        </w:rPr>
        <w:t>cultural</w:t>
      </w:r>
      <w:r>
        <w:rPr>
          <w:rFonts w:ascii="Segoe UI"/>
          <w:color w:val="231F20"/>
        </w:rPr>
        <w:t> </w:t>
      </w:r>
      <w:r>
        <w:rPr>
          <w:color w:val="231F20"/>
        </w:rPr>
        <w:t>backgrounds</w:t>
      </w:r>
      <w:r>
        <w:rPr>
          <w:color w:val="231F20"/>
          <w:spacing w:val="-21"/>
        </w:rPr>
        <w:t> </w:t>
      </w:r>
      <w:r>
        <w:rPr>
          <w:color w:val="231F20"/>
          <w:spacing w:val="-1"/>
        </w:rPr>
        <w:t>increases.</w:t>
      </w:r>
      <w:r>
        <w:rPr/>
      </w:r>
    </w:p>
    <w:p>
      <w:pPr>
        <w:spacing w:after="0" w:line="250" w:lineRule="exact"/>
        <w:jc w:val="left"/>
        <w:sectPr>
          <w:type w:val="continuous"/>
          <w:pgSz w:w="11910" w:h="16840"/>
          <w:pgMar w:top="1580" w:bottom="280" w:left="1600" w:right="1300"/>
          <w:cols w:num="2" w:equalWidth="0">
            <w:col w:w="4222" w:space="313"/>
            <w:col w:w="4475"/>
          </w:cols>
        </w:sectPr>
      </w:pPr>
    </w:p>
    <w:p>
      <w:pPr>
        <w:spacing w:line="240" w:lineRule="auto" w:before="0"/>
        <w:rPr>
          <w:rFonts w:ascii="Segoe UI" w:hAnsi="Segoe UI" w:cs="Segoe UI" w:eastAsia="Segoe UI"/>
          <w:sz w:val="20"/>
          <w:szCs w:val="20"/>
        </w:rPr>
      </w:pPr>
      <w:r>
        <w:rPr/>
        <w:pict>
          <v:group style="position:absolute;margin-left:86.039398pt;margin-top:748.763pt;width:.1pt;height:.1pt;mso-position-horizontal-relative:page;mso-position-vertical-relative:page;z-index:-220168" coordorigin="1721,14975" coordsize="2,2">
            <v:shape style="position:absolute;left:1721;top:14975;width:2;height:2" coordorigin="1721,14975" coordsize="0,0" path="m1721,14975l1721,14975e" filled="false" stroked="true" strokeweight="1pt" strokecolor="#355f92">
              <v:path arrowok="t"/>
            </v:shape>
            <w10:wrap type="none"/>
          </v:group>
        </w:pict>
      </w:r>
      <w:r>
        <w:rPr/>
        <w:pict>
          <v:group style="position:absolute;margin-left:523.409424pt;margin-top:748.763pt;width:.1pt;height:.1pt;mso-position-horizontal-relative:page;mso-position-vertical-relative:page;z-index:-220144" coordorigin="10468,14975" coordsize="2,2">
            <v:shape style="position:absolute;left:10468;top:14975;width:2;height:2" coordorigin="10468,14975" coordsize="0,0" path="m10468,14975l10468,14975e" filled="false" stroked="true" strokeweight="1pt" strokecolor="#355f92">
              <v:path arrowok="t"/>
            </v:shape>
            <w10:wrap type="none"/>
          </v:group>
        </w:pict>
      </w:r>
    </w:p>
    <w:p>
      <w:pPr>
        <w:spacing w:line="240" w:lineRule="auto" w:before="4"/>
        <w:rPr>
          <w:rFonts w:ascii="Segoe UI" w:hAnsi="Segoe UI" w:cs="Segoe UI" w:eastAsia="Segoe UI"/>
          <w:sz w:val="10"/>
          <w:szCs w:val="10"/>
        </w:rPr>
      </w:pPr>
    </w:p>
    <w:p>
      <w:pPr>
        <w:spacing w:line="200" w:lineRule="atLeast"/>
        <w:ind w:left="120" w:right="0" w:firstLine="0"/>
        <w:rPr>
          <w:rFonts w:ascii="Segoe UI" w:hAnsi="Segoe UI" w:cs="Segoe UI" w:eastAsia="Segoe UI"/>
          <w:sz w:val="20"/>
          <w:szCs w:val="20"/>
        </w:rPr>
      </w:pPr>
      <w:r>
        <w:rPr>
          <w:rFonts w:ascii="Segoe UI" w:hAnsi="Segoe UI" w:cs="Segoe UI" w:eastAsia="Segoe UI"/>
          <w:sz w:val="20"/>
          <w:szCs w:val="20"/>
        </w:rPr>
        <w:pict>
          <v:shape style="width:437.4pt;height:81.650pt;mso-position-horizontal-relative:char;mso-position-vertical-relative:line" type="#_x0000_t202" filled="true" fillcolor="#ecf1f5" stroked="true" strokeweight="1pt" strokecolor="#355f92">
            <v:textbox inset="0,0,0,0">
              <w:txbxContent>
                <w:p>
                  <w:pPr>
                    <w:spacing w:before="168"/>
                    <w:ind w:left="253" w:right="0" w:firstLine="0"/>
                    <w:jc w:val="both"/>
                    <w:rPr>
                      <w:rFonts w:ascii="Segoe UI Semibold" w:hAnsi="Segoe UI Semibold" w:cs="Segoe UI Semibold" w:eastAsia="Segoe UI Semibold"/>
                      <w:sz w:val="24"/>
                      <w:szCs w:val="24"/>
                    </w:rPr>
                  </w:pPr>
                  <w:r>
                    <w:rPr>
                      <w:rFonts w:ascii="Segoe UI Semibold"/>
                      <w:b/>
                      <w:color w:val="452A70"/>
                      <w:spacing w:val="-2"/>
                      <w:sz w:val="24"/>
                    </w:rPr>
                    <w:t>RECOMMENDATION</w:t>
                  </w:r>
                  <w:r>
                    <w:rPr>
                      <w:rFonts w:ascii="Segoe UI Semibold"/>
                      <w:b/>
                      <w:color w:val="452A70"/>
                      <w:spacing w:val="-5"/>
                      <w:sz w:val="24"/>
                    </w:rPr>
                    <w:t> </w:t>
                  </w:r>
                  <w:r>
                    <w:rPr>
                      <w:rFonts w:ascii="Segoe UI Semibold"/>
                      <w:b/>
                      <w:color w:val="452A70"/>
                      <w:spacing w:val="-1"/>
                      <w:sz w:val="24"/>
                    </w:rPr>
                    <w:t>9:</w:t>
                  </w:r>
                  <w:r>
                    <w:rPr>
                      <w:rFonts w:ascii="Segoe UI Semibold"/>
                      <w:b/>
                      <w:color w:val="452A70"/>
                      <w:spacing w:val="-4"/>
                      <w:sz w:val="24"/>
                    </w:rPr>
                    <w:t> </w:t>
                  </w:r>
                  <w:r>
                    <w:rPr>
                      <w:rFonts w:ascii="Segoe UI Semibold"/>
                      <w:b/>
                      <w:color w:val="452A70"/>
                      <w:spacing w:val="-1"/>
                      <w:sz w:val="24"/>
                    </w:rPr>
                    <w:t>SCHOLARSHIP</w:t>
                  </w:r>
                  <w:r>
                    <w:rPr>
                      <w:rFonts w:ascii="Segoe UI Semibold"/>
                      <w:b/>
                      <w:color w:val="452A70"/>
                      <w:spacing w:val="-3"/>
                      <w:sz w:val="24"/>
                    </w:rPr>
                    <w:t> </w:t>
                  </w:r>
                  <w:r>
                    <w:rPr>
                      <w:rFonts w:ascii="Segoe UI Semibold"/>
                      <w:b/>
                      <w:color w:val="452A70"/>
                      <w:spacing w:val="-1"/>
                      <w:sz w:val="24"/>
                    </w:rPr>
                    <w:t>ARRANGEMENTS</w:t>
                  </w:r>
                  <w:r>
                    <w:rPr>
                      <w:rFonts w:ascii="Segoe UI Semibold"/>
                      <w:sz w:val="24"/>
                    </w:rPr>
                  </w:r>
                </w:p>
                <w:p>
                  <w:pPr>
                    <w:spacing w:line="250" w:lineRule="exact" w:before="131"/>
                    <w:ind w:left="253" w:right="500" w:firstLine="0"/>
                    <w:jc w:val="both"/>
                    <w:rPr>
                      <w:rFonts w:ascii="Segoe UI" w:hAnsi="Segoe UI" w:cs="Segoe UI" w:eastAsia="Segoe UI"/>
                      <w:sz w:val="20"/>
                      <w:szCs w:val="20"/>
                    </w:rPr>
                  </w:pPr>
                  <w:r>
                    <w:rPr>
                      <w:rFonts w:ascii="Segoe UI"/>
                      <w:color w:val="452A70"/>
                      <w:spacing w:val="-1"/>
                      <w:sz w:val="20"/>
                    </w:rPr>
                    <w:t>Review</w:t>
                  </w:r>
                  <w:r>
                    <w:rPr>
                      <w:rFonts w:ascii="Segoe UI"/>
                      <w:color w:val="452A70"/>
                      <w:spacing w:val="-6"/>
                      <w:sz w:val="20"/>
                    </w:rPr>
                    <w:t> </w:t>
                  </w:r>
                  <w:r>
                    <w:rPr>
                      <w:rFonts w:ascii="Segoe UI"/>
                      <w:color w:val="452A70"/>
                      <w:spacing w:val="-1"/>
                      <w:sz w:val="20"/>
                    </w:rPr>
                    <w:t>scholarship</w:t>
                  </w:r>
                  <w:r>
                    <w:rPr>
                      <w:rFonts w:ascii="Segoe UI"/>
                      <w:color w:val="452A70"/>
                      <w:spacing w:val="-4"/>
                      <w:sz w:val="20"/>
                    </w:rPr>
                    <w:t> </w:t>
                  </w:r>
                  <w:r>
                    <w:rPr>
                      <w:rFonts w:ascii="Segoe UI"/>
                      <w:color w:val="452A70"/>
                      <w:sz w:val="20"/>
                    </w:rPr>
                    <w:t>funding</w:t>
                  </w:r>
                  <w:r>
                    <w:rPr>
                      <w:rFonts w:ascii="Segoe UI"/>
                      <w:color w:val="452A70"/>
                      <w:spacing w:val="-5"/>
                      <w:sz w:val="20"/>
                    </w:rPr>
                    <w:t> </w:t>
                  </w:r>
                  <w:r>
                    <w:rPr>
                      <w:rFonts w:ascii="Segoe UI"/>
                      <w:color w:val="452A70"/>
                      <w:sz w:val="20"/>
                    </w:rPr>
                    <w:t>arrangements</w:t>
                  </w:r>
                  <w:r>
                    <w:rPr>
                      <w:rFonts w:ascii="Segoe UI"/>
                      <w:color w:val="452A70"/>
                      <w:spacing w:val="-6"/>
                      <w:sz w:val="20"/>
                    </w:rPr>
                    <w:t> </w:t>
                  </w:r>
                  <w:r>
                    <w:rPr>
                      <w:rFonts w:ascii="Segoe UI"/>
                      <w:color w:val="452A70"/>
                      <w:sz w:val="20"/>
                    </w:rPr>
                    <w:t>to</w:t>
                  </w:r>
                  <w:r>
                    <w:rPr>
                      <w:rFonts w:ascii="Segoe UI"/>
                      <w:color w:val="452A70"/>
                      <w:spacing w:val="-5"/>
                      <w:sz w:val="20"/>
                    </w:rPr>
                    <w:t> </w:t>
                  </w:r>
                  <w:r>
                    <w:rPr>
                      <w:rFonts w:ascii="Segoe UI"/>
                      <w:color w:val="452A70"/>
                      <w:sz w:val="20"/>
                    </w:rPr>
                    <w:t>provide</w:t>
                  </w:r>
                  <w:r>
                    <w:rPr>
                      <w:rFonts w:ascii="Segoe UI"/>
                      <w:color w:val="452A70"/>
                      <w:spacing w:val="-6"/>
                      <w:sz w:val="20"/>
                    </w:rPr>
                    <w:t> </w:t>
                  </w:r>
                  <w:r>
                    <w:rPr>
                      <w:rFonts w:ascii="Segoe UI"/>
                      <w:color w:val="452A70"/>
                      <w:sz w:val="20"/>
                    </w:rPr>
                    <w:t>greater</w:t>
                  </w:r>
                  <w:r>
                    <w:rPr>
                      <w:rFonts w:ascii="Segoe UI"/>
                      <w:color w:val="452A70"/>
                      <w:spacing w:val="-6"/>
                      <w:sz w:val="20"/>
                    </w:rPr>
                    <w:t> </w:t>
                  </w:r>
                  <w:r>
                    <w:rPr>
                      <w:rFonts w:ascii="Segoe UI"/>
                      <w:color w:val="452A70"/>
                      <w:sz w:val="20"/>
                    </w:rPr>
                    <w:t>opportunities</w:t>
                  </w:r>
                  <w:r>
                    <w:rPr>
                      <w:rFonts w:ascii="Segoe UI"/>
                      <w:color w:val="452A70"/>
                      <w:spacing w:val="-6"/>
                      <w:sz w:val="20"/>
                    </w:rPr>
                    <w:t> </w:t>
                  </w:r>
                  <w:r>
                    <w:rPr>
                      <w:rFonts w:ascii="Segoe UI"/>
                      <w:color w:val="452A70"/>
                      <w:sz w:val="20"/>
                    </w:rPr>
                    <w:t>for</w:t>
                  </w:r>
                  <w:r>
                    <w:rPr>
                      <w:rFonts w:ascii="Segoe UI"/>
                      <w:color w:val="452A70"/>
                      <w:spacing w:val="-4"/>
                      <w:sz w:val="20"/>
                    </w:rPr>
                    <w:t> </w:t>
                  </w:r>
                  <w:r>
                    <w:rPr>
                      <w:rFonts w:ascii="Segoe UI"/>
                      <w:color w:val="452A70"/>
                      <w:sz w:val="20"/>
                    </w:rPr>
                    <w:t>Aboriginal</w:t>
                  </w:r>
                  <w:r>
                    <w:rPr>
                      <w:rFonts w:ascii="Segoe UI"/>
                      <w:color w:val="452A70"/>
                      <w:spacing w:val="22"/>
                      <w:w w:val="99"/>
                      <w:sz w:val="20"/>
                    </w:rPr>
                    <w:t> </w:t>
                  </w:r>
                  <w:r>
                    <w:rPr>
                      <w:rFonts w:ascii="Segoe UI"/>
                      <w:color w:val="452A70"/>
                      <w:sz w:val="20"/>
                    </w:rPr>
                    <w:t>and</w:t>
                  </w:r>
                  <w:r>
                    <w:rPr>
                      <w:rFonts w:ascii="Segoe UI"/>
                      <w:color w:val="452A70"/>
                      <w:spacing w:val="-5"/>
                      <w:sz w:val="20"/>
                    </w:rPr>
                    <w:t> Torres</w:t>
                  </w:r>
                  <w:r>
                    <w:rPr>
                      <w:rFonts w:ascii="Segoe UI"/>
                      <w:color w:val="452A70"/>
                      <w:spacing w:val="-3"/>
                      <w:sz w:val="20"/>
                    </w:rPr>
                    <w:t> </w:t>
                  </w:r>
                  <w:r>
                    <w:rPr>
                      <w:rFonts w:ascii="Segoe UI"/>
                      <w:color w:val="452A70"/>
                      <w:spacing w:val="-2"/>
                      <w:sz w:val="20"/>
                    </w:rPr>
                    <w:t>Strait</w:t>
                  </w:r>
                  <w:r>
                    <w:rPr>
                      <w:rFonts w:ascii="Segoe UI"/>
                      <w:color w:val="452A70"/>
                      <w:spacing w:val="-5"/>
                      <w:sz w:val="20"/>
                    </w:rPr>
                    <w:t> </w:t>
                  </w:r>
                  <w:r>
                    <w:rPr>
                      <w:rFonts w:ascii="Segoe UI"/>
                      <w:color w:val="452A70"/>
                      <w:spacing w:val="-1"/>
                      <w:sz w:val="20"/>
                    </w:rPr>
                    <w:t>Islander</w:t>
                  </w:r>
                  <w:r>
                    <w:rPr>
                      <w:rFonts w:ascii="Segoe UI"/>
                      <w:color w:val="452A70"/>
                      <w:spacing w:val="-3"/>
                      <w:sz w:val="20"/>
                    </w:rPr>
                    <w:t> </w:t>
                  </w:r>
                  <w:r>
                    <w:rPr>
                      <w:rFonts w:ascii="Segoe UI"/>
                      <w:color w:val="452A70"/>
                      <w:sz w:val="20"/>
                    </w:rPr>
                    <w:t>boarding</w:t>
                  </w:r>
                  <w:r>
                    <w:rPr>
                      <w:rFonts w:ascii="Segoe UI"/>
                      <w:color w:val="452A70"/>
                      <w:spacing w:val="-4"/>
                      <w:sz w:val="20"/>
                    </w:rPr>
                    <w:t> </w:t>
                  </w:r>
                  <w:r>
                    <w:rPr>
                      <w:rFonts w:ascii="Segoe UI"/>
                      <w:color w:val="452A70"/>
                      <w:spacing w:val="-1"/>
                      <w:sz w:val="20"/>
                    </w:rPr>
                    <w:t>students</w:t>
                  </w:r>
                  <w:r>
                    <w:rPr>
                      <w:rFonts w:ascii="Segoe UI"/>
                      <w:color w:val="452A70"/>
                      <w:spacing w:val="-4"/>
                      <w:sz w:val="20"/>
                    </w:rPr>
                    <w:t> </w:t>
                  </w:r>
                  <w:r>
                    <w:rPr>
                      <w:rFonts w:ascii="Segoe UI"/>
                      <w:color w:val="452A70"/>
                      <w:sz w:val="20"/>
                    </w:rPr>
                    <w:t>to</w:t>
                  </w:r>
                  <w:r>
                    <w:rPr>
                      <w:rFonts w:ascii="Segoe UI"/>
                      <w:color w:val="452A70"/>
                      <w:spacing w:val="-3"/>
                      <w:sz w:val="20"/>
                    </w:rPr>
                    <w:t> </w:t>
                  </w:r>
                  <w:r>
                    <w:rPr>
                      <w:rFonts w:ascii="Segoe UI"/>
                      <w:color w:val="452A70"/>
                      <w:sz w:val="20"/>
                    </w:rPr>
                    <w:t>attend</w:t>
                  </w:r>
                  <w:r>
                    <w:rPr>
                      <w:rFonts w:ascii="Segoe UI"/>
                      <w:color w:val="452A70"/>
                      <w:spacing w:val="-4"/>
                      <w:sz w:val="20"/>
                    </w:rPr>
                    <w:t> </w:t>
                  </w:r>
                  <w:r>
                    <w:rPr>
                      <w:rFonts w:ascii="Segoe UI"/>
                      <w:color w:val="452A70"/>
                      <w:sz w:val="20"/>
                    </w:rPr>
                    <w:t>Aboriginal</w:t>
                  </w:r>
                  <w:r>
                    <w:rPr>
                      <w:rFonts w:ascii="Segoe UI"/>
                      <w:color w:val="452A70"/>
                      <w:spacing w:val="-4"/>
                      <w:sz w:val="20"/>
                    </w:rPr>
                    <w:t> </w:t>
                  </w:r>
                  <w:r>
                    <w:rPr>
                      <w:rFonts w:ascii="Segoe UI"/>
                      <w:color w:val="452A70"/>
                      <w:sz w:val="20"/>
                    </w:rPr>
                    <w:t>and</w:t>
                  </w:r>
                  <w:r>
                    <w:rPr>
                      <w:rFonts w:ascii="Segoe UI"/>
                      <w:color w:val="452A70"/>
                      <w:spacing w:val="-4"/>
                      <w:sz w:val="20"/>
                    </w:rPr>
                    <w:t> </w:t>
                  </w:r>
                  <w:r>
                    <w:rPr>
                      <w:rFonts w:ascii="Segoe UI"/>
                      <w:color w:val="452A70"/>
                      <w:spacing w:val="-5"/>
                      <w:sz w:val="20"/>
                    </w:rPr>
                    <w:t>Torres</w:t>
                  </w:r>
                  <w:r>
                    <w:rPr>
                      <w:rFonts w:ascii="Segoe UI"/>
                      <w:color w:val="452A70"/>
                      <w:spacing w:val="-4"/>
                      <w:sz w:val="20"/>
                    </w:rPr>
                    <w:t> </w:t>
                  </w:r>
                  <w:r>
                    <w:rPr>
                      <w:rFonts w:ascii="Segoe UI"/>
                      <w:color w:val="452A70"/>
                      <w:spacing w:val="-2"/>
                      <w:sz w:val="20"/>
                    </w:rPr>
                    <w:t>Strait</w:t>
                  </w:r>
                  <w:r>
                    <w:rPr>
                      <w:rFonts w:ascii="Segoe UI"/>
                      <w:color w:val="452A70"/>
                      <w:spacing w:val="-4"/>
                      <w:sz w:val="20"/>
                    </w:rPr>
                    <w:t> </w:t>
                  </w:r>
                  <w:r>
                    <w:rPr>
                      <w:rFonts w:ascii="Segoe UI"/>
                      <w:color w:val="452A70"/>
                      <w:spacing w:val="-1"/>
                      <w:sz w:val="20"/>
                    </w:rPr>
                    <w:t>Islander</w:t>
                  </w:r>
                  <w:r>
                    <w:rPr>
                      <w:rFonts w:ascii="Segoe UI"/>
                      <w:color w:val="452A70"/>
                      <w:spacing w:val="38"/>
                      <w:w w:val="99"/>
                      <w:sz w:val="20"/>
                    </w:rPr>
                    <w:t> </w:t>
                  </w:r>
                  <w:r>
                    <w:rPr>
                      <w:rFonts w:ascii="Segoe UI"/>
                      <w:color w:val="452A70"/>
                      <w:sz w:val="20"/>
                    </w:rPr>
                    <w:t>boarding</w:t>
                  </w:r>
                  <w:r>
                    <w:rPr>
                      <w:rFonts w:ascii="Segoe UI"/>
                      <w:color w:val="452A70"/>
                      <w:spacing w:val="-7"/>
                      <w:sz w:val="20"/>
                    </w:rPr>
                    <w:t> </w:t>
                  </w:r>
                  <w:r>
                    <w:rPr>
                      <w:rFonts w:ascii="Segoe UI"/>
                      <w:color w:val="452A70"/>
                      <w:sz w:val="20"/>
                    </w:rPr>
                    <w:t>providers</w:t>
                  </w:r>
                  <w:r>
                    <w:rPr>
                      <w:rFonts w:ascii="Segoe UI"/>
                      <w:color w:val="452A70"/>
                      <w:spacing w:val="-7"/>
                      <w:sz w:val="20"/>
                    </w:rPr>
                    <w:t> </w:t>
                  </w:r>
                  <w:r>
                    <w:rPr>
                      <w:rFonts w:ascii="Segoe UI"/>
                      <w:color w:val="452A70"/>
                      <w:sz w:val="20"/>
                    </w:rPr>
                    <w:t>and</w:t>
                  </w:r>
                  <w:r>
                    <w:rPr>
                      <w:rFonts w:ascii="Segoe UI"/>
                      <w:color w:val="452A70"/>
                      <w:spacing w:val="-7"/>
                      <w:sz w:val="20"/>
                    </w:rPr>
                    <w:t> </w:t>
                  </w:r>
                  <w:r>
                    <w:rPr>
                      <w:rFonts w:ascii="Segoe UI"/>
                      <w:color w:val="452A70"/>
                      <w:sz w:val="20"/>
                    </w:rPr>
                    <w:t>other</w:t>
                  </w:r>
                  <w:r>
                    <w:rPr>
                      <w:rFonts w:ascii="Segoe UI"/>
                      <w:color w:val="452A70"/>
                      <w:spacing w:val="-6"/>
                      <w:sz w:val="20"/>
                    </w:rPr>
                    <w:t> </w:t>
                  </w:r>
                  <w:r>
                    <w:rPr>
                      <w:rFonts w:ascii="Segoe UI"/>
                      <w:color w:val="452A70"/>
                      <w:sz w:val="20"/>
                    </w:rPr>
                    <w:t>providers</w:t>
                  </w:r>
                  <w:r>
                    <w:rPr>
                      <w:rFonts w:ascii="Segoe UI"/>
                      <w:color w:val="452A70"/>
                      <w:spacing w:val="-7"/>
                      <w:sz w:val="20"/>
                    </w:rPr>
                    <w:t> </w:t>
                  </w:r>
                  <w:r>
                    <w:rPr>
                      <w:rFonts w:ascii="Segoe UI"/>
                      <w:color w:val="452A70"/>
                      <w:spacing w:val="-1"/>
                      <w:sz w:val="20"/>
                    </w:rPr>
                    <w:t>located</w:t>
                  </w:r>
                  <w:r>
                    <w:rPr>
                      <w:rFonts w:ascii="Segoe UI"/>
                      <w:color w:val="452A70"/>
                      <w:spacing w:val="-6"/>
                      <w:sz w:val="20"/>
                    </w:rPr>
                    <w:t> </w:t>
                  </w:r>
                  <w:r>
                    <w:rPr>
                      <w:rFonts w:ascii="Segoe UI"/>
                      <w:color w:val="452A70"/>
                      <w:spacing w:val="-1"/>
                      <w:sz w:val="20"/>
                    </w:rPr>
                    <w:t>in</w:t>
                  </w:r>
                  <w:r>
                    <w:rPr>
                      <w:rFonts w:ascii="Segoe UI"/>
                      <w:color w:val="452A70"/>
                      <w:spacing w:val="-6"/>
                      <w:sz w:val="20"/>
                    </w:rPr>
                    <w:t> </w:t>
                  </w:r>
                  <w:r>
                    <w:rPr>
                      <w:rFonts w:ascii="Segoe UI"/>
                      <w:color w:val="452A70"/>
                      <w:sz w:val="20"/>
                    </w:rPr>
                    <w:t>regional,</w:t>
                  </w:r>
                  <w:r>
                    <w:rPr>
                      <w:rFonts w:ascii="Segoe UI"/>
                      <w:color w:val="452A70"/>
                      <w:spacing w:val="-7"/>
                      <w:sz w:val="20"/>
                    </w:rPr>
                    <w:t> </w:t>
                  </w:r>
                  <w:r>
                    <w:rPr>
                      <w:rFonts w:ascii="Segoe UI"/>
                      <w:color w:val="452A70"/>
                      <w:sz w:val="20"/>
                    </w:rPr>
                    <w:t>remote</w:t>
                  </w:r>
                  <w:r>
                    <w:rPr>
                      <w:rFonts w:ascii="Segoe UI"/>
                      <w:color w:val="452A70"/>
                      <w:spacing w:val="-7"/>
                      <w:sz w:val="20"/>
                    </w:rPr>
                    <w:t> </w:t>
                  </w:r>
                  <w:r>
                    <w:rPr>
                      <w:rFonts w:ascii="Segoe UI"/>
                      <w:color w:val="452A70"/>
                      <w:sz w:val="20"/>
                    </w:rPr>
                    <w:t>and</w:t>
                  </w:r>
                  <w:r>
                    <w:rPr>
                      <w:rFonts w:ascii="Segoe UI"/>
                      <w:color w:val="452A70"/>
                      <w:spacing w:val="-7"/>
                      <w:sz w:val="20"/>
                    </w:rPr>
                    <w:t> </w:t>
                  </w:r>
                  <w:r>
                    <w:rPr>
                      <w:rFonts w:ascii="Segoe UI"/>
                      <w:color w:val="452A70"/>
                      <w:sz w:val="20"/>
                    </w:rPr>
                    <w:t>very</w:t>
                  </w:r>
                  <w:r>
                    <w:rPr>
                      <w:rFonts w:ascii="Segoe UI"/>
                      <w:color w:val="452A70"/>
                      <w:spacing w:val="-6"/>
                      <w:sz w:val="20"/>
                    </w:rPr>
                    <w:t> </w:t>
                  </w:r>
                  <w:r>
                    <w:rPr>
                      <w:rFonts w:ascii="Segoe UI"/>
                      <w:color w:val="452A70"/>
                      <w:sz w:val="20"/>
                    </w:rPr>
                    <w:t>remote</w:t>
                  </w:r>
                  <w:r>
                    <w:rPr>
                      <w:rFonts w:ascii="Segoe UI"/>
                      <w:color w:val="452A70"/>
                      <w:spacing w:val="-7"/>
                      <w:sz w:val="20"/>
                    </w:rPr>
                    <w:t> </w:t>
                  </w:r>
                  <w:r>
                    <w:rPr>
                      <w:rFonts w:ascii="Segoe UI"/>
                      <w:color w:val="452A70"/>
                      <w:sz w:val="20"/>
                    </w:rPr>
                    <w:t>areas.</w:t>
                  </w:r>
                  <w:r>
                    <w:rPr>
                      <w:rFonts w:ascii="Segoe UI"/>
                      <w:sz w:val="20"/>
                    </w:rPr>
                  </w:r>
                </w:p>
              </w:txbxContent>
            </v:textbox>
            <v:fill type="solid"/>
            <v:stroke dashstyle="dash"/>
            <w10:wrap type="none"/>
          </v:shape>
        </w:pict>
      </w:r>
      <w:r>
        <w:rPr>
          <w:rFonts w:ascii="Segoe UI" w:hAnsi="Segoe UI" w:cs="Segoe UI" w:eastAsia="Segoe UI"/>
          <w:sz w:val="20"/>
          <w:szCs w:val="20"/>
        </w:rPr>
      </w:r>
    </w:p>
    <w:p>
      <w:pPr>
        <w:spacing w:after="0" w:line="200" w:lineRule="atLeast"/>
        <w:rPr>
          <w:rFonts w:ascii="Segoe UI" w:hAnsi="Segoe UI" w:cs="Segoe UI" w:eastAsia="Segoe UI"/>
          <w:sz w:val="20"/>
          <w:szCs w:val="20"/>
        </w:rPr>
        <w:sectPr>
          <w:type w:val="continuous"/>
          <w:pgSz w:w="11910" w:h="16840"/>
          <w:pgMar w:top="1580" w:bottom="280" w:left="1600" w:right="1300"/>
        </w:sectPr>
      </w:pPr>
    </w:p>
    <w:p>
      <w:pPr>
        <w:spacing w:line="240" w:lineRule="auto" w:before="3"/>
        <w:rPr>
          <w:rFonts w:ascii="Segoe UI" w:hAnsi="Segoe UI" w:cs="Segoe UI" w:eastAsia="Segoe UI"/>
          <w:sz w:val="10"/>
          <w:szCs w:val="10"/>
        </w:rPr>
      </w:pPr>
    </w:p>
    <w:p>
      <w:pPr>
        <w:pStyle w:val="Heading1"/>
        <w:numPr>
          <w:ilvl w:val="0"/>
          <w:numId w:val="6"/>
        </w:numPr>
        <w:tabs>
          <w:tab w:pos="838" w:val="left" w:leader="none"/>
        </w:tabs>
        <w:spacing w:line="180" w:lineRule="auto" w:before="100" w:after="0"/>
        <w:ind w:left="117" w:right="1117" w:firstLine="0"/>
        <w:jc w:val="left"/>
      </w:pPr>
      <w:bookmarkStart w:name="_TOC_250009" w:id="27"/>
      <w:r>
        <w:rPr>
          <w:color w:val="67973F"/>
          <w:spacing w:val="-2"/>
        </w:rPr>
        <w:t>Retention,</w:t>
      </w:r>
      <w:r>
        <w:rPr>
          <w:color w:val="67973F"/>
          <w:spacing w:val="-10"/>
        </w:rPr>
        <w:t> </w:t>
      </w:r>
      <w:r>
        <w:rPr>
          <w:color w:val="67973F"/>
        </w:rPr>
        <w:t>expulsion,</w:t>
      </w:r>
      <w:r>
        <w:rPr>
          <w:color w:val="67973F"/>
          <w:spacing w:val="-9"/>
        </w:rPr>
        <w:t> </w:t>
      </w:r>
      <w:r>
        <w:rPr>
          <w:color w:val="67973F"/>
          <w:spacing w:val="-1"/>
        </w:rPr>
        <w:t>suspensions</w:t>
      </w:r>
      <w:r>
        <w:rPr>
          <w:color w:val="67973F"/>
          <w:spacing w:val="-6"/>
        </w:rPr>
        <w:t> </w:t>
      </w:r>
      <w:r>
        <w:rPr>
          <w:color w:val="67973F"/>
        </w:rPr>
        <w:t>and</w:t>
      </w:r>
      <w:r>
        <w:rPr>
          <w:color w:val="67973F"/>
          <w:spacing w:val="29"/>
          <w:w w:val="99"/>
        </w:rPr>
        <w:t> </w:t>
      </w:r>
      <w:r>
        <w:rPr>
          <w:color w:val="67973F"/>
        </w:rPr>
        <w:t>graduations</w:t>
      </w:r>
      <w:bookmarkEnd w:id="27"/>
      <w:r>
        <w:rPr/>
      </w:r>
    </w:p>
    <w:p>
      <w:pPr>
        <w:spacing w:line="240" w:lineRule="auto" w:before="1"/>
        <w:rPr>
          <w:rFonts w:ascii="Segoe UI" w:hAnsi="Segoe UI" w:cs="Segoe UI" w:eastAsia="Segoe UI"/>
          <w:sz w:val="13"/>
          <w:szCs w:val="13"/>
        </w:rPr>
      </w:pPr>
    </w:p>
    <w:p>
      <w:pPr>
        <w:spacing w:after="0" w:line="240" w:lineRule="auto"/>
        <w:rPr>
          <w:rFonts w:ascii="Segoe UI" w:hAnsi="Segoe UI" w:cs="Segoe UI" w:eastAsia="Segoe UI"/>
          <w:sz w:val="13"/>
          <w:szCs w:val="13"/>
        </w:rPr>
        <w:sectPr>
          <w:pgSz w:w="11910" w:h="16840"/>
          <w:pgMar w:header="0" w:footer="691" w:top="1580" w:bottom="880" w:left="1300" w:right="1300"/>
        </w:sectPr>
      </w:pPr>
    </w:p>
    <w:p>
      <w:pPr>
        <w:pStyle w:val="BodyText"/>
        <w:spacing w:line="250" w:lineRule="exact" w:before="62"/>
        <w:ind w:right="0"/>
        <w:jc w:val="left"/>
      </w:pPr>
      <w:r>
        <w:rPr>
          <w:color w:val="231F20"/>
          <w:spacing w:val="-1"/>
        </w:rPr>
        <w:t>It</w:t>
      </w:r>
      <w:r>
        <w:rPr>
          <w:color w:val="231F20"/>
          <w:spacing w:val="-3"/>
        </w:rPr>
        <w:t> </w:t>
      </w:r>
      <w:r>
        <w:rPr>
          <w:color w:val="231F20"/>
          <w:spacing w:val="-1"/>
        </w:rPr>
        <w:t>is</w:t>
      </w:r>
      <w:r>
        <w:rPr>
          <w:color w:val="231F20"/>
          <w:spacing w:val="-4"/>
        </w:rPr>
        <w:t> </w:t>
      </w:r>
      <w:r>
        <w:rPr>
          <w:color w:val="231F20"/>
          <w:spacing w:val="-1"/>
        </w:rPr>
        <w:t>long</w:t>
      </w:r>
      <w:r>
        <w:rPr>
          <w:color w:val="231F20"/>
          <w:spacing w:val="-3"/>
        </w:rPr>
        <w:t> </w:t>
      </w:r>
      <w:r>
        <w:rPr>
          <w:color w:val="231F20"/>
        </w:rPr>
        <w:t>established</w:t>
      </w:r>
      <w:r>
        <w:rPr>
          <w:color w:val="231F20"/>
          <w:spacing w:val="-4"/>
        </w:rPr>
        <w:t> </w:t>
      </w:r>
      <w:r>
        <w:rPr>
          <w:color w:val="231F20"/>
        </w:rPr>
        <w:t>that</w:t>
      </w:r>
      <w:r>
        <w:rPr>
          <w:color w:val="231F20"/>
          <w:spacing w:val="-4"/>
        </w:rPr>
        <w:t> </w:t>
      </w:r>
      <w:r>
        <w:rPr>
          <w:color w:val="231F20"/>
          <w:spacing w:val="-1"/>
        </w:rPr>
        <w:t>increased</w:t>
      </w:r>
      <w:r>
        <w:rPr>
          <w:color w:val="231F20"/>
          <w:spacing w:val="-3"/>
        </w:rPr>
        <w:t> </w:t>
      </w:r>
      <w:r>
        <w:rPr>
          <w:color w:val="231F20"/>
          <w:spacing w:val="-1"/>
        </w:rPr>
        <w:t>school</w:t>
      </w:r>
      <w:r>
        <w:rPr>
          <w:color w:val="231F20"/>
          <w:spacing w:val="24"/>
        </w:rPr>
        <w:t> </w:t>
      </w:r>
      <w:r>
        <w:rPr>
          <w:color w:val="231F20"/>
        </w:rPr>
        <w:t>attendance</w:t>
      </w:r>
      <w:r>
        <w:rPr>
          <w:color w:val="231F20"/>
          <w:spacing w:val="-9"/>
        </w:rPr>
        <w:t> </w:t>
      </w:r>
      <w:r>
        <w:rPr>
          <w:color w:val="231F20"/>
          <w:spacing w:val="-1"/>
        </w:rPr>
        <w:t>leads</w:t>
      </w:r>
      <w:r>
        <w:rPr>
          <w:color w:val="231F20"/>
          <w:spacing w:val="-7"/>
        </w:rPr>
        <w:t> </w:t>
      </w:r>
      <w:r>
        <w:rPr>
          <w:color w:val="231F20"/>
        </w:rPr>
        <w:t>to</w:t>
      </w:r>
      <w:r>
        <w:rPr>
          <w:color w:val="231F20"/>
          <w:spacing w:val="-7"/>
        </w:rPr>
        <w:t> </w:t>
      </w:r>
      <w:r>
        <w:rPr>
          <w:color w:val="231F20"/>
          <w:spacing w:val="-1"/>
        </w:rPr>
        <w:t>stronger</w:t>
      </w:r>
      <w:r>
        <w:rPr>
          <w:color w:val="231F20"/>
          <w:spacing w:val="-7"/>
        </w:rPr>
        <w:t> </w:t>
      </w:r>
      <w:r>
        <w:rPr>
          <w:color w:val="231F20"/>
        </w:rPr>
        <w:t>educational</w:t>
      </w:r>
      <w:r>
        <w:rPr>
          <w:color w:val="231F20"/>
          <w:spacing w:val="23"/>
          <w:w w:val="99"/>
        </w:rPr>
        <w:t> </w:t>
      </w:r>
      <w:r>
        <w:rPr>
          <w:color w:val="231F20"/>
        </w:rPr>
        <w:t>outcomes.</w:t>
      </w:r>
      <w:r>
        <w:rPr>
          <w:color w:val="231F20"/>
          <w:spacing w:val="-8"/>
        </w:rPr>
        <w:t> </w:t>
      </w:r>
      <w:r>
        <w:rPr>
          <w:color w:val="231F20"/>
          <w:spacing w:val="-1"/>
        </w:rPr>
        <w:t>Closing</w:t>
      </w:r>
      <w:r>
        <w:rPr>
          <w:color w:val="231F20"/>
          <w:spacing w:val="-6"/>
        </w:rPr>
        <w:t> </w:t>
      </w:r>
      <w:r>
        <w:rPr>
          <w:color w:val="231F20"/>
        </w:rPr>
        <w:t>the</w:t>
      </w:r>
      <w:r>
        <w:rPr>
          <w:color w:val="231F20"/>
          <w:spacing w:val="-8"/>
        </w:rPr>
        <w:t> </w:t>
      </w:r>
      <w:r>
        <w:rPr>
          <w:color w:val="231F20"/>
        </w:rPr>
        <w:t>gap</w:t>
      </w:r>
      <w:r>
        <w:rPr>
          <w:color w:val="231F20"/>
          <w:spacing w:val="-6"/>
        </w:rPr>
        <w:t> </w:t>
      </w:r>
      <w:r>
        <w:rPr>
          <w:color w:val="231F20"/>
        </w:rPr>
        <w:t>between</w:t>
      </w:r>
      <w:r>
        <w:rPr>
          <w:color w:val="231F20"/>
          <w:spacing w:val="-8"/>
        </w:rPr>
        <w:t> </w:t>
      </w:r>
      <w:r>
        <w:rPr>
          <w:color w:val="231F20"/>
        </w:rPr>
        <w:t>Aboriginal</w:t>
      </w:r>
      <w:r>
        <w:rPr>
          <w:color w:val="231F20"/>
          <w:spacing w:val="22"/>
          <w:w w:val="99"/>
        </w:rPr>
        <w:t> </w:t>
      </w:r>
      <w:r>
        <w:rPr>
          <w:color w:val="231F20"/>
        </w:rPr>
        <w:t>and</w:t>
      </w:r>
      <w:r>
        <w:rPr>
          <w:color w:val="231F20"/>
          <w:spacing w:val="-8"/>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and</w:t>
      </w:r>
      <w:r>
        <w:rPr>
          <w:color w:val="231F20"/>
          <w:spacing w:val="-7"/>
        </w:rPr>
        <w:t> </w:t>
      </w:r>
      <w:r>
        <w:rPr>
          <w:color w:val="231F20"/>
        </w:rPr>
        <w:t>non-Indigenous</w:t>
      </w:r>
      <w:r>
        <w:rPr>
          <w:color w:val="231F20"/>
          <w:spacing w:val="21"/>
          <w:w w:val="99"/>
        </w:rPr>
        <w:t> </w:t>
      </w:r>
      <w:r>
        <w:rPr>
          <w:color w:val="231F20"/>
          <w:spacing w:val="-1"/>
        </w:rPr>
        <w:t>school</w:t>
      </w:r>
      <w:r>
        <w:rPr>
          <w:color w:val="231F20"/>
          <w:spacing w:val="-3"/>
        </w:rPr>
        <w:t> </w:t>
      </w:r>
      <w:r>
        <w:rPr>
          <w:color w:val="231F20"/>
        </w:rPr>
        <w:t>attendance</w:t>
      </w:r>
      <w:r>
        <w:rPr>
          <w:color w:val="231F20"/>
          <w:spacing w:val="-4"/>
        </w:rPr>
        <w:t> </w:t>
      </w:r>
      <w:r>
        <w:rPr>
          <w:color w:val="231F20"/>
        </w:rPr>
        <w:t>by</w:t>
      </w:r>
      <w:r>
        <w:rPr>
          <w:color w:val="231F20"/>
          <w:spacing w:val="-3"/>
        </w:rPr>
        <w:t> </w:t>
      </w:r>
      <w:r>
        <w:rPr>
          <w:color w:val="231F20"/>
          <w:spacing w:val="-1"/>
        </w:rPr>
        <w:t>2018</w:t>
      </w:r>
      <w:r>
        <w:rPr>
          <w:color w:val="231F20"/>
          <w:spacing w:val="-3"/>
        </w:rPr>
        <w:t> </w:t>
      </w:r>
      <w:r>
        <w:rPr>
          <w:color w:val="231F20"/>
          <w:spacing w:val="-1"/>
        </w:rPr>
        <w:t>is</w:t>
      </w:r>
      <w:r>
        <w:rPr>
          <w:color w:val="231F20"/>
          <w:spacing w:val="-4"/>
        </w:rPr>
        <w:t> </w:t>
      </w:r>
      <w:r>
        <w:rPr>
          <w:color w:val="231F20"/>
        </w:rPr>
        <w:t>one</w:t>
      </w:r>
      <w:r>
        <w:rPr>
          <w:color w:val="231F20"/>
          <w:spacing w:val="-3"/>
        </w:rPr>
        <w:t> </w:t>
      </w:r>
      <w:r>
        <w:rPr>
          <w:color w:val="231F20"/>
        </w:rPr>
        <w:t>of</w:t>
      </w:r>
      <w:r>
        <w:rPr>
          <w:color w:val="231F20"/>
          <w:spacing w:val="-2"/>
        </w:rPr>
        <w:t> </w:t>
      </w:r>
      <w:r>
        <w:rPr>
          <w:color w:val="231F20"/>
        </w:rPr>
        <w:t>the</w:t>
      </w:r>
      <w:r>
        <w:rPr>
          <w:color w:val="231F20"/>
          <w:spacing w:val="24"/>
          <w:w w:val="99"/>
        </w:rPr>
        <w:t> </w:t>
      </w:r>
      <w:r>
        <w:rPr>
          <w:color w:val="231F20"/>
        </w:rPr>
        <w:t>Australian</w:t>
      </w:r>
      <w:r>
        <w:rPr>
          <w:color w:val="231F20"/>
          <w:spacing w:val="-7"/>
        </w:rPr>
        <w:t> </w:t>
      </w:r>
      <w:r>
        <w:rPr>
          <w:color w:val="231F20"/>
        </w:rPr>
        <w:t>Government’s</w:t>
      </w:r>
      <w:r>
        <w:rPr>
          <w:color w:val="231F20"/>
          <w:spacing w:val="-7"/>
        </w:rPr>
        <w:t> </w:t>
      </w:r>
      <w:r>
        <w:rPr>
          <w:color w:val="231F20"/>
        </w:rPr>
        <w:t>closing</w:t>
      </w:r>
      <w:r>
        <w:rPr>
          <w:color w:val="231F20"/>
          <w:spacing w:val="-8"/>
        </w:rPr>
        <w:t> </w:t>
      </w:r>
      <w:r>
        <w:rPr>
          <w:color w:val="231F20"/>
        </w:rPr>
        <w:t>the</w:t>
      </w:r>
      <w:r>
        <w:rPr>
          <w:color w:val="231F20"/>
          <w:spacing w:val="-8"/>
        </w:rPr>
        <w:t> </w:t>
      </w:r>
      <w:r>
        <w:rPr>
          <w:color w:val="231F20"/>
        </w:rPr>
        <w:t>gap</w:t>
      </w:r>
      <w:r>
        <w:rPr>
          <w:color w:val="231F20"/>
          <w:w w:val="99"/>
        </w:rPr>
        <w:t> </w:t>
      </w:r>
      <w:r>
        <w:rPr>
          <w:color w:val="231F20"/>
        </w:rPr>
        <w:t>targets.</w:t>
      </w:r>
      <w:r>
        <w:rPr>
          <w:color w:val="231F20"/>
          <w:spacing w:val="-6"/>
        </w:rPr>
        <w:t> </w:t>
      </w:r>
      <w:r>
        <w:rPr>
          <w:color w:val="231F20"/>
        </w:rPr>
        <w:t>The</w:t>
      </w:r>
      <w:r>
        <w:rPr>
          <w:color w:val="231F20"/>
          <w:spacing w:val="-4"/>
        </w:rPr>
        <w:t> </w:t>
      </w:r>
      <w:r>
        <w:rPr>
          <w:color w:val="231F20"/>
          <w:spacing w:val="-1"/>
        </w:rPr>
        <w:t>impact</w:t>
      </w:r>
      <w:r>
        <w:rPr>
          <w:color w:val="231F20"/>
          <w:spacing w:val="-4"/>
        </w:rPr>
        <w:t> </w:t>
      </w:r>
      <w:r>
        <w:rPr>
          <w:color w:val="231F20"/>
        </w:rPr>
        <w:t>of</w:t>
      </w:r>
      <w:r>
        <w:rPr>
          <w:color w:val="231F20"/>
          <w:spacing w:val="-5"/>
        </w:rPr>
        <w:t> </w:t>
      </w:r>
      <w:r>
        <w:rPr>
          <w:color w:val="231F20"/>
          <w:spacing w:val="-1"/>
        </w:rPr>
        <w:t>investment</w:t>
      </w:r>
      <w:r>
        <w:rPr>
          <w:color w:val="231F20"/>
          <w:spacing w:val="-4"/>
        </w:rPr>
        <w:t> </w:t>
      </w:r>
      <w:r>
        <w:rPr>
          <w:color w:val="231F20"/>
          <w:spacing w:val="-1"/>
        </w:rPr>
        <w:t>in</w:t>
      </w:r>
      <w:r>
        <w:rPr>
          <w:color w:val="231F20"/>
          <w:spacing w:val="-4"/>
        </w:rPr>
        <w:t> </w:t>
      </w:r>
      <w:r>
        <w:rPr>
          <w:color w:val="231F20"/>
        </w:rPr>
        <w:t>boarding</w:t>
      </w:r>
      <w:r>
        <w:rPr>
          <w:color w:val="231F20"/>
          <w:spacing w:val="24"/>
          <w:w w:val="99"/>
        </w:rPr>
        <w:t> </w:t>
      </w:r>
      <w:r>
        <w:rPr>
          <w:color w:val="231F20"/>
        </w:rPr>
        <w:t>on</w:t>
      </w:r>
      <w:r>
        <w:rPr>
          <w:color w:val="231F20"/>
          <w:spacing w:val="-8"/>
        </w:rPr>
        <w:t> </w:t>
      </w:r>
      <w:r>
        <w:rPr>
          <w:color w:val="231F20"/>
        </w:rPr>
        <w:t>attendance</w:t>
      </w:r>
      <w:r>
        <w:rPr>
          <w:color w:val="231F20"/>
          <w:spacing w:val="-8"/>
        </w:rPr>
        <w:t> </w:t>
      </w:r>
      <w:r>
        <w:rPr>
          <w:color w:val="231F20"/>
        </w:rPr>
        <w:t>has</w:t>
      </w:r>
      <w:r>
        <w:rPr>
          <w:color w:val="231F20"/>
          <w:spacing w:val="-8"/>
        </w:rPr>
        <w:t> </w:t>
      </w:r>
      <w:r>
        <w:rPr>
          <w:color w:val="231F20"/>
        </w:rPr>
        <w:t>been</w:t>
      </w:r>
      <w:r>
        <w:rPr>
          <w:color w:val="231F20"/>
          <w:spacing w:val="-8"/>
        </w:rPr>
        <w:t> </w:t>
      </w:r>
      <w:r>
        <w:rPr>
          <w:color w:val="231F20"/>
        </w:rPr>
        <w:t>addressed</w:t>
      </w:r>
      <w:r>
        <w:rPr>
          <w:color w:val="231F20"/>
          <w:spacing w:val="-8"/>
        </w:rPr>
        <w:t> </w:t>
      </w:r>
      <w:r>
        <w:rPr>
          <w:color w:val="231F20"/>
        </w:rPr>
        <w:t>throughout</w:t>
      </w:r>
      <w:r>
        <w:rPr>
          <w:color w:val="231F20"/>
          <w:w w:val="99"/>
        </w:rPr>
        <w:t> </w:t>
      </w:r>
      <w:r>
        <w:rPr>
          <w:color w:val="231F20"/>
        </w:rPr>
        <w:t>this</w:t>
      </w:r>
      <w:r>
        <w:rPr>
          <w:color w:val="231F20"/>
          <w:spacing w:val="-7"/>
        </w:rPr>
        <w:t> </w:t>
      </w:r>
      <w:r>
        <w:rPr>
          <w:color w:val="231F20"/>
        </w:rPr>
        <w:t>report.</w:t>
      </w:r>
      <w:r>
        <w:rPr>
          <w:color w:val="231F20"/>
          <w:spacing w:val="-6"/>
        </w:rPr>
        <w:t> </w:t>
      </w:r>
      <w:r>
        <w:rPr>
          <w:color w:val="231F20"/>
          <w:spacing w:val="-1"/>
        </w:rPr>
        <w:t>Key</w:t>
      </w:r>
      <w:r>
        <w:rPr>
          <w:color w:val="231F20"/>
          <w:spacing w:val="-6"/>
        </w:rPr>
        <w:t> </w:t>
      </w:r>
      <w:r>
        <w:rPr>
          <w:color w:val="231F20"/>
          <w:spacing w:val="-1"/>
        </w:rPr>
        <w:t>impactors</w:t>
      </w:r>
      <w:r>
        <w:rPr>
          <w:color w:val="231F20"/>
          <w:spacing w:val="-6"/>
        </w:rPr>
        <w:t> </w:t>
      </w:r>
      <w:r>
        <w:rPr>
          <w:color w:val="231F20"/>
        </w:rPr>
        <w:t>on</w:t>
      </w:r>
      <w:r>
        <w:rPr>
          <w:color w:val="231F20"/>
          <w:spacing w:val="-5"/>
        </w:rPr>
        <w:t> </w:t>
      </w:r>
      <w:r>
        <w:rPr>
          <w:color w:val="231F20"/>
        </w:rPr>
        <w:t>attendance</w:t>
      </w:r>
      <w:r>
        <w:rPr>
          <w:color w:val="231F20"/>
          <w:spacing w:val="-7"/>
        </w:rPr>
        <w:t> </w:t>
      </w:r>
      <w:r>
        <w:rPr>
          <w:color w:val="231F20"/>
        </w:rPr>
        <w:t>rates</w:t>
      </w:r>
      <w:r>
        <w:rPr>
          <w:color w:val="231F20"/>
          <w:spacing w:val="22"/>
          <w:w w:val="99"/>
        </w:rPr>
        <w:t> </w:t>
      </w:r>
      <w:r>
        <w:rPr>
          <w:color w:val="231F20"/>
        </w:rPr>
        <w:t>are</w:t>
      </w:r>
      <w:r>
        <w:rPr>
          <w:color w:val="231F20"/>
          <w:spacing w:val="-3"/>
        </w:rPr>
        <w:t> </w:t>
      </w:r>
      <w:r>
        <w:rPr>
          <w:color w:val="231F20"/>
        </w:rPr>
        <w:t>expulsions,</w:t>
      </w:r>
      <w:r>
        <w:rPr>
          <w:color w:val="231F20"/>
          <w:spacing w:val="-2"/>
        </w:rPr>
        <w:t> </w:t>
      </w:r>
      <w:r>
        <w:rPr>
          <w:color w:val="231F20"/>
          <w:spacing w:val="-1"/>
        </w:rPr>
        <w:t>suspensions, </w:t>
      </w:r>
      <w:r>
        <w:rPr>
          <w:color w:val="231F20"/>
        </w:rPr>
        <w:t>exclusions</w:t>
      </w:r>
      <w:r>
        <w:rPr>
          <w:color w:val="231F20"/>
          <w:spacing w:val="-3"/>
        </w:rPr>
        <w:t> </w:t>
      </w:r>
      <w:r>
        <w:rPr>
          <w:color w:val="231F20"/>
        </w:rPr>
        <w:t>and</w:t>
      </w:r>
      <w:r>
        <w:rPr>
          <w:color w:val="231F20"/>
          <w:spacing w:val="22"/>
          <w:w w:val="99"/>
        </w:rPr>
        <w:t> </w:t>
      </w:r>
      <w:r>
        <w:rPr>
          <w:color w:val="231F20"/>
        </w:rPr>
        <w:t>retention</w:t>
      </w:r>
      <w:r>
        <w:rPr>
          <w:color w:val="231F20"/>
          <w:spacing w:val="-14"/>
        </w:rPr>
        <w:t> </w:t>
      </w:r>
      <w:r>
        <w:rPr>
          <w:color w:val="231F20"/>
        </w:rPr>
        <w:t>rates.</w:t>
      </w:r>
      <w:r>
        <w:rPr/>
      </w:r>
    </w:p>
    <w:p>
      <w:pPr>
        <w:pStyle w:val="BodyText"/>
        <w:spacing w:line="250" w:lineRule="exact" w:before="113"/>
        <w:ind w:right="12"/>
        <w:jc w:val="left"/>
      </w:pPr>
      <w:r>
        <w:rPr>
          <w:color w:val="231F20"/>
          <w:spacing w:val="-1"/>
        </w:rPr>
        <w:t>While</w:t>
      </w:r>
      <w:r>
        <w:rPr>
          <w:color w:val="231F20"/>
          <w:spacing w:val="-2"/>
        </w:rPr>
        <w:t> </w:t>
      </w:r>
      <w:r>
        <w:rPr>
          <w:color w:val="231F20"/>
        </w:rPr>
        <w:t>all</w:t>
      </w:r>
      <w:r>
        <w:rPr>
          <w:color w:val="231F20"/>
          <w:spacing w:val="-3"/>
        </w:rPr>
        <w:t> </w:t>
      </w:r>
      <w:r>
        <w:rPr>
          <w:color w:val="231F20"/>
          <w:spacing w:val="-1"/>
        </w:rPr>
        <w:t>schools</w:t>
      </w:r>
      <w:r>
        <w:rPr>
          <w:color w:val="231F20"/>
          <w:spacing w:val="-2"/>
        </w:rPr>
        <w:t> </w:t>
      </w:r>
      <w:r>
        <w:rPr>
          <w:color w:val="231F20"/>
        </w:rPr>
        <w:t>report</w:t>
      </w:r>
      <w:r>
        <w:rPr>
          <w:color w:val="231F20"/>
          <w:spacing w:val="-3"/>
        </w:rPr>
        <w:t> </w:t>
      </w:r>
      <w:r>
        <w:rPr>
          <w:color w:val="231F20"/>
        </w:rPr>
        <w:t>on</w:t>
      </w:r>
      <w:r>
        <w:rPr>
          <w:color w:val="231F20"/>
          <w:spacing w:val="-2"/>
        </w:rPr>
        <w:t> </w:t>
      </w:r>
      <w:r>
        <w:rPr>
          <w:color w:val="231F20"/>
        </w:rPr>
        <w:t>year</w:t>
      </w:r>
      <w:r>
        <w:rPr>
          <w:color w:val="231F20"/>
          <w:spacing w:val="-2"/>
        </w:rPr>
        <w:t> </w:t>
      </w:r>
      <w:r>
        <w:rPr>
          <w:color w:val="231F20"/>
          <w:spacing w:val="-1"/>
        </w:rPr>
        <w:t>12</w:t>
      </w:r>
      <w:r>
        <w:rPr>
          <w:color w:val="231F20"/>
          <w:spacing w:val="-2"/>
        </w:rPr>
        <w:t> </w:t>
      </w:r>
      <w:r>
        <w:rPr>
          <w:color w:val="231F20"/>
        </w:rPr>
        <w:t>or</w:t>
      </w:r>
      <w:r>
        <w:rPr>
          <w:color w:val="231F20"/>
          <w:spacing w:val="24"/>
          <w:w w:val="99"/>
        </w:rPr>
        <w:t> </w:t>
      </w:r>
      <w:r>
        <w:rPr>
          <w:color w:val="231F20"/>
        </w:rPr>
        <w:t>equivalent</w:t>
      </w:r>
      <w:r>
        <w:rPr>
          <w:color w:val="231F20"/>
          <w:spacing w:val="-8"/>
        </w:rPr>
        <w:t> </w:t>
      </w:r>
      <w:r>
        <w:rPr>
          <w:color w:val="231F20"/>
        </w:rPr>
        <w:t>outcomes</w:t>
      </w:r>
      <w:r>
        <w:rPr>
          <w:color w:val="231F20"/>
          <w:spacing w:val="-8"/>
        </w:rPr>
        <w:t> </w:t>
      </w:r>
      <w:r>
        <w:rPr>
          <w:color w:val="231F20"/>
        </w:rPr>
        <w:t>and</w:t>
      </w:r>
      <w:r>
        <w:rPr>
          <w:color w:val="231F20"/>
          <w:spacing w:val="-8"/>
        </w:rPr>
        <w:t> </w:t>
      </w:r>
      <w:r>
        <w:rPr>
          <w:color w:val="231F20"/>
        </w:rPr>
        <w:t>attendance,</w:t>
      </w:r>
      <w:r>
        <w:rPr>
          <w:color w:val="231F20"/>
          <w:spacing w:val="-8"/>
        </w:rPr>
        <w:t> </w:t>
      </w:r>
      <w:r>
        <w:rPr>
          <w:color w:val="231F20"/>
        </w:rPr>
        <w:t>Grant</w:t>
      </w:r>
      <w:r>
        <w:rPr>
          <w:color w:val="231F20"/>
          <w:w w:val="99"/>
        </w:rPr>
        <w:t> </w:t>
      </w:r>
      <w:r>
        <w:rPr>
          <w:color w:val="231F20"/>
        </w:rPr>
        <w:t>Thornton</w:t>
      </w:r>
      <w:r>
        <w:rPr>
          <w:color w:val="231F20"/>
          <w:spacing w:val="-7"/>
        </w:rPr>
        <w:t> </w:t>
      </w:r>
      <w:r>
        <w:rPr>
          <w:color w:val="231F20"/>
        </w:rPr>
        <w:t>found</w:t>
      </w:r>
      <w:r>
        <w:rPr>
          <w:color w:val="231F20"/>
          <w:spacing w:val="-7"/>
        </w:rPr>
        <w:t> </w:t>
      </w:r>
      <w:r>
        <w:rPr>
          <w:color w:val="231F20"/>
        </w:rPr>
        <w:t>that</w:t>
      </w:r>
      <w:r>
        <w:rPr>
          <w:color w:val="231F20"/>
          <w:spacing w:val="-7"/>
        </w:rPr>
        <w:t> </w:t>
      </w:r>
      <w:r>
        <w:rPr>
          <w:color w:val="231F20"/>
        </w:rPr>
        <w:t>not</w:t>
      </w:r>
      <w:r>
        <w:rPr>
          <w:color w:val="231F20"/>
          <w:spacing w:val="-6"/>
        </w:rPr>
        <w:t> </w:t>
      </w:r>
      <w:r>
        <w:rPr>
          <w:color w:val="231F20"/>
        </w:rPr>
        <w:t>all</w:t>
      </w:r>
      <w:r>
        <w:rPr>
          <w:color w:val="231F20"/>
          <w:spacing w:val="-7"/>
        </w:rPr>
        <w:t> </w:t>
      </w:r>
      <w:r>
        <w:rPr>
          <w:color w:val="231F20"/>
        </w:rPr>
        <w:t>boarding</w:t>
      </w:r>
      <w:r>
        <w:rPr>
          <w:color w:val="231F20"/>
          <w:spacing w:val="-7"/>
        </w:rPr>
        <w:t> </w:t>
      </w:r>
      <w:r>
        <w:rPr>
          <w:color w:val="231F20"/>
        </w:rPr>
        <w:t>providers</w:t>
      </w:r>
      <w:r>
        <w:rPr>
          <w:color w:val="231F20"/>
          <w:w w:val="99"/>
        </w:rPr>
        <w:t> </w:t>
      </w:r>
      <w:r>
        <w:rPr>
          <w:color w:val="231F20"/>
        </w:rPr>
        <w:t>retain</w:t>
      </w:r>
      <w:r>
        <w:rPr>
          <w:color w:val="231F20"/>
          <w:spacing w:val="-7"/>
        </w:rPr>
        <w:t> </w:t>
      </w:r>
      <w:r>
        <w:rPr>
          <w:color w:val="231F20"/>
        </w:rPr>
        <w:t>and</w:t>
      </w:r>
      <w:r>
        <w:rPr>
          <w:color w:val="231F20"/>
          <w:spacing w:val="-6"/>
        </w:rPr>
        <w:t> </w:t>
      </w:r>
      <w:r>
        <w:rPr>
          <w:color w:val="231F20"/>
        </w:rPr>
        <w:t>report</w:t>
      </w:r>
      <w:r>
        <w:rPr>
          <w:color w:val="231F20"/>
          <w:spacing w:val="-6"/>
        </w:rPr>
        <w:t> </w:t>
      </w:r>
      <w:r>
        <w:rPr>
          <w:color w:val="231F20"/>
        </w:rPr>
        <w:t>data</w:t>
      </w:r>
      <w:r>
        <w:rPr>
          <w:color w:val="231F20"/>
          <w:spacing w:val="-7"/>
        </w:rPr>
        <w:t> </w:t>
      </w:r>
      <w:r>
        <w:rPr>
          <w:color w:val="231F20"/>
        </w:rPr>
        <w:t>regarding</w:t>
      </w:r>
      <w:r>
        <w:rPr>
          <w:color w:val="231F20"/>
          <w:spacing w:val="-6"/>
        </w:rPr>
        <w:t> </w:t>
      </w:r>
      <w:r>
        <w:rPr>
          <w:color w:val="231F20"/>
        </w:rPr>
        <w:t>expulsions</w:t>
      </w:r>
      <w:r>
        <w:rPr>
          <w:color w:val="231F20"/>
        </w:rPr>
        <w:t> and</w:t>
      </w:r>
      <w:r>
        <w:rPr>
          <w:color w:val="231F20"/>
          <w:spacing w:val="-5"/>
        </w:rPr>
        <w:t> </w:t>
      </w:r>
      <w:r>
        <w:rPr>
          <w:color w:val="231F20"/>
          <w:spacing w:val="-1"/>
        </w:rPr>
        <w:t>suspensions—numbers</w:t>
      </w:r>
      <w:r>
        <w:rPr>
          <w:color w:val="231F20"/>
          <w:spacing w:val="-2"/>
        </w:rPr>
        <w:t> </w:t>
      </w:r>
      <w:r>
        <w:rPr>
          <w:color w:val="231F20"/>
        </w:rPr>
        <w:t>and</w:t>
      </w:r>
      <w:r>
        <w:rPr>
          <w:color w:val="231F20"/>
          <w:spacing w:val="-4"/>
        </w:rPr>
        <w:t> </w:t>
      </w:r>
      <w:r>
        <w:rPr>
          <w:color w:val="231F20"/>
        </w:rPr>
        <w:t>reasons.</w:t>
      </w:r>
      <w:r>
        <w:rPr>
          <w:color w:val="231F20"/>
          <w:spacing w:val="-4"/>
        </w:rPr>
        <w:t> </w:t>
      </w:r>
      <w:r>
        <w:rPr>
          <w:color w:val="231F20"/>
        </w:rPr>
        <w:t>This</w:t>
      </w:r>
      <w:r>
        <w:rPr>
          <w:color w:val="231F20"/>
          <w:spacing w:val="22"/>
        </w:rPr>
        <w:t> </w:t>
      </w:r>
      <w:r>
        <w:rPr>
          <w:color w:val="231F20"/>
        </w:rPr>
        <w:t>data</w:t>
      </w:r>
      <w:r>
        <w:rPr>
          <w:color w:val="231F20"/>
          <w:spacing w:val="-8"/>
        </w:rPr>
        <w:t> </w:t>
      </w:r>
      <w:r>
        <w:rPr>
          <w:color w:val="231F20"/>
        </w:rPr>
        <w:t>would</w:t>
      </w:r>
      <w:r>
        <w:rPr>
          <w:color w:val="231F20"/>
          <w:spacing w:val="-7"/>
        </w:rPr>
        <w:t> </w:t>
      </w:r>
      <w:r>
        <w:rPr>
          <w:color w:val="231F20"/>
        </w:rPr>
        <w:t>assist</w:t>
      </w:r>
      <w:r>
        <w:rPr>
          <w:color w:val="231F20"/>
          <w:spacing w:val="-7"/>
        </w:rPr>
        <w:t> </w:t>
      </w:r>
      <w:r>
        <w:rPr>
          <w:color w:val="231F20"/>
        </w:rPr>
        <w:t>government</w:t>
      </w:r>
      <w:r>
        <w:rPr>
          <w:color w:val="231F20"/>
          <w:spacing w:val="-8"/>
        </w:rPr>
        <w:t> </w:t>
      </w:r>
      <w:r>
        <w:rPr>
          <w:color w:val="231F20"/>
        </w:rPr>
        <w:t>and</w:t>
      </w:r>
      <w:r>
        <w:rPr>
          <w:color w:val="231F20"/>
          <w:spacing w:val="-7"/>
        </w:rPr>
        <w:t> </w:t>
      </w:r>
      <w:r>
        <w:rPr>
          <w:color w:val="231F20"/>
        </w:rPr>
        <w:t>boarding</w:t>
      </w:r>
      <w:r>
        <w:rPr>
          <w:color w:val="231F20"/>
          <w:w w:val="99"/>
        </w:rPr>
        <w:t> </w:t>
      </w:r>
      <w:r>
        <w:rPr>
          <w:color w:val="231F20"/>
        </w:rPr>
        <w:t>providers</w:t>
      </w:r>
      <w:r>
        <w:rPr>
          <w:color w:val="231F20"/>
          <w:spacing w:val="-6"/>
        </w:rPr>
        <w:t> </w:t>
      </w:r>
      <w:r>
        <w:rPr>
          <w:color w:val="231F20"/>
          <w:spacing w:val="-1"/>
        </w:rPr>
        <w:t>in</w:t>
      </w:r>
      <w:r>
        <w:rPr>
          <w:color w:val="231F20"/>
          <w:spacing w:val="-4"/>
        </w:rPr>
        <w:t> </w:t>
      </w:r>
      <w:r>
        <w:rPr>
          <w:color w:val="231F20"/>
          <w:spacing w:val="-1"/>
        </w:rPr>
        <w:t>making</w:t>
      </w:r>
      <w:r>
        <w:rPr>
          <w:color w:val="231F20"/>
          <w:spacing w:val="-4"/>
        </w:rPr>
        <w:t> </w:t>
      </w:r>
      <w:r>
        <w:rPr>
          <w:color w:val="231F20"/>
          <w:spacing w:val="-1"/>
        </w:rPr>
        <w:t>informed</w:t>
      </w:r>
      <w:r>
        <w:rPr>
          <w:color w:val="231F20"/>
          <w:spacing w:val="-4"/>
        </w:rPr>
        <w:t> </w:t>
      </w:r>
      <w:r>
        <w:rPr>
          <w:color w:val="231F20"/>
        </w:rPr>
        <w:t>decisions</w:t>
      </w:r>
      <w:r>
        <w:rPr/>
      </w:r>
    </w:p>
    <w:p>
      <w:pPr>
        <w:pStyle w:val="BodyText"/>
        <w:spacing w:line="250" w:lineRule="exact"/>
        <w:ind w:right="0"/>
        <w:jc w:val="left"/>
      </w:pPr>
      <w:r>
        <w:rPr/>
        <w:pict>
          <v:group style="position:absolute;margin-left:282.464111pt;margin-top:87.695808pt;width:.1pt;height:.1pt;mso-position-horizontal-relative:page;mso-position-vertical-relative:paragraph;z-index:-219976" coordorigin="5649,1754" coordsize="2,2">
            <v:shape style="position:absolute;left:5649;top:1754;width:2;height:2" coordorigin="5649,1754" coordsize="0,0" path="m5649,1754l5649,1754e" filled="false" stroked="true" strokeweight="2pt" strokecolor="#355f92">
              <v:path arrowok="t"/>
            </v:shape>
            <w10:wrap type="none"/>
          </v:group>
        </w:pict>
      </w:r>
      <w:r>
        <w:rPr/>
        <w:pict>
          <v:group style="position:absolute;margin-left:71.866096pt;margin-top:87.695808pt;width:.1pt;height:.1pt;mso-position-horizontal-relative:page;mso-position-vertical-relative:paragraph;z-index:-219952" coordorigin="1437,1754" coordsize="2,2">
            <v:shape style="position:absolute;left:1437;top:1754;width:2;height:2" coordorigin="1437,1754" coordsize="0,0" path="m1437,1754l1437,1754e" filled="false" stroked="true" strokeweight="2pt" strokecolor="#355f92">
              <v:path arrowok="t"/>
            </v:shape>
            <w10:wrap type="none"/>
          </v:group>
        </w:pict>
      </w:r>
      <w:r>
        <w:rPr>
          <w:color w:val="231F20"/>
        </w:rPr>
        <w:t>about</w:t>
      </w:r>
      <w:r>
        <w:rPr>
          <w:color w:val="231F20"/>
          <w:spacing w:val="-7"/>
        </w:rPr>
        <w:t> </w:t>
      </w:r>
      <w:r>
        <w:rPr>
          <w:color w:val="231F20"/>
        </w:rPr>
        <w:t>boarding,</w:t>
      </w:r>
      <w:r>
        <w:rPr>
          <w:color w:val="231F20"/>
          <w:spacing w:val="-6"/>
        </w:rPr>
        <w:t> </w:t>
      </w:r>
      <w:r>
        <w:rPr>
          <w:color w:val="231F20"/>
        </w:rPr>
        <w:t>funding</w:t>
      </w:r>
      <w:r>
        <w:rPr>
          <w:color w:val="231F20"/>
          <w:spacing w:val="-5"/>
        </w:rPr>
        <w:t> </w:t>
      </w:r>
      <w:r>
        <w:rPr>
          <w:color w:val="231F20"/>
        </w:rPr>
        <w:t>and</w:t>
      </w:r>
      <w:r>
        <w:rPr>
          <w:color w:val="231F20"/>
          <w:spacing w:val="-6"/>
        </w:rPr>
        <w:t> </w:t>
      </w:r>
      <w:r>
        <w:rPr>
          <w:color w:val="231F20"/>
        </w:rPr>
        <w:t>policy.</w:t>
      </w:r>
      <w:r>
        <w:rPr>
          <w:color w:val="231F20"/>
          <w:spacing w:val="-6"/>
        </w:rPr>
        <w:t> </w:t>
      </w:r>
      <w:r>
        <w:rPr>
          <w:color w:val="231F20"/>
          <w:spacing w:val="-1"/>
        </w:rPr>
        <w:t>It</w:t>
      </w:r>
      <w:r>
        <w:rPr>
          <w:color w:val="231F20"/>
          <w:spacing w:val="-5"/>
        </w:rPr>
        <w:t> </w:t>
      </w:r>
      <w:r>
        <w:rPr>
          <w:color w:val="231F20"/>
          <w:spacing w:val="-1"/>
        </w:rPr>
        <w:t>is</w:t>
      </w:r>
      <w:r>
        <w:rPr>
          <w:color w:val="231F20"/>
          <w:spacing w:val="20"/>
        </w:rPr>
        <w:t> </w:t>
      </w:r>
      <w:r>
        <w:rPr>
          <w:color w:val="231F20"/>
        </w:rPr>
        <w:t>recommended</w:t>
      </w:r>
      <w:r>
        <w:rPr>
          <w:color w:val="231F20"/>
          <w:spacing w:val="-7"/>
        </w:rPr>
        <w:t> </w:t>
      </w:r>
      <w:r>
        <w:rPr>
          <w:color w:val="231F20"/>
        </w:rPr>
        <w:t>that</w:t>
      </w:r>
      <w:r>
        <w:rPr>
          <w:color w:val="231F20"/>
          <w:spacing w:val="-5"/>
        </w:rPr>
        <w:t> </w:t>
      </w:r>
      <w:r>
        <w:rPr>
          <w:color w:val="231F20"/>
        </w:rPr>
        <w:t>existing</w:t>
      </w:r>
      <w:r>
        <w:rPr>
          <w:color w:val="231F20"/>
          <w:spacing w:val="-6"/>
        </w:rPr>
        <w:t> </w:t>
      </w:r>
      <w:r>
        <w:rPr>
          <w:color w:val="231F20"/>
        </w:rPr>
        <w:t>data</w:t>
      </w:r>
      <w:r>
        <w:rPr>
          <w:color w:val="231F20"/>
          <w:spacing w:val="-5"/>
        </w:rPr>
        <w:t> </w:t>
      </w:r>
      <w:r>
        <w:rPr>
          <w:color w:val="231F20"/>
        </w:rPr>
        <w:t>collection</w:t>
      </w:r>
      <w:r>
        <w:rPr>
          <w:color w:val="231F20"/>
          <w:spacing w:val="-6"/>
        </w:rPr>
        <w:t> </w:t>
      </w:r>
      <w:r>
        <w:rPr>
          <w:color w:val="231F20"/>
        </w:rPr>
        <w:t>be</w:t>
      </w:r>
      <w:r>
        <w:rPr>
          <w:color w:val="231F20"/>
          <w:w w:val="99"/>
        </w:rPr>
        <w:t> </w:t>
      </w:r>
      <w:r>
        <w:rPr>
          <w:color w:val="231F20"/>
        </w:rPr>
        <w:t>expanded</w:t>
      </w:r>
      <w:r>
        <w:rPr>
          <w:color w:val="231F20"/>
          <w:spacing w:val="-7"/>
        </w:rPr>
        <w:t> </w:t>
      </w:r>
      <w:r>
        <w:rPr>
          <w:color w:val="231F20"/>
        </w:rPr>
        <w:t>to</w:t>
      </w:r>
      <w:r>
        <w:rPr>
          <w:color w:val="231F20"/>
          <w:spacing w:val="-6"/>
        </w:rPr>
        <w:t> </w:t>
      </w:r>
      <w:r>
        <w:rPr>
          <w:color w:val="231F20"/>
          <w:spacing w:val="-1"/>
        </w:rPr>
        <w:t>include</w:t>
      </w:r>
      <w:r>
        <w:rPr>
          <w:color w:val="231F20"/>
          <w:spacing w:val="-7"/>
        </w:rPr>
        <w:t> </w:t>
      </w:r>
      <w:r>
        <w:rPr>
          <w:color w:val="231F20"/>
        </w:rPr>
        <w:t>consistently</w:t>
      </w:r>
      <w:r>
        <w:rPr>
          <w:color w:val="231F20"/>
          <w:spacing w:val="-7"/>
        </w:rPr>
        <w:t> </w:t>
      </w:r>
      <w:r>
        <w:rPr>
          <w:color w:val="231F20"/>
          <w:spacing w:val="-1"/>
        </w:rPr>
        <w:t>measured</w:t>
      </w:r>
      <w:r>
        <w:rPr>
          <w:color w:val="231F20"/>
          <w:spacing w:val="21"/>
          <w:w w:val="99"/>
        </w:rPr>
        <w:t> </w:t>
      </w:r>
      <w:r>
        <w:rPr>
          <w:color w:val="231F20"/>
        </w:rPr>
        <w:t>data</w:t>
      </w:r>
      <w:r>
        <w:rPr>
          <w:color w:val="231F20"/>
          <w:spacing w:val="-5"/>
        </w:rPr>
        <w:t> </w:t>
      </w:r>
      <w:r>
        <w:rPr>
          <w:color w:val="231F20"/>
        </w:rPr>
        <w:t>regarding</w:t>
      </w:r>
      <w:r>
        <w:rPr>
          <w:color w:val="231F20"/>
          <w:spacing w:val="-5"/>
        </w:rPr>
        <w:t> </w:t>
      </w:r>
      <w:r>
        <w:rPr>
          <w:color w:val="231F20"/>
          <w:spacing w:val="-1"/>
        </w:rPr>
        <w:t>suspensions</w:t>
      </w:r>
      <w:r>
        <w:rPr>
          <w:color w:val="231F20"/>
          <w:spacing w:val="-3"/>
        </w:rPr>
        <w:t> </w:t>
      </w:r>
      <w:r>
        <w:rPr>
          <w:color w:val="231F20"/>
        </w:rPr>
        <w:t>and</w:t>
      </w:r>
      <w:r>
        <w:rPr>
          <w:color w:val="231F20"/>
          <w:spacing w:val="-5"/>
        </w:rPr>
        <w:t> </w:t>
      </w:r>
      <w:r>
        <w:rPr>
          <w:color w:val="231F20"/>
        </w:rPr>
        <w:t>expulsions</w:t>
      </w:r>
      <w:r>
        <w:rPr>
          <w:color w:val="231F20"/>
          <w:spacing w:val="22"/>
        </w:rPr>
        <w:t> </w:t>
      </w:r>
      <w:r>
        <w:rPr>
          <w:color w:val="231F20"/>
        </w:rPr>
        <w:t>(noting</w:t>
      </w:r>
      <w:r>
        <w:rPr>
          <w:color w:val="231F20"/>
          <w:spacing w:val="-5"/>
        </w:rPr>
        <w:t> </w:t>
      </w:r>
      <w:r>
        <w:rPr>
          <w:color w:val="231F20"/>
          <w:spacing w:val="-1"/>
        </w:rPr>
        <w:t>limited</w:t>
      </w:r>
      <w:r>
        <w:rPr>
          <w:color w:val="231F20"/>
          <w:spacing w:val="-4"/>
        </w:rPr>
        <w:t> </w:t>
      </w:r>
      <w:r>
        <w:rPr>
          <w:color w:val="231F20"/>
        </w:rPr>
        <w:t>expulsion</w:t>
      </w:r>
      <w:r>
        <w:rPr>
          <w:color w:val="231F20"/>
          <w:spacing w:val="-4"/>
        </w:rPr>
        <w:t> </w:t>
      </w:r>
      <w:r>
        <w:rPr>
          <w:color w:val="231F20"/>
        </w:rPr>
        <w:t>data</w:t>
      </w:r>
      <w:r>
        <w:rPr>
          <w:color w:val="231F20"/>
          <w:spacing w:val="-5"/>
        </w:rPr>
        <w:t> </w:t>
      </w:r>
      <w:r>
        <w:rPr>
          <w:color w:val="231F20"/>
          <w:spacing w:val="-1"/>
        </w:rPr>
        <w:t>is</w:t>
      </w:r>
      <w:r>
        <w:rPr>
          <w:color w:val="231F20"/>
          <w:spacing w:val="-4"/>
        </w:rPr>
        <w:t> </w:t>
      </w:r>
      <w:r>
        <w:rPr>
          <w:color w:val="231F20"/>
        </w:rPr>
        <w:t>available</w:t>
      </w:r>
      <w:r>
        <w:rPr>
          <w:color w:val="231F20"/>
          <w:spacing w:val="23"/>
          <w:w w:val="99"/>
        </w:rPr>
        <w:t> </w:t>
      </w:r>
      <w:r>
        <w:rPr>
          <w:color w:val="231F20"/>
        </w:rPr>
        <w:t>through</w:t>
      </w:r>
      <w:r>
        <w:rPr>
          <w:color w:val="231F20"/>
          <w:spacing w:val="-18"/>
        </w:rPr>
        <w:t> </w:t>
      </w:r>
      <w:r>
        <w:rPr>
          <w:color w:val="231F20"/>
        </w:rPr>
        <w:t>ABSTUDY).</w:t>
      </w:r>
      <w:r>
        <w:rPr/>
      </w:r>
    </w:p>
    <w:p>
      <w:pPr>
        <w:pStyle w:val="BodyText"/>
        <w:spacing w:line="250" w:lineRule="exact" w:before="62"/>
        <w:ind w:right="112"/>
        <w:jc w:val="left"/>
      </w:pPr>
      <w:r>
        <w:rPr/>
        <w:br w:type="column"/>
      </w:r>
      <w:r>
        <w:rPr>
          <w:color w:val="231F20"/>
          <w:spacing w:val="-1"/>
        </w:rPr>
        <w:t>Pursuant</w:t>
      </w:r>
      <w:r>
        <w:rPr>
          <w:color w:val="231F20"/>
          <w:spacing w:val="-3"/>
        </w:rPr>
        <w:t> </w:t>
      </w:r>
      <w:r>
        <w:rPr>
          <w:color w:val="231F20"/>
        </w:rPr>
        <w:t>to</w:t>
      </w:r>
      <w:r>
        <w:rPr>
          <w:color w:val="231F20"/>
          <w:spacing w:val="-3"/>
        </w:rPr>
        <w:t> </w:t>
      </w:r>
      <w:r>
        <w:rPr>
          <w:color w:val="231F20"/>
        </w:rPr>
        <w:t>clause</w:t>
      </w:r>
      <w:r>
        <w:rPr>
          <w:color w:val="231F20"/>
          <w:spacing w:val="-3"/>
        </w:rPr>
        <w:t> </w:t>
      </w:r>
      <w:r>
        <w:rPr>
          <w:color w:val="231F20"/>
          <w:spacing w:val="-1"/>
        </w:rPr>
        <w:t>49.5</w:t>
      </w:r>
      <w:r>
        <w:rPr>
          <w:color w:val="231F20"/>
          <w:spacing w:val="-3"/>
        </w:rPr>
        <w:t> </w:t>
      </w:r>
      <w:r>
        <w:rPr>
          <w:color w:val="231F20"/>
        </w:rPr>
        <w:t>of</w:t>
      </w:r>
      <w:r>
        <w:rPr>
          <w:color w:val="231F20"/>
          <w:spacing w:val="-2"/>
        </w:rPr>
        <w:t> </w:t>
      </w:r>
      <w:r>
        <w:rPr>
          <w:color w:val="231F20"/>
        </w:rPr>
        <w:t>the</w:t>
      </w:r>
      <w:r>
        <w:rPr>
          <w:color w:val="231F20"/>
          <w:spacing w:val="-4"/>
        </w:rPr>
        <w:t> </w:t>
      </w:r>
      <w:r>
        <w:rPr>
          <w:color w:val="231F20"/>
        </w:rPr>
        <w:t>ABSTUDY</w:t>
      </w:r>
      <w:r>
        <w:rPr>
          <w:color w:val="231F20"/>
          <w:spacing w:val="-3"/>
        </w:rPr>
        <w:t> </w:t>
      </w:r>
      <w:r>
        <w:rPr>
          <w:color w:val="231F20"/>
        </w:rPr>
        <w:t>policy</w:t>
      </w:r>
      <w:r>
        <w:rPr>
          <w:color w:val="231F20"/>
          <w:spacing w:val="24"/>
        </w:rPr>
        <w:t> </w:t>
      </w:r>
      <w:r>
        <w:rPr>
          <w:color w:val="231F20"/>
          <w:spacing w:val="-1"/>
        </w:rPr>
        <w:t>manual</w:t>
      </w:r>
      <w:r>
        <w:rPr>
          <w:color w:val="231F20"/>
          <w:spacing w:val="-5"/>
        </w:rPr>
        <w:t> </w:t>
      </w:r>
      <w:r>
        <w:rPr>
          <w:color w:val="231F20"/>
        </w:rPr>
        <w:t>a</w:t>
      </w:r>
      <w:r>
        <w:rPr>
          <w:color w:val="231F20"/>
          <w:spacing w:val="-5"/>
        </w:rPr>
        <w:t> </w:t>
      </w:r>
      <w:r>
        <w:rPr>
          <w:color w:val="231F20"/>
          <w:spacing w:val="-1"/>
        </w:rPr>
        <w:t>secondary</w:t>
      </w:r>
      <w:r>
        <w:rPr>
          <w:color w:val="231F20"/>
          <w:spacing w:val="-4"/>
        </w:rPr>
        <w:t> </w:t>
      </w:r>
      <w:r>
        <w:rPr>
          <w:color w:val="231F20"/>
          <w:spacing w:val="-1"/>
        </w:rPr>
        <w:t>school</w:t>
      </w:r>
      <w:r>
        <w:rPr>
          <w:color w:val="231F20"/>
          <w:spacing w:val="-4"/>
        </w:rPr>
        <w:t> </w:t>
      </w:r>
      <w:r>
        <w:rPr>
          <w:color w:val="231F20"/>
          <w:spacing w:val="-1"/>
        </w:rPr>
        <w:t>student</w:t>
      </w:r>
      <w:r>
        <w:rPr>
          <w:color w:val="231F20"/>
          <w:spacing w:val="-5"/>
        </w:rPr>
        <w:t> </w:t>
      </w:r>
      <w:r>
        <w:rPr>
          <w:color w:val="231F20"/>
          <w:spacing w:val="-1"/>
        </w:rPr>
        <w:t>is</w:t>
      </w:r>
      <w:r>
        <w:rPr>
          <w:color w:val="231F20"/>
          <w:spacing w:val="-6"/>
        </w:rPr>
        <w:t> </w:t>
      </w:r>
      <w:r>
        <w:rPr>
          <w:color w:val="231F20"/>
        </w:rPr>
        <w:t>not</w:t>
      </w:r>
      <w:r>
        <w:rPr>
          <w:color w:val="231F20"/>
          <w:spacing w:val="-4"/>
        </w:rPr>
        <w:t> </w:t>
      </w:r>
      <w:r>
        <w:rPr>
          <w:color w:val="231F20"/>
        </w:rPr>
        <w:t>entitled</w:t>
      </w:r>
      <w:r>
        <w:rPr>
          <w:color w:val="231F20"/>
          <w:spacing w:val="26"/>
          <w:w w:val="99"/>
        </w:rPr>
        <w:t> </w:t>
      </w:r>
      <w:r>
        <w:rPr>
          <w:color w:val="231F20"/>
        </w:rPr>
        <w:t>to</w:t>
      </w:r>
      <w:r>
        <w:rPr>
          <w:color w:val="231F20"/>
          <w:spacing w:val="-3"/>
        </w:rPr>
        <w:t> </w:t>
      </w:r>
      <w:r>
        <w:rPr>
          <w:color w:val="231F20"/>
          <w:spacing w:val="-1"/>
        </w:rPr>
        <w:t>ABSTUDY</w:t>
      </w:r>
      <w:r>
        <w:rPr>
          <w:rFonts w:ascii="Segoe UI Semibold"/>
          <w:b/>
          <w:color w:val="231F20"/>
          <w:spacing w:val="-1"/>
          <w:position w:val="7"/>
          <w:sz w:val="11"/>
        </w:rPr>
        <w:t>188</w:t>
      </w:r>
      <w:r>
        <w:rPr>
          <w:rFonts w:ascii="Segoe UI Semibold"/>
          <w:b/>
          <w:color w:val="231F20"/>
          <w:spacing w:val="22"/>
          <w:position w:val="7"/>
          <w:sz w:val="11"/>
        </w:rPr>
        <w:t> </w:t>
      </w:r>
      <w:r>
        <w:rPr>
          <w:color w:val="231F20"/>
        </w:rPr>
        <w:t>for</w:t>
      </w:r>
      <w:r>
        <w:rPr>
          <w:color w:val="231F20"/>
          <w:spacing w:val="-3"/>
        </w:rPr>
        <w:t> </w:t>
      </w:r>
      <w:r>
        <w:rPr>
          <w:color w:val="231F20"/>
        </w:rPr>
        <w:t>a</w:t>
      </w:r>
      <w:r>
        <w:rPr>
          <w:color w:val="231F20"/>
          <w:spacing w:val="-2"/>
        </w:rPr>
        <w:t> </w:t>
      </w:r>
      <w:r>
        <w:rPr>
          <w:color w:val="231F20"/>
        </w:rPr>
        <w:t>period</w:t>
      </w:r>
      <w:r>
        <w:rPr>
          <w:color w:val="231F20"/>
          <w:spacing w:val="-4"/>
        </w:rPr>
        <w:t> </w:t>
      </w:r>
      <w:r>
        <w:rPr>
          <w:color w:val="231F20"/>
        </w:rPr>
        <w:t>during</w:t>
      </w:r>
      <w:r>
        <w:rPr>
          <w:color w:val="231F20"/>
          <w:spacing w:val="-3"/>
        </w:rPr>
        <w:t> </w:t>
      </w:r>
      <w:r>
        <w:rPr>
          <w:color w:val="231F20"/>
        </w:rPr>
        <w:t>which</w:t>
      </w:r>
      <w:r>
        <w:rPr>
          <w:color w:val="231F20"/>
          <w:spacing w:val="-4"/>
        </w:rPr>
        <w:t> </w:t>
      </w:r>
      <w:r>
        <w:rPr>
          <w:color w:val="231F20"/>
        </w:rPr>
        <w:t>a</w:t>
      </w:r>
      <w:r>
        <w:rPr>
          <w:color w:val="231F20"/>
          <w:spacing w:val="-2"/>
        </w:rPr>
        <w:t> </w:t>
      </w:r>
      <w:r>
        <w:rPr>
          <w:color w:val="231F20"/>
          <w:spacing w:val="-1"/>
        </w:rPr>
        <w:t>student</w:t>
      </w:r>
      <w:r>
        <w:rPr>
          <w:color w:val="231F20"/>
          <w:spacing w:val="27"/>
          <w:w w:val="99"/>
        </w:rPr>
        <w:t> </w:t>
      </w:r>
      <w:r>
        <w:rPr>
          <w:color w:val="231F20"/>
          <w:spacing w:val="-1"/>
        </w:rPr>
        <w:t>is</w:t>
      </w:r>
      <w:r>
        <w:rPr>
          <w:color w:val="231F20"/>
          <w:spacing w:val="-7"/>
        </w:rPr>
        <w:t> </w:t>
      </w:r>
      <w:r>
        <w:rPr>
          <w:color w:val="231F20"/>
        </w:rPr>
        <w:t>expelled,</w:t>
      </w:r>
      <w:r>
        <w:rPr>
          <w:color w:val="231F20"/>
          <w:spacing w:val="-6"/>
        </w:rPr>
        <w:t> </w:t>
      </w:r>
      <w:r>
        <w:rPr>
          <w:color w:val="231F20"/>
          <w:spacing w:val="-1"/>
        </w:rPr>
        <w:t>suspended</w:t>
      </w:r>
      <w:r>
        <w:rPr>
          <w:color w:val="231F20"/>
          <w:spacing w:val="-4"/>
        </w:rPr>
        <w:t> </w:t>
      </w:r>
      <w:r>
        <w:rPr>
          <w:color w:val="231F20"/>
        </w:rPr>
        <w:t>or</w:t>
      </w:r>
      <w:r>
        <w:rPr>
          <w:color w:val="231F20"/>
          <w:spacing w:val="-5"/>
        </w:rPr>
        <w:t> </w:t>
      </w:r>
      <w:r>
        <w:rPr>
          <w:color w:val="231F20"/>
        </w:rPr>
        <w:t>excluded</w:t>
      </w:r>
      <w:r>
        <w:rPr>
          <w:color w:val="231F20"/>
          <w:spacing w:val="-7"/>
        </w:rPr>
        <w:t> </w:t>
      </w:r>
      <w:r>
        <w:rPr>
          <w:color w:val="231F20"/>
        </w:rPr>
        <w:t>from</w:t>
      </w:r>
      <w:r>
        <w:rPr>
          <w:color w:val="231F20"/>
          <w:spacing w:val="-5"/>
        </w:rPr>
        <w:t> </w:t>
      </w:r>
      <w:r>
        <w:rPr>
          <w:color w:val="231F20"/>
          <w:spacing w:val="-1"/>
        </w:rPr>
        <w:t>school.</w:t>
      </w:r>
      <w:r>
        <w:rPr/>
      </w:r>
    </w:p>
    <w:p>
      <w:pPr>
        <w:pStyle w:val="BodyText"/>
        <w:spacing w:line="250" w:lineRule="exact" w:before="113"/>
        <w:ind w:right="312"/>
        <w:jc w:val="left"/>
      </w:pPr>
      <w:r>
        <w:rPr>
          <w:color w:val="231F20"/>
          <w:spacing w:val="-3"/>
        </w:rPr>
        <w:t>Travel</w:t>
      </w:r>
      <w:r>
        <w:rPr>
          <w:color w:val="231F20"/>
          <w:spacing w:val="-6"/>
        </w:rPr>
        <w:t> </w:t>
      </w:r>
      <w:r>
        <w:rPr>
          <w:color w:val="231F20"/>
          <w:spacing w:val="-1"/>
        </w:rPr>
        <w:t>is</w:t>
      </w:r>
      <w:r>
        <w:rPr>
          <w:color w:val="231F20"/>
          <w:spacing w:val="-5"/>
        </w:rPr>
        <w:t> </w:t>
      </w:r>
      <w:r>
        <w:rPr>
          <w:color w:val="231F20"/>
        </w:rPr>
        <w:t>an</w:t>
      </w:r>
      <w:r>
        <w:rPr>
          <w:color w:val="231F20"/>
          <w:spacing w:val="-5"/>
        </w:rPr>
        <w:t> </w:t>
      </w:r>
      <w:r>
        <w:rPr>
          <w:color w:val="231F20"/>
          <w:spacing w:val="-1"/>
        </w:rPr>
        <w:t>important</w:t>
      </w:r>
      <w:r>
        <w:rPr>
          <w:color w:val="231F20"/>
          <w:spacing w:val="-5"/>
        </w:rPr>
        <w:t> </w:t>
      </w:r>
      <w:r>
        <w:rPr>
          <w:color w:val="231F20"/>
          <w:spacing w:val="-1"/>
        </w:rPr>
        <w:t>investment</w:t>
      </w:r>
      <w:r>
        <w:rPr>
          <w:color w:val="231F20"/>
          <w:spacing w:val="-4"/>
        </w:rPr>
        <w:t> </w:t>
      </w:r>
      <w:r>
        <w:rPr>
          <w:color w:val="231F20"/>
          <w:spacing w:val="-1"/>
        </w:rPr>
        <w:t>in</w:t>
      </w:r>
      <w:r>
        <w:rPr>
          <w:color w:val="231F20"/>
          <w:spacing w:val="-4"/>
        </w:rPr>
        <w:t> </w:t>
      </w:r>
      <w:r>
        <w:rPr>
          <w:color w:val="231F20"/>
          <w:spacing w:val="-1"/>
        </w:rPr>
        <w:t>supporting</w:t>
      </w:r>
      <w:r>
        <w:rPr>
          <w:color w:val="231F20"/>
          <w:spacing w:val="24"/>
          <w:w w:val="99"/>
        </w:rPr>
        <w:t> </w:t>
      </w:r>
      <w:r>
        <w:rPr>
          <w:color w:val="231F20"/>
          <w:spacing w:val="-1"/>
        </w:rPr>
        <w:t>students,</w:t>
      </w:r>
      <w:r>
        <w:rPr>
          <w:color w:val="231F20"/>
          <w:spacing w:val="-7"/>
        </w:rPr>
        <w:t> </w:t>
      </w:r>
      <w:r>
        <w:rPr>
          <w:color w:val="231F20"/>
        </w:rPr>
        <w:t>parents</w:t>
      </w:r>
      <w:r>
        <w:rPr>
          <w:color w:val="231F20"/>
          <w:spacing w:val="-8"/>
        </w:rPr>
        <w:t> </w:t>
      </w:r>
      <w:r>
        <w:rPr>
          <w:color w:val="231F20"/>
        </w:rPr>
        <w:t>and</w:t>
      </w:r>
      <w:r>
        <w:rPr>
          <w:color w:val="231F20"/>
          <w:spacing w:val="-8"/>
        </w:rPr>
        <w:t> </w:t>
      </w:r>
      <w:r>
        <w:rPr>
          <w:color w:val="231F20"/>
        </w:rPr>
        <w:t>carers</w:t>
      </w:r>
      <w:r>
        <w:rPr>
          <w:color w:val="231F20"/>
          <w:spacing w:val="-8"/>
        </w:rPr>
        <w:t> </w:t>
      </w:r>
      <w:r>
        <w:rPr>
          <w:color w:val="231F20"/>
        </w:rPr>
        <w:t>and</w:t>
      </w:r>
      <w:r>
        <w:rPr>
          <w:color w:val="231F20"/>
          <w:spacing w:val="-8"/>
        </w:rPr>
        <w:t> </w:t>
      </w:r>
      <w:r>
        <w:rPr>
          <w:color w:val="231F20"/>
          <w:spacing w:val="-1"/>
        </w:rPr>
        <w:t>managing</w:t>
      </w:r>
      <w:r>
        <w:rPr>
          <w:color w:val="231F20"/>
          <w:spacing w:val="21"/>
          <w:w w:val="99"/>
        </w:rPr>
        <w:t> </w:t>
      </w:r>
      <w:r>
        <w:rPr>
          <w:color w:val="231F20"/>
        </w:rPr>
        <w:t>unacceptable</w:t>
      </w:r>
      <w:r>
        <w:rPr>
          <w:color w:val="231F20"/>
          <w:spacing w:val="-8"/>
        </w:rPr>
        <w:t> </w:t>
      </w:r>
      <w:r>
        <w:rPr>
          <w:color w:val="231F20"/>
        </w:rPr>
        <w:t>behaviours.</w:t>
      </w:r>
      <w:r>
        <w:rPr>
          <w:color w:val="231F20"/>
          <w:spacing w:val="-7"/>
        </w:rPr>
        <w:t> </w:t>
      </w:r>
      <w:r>
        <w:rPr>
          <w:color w:val="231F20"/>
        </w:rPr>
        <w:t>ABSTUDY</w:t>
      </w:r>
      <w:r>
        <w:rPr>
          <w:color w:val="231F20"/>
          <w:spacing w:val="-7"/>
        </w:rPr>
        <w:t> </w:t>
      </w:r>
      <w:r>
        <w:rPr>
          <w:color w:val="231F20"/>
        </w:rPr>
        <w:t>does</w:t>
      </w:r>
      <w:r>
        <w:rPr>
          <w:color w:val="231F20"/>
          <w:spacing w:val="-7"/>
        </w:rPr>
        <w:t> </w:t>
      </w:r>
      <w:r>
        <w:rPr>
          <w:color w:val="231F20"/>
        </w:rPr>
        <w:t>not</w:t>
      </w:r>
      <w:r>
        <w:rPr>
          <w:color w:val="231F20"/>
          <w:w w:val="99"/>
        </w:rPr>
        <w:t> </w:t>
      </w:r>
      <w:r>
        <w:rPr>
          <w:color w:val="231F20"/>
        </w:rPr>
        <w:t>fund</w:t>
      </w:r>
      <w:r>
        <w:rPr>
          <w:color w:val="231F20"/>
          <w:spacing w:val="-3"/>
        </w:rPr>
        <w:t> </w:t>
      </w:r>
      <w:r>
        <w:rPr>
          <w:color w:val="231F20"/>
          <w:spacing w:val="-1"/>
        </w:rPr>
        <w:t>suspension </w:t>
      </w:r>
      <w:r>
        <w:rPr>
          <w:color w:val="231F20"/>
        </w:rPr>
        <w:t>travel</w:t>
      </w:r>
      <w:r>
        <w:rPr>
          <w:color w:val="231F20"/>
          <w:spacing w:val="-3"/>
        </w:rPr>
        <w:t> </w:t>
      </w:r>
      <w:r>
        <w:rPr>
          <w:color w:val="231F20"/>
        </w:rPr>
        <w:t>and</w:t>
      </w:r>
      <w:r>
        <w:rPr>
          <w:color w:val="231F20"/>
          <w:spacing w:val="-3"/>
        </w:rPr>
        <w:t> </w:t>
      </w:r>
      <w:r>
        <w:rPr>
          <w:color w:val="231F20"/>
          <w:spacing w:val="-1"/>
        </w:rPr>
        <w:t>it</w:t>
      </w:r>
      <w:r>
        <w:rPr>
          <w:color w:val="231F20"/>
          <w:spacing w:val="-2"/>
        </w:rPr>
        <w:t> </w:t>
      </w:r>
      <w:r>
        <w:rPr>
          <w:color w:val="231F20"/>
        </w:rPr>
        <w:t>funds</w:t>
      </w:r>
      <w:r>
        <w:rPr>
          <w:color w:val="231F20"/>
          <w:spacing w:val="-3"/>
        </w:rPr>
        <w:t> </w:t>
      </w:r>
      <w:r>
        <w:rPr>
          <w:color w:val="231F20"/>
        </w:rPr>
        <w:t>exclusion</w:t>
      </w:r>
      <w:r>
        <w:rPr>
          <w:color w:val="231F20"/>
          <w:spacing w:val="23"/>
        </w:rPr>
        <w:t> </w:t>
      </w:r>
      <w:r>
        <w:rPr>
          <w:color w:val="231F20"/>
        </w:rPr>
        <w:t>travel</w:t>
      </w:r>
      <w:r>
        <w:rPr>
          <w:color w:val="231F20"/>
          <w:spacing w:val="-5"/>
        </w:rPr>
        <w:t> </w:t>
      </w:r>
      <w:r>
        <w:rPr>
          <w:color w:val="231F20"/>
        </w:rPr>
        <w:t>only</w:t>
      </w:r>
      <w:r>
        <w:rPr>
          <w:color w:val="231F20"/>
          <w:spacing w:val="-5"/>
        </w:rPr>
        <w:t> </w:t>
      </w:r>
      <w:r>
        <w:rPr>
          <w:color w:val="231F20"/>
          <w:spacing w:val="-1"/>
        </w:rPr>
        <w:t>in</w:t>
      </w:r>
      <w:r>
        <w:rPr>
          <w:color w:val="231F20"/>
          <w:spacing w:val="-4"/>
        </w:rPr>
        <w:t> </w:t>
      </w:r>
      <w:r>
        <w:rPr>
          <w:color w:val="231F20"/>
        </w:rPr>
        <w:t>very</w:t>
      </w:r>
      <w:r>
        <w:rPr>
          <w:color w:val="231F20"/>
          <w:spacing w:val="-3"/>
        </w:rPr>
        <w:t> </w:t>
      </w:r>
      <w:r>
        <w:rPr>
          <w:color w:val="231F20"/>
          <w:spacing w:val="-1"/>
        </w:rPr>
        <w:t>limited</w:t>
      </w:r>
      <w:r>
        <w:rPr>
          <w:color w:val="231F20"/>
          <w:spacing w:val="-4"/>
        </w:rPr>
        <w:t> </w:t>
      </w:r>
      <w:r>
        <w:rPr>
          <w:color w:val="231F20"/>
        </w:rPr>
        <w:t>circumstances.</w:t>
      </w:r>
      <w:r>
        <w:rPr>
          <w:color w:val="231F20"/>
          <w:spacing w:val="-5"/>
        </w:rPr>
        <w:t> </w:t>
      </w:r>
      <w:r>
        <w:rPr>
          <w:color w:val="231F20"/>
        </w:rPr>
        <w:t>As</w:t>
      </w:r>
      <w:r>
        <w:rPr>
          <w:color w:val="231F20"/>
          <w:spacing w:val="-5"/>
        </w:rPr>
        <w:t> </w:t>
      </w:r>
      <w:r>
        <w:rPr>
          <w:color w:val="231F20"/>
        </w:rPr>
        <w:t>a</w:t>
      </w:r>
      <w:r>
        <w:rPr>
          <w:color w:val="231F20"/>
          <w:spacing w:val="23"/>
          <w:w w:val="99"/>
        </w:rPr>
        <w:t> </w:t>
      </w:r>
      <w:r>
        <w:rPr>
          <w:color w:val="231F20"/>
        </w:rPr>
        <w:t>result,</w:t>
      </w:r>
      <w:r>
        <w:rPr>
          <w:color w:val="231F20"/>
          <w:spacing w:val="-7"/>
        </w:rPr>
        <w:t> </w:t>
      </w:r>
      <w:r>
        <w:rPr>
          <w:color w:val="231F20"/>
          <w:spacing w:val="-1"/>
        </w:rPr>
        <w:t>some</w:t>
      </w:r>
      <w:r>
        <w:rPr>
          <w:color w:val="231F20"/>
          <w:spacing w:val="-6"/>
        </w:rPr>
        <w:t> </w:t>
      </w:r>
      <w:r>
        <w:rPr>
          <w:color w:val="231F20"/>
        </w:rPr>
        <w:t>boarding</w:t>
      </w:r>
      <w:r>
        <w:rPr>
          <w:color w:val="231F20"/>
          <w:spacing w:val="-7"/>
        </w:rPr>
        <w:t> </w:t>
      </w:r>
      <w:r>
        <w:rPr>
          <w:color w:val="231F20"/>
        </w:rPr>
        <w:t>providers</w:t>
      </w:r>
      <w:r>
        <w:rPr>
          <w:color w:val="231F20"/>
          <w:spacing w:val="-6"/>
        </w:rPr>
        <w:t> </w:t>
      </w:r>
      <w:r>
        <w:rPr>
          <w:color w:val="231F20"/>
        </w:rPr>
        <w:t>are</w:t>
      </w:r>
      <w:r>
        <w:rPr>
          <w:color w:val="231F20"/>
          <w:spacing w:val="-7"/>
        </w:rPr>
        <w:t> </w:t>
      </w:r>
      <w:r>
        <w:rPr>
          <w:color w:val="231F20"/>
        </w:rPr>
        <w:t>reluctant</w:t>
      </w:r>
      <w:r>
        <w:rPr>
          <w:color w:val="231F20"/>
          <w:spacing w:val="-6"/>
        </w:rPr>
        <w:t> </w:t>
      </w:r>
      <w:r>
        <w:rPr>
          <w:color w:val="231F20"/>
        </w:rPr>
        <w:t>to</w:t>
      </w:r>
      <w:r>
        <w:rPr>
          <w:color w:val="231F20"/>
          <w:spacing w:val="21"/>
          <w:w w:val="99"/>
        </w:rPr>
        <w:t> </w:t>
      </w:r>
      <w:r>
        <w:rPr>
          <w:color w:val="231F20"/>
          <w:spacing w:val="-1"/>
        </w:rPr>
        <w:t>suspend</w:t>
      </w:r>
      <w:r>
        <w:rPr>
          <w:color w:val="231F20"/>
          <w:spacing w:val="-2"/>
        </w:rPr>
        <w:t> </w:t>
      </w:r>
      <w:r>
        <w:rPr>
          <w:color w:val="231F20"/>
          <w:spacing w:val="-1"/>
        </w:rPr>
        <w:t>students </w:t>
      </w:r>
      <w:r>
        <w:rPr>
          <w:color w:val="231F20"/>
        </w:rPr>
        <w:t>and</w:t>
      </w:r>
      <w:r>
        <w:rPr>
          <w:color w:val="231F20"/>
          <w:spacing w:val="-2"/>
        </w:rPr>
        <w:t> </w:t>
      </w:r>
      <w:r>
        <w:rPr>
          <w:color w:val="231F20"/>
          <w:spacing w:val="-1"/>
        </w:rPr>
        <w:t>suspension</w:t>
      </w:r>
      <w:r>
        <w:rPr>
          <w:color w:val="231F20"/>
        </w:rPr>
        <w:t> </w:t>
      </w:r>
      <w:r>
        <w:rPr>
          <w:color w:val="231F20"/>
          <w:spacing w:val="-1"/>
        </w:rPr>
        <w:t>is</w:t>
      </w:r>
      <w:r>
        <w:rPr>
          <w:color w:val="231F20"/>
          <w:spacing w:val="-2"/>
        </w:rPr>
        <w:t> </w:t>
      </w:r>
      <w:r>
        <w:rPr>
          <w:color w:val="231F20"/>
        </w:rPr>
        <w:t>used</w:t>
      </w:r>
      <w:r>
        <w:rPr>
          <w:color w:val="231F20"/>
          <w:spacing w:val="-3"/>
        </w:rPr>
        <w:t> </w:t>
      </w:r>
      <w:r>
        <w:rPr>
          <w:color w:val="231F20"/>
        </w:rPr>
        <w:t>only</w:t>
      </w:r>
      <w:r>
        <w:rPr>
          <w:color w:val="231F20"/>
          <w:w w:val="99"/>
        </w:rPr>
        <w:t> </w:t>
      </w:r>
      <w:r>
        <w:rPr>
          <w:color w:val="231F20"/>
          <w:spacing w:val="25"/>
          <w:w w:val="99"/>
        </w:rPr>
        <w:t> </w:t>
      </w:r>
      <w:r>
        <w:rPr>
          <w:color w:val="231F20"/>
        </w:rPr>
        <w:t>as</w:t>
      </w:r>
      <w:r>
        <w:rPr>
          <w:color w:val="231F20"/>
          <w:spacing w:val="-5"/>
        </w:rPr>
        <w:t> </w:t>
      </w:r>
      <w:r>
        <w:rPr>
          <w:color w:val="231F20"/>
        </w:rPr>
        <w:t>a</w:t>
      </w:r>
      <w:r>
        <w:rPr>
          <w:color w:val="231F20"/>
          <w:spacing w:val="-4"/>
        </w:rPr>
        <w:t> </w:t>
      </w:r>
      <w:r>
        <w:rPr>
          <w:color w:val="231F20"/>
          <w:spacing w:val="-1"/>
        </w:rPr>
        <w:t>last</w:t>
      </w:r>
      <w:r>
        <w:rPr>
          <w:color w:val="231F20"/>
          <w:spacing w:val="-3"/>
        </w:rPr>
        <w:t> </w:t>
      </w:r>
      <w:r>
        <w:rPr>
          <w:color w:val="231F20"/>
        </w:rPr>
        <w:t>resort.</w:t>
      </w:r>
      <w:r>
        <w:rPr>
          <w:color w:val="231F20"/>
          <w:spacing w:val="-5"/>
        </w:rPr>
        <w:t> </w:t>
      </w:r>
      <w:r>
        <w:rPr>
          <w:color w:val="231F20"/>
          <w:spacing w:val="-1"/>
        </w:rPr>
        <w:t>Some</w:t>
      </w:r>
      <w:r>
        <w:rPr>
          <w:color w:val="231F20"/>
          <w:spacing w:val="-3"/>
        </w:rPr>
        <w:t> </w:t>
      </w:r>
      <w:r>
        <w:rPr>
          <w:color w:val="231F20"/>
        </w:rPr>
        <w:t>boarding</w:t>
      </w:r>
      <w:r>
        <w:rPr>
          <w:color w:val="231F20"/>
          <w:spacing w:val="-5"/>
        </w:rPr>
        <w:t> </w:t>
      </w:r>
      <w:r>
        <w:rPr>
          <w:color w:val="231F20"/>
        </w:rPr>
        <w:t>providers</w:t>
      </w:r>
      <w:r>
        <w:rPr>
          <w:color w:val="231F20"/>
          <w:spacing w:val="-4"/>
        </w:rPr>
        <w:t> </w:t>
      </w:r>
      <w:r>
        <w:rPr>
          <w:color w:val="231F20"/>
        </w:rPr>
        <w:t>pay</w:t>
      </w:r>
      <w:r>
        <w:rPr>
          <w:color w:val="231F20"/>
          <w:spacing w:val="-4"/>
        </w:rPr>
        <w:t> </w:t>
      </w:r>
      <w:r>
        <w:rPr>
          <w:color w:val="231F20"/>
        </w:rPr>
        <w:t>for</w:t>
      </w:r>
      <w:r>
        <w:rPr>
          <w:color w:val="231F20"/>
          <w:spacing w:val="23"/>
          <w:w w:val="99"/>
        </w:rPr>
        <w:t> </w:t>
      </w:r>
      <w:r>
        <w:rPr>
          <w:color w:val="231F20"/>
          <w:spacing w:val="-1"/>
        </w:rPr>
        <w:t>suspension</w:t>
      </w:r>
      <w:r>
        <w:rPr>
          <w:color w:val="231F20"/>
          <w:spacing w:val="-3"/>
        </w:rPr>
        <w:t> </w:t>
      </w:r>
      <w:r>
        <w:rPr>
          <w:color w:val="231F20"/>
        </w:rPr>
        <w:t>or</w:t>
      </w:r>
      <w:r>
        <w:rPr>
          <w:color w:val="231F20"/>
          <w:spacing w:val="-3"/>
        </w:rPr>
        <w:t> </w:t>
      </w:r>
      <w:r>
        <w:rPr>
          <w:color w:val="231F20"/>
        </w:rPr>
        <w:t>exclusion</w:t>
      </w:r>
      <w:r>
        <w:rPr>
          <w:color w:val="231F20"/>
          <w:spacing w:val="-4"/>
        </w:rPr>
        <w:t> </w:t>
      </w:r>
      <w:r>
        <w:rPr>
          <w:color w:val="231F20"/>
        </w:rPr>
        <w:t>travel</w:t>
      </w:r>
      <w:r>
        <w:rPr>
          <w:color w:val="231F20"/>
          <w:spacing w:val="-4"/>
        </w:rPr>
        <w:t> </w:t>
      </w:r>
      <w:r>
        <w:rPr>
          <w:color w:val="231F20"/>
        </w:rPr>
        <w:t>from</w:t>
      </w:r>
      <w:r>
        <w:rPr>
          <w:color w:val="231F20"/>
          <w:spacing w:val="-3"/>
        </w:rPr>
        <w:t> </w:t>
      </w:r>
      <w:r>
        <w:rPr>
          <w:color w:val="231F20"/>
        </w:rPr>
        <w:t>their</w:t>
      </w:r>
      <w:r>
        <w:rPr>
          <w:color w:val="231F20"/>
          <w:spacing w:val="-4"/>
        </w:rPr>
        <w:t> </w:t>
      </w:r>
      <w:r>
        <w:rPr>
          <w:color w:val="231F20"/>
        </w:rPr>
        <w:t>own</w:t>
      </w:r>
      <w:r>
        <w:rPr>
          <w:color w:val="231F20"/>
          <w:spacing w:val="22"/>
          <w:w w:val="99"/>
        </w:rPr>
        <w:t> </w:t>
      </w:r>
      <w:r>
        <w:rPr>
          <w:color w:val="231F20"/>
          <w:spacing w:val="-1"/>
        </w:rPr>
        <w:t>limited</w:t>
      </w:r>
      <w:r>
        <w:rPr>
          <w:color w:val="231F20"/>
          <w:spacing w:val="-4"/>
        </w:rPr>
        <w:t> </w:t>
      </w:r>
      <w:r>
        <w:rPr>
          <w:color w:val="231F20"/>
        </w:rPr>
        <w:t>resources</w:t>
      </w:r>
      <w:r>
        <w:rPr>
          <w:color w:val="231F20"/>
          <w:spacing w:val="-5"/>
        </w:rPr>
        <w:t> </w:t>
      </w:r>
      <w:r>
        <w:rPr>
          <w:color w:val="231F20"/>
        </w:rPr>
        <w:t>where</w:t>
      </w:r>
      <w:r>
        <w:rPr>
          <w:color w:val="231F20"/>
          <w:spacing w:val="-4"/>
        </w:rPr>
        <w:t> </w:t>
      </w:r>
      <w:r>
        <w:rPr>
          <w:color w:val="231F20"/>
          <w:spacing w:val="-1"/>
        </w:rPr>
        <w:t>suspension</w:t>
      </w:r>
      <w:r>
        <w:rPr>
          <w:color w:val="231F20"/>
          <w:spacing w:val="-2"/>
        </w:rPr>
        <w:t> </w:t>
      </w:r>
      <w:r>
        <w:rPr>
          <w:color w:val="231F20"/>
        </w:rPr>
        <w:t>or</w:t>
      </w:r>
      <w:r>
        <w:rPr>
          <w:color w:val="231F20"/>
          <w:spacing w:val="-3"/>
        </w:rPr>
        <w:t> </w:t>
      </w:r>
      <w:r>
        <w:rPr>
          <w:color w:val="231F20"/>
        </w:rPr>
        <w:t>exclusion</w:t>
      </w:r>
      <w:r>
        <w:rPr>
          <w:color w:val="231F20"/>
          <w:spacing w:val="23"/>
        </w:rPr>
        <w:t> </w:t>
      </w:r>
      <w:r>
        <w:rPr>
          <w:color w:val="231F20"/>
        </w:rPr>
        <w:t>cannot</w:t>
      </w:r>
      <w:r>
        <w:rPr>
          <w:color w:val="231F20"/>
          <w:spacing w:val="-9"/>
        </w:rPr>
        <w:t> </w:t>
      </w:r>
      <w:r>
        <w:rPr>
          <w:color w:val="231F20"/>
        </w:rPr>
        <w:t>be</w:t>
      </w:r>
      <w:r>
        <w:rPr>
          <w:color w:val="231F20"/>
          <w:spacing w:val="-8"/>
        </w:rPr>
        <w:t> </w:t>
      </w:r>
      <w:r>
        <w:rPr>
          <w:color w:val="231F20"/>
        </w:rPr>
        <w:t>avoided.</w:t>
      </w:r>
      <w:r>
        <w:rPr/>
      </w:r>
    </w:p>
    <w:p>
      <w:pPr>
        <w:pStyle w:val="BodyText"/>
        <w:spacing w:line="258" w:lineRule="exact" w:before="97"/>
        <w:ind w:right="0"/>
        <w:jc w:val="left"/>
        <w:rPr>
          <w:rFonts w:ascii="Segoe UI" w:hAnsi="Segoe UI" w:cs="Segoe UI" w:eastAsia="Segoe UI"/>
        </w:rPr>
      </w:pPr>
      <w:r>
        <w:rPr>
          <w:rFonts w:ascii="Segoe UI"/>
          <w:color w:val="231F20"/>
        </w:rPr>
        <w:t>However, there are valid policy justifications</w:t>
      </w:r>
      <w:r>
        <w:rPr>
          <w:rFonts w:ascii="Segoe UI"/>
        </w:rPr>
      </w:r>
    </w:p>
    <w:p>
      <w:pPr>
        <w:pStyle w:val="BodyText"/>
        <w:spacing w:line="250" w:lineRule="exact" w:before="8"/>
        <w:ind w:right="469"/>
        <w:jc w:val="left"/>
      </w:pPr>
      <w:r>
        <w:rPr>
          <w:color w:val="231F20"/>
        </w:rPr>
        <w:t>for</w:t>
      </w:r>
      <w:r>
        <w:rPr>
          <w:color w:val="231F20"/>
          <w:spacing w:val="-5"/>
        </w:rPr>
        <w:t> </w:t>
      </w:r>
      <w:r>
        <w:rPr>
          <w:color w:val="231F20"/>
        </w:rPr>
        <w:t>ABSTUDY</w:t>
      </w:r>
      <w:r>
        <w:rPr>
          <w:color w:val="231F20"/>
          <w:spacing w:val="-5"/>
        </w:rPr>
        <w:t> </w:t>
      </w:r>
      <w:r>
        <w:rPr>
          <w:color w:val="231F20"/>
        </w:rPr>
        <w:t>not</w:t>
      </w:r>
      <w:r>
        <w:rPr>
          <w:color w:val="231F20"/>
          <w:spacing w:val="-4"/>
        </w:rPr>
        <w:t> </w:t>
      </w:r>
      <w:r>
        <w:rPr>
          <w:color w:val="231F20"/>
        </w:rPr>
        <w:t>generally</w:t>
      </w:r>
      <w:r>
        <w:rPr>
          <w:color w:val="231F20"/>
          <w:spacing w:val="-5"/>
        </w:rPr>
        <w:t> </w:t>
      </w:r>
      <w:r>
        <w:rPr>
          <w:color w:val="231F20"/>
        </w:rPr>
        <w:t>funding</w:t>
      </w:r>
      <w:r>
        <w:rPr>
          <w:color w:val="231F20"/>
          <w:spacing w:val="-4"/>
        </w:rPr>
        <w:t> </w:t>
      </w:r>
      <w:r>
        <w:rPr>
          <w:color w:val="231F20"/>
          <w:spacing w:val="-1"/>
        </w:rPr>
        <w:t>suspension</w:t>
      </w:r>
      <w:r>
        <w:rPr>
          <w:color w:val="231F20"/>
          <w:spacing w:val="20"/>
        </w:rPr>
        <w:t> </w:t>
      </w:r>
      <w:r>
        <w:rPr>
          <w:color w:val="231F20"/>
        </w:rPr>
        <w:t>travel—provisions</w:t>
      </w:r>
      <w:r>
        <w:rPr>
          <w:color w:val="231F20"/>
          <w:spacing w:val="-9"/>
        </w:rPr>
        <w:t> </w:t>
      </w:r>
      <w:r>
        <w:rPr>
          <w:color w:val="231F20"/>
        </w:rPr>
        <w:t>and</w:t>
      </w:r>
      <w:r>
        <w:rPr>
          <w:color w:val="231F20"/>
          <w:spacing w:val="-8"/>
        </w:rPr>
        <w:t> </w:t>
      </w:r>
      <w:r>
        <w:rPr>
          <w:color w:val="231F20"/>
        </w:rPr>
        <w:t>practices</w:t>
      </w:r>
      <w:r>
        <w:rPr>
          <w:color w:val="231F20"/>
          <w:spacing w:val="-8"/>
        </w:rPr>
        <w:t> </w:t>
      </w:r>
      <w:r>
        <w:rPr>
          <w:color w:val="231F20"/>
        </w:rPr>
        <w:t>for</w:t>
      </w:r>
      <w:r>
        <w:rPr>
          <w:color w:val="231F20"/>
          <w:spacing w:val="-8"/>
        </w:rPr>
        <w:t> </w:t>
      </w:r>
      <w:r>
        <w:rPr>
          <w:color w:val="231F20"/>
          <w:spacing w:val="-1"/>
        </w:rPr>
        <w:t>suspension</w:t>
      </w:r>
      <w:r>
        <w:rPr>
          <w:color w:val="231F20"/>
          <w:spacing w:val="20"/>
        </w:rPr>
        <w:t> </w:t>
      </w:r>
      <w:r>
        <w:rPr>
          <w:color w:val="231F20"/>
        </w:rPr>
        <w:t>and</w:t>
      </w:r>
      <w:r>
        <w:rPr>
          <w:color w:val="231F20"/>
          <w:spacing w:val="-4"/>
        </w:rPr>
        <w:t> </w:t>
      </w:r>
      <w:r>
        <w:rPr>
          <w:color w:val="231F20"/>
        </w:rPr>
        <w:t>expulsion</w:t>
      </w:r>
      <w:r>
        <w:rPr>
          <w:color w:val="231F20"/>
          <w:spacing w:val="-4"/>
        </w:rPr>
        <w:t> </w:t>
      </w:r>
      <w:r>
        <w:rPr>
          <w:color w:val="231F20"/>
        </w:rPr>
        <w:t>travel</w:t>
      </w:r>
      <w:r>
        <w:rPr>
          <w:color w:val="231F20"/>
          <w:spacing w:val="-4"/>
        </w:rPr>
        <w:t> </w:t>
      </w:r>
      <w:r>
        <w:rPr>
          <w:color w:val="231F20"/>
        </w:rPr>
        <w:t>were</w:t>
      </w:r>
      <w:r>
        <w:rPr>
          <w:color w:val="231F20"/>
          <w:spacing w:val="-4"/>
        </w:rPr>
        <w:t> </w:t>
      </w:r>
      <w:r>
        <w:rPr>
          <w:color w:val="231F20"/>
        </w:rPr>
        <w:t>reviewed</w:t>
      </w:r>
      <w:r>
        <w:rPr>
          <w:color w:val="231F20"/>
          <w:spacing w:val="-4"/>
        </w:rPr>
        <w:t> </w:t>
      </w:r>
      <w:r>
        <w:rPr>
          <w:color w:val="231F20"/>
          <w:spacing w:val="-1"/>
        </w:rPr>
        <w:t>in</w:t>
      </w:r>
      <w:r>
        <w:rPr>
          <w:color w:val="231F20"/>
          <w:spacing w:val="-3"/>
        </w:rPr>
        <w:t> </w:t>
      </w:r>
      <w:r>
        <w:rPr>
          <w:color w:val="231F20"/>
          <w:spacing w:val="-1"/>
        </w:rPr>
        <w:t>2011</w:t>
      </w:r>
      <w:r>
        <w:rPr>
          <w:color w:val="231F20"/>
          <w:spacing w:val="-3"/>
        </w:rPr>
        <w:t> </w:t>
      </w:r>
      <w:r>
        <w:rPr>
          <w:color w:val="231F20"/>
          <w:spacing w:val="-1"/>
        </w:rPr>
        <w:t>in</w:t>
      </w:r>
      <w:r>
        <w:rPr>
          <w:color w:val="231F20"/>
          <w:spacing w:val="22"/>
        </w:rPr>
        <w:t> </w:t>
      </w:r>
      <w:r>
        <w:rPr>
          <w:color w:val="231F20"/>
        </w:rPr>
        <w:t>response</w:t>
      </w:r>
      <w:r>
        <w:rPr>
          <w:color w:val="231F20"/>
          <w:spacing w:val="-8"/>
        </w:rPr>
        <w:t> </w:t>
      </w:r>
      <w:r>
        <w:rPr>
          <w:color w:val="231F20"/>
        </w:rPr>
        <w:t>to</w:t>
      </w:r>
      <w:r>
        <w:rPr>
          <w:color w:val="231F20"/>
          <w:spacing w:val="-6"/>
        </w:rPr>
        <w:t> </w:t>
      </w:r>
      <w:r>
        <w:rPr>
          <w:color w:val="231F20"/>
        </w:rPr>
        <w:t>concerns</w:t>
      </w:r>
      <w:r>
        <w:rPr>
          <w:color w:val="231F20"/>
          <w:spacing w:val="-7"/>
        </w:rPr>
        <w:t> </w:t>
      </w:r>
      <w:r>
        <w:rPr>
          <w:color w:val="231F20"/>
        </w:rPr>
        <w:t>about</w:t>
      </w:r>
      <w:r>
        <w:rPr>
          <w:color w:val="231F20"/>
          <w:spacing w:val="-7"/>
        </w:rPr>
        <w:t> </w:t>
      </w:r>
      <w:r>
        <w:rPr>
          <w:color w:val="231F20"/>
        </w:rPr>
        <w:t>the</w:t>
      </w:r>
      <w:r>
        <w:rPr>
          <w:color w:val="231F20"/>
          <w:spacing w:val="-7"/>
        </w:rPr>
        <w:t> </w:t>
      </w:r>
      <w:r>
        <w:rPr>
          <w:color w:val="231F20"/>
        </w:rPr>
        <w:t>high</w:t>
      </w:r>
      <w:r>
        <w:rPr>
          <w:color w:val="231F20"/>
          <w:spacing w:val="-7"/>
        </w:rPr>
        <w:t> </w:t>
      </w:r>
      <w:r>
        <w:rPr>
          <w:color w:val="231F20"/>
        </w:rPr>
        <w:t>number</w:t>
      </w:r>
      <w:r>
        <w:rPr>
          <w:color w:val="231F20"/>
          <w:w w:val="99"/>
        </w:rPr>
        <w:t> </w:t>
      </w:r>
      <w:r>
        <w:rPr>
          <w:color w:val="231F20"/>
        </w:rPr>
        <w:t>of</w:t>
      </w:r>
      <w:r>
        <w:rPr>
          <w:color w:val="231F20"/>
          <w:spacing w:val="-3"/>
        </w:rPr>
        <w:t> </w:t>
      </w:r>
      <w:r>
        <w:rPr>
          <w:color w:val="231F20"/>
          <w:spacing w:val="-1"/>
        </w:rPr>
        <w:t>students</w:t>
      </w:r>
      <w:r>
        <w:rPr>
          <w:color w:val="231F20"/>
          <w:spacing w:val="-3"/>
        </w:rPr>
        <w:t> </w:t>
      </w:r>
      <w:r>
        <w:rPr>
          <w:color w:val="231F20"/>
        </w:rPr>
        <w:t>returning</w:t>
      </w:r>
      <w:r>
        <w:rPr>
          <w:color w:val="231F20"/>
          <w:spacing w:val="-3"/>
        </w:rPr>
        <w:t> </w:t>
      </w:r>
      <w:r>
        <w:rPr>
          <w:color w:val="231F20"/>
        </w:rPr>
        <w:t>home</w:t>
      </w:r>
      <w:r>
        <w:rPr>
          <w:color w:val="231F20"/>
          <w:spacing w:val="-4"/>
        </w:rPr>
        <w:t> </w:t>
      </w:r>
      <w:r>
        <w:rPr>
          <w:color w:val="231F20"/>
          <w:spacing w:val="-1"/>
        </w:rPr>
        <w:t>mid-term</w:t>
      </w:r>
      <w:r>
        <w:rPr>
          <w:color w:val="231F20"/>
          <w:spacing w:val="-3"/>
        </w:rPr>
        <w:t> </w:t>
      </w:r>
      <w:r>
        <w:rPr>
          <w:color w:val="231F20"/>
        </w:rPr>
        <w:t>and</w:t>
      </w:r>
      <w:r>
        <w:rPr/>
      </w:r>
    </w:p>
    <w:p>
      <w:pPr>
        <w:pStyle w:val="BodyText"/>
        <w:spacing w:line="250" w:lineRule="exact"/>
        <w:ind w:right="328"/>
        <w:jc w:val="left"/>
      </w:pPr>
      <w:r>
        <w:rPr>
          <w:color w:val="231F20"/>
        </w:rPr>
        <w:t>disengaging</w:t>
      </w:r>
      <w:r>
        <w:rPr>
          <w:color w:val="231F20"/>
          <w:spacing w:val="-9"/>
        </w:rPr>
        <w:t> </w:t>
      </w:r>
      <w:r>
        <w:rPr>
          <w:color w:val="231F20"/>
        </w:rPr>
        <w:t>from</w:t>
      </w:r>
      <w:r>
        <w:rPr>
          <w:color w:val="231F20"/>
          <w:spacing w:val="-8"/>
        </w:rPr>
        <w:t> </w:t>
      </w:r>
      <w:r>
        <w:rPr>
          <w:color w:val="231F20"/>
        </w:rPr>
        <w:t>education</w:t>
      </w:r>
      <w:r>
        <w:rPr>
          <w:color w:val="231F20"/>
          <w:spacing w:val="-9"/>
        </w:rPr>
        <w:t> </w:t>
      </w:r>
      <w:r>
        <w:rPr>
          <w:color w:val="231F20"/>
        </w:rPr>
        <w:t>completely</w:t>
      </w:r>
      <w:r>
        <w:rPr>
          <w:color w:val="231F20"/>
          <w:spacing w:val="-8"/>
        </w:rPr>
        <w:t> </w:t>
      </w:r>
      <w:r>
        <w:rPr>
          <w:color w:val="231F20"/>
        </w:rPr>
        <w:t>(Source:</w:t>
      </w:r>
      <w:r>
        <w:rPr>
          <w:color w:val="231F20"/>
          <w:w w:val="99"/>
        </w:rPr>
        <w:t> </w:t>
      </w:r>
      <w:r>
        <w:rPr>
          <w:color w:val="231F20"/>
          <w:spacing w:val="-1"/>
        </w:rPr>
        <w:t>PM&amp;C,</w:t>
      </w:r>
      <w:r>
        <w:rPr>
          <w:color w:val="231F20"/>
          <w:spacing w:val="-6"/>
        </w:rPr>
        <w:t> </w:t>
      </w:r>
      <w:r>
        <w:rPr>
          <w:color w:val="231F20"/>
        </w:rPr>
        <w:t>November</w:t>
      </w:r>
      <w:r>
        <w:rPr>
          <w:color w:val="231F20"/>
          <w:spacing w:val="-5"/>
        </w:rPr>
        <w:t> </w:t>
      </w:r>
      <w:r>
        <w:rPr>
          <w:color w:val="231F20"/>
          <w:spacing w:val="-1"/>
        </w:rPr>
        <w:t>2018).</w:t>
      </w:r>
      <w:r>
        <w:rPr>
          <w:color w:val="231F20"/>
          <w:spacing w:val="-5"/>
        </w:rPr>
        <w:t> </w:t>
      </w:r>
      <w:r>
        <w:rPr>
          <w:color w:val="231F20"/>
        </w:rPr>
        <w:t>Any</w:t>
      </w:r>
      <w:r>
        <w:rPr>
          <w:color w:val="231F20"/>
          <w:spacing w:val="-5"/>
        </w:rPr>
        <w:t> </w:t>
      </w:r>
      <w:r>
        <w:rPr>
          <w:color w:val="231F20"/>
        </w:rPr>
        <w:t>changes</w:t>
      </w:r>
      <w:r>
        <w:rPr>
          <w:color w:val="231F20"/>
          <w:spacing w:val="-5"/>
        </w:rPr>
        <w:t> </w:t>
      </w:r>
      <w:r>
        <w:rPr>
          <w:color w:val="231F20"/>
        </w:rPr>
        <w:t>to</w:t>
      </w:r>
      <w:r>
        <w:rPr>
          <w:color w:val="231F20"/>
          <w:spacing w:val="-6"/>
        </w:rPr>
        <w:t> </w:t>
      </w:r>
      <w:r>
        <w:rPr>
          <w:color w:val="231F20"/>
        </w:rPr>
        <w:t>the</w:t>
      </w:r>
      <w:r>
        <w:rPr>
          <w:color w:val="231F20"/>
          <w:spacing w:val="23"/>
          <w:w w:val="99"/>
        </w:rPr>
        <w:t> </w:t>
      </w:r>
      <w:r>
        <w:rPr>
          <w:color w:val="231F20"/>
        </w:rPr>
        <w:t>policy</w:t>
      </w:r>
      <w:r>
        <w:rPr>
          <w:color w:val="231F20"/>
          <w:spacing w:val="-6"/>
        </w:rPr>
        <w:t> </w:t>
      </w:r>
      <w:r>
        <w:rPr>
          <w:color w:val="231F20"/>
        </w:rPr>
        <w:t>would</w:t>
      </w:r>
      <w:r>
        <w:rPr>
          <w:color w:val="231F20"/>
          <w:spacing w:val="-5"/>
        </w:rPr>
        <w:t> </w:t>
      </w:r>
      <w:r>
        <w:rPr>
          <w:color w:val="231F20"/>
        </w:rPr>
        <w:t>require</w:t>
      </w:r>
      <w:r>
        <w:rPr>
          <w:color w:val="231F20"/>
          <w:spacing w:val="-5"/>
        </w:rPr>
        <w:t> </w:t>
      </w:r>
      <w:r>
        <w:rPr>
          <w:color w:val="231F20"/>
          <w:spacing w:val="-1"/>
        </w:rPr>
        <w:t>mechanisms</w:t>
      </w:r>
      <w:r>
        <w:rPr>
          <w:color w:val="231F20"/>
          <w:spacing w:val="-3"/>
        </w:rPr>
        <w:t> </w:t>
      </w:r>
      <w:r>
        <w:rPr>
          <w:color w:val="231F20"/>
        </w:rPr>
        <w:t>to</w:t>
      </w:r>
      <w:r>
        <w:rPr>
          <w:color w:val="231F20"/>
          <w:spacing w:val="-5"/>
        </w:rPr>
        <w:t> </w:t>
      </w:r>
      <w:r>
        <w:rPr>
          <w:color w:val="231F20"/>
          <w:spacing w:val="-1"/>
        </w:rPr>
        <w:t>maintain</w:t>
      </w:r>
      <w:r>
        <w:rPr>
          <w:color w:val="231F20"/>
          <w:spacing w:val="21"/>
          <w:w w:val="99"/>
        </w:rPr>
        <w:t> </w:t>
      </w:r>
      <w:r>
        <w:rPr>
          <w:color w:val="231F20"/>
        </w:rPr>
        <w:t>the</w:t>
      </w:r>
      <w:r>
        <w:rPr>
          <w:color w:val="231F20"/>
          <w:spacing w:val="-7"/>
        </w:rPr>
        <w:t> </w:t>
      </w:r>
      <w:r>
        <w:rPr>
          <w:color w:val="231F20"/>
        </w:rPr>
        <w:t>engagement</w:t>
      </w:r>
      <w:r>
        <w:rPr>
          <w:color w:val="231F20"/>
          <w:spacing w:val="-7"/>
        </w:rPr>
        <w:t> </w:t>
      </w:r>
      <w:r>
        <w:rPr>
          <w:color w:val="231F20"/>
        </w:rPr>
        <w:t>of</w:t>
      </w:r>
      <w:r>
        <w:rPr>
          <w:color w:val="231F20"/>
          <w:spacing w:val="-6"/>
        </w:rPr>
        <w:t> </w:t>
      </w:r>
      <w:r>
        <w:rPr>
          <w:color w:val="231F20"/>
          <w:spacing w:val="-1"/>
        </w:rPr>
        <w:t>suspended</w:t>
      </w:r>
      <w:r>
        <w:rPr>
          <w:color w:val="231F20"/>
          <w:spacing w:val="-5"/>
        </w:rPr>
        <w:t> </w:t>
      </w:r>
      <w:r>
        <w:rPr>
          <w:color w:val="231F20"/>
          <w:spacing w:val="-1"/>
        </w:rPr>
        <w:t>students</w:t>
      </w:r>
      <w:r>
        <w:rPr>
          <w:color w:val="231F20"/>
          <w:spacing w:val="-6"/>
        </w:rPr>
        <w:t> </w:t>
      </w:r>
      <w:r>
        <w:rPr>
          <w:color w:val="231F20"/>
        </w:rPr>
        <w:t>with</w:t>
      </w:r>
      <w:r>
        <w:rPr/>
      </w:r>
    </w:p>
    <w:p>
      <w:pPr>
        <w:pStyle w:val="BodyText"/>
        <w:spacing w:line="250" w:lineRule="exact"/>
        <w:ind w:right="112"/>
        <w:jc w:val="left"/>
      </w:pPr>
      <w:r>
        <w:rPr>
          <w:color w:val="231F20"/>
        </w:rPr>
        <w:t>education.</w:t>
      </w:r>
      <w:r>
        <w:rPr>
          <w:color w:val="231F20"/>
          <w:spacing w:val="-5"/>
        </w:rPr>
        <w:t> </w:t>
      </w:r>
      <w:r>
        <w:rPr>
          <w:color w:val="231F20"/>
          <w:spacing w:val="-1"/>
        </w:rPr>
        <w:t>See</w:t>
      </w:r>
      <w:r>
        <w:rPr>
          <w:color w:val="231F20"/>
          <w:spacing w:val="-5"/>
        </w:rPr>
        <w:t> </w:t>
      </w:r>
      <w:r>
        <w:rPr>
          <w:color w:val="231F20"/>
          <w:spacing w:val="-2"/>
        </w:rPr>
        <w:t>Part</w:t>
      </w:r>
      <w:r>
        <w:rPr>
          <w:color w:val="231F20"/>
          <w:spacing w:val="-6"/>
        </w:rPr>
        <w:t> </w:t>
      </w:r>
      <w:r>
        <w:rPr>
          <w:color w:val="231F20"/>
          <w:spacing w:val="-1"/>
        </w:rPr>
        <w:t>10</w:t>
      </w:r>
      <w:r>
        <w:rPr>
          <w:color w:val="231F20"/>
          <w:spacing w:val="-4"/>
        </w:rPr>
        <w:t> </w:t>
      </w:r>
      <w:r>
        <w:rPr>
          <w:color w:val="231F20"/>
          <w:spacing w:val="-2"/>
        </w:rPr>
        <w:t>(Fares</w:t>
      </w:r>
      <w:r>
        <w:rPr>
          <w:color w:val="231F20"/>
          <w:spacing w:val="-6"/>
        </w:rPr>
        <w:t> </w:t>
      </w:r>
      <w:r>
        <w:rPr>
          <w:color w:val="231F20"/>
        </w:rPr>
        <w:t>allowance)</w:t>
      </w:r>
      <w:r>
        <w:rPr>
          <w:color w:val="231F20"/>
          <w:spacing w:val="-6"/>
        </w:rPr>
        <w:t> </w:t>
      </w:r>
      <w:r>
        <w:rPr>
          <w:color w:val="231F20"/>
        </w:rPr>
        <w:t>for</w:t>
      </w:r>
      <w:r>
        <w:rPr>
          <w:color w:val="231F20"/>
          <w:spacing w:val="-5"/>
        </w:rPr>
        <w:t> </w:t>
      </w:r>
      <w:r>
        <w:rPr>
          <w:color w:val="231F20"/>
        </w:rPr>
        <w:t>further</w:t>
      </w:r>
      <w:r>
        <w:rPr>
          <w:color w:val="231F20"/>
          <w:spacing w:val="29"/>
          <w:w w:val="99"/>
        </w:rPr>
        <w:t> </w:t>
      </w:r>
      <w:r>
        <w:rPr>
          <w:color w:val="231F20"/>
        </w:rPr>
        <w:t>discussion</w:t>
      </w:r>
      <w:r>
        <w:rPr>
          <w:color w:val="231F20"/>
          <w:spacing w:val="-3"/>
        </w:rPr>
        <w:t> </w:t>
      </w:r>
      <w:r>
        <w:rPr>
          <w:color w:val="231F20"/>
        </w:rPr>
        <w:t>of</w:t>
      </w:r>
      <w:r>
        <w:rPr>
          <w:color w:val="231F20"/>
          <w:spacing w:val="-2"/>
        </w:rPr>
        <w:t> </w:t>
      </w:r>
      <w:r>
        <w:rPr>
          <w:color w:val="231F20"/>
        </w:rPr>
        <w:t>the</w:t>
      </w:r>
      <w:r>
        <w:rPr>
          <w:color w:val="231F20"/>
          <w:spacing w:val="-2"/>
        </w:rPr>
        <w:t> </w:t>
      </w:r>
      <w:r>
        <w:rPr>
          <w:color w:val="231F20"/>
          <w:spacing w:val="-1"/>
        </w:rPr>
        <w:t>issues.</w:t>
      </w:r>
      <w:r>
        <w:rPr/>
      </w:r>
    </w:p>
    <w:p>
      <w:pPr>
        <w:pStyle w:val="BodyText"/>
        <w:spacing w:line="250" w:lineRule="exact" w:before="113"/>
        <w:ind w:right="259"/>
        <w:jc w:val="left"/>
      </w:pPr>
      <w:r>
        <w:rPr>
          <w:color w:val="231F20"/>
          <w:spacing w:val="-1"/>
        </w:rPr>
        <w:t>It</w:t>
      </w:r>
      <w:r>
        <w:rPr>
          <w:color w:val="231F20"/>
          <w:spacing w:val="-5"/>
        </w:rPr>
        <w:t> </w:t>
      </w:r>
      <w:r>
        <w:rPr>
          <w:color w:val="231F20"/>
          <w:spacing w:val="-1"/>
        </w:rPr>
        <w:t>is</w:t>
      </w:r>
      <w:r>
        <w:rPr>
          <w:color w:val="231F20"/>
          <w:spacing w:val="-5"/>
        </w:rPr>
        <w:t> </w:t>
      </w:r>
      <w:r>
        <w:rPr>
          <w:color w:val="231F20"/>
        </w:rPr>
        <w:t>recommended</w:t>
      </w:r>
      <w:r>
        <w:rPr>
          <w:color w:val="231F20"/>
          <w:spacing w:val="-7"/>
        </w:rPr>
        <w:t> </w:t>
      </w:r>
      <w:r>
        <w:rPr>
          <w:color w:val="231F20"/>
        </w:rPr>
        <w:t>that</w:t>
      </w:r>
      <w:r>
        <w:rPr>
          <w:color w:val="231F20"/>
          <w:spacing w:val="-5"/>
        </w:rPr>
        <w:t> </w:t>
      </w:r>
      <w:r>
        <w:rPr>
          <w:color w:val="231F20"/>
        </w:rPr>
        <w:t>the</w:t>
      </w:r>
      <w:r>
        <w:rPr>
          <w:color w:val="231F20"/>
          <w:spacing w:val="-6"/>
        </w:rPr>
        <w:t> </w:t>
      </w:r>
      <w:r>
        <w:rPr>
          <w:color w:val="231F20"/>
        </w:rPr>
        <w:t>policy</w:t>
      </w:r>
      <w:r>
        <w:rPr>
          <w:color w:val="231F20"/>
          <w:spacing w:val="-5"/>
        </w:rPr>
        <w:t> </w:t>
      </w:r>
      <w:r>
        <w:rPr>
          <w:color w:val="231F20"/>
        </w:rPr>
        <w:t>around</w:t>
      </w:r>
      <w:r>
        <w:rPr>
          <w:color w:val="231F20"/>
          <w:spacing w:val="22"/>
          <w:w w:val="99"/>
        </w:rPr>
        <w:t> </w:t>
      </w:r>
      <w:r>
        <w:rPr>
          <w:color w:val="231F20"/>
        </w:rPr>
        <w:t>ABSTUDY</w:t>
      </w:r>
      <w:r>
        <w:rPr>
          <w:color w:val="231F20"/>
          <w:spacing w:val="-4"/>
        </w:rPr>
        <w:t> </w:t>
      </w:r>
      <w:r>
        <w:rPr>
          <w:color w:val="231F20"/>
        </w:rPr>
        <w:t>travel</w:t>
      </w:r>
      <w:r>
        <w:rPr>
          <w:color w:val="231F20"/>
          <w:spacing w:val="-3"/>
        </w:rPr>
        <w:t> </w:t>
      </w:r>
      <w:r>
        <w:rPr>
          <w:color w:val="231F20"/>
        </w:rPr>
        <w:t>for</w:t>
      </w:r>
      <w:r>
        <w:rPr>
          <w:color w:val="231F20"/>
          <w:spacing w:val="-2"/>
        </w:rPr>
        <w:t> </w:t>
      </w:r>
      <w:r>
        <w:rPr>
          <w:color w:val="231F20"/>
          <w:spacing w:val="-1"/>
        </w:rPr>
        <w:t>suspensions </w:t>
      </w:r>
      <w:r>
        <w:rPr>
          <w:color w:val="231F20"/>
        </w:rPr>
        <w:t>and</w:t>
      </w:r>
      <w:r>
        <w:rPr>
          <w:color w:val="231F20"/>
          <w:spacing w:val="-3"/>
        </w:rPr>
        <w:t> </w:t>
      </w:r>
      <w:r>
        <w:rPr>
          <w:color w:val="231F20"/>
        </w:rPr>
        <w:t>exclusions</w:t>
      </w:r>
      <w:r>
        <w:rPr>
          <w:color w:val="231F20"/>
        </w:rPr>
        <w:t> </w:t>
      </w:r>
      <w:r>
        <w:rPr>
          <w:color w:val="231F20"/>
          <w:spacing w:val="22"/>
        </w:rPr>
        <w:t> </w:t>
      </w:r>
      <w:r>
        <w:rPr>
          <w:color w:val="231F20"/>
          <w:spacing w:val="-1"/>
        </w:rPr>
        <w:t>is</w:t>
      </w:r>
      <w:r>
        <w:rPr>
          <w:color w:val="231F20"/>
          <w:spacing w:val="-6"/>
        </w:rPr>
        <w:t> </w:t>
      </w:r>
      <w:r>
        <w:rPr>
          <w:color w:val="231F20"/>
        </w:rPr>
        <w:t>reviewed</w:t>
      </w:r>
      <w:r>
        <w:rPr>
          <w:color w:val="231F20"/>
          <w:spacing w:val="-5"/>
        </w:rPr>
        <w:t> </w:t>
      </w:r>
      <w:r>
        <w:rPr>
          <w:color w:val="231F20"/>
        </w:rPr>
        <w:t>within</w:t>
      </w:r>
      <w:r>
        <w:rPr>
          <w:color w:val="231F20"/>
          <w:spacing w:val="-5"/>
        </w:rPr>
        <w:t> </w:t>
      </w:r>
      <w:r>
        <w:rPr>
          <w:color w:val="231F20"/>
        </w:rPr>
        <w:t>a</w:t>
      </w:r>
      <w:r>
        <w:rPr>
          <w:color w:val="231F20"/>
          <w:spacing w:val="-4"/>
        </w:rPr>
        <w:t> </w:t>
      </w:r>
      <w:r>
        <w:rPr>
          <w:color w:val="231F20"/>
        </w:rPr>
        <w:t>framework</w:t>
      </w:r>
      <w:r>
        <w:rPr>
          <w:color w:val="231F20"/>
          <w:spacing w:val="-5"/>
        </w:rPr>
        <w:t> </w:t>
      </w:r>
      <w:r>
        <w:rPr>
          <w:color w:val="231F20"/>
        </w:rPr>
        <w:t>of</w:t>
      </w:r>
      <w:r>
        <w:rPr>
          <w:color w:val="231F20"/>
          <w:spacing w:val="-4"/>
        </w:rPr>
        <w:t> </w:t>
      </w:r>
      <w:r>
        <w:rPr>
          <w:color w:val="231F20"/>
          <w:spacing w:val="-1"/>
        </w:rPr>
        <w:t>minimising</w:t>
      </w:r>
      <w:r>
        <w:rPr>
          <w:color w:val="231F20"/>
          <w:spacing w:val="21"/>
        </w:rPr>
        <w:t> </w:t>
      </w:r>
      <w:r>
        <w:rPr>
          <w:color w:val="231F20"/>
        </w:rPr>
        <w:t>disengagement</w:t>
      </w:r>
      <w:r>
        <w:rPr>
          <w:color w:val="231F20"/>
          <w:spacing w:val="-9"/>
        </w:rPr>
        <w:t> </w:t>
      </w:r>
      <w:r>
        <w:rPr>
          <w:color w:val="231F20"/>
        </w:rPr>
        <w:t>from</w:t>
      </w:r>
      <w:r>
        <w:rPr>
          <w:color w:val="231F20"/>
          <w:spacing w:val="-7"/>
        </w:rPr>
        <w:t> </w:t>
      </w:r>
      <w:r>
        <w:rPr>
          <w:color w:val="231F20"/>
        </w:rPr>
        <w:t>education</w:t>
      </w:r>
      <w:r>
        <w:rPr>
          <w:color w:val="231F20"/>
          <w:spacing w:val="-8"/>
        </w:rPr>
        <w:t> </w:t>
      </w:r>
      <w:r>
        <w:rPr>
          <w:color w:val="231F20"/>
        </w:rPr>
        <w:t>of</w:t>
      </w:r>
      <w:r>
        <w:rPr>
          <w:color w:val="231F20"/>
          <w:spacing w:val="-8"/>
        </w:rPr>
        <w:t> </w:t>
      </w:r>
      <w:r>
        <w:rPr>
          <w:color w:val="231F20"/>
        </w:rPr>
        <w:t>boarders.</w:t>
      </w:r>
      <w:r>
        <w:rPr>
          <w:color w:val="231F20"/>
          <w:spacing w:val="-8"/>
        </w:rPr>
        <w:t> </w:t>
      </w:r>
      <w:r>
        <w:rPr>
          <w:color w:val="231F20"/>
        </w:rPr>
        <w:t>This</w:t>
      </w:r>
      <w:r>
        <w:rPr>
          <w:color w:val="231F20"/>
        </w:rPr>
        <w:t> </w:t>
      </w:r>
      <w:r>
        <w:rPr>
          <w:color w:val="231F20"/>
          <w:spacing w:val="-1"/>
        </w:rPr>
        <w:t>is</w:t>
      </w:r>
      <w:r>
        <w:rPr>
          <w:color w:val="231F20"/>
          <w:spacing w:val="-8"/>
        </w:rPr>
        <w:t> </w:t>
      </w:r>
      <w:r>
        <w:rPr>
          <w:color w:val="231F20"/>
        </w:rPr>
        <w:t>consistent</w:t>
      </w:r>
      <w:r>
        <w:rPr>
          <w:color w:val="231F20"/>
          <w:spacing w:val="-7"/>
        </w:rPr>
        <w:t> </w:t>
      </w:r>
      <w:r>
        <w:rPr>
          <w:color w:val="231F20"/>
        </w:rPr>
        <w:t>with</w:t>
      </w:r>
      <w:r>
        <w:rPr>
          <w:color w:val="231F20"/>
          <w:spacing w:val="-7"/>
        </w:rPr>
        <w:t> </w:t>
      </w:r>
      <w:r>
        <w:rPr>
          <w:color w:val="231F20"/>
        </w:rPr>
        <w:t>the</w:t>
      </w:r>
      <w:r>
        <w:rPr>
          <w:color w:val="231F20"/>
          <w:spacing w:val="-7"/>
        </w:rPr>
        <w:t> </w:t>
      </w:r>
      <w:r>
        <w:rPr>
          <w:color w:val="231F20"/>
        </w:rPr>
        <w:t>recommendation</w:t>
      </w:r>
      <w:r>
        <w:rPr>
          <w:color w:val="231F20"/>
          <w:spacing w:val="-8"/>
        </w:rPr>
        <w:t> </w:t>
      </w:r>
      <w:r>
        <w:rPr>
          <w:color w:val="231F20"/>
        </w:rPr>
        <w:t>regarding</w:t>
      </w:r>
      <w:r>
        <w:rPr>
          <w:color w:val="231F20"/>
          <w:spacing w:val="21"/>
          <w:w w:val="99"/>
        </w:rPr>
        <w:t> </w:t>
      </w:r>
      <w:r>
        <w:rPr>
          <w:color w:val="231F20"/>
        </w:rPr>
        <w:t>ABSTUDY</w:t>
      </w:r>
      <w:r>
        <w:rPr>
          <w:color w:val="231F20"/>
          <w:spacing w:val="-13"/>
        </w:rPr>
        <w:t> </w:t>
      </w:r>
      <w:r>
        <w:rPr>
          <w:color w:val="231F20"/>
          <w:spacing w:val="-1"/>
        </w:rPr>
        <w:t>travel—Recommendation</w:t>
      </w:r>
      <w:r>
        <w:rPr>
          <w:color w:val="231F20"/>
          <w:spacing w:val="-13"/>
        </w:rPr>
        <w:t> </w:t>
      </w:r>
      <w:r>
        <w:rPr>
          <w:color w:val="231F20"/>
        </w:rPr>
        <w:t>8.</w:t>
      </w:r>
      <w:r>
        <w:rPr/>
      </w:r>
    </w:p>
    <w:p>
      <w:pPr>
        <w:spacing w:after="0" w:line="250" w:lineRule="exact"/>
        <w:jc w:val="left"/>
        <w:sectPr>
          <w:type w:val="continuous"/>
          <w:pgSz w:w="11910" w:h="16840"/>
          <w:pgMar w:top="1580" w:bottom="280" w:left="1300" w:right="1300"/>
          <w:cols w:num="2" w:equalWidth="0">
            <w:col w:w="4263" w:space="329"/>
            <w:col w:w="4718"/>
          </w:cols>
        </w:sectPr>
      </w:pPr>
    </w:p>
    <w:p>
      <w:pPr>
        <w:spacing w:line="240" w:lineRule="auto" w:before="7"/>
        <w:rPr>
          <w:rFonts w:ascii="Segoe UI" w:hAnsi="Segoe UI" w:cs="Segoe UI" w:eastAsia="Segoe UI"/>
          <w:sz w:val="12"/>
          <w:szCs w:val="12"/>
        </w:rPr>
      </w:pPr>
    </w:p>
    <w:p>
      <w:pPr>
        <w:tabs>
          <w:tab w:pos="9148" w:val="left" w:leader="none"/>
        </w:tabs>
        <w:spacing w:line="40" w:lineRule="atLeast"/>
        <w:ind w:left="4709" w:right="0" w:firstLine="0"/>
        <w:rPr>
          <w:rFonts w:ascii="Segoe UI" w:hAnsi="Segoe UI" w:cs="Segoe UI" w:eastAsia="Segoe UI"/>
          <w:sz w:val="4"/>
          <w:szCs w:val="4"/>
        </w:rPr>
      </w:pPr>
      <w:r>
        <w:rPr>
          <w:rFonts w:ascii="Segoe UI"/>
          <w:sz w:val="4"/>
        </w:rPr>
        <w:pict>
          <v:group style="width:2pt;height:2pt;mso-position-horizontal-relative:char;mso-position-vertical-relative:line" coordorigin="0,0" coordsize="40,40">
            <v:group style="position:absolute;left:20;top:20;width:2;height:2" coordorigin="20,20" coordsize="2,2">
              <v:shape style="position:absolute;left:20;top:20;width:2;height:2" coordorigin="20,20" coordsize="0,0" path="m20,20l20,20e" filled="false" stroked="true" strokeweight="2pt" strokecolor="#355f92">
                <v:path arrowok="t"/>
              </v:shape>
            </v:group>
          </v:group>
        </w:pict>
      </w:r>
      <w:r>
        <w:rPr>
          <w:rFonts w:ascii="Segoe UI"/>
          <w:sz w:val="4"/>
        </w:rPr>
      </w:r>
      <w:r>
        <w:rPr>
          <w:rFonts w:ascii="Segoe UI"/>
          <w:sz w:val="4"/>
        </w:rPr>
        <w:tab/>
      </w:r>
      <w:r>
        <w:rPr>
          <w:rFonts w:ascii="Segoe UI"/>
          <w:sz w:val="4"/>
        </w:rPr>
        <w:pict>
          <v:group style="width:2pt;height:2pt;mso-position-horizontal-relative:char;mso-position-vertical-relative:line" coordorigin="0,0" coordsize="40,40">
            <v:group style="position:absolute;left:20;top:20;width:2;height:2" coordorigin="20,20" coordsize="2,2">
              <v:shape style="position:absolute;left:20;top:20;width:2;height:2" coordorigin="20,20" coordsize="0,0" path="m20,20l20,20e" filled="false" stroked="true" strokeweight="2pt" strokecolor="#355f92">
                <v:path arrowok="t"/>
              </v:shape>
            </v:group>
          </v:group>
        </w:pict>
      </w:r>
      <w:r>
        <w:rPr>
          <w:rFonts w:ascii="Segoe UI"/>
          <w:sz w:val="4"/>
        </w:rPr>
      </w: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0"/>
        <w:rPr>
          <w:rFonts w:ascii="Segoe UI" w:hAnsi="Segoe UI" w:cs="Segoe UI" w:eastAsia="Segoe UI"/>
          <w:sz w:val="20"/>
          <w:szCs w:val="20"/>
        </w:rPr>
      </w:pPr>
    </w:p>
    <w:p>
      <w:pPr>
        <w:spacing w:line="240" w:lineRule="auto" w:before="13"/>
        <w:rPr>
          <w:rFonts w:ascii="Segoe UI" w:hAnsi="Segoe UI" w:cs="Segoe UI" w:eastAsia="Segoe UI"/>
          <w:sz w:val="17"/>
          <w:szCs w:val="17"/>
        </w:rPr>
      </w:pPr>
    </w:p>
    <w:p>
      <w:pPr>
        <w:tabs>
          <w:tab w:pos="4329" w:val="left" w:leader="none"/>
        </w:tabs>
        <w:spacing w:line="40" w:lineRule="atLeast"/>
        <w:ind w:left="117" w:right="0" w:firstLine="0"/>
        <w:rPr>
          <w:rFonts w:ascii="Segoe UI" w:hAnsi="Segoe UI" w:cs="Segoe UI" w:eastAsia="Segoe UI"/>
          <w:sz w:val="4"/>
          <w:szCs w:val="4"/>
        </w:rPr>
      </w:pPr>
      <w:r>
        <w:rPr>
          <w:rFonts w:ascii="Segoe UI"/>
          <w:sz w:val="4"/>
        </w:rPr>
        <w:pict>
          <v:group style="width:2pt;height:2pt;mso-position-horizontal-relative:char;mso-position-vertical-relative:line" coordorigin="0,0" coordsize="40,40">
            <v:group style="position:absolute;left:20;top:20;width:2;height:2" coordorigin="20,20" coordsize="2,2">
              <v:shape style="position:absolute;left:20;top:20;width:2;height:2" coordorigin="20,20" coordsize="0,0" path="m20,20l20,20e" filled="false" stroked="true" strokeweight="2pt" strokecolor="#355f92">
                <v:path arrowok="t"/>
              </v:shape>
            </v:group>
          </v:group>
        </w:pict>
      </w:r>
      <w:r>
        <w:rPr>
          <w:rFonts w:ascii="Segoe UI"/>
          <w:sz w:val="4"/>
        </w:rPr>
      </w:r>
      <w:r>
        <w:rPr>
          <w:rFonts w:ascii="Segoe UI"/>
          <w:sz w:val="4"/>
        </w:rPr>
        <w:tab/>
      </w:r>
      <w:r>
        <w:rPr>
          <w:rFonts w:ascii="Segoe UI"/>
          <w:sz w:val="4"/>
        </w:rPr>
        <w:pict>
          <v:group style="width:2pt;height:2pt;mso-position-horizontal-relative:char;mso-position-vertical-relative:line" coordorigin="0,0" coordsize="40,40">
            <v:group style="position:absolute;left:20;top:20;width:2;height:2" coordorigin="20,20" coordsize="2,2">
              <v:shape style="position:absolute;left:20;top:20;width:2;height:2" coordorigin="20,20" coordsize="0,0" path="m20,20l20,20e" filled="false" stroked="true" strokeweight="2pt" strokecolor="#355f92">
                <v:path arrowok="t"/>
              </v:shape>
            </v:group>
          </v:group>
        </w:pict>
      </w:r>
      <w:r>
        <w:rPr>
          <w:rFonts w:ascii="Segoe UI"/>
          <w:sz w:val="4"/>
        </w:rPr>
      </w:r>
    </w:p>
    <w:p>
      <w:pPr>
        <w:spacing w:line="240" w:lineRule="auto" w:before="11"/>
        <w:rPr>
          <w:rFonts w:ascii="Segoe UI" w:hAnsi="Segoe UI" w:cs="Segoe UI" w:eastAsia="Segoe UI"/>
          <w:sz w:val="5"/>
          <w:szCs w:val="5"/>
        </w:rPr>
      </w:pPr>
    </w:p>
    <w:p>
      <w:pPr>
        <w:pStyle w:val="BodyText"/>
        <w:spacing w:line="250" w:lineRule="exact" w:before="62"/>
        <w:ind w:right="4913"/>
        <w:jc w:val="left"/>
      </w:pPr>
      <w:r>
        <w:rPr/>
        <w:pict>
          <v:group style="position:absolute;margin-left:301.472412pt;margin-top:50.827pt;width:.1pt;height:.1pt;mso-position-horizontal-relative:page;mso-position-vertical-relative:paragraph;z-index:-219928" coordorigin="6029,1017" coordsize="2,2">
            <v:shape style="position:absolute;left:6029;top:1017;width:2;height:2" coordorigin="6029,1017" coordsize="0,0" path="m6029,1017l6029,1017e" filled="false" stroked="true" strokeweight="2pt" strokecolor="#355f92">
              <v:path arrowok="t"/>
            </v:shape>
            <w10:wrap type="none"/>
          </v:group>
        </w:pict>
      </w:r>
      <w:r>
        <w:rPr/>
        <w:pict>
          <v:group style="position:absolute;margin-left:523.409424pt;margin-top:50.827pt;width:.1pt;height:.1pt;mso-position-horizontal-relative:page;mso-position-vertical-relative:paragraph;z-index:-219904" coordorigin="10468,1017" coordsize="2,2">
            <v:shape style="position:absolute;left:10468;top:1017;width:2;height:2" coordorigin="10468,1017" coordsize="0,0" path="m10468,1017l10468,1017e" filled="false" stroked="true" strokeweight="2pt" strokecolor="#355f92">
              <v:path arrowok="t"/>
            </v:shape>
            <w10:wrap type="none"/>
          </v:group>
        </w:pict>
      </w:r>
      <w:r>
        <w:rPr/>
        <w:pict>
          <v:shape style="position:absolute;margin-left:71.866096pt;margin-top:-247.645599pt;width:210.6pt;height:241.8pt;mso-position-horizontal-relative:page;mso-position-vertical-relative:paragraph;z-index:-219880" type="#_x0000_t202" filled="true" fillcolor="#ecf1f5" stroked="true" strokeweight="2pt" strokecolor="#355f92">
            <v:textbox inset="0,0,0,0">
              <w:txbxContent>
                <w:p>
                  <w:pPr>
                    <w:spacing w:before="105"/>
                    <w:ind w:left="186" w:right="874" w:firstLine="0"/>
                    <w:jc w:val="left"/>
                    <w:rPr>
                      <w:rFonts w:ascii="Segoe UI Semibold" w:hAnsi="Segoe UI Semibold" w:cs="Segoe UI Semibold" w:eastAsia="Segoe UI Semibold"/>
                      <w:sz w:val="24"/>
                      <w:szCs w:val="24"/>
                    </w:rPr>
                  </w:pPr>
                  <w:r>
                    <w:rPr>
                      <w:rFonts w:ascii="Segoe UI Semibold"/>
                      <w:b/>
                      <w:color w:val="452A70"/>
                      <w:spacing w:val="-2"/>
                      <w:sz w:val="24"/>
                    </w:rPr>
                    <w:t>RECOMMENDATION</w:t>
                  </w:r>
                  <w:r>
                    <w:rPr>
                      <w:rFonts w:ascii="Segoe UI Semibold"/>
                      <w:b/>
                      <w:color w:val="452A70"/>
                      <w:spacing w:val="-7"/>
                      <w:sz w:val="24"/>
                    </w:rPr>
                    <w:t> </w:t>
                  </w:r>
                  <w:r>
                    <w:rPr>
                      <w:rFonts w:ascii="Segoe UI Semibold"/>
                      <w:b/>
                      <w:color w:val="452A70"/>
                      <w:spacing w:val="-1"/>
                      <w:sz w:val="24"/>
                    </w:rPr>
                    <w:t>1:</w:t>
                  </w:r>
                  <w:r>
                    <w:rPr>
                      <w:rFonts w:ascii="Segoe UI Semibold"/>
                      <w:b/>
                      <w:color w:val="452A70"/>
                      <w:spacing w:val="-5"/>
                      <w:sz w:val="24"/>
                    </w:rPr>
                    <w:t> </w:t>
                  </w:r>
                  <w:r>
                    <w:rPr>
                      <w:rFonts w:ascii="Segoe UI Semibold"/>
                      <w:b/>
                      <w:color w:val="452A70"/>
                      <w:spacing w:val="-10"/>
                      <w:sz w:val="24"/>
                    </w:rPr>
                    <w:t>DA</w:t>
                  </w:r>
                  <w:r>
                    <w:rPr>
                      <w:rFonts w:ascii="Segoe UI Semibold"/>
                      <w:b/>
                      <w:color w:val="452A70"/>
                      <w:spacing w:val="-11"/>
                      <w:sz w:val="24"/>
                    </w:rPr>
                    <w:t>T</w:t>
                  </w:r>
                  <w:r>
                    <w:rPr>
                      <w:rFonts w:ascii="Segoe UI Semibold"/>
                      <w:b/>
                      <w:color w:val="452A70"/>
                      <w:spacing w:val="-10"/>
                      <w:sz w:val="24"/>
                    </w:rPr>
                    <w:t>A</w:t>
                  </w:r>
                  <w:r>
                    <w:rPr>
                      <w:rFonts w:ascii="Segoe UI Semibold"/>
                      <w:b/>
                      <w:color w:val="452A70"/>
                      <w:spacing w:val="26"/>
                      <w:sz w:val="24"/>
                    </w:rPr>
                    <w:t> </w:t>
                  </w:r>
                  <w:r>
                    <w:rPr>
                      <w:rFonts w:ascii="Segoe UI Semibold"/>
                      <w:b/>
                      <w:color w:val="452A70"/>
                      <w:spacing w:val="-1"/>
                      <w:sz w:val="24"/>
                    </w:rPr>
                    <w:t>RECORDING</w:t>
                  </w:r>
                  <w:r>
                    <w:rPr>
                      <w:rFonts w:ascii="Segoe UI Semibold"/>
                      <w:sz w:val="24"/>
                    </w:rPr>
                  </w:r>
                </w:p>
                <w:p>
                  <w:pPr>
                    <w:pStyle w:val="BodyText"/>
                    <w:spacing w:line="250" w:lineRule="exact" w:before="131"/>
                    <w:ind w:left="186" w:right="617"/>
                    <w:jc w:val="left"/>
                  </w:pPr>
                  <w:r>
                    <w:rPr>
                      <w:rFonts w:ascii="Segoe UI"/>
                      <w:color w:val="452A70"/>
                    </w:rPr>
                    <w:t>Improve and refine data collection by </w:t>
                  </w:r>
                  <w:r>
                    <w:rPr>
                      <w:color w:val="452A70"/>
                    </w:rPr>
                    <w:t>boarding</w:t>
                  </w:r>
                  <w:r>
                    <w:rPr>
                      <w:color w:val="452A70"/>
                      <w:spacing w:val="-9"/>
                    </w:rPr>
                    <w:t> </w:t>
                  </w:r>
                  <w:r>
                    <w:rPr>
                      <w:color w:val="452A70"/>
                    </w:rPr>
                    <w:t>providers</w:t>
                  </w:r>
                  <w:r>
                    <w:rPr>
                      <w:color w:val="452A70"/>
                      <w:spacing w:val="-9"/>
                    </w:rPr>
                    <w:t> </w:t>
                  </w:r>
                  <w:r>
                    <w:rPr>
                      <w:color w:val="452A70"/>
                    </w:rPr>
                    <w:t>for</w:t>
                  </w:r>
                  <w:r>
                    <w:rPr>
                      <w:color w:val="452A70"/>
                      <w:spacing w:val="-8"/>
                    </w:rPr>
                    <w:t> </w:t>
                  </w:r>
                  <w:r>
                    <w:rPr>
                      <w:color w:val="452A70"/>
                    </w:rPr>
                    <w:t>Aboriginal</w:t>
                  </w:r>
                  <w:r>
                    <w:rPr>
                      <w:color w:val="452A70"/>
                      <w:spacing w:val="-8"/>
                    </w:rPr>
                    <w:t> </w:t>
                  </w:r>
                  <w:r>
                    <w:rPr>
                      <w:color w:val="452A70"/>
                    </w:rPr>
                    <w:t>and</w:t>
                  </w:r>
                  <w:r>
                    <w:rPr>
                      <w:color w:val="452A70"/>
                      <w:w w:val="99"/>
                    </w:rPr>
                    <w:t> </w:t>
                  </w:r>
                  <w:r>
                    <w:rPr>
                      <w:color w:val="452A70"/>
                      <w:spacing w:val="-5"/>
                    </w:rPr>
                    <w:t>Torres</w:t>
                  </w:r>
                  <w:r>
                    <w:rPr>
                      <w:color w:val="452A70"/>
                      <w:spacing w:val="-3"/>
                    </w:rPr>
                    <w:t> </w:t>
                  </w:r>
                  <w:r>
                    <w:rPr>
                      <w:color w:val="452A70"/>
                      <w:spacing w:val="-2"/>
                    </w:rPr>
                    <w:t>Strait</w:t>
                  </w:r>
                  <w:r>
                    <w:rPr>
                      <w:color w:val="452A70"/>
                      <w:spacing w:val="-3"/>
                    </w:rPr>
                    <w:t> </w:t>
                  </w:r>
                  <w:r>
                    <w:rPr>
                      <w:color w:val="452A70"/>
                      <w:spacing w:val="-1"/>
                    </w:rPr>
                    <w:t>Islander</w:t>
                  </w:r>
                  <w:r>
                    <w:rPr>
                      <w:color w:val="452A70"/>
                      <w:spacing w:val="-3"/>
                    </w:rPr>
                    <w:t> </w:t>
                  </w:r>
                  <w:r>
                    <w:rPr>
                      <w:color w:val="452A70"/>
                      <w:spacing w:val="-1"/>
                    </w:rPr>
                    <w:t>students</w:t>
                  </w:r>
                  <w:r>
                    <w:rPr>
                      <w:color w:val="452A70"/>
                      <w:spacing w:val="-2"/>
                    </w:rPr>
                    <w:t> </w:t>
                  </w:r>
                  <w:r>
                    <w:rPr>
                      <w:color w:val="452A70"/>
                    </w:rPr>
                    <w:t>to</w:t>
                  </w:r>
                  <w:r>
                    <w:rPr>
                      <w:color w:val="452A70"/>
                      <w:spacing w:val="-2"/>
                    </w:rPr>
                    <w:t> </w:t>
                  </w:r>
                  <w:r>
                    <w:rPr>
                      <w:color w:val="452A70"/>
                    </w:rPr>
                    <w:t>assist</w:t>
                  </w:r>
                  <w:r>
                    <w:rPr>
                      <w:color w:val="452A70"/>
                      <w:spacing w:val="23"/>
                    </w:rPr>
                    <w:t> </w:t>
                  </w:r>
                  <w:r>
                    <w:rPr>
                      <w:color w:val="452A70"/>
                    </w:rPr>
                    <w:t>government</w:t>
                  </w:r>
                  <w:r>
                    <w:rPr>
                      <w:color w:val="452A70"/>
                      <w:spacing w:val="-12"/>
                    </w:rPr>
                    <w:t> </w:t>
                  </w:r>
                  <w:r>
                    <w:rPr>
                      <w:color w:val="452A70"/>
                    </w:rPr>
                    <w:t>and</w:t>
                  </w:r>
                  <w:r>
                    <w:rPr>
                      <w:color w:val="452A70"/>
                      <w:spacing w:val="-11"/>
                    </w:rPr>
                    <w:t> </w:t>
                  </w:r>
                  <w:r>
                    <w:rPr>
                      <w:color w:val="452A70"/>
                    </w:rPr>
                    <w:t>boarding</w:t>
                  </w:r>
                  <w:r>
                    <w:rPr>
                      <w:color w:val="452A70"/>
                      <w:spacing w:val="-11"/>
                    </w:rPr>
                    <w:t> </w:t>
                  </w:r>
                  <w:r>
                    <w:rPr>
                      <w:color w:val="452A70"/>
                    </w:rPr>
                    <w:t>providers</w:t>
                  </w:r>
                  <w:r>
                    <w:rPr>
                      <w:color w:val="452A70"/>
                      <w:w w:val="99"/>
                    </w:rPr>
                    <w:t> </w:t>
                  </w:r>
                  <w:r>
                    <w:rPr>
                      <w:color w:val="452A70"/>
                    </w:rPr>
                    <w:t>to</w:t>
                  </w:r>
                  <w:r>
                    <w:rPr>
                      <w:color w:val="452A70"/>
                      <w:spacing w:val="-4"/>
                    </w:rPr>
                    <w:t> </w:t>
                  </w:r>
                  <w:r>
                    <w:rPr>
                      <w:color w:val="452A70"/>
                      <w:spacing w:val="-1"/>
                    </w:rPr>
                    <w:t>make</w:t>
                  </w:r>
                  <w:r>
                    <w:rPr>
                      <w:color w:val="452A70"/>
                      <w:spacing w:val="-4"/>
                    </w:rPr>
                    <w:t> </w:t>
                  </w:r>
                  <w:r>
                    <w:rPr>
                      <w:color w:val="452A70"/>
                      <w:spacing w:val="-1"/>
                    </w:rPr>
                    <w:t>informed</w:t>
                  </w:r>
                  <w:r>
                    <w:rPr>
                      <w:color w:val="452A70"/>
                      <w:spacing w:val="-4"/>
                    </w:rPr>
                    <w:t> </w:t>
                  </w:r>
                  <w:r>
                    <w:rPr>
                      <w:color w:val="452A70"/>
                    </w:rPr>
                    <w:t>decisions</w:t>
                  </w:r>
                  <w:r>
                    <w:rPr>
                      <w:color w:val="452A70"/>
                      <w:spacing w:val="-5"/>
                    </w:rPr>
                    <w:t> </w:t>
                  </w:r>
                  <w:r>
                    <w:rPr>
                      <w:color w:val="452A70"/>
                    </w:rPr>
                    <w:t>about</w:t>
                  </w:r>
                  <w:r>
                    <w:rPr/>
                  </w:r>
                </w:p>
                <w:p>
                  <w:pPr>
                    <w:pStyle w:val="BodyText"/>
                    <w:spacing w:line="250" w:lineRule="exact"/>
                    <w:ind w:left="186" w:right="235"/>
                    <w:jc w:val="left"/>
                  </w:pPr>
                  <w:r>
                    <w:rPr>
                      <w:color w:val="452A70"/>
                    </w:rPr>
                    <w:t>boarding,</w:t>
                  </w:r>
                  <w:r>
                    <w:rPr>
                      <w:color w:val="452A70"/>
                      <w:spacing w:val="-10"/>
                    </w:rPr>
                    <w:t> </w:t>
                  </w:r>
                  <w:r>
                    <w:rPr>
                      <w:color w:val="452A70"/>
                    </w:rPr>
                    <w:t>funding</w:t>
                  </w:r>
                  <w:r>
                    <w:rPr>
                      <w:color w:val="452A70"/>
                      <w:spacing w:val="-8"/>
                    </w:rPr>
                    <w:t> </w:t>
                  </w:r>
                  <w:r>
                    <w:rPr>
                      <w:color w:val="452A70"/>
                    </w:rPr>
                    <w:t>and</w:t>
                  </w:r>
                  <w:r>
                    <w:rPr>
                      <w:color w:val="452A70"/>
                      <w:spacing w:val="-9"/>
                    </w:rPr>
                    <w:t> </w:t>
                  </w:r>
                  <w:r>
                    <w:rPr>
                      <w:color w:val="452A70"/>
                    </w:rPr>
                    <w:t>policy,</w:t>
                  </w:r>
                  <w:r>
                    <w:rPr>
                      <w:color w:val="452A70"/>
                      <w:spacing w:val="-9"/>
                    </w:rPr>
                    <w:t> </w:t>
                  </w:r>
                  <w:r>
                    <w:rPr>
                      <w:color w:val="452A70"/>
                      <w:spacing w:val="-1"/>
                    </w:rPr>
                    <w:t>including</w:t>
                  </w:r>
                  <w:r>
                    <w:rPr>
                      <w:color w:val="452A70"/>
                      <w:spacing w:val="20"/>
                      <w:w w:val="99"/>
                    </w:rPr>
                    <w:t> </w:t>
                  </w:r>
                  <w:r>
                    <w:rPr>
                      <w:color w:val="452A70"/>
                    </w:rPr>
                    <w:t>but</w:t>
                  </w:r>
                  <w:r>
                    <w:rPr>
                      <w:color w:val="452A70"/>
                      <w:spacing w:val="-3"/>
                    </w:rPr>
                    <w:t> </w:t>
                  </w:r>
                  <w:r>
                    <w:rPr>
                      <w:color w:val="452A70"/>
                    </w:rPr>
                    <w:t>not</w:t>
                  </w:r>
                  <w:r>
                    <w:rPr>
                      <w:color w:val="452A70"/>
                      <w:spacing w:val="-2"/>
                    </w:rPr>
                    <w:t> </w:t>
                  </w:r>
                  <w:r>
                    <w:rPr>
                      <w:color w:val="452A70"/>
                      <w:spacing w:val="-1"/>
                    </w:rPr>
                    <w:t>limited</w:t>
                  </w:r>
                  <w:r>
                    <w:rPr>
                      <w:color w:val="452A70"/>
                      <w:spacing w:val="-2"/>
                    </w:rPr>
                    <w:t> </w:t>
                  </w:r>
                  <w:r>
                    <w:rPr>
                      <w:color w:val="452A70"/>
                    </w:rPr>
                    <w:t>to</w:t>
                  </w:r>
                  <w:r>
                    <w:rPr>
                      <w:color w:val="452A70"/>
                      <w:spacing w:val="-2"/>
                    </w:rPr>
                    <w:t> </w:t>
                  </w:r>
                  <w:r>
                    <w:rPr>
                      <w:color w:val="452A70"/>
                    </w:rPr>
                    <w:t>expulsion,</w:t>
                  </w:r>
                  <w:r>
                    <w:rPr>
                      <w:color w:val="452A70"/>
                      <w:spacing w:val="-3"/>
                    </w:rPr>
                    <w:t> </w:t>
                  </w:r>
                  <w:r>
                    <w:rPr>
                      <w:color w:val="452A70"/>
                    </w:rPr>
                    <w:t>exclusion</w:t>
                  </w:r>
                  <w:r>
                    <w:rPr>
                      <w:color w:val="452A70"/>
                      <w:spacing w:val="-3"/>
                    </w:rPr>
                    <w:t> </w:t>
                  </w:r>
                  <w:r>
                    <w:rPr>
                      <w:color w:val="452A70"/>
                    </w:rPr>
                    <w:t>and</w:t>
                  </w:r>
                  <w:r>
                    <w:rPr/>
                  </w:r>
                </w:p>
                <w:p>
                  <w:pPr>
                    <w:pStyle w:val="BodyText"/>
                    <w:spacing w:line="250" w:lineRule="exact"/>
                    <w:ind w:left="186" w:right="140"/>
                    <w:jc w:val="left"/>
                  </w:pPr>
                  <w:r>
                    <w:rPr>
                      <w:color w:val="452A70"/>
                      <w:spacing w:val="-1"/>
                    </w:rPr>
                    <w:t>suspension</w:t>
                  </w:r>
                  <w:r>
                    <w:rPr>
                      <w:color w:val="452A70"/>
                      <w:spacing w:val="-5"/>
                    </w:rPr>
                    <w:t> </w:t>
                  </w:r>
                  <w:r>
                    <w:rPr>
                      <w:color w:val="452A70"/>
                    </w:rPr>
                    <w:t>data</w:t>
                  </w:r>
                  <w:r>
                    <w:rPr>
                      <w:color w:val="452A70"/>
                      <w:spacing w:val="-6"/>
                    </w:rPr>
                    <w:t> </w:t>
                  </w:r>
                  <w:r>
                    <w:rPr>
                      <w:color w:val="452A70"/>
                    </w:rPr>
                    <w:t>and</w:t>
                  </w:r>
                  <w:r>
                    <w:rPr>
                      <w:color w:val="452A70"/>
                      <w:spacing w:val="-6"/>
                    </w:rPr>
                    <w:t> </w:t>
                  </w:r>
                  <w:r>
                    <w:rPr>
                      <w:color w:val="452A70"/>
                    </w:rPr>
                    <w:t>the</w:t>
                  </w:r>
                  <w:r>
                    <w:rPr>
                      <w:color w:val="452A70"/>
                      <w:spacing w:val="-6"/>
                    </w:rPr>
                    <w:t> </w:t>
                  </w:r>
                  <w:r>
                    <w:rPr>
                      <w:color w:val="452A70"/>
                      <w:spacing w:val="-1"/>
                    </w:rPr>
                    <w:t>separate</w:t>
                  </w:r>
                  <w:r>
                    <w:rPr>
                      <w:color w:val="452A70"/>
                      <w:spacing w:val="-4"/>
                    </w:rPr>
                    <w:t> </w:t>
                  </w:r>
                  <w:r>
                    <w:rPr>
                      <w:color w:val="452A70"/>
                    </w:rPr>
                    <w:t>reporting</w:t>
                  </w:r>
                  <w:r>
                    <w:rPr>
                      <w:color w:val="452A70"/>
                      <w:spacing w:val="23"/>
                      <w:w w:val="99"/>
                    </w:rPr>
                    <w:t> </w:t>
                  </w:r>
                  <w:r>
                    <w:rPr>
                      <w:color w:val="452A70"/>
                    </w:rPr>
                    <w:t>of</w:t>
                  </w:r>
                  <w:r>
                    <w:rPr>
                      <w:color w:val="452A70"/>
                      <w:spacing w:val="-6"/>
                    </w:rPr>
                    <w:t> </w:t>
                  </w:r>
                  <w:r>
                    <w:rPr>
                      <w:color w:val="452A70"/>
                    </w:rPr>
                    <w:t>direct</w:t>
                  </w:r>
                  <w:r>
                    <w:rPr>
                      <w:color w:val="452A70"/>
                      <w:spacing w:val="-6"/>
                    </w:rPr>
                    <w:t> </w:t>
                  </w:r>
                  <w:r>
                    <w:rPr>
                      <w:color w:val="452A70"/>
                    </w:rPr>
                    <w:t>and</w:t>
                  </w:r>
                  <w:r>
                    <w:rPr>
                      <w:color w:val="452A70"/>
                      <w:spacing w:val="-6"/>
                    </w:rPr>
                    <w:t> </w:t>
                  </w:r>
                  <w:r>
                    <w:rPr>
                      <w:color w:val="452A70"/>
                    </w:rPr>
                    <w:t>attributable</w:t>
                  </w:r>
                  <w:r>
                    <w:rPr>
                      <w:color w:val="452A70"/>
                      <w:spacing w:val="-6"/>
                    </w:rPr>
                    <w:t> </w:t>
                  </w:r>
                  <w:r>
                    <w:rPr>
                      <w:color w:val="452A70"/>
                    </w:rPr>
                    <w:t>costs</w:t>
                  </w:r>
                  <w:r>
                    <w:rPr>
                      <w:color w:val="452A70"/>
                      <w:spacing w:val="-6"/>
                    </w:rPr>
                    <w:t> </w:t>
                  </w:r>
                  <w:r>
                    <w:rPr>
                      <w:color w:val="452A70"/>
                    </w:rPr>
                    <w:t>of</w:t>
                  </w:r>
                  <w:r>
                    <w:rPr>
                      <w:color w:val="452A70"/>
                      <w:spacing w:val="-5"/>
                    </w:rPr>
                    <w:t> </w:t>
                  </w:r>
                  <w:r>
                    <w:rPr>
                      <w:color w:val="452A70"/>
                    </w:rPr>
                    <w:t>boarding</w:t>
                  </w:r>
                  <w:r>
                    <w:rPr>
                      <w:color w:val="452A70"/>
                      <w:w w:val="99"/>
                    </w:rPr>
                    <w:t> </w:t>
                  </w:r>
                  <w:r>
                    <w:rPr>
                      <w:color w:val="452A70"/>
                    </w:rPr>
                    <w:t>and</w:t>
                  </w:r>
                  <w:r>
                    <w:rPr>
                      <w:color w:val="452A70"/>
                      <w:spacing w:val="-5"/>
                    </w:rPr>
                    <w:t> </w:t>
                  </w:r>
                  <w:r>
                    <w:rPr>
                      <w:color w:val="452A70"/>
                      <w:spacing w:val="-1"/>
                    </w:rPr>
                    <w:t>support</w:t>
                  </w:r>
                  <w:r>
                    <w:rPr>
                      <w:color w:val="452A70"/>
                      <w:spacing w:val="-3"/>
                    </w:rPr>
                    <w:t> </w:t>
                  </w:r>
                  <w:r>
                    <w:rPr>
                      <w:color w:val="452A70"/>
                      <w:spacing w:val="-1"/>
                    </w:rPr>
                    <w:t>services.</w:t>
                  </w:r>
                  <w:r>
                    <w:rPr>
                      <w:color w:val="452A70"/>
                      <w:spacing w:val="-2"/>
                    </w:rPr>
                    <w:t> </w:t>
                  </w:r>
                  <w:r>
                    <w:rPr>
                      <w:color w:val="452A70"/>
                      <w:spacing w:val="-1"/>
                    </w:rPr>
                    <w:t>For</w:t>
                  </w:r>
                  <w:r>
                    <w:rPr>
                      <w:color w:val="452A70"/>
                      <w:spacing w:val="-3"/>
                    </w:rPr>
                    <w:t> </w:t>
                  </w:r>
                  <w:r>
                    <w:rPr>
                      <w:color w:val="452A70"/>
                    </w:rPr>
                    <w:t>consistency</w:t>
                  </w:r>
                  <w:r>
                    <w:rPr>
                      <w:color w:val="452A70"/>
                      <w:spacing w:val="-4"/>
                    </w:rPr>
                    <w:t> </w:t>
                  </w:r>
                  <w:r>
                    <w:rPr>
                      <w:color w:val="452A70"/>
                    </w:rPr>
                    <w:t>the</w:t>
                  </w:r>
                  <w:r>
                    <w:rPr>
                      <w:color w:val="452A70"/>
                      <w:spacing w:val="24"/>
                      <w:w w:val="99"/>
                    </w:rPr>
                    <w:t> </w:t>
                  </w:r>
                  <w:r>
                    <w:rPr>
                      <w:color w:val="452A70"/>
                    </w:rPr>
                    <w:t>data,</w:t>
                  </w:r>
                  <w:r>
                    <w:rPr>
                      <w:color w:val="452A70"/>
                      <w:spacing w:val="-10"/>
                    </w:rPr>
                    <w:t> </w:t>
                  </w:r>
                  <w:r>
                    <w:rPr>
                      <w:color w:val="452A70"/>
                      <w:spacing w:val="-1"/>
                    </w:rPr>
                    <w:t>including</w:t>
                  </w:r>
                  <w:r>
                    <w:rPr>
                      <w:color w:val="452A70"/>
                      <w:spacing w:val="-8"/>
                    </w:rPr>
                    <w:t> </w:t>
                  </w:r>
                  <w:r>
                    <w:rPr>
                      <w:color w:val="452A70"/>
                    </w:rPr>
                    <w:t>for</w:t>
                  </w:r>
                  <w:r>
                    <w:rPr>
                      <w:color w:val="452A70"/>
                      <w:spacing w:val="-8"/>
                    </w:rPr>
                    <w:t> </w:t>
                  </w:r>
                  <w:r>
                    <w:rPr>
                      <w:color w:val="452A70"/>
                      <w:spacing w:val="-1"/>
                    </w:rPr>
                    <w:t>standalone</w:t>
                  </w:r>
                  <w:r>
                    <w:rPr>
                      <w:color w:val="452A70"/>
                      <w:spacing w:val="-7"/>
                    </w:rPr>
                    <w:t> </w:t>
                  </w:r>
                  <w:r>
                    <w:rPr>
                      <w:color w:val="452A70"/>
                    </w:rPr>
                    <w:t>boarding</w:t>
                  </w:r>
                  <w:r>
                    <w:rPr>
                      <w:color w:val="452A70"/>
                      <w:spacing w:val="23"/>
                      <w:w w:val="99"/>
                    </w:rPr>
                    <w:t> </w:t>
                  </w:r>
                  <w:r>
                    <w:rPr>
                      <w:color w:val="452A70"/>
                    </w:rPr>
                    <w:t>providers,</w:t>
                  </w:r>
                  <w:r>
                    <w:rPr>
                      <w:color w:val="452A70"/>
                      <w:spacing w:val="-6"/>
                    </w:rPr>
                    <w:t> </w:t>
                  </w:r>
                  <w:r>
                    <w:rPr>
                      <w:color w:val="452A70"/>
                      <w:spacing w:val="-1"/>
                    </w:rPr>
                    <w:t>should</w:t>
                  </w:r>
                  <w:r>
                    <w:rPr>
                      <w:color w:val="452A70"/>
                      <w:spacing w:val="-5"/>
                    </w:rPr>
                    <w:t> </w:t>
                  </w:r>
                  <w:r>
                    <w:rPr>
                      <w:color w:val="452A70"/>
                    </w:rPr>
                    <w:t>be</w:t>
                  </w:r>
                  <w:r>
                    <w:rPr>
                      <w:color w:val="452A70"/>
                      <w:spacing w:val="-5"/>
                    </w:rPr>
                    <w:t> </w:t>
                  </w:r>
                  <w:r>
                    <w:rPr>
                      <w:color w:val="452A70"/>
                    </w:rPr>
                    <w:t>provided</w:t>
                  </w:r>
                  <w:r>
                    <w:rPr>
                      <w:color w:val="452A70"/>
                      <w:spacing w:val="-5"/>
                    </w:rPr>
                    <w:t> </w:t>
                  </w:r>
                  <w:r>
                    <w:rPr>
                      <w:color w:val="452A70"/>
                    </w:rPr>
                    <w:t>to</w:t>
                  </w:r>
                  <w:r>
                    <w:rPr>
                      <w:color w:val="452A70"/>
                      <w:spacing w:val="-5"/>
                    </w:rPr>
                    <w:t> </w:t>
                  </w:r>
                  <w:r>
                    <w:rPr>
                      <w:color w:val="452A70"/>
                    </w:rPr>
                    <w:t>the</w:t>
                  </w:r>
                  <w:r>
                    <w:rPr>
                      <w:color w:val="452A70"/>
                      <w:spacing w:val="21"/>
                      <w:w w:val="99"/>
                    </w:rPr>
                    <w:t> </w:t>
                  </w:r>
                  <w:r>
                    <w:rPr>
                      <w:color w:val="452A70"/>
                      <w:spacing w:val="-1"/>
                    </w:rPr>
                    <w:t>Department</w:t>
                  </w:r>
                  <w:r>
                    <w:rPr>
                      <w:color w:val="452A70"/>
                      <w:spacing w:val="-8"/>
                    </w:rPr>
                    <w:t> </w:t>
                  </w:r>
                  <w:r>
                    <w:rPr>
                      <w:color w:val="452A70"/>
                    </w:rPr>
                    <w:t>of</w:t>
                  </w:r>
                  <w:r>
                    <w:rPr>
                      <w:color w:val="452A70"/>
                      <w:spacing w:val="-8"/>
                    </w:rPr>
                    <w:t> </w:t>
                  </w:r>
                  <w:r>
                    <w:rPr>
                      <w:color w:val="452A70"/>
                    </w:rPr>
                    <w:t>Education</w:t>
                  </w:r>
                  <w:r>
                    <w:rPr>
                      <w:color w:val="452A70"/>
                      <w:spacing w:val="-9"/>
                    </w:rPr>
                    <w:t> </w:t>
                  </w:r>
                  <w:r>
                    <w:rPr>
                      <w:color w:val="452A70"/>
                    </w:rPr>
                    <w:t>and</w:t>
                  </w:r>
                  <w:r>
                    <w:rPr>
                      <w:color w:val="452A70"/>
                      <w:spacing w:val="-9"/>
                    </w:rPr>
                    <w:t> </w:t>
                  </w:r>
                  <w:r>
                    <w:rPr>
                      <w:color w:val="452A70"/>
                      <w:spacing w:val="-3"/>
                    </w:rPr>
                    <w:t>Training</w:t>
                  </w:r>
                  <w:r>
                    <w:rPr/>
                  </w:r>
                </w:p>
                <w:p>
                  <w:pPr>
                    <w:pStyle w:val="BodyText"/>
                    <w:spacing w:line="250" w:lineRule="exact"/>
                    <w:ind w:left="186" w:right="601"/>
                    <w:jc w:val="left"/>
                  </w:pPr>
                  <w:r>
                    <w:rPr>
                      <w:color w:val="452A70"/>
                    </w:rPr>
                    <w:t>to</w:t>
                  </w:r>
                  <w:r>
                    <w:rPr>
                      <w:color w:val="452A70"/>
                      <w:spacing w:val="-6"/>
                    </w:rPr>
                    <w:t> </w:t>
                  </w:r>
                  <w:r>
                    <w:rPr>
                      <w:color w:val="452A70"/>
                    </w:rPr>
                    <w:t>develop</w:t>
                  </w:r>
                  <w:r>
                    <w:rPr>
                      <w:color w:val="452A70"/>
                      <w:spacing w:val="-6"/>
                    </w:rPr>
                    <w:t> </w:t>
                  </w:r>
                  <w:r>
                    <w:rPr>
                      <w:color w:val="452A70"/>
                    </w:rPr>
                    <w:t>a</w:t>
                  </w:r>
                  <w:r>
                    <w:rPr>
                      <w:color w:val="452A70"/>
                      <w:spacing w:val="-5"/>
                    </w:rPr>
                    <w:t> </w:t>
                  </w:r>
                  <w:r>
                    <w:rPr>
                      <w:color w:val="452A70"/>
                    </w:rPr>
                    <w:t>central</w:t>
                  </w:r>
                  <w:r>
                    <w:rPr>
                      <w:color w:val="452A70"/>
                      <w:spacing w:val="-6"/>
                    </w:rPr>
                    <w:t> </w:t>
                  </w:r>
                  <w:r>
                    <w:rPr>
                      <w:color w:val="452A70"/>
                    </w:rPr>
                    <w:t>repository</w:t>
                  </w:r>
                  <w:r>
                    <w:rPr>
                      <w:color w:val="452A70"/>
                      <w:spacing w:val="-7"/>
                    </w:rPr>
                    <w:t> </w:t>
                  </w:r>
                  <w:r>
                    <w:rPr>
                      <w:color w:val="452A70"/>
                    </w:rPr>
                    <w:t>of</w:t>
                  </w:r>
                  <w:r>
                    <w:rPr>
                      <w:color w:val="452A70"/>
                      <w:spacing w:val="-5"/>
                    </w:rPr>
                    <w:t> </w:t>
                  </w:r>
                  <w:r>
                    <w:rPr>
                      <w:color w:val="452A70"/>
                    </w:rPr>
                    <w:t>data</w:t>
                  </w:r>
                  <w:r>
                    <w:rPr>
                      <w:color w:val="452A70"/>
                      <w:w w:val="99"/>
                    </w:rPr>
                    <w:t> </w:t>
                  </w:r>
                  <w:r>
                    <w:rPr>
                      <w:color w:val="452A70"/>
                    </w:rPr>
                    <w:t>regarding</w:t>
                  </w:r>
                  <w:r>
                    <w:rPr>
                      <w:color w:val="452A70"/>
                      <w:spacing w:val="-11"/>
                    </w:rPr>
                    <w:t> </w:t>
                  </w:r>
                  <w:r>
                    <w:rPr>
                      <w:color w:val="452A70"/>
                    </w:rPr>
                    <w:t>boarders</w:t>
                  </w:r>
                  <w:r>
                    <w:rPr>
                      <w:color w:val="452A70"/>
                      <w:spacing w:val="-10"/>
                    </w:rPr>
                    <w:t> </w:t>
                  </w:r>
                  <w:r>
                    <w:rPr>
                      <w:color w:val="452A70"/>
                    </w:rPr>
                    <w:t>and</w:t>
                  </w:r>
                  <w:r>
                    <w:rPr>
                      <w:color w:val="452A70"/>
                      <w:spacing w:val="-11"/>
                    </w:rPr>
                    <w:t> </w:t>
                  </w:r>
                  <w:r>
                    <w:rPr>
                      <w:color w:val="452A70"/>
                    </w:rPr>
                    <w:t>boarding.</w:t>
                  </w:r>
                  <w:r>
                    <w:rPr/>
                  </w:r>
                </w:p>
              </w:txbxContent>
            </v:textbox>
            <v:fill type="solid"/>
            <v:stroke dashstyle="dash"/>
            <w10:wrap type="none"/>
          </v:shape>
        </w:pict>
      </w:r>
      <w:r>
        <w:rPr/>
        <w:pict>
          <v:shape style="position:absolute;margin-left:301.472412pt;margin-top:-127.173004pt;width:221.95pt;height:178pt;mso-position-horizontal-relative:page;mso-position-vertical-relative:paragraph;z-index:-219856" type="#_x0000_t202" filled="true" fillcolor="#ecf1f5" stroked="true" strokeweight="2pt" strokecolor="#355f92">
            <v:textbox inset="0,0,0,0">
              <w:txbxContent>
                <w:p>
                  <w:pPr>
                    <w:spacing w:before="116"/>
                    <w:ind w:left="186" w:right="605" w:firstLine="0"/>
                    <w:jc w:val="left"/>
                    <w:rPr>
                      <w:rFonts w:ascii="Segoe UI Semibold" w:hAnsi="Segoe UI Semibold" w:cs="Segoe UI Semibold" w:eastAsia="Segoe UI Semibold"/>
                      <w:sz w:val="24"/>
                      <w:szCs w:val="24"/>
                    </w:rPr>
                  </w:pPr>
                  <w:r>
                    <w:rPr>
                      <w:rFonts w:ascii="Segoe UI Semibold"/>
                      <w:b/>
                      <w:color w:val="452A70"/>
                      <w:spacing w:val="-2"/>
                      <w:sz w:val="24"/>
                    </w:rPr>
                    <w:t>RECOMMENDATION</w:t>
                  </w:r>
                  <w:r>
                    <w:rPr>
                      <w:rFonts w:ascii="Segoe UI Semibold"/>
                      <w:b/>
                      <w:color w:val="452A70"/>
                      <w:spacing w:val="-6"/>
                      <w:sz w:val="24"/>
                    </w:rPr>
                    <w:t> </w:t>
                  </w:r>
                  <w:r>
                    <w:rPr>
                      <w:rFonts w:ascii="Segoe UI Semibold"/>
                      <w:b/>
                      <w:color w:val="452A70"/>
                      <w:spacing w:val="-1"/>
                      <w:sz w:val="24"/>
                    </w:rPr>
                    <w:t>8:</w:t>
                  </w:r>
                  <w:r>
                    <w:rPr>
                      <w:rFonts w:ascii="Segoe UI Semibold"/>
                      <w:b/>
                      <w:color w:val="452A70"/>
                      <w:spacing w:val="-5"/>
                      <w:sz w:val="24"/>
                    </w:rPr>
                    <w:t> </w:t>
                  </w:r>
                  <w:r>
                    <w:rPr>
                      <w:rFonts w:ascii="Segoe UI Semibold"/>
                      <w:b/>
                      <w:color w:val="452A70"/>
                      <w:spacing w:val="-1"/>
                      <w:sz w:val="24"/>
                    </w:rPr>
                    <w:t>ABSTUDY</w:t>
                  </w:r>
                  <w:r>
                    <w:rPr>
                      <w:rFonts w:ascii="Segoe UI Semibold"/>
                      <w:b/>
                      <w:color w:val="452A70"/>
                      <w:spacing w:val="24"/>
                      <w:sz w:val="24"/>
                    </w:rPr>
                    <w:t> </w:t>
                  </w:r>
                  <w:r>
                    <w:rPr>
                      <w:rFonts w:ascii="Segoe UI Semibold"/>
                      <w:b/>
                      <w:color w:val="452A70"/>
                      <w:spacing w:val="-3"/>
                      <w:sz w:val="24"/>
                    </w:rPr>
                    <w:t>TRAVEL</w:t>
                  </w:r>
                  <w:r>
                    <w:rPr>
                      <w:rFonts w:ascii="Segoe UI Semibold"/>
                      <w:b/>
                      <w:color w:val="452A70"/>
                      <w:spacing w:val="-20"/>
                      <w:sz w:val="24"/>
                    </w:rPr>
                    <w:t> </w:t>
                  </w:r>
                  <w:r>
                    <w:rPr>
                      <w:rFonts w:ascii="Segoe UI Semibold"/>
                      <w:b/>
                      <w:color w:val="452A70"/>
                      <w:spacing w:val="-1"/>
                      <w:sz w:val="24"/>
                    </w:rPr>
                    <w:t>POLICIES</w:t>
                  </w:r>
                  <w:r>
                    <w:rPr>
                      <w:rFonts w:ascii="Segoe UI Semibold"/>
                      <w:sz w:val="24"/>
                    </w:rPr>
                  </w:r>
                </w:p>
                <w:p>
                  <w:pPr>
                    <w:pStyle w:val="BodyText"/>
                    <w:spacing w:line="250" w:lineRule="exact" w:before="131"/>
                    <w:ind w:left="186" w:right="487"/>
                    <w:jc w:val="both"/>
                  </w:pPr>
                  <w:r>
                    <w:rPr>
                      <w:color w:val="452A70"/>
                      <w:spacing w:val="-1"/>
                    </w:rPr>
                    <w:t>Review</w:t>
                  </w:r>
                  <w:r>
                    <w:rPr>
                      <w:color w:val="452A70"/>
                      <w:spacing w:val="-4"/>
                    </w:rPr>
                    <w:t> </w:t>
                  </w:r>
                  <w:r>
                    <w:rPr>
                      <w:color w:val="452A70"/>
                    </w:rPr>
                    <w:t>ABSTUDY</w:t>
                  </w:r>
                  <w:r>
                    <w:rPr>
                      <w:color w:val="452A70"/>
                      <w:spacing w:val="-3"/>
                    </w:rPr>
                    <w:t> </w:t>
                  </w:r>
                  <w:r>
                    <w:rPr>
                      <w:color w:val="452A70"/>
                    </w:rPr>
                    <w:t>travel</w:t>
                  </w:r>
                  <w:r>
                    <w:rPr>
                      <w:color w:val="452A70"/>
                      <w:spacing w:val="-4"/>
                    </w:rPr>
                    <w:t> </w:t>
                  </w:r>
                  <w:r>
                    <w:rPr>
                      <w:color w:val="452A70"/>
                    </w:rPr>
                    <w:t>policy</w:t>
                  </w:r>
                  <w:r>
                    <w:rPr>
                      <w:color w:val="452A70"/>
                      <w:spacing w:val="-3"/>
                    </w:rPr>
                    <w:t> </w:t>
                  </w:r>
                  <w:r>
                    <w:rPr>
                      <w:color w:val="452A70"/>
                    </w:rPr>
                    <w:t>to</w:t>
                  </w:r>
                  <w:r>
                    <w:rPr>
                      <w:color w:val="452A70"/>
                      <w:spacing w:val="-2"/>
                    </w:rPr>
                    <w:t> </w:t>
                  </w:r>
                  <w:r>
                    <w:rPr>
                      <w:color w:val="452A70"/>
                    </w:rPr>
                    <w:t>provide</w:t>
                  </w:r>
                  <w:r>
                    <w:rPr>
                      <w:color w:val="452A70"/>
                      <w:spacing w:val="20"/>
                      <w:w w:val="99"/>
                    </w:rPr>
                    <w:t> </w:t>
                  </w:r>
                  <w:r>
                    <w:rPr>
                      <w:rFonts w:ascii="Segoe UI"/>
                      <w:color w:val="452A70"/>
                    </w:rPr>
                    <w:t>greater flexibility for weekend travel, and</w:t>
                  </w:r>
                  <w:r>
                    <w:rPr>
                      <w:rFonts w:ascii="Segoe UI"/>
                      <w:color w:val="452A70"/>
                    </w:rPr>
                    <w:t> </w:t>
                  </w:r>
                  <w:r>
                    <w:rPr>
                      <w:color w:val="452A70"/>
                    </w:rPr>
                    <w:t>for</w:t>
                  </w:r>
                  <w:r>
                    <w:rPr>
                      <w:color w:val="452A70"/>
                      <w:spacing w:val="-4"/>
                    </w:rPr>
                    <w:t> </w:t>
                  </w:r>
                  <w:r>
                    <w:rPr>
                      <w:color w:val="452A70"/>
                    </w:rPr>
                    <w:t>travel</w:t>
                  </w:r>
                  <w:r>
                    <w:rPr>
                      <w:color w:val="452A70"/>
                      <w:spacing w:val="-4"/>
                    </w:rPr>
                    <w:t> </w:t>
                  </w:r>
                  <w:r>
                    <w:rPr>
                      <w:color w:val="452A70"/>
                    </w:rPr>
                    <w:t>assistance</w:t>
                  </w:r>
                  <w:r>
                    <w:rPr>
                      <w:color w:val="452A70"/>
                      <w:spacing w:val="-4"/>
                    </w:rPr>
                    <w:t> </w:t>
                  </w:r>
                  <w:r>
                    <w:rPr>
                      <w:color w:val="452A70"/>
                    </w:rPr>
                    <w:t>where</w:t>
                  </w:r>
                  <w:r>
                    <w:rPr>
                      <w:color w:val="452A70"/>
                      <w:spacing w:val="-4"/>
                    </w:rPr>
                    <w:t> </w:t>
                  </w:r>
                  <w:r>
                    <w:rPr>
                      <w:color w:val="452A70"/>
                      <w:spacing w:val="-1"/>
                    </w:rPr>
                    <w:t>it</w:t>
                  </w:r>
                  <w:r>
                    <w:rPr>
                      <w:color w:val="452A70"/>
                      <w:spacing w:val="-3"/>
                    </w:rPr>
                    <w:t> </w:t>
                  </w:r>
                  <w:r>
                    <w:rPr>
                      <w:color w:val="452A70"/>
                      <w:spacing w:val="-1"/>
                    </w:rPr>
                    <w:t>is</w:t>
                  </w:r>
                  <w:r>
                    <w:rPr>
                      <w:color w:val="452A70"/>
                      <w:spacing w:val="-4"/>
                    </w:rPr>
                    <w:t> </w:t>
                  </w:r>
                  <w:r>
                    <w:rPr>
                      <w:color w:val="452A70"/>
                    </w:rPr>
                    <w:t>required</w:t>
                  </w:r>
                  <w:r>
                    <w:rPr>
                      <w:color w:val="452A70"/>
                      <w:spacing w:val="-5"/>
                    </w:rPr>
                    <w:t> </w:t>
                  </w:r>
                  <w:r>
                    <w:rPr>
                      <w:color w:val="452A70"/>
                    </w:rPr>
                    <w:t>to</w:t>
                  </w:r>
                  <w:r>
                    <w:rPr/>
                  </w:r>
                </w:p>
                <w:p>
                  <w:pPr>
                    <w:pStyle w:val="BodyText"/>
                    <w:spacing w:line="250" w:lineRule="exact"/>
                    <w:ind w:left="186" w:right="268"/>
                    <w:jc w:val="left"/>
                  </w:pPr>
                  <w:r>
                    <w:rPr>
                      <w:color w:val="452A70"/>
                      <w:spacing w:val="-1"/>
                    </w:rPr>
                    <w:t>manage</w:t>
                  </w:r>
                  <w:r>
                    <w:rPr>
                      <w:color w:val="452A70"/>
                      <w:spacing w:val="-5"/>
                    </w:rPr>
                    <w:t> </w:t>
                  </w:r>
                  <w:r>
                    <w:rPr>
                      <w:color w:val="452A70"/>
                      <w:spacing w:val="-1"/>
                    </w:rPr>
                    <w:t>student</w:t>
                  </w:r>
                  <w:r>
                    <w:rPr>
                      <w:color w:val="452A70"/>
                      <w:spacing w:val="-4"/>
                    </w:rPr>
                    <w:t> </w:t>
                  </w:r>
                  <w:r>
                    <w:rPr>
                      <w:color w:val="452A70"/>
                      <w:spacing w:val="-1"/>
                    </w:rPr>
                    <w:t>suspensions</w:t>
                  </w:r>
                  <w:r>
                    <w:rPr>
                      <w:color w:val="452A70"/>
                      <w:spacing w:val="-3"/>
                    </w:rPr>
                    <w:t> </w:t>
                  </w:r>
                  <w:r>
                    <w:rPr>
                      <w:color w:val="452A70"/>
                    </w:rPr>
                    <w:t>and</w:t>
                  </w:r>
                  <w:r>
                    <w:rPr>
                      <w:color w:val="452A70"/>
                      <w:spacing w:val="-6"/>
                    </w:rPr>
                    <w:t> </w:t>
                  </w:r>
                  <w:r>
                    <w:rPr>
                      <w:color w:val="452A70"/>
                    </w:rPr>
                    <w:t>exclusions,</w:t>
                  </w:r>
                  <w:r>
                    <w:rPr>
                      <w:color w:val="452A70"/>
                      <w:spacing w:val="24"/>
                    </w:rPr>
                    <w:t> </w:t>
                  </w:r>
                  <w:r>
                    <w:rPr>
                      <w:color w:val="452A70"/>
                    </w:rPr>
                    <w:t>provided</w:t>
                  </w:r>
                  <w:r>
                    <w:rPr>
                      <w:color w:val="452A70"/>
                      <w:spacing w:val="-6"/>
                    </w:rPr>
                    <w:t> </w:t>
                  </w:r>
                  <w:r>
                    <w:rPr>
                      <w:color w:val="452A70"/>
                      <w:spacing w:val="-1"/>
                    </w:rPr>
                    <w:t>it</w:t>
                  </w:r>
                  <w:r>
                    <w:rPr>
                      <w:color w:val="452A70"/>
                      <w:spacing w:val="-6"/>
                    </w:rPr>
                    <w:t> </w:t>
                  </w:r>
                  <w:r>
                    <w:rPr>
                      <w:color w:val="452A70"/>
                    </w:rPr>
                    <w:t>does</w:t>
                  </w:r>
                  <w:r>
                    <w:rPr>
                      <w:color w:val="452A70"/>
                      <w:spacing w:val="-6"/>
                    </w:rPr>
                    <w:t> </w:t>
                  </w:r>
                  <w:r>
                    <w:rPr>
                      <w:color w:val="452A70"/>
                    </w:rPr>
                    <w:t>not</w:t>
                  </w:r>
                  <w:r>
                    <w:rPr>
                      <w:color w:val="452A70"/>
                      <w:spacing w:val="-5"/>
                    </w:rPr>
                    <w:t> </w:t>
                  </w:r>
                  <w:r>
                    <w:rPr>
                      <w:color w:val="452A70"/>
                      <w:spacing w:val="-1"/>
                    </w:rPr>
                    <w:t>impact</w:t>
                  </w:r>
                  <w:r>
                    <w:rPr>
                      <w:color w:val="452A70"/>
                      <w:spacing w:val="-5"/>
                    </w:rPr>
                    <w:t> </w:t>
                  </w:r>
                  <w:r>
                    <w:rPr>
                      <w:color w:val="452A70"/>
                    </w:rPr>
                    <w:t>on</w:t>
                  </w:r>
                  <w:r>
                    <w:rPr>
                      <w:color w:val="452A70"/>
                      <w:spacing w:val="-5"/>
                    </w:rPr>
                    <w:t> </w:t>
                  </w:r>
                  <w:r>
                    <w:rPr>
                      <w:color w:val="452A70"/>
                    </w:rPr>
                    <w:t>engagement</w:t>
                  </w:r>
                  <w:r>
                    <w:rPr>
                      <w:color w:val="452A70"/>
                      <w:spacing w:val="23"/>
                      <w:w w:val="99"/>
                    </w:rPr>
                    <w:t> </w:t>
                  </w:r>
                  <w:r>
                    <w:rPr>
                      <w:color w:val="452A70"/>
                      <w:spacing w:val="-1"/>
                    </w:rPr>
                    <w:t>in</w:t>
                  </w:r>
                  <w:r>
                    <w:rPr>
                      <w:color w:val="452A70"/>
                      <w:spacing w:val="-4"/>
                    </w:rPr>
                    <w:t> </w:t>
                  </w:r>
                  <w:r>
                    <w:rPr>
                      <w:color w:val="452A70"/>
                    </w:rPr>
                    <w:t>education</w:t>
                  </w:r>
                  <w:r>
                    <w:rPr>
                      <w:color w:val="452A70"/>
                      <w:spacing w:val="-4"/>
                    </w:rPr>
                    <w:t> </w:t>
                  </w:r>
                  <w:r>
                    <w:rPr>
                      <w:color w:val="452A70"/>
                    </w:rPr>
                    <w:t>by</w:t>
                  </w:r>
                  <w:r>
                    <w:rPr>
                      <w:color w:val="452A70"/>
                      <w:spacing w:val="-3"/>
                    </w:rPr>
                    <w:t> </w:t>
                  </w:r>
                  <w:r>
                    <w:rPr>
                      <w:color w:val="452A70"/>
                      <w:spacing w:val="-1"/>
                    </w:rPr>
                    <w:t>students</w:t>
                  </w:r>
                  <w:r>
                    <w:rPr>
                      <w:color w:val="452A70"/>
                      <w:spacing w:val="-3"/>
                    </w:rPr>
                    <w:t> </w:t>
                  </w:r>
                  <w:r>
                    <w:rPr>
                      <w:color w:val="452A70"/>
                    </w:rPr>
                    <w:t>and</w:t>
                  </w:r>
                  <w:r>
                    <w:rPr>
                      <w:color w:val="452A70"/>
                      <w:spacing w:val="-4"/>
                    </w:rPr>
                    <w:t> </w:t>
                  </w:r>
                  <w:r>
                    <w:rPr>
                      <w:color w:val="452A70"/>
                    </w:rPr>
                    <w:t>their</w:t>
                  </w:r>
                  <w:r>
                    <w:rPr>
                      <w:color w:val="452A70"/>
                      <w:spacing w:val="-4"/>
                    </w:rPr>
                    <w:t> </w:t>
                  </w:r>
                  <w:r>
                    <w:rPr>
                      <w:color w:val="452A70"/>
                    </w:rPr>
                    <w:t>families.</w:t>
                  </w:r>
                  <w:r>
                    <w:rPr>
                      <w:color w:val="452A70"/>
                      <w:spacing w:val="23"/>
                    </w:rPr>
                    <w:t> </w:t>
                  </w:r>
                  <w:r>
                    <w:rPr>
                      <w:color w:val="452A70"/>
                      <w:spacing w:val="-1"/>
                    </w:rPr>
                    <w:t>Review</w:t>
                  </w:r>
                  <w:r>
                    <w:rPr>
                      <w:color w:val="452A70"/>
                      <w:spacing w:val="-4"/>
                    </w:rPr>
                    <w:t> </w:t>
                  </w:r>
                  <w:r>
                    <w:rPr>
                      <w:color w:val="452A70"/>
                    </w:rPr>
                    <w:t>the</w:t>
                  </w:r>
                  <w:r>
                    <w:rPr>
                      <w:color w:val="452A70"/>
                      <w:spacing w:val="-4"/>
                    </w:rPr>
                    <w:t> </w:t>
                  </w:r>
                  <w:r>
                    <w:rPr>
                      <w:color w:val="452A70"/>
                    </w:rPr>
                    <w:t>rules</w:t>
                  </w:r>
                  <w:r>
                    <w:rPr>
                      <w:color w:val="452A70"/>
                      <w:spacing w:val="-4"/>
                    </w:rPr>
                    <w:t> </w:t>
                  </w:r>
                  <w:r>
                    <w:rPr>
                      <w:color w:val="452A70"/>
                    </w:rPr>
                    <w:t>and</w:t>
                  </w:r>
                  <w:r>
                    <w:rPr>
                      <w:color w:val="452A70"/>
                      <w:spacing w:val="-3"/>
                    </w:rPr>
                    <w:t> </w:t>
                  </w:r>
                  <w:r>
                    <w:rPr>
                      <w:color w:val="452A70"/>
                    </w:rPr>
                    <w:t>processes</w:t>
                  </w:r>
                  <w:r>
                    <w:rPr>
                      <w:color w:val="452A70"/>
                      <w:spacing w:val="-4"/>
                    </w:rPr>
                    <w:t> </w:t>
                  </w:r>
                  <w:r>
                    <w:rPr>
                      <w:color w:val="452A70"/>
                    </w:rPr>
                    <w:t>for</w:t>
                  </w:r>
                  <w:r>
                    <w:rPr>
                      <w:color w:val="452A70"/>
                      <w:spacing w:val="-3"/>
                    </w:rPr>
                    <w:t> </w:t>
                  </w:r>
                  <w:r>
                    <w:rPr>
                      <w:color w:val="452A70"/>
                    </w:rPr>
                    <w:t>the</w:t>
                  </w:r>
                  <w:r>
                    <w:rPr>
                      <w:color w:val="452A70"/>
                      <w:spacing w:val="20"/>
                      <w:w w:val="99"/>
                    </w:rPr>
                    <w:t> </w:t>
                  </w:r>
                  <w:r>
                    <w:rPr>
                      <w:color w:val="452A70"/>
                    </w:rPr>
                    <w:t>reimbursement</w:t>
                  </w:r>
                  <w:r>
                    <w:rPr>
                      <w:color w:val="452A70"/>
                      <w:spacing w:val="-9"/>
                    </w:rPr>
                    <w:t> </w:t>
                  </w:r>
                  <w:r>
                    <w:rPr>
                      <w:color w:val="452A70"/>
                    </w:rPr>
                    <w:t>of</w:t>
                  </w:r>
                  <w:r>
                    <w:rPr>
                      <w:color w:val="452A70"/>
                      <w:spacing w:val="-7"/>
                    </w:rPr>
                    <w:t> </w:t>
                  </w:r>
                  <w:r>
                    <w:rPr>
                      <w:color w:val="452A70"/>
                    </w:rPr>
                    <w:t>travel</w:t>
                  </w:r>
                  <w:r>
                    <w:rPr>
                      <w:color w:val="452A70"/>
                      <w:spacing w:val="-8"/>
                    </w:rPr>
                    <w:t> </w:t>
                  </w:r>
                  <w:r>
                    <w:rPr>
                      <w:color w:val="452A70"/>
                    </w:rPr>
                    <w:t>paid</w:t>
                  </w:r>
                  <w:r>
                    <w:rPr>
                      <w:color w:val="452A70"/>
                      <w:spacing w:val="-8"/>
                    </w:rPr>
                    <w:t> </w:t>
                  </w:r>
                  <w:r>
                    <w:rPr>
                      <w:color w:val="452A70"/>
                    </w:rPr>
                    <w:t>by</w:t>
                  </w:r>
                  <w:r>
                    <w:rPr>
                      <w:color w:val="452A70"/>
                      <w:spacing w:val="-7"/>
                    </w:rPr>
                    <w:t> </w:t>
                  </w:r>
                  <w:r>
                    <w:rPr>
                      <w:color w:val="452A70"/>
                    </w:rPr>
                    <w:t>boarding</w:t>
                  </w:r>
                  <w:r>
                    <w:rPr>
                      <w:color w:val="452A70"/>
                      <w:w w:val="99"/>
                    </w:rPr>
                    <w:t> </w:t>
                  </w:r>
                  <w:r>
                    <w:rPr>
                      <w:color w:val="452A70"/>
                    </w:rPr>
                    <w:t>providers</w:t>
                  </w:r>
                  <w:r>
                    <w:rPr>
                      <w:color w:val="452A70"/>
                      <w:spacing w:val="-8"/>
                    </w:rPr>
                    <w:t> </w:t>
                  </w:r>
                  <w:r>
                    <w:rPr>
                      <w:color w:val="452A70"/>
                    </w:rPr>
                    <w:t>to</w:t>
                  </w:r>
                  <w:r>
                    <w:rPr>
                      <w:color w:val="452A70"/>
                      <w:spacing w:val="-7"/>
                    </w:rPr>
                    <w:t> </w:t>
                  </w:r>
                  <w:r>
                    <w:rPr>
                      <w:color w:val="452A70"/>
                    </w:rPr>
                    <w:t>provide</w:t>
                  </w:r>
                  <w:r>
                    <w:rPr>
                      <w:color w:val="452A70"/>
                      <w:spacing w:val="-7"/>
                    </w:rPr>
                    <w:t> </w:t>
                  </w:r>
                  <w:r>
                    <w:rPr>
                      <w:color w:val="452A70"/>
                    </w:rPr>
                    <w:t>greater</w:t>
                  </w:r>
                  <w:r>
                    <w:rPr>
                      <w:color w:val="452A70"/>
                      <w:spacing w:val="-8"/>
                    </w:rPr>
                    <w:t> </w:t>
                  </w:r>
                  <w:r>
                    <w:rPr>
                      <w:color w:val="452A70"/>
                    </w:rPr>
                    <w:t>certainty</w:t>
                  </w:r>
                  <w:r>
                    <w:rPr>
                      <w:color w:val="452A70"/>
                      <w:spacing w:val="-7"/>
                    </w:rPr>
                    <w:t> </w:t>
                  </w:r>
                  <w:r>
                    <w:rPr>
                      <w:color w:val="452A70"/>
                    </w:rPr>
                    <w:t>to</w:t>
                  </w:r>
                  <w:r>
                    <w:rPr>
                      <w:color w:val="452A70"/>
                      <w:w w:val="99"/>
                    </w:rPr>
                    <w:t> </w:t>
                  </w:r>
                  <w:r>
                    <w:rPr>
                      <w:color w:val="452A70"/>
                    </w:rPr>
                    <w:t>boarding</w:t>
                  </w:r>
                  <w:r>
                    <w:rPr>
                      <w:color w:val="452A70"/>
                      <w:spacing w:val="-18"/>
                    </w:rPr>
                    <w:t> </w:t>
                  </w:r>
                  <w:r>
                    <w:rPr>
                      <w:color w:val="452A70"/>
                    </w:rPr>
                    <w:t>providers.</w:t>
                  </w:r>
                  <w:r>
                    <w:rPr/>
                  </w:r>
                </w:p>
              </w:txbxContent>
            </v:textbox>
            <v:fill type="solid"/>
            <v:stroke dashstyle="dash"/>
            <w10:wrap type="none"/>
          </v:shape>
        </w:pict>
      </w:r>
      <w:r>
        <w:rPr>
          <w:color w:val="231F20"/>
        </w:rPr>
        <w:t>A</w:t>
      </w:r>
      <w:r>
        <w:rPr>
          <w:color w:val="231F20"/>
          <w:spacing w:val="-5"/>
        </w:rPr>
        <w:t> </w:t>
      </w:r>
      <w:r>
        <w:rPr>
          <w:color w:val="231F20"/>
        </w:rPr>
        <w:t>number</w:t>
      </w:r>
      <w:r>
        <w:rPr>
          <w:color w:val="231F20"/>
          <w:spacing w:val="-6"/>
        </w:rPr>
        <w:t> </w:t>
      </w:r>
      <w:r>
        <w:rPr>
          <w:color w:val="231F20"/>
        </w:rPr>
        <w:t>of</w:t>
      </w:r>
      <w:r>
        <w:rPr>
          <w:color w:val="231F20"/>
          <w:spacing w:val="-5"/>
        </w:rPr>
        <w:t> </w:t>
      </w:r>
      <w:r>
        <w:rPr>
          <w:color w:val="231F20"/>
        </w:rPr>
        <w:t>reports</w:t>
      </w:r>
      <w:r>
        <w:rPr>
          <w:color w:val="231F20"/>
          <w:spacing w:val="-6"/>
        </w:rPr>
        <w:t> </w:t>
      </w:r>
      <w:r>
        <w:rPr>
          <w:color w:val="231F20"/>
        </w:rPr>
        <w:t>and</w:t>
      </w:r>
      <w:r>
        <w:rPr>
          <w:color w:val="231F20"/>
          <w:spacing w:val="-5"/>
        </w:rPr>
        <w:t> </w:t>
      </w:r>
      <w:r>
        <w:rPr>
          <w:color w:val="231F20"/>
        </w:rPr>
        <w:t>reviews,</w:t>
      </w:r>
      <w:r>
        <w:rPr>
          <w:color w:val="231F20"/>
          <w:spacing w:val="-6"/>
        </w:rPr>
        <w:t> </w:t>
      </w:r>
      <w:r>
        <w:rPr>
          <w:color w:val="231F20"/>
        </w:rPr>
        <w:t>and</w:t>
      </w:r>
      <w:r>
        <w:rPr>
          <w:color w:val="231F20"/>
          <w:w w:val="99"/>
        </w:rPr>
        <w:t> </w:t>
      </w:r>
      <w:r>
        <w:rPr>
          <w:color w:val="231F20"/>
          <w:spacing w:val="-1"/>
        </w:rPr>
        <w:t>interviewees</w:t>
      </w:r>
      <w:r>
        <w:rPr>
          <w:color w:val="231F20"/>
          <w:spacing w:val="-6"/>
        </w:rPr>
        <w:t> </w:t>
      </w:r>
      <w:r>
        <w:rPr>
          <w:color w:val="231F20"/>
        </w:rPr>
        <w:t>for</w:t>
      </w:r>
      <w:r>
        <w:rPr>
          <w:color w:val="231F20"/>
          <w:spacing w:val="-5"/>
        </w:rPr>
        <w:t> </w:t>
      </w:r>
      <w:r>
        <w:rPr>
          <w:color w:val="231F20"/>
        </w:rPr>
        <w:t>this</w:t>
      </w:r>
      <w:r>
        <w:rPr>
          <w:color w:val="231F20"/>
          <w:spacing w:val="-6"/>
        </w:rPr>
        <w:t> </w:t>
      </w:r>
      <w:r>
        <w:rPr>
          <w:color w:val="231F20"/>
        </w:rPr>
        <w:t>report,</w:t>
      </w:r>
      <w:r>
        <w:rPr>
          <w:color w:val="231F20"/>
          <w:spacing w:val="-6"/>
        </w:rPr>
        <w:t> </w:t>
      </w:r>
      <w:r>
        <w:rPr>
          <w:color w:val="231F20"/>
        </w:rPr>
        <w:t>referred</w:t>
      </w:r>
      <w:r>
        <w:rPr>
          <w:color w:val="231F20"/>
          <w:spacing w:val="-6"/>
        </w:rPr>
        <w:t> </w:t>
      </w:r>
      <w:r>
        <w:rPr>
          <w:color w:val="231F20"/>
        </w:rPr>
        <w:t>to</w:t>
      </w:r>
      <w:r>
        <w:rPr>
          <w:color w:val="231F20"/>
          <w:spacing w:val="-6"/>
        </w:rPr>
        <w:t> </w:t>
      </w:r>
      <w:r>
        <w:rPr>
          <w:color w:val="231F20"/>
        </w:rPr>
        <w:t>the</w:t>
      </w:r>
      <w:r>
        <w:rPr>
          <w:color w:val="231F20"/>
          <w:spacing w:val="22"/>
          <w:w w:val="99"/>
        </w:rPr>
        <w:t> </w:t>
      </w:r>
      <w:r>
        <w:rPr>
          <w:color w:val="231F20"/>
          <w:spacing w:val="-1"/>
        </w:rPr>
        <w:t>impact</w:t>
      </w:r>
      <w:r>
        <w:rPr>
          <w:color w:val="231F20"/>
          <w:spacing w:val="-3"/>
        </w:rPr>
        <w:t> </w:t>
      </w:r>
      <w:r>
        <w:rPr>
          <w:color w:val="231F20"/>
        </w:rPr>
        <w:t>of</w:t>
      </w:r>
      <w:r>
        <w:rPr>
          <w:color w:val="231F20"/>
          <w:spacing w:val="-3"/>
        </w:rPr>
        <w:t> </w:t>
      </w:r>
      <w:r>
        <w:rPr>
          <w:color w:val="231F20"/>
          <w:spacing w:val="-1"/>
        </w:rPr>
        <w:t>suspensions</w:t>
      </w:r>
      <w:r>
        <w:rPr>
          <w:color w:val="231F20"/>
          <w:spacing w:val="-2"/>
        </w:rPr>
        <w:t> </w:t>
      </w:r>
      <w:r>
        <w:rPr>
          <w:color w:val="231F20"/>
        </w:rPr>
        <w:t>and</w:t>
      </w:r>
      <w:r>
        <w:rPr>
          <w:color w:val="231F20"/>
          <w:spacing w:val="-3"/>
        </w:rPr>
        <w:t> </w:t>
      </w:r>
      <w:r>
        <w:rPr>
          <w:color w:val="231F20"/>
        </w:rPr>
        <w:t>expulsions</w:t>
      </w:r>
      <w:r>
        <w:rPr>
          <w:color w:val="231F20"/>
          <w:spacing w:val="-4"/>
        </w:rPr>
        <w:t> </w:t>
      </w:r>
      <w:r>
        <w:rPr>
          <w:color w:val="231F20"/>
        </w:rPr>
        <w:t>on</w:t>
      </w:r>
      <w:r>
        <w:rPr>
          <w:color w:val="231F20"/>
          <w:spacing w:val="23"/>
          <w:w w:val="99"/>
        </w:rPr>
        <w:t> </w:t>
      </w:r>
      <w:r>
        <w:rPr>
          <w:color w:val="231F20"/>
        </w:rPr>
        <w:t>ABSTUDY</w:t>
      </w:r>
      <w:r>
        <w:rPr>
          <w:color w:val="231F20"/>
          <w:spacing w:val="-9"/>
        </w:rPr>
        <w:t> </w:t>
      </w:r>
      <w:r>
        <w:rPr>
          <w:color w:val="231F20"/>
        </w:rPr>
        <w:t>receipts.</w:t>
      </w:r>
      <w:r>
        <w:rPr/>
      </w:r>
    </w:p>
    <w:p>
      <w:pPr>
        <w:spacing w:after="0" w:line="250" w:lineRule="exact"/>
        <w:jc w:val="left"/>
        <w:sectPr>
          <w:type w:val="continuous"/>
          <w:pgSz w:w="11910" w:h="16840"/>
          <w:pgMar w:top="1580" w:bottom="280" w:left="1300" w:right="1300"/>
        </w:sectPr>
      </w:pPr>
    </w:p>
    <w:p>
      <w:pPr>
        <w:spacing w:line="240" w:lineRule="auto" w:before="3"/>
        <w:rPr>
          <w:rFonts w:ascii="Segoe UI" w:hAnsi="Segoe UI" w:cs="Segoe UI" w:eastAsia="Segoe UI"/>
          <w:sz w:val="10"/>
          <w:szCs w:val="10"/>
        </w:rPr>
      </w:pPr>
    </w:p>
    <w:p>
      <w:pPr>
        <w:pStyle w:val="Heading1"/>
        <w:numPr>
          <w:ilvl w:val="0"/>
          <w:numId w:val="6"/>
        </w:numPr>
        <w:tabs>
          <w:tab w:pos="821" w:val="left" w:leader="none"/>
        </w:tabs>
        <w:spacing w:line="567" w:lineRule="exact" w:before="0" w:after="0"/>
        <w:ind w:left="820" w:right="0" w:hanging="720"/>
        <w:jc w:val="left"/>
      </w:pPr>
      <w:bookmarkStart w:name="_TOC_250008" w:id="28"/>
      <w:r>
        <w:rPr>
          <w:color w:val="67973F"/>
          <w:spacing w:val="-1"/>
        </w:rPr>
        <w:t>Boarding</w:t>
      </w:r>
      <w:r>
        <w:rPr>
          <w:color w:val="67973F"/>
          <w:spacing w:val="-34"/>
        </w:rPr>
        <w:t> </w:t>
      </w:r>
      <w:r>
        <w:rPr>
          <w:color w:val="67973F"/>
          <w:spacing w:val="-1"/>
        </w:rPr>
        <w:t>standard</w:t>
      </w:r>
      <w:bookmarkEnd w:id="28"/>
      <w:r>
        <w:rPr/>
      </w:r>
    </w:p>
    <w:p>
      <w:pPr>
        <w:pStyle w:val="Heading4"/>
        <w:spacing w:line="300" w:lineRule="exact" w:before="148"/>
        <w:ind w:right="210"/>
        <w:jc w:val="left"/>
      </w:pPr>
      <w:r>
        <w:rPr>
          <w:color w:val="666155"/>
        </w:rPr>
        <w:t>The</w:t>
      </w:r>
      <w:r>
        <w:rPr>
          <w:color w:val="666155"/>
          <w:spacing w:val="-9"/>
        </w:rPr>
        <w:t> </w:t>
      </w:r>
      <w:r>
        <w:rPr>
          <w:color w:val="666155"/>
          <w:spacing w:val="-1"/>
        </w:rPr>
        <w:t>legislative</w:t>
      </w:r>
      <w:r>
        <w:rPr>
          <w:color w:val="666155"/>
          <w:spacing w:val="-7"/>
        </w:rPr>
        <w:t> </w:t>
      </w:r>
      <w:r>
        <w:rPr>
          <w:color w:val="666155"/>
        </w:rPr>
        <w:t>and</w:t>
      </w:r>
      <w:r>
        <w:rPr>
          <w:color w:val="666155"/>
          <w:spacing w:val="-9"/>
        </w:rPr>
        <w:t> </w:t>
      </w:r>
      <w:r>
        <w:rPr>
          <w:color w:val="666155"/>
        </w:rPr>
        <w:t>regulatory</w:t>
      </w:r>
      <w:r>
        <w:rPr>
          <w:color w:val="666155"/>
          <w:spacing w:val="-9"/>
        </w:rPr>
        <w:t> </w:t>
      </w:r>
      <w:r>
        <w:rPr>
          <w:color w:val="666155"/>
        </w:rPr>
        <w:t>arrangements</w:t>
      </w:r>
      <w:r>
        <w:rPr>
          <w:color w:val="666155"/>
          <w:spacing w:val="-9"/>
        </w:rPr>
        <w:t> </w:t>
      </w:r>
      <w:r>
        <w:rPr>
          <w:color w:val="666155"/>
        </w:rPr>
        <w:t>for</w:t>
      </w:r>
      <w:r>
        <w:rPr>
          <w:color w:val="666155"/>
          <w:spacing w:val="-7"/>
        </w:rPr>
        <w:t> </w:t>
      </w:r>
      <w:r>
        <w:rPr>
          <w:color w:val="666155"/>
        </w:rPr>
        <w:t>boarding</w:t>
      </w:r>
      <w:r>
        <w:rPr>
          <w:color w:val="666155"/>
          <w:spacing w:val="-8"/>
        </w:rPr>
        <w:t> </w:t>
      </w:r>
      <w:r>
        <w:rPr>
          <w:color w:val="666155"/>
        </w:rPr>
        <w:t>providers</w:t>
      </w:r>
      <w:r>
        <w:rPr>
          <w:color w:val="666155"/>
          <w:spacing w:val="-9"/>
        </w:rPr>
        <w:t> </w:t>
      </w:r>
      <w:r>
        <w:rPr>
          <w:color w:val="666155"/>
        </w:rPr>
        <w:t>vary</w:t>
      </w:r>
      <w:r>
        <w:rPr>
          <w:color w:val="666155"/>
          <w:spacing w:val="-7"/>
        </w:rPr>
        <w:t> </w:t>
      </w:r>
      <w:r>
        <w:rPr>
          <w:color w:val="666155"/>
        </w:rPr>
        <w:t>across</w:t>
      </w:r>
      <w:r>
        <w:rPr>
          <w:color w:val="666155"/>
          <w:spacing w:val="22"/>
          <w:w w:val="99"/>
        </w:rPr>
        <w:t> </w:t>
      </w:r>
      <w:r>
        <w:rPr>
          <w:color w:val="666155"/>
          <w:spacing w:val="-1"/>
        </w:rPr>
        <w:t>jurisdictions.</w:t>
      </w:r>
      <w:r>
        <w:rPr/>
      </w:r>
    </w:p>
    <w:p>
      <w:pPr>
        <w:spacing w:line="300" w:lineRule="exact" w:before="113"/>
        <w:ind w:left="100" w:right="210" w:firstLine="0"/>
        <w:jc w:val="left"/>
        <w:rPr>
          <w:rFonts w:ascii="Segoe UI" w:hAnsi="Segoe UI" w:cs="Segoe UI" w:eastAsia="Segoe UI"/>
          <w:sz w:val="24"/>
          <w:szCs w:val="24"/>
        </w:rPr>
      </w:pPr>
      <w:r>
        <w:rPr>
          <w:rFonts w:ascii="Segoe UI"/>
          <w:color w:val="666155"/>
          <w:spacing w:val="-1"/>
          <w:sz w:val="24"/>
        </w:rPr>
        <w:t>In</w:t>
      </w:r>
      <w:r>
        <w:rPr>
          <w:rFonts w:ascii="Segoe UI"/>
          <w:color w:val="666155"/>
          <w:spacing w:val="-4"/>
          <w:sz w:val="24"/>
        </w:rPr>
        <w:t> </w:t>
      </w:r>
      <w:r>
        <w:rPr>
          <w:rFonts w:ascii="Segoe UI"/>
          <w:color w:val="666155"/>
          <w:sz w:val="24"/>
        </w:rPr>
        <w:t>July</w:t>
      </w:r>
      <w:r>
        <w:rPr>
          <w:rFonts w:ascii="Segoe UI"/>
          <w:color w:val="666155"/>
          <w:spacing w:val="-5"/>
          <w:sz w:val="24"/>
        </w:rPr>
        <w:t> </w:t>
      </w:r>
      <w:r>
        <w:rPr>
          <w:rFonts w:ascii="Segoe UI"/>
          <w:color w:val="666155"/>
          <w:spacing w:val="-1"/>
          <w:sz w:val="24"/>
        </w:rPr>
        <w:t>2015,</w:t>
      </w:r>
      <w:r>
        <w:rPr>
          <w:rFonts w:ascii="Segoe UI"/>
          <w:color w:val="666155"/>
          <w:spacing w:val="-3"/>
          <w:sz w:val="24"/>
        </w:rPr>
        <w:t> </w:t>
      </w:r>
      <w:r>
        <w:rPr>
          <w:rFonts w:ascii="Segoe UI"/>
          <w:i/>
          <w:color w:val="666155"/>
          <w:sz w:val="24"/>
        </w:rPr>
        <w:t>AS</w:t>
      </w:r>
      <w:r>
        <w:rPr>
          <w:rFonts w:ascii="Segoe UI"/>
          <w:i/>
          <w:color w:val="666155"/>
          <w:spacing w:val="-5"/>
          <w:sz w:val="24"/>
        </w:rPr>
        <w:t> </w:t>
      </w:r>
      <w:r>
        <w:rPr>
          <w:rFonts w:ascii="Segoe UI"/>
          <w:i/>
          <w:color w:val="666155"/>
          <w:spacing w:val="-1"/>
          <w:sz w:val="24"/>
        </w:rPr>
        <w:t>5725:2015</w:t>
      </w:r>
      <w:r>
        <w:rPr>
          <w:rFonts w:ascii="Segoe UI"/>
          <w:i/>
          <w:color w:val="666155"/>
          <w:spacing w:val="-4"/>
          <w:sz w:val="24"/>
        </w:rPr>
        <w:t> </w:t>
      </w:r>
      <w:r>
        <w:rPr>
          <w:rFonts w:ascii="Segoe UI"/>
          <w:i/>
          <w:color w:val="666155"/>
          <w:spacing w:val="-1"/>
          <w:sz w:val="24"/>
        </w:rPr>
        <w:t>Boarding</w:t>
      </w:r>
      <w:r>
        <w:rPr>
          <w:rFonts w:ascii="Segoe UI"/>
          <w:i/>
          <w:color w:val="666155"/>
          <w:spacing w:val="-4"/>
          <w:sz w:val="24"/>
        </w:rPr>
        <w:t> </w:t>
      </w:r>
      <w:r>
        <w:rPr>
          <w:rFonts w:ascii="Segoe UI"/>
          <w:i/>
          <w:color w:val="666155"/>
          <w:spacing w:val="-1"/>
          <w:sz w:val="24"/>
        </w:rPr>
        <w:t>Standard</w:t>
      </w:r>
      <w:r>
        <w:rPr>
          <w:rFonts w:ascii="Segoe UI"/>
          <w:i/>
          <w:color w:val="666155"/>
          <w:spacing w:val="-3"/>
          <w:sz w:val="24"/>
        </w:rPr>
        <w:t> </w:t>
      </w:r>
      <w:r>
        <w:rPr>
          <w:rFonts w:ascii="Segoe UI"/>
          <w:i/>
          <w:color w:val="666155"/>
          <w:sz w:val="24"/>
        </w:rPr>
        <w:t>for</w:t>
      </w:r>
      <w:r>
        <w:rPr>
          <w:rFonts w:ascii="Segoe UI"/>
          <w:i/>
          <w:color w:val="666155"/>
          <w:spacing w:val="-5"/>
          <w:sz w:val="24"/>
        </w:rPr>
        <w:t> </w:t>
      </w:r>
      <w:r>
        <w:rPr>
          <w:rFonts w:ascii="Segoe UI"/>
          <w:i/>
          <w:color w:val="666155"/>
          <w:spacing w:val="-1"/>
          <w:sz w:val="24"/>
        </w:rPr>
        <w:t>Australian</w:t>
      </w:r>
      <w:r>
        <w:rPr>
          <w:rFonts w:ascii="Segoe UI"/>
          <w:i/>
          <w:color w:val="666155"/>
          <w:spacing w:val="-4"/>
          <w:sz w:val="24"/>
        </w:rPr>
        <w:t> </w:t>
      </w:r>
      <w:r>
        <w:rPr>
          <w:rFonts w:ascii="Segoe UI"/>
          <w:i/>
          <w:color w:val="666155"/>
          <w:spacing w:val="-1"/>
          <w:sz w:val="24"/>
        </w:rPr>
        <w:t>schools</w:t>
      </w:r>
      <w:r>
        <w:rPr>
          <w:rFonts w:ascii="Segoe UI"/>
          <w:i/>
          <w:color w:val="666155"/>
          <w:spacing w:val="-3"/>
          <w:sz w:val="24"/>
        </w:rPr>
        <w:t> </w:t>
      </w:r>
      <w:r>
        <w:rPr>
          <w:rFonts w:ascii="Segoe UI"/>
          <w:i/>
          <w:color w:val="666155"/>
          <w:sz w:val="24"/>
        </w:rPr>
        <w:t>and</w:t>
      </w:r>
      <w:r>
        <w:rPr>
          <w:rFonts w:ascii="Segoe UI"/>
          <w:i/>
          <w:color w:val="666155"/>
          <w:spacing w:val="-4"/>
          <w:sz w:val="24"/>
        </w:rPr>
        <w:t> </w:t>
      </w:r>
      <w:r>
        <w:rPr>
          <w:rFonts w:ascii="Segoe UI"/>
          <w:i/>
          <w:color w:val="666155"/>
          <w:spacing w:val="-1"/>
          <w:sz w:val="24"/>
        </w:rPr>
        <w:t>residences</w:t>
      </w:r>
      <w:r>
        <w:rPr>
          <w:rFonts w:ascii="Segoe UI"/>
          <w:i/>
          <w:color w:val="666155"/>
          <w:spacing w:val="63"/>
          <w:w w:val="99"/>
          <w:sz w:val="24"/>
        </w:rPr>
        <w:t> </w:t>
      </w:r>
      <w:r>
        <w:rPr>
          <w:rFonts w:ascii="Segoe UI"/>
          <w:color w:val="666155"/>
          <w:sz w:val="24"/>
        </w:rPr>
        <w:t>(the</w:t>
      </w:r>
      <w:r>
        <w:rPr>
          <w:rFonts w:ascii="Segoe UI"/>
          <w:color w:val="666155"/>
          <w:spacing w:val="-8"/>
          <w:sz w:val="24"/>
        </w:rPr>
        <w:t> </w:t>
      </w:r>
      <w:r>
        <w:rPr>
          <w:rFonts w:ascii="Segoe UI"/>
          <w:color w:val="666155"/>
          <w:spacing w:val="-1"/>
          <w:sz w:val="24"/>
        </w:rPr>
        <w:t>Boarding</w:t>
      </w:r>
      <w:r>
        <w:rPr>
          <w:rFonts w:ascii="Segoe UI"/>
          <w:color w:val="666155"/>
          <w:spacing w:val="-6"/>
          <w:sz w:val="24"/>
        </w:rPr>
        <w:t> </w:t>
      </w:r>
      <w:r>
        <w:rPr>
          <w:rFonts w:ascii="Segoe UI"/>
          <w:color w:val="666155"/>
          <w:spacing w:val="-1"/>
          <w:sz w:val="24"/>
        </w:rPr>
        <w:t>Standard)</w:t>
      </w:r>
      <w:r>
        <w:rPr>
          <w:rFonts w:ascii="Segoe UI"/>
          <w:color w:val="666155"/>
          <w:spacing w:val="-8"/>
          <w:sz w:val="24"/>
        </w:rPr>
        <w:t> </w:t>
      </w:r>
      <w:r>
        <w:rPr>
          <w:rFonts w:ascii="Segoe UI"/>
          <w:color w:val="666155"/>
          <w:sz w:val="24"/>
        </w:rPr>
        <w:t>was</w:t>
      </w:r>
      <w:r>
        <w:rPr>
          <w:rFonts w:ascii="Segoe UI"/>
          <w:color w:val="666155"/>
          <w:spacing w:val="-7"/>
          <w:sz w:val="24"/>
        </w:rPr>
        <w:t> </w:t>
      </w:r>
      <w:r>
        <w:rPr>
          <w:rFonts w:ascii="Segoe UI"/>
          <w:color w:val="666155"/>
          <w:sz w:val="24"/>
        </w:rPr>
        <w:t>released</w:t>
      </w:r>
      <w:r>
        <w:rPr>
          <w:rFonts w:ascii="Segoe UI"/>
          <w:color w:val="666155"/>
          <w:spacing w:val="-8"/>
          <w:sz w:val="24"/>
        </w:rPr>
        <w:t> </w:t>
      </w:r>
      <w:r>
        <w:rPr>
          <w:rFonts w:ascii="Segoe UI"/>
          <w:color w:val="666155"/>
          <w:sz w:val="24"/>
        </w:rPr>
        <w:t>to</w:t>
      </w:r>
      <w:r>
        <w:rPr>
          <w:rFonts w:ascii="Segoe UI"/>
          <w:color w:val="666155"/>
          <w:spacing w:val="-6"/>
          <w:sz w:val="24"/>
        </w:rPr>
        <w:t> </w:t>
      </w:r>
      <w:r>
        <w:rPr>
          <w:rFonts w:ascii="Segoe UI"/>
          <w:color w:val="666155"/>
          <w:sz w:val="24"/>
        </w:rPr>
        <w:t>provide</w:t>
      </w:r>
      <w:r>
        <w:rPr>
          <w:rFonts w:ascii="Segoe UI"/>
          <w:color w:val="666155"/>
          <w:spacing w:val="-8"/>
          <w:sz w:val="24"/>
        </w:rPr>
        <w:t> </w:t>
      </w:r>
      <w:r>
        <w:rPr>
          <w:rFonts w:ascii="Segoe UI"/>
          <w:color w:val="666155"/>
          <w:sz w:val="24"/>
        </w:rPr>
        <w:t>a</w:t>
      </w:r>
      <w:r>
        <w:rPr>
          <w:rFonts w:ascii="Segoe UI"/>
          <w:color w:val="666155"/>
          <w:spacing w:val="-6"/>
          <w:sz w:val="24"/>
        </w:rPr>
        <w:t> </w:t>
      </w:r>
      <w:r>
        <w:rPr>
          <w:rFonts w:ascii="Segoe UI"/>
          <w:color w:val="666155"/>
          <w:sz w:val="24"/>
        </w:rPr>
        <w:t>best</w:t>
      </w:r>
      <w:r>
        <w:rPr>
          <w:rFonts w:ascii="Segoe UI"/>
          <w:color w:val="666155"/>
          <w:spacing w:val="-7"/>
          <w:sz w:val="24"/>
        </w:rPr>
        <w:t> </w:t>
      </w:r>
      <w:r>
        <w:rPr>
          <w:rFonts w:ascii="Segoe UI"/>
          <w:color w:val="666155"/>
          <w:sz w:val="24"/>
        </w:rPr>
        <w:t>practice</w:t>
      </w:r>
      <w:r>
        <w:rPr>
          <w:rFonts w:ascii="Segoe UI"/>
          <w:color w:val="666155"/>
          <w:spacing w:val="-8"/>
          <w:sz w:val="24"/>
        </w:rPr>
        <w:t> </w:t>
      </w:r>
      <w:r>
        <w:rPr>
          <w:rFonts w:ascii="Segoe UI"/>
          <w:color w:val="666155"/>
          <w:sz w:val="24"/>
        </w:rPr>
        <w:t>framework</w:t>
      </w:r>
      <w:r>
        <w:rPr>
          <w:rFonts w:ascii="Segoe UI"/>
          <w:color w:val="666155"/>
          <w:spacing w:val="-6"/>
          <w:sz w:val="24"/>
        </w:rPr>
        <w:t> </w:t>
      </w:r>
      <w:r>
        <w:rPr>
          <w:rFonts w:ascii="Segoe UI"/>
          <w:color w:val="666155"/>
          <w:sz w:val="24"/>
        </w:rPr>
        <w:t>for</w:t>
      </w:r>
      <w:r>
        <w:rPr>
          <w:rFonts w:ascii="Segoe UI"/>
          <w:color w:val="666155"/>
          <w:spacing w:val="22"/>
          <w:w w:val="99"/>
          <w:sz w:val="24"/>
        </w:rPr>
        <w:t> </w:t>
      </w:r>
      <w:r>
        <w:rPr>
          <w:rFonts w:ascii="Segoe UI"/>
          <w:color w:val="666155"/>
          <w:sz w:val="24"/>
        </w:rPr>
        <w:t>boarding</w:t>
      </w:r>
      <w:r>
        <w:rPr>
          <w:rFonts w:ascii="Segoe UI"/>
          <w:color w:val="666155"/>
          <w:spacing w:val="-6"/>
          <w:sz w:val="24"/>
        </w:rPr>
        <w:t> </w:t>
      </w:r>
      <w:r>
        <w:rPr>
          <w:rFonts w:ascii="Segoe UI"/>
          <w:color w:val="666155"/>
          <w:spacing w:val="-1"/>
          <w:sz w:val="24"/>
        </w:rPr>
        <w:t>in</w:t>
      </w:r>
      <w:r>
        <w:rPr>
          <w:rFonts w:ascii="Segoe UI"/>
          <w:color w:val="666155"/>
          <w:spacing w:val="-5"/>
          <w:sz w:val="24"/>
        </w:rPr>
        <w:t> </w:t>
      </w:r>
      <w:r>
        <w:rPr>
          <w:rFonts w:ascii="Segoe UI"/>
          <w:color w:val="666155"/>
          <w:sz w:val="24"/>
        </w:rPr>
        <w:t>Australia</w:t>
      </w:r>
      <w:r>
        <w:rPr>
          <w:rFonts w:ascii="Segoe UI"/>
          <w:color w:val="666155"/>
          <w:spacing w:val="-5"/>
          <w:sz w:val="24"/>
        </w:rPr>
        <w:t> </w:t>
      </w:r>
      <w:r>
        <w:rPr>
          <w:rFonts w:ascii="Segoe UI"/>
          <w:color w:val="666155"/>
          <w:sz w:val="24"/>
        </w:rPr>
        <w:t>and</w:t>
      </w:r>
      <w:r>
        <w:rPr>
          <w:rFonts w:ascii="Segoe UI"/>
          <w:color w:val="666155"/>
          <w:spacing w:val="-6"/>
          <w:sz w:val="24"/>
        </w:rPr>
        <w:t> </w:t>
      </w:r>
      <w:r>
        <w:rPr>
          <w:rFonts w:ascii="Segoe UI"/>
          <w:color w:val="666155"/>
          <w:sz w:val="24"/>
        </w:rPr>
        <w:t>to</w:t>
      </w:r>
      <w:r>
        <w:rPr>
          <w:rFonts w:ascii="Segoe UI"/>
          <w:color w:val="666155"/>
          <w:spacing w:val="-5"/>
          <w:sz w:val="24"/>
        </w:rPr>
        <w:t> </w:t>
      </w:r>
      <w:r>
        <w:rPr>
          <w:rFonts w:ascii="Segoe UI"/>
          <w:color w:val="666155"/>
          <w:sz w:val="24"/>
        </w:rPr>
        <w:t>assist</w:t>
      </w:r>
      <w:r>
        <w:rPr>
          <w:rFonts w:ascii="Segoe UI"/>
          <w:color w:val="666155"/>
          <w:spacing w:val="-6"/>
          <w:sz w:val="24"/>
        </w:rPr>
        <w:t> </w:t>
      </w:r>
      <w:r>
        <w:rPr>
          <w:rFonts w:ascii="Segoe UI"/>
          <w:color w:val="666155"/>
          <w:sz w:val="24"/>
        </w:rPr>
        <w:t>providers</w:t>
      </w:r>
      <w:r>
        <w:rPr>
          <w:rFonts w:ascii="Segoe UI"/>
          <w:color w:val="666155"/>
          <w:spacing w:val="-5"/>
          <w:sz w:val="24"/>
        </w:rPr>
        <w:t> </w:t>
      </w:r>
      <w:r>
        <w:rPr>
          <w:rFonts w:ascii="Segoe UI"/>
          <w:color w:val="666155"/>
          <w:sz w:val="24"/>
        </w:rPr>
        <w:t>to</w:t>
      </w:r>
      <w:r>
        <w:rPr>
          <w:rFonts w:ascii="Segoe UI"/>
          <w:color w:val="666155"/>
          <w:spacing w:val="-5"/>
          <w:sz w:val="24"/>
        </w:rPr>
        <w:t> </w:t>
      </w:r>
      <w:r>
        <w:rPr>
          <w:rFonts w:ascii="Segoe UI"/>
          <w:color w:val="666155"/>
          <w:spacing w:val="-1"/>
          <w:sz w:val="24"/>
        </w:rPr>
        <w:t>identify</w:t>
      </w:r>
      <w:r>
        <w:rPr>
          <w:rFonts w:ascii="Segoe UI"/>
          <w:color w:val="666155"/>
          <w:spacing w:val="-5"/>
          <w:sz w:val="24"/>
        </w:rPr>
        <w:t> </w:t>
      </w:r>
      <w:r>
        <w:rPr>
          <w:rFonts w:ascii="Segoe UI"/>
          <w:color w:val="666155"/>
          <w:sz w:val="24"/>
        </w:rPr>
        <w:t>and</w:t>
      </w:r>
      <w:r>
        <w:rPr>
          <w:rFonts w:ascii="Segoe UI"/>
          <w:color w:val="666155"/>
          <w:spacing w:val="-6"/>
          <w:sz w:val="24"/>
        </w:rPr>
        <w:t> </w:t>
      </w:r>
      <w:r>
        <w:rPr>
          <w:rFonts w:ascii="Segoe UI"/>
          <w:color w:val="666155"/>
          <w:spacing w:val="-1"/>
          <w:sz w:val="24"/>
        </w:rPr>
        <w:t>manage</w:t>
      </w:r>
      <w:r>
        <w:rPr>
          <w:rFonts w:ascii="Segoe UI"/>
          <w:color w:val="666155"/>
          <w:spacing w:val="-5"/>
          <w:sz w:val="24"/>
        </w:rPr>
        <w:t> </w:t>
      </w:r>
      <w:r>
        <w:rPr>
          <w:rFonts w:ascii="Segoe UI"/>
          <w:color w:val="666155"/>
          <w:sz w:val="24"/>
        </w:rPr>
        <w:t>risks.</w:t>
      </w:r>
      <w:r>
        <w:rPr>
          <w:rFonts w:ascii="Segoe UI"/>
          <w:color w:val="666155"/>
          <w:spacing w:val="-6"/>
          <w:sz w:val="24"/>
        </w:rPr>
        <w:t> </w:t>
      </w:r>
      <w:r>
        <w:rPr>
          <w:rFonts w:ascii="Segoe UI"/>
          <w:color w:val="666155"/>
          <w:spacing w:val="-1"/>
          <w:sz w:val="24"/>
        </w:rPr>
        <w:t>It</w:t>
      </w:r>
      <w:r>
        <w:rPr>
          <w:rFonts w:ascii="Segoe UI"/>
          <w:color w:val="666155"/>
          <w:spacing w:val="-5"/>
          <w:sz w:val="24"/>
        </w:rPr>
        <w:t> </w:t>
      </w:r>
      <w:r>
        <w:rPr>
          <w:rFonts w:ascii="Segoe UI"/>
          <w:color w:val="666155"/>
          <w:sz w:val="24"/>
        </w:rPr>
        <w:t>was</w:t>
      </w:r>
      <w:r>
        <w:rPr>
          <w:rFonts w:ascii="Segoe UI"/>
          <w:color w:val="666155"/>
          <w:spacing w:val="25"/>
          <w:w w:val="99"/>
          <w:sz w:val="24"/>
        </w:rPr>
        <w:t> </w:t>
      </w:r>
      <w:r>
        <w:rPr>
          <w:rFonts w:ascii="Segoe UI"/>
          <w:color w:val="666155"/>
          <w:sz w:val="24"/>
        </w:rPr>
        <w:t>developed</w:t>
      </w:r>
      <w:r>
        <w:rPr>
          <w:rFonts w:ascii="Segoe UI"/>
          <w:color w:val="666155"/>
          <w:spacing w:val="-7"/>
          <w:sz w:val="24"/>
        </w:rPr>
        <w:t> </w:t>
      </w:r>
      <w:r>
        <w:rPr>
          <w:rFonts w:ascii="Segoe UI"/>
          <w:color w:val="666155"/>
          <w:spacing w:val="-1"/>
          <w:sz w:val="24"/>
        </w:rPr>
        <w:t>in</w:t>
      </w:r>
      <w:r>
        <w:rPr>
          <w:rFonts w:ascii="Segoe UI"/>
          <w:color w:val="666155"/>
          <w:spacing w:val="-6"/>
          <w:sz w:val="24"/>
        </w:rPr>
        <w:t> </w:t>
      </w:r>
      <w:r>
        <w:rPr>
          <w:rFonts w:ascii="Segoe UI"/>
          <w:color w:val="666155"/>
          <w:sz w:val="24"/>
        </w:rPr>
        <w:t>consultation</w:t>
      </w:r>
      <w:r>
        <w:rPr>
          <w:rFonts w:ascii="Segoe UI"/>
          <w:color w:val="666155"/>
          <w:spacing w:val="-6"/>
          <w:sz w:val="24"/>
        </w:rPr>
        <w:t> </w:t>
      </w:r>
      <w:r>
        <w:rPr>
          <w:rFonts w:ascii="Segoe UI"/>
          <w:color w:val="666155"/>
          <w:sz w:val="24"/>
        </w:rPr>
        <w:t>with</w:t>
      </w:r>
      <w:r>
        <w:rPr>
          <w:rFonts w:ascii="Segoe UI"/>
          <w:color w:val="666155"/>
          <w:spacing w:val="-7"/>
          <w:sz w:val="24"/>
        </w:rPr>
        <w:t> </w:t>
      </w:r>
      <w:r>
        <w:rPr>
          <w:rFonts w:ascii="Segoe UI"/>
          <w:color w:val="666155"/>
          <w:sz w:val="24"/>
        </w:rPr>
        <w:t>the</w:t>
      </w:r>
      <w:r>
        <w:rPr>
          <w:rFonts w:ascii="Segoe UI"/>
          <w:color w:val="666155"/>
          <w:spacing w:val="-6"/>
          <w:sz w:val="24"/>
        </w:rPr>
        <w:t> </w:t>
      </w:r>
      <w:r>
        <w:rPr>
          <w:rFonts w:ascii="Segoe UI"/>
          <w:color w:val="666155"/>
          <w:spacing w:val="-1"/>
          <w:sz w:val="24"/>
        </w:rPr>
        <w:t>main</w:t>
      </w:r>
      <w:r>
        <w:rPr>
          <w:rFonts w:ascii="Segoe UI"/>
          <w:color w:val="666155"/>
          <w:spacing w:val="-6"/>
          <w:sz w:val="24"/>
        </w:rPr>
        <w:t> </w:t>
      </w:r>
      <w:r>
        <w:rPr>
          <w:rFonts w:ascii="Segoe UI"/>
          <w:color w:val="666155"/>
          <w:sz w:val="24"/>
        </w:rPr>
        <w:t>peak</w:t>
      </w:r>
      <w:r>
        <w:rPr>
          <w:rFonts w:ascii="Segoe UI"/>
          <w:color w:val="666155"/>
          <w:spacing w:val="-7"/>
          <w:sz w:val="24"/>
        </w:rPr>
        <w:t> </w:t>
      </w:r>
      <w:r>
        <w:rPr>
          <w:rFonts w:ascii="Segoe UI"/>
          <w:color w:val="666155"/>
          <w:sz w:val="24"/>
        </w:rPr>
        <w:t>bodies</w:t>
      </w:r>
      <w:r>
        <w:rPr>
          <w:rFonts w:ascii="Segoe UI"/>
          <w:color w:val="666155"/>
          <w:spacing w:val="-6"/>
          <w:sz w:val="24"/>
        </w:rPr>
        <w:t> </w:t>
      </w:r>
      <w:r>
        <w:rPr>
          <w:rFonts w:ascii="Segoe UI"/>
          <w:color w:val="666155"/>
          <w:sz w:val="24"/>
        </w:rPr>
        <w:t>for</w:t>
      </w:r>
      <w:r>
        <w:rPr>
          <w:rFonts w:ascii="Segoe UI"/>
          <w:color w:val="666155"/>
          <w:spacing w:val="-6"/>
          <w:sz w:val="24"/>
        </w:rPr>
        <w:t> </w:t>
      </w:r>
      <w:r>
        <w:rPr>
          <w:rFonts w:ascii="Segoe UI"/>
          <w:color w:val="666155"/>
          <w:sz w:val="24"/>
        </w:rPr>
        <w:t>boarding.</w:t>
      </w:r>
      <w:r>
        <w:rPr>
          <w:rFonts w:ascii="Segoe UI"/>
          <w:sz w:val="24"/>
        </w:rPr>
      </w:r>
    </w:p>
    <w:p>
      <w:pPr>
        <w:spacing w:line="240" w:lineRule="auto" w:before="6"/>
        <w:rPr>
          <w:rFonts w:ascii="Segoe UI" w:hAnsi="Segoe UI" w:cs="Segoe UI" w:eastAsia="Segoe UI"/>
          <w:sz w:val="8"/>
          <w:szCs w:val="8"/>
        </w:rPr>
      </w:pPr>
    </w:p>
    <w:p>
      <w:pPr>
        <w:spacing w:after="0" w:line="240" w:lineRule="auto"/>
        <w:rPr>
          <w:rFonts w:ascii="Segoe UI" w:hAnsi="Segoe UI" w:cs="Segoe UI" w:eastAsia="Segoe UI"/>
          <w:sz w:val="8"/>
          <w:szCs w:val="8"/>
        </w:rPr>
        <w:sectPr>
          <w:pgSz w:w="11910" w:h="16840"/>
          <w:pgMar w:header="0" w:footer="691" w:top="1580" w:bottom="880" w:left="1600" w:right="1300"/>
        </w:sectPr>
      </w:pPr>
    </w:p>
    <w:p>
      <w:pPr>
        <w:pStyle w:val="BodyText"/>
        <w:spacing w:line="250" w:lineRule="exact" w:before="62"/>
        <w:ind w:left="100" w:right="73"/>
        <w:jc w:val="left"/>
      </w:pPr>
      <w:r>
        <w:rPr>
          <w:color w:val="231F20"/>
        </w:rPr>
        <w:t>The</w:t>
      </w:r>
      <w:r>
        <w:rPr>
          <w:color w:val="231F20"/>
          <w:spacing w:val="-6"/>
        </w:rPr>
        <w:t> </w:t>
      </w:r>
      <w:r>
        <w:rPr>
          <w:color w:val="231F20"/>
        </w:rPr>
        <w:t>boarding</w:t>
      </w:r>
      <w:r>
        <w:rPr>
          <w:color w:val="231F20"/>
          <w:spacing w:val="-6"/>
        </w:rPr>
        <w:t> </w:t>
      </w:r>
      <w:r>
        <w:rPr>
          <w:color w:val="231F20"/>
          <w:spacing w:val="-1"/>
        </w:rPr>
        <w:t>standard</w:t>
      </w:r>
      <w:r>
        <w:rPr>
          <w:color w:val="231F20"/>
          <w:spacing w:val="-4"/>
        </w:rPr>
        <w:t> </w:t>
      </w:r>
      <w:r>
        <w:rPr>
          <w:color w:val="231F20"/>
          <w:spacing w:val="-1"/>
        </w:rPr>
        <w:t>is</w:t>
      </w:r>
      <w:r>
        <w:rPr>
          <w:color w:val="231F20"/>
          <w:spacing w:val="-6"/>
        </w:rPr>
        <w:t> </w:t>
      </w:r>
      <w:r>
        <w:rPr>
          <w:color w:val="231F20"/>
        </w:rPr>
        <w:t>voluntary</w:t>
      </w:r>
      <w:r>
        <w:rPr>
          <w:color w:val="231F20"/>
          <w:spacing w:val="-5"/>
        </w:rPr>
        <w:t> </w:t>
      </w:r>
      <w:r>
        <w:rPr>
          <w:color w:val="231F20"/>
        </w:rPr>
        <w:t>but</w:t>
      </w:r>
      <w:r>
        <w:rPr>
          <w:color w:val="231F20"/>
          <w:spacing w:val="-6"/>
        </w:rPr>
        <w:t> </w:t>
      </w:r>
      <w:r>
        <w:rPr>
          <w:color w:val="231F20"/>
          <w:spacing w:val="-1"/>
        </w:rPr>
        <w:t>section</w:t>
      </w:r>
      <w:r>
        <w:rPr>
          <w:color w:val="231F20"/>
          <w:spacing w:val="22"/>
        </w:rPr>
        <w:t> </w:t>
      </w:r>
      <w:r>
        <w:rPr>
          <w:color w:val="231F20"/>
          <w:spacing w:val="-1"/>
        </w:rPr>
        <w:t>101</w:t>
      </w:r>
      <w:r>
        <w:rPr>
          <w:color w:val="231F20"/>
          <w:spacing w:val="-4"/>
        </w:rPr>
        <w:t> </w:t>
      </w:r>
      <w:r>
        <w:rPr>
          <w:color w:val="231F20"/>
        </w:rPr>
        <w:t>of</w:t>
      </w:r>
      <w:r>
        <w:rPr>
          <w:color w:val="231F20"/>
          <w:spacing w:val="-3"/>
        </w:rPr>
        <w:t> </w:t>
      </w:r>
      <w:r>
        <w:rPr>
          <w:color w:val="231F20"/>
        </w:rPr>
        <w:t>the</w:t>
      </w:r>
      <w:r>
        <w:rPr>
          <w:color w:val="231F20"/>
          <w:spacing w:val="-5"/>
        </w:rPr>
        <w:t> </w:t>
      </w:r>
      <w:r>
        <w:rPr>
          <w:color w:val="231F20"/>
        </w:rPr>
        <w:t>Northern</w:t>
      </w:r>
      <w:r>
        <w:rPr>
          <w:color w:val="231F20"/>
          <w:spacing w:val="-3"/>
        </w:rPr>
        <w:t> Territory</w:t>
      </w:r>
      <w:r>
        <w:rPr>
          <w:color w:val="231F20"/>
          <w:spacing w:val="-4"/>
        </w:rPr>
        <w:t> </w:t>
      </w:r>
      <w:r>
        <w:rPr>
          <w:rFonts w:ascii="Segoe UI" w:hAnsi="Segoe UI" w:cs="Segoe UI" w:eastAsia="Segoe UI"/>
          <w:i/>
          <w:color w:val="231F20"/>
        </w:rPr>
        <w:t>Education</w:t>
      </w:r>
      <w:r>
        <w:rPr>
          <w:rFonts w:ascii="Segoe UI" w:hAnsi="Segoe UI" w:cs="Segoe UI" w:eastAsia="Segoe UI"/>
          <w:i/>
          <w:color w:val="231F20"/>
          <w:spacing w:val="-4"/>
        </w:rPr>
        <w:t> </w:t>
      </w:r>
      <w:r>
        <w:rPr>
          <w:rFonts w:ascii="Segoe UI" w:hAnsi="Segoe UI" w:cs="Segoe UI" w:eastAsia="Segoe UI"/>
          <w:i/>
          <w:color w:val="231F20"/>
        </w:rPr>
        <w:t>Act</w:t>
      </w:r>
      <w:r>
        <w:rPr>
          <w:rFonts w:ascii="Segoe UI" w:hAnsi="Segoe UI" w:cs="Segoe UI" w:eastAsia="Segoe UI"/>
          <w:i/>
          <w:color w:val="231F20"/>
          <w:spacing w:val="28"/>
        </w:rPr>
        <w:t> </w:t>
      </w:r>
      <w:r>
        <w:rPr>
          <w:color w:val="231F20"/>
        </w:rPr>
        <w:t>requires</w:t>
      </w:r>
      <w:r>
        <w:rPr>
          <w:color w:val="231F20"/>
          <w:spacing w:val="-11"/>
        </w:rPr>
        <w:t> </w:t>
      </w:r>
      <w:r>
        <w:rPr>
          <w:color w:val="231F20"/>
        </w:rPr>
        <w:t>an</w:t>
      </w:r>
      <w:r>
        <w:rPr>
          <w:color w:val="231F20"/>
          <w:spacing w:val="-10"/>
        </w:rPr>
        <w:t> </w:t>
      </w:r>
      <w:r>
        <w:rPr>
          <w:color w:val="231F20"/>
        </w:rPr>
        <w:t>entity</w:t>
      </w:r>
      <w:r>
        <w:rPr>
          <w:color w:val="231F20"/>
          <w:spacing w:val="-10"/>
        </w:rPr>
        <w:t> </w:t>
      </w:r>
      <w:r>
        <w:rPr>
          <w:color w:val="231F20"/>
        </w:rPr>
        <w:t>providing</w:t>
      </w:r>
      <w:r>
        <w:rPr>
          <w:color w:val="231F20"/>
          <w:spacing w:val="-11"/>
        </w:rPr>
        <w:t> </w:t>
      </w:r>
      <w:r>
        <w:rPr>
          <w:color w:val="231F20"/>
        </w:rPr>
        <w:t>accommodation</w:t>
      </w:r>
      <w:r>
        <w:rPr>
          <w:color w:val="231F20"/>
          <w:w w:val="99"/>
        </w:rPr>
        <w:t> </w:t>
      </w:r>
      <w:r>
        <w:rPr>
          <w:color w:val="231F20"/>
        </w:rPr>
        <w:t>for</w:t>
      </w:r>
      <w:r>
        <w:rPr>
          <w:color w:val="231F20"/>
          <w:spacing w:val="-6"/>
        </w:rPr>
        <w:t> </w:t>
      </w:r>
      <w:r>
        <w:rPr>
          <w:color w:val="231F20"/>
        </w:rPr>
        <w:t>a</w:t>
      </w:r>
      <w:r>
        <w:rPr>
          <w:color w:val="231F20"/>
          <w:spacing w:val="-6"/>
        </w:rPr>
        <w:t> </w:t>
      </w:r>
      <w:r>
        <w:rPr>
          <w:color w:val="231F20"/>
          <w:spacing w:val="-1"/>
        </w:rPr>
        <w:t>student</w:t>
      </w:r>
      <w:r>
        <w:rPr>
          <w:color w:val="231F20"/>
          <w:spacing w:val="-6"/>
        </w:rPr>
        <w:t> </w:t>
      </w:r>
      <w:r>
        <w:rPr>
          <w:color w:val="231F20"/>
        </w:rPr>
        <w:t>attending</w:t>
      </w:r>
      <w:r>
        <w:rPr>
          <w:color w:val="231F20"/>
          <w:spacing w:val="-7"/>
        </w:rPr>
        <w:t> </w:t>
      </w:r>
      <w:r>
        <w:rPr>
          <w:color w:val="231F20"/>
        </w:rPr>
        <w:t>a</w:t>
      </w:r>
      <w:r>
        <w:rPr>
          <w:color w:val="231F20"/>
          <w:spacing w:val="-6"/>
        </w:rPr>
        <w:t> </w:t>
      </w:r>
      <w:r>
        <w:rPr>
          <w:color w:val="231F20"/>
        </w:rPr>
        <w:t>Northern</w:t>
      </w:r>
      <w:r>
        <w:rPr>
          <w:color w:val="231F20"/>
          <w:spacing w:val="-6"/>
        </w:rPr>
        <w:t> </w:t>
      </w:r>
      <w:r>
        <w:rPr>
          <w:color w:val="231F20"/>
          <w:spacing w:val="-3"/>
        </w:rPr>
        <w:t>Territory</w:t>
      </w:r>
      <w:r>
        <w:rPr>
          <w:color w:val="231F20"/>
          <w:spacing w:val="28"/>
          <w:w w:val="99"/>
        </w:rPr>
        <w:t> </w:t>
      </w:r>
      <w:r>
        <w:rPr>
          <w:color w:val="231F20"/>
        </w:rPr>
        <w:t>Government</w:t>
      </w:r>
      <w:r>
        <w:rPr>
          <w:color w:val="231F20"/>
          <w:spacing w:val="-4"/>
        </w:rPr>
        <w:t> </w:t>
      </w:r>
      <w:r>
        <w:rPr>
          <w:color w:val="231F20"/>
          <w:spacing w:val="-1"/>
        </w:rPr>
        <w:t>school</w:t>
      </w:r>
      <w:r>
        <w:rPr>
          <w:color w:val="231F20"/>
          <w:spacing w:val="-4"/>
        </w:rPr>
        <w:t> </w:t>
      </w:r>
      <w:r>
        <w:rPr>
          <w:color w:val="231F20"/>
        </w:rPr>
        <w:t>to</w:t>
      </w:r>
      <w:r>
        <w:rPr>
          <w:color w:val="231F20"/>
          <w:spacing w:val="-4"/>
        </w:rPr>
        <w:t> </w:t>
      </w:r>
      <w:r>
        <w:rPr>
          <w:color w:val="231F20"/>
        </w:rPr>
        <w:t>comply</w:t>
      </w:r>
      <w:r>
        <w:rPr>
          <w:color w:val="231F20"/>
          <w:spacing w:val="-5"/>
        </w:rPr>
        <w:t> </w:t>
      </w:r>
      <w:r>
        <w:rPr>
          <w:color w:val="231F20"/>
        </w:rPr>
        <w:t>with</w:t>
      </w:r>
      <w:r>
        <w:rPr>
          <w:color w:val="231F20"/>
          <w:spacing w:val="-5"/>
        </w:rPr>
        <w:t> </w:t>
      </w:r>
      <w:r>
        <w:rPr>
          <w:color w:val="231F20"/>
        </w:rPr>
        <w:t>any</w:t>
      </w:r>
      <w:r>
        <w:rPr>
          <w:color w:val="231F20"/>
          <w:spacing w:val="21"/>
          <w:w w:val="99"/>
        </w:rPr>
        <w:t> </w:t>
      </w:r>
      <w:r>
        <w:rPr>
          <w:color w:val="231F20"/>
        </w:rPr>
        <w:t>Australian</w:t>
      </w:r>
      <w:r>
        <w:rPr>
          <w:color w:val="231F20"/>
          <w:spacing w:val="-6"/>
        </w:rPr>
        <w:t> </w:t>
      </w:r>
      <w:r>
        <w:rPr>
          <w:color w:val="231F20"/>
          <w:spacing w:val="-1"/>
        </w:rPr>
        <w:t>Standard,</w:t>
      </w:r>
      <w:r>
        <w:rPr>
          <w:color w:val="231F20"/>
          <w:spacing w:val="-6"/>
        </w:rPr>
        <w:t> </w:t>
      </w:r>
      <w:r>
        <w:rPr>
          <w:color w:val="231F20"/>
          <w:spacing w:val="-1"/>
        </w:rPr>
        <w:t>in</w:t>
      </w:r>
      <w:r>
        <w:rPr>
          <w:color w:val="231F20"/>
          <w:spacing w:val="-5"/>
        </w:rPr>
        <w:t> </w:t>
      </w:r>
      <w:r>
        <w:rPr>
          <w:color w:val="231F20"/>
        </w:rPr>
        <w:t>this</w:t>
      </w:r>
      <w:r>
        <w:rPr>
          <w:color w:val="231F20"/>
          <w:spacing w:val="-6"/>
        </w:rPr>
        <w:t> </w:t>
      </w:r>
      <w:r>
        <w:rPr>
          <w:color w:val="231F20"/>
        </w:rPr>
        <w:t>case</w:t>
      </w:r>
      <w:r>
        <w:rPr>
          <w:color w:val="231F20"/>
          <w:spacing w:val="-6"/>
        </w:rPr>
        <w:t> </w:t>
      </w:r>
      <w:r>
        <w:rPr>
          <w:color w:val="231F20"/>
        </w:rPr>
        <w:t>the</w:t>
      </w:r>
      <w:r>
        <w:rPr>
          <w:color w:val="231F20"/>
          <w:spacing w:val="-6"/>
        </w:rPr>
        <w:t> </w:t>
      </w:r>
      <w:r>
        <w:rPr>
          <w:color w:val="231F20"/>
          <w:spacing w:val="-1"/>
        </w:rPr>
        <w:t>Boarding</w:t>
      </w:r>
      <w:r>
        <w:rPr>
          <w:color w:val="231F20"/>
          <w:spacing w:val="23"/>
          <w:w w:val="99"/>
        </w:rPr>
        <w:t> </w:t>
      </w:r>
      <w:r>
        <w:rPr>
          <w:color w:val="231F20"/>
          <w:spacing w:val="-1"/>
        </w:rPr>
        <w:t>Standard.</w:t>
      </w:r>
      <w:r>
        <w:rPr>
          <w:color w:val="231F20"/>
          <w:spacing w:val="-9"/>
        </w:rPr>
        <w:t> </w:t>
      </w:r>
      <w:r>
        <w:rPr>
          <w:color w:val="231F20"/>
        </w:rPr>
        <w:t>Nhulunbuy</w:t>
      </w:r>
      <w:r>
        <w:rPr>
          <w:color w:val="231F20"/>
          <w:spacing w:val="-8"/>
        </w:rPr>
        <w:t> </w:t>
      </w:r>
      <w:r>
        <w:rPr>
          <w:color w:val="231F20"/>
        </w:rPr>
        <w:t>High’s</w:t>
      </w:r>
      <w:r>
        <w:rPr>
          <w:color w:val="231F20"/>
          <w:spacing w:val="-9"/>
        </w:rPr>
        <w:t> </w:t>
      </w:r>
      <w:r>
        <w:rPr>
          <w:color w:val="231F20"/>
          <w:spacing w:val="-1"/>
        </w:rPr>
        <w:t>Dawurr</w:t>
      </w:r>
      <w:r>
        <w:rPr>
          <w:color w:val="231F20"/>
          <w:spacing w:val="-8"/>
        </w:rPr>
        <w:t> </w:t>
      </w:r>
      <w:r>
        <w:rPr>
          <w:color w:val="231F20"/>
        </w:rPr>
        <w:t>boarding</w:t>
      </w:r>
      <w:r>
        <w:rPr>
          <w:color w:val="231F20"/>
          <w:spacing w:val="24"/>
          <w:w w:val="99"/>
        </w:rPr>
        <w:t> </w:t>
      </w:r>
      <w:r>
        <w:rPr>
          <w:color w:val="231F20"/>
        </w:rPr>
        <w:t>facility,</w:t>
      </w:r>
      <w:r>
        <w:rPr>
          <w:color w:val="231F20"/>
          <w:spacing w:val="-5"/>
        </w:rPr>
        <w:t> </w:t>
      </w:r>
      <w:r>
        <w:rPr>
          <w:color w:val="231F20"/>
        </w:rPr>
        <w:t>opened</w:t>
      </w:r>
      <w:r>
        <w:rPr>
          <w:color w:val="231F20"/>
          <w:spacing w:val="-5"/>
        </w:rPr>
        <w:t> </w:t>
      </w:r>
      <w:r>
        <w:rPr>
          <w:color w:val="231F20"/>
          <w:spacing w:val="-1"/>
        </w:rPr>
        <w:t>in</w:t>
      </w:r>
      <w:r>
        <w:rPr>
          <w:color w:val="231F20"/>
          <w:spacing w:val="-5"/>
        </w:rPr>
        <w:t> </w:t>
      </w:r>
      <w:r>
        <w:rPr>
          <w:color w:val="231F20"/>
          <w:spacing w:val="-1"/>
        </w:rPr>
        <w:t>2017</w:t>
      </w:r>
      <w:r>
        <w:rPr>
          <w:color w:val="231F20"/>
          <w:spacing w:val="-5"/>
        </w:rPr>
        <w:t> </w:t>
      </w:r>
      <w:r>
        <w:rPr>
          <w:color w:val="231F20"/>
        </w:rPr>
        <w:t>and</w:t>
      </w:r>
      <w:r>
        <w:rPr>
          <w:color w:val="231F20"/>
          <w:spacing w:val="-5"/>
        </w:rPr>
        <w:t> </w:t>
      </w:r>
      <w:r>
        <w:rPr>
          <w:color w:val="231F20"/>
        </w:rPr>
        <w:t>was</w:t>
      </w:r>
      <w:r>
        <w:rPr>
          <w:color w:val="231F20"/>
          <w:spacing w:val="-6"/>
        </w:rPr>
        <w:t> </w:t>
      </w:r>
      <w:r>
        <w:rPr>
          <w:color w:val="231F20"/>
          <w:spacing w:val="-1"/>
        </w:rPr>
        <w:t>included</w:t>
      </w:r>
      <w:r>
        <w:rPr/>
      </w:r>
    </w:p>
    <w:p>
      <w:pPr>
        <w:pStyle w:val="BodyText"/>
        <w:spacing w:line="250" w:lineRule="exact"/>
        <w:ind w:left="100" w:right="0"/>
        <w:jc w:val="left"/>
      </w:pPr>
      <w:r>
        <w:rPr>
          <w:color w:val="231F20"/>
          <w:spacing w:val="-1"/>
        </w:rPr>
        <w:t>in</w:t>
      </w:r>
      <w:r>
        <w:rPr>
          <w:color w:val="231F20"/>
          <w:spacing w:val="-5"/>
        </w:rPr>
        <w:t> </w:t>
      </w:r>
      <w:r>
        <w:rPr>
          <w:color w:val="231F20"/>
        </w:rPr>
        <w:t>the</w:t>
      </w:r>
      <w:r>
        <w:rPr>
          <w:color w:val="231F20"/>
          <w:spacing w:val="-6"/>
        </w:rPr>
        <w:t> </w:t>
      </w:r>
      <w:r>
        <w:rPr>
          <w:color w:val="231F20"/>
        </w:rPr>
        <w:t>boarding</w:t>
      </w:r>
      <w:r>
        <w:rPr>
          <w:color w:val="231F20"/>
          <w:spacing w:val="-6"/>
        </w:rPr>
        <w:t> </w:t>
      </w:r>
      <w:r>
        <w:rPr>
          <w:color w:val="231F20"/>
        </w:rPr>
        <w:t>providers</w:t>
      </w:r>
      <w:r>
        <w:rPr>
          <w:color w:val="231F20"/>
          <w:spacing w:val="-6"/>
        </w:rPr>
        <w:t> </w:t>
      </w:r>
      <w:r>
        <w:rPr>
          <w:color w:val="231F20"/>
        </w:rPr>
        <w:t>analysed</w:t>
      </w:r>
      <w:r>
        <w:rPr>
          <w:color w:val="231F20"/>
          <w:spacing w:val="-6"/>
        </w:rPr>
        <w:t> </w:t>
      </w:r>
      <w:r>
        <w:rPr>
          <w:color w:val="231F20"/>
        </w:rPr>
        <w:t>for</w:t>
      </w:r>
      <w:r>
        <w:rPr>
          <w:color w:val="231F20"/>
          <w:spacing w:val="-5"/>
        </w:rPr>
        <w:t> </w:t>
      </w:r>
      <w:r>
        <w:rPr>
          <w:color w:val="231F20"/>
        </w:rPr>
        <w:t>this</w:t>
      </w:r>
      <w:r>
        <w:rPr>
          <w:color w:val="231F20"/>
          <w:spacing w:val="21"/>
        </w:rPr>
        <w:t> </w:t>
      </w:r>
      <w:r>
        <w:rPr>
          <w:color w:val="231F20"/>
        </w:rPr>
        <w:t>report.</w:t>
      </w:r>
      <w:r>
        <w:rPr>
          <w:color w:val="231F20"/>
          <w:spacing w:val="-7"/>
        </w:rPr>
        <w:t> </w:t>
      </w:r>
      <w:r>
        <w:rPr>
          <w:color w:val="231F20"/>
        </w:rPr>
        <w:t>Nhulunbuy</w:t>
      </w:r>
      <w:r>
        <w:rPr>
          <w:color w:val="231F20"/>
          <w:spacing w:val="-7"/>
        </w:rPr>
        <w:t> </w:t>
      </w:r>
      <w:r>
        <w:rPr>
          <w:color w:val="231F20"/>
        </w:rPr>
        <w:t>High</w:t>
      </w:r>
      <w:r>
        <w:rPr>
          <w:color w:val="231F20"/>
          <w:spacing w:val="-7"/>
        </w:rPr>
        <w:t> </w:t>
      </w:r>
      <w:r>
        <w:rPr>
          <w:color w:val="231F20"/>
          <w:spacing w:val="-1"/>
        </w:rPr>
        <w:t>is</w:t>
      </w:r>
      <w:r>
        <w:rPr>
          <w:color w:val="231F20"/>
          <w:spacing w:val="-7"/>
        </w:rPr>
        <w:t> </w:t>
      </w:r>
      <w:r>
        <w:rPr>
          <w:color w:val="231F20"/>
        </w:rPr>
        <w:t>a</w:t>
      </w:r>
      <w:r>
        <w:rPr>
          <w:color w:val="231F20"/>
          <w:spacing w:val="-6"/>
        </w:rPr>
        <w:t> </w:t>
      </w:r>
      <w:r>
        <w:rPr>
          <w:color w:val="231F20"/>
        </w:rPr>
        <w:t>Northern</w:t>
      </w:r>
      <w:r>
        <w:rPr>
          <w:color w:val="231F20"/>
          <w:spacing w:val="-6"/>
        </w:rPr>
        <w:t> </w:t>
      </w:r>
      <w:r>
        <w:rPr>
          <w:color w:val="231F20"/>
          <w:spacing w:val="-3"/>
        </w:rPr>
        <w:t>Territory</w:t>
      </w:r>
      <w:r>
        <w:rPr>
          <w:color w:val="231F20"/>
          <w:spacing w:val="27"/>
          <w:w w:val="99"/>
        </w:rPr>
        <w:t> </w:t>
      </w:r>
      <w:r>
        <w:rPr>
          <w:color w:val="231F20"/>
        </w:rPr>
        <w:t>Government</w:t>
      </w:r>
      <w:r>
        <w:rPr>
          <w:color w:val="231F20"/>
          <w:spacing w:val="-6"/>
        </w:rPr>
        <w:t> </w:t>
      </w:r>
      <w:r>
        <w:rPr>
          <w:color w:val="231F20"/>
          <w:spacing w:val="-1"/>
        </w:rPr>
        <w:t>school.</w:t>
      </w:r>
      <w:r>
        <w:rPr>
          <w:color w:val="231F20"/>
          <w:spacing w:val="-5"/>
        </w:rPr>
        <w:t> </w:t>
      </w:r>
      <w:r>
        <w:rPr>
          <w:color w:val="231F20"/>
          <w:spacing w:val="-1"/>
        </w:rPr>
        <w:t>In</w:t>
      </w:r>
      <w:r>
        <w:rPr>
          <w:color w:val="231F20"/>
          <w:spacing w:val="-6"/>
        </w:rPr>
        <w:t> </w:t>
      </w:r>
      <w:r>
        <w:rPr>
          <w:color w:val="231F20"/>
        </w:rPr>
        <w:t>August</w:t>
      </w:r>
      <w:r>
        <w:rPr>
          <w:color w:val="231F20"/>
          <w:spacing w:val="-5"/>
        </w:rPr>
        <w:t> </w:t>
      </w:r>
      <w:r>
        <w:rPr>
          <w:color w:val="231F20"/>
          <w:spacing w:val="-1"/>
        </w:rPr>
        <w:t>2018</w:t>
      </w:r>
      <w:r>
        <w:rPr>
          <w:color w:val="231F20"/>
          <w:spacing w:val="-5"/>
        </w:rPr>
        <w:t> </w:t>
      </w:r>
      <w:r>
        <w:rPr>
          <w:color w:val="231F20"/>
        </w:rPr>
        <w:t>Nhulunbuy</w:t>
      </w:r>
      <w:r>
        <w:rPr>
          <w:color w:val="231F20"/>
          <w:spacing w:val="24"/>
          <w:w w:val="99"/>
        </w:rPr>
        <w:t> </w:t>
      </w:r>
      <w:r>
        <w:rPr>
          <w:color w:val="231F20"/>
        </w:rPr>
        <w:t>High</w:t>
      </w:r>
      <w:r>
        <w:rPr>
          <w:color w:val="231F20"/>
          <w:spacing w:val="-10"/>
        </w:rPr>
        <w:t> </w:t>
      </w:r>
      <w:r>
        <w:rPr>
          <w:color w:val="231F20"/>
        </w:rPr>
        <w:t>engaged</w:t>
      </w:r>
      <w:r>
        <w:rPr>
          <w:color w:val="231F20"/>
          <w:spacing w:val="-8"/>
        </w:rPr>
        <w:t> </w:t>
      </w:r>
      <w:r>
        <w:rPr>
          <w:color w:val="231F20"/>
          <w:spacing w:val="-1"/>
        </w:rPr>
        <w:t>Indigenous</w:t>
      </w:r>
      <w:r>
        <w:rPr>
          <w:color w:val="231F20"/>
          <w:spacing w:val="-9"/>
        </w:rPr>
        <w:t> </w:t>
      </w:r>
      <w:r>
        <w:rPr>
          <w:color w:val="231F20"/>
        </w:rPr>
        <w:t>Education</w:t>
      </w:r>
      <w:r>
        <w:rPr>
          <w:color w:val="231F20"/>
          <w:spacing w:val="-9"/>
        </w:rPr>
        <w:t> </w:t>
      </w:r>
      <w:r>
        <w:rPr>
          <w:color w:val="231F20"/>
        </w:rPr>
        <w:t>and</w:t>
      </w:r>
      <w:r>
        <w:rPr>
          <w:color w:val="231F20"/>
          <w:spacing w:val="22"/>
          <w:w w:val="99"/>
        </w:rPr>
        <w:t> </w:t>
      </w:r>
      <w:r>
        <w:rPr>
          <w:color w:val="231F20"/>
          <w:spacing w:val="-1"/>
        </w:rPr>
        <w:t>Boarding</w:t>
      </w:r>
      <w:r>
        <w:rPr>
          <w:color w:val="231F20"/>
          <w:spacing w:val="-6"/>
        </w:rPr>
        <w:t> </w:t>
      </w:r>
      <w:r>
        <w:rPr>
          <w:color w:val="231F20"/>
        </w:rPr>
        <w:t>Australia</w:t>
      </w:r>
      <w:r>
        <w:rPr>
          <w:color w:val="231F20"/>
          <w:spacing w:val="-6"/>
        </w:rPr>
        <w:t> </w:t>
      </w:r>
      <w:r>
        <w:rPr>
          <w:color w:val="231F20"/>
        </w:rPr>
        <w:t>to</w:t>
      </w:r>
      <w:r>
        <w:rPr>
          <w:color w:val="231F20"/>
          <w:spacing w:val="-5"/>
        </w:rPr>
        <w:t> </w:t>
      </w:r>
      <w:r>
        <w:rPr>
          <w:color w:val="231F20"/>
        </w:rPr>
        <w:t>conduct</w:t>
      </w:r>
      <w:r>
        <w:rPr>
          <w:color w:val="231F20"/>
          <w:spacing w:val="-7"/>
        </w:rPr>
        <w:t> </w:t>
      </w:r>
      <w:r>
        <w:rPr>
          <w:color w:val="231F20"/>
        </w:rPr>
        <w:t>an</w:t>
      </w:r>
      <w:r>
        <w:rPr>
          <w:color w:val="231F20"/>
          <w:spacing w:val="-6"/>
        </w:rPr>
        <w:t> </w:t>
      </w:r>
      <w:r>
        <w:rPr>
          <w:color w:val="231F20"/>
        </w:rPr>
        <w:t>audit</w:t>
      </w:r>
      <w:r>
        <w:rPr>
          <w:color w:val="231F20"/>
          <w:spacing w:val="-7"/>
        </w:rPr>
        <w:t> </w:t>
      </w:r>
      <w:r>
        <w:rPr>
          <w:color w:val="231F20"/>
        </w:rPr>
        <w:t>of</w:t>
      </w:r>
      <w:r>
        <w:rPr>
          <w:color w:val="231F20"/>
          <w:spacing w:val="22"/>
          <w:w w:val="99"/>
        </w:rPr>
        <w:t> </w:t>
      </w:r>
      <w:r>
        <w:rPr>
          <w:color w:val="231F20"/>
          <w:spacing w:val="-1"/>
        </w:rPr>
        <w:t>Dawurr</w:t>
      </w:r>
      <w:r>
        <w:rPr>
          <w:color w:val="231F20"/>
          <w:spacing w:val="-8"/>
        </w:rPr>
        <w:t> </w:t>
      </w:r>
      <w:r>
        <w:rPr>
          <w:color w:val="231F20"/>
        </w:rPr>
        <w:t>against</w:t>
      </w:r>
      <w:r>
        <w:rPr>
          <w:color w:val="231F20"/>
          <w:spacing w:val="-9"/>
        </w:rPr>
        <w:t> </w:t>
      </w:r>
      <w:r>
        <w:rPr>
          <w:color w:val="231F20"/>
        </w:rPr>
        <w:t>the</w:t>
      </w:r>
      <w:r>
        <w:rPr>
          <w:color w:val="231F20"/>
          <w:spacing w:val="-9"/>
        </w:rPr>
        <w:t> </w:t>
      </w:r>
      <w:r>
        <w:rPr>
          <w:color w:val="231F20"/>
          <w:spacing w:val="-1"/>
        </w:rPr>
        <w:t>Boarding</w:t>
      </w:r>
      <w:r>
        <w:rPr>
          <w:color w:val="231F20"/>
          <w:spacing w:val="-7"/>
        </w:rPr>
        <w:t> </w:t>
      </w:r>
      <w:r>
        <w:rPr>
          <w:color w:val="231F20"/>
          <w:spacing w:val="-1"/>
        </w:rPr>
        <w:t>Standard.</w:t>
      </w:r>
      <w:r>
        <w:rPr/>
      </w:r>
    </w:p>
    <w:p>
      <w:pPr>
        <w:pStyle w:val="BodyText"/>
        <w:spacing w:line="250" w:lineRule="exact"/>
        <w:ind w:left="100" w:right="212"/>
        <w:jc w:val="left"/>
      </w:pPr>
      <w:r>
        <w:rPr>
          <w:color w:val="231F20"/>
        </w:rPr>
        <w:t>The</w:t>
      </w:r>
      <w:r>
        <w:rPr>
          <w:color w:val="231F20"/>
          <w:spacing w:val="-5"/>
        </w:rPr>
        <w:t> </w:t>
      </w:r>
      <w:r>
        <w:rPr>
          <w:color w:val="231F20"/>
        </w:rPr>
        <w:t>audit</w:t>
      </w:r>
      <w:r>
        <w:rPr>
          <w:color w:val="231F20"/>
          <w:spacing w:val="-6"/>
        </w:rPr>
        <w:t> </w:t>
      </w:r>
      <w:r>
        <w:rPr>
          <w:color w:val="231F20"/>
        </w:rPr>
        <w:t>found</w:t>
      </w:r>
      <w:r>
        <w:rPr>
          <w:color w:val="231F20"/>
          <w:spacing w:val="-4"/>
        </w:rPr>
        <w:t> </w:t>
      </w:r>
      <w:r>
        <w:rPr>
          <w:color w:val="231F20"/>
        </w:rPr>
        <w:t>that</w:t>
      </w:r>
      <w:r>
        <w:rPr>
          <w:color w:val="231F20"/>
          <w:spacing w:val="-6"/>
        </w:rPr>
        <w:t> </w:t>
      </w:r>
      <w:r>
        <w:rPr>
          <w:color w:val="231F20"/>
          <w:spacing w:val="-1"/>
        </w:rPr>
        <w:t>Dawurr</w:t>
      </w:r>
      <w:r>
        <w:rPr>
          <w:color w:val="231F20"/>
          <w:spacing w:val="-4"/>
        </w:rPr>
        <w:t> </w:t>
      </w:r>
      <w:r>
        <w:rPr>
          <w:color w:val="231F20"/>
        </w:rPr>
        <w:t>was</w:t>
      </w:r>
      <w:r>
        <w:rPr>
          <w:color w:val="231F20"/>
          <w:spacing w:val="-6"/>
        </w:rPr>
        <w:t> </w:t>
      </w:r>
      <w:r>
        <w:rPr>
          <w:color w:val="231F20"/>
          <w:spacing w:val="-1"/>
        </w:rPr>
        <w:t>largely</w:t>
      </w:r>
      <w:r>
        <w:rPr>
          <w:color w:val="231F20"/>
          <w:spacing w:val="-5"/>
        </w:rPr>
        <w:t> </w:t>
      </w:r>
      <w:r>
        <w:rPr>
          <w:color w:val="231F20"/>
          <w:spacing w:val="-1"/>
        </w:rPr>
        <w:t>in</w:t>
      </w:r>
      <w:r>
        <w:rPr>
          <w:color w:val="231F20"/>
          <w:spacing w:val="22"/>
        </w:rPr>
        <w:t> </w:t>
      </w:r>
      <w:r>
        <w:rPr>
          <w:color w:val="231F20"/>
        </w:rPr>
        <w:t>compliance</w:t>
      </w:r>
      <w:r>
        <w:rPr>
          <w:color w:val="231F20"/>
          <w:spacing w:val="-6"/>
        </w:rPr>
        <w:t> </w:t>
      </w:r>
      <w:r>
        <w:rPr>
          <w:color w:val="231F20"/>
        </w:rPr>
        <w:t>with</w:t>
      </w:r>
      <w:r>
        <w:rPr>
          <w:color w:val="231F20"/>
          <w:spacing w:val="-6"/>
        </w:rPr>
        <w:t> </w:t>
      </w:r>
      <w:r>
        <w:rPr>
          <w:color w:val="231F20"/>
        </w:rPr>
        <w:t>the</w:t>
      </w:r>
      <w:r>
        <w:rPr>
          <w:color w:val="231F20"/>
          <w:spacing w:val="-6"/>
        </w:rPr>
        <w:t> </w:t>
      </w:r>
      <w:r>
        <w:rPr>
          <w:color w:val="231F20"/>
          <w:spacing w:val="-1"/>
        </w:rPr>
        <w:t>Boarding</w:t>
      </w:r>
      <w:r>
        <w:rPr>
          <w:color w:val="231F20"/>
          <w:spacing w:val="-5"/>
        </w:rPr>
        <w:t> </w:t>
      </w:r>
      <w:r>
        <w:rPr>
          <w:color w:val="231F20"/>
          <w:spacing w:val="-1"/>
        </w:rPr>
        <w:t>Standard</w:t>
      </w:r>
      <w:r>
        <w:rPr>
          <w:color w:val="231F20"/>
          <w:spacing w:val="-6"/>
        </w:rPr>
        <w:t> </w:t>
      </w:r>
      <w:r>
        <w:rPr>
          <w:color w:val="231F20"/>
        </w:rPr>
        <w:t>and</w:t>
      </w:r>
      <w:r>
        <w:rPr>
          <w:color w:val="231F20"/>
          <w:spacing w:val="23"/>
          <w:w w:val="99"/>
        </w:rPr>
        <w:t> </w:t>
      </w:r>
      <w:r>
        <w:rPr>
          <w:color w:val="231F20"/>
          <w:spacing w:val="-1"/>
        </w:rPr>
        <w:t>made</w:t>
      </w:r>
      <w:r>
        <w:rPr>
          <w:color w:val="231F20"/>
          <w:spacing w:val="-7"/>
        </w:rPr>
        <w:t> </w:t>
      </w:r>
      <w:r>
        <w:rPr>
          <w:color w:val="231F20"/>
        </w:rPr>
        <w:t>a</w:t>
      </w:r>
      <w:r>
        <w:rPr>
          <w:color w:val="231F20"/>
          <w:spacing w:val="-7"/>
        </w:rPr>
        <w:t> </w:t>
      </w:r>
      <w:r>
        <w:rPr>
          <w:color w:val="231F20"/>
        </w:rPr>
        <w:t>number</w:t>
      </w:r>
      <w:r>
        <w:rPr>
          <w:color w:val="231F20"/>
          <w:spacing w:val="-7"/>
        </w:rPr>
        <w:t> </w:t>
      </w:r>
      <w:r>
        <w:rPr>
          <w:color w:val="231F20"/>
        </w:rPr>
        <w:t>of</w:t>
      </w:r>
      <w:r>
        <w:rPr>
          <w:color w:val="231F20"/>
          <w:spacing w:val="-7"/>
        </w:rPr>
        <w:t> </w:t>
      </w:r>
      <w:r>
        <w:rPr>
          <w:color w:val="231F20"/>
        </w:rPr>
        <w:t>recommendations</w:t>
      </w:r>
      <w:r>
        <w:rPr>
          <w:color w:val="231F20"/>
          <w:spacing w:val="-9"/>
        </w:rPr>
        <w:t> </w:t>
      </w:r>
      <w:r>
        <w:rPr>
          <w:color w:val="231F20"/>
        </w:rPr>
        <w:t>for</w:t>
      </w:r>
      <w:r>
        <w:rPr>
          <w:color w:val="231F20"/>
          <w:spacing w:val="21"/>
          <w:w w:val="99"/>
        </w:rPr>
        <w:t> </w:t>
      </w:r>
      <w:r>
        <w:rPr>
          <w:color w:val="231F20"/>
          <w:spacing w:val="-1"/>
        </w:rPr>
        <w:t>improvement.</w:t>
      </w:r>
      <w:r>
        <w:rPr>
          <w:color w:val="231F20"/>
          <w:spacing w:val="-12"/>
        </w:rPr>
        <w:t> </w:t>
      </w:r>
      <w:r>
        <w:rPr>
          <w:color w:val="231F20"/>
        </w:rPr>
        <w:t>Nhulunbuy</w:t>
      </w:r>
      <w:r>
        <w:rPr>
          <w:color w:val="231F20"/>
          <w:spacing w:val="-12"/>
        </w:rPr>
        <w:t> </w:t>
      </w:r>
      <w:r>
        <w:rPr>
          <w:color w:val="231F20"/>
        </w:rPr>
        <w:t>High</w:t>
      </w:r>
      <w:r>
        <w:rPr>
          <w:color w:val="231F20"/>
          <w:spacing w:val="-12"/>
        </w:rPr>
        <w:t> </w:t>
      </w:r>
      <w:r>
        <w:rPr>
          <w:color w:val="231F20"/>
          <w:spacing w:val="-1"/>
        </w:rPr>
        <w:t>indicated</w:t>
      </w:r>
      <w:r>
        <w:rPr>
          <w:color w:val="231F20"/>
          <w:spacing w:val="-1"/>
          <w:w w:val="99"/>
        </w:rPr>
        <w:t> </w:t>
      </w:r>
      <w:r>
        <w:rPr>
          <w:color w:val="231F20"/>
          <w:spacing w:val="21"/>
          <w:w w:val="99"/>
        </w:rPr>
        <w:t> </w:t>
      </w:r>
      <w:r>
        <w:rPr>
          <w:color w:val="231F20"/>
        </w:rPr>
        <w:t>that</w:t>
      </w:r>
      <w:r>
        <w:rPr>
          <w:color w:val="231F20"/>
          <w:spacing w:val="-6"/>
        </w:rPr>
        <w:t> </w:t>
      </w:r>
      <w:r>
        <w:rPr>
          <w:color w:val="231F20"/>
        </w:rPr>
        <w:t>the</w:t>
      </w:r>
      <w:r>
        <w:rPr>
          <w:color w:val="231F20"/>
          <w:spacing w:val="-6"/>
        </w:rPr>
        <w:t> </w:t>
      </w:r>
      <w:r>
        <w:rPr>
          <w:color w:val="231F20"/>
          <w:spacing w:val="-1"/>
        </w:rPr>
        <w:t>Boarding</w:t>
      </w:r>
      <w:r>
        <w:rPr>
          <w:color w:val="231F20"/>
          <w:spacing w:val="-5"/>
        </w:rPr>
        <w:t> </w:t>
      </w:r>
      <w:r>
        <w:rPr>
          <w:color w:val="231F20"/>
          <w:spacing w:val="-1"/>
        </w:rPr>
        <w:t>Standard</w:t>
      </w:r>
      <w:r>
        <w:rPr>
          <w:color w:val="231F20"/>
          <w:spacing w:val="-6"/>
        </w:rPr>
        <w:t> </w:t>
      </w:r>
      <w:r>
        <w:rPr>
          <w:color w:val="231F20"/>
        </w:rPr>
        <w:t>and</w:t>
      </w:r>
      <w:r>
        <w:rPr>
          <w:color w:val="231F20"/>
          <w:spacing w:val="-6"/>
        </w:rPr>
        <w:t> </w:t>
      </w:r>
      <w:r>
        <w:rPr>
          <w:color w:val="231F20"/>
        </w:rPr>
        <w:t>the</w:t>
      </w:r>
      <w:r>
        <w:rPr>
          <w:color w:val="231F20"/>
          <w:spacing w:val="-6"/>
        </w:rPr>
        <w:t> </w:t>
      </w:r>
      <w:r>
        <w:rPr>
          <w:color w:val="231F20"/>
        </w:rPr>
        <w:t>audit</w:t>
      </w:r>
      <w:r>
        <w:rPr>
          <w:color w:val="231F20"/>
          <w:spacing w:val="-6"/>
        </w:rPr>
        <w:t> </w:t>
      </w:r>
      <w:r>
        <w:rPr>
          <w:color w:val="231F20"/>
        </w:rPr>
        <w:t>by</w:t>
      </w:r>
      <w:r>
        <w:rPr>
          <w:color w:val="231F20"/>
          <w:spacing w:val="23"/>
          <w:w w:val="99"/>
        </w:rPr>
        <w:t> </w:t>
      </w:r>
      <w:r>
        <w:rPr>
          <w:color w:val="231F20"/>
          <w:spacing w:val="-1"/>
        </w:rPr>
        <w:t>Indigenous</w:t>
      </w:r>
      <w:r>
        <w:rPr>
          <w:color w:val="231F20"/>
          <w:spacing w:val="-10"/>
        </w:rPr>
        <w:t> </w:t>
      </w:r>
      <w:r>
        <w:rPr>
          <w:color w:val="231F20"/>
        </w:rPr>
        <w:t>Education</w:t>
      </w:r>
      <w:r>
        <w:rPr>
          <w:color w:val="231F20"/>
          <w:spacing w:val="-10"/>
        </w:rPr>
        <w:t> </w:t>
      </w:r>
      <w:r>
        <w:rPr>
          <w:color w:val="231F20"/>
        </w:rPr>
        <w:t>and</w:t>
      </w:r>
      <w:r>
        <w:rPr>
          <w:color w:val="231F20"/>
          <w:spacing w:val="-11"/>
        </w:rPr>
        <w:t> </w:t>
      </w:r>
      <w:r>
        <w:rPr>
          <w:color w:val="231F20"/>
          <w:spacing w:val="-1"/>
        </w:rPr>
        <w:t>Boarding</w:t>
      </w:r>
      <w:r>
        <w:rPr>
          <w:color w:val="231F20"/>
          <w:spacing w:val="-9"/>
        </w:rPr>
        <w:t> </w:t>
      </w:r>
      <w:r>
        <w:rPr>
          <w:color w:val="231F20"/>
        </w:rPr>
        <w:t>Australia</w:t>
      </w:r>
      <w:r>
        <w:rPr>
          <w:color w:val="231F20"/>
          <w:spacing w:val="23"/>
          <w:w w:val="99"/>
        </w:rPr>
        <w:t> </w:t>
      </w:r>
      <w:r>
        <w:rPr>
          <w:color w:val="231F20"/>
        </w:rPr>
        <w:t>was</w:t>
      </w:r>
      <w:r>
        <w:rPr>
          <w:color w:val="231F20"/>
          <w:spacing w:val="-6"/>
        </w:rPr>
        <w:t> </w:t>
      </w:r>
      <w:r>
        <w:rPr>
          <w:color w:val="231F20"/>
        </w:rPr>
        <w:t>useful</w:t>
      </w:r>
      <w:r>
        <w:rPr>
          <w:color w:val="231F20"/>
          <w:spacing w:val="-6"/>
        </w:rPr>
        <w:t> </w:t>
      </w:r>
      <w:r>
        <w:rPr>
          <w:color w:val="231F20"/>
          <w:spacing w:val="-1"/>
        </w:rPr>
        <w:t>in</w:t>
      </w:r>
      <w:r>
        <w:rPr>
          <w:color w:val="231F20"/>
          <w:spacing w:val="-5"/>
        </w:rPr>
        <w:t> </w:t>
      </w:r>
      <w:r>
        <w:rPr>
          <w:color w:val="231F20"/>
          <w:spacing w:val="-1"/>
        </w:rPr>
        <w:t>structuring</w:t>
      </w:r>
      <w:r>
        <w:rPr>
          <w:color w:val="231F20"/>
          <w:spacing w:val="-4"/>
        </w:rPr>
        <w:t> </w:t>
      </w:r>
      <w:r>
        <w:rPr>
          <w:color w:val="231F20"/>
        </w:rPr>
        <w:t>and</w:t>
      </w:r>
      <w:r>
        <w:rPr>
          <w:color w:val="231F20"/>
          <w:spacing w:val="-6"/>
        </w:rPr>
        <w:t> </w:t>
      </w:r>
      <w:r>
        <w:rPr>
          <w:color w:val="231F20"/>
        </w:rPr>
        <w:t>reviewing</w:t>
      </w:r>
      <w:r>
        <w:rPr>
          <w:color w:val="231F20"/>
          <w:spacing w:val="23"/>
          <w:w w:val="99"/>
        </w:rPr>
        <w:t> </w:t>
      </w:r>
      <w:r>
        <w:rPr>
          <w:color w:val="231F20"/>
          <w:spacing w:val="-1"/>
        </w:rPr>
        <w:t>Dawurr’s</w:t>
      </w:r>
      <w:r>
        <w:rPr>
          <w:color w:val="231F20"/>
          <w:spacing w:val="-5"/>
        </w:rPr>
        <w:t> </w:t>
      </w:r>
      <w:r>
        <w:rPr>
          <w:color w:val="231F20"/>
        </w:rPr>
        <w:t>boarding</w:t>
      </w:r>
      <w:r>
        <w:rPr>
          <w:color w:val="231F20"/>
          <w:spacing w:val="-6"/>
        </w:rPr>
        <w:t> </w:t>
      </w:r>
      <w:r>
        <w:rPr>
          <w:color w:val="231F20"/>
        </w:rPr>
        <w:t>facilities</w:t>
      </w:r>
      <w:r>
        <w:rPr>
          <w:color w:val="231F20"/>
          <w:spacing w:val="-6"/>
        </w:rPr>
        <w:t> </w:t>
      </w:r>
      <w:r>
        <w:rPr>
          <w:color w:val="231F20"/>
        </w:rPr>
        <w:t>and</w:t>
      </w:r>
      <w:r>
        <w:rPr>
          <w:color w:val="231F20"/>
          <w:spacing w:val="-6"/>
        </w:rPr>
        <w:t> </w:t>
      </w:r>
      <w:r>
        <w:rPr>
          <w:color w:val="231F20"/>
          <w:spacing w:val="-1"/>
        </w:rPr>
        <w:t>services.</w:t>
      </w:r>
      <w:r>
        <w:rPr/>
      </w:r>
    </w:p>
    <w:p>
      <w:pPr>
        <w:pStyle w:val="BodyText"/>
        <w:spacing w:line="250" w:lineRule="exact" w:before="113"/>
        <w:ind w:left="100" w:right="92"/>
        <w:jc w:val="left"/>
      </w:pPr>
      <w:r>
        <w:rPr>
          <w:color w:val="231F20"/>
        </w:rPr>
        <w:t>The</w:t>
      </w:r>
      <w:r>
        <w:rPr>
          <w:color w:val="231F20"/>
          <w:spacing w:val="-4"/>
        </w:rPr>
        <w:t> </w:t>
      </w:r>
      <w:r>
        <w:rPr>
          <w:color w:val="231F20"/>
          <w:spacing w:val="-1"/>
        </w:rPr>
        <w:t>Boarding</w:t>
      </w:r>
      <w:r>
        <w:rPr>
          <w:color w:val="231F20"/>
          <w:spacing w:val="-4"/>
        </w:rPr>
        <w:t> </w:t>
      </w:r>
      <w:r>
        <w:rPr>
          <w:color w:val="231F20"/>
          <w:spacing w:val="-1"/>
        </w:rPr>
        <w:t>Standard</w:t>
      </w:r>
      <w:r>
        <w:rPr>
          <w:color w:val="231F20"/>
          <w:spacing w:val="-4"/>
        </w:rPr>
        <w:t> </w:t>
      </w:r>
      <w:r>
        <w:rPr>
          <w:color w:val="231F20"/>
        </w:rPr>
        <w:t>has</w:t>
      </w:r>
      <w:r>
        <w:rPr>
          <w:color w:val="231F20"/>
          <w:spacing w:val="-5"/>
        </w:rPr>
        <w:t> </w:t>
      </w:r>
      <w:r>
        <w:rPr>
          <w:color w:val="231F20"/>
          <w:spacing w:val="-1"/>
        </w:rPr>
        <w:t>six</w:t>
      </w:r>
      <w:r>
        <w:rPr>
          <w:color w:val="231F20"/>
          <w:spacing w:val="-4"/>
        </w:rPr>
        <w:t> </w:t>
      </w:r>
      <w:r>
        <w:rPr>
          <w:color w:val="231F20"/>
          <w:spacing w:val="-1"/>
        </w:rPr>
        <w:t>sections</w:t>
      </w:r>
      <w:r>
        <w:rPr>
          <w:color w:val="231F20"/>
          <w:spacing w:val="-3"/>
        </w:rPr>
        <w:t> </w:t>
      </w:r>
      <w:r>
        <w:rPr>
          <w:color w:val="231F20"/>
        </w:rPr>
        <w:t>with</w:t>
      </w:r>
      <w:r>
        <w:rPr>
          <w:color w:val="231F20"/>
          <w:spacing w:val="25"/>
          <w:w w:val="99"/>
        </w:rPr>
        <w:t> </w:t>
      </w:r>
      <w:r>
        <w:rPr>
          <w:color w:val="231F20"/>
        </w:rPr>
        <w:t>various</w:t>
      </w:r>
      <w:r>
        <w:rPr>
          <w:color w:val="231F20"/>
          <w:spacing w:val="-10"/>
        </w:rPr>
        <w:t> </w:t>
      </w:r>
      <w:r>
        <w:rPr>
          <w:color w:val="231F20"/>
        </w:rPr>
        <w:t>requirements</w:t>
      </w:r>
      <w:r>
        <w:rPr>
          <w:color w:val="231F20"/>
          <w:spacing w:val="-11"/>
        </w:rPr>
        <w:t> </w:t>
      </w:r>
      <w:r>
        <w:rPr>
          <w:color w:val="231F20"/>
        </w:rPr>
        <w:t>that</w:t>
      </w:r>
      <w:r>
        <w:rPr>
          <w:color w:val="231F20"/>
          <w:spacing w:val="-11"/>
        </w:rPr>
        <w:t> </w:t>
      </w:r>
      <w:r>
        <w:rPr>
          <w:color w:val="231F20"/>
        </w:rPr>
        <w:t>boarding</w:t>
      </w:r>
      <w:r>
        <w:rPr>
          <w:color w:val="231F20"/>
          <w:spacing w:val="-10"/>
        </w:rPr>
        <w:t> </w:t>
      </w:r>
      <w:r>
        <w:rPr>
          <w:color w:val="231F20"/>
        </w:rPr>
        <w:t>providers</w:t>
      </w:r>
      <w:r>
        <w:rPr>
          <w:color w:val="231F20"/>
          <w:w w:val="99"/>
        </w:rPr>
        <w:t> </w:t>
      </w:r>
      <w:r>
        <w:rPr>
          <w:color w:val="231F20"/>
          <w:spacing w:val="-1"/>
        </w:rPr>
        <w:t>must</w:t>
      </w:r>
      <w:r>
        <w:rPr>
          <w:color w:val="231F20"/>
          <w:spacing w:val="-2"/>
        </w:rPr>
        <w:t> </w:t>
      </w:r>
      <w:r>
        <w:rPr>
          <w:color w:val="231F20"/>
        </w:rPr>
        <w:t>comply</w:t>
      </w:r>
      <w:r>
        <w:rPr>
          <w:color w:val="231F20"/>
          <w:spacing w:val="-3"/>
        </w:rPr>
        <w:t> </w:t>
      </w:r>
      <w:r>
        <w:rPr>
          <w:color w:val="231F20"/>
        </w:rPr>
        <w:t>with</w:t>
      </w:r>
      <w:r>
        <w:rPr>
          <w:color w:val="231F20"/>
          <w:spacing w:val="-3"/>
        </w:rPr>
        <w:t> </w:t>
      </w:r>
      <w:r>
        <w:rPr>
          <w:color w:val="231F20"/>
          <w:spacing w:val="-1"/>
        </w:rPr>
        <w:t>in</w:t>
      </w:r>
      <w:r>
        <w:rPr>
          <w:color w:val="231F20"/>
          <w:spacing w:val="-2"/>
        </w:rPr>
        <w:t> </w:t>
      </w:r>
      <w:r>
        <w:rPr>
          <w:color w:val="231F20"/>
        </w:rPr>
        <w:t>order</w:t>
      </w:r>
      <w:r>
        <w:rPr>
          <w:color w:val="231F20"/>
          <w:spacing w:val="-2"/>
        </w:rPr>
        <w:t> </w:t>
      </w:r>
      <w:r>
        <w:rPr>
          <w:color w:val="231F20"/>
        </w:rPr>
        <w:t>to</w:t>
      </w:r>
      <w:r>
        <w:rPr>
          <w:color w:val="231F20"/>
          <w:spacing w:val="-2"/>
        </w:rPr>
        <w:t> </w:t>
      </w:r>
      <w:r>
        <w:rPr>
          <w:color w:val="231F20"/>
          <w:spacing w:val="-1"/>
        </w:rPr>
        <w:t>meet</w:t>
      </w:r>
      <w:r>
        <w:rPr>
          <w:color w:val="231F20"/>
          <w:spacing w:val="-2"/>
        </w:rPr>
        <w:t> </w:t>
      </w:r>
      <w:r>
        <w:rPr>
          <w:color w:val="231F20"/>
        </w:rPr>
        <w:t>the</w:t>
      </w:r>
      <w:r>
        <w:rPr>
          <w:color w:val="231F20"/>
          <w:spacing w:val="24"/>
          <w:w w:val="99"/>
        </w:rPr>
        <w:t> </w:t>
      </w:r>
      <w:r>
        <w:rPr>
          <w:color w:val="231F20"/>
        </w:rPr>
        <w:t>requirements</w:t>
      </w:r>
      <w:r>
        <w:rPr>
          <w:color w:val="231F20"/>
          <w:spacing w:val="-11"/>
        </w:rPr>
        <w:t> </w:t>
      </w:r>
      <w:r>
        <w:rPr>
          <w:color w:val="231F20"/>
        </w:rPr>
        <w:t>of</w:t>
      </w:r>
      <w:r>
        <w:rPr>
          <w:color w:val="231F20"/>
          <w:spacing w:val="-8"/>
        </w:rPr>
        <w:t> </w:t>
      </w:r>
      <w:r>
        <w:rPr>
          <w:color w:val="231F20"/>
        </w:rPr>
        <w:t>the</w:t>
      </w:r>
      <w:r>
        <w:rPr>
          <w:color w:val="231F20"/>
          <w:spacing w:val="-9"/>
        </w:rPr>
        <w:t> </w:t>
      </w:r>
      <w:r>
        <w:rPr>
          <w:color w:val="231F20"/>
          <w:spacing w:val="-1"/>
        </w:rPr>
        <w:t>standard:</w:t>
      </w:r>
      <w:r>
        <w:rPr/>
      </w:r>
    </w:p>
    <w:p>
      <w:pPr>
        <w:pStyle w:val="BodyText"/>
        <w:spacing w:line="240" w:lineRule="auto" w:before="97"/>
        <w:ind w:left="100" w:right="0"/>
        <w:jc w:val="left"/>
      </w:pPr>
      <w:r>
        <w:rPr>
          <w:rFonts w:ascii="Century Gothic" w:hAnsi="Century Gothic"/>
          <w:color w:val="231F20"/>
        </w:rPr>
        <w:t>» </w:t>
      </w:r>
      <w:r>
        <w:rPr>
          <w:rFonts w:ascii="Century Gothic" w:hAnsi="Century Gothic"/>
          <w:color w:val="231F20"/>
          <w:spacing w:val="24"/>
        </w:rPr>
        <w:t> </w:t>
      </w:r>
      <w:r>
        <w:rPr>
          <w:color w:val="231F20"/>
          <w:spacing w:val="-1"/>
        </w:rPr>
        <w:t>scope</w:t>
      </w:r>
      <w:r>
        <w:rPr>
          <w:color w:val="231F20"/>
          <w:spacing w:val="-2"/>
        </w:rPr>
        <w:t> </w:t>
      </w:r>
      <w:r>
        <w:rPr>
          <w:color w:val="231F20"/>
        </w:rPr>
        <w:t>and</w:t>
      </w:r>
      <w:r>
        <w:rPr>
          <w:color w:val="231F20"/>
          <w:spacing w:val="-4"/>
        </w:rPr>
        <w:t> </w:t>
      </w:r>
      <w:r>
        <w:rPr>
          <w:color w:val="231F20"/>
        </w:rPr>
        <w:t>general</w:t>
      </w:r>
      <w:r>
        <w:rPr/>
      </w:r>
    </w:p>
    <w:p>
      <w:pPr>
        <w:pStyle w:val="BodyText"/>
        <w:spacing w:line="240" w:lineRule="auto" w:before="97"/>
        <w:ind w:left="100" w:right="0"/>
        <w:jc w:val="left"/>
      </w:pPr>
      <w:r>
        <w:rPr>
          <w:rFonts w:ascii="Century Gothic" w:hAnsi="Century Gothic"/>
          <w:color w:val="231F20"/>
        </w:rPr>
        <w:t>» </w:t>
      </w:r>
      <w:r>
        <w:rPr>
          <w:rFonts w:ascii="Century Gothic" w:hAnsi="Century Gothic"/>
          <w:color w:val="231F20"/>
          <w:spacing w:val="16"/>
        </w:rPr>
        <w:t> </w:t>
      </w:r>
      <w:r>
        <w:rPr>
          <w:color w:val="231F20"/>
        </w:rPr>
        <w:t>governance</w:t>
      </w:r>
      <w:r>
        <w:rPr>
          <w:color w:val="231F20"/>
          <w:spacing w:val="-7"/>
        </w:rPr>
        <w:t> </w:t>
      </w:r>
      <w:r>
        <w:rPr>
          <w:color w:val="231F20"/>
        </w:rPr>
        <w:t>and</w:t>
      </w:r>
      <w:r>
        <w:rPr>
          <w:color w:val="231F20"/>
          <w:spacing w:val="-7"/>
        </w:rPr>
        <w:t> </w:t>
      </w:r>
      <w:r>
        <w:rPr>
          <w:color w:val="231F20"/>
          <w:spacing w:val="-1"/>
        </w:rPr>
        <w:t>management</w:t>
      </w:r>
      <w:r>
        <w:rPr/>
      </w:r>
    </w:p>
    <w:p>
      <w:pPr>
        <w:pStyle w:val="BodyText"/>
        <w:spacing w:line="240" w:lineRule="auto" w:before="97"/>
        <w:ind w:left="100" w:right="0"/>
        <w:jc w:val="left"/>
      </w:pPr>
      <w:r>
        <w:rPr>
          <w:rFonts w:ascii="Century Gothic" w:hAnsi="Century Gothic"/>
          <w:color w:val="231F20"/>
        </w:rPr>
        <w:t>» </w:t>
      </w:r>
      <w:r>
        <w:rPr>
          <w:rFonts w:ascii="Century Gothic" w:hAnsi="Century Gothic"/>
          <w:color w:val="231F20"/>
          <w:spacing w:val="21"/>
        </w:rPr>
        <w:t> </w:t>
      </w:r>
      <w:r>
        <w:rPr>
          <w:color w:val="231F20"/>
        </w:rPr>
        <w:t>boarders</w:t>
      </w:r>
      <w:r>
        <w:rPr/>
      </w:r>
    </w:p>
    <w:p>
      <w:pPr>
        <w:pStyle w:val="BodyText"/>
        <w:spacing w:line="240" w:lineRule="auto" w:before="97"/>
        <w:ind w:left="100" w:right="0"/>
        <w:jc w:val="left"/>
        <w:rPr>
          <w:rFonts w:ascii="Segoe UI" w:hAnsi="Segoe UI" w:cs="Segoe UI" w:eastAsia="Segoe UI"/>
        </w:rPr>
      </w:pPr>
      <w:r>
        <w:rPr>
          <w:rFonts w:ascii="Century Gothic" w:hAnsi="Century Gothic"/>
          <w:color w:val="231F20"/>
        </w:rPr>
        <w:t>» </w:t>
      </w:r>
      <w:r>
        <w:rPr>
          <w:rFonts w:ascii="Century Gothic" w:hAnsi="Century Gothic"/>
          <w:color w:val="231F20"/>
          <w:spacing w:val="25"/>
        </w:rPr>
        <w:t> </w:t>
      </w:r>
      <w:r>
        <w:rPr>
          <w:rFonts w:ascii="Segoe UI" w:hAnsi="Segoe UI"/>
          <w:color w:val="231F20"/>
        </w:rPr>
        <w:t>staff</w:t>
      </w:r>
      <w:r>
        <w:rPr>
          <w:rFonts w:ascii="Segoe UI" w:hAnsi="Segoe UI"/>
        </w:rPr>
      </w:r>
    </w:p>
    <w:p>
      <w:pPr>
        <w:pStyle w:val="BodyText"/>
        <w:spacing w:line="240" w:lineRule="auto" w:before="97"/>
        <w:ind w:left="100" w:right="0"/>
        <w:jc w:val="left"/>
      </w:pPr>
      <w:r>
        <w:rPr>
          <w:rFonts w:ascii="Century Gothic" w:hAnsi="Century Gothic"/>
          <w:color w:val="231F20"/>
        </w:rPr>
        <w:t>» </w:t>
      </w:r>
      <w:r>
        <w:rPr>
          <w:rFonts w:ascii="Century Gothic" w:hAnsi="Century Gothic"/>
          <w:color w:val="231F20"/>
          <w:spacing w:val="22"/>
        </w:rPr>
        <w:t> </w:t>
      </w:r>
      <w:r>
        <w:rPr>
          <w:color w:val="231F20"/>
        </w:rPr>
        <w:t>parent,</w:t>
      </w:r>
      <w:r>
        <w:rPr>
          <w:color w:val="231F20"/>
          <w:spacing w:val="-4"/>
        </w:rPr>
        <w:t> </w:t>
      </w:r>
      <w:r>
        <w:rPr>
          <w:color w:val="231F20"/>
        </w:rPr>
        <w:t>family</w:t>
      </w:r>
      <w:r>
        <w:rPr>
          <w:color w:val="231F20"/>
          <w:spacing w:val="-5"/>
        </w:rPr>
        <w:t> </w:t>
      </w:r>
      <w:r>
        <w:rPr>
          <w:color w:val="231F20"/>
        </w:rPr>
        <w:t>and</w:t>
      </w:r>
      <w:r>
        <w:rPr>
          <w:color w:val="231F20"/>
          <w:spacing w:val="-4"/>
        </w:rPr>
        <w:t> </w:t>
      </w:r>
      <w:r>
        <w:rPr>
          <w:color w:val="231F20"/>
        </w:rPr>
        <w:t>community</w:t>
      </w:r>
      <w:r>
        <w:rPr>
          <w:color w:val="231F20"/>
          <w:spacing w:val="-4"/>
        </w:rPr>
        <w:t> </w:t>
      </w:r>
      <w:r>
        <w:rPr>
          <w:color w:val="231F20"/>
        </w:rPr>
        <w:t>engagement</w:t>
      </w:r>
      <w:r>
        <w:rPr/>
      </w:r>
    </w:p>
    <w:p>
      <w:pPr>
        <w:pStyle w:val="BodyText"/>
        <w:spacing w:line="240" w:lineRule="auto" w:before="97"/>
        <w:ind w:left="100" w:right="0"/>
        <w:jc w:val="left"/>
        <w:rPr>
          <w:rFonts w:ascii="Segoe UI Semibold" w:hAnsi="Segoe UI Semibold" w:cs="Segoe UI Semibold" w:eastAsia="Segoe UI Semibold"/>
          <w:sz w:val="11"/>
          <w:szCs w:val="11"/>
        </w:rPr>
      </w:pPr>
      <w:r>
        <w:rPr>
          <w:rFonts w:ascii="Century Gothic" w:hAnsi="Century Gothic"/>
          <w:color w:val="231F20"/>
        </w:rPr>
        <w:t>» </w:t>
      </w:r>
      <w:r>
        <w:rPr>
          <w:rFonts w:ascii="Century Gothic" w:hAnsi="Century Gothic"/>
          <w:color w:val="231F20"/>
          <w:spacing w:val="39"/>
        </w:rPr>
        <w:t> </w:t>
      </w:r>
      <w:r>
        <w:rPr>
          <w:color w:val="231F20"/>
          <w:spacing w:val="-1"/>
        </w:rPr>
        <w:t>facilities.</w:t>
      </w:r>
      <w:r>
        <w:rPr>
          <w:rFonts w:ascii="Segoe UI Semibold" w:hAnsi="Segoe UI Semibold"/>
          <w:b/>
          <w:color w:val="231F20"/>
          <w:spacing w:val="-1"/>
          <w:position w:val="7"/>
          <w:sz w:val="11"/>
        </w:rPr>
        <w:t>189</w:t>
      </w:r>
      <w:r>
        <w:rPr>
          <w:rFonts w:ascii="Segoe UI Semibold" w:hAnsi="Segoe UI Semibold"/>
          <w:sz w:val="11"/>
        </w:rPr>
      </w:r>
    </w:p>
    <w:p>
      <w:pPr>
        <w:pStyle w:val="BodyText"/>
        <w:spacing w:line="250" w:lineRule="exact" w:before="62"/>
        <w:ind w:left="100" w:right="466"/>
        <w:jc w:val="left"/>
      </w:pPr>
      <w:r>
        <w:rPr/>
        <w:br w:type="column"/>
      </w:r>
      <w:r>
        <w:rPr>
          <w:color w:val="231F20"/>
        </w:rPr>
        <w:t>The</w:t>
      </w:r>
      <w:r>
        <w:rPr>
          <w:color w:val="231F20"/>
          <w:spacing w:val="-4"/>
        </w:rPr>
        <w:t> </w:t>
      </w:r>
      <w:r>
        <w:rPr>
          <w:color w:val="231F20"/>
          <w:spacing w:val="-1"/>
        </w:rPr>
        <w:t>KPMG</w:t>
      </w:r>
      <w:r>
        <w:rPr>
          <w:color w:val="231F20"/>
          <w:spacing w:val="-3"/>
        </w:rPr>
        <w:t> </w:t>
      </w:r>
      <w:r>
        <w:rPr>
          <w:color w:val="231F20"/>
        </w:rPr>
        <w:t>report</w:t>
      </w:r>
      <w:r>
        <w:rPr>
          <w:color w:val="231F20"/>
          <w:spacing w:val="-4"/>
        </w:rPr>
        <w:t> </w:t>
      </w:r>
      <w:r>
        <w:rPr>
          <w:color w:val="231F20"/>
        </w:rPr>
        <w:t>(KPMG,</w:t>
      </w:r>
      <w:r>
        <w:rPr>
          <w:color w:val="231F20"/>
          <w:spacing w:val="-4"/>
        </w:rPr>
        <w:t> </w:t>
      </w:r>
      <w:r>
        <w:rPr>
          <w:color w:val="231F20"/>
          <w:spacing w:val="-1"/>
        </w:rPr>
        <w:t>2016)</w:t>
      </w:r>
      <w:r>
        <w:rPr>
          <w:color w:val="231F20"/>
          <w:spacing w:val="-3"/>
        </w:rPr>
        <w:t> </w:t>
      </w:r>
      <w:r>
        <w:rPr>
          <w:color w:val="231F20"/>
        </w:rPr>
        <w:t>estimated</w:t>
      </w:r>
      <w:r>
        <w:rPr>
          <w:color w:val="231F20"/>
          <w:spacing w:val="23"/>
        </w:rPr>
        <w:t> </w:t>
      </w:r>
      <w:r>
        <w:rPr>
          <w:color w:val="231F20"/>
        </w:rPr>
        <w:t>that</w:t>
      </w:r>
      <w:r>
        <w:rPr>
          <w:color w:val="231F20"/>
          <w:spacing w:val="-5"/>
        </w:rPr>
        <w:t> </w:t>
      </w:r>
      <w:r>
        <w:rPr>
          <w:color w:val="231F20"/>
        </w:rPr>
        <w:t>the</w:t>
      </w:r>
      <w:r>
        <w:rPr>
          <w:color w:val="231F20"/>
          <w:spacing w:val="-4"/>
        </w:rPr>
        <w:t> </w:t>
      </w:r>
      <w:r>
        <w:rPr>
          <w:color w:val="231F20"/>
        </w:rPr>
        <w:t>average</w:t>
      </w:r>
      <w:r>
        <w:rPr>
          <w:color w:val="231F20"/>
          <w:spacing w:val="-4"/>
        </w:rPr>
        <w:t> </w:t>
      </w:r>
      <w:r>
        <w:rPr>
          <w:color w:val="231F20"/>
        </w:rPr>
        <w:t>cost</w:t>
      </w:r>
      <w:r>
        <w:rPr>
          <w:color w:val="231F20"/>
          <w:spacing w:val="-4"/>
        </w:rPr>
        <w:t> </w:t>
      </w:r>
      <w:r>
        <w:rPr>
          <w:color w:val="231F20"/>
          <w:spacing w:val="-1"/>
        </w:rPr>
        <w:t>in</w:t>
      </w:r>
      <w:r>
        <w:rPr>
          <w:color w:val="231F20"/>
          <w:spacing w:val="-3"/>
        </w:rPr>
        <w:t> </w:t>
      </w:r>
      <w:r>
        <w:rPr>
          <w:color w:val="231F20"/>
          <w:spacing w:val="-1"/>
        </w:rPr>
        <w:t>2016</w:t>
      </w:r>
      <w:r>
        <w:rPr>
          <w:color w:val="231F20"/>
          <w:spacing w:val="-3"/>
        </w:rPr>
        <w:t> </w:t>
      </w:r>
      <w:r>
        <w:rPr>
          <w:color w:val="231F20"/>
        </w:rPr>
        <w:t>for</w:t>
      </w:r>
      <w:r>
        <w:rPr>
          <w:color w:val="231F20"/>
          <w:spacing w:val="-3"/>
        </w:rPr>
        <w:t> </w:t>
      </w:r>
      <w:r>
        <w:rPr>
          <w:color w:val="231F20"/>
        </w:rPr>
        <w:t>a</w:t>
      </w:r>
      <w:r>
        <w:rPr>
          <w:color w:val="231F20"/>
          <w:spacing w:val="-3"/>
        </w:rPr>
        <w:t> </w:t>
      </w:r>
      <w:r>
        <w:rPr>
          <w:color w:val="231F20"/>
        </w:rPr>
        <w:t>boarding</w:t>
      </w:r>
      <w:r>
        <w:rPr>
          <w:color w:val="231F20"/>
          <w:spacing w:val="22"/>
          <w:w w:val="99"/>
        </w:rPr>
        <w:t> </w:t>
      </w:r>
      <w:r>
        <w:rPr>
          <w:color w:val="231F20"/>
        </w:rPr>
        <w:t>provider</w:t>
      </w:r>
      <w:r>
        <w:rPr>
          <w:color w:val="231F20"/>
          <w:spacing w:val="-6"/>
        </w:rPr>
        <w:t> </w:t>
      </w:r>
      <w:r>
        <w:rPr>
          <w:color w:val="231F20"/>
        </w:rPr>
        <w:t>to</w:t>
      </w:r>
      <w:r>
        <w:rPr>
          <w:color w:val="231F20"/>
          <w:spacing w:val="-6"/>
        </w:rPr>
        <w:t> </w:t>
      </w:r>
      <w:r>
        <w:rPr>
          <w:color w:val="231F20"/>
        </w:rPr>
        <w:t>deliver</w:t>
      </w:r>
      <w:r>
        <w:rPr>
          <w:color w:val="231F20"/>
          <w:spacing w:val="-6"/>
        </w:rPr>
        <w:t> </w:t>
      </w:r>
      <w:r>
        <w:rPr>
          <w:color w:val="231F20"/>
        </w:rPr>
        <w:t>a</w:t>
      </w:r>
      <w:r>
        <w:rPr>
          <w:color w:val="231F20"/>
          <w:spacing w:val="-5"/>
        </w:rPr>
        <w:t> </w:t>
      </w:r>
      <w:r>
        <w:rPr>
          <w:color w:val="231F20"/>
        </w:rPr>
        <w:t>boarding</w:t>
      </w:r>
      <w:r>
        <w:rPr>
          <w:color w:val="231F20"/>
          <w:spacing w:val="-6"/>
        </w:rPr>
        <w:t> </w:t>
      </w:r>
      <w:r>
        <w:rPr>
          <w:color w:val="231F20"/>
          <w:spacing w:val="-1"/>
        </w:rPr>
        <w:t>service</w:t>
      </w:r>
      <w:r>
        <w:rPr>
          <w:color w:val="231F20"/>
          <w:spacing w:val="-5"/>
        </w:rPr>
        <w:t> </w:t>
      </w:r>
      <w:r>
        <w:rPr>
          <w:color w:val="231F20"/>
          <w:spacing w:val="-1"/>
        </w:rPr>
        <w:t>in</w:t>
      </w:r>
      <w:r>
        <w:rPr>
          <w:color w:val="231F20"/>
          <w:spacing w:val="21"/>
        </w:rPr>
        <w:t> </w:t>
      </w:r>
      <w:r>
        <w:rPr>
          <w:color w:val="231F20"/>
        </w:rPr>
        <w:t>compliance</w:t>
      </w:r>
      <w:r>
        <w:rPr>
          <w:color w:val="231F20"/>
          <w:spacing w:val="-6"/>
        </w:rPr>
        <w:t> </w:t>
      </w:r>
      <w:r>
        <w:rPr>
          <w:color w:val="231F20"/>
        </w:rPr>
        <w:t>with</w:t>
      </w:r>
      <w:r>
        <w:rPr>
          <w:color w:val="231F20"/>
          <w:spacing w:val="-6"/>
        </w:rPr>
        <w:t> </w:t>
      </w:r>
      <w:r>
        <w:rPr>
          <w:color w:val="231F20"/>
        </w:rPr>
        <w:t>the</w:t>
      </w:r>
      <w:r>
        <w:rPr>
          <w:color w:val="231F20"/>
          <w:spacing w:val="-6"/>
        </w:rPr>
        <w:t> </w:t>
      </w:r>
      <w:r>
        <w:rPr>
          <w:color w:val="231F20"/>
          <w:spacing w:val="-1"/>
        </w:rPr>
        <w:t>Boarding</w:t>
      </w:r>
      <w:r>
        <w:rPr>
          <w:color w:val="231F20"/>
          <w:spacing w:val="-5"/>
        </w:rPr>
        <w:t> </w:t>
      </w:r>
      <w:r>
        <w:rPr>
          <w:color w:val="231F20"/>
          <w:spacing w:val="-1"/>
        </w:rPr>
        <w:t>Standard</w:t>
      </w:r>
      <w:r>
        <w:rPr>
          <w:color w:val="231F20"/>
          <w:spacing w:val="-6"/>
        </w:rPr>
        <w:t> </w:t>
      </w:r>
      <w:r>
        <w:rPr>
          <w:color w:val="231F20"/>
        </w:rPr>
        <w:t>was</w:t>
      </w:r>
      <w:r>
        <w:rPr/>
      </w:r>
    </w:p>
    <w:p>
      <w:pPr>
        <w:pStyle w:val="BodyText"/>
        <w:spacing w:line="250" w:lineRule="exact"/>
        <w:ind w:left="100" w:right="379"/>
        <w:jc w:val="left"/>
      </w:pPr>
      <w:r>
        <w:rPr>
          <w:color w:val="231F20"/>
          <w:spacing w:val="-1"/>
        </w:rPr>
        <w:t>$1,209</w:t>
      </w:r>
      <w:r>
        <w:rPr>
          <w:color w:val="231F20"/>
          <w:spacing w:val="-4"/>
        </w:rPr>
        <w:t> </w:t>
      </w:r>
      <w:r>
        <w:rPr>
          <w:color w:val="231F20"/>
        </w:rPr>
        <w:t>per</w:t>
      </w:r>
      <w:r>
        <w:rPr>
          <w:color w:val="231F20"/>
          <w:spacing w:val="-3"/>
        </w:rPr>
        <w:t> </w:t>
      </w:r>
      <w:r>
        <w:rPr>
          <w:color w:val="231F20"/>
        </w:rPr>
        <w:t>boarder,</w:t>
      </w:r>
      <w:r>
        <w:rPr>
          <w:color w:val="231F20"/>
          <w:spacing w:val="-3"/>
        </w:rPr>
        <w:t> </w:t>
      </w:r>
      <w:r>
        <w:rPr>
          <w:color w:val="231F20"/>
        </w:rPr>
        <w:t>and</w:t>
      </w:r>
      <w:r>
        <w:rPr>
          <w:color w:val="231F20"/>
          <w:spacing w:val="-4"/>
        </w:rPr>
        <w:t> </w:t>
      </w:r>
      <w:r>
        <w:rPr>
          <w:color w:val="231F20"/>
          <w:spacing w:val="-1"/>
        </w:rPr>
        <w:t>$2,709</w:t>
      </w:r>
      <w:r>
        <w:rPr>
          <w:color w:val="231F20"/>
          <w:spacing w:val="-4"/>
        </w:rPr>
        <w:t> </w:t>
      </w:r>
      <w:r>
        <w:rPr>
          <w:color w:val="231F20"/>
          <w:spacing w:val="-1"/>
        </w:rPr>
        <w:t>in</w:t>
      </w:r>
      <w:r>
        <w:rPr>
          <w:color w:val="231F20"/>
          <w:spacing w:val="-3"/>
        </w:rPr>
        <w:t> </w:t>
      </w:r>
      <w:r>
        <w:rPr>
          <w:color w:val="231F20"/>
        </w:rPr>
        <w:t>a</w:t>
      </w:r>
      <w:r>
        <w:rPr>
          <w:color w:val="231F20"/>
          <w:spacing w:val="-3"/>
        </w:rPr>
        <w:t> </w:t>
      </w:r>
      <w:r>
        <w:rPr>
          <w:color w:val="231F20"/>
        </w:rPr>
        <w:t>Northern</w:t>
      </w:r>
      <w:r>
        <w:rPr>
          <w:color w:val="231F20"/>
          <w:spacing w:val="24"/>
          <w:w w:val="99"/>
        </w:rPr>
        <w:t> </w:t>
      </w:r>
      <w:r>
        <w:rPr>
          <w:color w:val="231F20"/>
          <w:spacing w:val="-3"/>
        </w:rPr>
        <w:t>Territory </w:t>
      </w:r>
      <w:r>
        <w:rPr>
          <w:color w:val="231F20"/>
          <w:spacing w:val="-1"/>
        </w:rPr>
        <w:t>context</w:t>
      </w:r>
      <w:r>
        <w:rPr>
          <w:rFonts w:ascii="Segoe UI Semibold"/>
          <w:b/>
          <w:color w:val="231F20"/>
          <w:spacing w:val="-1"/>
          <w:position w:val="7"/>
          <w:sz w:val="11"/>
        </w:rPr>
        <w:t>190</w:t>
      </w:r>
      <w:r>
        <w:rPr>
          <w:color w:val="231F20"/>
          <w:spacing w:val="-1"/>
        </w:rPr>
        <w:t>.</w:t>
      </w:r>
      <w:r>
        <w:rPr>
          <w:color w:val="231F20"/>
          <w:spacing w:val="-2"/>
        </w:rPr>
        <w:t> </w:t>
      </w:r>
      <w:r>
        <w:rPr>
          <w:color w:val="231F20"/>
        </w:rPr>
        <w:t>The</w:t>
      </w:r>
      <w:r>
        <w:rPr>
          <w:color w:val="231F20"/>
          <w:spacing w:val="-2"/>
        </w:rPr>
        <w:t> </w:t>
      </w:r>
      <w:r>
        <w:rPr>
          <w:color w:val="231F20"/>
        </w:rPr>
        <w:t>estimated</w:t>
      </w:r>
      <w:r>
        <w:rPr>
          <w:color w:val="231F20"/>
          <w:spacing w:val="-3"/>
        </w:rPr>
        <w:t> </w:t>
      </w:r>
      <w:r>
        <w:rPr>
          <w:color w:val="231F20"/>
        </w:rPr>
        <w:t>cost</w:t>
      </w:r>
      <w:r>
        <w:rPr>
          <w:color w:val="231F20"/>
          <w:spacing w:val="-3"/>
        </w:rPr>
        <w:t> </w:t>
      </w:r>
      <w:r>
        <w:rPr>
          <w:color w:val="231F20"/>
        </w:rPr>
        <w:t>was</w:t>
      </w:r>
      <w:r>
        <w:rPr>
          <w:color w:val="231F20"/>
          <w:spacing w:val="31"/>
          <w:w w:val="99"/>
        </w:rPr>
        <w:t> </w:t>
      </w:r>
      <w:r>
        <w:rPr>
          <w:color w:val="231F20"/>
        </w:rPr>
        <w:t>higher</w:t>
      </w:r>
      <w:r>
        <w:rPr>
          <w:color w:val="231F20"/>
          <w:spacing w:val="-6"/>
        </w:rPr>
        <w:t> </w:t>
      </w:r>
      <w:r>
        <w:rPr>
          <w:color w:val="231F20"/>
        </w:rPr>
        <w:t>for</w:t>
      </w:r>
      <w:r>
        <w:rPr>
          <w:color w:val="231F20"/>
          <w:spacing w:val="-5"/>
        </w:rPr>
        <w:t> </w:t>
      </w:r>
      <w:r>
        <w:rPr>
          <w:color w:val="231F20"/>
          <w:spacing w:val="-1"/>
        </w:rPr>
        <w:t>smaller</w:t>
      </w:r>
      <w:r>
        <w:rPr>
          <w:color w:val="231F20"/>
          <w:spacing w:val="-5"/>
        </w:rPr>
        <w:t> </w:t>
      </w:r>
      <w:r>
        <w:rPr>
          <w:color w:val="231F20"/>
        </w:rPr>
        <w:t>boarding</w:t>
      </w:r>
      <w:r>
        <w:rPr>
          <w:color w:val="231F20"/>
          <w:spacing w:val="-6"/>
        </w:rPr>
        <w:t> </w:t>
      </w:r>
      <w:r>
        <w:rPr>
          <w:color w:val="231F20"/>
        </w:rPr>
        <w:t>providers.</w:t>
      </w:r>
      <w:r>
        <w:rPr>
          <w:color w:val="231F20"/>
          <w:spacing w:val="-6"/>
        </w:rPr>
        <w:t> </w:t>
      </w:r>
      <w:r>
        <w:rPr>
          <w:color w:val="231F20"/>
        </w:rPr>
        <w:t>This</w:t>
      </w:r>
      <w:r>
        <w:rPr>
          <w:color w:val="231F20"/>
          <w:spacing w:val="22"/>
        </w:rPr>
        <w:t> </w:t>
      </w:r>
      <w:r>
        <w:rPr>
          <w:color w:val="231F20"/>
        </w:rPr>
        <w:t>average</w:t>
      </w:r>
      <w:r>
        <w:rPr>
          <w:color w:val="231F20"/>
          <w:spacing w:val="-6"/>
        </w:rPr>
        <w:t> </w:t>
      </w:r>
      <w:r>
        <w:rPr>
          <w:color w:val="231F20"/>
        </w:rPr>
        <w:t>cost</w:t>
      </w:r>
      <w:r>
        <w:rPr>
          <w:color w:val="231F20"/>
          <w:spacing w:val="-5"/>
        </w:rPr>
        <w:t> </w:t>
      </w:r>
      <w:r>
        <w:rPr>
          <w:color w:val="231F20"/>
        </w:rPr>
        <w:t>per</w:t>
      </w:r>
      <w:r>
        <w:rPr>
          <w:color w:val="231F20"/>
          <w:spacing w:val="-4"/>
        </w:rPr>
        <w:t> </w:t>
      </w:r>
      <w:r>
        <w:rPr>
          <w:color w:val="231F20"/>
        </w:rPr>
        <w:t>boarder</w:t>
      </w:r>
      <w:r>
        <w:rPr>
          <w:color w:val="231F20"/>
          <w:spacing w:val="-4"/>
        </w:rPr>
        <w:t> </w:t>
      </w:r>
      <w:r>
        <w:rPr>
          <w:color w:val="231F20"/>
        </w:rPr>
        <w:t>was</w:t>
      </w:r>
      <w:r>
        <w:rPr>
          <w:color w:val="231F20"/>
          <w:spacing w:val="-5"/>
        </w:rPr>
        <w:t> </w:t>
      </w:r>
      <w:r>
        <w:rPr>
          <w:color w:val="231F20"/>
          <w:spacing w:val="-1"/>
        </w:rPr>
        <w:t>in</w:t>
      </w:r>
      <w:r>
        <w:rPr>
          <w:color w:val="231F20"/>
          <w:spacing w:val="-5"/>
        </w:rPr>
        <w:t> </w:t>
      </w:r>
      <w:r>
        <w:rPr>
          <w:color w:val="231F20"/>
        </w:rPr>
        <w:t>addition</w:t>
      </w:r>
      <w:r>
        <w:rPr>
          <w:color w:val="231F20"/>
          <w:spacing w:val="-5"/>
        </w:rPr>
        <w:t> </w:t>
      </w:r>
      <w:r>
        <w:rPr>
          <w:color w:val="231F20"/>
        </w:rPr>
        <w:t>to</w:t>
      </w:r>
      <w:r>
        <w:rPr>
          <w:color w:val="231F20"/>
          <w:spacing w:val="21"/>
          <w:w w:val="99"/>
        </w:rPr>
        <w:t> </w:t>
      </w:r>
      <w:r>
        <w:rPr>
          <w:rFonts w:ascii="Segoe UI"/>
          <w:color w:val="231F20"/>
        </w:rPr>
        <w:t>the revenue shortfall identified by KPMG in</w:t>
      </w:r>
      <w:r>
        <w:rPr>
          <w:rFonts w:ascii="Segoe UI"/>
          <w:color w:val="231F20"/>
        </w:rPr>
        <w:t> </w:t>
      </w:r>
      <w:r>
        <w:rPr>
          <w:color w:val="231F20"/>
        </w:rPr>
        <w:t>delivering</w:t>
      </w:r>
      <w:r>
        <w:rPr>
          <w:color w:val="231F20"/>
          <w:spacing w:val="-6"/>
        </w:rPr>
        <w:t> </w:t>
      </w:r>
      <w:r>
        <w:rPr>
          <w:color w:val="231F20"/>
        </w:rPr>
        <w:t>the</w:t>
      </w:r>
      <w:r>
        <w:rPr>
          <w:color w:val="231F20"/>
          <w:spacing w:val="-6"/>
        </w:rPr>
        <w:t> </w:t>
      </w:r>
      <w:r>
        <w:rPr>
          <w:color w:val="231F20"/>
        </w:rPr>
        <w:t>existing</w:t>
      </w:r>
      <w:r>
        <w:rPr>
          <w:color w:val="231F20"/>
          <w:spacing w:val="-6"/>
        </w:rPr>
        <w:t> </w:t>
      </w:r>
      <w:r>
        <w:rPr>
          <w:color w:val="231F20"/>
        </w:rPr>
        <w:t>boarding</w:t>
      </w:r>
      <w:r>
        <w:rPr>
          <w:color w:val="231F20"/>
          <w:spacing w:val="-6"/>
        </w:rPr>
        <w:t> </w:t>
      </w:r>
      <w:r>
        <w:rPr>
          <w:color w:val="231F20"/>
          <w:spacing w:val="-1"/>
        </w:rPr>
        <w:t>service</w:t>
      </w:r>
      <w:r>
        <w:rPr>
          <w:color w:val="231F20"/>
          <w:spacing w:val="-6"/>
        </w:rPr>
        <w:t> </w:t>
      </w:r>
      <w:r>
        <w:rPr>
          <w:color w:val="231F20"/>
        </w:rPr>
        <w:t>at</w:t>
      </w:r>
      <w:r>
        <w:rPr>
          <w:color w:val="231F20"/>
          <w:spacing w:val="-5"/>
        </w:rPr>
        <w:t> </w:t>
      </w:r>
      <w:r>
        <w:rPr>
          <w:color w:val="231F20"/>
          <w:spacing w:val="-5"/>
        </w:rPr>
      </w:r>
      <w:r>
        <w:rPr>
          <w:color w:val="231F20"/>
        </w:rPr>
        <w:t>the</w:t>
      </w:r>
      <w:r>
        <w:rPr>
          <w:color w:val="231F20"/>
          <w:spacing w:val="21"/>
        </w:rPr>
        <w:t> </w:t>
      </w:r>
      <w:r>
        <w:rPr>
          <w:color w:val="231F20"/>
        </w:rPr>
        <w:t>Northern</w:t>
      </w:r>
      <w:r>
        <w:rPr>
          <w:color w:val="231F20"/>
          <w:spacing w:val="-11"/>
        </w:rPr>
        <w:t> </w:t>
      </w:r>
      <w:r>
        <w:rPr>
          <w:color w:val="231F20"/>
          <w:spacing w:val="-3"/>
        </w:rPr>
        <w:t>Territory</w:t>
      </w:r>
      <w:r>
        <w:rPr>
          <w:color w:val="231F20"/>
          <w:spacing w:val="-11"/>
        </w:rPr>
        <w:t> </w:t>
      </w:r>
      <w:r>
        <w:rPr>
          <w:color w:val="231F20"/>
        </w:rPr>
        <w:t>Aboriginal</w:t>
      </w:r>
      <w:r>
        <w:rPr>
          <w:color w:val="231F20"/>
          <w:spacing w:val="-11"/>
        </w:rPr>
        <w:t> </w:t>
      </w:r>
      <w:r>
        <w:rPr>
          <w:color w:val="231F20"/>
        </w:rPr>
        <w:t>boarding</w:t>
      </w:r>
      <w:r>
        <w:rPr>
          <w:color w:val="231F20"/>
          <w:spacing w:val="27"/>
          <w:w w:val="99"/>
        </w:rPr>
        <w:t> </w:t>
      </w:r>
      <w:r>
        <w:rPr>
          <w:color w:val="231F20"/>
        </w:rPr>
        <w:t>providers</w:t>
      </w:r>
      <w:r>
        <w:rPr>
          <w:color w:val="231F20"/>
          <w:spacing w:val="-9"/>
        </w:rPr>
        <w:t> </w:t>
      </w:r>
      <w:r>
        <w:rPr>
          <w:color w:val="231F20"/>
        </w:rPr>
        <w:t>reviewed</w:t>
      </w:r>
      <w:r>
        <w:rPr>
          <w:color w:val="231F20"/>
          <w:spacing w:val="-10"/>
        </w:rPr>
        <w:t> </w:t>
      </w:r>
      <w:r>
        <w:rPr>
          <w:color w:val="231F20"/>
        </w:rPr>
        <w:t>by</w:t>
      </w:r>
      <w:r>
        <w:rPr>
          <w:color w:val="231F20"/>
          <w:spacing w:val="-8"/>
        </w:rPr>
        <w:t> </w:t>
      </w:r>
      <w:r>
        <w:rPr>
          <w:color w:val="231F20"/>
        </w:rPr>
        <w:t>KPMG.</w:t>
      </w:r>
      <w:r>
        <w:rPr/>
      </w:r>
    </w:p>
    <w:p>
      <w:pPr>
        <w:pStyle w:val="BodyText"/>
        <w:spacing w:line="250" w:lineRule="exact" w:before="113"/>
        <w:ind w:left="100" w:right="243"/>
        <w:jc w:val="left"/>
      </w:pPr>
      <w:r>
        <w:rPr>
          <w:color w:val="231F20"/>
        </w:rPr>
        <w:t>As</w:t>
      </w:r>
      <w:r>
        <w:rPr>
          <w:color w:val="231F20"/>
          <w:spacing w:val="-4"/>
        </w:rPr>
        <w:t> </w:t>
      </w:r>
      <w:r>
        <w:rPr>
          <w:color w:val="231F20"/>
        </w:rPr>
        <w:t>a</w:t>
      </w:r>
      <w:r>
        <w:rPr>
          <w:color w:val="231F20"/>
          <w:spacing w:val="-3"/>
        </w:rPr>
        <w:t> </w:t>
      </w:r>
      <w:r>
        <w:rPr>
          <w:color w:val="231F20"/>
          <w:spacing w:val="-1"/>
        </w:rPr>
        <w:t>means</w:t>
      </w:r>
      <w:r>
        <w:rPr>
          <w:color w:val="231F20"/>
          <w:spacing w:val="-2"/>
        </w:rPr>
        <w:t> </w:t>
      </w:r>
      <w:r>
        <w:rPr>
          <w:color w:val="231F20"/>
        </w:rPr>
        <w:t>of</w:t>
      </w:r>
      <w:r>
        <w:rPr>
          <w:color w:val="231F20"/>
          <w:spacing w:val="-3"/>
        </w:rPr>
        <w:t> </w:t>
      </w:r>
      <w:r>
        <w:rPr>
          <w:color w:val="231F20"/>
        </w:rPr>
        <w:t>establishing</w:t>
      </w:r>
      <w:r>
        <w:rPr>
          <w:color w:val="231F20"/>
          <w:spacing w:val="-3"/>
        </w:rPr>
        <w:t> </w:t>
      </w:r>
      <w:r>
        <w:rPr>
          <w:color w:val="231F20"/>
        </w:rPr>
        <w:t>the</w:t>
      </w:r>
      <w:r>
        <w:rPr>
          <w:color w:val="231F20"/>
          <w:spacing w:val="-4"/>
        </w:rPr>
        <w:t> </w:t>
      </w:r>
      <w:r>
        <w:rPr>
          <w:color w:val="231F20"/>
        </w:rPr>
        <w:t>context,</w:t>
      </w:r>
      <w:r>
        <w:rPr>
          <w:color w:val="231F20"/>
          <w:spacing w:val="-4"/>
        </w:rPr>
        <w:t> </w:t>
      </w:r>
      <w:r>
        <w:rPr>
          <w:color w:val="231F20"/>
        </w:rPr>
        <w:t>extent</w:t>
      </w:r>
      <w:r>
        <w:rPr>
          <w:color w:val="231F20"/>
          <w:spacing w:val="21"/>
          <w:w w:val="99"/>
        </w:rPr>
        <w:t> </w:t>
      </w:r>
      <w:r>
        <w:rPr>
          <w:color w:val="231F20"/>
        </w:rPr>
        <w:t>and</w:t>
      </w:r>
      <w:r>
        <w:rPr>
          <w:color w:val="231F20"/>
          <w:spacing w:val="-7"/>
        </w:rPr>
        <w:t> </w:t>
      </w:r>
      <w:r>
        <w:rPr>
          <w:color w:val="231F20"/>
        </w:rPr>
        <w:t>type</w:t>
      </w:r>
      <w:r>
        <w:rPr>
          <w:color w:val="231F20"/>
          <w:spacing w:val="-7"/>
        </w:rPr>
        <w:t> </w:t>
      </w:r>
      <w:r>
        <w:rPr>
          <w:color w:val="231F20"/>
        </w:rPr>
        <w:t>of</w:t>
      </w:r>
      <w:r>
        <w:rPr>
          <w:color w:val="231F20"/>
          <w:spacing w:val="-5"/>
        </w:rPr>
        <w:t> </w:t>
      </w:r>
      <w:r>
        <w:rPr>
          <w:color w:val="231F20"/>
        </w:rPr>
        <w:t>boarding</w:t>
      </w:r>
      <w:r>
        <w:rPr>
          <w:color w:val="231F20"/>
          <w:spacing w:val="-7"/>
        </w:rPr>
        <w:t> </w:t>
      </w:r>
      <w:r>
        <w:rPr>
          <w:color w:val="231F20"/>
          <w:spacing w:val="-1"/>
        </w:rPr>
        <w:t>support</w:t>
      </w:r>
      <w:r>
        <w:rPr>
          <w:color w:val="231F20"/>
          <w:spacing w:val="-6"/>
        </w:rPr>
        <w:t> </w:t>
      </w:r>
      <w:r>
        <w:rPr>
          <w:color w:val="231F20"/>
        </w:rPr>
        <w:t>provided</w:t>
      </w:r>
      <w:r>
        <w:rPr>
          <w:color w:val="231F20"/>
          <w:spacing w:val="-6"/>
        </w:rPr>
        <w:t> </w:t>
      </w:r>
      <w:r>
        <w:rPr>
          <w:color w:val="231F20"/>
        </w:rPr>
        <w:t>by</w:t>
      </w:r>
      <w:r>
        <w:rPr>
          <w:color w:val="231F20"/>
          <w:spacing w:val="22"/>
          <w:w w:val="99"/>
        </w:rPr>
        <w:t> </w:t>
      </w:r>
      <w:r>
        <w:rPr>
          <w:color w:val="231F20"/>
        </w:rPr>
        <w:t>boarding</w:t>
      </w:r>
      <w:r>
        <w:rPr>
          <w:color w:val="231F20"/>
          <w:spacing w:val="-11"/>
        </w:rPr>
        <w:t> </w:t>
      </w:r>
      <w:r>
        <w:rPr>
          <w:color w:val="231F20"/>
        </w:rPr>
        <w:t>providers,</w:t>
      </w:r>
      <w:r>
        <w:rPr>
          <w:color w:val="231F20"/>
          <w:spacing w:val="-11"/>
        </w:rPr>
        <w:t> </w:t>
      </w:r>
      <w:r>
        <w:rPr>
          <w:color w:val="231F20"/>
        </w:rPr>
        <w:t>Grant</w:t>
      </w:r>
      <w:r>
        <w:rPr>
          <w:color w:val="231F20"/>
          <w:spacing w:val="-10"/>
        </w:rPr>
        <w:t> </w:t>
      </w:r>
      <w:r>
        <w:rPr>
          <w:color w:val="231F20"/>
        </w:rPr>
        <w:t>Thornton</w:t>
      </w:r>
      <w:r>
        <w:rPr>
          <w:color w:val="231F20"/>
          <w:spacing w:val="-11"/>
        </w:rPr>
        <w:t> </w:t>
      </w:r>
      <w:r>
        <w:rPr>
          <w:color w:val="231F20"/>
        </w:rPr>
        <w:t>developed</w:t>
      </w:r>
      <w:r>
        <w:rPr>
          <w:color w:val="231F20"/>
          <w:w w:val="99"/>
        </w:rPr>
        <w:t> </w:t>
      </w:r>
      <w:r>
        <w:rPr>
          <w:color w:val="231F20"/>
        </w:rPr>
        <w:t>a</w:t>
      </w:r>
      <w:r>
        <w:rPr>
          <w:color w:val="231F20"/>
          <w:spacing w:val="-4"/>
        </w:rPr>
        <w:t> </w:t>
      </w:r>
      <w:r>
        <w:rPr>
          <w:color w:val="231F20"/>
          <w:spacing w:val="-1"/>
        </w:rPr>
        <w:t>structured</w:t>
      </w:r>
      <w:r>
        <w:rPr>
          <w:color w:val="231F20"/>
          <w:spacing w:val="-3"/>
        </w:rPr>
        <w:t> </w:t>
      </w:r>
      <w:r>
        <w:rPr>
          <w:color w:val="231F20"/>
          <w:spacing w:val="-1"/>
        </w:rPr>
        <w:t>survey</w:t>
      </w:r>
      <w:r>
        <w:rPr>
          <w:color w:val="231F20"/>
          <w:spacing w:val="-4"/>
        </w:rPr>
        <w:t> </w:t>
      </w:r>
      <w:r>
        <w:rPr>
          <w:color w:val="231F20"/>
        </w:rPr>
        <w:t>based</w:t>
      </w:r>
      <w:r>
        <w:rPr>
          <w:color w:val="231F20"/>
          <w:spacing w:val="-5"/>
        </w:rPr>
        <w:t> </w:t>
      </w:r>
      <w:r>
        <w:rPr>
          <w:color w:val="231F20"/>
        </w:rPr>
        <w:t>on</w:t>
      </w:r>
      <w:r>
        <w:rPr>
          <w:color w:val="231F20"/>
          <w:spacing w:val="-4"/>
        </w:rPr>
        <w:t> </w:t>
      </w:r>
      <w:r>
        <w:rPr>
          <w:color w:val="231F20"/>
        </w:rPr>
        <w:t>AS</w:t>
      </w:r>
      <w:r>
        <w:rPr>
          <w:color w:val="231F20"/>
          <w:spacing w:val="-5"/>
        </w:rPr>
        <w:t> </w:t>
      </w:r>
      <w:r>
        <w:rPr>
          <w:color w:val="231F20"/>
          <w:spacing w:val="-1"/>
        </w:rPr>
        <w:t>5725:2015</w:t>
      </w:r>
      <w:r>
        <w:rPr>
          <w:color w:val="231F20"/>
          <w:spacing w:val="22"/>
        </w:rPr>
        <w:t> </w:t>
      </w:r>
      <w:r>
        <w:rPr>
          <w:color w:val="231F20"/>
          <w:spacing w:val="-1"/>
        </w:rPr>
        <w:t>Boarding</w:t>
      </w:r>
      <w:r>
        <w:rPr>
          <w:color w:val="231F20"/>
          <w:spacing w:val="-6"/>
        </w:rPr>
        <w:t> </w:t>
      </w:r>
      <w:r>
        <w:rPr>
          <w:color w:val="231F20"/>
          <w:spacing w:val="-1"/>
        </w:rPr>
        <w:t>Standard</w:t>
      </w:r>
      <w:r>
        <w:rPr>
          <w:color w:val="231F20"/>
          <w:spacing w:val="-7"/>
        </w:rPr>
        <w:t> </w:t>
      </w:r>
      <w:r>
        <w:rPr>
          <w:color w:val="231F20"/>
        </w:rPr>
        <w:t>for</w:t>
      </w:r>
      <w:r>
        <w:rPr>
          <w:color w:val="231F20"/>
          <w:spacing w:val="-6"/>
        </w:rPr>
        <w:t> </w:t>
      </w:r>
      <w:r>
        <w:rPr>
          <w:color w:val="231F20"/>
        </w:rPr>
        <w:t>Australian</w:t>
      </w:r>
      <w:r>
        <w:rPr>
          <w:color w:val="231F20"/>
          <w:spacing w:val="-6"/>
        </w:rPr>
        <w:t> </w:t>
      </w:r>
      <w:r>
        <w:rPr>
          <w:color w:val="231F20"/>
          <w:spacing w:val="-1"/>
        </w:rPr>
        <w:t>schools</w:t>
      </w:r>
      <w:r>
        <w:rPr>
          <w:color w:val="231F20"/>
          <w:spacing w:val="-6"/>
        </w:rPr>
        <w:t> </w:t>
      </w:r>
      <w:r>
        <w:rPr>
          <w:color w:val="231F20"/>
        </w:rPr>
        <w:t>and</w:t>
      </w:r>
      <w:r>
        <w:rPr>
          <w:color w:val="231F20"/>
          <w:spacing w:val="24"/>
          <w:w w:val="99"/>
        </w:rPr>
        <w:t> </w:t>
      </w:r>
      <w:r>
        <w:rPr>
          <w:color w:val="231F20"/>
        </w:rPr>
        <w:t>residences</w:t>
      </w:r>
      <w:r>
        <w:rPr>
          <w:color w:val="231F20"/>
          <w:spacing w:val="-8"/>
        </w:rPr>
        <w:t> </w:t>
      </w:r>
      <w:r>
        <w:rPr>
          <w:color w:val="231F20"/>
        </w:rPr>
        <w:t>(the</w:t>
      </w:r>
      <w:r>
        <w:rPr>
          <w:color w:val="231F20"/>
          <w:spacing w:val="-7"/>
        </w:rPr>
        <w:t> </w:t>
      </w:r>
      <w:r>
        <w:rPr>
          <w:color w:val="231F20"/>
          <w:spacing w:val="-1"/>
        </w:rPr>
        <w:t>Boarding</w:t>
      </w:r>
      <w:r>
        <w:rPr>
          <w:color w:val="231F20"/>
          <w:spacing w:val="-5"/>
        </w:rPr>
        <w:t> </w:t>
      </w:r>
      <w:r>
        <w:rPr>
          <w:color w:val="231F20"/>
          <w:spacing w:val="-1"/>
        </w:rPr>
        <w:t>Standard).</w:t>
      </w:r>
      <w:r>
        <w:rPr>
          <w:color w:val="231F20"/>
          <w:spacing w:val="-7"/>
        </w:rPr>
        <w:t> </w:t>
      </w:r>
      <w:r>
        <w:rPr>
          <w:color w:val="231F20"/>
        </w:rPr>
        <w:t>The</w:t>
      </w:r>
      <w:r>
        <w:rPr>
          <w:color w:val="231F20"/>
          <w:spacing w:val="-6"/>
        </w:rPr>
        <w:t> </w:t>
      </w:r>
      <w:r>
        <w:rPr>
          <w:color w:val="231F20"/>
          <w:spacing w:val="-1"/>
        </w:rPr>
        <w:t>survey</w:t>
      </w:r>
      <w:r>
        <w:rPr>
          <w:color w:val="231F20"/>
          <w:spacing w:val="24"/>
          <w:w w:val="99"/>
        </w:rPr>
        <w:t> </w:t>
      </w:r>
      <w:r>
        <w:rPr>
          <w:color w:val="231F20"/>
        </w:rPr>
        <w:t>was</w:t>
      </w:r>
      <w:r>
        <w:rPr>
          <w:color w:val="231F20"/>
          <w:spacing w:val="-4"/>
        </w:rPr>
        <w:t> </w:t>
      </w:r>
      <w:r>
        <w:rPr>
          <w:color w:val="231F20"/>
        </w:rPr>
        <w:t>a</w:t>
      </w:r>
      <w:r>
        <w:rPr>
          <w:color w:val="231F20"/>
          <w:spacing w:val="-2"/>
        </w:rPr>
        <w:t> </w:t>
      </w:r>
      <w:r>
        <w:rPr>
          <w:color w:val="231F20"/>
          <w:spacing w:val="-1"/>
        </w:rPr>
        <w:t>self-assessment </w:t>
      </w:r>
      <w:r>
        <w:rPr>
          <w:color w:val="231F20"/>
        </w:rPr>
        <w:t>of</w:t>
      </w:r>
      <w:r>
        <w:rPr>
          <w:color w:val="231F20"/>
          <w:spacing w:val="-2"/>
        </w:rPr>
        <w:t> </w:t>
      </w:r>
      <w:r>
        <w:rPr>
          <w:color w:val="231F20"/>
        </w:rPr>
        <w:t>compliance</w:t>
      </w:r>
      <w:r>
        <w:rPr>
          <w:color w:val="231F20"/>
          <w:spacing w:val="-3"/>
        </w:rPr>
        <w:t> </w:t>
      </w:r>
      <w:r>
        <w:rPr>
          <w:color w:val="231F20"/>
        </w:rPr>
        <w:t>with</w:t>
      </w:r>
      <w:r>
        <w:rPr>
          <w:color w:val="231F20"/>
          <w:spacing w:val="-3"/>
        </w:rPr>
        <w:t> </w:t>
      </w:r>
      <w:r>
        <w:rPr>
          <w:color w:val="231F20"/>
        </w:rPr>
        <w:t>the</w:t>
      </w:r>
      <w:r>
        <w:rPr>
          <w:color w:val="231F20"/>
          <w:spacing w:val="22"/>
          <w:w w:val="99"/>
        </w:rPr>
        <w:t> </w:t>
      </w:r>
      <w:r>
        <w:rPr>
          <w:color w:val="231F20"/>
          <w:spacing w:val="-1"/>
        </w:rPr>
        <w:t>standard.</w:t>
      </w:r>
      <w:r>
        <w:rPr>
          <w:color w:val="231F20"/>
          <w:spacing w:val="-5"/>
        </w:rPr>
        <w:t> </w:t>
      </w:r>
      <w:r>
        <w:rPr>
          <w:color w:val="231F20"/>
        </w:rPr>
        <w:t>The</w:t>
      </w:r>
      <w:r>
        <w:rPr>
          <w:color w:val="231F20"/>
          <w:spacing w:val="-6"/>
        </w:rPr>
        <w:t> </w:t>
      </w:r>
      <w:r>
        <w:rPr>
          <w:color w:val="231F20"/>
          <w:spacing w:val="-1"/>
        </w:rPr>
        <w:t>survey</w:t>
      </w:r>
      <w:r>
        <w:rPr>
          <w:color w:val="231F20"/>
          <w:spacing w:val="-6"/>
        </w:rPr>
        <w:t> </w:t>
      </w:r>
      <w:r>
        <w:rPr>
          <w:color w:val="231F20"/>
        </w:rPr>
        <w:t>was</w:t>
      </w:r>
      <w:r>
        <w:rPr>
          <w:color w:val="231F20"/>
          <w:spacing w:val="-6"/>
        </w:rPr>
        <w:t> </w:t>
      </w:r>
      <w:r>
        <w:rPr>
          <w:color w:val="231F20"/>
        </w:rPr>
        <w:t>delivered</w:t>
      </w:r>
      <w:r>
        <w:rPr>
          <w:color w:val="231F20"/>
          <w:spacing w:val="-7"/>
        </w:rPr>
        <w:t> </w:t>
      </w:r>
      <w:r>
        <w:rPr>
          <w:color w:val="231F20"/>
        </w:rPr>
        <w:t>online</w:t>
      </w:r>
      <w:r>
        <w:rPr/>
      </w:r>
    </w:p>
    <w:p>
      <w:pPr>
        <w:pStyle w:val="BodyText"/>
        <w:spacing w:line="250" w:lineRule="exact"/>
        <w:ind w:left="100" w:right="243"/>
        <w:jc w:val="left"/>
      </w:pPr>
      <w:r>
        <w:rPr>
          <w:color w:val="231F20"/>
        </w:rPr>
        <w:t>via</w:t>
      </w:r>
      <w:r>
        <w:rPr>
          <w:color w:val="231F20"/>
          <w:spacing w:val="-5"/>
        </w:rPr>
        <w:t> </w:t>
      </w:r>
      <w:r>
        <w:rPr>
          <w:color w:val="231F20"/>
        </w:rPr>
        <w:t>the</w:t>
      </w:r>
      <w:r>
        <w:rPr>
          <w:color w:val="231F20"/>
          <w:spacing w:val="-5"/>
        </w:rPr>
        <w:t> </w:t>
      </w:r>
      <w:r>
        <w:rPr>
          <w:color w:val="231F20"/>
        </w:rPr>
        <w:t>Qualtrics</w:t>
      </w:r>
      <w:r>
        <w:rPr>
          <w:color w:val="231F20"/>
          <w:spacing w:val="-6"/>
        </w:rPr>
        <w:t> </w:t>
      </w:r>
      <w:r>
        <w:rPr>
          <w:color w:val="231F20"/>
        </w:rPr>
        <w:t>platform</w:t>
      </w:r>
      <w:r>
        <w:rPr>
          <w:color w:val="231F20"/>
          <w:spacing w:val="-5"/>
        </w:rPr>
        <w:t> </w:t>
      </w:r>
      <w:r>
        <w:rPr>
          <w:color w:val="231F20"/>
        </w:rPr>
        <w:t>and</w:t>
      </w:r>
      <w:r>
        <w:rPr>
          <w:color w:val="231F20"/>
          <w:spacing w:val="-6"/>
        </w:rPr>
        <w:t> </w:t>
      </w:r>
      <w:r>
        <w:rPr>
          <w:color w:val="231F20"/>
        </w:rPr>
        <w:t>could</w:t>
      </w:r>
      <w:r>
        <w:rPr>
          <w:color w:val="231F20"/>
          <w:spacing w:val="-5"/>
        </w:rPr>
        <w:t> </w:t>
      </w:r>
      <w:r>
        <w:rPr>
          <w:color w:val="231F20"/>
        </w:rPr>
        <w:t>also</w:t>
      </w:r>
      <w:r>
        <w:rPr>
          <w:color w:val="231F20"/>
          <w:spacing w:val="-6"/>
        </w:rPr>
        <w:t> </w:t>
      </w:r>
      <w:r>
        <w:rPr>
          <w:color w:val="231F20"/>
        </w:rPr>
        <w:t>be</w:t>
      </w:r>
      <w:r>
        <w:rPr>
          <w:color w:val="231F20"/>
          <w:w w:val="99"/>
        </w:rPr>
        <w:t> </w:t>
      </w:r>
      <w:r>
        <w:rPr>
          <w:color w:val="231F20"/>
        </w:rPr>
        <w:t>completed</w:t>
      </w:r>
      <w:r>
        <w:rPr>
          <w:color w:val="231F20"/>
          <w:spacing w:val="-7"/>
        </w:rPr>
        <w:t> </w:t>
      </w:r>
      <w:r>
        <w:rPr>
          <w:color w:val="231F20"/>
          <w:spacing w:val="-1"/>
        </w:rPr>
        <w:t>in</w:t>
      </w:r>
      <w:r>
        <w:rPr>
          <w:color w:val="231F20"/>
          <w:spacing w:val="-7"/>
        </w:rPr>
        <w:t> </w:t>
      </w:r>
      <w:r>
        <w:rPr>
          <w:color w:val="231F20"/>
        </w:rPr>
        <w:t>hard</w:t>
      </w:r>
      <w:r>
        <w:rPr>
          <w:color w:val="231F20"/>
          <w:spacing w:val="-6"/>
        </w:rPr>
        <w:t> </w:t>
      </w:r>
      <w:r>
        <w:rPr>
          <w:color w:val="231F20"/>
        </w:rPr>
        <w:t>copy.</w:t>
      </w:r>
      <w:r>
        <w:rPr/>
      </w:r>
    </w:p>
    <w:p>
      <w:pPr>
        <w:pStyle w:val="BodyText"/>
        <w:spacing w:line="250" w:lineRule="exact" w:before="113"/>
        <w:ind w:left="100" w:right="157"/>
        <w:jc w:val="left"/>
      </w:pPr>
      <w:r>
        <w:rPr>
          <w:color w:val="231F20"/>
        </w:rPr>
        <w:t>The</w:t>
      </w:r>
      <w:r>
        <w:rPr>
          <w:color w:val="231F20"/>
          <w:spacing w:val="-4"/>
        </w:rPr>
        <w:t> </w:t>
      </w:r>
      <w:r>
        <w:rPr>
          <w:color w:val="231F20"/>
          <w:spacing w:val="-1"/>
        </w:rPr>
        <w:t>survey</w:t>
      </w:r>
      <w:r>
        <w:rPr>
          <w:color w:val="231F20"/>
          <w:spacing w:val="-4"/>
        </w:rPr>
        <w:t> </w:t>
      </w:r>
      <w:r>
        <w:rPr>
          <w:color w:val="231F20"/>
        </w:rPr>
        <w:t>was</w:t>
      </w:r>
      <w:r>
        <w:rPr>
          <w:color w:val="231F20"/>
          <w:spacing w:val="-4"/>
        </w:rPr>
        <w:t> </w:t>
      </w:r>
      <w:r>
        <w:rPr>
          <w:color w:val="231F20"/>
          <w:spacing w:val="-1"/>
        </w:rPr>
        <w:t>issued</w:t>
      </w:r>
      <w:r>
        <w:rPr>
          <w:color w:val="231F20"/>
          <w:spacing w:val="-4"/>
        </w:rPr>
        <w:t> </w:t>
      </w:r>
      <w:r>
        <w:rPr>
          <w:color w:val="231F20"/>
        </w:rPr>
        <w:t>to</w:t>
      </w:r>
      <w:r>
        <w:rPr>
          <w:color w:val="231F20"/>
          <w:spacing w:val="-4"/>
        </w:rPr>
        <w:t> </w:t>
      </w:r>
      <w:r>
        <w:rPr>
          <w:color w:val="231F20"/>
          <w:spacing w:val="-1"/>
        </w:rPr>
        <w:t>27</w:t>
      </w:r>
      <w:r>
        <w:rPr>
          <w:color w:val="231F20"/>
          <w:spacing w:val="-4"/>
        </w:rPr>
        <w:t> </w:t>
      </w:r>
      <w:r>
        <w:rPr>
          <w:color w:val="231F20"/>
        </w:rPr>
        <w:t>boarding</w:t>
      </w:r>
      <w:r>
        <w:rPr>
          <w:color w:val="231F20"/>
          <w:spacing w:val="24"/>
          <w:w w:val="99"/>
        </w:rPr>
        <w:t> </w:t>
      </w:r>
      <w:r>
        <w:rPr>
          <w:color w:val="231F20"/>
          <w:spacing w:val="-1"/>
        </w:rPr>
        <w:t>providers</w:t>
      </w:r>
      <w:r>
        <w:rPr>
          <w:rFonts w:ascii="Segoe UI Semibold"/>
          <w:b/>
          <w:color w:val="231F20"/>
          <w:spacing w:val="-1"/>
          <w:position w:val="7"/>
          <w:sz w:val="11"/>
        </w:rPr>
        <w:t>191</w:t>
      </w:r>
      <w:r>
        <w:rPr>
          <w:rFonts w:ascii="Segoe UI Semibold"/>
          <w:b/>
          <w:color w:val="231F20"/>
          <w:spacing w:val="21"/>
          <w:position w:val="7"/>
          <w:sz w:val="11"/>
        </w:rPr>
        <w:t> </w:t>
      </w:r>
      <w:r>
        <w:rPr>
          <w:color w:val="231F20"/>
        </w:rPr>
        <w:t>and</w:t>
      </w:r>
      <w:r>
        <w:rPr>
          <w:color w:val="231F20"/>
          <w:spacing w:val="-4"/>
        </w:rPr>
        <w:t> </w:t>
      </w:r>
      <w:r>
        <w:rPr>
          <w:color w:val="231F20"/>
          <w:spacing w:val="-1"/>
        </w:rPr>
        <w:t>24</w:t>
      </w:r>
      <w:r>
        <w:rPr>
          <w:color w:val="231F20"/>
          <w:spacing w:val="-3"/>
        </w:rPr>
        <w:t> </w:t>
      </w:r>
      <w:r>
        <w:rPr>
          <w:color w:val="231F20"/>
        </w:rPr>
        <w:t>responses</w:t>
      </w:r>
      <w:r>
        <w:rPr>
          <w:color w:val="231F20"/>
          <w:spacing w:val="-5"/>
        </w:rPr>
        <w:t> </w:t>
      </w:r>
      <w:r>
        <w:rPr>
          <w:color w:val="231F20"/>
        </w:rPr>
        <w:t>were</w:t>
      </w:r>
      <w:r>
        <w:rPr>
          <w:color w:val="231F20"/>
          <w:spacing w:val="-4"/>
        </w:rPr>
        <w:t> </w:t>
      </w:r>
      <w:r>
        <w:rPr>
          <w:color w:val="231F20"/>
        </w:rPr>
        <w:t>received.</w:t>
      </w:r>
      <w:r>
        <w:rPr>
          <w:color w:val="231F20"/>
          <w:spacing w:val="21"/>
          <w:w w:val="99"/>
        </w:rPr>
        <w:t> </w:t>
      </w:r>
      <w:r>
        <w:rPr>
          <w:color w:val="231F20"/>
          <w:spacing w:val="-5"/>
        </w:rPr>
        <w:t>Two</w:t>
      </w:r>
      <w:r>
        <w:rPr>
          <w:color w:val="231F20"/>
          <w:spacing w:val="-6"/>
        </w:rPr>
        <w:t> </w:t>
      </w:r>
      <w:r>
        <w:rPr>
          <w:color w:val="231F20"/>
        </w:rPr>
        <w:t>related</w:t>
      </w:r>
      <w:r>
        <w:rPr>
          <w:color w:val="231F20"/>
          <w:spacing w:val="-5"/>
        </w:rPr>
        <w:t> </w:t>
      </w:r>
      <w:r>
        <w:rPr>
          <w:color w:val="231F20"/>
          <w:spacing w:val="-1"/>
        </w:rPr>
        <w:t>schools</w:t>
      </w:r>
      <w:r>
        <w:rPr>
          <w:color w:val="231F20"/>
          <w:spacing w:val="-4"/>
        </w:rPr>
        <w:t> </w:t>
      </w:r>
      <w:r>
        <w:rPr>
          <w:color w:val="231F20"/>
        </w:rPr>
        <w:t>completed</w:t>
      </w:r>
      <w:r>
        <w:rPr>
          <w:color w:val="231F20"/>
          <w:spacing w:val="-6"/>
        </w:rPr>
        <w:t> </w:t>
      </w:r>
      <w:r>
        <w:rPr>
          <w:color w:val="231F20"/>
        </w:rPr>
        <w:t>a</w:t>
      </w:r>
      <w:r>
        <w:rPr>
          <w:color w:val="231F20"/>
          <w:spacing w:val="-4"/>
        </w:rPr>
        <w:t> </w:t>
      </w:r>
      <w:r>
        <w:rPr>
          <w:color w:val="231F20"/>
          <w:spacing w:val="-1"/>
        </w:rPr>
        <w:t>joint</w:t>
      </w:r>
      <w:r>
        <w:rPr>
          <w:color w:val="231F20"/>
          <w:spacing w:val="-4"/>
        </w:rPr>
        <w:t> </w:t>
      </w:r>
      <w:r>
        <w:rPr>
          <w:color w:val="231F20"/>
        </w:rPr>
        <w:t>response.</w:t>
      </w:r>
      <w:r>
        <w:rPr>
          <w:color w:val="231F20"/>
          <w:spacing w:val="23"/>
          <w:w w:val="99"/>
        </w:rPr>
        <w:t> </w:t>
      </w:r>
      <w:r>
        <w:rPr>
          <w:color w:val="231F20"/>
        </w:rPr>
        <w:t>This</w:t>
      </w:r>
      <w:r>
        <w:rPr>
          <w:color w:val="231F20"/>
          <w:spacing w:val="-5"/>
        </w:rPr>
        <w:t> </w:t>
      </w:r>
      <w:r>
        <w:rPr>
          <w:color w:val="231F20"/>
        </w:rPr>
        <w:t>represents</w:t>
      </w:r>
      <w:r>
        <w:rPr>
          <w:color w:val="231F20"/>
          <w:spacing w:val="-6"/>
        </w:rPr>
        <w:t> </w:t>
      </w:r>
      <w:r>
        <w:rPr>
          <w:color w:val="231F20"/>
        </w:rPr>
        <w:t>a</w:t>
      </w:r>
      <w:r>
        <w:rPr>
          <w:color w:val="231F20"/>
          <w:spacing w:val="-4"/>
        </w:rPr>
        <w:t> </w:t>
      </w:r>
      <w:r>
        <w:rPr>
          <w:color w:val="231F20"/>
        </w:rPr>
        <w:t>response</w:t>
      </w:r>
      <w:r>
        <w:rPr>
          <w:color w:val="231F20"/>
          <w:spacing w:val="-5"/>
        </w:rPr>
        <w:t> </w:t>
      </w:r>
      <w:r>
        <w:rPr>
          <w:color w:val="231F20"/>
        </w:rPr>
        <w:t>rate</w:t>
      </w:r>
      <w:r>
        <w:rPr>
          <w:color w:val="231F20"/>
          <w:spacing w:val="-4"/>
        </w:rPr>
        <w:t> </w:t>
      </w:r>
      <w:r>
        <w:rPr>
          <w:color w:val="231F20"/>
        </w:rPr>
        <w:t>of</w:t>
      </w:r>
      <w:r>
        <w:rPr>
          <w:color w:val="231F20"/>
          <w:spacing w:val="-4"/>
        </w:rPr>
        <w:t> </w:t>
      </w:r>
      <w:r>
        <w:rPr>
          <w:color w:val="231F20"/>
          <w:spacing w:val="-1"/>
        </w:rPr>
        <w:t>89</w:t>
      </w:r>
      <w:r>
        <w:rPr>
          <w:color w:val="231F20"/>
          <w:spacing w:val="-4"/>
        </w:rPr>
        <w:t> </w:t>
      </w:r>
      <w:r>
        <w:rPr>
          <w:color w:val="231F20"/>
        </w:rPr>
        <w:t>per</w:t>
      </w:r>
      <w:r>
        <w:rPr>
          <w:color w:val="231F20"/>
          <w:spacing w:val="-4"/>
        </w:rPr>
        <w:t> </w:t>
      </w:r>
      <w:r>
        <w:rPr>
          <w:color w:val="231F20"/>
        </w:rPr>
        <w:t>cent.</w:t>
      </w:r>
      <w:r>
        <w:rPr/>
      </w:r>
    </w:p>
    <w:p>
      <w:pPr>
        <w:pStyle w:val="BodyText"/>
        <w:spacing w:line="250" w:lineRule="exact" w:before="113"/>
        <w:ind w:left="100" w:right="138"/>
        <w:jc w:val="left"/>
      </w:pPr>
      <w:r>
        <w:rPr>
          <w:color w:val="231F20"/>
        </w:rPr>
        <w:t>The</w:t>
      </w:r>
      <w:r>
        <w:rPr>
          <w:color w:val="231F20"/>
          <w:spacing w:val="-7"/>
        </w:rPr>
        <w:t> </w:t>
      </w:r>
      <w:r>
        <w:rPr>
          <w:color w:val="231F20"/>
          <w:spacing w:val="-1"/>
        </w:rPr>
        <w:t>survey</w:t>
      </w:r>
      <w:r>
        <w:rPr>
          <w:color w:val="231F20"/>
          <w:spacing w:val="-7"/>
        </w:rPr>
        <w:t> </w:t>
      </w:r>
      <w:r>
        <w:rPr>
          <w:color w:val="231F20"/>
        </w:rPr>
        <w:t>revealed</w:t>
      </w:r>
      <w:r>
        <w:rPr>
          <w:color w:val="231F20"/>
          <w:spacing w:val="-7"/>
        </w:rPr>
        <w:t> </w:t>
      </w:r>
      <w:r>
        <w:rPr>
          <w:color w:val="231F20"/>
        </w:rPr>
        <w:t>that</w:t>
      </w:r>
      <w:r>
        <w:rPr>
          <w:color w:val="231F20"/>
          <w:spacing w:val="-8"/>
        </w:rPr>
        <w:t> </w:t>
      </w:r>
      <w:r>
        <w:rPr>
          <w:color w:val="231F20"/>
        </w:rPr>
        <w:t>the</w:t>
      </w:r>
      <w:r>
        <w:rPr>
          <w:color w:val="231F20"/>
          <w:spacing w:val="-7"/>
        </w:rPr>
        <w:t> </w:t>
      </w:r>
      <w:r>
        <w:rPr>
          <w:color w:val="231F20"/>
        </w:rPr>
        <w:t>boarding</w:t>
      </w:r>
      <w:r>
        <w:rPr>
          <w:color w:val="231F20"/>
          <w:spacing w:val="-7"/>
        </w:rPr>
        <w:t> </w:t>
      </w:r>
      <w:r>
        <w:rPr>
          <w:color w:val="231F20"/>
        </w:rPr>
        <w:t>providers</w:t>
      </w:r>
      <w:r>
        <w:rPr>
          <w:color w:val="231F20"/>
          <w:spacing w:val="21"/>
          <w:w w:val="99"/>
        </w:rPr>
        <w:t> </w:t>
      </w:r>
      <w:r>
        <w:rPr>
          <w:color w:val="231F20"/>
          <w:spacing w:val="-1"/>
        </w:rPr>
        <w:t>included</w:t>
      </w:r>
      <w:r>
        <w:rPr>
          <w:color w:val="231F20"/>
          <w:spacing w:val="-3"/>
        </w:rPr>
        <w:t> </w:t>
      </w:r>
      <w:r>
        <w:rPr>
          <w:color w:val="231F20"/>
          <w:spacing w:val="-1"/>
        </w:rPr>
        <w:t>in</w:t>
      </w:r>
      <w:r>
        <w:rPr>
          <w:color w:val="231F20"/>
          <w:spacing w:val="-3"/>
        </w:rPr>
        <w:t> </w:t>
      </w:r>
      <w:r>
        <w:rPr>
          <w:color w:val="231F20"/>
        </w:rPr>
        <w:t>the</w:t>
      </w:r>
      <w:r>
        <w:rPr>
          <w:color w:val="231F20"/>
          <w:spacing w:val="-3"/>
        </w:rPr>
        <w:t> </w:t>
      </w:r>
      <w:r>
        <w:rPr>
          <w:color w:val="231F20"/>
        </w:rPr>
        <w:t>analysis</w:t>
      </w:r>
      <w:r>
        <w:rPr>
          <w:color w:val="231F20"/>
          <w:spacing w:val="-4"/>
        </w:rPr>
        <w:t> </w:t>
      </w:r>
      <w:r>
        <w:rPr>
          <w:color w:val="231F20"/>
        </w:rPr>
        <w:t>for</w:t>
      </w:r>
      <w:r>
        <w:rPr>
          <w:color w:val="231F20"/>
          <w:spacing w:val="-3"/>
        </w:rPr>
        <w:t> </w:t>
      </w:r>
      <w:r>
        <w:rPr>
          <w:color w:val="231F20"/>
        </w:rPr>
        <w:t>this</w:t>
      </w:r>
      <w:r>
        <w:rPr>
          <w:color w:val="231F20"/>
          <w:spacing w:val="-3"/>
        </w:rPr>
        <w:t> </w:t>
      </w:r>
      <w:r>
        <w:rPr>
          <w:color w:val="231F20"/>
        </w:rPr>
        <w:t>report</w:t>
      </w:r>
      <w:r>
        <w:rPr>
          <w:color w:val="231F20"/>
          <w:spacing w:val="-4"/>
        </w:rPr>
        <w:t> </w:t>
      </w:r>
      <w:r>
        <w:rPr>
          <w:color w:val="231F20"/>
        </w:rPr>
        <w:t>complied</w:t>
      </w:r>
      <w:r>
        <w:rPr>
          <w:color w:val="231F20"/>
          <w:spacing w:val="23"/>
        </w:rPr>
        <w:t> </w:t>
      </w:r>
      <w:r>
        <w:rPr>
          <w:color w:val="231F20"/>
        </w:rPr>
        <w:t>with</w:t>
      </w:r>
      <w:r>
        <w:rPr>
          <w:color w:val="231F20"/>
          <w:spacing w:val="-5"/>
        </w:rPr>
        <w:t> </w:t>
      </w:r>
      <w:r>
        <w:rPr>
          <w:color w:val="231F20"/>
        </w:rPr>
        <w:t>an</w:t>
      </w:r>
      <w:r>
        <w:rPr>
          <w:color w:val="231F20"/>
          <w:spacing w:val="-5"/>
        </w:rPr>
        <w:t> </w:t>
      </w:r>
      <w:r>
        <w:rPr>
          <w:color w:val="231F20"/>
        </w:rPr>
        <w:t>average</w:t>
      </w:r>
      <w:r>
        <w:rPr>
          <w:color w:val="231F20"/>
          <w:spacing w:val="-5"/>
        </w:rPr>
        <w:t> </w:t>
      </w:r>
      <w:r>
        <w:rPr>
          <w:color w:val="231F20"/>
        </w:rPr>
        <w:t>of</w:t>
      </w:r>
      <w:r>
        <w:rPr>
          <w:color w:val="231F20"/>
          <w:spacing w:val="-4"/>
        </w:rPr>
        <w:t> </w:t>
      </w:r>
      <w:r>
        <w:rPr>
          <w:color w:val="231F20"/>
          <w:spacing w:val="-1"/>
        </w:rPr>
        <w:t>92</w:t>
      </w:r>
      <w:r>
        <w:rPr>
          <w:color w:val="231F20"/>
          <w:spacing w:val="-4"/>
        </w:rPr>
        <w:t> </w:t>
      </w:r>
      <w:r>
        <w:rPr>
          <w:color w:val="231F20"/>
        </w:rPr>
        <w:t>per</w:t>
      </w:r>
      <w:r>
        <w:rPr>
          <w:color w:val="231F20"/>
          <w:spacing w:val="-4"/>
        </w:rPr>
        <w:t> </w:t>
      </w:r>
      <w:r>
        <w:rPr>
          <w:color w:val="231F20"/>
        </w:rPr>
        <w:t>cent</w:t>
      </w:r>
      <w:r>
        <w:rPr>
          <w:color w:val="231F20"/>
          <w:spacing w:val="-4"/>
        </w:rPr>
        <w:t> </w:t>
      </w:r>
      <w:r>
        <w:rPr>
          <w:color w:val="231F20"/>
        </w:rPr>
        <w:t>of</w:t>
      </w:r>
      <w:r>
        <w:rPr>
          <w:color w:val="231F20"/>
          <w:spacing w:val="-4"/>
        </w:rPr>
        <w:t> </w:t>
      </w:r>
      <w:r>
        <w:rPr>
          <w:color w:val="231F20"/>
        </w:rPr>
        <w:t>the</w:t>
      </w:r>
      <w:r>
        <w:rPr>
          <w:color w:val="231F20"/>
          <w:spacing w:val="-5"/>
        </w:rPr>
        <w:t> </w:t>
      </w:r>
      <w:r>
        <w:rPr>
          <w:color w:val="231F20"/>
          <w:spacing w:val="-1"/>
        </w:rPr>
        <w:t>standards</w:t>
      </w:r>
      <w:r>
        <w:rPr>
          <w:color w:val="231F20"/>
          <w:spacing w:val="21"/>
          <w:w w:val="99"/>
        </w:rPr>
        <w:t> </w:t>
      </w:r>
      <w:r>
        <w:rPr>
          <w:color w:val="231F20"/>
          <w:spacing w:val="-1"/>
        </w:rPr>
        <w:t>in</w:t>
      </w:r>
      <w:r>
        <w:rPr>
          <w:color w:val="231F20"/>
          <w:spacing w:val="-3"/>
        </w:rPr>
        <w:t> </w:t>
      </w:r>
      <w:r>
        <w:rPr>
          <w:color w:val="231F20"/>
        </w:rPr>
        <w:t>the</w:t>
      </w:r>
      <w:r>
        <w:rPr>
          <w:color w:val="231F20"/>
          <w:spacing w:val="-3"/>
        </w:rPr>
        <w:t> </w:t>
      </w:r>
      <w:r>
        <w:rPr>
          <w:color w:val="231F20"/>
          <w:spacing w:val="-1"/>
        </w:rPr>
        <w:t>Boarding</w:t>
      </w:r>
      <w:r>
        <w:rPr>
          <w:color w:val="231F20"/>
          <w:spacing w:val="-2"/>
        </w:rPr>
        <w:t> </w:t>
      </w:r>
      <w:r>
        <w:rPr>
          <w:color w:val="231F20"/>
          <w:spacing w:val="-1"/>
        </w:rPr>
        <w:t>Standard.</w:t>
      </w:r>
      <w:r>
        <w:rPr>
          <w:rFonts w:ascii="Segoe UI Semibold"/>
          <w:b/>
          <w:color w:val="231F20"/>
          <w:spacing w:val="-1"/>
          <w:position w:val="7"/>
          <w:sz w:val="11"/>
        </w:rPr>
        <w:t>192</w:t>
      </w:r>
      <w:r>
        <w:rPr>
          <w:rFonts w:ascii="Segoe UI Semibold"/>
          <w:b/>
          <w:color w:val="231F20"/>
          <w:spacing w:val="22"/>
          <w:position w:val="7"/>
          <w:sz w:val="11"/>
        </w:rPr>
        <w:t> </w:t>
      </w:r>
      <w:r>
        <w:rPr>
          <w:color w:val="231F20"/>
          <w:spacing w:val="-1"/>
        </w:rPr>
        <w:t>Consultations</w:t>
      </w:r>
      <w:r>
        <w:rPr>
          <w:color w:val="231F20"/>
          <w:spacing w:val="-2"/>
        </w:rPr>
        <w:t> </w:t>
      </w:r>
      <w:r>
        <w:rPr>
          <w:color w:val="231F20"/>
        </w:rPr>
        <w:t>for</w:t>
      </w:r>
      <w:r>
        <w:rPr>
          <w:color w:val="231F20"/>
          <w:spacing w:val="26"/>
          <w:w w:val="99"/>
        </w:rPr>
        <w:t> </w:t>
      </w:r>
      <w:r>
        <w:rPr>
          <w:color w:val="231F20"/>
        </w:rPr>
        <w:t>this</w:t>
      </w:r>
      <w:r>
        <w:rPr>
          <w:color w:val="231F20"/>
          <w:spacing w:val="-8"/>
        </w:rPr>
        <w:t> </w:t>
      </w:r>
      <w:r>
        <w:rPr>
          <w:color w:val="231F20"/>
        </w:rPr>
        <w:t>report</w:t>
      </w:r>
      <w:r>
        <w:rPr>
          <w:color w:val="231F20"/>
          <w:spacing w:val="-8"/>
        </w:rPr>
        <w:t> </w:t>
      </w:r>
      <w:r>
        <w:rPr>
          <w:color w:val="231F20"/>
          <w:spacing w:val="-1"/>
        </w:rPr>
        <w:t>indicated</w:t>
      </w:r>
      <w:r>
        <w:rPr>
          <w:color w:val="231F20"/>
          <w:spacing w:val="-7"/>
        </w:rPr>
        <w:t> </w:t>
      </w:r>
      <w:r>
        <w:rPr>
          <w:color w:val="231F20"/>
        </w:rPr>
        <w:t>that</w:t>
      </w:r>
      <w:r>
        <w:rPr>
          <w:color w:val="231F20"/>
          <w:spacing w:val="-7"/>
        </w:rPr>
        <w:t> </w:t>
      </w:r>
      <w:r>
        <w:rPr>
          <w:color w:val="231F20"/>
        </w:rPr>
        <w:t>boarding</w:t>
      </w:r>
      <w:r>
        <w:rPr>
          <w:color w:val="231F20"/>
          <w:spacing w:val="-8"/>
        </w:rPr>
        <w:t> </w:t>
      </w:r>
      <w:r>
        <w:rPr>
          <w:color w:val="231F20"/>
        </w:rPr>
        <w:t>providers</w:t>
      </w:r>
      <w:r>
        <w:rPr>
          <w:color w:val="231F20"/>
          <w:spacing w:val="22"/>
          <w:w w:val="99"/>
        </w:rPr>
        <w:t> </w:t>
      </w:r>
      <w:r>
        <w:rPr>
          <w:color w:val="231F20"/>
        </w:rPr>
        <w:t>had</w:t>
      </w:r>
      <w:r>
        <w:rPr>
          <w:color w:val="231F20"/>
          <w:spacing w:val="-6"/>
        </w:rPr>
        <w:t> </w:t>
      </w:r>
      <w:r>
        <w:rPr>
          <w:color w:val="231F20"/>
        </w:rPr>
        <w:t>greater</w:t>
      </w:r>
      <w:r>
        <w:rPr>
          <w:color w:val="231F20"/>
          <w:spacing w:val="-7"/>
        </w:rPr>
        <w:t> </w:t>
      </w:r>
      <w:r>
        <w:rPr>
          <w:color w:val="231F20"/>
        </w:rPr>
        <w:t>awareness</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spacing w:val="-1"/>
        </w:rPr>
        <w:t>standard</w:t>
      </w:r>
      <w:r>
        <w:rPr>
          <w:color w:val="231F20"/>
          <w:spacing w:val="-5"/>
        </w:rPr>
        <w:t> </w:t>
      </w:r>
      <w:r>
        <w:rPr>
          <w:color w:val="231F20"/>
        </w:rPr>
        <w:t>and</w:t>
      </w:r>
      <w:r>
        <w:rPr>
          <w:color w:val="231F20"/>
          <w:spacing w:val="-6"/>
        </w:rPr>
        <w:t> </w:t>
      </w:r>
      <w:r>
        <w:rPr>
          <w:color w:val="231F20"/>
          <w:spacing w:val="-6"/>
        </w:rPr>
      </w:r>
      <w:r>
        <w:rPr>
          <w:color w:val="231F20"/>
        </w:rPr>
        <w:t>peak</w:t>
      </w:r>
      <w:r>
        <w:rPr>
          <w:color w:val="231F20"/>
          <w:spacing w:val="21"/>
        </w:rPr>
        <w:t> </w:t>
      </w:r>
      <w:r>
        <w:rPr>
          <w:color w:val="231F20"/>
        </w:rPr>
        <w:t>bodies,</w:t>
      </w:r>
      <w:r>
        <w:rPr>
          <w:color w:val="231F20"/>
          <w:spacing w:val="-7"/>
        </w:rPr>
        <w:t> </w:t>
      </w:r>
      <w:r>
        <w:rPr>
          <w:color w:val="231F20"/>
          <w:spacing w:val="-1"/>
        </w:rPr>
        <w:t>such</w:t>
      </w:r>
      <w:r>
        <w:rPr>
          <w:color w:val="231F20"/>
          <w:spacing w:val="-6"/>
        </w:rPr>
        <w:t> </w:t>
      </w:r>
      <w:r>
        <w:rPr>
          <w:color w:val="231F20"/>
        </w:rPr>
        <w:t>as</w:t>
      </w:r>
      <w:r>
        <w:rPr>
          <w:color w:val="231F20"/>
          <w:spacing w:val="-6"/>
        </w:rPr>
        <w:t> </w:t>
      </w:r>
      <w:r>
        <w:rPr>
          <w:color w:val="231F20"/>
          <w:spacing w:val="-1"/>
        </w:rPr>
        <w:t>Indigenous</w:t>
      </w:r>
      <w:r>
        <w:rPr>
          <w:color w:val="231F20"/>
          <w:spacing w:val="-6"/>
        </w:rPr>
        <w:t> </w:t>
      </w:r>
      <w:r>
        <w:rPr>
          <w:color w:val="231F20"/>
        </w:rPr>
        <w:t>Education</w:t>
      </w:r>
      <w:r>
        <w:rPr>
          <w:color w:val="231F20"/>
          <w:spacing w:val="-7"/>
        </w:rPr>
        <w:t> </w:t>
      </w:r>
      <w:r>
        <w:rPr>
          <w:color w:val="231F20"/>
        </w:rPr>
        <w:t>and</w:t>
      </w:r>
      <w:r>
        <w:rPr>
          <w:color w:val="231F20"/>
          <w:spacing w:val="23"/>
          <w:w w:val="99"/>
        </w:rPr>
        <w:t> </w:t>
      </w:r>
      <w:r>
        <w:rPr>
          <w:color w:val="231F20"/>
          <w:spacing w:val="-1"/>
        </w:rPr>
        <w:t>Boarding</w:t>
      </w:r>
      <w:r>
        <w:rPr>
          <w:color w:val="231F20"/>
          <w:spacing w:val="-7"/>
        </w:rPr>
        <w:t> </w:t>
      </w:r>
      <w:r>
        <w:rPr>
          <w:color w:val="231F20"/>
        </w:rPr>
        <w:t>Australia,</w:t>
      </w:r>
      <w:r>
        <w:rPr>
          <w:color w:val="231F20"/>
          <w:spacing w:val="-7"/>
        </w:rPr>
        <w:t> </w:t>
      </w:r>
      <w:r>
        <w:rPr>
          <w:color w:val="231F20"/>
        </w:rPr>
        <w:t>had</w:t>
      </w:r>
      <w:r>
        <w:rPr>
          <w:color w:val="231F20"/>
          <w:spacing w:val="-7"/>
        </w:rPr>
        <w:t> </w:t>
      </w:r>
      <w:r>
        <w:rPr>
          <w:color w:val="231F20"/>
          <w:spacing w:val="-1"/>
        </w:rPr>
        <w:t>increased</w:t>
      </w:r>
      <w:r>
        <w:rPr>
          <w:color w:val="231F20"/>
          <w:spacing w:val="-7"/>
        </w:rPr>
        <w:t> </w:t>
      </w:r>
      <w:r>
        <w:rPr>
          <w:color w:val="231F20"/>
        </w:rPr>
        <w:t>compliance</w:t>
      </w:r>
      <w:r>
        <w:rPr>
          <w:color w:val="231F20"/>
          <w:spacing w:val="23"/>
        </w:rPr>
        <w:t> </w:t>
      </w:r>
      <w:r>
        <w:rPr>
          <w:color w:val="231F20"/>
        </w:rPr>
        <w:t>through</w:t>
      </w:r>
      <w:r>
        <w:rPr>
          <w:color w:val="231F20"/>
          <w:spacing w:val="-8"/>
        </w:rPr>
        <w:t> </w:t>
      </w:r>
      <w:r>
        <w:rPr>
          <w:color w:val="231F20"/>
        </w:rPr>
        <w:t>awareness,</w:t>
      </w:r>
      <w:r>
        <w:rPr>
          <w:color w:val="231F20"/>
          <w:spacing w:val="-8"/>
        </w:rPr>
        <w:t> </w:t>
      </w:r>
      <w:r>
        <w:rPr>
          <w:color w:val="231F20"/>
        </w:rPr>
        <w:t>training</w:t>
      </w:r>
      <w:r>
        <w:rPr>
          <w:color w:val="231F20"/>
          <w:spacing w:val="-8"/>
        </w:rPr>
        <w:t> </w:t>
      </w:r>
      <w:r>
        <w:rPr>
          <w:color w:val="231F20"/>
        </w:rPr>
        <w:t>and</w:t>
      </w:r>
      <w:r>
        <w:rPr>
          <w:color w:val="231F20"/>
          <w:spacing w:val="-7"/>
        </w:rPr>
        <w:t> </w:t>
      </w:r>
      <w:r>
        <w:rPr>
          <w:color w:val="231F20"/>
        </w:rPr>
        <w:t>compliance</w:t>
      </w:r>
      <w:r>
        <w:rPr>
          <w:color w:val="231F20"/>
        </w:rPr>
        <w:t> reviews.</w:t>
      </w:r>
      <w:r>
        <w:rPr/>
      </w:r>
    </w:p>
    <w:p>
      <w:pPr>
        <w:spacing w:after="0" w:line="250" w:lineRule="exact"/>
        <w:jc w:val="left"/>
        <w:sectPr>
          <w:type w:val="continuous"/>
          <w:pgSz w:w="11910" w:h="16840"/>
          <w:pgMar w:top="1580" w:bottom="280" w:left="1600" w:right="1300"/>
          <w:cols w:num="2" w:equalWidth="0">
            <w:col w:w="4289" w:space="247"/>
            <w:col w:w="4474"/>
          </w:cols>
        </w:sectPr>
      </w:pPr>
    </w:p>
    <w:p>
      <w:pPr>
        <w:spacing w:line="240" w:lineRule="auto" w:before="0"/>
        <w:rPr>
          <w:rFonts w:ascii="Segoe UI" w:hAnsi="Segoe UI" w:cs="Segoe UI" w:eastAsia="Segoe UI"/>
          <w:sz w:val="20"/>
          <w:szCs w:val="20"/>
        </w:rPr>
      </w:pPr>
    </w:p>
    <w:p>
      <w:pPr>
        <w:spacing w:line="240" w:lineRule="auto" w:before="8"/>
        <w:rPr>
          <w:rFonts w:ascii="Segoe UI" w:hAnsi="Segoe UI" w:cs="Segoe UI" w:eastAsia="Segoe UI"/>
          <w:sz w:val="21"/>
          <w:szCs w:val="21"/>
        </w:rPr>
      </w:pPr>
    </w:p>
    <w:p>
      <w:pPr>
        <w:spacing w:after="0" w:line="240" w:lineRule="auto"/>
        <w:rPr>
          <w:rFonts w:ascii="Segoe UI" w:hAnsi="Segoe UI" w:cs="Segoe UI" w:eastAsia="Segoe UI"/>
          <w:sz w:val="21"/>
          <w:szCs w:val="21"/>
        </w:rPr>
        <w:sectPr>
          <w:pgSz w:w="11910" w:h="16840"/>
          <w:pgMar w:header="0" w:footer="691" w:top="1580" w:bottom="880" w:left="1300" w:right="1600"/>
        </w:sectPr>
      </w:pPr>
    </w:p>
    <w:p>
      <w:pPr>
        <w:pStyle w:val="BodyText"/>
        <w:spacing w:line="250" w:lineRule="exact" w:before="62"/>
        <w:ind w:right="0"/>
        <w:jc w:val="left"/>
      </w:pPr>
      <w:r>
        <w:rPr>
          <w:color w:val="231F20"/>
        </w:rPr>
        <w:t>A</w:t>
      </w:r>
      <w:r>
        <w:rPr>
          <w:color w:val="231F20"/>
          <w:spacing w:val="-4"/>
        </w:rPr>
        <w:t> </w:t>
      </w:r>
      <w:r>
        <w:rPr>
          <w:color w:val="231F20"/>
        </w:rPr>
        <w:t>number</w:t>
      </w:r>
      <w:r>
        <w:rPr>
          <w:color w:val="231F20"/>
          <w:spacing w:val="-5"/>
        </w:rPr>
        <w:t> </w:t>
      </w:r>
      <w:r>
        <w:rPr>
          <w:color w:val="231F20"/>
        </w:rPr>
        <w:t>of</w:t>
      </w:r>
      <w:r>
        <w:rPr>
          <w:color w:val="231F20"/>
          <w:spacing w:val="-4"/>
        </w:rPr>
        <w:t> </w:t>
      </w:r>
      <w:r>
        <w:rPr>
          <w:color w:val="231F20"/>
          <w:spacing w:val="-1"/>
        </w:rPr>
        <w:t>interviewees</w:t>
      </w:r>
      <w:r>
        <w:rPr>
          <w:color w:val="231F20"/>
          <w:spacing w:val="-4"/>
        </w:rPr>
        <w:t> </w:t>
      </w:r>
      <w:r>
        <w:rPr>
          <w:color w:val="231F20"/>
          <w:spacing w:val="-1"/>
        </w:rPr>
        <w:t>in</w:t>
      </w:r>
      <w:r>
        <w:rPr>
          <w:color w:val="231F20"/>
          <w:spacing w:val="-4"/>
        </w:rPr>
        <w:t> </w:t>
      </w:r>
      <w:r>
        <w:rPr>
          <w:color w:val="231F20"/>
        </w:rPr>
        <w:t>consultations</w:t>
      </w:r>
      <w:r>
        <w:rPr>
          <w:color w:val="231F20"/>
          <w:spacing w:val="23"/>
        </w:rPr>
        <w:t> </w:t>
      </w:r>
      <w:r>
        <w:rPr>
          <w:color w:val="231F20"/>
        </w:rPr>
        <w:t>conducted</w:t>
      </w:r>
      <w:r>
        <w:rPr>
          <w:color w:val="231F20"/>
          <w:spacing w:val="-8"/>
        </w:rPr>
        <w:t> </w:t>
      </w:r>
      <w:r>
        <w:rPr>
          <w:color w:val="231F20"/>
        </w:rPr>
        <w:t>during</w:t>
      </w:r>
      <w:r>
        <w:rPr>
          <w:color w:val="231F20"/>
          <w:spacing w:val="-7"/>
        </w:rPr>
        <w:t> </w:t>
      </w:r>
      <w:r>
        <w:rPr>
          <w:color w:val="231F20"/>
        </w:rPr>
        <w:t>the</w:t>
      </w:r>
      <w:r>
        <w:rPr>
          <w:color w:val="231F20"/>
          <w:spacing w:val="-7"/>
        </w:rPr>
        <w:t> </w:t>
      </w:r>
      <w:r>
        <w:rPr>
          <w:color w:val="231F20"/>
        </w:rPr>
        <w:t>analysis</w:t>
      </w:r>
      <w:r>
        <w:rPr>
          <w:color w:val="231F20"/>
          <w:spacing w:val="-7"/>
        </w:rPr>
        <w:t> </w:t>
      </w:r>
      <w:r>
        <w:rPr>
          <w:color w:val="231F20"/>
        </w:rPr>
        <w:t>highlighted</w:t>
      </w:r>
      <w:r>
        <w:rPr>
          <w:color w:val="231F20"/>
          <w:spacing w:val="-7"/>
        </w:rPr>
        <w:t> </w:t>
      </w:r>
      <w:r>
        <w:rPr>
          <w:color w:val="231F20"/>
        </w:rPr>
        <w:t>the</w:t>
      </w:r>
      <w:r>
        <w:rPr>
          <w:color w:val="231F20"/>
          <w:w w:val="99"/>
        </w:rPr>
        <w:t> </w:t>
      </w:r>
      <w:r>
        <w:rPr>
          <w:color w:val="231F20"/>
        </w:rPr>
        <w:t>need</w:t>
      </w:r>
      <w:r>
        <w:rPr>
          <w:color w:val="231F20"/>
          <w:spacing w:val="-5"/>
        </w:rPr>
        <w:t> </w:t>
      </w:r>
      <w:r>
        <w:rPr>
          <w:color w:val="231F20"/>
        </w:rPr>
        <w:t>for</w:t>
      </w:r>
      <w:r>
        <w:rPr>
          <w:color w:val="231F20"/>
          <w:spacing w:val="-4"/>
        </w:rPr>
        <w:t> </w:t>
      </w:r>
      <w:r>
        <w:rPr>
          <w:color w:val="231F20"/>
          <w:spacing w:val="-1"/>
        </w:rPr>
        <w:t>minimum</w:t>
      </w:r>
      <w:r>
        <w:rPr>
          <w:color w:val="231F20"/>
          <w:spacing w:val="-3"/>
        </w:rPr>
        <w:t> </w:t>
      </w:r>
      <w:r>
        <w:rPr>
          <w:color w:val="231F20"/>
          <w:spacing w:val="-1"/>
        </w:rPr>
        <w:t>legislated</w:t>
      </w:r>
      <w:r>
        <w:rPr>
          <w:color w:val="231F20"/>
          <w:spacing w:val="-4"/>
        </w:rPr>
        <w:t> </w:t>
      </w:r>
      <w:r>
        <w:rPr>
          <w:color w:val="231F20"/>
          <w:spacing w:val="-1"/>
        </w:rPr>
        <w:t>standards</w:t>
      </w:r>
      <w:r>
        <w:rPr>
          <w:color w:val="231F20"/>
          <w:spacing w:val="-2"/>
        </w:rPr>
        <w:t> </w:t>
      </w:r>
      <w:r>
        <w:rPr>
          <w:color w:val="231F20"/>
        </w:rPr>
        <w:t>for</w:t>
      </w:r>
      <w:r>
        <w:rPr>
          <w:color w:val="231F20"/>
          <w:spacing w:val="24"/>
          <w:w w:val="99"/>
        </w:rPr>
        <w:t> </w:t>
      </w:r>
      <w:r>
        <w:rPr>
          <w:color w:val="231F20"/>
        </w:rPr>
        <w:t>boarding.</w:t>
      </w:r>
      <w:r>
        <w:rPr>
          <w:color w:val="231F20"/>
          <w:spacing w:val="-5"/>
        </w:rPr>
        <w:t> </w:t>
      </w:r>
      <w:r>
        <w:rPr>
          <w:color w:val="231F20"/>
        </w:rPr>
        <w:t>Those</w:t>
      </w:r>
      <w:r>
        <w:rPr>
          <w:color w:val="231F20"/>
          <w:spacing w:val="-5"/>
        </w:rPr>
        <w:t> </w:t>
      </w:r>
      <w:r>
        <w:rPr>
          <w:color w:val="231F20"/>
        </w:rPr>
        <w:t>that</w:t>
      </w:r>
      <w:r>
        <w:rPr>
          <w:color w:val="231F20"/>
          <w:spacing w:val="-5"/>
        </w:rPr>
        <w:t> </w:t>
      </w:r>
      <w:r>
        <w:rPr>
          <w:color w:val="231F20"/>
        </w:rPr>
        <w:t>commented</w:t>
      </w:r>
      <w:r>
        <w:rPr>
          <w:color w:val="231F20"/>
          <w:spacing w:val="-5"/>
        </w:rPr>
        <w:t> </w:t>
      </w:r>
      <w:r>
        <w:rPr>
          <w:color w:val="231F20"/>
        </w:rPr>
        <w:t>noted</w:t>
      </w:r>
      <w:r>
        <w:rPr>
          <w:color w:val="231F20"/>
          <w:spacing w:val="-5"/>
        </w:rPr>
        <w:t> </w:t>
      </w:r>
      <w:r>
        <w:rPr>
          <w:color w:val="231F20"/>
        </w:rPr>
        <w:t>that</w:t>
      </w:r>
      <w:r>
        <w:rPr>
          <w:color w:val="231F20"/>
          <w:spacing w:val="-5"/>
        </w:rPr>
        <w:t> </w:t>
      </w:r>
      <w:r>
        <w:rPr>
          <w:color w:val="231F20"/>
          <w:spacing w:val="-5"/>
        </w:rPr>
      </w:r>
      <w:r>
        <w:rPr>
          <w:color w:val="231F20"/>
        </w:rPr>
        <w:t>the</w:t>
      </w:r>
      <w:r>
        <w:rPr>
          <w:color w:val="231F20"/>
          <w:spacing w:val="-1"/>
        </w:rPr>
        <w:t> safety</w:t>
      </w:r>
      <w:r>
        <w:rPr>
          <w:color w:val="231F20"/>
          <w:spacing w:val="-8"/>
        </w:rPr>
        <w:t> </w:t>
      </w:r>
      <w:r>
        <w:rPr>
          <w:color w:val="231F20"/>
        </w:rPr>
        <w:t>and</w:t>
      </w:r>
      <w:r>
        <w:rPr>
          <w:color w:val="231F20"/>
          <w:spacing w:val="-7"/>
        </w:rPr>
        <w:t> </w:t>
      </w:r>
      <w:r>
        <w:rPr>
          <w:color w:val="231F20"/>
        </w:rPr>
        <w:t>risk</w:t>
      </w:r>
      <w:r>
        <w:rPr>
          <w:color w:val="231F20"/>
          <w:spacing w:val="-8"/>
        </w:rPr>
        <w:t> </w:t>
      </w:r>
      <w:r>
        <w:rPr>
          <w:color w:val="231F20"/>
          <w:spacing w:val="-1"/>
        </w:rPr>
        <w:t>management</w:t>
      </w:r>
      <w:r>
        <w:rPr>
          <w:color w:val="231F20"/>
          <w:spacing w:val="-6"/>
        </w:rPr>
        <w:t> </w:t>
      </w:r>
      <w:r>
        <w:rPr>
          <w:color w:val="231F20"/>
        </w:rPr>
        <w:t>arrangements</w:t>
      </w:r>
      <w:r>
        <w:rPr>
          <w:color w:val="231F20"/>
          <w:spacing w:val="-8"/>
        </w:rPr>
        <w:t> </w:t>
      </w:r>
      <w:r>
        <w:rPr>
          <w:color w:val="231F20"/>
          <w:spacing w:val="-8"/>
        </w:rPr>
      </w:r>
      <w:r>
        <w:rPr>
          <w:color w:val="231F20"/>
        </w:rPr>
        <w:t>for</w:t>
      </w:r>
      <w:r>
        <w:rPr>
          <w:color w:val="231F20"/>
          <w:spacing w:val="23"/>
        </w:rPr>
        <w:t> </w:t>
      </w:r>
      <w:r>
        <w:rPr>
          <w:color w:val="231F20"/>
        </w:rPr>
        <w:t>children</w:t>
      </w:r>
      <w:r>
        <w:rPr>
          <w:color w:val="231F20"/>
          <w:spacing w:val="-7"/>
        </w:rPr>
        <w:t> </w:t>
      </w:r>
      <w:r>
        <w:rPr>
          <w:color w:val="231F20"/>
          <w:spacing w:val="-1"/>
        </w:rPr>
        <w:t>in</w:t>
      </w:r>
      <w:r>
        <w:rPr>
          <w:color w:val="231F20"/>
          <w:spacing w:val="-5"/>
        </w:rPr>
        <w:t> </w:t>
      </w:r>
      <w:r>
        <w:rPr>
          <w:color w:val="231F20"/>
        </w:rPr>
        <w:t>the</w:t>
      </w:r>
      <w:r>
        <w:rPr>
          <w:color w:val="231F20"/>
          <w:spacing w:val="-6"/>
        </w:rPr>
        <w:t> </w:t>
      </w:r>
      <w:r>
        <w:rPr>
          <w:color w:val="231F20"/>
        </w:rPr>
        <w:t>care</w:t>
      </w:r>
      <w:r>
        <w:rPr>
          <w:color w:val="231F20"/>
          <w:spacing w:val="-6"/>
        </w:rPr>
        <w:t> </w:t>
      </w:r>
      <w:r>
        <w:rPr>
          <w:color w:val="231F20"/>
        </w:rPr>
        <w:t>of</w:t>
      </w:r>
      <w:r>
        <w:rPr>
          <w:color w:val="231F20"/>
          <w:spacing w:val="-5"/>
        </w:rPr>
        <w:t> </w:t>
      </w:r>
      <w:r>
        <w:rPr>
          <w:color w:val="231F20"/>
        </w:rPr>
        <w:t>boarding</w:t>
      </w:r>
      <w:r>
        <w:rPr>
          <w:color w:val="231F20"/>
          <w:spacing w:val="-6"/>
        </w:rPr>
        <w:t> </w:t>
      </w:r>
      <w:r>
        <w:rPr>
          <w:color w:val="231F20"/>
        </w:rPr>
        <w:t>providers</w:t>
      </w:r>
      <w:r>
        <w:rPr>
          <w:color w:val="231F20"/>
          <w:spacing w:val="21"/>
          <w:w w:val="99"/>
        </w:rPr>
        <w:t> </w:t>
      </w:r>
      <w:r>
        <w:rPr>
          <w:rFonts w:ascii="Segoe UI"/>
          <w:color w:val="231F20"/>
        </w:rPr>
        <w:t>needed to be raised in light of the findings and</w:t>
      </w:r>
      <w:r>
        <w:rPr>
          <w:rFonts w:ascii="Segoe UI"/>
          <w:color w:val="231F20"/>
        </w:rPr>
        <w:t> </w:t>
      </w:r>
      <w:r>
        <w:rPr>
          <w:color w:val="231F20"/>
        </w:rPr>
        <w:t>recommendations</w:t>
      </w:r>
      <w:r>
        <w:rPr>
          <w:color w:val="231F20"/>
          <w:spacing w:val="-8"/>
        </w:rPr>
        <w:t> </w:t>
      </w:r>
      <w:r>
        <w:rPr>
          <w:color w:val="231F20"/>
        </w:rPr>
        <w:t>of</w:t>
      </w:r>
      <w:r>
        <w:rPr>
          <w:color w:val="231F20"/>
          <w:spacing w:val="-6"/>
        </w:rPr>
        <w:t> </w:t>
      </w:r>
      <w:r>
        <w:rPr>
          <w:color w:val="231F20"/>
        </w:rPr>
        <w:t>the</w:t>
      </w:r>
      <w:r>
        <w:rPr>
          <w:color w:val="231F20"/>
          <w:spacing w:val="-6"/>
        </w:rPr>
        <w:t> </w:t>
      </w:r>
      <w:r>
        <w:rPr>
          <w:color w:val="231F20"/>
          <w:spacing w:val="-2"/>
        </w:rPr>
        <w:t>Royal</w:t>
      </w:r>
      <w:r>
        <w:rPr>
          <w:color w:val="231F20"/>
          <w:spacing w:val="-7"/>
        </w:rPr>
        <w:t> </w:t>
      </w:r>
      <w:r>
        <w:rPr>
          <w:color w:val="231F20"/>
          <w:spacing w:val="-1"/>
        </w:rPr>
        <w:t>Commission</w:t>
      </w:r>
      <w:r>
        <w:rPr>
          <w:color w:val="231F20"/>
          <w:spacing w:val="-5"/>
        </w:rPr>
        <w:t> </w:t>
      </w:r>
      <w:r>
        <w:rPr>
          <w:color w:val="231F20"/>
          <w:spacing w:val="-1"/>
        </w:rPr>
        <w:t>into</w:t>
      </w:r>
      <w:r>
        <w:rPr>
          <w:color w:val="231F20"/>
          <w:spacing w:val="25"/>
          <w:w w:val="99"/>
        </w:rPr>
        <w:t> </w:t>
      </w:r>
      <w:r>
        <w:rPr>
          <w:color w:val="231F20"/>
          <w:spacing w:val="-1"/>
        </w:rPr>
        <w:t>Institutional</w:t>
      </w:r>
      <w:r>
        <w:rPr>
          <w:color w:val="231F20"/>
          <w:spacing w:val="-2"/>
        </w:rPr>
        <w:t> </w:t>
      </w:r>
      <w:r>
        <w:rPr>
          <w:color w:val="231F20"/>
          <w:spacing w:val="-1"/>
        </w:rPr>
        <w:t>Responses</w:t>
      </w:r>
      <w:r>
        <w:rPr>
          <w:color w:val="231F20"/>
          <w:spacing w:val="-3"/>
        </w:rPr>
        <w:t> </w:t>
      </w:r>
      <w:r>
        <w:rPr>
          <w:color w:val="231F20"/>
        </w:rPr>
        <w:t>to</w:t>
      </w:r>
      <w:r>
        <w:rPr>
          <w:color w:val="231F20"/>
          <w:spacing w:val="-1"/>
        </w:rPr>
        <w:t> Child</w:t>
      </w:r>
      <w:r>
        <w:rPr>
          <w:color w:val="231F20"/>
          <w:spacing w:val="-2"/>
        </w:rPr>
        <w:t> </w:t>
      </w:r>
      <w:r>
        <w:rPr>
          <w:color w:val="231F20"/>
          <w:spacing w:val="-1"/>
        </w:rPr>
        <w:t>Sexual </w:t>
      </w:r>
      <w:r>
        <w:rPr>
          <w:color w:val="231F20"/>
        </w:rPr>
        <w:t>Abuse.</w:t>
      </w:r>
      <w:r>
        <w:rPr/>
      </w:r>
    </w:p>
    <w:p>
      <w:pPr>
        <w:pStyle w:val="BodyText"/>
        <w:spacing w:line="250" w:lineRule="exact"/>
        <w:ind w:right="152"/>
        <w:jc w:val="both"/>
      </w:pPr>
      <w:r>
        <w:rPr>
          <w:color w:val="231F20"/>
          <w:spacing w:val="-1"/>
        </w:rPr>
        <w:t>Section</w:t>
      </w:r>
      <w:r>
        <w:rPr>
          <w:color w:val="231F20"/>
          <w:spacing w:val="-4"/>
        </w:rPr>
        <w:t> </w:t>
      </w:r>
      <w:r>
        <w:rPr>
          <w:color w:val="231F20"/>
          <w:spacing w:val="-1"/>
        </w:rPr>
        <w:t>3.2</w:t>
      </w:r>
      <w:r>
        <w:rPr>
          <w:color w:val="231F20"/>
          <w:spacing w:val="-5"/>
        </w:rPr>
        <w:t> </w:t>
      </w:r>
      <w:r>
        <w:rPr>
          <w:color w:val="231F20"/>
        </w:rPr>
        <w:t>of</w:t>
      </w:r>
      <w:r>
        <w:rPr>
          <w:color w:val="231F20"/>
          <w:spacing w:val="-4"/>
        </w:rPr>
        <w:t> </w:t>
      </w:r>
      <w:r>
        <w:rPr>
          <w:color w:val="231F20"/>
        </w:rPr>
        <w:t>the</w:t>
      </w:r>
      <w:r>
        <w:rPr>
          <w:color w:val="231F20"/>
          <w:spacing w:val="-4"/>
        </w:rPr>
        <w:t> </w:t>
      </w:r>
      <w:r>
        <w:rPr>
          <w:color w:val="231F20"/>
          <w:spacing w:val="-1"/>
        </w:rPr>
        <w:t>Boarding</w:t>
      </w:r>
      <w:r>
        <w:rPr>
          <w:color w:val="231F20"/>
          <w:spacing w:val="-5"/>
        </w:rPr>
        <w:t> </w:t>
      </w:r>
      <w:r>
        <w:rPr>
          <w:color w:val="231F20"/>
          <w:spacing w:val="-1"/>
        </w:rPr>
        <w:t>Standard</w:t>
      </w:r>
      <w:r>
        <w:rPr>
          <w:color w:val="231F20"/>
          <w:spacing w:val="-4"/>
        </w:rPr>
        <w:t> </w:t>
      </w:r>
      <w:r>
        <w:rPr>
          <w:color w:val="231F20"/>
        </w:rPr>
        <w:t>currently</w:t>
      </w:r>
      <w:r>
        <w:rPr>
          <w:color w:val="231F20"/>
          <w:spacing w:val="25"/>
          <w:w w:val="99"/>
        </w:rPr>
        <w:t> </w:t>
      </w:r>
      <w:r>
        <w:rPr>
          <w:color w:val="231F20"/>
          <w:spacing w:val="-1"/>
        </w:rPr>
        <w:t>sets</w:t>
      </w:r>
      <w:r>
        <w:rPr>
          <w:color w:val="231F20"/>
          <w:spacing w:val="-4"/>
        </w:rPr>
        <w:t> </w:t>
      </w:r>
      <w:r>
        <w:rPr>
          <w:color w:val="231F20"/>
        </w:rPr>
        <w:t>out</w:t>
      </w:r>
      <w:r>
        <w:rPr>
          <w:color w:val="231F20"/>
          <w:spacing w:val="-3"/>
        </w:rPr>
        <w:t> </w:t>
      </w:r>
      <w:r>
        <w:rPr>
          <w:color w:val="231F20"/>
        </w:rPr>
        <w:t>a</w:t>
      </w:r>
      <w:r>
        <w:rPr>
          <w:color w:val="231F20"/>
          <w:spacing w:val="-3"/>
        </w:rPr>
        <w:t> </w:t>
      </w:r>
      <w:r>
        <w:rPr>
          <w:color w:val="231F20"/>
        </w:rPr>
        <w:t>basic</w:t>
      </w:r>
      <w:r>
        <w:rPr>
          <w:color w:val="231F20"/>
          <w:spacing w:val="-5"/>
        </w:rPr>
        <w:t> </w:t>
      </w:r>
      <w:r>
        <w:rPr>
          <w:color w:val="231F20"/>
        </w:rPr>
        <w:t>child</w:t>
      </w:r>
      <w:r>
        <w:rPr>
          <w:color w:val="231F20"/>
          <w:spacing w:val="-4"/>
        </w:rPr>
        <w:t> </w:t>
      </w:r>
      <w:r>
        <w:rPr>
          <w:color w:val="231F20"/>
        </w:rPr>
        <w:t>protection</w:t>
      </w:r>
      <w:r>
        <w:rPr>
          <w:color w:val="231F20"/>
          <w:spacing w:val="-4"/>
        </w:rPr>
        <w:t> </w:t>
      </w:r>
      <w:r>
        <w:rPr>
          <w:color w:val="231F20"/>
        </w:rPr>
        <w:t>framework</w:t>
      </w:r>
      <w:r>
        <w:rPr>
          <w:color w:val="231F20"/>
          <w:spacing w:val="-4"/>
        </w:rPr>
        <w:t> </w:t>
      </w:r>
      <w:r>
        <w:rPr>
          <w:color w:val="231F20"/>
        </w:rPr>
        <w:t>for</w:t>
      </w:r>
      <w:r>
        <w:rPr>
          <w:color w:val="231F20"/>
          <w:spacing w:val="21"/>
          <w:w w:val="99"/>
        </w:rPr>
        <w:t> </w:t>
      </w:r>
      <w:r>
        <w:rPr>
          <w:color w:val="231F20"/>
        </w:rPr>
        <w:t>boarders.</w:t>
      </w:r>
      <w:r>
        <w:rPr/>
      </w:r>
    </w:p>
    <w:p>
      <w:pPr>
        <w:pStyle w:val="BodyText"/>
        <w:spacing w:line="250" w:lineRule="exact" w:before="113"/>
        <w:ind w:right="140"/>
        <w:jc w:val="left"/>
      </w:pPr>
      <w:r>
        <w:rPr>
          <w:color w:val="231F20"/>
        </w:rPr>
        <w:t>No</w:t>
      </w:r>
      <w:r>
        <w:rPr>
          <w:color w:val="231F20"/>
          <w:spacing w:val="-5"/>
        </w:rPr>
        <w:t> </w:t>
      </w:r>
      <w:r>
        <w:rPr>
          <w:color w:val="231F20"/>
        </w:rPr>
        <w:t>comments</w:t>
      </w:r>
      <w:r>
        <w:rPr>
          <w:color w:val="231F20"/>
          <w:spacing w:val="-6"/>
        </w:rPr>
        <w:t> </w:t>
      </w:r>
      <w:r>
        <w:rPr>
          <w:color w:val="231F20"/>
        </w:rPr>
        <w:t>were</w:t>
      </w:r>
      <w:r>
        <w:rPr>
          <w:color w:val="231F20"/>
          <w:spacing w:val="-6"/>
        </w:rPr>
        <w:t> </w:t>
      </w:r>
      <w:r>
        <w:rPr>
          <w:color w:val="231F20"/>
          <w:spacing w:val="-1"/>
        </w:rPr>
        <w:t>made</w:t>
      </w:r>
      <w:r>
        <w:rPr>
          <w:color w:val="231F20"/>
          <w:spacing w:val="-4"/>
        </w:rPr>
        <w:t> </w:t>
      </w:r>
      <w:r>
        <w:rPr>
          <w:color w:val="231F20"/>
        </w:rPr>
        <w:t>about</w:t>
      </w:r>
      <w:r>
        <w:rPr>
          <w:color w:val="231F20"/>
          <w:spacing w:val="-6"/>
        </w:rPr>
        <w:t> </w:t>
      </w:r>
      <w:r>
        <w:rPr>
          <w:color w:val="231F20"/>
        </w:rPr>
        <w:t>the</w:t>
      </w:r>
      <w:r>
        <w:rPr>
          <w:color w:val="231F20"/>
          <w:spacing w:val="-6"/>
        </w:rPr>
        <w:t> </w:t>
      </w:r>
      <w:r>
        <w:rPr>
          <w:color w:val="231F20"/>
        </w:rPr>
        <w:t>adequacy</w:t>
      </w:r>
      <w:r>
        <w:rPr>
          <w:color w:val="231F20"/>
          <w:spacing w:val="21"/>
          <w:w w:val="99"/>
        </w:rPr>
        <w:t> </w:t>
      </w:r>
      <w:r>
        <w:rPr>
          <w:color w:val="231F20"/>
        </w:rPr>
        <w:t>of</w:t>
      </w:r>
      <w:r>
        <w:rPr>
          <w:color w:val="231F20"/>
          <w:spacing w:val="-7"/>
        </w:rPr>
        <w:t> </w:t>
      </w:r>
      <w:r>
        <w:rPr>
          <w:color w:val="231F20"/>
        </w:rPr>
        <w:t>the</w:t>
      </w:r>
      <w:r>
        <w:rPr>
          <w:color w:val="231F20"/>
          <w:spacing w:val="-7"/>
        </w:rPr>
        <w:t> </w:t>
      </w:r>
      <w:r>
        <w:rPr>
          <w:color w:val="231F20"/>
        </w:rPr>
        <w:t>current</w:t>
      </w:r>
      <w:r>
        <w:rPr>
          <w:color w:val="231F20"/>
          <w:spacing w:val="-6"/>
        </w:rPr>
        <w:t> </w:t>
      </w:r>
      <w:r>
        <w:rPr>
          <w:color w:val="231F20"/>
          <w:spacing w:val="-1"/>
        </w:rPr>
        <w:t>Boarding</w:t>
      </w:r>
      <w:r>
        <w:rPr>
          <w:color w:val="231F20"/>
          <w:spacing w:val="-6"/>
        </w:rPr>
        <w:t> </w:t>
      </w:r>
      <w:r>
        <w:rPr>
          <w:color w:val="231F20"/>
          <w:spacing w:val="-1"/>
        </w:rPr>
        <w:t>Standard</w:t>
      </w:r>
      <w:r>
        <w:rPr>
          <w:color w:val="231F20"/>
          <w:spacing w:val="-7"/>
        </w:rPr>
        <w:t> </w:t>
      </w:r>
      <w:r>
        <w:rPr>
          <w:color w:val="231F20"/>
        </w:rPr>
        <w:t>and</w:t>
      </w:r>
      <w:r>
        <w:rPr>
          <w:color w:val="231F20"/>
          <w:spacing w:val="-7"/>
        </w:rPr>
        <w:t> </w:t>
      </w:r>
      <w:r>
        <w:rPr>
          <w:color w:val="231F20"/>
        </w:rPr>
        <w:t>whether</w:t>
      </w:r>
      <w:r>
        <w:rPr>
          <w:color w:val="231F20"/>
          <w:spacing w:val="23"/>
          <w:w w:val="99"/>
        </w:rPr>
        <w:t> </w:t>
      </w:r>
      <w:r>
        <w:rPr>
          <w:color w:val="231F20"/>
          <w:spacing w:val="-1"/>
        </w:rPr>
        <w:t>it</w:t>
      </w:r>
      <w:r>
        <w:rPr>
          <w:color w:val="231F20"/>
          <w:spacing w:val="-4"/>
        </w:rPr>
        <w:t> </w:t>
      </w:r>
      <w:r>
        <w:rPr>
          <w:color w:val="231F20"/>
        </w:rPr>
        <w:t>was</w:t>
      </w:r>
      <w:r>
        <w:rPr>
          <w:color w:val="231F20"/>
          <w:spacing w:val="-5"/>
        </w:rPr>
        <w:t> </w:t>
      </w:r>
      <w:r>
        <w:rPr>
          <w:color w:val="231F20"/>
        </w:rPr>
        <w:t>appropriate</w:t>
      </w:r>
      <w:r>
        <w:rPr>
          <w:color w:val="231F20"/>
          <w:spacing w:val="-5"/>
        </w:rPr>
        <w:t> </w:t>
      </w:r>
      <w:r>
        <w:rPr>
          <w:color w:val="231F20"/>
        </w:rPr>
        <w:t>for</w:t>
      </w:r>
      <w:r>
        <w:rPr>
          <w:color w:val="231F20"/>
          <w:spacing w:val="-4"/>
        </w:rPr>
        <w:t> </w:t>
      </w:r>
      <w:r>
        <w:rPr>
          <w:color w:val="231F20"/>
        </w:rPr>
        <w:t>all</w:t>
      </w:r>
      <w:r>
        <w:rPr>
          <w:color w:val="231F20"/>
          <w:spacing w:val="-5"/>
        </w:rPr>
        <w:t> </w:t>
      </w:r>
      <w:r>
        <w:rPr>
          <w:color w:val="231F20"/>
          <w:spacing w:val="-1"/>
        </w:rPr>
        <w:t>models</w:t>
      </w:r>
      <w:r>
        <w:rPr>
          <w:color w:val="231F20"/>
          <w:spacing w:val="-4"/>
        </w:rPr>
        <w:t> </w:t>
      </w:r>
      <w:r>
        <w:rPr>
          <w:color w:val="231F20"/>
        </w:rPr>
        <w:t>of</w:t>
      </w:r>
      <w:r>
        <w:rPr>
          <w:color w:val="231F20"/>
          <w:spacing w:val="-4"/>
        </w:rPr>
        <w:t> </w:t>
      </w:r>
      <w:r>
        <w:rPr>
          <w:color w:val="231F20"/>
        </w:rPr>
        <w:t>Aboriginal</w:t>
      </w:r>
      <w:r>
        <w:rPr>
          <w:color w:val="231F20"/>
          <w:spacing w:val="23"/>
          <w:w w:val="99"/>
        </w:rPr>
        <w:t> </w:t>
      </w:r>
      <w:r>
        <w:rPr>
          <w:color w:val="231F20"/>
        </w:rPr>
        <w:t>and</w:t>
      </w:r>
      <w:r>
        <w:rPr>
          <w:color w:val="231F20"/>
          <w:spacing w:val="-6"/>
        </w:rPr>
        <w:t> </w:t>
      </w:r>
      <w:r>
        <w:rPr>
          <w:color w:val="231F20"/>
          <w:spacing w:val="-5"/>
        </w:rPr>
        <w:t>Torres</w:t>
      </w:r>
      <w:r>
        <w:rPr>
          <w:color w:val="231F20"/>
          <w:spacing w:val="-4"/>
        </w:rPr>
        <w:t> </w:t>
      </w:r>
      <w:r>
        <w:rPr>
          <w:color w:val="231F20"/>
          <w:spacing w:val="-2"/>
        </w:rPr>
        <w:t>Strait</w:t>
      </w:r>
      <w:r>
        <w:rPr>
          <w:color w:val="231F20"/>
          <w:spacing w:val="-6"/>
        </w:rPr>
        <w:t> </w:t>
      </w:r>
      <w:r>
        <w:rPr>
          <w:color w:val="231F20"/>
          <w:spacing w:val="-1"/>
        </w:rPr>
        <w:t>Islander</w:t>
      </w:r>
      <w:r>
        <w:rPr>
          <w:color w:val="231F20"/>
          <w:spacing w:val="-4"/>
        </w:rPr>
        <w:t> </w:t>
      </w:r>
      <w:r>
        <w:rPr>
          <w:color w:val="231F20"/>
        </w:rPr>
        <w:t>boarding.</w:t>
      </w:r>
      <w:r>
        <w:rPr>
          <w:color w:val="231F20"/>
          <w:spacing w:val="-5"/>
        </w:rPr>
        <w:t> </w:t>
      </w:r>
      <w:r>
        <w:rPr>
          <w:color w:val="231F20"/>
          <w:spacing w:val="-1"/>
        </w:rPr>
        <w:t>Some</w:t>
      </w:r>
      <w:r>
        <w:rPr>
          <w:color w:val="231F20"/>
          <w:spacing w:val="20"/>
        </w:rPr>
        <w:t> </w:t>
      </w:r>
      <w:r>
        <w:rPr>
          <w:color w:val="231F20"/>
          <w:spacing w:val="-1"/>
        </w:rPr>
        <w:t>interviewees</w:t>
      </w:r>
      <w:r>
        <w:rPr>
          <w:color w:val="231F20"/>
          <w:spacing w:val="-10"/>
        </w:rPr>
        <w:t> </w:t>
      </w:r>
      <w:r>
        <w:rPr>
          <w:color w:val="231F20"/>
        </w:rPr>
        <w:t>recommended</w:t>
      </w:r>
      <w:r>
        <w:rPr>
          <w:color w:val="231F20"/>
          <w:spacing w:val="-11"/>
        </w:rPr>
        <w:t> </w:t>
      </w:r>
      <w:r>
        <w:rPr>
          <w:color w:val="231F20"/>
        </w:rPr>
        <w:t>that</w:t>
      </w:r>
      <w:r>
        <w:rPr>
          <w:color w:val="231F20"/>
          <w:spacing w:val="-10"/>
        </w:rPr>
        <w:t> </w:t>
      </w:r>
      <w:r>
        <w:rPr>
          <w:color w:val="231F20"/>
        </w:rPr>
        <w:t>compliance</w:t>
      </w:r>
      <w:r>
        <w:rPr>
          <w:color w:val="231F20"/>
          <w:spacing w:val="22"/>
        </w:rPr>
        <w:t> </w:t>
      </w:r>
      <w:r>
        <w:rPr>
          <w:color w:val="231F20"/>
        </w:rPr>
        <w:t>with</w:t>
      </w:r>
      <w:r>
        <w:rPr>
          <w:color w:val="231F20"/>
          <w:spacing w:val="-5"/>
        </w:rPr>
        <w:t> </w:t>
      </w:r>
      <w:r>
        <w:rPr>
          <w:color w:val="231F20"/>
        </w:rPr>
        <w:t>the</w:t>
      </w:r>
      <w:r>
        <w:rPr>
          <w:color w:val="231F20"/>
          <w:spacing w:val="-5"/>
        </w:rPr>
        <w:t> </w:t>
      </w:r>
      <w:r>
        <w:rPr>
          <w:color w:val="231F20"/>
          <w:spacing w:val="-1"/>
        </w:rPr>
        <w:t>Boarding</w:t>
      </w:r>
      <w:r>
        <w:rPr>
          <w:color w:val="231F20"/>
          <w:spacing w:val="-4"/>
        </w:rPr>
        <w:t> </w:t>
      </w:r>
      <w:r>
        <w:rPr>
          <w:color w:val="231F20"/>
          <w:spacing w:val="-1"/>
        </w:rPr>
        <w:t>Standard</w:t>
      </w:r>
      <w:r>
        <w:rPr>
          <w:color w:val="231F20"/>
          <w:spacing w:val="-5"/>
        </w:rPr>
        <w:t> </w:t>
      </w:r>
      <w:r>
        <w:rPr>
          <w:color w:val="231F20"/>
          <w:spacing w:val="-1"/>
        </w:rPr>
        <w:t>should</w:t>
      </w:r>
      <w:r>
        <w:rPr>
          <w:color w:val="231F20"/>
          <w:spacing w:val="-4"/>
        </w:rPr>
        <w:t> </w:t>
      </w:r>
      <w:r>
        <w:rPr>
          <w:color w:val="231F20"/>
        </w:rPr>
        <w:t>be</w:t>
      </w:r>
      <w:r>
        <w:rPr>
          <w:color w:val="231F20"/>
          <w:spacing w:val="-4"/>
        </w:rPr>
        <w:t> </w:t>
      </w:r>
      <w:r>
        <w:rPr>
          <w:color w:val="231F20"/>
          <w:spacing w:val="-1"/>
        </w:rPr>
        <w:t>legally</w:t>
      </w:r>
      <w:r>
        <w:rPr>
          <w:color w:val="231F20"/>
          <w:spacing w:val="23"/>
        </w:rPr>
        <w:t> </w:t>
      </w:r>
      <w:r>
        <w:rPr>
          <w:color w:val="231F20"/>
          <w:spacing w:val="-1"/>
        </w:rPr>
        <w:t>mandated,</w:t>
      </w:r>
      <w:r>
        <w:rPr>
          <w:color w:val="231F20"/>
          <w:spacing w:val="-9"/>
        </w:rPr>
        <w:t> </w:t>
      </w:r>
      <w:r>
        <w:rPr>
          <w:color w:val="231F20"/>
        </w:rPr>
        <w:t>provided</w:t>
      </w:r>
      <w:r>
        <w:rPr>
          <w:color w:val="231F20"/>
          <w:spacing w:val="-10"/>
        </w:rPr>
        <w:t> </w:t>
      </w:r>
      <w:r>
        <w:rPr>
          <w:color w:val="231F20"/>
        </w:rPr>
        <w:t>additional</w:t>
      </w:r>
      <w:r>
        <w:rPr>
          <w:color w:val="231F20"/>
          <w:spacing w:val="-10"/>
        </w:rPr>
        <w:t> </w:t>
      </w:r>
      <w:r>
        <w:rPr>
          <w:color w:val="231F20"/>
        </w:rPr>
        <w:t>funding</w:t>
      </w:r>
      <w:r>
        <w:rPr>
          <w:color w:val="231F20"/>
          <w:spacing w:val="-9"/>
        </w:rPr>
        <w:t> </w:t>
      </w:r>
      <w:r>
        <w:rPr>
          <w:color w:val="231F20"/>
        </w:rPr>
        <w:t>was</w:t>
      </w:r>
      <w:r>
        <w:rPr>
          <w:color w:val="231F20"/>
          <w:spacing w:val="22"/>
          <w:w w:val="99"/>
        </w:rPr>
        <w:t> </w:t>
      </w:r>
      <w:r>
        <w:rPr>
          <w:color w:val="231F20"/>
        </w:rPr>
        <w:t>provided</w:t>
      </w:r>
      <w:r>
        <w:rPr>
          <w:color w:val="231F20"/>
          <w:spacing w:val="-6"/>
        </w:rPr>
        <w:t> </w:t>
      </w:r>
      <w:r>
        <w:rPr>
          <w:color w:val="231F20"/>
        </w:rPr>
        <w:t>to</w:t>
      </w:r>
      <w:r>
        <w:rPr>
          <w:color w:val="231F20"/>
          <w:spacing w:val="-5"/>
        </w:rPr>
        <w:t> </w:t>
      </w:r>
      <w:r>
        <w:rPr>
          <w:color w:val="231F20"/>
        </w:rPr>
        <w:t>assist</w:t>
      </w:r>
      <w:r>
        <w:rPr>
          <w:color w:val="231F20"/>
          <w:spacing w:val="-5"/>
        </w:rPr>
        <w:t> </w:t>
      </w:r>
      <w:r>
        <w:rPr>
          <w:color w:val="231F20"/>
        </w:rPr>
        <w:t>boarding</w:t>
      </w:r>
      <w:r>
        <w:rPr>
          <w:color w:val="231F20"/>
          <w:spacing w:val="-6"/>
        </w:rPr>
        <w:t> </w:t>
      </w:r>
      <w:r>
        <w:rPr>
          <w:color w:val="231F20"/>
        </w:rPr>
        <w:t>providers</w:t>
      </w:r>
      <w:r>
        <w:rPr>
          <w:color w:val="231F20"/>
          <w:spacing w:val="-6"/>
        </w:rPr>
        <w:t> </w:t>
      </w:r>
      <w:r>
        <w:rPr>
          <w:color w:val="231F20"/>
        </w:rPr>
        <w:t>to</w:t>
      </w:r>
      <w:r>
        <w:rPr>
          <w:color w:val="231F20"/>
          <w:spacing w:val="-4"/>
        </w:rPr>
        <w:t> </w:t>
      </w:r>
      <w:r>
        <w:rPr>
          <w:color w:val="231F20"/>
          <w:spacing w:val="-1"/>
        </w:rPr>
        <w:t>move</w:t>
      </w:r>
      <w:r>
        <w:rPr>
          <w:color w:val="231F20"/>
          <w:spacing w:val="19"/>
        </w:rPr>
        <w:t> </w:t>
      </w:r>
      <w:r>
        <w:rPr>
          <w:color w:val="231F20"/>
        </w:rPr>
        <w:t>to</w:t>
      </w:r>
      <w:r>
        <w:rPr>
          <w:color w:val="231F20"/>
          <w:spacing w:val="-6"/>
        </w:rPr>
        <w:t> </w:t>
      </w:r>
      <w:r>
        <w:rPr>
          <w:color w:val="231F20"/>
        </w:rPr>
        <w:t>full</w:t>
      </w:r>
      <w:r>
        <w:rPr>
          <w:color w:val="231F20"/>
          <w:spacing w:val="-5"/>
        </w:rPr>
        <w:t> </w:t>
      </w:r>
      <w:r>
        <w:rPr>
          <w:color w:val="231F20"/>
        </w:rPr>
        <w:t>compliance.</w:t>
      </w:r>
      <w:r>
        <w:rPr>
          <w:color w:val="231F20"/>
          <w:spacing w:val="-6"/>
        </w:rPr>
        <w:t> </w:t>
      </w:r>
      <w:r>
        <w:rPr>
          <w:color w:val="231F20"/>
        </w:rPr>
        <w:t>As</w:t>
      </w:r>
      <w:r>
        <w:rPr>
          <w:color w:val="231F20"/>
          <w:spacing w:val="-6"/>
        </w:rPr>
        <w:t> </w:t>
      </w:r>
      <w:r>
        <w:rPr>
          <w:color w:val="231F20"/>
        </w:rPr>
        <w:t>previously</w:t>
      </w:r>
      <w:r>
        <w:rPr>
          <w:color w:val="231F20"/>
          <w:spacing w:val="-6"/>
        </w:rPr>
        <w:t> </w:t>
      </w:r>
      <w:r>
        <w:rPr>
          <w:color w:val="231F20"/>
        </w:rPr>
        <w:t>noted,</w:t>
      </w:r>
      <w:r>
        <w:rPr>
          <w:color w:val="231F20"/>
          <w:spacing w:val="-6"/>
        </w:rPr>
        <w:t> </w:t>
      </w:r>
      <w:r>
        <w:rPr>
          <w:color w:val="231F20"/>
        </w:rPr>
        <w:t>the</w:t>
      </w:r>
      <w:r>
        <w:rPr>
          <w:color w:val="231F20"/>
          <w:w w:val="99"/>
        </w:rPr>
        <w:t> </w:t>
      </w:r>
      <w:r>
        <w:rPr>
          <w:color w:val="231F20"/>
          <w:spacing w:val="-1"/>
        </w:rPr>
        <w:t>Boarding</w:t>
      </w:r>
      <w:r>
        <w:rPr>
          <w:color w:val="231F20"/>
          <w:spacing w:val="-7"/>
        </w:rPr>
        <w:t> </w:t>
      </w:r>
      <w:r>
        <w:rPr>
          <w:color w:val="231F20"/>
          <w:spacing w:val="-1"/>
        </w:rPr>
        <w:t>Standard</w:t>
      </w:r>
      <w:r>
        <w:rPr>
          <w:color w:val="231F20"/>
          <w:spacing w:val="-8"/>
        </w:rPr>
        <w:t> </w:t>
      </w:r>
      <w:r>
        <w:rPr>
          <w:color w:val="231F20"/>
          <w:spacing w:val="-1"/>
        </w:rPr>
        <w:t>is</w:t>
      </w:r>
      <w:r>
        <w:rPr>
          <w:color w:val="231F20"/>
          <w:spacing w:val="-7"/>
        </w:rPr>
        <w:t> </w:t>
      </w:r>
      <w:r>
        <w:rPr>
          <w:color w:val="231F20"/>
        </w:rPr>
        <w:t>already</w:t>
      </w:r>
      <w:r>
        <w:rPr>
          <w:color w:val="231F20"/>
          <w:spacing w:val="-8"/>
        </w:rPr>
        <w:t> </w:t>
      </w:r>
      <w:r>
        <w:rPr>
          <w:color w:val="231F20"/>
          <w:spacing w:val="-1"/>
        </w:rPr>
        <w:t>mandated</w:t>
      </w:r>
      <w:r>
        <w:rPr>
          <w:color w:val="231F20"/>
          <w:spacing w:val="-5"/>
        </w:rPr>
        <w:t> </w:t>
      </w:r>
      <w:r>
        <w:rPr>
          <w:color w:val="231F20"/>
        </w:rPr>
        <w:t>for</w:t>
      </w:r>
      <w:r>
        <w:rPr>
          <w:color w:val="231F20"/>
          <w:spacing w:val="25"/>
          <w:w w:val="99"/>
        </w:rPr>
        <w:t> </w:t>
      </w:r>
      <w:r>
        <w:rPr>
          <w:color w:val="231F20"/>
        </w:rPr>
        <w:t>Northern</w:t>
      </w:r>
      <w:r>
        <w:rPr>
          <w:color w:val="231F20"/>
          <w:spacing w:val="-12"/>
        </w:rPr>
        <w:t> </w:t>
      </w:r>
      <w:r>
        <w:rPr>
          <w:color w:val="231F20"/>
          <w:spacing w:val="-3"/>
        </w:rPr>
        <w:t>Territory</w:t>
      </w:r>
      <w:r>
        <w:rPr>
          <w:color w:val="231F20"/>
          <w:spacing w:val="-11"/>
        </w:rPr>
        <w:t> </w:t>
      </w:r>
      <w:r>
        <w:rPr>
          <w:color w:val="231F20"/>
        </w:rPr>
        <w:t>Government</w:t>
      </w:r>
      <w:r>
        <w:rPr>
          <w:color w:val="231F20"/>
          <w:spacing w:val="-12"/>
        </w:rPr>
        <w:t> </w:t>
      </w:r>
      <w:r>
        <w:rPr>
          <w:color w:val="231F20"/>
        </w:rPr>
        <w:t>boarding</w:t>
      </w:r>
      <w:r>
        <w:rPr>
          <w:color w:val="231F20"/>
          <w:spacing w:val="27"/>
          <w:w w:val="99"/>
        </w:rPr>
        <w:t> </w:t>
      </w:r>
      <w:r>
        <w:rPr>
          <w:color w:val="231F20"/>
          <w:spacing w:val="-1"/>
        </w:rPr>
        <w:t>schools.</w:t>
      </w:r>
      <w:r>
        <w:rPr/>
      </w:r>
    </w:p>
    <w:p>
      <w:pPr>
        <w:pStyle w:val="BodyText"/>
        <w:spacing w:line="250" w:lineRule="exact" w:before="113"/>
        <w:ind w:right="0"/>
        <w:jc w:val="left"/>
      </w:pPr>
      <w:r>
        <w:rPr/>
        <w:pict>
          <v:group style="position:absolute;margin-left:509.236115pt;margin-top:99.133202pt;width:.1pt;height:.1pt;mso-position-horizontal-relative:page;mso-position-vertical-relative:paragraph;z-index:10432" coordorigin="10185,1983" coordsize="2,2">
            <v:shape style="position:absolute;left:10185;top:1983;width:2;height:2" coordorigin="10185,1983" coordsize="0,0" path="m10185,1983l10185,1983e" filled="false" stroked="true" strokeweight="2pt" strokecolor="#355f92">
              <v:path arrowok="t"/>
            </v:shape>
            <w10:wrap type="none"/>
          </v:group>
        </w:pict>
      </w:r>
      <w:r>
        <w:rPr/>
        <w:pict>
          <v:group style="position:absolute;margin-left:71.866096pt;margin-top:99.133202pt;width:.1pt;height:.1pt;mso-position-horizontal-relative:page;mso-position-vertical-relative:paragraph;z-index:10456" coordorigin="1437,1983" coordsize="2,2">
            <v:shape style="position:absolute;left:1437;top:1983;width:2;height:2" coordorigin="1437,1983" coordsize="0,0" path="m1437,1983l1437,1983e" filled="false" stroked="true" strokeweight="2pt" strokecolor="#355f92">
              <v:path arrowok="t"/>
            </v:shape>
            <w10:wrap type="none"/>
          </v:group>
        </w:pict>
      </w:r>
      <w:r>
        <w:rPr>
          <w:color w:val="231F20"/>
        </w:rPr>
        <w:t>The</w:t>
      </w:r>
      <w:r>
        <w:rPr>
          <w:color w:val="231F20"/>
          <w:spacing w:val="-7"/>
        </w:rPr>
        <w:t> </w:t>
      </w:r>
      <w:r>
        <w:rPr>
          <w:color w:val="231F20"/>
        </w:rPr>
        <w:t>House</w:t>
      </w:r>
      <w:r>
        <w:rPr>
          <w:color w:val="231F20"/>
          <w:spacing w:val="-7"/>
        </w:rPr>
        <w:t> </w:t>
      </w:r>
      <w:r>
        <w:rPr>
          <w:color w:val="231F20"/>
        </w:rPr>
        <w:t>of</w:t>
      </w:r>
      <w:r>
        <w:rPr>
          <w:color w:val="231F20"/>
          <w:spacing w:val="-6"/>
        </w:rPr>
        <w:t> </w:t>
      </w:r>
      <w:r>
        <w:rPr>
          <w:color w:val="231F20"/>
          <w:spacing w:val="-1"/>
        </w:rPr>
        <w:t>Representatives</w:t>
      </w:r>
      <w:r>
        <w:rPr>
          <w:color w:val="231F20"/>
          <w:spacing w:val="-7"/>
        </w:rPr>
        <w:t> </w:t>
      </w:r>
      <w:r>
        <w:rPr>
          <w:color w:val="231F20"/>
          <w:spacing w:val="-1"/>
        </w:rPr>
        <w:t>Standing</w:t>
      </w:r>
      <w:r>
        <w:rPr>
          <w:color w:val="231F20"/>
          <w:spacing w:val="21"/>
          <w:w w:val="99"/>
        </w:rPr>
        <w:t> </w:t>
      </w:r>
      <w:r>
        <w:rPr>
          <w:rFonts w:ascii="Segoe UI" w:hAnsi="Segoe UI" w:cs="Segoe UI" w:eastAsia="Segoe UI"/>
          <w:color w:val="231F20"/>
        </w:rPr>
        <w:t>Committee</w:t>
      </w:r>
      <w:r>
        <w:rPr>
          <w:rFonts w:ascii="Segoe UI" w:hAnsi="Segoe UI" w:cs="Segoe UI" w:eastAsia="Segoe UI"/>
          <w:color w:val="231F20"/>
          <w:spacing w:val="-3"/>
        </w:rPr>
        <w:t> </w:t>
      </w:r>
      <w:r>
        <w:rPr>
          <w:rFonts w:ascii="Segoe UI" w:hAnsi="Segoe UI" w:cs="Segoe UI" w:eastAsia="Segoe UI"/>
          <w:color w:val="231F20"/>
        </w:rPr>
        <w:t>on</w:t>
      </w:r>
      <w:r>
        <w:rPr>
          <w:rFonts w:ascii="Segoe UI" w:hAnsi="Segoe UI" w:cs="Segoe UI" w:eastAsia="Segoe UI"/>
          <w:color w:val="231F20"/>
          <w:spacing w:val="-2"/>
        </w:rPr>
        <w:t> </w:t>
      </w:r>
      <w:r>
        <w:rPr>
          <w:rFonts w:ascii="Segoe UI" w:hAnsi="Segoe UI" w:cs="Segoe UI" w:eastAsia="Segoe UI"/>
          <w:color w:val="231F20"/>
        </w:rPr>
        <w:t>Indigenous</w:t>
      </w:r>
      <w:r>
        <w:rPr>
          <w:rFonts w:ascii="Segoe UI" w:hAnsi="Segoe UI" w:cs="Segoe UI" w:eastAsia="Segoe UI"/>
          <w:color w:val="231F20"/>
          <w:spacing w:val="-3"/>
        </w:rPr>
        <w:t> </w:t>
      </w:r>
      <w:r>
        <w:rPr>
          <w:rFonts w:ascii="Segoe UI" w:hAnsi="Segoe UI" w:cs="Segoe UI" w:eastAsia="Segoe UI"/>
          <w:color w:val="231F20"/>
        </w:rPr>
        <w:t>Affairs</w:t>
      </w:r>
      <w:r>
        <w:rPr>
          <w:rFonts w:ascii="Segoe UI" w:hAnsi="Segoe UI" w:cs="Segoe UI" w:eastAsia="Segoe UI"/>
          <w:color w:val="231F20"/>
          <w:spacing w:val="-2"/>
        </w:rPr>
        <w:t> </w:t>
      </w:r>
      <w:r>
        <w:rPr>
          <w:rFonts w:ascii="Segoe UI" w:hAnsi="Segoe UI" w:cs="Segoe UI" w:eastAsia="Segoe UI"/>
          <w:color w:val="231F20"/>
        </w:rPr>
        <w:t>recommended</w:t>
      </w:r>
      <w:r>
        <w:rPr>
          <w:rFonts w:ascii="Segoe UI" w:hAnsi="Segoe UI" w:cs="Segoe UI" w:eastAsia="Segoe UI"/>
          <w:color w:val="231F20"/>
        </w:rPr>
        <w:t> </w:t>
      </w:r>
      <w:r>
        <w:rPr>
          <w:color w:val="231F20"/>
        </w:rPr>
        <w:t>all</w:t>
      </w:r>
      <w:r>
        <w:rPr>
          <w:color w:val="231F20"/>
          <w:spacing w:val="-7"/>
        </w:rPr>
        <w:t> </w:t>
      </w:r>
      <w:r>
        <w:rPr>
          <w:color w:val="231F20"/>
        </w:rPr>
        <w:t>boarding</w:t>
      </w:r>
      <w:r>
        <w:rPr>
          <w:color w:val="231F20"/>
          <w:spacing w:val="-6"/>
        </w:rPr>
        <w:t> </w:t>
      </w:r>
      <w:r>
        <w:rPr>
          <w:color w:val="231F20"/>
        </w:rPr>
        <w:t>providers</w:t>
      </w:r>
      <w:r>
        <w:rPr>
          <w:color w:val="231F20"/>
          <w:spacing w:val="-7"/>
        </w:rPr>
        <w:t> </w:t>
      </w:r>
      <w:r>
        <w:rPr>
          <w:color w:val="231F20"/>
          <w:spacing w:val="-1"/>
        </w:rPr>
        <w:t>meet</w:t>
      </w:r>
      <w:r>
        <w:rPr>
          <w:color w:val="231F20"/>
          <w:spacing w:val="-5"/>
        </w:rPr>
        <w:t> </w:t>
      </w:r>
      <w:r>
        <w:rPr>
          <w:color w:val="231F20"/>
        </w:rPr>
        <w:t>the</w:t>
      </w:r>
      <w:r>
        <w:rPr>
          <w:color w:val="231F20"/>
          <w:spacing w:val="-7"/>
        </w:rPr>
        <w:t> </w:t>
      </w:r>
      <w:r>
        <w:rPr>
          <w:color w:val="231F20"/>
          <w:spacing w:val="-1"/>
        </w:rPr>
        <w:t>Boarding</w:t>
      </w:r>
      <w:r>
        <w:rPr>
          <w:color w:val="231F20"/>
          <w:spacing w:val="21"/>
          <w:w w:val="99"/>
        </w:rPr>
        <w:t> </w:t>
      </w:r>
      <w:r>
        <w:rPr>
          <w:color w:val="231F20"/>
          <w:spacing w:val="-1"/>
        </w:rPr>
        <w:t>Standard</w:t>
      </w:r>
      <w:r>
        <w:rPr>
          <w:color w:val="231F20"/>
          <w:spacing w:val="-7"/>
        </w:rPr>
        <w:t> </w:t>
      </w:r>
      <w:r>
        <w:rPr>
          <w:color w:val="231F20"/>
        </w:rPr>
        <w:t>and</w:t>
      </w:r>
      <w:r>
        <w:rPr>
          <w:color w:val="231F20"/>
          <w:spacing w:val="-7"/>
        </w:rPr>
        <w:t> </w:t>
      </w:r>
      <w:r>
        <w:rPr>
          <w:color w:val="231F20"/>
        </w:rPr>
        <w:t>the</w:t>
      </w:r>
      <w:r>
        <w:rPr>
          <w:color w:val="231F20"/>
          <w:spacing w:val="-7"/>
        </w:rPr>
        <w:t> </w:t>
      </w:r>
      <w:r>
        <w:rPr>
          <w:color w:val="231F20"/>
        </w:rPr>
        <w:t>development</w:t>
      </w:r>
      <w:r>
        <w:rPr>
          <w:color w:val="231F20"/>
          <w:spacing w:val="-7"/>
        </w:rPr>
        <w:t> </w:t>
      </w:r>
      <w:r>
        <w:rPr>
          <w:color w:val="231F20"/>
        </w:rPr>
        <w:t>of</w:t>
      </w:r>
      <w:r>
        <w:rPr>
          <w:color w:val="231F20"/>
          <w:spacing w:val="-6"/>
        </w:rPr>
        <w:t> </w:t>
      </w:r>
      <w:r>
        <w:rPr>
          <w:color w:val="231F20"/>
        </w:rPr>
        <w:t>a</w:t>
      </w:r>
      <w:r>
        <w:rPr>
          <w:color w:val="231F20"/>
          <w:spacing w:val="-6"/>
        </w:rPr>
        <w:t> </w:t>
      </w:r>
      <w:r>
        <w:rPr>
          <w:color w:val="231F20"/>
        </w:rPr>
        <w:t>‘National</w:t>
      </w:r>
      <w:r>
        <w:rPr>
          <w:color w:val="231F20"/>
          <w:spacing w:val="21"/>
          <w:w w:val="99"/>
        </w:rPr>
        <w:t> </w:t>
      </w:r>
      <w:r>
        <w:rPr>
          <w:color w:val="231F20"/>
          <w:spacing w:val="-1"/>
        </w:rPr>
        <w:t>Indigenous</w:t>
      </w:r>
      <w:r>
        <w:rPr>
          <w:color w:val="231F20"/>
          <w:spacing w:val="-13"/>
        </w:rPr>
        <w:t> </w:t>
      </w:r>
      <w:r>
        <w:rPr>
          <w:color w:val="231F20"/>
          <w:spacing w:val="-1"/>
        </w:rPr>
        <w:t>Boarding</w:t>
      </w:r>
      <w:r>
        <w:rPr>
          <w:color w:val="231F20"/>
          <w:spacing w:val="-12"/>
        </w:rPr>
        <w:t> </w:t>
      </w:r>
      <w:r>
        <w:rPr>
          <w:color w:val="231F20"/>
          <w:spacing w:val="-1"/>
        </w:rPr>
        <w:t>Strategy’.</w:t>
      </w:r>
      <w:r>
        <w:rPr/>
      </w:r>
    </w:p>
    <w:p>
      <w:pPr>
        <w:pStyle w:val="BodyText"/>
        <w:spacing w:line="250" w:lineRule="exact" w:before="62"/>
        <w:ind w:right="116"/>
        <w:jc w:val="left"/>
      </w:pPr>
      <w:r>
        <w:rPr/>
        <w:br w:type="column"/>
      </w:r>
      <w:r>
        <w:rPr>
          <w:color w:val="231F20"/>
          <w:spacing w:val="-1"/>
        </w:rPr>
        <w:t>Since</w:t>
      </w:r>
      <w:r>
        <w:rPr>
          <w:color w:val="231F20"/>
          <w:spacing w:val="-7"/>
        </w:rPr>
        <w:t> </w:t>
      </w:r>
      <w:r>
        <w:rPr>
          <w:color w:val="231F20"/>
          <w:spacing w:val="-1"/>
        </w:rPr>
        <w:t>2016</w:t>
      </w:r>
      <w:r>
        <w:rPr>
          <w:color w:val="231F20"/>
          <w:spacing w:val="-6"/>
        </w:rPr>
        <w:t> </w:t>
      </w:r>
      <w:r>
        <w:rPr>
          <w:color w:val="231F20"/>
          <w:spacing w:val="-1"/>
        </w:rPr>
        <w:t>Indigenous</w:t>
      </w:r>
      <w:r>
        <w:rPr>
          <w:color w:val="231F20"/>
          <w:spacing w:val="-6"/>
        </w:rPr>
        <w:t> </w:t>
      </w:r>
      <w:r>
        <w:rPr>
          <w:color w:val="231F20"/>
        </w:rPr>
        <w:t>Education</w:t>
      </w:r>
      <w:r>
        <w:rPr>
          <w:color w:val="231F20"/>
          <w:spacing w:val="-6"/>
        </w:rPr>
        <w:t> </w:t>
      </w:r>
      <w:r>
        <w:rPr>
          <w:color w:val="231F20"/>
        </w:rPr>
        <w:t>and</w:t>
      </w:r>
      <w:r>
        <w:rPr>
          <w:color w:val="231F20"/>
          <w:spacing w:val="-7"/>
        </w:rPr>
        <w:t> </w:t>
      </w:r>
      <w:r>
        <w:rPr>
          <w:color w:val="231F20"/>
          <w:spacing w:val="-1"/>
        </w:rPr>
        <w:t>Boarding</w:t>
      </w:r>
      <w:r>
        <w:rPr>
          <w:color w:val="231F20"/>
          <w:spacing w:val="24"/>
          <w:w w:val="99"/>
        </w:rPr>
        <w:t> </w:t>
      </w:r>
      <w:r>
        <w:rPr>
          <w:color w:val="231F20"/>
        </w:rPr>
        <w:t>Australia</w:t>
      </w:r>
      <w:r>
        <w:rPr>
          <w:color w:val="231F20"/>
          <w:spacing w:val="-5"/>
        </w:rPr>
        <w:t> </w:t>
      </w:r>
      <w:r>
        <w:rPr>
          <w:color w:val="231F20"/>
        </w:rPr>
        <w:t>has</w:t>
      </w:r>
      <w:r>
        <w:rPr>
          <w:color w:val="231F20"/>
          <w:spacing w:val="-6"/>
        </w:rPr>
        <w:t> </w:t>
      </w:r>
      <w:r>
        <w:rPr>
          <w:color w:val="231F20"/>
        </w:rPr>
        <w:t>also</w:t>
      </w:r>
      <w:r>
        <w:rPr>
          <w:color w:val="231F20"/>
          <w:spacing w:val="-5"/>
        </w:rPr>
        <w:t> </w:t>
      </w:r>
      <w:r>
        <w:rPr>
          <w:color w:val="231F20"/>
        </w:rPr>
        <w:t>called</w:t>
      </w:r>
      <w:r>
        <w:rPr>
          <w:color w:val="231F20"/>
          <w:spacing w:val="-5"/>
        </w:rPr>
        <w:t> </w:t>
      </w:r>
      <w:r>
        <w:rPr>
          <w:color w:val="231F20"/>
        </w:rPr>
        <w:t>for</w:t>
      </w:r>
      <w:r>
        <w:rPr>
          <w:color w:val="231F20"/>
          <w:spacing w:val="-5"/>
        </w:rPr>
        <w:t> </w:t>
      </w:r>
      <w:r>
        <w:rPr>
          <w:color w:val="231F20"/>
        </w:rPr>
        <w:t>the</w:t>
      </w:r>
      <w:r>
        <w:rPr>
          <w:color w:val="231F20"/>
          <w:spacing w:val="-6"/>
        </w:rPr>
        <w:t> </w:t>
      </w:r>
      <w:r>
        <w:rPr>
          <w:color w:val="231F20"/>
        </w:rPr>
        <w:t>development</w:t>
      </w:r>
      <w:r>
        <w:rPr>
          <w:color w:val="231F20"/>
          <w:spacing w:val="-5"/>
        </w:rPr>
        <w:t> </w:t>
      </w:r>
      <w:r>
        <w:rPr>
          <w:color w:val="231F20"/>
          <w:spacing w:val="-5"/>
        </w:rPr>
      </w:r>
      <w:r>
        <w:rPr>
          <w:color w:val="231F20"/>
        </w:rPr>
        <w:t>of</w:t>
      </w:r>
      <w:r>
        <w:rPr>
          <w:color w:val="231F20"/>
        </w:rPr>
        <w:t> a</w:t>
      </w:r>
      <w:r>
        <w:rPr>
          <w:color w:val="231F20"/>
          <w:spacing w:val="-9"/>
        </w:rPr>
        <w:t> </w:t>
      </w:r>
      <w:r>
        <w:rPr>
          <w:color w:val="231F20"/>
        </w:rPr>
        <w:t>National</w:t>
      </w:r>
      <w:r>
        <w:rPr>
          <w:color w:val="231F20"/>
          <w:spacing w:val="-8"/>
        </w:rPr>
        <w:t> </w:t>
      </w:r>
      <w:r>
        <w:rPr>
          <w:color w:val="231F20"/>
          <w:spacing w:val="-1"/>
        </w:rPr>
        <w:t>Indigenous</w:t>
      </w:r>
      <w:r>
        <w:rPr>
          <w:color w:val="231F20"/>
          <w:spacing w:val="-8"/>
        </w:rPr>
        <w:t> </w:t>
      </w:r>
      <w:r>
        <w:rPr>
          <w:color w:val="231F20"/>
          <w:spacing w:val="-1"/>
        </w:rPr>
        <w:t>Boarding</w:t>
      </w:r>
      <w:r>
        <w:rPr>
          <w:color w:val="231F20"/>
          <w:spacing w:val="-8"/>
        </w:rPr>
        <w:t> </w:t>
      </w:r>
      <w:r>
        <w:rPr>
          <w:color w:val="231F20"/>
          <w:spacing w:val="-1"/>
        </w:rPr>
        <w:t>Strategy</w:t>
      </w:r>
      <w:r>
        <w:rPr/>
      </w:r>
    </w:p>
    <w:p>
      <w:pPr>
        <w:pStyle w:val="BodyText"/>
        <w:spacing w:line="250" w:lineRule="exact"/>
        <w:ind w:right="917"/>
        <w:jc w:val="both"/>
      </w:pPr>
      <w:r>
        <w:rPr>
          <w:color w:val="231F20"/>
        </w:rPr>
        <w:t>to</w:t>
      </w:r>
      <w:r>
        <w:rPr>
          <w:color w:val="231F20"/>
          <w:spacing w:val="-6"/>
        </w:rPr>
        <w:t> </w:t>
      </w:r>
      <w:r>
        <w:rPr>
          <w:color w:val="231F20"/>
        </w:rPr>
        <w:t>‘improve</w:t>
      </w:r>
      <w:r>
        <w:rPr>
          <w:color w:val="231F20"/>
          <w:spacing w:val="-5"/>
        </w:rPr>
        <w:t> </w:t>
      </w:r>
      <w:r>
        <w:rPr>
          <w:color w:val="231F20"/>
        </w:rPr>
        <w:t>the</w:t>
      </w:r>
      <w:r>
        <w:rPr>
          <w:color w:val="231F20"/>
          <w:spacing w:val="-7"/>
        </w:rPr>
        <w:t> </w:t>
      </w:r>
      <w:r>
        <w:rPr>
          <w:color w:val="231F20"/>
        </w:rPr>
        <w:t>quality</w:t>
      </w:r>
      <w:r>
        <w:rPr>
          <w:color w:val="231F20"/>
          <w:spacing w:val="-6"/>
        </w:rPr>
        <w:t> </w:t>
      </w:r>
      <w:r>
        <w:rPr>
          <w:color w:val="231F20"/>
        </w:rPr>
        <w:t>and</w:t>
      </w:r>
      <w:r>
        <w:rPr>
          <w:color w:val="231F20"/>
          <w:spacing w:val="-6"/>
        </w:rPr>
        <w:t> </w:t>
      </w:r>
      <w:r>
        <w:rPr>
          <w:color w:val="231F20"/>
        </w:rPr>
        <w:t>availability</w:t>
      </w:r>
      <w:r>
        <w:rPr>
          <w:color w:val="231F20"/>
          <w:w w:val="99"/>
        </w:rPr>
        <w:t> </w:t>
      </w:r>
      <w:r>
        <w:rPr>
          <w:color w:val="231F20"/>
        </w:rPr>
        <w:t>of</w:t>
      </w:r>
      <w:r>
        <w:rPr>
          <w:color w:val="231F20"/>
          <w:spacing w:val="-5"/>
        </w:rPr>
        <w:t> </w:t>
      </w:r>
      <w:r>
        <w:rPr>
          <w:color w:val="231F20"/>
        </w:rPr>
        <w:t>Aboriginal</w:t>
      </w:r>
      <w:r>
        <w:rPr>
          <w:color w:val="231F20"/>
          <w:spacing w:val="-4"/>
        </w:rPr>
        <w:t> </w:t>
      </w:r>
      <w:r>
        <w:rPr>
          <w:color w:val="231F20"/>
        </w:rPr>
        <w:t>and</w:t>
      </w:r>
      <w:r>
        <w:rPr>
          <w:color w:val="231F20"/>
          <w:spacing w:val="-5"/>
        </w:rPr>
        <w:t> 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29"/>
          <w:w w:val="99"/>
        </w:rPr>
        <w:t> </w:t>
      </w:r>
      <w:r>
        <w:rPr>
          <w:color w:val="231F20"/>
          <w:spacing w:val="-1"/>
        </w:rPr>
        <w:t>boarding’</w:t>
      </w:r>
      <w:r>
        <w:rPr>
          <w:rFonts w:ascii="Segoe UI Semibold" w:hAnsi="Segoe UI Semibold" w:cs="Segoe UI Semibold" w:eastAsia="Segoe UI Semibold"/>
          <w:b/>
          <w:bCs/>
          <w:color w:val="231F20"/>
          <w:spacing w:val="-1"/>
          <w:position w:val="7"/>
          <w:sz w:val="11"/>
          <w:szCs w:val="11"/>
        </w:rPr>
        <w:t>193</w:t>
      </w:r>
      <w:r>
        <w:rPr>
          <w:color w:val="231F20"/>
          <w:spacing w:val="-1"/>
        </w:rPr>
        <w:t>.</w:t>
      </w:r>
      <w:r>
        <w:rPr/>
      </w:r>
    </w:p>
    <w:p>
      <w:pPr>
        <w:pStyle w:val="BodyText"/>
        <w:spacing w:line="250" w:lineRule="exact" w:before="113"/>
        <w:ind w:right="116"/>
        <w:jc w:val="left"/>
        <w:rPr>
          <w:rFonts w:ascii="Segoe UI Semibold" w:hAnsi="Segoe UI Semibold" w:cs="Segoe UI Semibold" w:eastAsia="Segoe UI Semibold"/>
          <w:sz w:val="11"/>
          <w:szCs w:val="11"/>
        </w:rPr>
      </w:pPr>
      <w:r>
        <w:rPr>
          <w:color w:val="231F20"/>
        </w:rPr>
        <w:t>The</w:t>
      </w:r>
      <w:r>
        <w:rPr>
          <w:color w:val="231F20"/>
          <w:spacing w:val="-7"/>
        </w:rPr>
        <w:t> </w:t>
      </w:r>
      <w:r>
        <w:rPr>
          <w:color w:val="231F20"/>
        </w:rPr>
        <w:t>House</w:t>
      </w:r>
      <w:r>
        <w:rPr>
          <w:color w:val="231F20"/>
          <w:spacing w:val="-7"/>
        </w:rPr>
        <w:t> </w:t>
      </w:r>
      <w:r>
        <w:rPr>
          <w:color w:val="231F20"/>
        </w:rPr>
        <w:t>of</w:t>
      </w:r>
      <w:r>
        <w:rPr>
          <w:color w:val="231F20"/>
          <w:spacing w:val="-6"/>
        </w:rPr>
        <w:t> </w:t>
      </w:r>
      <w:r>
        <w:rPr>
          <w:color w:val="231F20"/>
          <w:spacing w:val="-1"/>
        </w:rPr>
        <w:t>Representatives</w:t>
      </w:r>
      <w:r>
        <w:rPr>
          <w:color w:val="231F20"/>
          <w:spacing w:val="-7"/>
        </w:rPr>
        <w:t> </w:t>
      </w:r>
      <w:r>
        <w:rPr>
          <w:color w:val="231F20"/>
          <w:spacing w:val="-1"/>
        </w:rPr>
        <w:t>Standing</w:t>
      </w:r>
      <w:r>
        <w:rPr>
          <w:color w:val="231F20"/>
          <w:spacing w:val="21"/>
          <w:w w:val="99"/>
        </w:rPr>
        <w:t> </w:t>
      </w:r>
      <w:r>
        <w:rPr>
          <w:rFonts w:ascii="Segoe UI"/>
          <w:color w:val="231F20"/>
        </w:rPr>
        <w:t>Committee</w:t>
      </w:r>
      <w:r>
        <w:rPr>
          <w:rFonts w:ascii="Segoe UI"/>
          <w:color w:val="231F20"/>
          <w:spacing w:val="-2"/>
        </w:rPr>
        <w:t> </w:t>
      </w:r>
      <w:r>
        <w:rPr>
          <w:rFonts w:ascii="Segoe UI"/>
          <w:color w:val="231F20"/>
        </w:rPr>
        <w:t>on</w:t>
      </w:r>
      <w:r>
        <w:rPr>
          <w:rFonts w:ascii="Segoe UI"/>
          <w:color w:val="231F20"/>
          <w:spacing w:val="-1"/>
        </w:rPr>
        <w:t> </w:t>
      </w:r>
      <w:r>
        <w:rPr>
          <w:rFonts w:ascii="Segoe UI"/>
          <w:color w:val="231F20"/>
        </w:rPr>
        <w:t>Indigenous</w:t>
      </w:r>
      <w:r>
        <w:rPr>
          <w:rFonts w:ascii="Segoe UI"/>
          <w:color w:val="231F20"/>
          <w:spacing w:val="-2"/>
        </w:rPr>
        <w:t> </w:t>
      </w:r>
      <w:r>
        <w:rPr>
          <w:rFonts w:ascii="Segoe UI"/>
          <w:color w:val="231F20"/>
        </w:rPr>
        <w:t>Affairs</w:t>
      </w:r>
      <w:r>
        <w:rPr>
          <w:rFonts w:ascii="Segoe UI"/>
          <w:color w:val="231F20"/>
          <w:spacing w:val="-1"/>
        </w:rPr>
        <w:t> </w:t>
      </w:r>
      <w:r>
        <w:rPr>
          <w:rFonts w:ascii="Segoe UI"/>
          <w:color w:val="231F20"/>
        </w:rPr>
        <w:t>further</w:t>
      </w:r>
      <w:r>
        <w:rPr>
          <w:rFonts w:ascii="Segoe UI"/>
          <w:color w:val="231F20"/>
        </w:rPr>
        <w:t> </w:t>
      </w:r>
      <w:r>
        <w:rPr>
          <w:color w:val="231F20"/>
        </w:rPr>
        <w:t>recommended</w:t>
      </w:r>
      <w:r>
        <w:rPr>
          <w:color w:val="231F20"/>
          <w:spacing w:val="-8"/>
        </w:rPr>
        <w:t> </w:t>
      </w:r>
      <w:r>
        <w:rPr>
          <w:color w:val="231F20"/>
        </w:rPr>
        <w:t>that</w:t>
      </w:r>
      <w:r>
        <w:rPr>
          <w:color w:val="231F20"/>
          <w:spacing w:val="-7"/>
        </w:rPr>
        <w:t> </w:t>
      </w:r>
      <w:r>
        <w:rPr>
          <w:color w:val="231F20"/>
        </w:rPr>
        <w:t>compliance</w:t>
      </w:r>
      <w:r>
        <w:rPr>
          <w:color w:val="231F20"/>
          <w:spacing w:val="-7"/>
        </w:rPr>
        <w:t> </w:t>
      </w:r>
      <w:r>
        <w:rPr>
          <w:color w:val="231F20"/>
        </w:rPr>
        <w:t>with</w:t>
      </w:r>
      <w:r>
        <w:rPr>
          <w:color w:val="231F20"/>
          <w:spacing w:val="-6"/>
        </w:rPr>
        <w:t> </w:t>
      </w:r>
      <w:r>
        <w:rPr>
          <w:color w:val="231F20"/>
        </w:rPr>
        <w:t>the</w:t>
      </w:r>
      <w:r>
        <w:rPr>
          <w:color w:val="231F20"/>
          <w:w w:val="99"/>
        </w:rPr>
        <w:t> </w:t>
      </w:r>
      <w:r>
        <w:rPr>
          <w:color w:val="231F20"/>
          <w:spacing w:val="-1"/>
        </w:rPr>
        <w:t>standard</w:t>
      </w:r>
      <w:r>
        <w:rPr>
          <w:color w:val="231F20"/>
          <w:spacing w:val="-5"/>
        </w:rPr>
        <w:t> </w:t>
      </w:r>
      <w:r>
        <w:rPr>
          <w:color w:val="231F20"/>
        </w:rPr>
        <w:t>and</w:t>
      </w:r>
      <w:r>
        <w:rPr>
          <w:color w:val="231F20"/>
          <w:spacing w:val="-5"/>
        </w:rPr>
        <w:t> </w:t>
      </w:r>
      <w:r>
        <w:rPr>
          <w:color w:val="231F20"/>
          <w:spacing w:val="-1"/>
        </w:rPr>
        <w:t>strategy</w:t>
      </w:r>
      <w:r>
        <w:rPr>
          <w:color w:val="231F20"/>
          <w:spacing w:val="-5"/>
        </w:rPr>
        <w:t> </w:t>
      </w:r>
      <w:r>
        <w:rPr>
          <w:color w:val="231F20"/>
          <w:spacing w:val="-1"/>
        </w:rPr>
        <w:t>should</w:t>
      </w:r>
      <w:r>
        <w:rPr>
          <w:color w:val="231F20"/>
          <w:spacing w:val="-5"/>
        </w:rPr>
        <w:t> </w:t>
      </w:r>
      <w:r>
        <w:rPr>
          <w:color w:val="231F20"/>
        </w:rPr>
        <w:t>be</w:t>
      </w:r>
      <w:r>
        <w:rPr>
          <w:color w:val="231F20"/>
          <w:spacing w:val="-5"/>
        </w:rPr>
        <w:t> </w:t>
      </w:r>
      <w:r>
        <w:rPr>
          <w:color w:val="231F20"/>
        </w:rPr>
        <w:t>a</w:t>
      </w:r>
      <w:r>
        <w:rPr>
          <w:color w:val="231F20"/>
          <w:spacing w:val="-5"/>
        </w:rPr>
        <w:t> </w:t>
      </w:r>
      <w:r>
        <w:rPr>
          <w:color w:val="231F20"/>
        </w:rPr>
        <w:t>qualifying</w:t>
      </w:r>
      <w:r>
        <w:rPr>
          <w:color w:val="231F20"/>
          <w:spacing w:val="24"/>
          <w:w w:val="99"/>
        </w:rPr>
        <w:t> </w:t>
      </w:r>
      <w:r>
        <w:rPr>
          <w:color w:val="231F20"/>
        </w:rPr>
        <w:t>criteria</w:t>
      </w:r>
      <w:r>
        <w:rPr>
          <w:color w:val="231F20"/>
          <w:spacing w:val="-10"/>
        </w:rPr>
        <w:t> </w:t>
      </w:r>
      <w:r>
        <w:rPr>
          <w:color w:val="231F20"/>
        </w:rPr>
        <w:t>for</w:t>
      </w:r>
      <w:r>
        <w:rPr>
          <w:color w:val="231F20"/>
          <w:spacing w:val="-8"/>
        </w:rPr>
        <w:t> </w:t>
      </w:r>
      <w:r>
        <w:rPr>
          <w:color w:val="231F20"/>
          <w:spacing w:val="-1"/>
        </w:rPr>
        <w:t>Commonwealth</w:t>
      </w:r>
      <w:r>
        <w:rPr>
          <w:color w:val="231F20"/>
          <w:spacing w:val="-8"/>
        </w:rPr>
        <w:t> </w:t>
      </w:r>
      <w:r>
        <w:rPr>
          <w:color w:val="231F20"/>
        </w:rPr>
        <w:t>funding</w:t>
      </w:r>
      <w:r>
        <w:rPr>
          <w:color w:val="231F20"/>
          <w:spacing w:val="-8"/>
        </w:rPr>
        <w:t> </w:t>
      </w:r>
      <w:r>
        <w:rPr>
          <w:color w:val="231F20"/>
        </w:rPr>
        <w:t>and</w:t>
      </w:r>
      <w:r>
        <w:rPr>
          <w:color w:val="231F20"/>
          <w:spacing w:val="22"/>
          <w:w w:val="99"/>
        </w:rPr>
        <w:t> </w:t>
      </w:r>
      <w:r>
        <w:rPr>
          <w:color w:val="231F20"/>
          <w:spacing w:val="-1"/>
        </w:rPr>
        <w:t>ABSTUDY.</w:t>
      </w:r>
      <w:r>
        <w:rPr>
          <w:rFonts w:ascii="Segoe UI Semibold"/>
          <w:b/>
          <w:color w:val="231F20"/>
          <w:spacing w:val="-1"/>
          <w:position w:val="7"/>
          <w:sz w:val="11"/>
        </w:rPr>
        <w:t>194</w:t>
      </w:r>
      <w:r>
        <w:rPr>
          <w:rFonts w:ascii="Segoe UI Semibold"/>
          <w:sz w:val="11"/>
        </w:rPr>
      </w:r>
    </w:p>
    <w:p>
      <w:pPr>
        <w:pStyle w:val="BodyText"/>
        <w:spacing w:line="250" w:lineRule="exact" w:before="113"/>
        <w:ind w:right="375"/>
        <w:jc w:val="left"/>
      </w:pPr>
      <w:r>
        <w:rPr>
          <w:color w:val="231F20"/>
          <w:spacing w:val="-1"/>
        </w:rPr>
        <w:t>Some</w:t>
      </w:r>
      <w:r>
        <w:rPr>
          <w:color w:val="231F20"/>
          <w:spacing w:val="-8"/>
        </w:rPr>
        <w:t> </w:t>
      </w:r>
      <w:r>
        <w:rPr>
          <w:color w:val="231F20"/>
        </w:rPr>
        <w:t>researchers</w:t>
      </w:r>
      <w:r>
        <w:rPr>
          <w:color w:val="231F20"/>
          <w:spacing w:val="-10"/>
        </w:rPr>
        <w:t> </w:t>
      </w:r>
      <w:r>
        <w:rPr>
          <w:color w:val="231F20"/>
        </w:rPr>
        <w:t>have</w:t>
      </w:r>
      <w:r>
        <w:rPr>
          <w:color w:val="231F20"/>
          <w:spacing w:val="-8"/>
        </w:rPr>
        <w:t> </w:t>
      </w:r>
      <w:r>
        <w:rPr>
          <w:color w:val="231F20"/>
        </w:rPr>
        <w:t>however</w:t>
      </w:r>
      <w:r>
        <w:rPr>
          <w:color w:val="231F20"/>
          <w:spacing w:val="-8"/>
        </w:rPr>
        <w:t> </w:t>
      </w:r>
      <w:r>
        <w:rPr>
          <w:color w:val="231F20"/>
        </w:rPr>
        <w:t>cautioned</w:t>
      </w:r>
      <w:r>
        <w:rPr>
          <w:color w:val="231F20"/>
          <w:spacing w:val="21"/>
          <w:w w:val="99"/>
        </w:rPr>
        <w:t> </w:t>
      </w:r>
      <w:r>
        <w:rPr>
          <w:color w:val="231F20"/>
        </w:rPr>
        <w:t>against</w:t>
      </w:r>
      <w:r>
        <w:rPr>
          <w:color w:val="231F20"/>
          <w:spacing w:val="-8"/>
        </w:rPr>
        <w:t> </w:t>
      </w:r>
      <w:r>
        <w:rPr>
          <w:color w:val="231F20"/>
          <w:spacing w:val="-1"/>
        </w:rPr>
        <w:t>mandating</w:t>
      </w:r>
      <w:r>
        <w:rPr>
          <w:color w:val="231F20"/>
          <w:spacing w:val="-6"/>
        </w:rPr>
        <w:t> </w:t>
      </w:r>
      <w:r>
        <w:rPr>
          <w:color w:val="231F20"/>
        </w:rPr>
        <w:t>or</w:t>
      </w:r>
      <w:r>
        <w:rPr>
          <w:color w:val="231F20"/>
          <w:spacing w:val="-7"/>
        </w:rPr>
        <w:t> </w:t>
      </w:r>
      <w:r>
        <w:rPr>
          <w:color w:val="231F20"/>
        </w:rPr>
        <w:t>adopting</w:t>
      </w:r>
      <w:r>
        <w:rPr>
          <w:color w:val="231F20"/>
          <w:spacing w:val="-7"/>
        </w:rPr>
        <w:t> </w:t>
      </w:r>
      <w:r>
        <w:rPr>
          <w:color w:val="231F20"/>
        </w:rPr>
        <w:t>a</w:t>
      </w:r>
      <w:r>
        <w:rPr>
          <w:color w:val="231F20"/>
          <w:spacing w:val="-7"/>
        </w:rPr>
        <w:t> </w:t>
      </w:r>
      <w:r>
        <w:rPr>
          <w:color w:val="231F20"/>
        </w:rPr>
        <w:t>uniform</w:t>
      </w:r>
      <w:r>
        <w:rPr>
          <w:color w:val="231F20"/>
          <w:spacing w:val="22"/>
          <w:w w:val="99"/>
        </w:rPr>
        <w:t> </w:t>
      </w:r>
      <w:r>
        <w:rPr>
          <w:color w:val="231F20"/>
          <w:spacing w:val="-1"/>
        </w:rPr>
        <w:t>standard</w:t>
      </w:r>
      <w:r>
        <w:rPr>
          <w:color w:val="231F20"/>
          <w:spacing w:val="-5"/>
        </w:rPr>
        <w:t> </w:t>
      </w:r>
      <w:r>
        <w:rPr>
          <w:color w:val="231F20"/>
        </w:rPr>
        <w:t>for</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 </w:t>
      </w:r>
      <w:r>
        <w:rPr>
          <w:color w:val="231F20"/>
          <w:spacing w:val="-2"/>
        </w:rPr>
        <w:t>Strait</w:t>
      </w:r>
      <w:r>
        <w:rPr>
          <w:color w:val="231F20"/>
          <w:spacing w:val="30"/>
          <w:w w:val="99"/>
        </w:rPr>
        <w:t> </w:t>
      </w:r>
      <w:r>
        <w:rPr>
          <w:color w:val="231F20"/>
          <w:spacing w:val="-1"/>
        </w:rPr>
        <w:t>Islander</w:t>
      </w:r>
      <w:r>
        <w:rPr>
          <w:color w:val="231F20"/>
          <w:spacing w:val="-16"/>
        </w:rPr>
        <w:t> </w:t>
      </w:r>
      <w:r>
        <w:rPr>
          <w:color w:val="231F20"/>
        </w:rPr>
        <w:t>boarding.</w:t>
      </w:r>
      <w:r>
        <w:rPr/>
      </w:r>
    </w:p>
    <w:p>
      <w:pPr>
        <w:pStyle w:val="BodyText"/>
        <w:spacing w:line="250" w:lineRule="exact" w:before="113"/>
        <w:ind w:left="570" w:right="381"/>
        <w:jc w:val="left"/>
        <w:rPr>
          <w:rFonts w:ascii="Segoe UI Semibold" w:hAnsi="Segoe UI Semibold" w:cs="Segoe UI Semibold" w:eastAsia="Segoe UI Semibold"/>
        </w:rPr>
      </w:pPr>
      <w:r>
        <w:rPr>
          <w:rFonts w:ascii="Segoe UI Semibold"/>
          <w:b/>
          <w:color w:val="00779B"/>
          <w:spacing w:val="-1"/>
        </w:rPr>
        <w:t>Boarding</w:t>
      </w:r>
      <w:r>
        <w:rPr>
          <w:rFonts w:ascii="Segoe UI Semibold"/>
          <w:b/>
          <w:color w:val="00779B"/>
          <w:spacing w:val="-4"/>
        </w:rPr>
        <w:t> </w:t>
      </w:r>
      <w:r>
        <w:rPr>
          <w:rFonts w:ascii="Segoe UI Semibold"/>
          <w:b/>
          <w:color w:val="00779B"/>
          <w:spacing w:val="-2"/>
        </w:rPr>
        <w:t>Standards</w:t>
      </w:r>
      <w:r>
        <w:rPr>
          <w:rFonts w:ascii="Segoe UI Semibold"/>
          <w:b/>
          <w:color w:val="00779B"/>
          <w:spacing w:val="-3"/>
        </w:rPr>
        <w:t> </w:t>
      </w:r>
      <w:r>
        <w:rPr>
          <w:rFonts w:ascii="Segoe UI Semibold"/>
          <w:b/>
          <w:color w:val="00779B"/>
          <w:spacing w:val="-1"/>
        </w:rPr>
        <w:t>are</w:t>
      </w:r>
      <w:r>
        <w:rPr>
          <w:rFonts w:ascii="Segoe UI Semibold"/>
          <w:b/>
          <w:color w:val="00779B"/>
          <w:spacing w:val="-3"/>
        </w:rPr>
        <w:t> </w:t>
      </w:r>
      <w:r>
        <w:rPr>
          <w:rFonts w:ascii="Segoe UI Semibold"/>
          <w:b/>
          <w:color w:val="00779B"/>
          <w:spacing w:val="-1"/>
        </w:rPr>
        <w:t>similarly</w:t>
      </w:r>
      <w:r>
        <w:rPr>
          <w:rFonts w:ascii="Segoe UI Semibold"/>
          <w:b/>
          <w:color w:val="00779B"/>
          <w:spacing w:val="29"/>
        </w:rPr>
        <w:t> </w:t>
      </w:r>
      <w:r>
        <w:rPr>
          <w:rFonts w:ascii="Segoe UI Semibold"/>
          <w:b/>
          <w:color w:val="00779B"/>
          <w:spacing w:val="-1"/>
        </w:rPr>
        <w:t>seductive. </w:t>
      </w:r>
      <w:r>
        <w:rPr>
          <w:rFonts w:ascii="Segoe UI Semibold"/>
          <w:b/>
          <w:color w:val="00779B"/>
        </w:rPr>
        <w:t>While</w:t>
      </w:r>
      <w:r>
        <w:rPr>
          <w:rFonts w:ascii="Segoe UI Semibold"/>
          <w:b/>
          <w:color w:val="00779B"/>
          <w:spacing w:val="-2"/>
        </w:rPr>
        <w:t> </w:t>
      </w:r>
      <w:r>
        <w:rPr>
          <w:rFonts w:ascii="Segoe UI Semibold"/>
          <w:b/>
          <w:color w:val="00779B"/>
          <w:spacing w:val="-1"/>
        </w:rPr>
        <w:t>the </w:t>
      </w:r>
      <w:r>
        <w:rPr>
          <w:rFonts w:ascii="Segoe UI Semibold"/>
          <w:b/>
          <w:color w:val="00779B"/>
          <w:spacing w:val="-2"/>
        </w:rPr>
        <w:t>Standards </w:t>
      </w:r>
      <w:r>
        <w:rPr>
          <w:rFonts w:ascii="Segoe UI Semibold"/>
          <w:b/>
          <w:color w:val="00779B"/>
        </w:rPr>
        <w:t>do</w:t>
      </w:r>
      <w:r>
        <w:rPr>
          <w:rFonts w:ascii="Segoe UI Semibold"/>
          <w:b/>
          <w:color w:val="00779B"/>
          <w:spacing w:val="-2"/>
        </w:rPr>
        <w:t> </w:t>
      </w:r>
      <w:r>
        <w:rPr>
          <w:rFonts w:ascii="Segoe UI Semibold"/>
          <w:b/>
          <w:color w:val="00779B"/>
          <w:spacing w:val="-1"/>
        </w:rPr>
        <w:t>set</w:t>
      </w:r>
      <w:r>
        <w:rPr>
          <w:rFonts w:ascii="Segoe UI Semibold"/>
          <w:b/>
          <w:color w:val="00779B"/>
          <w:spacing w:val="26"/>
        </w:rPr>
        <w:t> </w:t>
      </w:r>
      <w:r>
        <w:rPr>
          <w:rFonts w:ascii="Segoe UI Semibold"/>
          <w:b/>
          <w:color w:val="00779B"/>
        </w:rPr>
        <w:t>a</w:t>
      </w:r>
      <w:r>
        <w:rPr>
          <w:rFonts w:ascii="Segoe UI Semibold"/>
          <w:b/>
          <w:color w:val="00779B"/>
          <w:spacing w:val="-1"/>
        </w:rPr>
        <w:t> </w:t>
      </w:r>
      <w:r>
        <w:rPr>
          <w:rFonts w:ascii="Segoe UI Semibold"/>
          <w:b/>
          <w:color w:val="00779B"/>
        </w:rPr>
        <w:t>benchmark,</w:t>
      </w:r>
      <w:r>
        <w:rPr>
          <w:rFonts w:ascii="Segoe UI Semibold"/>
          <w:b/>
          <w:color w:val="00779B"/>
          <w:spacing w:val="-1"/>
        </w:rPr>
        <w:t> the </w:t>
      </w:r>
      <w:r>
        <w:rPr>
          <w:rFonts w:ascii="Segoe UI Semibold"/>
          <w:b/>
          <w:color w:val="00779B"/>
        </w:rPr>
        <w:t>point</w:t>
      </w:r>
      <w:r>
        <w:rPr>
          <w:rFonts w:ascii="Segoe UI Semibold"/>
          <w:b/>
          <w:color w:val="00779B"/>
          <w:spacing w:val="-1"/>
        </w:rPr>
        <w:t> is, they</w:t>
      </w:r>
      <w:r>
        <w:rPr>
          <w:rFonts w:ascii="Segoe UI Semibold"/>
          <w:b/>
          <w:color w:val="00779B"/>
        </w:rPr>
        <w:t> do</w:t>
      </w:r>
      <w:r>
        <w:rPr>
          <w:rFonts w:ascii="Segoe UI Semibold"/>
          <w:b/>
          <w:color w:val="00779B"/>
          <w:spacing w:val="-2"/>
        </w:rPr>
        <w:t> </w:t>
      </w:r>
      <w:r>
        <w:rPr>
          <w:rFonts w:ascii="Segoe UI Semibold"/>
          <w:b/>
          <w:color w:val="00779B"/>
          <w:spacing w:val="-1"/>
        </w:rPr>
        <w:t>not</w:t>
      </w:r>
      <w:r>
        <w:rPr>
          <w:rFonts w:ascii="Segoe UI Semibold"/>
          <w:b/>
          <w:color w:val="00779B"/>
          <w:spacing w:val="20"/>
        </w:rPr>
        <w:t> </w:t>
      </w:r>
      <w:r>
        <w:rPr>
          <w:rFonts w:ascii="Segoe UI Semibold"/>
          <w:b/>
          <w:color w:val="00779B"/>
          <w:spacing w:val="-1"/>
        </w:rPr>
        <w:t>have</w:t>
      </w:r>
      <w:r>
        <w:rPr>
          <w:rFonts w:ascii="Segoe UI Semibold"/>
          <w:b/>
          <w:color w:val="00779B"/>
          <w:spacing w:val="-2"/>
        </w:rPr>
        <w:t> </w:t>
      </w:r>
      <w:r>
        <w:rPr>
          <w:rFonts w:ascii="Segoe UI Semibold"/>
          <w:b/>
          <w:color w:val="00779B"/>
        </w:rPr>
        <w:t>an</w:t>
      </w:r>
      <w:r>
        <w:rPr>
          <w:rFonts w:ascii="Segoe UI Semibold"/>
          <w:b/>
          <w:color w:val="00779B"/>
          <w:spacing w:val="-2"/>
        </w:rPr>
        <w:t> </w:t>
      </w:r>
      <w:r>
        <w:rPr>
          <w:rFonts w:ascii="Segoe UI Semibold"/>
          <w:b/>
          <w:color w:val="00779B"/>
          <w:spacing w:val="-1"/>
        </w:rPr>
        <w:t>articulated evidence base,</w:t>
      </w:r>
      <w:r>
        <w:rPr>
          <w:rFonts w:ascii="Segoe UI Semibold"/>
          <w:b/>
          <w:color w:val="00779B"/>
          <w:spacing w:val="27"/>
        </w:rPr>
        <w:t> </w:t>
      </w:r>
      <w:r>
        <w:rPr>
          <w:rFonts w:ascii="Segoe UI Semibold"/>
          <w:b/>
          <w:color w:val="00779B"/>
        </w:rPr>
        <w:t>and</w:t>
      </w:r>
      <w:r>
        <w:rPr>
          <w:rFonts w:ascii="Segoe UI Semibold"/>
          <w:b/>
          <w:color w:val="00779B"/>
          <w:spacing w:val="-2"/>
        </w:rPr>
        <w:t> </w:t>
      </w:r>
      <w:r>
        <w:rPr>
          <w:rFonts w:ascii="Segoe UI Semibold"/>
          <w:b/>
          <w:color w:val="00779B"/>
        </w:rPr>
        <w:t>because</w:t>
      </w:r>
      <w:r>
        <w:rPr>
          <w:rFonts w:ascii="Segoe UI Semibold"/>
          <w:b/>
          <w:color w:val="00779B"/>
          <w:spacing w:val="-2"/>
        </w:rPr>
        <w:t> </w:t>
      </w:r>
      <w:r>
        <w:rPr>
          <w:rFonts w:ascii="Segoe UI Semibold"/>
          <w:b/>
          <w:color w:val="00779B"/>
          <w:spacing w:val="-1"/>
        </w:rPr>
        <w:t>they</w:t>
      </w:r>
      <w:r>
        <w:rPr>
          <w:rFonts w:ascii="Segoe UI Semibold"/>
          <w:b/>
          <w:color w:val="00779B"/>
        </w:rPr>
        <w:t> </w:t>
      </w:r>
      <w:r>
        <w:rPr>
          <w:rFonts w:ascii="Segoe UI Semibold"/>
          <w:b/>
          <w:color w:val="00779B"/>
          <w:spacing w:val="-1"/>
        </w:rPr>
        <w:t>are </w:t>
      </w:r>
      <w:r>
        <w:rPr>
          <w:rFonts w:ascii="Segoe UI Semibold"/>
          <w:b/>
          <w:color w:val="00779B"/>
        </w:rPr>
        <w:t>a</w:t>
      </w:r>
      <w:r>
        <w:rPr>
          <w:rFonts w:ascii="Segoe UI Semibold"/>
          <w:b/>
          <w:color w:val="00779B"/>
          <w:spacing w:val="-1"/>
        </w:rPr>
        <w:t> standalone</w:t>
      </w:r>
      <w:r>
        <w:rPr>
          <w:rFonts w:ascii="Segoe UI Semibold"/>
          <w:b/>
          <w:color w:val="00779B"/>
          <w:spacing w:val="22"/>
        </w:rPr>
        <w:t> </w:t>
      </w:r>
      <w:r>
        <w:rPr>
          <w:rFonts w:ascii="Segoe UI Semibold"/>
          <w:b/>
          <w:color w:val="00779B"/>
        </w:rPr>
        <w:t>mechanism</w:t>
      </w:r>
      <w:r>
        <w:rPr>
          <w:rFonts w:ascii="Segoe UI Semibold"/>
          <w:b/>
          <w:color w:val="00779B"/>
          <w:spacing w:val="-1"/>
        </w:rPr>
        <w:t> will</w:t>
      </w:r>
      <w:r>
        <w:rPr>
          <w:rFonts w:ascii="Segoe UI Semibold"/>
          <w:b/>
          <w:color w:val="00779B"/>
        </w:rPr>
        <w:t> almost</w:t>
      </w:r>
      <w:r>
        <w:rPr>
          <w:rFonts w:ascii="Segoe UI Semibold"/>
          <w:b/>
          <w:color w:val="00779B"/>
          <w:spacing w:val="-1"/>
        </w:rPr>
        <w:t> certainly</w:t>
      </w:r>
      <w:r>
        <w:rPr>
          <w:rFonts w:ascii="Segoe UI Semibold"/>
        </w:rPr>
      </w:r>
    </w:p>
    <w:p>
      <w:pPr>
        <w:pStyle w:val="BodyText"/>
        <w:spacing w:line="250" w:lineRule="exact"/>
        <w:ind w:left="570" w:right="393"/>
        <w:jc w:val="left"/>
        <w:rPr>
          <w:rFonts w:ascii="Segoe UI Semibold" w:hAnsi="Segoe UI Semibold" w:cs="Segoe UI Semibold" w:eastAsia="Segoe UI Semibold"/>
          <w:sz w:val="11"/>
          <w:szCs w:val="11"/>
        </w:rPr>
      </w:pPr>
      <w:r>
        <w:rPr>
          <w:rFonts w:ascii="Segoe UI Semibold"/>
          <w:b/>
          <w:color w:val="00779B"/>
          <w:spacing w:val="-1"/>
        </w:rPr>
        <w:t>lead to</w:t>
      </w:r>
      <w:r>
        <w:rPr>
          <w:rFonts w:ascii="Segoe UI Semibold"/>
          <w:b/>
          <w:color w:val="00779B"/>
          <w:spacing w:val="-2"/>
        </w:rPr>
        <w:t> </w:t>
      </w:r>
      <w:r>
        <w:rPr>
          <w:rFonts w:ascii="Segoe UI Semibold"/>
          <w:b/>
          <w:color w:val="00779B"/>
        </w:rPr>
        <w:t>as</w:t>
      </w:r>
      <w:r>
        <w:rPr>
          <w:rFonts w:ascii="Segoe UI Semibold"/>
          <w:b/>
          <w:color w:val="00779B"/>
          <w:spacing w:val="-2"/>
        </w:rPr>
        <w:t> </w:t>
      </w:r>
      <w:r>
        <w:rPr>
          <w:rFonts w:ascii="Segoe UI Semibold"/>
          <w:b/>
          <w:color w:val="00779B"/>
        </w:rPr>
        <w:t>many</w:t>
      </w:r>
      <w:r>
        <w:rPr>
          <w:rFonts w:ascii="Segoe UI Semibold"/>
          <w:b/>
          <w:color w:val="00779B"/>
          <w:spacing w:val="-2"/>
        </w:rPr>
        <w:t> </w:t>
      </w:r>
      <w:r>
        <w:rPr>
          <w:rFonts w:ascii="Segoe UI Semibold"/>
          <w:b/>
          <w:color w:val="00779B"/>
          <w:spacing w:val="-1"/>
        </w:rPr>
        <w:t>unintended</w:t>
      </w:r>
      <w:r>
        <w:rPr>
          <w:rFonts w:ascii="Segoe UI Semibold"/>
          <w:b/>
          <w:color w:val="00779B"/>
        </w:rPr>
        <w:t> and</w:t>
      </w:r>
      <w:r>
        <w:rPr>
          <w:rFonts w:ascii="Segoe UI Semibold"/>
          <w:b/>
          <w:color w:val="00779B"/>
          <w:spacing w:val="23"/>
        </w:rPr>
        <w:t> </w:t>
      </w:r>
      <w:r>
        <w:rPr>
          <w:rFonts w:ascii="Segoe UI Semibold"/>
          <w:b/>
          <w:color w:val="00779B"/>
          <w:spacing w:val="-1"/>
        </w:rPr>
        <w:t>undesirable</w:t>
      </w:r>
      <w:r>
        <w:rPr>
          <w:rFonts w:ascii="Segoe UI Semibold"/>
          <w:b/>
          <w:color w:val="00779B"/>
          <w:spacing w:val="1"/>
        </w:rPr>
        <w:t> </w:t>
      </w:r>
      <w:r>
        <w:rPr>
          <w:rFonts w:ascii="Segoe UI Semibold"/>
          <w:b/>
          <w:color w:val="00779B"/>
          <w:spacing w:val="-1"/>
        </w:rPr>
        <w:t>outcomes</w:t>
      </w:r>
      <w:r>
        <w:rPr>
          <w:rFonts w:ascii="Segoe UI Semibold"/>
          <w:b/>
          <w:color w:val="00779B"/>
        </w:rPr>
        <w:t> as</w:t>
      </w:r>
      <w:r>
        <w:rPr>
          <w:rFonts w:ascii="Segoe UI Semibold"/>
          <w:b/>
          <w:color w:val="00779B"/>
          <w:spacing w:val="-1"/>
        </w:rPr>
        <w:t> intended</w:t>
      </w:r>
      <w:r>
        <w:rPr>
          <w:rFonts w:ascii="Segoe UI Semibold"/>
          <w:b/>
          <w:color w:val="00779B"/>
          <w:spacing w:val="21"/>
        </w:rPr>
        <w:t> </w:t>
      </w:r>
      <w:r>
        <w:rPr>
          <w:rFonts w:ascii="Segoe UI Semibold"/>
          <w:b/>
          <w:color w:val="00779B"/>
          <w:spacing w:val="-1"/>
        </w:rPr>
        <w:t>ones </w:t>
      </w:r>
      <w:r>
        <w:rPr>
          <w:rFonts w:ascii="Segoe UI Semibold"/>
          <w:b/>
          <w:color w:val="00779B"/>
        </w:rPr>
        <w:t>and</w:t>
      </w:r>
      <w:r>
        <w:rPr>
          <w:rFonts w:ascii="Segoe UI Semibold"/>
          <w:b/>
          <w:color w:val="00779B"/>
          <w:spacing w:val="-2"/>
        </w:rPr>
        <w:t> </w:t>
      </w:r>
      <w:r>
        <w:rPr>
          <w:rFonts w:ascii="Segoe UI Semibold"/>
          <w:b/>
          <w:color w:val="00779B"/>
        </w:rPr>
        <w:t>may</w:t>
      </w:r>
      <w:r>
        <w:rPr>
          <w:rFonts w:ascii="Segoe UI Semibold"/>
          <w:b/>
          <w:color w:val="00779B"/>
          <w:spacing w:val="-2"/>
        </w:rPr>
        <w:t> therefore </w:t>
      </w:r>
      <w:r>
        <w:rPr>
          <w:rFonts w:ascii="Segoe UI Semibold"/>
          <w:b/>
          <w:color w:val="00779B"/>
          <w:spacing w:val="-1"/>
        </w:rPr>
        <w:t>lead</w:t>
      </w:r>
      <w:r>
        <w:rPr>
          <w:rFonts w:ascii="Segoe UI Semibold"/>
          <w:b/>
          <w:color w:val="00779B"/>
        </w:rPr>
        <w:t> </w:t>
      </w:r>
      <w:r>
        <w:rPr>
          <w:rFonts w:ascii="Segoe UI Semibold"/>
          <w:b/>
          <w:color w:val="00779B"/>
          <w:spacing w:val="-1"/>
        </w:rPr>
        <w:t>to</w:t>
      </w:r>
      <w:r>
        <w:rPr>
          <w:rFonts w:ascii="Segoe UI Semibold"/>
          <w:b/>
          <w:color w:val="00779B"/>
          <w:spacing w:val="21"/>
        </w:rPr>
        <w:t> </w:t>
      </w:r>
      <w:r>
        <w:rPr>
          <w:rFonts w:ascii="Segoe UI Semibold"/>
          <w:b/>
          <w:color w:val="00779B"/>
          <w:spacing w:val="-1"/>
        </w:rPr>
        <w:t>harm.</w:t>
      </w:r>
      <w:r>
        <w:rPr>
          <w:rFonts w:ascii="Segoe UI Semibold"/>
          <w:b/>
          <w:color w:val="00779B"/>
          <w:spacing w:val="-1"/>
          <w:position w:val="7"/>
          <w:sz w:val="11"/>
        </w:rPr>
        <w:t>195</w:t>
      </w:r>
      <w:r>
        <w:rPr>
          <w:rFonts w:ascii="Segoe UI Semibold"/>
          <w:sz w:val="11"/>
        </w:rPr>
      </w:r>
    </w:p>
    <w:p>
      <w:pPr>
        <w:spacing w:after="0" w:line="250" w:lineRule="exact"/>
        <w:jc w:val="left"/>
        <w:rPr>
          <w:rFonts w:ascii="Segoe UI Semibold" w:hAnsi="Segoe UI Semibold" w:cs="Segoe UI Semibold" w:eastAsia="Segoe UI Semibold"/>
          <w:sz w:val="11"/>
          <w:szCs w:val="11"/>
        </w:rPr>
        <w:sectPr>
          <w:type w:val="continuous"/>
          <w:pgSz w:w="11910" w:h="16840"/>
          <w:pgMar w:top="1580" w:bottom="280" w:left="1300" w:right="1600"/>
          <w:cols w:num="2" w:equalWidth="0">
            <w:col w:w="4370" w:space="222"/>
            <w:col w:w="4418"/>
          </w:cols>
        </w:sectPr>
      </w:pPr>
    </w:p>
    <w:p>
      <w:pPr>
        <w:spacing w:line="240" w:lineRule="auto" w:before="0"/>
        <w:rPr>
          <w:rFonts w:ascii="Segoe UI Semibold" w:hAnsi="Segoe UI Semibold" w:cs="Segoe UI Semibold" w:eastAsia="Segoe UI Semibold"/>
          <w:b/>
          <w:bCs/>
          <w:sz w:val="20"/>
          <w:szCs w:val="20"/>
        </w:rPr>
      </w:pPr>
      <w:r>
        <w:rPr/>
        <w:pict>
          <v:group style="position:absolute;margin-left:71.866096pt;margin-top:622.788391pt;width:.1pt;height:.1pt;mso-position-horizontal-relative:page;mso-position-vertical-relative:page;z-index:-219808" coordorigin="1437,12456" coordsize="2,2">
            <v:shape style="position:absolute;left:1437;top:12456;width:2;height:2" coordorigin="1437,12456" coordsize="0,0" path="m1437,12456l1437,12456e" filled="false" stroked="true" strokeweight="2pt" strokecolor="#355f92">
              <v:path arrowok="t"/>
            </v:shape>
            <w10:wrap type="none"/>
          </v:group>
        </w:pict>
      </w:r>
      <w:r>
        <w:rPr/>
        <w:pict>
          <v:group style="position:absolute;margin-left:509.236115pt;margin-top:622.788391pt;width:.1pt;height:.1pt;mso-position-horizontal-relative:page;mso-position-vertical-relative:page;z-index:-219784" coordorigin="10185,12456" coordsize="2,2">
            <v:shape style="position:absolute;left:10185;top:12456;width:2;height:2" coordorigin="10185,12456" coordsize="0,0" path="m10185,12456l10185,12456e" filled="false" stroked="true" strokeweight="2pt" strokecolor="#355f92">
              <v:path arrowok="t"/>
            </v:shape>
            <w10:wrap type="none"/>
          </v:group>
        </w:pict>
      </w:r>
    </w:p>
    <w:p>
      <w:pPr>
        <w:spacing w:line="240" w:lineRule="auto" w:before="8"/>
        <w:rPr>
          <w:rFonts w:ascii="Segoe UI Semibold" w:hAnsi="Segoe UI Semibold" w:cs="Segoe UI Semibold" w:eastAsia="Segoe UI Semibold"/>
          <w:b/>
          <w:bCs/>
          <w:sz w:val="26"/>
          <w:szCs w:val="26"/>
        </w:rPr>
      </w:pPr>
    </w:p>
    <w:p>
      <w:pPr>
        <w:spacing w:line="200" w:lineRule="atLeast"/>
        <w:ind w:left="137" w:right="0" w:firstLine="0"/>
        <w:rPr>
          <w:rFonts w:ascii="Segoe UI Semibold" w:hAnsi="Segoe UI Semibold" w:cs="Segoe UI Semibold" w:eastAsia="Segoe UI Semibold"/>
          <w:sz w:val="20"/>
          <w:szCs w:val="20"/>
        </w:rPr>
      </w:pPr>
      <w:r>
        <w:rPr>
          <w:rFonts w:ascii="Segoe UI Semibold" w:hAnsi="Segoe UI Semibold" w:cs="Segoe UI Semibold" w:eastAsia="Segoe UI Semibold"/>
          <w:sz w:val="20"/>
          <w:szCs w:val="20"/>
        </w:rPr>
        <w:pict>
          <v:shape style="width:437.4pt;height:107.3pt;mso-position-horizontal-relative:char;mso-position-vertical-relative:line" type="#_x0000_t202" filled="true" fillcolor="#ecf1f5" stroked="true" strokeweight="2pt" strokecolor="#355f92">
            <v:textbox inset="0,0,0,0">
              <w:txbxContent>
                <w:p>
                  <w:pPr>
                    <w:spacing w:before="162"/>
                    <w:ind w:left="243" w:right="0" w:firstLine="0"/>
                    <w:jc w:val="left"/>
                    <w:rPr>
                      <w:rFonts w:ascii="Segoe UI Semibold" w:hAnsi="Segoe UI Semibold" w:cs="Segoe UI Semibold" w:eastAsia="Segoe UI Semibold"/>
                      <w:sz w:val="24"/>
                      <w:szCs w:val="24"/>
                    </w:rPr>
                  </w:pPr>
                  <w:r>
                    <w:rPr>
                      <w:rFonts w:ascii="Segoe UI Semibold"/>
                      <w:b/>
                      <w:color w:val="452A70"/>
                      <w:spacing w:val="-2"/>
                      <w:sz w:val="24"/>
                    </w:rPr>
                    <w:t>RECOMMENDATION</w:t>
                  </w:r>
                  <w:r>
                    <w:rPr>
                      <w:rFonts w:ascii="Segoe UI Semibold"/>
                      <w:b/>
                      <w:color w:val="452A70"/>
                      <w:spacing w:val="-6"/>
                      <w:sz w:val="24"/>
                    </w:rPr>
                    <w:t> </w:t>
                  </w:r>
                  <w:r>
                    <w:rPr>
                      <w:rFonts w:ascii="Segoe UI Semibold"/>
                      <w:b/>
                      <w:color w:val="452A70"/>
                      <w:spacing w:val="-1"/>
                      <w:sz w:val="24"/>
                    </w:rPr>
                    <w:t>11:</w:t>
                  </w:r>
                  <w:r>
                    <w:rPr>
                      <w:rFonts w:ascii="Segoe UI Semibold"/>
                      <w:b/>
                      <w:color w:val="452A70"/>
                      <w:spacing w:val="-4"/>
                      <w:sz w:val="24"/>
                    </w:rPr>
                    <w:t> </w:t>
                  </w:r>
                  <w:r>
                    <w:rPr>
                      <w:rFonts w:ascii="Segoe UI Semibold"/>
                      <w:b/>
                      <w:color w:val="452A70"/>
                      <w:spacing w:val="-2"/>
                      <w:sz w:val="24"/>
                    </w:rPr>
                    <w:t>BOARDING</w:t>
                  </w:r>
                  <w:r>
                    <w:rPr>
                      <w:rFonts w:ascii="Segoe UI Semibold"/>
                      <w:b/>
                      <w:color w:val="452A70"/>
                      <w:spacing w:val="-5"/>
                      <w:sz w:val="24"/>
                    </w:rPr>
                    <w:t> </w:t>
                  </w:r>
                  <w:r>
                    <w:rPr>
                      <w:rFonts w:ascii="Segoe UI Semibold"/>
                      <w:b/>
                      <w:color w:val="452A70"/>
                      <w:spacing w:val="-4"/>
                      <w:sz w:val="24"/>
                    </w:rPr>
                    <w:t>STANDARDS</w:t>
                  </w:r>
                  <w:r>
                    <w:rPr>
                      <w:rFonts w:ascii="Segoe UI Semibold"/>
                      <w:sz w:val="24"/>
                    </w:rPr>
                  </w:r>
                </w:p>
                <w:p>
                  <w:pPr>
                    <w:spacing w:line="250" w:lineRule="exact" w:before="131"/>
                    <w:ind w:left="243" w:right="275" w:firstLine="0"/>
                    <w:jc w:val="left"/>
                    <w:rPr>
                      <w:rFonts w:ascii="Segoe UI" w:hAnsi="Segoe UI" w:cs="Segoe UI" w:eastAsia="Segoe UI"/>
                      <w:sz w:val="20"/>
                      <w:szCs w:val="20"/>
                    </w:rPr>
                  </w:pPr>
                  <w:r>
                    <w:rPr>
                      <w:rFonts w:ascii="Segoe UI"/>
                      <w:color w:val="452A70"/>
                      <w:sz w:val="20"/>
                    </w:rPr>
                    <w:t>Undertake</w:t>
                  </w:r>
                  <w:r>
                    <w:rPr>
                      <w:rFonts w:ascii="Segoe UI"/>
                      <w:color w:val="452A70"/>
                      <w:spacing w:val="-5"/>
                      <w:sz w:val="20"/>
                    </w:rPr>
                    <w:t> </w:t>
                  </w:r>
                  <w:r>
                    <w:rPr>
                      <w:rFonts w:ascii="Segoe UI"/>
                      <w:color w:val="452A70"/>
                      <w:sz w:val="20"/>
                    </w:rPr>
                    <w:t>consultations</w:t>
                  </w:r>
                  <w:r>
                    <w:rPr>
                      <w:rFonts w:ascii="Segoe UI"/>
                      <w:color w:val="452A70"/>
                      <w:spacing w:val="-6"/>
                      <w:sz w:val="20"/>
                    </w:rPr>
                    <w:t> </w:t>
                  </w:r>
                  <w:r>
                    <w:rPr>
                      <w:rFonts w:ascii="Segoe UI"/>
                      <w:color w:val="452A70"/>
                      <w:sz w:val="20"/>
                    </w:rPr>
                    <w:t>to</w:t>
                  </w:r>
                  <w:r>
                    <w:rPr>
                      <w:rFonts w:ascii="Segoe UI"/>
                      <w:color w:val="452A70"/>
                      <w:spacing w:val="-4"/>
                      <w:sz w:val="20"/>
                    </w:rPr>
                    <w:t> </w:t>
                  </w:r>
                  <w:r>
                    <w:rPr>
                      <w:rFonts w:ascii="Segoe UI"/>
                      <w:color w:val="452A70"/>
                      <w:sz w:val="20"/>
                    </w:rPr>
                    <w:t>determine</w:t>
                  </w:r>
                  <w:r>
                    <w:rPr>
                      <w:rFonts w:ascii="Segoe UI"/>
                      <w:color w:val="452A70"/>
                      <w:spacing w:val="-6"/>
                      <w:sz w:val="20"/>
                    </w:rPr>
                    <w:t> </w:t>
                  </w:r>
                  <w:r>
                    <w:rPr>
                      <w:rFonts w:ascii="Segoe UI"/>
                      <w:color w:val="452A70"/>
                      <w:sz w:val="20"/>
                    </w:rPr>
                    <w:t>whether</w:t>
                  </w:r>
                  <w:r>
                    <w:rPr>
                      <w:rFonts w:ascii="Segoe UI"/>
                      <w:color w:val="452A70"/>
                      <w:spacing w:val="-5"/>
                      <w:sz w:val="20"/>
                    </w:rPr>
                    <w:t> </w:t>
                  </w:r>
                  <w:r>
                    <w:rPr>
                      <w:rFonts w:ascii="Segoe UI"/>
                      <w:color w:val="452A70"/>
                      <w:sz w:val="20"/>
                    </w:rPr>
                    <w:t>the</w:t>
                  </w:r>
                  <w:r>
                    <w:rPr>
                      <w:rFonts w:ascii="Segoe UI"/>
                      <w:color w:val="452A70"/>
                      <w:spacing w:val="-6"/>
                      <w:sz w:val="20"/>
                    </w:rPr>
                    <w:t> </w:t>
                  </w:r>
                  <w:r>
                    <w:rPr>
                      <w:rFonts w:ascii="Segoe UI"/>
                      <w:i/>
                      <w:color w:val="452A70"/>
                      <w:spacing w:val="-1"/>
                      <w:sz w:val="20"/>
                    </w:rPr>
                    <w:t>Boarding</w:t>
                  </w:r>
                  <w:r>
                    <w:rPr>
                      <w:rFonts w:ascii="Segoe UI"/>
                      <w:i/>
                      <w:color w:val="452A70"/>
                      <w:spacing w:val="-5"/>
                      <w:sz w:val="20"/>
                    </w:rPr>
                    <w:t> </w:t>
                  </w:r>
                  <w:r>
                    <w:rPr>
                      <w:rFonts w:ascii="Segoe UI"/>
                      <w:i/>
                      <w:color w:val="452A70"/>
                      <w:spacing w:val="-1"/>
                      <w:sz w:val="20"/>
                    </w:rPr>
                    <w:t>Standard</w:t>
                  </w:r>
                  <w:r>
                    <w:rPr>
                      <w:rFonts w:ascii="Segoe UI"/>
                      <w:i/>
                      <w:color w:val="452A70"/>
                      <w:spacing w:val="-4"/>
                      <w:sz w:val="20"/>
                    </w:rPr>
                    <w:t> </w:t>
                  </w:r>
                  <w:r>
                    <w:rPr>
                      <w:rFonts w:ascii="Segoe UI"/>
                      <w:i/>
                      <w:color w:val="452A70"/>
                      <w:sz w:val="20"/>
                    </w:rPr>
                    <w:t>for</w:t>
                  </w:r>
                  <w:r>
                    <w:rPr>
                      <w:rFonts w:ascii="Segoe UI"/>
                      <w:i/>
                      <w:color w:val="452A70"/>
                      <w:spacing w:val="-6"/>
                      <w:sz w:val="20"/>
                    </w:rPr>
                    <w:t> </w:t>
                  </w:r>
                  <w:r>
                    <w:rPr>
                      <w:rFonts w:ascii="Segoe UI"/>
                      <w:i/>
                      <w:color w:val="452A70"/>
                      <w:spacing w:val="-1"/>
                      <w:sz w:val="20"/>
                    </w:rPr>
                    <w:t>Australian</w:t>
                  </w:r>
                  <w:r>
                    <w:rPr>
                      <w:rFonts w:ascii="Segoe UI"/>
                      <w:i/>
                      <w:color w:val="452A70"/>
                      <w:spacing w:val="-5"/>
                      <w:sz w:val="20"/>
                    </w:rPr>
                    <w:t> </w:t>
                  </w:r>
                  <w:r>
                    <w:rPr>
                      <w:rFonts w:ascii="Segoe UI"/>
                      <w:i/>
                      <w:color w:val="452A70"/>
                      <w:spacing w:val="-1"/>
                      <w:sz w:val="20"/>
                    </w:rPr>
                    <w:t>Schools</w:t>
                  </w:r>
                  <w:r>
                    <w:rPr>
                      <w:rFonts w:ascii="Segoe UI"/>
                      <w:i/>
                      <w:color w:val="452A70"/>
                      <w:spacing w:val="40"/>
                      <w:sz w:val="20"/>
                    </w:rPr>
                    <w:t> </w:t>
                  </w:r>
                  <w:r>
                    <w:rPr>
                      <w:rFonts w:ascii="Segoe UI"/>
                      <w:i/>
                      <w:color w:val="452A70"/>
                      <w:sz w:val="20"/>
                    </w:rPr>
                    <w:t>and</w:t>
                  </w:r>
                  <w:r>
                    <w:rPr>
                      <w:rFonts w:ascii="Segoe UI"/>
                      <w:i/>
                      <w:color w:val="452A70"/>
                      <w:spacing w:val="-6"/>
                      <w:sz w:val="20"/>
                    </w:rPr>
                    <w:t> </w:t>
                  </w:r>
                  <w:r>
                    <w:rPr>
                      <w:rFonts w:ascii="Segoe UI"/>
                      <w:i/>
                      <w:color w:val="452A70"/>
                      <w:spacing w:val="-1"/>
                      <w:sz w:val="20"/>
                    </w:rPr>
                    <w:t>Residences</w:t>
                  </w:r>
                  <w:r>
                    <w:rPr>
                      <w:rFonts w:ascii="Segoe UI"/>
                      <w:i/>
                      <w:color w:val="452A70"/>
                      <w:spacing w:val="-6"/>
                      <w:sz w:val="20"/>
                    </w:rPr>
                    <w:t> </w:t>
                  </w:r>
                  <w:r>
                    <w:rPr>
                      <w:rFonts w:ascii="Segoe UI"/>
                      <w:color w:val="452A70"/>
                      <w:sz w:val="20"/>
                    </w:rPr>
                    <w:t>(AS</w:t>
                  </w:r>
                  <w:r>
                    <w:rPr>
                      <w:rFonts w:ascii="Segoe UI"/>
                      <w:color w:val="452A70"/>
                      <w:spacing w:val="-6"/>
                      <w:sz w:val="20"/>
                    </w:rPr>
                    <w:t> </w:t>
                  </w:r>
                  <w:r>
                    <w:rPr>
                      <w:rFonts w:ascii="Segoe UI"/>
                      <w:color w:val="452A70"/>
                      <w:spacing w:val="-1"/>
                      <w:sz w:val="20"/>
                    </w:rPr>
                    <w:t>5725:2015)</w:t>
                  </w:r>
                  <w:r>
                    <w:rPr>
                      <w:rFonts w:ascii="Segoe UI"/>
                      <w:color w:val="452A70"/>
                      <w:spacing w:val="-5"/>
                      <w:sz w:val="20"/>
                    </w:rPr>
                    <w:t> </w:t>
                  </w:r>
                  <w:r>
                    <w:rPr>
                      <w:rFonts w:ascii="Segoe UI"/>
                      <w:color w:val="452A70"/>
                      <w:spacing w:val="-1"/>
                      <w:sz w:val="20"/>
                    </w:rPr>
                    <w:t>should</w:t>
                  </w:r>
                  <w:r>
                    <w:rPr>
                      <w:rFonts w:ascii="Segoe UI"/>
                      <w:color w:val="452A70"/>
                      <w:spacing w:val="-5"/>
                      <w:sz w:val="20"/>
                    </w:rPr>
                    <w:t> </w:t>
                  </w:r>
                  <w:r>
                    <w:rPr>
                      <w:rFonts w:ascii="Segoe UI"/>
                      <w:color w:val="452A70"/>
                      <w:sz w:val="20"/>
                    </w:rPr>
                    <w:t>be</w:t>
                  </w:r>
                  <w:r>
                    <w:rPr>
                      <w:rFonts w:ascii="Segoe UI"/>
                      <w:color w:val="452A70"/>
                      <w:spacing w:val="-5"/>
                      <w:sz w:val="20"/>
                    </w:rPr>
                    <w:t> </w:t>
                  </w:r>
                  <w:r>
                    <w:rPr>
                      <w:rFonts w:ascii="Segoe UI"/>
                      <w:color w:val="452A70"/>
                      <w:spacing w:val="-1"/>
                      <w:sz w:val="20"/>
                    </w:rPr>
                    <w:t>mandated</w:t>
                  </w:r>
                  <w:r>
                    <w:rPr>
                      <w:rFonts w:ascii="Segoe UI"/>
                      <w:color w:val="452A70"/>
                      <w:spacing w:val="-4"/>
                      <w:sz w:val="20"/>
                    </w:rPr>
                    <w:t> </w:t>
                  </w:r>
                  <w:r>
                    <w:rPr>
                      <w:rFonts w:ascii="Segoe UI"/>
                      <w:color w:val="452A70"/>
                      <w:sz w:val="20"/>
                    </w:rPr>
                    <w:t>for</w:t>
                  </w:r>
                  <w:r>
                    <w:rPr>
                      <w:rFonts w:ascii="Segoe UI"/>
                      <w:color w:val="452A70"/>
                      <w:spacing w:val="-6"/>
                      <w:sz w:val="20"/>
                    </w:rPr>
                    <w:t> </w:t>
                  </w:r>
                  <w:r>
                    <w:rPr>
                      <w:rFonts w:ascii="Segoe UI"/>
                      <w:color w:val="452A70"/>
                      <w:sz w:val="20"/>
                    </w:rPr>
                    <w:t>boarding</w:t>
                  </w:r>
                  <w:r>
                    <w:rPr>
                      <w:rFonts w:ascii="Segoe UI"/>
                      <w:color w:val="452A70"/>
                      <w:spacing w:val="-6"/>
                      <w:sz w:val="20"/>
                    </w:rPr>
                    <w:t> </w:t>
                  </w:r>
                  <w:r>
                    <w:rPr>
                      <w:rFonts w:ascii="Segoe UI"/>
                      <w:color w:val="452A70"/>
                      <w:sz w:val="20"/>
                    </w:rPr>
                    <w:t>providers</w:t>
                  </w:r>
                  <w:r>
                    <w:rPr>
                      <w:rFonts w:ascii="Segoe UI"/>
                      <w:color w:val="452A70"/>
                      <w:spacing w:val="-6"/>
                      <w:sz w:val="20"/>
                    </w:rPr>
                    <w:t> </w:t>
                  </w:r>
                  <w:r>
                    <w:rPr>
                      <w:rFonts w:ascii="Segoe UI"/>
                      <w:color w:val="452A70"/>
                      <w:sz w:val="20"/>
                    </w:rPr>
                    <w:t>receiving</w:t>
                  </w:r>
                  <w:r>
                    <w:rPr>
                      <w:rFonts w:ascii="Segoe UI"/>
                      <w:color w:val="452A70"/>
                      <w:spacing w:val="-7"/>
                      <w:sz w:val="20"/>
                    </w:rPr>
                    <w:t> </w:t>
                  </w:r>
                  <w:r>
                    <w:rPr>
                      <w:rFonts w:ascii="Segoe UI"/>
                      <w:color w:val="452A70"/>
                      <w:sz w:val="20"/>
                    </w:rPr>
                    <w:t>funding</w:t>
                  </w:r>
                  <w:r>
                    <w:rPr>
                      <w:rFonts w:ascii="Segoe UI"/>
                      <w:color w:val="452A70"/>
                      <w:spacing w:val="26"/>
                      <w:w w:val="99"/>
                      <w:sz w:val="20"/>
                    </w:rPr>
                    <w:t> </w:t>
                  </w:r>
                  <w:r>
                    <w:rPr>
                      <w:rFonts w:ascii="Segoe UI"/>
                      <w:color w:val="452A70"/>
                      <w:sz w:val="20"/>
                    </w:rPr>
                    <w:t>or</w:t>
                  </w:r>
                  <w:r>
                    <w:rPr>
                      <w:rFonts w:ascii="Segoe UI"/>
                      <w:color w:val="452A70"/>
                      <w:spacing w:val="-5"/>
                      <w:sz w:val="20"/>
                    </w:rPr>
                    <w:t> </w:t>
                  </w:r>
                  <w:r>
                    <w:rPr>
                      <w:rFonts w:ascii="Segoe UI"/>
                      <w:color w:val="452A70"/>
                      <w:sz w:val="20"/>
                    </w:rPr>
                    <w:t>ABSTUDY</w:t>
                  </w:r>
                  <w:r>
                    <w:rPr>
                      <w:rFonts w:ascii="Segoe UI"/>
                      <w:color w:val="452A70"/>
                      <w:spacing w:val="-6"/>
                      <w:sz w:val="20"/>
                    </w:rPr>
                    <w:t> </w:t>
                  </w:r>
                  <w:r>
                    <w:rPr>
                      <w:rFonts w:ascii="Segoe UI"/>
                      <w:color w:val="452A70"/>
                      <w:sz w:val="20"/>
                    </w:rPr>
                    <w:t>payments</w:t>
                  </w:r>
                  <w:r>
                    <w:rPr>
                      <w:rFonts w:ascii="Segoe UI"/>
                      <w:color w:val="452A70"/>
                      <w:spacing w:val="-6"/>
                      <w:sz w:val="20"/>
                    </w:rPr>
                    <w:t> </w:t>
                  </w:r>
                  <w:r>
                    <w:rPr>
                      <w:rFonts w:ascii="Segoe UI"/>
                      <w:color w:val="452A70"/>
                      <w:sz w:val="20"/>
                    </w:rPr>
                    <w:t>for</w:t>
                  </w:r>
                  <w:r>
                    <w:rPr>
                      <w:rFonts w:ascii="Segoe UI"/>
                      <w:color w:val="452A70"/>
                      <w:spacing w:val="-5"/>
                      <w:sz w:val="20"/>
                    </w:rPr>
                    <w:t> </w:t>
                  </w:r>
                  <w:r>
                    <w:rPr>
                      <w:rFonts w:ascii="Segoe UI"/>
                      <w:color w:val="452A70"/>
                      <w:sz w:val="20"/>
                    </w:rPr>
                    <w:t>Aboriginal</w:t>
                  </w:r>
                  <w:r>
                    <w:rPr>
                      <w:rFonts w:ascii="Segoe UI"/>
                      <w:color w:val="452A70"/>
                      <w:spacing w:val="-5"/>
                      <w:sz w:val="20"/>
                    </w:rPr>
                    <w:t> </w:t>
                  </w:r>
                  <w:r>
                    <w:rPr>
                      <w:rFonts w:ascii="Segoe UI"/>
                      <w:color w:val="452A70"/>
                      <w:sz w:val="20"/>
                    </w:rPr>
                    <w:t>and</w:t>
                  </w:r>
                  <w:r>
                    <w:rPr>
                      <w:rFonts w:ascii="Segoe UI"/>
                      <w:color w:val="452A70"/>
                      <w:spacing w:val="-5"/>
                      <w:sz w:val="20"/>
                    </w:rPr>
                    <w:t> Torres </w:t>
                  </w:r>
                  <w:r>
                    <w:rPr>
                      <w:rFonts w:ascii="Segoe UI"/>
                      <w:color w:val="452A70"/>
                      <w:spacing w:val="-2"/>
                      <w:sz w:val="20"/>
                    </w:rPr>
                    <w:t>Strait</w:t>
                  </w:r>
                  <w:r>
                    <w:rPr>
                      <w:rFonts w:ascii="Segoe UI"/>
                      <w:color w:val="452A70"/>
                      <w:spacing w:val="-6"/>
                      <w:sz w:val="20"/>
                    </w:rPr>
                    <w:t> </w:t>
                  </w:r>
                  <w:r>
                    <w:rPr>
                      <w:rFonts w:ascii="Segoe UI"/>
                      <w:color w:val="452A70"/>
                      <w:spacing w:val="-1"/>
                      <w:sz w:val="20"/>
                    </w:rPr>
                    <w:t>Islander</w:t>
                  </w:r>
                  <w:r>
                    <w:rPr>
                      <w:rFonts w:ascii="Segoe UI"/>
                      <w:color w:val="452A70"/>
                      <w:spacing w:val="-5"/>
                      <w:sz w:val="20"/>
                    </w:rPr>
                    <w:t> </w:t>
                  </w:r>
                  <w:r>
                    <w:rPr>
                      <w:rFonts w:ascii="Segoe UI"/>
                      <w:color w:val="452A70"/>
                      <w:spacing w:val="-1"/>
                      <w:sz w:val="20"/>
                    </w:rPr>
                    <w:t>students,</w:t>
                  </w:r>
                  <w:r>
                    <w:rPr>
                      <w:rFonts w:ascii="Segoe UI"/>
                      <w:color w:val="452A70"/>
                      <w:spacing w:val="-4"/>
                      <w:sz w:val="20"/>
                    </w:rPr>
                    <w:t> </w:t>
                  </w:r>
                  <w:r>
                    <w:rPr>
                      <w:rFonts w:ascii="Segoe UI"/>
                      <w:color w:val="452A70"/>
                      <w:spacing w:val="-1"/>
                      <w:sz w:val="20"/>
                    </w:rPr>
                    <w:t>including</w:t>
                  </w:r>
                  <w:r>
                    <w:rPr>
                      <w:rFonts w:ascii="Segoe UI"/>
                      <w:color w:val="452A70"/>
                      <w:spacing w:val="-5"/>
                      <w:sz w:val="20"/>
                    </w:rPr>
                    <w:t> </w:t>
                  </w:r>
                  <w:r>
                    <w:rPr>
                      <w:rFonts w:ascii="Segoe UI"/>
                      <w:color w:val="452A70"/>
                      <w:sz w:val="20"/>
                    </w:rPr>
                    <w:t>how</w:t>
                  </w:r>
                  <w:r>
                    <w:rPr>
                      <w:rFonts w:ascii="Segoe UI"/>
                      <w:color w:val="452A70"/>
                      <w:spacing w:val="-5"/>
                      <w:sz w:val="20"/>
                    </w:rPr>
                    <w:t> </w:t>
                  </w:r>
                  <w:r>
                    <w:rPr>
                      <w:rFonts w:ascii="Segoe UI"/>
                      <w:color w:val="452A70"/>
                      <w:sz w:val="20"/>
                    </w:rPr>
                    <w:t>the</w:t>
                  </w:r>
                  <w:r>
                    <w:rPr>
                      <w:rFonts w:ascii="Segoe UI"/>
                      <w:color w:val="452A70"/>
                      <w:spacing w:val="25"/>
                      <w:w w:val="99"/>
                      <w:sz w:val="20"/>
                    </w:rPr>
                    <w:t> </w:t>
                  </w:r>
                  <w:r>
                    <w:rPr>
                      <w:rFonts w:ascii="Segoe UI"/>
                      <w:color w:val="452A70"/>
                      <w:spacing w:val="-1"/>
                      <w:sz w:val="20"/>
                    </w:rPr>
                    <w:t>standard</w:t>
                  </w:r>
                  <w:r>
                    <w:rPr>
                      <w:rFonts w:ascii="Segoe UI"/>
                      <w:color w:val="452A70"/>
                      <w:spacing w:val="-3"/>
                      <w:sz w:val="20"/>
                    </w:rPr>
                    <w:t> </w:t>
                  </w:r>
                  <w:r>
                    <w:rPr>
                      <w:rFonts w:ascii="Segoe UI"/>
                      <w:color w:val="452A70"/>
                      <w:spacing w:val="-1"/>
                      <w:sz w:val="20"/>
                    </w:rPr>
                    <w:t>should</w:t>
                  </w:r>
                  <w:r>
                    <w:rPr>
                      <w:rFonts w:ascii="Segoe UI"/>
                      <w:color w:val="452A70"/>
                      <w:spacing w:val="-4"/>
                      <w:sz w:val="20"/>
                    </w:rPr>
                    <w:t> </w:t>
                  </w:r>
                  <w:r>
                    <w:rPr>
                      <w:rFonts w:ascii="Segoe UI"/>
                      <w:color w:val="452A70"/>
                      <w:sz w:val="20"/>
                    </w:rPr>
                    <w:t>be</w:t>
                  </w:r>
                  <w:r>
                    <w:rPr>
                      <w:rFonts w:ascii="Segoe UI"/>
                      <w:color w:val="452A70"/>
                      <w:spacing w:val="-4"/>
                      <w:sz w:val="20"/>
                    </w:rPr>
                    <w:t> </w:t>
                  </w:r>
                  <w:r>
                    <w:rPr>
                      <w:rFonts w:ascii="Segoe UI"/>
                      <w:color w:val="452A70"/>
                      <w:sz w:val="20"/>
                    </w:rPr>
                    <w:t>phased</w:t>
                  </w:r>
                  <w:r>
                    <w:rPr>
                      <w:rFonts w:ascii="Segoe UI"/>
                      <w:color w:val="452A70"/>
                      <w:spacing w:val="-5"/>
                      <w:sz w:val="20"/>
                    </w:rPr>
                    <w:t> </w:t>
                  </w:r>
                  <w:r>
                    <w:rPr>
                      <w:rFonts w:ascii="Segoe UI"/>
                      <w:color w:val="452A70"/>
                      <w:spacing w:val="-1"/>
                      <w:sz w:val="20"/>
                    </w:rPr>
                    <w:t>in</w:t>
                  </w:r>
                  <w:r>
                    <w:rPr>
                      <w:rFonts w:ascii="Segoe UI"/>
                      <w:color w:val="452A70"/>
                      <w:spacing w:val="-4"/>
                      <w:sz w:val="20"/>
                    </w:rPr>
                    <w:t> </w:t>
                  </w:r>
                  <w:r>
                    <w:rPr>
                      <w:rFonts w:ascii="Segoe UI"/>
                      <w:color w:val="452A70"/>
                      <w:sz w:val="20"/>
                    </w:rPr>
                    <w:t>and</w:t>
                  </w:r>
                  <w:r>
                    <w:rPr>
                      <w:rFonts w:ascii="Segoe UI"/>
                      <w:color w:val="452A70"/>
                      <w:spacing w:val="-4"/>
                      <w:sz w:val="20"/>
                    </w:rPr>
                    <w:t> </w:t>
                  </w:r>
                  <w:r>
                    <w:rPr>
                      <w:rFonts w:ascii="Segoe UI"/>
                      <w:color w:val="452A70"/>
                      <w:sz w:val="20"/>
                    </w:rPr>
                    <w:t>whether</w:t>
                  </w:r>
                  <w:r>
                    <w:rPr>
                      <w:rFonts w:ascii="Segoe UI"/>
                      <w:color w:val="452A70"/>
                      <w:spacing w:val="-5"/>
                      <w:sz w:val="20"/>
                    </w:rPr>
                    <w:t> </w:t>
                  </w:r>
                  <w:r>
                    <w:rPr>
                      <w:rFonts w:ascii="Segoe UI"/>
                      <w:color w:val="452A70"/>
                      <w:sz w:val="20"/>
                    </w:rPr>
                    <w:t>funding</w:t>
                  </w:r>
                  <w:r>
                    <w:rPr>
                      <w:rFonts w:ascii="Segoe UI"/>
                      <w:color w:val="452A70"/>
                      <w:spacing w:val="-4"/>
                      <w:sz w:val="20"/>
                    </w:rPr>
                    <w:t> </w:t>
                  </w:r>
                  <w:r>
                    <w:rPr>
                      <w:rFonts w:ascii="Segoe UI"/>
                      <w:color w:val="452A70"/>
                      <w:spacing w:val="-1"/>
                      <w:sz w:val="20"/>
                    </w:rPr>
                    <w:t>should</w:t>
                  </w:r>
                  <w:r>
                    <w:rPr>
                      <w:rFonts w:ascii="Segoe UI"/>
                      <w:color w:val="452A70"/>
                      <w:spacing w:val="-4"/>
                      <w:sz w:val="20"/>
                    </w:rPr>
                    <w:t> </w:t>
                  </w:r>
                  <w:r>
                    <w:rPr>
                      <w:rFonts w:ascii="Segoe UI"/>
                      <w:color w:val="452A70"/>
                      <w:sz w:val="20"/>
                    </w:rPr>
                    <w:t>be</w:t>
                  </w:r>
                  <w:r>
                    <w:rPr>
                      <w:rFonts w:ascii="Segoe UI"/>
                      <w:color w:val="452A70"/>
                      <w:spacing w:val="-4"/>
                      <w:sz w:val="20"/>
                    </w:rPr>
                    <w:t> </w:t>
                  </w:r>
                  <w:r>
                    <w:rPr>
                      <w:rFonts w:ascii="Segoe UI"/>
                      <w:color w:val="452A70"/>
                      <w:spacing w:val="-1"/>
                      <w:sz w:val="20"/>
                    </w:rPr>
                    <w:t>made</w:t>
                  </w:r>
                  <w:r>
                    <w:rPr>
                      <w:rFonts w:ascii="Segoe UI"/>
                      <w:color w:val="452A70"/>
                      <w:spacing w:val="-3"/>
                      <w:sz w:val="20"/>
                    </w:rPr>
                    <w:t> </w:t>
                  </w:r>
                  <w:r>
                    <w:rPr>
                      <w:rFonts w:ascii="Segoe UI"/>
                      <w:color w:val="452A70"/>
                      <w:sz w:val="20"/>
                    </w:rPr>
                    <w:t>available</w:t>
                  </w:r>
                  <w:r>
                    <w:rPr>
                      <w:rFonts w:ascii="Segoe UI"/>
                      <w:color w:val="452A70"/>
                      <w:spacing w:val="-5"/>
                      <w:sz w:val="20"/>
                    </w:rPr>
                    <w:t> </w:t>
                  </w:r>
                  <w:r>
                    <w:rPr>
                      <w:rFonts w:ascii="Segoe UI"/>
                      <w:color w:val="452A70"/>
                      <w:sz w:val="20"/>
                    </w:rPr>
                    <w:t>to</w:t>
                  </w:r>
                  <w:r>
                    <w:rPr>
                      <w:rFonts w:ascii="Segoe UI"/>
                      <w:color w:val="452A70"/>
                      <w:spacing w:val="-4"/>
                      <w:sz w:val="20"/>
                    </w:rPr>
                    <w:t> </w:t>
                  </w:r>
                  <w:r>
                    <w:rPr>
                      <w:rFonts w:ascii="Segoe UI"/>
                      <w:color w:val="452A70"/>
                      <w:spacing w:val="-1"/>
                      <w:sz w:val="20"/>
                    </w:rPr>
                    <w:t>meet</w:t>
                  </w:r>
                  <w:r>
                    <w:rPr>
                      <w:rFonts w:ascii="Segoe UI"/>
                      <w:color w:val="452A70"/>
                      <w:spacing w:val="-4"/>
                      <w:sz w:val="20"/>
                    </w:rPr>
                    <w:t> </w:t>
                  </w:r>
                  <w:r>
                    <w:rPr>
                      <w:rFonts w:ascii="Segoe UI"/>
                      <w:color w:val="452A70"/>
                      <w:sz w:val="20"/>
                    </w:rPr>
                    <w:t>the</w:t>
                  </w:r>
                  <w:r>
                    <w:rPr>
                      <w:rFonts w:ascii="Segoe UI"/>
                      <w:color w:val="452A70"/>
                      <w:spacing w:val="27"/>
                      <w:w w:val="99"/>
                      <w:sz w:val="20"/>
                    </w:rPr>
                    <w:t> </w:t>
                  </w:r>
                  <w:r>
                    <w:rPr>
                      <w:rFonts w:ascii="Segoe UI"/>
                      <w:color w:val="452A70"/>
                      <w:sz w:val="20"/>
                    </w:rPr>
                    <w:t>cost</w:t>
                  </w:r>
                  <w:r>
                    <w:rPr>
                      <w:rFonts w:ascii="Segoe UI"/>
                      <w:color w:val="452A70"/>
                      <w:spacing w:val="-6"/>
                      <w:sz w:val="20"/>
                    </w:rPr>
                    <w:t> </w:t>
                  </w:r>
                  <w:r>
                    <w:rPr>
                      <w:rFonts w:ascii="Segoe UI"/>
                      <w:color w:val="452A70"/>
                      <w:sz w:val="20"/>
                    </w:rPr>
                    <w:t>of</w:t>
                  </w:r>
                  <w:r>
                    <w:rPr>
                      <w:rFonts w:ascii="Segoe UI"/>
                      <w:color w:val="452A70"/>
                      <w:spacing w:val="-5"/>
                      <w:sz w:val="20"/>
                    </w:rPr>
                    <w:t> </w:t>
                  </w:r>
                  <w:r>
                    <w:rPr>
                      <w:rFonts w:ascii="Segoe UI"/>
                      <w:color w:val="452A70"/>
                      <w:sz w:val="20"/>
                    </w:rPr>
                    <w:t>compliance</w:t>
                  </w:r>
                  <w:r>
                    <w:rPr>
                      <w:rFonts w:ascii="Segoe UI"/>
                      <w:color w:val="452A70"/>
                      <w:spacing w:val="-6"/>
                      <w:sz w:val="20"/>
                    </w:rPr>
                    <w:t> </w:t>
                  </w:r>
                  <w:r>
                    <w:rPr>
                      <w:rFonts w:ascii="Segoe UI"/>
                      <w:color w:val="452A70"/>
                      <w:sz w:val="20"/>
                    </w:rPr>
                    <w:t>with</w:t>
                  </w:r>
                  <w:r>
                    <w:rPr>
                      <w:rFonts w:ascii="Segoe UI"/>
                      <w:color w:val="452A70"/>
                      <w:spacing w:val="-6"/>
                      <w:sz w:val="20"/>
                    </w:rPr>
                    <w:t> </w:t>
                  </w:r>
                  <w:r>
                    <w:rPr>
                      <w:rFonts w:ascii="Segoe UI"/>
                      <w:color w:val="452A70"/>
                      <w:sz w:val="20"/>
                    </w:rPr>
                    <w:t>voluntary</w:t>
                  </w:r>
                  <w:r>
                    <w:rPr>
                      <w:rFonts w:ascii="Segoe UI"/>
                      <w:color w:val="452A70"/>
                      <w:spacing w:val="-5"/>
                      <w:sz w:val="20"/>
                    </w:rPr>
                    <w:t> </w:t>
                  </w:r>
                  <w:r>
                    <w:rPr>
                      <w:rFonts w:ascii="Segoe UI"/>
                      <w:color w:val="452A70"/>
                      <w:sz w:val="20"/>
                    </w:rPr>
                    <w:t>or</w:t>
                  </w:r>
                  <w:r>
                    <w:rPr>
                      <w:rFonts w:ascii="Segoe UI"/>
                      <w:color w:val="452A70"/>
                      <w:spacing w:val="-5"/>
                      <w:sz w:val="20"/>
                    </w:rPr>
                    <w:t> </w:t>
                  </w:r>
                  <w:r>
                    <w:rPr>
                      <w:rFonts w:ascii="Segoe UI"/>
                      <w:color w:val="452A70"/>
                      <w:spacing w:val="-1"/>
                      <w:sz w:val="20"/>
                    </w:rPr>
                    <w:t>mandatory</w:t>
                  </w:r>
                  <w:r>
                    <w:rPr>
                      <w:rFonts w:ascii="Segoe UI"/>
                      <w:color w:val="452A70"/>
                      <w:spacing w:val="-4"/>
                      <w:sz w:val="20"/>
                    </w:rPr>
                    <w:t> </w:t>
                  </w:r>
                  <w:r>
                    <w:rPr>
                      <w:rFonts w:ascii="Segoe UI"/>
                      <w:color w:val="452A70"/>
                      <w:spacing w:val="-1"/>
                      <w:sz w:val="20"/>
                    </w:rPr>
                    <w:t>standards.</w:t>
                  </w:r>
                  <w:r>
                    <w:rPr>
                      <w:rFonts w:ascii="Segoe UI"/>
                      <w:sz w:val="20"/>
                    </w:rPr>
                  </w:r>
                </w:p>
              </w:txbxContent>
            </v:textbox>
            <v:fill type="solid"/>
            <v:stroke dashstyle="dash"/>
            <w10:wrap type="none"/>
          </v:shape>
        </w:pict>
      </w:r>
      <w:r>
        <w:rPr>
          <w:rFonts w:ascii="Segoe UI Semibold" w:hAnsi="Segoe UI Semibold" w:cs="Segoe UI Semibold" w:eastAsia="Segoe UI Semibold"/>
          <w:sz w:val="20"/>
          <w:szCs w:val="20"/>
        </w:rPr>
      </w:r>
    </w:p>
    <w:p>
      <w:pPr>
        <w:spacing w:after="0" w:line="200" w:lineRule="atLeast"/>
        <w:rPr>
          <w:rFonts w:ascii="Segoe UI Semibold" w:hAnsi="Segoe UI Semibold" w:cs="Segoe UI Semibold" w:eastAsia="Segoe UI Semibold"/>
          <w:sz w:val="20"/>
          <w:szCs w:val="20"/>
        </w:rPr>
        <w:sectPr>
          <w:type w:val="continuous"/>
          <w:pgSz w:w="11910" w:h="16840"/>
          <w:pgMar w:top="1580" w:bottom="280" w:left="1300" w:right="1600"/>
        </w:sectPr>
      </w:pPr>
    </w:p>
    <w:p>
      <w:pPr>
        <w:spacing w:line="240" w:lineRule="auto" w:before="0"/>
        <w:rPr>
          <w:rFonts w:ascii="Segoe UI Semibold" w:hAnsi="Segoe UI Semibold" w:cs="Segoe UI Semibold" w:eastAsia="Segoe UI Semibold"/>
          <w:b/>
          <w:bCs/>
          <w:sz w:val="20"/>
          <w:szCs w:val="20"/>
        </w:rPr>
      </w:pPr>
    </w:p>
    <w:p>
      <w:pPr>
        <w:spacing w:line="240" w:lineRule="auto" w:before="1"/>
        <w:rPr>
          <w:rFonts w:ascii="Segoe UI Semibold" w:hAnsi="Segoe UI Semibold" w:cs="Segoe UI Semibold" w:eastAsia="Segoe UI Semibold"/>
          <w:b/>
          <w:bCs/>
          <w:sz w:val="20"/>
          <w:szCs w:val="20"/>
        </w:rPr>
      </w:pPr>
    </w:p>
    <w:p>
      <w:pPr>
        <w:pStyle w:val="Heading1"/>
        <w:numPr>
          <w:ilvl w:val="0"/>
          <w:numId w:val="6"/>
        </w:numPr>
        <w:tabs>
          <w:tab w:pos="821" w:val="left" w:leader="none"/>
        </w:tabs>
        <w:spacing w:line="567" w:lineRule="exact" w:before="0" w:after="0"/>
        <w:ind w:left="820" w:right="0" w:hanging="720"/>
        <w:jc w:val="left"/>
      </w:pPr>
      <w:bookmarkStart w:name="_TOC_250007" w:id="29"/>
      <w:r>
        <w:rPr>
          <w:color w:val="67973F"/>
          <w:spacing w:val="-5"/>
        </w:rPr>
        <w:t>P</w:t>
      </w:r>
      <w:r>
        <w:rPr>
          <w:color w:val="67973F"/>
          <w:spacing w:val="-6"/>
        </w:rPr>
        <w:t>eak</w:t>
      </w:r>
      <w:r>
        <w:rPr>
          <w:color w:val="67973F"/>
          <w:spacing w:val="-4"/>
        </w:rPr>
        <w:t> </w:t>
      </w:r>
      <w:r>
        <w:rPr>
          <w:color w:val="67973F"/>
        </w:rPr>
        <w:t>bodies</w:t>
      </w:r>
      <w:bookmarkEnd w:id="29"/>
      <w:r>
        <w:rPr/>
      </w:r>
    </w:p>
    <w:p>
      <w:pPr>
        <w:spacing w:line="240" w:lineRule="auto" w:before="10"/>
        <w:rPr>
          <w:rFonts w:ascii="Segoe UI" w:hAnsi="Segoe UI" w:cs="Segoe UI" w:eastAsia="Segoe UI"/>
          <w:sz w:val="22"/>
          <w:szCs w:val="22"/>
        </w:rPr>
      </w:pPr>
    </w:p>
    <w:p>
      <w:pPr>
        <w:spacing w:after="0" w:line="240" w:lineRule="auto"/>
        <w:rPr>
          <w:rFonts w:ascii="Segoe UI" w:hAnsi="Segoe UI" w:cs="Segoe UI" w:eastAsia="Segoe UI"/>
          <w:sz w:val="22"/>
          <w:szCs w:val="22"/>
        </w:rPr>
        <w:sectPr>
          <w:pgSz w:w="11910" w:h="16840"/>
          <w:pgMar w:header="0" w:footer="691" w:top="1580" w:bottom="880" w:left="1600" w:right="1300"/>
        </w:sectPr>
      </w:pPr>
    </w:p>
    <w:p>
      <w:pPr>
        <w:pStyle w:val="BodyText"/>
        <w:spacing w:line="250" w:lineRule="exact" w:before="62"/>
        <w:ind w:left="100" w:right="162"/>
        <w:jc w:val="left"/>
      </w:pPr>
      <w:r>
        <w:rPr>
          <w:color w:val="231F20"/>
        </w:rPr>
        <w:t>The</w:t>
      </w:r>
      <w:r>
        <w:rPr>
          <w:color w:val="231F20"/>
          <w:spacing w:val="-4"/>
        </w:rPr>
        <w:t> </w:t>
      </w:r>
      <w:r>
        <w:rPr>
          <w:color w:val="231F20"/>
        </w:rPr>
        <w:t>peak</w:t>
      </w:r>
      <w:r>
        <w:rPr>
          <w:color w:val="231F20"/>
          <w:spacing w:val="-5"/>
        </w:rPr>
        <w:t> </w:t>
      </w:r>
      <w:r>
        <w:rPr>
          <w:color w:val="231F20"/>
        </w:rPr>
        <w:t>bodies</w:t>
      </w:r>
      <w:r>
        <w:rPr>
          <w:color w:val="231F20"/>
          <w:spacing w:val="-5"/>
        </w:rPr>
        <w:t> </w:t>
      </w:r>
      <w:r>
        <w:rPr>
          <w:color w:val="231F20"/>
          <w:spacing w:val="-1"/>
        </w:rPr>
        <w:t>in</w:t>
      </w:r>
      <w:r>
        <w:rPr>
          <w:color w:val="231F20"/>
          <w:spacing w:val="-4"/>
        </w:rPr>
        <w:t> </w:t>
      </w:r>
      <w:r>
        <w:rPr>
          <w:color w:val="231F20"/>
        </w:rPr>
        <w:t>the</w:t>
      </w:r>
      <w:r>
        <w:rPr>
          <w:color w:val="231F20"/>
          <w:spacing w:val="-4"/>
        </w:rPr>
        <w:t> </w:t>
      </w:r>
      <w:r>
        <w:rPr>
          <w:color w:val="231F20"/>
        </w:rPr>
        <w:t>Aboriginal</w:t>
      </w:r>
      <w:r>
        <w:rPr>
          <w:color w:val="231F20"/>
          <w:spacing w:val="-4"/>
        </w:rPr>
        <w:t> </w:t>
      </w:r>
      <w:r>
        <w:rPr>
          <w:color w:val="231F20"/>
        </w:rPr>
        <w:t>and</w:t>
      </w:r>
      <w:r>
        <w:rPr>
          <w:color w:val="231F20"/>
          <w:w w:val="99"/>
        </w:rPr>
        <w:t> </w:t>
      </w:r>
      <w:r>
        <w:rPr>
          <w:color w:val="231F20"/>
          <w:spacing w:val="21"/>
          <w:w w:val="99"/>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5"/>
        </w:rPr>
        <w:t> </w:t>
      </w:r>
      <w:r>
        <w:rPr>
          <w:color w:val="231F20"/>
        </w:rPr>
        <w:t>boarding</w:t>
      </w:r>
      <w:r>
        <w:rPr>
          <w:color w:val="231F20"/>
          <w:spacing w:val="-6"/>
        </w:rPr>
        <w:t> </w:t>
      </w:r>
      <w:r>
        <w:rPr>
          <w:color w:val="231F20"/>
          <w:spacing w:val="-1"/>
        </w:rPr>
        <w:t>sector</w:t>
      </w:r>
      <w:r>
        <w:rPr>
          <w:color w:val="231F20"/>
          <w:spacing w:val="-5"/>
        </w:rPr>
        <w:t> </w:t>
      </w:r>
      <w:r>
        <w:rPr>
          <w:color w:val="231F20"/>
        </w:rPr>
        <w:t>play</w:t>
      </w:r>
      <w:r>
        <w:rPr>
          <w:color w:val="231F20"/>
          <w:spacing w:val="-6"/>
        </w:rPr>
        <w:t> </w:t>
      </w:r>
      <w:r>
        <w:rPr>
          <w:color w:val="231F20"/>
        </w:rPr>
        <w:t>an</w:t>
      </w:r>
      <w:r>
        <w:rPr/>
      </w:r>
    </w:p>
    <w:p>
      <w:pPr>
        <w:pStyle w:val="BodyText"/>
        <w:spacing w:line="250" w:lineRule="exact"/>
        <w:ind w:left="100" w:right="0"/>
        <w:jc w:val="left"/>
      </w:pPr>
      <w:r>
        <w:rPr>
          <w:color w:val="231F20"/>
          <w:spacing w:val="-1"/>
        </w:rPr>
        <w:t>important</w:t>
      </w:r>
      <w:r>
        <w:rPr>
          <w:color w:val="231F20"/>
          <w:spacing w:val="-5"/>
        </w:rPr>
        <w:t> </w:t>
      </w:r>
      <w:r>
        <w:rPr>
          <w:color w:val="231F20"/>
        </w:rPr>
        <w:t>part</w:t>
      </w:r>
      <w:r>
        <w:rPr>
          <w:color w:val="231F20"/>
          <w:spacing w:val="-4"/>
        </w:rPr>
        <w:t> </w:t>
      </w:r>
      <w:r>
        <w:rPr>
          <w:color w:val="231F20"/>
          <w:spacing w:val="-1"/>
        </w:rPr>
        <w:t>in</w:t>
      </w:r>
      <w:r>
        <w:rPr>
          <w:color w:val="231F20"/>
          <w:spacing w:val="-4"/>
        </w:rPr>
        <w:t> </w:t>
      </w:r>
      <w:r>
        <w:rPr>
          <w:color w:val="231F20"/>
        </w:rPr>
        <w:t>delivering</w:t>
      </w:r>
      <w:r>
        <w:rPr>
          <w:color w:val="231F20"/>
          <w:spacing w:val="-5"/>
        </w:rPr>
        <w:t> </w:t>
      </w:r>
      <w:r>
        <w:rPr>
          <w:color w:val="231F20"/>
        </w:rPr>
        <w:t>positive</w:t>
      </w:r>
      <w:r>
        <w:rPr>
          <w:color w:val="231F20"/>
          <w:spacing w:val="-5"/>
        </w:rPr>
        <w:t> </w:t>
      </w:r>
      <w:r>
        <w:rPr>
          <w:color w:val="231F20"/>
        </w:rPr>
        <w:t>outcomes</w:t>
      </w:r>
      <w:r>
        <w:rPr>
          <w:color w:val="231F20"/>
          <w:spacing w:val="23"/>
        </w:rPr>
        <w:t> </w:t>
      </w:r>
      <w:r>
        <w:rPr>
          <w:color w:val="231F20"/>
        </w:rPr>
        <w:t>from</w:t>
      </w:r>
      <w:r>
        <w:rPr>
          <w:color w:val="231F20"/>
          <w:spacing w:val="-8"/>
        </w:rPr>
        <w:t> </w:t>
      </w:r>
      <w:r>
        <w:rPr>
          <w:color w:val="231F20"/>
        </w:rPr>
        <w:t>boarding.</w:t>
      </w:r>
      <w:r>
        <w:rPr>
          <w:color w:val="231F20"/>
          <w:spacing w:val="-9"/>
        </w:rPr>
        <w:t> </w:t>
      </w:r>
      <w:r>
        <w:rPr>
          <w:color w:val="231F20"/>
        </w:rPr>
        <w:t>They</w:t>
      </w:r>
      <w:r>
        <w:rPr>
          <w:color w:val="231F20"/>
          <w:spacing w:val="-8"/>
        </w:rPr>
        <w:t> </w:t>
      </w:r>
      <w:r>
        <w:rPr>
          <w:color w:val="231F20"/>
        </w:rPr>
        <w:t>provide</w:t>
      </w:r>
      <w:r>
        <w:rPr>
          <w:color w:val="231F20"/>
          <w:spacing w:val="-9"/>
        </w:rPr>
        <w:t> </w:t>
      </w:r>
      <w:r>
        <w:rPr>
          <w:color w:val="231F20"/>
        </w:rPr>
        <w:t>advocacy,</w:t>
      </w:r>
      <w:r>
        <w:rPr>
          <w:color w:val="231F20"/>
          <w:spacing w:val="-8"/>
        </w:rPr>
        <w:t> </w:t>
      </w:r>
      <w:r>
        <w:rPr>
          <w:color w:val="231F20"/>
        </w:rPr>
        <w:t>expert</w:t>
      </w:r>
      <w:r>
        <w:rPr>
          <w:color w:val="231F20"/>
          <w:w w:val="99"/>
        </w:rPr>
        <w:t> </w:t>
      </w:r>
      <w:r>
        <w:rPr>
          <w:color w:val="231F20"/>
        </w:rPr>
        <w:t>advice,</w:t>
      </w:r>
      <w:r>
        <w:rPr>
          <w:color w:val="231F20"/>
          <w:spacing w:val="-10"/>
        </w:rPr>
        <w:t> </w:t>
      </w:r>
      <w:r>
        <w:rPr>
          <w:color w:val="231F20"/>
        </w:rPr>
        <w:t>training</w:t>
      </w:r>
      <w:r>
        <w:rPr>
          <w:color w:val="231F20"/>
          <w:spacing w:val="-10"/>
        </w:rPr>
        <w:t> </w:t>
      </w:r>
      <w:r>
        <w:rPr>
          <w:color w:val="231F20"/>
        </w:rPr>
        <w:t>and</w:t>
      </w:r>
      <w:r>
        <w:rPr>
          <w:color w:val="231F20"/>
          <w:spacing w:val="-10"/>
        </w:rPr>
        <w:t> </w:t>
      </w:r>
      <w:r>
        <w:rPr>
          <w:color w:val="231F20"/>
        </w:rPr>
        <w:t>development,</w:t>
      </w:r>
      <w:r>
        <w:rPr>
          <w:color w:val="231F20"/>
          <w:spacing w:val="-10"/>
        </w:rPr>
        <w:t> </w:t>
      </w:r>
      <w:r>
        <w:rPr>
          <w:color w:val="231F20"/>
          <w:spacing w:val="-1"/>
        </w:rPr>
        <w:t>standard</w:t>
      </w:r>
      <w:r>
        <w:rPr>
          <w:color w:val="231F20"/>
          <w:spacing w:val="20"/>
          <w:w w:val="99"/>
        </w:rPr>
        <w:t> </w:t>
      </w:r>
      <w:r>
        <w:rPr>
          <w:color w:val="231F20"/>
        </w:rPr>
        <w:t>development</w:t>
      </w:r>
      <w:r>
        <w:rPr>
          <w:color w:val="231F20"/>
          <w:spacing w:val="-10"/>
        </w:rPr>
        <w:t> </w:t>
      </w:r>
      <w:r>
        <w:rPr>
          <w:color w:val="231F20"/>
        </w:rPr>
        <w:t>and</w:t>
      </w:r>
      <w:r>
        <w:rPr>
          <w:color w:val="231F20"/>
          <w:spacing w:val="-9"/>
        </w:rPr>
        <w:t> </w:t>
      </w:r>
      <w:r>
        <w:rPr>
          <w:color w:val="231F20"/>
        </w:rPr>
        <w:t>resources.</w:t>
      </w:r>
      <w:r>
        <w:rPr>
          <w:color w:val="231F20"/>
          <w:spacing w:val="-10"/>
        </w:rPr>
        <w:t> </w:t>
      </w:r>
      <w:r>
        <w:rPr>
          <w:color w:val="231F20"/>
        </w:rPr>
        <w:t>They</w:t>
      </w:r>
      <w:r>
        <w:rPr>
          <w:color w:val="231F20"/>
          <w:spacing w:val="-9"/>
        </w:rPr>
        <w:t> </w:t>
      </w:r>
      <w:r>
        <w:rPr>
          <w:color w:val="231F20"/>
        </w:rPr>
        <w:t>have</w:t>
      </w:r>
      <w:r>
        <w:rPr>
          <w:color w:val="231F20"/>
          <w:w w:val="99"/>
        </w:rPr>
        <w:t> </w:t>
      </w:r>
      <w:r>
        <w:rPr>
          <w:color w:val="231F20"/>
        </w:rPr>
        <w:t>provided</w:t>
      </w:r>
      <w:r>
        <w:rPr>
          <w:color w:val="231F20"/>
          <w:spacing w:val="-7"/>
        </w:rPr>
        <w:t> </w:t>
      </w:r>
      <w:r>
        <w:rPr>
          <w:color w:val="231F20"/>
          <w:spacing w:val="-1"/>
        </w:rPr>
        <w:t>invaluable</w:t>
      </w:r>
      <w:r>
        <w:rPr>
          <w:color w:val="231F20"/>
          <w:spacing w:val="-5"/>
        </w:rPr>
        <w:t> </w:t>
      </w:r>
      <w:r>
        <w:rPr>
          <w:color w:val="231F20"/>
          <w:spacing w:val="-1"/>
        </w:rPr>
        <w:t>input</w:t>
      </w:r>
      <w:r>
        <w:rPr>
          <w:color w:val="231F20"/>
          <w:spacing w:val="-6"/>
        </w:rPr>
        <w:t> </w:t>
      </w:r>
      <w:r>
        <w:rPr>
          <w:color w:val="231F20"/>
        </w:rPr>
        <w:t>for</w:t>
      </w:r>
      <w:r>
        <w:rPr>
          <w:color w:val="231F20"/>
          <w:spacing w:val="-5"/>
        </w:rPr>
        <w:t> </w:t>
      </w:r>
      <w:r>
        <w:rPr>
          <w:color w:val="231F20"/>
        </w:rPr>
        <w:t>this</w:t>
      </w:r>
      <w:r>
        <w:rPr>
          <w:color w:val="231F20"/>
          <w:spacing w:val="-7"/>
        </w:rPr>
        <w:t> </w:t>
      </w:r>
      <w:r>
        <w:rPr>
          <w:color w:val="231F20"/>
        </w:rPr>
        <w:t>report</w:t>
      </w:r>
      <w:r>
        <w:rPr>
          <w:color w:val="231F20"/>
          <w:spacing w:val="-6"/>
        </w:rPr>
        <w:t> </w:t>
      </w:r>
      <w:r>
        <w:rPr>
          <w:color w:val="231F20"/>
        </w:rPr>
        <w:t>and</w:t>
      </w:r>
      <w:r>
        <w:rPr>
          <w:color w:val="231F20"/>
          <w:spacing w:val="23"/>
          <w:w w:val="99"/>
        </w:rPr>
        <w:t> </w:t>
      </w:r>
      <w:r>
        <w:rPr>
          <w:color w:val="231F20"/>
          <w:spacing w:val="-1"/>
        </w:rPr>
        <w:t>many</w:t>
      </w:r>
      <w:r>
        <w:rPr>
          <w:color w:val="231F20"/>
          <w:spacing w:val="-6"/>
        </w:rPr>
        <w:t> </w:t>
      </w:r>
      <w:r>
        <w:rPr>
          <w:color w:val="231F20"/>
        </w:rPr>
        <w:t>other</w:t>
      </w:r>
      <w:r>
        <w:rPr>
          <w:color w:val="231F20"/>
          <w:spacing w:val="-5"/>
        </w:rPr>
        <w:t> </w:t>
      </w:r>
      <w:r>
        <w:rPr>
          <w:color w:val="231F20"/>
        </w:rPr>
        <w:t>reports</w:t>
      </w:r>
      <w:r>
        <w:rPr>
          <w:color w:val="231F20"/>
          <w:spacing w:val="-6"/>
        </w:rPr>
        <w:t> </w:t>
      </w:r>
      <w:r>
        <w:rPr>
          <w:color w:val="231F20"/>
        </w:rPr>
        <w:t>and</w:t>
      </w:r>
      <w:r>
        <w:rPr>
          <w:color w:val="231F20"/>
          <w:spacing w:val="-6"/>
        </w:rPr>
        <w:t> </w:t>
      </w:r>
      <w:r>
        <w:rPr>
          <w:color w:val="231F20"/>
        </w:rPr>
        <w:t>played</w:t>
      </w:r>
      <w:r>
        <w:rPr>
          <w:color w:val="231F20"/>
          <w:spacing w:val="-6"/>
        </w:rPr>
        <w:t> </w:t>
      </w:r>
      <w:r>
        <w:rPr>
          <w:color w:val="231F20"/>
        </w:rPr>
        <w:t>an</w:t>
      </w:r>
      <w:r>
        <w:rPr>
          <w:color w:val="231F20"/>
          <w:spacing w:val="-6"/>
        </w:rPr>
        <w:t> </w:t>
      </w:r>
      <w:r>
        <w:rPr>
          <w:color w:val="231F20"/>
        </w:rPr>
        <w:t>active</w:t>
      </w:r>
      <w:r>
        <w:rPr>
          <w:color w:val="231F20"/>
          <w:spacing w:val="-6"/>
        </w:rPr>
        <w:t> </w:t>
      </w:r>
      <w:r>
        <w:rPr>
          <w:color w:val="231F20"/>
        </w:rPr>
        <w:t>role</w:t>
      </w:r>
      <w:r>
        <w:rPr>
          <w:color w:val="231F20"/>
          <w:spacing w:val="21"/>
          <w:w w:val="99"/>
        </w:rPr>
        <w:t> </w:t>
      </w:r>
      <w:r>
        <w:rPr>
          <w:color w:val="231F20"/>
          <w:spacing w:val="-1"/>
        </w:rPr>
        <w:t>in</w:t>
      </w:r>
      <w:r>
        <w:rPr>
          <w:color w:val="231F20"/>
          <w:spacing w:val="-5"/>
        </w:rPr>
        <w:t> </w:t>
      </w:r>
      <w:r>
        <w:rPr>
          <w:color w:val="231F20"/>
        </w:rPr>
        <w:t>advocating</w:t>
      </w:r>
      <w:r>
        <w:rPr>
          <w:color w:val="231F20"/>
          <w:spacing w:val="-5"/>
        </w:rPr>
        <w:t> </w:t>
      </w:r>
      <w:r>
        <w:rPr>
          <w:color w:val="231F20"/>
        </w:rPr>
        <w:t>for</w:t>
      </w:r>
      <w:r>
        <w:rPr>
          <w:color w:val="231F20"/>
          <w:spacing w:val="-5"/>
        </w:rPr>
        <w:t> </w:t>
      </w:r>
      <w:r>
        <w:rPr>
          <w:color w:val="231F20"/>
        </w:rPr>
        <w:t>policy</w:t>
      </w:r>
      <w:r>
        <w:rPr>
          <w:color w:val="231F20"/>
          <w:spacing w:val="-5"/>
        </w:rPr>
        <w:t> </w:t>
      </w:r>
      <w:r>
        <w:rPr>
          <w:color w:val="231F20"/>
        </w:rPr>
        <w:t>change</w:t>
      </w:r>
      <w:r>
        <w:rPr>
          <w:color w:val="231F20"/>
          <w:spacing w:val="-5"/>
        </w:rPr>
        <w:t> </w:t>
      </w:r>
      <w:r>
        <w:rPr>
          <w:color w:val="231F20"/>
        </w:rPr>
        <w:t>relevant</w:t>
      </w:r>
      <w:r>
        <w:rPr>
          <w:color w:val="231F20"/>
          <w:spacing w:val="-6"/>
        </w:rPr>
        <w:t> </w:t>
      </w:r>
      <w:r>
        <w:rPr>
          <w:color w:val="231F20"/>
        </w:rPr>
        <w:t>to</w:t>
      </w:r>
      <w:r>
        <w:rPr>
          <w:color w:val="231F20"/>
          <w:spacing w:val="-4"/>
        </w:rPr>
        <w:t> </w:t>
      </w:r>
      <w:r>
        <w:rPr>
          <w:color w:val="231F20"/>
          <w:spacing w:val="-4"/>
        </w:rPr>
      </w:r>
      <w:r>
        <w:rPr>
          <w:color w:val="231F20"/>
        </w:rPr>
        <w:t>the</w:t>
      </w:r>
      <w:r>
        <w:rPr>
          <w:color w:val="231F20"/>
          <w:spacing w:val="21"/>
        </w:rPr>
        <w:t> </w:t>
      </w:r>
      <w:r>
        <w:rPr>
          <w:color w:val="231F20"/>
          <w:spacing w:val="-1"/>
        </w:rPr>
        <w:t>sector.</w:t>
      </w:r>
      <w:r>
        <w:rPr/>
      </w:r>
    </w:p>
    <w:p>
      <w:pPr>
        <w:pStyle w:val="BodyText"/>
        <w:spacing w:line="250" w:lineRule="exact" w:before="113"/>
        <w:ind w:left="100" w:right="63"/>
        <w:jc w:val="left"/>
      </w:pPr>
      <w:r>
        <w:rPr/>
        <w:pict>
          <v:group style="position:absolute;margin-left:86.039398pt;margin-top:231.362427pt;width:.1pt;height:.1pt;mso-position-horizontal-relative:page;mso-position-vertical-relative:paragraph;z-index:-219688" coordorigin="1721,4627" coordsize="2,2">
            <v:shape style="position:absolute;left:1721;top:4627;width:2;height:2" coordorigin="1721,4627" coordsize="0,0" path="m1721,4627l1721,4627e" filled="false" stroked="true" strokeweight="2pt" strokecolor="#355f92">
              <v:path arrowok="t"/>
            </v:shape>
            <w10:wrap type="none"/>
          </v:group>
        </w:pict>
      </w:r>
      <w:r>
        <w:rPr/>
        <w:pict>
          <v:group style="position:absolute;margin-left:523.409424pt;margin-top:231.362427pt;width:.1pt;height:.1pt;mso-position-horizontal-relative:page;mso-position-vertical-relative:paragraph;z-index:-219664" coordorigin="10468,4627" coordsize="2,2">
            <v:shape style="position:absolute;left:10468;top:4627;width:2;height:2" coordorigin="10468,4627" coordsize="0,0" path="m10468,4627l10468,4627e" filled="false" stroked="true" strokeweight="2pt" strokecolor="#355f92">
              <v:path arrowok="t"/>
            </v:shape>
            <w10:wrap type="none"/>
          </v:group>
        </w:pict>
      </w:r>
      <w:r>
        <w:rPr/>
        <w:pict>
          <v:group style="position:absolute;margin-left:523.409424pt;margin-top:150.825424pt;width:.1pt;height:.1pt;mso-position-horizontal-relative:page;mso-position-vertical-relative:paragraph;z-index:-219640" coordorigin="10468,3017" coordsize="2,2">
            <v:shape style="position:absolute;left:10468;top:3017;width:2;height:2" coordorigin="10468,3017" coordsize="0,0" path="m10468,3017l10468,3017e" filled="false" stroked="true" strokeweight="2pt" strokecolor="#355f92">
              <v:path arrowok="t"/>
            </v:shape>
            <w10:wrap type="none"/>
          </v:group>
        </w:pict>
      </w:r>
      <w:r>
        <w:rPr/>
        <w:pict>
          <v:group style="position:absolute;margin-left:86.039398pt;margin-top:150.825424pt;width:.1pt;height:.1pt;mso-position-horizontal-relative:page;mso-position-vertical-relative:paragraph;z-index:-219616" coordorigin="1721,3017" coordsize="2,2">
            <v:shape style="position:absolute;left:1721;top:3017;width:2;height:2" coordorigin="1721,3017" coordsize="0,0" path="m1721,3017l1721,3017e" filled="false" stroked="true" strokeweight="2pt" strokecolor="#355f92">
              <v:path arrowok="t"/>
            </v:shape>
            <w10:wrap type="none"/>
          </v:group>
        </w:pic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5"/>
        </w:rPr>
        <w:t> </w:t>
      </w:r>
      <w:r>
        <w:rPr>
          <w:color w:val="231F20"/>
        </w:rPr>
        <w:t>are</w:t>
      </w:r>
      <w:r>
        <w:rPr>
          <w:color w:val="231F20"/>
          <w:spacing w:val="-4"/>
        </w:rPr>
        <w:t> </w:t>
      </w:r>
      <w:r>
        <w:rPr>
          <w:color w:val="231F20"/>
          <w:spacing w:val="-1"/>
        </w:rPr>
        <w:t>members</w:t>
      </w:r>
      <w:r>
        <w:rPr>
          <w:color w:val="231F20"/>
          <w:spacing w:val="-3"/>
        </w:rPr>
        <w:t> </w:t>
      </w:r>
      <w:r>
        <w:rPr>
          <w:color w:val="231F20"/>
        </w:rPr>
        <w:t>of</w:t>
      </w:r>
      <w:r>
        <w:rPr>
          <w:color w:val="231F20"/>
          <w:spacing w:val="-3"/>
        </w:rPr>
        <w:t> </w:t>
      </w:r>
      <w:r>
        <w:rPr>
          <w:color w:val="231F20"/>
        </w:rPr>
        <w:t>at</w:t>
      </w:r>
      <w:r>
        <w:rPr>
          <w:color w:val="231F20"/>
          <w:spacing w:val="-3"/>
        </w:rPr>
        <w:t> </w:t>
      </w:r>
      <w:r>
        <w:rPr>
          <w:color w:val="231F20"/>
          <w:spacing w:val="-1"/>
        </w:rPr>
        <w:t>least</w:t>
      </w:r>
      <w:r>
        <w:rPr>
          <w:color w:val="231F20"/>
          <w:spacing w:val="-3"/>
        </w:rPr>
        <w:t> </w:t>
      </w:r>
      <w:r>
        <w:rPr>
          <w:color w:val="231F20"/>
        </w:rPr>
        <w:t>one</w:t>
      </w:r>
      <w:r>
        <w:rPr>
          <w:color w:val="231F20"/>
          <w:spacing w:val="-4"/>
        </w:rPr>
        <w:t> </w:t>
      </w:r>
      <w:r>
        <w:rPr>
          <w:color w:val="231F20"/>
        </w:rPr>
        <w:t>peak</w:t>
      </w:r>
      <w:r>
        <w:rPr>
          <w:color w:val="231F20"/>
          <w:spacing w:val="23"/>
          <w:w w:val="99"/>
        </w:rPr>
        <w:t> </w:t>
      </w:r>
      <w:r>
        <w:rPr>
          <w:color w:val="231F20"/>
        </w:rPr>
        <w:t>body,</w:t>
      </w:r>
      <w:r>
        <w:rPr>
          <w:color w:val="231F20"/>
          <w:spacing w:val="-4"/>
        </w:rPr>
        <w:t> </w:t>
      </w:r>
      <w:r>
        <w:rPr>
          <w:color w:val="231F20"/>
        </w:rPr>
        <w:t>and</w:t>
      </w:r>
      <w:r>
        <w:rPr>
          <w:color w:val="231F20"/>
          <w:spacing w:val="-3"/>
        </w:rPr>
        <w:t> </w:t>
      </w:r>
      <w:r>
        <w:rPr>
          <w:color w:val="231F20"/>
          <w:spacing w:val="-1"/>
        </w:rPr>
        <w:t>some</w:t>
      </w:r>
      <w:r>
        <w:rPr>
          <w:color w:val="231F20"/>
          <w:spacing w:val="-2"/>
        </w:rPr>
        <w:t> </w:t>
      </w:r>
      <w:r>
        <w:rPr>
          <w:color w:val="231F20"/>
        </w:rPr>
        <w:t>are</w:t>
      </w:r>
      <w:r>
        <w:rPr>
          <w:color w:val="231F20"/>
          <w:spacing w:val="-3"/>
        </w:rPr>
        <w:t> </w:t>
      </w:r>
      <w:r>
        <w:rPr>
          <w:color w:val="231F20"/>
          <w:spacing w:val="-1"/>
        </w:rPr>
        <w:t>members</w:t>
      </w:r>
      <w:r>
        <w:rPr>
          <w:color w:val="231F20"/>
          <w:spacing w:val="-2"/>
        </w:rPr>
        <w:t> </w:t>
      </w:r>
      <w:r>
        <w:rPr>
          <w:color w:val="231F20"/>
        </w:rPr>
        <w:t>of</w:t>
      </w:r>
      <w:r>
        <w:rPr>
          <w:color w:val="231F20"/>
          <w:spacing w:val="-2"/>
        </w:rPr>
        <w:t> </w:t>
      </w:r>
      <w:r>
        <w:rPr>
          <w:color w:val="231F20"/>
          <w:spacing w:val="-1"/>
        </w:rPr>
        <w:t>multiple</w:t>
      </w:r>
      <w:r>
        <w:rPr>
          <w:color w:val="231F20"/>
          <w:spacing w:val="22"/>
        </w:rPr>
        <w:t> </w:t>
      </w:r>
      <w:r>
        <w:rPr>
          <w:color w:val="231F20"/>
        </w:rPr>
        <w:t>bodies.</w:t>
      </w:r>
      <w:r>
        <w:rPr>
          <w:color w:val="231F20"/>
          <w:spacing w:val="-6"/>
        </w:rPr>
        <w:t> </w:t>
      </w:r>
      <w:r>
        <w:rPr>
          <w:color w:val="231F20"/>
        </w:rPr>
        <w:t>The</w:t>
      </w:r>
      <w:r>
        <w:rPr>
          <w:color w:val="231F20"/>
          <w:spacing w:val="-4"/>
        </w:rPr>
        <w:t> </w:t>
      </w:r>
      <w:r>
        <w:rPr>
          <w:color w:val="231F20"/>
        </w:rPr>
        <w:t>peak</w:t>
      </w:r>
      <w:r>
        <w:rPr>
          <w:color w:val="231F20"/>
          <w:spacing w:val="-6"/>
        </w:rPr>
        <w:t> </w:t>
      </w:r>
      <w:r>
        <w:rPr>
          <w:color w:val="231F20"/>
        </w:rPr>
        <w:t>bodies</w:t>
      </w:r>
      <w:r>
        <w:rPr>
          <w:color w:val="231F20"/>
          <w:spacing w:val="-5"/>
        </w:rPr>
        <w:t> </w:t>
      </w:r>
      <w:r>
        <w:rPr>
          <w:color w:val="231F20"/>
        </w:rPr>
        <w:t>are</w:t>
      </w:r>
      <w:r>
        <w:rPr>
          <w:color w:val="231F20"/>
          <w:spacing w:val="-6"/>
        </w:rPr>
        <w:t> </w:t>
      </w:r>
      <w:r>
        <w:rPr>
          <w:color w:val="231F20"/>
        </w:rPr>
        <w:t>therefore</w:t>
      </w:r>
      <w:r>
        <w:rPr>
          <w:color w:val="231F20"/>
          <w:spacing w:val="-5"/>
        </w:rPr>
        <w:t> </w:t>
      </w:r>
      <w:r>
        <w:rPr>
          <w:color w:val="231F20"/>
        </w:rPr>
        <w:t>an</w:t>
      </w:r>
      <w:r>
        <w:rPr>
          <w:color w:val="231F20"/>
          <w:w w:val="99"/>
        </w:rPr>
        <w:t> </w:t>
      </w:r>
      <w:r>
        <w:rPr>
          <w:color w:val="231F20"/>
          <w:spacing w:val="-1"/>
        </w:rPr>
        <w:t>important</w:t>
      </w:r>
      <w:r>
        <w:rPr>
          <w:color w:val="231F20"/>
          <w:spacing w:val="-10"/>
        </w:rPr>
        <w:t> </w:t>
      </w:r>
      <w:r>
        <w:rPr>
          <w:color w:val="231F20"/>
          <w:spacing w:val="-1"/>
        </w:rPr>
        <w:t>interface</w:t>
      </w:r>
      <w:r>
        <w:rPr>
          <w:color w:val="231F20"/>
          <w:spacing w:val="-10"/>
        </w:rPr>
        <w:t> </w:t>
      </w:r>
      <w:r>
        <w:rPr>
          <w:color w:val="231F20"/>
        </w:rPr>
        <w:t>between</w:t>
      </w:r>
      <w:r>
        <w:rPr>
          <w:color w:val="231F20"/>
          <w:spacing w:val="-10"/>
        </w:rPr>
        <w:t> </w:t>
      </w:r>
      <w:r>
        <w:rPr>
          <w:color w:val="231F20"/>
        </w:rPr>
        <w:t>government</w:t>
      </w:r>
      <w:r>
        <w:rPr>
          <w:color w:val="231F20"/>
          <w:spacing w:val="-11"/>
        </w:rPr>
        <w:t> </w:t>
      </w:r>
      <w:r>
        <w:rPr>
          <w:color w:val="231F20"/>
        </w:rPr>
        <w:t>and</w:t>
      </w:r>
      <w:r>
        <w:rPr>
          <w:color w:val="231F20"/>
          <w:spacing w:val="23"/>
          <w:w w:val="99"/>
        </w:rPr>
        <w:t> </w:t>
      </w:r>
      <w:r>
        <w:rPr>
          <w:color w:val="231F20"/>
        </w:rPr>
        <w:t>boarding</w:t>
      </w:r>
      <w:r>
        <w:rPr>
          <w:color w:val="231F20"/>
          <w:spacing w:val="-10"/>
        </w:rPr>
        <w:t> </w:t>
      </w:r>
      <w:r>
        <w:rPr>
          <w:color w:val="231F20"/>
        </w:rPr>
        <w:t>providers.</w:t>
      </w:r>
      <w:r>
        <w:rPr>
          <w:color w:val="231F20"/>
          <w:spacing w:val="-10"/>
        </w:rPr>
        <w:t> </w:t>
      </w:r>
      <w:r>
        <w:rPr>
          <w:color w:val="231F20"/>
        </w:rPr>
        <w:t>They</w:t>
      </w:r>
      <w:r>
        <w:rPr>
          <w:color w:val="231F20"/>
          <w:spacing w:val="-10"/>
        </w:rPr>
        <w:t> </w:t>
      </w:r>
      <w:r>
        <w:rPr>
          <w:color w:val="231F20"/>
        </w:rPr>
        <w:t>are</w:t>
      </w:r>
      <w:r>
        <w:rPr>
          <w:color w:val="231F20"/>
          <w:spacing w:val="-9"/>
        </w:rPr>
        <w:t> </w:t>
      </w:r>
      <w:r>
        <w:rPr>
          <w:color w:val="231F20"/>
        </w:rPr>
        <w:t>coordinating</w:t>
      </w:r>
      <w:r>
        <w:rPr>
          <w:color w:val="231F20"/>
          <w:w w:val="99"/>
        </w:rPr>
        <w:t> </w:t>
      </w:r>
      <w:r>
        <w:rPr>
          <w:color w:val="231F20"/>
        </w:rPr>
        <w:t>regional</w:t>
      </w:r>
      <w:r>
        <w:rPr>
          <w:color w:val="231F20"/>
          <w:spacing w:val="-8"/>
        </w:rPr>
        <w:t> </w:t>
      </w:r>
      <w:r>
        <w:rPr>
          <w:color w:val="231F20"/>
        </w:rPr>
        <w:t>and</w:t>
      </w:r>
      <w:r>
        <w:rPr>
          <w:color w:val="231F20"/>
          <w:spacing w:val="-7"/>
        </w:rPr>
        <w:t> </w:t>
      </w:r>
      <w:r>
        <w:rPr>
          <w:color w:val="231F20"/>
        </w:rPr>
        <w:t>national</w:t>
      </w:r>
      <w:r>
        <w:rPr>
          <w:color w:val="231F20"/>
          <w:spacing w:val="-7"/>
        </w:rPr>
        <w:t> </w:t>
      </w:r>
      <w:r>
        <w:rPr>
          <w:color w:val="231F20"/>
        </w:rPr>
        <w:t>conferences</w:t>
      </w:r>
      <w:r>
        <w:rPr>
          <w:color w:val="231F20"/>
          <w:spacing w:val="-7"/>
        </w:rPr>
        <w:t> </w:t>
      </w:r>
      <w:r>
        <w:rPr>
          <w:color w:val="231F20"/>
        </w:rPr>
        <w:t>but</w:t>
      </w:r>
      <w:r>
        <w:rPr>
          <w:color w:val="231F20"/>
          <w:spacing w:val="-8"/>
        </w:rPr>
        <w:t> </w:t>
      </w:r>
      <w:r>
        <w:rPr>
          <w:color w:val="231F20"/>
        </w:rPr>
        <w:t>also</w:t>
      </w:r>
      <w:r>
        <w:rPr>
          <w:color w:val="231F20"/>
        </w:rPr>
        <w:t> delivering</w:t>
      </w:r>
      <w:r>
        <w:rPr>
          <w:color w:val="231F20"/>
          <w:spacing w:val="-9"/>
        </w:rPr>
        <w:t> </w:t>
      </w:r>
      <w:r>
        <w:rPr>
          <w:color w:val="231F20"/>
        </w:rPr>
        <w:t>webinars</w:t>
      </w:r>
      <w:r>
        <w:rPr>
          <w:color w:val="231F20"/>
          <w:spacing w:val="-8"/>
        </w:rPr>
        <w:t> </w:t>
      </w:r>
      <w:r>
        <w:rPr>
          <w:color w:val="231F20"/>
        </w:rPr>
        <w:t>and</w:t>
      </w:r>
      <w:r>
        <w:rPr>
          <w:color w:val="231F20"/>
          <w:spacing w:val="-9"/>
        </w:rPr>
        <w:t> </w:t>
      </w:r>
      <w:r>
        <w:rPr>
          <w:color w:val="231F20"/>
          <w:spacing w:val="-1"/>
        </w:rPr>
        <w:t>information</w:t>
      </w:r>
      <w:r>
        <w:rPr>
          <w:color w:val="231F20"/>
          <w:spacing w:val="-8"/>
        </w:rPr>
        <w:t> </w:t>
      </w:r>
      <w:r>
        <w:rPr>
          <w:color w:val="231F20"/>
          <w:spacing w:val="-1"/>
        </w:rPr>
        <w:t>sessions</w:t>
      </w:r>
      <w:r>
        <w:rPr>
          <w:color w:val="231F20"/>
          <w:spacing w:val="21"/>
        </w:rPr>
        <w:t> </w:t>
      </w:r>
      <w:r>
        <w:rPr>
          <w:color w:val="231F20"/>
        </w:rPr>
        <w:t>to</w:t>
      </w:r>
      <w:r>
        <w:rPr>
          <w:color w:val="231F20"/>
          <w:spacing w:val="-5"/>
        </w:rPr>
        <w:t> </w:t>
      </w:r>
      <w:r>
        <w:rPr>
          <w:color w:val="231F20"/>
          <w:spacing w:val="-1"/>
        </w:rPr>
        <w:t>small</w:t>
      </w:r>
      <w:r>
        <w:rPr>
          <w:color w:val="231F20"/>
          <w:spacing w:val="-4"/>
        </w:rPr>
        <w:t> </w:t>
      </w:r>
      <w:r>
        <w:rPr>
          <w:color w:val="231F20"/>
        </w:rPr>
        <w:t>groups,</w:t>
      </w:r>
      <w:r>
        <w:rPr>
          <w:color w:val="231F20"/>
          <w:spacing w:val="-5"/>
        </w:rPr>
        <w:t> </w:t>
      </w:r>
      <w:r>
        <w:rPr>
          <w:color w:val="231F20"/>
          <w:spacing w:val="-1"/>
        </w:rPr>
        <w:t>most</w:t>
      </w:r>
      <w:r>
        <w:rPr>
          <w:color w:val="231F20"/>
          <w:spacing w:val="-4"/>
        </w:rPr>
        <w:t> </w:t>
      </w:r>
      <w:r>
        <w:rPr>
          <w:color w:val="231F20"/>
        </w:rPr>
        <w:t>recently</w:t>
      </w:r>
      <w:r>
        <w:rPr>
          <w:color w:val="231F20"/>
          <w:spacing w:val="-5"/>
        </w:rPr>
        <w:t> </w:t>
      </w:r>
      <w:r>
        <w:rPr>
          <w:color w:val="231F20"/>
        </w:rPr>
        <w:t>around</w:t>
      </w:r>
      <w:r>
        <w:rPr>
          <w:color w:val="231F20"/>
          <w:spacing w:val="-5"/>
        </w:rPr>
        <w:t> </w:t>
      </w:r>
      <w:r>
        <w:rPr>
          <w:color w:val="231F20"/>
        </w:rPr>
        <w:t>the</w:t>
      </w:r>
      <w:r>
        <w:rPr>
          <w:color w:val="231F20"/>
          <w:spacing w:val="23"/>
          <w:w w:val="99"/>
        </w:rPr>
        <w:t> </w:t>
      </w:r>
      <w:r>
        <w:rPr>
          <w:color w:val="231F20"/>
          <w:spacing w:val="-1"/>
        </w:rPr>
        <w:t>2018–19</w:t>
      </w:r>
      <w:r>
        <w:rPr>
          <w:color w:val="231F20"/>
          <w:spacing w:val="-5"/>
        </w:rPr>
        <w:t> </w:t>
      </w:r>
      <w:r>
        <w:rPr>
          <w:color w:val="231F20"/>
          <w:spacing w:val="-1"/>
        </w:rPr>
        <w:t>Budget</w:t>
      </w:r>
      <w:r>
        <w:rPr>
          <w:color w:val="231F20"/>
          <w:spacing w:val="-4"/>
        </w:rPr>
        <w:t> </w:t>
      </w:r>
      <w:r>
        <w:rPr>
          <w:color w:val="231F20"/>
        </w:rPr>
        <w:t>Measure</w:t>
      </w:r>
      <w:r>
        <w:rPr>
          <w:color w:val="231F20"/>
          <w:spacing w:val="-5"/>
        </w:rPr>
        <w:t> </w:t>
      </w:r>
      <w:r>
        <w:rPr>
          <w:color w:val="231F20"/>
        </w:rPr>
        <w:t>for</w:t>
      </w:r>
      <w:r>
        <w:rPr>
          <w:color w:val="231F20"/>
          <w:spacing w:val="-4"/>
        </w:rPr>
        <w:t> </w:t>
      </w:r>
      <w:r>
        <w:rPr>
          <w:color w:val="231F20"/>
        </w:rPr>
        <w:t>ABSTUDY.</w:t>
      </w:r>
      <w:r>
        <w:rPr/>
      </w:r>
    </w:p>
    <w:p>
      <w:pPr>
        <w:pStyle w:val="BodyText"/>
        <w:spacing w:line="250" w:lineRule="exact" w:before="62"/>
        <w:ind w:left="100" w:right="146"/>
        <w:jc w:val="left"/>
      </w:pPr>
      <w:r>
        <w:rPr/>
        <w:br w:type="column"/>
      </w:r>
      <w:r>
        <w:rPr>
          <w:color w:val="231F20"/>
          <w:spacing w:val="-1"/>
        </w:rPr>
        <w:t>While</w:t>
      </w:r>
      <w:r>
        <w:rPr>
          <w:color w:val="231F20"/>
          <w:spacing w:val="-3"/>
        </w:rPr>
        <w:t> </w:t>
      </w:r>
      <w:r>
        <w:rPr>
          <w:color w:val="231F20"/>
        </w:rPr>
        <w:t>there</w:t>
      </w:r>
      <w:r>
        <w:rPr>
          <w:color w:val="231F20"/>
          <w:spacing w:val="-4"/>
        </w:rPr>
        <w:t> </w:t>
      </w:r>
      <w:r>
        <w:rPr>
          <w:color w:val="231F20"/>
          <w:spacing w:val="-1"/>
        </w:rPr>
        <w:t>is</w:t>
      </w:r>
      <w:r>
        <w:rPr>
          <w:color w:val="231F20"/>
          <w:spacing w:val="-4"/>
        </w:rPr>
        <w:t> </w:t>
      </w:r>
      <w:r>
        <w:rPr>
          <w:color w:val="231F20"/>
        </w:rPr>
        <w:t>already</w:t>
      </w:r>
      <w:r>
        <w:rPr>
          <w:color w:val="231F20"/>
          <w:spacing w:val="-4"/>
        </w:rPr>
        <w:t> </w:t>
      </w:r>
      <w:r>
        <w:rPr>
          <w:color w:val="231F20"/>
        </w:rPr>
        <w:t>a</w:t>
      </w:r>
      <w:r>
        <w:rPr>
          <w:color w:val="231F20"/>
          <w:spacing w:val="-3"/>
        </w:rPr>
        <w:t> </w:t>
      </w:r>
      <w:r>
        <w:rPr>
          <w:color w:val="231F20"/>
          <w:spacing w:val="-1"/>
        </w:rPr>
        <w:t>lot</w:t>
      </w:r>
      <w:r>
        <w:rPr>
          <w:color w:val="231F20"/>
          <w:spacing w:val="-3"/>
        </w:rPr>
        <w:t> </w:t>
      </w:r>
      <w:r>
        <w:rPr>
          <w:color w:val="231F20"/>
        </w:rPr>
        <w:t>of</w:t>
      </w:r>
      <w:r>
        <w:rPr>
          <w:color w:val="231F20"/>
          <w:spacing w:val="-2"/>
        </w:rPr>
        <w:t> </w:t>
      </w:r>
      <w:r>
        <w:rPr>
          <w:color w:val="231F20"/>
        </w:rPr>
        <w:t>work</w:t>
      </w:r>
      <w:r>
        <w:rPr>
          <w:color w:val="231F20"/>
          <w:spacing w:val="-4"/>
        </w:rPr>
        <w:t> </w:t>
      </w:r>
      <w:r>
        <w:rPr>
          <w:color w:val="231F20"/>
        </w:rPr>
        <w:t>on</w:t>
      </w:r>
      <w:r>
        <w:rPr>
          <w:color w:val="231F20"/>
          <w:spacing w:val="25"/>
          <w:w w:val="99"/>
        </w:rPr>
        <w:t> </w:t>
      </w:r>
      <w:r>
        <w:rPr>
          <w:color w:val="231F20"/>
        </w:rPr>
        <w:t>communication</w:t>
      </w:r>
      <w:r>
        <w:rPr>
          <w:color w:val="231F20"/>
          <w:spacing w:val="-6"/>
        </w:rPr>
        <w:t> </w:t>
      </w:r>
      <w:r>
        <w:rPr>
          <w:color w:val="231F20"/>
        </w:rPr>
        <w:t>within</w:t>
      </w:r>
      <w:r>
        <w:rPr>
          <w:color w:val="231F20"/>
          <w:spacing w:val="-6"/>
        </w:rPr>
        <w:t> </w:t>
      </w:r>
      <w:r>
        <w:rPr>
          <w:color w:val="231F20"/>
        </w:rPr>
        <w:t>the</w:t>
      </w:r>
      <w:r>
        <w:rPr>
          <w:color w:val="231F20"/>
          <w:spacing w:val="-6"/>
        </w:rPr>
        <w:t> </w:t>
      </w:r>
      <w:r>
        <w:rPr>
          <w:color w:val="231F20"/>
          <w:spacing w:val="-1"/>
        </w:rPr>
        <w:t>sector,</w:t>
      </w:r>
      <w:r>
        <w:rPr>
          <w:color w:val="231F20"/>
          <w:spacing w:val="-4"/>
        </w:rPr>
        <w:t> </w:t>
      </w:r>
      <w:r>
        <w:rPr>
          <w:color w:val="231F20"/>
        </w:rPr>
        <w:t>the</w:t>
      </w:r>
      <w:r>
        <w:rPr>
          <w:color w:val="231F20"/>
          <w:spacing w:val="-6"/>
        </w:rPr>
        <w:t> </w:t>
      </w:r>
      <w:r>
        <w:rPr>
          <w:color w:val="231F20"/>
        </w:rPr>
        <w:t>funding</w:t>
      </w:r>
      <w:r>
        <w:rPr>
          <w:color w:val="231F20"/>
          <w:spacing w:val="22"/>
          <w:w w:val="99"/>
        </w:rPr>
        <w:t> </w:t>
      </w:r>
      <w:r>
        <w:rPr>
          <w:color w:val="231F20"/>
        </w:rPr>
        <w:t>and</w:t>
      </w:r>
      <w:r>
        <w:rPr>
          <w:color w:val="231F20"/>
          <w:spacing w:val="-4"/>
        </w:rPr>
        <w:t> </w:t>
      </w:r>
      <w:r>
        <w:rPr>
          <w:color w:val="231F20"/>
        </w:rPr>
        <w:t>resources</w:t>
      </w:r>
      <w:r>
        <w:rPr>
          <w:color w:val="231F20"/>
          <w:spacing w:val="-5"/>
        </w:rPr>
        <w:t> </w:t>
      </w:r>
      <w:r>
        <w:rPr>
          <w:color w:val="231F20"/>
        </w:rPr>
        <w:t>of</w:t>
      </w:r>
      <w:r>
        <w:rPr>
          <w:color w:val="231F20"/>
          <w:spacing w:val="-3"/>
        </w:rPr>
        <w:t> </w:t>
      </w:r>
      <w:r>
        <w:rPr>
          <w:color w:val="231F20"/>
        </w:rPr>
        <w:t>the</w:t>
      </w:r>
      <w:r>
        <w:rPr>
          <w:color w:val="231F20"/>
          <w:spacing w:val="-4"/>
        </w:rPr>
        <w:t> </w:t>
      </w:r>
      <w:r>
        <w:rPr>
          <w:color w:val="231F20"/>
        </w:rPr>
        <w:t>peak</w:t>
      </w:r>
      <w:r>
        <w:rPr>
          <w:color w:val="231F20"/>
          <w:spacing w:val="-4"/>
        </w:rPr>
        <w:t> </w:t>
      </w:r>
      <w:r>
        <w:rPr>
          <w:color w:val="231F20"/>
        </w:rPr>
        <w:t>bodies</w:t>
      </w:r>
      <w:r>
        <w:rPr>
          <w:color w:val="231F20"/>
          <w:spacing w:val="-4"/>
        </w:rPr>
        <w:t> </w:t>
      </w:r>
      <w:r>
        <w:rPr>
          <w:color w:val="231F20"/>
          <w:spacing w:val="-1"/>
        </w:rPr>
        <w:t>is</w:t>
      </w:r>
      <w:r>
        <w:rPr>
          <w:color w:val="231F20"/>
          <w:spacing w:val="-4"/>
        </w:rPr>
        <w:t> </w:t>
      </w:r>
      <w:r>
        <w:rPr>
          <w:color w:val="231F20"/>
          <w:spacing w:val="-1"/>
        </w:rPr>
        <w:t>limited</w:t>
      </w:r>
      <w:r>
        <w:rPr>
          <w:color w:val="231F20"/>
          <w:spacing w:val="-3"/>
        </w:rPr>
        <w:t> </w:t>
      </w:r>
      <w:r>
        <w:rPr>
          <w:color w:val="231F20"/>
        </w:rPr>
        <w:t>and</w:t>
      </w:r>
      <w:r>
        <w:rPr>
          <w:color w:val="231F20"/>
          <w:spacing w:val="23"/>
          <w:w w:val="99"/>
        </w:rPr>
        <w:t> </w:t>
      </w:r>
      <w:r>
        <w:rPr>
          <w:color w:val="231F20"/>
        </w:rPr>
        <w:t>communication</w:t>
      </w:r>
      <w:r>
        <w:rPr>
          <w:color w:val="231F20"/>
          <w:spacing w:val="-5"/>
        </w:rPr>
        <w:t> </w:t>
      </w:r>
      <w:r>
        <w:rPr>
          <w:color w:val="231F20"/>
        </w:rPr>
        <w:t>and</w:t>
      </w:r>
      <w:r>
        <w:rPr>
          <w:color w:val="231F20"/>
          <w:spacing w:val="-4"/>
        </w:rPr>
        <w:t> </w:t>
      </w:r>
      <w:r>
        <w:rPr>
          <w:color w:val="231F20"/>
          <w:spacing w:val="-1"/>
        </w:rPr>
        <w:t>meetings</w:t>
      </w:r>
      <w:r>
        <w:rPr>
          <w:color w:val="231F20"/>
          <w:spacing w:val="-4"/>
        </w:rPr>
        <w:t> </w:t>
      </w:r>
      <w:r>
        <w:rPr>
          <w:color w:val="231F20"/>
        </w:rPr>
        <w:t>can</w:t>
      </w:r>
      <w:r>
        <w:rPr>
          <w:color w:val="231F20"/>
          <w:spacing w:val="-4"/>
        </w:rPr>
        <w:t> </w:t>
      </w:r>
      <w:r>
        <w:rPr>
          <w:color w:val="231F20"/>
        </w:rPr>
        <w:t>be</w:t>
      </w:r>
      <w:r>
        <w:rPr>
          <w:color w:val="231F20"/>
          <w:spacing w:val="-3"/>
        </w:rPr>
        <w:t> </w:t>
      </w:r>
      <w:r>
        <w:rPr>
          <w:color w:val="231F20"/>
        </w:rPr>
        <w:t>expensive,</w:t>
      </w:r>
      <w:r>
        <w:rPr>
          <w:color w:val="231F20"/>
          <w:spacing w:val="22"/>
          <w:w w:val="99"/>
        </w:rPr>
        <w:t> </w:t>
      </w:r>
      <w:r>
        <w:rPr>
          <w:color w:val="231F20"/>
        </w:rPr>
        <w:t>given</w:t>
      </w:r>
      <w:r>
        <w:rPr>
          <w:color w:val="231F20"/>
          <w:spacing w:val="-5"/>
        </w:rPr>
        <w:t> </w:t>
      </w:r>
      <w:r>
        <w:rPr>
          <w:color w:val="231F20"/>
        </w:rPr>
        <w:t>the</w:t>
      </w:r>
      <w:r>
        <w:rPr>
          <w:color w:val="231F20"/>
          <w:spacing w:val="-5"/>
        </w:rPr>
        <w:t> </w:t>
      </w:r>
      <w:r>
        <w:rPr>
          <w:color w:val="231F20"/>
        </w:rPr>
        <w:t>remoteness</w:t>
      </w:r>
      <w:r>
        <w:rPr>
          <w:color w:val="231F20"/>
          <w:spacing w:val="-5"/>
        </w:rPr>
        <w:t> </w:t>
      </w:r>
      <w:r>
        <w:rPr>
          <w:color w:val="231F20"/>
        </w:rPr>
        <w:t>of</w:t>
      </w:r>
      <w:r>
        <w:rPr>
          <w:color w:val="231F20"/>
          <w:spacing w:val="-4"/>
        </w:rPr>
        <w:t> </w:t>
      </w:r>
      <w:r>
        <w:rPr>
          <w:color w:val="231F20"/>
          <w:spacing w:val="-1"/>
        </w:rPr>
        <w:t>some</w:t>
      </w:r>
      <w:r>
        <w:rPr>
          <w:color w:val="231F20"/>
          <w:spacing w:val="-4"/>
        </w:rPr>
        <w:t> </w:t>
      </w:r>
      <w:r>
        <w:rPr>
          <w:color w:val="231F20"/>
        </w:rPr>
        <w:t>Aboriginal</w:t>
      </w:r>
      <w:r>
        <w:rPr>
          <w:color w:val="231F20"/>
          <w:spacing w:val="-3"/>
        </w:rPr>
        <w:t> </w:t>
      </w:r>
      <w:r>
        <w:rPr>
          <w:color w:val="231F20"/>
        </w:rPr>
        <w:t>and</w:t>
      </w:r>
      <w:r>
        <w:rPr>
          <w:color w:val="231F20"/>
          <w:spacing w:val="21"/>
          <w:w w:val="99"/>
        </w:rPr>
        <w:t> </w:t>
      </w:r>
      <w:r>
        <w:rPr>
          <w:color w:val="231F20"/>
          <w:spacing w:val="-5"/>
        </w:rPr>
        <w:t>Torres</w:t>
      </w:r>
      <w:r>
        <w:rPr>
          <w:color w:val="231F20"/>
          <w:spacing w:val="-7"/>
        </w:rPr>
        <w:t> </w:t>
      </w:r>
      <w:r>
        <w:rPr>
          <w:color w:val="231F20"/>
          <w:spacing w:val="-2"/>
        </w:rPr>
        <w:t>Strait</w:t>
      </w:r>
      <w:r>
        <w:rPr>
          <w:color w:val="231F20"/>
          <w:spacing w:val="-6"/>
        </w:rPr>
        <w:t> </w:t>
      </w:r>
      <w:r>
        <w:rPr>
          <w:color w:val="231F20"/>
          <w:spacing w:val="-1"/>
        </w:rPr>
        <w:t>Islander</w:t>
      </w:r>
      <w:r>
        <w:rPr>
          <w:color w:val="231F20"/>
          <w:spacing w:val="-7"/>
        </w:rPr>
        <w:t> </w:t>
      </w:r>
      <w:r>
        <w:rPr>
          <w:color w:val="231F20"/>
        </w:rPr>
        <w:t>boarding</w:t>
      </w:r>
      <w:r>
        <w:rPr>
          <w:color w:val="231F20"/>
          <w:spacing w:val="-6"/>
        </w:rPr>
        <w:t> </w:t>
      </w:r>
      <w:r>
        <w:rPr>
          <w:color w:val="231F20"/>
        </w:rPr>
        <w:t>providers.</w:t>
      </w:r>
      <w:r>
        <w:rPr>
          <w:color w:val="231F20"/>
          <w:spacing w:val="-7"/>
        </w:rPr>
        <w:t> </w:t>
      </w:r>
      <w:r>
        <w:rPr>
          <w:color w:val="231F20"/>
        </w:rPr>
        <w:t>The</w:t>
      </w:r>
      <w:r>
        <w:rPr>
          <w:color w:val="231F20"/>
          <w:spacing w:val="21"/>
          <w:w w:val="99"/>
        </w:rPr>
        <w:t> </w:t>
      </w:r>
      <w:r>
        <w:rPr>
          <w:color w:val="231F20"/>
        </w:rPr>
        <w:t>communication</w:t>
      </w:r>
      <w:r>
        <w:rPr>
          <w:color w:val="231F20"/>
          <w:spacing w:val="-4"/>
        </w:rPr>
        <w:t> </w:t>
      </w:r>
      <w:r>
        <w:rPr>
          <w:color w:val="231F20"/>
          <w:spacing w:val="-1"/>
        </w:rPr>
        <w:t>mechanisms in</w:t>
      </w:r>
      <w:r>
        <w:rPr>
          <w:color w:val="231F20"/>
          <w:spacing w:val="-2"/>
        </w:rPr>
        <w:t> </w:t>
      </w:r>
      <w:r>
        <w:rPr>
          <w:color w:val="231F20"/>
        </w:rPr>
        <w:t>the</w:t>
      </w:r>
      <w:r>
        <w:rPr>
          <w:color w:val="231F20"/>
          <w:spacing w:val="-3"/>
        </w:rPr>
        <w:t> </w:t>
      </w:r>
      <w:r>
        <w:rPr>
          <w:color w:val="231F20"/>
          <w:spacing w:val="-1"/>
        </w:rPr>
        <w:t>sector</w:t>
      </w:r>
      <w:r>
        <w:rPr>
          <w:color w:val="231F20"/>
          <w:spacing w:val="22"/>
          <w:w w:val="99"/>
        </w:rPr>
        <w:t> </w:t>
      </w:r>
      <w:r>
        <w:rPr>
          <w:color w:val="231F20"/>
          <w:spacing w:val="-1"/>
        </w:rPr>
        <w:t>should</w:t>
      </w:r>
      <w:r>
        <w:rPr>
          <w:color w:val="231F20"/>
          <w:spacing w:val="-7"/>
        </w:rPr>
        <w:t> </w:t>
      </w:r>
      <w:r>
        <w:rPr>
          <w:color w:val="231F20"/>
        </w:rPr>
        <w:t>be</w:t>
      </w:r>
      <w:r>
        <w:rPr>
          <w:color w:val="231F20"/>
          <w:spacing w:val="-6"/>
        </w:rPr>
        <w:t> </w:t>
      </w:r>
      <w:r>
        <w:rPr>
          <w:color w:val="231F20"/>
        </w:rPr>
        <w:t>reviewed</w:t>
      </w:r>
      <w:r>
        <w:rPr>
          <w:color w:val="231F20"/>
          <w:spacing w:val="-7"/>
        </w:rPr>
        <w:t> </w:t>
      </w:r>
      <w:r>
        <w:rPr>
          <w:color w:val="231F20"/>
        </w:rPr>
        <w:t>to</w:t>
      </w:r>
      <w:r>
        <w:rPr>
          <w:color w:val="231F20"/>
          <w:spacing w:val="-6"/>
        </w:rPr>
        <w:t> </w:t>
      </w:r>
      <w:r>
        <w:rPr>
          <w:color w:val="231F20"/>
          <w:spacing w:val="-1"/>
        </w:rPr>
        <w:t>identify</w:t>
      </w:r>
      <w:r>
        <w:rPr>
          <w:color w:val="231F20"/>
          <w:spacing w:val="-6"/>
        </w:rPr>
        <w:t> </w:t>
      </w:r>
      <w:r>
        <w:rPr>
          <w:color w:val="231F20"/>
        </w:rPr>
        <w:t>opportunities</w:t>
      </w:r>
      <w:r>
        <w:rPr/>
      </w:r>
    </w:p>
    <w:p>
      <w:pPr>
        <w:pStyle w:val="BodyText"/>
        <w:spacing w:line="250" w:lineRule="exact"/>
        <w:ind w:left="100" w:right="132"/>
        <w:jc w:val="left"/>
      </w:pPr>
      <w:r>
        <w:rPr>
          <w:color w:val="231F20"/>
        </w:rPr>
        <w:t>for</w:t>
      </w:r>
      <w:r>
        <w:rPr>
          <w:color w:val="231F20"/>
          <w:spacing w:val="-7"/>
        </w:rPr>
        <w:t> </w:t>
      </w:r>
      <w:r>
        <w:rPr>
          <w:color w:val="231F20"/>
          <w:spacing w:val="-1"/>
        </w:rPr>
        <w:t>increased</w:t>
      </w:r>
      <w:r>
        <w:rPr>
          <w:color w:val="231F20"/>
          <w:spacing w:val="-7"/>
        </w:rPr>
        <w:t> </w:t>
      </w:r>
      <w:r>
        <w:rPr>
          <w:color w:val="231F20"/>
        </w:rPr>
        <w:t>cooperation</w:t>
      </w:r>
      <w:r>
        <w:rPr>
          <w:color w:val="231F20"/>
          <w:spacing w:val="-8"/>
        </w:rPr>
        <w:t> </w:t>
      </w:r>
      <w:r>
        <w:rPr>
          <w:color w:val="231F20"/>
        </w:rPr>
        <w:t>between</w:t>
      </w:r>
      <w:r>
        <w:rPr>
          <w:color w:val="231F20"/>
          <w:spacing w:val="-7"/>
        </w:rPr>
        <w:t> </w:t>
      </w:r>
      <w:r>
        <w:rPr>
          <w:color w:val="231F20"/>
        </w:rPr>
        <w:t>peak</w:t>
      </w:r>
      <w:r>
        <w:rPr>
          <w:color w:val="231F20"/>
          <w:spacing w:val="-8"/>
        </w:rPr>
        <w:t> </w:t>
      </w:r>
      <w:r>
        <w:rPr>
          <w:color w:val="231F20"/>
        </w:rPr>
        <w:t>bodies</w:t>
      </w:r>
      <w:r>
        <w:rPr>
          <w:color w:val="231F20"/>
          <w:spacing w:val="22"/>
        </w:rPr>
        <w:t> </w:t>
      </w:r>
      <w:r>
        <w:rPr>
          <w:color w:val="231F20"/>
        </w:rPr>
        <w:t>and</w:t>
      </w:r>
      <w:r>
        <w:rPr>
          <w:color w:val="231F20"/>
          <w:spacing w:val="-6"/>
        </w:rPr>
        <w:t> </w:t>
      </w:r>
      <w:r>
        <w:rPr>
          <w:color w:val="231F20"/>
        </w:rPr>
        <w:t>also</w:t>
      </w:r>
      <w:r>
        <w:rPr>
          <w:color w:val="231F20"/>
          <w:spacing w:val="-6"/>
        </w:rPr>
        <w:t> </w:t>
      </w:r>
      <w:r>
        <w:rPr>
          <w:color w:val="231F20"/>
        </w:rPr>
        <w:t>with</w:t>
      </w:r>
      <w:r>
        <w:rPr>
          <w:color w:val="231F20"/>
          <w:spacing w:val="-6"/>
        </w:rPr>
        <w:t> </w:t>
      </w:r>
      <w:r>
        <w:rPr>
          <w:color w:val="231F20"/>
        </w:rPr>
        <w:t>government,</w:t>
      </w:r>
      <w:r>
        <w:rPr>
          <w:color w:val="231F20"/>
          <w:spacing w:val="-6"/>
        </w:rPr>
        <w:t> </w:t>
      </w:r>
      <w:r>
        <w:rPr>
          <w:color w:val="231F20"/>
        </w:rPr>
        <w:t>and</w:t>
      </w:r>
      <w:r>
        <w:rPr>
          <w:color w:val="231F20"/>
          <w:spacing w:val="-6"/>
        </w:rPr>
        <w:t> </w:t>
      </w:r>
      <w:r>
        <w:rPr>
          <w:color w:val="231F20"/>
        </w:rPr>
        <w:t>also</w:t>
      </w:r>
      <w:r>
        <w:rPr>
          <w:color w:val="231F20"/>
          <w:spacing w:val="-6"/>
        </w:rPr>
        <w:t> </w:t>
      </w:r>
      <w:r>
        <w:rPr>
          <w:color w:val="231F20"/>
        </w:rPr>
        <w:t>between</w:t>
      </w:r>
      <w:r>
        <w:rPr>
          <w:color w:val="231F20"/>
          <w:w w:val="99"/>
        </w:rPr>
        <w:t> </w:t>
      </w:r>
      <w:r>
        <w:rPr>
          <w:color w:val="231F20"/>
        </w:rPr>
        <w:t>government</w:t>
      </w:r>
      <w:r>
        <w:rPr>
          <w:color w:val="231F20"/>
          <w:spacing w:val="-7"/>
        </w:rPr>
        <w:t> </w:t>
      </w:r>
      <w:r>
        <w:rPr>
          <w:color w:val="231F20"/>
        </w:rPr>
        <w:t>and</w:t>
      </w:r>
      <w:r>
        <w:rPr>
          <w:color w:val="231F20"/>
          <w:spacing w:val="-7"/>
        </w:rPr>
        <w:t> </w:t>
      </w:r>
      <w:r>
        <w:rPr>
          <w:color w:val="231F20"/>
        </w:rPr>
        <w:t>Aboriginal</w:t>
      </w:r>
      <w:r>
        <w:rPr>
          <w:color w:val="231F20"/>
          <w:spacing w:val="-6"/>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29"/>
          <w:w w:val="99"/>
        </w:rPr>
        <w:t> </w:t>
      </w:r>
      <w:r>
        <w:rPr>
          <w:color w:val="231F20"/>
          <w:spacing w:val="-1"/>
        </w:rPr>
        <w:t>Islander</w:t>
      </w:r>
      <w:r>
        <w:rPr>
          <w:color w:val="231F20"/>
          <w:spacing w:val="-12"/>
        </w:rPr>
        <w:t> </w:t>
      </w:r>
      <w:r>
        <w:rPr>
          <w:color w:val="231F20"/>
        </w:rPr>
        <w:t>boarding</w:t>
      </w:r>
      <w:r>
        <w:rPr>
          <w:color w:val="231F20"/>
          <w:spacing w:val="-13"/>
        </w:rPr>
        <w:t> </w:t>
      </w:r>
      <w:r>
        <w:rPr>
          <w:color w:val="231F20"/>
        </w:rPr>
        <w:t>providers.</w:t>
      </w:r>
      <w:r>
        <w:rPr/>
      </w:r>
    </w:p>
    <w:p>
      <w:pPr>
        <w:spacing w:after="0" w:line="250" w:lineRule="exact"/>
        <w:jc w:val="left"/>
        <w:sectPr>
          <w:type w:val="continuous"/>
          <w:pgSz w:w="11910" w:h="16840"/>
          <w:pgMar w:top="1580" w:bottom="280" w:left="1600" w:right="1300"/>
          <w:cols w:num="2" w:equalWidth="0">
            <w:col w:w="4192" w:space="343"/>
            <w:col w:w="4475"/>
          </w:cols>
        </w:sectPr>
      </w:pPr>
    </w:p>
    <w:p>
      <w:pPr>
        <w:spacing w:line="240" w:lineRule="auto" w:before="0"/>
        <w:rPr>
          <w:rFonts w:ascii="Segoe UI" w:hAnsi="Segoe UI" w:cs="Segoe UI" w:eastAsia="Segoe UI"/>
          <w:sz w:val="20"/>
          <w:szCs w:val="20"/>
        </w:rPr>
      </w:pPr>
    </w:p>
    <w:p>
      <w:pPr>
        <w:spacing w:line="240" w:lineRule="auto" w:before="4"/>
        <w:rPr>
          <w:rFonts w:ascii="Segoe UI" w:hAnsi="Segoe UI" w:cs="Segoe UI" w:eastAsia="Segoe UI"/>
          <w:sz w:val="10"/>
          <w:szCs w:val="10"/>
        </w:rPr>
      </w:pPr>
    </w:p>
    <w:p>
      <w:pPr>
        <w:spacing w:line="200" w:lineRule="atLeast"/>
        <w:ind w:left="120" w:right="0" w:firstLine="0"/>
        <w:rPr>
          <w:rFonts w:ascii="Segoe UI" w:hAnsi="Segoe UI" w:cs="Segoe UI" w:eastAsia="Segoe UI"/>
          <w:sz w:val="20"/>
          <w:szCs w:val="20"/>
        </w:rPr>
      </w:pPr>
      <w:r>
        <w:rPr>
          <w:rFonts w:ascii="Segoe UI" w:hAnsi="Segoe UI" w:cs="Segoe UI" w:eastAsia="Segoe UI"/>
          <w:sz w:val="20"/>
          <w:szCs w:val="20"/>
        </w:rPr>
        <w:pict>
          <v:shape style="width:437.4pt;height:80.55pt;mso-position-horizontal-relative:char;mso-position-vertical-relative:line" type="#_x0000_t202" filled="true" fillcolor="#ecf1f5" stroked="true" strokeweight="2pt" strokecolor="#355f92">
            <v:textbox inset="0,0,0,0">
              <w:txbxContent>
                <w:p>
                  <w:pPr>
                    <w:spacing w:before="166"/>
                    <w:ind w:left="243" w:right="0" w:firstLine="0"/>
                    <w:jc w:val="left"/>
                    <w:rPr>
                      <w:rFonts w:ascii="Segoe UI Semibold" w:hAnsi="Segoe UI Semibold" w:cs="Segoe UI Semibold" w:eastAsia="Segoe UI Semibold"/>
                      <w:sz w:val="24"/>
                      <w:szCs w:val="24"/>
                    </w:rPr>
                  </w:pPr>
                  <w:r>
                    <w:rPr>
                      <w:rFonts w:ascii="Segoe UI Semibold"/>
                      <w:b/>
                      <w:color w:val="452A70"/>
                      <w:spacing w:val="-2"/>
                      <w:sz w:val="24"/>
                    </w:rPr>
                    <w:t>RECOMMENDATION</w:t>
                  </w:r>
                  <w:r>
                    <w:rPr>
                      <w:rFonts w:ascii="Segoe UI Semibold"/>
                      <w:b/>
                      <w:color w:val="452A70"/>
                      <w:spacing w:val="-9"/>
                      <w:sz w:val="24"/>
                    </w:rPr>
                    <w:t> </w:t>
                  </w:r>
                  <w:r>
                    <w:rPr>
                      <w:rFonts w:ascii="Segoe UI Semibold"/>
                      <w:b/>
                      <w:color w:val="452A70"/>
                      <w:spacing w:val="-1"/>
                      <w:sz w:val="24"/>
                    </w:rPr>
                    <w:t>12:</w:t>
                  </w:r>
                  <w:r>
                    <w:rPr>
                      <w:rFonts w:ascii="Segoe UI Semibold"/>
                      <w:b/>
                      <w:color w:val="452A70"/>
                      <w:spacing w:val="-8"/>
                      <w:sz w:val="24"/>
                    </w:rPr>
                    <w:t> </w:t>
                  </w:r>
                  <w:r>
                    <w:rPr>
                      <w:rFonts w:ascii="Segoe UI Semibold"/>
                      <w:b/>
                      <w:color w:val="452A70"/>
                      <w:spacing w:val="-2"/>
                      <w:sz w:val="24"/>
                    </w:rPr>
                    <w:t>COMMUNICATION</w:t>
                  </w:r>
                  <w:r>
                    <w:rPr>
                      <w:rFonts w:ascii="Segoe UI Semibold"/>
                      <w:sz w:val="24"/>
                    </w:rPr>
                  </w:r>
                </w:p>
                <w:p>
                  <w:pPr>
                    <w:spacing w:line="250" w:lineRule="exact" w:before="131"/>
                    <w:ind w:left="243" w:right="558" w:firstLine="0"/>
                    <w:jc w:val="left"/>
                    <w:rPr>
                      <w:rFonts w:ascii="Segoe UI" w:hAnsi="Segoe UI" w:cs="Segoe UI" w:eastAsia="Segoe UI"/>
                      <w:sz w:val="20"/>
                      <w:szCs w:val="20"/>
                    </w:rPr>
                  </w:pPr>
                  <w:r>
                    <w:rPr>
                      <w:rFonts w:ascii="Segoe UI"/>
                      <w:color w:val="452A70"/>
                      <w:spacing w:val="-2"/>
                      <w:sz w:val="20"/>
                    </w:rPr>
                    <w:t>State,</w:t>
                  </w:r>
                  <w:r>
                    <w:rPr>
                      <w:rFonts w:ascii="Segoe UI"/>
                      <w:color w:val="452A70"/>
                      <w:spacing w:val="-7"/>
                      <w:sz w:val="20"/>
                    </w:rPr>
                    <w:t> </w:t>
                  </w:r>
                  <w:r>
                    <w:rPr>
                      <w:rFonts w:ascii="Segoe UI"/>
                      <w:color w:val="452A70"/>
                      <w:sz w:val="20"/>
                    </w:rPr>
                    <w:t>territory</w:t>
                  </w:r>
                  <w:r>
                    <w:rPr>
                      <w:rFonts w:ascii="Segoe UI"/>
                      <w:color w:val="452A70"/>
                      <w:spacing w:val="-7"/>
                      <w:sz w:val="20"/>
                    </w:rPr>
                    <w:t> </w:t>
                  </w:r>
                  <w:r>
                    <w:rPr>
                      <w:rFonts w:ascii="Segoe UI"/>
                      <w:color w:val="452A70"/>
                      <w:sz w:val="20"/>
                    </w:rPr>
                    <w:t>and</w:t>
                  </w:r>
                  <w:r>
                    <w:rPr>
                      <w:rFonts w:ascii="Segoe UI"/>
                      <w:color w:val="452A70"/>
                      <w:spacing w:val="-7"/>
                      <w:sz w:val="20"/>
                    </w:rPr>
                    <w:t> </w:t>
                  </w:r>
                  <w:r>
                    <w:rPr>
                      <w:rFonts w:ascii="Segoe UI"/>
                      <w:color w:val="452A70"/>
                      <w:spacing w:val="-1"/>
                      <w:sz w:val="20"/>
                    </w:rPr>
                    <w:t>Commonwealth</w:t>
                  </w:r>
                  <w:r>
                    <w:rPr>
                      <w:rFonts w:ascii="Segoe UI"/>
                      <w:color w:val="452A70"/>
                      <w:spacing w:val="-6"/>
                      <w:sz w:val="20"/>
                    </w:rPr>
                    <w:t> </w:t>
                  </w:r>
                  <w:r>
                    <w:rPr>
                      <w:rFonts w:ascii="Segoe UI"/>
                      <w:color w:val="452A70"/>
                      <w:sz w:val="20"/>
                    </w:rPr>
                    <w:t>governments</w:t>
                  </w:r>
                  <w:r>
                    <w:rPr>
                      <w:rFonts w:ascii="Segoe UI"/>
                      <w:color w:val="452A70"/>
                      <w:spacing w:val="-7"/>
                      <w:sz w:val="20"/>
                    </w:rPr>
                    <w:t> </w:t>
                  </w:r>
                  <w:r>
                    <w:rPr>
                      <w:rFonts w:ascii="Segoe UI"/>
                      <w:color w:val="452A70"/>
                      <w:sz w:val="20"/>
                    </w:rPr>
                    <w:t>to</w:t>
                  </w:r>
                  <w:r>
                    <w:rPr>
                      <w:rFonts w:ascii="Segoe UI"/>
                      <w:color w:val="452A70"/>
                      <w:spacing w:val="-6"/>
                      <w:sz w:val="20"/>
                    </w:rPr>
                    <w:t> </w:t>
                  </w:r>
                  <w:r>
                    <w:rPr>
                      <w:rFonts w:ascii="Segoe UI"/>
                      <w:color w:val="452A70"/>
                      <w:sz w:val="20"/>
                    </w:rPr>
                    <w:t>work</w:t>
                  </w:r>
                  <w:r>
                    <w:rPr>
                      <w:rFonts w:ascii="Segoe UI"/>
                      <w:color w:val="452A70"/>
                      <w:spacing w:val="-7"/>
                      <w:sz w:val="20"/>
                    </w:rPr>
                    <w:t> </w:t>
                  </w:r>
                  <w:r>
                    <w:rPr>
                      <w:rFonts w:ascii="Segoe UI"/>
                      <w:color w:val="452A70"/>
                      <w:sz w:val="20"/>
                    </w:rPr>
                    <w:t>with</w:t>
                  </w:r>
                  <w:r>
                    <w:rPr>
                      <w:rFonts w:ascii="Segoe UI"/>
                      <w:color w:val="452A70"/>
                      <w:spacing w:val="-7"/>
                      <w:sz w:val="20"/>
                    </w:rPr>
                    <w:t> </w:t>
                  </w:r>
                  <w:r>
                    <w:rPr>
                      <w:rFonts w:ascii="Segoe UI"/>
                      <w:color w:val="452A70"/>
                      <w:sz w:val="20"/>
                    </w:rPr>
                    <w:t>peak</w:t>
                  </w:r>
                  <w:r>
                    <w:rPr>
                      <w:rFonts w:ascii="Segoe UI"/>
                      <w:color w:val="452A70"/>
                      <w:spacing w:val="-7"/>
                      <w:sz w:val="20"/>
                    </w:rPr>
                    <w:t> </w:t>
                  </w:r>
                  <w:r>
                    <w:rPr>
                      <w:rFonts w:ascii="Segoe UI"/>
                      <w:color w:val="452A70"/>
                      <w:sz w:val="20"/>
                    </w:rPr>
                    <w:t>bodies</w:t>
                  </w:r>
                  <w:r>
                    <w:rPr>
                      <w:rFonts w:ascii="Segoe UI"/>
                      <w:color w:val="452A70"/>
                      <w:spacing w:val="-7"/>
                      <w:sz w:val="20"/>
                    </w:rPr>
                    <w:t> </w:t>
                  </w:r>
                  <w:r>
                    <w:rPr>
                      <w:rFonts w:ascii="Segoe UI"/>
                      <w:color w:val="452A70"/>
                      <w:sz w:val="20"/>
                    </w:rPr>
                    <w:t>to</w:t>
                  </w:r>
                  <w:r>
                    <w:rPr>
                      <w:rFonts w:ascii="Segoe UI"/>
                      <w:color w:val="452A70"/>
                      <w:spacing w:val="-6"/>
                      <w:sz w:val="20"/>
                    </w:rPr>
                    <w:t> </w:t>
                  </w:r>
                  <w:r>
                    <w:rPr>
                      <w:rFonts w:ascii="Segoe UI"/>
                      <w:color w:val="452A70"/>
                      <w:spacing w:val="-1"/>
                      <w:sz w:val="20"/>
                    </w:rPr>
                    <w:t>strengthen</w:t>
                  </w:r>
                  <w:r>
                    <w:rPr>
                      <w:rFonts w:ascii="Segoe UI"/>
                      <w:color w:val="452A70"/>
                      <w:spacing w:val="26"/>
                      <w:w w:val="99"/>
                      <w:sz w:val="20"/>
                    </w:rPr>
                    <w:t> </w:t>
                  </w:r>
                  <w:r>
                    <w:rPr>
                      <w:rFonts w:ascii="Segoe UI"/>
                      <w:color w:val="452A70"/>
                      <w:sz w:val="20"/>
                    </w:rPr>
                    <w:t>communication</w:t>
                  </w:r>
                  <w:r>
                    <w:rPr>
                      <w:rFonts w:ascii="Segoe UI"/>
                      <w:color w:val="452A70"/>
                      <w:spacing w:val="-8"/>
                      <w:sz w:val="20"/>
                    </w:rPr>
                    <w:t> </w:t>
                  </w:r>
                  <w:r>
                    <w:rPr>
                      <w:rFonts w:ascii="Segoe UI"/>
                      <w:color w:val="452A70"/>
                      <w:sz w:val="20"/>
                    </w:rPr>
                    <w:t>between</w:t>
                  </w:r>
                  <w:r>
                    <w:rPr>
                      <w:rFonts w:ascii="Segoe UI"/>
                      <w:color w:val="452A70"/>
                      <w:spacing w:val="-7"/>
                      <w:sz w:val="20"/>
                    </w:rPr>
                    <w:t> </w:t>
                  </w:r>
                  <w:r>
                    <w:rPr>
                      <w:rFonts w:ascii="Segoe UI"/>
                      <w:color w:val="452A70"/>
                      <w:sz w:val="20"/>
                    </w:rPr>
                    <w:t>government</w:t>
                  </w:r>
                  <w:r>
                    <w:rPr>
                      <w:rFonts w:ascii="Segoe UI"/>
                      <w:color w:val="452A70"/>
                      <w:spacing w:val="-7"/>
                      <w:sz w:val="20"/>
                    </w:rPr>
                    <w:t> </w:t>
                  </w:r>
                  <w:r>
                    <w:rPr>
                      <w:rFonts w:ascii="Segoe UI"/>
                      <w:color w:val="452A70"/>
                      <w:sz w:val="20"/>
                    </w:rPr>
                    <w:t>and</w:t>
                  </w:r>
                  <w:r>
                    <w:rPr>
                      <w:rFonts w:ascii="Segoe UI"/>
                      <w:color w:val="452A70"/>
                      <w:spacing w:val="-8"/>
                      <w:sz w:val="20"/>
                    </w:rPr>
                    <w:t> </w:t>
                  </w:r>
                  <w:r>
                    <w:rPr>
                      <w:rFonts w:ascii="Segoe UI"/>
                      <w:color w:val="452A70"/>
                      <w:sz w:val="20"/>
                    </w:rPr>
                    <w:t>boarding</w:t>
                  </w:r>
                  <w:r>
                    <w:rPr>
                      <w:rFonts w:ascii="Segoe UI"/>
                      <w:color w:val="452A70"/>
                      <w:spacing w:val="-7"/>
                      <w:sz w:val="20"/>
                    </w:rPr>
                    <w:t> </w:t>
                  </w:r>
                  <w:r>
                    <w:rPr>
                      <w:rFonts w:ascii="Segoe UI"/>
                      <w:color w:val="452A70"/>
                      <w:sz w:val="20"/>
                    </w:rPr>
                    <w:t>providers</w:t>
                  </w:r>
                  <w:r>
                    <w:rPr>
                      <w:rFonts w:ascii="Segoe UI"/>
                      <w:color w:val="452A70"/>
                      <w:spacing w:val="-7"/>
                      <w:sz w:val="20"/>
                    </w:rPr>
                    <w:t> </w:t>
                  </w:r>
                  <w:r>
                    <w:rPr>
                      <w:rFonts w:ascii="Segoe UI"/>
                      <w:color w:val="452A70"/>
                      <w:sz w:val="20"/>
                    </w:rPr>
                    <w:t>and</w:t>
                  </w:r>
                  <w:r>
                    <w:rPr>
                      <w:rFonts w:ascii="Segoe UI"/>
                      <w:color w:val="452A70"/>
                      <w:spacing w:val="-8"/>
                      <w:sz w:val="20"/>
                    </w:rPr>
                    <w:t> </w:t>
                  </w:r>
                  <w:r>
                    <w:rPr>
                      <w:rFonts w:ascii="Segoe UI"/>
                      <w:color w:val="452A70"/>
                      <w:sz w:val="20"/>
                    </w:rPr>
                    <w:t>also</w:t>
                  </w:r>
                  <w:r>
                    <w:rPr>
                      <w:rFonts w:ascii="Segoe UI"/>
                      <w:color w:val="452A70"/>
                      <w:spacing w:val="-7"/>
                      <w:sz w:val="20"/>
                    </w:rPr>
                    <w:t> </w:t>
                  </w:r>
                  <w:r>
                    <w:rPr>
                      <w:rFonts w:ascii="Segoe UI"/>
                      <w:color w:val="452A70"/>
                      <w:sz w:val="20"/>
                    </w:rPr>
                    <w:t>between</w:t>
                  </w:r>
                  <w:r>
                    <w:rPr>
                      <w:rFonts w:ascii="Segoe UI"/>
                      <w:color w:val="452A70"/>
                      <w:spacing w:val="-7"/>
                      <w:sz w:val="20"/>
                    </w:rPr>
                    <w:t> </w:t>
                  </w:r>
                  <w:r>
                    <w:rPr>
                      <w:rFonts w:ascii="Segoe UI"/>
                      <w:color w:val="452A70"/>
                      <w:sz w:val="20"/>
                    </w:rPr>
                    <w:t>boarding</w:t>
                  </w:r>
                  <w:r>
                    <w:rPr>
                      <w:rFonts w:ascii="Segoe UI"/>
                      <w:color w:val="452A70"/>
                      <w:w w:val="99"/>
                      <w:sz w:val="20"/>
                    </w:rPr>
                    <w:t> </w:t>
                  </w:r>
                  <w:r>
                    <w:rPr>
                      <w:rFonts w:ascii="Segoe UI"/>
                      <w:color w:val="452A70"/>
                      <w:sz w:val="20"/>
                    </w:rPr>
                    <w:t>providers.</w:t>
                  </w:r>
                  <w:r>
                    <w:rPr>
                      <w:rFonts w:ascii="Segoe UI"/>
                      <w:sz w:val="20"/>
                    </w:rPr>
                  </w:r>
                </w:p>
              </w:txbxContent>
            </v:textbox>
            <v:fill type="solid"/>
            <v:stroke dashstyle="dash"/>
            <w10:wrap type="none"/>
          </v:shape>
        </w:pict>
      </w:r>
      <w:r>
        <w:rPr>
          <w:rFonts w:ascii="Segoe UI" w:hAnsi="Segoe UI" w:cs="Segoe UI" w:eastAsia="Segoe UI"/>
          <w:sz w:val="20"/>
          <w:szCs w:val="20"/>
        </w:rPr>
      </w:r>
    </w:p>
    <w:p>
      <w:pPr>
        <w:spacing w:after="0" w:line="200" w:lineRule="atLeast"/>
        <w:rPr>
          <w:rFonts w:ascii="Segoe UI" w:hAnsi="Segoe UI" w:cs="Segoe UI" w:eastAsia="Segoe UI"/>
          <w:sz w:val="20"/>
          <w:szCs w:val="20"/>
        </w:rPr>
        <w:sectPr>
          <w:type w:val="continuous"/>
          <w:pgSz w:w="11910" w:h="16840"/>
          <w:pgMar w:top="1580" w:bottom="280" w:left="1600" w:right="1300"/>
        </w:sectPr>
      </w:pPr>
    </w:p>
    <w:p>
      <w:pPr>
        <w:spacing w:line="240" w:lineRule="auto" w:before="0"/>
        <w:rPr>
          <w:rFonts w:ascii="Segoe UI" w:hAnsi="Segoe UI" w:cs="Segoe UI" w:eastAsia="Segoe UI"/>
          <w:sz w:val="20"/>
          <w:szCs w:val="20"/>
        </w:rPr>
      </w:pPr>
    </w:p>
    <w:p>
      <w:pPr>
        <w:spacing w:line="240" w:lineRule="auto" w:before="1"/>
        <w:rPr>
          <w:rFonts w:ascii="Segoe UI" w:hAnsi="Segoe UI" w:cs="Segoe UI" w:eastAsia="Segoe UI"/>
          <w:sz w:val="20"/>
          <w:szCs w:val="20"/>
        </w:rPr>
      </w:pPr>
    </w:p>
    <w:p>
      <w:pPr>
        <w:pStyle w:val="Heading1"/>
        <w:numPr>
          <w:ilvl w:val="0"/>
          <w:numId w:val="6"/>
        </w:numPr>
        <w:tabs>
          <w:tab w:pos="838" w:val="left" w:leader="none"/>
        </w:tabs>
        <w:spacing w:line="567" w:lineRule="exact" w:before="0" w:after="0"/>
        <w:ind w:left="837" w:right="0" w:hanging="720"/>
        <w:jc w:val="left"/>
      </w:pPr>
      <w:bookmarkStart w:name="_TOC_250006" w:id="30"/>
      <w:r>
        <w:rPr>
          <w:color w:val="67973F"/>
          <w:spacing w:val="-1"/>
        </w:rPr>
        <w:t>Cultural</w:t>
      </w:r>
      <w:r>
        <w:rPr>
          <w:color w:val="67973F"/>
          <w:spacing w:val="-20"/>
        </w:rPr>
        <w:t> </w:t>
      </w:r>
      <w:r>
        <w:rPr>
          <w:color w:val="67973F"/>
        </w:rPr>
        <w:t>respect</w:t>
      </w:r>
      <w:r>
        <w:rPr>
          <w:color w:val="67973F"/>
          <w:spacing w:val="-23"/>
        </w:rPr>
        <w:t> </w:t>
      </w:r>
      <w:r>
        <w:rPr>
          <w:color w:val="67973F"/>
        </w:rPr>
        <w:t>and</w:t>
      </w:r>
      <w:r>
        <w:rPr>
          <w:color w:val="67973F"/>
          <w:spacing w:val="-22"/>
        </w:rPr>
        <w:t> </w:t>
      </w:r>
      <w:r>
        <w:rPr>
          <w:color w:val="67973F"/>
        </w:rPr>
        <w:t>collaboration</w:t>
      </w:r>
      <w:bookmarkEnd w:id="30"/>
      <w:r>
        <w:rPr/>
      </w:r>
    </w:p>
    <w:p>
      <w:pPr>
        <w:spacing w:line="240" w:lineRule="auto" w:before="3"/>
        <w:rPr>
          <w:rFonts w:ascii="Segoe UI" w:hAnsi="Segoe UI" w:cs="Segoe UI" w:eastAsia="Segoe UI"/>
          <w:sz w:val="10"/>
          <w:szCs w:val="10"/>
        </w:rPr>
      </w:pPr>
    </w:p>
    <w:p>
      <w:pPr>
        <w:spacing w:line="200" w:lineRule="atLeast"/>
        <w:ind w:left="117" w:right="0" w:firstLine="0"/>
        <w:rPr>
          <w:rFonts w:ascii="Segoe UI" w:hAnsi="Segoe UI" w:cs="Segoe UI" w:eastAsia="Segoe UI"/>
          <w:sz w:val="20"/>
          <w:szCs w:val="20"/>
        </w:rPr>
      </w:pPr>
      <w:r>
        <w:rPr>
          <w:rFonts w:ascii="Segoe UI" w:hAnsi="Segoe UI" w:cs="Segoe UI" w:eastAsia="Segoe UI"/>
          <w:sz w:val="20"/>
          <w:szCs w:val="20"/>
        </w:rPr>
        <w:drawing>
          <wp:inline distT="0" distB="0" distL="0" distR="0">
            <wp:extent cx="5589268" cy="3407664"/>
            <wp:effectExtent l="0" t="0" r="0" b="0"/>
            <wp:docPr id="19" name="image42.jpeg" descr=""/>
            <wp:cNvGraphicFramePr>
              <a:graphicFrameLocks noChangeAspect="1"/>
            </wp:cNvGraphicFramePr>
            <a:graphic>
              <a:graphicData uri="http://schemas.openxmlformats.org/drawingml/2006/picture">
                <pic:pic>
                  <pic:nvPicPr>
                    <pic:cNvPr id="20" name="image42.jpeg"/>
                    <pic:cNvPicPr/>
                  </pic:nvPicPr>
                  <pic:blipFill>
                    <a:blip r:embed="rId91" cstate="print"/>
                    <a:stretch>
                      <a:fillRect/>
                    </a:stretch>
                  </pic:blipFill>
                  <pic:spPr>
                    <a:xfrm>
                      <a:off x="0" y="0"/>
                      <a:ext cx="5589268" cy="3407664"/>
                    </a:xfrm>
                    <a:prstGeom prst="rect">
                      <a:avLst/>
                    </a:prstGeom>
                  </pic:spPr>
                </pic:pic>
              </a:graphicData>
            </a:graphic>
          </wp:inline>
        </w:drawing>
      </w:r>
      <w:r>
        <w:rPr>
          <w:rFonts w:ascii="Segoe UI" w:hAnsi="Segoe UI" w:cs="Segoe UI" w:eastAsia="Segoe UI"/>
          <w:sz w:val="20"/>
          <w:szCs w:val="20"/>
        </w:rPr>
      </w:r>
    </w:p>
    <w:p>
      <w:pPr>
        <w:spacing w:line="240" w:lineRule="auto" w:before="8"/>
        <w:rPr>
          <w:rFonts w:ascii="Segoe UI" w:hAnsi="Segoe UI" w:cs="Segoe UI" w:eastAsia="Segoe UI"/>
          <w:sz w:val="7"/>
          <w:szCs w:val="7"/>
        </w:rPr>
      </w:pPr>
    </w:p>
    <w:p>
      <w:pPr>
        <w:spacing w:after="0" w:line="240" w:lineRule="auto"/>
        <w:rPr>
          <w:rFonts w:ascii="Segoe UI" w:hAnsi="Segoe UI" w:cs="Segoe UI" w:eastAsia="Segoe UI"/>
          <w:sz w:val="7"/>
          <w:szCs w:val="7"/>
        </w:rPr>
        <w:sectPr>
          <w:footerReference w:type="even" r:id="rId89"/>
          <w:footerReference w:type="default" r:id="rId90"/>
          <w:pgSz w:w="11910" w:h="16840"/>
          <w:pgMar w:footer="691" w:header="0" w:top="1580" w:bottom="880" w:left="1300" w:right="1600"/>
        </w:sectPr>
      </w:pPr>
    </w:p>
    <w:p>
      <w:pPr>
        <w:pStyle w:val="BodyText"/>
        <w:spacing w:line="250" w:lineRule="exact" w:before="62"/>
        <w:ind w:right="0"/>
        <w:jc w:val="left"/>
      </w:pPr>
      <w:r>
        <w:rPr>
          <w:color w:val="231F20"/>
        </w:rPr>
        <w:t>Grant</w:t>
      </w:r>
      <w:r>
        <w:rPr>
          <w:color w:val="231F20"/>
          <w:spacing w:val="-10"/>
        </w:rPr>
        <w:t> </w:t>
      </w:r>
      <w:r>
        <w:rPr>
          <w:color w:val="231F20"/>
        </w:rPr>
        <w:t>Thornton</w:t>
      </w:r>
      <w:r>
        <w:rPr>
          <w:color w:val="231F20"/>
          <w:spacing w:val="-10"/>
        </w:rPr>
        <w:t> </w:t>
      </w:r>
      <w:r>
        <w:rPr>
          <w:color w:val="231F20"/>
        </w:rPr>
        <w:t>acknowledges</w:t>
      </w:r>
      <w:r>
        <w:rPr>
          <w:color w:val="231F20"/>
          <w:spacing w:val="-11"/>
        </w:rPr>
        <w:t> </w:t>
      </w:r>
      <w:r>
        <w:rPr>
          <w:color w:val="231F20"/>
        </w:rPr>
        <w:t>Aboriginal</w:t>
      </w:r>
      <w:r>
        <w:rPr>
          <w:color w:val="231F20"/>
          <w:spacing w:val="-9"/>
        </w:rPr>
        <w:t> </w:t>
      </w:r>
      <w:r>
        <w:rPr>
          <w:color w:val="231F20"/>
        </w:rPr>
        <w:t>and</w:t>
      </w:r>
      <w:r>
        <w:rPr>
          <w:color w:val="231F20"/>
          <w:w w:val="99"/>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4"/>
        </w:rPr>
        <w:t> </w:t>
      </w:r>
      <w:r>
        <w:rPr>
          <w:color w:val="231F20"/>
        </w:rPr>
        <w:t>people</w:t>
      </w:r>
      <w:r>
        <w:rPr>
          <w:color w:val="231F20"/>
          <w:spacing w:val="-6"/>
        </w:rPr>
        <w:t> </w:t>
      </w:r>
      <w:r>
        <w:rPr>
          <w:color w:val="231F20"/>
        </w:rPr>
        <w:t>have</w:t>
      </w:r>
      <w:r>
        <w:rPr>
          <w:color w:val="231F20"/>
          <w:spacing w:val="-5"/>
        </w:rPr>
        <w:t> </w:t>
      </w:r>
      <w:r>
        <w:rPr>
          <w:color w:val="231F20"/>
        </w:rPr>
        <w:t>a</w:t>
      </w:r>
      <w:r>
        <w:rPr>
          <w:color w:val="231F20"/>
          <w:spacing w:val="-5"/>
        </w:rPr>
        <w:t> </w:t>
      </w:r>
      <w:r>
        <w:rPr>
          <w:color w:val="231F20"/>
        </w:rPr>
        <w:t>unique</w:t>
      </w:r>
      <w:r>
        <w:rPr>
          <w:color w:val="231F20"/>
          <w:spacing w:val="21"/>
          <w:w w:val="99"/>
        </w:rPr>
        <w:t> </w:t>
      </w:r>
      <w:r>
        <w:rPr>
          <w:color w:val="231F20"/>
        </w:rPr>
        <w:t>culture</w:t>
      </w:r>
      <w:r>
        <w:rPr>
          <w:color w:val="231F20"/>
          <w:spacing w:val="-7"/>
        </w:rPr>
        <w:t> </w:t>
      </w:r>
      <w:r>
        <w:rPr>
          <w:color w:val="231F20"/>
        </w:rPr>
        <w:t>with</w:t>
      </w:r>
      <w:r>
        <w:rPr>
          <w:color w:val="231F20"/>
          <w:spacing w:val="-6"/>
        </w:rPr>
        <w:t> </w:t>
      </w:r>
      <w:r>
        <w:rPr>
          <w:color w:val="231F20"/>
        </w:rPr>
        <w:t>a</w:t>
      </w:r>
      <w:r>
        <w:rPr>
          <w:color w:val="231F20"/>
          <w:spacing w:val="-6"/>
        </w:rPr>
        <w:t> </w:t>
      </w:r>
      <w:r>
        <w:rPr>
          <w:color w:val="231F20"/>
        </w:rPr>
        <w:t>deep</w:t>
      </w:r>
      <w:r>
        <w:rPr>
          <w:color w:val="231F20"/>
          <w:spacing w:val="-6"/>
        </w:rPr>
        <w:t> </w:t>
      </w:r>
      <w:r>
        <w:rPr>
          <w:color w:val="231F20"/>
        </w:rPr>
        <w:t>and</w:t>
      </w:r>
      <w:r>
        <w:rPr>
          <w:color w:val="231F20"/>
          <w:spacing w:val="-6"/>
        </w:rPr>
        <w:t> </w:t>
      </w:r>
      <w:r>
        <w:rPr>
          <w:color w:val="231F20"/>
        </w:rPr>
        <w:t>abiding</w:t>
      </w:r>
      <w:r>
        <w:rPr>
          <w:color w:val="231F20"/>
          <w:spacing w:val="-7"/>
        </w:rPr>
        <w:t> </w:t>
      </w:r>
      <w:r>
        <w:rPr>
          <w:color w:val="231F20"/>
        </w:rPr>
        <w:t>relationship</w:t>
      </w:r>
      <w:r>
        <w:rPr>
          <w:color w:val="231F20"/>
          <w:spacing w:val="-7"/>
        </w:rPr>
        <w:t> </w:t>
      </w:r>
      <w:r>
        <w:rPr>
          <w:color w:val="231F20"/>
        </w:rPr>
        <w:t>to</w:t>
      </w:r>
      <w:r>
        <w:rPr>
          <w:color w:val="231F20"/>
          <w:w w:val="99"/>
        </w:rPr>
        <w:t> </w:t>
      </w:r>
      <w:r>
        <w:rPr>
          <w:color w:val="231F20"/>
          <w:spacing w:val="-1"/>
        </w:rPr>
        <w:t>Country,</w:t>
      </w:r>
      <w:r>
        <w:rPr>
          <w:color w:val="231F20"/>
          <w:spacing w:val="-9"/>
        </w:rPr>
        <w:t> </w:t>
      </w:r>
      <w:r>
        <w:rPr>
          <w:color w:val="231F20"/>
        </w:rPr>
        <w:t>and</w:t>
      </w:r>
      <w:r>
        <w:rPr>
          <w:color w:val="231F20"/>
          <w:spacing w:val="-10"/>
        </w:rPr>
        <w:t> </w:t>
      </w:r>
      <w:r>
        <w:rPr>
          <w:color w:val="231F20"/>
        </w:rPr>
        <w:t>that</w:t>
      </w:r>
      <w:r>
        <w:rPr>
          <w:color w:val="231F20"/>
          <w:spacing w:val="-9"/>
        </w:rPr>
        <w:t> </w:t>
      </w:r>
      <w:r>
        <w:rPr>
          <w:color w:val="231F20"/>
        </w:rPr>
        <w:t>developing</w:t>
      </w:r>
      <w:r>
        <w:rPr>
          <w:color w:val="231F20"/>
          <w:spacing w:val="-10"/>
        </w:rPr>
        <w:t> </w:t>
      </w:r>
      <w:r>
        <w:rPr>
          <w:color w:val="231F20"/>
        </w:rPr>
        <w:t>a</w:t>
      </w:r>
      <w:r>
        <w:rPr>
          <w:color w:val="231F20"/>
          <w:spacing w:val="-9"/>
        </w:rPr>
        <w:t> </w:t>
      </w:r>
      <w:r>
        <w:rPr>
          <w:color w:val="231F20"/>
        </w:rPr>
        <w:t>universal</w:t>
      </w:r>
      <w:r>
        <w:rPr>
          <w:color w:val="231F20"/>
          <w:spacing w:val="-10"/>
        </w:rPr>
        <w:t> </w:t>
      </w:r>
      <w:r>
        <w:rPr>
          <w:color w:val="231F20"/>
        </w:rPr>
        <w:t>respect</w:t>
      </w:r>
      <w:r>
        <w:rPr>
          <w:color w:val="231F20"/>
          <w:spacing w:val="22"/>
          <w:w w:val="99"/>
        </w:rPr>
        <w:t> </w:t>
      </w:r>
      <w:r>
        <w:rPr>
          <w:color w:val="231F20"/>
        </w:rPr>
        <w:t>for</w:t>
      </w:r>
      <w:r>
        <w:rPr>
          <w:color w:val="231F20"/>
          <w:spacing w:val="-5"/>
        </w:rPr>
        <w:t> </w:t>
      </w:r>
      <w:r>
        <w:rPr>
          <w:color w:val="231F20"/>
          <w:spacing w:val="-1"/>
        </w:rPr>
        <w:t>Country</w:t>
      </w:r>
      <w:r>
        <w:rPr>
          <w:color w:val="231F20"/>
          <w:spacing w:val="-5"/>
        </w:rPr>
        <w:t> </w:t>
      </w:r>
      <w:r>
        <w:rPr>
          <w:color w:val="231F20"/>
          <w:spacing w:val="-1"/>
        </w:rPr>
        <w:t>lies</w:t>
      </w:r>
      <w:r>
        <w:rPr>
          <w:color w:val="231F20"/>
          <w:spacing w:val="-5"/>
        </w:rPr>
        <w:t> </w:t>
      </w:r>
      <w:r>
        <w:rPr>
          <w:color w:val="231F20"/>
        </w:rPr>
        <w:t>at</w:t>
      </w:r>
      <w:r>
        <w:rPr>
          <w:color w:val="231F20"/>
          <w:spacing w:val="-4"/>
        </w:rPr>
        <w:t> </w:t>
      </w:r>
      <w:r>
        <w:rPr>
          <w:color w:val="231F20"/>
        </w:rPr>
        <w:t>the</w:t>
      </w:r>
      <w:r>
        <w:rPr>
          <w:color w:val="231F20"/>
          <w:spacing w:val="-6"/>
        </w:rPr>
        <w:t> </w:t>
      </w:r>
      <w:r>
        <w:rPr>
          <w:color w:val="231F20"/>
        </w:rPr>
        <w:t>heart</w:t>
      </w:r>
      <w:r>
        <w:rPr>
          <w:color w:val="231F20"/>
          <w:spacing w:val="-4"/>
        </w:rPr>
        <w:t> </w:t>
      </w:r>
      <w:r>
        <w:rPr>
          <w:color w:val="231F20"/>
        </w:rPr>
        <w:t>of</w:t>
      </w:r>
      <w:r>
        <w:rPr>
          <w:color w:val="231F20"/>
          <w:spacing w:val="-5"/>
        </w:rPr>
        <w:t> </w:t>
      </w:r>
      <w:r>
        <w:rPr>
          <w:color w:val="231F20"/>
        </w:rPr>
        <w:t>reconciliation.</w:t>
      </w:r>
      <w:r>
        <w:rPr/>
      </w:r>
    </w:p>
    <w:p>
      <w:pPr>
        <w:pStyle w:val="BodyText"/>
        <w:spacing w:line="250" w:lineRule="exact"/>
        <w:ind w:right="15"/>
        <w:jc w:val="left"/>
      </w:pPr>
      <w:r>
        <w:rPr>
          <w:color w:val="231F20"/>
        </w:rPr>
        <w:t>Aboriginal</w:t>
      </w:r>
      <w:r>
        <w:rPr>
          <w:color w:val="231F20"/>
          <w:spacing w:val="-6"/>
        </w:rPr>
        <w:t> </w:t>
      </w:r>
      <w:r>
        <w:rPr>
          <w:color w:val="231F20"/>
        </w:rPr>
        <w:t>and</w:t>
      </w:r>
      <w:r>
        <w:rPr>
          <w:color w:val="231F20"/>
          <w:spacing w:val="-6"/>
        </w:rPr>
        <w:t> </w:t>
      </w:r>
      <w:r>
        <w:rPr>
          <w:color w:val="231F20"/>
          <w:spacing w:val="-5"/>
        </w:rPr>
        <w:t>Torres</w:t>
      </w:r>
      <w:r>
        <w:rPr>
          <w:color w:val="231F20"/>
          <w:spacing w:val="-6"/>
        </w:rPr>
        <w:t> </w:t>
      </w:r>
      <w:r>
        <w:rPr>
          <w:color w:val="231F20"/>
          <w:spacing w:val="-2"/>
        </w:rPr>
        <w:t>Strait</w:t>
      </w:r>
      <w:r>
        <w:rPr>
          <w:color w:val="231F20"/>
          <w:spacing w:val="-6"/>
        </w:rPr>
        <w:t> </w:t>
      </w:r>
      <w:r>
        <w:rPr>
          <w:color w:val="231F20"/>
          <w:spacing w:val="-1"/>
        </w:rPr>
        <w:t>Islander</w:t>
      </w:r>
      <w:r>
        <w:rPr>
          <w:color w:val="231F20"/>
          <w:spacing w:val="-6"/>
        </w:rPr>
        <w:t> </w:t>
      </w:r>
      <w:r>
        <w:rPr>
          <w:color w:val="231F20"/>
        </w:rPr>
        <w:t>people</w:t>
      </w:r>
      <w:r>
        <w:rPr>
          <w:color w:val="231F20"/>
          <w:spacing w:val="-6"/>
        </w:rPr>
        <w:t> </w:t>
      </w:r>
      <w:r>
        <w:rPr>
          <w:color w:val="231F20"/>
          <w:spacing w:val="-6"/>
        </w:rPr>
      </w:r>
      <w:r>
        <w:rPr>
          <w:color w:val="231F20"/>
        </w:rPr>
        <w:t>have</w:t>
      </w:r>
      <w:r>
        <w:rPr>
          <w:color w:val="231F20"/>
          <w:spacing w:val="20"/>
        </w:rPr>
        <w:t> </w:t>
      </w:r>
      <w:r>
        <w:rPr>
          <w:color w:val="231F20"/>
        </w:rPr>
        <w:t>demonstrated</w:t>
      </w:r>
      <w:r>
        <w:rPr>
          <w:color w:val="231F20"/>
          <w:spacing w:val="-8"/>
        </w:rPr>
        <w:t> </w:t>
      </w:r>
      <w:r>
        <w:rPr>
          <w:color w:val="231F20"/>
        </w:rPr>
        <w:t>great</w:t>
      </w:r>
      <w:r>
        <w:rPr>
          <w:color w:val="231F20"/>
          <w:spacing w:val="-8"/>
        </w:rPr>
        <w:t> </w:t>
      </w:r>
      <w:r>
        <w:rPr>
          <w:color w:val="231F20"/>
        </w:rPr>
        <w:t>resilience</w:t>
      </w:r>
      <w:r>
        <w:rPr>
          <w:color w:val="231F20"/>
          <w:spacing w:val="-9"/>
        </w:rPr>
        <w:t> </w:t>
      </w:r>
      <w:r>
        <w:rPr>
          <w:color w:val="231F20"/>
        </w:rPr>
        <w:t>but</w:t>
      </w:r>
      <w:r>
        <w:rPr>
          <w:color w:val="231F20"/>
          <w:spacing w:val="-8"/>
        </w:rPr>
        <w:t> </w:t>
      </w:r>
      <w:r>
        <w:rPr>
          <w:color w:val="231F20"/>
          <w:spacing w:val="-8"/>
        </w:rPr>
      </w:r>
      <w:r>
        <w:rPr>
          <w:color w:val="231F20"/>
        </w:rPr>
        <w:t>continue</w:t>
      </w:r>
      <w:r>
        <w:rPr>
          <w:color w:val="231F20"/>
          <w:spacing w:val="-1"/>
        </w:rPr>
        <w:t> </w:t>
      </w:r>
      <w:r>
        <w:rPr>
          <w:color w:val="231F20"/>
          <w:spacing w:val="-1"/>
        </w:rPr>
        <w:t>     </w:t>
      </w:r>
      <w:r>
        <w:rPr>
          <w:color w:val="231F20"/>
        </w:rPr>
        <w:t>to</w:t>
      </w:r>
      <w:r>
        <w:rPr>
          <w:color w:val="231F20"/>
          <w:spacing w:val="-10"/>
        </w:rPr>
        <w:t> </w:t>
      </w:r>
      <w:r>
        <w:rPr>
          <w:color w:val="231F20"/>
        </w:rPr>
        <w:t>experience</w:t>
      </w:r>
      <w:r>
        <w:rPr>
          <w:color w:val="231F20"/>
          <w:spacing w:val="-9"/>
        </w:rPr>
        <w:t> </w:t>
      </w:r>
      <w:r>
        <w:rPr>
          <w:color w:val="231F20"/>
        </w:rPr>
        <w:t>disadvantage,</w:t>
      </w:r>
      <w:r>
        <w:rPr>
          <w:color w:val="231F20"/>
          <w:spacing w:val="-10"/>
        </w:rPr>
        <w:t> </w:t>
      </w:r>
      <w:r>
        <w:rPr>
          <w:color w:val="231F20"/>
        </w:rPr>
        <w:t>disrespect</w:t>
      </w:r>
      <w:r>
        <w:rPr>
          <w:color w:val="231F20"/>
          <w:spacing w:val="-10"/>
        </w:rPr>
        <w:t> </w:t>
      </w:r>
      <w:r>
        <w:rPr>
          <w:color w:val="231F20"/>
          <w:spacing w:val="-10"/>
        </w:rPr>
      </w:r>
      <w:r>
        <w:rPr>
          <w:color w:val="231F20"/>
        </w:rPr>
        <w:t>and</w:t>
      </w:r>
      <w:r>
        <w:rPr>
          <w:color w:val="231F20"/>
          <w:spacing w:val="-1"/>
        </w:rPr>
        <w:t> </w:t>
      </w:r>
      <w:r>
        <w:rPr>
          <w:color w:val="231F20"/>
          <w:spacing w:val="-1"/>
        </w:rPr>
        <w:t>  lack</w:t>
      </w:r>
      <w:r>
        <w:rPr>
          <w:color w:val="231F20"/>
          <w:spacing w:val="-5"/>
        </w:rPr>
        <w:t> </w:t>
      </w:r>
      <w:r>
        <w:rPr>
          <w:color w:val="231F20"/>
        </w:rPr>
        <w:t>of</w:t>
      </w:r>
      <w:r>
        <w:rPr>
          <w:color w:val="231F20"/>
          <w:spacing w:val="-4"/>
        </w:rPr>
        <w:t> </w:t>
      </w:r>
      <w:r>
        <w:rPr>
          <w:color w:val="231F20"/>
        </w:rPr>
        <w:t>understanding</w:t>
      </w:r>
      <w:r>
        <w:rPr>
          <w:color w:val="231F20"/>
          <w:spacing w:val="-6"/>
        </w:rPr>
        <w:t> </w:t>
      </w:r>
      <w:r>
        <w:rPr>
          <w:color w:val="231F20"/>
          <w:spacing w:val="-1"/>
        </w:rPr>
        <w:t>in</w:t>
      </w:r>
      <w:r>
        <w:rPr>
          <w:color w:val="231F20"/>
          <w:spacing w:val="-4"/>
        </w:rPr>
        <w:t> </w:t>
      </w:r>
      <w:r>
        <w:rPr>
          <w:color w:val="231F20"/>
        </w:rPr>
        <w:t>their</w:t>
      </w:r>
      <w:r>
        <w:rPr>
          <w:color w:val="231F20"/>
          <w:spacing w:val="-5"/>
        </w:rPr>
        <w:t> </w:t>
      </w:r>
      <w:r>
        <w:rPr>
          <w:color w:val="231F20"/>
        </w:rPr>
        <w:t>daily</w:t>
      </w:r>
      <w:r>
        <w:rPr>
          <w:color w:val="231F20"/>
          <w:spacing w:val="-6"/>
        </w:rPr>
        <w:t> </w:t>
      </w:r>
      <w:r>
        <w:rPr>
          <w:color w:val="231F20"/>
          <w:spacing w:val="-1"/>
        </w:rPr>
        <w:t>lives,</w:t>
      </w:r>
      <w:r>
        <w:rPr>
          <w:color w:val="231F20"/>
          <w:spacing w:val="-1"/>
        </w:rPr>
        <w:t> </w:t>
      </w:r>
      <w:r>
        <w:rPr>
          <w:color w:val="231F20"/>
          <w:spacing w:val="6"/>
        </w:rPr>
        <w:t>    </w:t>
      </w:r>
      <w:r>
        <w:rPr>
          <w:color w:val="231F20"/>
        </w:rPr>
        <w:t>which</w:t>
      </w:r>
      <w:r>
        <w:rPr>
          <w:color w:val="231F20"/>
          <w:spacing w:val="-7"/>
        </w:rPr>
        <w:t> </w:t>
      </w:r>
      <w:r>
        <w:rPr>
          <w:color w:val="231F20"/>
          <w:spacing w:val="-1"/>
        </w:rPr>
        <w:t>must</w:t>
      </w:r>
      <w:r>
        <w:rPr>
          <w:color w:val="231F20"/>
          <w:spacing w:val="-5"/>
        </w:rPr>
        <w:t> </w:t>
      </w:r>
      <w:r>
        <w:rPr>
          <w:color w:val="231F20"/>
        </w:rPr>
        <w:t>be</w:t>
      </w:r>
      <w:r>
        <w:rPr>
          <w:color w:val="231F20"/>
          <w:spacing w:val="-6"/>
        </w:rPr>
        <w:t> </w:t>
      </w:r>
      <w:r>
        <w:rPr>
          <w:color w:val="231F20"/>
        </w:rPr>
        <w:t>addressed</w:t>
      </w:r>
      <w:r>
        <w:rPr>
          <w:color w:val="231F20"/>
          <w:spacing w:val="-6"/>
        </w:rPr>
        <w:t> </w:t>
      </w:r>
      <w:r>
        <w:rPr>
          <w:color w:val="231F20"/>
        </w:rPr>
        <w:t>for</w:t>
      </w:r>
      <w:r>
        <w:rPr>
          <w:color w:val="231F20"/>
          <w:spacing w:val="-6"/>
        </w:rPr>
        <w:t> </w:t>
      </w:r>
      <w:r>
        <w:rPr>
          <w:color w:val="231F20"/>
        </w:rPr>
        <w:t>reconciliation</w:t>
      </w:r>
      <w:r>
        <w:rPr>
          <w:color w:val="231F20"/>
          <w:spacing w:val="-7"/>
        </w:rPr>
        <w:t> </w:t>
      </w:r>
      <w:r>
        <w:rPr>
          <w:color w:val="231F20"/>
        </w:rPr>
        <w:t>to</w:t>
      </w:r>
      <w:r>
        <w:rPr>
          <w:color w:val="231F20"/>
          <w:spacing w:val="21"/>
          <w:w w:val="99"/>
        </w:rPr>
        <w:t> </w:t>
      </w:r>
      <w:r>
        <w:rPr>
          <w:color w:val="231F20"/>
        </w:rPr>
        <w:t>be</w:t>
      </w:r>
      <w:r>
        <w:rPr>
          <w:color w:val="231F20"/>
          <w:spacing w:val="-12"/>
        </w:rPr>
        <w:t> </w:t>
      </w:r>
      <w:r>
        <w:rPr>
          <w:color w:val="231F20"/>
        </w:rPr>
        <w:t>advanced.</w:t>
      </w:r>
      <w:r>
        <w:rPr/>
      </w:r>
    </w:p>
    <w:p>
      <w:pPr>
        <w:pStyle w:val="BodyText"/>
        <w:spacing w:line="250" w:lineRule="exact" w:before="113"/>
        <w:ind w:right="163"/>
        <w:jc w:val="left"/>
      </w:pPr>
      <w:r>
        <w:rPr>
          <w:color w:val="231F20"/>
          <w:spacing w:val="-4"/>
        </w:rPr>
        <w:t>W</w:t>
      </w:r>
      <w:r>
        <w:rPr>
          <w:color w:val="231F20"/>
          <w:spacing w:val="-5"/>
        </w:rPr>
        <w:t>e</w:t>
      </w:r>
      <w:r>
        <w:rPr>
          <w:color w:val="231F20"/>
          <w:spacing w:val="-6"/>
        </w:rPr>
        <w:t> </w:t>
      </w:r>
      <w:r>
        <w:rPr>
          <w:color w:val="231F20"/>
        </w:rPr>
        <w:t>acknowledge</w:t>
      </w:r>
      <w:r>
        <w:rPr>
          <w:color w:val="231F20"/>
          <w:spacing w:val="-7"/>
        </w:rPr>
        <w:t> </w:t>
      </w:r>
      <w:r>
        <w:rPr>
          <w:color w:val="231F20"/>
        </w:rPr>
        <w:t>the</w:t>
      </w:r>
      <w:r>
        <w:rPr>
          <w:color w:val="231F20"/>
          <w:spacing w:val="-7"/>
        </w:rPr>
        <w:t> </w:t>
      </w:r>
      <w:r>
        <w:rPr>
          <w:color w:val="231F20"/>
        </w:rPr>
        <w:t>traditional</w:t>
      </w:r>
      <w:r>
        <w:rPr>
          <w:color w:val="231F20"/>
          <w:spacing w:val="-6"/>
        </w:rPr>
        <w:t> </w:t>
      </w:r>
      <w:r>
        <w:rPr>
          <w:color w:val="231F20"/>
        </w:rPr>
        <w:t>owners</w:t>
      </w:r>
      <w:r>
        <w:rPr>
          <w:color w:val="231F20"/>
          <w:spacing w:val="-6"/>
        </w:rPr>
        <w:t> </w:t>
      </w:r>
      <w:r>
        <w:rPr>
          <w:color w:val="231F20"/>
        </w:rPr>
        <w:t>of</w:t>
      </w:r>
      <w:r>
        <w:rPr>
          <w:color w:val="231F20"/>
          <w:spacing w:val="-6"/>
        </w:rPr>
        <w:t> </w:t>
      </w:r>
      <w:r>
        <w:rPr>
          <w:color w:val="231F20"/>
        </w:rPr>
        <w:t>the</w:t>
      </w:r>
      <w:r>
        <w:rPr>
          <w:color w:val="231F20"/>
          <w:spacing w:val="20"/>
          <w:w w:val="99"/>
        </w:rPr>
        <w:t> </w:t>
      </w:r>
      <w:r>
        <w:rPr>
          <w:color w:val="231F20"/>
        </w:rPr>
        <w:t>country</w:t>
      </w:r>
      <w:r>
        <w:rPr>
          <w:color w:val="231F20"/>
          <w:spacing w:val="-6"/>
        </w:rPr>
        <w:t> </w:t>
      </w:r>
      <w:r>
        <w:rPr>
          <w:color w:val="231F20"/>
        </w:rPr>
        <w:t>on</w:t>
      </w:r>
      <w:r>
        <w:rPr>
          <w:color w:val="231F20"/>
          <w:spacing w:val="-5"/>
        </w:rPr>
        <w:t> </w:t>
      </w:r>
      <w:r>
        <w:rPr>
          <w:color w:val="231F20"/>
        </w:rPr>
        <w:t>which</w:t>
      </w:r>
      <w:r>
        <w:rPr>
          <w:color w:val="231F20"/>
          <w:spacing w:val="-5"/>
        </w:rPr>
        <w:t> </w:t>
      </w:r>
      <w:r>
        <w:rPr>
          <w:color w:val="231F20"/>
        </w:rPr>
        <w:t>the</w:t>
      </w:r>
      <w:r>
        <w:rPr>
          <w:color w:val="231F20"/>
          <w:spacing w:val="-6"/>
        </w:rPr>
        <w:t> </w:t>
      </w:r>
      <w:r>
        <w:rPr>
          <w:color w:val="231F20"/>
        </w:rPr>
        <w:t>boarding</w:t>
      </w:r>
      <w:r>
        <w:rPr>
          <w:color w:val="231F20"/>
          <w:spacing w:val="-6"/>
        </w:rPr>
        <w:t> </w:t>
      </w:r>
      <w:r>
        <w:rPr>
          <w:color w:val="231F20"/>
        </w:rPr>
        <w:t>facilities</w:t>
      </w:r>
      <w:r>
        <w:rPr>
          <w:color w:val="231F20"/>
          <w:spacing w:val="-5"/>
        </w:rPr>
        <w:t> </w:t>
      </w:r>
      <w:r>
        <w:rPr>
          <w:color w:val="231F20"/>
        </w:rPr>
        <w:t>are</w:t>
      </w:r>
      <w:r>
        <w:rPr>
          <w:color w:val="231F20"/>
          <w:w w:val="99"/>
        </w:rPr>
        <w:t> </w:t>
      </w:r>
      <w:r>
        <w:rPr>
          <w:color w:val="231F20"/>
          <w:spacing w:val="-1"/>
        </w:rPr>
        <w:t>located</w:t>
      </w:r>
      <w:r>
        <w:rPr>
          <w:color w:val="231F20"/>
          <w:spacing w:val="-6"/>
        </w:rPr>
        <w:t> </w:t>
      </w:r>
      <w:r>
        <w:rPr>
          <w:color w:val="231F20"/>
        </w:rPr>
        <w:t>and</w:t>
      </w:r>
      <w:r>
        <w:rPr>
          <w:color w:val="231F20"/>
          <w:spacing w:val="-5"/>
        </w:rPr>
        <w:t> </w:t>
      </w:r>
      <w:r>
        <w:rPr>
          <w:color w:val="231F20"/>
        </w:rPr>
        <w:t>pay</w:t>
      </w:r>
      <w:r>
        <w:rPr>
          <w:color w:val="231F20"/>
          <w:spacing w:val="-5"/>
        </w:rPr>
        <w:t> </w:t>
      </w:r>
      <w:r>
        <w:rPr>
          <w:color w:val="231F20"/>
        </w:rPr>
        <w:t>our</w:t>
      </w:r>
      <w:r>
        <w:rPr>
          <w:color w:val="231F20"/>
          <w:spacing w:val="-5"/>
        </w:rPr>
        <w:t> </w:t>
      </w:r>
      <w:r>
        <w:rPr>
          <w:color w:val="231F20"/>
        </w:rPr>
        <w:t>respects</w:t>
      </w:r>
      <w:r>
        <w:rPr>
          <w:color w:val="231F20"/>
          <w:spacing w:val="-6"/>
        </w:rPr>
        <w:t> </w:t>
      </w:r>
      <w:r>
        <w:rPr>
          <w:color w:val="231F20"/>
        </w:rPr>
        <w:t>to</w:t>
      </w:r>
      <w:r>
        <w:rPr>
          <w:color w:val="231F20"/>
          <w:spacing w:val="-5"/>
        </w:rPr>
        <w:t> </w:t>
      </w:r>
      <w:r>
        <w:rPr>
          <w:color w:val="231F20"/>
        </w:rPr>
        <w:t>their</w:t>
      </w:r>
      <w:r>
        <w:rPr>
          <w:color w:val="231F20"/>
          <w:spacing w:val="-6"/>
        </w:rPr>
        <w:t> </w:t>
      </w:r>
      <w:r>
        <w:rPr>
          <w:color w:val="231F20"/>
        </w:rPr>
        <w:t>elders,</w:t>
      </w:r>
      <w:r>
        <w:rPr>
          <w:color w:val="231F20"/>
          <w:spacing w:val="22"/>
          <w:w w:val="99"/>
        </w:rPr>
        <w:t> </w:t>
      </w:r>
      <w:r>
        <w:rPr>
          <w:color w:val="231F20"/>
        </w:rPr>
        <w:t>past</w:t>
      </w:r>
      <w:r>
        <w:rPr>
          <w:color w:val="231F20"/>
          <w:spacing w:val="-9"/>
        </w:rPr>
        <w:t> </w:t>
      </w:r>
      <w:r>
        <w:rPr>
          <w:color w:val="231F20"/>
        </w:rPr>
        <w:t>and</w:t>
      </w:r>
      <w:r>
        <w:rPr>
          <w:color w:val="231F20"/>
          <w:spacing w:val="-8"/>
        </w:rPr>
        <w:t> </w:t>
      </w:r>
      <w:r>
        <w:rPr>
          <w:color w:val="231F20"/>
        </w:rPr>
        <w:t>present.</w:t>
      </w:r>
      <w:r>
        <w:rPr/>
      </w:r>
    </w:p>
    <w:p>
      <w:pPr>
        <w:pStyle w:val="BodyText"/>
        <w:spacing w:line="250" w:lineRule="exact" w:before="62"/>
        <w:ind w:right="163"/>
        <w:jc w:val="left"/>
      </w:pPr>
      <w:r>
        <w:rPr/>
        <w:br w:type="column"/>
      </w:r>
      <w:r>
        <w:rPr>
          <w:color w:val="231F20"/>
        </w:rPr>
        <w:t>This</w:t>
      </w:r>
      <w:r>
        <w:rPr>
          <w:color w:val="231F20"/>
          <w:spacing w:val="-6"/>
        </w:rPr>
        <w:t> </w:t>
      </w:r>
      <w:r>
        <w:rPr>
          <w:color w:val="231F20"/>
        </w:rPr>
        <w:t>report</w:t>
      </w:r>
      <w:r>
        <w:rPr>
          <w:color w:val="231F20"/>
          <w:spacing w:val="-6"/>
        </w:rPr>
        <w:t> </w:t>
      </w:r>
      <w:r>
        <w:rPr>
          <w:color w:val="231F20"/>
        </w:rPr>
        <w:t>has</w:t>
      </w:r>
      <w:r>
        <w:rPr>
          <w:color w:val="231F20"/>
          <w:spacing w:val="-6"/>
        </w:rPr>
        <w:t> </w:t>
      </w:r>
      <w:r>
        <w:rPr>
          <w:color w:val="231F20"/>
        </w:rPr>
        <w:t>considered</w:t>
      </w:r>
      <w:r>
        <w:rPr>
          <w:color w:val="231F20"/>
          <w:spacing w:val="-6"/>
        </w:rPr>
        <w:t> </w:t>
      </w:r>
      <w:r>
        <w:rPr>
          <w:color w:val="231F20"/>
        </w:rPr>
        <w:t>the</w:t>
      </w:r>
      <w:r>
        <w:rPr>
          <w:color w:val="231F20"/>
          <w:spacing w:val="-6"/>
        </w:rPr>
        <w:t> </w:t>
      </w:r>
      <w:r>
        <w:rPr>
          <w:color w:val="231F20"/>
          <w:spacing w:val="-1"/>
        </w:rPr>
        <w:t>importance</w:t>
      </w:r>
      <w:r>
        <w:rPr>
          <w:color w:val="231F20"/>
          <w:spacing w:val="-5"/>
        </w:rPr>
        <w:t> </w:t>
      </w:r>
      <w:r>
        <w:rPr>
          <w:color w:val="231F20"/>
        </w:rPr>
        <w:t>of</w:t>
      </w:r>
      <w:r>
        <w:rPr>
          <w:color w:val="231F20"/>
          <w:spacing w:val="22"/>
          <w:w w:val="99"/>
        </w:rPr>
        <w:t> </w:t>
      </w:r>
      <w:r>
        <w:rPr>
          <w:color w:val="231F20"/>
        </w:rPr>
        <w:t>boarding</w:t>
      </w:r>
      <w:r>
        <w:rPr>
          <w:color w:val="231F20"/>
          <w:spacing w:val="-8"/>
        </w:rPr>
        <w:t> </w:t>
      </w:r>
      <w:r>
        <w:rPr>
          <w:color w:val="231F20"/>
        </w:rPr>
        <w:t>as</w:t>
      </w:r>
      <w:r>
        <w:rPr>
          <w:color w:val="231F20"/>
          <w:spacing w:val="-7"/>
        </w:rPr>
        <w:t> </w:t>
      </w:r>
      <w:r>
        <w:rPr>
          <w:color w:val="231F20"/>
        </w:rPr>
        <w:t>an</w:t>
      </w:r>
      <w:r>
        <w:rPr>
          <w:color w:val="231F20"/>
          <w:spacing w:val="-7"/>
        </w:rPr>
        <w:t> </w:t>
      </w:r>
      <w:r>
        <w:rPr>
          <w:color w:val="231F20"/>
        </w:rPr>
        <w:t>education</w:t>
      </w:r>
      <w:r>
        <w:rPr>
          <w:color w:val="231F20"/>
          <w:spacing w:val="-7"/>
        </w:rPr>
        <w:t> </w:t>
      </w:r>
      <w:r>
        <w:rPr>
          <w:color w:val="231F20"/>
        </w:rPr>
        <w:t>option</w:t>
      </w:r>
      <w:r>
        <w:rPr>
          <w:color w:val="231F20"/>
          <w:spacing w:val="-7"/>
        </w:rPr>
        <w:t> </w:t>
      </w:r>
      <w:r>
        <w:rPr>
          <w:color w:val="231F20"/>
        </w:rPr>
        <w:t>for</w:t>
      </w:r>
      <w:r>
        <w:rPr>
          <w:color w:val="231F20"/>
          <w:spacing w:val="-6"/>
        </w:rPr>
        <w:t> </w:t>
      </w:r>
      <w:r>
        <w:rPr>
          <w:color w:val="231F20"/>
        </w:rPr>
        <w:t>Aboriginal</w:t>
      </w:r>
      <w:r>
        <w:rPr>
          <w:color w:val="231F20"/>
          <w:w w:val="99"/>
        </w:rPr>
        <w:t> </w:t>
      </w:r>
      <w:r>
        <w:rPr>
          <w:color w:val="231F20"/>
        </w:rPr>
        <w:t>and</w:t>
      </w:r>
      <w:r>
        <w:rPr>
          <w:color w:val="231F20"/>
          <w:spacing w:val="-6"/>
        </w:rPr>
        <w:t> </w:t>
      </w:r>
      <w:r>
        <w:rPr>
          <w:color w:val="231F20"/>
          <w:spacing w:val="-5"/>
        </w:rPr>
        <w:t>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4"/>
        </w:rPr>
        <w:t> </w:t>
      </w:r>
      <w:r>
        <w:rPr>
          <w:color w:val="231F20"/>
          <w:spacing w:val="-1"/>
        </w:rPr>
        <w:t>students.</w:t>
      </w:r>
      <w:r>
        <w:rPr>
          <w:color w:val="231F20"/>
          <w:spacing w:val="-4"/>
        </w:rPr>
        <w:t> </w:t>
      </w:r>
      <w:r>
        <w:rPr>
          <w:color w:val="231F20"/>
          <w:spacing w:val="-5"/>
        </w:rPr>
        <w:t>W</w:t>
      </w:r>
      <w:r>
        <w:rPr>
          <w:color w:val="231F20"/>
          <w:spacing w:val="-6"/>
        </w:rPr>
        <w:t>e</w:t>
      </w:r>
      <w:r>
        <w:rPr>
          <w:color w:val="231F20"/>
          <w:spacing w:val="-4"/>
        </w:rPr>
        <w:t> </w:t>
      </w:r>
      <w:r>
        <w:rPr>
          <w:color w:val="231F20"/>
        </w:rPr>
        <w:t>have</w:t>
      </w:r>
      <w:r>
        <w:rPr>
          <w:color w:val="231F20"/>
          <w:spacing w:val="25"/>
          <w:w w:val="99"/>
        </w:rPr>
        <w:t> </w:t>
      </w:r>
      <w:r>
        <w:rPr>
          <w:color w:val="231F20"/>
        </w:rPr>
        <w:t>worked</w:t>
      </w:r>
      <w:r>
        <w:rPr>
          <w:color w:val="231F20"/>
          <w:spacing w:val="-7"/>
        </w:rPr>
        <w:t> </w:t>
      </w:r>
      <w:r>
        <w:rPr>
          <w:color w:val="231F20"/>
        </w:rPr>
        <w:t>with</w:t>
      </w:r>
      <w:r>
        <w:rPr>
          <w:color w:val="231F20"/>
          <w:spacing w:val="-6"/>
        </w:rPr>
        <w:t> </w:t>
      </w:r>
      <w:r>
        <w:rPr>
          <w:color w:val="231F20"/>
        </w:rPr>
        <w:t>and</w:t>
      </w:r>
      <w:r>
        <w:rPr>
          <w:color w:val="231F20"/>
          <w:spacing w:val="-7"/>
        </w:rPr>
        <w:t> </w:t>
      </w:r>
      <w:r>
        <w:rPr>
          <w:color w:val="231F20"/>
          <w:spacing w:val="-1"/>
        </w:rPr>
        <w:t>meaningfully</w:t>
      </w:r>
      <w:r>
        <w:rPr>
          <w:color w:val="231F20"/>
          <w:spacing w:val="-5"/>
        </w:rPr>
        <w:t> </w:t>
      </w:r>
      <w:r>
        <w:rPr>
          <w:color w:val="231F20"/>
        </w:rPr>
        <w:t>consulted</w:t>
      </w:r>
      <w:r>
        <w:rPr>
          <w:color w:val="231F20"/>
          <w:spacing w:val="22"/>
          <w:w w:val="99"/>
        </w:rPr>
        <w:t> </w:t>
      </w:r>
      <w:r>
        <w:rPr>
          <w:color w:val="231F20"/>
        </w:rPr>
        <w:t>Aboriginal</w:t>
      </w:r>
      <w:r>
        <w:rPr>
          <w:color w:val="231F20"/>
          <w:spacing w:val="-7"/>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21"/>
          <w:w w:val="99"/>
        </w:rPr>
        <w:t> </w:t>
      </w:r>
      <w:r>
        <w:rPr>
          <w:color w:val="231F20"/>
        </w:rPr>
        <w:t>providers</w:t>
      </w:r>
      <w:r>
        <w:rPr>
          <w:color w:val="231F20"/>
          <w:spacing w:val="-5"/>
        </w:rPr>
        <w:t> </w:t>
      </w:r>
      <w:r>
        <w:rPr>
          <w:color w:val="231F20"/>
        </w:rPr>
        <w:t>for</w:t>
      </w:r>
      <w:r>
        <w:rPr>
          <w:color w:val="231F20"/>
          <w:spacing w:val="-4"/>
        </w:rPr>
        <w:t> </w:t>
      </w:r>
      <w:r>
        <w:rPr>
          <w:color w:val="231F20"/>
        </w:rPr>
        <w:t>this</w:t>
      </w:r>
      <w:r>
        <w:rPr>
          <w:color w:val="231F20"/>
          <w:spacing w:val="-5"/>
        </w:rPr>
        <w:t> </w:t>
      </w:r>
      <w:r>
        <w:rPr>
          <w:color w:val="231F20"/>
        </w:rPr>
        <w:t>report.</w:t>
      </w:r>
      <w:r>
        <w:rPr>
          <w:color w:val="231F20"/>
          <w:spacing w:val="-5"/>
        </w:rPr>
        <w:t> </w:t>
      </w:r>
      <w:r>
        <w:rPr>
          <w:color w:val="231F20"/>
        </w:rPr>
        <w:t>The</w:t>
      </w:r>
      <w:r>
        <w:rPr>
          <w:color w:val="231F20"/>
          <w:spacing w:val="-4"/>
        </w:rPr>
        <w:t> </w:t>
      </w:r>
      <w:r>
        <w:rPr>
          <w:color w:val="231F20"/>
        </w:rPr>
        <w:t>consultations</w:t>
      </w:r>
      <w:r>
        <w:rPr>
          <w:color w:val="231F20"/>
        </w:rPr>
        <w:t> have</w:t>
      </w:r>
      <w:r>
        <w:rPr>
          <w:color w:val="231F20"/>
          <w:spacing w:val="-6"/>
        </w:rPr>
        <w:t> </w:t>
      </w:r>
      <w:r>
        <w:rPr>
          <w:color w:val="231F20"/>
        </w:rPr>
        <w:t>provided</w:t>
      </w:r>
      <w:r>
        <w:rPr>
          <w:color w:val="231F20"/>
          <w:spacing w:val="-5"/>
        </w:rPr>
        <w:t> </w:t>
      </w:r>
      <w:r>
        <w:rPr>
          <w:color w:val="231F20"/>
        </w:rPr>
        <w:t>an</w:t>
      </w:r>
      <w:r>
        <w:rPr>
          <w:color w:val="231F20"/>
          <w:spacing w:val="-5"/>
        </w:rPr>
        <w:t> </w:t>
      </w:r>
      <w:r>
        <w:rPr>
          <w:color w:val="231F20"/>
          <w:spacing w:val="-1"/>
        </w:rPr>
        <w:t>insight</w:t>
      </w:r>
      <w:r>
        <w:rPr>
          <w:color w:val="231F20"/>
          <w:spacing w:val="-4"/>
        </w:rPr>
        <w:t> </w:t>
      </w:r>
      <w:r>
        <w:rPr>
          <w:color w:val="231F20"/>
          <w:spacing w:val="-1"/>
        </w:rPr>
        <w:t>into</w:t>
      </w:r>
      <w:r>
        <w:rPr>
          <w:color w:val="231F20"/>
          <w:spacing w:val="-4"/>
        </w:rPr>
        <w:t> </w:t>
      </w:r>
      <w:r>
        <w:rPr>
          <w:color w:val="231F20"/>
        </w:rPr>
        <w:t>what</w:t>
      </w:r>
      <w:r>
        <w:rPr>
          <w:color w:val="231F20"/>
          <w:spacing w:val="-5"/>
        </w:rPr>
        <w:t> </w:t>
      </w:r>
      <w:r>
        <w:rPr>
          <w:color w:val="231F20"/>
          <w:spacing w:val="-1"/>
        </w:rPr>
        <w:t>is</w:t>
      </w:r>
      <w:r>
        <w:rPr>
          <w:color w:val="231F20"/>
          <w:spacing w:val="-6"/>
        </w:rPr>
        <w:t> </w:t>
      </w:r>
      <w:r>
        <w:rPr>
          <w:color w:val="231F20"/>
        </w:rPr>
        <w:t>working</w:t>
      </w:r>
      <w:r>
        <w:rPr>
          <w:color w:val="231F20"/>
          <w:spacing w:val="24"/>
          <w:w w:val="99"/>
        </w:rPr>
        <w:t> </w:t>
      </w:r>
      <w:r>
        <w:rPr>
          <w:color w:val="231F20"/>
          <w:spacing w:val="-1"/>
        </w:rPr>
        <w:t>in</w:t>
      </w:r>
      <w:r>
        <w:rPr>
          <w:color w:val="231F20"/>
          <w:spacing w:val="-5"/>
        </w:rPr>
        <w:t> </w:t>
      </w:r>
      <w:r>
        <w:rPr>
          <w:color w:val="231F20"/>
        </w:rPr>
        <w:t>the</w:t>
      </w:r>
      <w:r>
        <w:rPr>
          <w:color w:val="231F20"/>
          <w:spacing w:val="-6"/>
        </w:rPr>
        <w:t> </w:t>
      </w:r>
      <w:r>
        <w:rPr>
          <w:color w:val="231F20"/>
          <w:spacing w:val="-1"/>
        </w:rPr>
        <w:t>sector</w:t>
      </w:r>
      <w:r>
        <w:rPr>
          <w:color w:val="231F20"/>
          <w:spacing w:val="-5"/>
        </w:rPr>
        <w:t> </w:t>
      </w:r>
      <w:r>
        <w:rPr>
          <w:color w:val="231F20"/>
        </w:rPr>
        <w:t>for</w:t>
      </w:r>
      <w:r>
        <w:rPr>
          <w:color w:val="231F20"/>
          <w:spacing w:val="-5"/>
        </w:rPr>
        <w:t> </w:t>
      </w:r>
      <w:r>
        <w:rPr>
          <w:color w:val="231F20"/>
        </w:rPr>
        <w:t>providers,</w:t>
      </w:r>
      <w:r>
        <w:rPr>
          <w:color w:val="231F20"/>
          <w:spacing w:val="-6"/>
        </w:rPr>
        <w:t> </w:t>
      </w:r>
      <w:r>
        <w:rPr>
          <w:color w:val="231F20"/>
        </w:rPr>
        <w:t>parents</w:t>
      </w:r>
      <w:r>
        <w:rPr>
          <w:color w:val="231F20"/>
          <w:spacing w:val="-6"/>
        </w:rPr>
        <w:t> </w:t>
      </w:r>
      <w:r>
        <w:rPr>
          <w:color w:val="231F20"/>
        </w:rPr>
        <w:t>and</w:t>
      </w:r>
      <w:r>
        <w:rPr>
          <w:color w:val="231F20"/>
          <w:spacing w:val="23"/>
          <w:w w:val="99"/>
        </w:rPr>
        <w:t> </w:t>
      </w:r>
      <w:r>
        <w:rPr>
          <w:color w:val="231F20"/>
          <w:spacing w:val="-1"/>
        </w:rPr>
        <w:t>students,</w:t>
      </w:r>
      <w:r>
        <w:rPr>
          <w:color w:val="231F20"/>
          <w:spacing w:val="-5"/>
        </w:rPr>
        <w:t> </w:t>
      </w:r>
      <w:r>
        <w:rPr>
          <w:color w:val="231F20"/>
        </w:rPr>
        <w:t>and</w:t>
      </w:r>
      <w:r>
        <w:rPr>
          <w:color w:val="231F20"/>
          <w:spacing w:val="-6"/>
        </w:rPr>
        <w:t> </w:t>
      </w:r>
      <w:r>
        <w:rPr>
          <w:color w:val="231F20"/>
        </w:rPr>
        <w:t>the</w:t>
      </w:r>
      <w:r>
        <w:rPr>
          <w:color w:val="231F20"/>
          <w:spacing w:val="-6"/>
        </w:rPr>
        <w:t> </w:t>
      </w:r>
      <w:r>
        <w:rPr>
          <w:color w:val="231F20"/>
        </w:rPr>
        <w:t>priority</w:t>
      </w:r>
      <w:r>
        <w:rPr>
          <w:color w:val="231F20"/>
          <w:spacing w:val="-6"/>
        </w:rPr>
        <w:t> </w:t>
      </w:r>
      <w:r>
        <w:rPr>
          <w:color w:val="231F20"/>
        </w:rPr>
        <w:t>areas</w:t>
      </w:r>
      <w:r>
        <w:rPr>
          <w:color w:val="231F20"/>
          <w:spacing w:val="-6"/>
        </w:rPr>
        <w:t> </w:t>
      </w:r>
      <w:r>
        <w:rPr>
          <w:color w:val="231F20"/>
        </w:rPr>
        <w:t>of</w:t>
      </w:r>
      <w:r>
        <w:rPr>
          <w:color w:val="231F20"/>
          <w:spacing w:val="-5"/>
        </w:rPr>
        <w:t> </w:t>
      </w:r>
      <w:r>
        <w:rPr>
          <w:color w:val="231F20"/>
        </w:rPr>
        <w:t>reform</w:t>
      </w:r>
      <w:r>
        <w:rPr>
          <w:color w:val="231F20"/>
          <w:spacing w:val="-6"/>
        </w:rPr>
        <w:t> </w:t>
      </w:r>
      <w:r>
        <w:rPr>
          <w:color w:val="231F20"/>
        </w:rPr>
        <w:t>for</w:t>
      </w:r>
      <w:r>
        <w:rPr>
          <w:color w:val="231F20"/>
          <w:spacing w:val="22"/>
          <w:w w:val="99"/>
        </w:rPr>
        <w:t> </w:t>
      </w:r>
      <w:r>
        <w:rPr>
          <w:rFonts w:ascii="Segoe UI"/>
          <w:color w:val="231F20"/>
        </w:rPr>
        <w:t>the sector. Our findings and recommendations</w:t>
      </w:r>
      <w:r>
        <w:rPr>
          <w:rFonts w:ascii="Segoe UI"/>
          <w:color w:val="231F20"/>
        </w:rPr>
        <w:t> will improve the understanding of the benefits </w:t>
      </w:r>
      <w:r>
        <w:rPr>
          <w:color w:val="231F20"/>
        </w:rPr>
        <w:t>and</w:t>
      </w:r>
      <w:r>
        <w:rPr>
          <w:color w:val="231F20"/>
          <w:spacing w:val="-3"/>
        </w:rPr>
        <w:t> </w:t>
      </w:r>
      <w:r>
        <w:rPr>
          <w:color w:val="231F20"/>
          <w:spacing w:val="-1"/>
        </w:rPr>
        <w:t>impacts </w:t>
      </w:r>
      <w:r>
        <w:rPr>
          <w:color w:val="231F20"/>
        </w:rPr>
        <w:t>of</w:t>
      </w:r>
      <w:r>
        <w:rPr>
          <w:color w:val="231F20"/>
          <w:spacing w:val="-1"/>
        </w:rPr>
        <w:t> </w:t>
      </w:r>
      <w:r>
        <w:rPr>
          <w:color w:val="231F20"/>
        </w:rPr>
        <w:t>the</w:t>
      </w:r>
      <w:r>
        <w:rPr>
          <w:color w:val="231F20"/>
          <w:spacing w:val="-3"/>
        </w:rPr>
        <w:t> </w:t>
      </w:r>
      <w:r>
        <w:rPr>
          <w:color w:val="231F20"/>
        </w:rPr>
        <w:t>existing</w:t>
      </w:r>
      <w:r>
        <w:rPr>
          <w:color w:val="231F20"/>
          <w:spacing w:val="-2"/>
        </w:rPr>
        <w:t> </w:t>
      </w:r>
      <w:r>
        <w:rPr>
          <w:color w:val="231F20"/>
          <w:spacing w:val="-1"/>
        </w:rPr>
        <w:t>investment in</w:t>
      </w:r>
      <w:r>
        <w:rPr>
          <w:color w:val="231F20"/>
          <w:spacing w:val="22"/>
        </w:rPr>
        <w:t> </w:t>
      </w:r>
      <w:r>
        <w:rPr>
          <w:color w:val="231F20"/>
        </w:rPr>
        <w:t>boarding</w:t>
      </w:r>
      <w:r>
        <w:rPr>
          <w:color w:val="231F20"/>
          <w:spacing w:val="-9"/>
        </w:rPr>
        <w:t> </w:t>
      </w:r>
      <w:r>
        <w:rPr>
          <w:color w:val="231F20"/>
        </w:rPr>
        <w:t>and</w:t>
      </w:r>
      <w:r>
        <w:rPr>
          <w:color w:val="231F20"/>
          <w:spacing w:val="-8"/>
        </w:rPr>
        <w:t> </w:t>
      </w:r>
      <w:r>
        <w:rPr>
          <w:color w:val="231F20"/>
        </w:rPr>
        <w:t>enable</w:t>
      </w:r>
      <w:r>
        <w:rPr>
          <w:color w:val="231F20"/>
          <w:spacing w:val="-9"/>
        </w:rPr>
        <w:t> </w:t>
      </w:r>
      <w:r>
        <w:rPr>
          <w:color w:val="231F20"/>
        </w:rPr>
        <w:t>government</w:t>
      </w:r>
      <w:r>
        <w:rPr>
          <w:color w:val="231F20"/>
          <w:spacing w:val="-8"/>
        </w:rPr>
        <w:t> </w:t>
      </w:r>
      <w:r>
        <w:rPr>
          <w:color w:val="231F20"/>
        </w:rPr>
        <w:t>to</w:t>
      </w:r>
      <w:r>
        <w:rPr>
          <w:color w:val="231F20"/>
          <w:spacing w:val="-8"/>
        </w:rPr>
        <w:t> </w:t>
      </w:r>
      <w:r>
        <w:rPr>
          <w:color w:val="231F20"/>
        </w:rPr>
        <w:t>consider</w:t>
      </w:r>
      <w:r>
        <w:rPr>
          <w:color w:val="231F20"/>
          <w:w w:val="99"/>
        </w:rPr>
        <w:t> </w:t>
      </w:r>
      <w:r>
        <w:rPr>
          <w:color w:val="231F20"/>
        </w:rPr>
        <w:t>further</w:t>
      </w:r>
      <w:r>
        <w:rPr>
          <w:color w:val="231F20"/>
          <w:spacing w:val="-5"/>
        </w:rPr>
        <w:t> </w:t>
      </w:r>
      <w:r>
        <w:rPr>
          <w:color w:val="231F20"/>
        </w:rPr>
        <w:t>policy</w:t>
      </w:r>
      <w:r>
        <w:rPr>
          <w:color w:val="231F20"/>
          <w:spacing w:val="-5"/>
        </w:rPr>
        <w:t> </w:t>
      </w:r>
      <w:r>
        <w:rPr>
          <w:color w:val="231F20"/>
        </w:rPr>
        <w:t>and</w:t>
      </w:r>
      <w:r>
        <w:rPr>
          <w:color w:val="231F20"/>
          <w:spacing w:val="-5"/>
        </w:rPr>
        <w:t> </w:t>
      </w:r>
      <w:r>
        <w:rPr>
          <w:color w:val="231F20"/>
        </w:rPr>
        <w:t>funding</w:t>
      </w:r>
      <w:r>
        <w:rPr>
          <w:color w:val="231F20"/>
          <w:spacing w:val="-4"/>
        </w:rPr>
        <w:t> </w:t>
      </w:r>
      <w:r>
        <w:rPr>
          <w:color w:val="231F20"/>
        </w:rPr>
        <w:t>options</w:t>
      </w:r>
      <w:r>
        <w:rPr>
          <w:color w:val="231F20"/>
          <w:spacing w:val="-6"/>
        </w:rPr>
        <w:t> </w:t>
      </w:r>
      <w:r>
        <w:rPr>
          <w:color w:val="231F20"/>
        </w:rPr>
        <w:t>to</w:t>
      </w:r>
      <w:r>
        <w:rPr>
          <w:color w:val="231F20"/>
          <w:spacing w:val="-4"/>
        </w:rPr>
        <w:t> </w:t>
      </w:r>
      <w:r>
        <w:rPr>
          <w:color w:val="231F20"/>
          <w:spacing w:val="-1"/>
        </w:rPr>
        <w:t>improve</w:t>
      </w:r>
      <w:r>
        <w:rPr>
          <w:color w:val="231F20"/>
          <w:spacing w:val="20"/>
          <w:w w:val="99"/>
        </w:rPr>
        <w:t> </w:t>
      </w:r>
      <w:r>
        <w:rPr>
          <w:color w:val="231F20"/>
        </w:rPr>
        <w:t>the</w:t>
      </w:r>
      <w:r>
        <w:rPr>
          <w:color w:val="231F20"/>
          <w:spacing w:val="-7"/>
        </w:rPr>
        <w:t> </w:t>
      </w:r>
      <w:r>
        <w:rPr>
          <w:color w:val="231F20"/>
        </w:rPr>
        <w:t>outcomes</w:t>
      </w:r>
      <w:r>
        <w:rPr>
          <w:color w:val="231F20"/>
          <w:spacing w:val="-6"/>
        </w:rPr>
        <w:t> </w:t>
      </w:r>
      <w:r>
        <w:rPr>
          <w:color w:val="231F20"/>
        </w:rPr>
        <w:t>from</w:t>
      </w:r>
      <w:r>
        <w:rPr>
          <w:color w:val="231F20"/>
          <w:spacing w:val="-5"/>
        </w:rPr>
        <w:t> </w:t>
      </w:r>
      <w:r>
        <w:rPr>
          <w:color w:val="231F20"/>
        </w:rPr>
        <w:t>boarding</w:t>
      </w:r>
      <w:r>
        <w:rPr>
          <w:color w:val="231F20"/>
          <w:spacing w:val="-7"/>
        </w:rPr>
        <w:t> </w:t>
      </w:r>
      <w:r>
        <w:rPr>
          <w:color w:val="231F20"/>
        </w:rPr>
        <w:t>for</w:t>
      </w:r>
      <w:r>
        <w:rPr>
          <w:color w:val="231F20"/>
          <w:spacing w:val="-5"/>
        </w:rPr>
        <w:t> </w:t>
      </w:r>
      <w:r>
        <w:rPr>
          <w:color w:val="231F20"/>
        </w:rPr>
        <w:t>Aboriginal</w:t>
      </w:r>
      <w:r>
        <w:rPr>
          <w:color w:val="231F20"/>
          <w:w w:val="99"/>
        </w:rPr>
        <w:t> </w:t>
      </w:r>
      <w:r>
        <w:rPr>
          <w:color w:val="231F20"/>
        </w:rPr>
        <w:t>and</w:t>
      </w:r>
      <w:r>
        <w:rPr>
          <w:color w:val="231F20"/>
          <w:spacing w:val="-6"/>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5"/>
        </w:rPr>
        <w:t> </w:t>
      </w:r>
      <w:r>
        <w:rPr>
          <w:color w:val="231F20"/>
        </w:rPr>
        <w:t>boarders</w:t>
      </w:r>
      <w:r>
        <w:rPr>
          <w:color w:val="231F20"/>
          <w:spacing w:val="-5"/>
        </w:rPr>
        <w:t> </w:t>
      </w:r>
      <w:r>
        <w:rPr>
          <w:color w:val="231F20"/>
        </w:rPr>
        <w:t>and</w:t>
      </w:r>
      <w:r>
        <w:rPr>
          <w:color w:val="231F20"/>
          <w:spacing w:val="-6"/>
        </w:rPr>
        <w:t> </w:t>
      </w:r>
      <w:r>
        <w:rPr>
          <w:color w:val="231F20"/>
        </w:rPr>
        <w:t>their</w:t>
      </w:r>
      <w:r>
        <w:rPr>
          <w:color w:val="231F20"/>
          <w:spacing w:val="21"/>
          <w:w w:val="99"/>
        </w:rPr>
        <w:t> </w:t>
      </w:r>
      <w:r>
        <w:rPr>
          <w:color w:val="231F20"/>
        </w:rPr>
        <w:t>families</w:t>
      </w:r>
      <w:r>
        <w:rPr>
          <w:color w:val="231F20"/>
          <w:spacing w:val="-3"/>
        </w:rPr>
        <w:t> </w:t>
      </w:r>
      <w:r>
        <w:rPr>
          <w:color w:val="231F20"/>
        </w:rPr>
        <w:t>and</w:t>
      </w:r>
      <w:r>
        <w:rPr>
          <w:color w:val="231F20"/>
          <w:spacing w:val="-3"/>
        </w:rPr>
        <w:t> </w:t>
      </w:r>
      <w:r>
        <w:rPr>
          <w:color w:val="231F20"/>
        </w:rPr>
        <w:t>communities.</w:t>
      </w:r>
      <w:r>
        <w:rPr/>
      </w:r>
    </w:p>
    <w:p>
      <w:pPr>
        <w:spacing w:after="0" w:line="250" w:lineRule="exact"/>
        <w:jc w:val="left"/>
        <w:sectPr>
          <w:type w:val="continuous"/>
          <w:pgSz w:w="11910" w:h="16840"/>
          <w:pgMar w:top="1580" w:bottom="280" w:left="1300" w:right="1600"/>
          <w:cols w:num="2" w:equalWidth="0">
            <w:col w:w="4371" w:space="221"/>
            <w:col w:w="4418"/>
          </w:cols>
        </w:sectPr>
      </w:pPr>
    </w:p>
    <w:p>
      <w:pPr>
        <w:spacing w:line="240" w:lineRule="auto" w:before="0"/>
        <w:rPr>
          <w:rFonts w:ascii="Segoe UI" w:hAnsi="Segoe UI" w:cs="Segoe UI" w:eastAsia="Segoe UI"/>
          <w:sz w:val="20"/>
          <w:szCs w:val="20"/>
        </w:rPr>
      </w:pPr>
    </w:p>
    <w:p>
      <w:pPr>
        <w:spacing w:line="240" w:lineRule="auto" w:before="1"/>
        <w:rPr>
          <w:rFonts w:ascii="Segoe UI" w:hAnsi="Segoe UI" w:cs="Segoe UI" w:eastAsia="Segoe UI"/>
          <w:sz w:val="20"/>
          <w:szCs w:val="20"/>
        </w:rPr>
      </w:pPr>
    </w:p>
    <w:p>
      <w:pPr>
        <w:pStyle w:val="Heading1"/>
        <w:numPr>
          <w:ilvl w:val="0"/>
          <w:numId w:val="6"/>
        </w:numPr>
        <w:tabs>
          <w:tab w:pos="821" w:val="left" w:leader="none"/>
        </w:tabs>
        <w:spacing w:line="567" w:lineRule="exact" w:before="0" w:after="0"/>
        <w:ind w:left="820" w:right="0" w:hanging="720"/>
        <w:jc w:val="left"/>
      </w:pPr>
      <w:bookmarkStart w:name="_TOC_250005" w:id="31"/>
      <w:r>
        <w:rPr>
          <w:color w:val="67973F"/>
          <w:spacing w:val="-1"/>
        </w:rPr>
        <w:t>Glossary</w:t>
      </w:r>
      <w:r>
        <w:rPr>
          <w:color w:val="67973F"/>
          <w:spacing w:val="-14"/>
        </w:rPr>
        <w:t> </w:t>
      </w:r>
      <w:r>
        <w:rPr>
          <w:color w:val="67973F"/>
        </w:rPr>
        <w:t>and</w:t>
      </w:r>
      <w:r>
        <w:rPr>
          <w:color w:val="67973F"/>
          <w:spacing w:val="-13"/>
        </w:rPr>
        <w:t> </w:t>
      </w:r>
      <w:r>
        <w:rPr>
          <w:color w:val="67973F"/>
        </w:rPr>
        <w:t>acronyms</w:t>
      </w:r>
      <w:bookmarkEnd w:id="31"/>
      <w:r>
        <w:rPr/>
      </w:r>
    </w:p>
    <w:p>
      <w:pPr>
        <w:spacing w:line="240" w:lineRule="auto" w:before="0"/>
        <w:rPr>
          <w:rFonts w:ascii="Segoe UI" w:hAnsi="Segoe UI" w:cs="Segoe UI" w:eastAsia="Segoe UI"/>
          <w:sz w:val="20"/>
          <w:szCs w:val="20"/>
        </w:rPr>
      </w:pPr>
    </w:p>
    <w:p>
      <w:pPr>
        <w:spacing w:line="240" w:lineRule="auto" w:before="1"/>
        <w:rPr>
          <w:rFonts w:ascii="Segoe UI" w:hAnsi="Segoe UI" w:cs="Segoe UI" w:eastAsia="Segoe UI"/>
          <w:sz w:val="24"/>
          <w:szCs w:val="24"/>
        </w:rPr>
      </w:pPr>
    </w:p>
    <w:p>
      <w:pPr>
        <w:spacing w:after="0" w:line="240" w:lineRule="auto"/>
        <w:rPr>
          <w:rFonts w:ascii="Segoe UI" w:hAnsi="Segoe UI" w:cs="Segoe UI" w:eastAsia="Segoe UI"/>
          <w:sz w:val="24"/>
          <w:szCs w:val="24"/>
        </w:rPr>
        <w:sectPr>
          <w:pgSz w:w="11910" w:h="16840"/>
          <w:pgMar w:header="0" w:footer="691" w:top="1580" w:bottom="880" w:left="1600" w:right="1300"/>
        </w:sectPr>
      </w:pPr>
    </w:p>
    <w:p>
      <w:pPr>
        <w:spacing w:line="250" w:lineRule="exact" w:before="62"/>
        <w:ind w:left="100" w:right="395" w:firstLine="0"/>
        <w:jc w:val="left"/>
        <w:rPr>
          <w:rFonts w:ascii="Segoe UI" w:hAnsi="Segoe UI" w:cs="Segoe UI" w:eastAsia="Segoe UI"/>
          <w:sz w:val="20"/>
          <w:szCs w:val="20"/>
        </w:rPr>
      </w:pPr>
      <w:r>
        <w:rPr>
          <w:rFonts w:ascii="Segoe UI" w:hAnsi="Segoe UI" w:cs="Segoe UI" w:eastAsia="Segoe UI"/>
          <w:b/>
          <w:bCs/>
          <w:color w:val="231F20"/>
          <w:spacing w:val="-1"/>
          <w:sz w:val="20"/>
          <w:szCs w:val="20"/>
        </w:rPr>
        <w:t>Aboriginal and</w:t>
      </w:r>
      <w:r>
        <w:rPr>
          <w:rFonts w:ascii="Segoe UI" w:hAnsi="Segoe UI" w:cs="Segoe UI" w:eastAsia="Segoe UI"/>
          <w:b/>
          <w:bCs/>
          <w:color w:val="231F20"/>
          <w:sz w:val="20"/>
          <w:szCs w:val="20"/>
        </w:rPr>
        <w:t> </w:t>
      </w:r>
      <w:r>
        <w:rPr>
          <w:rFonts w:ascii="Segoe UI" w:hAnsi="Segoe UI" w:cs="Segoe UI" w:eastAsia="Segoe UI"/>
          <w:b/>
          <w:bCs/>
          <w:color w:val="231F20"/>
          <w:spacing w:val="-5"/>
          <w:sz w:val="20"/>
          <w:szCs w:val="20"/>
        </w:rPr>
        <w:t>T</w:t>
      </w:r>
      <w:r>
        <w:rPr>
          <w:rFonts w:ascii="Segoe UI" w:hAnsi="Segoe UI" w:cs="Segoe UI" w:eastAsia="Segoe UI"/>
          <w:b/>
          <w:bCs/>
          <w:color w:val="231F20"/>
          <w:spacing w:val="-4"/>
          <w:sz w:val="20"/>
          <w:szCs w:val="20"/>
        </w:rPr>
        <w:t>orr</w:t>
      </w:r>
      <w:r>
        <w:rPr>
          <w:rFonts w:ascii="Segoe UI" w:hAnsi="Segoe UI" w:cs="Segoe UI" w:eastAsia="Segoe UI"/>
          <w:b/>
          <w:bCs/>
          <w:color w:val="231F20"/>
          <w:spacing w:val="-5"/>
          <w:sz w:val="20"/>
          <w:szCs w:val="20"/>
        </w:rPr>
        <w:t>es</w:t>
      </w:r>
      <w:r>
        <w:rPr>
          <w:rFonts w:ascii="Segoe UI" w:hAnsi="Segoe UI" w:cs="Segoe UI" w:eastAsia="Segoe UI"/>
          <w:b/>
          <w:bCs/>
          <w:color w:val="231F20"/>
          <w:sz w:val="20"/>
          <w:szCs w:val="20"/>
        </w:rPr>
        <w:t> </w:t>
      </w:r>
      <w:r>
        <w:rPr>
          <w:rFonts w:ascii="Segoe UI" w:hAnsi="Segoe UI" w:cs="Segoe UI" w:eastAsia="Segoe UI"/>
          <w:b/>
          <w:bCs/>
          <w:color w:val="231F20"/>
          <w:spacing w:val="-2"/>
          <w:sz w:val="20"/>
          <w:szCs w:val="20"/>
        </w:rPr>
        <w:t>Strait</w:t>
      </w:r>
      <w:r>
        <w:rPr>
          <w:rFonts w:ascii="Segoe UI" w:hAnsi="Segoe UI" w:cs="Segoe UI" w:eastAsia="Segoe UI"/>
          <w:b/>
          <w:bCs/>
          <w:color w:val="231F20"/>
          <w:spacing w:val="-1"/>
          <w:sz w:val="20"/>
          <w:szCs w:val="20"/>
        </w:rPr>
        <w:t> </w:t>
      </w:r>
      <w:r>
        <w:rPr>
          <w:rFonts w:ascii="Segoe UI" w:hAnsi="Segoe UI" w:cs="Segoe UI" w:eastAsia="Segoe UI"/>
          <w:b/>
          <w:bCs/>
          <w:color w:val="231F20"/>
          <w:sz w:val="20"/>
          <w:szCs w:val="20"/>
        </w:rPr>
        <w:t>Islander</w:t>
      </w:r>
      <w:r>
        <w:rPr>
          <w:rFonts w:ascii="Segoe UI" w:hAnsi="Segoe UI" w:cs="Segoe UI" w:eastAsia="Segoe UI"/>
          <w:b/>
          <w:bCs/>
          <w:color w:val="231F20"/>
          <w:spacing w:val="30"/>
          <w:sz w:val="20"/>
          <w:szCs w:val="20"/>
        </w:rPr>
        <w:t> </w:t>
      </w:r>
      <w:r>
        <w:rPr>
          <w:rFonts w:ascii="Segoe UI" w:hAnsi="Segoe UI" w:cs="Segoe UI" w:eastAsia="Segoe UI"/>
          <w:b/>
          <w:bCs/>
          <w:color w:val="231F20"/>
          <w:spacing w:val="-1"/>
          <w:sz w:val="20"/>
          <w:szCs w:val="20"/>
        </w:rPr>
        <w:t>boarding</w:t>
      </w:r>
      <w:r>
        <w:rPr>
          <w:rFonts w:ascii="Segoe UI" w:hAnsi="Segoe UI" w:cs="Segoe UI" w:eastAsia="Segoe UI"/>
          <w:b/>
          <w:bCs/>
          <w:color w:val="231F20"/>
          <w:spacing w:val="-5"/>
          <w:sz w:val="20"/>
          <w:szCs w:val="20"/>
        </w:rPr>
        <w:t> </w:t>
      </w:r>
      <w:r>
        <w:rPr>
          <w:rFonts w:ascii="Segoe UI" w:hAnsi="Segoe UI" w:cs="Segoe UI" w:eastAsia="Segoe UI"/>
          <w:b/>
          <w:bCs/>
          <w:color w:val="231F20"/>
          <w:spacing w:val="-1"/>
          <w:sz w:val="20"/>
          <w:szCs w:val="20"/>
        </w:rPr>
        <w:t>providers</w:t>
      </w:r>
      <w:r>
        <w:rPr>
          <w:rFonts w:ascii="Segoe UI" w:hAnsi="Segoe UI" w:cs="Segoe UI" w:eastAsia="Segoe UI"/>
          <w:color w:val="231F20"/>
          <w:spacing w:val="-1"/>
          <w:sz w:val="20"/>
          <w:szCs w:val="20"/>
        </w:rPr>
        <w:t>—the</w:t>
      </w:r>
      <w:r>
        <w:rPr>
          <w:rFonts w:ascii="Segoe UI" w:hAnsi="Segoe UI" w:cs="Segoe UI" w:eastAsia="Segoe UI"/>
          <w:color w:val="231F20"/>
          <w:spacing w:val="-5"/>
          <w:sz w:val="20"/>
          <w:szCs w:val="20"/>
        </w:rPr>
        <w:t> </w:t>
      </w:r>
      <w:r>
        <w:rPr>
          <w:rFonts w:ascii="Segoe UI" w:hAnsi="Segoe UI" w:cs="Segoe UI" w:eastAsia="Segoe UI"/>
          <w:color w:val="231F20"/>
          <w:spacing w:val="-1"/>
          <w:sz w:val="20"/>
          <w:szCs w:val="20"/>
        </w:rPr>
        <w:t>27</w:t>
      </w:r>
      <w:r>
        <w:rPr>
          <w:rFonts w:ascii="Segoe UI" w:hAnsi="Segoe UI" w:cs="Segoe UI" w:eastAsia="Segoe UI"/>
          <w:color w:val="231F20"/>
          <w:spacing w:val="-5"/>
          <w:sz w:val="20"/>
          <w:szCs w:val="20"/>
        </w:rPr>
        <w:t> </w:t>
      </w:r>
      <w:r>
        <w:rPr>
          <w:rFonts w:ascii="Segoe UI" w:hAnsi="Segoe UI" w:cs="Segoe UI" w:eastAsia="Segoe UI"/>
          <w:color w:val="231F20"/>
          <w:sz w:val="20"/>
          <w:szCs w:val="20"/>
        </w:rPr>
        <w:t>Aboriginal</w:t>
      </w:r>
      <w:r>
        <w:rPr>
          <w:rFonts w:ascii="Segoe UI" w:hAnsi="Segoe UI" w:cs="Segoe UI" w:eastAsia="Segoe UI"/>
          <w:color w:val="231F20"/>
          <w:spacing w:val="30"/>
          <w:w w:val="99"/>
          <w:sz w:val="20"/>
          <w:szCs w:val="20"/>
        </w:rPr>
        <w:t> </w:t>
      </w:r>
      <w:r>
        <w:rPr>
          <w:rFonts w:ascii="Segoe UI" w:hAnsi="Segoe UI" w:cs="Segoe UI" w:eastAsia="Segoe UI"/>
          <w:color w:val="231F20"/>
          <w:sz w:val="20"/>
          <w:szCs w:val="20"/>
        </w:rPr>
        <w:t>and</w:t>
      </w:r>
      <w:r>
        <w:rPr>
          <w:rFonts w:ascii="Segoe UI" w:hAnsi="Segoe UI" w:cs="Segoe UI" w:eastAsia="Segoe UI"/>
          <w:color w:val="231F20"/>
          <w:spacing w:val="-7"/>
          <w:sz w:val="20"/>
          <w:szCs w:val="20"/>
        </w:rPr>
        <w:t> </w:t>
      </w:r>
      <w:r>
        <w:rPr>
          <w:rFonts w:ascii="Segoe UI" w:hAnsi="Segoe UI" w:cs="Segoe UI" w:eastAsia="Segoe UI"/>
          <w:color w:val="231F20"/>
          <w:spacing w:val="-5"/>
          <w:sz w:val="20"/>
          <w:szCs w:val="20"/>
        </w:rPr>
        <w:t>Torres </w:t>
      </w:r>
      <w:r>
        <w:rPr>
          <w:rFonts w:ascii="Segoe UI" w:hAnsi="Segoe UI" w:cs="Segoe UI" w:eastAsia="Segoe UI"/>
          <w:color w:val="231F20"/>
          <w:spacing w:val="-2"/>
          <w:sz w:val="20"/>
          <w:szCs w:val="20"/>
        </w:rPr>
        <w:t>Strait</w:t>
      </w:r>
      <w:r>
        <w:rPr>
          <w:rFonts w:ascii="Segoe UI" w:hAnsi="Segoe UI" w:cs="Segoe UI" w:eastAsia="Segoe UI"/>
          <w:color w:val="231F20"/>
          <w:spacing w:val="-6"/>
          <w:sz w:val="20"/>
          <w:szCs w:val="20"/>
        </w:rPr>
        <w:t> </w:t>
      </w:r>
      <w:r>
        <w:rPr>
          <w:rFonts w:ascii="Segoe UI" w:hAnsi="Segoe UI" w:cs="Segoe UI" w:eastAsia="Segoe UI"/>
          <w:color w:val="231F20"/>
          <w:spacing w:val="-1"/>
          <w:sz w:val="20"/>
          <w:szCs w:val="20"/>
        </w:rPr>
        <w:t>Islander</w:t>
      </w:r>
      <w:r>
        <w:rPr>
          <w:rFonts w:ascii="Segoe UI" w:hAnsi="Segoe UI" w:cs="Segoe UI" w:eastAsia="Segoe UI"/>
          <w:color w:val="231F20"/>
          <w:spacing w:val="-6"/>
          <w:sz w:val="20"/>
          <w:szCs w:val="20"/>
        </w:rPr>
        <w:t> </w:t>
      </w:r>
      <w:r>
        <w:rPr>
          <w:rFonts w:ascii="Segoe UI" w:hAnsi="Segoe UI" w:cs="Segoe UI" w:eastAsia="Segoe UI"/>
          <w:color w:val="231F20"/>
          <w:sz w:val="20"/>
          <w:szCs w:val="20"/>
        </w:rPr>
        <w:t>boarding</w:t>
      </w:r>
      <w:r>
        <w:rPr>
          <w:rFonts w:ascii="Segoe UI" w:hAnsi="Segoe UI" w:cs="Segoe UI" w:eastAsia="Segoe UI"/>
          <w:color w:val="231F20"/>
          <w:spacing w:val="21"/>
          <w:w w:val="99"/>
          <w:sz w:val="20"/>
          <w:szCs w:val="20"/>
        </w:rPr>
        <w:t> </w:t>
      </w:r>
      <w:r>
        <w:rPr>
          <w:rFonts w:ascii="Segoe UI" w:hAnsi="Segoe UI" w:cs="Segoe UI" w:eastAsia="Segoe UI"/>
          <w:color w:val="231F20"/>
          <w:sz w:val="20"/>
          <w:szCs w:val="20"/>
        </w:rPr>
        <w:t>providers</w:t>
      </w:r>
      <w:r>
        <w:rPr>
          <w:rFonts w:ascii="Segoe UI" w:hAnsi="Segoe UI" w:cs="Segoe UI" w:eastAsia="Segoe UI"/>
          <w:color w:val="231F20"/>
          <w:spacing w:val="-7"/>
          <w:sz w:val="20"/>
          <w:szCs w:val="20"/>
        </w:rPr>
        <w:t> </w:t>
      </w:r>
      <w:r>
        <w:rPr>
          <w:rFonts w:ascii="Segoe UI" w:hAnsi="Segoe UI" w:cs="Segoe UI" w:eastAsia="Segoe UI"/>
          <w:color w:val="231F20"/>
          <w:sz w:val="20"/>
          <w:szCs w:val="20"/>
        </w:rPr>
        <w:t>analysed</w:t>
      </w:r>
      <w:r>
        <w:rPr>
          <w:rFonts w:ascii="Segoe UI" w:hAnsi="Segoe UI" w:cs="Segoe UI" w:eastAsia="Segoe UI"/>
          <w:color w:val="231F20"/>
          <w:spacing w:val="-6"/>
          <w:sz w:val="20"/>
          <w:szCs w:val="20"/>
        </w:rPr>
        <w:t> </w:t>
      </w:r>
      <w:r>
        <w:rPr>
          <w:rFonts w:ascii="Segoe UI" w:hAnsi="Segoe UI" w:cs="Segoe UI" w:eastAsia="Segoe UI"/>
          <w:color w:val="231F20"/>
          <w:sz w:val="20"/>
          <w:szCs w:val="20"/>
        </w:rPr>
        <w:t>for</w:t>
      </w:r>
      <w:r>
        <w:rPr>
          <w:rFonts w:ascii="Segoe UI" w:hAnsi="Segoe UI" w:cs="Segoe UI" w:eastAsia="Segoe UI"/>
          <w:color w:val="231F20"/>
          <w:spacing w:val="-5"/>
          <w:sz w:val="20"/>
          <w:szCs w:val="20"/>
        </w:rPr>
        <w:t> </w:t>
      </w:r>
      <w:r>
        <w:rPr>
          <w:rFonts w:ascii="Segoe UI" w:hAnsi="Segoe UI" w:cs="Segoe UI" w:eastAsia="Segoe UI"/>
          <w:color w:val="231F20"/>
          <w:sz w:val="20"/>
          <w:szCs w:val="20"/>
        </w:rPr>
        <w:t>this</w:t>
      </w:r>
      <w:r>
        <w:rPr>
          <w:rFonts w:ascii="Segoe UI" w:hAnsi="Segoe UI" w:cs="Segoe UI" w:eastAsia="Segoe UI"/>
          <w:color w:val="231F20"/>
          <w:spacing w:val="-6"/>
          <w:sz w:val="20"/>
          <w:szCs w:val="20"/>
        </w:rPr>
        <w:t> </w:t>
      </w:r>
      <w:r>
        <w:rPr>
          <w:rFonts w:ascii="Segoe UI" w:hAnsi="Segoe UI" w:cs="Segoe UI" w:eastAsia="Segoe UI"/>
          <w:color w:val="231F20"/>
          <w:sz w:val="20"/>
          <w:szCs w:val="20"/>
        </w:rPr>
        <w:t>report.</w:t>
      </w:r>
      <w:r>
        <w:rPr>
          <w:rFonts w:ascii="Segoe UI" w:hAnsi="Segoe UI" w:cs="Segoe UI" w:eastAsia="Segoe UI"/>
          <w:color w:val="231F20"/>
          <w:spacing w:val="-7"/>
          <w:sz w:val="20"/>
          <w:szCs w:val="20"/>
        </w:rPr>
        <w:t> </w:t>
      </w:r>
      <w:r>
        <w:rPr>
          <w:rFonts w:ascii="Segoe UI" w:hAnsi="Segoe UI" w:cs="Segoe UI" w:eastAsia="Segoe UI"/>
          <w:color w:val="231F20"/>
          <w:sz w:val="20"/>
          <w:szCs w:val="20"/>
        </w:rPr>
        <w:t>They</w:t>
      </w:r>
      <w:r>
        <w:rPr>
          <w:rFonts w:ascii="Segoe UI" w:hAnsi="Segoe UI" w:cs="Segoe UI" w:eastAsia="Segoe UI"/>
          <w:color w:val="231F20"/>
          <w:spacing w:val="-6"/>
          <w:sz w:val="20"/>
          <w:szCs w:val="20"/>
        </w:rPr>
        <w:t> </w:t>
      </w:r>
      <w:r>
        <w:rPr>
          <w:rFonts w:ascii="Segoe UI" w:hAnsi="Segoe UI" w:cs="Segoe UI" w:eastAsia="Segoe UI"/>
          <w:color w:val="231F20"/>
          <w:sz w:val="20"/>
          <w:szCs w:val="20"/>
        </w:rPr>
        <w:t>are</w:t>
      </w:r>
      <w:r>
        <w:rPr>
          <w:rFonts w:ascii="Segoe UI" w:hAnsi="Segoe UI" w:cs="Segoe UI" w:eastAsia="Segoe UI"/>
          <w:sz w:val="20"/>
          <w:szCs w:val="20"/>
        </w:rPr>
      </w:r>
    </w:p>
    <w:p>
      <w:pPr>
        <w:pStyle w:val="BodyText"/>
        <w:spacing w:line="250" w:lineRule="exact"/>
        <w:ind w:left="100" w:right="156"/>
        <w:jc w:val="left"/>
      </w:pPr>
      <w:r>
        <w:rPr>
          <w:color w:val="231F20"/>
        </w:rPr>
        <w:t>predominately</w:t>
      </w:r>
      <w:r>
        <w:rPr>
          <w:color w:val="231F20"/>
          <w:spacing w:val="-10"/>
        </w:rPr>
        <w:t> </w:t>
      </w:r>
      <w:r>
        <w:rPr>
          <w:color w:val="231F20"/>
        </w:rPr>
        <w:t>funded</w:t>
      </w:r>
      <w:r>
        <w:rPr>
          <w:color w:val="231F20"/>
          <w:spacing w:val="-9"/>
        </w:rPr>
        <w:t> </w:t>
      </w:r>
      <w:r>
        <w:rPr>
          <w:color w:val="231F20"/>
        </w:rPr>
        <w:t>as</w:t>
      </w:r>
      <w:r>
        <w:rPr>
          <w:color w:val="231F20"/>
          <w:spacing w:val="-10"/>
        </w:rPr>
        <w:t> </w:t>
      </w:r>
      <w:r>
        <w:rPr>
          <w:color w:val="231F20"/>
        </w:rPr>
        <w:t>Majority</w:t>
      </w:r>
      <w:r>
        <w:rPr>
          <w:color w:val="231F20"/>
          <w:spacing w:val="-10"/>
        </w:rPr>
        <w:t> </w:t>
      </w:r>
      <w:r>
        <w:rPr>
          <w:color w:val="231F20"/>
        </w:rPr>
        <w:t>Aboriginal</w:t>
      </w:r>
      <w:r>
        <w:rPr>
          <w:color w:val="231F20"/>
          <w:w w:val="99"/>
        </w:rPr>
        <w:t> </w:t>
      </w:r>
      <w:r>
        <w:rPr>
          <w:color w:val="231F20"/>
        </w:rPr>
        <w:t>and</w:t>
      </w:r>
      <w:r>
        <w:rPr>
          <w:color w:val="231F20"/>
          <w:spacing w:val="-5"/>
        </w:rPr>
        <w:t> Torres</w:t>
      </w:r>
      <w:r>
        <w:rPr>
          <w:color w:val="231F20"/>
          <w:spacing w:val="-3"/>
        </w:rPr>
        <w:t> </w:t>
      </w:r>
      <w:r>
        <w:rPr>
          <w:color w:val="231F20"/>
          <w:spacing w:val="-2"/>
        </w:rPr>
        <w:t>Strait</w:t>
      </w:r>
      <w:r>
        <w:rPr>
          <w:color w:val="231F20"/>
          <w:spacing w:val="-4"/>
        </w:rPr>
        <w:t> </w:t>
      </w:r>
      <w:r>
        <w:rPr>
          <w:color w:val="231F20"/>
          <w:spacing w:val="-1"/>
        </w:rPr>
        <w:t>Islander</w:t>
      </w:r>
      <w:r>
        <w:rPr>
          <w:color w:val="231F20"/>
          <w:spacing w:val="-3"/>
        </w:rPr>
        <w:t> </w:t>
      </w:r>
      <w:r>
        <w:rPr>
          <w:color w:val="231F20"/>
          <w:spacing w:val="-1"/>
        </w:rPr>
        <w:t>Schools</w:t>
      </w:r>
      <w:r>
        <w:rPr>
          <w:color w:val="231F20"/>
          <w:spacing w:val="-3"/>
        </w:rPr>
        <w:t> </w:t>
      </w:r>
      <w:r>
        <w:rPr>
          <w:color w:val="231F20"/>
        </w:rPr>
        <w:t>by</w:t>
      </w:r>
      <w:r>
        <w:rPr>
          <w:color w:val="231F20"/>
          <w:spacing w:val="-3"/>
        </w:rPr>
        <w:t> </w:t>
      </w:r>
      <w:r>
        <w:rPr>
          <w:color w:val="231F20"/>
          <w:spacing w:val="-1"/>
        </w:rPr>
        <w:t>DET</w:t>
      </w:r>
      <w:r>
        <w:rPr/>
      </w:r>
    </w:p>
    <w:p>
      <w:pPr>
        <w:pStyle w:val="BodyText"/>
        <w:spacing w:line="250" w:lineRule="exact" w:before="113"/>
        <w:ind w:left="100" w:right="156"/>
        <w:jc w:val="left"/>
      </w:pPr>
      <w:r>
        <w:rPr>
          <w:rFonts w:ascii="Segoe UI" w:hAnsi="Segoe UI" w:cs="Segoe UI" w:eastAsia="Segoe UI"/>
          <w:b/>
          <w:bCs/>
          <w:color w:val="231F20"/>
          <w:spacing w:val="-1"/>
        </w:rPr>
        <w:t>ABS</w:t>
      </w:r>
      <w:r>
        <w:rPr>
          <w:color w:val="231F20"/>
          <w:spacing w:val="-1"/>
        </w:rPr>
        <w:t>—Australian</w:t>
      </w:r>
      <w:r>
        <w:rPr>
          <w:color w:val="231F20"/>
          <w:spacing w:val="-8"/>
        </w:rPr>
        <w:t> </w:t>
      </w:r>
      <w:r>
        <w:rPr>
          <w:color w:val="231F20"/>
          <w:spacing w:val="-1"/>
        </w:rPr>
        <w:t>Bureau</w:t>
      </w:r>
      <w:r>
        <w:rPr>
          <w:color w:val="231F20"/>
          <w:spacing w:val="-8"/>
        </w:rPr>
        <w:t> </w:t>
      </w:r>
      <w:r>
        <w:rPr>
          <w:color w:val="231F20"/>
        </w:rPr>
        <w:t>of</w:t>
      </w:r>
      <w:r>
        <w:rPr>
          <w:color w:val="231F20"/>
          <w:spacing w:val="-7"/>
        </w:rPr>
        <w:t> </w:t>
      </w:r>
      <w:r>
        <w:rPr>
          <w:color w:val="231F20"/>
          <w:spacing w:val="-1"/>
        </w:rPr>
        <w:t>Statistics,</w:t>
      </w:r>
      <w:r>
        <w:rPr>
          <w:color w:val="231F20"/>
          <w:spacing w:val="35"/>
        </w:rPr>
        <w:t> </w:t>
      </w:r>
      <w:hyperlink r:id="rId92">
        <w:r>
          <w:rPr>
            <w:color w:val="231F20"/>
          </w:rPr>
          <w:t>www.abs.gov.au</w:t>
        </w:r>
        <w:r>
          <w:rPr/>
        </w:r>
      </w:hyperlink>
    </w:p>
    <w:p>
      <w:pPr>
        <w:pStyle w:val="BodyText"/>
        <w:spacing w:line="250" w:lineRule="exact" w:before="113"/>
        <w:ind w:left="100" w:right="248"/>
        <w:jc w:val="left"/>
      </w:pPr>
      <w:r>
        <w:rPr>
          <w:rFonts w:ascii="Segoe UI" w:hAnsi="Segoe UI" w:cs="Segoe UI" w:eastAsia="Segoe UI"/>
          <w:b/>
          <w:bCs/>
          <w:color w:val="231F20"/>
          <w:spacing w:val="-1"/>
        </w:rPr>
        <w:t>ABSTUDY</w:t>
      </w:r>
      <w:r>
        <w:rPr>
          <w:color w:val="231F20"/>
          <w:spacing w:val="-1"/>
        </w:rPr>
        <w:t>—a</w:t>
      </w:r>
      <w:r>
        <w:rPr>
          <w:color w:val="231F20"/>
          <w:spacing w:val="-6"/>
        </w:rPr>
        <w:t> </w:t>
      </w:r>
      <w:r>
        <w:rPr>
          <w:color w:val="231F20"/>
        </w:rPr>
        <w:t>group</w:t>
      </w:r>
      <w:r>
        <w:rPr>
          <w:color w:val="231F20"/>
          <w:spacing w:val="-6"/>
        </w:rPr>
        <w:t> </w:t>
      </w:r>
      <w:r>
        <w:rPr>
          <w:color w:val="231F20"/>
        </w:rPr>
        <w:t>of</w:t>
      </w:r>
      <w:r>
        <w:rPr>
          <w:color w:val="231F20"/>
          <w:spacing w:val="-5"/>
        </w:rPr>
        <w:t> </w:t>
      </w:r>
      <w:r>
        <w:rPr>
          <w:color w:val="231F20"/>
        </w:rPr>
        <w:t>payments</w:t>
      </w:r>
      <w:r>
        <w:rPr>
          <w:color w:val="231F20"/>
          <w:spacing w:val="-7"/>
        </w:rPr>
        <w:t> </w:t>
      </w:r>
      <w:r>
        <w:rPr>
          <w:color w:val="231F20"/>
        </w:rPr>
        <w:t>for</w:t>
      </w:r>
      <w:r>
        <w:rPr>
          <w:color w:val="231F20"/>
          <w:spacing w:val="24"/>
          <w:w w:val="99"/>
        </w:rPr>
        <w:t> </w:t>
      </w:r>
      <w:r>
        <w:rPr>
          <w:color w:val="231F20"/>
        </w:rPr>
        <w:t>Aboriginal</w:t>
      </w:r>
      <w:r>
        <w:rPr>
          <w:color w:val="231F20"/>
          <w:spacing w:val="-5"/>
        </w:rPr>
        <w:t> </w:t>
      </w:r>
      <w:r>
        <w:rPr>
          <w:color w:val="231F20"/>
        </w:rPr>
        <w:t>or</w:t>
      </w:r>
      <w:r>
        <w:rPr>
          <w:color w:val="231F20"/>
          <w:spacing w:val="-4"/>
        </w:rPr>
        <w:t> </w:t>
      </w:r>
      <w:r>
        <w:rPr>
          <w:color w:val="231F20"/>
          <w:spacing w:val="-5"/>
        </w:rPr>
        <w:t>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4"/>
        </w:rPr>
        <w:t> </w:t>
      </w:r>
      <w:r>
        <w:rPr>
          <w:color w:val="231F20"/>
          <w:spacing w:val="-1"/>
        </w:rPr>
        <w:t>students</w:t>
      </w:r>
      <w:r>
        <w:rPr>
          <w:color w:val="231F20"/>
          <w:spacing w:val="20"/>
        </w:rPr>
        <w:t> </w:t>
      </w:r>
      <w:r>
        <w:rPr>
          <w:color w:val="231F20"/>
        </w:rPr>
        <w:t>or</w:t>
      </w:r>
      <w:r>
        <w:rPr>
          <w:color w:val="231F20"/>
          <w:spacing w:val="-7"/>
        </w:rPr>
        <w:t> </w:t>
      </w:r>
      <w:r>
        <w:rPr>
          <w:color w:val="231F20"/>
        </w:rPr>
        <w:t>apprentices,</w:t>
      </w:r>
      <w:r>
        <w:rPr>
          <w:color w:val="231F20"/>
          <w:spacing w:val="-7"/>
        </w:rPr>
        <w:t> </w:t>
      </w:r>
      <w:r>
        <w:rPr>
          <w:color w:val="231F20"/>
          <w:spacing w:val="-1"/>
        </w:rPr>
        <w:t>including</w:t>
      </w:r>
      <w:r>
        <w:rPr>
          <w:color w:val="231F20"/>
          <w:spacing w:val="-6"/>
        </w:rPr>
        <w:t> </w:t>
      </w:r>
      <w:r>
        <w:rPr>
          <w:color w:val="231F20"/>
        </w:rPr>
        <w:t>payments</w:t>
      </w:r>
      <w:r>
        <w:rPr>
          <w:color w:val="231F20"/>
          <w:spacing w:val="-7"/>
        </w:rPr>
        <w:t> </w:t>
      </w:r>
      <w:r>
        <w:rPr>
          <w:color w:val="231F20"/>
        </w:rPr>
        <w:t>to</w:t>
      </w:r>
      <w:r>
        <w:rPr>
          <w:color w:val="231F20"/>
          <w:spacing w:val="-7"/>
        </w:rPr>
        <w:t> </w:t>
      </w:r>
      <w:r>
        <w:rPr>
          <w:color w:val="231F20"/>
        </w:rPr>
        <w:t>assist</w:t>
      </w:r>
      <w:r>
        <w:rPr>
          <w:color w:val="231F20"/>
          <w:spacing w:val="22"/>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5"/>
        </w:rPr>
        <w:t> </w:t>
      </w:r>
      <w:r>
        <w:rPr>
          <w:color w:val="231F20"/>
          <w:spacing w:val="-1"/>
        </w:rPr>
        <w:t>Islander</w:t>
      </w:r>
      <w:r>
        <w:rPr>
          <w:color w:val="231F20"/>
          <w:spacing w:val="-5"/>
        </w:rPr>
        <w:t> </w:t>
      </w:r>
      <w:r>
        <w:rPr>
          <w:color w:val="231F20"/>
          <w:spacing w:val="-1"/>
        </w:rPr>
        <w:t>students</w:t>
      </w:r>
      <w:r>
        <w:rPr>
          <w:color w:val="231F20"/>
          <w:spacing w:val="20"/>
        </w:rPr>
        <w:t> </w:t>
      </w:r>
      <w:r>
        <w:rPr>
          <w:color w:val="231F20"/>
        </w:rPr>
        <w:t>to</w:t>
      </w:r>
      <w:r>
        <w:rPr>
          <w:color w:val="231F20"/>
          <w:spacing w:val="-6"/>
        </w:rPr>
        <w:t> </w:t>
      </w:r>
      <w:r>
        <w:rPr>
          <w:color w:val="231F20"/>
        </w:rPr>
        <w:t>attend</w:t>
      </w:r>
      <w:r>
        <w:rPr>
          <w:color w:val="231F20"/>
          <w:spacing w:val="-6"/>
        </w:rPr>
        <w:t> </w:t>
      </w:r>
      <w:r>
        <w:rPr>
          <w:color w:val="231F20"/>
        </w:rPr>
        <w:t>boarding</w:t>
      </w:r>
      <w:r>
        <w:rPr>
          <w:color w:val="231F20"/>
          <w:spacing w:val="-6"/>
        </w:rPr>
        <w:t> </w:t>
      </w:r>
      <w:r>
        <w:rPr>
          <w:color w:val="231F20"/>
        </w:rPr>
        <w:t>and</w:t>
      </w:r>
      <w:r>
        <w:rPr>
          <w:color w:val="231F20"/>
          <w:spacing w:val="-6"/>
        </w:rPr>
        <w:t> </w:t>
      </w:r>
      <w:r>
        <w:rPr>
          <w:color w:val="231F20"/>
        </w:rPr>
        <w:t>pay</w:t>
      </w:r>
      <w:r>
        <w:rPr>
          <w:color w:val="231F20"/>
          <w:spacing w:val="-6"/>
        </w:rPr>
        <w:t> </w:t>
      </w:r>
      <w:r>
        <w:rPr>
          <w:color w:val="231F20"/>
        </w:rPr>
        <w:t>tuition</w:t>
      </w:r>
      <w:r>
        <w:rPr>
          <w:color w:val="231F20"/>
          <w:spacing w:val="-6"/>
        </w:rPr>
        <w:t> </w:t>
      </w:r>
      <w:r>
        <w:rPr>
          <w:color w:val="231F20"/>
        </w:rPr>
        <w:t>and</w:t>
      </w:r>
      <w:r>
        <w:rPr>
          <w:color w:val="231F20"/>
          <w:w w:val="99"/>
        </w:rPr>
        <w:t> </w:t>
      </w:r>
      <w:r>
        <w:rPr>
          <w:color w:val="231F20"/>
        </w:rPr>
        <w:t>boarding</w:t>
      </w:r>
      <w:r>
        <w:rPr>
          <w:color w:val="231F20"/>
          <w:spacing w:val="-18"/>
        </w:rPr>
        <w:t> </w:t>
      </w:r>
      <w:r>
        <w:rPr>
          <w:color w:val="231F20"/>
        </w:rPr>
        <w:t>costs;</w:t>
      </w:r>
      <w:r>
        <w:rPr>
          <w:color w:val="231F20"/>
          <w:spacing w:val="-17"/>
        </w:rPr>
        <w:t> </w:t>
      </w:r>
      <w:r>
        <w:rPr>
          <w:color w:val="231F20"/>
        </w:rPr>
        <w:t>https://www.humanservices.</w:t>
      </w:r>
      <w:r>
        <w:rPr/>
      </w:r>
    </w:p>
    <w:p>
      <w:pPr>
        <w:pStyle w:val="BodyText"/>
        <w:spacing w:line="250" w:lineRule="exact"/>
        <w:ind w:left="100" w:right="156"/>
        <w:jc w:val="left"/>
      </w:pPr>
      <w:r>
        <w:rPr>
          <w:color w:val="231F20"/>
          <w:w w:val="95"/>
        </w:rPr>
        <w:t>gov.au/individuals/services/centrelink/abstudy.</w:t>
      </w:r>
      <w:r>
        <w:rPr>
          <w:color w:val="231F20"/>
          <w:w w:val="99"/>
        </w:rPr>
        <w:t> </w:t>
      </w:r>
      <w:r>
        <w:rPr>
          <w:color w:val="231F20"/>
          <w:spacing w:val="-1"/>
        </w:rPr>
        <w:t>References</w:t>
      </w:r>
      <w:r>
        <w:rPr>
          <w:color w:val="231F20"/>
          <w:spacing w:val="-5"/>
        </w:rPr>
        <w:t> </w:t>
      </w:r>
      <w:r>
        <w:rPr>
          <w:color w:val="231F20"/>
        </w:rPr>
        <w:t>to</w:t>
      </w:r>
      <w:r>
        <w:rPr>
          <w:color w:val="231F20"/>
          <w:spacing w:val="-3"/>
        </w:rPr>
        <w:t> </w:t>
      </w:r>
      <w:r>
        <w:rPr>
          <w:color w:val="231F20"/>
        </w:rPr>
        <w:t>ABSTUDY</w:t>
      </w:r>
      <w:r>
        <w:rPr>
          <w:color w:val="231F20"/>
          <w:spacing w:val="-5"/>
        </w:rPr>
        <w:t> </w:t>
      </w:r>
      <w:r>
        <w:rPr>
          <w:color w:val="231F20"/>
        </w:rPr>
        <w:t>or</w:t>
      </w:r>
      <w:r>
        <w:rPr>
          <w:color w:val="231F20"/>
          <w:spacing w:val="-3"/>
        </w:rPr>
        <w:t> </w:t>
      </w:r>
      <w:r>
        <w:rPr>
          <w:color w:val="231F20"/>
        </w:rPr>
        <w:t>ABSTUDY</w:t>
      </w:r>
      <w:r>
        <w:rPr>
          <w:color w:val="231F20"/>
          <w:spacing w:val="-4"/>
        </w:rPr>
        <w:t> </w:t>
      </w:r>
      <w:r>
        <w:rPr>
          <w:color w:val="231F20"/>
        </w:rPr>
        <w:t>travel</w:t>
      </w:r>
      <w:r>
        <w:rPr>
          <w:color w:val="231F20"/>
          <w:spacing w:val="24"/>
          <w:w w:val="99"/>
        </w:rPr>
        <w:t> </w:t>
      </w:r>
      <w:r>
        <w:rPr>
          <w:color w:val="231F20"/>
          <w:spacing w:val="-1"/>
        </w:rPr>
        <w:t>include</w:t>
      </w:r>
      <w:r>
        <w:rPr>
          <w:color w:val="231F20"/>
          <w:spacing w:val="-6"/>
        </w:rPr>
        <w:t> </w:t>
      </w:r>
      <w:r>
        <w:rPr>
          <w:color w:val="231F20"/>
        </w:rPr>
        <w:t>the</w:t>
      </w:r>
      <w:r>
        <w:rPr>
          <w:color w:val="231F20"/>
          <w:spacing w:val="-5"/>
        </w:rPr>
        <w:t> </w:t>
      </w:r>
      <w:r>
        <w:rPr>
          <w:color w:val="231F20"/>
        </w:rPr>
        <w:t>delivery</w:t>
      </w:r>
      <w:r>
        <w:rPr>
          <w:color w:val="231F20"/>
          <w:spacing w:val="-6"/>
        </w:rPr>
        <w:t> </w:t>
      </w:r>
      <w:r>
        <w:rPr>
          <w:color w:val="231F20"/>
        </w:rPr>
        <w:t>agency</w:t>
      </w:r>
      <w:r>
        <w:rPr>
          <w:color w:val="231F20"/>
          <w:spacing w:val="-6"/>
        </w:rPr>
        <w:t> </w:t>
      </w:r>
      <w:r>
        <w:rPr>
          <w:color w:val="231F20"/>
        </w:rPr>
        <w:t>for</w:t>
      </w:r>
      <w:r>
        <w:rPr>
          <w:color w:val="231F20"/>
          <w:spacing w:val="-5"/>
        </w:rPr>
        <w:t> </w:t>
      </w:r>
      <w:r>
        <w:rPr>
          <w:color w:val="231F20"/>
        </w:rPr>
        <w:t>ABSTUDY,</w:t>
      </w:r>
      <w:r>
        <w:rPr/>
      </w:r>
    </w:p>
    <w:p>
      <w:pPr>
        <w:pStyle w:val="BodyText"/>
        <w:spacing w:line="250" w:lineRule="exact"/>
        <w:ind w:left="100" w:right="156"/>
        <w:jc w:val="left"/>
      </w:pPr>
      <w:r>
        <w:rPr>
          <w:color w:val="231F20"/>
        </w:rPr>
        <w:t>the</w:t>
      </w:r>
      <w:r>
        <w:rPr>
          <w:color w:val="231F20"/>
          <w:spacing w:val="-6"/>
        </w:rPr>
        <w:t> </w:t>
      </w:r>
      <w:r>
        <w:rPr>
          <w:color w:val="231F20"/>
          <w:spacing w:val="-1"/>
        </w:rPr>
        <w:t>Department</w:t>
      </w:r>
      <w:r>
        <w:rPr>
          <w:color w:val="231F20"/>
          <w:spacing w:val="-5"/>
        </w:rPr>
        <w:t> </w:t>
      </w:r>
      <w:r>
        <w:rPr>
          <w:color w:val="231F20"/>
        </w:rPr>
        <w:t>of</w:t>
      </w:r>
      <w:r>
        <w:rPr>
          <w:color w:val="231F20"/>
          <w:spacing w:val="-4"/>
        </w:rPr>
        <w:t> </w:t>
      </w:r>
      <w:r>
        <w:rPr>
          <w:color w:val="231F20"/>
        </w:rPr>
        <w:t>Human</w:t>
      </w:r>
      <w:r>
        <w:rPr>
          <w:color w:val="231F20"/>
          <w:spacing w:val="-6"/>
        </w:rPr>
        <w:t> </w:t>
      </w:r>
      <w:r>
        <w:rPr>
          <w:color w:val="231F20"/>
          <w:spacing w:val="-1"/>
        </w:rPr>
        <w:t>Services</w:t>
      </w:r>
      <w:r>
        <w:rPr>
          <w:color w:val="231F20"/>
          <w:spacing w:val="-5"/>
        </w:rPr>
        <w:t> </w:t>
      </w:r>
      <w:r>
        <w:rPr>
          <w:color w:val="231F20"/>
        </w:rPr>
        <w:t>and</w:t>
      </w:r>
      <w:r>
        <w:rPr>
          <w:color w:val="231F20"/>
          <w:spacing w:val="-5"/>
        </w:rPr>
        <w:t> </w:t>
      </w:r>
      <w:r>
        <w:rPr>
          <w:color w:val="231F20"/>
        </w:rPr>
        <w:t>the</w:t>
      </w:r>
      <w:r>
        <w:rPr>
          <w:color w:val="231F20"/>
          <w:spacing w:val="23"/>
          <w:w w:val="99"/>
        </w:rPr>
        <w:t> </w:t>
      </w:r>
      <w:r>
        <w:rPr>
          <w:color w:val="231F20"/>
          <w:spacing w:val="-1"/>
        </w:rPr>
        <w:t>lead</w:t>
      </w:r>
      <w:r>
        <w:rPr>
          <w:color w:val="231F20"/>
          <w:spacing w:val="-5"/>
        </w:rPr>
        <w:t> </w:t>
      </w:r>
      <w:r>
        <w:rPr>
          <w:color w:val="231F20"/>
        </w:rPr>
        <w:t>policy</w:t>
      </w:r>
      <w:r>
        <w:rPr>
          <w:color w:val="231F20"/>
          <w:spacing w:val="-5"/>
        </w:rPr>
        <w:t> </w:t>
      </w:r>
      <w:r>
        <w:rPr>
          <w:color w:val="231F20"/>
        </w:rPr>
        <w:t>agency,</w:t>
      </w:r>
      <w:r>
        <w:rPr>
          <w:color w:val="231F20"/>
          <w:spacing w:val="-5"/>
        </w:rPr>
        <w:t> </w:t>
      </w:r>
      <w:r>
        <w:rPr>
          <w:color w:val="231F20"/>
        </w:rPr>
        <w:t>the</w:t>
      </w:r>
      <w:r>
        <w:rPr>
          <w:color w:val="231F20"/>
          <w:spacing w:val="-6"/>
        </w:rPr>
        <w:t> </w:t>
      </w:r>
      <w:r>
        <w:rPr>
          <w:color w:val="231F20"/>
          <w:spacing w:val="-1"/>
        </w:rPr>
        <w:t>Department</w:t>
      </w:r>
      <w:r>
        <w:rPr>
          <w:color w:val="231F20"/>
          <w:spacing w:val="-4"/>
        </w:rPr>
        <w:t> </w:t>
      </w:r>
      <w:r>
        <w:rPr>
          <w:color w:val="231F20"/>
        </w:rPr>
        <w:t>of</w:t>
      </w:r>
      <w:r>
        <w:rPr>
          <w:color w:val="231F20"/>
          <w:spacing w:val="-4"/>
        </w:rPr>
        <w:t> </w:t>
      </w:r>
      <w:r>
        <w:rPr>
          <w:color w:val="231F20"/>
          <w:spacing w:val="-1"/>
        </w:rPr>
        <w:t>Social</w:t>
      </w:r>
      <w:r>
        <w:rPr>
          <w:color w:val="231F20"/>
          <w:spacing w:val="22"/>
        </w:rPr>
        <w:t> </w:t>
      </w:r>
      <w:r>
        <w:rPr>
          <w:color w:val="231F20"/>
          <w:spacing w:val="-1"/>
        </w:rPr>
        <w:t>Services</w:t>
      </w:r>
      <w:r>
        <w:rPr/>
      </w:r>
    </w:p>
    <w:p>
      <w:pPr>
        <w:pStyle w:val="BodyText"/>
        <w:spacing w:line="250" w:lineRule="exact" w:before="113"/>
        <w:ind w:left="100" w:right="156"/>
        <w:jc w:val="left"/>
      </w:pPr>
      <w:r>
        <w:rPr>
          <w:rFonts w:ascii="Segoe UI" w:hAnsi="Segoe UI" w:cs="Segoe UI" w:eastAsia="Segoe UI"/>
          <w:b/>
          <w:bCs/>
          <w:color w:val="231F20"/>
          <w:spacing w:val="-1"/>
        </w:rPr>
        <w:t>ACARA</w:t>
      </w:r>
      <w:r>
        <w:rPr>
          <w:color w:val="231F20"/>
          <w:spacing w:val="-1"/>
        </w:rPr>
        <w:t>—</w:t>
      </w:r>
      <w:r>
        <w:rPr>
          <w:color w:val="231F20"/>
          <w:spacing w:val="-7"/>
        </w:rPr>
        <w:t> </w:t>
      </w:r>
      <w:r>
        <w:rPr>
          <w:color w:val="231F20"/>
        </w:rPr>
        <w:t>Australian</w:t>
      </w:r>
      <w:r>
        <w:rPr>
          <w:color w:val="231F20"/>
          <w:spacing w:val="-6"/>
        </w:rPr>
        <w:t> </w:t>
      </w:r>
      <w:r>
        <w:rPr>
          <w:color w:val="231F20"/>
          <w:spacing w:val="-1"/>
        </w:rPr>
        <w:t>Curriculum,</w:t>
      </w:r>
      <w:r>
        <w:rPr>
          <w:color w:val="231F20"/>
          <w:spacing w:val="-6"/>
        </w:rPr>
        <w:t> </w:t>
      </w:r>
      <w:r>
        <w:rPr>
          <w:color w:val="231F20"/>
        </w:rPr>
        <w:t>Assessment</w:t>
      </w:r>
      <w:r>
        <w:rPr>
          <w:color w:val="231F20"/>
          <w:spacing w:val="24"/>
        </w:rPr>
        <w:t> </w:t>
      </w:r>
      <w:r>
        <w:rPr>
          <w:color w:val="231F20"/>
        </w:rPr>
        <w:t>and</w:t>
      </w:r>
      <w:r>
        <w:rPr>
          <w:color w:val="231F20"/>
          <w:spacing w:val="-13"/>
        </w:rPr>
        <w:t> </w:t>
      </w:r>
      <w:r>
        <w:rPr>
          <w:color w:val="231F20"/>
          <w:spacing w:val="-1"/>
        </w:rPr>
        <w:t>Reporting</w:t>
      </w:r>
      <w:r>
        <w:rPr>
          <w:color w:val="231F20"/>
          <w:spacing w:val="-12"/>
        </w:rPr>
        <w:t> </w:t>
      </w:r>
      <w:r>
        <w:rPr>
          <w:color w:val="231F20"/>
        </w:rPr>
        <w:t>Authority;</w:t>
      </w:r>
      <w:r>
        <w:rPr>
          <w:color w:val="231F20"/>
          <w:spacing w:val="-12"/>
        </w:rPr>
        <w:t> </w:t>
      </w:r>
      <w:hyperlink r:id="rId93">
        <w:r>
          <w:rPr>
            <w:color w:val="231F20"/>
          </w:rPr>
          <w:t>www.acara.edu.au</w:t>
        </w:r>
        <w:r>
          <w:rPr/>
        </w:r>
      </w:hyperlink>
    </w:p>
    <w:p>
      <w:pPr>
        <w:pStyle w:val="BodyText"/>
        <w:spacing w:line="250" w:lineRule="exact" w:before="113"/>
        <w:ind w:left="100" w:right="126"/>
        <w:jc w:val="left"/>
      </w:pPr>
      <w:r>
        <w:rPr>
          <w:rFonts w:ascii="Segoe UI" w:hAnsi="Segoe UI" w:cs="Segoe UI" w:eastAsia="Segoe UI"/>
          <w:b/>
          <w:bCs/>
          <w:color w:val="231F20"/>
        </w:rPr>
        <w:t>Indigenous</w:t>
      </w:r>
      <w:r>
        <w:rPr>
          <w:rFonts w:ascii="Segoe UI" w:hAnsi="Segoe UI" w:cs="Segoe UI" w:eastAsia="Segoe UI"/>
          <w:b/>
          <w:bCs/>
          <w:color w:val="231F20"/>
          <w:spacing w:val="-1"/>
        </w:rPr>
        <w:t> Education</w:t>
      </w:r>
      <w:r>
        <w:rPr>
          <w:rFonts w:ascii="Segoe UI" w:hAnsi="Segoe UI" w:cs="Segoe UI" w:eastAsia="Segoe UI"/>
          <w:b/>
          <w:bCs/>
          <w:color w:val="231F20"/>
        </w:rPr>
        <w:t> </w:t>
      </w:r>
      <w:r>
        <w:rPr>
          <w:rFonts w:ascii="Segoe UI" w:hAnsi="Segoe UI" w:cs="Segoe UI" w:eastAsia="Segoe UI"/>
          <w:b/>
          <w:bCs/>
          <w:color w:val="231F20"/>
          <w:spacing w:val="-1"/>
        </w:rPr>
        <w:t>and</w:t>
      </w:r>
      <w:r>
        <w:rPr>
          <w:rFonts w:ascii="Segoe UI" w:hAnsi="Segoe UI" w:cs="Segoe UI" w:eastAsia="Segoe UI"/>
          <w:b/>
          <w:bCs/>
          <w:color w:val="231F20"/>
        </w:rPr>
        <w:t> </w:t>
      </w:r>
      <w:r>
        <w:rPr>
          <w:rFonts w:ascii="Segoe UI" w:hAnsi="Segoe UI" w:cs="Segoe UI" w:eastAsia="Segoe UI"/>
          <w:b/>
          <w:bCs/>
          <w:color w:val="231F20"/>
          <w:spacing w:val="-1"/>
        </w:rPr>
        <w:t>Boarding</w:t>
      </w:r>
      <w:r>
        <w:rPr>
          <w:rFonts w:ascii="Segoe UI" w:hAnsi="Segoe UI" w:cs="Segoe UI" w:eastAsia="Segoe UI"/>
          <w:b/>
          <w:bCs/>
          <w:color w:val="231F20"/>
          <w:spacing w:val="22"/>
        </w:rPr>
        <w:t> </w:t>
      </w:r>
      <w:r>
        <w:rPr>
          <w:rFonts w:ascii="Segoe UI" w:hAnsi="Segoe UI" w:cs="Segoe UI" w:eastAsia="Segoe UI"/>
          <w:b/>
          <w:bCs/>
          <w:color w:val="231F20"/>
          <w:spacing w:val="-1"/>
        </w:rPr>
        <w:t>Australia</w:t>
      </w:r>
      <w:r>
        <w:rPr>
          <w:color w:val="231F20"/>
          <w:spacing w:val="-1"/>
        </w:rPr>
        <w:t>—Indigenous</w:t>
      </w:r>
      <w:r>
        <w:rPr>
          <w:color w:val="231F20"/>
          <w:spacing w:val="-13"/>
        </w:rPr>
        <w:t> </w:t>
      </w:r>
      <w:r>
        <w:rPr>
          <w:color w:val="231F20"/>
        </w:rPr>
        <w:t>Education</w:t>
      </w:r>
      <w:r>
        <w:rPr>
          <w:color w:val="231F20"/>
          <w:spacing w:val="-12"/>
        </w:rPr>
        <w:t> </w:t>
      </w:r>
      <w:r>
        <w:rPr>
          <w:color w:val="231F20"/>
        </w:rPr>
        <w:t>and</w:t>
      </w:r>
      <w:r>
        <w:rPr>
          <w:color w:val="231F20"/>
          <w:spacing w:val="25"/>
          <w:w w:val="99"/>
        </w:rPr>
        <w:t> </w:t>
      </w:r>
      <w:r>
        <w:rPr>
          <w:color w:val="231F20"/>
          <w:spacing w:val="-1"/>
        </w:rPr>
        <w:t>Boarding</w:t>
      </w:r>
      <w:r>
        <w:rPr>
          <w:color w:val="231F20"/>
          <w:spacing w:val="-6"/>
        </w:rPr>
        <w:t> </w:t>
      </w:r>
      <w:r>
        <w:rPr>
          <w:color w:val="231F20"/>
        </w:rPr>
        <w:t>Australia</w:t>
      </w:r>
      <w:r>
        <w:rPr>
          <w:color w:val="231F20"/>
          <w:spacing w:val="-6"/>
        </w:rPr>
        <w:t> </w:t>
      </w:r>
      <w:r>
        <w:rPr>
          <w:color w:val="231F20"/>
          <w:spacing w:val="-1"/>
        </w:rPr>
        <w:t>is</w:t>
      </w:r>
      <w:r>
        <w:rPr>
          <w:color w:val="231F20"/>
          <w:spacing w:val="-7"/>
        </w:rPr>
        <w:t> </w:t>
      </w:r>
      <w:r>
        <w:rPr>
          <w:color w:val="231F20"/>
        </w:rPr>
        <w:t>based</w:t>
      </w:r>
      <w:r>
        <w:rPr>
          <w:color w:val="231F20"/>
          <w:spacing w:val="-6"/>
        </w:rPr>
        <w:t> </w:t>
      </w:r>
      <w:r>
        <w:rPr>
          <w:color w:val="231F20"/>
          <w:spacing w:val="-1"/>
        </w:rPr>
        <w:t>in</w:t>
      </w:r>
      <w:r>
        <w:rPr>
          <w:color w:val="231F20"/>
          <w:spacing w:val="-6"/>
        </w:rPr>
        <w:t> </w:t>
      </w:r>
      <w:r>
        <w:rPr>
          <w:color w:val="231F20"/>
        </w:rPr>
        <w:t>Adelaide,</w:t>
      </w:r>
      <w:r>
        <w:rPr>
          <w:color w:val="231F20"/>
          <w:spacing w:val="-6"/>
        </w:rPr>
        <w:t> </w:t>
      </w:r>
      <w:r>
        <w:rPr>
          <w:color w:val="231F20"/>
          <w:spacing w:val="-1"/>
        </w:rPr>
        <w:t>South</w:t>
      </w:r>
      <w:r>
        <w:rPr>
          <w:color w:val="231F20"/>
          <w:spacing w:val="23"/>
          <w:w w:val="99"/>
        </w:rPr>
        <w:t> </w:t>
      </w:r>
      <w:r>
        <w:rPr>
          <w:color w:val="231F20"/>
        </w:rPr>
        <w:t>Australia</w:t>
      </w:r>
      <w:r>
        <w:rPr>
          <w:color w:val="231F20"/>
          <w:spacing w:val="-3"/>
        </w:rPr>
        <w:t> </w:t>
      </w:r>
      <w:r>
        <w:rPr>
          <w:color w:val="231F20"/>
        </w:rPr>
        <w:t>and</w:t>
      </w:r>
      <w:r>
        <w:rPr>
          <w:color w:val="231F20"/>
          <w:spacing w:val="-4"/>
        </w:rPr>
        <w:t> </w:t>
      </w:r>
      <w:r>
        <w:rPr>
          <w:color w:val="231F20"/>
        </w:rPr>
        <w:t>was</w:t>
      </w:r>
      <w:r>
        <w:rPr>
          <w:color w:val="231F20"/>
          <w:spacing w:val="-3"/>
        </w:rPr>
        <w:t> </w:t>
      </w:r>
      <w:r>
        <w:rPr>
          <w:color w:val="231F20"/>
        </w:rPr>
        <w:t>established</w:t>
      </w:r>
      <w:r>
        <w:rPr>
          <w:color w:val="231F20"/>
          <w:spacing w:val="-3"/>
        </w:rPr>
        <w:t> </w:t>
      </w:r>
      <w:r>
        <w:rPr>
          <w:color w:val="231F20"/>
          <w:spacing w:val="-1"/>
        </w:rPr>
        <w:t>in</w:t>
      </w:r>
      <w:r>
        <w:rPr>
          <w:color w:val="231F20"/>
          <w:spacing w:val="-3"/>
        </w:rPr>
        <w:t> </w:t>
      </w:r>
      <w:r>
        <w:rPr>
          <w:color w:val="231F20"/>
        </w:rPr>
        <w:t>July</w:t>
      </w:r>
      <w:r>
        <w:rPr>
          <w:color w:val="231F20"/>
          <w:spacing w:val="-4"/>
        </w:rPr>
        <w:t> </w:t>
      </w:r>
      <w:r>
        <w:rPr>
          <w:color w:val="231F20"/>
          <w:spacing w:val="-1"/>
        </w:rPr>
        <w:t>1995</w:t>
      </w:r>
      <w:r>
        <w:rPr>
          <w:color w:val="231F20"/>
          <w:spacing w:val="-2"/>
        </w:rPr>
        <w:t> </w:t>
      </w:r>
      <w:r>
        <w:rPr>
          <w:color w:val="231F20"/>
        </w:rPr>
        <w:t>as</w:t>
      </w:r>
      <w:r>
        <w:rPr>
          <w:color w:val="231F20"/>
          <w:spacing w:val="22"/>
        </w:rPr>
        <w:t> </w:t>
      </w:r>
      <w:r>
        <w:rPr>
          <w:color w:val="231F20"/>
        </w:rPr>
        <w:t>the</w:t>
      </w:r>
      <w:r>
        <w:rPr>
          <w:color w:val="231F20"/>
          <w:spacing w:val="-6"/>
        </w:rPr>
        <w:t> </w:t>
      </w:r>
      <w:r>
        <w:rPr>
          <w:color w:val="231F20"/>
        </w:rPr>
        <w:t>National</w:t>
      </w:r>
      <w:r>
        <w:rPr>
          <w:color w:val="231F20"/>
          <w:spacing w:val="-5"/>
        </w:rPr>
        <w:t> </w:t>
      </w:r>
      <w:r>
        <w:rPr>
          <w:color w:val="231F20"/>
        </w:rPr>
        <w:t>Association</w:t>
      </w:r>
      <w:r>
        <w:rPr>
          <w:color w:val="231F20"/>
          <w:spacing w:val="-4"/>
        </w:rPr>
        <w:t> </w:t>
      </w:r>
      <w:r>
        <w:rPr>
          <w:color w:val="231F20"/>
        </w:rPr>
        <w:t>for</w:t>
      </w:r>
      <w:r>
        <w:rPr>
          <w:color w:val="231F20"/>
          <w:spacing w:val="-5"/>
        </w:rPr>
        <w:t> </w:t>
      </w:r>
      <w:r>
        <w:rPr>
          <w:color w:val="231F20"/>
          <w:spacing w:val="-1"/>
        </w:rPr>
        <w:t>Rural</w:t>
      </w:r>
      <w:r>
        <w:rPr>
          <w:color w:val="231F20"/>
          <w:spacing w:val="-5"/>
        </w:rPr>
        <w:t> </w:t>
      </w:r>
      <w:r>
        <w:rPr>
          <w:color w:val="231F20"/>
          <w:spacing w:val="-1"/>
        </w:rPr>
        <w:t>Student</w:t>
      </w:r>
      <w:r>
        <w:rPr>
          <w:color w:val="231F20"/>
          <w:spacing w:val="22"/>
          <w:w w:val="99"/>
        </w:rPr>
        <w:t> </w:t>
      </w:r>
      <w:r>
        <w:rPr>
          <w:color w:val="231F20"/>
        </w:rPr>
        <w:t>Accommodation</w:t>
      </w:r>
      <w:r>
        <w:rPr>
          <w:color w:val="231F20"/>
          <w:spacing w:val="-8"/>
        </w:rPr>
        <w:t> </w:t>
      </w:r>
      <w:r>
        <w:rPr>
          <w:color w:val="231F20"/>
        </w:rPr>
        <w:t>(NARSA).</w:t>
      </w:r>
      <w:r>
        <w:rPr>
          <w:color w:val="231F20"/>
          <w:spacing w:val="-7"/>
        </w:rPr>
        <w:t> </w:t>
      </w:r>
      <w:r>
        <w:rPr>
          <w:color w:val="231F20"/>
          <w:spacing w:val="-1"/>
        </w:rPr>
        <w:t>It</w:t>
      </w:r>
      <w:r>
        <w:rPr>
          <w:color w:val="231F20"/>
          <w:spacing w:val="-8"/>
        </w:rPr>
        <w:t> </w:t>
      </w:r>
      <w:r>
        <w:rPr>
          <w:color w:val="231F20"/>
        </w:rPr>
        <w:t>was</w:t>
      </w:r>
      <w:r>
        <w:rPr>
          <w:color w:val="231F20"/>
          <w:spacing w:val="-7"/>
        </w:rPr>
        <w:t> </w:t>
      </w:r>
      <w:r>
        <w:rPr>
          <w:color w:val="231F20"/>
        </w:rPr>
        <w:t>renamed</w:t>
      </w:r>
      <w:r>
        <w:rPr>
          <w:color w:val="231F20"/>
          <w:spacing w:val="-8"/>
        </w:rPr>
        <w:t> </w:t>
      </w:r>
      <w:r>
        <w:rPr>
          <w:color w:val="231F20"/>
        </w:rPr>
        <w:t>as</w:t>
      </w:r>
      <w:r>
        <w:rPr>
          <w:color w:val="231F20"/>
          <w:spacing w:val="21"/>
        </w:rPr>
        <w:t> </w:t>
      </w:r>
      <w:r>
        <w:rPr>
          <w:color w:val="231F20"/>
          <w:spacing w:val="-1"/>
        </w:rPr>
        <w:t>Boarding</w:t>
      </w:r>
      <w:r>
        <w:rPr>
          <w:color w:val="231F20"/>
          <w:spacing w:val="-5"/>
        </w:rPr>
        <w:t> </w:t>
      </w:r>
      <w:r>
        <w:rPr>
          <w:color w:val="231F20"/>
        </w:rPr>
        <w:t>Australia</w:t>
      </w:r>
      <w:r>
        <w:rPr>
          <w:color w:val="231F20"/>
          <w:spacing w:val="-5"/>
        </w:rPr>
        <w:t> </w:t>
      </w:r>
      <w:r>
        <w:rPr>
          <w:color w:val="231F20"/>
          <w:spacing w:val="-1"/>
        </w:rPr>
        <w:t>in</w:t>
      </w:r>
      <w:r>
        <w:rPr>
          <w:color w:val="231F20"/>
          <w:spacing w:val="-5"/>
        </w:rPr>
        <w:t> </w:t>
      </w:r>
      <w:r>
        <w:rPr>
          <w:color w:val="231F20"/>
          <w:spacing w:val="-1"/>
        </w:rPr>
        <w:t>2011</w:t>
      </w:r>
      <w:r>
        <w:rPr>
          <w:color w:val="231F20"/>
          <w:spacing w:val="-5"/>
        </w:rPr>
        <w:t> </w:t>
      </w:r>
      <w:r>
        <w:rPr>
          <w:color w:val="231F20"/>
        </w:rPr>
        <w:t>and</w:t>
      </w:r>
      <w:r>
        <w:rPr>
          <w:color w:val="231F20"/>
          <w:spacing w:val="-6"/>
        </w:rPr>
        <w:t> </w:t>
      </w:r>
      <w:r>
        <w:rPr>
          <w:color w:val="231F20"/>
        </w:rPr>
        <w:t>as</w:t>
      </w:r>
      <w:r>
        <w:rPr>
          <w:color w:val="231F20"/>
          <w:spacing w:val="-5"/>
        </w:rPr>
        <w:t> </w:t>
      </w:r>
      <w:r>
        <w:rPr>
          <w:color w:val="231F20"/>
          <w:spacing w:val="-1"/>
        </w:rPr>
        <w:t>Indigenous</w:t>
      </w:r>
      <w:r>
        <w:rPr>
          <w:color w:val="231F20"/>
          <w:spacing w:val="23"/>
          <w:w w:val="99"/>
        </w:rPr>
        <w:t> </w:t>
      </w:r>
      <w:r>
        <w:rPr>
          <w:color w:val="231F20"/>
        </w:rPr>
        <w:t>Education</w:t>
      </w:r>
      <w:r>
        <w:rPr>
          <w:color w:val="231F20"/>
          <w:spacing w:val="-7"/>
        </w:rPr>
        <w:t> </w:t>
      </w:r>
      <w:r>
        <w:rPr>
          <w:color w:val="231F20"/>
        </w:rPr>
        <w:t>and</w:t>
      </w:r>
      <w:r>
        <w:rPr>
          <w:color w:val="231F20"/>
          <w:spacing w:val="-6"/>
        </w:rPr>
        <w:t> </w:t>
      </w:r>
      <w:r>
        <w:rPr>
          <w:color w:val="231F20"/>
          <w:spacing w:val="-1"/>
        </w:rPr>
        <w:t>Boarding</w:t>
      </w:r>
      <w:r>
        <w:rPr>
          <w:color w:val="231F20"/>
          <w:spacing w:val="-6"/>
        </w:rPr>
        <w:t> </w:t>
      </w:r>
      <w:r>
        <w:rPr>
          <w:color w:val="231F20"/>
        </w:rPr>
        <w:t>Australia</w:t>
      </w:r>
      <w:r>
        <w:rPr>
          <w:color w:val="231F20"/>
          <w:spacing w:val="-6"/>
        </w:rPr>
        <w:t> </w:t>
      </w:r>
      <w:r>
        <w:rPr>
          <w:color w:val="231F20"/>
          <w:spacing w:val="-1"/>
        </w:rPr>
        <w:t>in</w:t>
      </w:r>
      <w:r>
        <w:rPr>
          <w:color w:val="231F20"/>
          <w:spacing w:val="-5"/>
        </w:rPr>
        <w:t> </w:t>
      </w:r>
      <w:r>
        <w:rPr>
          <w:color w:val="231F20"/>
          <w:spacing w:val="-1"/>
        </w:rPr>
        <w:t>2019.</w:t>
      </w:r>
      <w:r>
        <w:rPr/>
      </w:r>
    </w:p>
    <w:p>
      <w:pPr>
        <w:pStyle w:val="BodyText"/>
        <w:spacing w:line="250" w:lineRule="exact"/>
        <w:ind w:left="100" w:right="0"/>
        <w:jc w:val="left"/>
      </w:pPr>
      <w:r>
        <w:rPr>
          <w:color w:val="231F20"/>
          <w:spacing w:val="-1"/>
        </w:rPr>
        <w:t>It</w:t>
      </w:r>
      <w:r>
        <w:rPr>
          <w:color w:val="231F20"/>
          <w:spacing w:val="-4"/>
        </w:rPr>
        <w:t> </w:t>
      </w:r>
      <w:r>
        <w:rPr>
          <w:color w:val="231F20"/>
        </w:rPr>
        <w:t>acts</w:t>
      </w:r>
      <w:r>
        <w:rPr>
          <w:color w:val="231F20"/>
          <w:spacing w:val="-5"/>
        </w:rPr>
        <w:t> </w:t>
      </w:r>
      <w:r>
        <w:rPr>
          <w:color w:val="231F20"/>
        </w:rPr>
        <w:t>as</w:t>
      </w:r>
      <w:r>
        <w:rPr>
          <w:color w:val="231F20"/>
          <w:spacing w:val="-5"/>
        </w:rPr>
        <w:t> </w:t>
      </w:r>
      <w:r>
        <w:rPr>
          <w:color w:val="231F20"/>
        </w:rPr>
        <w:t>a</w:t>
      </w:r>
      <w:r>
        <w:rPr>
          <w:color w:val="231F20"/>
          <w:spacing w:val="-4"/>
        </w:rPr>
        <w:t> </w:t>
      </w:r>
      <w:r>
        <w:rPr>
          <w:color w:val="231F20"/>
        </w:rPr>
        <w:t>peak</w:t>
      </w:r>
      <w:r>
        <w:rPr>
          <w:color w:val="231F20"/>
          <w:spacing w:val="-5"/>
        </w:rPr>
        <w:t> </w:t>
      </w:r>
      <w:r>
        <w:rPr>
          <w:color w:val="231F20"/>
        </w:rPr>
        <w:t>national</w:t>
      </w:r>
      <w:r>
        <w:rPr>
          <w:color w:val="231F20"/>
          <w:spacing w:val="-5"/>
        </w:rPr>
        <w:t> </w:t>
      </w:r>
      <w:r>
        <w:rPr>
          <w:color w:val="231F20"/>
        </w:rPr>
        <w:t>body</w:t>
      </w:r>
      <w:r>
        <w:rPr>
          <w:color w:val="231F20"/>
          <w:spacing w:val="-5"/>
        </w:rPr>
        <w:t> </w:t>
      </w:r>
      <w:r>
        <w:rPr>
          <w:color w:val="231F20"/>
        </w:rPr>
        <w:t>to</w:t>
      </w:r>
      <w:r>
        <w:rPr>
          <w:color w:val="231F20"/>
          <w:spacing w:val="-4"/>
        </w:rPr>
        <w:t> </w:t>
      </w:r>
      <w:r>
        <w:rPr>
          <w:color w:val="231F20"/>
        </w:rPr>
        <w:t>represent</w:t>
      </w:r>
      <w:r>
        <w:rPr>
          <w:color w:val="231F20"/>
          <w:spacing w:val="-5"/>
        </w:rPr>
        <w:t> </w:t>
      </w:r>
      <w:r>
        <w:rPr>
          <w:color w:val="231F20"/>
        </w:rPr>
        <w:t>and</w:t>
      </w:r>
      <w:r>
        <w:rPr>
          <w:color w:val="231F20"/>
          <w:spacing w:val="21"/>
          <w:w w:val="99"/>
        </w:rPr>
        <w:t> </w:t>
      </w:r>
      <w:r>
        <w:rPr>
          <w:color w:val="231F20"/>
          <w:spacing w:val="-1"/>
        </w:rPr>
        <w:t>support</w:t>
      </w:r>
      <w:r>
        <w:rPr>
          <w:color w:val="231F20"/>
          <w:spacing w:val="-7"/>
        </w:rPr>
        <w:t> </w:t>
      </w:r>
      <w:r>
        <w:rPr>
          <w:color w:val="231F20"/>
        </w:rPr>
        <w:t>regional</w:t>
      </w:r>
      <w:r>
        <w:rPr>
          <w:color w:val="231F20"/>
          <w:spacing w:val="-7"/>
        </w:rPr>
        <w:t> </w:t>
      </w:r>
      <w:r>
        <w:rPr>
          <w:color w:val="231F20"/>
        </w:rPr>
        <w:t>and</w:t>
      </w:r>
      <w:r>
        <w:rPr>
          <w:color w:val="231F20"/>
          <w:spacing w:val="-8"/>
        </w:rPr>
        <w:t> </w:t>
      </w:r>
      <w:r>
        <w:rPr>
          <w:color w:val="231F20"/>
        </w:rPr>
        <w:t>remote</w:t>
      </w:r>
      <w:r>
        <w:rPr>
          <w:color w:val="231F20"/>
          <w:spacing w:val="-7"/>
        </w:rPr>
        <w:t> </w:t>
      </w:r>
      <w:r>
        <w:rPr>
          <w:color w:val="231F20"/>
        </w:rPr>
        <w:t>boarding</w:t>
      </w:r>
      <w:r>
        <w:rPr>
          <w:color w:val="231F20"/>
          <w:spacing w:val="-7"/>
        </w:rPr>
        <w:t> </w:t>
      </w:r>
      <w:r>
        <w:rPr>
          <w:color w:val="231F20"/>
          <w:spacing w:val="-1"/>
        </w:rPr>
        <w:t>services</w:t>
      </w:r>
      <w:r>
        <w:rPr>
          <w:color w:val="231F20"/>
          <w:spacing w:val="21"/>
        </w:rPr>
        <w:t> </w:t>
      </w:r>
      <w:r>
        <w:rPr>
          <w:color w:val="231F20"/>
        </w:rPr>
        <w:t>with</w:t>
      </w:r>
      <w:r>
        <w:rPr>
          <w:color w:val="231F20"/>
          <w:spacing w:val="-8"/>
        </w:rPr>
        <w:t> </w:t>
      </w:r>
      <w:r>
        <w:rPr>
          <w:color w:val="231F20"/>
        </w:rPr>
        <w:t>children</w:t>
      </w:r>
      <w:r>
        <w:rPr>
          <w:color w:val="231F20"/>
          <w:spacing w:val="-8"/>
        </w:rPr>
        <w:t> </w:t>
      </w:r>
      <w:r>
        <w:rPr>
          <w:color w:val="231F20"/>
          <w:spacing w:val="-1"/>
        </w:rPr>
        <w:t>in</w:t>
      </w:r>
      <w:r>
        <w:rPr>
          <w:color w:val="231F20"/>
          <w:spacing w:val="-8"/>
        </w:rPr>
        <w:t> </w:t>
      </w:r>
      <w:r>
        <w:rPr>
          <w:color w:val="231F20"/>
        </w:rPr>
        <w:t>education</w:t>
      </w:r>
      <w:r>
        <w:rPr>
          <w:color w:val="231F20"/>
          <w:spacing w:val="-8"/>
        </w:rPr>
        <w:t> </w:t>
      </w:r>
      <w:r>
        <w:rPr>
          <w:color w:val="231F20"/>
        </w:rPr>
        <w:t>(predominantly</w:t>
      </w:r>
      <w:r>
        <w:rPr>
          <w:color w:val="231F20"/>
          <w:spacing w:val="-8"/>
        </w:rPr>
        <w:t> </w:t>
      </w:r>
      <w:r>
        <w:rPr>
          <w:color w:val="231F20"/>
        </w:rPr>
        <w:t>of</w:t>
      </w:r>
      <w:r>
        <w:rPr>
          <w:color w:val="231F20"/>
          <w:spacing w:val="21"/>
          <w:w w:val="99"/>
        </w:rPr>
        <w:t> </w:t>
      </w:r>
      <w:r>
        <w:rPr>
          <w:color w:val="231F20"/>
          <w:spacing w:val="-1"/>
        </w:rPr>
        <w:t>secondary</w:t>
      </w:r>
      <w:r>
        <w:rPr>
          <w:color w:val="231F20"/>
          <w:spacing w:val="-11"/>
        </w:rPr>
        <w:t> </w:t>
      </w:r>
      <w:r>
        <w:rPr>
          <w:color w:val="231F20"/>
          <w:spacing w:val="-1"/>
        </w:rPr>
        <w:t>school</w:t>
      </w:r>
      <w:r>
        <w:rPr>
          <w:color w:val="231F20"/>
          <w:spacing w:val="-11"/>
        </w:rPr>
        <w:t> </w:t>
      </w:r>
      <w:r>
        <w:rPr>
          <w:color w:val="231F20"/>
        </w:rPr>
        <w:t>age);</w:t>
      </w:r>
      <w:r>
        <w:rPr>
          <w:color w:val="231F20"/>
          <w:spacing w:val="-12"/>
        </w:rPr>
        <w:t> </w:t>
      </w:r>
      <w:r>
        <w:rPr>
          <w:color w:val="231F20"/>
        </w:rPr>
        <w:t>www.boardingaustralia.</w:t>
      </w:r>
      <w:r>
        <w:rPr>
          <w:color w:val="231F20"/>
          <w:spacing w:val="23"/>
          <w:w w:val="99"/>
        </w:rPr>
        <w:t> </w:t>
      </w:r>
      <w:r>
        <w:rPr>
          <w:color w:val="231F20"/>
        </w:rPr>
        <w:t>edu.au</w:t>
      </w:r>
      <w:r>
        <w:rPr/>
      </w:r>
    </w:p>
    <w:p>
      <w:pPr>
        <w:spacing w:line="250" w:lineRule="exact" w:before="62"/>
        <w:ind w:left="100" w:right="243" w:firstLine="0"/>
        <w:jc w:val="left"/>
        <w:rPr>
          <w:rFonts w:ascii="Segoe UI" w:hAnsi="Segoe UI" w:cs="Segoe UI" w:eastAsia="Segoe UI"/>
          <w:sz w:val="20"/>
          <w:szCs w:val="20"/>
        </w:rPr>
      </w:pPr>
      <w:r>
        <w:rPr/>
        <w:br w:type="column"/>
      </w:r>
      <w:r>
        <w:rPr>
          <w:rFonts w:ascii="Segoe UI" w:hAnsi="Segoe UI" w:cs="Segoe UI" w:eastAsia="Segoe UI"/>
          <w:b/>
          <w:bCs/>
          <w:color w:val="231F20"/>
          <w:spacing w:val="-1"/>
          <w:sz w:val="20"/>
          <w:szCs w:val="20"/>
        </w:rPr>
        <w:t>Boarding</w:t>
      </w:r>
      <w:r>
        <w:rPr>
          <w:rFonts w:ascii="Segoe UI" w:hAnsi="Segoe UI" w:cs="Segoe UI" w:eastAsia="Segoe UI"/>
          <w:b/>
          <w:bCs/>
          <w:color w:val="231F20"/>
          <w:spacing w:val="-5"/>
          <w:sz w:val="20"/>
          <w:szCs w:val="20"/>
        </w:rPr>
        <w:t> </w:t>
      </w:r>
      <w:r>
        <w:rPr>
          <w:rFonts w:ascii="Segoe UI" w:hAnsi="Segoe UI" w:cs="Segoe UI" w:eastAsia="Segoe UI"/>
          <w:b/>
          <w:bCs/>
          <w:color w:val="231F20"/>
          <w:spacing w:val="-1"/>
          <w:sz w:val="20"/>
          <w:szCs w:val="20"/>
        </w:rPr>
        <w:t>revenue</w:t>
      </w:r>
      <w:r>
        <w:rPr>
          <w:rFonts w:ascii="Segoe UI" w:hAnsi="Segoe UI" w:cs="Segoe UI" w:eastAsia="Segoe UI"/>
          <w:b/>
          <w:bCs/>
          <w:color w:val="231F20"/>
          <w:spacing w:val="-4"/>
          <w:sz w:val="20"/>
          <w:szCs w:val="20"/>
        </w:rPr>
        <w:t> </w:t>
      </w:r>
      <w:r>
        <w:rPr>
          <w:rFonts w:ascii="Segoe UI" w:hAnsi="Segoe UI" w:cs="Segoe UI" w:eastAsia="Segoe UI"/>
          <w:b/>
          <w:bCs/>
          <w:color w:val="231F20"/>
          <w:spacing w:val="-1"/>
          <w:sz w:val="20"/>
          <w:szCs w:val="20"/>
        </w:rPr>
        <w:t>and</w:t>
      </w:r>
      <w:r>
        <w:rPr>
          <w:rFonts w:ascii="Segoe UI" w:hAnsi="Segoe UI" w:cs="Segoe UI" w:eastAsia="Segoe UI"/>
          <w:b/>
          <w:bCs/>
          <w:color w:val="231F20"/>
          <w:spacing w:val="-5"/>
          <w:sz w:val="20"/>
          <w:szCs w:val="20"/>
        </w:rPr>
        <w:t> </w:t>
      </w:r>
      <w:r>
        <w:rPr>
          <w:rFonts w:ascii="Segoe UI" w:hAnsi="Segoe UI" w:cs="Segoe UI" w:eastAsia="Segoe UI"/>
          <w:b/>
          <w:bCs/>
          <w:color w:val="231F20"/>
          <w:spacing w:val="-1"/>
          <w:sz w:val="20"/>
          <w:szCs w:val="20"/>
        </w:rPr>
        <w:t>costs</w:t>
      </w:r>
      <w:r>
        <w:rPr>
          <w:rFonts w:ascii="Segoe UI" w:hAnsi="Segoe UI" w:cs="Segoe UI" w:eastAsia="Segoe UI"/>
          <w:color w:val="231F20"/>
          <w:spacing w:val="-1"/>
          <w:sz w:val="20"/>
          <w:szCs w:val="20"/>
        </w:rPr>
        <w:t>—revenue</w:t>
      </w:r>
      <w:r>
        <w:rPr>
          <w:rFonts w:ascii="Segoe UI" w:hAnsi="Segoe UI" w:cs="Segoe UI" w:eastAsia="Segoe UI"/>
          <w:color w:val="231F20"/>
          <w:spacing w:val="-4"/>
          <w:sz w:val="20"/>
          <w:szCs w:val="20"/>
        </w:rPr>
        <w:t> </w:t>
      </w:r>
      <w:r>
        <w:rPr>
          <w:rFonts w:ascii="Segoe UI" w:hAnsi="Segoe UI" w:cs="Segoe UI" w:eastAsia="Segoe UI"/>
          <w:color w:val="231F20"/>
          <w:sz w:val="20"/>
          <w:szCs w:val="20"/>
        </w:rPr>
        <w:t>and</w:t>
      </w:r>
      <w:r>
        <w:rPr>
          <w:rFonts w:ascii="Segoe UI" w:hAnsi="Segoe UI" w:cs="Segoe UI" w:eastAsia="Segoe UI"/>
          <w:color w:val="231F20"/>
          <w:spacing w:val="39"/>
          <w:w w:val="99"/>
          <w:sz w:val="20"/>
          <w:szCs w:val="20"/>
        </w:rPr>
        <w:t> </w:t>
      </w:r>
      <w:r>
        <w:rPr>
          <w:rFonts w:ascii="Segoe UI" w:hAnsi="Segoe UI" w:cs="Segoe UI" w:eastAsia="Segoe UI"/>
          <w:color w:val="231F20"/>
          <w:sz w:val="20"/>
          <w:szCs w:val="20"/>
        </w:rPr>
        <w:t>costs</w:t>
      </w:r>
      <w:r>
        <w:rPr>
          <w:rFonts w:ascii="Segoe UI" w:hAnsi="Segoe UI" w:cs="Segoe UI" w:eastAsia="Segoe UI"/>
          <w:color w:val="231F20"/>
          <w:spacing w:val="-6"/>
          <w:sz w:val="20"/>
          <w:szCs w:val="20"/>
        </w:rPr>
        <w:t> </w:t>
      </w:r>
      <w:r>
        <w:rPr>
          <w:rFonts w:ascii="Segoe UI" w:hAnsi="Segoe UI" w:cs="Segoe UI" w:eastAsia="Segoe UI"/>
          <w:color w:val="231F20"/>
          <w:sz w:val="20"/>
          <w:szCs w:val="20"/>
        </w:rPr>
        <w:t>associated</w:t>
      </w:r>
      <w:r>
        <w:rPr>
          <w:rFonts w:ascii="Segoe UI" w:hAnsi="Segoe UI" w:cs="Segoe UI" w:eastAsia="Segoe UI"/>
          <w:color w:val="231F20"/>
          <w:spacing w:val="-5"/>
          <w:sz w:val="20"/>
          <w:szCs w:val="20"/>
        </w:rPr>
        <w:t> </w:t>
      </w:r>
      <w:r>
        <w:rPr>
          <w:rFonts w:ascii="Segoe UI" w:hAnsi="Segoe UI" w:cs="Segoe UI" w:eastAsia="Segoe UI"/>
          <w:color w:val="231F20"/>
          <w:sz w:val="20"/>
          <w:szCs w:val="20"/>
        </w:rPr>
        <w:t>with</w:t>
      </w:r>
      <w:r>
        <w:rPr>
          <w:rFonts w:ascii="Segoe UI" w:hAnsi="Segoe UI" w:cs="Segoe UI" w:eastAsia="Segoe UI"/>
          <w:color w:val="231F20"/>
          <w:spacing w:val="-5"/>
          <w:sz w:val="20"/>
          <w:szCs w:val="20"/>
        </w:rPr>
        <w:t> </w:t>
      </w:r>
      <w:r>
        <w:rPr>
          <w:rFonts w:ascii="Segoe UI" w:hAnsi="Segoe UI" w:cs="Segoe UI" w:eastAsia="Segoe UI"/>
          <w:color w:val="231F20"/>
          <w:sz w:val="20"/>
          <w:szCs w:val="20"/>
        </w:rPr>
        <w:t>the</w:t>
      </w:r>
      <w:r>
        <w:rPr>
          <w:rFonts w:ascii="Segoe UI" w:hAnsi="Segoe UI" w:cs="Segoe UI" w:eastAsia="Segoe UI"/>
          <w:color w:val="231F20"/>
          <w:spacing w:val="-6"/>
          <w:sz w:val="20"/>
          <w:szCs w:val="20"/>
        </w:rPr>
        <w:t> </w:t>
      </w:r>
      <w:r>
        <w:rPr>
          <w:rFonts w:ascii="Segoe UI" w:hAnsi="Segoe UI" w:cs="Segoe UI" w:eastAsia="Segoe UI"/>
          <w:color w:val="231F20"/>
          <w:sz w:val="20"/>
          <w:szCs w:val="20"/>
        </w:rPr>
        <w:t>boarding</w:t>
      </w:r>
      <w:r>
        <w:rPr>
          <w:rFonts w:ascii="Segoe UI" w:hAnsi="Segoe UI" w:cs="Segoe UI" w:eastAsia="Segoe UI"/>
          <w:color w:val="231F20"/>
          <w:spacing w:val="-5"/>
          <w:sz w:val="20"/>
          <w:szCs w:val="20"/>
        </w:rPr>
        <w:t> </w:t>
      </w:r>
      <w:r>
        <w:rPr>
          <w:rFonts w:ascii="Segoe UI" w:hAnsi="Segoe UI" w:cs="Segoe UI" w:eastAsia="Segoe UI"/>
          <w:color w:val="231F20"/>
          <w:sz w:val="20"/>
          <w:szCs w:val="20"/>
        </w:rPr>
        <w:t>of</w:t>
      </w:r>
      <w:r>
        <w:rPr>
          <w:rFonts w:ascii="Segoe UI" w:hAnsi="Segoe UI" w:cs="Segoe UI" w:eastAsia="Segoe UI"/>
          <w:color w:val="231F20"/>
          <w:spacing w:val="-4"/>
          <w:sz w:val="20"/>
          <w:szCs w:val="20"/>
        </w:rPr>
        <w:t> </w:t>
      </w:r>
      <w:r>
        <w:rPr>
          <w:rFonts w:ascii="Segoe UI" w:hAnsi="Segoe UI" w:cs="Segoe UI" w:eastAsia="Segoe UI"/>
          <w:color w:val="231F20"/>
          <w:spacing w:val="-1"/>
          <w:sz w:val="20"/>
          <w:szCs w:val="20"/>
        </w:rPr>
        <w:t>students</w:t>
      </w:r>
      <w:r>
        <w:rPr>
          <w:rFonts w:ascii="Segoe UI" w:hAnsi="Segoe UI" w:cs="Segoe UI" w:eastAsia="Segoe UI"/>
          <w:color w:val="231F20"/>
          <w:spacing w:val="20"/>
          <w:sz w:val="20"/>
          <w:szCs w:val="20"/>
        </w:rPr>
        <w:t> </w:t>
      </w:r>
      <w:r>
        <w:rPr>
          <w:rFonts w:ascii="Segoe UI" w:hAnsi="Segoe UI" w:cs="Segoe UI" w:eastAsia="Segoe UI"/>
          <w:color w:val="231F20"/>
          <w:sz w:val="20"/>
          <w:szCs w:val="20"/>
        </w:rPr>
        <w:t>at</w:t>
      </w:r>
      <w:r>
        <w:rPr>
          <w:rFonts w:ascii="Segoe UI" w:hAnsi="Segoe UI" w:cs="Segoe UI" w:eastAsia="Segoe UI"/>
          <w:color w:val="231F20"/>
          <w:spacing w:val="-7"/>
          <w:sz w:val="20"/>
          <w:szCs w:val="20"/>
        </w:rPr>
        <w:t> </w:t>
      </w:r>
      <w:r>
        <w:rPr>
          <w:rFonts w:ascii="Segoe UI" w:hAnsi="Segoe UI" w:cs="Segoe UI" w:eastAsia="Segoe UI"/>
          <w:color w:val="231F20"/>
          <w:sz w:val="20"/>
          <w:szCs w:val="20"/>
        </w:rPr>
        <w:t>a</w:t>
      </w:r>
      <w:r>
        <w:rPr>
          <w:rFonts w:ascii="Segoe UI" w:hAnsi="Segoe UI" w:cs="Segoe UI" w:eastAsia="Segoe UI"/>
          <w:color w:val="231F20"/>
          <w:spacing w:val="-6"/>
          <w:sz w:val="20"/>
          <w:szCs w:val="20"/>
        </w:rPr>
        <w:t> </w:t>
      </w:r>
      <w:r>
        <w:rPr>
          <w:rFonts w:ascii="Segoe UI" w:hAnsi="Segoe UI" w:cs="Segoe UI" w:eastAsia="Segoe UI"/>
          <w:color w:val="231F20"/>
          <w:sz w:val="20"/>
          <w:szCs w:val="20"/>
        </w:rPr>
        <w:t>boarding</w:t>
      </w:r>
      <w:r>
        <w:rPr>
          <w:rFonts w:ascii="Segoe UI" w:hAnsi="Segoe UI" w:cs="Segoe UI" w:eastAsia="Segoe UI"/>
          <w:color w:val="231F20"/>
          <w:spacing w:val="-7"/>
          <w:sz w:val="20"/>
          <w:szCs w:val="20"/>
        </w:rPr>
        <w:t> </w:t>
      </w:r>
      <w:r>
        <w:rPr>
          <w:rFonts w:ascii="Segoe UI" w:hAnsi="Segoe UI" w:cs="Segoe UI" w:eastAsia="Segoe UI"/>
          <w:color w:val="231F20"/>
          <w:sz w:val="20"/>
          <w:szCs w:val="20"/>
        </w:rPr>
        <w:t>provider</w:t>
      </w:r>
      <w:r>
        <w:rPr>
          <w:rFonts w:ascii="Segoe UI" w:hAnsi="Segoe UI" w:cs="Segoe UI" w:eastAsia="Segoe UI"/>
          <w:sz w:val="20"/>
          <w:szCs w:val="20"/>
        </w:rPr>
      </w:r>
    </w:p>
    <w:p>
      <w:pPr>
        <w:spacing w:line="250" w:lineRule="exact" w:before="113"/>
        <w:ind w:left="100" w:right="132" w:firstLine="0"/>
        <w:jc w:val="left"/>
        <w:rPr>
          <w:rFonts w:ascii="Segoe UI" w:hAnsi="Segoe UI" w:cs="Segoe UI" w:eastAsia="Segoe UI"/>
          <w:sz w:val="20"/>
          <w:szCs w:val="20"/>
        </w:rPr>
      </w:pPr>
      <w:r>
        <w:rPr>
          <w:rFonts w:ascii="Segoe UI" w:hAnsi="Segoe UI" w:cs="Segoe UI" w:eastAsia="Segoe UI"/>
          <w:b/>
          <w:bCs/>
          <w:color w:val="231F20"/>
          <w:spacing w:val="-1"/>
          <w:sz w:val="20"/>
          <w:szCs w:val="20"/>
        </w:rPr>
        <w:t>Boarding</w:t>
      </w:r>
      <w:r>
        <w:rPr>
          <w:rFonts w:ascii="Segoe UI" w:hAnsi="Segoe UI" w:cs="Segoe UI" w:eastAsia="Segoe UI"/>
          <w:b/>
          <w:bCs/>
          <w:color w:val="231F20"/>
          <w:spacing w:val="-3"/>
          <w:sz w:val="20"/>
          <w:szCs w:val="20"/>
        </w:rPr>
        <w:t> </w:t>
      </w:r>
      <w:r>
        <w:rPr>
          <w:rFonts w:ascii="Segoe UI" w:hAnsi="Segoe UI" w:cs="Segoe UI" w:eastAsia="Segoe UI"/>
          <w:b/>
          <w:bCs/>
          <w:color w:val="231F20"/>
          <w:spacing w:val="-2"/>
          <w:sz w:val="20"/>
          <w:szCs w:val="20"/>
        </w:rPr>
        <w:t>Standard</w:t>
      </w:r>
      <w:r>
        <w:rPr>
          <w:rFonts w:ascii="Segoe UI" w:hAnsi="Segoe UI" w:cs="Segoe UI" w:eastAsia="Segoe UI"/>
          <w:color w:val="231F20"/>
          <w:spacing w:val="-2"/>
          <w:sz w:val="20"/>
          <w:szCs w:val="20"/>
        </w:rPr>
        <w:t>—AS</w:t>
      </w:r>
      <w:r>
        <w:rPr>
          <w:rFonts w:ascii="Segoe UI" w:hAnsi="Segoe UI" w:cs="Segoe UI" w:eastAsia="Segoe UI"/>
          <w:color w:val="231F20"/>
          <w:spacing w:val="-3"/>
          <w:sz w:val="20"/>
          <w:szCs w:val="20"/>
        </w:rPr>
        <w:t> </w:t>
      </w:r>
      <w:r>
        <w:rPr>
          <w:rFonts w:ascii="Segoe UI" w:hAnsi="Segoe UI" w:cs="Segoe UI" w:eastAsia="Segoe UI"/>
          <w:color w:val="231F20"/>
          <w:spacing w:val="-1"/>
          <w:sz w:val="20"/>
          <w:szCs w:val="20"/>
        </w:rPr>
        <w:t>5725:2015</w:t>
      </w:r>
      <w:r>
        <w:rPr>
          <w:rFonts w:ascii="Segoe UI" w:hAnsi="Segoe UI" w:cs="Segoe UI" w:eastAsia="Segoe UI"/>
          <w:color w:val="231F20"/>
          <w:spacing w:val="-2"/>
          <w:sz w:val="20"/>
          <w:szCs w:val="20"/>
        </w:rPr>
        <w:t> </w:t>
      </w:r>
      <w:r>
        <w:rPr>
          <w:rFonts w:ascii="Segoe UI" w:hAnsi="Segoe UI" w:cs="Segoe UI" w:eastAsia="Segoe UI"/>
          <w:i/>
          <w:color w:val="231F20"/>
          <w:spacing w:val="-1"/>
          <w:sz w:val="20"/>
          <w:szCs w:val="20"/>
        </w:rPr>
        <w:t>Boarding</w:t>
      </w:r>
      <w:r>
        <w:rPr>
          <w:rFonts w:ascii="Segoe UI" w:hAnsi="Segoe UI" w:cs="Segoe UI" w:eastAsia="Segoe UI"/>
          <w:i/>
          <w:color w:val="231F20"/>
          <w:spacing w:val="37"/>
          <w:w w:val="99"/>
          <w:sz w:val="20"/>
          <w:szCs w:val="20"/>
        </w:rPr>
        <w:t> </w:t>
      </w:r>
      <w:r>
        <w:rPr>
          <w:rFonts w:ascii="Segoe UI" w:hAnsi="Segoe UI" w:cs="Segoe UI" w:eastAsia="Segoe UI"/>
          <w:i/>
          <w:color w:val="231F20"/>
          <w:spacing w:val="-1"/>
          <w:sz w:val="20"/>
          <w:szCs w:val="20"/>
        </w:rPr>
        <w:t>Standard</w:t>
      </w:r>
      <w:r>
        <w:rPr>
          <w:rFonts w:ascii="Segoe UI" w:hAnsi="Segoe UI" w:cs="Segoe UI" w:eastAsia="Segoe UI"/>
          <w:i/>
          <w:color w:val="231F20"/>
          <w:spacing w:val="-5"/>
          <w:sz w:val="20"/>
          <w:szCs w:val="20"/>
        </w:rPr>
        <w:t> </w:t>
      </w:r>
      <w:r>
        <w:rPr>
          <w:rFonts w:ascii="Segoe UI" w:hAnsi="Segoe UI" w:cs="Segoe UI" w:eastAsia="Segoe UI"/>
          <w:i/>
          <w:color w:val="231F20"/>
          <w:sz w:val="20"/>
          <w:szCs w:val="20"/>
        </w:rPr>
        <w:t>for</w:t>
      </w:r>
      <w:r>
        <w:rPr>
          <w:rFonts w:ascii="Segoe UI" w:hAnsi="Segoe UI" w:cs="Segoe UI" w:eastAsia="Segoe UI"/>
          <w:i/>
          <w:color w:val="231F20"/>
          <w:spacing w:val="-5"/>
          <w:sz w:val="20"/>
          <w:szCs w:val="20"/>
        </w:rPr>
        <w:t> </w:t>
      </w:r>
      <w:r>
        <w:rPr>
          <w:rFonts w:ascii="Segoe UI" w:hAnsi="Segoe UI" w:cs="Segoe UI" w:eastAsia="Segoe UI"/>
          <w:i/>
          <w:color w:val="231F20"/>
          <w:spacing w:val="-1"/>
          <w:sz w:val="20"/>
          <w:szCs w:val="20"/>
        </w:rPr>
        <w:t>Australian</w:t>
      </w:r>
      <w:r>
        <w:rPr>
          <w:rFonts w:ascii="Segoe UI" w:hAnsi="Segoe UI" w:cs="Segoe UI" w:eastAsia="Segoe UI"/>
          <w:i/>
          <w:color w:val="231F20"/>
          <w:spacing w:val="-5"/>
          <w:sz w:val="20"/>
          <w:szCs w:val="20"/>
        </w:rPr>
        <w:t> </w:t>
      </w:r>
      <w:r>
        <w:rPr>
          <w:rFonts w:ascii="Segoe UI" w:hAnsi="Segoe UI" w:cs="Segoe UI" w:eastAsia="Segoe UI"/>
          <w:i/>
          <w:color w:val="231F20"/>
          <w:spacing w:val="-1"/>
          <w:sz w:val="20"/>
          <w:szCs w:val="20"/>
        </w:rPr>
        <w:t>schools</w:t>
      </w:r>
      <w:r>
        <w:rPr>
          <w:rFonts w:ascii="Segoe UI" w:hAnsi="Segoe UI" w:cs="Segoe UI" w:eastAsia="Segoe UI"/>
          <w:i/>
          <w:color w:val="231F20"/>
          <w:spacing w:val="-5"/>
          <w:sz w:val="20"/>
          <w:szCs w:val="20"/>
        </w:rPr>
        <w:t> </w:t>
      </w:r>
      <w:r>
        <w:rPr>
          <w:rFonts w:ascii="Segoe UI" w:hAnsi="Segoe UI" w:cs="Segoe UI" w:eastAsia="Segoe UI"/>
          <w:i/>
          <w:color w:val="231F20"/>
          <w:sz w:val="20"/>
          <w:szCs w:val="20"/>
        </w:rPr>
        <w:t>and</w:t>
      </w:r>
      <w:r>
        <w:rPr>
          <w:rFonts w:ascii="Segoe UI" w:hAnsi="Segoe UI" w:cs="Segoe UI" w:eastAsia="Segoe UI"/>
          <w:i/>
          <w:color w:val="231F20"/>
          <w:spacing w:val="-4"/>
          <w:sz w:val="20"/>
          <w:szCs w:val="20"/>
        </w:rPr>
        <w:t> </w:t>
      </w:r>
      <w:r>
        <w:rPr>
          <w:rFonts w:ascii="Segoe UI" w:hAnsi="Segoe UI" w:cs="Segoe UI" w:eastAsia="Segoe UI"/>
          <w:i/>
          <w:color w:val="231F20"/>
          <w:spacing w:val="-1"/>
          <w:sz w:val="20"/>
          <w:szCs w:val="20"/>
        </w:rPr>
        <w:t>residences</w:t>
      </w:r>
      <w:r>
        <w:rPr>
          <w:rFonts w:ascii="Segoe UI" w:hAnsi="Segoe UI" w:cs="Segoe UI" w:eastAsia="Segoe UI"/>
          <w:sz w:val="20"/>
          <w:szCs w:val="20"/>
        </w:rPr>
      </w:r>
    </w:p>
    <w:p>
      <w:pPr>
        <w:pStyle w:val="BodyText"/>
        <w:spacing w:line="250" w:lineRule="exact" w:before="113"/>
        <w:ind w:left="100" w:right="203"/>
        <w:jc w:val="left"/>
      </w:pPr>
      <w:r>
        <w:rPr>
          <w:rFonts w:ascii="Segoe UI" w:hAnsi="Segoe UI" w:cs="Segoe UI" w:eastAsia="Segoe UI"/>
          <w:b/>
          <w:bCs/>
          <w:color w:val="231F20"/>
        </w:rPr>
        <w:t>DET</w:t>
      </w:r>
      <w:r>
        <w:rPr>
          <w:color w:val="231F20"/>
        </w:rPr>
        <w:t>—Department</w:t>
      </w:r>
      <w:r>
        <w:rPr>
          <w:color w:val="231F20"/>
          <w:spacing w:val="-9"/>
        </w:rPr>
        <w:t> </w:t>
      </w:r>
      <w:r>
        <w:rPr>
          <w:color w:val="231F20"/>
        </w:rPr>
        <w:t>of</w:t>
      </w:r>
      <w:r>
        <w:rPr>
          <w:color w:val="231F20"/>
          <w:spacing w:val="-9"/>
        </w:rPr>
        <w:t> </w:t>
      </w:r>
      <w:r>
        <w:rPr>
          <w:color w:val="231F20"/>
        </w:rPr>
        <w:t>Education</w:t>
      </w:r>
      <w:r>
        <w:rPr>
          <w:color w:val="231F20"/>
          <w:spacing w:val="-10"/>
        </w:rPr>
        <w:t> </w:t>
      </w:r>
      <w:r>
        <w:rPr>
          <w:color w:val="231F20"/>
        </w:rPr>
        <w:t>and</w:t>
      </w:r>
      <w:r>
        <w:rPr>
          <w:color w:val="231F20"/>
          <w:spacing w:val="-9"/>
        </w:rPr>
        <w:t> </w:t>
      </w:r>
      <w:r>
        <w:rPr>
          <w:color w:val="231F20"/>
          <w:spacing w:val="-3"/>
        </w:rPr>
        <w:t>Training</w:t>
      </w:r>
      <w:r>
        <w:rPr>
          <w:color w:val="231F20"/>
          <w:spacing w:val="26"/>
          <w:w w:val="99"/>
        </w:rPr>
        <w:t> </w:t>
      </w:r>
      <w:r>
        <w:rPr>
          <w:color w:val="231F20"/>
        </w:rPr>
        <w:t>(Commonwealth)</w:t>
      </w:r>
      <w:r>
        <w:rPr/>
      </w:r>
    </w:p>
    <w:p>
      <w:pPr>
        <w:pStyle w:val="BodyText"/>
        <w:spacing w:line="250" w:lineRule="exact" w:before="113"/>
        <w:ind w:left="100" w:right="867"/>
        <w:jc w:val="both"/>
      </w:pPr>
      <w:r>
        <w:rPr>
          <w:rFonts w:ascii="Segoe UI" w:hAnsi="Segoe UI" w:cs="Segoe UI" w:eastAsia="Segoe UI"/>
          <w:b/>
          <w:bCs/>
          <w:color w:val="231F20"/>
        </w:rPr>
        <w:t>ICSEA</w:t>
      </w:r>
      <w:r>
        <w:rPr>
          <w:color w:val="231F20"/>
        </w:rPr>
        <w:t>—the</w:t>
      </w:r>
      <w:r>
        <w:rPr>
          <w:color w:val="231F20"/>
          <w:spacing w:val="-4"/>
        </w:rPr>
        <w:t> </w:t>
      </w:r>
      <w:r>
        <w:rPr>
          <w:color w:val="231F20"/>
          <w:spacing w:val="-1"/>
        </w:rPr>
        <w:t>Index</w:t>
      </w:r>
      <w:r>
        <w:rPr>
          <w:color w:val="231F20"/>
          <w:spacing w:val="-3"/>
        </w:rPr>
        <w:t> </w:t>
      </w:r>
      <w:r>
        <w:rPr>
          <w:color w:val="231F20"/>
        </w:rPr>
        <w:t>of</w:t>
      </w:r>
      <w:r>
        <w:rPr>
          <w:color w:val="231F20"/>
          <w:spacing w:val="-3"/>
        </w:rPr>
        <w:t> </w:t>
      </w:r>
      <w:r>
        <w:rPr>
          <w:color w:val="231F20"/>
          <w:spacing w:val="-1"/>
        </w:rPr>
        <w:t>Community</w:t>
      </w:r>
      <w:r>
        <w:rPr>
          <w:color w:val="231F20"/>
          <w:spacing w:val="-4"/>
        </w:rPr>
        <w:t> </w:t>
      </w:r>
      <w:r>
        <w:rPr>
          <w:color w:val="231F20"/>
          <w:spacing w:val="-1"/>
        </w:rPr>
        <w:t>Socio-</w:t>
      </w:r>
      <w:r>
        <w:rPr>
          <w:color w:val="231F20"/>
          <w:spacing w:val="23"/>
        </w:rPr>
        <w:t> </w:t>
      </w:r>
      <w:r>
        <w:rPr>
          <w:color w:val="231F20"/>
        </w:rPr>
        <w:t>Educational</w:t>
      </w:r>
      <w:r>
        <w:rPr>
          <w:color w:val="231F20"/>
          <w:spacing w:val="-7"/>
        </w:rPr>
        <w:t> </w:t>
      </w:r>
      <w:r>
        <w:rPr>
          <w:color w:val="231F20"/>
        </w:rPr>
        <w:t>Advantage.</w:t>
      </w:r>
      <w:r>
        <w:rPr>
          <w:color w:val="231F20"/>
          <w:spacing w:val="-7"/>
        </w:rPr>
        <w:t> </w:t>
      </w:r>
      <w:r>
        <w:rPr>
          <w:color w:val="231F20"/>
          <w:spacing w:val="-1"/>
        </w:rPr>
        <w:t>ICSEA</w:t>
      </w:r>
      <w:r>
        <w:rPr>
          <w:color w:val="231F20"/>
          <w:spacing w:val="-6"/>
        </w:rPr>
        <w:t> </w:t>
      </w:r>
      <w:r>
        <w:rPr>
          <w:color w:val="231F20"/>
        </w:rPr>
        <w:t>provides</w:t>
      </w:r>
      <w:r>
        <w:rPr>
          <w:color w:val="231F20"/>
          <w:spacing w:val="21"/>
          <w:w w:val="99"/>
        </w:rPr>
        <w:t> </w:t>
      </w:r>
      <w:r>
        <w:rPr>
          <w:color w:val="231F20"/>
        </w:rPr>
        <w:t>an</w:t>
      </w:r>
      <w:r>
        <w:rPr>
          <w:color w:val="231F20"/>
          <w:spacing w:val="-9"/>
        </w:rPr>
        <w:t> </w:t>
      </w:r>
      <w:r>
        <w:rPr>
          <w:color w:val="231F20"/>
          <w:spacing w:val="-1"/>
        </w:rPr>
        <w:t>indication</w:t>
      </w:r>
      <w:r>
        <w:rPr>
          <w:color w:val="231F20"/>
          <w:spacing w:val="-8"/>
        </w:rPr>
        <w:t> </w:t>
      </w:r>
      <w:r>
        <w:rPr>
          <w:color w:val="231F20"/>
        </w:rPr>
        <w:t>of</w:t>
      </w:r>
      <w:r>
        <w:rPr>
          <w:color w:val="231F20"/>
          <w:spacing w:val="-8"/>
        </w:rPr>
        <w:t> </w:t>
      </w:r>
      <w:r>
        <w:rPr>
          <w:color w:val="231F20"/>
        </w:rPr>
        <w:t>the</w:t>
      </w:r>
      <w:r>
        <w:rPr>
          <w:color w:val="231F20"/>
          <w:spacing w:val="-9"/>
        </w:rPr>
        <w:t> </w:t>
      </w:r>
      <w:r>
        <w:rPr>
          <w:color w:val="231F20"/>
          <w:spacing w:val="-1"/>
        </w:rPr>
        <w:t>socio-educational</w:t>
      </w:r>
      <w:r>
        <w:rPr/>
      </w:r>
    </w:p>
    <w:p>
      <w:pPr>
        <w:pStyle w:val="BodyText"/>
        <w:spacing w:line="250" w:lineRule="exact"/>
        <w:ind w:left="100" w:right="440"/>
        <w:jc w:val="left"/>
      </w:pPr>
      <w:r>
        <w:rPr>
          <w:color w:val="231F20"/>
        </w:rPr>
        <w:t>backgrounds</w:t>
      </w:r>
      <w:r>
        <w:rPr>
          <w:color w:val="231F20"/>
          <w:spacing w:val="-6"/>
        </w:rPr>
        <w:t> </w:t>
      </w:r>
      <w:r>
        <w:rPr>
          <w:color w:val="231F20"/>
        </w:rPr>
        <w:t>of</w:t>
      </w:r>
      <w:r>
        <w:rPr>
          <w:color w:val="231F20"/>
          <w:spacing w:val="-5"/>
        </w:rPr>
        <w:t> </w:t>
      </w:r>
      <w:r>
        <w:rPr>
          <w:color w:val="231F20"/>
          <w:spacing w:val="-1"/>
        </w:rPr>
        <w:t>students;</w:t>
      </w:r>
      <w:r>
        <w:rPr>
          <w:color w:val="231F20"/>
          <w:spacing w:val="-5"/>
        </w:rPr>
        <w:t> </w:t>
      </w:r>
      <w:r>
        <w:rPr>
          <w:color w:val="231F20"/>
          <w:spacing w:val="-1"/>
        </w:rPr>
        <w:t>it</w:t>
      </w:r>
      <w:r>
        <w:rPr>
          <w:color w:val="231F20"/>
          <w:spacing w:val="-5"/>
        </w:rPr>
        <w:t> </w:t>
      </w:r>
      <w:r>
        <w:rPr>
          <w:color w:val="231F20"/>
        </w:rPr>
        <w:t>has</w:t>
      </w:r>
      <w:r>
        <w:rPr>
          <w:color w:val="231F20"/>
          <w:spacing w:val="-6"/>
        </w:rPr>
        <w:t> </w:t>
      </w:r>
      <w:r>
        <w:rPr>
          <w:color w:val="231F20"/>
        </w:rPr>
        <w:t>nothing</w:t>
      </w:r>
      <w:r>
        <w:rPr>
          <w:color w:val="231F20"/>
          <w:spacing w:val="-5"/>
        </w:rPr>
        <w:t> </w:t>
      </w:r>
      <w:r>
        <w:rPr>
          <w:color w:val="231F20"/>
        </w:rPr>
        <w:t>to</w:t>
      </w:r>
      <w:r>
        <w:rPr>
          <w:color w:val="231F20"/>
          <w:spacing w:val="23"/>
          <w:w w:val="99"/>
        </w:rPr>
        <w:t> </w:t>
      </w:r>
      <w:r>
        <w:rPr>
          <w:rFonts w:ascii="Segoe UI"/>
          <w:color w:val="231F20"/>
        </w:rPr>
        <w:t>do</w:t>
      </w:r>
      <w:r>
        <w:rPr>
          <w:rFonts w:ascii="Segoe UI"/>
          <w:color w:val="231F20"/>
          <w:spacing w:val="-1"/>
        </w:rPr>
        <w:t> </w:t>
      </w:r>
      <w:r>
        <w:rPr>
          <w:rFonts w:ascii="Segoe UI"/>
          <w:color w:val="231F20"/>
        </w:rPr>
        <w:t>with</w:t>
      </w:r>
      <w:r>
        <w:rPr>
          <w:rFonts w:ascii="Segoe UI"/>
          <w:color w:val="231F20"/>
          <w:spacing w:val="-1"/>
        </w:rPr>
        <w:t> </w:t>
      </w:r>
      <w:r>
        <w:rPr>
          <w:rFonts w:ascii="Segoe UI"/>
          <w:color w:val="231F20"/>
        </w:rPr>
        <w:t>the staff,</w:t>
      </w:r>
      <w:r>
        <w:rPr>
          <w:rFonts w:ascii="Segoe UI"/>
          <w:color w:val="231F20"/>
          <w:spacing w:val="-1"/>
        </w:rPr>
        <w:t> </w:t>
      </w:r>
      <w:r>
        <w:rPr>
          <w:rFonts w:ascii="Segoe UI"/>
          <w:color w:val="231F20"/>
        </w:rPr>
        <w:t>school</w:t>
      </w:r>
      <w:r>
        <w:rPr>
          <w:rFonts w:ascii="Segoe UI"/>
          <w:color w:val="231F20"/>
          <w:spacing w:val="-1"/>
        </w:rPr>
        <w:t> </w:t>
      </w:r>
      <w:r>
        <w:rPr>
          <w:rFonts w:ascii="Segoe UI"/>
          <w:color w:val="231F20"/>
        </w:rPr>
        <w:t>facilities or</w:t>
      </w:r>
      <w:r>
        <w:rPr>
          <w:rFonts w:ascii="Segoe UI"/>
          <w:color w:val="231F20"/>
          <w:spacing w:val="-1"/>
        </w:rPr>
        <w:t> </w:t>
      </w:r>
      <w:r>
        <w:rPr>
          <w:rFonts w:ascii="Segoe UI"/>
          <w:color w:val="231F20"/>
        </w:rPr>
        <w:t>teaching</w:t>
      </w:r>
      <w:r>
        <w:rPr>
          <w:rFonts w:ascii="Segoe UI"/>
          <w:color w:val="231F20"/>
        </w:rPr>
        <w:t> </w:t>
      </w:r>
      <w:r>
        <w:rPr>
          <w:color w:val="231F20"/>
        </w:rPr>
        <w:t>programs</w:t>
      </w:r>
      <w:r>
        <w:rPr>
          <w:color w:val="231F20"/>
          <w:spacing w:val="-6"/>
        </w:rPr>
        <w:t> </w:t>
      </w:r>
      <w:r>
        <w:rPr>
          <w:color w:val="231F20"/>
        </w:rPr>
        <w:t>at</w:t>
      </w:r>
      <w:r>
        <w:rPr>
          <w:color w:val="231F20"/>
          <w:spacing w:val="-4"/>
        </w:rPr>
        <w:t> </w:t>
      </w:r>
      <w:r>
        <w:rPr>
          <w:color w:val="231F20"/>
        </w:rPr>
        <w:t>the</w:t>
      </w:r>
      <w:r>
        <w:rPr>
          <w:color w:val="231F20"/>
          <w:spacing w:val="-6"/>
        </w:rPr>
        <w:t> </w:t>
      </w:r>
      <w:r>
        <w:rPr>
          <w:color w:val="231F20"/>
          <w:spacing w:val="-1"/>
        </w:rPr>
        <w:t>school</w:t>
      </w:r>
      <w:r>
        <w:rPr/>
      </w:r>
    </w:p>
    <w:p>
      <w:pPr>
        <w:pStyle w:val="BodyText"/>
        <w:spacing w:line="250" w:lineRule="exact" w:before="113"/>
        <w:ind w:left="100" w:right="132"/>
        <w:jc w:val="left"/>
      </w:pPr>
      <w:r>
        <w:rPr>
          <w:rFonts w:ascii="Segoe UI" w:hAnsi="Segoe UI" w:cs="Segoe UI" w:eastAsia="Segoe UI"/>
          <w:b/>
          <w:bCs/>
          <w:color w:val="231F20"/>
        </w:rPr>
        <w:t>Indigenous</w:t>
      </w:r>
      <w:r>
        <w:rPr>
          <w:rFonts w:ascii="Segoe UI" w:hAnsi="Segoe UI" w:cs="Segoe UI" w:eastAsia="Segoe UI"/>
          <w:b/>
          <w:bCs/>
          <w:color w:val="231F20"/>
          <w:spacing w:val="-3"/>
        </w:rPr>
        <w:t> </w:t>
      </w:r>
      <w:r>
        <w:rPr>
          <w:rFonts w:ascii="Segoe UI" w:hAnsi="Segoe UI" w:cs="Segoe UI" w:eastAsia="Segoe UI"/>
          <w:b/>
          <w:bCs/>
          <w:color w:val="231F20"/>
          <w:spacing w:val="-2"/>
        </w:rPr>
        <w:t>Advancement Strategy</w:t>
      </w:r>
      <w:r>
        <w:rPr>
          <w:rFonts w:ascii="Segoe UI" w:hAnsi="Segoe UI" w:cs="Segoe UI" w:eastAsia="Segoe UI"/>
          <w:b/>
          <w:bCs/>
          <w:color w:val="231F20"/>
          <w:spacing w:val="-3"/>
        </w:rPr>
        <w:t> </w:t>
      </w:r>
      <w:r>
        <w:rPr>
          <w:rFonts w:ascii="Segoe UI" w:hAnsi="Segoe UI" w:cs="Segoe UI" w:eastAsia="Segoe UI"/>
          <w:b/>
          <w:bCs/>
          <w:color w:val="231F20"/>
          <w:spacing w:val="-1"/>
        </w:rPr>
        <w:t>(IAS)</w:t>
      </w:r>
      <w:r>
        <w:rPr>
          <w:color w:val="231F20"/>
          <w:spacing w:val="-1"/>
        </w:rPr>
        <w:t>—is</w:t>
      </w:r>
      <w:r>
        <w:rPr>
          <w:color w:val="231F20"/>
          <w:spacing w:val="43"/>
        </w:rPr>
        <w:t> </w:t>
      </w:r>
      <w:r>
        <w:rPr>
          <w:color w:val="231F20"/>
        </w:rPr>
        <w:t>the</w:t>
      </w:r>
      <w:r>
        <w:rPr>
          <w:color w:val="231F20"/>
          <w:spacing w:val="-7"/>
        </w:rPr>
        <w:t> </w:t>
      </w:r>
      <w:r>
        <w:rPr>
          <w:color w:val="231F20"/>
        </w:rPr>
        <w:t>way</w:t>
      </w:r>
      <w:r>
        <w:rPr>
          <w:color w:val="231F20"/>
          <w:spacing w:val="-7"/>
        </w:rPr>
        <w:t> </w:t>
      </w:r>
      <w:r>
        <w:rPr>
          <w:color w:val="231F20"/>
          <w:spacing w:val="-1"/>
        </w:rPr>
        <w:t>in</w:t>
      </w:r>
      <w:r>
        <w:rPr>
          <w:color w:val="231F20"/>
          <w:spacing w:val="-5"/>
        </w:rPr>
        <w:t> </w:t>
      </w:r>
      <w:r>
        <w:rPr>
          <w:color w:val="231F20"/>
        </w:rPr>
        <w:t>which</w:t>
      </w:r>
      <w:r>
        <w:rPr>
          <w:color w:val="231F20"/>
          <w:spacing w:val="-7"/>
        </w:rPr>
        <w:t> </w:t>
      </w:r>
      <w:r>
        <w:rPr>
          <w:color w:val="231F20"/>
        </w:rPr>
        <w:t>the</w:t>
      </w:r>
      <w:r>
        <w:rPr>
          <w:color w:val="231F20"/>
          <w:spacing w:val="-7"/>
        </w:rPr>
        <w:t> </w:t>
      </w:r>
      <w:r>
        <w:rPr>
          <w:color w:val="231F20"/>
        </w:rPr>
        <w:t>Australian</w:t>
      </w:r>
      <w:r>
        <w:rPr>
          <w:color w:val="231F20"/>
          <w:spacing w:val="-5"/>
        </w:rPr>
        <w:t> </w:t>
      </w:r>
      <w:r>
        <w:rPr>
          <w:color w:val="231F20"/>
        </w:rPr>
        <w:t>Government</w:t>
      </w:r>
      <w:r>
        <w:rPr>
          <w:color w:val="231F20"/>
          <w:spacing w:val="21"/>
          <w:w w:val="99"/>
        </w:rPr>
        <w:t> </w:t>
      </w:r>
      <w:r>
        <w:rPr>
          <w:color w:val="231F20"/>
        </w:rPr>
        <w:t>funds</w:t>
      </w:r>
      <w:r>
        <w:rPr>
          <w:color w:val="231F20"/>
          <w:spacing w:val="-5"/>
        </w:rPr>
        <w:t> </w:t>
      </w:r>
      <w:r>
        <w:rPr>
          <w:color w:val="231F20"/>
        </w:rPr>
        <w:t>and</w:t>
      </w:r>
      <w:r>
        <w:rPr>
          <w:color w:val="231F20"/>
          <w:spacing w:val="-5"/>
        </w:rPr>
        <w:t> </w:t>
      </w:r>
      <w:r>
        <w:rPr>
          <w:color w:val="231F20"/>
        </w:rPr>
        <w:t>delivers</w:t>
      </w:r>
      <w:r>
        <w:rPr>
          <w:color w:val="231F20"/>
          <w:spacing w:val="-5"/>
        </w:rPr>
        <w:t> </w:t>
      </w:r>
      <w:r>
        <w:rPr>
          <w:color w:val="231F20"/>
        </w:rPr>
        <w:t>a</w:t>
      </w:r>
      <w:r>
        <w:rPr>
          <w:color w:val="231F20"/>
          <w:spacing w:val="-3"/>
        </w:rPr>
        <w:t> </w:t>
      </w:r>
      <w:r>
        <w:rPr>
          <w:color w:val="231F20"/>
        </w:rPr>
        <w:t>range</w:t>
      </w:r>
      <w:r>
        <w:rPr>
          <w:color w:val="231F20"/>
          <w:spacing w:val="-5"/>
        </w:rPr>
        <w:t> </w:t>
      </w:r>
      <w:r>
        <w:rPr>
          <w:color w:val="231F20"/>
        </w:rPr>
        <w:t>of</w:t>
      </w:r>
      <w:r>
        <w:rPr>
          <w:color w:val="231F20"/>
          <w:spacing w:val="-4"/>
        </w:rPr>
        <w:t> </w:t>
      </w:r>
      <w:r>
        <w:rPr>
          <w:color w:val="231F20"/>
        </w:rPr>
        <w:t>programmes</w:t>
      </w:r>
      <w:r>
        <w:rPr>
          <w:color w:val="231F20"/>
          <w:w w:val="99"/>
        </w:rPr>
        <w:t> </w:t>
      </w:r>
      <w:r>
        <w:rPr>
          <w:color w:val="231F20"/>
        </w:rPr>
        <w:t>targeting</w:t>
      </w:r>
      <w:r>
        <w:rPr>
          <w:color w:val="231F20"/>
          <w:spacing w:val="-8"/>
        </w:rPr>
        <w:t> </w:t>
      </w:r>
      <w:r>
        <w:rPr>
          <w:color w:val="231F20"/>
        </w:rPr>
        <w:t>Aboriginal</w:t>
      </w:r>
      <w:r>
        <w:rPr>
          <w:color w:val="231F20"/>
          <w:spacing w:val="-6"/>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29"/>
          <w:w w:val="99"/>
        </w:rPr>
        <w:t> </w:t>
      </w:r>
      <w:r>
        <w:rPr>
          <w:rFonts w:ascii="Segoe UI" w:hAnsi="Segoe UI" w:cs="Segoe UI" w:eastAsia="Segoe UI"/>
          <w:color w:val="231F20"/>
        </w:rPr>
        <w:t>peoples. It has five flexible, broad-based</w:t>
      </w:r>
      <w:r>
        <w:rPr>
          <w:rFonts w:ascii="Segoe UI" w:hAnsi="Segoe UI" w:cs="Segoe UI" w:eastAsia="Segoe UI"/>
          <w:color w:val="231F20"/>
        </w:rPr>
        <w:t> </w:t>
      </w:r>
      <w:r>
        <w:rPr>
          <w:color w:val="231F20"/>
        </w:rPr>
        <w:t>programmes:</w:t>
      </w:r>
      <w:r>
        <w:rPr/>
      </w:r>
    </w:p>
    <w:p>
      <w:pPr>
        <w:pStyle w:val="BodyText"/>
        <w:spacing w:line="240" w:lineRule="auto" w:before="97"/>
        <w:ind w:left="100" w:right="0"/>
        <w:jc w:val="left"/>
      </w:pPr>
      <w:r>
        <w:rPr>
          <w:rFonts w:ascii="Century Gothic" w:hAnsi="Century Gothic"/>
          <w:color w:val="231F20"/>
        </w:rPr>
        <w:t>» </w:t>
      </w:r>
      <w:r>
        <w:rPr>
          <w:rFonts w:ascii="Century Gothic" w:hAnsi="Century Gothic"/>
          <w:color w:val="231F20"/>
          <w:spacing w:val="21"/>
        </w:rPr>
        <w:t> </w:t>
      </w:r>
      <w:r>
        <w:rPr>
          <w:color w:val="231F20"/>
        </w:rPr>
        <w:t>Jobs,</w:t>
      </w:r>
      <w:r>
        <w:rPr>
          <w:color w:val="231F20"/>
          <w:spacing w:val="-5"/>
        </w:rPr>
        <w:t> </w:t>
      </w:r>
      <w:r>
        <w:rPr>
          <w:color w:val="231F20"/>
        </w:rPr>
        <w:t>Land</w:t>
      </w:r>
      <w:r>
        <w:rPr>
          <w:color w:val="231F20"/>
          <w:spacing w:val="-5"/>
        </w:rPr>
        <w:t> </w:t>
      </w:r>
      <w:r>
        <w:rPr>
          <w:color w:val="231F20"/>
        </w:rPr>
        <w:t>and</w:t>
      </w:r>
      <w:r>
        <w:rPr>
          <w:color w:val="231F20"/>
          <w:spacing w:val="-5"/>
        </w:rPr>
        <w:t> </w:t>
      </w:r>
      <w:r>
        <w:rPr>
          <w:color w:val="231F20"/>
        </w:rPr>
        <w:t>Economy</w:t>
      </w:r>
      <w:r>
        <w:rPr/>
      </w:r>
    </w:p>
    <w:p>
      <w:pPr>
        <w:pStyle w:val="BodyText"/>
        <w:spacing w:line="240" w:lineRule="auto" w:before="97"/>
        <w:ind w:left="100" w:right="0"/>
        <w:jc w:val="left"/>
      </w:pPr>
      <w:r>
        <w:rPr>
          <w:rFonts w:ascii="Century Gothic" w:hAnsi="Century Gothic"/>
          <w:color w:val="231F20"/>
        </w:rPr>
        <w:t>» </w:t>
      </w:r>
      <w:r>
        <w:rPr>
          <w:rFonts w:ascii="Century Gothic" w:hAnsi="Century Gothic"/>
          <w:color w:val="231F20"/>
          <w:spacing w:val="24"/>
        </w:rPr>
        <w:t> </w:t>
      </w:r>
      <w:r>
        <w:rPr>
          <w:color w:val="231F20"/>
          <w:spacing w:val="-1"/>
        </w:rPr>
        <w:t>Children</w:t>
      </w:r>
      <w:r>
        <w:rPr>
          <w:color w:val="231F20"/>
          <w:spacing w:val="-3"/>
        </w:rPr>
        <w:t> </w:t>
      </w:r>
      <w:r>
        <w:rPr>
          <w:color w:val="231F20"/>
        </w:rPr>
        <w:t>and</w:t>
      </w:r>
      <w:r>
        <w:rPr>
          <w:color w:val="231F20"/>
          <w:spacing w:val="-3"/>
        </w:rPr>
        <w:t> </w:t>
      </w:r>
      <w:r>
        <w:rPr>
          <w:color w:val="231F20"/>
          <w:spacing w:val="-1"/>
        </w:rPr>
        <w:t>Schooling</w:t>
      </w:r>
      <w:r>
        <w:rPr/>
      </w:r>
    </w:p>
    <w:p>
      <w:pPr>
        <w:pStyle w:val="BodyText"/>
        <w:spacing w:line="240" w:lineRule="auto" w:before="97"/>
        <w:ind w:left="100" w:right="0"/>
        <w:jc w:val="left"/>
      </w:pPr>
      <w:r>
        <w:rPr>
          <w:rFonts w:ascii="Century Gothic" w:hAnsi="Century Gothic"/>
          <w:color w:val="231F20"/>
        </w:rPr>
        <w:t>» </w:t>
      </w:r>
      <w:r>
        <w:rPr>
          <w:rFonts w:ascii="Century Gothic" w:hAnsi="Century Gothic"/>
          <w:color w:val="231F20"/>
          <w:spacing w:val="25"/>
        </w:rPr>
        <w:t> </w:t>
      </w:r>
      <w:r>
        <w:rPr>
          <w:color w:val="231F20"/>
          <w:spacing w:val="-1"/>
        </w:rPr>
        <w:t>Safety</w:t>
      </w:r>
      <w:r>
        <w:rPr>
          <w:color w:val="231F20"/>
          <w:spacing w:val="-2"/>
        </w:rPr>
        <w:t> </w:t>
      </w:r>
      <w:r>
        <w:rPr>
          <w:color w:val="231F20"/>
        </w:rPr>
        <w:t>and</w:t>
      </w:r>
      <w:r>
        <w:rPr>
          <w:color w:val="231F20"/>
          <w:spacing w:val="-4"/>
        </w:rPr>
        <w:t> </w:t>
      </w:r>
      <w:r>
        <w:rPr>
          <w:color w:val="231F20"/>
          <w:spacing w:val="-1"/>
        </w:rPr>
        <w:t>Wellbeing</w:t>
      </w:r>
      <w:r>
        <w:rPr/>
      </w:r>
    </w:p>
    <w:p>
      <w:pPr>
        <w:pStyle w:val="BodyText"/>
        <w:spacing w:line="240" w:lineRule="auto" w:before="97"/>
        <w:ind w:left="100" w:right="0"/>
        <w:jc w:val="left"/>
      </w:pPr>
      <w:r>
        <w:rPr>
          <w:rFonts w:ascii="Century Gothic" w:hAnsi="Century Gothic"/>
          <w:color w:val="231F20"/>
        </w:rPr>
        <w:t>» </w:t>
      </w:r>
      <w:r>
        <w:rPr>
          <w:rFonts w:ascii="Century Gothic" w:hAnsi="Century Gothic"/>
          <w:color w:val="231F20"/>
          <w:spacing w:val="19"/>
        </w:rPr>
        <w:t> </w:t>
      </w:r>
      <w:r>
        <w:rPr>
          <w:color w:val="231F20"/>
          <w:spacing w:val="-1"/>
        </w:rPr>
        <w:t>Culture</w:t>
      </w:r>
      <w:r>
        <w:rPr>
          <w:color w:val="231F20"/>
          <w:spacing w:val="-4"/>
        </w:rPr>
        <w:t> </w:t>
      </w:r>
      <w:r>
        <w:rPr>
          <w:color w:val="231F20"/>
        </w:rPr>
        <w:t>and</w:t>
      </w:r>
      <w:r>
        <w:rPr>
          <w:color w:val="231F20"/>
          <w:spacing w:val="-5"/>
        </w:rPr>
        <w:t> </w:t>
      </w:r>
      <w:r>
        <w:rPr>
          <w:color w:val="231F20"/>
          <w:spacing w:val="-1"/>
        </w:rPr>
        <w:t>Capability</w:t>
      </w:r>
      <w:r>
        <w:rPr/>
      </w:r>
    </w:p>
    <w:p>
      <w:pPr>
        <w:pStyle w:val="BodyText"/>
        <w:spacing w:line="240" w:lineRule="auto" w:before="97"/>
        <w:ind w:left="100" w:right="0"/>
        <w:jc w:val="left"/>
      </w:pPr>
      <w:r>
        <w:rPr>
          <w:rFonts w:ascii="Century Gothic" w:hAnsi="Century Gothic"/>
          <w:color w:val="231F20"/>
        </w:rPr>
        <w:t>» </w:t>
      </w:r>
      <w:r>
        <w:rPr>
          <w:rFonts w:ascii="Century Gothic" w:hAnsi="Century Gothic"/>
          <w:color w:val="231F20"/>
          <w:spacing w:val="21"/>
        </w:rPr>
        <w:t> </w:t>
      </w:r>
      <w:r>
        <w:rPr>
          <w:color w:val="231F20"/>
          <w:spacing w:val="-1"/>
        </w:rPr>
        <w:t>Remote</w:t>
      </w:r>
      <w:r>
        <w:rPr>
          <w:color w:val="231F20"/>
          <w:spacing w:val="-5"/>
        </w:rPr>
        <w:t> </w:t>
      </w:r>
      <w:r>
        <w:rPr>
          <w:color w:val="231F20"/>
        </w:rPr>
        <w:t>Australia</w:t>
      </w:r>
      <w:r>
        <w:rPr>
          <w:color w:val="231F20"/>
          <w:spacing w:val="-4"/>
        </w:rPr>
        <w:t> </w:t>
      </w:r>
      <w:r>
        <w:rPr>
          <w:color w:val="231F20"/>
          <w:spacing w:val="-1"/>
        </w:rPr>
        <w:t>Strategies.</w:t>
      </w:r>
      <w:r>
        <w:rPr/>
      </w:r>
    </w:p>
    <w:p>
      <w:pPr>
        <w:pStyle w:val="BodyText"/>
        <w:spacing w:line="258" w:lineRule="exact" w:before="97"/>
        <w:ind w:left="100" w:right="0"/>
        <w:jc w:val="left"/>
        <w:rPr>
          <w:rFonts w:ascii="Segoe UI" w:hAnsi="Segoe UI" w:cs="Segoe UI" w:eastAsia="Segoe UI"/>
        </w:rPr>
      </w:pPr>
      <w:hyperlink r:id="rId94">
        <w:r>
          <w:rPr>
            <w:rFonts w:ascii="Segoe UI"/>
            <w:color w:val="231F20"/>
          </w:rPr>
          <w:t>https://www.pmc.gov.au/indigenous-affairs/</w:t>
        </w:r>
        <w:r>
          <w:rPr>
            <w:rFonts w:ascii="Segoe UI"/>
          </w:rPr>
        </w:r>
      </w:hyperlink>
    </w:p>
    <w:p>
      <w:pPr>
        <w:pStyle w:val="BodyText"/>
        <w:spacing w:line="258" w:lineRule="exact"/>
        <w:ind w:left="100" w:right="0"/>
        <w:jc w:val="left"/>
      </w:pPr>
      <w:r>
        <w:rPr>
          <w:color w:val="231F20"/>
          <w:spacing w:val="-1"/>
        </w:rPr>
        <w:t>indigenous-advancement-strategy</w:t>
      </w:r>
      <w:r>
        <w:rPr/>
      </w:r>
    </w:p>
    <w:p>
      <w:pPr>
        <w:pStyle w:val="BodyText"/>
        <w:spacing w:line="250" w:lineRule="exact" w:before="113"/>
        <w:ind w:left="100" w:right="243"/>
        <w:jc w:val="left"/>
      </w:pPr>
      <w:r>
        <w:rPr>
          <w:rFonts w:ascii="Segoe UI" w:hAnsi="Segoe UI" w:cs="Segoe UI" w:eastAsia="Segoe UI"/>
          <w:b/>
          <w:bCs/>
          <w:color w:val="231F20"/>
          <w:spacing w:val="-1"/>
        </w:rPr>
        <w:t>Mainstream</w:t>
      </w:r>
      <w:r>
        <w:rPr>
          <w:rFonts w:ascii="Segoe UI" w:hAnsi="Segoe UI" w:cs="Segoe UI" w:eastAsia="Segoe UI"/>
          <w:b/>
          <w:bCs/>
          <w:color w:val="231F20"/>
          <w:spacing w:val="-5"/>
        </w:rPr>
        <w:t> </w:t>
      </w:r>
      <w:r>
        <w:rPr>
          <w:rFonts w:ascii="Segoe UI" w:hAnsi="Segoe UI" w:cs="Segoe UI" w:eastAsia="Segoe UI"/>
          <w:b/>
          <w:bCs/>
          <w:color w:val="231F20"/>
          <w:spacing w:val="-1"/>
        </w:rPr>
        <w:t>boarding</w:t>
      </w:r>
      <w:r>
        <w:rPr>
          <w:rFonts w:ascii="Segoe UI" w:hAnsi="Segoe UI" w:cs="Segoe UI" w:eastAsia="Segoe UI"/>
          <w:b/>
          <w:bCs/>
          <w:color w:val="231F20"/>
          <w:spacing w:val="-4"/>
        </w:rPr>
        <w:t> </w:t>
      </w:r>
      <w:r>
        <w:rPr>
          <w:rFonts w:ascii="Segoe UI" w:hAnsi="Segoe UI" w:cs="Segoe UI" w:eastAsia="Segoe UI"/>
          <w:b/>
          <w:bCs/>
          <w:color w:val="231F20"/>
          <w:spacing w:val="-1"/>
        </w:rPr>
        <w:t>providers</w:t>
      </w:r>
      <w:r>
        <w:rPr>
          <w:color w:val="231F20"/>
          <w:spacing w:val="-1"/>
        </w:rPr>
        <w:t>—twenty</w:t>
      </w:r>
      <w:r>
        <w:rPr>
          <w:color w:val="231F20"/>
          <w:spacing w:val="41"/>
          <w:w w:val="99"/>
        </w:rPr>
        <w:t> </w:t>
      </w:r>
      <w:r>
        <w:rPr>
          <w:color w:val="231F20"/>
        </w:rPr>
        <w:t>three</w:t>
      </w:r>
      <w:r>
        <w:rPr>
          <w:color w:val="231F20"/>
          <w:spacing w:val="-7"/>
        </w:rPr>
        <w:t> </w:t>
      </w:r>
      <w:r>
        <w:rPr>
          <w:color w:val="231F20"/>
          <w:spacing w:val="-1"/>
        </w:rPr>
        <w:t>mainstream</w:t>
      </w:r>
      <w:r>
        <w:rPr>
          <w:color w:val="231F20"/>
          <w:spacing w:val="-4"/>
        </w:rPr>
        <w:t> </w:t>
      </w:r>
      <w:r>
        <w:rPr>
          <w:color w:val="231F20"/>
        </w:rPr>
        <w:t>boarding</w:t>
      </w:r>
      <w:r>
        <w:rPr>
          <w:color w:val="231F20"/>
          <w:spacing w:val="-6"/>
        </w:rPr>
        <w:t> </w:t>
      </w:r>
      <w:r>
        <w:rPr>
          <w:color w:val="231F20"/>
        </w:rPr>
        <w:t>providers</w:t>
      </w:r>
      <w:r>
        <w:rPr>
          <w:color w:val="231F20"/>
          <w:spacing w:val="-6"/>
        </w:rPr>
        <w:t> </w:t>
      </w:r>
      <w:r>
        <w:rPr>
          <w:color w:val="231F20"/>
          <w:spacing w:val="-1"/>
        </w:rPr>
        <w:t>selected</w:t>
      </w:r>
      <w:r>
        <w:rPr>
          <w:color w:val="231F20"/>
          <w:spacing w:val="21"/>
        </w:rPr>
        <w:t> </w:t>
      </w:r>
      <w:r>
        <w:rPr>
          <w:color w:val="231F20"/>
        </w:rPr>
        <w:t>for</w:t>
      </w:r>
      <w:r>
        <w:rPr>
          <w:color w:val="231F20"/>
          <w:spacing w:val="-6"/>
        </w:rPr>
        <w:t> </w:t>
      </w:r>
      <w:r>
        <w:rPr>
          <w:color w:val="231F20"/>
        </w:rPr>
        <w:t>data</w:t>
      </w:r>
      <w:r>
        <w:rPr>
          <w:color w:val="231F20"/>
          <w:spacing w:val="-7"/>
        </w:rPr>
        <w:t> </w:t>
      </w:r>
      <w:r>
        <w:rPr>
          <w:color w:val="231F20"/>
        </w:rPr>
        <w:t>comparison</w:t>
      </w:r>
      <w:r>
        <w:rPr>
          <w:color w:val="231F20"/>
          <w:spacing w:val="-7"/>
        </w:rPr>
        <w:t> </w:t>
      </w:r>
      <w:r>
        <w:rPr>
          <w:color w:val="231F20"/>
        </w:rPr>
        <w:t>against</w:t>
      </w:r>
      <w:r>
        <w:rPr>
          <w:color w:val="231F20"/>
          <w:spacing w:val="-7"/>
        </w:rPr>
        <w:t> </w:t>
      </w:r>
      <w:r>
        <w:rPr>
          <w:color w:val="231F20"/>
        </w:rPr>
        <w:t>the</w:t>
      </w:r>
      <w:r>
        <w:rPr>
          <w:color w:val="231F20"/>
          <w:spacing w:val="-7"/>
        </w:rPr>
        <w:t> </w:t>
      </w:r>
      <w:r>
        <w:rPr>
          <w:color w:val="231F20"/>
          <w:spacing w:val="-1"/>
        </w:rPr>
        <w:t>27</w:t>
      </w:r>
      <w:r>
        <w:rPr>
          <w:color w:val="231F20"/>
          <w:spacing w:val="-6"/>
        </w:rPr>
        <w:t> </w:t>
      </w:r>
      <w:r>
        <w:rPr>
          <w:color w:val="231F20"/>
        </w:rPr>
        <w:t>Aboriginal</w:t>
      </w:r>
      <w:r>
        <w:rPr>
          <w:color w:val="231F20"/>
          <w:spacing w:val="21"/>
          <w:w w:val="99"/>
        </w:rPr>
        <w:t> </w:t>
      </w:r>
      <w:r>
        <w:rPr>
          <w:color w:val="231F20"/>
        </w:rPr>
        <w:t>and</w:t>
      </w:r>
      <w:r>
        <w:rPr>
          <w:color w:val="231F20"/>
          <w:spacing w:val="-7"/>
        </w:rPr>
        <w:t> </w:t>
      </w:r>
      <w:r>
        <w:rPr>
          <w:color w:val="231F20"/>
          <w:spacing w:val="-5"/>
        </w:rPr>
        <w:t>Torres</w:t>
      </w:r>
      <w:r>
        <w:rPr>
          <w:color w:val="231F20"/>
          <w:spacing w:val="-7"/>
        </w:rPr>
        <w:t> </w:t>
      </w:r>
      <w:r>
        <w:rPr>
          <w:color w:val="231F20"/>
          <w:spacing w:val="-2"/>
        </w:rPr>
        <w:t>Strait</w:t>
      </w:r>
      <w:r>
        <w:rPr>
          <w:color w:val="231F20"/>
          <w:spacing w:val="-6"/>
        </w:rPr>
        <w:t> </w:t>
      </w:r>
      <w:r>
        <w:rPr>
          <w:color w:val="231F20"/>
          <w:spacing w:val="-1"/>
        </w:rPr>
        <w:t>Islander</w:t>
      </w:r>
      <w:r>
        <w:rPr>
          <w:color w:val="231F20"/>
          <w:spacing w:val="-7"/>
        </w:rPr>
        <w:t> </w:t>
      </w:r>
      <w:r>
        <w:rPr>
          <w:color w:val="231F20"/>
        </w:rPr>
        <w:t>boarding</w:t>
      </w:r>
      <w:r>
        <w:rPr>
          <w:color w:val="231F20"/>
          <w:spacing w:val="-7"/>
        </w:rPr>
        <w:t> </w:t>
      </w:r>
      <w:r>
        <w:rPr>
          <w:color w:val="231F20"/>
        </w:rPr>
        <w:t>providers.</w:t>
      </w:r>
      <w:r>
        <w:rPr>
          <w:color w:val="231F20"/>
          <w:spacing w:val="21"/>
          <w:w w:val="99"/>
        </w:rPr>
        <w:t> </w:t>
      </w:r>
      <w:r>
        <w:rPr>
          <w:color w:val="231F20"/>
        </w:rPr>
        <w:t>Each</w:t>
      </w:r>
      <w:r>
        <w:rPr>
          <w:color w:val="231F20"/>
          <w:spacing w:val="-5"/>
        </w:rPr>
        <w:t> </w:t>
      </w:r>
      <w:r>
        <w:rPr>
          <w:color w:val="231F20"/>
        </w:rPr>
        <w:t>provides</w:t>
      </w:r>
      <w:r>
        <w:rPr>
          <w:color w:val="231F20"/>
          <w:spacing w:val="-5"/>
        </w:rPr>
        <w:t> </w:t>
      </w:r>
      <w:r>
        <w:rPr>
          <w:color w:val="231F20"/>
        </w:rPr>
        <w:t>boarding</w:t>
      </w:r>
      <w:r>
        <w:rPr>
          <w:color w:val="231F20"/>
          <w:spacing w:val="-5"/>
        </w:rPr>
        <w:t> </w:t>
      </w:r>
      <w:r>
        <w:rPr>
          <w:color w:val="231F20"/>
          <w:spacing w:val="-1"/>
        </w:rPr>
        <w:t>services</w:t>
      </w:r>
      <w:r>
        <w:rPr>
          <w:color w:val="231F20"/>
          <w:spacing w:val="-3"/>
        </w:rPr>
        <w:t> </w:t>
      </w:r>
      <w:r>
        <w:rPr>
          <w:color w:val="231F20"/>
        </w:rPr>
        <w:t>to</w:t>
      </w:r>
      <w:r>
        <w:rPr>
          <w:color w:val="231F20"/>
          <w:spacing w:val="-4"/>
        </w:rPr>
        <w:t> </w:t>
      </w:r>
      <w:r>
        <w:rPr>
          <w:color w:val="231F20"/>
        </w:rPr>
        <w:t>a</w:t>
      </w:r>
      <w:r>
        <w:rPr>
          <w:color w:val="231F20"/>
          <w:spacing w:val="-4"/>
        </w:rPr>
        <w:t> </w:t>
      </w:r>
      <w:r>
        <w:rPr>
          <w:color w:val="231F20"/>
          <w:spacing w:val="-1"/>
        </w:rPr>
        <w:t>small</w:t>
      </w:r>
      <w:r>
        <w:rPr>
          <w:color w:val="231F20"/>
          <w:spacing w:val="21"/>
        </w:rPr>
        <w:t> </w:t>
      </w:r>
      <w:r>
        <w:rPr>
          <w:color w:val="231F20"/>
        </w:rPr>
        <w:t>number</w:t>
      </w:r>
      <w:r>
        <w:rPr>
          <w:color w:val="231F20"/>
          <w:spacing w:val="-7"/>
        </w:rPr>
        <w:t> </w:t>
      </w:r>
      <w:r>
        <w:rPr>
          <w:color w:val="231F20"/>
        </w:rPr>
        <w:t>of</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 </w:t>
      </w:r>
      <w:r>
        <w:rPr>
          <w:color w:val="231F20"/>
          <w:spacing w:val="-2"/>
        </w:rPr>
        <w:t>Strait</w:t>
      </w:r>
      <w:r>
        <w:rPr>
          <w:color w:val="231F20"/>
          <w:spacing w:val="-7"/>
        </w:rPr>
        <w:t> </w:t>
      </w:r>
      <w:r>
        <w:rPr>
          <w:color w:val="231F20"/>
          <w:spacing w:val="-1"/>
        </w:rPr>
        <w:t>Islander</w:t>
      </w:r>
      <w:r>
        <w:rPr>
          <w:color w:val="231F20"/>
          <w:spacing w:val="29"/>
          <w:w w:val="99"/>
        </w:rPr>
        <w:t> </w:t>
      </w:r>
      <w:r>
        <w:rPr>
          <w:color w:val="231F20"/>
          <w:spacing w:val="-1"/>
        </w:rPr>
        <w:t>students</w:t>
      </w:r>
      <w:r>
        <w:rPr>
          <w:color w:val="231F20"/>
          <w:spacing w:val="-3"/>
        </w:rPr>
        <w:t> </w:t>
      </w:r>
      <w:r>
        <w:rPr>
          <w:color w:val="231F20"/>
        </w:rPr>
        <w:t>and</w:t>
      </w:r>
      <w:r>
        <w:rPr>
          <w:color w:val="231F20"/>
          <w:spacing w:val="-3"/>
        </w:rPr>
        <w:t> </w:t>
      </w:r>
      <w:r>
        <w:rPr>
          <w:color w:val="231F20"/>
          <w:spacing w:val="-1"/>
        </w:rPr>
        <w:t>is</w:t>
      </w:r>
      <w:r>
        <w:rPr>
          <w:color w:val="231F20"/>
          <w:spacing w:val="-3"/>
        </w:rPr>
        <w:t> </w:t>
      </w:r>
      <w:r>
        <w:rPr>
          <w:color w:val="231F20"/>
        </w:rPr>
        <w:t>a</w:t>
      </w:r>
      <w:r>
        <w:rPr>
          <w:color w:val="231F20"/>
          <w:spacing w:val="-2"/>
        </w:rPr>
        <w:t> </w:t>
      </w:r>
      <w:r>
        <w:rPr>
          <w:color w:val="231F20"/>
        </w:rPr>
        <w:t>recipient</w:t>
      </w:r>
      <w:r>
        <w:rPr>
          <w:color w:val="231F20"/>
          <w:spacing w:val="-4"/>
        </w:rPr>
        <w:t> </w:t>
      </w:r>
      <w:r>
        <w:rPr>
          <w:color w:val="231F20"/>
        </w:rPr>
        <w:t>of</w:t>
      </w:r>
      <w:r>
        <w:rPr>
          <w:color w:val="231F20"/>
          <w:spacing w:val="-2"/>
        </w:rPr>
        <w:t> </w:t>
      </w:r>
      <w:r>
        <w:rPr>
          <w:color w:val="231F20"/>
        </w:rPr>
        <w:t>ABSTUDY</w:t>
      </w:r>
      <w:r>
        <w:rPr>
          <w:color w:val="231F20"/>
          <w:spacing w:val="-3"/>
        </w:rPr>
        <w:t> </w:t>
      </w:r>
      <w:r>
        <w:rPr>
          <w:color w:val="231F20"/>
        </w:rPr>
        <w:t>or</w:t>
      </w:r>
      <w:r>
        <w:rPr>
          <w:color w:val="231F20"/>
          <w:spacing w:val="23"/>
          <w:w w:val="99"/>
        </w:rPr>
        <w:t> </w:t>
      </w:r>
      <w:r>
        <w:rPr>
          <w:color w:val="231F20"/>
          <w:spacing w:val="-1"/>
        </w:rPr>
        <w:t>scholarships</w:t>
      </w:r>
      <w:r>
        <w:rPr>
          <w:color w:val="231F20"/>
          <w:spacing w:val="-6"/>
        </w:rPr>
        <w:t> </w:t>
      </w:r>
      <w:r>
        <w:rPr>
          <w:color w:val="231F20"/>
        </w:rPr>
        <w:t>funded</w:t>
      </w:r>
      <w:r>
        <w:rPr>
          <w:color w:val="231F20"/>
          <w:spacing w:val="-7"/>
        </w:rPr>
        <w:t> </w:t>
      </w:r>
      <w:r>
        <w:rPr>
          <w:color w:val="231F20"/>
        </w:rPr>
        <w:t>through</w:t>
      </w:r>
      <w:r>
        <w:rPr>
          <w:color w:val="231F20"/>
          <w:spacing w:val="-7"/>
        </w:rPr>
        <w:t> </w:t>
      </w:r>
      <w:r>
        <w:rPr>
          <w:color w:val="231F20"/>
        </w:rPr>
        <w:t>the</w:t>
      </w:r>
      <w:r>
        <w:rPr>
          <w:color w:val="231F20"/>
          <w:spacing w:val="-8"/>
        </w:rPr>
        <w:t> </w:t>
      </w:r>
      <w:r>
        <w:rPr>
          <w:color w:val="231F20"/>
          <w:spacing w:val="-1"/>
        </w:rPr>
        <w:t>Indigenous</w:t>
      </w:r>
      <w:r>
        <w:rPr>
          <w:color w:val="231F20"/>
          <w:spacing w:val="21"/>
          <w:w w:val="99"/>
        </w:rPr>
        <w:t> </w:t>
      </w:r>
      <w:r>
        <w:rPr>
          <w:color w:val="231F20"/>
        </w:rPr>
        <w:t>Advancement</w:t>
      </w:r>
      <w:r>
        <w:rPr>
          <w:color w:val="231F20"/>
          <w:spacing w:val="-8"/>
        </w:rPr>
        <w:t> </w:t>
      </w:r>
      <w:r>
        <w:rPr>
          <w:color w:val="231F20"/>
          <w:spacing w:val="-1"/>
        </w:rPr>
        <w:t>Strategy</w:t>
      </w:r>
      <w:r>
        <w:rPr>
          <w:color w:val="231F20"/>
          <w:spacing w:val="-8"/>
        </w:rPr>
        <w:t> </w:t>
      </w:r>
      <w:r>
        <w:rPr>
          <w:color w:val="231F20"/>
        </w:rPr>
        <w:t>by</w:t>
      </w:r>
      <w:r>
        <w:rPr>
          <w:color w:val="231F20"/>
          <w:spacing w:val="-7"/>
        </w:rPr>
        <w:t> </w:t>
      </w:r>
      <w:r>
        <w:rPr>
          <w:color w:val="231F20"/>
        </w:rPr>
        <w:t>the</w:t>
      </w:r>
      <w:r>
        <w:rPr>
          <w:color w:val="231F20"/>
          <w:spacing w:val="-8"/>
        </w:rPr>
        <w:t> </w:t>
      </w:r>
      <w:r>
        <w:rPr>
          <w:color w:val="231F20"/>
          <w:spacing w:val="-1"/>
        </w:rPr>
        <w:t>Department</w:t>
      </w:r>
      <w:r>
        <w:rPr>
          <w:color w:val="231F20"/>
          <w:spacing w:val="-7"/>
        </w:rPr>
        <w:t> </w:t>
      </w:r>
      <w:r>
        <w:rPr>
          <w:color w:val="231F20"/>
        </w:rPr>
        <w:t>of</w:t>
      </w:r>
      <w:r>
        <w:rPr>
          <w:color w:val="231F20"/>
          <w:spacing w:val="23"/>
          <w:w w:val="99"/>
        </w:rPr>
        <w:t> </w:t>
      </w:r>
      <w:r>
        <w:rPr>
          <w:color w:val="231F20"/>
        </w:rPr>
        <w:t>the</w:t>
      </w:r>
      <w:r>
        <w:rPr>
          <w:color w:val="231F20"/>
          <w:spacing w:val="-5"/>
        </w:rPr>
        <w:t> </w:t>
      </w:r>
      <w:r>
        <w:rPr>
          <w:color w:val="231F20"/>
          <w:spacing w:val="-1"/>
        </w:rPr>
        <w:t>Prime</w:t>
      </w:r>
      <w:r>
        <w:rPr>
          <w:color w:val="231F20"/>
          <w:spacing w:val="-3"/>
        </w:rPr>
        <w:t> </w:t>
      </w:r>
      <w:r>
        <w:rPr>
          <w:color w:val="231F20"/>
        </w:rPr>
        <w:t>Minister</w:t>
      </w:r>
      <w:r>
        <w:rPr>
          <w:color w:val="231F20"/>
          <w:spacing w:val="-4"/>
        </w:rPr>
        <w:t> </w:t>
      </w:r>
      <w:r>
        <w:rPr>
          <w:color w:val="231F20"/>
        </w:rPr>
        <w:t>and</w:t>
      </w:r>
      <w:r>
        <w:rPr>
          <w:color w:val="231F20"/>
          <w:spacing w:val="-4"/>
        </w:rPr>
        <w:t> </w:t>
      </w:r>
      <w:r>
        <w:rPr>
          <w:color w:val="231F20"/>
          <w:spacing w:val="-1"/>
        </w:rPr>
        <w:t>Cabinet</w:t>
      </w:r>
      <w:r>
        <w:rPr/>
      </w:r>
    </w:p>
    <w:p>
      <w:pPr>
        <w:spacing w:after="0" w:line="250" w:lineRule="exact"/>
        <w:jc w:val="left"/>
        <w:sectPr>
          <w:type w:val="continuous"/>
          <w:pgSz w:w="11910" w:h="16840"/>
          <w:pgMar w:top="1580" w:bottom="280" w:left="1600" w:right="1300"/>
          <w:cols w:num="2" w:equalWidth="0">
            <w:col w:w="4290" w:space="246"/>
            <w:col w:w="4474"/>
          </w:cols>
        </w:sectPr>
      </w:pPr>
    </w:p>
    <w:p>
      <w:pPr>
        <w:spacing w:line="240" w:lineRule="auto" w:before="0"/>
        <w:rPr>
          <w:rFonts w:ascii="Segoe UI" w:hAnsi="Segoe UI" w:cs="Segoe UI" w:eastAsia="Segoe UI"/>
          <w:sz w:val="20"/>
          <w:szCs w:val="20"/>
        </w:rPr>
      </w:pPr>
    </w:p>
    <w:p>
      <w:pPr>
        <w:spacing w:line="240" w:lineRule="auto" w:before="8"/>
        <w:rPr>
          <w:rFonts w:ascii="Segoe UI" w:hAnsi="Segoe UI" w:cs="Segoe UI" w:eastAsia="Segoe UI"/>
          <w:sz w:val="21"/>
          <w:szCs w:val="21"/>
        </w:rPr>
      </w:pPr>
    </w:p>
    <w:p>
      <w:pPr>
        <w:spacing w:after="0" w:line="240" w:lineRule="auto"/>
        <w:rPr>
          <w:rFonts w:ascii="Segoe UI" w:hAnsi="Segoe UI" w:cs="Segoe UI" w:eastAsia="Segoe UI"/>
          <w:sz w:val="21"/>
          <w:szCs w:val="21"/>
        </w:rPr>
        <w:sectPr>
          <w:footerReference w:type="even" r:id="rId95"/>
          <w:footerReference w:type="default" r:id="rId96"/>
          <w:pgSz w:w="11910" w:h="16840"/>
          <w:pgMar w:footer="691" w:header="0" w:top="1580" w:bottom="880" w:left="1300" w:right="1600"/>
          <w:pgNumType w:start="112"/>
        </w:sectPr>
      </w:pPr>
    </w:p>
    <w:p>
      <w:pPr>
        <w:pStyle w:val="BodyText"/>
        <w:spacing w:line="250" w:lineRule="exact" w:before="62"/>
        <w:ind w:right="37"/>
        <w:jc w:val="left"/>
      </w:pPr>
      <w:r>
        <w:rPr>
          <w:rFonts w:ascii="Segoe UI" w:hAnsi="Segoe UI" w:cs="Segoe UI" w:eastAsia="Segoe UI"/>
          <w:b/>
          <w:bCs/>
          <w:color w:val="231F20"/>
          <w:spacing w:val="-2"/>
        </w:rPr>
        <w:t>Peak</w:t>
      </w:r>
      <w:r>
        <w:rPr>
          <w:rFonts w:ascii="Segoe UI" w:hAnsi="Segoe UI" w:cs="Segoe UI" w:eastAsia="Segoe UI"/>
          <w:b/>
          <w:bCs/>
          <w:color w:val="231F20"/>
          <w:spacing w:val="-4"/>
        </w:rPr>
        <w:t> </w:t>
      </w:r>
      <w:r>
        <w:rPr>
          <w:rFonts w:ascii="Segoe UI" w:hAnsi="Segoe UI" w:cs="Segoe UI" w:eastAsia="Segoe UI"/>
          <w:b/>
          <w:bCs/>
          <w:color w:val="231F20"/>
          <w:spacing w:val="-1"/>
        </w:rPr>
        <w:t>bodies</w:t>
      </w:r>
      <w:r>
        <w:rPr>
          <w:color w:val="231F20"/>
          <w:spacing w:val="-1"/>
        </w:rPr>
        <w:t>—in</w:t>
      </w:r>
      <w:r>
        <w:rPr>
          <w:color w:val="231F20"/>
          <w:spacing w:val="-4"/>
        </w:rPr>
        <w:t> </w:t>
      </w:r>
      <w:r>
        <w:rPr>
          <w:color w:val="231F20"/>
        </w:rPr>
        <w:t>this</w:t>
      </w:r>
      <w:r>
        <w:rPr>
          <w:color w:val="231F20"/>
          <w:spacing w:val="-4"/>
        </w:rPr>
        <w:t> </w:t>
      </w:r>
      <w:r>
        <w:rPr>
          <w:color w:val="231F20"/>
        </w:rPr>
        <w:t>report,</w:t>
      </w:r>
      <w:r>
        <w:rPr>
          <w:color w:val="231F20"/>
          <w:spacing w:val="-4"/>
        </w:rPr>
        <w:t> </w:t>
      </w:r>
      <w:r>
        <w:rPr>
          <w:color w:val="231F20"/>
        </w:rPr>
        <w:t>refers</w:t>
      </w:r>
      <w:r>
        <w:rPr>
          <w:color w:val="231F20"/>
          <w:spacing w:val="-4"/>
        </w:rPr>
        <w:t> </w:t>
      </w:r>
      <w:r>
        <w:rPr>
          <w:color w:val="231F20"/>
        </w:rPr>
        <w:t>to</w:t>
      </w:r>
      <w:r>
        <w:rPr>
          <w:color w:val="231F20"/>
          <w:spacing w:val="-3"/>
        </w:rPr>
        <w:t> </w:t>
      </w:r>
      <w:r>
        <w:rPr>
          <w:color w:val="231F20"/>
        </w:rPr>
        <w:t>those</w:t>
      </w:r>
      <w:r>
        <w:rPr>
          <w:color w:val="231F20"/>
          <w:spacing w:val="27"/>
          <w:w w:val="99"/>
        </w:rPr>
        <w:t> </w:t>
      </w:r>
      <w:r>
        <w:rPr>
          <w:color w:val="231F20"/>
        </w:rPr>
        <w:t>national</w:t>
      </w:r>
      <w:r>
        <w:rPr>
          <w:color w:val="231F20"/>
          <w:spacing w:val="-8"/>
        </w:rPr>
        <w:t> </w:t>
      </w:r>
      <w:r>
        <w:rPr>
          <w:color w:val="231F20"/>
        </w:rPr>
        <w:t>bodies</w:t>
      </w:r>
      <w:r>
        <w:rPr>
          <w:color w:val="231F20"/>
          <w:spacing w:val="-7"/>
        </w:rPr>
        <w:t> </w:t>
      </w:r>
      <w:r>
        <w:rPr>
          <w:color w:val="231F20"/>
        </w:rPr>
        <w:t>that</w:t>
      </w:r>
      <w:r>
        <w:rPr>
          <w:color w:val="231F20"/>
          <w:spacing w:val="-7"/>
        </w:rPr>
        <w:t> </w:t>
      </w:r>
      <w:r>
        <w:rPr>
          <w:color w:val="231F20"/>
        </w:rPr>
        <w:t>represent</w:t>
      </w:r>
      <w:r>
        <w:rPr>
          <w:color w:val="231F20"/>
          <w:spacing w:val="-8"/>
        </w:rPr>
        <w:t> </w:t>
      </w:r>
      <w:r>
        <w:rPr>
          <w:color w:val="231F20"/>
        </w:rPr>
        <w:t>Aboriginal</w:t>
      </w:r>
      <w:r>
        <w:rPr>
          <w:color w:val="231F20"/>
          <w:spacing w:val="-6"/>
        </w:rPr>
        <w:t> </w:t>
      </w:r>
      <w:r>
        <w:rPr>
          <w:color w:val="231F20"/>
        </w:rPr>
        <w:t>and</w:t>
      </w:r>
      <w:r>
        <w:rPr>
          <w:color w:val="231F20"/>
          <w:w w:val="99"/>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boarders</w:t>
      </w:r>
      <w:r>
        <w:rPr>
          <w:color w:val="231F20"/>
          <w:spacing w:val="-7"/>
        </w:rPr>
        <w:t> </w:t>
      </w:r>
      <w:r>
        <w:rPr>
          <w:color w:val="231F20"/>
        </w:rPr>
        <w:t>and</w:t>
      </w:r>
      <w:r>
        <w:rPr>
          <w:color w:val="231F20"/>
          <w:spacing w:val="-7"/>
        </w:rPr>
        <w:t> </w:t>
      </w:r>
      <w:r>
        <w:rPr>
          <w:color w:val="231F20"/>
        </w:rPr>
        <w:t>boarding</w:t>
      </w:r>
      <w:r>
        <w:rPr>
          <w:color w:val="231F20"/>
          <w:spacing w:val="21"/>
          <w:w w:val="99"/>
        </w:rPr>
        <w:t> </w:t>
      </w:r>
      <w:r>
        <w:rPr>
          <w:color w:val="231F20"/>
        </w:rPr>
        <w:t>providers</w:t>
      </w:r>
      <w:r>
        <w:rPr>
          <w:color w:val="231F20"/>
          <w:spacing w:val="-11"/>
        </w:rPr>
        <w:t> </w:t>
      </w:r>
      <w:r>
        <w:rPr>
          <w:color w:val="231F20"/>
        </w:rPr>
        <w:t>and</w:t>
      </w:r>
      <w:r>
        <w:rPr>
          <w:color w:val="231F20"/>
          <w:spacing w:val="-10"/>
        </w:rPr>
        <w:t> </w:t>
      </w:r>
      <w:r>
        <w:rPr>
          <w:color w:val="231F20"/>
          <w:spacing w:val="-1"/>
        </w:rPr>
        <w:t>include,</w:t>
      </w:r>
      <w:r>
        <w:rPr>
          <w:color w:val="231F20"/>
          <w:spacing w:val="-9"/>
        </w:rPr>
        <w:t> </w:t>
      </w:r>
      <w:r>
        <w:rPr>
          <w:color w:val="231F20"/>
          <w:spacing w:val="-1"/>
        </w:rPr>
        <w:t>Indigenous</w:t>
      </w:r>
      <w:r>
        <w:rPr>
          <w:color w:val="231F20"/>
          <w:spacing w:val="-9"/>
        </w:rPr>
        <w:t> </w:t>
      </w:r>
      <w:r>
        <w:rPr>
          <w:color w:val="231F20"/>
        </w:rPr>
        <w:t>Education</w:t>
      </w:r>
      <w:r>
        <w:rPr>
          <w:color w:val="231F20"/>
          <w:spacing w:val="23"/>
          <w:w w:val="99"/>
        </w:rPr>
        <w:t> </w:t>
      </w:r>
      <w:r>
        <w:rPr>
          <w:color w:val="231F20"/>
        </w:rPr>
        <w:t>and</w:t>
      </w:r>
      <w:r>
        <w:rPr>
          <w:color w:val="231F20"/>
          <w:spacing w:val="-10"/>
        </w:rPr>
        <w:t> </w:t>
      </w:r>
      <w:r>
        <w:rPr>
          <w:color w:val="231F20"/>
          <w:spacing w:val="-1"/>
        </w:rPr>
        <w:t>Boarding</w:t>
      </w:r>
      <w:r>
        <w:rPr>
          <w:color w:val="231F20"/>
          <w:spacing w:val="-8"/>
        </w:rPr>
        <w:t> </w:t>
      </w:r>
      <w:r>
        <w:rPr>
          <w:color w:val="231F20"/>
        </w:rPr>
        <w:t>Australia,</w:t>
      </w:r>
      <w:r>
        <w:rPr>
          <w:color w:val="231F20"/>
          <w:spacing w:val="-9"/>
        </w:rPr>
        <w:t> </w:t>
      </w:r>
      <w:r>
        <w:rPr>
          <w:color w:val="231F20"/>
        </w:rPr>
        <w:t>the</w:t>
      </w:r>
      <w:r>
        <w:rPr>
          <w:color w:val="231F20"/>
          <w:spacing w:val="-9"/>
        </w:rPr>
        <w:t> </w:t>
      </w:r>
      <w:r>
        <w:rPr>
          <w:color w:val="231F20"/>
          <w:spacing w:val="-1"/>
        </w:rPr>
        <w:t>Independent</w:t>
      </w:r>
      <w:r>
        <w:rPr>
          <w:color w:val="231F20"/>
          <w:spacing w:val="21"/>
          <w:w w:val="99"/>
        </w:rPr>
        <w:t> </w:t>
      </w:r>
      <w:r>
        <w:rPr>
          <w:color w:val="231F20"/>
          <w:spacing w:val="-1"/>
        </w:rPr>
        <w:t>Schools</w:t>
      </w:r>
      <w:r>
        <w:rPr>
          <w:color w:val="231F20"/>
          <w:spacing w:val="-5"/>
        </w:rPr>
        <w:t> </w:t>
      </w:r>
      <w:r>
        <w:rPr>
          <w:color w:val="231F20"/>
          <w:spacing w:val="-1"/>
        </w:rPr>
        <w:t>Council</w:t>
      </w:r>
      <w:r>
        <w:rPr>
          <w:color w:val="231F20"/>
          <w:spacing w:val="-5"/>
        </w:rPr>
        <w:t> </w:t>
      </w:r>
      <w:r>
        <w:rPr>
          <w:color w:val="231F20"/>
        </w:rPr>
        <w:t>of</w:t>
      </w:r>
      <w:r>
        <w:rPr>
          <w:color w:val="231F20"/>
          <w:spacing w:val="-5"/>
        </w:rPr>
        <w:t> </w:t>
      </w:r>
      <w:r>
        <w:rPr>
          <w:color w:val="231F20"/>
        </w:rPr>
        <w:t>Australia,</w:t>
      </w:r>
      <w:r>
        <w:rPr>
          <w:color w:val="231F20"/>
          <w:spacing w:val="-5"/>
        </w:rPr>
        <w:t> </w:t>
      </w:r>
      <w:r>
        <w:rPr>
          <w:color w:val="231F20"/>
        </w:rPr>
        <w:t>National</w:t>
      </w:r>
      <w:r>
        <w:rPr>
          <w:color w:val="231F20"/>
          <w:spacing w:val="-5"/>
        </w:rPr>
        <w:t> </w:t>
      </w:r>
      <w:r>
        <w:rPr>
          <w:color w:val="231F20"/>
          <w:spacing w:val="-1"/>
        </w:rPr>
        <w:t>Catholic</w:t>
      </w:r>
      <w:r>
        <w:rPr>
          <w:color w:val="231F20"/>
          <w:spacing w:val="22"/>
          <w:w w:val="99"/>
        </w:rPr>
        <w:t> </w:t>
      </w:r>
      <w:r>
        <w:rPr>
          <w:color w:val="231F20"/>
        </w:rPr>
        <w:t>Education</w:t>
      </w:r>
      <w:r>
        <w:rPr>
          <w:color w:val="231F20"/>
          <w:spacing w:val="-8"/>
        </w:rPr>
        <w:t> </w:t>
      </w:r>
      <w:r>
        <w:rPr>
          <w:color w:val="231F20"/>
          <w:spacing w:val="-1"/>
        </w:rPr>
        <w:t>Commission,</w:t>
      </w:r>
      <w:r>
        <w:rPr>
          <w:color w:val="231F20"/>
          <w:spacing w:val="-6"/>
        </w:rPr>
        <w:t> </w:t>
      </w:r>
      <w:r>
        <w:rPr>
          <w:color w:val="231F20"/>
          <w:spacing w:val="-1"/>
        </w:rPr>
        <w:t>Remote</w:t>
      </w:r>
      <w:r>
        <w:rPr>
          <w:color w:val="231F20"/>
          <w:spacing w:val="-7"/>
        </w:rPr>
        <w:t> </w:t>
      </w:r>
      <w:r>
        <w:rPr>
          <w:color w:val="231F20"/>
          <w:spacing w:val="-1"/>
        </w:rPr>
        <w:t>Indigenous</w:t>
      </w:r>
      <w:r>
        <w:rPr>
          <w:color w:val="231F20"/>
          <w:spacing w:val="21"/>
          <w:w w:val="99"/>
        </w:rPr>
        <w:t> </w:t>
      </w:r>
      <w:r>
        <w:rPr>
          <w:color w:val="231F20"/>
          <w:spacing w:val="-1"/>
        </w:rPr>
        <w:t>Parents</w:t>
      </w:r>
      <w:r>
        <w:rPr>
          <w:color w:val="231F20"/>
          <w:spacing w:val="-9"/>
        </w:rPr>
        <w:t> </w:t>
      </w:r>
      <w:r>
        <w:rPr>
          <w:color w:val="231F20"/>
        </w:rPr>
        <w:t>Australia</w:t>
      </w:r>
      <w:r>
        <w:rPr>
          <w:color w:val="231F20"/>
          <w:spacing w:val="-7"/>
        </w:rPr>
        <w:t> </w:t>
      </w:r>
      <w:r>
        <w:rPr>
          <w:color w:val="231F20"/>
        </w:rPr>
        <w:t>and</w:t>
      </w:r>
      <w:r>
        <w:rPr>
          <w:color w:val="231F20"/>
          <w:spacing w:val="-8"/>
        </w:rPr>
        <w:t> </w:t>
      </w:r>
      <w:r>
        <w:rPr>
          <w:color w:val="231F20"/>
        </w:rPr>
        <w:t>the</w:t>
      </w:r>
      <w:r>
        <w:rPr>
          <w:color w:val="231F20"/>
          <w:spacing w:val="-8"/>
        </w:rPr>
        <w:t> </w:t>
      </w:r>
      <w:r>
        <w:rPr>
          <w:color w:val="231F20"/>
        </w:rPr>
        <w:t>Australian</w:t>
      </w:r>
      <w:r>
        <w:rPr>
          <w:color w:val="231F20"/>
          <w:spacing w:val="-8"/>
        </w:rPr>
        <w:t> </w:t>
      </w:r>
      <w:r>
        <w:rPr>
          <w:color w:val="231F20"/>
          <w:spacing w:val="-1"/>
        </w:rPr>
        <w:t>Boarding</w:t>
      </w:r>
      <w:r>
        <w:rPr>
          <w:color w:val="231F20"/>
          <w:spacing w:val="20"/>
          <w:w w:val="99"/>
        </w:rPr>
        <w:t> </w:t>
      </w:r>
      <w:r>
        <w:rPr>
          <w:color w:val="231F20"/>
          <w:spacing w:val="-1"/>
        </w:rPr>
        <w:t>Schools</w:t>
      </w:r>
      <w:r>
        <w:rPr>
          <w:color w:val="231F20"/>
        </w:rPr>
        <w:t> Association</w:t>
      </w:r>
      <w:r>
        <w:rPr/>
      </w:r>
    </w:p>
    <w:p>
      <w:pPr>
        <w:pStyle w:val="BodyText"/>
        <w:spacing w:line="250" w:lineRule="exact" w:before="113"/>
        <w:ind w:right="180"/>
        <w:jc w:val="left"/>
      </w:pPr>
      <w:r>
        <w:rPr>
          <w:rFonts w:ascii="Segoe UI" w:hAnsi="Segoe UI" w:cs="Segoe UI" w:eastAsia="Segoe UI"/>
          <w:b/>
          <w:bCs/>
          <w:color w:val="231F20"/>
          <w:spacing w:val="-1"/>
        </w:rPr>
        <w:t>PM&amp;C</w:t>
      </w:r>
      <w:r>
        <w:rPr>
          <w:color w:val="231F20"/>
          <w:spacing w:val="-1"/>
        </w:rPr>
        <w:t>—The</w:t>
      </w:r>
      <w:r>
        <w:rPr>
          <w:color w:val="231F20"/>
          <w:spacing w:val="-7"/>
        </w:rPr>
        <w:t> </w:t>
      </w:r>
      <w:r>
        <w:rPr>
          <w:color w:val="231F20"/>
          <w:spacing w:val="-1"/>
        </w:rPr>
        <w:t>Department</w:t>
      </w:r>
      <w:r>
        <w:rPr>
          <w:color w:val="231F20"/>
          <w:spacing w:val="-7"/>
        </w:rPr>
        <w:t> </w:t>
      </w:r>
      <w:r>
        <w:rPr>
          <w:color w:val="231F20"/>
        </w:rPr>
        <w:t>of</w:t>
      </w:r>
      <w:r>
        <w:rPr>
          <w:color w:val="231F20"/>
          <w:spacing w:val="-6"/>
        </w:rPr>
        <w:t> </w:t>
      </w:r>
      <w:r>
        <w:rPr>
          <w:color w:val="231F20"/>
        </w:rPr>
        <w:t>the</w:t>
      </w:r>
      <w:r>
        <w:rPr>
          <w:color w:val="231F20"/>
          <w:spacing w:val="-8"/>
        </w:rPr>
        <w:t> </w:t>
      </w:r>
      <w:r>
        <w:rPr>
          <w:color w:val="231F20"/>
          <w:spacing w:val="-1"/>
        </w:rPr>
        <w:t>Prime</w:t>
      </w:r>
      <w:r>
        <w:rPr>
          <w:color w:val="231F20"/>
          <w:spacing w:val="26"/>
        </w:rPr>
        <w:t> </w:t>
      </w:r>
      <w:r>
        <w:rPr>
          <w:color w:val="231F20"/>
        </w:rPr>
        <w:t>Minister</w:t>
      </w:r>
      <w:r>
        <w:rPr>
          <w:color w:val="231F20"/>
          <w:spacing w:val="-10"/>
        </w:rPr>
        <w:t> </w:t>
      </w:r>
      <w:r>
        <w:rPr>
          <w:color w:val="231F20"/>
        </w:rPr>
        <w:t>and</w:t>
      </w:r>
      <w:r>
        <w:rPr>
          <w:color w:val="231F20"/>
          <w:spacing w:val="-10"/>
        </w:rPr>
        <w:t> </w:t>
      </w:r>
      <w:r>
        <w:rPr>
          <w:color w:val="231F20"/>
          <w:spacing w:val="-1"/>
        </w:rPr>
        <w:t>Cabinet,</w:t>
      </w:r>
      <w:r>
        <w:rPr>
          <w:color w:val="231F20"/>
          <w:spacing w:val="-10"/>
        </w:rPr>
        <w:t> </w:t>
      </w:r>
      <w:hyperlink r:id="rId97">
        <w:r>
          <w:rPr>
            <w:color w:val="231F20"/>
          </w:rPr>
          <w:t>www.dpmc.gov.au.</w:t>
        </w:r>
        <w:r>
          <w:rPr/>
        </w:r>
      </w:hyperlink>
    </w:p>
    <w:p>
      <w:pPr>
        <w:pStyle w:val="BodyText"/>
        <w:spacing w:line="250" w:lineRule="exact"/>
        <w:ind w:right="0"/>
        <w:jc w:val="left"/>
      </w:pPr>
      <w:r>
        <w:rPr>
          <w:color w:val="231F20"/>
        </w:rPr>
        <w:t>The</w:t>
      </w:r>
      <w:r>
        <w:rPr>
          <w:color w:val="231F20"/>
          <w:spacing w:val="-4"/>
        </w:rPr>
        <w:t> </w:t>
      </w:r>
      <w:r>
        <w:rPr>
          <w:color w:val="231F20"/>
        </w:rPr>
        <w:t>department</w:t>
      </w:r>
      <w:r>
        <w:rPr>
          <w:color w:val="231F20"/>
          <w:spacing w:val="-5"/>
        </w:rPr>
        <w:t> </w:t>
      </w:r>
      <w:r>
        <w:rPr>
          <w:color w:val="231F20"/>
        </w:rPr>
        <w:t>has</w:t>
      </w:r>
      <w:r>
        <w:rPr>
          <w:color w:val="231F20"/>
          <w:spacing w:val="-5"/>
        </w:rPr>
        <w:t> </w:t>
      </w:r>
      <w:r>
        <w:rPr>
          <w:color w:val="231F20"/>
        </w:rPr>
        <w:t>overall</w:t>
      </w:r>
      <w:r>
        <w:rPr>
          <w:color w:val="231F20"/>
          <w:spacing w:val="-5"/>
        </w:rPr>
        <w:t> </w:t>
      </w:r>
      <w:r>
        <w:rPr>
          <w:color w:val="231F20"/>
        </w:rPr>
        <w:t>policy</w:t>
      </w:r>
      <w:r>
        <w:rPr>
          <w:color w:val="231F20"/>
          <w:spacing w:val="-5"/>
        </w:rPr>
        <w:t> </w:t>
      </w:r>
      <w:r>
        <w:rPr>
          <w:color w:val="231F20"/>
        </w:rPr>
        <w:t>responsibility</w:t>
      </w:r>
      <w:r>
        <w:rPr>
          <w:color w:val="231F20"/>
        </w:rPr>
        <w:t> at</w:t>
      </w:r>
      <w:r>
        <w:rPr>
          <w:color w:val="231F20"/>
          <w:spacing w:val="-7"/>
        </w:rPr>
        <w:t> </w:t>
      </w:r>
      <w:r>
        <w:rPr>
          <w:color w:val="231F20"/>
        </w:rPr>
        <w:t>the</w:t>
      </w:r>
      <w:r>
        <w:rPr>
          <w:color w:val="231F20"/>
          <w:spacing w:val="-7"/>
        </w:rPr>
        <w:t> </w:t>
      </w:r>
      <w:r>
        <w:rPr>
          <w:color w:val="231F20"/>
          <w:spacing w:val="-1"/>
        </w:rPr>
        <w:t>Commonwealth</w:t>
      </w:r>
      <w:r>
        <w:rPr>
          <w:color w:val="231F20"/>
          <w:spacing w:val="-6"/>
        </w:rPr>
        <w:t> </w:t>
      </w:r>
      <w:r>
        <w:rPr>
          <w:color w:val="231F20"/>
          <w:spacing w:val="-1"/>
        </w:rPr>
        <w:t>level</w:t>
      </w:r>
      <w:r>
        <w:rPr>
          <w:color w:val="231F20"/>
          <w:spacing w:val="-6"/>
        </w:rPr>
        <w:t> </w:t>
      </w:r>
      <w:r>
        <w:rPr>
          <w:color w:val="231F20"/>
        </w:rPr>
        <w:t>for</w:t>
      </w:r>
      <w:r>
        <w:rPr>
          <w:color w:val="231F20"/>
          <w:spacing w:val="-6"/>
        </w:rPr>
        <w:t> </w:t>
      </w:r>
      <w:r>
        <w:rPr>
          <w:color w:val="231F20"/>
          <w:spacing w:val="-1"/>
        </w:rPr>
        <w:t>Indigenous</w:t>
      </w:r>
      <w:r>
        <w:rPr>
          <w:color w:val="231F20"/>
          <w:spacing w:val="22"/>
          <w:w w:val="99"/>
        </w:rPr>
        <w:t> </w:t>
      </w:r>
      <w:r>
        <w:rPr>
          <w:rFonts w:ascii="Segoe UI"/>
          <w:color w:val="231F20"/>
        </w:rPr>
        <w:t>Affairs.</w:t>
      </w:r>
      <w:r>
        <w:rPr>
          <w:rFonts w:ascii="Segoe UI"/>
          <w:color w:val="231F20"/>
          <w:spacing w:val="-1"/>
        </w:rPr>
        <w:t> </w:t>
      </w:r>
      <w:r>
        <w:rPr>
          <w:rFonts w:ascii="Segoe UI"/>
          <w:color w:val="231F20"/>
        </w:rPr>
        <w:t>It</w:t>
      </w:r>
      <w:r>
        <w:rPr>
          <w:rFonts w:ascii="Segoe UI"/>
          <w:color w:val="231F20"/>
          <w:spacing w:val="-1"/>
        </w:rPr>
        <w:t> </w:t>
      </w:r>
      <w:r>
        <w:rPr>
          <w:rFonts w:ascii="Segoe UI"/>
          <w:color w:val="231F20"/>
        </w:rPr>
        <w:t>also</w:t>
      </w:r>
      <w:r>
        <w:rPr>
          <w:rFonts w:ascii="Segoe UI"/>
          <w:color w:val="231F20"/>
          <w:spacing w:val="-1"/>
        </w:rPr>
        <w:t> </w:t>
      </w:r>
      <w:r>
        <w:rPr>
          <w:rFonts w:ascii="Segoe UI"/>
          <w:color w:val="231F20"/>
        </w:rPr>
        <w:t>funds a</w:t>
      </w:r>
      <w:r>
        <w:rPr>
          <w:rFonts w:ascii="Segoe UI"/>
          <w:color w:val="231F20"/>
          <w:spacing w:val="-1"/>
        </w:rPr>
        <w:t> </w:t>
      </w:r>
      <w:r>
        <w:rPr>
          <w:rFonts w:ascii="Segoe UI"/>
          <w:color w:val="231F20"/>
        </w:rPr>
        <w:t>number</w:t>
      </w:r>
      <w:r>
        <w:rPr>
          <w:rFonts w:ascii="Segoe UI"/>
          <w:color w:val="231F20"/>
          <w:spacing w:val="-1"/>
        </w:rPr>
        <w:t> </w:t>
      </w:r>
      <w:r>
        <w:rPr>
          <w:rFonts w:ascii="Segoe UI"/>
          <w:color w:val="231F20"/>
        </w:rPr>
        <w:t>of</w:t>
      </w:r>
      <w:r>
        <w:rPr>
          <w:rFonts w:ascii="Segoe UI"/>
          <w:color w:val="231F20"/>
          <w:spacing w:val="-1"/>
        </w:rPr>
        <w:t> </w:t>
      </w:r>
      <w:r>
        <w:rPr>
          <w:rFonts w:ascii="Segoe UI"/>
          <w:color w:val="231F20"/>
        </w:rPr>
        <w:t>programs</w:t>
      </w:r>
      <w:r>
        <w:rPr>
          <w:rFonts w:ascii="Segoe UI"/>
          <w:color w:val="231F20"/>
          <w:spacing w:val="-1"/>
        </w:rPr>
        <w:t> </w:t>
      </w:r>
      <w:r>
        <w:rPr>
          <w:rFonts w:ascii="Segoe UI"/>
          <w:color w:val="231F20"/>
        </w:rPr>
        <w:t>to</w:t>
      </w:r>
      <w:r>
        <w:rPr>
          <w:rFonts w:ascii="Segoe UI"/>
          <w:color w:val="231F20"/>
        </w:rPr>
        <w:t> benefit Aboriginal and </w:t>
      </w:r>
      <w:r>
        <w:rPr>
          <w:rFonts w:ascii="Segoe UI"/>
          <w:color w:val="231F20"/>
          <w:spacing w:val="-4"/>
        </w:rPr>
        <w:t>Torres</w:t>
      </w:r>
      <w:r>
        <w:rPr>
          <w:rFonts w:ascii="Segoe UI"/>
          <w:color w:val="231F20"/>
        </w:rPr>
        <w:t> </w:t>
      </w:r>
      <w:r>
        <w:rPr>
          <w:rFonts w:ascii="Segoe UI"/>
          <w:color w:val="231F20"/>
          <w:spacing w:val="-2"/>
        </w:rPr>
        <w:t>Strait</w:t>
      </w:r>
      <w:r>
        <w:rPr>
          <w:rFonts w:ascii="Segoe UI"/>
          <w:color w:val="231F20"/>
        </w:rPr>
        <w:t> Islander</w:t>
      </w:r>
      <w:r>
        <w:rPr>
          <w:rFonts w:ascii="Segoe UI"/>
          <w:color w:val="231F20"/>
          <w:spacing w:val="29"/>
        </w:rPr>
        <w:t> </w:t>
      </w:r>
      <w:r>
        <w:rPr>
          <w:color w:val="231F20"/>
        </w:rPr>
        <w:t>people</w:t>
      </w:r>
      <w:r>
        <w:rPr/>
      </w:r>
    </w:p>
    <w:p>
      <w:pPr>
        <w:pStyle w:val="BodyText"/>
        <w:spacing w:line="240" w:lineRule="auto" w:before="97"/>
        <w:ind w:right="134"/>
        <w:jc w:val="left"/>
      </w:pPr>
      <w:r>
        <w:rPr>
          <w:rFonts w:ascii="Segoe UI" w:hAnsi="Segoe UI" w:cs="Segoe UI" w:eastAsia="Segoe UI"/>
          <w:b/>
          <w:bCs/>
          <w:color w:val="231F20"/>
          <w:spacing w:val="-1"/>
        </w:rPr>
        <w:t>RAP</w:t>
      </w:r>
      <w:r>
        <w:rPr>
          <w:color w:val="231F20"/>
          <w:spacing w:val="-1"/>
        </w:rPr>
        <w:t>—Reconciliation</w:t>
      </w:r>
      <w:r>
        <w:rPr>
          <w:color w:val="231F20"/>
          <w:spacing w:val="-12"/>
        </w:rPr>
        <w:t> </w:t>
      </w:r>
      <w:r>
        <w:rPr>
          <w:color w:val="231F20"/>
        </w:rPr>
        <w:t>Action</w:t>
      </w:r>
      <w:r>
        <w:rPr>
          <w:color w:val="231F20"/>
          <w:spacing w:val="-10"/>
        </w:rPr>
        <w:t> </w:t>
      </w:r>
      <w:r>
        <w:rPr>
          <w:color w:val="231F20"/>
        </w:rPr>
        <w:t>Plan</w:t>
      </w:r>
      <w:r>
        <w:rPr/>
      </w:r>
    </w:p>
    <w:p>
      <w:pPr>
        <w:pStyle w:val="BodyText"/>
        <w:spacing w:line="250" w:lineRule="exact" w:before="113"/>
        <w:ind w:right="283"/>
        <w:jc w:val="left"/>
      </w:pPr>
      <w:r>
        <w:rPr>
          <w:rFonts w:ascii="Segoe UI" w:hAnsi="Segoe UI" w:cs="Segoe UI" w:eastAsia="Segoe UI"/>
          <w:b/>
          <w:bCs/>
          <w:color w:val="231F20"/>
          <w:spacing w:val="-2"/>
        </w:rPr>
        <w:t>Transition</w:t>
      </w:r>
      <w:r>
        <w:rPr>
          <w:rFonts w:ascii="Segoe UI" w:hAnsi="Segoe UI" w:cs="Segoe UI" w:eastAsia="Segoe UI"/>
          <w:b/>
          <w:bCs/>
          <w:color w:val="231F20"/>
          <w:spacing w:val="-7"/>
        </w:rPr>
        <w:t> </w:t>
      </w:r>
      <w:r>
        <w:rPr>
          <w:rFonts w:ascii="Segoe UI" w:hAnsi="Segoe UI" w:cs="Segoe UI" w:eastAsia="Segoe UI"/>
          <w:b/>
          <w:bCs/>
          <w:color w:val="231F20"/>
        </w:rPr>
        <w:t>support</w:t>
      </w:r>
      <w:r>
        <w:rPr>
          <w:rFonts w:ascii="Segoe UI" w:hAnsi="Segoe UI" w:cs="Segoe UI" w:eastAsia="Segoe UI"/>
          <w:b/>
          <w:bCs/>
          <w:color w:val="231F20"/>
          <w:spacing w:val="-7"/>
        </w:rPr>
        <w:t> </w:t>
      </w:r>
      <w:r>
        <w:rPr>
          <w:rFonts w:ascii="Segoe UI" w:hAnsi="Segoe UI" w:cs="Segoe UI" w:eastAsia="Segoe UI"/>
          <w:b/>
          <w:bCs/>
          <w:color w:val="231F20"/>
        </w:rPr>
        <w:t>service</w:t>
      </w:r>
      <w:r>
        <w:rPr>
          <w:color w:val="231F20"/>
        </w:rPr>
        <w:t>—a</w:t>
      </w:r>
      <w:r>
        <w:rPr>
          <w:color w:val="231F20"/>
          <w:spacing w:val="-6"/>
        </w:rPr>
        <w:t> </w:t>
      </w:r>
      <w:r>
        <w:rPr>
          <w:color w:val="231F20"/>
        </w:rPr>
        <w:t>government</w:t>
      </w:r>
      <w:r>
        <w:rPr>
          <w:color w:val="231F20"/>
          <w:spacing w:val="32"/>
          <w:w w:val="99"/>
        </w:rPr>
        <w:t> </w:t>
      </w:r>
      <w:r>
        <w:rPr>
          <w:color w:val="231F20"/>
          <w:spacing w:val="-1"/>
        </w:rPr>
        <w:t>service</w:t>
      </w:r>
      <w:r>
        <w:rPr>
          <w:color w:val="231F20"/>
          <w:spacing w:val="-6"/>
        </w:rPr>
        <w:t> </w:t>
      </w:r>
      <w:r>
        <w:rPr>
          <w:color w:val="231F20"/>
        </w:rPr>
        <w:t>that</w:t>
      </w:r>
      <w:r>
        <w:rPr>
          <w:color w:val="231F20"/>
          <w:spacing w:val="-7"/>
        </w:rPr>
        <w:t> </w:t>
      </w:r>
      <w:r>
        <w:rPr>
          <w:color w:val="231F20"/>
          <w:spacing w:val="-1"/>
        </w:rPr>
        <w:t>supports</w:t>
      </w:r>
      <w:r>
        <w:rPr>
          <w:color w:val="231F20"/>
          <w:spacing w:val="-6"/>
        </w:rPr>
        <w:t> </w:t>
      </w:r>
      <w:r>
        <w:rPr>
          <w:color w:val="231F20"/>
        </w:rPr>
        <w:t>Aboriginal</w:t>
      </w:r>
      <w:r>
        <w:rPr>
          <w:color w:val="231F20"/>
          <w:spacing w:val="-6"/>
        </w:rPr>
        <w:t> </w:t>
      </w:r>
      <w:r>
        <w:rPr>
          <w:color w:val="231F20"/>
        </w:rPr>
        <w:t>and</w:t>
      </w:r>
      <w:r>
        <w:rPr>
          <w:color w:val="231F20"/>
          <w:spacing w:val="-7"/>
        </w:rPr>
        <w:t> </w:t>
      </w:r>
      <w:r>
        <w:rPr>
          <w:color w:val="231F20"/>
          <w:spacing w:val="-5"/>
        </w:rPr>
        <w:t>Torres</w:t>
      </w:r>
      <w:r>
        <w:rPr>
          <w:color w:val="231F20"/>
          <w:spacing w:val="27"/>
          <w:w w:val="99"/>
        </w:rPr>
        <w:t> </w:t>
      </w:r>
      <w:r>
        <w:rPr>
          <w:color w:val="231F20"/>
          <w:spacing w:val="-2"/>
        </w:rPr>
        <w:t>Strait</w:t>
      </w:r>
      <w:r>
        <w:rPr>
          <w:color w:val="231F20"/>
          <w:spacing w:val="-6"/>
        </w:rPr>
        <w:t> </w:t>
      </w:r>
      <w:r>
        <w:rPr>
          <w:color w:val="231F20"/>
          <w:spacing w:val="-1"/>
        </w:rPr>
        <w:t>Islander</w:t>
      </w:r>
      <w:r>
        <w:rPr>
          <w:color w:val="231F20"/>
          <w:spacing w:val="-5"/>
        </w:rPr>
        <w:t> </w:t>
      </w:r>
      <w:r>
        <w:rPr>
          <w:color w:val="231F20"/>
        </w:rPr>
        <w:t>boarders</w:t>
      </w:r>
      <w:r>
        <w:rPr>
          <w:color w:val="231F20"/>
          <w:spacing w:val="-5"/>
        </w:rPr>
        <w:t> </w:t>
      </w:r>
      <w:r>
        <w:rPr>
          <w:color w:val="231F20"/>
        </w:rPr>
        <w:t>and</w:t>
      </w:r>
      <w:r>
        <w:rPr>
          <w:color w:val="231F20"/>
          <w:spacing w:val="-6"/>
        </w:rPr>
        <w:t> </w:t>
      </w:r>
      <w:r>
        <w:rPr>
          <w:color w:val="231F20"/>
        </w:rPr>
        <w:t>their</w:t>
      </w:r>
      <w:r>
        <w:rPr>
          <w:color w:val="231F20"/>
          <w:spacing w:val="-5"/>
        </w:rPr>
        <w:t> </w:t>
      </w:r>
      <w:r>
        <w:rPr>
          <w:color w:val="231F20"/>
        </w:rPr>
        <w:t>families</w:t>
      </w:r>
      <w:r>
        <w:rPr>
          <w:color w:val="231F20"/>
          <w:spacing w:val="-6"/>
        </w:rPr>
        <w:t> </w:t>
      </w:r>
      <w:r>
        <w:rPr>
          <w:color w:val="231F20"/>
        </w:rPr>
        <w:t>to</w:t>
      </w:r>
      <w:r>
        <w:rPr>
          <w:color w:val="231F20"/>
          <w:spacing w:val="27"/>
          <w:w w:val="99"/>
        </w:rPr>
        <w:t> </w:t>
      </w:r>
      <w:r>
        <w:rPr>
          <w:color w:val="231F20"/>
          <w:spacing w:val="-1"/>
        </w:rPr>
        <w:t>identify</w:t>
      </w:r>
      <w:r>
        <w:rPr>
          <w:color w:val="231F20"/>
          <w:spacing w:val="-4"/>
        </w:rPr>
        <w:t> </w:t>
      </w:r>
      <w:r>
        <w:rPr>
          <w:color w:val="231F20"/>
        </w:rPr>
        <w:t>a</w:t>
      </w:r>
      <w:r>
        <w:rPr>
          <w:color w:val="231F20"/>
          <w:spacing w:val="-3"/>
        </w:rPr>
        <w:t> </w:t>
      </w:r>
      <w:r>
        <w:rPr>
          <w:color w:val="231F20"/>
        </w:rPr>
        <w:t>boarding</w:t>
      </w:r>
      <w:r>
        <w:rPr>
          <w:color w:val="231F20"/>
          <w:spacing w:val="-4"/>
        </w:rPr>
        <w:t> </w:t>
      </w:r>
      <w:r>
        <w:rPr>
          <w:color w:val="231F20"/>
        </w:rPr>
        <w:t>facility</w:t>
      </w:r>
      <w:r>
        <w:rPr>
          <w:color w:val="231F20"/>
          <w:spacing w:val="-4"/>
        </w:rPr>
        <w:t> </w:t>
      </w:r>
      <w:r>
        <w:rPr>
          <w:color w:val="231F20"/>
        </w:rPr>
        <w:t>that</w:t>
      </w:r>
      <w:r>
        <w:rPr>
          <w:color w:val="231F20"/>
          <w:spacing w:val="-4"/>
        </w:rPr>
        <w:t> </w:t>
      </w:r>
      <w:r>
        <w:rPr>
          <w:color w:val="231F20"/>
        </w:rPr>
        <w:t>will</w:t>
      </w:r>
      <w:r>
        <w:rPr>
          <w:color w:val="231F20"/>
          <w:spacing w:val="-4"/>
        </w:rPr>
        <w:t> </w:t>
      </w:r>
      <w:r>
        <w:rPr>
          <w:color w:val="231F20"/>
        </w:rPr>
        <w:t>be</w:t>
      </w:r>
      <w:r>
        <w:rPr>
          <w:color w:val="231F20"/>
          <w:spacing w:val="-3"/>
        </w:rPr>
        <w:t> </w:t>
      </w:r>
      <w:r>
        <w:rPr>
          <w:color w:val="231F20"/>
        </w:rPr>
        <w:t>‘best</w:t>
      </w:r>
      <w:r>
        <w:rPr>
          <w:color w:val="231F20"/>
          <w:spacing w:val="22"/>
        </w:rPr>
        <w:t> </w:t>
      </w:r>
      <w:r>
        <w:rPr>
          <w:rFonts w:ascii="Segoe UI" w:hAnsi="Segoe UI" w:cs="Segoe UI" w:eastAsia="Segoe UI"/>
          <w:color w:val="231F20"/>
        </w:rPr>
        <w:t>fit’ for each individual student, assist families</w:t>
      </w:r>
      <w:r>
        <w:rPr>
          <w:rFonts w:ascii="Segoe UI" w:hAnsi="Segoe UI" w:cs="Segoe UI" w:eastAsia="Segoe UI"/>
          <w:color w:val="231F20"/>
        </w:rPr>
        <w:t> </w:t>
      </w:r>
      <w:r>
        <w:rPr>
          <w:color w:val="231F20"/>
        </w:rPr>
        <w:t>to</w:t>
      </w:r>
      <w:r>
        <w:rPr>
          <w:color w:val="231F20"/>
          <w:spacing w:val="-3"/>
        </w:rPr>
        <w:t> </w:t>
      </w:r>
      <w:r>
        <w:rPr>
          <w:color w:val="231F20"/>
        </w:rPr>
        <w:t>apply</w:t>
      </w:r>
      <w:r>
        <w:rPr>
          <w:color w:val="231F20"/>
          <w:spacing w:val="-4"/>
        </w:rPr>
        <w:t> </w:t>
      </w:r>
      <w:r>
        <w:rPr>
          <w:color w:val="231F20"/>
        </w:rPr>
        <w:t>for</w:t>
      </w:r>
      <w:r>
        <w:rPr>
          <w:color w:val="231F20"/>
          <w:spacing w:val="-3"/>
        </w:rPr>
        <w:t> </w:t>
      </w:r>
      <w:r>
        <w:rPr>
          <w:color w:val="231F20"/>
        </w:rPr>
        <w:t>ABSTUDY</w:t>
      </w:r>
      <w:r>
        <w:rPr>
          <w:color w:val="231F20"/>
          <w:spacing w:val="-4"/>
        </w:rPr>
        <w:t> </w:t>
      </w:r>
      <w:r>
        <w:rPr>
          <w:color w:val="231F20"/>
        </w:rPr>
        <w:t>and</w:t>
      </w:r>
      <w:r>
        <w:rPr>
          <w:color w:val="231F20"/>
          <w:spacing w:val="-4"/>
        </w:rPr>
        <w:t> </w:t>
      </w:r>
      <w:r>
        <w:rPr>
          <w:color w:val="231F20"/>
        </w:rPr>
        <w:t>ABSTUDY</w:t>
      </w:r>
      <w:r>
        <w:rPr>
          <w:color w:val="231F20"/>
          <w:spacing w:val="-4"/>
        </w:rPr>
        <w:t> </w:t>
      </w:r>
      <w:r>
        <w:rPr>
          <w:color w:val="231F20"/>
        </w:rPr>
        <w:t>travel,</w:t>
      </w:r>
      <w:r>
        <w:rPr>
          <w:color w:val="231F20"/>
          <w:w w:val="99"/>
        </w:rPr>
        <w:t> </w:t>
      </w:r>
      <w:r>
        <w:rPr>
          <w:color w:val="231F20"/>
        </w:rPr>
        <w:t>assist</w:t>
      </w:r>
      <w:r>
        <w:rPr>
          <w:color w:val="231F20"/>
          <w:spacing w:val="-4"/>
        </w:rPr>
        <w:t> </w:t>
      </w:r>
      <w:r>
        <w:rPr>
          <w:color w:val="231F20"/>
        </w:rPr>
        <w:t>with</w:t>
      </w:r>
      <w:r>
        <w:rPr>
          <w:color w:val="231F20"/>
          <w:spacing w:val="-4"/>
        </w:rPr>
        <w:t> </w:t>
      </w:r>
      <w:r>
        <w:rPr>
          <w:color w:val="231F20"/>
        </w:rPr>
        <w:t>the</w:t>
      </w:r>
      <w:r>
        <w:rPr>
          <w:color w:val="231F20"/>
          <w:spacing w:val="-4"/>
        </w:rPr>
        <w:t> </w:t>
      </w:r>
      <w:r>
        <w:rPr>
          <w:color w:val="231F20"/>
        </w:rPr>
        <w:t>travel</w:t>
      </w:r>
      <w:r>
        <w:rPr>
          <w:color w:val="231F20"/>
          <w:spacing w:val="-4"/>
        </w:rPr>
        <w:t> </w:t>
      </w:r>
      <w:r>
        <w:rPr>
          <w:color w:val="231F20"/>
        </w:rPr>
        <w:t>of</w:t>
      </w:r>
      <w:r>
        <w:rPr>
          <w:color w:val="231F20"/>
          <w:spacing w:val="-3"/>
        </w:rPr>
        <w:t> </w:t>
      </w:r>
      <w:r>
        <w:rPr>
          <w:color w:val="231F20"/>
          <w:spacing w:val="-1"/>
        </w:rPr>
        <w:t>students</w:t>
      </w:r>
      <w:r>
        <w:rPr>
          <w:color w:val="231F20"/>
          <w:spacing w:val="-2"/>
        </w:rPr>
        <w:t> </w:t>
      </w:r>
      <w:r>
        <w:rPr>
          <w:color w:val="231F20"/>
        </w:rPr>
        <w:t>to</w:t>
      </w:r>
      <w:r>
        <w:rPr>
          <w:color w:val="231F20"/>
          <w:spacing w:val="-3"/>
        </w:rPr>
        <w:t> </w:t>
      </w:r>
      <w:r>
        <w:rPr>
          <w:color w:val="231F20"/>
        </w:rPr>
        <w:t>and</w:t>
      </w:r>
      <w:r>
        <w:rPr>
          <w:color w:val="231F20"/>
          <w:spacing w:val="-4"/>
        </w:rPr>
        <w:t> </w:t>
      </w:r>
      <w:r>
        <w:rPr>
          <w:color w:val="231F20"/>
          <w:spacing w:val="-4"/>
        </w:rPr>
      </w:r>
      <w:r>
        <w:rPr>
          <w:color w:val="231F20"/>
        </w:rPr>
        <w:t>from</w:t>
      </w:r>
      <w:r>
        <w:rPr>
          <w:color w:val="231F20"/>
          <w:spacing w:val="22"/>
        </w:rPr>
        <w:t> </w:t>
      </w:r>
      <w:r>
        <w:rPr>
          <w:color w:val="231F20"/>
        </w:rPr>
        <w:t>boarding,</w:t>
      </w:r>
      <w:r>
        <w:rPr>
          <w:color w:val="231F20"/>
          <w:spacing w:val="-10"/>
        </w:rPr>
        <w:t> </w:t>
      </w:r>
      <w:r>
        <w:rPr>
          <w:color w:val="231F20"/>
          <w:spacing w:val="-1"/>
        </w:rPr>
        <w:t>including</w:t>
      </w:r>
      <w:r>
        <w:rPr>
          <w:color w:val="231F20"/>
          <w:spacing w:val="-8"/>
        </w:rPr>
        <w:t> </w:t>
      </w:r>
      <w:r>
        <w:rPr>
          <w:color w:val="231F20"/>
        </w:rPr>
        <w:t>the</w:t>
      </w:r>
      <w:r>
        <w:rPr>
          <w:color w:val="231F20"/>
          <w:spacing w:val="-9"/>
        </w:rPr>
        <w:t> </w:t>
      </w:r>
      <w:r>
        <w:rPr>
          <w:color w:val="231F20"/>
        </w:rPr>
        <w:t>development</w:t>
      </w:r>
      <w:r>
        <w:rPr>
          <w:color w:val="231F20"/>
          <w:spacing w:val="-9"/>
        </w:rPr>
        <w:t> </w:t>
      </w:r>
      <w:r>
        <w:rPr>
          <w:color w:val="231F20"/>
          <w:spacing w:val="-9"/>
        </w:rPr>
      </w:r>
      <w:r>
        <w:rPr>
          <w:color w:val="231F20"/>
        </w:rPr>
        <w:t>of</w:t>
      </w:r>
      <w:r>
        <w:rPr>
          <w:color w:val="231F20"/>
          <w:spacing w:val="22"/>
        </w:rPr>
        <w:t> </w:t>
      </w:r>
      <w:r>
        <w:rPr>
          <w:color w:val="231F20"/>
          <w:spacing w:val="-1"/>
        </w:rPr>
        <w:t>implementation</w:t>
      </w:r>
      <w:r>
        <w:rPr>
          <w:color w:val="231F20"/>
          <w:spacing w:val="-3"/>
        </w:rPr>
        <w:t> </w:t>
      </w:r>
      <w:r>
        <w:rPr>
          <w:color w:val="231F20"/>
        </w:rPr>
        <w:t>of</w:t>
      </w:r>
      <w:r>
        <w:rPr>
          <w:color w:val="231F20"/>
          <w:spacing w:val="-2"/>
        </w:rPr>
        <w:t> </w:t>
      </w:r>
      <w:r>
        <w:rPr>
          <w:color w:val="231F20"/>
          <w:spacing w:val="-1"/>
        </w:rPr>
        <w:t>safe</w:t>
      </w:r>
      <w:r>
        <w:rPr>
          <w:color w:val="231F20"/>
          <w:spacing w:val="-2"/>
        </w:rPr>
        <w:t> </w:t>
      </w:r>
      <w:r>
        <w:rPr>
          <w:color w:val="231F20"/>
        </w:rPr>
        <w:t>travel</w:t>
      </w:r>
      <w:r>
        <w:rPr>
          <w:color w:val="231F20"/>
          <w:spacing w:val="-3"/>
        </w:rPr>
        <w:t> </w:t>
      </w:r>
      <w:r>
        <w:rPr>
          <w:color w:val="231F20"/>
        </w:rPr>
        <w:t>plans</w:t>
      </w:r>
      <w:r>
        <w:rPr>
          <w:color w:val="231F20"/>
          <w:spacing w:val="-3"/>
        </w:rPr>
        <w:t> </w:t>
      </w:r>
      <w:r>
        <w:rPr>
          <w:color w:val="231F20"/>
        </w:rPr>
        <w:t>from</w:t>
      </w:r>
      <w:r>
        <w:rPr>
          <w:color w:val="231F20"/>
          <w:w w:val="99"/>
        </w:rPr>
        <w:t> </w:t>
      </w:r>
      <w:r>
        <w:rPr>
          <w:color w:val="231F20"/>
          <w:spacing w:val="6"/>
          <w:w w:val="99"/>
        </w:rPr>
        <w:t>    </w:t>
      </w:r>
      <w:r>
        <w:rPr>
          <w:color w:val="231F20"/>
        </w:rPr>
        <w:t>1</w:t>
      </w:r>
      <w:r>
        <w:rPr>
          <w:color w:val="231F20"/>
          <w:spacing w:val="-5"/>
        </w:rPr>
        <w:t> </w:t>
      </w:r>
      <w:r>
        <w:rPr>
          <w:color w:val="231F20"/>
        </w:rPr>
        <w:t>January</w:t>
      </w:r>
      <w:r>
        <w:rPr>
          <w:color w:val="231F20"/>
          <w:spacing w:val="-4"/>
        </w:rPr>
        <w:t> </w:t>
      </w:r>
      <w:r>
        <w:rPr>
          <w:color w:val="231F20"/>
          <w:spacing w:val="-1"/>
        </w:rPr>
        <w:t>2019,</w:t>
      </w:r>
      <w:r>
        <w:rPr>
          <w:color w:val="231F20"/>
          <w:spacing w:val="-5"/>
        </w:rPr>
        <w:t> </w:t>
      </w:r>
      <w:r>
        <w:rPr>
          <w:color w:val="231F20"/>
          <w:spacing w:val="-1"/>
        </w:rPr>
        <w:t>support</w:t>
      </w:r>
      <w:r>
        <w:rPr>
          <w:color w:val="231F20"/>
          <w:spacing w:val="-4"/>
        </w:rPr>
        <w:t> </w:t>
      </w:r>
      <w:r>
        <w:rPr>
          <w:color w:val="231F20"/>
          <w:spacing w:val="-1"/>
        </w:rPr>
        <w:t>students</w:t>
      </w:r>
      <w:r>
        <w:rPr>
          <w:color w:val="231F20"/>
          <w:spacing w:val="-5"/>
        </w:rPr>
        <w:t> </w:t>
      </w:r>
      <w:r>
        <w:rPr>
          <w:color w:val="231F20"/>
        </w:rPr>
        <w:t>attending</w:t>
      </w:r>
      <w:r>
        <w:rPr>
          <w:color w:val="231F20"/>
          <w:spacing w:val="24"/>
          <w:w w:val="99"/>
        </w:rPr>
        <w:t> </w:t>
      </w:r>
      <w:r>
        <w:rPr>
          <w:color w:val="231F20"/>
        </w:rPr>
        <w:t>boarding</w:t>
      </w:r>
      <w:r>
        <w:rPr>
          <w:color w:val="231F20"/>
          <w:spacing w:val="-7"/>
        </w:rPr>
        <w:t> </w:t>
      </w:r>
      <w:r>
        <w:rPr>
          <w:color w:val="231F20"/>
        </w:rPr>
        <w:t>providers</w:t>
      </w:r>
      <w:r>
        <w:rPr>
          <w:color w:val="231F20"/>
          <w:spacing w:val="-7"/>
        </w:rPr>
        <w:t> </w:t>
      </w:r>
      <w:r>
        <w:rPr>
          <w:color w:val="231F20"/>
        </w:rPr>
        <w:t>through</w:t>
      </w:r>
      <w:r>
        <w:rPr>
          <w:color w:val="231F20"/>
          <w:spacing w:val="-7"/>
        </w:rPr>
        <w:t> </w:t>
      </w:r>
      <w:r>
        <w:rPr>
          <w:color w:val="231F20"/>
        </w:rPr>
        <w:t>visits</w:t>
      </w:r>
      <w:r>
        <w:rPr>
          <w:color w:val="231F20"/>
          <w:spacing w:val="-6"/>
        </w:rPr>
        <w:t> </w:t>
      </w:r>
      <w:r>
        <w:rPr>
          <w:color w:val="231F20"/>
        </w:rPr>
        <w:t>to</w:t>
      </w:r>
      <w:r>
        <w:rPr>
          <w:color w:val="231F20"/>
          <w:spacing w:val="-6"/>
        </w:rPr>
        <w:t> </w:t>
      </w:r>
      <w:r>
        <w:rPr>
          <w:color w:val="231F20"/>
        </w:rPr>
        <w:t>and</w:t>
      </w:r>
      <w:r>
        <w:rPr>
          <w:color w:val="231F20"/>
          <w:w w:val="99"/>
        </w:rPr>
        <w:t> </w:t>
      </w:r>
      <w:r>
        <w:rPr>
          <w:color w:val="231F20"/>
        </w:rPr>
        <w:t>consultation</w:t>
      </w:r>
      <w:r>
        <w:rPr>
          <w:color w:val="231F20"/>
          <w:spacing w:val="-6"/>
        </w:rPr>
        <w:t> </w:t>
      </w:r>
      <w:r>
        <w:rPr>
          <w:color w:val="231F20"/>
        </w:rPr>
        <w:t>with</w:t>
      </w:r>
      <w:r>
        <w:rPr>
          <w:color w:val="231F20"/>
          <w:spacing w:val="-5"/>
        </w:rPr>
        <w:t> </w:t>
      </w:r>
      <w:r>
        <w:rPr>
          <w:color w:val="231F20"/>
        </w:rPr>
        <w:t>communities,</w:t>
      </w:r>
      <w:r>
        <w:rPr>
          <w:color w:val="231F20"/>
          <w:spacing w:val="-6"/>
        </w:rPr>
        <w:t> </w:t>
      </w:r>
      <w:r>
        <w:rPr>
          <w:color w:val="231F20"/>
        </w:rPr>
        <w:t>families</w:t>
      </w:r>
      <w:r>
        <w:rPr>
          <w:color w:val="231F20"/>
          <w:spacing w:val="-5"/>
        </w:rPr>
        <w:t> </w:t>
      </w:r>
      <w:r>
        <w:rPr>
          <w:color w:val="231F20"/>
        </w:rPr>
        <w:t>and</w:t>
      </w:r>
      <w:r>
        <w:rPr>
          <w:color w:val="231F20"/>
          <w:w w:val="99"/>
        </w:rPr>
        <w:t> </w:t>
      </w:r>
      <w:r>
        <w:rPr>
          <w:color w:val="231F20"/>
        </w:rPr>
        <w:t>boarding</w:t>
      </w:r>
      <w:r>
        <w:rPr>
          <w:color w:val="231F20"/>
          <w:spacing w:val="-18"/>
        </w:rPr>
        <w:t> </w:t>
      </w:r>
      <w:r>
        <w:rPr>
          <w:color w:val="231F20"/>
        </w:rPr>
        <w:t>providers</w:t>
      </w:r>
      <w:r>
        <w:rPr/>
      </w:r>
    </w:p>
    <w:p>
      <w:pPr>
        <w:spacing w:line="250" w:lineRule="exact" w:before="62"/>
        <w:ind w:left="117" w:right="375" w:firstLine="0"/>
        <w:jc w:val="left"/>
        <w:rPr>
          <w:rFonts w:ascii="Segoe UI" w:hAnsi="Segoe UI" w:cs="Segoe UI" w:eastAsia="Segoe UI"/>
          <w:sz w:val="20"/>
          <w:szCs w:val="20"/>
        </w:rPr>
      </w:pPr>
      <w:r>
        <w:rPr/>
        <w:br w:type="column"/>
      </w:r>
      <w:r>
        <w:rPr>
          <w:rFonts w:ascii="Segoe UI" w:hAnsi="Segoe UI" w:cs="Segoe UI" w:eastAsia="Segoe UI"/>
          <w:b/>
          <w:bCs/>
          <w:color w:val="231F20"/>
          <w:spacing w:val="-2"/>
          <w:sz w:val="20"/>
          <w:szCs w:val="20"/>
        </w:rPr>
        <w:t>Transition</w:t>
      </w:r>
      <w:r>
        <w:rPr>
          <w:rFonts w:ascii="Segoe UI" w:hAnsi="Segoe UI" w:cs="Segoe UI" w:eastAsia="Segoe UI"/>
          <w:b/>
          <w:bCs/>
          <w:color w:val="231F20"/>
          <w:spacing w:val="-4"/>
          <w:sz w:val="20"/>
          <w:szCs w:val="20"/>
        </w:rPr>
        <w:t> </w:t>
      </w:r>
      <w:r>
        <w:rPr>
          <w:rFonts w:ascii="Segoe UI" w:hAnsi="Segoe UI" w:cs="Segoe UI" w:eastAsia="Segoe UI"/>
          <w:b/>
          <w:bCs/>
          <w:color w:val="231F20"/>
          <w:sz w:val="20"/>
          <w:szCs w:val="20"/>
        </w:rPr>
        <w:t>Support</w:t>
      </w:r>
      <w:r>
        <w:rPr>
          <w:rFonts w:ascii="Segoe UI" w:hAnsi="Segoe UI" w:cs="Segoe UI" w:eastAsia="Segoe UI"/>
          <w:b/>
          <w:bCs/>
          <w:color w:val="231F20"/>
          <w:spacing w:val="-3"/>
          <w:sz w:val="20"/>
          <w:szCs w:val="20"/>
        </w:rPr>
        <w:t> </w:t>
      </w:r>
      <w:r>
        <w:rPr>
          <w:rFonts w:ascii="Segoe UI" w:hAnsi="Segoe UI" w:cs="Segoe UI" w:eastAsia="Segoe UI"/>
          <w:b/>
          <w:bCs/>
          <w:color w:val="231F20"/>
          <w:sz w:val="20"/>
          <w:szCs w:val="20"/>
        </w:rPr>
        <w:t>Services</w:t>
      </w:r>
      <w:r>
        <w:rPr>
          <w:rFonts w:ascii="Segoe UI" w:hAnsi="Segoe UI" w:cs="Segoe UI" w:eastAsia="Segoe UI"/>
          <w:b/>
          <w:bCs/>
          <w:color w:val="231F20"/>
          <w:spacing w:val="-3"/>
          <w:sz w:val="20"/>
          <w:szCs w:val="20"/>
        </w:rPr>
        <w:t> </w:t>
      </w:r>
      <w:r>
        <w:rPr>
          <w:rFonts w:ascii="Segoe UI" w:hAnsi="Segoe UI" w:cs="Segoe UI" w:eastAsia="Segoe UI"/>
          <w:b/>
          <w:bCs/>
          <w:color w:val="231F20"/>
          <w:spacing w:val="-1"/>
          <w:sz w:val="20"/>
          <w:szCs w:val="20"/>
        </w:rPr>
        <w:t>(Qld)</w:t>
      </w:r>
      <w:r>
        <w:rPr>
          <w:rFonts w:ascii="Segoe UI" w:hAnsi="Segoe UI" w:cs="Segoe UI" w:eastAsia="Segoe UI"/>
          <w:b/>
          <w:bCs/>
          <w:color w:val="231F20"/>
          <w:spacing w:val="-3"/>
          <w:sz w:val="20"/>
          <w:szCs w:val="20"/>
        </w:rPr>
        <w:t> </w:t>
      </w:r>
      <w:r>
        <w:rPr>
          <w:rFonts w:ascii="Segoe UI" w:hAnsi="Segoe UI" w:cs="Segoe UI" w:eastAsia="Segoe UI"/>
          <w:b/>
          <w:bCs/>
          <w:color w:val="231F20"/>
          <w:spacing w:val="-1"/>
          <w:sz w:val="20"/>
          <w:szCs w:val="20"/>
        </w:rPr>
        <w:t>(TSS)</w:t>
      </w:r>
      <w:r>
        <w:rPr>
          <w:rFonts w:ascii="Segoe UI" w:hAnsi="Segoe UI" w:cs="Segoe UI" w:eastAsia="Segoe UI"/>
          <w:color w:val="231F20"/>
          <w:spacing w:val="-1"/>
          <w:sz w:val="20"/>
          <w:szCs w:val="20"/>
        </w:rPr>
        <w:t>—</w:t>
      </w:r>
      <w:r>
        <w:rPr>
          <w:rFonts w:ascii="Segoe UI" w:hAnsi="Segoe UI" w:cs="Segoe UI" w:eastAsia="Segoe UI"/>
          <w:color w:val="231F20"/>
          <w:spacing w:val="43"/>
          <w:sz w:val="20"/>
          <w:szCs w:val="20"/>
        </w:rPr>
        <w:t> </w:t>
      </w:r>
      <w:r>
        <w:rPr>
          <w:rFonts w:ascii="Segoe UI" w:hAnsi="Segoe UI" w:cs="Segoe UI" w:eastAsia="Segoe UI"/>
          <w:color w:val="231F20"/>
          <w:spacing w:val="-1"/>
          <w:sz w:val="20"/>
          <w:szCs w:val="20"/>
        </w:rPr>
        <w:t>is</w:t>
      </w:r>
      <w:r>
        <w:rPr>
          <w:rFonts w:ascii="Segoe UI" w:hAnsi="Segoe UI" w:cs="Segoe UI" w:eastAsia="Segoe UI"/>
          <w:color w:val="231F20"/>
          <w:spacing w:val="-7"/>
          <w:sz w:val="20"/>
          <w:szCs w:val="20"/>
        </w:rPr>
        <w:t> </w:t>
      </w:r>
      <w:r>
        <w:rPr>
          <w:rFonts w:ascii="Segoe UI" w:hAnsi="Segoe UI" w:cs="Segoe UI" w:eastAsia="Segoe UI"/>
          <w:color w:val="231F20"/>
          <w:sz w:val="20"/>
          <w:szCs w:val="20"/>
        </w:rPr>
        <w:t>part</w:t>
      </w:r>
      <w:r>
        <w:rPr>
          <w:rFonts w:ascii="Segoe UI" w:hAnsi="Segoe UI" w:cs="Segoe UI" w:eastAsia="Segoe UI"/>
          <w:color w:val="231F20"/>
          <w:spacing w:val="-5"/>
          <w:sz w:val="20"/>
          <w:szCs w:val="20"/>
        </w:rPr>
        <w:t> </w:t>
      </w:r>
      <w:r>
        <w:rPr>
          <w:rFonts w:ascii="Segoe UI" w:hAnsi="Segoe UI" w:cs="Segoe UI" w:eastAsia="Segoe UI"/>
          <w:color w:val="231F20"/>
          <w:sz w:val="20"/>
          <w:szCs w:val="20"/>
        </w:rPr>
        <w:t>of</w:t>
      </w:r>
      <w:r>
        <w:rPr>
          <w:rFonts w:ascii="Segoe UI" w:hAnsi="Segoe UI" w:cs="Segoe UI" w:eastAsia="Segoe UI"/>
          <w:color w:val="231F20"/>
          <w:spacing w:val="-5"/>
          <w:sz w:val="20"/>
          <w:szCs w:val="20"/>
        </w:rPr>
        <w:t> </w:t>
      </w:r>
      <w:r>
        <w:rPr>
          <w:rFonts w:ascii="Segoe UI" w:hAnsi="Segoe UI" w:cs="Segoe UI" w:eastAsia="Segoe UI"/>
          <w:color w:val="231F20"/>
          <w:sz w:val="20"/>
          <w:szCs w:val="20"/>
        </w:rPr>
        <w:t>the</w:t>
      </w:r>
      <w:r>
        <w:rPr>
          <w:rFonts w:ascii="Segoe UI" w:hAnsi="Segoe UI" w:cs="Segoe UI" w:eastAsia="Segoe UI"/>
          <w:color w:val="231F20"/>
          <w:spacing w:val="-6"/>
          <w:sz w:val="20"/>
          <w:szCs w:val="20"/>
        </w:rPr>
        <w:t> </w:t>
      </w:r>
      <w:r>
        <w:rPr>
          <w:rFonts w:ascii="Segoe UI" w:hAnsi="Segoe UI" w:cs="Segoe UI" w:eastAsia="Segoe UI"/>
          <w:color w:val="231F20"/>
          <w:sz w:val="20"/>
          <w:szCs w:val="20"/>
        </w:rPr>
        <w:t>Queensland</w:t>
      </w:r>
      <w:r>
        <w:rPr>
          <w:rFonts w:ascii="Segoe UI" w:hAnsi="Segoe UI" w:cs="Segoe UI" w:eastAsia="Segoe UI"/>
          <w:color w:val="231F20"/>
          <w:spacing w:val="-6"/>
          <w:sz w:val="20"/>
          <w:szCs w:val="20"/>
        </w:rPr>
        <w:t> </w:t>
      </w:r>
      <w:r>
        <w:rPr>
          <w:rFonts w:ascii="Segoe UI" w:hAnsi="Segoe UI" w:cs="Segoe UI" w:eastAsia="Segoe UI"/>
          <w:color w:val="231F20"/>
          <w:spacing w:val="-1"/>
          <w:sz w:val="20"/>
          <w:szCs w:val="20"/>
        </w:rPr>
        <w:t>Department</w:t>
      </w:r>
      <w:r>
        <w:rPr>
          <w:rFonts w:ascii="Segoe UI" w:hAnsi="Segoe UI" w:cs="Segoe UI" w:eastAsia="Segoe UI"/>
          <w:color w:val="231F20"/>
          <w:spacing w:val="-6"/>
          <w:sz w:val="20"/>
          <w:szCs w:val="20"/>
        </w:rPr>
        <w:t> </w:t>
      </w:r>
      <w:r>
        <w:rPr>
          <w:rFonts w:ascii="Segoe UI" w:hAnsi="Segoe UI" w:cs="Segoe UI" w:eastAsia="Segoe UI"/>
          <w:color w:val="231F20"/>
          <w:sz w:val="20"/>
          <w:szCs w:val="20"/>
        </w:rPr>
        <w:t>of</w:t>
      </w:r>
      <w:r>
        <w:rPr>
          <w:rFonts w:ascii="Segoe UI" w:hAnsi="Segoe UI" w:cs="Segoe UI" w:eastAsia="Segoe UI"/>
          <w:sz w:val="20"/>
          <w:szCs w:val="20"/>
        </w:rPr>
      </w:r>
    </w:p>
    <w:p>
      <w:pPr>
        <w:pStyle w:val="BodyText"/>
        <w:spacing w:line="250" w:lineRule="exact"/>
        <w:ind w:right="128"/>
        <w:jc w:val="left"/>
      </w:pPr>
      <w:r>
        <w:rPr>
          <w:color w:val="231F20"/>
        </w:rPr>
        <w:t>Education</w:t>
      </w:r>
      <w:r>
        <w:rPr>
          <w:color w:val="231F20"/>
          <w:spacing w:val="-7"/>
        </w:rPr>
        <w:t> </w:t>
      </w:r>
      <w:r>
        <w:rPr>
          <w:color w:val="231F20"/>
        </w:rPr>
        <w:t>and</w:t>
      </w:r>
      <w:r>
        <w:rPr>
          <w:color w:val="231F20"/>
          <w:spacing w:val="-7"/>
        </w:rPr>
        <w:t> </w:t>
      </w:r>
      <w:r>
        <w:rPr>
          <w:color w:val="231F20"/>
          <w:spacing w:val="-3"/>
        </w:rPr>
        <w:t>Training</w:t>
      </w:r>
      <w:r>
        <w:rPr>
          <w:color w:val="231F20"/>
          <w:spacing w:val="-7"/>
        </w:rPr>
        <w:t> </w:t>
      </w:r>
      <w:r>
        <w:rPr>
          <w:color w:val="231F20"/>
        </w:rPr>
        <w:t>and</w:t>
      </w:r>
      <w:r>
        <w:rPr>
          <w:color w:val="231F20"/>
          <w:spacing w:val="-7"/>
        </w:rPr>
        <w:t> </w:t>
      </w:r>
      <w:r>
        <w:rPr>
          <w:color w:val="231F20"/>
        </w:rPr>
        <w:t>has</w:t>
      </w:r>
      <w:r>
        <w:rPr>
          <w:color w:val="231F20"/>
          <w:spacing w:val="-7"/>
        </w:rPr>
        <w:t> </w:t>
      </w:r>
      <w:r>
        <w:rPr>
          <w:color w:val="231F20"/>
        </w:rPr>
        <w:t>been</w:t>
      </w:r>
      <w:r>
        <w:rPr>
          <w:color w:val="231F20"/>
          <w:spacing w:val="-7"/>
        </w:rPr>
        <w:t> </w:t>
      </w:r>
      <w:r>
        <w:rPr>
          <w:color w:val="231F20"/>
        </w:rPr>
        <w:t>operating</w:t>
      </w:r>
      <w:r>
        <w:rPr>
          <w:color w:val="231F20"/>
          <w:spacing w:val="26"/>
          <w:w w:val="99"/>
        </w:rPr>
        <w:t> </w:t>
      </w:r>
      <w:r>
        <w:rPr>
          <w:color w:val="231F20"/>
          <w:spacing w:val="-1"/>
        </w:rPr>
        <w:t>since</w:t>
      </w:r>
      <w:r>
        <w:rPr>
          <w:color w:val="231F20"/>
          <w:spacing w:val="-3"/>
        </w:rPr>
        <w:t> </w:t>
      </w:r>
      <w:r>
        <w:rPr>
          <w:color w:val="231F20"/>
          <w:spacing w:val="-1"/>
        </w:rPr>
        <w:t>2008.</w:t>
      </w:r>
      <w:r>
        <w:rPr>
          <w:color w:val="231F20"/>
          <w:spacing w:val="-3"/>
        </w:rPr>
        <w:t> </w:t>
      </w:r>
      <w:r>
        <w:rPr>
          <w:color w:val="231F20"/>
          <w:spacing w:val="-1"/>
        </w:rPr>
        <w:t>It</w:t>
      </w:r>
      <w:r>
        <w:rPr>
          <w:color w:val="231F20"/>
          <w:spacing w:val="-3"/>
        </w:rPr>
        <w:t> </w:t>
      </w:r>
      <w:r>
        <w:rPr>
          <w:color w:val="231F20"/>
          <w:spacing w:val="-1"/>
        </w:rPr>
        <w:t>is</w:t>
      </w:r>
      <w:r>
        <w:rPr>
          <w:color w:val="231F20"/>
          <w:spacing w:val="-3"/>
        </w:rPr>
        <w:t> </w:t>
      </w:r>
      <w:r>
        <w:rPr>
          <w:color w:val="231F20"/>
        </w:rPr>
        <w:t>based</w:t>
      </w:r>
      <w:r>
        <w:rPr>
          <w:color w:val="231F20"/>
          <w:spacing w:val="-4"/>
        </w:rPr>
        <w:t> </w:t>
      </w:r>
      <w:r>
        <w:rPr>
          <w:color w:val="231F20"/>
          <w:spacing w:val="-1"/>
        </w:rPr>
        <w:t>in</w:t>
      </w:r>
      <w:r>
        <w:rPr>
          <w:color w:val="231F20"/>
          <w:spacing w:val="-2"/>
        </w:rPr>
        <w:t> </w:t>
      </w:r>
      <w:r>
        <w:rPr>
          <w:color w:val="231F20"/>
          <w:spacing w:val="-1"/>
        </w:rPr>
        <w:t>Cairns,</w:t>
      </w:r>
      <w:r>
        <w:rPr>
          <w:color w:val="231F20"/>
          <w:spacing w:val="-3"/>
        </w:rPr>
        <w:t> </w:t>
      </w:r>
      <w:r>
        <w:rPr>
          <w:color w:val="231F20"/>
        </w:rPr>
        <w:t>a</w:t>
      </w:r>
      <w:r>
        <w:rPr>
          <w:color w:val="231F20"/>
          <w:spacing w:val="-3"/>
        </w:rPr>
        <w:t> </w:t>
      </w:r>
      <w:r>
        <w:rPr>
          <w:color w:val="231F20"/>
          <w:spacing w:val="-1"/>
        </w:rPr>
        <w:t>major</w:t>
      </w:r>
      <w:r>
        <w:rPr>
          <w:color w:val="231F20"/>
          <w:spacing w:val="-2"/>
        </w:rPr>
        <w:t> </w:t>
      </w:r>
      <w:r>
        <w:rPr>
          <w:color w:val="231F20"/>
        </w:rPr>
        <w:t>transit</w:t>
      </w:r>
      <w:r>
        <w:rPr>
          <w:color w:val="231F20"/>
          <w:spacing w:val="28"/>
          <w:w w:val="99"/>
        </w:rPr>
        <w:t> </w:t>
      </w:r>
      <w:r>
        <w:rPr>
          <w:color w:val="231F20"/>
        </w:rPr>
        <w:t>port</w:t>
      </w:r>
      <w:r>
        <w:rPr>
          <w:color w:val="231F20"/>
          <w:spacing w:val="-5"/>
        </w:rPr>
        <w:t> </w:t>
      </w:r>
      <w:r>
        <w:rPr>
          <w:color w:val="231F20"/>
        </w:rPr>
        <w:t>for</w:t>
      </w:r>
      <w:r>
        <w:rPr>
          <w:color w:val="231F20"/>
          <w:spacing w:val="-5"/>
        </w:rPr>
        <w:t> </w:t>
      </w:r>
      <w:r>
        <w:rPr>
          <w:color w:val="231F20"/>
        </w:rPr>
        <w:t>Aboriginal</w:t>
      </w:r>
      <w:r>
        <w:rPr>
          <w:color w:val="231F20"/>
          <w:spacing w:val="-5"/>
        </w:rPr>
        <w:t> </w:t>
      </w:r>
      <w:r>
        <w:rPr>
          <w:color w:val="231F20"/>
        </w:rPr>
        <w:t>and</w:t>
      </w:r>
      <w:r>
        <w:rPr>
          <w:color w:val="231F20"/>
          <w:spacing w:val="-6"/>
        </w:rPr>
        <w:t> </w:t>
      </w:r>
      <w:r>
        <w:rPr>
          <w:color w:val="231F20"/>
          <w:spacing w:val="-5"/>
        </w:rPr>
        <w:t>Torres</w:t>
      </w:r>
      <w:r>
        <w:rPr>
          <w:color w:val="231F20"/>
          <w:spacing w:val="-4"/>
        </w:rPr>
        <w:t> </w:t>
      </w:r>
      <w:r>
        <w:rPr>
          <w:color w:val="231F20"/>
          <w:spacing w:val="-2"/>
        </w:rPr>
        <w:t>Strait</w:t>
      </w:r>
      <w:r>
        <w:rPr>
          <w:color w:val="231F20"/>
          <w:spacing w:val="-6"/>
        </w:rPr>
        <w:t> </w:t>
      </w:r>
      <w:r>
        <w:rPr>
          <w:color w:val="231F20"/>
          <w:spacing w:val="-1"/>
        </w:rPr>
        <w:t>Islander</w:t>
      </w:r>
      <w:r>
        <w:rPr>
          <w:color w:val="231F20"/>
          <w:spacing w:val="29"/>
          <w:w w:val="99"/>
        </w:rPr>
        <w:t> </w:t>
      </w:r>
      <w:r>
        <w:rPr>
          <w:rFonts w:ascii="Segoe UI"/>
          <w:color w:val="231F20"/>
        </w:rPr>
        <w:t>boarders,</w:t>
      </w:r>
      <w:r>
        <w:rPr>
          <w:rFonts w:ascii="Segoe UI"/>
          <w:color w:val="231F20"/>
          <w:spacing w:val="-1"/>
        </w:rPr>
        <w:t> </w:t>
      </w:r>
      <w:r>
        <w:rPr>
          <w:rFonts w:ascii="Segoe UI"/>
          <w:color w:val="231F20"/>
        </w:rPr>
        <w:t>but</w:t>
      </w:r>
      <w:r>
        <w:rPr>
          <w:rFonts w:ascii="Segoe UI"/>
          <w:color w:val="231F20"/>
          <w:spacing w:val="-1"/>
        </w:rPr>
        <w:t> </w:t>
      </w:r>
      <w:r>
        <w:rPr>
          <w:rFonts w:ascii="Segoe UI"/>
          <w:color w:val="231F20"/>
        </w:rPr>
        <w:t>has staff</w:t>
      </w:r>
      <w:r>
        <w:rPr>
          <w:rFonts w:ascii="Segoe UI"/>
          <w:color w:val="231F20"/>
          <w:spacing w:val="-1"/>
        </w:rPr>
        <w:t> </w:t>
      </w:r>
      <w:r>
        <w:rPr>
          <w:rFonts w:ascii="Segoe UI"/>
          <w:color w:val="231F20"/>
        </w:rPr>
        <w:t>based in</w:t>
      </w:r>
      <w:r>
        <w:rPr>
          <w:rFonts w:ascii="Segoe UI"/>
          <w:color w:val="231F20"/>
          <w:spacing w:val="-1"/>
        </w:rPr>
        <w:t> </w:t>
      </w:r>
      <w:r>
        <w:rPr>
          <w:rFonts w:ascii="Segoe UI"/>
          <w:color w:val="231F20"/>
        </w:rPr>
        <w:t>Cape </w:t>
      </w:r>
      <w:r>
        <w:rPr>
          <w:rFonts w:ascii="Segoe UI"/>
          <w:color w:val="231F20"/>
          <w:spacing w:val="-5"/>
        </w:rPr>
        <w:t>York</w:t>
      </w:r>
      <w:r>
        <w:rPr>
          <w:rFonts w:ascii="Segoe UI"/>
          <w:color w:val="231F20"/>
          <w:spacing w:val="21"/>
        </w:rPr>
        <w:t> </w:t>
      </w:r>
      <w:r>
        <w:rPr>
          <w:color w:val="231F20"/>
        </w:rPr>
        <w:t>communities</w:t>
      </w:r>
      <w:r>
        <w:rPr>
          <w:color w:val="231F20"/>
          <w:spacing w:val="-9"/>
        </w:rPr>
        <w:t> </w:t>
      </w:r>
      <w:r>
        <w:rPr>
          <w:color w:val="231F20"/>
        </w:rPr>
        <w:t>(Cooktown,</w:t>
      </w:r>
      <w:r>
        <w:rPr>
          <w:color w:val="231F20"/>
          <w:spacing w:val="-9"/>
        </w:rPr>
        <w:t> </w:t>
      </w:r>
      <w:r>
        <w:rPr>
          <w:color w:val="231F20"/>
          <w:spacing w:val="-1"/>
        </w:rPr>
        <w:t>Pormpuraaw,</w:t>
      </w:r>
      <w:r>
        <w:rPr>
          <w:color w:val="231F20"/>
          <w:spacing w:val="-8"/>
        </w:rPr>
        <w:t> </w:t>
      </w:r>
      <w:r>
        <w:rPr>
          <w:color w:val="231F20"/>
        </w:rPr>
        <w:t>and</w:t>
      </w:r>
      <w:r>
        <w:rPr>
          <w:color w:val="231F20"/>
          <w:spacing w:val="23"/>
          <w:w w:val="99"/>
        </w:rPr>
        <w:t> </w:t>
      </w:r>
      <w:r>
        <w:rPr>
          <w:color w:val="231F20"/>
          <w:spacing w:val="-1"/>
        </w:rPr>
        <w:t>soon</w:t>
      </w:r>
      <w:r>
        <w:rPr>
          <w:color w:val="231F20"/>
          <w:spacing w:val="-9"/>
        </w:rPr>
        <w:t> </w:t>
      </w:r>
      <w:r>
        <w:rPr>
          <w:color w:val="231F20"/>
        </w:rPr>
        <w:t>to</w:t>
      </w:r>
      <w:r>
        <w:rPr>
          <w:color w:val="231F20"/>
          <w:spacing w:val="-9"/>
        </w:rPr>
        <w:t> </w:t>
      </w:r>
      <w:r>
        <w:rPr>
          <w:color w:val="231F20"/>
        </w:rPr>
        <w:t>be</w:t>
      </w:r>
      <w:r>
        <w:rPr>
          <w:color w:val="231F20"/>
          <w:spacing w:val="-9"/>
        </w:rPr>
        <w:t> </w:t>
      </w:r>
      <w:r>
        <w:rPr>
          <w:color w:val="231F20"/>
        </w:rPr>
        <w:t>added</w:t>
      </w:r>
      <w:r>
        <w:rPr>
          <w:color w:val="231F20"/>
          <w:spacing w:val="-8"/>
        </w:rPr>
        <w:t> </w:t>
      </w:r>
      <w:r>
        <w:rPr>
          <w:color w:val="231F20"/>
          <w:spacing w:val="-1"/>
        </w:rPr>
        <w:t>Doomadgee</w:t>
      </w:r>
      <w:r>
        <w:rPr>
          <w:color w:val="231F20"/>
          <w:spacing w:val="-8"/>
        </w:rPr>
        <w:t> </w:t>
      </w:r>
      <w:r>
        <w:rPr>
          <w:color w:val="231F20"/>
        </w:rPr>
        <w:t>and</w:t>
      </w:r>
      <w:r>
        <w:rPr>
          <w:color w:val="231F20"/>
          <w:spacing w:val="-9"/>
        </w:rPr>
        <w:t> </w:t>
      </w:r>
      <w:r>
        <w:rPr>
          <w:color w:val="231F20"/>
        </w:rPr>
        <w:t>Mornington</w:t>
      </w:r>
      <w:r>
        <w:rPr>
          <w:color w:val="231F20"/>
          <w:spacing w:val="23"/>
          <w:w w:val="99"/>
        </w:rPr>
        <w:t> </w:t>
      </w:r>
      <w:r>
        <w:rPr>
          <w:color w:val="231F20"/>
          <w:spacing w:val="-1"/>
        </w:rPr>
        <w:t>Island),</w:t>
      </w:r>
      <w:r>
        <w:rPr>
          <w:color w:val="231F20"/>
          <w:spacing w:val="-5"/>
        </w:rPr>
        <w:t> </w:t>
      </w:r>
      <w:r>
        <w:rPr>
          <w:color w:val="231F20"/>
          <w:spacing w:val="-2"/>
        </w:rPr>
        <w:t>Townsville</w:t>
      </w:r>
      <w:r>
        <w:rPr>
          <w:color w:val="231F20"/>
          <w:spacing w:val="-6"/>
        </w:rPr>
        <w:t> </w:t>
      </w:r>
      <w:r>
        <w:rPr>
          <w:color w:val="231F20"/>
        </w:rPr>
        <w:t>and</w:t>
      </w:r>
      <w:r>
        <w:rPr>
          <w:color w:val="231F20"/>
          <w:spacing w:val="-5"/>
        </w:rPr>
        <w:t> </w:t>
      </w:r>
      <w:r>
        <w:rPr>
          <w:color w:val="231F20"/>
          <w:spacing w:val="-2"/>
        </w:rPr>
        <w:t>Toowoomba.</w:t>
      </w:r>
      <w:r>
        <w:rPr>
          <w:color w:val="231F20"/>
          <w:spacing w:val="-6"/>
        </w:rPr>
        <w:t> </w:t>
      </w:r>
      <w:r>
        <w:rPr>
          <w:color w:val="231F20"/>
          <w:spacing w:val="-2"/>
        </w:rPr>
        <w:t>TSS</w:t>
      </w:r>
      <w:r>
        <w:rPr>
          <w:color w:val="231F20"/>
          <w:spacing w:val="-5"/>
        </w:rPr>
        <w:t> </w:t>
      </w:r>
      <w:r>
        <w:rPr>
          <w:color w:val="231F20"/>
        </w:rPr>
        <w:t>assists</w:t>
      </w:r>
      <w:r>
        <w:rPr>
          <w:color w:val="231F20"/>
          <w:spacing w:val="22"/>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5"/>
        </w:rPr>
        <w:t> </w:t>
      </w:r>
      <w:r>
        <w:rPr>
          <w:color w:val="231F20"/>
          <w:spacing w:val="-1"/>
        </w:rPr>
        <w:t>Islander</w:t>
      </w:r>
      <w:r>
        <w:rPr>
          <w:color w:val="231F20"/>
          <w:spacing w:val="-5"/>
        </w:rPr>
        <w:t> </w:t>
      </w:r>
      <w:r>
        <w:rPr>
          <w:color w:val="231F20"/>
          <w:spacing w:val="-1"/>
        </w:rPr>
        <w:t>students</w:t>
      </w:r>
      <w:r>
        <w:rPr>
          <w:color w:val="231F20"/>
          <w:spacing w:val="20"/>
        </w:rPr>
        <w:t> </w:t>
      </w:r>
      <w:r>
        <w:rPr>
          <w:color w:val="231F20"/>
        </w:rPr>
        <w:t>attending</w:t>
      </w:r>
      <w:r>
        <w:rPr>
          <w:color w:val="231F20"/>
          <w:spacing w:val="-9"/>
        </w:rPr>
        <w:t> </w:t>
      </w:r>
      <w:r>
        <w:rPr>
          <w:color w:val="231F20"/>
        </w:rPr>
        <w:t>boarding</w:t>
      </w:r>
      <w:r>
        <w:rPr>
          <w:color w:val="231F20"/>
          <w:spacing w:val="-9"/>
        </w:rPr>
        <w:t> </w:t>
      </w:r>
      <w:r>
        <w:rPr>
          <w:color w:val="231F20"/>
          <w:spacing w:val="-1"/>
        </w:rPr>
        <w:t>schools.</w:t>
      </w:r>
      <w:r>
        <w:rPr>
          <w:color w:val="231F20"/>
          <w:spacing w:val="-7"/>
        </w:rPr>
        <w:t> </w:t>
      </w:r>
      <w:r>
        <w:rPr>
          <w:color w:val="231F20"/>
          <w:spacing w:val="-1"/>
        </w:rPr>
        <w:t>It</w:t>
      </w:r>
      <w:r>
        <w:rPr>
          <w:color w:val="231F20"/>
          <w:spacing w:val="-8"/>
        </w:rPr>
        <w:t> </w:t>
      </w:r>
      <w:r>
        <w:rPr>
          <w:color w:val="231F20"/>
        </w:rPr>
        <w:t>predominately</w:t>
      </w:r>
      <w:r>
        <w:rPr>
          <w:color w:val="231F20"/>
          <w:spacing w:val="23"/>
          <w:w w:val="99"/>
        </w:rPr>
        <w:t> </w:t>
      </w:r>
      <w:r>
        <w:rPr>
          <w:color w:val="231F20"/>
        </w:rPr>
        <w:t>assists</w:t>
      </w:r>
      <w:r>
        <w:rPr>
          <w:color w:val="231F20"/>
          <w:spacing w:val="-3"/>
        </w:rPr>
        <w:t> </w:t>
      </w:r>
      <w:r>
        <w:rPr>
          <w:color w:val="231F20"/>
          <w:spacing w:val="-1"/>
        </w:rPr>
        <w:t>students</w:t>
      </w:r>
      <w:r>
        <w:rPr>
          <w:color w:val="231F20"/>
          <w:spacing w:val="-2"/>
        </w:rPr>
        <w:t> </w:t>
      </w:r>
      <w:r>
        <w:rPr>
          <w:color w:val="231F20"/>
        </w:rPr>
        <w:t>from</w:t>
      </w:r>
      <w:r>
        <w:rPr>
          <w:color w:val="231F20"/>
          <w:spacing w:val="-2"/>
        </w:rPr>
        <w:t> </w:t>
      </w:r>
      <w:r>
        <w:rPr>
          <w:color w:val="231F20"/>
          <w:spacing w:val="-1"/>
        </w:rPr>
        <w:t>Cape</w:t>
      </w:r>
      <w:r>
        <w:rPr>
          <w:color w:val="231F20"/>
          <w:spacing w:val="-2"/>
        </w:rPr>
        <w:t> </w:t>
      </w:r>
      <w:r>
        <w:rPr>
          <w:color w:val="231F20"/>
          <w:spacing w:val="-6"/>
        </w:rPr>
        <w:t>York</w:t>
      </w:r>
      <w:r>
        <w:rPr>
          <w:color w:val="231F20"/>
          <w:spacing w:val="-2"/>
        </w:rPr>
        <w:t> </w:t>
      </w:r>
      <w:r>
        <w:rPr>
          <w:color w:val="231F20"/>
        </w:rPr>
        <w:t>and</w:t>
      </w:r>
      <w:r>
        <w:rPr>
          <w:color w:val="231F20"/>
          <w:spacing w:val="-3"/>
        </w:rPr>
        <w:t> </w:t>
      </w:r>
      <w:r>
        <w:rPr>
          <w:color w:val="231F20"/>
          <w:spacing w:val="-2"/>
        </w:rPr>
        <w:t>Palm</w:t>
      </w:r>
      <w:r>
        <w:rPr>
          <w:color w:val="231F20"/>
        </w:rPr>
        <w:t> </w:t>
      </w:r>
      <w:r>
        <w:rPr>
          <w:color w:val="231F20"/>
          <w:spacing w:val="25"/>
        </w:rPr>
        <w:t> </w:t>
      </w:r>
      <w:r>
        <w:rPr>
          <w:color w:val="231F20"/>
          <w:spacing w:val="-1"/>
        </w:rPr>
        <w:t>Island</w:t>
      </w:r>
      <w:r>
        <w:rPr>
          <w:color w:val="231F20"/>
          <w:spacing w:val="-3"/>
        </w:rPr>
        <w:t> </w:t>
      </w:r>
      <w:r>
        <w:rPr>
          <w:color w:val="231F20"/>
        </w:rPr>
        <w:t>but</w:t>
      </w:r>
      <w:r>
        <w:rPr>
          <w:color w:val="231F20"/>
          <w:spacing w:val="-4"/>
        </w:rPr>
        <w:t> </w:t>
      </w:r>
      <w:r>
        <w:rPr>
          <w:color w:val="231F20"/>
        </w:rPr>
        <w:t>also</w:t>
      </w:r>
      <w:r>
        <w:rPr>
          <w:color w:val="231F20"/>
          <w:spacing w:val="-4"/>
        </w:rPr>
        <w:t> </w:t>
      </w:r>
      <w:r>
        <w:rPr>
          <w:color w:val="231F20"/>
        </w:rPr>
        <w:t>assists</w:t>
      </w:r>
      <w:r>
        <w:rPr>
          <w:color w:val="231F20"/>
          <w:spacing w:val="-3"/>
        </w:rPr>
        <w:t> </w:t>
      </w:r>
      <w:r>
        <w:rPr>
          <w:color w:val="231F20"/>
        </w:rPr>
        <w:t>Aboriginal</w:t>
      </w:r>
      <w:r>
        <w:rPr>
          <w:color w:val="231F20"/>
          <w:spacing w:val="-3"/>
        </w:rPr>
        <w:t> </w:t>
      </w:r>
      <w:r>
        <w:rPr>
          <w:color w:val="231F20"/>
          <w:spacing w:val="-1"/>
        </w:rPr>
        <w:t>students</w:t>
      </w:r>
      <w:r>
        <w:rPr>
          <w:color w:val="231F20"/>
          <w:spacing w:val="-3"/>
        </w:rPr>
        <w:t> </w:t>
      </w:r>
      <w:r>
        <w:rPr>
          <w:color w:val="231F20"/>
        </w:rPr>
        <w:t>from</w:t>
      </w:r>
      <w:r>
        <w:rPr>
          <w:color w:val="231F20"/>
          <w:spacing w:val="23"/>
          <w:w w:val="99"/>
        </w:rPr>
        <w:t> </w:t>
      </w:r>
      <w:r>
        <w:rPr>
          <w:color w:val="231F20"/>
        </w:rPr>
        <w:t>other</w:t>
      </w:r>
      <w:r>
        <w:rPr>
          <w:color w:val="231F20"/>
          <w:spacing w:val="-6"/>
        </w:rPr>
        <w:t> </w:t>
      </w:r>
      <w:r>
        <w:rPr>
          <w:color w:val="231F20"/>
          <w:spacing w:val="-1"/>
        </w:rPr>
        <w:t>jurisdictions</w:t>
      </w:r>
      <w:r>
        <w:rPr>
          <w:color w:val="231F20"/>
          <w:spacing w:val="-6"/>
        </w:rPr>
        <w:t> </w:t>
      </w:r>
      <w:r>
        <w:rPr>
          <w:color w:val="231F20"/>
        </w:rPr>
        <w:t>that</w:t>
      </w:r>
      <w:r>
        <w:rPr>
          <w:color w:val="231F20"/>
          <w:spacing w:val="-6"/>
        </w:rPr>
        <w:t> </w:t>
      </w:r>
      <w:r>
        <w:rPr>
          <w:color w:val="231F20"/>
        </w:rPr>
        <w:t>are</w:t>
      </w:r>
      <w:r>
        <w:rPr>
          <w:color w:val="231F20"/>
          <w:spacing w:val="-7"/>
        </w:rPr>
        <w:t> </w:t>
      </w:r>
      <w:r>
        <w:rPr>
          <w:color w:val="231F20"/>
        </w:rPr>
        <w:t>attending</w:t>
      </w:r>
      <w:r>
        <w:rPr>
          <w:color w:val="231F20"/>
          <w:spacing w:val="-6"/>
        </w:rPr>
        <w:t> </w:t>
      </w:r>
      <w:r>
        <w:rPr>
          <w:color w:val="231F20"/>
        </w:rPr>
        <w:t>boarding</w:t>
      </w:r>
      <w:r>
        <w:rPr>
          <w:color w:val="231F20"/>
          <w:spacing w:val="22"/>
          <w:w w:val="99"/>
        </w:rPr>
        <w:t> </w:t>
      </w:r>
      <w:r>
        <w:rPr>
          <w:color w:val="231F20"/>
          <w:spacing w:val="-1"/>
        </w:rPr>
        <w:t>schools</w:t>
      </w:r>
      <w:r>
        <w:rPr>
          <w:color w:val="231F20"/>
          <w:spacing w:val="-6"/>
        </w:rPr>
        <w:t> </w:t>
      </w:r>
      <w:r>
        <w:rPr>
          <w:color w:val="231F20"/>
          <w:spacing w:val="-1"/>
        </w:rPr>
        <w:t>in</w:t>
      </w:r>
      <w:r>
        <w:rPr>
          <w:color w:val="231F20"/>
          <w:spacing w:val="-5"/>
        </w:rPr>
        <w:t> </w:t>
      </w:r>
      <w:r>
        <w:rPr>
          <w:color w:val="231F20"/>
        </w:rPr>
        <w:t>Queensland.</w:t>
      </w:r>
      <w:r>
        <w:rPr/>
      </w:r>
    </w:p>
    <w:p>
      <w:pPr>
        <w:spacing w:line="250" w:lineRule="exact" w:before="113"/>
        <w:ind w:left="117" w:right="472" w:firstLine="0"/>
        <w:jc w:val="left"/>
        <w:rPr>
          <w:rFonts w:ascii="Segoe UI" w:hAnsi="Segoe UI" w:cs="Segoe UI" w:eastAsia="Segoe UI"/>
          <w:sz w:val="20"/>
          <w:szCs w:val="20"/>
        </w:rPr>
      </w:pPr>
      <w:r>
        <w:rPr>
          <w:rFonts w:ascii="Segoe UI" w:hAnsi="Segoe UI" w:cs="Segoe UI" w:eastAsia="Segoe UI"/>
          <w:b/>
          <w:bCs/>
          <w:color w:val="231F20"/>
          <w:spacing w:val="-2"/>
          <w:sz w:val="20"/>
          <w:szCs w:val="20"/>
        </w:rPr>
        <w:t>Transition</w:t>
      </w:r>
      <w:r>
        <w:rPr>
          <w:rFonts w:ascii="Segoe UI" w:hAnsi="Segoe UI" w:cs="Segoe UI" w:eastAsia="Segoe UI"/>
          <w:b/>
          <w:bCs/>
          <w:color w:val="231F20"/>
          <w:spacing w:val="-3"/>
          <w:sz w:val="20"/>
          <w:szCs w:val="20"/>
        </w:rPr>
        <w:t> </w:t>
      </w:r>
      <w:r>
        <w:rPr>
          <w:rFonts w:ascii="Segoe UI" w:hAnsi="Segoe UI" w:cs="Segoe UI" w:eastAsia="Segoe UI"/>
          <w:b/>
          <w:bCs/>
          <w:color w:val="231F20"/>
          <w:sz w:val="20"/>
          <w:szCs w:val="20"/>
        </w:rPr>
        <w:t>Support</w:t>
      </w:r>
      <w:r>
        <w:rPr>
          <w:rFonts w:ascii="Segoe UI" w:hAnsi="Segoe UI" w:cs="Segoe UI" w:eastAsia="Segoe UI"/>
          <w:b/>
          <w:bCs/>
          <w:color w:val="231F20"/>
          <w:spacing w:val="-3"/>
          <w:sz w:val="20"/>
          <w:szCs w:val="20"/>
        </w:rPr>
        <w:t> </w:t>
      </w:r>
      <w:r>
        <w:rPr>
          <w:rFonts w:ascii="Segoe UI" w:hAnsi="Segoe UI" w:cs="Segoe UI" w:eastAsia="Segoe UI"/>
          <w:b/>
          <w:bCs/>
          <w:color w:val="231F20"/>
          <w:spacing w:val="-1"/>
          <w:sz w:val="20"/>
          <w:szCs w:val="20"/>
        </w:rPr>
        <w:t>Unit (NT)</w:t>
      </w:r>
      <w:r>
        <w:rPr>
          <w:rFonts w:ascii="Segoe UI" w:hAnsi="Segoe UI" w:cs="Segoe UI" w:eastAsia="Segoe UI"/>
          <w:b/>
          <w:bCs/>
          <w:color w:val="231F20"/>
          <w:spacing w:val="-2"/>
          <w:sz w:val="20"/>
          <w:szCs w:val="20"/>
        </w:rPr>
        <w:t> </w:t>
      </w:r>
      <w:r>
        <w:rPr>
          <w:rFonts w:ascii="Segoe UI" w:hAnsi="Segoe UI" w:cs="Segoe UI" w:eastAsia="Segoe UI"/>
          <w:b/>
          <w:bCs/>
          <w:color w:val="231F20"/>
          <w:spacing w:val="-1"/>
          <w:sz w:val="20"/>
          <w:szCs w:val="20"/>
        </w:rPr>
        <w:t>(TSU)</w:t>
      </w:r>
      <w:r>
        <w:rPr>
          <w:rFonts w:ascii="Segoe UI" w:hAnsi="Segoe UI" w:cs="Segoe UI" w:eastAsia="Segoe UI"/>
          <w:color w:val="231F20"/>
          <w:spacing w:val="-1"/>
          <w:sz w:val="20"/>
          <w:szCs w:val="20"/>
        </w:rPr>
        <w:t>—is</w:t>
      </w:r>
      <w:r>
        <w:rPr>
          <w:rFonts w:ascii="Segoe UI" w:hAnsi="Segoe UI" w:cs="Segoe UI" w:eastAsia="Segoe UI"/>
          <w:color w:val="231F20"/>
          <w:spacing w:val="31"/>
          <w:sz w:val="20"/>
          <w:szCs w:val="20"/>
        </w:rPr>
        <w:t> </w:t>
      </w:r>
      <w:r>
        <w:rPr>
          <w:rFonts w:ascii="Segoe UI" w:hAnsi="Segoe UI" w:cs="Segoe UI" w:eastAsia="Segoe UI"/>
          <w:color w:val="231F20"/>
          <w:sz w:val="20"/>
          <w:szCs w:val="20"/>
        </w:rPr>
        <w:t>part</w:t>
      </w:r>
      <w:r>
        <w:rPr>
          <w:rFonts w:ascii="Segoe UI" w:hAnsi="Segoe UI" w:cs="Segoe UI" w:eastAsia="Segoe UI"/>
          <w:color w:val="231F20"/>
          <w:spacing w:val="-6"/>
          <w:sz w:val="20"/>
          <w:szCs w:val="20"/>
        </w:rPr>
        <w:t> </w:t>
      </w:r>
      <w:r>
        <w:rPr>
          <w:rFonts w:ascii="Segoe UI" w:hAnsi="Segoe UI" w:cs="Segoe UI" w:eastAsia="Segoe UI"/>
          <w:color w:val="231F20"/>
          <w:sz w:val="20"/>
          <w:szCs w:val="20"/>
        </w:rPr>
        <w:t>of</w:t>
      </w:r>
      <w:r>
        <w:rPr>
          <w:rFonts w:ascii="Segoe UI" w:hAnsi="Segoe UI" w:cs="Segoe UI" w:eastAsia="Segoe UI"/>
          <w:color w:val="231F20"/>
          <w:spacing w:val="-6"/>
          <w:sz w:val="20"/>
          <w:szCs w:val="20"/>
        </w:rPr>
        <w:t> </w:t>
      </w:r>
      <w:r>
        <w:rPr>
          <w:rFonts w:ascii="Segoe UI" w:hAnsi="Segoe UI" w:cs="Segoe UI" w:eastAsia="Segoe UI"/>
          <w:color w:val="231F20"/>
          <w:sz w:val="20"/>
          <w:szCs w:val="20"/>
        </w:rPr>
        <w:t>the</w:t>
      </w:r>
      <w:r>
        <w:rPr>
          <w:rFonts w:ascii="Segoe UI" w:hAnsi="Segoe UI" w:cs="Segoe UI" w:eastAsia="Segoe UI"/>
          <w:color w:val="231F20"/>
          <w:spacing w:val="-6"/>
          <w:sz w:val="20"/>
          <w:szCs w:val="20"/>
        </w:rPr>
        <w:t> </w:t>
      </w:r>
      <w:r>
        <w:rPr>
          <w:rFonts w:ascii="Segoe UI" w:hAnsi="Segoe UI" w:cs="Segoe UI" w:eastAsia="Segoe UI"/>
          <w:color w:val="231F20"/>
          <w:spacing w:val="-1"/>
          <w:sz w:val="20"/>
          <w:szCs w:val="20"/>
        </w:rPr>
        <w:t>Department</w:t>
      </w:r>
      <w:r>
        <w:rPr>
          <w:rFonts w:ascii="Segoe UI" w:hAnsi="Segoe UI" w:cs="Segoe UI" w:eastAsia="Segoe UI"/>
          <w:color w:val="231F20"/>
          <w:spacing w:val="-6"/>
          <w:sz w:val="20"/>
          <w:szCs w:val="20"/>
        </w:rPr>
        <w:t> </w:t>
      </w:r>
      <w:r>
        <w:rPr>
          <w:rFonts w:ascii="Segoe UI" w:hAnsi="Segoe UI" w:cs="Segoe UI" w:eastAsia="Segoe UI"/>
          <w:color w:val="231F20"/>
          <w:sz w:val="20"/>
          <w:szCs w:val="20"/>
        </w:rPr>
        <w:t>of</w:t>
      </w:r>
      <w:r>
        <w:rPr>
          <w:rFonts w:ascii="Segoe UI" w:hAnsi="Segoe UI" w:cs="Segoe UI" w:eastAsia="Segoe UI"/>
          <w:color w:val="231F20"/>
          <w:spacing w:val="-5"/>
          <w:sz w:val="20"/>
          <w:szCs w:val="20"/>
        </w:rPr>
        <w:t> </w:t>
      </w:r>
      <w:r>
        <w:rPr>
          <w:rFonts w:ascii="Segoe UI" w:hAnsi="Segoe UI" w:cs="Segoe UI" w:eastAsia="Segoe UI"/>
          <w:color w:val="231F20"/>
          <w:sz w:val="20"/>
          <w:szCs w:val="20"/>
        </w:rPr>
        <w:t>Education</w:t>
      </w:r>
      <w:r>
        <w:rPr>
          <w:rFonts w:ascii="Segoe UI" w:hAnsi="Segoe UI" w:cs="Segoe UI" w:eastAsia="Segoe UI"/>
          <w:color w:val="231F20"/>
          <w:spacing w:val="-7"/>
          <w:sz w:val="20"/>
          <w:szCs w:val="20"/>
        </w:rPr>
        <w:t> </w:t>
      </w:r>
      <w:r>
        <w:rPr>
          <w:rFonts w:ascii="Segoe UI" w:hAnsi="Segoe UI" w:cs="Segoe UI" w:eastAsia="Segoe UI"/>
          <w:color w:val="231F20"/>
          <w:sz w:val="20"/>
          <w:szCs w:val="20"/>
        </w:rPr>
        <w:t>(NT)</w:t>
      </w:r>
      <w:r>
        <w:rPr>
          <w:rFonts w:ascii="Segoe UI" w:hAnsi="Segoe UI" w:cs="Segoe UI" w:eastAsia="Segoe UI"/>
          <w:color w:val="231F20"/>
          <w:spacing w:val="22"/>
          <w:w w:val="99"/>
          <w:sz w:val="20"/>
          <w:szCs w:val="20"/>
        </w:rPr>
        <w:t> </w:t>
      </w:r>
      <w:r>
        <w:rPr>
          <w:rFonts w:ascii="Segoe UI" w:hAnsi="Segoe UI" w:cs="Segoe UI" w:eastAsia="Segoe UI"/>
          <w:color w:val="231F20"/>
          <w:sz w:val="20"/>
          <w:szCs w:val="20"/>
        </w:rPr>
        <w:t>and</w:t>
      </w:r>
      <w:r>
        <w:rPr>
          <w:rFonts w:ascii="Segoe UI" w:hAnsi="Segoe UI" w:cs="Segoe UI" w:eastAsia="Segoe UI"/>
          <w:color w:val="231F20"/>
          <w:spacing w:val="-6"/>
          <w:sz w:val="20"/>
          <w:szCs w:val="20"/>
        </w:rPr>
        <w:t> </w:t>
      </w:r>
      <w:r>
        <w:rPr>
          <w:rFonts w:ascii="Segoe UI" w:hAnsi="Segoe UI" w:cs="Segoe UI" w:eastAsia="Segoe UI"/>
          <w:color w:val="231F20"/>
          <w:sz w:val="20"/>
          <w:szCs w:val="20"/>
        </w:rPr>
        <w:t>assists</w:t>
      </w:r>
      <w:r>
        <w:rPr>
          <w:rFonts w:ascii="Segoe UI" w:hAnsi="Segoe UI" w:cs="Segoe UI" w:eastAsia="Segoe UI"/>
          <w:color w:val="231F20"/>
          <w:spacing w:val="-6"/>
          <w:sz w:val="20"/>
          <w:szCs w:val="20"/>
        </w:rPr>
        <w:t> </w:t>
      </w:r>
      <w:r>
        <w:rPr>
          <w:rFonts w:ascii="Segoe UI" w:hAnsi="Segoe UI" w:cs="Segoe UI" w:eastAsia="Segoe UI"/>
          <w:color w:val="231F20"/>
          <w:sz w:val="20"/>
          <w:szCs w:val="20"/>
        </w:rPr>
        <w:t>Northern</w:t>
      </w:r>
      <w:r>
        <w:rPr>
          <w:rFonts w:ascii="Segoe UI" w:hAnsi="Segoe UI" w:cs="Segoe UI" w:eastAsia="Segoe UI"/>
          <w:color w:val="231F20"/>
          <w:spacing w:val="-5"/>
          <w:sz w:val="20"/>
          <w:szCs w:val="20"/>
        </w:rPr>
        <w:t> </w:t>
      </w:r>
      <w:r>
        <w:rPr>
          <w:rFonts w:ascii="Segoe UI" w:hAnsi="Segoe UI" w:cs="Segoe UI" w:eastAsia="Segoe UI"/>
          <w:color w:val="231F20"/>
          <w:spacing w:val="-3"/>
          <w:sz w:val="20"/>
          <w:szCs w:val="20"/>
        </w:rPr>
        <w:t>Territory</w:t>
      </w:r>
      <w:r>
        <w:rPr>
          <w:rFonts w:ascii="Segoe UI" w:hAnsi="Segoe UI" w:cs="Segoe UI" w:eastAsia="Segoe UI"/>
          <w:color w:val="231F20"/>
          <w:spacing w:val="-4"/>
          <w:sz w:val="20"/>
          <w:szCs w:val="20"/>
        </w:rPr>
        <w:t> </w:t>
      </w:r>
      <w:r>
        <w:rPr>
          <w:rFonts w:ascii="Segoe UI" w:hAnsi="Segoe UI" w:cs="Segoe UI" w:eastAsia="Segoe UI"/>
          <w:color w:val="231F20"/>
          <w:spacing w:val="-1"/>
          <w:sz w:val="20"/>
          <w:szCs w:val="20"/>
        </w:rPr>
        <w:t>students</w:t>
      </w:r>
      <w:r>
        <w:rPr>
          <w:rFonts w:ascii="Segoe UI" w:hAnsi="Segoe UI" w:cs="Segoe UI" w:eastAsia="Segoe UI"/>
          <w:color w:val="231F20"/>
          <w:spacing w:val="-1"/>
          <w:sz w:val="20"/>
          <w:szCs w:val="20"/>
        </w:rPr>
        <w:t> </w:t>
      </w:r>
      <w:r>
        <w:rPr>
          <w:rFonts w:ascii="Segoe UI" w:hAnsi="Segoe UI" w:cs="Segoe UI" w:eastAsia="Segoe UI"/>
          <w:color w:val="231F20"/>
          <w:spacing w:val="27"/>
          <w:sz w:val="20"/>
          <w:szCs w:val="20"/>
        </w:rPr>
        <w:t> </w:t>
      </w:r>
      <w:r>
        <w:rPr>
          <w:rFonts w:ascii="Segoe UI" w:hAnsi="Segoe UI" w:cs="Segoe UI" w:eastAsia="Segoe UI"/>
          <w:color w:val="231F20"/>
          <w:sz w:val="20"/>
          <w:szCs w:val="20"/>
        </w:rPr>
        <w:t>with</w:t>
      </w:r>
      <w:r>
        <w:rPr>
          <w:rFonts w:ascii="Segoe UI" w:hAnsi="Segoe UI" w:cs="Segoe UI" w:eastAsia="Segoe UI"/>
          <w:color w:val="231F20"/>
          <w:spacing w:val="-9"/>
          <w:sz w:val="20"/>
          <w:szCs w:val="20"/>
        </w:rPr>
        <w:t> </w:t>
      </w:r>
      <w:r>
        <w:rPr>
          <w:rFonts w:ascii="Segoe UI" w:hAnsi="Segoe UI" w:cs="Segoe UI" w:eastAsia="Segoe UI"/>
          <w:color w:val="231F20"/>
          <w:sz w:val="20"/>
          <w:szCs w:val="20"/>
        </w:rPr>
        <w:t>attendance</w:t>
      </w:r>
      <w:r>
        <w:rPr>
          <w:rFonts w:ascii="Segoe UI" w:hAnsi="Segoe UI" w:cs="Segoe UI" w:eastAsia="Segoe UI"/>
          <w:color w:val="231F20"/>
          <w:spacing w:val="-9"/>
          <w:sz w:val="20"/>
          <w:szCs w:val="20"/>
        </w:rPr>
        <w:t> </w:t>
      </w:r>
      <w:r>
        <w:rPr>
          <w:rFonts w:ascii="Segoe UI" w:hAnsi="Segoe UI" w:cs="Segoe UI" w:eastAsia="Segoe UI"/>
          <w:color w:val="231F20"/>
          <w:sz w:val="20"/>
          <w:szCs w:val="20"/>
        </w:rPr>
        <w:t>at</w:t>
      </w:r>
      <w:r>
        <w:rPr>
          <w:rFonts w:ascii="Segoe UI" w:hAnsi="Segoe UI" w:cs="Segoe UI" w:eastAsia="Segoe UI"/>
          <w:color w:val="231F20"/>
          <w:spacing w:val="-8"/>
          <w:sz w:val="20"/>
          <w:szCs w:val="20"/>
        </w:rPr>
        <w:t> </w:t>
      </w:r>
      <w:r>
        <w:rPr>
          <w:rFonts w:ascii="Segoe UI" w:hAnsi="Segoe UI" w:cs="Segoe UI" w:eastAsia="Segoe UI"/>
          <w:color w:val="231F20"/>
          <w:sz w:val="20"/>
          <w:szCs w:val="20"/>
        </w:rPr>
        <w:t>boarding</w:t>
      </w:r>
      <w:r>
        <w:rPr>
          <w:rFonts w:ascii="Segoe UI" w:hAnsi="Segoe UI" w:cs="Segoe UI" w:eastAsia="Segoe UI"/>
          <w:color w:val="231F20"/>
          <w:spacing w:val="-9"/>
          <w:sz w:val="20"/>
          <w:szCs w:val="20"/>
        </w:rPr>
        <w:t> </w:t>
      </w:r>
      <w:r>
        <w:rPr>
          <w:rFonts w:ascii="Segoe UI" w:hAnsi="Segoe UI" w:cs="Segoe UI" w:eastAsia="Segoe UI"/>
          <w:color w:val="231F20"/>
          <w:sz w:val="20"/>
          <w:szCs w:val="20"/>
        </w:rPr>
        <w:t>providers</w:t>
      </w:r>
      <w:r>
        <w:rPr>
          <w:rFonts w:ascii="Segoe UI" w:hAnsi="Segoe UI" w:cs="Segoe UI" w:eastAsia="Segoe UI"/>
          <w:color w:val="231F20"/>
          <w:w w:val="99"/>
          <w:sz w:val="20"/>
          <w:szCs w:val="20"/>
        </w:rPr>
        <w:t> </w:t>
      </w:r>
      <w:r>
        <w:rPr>
          <w:rFonts w:ascii="Segoe UI" w:hAnsi="Segoe UI" w:cs="Segoe UI" w:eastAsia="Segoe UI"/>
          <w:color w:val="231F20"/>
          <w:sz w:val="20"/>
          <w:szCs w:val="20"/>
        </w:rPr>
        <w:t>around</w:t>
      </w:r>
      <w:r>
        <w:rPr>
          <w:rFonts w:ascii="Segoe UI" w:hAnsi="Segoe UI" w:cs="Segoe UI" w:eastAsia="Segoe UI"/>
          <w:color w:val="231F20"/>
          <w:spacing w:val="-6"/>
          <w:sz w:val="20"/>
          <w:szCs w:val="20"/>
        </w:rPr>
        <w:t> </w:t>
      </w:r>
      <w:r>
        <w:rPr>
          <w:rFonts w:ascii="Segoe UI" w:hAnsi="Segoe UI" w:cs="Segoe UI" w:eastAsia="Segoe UI"/>
          <w:color w:val="231F20"/>
          <w:sz w:val="20"/>
          <w:szCs w:val="20"/>
        </w:rPr>
        <w:t>Australia.</w:t>
      </w:r>
      <w:r>
        <w:rPr>
          <w:rFonts w:ascii="Segoe UI" w:hAnsi="Segoe UI" w:cs="Segoe UI" w:eastAsia="Segoe UI"/>
          <w:color w:val="231F20"/>
          <w:spacing w:val="-4"/>
          <w:sz w:val="20"/>
          <w:szCs w:val="20"/>
        </w:rPr>
        <w:t> </w:t>
      </w:r>
      <w:r>
        <w:rPr>
          <w:rFonts w:ascii="Segoe UI" w:hAnsi="Segoe UI" w:cs="Segoe UI" w:eastAsia="Segoe UI"/>
          <w:color w:val="231F20"/>
          <w:sz w:val="20"/>
          <w:szCs w:val="20"/>
        </w:rPr>
        <w:t>The</w:t>
      </w:r>
      <w:r>
        <w:rPr>
          <w:rFonts w:ascii="Segoe UI" w:hAnsi="Segoe UI" w:cs="Segoe UI" w:eastAsia="Segoe UI"/>
          <w:color w:val="231F20"/>
          <w:spacing w:val="-4"/>
          <w:sz w:val="20"/>
          <w:szCs w:val="20"/>
        </w:rPr>
        <w:t> </w:t>
      </w:r>
      <w:r>
        <w:rPr>
          <w:rFonts w:ascii="Segoe UI" w:hAnsi="Segoe UI" w:cs="Segoe UI" w:eastAsia="Segoe UI"/>
          <w:color w:val="231F20"/>
          <w:spacing w:val="-2"/>
          <w:sz w:val="20"/>
          <w:szCs w:val="20"/>
        </w:rPr>
        <w:t>TSU</w:t>
      </w:r>
      <w:r>
        <w:rPr>
          <w:rFonts w:ascii="Segoe UI" w:hAnsi="Segoe UI" w:cs="Segoe UI" w:eastAsia="Segoe UI"/>
          <w:color w:val="231F20"/>
          <w:spacing w:val="-5"/>
          <w:sz w:val="20"/>
          <w:szCs w:val="20"/>
        </w:rPr>
        <w:t> </w:t>
      </w:r>
      <w:r>
        <w:rPr>
          <w:rFonts w:ascii="Segoe UI" w:hAnsi="Segoe UI" w:cs="Segoe UI" w:eastAsia="Segoe UI"/>
          <w:color w:val="231F20"/>
          <w:spacing w:val="-1"/>
          <w:sz w:val="20"/>
          <w:szCs w:val="20"/>
        </w:rPr>
        <w:t>is</w:t>
      </w:r>
      <w:r>
        <w:rPr>
          <w:rFonts w:ascii="Segoe UI" w:hAnsi="Segoe UI" w:cs="Segoe UI" w:eastAsia="Segoe UI"/>
          <w:color w:val="231F20"/>
          <w:spacing w:val="-5"/>
          <w:sz w:val="20"/>
          <w:szCs w:val="20"/>
        </w:rPr>
        <w:t> </w:t>
      </w:r>
      <w:r>
        <w:rPr>
          <w:rFonts w:ascii="Segoe UI" w:hAnsi="Segoe UI" w:cs="Segoe UI" w:eastAsia="Segoe UI"/>
          <w:color w:val="231F20"/>
          <w:sz w:val="20"/>
          <w:szCs w:val="20"/>
        </w:rPr>
        <w:t>funded</w:t>
      </w:r>
      <w:r>
        <w:rPr>
          <w:rFonts w:ascii="Segoe UI" w:hAnsi="Segoe UI" w:cs="Segoe UI" w:eastAsia="Segoe UI"/>
          <w:color w:val="231F20"/>
          <w:spacing w:val="-4"/>
          <w:sz w:val="20"/>
          <w:szCs w:val="20"/>
        </w:rPr>
        <w:t> </w:t>
      </w:r>
      <w:r>
        <w:rPr>
          <w:rFonts w:ascii="Segoe UI" w:hAnsi="Segoe UI" w:cs="Segoe UI" w:eastAsia="Segoe UI"/>
          <w:color w:val="231F20"/>
          <w:sz w:val="20"/>
          <w:szCs w:val="20"/>
        </w:rPr>
        <w:t>by</w:t>
      </w:r>
      <w:r>
        <w:rPr>
          <w:rFonts w:ascii="Segoe UI" w:hAnsi="Segoe UI" w:cs="Segoe UI" w:eastAsia="Segoe UI"/>
          <w:color w:val="231F20"/>
          <w:spacing w:val="-4"/>
          <w:sz w:val="20"/>
          <w:szCs w:val="20"/>
        </w:rPr>
        <w:t> </w:t>
      </w:r>
      <w:r>
        <w:rPr>
          <w:rFonts w:ascii="Segoe UI" w:hAnsi="Segoe UI" w:cs="Segoe UI" w:eastAsia="Segoe UI"/>
          <w:color w:val="231F20"/>
          <w:sz w:val="20"/>
          <w:szCs w:val="20"/>
        </w:rPr>
        <w:t>the</w:t>
      </w:r>
      <w:r>
        <w:rPr>
          <w:rFonts w:ascii="Segoe UI" w:hAnsi="Segoe UI" w:cs="Segoe UI" w:eastAsia="Segoe UI"/>
          <w:color w:val="231F20"/>
          <w:spacing w:val="21"/>
          <w:w w:val="99"/>
          <w:sz w:val="20"/>
          <w:szCs w:val="20"/>
        </w:rPr>
        <w:t> </w:t>
      </w:r>
      <w:r>
        <w:rPr>
          <w:rFonts w:ascii="Segoe UI" w:hAnsi="Segoe UI" w:cs="Segoe UI" w:eastAsia="Segoe UI"/>
          <w:color w:val="231F20"/>
          <w:spacing w:val="-1"/>
          <w:sz w:val="20"/>
          <w:szCs w:val="20"/>
        </w:rPr>
        <w:t>Commonwealth</w:t>
      </w:r>
      <w:r>
        <w:rPr>
          <w:rFonts w:ascii="Segoe UI" w:hAnsi="Segoe UI" w:cs="Segoe UI" w:eastAsia="Segoe UI"/>
          <w:color w:val="231F20"/>
          <w:spacing w:val="-12"/>
          <w:sz w:val="20"/>
          <w:szCs w:val="20"/>
        </w:rPr>
        <w:t> </w:t>
      </w:r>
      <w:r>
        <w:rPr>
          <w:rFonts w:ascii="Segoe UI" w:hAnsi="Segoe UI" w:cs="Segoe UI" w:eastAsia="Segoe UI"/>
          <w:color w:val="231F20"/>
          <w:sz w:val="20"/>
          <w:szCs w:val="20"/>
        </w:rPr>
        <w:t>Government</w:t>
      </w:r>
      <w:r>
        <w:rPr>
          <w:rFonts w:ascii="Segoe UI" w:hAnsi="Segoe UI" w:cs="Segoe UI" w:eastAsia="Segoe UI"/>
          <w:color w:val="231F20"/>
          <w:spacing w:val="-12"/>
          <w:sz w:val="20"/>
          <w:szCs w:val="20"/>
        </w:rPr>
        <w:t> </w:t>
      </w:r>
      <w:r>
        <w:rPr>
          <w:rFonts w:ascii="Segoe UI" w:hAnsi="Segoe UI" w:cs="Segoe UI" w:eastAsia="Segoe UI"/>
          <w:color w:val="231F20"/>
          <w:sz w:val="20"/>
          <w:szCs w:val="20"/>
        </w:rPr>
        <w:t>through</w:t>
      </w:r>
      <w:r>
        <w:rPr>
          <w:rFonts w:ascii="Segoe UI" w:hAnsi="Segoe UI" w:cs="Segoe UI" w:eastAsia="Segoe UI"/>
          <w:color w:val="231F20"/>
          <w:spacing w:val="-12"/>
          <w:sz w:val="20"/>
          <w:szCs w:val="20"/>
        </w:rPr>
        <w:t> </w:t>
      </w:r>
      <w:r>
        <w:rPr>
          <w:rFonts w:ascii="Segoe UI" w:hAnsi="Segoe UI" w:cs="Segoe UI" w:eastAsia="Segoe UI"/>
          <w:color w:val="231F20"/>
          <w:sz w:val="20"/>
          <w:szCs w:val="20"/>
        </w:rPr>
        <w:t>the</w:t>
      </w:r>
      <w:r>
        <w:rPr>
          <w:rFonts w:ascii="Segoe UI" w:hAnsi="Segoe UI" w:cs="Segoe UI" w:eastAsia="Segoe UI"/>
          <w:color w:val="231F20"/>
          <w:spacing w:val="22"/>
          <w:w w:val="99"/>
          <w:sz w:val="20"/>
          <w:szCs w:val="20"/>
        </w:rPr>
        <w:t> </w:t>
      </w:r>
      <w:r>
        <w:rPr>
          <w:rFonts w:ascii="Segoe UI" w:hAnsi="Segoe UI" w:cs="Segoe UI" w:eastAsia="Segoe UI"/>
          <w:i/>
          <w:color w:val="231F20"/>
          <w:sz w:val="20"/>
          <w:szCs w:val="20"/>
        </w:rPr>
        <w:t>National</w:t>
      </w:r>
      <w:r>
        <w:rPr>
          <w:rFonts w:ascii="Segoe UI" w:hAnsi="Segoe UI" w:cs="Segoe UI" w:eastAsia="Segoe UI"/>
          <w:i/>
          <w:color w:val="231F20"/>
          <w:spacing w:val="-6"/>
          <w:sz w:val="20"/>
          <w:szCs w:val="20"/>
        </w:rPr>
        <w:t> </w:t>
      </w:r>
      <w:r>
        <w:rPr>
          <w:rFonts w:ascii="Segoe UI" w:hAnsi="Segoe UI" w:cs="Segoe UI" w:eastAsia="Segoe UI"/>
          <w:i/>
          <w:color w:val="231F20"/>
          <w:spacing w:val="-1"/>
          <w:sz w:val="20"/>
          <w:szCs w:val="20"/>
        </w:rPr>
        <w:t>Partnership</w:t>
      </w:r>
      <w:r>
        <w:rPr>
          <w:rFonts w:ascii="Segoe UI" w:hAnsi="Segoe UI" w:cs="Segoe UI" w:eastAsia="Segoe UI"/>
          <w:i/>
          <w:color w:val="231F20"/>
          <w:spacing w:val="-4"/>
          <w:sz w:val="20"/>
          <w:szCs w:val="20"/>
        </w:rPr>
        <w:t> </w:t>
      </w:r>
      <w:r>
        <w:rPr>
          <w:rFonts w:ascii="Segoe UI" w:hAnsi="Segoe UI" w:cs="Segoe UI" w:eastAsia="Segoe UI"/>
          <w:i/>
          <w:color w:val="231F20"/>
          <w:spacing w:val="-1"/>
          <w:sz w:val="20"/>
          <w:szCs w:val="20"/>
        </w:rPr>
        <w:t>on</w:t>
      </w:r>
      <w:r>
        <w:rPr>
          <w:rFonts w:ascii="Segoe UI" w:hAnsi="Segoe UI" w:cs="Segoe UI" w:eastAsia="Segoe UI"/>
          <w:i/>
          <w:color w:val="231F20"/>
          <w:spacing w:val="-4"/>
          <w:sz w:val="20"/>
          <w:szCs w:val="20"/>
        </w:rPr>
        <w:t> </w:t>
      </w:r>
      <w:r>
        <w:rPr>
          <w:rFonts w:ascii="Segoe UI" w:hAnsi="Segoe UI" w:cs="Segoe UI" w:eastAsia="Segoe UI"/>
          <w:i/>
          <w:color w:val="231F20"/>
          <w:sz w:val="20"/>
          <w:szCs w:val="20"/>
        </w:rPr>
        <w:t>Northern</w:t>
      </w:r>
      <w:r>
        <w:rPr>
          <w:rFonts w:ascii="Segoe UI" w:hAnsi="Segoe UI" w:cs="Segoe UI" w:eastAsia="Segoe UI"/>
          <w:i/>
          <w:color w:val="231F20"/>
          <w:spacing w:val="-5"/>
          <w:sz w:val="20"/>
          <w:szCs w:val="20"/>
        </w:rPr>
        <w:t> </w:t>
      </w:r>
      <w:r>
        <w:rPr>
          <w:rFonts w:ascii="Segoe UI" w:hAnsi="Segoe UI" w:cs="Segoe UI" w:eastAsia="Segoe UI"/>
          <w:i/>
          <w:color w:val="231F20"/>
          <w:spacing w:val="-2"/>
          <w:sz w:val="20"/>
          <w:szCs w:val="20"/>
        </w:rPr>
        <w:t>Territory</w:t>
      </w:r>
      <w:r>
        <w:rPr>
          <w:rFonts w:ascii="Segoe UI" w:hAnsi="Segoe UI" w:cs="Segoe UI" w:eastAsia="Segoe UI"/>
          <w:i/>
          <w:color w:val="231F20"/>
          <w:spacing w:val="28"/>
          <w:w w:val="99"/>
          <w:sz w:val="20"/>
          <w:szCs w:val="20"/>
        </w:rPr>
        <w:t> </w:t>
      </w:r>
      <w:r>
        <w:rPr>
          <w:rFonts w:ascii="Segoe UI" w:hAnsi="Segoe UI" w:cs="Segoe UI" w:eastAsia="Segoe UI"/>
          <w:i/>
          <w:color w:val="231F20"/>
          <w:spacing w:val="-1"/>
          <w:sz w:val="20"/>
          <w:szCs w:val="20"/>
        </w:rPr>
        <w:t>Remote</w:t>
      </w:r>
      <w:r>
        <w:rPr>
          <w:rFonts w:ascii="Segoe UI" w:hAnsi="Segoe UI" w:cs="Segoe UI" w:eastAsia="Segoe UI"/>
          <w:i/>
          <w:color w:val="231F20"/>
          <w:spacing w:val="-5"/>
          <w:sz w:val="20"/>
          <w:szCs w:val="20"/>
        </w:rPr>
        <w:t> </w:t>
      </w:r>
      <w:r>
        <w:rPr>
          <w:rFonts w:ascii="Segoe UI" w:hAnsi="Segoe UI" w:cs="Segoe UI" w:eastAsia="Segoe UI"/>
          <w:i/>
          <w:color w:val="231F20"/>
          <w:sz w:val="20"/>
          <w:szCs w:val="20"/>
        </w:rPr>
        <w:t>Aboriginal</w:t>
      </w:r>
      <w:r>
        <w:rPr>
          <w:rFonts w:ascii="Segoe UI" w:hAnsi="Segoe UI" w:cs="Segoe UI" w:eastAsia="Segoe UI"/>
          <w:i/>
          <w:color w:val="231F20"/>
          <w:spacing w:val="-6"/>
          <w:sz w:val="20"/>
          <w:szCs w:val="20"/>
        </w:rPr>
        <w:t> </w:t>
      </w:r>
      <w:r>
        <w:rPr>
          <w:rFonts w:ascii="Segoe UI" w:hAnsi="Segoe UI" w:cs="Segoe UI" w:eastAsia="Segoe UI"/>
          <w:i/>
          <w:color w:val="231F20"/>
          <w:spacing w:val="-1"/>
          <w:sz w:val="20"/>
          <w:szCs w:val="20"/>
        </w:rPr>
        <w:t>Investment</w:t>
      </w:r>
      <w:r>
        <w:rPr>
          <w:rFonts w:ascii="Segoe UI" w:hAnsi="Segoe UI" w:cs="Segoe UI" w:eastAsia="Segoe UI"/>
          <w:color w:val="231F20"/>
          <w:spacing w:val="-1"/>
          <w:sz w:val="20"/>
          <w:szCs w:val="20"/>
        </w:rPr>
        <w:t>.</w:t>
      </w:r>
      <w:r>
        <w:rPr>
          <w:rFonts w:ascii="Segoe UI" w:hAnsi="Segoe UI" w:cs="Segoe UI" w:eastAsia="Segoe UI"/>
          <w:color w:val="231F20"/>
          <w:spacing w:val="-4"/>
          <w:sz w:val="20"/>
          <w:szCs w:val="20"/>
        </w:rPr>
        <w:t> </w:t>
      </w:r>
      <w:r>
        <w:rPr>
          <w:rFonts w:ascii="Segoe UI" w:hAnsi="Segoe UI" w:cs="Segoe UI" w:eastAsia="Segoe UI"/>
          <w:color w:val="231F20"/>
          <w:spacing w:val="-1"/>
          <w:sz w:val="20"/>
          <w:szCs w:val="20"/>
        </w:rPr>
        <w:t>IT</w:t>
      </w:r>
      <w:r>
        <w:rPr>
          <w:rFonts w:ascii="Segoe UI" w:hAnsi="Segoe UI" w:cs="Segoe UI" w:eastAsia="Segoe UI"/>
          <w:color w:val="231F20"/>
          <w:spacing w:val="-5"/>
          <w:sz w:val="20"/>
          <w:szCs w:val="20"/>
        </w:rPr>
        <w:t> </w:t>
      </w:r>
      <w:r>
        <w:rPr>
          <w:rFonts w:ascii="Segoe UI" w:hAnsi="Segoe UI" w:cs="Segoe UI" w:eastAsia="Segoe UI"/>
          <w:color w:val="231F20"/>
          <w:sz w:val="20"/>
          <w:szCs w:val="20"/>
        </w:rPr>
        <w:t>currently</w:t>
      </w:r>
      <w:r>
        <w:rPr>
          <w:rFonts w:ascii="Segoe UI" w:hAnsi="Segoe UI" w:cs="Segoe UI" w:eastAsia="Segoe UI"/>
          <w:color w:val="231F20"/>
          <w:spacing w:val="28"/>
          <w:w w:val="99"/>
          <w:sz w:val="20"/>
          <w:szCs w:val="20"/>
        </w:rPr>
        <w:t> </w:t>
      </w:r>
      <w:r>
        <w:rPr>
          <w:rFonts w:ascii="Segoe UI" w:hAnsi="Segoe UI" w:cs="Segoe UI" w:eastAsia="Segoe UI"/>
          <w:color w:val="231F20"/>
          <w:sz w:val="20"/>
          <w:szCs w:val="20"/>
        </w:rPr>
        <w:t>has</w:t>
      </w:r>
      <w:r>
        <w:rPr>
          <w:rFonts w:ascii="Segoe UI" w:hAnsi="Segoe UI" w:cs="Segoe UI" w:eastAsia="Segoe UI"/>
          <w:color w:val="231F20"/>
          <w:spacing w:val="-1"/>
          <w:sz w:val="20"/>
          <w:szCs w:val="20"/>
        </w:rPr>
        <w:t> </w:t>
      </w:r>
      <w:r>
        <w:rPr>
          <w:rFonts w:ascii="Segoe UI" w:hAnsi="Segoe UI" w:cs="Segoe UI" w:eastAsia="Segoe UI"/>
          <w:color w:val="231F20"/>
          <w:sz w:val="20"/>
          <w:szCs w:val="20"/>
        </w:rPr>
        <w:t>19 FTE</w:t>
      </w:r>
      <w:r>
        <w:rPr>
          <w:rFonts w:ascii="Segoe UI" w:hAnsi="Segoe UI" w:cs="Segoe UI" w:eastAsia="Segoe UI"/>
          <w:color w:val="231F20"/>
          <w:spacing w:val="-1"/>
          <w:sz w:val="20"/>
          <w:szCs w:val="20"/>
        </w:rPr>
        <w:t> </w:t>
      </w:r>
      <w:r>
        <w:rPr>
          <w:rFonts w:ascii="Segoe UI" w:hAnsi="Segoe UI" w:cs="Segoe UI" w:eastAsia="Segoe UI"/>
          <w:color w:val="231F20"/>
          <w:sz w:val="20"/>
          <w:szCs w:val="20"/>
        </w:rPr>
        <w:t>staff located</w:t>
      </w:r>
      <w:r>
        <w:rPr>
          <w:rFonts w:ascii="Segoe UI" w:hAnsi="Segoe UI" w:cs="Segoe UI" w:eastAsia="Segoe UI"/>
          <w:color w:val="231F20"/>
          <w:spacing w:val="-1"/>
          <w:sz w:val="20"/>
          <w:szCs w:val="20"/>
        </w:rPr>
        <w:t> </w:t>
      </w:r>
      <w:r>
        <w:rPr>
          <w:rFonts w:ascii="Segoe UI" w:hAnsi="Segoe UI" w:cs="Segoe UI" w:eastAsia="Segoe UI"/>
          <w:color w:val="231F20"/>
          <w:sz w:val="20"/>
          <w:szCs w:val="20"/>
        </w:rPr>
        <w:t>in Darwin</w:t>
      </w:r>
      <w:r>
        <w:rPr>
          <w:rFonts w:ascii="Segoe UI" w:hAnsi="Segoe UI" w:cs="Segoe UI" w:eastAsia="Segoe UI"/>
          <w:color w:val="231F20"/>
          <w:spacing w:val="-1"/>
          <w:sz w:val="20"/>
          <w:szCs w:val="20"/>
        </w:rPr>
        <w:t> </w:t>
      </w:r>
      <w:r>
        <w:rPr>
          <w:rFonts w:ascii="Segoe UI" w:hAnsi="Segoe UI" w:cs="Segoe UI" w:eastAsia="Segoe UI"/>
          <w:color w:val="231F20"/>
          <w:sz w:val="20"/>
          <w:szCs w:val="20"/>
        </w:rPr>
        <w:t>and Alice</w:t>
      </w:r>
      <w:r>
        <w:rPr>
          <w:rFonts w:ascii="Segoe UI" w:hAnsi="Segoe UI" w:cs="Segoe UI" w:eastAsia="Segoe UI"/>
          <w:color w:val="231F20"/>
          <w:sz w:val="20"/>
          <w:szCs w:val="20"/>
        </w:rPr>
        <w:t> </w:t>
      </w:r>
      <w:r>
        <w:rPr>
          <w:rFonts w:ascii="Segoe UI" w:hAnsi="Segoe UI" w:cs="Segoe UI" w:eastAsia="Segoe UI"/>
          <w:color w:val="231F20"/>
          <w:spacing w:val="-1"/>
          <w:sz w:val="20"/>
          <w:szCs w:val="20"/>
        </w:rPr>
        <w:t>Springs.</w:t>
      </w:r>
      <w:r>
        <w:rPr>
          <w:rFonts w:ascii="Segoe UI" w:hAnsi="Segoe UI" w:cs="Segoe UI" w:eastAsia="Segoe UI"/>
          <w:sz w:val="20"/>
          <w:szCs w:val="20"/>
        </w:rPr>
      </w:r>
    </w:p>
    <w:p>
      <w:pPr>
        <w:spacing w:line="250" w:lineRule="exact" w:before="113"/>
        <w:ind w:left="117" w:right="99" w:firstLine="0"/>
        <w:jc w:val="left"/>
        <w:rPr>
          <w:rFonts w:ascii="Segoe UI" w:hAnsi="Segoe UI" w:cs="Segoe UI" w:eastAsia="Segoe UI"/>
          <w:sz w:val="20"/>
          <w:szCs w:val="20"/>
        </w:rPr>
      </w:pPr>
      <w:r>
        <w:rPr>
          <w:rFonts w:ascii="Segoe UI" w:hAnsi="Segoe UI" w:cs="Segoe UI" w:eastAsia="Segoe UI"/>
          <w:b/>
          <w:bCs/>
          <w:color w:val="231F20"/>
          <w:spacing w:val="-2"/>
          <w:sz w:val="20"/>
          <w:szCs w:val="20"/>
        </w:rPr>
        <w:t>Tuition</w:t>
      </w:r>
      <w:r>
        <w:rPr>
          <w:rFonts w:ascii="Segoe UI" w:hAnsi="Segoe UI" w:cs="Segoe UI" w:eastAsia="Segoe UI"/>
          <w:b/>
          <w:bCs/>
          <w:color w:val="231F20"/>
          <w:spacing w:val="-5"/>
          <w:sz w:val="20"/>
          <w:szCs w:val="20"/>
        </w:rPr>
        <w:t> </w:t>
      </w:r>
      <w:r>
        <w:rPr>
          <w:rFonts w:ascii="Segoe UI" w:hAnsi="Segoe UI" w:cs="Segoe UI" w:eastAsia="Segoe UI"/>
          <w:b/>
          <w:bCs/>
          <w:color w:val="231F20"/>
          <w:spacing w:val="-1"/>
          <w:sz w:val="20"/>
          <w:szCs w:val="20"/>
        </w:rPr>
        <w:t>revenue</w:t>
      </w:r>
      <w:r>
        <w:rPr>
          <w:rFonts w:ascii="Segoe UI" w:hAnsi="Segoe UI" w:cs="Segoe UI" w:eastAsia="Segoe UI"/>
          <w:b/>
          <w:bCs/>
          <w:color w:val="231F20"/>
          <w:spacing w:val="-5"/>
          <w:sz w:val="20"/>
          <w:szCs w:val="20"/>
        </w:rPr>
        <w:t> </w:t>
      </w:r>
      <w:r>
        <w:rPr>
          <w:rFonts w:ascii="Segoe UI" w:hAnsi="Segoe UI" w:cs="Segoe UI" w:eastAsia="Segoe UI"/>
          <w:b/>
          <w:bCs/>
          <w:color w:val="231F20"/>
          <w:spacing w:val="-1"/>
          <w:sz w:val="20"/>
          <w:szCs w:val="20"/>
        </w:rPr>
        <w:t>and</w:t>
      </w:r>
      <w:r>
        <w:rPr>
          <w:rFonts w:ascii="Segoe UI" w:hAnsi="Segoe UI" w:cs="Segoe UI" w:eastAsia="Segoe UI"/>
          <w:b/>
          <w:bCs/>
          <w:color w:val="231F20"/>
          <w:spacing w:val="-5"/>
          <w:sz w:val="20"/>
          <w:szCs w:val="20"/>
        </w:rPr>
        <w:t> </w:t>
      </w:r>
      <w:r>
        <w:rPr>
          <w:rFonts w:ascii="Segoe UI" w:hAnsi="Segoe UI" w:cs="Segoe UI" w:eastAsia="Segoe UI"/>
          <w:b/>
          <w:bCs/>
          <w:color w:val="231F20"/>
          <w:sz w:val="20"/>
          <w:szCs w:val="20"/>
        </w:rPr>
        <w:t>costs</w:t>
      </w:r>
      <w:r>
        <w:rPr>
          <w:rFonts w:ascii="Segoe UI" w:hAnsi="Segoe UI" w:cs="Segoe UI" w:eastAsia="Segoe UI"/>
          <w:color w:val="231F20"/>
          <w:sz w:val="20"/>
          <w:szCs w:val="20"/>
        </w:rPr>
        <w:t>—revenue</w:t>
      </w:r>
      <w:r>
        <w:rPr>
          <w:rFonts w:ascii="Segoe UI" w:hAnsi="Segoe UI" w:cs="Segoe UI" w:eastAsia="Segoe UI"/>
          <w:color w:val="231F20"/>
          <w:spacing w:val="-5"/>
          <w:sz w:val="20"/>
          <w:szCs w:val="20"/>
        </w:rPr>
        <w:t> </w:t>
      </w:r>
      <w:r>
        <w:rPr>
          <w:rFonts w:ascii="Segoe UI" w:hAnsi="Segoe UI" w:cs="Segoe UI" w:eastAsia="Segoe UI"/>
          <w:color w:val="231F20"/>
          <w:sz w:val="20"/>
          <w:szCs w:val="20"/>
        </w:rPr>
        <w:t>and</w:t>
      </w:r>
      <w:r>
        <w:rPr>
          <w:rFonts w:ascii="Segoe UI" w:hAnsi="Segoe UI" w:cs="Segoe UI" w:eastAsia="Segoe UI"/>
          <w:color w:val="231F20"/>
          <w:spacing w:val="-4"/>
          <w:sz w:val="20"/>
          <w:szCs w:val="20"/>
        </w:rPr>
        <w:t> </w:t>
      </w:r>
      <w:r>
        <w:rPr>
          <w:rFonts w:ascii="Segoe UI" w:hAnsi="Segoe UI" w:cs="Segoe UI" w:eastAsia="Segoe UI"/>
          <w:color w:val="231F20"/>
          <w:sz w:val="20"/>
          <w:szCs w:val="20"/>
        </w:rPr>
        <w:t>costs</w:t>
      </w:r>
      <w:r>
        <w:rPr>
          <w:rFonts w:ascii="Segoe UI" w:hAnsi="Segoe UI" w:cs="Segoe UI" w:eastAsia="Segoe UI"/>
          <w:color w:val="231F20"/>
          <w:spacing w:val="26"/>
          <w:sz w:val="20"/>
          <w:szCs w:val="20"/>
        </w:rPr>
        <w:t> </w:t>
      </w:r>
      <w:r>
        <w:rPr>
          <w:rFonts w:ascii="Segoe UI" w:hAnsi="Segoe UI" w:cs="Segoe UI" w:eastAsia="Segoe UI"/>
          <w:color w:val="231F20"/>
          <w:sz w:val="20"/>
          <w:szCs w:val="20"/>
        </w:rPr>
        <w:t>associated</w:t>
      </w:r>
      <w:r>
        <w:rPr>
          <w:rFonts w:ascii="Segoe UI" w:hAnsi="Segoe UI" w:cs="Segoe UI" w:eastAsia="Segoe UI"/>
          <w:color w:val="231F20"/>
          <w:spacing w:val="-7"/>
          <w:sz w:val="20"/>
          <w:szCs w:val="20"/>
        </w:rPr>
        <w:t> </w:t>
      </w:r>
      <w:r>
        <w:rPr>
          <w:rFonts w:ascii="Segoe UI" w:hAnsi="Segoe UI" w:cs="Segoe UI" w:eastAsia="Segoe UI"/>
          <w:color w:val="231F20"/>
          <w:sz w:val="20"/>
          <w:szCs w:val="20"/>
        </w:rPr>
        <w:t>with</w:t>
      </w:r>
      <w:r>
        <w:rPr>
          <w:rFonts w:ascii="Segoe UI" w:hAnsi="Segoe UI" w:cs="Segoe UI" w:eastAsia="Segoe UI"/>
          <w:color w:val="231F20"/>
          <w:spacing w:val="-6"/>
          <w:sz w:val="20"/>
          <w:szCs w:val="20"/>
        </w:rPr>
        <w:t> </w:t>
      </w:r>
      <w:r>
        <w:rPr>
          <w:rFonts w:ascii="Segoe UI" w:hAnsi="Segoe UI" w:cs="Segoe UI" w:eastAsia="Segoe UI"/>
          <w:color w:val="231F20"/>
          <w:sz w:val="20"/>
          <w:szCs w:val="20"/>
        </w:rPr>
        <w:t>the</w:t>
      </w:r>
      <w:r>
        <w:rPr>
          <w:rFonts w:ascii="Segoe UI" w:hAnsi="Segoe UI" w:cs="Segoe UI" w:eastAsia="Segoe UI"/>
          <w:color w:val="231F20"/>
          <w:spacing w:val="-6"/>
          <w:sz w:val="20"/>
          <w:szCs w:val="20"/>
        </w:rPr>
        <w:t> </w:t>
      </w:r>
      <w:r>
        <w:rPr>
          <w:rFonts w:ascii="Segoe UI" w:hAnsi="Segoe UI" w:cs="Segoe UI" w:eastAsia="Segoe UI"/>
          <w:color w:val="231F20"/>
          <w:spacing w:val="-1"/>
          <w:sz w:val="20"/>
          <w:szCs w:val="20"/>
        </w:rPr>
        <w:t>in-school</w:t>
      </w:r>
      <w:r>
        <w:rPr>
          <w:rFonts w:ascii="Segoe UI" w:hAnsi="Segoe UI" w:cs="Segoe UI" w:eastAsia="Segoe UI"/>
          <w:color w:val="231F20"/>
          <w:spacing w:val="-6"/>
          <w:sz w:val="20"/>
          <w:szCs w:val="20"/>
        </w:rPr>
        <w:t> </w:t>
      </w:r>
      <w:r>
        <w:rPr>
          <w:rFonts w:ascii="Segoe UI" w:hAnsi="Segoe UI" w:cs="Segoe UI" w:eastAsia="Segoe UI"/>
          <w:color w:val="231F20"/>
          <w:sz w:val="20"/>
          <w:szCs w:val="20"/>
        </w:rPr>
        <w:t>education</w:t>
      </w:r>
      <w:r>
        <w:rPr>
          <w:rFonts w:ascii="Segoe UI" w:hAnsi="Segoe UI" w:cs="Segoe UI" w:eastAsia="Segoe UI"/>
          <w:color w:val="231F20"/>
          <w:spacing w:val="-6"/>
          <w:sz w:val="20"/>
          <w:szCs w:val="20"/>
        </w:rPr>
        <w:t> </w:t>
      </w:r>
      <w:r>
        <w:rPr>
          <w:rFonts w:ascii="Segoe UI" w:hAnsi="Segoe UI" w:cs="Segoe UI" w:eastAsia="Segoe UI"/>
          <w:color w:val="231F20"/>
          <w:sz w:val="20"/>
          <w:szCs w:val="20"/>
        </w:rPr>
        <w:t>of</w:t>
      </w:r>
      <w:r>
        <w:rPr>
          <w:rFonts w:ascii="Segoe UI" w:hAnsi="Segoe UI" w:cs="Segoe UI" w:eastAsia="Segoe UI"/>
          <w:color w:val="231F20"/>
          <w:spacing w:val="22"/>
          <w:w w:val="99"/>
          <w:sz w:val="20"/>
          <w:szCs w:val="20"/>
        </w:rPr>
        <w:t> </w:t>
      </w:r>
      <w:r>
        <w:rPr>
          <w:rFonts w:ascii="Segoe UI" w:hAnsi="Segoe UI" w:cs="Segoe UI" w:eastAsia="Segoe UI"/>
          <w:color w:val="231F20"/>
          <w:spacing w:val="-1"/>
          <w:sz w:val="20"/>
          <w:szCs w:val="20"/>
        </w:rPr>
        <w:t>students.</w:t>
      </w:r>
      <w:r>
        <w:rPr>
          <w:rFonts w:ascii="Segoe UI" w:hAnsi="Segoe UI" w:cs="Segoe UI" w:eastAsia="Segoe UI"/>
          <w:sz w:val="20"/>
          <w:szCs w:val="20"/>
        </w:rPr>
      </w:r>
    </w:p>
    <w:p>
      <w:pPr>
        <w:spacing w:after="0" w:line="250" w:lineRule="exact"/>
        <w:jc w:val="left"/>
        <w:rPr>
          <w:rFonts w:ascii="Segoe UI" w:hAnsi="Segoe UI" w:cs="Segoe UI" w:eastAsia="Segoe UI"/>
          <w:sz w:val="20"/>
          <w:szCs w:val="20"/>
        </w:rPr>
        <w:sectPr>
          <w:type w:val="continuous"/>
          <w:pgSz w:w="11910" w:h="16840"/>
          <w:pgMar w:top="1580" w:bottom="280" w:left="1300" w:right="1600"/>
          <w:cols w:num="2" w:equalWidth="0">
            <w:col w:w="4327" w:space="265"/>
            <w:col w:w="4418"/>
          </w:cols>
        </w:sectPr>
      </w:pPr>
    </w:p>
    <w:p>
      <w:pPr>
        <w:spacing w:line="240" w:lineRule="auto" w:before="0"/>
        <w:rPr>
          <w:rFonts w:ascii="Segoe UI" w:hAnsi="Segoe UI" w:cs="Segoe UI" w:eastAsia="Segoe UI"/>
          <w:sz w:val="20"/>
          <w:szCs w:val="20"/>
        </w:rPr>
      </w:pPr>
    </w:p>
    <w:p>
      <w:pPr>
        <w:spacing w:line="240" w:lineRule="auto" w:before="1"/>
        <w:rPr>
          <w:rFonts w:ascii="Segoe UI" w:hAnsi="Segoe UI" w:cs="Segoe UI" w:eastAsia="Segoe UI"/>
          <w:sz w:val="20"/>
          <w:szCs w:val="20"/>
        </w:rPr>
      </w:pPr>
    </w:p>
    <w:p>
      <w:pPr>
        <w:pStyle w:val="Heading1"/>
        <w:numPr>
          <w:ilvl w:val="0"/>
          <w:numId w:val="6"/>
        </w:numPr>
        <w:tabs>
          <w:tab w:pos="821" w:val="left" w:leader="none"/>
        </w:tabs>
        <w:spacing w:line="567" w:lineRule="exact" w:before="0" w:after="0"/>
        <w:ind w:left="820" w:right="0" w:hanging="720"/>
        <w:jc w:val="left"/>
      </w:pPr>
      <w:bookmarkStart w:name="_TOC_250004" w:id="32"/>
      <w:r>
        <w:rPr>
          <w:color w:val="67973F"/>
          <w:spacing w:val="-2"/>
        </w:rPr>
        <w:t>References</w:t>
      </w:r>
      <w:bookmarkEnd w:id="32"/>
      <w:r>
        <w:rPr/>
      </w:r>
    </w:p>
    <w:p>
      <w:pPr>
        <w:spacing w:line="240" w:lineRule="auto" w:before="10"/>
        <w:rPr>
          <w:rFonts w:ascii="Segoe UI" w:hAnsi="Segoe UI" w:cs="Segoe UI" w:eastAsia="Segoe UI"/>
          <w:sz w:val="22"/>
          <w:szCs w:val="22"/>
        </w:rPr>
      </w:pPr>
    </w:p>
    <w:p>
      <w:pPr>
        <w:spacing w:after="0" w:line="240" w:lineRule="auto"/>
        <w:rPr>
          <w:rFonts w:ascii="Segoe UI" w:hAnsi="Segoe UI" w:cs="Segoe UI" w:eastAsia="Segoe UI"/>
          <w:sz w:val="22"/>
          <w:szCs w:val="22"/>
        </w:rPr>
        <w:sectPr>
          <w:pgSz w:w="11910" w:h="16840"/>
          <w:pgMar w:header="0" w:footer="691" w:top="1580" w:bottom="880" w:left="1600" w:right="1300"/>
        </w:sectPr>
      </w:pPr>
    </w:p>
    <w:p>
      <w:pPr>
        <w:pStyle w:val="BodyText"/>
        <w:spacing w:line="250" w:lineRule="exact" w:before="62"/>
        <w:ind w:left="100" w:right="0"/>
        <w:jc w:val="left"/>
      </w:pPr>
      <w:r>
        <w:rPr>
          <w:color w:val="231F20"/>
        </w:rPr>
        <w:t>Australian</w:t>
      </w:r>
      <w:r>
        <w:rPr>
          <w:color w:val="231F20"/>
          <w:spacing w:val="-4"/>
        </w:rPr>
        <w:t> </w:t>
      </w:r>
      <w:r>
        <w:rPr>
          <w:color w:val="231F20"/>
          <w:spacing w:val="-1"/>
        </w:rPr>
        <w:t>Bureau</w:t>
      </w:r>
      <w:r>
        <w:rPr>
          <w:color w:val="231F20"/>
          <w:spacing w:val="-3"/>
        </w:rPr>
        <w:t> </w:t>
      </w:r>
      <w:r>
        <w:rPr>
          <w:color w:val="231F20"/>
        </w:rPr>
        <w:t>of</w:t>
      </w:r>
      <w:r>
        <w:rPr>
          <w:color w:val="231F20"/>
          <w:spacing w:val="-4"/>
        </w:rPr>
        <w:t> </w:t>
      </w:r>
      <w:r>
        <w:rPr>
          <w:color w:val="231F20"/>
          <w:spacing w:val="-1"/>
        </w:rPr>
        <w:t>Statistics,</w:t>
      </w:r>
      <w:r>
        <w:rPr>
          <w:color w:val="231F20"/>
          <w:spacing w:val="-4"/>
        </w:rPr>
        <w:t> </w:t>
      </w:r>
      <w:r>
        <w:rPr>
          <w:color w:val="231F20"/>
          <w:spacing w:val="-1"/>
        </w:rPr>
        <w:t>2016</w:t>
      </w:r>
      <w:r>
        <w:rPr>
          <w:color w:val="231F20"/>
          <w:spacing w:val="-3"/>
        </w:rPr>
        <w:t> </w:t>
      </w:r>
      <w:r>
        <w:rPr>
          <w:color w:val="231F20"/>
          <w:spacing w:val="-1"/>
        </w:rPr>
        <w:t>Census,</w:t>
      </w:r>
      <w:r>
        <w:rPr>
          <w:color w:val="231F20"/>
          <w:spacing w:val="26"/>
        </w:rPr>
        <w:t> </w:t>
      </w:r>
      <w:hyperlink r:id="rId92">
        <w:r>
          <w:rPr>
            <w:color w:val="231F20"/>
          </w:rPr>
          <w:t>www.abs.gov.au</w:t>
        </w:r>
        <w:r>
          <w:rPr/>
        </w:r>
      </w:hyperlink>
    </w:p>
    <w:p>
      <w:pPr>
        <w:spacing w:line="250" w:lineRule="exact" w:before="113"/>
        <w:ind w:left="100" w:right="0" w:firstLine="0"/>
        <w:jc w:val="left"/>
        <w:rPr>
          <w:rFonts w:ascii="Segoe UI" w:hAnsi="Segoe UI" w:cs="Segoe UI" w:eastAsia="Segoe UI"/>
          <w:sz w:val="20"/>
          <w:szCs w:val="20"/>
        </w:rPr>
      </w:pPr>
      <w:r>
        <w:rPr>
          <w:rFonts w:ascii="Segoe UI"/>
          <w:color w:val="231F20"/>
          <w:spacing w:val="-1"/>
          <w:sz w:val="20"/>
        </w:rPr>
        <w:t>Indigenous</w:t>
      </w:r>
      <w:r>
        <w:rPr>
          <w:rFonts w:ascii="Segoe UI"/>
          <w:color w:val="231F20"/>
          <w:spacing w:val="-10"/>
          <w:sz w:val="20"/>
        </w:rPr>
        <w:t> </w:t>
      </w:r>
      <w:r>
        <w:rPr>
          <w:rFonts w:ascii="Segoe UI"/>
          <w:color w:val="231F20"/>
          <w:sz w:val="20"/>
        </w:rPr>
        <w:t>Education</w:t>
      </w:r>
      <w:r>
        <w:rPr>
          <w:rFonts w:ascii="Segoe UI"/>
          <w:color w:val="231F20"/>
          <w:spacing w:val="-10"/>
          <w:sz w:val="20"/>
        </w:rPr>
        <w:t> </w:t>
      </w:r>
      <w:r>
        <w:rPr>
          <w:rFonts w:ascii="Segoe UI"/>
          <w:color w:val="231F20"/>
          <w:sz w:val="20"/>
        </w:rPr>
        <w:t>and</w:t>
      </w:r>
      <w:r>
        <w:rPr>
          <w:rFonts w:ascii="Segoe UI"/>
          <w:color w:val="231F20"/>
          <w:spacing w:val="-11"/>
          <w:sz w:val="20"/>
        </w:rPr>
        <w:t> </w:t>
      </w:r>
      <w:r>
        <w:rPr>
          <w:rFonts w:ascii="Segoe UI"/>
          <w:color w:val="231F20"/>
          <w:spacing w:val="-1"/>
          <w:sz w:val="20"/>
        </w:rPr>
        <w:t>Boarding</w:t>
      </w:r>
      <w:r>
        <w:rPr>
          <w:rFonts w:ascii="Segoe UI"/>
          <w:color w:val="231F20"/>
          <w:spacing w:val="-9"/>
          <w:sz w:val="20"/>
        </w:rPr>
        <w:t> </w:t>
      </w:r>
      <w:r>
        <w:rPr>
          <w:rFonts w:ascii="Segoe UI"/>
          <w:color w:val="231F20"/>
          <w:sz w:val="20"/>
        </w:rPr>
        <w:t>Australia,</w:t>
      </w:r>
      <w:r>
        <w:rPr>
          <w:rFonts w:ascii="Segoe UI"/>
          <w:color w:val="231F20"/>
          <w:spacing w:val="23"/>
          <w:w w:val="99"/>
          <w:sz w:val="20"/>
        </w:rPr>
        <w:t> </w:t>
      </w:r>
      <w:r>
        <w:rPr>
          <w:rFonts w:ascii="Segoe UI"/>
          <w:i/>
          <w:color w:val="231F20"/>
          <w:sz w:val="20"/>
        </w:rPr>
        <w:t>National</w:t>
      </w:r>
      <w:r>
        <w:rPr>
          <w:rFonts w:ascii="Segoe UI"/>
          <w:i/>
          <w:color w:val="231F20"/>
          <w:spacing w:val="-7"/>
          <w:sz w:val="20"/>
        </w:rPr>
        <w:t> </w:t>
      </w:r>
      <w:r>
        <w:rPr>
          <w:rFonts w:ascii="Segoe UI"/>
          <w:i/>
          <w:color w:val="231F20"/>
          <w:spacing w:val="-1"/>
          <w:sz w:val="20"/>
        </w:rPr>
        <w:t>Indigenous</w:t>
      </w:r>
      <w:r>
        <w:rPr>
          <w:rFonts w:ascii="Segoe UI"/>
          <w:i/>
          <w:color w:val="231F20"/>
          <w:spacing w:val="-6"/>
          <w:sz w:val="20"/>
        </w:rPr>
        <w:t> </w:t>
      </w:r>
      <w:r>
        <w:rPr>
          <w:rFonts w:ascii="Segoe UI"/>
          <w:i/>
          <w:color w:val="231F20"/>
          <w:spacing w:val="-1"/>
          <w:sz w:val="20"/>
        </w:rPr>
        <w:t>Boarding</w:t>
      </w:r>
      <w:r>
        <w:rPr>
          <w:rFonts w:ascii="Segoe UI"/>
          <w:i/>
          <w:color w:val="231F20"/>
          <w:spacing w:val="-5"/>
          <w:sz w:val="20"/>
        </w:rPr>
        <w:t> </w:t>
      </w:r>
      <w:r>
        <w:rPr>
          <w:rFonts w:ascii="Segoe UI"/>
          <w:i/>
          <w:color w:val="231F20"/>
          <w:spacing w:val="-1"/>
          <w:sz w:val="20"/>
        </w:rPr>
        <w:t>Strategy:</w:t>
      </w:r>
      <w:r>
        <w:rPr>
          <w:rFonts w:ascii="Segoe UI"/>
          <w:i/>
          <w:color w:val="231F20"/>
          <w:spacing w:val="27"/>
          <w:w w:val="99"/>
          <w:sz w:val="20"/>
        </w:rPr>
        <w:t> </w:t>
      </w:r>
      <w:r>
        <w:rPr>
          <w:rFonts w:ascii="Segoe UI"/>
          <w:i/>
          <w:color w:val="231F20"/>
          <w:spacing w:val="-1"/>
          <w:sz w:val="20"/>
        </w:rPr>
        <w:t>Submission</w:t>
      </w:r>
      <w:r>
        <w:rPr>
          <w:rFonts w:ascii="Segoe UI"/>
          <w:i/>
          <w:color w:val="231F20"/>
          <w:spacing w:val="-7"/>
          <w:sz w:val="20"/>
        </w:rPr>
        <w:t> </w:t>
      </w:r>
      <w:r>
        <w:rPr>
          <w:rFonts w:ascii="Segoe UI"/>
          <w:i/>
          <w:color w:val="231F20"/>
          <w:sz w:val="20"/>
        </w:rPr>
        <w:t>to</w:t>
      </w:r>
      <w:r>
        <w:rPr>
          <w:rFonts w:ascii="Segoe UI"/>
          <w:i/>
          <w:color w:val="231F20"/>
          <w:spacing w:val="-7"/>
          <w:sz w:val="20"/>
        </w:rPr>
        <w:t> </w:t>
      </w:r>
      <w:r>
        <w:rPr>
          <w:rFonts w:ascii="Segoe UI"/>
          <w:i/>
          <w:color w:val="231F20"/>
          <w:sz w:val="20"/>
        </w:rPr>
        <w:t>inquiry</w:t>
      </w:r>
      <w:r>
        <w:rPr>
          <w:rFonts w:ascii="Segoe UI"/>
          <w:i/>
          <w:color w:val="231F20"/>
          <w:spacing w:val="-7"/>
          <w:sz w:val="20"/>
        </w:rPr>
        <w:t> </w:t>
      </w:r>
      <w:r>
        <w:rPr>
          <w:rFonts w:ascii="Segoe UI"/>
          <w:i/>
          <w:color w:val="231F20"/>
          <w:sz w:val="20"/>
        </w:rPr>
        <w:t>into</w:t>
      </w:r>
      <w:r>
        <w:rPr>
          <w:rFonts w:ascii="Segoe UI"/>
          <w:i/>
          <w:color w:val="231F20"/>
          <w:spacing w:val="-7"/>
          <w:sz w:val="20"/>
        </w:rPr>
        <w:t> </w:t>
      </w:r>
      <w:r>
        <w:rPr>
          <w:rFonts w:ascii="Segoe UI"/>
          <w:i/>
          <w:color w:val="231F20"/>
          <w:sz w:val="20"/>
        </w:rPr>
        <w:t>educational</w:t>
      </w:r>
      <w:r>
        <w:rPr>
          <w:rFonts w:ascii="Segoe UI"/>
          <w:i/>
          <w:color w:val="231F20"/>
          <w:spacing w:val="25"/>
          <w:w w:val="99"/>
          <w:sz w:val="20"/>
        </w:rPr>
        <w:t> </w:t>
      </w:r>
      <w:r>
        <w:rPr>
          <w:rFonts w:ascii="Segoe UI"/>
          <w:i/>
          <w:color w:val="231F20"/>
          <w:spacing w:val="-1"/>
          <w:sz w:val="20"/>
        </w:rPr>
        <w:t>opportunities</w:t>
      </w:r>
      <w:r>
        <w:rPr>
          <w:rFonts w:ascii="Segoe UI"/>
          <w:i/>
          <w:color w:val="231F20"/>
          <w:spacing w:val="-3"/>
          <w:sz w:val="20"/>
        </w:rPr>
        <w:t> </w:t>
      </w:r>
      <w:r>
        <w:rPr>
          <w:rFonts w:ascii="Segoe UI"/>
          <w:i/>
          <w:color w:val="231F20"/>
          <w:sz w:val="20"/>
        </w:rPr>
        <w:t>for</w:t>
      </w:r>
      <w:r>
        <w:rPr>
          <w:rFonts w:ascii="Segoe UI"/>
          <w:i/>
          <w:color w:val="231F20"/>
          <w:spacing w:val="-3"/>
          <w:sz w:val="20"/>
        </w:rPr>
        <w:t> </w:t>
      </w:r>
      <w:r>
        <w:rPr>
          <w:rFonts w:ascii="Segoe UI"/>
          <w:i/>
          <w:color w:val="231F20"/>
          <w:sz w:val="20"/>
        </w:rPr>
        <w:t>Aboriginal</w:t>
      </w:r>
      <w:r>
        <w:rPr>
          <w:rFonts w:ascii="Segoe UI"/>
          <w:i/>
          <w:color w:val="231F20"/>
          <w:spacing w:val="-4"/>
          <w:sz w:val="20"/>
        </w:rPr>
        <w:t> </w:t>
      </w:r>
      <w:r>
        <w:rPr>
          <w:rFonts w:ascii="Segoe UI"/>
          <w:i/>
          <w:color w:val="231F20"/>
          <w:sz w:val="20"/>
        </w:rPr>
        <w:t>and</w:t>
      </w:r>
      <w:r>
        <w:rPr>
          <w:rFonts w:ascii="Segoe UI"/>
          <w:i/>
          <w:color w:val="231F20"/>
          <w:spacing w:val="-2"/>
          <w:sz w:val="20"/>
        </w:rPr>
        <w:t> </w:t>
      </w:r>
      <w:r>
        <w:rPr>
          <w:rFonts w:ascii="Segoe UI"/>
          <w:i/>
          <w:color w:val="231F20"/>
          <w:spacing w:val="-5"/>
          <w:sz w:val="20"/>
        </w:rPr>
        <w:t>T</w:t>
      </w:r>
      <w:r>
        <w:rPr>
          <w:rFonts w:ascii="Segoe UI"/>
          <w:i/>
          <w:color w:val="231F20"/>
          <w:spacing w:val="-4"/>
          <w:sz w:val="20"/>
        </w:rPr>
        <w:t>orr</w:t>
      </w:r>
      <w:r>
        <w:rPr>
          <w:rFonts w:ascii="Segoe UI"/>
          <w:i/>
          <w:color w:val="231F20"/>
          <w:spacing w:val="-5"/>
          <w:sz w:val="20"/>
        </w:rPr>
        <w:t>es</w:t>
      </w:r>
      <w:r>
        <w:rPr>
          <w:rFonts w:ascii="Segoe UI"/>
          <w:i/>
          <w:color w:val="231F20"/>
          <w:spacing w:val="-4"/>
          <w:sz w:val="20"/>
        </w:rPr>
        <w:t> </w:t>
      </w:r>
      <w:r>
        <w:rPr>
          <w:rFonts w:ascii="Segoe UI"/>
          <w:i/>
          <w:color w:val="231F20"/>
          <w:spacing w:val="-1"/>
          <w:sz w:val="20"/>
        </w:rPr>
        <w:t>Strait</w:t>
      </w:r>
      <w:r>
        <w:rPr>
          <w:rFonts w:ascii="Segoe UI"/>
          <w:i/>
          <w:color w:val="231F20"/>
          <w:spacing w:val="25"/>
          <w:sz w:val="20"/>
        </w:rPr>
        <w:t> </w:t>
      </w:r>
      <w:r>
        <w:rPr>
          <w:rFonts w:ascii="Segoe UI"/>
          <w:i/>
          <w:color w:val="231F20"/>
          <w:spacing w:val="-1"/>
          <w:sz w:val="20"/>
        </w:rPr>
        <w:t>Islander</w:t>
      </w:r>
      <w:r>
        <w:rPr>
          <w:rFonts w:ascii="Segoe UI"/>
          <w:i/>
          <w:color w:val="231F20"/>
          <w:spacing w:val="-4"/>
          <w:sz w:val="20"/>
        </w:rPr>
        <w:t> </w:t>
      </w:r>
      <w:r>
        <w:rPr>
          <w:rFonts w:ascii="Segoe UI"/>
          <w:i/>
          <w:color w:val="231F20"/>
          <w:spacing w:val="-1"/>
          <w:sz w:val="20"/>
        </w:rPr>
        <w:t>students</w:t>
      </w:r>
      <w:r>
        <w:rPr>
          <w:rFonts w:ascii="Segoe UI"/>
          <w:color w:val="231F20"/>
          <w:spacing w:val="-1"/>
          <w:sz w:val="20"/>
        </w:rPr>
        <w:t>,</w:t>
      </w:r>
      <w:r>
        <w:rPr>
          <w:rFonts w:ascii="Segoe UI"/>
          <w:color w:val="231F20"/>
          <w:spacing w:val="-3"/>
          <w:sz w:val="20"/>
        </w:rPr>
        <w:t> </w:t>
      </w:r>
      <w:r>
        <w:rPr>
          <w:rFonts w:ascii="Segoe UI"/>
          <w:color w:val="231F20"/>
          <w:spacing w:val="-1"/>
          <w:sz w:val="20"/>
        </w:rPr>
        <w:t>submission</w:t>
      </w:r>
      <w:r>
        <w:rPr>
          <w:rFonts w:ascii="Segoe UI"/>
          <w:color w:val="231F20"/>
          <w:spacing w:val="-3"/>
          <w:sz w:val="20"/>
        </w:rPr>
        <w:t> </w:t>
      </w:r>
      <w:r>
        <w:rPr>
          <w:rFonts w:ascii="Segoe UI"/>
          <w:color w:val="231F20"/>
          <w:spacing w:val="-1"/>
          <w:sz w:val="20"/>
        </w:rPr>
        <w:t>21,</w:t>
      </w:r>
      <w:r>
        <w:rPr>
          <w:rFonts w:ascii="Segoe UI"/>
          <w:color w:val="231F20"/>
          <w:spacing w:val="-4"/>
          <w:sz w:val="20"/>
        </w:rPr>
        <w:t> </w:t>
      </w:r>
      <w:r>
        <w:rPr>
          <w:rFonts w:ascii="Segoe UI"/>
          <w:color w:val="231F20"/>
          <w:spacing w:val="-1"/>
          <w:sz w:val="20"/>
        </w:rPr>
        <w:t>2017,</w:t>
      </w:r>
      <w:r>
        <w:rPr>
          <w:rFonts w:ascii="Segoe UI"/>
          <w:color w:val="231F20"/>
          <w:spacing w:val="-3"/>
          <w:sz w:val="20"/>
        </w:rPr>
        <w:t> </w:t>
      </w:r>
      <w:r>
        <w:rPr>
          <w:rFonts w:ascii="Segoe UI"/>
          <w:color w:val="231F20"/>
          <w:sz w:val="20"/>
        </w:rPr>
        <w:t>https://</w:t>
      </w:r>
      <w:hyperlink r:id="rId98">
        <w:r>
          <w:rPr>
            <w:rFonts w:ascii="Segoe UI"/>
            <w:color w:val="231F20"/>
            <w:spacing w:val="25"/>
            <w:w w:val="99"/>
            <w:sz w:val="20"/>
          </w:rPr>
          <w:t> </w:t>
        </w:r>
        <w:r>
          <w:rPr>
            <w:rFonts w:ascii="Segoe UI"/>
            <w:color w:val="231F20"/>
            <w:spacing w:val="-1"/>
            <w:sz w:val="20"/>
          </w:rPr>
          <w:t>www.aph.gov.au/Parliamentary_Business/</w:t>
        </w:r>
      </w:hyperlink>
      <w:r>
        <w:rPr>
          <w:rFonts w:ascii="Segoe UI"/>
          <w:color w:val="231F20"/>
          <w:spacing w:val="61"/>
          <w:w w:val="99"/>
          <w:sz w:val="20"/>
        </w:rPr>
        <w:t> </w:t>
      </w:r>
      <w:r>
        <w:rPr>
          <w:rFonts w:ascii="Segoe UI"/>
          <w:color w:val="231F20"/>
          <w:sz w:val="20"/>
        </w:rPr>
        <w:t>Committees/House/Indigenous_Affairs/</w:t>
      </w:r>
      <w:r>
        <w:rPr>
          <w:rFonts w:ascii="Segoe UI"/>
          <w:color w:val="231F20"/>
          <w:w w:val="99"/>
          <w:sz w:val="20"/>
        </w:rPr>
        <w:t> </w:t>
      </w:r>
      <w:r>
        <w:rPr>
          <w:rFonts w:ascii="Segoe UI"/>
          <w:color w:val="231F20"/>
          <w:spacing w:val="-1"/>
          <w:sz w:val="20"/>
        </w:rPr>
        <w:t>EducationalOpportunities/Submissions?main_0_</w:t>
      </w:r>
      <w:r>
        <w:rPr>
          <w:rFonts w:ascii="Segoe UI"/>
          <w:color w:val="231F20"/>
          <w:spacing w:val="20"/>
          <w:sz w:val="20"/>
        </w:rPr>
        <w:t> </w:t>
      </w:r>
      <w:r>
        <w:rPr>
          <w:rFonts w:ascii="Segoe UI"/>
          <w:color w:val="231F20"/>
          <w:spacing w:val="-1"/>
          <w:sz w:val="20"/>
        </w:rPr>
        <w:t>content_1_RadGrid1ChangePage=1_20</w:t>
      </w:r>
      <w:r>
        <w:rPr>
          <w:rFonts w:ascii="Segoe UI"/>
          <w:sz w:val="20"/>
        </w:rPr>
      </w:r>
    </w:p>
    <w:p>
      <w:pPr>
        <w:pStyle w:val="BodyText"/>
        <w:spacing w:line="250" w:lineRule="exact" w:before="113"/>
        <w:ind w:left="100" w:right="203"/>
        <w:jc w:val="left"/>
      </w:pPr>
      <w:r>
        <w:rPr>
          <w:color w:val="231F20"/>
          <w:spacing w:val="-1"/>
        </w:rPr>
        <w:t>Central</w:t>
      </w:r>
      <w:r>
        <w:rPr>
          <w:color w:val="231F20"/>
          <w:spacing w:val="-7"/>
        </w:rPr>
        <w:t> </w:t>
      </w:r>
      <w:r>
        <w:rPr>
          <w:color w:val="231F20"/>
        </w:rPr>
        <w:t>Land</w:t>
      </w:r>
      <w:r>
        <w:rPr>
          <w:color w:val="231F20"/>
          <w:spacing w:val="-7"/>
        </w:rPr>
        <w:t> </w:t>
      </w:r>
      <w:r>
        <w:rPr>
          <w:color w:val="231F20"/>
          <w:spacing w:val="-1"/>
        </w:rPr>
        <w:t>Council,</w:t>
      </w:r>
      <w:r>
        <w:rPr>
          <w:color w:val="231F20"/>
          <w:spacing w:val="-6"/>
        </w:rPr>
        <w:t> </w:t>
      </w:r>
      <w:r>
        <w:rPr>
          <w:color w:val="231F20"/>
        </w:rPr>
        <w:t>Media</w:t>
      </w:r>
      <w:r>
        <w:rPr>
          <w:color w:val="231F20"/>
          <w:spacing w:val="-7"/>
        </w:rPr>
        <w:t> </w:t>
      </w:r>
      <w:r>
        <w:rPr>
          <w:color w:val="231F20"/>
        </w:rPr>
        <w:t>releases,</w:t>
      </w:r>
      <w:r>
        <w:rPr>
          <w:color w:val="231F20"/>
          <w:spacing w:val="-8"/>
        </w:rPr>
        <w:t> </w:t>
      </w:r>
      <w:r>
        <w:rPr>
          <w:color w:val="231F20"/>
        </w:rPr>
        <w:t>https://</w:t>
      </w:r>
      <w:r>
        <w:rPr>
          <w:color w:val="231F20"/>
          <w:spacing w:val="23"/>
          <w:w w:val="99"/>
        </w:rPr>
        <w:t> </w:t>
      </w:r>
      <w:r>
        <w:rPr>
          <w:color w:val="231F20"/>
        </w:rPr>
        <w:t>www.clc.org.au/index.php?/media-releases/</w:t>
      </w:r>
      <w:r>
        <w:rPr>
          <w:color w:val="231F20"/>
          <w:w w:val="99"/>
        </w:rPr>
        <w:t> </w:t>
      </w:r>
      <w:r>
        <w:rPr>
          <w:color w:val="231F20"/>
          <w:w w:val="95"/>
        </w:rPr>
        <w:t>article/throwing-out-the-land-rights-act-not-</w:t>
      </w:r>
      <w:r>
        <w:rPr>
          <w:color w:val="231F20"/>
          <w:w w:val="99"/>
        </w:rPr>
        <w:t> </w:t>
      </w:r>
      <w:r>
        <w:rPr>
          <w:color w:val="231F20"/>
        </w:rPr>
        <w:t>the-key</w:t>
      </w:r>
      <w:r>
        <w:rPr/>
      </w:r>
    </w:p>
    <w:p>
      <w:pPr>
        <w:pStyle w:val="BodyText"/>
        <w:spacing w:line="250" w:lineRule="exact" w:before="113"/>
        <w:ind w:left="100" w:right="50"/>
        <w:jc w:val="left"/>
      </w:pPr>
      <w:r>
        <w:rPr>
          <w:color w:val="231F20"/>
          <w:spacing w:val="-1"/>
        </w:rPr>
        <w:t>Centrecorp</w:t>
      </w:r>
      <w:r>
        <w:rPr>
          <w:color w:val="231F20"/>
          <w:spacing w:val="-16"/>
        </w:rPr>
        <w:t> </w:t>
      </w:r>
      <w:r>
        <w:rPr>
          <w:color w:val="231F20"/>
          <w:spacing w:val="-1"/>
        </w:rPr>
        <w:t>Foundation,</w:t>
      </w:r>
      <w:r>
        <w:rPr>
          <w:color w:val="231F20"/>
          <w:spacing w:val="-14"/>
        </w:rPr>
        <w:t> </w:t>
      </w:r>
      <w:hyperlink r:id="rId99">
        <w:r>
          <w:rPr>
            <w:color w:val="231F20"/>
          </w:rPr>
          <w:t>http://www.</w:t>
        </w:r>
      </w:hyperlink>
      <w:r>
        <w:rPr>
          <w:color w:val="231F20"/>
          <w:spacing w:val="23"/>
          <w:w w:val="99"/>
        </w:rPr>
        <w:t> </w:t>
      </w:r>
      <w:r>
        <w:rPr>
          <w:color w:val="231F20"/>
        </w:rPr>
        <w:t>centrecorpfoundation.com.au/centrecorp-</w:t>
      </w:r>
      <w:r>
        <w:rPr>
          <w:color w:val="231F20"/>
          <w:w w:val="99"/>
        </w:rPr>
        <w:t> </w:t>
      </w:r>
      <w:r>
        <w:rPr>
          <w:color w:val="231F20"/>
        </w:rPr>
        <w:t>foundation-community-support-program/</w:t>
      </w:r>
      <w:r>
        <w:rPr>
          <w:color w:val="231F20"/>
          <w:w w:val="99"/>
        </w:rPr>
        <w:t> </w:t>
      </w:r>
      <w:r>
        <w:rPr>
          <w:color w:val="231F20"/>
        </w:rPr>
        <w:t>centrecorp-foundation-community-support-</w:t>
      </w:r>
      <w:r>
        <w:rPr>
          <w:color w:val="231F20"/>
          <w:w w:val="99"/>
        </w:rPr>
        <w:t> </w:t>
      </w:r>
      <w:r>
        <w:rPr>
          <w:color w:val="231F20"/>
          <w:w w:val="95"/>
        </w:rPr>
        <w:t>program-additional-information-for-applicants</w:t>
      </w:r>
      <w:r>
        <w:rPr/>
      </w:r>
    </w:p>
    <w:p>
      <w:pPr>
        <w:spacing w:line="250" w:lineRule="exact" w:before="113"/>
        <w:ind w:left="100" w:right="0" w:firstLine="0"/>
        <w:jc w:val="left"/>
        <w:rPr>
          <w:rFonts w:ascii="Segoe UI" w:hAnsi="Segoe UI" w:cs="Segoe UI" w:eastAsia="Segoe UI"/>
          <w:sz w:val="20"/>
          <w:szCs w:val="20"/>
        </w:rPr>
      </w:pPr>
      <w:r>
        <w:rPr>
          <w:rFonts w:ascii="Segoe UI"/>
          <w:color w:val="231F20"/>
          <w:spacing w:val="-1"/>
          <w:sz w:val="20"/>
        </w:rPr>
        <w:t>Crawford,</w:t>
      </w:r>
      <w:r>
        <w:rPr>
          <w:rFonts w:ascii="Segoe UI"/>
          <w:color w:val="231F20"/>
          <w:spacing w:val="-6"/>
          <w:sz w:val="20"/>
        </w:rPr>
        <w:t> </w:t>
      </w:r>
      <w:r>
        <w:rPr>
          <w:rFonts w:ascii="Segoe UI"/>
          <w:color w:val="231F20"/>
          <w:sz w:val="20"/>
        </w:rPr>
        <w:t>H</w:t>
      </w:r>
      <w:r>
        <w:rPr>
          <w:rFonts w:ascii="Segoe UI"/>
          <w:color w:val="231F20"/>
          <w:spacing w:val="-5"/>
          <w:sz w:val="20"/>
        </w:rPr>
        <w:t> </w:t>
      </w:r>
      <w:r>
        <w:rPr>
          <w:rFonts w:ascii="Segoe UI"/>
          <w:color w:val="231F20"/>
          <w:sz w:val="20"/>
        </w:rPr>
        <w:t>and</w:t>
      </w:r>
      <w:r>
        <w:rPr>
          <w:rFonts w:ascii="Segoe UI"/>
          <w:color w:val="231F20"/>
          <w:spacing w:val="-6"/>
          <w:sz w:val="20"/>
        </w:rPr>
        <w:t> </w:t>
      </w:r>
      <w:r>
        <w:rPr>
          <w:rFonts w:ascii="Segoe UI"/>
          <w:color w:val="231F20"/>
          <w:spacing w:val="-1"/>
          <w:sz w:val="20"/>
        </w:rPr>
        <w:t>Schwab,</w:t>
      </w:r>
      <w:r>
        <w:rPr>
          <w:rFonts w:ascii="Segoe UI"/>
          <w:color w:val="231F20"/>
          <w:spacing w:val="-5"/>
          <w:sz w:val="20"/>
        </w:rPr>
        <w:t> </w:t>
      </w:r>
      <w:r>
        <w:rPr>
          <w:rFonts w:ascii="Segoe UI"/>
          <w:color w:val="231F20"/>
          <w:spacing w:val="-2"/>
          <w:sz w:val="20"/>
        </w:rPr>
        <w:t>RG,</w:t>
      </w:r>
      <w:r>
        <w:rPr>
          <w:rFonts w:ascii="Segoe UI"/>
          <w:color w:val="231F20"/>
          <w:spacing w:val="-5"/>
          <w:sz w:val="20"/>
        </w:rPr>
        <w:t> </w:t>
      </w:r>
      <w:r>
        <w:rPr>
          <w:rFonts w:ascii="Segoe UI"/>
          <w:color w:val="231F20"/>
          <w:spacing w:val="-1"/>
          <w:sz w:val="20"/>
        </w:rPr>
        <w:t>Centre</w:t>
      </w:r>
      <w:r>
        <w:rPr>
          <w:rFonts w:ascii="Segoe UI"/>
          <w:color w:val="231F20"/>
          <w:spacing w:val="-5"/>
          <w:sz w:val="20"/>
        </w:rPr>
        <w:t> </w:t>
      </w:r>
      <w:r>
        <w:rPr>
          <w:rFonts w:ascii="Segoe UI"/>
          <w:color w:val="231F20"/>
          <w:sz w:val="20"/>
        </w:rPr>
        <w:t>for</w:t>
      </w:r>
      <w:r>
        <w:rPr>
          <w:rFonts w:ascii="Segoe UI"/>
          <w:color w:val="231F20"/>
          <w:spacing w:val="26"/>
          <w:w w:val="99"/>
          <w:sz w:val="20"/>
        </w:rPr>
        <w:t> </w:t>
      </w:r>
      <w:r>
        <w:rPr>
          <w:rFonts w:ascii="Segoe UI"/>
          <w:color w:val="231F20"/>
          <w:sz w:val="20"/>
        </w:rPr>
        <w:t>Aboriginal</w:t>
      </w:r>
      <w:r>
        <w:rPr>
          <w:rFonts w:ascii="Segoe UI"/>
          <w:color w:val="231F20"/>
          <w:spacing w:val="-6"/>
          <w:sz w:val="20"/>
        </w:rPr>
        <w:t> </w:t>
      </w:r>
      <w:r>
        <w:rPr>
          <w:rFonts w:ascii="Segoe UI"/>
          <w:color w:val="231F20"/>
          <w:sz w:val="20"/>
        </w:rPr>
        <w:t>Economic</w:t>
      </w:r>
      <w:r>
        <w:rPr>
          <w:rFonts w:ascii="Segoe UI"/>
          <w:color w:val="231F20"/>
          <w:spacing w:val="-7"/>
          <w:sz w:val="20"/>
        </w:rPr>
        <w:t> </w:t>
      </w:r>
      <w:r>
        <w:rPr>
          <w:rFonts w:ascii="Segoe UI"/>
          <w:color w:val="231F20"/>
          <w:spacing w:val="-2"/>
          <w:sz w:val="20"/>
        </w:rPr>
        <w:t>Policy</w:t>
      </w:r>
      <w:r>
        <w:rPr>
          <w:rFonts w:ascii="Segoe UI"/>
          <w:color w:val="231F20"/>
          <w:spacing w:val="-7"/>
          <w:sz w:val="20"/>
        </w:rPr>
        <w:t> </w:t>
      </w:r>
      <w:r>
        <w:rPr>
          <w:rFonts w:ascii="Segoe UI"/>
          <w:color w:val="231F20"/>
          <w:spacing w:val="-1"/>
          <w:sz w:val="20"/>
        </w:rPr>
        <w:t>Research</w:t>
      </w:r>
      <w:r>
        <w:rPr>
          <w:rFonts w:ascii="Segoe UI"/>
          <w:color w:val="231F20"/>
          <w:spacing w:val="-7"/>
          <w:sz w:val="20"/>
        </w:rPr>
        <w:t> </w:t>
      </w:r>
      <w:r>
        <w:rPr>
          <w:rFonts w:ascii="Segoe UI"/>
          <w:color w:val="231F20"/>
          <w:sz w:val="20"/>
        </w:rPr>
        <w:t>for</w:t>
      </w:r>
      <w:r>
        <w:rPr>
          <w:rFonts w:ascii="Segoe UI"/>
          <w:color w:val="231F20"/>
          <w:spacing w:val="-6"/>
          <w:sz w:val="20"/>
        </w:rPr>
        <w:t> </w:t>
      </w:r>
      <w:r>
        <w:rPr>
          <w:rFonts w:ascii="Segoe UI"/>
          <w:color w:val="231F20"/>
          <w:sz w:val="20"/>
        </w:rPr>
        <w:t>the</w:t>
      </w:r>
      <w:r>
        <w:rPr>
          <w:rFonts w:ascii="Segoe UI"/>
          <w:color w:val="231F20"/>
          <w:spacing w:val="26"/>
          <w:w w:val="99"/>
          <w:sz w:val="20"/>
        </w:rPr>
        <w:t> </w:t>
      </w:r>
      <w:r>
        <w:rPr>
          <w:rFonts w:ascii="Segoe UI"/>
          <w:color w:val="231F20"/>
          <w:spacing w:val="-1"/>
          <w:sz w:val="20"/>
        </w:rPr>
        <w:t>Independent</w:t>
      </w:r>
      <w:r>
        <w:rPr>
          <w:rFonts w:ascii="Segoe UI"/>
          <w:color w:val="231F20"/>
          <w:spacing w:val="-6"/>
          <w:sz w:val="20"/>
        </w:rPr>
        <w:t> </w:t>
      </w:r>
      <w:r>
        <w:rPr>
          <w:rFonts w:ascii="Segoe UI"/>
          <w:color w:val="231F20"/>
          <w:spacing w:val="-1"/>
          <w:sz w:val="20"/>
        </w:rPr>
        <w:t>Schools</w:t>
      </w:r>
      <w:r>
        <w:rPr>
          <w:rFonts w:ascii="Segoe UI"/>
          <w:color w:val="231F20"/>
          <w:spacing w:val="-5"/>
          <w:sz w:val="20"/>
        </w:rPr>
        <w:t> </w:t>
      </w:r>
      <w:r>
        <w:rPr>
          <w:rFonts w:ascii="Segoe UI"/>
          <w:color w:val="231F20"/>
          <w:spacing w:val="-1"/>
          <w:sz w:val="20"/>
        </w:rPr>
        <w:t>Council</w:t>
      </w:r>
      <w:r>
        <w:rPr>
          <w:rFonts w:ascii="Segoe UI"/>
          <w:color w:val="231F20"/>
          <w:spacing w:val="-5"/>
          <w:sz w:val="20"/>
        </w:rPr>
        <w:t> </w:t>
      </w:r>
      <w:r>
        <w:rPr>
          <w:rFonts w:ascii="Segoe UI"/>
          <w:color w:val="231F20"/>
          <w:sz w:val="20"/>
        </w:rPr>
        <w:t>of</w:t>
      </w:r>
      <w:r>
        <w:rPr>
          <w:rFonts w:ascii="Segoe UI"/>
          <w:color w:val="231F20"/>
          <w:spacing w:val="-6"/>
          <w:sz w:val="20"/>
        </w:rPr>
        <w:t> </w:t>
      </w:r>
      <w:r>
        <w:rPr>
          <w:rFonts w:ascii="Segoe UI"/>
          <w:color w:val="231F20"/>
          <w:sz w:val="20"/>
        </w:rPr>
        <w:t>Australia,</w:t>
      </w:r>
      <w:r>
        <w:rPr>
          <w:rFonts w:ascii="Segoe UI"/>
          <w:color w:val="231F20"/>
          <w:spacing w:val="24"/>
          <w:w w:val="99"/>
          <w:sz w:val="20"/>
        </w:rPr>
        <w:t> </w:t>
      </w:r>
      <w:r>
        <w:rPr>
          <w:rFonts w:ascii="Segoe UI"/>
          <w:i/>
          <w:color w:val="231F20"/>
          <w:sz w:val="20"/>
        </w:rPr>
        <w:t>Barriers</w:t>
      </w:r>
      <w:r>
        <w:rPr>
          <w:rFonts w:ascii="Segoe UI"/>
          <w:i/>
          <w:color w:val="231F20"/>
          <w:spacing w:val="-6"/>
          <w:sz w:val="20"/>
        </w:rPr>
        <w:t> </w:t>
      </w:r>
      <w:r>
        <w:rPr>
          <w:rFonts w:ascii="Segoe UI"/>
          <w:i/>
          <w:color w:val="231F20"/>
          <w:sz w:val="20"/>
        </w:rPr>
        <w:t>and</w:t>
      </w:r>
      <w:r>
        <w:rPr>
          <w:rFonts w:ascii="Segoe UI"/>
          <w:i/>
          <w:color w:val="231F20"/>
          <w:spacing w:val="-5"/>
          <w:sz w:val="20"/>
        </w:rPr>
        <w:t> </w:t>
      </w:r>
      <w:r>
        <w:rPr>
          <w:rFonts w:ascii="Segoe UI"/>
          <w:i/>
          <w:color w:val="231F20"/>
          <w:spacing w:val="-2"/>
          <w:sz w:val="20"/>
        </w:rPr>
        <w:t>Bureaucracy,</w:t>
      </w:r>
      <w:r>
        <w:rPr>
          <w:rFonts w:ascii="Segoe UI"/>
          <w:i/>
          <w:color w:val="231F20"/>
          <w:spacing w:val="-5"/>
          <w:sz w:val="20"/>
        </w:rPr>
        <w:t> </w:t>
      </w:r>
      <w:r>
        <w:rPr>
          <w:rFonts w:ascii="Segoe UI"/>
          <w:i/>
          <w:color w:val="231F20"/>
          <w:spacing w:val="-1"/>
          <w:sz w:val="20"/>
        </w:rPr>
        <w:t>Bridges</w:t>
      </w:r>
      <w:r>
        <w:rPr>
          <w:rFonts w:ascii="Segoe UI"/>
          <w:i/>
          <w:color w:val="231F20"/>
          <w:spacing w:val="-6"/>
          <w:sz w:val="20"/>
        </w:rPr>
        <w:t> </w:t>
      </w:r>
      <w:r>
        <w:rPr>
          <w:rFonts w:ascii="Segoe UI"/>
          <w:i/>
          <w:color w:val="231F20"/>
          <w:sz w:val="20"/>
        </w:rPr>
        <w:t>and</w:t>
      </w:r>
      <w:r>
        <w:rPr>
          <w:rFonts w:ascii="Segoe UI"/>
          <w:i/>
          <w:color w:val="231F20"/>
          <w:spacing w:val="-5"/>
          <w:sz w:val="20"/>
        </w:rPr>
        <w:t> </w:t>
      </w:r>
      <w:r>
        <w:rPr>
          <w:rFonts w:ascii="Segoe UI"/>
          <w:i/>
          <w:color w:val="231F20"/>
          <w:spacing w:val="-1"/>
          <w:sz w:val="20"/>
        </w:rPr>
        <w:t>Brokers</w:t>
      </w:r>
      <w:r>
        <w:rPr>
          <w:rFonts w:ascii="Segoe UI"/>
          <w:color w:val="231F20"/>
          <w:spacing w:val="-1"/>
          <w:sz w:val="20"/>
        </w:rPr>
        <w:t>,</w:t>
      </w:r>
      <w:r>
        <w:rPr>
          <w:rFonts w:ascii="Segoe UI"/>
          <w:color w:val="231F20"/>
          <w:spacing w:val="31"/>
          <w:w w:val="99"/>
          <w:sz w:val="20"/>
        </w:rPr>
        <w:t> </w:t>
      </w:r>
      <w:r>
        <w:rPr>
          <w:rFonts w:ascii="Segoe UI"/>
          <w:color w:val="231F20"/>
          <w:spacing w:val="-1"/>
          <w:sz w:val="20"/>
        </w:rPr>
        <w:t>2017</w:t>
      </w:r>
      <w:r>
        <w:rPr>
          <w:rFonts w:ascii="Segoe UI"/>
          <w:color w:val="231F20"/>
          <w:spacing w:val="-4"/>
          <w:sz w:val="20"/>
        </w:rPr>
        <w:t> </w:t>
      </w:r>
      <w:r>
        <w:rPr>
          <w:rFonts w:ascii="Segoe UI"/>
          <w:color w:val="231F20"/>
          <w:sz w:val="20"/>
        </w:rPr>
        <w:t>(CAEPR,</w:t>
      </w:r>
      <w:r>
        <w:rPr>
          <w:rFonts w:ascii="Segoe UI"/>
          <w:color w:val="231F20"/>
          <w:spacing w:val="-4"/>
          <w:sz w:val="20"/>
        </w:rPr>
        <w:t> </w:t>
      </w:r>
      <w:r>
        <w:rPr>
          <w:rFonts w:ascii="Segoe UI"/>
          <w:color w:val="231F20"/>
          <w:sz w:val="20"/>
        </w:rPr>
        <w:t>2017)</w:t>
      </w:r>
      <w:r>
        <w:rPr>
          <w:rFonts w:ascii="Segoe UI"/>
          <w:sz w:val="20"/>
        </w:rPr>
      </w:r>
    </w:p>
    <w:p>
      <w:pPr>
        <w:pStyle w:val="BodyText"/>
        <w:spacing w:line="250" w:lineRule="exact" w:before="113"/>
        <w:ind w:left="100" w:right="64"/>
        <w:jc w:val="both"/>
      </w:pPr>
      <w:r>
        <w:rPr>
          <w:color w:val="231F20"/>
          <w:spacing w:val="-1"/>
        </w:rPr>
        <w:t>Department</w:t>
      </w:r>
      <w:r>
        <w:rPr>
          <w:color w:val="231F20"/>
          <w:spacing w:val="-4"/>
        </w:rPr>
        <w:t> </w:t>
      </w:r>
      <w:r>
        <w:rPr>
          <w:color w:val="231F20"/>
        </w:rPr>
        <w:t>of</w:t>
      </w:r>
      <w:r>
        <w:rPr>
          <w:color w:val="231F20"/>
          <w:spacing w:val="-4"/>
        </w:rPr>
        <w:t> </w:t>
      </w:r>
      <w:r>
        <w:rPr>
          <w:color w:val="231F20"/>
        </w:rPr>
        <w:t>the</w:t>
      </w:r>
      <w:r>
        <w:rPr>
          <w:color w:val="231F20"/>
          <w:spacing w:val="-5"/>
        </w:rPr>
        <w:t> </w:t>
      </w:r>
      <w:r>
        <w:rPr>
          <w:color w:val="231F20"/>
          <w:spacing w:val="-1"/>
        </w:rPr>
        <w:t>Prime</w:t>
      </w:r>
      <w:r>
        <w:rPr>
          <w:color w:val="231F20"/>
          <w:spacing w:val="-3"/>
        </w:rPr>
        <w:t> </w:t>
      </w:r>
      <w:r>
        <w:rPr>
          <w:color w:val="231F20"/>
        </w:rPr>
        <w:t>Minister</w:t>
      </w:r>
      <w:r>
        <w:rPr>
          <w:color w:val="231F20"/>
          <w:spacing w:val="-5"/>
        </w:rPr>
        <w:t> </w:t>
      </w:r>
      <w:r>
        <w:rPr>
          <w:color w:val="231F20"/>
        </w:rPr>
        <w:t>and</w:t>
      </w:r>
      <w:r>
        <w:rPr>
          <w:color w:val="231F20"/>
          <w:spacing w:val="-5"/>
        </w:rPr>
        <w:t> </w:t>
      </w:r>
      <w:r>
        <w:rPr>
          <w:color w:val="231F20"/>
          <w:spacing w:val="-1"/>
        </w:rPr>
        <w:t>Cabinet,</w:t>
      </w:r>
      <w:r>
        <w:rPr>
          <w:color w:val="231F20"/>
          <w:spacing w:val="22"/>
          <w:w w:val="99"/>
        </w:rPr>
        <w:t> </w:t>
      </w:r>
      <w:r>
        <w:rPr>
          <w:color w:val="231F20"/>
          <w:spacing w:val="-1"/>
        </w:rPr>
        <w:t>Closing</w:t>
      </w:r>
      <w:r>
        <w:rPr>
          <w:color w:val="231F20"/>
          <w:spacing w:val="-2"/>
        </w:rPr>
        <w:t> </w:t>
      </w:r>
      <w:r>
        <w:rPr>
          <w:color w:val="231F20"/>
        </w:rPr>
        <w:t>the</w:t>
      </w:r>
      <w:r>
        <w:rPr>
          <w:color w:val="231F20"/>
          <w:spacing w:val="-3"/>
        </w:rPr>
        <w:t> </w:t>
      </w:r>
      <w:r>
        <w:rPr>
          <w:color w:val="231F20"/>
        </w:rPr>
        <w:t>Gap:</w:t>
      </w:r>
      <w:r>
        <w:rPr>
          <w:color w:val="231F20"/>
          <w:spacing w:val="-1"/>
        </w:rPr>
        <w:t> Prime</w:t>
      </w:r>
      <w:r>
        <w:rPr>
          <w:color w:val="231F20"/>
          <w:spacing w:val="-2"/>
        </w:rPr>
        <w:t> </w:t>
      </w:r>
      <w:r>
        <w:rPr>
          <w:color w:val="231F20"/>
        </w:rPr>
        <w:t>Minister’s</w:t>
      </w:r>
      <w:r>
        <w:rPr>
          <w:color w:val="231F20"/>
          <w:spacing w:val="-2"/>
        </w:rPr>
        <w:t> </w:t>
      </w:r>
      <w:r>
        <w:rPr>
          <w:color w:val="231F20"/>
          <w:spacing w:val="-1"/>
        </w:rPr>
        <w:t>Report</w:t>
      </w:r>
      <w:r>
        <w:rPr>
          <w:color w:val="231F20"/>
          <w:spacing w:val="-2"/>
        </w:rPr>
        <w:t> </w:t>
      </w:r>
      <w:r>
        <w:rPr>
          <w:color w:val="231F20"/>
          <w:spacing w:val="-1"/>
        </w:rPr>
        <w:t>2018,</w:t>
      </w:r>
      <w:r>
        <w:rPr>
          <w:color w:val="231F20"/>
          <w:spacing w:val="22"/>
        </w:rPr>
        <w:t> </w:t>
      </w:r>
      <w:r>
        <w:rPr>
          <w:color w:val="231F20"/>
          <w:spacing w:val="-1"/>
        </w:rPr>
        <w:t>Department</w:t>
      </w:r>
      <w:r>
        <w:rPr>
          <w:color w:val="231F20"/>
          <w:spacing w:val="-4"/>
        </w:rPr>
        <w:t> </w:t>
      </w:r>
      <w:r>
        <w:rPr>
          <w:color w:val="231F20"/>
        </w:rPr>
        <w:t>of</w:t>
      </w:r>
      <w:r>
        <w:rPr>
          <w:color w:val="231F20"/>
          <w:spacing w:val="-4"/>
        </w:rPr>
        <w:t> </w:t>
      </w:r>
      <w:r>
        <w:rPr>
          <w:color w:val="231F20"/>
        </w:rPr>
        <w:t>the</w:t>
      </w:r>
      <w:r>
        <w:rPr>
          <w:color w:val="231F20"/>
          <w:spacing w:val="-5"/>
        </w:rPr>
        <w:t> </w:t>
      </w:r>
      <w:r>
        <w:rPr>
          <w:color w:val="231F20"/>
          <w:spacing w:val="-1"/>
        </w:rPr>
        <w:t>Prime</w:t>
      </w:r>
      <w:r>
        <w:rPr>
          <w:color w:val="231F20"/>
          <w:spacing w:val="-3"/>
        </w:rPr>
        <w:t> </w:t>
      </w:r>
      <w:r>
        <w:rPr>
          <w:color w:val="231F20"/>
        </w:rPr>
        <w:t>Minister</w:t>
      </w:r>
      <w:r>
        <w:rPr>
          <w:color w:val="231F20"/>
          <w:spacing w:val="-5"/>
        </w:rPr>
        <w:t> </w:t>
      </w:r>
      <w:r>
        <w:rPr>
          <w:color w:val="231F20"/>
        </w:rPr>
        <w:t>and</w:t>
      </w:r>
      <w:r>
        <w:rPr>
          <w:color w:val="231F20"/>
          <w:spacing w:val="-5"/>
        </w:rPr>
        <w:t> </w:t>
      </w:r>
      <w:r>
        <w:rPr>
          <w:color w:val="231F20"/>
          <w:spacing w:val="-1"/>
        </w:rPr>
        <w:t>Cabinet,</w:t>
      </w:r>
      <w:r>
        <w:rPr>
          <w:color w:val="231F20"/>
          <w:spacing w:val="22"/>
          <w:w w:val="99"/>
        </w:rPr>
        <w:t> </w:t>
      </w:r>
      <w:r>
        <w:rPr>
          <w:color w:val="231F20"/>
          <w:spacing w:val="-1"/>
        </w:rPr>
        <w:t>2018</w:t>
      </w:r>
      <w:r>
        <w:rPr>
          <w:color w:val="231F20"/>
          <w:spacing w:val="-2"/>
        </w:rPr>
        <w:t> </w:t>
      </w:r>
      <w:r>
        <w:rPr>
          <w:color w:val="231F20"/>
        </w:rPr>
        <w:t>(Closing</w:t>
      </w:r>
      <w:r>
        <w:rPr>
          <w:color w:val="231F20"/>
          <w:spacing w:val="-3"/>
        </w:rPr>
        <w:t> </w:t>
      </w:r>
      <w:r>
        <w:rPr>
          <w:color w:val="231F20"/>
        </w:rPr>
        <w:t>the</w:t>
      </w:r>
      <w:r>
        <w:rPr>
          <w:color w:val="231F20"/>
          <w:spacing w:val="-3"/>
        </w:rPr>
        <w:t> </w:t>
      </w:r>
      <w:r>
        <w:rPr>
          <w:color w:val="231F20"/>
        </w:rPr>
        <w:t>Gap,</w:t>
      </w:r>
      <w:r>
        <w:rPr>
          <w:color w:val="231F20"/>
          <w:spacing w:val="-1"/>
        </w:rPr>
        <w:t> </w:t>
      </w:r>
      <w:r>
        <w:rPr>
          <w:color w:val="231F20"/>
        </w:rPr>
        <w:t>2018)</w:t>
      </w:r>
      <w:r>
        <w:rPr/>
      </w:r>
    </w:p>
    <w:p>
      <w:pPr>
        <w:spacing w:line="250" w:lineRule="exact" w:before="113"/>
        <w:ind w:left="100" w:right="137" w:firstLine="0"/>
        <w:jc w:val="both"/>
        <w:rPr>
          <w:rFonts w:ascii="Segoe UI" w:hAnsi="Segoe UI" w:cs="Segoe UI" w:eastAsia="Segoe UI"/>
          <w:sz w:val="20"/>
          <w:szCs w:val="20"/>
        </w:rPr>
      </w:pPr>
      <w:r>
        <w:rPr>
          <w:rFonts w:ascii="Segoe UI"/>
          <w:color w:val="231F20"/>
          <w:spacing w:val="-1"/>
          <w:sz w:val="20"/>
        </w:rPr>
        <w:t>Deloitte,</w:t>
      </w:r>
      <w:r>
        <w:rPr>
          <w:rFonts w:ascii="Segoe UI"/>
          <w:color w:val="231F20"/>
          <w:spacing w:val="-4"/>
          <w:sz w:val="20"/>
        </w:rPr>
        <w:t> </w:t>
      </w:r>
      <w:r>
        <w:rPr>
          <w:rFonts w:ascii="Segoe UI"/>
          <w:i/>
          <w:color w:val="231F20"/>
          <w:sz w:val="20"/>
        </w:rPr>
        <w:t>Final</w:t>
      </w:r>
      <w:r>
        <w:rPr>
          <w:rFonts w:ascii="Segoe UI"/>
          <w:i/>
          <w:color w:val="231F20"/>
          <w:spacing w:val="-4"/>
          <w:sz w:val="20"/>
        </w:rPr>
        <w:t> </w:t>
      </w:r>
      <w:r>
        <w:rPr>
          <w:rFonts w:ascii="Segoe UI"/>
          <w:i/>
          <w:color w:val="231F20"/>
          <w:spacing w:val="-1"/>
          <w:sz w:val="20"/>
        </w:rPr>
        <w:t>Report</w:t>
      </w:r>
      <w:r>
        <w:rPr>
          <w:rFonts w:ascii="Segoe UI"/>
          <w:i/>
          <w:color w:val="231F20"/>
          <w:spacing w:val="-4"/>
          <w:sz w:val="20"/>
        </w:rPr>
        <w:t> </w:t>
      </w:r>
      <w:r>
        <w:rPr>
          <w:rFonts w:ascii="Segoe UI"/>
          <w:i/>
          <w:color w:val="231F20"/>
          <w:sz w:val="20"/>
        </w:rPr>
        <w:t>to</w:t>
      </w:r>
      <w:r>
        <w:rPr>
          <w:rFonts w:ascii="Segoe UI"/>
          <w:i/>
          <w:color w:val="231F20"/>
          <w:spacing w:val="-4"/>
          <w:sz w:val="20"/>
        </w:rPr>
        <w:t> </w:t>
      </w:r>
      <w:r>
        <w:rPr>
          <w:rFonts w:ascii="Segoe UI"/>
          <w:i/>
          <w:color w:val="231F20"/>
          <w:spacing w:val="-1"/>
          <w:sz w:val="20"/>
        </w:rPr>
        <w:t>the</w:t>
      </w:r>
      <w:r>
        <w:rPr>
          <w:rFonts w:ascii="Segoe UI"/>
          <w:i/>
          <w:color w:val="231F20"/>
          <w:spacing w:val="-4"/>
          <w:sz w:val="20"/>
        </w:rPr>
        <w:t> </w:t>
      </w:r>
      <w:r>
        <w:rPr>
          <w:rFonts w:ascii="Segoe UI"/>
          <w:i/>
          <w:color w:val="231F20"/>
          <w:spacing w:val="-1"/>
          <w:sz w:val="20"/>
        </w:rPr>
        <w:t>Review</w:t>
      </w:r>
      <w:r>
        <w:rPr>
          <w:rFonts w:ascii="Segoe UI"/>
          <w:i/>
          <w:color w:val="231F20"/>
          <w:spacing w:val="-4"/>
          <w:sz w:val="20"/>
        </w:rPr>
        <w:t> </w:t>
      </w:r>
      <w:r>
        <w:rPr>
          <w:rFonts w:ascii="Segoe UI"/>
          <w:i/>
          <w:color w:val="231F20"/>
          <w:spacing w:val="-2"/>
          <w:sz w:val="20"/>
        </w:rPr>
        <w:t>of</w:t>
      </w:r>
      <w:r>
        <w:rPr>
          <w:rFonts w:ascii="Segoe UI"/>
          <w:i/>
          <w:color w:val="231F20"/>
          <w:spacing w:val="-3"/>
          <w:sz w:val="20"/>
        </w:rPr>
        <w:t> </w:t>
      </w:r>
      <w:r>
        <w:rPr>
          <w:rFonts w:ascii="Segoe UI"/>
          <w:i/>
          <w:color w:val="231F20"/>
          <w:sz w:val="20"/>
        </w:rPr>
        <w:t>Funding</w:t>
      </w:r>
      <w:r>
        <w:rPr>
          <w:rFonts w:ascii="Segoe UI"/>
          <w:i/>
          <w:color w:val="231F20"/>
          <w:spacing w:val="27"/>
          <w:w w:val="99"/>
          <w:sz w:val="20"/>
        </w:rPr>
        <w:t> </w:t>
      </w:r>
      <w:r>
        <w:rPr>
          <w:rFonts w:ascii="Segoe UI"/>
          <w:i/>
          <w:color w:val="231F20"/>
          <w:sz w:val="20"/>
        </w:rPr>
        <w:t>for</w:t>
      </w:r>
      <w:r>
        <w:rPr>
          <w:rFonts w:ascii="Segoe UI"/>
          <w:i/>
          <w:color w:val="231F20"/>
          <w:spacing w:val="-4"/>
          <w:sz w:val="20"/>
        </w:rPr>
        <w:t> </w:t>
      </w:r>
      <w:r>
        <w:rPr>
          <w:rFonts w:ascii="Segoe UI"/>
          <w:i/>
          <w:color w:val="231F20"/>
          <w:sz w:val="20"/>
        </w:rPr>
        <w:t>Selected</w:t>
      </w:r>
      <w:r>
        <w:rPr>
          <w:rFonts w:ascii="Segoe UI"/>
          <w:i/>
          <w:color w:val="231F20"/>
          <w:spacing w:val="-3"/>
          <w:sz w:val="20"/>
        </w:rPr>
        <w:t> </w:t>
      </w:r>
      <w:r>
        <w:rPr>
          <w:rFonts w:ascii="Segoe UI"/>
          <w:i/>
          <w:color w:val="231F20"/>
          <w:spacing w:val="-1"/>
          <w:sz w:val="20"/>
        </w:rPr>
        <w:t>Indigenous</w:t>
      </w:r>
      <w:r>
        <w:rPr>
          <w:rFonts w:ascii="Segoe UI"/>
          <w:i/>
          <w:color w:val="231F20"/>
          <w:spacing w:val="-2"/>
          <w:sz w:val="20"/>
        </w:rPr>
        <w:t> </w:t>
      </w:r>
      <w:r>
        <w:rPr>
          <w:rFonts w:ascii="Segoe UI"/>
          <w:i/>
          <w:color w:val="231F20"/>
          <w:spacing w:val="-1"/>
          <w:sz w:val="20"/>
        </w:rPr>
        <w:t>Boarding</w:t>
      </w:r>
      <w:r>
        <w:rPr>
          <w:rFonts w:ascii="Segoe UI"/>
          <w:i/>
          <w:color w:val="231F20"/>
          <w:spacing w:val="-3"/>
          <w:sz w:val="20"/>
        </w:rPr>
        <w:t> </w:t>
      </w:r>
      <w:r>
        <w:rPr>
          <w:rFonts w:ascii="Segoe UI"/>
          <w:i/>
          <w:color w:val="231F20"/>
          <w:sz w:val="20"/>
        </w:rPr>
        <w:t>Schools</w:t>
      </w:r>
      <w:r>
        <w:rPr>
          <w:rFonts w:ascii="Segoe UI"/>
          <w:color w:val="231F20"/>
          <w:sz w:val="20"/>
        </w:rPr>
        <w:t>,</w:t>
      </w:r>
      <w:r>
        <w:rPr>
          <w:rFonts w:ascii="Segoe UI"/>
          <w:color w:val="231F20"/>
          <w:spacing w:val="-2"/>
          <w:sz w:val="20"/>
        </w:rPr>
        <w:t> </w:t>
      </w:r>
      <w:r>
        <w:rPr>
          <w:rFonts w:ascii="Segoe UI"/>
          <w:color w:val="231F20"/>
          <w:spacing w:val="-1"/>
          <w:sz w:val="20"/>
        </w:rPr>
        <w:t>2013</w:t>
      </w:r>
      <w:r>
        <w:rPr>
          <w:rFonts w:ascii="Segoe UI"/>
          <w:color w:val="231F20"/>
          <w:spacing w:val="27"/>
          <w:sz w:val="20"/>
        </w:rPr>
        <w:t> </w:t>
      </w:r>
      <w:r>
        <w:rPr>
          <w:rFonts w:ascii="Segoe UI"/>
          <w:color w:val="231F20"/>
          <w:sz w:val="20"/>
        </w:rPr>
        <w:t>(Deloitte,</w:t>
      </w:r>
      <w:r>
        <w:rPr>
          <w:rFonts w:ascii="Segoe UI"/>
          <w:color w:val="231F20"/>
          <w:spacing w:val="-10"/>
          <w:sz w:val="20"/>
        </w:rPr>
        <w:t> </w:t>
      </w:r>
      <w:r>
        <w:rPr>
          <w:rFonts w:ascii="Segoe UI"/>
          <w:color w:val="231F20"/>
          <w:sz w:val="20"/>
        </w:rPr>
        <w:t>2013)</w:t>
      </w:r>
      <w:r>
        <w:rPr>
          <w:rFonts w:ascii="Segoe UI"/>
          <w:sz w:val="20"/>
        </w:rPr>
      </w:r>
    </w:p>
    <w:p>
      <w:pPr>
        <w:spacing w:line="250" w:lineRule="exact" w:before="113"/>
        <w:ind w:left="100" w:right="104" w:firstLine="0"/>
        <w:jc w:val="left"/>
        <w:rPr>
          <w:rFonts w:ascii="Segoe UI" w:hAnsi="Segoe UI" w:cs="Segoe UI" w:eastAsia="Segoe UI"/>
          <w:sz w:val="20"/>
          <w:szCs w:val="20"/>
        </w:rPr>
      </w:pPr>
      <w:r>
        <w:rPr>
          <w:rFonts w:ascii="Segoe UI"/>
          <w:color w:val="231F20"/>
          <w:sz w:val="20"/>
        </w:rPr>
        <w:t>Guenther,</w:t>
      </w:r>
      <w:r>
        <w:rPr>
          <w:rFonts w:ascii="Segoe UI"/>
          <w:color w:val="231F20"/>
          <w:spacing w:val="-5"/>
          <w:sz w:val="20"/>
        </w:rPr>
        <w:t> </w:t>
      </w:r>
      <w:r>
        <w:rPr>
          <w:rFonts w:ascii="Segoe UI"/>
          <w:color w:val="231F20"/>
          <w:sz w:val="20"/>
        </w:rPr>
        <w:t>John,</w:t>
      </w:r>
      <w:r>
        <w:rPr>
          <w:rFonts w:ascii="Segoe UI"/>
          <w:color w:val="231F20"/>
          <w:spacing w:val="-5"/>
          <w:sz w:val="20"/>
        </w:rPr>
        <w:t> </w:t>
      </w:r>
      <w:r>
        <w:rPr>
          <w:rFonts w:ascii="Segoe UI"/>
          <w:i/>
          <w:color w:val="231F20"/>
          <w:spacing w:val="-1"/>
          <w:sz w:val="20"/>
        </w:rPr>
        <w:t>Boarding</w:t>
      </w:r>
      <w:r>
        <w:rPr>
          <w:rFonts w:ascii="Segoe UI"/>
          <w:i/>
          <w:color w:val="231F20"/>
          <w:spacing w:val="-4"/>
          <w:sz w:val="20"/>
        </w:rPr>
        <w:t> </w:t>
      </w:r>
      <w:r>
        <w:rPr>
          <w:rFonts w:ascii="Segoe UI"/>
          <w:i/>
          <w:color w:val="231F20"/>
          <w:spacing w:val="-1"/>
          <w:sz w:val="20"/>
        </w:rPr>
        <w:t>school</w:t>
      </w:r>
      <w:r>
        <w:rPr>
          <w:rFonts w:ascii="Segoe UI"/>
          <w:i/>
          <w:color w:val="231F20"/>
          <w:spacing w:val="-4"/>
          <w:sz w:val="20"/>
        </w:rPr>
        <w:t> </w:t>
      </w:r>
      <w:r>
        <w:rPr>
          <w:rFonts w:ascii="Segoe UI"/>
          <w:i/>
          <w:color w:val="231F20"/>
          <w:sz w:val="20"/>
        </w:rPr>
        <w:t>for</w:t>
      </w:r>
      <w:r>
        <w:rPr>
          <w:rFonts w:ascii="Segoe UI"/>
          <w:i/>
          <w:color w:val="231F20"/>
          <w:spacing w:val="-5"/>
          <w:sz w:val="20"/>
        </w:rPr>
        <w:t> </w:t>
      </w:r>
      <w:r>
        <w:rPr>
          <w:rFonts w:ascii="Segoe UI"/>
          <w:i/>
          <w:color w:val="231F20"/>
          <w:sz w:val="20"/>
        </w:rPr>
        <w:t>remote</w:t>
      </w:r>
      <w:r>
        <w:rPr>
          <w:rFonts w:ascii="Segoe UI"/>
          <w:i/>
          <w:color w:val="231F20"/>
          <w:spacing w:val="27"/>
          <w:w w:val="99"/>
          <w:sz w:val="20"/>
        </w:rPr>
        <w:t> </w:t>
      </w:r>
      <w:r>
        <w:rPr>
          <w:rFonts w:ascii="Segoe UI"/>
          <w:i/>
          <w:color w:val="231F20"/>
          <w:sz w:val="20"/>
        </w:rPr>
        <w:t>Aboriginal</w:t>
      </w:r>
      <w:r>
        <w:rPr>
          <w:rFonts w:ascii="Segoe UI"/>
          <w:i/>
          <w:color w:val="231F20"/>
          <w:spacing w:val="-5"/>
          <w:sz w:val="20"/>
        </w:rPr>
        <w:t> </w:t>
      </w:r>
      <w:r>
        <w:rPr>
          <w:rFonts w:ascii="Segoe UI"/>
          <w:i/>
          <w:color w:val="231F20"/>
          <w:sz w:val="20"/>
        </w:rPr>
        <w:t>and</w:t>
      </w:r>
      <w:r>
        <w:rPr>
          <w:rFonts w:ascii="Segoe UI"/>
          <w:i/>
          <w:color w:val="231F20"/>
          <w:spacing w:val="-4"/>
          <w:sz w:val="20"/>
        </w:rPr>
        <w:t> </w:t>
      </w:r>
      <w:r>
        <w:rPr>
          <w:rFonts w:ascii="Segoe UI"/>
          <w:i/>
          <w:color w:val="231F20"/>
          <w:spacing w:val="-5"/>
          <w:sz w:val="20"/>
        </w:rPr>
        <w:t>T</w:t>
      </w:r>
      <w:r>
        <w:rPr>
          <w:rFonts w:ascii="Segoe UI"/>
          <w:i/>
          <w:color w:val="231F20"/>
          <w:spacing w:val="-4"/>
          <w:sz w:val="20"/>
        </w:rPr>
        <w:t>orr</w:t>
      </w:r>
      <w:r>
        <w:rPr>
          <w:rFonts w:ascii="Segoe UI"/>
          <w:i/>
          <w:color w:val="231F20"/>
          <w:spacing w:val="-5"/>
          <w:sz w:val="20"/>
        </w:rPr>
        <w:t>es </w:t>
      </w:r>
      <w:r>
        <w:rPr>
          <w:rFonts w:ascii="Segoe UI"/>
          <w:i/>
          <w:color w:val="231F20"/>
          <w:spacing w:val="-1"/>
          <w:sz w:val="20"/>
        </w:rPr>
        <w:t>Strait</w:t>
      </w:r>
      <w:r>
        <w:rPr>
          <w:rFonts w:ascii="Segoe UI"/>
          <w:i/>
          <w:color w:val="231F20"/>
          <w:spacing w:val="-4"/>
          <w:sz w:val="20"/>
        </w:rPr>
        <w:t> </w:t>
      </w:r>
      <w:r>
        <w:rPr>
          <w:rFonts w:ascii="Segoe UI"/>
          <w:i/>
          <w:color w:val="231F20"/>
          <w:spacing w:val="-1"/>
          <w:sz w:val="20"/>
        </w:rPr>
        <w:t>Islander</w:t>
      </w:r>
      <w:r>
        <w:rPr>
          <w:rFonts w:ascii="Segoe UI"/>
          <w:i/>
          <w:color w:val="231F20"/>
          <w:spacing w:val="-3"/>
          <w:sz w:val="20"/>
        </w:rPr>
        <w:t> </w:t>
      </w:r>
      <w:r>
        <w:rPr>
          <w:rFonts w:ascii="Segoe UI"/>
          <w:i/>
          <w:color w:val="231F20"/>
          <w:sz w:val="20"/>
        </w:rPr>
        <w:t>students</w:t>
      </w:r>
      <w:r>
        <w:rPr>
          <w:rFonts w:ascii="Segoe UI"/>
          <w:i/>
          <w:color w:val="231F20"/>
          <w:spacing w:val="28"/>
          <w:sz w:val="20"/>
        </w:rPr>
        <w:t> </w:t>
      </w:r>
      <w:r>
        <w:rPr>
          <w:rFonts w:ascii="Segoe UI"/>
          <w:i/>
          <w:color w:val="231F20"/>
          <w:sz w:val="20"/>
        </w:rPr>
        <w:t>can </w:t>
      </w:r>
      <w:r>
        <w:rPr>
          <w:rFonts w:ascii="Segoe UI"/>
          <w:i/>
          <w:color w:val="231F20"/>
          <w:spacing w:val="-1"/>
          <w:sz w:val="20"/>
        </w:rPr>
        <w:t>have</w:t>
      </w:r>
      <w:r>
        <w:rPr>
          <w:rFonts w:ascii="Segoe UI"/>
          <w:i/>
          <w:color w:val="231F20"/>
          <w:sz w:val="20"/>
        </w:rPr>
        <w:t> very damaging effects: new </w:t>
      </w:r>
      <w:r>
        <w:rPr>
          <w:rFonts w:ascii="Segoe UI"/>
          <w:i/>
          <w:color w:val="231F20"/>
          <w:spacing w:val="-1"/>
          <w:sz w:val="20"/>
        </w:rPr>
        <w:t>evidence-</w:t>
      </w:r>
      <w:r>
        <w:rPr>
          <w:rFonts w:ascii="Segoe UI"/>
          <w:i/>
          <w:color w:val="231F20"/>
          <w:spacing w:val="22"/>
          <w:sz w:val="20"/>
        </w:rPr>
        <w:t> </w:t>
      </w:r>
      <w:r>
        <w:rPr>
          <w:rFonts w:ascii="Segoe UI"/>
          <w:i/>
          <w:color w:val="231F20"/>
          <w:spacing w:val="-1"/>
          <w:sz w:val="20"/>
        </w:rPr>
        <w:t>based</w:t>
      </w:r>
      <w:r>
        <w:rPr>
          <w:rFonts w:ascii="Segoe UI"/>
          <w:i/>
          <w:color w:val="231F20"/>
          <w:spacing w:val="-18"/>
          <w:sz w:val="20"/>
        </w:rPr>
        <w:t> </w:t>
      </w:r>
      <w:r>
        <w:rPr>
          <w:rFonts w:ascii="Segoe UI"/>
          <w:i/>
          <w:color w:val="231F20"/>
          <w:spacing w:val="-1"/>
          <w:sz w:val="20"/>
        </w:rPr>
        <w:t>research,</w:t>
      </w:r>
      <w:r>
        <w:rPr>
          <w:rFonts w:ascii="Segoe UI"/>
          <w:i/>
          <w:color w:val="231F20"/>
          <w:spacing w:val="-17"/>
          <w:sz w:val="20"/>
        </w:rPr>
        <w:t> </w:t>
      </w:r>
      <w:hyperlink r:id="rId100">
        <w:r>
          <w:rPr>
            <w:rFonts w:ascii="Segoe UI"/>
            <w:color w:val="231F20"/>
            <w:sz w:val="20"/>
          </w:rPr>
          <w:t>https://www.aare.edu.au/</w:t>
        </w:r>
      </w:hyperlink>
      <w:r>
        <w:rPr>
          <w:rFonts w:ascii="Segoe UI"/>
          <w:color w:val="231F20"/>
          <w:spacing w:val="29"/>
          <w:w w:val="99"/>
          <w:sz w:val="20"/>
        </w:rPr>
        <w:t> </w:t>
      </w:r>
      <w:r>
        <w:rPr>
          <w:rFonts w:ascii="Segoe UI"/>
          <w:color w:val="231F20"/>
          <w:sz w:val="20"/>
        </w:rPr>
        <w:t>blog/?tag=john-guenther,</w:t>
      </w:r>
      <w:r>
        <w:rPr>
          <w:rFonts w:ascii="Segoe UI"/>
          <w:color w:val="231F20"/>
          <w:spacing w:val="-11"/>
          <w:sz w:val="20"/>
        </w:rPr>
        <w:t> </w:t>
      </w:r>
      <w:r>
        <w:rPr>
          <w:rFonts w:ascii="Segoe UI"/>
          <w:color w:val="231F20"/>
          <w:sz w:val="20"/>
        </w:rPr>
        <w:t>accessed</w:t>
      </w:r>
      <w:r>
        <w:rPr>
          <w:rFonts w:ascii="Segoe UI"/>
          <w:color w:val="231F20"/>
          <w:spacing w:val="-11"/>
          <w:sz w:val="20"/>
        </w:rPr>
        <w:t> </w:t>
      </w:r>
      <w:r>
        <w:rPr>
          <w:rFonts w:ascii="Segoe UI"/>
          <w:color w:val="231F20"/>
          <w:spacing w:val="-1"/>
          <w:sz w:val="20"/>
        </w:rPr>
        <w:t>in</w:t>
      </w:r>
      <w:r>
        <w:rPr>
          <w:rFonts w:ascii="Segoe UI"/>
          <w:color w:val="231F20"/>
          <w:spacing w:val="-10"/>
          <w:sz w:val="20"/>
        </w:rPr>
        <w:t> </w:t>
      </w:r>
      <w:r>
        <w:rPr>
          <w:rFonts w:ascii="Segoe UI"/>
          <w:color w:val="231F20"/>
          <w:sz w:val="20"/>
        </w:rPr>
        <w:t>January</w:t>
      </w:r>
      <w:r>
        <w:rPr>
          <w:rFonts w:ascii="Segoe UI"/>
          <w:color w:val="231F20"/>
          <w:spacing w:val="21"/>
          <w:w w:val="99"/>
          <w:sz w:val="20"/>
        </w:rPr>
        <w:t> </w:t>
      </w:r>
      <w:r>
        <w:rPr>
          <w:rFonts w:ascii="Segoe UI"/>
          <w:color w:val="231F20"/>
          <w:sz w:val="20"/>
        </w:rPr>
        <w:t>2019</w:t>
      </w:r>
      <w:r>
        <w:rPr>
          <w:rFonts w:ascii="Segoe UI"/>
          <w:sz w:val="20"/>
        </w:rPr>
      </w:r>
    </w:p>
    <w:p>
      <w:pPr>
        <w:spacing w:line="250" w:lineRule="exact" w:before="62"/>
        <w:ind w:left="100" w:right="132" w:firstLine="0"/>
        <w:jc w:val="left"/>
        <w:rPr>
          <w:rFonts w:ascii="Segoe UI" w:hAnsi="Segoe UI" w:cs="Segoe UI" w:eastAsia="Segoe UI"/>
          <w:sz w:val="20"/>
          <w:szCs w:val="20"/>
        </w:rPr>
      </w:pPr>
      <w:r>
        <w:rPr/>
        <w:br w:type="column"/>
      </w:r>
      <w:r>
        <w:rPr>
          <w:rFonts w:ascii="Segoe UI"/>
          <w:color w:val="231F20"/>
          <w:sz w:val="20"/>
        </w:rPr>
        <w:t>Guenther</w:t>
      </w:r>
      <w:r>
        <w:rPr>
          <w:rFonts w:ascii="Segoe UI"/>
          <w:color w:val="231F20"/>
          <w:spacing w:val="-4"/>
          <w:sz w:val="20"/>
        </w:rPr>
        <w:t> </w:t>
      </w:r>
      <w:r>
        <w:rPr>
          <w:rFonts w:ascii="Segoe UI"/>
          <w:color w:val="231F20"/>
          <w:sz w:val="20"/>
        </w:rPr>
        <w:t>J,</w:t>
      </w:r>
      <w:r>
        <w:rPr>
          <w:rFonts w:ascii="Segoe UI"/>
          <w:color w:val="231F20"/>
          <w:spacing w:val="-4"/>
          <w:sz w:val="20"/>
        </w:rPr>
        <w:t> </w:t>
      </w:r>
      <w:r>
        <w:rPr>
          <w:rFonts w:ascii="Segoe UI"/>
          <w:color w:val="231F20"/>
          <w:spacing w:val="-1"/>
          <w:sz w:val="20"/>
        </w:rPr>
        <w:t>Disbray</w:t>
      </w:r>
      <w:r>
        <w:rPr>
          <w:rFonts w:ascii="Segoe UI"/>
          <w:color w:val="231F20"/>
          <w:spacing w:val="-4"/>
          <w:sz w:val="20"/>
        </w:rPr>
        <w:t> </w:t>
      </w:r>
      <w:r>
        <w:rPr>
          <w:rFonts w:ascii="Segoe UI"/>
          <w:color w:val="231F20"/>
          <w:sz w:val="20"/>
        </w:rPr>
        <w:t>S</w:t>
      </w:r>
      <w:r>
        <w:rPr>
          <w:rFonts w:ascii="Segoe UI"/>
          <w:color w:val="231F20"/>
          <w:spacing w:val="-5"/>
          <w:sz w:val="20"/>
        </w:rPr>
        <w:t> </w:t>
      </w:r>
      <w:r>
        <w:rPr>
          <w:rFonts w:ascii="Segoe UI"/>
          <w:color w:val="231F20"/>
          <w:sz w:val="20"/>
        </w:rPr>
        <w:t>and</w:t>
      </w:r>
      <w:r>
        <w:rPr>
          <w:rFonts w:ascii="Segoe UI"/>
          <w:color w:val="231F20"/>
          <w:spacing w:val="-5"/>
          <w:sz w:val="20"/>
        </w:rPr>
        <w:t> </w:t>
      </w:r>
      <w:r>
        <w:rPr>
          <w:rFonts w:ascii="Segoe UI"/>
          <w:color w:val="231F20"/>
          <w:sz w:val="20"/>
        </w:rPr>
        <w:t>Osborne</w:t>
      </w:r>
      <w:r>
        <w:rPr>
          <w:rFonts w:ascii="Segoe UI"/>
          <w:color w:val="231F20"/>
          <w:spacing w:val="-5"/>
          <w:sz w:val="20"/>
        </w:rPr>
        <w:t> </w:t>
      </w:r>
      <w:r>
        <w:rPr>
          <w:rFonts w:ascii="Segoe UI"/>
          <w:color w:val="231F20"/>
          <w:spacing w:val="-1"/>
          <w:sz w:val="20"/>
        </w:rPr>
        <w:t>S,</w:t>
      </w:r>
      <w:r>
        <w:rPr>
          <w:rFonts w:ascii="Segoe UI"/>
          <w:color w:val="231F20"/>
          <w:spacing w:val="-5"/>
          <w:sz w:val="20"/>
        </w:rPr>
        <w:t> </w:t>
      </w:r>
      <w:r>
        <w:rPr>
          <w:rFonts w:ascii="Segoe UI"/>
          <w:i/>
          <w:color w:val="231F20"/>
          <w:spacing w:val="-2"/>
          <w:sz w:val="20"/>
        </w:rPr>
        <w:t>Red</w:t>
      </w:r>
      <w:r>
        <w:rPr>
          <w:rFonts w:ascii="Segoe UI"/>
          <w:i/>
          <w:color w:val="231F20"/>
          <w:spacing w:val="-5"/>
          <w:sz w:val="20"/>
        </w:rPr>
        <w:t> </w:t>
      </w:r>
      <w:r>
        <w:rPr>
          <w:rFonts w:ascii="Segoe UI"/>
          <w:i/>
          <w:color w:val="231F20"/>
          <w:sz w:val="20"/>
        </w:rPr>
        <w:t>dirt</w:t>
      </w:r>
      <w:r>
        <w:rPr>
          <w:rFonts w:ascii="Segoe UI"/>
          <w:i/>
          <w:color w:val="231F20"/>
          <w:spacing w:val="26"/>
          <w:sz w:val="20"/>
        </w:rPr>
        <w:t> </w:t>
      </w:r>
      <w:r>
        <w:rPr>
          <w:rFonts w:ascii="Segoe UI"/>
          <w:i/>
          <w:color w:val="231F20"/>
          <w:sz w:val="20"/>
        </w:rPr>
        <w:t>education:</w:t>
      </w:r>
      <w:r>
        <w:rPr>
          <w:rFonts w:ascii="Segoe UI"/>
          <w:i/>
          <w:color w:val="231F20"/>
          <w:spacing w:val="-7"/>
          <w:sz w:val="20"/>
        </w:rPr>
        <w:t> </w:t>
      </w:r>
      <w:r>
        <w:rPr>
          <w:rFonts w:ascii="Segoe UI"/>
          <w:i/>
          <w:color w:val="231F20"/>
          <w:sz w:val="20"/>
        </w:rPr>
        <w:t>a</w:t>
      </w:r>
      <w:r>
        <w:rPr>
          <w:rFonts w:ascii="Segoe UI"/>
          <w:i/>
          <w:color w:val="231F20"/>
          <w:spacing w:val="-6"/>
          <w:sz w:val="20"/>
        </w:rPr>
        <w:t> </w:t>
      </w:r>
      <w:r>
        <w:rPr>
          <w:rFonts w:ascii="Segoe UI"/>
          <w:i/>
          <w:color w:val="231F20"/>
          <w:spacing w:val="-1"/>
          <w:sz w:val="20"/>
        </w:rPr>
        <w:t>compilation</w:t>
      </w:r>
      <w:r>
        <w:rPr>
          <w:rFonts w:ascii="Segoe UI"/>
          <w:i/>
          <w:color w:val="231F20"/>
          <w:spacing w:val="-6"/>
          <w:sz w:val="20"/>
        </w:rPr>
        <w:t> </w:t>
      </w:r>
      <w:r>
        <w:rPr>
          <w:rFonts w:ascii="Segoe UI"/>
          <w:i/>
          <w:color w:val="231F20"/>
          <w:spacing w:val="-2"/>
          <w:sz w:val="20"/>
        </w:rPr>
        <w:t>of</w:t>
      </w:r>
      <w:r>
        <w:rPr>
          <w:rFonts w:ascii="Segoe UI"/>
          <w:i/>
          <w:color w:val="231F20"/>
          <w:spacing w:val="-6"/>
          <w:sz w:val="20"/>
        </w:rPr>
        <w:t> </w:t>
      </w:r>
      <w:r>
        <w:rPr>
          <w:rFonts w:ascii="Segoe UI"/>
          <w:i/>
          <w:color w:val="231F20"/>
          <w:sz w:val="20"/>
        </w:rPr>
        <w:t>learnings</w:t>
      </w:r>
      <w:r>
        <w:rPr>
          <w:rFonts w:ascii="Segoe UI"/>
          <w:i/>
          <w:color w:val="231F20"/>
          <w:spacing w:val="-7"/>
          <w:sz w:val="20"/>
        </w:rPr>
        <w:t> </w:t>
      </w:r>
      <w:r>
        <w:rPr>
          <w:rFonts w:ascii="Segoe UI"/>
          <w:i/>
          <w:color w:val="231F20"/>
          <w:spacing w:val="-1"/>
          <w:sz w:val="20"/>
        </w:rPr>
        <w:t>from</w:t>
      </w:r>
      <w:r>
        <w:rPr>
          <w:rFonts w:ascii="Segoe UI"/>
          <w:sz w:val="20"/>
        </w:rPr>
      </w:r>
    </w:p>
    <w:p>
      <w:pPr>
        <w:pStyle w:val="BodyText"/>
        <w:spacing w:line="250" w:lineRule="exact"/>
        <w:ind w:left="100" w:right="374"/>
        <w:jc w:val="left"/>
      </w:pPr>
      <w:r>
        <w:rPr>
          <w:rFonts w:ascii="Segoe UI"/>
          <w:i/>
          <w:color w:val="231F20"/>
          <w:spacing w:val="-1"/>
        </w:rPr>
        <w:t>the</w:t>
      </w:r>
      <w:r>
        <w:rPr>
          <w:rFonts w:ascii="Segoe UI"/>
          <w:i/>
          <w:color w:val="231F20"/>
          <w:spacing w:val="-2"/>
        </w:rPr>
        <w:t> </w:t>
      </w:r>
      <w:r>
        <w:rPr>
          <w:rFonts w:ascii="Segoe UI"/>
          <w:i/>
          <w:color w:val="231F20"/>
          <w:spacing w:val="-1"/>
        </w:rPr>
        <w:t>Remote </w:t>
      </w:r>
      <w:r>
        <w:rPr>
          <w:rFonts w:ascii="Segoe UI"/>
          <w:i/>
          <w:color w:val="231F20"/>
        </w:rPr>
        <w:t>Education</w:t>
      </w:r>
      <w:r>
        <w:rPr>
          <w:rFonts w:ascii="Segoe UI"/>
          <w:i/>
          <w:color w:val="231F20"/>
          <w:spacing w:val="-2"/>
        </w:rPr>
        <w:t> </w:t>
      </w:r>
      <w:r>
        <w:rPr>
          <w:rFonts w:ascii="Segoe UI"/>
          <w:i/>
          <w:color w:val="231F20"/>
          <w:spacing w:val="-1"/>
        </w:rPr>
        <w:t>Systems</w:t>
      </w:r>
      <w:r>
        <w:rPr>
          <w:rFonts w:ascii="Segoe UI"/>
          <w:i/>
          <w:color w:val="231F20"/>
          <w:spacing w:val="-2"/>
        </w:rPr>
        <w:t> </w:t>
      </w:r>
      <w:r>
        <w:rPr>
          <w:rFonts w:ascii="Segoe UI"/>
          <w:i/>
          <w:color w:val="231F20"/>
          <w:spacing w:val="-1"/>
        </w:rPr>
        <w:t>project</w:t>
      </w:r>
      <w:r>
        <w:rPr>
          <w:color w:val="231F20"/>
          <w:spacing w:val="-1"/>
        </w:rPr>
        <w:t>, </w:t>
      </w:r>
      <w:r>
        <w:rPr>
          <w:color w:val="231F20"/>
        </w:rPr>
        <w:t>Ninti</w:t>
      </w:r>
      <w:r>
        <w:rPr>
          <w:color w:val="231F20"/>
          <w:spacing w:val="27"/>
        </w:rPr>
        <w:t> </w:t>
      </w:r>
      <w:r>
        <w:rPr>
          <w:color w:val="231F20"/>
        </w:rPr>
        <w:t>One</w:t>
      </w:r>
      <w:r>
        <w:rPr>
          <w:color w:val="231F20"/>
          <w:spacing w:val="-7"/>
        </w:rPr>
        <w:t> </w:t>
      </w:r>
      <w:r>
        <w:rPr>
          <w:color w:val="231F20"/>
        </w:rPr>
        <w:t>Limited,</w:t>
      </w:r>
      <w:r>
        <w:rPr>
          <w:color w:val="231F20"/>
          <w:spacing w:val="-6"/>
        </w:rPr>
        <w:t> </w:t>
      </w:r>
      <w:r>
        <w:rPr>
          <w:color w:val="231F20"/>
        </w:rPr>
        <w:t>Alice</w:t>
      </w:r>
      <w:r>
        <w:rPr>
          <w:color w:val="231F20"/>
          <w:spacing w:val="-6"/>
        </w:rPr>
        <w:t> </w:t>
      </w:r>
      <w:r>
        <w:rPr>
          <w:color w:val="231F20"/>
          <w:spacing w:val="-1"/>
        </w:rPr>
        <w:t>Springs,</w:t>
      </w:r>
      <w:r>
        <w:rPr>
          <w:color w:val="231F20"/>
          <w:spacing w:val="-5"/>
        </w:rPr>
        <w:t> </w:t>
      </w:r>
      <w:r>
        <w:rPr>
          <w:color w:val="231F20"/>
          <w:spacing w:val="-1"/>
        </w:rPr>
        <w:t>2017,</w:t>
      </w:r>
      <w:r>
        <w:rPr>
          <w:color w:val="231F20"/>
          <w:spacing w:val="-5"/>
        </w:rPr>
        <w:t> </w:t>
      </w:r>
      <w:r>
        <w:rPr>
          <w:color w:val="231F20"/>
        </w:rPr>
        <w:t>retrieved</w:t>
      </w:r>
      <w:r>
        <w:rPr>
          <w:color w:val="231F20"/>
          <w:spacing w:val="23"/>
          <w:w w:val="99"/>
        </w:rPr>
        <w:t> </w:t>
      </w:r>
      <w:r>
        <w:rPr>
          <w:color w:val="231F20"/>
          <w:w w:val="95"/>
        </w:rPr>
        <w:t>from</w:t>
      </w:r>
      <w:r>
        <w:rPr>
          <w:color w:val="231F20"/>
          <w:w w:val="95"/>
        </w:rPr>
        <w:t>  </w:t>
      </w:r>
      <w:r>
        <w:rPr>
          <w:color w:val="231F20"/>
          <w:spacing w:val="46"/>
          <w:w w:val="95"/>
        </w:rPr>
        <w:t> </w:t>
      </w:r>
      <w:hyperlink r:id="rId24">
        <w:r>
          <w:rPr>
            <w:color w:val="231F20"/>
            <w:w w:val="95"/>
          </w:rPr>
          <w:t>http://www.crc-rep.com.au/resource/</w:t>
        </w:r>
      </w:hyperlink>
      <w:r>
        <w:rPr>
          <w:color w:val="231F20"/>
          <w:w w:val="99"/>
        </w:rPr>
        <w:t> </w:t>
      </w:r>
      <w:r>
        <w:rPr>
          <w:color w:val="231F20"/>
          <w:spacing w:val="-1"/>
        </w:rPr>
        <w:t>RedDirtEducation_CompilationLearningsRES_</w:t>
      </w:r>
      <w:r>
        <w:rPr>
          <w:color w:val="231F20"/>
          <w:spacing w:val="70"/>
          <w:w w:val="99"/>
        </w:rPr>
        <w:t> </w:t>
      </w:r>
      <w:r>
        <w:rPr>
          <w:color w:val="231F20"/>
        </w:rPr>
        <w:t>EBook.pdf</w:t>
      </w:r>
      <w:r>
        <w:rPr/>
      </w:r>
    </w:p>
    <w:p>
      <w:pPr>
        <w:spacing w:line="250" w:lineRule="exact" w:before="113"/>
        <w:ind w:left="100" w:right="188" w:firstLine="0"/>
        <w:jc w:val="left"/>
        <w:rPr>
          <w:rFonts w:ascii="Segoe UI" w:hAnsi="Segoe UI" w:cs="Segoe UI" w:eastAsia="Segoe UI"/>
          <w:sz w:val="20"/>
          <w:szCs w:val="20"/>
        </w:rPr>
      </w:pPr>
      <w:r>
        <w:rPr>
          <w:rFonts w:ascii="Segoe UI"/>
          <w:color w:val="231F20"/>
          <w:sz w:val="20"/>
        </w:rPr>
        <w:t>Guenther,</w:t>
      </w:r>
      <w:r>
        <w:rPr>
          <w:rFonts w:ascii="Segoe UI"/>
          <w:color w:val="231F20"/>
          <w:spacing w:val="-10"/>
          <w:sz w:val="20"/>
        </w:rPr>
        <w:t> </w:t>
      </w:r>
      <w:r>
        <w:rPr>
          <w:rFonts w:ascii="Segoe UI"/>
          <w:color w:val="231F20"/>
          <w:sz w:val="20"/>
        </w:rPr>
        <w:t>John;</w:t>
      </w:r>
      <w:r>
        <w:rPr>
          <w:rFonts w:ascii="Segoe UI"/>
          <w:color w:val="231F20"/>
          <w:spacing w:val="-10"/>
          <w:sz w:val="20"/>
        </w:rPr>
        <w:t> </w:t>
      </w:r>
      <w:r>
        <w:rPr>
          <w:rFonts w:ascii="Segoe UI"/>
          <w:color w:val="231F20"/>
          <w:spacing w:val="-1"/>
          <w:sz w:val="20"/>
        </w:rPr>
        <w:t>Redman-MacLaren,</w:t>
      </w:r>
      <w:r>
        <w:rPr>
          <w:rFonts w:ascii="Segoe UI"/>
          <w:color w:val="231F20"/>
          <w:spacing w:val="-10"/>
          <w:sz w:val="20"/>
        </w:rPr>
        <w:t> </w:t>
      </w:r>
      <w:r>
        <w:rPr>
          <w:rFonts w:ascii="Segoe UI"/>
          <w:color w:val="231F20"/>
          <w:sz w:val="20"/>
        </w:rPr>
        <w:t>Michelle;</w:t>
      </w:r>
      <w:r>
        <w:rPr>
          <w:rFonts w:ascii="Segoe UI"/>
          <w:color w:val="231F20"/>
          <w:spacing w:val="29"/>
          <w:sz w:val="20"/>
        </w:rPr>
        <w:t> </w:t>
      </w:r>
      <w:r>
        <w:rPr>
          <w:rFonts w:ascii="Segoe UI"/>
          <w:color w:val="231F20"/>
          <w:sz w:val="20"/>
        </w:rPr>
        <w:t>Mander,</w:t>
      </w:r>
      <w:r>
        <w:rPr>
          <w:rFonts w:ascii="Segoe UI"/>
          <w:color w:val="231F20"/>
          <w:spacing w:val="-9"/>
          <w:sz w:val="20"/>
        </w:rPr>
        <w:t> </w:t>
      </w:r>
      <w:r>
        <w:rPr>
          <w:rFonts w:ascii="Segoe UI"/>
          <w:color w:val="231F20"/>
          <w:spacing w:val="-1"/>
          <w:sz w:val="20"/>
        </w:rPr>
        <w:t>David;</w:t>
      </w:r>
      <w:r>
        <w:rPr>
          <w:rFonts w:ascii="Segoe UI"/>
          <w:color w:val="231F20"/>
          <w:spacing w:val="-9"/>
          <w:sz w:val="20"/>
        </w:rPr>
        <w:t> </w:t>
      </w:r>
      <w:r>
        <w:rPr>
          <w:rFonts w:ascii="Segoe UI"/>
          <w:color w:val="231F20"/>
          <w:spacing w:val="-1"/>
          <w:sz w:val="20"/>
        </w:rPr>
        <w:t>Stewart,</w:t>
      </w:r>
      <w:r>
        <w:rPr>
          <w:rFonts w:ascii="Segoe UI"/>
          <w:color w:val="231F20"/>
          <w:spacing w:val="-10"/>
          <w:sz w:val="20"/>
        </w:rPr>
        <w:t> </w:t>
      </w:r>
      <w:r>
        <w:rPr>
          <w:rFonts w:ascii="Segoe UI"/>
          <w:color w:val="231F20"/>
          <w:spacing w:val="-1"/>
          <w:sz w:val="20"/>
        </w:rPr>
        <w:t>Richard;</w:t>
      </w:r>
      <w:r>
        <w:rPr>
          <w:rFonts w:ascii="Segoe UI"/>
          <w:color w:val="231F20"/>
          <w:spacing w:val="-8"/>
          <w:sz w:val="20"/>
        </w:rPr>
        <w:t> </w:t>
      </w:r>
      <w:r>
        <w:rPr>
          <w:rFonts w:ascii="Segoe UI"/>
          <w:color w:val="231F20"/>
          <w:spacing w:val="-1"/>
          <w:sz w:val="20"/>
        </w:rPr>
        <w:t>Bobongie,</w:t>
      </w:r>
      <w:r>
        <w:rPr>
          <w:rFonts w:ascii="Segoe UI"/>
          <w:color w:val="231F20"/>
          <w:spacing w:val="23"/>
          <w:w w:val="99"/>
          <w:sz w:val="20"/>
        </w:rPr>
        <w:t> </w:t>
      </w:r>
      <w:r>
        <w:rPr>
          <w:rFonts w:ascii="Segoe UI"/>
          <w:color w:val="231F20"/>
          <w:spacing w:val="-1"/>
          <w:sz w:val="20"/>
        </w:rPr>
        <w:t>Francis;</w:t>
      </w:r>
      <w:r>
        <w:rPr>
          <w:rFonts w:ascii="Segoe UI"/>
          <w:color w:val="231F20"/>
          <w:spacing w:val="-8"/>
          <w:sz w:val="20"/>
        </w:rPr>
        <w:t> </w:t>
      </w:r>
      <w:r>
        <w:rPr>
          <w:rFonts w:ascii="Segoe UI"/>
          <w:color w:val="231F20"/>
          <w:sz w:val="20"/>
        </w:rPr>
        <w:t>McCalman,</w:t>
      </w:r>
      <w:r>
        <w:rPr>
          <w:rFonts w:ascii="Segoe UI"/>
          <w:color w:val="231F20"/>
          <w:spacing w:val="-9"/>
          <w:sz w:val="20"/>
        </w:rPr>
        <w:t> </w:t>
      </w:r>
      <w:r>
        <w:rPr>
          <w:rFonts w:ascii="Segoe UI"/>
          <w:color w:val="231F20"/>
          <w:sz w:val="20"/>
        </w:rPr>
        <w:t>Janya;</w:t>
      </w:r>
      <w:r>
        <w:rPr>
          <w:rFonts w:ascii="Segoe UI"/>
          <w:color w:val="231F20"/>
          <w:spacing w:val="-8"/>
          <w:sz w:val="20"/>
        </w:rPr>
        <w:t> </w:t>
      </w:r>
      <w:r>
        <w:rPr>
          <w:rFonts w:ascii="Segoe UI"/>
          <w:color w:val="231F20"/>
          <w:spacing w:val="-1"/>
          <w:sz w:val="20"/>
        </w:rPr>
        <w:t>Barrett,</w:t>
      </w:r>
      <w:r>
        <w:rPr>
          <w:rFonts w:ascii="Segoe UI"/>
          <w:color w:val="231F20"/>
          <w:spacing w:val="-8"/>
          <w:sz w:val="20"/>
        </w:rPr>
        <w:t> </w:t>
      </w:r>
      <w:r>
        <w:rPr>
          <w:rFonts w:ascii="Segoe UI"/>
          <w:color w:val="231F20"/>
          <w:spacing w:val="-2"/>
          <w:sz w:val="20"/>
        </w:rPr>
        <w:t>Peter;</w:t>
      </w:r>
      <w:r>
        <w:rPr>
          <w:rFonts w:ascii="Segoe UI"/>
          <w:color w:val="231F20"/>
          <w:spacing w:val="26"/>
          <w:w w:val="99"/>
          <w:sz w:val="20"/>
        </w:rPr>
        <w:t> </w:t>
      </w:r>
      <w:r>
        <w:rPr>
          <w:rFonts w:ascii="Segoe UI"/>
          <w:color w:val="231F20"/>
          <w:spacing w:val="-1"/>
          <w:sz w:val="20"/>
        </w:rPr>
        <w:t>Fogarty,</w:t>
      </w:r>
      <w:r>
        <w:rPr>
          <w:rFonts w:ascii="Segoe UI"/>
          <w:color w:val="231F20"/>
          <w:spacing w:val="-7"/>
          <w:sz w:val="20"/>
        </w:rPr>
        <w:t> </w:t>
      </w:r>
      <w:r>
        <w:rPr>
          <w:rFonts w:ascii="Segoe UI"/>
          <w:color w:val="231F20"/>
          <w:spacing w:val="-1"/>
          <w:sz w:val="20"/>
        </w:rPr>
        <w:t>Bill;</w:t>
      </w:r>
      <w:r>
        <w:rPr>
          <w:rFonts w:ascii="Segoe UI"/>
          <w:color w:val="231F20"/>
          <w:spacing w:val="-6"/>
          <w:sz w:val="20"/>
        </w:rPr>
        <w:t> </w:t>
      </w:r>
      <w:r>
        <w:rPr>
          <w:rFonts w:ascii="Segoe UI"/>
          <w:color w:val="231F20"/>
          <w:sz w:val="20"/>
        </w:rPr>
        <w:t>Milgate,</w:t>
      </w:r>
      <w:r>
        <w:rPr>
          <w:rFonts w:ascii="Segoe UI"/>
          <w:color w:val="231F20"/>
          <w:spacing w:val="-7"/>
          <w:sz w:val="20"/>
        </w:rPr>
        <w:t> </w:t>
      </w:r>
      <w:r>
        <w:rPr>
          <w:rFonts w:ascii="Segoe UI"/>
          <w:color w:val="231F20"/>
          <w:sz w:val="20"/>
        </w:rPr>
        <w:t>Gina;</w:t>
      </w:r>
      <w:r>
        <w:rPr>
          <w:rFonts w:ascii="Segoe UI"/>
          <w:color w:val="231F20"/>
          <w:spacing w:val="-6"/>
          <w:sz w:val="20"/>
        </w:rPr>
        <w:t> </w:t>
      </w:r>
      <w:r>
        <w:rPr>
          <w:rFonts w:ascii="Segoe UI"/>
          <w:color w:val="231F20"/>
          <w:sz w:val="20"/>
        </w:rPr>
        <w:t>Lloyd,</w:t>
      </w:r>
      <w:r>
        <w:rPr>
          <w:rFonts w:ascii="Segoe UI"/>
          <w:color w:val="231F20"/>
          <w:spacing w:val="-8"/>
          <w:sz w:val="20"/>
        </w:rPr>
        <w:t> </w:t>
      </w:r>
      <w:r>
        <w:rPr>
          <w:rFonts w:ascii="Segoe UI"/>
          <w:color w:val="231F20"/>
          <w:sz w:val="20"/>
        </w:rPr>
        <w:t>Andrew;</w:t>
      </w:r>
      <w:r>
        <w:rPr>
          <w:rFonts w:ascii="Segoe UI"/>
          <w:color w:val="231F20"/>
          <w:spacing w:val="23"/>
          <w:w w:val="99"/>
          <w:sz w:val="20"/>
        </w:rPr>
        <w:t> </w:t>
      </w:r>
      <w:r>
        <w:rPr>
          <w:rFonts w:ascii="Segoe UI"/>
          <w:color w:val="231F20"/>
          <w:sz w:val="20"/>
        </w:rPr>
        <w:t>O'Bryan,</w:t>
      </w:r>
      <w:r>
        <w:rPr>
          <w:rFonts w:ascii="Segoe UI"/>
          <w:color w:val="231F20"/>
          <w:spacing w:val="-7"/>
          <w:sz w:val="20"/>
        </w:rPr>
        <w:t> </w:t>
      </w:r>
      <w:r>
        <w:rPr>
          <w:rFonts w:ascii="Segoe UI"/>
          <w:color w:val="231F20"/>
          <w:sz w:val="20"/>
        </w:rPr>
        <w:t>Marnie;</w:t>
      </w:r>
      <w:r>
        <w:rPr>
          <w:rFonts w:ascii="Segoe UI"/>
          <w:color w:val="231F20"/>
          <w:spacing w:val="-5"/>
          <w:sz w:val="20"/>
        </w:rPr>
        <w:t> </w:t>
      </w:r>
      <w:r>
        <w:rPr>
          <w:rFonts w:ascii="Segoe UI"/>
          <w:color w:val="231F20"/>
          <w:sz w:val="20"/>
        </w:rPr>
        <w:t>Osborne,</w:t>
      </w:r>
      <w:r>
        <w:rPr>
          <w:rFonts w:ascii="Segoe UI"/>
          <w:color w:val="231F20"/>
          <w:spacing w:val="-6"/>
          <w:sz w:val="20"/>
        </w:rPr>
        <w:t> </w:t>
      </w:r>
      <w:r>
        <w:rPr>
          <w:rFonts w:ascii="Segoe UI"/>
          <w:color w:val="231F20"/>
          <w:spacing w:val="-1"/>
          <w:sz w:val="20"/>
        </w:rPr>
        <w:t>Sam</w:t>
      </w:r>
      <w:r>
        <w:rPr>
          <w:rFonts w:ascii="Segoe UI"/>
          <w:color w:val="231F20"/>
          <w:spacing w:val="-5"/>
          <w:sz w:val="20"/>
        </w:rPr>
        <w:t> </w:t>
      </w:r>
      <w:r>
        <w:rPr>
          <w:rFonts w:ascii="Segoe UI"/>
          <w:color w:val="231F20"/>
          <w:sz w:val="20"/>
        </w:rPr>
        <w:t>and</w:t>
      </w:r>
      <w:r>
        <w:rPr>
          <w:rFonts w:ascii="Segoe UI"/>
          <w:color w:val="231F20"/>
          <w:spacing w:val="-6"/>
          <w:sz w:val="20"/>
        </w:rPr>
        <w:t> </w:t>
      </w:r>
      <w:r>
        <w:rPr>
          <w:rFonts w:ascii="Segoe UI"/>
          <w:color w:val="231F20"/>
          <w:spacing w:val="-1"/>
          <w:sz w:val="20"/>
        </w:rPr>
        <w:t>Benveniste,</w:t>
      </w:r>
      <w:r>
        <w:rPr>
          <w:rFonts w:ascii="Segoe UI"/>
          <w:color w:val="231F20"/>
          <w:spacing w:val="21"/>
          <w:sz w:val="20"/>
        </w:rPr>
        <w:t> </w:t>
      </w:r>
      <w:r>
        <w:rPr>
          <w:rFonts w:ascii="Segoe UI"/>
          <w:color w:val="231F20"/>
          <w:spacing w:val="-5"/>
          <w:sz w:val="20"/>
        </w:rPr>
        <w:t>T</w:t>
      </w:r>
      <w:r>
        <w:rPr>
          <w:rFonts w:ascii="Segoe UI"/>
          <w:color w:val="231F20"/>
          <w:spacing w:val="-4"/>
          <w:sz w:val="20"/>
        </w:rPr>
        <w:t>essa,</w:t>
      </w:r>
      <w:r>
        <w:rPr>
          <w:rFonts w:ascii="Segoe UI"/>
          <w:color w:val="231F20"/>
          <w:spacing w:val="-1"/>
          <w:sz w:val="20"/>
        </w:rPr>
        <w:t> </w:t>
      </w:r>
      <w:r>
        <w:rPr>
          <w:rFonts w:ascii="Segoe UI"/>
          <w:i/>
          <w:color w:val="231F20"/>
          <w:sz w:val="20"/>
        </w:rPr>
        <w:t>Theorising the</w:t>
      </w:r>
      <w:r>
        <w:rPr>
          <w:rFonts w:ascii="Segoe UI"/>
          <w:i/>
          <w:color w:val="231F20"/>
          <w:spacing w:val="-1"/>
          <w:sz w:val="20"/>
        </w:rPr>
        <w:t> </w:t>
      </w:r>
      <w:r>
        <w:rPr>
          <w:rFonts w:ascii="Segoe UI"/>
          <w:i/>
          <w:color w:val="231F20"/>
          <w:sz w:val="20"/>
        </w:rPr>
        <w:t>mechanisms and outcomes</w:t>
      </w:r>
      <w:r>
        <w:rPr>
          <w:rFonts w:ascii="Segoe UI"/>
          <w:i/>
          <w:color w:val="231F20"/>
          <w:spacing w:val="24"/>
          <w:sz w:val="20"/>
        </w:rPr>
        <w:t> </w:t>
      </w:r>
      <w:r>
        <w:rPr>
          <w:rFonts w:ascii="Segoe UI"/>
          <w:i/>
          <w:color w:val="231F20"/>
          <w:sz w:val="20"/>
        </w:rPr>
        <w:t>pathways from boarding school participation for</w:t>
      </w:r>
      <w:r>
        <w:rPr>
          <w:rFonts w:ascii="Segoe UI"/>
          <w:i/>
          <w:color w:val="231F20"/>
          <w:sz w:val="20"/>
        </w:rPr>
        <w:t> remote Aboriginal and </w:t>
      </w:r>
      <w:r>
        <w:rPr>
          <w:rFonts w:ascii="Segoe UI"/>
          <w:i/>
          <w:color w:val="231F20"/>
          <w:spacing w:val="-4"/>
          <w:sz w:val="20"/>
        </w:rPr>
        <w:t>Torres</w:t>
      </w:r>
      <w:r>
        <w:rPr>
          <w:rFonts w:ascii="Segoe UI"/>
          <w:i/>
          <w:color w:val="231F20"/>
          <w:sz w:val="20"/>
        </w:rPr>
        <w:t> Strait Islander</w:t>
      </w:r>
      <w:r>
        <w:rPr>
          <w:rFonts w:ascii="Segoe UI"/>
          <w:i/>
          <w:color w:val="231F20"/>
          <w:spacing w:val="24"/>
          <w:sz w:val="20"/>
        </w:rPr>
        <w:t> </w:t>
      </w:r>
      <w:r>
        <w:rPr>
          <w:rFonts w:ascii="Segoe UI"/>
          <w:i/>
          <w:color w:val="231F20"/>
          <w:sz w:val="20"/>
        </w:rPr>
        <w:t>students</w:t>
      </w:r>
      <w:r>
        <w:rPr>
          <w:rFonts w:ascii="Segoe UI"/>
          <w:color w:val="231F20"/>
          <w:sz w:val="20"/>
        </w:rPr>
        <w:t>,</w:t>
      </w:r>
      <w:r>
        <w:rPr>
          <w:rFonts w:ascii="Segoe UI"/>
          <w:color w:val="231F20"/>
          <w:spacing w:val="-4"/>
          <w:sz w:val="20"/>
        </w:rPr>
        <w:t> </w:t>
      </w:r>
      <w:r>
        <w:rPr>
          <w:rFonts w:ascii="Segoe UI"/>
          <w:color w:val="231F20"/>
          <w:spacing w:val="-1"/>
          <w:sz w:val="20"/>
        </w:rPr>
        <w:t>2017</w:t>
      </w:r>
      <w:r>
        <w:rPr>
          <w:rFonts w:ascii="Segoe UI"/>
          <w:color w:val="231F20"/>
          <w:spacing w:val="-3"/>
          <w:sz w:val="20"/>
        </w:rPr>
        <w:t> </w:t>
      </w:r>
      <w:r>
        <w:rPr>
          <w:rFonts w:ascii="Segoe UI"/>
          <w:color w:val="231F20"/>
          <w:sz w:val="20"/>
        </w:rPr>
        <w:t>(Guenther,</w:t>
      </w:r>
      <w:r>
        <w:rPr>
          <w:rFonts w:ascii="Segoe UI"/>
          <w:color w:val="231F20"/>
          <w:spacing w:val="-4"/>
          <w:sz w:val="20"/>
        </w:rPr>
        <w:t> </w:t>
      </w:r>
      <w:r>
        <w:rPr>
          <w:rFonts w:ascii="Segoe UI"/>
          <w:color w:val="231F20"/>
          <w:sz w:val="20"/>
        </w:rPr>
        <w:t>2017)</w:t>
      </w:r>
      <w:r>
        <w:rPr>
          <w:rFonts w:ascii="Segoe UI"/>
          <w:sz w:val="20"/>
        </w:rPr>
      </w:r>
    </w:p>
    <w:p>
      <w:pPr>
        <w:spacing w:line="250" w:lineRule="exact" w:before="113"/>
        <w:ind w:left="100" w:right="132" w:firstLine="0"/>
        <w:jc w:val="left"/>
        <w:rPr>
          <w:rFonts w:ascii="Segoe UI" w:hAnsi="Segoe UI" w:cs="Segoe UI" w:eastAsia="Segoe UI"/>
          <w:sz w:val="20"/>
          <w:szCs w:val="20"/>
        </w:rPr>
      </w:pPr>
      <w:r>
        <w:rPr>
          <w:rFonts w:ascii="Segoe UI" w:hAnsi="Segoe UI" w:cs="Segoe UI" w:eastAsia="Segoe UI"/>
          <w:color w:val="231F20"/>
          <w:sz w:val="20"/>
          <w:szCs w:val="20"/>
        </w:rPr>
        <w:t>House</w:t>
      </w:r>
      <w:r>
        <w:rPr>
          <w:rFonts w:ascii="Segoe UI" w:hAnsi="Segoe UI" w:cs="Segoe UI" w:eastAsia="Segoe UI"/>
          <w:color w:val="231F20"/>
          <w:spacing w:val="-7"/>
          <w:sz w:val="20"/>
          <w:szCs w:val="20"/>
        </w:rPr>
        <w:t> </w:t>
      </w:r>
      <w:r>
        <w:rPr>
          <w:rFonts w:ascii="Segoe UI" w:hAnsi="Segoe UI" w:cs="Segoe UI" w:eastAsia="Segoe UI"/>
          <w:color w:val="231F20"/>
          <w:sz w:val="20"/>
          <w:szCs w:val="20"/>
        </w:rPr>
        <w:t>of</w:t>
      </w:r>
      <w:r>
        <w:rPr>
          <w:rFonts w:ascii="Segoe UI" w:hAnsi="Segoe UI" w:cs="Segoe UI" w:eastAsia="Segoe UI"/>
          <w:color w:val="231F20"/>
          <w:spacing w:val="-5"/>
          <w:sz w:val="20"/>
          <w:szCs w:val="20"/>
        </w:rPr>
        <w:t> </w:t>
      </w:r>
      <w:r>
        <w:rPr>
          <w:rFonts w:ascii="Segoe UI" w:hAnsi="Segoe UI" w:cs="Segoe UI" w:eastAsia="Segoe UI"/>
          <w:color w:val="231F20"/>
          <w:spacing w:val="-1"/>
          <w:sz w:val="20"/>
          <w:szCs w:val="20"/>
        </w:rPr>
        <w:t>Representatives</w:t>
      </w:r>
      <w:r>
        <w:rPr>
          <w:rFonts w:ascii="Segoe UI" w:hAnsi="Segoe UI" w:cs="Segoe UI" w:eastAsia="Segoe UI"/>
          <w:color w:val="231F20"/>
          <w:spacing w:val="-6"/>
          <w:sz w:val="20"/>
          <w:szCs w:val="20"/>
        </w:rPr>
        <w:t> </w:t>
      </w:r>
      <w:r>
        <w:rPr>
          <w:rFonts w:ascii="Segoe UI" w:hAnsi="Segoe UI" w:cs="Segoe UI" w:eastAsia="Segoe UI"/>
          <w:color w:val="231F20"/>
          <w:spacing w:val="-1"/>
          <w:sz w:val="20"/>
          <w:szCs w:val="20"/>
        </w:rPr>
        <w:t>Standing</w:t>
      </w:r>
      <w:r>
        <w:rPr>
          <w:rFonts w:ascii="Segoe UI" w:hAnsi="Segoe UI" w:cs="Segoe UI" w:eastAsia="Segoe UI"/>
          <w:color w:val="231F20"/>
          <w:spacing w:val="-7"/>
          <w:sz w:val="20"/>
          <w:szCs w:val="20"/>
        </w:rPr>
        <w:t> </w:t>
      </w:r>
      <w:r>
        <w:rPr>
          <w:rFonts w:ascii="Segoe UI" w:hAnsi="Segoe UI" w:cs="Segoe UI" w:eastAsia="Segoe UI"/>
          <w:color w:val="231F20"/>
          <w:spacing w:val="-1"/>
          <w:sz w:val="20"/>
          <w:szCs w:val="20"/>
        </w:rPr>
        <w:t>Committee</w:t>
      </w:r>
      <w:r>
        <w:rPr>
          <w:rFonts w:ascii="Segoe UI" w:hAnsi="Segoe UI" w:cs="Segoe UI" w:eastAsia="Segoe UI"/>
          <w:color w:val="231F20"/>
          <w:spacing w:val="20"/>
          <w:sz w:val="20"/>
          <w:szCs w:val="20"/>
        </w:rPr>
        <w:t> </w:t>
      </w:r>
      <w:r>
        <w:rPr>
          <w:rFonts w:ascii="Segoe UI" w:hAnsi="Segoe UI" w:cs="Segoe UI" w:eastAsia="Segoe UI"/>
          <w:color w:val="231F20"/>
          <w:sz w:val="20"/>
          <w:szCs w:val="20"/>
        </w:rPr>
        <w:t>on</w:t>
      </w:r>
      <w:r>
        <w:rPr>
          <w:rFonts w:ascii="Segoe UI" w:hAnsi="Segoe UI" w:cs="Segoe UI" w:eastAsia="Segoe UI"/>
          <w:color w:val="231F20"/>
          <w:spacing w:val="-4"/>
          <w:sz w:val="20"/>
          <w:szCs w:val="20"/>
        </w:rPr>
        <w:t> </w:t>
      </w:r>
      <w:r>
        <w:rPr>
          <w:rFonts w:ascii="Segoe UI" w:hAnsi="Segoe UI" w:cs="Segoe UI" w:eastAsia="Segoe UI"/>
          <w:color w:val="231F20"/>
          <w:sz w:val="20"/>
          <w:szCs w:val="20"/>
        </w:rPr>
        <w:t>Indigenous</w:t>
      </w:r>
      <w:r>
        <w:rPr>
          <w:rFonts w:ascii="Segoe UI" w:hAnsi="Segoe UI" w:cs="Segoe UI" w:eastAsia="Segoe UI"/>
          <w:color w:val="231F20"/>
          <w:spacing w:val="-3"/>
          <w:sz w:val="20"/>
          <w:szCs w:val="20"/>
        </w:rPr>
        <w:t> </w:t>
      </w:r>
      <w:r>
        <w:rPr>
          <w:rFonts w:ascii="Segoe UI" w:hAnsi="Segoe UI" w:cs="Segoe UI" w:eastAsia="Segoe UI"/>
          <w:color w:val="231F20"/>
          <w:sz w:val="20"/>
          <w:szCs w:val="20"/>
        </w:rPr>
        <w:t>Affairs,</w:t>
      </w:r>
      <w:r>
        <w:rPr>
          <w:rFonts w:ascii="Segoe UI" w:hAnsi="Segoe UI" w:cs="Segoe UI" w:eastAsia="Segoe UI"/>
          <w:color w:val="231F20"/>
          <w:spacing w:val="-4"/>
          <w:sz w:val="20"/>
          <w:szCs w:val="20"/>
        </w:rPr>
        <w:t> </w:t>
      </w:r>
      <w:r>
        <w:rPr>
          <w:rFonts w:ascii="Segoe UI" w:hAnsi="Segoe UI" w:cs="Segoe UI" w:eastAsia="Segoe UI"/>
          <w:i/>
          <w:color w:val="231F20"/>
          <w:sz w:val="20"/>
          <w:szCs w:val="20"/>
        </w:rPr>
        <w:t>The</w:t>
      </w:r>
      <w:r>
        <w:rPr>
          <w:rFonts w:ascii="Segoe UI" w:hAnsi="Segoe UI" w:cs="Segoe UI" w:eastAsia="Segoe UI"/>
          <w:i/>
          <w:color w:val="231F20"/>
          <w:spacing w:val="-4"/>
          <w:sz w:val="20"/>
          <w:szCs w:val="20"/>
        </w:rPr>
        <w:t> </w:t>
      </w:r>
      <w:r>
        <w:rPr>
          <w:rFonts w:ascii="Segoe UI" w:hAnsi="Segoe UI" w:cs="Segoe UI" w:eastAsia="Segoe UI"/>
          <w:i/>
          <w:color w:val="231F20"/>
          <w:spacing w:val="-1"/>
          <w:sz w:val="20"/>
          <w:szCs w:val="20"/>
        </w:rPr>
        <w:t>power</w:t>
      </w:r>
      <w:r>
        <w:rPr>
          <w:rFonts w:ascii="Segoe UI" w:hAnsi="Segoe UI" w:cs="Segoe UI" w:eastAsia="Segoe UI"/>
          <w:i/>
          <w:color w:val="231F20"/>
          <w:spacing w:val="-4"/>
          <w:sz w:val="20"/>
          <w:szCs w:val="20"/>
        </w:rPr>
        <w:t> </w:t>
      </w:r>
      <w:r>
        <w:rPr>
          <w:rFonts w:ascii="Segoe UI" w:hAnsi="Segoe UI" w:cs="Segoe UI" w:eastAsia="Segoe UI"/>
          <w:i/>
          <w:color w:val="231F20"/>
          <w:spacing w:val="-2"/>
          <w:sz w:val="20"/>
          <w:szCs w:val="20"/>
        </w:rPr>
        <w:t>of</w:t>
      </w:r>
      <w:r>
        <w:rPr>
          <w:rFonts w:ascii="Segoe UI" w:hAnsi="Segoe UI" w:cs="Segoe UI" w:eastAsia="Segoe UI"/>
          <w:i/>
          <w:color w:val="231F20"/>
          <w:spacing w:val="-4"/>
          <w:sz w:val="20"/>
          <w:szCs w:val="20"/>
        </w:rPr>
        <w:t> </w:t>
      </w:r>
      <w:r>
        <w:rPr>
          <w:rFonts w:ascii="Segoe UI" w:hAnsi="Segoe UI" w:cs="Segoe UI" w:eastAsia="Segoe UI"/>
          <w:i/>
          <w:color w:val="231F20"/>
          <w:sz w:val="20"/>
          <w:szCs w:val="20"/>
        </w:rPr>
        <w:t>education:</w:t>
      </w:r>
      <w:r>
        <w:rPr>
          <w:rFonts w:ascii="Segoe UI" w:hAnsi="Segoe UI" w:cs="Segoe UI" w:eastAsia="Segoe UI"/>
          <w:i/>
          <w:color w:val="231F20"/>
          <w:spacing w:val="24"/>
          <w:w w:val="99"/>
          <w:sz w:val="20"/>
          <w:szCs w:val="20"/>
        </w:rPr>
        <w:t> </w:t>
      </w:r>
      <w:r>
        <w:rPr>
          <w:rFonts w:ascii="Segoe UI" w:hAnsi="Segoe UI" w:cs="Segoe UI" w:eastAsia="Segoe UI"/>
          <w:i/>
          <w:color w:val="231F20"/>
          <w:spacing w:val="-1"/>
          <w:sz w:val="20"/>
          <w:szCs w:val="20"/>
        </w:rPr>
        <w:t>From</w:t>
      </w:r>
      <w:r>
        <w:rPr>
          <w:rFonts w:ascii="Segoe UI" w:hAnsi="Segoe UI" w:cs="Segoe UI" w:eastAsia="Segoe UI"/>
          <w:i/>
          <w:color w:val="231F20"/>
          <w:spacing w:val="-8"/>
          <w:sz w:val="20"/>
          <w:szCs w:val="20"/>
        </w:rPr>
        <w:t> </w:t>
      </w:r>
      <w:r>
        <w:rPr>
          <w:rFonts w:ascii="Segoe UI" w:hAnsi="Segoe UI" w:cs="Segoe UI" w:eastAsia="Segoe UI"/>
          <w:i/>
          <w:color w:val="231F20"/>
          <w:spacing w:val="-1"/>
          <w:sz w:val="20"/>
          <w:szCs w:val="20"/>
        </w:rPr>
        <w:t>surviving</w:t>
      </w:r>
      <w:r>
        <w:rPr>
          <w:rFonts w:ascii="Segoe UI" w:hAnsi="Segoe UI" w:cs="Segoe UI" w:eastAsia="Segoe UI"/>
          <w:i/>
          <w:color w:val="231F20"/>
          <w:spacing w:val="-8"/>
          <w:sz w:val="20"/>
          <w:szCs w:val="20"/>
        </w:rPr>
        <w:t> </w:t>
      </w:r>
      <w:r>
        <w:rPr>
          <w:rFonts w:ascii="Segoe UI" w:hAnsi="Segoe UI" w:cs="Segoe UI" w:eastAsia="Segoe UI"/>
          <w:i/>
          <w:color w:val="231F20"/>
          <w:sz w:val="20"/>
          <w:szCs w:val="20"/>
        </w:rPr>
        <w:t>to</w:t>
      </w:r>
      <w:r>
        <w:rPr>
          <w:rFonts w:ascii="Segoe UI" w:hAnsi="Segoe UI" w:cs="Segoe UI" w:eastAsia="Segoe UI"/>
          <w:i/>
          <w:color w:val="231F20"/>
          <w:spacing w:val="-9"/>
          <w:sz w:val="20"/>
          <w:szCs w:val="20"/>
        </w:rPr>
        <w:t> </w:t>
      </w:r>
      <w:r>
        <w:rPr>
          <w:rFonts w:ascii="Segoe UI" w:hAnsi="Segoe UI" w:cs="Segoe UI" w:eastAsia="Segoe UI"/>
          <w:i/>
          <w:color w:val="231F20"/>
          <w:spacing w:val="-1"/>
          <w:sz w:val="20"/>
          <w:szCs w:val="20"/>
        </w:rPr>
        <w:t>thriving—Educational</w:t>
      </w:r>
      <w:r>
        <w:rPr>
          <w:rFonts w:ascii="Segoe UI" w:hAnsi="Segoe UI" w:cs="Segoe UI" w:eastAsia="Segoe UI"/>
          <w:i/>
          <w:color w:val="231F20"/>
          <w:spacing w:val="57"/>
          <w:w w:val="99"/>
          <w:sz w:val="20"/>
          <w:szCs w:val="20"/>
        </w:rPr>
        <w:t> </w:t>
      </w:r>
      <w:r>
        <w:rPr>
          <w:rFonts w:ascii="Segoe UI" w:hAnsi="Segoe UI" w:cs="Segoe UI" w:eastAsia="Segoe UI"/>
          <w:i/>
          <w:color w:val="231F20"/>
          <w:spacing w:val="-1"/>
          <w:sz w:val="20"/>
          <w:szCs w:val="20"/>
        </w:rPr>
        <w:t>opportunities</w:t>
      </w:r>
      <w:r>
        <w:rPr>
          <w:rFonts w:ascii="Segoe UI" w:hAnsi="Segoe UI" w:cs="Segoe UI" w:eastAsia="Segoe UI"/>
          <w:i/>
          <w:color w:val="231F20"/>
          <w:spacing w:val="-3"/>
          <w:sz w:val="20"/>
          <w:szCs w:val="20"/>
        </w:rPr>
        <w:t> </w:t>
      </w:r>
      <w:r>
        <w:rPr>
          <w:rFonts w:ascii="Segoe UI" w:hAnsi="Segoe UI" w:cs="Segoe UI" w:eastAsia="Segoe UI"/>
          <w:i/>
          <w:color w:val="231F20"/>
          <w:sz w:val="20"/>
          <w:szCs w:val="20"/>
        </w:rPr>
        <w:t>for</w:t>
      </w:r>
      <w:r>
        <w:rPr>
          <w:rFonts w:ascii="Segoe UI" w:hAnsi="Segoe UI" w:cs="Segoe UI" w:eastAsia="Segoe UI"/>
          <w:i/>
          <w:color w:val="231F20"/>
          <w:spacing w:val="-3"/>
          <w:sz w:val="20"/>
          <w:szCs w:val="20"/>
        </w:rPr>
        <w:t> </w:t>
      </w:r>
      <w:r>
        <w:rPr>
          <w:rFonts w:ascii="Segoe UI" w:hAnsi="Segoe UI" w:cs="Segoe UI" w:eastAsia="Segoe UI"/>
          <w:i/>
          <w:color w:val="231F20"/>
          <w:sz w:val="20"/>
          <w:szCs w:val="20"/>
        </w:rPr>
        <w:t>Aboriginal</w:t>
      </w:r>
      <w:r>
        <w:rPr>
          <w:rFonts w:ascii="Segoe UI" w:hAnsi="Segoe UI" w:cs="Segoe UI" w:eastAsia="Segoe UI"/>
          <w:i/>
          <w:color w:val="231F20"/>
          <w:spacing w:val="-4"/>
          <w:sz w:val="20"/>
          <w:szCs w:val="20"/>
        </w:rPr>
        <w:t> </w:t>
      </w:r>
      <w:r>
        <w:rPr>
          <w:rFonts w:ascii="Segoe UI" w:hAnsi="Segoe UI" w:cs="Segoe UI" w:eastAsia="Segoe UI"/>
          <w:i/>
          <w:color w:val="231F20"/>
          <w:sz w:val="20"/>
          <w:szCs w:val="20"/>
        </w:rPr>
        <w:t>and</w:t>
      </w:r>
      <w:r>
        <w:rPr>
          <w:rFonts w:ascii="Segoe UI" w:hAnsi="Segoe UI" w:cs="Segoe UI" w:eastAsia="Segoe UI"/>
          <w:i/>
          <w:color w:val="231F20"/>
          <w:spacing w:val="-2"/>
          <w:sz w:val="20"/>
          <w:szCs w:val="20"/>
        </w:rPr>
        <w:t> </w:t>
      </w:r>
      <w:r>
        <w:rPr>
          <w:rFonts w:ascii="Segoe UI" w:hAnsi="Segoe UI" w:cs="Segoe UI" w:eastAsia="Segoe UI"/>
          <w:i/>
          <w:color w:val="231F20"/>
          <w:spacing w:val="-5"/>
          <w:sz w:val="20"/>
          <w:szCs w:val="20"/>
        </w:rPr>
        <w:t>T</w:t>
      </w:r>
      <w:r>
        <w:rPr>
          <w:rFonts w:ascii="Segoe UI" w:hAnsi="Segoe UI" w:cs="Segoe UI" w:eastAsia="Segoe UI"/>
          <w:i/>
          <w:color w:val="231F20"/>
          <w:spacing w:val="-4"/>
          <w:sz w:val="20"/>
          <w:szCs w:val="20"/>
        </w:rPr>
        <w:t>orr</w:t>
      </w:r>
      <w:r>
        <w:rPr>
          <w:rFonts w:ascii="Segoe UI" w:hAnsi="Segoe UI" w:cs="Segoe UI" w:eastAsia="Segoe UI"/>
          <w:i/>
          <w:color w:val="231F20"/>
          <w:spacing w:val="-5"/>
          <w:sz w:val="20"/>
          <w:szCs w:val="20"/>
        </w:rPr>
        <w:t>es</w:t>
      </w:r>
      <w:r>
        <w:rPr>
          <w:rFonts w:ascii="Segoe UI" w:hAnsi="Segoe UI" w:cs="Segoe UI" w:eastAsia="Segoe UI"/>
          <w:i/>
          <w:color w:val="231F20"/>
          <w:spacing w:val="-4"/>
          <w:sz w:val="20"/>
          <w:szCs w:val="20"/>
        </w:rPr>
        <w:t> </w:t>
      </w:r>
      <w:r>
        <w:rPr>
          <w:rFonts w:ascii="Segoe UI" w:hAnsi="Segoe UI" w:cs="Segoe UI" w:eastAsia="Segoe UI"/>
          <w:i/>
          <w:color w:val="231F20"/>
          <w:spacing w:val="-1"/>
          <w:sz w:val="20"/>
          <w:szCs w:val="20"/>
        </w:rPr>
        <w:t>Strait</w:t>
      </w:r>
      <w:r>
        <w:rPr>
          <w:rFonts w:ascii="Segoe UI" w:hAnsi="Segoe UI" w:cs="Segoe UI" w:eastAsia="Segoe UI"/>
          <w:i/>
          <w:color w:val="231F20"/>
          <w:spacing w:val="27"/>
          <w:sz w:val="20"/>
          <w:szCs w:val="20"/>
        </w:rPr>
        <w:t> </w:t>
      </w:r>
      <w:r>
        <w:rPr>
          <w:rFonts w:ascii="Segoe UI" w:hAnsi="Segoe UI" w:cs="Segoe UI" w:eastAsia="Segoe UI"/>
          <w:i/>
          <w:color w:val="231F20"/>
          <w:spacing w:val="-1"/>
          <w:sz w:val="20"/>
          <w:szCs w:val="20"/>
        </w:rPr>
        <w:t>Islander</w:t>
      </w:r>
      <w:r>
        <w:rPr>
          <w:rFonts w:ascii="Segoe UI" w:hAnsi="Segoe UI" w:cs="Segoe UI" w:eastAsia="Segoe UI"/>
          <w:i/>
          <w:color w:val="231F20"/>
          <w:spacing w:val="-2"/>
          <w:sz w:val="20"/>
          <w:szCs w:val="20"/>
        </w:rPr>
        <w:t> </w:t>
      </w:r>
      <w:r>
        <w:rPr>
          <w:rFonts w:ascii="Segoe UI" w:hAnsi="Segoe UI" w:cs="Segoe UI" w:eastAsia="Segoe UI"/>
          <w:i/>
          <w:color w:val="231F20"/>
          <w:spacing w:val="-1"/>
          <w:sz w:val="20"/>
          <w:szCs w:val="20"/>
        </w:rPr>
        <w:t>students</w:t>
      </w:r>
      <w:r>
        <w:rPr>
          <w:rFonts w:ascii="Segoe UI" w:hAnsi="Segoe UI" w:cs="Segoe UI" w:eastAsia="Segoe UI"/>
          <w:color w:val="231F20"/>
          <w:spacing w:val="-1"/>
          <w:sz w:val="20"/>
          <w:szCs w:val="20"/>
        </w:rPr>
        <w:t>,</w:t>
      </w:r>
      <w:r>
        <w:rPr>
          <w:rFonts w:ascii="Segoe UI" w:hAnsi="Segoe UI" w:cs="Segoe UI" w:eastAsia="Segoe UI"/>
          <w:color w:val="231F20"/>
          <w:spacing w:val="-2"/>
          <w:sz w:val="20"/>
          <w:szCs w:val="20"/>
        </w:rPr>
        <w:t> </w:t>
      </w:r>
      <w:r>
        <w:rPr>
          <w:rFonts w:ascii="Segoe UI" w:hAnsi="Segoe UI" w:cs="Segoe UI" w:eastAsia="Segoe UI"/>
          <w:color w:val="231F20"/>
          <w:spacing w:val="-1"/>
          <w:sz w:val="20"/>
          <w:szCs w:val="20"/>
        </w:rPr>
        <w:t>2017</w:t>
      </w:r>
      <w:r>
        <w:rPr>
          <w:rFonts w:ascii="Segoe UI" w:hAnsi="Segoe UI" w:cs="Segoe UI" w:eastAsia="Segoe UI"/>
          <w:color w:val="231F20"/>
          <w:spacing w:val="-2"/>
          <w:sz w:val="20"/>
          <w:szCs w:val="20"/>
        </w:rPr>
        <w:t> </w:t>
      </w:r>
      <w:r>
        <w:rPr>
          <w:rFonts w:ascii="Segoe UI" w:hAnsi="Segoe UI" w:cs="Segoe UI" w:eastAsia="Segoe UI"/>
          <w:color w:val="231F20"/>
          <w:sz w:val="20"/>
          <w:szCs w:val="20"/>
        </w:rPr>
        <w:t>(HoRSCIA,</w:t>
      </w:r>
      <w:r>
        <w:rPr>
          <w:rFonts w:ascii="Segoe UI" w:hAnsi="Segoe UI" w:cs="Segoe UI" w:eastAsia="Segoe UI"/>
          <w:color w:val="231F20"/>
          <w:spacing w:val="-3"/>
          <w:sz w:val="20"/>
          <w:szCs w:val="20"/>
        </w:rPr>
        <w:t> </w:t>
      </w:r>
      <w:r>
        <w:rPr>
          <w:rFonts w:ascii="Segoe UI" w:hAnsi="Segoe UI" w:cs="Segoe UI" w:eastAsia="Segoe UI"/>
          <w:color w:val="231F20"/>
          <w:sz w:val="20"/>
          <w:szCs w:val="20"/>
        </w:rPr>
        <w:t>2017)</w:t>
      </w:r>
      <w:r>
        <w:rPr>
          <w:rFonts w:ascii="Segoe UI" w:hAnsi="Segoe UI" w:cs="Segoe UI" w:eastAsia="Segoe UI"/>
          <w:sz w:val="20"/>
          <w:szCs w:val="20"/>
        </w:rPr>
      </w:r>
    </w:p>
    <w:p>
      <w:pPr>
        <w:spacing w:line="250" w:lineRule="exact" w:before="113"/>
        <w:ind w:left="100" w:right="243" w:firstLine="0"/>
        <w:jc w:val="left"/>
        <w:rPr>
          <w:rFonts w:ascii="Segoe UI" w:hAnsi="Segoe UI" w:cs="Segoe UI" w:eastAsia="Segoe UI"/>
          <w:sz w:val="20"/>
          <w:szCs w:val="20"/>
        </w:rPr>
      </w:pPr>
      <w:r>
        <w:rPr>
          <w:rFonts w:ascii="Segoe UI"/>
          <w:color w:val="231F20"/>
          <w:spacing w:val="-1"/>
          <w:sz w:val="20"/>
        </w:rPr>
        <w:t>KPMG,</w:t>
      </w:r>
      <w:r>
        <w:rPr>
          <w:rFonts w:ascii="Segoe UI"/>
          <w:color w:val="231F20"/>
          <w:spacing w:val="-7"/>
          <w:sz w:val="20"/>
        </w:rPr>
        <w:t> </w:t>
      </w:r>
      <w:r>
        <w:rPr>
          <w:rFonts w:ascii="Segoe UI"/>
          <w:i/>
          <w:color w:val="231F20"/>
          <w:spacing w:val="-1"/>
          <w:sz w:val="20"/>
        </w:rPr>
        <w:t>Non-Government</w:t>
      </w:r>
      <w:r>
        <w:rPr>
          <w:rFonts w:ascii="Segoe UI"/>
          <w:i/>
          <w:color w:val="231F20"/>
          <w:spacing w:val="-6"/>
          <w:sz w:val="20"/>
        </w:rPr>
        <w:t> </w:t>
      </w:r>
      <w:r>
        <w:rPr>
          <w:rFonts w:ascii="Segoe UI"/>
          <w:i/>
          <w:color w:val="231F20"/>
          <w:spacing w:val="-1"/>
          <w:sz w:val="20"/>
        </w:rPr>
        <w:t>Indigenous</w:t>
      </w:r>
      <w:r>
        <w:rPr>
          <w:rFonts w:ascii="Segoe UI"/>
          <w:i/>
          <w:color w:val="231F20"/>
          <w:spacing w:val="-6"/>
          <w:sz w:val="20"/>
        </w:rPr>
        <w:t> </w:t>
      </w:r>
      <w:r>
        <w:rPr>
          <w:rFonts w:ascii="Segoe UI"/>
          <w:i/>
          <w:color w:val="231F20"/>
          <w:spacing w:val="-1"/>
          <w:sz w:val="20"/>
        </w:rPr>
        <w:t>Boarding</w:t>
      </w:r>
      <w:r>
        <w:rPr>
          <w:rFonts w:ascii="Segoe UI"/>
          <w:i/>
          <w:color w:val="231F20"/>
          <w:spacing w:val="35"/>
          <w:w w:val="99"/>
          <w:sz w:val="20"/>
        </w:rPr>
        <w:t> </w:t>
      </w:r>
      <w:r>
        <w:rPr>
          <w:rFonts w:ascii="Segoe UI"/>
          <w:i/>
          <w:color w:val="231F20"/>
          <w:spacing w:val="-1"/>
          <w:sz w:val="20"/>
        </w:rPr>
        <w:t>Schools:</w:t>
      </w:r>
      <w:r>
        <w:rPr>
          <w:rFonts w:ascii="Segoe UI"/>
          <w:i/>
          <w:color w:val="231F20"/>
          <w:spacing w:val="-5"/>
          <w:sz w:val="20"/>
        </w:rPr>
        <w:t> </w:t>
      </w:r>
      <w:r>
        <w:rPr>
          <w:rFonts w:ascii="Segoe UI"/>
          <w:i/>
          <w:color w:val="231F20"/>
          <w:spacing w:val="-1"/>
          <w:sz w:val="20"/>
        </w:rPr>
        <w:t>Review</w:t>
      </w:r>
      <w:r>
        <w:rPr>
          <w:rFonts w:ascii="Segoe UI"/>
          <w:i/>
          <w:color w:val="231F20"/>
          <w:spacing w:val="-5"/>
          <w:sz w:val="20"/>
        </w:rPr>
        <w:t> </w:t>
      </w:r>
      <w:r>
        <w:rPr>
          <w:rFonts w:ascii="Segoe UI"/>
          <w:i/>
          <w:color w:val="231F20"/>
          <w:spacing w:val="-2"/>
          <w:sz w:val="20"/>
        </w:rPr>
        <w:t>of</w:t>
      </w:r>
      <w:r>
        <w:rPr>
          <w:rFonts w:ascii="Segoe UI"/>
          <w:i/>
          <w:color w:val="231F20"/>
          <w:spacing w:val="-4"/>
          <w:sz w:val="20"/>
        </w:rPr>
        <w:t> </w:t>
      </w:r>
      <w:r>
        <w:rPr>
          <w:rFonts w:ascii="Segoe UI"/>
          <w:i/>
          <w:color w:val="231F20"/>
          <w:sz w:val="20"/>
        </w:rPr>
        <w:t>funding</w:t>
      </w:r>
      <w:r>
        <w:rPr>
          <w:rFonts w:ascii="Segoe UI"/>
          <w:i/>
          <w:color w:val="231F20"/>
          <w:spacing w:val="-5"/>
          <w:sz w:val="20"/>
        </w:rPr>
        <w:t> </w:t>
      </w:r>
      <w:r>
        <w:rPr>
          <w:rFonts w:ascii="Segoe UI"/>
          <w:i/>
          <w:color w:val="231F20"/>
          <w:spacing w:val="-1"/>
          <w:sz w:val="20"/>
        </w:rPr>
        <w:t>arrangements</w:t>
      </w:r>
      <w:r>
        <w:rPr>
          <w:rFonts w:ascii="Segoe UI"/>
          <w:i/>
          <w:color w:val="231F20"/>
          <w:spacing w:val="-4"/>
          <w:sz w:val="20"/>
        </w:rPr>
        <w:t> </w:t>
      </w:r>
      <w:r>
        <w:rPr>
          <w:rFonts w:ascii="Segoe UI"/>
          <w:i/>
          <w:color w:val="231F20"/>
          <w:sz w:val="20"/>
        </w:rPr>
        <w:t>for</w:t>
      </w:r>
      <w:r>
        <w:rPr>
          <w:rFonts w:ascii="Segoe UI"/>
          <w:i/>
          <w:color w:val="231F20"/>
          <w:spacing w:val="-5"/>
          <w:sz w:val="20"/>
        </w:rPr>
        <w:t> </w:t>
      </w:r>
      <w:r>
        <w:rPr>
          <w:rFonts w:ascii="Segoe UI"/>
          <w:i/>
          <w:color w:val="231F20"/>
          <w:spacing w:val="-1"/>
          <w:sz w:val="20"/>
        </w:rPr>
        <w:t>the</w:t>
      </w:r>
      <w:r>
        <w:rPr>
          <w:rFonts w:ascii="Segoe UI"/>
          <w:i/>
          <w:color w:val="231F20"/>
          <w:spacing w:val="24"/>
          <w:sz w:val="20"/>
        </w:rPr>
        <w:t> </w:t>
      </w:r>
      <w:r>
        <w:rPr>
          <w:rFonts w:ascii="Segoe UI"/>
          <w:i/>
          <w:color w:val="231F20"/>
          <w:sz w:val="20"/>
        </w:rPr>
        <w:t>Northern</w:t>
      </w:r>
      <w:r>
        <w:rPr>
          <w:rFonts w:ascii="Segoe UI"/>
          <w:i/>
          <w:color w:val="231F20"/>
          <w:spacing w:val="-7"/>
          <w:sz w:val="20"/>
        </w:rPr>
        <w:t> </w:t>
      </w:r>
      <w:r>
        <w:rPr>
          <w:rFonts w:ascii="Segoe UI"/>
          <w:i/>
          <w:color w:val="231F20"/>
          <w:spacing w:val="-2"/>
          <w:sz w:val="20"/>
        </w:rPr>
        <w:t>Territory</w:t>
      </w:r>
      <w:r>
        <w:rPr>
          <w:rFonts w:ascii="Segoe UI"/>
          <w:i/>
          <w:color w:val="231F20"/>
          <w:spacing w:val="-6"/>
          <w:sz w:val="20"/>
        </w:rPr>
        <w:t> </w:t>
      </w:r>
      <w:r>
        <w:rPr>
          <w:rFonts w:ascii="Segoe UI"/>
          <w:i/>
          <w:color w:val="231F20"/>
          <w:spacing w:val="-1"/>
          <w:sz w:val="20"/>
        </w:rPr>
        <w:t>Government</w:t>
      </w:r>
      <w:r>
        <w:rPr>
          <w:rFonts w:ascii="Segoe UI"/>
          <w:color w:val="231F20"/>
          <w:spacing w:val="-1"/>
          <w:sz w:val="20"/>
        </w:rPr>
        <w:t>,</w:t>
      </w:r>
      <w:r>
        <w:rPr>
          <w:rFonts w:ascii="Segoe UI"/>
          <w:color w:val="231F20"/>
          <w:spacing w:val="-6"/>
          <w:sz w:val="20"/>
        </w:rPr>
        <w:t> </w:t>
      </w:r>
      <w:r>
        <w:rPr>
          <w:rFonts w:ascii="Segoe UI"/>
          <w:color w:val="231F20"/>
          <w:spacing w:val="-1"/>
          <w:sz w:val="20"/>
        </w:rPr>
        <w:t>Department</w:t>
      </w:r>
      <w:r>
        <w:rPr>
          <w:rFonts w:ascii="Segoe UI"/>
          <w:color w:val="231F20"/>
          <w:spacing w:val="-6"/>
          <w:sz w:val="20"/>
        </w:rPr>
        <w:t> </w:t>
      </w:r>
      <w:r>
        <w:rPr>
          <w:rFonts w:ascii="Segoe UI"/>
          <w:color w:val="231F20"/>
          <w:sz w:val="20"/>
        </w:rPr>
        <w:t>of</w:t>
      </w:r>
      <w:r>
        <w:rPr>
          <w:rFonts w:ascii="Segoe UI"/>
          <w:color w:val="231F20"/>
          <w:spacing w:val="21"/>
          <w:w w:val="99"/>
          <w:sz w:val="20"/>
        </w:rPr>
        <w:t> </w:t>
      </w:r>
      <w:r>
        <w:rPr>
          <w:rFonts w:ascii="Segoe UI"/>
          <w:color w:val="231F20"/>
          <w:sz w:val="20"/>
        </w:rPr>
        <w:t>Education,</w:t>
      </w:r>
      <w:r>
        <w:rPr>
          <w:rFonts w:ascii="Segoe UI"/>
          <w:color w:val="231F20"/>
          <w:spacing w:val="-7"/>
          <w:sz w:val="20"/>
        </w:rPr>
        <w:t> </w:t>
      </w:r>
      <w:r>
        <w:rPr>
          <w:rFonts w:ascii="Segoe UI"/>
          <w:color w:val="231F20"/>
          <w:spacing w:val="-1"/>
          <w:sz w:val="20"/>
        </w:rPr>
        <w:t>2016</w:t>
      </w:r>
      <w:r>
        <w:rPr>
          <w:rFonts w:ascii="Segoe UI"/>
          <w:color w:val="231F20"/>
          <w:spacing w:val="-5"/>
          <w:sz w:val="20"/>
        </w:rPr>
        <w:t> </w:t>
      </w:r>
      <w:r>
        <w:rPr>
          <w:rFonts w:ascii="Segoe UI"/>
          <w:color w:val="231F20"/>
          <w:sz w:val="20"/>
        </w:rPr>
        <w:t>(KPMG,</w:t>
      </w:r>
      <w:r>
        <w:rPr>
          <w:rFonts w:ascii="Segoe UI"/>
          <w:color w:val="231F20"/>
          <w:spacing w:val="-6"/>
          <w:sz w:val="20"/>
        </w:rPr>
        <w:t> </w:t>
      </w:r>
      <w:r>
        <w:rPr>
          <w:rFonts w:ascii="Segoe UI"/>
          <w:color w:val="231F20"/>
          <w:sz w:val="20"/>
        </w:rPr>
        <w:t>2016)</w:t>
      </w:r>
      <w:r>
        <w:rPr>
          <w:rFonts w:ascii="Segoe UI"/>
          <w:sz w:val="20"/>
        </w:rPr>
      </w:r>
    </w:p>
    <w:p>
      <w:pPr>
        <w:spacing w:line="250" w:lineRule="exact" w:before="113"/>
        <w:ind w:left="100" w:right="124" w:firstLine="0"/>
        <w:jc w:val="left"/>
        <w:rPr>
          <w:rFonts w:ascii="Segoe UI" w:hAnsi="Segoe UI" w:cs="Segoe UI" w:eastAsia="Segoe UI"/>
          <w:sz w:val="20"/>
          <w:szCs w:val="20"/>
        </w:rPr>
      </w:pPr>
      <w:r>
        <w:rPr>
          <w:rFonts w:ascii="Segoe UI"/>
          <w:color w:val="231F20"/>
          <w:sz w:val="20"/>
        </w:rPr>
        <w:t>Lewis,</w:t>
      </w:r>
      <w:r>
        <w:rPr>
          <w:rFonts w:ascii="Segoe UI"/>
          <w:color w:val="231F20"/>
          <w:spacing w:val="-7"/>
          <w:sz w:val="20"/>
        </w:rPr>
        <w:t> </w:t>
      </w:r>
      <w:r>
        <w:rPr>
          <w:rFonts w:ascii="Segoe UI"/>
          <w:color w:val="231F20"/>
          <w:spacing w:val="-1"/>
          <w:sz w:val="20"/>
        </w:rPr>
        <w:t>Simon,</w:t>
      </w:r>
      <w:r>
        <w:rPr>
          <w:rFonts w:ascii="Segoe UI"/>
          <w:color w:val="231F20"/>
          <w:spacing w:val="-5"/>
          <w:sz w:val="20"/>
        </w:rPr>
        <w:t> </w:t>
      </w:r>
      <w:r>
        <w:rPr>
          <w:rFonts w:ascii="Segoe UI"/>
          <w:i/>
          <w:color w:val="231F20"/>
          <w:spacing w:val="-1"/>
          <w:sz w:val="20"/>
        </w:rPr>
        <w:t>Boarding</w:t>
      </w:r>
      <w:r>
        <w:rPr>
          <w:rFonts w:ascii="Segoe UI"/>
          <w:i/>
          <w:color w:val="231F20"/>
          <w:spacing w:val="-5"/>
          <w:sz w:val="20"/>
        </w:rPr>
        <w:t> </w:t>
      </w:r>
      <w:r>
        <w:rPr>
          <w:rFonts w:ascii="Segoe UI"/>
          <w:i/>
          <w:color w:val="231F20"/>
          <w:spacing w:val="-1"/>
          <w:sz w:val="20"/>
        </w:rPr>
        <w:t>Australia</w:t>
      </w:r>
      <w:r>
        <w:rPr>
          <w:rFonts w:ascii="Segoe UI"/>
          <w:i/>
          <w:color w:val="231F20"/>
          <w:spacing w:val="-5"/>
          <w:sz w:val="20"/>
        </w:rPr>
        <w:t> </w:t>
      </w:r>
      <w:r>
        <w:rPr>
          <w:rFonts w:ascii="Segoe UI"/>
          <w:i/>
          <w:color w:val="231F20"/>
          <w:spacing w:val="-1"/>
          <w:sz w:val="20"/>
        </w:rPr>
        <w:t>Inc.,</w:t>
      </w:r>
      <w:r>
        <w:rPr>
          <w:rFonts w:ascii="Segoe UI"/>
          <w:i/>
          <w:color w:val="231F20"/>
          <w:spacing w:val="-5"/>
          <w:sz w:val="20"/>
        </w:rPr>
        <w:t> </w:t>
      </w:r>
      <w:r>
        <w:rPr>
          <w:rFonts w:ascii="Segoe UI"/>
          <w:i/>
          <w:color w:val="231F20"/>
          <w:spacing w:val="-2"/>
          <w:sz w:val="20"/>
        </w:rPr>
        <w:t>Positioning</w:t>
      </w:r>
      <w:r>
        <w:rPr>
          <w:rFonts w:ascii="Segoe UI"/>
          <w:i/>
          <w:color w:val="231F20"/>
          <w:spacing w:val="46"/>
          <w:w w:val="99"/>
          <w:sz w:val="20"/>
        </w:rPr>
        <w:t> </w:t>
      </w:r>
      <w:r>
        <w:rPr>
          <w:rFonts w:ascii="Segoe UI"/>
          <w:i/>
          <w:color w:val="231F20"/>
          <w:spacing w:val="-1"/>
          <w:sz w:val="20"/>
        </w:rPr>
        <w:t>Document</w:t>
      </w:r>
      <w:r>
        <w:rPr>
          <w:rFonts w:ascii="Segoe UI"/>
          <w:color w:val="231F20"/>
          <w:spacing w:val="-1"/>
          <w:sz w:val="20"/>
        </w:rPr>
        <w:t>,</w:t>
      </w:r>
      <w:r>
        <w:rPr>
          <w:rFonts w:ascii="Segoe UI"/>
          <w:color w:val="231F20"/>
          <w:spacing w:val="-6"/>
          <w:sz w:val="20"/>
        </w:rPr>
        <w:t> </w:t>
      </w:r>
      <w:r>
        <w:rPr>
          <w:rFonts w:ascii="Segoe UI"/>
          <w:color w:val="231F20"/>
          <w:sz w:val="20"/>
        </w:rPr>
        <w:t>unpublished,</w:t>
      </w:r>
      <w:r>
        <w:rPr>
          <w:rFonts w:ascii="Segoe UI"/>
          <w:color w:val="231F20"/>
          <w:spacing w:val="-6"/>
          <w:sz w:val="20"/>
        </w:rPr>
        <w:t> </w:t>
      </w:r>
      <w:r>
        <w:rPr>
          <w:rFonts w:ascii="Segoe UI"/>
          <w:color w:val="231F20"/>
          <w:sz w:val="20"/>
        </w:rPr>
        <w:t>June</w:t>
      </w:r>
      <w:r>
        <w:rPr>
          <w:rFonts w:ascii="Segoe UI"/>
          <w:color w:val="231F20"/>
          <w:spacing w:val="-6"/>
          <w:sz w:val="20"/>
        </w:rPr>
        <w:t> </w:t>
      </w:r>
      <w:r>
        <w:rPr>
          <w:rFonts w:ascii="Segoe UI"/>
          <w:color w:val="231F20"/>
          <w:sz w:val="20"/>
        </w:rPr>
        <w:t>2014</w:t>
      </w:r>
      <w:r>
        <w:rPr>
          <w:rFonts w:ascii="Segoe UI"/>
          <w:sz w:val="20"/>
        </w:rPr>
      </w:r>
    </w:p>
    <w:p>
      <w:pPr>
        <w:spacing w:line="250" w:lineRule="exact" w:before="113"/>
        <w:ind w:left="100" w:right="132" w:firstLine="0"/>
        <w:jc w:val="left"/>
        <w:rPr>
          <w:rFonts w:ascii="Segoe UI" w:hAnsi="Segoe UI" w:cs="Segoe UI" w:eastAsia="Segoe UI"/>
          <w:sz w:val="20"/>
          <w:szCs w:val="20"/>
        </w:rPr>
      </w:pPr>
      <w:r>
        <w:rPr>
          <w:rFonts w:ascii="Segoe UI"/>
          <w:color w:val="231F20"/>
          <w:sz w:val="20"/>
        </w:rPr>
        <w:t>Markham,</w:t>
      </w:r>
      <w:r>
        <w:rPr>
          <w:rFonts w:ascii="Segoe UI"/>
          <w:color w:val="231F20"/>
          <w:spacing w:val="-4"/>
          <w:sz w:val="20"/>
        </w:rPr>
        <w:t> </w:t>
      </w:r>
      <w:r>
        <w:rPr>
          <w:rFonts w:ascii="Segoe UI"/>
          <w:color w:val="231F20"/>
          <w:sz w:val="20"/>
        </w:rPr>
        <w:t>F</w:t>
      </w:r>
      <w:r>
        <w:rPr>
          <w:rFonts w:ascii="Segoe UI"/>
          <w:color w:val="231F20"/>
          <w:spacing w:val="-4"/>
          <w:sz w:val="20"/>
        </w:rPr>
        <w:t> </w:t>
      </w:r>
      <w:r>
        <w:rPr>
          <w:rFonts w:ascii="Segoe UI"/>
          <w:color w:val="231F20"/>
          <w:sz w:val="20"/>
        </w:rPr>
        <w:t>and</w:t>
      </w:r>
      <w:r>
        <w:rPr>
          <w:rFonts w:ascii="Segoe UI"/>
          <w:color w:val="231F20"/>
          <w:spacing w:val="-4"/>
          <w:sz w:val="20"/>
        </w:rPr>
        <w:t> </w:t>
      </w:r>
      <w:r>
        <w:rPr>
          <w:rFonts w:ascii="Segoe UI"/>
          <w:color w:val="231F20"/>
          <w:spacing w:val="-1"/>
          <w:sz w:val="20"/>
        </w:rPr>
        <w:t>Biddle,</w:t>
      </w:r>
      <w:r>
        <w:rPr>
          <w:rFonts w:ascii="Segoe UI"/>
          <w:color w:val="231F20"/>
          <w:spacing w:val="-4"/>
          <w:sz w:val="20"/>
        </w:rPr>
        <w:t> </w:t>
      </w:r>
      <w:r>
        <w:rPr>
          <w:rFonts w:ascii="Segoe UI"/>
          <w:color w:val="231F20"/>
          <w:sz w:val="20"/>
        </w:rPr>
        <w:t>N,</w:t>
      </w:r>
      <w:r>
        <w:rPr>
          <w:rFonts w:ascii="Segoe UI"/>
          <w:color w:val="231F20"/>
          <w:spacing w:val="-4"/>
          <w:sz w:val="20"/>
        </w:rPr>
        <w:t> </w:t>
      </w:r>
      <w:r>
        <w:rPr>
          <w:rFonts w:ascii="Segoe UI"/>
          <w:i/>
          <w:color w:val="231F20"/>
          <w:spacing w:val="-1"/>
          <w:sz w:val="20"/>
        </w:rPr>
        <w:t>Income,</w:t>
      </w:r>
      <w:r>
        <w:rPr>
          <w:rFonts w:ascii="Segoe UI"/>
          <w:i/>
          <w:color w:val="231F20"/>
          <w:spacing w:val="-3"/>
          <w:sz w:val="20"/>
        </w:rPr>
        <w:t> </w:t>
      </w:r>
      <w:r>
        <w:rPr>
          <w:rFonts w:ascii="Segoe UI"/>
          <w:i/>
          <w:color w:val="231F20"/>
          <w:spacing w:val="-1"/>
          <w:sz w:val="20"/>
        </w:rPr>
        <w:t>Poverty</w:t>
      </w:r>
      <w:r>
        <w:rPr>
          <w:rFonts w:ascii="Segoe UI"/>
          <w:i/>
          <w:color w:val="231F20"/>
          <w:spacing w:val="-4"/>
          <w:sz w:val="20"/>
        </w:rPr>
        <w:t> </w:t>
      </w:r>
      <w:r>
        <w:rPr>
          <w:rFonts w:ascii="Segoe UI"/>
          <w:i/>
          <w:color w:val="231F20"/>
          <w:sz w:val="20"/>
        </w:rPr>
        <w:t>and</w:t>
      </w:r>
      <w:r>
        <w:rPr>
          <w:rFonts w:ascii="Segoe UI"/>
          <w:i/>
          <w:color w:val="231F20"/>
          <w:spacing w:val="22"/>
          <w:w w:val="99"/>
          <w:sz w:val="20"/>
        </w:rPr>
        <w:t> </w:t>
      </w:r>
      <w:r>
        <w:rPr>
          <w:rFonts w:ascii="Segoe UI"/>
          <w:i/>
          <w:color w:val="231F20"/>
          <w:spacing w:val="-1"/>
          <w:sz w:val="20"/>
        </w:rPr>
        <w:t>Inequality:</w:t>
      </w:r>
      <w:r>
        <w:rPr>
          <w:rFonts w:ascii="Segoe UI"/>
          <w:i/>
          <w:color w:val="231F20"/>
          <w:spacing w:val="-4"/>
          <w:sz w:val="20"/>
        </w:rPr>
        <w:t> </w:t>
      </w:r>
      <w:r>
        <w:rPr>
          <w:rFonts w:ascii="Segoe UI"/>
          <w:i/>
          <w:color w:val="231F20"/>
          <w:spacing w:val="-1"/>
          <w:sz w:val="20"/>
        </w:rPr>
        <w:t>CAEPR</w:t>
      </w:r>
      <w:r>
        <w:rPr>
          <w:rFonts w:ascii="Segoe UI"/>
          <w:i/>
          <w:color w:val="231F20"/>
          <w:spacing w:val="-4"/>
          <w:sz w:val="20"/>
        </w:rPr>
        <w:t> </w:t>
      </w:r>
      <w:r>
        <w:rPr>
          <w:rFonts w:ascii="Segoe UI"/>
          <w:i/>
          <w:color w:val="231F20"/>
          <w:spacing w:val="-1"/>
          <w:sz w:val="20"/>
        </w:rPr>
        <w:t>2016</w:t>
      </w:r>
      <w:r>
        <w:rPr>
          <w:rFonts w:ascii="Segoe UI"/>
          <w:i/>
          <w:color w:val="231F20"/>
          <w:spacing w:val="-3"/>
          <w:sz w:val="20"/>
        </w:rPr>
        <w:t> </w:t>
      </w:r>
      <w:r>
        <w:rPr>
          <w:rFonts w:ascii="Segoe UI"/>
          <w:i/>
          <w:color w:val="231F20"/>
          <w:spacing w:val="-1"/>
          <w:sz w:val="20"/>
        </w:rPr>
        <w:t>Census</w:t>
      </w:r>
      <w:r>
        <w:rPr>
          <w:rFonts w:ascii="Segoe UI"/>
          <w:i/>
          <w:color w:val="231F20"/>
          <w:spacing w:val="-5"/>
          <w:sz w:val="20"/>
        </w:rPr>
        <w:t> </w:t>
      </w:r>
      <w:r>
        <w:rPr>
          <w:rFonts w:ascii="Segoe UI"/>
          <w:i/>
          <w:color w:val="231F20"/>
          <w:spacing w:val="-1"/>
          <w:sz w:val="20"/>
        </w:rPr>
        <w:t>Paper</w:t>
      </w:r>
      <w:r>
        <w:rPr>
          <w:rFonts w:ascii="Segoe UI"/>
          <w:i/>
          <w:color w:val="231F20"/>
          <w:spacing w:val="-3"/>
          <w:sz w:val="20"/>
        </w:rPr>
        <w:t> </w:t>
      </w:r>
      <w:r>
        <w:rPr>
          <w:rFonts w:ascii="Segoe UI"/>
          <w:i/>
          <w:color w:val="231F20"/>
          <w:sz w:val="20"/>
        </w:rPr>
        <w:t>No.</w:t>
      </w:r>
      <w:r>
        <w:rPr>
          <w:rFonts w:ascii="Segoe UI"/>
          <w:i/>
          <w:color w:val="231F20"/>
          <w:spacing w:val="-4"/>
          <w:sz w:val="20"/>
        </w:rPr>
        <w:t> </w:t>
      </w:r>
      <w:r>
        <w:rPr>
          <w:rFonts w:ascii="Segoe UI"/>
          <w:i/>
          <w:color w:val="231F20"/>
          <w:spacing w:val="-1"/>
          <w:sz w:val="20"/>
        </w:rPr>
        <w:t>2</w:t>
      </w:r>
      <w:r>
        <w:rPr>
          <w:rFonts w:ascii="Segoe UI"/>
          <w:color w:val="231F20"/>
          <w:spacing w:val="-1"/>
          <w:sz w:val="20"/>
        </w:rPr>
        <w:t>,</w:t>
      </w:r>
      <w:r>
        <w:rPr>
          <w:rFonts w:ascii="Segoe UI"/>
          <w:color w:val="231F20"/>
          <w:spacing w:val="29"/>
          <w:w w:val="99"/>
          <w:sz w:val="20"/>
        </w:rPr>
        <w:t> </w:t>
      </w:r>
      <w:r>
        <w:rPr>
          <w:rFonts w:ascii="Segoe UI"/>
          <w:color w:val="231F20"/>
          <w:spacing w:val="-1"/>
          <w:sz w:val="20"/>
        </w:rPr>
        <w:t>CAEPR,</w:t>
      </w:r>
      <w:r>
        <w:rPr>
          <w:rFonts w:ascii="Segoe UI"/>
          <w:color w:val="231F20"/>
          <w:spacing w:val="-4"/>
          <w:sz w:val="20"/>
        </w:rPr>
        <w:t> </w:t>
      </w:r>
      <w:r>
        <w:rPr>
          <w:rFonts w:ascii="Segoe UI"/>
          <w:color w:val="231F20"/>
          <w:spacing w:val="-1"/>
          <w:sz w:val="20"/>
        </w:rPr>
        <w:t>2018</w:t>
      </w:r>
      <w:r>
        <w:rPr>
          <w:rFonts w:ascii="Segoe UI"/>
          <w:color w:val="231F20"/>
          <w:spacing w:val="-3"/>
          <w:sz w:val="20"/>
        </w:rPr>
        <w:t> </w:t>
      </w:r>
      <w:r>
        <w:rPr>
          <w:rFonts w:ascii="Segoe UI"/>
          <w:color w:val="231F20"/>
          <w:sz w:val="20"/>
        </w:rPr>
        <w:t>(Markham,</w:t>
      </w:r>
      <w:r>
        <w:rPr>
          <w:rFonts w:ascii="Segoe UI"/>
          <w:color w:val="231F20"/>
          <w:spacing w:val="-4"/>
          <w:sz w:val="20"/>
        </w:rPr>
        <w:t> </w:t>
      </w:r>
      <w:r>
        <w:rPr>
          <w:rFonts w:ascii="Segoe UI"/>
          <w:color w:val="231F20"/>
          <w:sz w:val="20"/>
        </w:rPr>
        <w:t>2018)</w:t>
      </w:r>
      <w:r>
        <w:rPr>
          <w:rFonts w:ascii="Segoe UI"/>
          <w:sz w:val="20"/>
        </w:rPr>
      </w:r>
    </w:p>
    <w:p>
      <w:pPr>
        <w:spacing w:line="250" w:lineRule="exact" w:before="113"/>
        <w:ind w:left="100" w:right="519" w:firstLine="0"/>
        <w:jc w:val="left"/>
        <w:rPr>
          <w:rFonts w:ascii="Segoe UI" w:hAnsi="Segoe UI" w:cs="Segoe UI" w:eastAsia="Segoe UI"/>
          <w:sz w:val="20"/>
          <w:szCs w:val="20"/>
        </w:rPr>
      </w:pPr>
      <w:r>
        <w:rPr>
          <w:rFonts w:ascii="Segoe UI" w:hAnsi="Segoe UI" w:cs="Segoe UI" w:eastAsia="Segoe UI"/>
          <w:color w:val="231F20"/>
          <w:sz w:val="20"/>
          <w:szCs w:val="20"/>
        </w:rPr>
        <w:t>O’Bryan,</w:t>
      </w:r>
      <w:r>
        <w:rPr>
          <w:rFonts w:ascii="Segoe UI" w:hAnsi="Segoe UI" w:cs="Segoe UI" w:eastAsia="Segoe UI"/>
          <w:color w:val="231F20"/>
          <w:spacing w:val="-7"/>
          <w:sz w:val="20"/>
          <w:szCs w:val="20"/>
        </w:rPr>
        <w:t> </w:t>
      </w:r>
      <w:r>
        <w:rPr>
          <w:rFonts w:ascii="Segoe UI" w:hAnsi="Segoe UI" w:cs="Segoe UI" w:eastAsia="Segoe UI"/>
          <w:color w:val="231F20"/>
          <w:sz w:val="20"/>
          <w:szCs w:val="20"/>
        </w:rPr>
        <w:t>M,</w:t>
      </w:r>
      <w:r>
        <w:rPr>
          <w:rFonts w:ascii="Segoe UI" w:hAnsi="Segoe UI" w:cs="Segoe UI" w:eastAsia="Segoe UI"/>
          <w:color w:val="231F20"/>
          <w:spacing w:val="-8"/>
          <w:sz w:val="20"/>
          <w:szCs w:val="20"/>
        </w:rPr>
        <w:t> </w:t>
      </w:r>
      <w:r>
        <w:rPr>
          <w:rFonts w:ascii="Segoe UI" w:hAnsi="Segoe UI" w:cs="Segoe UI" w:eastAsia="Segoe UI"/>
          <w:i/>
          <w:color w:val="231F20"/>
          <w:spacing w:val="-1"/>
          <w:sz w:val="20"/>
          <w:szCs w:val="20"/>
        </w:rPr>
        <w:t>Shaping</w:t>
      </w:r>
      <w:r>
        <w:rPr>
          <w:rFonts w:ascii="Segoe UI" w:hAnsi="Segoe UI" w:cs="Segoe UI" w:eastAsia="Segoe UI"/>
          <w:i/>
          <w:color w:val="231F20"/>
          <w:spacing w:val="-6"/>
          <w:sz w:val="20"/>
          <w:szCs w:val="20"/>
        </w:rPr>
        <w:t> </w:t>
      </w:r>
      <w:r>
        <w:rPr>
          <w:rFonts w:ascii="Segoe UI" w:hAnsi="Segoe UI" w:cs="Segoe UI" w:eastAsia="Segoe UI"/>
          <w:i/>
          <w:color w:val="231F20"/>
          <w:spacing w:val="-1"/>
          <w:sz w:val="20"/>
          <w:szCs w:val="20"/>
        </w:rPr>
        <w:t>futures,</w:t>
      </w:r>
      <w:r>
        <w:rPr>
          <w:rFonts w:ascii="Segoe UI" w:hAnsi="Segoe UI" w:cs="Segoe UI" w:eastAsia="Segoe UI"/>
          <w:i/>
          <w:color w:val="231F20"/>
          <w:spacing w:val="-7"/>
          <w:sz w:val="20"/>
          <w:szCs w:val="20"/>
        </w:rPr>
        <w:t> </w:t>
      </w:r>
      <w:r>
        <w:rPr>
          <w:rFonts w:ascii="Segoe UI" w:hAnsi="Segoe UI" w:cs="Segoe UI" w:eastAsia="Segoe UI"/>
          <w:i/>
          <w:color w:val="231F20"/>
          <w:sz w:val="20"/>
          <w:szCs w:val="20"/>
        </w:rPr>
        <w:t>shaping</w:t>
      </w:r>
      <w:r>
        <w:rPr>
          <w:rFonts w:ascii="Segoe UI" w:hAnsi="Segoe UI" w:cs="Segoe UI" w:eastAsia="Segoe UI"/>
          <w:i/>
          <w:color w:val="231F20"/>
          <w:spacing w:val="-6"/>
          <w:sz w:val="20"/>
          <w:szCs w:val="20"/>
        </w:rPr>
        <w:t> </w:t>
      </w:r>
      <w:r>
        <w:rPr>
          <w:rFonts w:ascii="Segoe UI" w:hAnsi="Segoe UI" w:cs="Segoe UI" w:eastAsia="Segoe UI"/>
          <w:i/>
          <w:color w:val="231F20"/>
          <w:spacing w:val="-1"/>
          <w:sz w:val="20"/>
          <w:szCs w:val="20"/>
        </w:rPr>
        <w:t>lives:</w:t>
      </w:r>
      <w:r>
        <w:rPr>
          <w:rFonts w:ascii="Segoe UI" w:hAnsi="Segoe UI" w:cs="Segoe UI" w:eastAsia="Segoe UI"/>
          <w:i/>
          <w:color w:val="231F20"/>
          <w:spacing w:val="23"/>
          <w:w w:val="99"/>
          <w:sz w:val="20"/>
          <w:szCs w:val="20"/>
        </w:rPr>
        <w:t> </w:t>
      </w:r>
      <w:r>
        <w:rPr>
          <w:rFonts w:ascii="Segoe UI" w:hAnsi="Segoe UI" w:cs="Segoe UI" w:eastAsia="Segoe UI"/>
          <w:i/>
          <w:color w:val="231F20"/>
          <w:sz w:val="20"/>
          <w:szCs w:val="20"/>
        </w:rPr>
        <w:t>an</w:t>
      </w:r>
      <w:r>
        <w:rPr>
          <w:rFonts w:ascii="Segoe UI" w:hAnsi="Segoe UI" w:cs="Segoe UI" w:eastAsia="Segoe UI"/>
          <w:i/>
          <w:color w:val="231F20"/>
          <w:spacing w:val="-3"/>
          <w:sz w:val="20"/>
          <w:szCs w:val="20"/>
        </w:rPr>
        <w:t> </w:t>
      </w:r>
      <w:r>
        <w:rPr>
          <w:rFonts w:ascii="Segoe UI" w:hAnsi="Segoe UI" w:cs="Segoe UI" w:eastAsia="Segoe UI"/>
          <w:i/>
          <w:color w:val="231F20"/>
          <w:spacing w:val="-1"/>
          <w:sz w:val="20"/>
          <w:szCs w:val="20"/>
        </w:rPr>
        <w:t>investigation</w:t>
      </w:r>
      <w:r>
        <w:rPr>
          <w:rFonts w:ascii="Segoe UI" w:hAnsi="Segoe UI" w:cs="Segoe UI" w:eastAsia="Segoe UI"/>
          <w:i/>
          <w:color w:val="231F20"/>
          <w:spacing w:val="-4"/>
          <w:sz w:val="20"/>
          <w:szCs w:val="20"/>
        </w:rPr>
        <w:t> </w:t>
      </w:r>
      <w:r>
        <w:rPr>
          <w:rFonts w:ascii="Segoe UI" w:hAnsi="Segoe UI" w:cs="Segoe UI" w:eastAsia="Segoe UI"/>
          <w:i/>
          <w:color w:val="231F20"/>
          <w:sz w:val="20"/>
          <w:szCs w:val="20"/>
        </w:rPr>
        <w:t>into</w:t>
      </w:r>
      <w:r>
        <w:rPr>
          <w:rFonts w:ascii="Segoe UI" w:hAnsi="Segoe UI" w:cs="Segoe UI" w:eastAsia="Segoe UI"/>
          <w:i/>
          <w:color w:val="231F20"/>
          <w:spacing w:val="-3"/>
          <w:sz w:val="20"/>
          <w:szCs w:val="20"/>
        </w:rPr>
        <w:t> </w:t>
      </w:r>
      <w:r>
        <w:rPr>
          <w:rFonts w:ascii="Segoe UI" w:hAnsi="Segoe UI" w:cs="Segoe UI" w:eastAsia="Segoe UI"/>
          <w:i/>
          <w:color w:val="231F20"/>
          <w:spacing w:val="-1"/>
          <w:sz w:val="20"/>
          <w:szCs w:val="20"/>
        </w:rPr>
        <w:t>the</w:t>
      </w:r>
      <w:r>
        <w:rPr>
          <w:rFonts w:ascii="Segoe UI" w:hAnsi="Segoe UI" w:cs="Segoe UI" w:eastAsia="Segoe UI"/>
          <w:i/>
          <w:color w:val="231F20"/>
          <w:spacing w:val="-3"/>
          <w:sz w:val="20"/>
          <w:szCs w:val="20"/>
        </w:rPr>
        <w:t> </w:t>
      </w:r>
      <w:r>
        <w:rPr>
          <w:rFonts w:ascii="Segoe UI" w:hAnsi="Segoe UI" w:cs="Segoe UI" w:eastAsia="Segoe UI"/>
          <w:i/>
          <w:color w:val="231F20"/>
          <w:spacing w:val="-1"/>
          <w:sz w:val="20"/>
          <w:szCs w:val="20"/>
        </w:rPr>
        <w:t>lived</w:t>
      </w:r>
      <w:r>
        <w:rPr>
          <w:rFonts w:ascii="Segoe UI" w:hAnsi="Segoe UI" w:cs="Segoe UI" w:eastAsia="Segoe UI"/>
          <w:i/>
          <w:color w:val="231F20"/>
          <w:spacing w:val="-3"/>
          <w:sz w:val="20"/>
          <w:szCs w:val="20"/>
        </w:rPr>
        <w:t> </w:t>
      </w:r>
      <w:r>
        <w:rPr>
          <w:rFonts w:ascii="Segoe UI" w:hAnsi="Segoe UI" w:cs="Segoe UI" w:eastAsia="Segoe UI"/>
          <w:i/>
          <w:color w:val="231F20"/>
          <w:spacing w:val="-1"/>
          <w:sz w:val="20"/>
          <w:szCs w:val="20"/>
        </w:rPr>
        <w:t>experience</w:t>
      </w:r>
      <w:r>
        <w:rPr>
          <w:rFonts w:ascii="Segoe UI" w:hAnsi="Segoe UI" w:cs="Segoe UI" w:eastAsia="Segoe UI"/>
          <w:i/>
          <w:color w:val="231F20"/>
          <w:spacing w:val="-3"/>
          <w:sz w:val="20"/>
          <w:szCs w:val="20"/>
        </w:rPr>
        <w:t> </w:t>
      </w:r>
      <w:r>
        <w:rPr>
          <w:rFonts w:ascii="Segoe UI" w:hAnsi="Segoe UI" w:cs="Segoe UI" w:eastAsia="Segoe UI"/>
          <w:i/>
          <w:color w:val="231F20"/>
          <w:spacing w:val="-2"/>
          <w:sz w:val="20"/>
          <w:szCs w:val="20"/>
        </w:rPr>
        <w:t>of</w:t>
      </w:r>
      <w:r>
        <w:rPr>
          <w:rFonts w:ascii="Segoe UI" w:hAnsi="Segoe UI" w:cs="Segoe UI" w:eastAsia="Segoe UI"/>
          <w:i/>
          <w:color w:val="231F20"/>
          <w:spacing w:val="43"/>
          <w:w w:val="99"/>
          <w:sz w:val="20"/>
          <w:szCs w:val="20"/>
        </w:rPr>
        <w:t> </w:t>
      </w:r>
      <w:r>
        <w:rPr>
          <w:rFonts w:ascii="Segoe UI" w:hAnsi="Segoe UI" w:cs="Segoe UI" w:eastAsia="Segoe UI"/>
          <w:i/>
          <w:color w:val="231F20"/>
          <w:sz w:val="20"/>
          <w:szCs w:val="20"/>
        </w:rPr>
        <w:t>Aboriginal</w:t>
      </w:r>
      <w:r>
        <w:rPr>
          <w:rFonts w:ascii="Segoe UI" w:hAnsi="Segoe UI" w:cs="Segoe UI" w:eastAsia="Segoe UI"/>
          <w:i/>
          <w:color w:val="231F20"/>
          <w:spacing w:val="-5"/>
          <w:sz w:val="20"/>
          <w:szCs w:val="20"/>
        </w:rPr>
        <w:t> </w:t>
      </w:r>
      <w:r>
        <w:rPr>
          <w:rFonts w:ascii="Segoe UI" w:hAnsi="Segoe UI" w:cs="Segoe UI" w:eastAsia="Segoe UI"/>
          <w:i/>
          <w:color w:val="231F20"/>
          <w:sz w:val="20"/>
          <w:szCs w:val="20"/>
        </w:rPr>
        <w:t>and</w:t>
      </w:r>
      <w:r>
        <w:rPr>
          <w:rFonts w:ascii="Segoe UI" w:hAnsi="Segoe UI" w:cs="Segoe UI" w:eastAsia="Segoe UI"/>
          <w:i/>
          <w:color w:val="231F20"/>
          <w:spacing w:val="-4"/>
          <w:sz w:val="20"/>
          <w:szCs w:val="20"/>
        </w:rPr>
        <w:t> </w:t>
      </w:r>
      <w:r>
        <w:rPr>
          <w:rFonts w:ascii="Segoe UI" w:hAnsi="Segoe UI" w:cs="Segoe UI" w:eastAsia="Segoe UI"/>
          <w:i/>
          <w:color w:val="231F20"/>
          <w:spacing w:val="-5"/>
          <w:sz w:val="20"/>
          <w:szCs w:val="20"/>
        </w:rPr>
        <w:t>T</w:t>
      </w:r>
      <w:r>
        <w:rPr>
          <w:rFonts w:ascii="Segoe UI" w:hAnsi="Segoe UI" w:cs="Segoe UI" w:eastAsia="Segoe UI"/>
          <w:i/>
          <w:color w:val="231F20"/>
          <w:spacing w:val="-4"/>
          <w:sz w:val="20"/>
          <w:szCs w:val="20"/>
        </w:rPr>
        <w:t>orr</w:t>
      </w:r>
      <w:r>
        <w:rPr>
          <w:rFonts w:ascii="Segoe UI" w:hAnsi="Segoe UI" w:cs="Segoe UI" w:eastAsia="Segoe UI"/>
          <w:i/>
          <w:color w:val="231F20"/>
          <w:spacing w:val="-5"/>
          <w:sz w:val="20"/>
          <w:szCs w:val="20"/>
        </w:rPr>
        <w:t>es </w:t>
      </w:r>
      <w:r>
        <w:rPr>
          <w:rFonts w:ascii="Segoe UI" w:hAnsi="Segoe UI" w:cs="Segoe UI" w:eastAsia="Segoe UI"/>
          <w:i/>
          <w:color w:val="231F20"/>
          <w:spacing w:val="-1"/>
          <w:sz w:val="20"/>
          <w:szCs w:val="20"/>
        </w:rPr>
        <w:t>Strait</w:t>
      </w:r>
      <w:r>
        <w:rPr>
          <w:rFonts w:ascii="Segoe UI" w:hAnsi="Segoe UI" w:cs="Segoe UI" w:eastAsia="Segoe UI"/>
          <w:i/>
          <w:color w:val="231F20"/>
          <w:spacing w:val="-4"/>
          <w:sz w:val="20"/>
          <w:szCs w:val="20"/>
        </w:rPr>
        <w:t> </w:t>
      </w:r>
      <w:r>
        <w:rPr>
          <w:rFonts w:ascii="Segoe UI" w:hAnsi="Segoe UI" w:cs="Segoe UI" w:eastAsia="Segoe UI"/>
          <w:i/>
          <w:color w:val="231F20"/>
          <w:spacing w:val="-1"/>
          <w:sz w:val="20"/>
          <w:szCs w:val="20"/>
        </w:rPr>
        <w:t>Islander</w:t>
      </w:r>
      <w:r>
        <w:rPr>
          <w:rFonts w:ascii="Segoe UI" w:hAnsi="Segoe UI" w:cs="Segoe UI" w:eastAsia="Segoe UI"/>
          <w:i/>
          <w:color w:val="231F20"/>
          <w:spacing w:val="-3"/>
          <w:sz w:val="20"/>
          <w:szCs w:val="20"/>
        </w:rPr>
        <w:t> </w:t>
      </w:r>
      <w:r>
        <w:rPr>
          <w:rFonts w:ascii="Segoe UI" w:hAnsi="Segoe UI" w:cs="Segoe UI" w:eastAsia="Segoe UI"/>
          <w:i/>
          <w:color w:val="231F20"/>
          <w:sz w:val="20"/>
          <w:szCs w:val="20"/>
        </w:rPr>
        <w:t>students</w:t>
      </w:r>
      <w:r>
        <w:rPr>
          <w:rFonts w:ascii="Segoe UI" w:hAnsi="Segoe UI" w:cs="Segoe UI" w:eastAsia="Segoe UI"/>
          <w:i/>
          <w:color w:val="231F20"/>
          <w:spacing w:val="29"/>
          <w:sz w:val="20"/>
          <w:szCs w:val="20"/>
        </w:rPr>
        <w:t> </w:t>
      </w:r>
      <w:r>
        <w:rPr>
          <w:rFonts w:ascii="Segoe UI" w:hAnsi="Segoe UI" w:cs="Segoe UI" w:eastAsia="Segoe UI"/>
          <w:i/>
          <w:color w:val="231F20"/>
          <w:sz w:val="20"/>
          <w:szCs w:val="20"/>
        </w:rPr>
        <w:t>in</w:t>
      </w:r>
      <w:r>
        <w:rPr>
          <w:rFonts w:ascii="Segoe UI" w:hAnsi="Segoe UI" w:cs="Segoe UI" w:eastAsia="Segoe UI"/>
          <w:i/>
          <w:color w:val="231F20"/>
          <w:spacing w:val="-6"/>
          <w:sz w:val="20"/>
          <w:szCs w:val="20"/>
        </w:rPr>
        <w:t> </w:t>
      </w:r>
      <w:r>
        <w:rPr>
          <w:rFonts w:ascii="Segoe UI" w:hAnsi="Segoe UI" w:cs="Segoe UI" w:eastAsia="Segoe UI"/>
          <w:i/>
          <w:color w:val="231F20"/>
          <w:spacing w:val="-1"/>
          <w:sz w:val="20"/>
          <w:szCs w:val="20"/>
        </w:rPr>
        <w:t>Australian</w:t>
      </w:r>
      <w:r>
        <w:rPr>
          <w:rFonts w:ascii="Segoe UI" w:hAnsi="Segoe UI" w:cs="Segoe UI" w:eastAsia="Segoe UI"/>
          <w:i/>
          <w:color w:val="231F20"/>
          <w:spacing w:val="-4"/>
          <w:sz w:val="20"/>
          <w:szCs w:val="20"/>
        </w:rPr>
        <w:t> </w:t>
      </w:r>
      <w:r>
        <w:rPr>
          <w:rFonts w:ascii="Segoe UI" w:hAnsi="Segoe UI" w:cs="Segoe UI" w:eastAsia="Segoe UI"/>
          <w:i/>
          <w:color w:val="231F20"/>
          <w:spacing w:val="-1"/>
          <w:sz w:val="20"/>
          <w:szCs w:val="20"/>
        </w:rPr>
        <w:t>boarding</w:t>
      </w:r>
      <w:r>
        <w:rPr>
          <w:rFonts w:ascii="Segoe UI" w:hAnsi="Segoe UI" w:cs="Segoe UI" w:eastAsia="Segoe UI"/>
          <w:i/>
          <w:color w:val="231F20"/>
          <w:spacing w:val="-4"/>
          <w:sz w:val="20"/>
          <w:szCs w:val="20"/>
        </w:rPr>
        <w:t> </w:t>
      </w:r>
      <w:r>
        <w:rPr>
          <w:rFonts w:ascii="Segoe UI" w:hAnsi="Segoe UI" w:cs="Segoe UI" w:eastAsia="Segoe UI"/>
          <w:i/>
          <w:color w:val="231F20"/>
          <w:spacing w:val="-1"/>
          <w:sz w:val="20"/>
          <w:szCs w:val="20"/>
        </w:rPr>
        <w:t>schools</w:t>
      </w:r>
      <w:r>
        <w:rPr>
          <w:rFonts w:ascii="Segoe UI" w:hAnsi="Segoe UI" w:cs="Segoe UI" w:eastAsia="Segoe UI"/>
          <w:color w:val="231F20"/>
          <w:spacing w:val="-1"/>
          <w:sz w:val="20"/>
          <w:szCs w:val="20"/>
        </w:rPr>
        <w:t>,</w:t>
      </w:r>
      <w:r>
        <w:rPr>
          <w:rFonts w:ascii="Segoe UI" w:hAnsi="Segoe UI" w:cs="Segoe UI" w:eastAsia="Segoe UI"/>
          <w:color w:val="231F20"/>
          <w:spacing w:val="-4"/>
          <w:sz w:val="20"/>
          <w:szCs w:val="20"/>
        </w:rPr>
        <w:t> </w:t>
      </w:r>
      <w:r>
        <w:rPr>
          <w:rFonts w:ascii="Segoe UI" w:hAnsi="Segoe UI" w:cs="Segoe UI" w:eastAsia="Segoe UI"/>
          <w:color w:val="231F20"/>
          <w:sz w:val="20"/>
          <w:szCs w:val="20"/>
        </w:rPr>
        <w:t>University</w:t>
      </w:r>
      <w:r>
        <w:rPr>
          <w:rFonts w:ascii="Segoe UI" w:hAnsi="Segoe UI" w:cs="Segoe UI" w:eastAsia="Segoe UI"/>
          <w:color w:val="231F20"/>
          <w:spacing w:val="-4"/>
          <w:sz w:val="20"/>
          <w:szCs w:val="20"/>
        </w:rPr>
        <w:t> </w:t>
      </w:r>
      <w:r>
        <w:rPr>
          <w:rFonts w:ascii="Segoe UI" w:hAnsi="Segoe UI" w:cs="Segoe UI" w:eastAsia="Segoe UI"/>
          <w:color w:val="231F20"/>
          <w:sz w:val="20"/>
          <w:szCs w:val="20"/>
        </w:rPr>
        <w:t>of</w:t>
      </w:r>
      <w:r>
        <w:rPr>
          <w:rFonts w:ascii="Segoe UI" w:hAnsi="Segoe UI" w:cs="Segoe UI" w:eastAsia="Segoe UI"/>
          <w:color w:val="231F20"/>
          <w:spacing w:val="37"/>
          <w:w w:val="99"/>
          <w:sz w:val="20"/>
          <w:szCs w:val="20"/>
        </w:rPr>
        <w:t> </w:t>
      </w:r>
      <w:r>
        <w:rPr>
          <w:rFonts w:ascii="Segoe UI" w:hAnsi="Segoe UI" w:cs="Segoe UI" w:eastAsia="Segoe UI"/>
          <w:color w:val="231F20"/>
          <w:sz w:val="20"/>
          <w:szCs w:val="20"/>
        </w:rPr>
        <w:t>Melbourne,</w:t>
      </w:r>
      <w:r>
        <w:rPr>
          <w:rFonts w:ascii="Segoe UI" w:hAnsi="Segoe UI" w:cs="Segoe UI" w:eastAsia="Segoe UI"/>
          <w:color w:val="231F20"/>
          <w:spacing w:val="-7"/>
          <w:sz w:val="20"/>
          <w:szCs w:val="20"/>
        </w:rPr>
        <w:t> </w:t>
      </w:r>
      <w:r>
        <w:rPr>
          <w:rFonts w:ascii="Segoe UI" w:hAnsi="Segoe UI" w:cs="Segoe UI" w:eastAsia="Segoe UI"/>
          <w:color w:val="231F20"/>
          <w:spacing w:val="-1"/>
          <w:sz w:val="20"/>
          <w:szCs w:val="20"/>
        </w:rPr>
        <w:t>2016</w:t>
      </w:r>
      <w:r>
        <w:rPr>
          <w:rFonts w:ascii="Segoe UI" w:hAnsi="Segoe UI" w:cs="Segoe UI" w:eastAsia="Segoe UI"/>
          <w:color w:val="231F20"/>
          <w:spacing w:val="-6"/>
          <w:sz w:val="20"/>
          <w:szCs w:val="20"/>
        </w:rPr>
        <w:t> </w:t>
      </w:r>
      <w:r>
        <w:rPr>
          <w:rFonts w:ascii="Segoe UI" w:hAnsi="Segoe UI" w:cs="Segoe UI" w:eastAsia="Segoe UI"/>
          <w:color w:val="231F20"/>
          <w:sz w:val="20"/>
          <w:szCs w:val="20"/>
        </w:rPr>
        <w:t>(O’Bryan,</w:t>
      </w:r>
      <w:r>
        <w:rPr>
          <w:rFonts w:ascii="Segoe UI" w:hAnsi="Segoe UI" w:cs="Segoe UI" w:eastAsia="Segoe UI"/>
          <w:color w:val="231F20"/>
          <w:spacing w:val="-7"/>
          <w:sz w:val="20"/>
          <w:szCs w:val="20"/>
        </w:rPr>
        <w:t> </w:t>
      </w:r>
      <w:r>
        <w:rPr>
          <w:rFonts w:ascii="Segoe UI" w:hAnsi="Segoe UI" w:cs="Segoe UI" w:eastAsia="Segoe UI"/>
          <w:color w:val="231F20"/>
          <w:sz w:val="20"/>
          <w:szCs w:val="20"/>
        </w:rPr>
        <w:t>2016)</w:t>
      </w:r>
      <w:r>
        <w:rPr>
          <w:rFonts w:ascii="Segoe UI" w:hAnsi="Segoe UI" w:cs="Segoe UI" w:eastAsia="Segoe UI"/>
          <w:sz w:val="20"/>
          <w:szCs w:val="20"/>
        </w:rPr>
      </w:r>
    </w:p>
    <w:p>
      <w:pPr>
        <w:spacing w:after="0" w:line="250" w:lineRule="exact"/>
        <w:jc w:val="left"/>
        <w:rPr>
          <w:rFonts w:ascii="Segoe UI" w:hAnsi="Segoe UI" w:cs="Segoe UI" w:eastAsia="Segoe UI"/>
          <w:sz w:val="20"/>
          <w:szCs w:val="20"/>
        </w:rPr>
        <w:sectPr>
          <w:type w:val="continuous"/>
          <w:pgSz w:w="11910" w:h="16840"/>
          <w:pgMar w:top="1580" w:bottom="280" w:left="1600" w:right="1300"/>
          <w:cols w:num="2" w:equalWidth="0">
            <w:col w:w="4297" w:space="238"/>
            <w:col w:w="4475"/>
          </w:cols>
        </w:sectPr>
      </w:pPr>
    </w:p>
    <w:p>
      <w:pPr>
        <w:spacing w:line="240" w:lineRule="auto" w:before="0"/>
        <w:rPr>
          <w:rFonts w:ascii="Segoe UI" w:hAnsi="Segoe UI" w:cs="Segoe UI" w:eastAsia="Segoe UI"/>
          <w:sz w:val="20"/>
          <w:szCs w:val="20"/>
        </w:rPr>
      </w:pPr>
    </w:p>
    <w:p>
      <w:pPr>
        <w:spacing w:line="240" w:lineRule="auto" w:before="8"/>
        <w:rPr>
          <w:rFonts w:ascii="Segoe UI" w:hAnsi="Segoe UI" w:cs="Segoe UI" w:eastAsia="Segoe UI"/>
          <w:sz w:val="21"/>
          <w:szCs w:val="21"/>
        </w:rPr>
      </w:pPr>
    </w:p>
    <w:p>
      <w:pPr>
        <w:pStyle w:val="BodyText"/>
        <w:spacing w:line="250" w:lineRule="exact" w:before="62"/>
        <w:ind w:right="4646"/>
        <w:jc w:val="left"/>
      </w:pPr>
      <w:r>
        <w:rPr>
          <w:color w:val="231F20"/>
        </w:rPr>
        <w:t>Queensland</w:t>
      </w:r>
      <w:r>
        <w:rPr>
          <w:color w:val="231F20"/>
          <w:spacing w:val="-11"/>
        </w:rPr>
        <w:t> </w:t>
      </w:r>
      <w:r>
        <w:rPr>
          <w:color w:val="231F20"/>
          <w:spacing w:val="-1"/>
        </w:rPr>
        <w:t>Indigenous</w:t>
      </w:r>
      <w:r>
        <w:rPr>
          <w:color w:val="231F20"/>
          <w:spacing w:val="-10"/>
        </w:rPr>
        <w:t> </w:t>
      </w:r>
      <w:r>
        <w:rPr>
          <w:color w:val="231F20"/>
        </w:rPr>
        <w:t>Education</w:t>
      </w:r>
      <w:r>
        <w:rPr>
          <w:color w:val="231F20"/>
          <w:spacing w:val="-11"/>
        </w:rPr>
        <w:t> </w:t>
      </w:r>
      <w:r>
        <w:rPr>
          <w:color w:val="231F20"/>
          <w:spacing w:val="-1"/>
        </w:rPr>
        <w:t>Consultative</w:t>
      </w:r>
      <w:r>
        <w:rPr>
          <w:color w:val="231F20"/>
          <w:spacing w:val="21"/>
        </w:rPr>
        <w:t> </w:t>
      </w:r>
      <w:r>
        <w:rPr>
          <w:color w:val="231F20"/>
          <w:spacing w:val="-1"/>
        </w:rPr>
        <w:t>Body,</w:t>
      </w:r>
      <w:r>
        <w:rPr>
          <w:color w:val="231F20"/>
          <w:spacing w:val="-3"/>
        </w:rPr>
        <w:t> </w:t>
      </w:r>
      <w:r>
        <w:rPr>
          <w:rFonts w:ascii="Segoe UI"/>
          <w:i/>
          <w:color w:val="231F20"/>
          <w:spacing w:val="-2"/>
        </w:rPr>
        <w:t>Position </w:t>
      </w:r>
      <w:r>
        <w:rPr>
          <w:rFonts w:ascii="Segoe UI"/>
          <w:i/>
          <w:color w:val="231F20"/>
          <w:spacing w:val="-4"/>
        </w:rPr>
        <w:t>P</w:t>
      </w:r>
      <w:r>
        <w:rPr>
          <w:rFonts w:ascii="Segoe UI"/>
          <w:i/>
          <w:color w:val="231F20"/>
          <w:spacing w:val="-5"/>
        </w:rPr>
        <w:t>aper,</w:t>
      </w:r>
      <w:r>
        <w:rPr>
          <w:rFonts w:ascii="Segoe UI"/>
          <w:i/>
          <w:color w:val="231F20"/>
          <w:spacing w:val="-2"/>
        </w:rPr>
        <w:t> </w:t>
      </w:r>
      <w:r>
        <w:rPr>
          <w:rFonts w:ascii="Segoe UI"/>
          <w:i/>
          <w:color w:val="231F20"/>
          <w:spacing w:val="-1"/>
        </w:rPr>
        <w:t>Boarding</w:t>
      </w:r>
      <w:r>
        <w:rPr>
          <w:rFonts w:ascii="Segoe UI"/>
          <w:i/>
          <w:color w:val="231F20"/>
          <w:spacing w:val="-2"/>
        </w:rPr>
        <w:t> </w:t>
      </w:r>
      <w:r>
        <w:rPr>
          <w:rFonts w:ascii="Segoe UI"/>
          <w:i/>
          <w:color w:val="231F20"/>
        </w:rPr>
        <w:t>Schools</w:t>
      </w:r>
      <w:r>
        <w:rPr>
          <w:color w:val="231F20"/>
        </w:rPr>
        <w:t>,</w:t>
      </w:r>
      <w:r>
        <w:rPr>
          <w:color w:val="231F20"/>
          <w:spacing w:val="-2"/>
        </w:rPr>
        <w:t> </w:t>
      </w:r>
      <w:r>
        <w:rPr>
          <w:color w:val="231F20"/>
          <w:spacing w:val="-1"/>
        </w:rPr>
        <w:t>2000,</w:t>
      </w:r>
      <w:r>
        <w:rPr>
          <w:color w:val="231F20"/>
          <w:spacing w:val="38"/>
        </w:rPr>
        <w:t> </w:t>
      </w:r>
      <w:hyperlink r:id="rId101">
        <w:r>
          <w:rPr>
            <w:color w:val="231F20"/>
          </w:rPr>
          <w:t>http://boardingtrainingaustralia.com.au/wp-</w:t>
        </w:r>
      </w:hyperlink>
      <w:r>
        <w:rPr>
          <w:color w:val="231F20"/>
          <w:w w:val="99"/>
        </w:rPr>
        <w:t> </w:t>
      </w:r>
      <w:r>
        <w:rPr>
          <w:color w:val="231F20"/>
          <w:spacing w:val="-1"/>
        </w:rPr>
        <w:t>content/uploads/2016/04/13.-QIECB_Position_</w:t>
      </w:r>
      <w:r>
        <w:rPr>
          <w:color w:val="231F20"/>
          <w:spacing w:val="71"/>
        </w:rPr>
        <w:t> </w:t>
      </w:r>
      <w:r>
        <w:rPr>
          <w:color w:val="231F20"/>
          <w:spacing w:val="-1"/>
        </w:rPr>
        <w:t>Paper_indigenous-Boarding.pdf</w:t>
      </w:r>
      <w:r>
        <w:rPr/>
      </w:r>
    </w:p>
    <w:p>
      <w:pPr>
        <w:spacing w:line="250" w:lineRule="exact" w:before="113"/>
        <w:ind w:left="117" w:right="4768" w:firstLine="0"/>
        <w:jc w:val="left"/>
        <w:rPr>
          <w:rFonts w:ascii="Segoe UI" w:hAnsi="Segoe UI" w:cs="Segoe UI" w:eastAsia="Segoe UI"/>
          <w:sz w:val="20"/>
          <w:szCs w:val="20"/>
        </w:rPr>
      </w:pPr>
      <w:r>
        <w:rPr>
          <w:rFonts w:ascii="Segoe UI"/>
          <w:color w:val="231F20"/>
          <w:spacing w:val="-1"/>
          <w:sz w:val="20"/>
        </w:rPr>
        <w:t>Rogers,</w:t>
      </w:r>
      <w:r>
        <w:rPr>
          <w:rFonts w:ascii="Segoe UI"/>
          <w:color w:val="231F20"/>
          <w:spacing w:val="-3"/>
          <w:sz w:val="20"/>
        </w:rPr>
        <w:t> </w:t>
      </w:r>
      <w:r>
        <w:rPr>
          <w:rFonts w:ascii="Segoe UI"/>
          <w:color w:val="231F20"/>
          <w:sz w:val="20"/>
        </w:rPr>
        <w:t>Jessa,</w:t>
      </w:r>
      <w:r>
        <w:rPr>
          <w:rFonts w:ascii="Segoe UI"/>
          <w:color w:val="231F20"/>
          <w:spacing w:val="-3"/>
          <w:sz w:val="20"/>
        </w:rPr>
        <w:t> </w:t>
      </w:r>
      <w:r>
        <w:rPr>
          <w:rFonts w:ascii="Segoe UI"/>
          <w:i/>
          <w:color w:val="231F20"/>
          <w:spacing w:val="-2"/>
          <w:sz w:val="20"/>
        </w:rPr>
        <w:t>We</w:t>
      </w:r>
      <w:r>
        <w:rPr>
          <w:rFonts w:ascii="Segoe UI"/>
          <w:i/>
          <w:color w:val="231F20"/>
          <w:spacing w:val="-1"/>
          <w:sz w:val="20"/>
        </w:rPr>
        <w:t> </w:t>
      </w:r>
      <w:r>
        <w:rPr>
          <w:rFonts w:ascii="Segoe UI"/>
          <w:i/>
          <w:color w:val="231F20"/>
          <w:sz w:val="20"/>
        </w:rPr>
        <w:t>need</w:t>
      </w:r>
      <w:r>
        <w:rPr>
          <w:rFonts w:ascii="Segoe UI"/>
          <w:i/>
          <w:color w:val="231F20"/>
          <w:spacing w:val="-2"/>
          <w:sz w:val="20"/>
        </w:rPr>
        <w:t> </w:t>
      </w:r>
      <w:r>
        <w:rPr>
          <w:rFonts w:ascii="Segoe UI"/>
          <w:i/>
          <w:color w:val="231F20"/>
          <w:spacing w:val="-1"/>
          <w:sz w:val="20"/>
        </w:rPr>
        <w:t>to know</w:t>
      </w:r>
      <w:r>
        <w:rPr>
          <w:rFonts w:ascii="Segoe UI"/>
          <w:i/>
          <w:color w:val="231F20"/>
          <w:spacing w:val="-3"/>
          <w:sz w:val="20"/>
        </w:rPr>
        <w:t> </w:t>
      </w:r>
      <w:r>
        <w:rPr>
          <w:rFonts w:ascii="Segoe UI"/>
          <w:i/>
          <w:color w:val="231F20"/>
          <w:spacing w:val="-1"/>
          <w:sz w:val="20"/>
        </w:rPr>
        <w:t>the true</w:t>
      </w:r>
      <w:r>
        <w:rPr>
          <w:rFonts w:ascii="Segoe UI"/>
          <w:i/>
          <w:color w:val="231F20"/>
          <w:spacing w:val="-2"/>
          <w:sz w:val="20"/>
        </w:rPr>
        <w:t> cost</w:t>
      </w:r>
      <w:r>
        <w:rPr>
          <w:rFonts w:ascii="Segoe UI"/>
          <w:i/>
          <w:color w:val="231F20"/>
          <w:spacing w:val="29"/>
          <w:sz w:val="20"/>
        </w:rPr>
        <w:t> </w:t>
      </w:r>
      <w:r>
        <w:rPr>
          <w:rFonts w:ascii="Segoe UI"/>
          <w:i/>
          <w:color w:val="231F20"/>
          <w:spacing w:val="-2"/>
          <w:sz w:val="20"/>
        </w:rPr>
        <w:t>of</w:t>
      </w:r>
      <w:r>
        <w:rPr>
          <w:rFonts w:ascii="Segoe UI"/>
          <w:i/>
          <w:color w:val="231F20"/>
          <w:spacing w:val="-3"/>
          <w:sz w:val="20"/>
        </w:rPr>
        <w:t> </w:t>
      </w:r>
      <w:r>
        <w:rPr>
          <w:rFonts w:ascii="Segoe UI"/>
          <w:i/>
          <w:color w:val="231F20"/>
          <w:spacing w:val="-1"/>
          <w:sz w:val="20"/>
        </w:rPr>
        <w:t>Indigenous</w:t>
      </w:r>
      <w:r>
        <w:rPr>
          <w:rFonts w:ascii="Segoe UI"/>
          <w:i/>
          <w:color w:val="231F20"/>
          <w:spacing w:val="-2"/>
          <w:sz w:val="20"/>
        </w:rPr>
        <w:t> </w:t>
      </w:r>
      <w:r>
        <w:rPr>
          <w:rFonts w:ascii="Segoe UI"/>
          <w:i/>
          <w:color w:val="231F20"/>
          <w:spacing w:val="-1"/>
          <w:sz w:val="20"/>
        </w:rPr>
        <w:t>boarding</w:t>
      </w:r>
      <w:r>
        <w:rPr>
          <w:rFonts w:ascii="Segoe UI"/>
          <w:i/>
          <w:color w:val="231F20"/>
          <w:spacing w:val="-2"/>
          <w:sz w:val="20"/>
        </w:rPr>
        <w:t> </w:t>
      </w:r>
      <w:r>
        <w:rPr>
          <w:rFonts w:ascii="Segoe UI"/>
          <w:i/>
          <w:color w:val="231F20"/>
          <w:spacing w:val="-1"/>
          <w:sz w:val="20"/>
        </w:rPr>
        <w:t>school</w:t>
      </w:r>
      <w:r>
        <w:rPr>
          <w:rFonts w:ascii="Segoe UI"/>
          <w:i/>
          <w:color w:val="231F20"/>
          <w:spacing w:val="-2"/>
          <w:sz w:val="20"/>
        </w:rPr>
        <w:t> </w:t>
      </w:r>
      <w:r>
        <w:rPr>
          <w:rFonts w:ascii="Segoe UI"/>
          <w:i/>
          <w:color w:val="231F20"/>
          <w:spacing w:val="-1"/>
          <w:sz w:val="20"/>
        </w:rPr>
        <w:t>scholarships</w:t>
      </w:r>
      <w:r>
        <w:rPr>
          <w:rFonts w:ascii="Segoe UI"/>
          <w:i/>
          <w:color w:val="231F20"/>
          <w:spacing w:val="-2"/>
          <w:sz w:val="20"/>
        </w:rPr>
        <w:t> </w:t>
      </w:r>
      <w:r>
        <w:rPr>
          <w:rFonts w:ascii="Segoe UI"/>
          <w:i/>
          <w:color w:val="231F20"/>
          <w:spacing w:val="-1"/>
          <w:sz w:val="20"/>
        </w:rPr>
        <w:t>on</w:t>
      </w:r>
      <w:r>
        <w:rPr>
          <w:rFonts w:ascii="Segoe UI"/>
          <w:i/>
          <w:color w:val="231F20"/>
          <w:spacing w:val="38"/>
          <w:sz w:val="20"/>
        </w:rPr>
        <w:t> </w:t>
      </w:r>
      <w:r>
        <w:rPr>
          <w:rFonts w:ascii="Segoe UI"/>
          <w:i/>
          <w:color w:val="231F20"/>
          <w:spacing w:val="-1"/>
          <w:sz w:val="20"/>
        </w:rPr>
        <w:t>communities,</w:t>
      </w:r>
      <w:r>
        <w:rPr>
          <w:rFonts w:ascii="Segoe UI"/>
          <w:i/>
          <w:color w:val="231F20"/>
          <w:spacing w:val="-6"/>
          <w:sz w:val="20"/>
        </w:rPr>
        <w:t> </w:t>
      </w:r>
      <w:r>
        <w:rPr>
          <w:rFonts w:ascii="Segoe UI"/>
          <w:color w:val="231F20"/>
          <w:sz w:val="20"/>
        </w:rPr>
        <w:t>The</w:t>
      </w:r>
      <w:r>
        <w:rPr>
          <w:rFonts w:ascii="Segoe UI"/>
          <w:color w:val="231F20"/>
          <w:spacing w:val="-6"/>
          <w:sz w:val="20"/>
        </w:rPr>
        <w:t> </w:t>
      </w:r>
      <w:r>
        <w:rPr>
          <w:rFonts w:ascii="Segoe UI"/>
          <w:color w:val="231F20"/>
          <w:spacing w:val="-1"/>
          <w:sz w:val="20"/>
        </w:rPr>
        <w:t>Conversation,</w:t>
      </w:r>
      <w:r>
        <w:rPr>
          <w:rFonts w:ascii="Segoe UI"/>
          <w:color w:val="231F20"/>
          <w:spacing w:val="-6"/>
          <w:sz w:val="20"/>
        </w:rPr>
        <w:t> </w:t>
      </w:r>
      <w:r>
        <w:rPr>
          <w:rFonts w:ascii="Segoe UI"/>
          <w:color w:val="231F20"/>
          <w:spacing w:val="-1"/>
          <w:sz w:val="20"/>
        </w:rPr>
        <w:t>13</w:t>
      </w:r>
      <w:r>
        <w:rPr>
          <w:rFonts w:ascii="Segoe UI"/>
          <w:color w:val="231F20"/>
          <w:spacing w:val="-6"/>
          <w:sz w:val="20"/>
        </w:rPr>
        <w:t> </w:t>
      </w:r>
      <w:r>
        <w:rPr>
          <w:rFonts w:ascii="Segoe UI"/>
          <w:color w:val="231F20"/>
          <w:sz w:val="20"/>
        </w:rPr>
        <w:t>June</w:t>
      </w:r>
      <w:r>
        <w:rPr>
          <w:rFonts w:ascii="Segoe UI"/>
          <w:color w:val="231F20"/>
          <w:spacing w:val="-7"/>
          <w:sz w:val="20"/>
        </w:rPr>
        <w:t> </w:t>
      </w:r>
      <w:r>
        <w:rPr>
          <w:rFonts w:ascii="Segoe UI"/>
          <w:color w:val="231F20"/>
          <w:spacing w:val="-1"/>
          <w:sz w:val="20"/>
        </w:rPr>
        <w:t>2017,</w:t>
      </w:r>
      <w:r>
        <w:rPr>
          <w:rFonts w:ascii="Segoe UI"/>
          <w:color w:val="231F20"/>
          <w:spacing w:val="22"/>
          <w:sz w:val="20"/>
        </w:rPr>
        <w:t> </w:t>
      </w:r>
      <w:r>
        <w:rPr>
          <w:rFonts w:ascii="Segoe UI"/>
          <w:color w:val="231F20"/>
          <w:sz w:val="20"/>
        </w:rPr>
        <w:t>accessed</w:t>
      </w:r>
      <w:r>
        <w:rPr>
          <w:rFonts w:ascii="Segoe UI"/>
          <w:color w:val="231F20"/>
          <w:spacing w:val="-6"/>
          <w:sz w:val="20"/>
        </w:rPr>
        <w:t> </w:t>
      </w:r>
      <w:r>
        <w:rPr>
          <w:rFonts w:ascii="Segoe UI"/>
          <w:color w:val="231F20"/>
          <w:sz w:val="20"/>
        </w:rPr>
        <w:t>January</w:t>
      </w:r>
      <w:r>
        <w:rPr>
          <w:rFonts w:ascii="Segoe UI"/>
          <w:color w:val="231F20"/>
          <w:spacing w:val="-4"/>
          <w:sz w:val="20"/>
        </w:rPr>
        <w:t> </w:t>
      </w:r>
      <w:r>
        <w:rPr>
          <w:rFonts w:ascii="Segoe UI"/>
          <w:color w:val="231F20"/>
          <w:spacing w:val="-1"/>
          <w:sz w:val="20"/>
        </w:rPr>
        <w:t>2019.</w:t>
      </w:r>
      <w:r>
        <w:rPr>
          <w:rFonts w:ascii="Segoe UI"/>
          <w:color w:val="231F20"/>
          <w:spacing w:val="-5"/>
          <w:sz w:val="20"/>
        </w:rPr>
        <w:t> </w:t>
      </w:r>
      <w:r>
        <w:rPr>
          <w:rFonts w:ascii="Segoe UI"/>
          <w:color w:val="231F20"/>
          <w:spacing w:val="-1"/>
          <w:sz w:val="20"/>
        </w:rPr>
        <w:t>Available</w:t>
      </w:r>
      <w:r>
        <w:rPr>
          <w:rFonts w:ascii="Segoe UI"/>
          <w:color w:val="231F20"/>
          <w:spacing w:val="-4"/>
          <w:sz w:val="20"/>
        </w:rPr>
        <w:t> </w:t>
      </w:r>
      <w:r>
        <w:rPr>
          <w:rFonts w:ascii="Segoe UI"/>
          <w:color w:val="231F20"/>
          <w:sz w:val="20"/>
        </w:rPr>
        <w:t>at:</w:t>
      </w:r>
      <w:r>
        <w:rPr>
          <w:rFonts w:ascii="Segoe UI"/>
          <w:color w:val="231F20"/>
          <w:spacing w:val="-5"/>
          <w:sz w:val="20"/>
        </w:rPr>
        <w:t> </w:t>
      </w:r>
      <w:r>
        <w:rPr>
          <w:rFonts w:ascii="Segoe UI"/>
          <w:color w:val="231F20"/>
          <w:sz w:val="20"/>
        </w:rPr>
        <w:t>https://</w:t>
      </w:r>
      <w:r>
        <w:rPr>
          <w:rFonts w:ascii="Segoe UI"/>
          <w:color w:val="231F20"/>
          <w:spacing w:val="25"/>
          <w:w w:val="99"/>
          <w:sz w:val="20"/>
        </w:rPr>
        <w:t> </w:t>
      </w:r>
      <w:r>
        <w:rPr>
          <w:rFonts w:ascii="Segoe UI"/>
          <w:color w:val="231F20"/>
          <w:sz w:val="20"/>
        </w:rPr>
        <w:t>theconversation.com/we-need-to-know-the-</w:t>
      </w:r>
      <w:r>
        <w:rPr>
          <w:rFonts w:ascii="Segoe UI"/>
          <w:color w:val="231F20"/>
          <w:w w:val="99"/>
          <w:sz w:val="20"/>
        </w:rPr>
        <w:t> </w:t>
      </w:r>
      <w:r>
        <w:rPr>
          <w:rFonts w:ascii="Segoe UI"/>
          <w:color w:val="231F20"/>
          <w:sz w:val="20"/>
        </w:rPr>
        <w:t>true-cost-of-indigenous-boarding-school-</w:t>
      </w:r>
      <w:r>
        <w:rPr>
          <w:rFonts w:ascii="Segoe UI"/>
          <w:color w:val="231F20"/>
          <w:w w:val="99"/>
          <w:sz w:val="20"/>
        </w:rPr>
        <w:t> </w:t>
      </w:r>
      <w:r>
        <w:rPr>
          <w:rFonts w:ascii="Segoe UI"/>
          <w:color w:val="231F20"/>
          <w:spacing w:val="-1"/>
          <w:sz w:val="20"/>
        </w:rPr>
        <w:t>scholarships-on-communities-74622</w:t>
      </w:r>
      <w:r>
        <w:rPr>
          <w:rFonts w:ascii="Segoe UI"/>
          <w:color w:val="231F20"/>
          <w:spacing w:val="-5"/>
          <w:sz w:val="20"/>
        </w:rPr>
        <w:t> </w:t>
      </w:r>
      <w:r>
        <w:rPr>
          <w:rFonts w:ascii="Segoe UI"/>
          <w:color w:val="231F20"/>
          <w:spacing w:val="-1"/>
          <w:sz w:val="20"/>
        </w:rPr>
        <w:t>(Rogers,</w:t>
      </w:r>
      <w:r>
        <w:rPr>
          <w:rFonts w:ascii="Segoe UI"/>
          <w:color w:val="231F20"/>
          <w:spacing w:val="24"/>
          <w:w w:val="99"/>
          <w:sz w:val="20"/>
        </w:rPr>
        <w:t> </w:t>
      </w:r>
      <w:r>
        <w:rPr>
          <w:rFonts w:ascii="Segoe UI"/>
          <w:color w:val="231F20"/>
          <w:spacing w:val="-1"/>
          <w:sz w:val="20"/>
        </w:rPr>
        <w:t>2017)</w:t>
      </w:r>
      <w:r>
        <w:rPr>
          <w:rFonts w:ascii="Segoe UI"/>
          <w:sz w:val="20"/>
        </w:rPr>
      </w:r>
    </w:p>
    <w:p>
      <w:pPr>
        <w:spacing w:line="250" w:lineRule="exact" w:before="113"/>
        <w:ind w:left="117" w:right="4646" w:firstLine="0"/>
        <w:jc w:val="left"/>
        <w:rPr>
          <w:rFonts w:ascii="Segoe UI" w:hAnsi="Segoe UI" w:cs="Segoe UI" w:eastAsia="Segoe UI"/>
          <w:sz w:val="20"/>
          <w:szCs w:val="20"/>
        </w:rPr>
      </w:pPr>
      <w:r>
        <w:rPr>
          <w:rFonts w:ascii="Segoe UI"/>
          <w:color w:val="231F20"/>
          <w:spacing w:val="-2"/>
          <w:sz w:val="20"/>
        </w:rPr>
        <w:t>Rose,</w:t>
      </w:r>
      <w:r>
        <w:rPr>
          <w:rFonts w:ascii="Segoe UI"/>
          <w:color w:val="231F20"/>
          <w:spacing w:val="-8"/>
          <w:sz w:val="20"/>
        </w:rPr>
        <w:t> </w:t>
      </w:r>
      <w:r>
        <w:rPr>
          <w:rFonts w:ascii="Segoe UI"/>
          <w:color w:val="231F20"/>
          <w:spacing w:val="-1"/>
          <w:sz w:val="20"/>
        </w:rPr>
        <w:t>Richard</w:t>
      </w:r>
      <w:r>
        <w:rPr>
          <w:rFonts w:ascii="Segoe UI"/>
          <w:color w:val="231F20"/>
          <w:spacing w:val="-6"/>
          <w:sz w:val="20"/>
        </w:rPr>
        <w:t> </w:t>
      </w:r>
      <w:r>
        <w:rPr>
          <w:rFonts w:ascii="Segoe UI"/>
          <w:color w:val="231F20"/>
          <w:sz w:val="20"/>
        </w:rPr>
        <w:t>(editor),</w:t>
      </w:r>
      <w:r>
        <w:rPr>
          <w:rFonts w:ascii="Segoe UI"/>
          <w:color w:val="231F20"/>
          <w:spacing w:val="-7"/>
          <w:sz w:val="20"/>
        </w:rPr>
        <w:t> </w:t>
      </w:r>
      <w:r>
        <w:rPr>
          <w:rFonts w:ascii="Segoe UI"/>
          <w:i/>
          <w:color w:val="231F20"/>
          <w:spacing w:val="-1"/>
          <w:sz w:val="20"/>
        </w:rPr>
        <w:t>Innovative</w:t>
      </w:r>
      <w:r>
        <w:rPr>
          <w:rFonts w:ascii="Segoe UI"/>
          <w:i/>
          <w:color w:val="231F20"/>
          <w:spacing w:val="-6"/>
          <w:sz w:val="20"/>
        </w:rPr>
        <w:t> </w:t>
      </w:r>
      <w:r>
        <w:rPr>
          <w:rFonts w:ascii="Segoe UI"/>
          <w:i/>
          <w:color w:val="231F20"/>
          <w:spacing w:val="-1"/>
          <w:sz w:val="20"/>
        </w:rPr>
        <w:t>Therapeutic</w:t>
      </w:r>
      <w:r>
        <w:rPr>
          <w:rFonts w:ascii="Segoe UI"/>
          <w:i/>
          <w:color w:val="231F20"/>
          <w:spacing w:val="31"/>
          <w:w w:val="99"/>
          <w:sz w:val="20"/>
        </w:rPr>
        <w:t> </w:t>
      </w:r>
      <w:r>
        <w:rPr>
          <w:rFonts w:ascii="Segoe UI"/>
          <w:i/>
          <w:color w:val="231F20"/>
          <w:sz w:val="20"/>
        </w:rPr>
        <w:t>Life</w:t>
      </w:r>
      <w:r>
        <w:rPr>
          <w:rFonts w:ascii="Segoe UI"/>
          <w:i/>
          <w:color w:val="231F20"/>
          <w:spacing w:val="-5"/>
          <w:sz w:val="20"/>
        </w:rPr>
        <w:t> </w:t>
      </w:r>
      <w:r>
        <w:rPr>
          <w:rFonts w:ascii="Segoe UI"/>
          <w:i/>
          <w:color w:val="231F20"/>
          <w:sz w:val="20"/>
        </w:rPr>
        <w:t>Story</w:t>
      </w:r>
      <w:r>
        <w:rPr>
          <w:rFonts w:ascii="Segoe UI"/>
          <w:i/>
          <w:color w:val="231F20"/>
          <w:spacing w:val="-5"/>
          <w:sz w:val="20"/>
        </w:rPr>
        <w:t> </w:t>
      </w:r>
      <w:r>
        <w:rPr>
          <w:rFonts w:ascii="Segoe UI"/>
          <w:i/>
          <w:color w:val="231F20"/>
          <w:spacing w:val="-1"/>
          <w:sz w:val="20"/>
        </w:rPr>
        <w:t>Work;</w:t>
      </w:r>
      <w:r>
        <w:rPr>
          <w:rFonts w:ascii="Segoe UI"/>
          <w:i/>
          <w:color w:val="231F20"/>
          <w:spacing w:val="-5"/>
          <w:sz w:val="20"/>
        </w:rPr>
        <w:t> </w:t>
      </w:r>
      <w:r>
        <w:rPr>
          <w:rFonts w:ascii="Segoe UI"/>
          <w:i/>
          <w:color w:val="231F20"/>
          <w:spacing w:val="-1"/>
          <w:sz w:val="20"/>
        </w:rPr>
        <w:t>Developing</w:t>
      </w:r>
      <w:r>
        <w:rPr>
          <w:rFonts w:ascii="Segoe UI"/>
          <w:i/>
          <w:color w:val="231F20"/>
          <w:spacing w:val="-6"/>
          <w:sz w:val="20"/>
        </w:rPr>
        <w:t> </w:t>
      </w:r>
      <w:r>
        <w:rPr>
          <w:rFonts w:ascii="Segoe UI"/>
          <w:i/>
          <w:color w:val="231F20"/>
          <w:spacing w:val="-1"/>
          <w:sz w:val="20"/>
        </w:rPr>
        <w:t>Trauma-Informed</w:t>
      </w:r>
      <w:r>
        <w:rPr>
          <w:rFonts w:ascii="Segoe UI"/>
          <w:i/>
          <w:color w:val="231F20"/>
          <w:spacing w:val="27"/>
          <w:w w:val="99"/>
          <w:sz w:val="20"/>
        </w:rPr>
        <w:t> </w:t>
      </w:r>
      <w:r>
        <w:rPr>
          <w:rFonts w:ascii="Segoe UI"/>
          <w:i/>
          <w:color w:val="231F20"/>
          <w:spacing w:val="-1"/>
          <w:sz w:val="20"/>
        </w:rPr>
        <w:t>Practice</w:t>
      </w:r>
      <w:r>
        <w:rPr>
          <w:rFonts w:ascii="Segoe UI"/>
          <w:i/>
          <w:color w:val="231F20"/>
          <w:spacing w:val="-3"/>
          <w:sz w:val="20"/>
        </w:rPr>
        <w:t> </w:t>
      </w:r>
      <w:r>
        <w:rPr>
          <w:rFonts w:ascii="Segoe UI"/>
          <w:i/>
          <w:color w:val="231F20"/>
          <w:sz w:val="20"/>
        </w:rPr>
        <w:t>for</w:t>
      </w:r>
      <w:r>
        <w:rPr>
          <w:rFonts w:ascii="Segoe UI"/>
          <w:i/>
          <w:color w:val="231F20"/>
          <w:spacing w:val="-4"/>
          <w:sz w:val="20"/>
        </w:rPr>
        <w:t> </w:t>
      </w:r>
      <w:r>
        <w:rPr>
          <w:rFonts w:ascii="Segoe UI"/>
          <w:i/>
          <w:color w:val="231F20"/>
          <w:spacing w:val="-2"/>
          <w:sz w:val="20"/>
        </w:rPr>
        <w:t>Working</w:t>
      </w:r>
      <w:r>
        <w:rPr>
          <w:rFonts w:ascii="Segoe UI"/>
          <w:i/>
          <w:color w:val="231F20"/>
          <w:spacing w:val="-3"/>
          <w:sz w:val="20"/>
        </w:rPr>
        <w:t> </w:t>
      </w:r>
      <w:r>
        <w:rPr>
          <w:rFonts w:ascii="Segoe UI"/>
          <w:i/>
          <w:color w:val="231F20"/>
          <w:spacing w:val="-1"/>
          <w:sz w:val="20"/>
        </w:rPr>
        <w:t>with</w:t>
      </w:r>
      <w:r>
        <w:rPr>
          <w:rFonts w:ascii="Segoe UI"/>
          <w:i/>
          <w:color w:val="231F20"/>
          <w:spacing w:val="-3"/>
          <w:sz w:val="20"/>
        </w:rPr>
        <w:t> </w:t>
      </w:r>
      <w:r>
        <w:rPr>
          <w:rFonts w:ascii="Segoe UI"/>
          <w:i/>
          <w:color w:val="231F20"/>
          <w:spacing w:val="-1"/>
          <w:sz w:val="20"/>
        </w:rPr>
        <w:t>Children,</w:t>
      </w:r>
      <w:r>
        <w:rPr>
          <w:rFonts w:ascii="Segoe UI"/>
          <w:i/>
          <w:color w:val="231F20"/>
          <w:spacing w:val="-4"/>
          <w:sz w:val="20"/>
        </w:rPr>
        <w:t> </w:t>
      </w:r>
      <w:r>
        <w:rPr>
          <w:rFonts w:ascii="Segoe UI"/>
          <w:i/>
          <w:color w:val="231F20"/>
          <w:spacing w:val="-1"/>
          <w:sz w:val="20"/>
        </w:rPr>
        <w:t>Adolescents</w:t>
      </w:r>
      <w:r>
        <w:rPr>
          <w:rFonts w:ascii="Segoe UI"/>
          <w:i/>
          <w:color w:val="231F20"/>
          <w:spacing w:val="37"/>
          <w:sz w:val="20"/>
        </w:rPr>
        <w:t> </w:t>
      </w:r>
      <w:r>
        <w:rPr>
          <w:rFonts w:ascii="Segoe UI"/>
          <w:i/>
          <w:color w:val="231F20"/>
          <w:sz w:val="20"/>
        </w:rPr>
        <w:t>and</w:t>
      </w:r>
      <w:r>
        <w:rPr>
          <w:rFonts w:ascii="Segoe UI"/>
          <w:i/>
          <w:color w:val="231F20"/>
          <w:spacing w:val="-4"/>
          <w:sz w:val="20"/>
        </w:rPr>
        <w:t> Young </w:t>
      </w:r>
      <w:r>
        <w:rPr>
          <w:rFonts w:ascii="Segoe UI"/>
          <w:i/>
          <w:color w:val="231F20"/>
          <w:spacing w:val="-1"/>
          <w:sz w:val="20"/>
        </w:rPr>
        <w:t>Adults</w:t>
      </w:r>
      <w:r>
        <w:rPr>
          <w:rFonts w:ascii="Segoe UI"/>
          <w:color w:val="231F20"/>
          <w:spacing w:val="-1"/>
          <w:sz w:val="20"/>
        </w:rPr>
        <w:t>,</w:t>
      </w:r>
      <w:r>
        <w:rPr>
          <w:rFonts w:ascii="Segoe UI"/>
          <w:color w:val="231F20"/>
          <w:spacing w:val="-3"/>
          <w:sz w:val="20"/>
        </w:rPr>
        <w:t> </w:t>
      </w:r>
      <w:r>
        <w:rPr>
          <w:rFonts w:ascii="Segoe UI"/>
          <w:color w:val="231F20"/>
          <w:spacing w:val="-1"/>
          <w:sz w:val="20"/>
        </w:rPr>
        <w:t>Berry</w:t>
      </w:r>
      <w:r>
        <w:rPr>
          <w:rFonts w:ascii="Segoe UI"/>
          <w:color w:val="231F20"/>
          <w:spacing w:val="-4"/>
          <w:sz w:val="20"/>
        </w:rPr>
        <w:t> </w:t>
      </w:r>
      <w:r>
        <w:rPr>
          <w:rFonts w:ascii="Segoe UI"/>
          <w:color w:val="231F20"/>
          <w:spacing w:val="-1"/>
          <w:sz w:val="20"/>
        </w:rPr>
        <w:t>Street,</w:t>
      </w:r>
      <w:r>
        <w:rPr>
          <w:rFonts w:ascii="Segoe UI"/>
          <w:color w:val="231F20"/>
          <w:spacing w:val="-5"/>
          <w:sz w:val="20"/>
        </w:rPr>
        <w:t> </w:t>
      </w:r>
      <w:r>
        <w:rPr>
          <w:rFonts w:ascii="Segoe UI"/>
          <w:color w:val="231F20"/>
          <w:sz w:val="20"/>
        </w:rPr>
        <w:t>2017</w:t>
      </w:r>
      <w:r>
        <w:rPr>
          <w:rFonts w:ascii="Segoe UI"/>
          <w:sz w:val="20"/>
        </w:rPr>
      </w:r>
    </w:p>
    <w:p>
      <w:pPr>
        <w:spacing w:line="250" w:lineRule="exact" w:before="113"/>
        <w:ind w:left="117" w:right="4646" w:firstLine="0"/>
        <w:jc w:val="left"/>
        <w:rPr>
          <w:rFonts w:ascii="Segoe UI" w:hAnsi="Segoe UI" w:cs="Segoe UI" w:eastAsia="Segoe UI"/>
          <w:sz w:val="20"/>
          <w:szCs w:val="20"/>
        </w:rPr>
      </w:pPr>
      <w:r>
        <w:rPr>
          <w:rFonts w:ascii="Segoe UI"/>
          <w:color w:val="231F20"/>
          <w:spacing w:val="-1"/>
          <w:sz w:val="20"/>
        </w:rPr>
        <w:t>Smith,</w:t>
      </w:r>
      <w:r>
        <w:rPr>
          <w:rFonts w:ascii="Segoe UI"/>
          <w:color w:val="231F20"/>
          <w:spacing w:val="-3"/>
          <w:sz w:val="20"/>
        </w:rPr>
        <w:t> </w:t>
      </w:r>
      <w:r>
        <w:rPr>
          <w:rFonts w:ascii="Segoe UI"/>
          <w:color w:val="231F20"/>
          <w:sz w:val="20"/>
        </w:rPr>
        <w:t>James</w:t>
      </w:r>
      <w:r>
        <w:rPr>
          <w:rFonts w:ascii="Segoe UI"/>
          <w:color w:val="231F20"/>
          <w:spacing w:val="-4"/>
          <w:sz w:val="20"/>
        </w:rPr>
        <w:t> </w:t>
      </w:r>
      <w:r>
        <w:rPr>
          <w:rFonts w:ascii="Segoe UI"/>
          <w:color w:val="231F20"/>
          <w:sz w:val="20"/>
        </w:rPr>
        <w:t>A,</w:t>
      </w:r>
      <w:r>
        <w:rPr>
          <w:rFonts w:ascii="Segoe UI"/>
          <w:color w:val="231F20"/>
          <w:spacing w:val="-2"/>
          <w:sz w:val="20"/>
        </w:rPr>
        <w:t> </w:t>
      </w:r>
      <w:r>
        <w:rPr>
          <w:rFonts w:ascii="Segoe UI"/>
          <w:color w:val="231F20"/>
          <w:spacing w:val="-1"/>
          <w:sz w:val="20"/>
        </w:rPr>
        <w:t>Pollard,</w:t>
      </w:r>
      <w:r>
        <w:rPr>
          <w:rFonts w:ascii="Segoe UI"/>
          <w:color w:val="231F20"/>
          <w:spacing w:val="-4"/>
          <w:sz w:val="20"/>
        </w:rPr>
        <w:t> </w:t>
      </w:r>
      <w:r>
        <w:rPr>
          <w:rFonts w:ascii="Segoe UI"/>
          <w:color w:val="231F20"/>
          <w:spacing w:val="-1"/>
          <w:sz w:val="20"/>
        </w:rPr>
        <w:t>Kellie,</w:t>
      </w:r>
      <w:r>
        <w:rPr>
          <w:rFonts w:ascii="Segoe UI"/>
          <w:color w:val="231F20"/>
          <w:spacing w:val="-3"/>
          <w:sz w:val="20"/>
        </w:rPr>
        <w:t> </w:t>
      </w:r>
      <w:r>
        <w:rPr>
          <w:rFonts w:ascii="Segoe UI"/>
          <w:color w:val="231F20"/>
          <w:spacing w:val="-1"/>
          <w:sz w:val="20"/>
        </w:rPr>
        <w:t>Robertson,</w:t>
      </w:r>
      <w:r>
        <w:rPr>
          <w:rFonts w:ascii="Segoe UI"/>
          <w:color w:val="231F20"/>
          <w:spacing w:val="-4"/>
          <w:sz w:val="20"/>
        </w:rPr>
        <w:t> </w:t>
      </w:r>
      <w:r>
        <w:rPr>
          <w:rFonts w:ascii="Segoe UI"/>
          <w:color w:val="231F20"/>
          <w:spacing w:val="-1"/>
          <w:sz w:val="20"/>
        </w:rPr>
        <w:t>Kim</w:t>
      </w:r>
      <w:r>
        <w:rPr>
          <w:rFonts w:ascii="Segoe UI"/>
          <w:color w:val="231F20"/>
          <w:spacing w:val="29"/>
          <w:sz w:val="20"/>
        </w:rPr>
        <w:t> </w:t>
      </w:r>
      <w:r>
        <w:rPr>
          <w:rFonts w:ascii="Segoe UI"/>
          <w:color w:val="231F20"/>
          <w:sz w:val="20"/>
        </w:rPr>
        <w:t>and</w:t>
      </w:r>
      <w:r>
        <w:rPr>
          <w:rFonts w:ascii="Segoe UI"/>
          <w:color w:val="231F20"/>
          <w:spacing w:val="-4"/>
          <w:sz w:val="20"/>
        </w:rPr>
        <w:t> </w:t>
      </w:r>
      <w:r>
        <w:rPr>
          <w:rFonts w:ascii="Segoe UI"/>
          <w:color w:val="231F20"/>
          <w:spacing w:val="-2"/>
          <w:sz w:val="20"/>
        </w:rPr>
        <w:t>Trinidad,</w:t>
      </w:r>
      <w:r>
        <w:rPr>
          <w:rFonts w:ascii="Segoe UI"/>
          <w:color w:val="231F20"/>
          <w:spacing w:val="-3"/>
          <w:sz w:val="20"/>
        </w:rPr>
        <w:t> </w:t>
      </w:r>
      <w:r>
        <w:rPr>
          <w:rFonts w:ascii="Segoe UI"/>
          <w:color w:val="231F20"/>
          <w:spacing w:val="-1"/>
          <w:sz w:val="20"/>
        </w:rPr>
        <w:t>Sue,</w:t>
      </w:r>
      <w:r>
        <w:rPr>
          <w:rFonts w:ascii="Segoe UI"/>
          <w:color w:val="231F20"/>
          <w:spacing w:val="-2"/>
          <w:sz w:val="20"/>
        </w:rPr>
        <w:t> </w:t>
      </w:r>
      <w:r>
        <w:rPr>
          <w:rFonts w:ascii="Segoe UI"/>
          <w:i/>
          <w:color w:val="231F20"/>
          <w:spacing w:val="-1"/>
          <w:sz w:val="20"/>
        </w:rPr>
        <w:t>What</w:t>
      </w:r>
      <w:r>
        <w:rPr>
          <w:rFonts w:ascii="Segoe UI"/>
          <w:i/>
          <w:color w:val="231F20"/>
          <w:spacing w:val="-2"/>
          <w:sz w:val="20"/>
        </w:rPr>
        <w:t> </w:t>
      </w:r>
      <w:r>
        <w:rPr>
          <w:rFonts w:ascii="Segoe UI"/>
          <w:i/>
          <w:color w:val="231F20"/>
          <w:sz w:val="20"/>
        </w:rPr>
        <w:t>do</w:t>
      </w:r>
      <w:r>
        <w:rPr>
          <w:rFonts w:ascii="Segoe UI"/>
          <w:i/>
          <w:color w:val="231F20"/>
          <w:spacing w:val="-4"/>
          <w:sz w:val="20"/>
        </w:rPr>
        <w:t> </w:t>
      </w:r>
      <w:r>
        <w:rPr>
          <w:rFonts w:ascii="Segoe UI"/>
          <w:i/>
          <w:color w:val="231F20"/>
          <w:sz w:val="20"/>
        </w:rPr>
        <w:t>we</w:t>
      </w:r>
      <w:r>
        <w:rPr>
          <w:rFonts w:ascii="Segoe UI"/>
          <w:i/>
          <w:color w:val="231F20"/>
          <w:spacing w:val="-2"/>
          <w:sz w:val="20"/>
        </w:rPr>
        <w:t> </w:t>
      </w:r>
      <w:r>
        <w:rPr>
          <w:rFonts w:ascii="Segoe UI"/>
          <w:i/>
          <w:color w:val="231F20"/>
          <w:spacing w:val="-1"/>
          <w:sz w:val="20"/>
        </w:rPr>
        <w:t>know</w:t>
      </w:r>
      <w:r>
        <w:rPr>
          <w:rFonts w:ascii="Segoe UI"/>
          <w:i/>
          <w:color w:val="231F20"/>
          <w:spacing w:val="-3"/>
          <w:sz w:val="20"/>
        </w:rPr>
        <w:t> </w:t>
      </w:r>
      <w:r>
        <w:rPr>
          <w:rFonts w:ascii="Segoe UI"/>
          <w:i/>
          <w:color w:val="231F20"/>
          <w:sz w:val="20"/>
        </w:rPr>
        <w:t>about</w:t>
      </w:r>
      <w:r>
        <w:rPr>
          <w:rFonts w:ascii="Segoe UI"/>
          <w:i/>
          <w:color w:val="231F20"/>
          <w:spacing w:val="23"/>
          <w:sz w:val="20"/>
        </w:rPr>
        <w:t> </w:t>
      </w:r>
      <w:r>
        <w:rPr>
          <w:rFonts w:ascii="Segoe UI"/>
          <w:i/>
          <w:color w:val="231F20"/>
          <w:spacing w:val="-1"/>
          <w:sz w:val="20"/>
        </w:rPr>
        <w:t>evaluation</w:t>
      </w:r>
      <w:r>
        <w:rPr>
          <w:rFonts w:ascii="Segoe UI"/>
          <w:i/>
          <w:color w:val="231F20"/>
          <w:spacing w:val="-4"/>
          <w:sz w:val="20"/>
        </w:rPr>
        <w:t> </w:t>
      </w:r>
      <w:r>
        <w:rPr>
          <w:rFonts w:ascii="Segoe UI"/>
          <w:i/>
          <w:color w:val="231F20"/>
          <w:sz w:val="20"/>
        </w:rPr>
        <w:t>in</w:t>
      </w:r>
      <w:r>
        <w:rPr>
          <w:rFonts w:ascii="Segoe UI"/>
          <w:i/>
          <w:color w:val="231F20"/>
          <w:spacing w:val="-3"/>
          <w:sz w:val="20"/>
        </w:rPr>
        <w:t> </w:t>
      </w:r>
      <w:r>
        <w:rPr>
          <w:rFonts w:ascii="Segoe UI"/>
          <w:i/>
          <w:color w:val="231F20"/>
          <w:spacing w:val="-1"/>
          <w:sz w:val="20"/>
        </w:rPr>
        <w:t>Indigenous</w:t>
      </w:r>
      <w:r>
        <w:rPr>
          <w:rFonts w:ascii="Segoe UI"/>
          <w:i/>
          <w:color w:val="231F20"/>
          <w:spacing w:val="-2"/>
          <w:sz w:val="20"/>
        </w:rPr>
        <w:t> </w:t>
      </w:r>
      <w:r>
        <w:rPr>
          <w:rFonts w:ascii="Segoe UI"/>
          <w:i/>
          <w:color w:val="231F20"/>
          <w:spacing w:val="-1"/>
          <w:sz w:val="20"/>
        </w:rPr>
        <w:t>higher</w:t>
      </w:r>
      <w:r>
        <w:rPr>
          <w:rFonts w:ascii="Segoe UI"/>
          <w:i/>
          <w:color w:val="231F20"/>
          <w:spacing w:val="-3"/>
          <w:sz w:val="20"/>
        </w:rPr>
        <w:t> </w:t>
      </w:r>
      <w:r>
        <w:rPr>
          <w:rFonts w:ascii="Segoe UI"/>
          <w:i/>
          <w:color w:val="231F20"/>
          <w:sz w:val="20"/>
        </w:rPr>
        <w:t>education</w:t>
      </w:r>
      <w:r>
        <w:rPr>
          <w:rFonts w:ascii="Segoe UI"/>
          <w:i/>
          <w:color w:val="231F20"/>
          <w:spacing w:val="23"/>
          <w:sz w:val="20"/>
        </w:rPr>
        <w:t> </w:t>
      </w:r>
      <w:r>
        <w:rPr>
          <w:rFonts w:ascii="Segoe UI"/>
          <w:i/>
          <w:color w:val="231F20"/>
          <w:spacing w:val="-1"/>
          <w:sz w:val="20"/>
        </w:rPr>
        <w:t>contexts</w:t>
      </w:r>
      <w:r>
        <w:rPr>
          <w:rFonts w:ascii="Segoe UI"/>
          <w:i/>
          <w:color w:val="231F20"/>
          <w:spacing w:val="-5"/>
          <w:sz w:val="20"/>
        </w:rPr>
        <w:t> </w:t>
      </w:r>
      <w:r>
        <w:rPr>
          <w:rFonts w:ascii="Segoe UI"/>
          <w:i/>
          <w:color w:val="231F20"/>
          <w:sz w:val="20"/>
        </w:rPr>
        <w:t>in</w:t>
      </w:r>
      <w:r>
        <w:rPr>
          <w:rFonts w:ascii="Segoe UI"/>
          <w:i/>
          <w:color w:val="231F20"/>
          <w:spacing w:val="-4"/>
          <w:sz w:val="20"/>
        </w:rPr>
        <w:t> </w:t>
      </w:r>
      <w:r>
        <w:rPr>
          <w:rFonts w:ascii="Segoe UI"/>
          <w:i/>
          <w:color w:val="231F20"/>
          <w:spacing w:val="-1"/>
          <w:sz w:val="20"/>
        </w:rPr>
        <w:t>Australia?,</w:t>
      </w:r>
      <w:r>
        <w:rPr>
          <w:rFonts w:ascii="Segoe UI"/>
          <w:i/>
          <w:color w:val="231F20"/>
          <w:spacing w:val="-5"/>
          <w:sz w:val="20"/>
        </w:rPr>
        <w:t> </w:t>
      </w:r>
      <w:r>
        <w:rPr>
          <w:rFonts w:ascii="Segoe UI"/>
          <w:color w:val="231F20"/>
          <w:spacing w:val="-1"/>
          <w:sz w:val="20"/>
        </w:rPr>
        <w:t>International</w:t>
      </w:r>
      <w:r>
        <w:rPr>
          <w:rFonts w:ascii="Segoe UI"/>
          <w:color w:val="231F20"/>
          <w:spacing w:val="-3"/>
          <w:sz w:val="20"/>
        </w:rPr>
        <w:t> </w:t>
      </w:r>
      <w:r>
        <w:rPr>
          <w:rFonts w:ascii="Segoe UI"/>
          <w:color w:val="231F20"/>
          <w:spacing w:val="-1"/>
          <w:sz w:val="20"/>
        </w:rPr>
        <w:t>Studies</w:t>
      </w:r>
      <w:r>
        <w:rPr>
          <w:rFonts w:ascii="Segoe UI"/>
          <w:color w:val="231F20"/>
          <w:spacing w:val="-5"/>
          <w:sz w:val="20"/>
        </w:rPr>
        <w:t> </w:t>
      </w:r>
      <w:r>
        <w:rPr>
          <w:rFonts w:ascii="Segoe UI"/>
          <w:color w:val="231F20"/>
          <w:spacing w:val="-1"/>
          <w:sz w:val="20"/>
        </w:rPr>
        <w:t>in</w:t>
      </w:r>
      <w:r>
        <w:rPr>
          <w:rFonts w:ascii="Segoe UI"/>
          <w:color w:val="231F20"/>
          <w:spacing w:val="28"/>
          <w:sz w:val="20"/>
        </w:rPr>
        <w:t> </w:t>
      </w:r>
      <w:r>
        <w:rPr>
          <w:rFonts w:ascii="Segoe UI"/>
          <w:color w:val="231F20"/>
          <w:spacing w:val="-1"/>
          <w:sz w:val="20"/>
        </w:rPr>
        <w:t>Widening</w:t>
      </w:r>
      <w:r>
        <w:rPr>
          <w:rFonts w:ascii="Segoe UI"/>
          <w:color w:val="231F20"/>
          <w:spacing w:val="-6"/>
          <w:sz w:val="20"/>
        </w:rPr>
        <w:t> </w:t>
      </w:r>
      <w:r>
        <w:rPr>
          <w:rFonts w:ascii="Segoe UI"/>
          <w:color w:val="231F20"/>
          <w:spacing w:val="-1"/>
          <w:sz w:val="20"/>
        </w:rPr>
        <w:t>Participation,</w:t>
      </w:r>
      <w:r>
        <w:rPr>
          <w:rFonts w:ascii="Segoe UI"/>
          <w:color w:val="231F20"/>
          <w:spacing w:val="-7"/>
          <w:sz w:val="20"/>
        </w:rPr>
        <w:t> </w:t>
      </w:r>
      <w:r>
        <w:rPr>
          <w:rFonts w:ascii="Segoe UI"/>
          <w:color w:val="231F20"/>
          <w:spacing w:val="-5"/>
          <w:sz w:val="20"/>
        </w:rPr>
        <w:t>Vol</w:t>
      </w:r>
      <w:r>
        <w:rPr>
          <w:rFonts w:ascii="Segoe UI"/>
          <w:color w:val="231F20"/>
          <w:spacing w:val="-6"/>
          <w:sz w:val="20"/>
        </w:rPr>
        <w:t> </w:t>
      </w:r>
      <w:r>
        <w:rPr>
          <w:rFonts w:ascii="Segoe UI"/>
          <w:color w:val="231F20"/>
          <w:spacing w:val="-1"/>
          <w:sz w:val="20"/>
        </w:rPr>
        <w:t>4(2):</w:t>
      </w:r>
      <w:r>
        <w:rPr>
          <w:rFonts w:ascii="Segoe UI"/>
          <w:color w:val="231F20"/>
          <w:spacing w:val="-6"/>
          <w:sz w:val="20"/>
        </w:rPr>
        <w:t> </w:t>
      </w:r>
      <w:r>
        <w:rPr>
          <w:rFonts w:ascii="Segoe UI"/>
          <w:color w:val="231F20"/>
          <w:spacing w:val="-1"/>
          <w:sz w:val="20"/>
        </w:rPr>
        <w:t>18-31,</w:t>
      </w:r>
      <w:r>
        <w:rPr>
          <w:rFonts w:ascii="Segoe UI"/>
          <w:color w:val="231F20"/>
          <w:spacing w:val="-6"/>
          <w:sz w:val="20"/>
        </w:rPr>
        <w:t> </w:t>
      </w:r>
      <w:r>
        <w:rPr>
          <w:rFonts w:ascii="Segoe UI"/>
          <w:color w:val="231F20"/>
          <w:spacing w:val="-1"/>
          <w:sz w:val="20"/>
        </w:rPr>
        <w:t>2017</w:t>
      </w:r>
      <w:r>
        <w:rPr>
          <w:rFonts w:ascii="Segoe UI"/>
          <w:color w:val="231F20"/>
          <w:spacing w:val="24"/>
          <w:sz w:val="20"/>
        </w:rPr>
        <w:t> </w:t>
      </w:r>
      <w:r>
        <w:rPr>
          <w:rFonts w:ascii="Segoe UI"/>
          <w:color w:val="231F20"/>
          <w:sz w:val="20"/>
        </w:rPr>
        <w:t>(Smith</w:t>
      </w:r>
      <w:r>
        <w:rPr>
          <w:rFonts w:ascii="Segoe UI"/>
          <w:color w:val="231F20"/>
          <w:spacing w:val="-3"/>
          <w:sz w:val="20"/>
        </w:rPr>
        <w:t> </w:t>
      </w:r>
      <w:r>
        <w:rPr>
          <w:rFonts w:ascii="Segoe UI"/>
          <w:color w:val="231F20"/>
          <w:sz w:val="20"/>
        </w:rPr>
        <w:t>et</w:t>
      </w:r>
      <w:r>
        <w:rPr>
          <w:rFonts w:ascii="Segoe UI"/>
          <w:color w:val="231F20"/>
          <w:spacing w:val="-1"/>
          <w:sz w:val="20"/>
        </w:rPr>
        <w:t> </w:t>
      </w:r>
      <w:r>
        <w:rPr>
          <w:rFonts w:ascii="Segoe UI"/>
          <w:color w:val="231F20"/>
          <w:sz w:val="20"/>
        </w:rPr>
        <w:t>al,</w:t>
      </w:r>
      <w:r>
        <w:rPr>
          <w:rFonts w:ascii="Segoe UI"/>
          <w:color w:val="231F20"/>
          <w:spacing w:val="-2"/>
          <w:sz w:val="20"/>
        </w:rPr>
        <w:t> </w:t>
      </w:r>
      <w:r>
        <w:rPr>
          <w:rFonts w:ascii="Segoe UI"/>
          <w:color w:val="231F20"/>
          <w:sz w:val="20"/>
        </w:rPr>
        <w:t>2017)</w:t>
      </w:r>
      <w:r>
        <w:rPr>
          <w:rFonts w:ascii="Segoe UI"/>
          <w:sz w:val="20"/>
        </w:rPr>
      </w:r>
    </w:p>
    <w:p>
      <w:pPr>
        <w:spacing w:line="250" w:lineRule="exact" w:before="113"/>
        <w:ind w:left="117" w:right="4646" w:firstLine="0"/>
        <w:jc w:val="left"/>
        <w:rPr>
          <w:rFonts w:ascii="Segoe UI" w:hAnsi="Segoe UI" w:cs="Segoe UI" w:eastAsia="Segoe UI"/>
          <w:sz w:val="20"/>
          <w:szCs w:val="20"/>
        </w:rPr>
      </w:pPr>
      <w:r>
        <w:rPr>
          <w:rFonts w:ascii="Segoe UI"/>
          <w:color w:val="231F20"/>
          <w:spacing w:val="-1"/>
          <w:sz w:val="20"/>
        </w:rPr>
        <w:t>Wilson,</w:t>
      </w:r>
      <w:r>
        <w:rPr>
          <w:rFonts w:ascii="Segoe UI"/>
          <w:color w:val="231F20"/>
          <w:spacing w:val="-2"/>
          <w:sz w:val="20"/>
        </w:rPr>
        <w:t> </w:t>
      </w:r>
      <w:r>
        <w:rPr>
          <w:rFonts w:ascii="Segoe UI"/>
          <w:color w:val="231F20"/>
          <w:spacing w:val="-1"/>
          <w:sz w:val="20"/>
        </w:rPr>
        <w:t>Bruce,</w:t>
      </w:r>
      <w:r>
        <w:rPr>
          <w:rFonts w:ascii="Segoe UI"/>
          <w:color w:val="231F20"/>
          <w:spacing w:val="-3"/>
          <w:sz w:val="20"/>
        </w:rPr>
        <w:t> </w:t>
      </w:r>
      <w:r>
        <w:rPr>
          <w:rFonts w:ascii="Segoe UI"/>
          <w:i/>
          <w:color w:val="231F20"/>
          <w:sz w:val="20"/>
        </w:rPr>
        <w:t>A</w:t>
      </w:r>
      <w:r>
        <w:rPr>
          <w:rFonts w:ascii="Segoe UI"/>
          <w:i/>
          <w:color w:val="231F20"/>
          <w:spacing w:val="-2"/>
          <w:sz w:val="20"/>
        </w:rPr>
        <w:t> </w:t>
      </w:r>
      <w:r>
        <w:rPr>
          <w:rFonts w:ascii="Segoe UI"/>
          <w:i/>
          <w:color w:val="231F20"/>
          <w:sz w:val="20"/>
        </w:rPr>
        <w:t>Share</w:t>
      </w:r>
      <w:r>
        <w:rPr>
          <w:rFonts w:ascii="Segoe UI"/>
          <w:i/>
          <w:color w:val="231F20"/>
          <w:spacing w:val="-2"/>
          <w:sz w:val="20"/>
        </w:rPr>
        <w:t> </w:t>
      </w:r>
      <w:r>
        <w:rPr>
          <w:rFonts w:ascii="Segoe UI"/>
          <w:i/>
          <w:color w:val="231F20"/>
          <w:sz w:val="20"/>
        </w:rPr>
        <w:t>in</w:t>
      </w:r>
      <w:r>
        <w:rPr>
          <w:rFonts w:ascii="Segoe UI"/>
          <w:i/>
          <w:color w:val="231F20"/>
          <w:spacing w:val="-3"/>
          <w:sz w:val="20"/>
        </w:rPr>
        <w:t> </w:t>
      </w:r>
      <w:r>
        <w:rPr>
          <w:rFonts w:ascii="Segoe UI"/>
          <w:i/>
          <w:color w:val="231F20"/>
          <w:spacing w:val="-1"/>
          <w:sz w:val="20"/>
        </w:rPr>
        <w:t>the</w:t>
      </w:r>
      <w:r>
        <w:rPr>
          <w:rFonts w:ascii="Segoe UI"/>
          <w:i/>
          <w:color w:val="231F20"/>
          <w:spacing w:val="-2"/>
          <w:sz w:val="20"/>
        </w:rPr>
        <w:t> </w:t>
      </w:r>
      <w:r>
        <w:rPr>
          <w:rFonts w:ascii="Segoe UI"/>
          <w:i/>
          <w:color w:val="231F20"/>
          <w:sz w:val="20"/>
        </w:rPr>
        <w:t>future:</w:t>
      </w:r>
      <w:r>
        <w:rPr>
          <w:rFonts w:ascii="Segoe UI"/>
          <w:i/>
          <w:color w:val="231F20"/>
          <w:spacing w:val="-2"/>
          <w:sz w:val="20"/>
        </w:rPr>
        <w:t> </w:t>
      </w:r>
      <w:r>
        <w:rPr>
          <w:rFonts w:ascii="Segoe UI"/>
          <w:i/>
          <w:color w:val="231F20"/>
          <w:spacing w:val="-1"/>
          <w:sz w:val="20"/>
        </w:rPr>
        <w:t>Review</w:t>
      </w:r>
      <w:r>
        <w:rPr>
          <w:rFonts w:ascii="Segoe UI"/>
          <w:i/>
          <w:color w:val="231F20"/>
          <w:spacing w:val="-3"/>
          <w:sz w:val="20"/>
        </w:rPr>
        <w:t> </w:t>
      </w:r>
      <w:r>
        <w:rPr>
          <w:rFonts w:ascii="Segoe UI"/>
          <w:i/>
          <w:color w:val="231F20"/>
          <w:spacing w:val="-2"/>
          <w:sz w:val="20"/>
        </w:rPr>
        <w:t>of</w:t>
      </w:r>
      <w:r>
        <w:rPr>
          <w:rFonts w:ascii="Segoe UI"/>
          <w:i/>
          <w:color w:val="231F20"/>
          <w:spacing w:val="24"/>
          <w:w w:val="99"/>
          <w:sz w:val="20"/>
        </w:rPr>
        <w:t> </w:t>
      </w:r>
      <w:r>
        <w:rPr>
          <w:rFonts w:ascii="Segoe UI"/>
          <w:i/>
          <w:color w:val="231F20"/>
          <w:spacing w:val="-1"/>
          <w:sz w:val="20"/>
        </w:rPr>
        <w:t>Indigenous</w:t>
      </w:r>
      <w:r>
        <w:rPr>
          <w:rFonts w:ascii="Segoe UI"/>
          <w:i/>
          <w:color w:val="231F20"/>
          <w:spacing w:val="-2"/>
          <w:sz w:val="20"/>
        </w:rPr>
        <w:t> </w:t>
      </w:r>
      <w:r>
        <w:rPr>
          <w:rFonts w:ascii="Segoe UI"/>
          <w:i/>
          <w:color w:val="231F20"/>
          <w:sz w:val="20"/>
        </w:rPr>
        <w:t>Education</w:t>
      </w:r>
      <w:r>
        <w:rPr>
          <w:rFonts w:ascii="Segoe UI"/>
          <w:i/>
          <w:color w:val="231F20"/>
          <w:spacing w:val="-1"/>
          <w:sz w:val="20"/>
        </w:rPr>
        <w:t> </w:t>
      </w:r>
      <w:r>
        <w:rPr>
          <w:rFonts w:ascii="Segoe UI"/>
          <w:i/>
          <w:color w:val="231F20"/>
          <w:sz w:val="20"/>
        </w:rPr>
        <w:t>in</w:t>
      </w:r>
      <w:r>
        <w:rPr>
          <w:rFonts w:ascii="Segoe UI"/>
          <w:i/>
          <w:color w:val="231F20"/>
          <w:spacing w:val="-2"/>
          <w:sz w:val="20"/>
        </w:rPr>
        <w:t> </w:t>
      </w:r>
      <w:r>
        <w:rPr>
          <w:rFonts w:ascii="Segoe UI"/>
          <w:i/>
          <w:color w:val="231F20"/>
          <w:spacing w:val="-1"/>
          <w:sz w:val="20"/>
        </w:rPr>
        <w:t>the</w:t>
      </w:r>
      <w:r>
        <w:rPr>
          <w:rFonts w:ascii="Segoe UI"/>
          <w:i/>
          <w:color w:val="231F20"/>
          <w:spacing w:val="-2"/>
          <w:sz w:val="20"/>
        </w:rPr>
        <w:t> </w:t>
      </w:r>
      <w:r>
        <w:rPr>
          <w:rFonts w:ascii="Segoe UI"/>
          <w:i/>
          <w:color w:val="231F20"/>
          <w:sz w:val="20"/>
        </w:rPr>
        <w:t>Northern</w:t>
      </w:r>
      <w:r>
        <w:rPr>
          <w:rFonts w:ascii="Segoe UI"/>
          <w:i/>
          <w:color w:val="231F20"/>
          <w:spacing w:val="-1"/>
          <w:sz w:val="20"/>
        </w:rPr>
        <w:t> </w:t>
      </w:r>
      <w:r>
        <w:rPr>
          <w:rFonts w:ascii="Segoe UI"/>
          <w:i/>
          <w:color w:val="231F20"/>
          <w:spacing w:val="-3"/>
          <w:sz w:val="20"/>
        </w:rPr>
        <w:t>Territory,</w:t>
      </w:r>
      <w:r>
        <w:rPr>
          <w:rFonts w:ascii="Segoe UI"/>
          <w:i/>
          <w:color w:val="231F20"/>
          <w:spacing w:val="27"/>
          <w:w w:val="99"/>
          <w:sz w:val="20"/>
        </w:rPr>
        <w:t> </w:t>
      </w:r>
      <w:r>
        <w:rPr>
          <w:rFonts w:ascii="Segoe UI"/>
          <w:color w:val="231F20"/>
          <w:sz w:val="20"/>
        </w:rPr>
        <w:t>Northern</w:t>
      </w:r>
      <w:r>
        <w:rPr>
          <w:rFonts w:ascii="Segoe UI"/>
          <w:color w:val="231F20"/>
          <w:spacing w:val="-10"/>
          <w:sz w:val="20"/>
        </w:rPr>
        <w:t> </w:t>
      </w:r>
      <w:r>
        <w:rPr>
          <w:rFonts w:ascii="Segoe UI"/>
          <w:color w:val="231F20"/>
          <w:spacing w:val="-3"/>
          <w:sz w:val="20"/>
        </w:rPr>
        <w:t>Territory</w:t>
      </w:r>
      <w:r>
        <w:rPr>
          <w:rFonts w:ascii="Segoe UI"/>
          <w:color w:val="231F20"/>
          <w:spacing w:val="-9"/>
          <w:sz w:val="20"/>
        </w:rPr>
        <w:t> </w:t>
      </w:r>
      <w:r>
        <w:rPr>
          <w:rFonts w:ascii="Segoe UI"/>
          <w:color w:val="231F20"/>
          <w:spacing w:val="-1"/>
          <w:sz w:val="20"/>
        </w:rPr>
        <w:t>Department</w:t>
      </w:r>
      <w:r>
        <w:rPr>
          <w:rFonts w:ascii="Segoe UI"/>
          <w:color w:val="231F20"/>
          <w:spacing w:val="-9"/>
          <w:sz w:val="20"/>
        </w:rPr>
        <w:t> </w:t>
      </w:r>
      <w:r>
        <w:rPr>
          <w:rFonts w:ascii="Segoe UI"/>
          <w:color w:val="231F20"/>
          <w:sz w:val="20"/>
        </w:rPr>
        <w:t>of</w:t>
      </w:r>
      <w:r>
        <w:rPr>
          <w:rFonts w:ascii="Segoe UI"/>
          <w:color w:val="231F20"/>
          <w:spacing w:val="-10"/>
          <w:sz w:val="20"/>
        </w:rPr>
        <w:t> </w:t>
      </w:r>
      <w:r>
        <w:rPr>
          <w:rFonts w:ascii="Segoe UI"/>
          <w:color w:val="231F20"/>
          <w:sz w:val="20"/>
        </w:rPr>
        <w:t>Education,</w:t>
      </w:r>
      <w:r>
        <w:rPr>
          <w:rFonts w:ascii="Segoe UI"/>
          <w:color w:val="231F20"/>
          <w:spacing w:val="29"/>
          <w:w w:val="99"/>
          <w:sz w:val="20"/>
        </w:rPr>
        <w:t> </w:t>
      </w:r>
      <w:r>
        <w:rPr>
          <w:rFonts w:ascii="Segoe UI"/>
          <w:color w:val="231F20"/>
          <w:spacing w:val="-1"/>
          <w:sz w:val="20"/>
        </w:rPr>
        <w:t>2015</w:t>
      </w:r>
      <w:r>
        <w:rPr>
          <w:rFonts w:ascii="Segoe UI"/>
          <w:color w:val="231F20"/>
          <w:sz w:val="20"/>
        </w:rPr>
        <w:t> (Wilson,</w:t>
      </w:r>
      <w:r>
        <w:rPr>
          <w:rFonts w:ascii="Segoe UI"/>
          <w:color w:val="231F20"/>
          <w:spacing w:val="-1"/>
          <w:sz w:val="20"/>
        </w:rPr>
        <w:t> </w:t>
      </w:r>
      <w:r>
        <w:rPr>
          <w:rFonts w:ascii="Segoe UI"/>
          <w:color w:val="231F20"/>
          <w:sz w:val="20"/>
        </w:rPr>
        <w:t>2015)</w:t>
      </w:r>
      <w:r>
        <w:rPr>
          <w:rFonts w:ascii="Segoe UI"/>
          <w:sz w:val="20"/>
        </w:rPr>
      </w:r>
    </w:p>
    <w:p>
      <w:pPr>
        <w:spacing w:after="0" w:line="250" w:lineRule="exact"/>
        <w:jc w:val="left"/>
        <w:rPr>
          <w:rFonts w:ascii="Segoe UI" w:hAnsi="Segoe UI" w:cs="Segoe UI" w:eastAsia="Segoe UI"/>
          <w:sz w:val="20"/>
          <w:szCs w:val="20"/>
        </w:rPr>
        <w:sectPr>
          <w:pgSz w:w="11910" w:h="16840"/>
          <w:pgMar w:header="0" w:footer="691" w:top="1580" w:bottom="880" w:left="1300" w:right="1680"/>
        </w:sectPr>
      </w:pPr>
    </w:p>
    <w:p>
      <w:pPr>
        <w:spacing w:line="240" w:lineRule="auto" w:before="0"/>
        <w:rPr>
          <w:rFonts w:ascii="Segoe UI" w:hAnsi="Segoe UI" w:cs="Segoe UI" w:eastAsia="Segoe UI"/>
          <w:sz w:val="20"/>
          <w:szCs w:val="20"/>
        </w:rPr>
      </w:pPr>
    </w:p>
    <w:p>
      <w:pPr>
        <w:spacing w:line="240" w:lineRule="auto" w:before="1"/>
        <w:rPr>
          <w:rFonts w:ascii="Segoe UI" w:hAnsi="Segoe UI" w:cs="Segoe UI" w:eastAsia="Segoe UI"/>
          <w:sz w:val="20"/>
          <w:szCs w:val="20"/>
        </w:rPr>
      </w:pPr>
    </w:p>
    <w:p>
      <w:pPr>
        <w:pStyle w:val="Heading1"/>
        <w:numPr>
          <w:ilvl w:val="0"/>
          <w:numId w:val="6"/>
        </w:numPr>
        <w:tabs>
          <w:tab w:pos="821" w:val="left" w:leader="none"/>
        </w:tabs>
        <w:spacing w:line="567" w:lineRule="exact" w:before="0" w:after="0"/>
        <w:ind w:left="820" w:right="0" w:hanging="720"/>
        <w:jc w:val="left"/>
      </w:pPr>
      <w:bookmarkStart w:name="_TOC_250003" w:id="33"/>
      <w:r>
        <w:rPr>
          <w:color w:val="67973F"/>
        </w:rPr>
        <w:t>Appendix</w:t>
      </w:r>
      <w:r>
        <w:rPr>
          <w:color w:val="67973F"/>
          <w:spacing w:val="-10"/>
        </w:rPr>
        <w:t> </w:t>
      </w:r>
      <w:r>
        <w:rPr>
          <w:color w:val="67973F"/>
        </w:rPr>
        <w:t>A</w:t>
      </w:r>
      <w:r>
        <w:rPr>
          <w:color w:val="67973F"/>
          <w:spacing w:val="-10"/>
        </w:rPr>
        <w:t> </w:t>
      </w:r>
      <w:r>
        <w:rPr>
          <w:color w:val="67973F"/>
        </w:rPr>
        <w:t>–</w:t>
      </w:r>
      <w:r>
        <w:rPr>
          <w:color w:val="67973F"/>
          <w:spacing w:val="-9"/>
        </w:rPr>
        <w:t> </w:t>
      </w:r>
      <w:r>
        <w:rPr>
          <w:color w:val="67973F"/>
        </w:rPr>
        <w:t>Additional</w:t>
      </w:r>
      <w:r>
        <w:rPr>
          <w:color w:val="67973F"/>
          <w:spacing w:val="-10"/>
        </w:rPr>
        <w:t> </w:t>
      </w:r>
      <w:r>
        <w:rPr>
          <w:color w:val="67973F"/>
        </w:rPr>
        <w:t>consultations</w:t>
      </w:r>
      <w:bookmarkEnd w:id="33"/>
      <w:r>
        <w:rPr/>
      </w:r>
    </w:p>
    <w:p>
      <w:pPr>
        <w:spacing w:line="240" w:lineRule="auto" w:before="7"/>
        <w:rPr>
          <w:rFonts w:ascii="Segoe UI" w:hAnsi="Segoe UI" w:cs="Segoe UI" w:eastAsia="Segoe UI"/>
          <w:sz w:val="22"/>
          <w:szCs w:val="22"/>
        </w:rPr>
      </w:pPr>
    </w:p>
    <w:p>
      <w:pPr>
        <w:spacing w:after="0" w:line="240" w:lineRule="auto"/>
        <w:rPr>
          <w:rFonts w:ascii="Segoe UI" w:hAnsi="Segoe UI" w:cs="Segoe UI" w:eastAsia="Segoe UI"/>
          <w:sz w:val="22"/>
          <w:szCs w:val="22"/>
        </w:rPr>
        <w:sectPr>
          <w:pgSz w:w="11910" w:h="16840"/>
          <w:pgMar w:header="0" w:footer="691" w:top="1580" w:bottom="880" w:left="1600" w:right="1300"/>
        </w:sectPr>
      </w:pPr>
    </w:p>
    <w:p>
      <w:pPr>
        <w:pStyle w:val="BodyText"/>
        <w:spacing w:line="250" w:lineRule="exact" w:before="65"/>
        <w:ind w:left="100" w:right="36"/>
        <w:jc w:val="left"/>
      </w:pPr>
      <w:r>
        <w:rPr>
          <w:color w:val="231F20"/>
          <w:spacing w:val="-1"/>
        </w:rPr>
        <w:t>In</w:t>
      </w:r>
      <w:r>
        <w:rPr>
          <w:color w:val="231F20"/>
          <w:spacing w:val="-4"/>
        </w:rPr>
        <w:t> </w:t>
      </w:r>
      <w:r>
        <w:rPr>
          <w:color w:val="231F20"/>
        </w:rPr>
        <w:t>addition</w:t>
      </w:r>
      <w:r>
        <w:rPr>
          <w:color w:val="231F20"/>
          <w:spacing w:val="-4"/>
        </w:rPr>
        <w:t> </w:t>
      </w:r>
      <w:r>
        <w:rPr>
          <w:color w:val="231F20"/>
        </w:rPr>
        <w:t>to</w:t>
      </w:r>
      <w:r>
        <w:rPr>
          <w:color w:val="231F20"/>
          <w:spacing w:val="-4"/>
        </w:rPr>
        <w:t> </w:t>
      </w:r>
      <w:r>
        <w:rPr>
          <w:color w:val="231F20"/>
        </w:rPr>
        <w:t>the</w:t>
      </w:r>
      <w:r>
        <w:rPr>
          <w:color w:val="231F20"/>
          <w:spacing w:val="-4"/>
        </w:rPr>
        <w:t> </w:t>
      </w:r>
      <w:r>
        <w:rPr>
          <w:color w:val="231F20"/>
          <w:spacing w:val="-1"/>
        </w:rPr>
        <w:t>27</w:t>
      </w:r>
      <w:r>
        <w:rPr>
          <w:color w:val="231F20"/>
          <w:spacing w:val="-4"/>
        </w:rPr>
        <w:t> </w:t>
      </w:r>
      <w:r>
        <w:rPr>
          <w:color w:val="231F20"/>
        </w:rPr>
        <w:t>Aboriginal</w:t>
      </w:r>
      <w:r>
        <w:rPr>
          <w:color w:val="231F20"/>
          <w:spacing w:val="-3"/>
        </w:rPr>
        <w:t> </w:t>
      </w:r>
      <w:r>
        <w:rPr>
          <w:color w:val="231F20"/>
        </w:rPr>
        <w:t>and</w:t>
      </w:r>
      <w:r>
        <w:rPr>
          <w:color w:val="231F20"/>
          <w:spacing w:val="-4"/>
        </w:rPr>
        <w:t> </w:t>
      </w:r>
      <w:r>
        <w:rPr>
          <w:color w:val="231F20"/>
          <w:spacing w:val="-5"/>
        </w:rPr>
        <w:t>Torres</w:t>
      </w:r>
      <w:r>
        <w:rPr>
          <w:color w:val="231F20"/>
          <w:spacing w:val="26"/>
          <w:w w:val="99"/>
        </w:rPr>
        <w:t> </w:t>
      </w:r>
      <w:r>
        <w:rPr>
          <w:color w:val="231F20"/>
          <w:spacing w:val="-2"/>
        </w:rPr>
        <w:t>Strait</w:t>
      </w:r>
      <w:r>
        <w:rPr>
          <w:color w:val="231F20"/>
          <w:spacing w:val="-9"/>
        </w:rPr>
        <w:t> </w:t>
      </w:r>
      <w:r>
        <w:rPr>
          <w:color w:val="231F20"/>
          <w:spacing w:val="-1"/>
        </w:rPr>
        <w:t>Islander</w:t>
      </w:r>
      <w:r>
        <w:rPr>
          <w:color w:val="231F20"/>
          <w:spacing w:val="-9"/>
        </w:rPr>
        <w:t> </w:t>
      </w:r>
      <w:r>
        <w:rPr>
          <w:color w:val="231F20"/>
        </w:rPr>
        <w:t>boarding</w:t>
      </w:r>
      <w:r>
        <w:rPr>
          <w:color w:val="231F20"/>
          <w:spacing w:val="-8"/>
        </w:rPr>
        <w:t> </w:t>
      </w:r>
      <w:r>
        <w:rPr>
          <w:color w:val="231F20"/>
        </w:rPr>
        <w:t>providers,</w:t>
      </w:r>
      <w:r>
        <w:rPr>
          <w:color w:val="231F20"/>
          <w:spacing w:val="-9"/>
        </w:rPr>
        <w:t> </w:t>
      </w:r>
      <w:r>
        <w:rPr>
          <w:color w:val="231F20"/>
        </w:rPr>
        <w:t>the</w:t>
      </w:r>
      <w:r>
        <w:rPr>
          <w:color w:val="231F20"/>
          <w:spacing w:val="-9"/>
        </w:rPr>
        <w:t> </w:t>
      </w:r>
      <w:r>
        <w:rPr>
          <w:color w:val="231F20"/>
        </w:rPr>
        <w:t>following</w:t>
      </w:r>
      <w:r>
        <w:rPr>
          <w:color w:val="231F20"/>
          <w:spacing w:val="27"/>
          <w:w w:val="99"/>
        </w:rPr>
        <w:t> </w:t>
      </w:r>
      <w:r>
        <w:rPr>
          <w:color w:val="231F20"/>
        </w:rPr>
        <w:t>peak</w:t>
      </w:r>
      <w:r>
        <w:rPr>
          <w:color w:val="231F20"/>
          <w:spacing w:val="-9"/>
        </w:rPr>
        <w:t> </w:t>
      </w:r>
      <w:r>
        <w:rPr>
          <w:color w:val="231F20"/>
        </w:rPr>
        <w:t>bodies,</w:t>
      </w:r>
      <w:r>
        <w:rPr>
          <w:color w:val="231F20"/>
          <w:spacing w:val="-8"/>
        </w:rPr>
        <w:t> </w:t>
      </w:r>
      <w:r>
        <w:rPr>
          <w:color w:val="231F20"/>
        </w:rPr>
        <w:t>government</w:t>
      </w:r>
      <w:r>
        <w:rPr>
          <w:color w:val="231F20"/>
          <w:spacing w:val="-9"/>
        </w:rPr>
        <w:t> </w:t>
      </w:r>
      <w:r>
        <w:rPr>
          <w:color w:val="231F20"/>
        </w:rPr>
        <w:t>agencies</w:t>
      </w:r>
      <w:r>
        <w:rPr>
          <w:color w:val="231F20"/>
          <w:spacing w:val="-8"/>
        </w:rPr>
        <w:t> </w:t>
      </w:r>
      <w:r>
        <w:rPr>
          <w:color w:val="231F20"/>
        </w:rPr>
        <w:t>and</w:t>
      </w:r>
      <w:r>
        <w:rPr>
          <w:color w:val="231F20"/>
          <w:spacing w:val="-9"/>
        </w:rPr>
        <w:t> </w:t>
      </w:r>
      <w:r>
        <w:rPr>
          <w:color w:val="231F20"/>
        </w:rPr>
        <w:t>other</w:t>
      </w:r>
      <w:r>
        <w:rPr>
          <w:color w:val="231F20"/>
          <w:w w:val="99"/>
        </w:rPr>
        <w:t> </w:t>
      </w:r>
      <w:r>
        <w:rPr>
          <w:color w:val="231F20"/>
        </w:rPr>
        <w:t>boarding</w:t>
      </w:r>
      <w:r>
        <w:rPr>
          <w:color w:val="231F20"/>
          <w:spacing w:val="-8"/>
        </w:rPr>
        <w:t> </w:t>
      </w:r>
      <w:r>
        <w:rPr>
          <w:color w:val="231F20"/>
        </w:rPr>
        <w:t>providers</w:t>
      </w:r>
      <w:r>
        <w:rPr>
          <w:color w:val="231F20"/>
          <w:spacing w:val="-7"/>
        </w:rPr>
        <w:t> </w:t>
      </w:r>
      <w:r>
        <w:rPr>
          <w:color w:val="231F20"/>
        </w:rPr>
        <w:t>were</w:t>
      </w:r>
      <w:r>
        <w:rPr>
          <w:color w:val="231F20"/>
          <w:spacing w:val="-7"/>
        </w:rPr>
        <w:t> </w:t>
      </w:r>
      <w:r>
        <w:rPr>
          <w:color w:val="231F20"/>
        </w:rPr>
        <w:t>consulted</w:t>
      </w:r>
      <w:r>
        <w:rPr>
          <w:color w:val="231F20"/>
          <w:spacing w:val="-8"/>
        </w:rPr>
        <w:t> </w:t>
      </w:r>
      <w:r>
        <w:rPr>
          <w:color w:val="231F20"/>
        </w:rPr>
        <w:t>for</w:t>
      </w:r>
      <w:r>
        <w:rPr>
          <w:color w:val="231F20"/>
          <w:spacing w:val="-6"/>
        </w:rPr>
        <w:t> </w:t>
      </w:r>
      <w:r>
        <w:rPr>
          <w:color w:val="231F20"/>
        </w:rPr>
        <w:t>this</w:t>
      </w:r>
      <w:r>
        <w:rPr>
          <w:color w:val="231F20"/>
        </w:rPr>
        <w:t> report.</w:t>
      </w:r>
      <w:r>
        <w:rPr/>
      </w:r>
    </w:p>
    <w:p>
      <w:pPr>
        <w:spacing w:line="240" w:lineRule="auto" w:before="5"/>
        <w:rPr>
          <w:rFonts w:ascii="Segoe UI" w:hAnsi="Segoe UI" w:cs="Segoe UI" w:eastAsia="Segoe UI"/>
          <w:sz w:val="15"/>
          <w:szCs w:val="15"/>
        </w:rPr>
      </w:pPr>
    </w:p>
    <w:p>
      <w:pPr>
        <w:pStyle w:val="Heading4"/>
        <w:spacing w:line="280" w:lineRule="exact"/>
        <w:ind w:right="73"/>
        <w:jc w:val="left"/>
      </w:pPr>
      <w:r>
        <w:rPr>
          <w:color w:val="452A70"/>
          <w:spacing w:val="-1"/>
        </w:rPr>
        <w:t>Indigenous</w:t>
      </w:r>
      <w:r>
        <w:rPr>
          <w:color w:val="452A70"/>
          <w:spacing w:val="-13"/>
        </w:rPr>
        <w:t> </w:t>
      </w:r>
      <w:r>
        <w:rPr>
          <w:color w:val="452A70"/>
        </w:rPr>
        <w:t>Education</w:t>
      </w:r>
      <w:r>
        <w:rPr>
          <w:color w:val="452A70"/>
          <w:spacing w:val="-12"/>
        </w:rPr>
        <w:t> </w:t>
      </w:r>
      <w:r>
        <w:rPr>
          <w:color w:val="452A70"/>
        </w:rPr>
        <w:t>and</w:t>
      </w:r>
      <w:r>
        <w:rPr>
          <w:color w:val="452A70"/>
          <w:spacing w:val="-13"/>
        </w:rPr>
        <w:t> </w:t>
      </w:r>
      <w:r>
        <w:rPr>
          <w:color w:val="452A70"/>
          <w:spacing w:val="-1"/>
        </w:rPr>
        <w:t>Boarding</w:t>
      </w:r>
      <w:r>
        <w:rPr>
          <w:color w:val="452A70"/>
          <w:spacing w:val="21"/>
          <w:w w:val="99"/>
        </w:rPr>
        <w:t> </w:t>
      </w:r>
      <w:r>
        <w:rPr>
          <w:color w:val="452A70"/>
        </w:rPr>
        <w:t>Australia</w:t>
      </w:r>
      <w:r>
        <w:rPr/>
      </w:r>
    </w:p>
    <w:p>
      <w:pPr>
        <w:pStyle w:val="BodyText"/>
        <w:spacing w:line="250" w:lineRule="exact" w:before="135"/>
        <w:ind w:left="100" w:right="73"/>
        <w:jc w:val="left"/>
      </w:pPr>
      <w:r>
        <w:rPr>
          <w:color w:val="231F20"/>
          <w:spacing w:val="-1"/>
        </w:rPr>
        <w:t>Indigenous</w:t>
      </w:r>
      <w:r>
        <w:rPr>
          <w:color w:val="231F20"/>
          <w:spacing w:val="-10"/>
        </w:rPr>
        <w:t> </w:t>
      </w:r>
      <w:r>
        <w:rPr>
          <w:color w:val="231F20"/>
        </w:rPr>
        <w:t>Education</w:t>
      </w:r>
      <w:r>
        <w:rPr>
          <w:color w:val="231F20"/>
          <w:spacing w:val="-10"/>
        </w:rPr>
        <w:t> </w:t>
      </w:r>
      <w:r>
        <w:rPr>
          <w:color w:val="231F20"/>
        </w:rPr>
        <w:t>and</w:t>
      </w:r>
      <w:r>
        <w:rPr>
          <w:color w:val="231F20"/>
          <w:spacing w:val="-11"/>
        </w:rPr>
        <w:t> </w:t>
      </w:r>
      <w:r>
        <w:rPr>
          <w:color w:val="231F20"/>
          <w:spacing w:val="-1"/>
        </w:rPr>
        <w:t>Boarding</w:t>
      </w:r>
      <w:r>
        <w:rPr>
          <w:color w:val="231F20"/>
          <w:spacing w:val="-9"/>
        </w:rPr>
        <w:t> </w:t>
      </w:r>
      <w:r>
        <w:rPr>
          <w:color w:val="231F20"/>
        </w:rPr>
        <w:t>Australia</w:t>
      </w:r>
      <w:r>
        <w:rPr>
          <w:color w:val="231F20"/>
          <w:spacing w:val="23"/>
          <w:w w:val="99"/>
        </w:rPr>
        <w:t> </w:t>
      </w:r>
      <w:r>
        <w:rPr>
          <w:color w:val="231F20"/>
        </w:rPr>
        <w:t>was</w:t>
      </w:r>
      <w:r>
        <w:rPr>
          <w:color w:val="231F20"/>
          <w:spacing w:val="-4"/>
        </w:rPr>
        <w:t> </w:t>
      </w:r>
      <w:r>
        <w:rPr>
          <w:color w:val="231F20"/>
        </w:rPr>
        <w:t>established</w:t>
      </w:r>
      <w:r>
        <w:rPr>
          <w:color w:val="231F20"/>
          <w:spacing w:val="-3"/>
        </w:rPr>
        <w:t> </w:t>
      </w:r>
      <w:r>
        <w:rPr>
          <w:color w:val="231F20"/>
          <w:spacing w:val="-1"/>
        </w:rPr>
        <w:t>in</w:t>
      </w:r>
      <w:r>
        <w:rPr>
          <w:color w:val="231F20"/>
          <w:spacing w:val="-3"/>
        </w:rPr>
        <w:t> </w:t>
      </w:r>
      <w:r>
        <w:rPr>
          <w:color w:val="231F20"/>
        </w:rPr>
        <w:t>July</w:t>
      </w:r>
      <w:r>
        <w:rPr>
          <w:color w:val="231F20"/>
          <w:spacing w:val="-3"/>
        </w:rPr>
        <w:t> </w:t>
      </w:r>
      <w:r>
        <w:rPr>
          <w:color w:val="231F20"/>
          <w:spacing w:val="-1"/>
        </w:rPr>
        <w:t>1995</w:t>
      </w:r>
      <w:r>
        <w:rPr>
          <w:color w:val="231F20"/>
          <w:spacing w:val="-3"/>
        </w:rPr>
        <w:t> </w:t>
      </w:r>
      <w:r>
        <w:rPr>
          <w:color w:val="231F20"/>
        </w:rPr>
        <w:t>as</w:t>
      </w:r>
      <w:r>
        <w:rPr>
          <w:color w:val="231F20"/>
          <w:spacing w:val="-3"/>
        </w:rPr>
        <w:t> </w:t>
      </w:r>
      <w:r>
        <w:rPr>
          <w:color w:val="231F20"/>
        </w:rPr>
        <w:t>the</w:t>
      </w:r>
      <w:r>
        <w:rPr>
          <w:color w:val="231F20"/>
          <w:spacing w:val="-3"/>
        </w:rPr>
        <w:t> </w:t>
      </w:r>
      <w:r>
        <w:rPr>
          <w:color w:val="231F20"/>
        </w:rPr>
        <w:t>National</w:t>
      </w:r>
      <w:r>
        <w:rPr>
          <w:color w:val="231F20"/>
          <w:spacing w:val="22"/>
          <w:w w:val="99"/>
        </w:rPr>
        <w:t> </w:t>
      </w:r>
      <w:r>
        <w:rPr>
          <w:color w:val="231F20"/>
        </w:rPr>
        <w:t>Association</w:t>
      </w:r>
      <w:r>
        <w:rPr>
          <w:color w:val="231F20"/>
          <w:spacing w:val="-7"/>
        </w:rPr>
        <w:t> </w:t>
      </w:r>
      <w:r>
        <w:rPr>
          <w:color w:val="231F20"/>
        </w:rPr>
        <w:t>for</w:t>
      </w:r>
      <w:r>
        <w:rPr>
          <w:color w:val="231F20"/>
          <w:spacing w:val="-7"/>
        </w:rPr>
        <w:t> </w:t>
      </w:r>
      <w:r>
        <w:rPr>
          <w:color w:val="231F20"/>
          <w:spacing w:val="-1"/>
        </w:rPr>
        <w:t>Rural</w:t>
      </w:r>
      <w:r>
        <w:rPr>
          <w:color w:val="231F20"/>
          <w:spacing w:val="-7"/>
        </w:rPr>
        <w:t> </w:t>
      </w:r>
      <w:r>
        <w:rPr>
          <w:color w:val="231F20"/>
          <w:spacing w:val="-1"/>
        </w:rPr>
        <w:t>Student</w:t>
      </w:r>
      <w:r>
        <w:rPr>
          <w:color w:val="231F20"/>
          <w:spacing w:val="-8"/>
        </w:rPr>
        <w:t> </w:t>
      </w:r>
      <w:r>
        <w:rPr>
          <w:color w:val="231F20"/>
        </w:rPr>
        <w:t>Accommodation</w:t>
      </w:r>
      <w:r>
        <w:rPr>
          <w:color w:val="231F20"/>
          <w:spacing w:val="22"/>
          <w:w w:val="99"/>
        </w:rPr>
        <w:t> </w:t>
      </w:r>
      <w:r>
        <w:rPr>
          <w:color w:val="231F20"/>
        </w:rPr>
        <w:t>(NARSA).</w:t>
      </w:r>
      <w:r>
        <w:rPr>
          <w:color w:val="231F20"/>
          <w:spacing w:val="-7"/>
        </w:rPr>
        <w:t> </w:t>
      </w:r>
      <w:r>
        <w:rPr>
          <w:color w:val="231F20"/>
          <w:spacing w:val="-1"/>
        </w:rPr>
        <w:t>It</w:t>
      </w:r>
      <w:r>
        <w:rPr>
          <w:color w:val="231F20"/>
          <w:spacing w:val="-7"/>
        </w:rPr>
        <w:t> </w:t>
      </w:r>
      <w:r>
        <w:rPr>
          <w:color w:val="231F20"/>
        </w:rPr>
        <w:t>was</w:t>
      </w:r>
      <w:r>
        <w:rPr>
          <w:color w:val="231F20"/>
          <w:spacing w:val="-6"/>
        </w:rPr>
        <w:t> </w:t>
      </w:r>
      <w:r>
        <w:rPr>
          <w:color w:val="231F20"/>
        </w:rPr>
        <w:t>renamed</w:t>
      </w:r>
      <w:r>
        <w:rPr>
          <w:color w:val="231F20"/>
          <w:spacing w:val="-7"/>
        </w:rPr>
        <w:t> </w:t>
      </w:r>
      <w:r>
        <w:rPr>
          <w:color w:val="231F20"/>
        </w:rPr>
        <w:t>as</w:t>
      </w:r>
      <w:r>
        <w:rPr>
          <w:color w:val="231F20"/>
          <w:spacing w:val="-7"/>
        </w:rPr>
        <w:t> </w:t>
      </w:r>
      <w:r>
        <w:rPr>
          <w:color w:val="231F20"/>
          <w:spacing w:val="-1"/>
        </w:rPr>
        <w:t>Boarding</w:t>
      </w:r>
      <w:r>
        <w:rPr>
          <w:color w:val="231F20"/>
          <w:spacing w:val="-6"/>
        </w:rPr>
        <w:t> </w:t>
      </w:r>
      <w:r>
        <w:rPr>
          <w:color w:val="231F20"/>
        </w:rPr>
        <w:t>Australia</w:t>
      </w:r>
      <w:r>
        <w:rPr>
          <w:color w:val="231F20"/>
          <w:spacing w:val="23"/>
          <w:w w:val="99"/>
        </w:rPr>
        <w:t> </w:t>
      </w:r>
      <w:r>
        <w:rPr>
          <w:color w:val="231F20"/>
          <w:spacing w:val="-1"/>
        </w:rPr>
        <w:t>in</w:t>
      </w:r>
      <w:r>
        <w:rPr>
          <w:color w:val="231F20"/>
          <w:spacing w:val="-5"/>
        </w:rPr>
        <w:t> </w:t>
      </w:r>
      <w:r>
        <w:rPr>
          <w:color w:val="231F20"/>
          <w:spacing w:val="-1"/>
        </w:rPr>
        <w:t>2011</w:t>
      </w:r>
      <w:r>
        <w:rPr>
          <w:color w:val="231F20"/>
          <w:spacing w:val="-4"/>
        </w:rPr>
        <w:t> </w:t>
      </w:r>
      <w:r>
        <w:rPr>
          <w:color w:val="231F20"/>
        </w:rPr>
        <w:t>and</w:t>
      </w:r>
      <w:r>
        <w:rPr>
          <w:color w:val="231F20"/>
          <w:spacing w:val="-5"/>
        </w:rPr>
        <w:t> </w:t>
      </w:r>
      <w:r>
        <w:rPr>
          <w:color w:val="231F20"/>
        </w:rPr>
        <w:t>as</w:t>
      </w:r>
      <w:r>
        <w:rPr>
          <w:color w:val="231F20"/>
          <w:spacing w:val="-5"/>
        </w:rPr>
        <w:t> </w:t>
      </w:r>
      <w:r>
        <w:rPr>
          <w:color w:val="231F20"/>
          <w:spacing w:val="-1"/>
        </w:rPr>
        <w:t>Indigenous</w:t>
      </w:r>
      <w:r>
        <w:rPr>
          <w:color w:val="231F20"/>
          <w:spacing w:val="-5"/>
        </w:rPr>
        <w:t> </w:t>
      </w:r>
      <w:r>
        <w:rPr>
          <w:color w:val="231F20"/>
        </w:rPr>
        <w:t>Education</w:t>
      </w:r>
      <w:r>
        <w:rPr>
          <w:color w:val="231F20"/>
          <w:spacing w:val="-5"/>
        </w:rPr>
        <w:t> </w:t>
      </w:r>
      <w:r>
        <w:rPr>
          <w:color w:val="231F20"/>
        </w:rPr>
        <w:t>and</w:t>
      </w:r>
      <w:r>
        <w:rPr>
          <w:color w:val="231F20"/>
          <w:spacing w:val="24"/>
          <w:w w:val="99"/>
        </w:rPr>
        <w:t> </w:t>
      </w:r>
      <w:r>
        <w:rPr>
          <w:color w:val="231F20"/>
          <w:spacing w:val="-1"/>
        </w:rPr>
        <w:t>Boarding</w:t>
      </w:r>
      <w:r>
        <w:rPr>
          <w:color w:val="231F20"/>
          <w:spacing w:val="-4"/>
        </w:rPr>
        <w:t> </w:t>
      </w:r>
      <w:r>
        <w:rPr>
          <w:color w:val="231F20"/>
        </w:rPr>
        <w:t>Australia</w:t>
      </w:r>
      <w:r>
        <w:rPr>
          <w:color w:val="231F20"/>
          <w:spacing w:val="-3"/>
        </w:rPr>
        <w:t> </w:t>
      </w:r>
      <w:r>
        <w:rPr>
          <w:color w:val="231F20"/>
          <w:spacing w:val="-1"/>
        </w:rPr>
        <w:t>in</w:t>
      </w:r>
      <w:r>
        <w:rPr>
          <w:color w:val="231F20"/>
          <w:spacing w:val="-3"/>
        </w:rPr>
        <w:t> </w:t>
      </w:r>
      <w:r>
        <w:rPr>
          <w:color w:val="231F20"/>
          <w:spacing w:val="-1"/>
        </w:rPr>
        <w:t>2019.</w:t>
      </w:r>
      <w:r>
        <w:rPr>
          <w:color w:val="231F20"/>
          <w:spacing w:val="-3"/>
        </w:rPr>
        <w:t> </w:t>
      </w:r>
      <w:r>
        <w:rPr>
          <w:color w:val="231F20"/>
          <w:spacing w:val="-1"/>
        </w:rPr>
        <w:t>It</w:t>
      </w:r>
      <w:r>
        <w:rPr>
          <w:color w:val="231F20"/>
          <w:spacing w:val="-4"/>
        </w:rPr>
        <w:t> </w:t>
      </w:r>
      <w:r>
        <w:rPr>
          <w:color w:val="231F20"/>
        </w:rPr>
        <w:t>acts</w:t>
      </w:r>
      <w:r>
        <w:rPr>
          <w:color w:val="231F20"/>
          <w:spacing w:val="-4"/>
        </w:rPr>
        <w:t> </w:t>
      </w:r>
      <w:r>
        <w:rPr>
          <w:color w:val="231F20"/>
        </w:rPr>
        <w:t>as</w:t>
      </w:r>
      <w:r>
        <w:rPr>
          <w:color w:val="231F20"/>
          <w:spacing w:val="-4"/>
        </w:rPr>
        <w:t> </w:t>
      </w:r>
      <w:r>
        <w:rPr>
          <w:color w:val="231F20"/>
        </w:rPr>
        <w:t>a</w:t>
      </w:r>
      <w:r>
        <w:rPr>
          <w:color w:val="231F20"/>
          <w:spacing w:val="-3"/>
        </w:rPr>
        <w:t> </w:t>
      </w:r>
      <w:r>
        <w:rPr>
          <w:color w:val="231F20"/>
        </w:rPr>
        <w:t>peak</w:t>
      </w:r>
      <w:r>
        <w:rPr>
          <w:color w:val="231F20"/>
          <w:spacing w:val="25"/>
          <w:w w:val="99"/>
        </w:rPr>
        <w:t> </w:t>
      </w:r>
      <w:r>
        <w:rPr>
          <w:color w:val="231F20"/>
        </w:rPr>
        <w:t>national</w:t>
      </w:r>
      <w:r>
        <w:rPr>
          <w:color w:val="231F20"/>
          <w:spacing w:val="-8"/>
        </w:rPr>
        <w:t> </w:t>
      </w:r>
      <w:r>
        <w:rPr>
          <w:color w:val="231F20"/>
        </w:rPr>
        <w:t>body</w:t>
      </w:r>
      <w:r>
        <w:rPr>
          <w:color w:val="231F20"/>
          <w:spacing w:val="-7"/>
        </w:rPr>
        <w:t> </w:t>
      </w:r>
      <w:r>
        <w:rPr>
          <w:color w:val="231F20"/>
        </w:rPr>
        <w:t>to</w:t>
      </w:r>
      <w:r>
        <w:rPr>
          <w:color w:val="231F20"/>
          <w:spacing w:val="-7"/>
        </w:rPr>
        <w:t> </w:t>
      </w:r>
      <w:r>
        <w:rPr>
          <w:color w:val="231F20"/>
        </w:rPr>
        <w:t>represent</w:t>
      </w:r>
      <w:r>
        <w:rPr>
          <w:color w:val="231F20"/>
          <w:spacing w:val="-7"/>
        </w:rPr>
        <w:t> </w:t>
      </w:r>
      <w:r>
        <w:rPr>
          <w:color w:val="231F20"/>
        </w:rPr>
        <w:t>and</w:t>
      </w:r>
      <w:r>
        <w:rPr>
          <w:color w:val="231F20"/>
          <w:spacing w:val="-8"/>
        </w:rPr>
        <w:t> </w:t>
      </w:r>
      <w:r>
        <w:rPr>
          <w:color w:val="231F20"/>
          <w:spacing w:val="-1"/>
        </w:rPr>
        <w:t>support</w:t>
      </w:r>
      <w:r>
        <w:rPr>
          <w:color w:val="231F20"/>
          <w:spacing w:val="20"/>
          <w:w w:val="99"/>
        </w:rPr>
        <w:t> </w:t>
      </w:r>
      <w:r>
        <w:rPr>
          <w:color w:val="231F20"/>
        </w:rPr>
        <w:t>regional</w:t>
      </w:r>
      <w:r>
        <w:rPr>
          <w:color w:val="231F20"/>
          <w:spacing w:val="-7"/>
        </w:rPr>
        <w:t> </w:t>
      </w:r>
      <w:r>
        <w:rPr>
          <w:color w:val="231F20"/>
        </w:rPr>
        <w:t>and</w:t>
      </w:r>
      <w:r>
        <w:rPr>
          <w:color w:val="231F20"/>
          <w:spacing w:val="-7"/>
        </w:rPr>
        <w:t> </w:t>
      </w:r>
      <w:r>
        <w:rPr>
          <w:color w:val="231F20"/>
        </w:rPr>
        <w:t>remote</w:t>
      </w:r>
      <w:r>
        <w:rPr>
          <w:color w:val="231F20"/>
          <w:spacing w:val="-7"/>
        </w:rPr>
        <w:t> </w:t>
      </w:r>
      <w:r>
        <w:rPr>
          <w:color w:val="231F20"/>
        </w:rPr>
        <w:t>boarding</w:t>
      </w:r>
      <w:r>
        <w:rPr>
          <w:color w:val="231F20"/>
          <w:spacing w:val="-6"/>
        </w:rPr>
        <w:t> </w:t>
      </w:r>
      <w:r>
        <w:rPr>
          <w:color w:val="231F20"/>
          <w:spacing w:val="-1"/>
        </w:rPr>
        <w:t>services</w:t>
      </w:r>
      <w:r>
        <w:rPr>
          <w:color w:val="231F20"/>
          <w:spacing w:val="-6"/>
        </w:rPr>
        <w:t> </w:t>
      </w:r>
      <w:r>
        <w:rPr>
          <w:color w:val="231F20"/>
        </w:rPr>
        <w:t>with</w:t>
      </w:r>
      <w:r>
        <w:rPr>
          <w:color w:val="231F20"/>
          <w:spacing w:val="22"/>
          <w:w w:val="99"/>
        </w:rPr>
        <w:t> </w:t>
      </w:r>
      <w:r>
        <w:rPr>
          <w:color w:val="231F20"/>
        </w:rPr>
        <w:t>children</w:t>
      </w:r>
      <w:r>
        <w:rPr>
          <w:color w:val="231F20"/>
          <w:spacing w:val="-9"/>
        </w:rPr>
        <w:t> </w:t>
      </w:r>
      <w:r>
        <w:rPr>
          <w:color w:val="231F20"/>
          <w:spacing w:val="-1"/>
        </w:rPr>
        <w:t>in</w:t>
      </w:r>
      <w:r>
        <w:rPr>
          <w:color w:val="231F20"/>
          <w:spacing w:val="-8"/>
        </w:rPr>
        <w:t> </w:t>
      </w:r>
      <w:r>
        <w:rPr>
          <w:color w:val="231F20"/>
        </w:rPr>
        <w:t>education</w:t>
      </w:r>
      <w:r>
        <w:rPr>
          <w:color w:val="231F20"/>
          <w:spacing w:val="-9"/>
        </w:rPr>
        <w:t> </w:t>
      </w:r>
      <w:r>
        <w:rPr>
          <w:color w:val="231F20"/>
        </w:rPr>
        <w:t>(predominantly</w:t>
      </w:r>
      <w:r>
        <w:rPr>
          <w:color w:val="231F20"/>
          <w:spacing w:val="-10"/>
        </w:rPr>
        <w:t> </w:t>
      </w:r>
      <w:r>
        <w:rPr>
          <w:color w:val="231F20"/>
        </w:rPr>
        <w:t>of</w:t>
      </w:r>
      <w:r>
        <w:rPr>
          <w:color w:val="231F20"/>
          <w:spacing w:val="21"/>
          <w:w w:val="99"/>
        </w:rPr>
        <w:t> </w:t>
      </w:r>
      <w:r>
        <w:rPr>
          <w:color w:val="231F20"/>
          <w:spacing w:val="-1"/>
        </w:rPr>
        <w:t>secondary</w:t>
      </w:r>
      <w:r>
        <w:rPr>
          <w:color w:val="231F20"/>
          <w:spacing w:val="-8"/>
        </w:rPr>
        <w:t> </w:t>
      </w:r>
      <w:r>
        <w:rPr>
          <w:color w:val="231F20"/>
          <w:spacing w:val="-1"/>
        </w:rPr>
        <w:t>school</w:t>
      </w:r>
      <w:r>
        <w:rPr>
          <w:color w:val="231F20"/>
          <w:spacing w:val="-8"/>
        </w:rPr>
        <w:t> </w:t>
      </w:r>
      <w:r>
        <w:rPr>
          <w:color w:val="231F20"/>
        </w:rPr>
        <w:t>age).</w:t>
      </w:r>
      <w:r>
        <w:rPr>
          <w:color w:val="231F20"/>
          <w:spacing w:val="-8"/>
        </w:rPr>
        <w:t> </w:t>
      </w:r>
      <w:r>
        <w:rPr>
          <w:color w:val="231F20"/>
          <w:spacing w:val="-1"/>
        </w:rPr>
        <w:t>Indigenous</w:t>
      </w:r>
      <w:r>
        <w:rPr>
          <w:color w:val="231F20"/>
          <w:spacing w:val="-8"/>
        </w:rPr>
        <w:t> </w:t>
      </w:r>
      <w:r>
        <w:rPr>
          <w:color w:val="231F20"/>
        </w:rPr>
        <w:t>Education</w:t>
      </w:r>
      <w:r>
        <w:rPr>
          <w:color w:val="231F20"/>
          <w:spacing w:val="24"/>
          <w:w w:val="99"/>
        </w:rPr>
        <w:t> </w:t>
      </w:r>
      <w:r>
        <w:rPr>
          <w:color w:val="231F20"/>
        </w:rPr>
        <w:t>and</w:t>
      </w:r>
      <w:r>
        <w:rPr>
          <w:color w:val="231F20"/>
          <w:spacing w:val="-6"/>
        </w:rPr>
        <w:t> </w:t>
      </w:r>
      <w:r>
        <w:rPr>
          <w:color w:val="231F20"/>
          <w:spacing w:val="-1"/>
        </w:rPr>
        <w:t>Boarding</w:t>
      </w:r>
      <w:r>
        <w:rPr>
          <w:color w:val="231F20"/>
          <w:spacing w:val="-5"/>
        </w:rPr>
        <w:t> </w:t>
      </w:r>
      <w:r>
        <w:rPr>
          <w:color w:val="231F20"/>
        </w:rPr>
        <w:t>Australia’s</w:t>
      </w:r>
      <w:r>
        <w:rPr>
          <w:color w:val="231F20"/>
          <w:spacing w:val="-4"/>
        </w:rPr>
        <w:t> </w:t>
      </w:r>
      <w:r>
        <w:rPr>
          <w:color w:val="231F20"/>
          <w:spacing w:val="-1"/>
        </w:rPr>
        <w:t>services</w:t>
      </w:r>
      <w:r>
        <w:rPr>
          <w:color w:val="231F20"/>
          <w:spacing w:val="-5"/>
        </w:rPr>
        <w:t> </w:t>
      </w:r>
      <w:r>
        <w:rPr>
          <w:color w:val="231F20"/>
          <w:spacing w:val="-1"/>
        </w:rPr>
        <w:t>include:</w:t>
      </w:r>
      <w:r>
        <w:rPr/>
      </w:r>
    </w:p>
    <w:p>
      <w:pPr>
        <w:pStyle w:val="BodyText"/>
        <w:spacing w:line="250" w:lineRule="exact" w:before="113"/>
        <w:ind w:left="327" w:right="73" w:hanging="227"/>
        <w:jc w:val="left"/>
      </w:pPr>
      <w:r>
        <w:rPr>
          <w:rFonts w:ascii="Century Gothic" w:hAnsi="Century Gothic"/>
          <w:color w:val="231F20"/>
        </w:rPr>
        <w:t>» </w:t>
      </w:r>
      <w:r>
        <w:rPr>
          <w:rFonts w:ascii="Century Gothic" w:hAnsi="Century Gothic"/>
          <w:color w:val="231F20"/>
          <w:spacing w:val="21"/>
        </w:rPr>
        <w:t> </w:t>
      </w:r>
      <w:r>
        <w:rPr>
          <w:color w:val="231F20"/>
          <w:spacing w:val="-1"/>
        </w:rPr>
        <w:t>specialist</w:t>
      </w:r>
      <w:r>
        <w:rPr>
          <w:color w:val="231F20"/>
          <w:spacing w:val="-3"/>
        </w:rPr>
        <w:t> </w:t>
      </w:r>
      <w:r>
        <w:rPr>
          <w:color w:val="231F20"/>
        </w:rPr>
        <w:t>advice</w:t>
      </w:r>
      <w:r>
        <w:rPr>
          <w:color w:val="231F20"/>
          <w:spacing w:val="-5"/>
        </w:rPr>
        <w:t> </w:t>
      </w:r>
      <w:r>
        <w:rPr>
          <w:color w:val="231F20"/>
        </w:rPr>
        <w:t>and</w:t>
      </w:r>
      <w:r>
        <w:rPr>
          <w:color w:val="231F20"/>
          <w:spacing w:val="-4"/>
        </w:rPr>
        <w:t> </w:t>
      </w:r>
      <w:r>
        <w:rPr>
          <w:color w:val="231F20"/>
        </w:rPr>
        <w:t>reviews</w:t>
      </w:r>
      <w:r>
        <w:rPr>
          <w:color w:val="231F20"/>
          <w:spacing w:val="-5"/>
        </w:rPr>
        <w:t> </w:t>
      </w:r>
      <w:r>
        <w:rPr>
          <w:color w:val="231F20"/>
        </w:rPr>
        <w:t>for</w:t>
      </w:r>
      <w:r>
        <w:rPr>
          <w:color w:val="231F20"/>
          <w:spacing w:val="-4"/>
        </w:rPr>
        <w:t> </w:t>
      </w:r>
      <w:r>
        <w:rPr>
          <w:color w:val="231F20"/>
        </w:rPr>
        <w:t>Aboriginal</w:t>
      </w:r>
      <w:r>
        <w:rPr>
          <w:color w:val="231F20"/>
          <w:spacing w:val="22"/>
          <w:w w:val="99"/>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6"/>
        </w:rPr>
        <w:t> </w:t>
      </w:r>
      <w:r>
        <w:rPr>
          <w:color w:val="231F20"/>
        </w:rPr>
        <w:t>boarding</w:t>
      </w:r>
      <w:r>
        <w:rPr>
          <w:color w:val="231F20"/>
          <w:spacing w:val="-7"/>
        </w:rPr>
        <w:t> </w:t>
      </w:r>
      <w:r>
        <w:rPr>
          <w:color w:val="231F20"/>
        </w:rPr>
        <w:t>providers</w:t>
      </w:r>
      <w:r>
        <w:rPr/>
      </w:r>
    </w:p>
    <w:p>
      <w:pPr>
        <w:pStyle w:val="BodyText"/>
        <w:spacing w:line="250" w:lineRule="exact" w:before="113"/>
        <w:ind w:left="327" w:right="73" w:hanging="227"/>
        <w:jc w:val="left"/>
      </w:pPr>
      <w:r>
        <w:rPr>
          <w:rFonts w:ascii="Century Gothic" w:hAnsi="Century Gothic"/>
          <w:color w:val="231F20"/>
        </w:rPr>
        <w:t>» </w:t>
      </w:r>
      <w:r>
        <w:rPr>
          <w:rFonts w:ascii="Century Gothic" w:hAnsi="Century Gothic"/>
          <w:color w:val="231F20"/>
          <w:spacing w:val="21"/>
        </w:rPr>
        <w:t> </w:t>
      </w:r>
      <w:r>
        <w:rPr>
          <w:color w:val="231F20"/>
        </w:rPr>
        <w:t>resources</w:t>
      </w:r>
      <w:r>
        <w:rPr>
          <w:color w:val="231F20"/>
          <w:spacing w:val="-6"/>
        </w:rPr>
        <w:t> </w:t>
      </w:r>
      <w:r>
        <w:rPr>
          <w:color w:val="231F20"/>
        </w:rPr>
        <w:t>to</w:t>
      </w:r>
      <w:r>
        <w:rPr>
          <w:color w:val="231F20"/>
          <w:spacing w:val="-3"/>
        </w:rPr>
        <w:t> </w:t>
      </w:r>
      <w:r>
        <w:rPr>
          <w:color w:val="231F20"/>
          <w:spacing w:val="-1"/>
        </w:rPr>
        <w:t>support</w:t>
      </w:r>
      <w:r>
        <w:rPr>
          <w:color w:val="231F20"/>
          <w:spacing w:val="-4"/>
        </w:rPr>
        <w:t> </w:t>
      </w:r>
      <w:r>
        <w:rPr>
          <w:color w:val="231F20"/>
        </w:rPr>
        <w:t>quality</w:t>
      </w:r>
      <w:r>
        <w:rPr>
          <w:color w:val="231F20"/>
          <w:spacing w:val="-5"/>
        </w:rPr>
        <w:t> </w:t>
      </w:r>
      <w:r>
        <w:rPr>
          <w:color w:val="231F20"/>
          <w:spacing w:val="-1"/>
        </w:rPr>
        <w:t>improvement</w:t>
      </w:r>
      <w:r>
        <w:rPr>
          <w:color w:val="231F20"/>
          <w:spacing w:val="21"/>
        </w:rPr>
        <w:t> </w:t>
      </w:r>
      <w:r>
        <w:rPr>
          <w:color w:val="231F20"/>
        </w:rPr>
        <w:t>and</w:t>
      </w:r>
      <w:r>
        <w:rPr>
          <w:color w:val="231F20"/>
          <w:spacing w:val="-7"/>
        </w:rPr>
        <w:t> </w:t>
      </w:r>
      <w:r>
        <w:rPr>
          <w:color w:val="231F20"/>
          <w:spacing w:val="-1"/>
        </w:rPr>
        <w:t>standard</w:t>
      </w:r>
      <w:r>
        <w:rPr>
          <w:color w:val="231F20"/>
          <w:spacing w:val="-5"/>
        </w:rPr>
        <w:t> </w:t>
      </w:r>
      <w:r>
        <w:rPr>
          <w:color w:val="231F20"/>
        </w:rPr>
        <w:t>compliance</w:t>
      </w:r>
      <w:r>
        <w:rPr/>
      </w:r>
    </w:p>
    <w:p>
      <w:pPr>
        <w:pStyle w:val="BodyText"/>
        <w:spacing w:line="240" w:lineRule="auto" w:before="97"/>
        <w:ind w:left="100" w:right="0"/>
        <w:jc w:val="left"/>
      </w:pPr>
      <w:r>
        <w:rPr>
          <w:rFonts w:ascii="Century Gothic" w:hAnsi="Century Gothic"/>
          <w:color w:val="231F20"/>
        </w:rPr>
        <w:t>» </w:t>
      </w:r>
      <w:r>
        <w:rPr>
          <w:rFonts w:ascii="Century Gothic" w:hAnsi="Century Gothic"/>
          <w:color w:val="231F20"/>
          <w:spacing w:val="20"/>
        </w:rPr>
        <w:t> </w:t>
      </w:r>
      <w:r>
        <w:rPr>
          <w:color w:val="231F20"/>
        </w:rPr>
        <w:t>advisory</w:t>
      </w:r>
      <w:r>
        <w:rPr>
          <w:color w:val="231F20"/>
          <w:spacing w:val="-5"/>
        </w:rPr>
        <w:t> </w:t>
      </w:r>
      <w:r>
        <w:rPr>
          <w:color w:val="231F20"/>
          <w:spacing w:val="-1"/>
        </w:rPr>
        <w:t>services</w:t>
      </w:r>
      <w:r>
        <w:rPr>
          <w:color w:val="231F20"/>
          <w:spacing w:val="-4"/>
        </w:rPr>
        <w:t> </w:t>
      </w:r>
      <w:r>
        <w:rPr>
          <w:color w:val="231F20"/>
        </w:rPr>
        <w:t>and</w:t>
      </w:r>
      <w:r>
        <w:rPr>
          <w:color w:val="231F20"/>
          <w:spacing w:val="-5"/>
        </w:rPr>
        <w:t> </w:t>
      </w:r>
      <w:r>
        <w:rPr>
          <w:color w:val="231F20"/>
        </w:rPr>
        <w:t>research</w:t>
      </w:r>
      <w:r>
        <w:rPr>
          <w:color w:val="231F20"/>
          <w:spacing w:val="-5"/>
        </w:rPr>
        <w:t> </w:t>
      </w:r>
      <w:r>
        <w:rPr>
          <w:color w:val="231F20"/>
        </w:rPr>
        <w:t>projects</w:t>
      </w:r>
      <w:r>
        <w:rPr/>
      </w:r>
    </w:p>
    <w:p>
      <w:pPr>
        <w:pStyle w:val="BodyText"/>
        <w:spacing w:line="240" w:lineRule="auto" w:before="97"/>
        <w:ind w:left="100" w:right="0"/>
        <w:jc w:val="left"/>
        <w:rPr>
          <w:rFonts w:ascii="Segoe UI Semibold" w:hAnsi="Segoe UI Semibold" w:cs="Segoe UI Semibold" w:eastAsia="Segoe UI Semibold"/>
          <w:sz w:val="11"/>
          <w:szCs w:val="11"/>
        </w:rPr>
      </w:pPr>
      <w:r>
        <w:rPr>
          <w:rFonts w:ascii="Century Gothic" w:hAnsi="Century Gothic"/>
          <w:color w:val="231F20"/>
        </w:rPr>
        <w:t>» </w:t>
      </w:r>
      <w:r>
        <w:rPr>
          <w:rFonts w:ascii="Century Gothic" w:hAnsi="Century Gothic"/>
          <w:color w:val="231F20"/>
          <w:spacing w:val="31"/>
        </w:rPr>
        <w:t> </w:t>
      </w:r>
      <w:r>
        <w:rPr>
          <w:color w:val="231F20"/>
          <w:spacing w:val="-1"/>
        </w:rPr>
        <w:t>advocacy.</w:t>
      </w:r>
      <w:r>
        <w:rPr>
          <w:rFonts w:ascii="Segoe UI Semibold" w:hAnsi="Segoe UI Semibold"/>
          <w:b/>
          <w:color w:val="231F20"/>
          <w:spacing w:val="-1"/>
          <w:position w:val="7"/>
          <w:sz w:val="11"/>
        </w:rPr>
        <w:t>196</w:t>
      </w:r>
      <w:r>
        <w:rPr>
          <w:rFonts w:ascii="Segoe UI Semibold" w:hAnsi="Segoe UI Semibold"/>
          <w:sz w:val="11"/>
        </w:rPr>
      </w:r>
    </w:p>
    <w:p>
      <w:pPr>
        <w:spacing w:line="240" w:lineRule="auto" w:before="5"/>
        <w:rPr>
          <w:rFonts w:ascii="Segoe UI Semibold" w:hAnsi="Segoe UI Semibold" w:cs="Segoe UI Semibold" w:eastAsia="Segoe UI Semibold"/>
          <w:b/>
          <w:bCs/>
          <w:sz w:val="15"/>
          <w:szCs w:val="15"/>
        </w:rPr>
      </w:pPr>
    </w:p>
    <w:p>
      <w:pPr>
        <w:pStyle w:val="Heading4"/>
        <w:spacing w:line="280" w:lineRule="exact"/>
        <w:ind w:right="73"/>
        <w:jc w:val="left"/>
      </w:pPr>
      <w:r>
        <w:rPr>
          <w:color w:val="452A70"/>
          <w:spacing w:val="-1"/>
        </w:rPr>
        <w:t>Independent</w:t>
      </w:r>
      <w:r>
        <w:rPr>
          <w:color w:val="452A70"/>
          <w:spacing w:val="-6"/>
        </w:rPr>
        <w:t> </w:t>
      </w:r>
      <w:r>
        <w:rPr>
          <w:color w:val="452A70"/>
          <w:spacing w:val="-1"/>
        </w:rPr>
        <w:t>Schools</w:t>
      </w:r>
      <w:r>
        <w:rPr>
          <w:color w:val="452A70"/>
          <w:spacing w:val="-5"/>
        </w:rPr>
        <w:t> </w:t>
      </w:r>
      <w:r>
        <w:rPr>
          <w:color w:val="452A70"/>
          <w:spacing w:val="-1"/>
        </w:rPr>
        <w:t>Council</w:t>
      </w:r>
      <w:r>
        <w:rPr>
          <w:color w:val="452A70"/>
          <w:spacing w:val="-5"/>
        </w:rPr>
        <w:t> </w:t>
      </w:r>
      <w:r>
        <w:rPr>
          <w:color w:val="452A70"/>
        </w:rPr>
        <w:t>of</w:t>
      </w:r>
      <w:r>
        <w:rPr>
          <w:color w:val="452A70"/>
          <w:spacing w:val="24"/>
          <w:w w:val="99"/>
        </w:rPr>
        <w:t> </w:t>
      </w:r>
      <w:r>
        <w:rPr>
          <w:color w:val="452A70"/>
        </w:rPr>
        <w:t>Australia</w:t>
      </w:r>
      <w:r>
        <w:rPr/>
      </w:r>
    </w:p>
    <w:p>
      <w:pPr>
        <w:pStyle w:val="BodyText"/>
        <w:spacing w:line="250" w:lineRule="exact" w:before="135"/>
        <w:ind w:left="100" w:right="73"/>
        <w:jc w:val="left"/>
      </w:pPr>
      <w:r>
        <w:rPr>
          <w:color w:val="231F20"/>
        </w:rPr>
        <w:t>The</w:t>
      </w:r>
      <w:r>
        <w:rPr>
          <w:color w:val="231F20"/>
          <w:spacing w:val="-5"/>
        </w:rPr>
        <w:t> </w:t>
      </w:r>
      <w:r>
        <w:rPr>
          <w:color w:val="231F20"/>
          <w:spacing w:val="-1"/>
        </w:rPr>
        <w:t>Independent</w:t>
      </w:r>
      <w:r>
        <w:rPr>
          <w:color w:val="231F20"/>
          <w:spacing w:val="-5"/>
        </w:rPr>
        <w:t> </w:t>
      </w:r>
      <w:r>
        <w:rPr>
          <w:color w:val="231F20"/>
          <w:spacing w:val="-1"/>
        </w:rPr>
        <w:t>Schools</w:t>
      </w:r>
      <w:r>
        <w:rPr>
          <w:color w:val="231F20"/>
          <w:spacing w:val="-5"/>
        </w:rPr>
        <w:t> </w:t>
      </w:r>
      <w:r>
        <w:rPr>
          <w:color w:val="231F20"/>
          <w:spacing w:val="-1"/>
        </w:rPr>
        <w:t>Council</w:t>
      </w:r>
      <w:r>
        <w:rPr>
          <w:color w:val="231F20"/>
          <w:spacing w:val="-5"/>
        </w:rPr>
        <w:t> </w:t>
      </w:r>
      <w:r>
        <w:rPr>
          <w:color w:val="231F20"/>
        </w:rPr>
        <w:t>of</w:t>
      </w:r>
      <w:r>
        <w:rPr>
          <w:color w:val="231F20"/>
          <w:spacing w:val="-4"/>
        </w:rPr>
        <w:t> </w:t>
      </w:r>
      <w:r>
        <w:rPr>
          <w:color w:val="231F20"/>
        </w:rPr>
        <w:t>Australia</w:t>
      </w:r>
      <w:r>
        <w:rPr>
          <w:color w:val="231F20"/>
          <w:spacing w:val="24"/>
          <w:w w:val="99"/>
        </w:rPr>
        <w:t> </w:t>
      </w:r>
      <w:r>
        <w:rPr>
          <w:color w:val="231F20"/>
        </w:rPr>
        <w:t>represents</w:t>
      </w:r>
      <w:r>
        <w:rPr>
          <w:color w:val="231F20"/>
          <w:spacing w:val="-8"/>
        </w:rPr>
        <w:t> </w:t>
      </w:r>
      <w:r>
        <w:rPr>
          <w:color w:val="231F20"/>
        </w:rPr>
        <w:t>the</w:t>
      </w:r>
      <w:r>
        <w:rPr>
          <w:color w:val="231F20"/>
          <w:spacing w:val="-7"/>
        </w:rPr>
        <w:t> </w:t>
      </w:r>
      <w:r>
        <w:rPr>
          <w:color w:val="231F20"/>
          <w:spacing w:val="-1"/>
        </w:rPr>
        <w:t>interests</w:t>
      </w:r>
      <w:r>
        <w:rPr>
          <w:color w:val="231F20"/>
          <w:spacing w:val="-5"/>
        </w:rPr>
        <w:t> </w:t>
      </w:r>
      <w:r>
        <w:rPr>
          <w:color w:val="231F20"/>
        </w:rPr>
        <w:t>of</w:t>
      </w:r>
      <w:r>
        <w:rPr>
          <w:color w:val="231F20"/>
          <w:spacing w:val="-6"/>
        </w:rPr>
        <w:t> </w:t>
      </w:r>
      <w:r>
        <w:rPr>
          <w:color w:val="231F20"/>
        </w:rPr>
        <w:t>the</w:t>
      </w:r>
      <w:r>
        <w:rPr>
          <w:color w:val="231F20"/>
          <w:spacing w:val="-6"/>
        </w:rPr>
        <w:t> </w:t>
      </w:r>
      <w:r>
        <w:rPr>
          <w:color w:val="231F20"/>
          <w:spacing w:val="-1"/>
        </w:rPr>
        <w:t>independent</w:t>
      </w:r>
      <w:r>
        <w:rPr>
          <w:color w:val="231F20"/>
          <w:spacing w:val="21"/>
          <w:w w:val="99"/>
        </w:rPr>
        <w:t> </w:t>
      </w:r>
      <w:r>
        <w:rPr>
          <w:color w:val="231F20"/>
          <w:spacing w:val="-1"/>
        </w:rPr>
        <w:t>school</w:t>
      </w:r>
      <w:r>
        <w:rPr>
          <w:color w:val="231F20"/>
          <w:spacing w:val="-7"/>
        </w:rPr>
        <w:t> </w:t>
      </w:r>
      <w:r>
        <w:rPr>
          <w:color w:val="231F20"/>
          <w:spacing w:val="-1"/>
        </w:rPr>
        <w:t>sector</w:t>
      </w:r>
      <w:r>
        <w:rPr>
          <w:color w:val="231F20"/>
          <w:spacing w:val="-6"/>
        </w:rPr>
        <w:t> </w:t>
      </w:r>
      <w:r>
        <w:rPr>
          <w:color w:val="231F20"/>
        </w:rPr>
        <w:t>and</w:t>
      </w:r>
      <w:r>
        <w:rPr>
          <w:color w:val="231F20"/>
          <w:spacing w:val="-7"/>
        </w:rPr>
        <w:t> </w:t>
      </w:r>
      <w:r>
        <w:rPr>
          <w:color w:val="231F20"/>
        </w:rPr>
        <w:t>provides</w:t>
      </w:r>
      <w:r>
        <w:rPr>
          <w:color w:val="231F20"/>
          <w:spacing w:val="-7"/>
        </w:rPr>
        <w:t> </w:t>
      </w:r>
      <w:r>
        <w:rPr>
          <w:color w:val="231F20"/>
        </w:rPr>
        <w:t>national</w:t>
      </w:r>
      <w:r>
        <w:rPr>
          <w:color w:val="231F20"/>
          <w:spacing w:val="-7"/>
        </w:rPr>
        <w:t> </w:t>
      </w:r>
      <w:r>
        <w:rPr>
          <w:color w:val="231F20"/>
          <w:spacing w:val="-1"/>
        </w:rPr>
        <w:t>support,</w:t>
      </w:r>
      <w:r>
        <w:rPr>
          <w:color w:val="231F20"/>
          <w:spacing w:val="22"/>
          <w:w w:val="99"/>
        </w:rPr>
        <w:t> </w:t>
      </w:r>
      <w:r>
        <w:rPr>
          <w:color w:val="231F20"/>
        </w:rPr>
        <w:t>representation</w:t>
      </w:r>
      <w:r>
        <w:rPr>
          <w:color w:val="231F20"/>
          <w:spacing w:val="-10"/>
        </w:rPr>
        <w:t> </w:t>
      </w:r>
      <w:r>
        <w:rPr>
          <w:color w:val="231F20"/>
        </w:rPr>
        <w:t>and</w:t>
      </w:r>
      <w:r>
        <w:rPr>
          <w:color w:val="231F20"/>
          <w:spacing w:val="-8"/>
        </w:rPr>
        <w:t> </w:t>
      </w:r>
      <w:r>
        <w:rPr>
          <w:color w:val="231F20"/>
        </w:rPr>
        <w:t>advocacy</w:t>
      </w:r>
      <w:r>
        <w:rPr>
          <w:color w:val="231F20"/>
          <w:spacing w:val="-9"/>
        </w:rPr>
        <w:t> </w:t>
      </w:r>
      <w:r>
        <w:rPr>
          <w:color w:val="231F20"/>
        </w:rPr>
        <w:t>for</w:t>
      </w:r>
      <w:r>
        <w:rPr>
          <w:color w:val="231F20"/>
          <w:spacing w:val="-7"/>
        </w:rPr>
        <w:t> </w:t>
      </w:r>
      <w:r>
        <w:rPr>
          <w:color w:val="231F20"/>
        </w:rPr>
        <w:t>the</w:t>
      </w:r>
      <w:r>
        <w:rPr>
          <w:color w:val="231F20"/>
          <w:w w:val="99"/>
        </w:rPr>
        <w:t> </w:t>
      </w:r>
      <w:r>
        <w:rPr>
          <w:color w:val="231F20"/>
        </w:rPr>
        <w:t>Association</w:t>
      </w:r>
      <w:r>
        <w:rPr>
          <w:color w:val="231F20"/>
          <w:spacing w:val="-4"/>
        </w:rPr>
        <w:t> </w:t>
      </w:r>
      <w:r>
        <w:rPr>
          <w:color w:val="231F20"/>
        </w:rPr>
        <w:t>of</w:t>
      </w:r>
      <w:r>
        <w:rPr>
          <w:color w:val="231F20"/>
          <w:spacing w:val="-3"/>
        </w:rPr>
        <w:t> </w:t>
      </w:r>
      <w:r>
        <w:rPr>
          <w:color w:val="231F20"/>
          <w:spacing w:val="-1"/>
        </w:rPr>
        <w:t>Independent</w:t>
      </w:r>
      <w:r>
        <w:rPr>
          <w:color w:val="231F20"/>
          <w:spacing w:val="-4"/>
        </w:rPr>
        <w:t> </w:t>
      </w:r>
      <w:r>
        <w:rPr>
          <w:color w:val="231F20"/>
          <w:spacing w:val="-1"/>
        </w:rPr>
        <w:t>Schools</w:t>
      </w:r>
      <w:r>
        <w:rPr>
          <w:color w:val="231F20"/>
          <w:spacing w:val="-3"/>
        </w:rPr>
        <w:t> </w:t>
      </w:r>
      <w:r>
        <w:rPr>
          <w:color w:val="231F20"/>
          <w:spacing w:val="-1"/>
        </w:rPr>
        <w:t>in</w:t>
      </w:r>
      <w:r>
        <w:rPr>
          <w:color w:val="231F20"/>
          <w:spacing w:val="-4"/>
        </w:rPr>
        <w:t> </w:t>
      </w:r>
      <w:r>
        <w:rPr>
          <w:color w:val="231F20"/>
        </w:rPr>
        <w:t>each</w:t>
      </w:r>
      <w:r>
        <w:rPr>
          <w:color w:val="231F20"/>
          <w:spacing w:val="24"/>
          <w:w w:val="99"/>
        </w:rPr>
        <w:t> </w:t>
      </w:r>
      <w:r>
        <w:rPr>
          <w:color w:val="231F20"/>
          <w:spacing w:val="-1"/>
        </w:rPr>
        <w:t>state</w:t>
      </w:r>
      <w:r>
        <w:rPr>
          <w:color w:val="231F20"/>
          <w:spacing w:val="-8"/>
        </w:rPr>
        <w:t> </w:t>
      </w:r>
      <w:r>
        <w:rPr>
          <w:color w:val="231F20"/>
        </w:rPr>
        <w:t>and</w:t>
      </w:r>
      <w:r>
        <w:rPr>
          <w:color w:val="231F20"/>
          <w:spacing w:val="-9"/>
        </w:rPr>
        <w:t> </w:t>
      </w:r>
      <w:r>
        <w:rPr>
          <w:color w:val="231F20"/>
        </w:rPr>
        <w:t>territory.</w:t>
      </w:r>
      <w:r>
        <w:rPr/>
      </w:r>
    </w:p>
    <w:p>
      <w:pPr>
        <w:pStyle w:val="BodyText"/>
        <w:spacing w:line="250" w:lineRule="exact" w:before="113"/>
        <w:ind w:left="100" w:right="73"/>
        <w:jc w:val="left"/>
      </w:pPr>
      <w:r>
        <w:rPr>
          <w:color w:val="231F20"/>
        </w:rPr>
        <w:t>There</w:t>
      </w:r>
      <w:r>
        <w:rPr>
          <w:color w:val="231F20"/>
          <w:spacing w:val="-4"/>
        </w:rPr>
        <w:t> </w:t>
      </w:r>
      <w:r>
        <w:rPr>
          <w:color w:val="231F20"/>
        </w:rPr>
        <w:t>are</w:t>
      </w:r>
      <w:r>
        <w:rPr>
          <w:color w:val="231F20"/>
          <w:spacing w:val="-5"/>
        </w:rPr>
        <w:t> </w:t>
      </w:r>
      <w:r>
        <w:rPr>
          <w:color w:val="231F20"/>
          <w:spacing w:val="-1"/>
        </w:rPr>
        <w:t>1,123</w:t>
      </w:r>
      <w:r>
        <w:rPr>
          <w:color w:val="231F20"/>
          <w:spacing w:val="-4"/>
        </w:rPr>
        <w:t> </w:t>
      </w:r>
      <w:r>
        <w:rPr>
          <w:color w:val="231F20"/>
          <w:spacing w:val="-1"/>
        </w:rPr>
        <w:t>independent</w:t>
      </w:r>
      <w:r>
        <w:rPr>
          <w:color w:val="231F20"/>
          <w:spacing w:val="-4"/>
        </w:rPr>
        <w:t> </w:t>
      </w:r>
      <w:r>
        <w:rPr>
          <w:color w:val="231F20"/>
          <w:spacing w:val="-1"/>
        </w:rPr>
        <w:t>schools</w:t>
      </w:r>
      <w:r>
        <w:rPr>
          <w:color w:val="231F20"/>
          <w:spacing w:val="-4"/>
        </w:rPr>
        <w:t> </w:t>
      </w:r>
      <w:r>
        <w:rPr>
          <w:color w:val="231F20"/>
          <w:spacing w:val="-4"/>
        </w:rPr>
      </w:r>
      <w:r>
        <w:rPr>
          <w:color w:val="231F20"/>
          <w:spacing w:val="-1"/>
        </w:rPr>
        <w:t>in</w:t>
      </w:r>
      <w:r>
        <w:rPr>
          <w:color w:val="231F20"/>
          <w:spacing w:val="24"/>
        </w:rPr>
        <w:t> </w:t>
      </w:r>
      <w:r>
        <w:rPr>
          <w:color w:val="231F20"/>
        </w:rPr>
        <w:t>Australia</w:t>
      </w:r>
      <w:r>
        <w:rPr>
          <w:color w:val="231F20"/>
          <w:spacing w:val="-6"/>
        </w:rPr>
        <w:t> </w:t>
      </w:r>
      <w:r>
        <w:rPr>
          <w:color w:val="231F20"/>
        </w:rPr>
        <w:t>with</w:t>
      </w:r>
      <w:r>
        <w:rPr>
          <w:color w:val="231F20"/>
          <w:spacing w:val="-7"/>
        </w:rPr>
        <w:t> </w:t>
      </w:r>
      <w:r>
        <w:rPr>
          <w:color w:val="231F20"/>
        </w:rPr>
        <w:t>over</w:t>
      </w:r>
      <w:r>
        <w:rPr>
          <w:color w:val="231F20"/>
          <w:spacing w:val="-6"/>
        </w:rPr>
        <w:t> </w:t>
      </w:r>
      <w:r>
        <w:rPr>
          <w:color w:val="231F20"/>
          <w:spacing w:val="-1"/>
        </w:rPr>
        <w:t>604,436</w:t>
      </w:r>
      <w:r>
        <w:rPr>
          <w:color w:val="231F20"/>
          <w:spacing w:val="-6"/>
        </w:rPr>
        <w:t> </w:t>
      </w:r>
      <w:r>
        <w:rPr>
          <w:color w:val="231F20"/>
          <w:spacing w:val="-1"/>
        </w:rPr>
        <w:t>students.</w:t>
      </w:r>
      <w:r>
        <w:rPr/>
      </w:r>
    </w:p>
    <w:p>
      <w:pPr>
        <w:pStyle w:val="BodyText"/>
        <w:spacing w:line="250" w:lineRule="exact"/>
        <w:ind w:left="100" w:right="401"/>
        <w:jc w:val="left"/>
      </w:pPr>
      <w:r>
        <w:rPr>
          <w:color w:val="231F20"/>
          <w:spacing w:val="-1"/>
        </w:rPr>
        <w:t>Independent</w:t>
      </w:r>
      <w:r>
        <w:rPr>
          <w:color w:val="231F20"/>
          <w:spacing w:val="-6"/>
        </w:rPr>
        <w:t> </w:t>
      </w:r>
      <w:r>
        <w:rPr>
          <w:color w:val="231F20"/>
          <w:spacing w:val="-1"/>
        </w:rPr>
        <w:t>schools</w:t>
      </w:r>
      <w:r>
        <w:rPr>
          <w:color w:val="231F20"/>
          <w:spacing w:val="-6"/>
        </w:rPr>
        <w:t> </w:t>
      </w:r>
      <w:r>
        <w:rPr>
          <w:color w:val="231F20"/>
        </w:rPr>
        <w:t>are</w:t>
      </w:r>
      <w:r>
        <w:rPr>
          <w:color w:val="231F20"/>
          <w:spacing w:val="-6"/>
        </w:rPr>
        <w:t> </w:t>
      </w:r>
      <w:r>
        <w:rPr>
          <w:color w:val="231F20"/>
        </w:rPr>
        <w:t>a</w:t>
      </w:r>
      <w:r>
        <w:rPr>
          <w:color w:val="231F20"/>
          <w:spacing w:val="-6"/>
        </w:rPr>
        <w:t> </w:t>
      </w:r>
      <w:r>
        <w:rPr>
          <w:color w:val="231F20"/>
          <w:spacing w:val="-1"/>
        </w:rPr>
        <w:t>major</w:t>
      </w:r>
      <w:r>
        <w:rPr>
          <w:color w:val="231F20"/>
          <w:spacing w:val="-5"/>
        </w:rPr>
        <w:t> </w:t>
      </w:r>
      <w:r>
        <w:rPr>
          <w:color w:val="231F20"/>
        </w:rPr>
        <w:t>provider</w:t>
      </w:r>
      <w:r>
        <w:rPr>
          <w:color w:val="231F20"/>
          <w:spacing w:val="24"/>
          <w:w w:val="99"/>
        </w:rPr>
        <w:t> </w:t>
      </w:r>
      <w:r>
        <w:rPr>
          <w:color w:val="231F20"/>
        </w:rPr>
        <w:t>of</w:t>
      </w:r>
      <w:r>
        <w:rPr>
          <w:color w:val="231F20"/>
          <w:spacing w:val="-5"/>
        </w:rPr>
        <w:t> </w:t>
      </w:r>
      <w:r>
        <w:rPr>
          <w:color w:val="231F20"/>
        </w:rPr>
        <w:t>boarding</w:t>
      </w:r>
      <w:r>
        <w:rPr>
          <w:color w:val="231F20"/>
          <w:spacing w:val="-6"/>
        </w:rPr>
        <w:t> </w:t>
      </w:r>
      <w:r>
        <w:rPr>
          <w:color w:val="231F20"/>
        </w:rPr>
        <w:t>for</w:t>
      </w:r>
      <w:r>
        <w:rPr>
          <w:color w:val="231F20"/>
          <w:spacing w:val="-4"/>
        </w:rPr>
        <w:t> </w:t>
      </w:r>
      <w:r>
        <w:rPr>
          <w:color w:val="231F20"/>
        </w:rPr>
        <w:t>Aboriginal</w:t>
      </w:r>
      <w:r>
        <w:rPr>
          <w:color w:val="231F20"/>
          <w:spacing w:val="-5"/>
        </w:rPr>
        <w:t> </w:t>
      </w:r>
      <w:r>
        <w:rPr>
          <w:color w:val="231F20"/>
        </w:rPr>
        <w:t>and</w:t>
      </w:r>
      <w:r>
        <w:rPr>
          <w:color w:val="231F20"/>
          <w:spacing w:val="-6"/>
        </w:rPr>
        <w:t> </w:t>
      </w:r>
      <w:r>
        <w:rPr>
          <w:color w:val="231F20"/>
          <w:spacing w:val="-5"/>
        </w:rPr>
        <w:t>Torres</w:t>
      </w:r>
      <w:r>
        <w:rPr>
          <w:color w:val="231F20"/>
          <w:spacing w:val="-4"/>
        </w:rPr>
        <w:t> </w:t>
      </w:r>
      <w:r>
        <w:rPr>
          <w:color w:val="231F20"/>
          <w:spacing w:val="-2"/>
        </w:rPr>
        <w:t>Strait</w:t>
      </w:r>
      <w:r>
        <w:rPr/>
      </w:r>
    </w:p>
    <w:p>
      <w:pPr>
        <w:pStyle w:val="BodyText"/>
        <w:spacing w:line="250" w:lineRule="exact"/>
        <w:ind w:left="100" w:right="73"/>
        <w:jc w:val="left"/>
        <w:rPr>
          <w:rFonts w:ascii="Segoe UI Semibold" w:hAnsi="Segoe UI Semibold" w:cs="Segoe UI Semibold" w:eastAsia="Segoe UI Semibold"/>
          <w:sz w:val="11"/>
          <w:szCs w:val="11"/>
        </w:rPr>
      </w:pPr>
      <w:r>
        <w:rPr>
          <w:color w:val="231F20"/>
          <w:spacing w:val="-1"/>
        </w:rPr>
        <w:t>Islander</w:t>
      </w:r>
      <w:r>
        <w:rPr>
          <w:color w:val="231F20"/>
          <w:spacing w:val="-7"/>
        </w:rPr>
        <w:t> </w:t>
      </w:r>
      <w:r>
        <w:rPr>
          <w:color w:val="231F20"/>
          <w:spacing w:val="-1"/>
        </w:rPr>
        <w:t>students,</w:t>
      </w:r>
      <w:r>
        <w:rPr>
          <w:color w:val="231F20"/>
          <w:spacing w:val="-6"/>
        </w:rPr>
        <w:t> </w:t>
      </w:r>
      <w:r>
        <w:rPr>
          <w:color w:val="231F20"/>
        </w:rPr>
        <w:t>with</w:t>
      </w:r>
      <w:r>
        <w:rPr>
          <w:color w:val="231F20"/>
          <w:spacing w:val="-8"/>
        </w:rPr>
        <w:t> </w:t>
      </w:r>
      <w:r>
        <w:rPr>
          <w:color w:val="231F20"/>
        </w:rPr>
        <w:t>nearly</w:t>
      </w:r>
      <w:r>
        <w:rPr>
          <w:color w:val="231F20"/>
          <w:spacing w:val="-8"/>
        </w:rPr>
        <w:t> </w:t>
      </w:r>
      <w:r>
        <w:rPr>
          <w:color w:val="231F20"/>
          <w:spacing w:val="-1"/>
        </w:rPr>
        <w:t>2,350</w:t>
      </w:r>
      <w:r>
        <w:rPr>
          <w:color w:val="231F20"/>
          <w:spacing w:val="-6"/>
        </w:rPr>
        <w:t> </w:t>
      </w:r>
      <w:r>
        <w:rPr>
          <w:color w:val="231F20"/>
          <w:spacing w:val="-1"/>
        </w:rPr>
        <w:t>Indigenous</w:t>
      </w:r>
      <w:r>
        <w:rPr>
          <w:color w:val="231F20"/>
          <w:spacing w:val="23"/>
          <w:w w:val="99"/>
        </w:rPr>
        <w:t> </w:t>
      </w:r>
      <w:r>
        <w:rPr>
          <w:color w:val="231F20"/>
        </w:rPr>
        <w:t>boarders</w:t>
      </w:r>
      <w:r>
        <w:rPr>
          <w:color w:val="231F20"/>
          <w:spacing w:val="-8"/>
        </w:rPr>
        <w:t> </w:t>
      </w:r>
      <w:r>
        <w:rPr>
          <w:color w:val="231F20"/>
        </w:rPr>
        <w:t>attending</w:t>
      </w:r>
      <w:r>
        <w:rPr>
          <w:color w:val="231F20"/>
          <w:spacing w:val="-8"/>
        </w:rPr>
        <w:t> </w:t>
      </w:r>
      <w:r>
        <w:rPr>
          <w:color w:val="231F20"/>
          <w:spacing w:val="-1"/>
        </w:rPr>
        <w:t>121</w:t>
      </w:r>
      <w:r>
        <w:rPr>
          <w:color w:val="231F20"/>
          <w:spacing w:val="-7"/>
        </w:rPr>
        <w:t> </w:t>
      </w:r>
      <w:r>
        <w:rPr>
          <w:color w:val="231F20"/>
          <w:spacing w:val="-1"/>
        </w:rPr>
        <w:t>Independent</w:t>
      </w:r>
      <w:r>
        <w:rPr>
          <w:color w:val="231F20"/>
          <w:spacing w:val="-7"/>
        </w:rPr>
        <w:t> </w:t>
      </w:r>
      <w:r>
        <w:rPr>
          <w:color w:val="231F20"/>
          <w:spacing w:val="-1"/>
        </w:rPr>
        <w:t>schools.</w:t>
      </w:r>
      <w:r>
        <w:rPr>
          <w:color w:val="231F20"/>
          <w:spacing w:val="22"/>
        </w:rPr>
        <w:t> </w:t>
      </w:r>
      <w:r>
        <w:rPr>
          <w:color w:val="231F20"/>
        </w:rPr>
        <w:t>Half</w:t>
      </w:r>
      <w:r>
        <w:rPr>
          <w:color w:val="231F20"/>
          <w:spacing w:val="-5"/>
        </w:rPr>
        <w:t> </w:t>
      </w:r>
      <w:r>
        <w:rPr>
          <w:color w:val="231F20"/>
        </w:rPr>
        <w:t>of</w:t>
      </w:r>
      <w:r>
        <w:rPr>
          <w:color w:val="231F20"/>
          <w:spacing w:val="-3"/>
        </w:rPr>
        <w:t> </w:t>
      </w:r>
      <w:r>
        <w:rPr>
          <w:color w:val="231F20"/>
        </w:rPr>
        <w:t>these</w:t>
      </w:r>
      <w:r>
        <w:rPr>
          <w:color w:val="231F20"/>
          <w:spacing w:val="-4"/>
        </w:rPr>
        <w:t> </w:t>
      </w:r>
      <w:r>
        <w:rPr>
          <w:color w:val="231F20"/>
        </w:rPr>
        <w:t>boarding</w:t>
      </w:r>
      <w:r>
        <w:rPr>
          <w:color w:val="231F20"/>
          <w:spacing w:val="-4"/>
        </w:rPr>
        <w:t> </w:t>
      </w:r>
      <w:r>
        <w:rPr>
          <w:color w:val="231F20"/>
          <w:spacing w:val="-1"/>
        </w:rPr>
        <w:t>students</w:t>
      </w:r>
      <w:r>
        <w:rPr>
          <w:color w:val="231F20"/>
          <w:spacing w:val="-3"/>
        </w:rPr>
        <w:t> </w:t>
      </w:r>
      <w:r>
        <w:rPr>
          <w:color w:val="231F20"/>
        </w:rPr>
        <w:t>attend</w:t>
      </w:r>
      <w:r>
        <w:rPr>
          <w:color w:val="231F20"/>
          <w:spacing w:val="-5"/>
        </w:rPr>
        <w:t> </w:t>
      </w:r>
      <w:r>
        <w:rPr>
          <w:color w:val="231F20"/>
          <w:spacing w:val="-1"/>
        </w:rPr>
        <w:t>schools</w:t>
      </w:r>
      <w:r>
        <w:rPr>
          <w:color w:val="231F20"/>
          <w:spacing w:val="21"/>
        </w:rPr>
        <w:t> </w:t>
      </w:r>
      <w:r>
        <w:rPr>
          <w:color w:val="231F20"/>
        </w:rPr>
        <w:t>with</w:t>
      </w:r>
      <w:r>
        <w:rPr>
          <w:color w:val="231F20"/>
          <w:spacing w:val="-6"/>
        </w:rPr>
        <w:t> </w:t>
      </w:r>
      <w:r>
        <w:rPr>
          <w:color w:val="231F20"/>
        </w:rPr>
        <w:t>either</w:t>
      </w:r>
      <w:r>
        <w:rPr>
          <w:color w:val="231F20"/>
          <w:spacing w:val="-4"/>
        </w:rPr>
        <w:t> </w:t>
      </w:r>
      <w:r>
        <w:rPr>
          <w:color w:val="231F20"/>
        </w:rPr>
        <w:t>very</w:t>
      </w:r>
      <w:r>
        <w:rPr>
          <w:color w:val="231F20"/>
          <w:spacing w:val="-5"/>
        </w:rPr>
        <w:t> </w:t>
      </w:r>
      <w:r>
        <w:rPr>
          <w:color w:val="231F20"/>
          <w:spacing w:val="-1"/>
        </w:rPr>
        <w:t>large</w:t>
      </w:r>
      <w:r>
        <w:rPr>
          <w:color w:val="231F20"/>
          <w:spacing w:val="-4"/>
        </w:rPr>
        <w:t> </w:t>
      </w:r>
      <w:r>
        <w:rPr>
          <w:color w:val="231F20"/>
        </w:rPr>
        <w:t>numbers</w:t>
      </w:r>
      <w:r>
        <w:rPr>
          <w:color w:val="231F20"/>
          <w:spacing w:val="-6"/>
        </w:rPr>
        <w:t> </w:t>
      </w:r>
      <w:r>
        <w:rPr>
          <w:color w:val="231F20"/>
        </w:rPr>
        <w:t>or</w:t>
      </w:r>
      <w:r>
        <w:rPr>
          <w:color w:val="231F20"/>
          <w:spacing w:val="-4"/>
        </w:rPr>
        <w:t> </w:t>
      </w:r>
      <w:r>
        <w:rPr>
          <w:color w:val="231F20"/>
        </w:rPr>
        <w:t>a</w:t>
      </w:r>
      <w:r>
        <w:rPr>
          <w:color w:val="231F20"/>
          <w:spacing w:val="-5"/>
        </w:rPr>
        <w:t> </w:t>
      </w:r>
      <w:r>
        <w:rPr>
          <w:color w:val="231F20"/>
        </w:rPr>
        <w:t>high</w:t>
      </w:r>
      <w:r>
        <w:rPr>
          <w:color w:val="231F20"/>
          <w:spacing w:val="21"/>
          <w:w w:val="99"/>
        </w:rPr>
        <w:t> </w:t>
      </w:r>
      <w:r>
        <w:rPr>
          <w:color w:val="231F20"/>
        </w:rPr>
        <w:t>concentration</w:t>
      </w:r>
      <w:r>
        <w:rPr>
          <w:color w:val="231F20"/>
          <w:spacing w:val="-9"/>
        </w:rPr>
        <w:t> </w:t>
      </w:r>
      <w:r>
        <w:rPr>
          <w:color w:val="231F20"/>
        </w:rPr>
        <w:t>of</w:t>
      </w:r>
      <w:r>
        <w:rPr>
          <w:color w:val="231F20"/>
          <w:spacing w:val="-7"/>
        </w:rPr>
        <w:t> </w:t>
      </w:r>
      <w:r>
        <w:rPr>
          <w:color w:val="231F20"/>
          <w:spacing w:val="-1"/>
        </w:rPr>
        <w:t>Indigenous</w:t>
      </w:r>
      <w:r>
        <w:rPr>
          <w:color w:val="231F20"/>
          <w:spacing w:val="-8"/>
        </w:rPr>
        <w:t> </w:t>
      </w:r>
      <w:r>
        <w:rPr>
          <w:color w:val="231F20"/>
          <w:spacing w:val="-1"/>
        </w:rPr>
        <w:t>boarders.</w:t>
      </w:r>
      <w:r>
        <w:rPr>
          <w:rFonts w:ascii="Segoe UI Semibold"/>
          <w:b/>
          <w:color w:val="231F20"/>
          <w:spacing w:val="-1"/>
          <w:position w:val="7"/>
          <w:sz w:val="11"/>
        </w:rPr>
        <w:t>197</w:t>
      </w:r>
      <w:r>
        <w:rPr>
          <w:rFonts w:ascii="Segoe UI Semibold"/>
          <w:sz w:val="11"/>
        </w:rPr>
      </w:r>
    </w:p>
    <w:p>
      <w:pPr>
        <w:pStyle w:val="Heading4"/>
        <w:spacing w:line="280" w:lineRule="exact" w:before="70"/>
        <w:ind w:right="243"/>
        <w:jc w:val="left"/>
      </w:pPr>
      <w:r>
        <w:rPr/>
        <w:br w:type="column"/>
      </w:r>
      <w:r>
        <w:rPr>
          <w:color w:val="452A70"/>
          <w:spacing w:val="-1"/>
        </w:rPr>
        <w:t>National</w:t>
      </w:r>
      <w:r>
        <w:rPr>
          <w:color w:val="452A70"/>
          <w:spacing w:val="-14"/>
        </w:rPr>
        <w:t> </w:t>
      </w:r>
      <w:r>
        <w:rPr>
          <w:color w:val="452A70"/>
          <w:spacing w:val="-1"/>
        </w:rPr>
        <w:t>Catholic</w:t>
      </w:r>
      <w:r>
        <w:rPr>
          <w:color w:val="452A70"/>
          <w:spacing w:val="-14"/>
        </w:rPr>
        <w:t> </w:t>
      </w:r>
      <w:r>
        <w:rPr>
          <w:color w:val="452A70"/>
        </w:rPr>
        <w:t>Education</w:t>
      </w:r>
      <w:r>
        <w:rPr>
          <w:color w:val="452A70"/>
          <w:spacing w:val="24"/>
          <w:w w:val="99"/>
        </w:rPr>
        <w:t> </w:t>
      </w:r>
      <w:r>
        <w:rPr>
          <w:color w:val="452A70"/>
          <w:spacing w:val="-1"/>
        </w:rPr>
        <w:t>Commission</w:t>
      </w:r>
      <w:r>
        <w:rPr/>
      </w:r>
    </w:p>
    <w:p>
      <w:pPr>
        <w:pStyle w:val="BodyText"/>
        <w:spacing w:line="250" w:lineRule="exact" w:before="135"/>
        <w:ind w:left="100" w:right="232"/>
        <w:jc w:val="left"/>
      </w:pPr>
      <w:r>
        <w:rPr>
          <w:color w:val="231F20"/>
        </w:rPr>
        <w:t>The</w:t>
      </w:r>
      <w:r>
        <w:rPr>
          <w:color w:val="231F20"/>
          <w:spacing w:val="-7"/>
        </w:rPr>
        <w:t> </w:t>
      </w:r>
      <w:r>
        <w:rPr>
          <w:color w:val="231F20"/>
        </w:rPr>
        <w:t>National</w:t>
      </w:r>
      <w:r>
        <w:rPr>
          <w:color w:val="231F20"/>
          <w:spacing w:val="-7"/>
        </w:rPr>
        <w:t> </w:t>
      </w:r>
      <w:r>
        <w:rPr>
          <w:color w:val="231F20"/>
          <w:spacing w:val="-1"/>
        </w:rPr>
        <w:t>Catholic</w:t>
      </w:r>
      <w:r>
        <w:rPr>
          <w:color w:val="231F20"/>
          <w:spacing w:val="-6"/>
        </w:rPr>
        <w:t> </w:t>
      </w:r>
      <w:r>
        <w:rPr>
          <w:color w:val="231F20"/>
        </w:rPr>
        <w:t>Education</w:t>
      </w:r>
      <w:r>
        <w:rPr>
          <w:color w:val="231F20"/>
          <w:spacing w:val="-8"/>
        </w:rPr>
        <w:t> </w:t>
      </w:r>
      <w:r>
        <w:rPr>
          <w:color w:val="231F20"/>
          <w:spacing w:val="-1"/>
        </w:rPr>
        <w:t>Commission</w:t>
      </w:r>
      <w:r>
        <w:rPr>
          <w:color w:val="231F20"/>
          <w:spacing w:val="21"/>
        </w:rPr>
        <w:t> </w:t>
      </w:r>
      <w:r>
        <w:rPr>
          <w:color w:val="231F20"/>
        </w:rPr>
        <w:t>(NCEC)</w:t>
      </w:r>
      <w:r>
        <w:rPr>
          <w:color w:val="231F20"/>
          <w:spacing w:val="-4"/>
        </w:rPr>
        <w:t> </w:t>
      </w:r>
      <w:r>
        <w:rPr>
          <w:color w:val="231F20"/>
        </w:rPr>
        <w:t>was</w:t>
      </w:r>
      <w:r>
        <w:rPr>
          <w:color w:val="231F20"/>
          <w:spacing w:val="-3"/>
        </w:rPr>
        <w:t> </w:t>
      </w:r>
      <w:r>
        <w:rPr>
          <w:color w:val="231F20"/>
        </w:rPr>
        <w:t>established</w:t>
      </w:r>
      <w:r>
        <w:rPr>
          <w:color w:val="231F20"/>
          <w:spacing w:val="-4"/>
        </w:rPr>
        <w:t> </w:t>
      </w:r>
      <w:r>
        <w:rPr>
          <w:color w:val="231F20"/>
          <w:spacing w:val="-1"/>
        </w:rPr>
        <w:t>in</w:t>
      </w:r>
      <w:r>
        <w:rPr>
          <w:color w:val="231F20"/>
          <w:spacing w:val="-2"/>
        </w:rPr>
        <w:t> </w:t>
      </w:r>
      <w:r>
        <w:rPr>
          <w:color w:val="231F20"/>
          <w:spacing w:val="-1"/>
        </w:rPr>
        <w:t>1974</w:t>
      </w:r>
      <w:r>
        <w:rPr>
          <w:color w:val="231F20"/>
          <w:spacing w:val="-3"/>
        </w:rPr>
        <w:t> </w:t>
      </w:r>
      <w:r>
        <w:rPr>
          <w:color w:val="231F20"/>
        </w:rPr>
        <w:t>by</w:t>
      </w:r>
      <w:r>
        <w:rPr>
          <w:color w:val="231F20"/>
          <w:spacing w:val="-2"/>
        </w:rPr>
        <w:t> </w:t>
      </w:r>
      <w:r>
        <w:rPr>
          <w:color w:val="231F20"/>
        </w:rPr>
        <w:t>the</w:t>
      </w:r>
      <w:r>
        <w:rPr>
          <w:color w:val="231F20"/>
          <w:spacing w:val="22"/>
          <w:w w:val="99"/>
        </w:rPr>
        <w:t> </w:t>
      </w:r>
      <w:r>
        <w:rPr>
          <w:color w:val="231F20"/>
        </w:rPr>
        <w:t>‘Australian</w:t>
      </w:r>
      <w:r>
        <w:rPr>
          <w:color w:val="231F20"/>
          <w:spacing w:val="-9"/>
        </w:rPr>
        <w:t> </w:t>
      </w:r>
      <w:r>
        <w:rPr>
          <w:color w:val="231F20"/>
          <w:spacing w:val="-1"/>
        </w:rPr>
        <w:t>Catholic</w:t>
      </w:r>
      <w:r>
        <w:rPr>
          <w:color w:val="231F20"/>
          <w:spacing w:val="-9"/>
        </w:rPr>
        <w:t> </w:t>
      </w:r>
      <w:r>
        <w:rPr>
          <w:color w:val="231F20"/>
          <w:spacing w:val="-1"/>
        </w:rPr>
        <w:t>Bishops</w:t>
      </w:r>
      <w:r>
        <w:rPr>
          <w:color w:val="231F20"/>
          <w:spacing w:val="-9"/>
        </w:rPr>
        <w:t> </w:t>
      </w:r>
      <w:r>
        <w:rPr>
          <w:color w:val="231F20"/>
          <w:spacing w:val="-1"/>
        </w:rPr>
        <w:t>Conference</w:t>
      </w:r>
      <w:r>
        <w:rPr>
          <w:color w:val="231F20"/>
          <w:spacing w:val="22"/>
          <w:w w:val="99"/>
        </w:rPr>
        <w:t> </w:t>
      </w:r>
      <w:r>
        <w:rPr>
          <w:color w:val="231F20"/>
        </w:rPr>
        <w:t>through</w:t>
      </w:r>
      <w:r>
        <w:rPr>
          <w:color w:val="231F20"/>
          <w:spacing w:val="-5"/>
        </w:rPr>
        <w:t> </w:t>
      </w:r>
      <w:r>
        <w:rPr>
          <w:color w:val="231F20"/>
        </w:rPr>
        <w:t>the</w:t>
      </w:r>
      <w:r>
        <w:rPr>
          <w:color w:val="231F20"/>
          <w:spacing w:val="-5"/>
        </w:rPr>
        <w:t> </w:t>
      </w:r>
      <w:r>
        <w:rPr>
          <w:color w:val="231F20"/>
          <w:spacing w:val="-1"/>
        </w:rPr>
        <w:t>Bishops</w:t>
      </w:r>
      <w:r>
        <w:rPr>
          <w:color w:val="231F20"/>
          <w:spacing w:val="-4"/>
        </w:rPr>
        <w:t> </w:t>
      </w:r>
      <w:r>
        <w:rPr>
          <w:color w:val="231F20"/>
          <w:spacing w:val="-1"/>
        </w:rPr>
        <w:t>Commission</w:t>
      </w:r>
      <w:r>
        <w:rPr>
          <w:color w:val="231F20"/>
          <w:spacing w:val="-4"/>
        </w:rPr>
        <w:t> </w:t>
      </w:r>
      <w:r>
        <w:rPr>
          <w:color w:val="231F20"/>
        </w:rPr>
        <w:t>for</w:t>
      </w:r>
      <w:r>
        <w:rPr>
          <w:color w:val="231F20"/>
          <w:spacing w:val="-4"/>
        </w:rPr>
        <w:t> </w:t>
      </w:r>
      <w:r>
        <w:rPr>
          <w:color w:val="231F20"/>
          <w:spacing w:val="-1"/>
        </w:rPr>
        <w:t>Catholic</w:t>
      </w:r>
      <w:r>
        <w:rPr>
          <w:color w:val="231F20"/>
          <w:spacing w:val="22"/>
          <w:w w:val="99"/>
        </w:rPr>
        <w:t> </w:t>
      </w:r>
      <w:r>
        <w:rPr>
          <w:rFonts w:ascii="Segoe UI" w:hAnsi="Segoe UI" w:cs="Segoe UI" w:eastAsia="Segoe UI"/>
          <w:color w:val="231F20"/>
        </w:rPr>
        <w:t>Education</w:t>
      </w:r>
      <w:r>
        <w:rPr>
          <w:rFonts w:ascii="Segoe UI" w:hAnsi="Segoe UI" w:cs="Segoe UI" w:eastAsia="Segoe UI"/>
          <w:color w:val="231F20"/>
          <w:spacing w:val="-2"/>
        </w:rPr>
        <w:t> </w:t>
      </w:r>
      <w:r>
        <w:rPr>
          <w:rFonts w:ascii="Segoe UI" w:hAnsi="Segoe UI" w:cs="Segoe UI" w:eastAsia="Segoe UI"/>
          <w:color w:val="231F20"/>
        </w:rPr>
        <w:t>to</w:t>
      </w:r>
      <w:r>
        <w:rPr>
          <w:rFonts w:ascii="Segoe UI" w:hAnsi="Segoe UI" w:cs="Segoe UI" w:eastAsia="Segoe UI"/>
          <w:color w:val="231F20"/>
          <w:spacing w:val="-1"/>
        </w:rPr>
        <w:t> </w:t>
      </w:r>
      <w:r>
        <w:rPr>
          <w:rFonts w:ascii="Segoe UI" w:hAnsi="Segoe UI" w:cs="Segoe UI" w:eastAsia="Segoe UI"/>
          <w:color w:val="231F20"/>
        </w:rPr>
        <w:t>maintain</w:t>
      </w:r>
      <w:r>
        <w:rPr>
          <w:rFonts w:ascii="Segoe UI" w:hAnsi="Segoe UI" w:cs="Segoe UI" w:eastAsia="Segoe UI"/>
          <w:color w:val="231F20"/>
          <w:spacing w:val="-1"/>
        </w:rPr>
        <w:t> </w:t>
      </w:r>
      <w:r>
        <w:rPr>
          <w:rFonts w:ascii="Segoe UI" w:hAnsi="Segoe UI" w:cs="Segoe UI" w:eastAsia="Segoe UI"/>
          <w:color w:val="231F20"/>
        </w:rPr>
        <w:t>effective</w:t>
      </w:r>
      <w:r>
        <w:rPr>
          <w:rFonts w:ascii="Segoe UI" w:hAnsi="Segoe UI" w:cs="Segoe UI" w:eastAsia="Segoe UI"/>
          <w:color w:val="231F20"/>
          <w:spacing w:val="-1"/>
        </w:rPr>
        <w:t> </w:t>
      </w:r>
      <w:r>
        <w:rPr>
          <w:rFonts w:ascii="Segoe UI" w:hAnsi="Segoe UI" w:cs="Segoe UI" w:eastAsia="Segoe UI"/>
          <w:color w:val="231F20"/>
        </w:rPr>
        <w:t>liaison</w:t>
      </w:r>
      <w:r>
        <w:rPr>
          <w:rFonts w:ascii="Segoe UI" w:hAnsi="Segoe UI" w:cs="Segoe UI" w:eastAsia="Segoe UI"/>
          <w:color w:val="231F20"/>
          <w:spacing w:val="-2"/>
        </w:rPr>
        <w:t> </w:t>
      </w:r>
      <w:r>
        <w:rPr>
          <w:rFonts w:ascii="Segoe UI" w:hAnsi="Segoe UI" w:cs="Segoe UI" w:eastAsia="Segoe UI"/>
          <w:color w:val="231F20"/>
        </w:rPr>
        <w:t>with</w:t>
      </w:r>
      <w:r>
        <w:rPr>
          <w:rFonts w:ascii="Segoe UI" w:hAnsi="Segoe UI" w:cs="Segoe UI" w:eastAsia="Segoe UI"/>
          <w:color w:val="231F20"/>
          <w:spacing w:val="-1"/>
        </w:rPr>
        <w:t> </w:t>
      </w:r>
      <w:r>
        <w:rPr>
          <w:rFonts w:ascii="Segoe UI" w:hAnsi="Segoe UI" w:cs="Segoe UI" w:eastAsia="Segoe UI"/>
          <w:color w:val="231F20"/>
        </w:rPr>
        <w:t>the</w:t>
      </w:r>
      <w:r>
        <w:rPr>
          <w:rFonts w:ascii="Segoe UI" w:hAnsi="Segoe UI" w:cs="Segoe UI" w:eastAsia="Segoe UI"/>
          <w:color w:val="231F20"/>
        </w:rPr>
        <w:t> </w:t>
      </w:r>
      <w:r>
        <w:rPr>
          <w:color w:val="231F20"/>
          <w:spacing w:val="-1"/>
        </w:rPr>
        <w:t>Commonwealth</w:t>
      </w:r>
      <w:r>
        <w:rPr>
          <w:color w:val="231F20"/>
          <w:spacing w:val="-10"/>
        </w:rPr>
        <w:t> </w:t>
      </w:r>
      <w:r>
        <w:rPr>
          <w:color w:val="231F20"/>
        </w:rPr>
        <w:t>Government</w:t>
      </w:r>
      <w:r>
        <w:rPr>
          <w:color w:val="231F20"/>
          <w:spacing w:val="-9"/>
        </w:rPr>
        <w:t> </w:t>
      </w:r>
      <w:r>
        <w:rPr>
          <w:color w:val="231F20"/>
        </w:rPr>
        <w:t>and</w:t>
      </w:r>
      <w:r>
        <w:rPr>
          <w:color w:val="231F20"/>
          <w:spacing w:val="-9"/>
        </w:rPr>
        <w:t> </w:t>
      </w:r>
      <w:r>
        <w:rPr>
          <w:color w:val="231F20"/>
        </w:rPr>
        <w:t>other</w:t>
      </w:r>
      <w:r>
        <w:rPr>
          <w:color w:val="231F20"/>
          <w:spacing w:val="-9"/>
        </w:rPr>
        <w:t> </w:t>
      </w:r>
      <w:r>
        <w:rPr>
          <w:color w:val="231F20"/>
          <w:spacing w:val="-1"/>
        </w:rPr>
        <w:t>key</w:t>
      </w:r>
      <w:r>
        <w:rPr>
          <w:color w:val="231F20"/>
          <w:spacing w:val="21"/>
          <w:w w:val="99"/>
        </w:rPr>
        <w:t> </w:t>
      </w:r>
      <w:r>
        <w:rPr>
          <w:color w:val="231F20"/>
        </w:rPr>
        <w:t>national</w:t>
      </w:r>
      <w:r>
        <w:rPr>
          <w:color w:val="231F20"/>
          <w:spacing w:val="-7"/>
        </w:rPr>
        <w:t> </w:t>
      </w:r>
      <w:r>
        <w:rPr>
          <w:color w:val="231F20"/>
        </w:rPr>
        <w:t>education</w:t>
      </w:r>
      <w:r>
        <w:rPr>
          <w:color w:val="231F20"/>
          <w:spacing w:val="-7"/>
        </w:rPr>
        <w:t> </w:t>
      </w:r>
      <w:r>
        <w:rPr>
          <w:color w:val="231F20"/>
        </w:rPr>
        <w:t>bodies.</w:t>
      </w:r>
      <w:r>
        <w:rPr>
          <w:color w:val="231F20"/>
          <w:spacing w:val="-6"/>
        </w:rPr>
        <w:t> </w:t>
      </w:r>
      <w:r>
        <w:rPr>
          <w:color w:val="231F20"/>
        </w:rPr>
        <w:t>NCEC</w:t>
      </w:r>
      <w:r>
        <w:rPr>
          <w:color w:val="231F20"/>
          <w:spacing w:val="-6"/>
        </w:rPr>
        <w:t> </w:t>
      </w:r>
      <w:r>
        <w:rPr>
          <w:color w:val="231F20"/>
        </w:rPr>
        <w:t>complements</w:t>
      </w:r>
      <w:r>
        <w:rPr>
          <w:color w:val="231F20"/>
        </w:rPr>
        <w:t> and</w:t>
      </w:r>
      <w:r>
        <w:rPr>
          <w:color w:val="231F20"/>
          <w:spacing w:val="-6"/>
        </w:rPr>
        <w:t> </w:t>
      </w:r>
      <w:r>
        <w:rPr>
          <w:color w:val="231F20"/>
          <w:spacing w:val="-1"/>
        </w:rPr>
        <w:t>supports</w:t>
      </w:r>
      <w:r>
        <w:rPr>
          <w:color w:val="231F20"/>
          <w:spacing w:val="-4"/>
        </w:rPr>
        <w:t> </w:t>
      </w:r>
      <w:r>
        <w:rPr>
          <w:color w:val="231F20"/>
        </w:rPr>
        <w:t>at</w:t>
      </w:r>
      <w:r>
        <w:rPr>
          <w:color w:val="231F20"/>
          <w:spacing w:val="-4"/>
        </w:rPr>
        <w:t> </w:t>
      </w:r>
      <w:r>
        <w:rPr>
          <w:color w:val="231F20"/>
        </w:rPr>
        <w:t>the</w:t>
      </w:r>
      <w:r>
        <w:rPr>
          <w:color w:val="231F20"/>
          <w:spacing w:val="-6"/>
        </w:rPr>
        <w:t> </w:t>
      </w:r>
      <w:r>
        <w:rPr>
          <w:color w:val="231F20"/>
        </w:rPr>
        <w:t>national</w:t>
      </w:r>
      <w:r>
        <w:rPr>
          <w:color w:val="231F20"/>
          <w:spacing w:val="-5"/>
        </w:rPr>
        <w:t> </w:t>
      </w:r>
      <w:r>
        <w:rPr>
          <w:color w:val="231F20"/>
          <w:spacing w:val="-1"/>
        </w:rPr>
        <w:t>level</w:t>
      </w:r>
      <w:r>
        <w:rPr>
          <w:color w:val="231F20"/>
          <w:spacing w:val="-4"/>
        </w:rPr>
        <w:t> </w:t>
      </w:r>
      <w:r>
        <w:rPr>
          <w:color w:val="231F20"/>
        </w:rPr>
        <w:t>the</w:t>
      </w:r>
      <w:r>
        <w:rPr>
          <w:color w:val="231F20"/>
          <w:spacing w:val="-5"/>
        </w:rPr>
        <w:t> </w:t>
      </w:r>
      <w:r>
        <w:rPr>
          <w:color w:val="231F20"/>
        </w:rPr>
        <w:t>work</w:t>
      </w:r>
      <w:r>
        <w:rPr/>
      </w:r>
    </w:p>
    <w:p>
      <w:pPr>
        <w:pStyle w:val="BodyText"/>
        <w:spacing w:line="250" w:lineRule="exact"/>
        <w:ind w:left="100" w:right="132"/>
        <w:jc w:val="left"/>
        <w:rPr>
          <w:rFonts w:ascii="Segoe UI Semibold" w:hAnsi="Segoe UI Semibold" w:cs="Segoe UI Semibold" w:eastAsia="Segoe UI Semibold"/>
          <w:sz w:val="11"/>
          <w:szCs w:val="11"/>
        </w:rPr>
      </w:pPr>
      <w:r>
        <w:rPr>
          <w:color w:val="231F20"/>
        </w:rPr>
        <w:t>of</w:t>
      </w:r>
      <w:r>
        <w:rPr>
          <w:color w:val="231F20"/>
          <w:spacing w:val="-6"/>
        </w:rPr>
        <w:t> </w:t>
      </w:r>
      <w:r>
        <w:rPr>
          <w:color w:val="231F20"/>
        </w:rPr>
        <w:t>the</w:t>
      </w:r>
      <w:r>
        <w:rPr>
          <w:color w:val="231F20"/>
          <w:spacing w:val="-7"/>
        </w:rPr>
        <w:t> </w:t>
      </w:r>
      <w:r>
        <w:rPr>
          <w:color w:val="231F20"/>
          <w:spacing w:val="-2"/>
        </w:rPr>
        <w:t>State</w:t>
      </w:r>
      <w:r>
        <w:rPr>
          <w:color w:val="231F20"/>
          <w:spacing w:val="-7"/>
        </w:rPr>
        <w:t> </w:t>
      </w:r>
      <w:r>
        <w:rPr>
          <w:color w:val="231F20"/>
        </w:rPr>
        <w:t>and</w:t>
      </w:r>
      <w:r>
        <w:rPr>
          <w:color w:val="231F20"/>
          <w:spacing w:val="-7"/>
        </w:rPr>
        <w:t> </w:t>
      </w:r>
      <w:r>
        <w:rPr>
          <w:color w:val="231F20"/>
          <w:spacing w:val="-3"/>
        </w:rPr>
        <w:t>Territory</w:t>
      </w:r>
      <w:r>
        <w:rPr>
          <w:color w:val="231F20"/>
          <w:spacing w:val="-5"/>
        </w:rPr>
        <w:t> </w:t>
      </w:r>
      <w:r>
        <w:rPr>
          <w:color w:val="231F20"/>
          <w:spacing w:val="-1"/>
        </w:rPr>
        <w:t>Catholic</w:t>
      </w:r>
      <w:r>
        <w:rPr>
          <w:color w:val="231F20"/>
          <w:spacing w:val="-6"/>
        </w:rPr>
        <w:t> </w:t>
      </w:r>
      <w:r>
        <w:rPr>
          <w:color w:val="231F20"/>
        </w:rPr>
        <w:t>Education</w:t>
      </w:r>
      <w:r>
        <w:rPr>
          <w:color w:val="231F20"/>
          <w:spacing w:val="23"/>
          <w:w w:val="99"/>
        </w:rPr>
        <w:t> </w:t>
      </w:r>
      <w:r>
        <w:rPr>
          <w:color w:val="231F20"/>
          <w:spacing w:val="-1"/>
        </w:rPr>
        <w:t>Commissions.’</w:t>
      </w:r>
      <w:r>
        <w:rPr>
          <w:rFonts w:ascii="Segoe UI Semibold" w:hAnsi="Segoe UI Semibold" w:cs="Segoe UI Semibold" w:eastAsia="Segoe UI Semibold"/>
          <w:b/>
          <w:bCs/>
          <w:color w:val="231F20"/>
          <w:spacing w:val="-1"/>
          <w:position w:val="7"/>
          <w:sz w:val="11"/>
          <w:szCs w:val="11"/>
        </w:rPr>
        <w:t>198</w:t>
      </w:r>
      <w:r>
        <w:rPr>
          <w:rFonts w:ascii="Segoe UI Semibold" w:hAnsi="Segoe UI Semibold" w:cs="Segoe UI Semibold" w:eastAsia="Segoe UI Semibold"/>
          <w:sz w:val="11"/>
          <w:szCs w:val="11"/>
        </w:rPr>
      </w:r>
    </w:p>
    <w:p>
      <w:pPr>
        <w:pStyle w:val="Heading4"/>
        <w:spacing w:line="240" w:lineRule="auto" w:before="169"/>
        <w:ind w:right="0"/>
        <w:jc w:val="left"/>
      </w:pPr>
      <w:r>
        <w:rPr>
          <w:color w:val="452A70"/>
          <w:spacing w:val="-2"/>
        </w:rPr>
        <w:t>Remote</w:t>
      </w:r>
      <w:r>
        <w:rPr>
          <w:color w:val="452A70"/>
          <w:spacing w:val="-11"/>
        </w:rPr>
        <w:t> </w:t>
      </w:r>
      <w:r>
        <w:rPr>
          <w:color w:val="452A70"/>
          <w:spacing w:val="-1"/>
        </w:rPr>
        <w:t>Indigenous</w:t>
      </w:r>
      <w:r>
        <w:rPr>
          <w:color w:val="452A70"/>
          <w:spacing w:val="-9"/>
        </w:rPr>
        <w:t> </w:t>
      </w:r>
      <w:r>
        <w:rPr>
          <w:color w:val="452A70"/>
          <w:spacing w:val="-2"/>
        </w:rPr>
        <w:t>Parents</w:t>
      </w:r>
      <w:r>
        <w:rPr>
          <w:color w:val="452A70"/>
          <w:spacing w:val="-10"/>
        </w:rPr>
        <w:t> </w:t>
      </w:r>
      <w:r>
        <w:rPr>
          <w:color w:val="452A70"/>
        </w:rPr>
        <w:t>Australia</w:t>
      </w:r>
      <w:r>
        <w:rPr/>
      </w:r>
    </w:p>
    <w:p>
      <w:pPr>
        <w:pStyle w:val="BodyText"/>
        <w:spacing w:line="250" w:lineRule="exact" w:before="131"/>
        <w:ind w:left="100" w:right="309"/>
        <w:jc w:val="left"/>
      </w:pPr>
      <w:r>
        <w:rPr>
          <w:color w:val="231F20"/>
          <w:spacing w:val="-1"/>
        </w:rPr>
        <w:t>Remote</w:t>
      </w:r>
      <w:r>
        <w:rPr>
          <w:color w:val="231F20"/>
          <w:spacing w:val="-8"/>
        </w:rPr>
        <w:t> </w:t>
      </w:r>
      <w:r>
        <w:rPr>
          <w:color w:val="231F20"/>
          <w:spacing w:val="-1"/>
        </w:rPr>
        <w:t>Indigenous</w:t>
      </w:r>
      <w:r>
        <w:rPr>
          <w:color w:val="231F20"/>
          <w:spacing w:val="-6"/>
        </w:rPr>
        <w:t> </w:t>
      </w:r>
      <w:r>
        <w:rPr>
          <w:color w:val="231F20"/>
          <w:spacing w:val="-1"/>
        </w:rPr>
        <w:t>Parents</w:t>
      </w:r>
      <w:r>
        <w:rPr>
          <w:color w:val="231F20"/>
          <w:spacing w:val="-7"/>
        </w:rPr>
        <w:t> </w:t>
      </w:r>
      <w:r>
        <w:rPr>
          <w:color w:val="231F20"/>
        </w:rPr>
        <w:t>Australia</w:t>
      </w:r>
      <w:r>
        <w:rPr>
          <w:color w:val="231F20"/>
          <w:spacing w:val="-6"/>
        </w:rPr>
        <w:t> </w:t>
      </w:r>
      <w:r>
        <w:rPr>
          <w:color w:val="231F20"/>
          <w:spacing w:val="-3"/>
        </w:rPr>
        <w:t>(RIPA)</w:t>
      </w:r>
      <w:r>
        <w:rPr>
          <w:color w:val="231F20"/>
          <w:spacing w:val="26"/>
          <w:w w:val="99"/>
        </w:rPr>
        <w:t> </w:t>
      </w:r>
      <w:r>
        <w:rPr>
          <w:color w:val="231F20"/>
        </w:rPr>
        <w:t>was</w:t>
      </w:r>
      <w:r>
        <w:rPr>
          <w:color w:val="231F20"/>
          <w:spacing w:val="-6"/>
        </w:rPr>
        <w:t> </w:t>
      </w:r>
      <w:r>
        <w:rPr>
          <w:color w:val="231F20"/>
          <w:spacing w:val="-1"/>
        </w:rPr>
        <w:t>incorporated</w:t>
      </w:r>
      <w:r>
        <w:rPr>
          <w:color w:val="231F20"/>
          <w:spacing w:val="-3"/>
        </w:rPr>
        <w:t> </w:t>
      </w:r>
      <w:r>
        <w:rPr>
          <w:color w:val="231F20"/>
        </w:rPr>
        <w:t>on</w:t>
      </w:r>
      <w:r>
        <w:rPr>
          <w:color w:val="231F20"/>
          <w:spacing w:val="-5"/>
        </w:rPr>
        <w:t> </w:t>
      </w:r>
      <w:r>
        <w:rPr>
          <w:color w:val="231F20"/>
        </w:rPr>
        <w:t>5</w:t>
      </w:r>
      <w:r>
        <w:rPr>
          <w:color w:val="231F20"/>
          <w:spacing w:val="-4"/>
        </w:rPr>
        <w:t> </w:t>
      </w:r>
      <w:r>
        <w:rPr>
          <w:color w:val="231F20"/>
        </w:rPr>
        <w:t>April</w:t>
      </w:r>
      <w:r>
        <w:rPr>
          <w:color w:val="231F20"/>
          <w:spacing w:val="-5"/>
        </w:rPr>
        <w:t> </w:t>
      </w:r>
      <w:r>
        <w:rPr>
          <w:color w:val="231F20"/>
          <w:spacing w:val="-1"/>
        </w:rPr>
        <w:t>2017</w:t>
      </w:r>
      <w:r>
        <w:rPr>
          <w:color w:val="231F20"/>
          <w:spacing w:val="-4"/>
        </w:rPr>
        <w:t> </w:t>
      </w:r>
      <w:r>
        <w:rPr>
          <w:color w:val="231F20"/>
        </w:rPr>
        <w:t>to</w:t>
      </w:r>
      <w:r>
        <w:rPr>
          <w:color w:val="231F20"/>
          <w:spacing w:val="-5"/>
        </w:rPr>
        <w:t> </w:t>
      </w:r>
      <w:r>
        <w:rPr>
          <w:color w:val="231F20"/>
        </w:rPr>
        <w:t>represent</w:t>
      </w:r>
      <w:r>
        <w:rPr>
          <w:color w:val="231F20"/>
          <w:spacing w:val="23"/>
          <w:w w:val="99"/>
        </w:rPr>
        <w:t> </w:t>
      </w:r>
      <w:r>
        <w:rPr>
          <w:color w:val="231F20"/>
        </w:rPr>
        <w:t>remote</w:t>
      </w:r>
      <w:r>
        <w:rPr>
          <w:color w:val="231F20"/>
          <w:spacing w:val="-7"/>
        </w:rPr>
        <w:t> </w:t>
      </w:r>
      <w:r>
        <w:rPr>
          <w:color w:val="231F20"/>
        </w:rPr>
        <w:t>Aboriginal</w:t>
      </w:r>
      <w:r>
        <w:rPr>
          <w:color w:val="231F20"/>
          <w:spacing w:val="-6"/>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6"/>
        </w:rPr>
        <w:t> </w:t>
      </w:r>
      <w:r>
        <w:rPr>
          <w:color w:val="231F20"/>
          <w:spacing w:val="-1"/>
        </w:rPr>
        <w:t>Islander</w:t>
      </w:r>
      <w:r>
        <w:rPr/>
      </w:r>
    </w:p>
    <w:p>
      <w:pPr>
        <w:pStyle w:val="BodyText"/>
        <w:spacing w:line="250" w:lineRule="exact"/>
        <w:ind w:left="100" w:right="124"/>
        <w:jc w:val="left"/>
      </w:pPr>
      <w:r>
        <w:rPr>
          <w:color w:val="231F20"/>
        </w:rPr>
        <w:t>parents</w:t>
      </w:r>
      <w:r>
        <w:rPr>
          <w:color w:val="231F20"/>
          <w:spacing w:val="-6"/>
        </w:rPr>
        <w:t> </w:t>
      </w:r>
      <w:r>
        <w:rPr>
          <w:color w:val="231F20"/>
        </w:rPr>
        <w:t>and</w:t>
      </w:r>
      <w:r>
        <w:rPr>
          <w:color w:val="231F20"/>
          <w:spacing w:val="-5"/>
        </w:rPr>
        <w:t> </w:t>
      </w:r>
      <w:r>
        <w:rPr>
          <w:color w:val="231F20"/>
        </w:rPr>
        <w:t>families</w:t>
      </w:r>
      <w:r>
        <w:rPr>
          <w:color w:val="231F20"/>
          <w:spacing w:val="-5"/>
        </w:rPr>
        <w:t> </w:t>
      </w:r>
      <w:r>
        <w:rPr>
          <w:color w:val="231F20"/>
          <w:spacing w:val="-1"/>
        </w:rPr>
        <w:t>in</w:t>
      </w:r>
      <w:r>
        <w:rPr>
          <w:color w:val="231F20"/>
          <w:spacing w:val="-5"/>
        </w:rPr>
        <w:t> </w:t>
      </w:r>
      <w:r>
        <w:rPr>
          <w:color w:val="231F20"/>
        </w:rPr>
        <w:t>relation</w:t>
      </w:r>
      <w:r>
        <w:rPr>
          <w:color w:val="231F20"/>
          <w:spacing w:val="-5"/>
        </w:rPr>
        <w:t> </w:t>
      </w:r>
      <w:r>
        <w:rPr>
          <w:color w:val="231F20"/>
        </w:rPr>
        <w:t>to</w:t>
      </w:r>
      <w:r>
        <w:rPr>
          <w:color w:val="231F20"/>
          <w:spacing w:val="-4"/>
        </w:rPr>
        <w:t> </w:t>
      </w:r>
      <w:r>
        <w:rPr>
          <w:color w:val="231F20"/>
        </w:rPr>
        <w:t>the</w:t>
      </w:r>
      <w:r>
        <w:rPr>
          <w:color w:val="231F20"/>
          <w:spacing w:val="-6"/>
        </w:rPr>
        <w:t> </w:t>
      </w:r>
      <w:r>
        <w:rPr>
          <w:color w:val="231F20"/>
        </w:rPr>
        <w:t>education</w:t>
      </w:r>
      <w:r>
        <w:rPr>
          <w:color w:val="231F20"/>
          <w:spacing w:val="21"/>
          <w:w w:val="99"/>
        </w:rPr>
        <w:t> </w:t>
      </w:r>
      <w:r>
        <w:rPr>
          <w:color w:val="231F20"/>
        </w:rPr>
        <w:t>of</w:t>
      </w:r>
      <w:r>
        <w:rPr>
          <w:color w:val="231F20"/>
          <w:spacing w:val="-8"/>
        </w:rPr>
        <w:t> </w:t>
      </w:r>
      <w:r>
        <w:rPr>
          <w:color w:val="231F20"/>
        </w:rPr>
        <w:t>their</w:t>
      </w:r>
      <w:r>
        <w:rPr>
          <w:color w:val="231F20"/>
          <w:spacing w:val="-8"/>
        </w:rPr>
        <w:t> </w:t>
      </w:r>
      <w:r>
        <w:rPr>
          <w:color w:val="231F20"/>
        </w:rPr>
        <w:t>children,</w:t>
      </w:r>
      <w:r>
        <w:rPr>
          <w:color w:val="231F20"/>
          <w:spacing w:val="-8"/>
        </w:rPr>
        <w:t> </w:t>
      </w:r>
      <w:r>
        <w:rPr>
          <w:color w:val="231F20"/>
        </w:rPr>
        <w:t>particularly</w:t>
      </w:r>
      <w:r>
        <w:rPr>
          <w:color w:val="231F20"/>
          <w:spacing w:val="-9"/>
        </w:rPr>
        <w:t> </w:t>
      </w:r>
      <w:r>
        <w:rPr>
          <w:color w:val="231F20"/>
        </w:rPr>
        <w:t>those</w:t>
      </w:r>
      <w:r>
        <w:rPr>
          <w:color w:val="231F20"/>
          <w:spacing w:val="-8"/>
        </w:rPr>
        <w:t> </w:t>
      </w:r>
      <w:r>
        <w:rPr>
          <w:color w:val="231F20"/>
        </w:rPr>
        <w:t>attending</w:t>
      </w:r>
      <w:r>
        <w:rPr>
          <w:color w:val="231F20"/>
          <w:w w:val="99"/>
        </w:rPr>
        <w:t> </w:t>
      </w:r>
      <w:r>
        <w:rPr>
          <w:color w:val="231F20"/>
        </w:rPr>
        <w:t>boarding</w:t>
      </w:r>
      <w:r>
        <w:rPr>
          <w:color w:val="231F20"/>
          <w:spacing w:val="-5"/>
        </w:rPr>
        <w:t> </w:t>
      </w:r>
      <w:r>
        <w:rPr>
          <w:color w:val="231F20"/>
          <w:spacing w:val="-1"/>
        </w:rPr>
        <w:t>school.</w:t>
      </w:r>
      <w:r>
        <w:rPr>
          <w:color w:val="231F20"/>
          <w:spacing w:val="-4"/>
        </w:rPr>
        <w:t> RIPA </w:t>
      </w:r>
      <w:r>
        <w:rPr>
          <w:color w:val="231F20"/>
        </w:rPr>
        <w:t>was</w:t>
      </w:r>
      <w:r>
        <w:rPr>
          <w:color w:val="231F20"/>
          <w:spacing w:val="-5"/>
        </w:rPr>
        <w:t> </w:t>
      </w:r>
      <w:r>
        <w:rPr>
          <w:color w:val="231F20"/>
        </w:rPr>
        <w:t>originally</w:t>
      </w:r>
      <w:r>
        <w:rPr>
          <w:color w:val="231F20"/>
          <w:spacing w:val="-5"/>
        </w:rPr>
        <w:t> </w:t>
      </w:r>
      <w:r>
        <w:rPr>
          <w:color w:val="231F20"/>
        </w:rPr>
        <w:t>established</w:t>
      </w:r>
      <w:r>
        <w:rPr>
          <w:color w:val="231F20"/>
          <w:spacing w:val="22"/>
        </w:rPr>
        <w:t> </w:t>
      </w:r>
      <w:r>
        <w:rPr>
          <w:color w:val="231F20"/>
        </w:rPr>
        <w:t>as</w:t>
      </w:r>
      <w:r>
        <w:rPr>
          <w:color w:val="231F20"/>
          <w:spacing w:val="-7"/>
        </w:rPr>
        <w:t> </w:t>
      </w:r>
      <w:r>
        <w:rPr>
          <w:color w:val="231F20"/>
        </w:rPr>
        <w:t>part</w:t>
      </w:r>
      <w:r>
        <w:rPr>
          <w:color w:val="231F20"/>
          <w:spacing w:val="-6"/>
        </w:rPr>
        <w:t> </w:t>
      </w:r>
      <w:r>
        <w:rPr>
          <w:color w:val="231F20"/>
        </w:rPr>
        <w:t>of</w:t>
      </w:r>
      <w:r>
        <w:rPr>
          <w:color w:val="231F20"/>
          <w:spacing w:val="-6"/>
        </w:rPr>
        <w:t> </w:t>
      </w:r>
      <w:r>
        <w:rPr>
          <w:color w:val="231F20"/>
          <w:spacing w:val="-1"/>
        </w:rPr>
        <w:t>Indigenous</w:t>
      </w:r>
      <w:r>
        <w:rPr>
          <w:color w:val="231F20"/>
          <w:spacing w:val="-6"/>
        </w:rPr>
        <w:t> </w:t>
      </w:r>
      <w:r>
        <w:rPr>
          <w:color w:val="231F20"/>
        </w:rPr>
        <w:t>Education</w:t>
      </w:r>
      <w:r>
        <w:rPr>
          <w:color w:val="231F20"/>
          <w:spacing w:val="-7"/>
        </w:rPr>
        <w:t> </w:t>
      </w:r>
      <w:r>
        <w:rPr>
          <w:color w:val="231F20"/>
        </w:rPr>
        <w:t>and</w:t>
      </w:r>
      <w:r>
        <w:rPr>
          <w:color w:val="231F20"/>
          <w:spacing w:val="-7"/>
        </w:rPr>
        <w:t> </w:t>
      </w:r>
      <w:r>
        <w:rPr>
          <w:color w:val="231F20"/>
          <w:spacing w:val="-1"/>
        </w:rPr>
        <w:t>Boarding</w:t>
      </w:r>
      <w:r>
        <w:rPr>
          <w:color w:val="231F20"/>
          <w:spacing w:val="21"/>
          <w:w w:val="99"/>
        </w:rPr>
        <w:t> </w:t>
      </w:r>
      <w:r>
        <w:rPr>
          <w:color w:val="231F20"/>
        </w:rPr>
        <w:t>Australia</w:t>
      </w:r>
      <w:r>
        <w:rPr>
          <w:color w:val="231F20"/>
          <w:spacing w:val="-14"/>
        </w:rPr>
        <w:t> </w:t>
      </w:r>
      <w:r>
        <w:rPr>
          <w:color w:val="231F20"/>
        </w:rPr>
        <w:t>through</w:t>
      </w:r>
      <w:r>
        <w:rPr>
          <w:color w:val="231F20"/>
          <w:spacing w:val="-14"/>
        </w:rPr>
        <w:t> </w:t>
      </w:r>
      <w:r>
        <w:rPr>
          <w:color w:val="231F20"/>
          <w:spacing w:val="-1"/>
        </w:rPr>
        <w:t>Commonwealth</w:t>
      </w:r>
      <w:r>
        <w:rPr>
          <w:color w:val="231F20"/>
          <w:spacing w:val="-13"/>
        </w:rPr>
        <w:t> </w:t>
      </w:r>
      <w:r>
        <w:rPr>
          <w:color w:val="231F20"/>
        </w:rPr>
        <w:t>Government</w:t>
      </w:r>
      <w:r>
        <w:rPr>
          <w:color w:val="231F20"/>
          <w:spacing w:val="22"/>
          <w:w w:val="99"/>
        </w:rPr>
        <w:t> </w:t>
      </w:r>
      <w:r>
        <w:rPr>
          <w:color w:val="231F20"/>
        </w:rPr>
        <w:t>funding</w:t>
      </w:r>
      <w:r>
        <w:rPr>
          <w:color w:val="231F20"/>
          <w:spacing w:val="-5"/>
        </w:rPr>
        <w:t> </w:t>
      </w:r>
      <w:r>
        <w:rPr>
          <w:color w:val="231F20"/>
        </w:rPr>
        <w:t>but</w:t>
      </w:r>
      <w:r>
        <w:rPr>
          <w:color w:val="231F20"/>
          <w:spacing w:val="-6"/>
        </w:rPr>
        <w:t> </w:t>
      </w:r>
      <w:r>
        <w:rPr>
          <w:color w:val="231F20"/>
          <w:spacing w:val="-1"/>
        </w:rPr>
        <w:t>is</w:t>
      </w:r>
      <w:r>
        <w:rPr>
          <w:color w:val="231F20"/>
          <w:spacing w:val="-6"/>
        </w:rPr>
        <w:t> </w:t>
      </w:r>
      <w:r>
        <w:rPr>
          <w:color w:val="231F20"/>
        </w:rPr>
        <w:t>now</w:t>
      </w:r>
      <w:r>
        <w:rPr>
          <w:color w:val="231F20"/>
          <w:spacing w:val="-5"/>
        </w:rPr>
        <w:t> </w:t>
      </w:r>
      <w:r>
        <w:rPr>
          <w:color w:val="231F20"/>
        </w:rPr>
        <w:t>a</w:t>
      </w:r>
      <w:r>
        <w:rPr>
          <w:color w:val="231F20"/>
          <w:spacing w:val="-5"/>
        </w:rPr>
        <w:t> </w:t>
      </w:r>
      <w:r>
        <w:rPr>
          <w:color w:val="231F20"/>
          <w:spacing w:val="-1"/>
        </w:rPr>
        <w:t>standalone</w:t>
      </w:r>
      <w:r>
        <w:rPr>
          <w:color w:val="231F20"/>
          <w:spacing w:val="-4"/>
        </w:rPr>
        <w:t> </w:t>
      </w:r>
      <w:r>
        <w:rPr>
          <w:color w:val="231F20"/>
        </w:rPr>
        <w:t>body.</w:t>
      </w:r>
      <w:r>
        <w:rPr/>
      </w:r>
    </w:p>
    <w:p>
      <w:pPr>
        <w:pStyle w:val="Heading4"/>
        <w:spacing w:line="240" w:lineRule="auto" w:before="169"/>
        <w:ind w:right="0"/>
        <w:jc w:val="left"/>
      </w:pPr>
      <w:r>
        <w:rPr>
          <w:color w:val="452A70"/>
          <w:spacing w:val="-3"/>
        </w:rPr>
        <w:t>Transition</w:t>
      </w:r>
      <w:r>
        <w:rPr>
          <w:color w:val="452A70"/>
          <w:spacing w:val="-10"/>
        </w:rPr>
        <w:t> </w:t>
      </w:r>
      <w:r>
        <w:rPr>
          <w:color w:val="452A70"/>
          <w:spacing w:val="-1"/>
        </w:rPr>
        <w:t>Support</w:t>
      </w:r>
      <w:r>
        <w:rPr>
          <w:color w:val="452A70"/>
          <w:spacing w:val="-9"/>
        </w:rPr>
        <w:t> </w:t>
      </w:r>
      <w:r>
        <w:rPr>
          <w:color w:val="452A70"/>
          <w:spacing w:val="-1"/>
        </w:rPr>
        <w:t>Services</w:t>
      </w:r>
      <w:r>
        <w:rPr>
          <w:color w:val="452A70"/>
          <w:spacing w:val="-8"/>
        </w:rPr>
        <w:t> </w:t>
      </w:r>
      <w:r>
        <w:rPr>
          <w:color w:val="452A70"/>
        </w:rPr>
        <w:t>(Qld)</w:t>
      </w:r>
      <w:r>
        <w:rPr/>
      </w:r>
    </w:p>
    <w:p>
      <w:pPr>
        <w:pStyle w:val="BodyText"/>
        <w:spacing w:line="250" w:lineRule="exact" w:before="131"/>
        <w:ind w:left="100" w:right="247"/>
        <w:jc w:val="left"/>
      </w:pPr>
      <w:r>
        <w:rPr>
          <w:color w:val="231F20"/>
          <w:spacing w:val="-2"/>
        </w:rPr>
        <w:t>Transition</w:t>
      </w:r>
      <w:r>
        <w:rPr>
          <w:color w:val="231F20"/>
          <w:spacing w:val="-6"/>
        </w:rPr>
        <w:t> </w:t>
      </w:r>
      <w:r>
        <w:rPr>
          <w:color w:val="231F20"/>
          <w:spacing w:val="-1"/>
        </w:rPr>
        <w:t>Support</w:t>
      </w:r>
      <w:r>
        <w:rPr>
          <w:color w:val="231F20"/>
          <w:spacing w:val="-4"/>
        </w:rPr>
        <w:t> </w:t>
      </w:r>
      <w:r>
        <w:rPr>
          <w:color w:val="231F20"/>
          <w:spacing w:val="-1"/>
        </w:rPr>
        <w:t>Services</w:t>
      </w:r>
      <w:r>
        <w:rPr>
          <w:color w:val="231F20"/>
          <w:spacing w:val="-3"/>
        </w:rPr>
        <w:t> </w:t>
      </w:r>
      <w:r>
        <w:rPr>
          <w:color w:val="231F20"/>
          <w:spacing w:val="-2"/>
        </w:rPr>
        <w:t>(TSS)</w:t>
      </w:r>
      <w:r>
        <w:rPr>
          <w:color w:val="231F20"/>
          <w:spacing w:val="-4"/>
        </w:rPr>
        <w:t> </w:t>
      </w:r>
      <w:r>
        <w:rPr>
          <w:color w:val="231F20"/>
          <w:spacing w:val="-1"/>
        </w:rPr>
        <w:t>is</w:t>
      </w:r>
      <w:r>
        <w:rPr>
          <w:color w:val="231F20"/>
          <w:spacing w:val="-5"/>
        </w:rPr>
        <w:t> </w:t>
      </w:r>
      <w:r>
        <w:rPr>
          <w:color w:val="231F20"/>
        </w:rPr>
        <w:t>part</w:t>
      </w:r>
      <w:r>
        <w:rPr>
          <w:color w:val="231F20"/>
          <w:spacing w:val="-3"/>
        </w:rPr>
        <w:t> </w:t>
      </w:r>
      <w:r>
        <w:rPr>
          <w:color w:val="231F20"/>
        </w:rPr>
        <w:t>of</w:t>
      </w:r>
      <w:r>
        <w:rPr>
          <w:color w:val="231F20"/>
          <w:spacing w:val="-4"/>
        </w:rPr>
        <w:t> </w:t>
      </w:r>
      <w:r>
        <w:rPr>
          <w:color w:val="231F20"/>
        </w:rPr>
        <w:t>the</w:t>
      </w:r>
      <w:r>
        <w:rPr>
          <w:color w:val="231F20"/>
          <w:spacing w:val="29"/>
          <w:w w:val="99"/>
        </w:rPr>
        <w:t> </w:t>
      </w:r>
      <w:r>
        <w:rPr>
          <w:color w:val="231F20"/>
          <w:spacing w:val="-1"/>
        </w:rPr>
        <w:t>Department</w:t>
      </w:r>
      <w:r>
        <w:rPr>
          <w:color w:val="231F20"/>
          <w:spacing w:val="-8"/>
        </w:rPr>
        <w:t> </w:t>
      </w:r>
      <w:r>
        <w:rPr>
          <w:color w:val="231F20"/>
        </w:rPr>
        <w:t>of</w:t>
      </w:r>
      <w:r>
        <w:rPr>
          <w:color w:val="231F20"/>
          <w:spacing w:val="-7"/>
        </w:rPr>
        <w:t> </w:t>
      </w:r>
      <w:r>
        <w:rPr>
          <w:color w:val="231F20"/>
        </w:rPr>
        <w:t>Education</w:t>
      </w:r>
      <w:r>
        <w:rPr>
          <w:color w:val="231F20"/>
          <w:spacing w:val="-8"/>
        </w:rPr>
        <w:t> </w:t>
      </w:r>
      <w:r>
        <w:rPr>
          <w:color w:val="231F20"/>
        </w:rPr>
        <w:t>and</w:t>
      </w:r>
      <w:r>
        <w:rPr>
          <w:color w:val="231F20"/>
          <w:spacing w:val="-8"/>
        </w:rPr>
        <w:t> </w:t>
      </w:r>
      <w:r>
        <w:rPr>
          <w:color w:val="231F20"/>
          <w:spacing w:val="-3"/>
        </w:rPr>
        <w:t>Training</w:t>
      </w:r>
      <w:r>
        <w:rPr>
          <w:color w:val="231F20"/>
          <w:spacing w:val="-8"/>
        </w:rPr>
        <w:t> </w:t>
      </w:r>
      <w:r>
        <w:rPr>
          <w:color w:val="231F20"/>
        </w:rPr>
        <w:t>(Qld)</w:t>
      </w:r>
      <w:r>
        <w:rPr>
          <w:color w:val="231F20"/>
          <w:spacing w:val="28"/>
          <w:w w:val="99"/>
        </w:rPr>
        <w:t> </w:t>
      </w:r>
      <w:r>
        <w:rPr>
          <w:color w:val="231F20"/>
        </w:rPr>
        <w:t>and</w:t>
      </w:r>
      <w:r>
        <w:rPr>
          <w:color w:val="231F20"/>
          <w:spacing w:val="-5"/>
        </w:rPr>
        <w:t> </w:t>
      </w:r>
      <w:r>
        <w:rPr>
          <w:color w:val="231F20"/>
        </w:rPr>
        <w:t>was</w:t>
      </w:r>
      <w:r>
        <w:rPr>
          <w:color w:val="231F20"/>
          <w:spacing w:val="-5"/>
        </w:rPr>
        <w:t> </w:t>
      </w:r>
      <w:r>
        <w:rPr>
          <w:color w:val="231F20"/>
        </w:rPr>
        <w:t>established</w:t>
      </w:r>
      <w:r>
        <w:rPr>
          <w:color w:val="231F20"/>
          <w:spacing w:val="-4"/>
        </w:rPr>
        <w:t> </w:t>
      </w:r>
      <w:r>
        <w:rPr>
          <w:color w:val="231F20"/>
          <w:spacing w:val="-1"/>
        </w:rPr>
        <w:t>in</w:t>
      </w:r>
      <w:r>
        <w:rPr>
          <w:color w:val="231F20"/>
          <w:spacing w:val="-4"/>
        </w:rPr>
        <w:t> </w:t>
      </w:r>
      <w:r>
        <w:rPr>
          <w:color w:val="231F20"/>
          <w:spacing w:val="-1"/>
        </w:rPr>
        <w:t>2008.</w:t>
      </w:r>
      <w:r>
        <w:rPr>
          <w:color w:val="231F20"/>
          <w:spacing w:val="-4"/>
        </w:rPr>
        <w:t> </w:t>
      </w:r>
      <w:r>
        <w:rPr>
          <w:color w:val="231F20"/>
        </w:rPr>
        <w:t>More</w:t>
      </w:r>
      <w:r>
        <w:rPr>
          <w:color w:val="231F20"/>
          <w:spacing w:val="-3"/>
        </w:rPr>
        <w:t> </w:t>
      </w:r>
      <w:r>
        <w:rPr>
          <w:color w:val="231F20"/>
          <w:spacing w:val="-1"/>
        </w:rPr>
        <w:t>information</w:t>
      </w:r>
      <w:r>
        <w:rPr>
          <w:color w:val="231F20"/>
          <w:spacing w:val="22"/>
          <w:w w:val="99"/>
        </w:rPr>
        <w:t> </w:t>
      </w:r>
      <w:r>
        <w:rPr>
          <w:color w:val="231F20"/>
        </w:rPr>
        <w:t>about</w:t>
      </w:r>
      <w:r>
        <w:rPr>
          <w:color w:val="231F20"/>
          <w:spacing w:val="-4"/>
        </w:rPr>
        <w:t> </w:t>
      </w:r>
      <w:r>
        <w:rPr>
          <w:color w:val="231F20"/>
        </w:rPr>
        <w:t>the</w:t>
      </w:r>
      <w:r>
        <w:rPr>
          <w:color w:val="231F20"/>
          <w:spacing w:val="-4"/>
        </w:rPr>
        <w:t> </w:t>
      </w:r>
      <w:r>
        <w:rPr>
          <w:color w:val="231F20"/>
          <w:spacing w:val="-2"/>
        </w:rPr>
        <w:t>TSS</w:t>
      </w:r>
      <w:r>
        <w:rPr>
          <w:color w:val="231F20"/>
          <w:spacing w:val="-3"/>
        </w:rPr>
        <w:t> </w:t>
      </w:r>
      <w:r>
        <w:rPr>
          <w:color w:val="231F20"/>
        </w:rPr>
        <w:t>and</w:t>
      </w:r>
      <w:r>
        <w:rPr>
          <w:color w:val="231F20"/>
          <w:spacing w:val="-3"/>
        </w:rPr>
        <w:t> </w:t>
      </w:r>
      <w:r>
        <w:rPr>
          <w:color w:val="231F20"/>
        </w:rPr>
        <w:t>the</w:t>
      </w:r>
      <w:r>
        <w:rPr>
          <w:color w:val="231F20"/>
          <w:spacing w:val="-4"/>
        </w:rPr>
        <w:t> </w:t>
      </w:r>
      <w:r>
        <w:rPr>
          <w:color w:val="231F20"/>
        </w:rPr>
        <w:t>role</w:t>
      </w:r>
      <w:r>
        <w:rPr>
          <w:color w:val="231F20"/>
          <w:spacing w:val="-3"/>
        </w:rPr>
        <w:t> </w:t>
      </w:r>
      <w:r>
        <w:rPr>
          <w:color w:val="231F20"/>
        </w:rPr>
        <w:t>that</w:t>
      </w:r>
      <w:r>
        <w:rPr>
          <w:color w:val="231F20"/>
          <w:spacing w:val="-4"/>
        </w:rPr>
        <w:t> </w:t>
      </w:r>
      <w:r>
        <w:rPr>
          <w:color w:val="231F20"/>
          <w:spacing w:val="-1"/>
        </w:rPr>
        <w:t>it</w:t>
      </w:r>
      <w:r>
        <w:rPr>
          <w:color w:val="231F20"/>
          <w:spacing w:val="-3"/>
        </w:rPr>
        <w:t> </w:t>
      </w:r>
      <w:r>
        <w:rPr>
          <w:color w:val="231F20"/>
        </w:rPr>
        <w:t>plays</w:t>
      </w:r>
      <w:r>
        <w:rPr>
          <w:color w:val="231F20"/>
          <w:spacing w:val="-3"/>
        </w:rPr>
        <w:t> </w:t>
      </w:r>
      <w:r>
        <w:rPr>
          <w:color w:val="231F20"/>
        </w:rPr>
        <w:t>to</w:t>
      </w:r>
      <w:r>
        <w:rPr>
          <w:color w:val="231F20"/>
          <w:spacing w:val="21"/>
          <w:w w:val="99"/>
        </w:rPr>
        <w:t> </w:t>
      </w:r>
      <w:r>
        <w:rPr>
          <w:color w:val="231F20"/>
          <w:spacing w:val="-1"/>
        </w:rPr>
        <w:t>support</w:t>
      </w:r>
      <w:r>
        <w:rPr>
          <w:color w:val="231F20"/>
          <w:spacing w:val="-6"/>
        </w:rPr>
        <w:t> </w:t>
      </w:r>
      <w:r>
        <w:rPr>
          <w:color w:val="231F20"/>
        </w:rPr>
        <w:t>Aboriginal</w:t>
      </w:r>
      <w:r>
        <w:rPr>
          <w:color w:val="231F20"/>
          <w:spacing w:val="-6"/>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7"/>
        </w:rPr>
        <w:t> </w:t>
      </w:r>
      <w:r>
        <w:rPr>
          <w:color w:val="231F20"/>
          <w:spacing w:val="-1"/>
        </w:rPr>
        <w:t>Islander</w:t>
      </w:r>
      <w:r>
        <w:rPr>
          <w:color w:val="231F20"/>
          <w:spacing w:val="20"/>
          <w:w w:val="99"/>
        </w:rPr>
        <w:t> </w:t>
      </w:r>
      <w:r>
        <w:rPr>
          <w:color w:val="231F20"/>
          <w:spacing w:val="-1"/>
        </w:rPr>
        <w:t>students</w:t>
      </w:r>
      <w:r>
        <w:rPr>
          <w:color w:val="231F20"/>
          <w:spacing w:val="-3"/>
        </w:rPr>
        <w:t> </w:t>
      </w:r>
      <w:r>
        <w:rPr>
          <w:color w:val="231F20"/>
        </w:rPr>
        <w:t>to</w:t>
      </w:r>
      <w:r>
        <w:rPr>
          <w:color w:val="231F20"/>
          <w:spacing w:val="-3"/>
        </w:rPr>
        <w:t> </w:t>
      </w:r>
      <w:r>
        <w:rPr>
          <w:color w:val="231F20"/>
        </w:rPr>
        <w:t>attend</w:t>
      </w:r>
      <w:r>
        <w:rPr>
          <w:color w:val="231F20"/>
          <w:spacing w:val="-4"/>
        </w:rPr>
        <w:t> </w:t>
      </w:r>
      <w:r>
        <w:rPr>
          <w:color w:val="231F20"/>
        </w:rPr>
        <w:t>boarding</w:t>
      </w:r>
      <w:r>
        <w:rPr>
          <w:color w:val="231F20"/>
          <w:spacing w:val="-4"/>
        </w:rPr>
        <w:t> </w:t>
      </w:r>
      <w:r>
        <w:rPr>
          <w:color w:val="231F20"/>
          <w:spacing w:val="-1"/>
        </w:rPr>
        <w:t>is</w:t>
      </w:r>
      <w:r>
        <w:rPr>
          <w:color w:val="231F20"/>
          <w:spacing w:val="-4"/>
        </w:rPr>
        <w:t> </w:t>
      </w:r>
      <w:r>
        <w:rPr>
          <w:color w:val="231F20"/>
          <w:spacing w:val="-1"/>
        </w:rPr>
        <w:t>set</w:t>
      </w:r>
      <w:r>
        <w:rPr>
          <w:color w:val="231F20"/>
          <w:spacing w:val="-3"/>
        </w:rPr>
        <w:t> </w:t>
      </w:r>
      <w:r>
        <w:rPr>
          <w:color w:val="231F20"/>
        </w:rPr>
        <w:t>out</w:t>
      </w:r>
      <w:r>
        <w:rPr>
          <w:color w:val="231F20"/>
          <w:spacing w:val="-3"/>
        </w:rPr>
        <w:t> </w:t>
      </w:r>
      <w:r>
        <w:rPr>
          <w:color w:val="231F20"/>
        </w:rPr>
        <w:t>on</w:t>
      </w:r>
      <w:r>
        <w:rPr/>
      </w:r>
    </w:p>
    <w:p>
      <w:pPr>
        <w:pStyle w:val="BodyText"/>
        <w:spacing w:line="250" w:lineRule="exact"/>
        <w:ind w:left="100" w:right="0"/>
        <w:jc w:val="left"/>
      </w:pPr>
      <w:r>
        <w:rPr>
          <w:color w:val="231F20"/>
        </w:rPr>
        <w:t>page</w:t>
      </w:r>
      <w:r>
        <w:rPr>
          <w:color w:val="231F20"/>
          <w:spacing w:val="-8"/>
        </w:rPr>
        <w:t> </w:t>
      </w:r>
      <w:r>
        <w:rPr>
          <w:color w:val="231F20"/>
        </w:rPr>
        <w:t>51.</w:t>
      </w:r>
      <w:r>
        <w:rPr/>
      </w:r>
    </w:p>
    <w:p>
      <w:pPr>
        <w:pStyle w:val="Heading4"/>
        <w:spacing w:line="240" w:lineRule="auto" w:before="169"/>
        <w:ind w:right="0"/>
        <w:jc w:val="left"/>
      </w:pPr>
      <w:r>
        <w:rPr>
          <w:color w:val="452A70"/>
          <w:spacing w:val="-3"/>
        </w:rPr>
        <w:t>Transition</w:t>
      </w:r>
      <w:r>
        <w:rPr>
          <w:color w:val="452A70"/>
          <w:spacing w:val="-12"/>
        </w:rPr>
        <w:t> </w:t>
      </w:r>
      <w:r>
        <w:rPr>
          <w:color w:val="452A70"/>
          <w:spacing w:val="-1"/>
        </w:rPr>
        <w:t>Support</w:t>
      </w:r>
      <w:r>
        <w:rPr>
          <w:color w:val="452A70"/>
          <w:spacing w:val="-9"/>
        </w:rPr>
        <w:t> </w:t>
      </w:r>
      <w:r>
        <w:rPr>
          <w:color w:val="452A70"/>
        </w:rPr>
        <w:t>Unit</w:t>
      </w:r>
      <w:r>
        <w:rPr>
          <w:color w:val="452A70"/>
          <w:spacing w:val="-9"/>
        </w:rPr>
        <w:t> </w:t>
      </w:r>
      <w:r>
        <w:rPr>
          <w:color w:val="452A70"/>
        </w:rPr>
        <w:t>(NT)</w:t>
      </w:r>
      <w:r>
        <w:rPr/>
      </w:r>
    </w:p>
    <w:p>
      <w:pPr>
        <w:pStyle w:val="BodyText"/>
        <w:spacing w:line="250" w:lineRule="exact" w:before="131"/>
        <w:ind w:left="100" w:right="219"/>
        <w:jc w:val="left"/>
      </w:pPr>
      <w:r>
        <w:rPr>
          <w:color w:val="231F20"/>
        </w:rPr>
        <w:t>The</w:t>
      </w:r>
      <w:r>
        <w:rPr>
          <w:color w:val="231F20"/>
          <w:spacing w:val="-5"/>
        </w:rPr>
        <w:t> </w:t>
      </w:r>
      <w:r>
        <w:rPr>
          <w:color w:val="231F20"/>
          <w:spacing w:val="-2"/>
        </w:rPr>
        <w:t>Transition</w:t>
      </w:r>
      <w:r>
        <w:rPr>
          <w:color w:val="231F20"/>
          <w:spacing w:val="-6"/>
        </w:rPr>
        <w:t> </w:t>
      </w:r>
      <w:r>
        <w:rPr>
          <w:color w:val="231F20"/>
          <w:spacing w:val="-1"/>
        </w:rPr>
        <w:t>Support</w:t>
      </w:r>
      <w:r>
        <w:rPr>
          <w:color w:val="231F20"/>
          <w:spacing w:val="-5"/>
        </w:rPr>
        <w:t> </w:t>
      </w:r>
      <w:r>
        <w:rPr>
          <w:color w:val="231F20"/>
        </w:rPr>
        <w:t>Unit</w:t>
      </w:r>
      <w:r>
        <w:rPr>
          <w:color w:val="231F20"/>
          <w:spacing w:val="-4"/>
        </w:rPr>
        <w:t> </w:t>
      </w:r>
      <w:r>
        <w:rPr>
          <w:color w:val="231F20"/>
          <w:spacing w:val="-1"/>
        </w:rPr>
        <w:t>is</w:t>
      </w:r>
      <w:r>
        <w:rPr>
          <w:color w:val="231F20"/>
          <w:spacing w:val="-5"/>
        </w:rPr>
        <w:t> </w:t>
      </w:r>
      <w:r>
        <w:rPr>
          <w:color w:val="231F20"/>
        </w:rPr>
        <w:t>part</w:t>
      </w:r>
      <w:r>
        <w:rPr>
          <w:color w:val="231F20"/>
          <w:spacing w:val="-5"/>
        </w:rPr>
        <w:t> </w:t>
      </w:r>
      <w:r>
        <w:rPr>
          <w:color w:val="231F20"/>
        </w:rPr>
        <w:t>of</w:t>
      </w:r>
      <w:r>
        <w:rPr>
          <w:color w:val="231F20"/>
          <w:spacing w:val="-4"/>
        </w:rPr>
        <w:t> </w:t>
      </w:r>
      <w:r>
        <w:rPr>
          <w:color w:val="231F20"/>
        </w:rPr>
        <w:t>the</w:t>
      </w:r>
      <w:r>
        <w:rPr>
          <w:color w:val="231F20"/>
          <w:spacing w:val="25"/>
          <w:w w:val="99"/>
        </w:rPr>
        <w:t> </w:t>
      </w:r>
      <w:r>
        <w:rPr>
          <w:color w:val="231F20"/>
          <w:spacing w:val="-1"/>
        </w:rPr>
        <w:t>Department</w:t>
      </w:r>
      <w:r>
        <w:rPr>
          <w:color w:val="231F20"/>
          <w:spacing w:val="-6"/>
        </w:rPr>
        <w:t> </w:t>
      </w:r>
      <w:r>
        <w:rPr>
          <w:color w:val="231F20"/>
        </w:rPr>
        <w:t>of</w:t>
      </w:r>
      <w:r>
        <w:rPr>
          <w:color w:val="231F20"/>
          <w:spacing w:val="-5"/>
        </w:rPr>
        <w:t> </w:t>
      </w:r>
      <w:r>
        <w:rPr>
          <w:color w:val="231F20"/>
        </w:rPr>
        <w:t>Education</w:t>
      </w:r>
      <w:r>
        <w:rPr>
          <w:color w:val="231F20"/>
          <w:spacing w:val="-6"/>
        </w:rPr>
        <w:t> </w:t>
      </w:r>
      <w:r>
        <w:rPr>
          <w:color w:val="231F20"/>
        </w:rPr>
        <w:t>(NT)</w:t>
      </w:r>
      <w:r>
        <w:rPr>
          <w:color w:val="231F20"/>
          <w:spacing w:val="-6"/>
        </w:rPr>
        <w:t> </w:t>
      </w:r>
      <w:r>
        <w:rPr>
          <w:color w:val="231F20"/>
        </w:rPr>
        <w:t>and</w:t>
      </w:r>
      <w:r>
        <w:rPr>
          <w:color w:val="231F20"/>
          <w:spacing w:val="-7"/>
        </w:rPr>
        <w:t> </w:t>
      </w:r>
      <w:r>
        <w:rPr>
          <w:color w:val="231F20"/>
          <w:spacing w:val="-1"/>
        </w:rPr>
        <w:t>is</w:t>
      </w:r>
      <w:r>
        <w:rPr>
          <w:color w:val="231F20"/>
          <w:spacing w:val="-6"/>
        </w:rPr>
        <w:t> </w:t>
      </w:r>
      <w:r>
        <w:rPr>
          <w:color w:val="231F20"/>
        </w:rPr>
        <w:t>funded</w:t>
      </w:r>
      <w:r>
        <w:rPr>
          <w:color w:val="231F20"/>
          <w:spacing w:val="-5"/>
        </w:rPr>
        <w:t> </w:t>
      </w:r>
      <w:r>
        <w:rPr>
          <w:color w:val="231F20"/>
        </w:rPr>
        <w:t>by</w:t>
      </w:r>
      <w:r>
        <w:rPr>
          <w:color w:val="231F20"/>
          <w:spacing w:val="23"/>
          <w:w w:val="99"/>
        </w:rPr>
        <w:t> </w:t>
      </w:r>
      <w:r>
        <w:rPr>
          <w:color w:val="231F20"/>
        </w:rPr>
        <w:t>the</w:t>
      </w:r>
      <w:r>
        <w:rPr>
          <w:color w:val="231F20"/>
          <w:spacing w:val="-8"/>
        </w:rPr>
        <w:t> </w:t>
      </w:r>
      <w:r>
        <w:rPr>
          <w:color w:val="231F20"/>
          <w:spacing w:val="-1"/>
        </w:rPr>
        <w:t>Commonwealth</w:t>
      </w:r>
      <w:r>
        <w:rPr>
          <w:color w:val="231F20"/>
          <w:spacing w:val="-6"/>
        </w:rPr>
        <w:t> </w:t>
      </w:r>
      <w:r>
        <w:rPr>
          <w:color w:val="231F20"/>
        </w:rPr>
        <w:t>Government.</w:t>
      </w:r>
      <w:r>
        <w:rPr>
          <w:color w:val="231F20"/>
          <w:spacing w:val="-6"/>
        </w:rPr>
        <w:t> </w:t>
      </w:r>
      <w:r>
        <w:rPr>
          <w:color w:val="231F20"/>
          <w:spacing w:val="-1"/>
        </w:rPr>
        <w:t>It</w:t>
      </w:r>
      <w:r>
        <w:rPr>
          <w:color w:val="231F20"/>
          <w:spacing w:val="-6"/>
        </w:rPr>
        <w:t> </w:t>
      </w:r>
      <w:r>
        <w:rPr>
          <w:color w:val="231F20"/>
          <w:spacing w:val="-1"/>
        </w:rPr>
        <w:t>is</w:t>
      </w:r>
      <w:r>
        <w:rPr>
          <w:color w:val="231F20"/>
          <w:spacing w:val="-7"/>
        </w:rPr>
        <w:t> </w:t>
      </w:r>
      <w:r>
        <w:rPr>
          <w:color w:val="231F20"/>
        </w:rPr>
        <w:t>based</w:t>
      </w:r>
      <w:r>
        <w:rPr>
          <w:color w:val="231F20"/>
          <w:spacing w:val="-7"/>
        </w:rPr>
        <w:t> </w:t>
      </w:r>
      <w:r>
        <w:rPr>
          <w:color w:val="231F20"/>
        </w:rPr>
        <w:t>on</w:t>
      </w:r>
      <w:r>
        <w:rPr>
          <w:color w:val="231F20"/>
          <w:spacing w:val="24"/>
          <w:w w:val="99"/>
        </w:rPr>
        <w:t> </w:t>
      </w:r>
      <w:r>
        <w:rPr>
          <w:color w:val="231F20"/>
        </w:rPr>
        <w:t>the</w:t>
      </w:r>
      <w:r>
        <w:rPr>
          <w:color w:val="231F20"/>
          <w:spacing w:val="-6"/>
        </w:rPr>
        <w:t> </w:t>
      </w:r>
      <w:r>
        <w:rPr>
          <w:color w:val="231F20"/>
          <w:spacing w:val="-2"/>
        </w:rPr>
        <w:t>TSS</w:t>
      </w:r>
      <w:r>
        <w:rPr>
          <w:color w:val="231F20"/>
          <w:spacing w:val="-4"/>
        </w:rPr>
        <w:t> </w:t>
      </w:r>
      <w:r>
        <w:rPr>
          <w:color w:val="231F20"/>
          <w:spacing w:val="-1"/>
        </w:rPr>
        <w:t>model.</w:t>
      </w:r>
      <w:r>
        <w:rPr>
          <w:color w:val="231F20"/>
          <w:spacing w:val="-5"/>
        </w:rPr>
        <w:t> </w:t>
      </w:r>
      <w:r>
        <w:rPr>
          <w:color w:val="231F20"/>
        </w:rPr>
        <w:t>More</w:t>
      </w:r>
      <w:r>
        <w:rPr>
          <w:color w:val="231F20"/>
          <w:spacing w:val="-4"/>
        </w:rPr>
        <w:t> </w:t>
      </w:r>
      <w:r>
        <w:rPr>
          <w:color w:val="231F20"/>
          <w:spacing w:val="-1"/>
        </w:rPr>
        <w:t>information</w:t>
      </w:r>
      <w:r>
        <w:rPr>
          <w:color w:val="231F20"/>
          <w:spacing w:val="-5"/>
        </w:rPr>
        <w:t> </w:t>
      </w:r>
      <w:r>
        <w:rPr>
          <w:color w:val="231F20"/>
        </w:rPr>
        <w:t>about</w:t>
      </w:r>
      <w:r>
        <w:rPr>
          <w:color w:val="231F20"/>
          <w:spacing w:val="-5"/>
        </w:rPr>
        <w:t> </w:t>
      </w:r>
      <w:r>
        <w:rPr>
          <w:color w:val="231F20"/>
        </w:rPr>
        <w:t>the</w:t>
      </w:r>
      <w:r>
        <w:rPr>
          <w:color w:val="231F20"/>
          <w:spacing w:val="24"/>
          <w:w w:val="99"/>
        </w:rPr>
        <w:t> </w:t>
      </w:r>
      <w:r>
        <w:rPr>
          <w:color w:val="231F20"/>
          <w:spacing w:val="-2"/>
        </w:rPr>
        <w:t>TSU</w:t>
      </w:r>
      <w:r>
        <w:rPr>
          <w:color w:val="231F20"/>
          <w:spacing w:val="-3"/>
        </w:rPr>
        <w:t> </w:t>
      </w:r>
      <w:r>
        <w:rPr>
          <w:color w:val="231F20"/>
        </w:rPr>
        <w:t>and</w:t>
      </w:r>
      <w:r>
        <w:rPr>
          <w:color w:val="231F20"/>
          <w:spacing w:val="-3"/>
        </w:rPr>
        <w:t> </w:t>
      </w:r>
      <w:r>
        <w:rPr>
          <w:color w:val="231F20"/>
          <w:spacing w:val="-1"/>
        </w:rPr>
        <w:t>its</w:t>
      </w:r>
      <w:r>
        <w:rPr>
          <w:color w:val="231F20"/>
          <w:spacing w:val="-2"/>
        </w:rPr>
        <w:t> </w:t>
      </w:r>
      <w:r>
        <w:rPr>
          <w:color w:val="231F20"/>
        </w:rPr>
        <w:t>role</w:t>
      </w:r>
      <w:r>
        <w:rPr>
          <w:color w:val="231F20"/>
          <w:spacing w:val="-3"/>
        </w:rPr>
        <w:t> </w:t>
      </w:r>
      <w:r>
        <w:rPr>
          <w:color w:val="231F20"/>
          <w:spacing w:val="-1"/>
        </w:rPr>
        <w:t>is</w:t>
      </w:r>
      <w:r>
        <w:rPr>
          <w:color w:val="231F20"/>
          <w:spacing w:val="-4"/>
        </w:rPr>
        <w:t> </w:t>
      </w:r>
      <w:r>
        <w:rPr>
          <w:color w:val="231F20"/>
          <w:spacing w:val="-1"/>
        </w:rPr>
        <w:t>set</w:t>
      </w:r>
      <w:r>
        <w:rPr>
          <w:color w:val="231F20"/>
          <w:spacing w:val="-2"/>
        </w:rPr>
        <w:t> </w:t>
      </w:r>
      <w:r>
        <w:rPr>
          <w:color w:val="231F20"/>
        </w:rPr>
        <w:t>out</w:t>
      </w:r>
      <w:r>
        <w:rPr>
          <w:color w:val="231F20"/>
          <w:spacing w:val="-2"/>
        </w:rPr>
        <w:t> </w:t>
      </w:r>
      <w:r>
        <w:rPr>
          <w:color w:val="231F20"/>
        </w:rPr>
        <w:t>on</w:t>
      </w:r>
      <w:r>
        <w:rPr>
          <w:color w:val="231F20"/>
          <w:spacing w:val="-2"/>
        </w:rPr>
        <w:t> </w:t>
      </w:r>
      <w:r>
        <w:rPr>
          <w:color w:val="231F20"/>
        </w:rPr>
        <w:t>page</w:t>
      </w:r>
      <w:r>
        <w:rPr>
          <w:color w:val="231F20"/>
          <w:spacing w:val="-4"/>
        </w:rPr>
        <w:t> </w:t>
      </w:r>
      <w:r>
        <w:rPr>
          <w:color w:val="231F20"/>
        </w:rPr>
        <w:t>52.</w:t>
      </w:r>
      <w:r>
        <w:rPr/>
      </w:r>
    </w:p>
    <w:p>
      <w:pPr>
        <w:spacing w:after="0" w:line="250" w:lineRule="exact"/>
        <w:jc w:val="left"/>
        <w:sectPr>
          <w:type w:val="continuous"/>
          <w:pgSz w:w="11910" w:h="16840"/>
          <w:pgMar w:top="1580" w:bottom="280" w:left="1600" w:right="1300"/>
          <w:cols w:num="2" w:equalWidth="0">
            <w:col w:w="4297" w:space="239"/>
            <w:col w:w="4474"/>
          </w:cols>
        </w:sectPr>
      </w:pPr>
    </w:p>
    <w:p>
      <w:pPr>
        <w:spacing w:line="240" w:lineRule="auto" w:before="0"/>
        <w:rPr>
          <w:rFonts w:ascii="Segoe UI" w:hAnsi="Segoe UI" w:cs="Segoe UI" w:eastAsia="Segoe UI"/>
          <w:sz w:val="20"/>
          <w:szCs w:val="20"/>
        </w:rPr>
      </w:pPr>
    </w:p>
    <w:p>
      <w:pPr>
        <w:spacing w:line="240" w:lineRule="auto" w:before="5"/>
        <w:rPr>
          <w:rFonts w:ascii="Segoe UI" w:hAnsi="Segoe UI" w:cs="Segoe UI" w:eastAsia="Segoe UI"/>
          <w:sz w:val="21"/>
          <w:szCs w:val="21"/>
        </w:rPr>
      </w:pPr>
    </w:p>
    <w:p>
      <w:pPr>
        <w:spacing w:after="0" w:line="240" w:lineRule="auto"/>
        <w:rPr>
          <w:rFonts w:ascii="Segoe UI" w:hAnsi="Segoe UI" w:cs="Segoe UI" w:eastAsia="Segoe UI"/>
          <w:sz w:val="21"/>
          <w:szCs w:val="21"/>
        </w:rPr>
        <w:sectPr>
          <w:pgSz w:w="11910" w:h="16840"/>
          <w:pgMar w:header="0" w:footer="691" w:top="1580" w:bottom="880" w:left="1300" w:right="1600"/>
        </w:sectPr>
      </w:pPr>
    </w:p>
    <w:p>
      <w:pPr>
        <w:spacing w:line="240" w:lineRule="auto" w:before="0"/>
        <w:rPr>
          <w:rFonts w:ascii="Segoe UI" w:hAnsi="Segoe UI" w:cs="Segoe UI" w:eastAsia="Segoe UI"/>
          <w:sz w:val="9"/>
          <w:szCs w:val="9"/>
        </w:rPr>
      </w:pPr>
    </w:p>
    <w:p>
      <w:pPr>
        <w:spacing w:line="200" w:lineRule="atLeast"/>
        <w:ind w:left="131" w:right="0" w:firstLine="0"/>
        <w:rPr>
          <w:rFonts w:ascii="Segoe UI" w:hAnsi="Segoe UI" w:cs="Segoe UI" w:eastAsia="Segoe UI"/>
          <w:sz w:val="20"/>
          <w:szCs w:val="20"/>
        </w:rPr>
      </w:pPr>
      <w:r>
        <w:rPr>
          <w:rFonts w:ascii="Segoe UI" w:hAnsi="Segoe UI" w:cs="Segoe UI" w:eastAsia="Segoe UI"/>
          <w:sz w:val="20"/>
          <w:szCs w:val="20"/>
        </w:rPr>
        <w:drawing>
          <wp:inline distT="0" distB="0" distL="0" distR="0">
            <wp:extent cx="2688286" cy="2237231"/>
            <wp:effectExtent l="0" t="0" r="0" b="0"/>
            <wp:docPr id="21" name="image43.jpeg" descr=""/>
            <wp:cNvGraphicFramePr>
              <a:graphicFrameLocks noChangeAspect="1"/>
            </wp:cNvGraphicFramePr>
            <a:graphic>
              <a:graphicData uri="http://schemas.openxmlformats.org/drawingml/2006/picture">
                <pic:pic>
                  <pic:nvPicPr>
                    <pic:cNvPr id="22" name="image43.jpeg"/>
                    <pic:cNvPicPr/>
                  </pic:nvPicPr>
                  <pic:blipFill>
                    <a:blip r:embed="rId102" cstate="print"/>
                    <a:stretch>
                      <a:fillRect/>
                    </a:stretch>
                  </pic:blipFill>
                  <pic:spPr>
                    <a:xfrm>
                      <a:off x="0" y="0"/>
                      <a:ext cx="2688286" cy="2237231"/>
                    </a:xfrm>
                    <a:prstGeom prst="rect">
                      <a:avLst/>
                    </a:prstGeom>
                  </pic:spPr>
                </pic:pic>
              </a:graphicData>
            </a:graphic>
          </wp:inline>
        </w:drawing>
      </w:r>
      <w:r>
        <w:rPr>
          <w:rFonts w:ascii="Segoe UI" w:hAnsi="Segoe UI" w:cs="Segoe UI" w:eastAsia="Segoe UI"/>
          <w:sz w:val="20"/>
          <w:szCs w:val="20"/>
        </w:rPr>
      </w:r>
    </w:p>
    <w:p>
      <w:pPr>
        <w:spacing w:line="240" w:lineRule="auto" w:before="4"/>
        <w:rPr>
          <w:rFonts w:ascii="Segoe UI" w:hAnsi="Segoe UI" w:cs="Segoe UI" w:eastAsia="Segoe UI"/>
          <w:sz w:val="29"/>
          <w:szCs w:val="29"/>
        </w:rPr>
      </w:pPr>
    </w:p>
    <w:p>
      <w:pPr>
        <w:pStyle w:val="Heading4"/>
        <w:spacing w:line="240" w:lineRule="auto"/>
        <w:ind w:left="117" w:right="63"/>
        <w:jc w:val="left"/>
      </w:pPr>
      <w:r>
        <w:rPr>
          <w:color w:val="452A70"/>
          <w:spacing w:val="-1"/>
        </w:rPr>
        <w:t>Department</w:t>
      </w:r>
      <w:r>
        <w:rPr>
          <w:color w:val="452A70"/>
          <w:spacing w:val="-10"/>
        </w:rPr>
        <w:t> </w:t>
      </w:r>
      <w:r>
        <w:rPr>
          <w:color w:val="452A70"/>
        </w:rPr>
        <w:t>of</w:t>
      </w:r>
      <w:r>
        <w:rPr>
          <w:color w:val="452A70"/>
          <w:spacing w:val="-10"/>
        </w:rPr>
        <w:t> </w:t>
      </w:r>
      <w:r>
        <w:rPr>
          <w:color w:val="452A70"/>
        </w:rPr>
        <w:t>Education</w:t>
      </w:r>
      <w:r>
        <w:rPr>
          <w:color w:val="452A70"/>
          <w:spacing w:val="-11"/>
        </w:rPr>
        <w:t> </w:t>
      </w:r>
      <w:r>
        <w:rPr>
          <w:color w:val="452A70"/>
        </w:rPr>
        <w:t>(NT)</w:t>
      </w:r>
      <w:r>
        <w:rPr/>
      </w:r>
    </w:p>
    <w:p>
      <w:pPr>
        <w:pStyle w:val="BodyText"/>
        <w:spacing w:line="250" w:lineRule="exact" w:before="131"/>
        <w:ind w:right="10"/>
        <w:jc w:val="left"/>
      </w:pPr>
      <w:r>
        <w:rPr>
          <w:color w:val="231F20"/>
          <w:spacing w:val="-1"/>
        </w:rPr>
        <w:t>With</w:t>
      </w:r>
      <w:r>
        <w:rPr>
          <w:color w:val="231F20"/>
          <w:spacing w:val="-3"/>
        </w:rPr>
        <w:t> </w:t>
      </w:r>
      <w:r>
        <w:rPr>
          <w:color w:val="231F20"/>
        </w:rPr>
        <w:t>almost</w:t>
      </w:r>
      <w:r>
        <w:rPr>
          <w:color w:val="231F20"/>
          <w:spacing w:val="-4"/>
        </w:rPr>
        <w:t> </w:t>
      </w:r>
      <w:r>
        <w:rPr>
          <w:color w:val="231F20"/>
          <w:spacing w:val="-1"/>
        </w:rPr>
        <w:t>40</w:t>
      </w:r>
      <w:r>
        <w:rPr>
          <w:color w:val="231F20"/>
          <w:spacing w:val="-2"/>
        </w:rPr>
        <w:t> </w:t>
      </w:r>
      <w:r>
        <w:rPr>
          <w:color w:val="231F20"/>
        </w:rPr>
        <w:t>per</w:t>
      </w:r>
      <w:r>
        <w:rPr>
          <w:color w:val="231F20"/>
          <w:spacing w:val="-3"/>
        </w:rPr>
        <w:t> </w:t>
      </w:r>
      <w:r>
        <w:rPr>
          <w:color w:val="231F20"/>
        </w:rPr>
        <w:t>cent</w:t>
      </w:r>
      <w:r>
        <w:rPr>
          <w:color w:val="231F20"/>
          <w:spacing w:val="-4"/>
        </w:rPr>
        <w:t> </w:t>
      </w:r>
      <w:r>
        <w:rPr>
          <w:color w:val="231F20"/>
        </w:rPr>
        <w:t>of</w:t>
      </w:r>
      <w:r>
        <w:rPr>
          <w:color w:val="231F20"/>
          <w:spacing w:val="-2"/>
        </w:rPr>
        <w:t> </w:t>
      </w:r>
      <w:r>
        <w:rPr>
          <w:color w:val="231F20"/>
        </w:rPr>
        <w:t>all</w:t>
      </w:r>
      <w:r>
        <w:rPr>
          <w:color w:val="231F20"/>
          <w:spacing w:val="-4"/>
        </w:rPr>
        <w:t> </w:t>
      </w:r>
      <w:r>
        <w:rPr>
          <w:color w:val="231F20"/>
        </w:rPr>
        <w:t>Aboriginal</w:t>
      </w:r>
      <w:r>
        <w:rPr>
          <w:color w:val="231F20"/>
          <w:spacing w:val="-2"/>
        </w:rPr>
        <w:t> </w:t>
      </w:r>
      <w:r>
        <w:rPr>
          <w:color w:val="231F20"/>
        </w:rPr>
        <w:t>and</w:t>
      </w:r>
      <w:r>
        <w:rPr>
          <w:color w:val="231F20"/>
          <w:spacing w:val="22"/>
          <w:w w:val="99"/>
        </w:rPr>
        <w:t> </w:t>
      </w:r>
      <w:r>
        <w:rPr>
          <w:color w:val="231F20"/>
          <w:spacing w:val="-5"/>
        </w:rPr>
        <w:t>Torres </w:t>
      </w:r>
      <w:r>
        <w:rPr>
          <w:color w:val="231F20"/>
          <w:spacing w:val="-2"/>
        </w:rPr>
        <w:t>Strait</w:t>
      </w:r>
      <w:r>
        <w:rPr>
          <w:color w:val="231F20"/>
          <w:spacing w:val="-6"/>
        </w:rPr>
        <w:t> </w:t>
      </w:r>
      <w:r>
        <w:rPr>
          <w:color w:val="231F20"/>
          <w:spacing w:val="-1"/>
        </w:rPr>
        <w:t>Islander</w:t>
      </w:r>
      <w:r>
        <w:rPr>
          <w:color w:val="231F20"/>
          <w:spacing w:val="-4"/>
        </w:rPr>
        <w:t> </w:t>
      </w:r>
      <w:r>
        <w:rPr>
          <w:color w:val="231F20"/>
        </w:rPr>
        <w:t>boarders</w:t>
      </w:r>
      <w:r>
        <w:rPr>
          <w:color w:val="231F20"/>
          <w:spacing w:val="-6"/>
        </w:rPr>
        <w:t> </w:t>
      </w:r>
      <w:r>
        <w:rPr>
          <w:color w:val="231F20"/>
        </w:rPr>
        <w:t>resident</w:t>
      </w:r>
      <w:r>
        <w:rPr>
          <w:color w:val="231F20"/>
          <w:spacing w:val="-6"/>
        </w:rPr>
        <w:t> </w:t>
      </w:r>
      <w:r>
        <w:rPr>
          <w:color w:val="231F20"/>
          <w:spacing w:val="-1"/>
        </w:rPr>
        <w:t>in</w:t>
      </w:r>
      <w:r>
        <w:rPr>
          <w:color w:val="231F20"/>
          <w:spacing w:val="-4"/>
        </w:rPr>
        <w:t> </w:t>
      </w:r>
      <w:r>
        <w:rPr>
          <w:color w:val="231F20"/>
        </w:rPr>
        <w:t>the</w:t>
      </w:r>
      <w:r>
        <w:rPr>
          <w:color w:val="231F20"/>
          <w:spacing w:val="23"/>
          <w:w w:val="99"/>
        </w:rPr>
        <w:t> </w:t>
      </w:r>
      <w:r>
        <w:rPr>
          <w:color w:val="231F20"/>
        </w:rPr>
        <w:t>Northern</w:t>
      </w:r>
      <w:r>
        <w:rPr>
          <w:color w:val="231F20"/>
          <w:spacing w:val="-8"/>
        </w:rPr>
        <w:t> </w:t>
      </w:r>
      <w:r>
        <w:rPr>
          <w:color w:val="231F20"/>
          <w:spacing w:val="-2"/>
        </w:rPr>
        <w:t>Territory,</w:t>
      </w:r>
      <w:r>
        <w:rPr>
          <w:color w:val="231F20"/>
          <w:spacing w:val="-9"/>
        </w:rPr>
        <w:t> </w:t>
      </w:r>
      <w:r>
        <w:rPr>
          <w:color w:val="231F20"/>
        </w:rPr>
        <w:t>the</w:t>
      </w:r>
      <w:r>
        <w:rPr>
          <w:color w:val="231F20"/>
          <w:spacing w:val="-8"/>
        </w:rPr>
        <w:t> </w:t>
      </w:r>
      <w:r>
        <w:rPr>
          <w:color w:val="231F20"/>
          <w:spacing w:val="-1"/>
        </w:rPr>
        <w:t>Department</w:t>
      </w:r>
      <w:r>
        <w:rPr>
          <w:color w:val="231F20"/>
          <w:spacing w:val="-8"/>
        </w:rPr>
        <w:t> </w:t>
      </w:r>
      <w:r>
        <w:rPr>
          <w:color w:val="231F20"/>
        </w:rPr>
        <w:t>of</w:t>
      </w:r>
      <w:r>
        <w:rPr>
          <w:color w:val="231F20"/>
          <w:spacing w:val="-8"/>
        </w:rPr>
        <w:t> </w:t>
      </w:r>
      <w:r>
        <w:rPr>
          <w:color w:val="231F20"/>
        </w:rPr>
        <w:t>Education</w:t>
      </w:r>
      <w:r>
        <w:rPr>
          <w:color w:val="231F20"/>
          <w:spacing w:val="22"/>
          <w:w w:val="99"/>
        </w:rPr>
        <w:t> </w:t>
      </w:r>
      <w:r>
        <w:rPr>
          <w:color w:val="231F20"/>
        </w:rPr>
        <w:t>(NT)</w:t>
      </w:r>
      <w:r>
        <w:rPr>
          <w:color w:val="231F20"/>
          <w:spacing w:val="-6"/>
        </w:rPr>
        <w:t> </w:t>
      </w:r>
      <w:r>
        <w:rPr>
          <w:color w:val="231F20"/>
        </w:rPr>
        <w:t>plays</w:t>
      </w:r>
      <w:r>
        <w:rPr>
          <w:color w:val="231F20"/>
          <w:spacing w:val="-6"/>
        </w:rPr>
        <w:t> </w:t>
      </w:r>
      <w:r>
        <w:rPr>
          <w:color w:val="231F20"/>
        </w:rPr>
        <w:t>an</w:t>
      </w:r>
      <w:r>
        <w:rPr>
          <w:color w:val="231F20"/>
          <w:spacing w:val="-5"/>
        </w:rPr>
        <w:t> </w:t>
      </w:r>
      <w:r>
        <w:rPr>
          <w:color w:val="231F20"/>
          <w:spacing w:val="-1"/>
        </w:rPr>
        <w:t>important</w:t>
      </w:r>
      <w:r>
        <w:rPr>
          <w:color w:val="231F20"/>
          <w:spacing w:val="-5"/>
        </w:rPr>
        <w:t> </w:t>
      </w:r>
      <w:r>
        <w:rPr>
          <w:color w:val="231F20"/>
        </w:rPr>
        <w:t>role</w:t>
      </w:r>
      <w:r>
        <w:rPr>
          <w:color w:val="231F20"/>
          <w:spacing w:val="-6"/>
        </w:rPr>
        <w:t> </w:t>
      </w:r>
      <w:r>
        <w:rPr>
          <w:color w:val="231F20"/>
          <w:spacing w:val="-1"/>
        </w:rPr>
        <w:t>in</w:t>
      </w:r>
      <w:r>
        <w:rPr>
          <w:color w:val="231F20"/>
          <w:spacing w:val="-4"/>
        </w:rPr>
        <w:t> </w:t>
      </w:r>
      <w:r>
        <w:rPr>
          <w:color w:val="231F20"/>
          <w:spacing w:val="-1"/>
        </w:rPr>
        <w:t>supporting</w:t>
      </w:r>
      <w:r>
        <w:rPr>
          <w:color w:val="231F20"/>
          <w:spacing w:val="22"/>
          <w:w w:val="99"/>
        </w:rPr>
        <w:t> </w:t>
      </w:r>
      <w:r>
        <w:rPr>
          <w:color w:val="231F20"/>
        </w:rPr>
        <w:t>Aboriginal</w:t>
      </w:r>
      <w:r>
        <w:rPr>
          <w:color w:val="231F20"/>
          <w:spacing w:val="-6"/>
        </w:rPr>
        <w:t> </w:t>
      </w:r>
      <w:r>
        <w:rPr>
          <w:color w:val="231F20"/>
          <w:spacing w:val="-1"/>
        </w:rPr>
        <w:t>students</w:t>
      </w:r>
      <w:r>
        <w:rPr>
          <w:color w:val="231F20"/>
          <w:spacing w:val="-6"/>
        </w:rPr>
        <w:t> </w:t>
      </w:r>
      <w:r>
        <w:rPr>
          <w:color w:val="231F20"/>
        </w:rPr>
        <w:t>to</w:t>
      </w:r>
      <w:r>
        <w:rPr>
          <w:color w:val="231F20"/>
          <w:spacing w:val="-6"/>
        </w:rPr>
        <w:t> </w:t>
      </w:r>
      <w:r>
        <w:rPr>
          <w:color w:val="231F20"/>
        </w:rPr>
        <w:t>attend</w:t>
      </w:r>
      <w:r>
        <w:rPr>
          <w:color w:val="231F20"/>
          <w:spacing w:val="-6"/>
        </w:rPr>
        <w:t> </w:t>
      </w:r>
      <w:r>
        <w:rPr>
          <w:color w:val="231F20"/>
        </w:rPr>
        <w:t>boarding.</w:t>
      </w:r>
      <w:r>
        <w:rPr>
          <w:color w:val="231F20"/>
          <w:spacing w:val="-7"/>
        </w:rPr>
        <w:t> </w:t>
      </w:r>
      <w:r>
        <w:rPr>
          <w:color w:val="231F20"/>
        </w:rPr>
        <w:t>The</w:t>
      </w:r>
      <w:r>
        <w:rPr>
          <w:color w:val="231F20"/>
          <w:spacing w:val="22"/>
          <w:w w:val="99"/>
        </w:rPr>
        <w:t> </w:t>
      </w:r>
      <w:r>
        <w:rPr>
          <w:color w:val="231F20"/>
        </w:rPr>
        <w:t>department</w:t>
      </w:r>
      <w:r>
        <w:rPr>
          <w:color w:val="231F20"/>
          <w:spacing w:val="-9"/>
        </w:rPr>
        <w:t> </w:t>
      </w:r>
      <w:r>
        <w:rPr>
          <w:color w:val="231F20"/>
          <w:spacing w:val="-1"/>
        </w:rPr>
        <w:t>leads</w:t>
      </w:r>
      <w:r>
        <w:rPr>
          <w:color w:val="231F20"/>
          <w:spacing w:val="-7"/>
        </w:rPr>
        <w:t> </w:t>
      </w:r>
      <w:r>
        <w:rPr>
          <w:color w:val="231F20"/>
        </w:rPr>
        <w:t>the</w:t>
      </w:r>
      <w:r>
        <w:rPr>
          <w:color w:val="231F20"/>
          <w:spacing w:val="-8"/>
        </w:rPr>
        <w:t> </w:t>
      </w:r>
      <w:r>
        <w:rPr>
          <w:color w:val="231F20"/>
        </w:rPr>
        <w:t>Northern</w:t>
      </w:r>
      <w:r>
        <w:rPr>
          <w:color w:val="231F20"/>
          <w:spacing w:val="-7"/>
        </w:rPr>
        <w:t> </w:t>
      </w:r>
      <w:r>
        <w:rPr>
          <w:color w:val="231F20"/>
          <w:spacing w:val="-3"/>
        </w:rPr>
        <w:t>Territory</w:t>
      </w:r>
      <w:r>
        <w:rPr>
          <w:color w:val="231F20"/>
          <w:spacing w:val="27"/>
          <w:w w:val="99"/>
        </w:rPr>
        <w:t> </w:t>
      </w:r>
      <w:r>
        <w:rPr>
          <w:color w:val="231F20"/>
        </w:rPr>
        <w:t>Government’s</w:t>
      </w:r>
      <w:r>
        <w:rPr>
          <w:color w:val="231F20"/>
          <w:spacing w:val="-8"/>
        </w:rPr>
        <w:t> </w:t>
      </w:r>
      <w:r>
        <w:rPr>
          <w:color w:val="231F20"/>
        </w:rPr>
        <w:t>policy</w:t>
      </w:r>
      <w:r>
        <w:rPr>
          <w:color w:val="231F20"/>
          <w:spacing w:val="-9"/>
        </w:rPr>
        <w:t> </w:t>
      </w:r>
      <w:r>
        <w:rPr>
          <w:color w:val="231F20"/>
        </w:rPr>
        <w:t>work</w:t>
      </w:r>
      <w:r>
        <w:rPr>
          <w:color w:val="231F20"/>
          <w:spacing w:val="-9"/>
        </w:rPr>
        <w:t> </w:t>
      </w:r>
      <w:r>
        <w:rPr>
          <w:color w:val="231F20"/>
        </w:rPr>
        <w:t>around</w:t>
      </w:r>
      <w:r>
        <w:rPr>
          <w:color w:val="231F20"/>
          <w:spacing w:val="-9"/>
        </w:rPr>
        <w:t> </w:t>
      </w:r>
      <w:r>
        <w:rPr>
          <w:color w:val="231F20"/>
        </w:rPr>
        <w:t>boarding,</w:t>
      </w:r>
      <w:r>
        <w:rPr>
          <w:color w:val="231F20"/>
          <w:w w:val="99"/>
        </w:rPr>
        <w:t> </w:t>
      </w:r>
      <w:r>
        <w:rPr>
          <w:color w:val="231F20"/>
        </w:rPr>
        <w:t>commissioned</w:t>
      </w:r>
      <w:r>
        <w:rPr>
          <w:color w:val="231F20"/>
          <w:spacing w:val="-4"/>
        </w:rPr>
        <w:t> </w:t>
      </w:r>
      <w:r>
        <w:rPr>
          <w:color w:val="231F20"/>
        </w:rPr>
        <w:t>the</w:t>
      </w:r>
      <w:r>
        <w:rPr>
          <w:color w:val="231F20"/>
          <w:spacing w:val="-3"/>
        </w:rPr>
        <w:t> </w:t>
      </w:r>
      <w:r>
        <w:rPr>
          <w:color w:val="231F20"/>
          <w:spacing w:val="-1"/>
        </w:rPr>
        <w:t>KPMG</w:t>
      </w:r>
      <w:r>
        <w:rPr>
          <w:color w:val="231F20"/>
          <w:spacing w:val="-2"/>
        </w:rPr>
        <w:t> </w:t>
      </w:r>
      <w:r>
        <w:rPr>
          <w:color w:val="231F20"/>
        </w:rPr>
        <w:t>review</w:t>
      </w:r>
      <w:r>
        <w:rPr>
          <w:color w:val="231F20"/>
          <w:spacing w:val="-3"/>
        </w:rPr>
        <w:t> </w:t>
      </w:r>
      <w:r>
        <w:rPr>
          <w:color w:val="231F20"/>
        </w:rPr>
        <w:t>of</w:t>
      </w:r>
      <w:r>
        <w:rPr>
          <w:color w:val="231F20"/>
          <w:spacing w:val="-2"/>
        </w:rPr>
        <w:t> </w:t>
      </w:r>
      <w:r>
        <w:rPr>
          <w:color w:val="231F20"/>
          <w:spacing w:val="-1"/>
        </w:rPr>
        <w:t>seven</w:t>
      </w:r>
      <w:r>
        <w:rPr>
          <w:color w:val="231F20"/>
          <w:spacing w:val="21"/>
        </w:rPr>
        <w:t> </w:t>
      </w:r>
      <w:r>
        <w:rPr>
          <w:color w:val="231F20"/>
        </w:rPr>
        <w:t>Northern</w:t>
      </w:r>
      <w:r>
        <w:rPr>
          <w:color w:val="231F20"/>
          <w:spacing w:val="-5"/>
        </w:rPr>
        <w:t> </w:t>
      </w:r>
      <w:r>
        <w:rPr>
          <w:color w:val="231F20"/>
          <w:spacing w:val="-3"/>
        </w:rPr>
        <w:t>Territory</w:t>
      </w:r>
      <w:r>
        <w:rPr>
          <w:color w:val="231F20"/>
          <w:spacing w:val="-5"/>
        </w:rPr>
        <w:t> </w:t>
      </w:r>
      <w:r>
        <w:rPr>
          <w:color w:val="231F20"/>
        </w:rPr>
        <w:t>boarding</w:t>
      </w:r>
      <w:r>
        <w:rPr>
          <w:color w:val="231F20"/>
          <w:spacing w:val="-6"/>
        </w:rPr>
        <w:t> </w:t>
      </w:r>
      <w:r>
        <w:rPr>
          <w:color w:val="231F20"/>
          <w:spacing w:val="-1"/>
        </w:rPr>
        <w:t>schools</w:t>
      </w:r>
      <w:r>
        <w:rPr>
          <w:color w:val="231F20"/>
          <w:spacing w:val="-4"/>
        </w:rPr>
        <w:t> </w:t>
      </w:r>
      <w:r>
        <w:rPr>
          <w:color w:val="231F20"/>
          <w:spacing w:val="-1"/>
        </w:rPr>
        <w:t>in</w:t>
      </w:r>
      <w:r>
        <w:rPr>
          <w:color w:val="231F20"/>
          <w:spacing w:val="-5"/>
        </w:rPr>
        <w:t> </w:t>
      </w:r>
      <w:r>
        <w:rPr>
          <w:color w:val="231F20"/>
          <w:spacing w:val="-1"/>
        </w:rPr>
        <w:t>2016,</w:t>
      </w:r>
      <w:r>
        <w:rPr>
          <w:color w:val="231F20"/>
          <w:spacing w:val="29"/>
        </w:rPr>
        <w:t> </w:t>
      </w:r>
      <w:r>
        <w:rPr>
          <w:color w:val="231F20"/>
        </w:rPr>
        <w:t>auspices</w:t>
      </w:r>
      <w:r>
        <w:rPr>
          <w:color w:val="231F20"/>
          <w:spacing w:val="-6"/>
        </w:rPr>
        <w:t> </w:t>
      </w:r>
      <w:r>
        <w:rPr>
          <w:color w:val="231F20"/>
        </w:rPr>
        <w:t>the</w:t>
      </w:r>
      <w:r>
        <w:rPr>
          <w:color w:val="231F20"/>
          <w:spacing w:val="-5"/>
        </w:rPr>
        <w:t> </w:t>
      </w:r>
      <w:r>
        <w:rPr>
          <w:color w:val="231F20"/>
          <w:spacing w:val="-2"/>
        </w:rPr>
        <w:t>TSU,</w:t>
      </w:r>
      <w:r>
        <w:rPr>
          <w:color w:val="231F20"/>
          <w:spacing w:val="-4"/>
        </w:rPr>
        <w:t> </w:t>
      </w:r>
      <w:r>
        <w:rPr>
          <w:color w:val="231F20"/>
        </w:rPr>
        <w:t>provides</w:t>
      </w:r>
      <w:r>
        <w:rPr>
          <w:color w:val="231F20"/>
          <w:spacing w:val="-5"/>
        </w:rPr>
        <w:t> </w:t>
      </w:r>
      <w:r>
        <w:rPr>
          <w:color w:val="231F20"/>
        </w:rPr>
        <w:t>direct</w:t>
      </w:r>
      <w:r>
        <w:rPr>
          <w:color w:val="231F20"/>
          <w:spacing w:val="-5"/>
        </w:rPr>
        <w:t> </w:t>
      </w:r>
      <w:r>
        <w:rPr>
          <w:color w:val="231F20"/>
        </w:rPr>
        <w:t>funding</w:t>
      </w:r>
      <w:r>
        <w:rPr>
          <w:color w:val="231F20"/>
          <w:spacing w:val="-5"/>
        </w:rPr>
        <w:t> </w:t>
      </w:r>
      <w:r>
        <w:rPr>
          <w:color w:val="231F20"/>
        </w:rPr>
        <w:t>to</w:t>
      </w:r>
      <w:r>
        <w:rPr>
          <w:color w:val="231F20"/>
          <w:spacing w:val="23"/>
          <w:w w:val="99"/>
        </w:rPr>
        <w:t> </w:t>
      </w:r>
      <w:r>
        <w:rPr>
          <w:color w:val="231F20"/>
        </w:rPr>
        <w:t>boarding</w:t>
      </w:r>
      <w:r>
        <w:rPr>
          <w:color w:val="231F20"/>
          <w:spacing w:val="-8"/>
        </w:rPr>
        <w:t> </w:t>
      </w:r>
      <w:r>
        <w:rPr>
          <w:color w:val="231F20"/>
        </w:rPr>
        <w:t>providers</w:t>
      </w:r>
      <w:r>
        <w:rPr>
          <w:color w:val="231F20"/>
          <w:spacing w:val="-7"/>
        </w:rPr>
        <w:t> </w:t>
      </w:r>
      <w:r>
        <w:rPr>
          <w:color w:val="231F20"/>
          <w:spacing w:val="-1"/>
        </w:rPr>
        <w:t>in</w:t>
      </w:r>
      <w:r>
        <w:rPr>
          <w:color w:val="231F20"/>
          <w:spacing w:val="-6"/>
        </w:rPr>
        <w:t> </w:t>
      </w:r>
      <w:r>
        <w:rPr>
          <w:color w:val="231F20"/>
        </w:rPr>
        <w:t>the</w:t>
      </w:r>
      <w:r>
        <w:rPr>
          <w:color w:val="231F20"/>
          <w:spacing w:val="-8"/>
        </w:rPr>
        <w:t> </w:t>
      </w:r>
      <w:r>
        <w:rPr>
          <w:color w:val="231F20"/>
        </w:rPr>
        <w:t>Northern</w:t>
      </w:r>
      <w:r>
        <w:rPr>
          <w:color w:val="231F20"/>
          <w:spacing w:val="-6"/>
        </w:rPr>
        <w:t> </w:t>
      </w:r>
      <w:r>
        <w:rPr>
          <w:color w:val="231F20"/>
          <w:spacing w:val="-3"/>
        </w:rPr>
        <w:t>Territory</w:t>
      </w:r>
      <w:r>
        <w:rPr>
          <w:color w:val="231F20"/>
          <w:spacing w:val="-7"/>
        </w:rPr>
        <w:t> </w:t>
      </w:r>
      <w:r>
        <w:rPr>
          <w:color w:val="231F20"/>
          <w:spacing w:val="-7"/>
        </w:rPr>
      </w:r>
      <w:r>
        <w:rPr>
          <w:color w:val="231F20"/>
        </w:rPr>
        <w:t>and</w:t>
      </w:r>
      <w:r>
        <w:rPr>
          <w:color w:val="231F20"/>
          <w:spacing w:val="26"/>
        </w:rPr>
        <w:t> </w:t>
      </w:r>
      <w:r>
        <w:rPr>
          <w:color w:val="231F20"/>
        </w:rPr>
        <w:t>operates</w:t>
      </w:r>
      <w:r>
        <w:rPr>
          <w:color w:val="231F20"/>
          <w:spacing w:val="-8"/>
        </w:rPr>
        <w:t> </w:t>
      </w:r>
      <w:r>
        <w:rPr>
          <w:color w:val="231F20"/>
        </w:rPr>
        <w:t>the</w:t>
      </w:r>
      <w:r>
        <w:rPr>
          <w:color w:val="231F20"/>
          <w:spacing w:val="-7"/>
        </w:rPr>
        <w:t> </w:t>
      </w:r>
      <w:r>
        <w:rPr>
          <w:color w:val="231F20"/>
        </w:rPr>
        <w:t>Nhulunbuy</w:t>
      </w:r>
      <w:r>
        <w:rPr>
          <w:color w:val="231F20"/>
          <w:spacing w:val="-6"/>
        </w:rPr>
        <w:t> </w:t>
      </w:r>
      <w:r>
        <w:rPr>
          <w:color w:val="231F20"/>
        </w:rPr>
        <w:t>High</w:t>
      </w:r>
      <w:r>
        <w:rPr>
          <w:color w:val="231F20"/>
          <w:spacing w:val="-7"/>
        </w:rPr>
        <w:t> </w:t>
      </w:r>
      <w:r>
        <w:rPr>
          <w:color w:val="231F20"/>
          <w:spacing w:val="-1"/>
        </w:rPr>
        <w:t>School</w:t>
      </w:r>
      <w:r>
        <w:rPr>
          <w:color w:val="231F20"/>
          <w:spacing w:val="-1"/>
        </w:rPr>
        <w:t> </w:t>
      </w:r>
      <w:r>
        <w:rPr>
          <w:color w:val="231F20"/>
          <w:spacing w:val="3"/>
        </w:rPr>
        <w:t>       </w:t>
      </w:r>
      <w:r>
        <w:rPr>
          <w:color w:val="231F20"/>
          <w:spacing w:val="-1"/>
        </w:rPr>
        <w:t>Dawurr</w:t>
      </w:r>
      <w:r>
        <w:rPr>
          <w:color w:val="231F20"/>
          <w:spacing w:val="-6"/>
        </w:rPr>
        <w:t> </w:t>
      </w:r>
      <w:r>
        <w:rPr>
          <w:color w:val="231F20"/>
        </w:rPr>
        <w:t>boarding</w:t>
      </w:r>
      <w:r>
        <w:rPr>
          <w:color w:val="231F20"/>
          <w:spacing w:val="-7"/>
        </w:rPr>
        <w:t> </w:t>
      </w:r>
      <w:r>
        <w:rPr>
          <w:color w:val="231F20"/>
        </w:rPr>
        <w:t>facility</w:t>
      </w:r>
      <w:r>
        <w:rPr>
          <w:color w:val="231F20"/>
          <w:spacing w:val="-6"/>
        </w:rPr>
        <w:t> </w:t>
      </w:r>
      <w:r>
        <w:rPr>
          <w:color w:val="231F20"/>
          <w:spacing w:val="-1"/>
        </w:rPr>
        <w:t>in</w:t>
      </w:r>
      <w:r>
        <w:rPr>
          <w:color w:val="231F20"/>
          <w:spacing w:val="-6"/>
        </w:rPr>
        <w:t> </w:t>
      </w:r>
      <w:r>
        <w:rPr>
          <w:color w:val="231F20"/>
        </w:rPr>
        <w:t>Nhulunbuy,</w:t>
      </w:r>
      <w:r>
        <w:rPr>
          <w:color w:val="231F20"/>
          <w:spacing w:val="-6"/>
        </w:rPr>
        <w:t> </w:t>
      </w:r>
      <w:r>
        <w:rPr>
          <w:color w:val="231F20"/>
        </w:rPr>
        <w:t>that</w:t>
      </w:r>
      <w:r>
        <w:rPr/>
      </w:r>
    </w:p>
    <w:p>
      <w:pPr>
        <w:pStyle w:val="BodyText"/>
        <w:spacing w:line="250" w:lineRule="exact"/>
        <w:ind w:right="63"/>
        <w:jc w:val="left"/>
      </w:pPr>
      <w:r>
        <w:rPr>
          <w:color w:val="231F20"/>
        </w:rPr>
        <w:t>was</w:t>
      </w:r>
      <w:r>
        <w:rPr>
          <w:color w:val="231F20"/>
          <w:spacing w:val="-5"/>
        </w:rPr>
        <w:t> </w:t>
      </w:r>
      <w:r>
        <w:rPr>
          <w:color w:val="231F20"/>
        </w:rPr>
        <w:t>opened</w:t>
      </w:r>
      <w:r>
        <w:rPr>
          <w:color w:val="231F20"/>
          <w:spacing w:val="-4"/>
        </w:rPr>
        <w:t> </w:t>
      </w:r>
      <w:r>
        <w:rPr>
          <w:color w:val="231F20"/>
          <w:spacing w:val="-1"/>
        </w:rPr>
        <w:t>in</w:t>
      </w:r>
      <w:r>
        <w:rPr>
          <w:color w:val="231F20"/>
          <w:spacing w:val="-4"/>
        </w:rPr>
        <w:t> </w:t>
      </w:r>
      <w:r>
        <w:rPr>
          <w:color w:val="231F20"/>
        </w:rPr>
        <w:t>2017.</w:t>
      </w:r>
      <w:r>
        <w:rPr/>
      </w:r>
    </w:p>
    <w:p>
      <w:pPr>
        <w:pStyle w:val="Heading4"/>
        <w:spacing w:line="240" w:lineRule="auto" w:before="35"/>
        <w:ind w:left="117" w:right="0"/>
        <w:jc w:val="left"/>
      </w:pPr>
      <w:r>
        <w:rPr/>
        <w:br w:type="column"/>
      </w:r>
      <w:r>
        <w:rPr>
          <w:color w:val="452A70"/>
          <w:spacing w:val="-1"/>
        </w:rPr>
        <w:t>Wiltja</w:t>
      </w:r>
      <w:r>
        <w:rPr>
          <w:color w:val="452A70"/>
          <w:spacing w:val="-7"/>
        </w:rPr>
        <w:t> </w:t>
      </w:r>
      <w:r>
        <w:rPr>
          <w:color w:val="452A70"/>
          <w:spacing w:val="-1"/>
        </w:rPr>
        <w:t>Boarding</w:t>
      </w:r>
      <w:r>
        <w:rPr>
          <w:color w:val="452A70"/>
          <w:spacing w:val="-7"/>
        </w:rPr>
        <w:t> </w:t>
      </w:r>
      <w:r>
        <w:rPr>
          <w:color w:val="452A70"/>
        </w:rPr>
        <w:t>(SA)</w:t>
      </w:r>
      <w:r>
        <w:rPr/>
      </w:r>
    </w:p>
    <w:p>
      <w:pPr>
        <w:pStyle w:val="BodyText"/>
        <w:spacing w:line="250" w:lineRule="exact" w:before="131"/>
        <w:ind w:right="546"/>
        <w:jc w:val="left"/>
      </w:pPr>
      <w:r>
        <w:rPr>
          <w:color w:val="231F20"/>
          <w:spacing w:val="-1"/>
        </w:rPr>
        <w:t>Wiltja</w:t>
      </w:r>
      <w:r>
        <w:rPr>
          <w:color w:val="231F20"/>
          <w:spacing w:val="-4"/>
        </w:rPr>
        <w:t> </w:t>
      </w:r>
      <w:r>
        <w:rPr>
          <w:color w:val="231F20"/>
          <w:spacing w:val="-1"/>
        </w:rPr>
        <w:t>Boarding</w:t>
      </w:r>
      <w:r>
        <w:rPr>
          <w:color w:val="231F20"/>
          <w:spacing w:val="-4"/>
        </w:rPr>
        <w:t> </w:t>
      </w:r>
      <w:r>
        <w:rPr>
          <w:color w:val="231F20"/>
        </w:rPr>
        <w:t>has</w:t>
      </w:r>
      <w:r>
        <w:rPr>
          <w:color w:val="231F20"/>
          <w:spacing w:val="-5"/>
        </w:rPr>
        <w:t> </w:t>
      </w:r>
      <w:r>
        <w:rPr>
          <w:color w:val="231F20"/>
        </w:rPr>
        <w:t>operated</w:t>
      </w:r>
      <w:r>
        <w:rPr>
          <w:color w:val="231F20"/>
          <w:spacing w:val="-3"/>
        </w:rPr>
        <w:t> </w:t>
      </w:r>
      <w:r>
        <w:rPr>
          <w:color w:val="231F20"/>
        </w:rPr>
        <w:t>for</w:t>
      </w:r>
      <w:r>
        <w:rPr>
          <w:color w:val="231F20"/>
          <w:spacing w:val="-4"/>
        </w:rPr>
        <w:t> </w:t>
      </w:r>
      <w:r>
        <w:rPr>
          <w:color w:val="231F20"/>
        </w:rPr>
        <w:t>over</w:t>
      </w:r>
      <w:r>
        <w:rPr>
          <w:color w:val="231F20"/>
          <w:spacing w:val="-4"/>
        </w:rPr>
        <w:t> </w:t>
      </w:r>
      <w:r>
        <w:rPr>
          <w:color w:val="231F20"/>
          <w:spacing w:val="-1"/>
        </w:rPr>
        <w:t>20</w:t>
      </w:r>
      <w:r>
        <w:rPr>
          <w:color w:val="231F20"/>
          <w:spacing w:val="22"/>
        </w:rPr>
        <w:t> </w:t>
      </w:r>
      <w:r>
        <w:rPr>
          <w:color w:val="231F20"/>
        </w:rPr>
        <w:t>years</w:t>
      </w:r>
      <w:r>
        <w:rPr>
          <w:color w:val="231F20"/>
          <w:spacing w:val="-8"/>
        </w:rPr>
        <w:t> </w:t>
      </w:r>
      <w:r>
        <w:rPr>
          <w:color w:val="231F20"/>
        </w:rPr>
        <w:t>and</w:t>
      </w:r>
      <w:r>
        <w:rPr>
          <w:color w:val="231F20"/>
          <w:spacing w:val="-7"/>
        </w:rPr>
        <w:t> </w:t>
      </w:r>
      <w:r>
        <w:rPr>
          <w:color w:val="231F20"/>
        </w:rPr>
        <w:t>provides</w:t>
      </w:r>
      <w:r>
        <w:rPr>
          <w:color w:val="231F20"/>
          <w:spacing w:val="-7"/>
        </w:rPr>
        <w:t> </w:t>
      </w:r>
      <w:r>
        <w:rPr>
          <w:color w:val="231F20"/>
        </w:rPr>
        <w:t>boarding</w:t>
      </w:r>
      <w:r>
        <w:rPr>
          <w:color w:val="231F20"/>
          <w:spacing w:val="-7"/>
        </w:rPr>
        <w:t> </w:t>
      </w:r>
      <w:r>
        <w:rPr>
          <w:color w:val="231F20"/>
          <w:spacing w:val="-1"/>
        </w:rPr>
        <w:t>in</w:t>
      </w:r>
      <w:r>
        <w:rPr>
          <w:color w:val="231F20"/>
          <w:spacing w:val="-7"/>
        </w:rPr>
        <w:t> </w:t>
      </w:r>
      <w:r>
        <w:rPr>
          <w:color w:val="231F20"/>
        </w:rPr>
        <w:t>Adelaide</w:t>
      </w:r>
      <w:r>
        <w:rPr>
          <w:color w:val="231F20"/>
          <w:spacing w:val="21"/>
          <w:w w:val="99"/>
        </w:rPr>
        <w:t> </w:t>
      </w:r>
      <w:r>
        <w:rPr>
          <w:color w:val="231F20"/>
        </w:rPr>
        <w:t>for</w:t>
      </w:r>
      <w:r>
        <w:rPr>
          <w:color w:val="231F20"/>
          <w:spacing w:val="-6"/>
        </w:rPr>
        <w:t> </w:t>
      </w:r>
      <w:r>
        <w:rPr>
          <w:color w:val="231F20"/>
        </w:rPr>
        <w:t>Aboriginal</w:t>
      </w:r>
      <w:r>
        <w:rPr>
          <w:color w:val="231F20"/>
          <w:spacing w:val="-5"/>
        </w:rPr>
        <w:t> </w:t>
      </w:r>
      <w:r>
        <w:rPr>
          <w:color w:val="231F20"/>
          <w:spacing w:val="-1"/>
        </w:rPr>
        <w:t>students</w:t>
      </w:r>
      <w:r>
        <w:rPr>
          <w:color w:val="231F20"/>
          <w:spacing w:val="-5"/>
        </w:rPr>
        <w:t> </w:t>
      </w:r>
      <w:r>
        <w:rPr>
          <w:color w:val="231F20"/>
        </w:rPr>
        <w:t>from</w:t>
      </w:r>
      <w:r>
        <w:rPr>
          <w:color w:val="231F20"/>
          <w:spacing w:val="-5"/>
        </w:rPr>
        <w:t> </w:t>
      </w:r>
      <w:r>
        <w:rPr>
          <w:color w:val="231F20"/>
        </w:rPr>
        <w:t>the</w:t>
      </w:r>
      <w:r>
        <w:rPr>
          <w:color w:val="231F20"/>
          <w:spacing w:val="-6"/>
        </w:rPr>
        <w:t> </w:t>
      </w:r>
      <w:r>
        <w:rPr>
          <w:color w:val="231F20"/>
        </w:rPr>
        <w:t>Anangu</w:t>
      </w:r>
      <w:r>
        <w:rPr>
          <w:color w:val="231F20"/>
          <w:spacing w:val="22"/>
          <w:w w:val="99"/>
        </w:rPr>
        <w:t> </w:t>
      </w:r>
      <w:r>
        <w:rPr>
          <w:color w:val="231F20"/>
          <w:spacing w:val="-1"/>
        </w:rPr>
        <w:t>Pitjantjatjara</w:t>
      </w:r>
      <w:r>
        <w:rPr>
          <w:color w:val="231F20"/>
          <w:spacing w:val="-12"/>
        </w:rPr>
        <w:t> </w:t>
      </w:r>
      <w:r>
        <w:rPr>
          <w:color w:val="231F20"/>
          <w:spacing w:val="-2"/>
        </w:rPr>
        <w:t>Yankunytjatjara</w:t>
      </w:r>
      <w:r>
        <w:rPr>
          <w:color w:val="231F20"/>
          <w:spacing w:val="-12"/>
        </w:rPr>
        <w:t> </w:t>
      </w:r>
      <w:r>
        <w:rPr>
          <w:color w:val="231F20"/>
        </w:rPr>
        <w:t>(APY)</w:t>
      </w:r>
      <w:r>
        <w:rPr>
          <w:color w:val="231F20"/>
          <w:spacing w:val="-13"/>
        </w:rPr>
        <w:t> </w:t>
      </w:r>
      <w:r>
        <w:rPr>
          <w:color w:val="231F20"/>
        </w:rPr>
        <w:t>Lands</w:t>
      </w:r>
      <w:r>
        <w:rPr>
          <w:color w:val="231F20"/>
          <w:spacing w:val="27"/>
          <w:w w:val="99"/>
        </w:rPr>
        <w:t> </w:t>
      </w:r>
      <w:r>
        <w:rPr>
          <w:color w:val="231F20"/>
        </w:rPr>
        <w:t>and</w:t>
      </w:r>
      <w:r>
        <w:rPr>
          <w:color w:val="231F20"/>
          <w:spacing w:val="-10"/>
        </w:rPr>
        <w:t> </w:t>
      </w:r>
      <w:r>
        <w:rPr>
          <w:color w:val="231F20"/>
          <w:spacing w:val="-1"/>
        </w:rPr>
        <w:t>southern</w:t>
      </w:r>
      <w:r>
        <w:rPr>
          <w:color w:val="231F20"/>
          <w:spacing w:val="-8"/>
        </w:rPr>
        <w:t> </w:t>
      </w:r>
      <w:r>
        <w:rPr>
          <w:color w:val="231F20"/>
        </w:rPr>
        <w:t>Northern</w:t>
      </w:r>
      <w:r>
        <w:rPr>
          <w:color w:val="231F20"/>
          <w:spacing w:val="-9"/>
        </w:rPr>
        <w:t> </w:t>
      </w:r>
      <w:r>
        <w:rPr>
          <w:color w:val="231F20"/>
          <w:spacing w:val="-3"/>
        </w:rPr>
        <w:t>Territory</w:t>
      </w:r>
      <w:r>
        <w:rPr>
          <w:color w:val="231F20"/>
          <w:spacing w:val="-9"/>
        </w:rPr>
        <w:t> </w:t>
      </w:r>
      <w:r>
        <w:rPr>
          <w:color w:val="231F20"/>
        </w:rPr>
        <w:t>attending</w:t>
      </w:r>
      <w:r>
        <w:rPr/>
      </w:r>
    </w:p>
    <w:p>
      <w:pPr>
        <w:pStyle w:val="BodyText"/>
        <w:spacing w:line="250" w:lineRule="exact"/>
        <w:ind w:right="189"/>
        <w:jc w:val="both"/>
      </w:pPr>
      <w:r>
        <w:rPr>
          <w:color w:val="231F20"/>
        </w:rPr>
        <w:t>Adelaide</w:t>
      </w:r>
      <w:r>
        <w:rPr>
          <w:color w:val="231F20"/>
          <w:spacing w:val="-4"/>
        </w:rPr>
        <w:t> </w:t>
      </w:r>
      <w:r>
        <w:rPr>
          <w:color w:val="231F20"/>
          <w:spacing w:val="-1"/>
        </w:rPr>
        <w:t>secondary</w:t>
      </w:r>
      <w:r>
        <w:rPr>
          <w:color w:val="231F20"/>
          <w:spacing w:val="-2"/>
        </w:rPr>
        <w:t> </w:t>
      </w:r>
      <w:r>
        <w:rPr>
          <w:color w:val="231F20"/>
          <w:spacing w:val="-1"/>
        </w:rPr>
        <w:t>schools.</w:t>
      </w:r>
      <w:r>
        <w:rPr>
          <w:color w:val="231F20"/>
          <w:spacing w:val="-3"/>
        </w:rPr>
        <w:t> </w:t>
      </w:r>
      <w:r>
        <w:rPr>
          <w:color w:val="231F20"/>
          <w:spacing w:val="-1"/>
        </w:rPr>
        <w:t>While</w:t>
      </w:r>
      <w:r>
        <w:rPr>
          <w:color w:val="231F20"/>
          <w:spacing w:val="-3"/>
        </w:rPr>
        <w:t> </w:t>
      </w:r>
      <w:r>
        <w:rPr>
          <w:color w:val="231F20"/>
          <w:spacing w:val="-1"/>
        </w:rPr>
        <w:t>it</w:t>
      </w:r>
      <w:r>
        <w:rPr>
          <w:color w:val="231F20"/>
          <w:spacing w:val="-3"/>
        </w:rPr>
        <w:t> </w:t>
      </w:r>
      <w:r>
        <w:rPr>
          <w:color w:val="231F20"/>
        </w:rPr>
        <w:t>was</w:t>
      </w:r>
      <w:r>
        <w:rPr>
          <w:color w:val="231F20"/>
          <w:spacing w:val="-4"/>
        </w:rPr>
        <w:t> </w:t>
      </w:r>
      <w:r>
        <w:rPr>
          <w:color w:val="231F20"/>
        </w:rPr>
        <w:t>not</w:t>
      </w:r>
      <w:r>
        <w:rPr>
          <w:color w:val="231F20"/>
          <w:spacing w:val="-3"/>
        </w:rPr>
        <w:t> </w:t>
      </w:r>
      <w:r>
        <w:rPr>
          <w:color w:val="231F20"/>
        </w:rPr>
        <w:t>a</w:t>
      </w:r>
      <w:r>
        <w:rPr>
          <w:color w:val="231F20"/>
          <w:spacing w:val="25"/>
          <w:w w:val="99"/>
        </w:rPr>
        <w:t> </w:t>
      </w:r>
      <w:r>
        <w:rPr>
          <w:color w:val="231F20"/>
          <w:spacing w:val="-1"/>
        </w:rPr>
        <w:t>selected</w:t>
      </w:r>
      <w:r>
        <w:rPr>
          <w:color w:val="231F20"/>
          <w:spacing w:val="-4"/>
        </w:rPr>
        <w:t> </w:t>
      </w:r>
      <w:r>
        <w:rPr>
          <w:color w:val="231F20"/>
        </w:rPr>
        <w:t>boarding</w:t>
      </w:r>
      <w:r>
        <w:rPr>
          <w:color w:val="231F20"/>
          <w:spacing w:val="-4"/>
        </w:rPr>
        <w:t> </w:t>
      </w:r>
      <w:r>
        <w:rPr>
          <w:color w:val="231F20"/>
        </w:rPr>
        <w:t>facility</w:t>
      </w:r>
      <w:r>
        <w:rPr>
          <w:color w:val="231F20"/>
          <w:spacing w:val="-5"/>
        </w:rPr>
        <w:t> </w:t>
      </w:r>
      <w:r>
        <w:rPr>
          <w:color w:val="231F20"/>
          <w:spacing w:val="-1"/>
        </w:rPr>
        <w:t>Wiltja</w:t>
      </w:r>
      <w:r>
        <w:rPr>
          <w:color w:val="231F20"/>
          <w:spacing w:val="-3"/>
        </w:rPr>
        <w:t> </w:t>
      </w:r>
      <w:r>
        <w:rPr>
          <w:color w:val="231F20"/>
          <w:spacing w:val="-1"/>
        </w:rPr>
        <w:t>Boarding</w:t>
      </w:r>
      <w:r>
        <w:rPr>
          <w:color w:val="231F20"/>
          <w:spacing w:val="-3"/>
        </w:rPr>
        <w:t> </w:t>
      </w:r>
      <w:r>
        <w:rPr>
          <w:color w:val="231F20"/>
        </w:rPr>
        <w:t>were</w:t>
      </w:r>
      <w:r>
        <w:rPr>
          <w:color w:val="231F20"/>
          <w:spacing w:val="24"/>
          <w:w w:val="99"/>
        </w:rPr>
        <w:t> </w:t>
      </w:r>
      <w:r>
        <w:rPr>
          <w:color w:val="231F20"/>
        </w:rPr>
        <w:t>consulted</w:t>
      </w:r>
      <w:r>
        <w:rPr>
          <w:color w:val="231F20"/>
          <w:spacing w:val="-5"/>
        </w:rPr>
        <w:t> </w:t>
      </w:r>
      <w:r>
        <w:rPr>
          <w:color w:val="231F20"/>
        </w:rPr>
        <w:t>as</w:t>
      </w:r>
      <w:r>
        <w:rPr>
          <w:color w:val="231F20"/>
          <w:spacing w:val="-4"/>
        </w:rPr>
        <w:t> </w:t>
      </w:r>
      <w:r>
        <w:rPr>
          <w:color w:val="231F20"/>
        </w:rPr>
        <w:t>part</w:t>
      </w:r>
      <w:r>
        <w:rPr>
          <w:color w:val="231F20"/>
          <w:spacing w:val="-4"/>
        </w:rPr>
        <w:t> </w:t>
      </w:r>
      <w:r>
        <w:rPr>
          <w:color w:val="231F20"/>
        </w:rPr>
        <w:t>of</w:t>
      </w:r>
      <w:r>
        <w:rPr>
          <w:color w:val="231F20"/>
          <w:spacing w:val="-3"/>
        </w:rPr>
        <w:t> </w:t>
      </w:r>
      <w:r>
        <w:rPr>
          <w:color w:val="231F20"/>
        </w:rPr>
        <w:t>the</w:t>
      </w:r>
      <w:r>
        <w:rPr>
          <w:color w:val="231F20"/>
          <w:spacing w:val="-4"/>
        </w:rPr>
        <w:t> </w:t>
      </w:r>
      <w:r>
        <w:rPr>
          <w:color w:val="231F20"/>
        </w:rPr>
        <w:t>analysis.</w:t>
      </w:r>
      <w:r>
        <w:rPr/>
      </w:r>
    </w:p>
    <w:p>
      <w:pPr>
        <w:pStyle w:val="BodyText"/>
        <w:spacing w:line="250" w:lineRule="exact" w:before="113"/>
        <w:ind w:right="127"/>
        <w:jc w:val="left"/>
      </w:pPr>
      <w:r>
        <w:rPr>
          <w:color w:val="231F20"/>
          <w:spacing w:val="-1"/>
        </w:rPr>
        <w:t>Wiltja</w:t>
      </w:r>
      <w:r>
        <w:rPr>
          <w:color w:val="231F20"/>
          <w:spacing w:val="-5"/>
        </w:rPr>
        <w:t> </w:t>
      </w:r>
      <w:r>
        <w:rPr>
          <w:color w:val="231F20"/>
          <w:spacing w:val="-1"/>
        </w:rPr>
        <w:t>Boarding</w:t>
      </w:r>
      <w:r>
        <w:rPr>
          <w:color w:val="231F20"/>
          <w:spacing w:val="-4"/>
        </w:rPr>
        <w:t> </w:t>
      </w:r>
      <w:r>
        <w:rPr>
          <w:color w:val="231F20"/>
        </w:rPr>
        <w:t>receives</w:t>
      </w:r>
      <w:r>
        <w:rPr>
          <w:color w:val="231F20"/>
          <w:spacing w:val="-6"/>
        </w:rPr>
        <w:t> </w:t>
      </w:r>
      <w:r>
        <w:rPr>
          <w:color w:val="231F20"/>
        </w:rPr>
        <w:t>ABSTUDY</w:t>
      </w:r>
      <w:r>
        <w:rPr>
          <w:color w:val="231F20"/>
          <w:spacing w:val="-5"/>
        </w:rPr>
        <w:t> </w:t>
      </w:r>
      <w:r>
        <w:rPr>
          <w:color w:val="231F20"/>
        </w:rPr>
        <w:t>from</w:t>
      </w:r>
      <w:r>
        <w:rPr>
          <w:color w:val="231F20"/>
          <w:spacing w:val="-5"/>
        </w:rPr>
        <w:t> </w:t>
      </w:r>
      <w:r>
        <w:rPr>
          <w:color w:val="231F20"/>
        </w:rPr>
        <w:t>the</w:t>
      </w:r>
      <w:r>
        <w:rPr>
          <w:color w:val="231F20"/>
          <w:spacing w:val="23"/>
          <w:w w:val="99"/>
        </w:rPr>
        <w:t> </w:t>
      </w:r>
      <w:r>
        <w:rPr>
          <w:color w:val="231F20"/>
          <w:spacing w:val="-1"/>
        </w:rPr>
        <w:t>Commonwealth</w:t>
      </w:r>
      <w:r>
        <w:rPr>
          <w:color w:val="231F20"/>
          <w:spacing w:val="-13"/>
        </w:rPr>
        <w:t> </w:t>
      </w:r>
      <w:r>
        <w:rPr>
          <w:color w:val="231F20"/>
        </w:rPr>
        <w:t>Government</w:t>
      </w:r>
      <w:r>
        <w:rPr>
          <w:color w:val="231F20"/>
          <w:spacing w:val="-13"/>
        </w:rPr>
        <w:t> </w:t>
      </w:r>
      <w:r>
        <w:rPr>
          <w:color w:val="231F20"/>
        </w:rPr>
        <w:t>and</w:t>
      </w:r>
      <w:r>
        <w:rPr>
          <w:color w:val="231F20"/>
          <w:spacing w:val="-14"/>
        </w:rPr>
        <w:t> </w:t>
      </w:r>
      <w:r>
        <w:rPr>
          <w:color w:val="231F20"/>
        </w:rPr>
        <w:t>operational</w:t>
      </w:r>
      <w:r>
        <w:rPr>
          <w:color w:val="231F20"/>
          <w:spacing w:val="22"/>
          <w:w w:val="99"/>
        </w:rPr>
        <w:t> </w:t>
      </w:r>
      <w:r>
        <w:rPr>
          <w:color w:val="231F20"/>
        </w:rPr>
        <w:t>underpinning</w:t>
      </w:r>
      <w:r>
        <w:rPr>
          <w:color w:val="231F20"/>
          <w:spacing w:val="-9"/>
        </w:rPr>
        <w:t> </w:t>
      </w:r>
      <w:r>
        <w:rPr>
          <w:color w:val="231F20"/>
        </w:rPr>
        <w:t>funding</w:t>
      </w:r>
      <w:r>
        <w:rPr>
          <w:color w:val="231F20"/>
          <w:spacing w:val="-8"/>
        </w:rPr>
        <w:t> </w:t>
      </w:r>
      <w:r>
        <w:rPr>
          <w:color w:val="231F20"/>
        </w:rPr>
        <w:t>from</w:t>
      </w:r>
      <w:r>
        <w:rPr>
          <w:color w:val="231F20"/>
          <w:spacing w:val="-8"/>
        </w:rPr>
        <w:t> </w:t>
      </w:r>
      <w:r>
        <w:rPr>
          <w:color w:val="231F20"/>
        </w:rPr>
        <w:t>the</w:t>
      </w:r>
      <w:r>
        <w:rPr>
          <w:color w:val="231F20"/>
          <w:spacing w:val="-8"/>
        </w:rPr>
        <w:t> </w:t>
      </w:r>
      <w:r>
        <w:rPr>
          <w:color w:val="231F20"/>
          <w:spacing w:val="-1"/>
        </w:rPr>
        <w:t>South</w:t>
      </w:r>
      <w:r>
        <w:rPr>
          <w:color w:val="231F20"/>
          <w:spacing w:val="-8"/>
        </w:rPr>
        <w:t> </w:t>
      </w:r>
      <w:r>
        <w:rPr>
          <w:color w:val="231F20"/>
        </w:rPr>
        <w:t>Australia</w:t>
      </w:r>
      <w:r>
        <w:rPr>
          <w:color w:val="231F20"/>
          <w:spacing w:val="21"/>
          <w:w w:val="99"/>
        </w:rPr>
        <w:t> </w:t>
      </w:r>
      <w:r>
        <w:rPr>
          <w:rFonts w:ascii="Segoe UI" w:hAnsi="Segoe UI" w:cs="Segoe UI" w:eastAsia="Segoe UI"/>
          <w:color w:val="231F20"/>
        </w:rPr>
        <w:t>Government</w:t>
      </w:r>
      <w:r>
        <w:rPr>
          <w:rFonts w:ascii="Segoe UI" w:hAnsi="Segoe UI" w:cs="Segoe UI" w:eastAsia="Segoe UI"/>
          <w:color w:val="231F20"/>
          <w:spacing w:val="-1"/>
        </w:rPr>
        <w:t> </w:t>
      </w:r>
      <w:r>
        <w:rPr>
          <w:rFonts w:ascii="Segoe UI" w:hAnsi="Segoe UI" w:cs="Segoe UI" w:eastAsia="Segoe UI"/>
          <w:color w:val="231F20"/>
        </w:rPr>
        <w:t>for</w:t>
      </w:r>
      <w:r>
        <w:rPr>
          <w:rFonts w:ascii="Segoe UI" w:hAnsi="Segoe UI" w:cs="Segoe UI" w:eastAsia="Segoe UI"/>
          <w:color w:val="231F20"/>
          <w:spacing w:val="-1"/>
        </w:rPr>
        <w:t> </w:t>
      </w:r>
      <w:r>
        <w:rPr>
          <w:rFonts w:ascii="Segoe UI" w:hAnsi="Segoe UI" w:cs="Segoe UI" w:eastAsia="Segoe UI"/>
          <w:color w:val="231F20"/>
        </w:rPr>
        <w:t>the cost</w:t>
      </w:r>
      <w:r>
        <w:rPr>
          <w:rFonts w:ascii="Segoe UI" w:hAnsi="Segoe UI" w:cs="Segoe UI" w:eastAsia="Segoe UI"/>
          <w:color w:val="231F20"/>
          <w:spacing w:val="-1"/>
        </w:rPr>
        <w:t> </w:t>
      </w:r>
      <w:r>
        <w:rPr>
          <w:rFonts w:ascii="Segoe UI" w:hAnsi="Segoe UI" w:cs="Segoe UI" w:eastAsia="Segoe UI"/>
          <w:color w:val="231F20"/>
        </w:rPr>
        <w:t>of</w:t>
      </w:r>
      <w:r>
        <w:rPr>
          <w:rFonts w:ascii="Segoe UI" w:hAnsi="Segoe UI" w:cs="Segoe UI" w:eastAsia="Segoe UI"/>
          <w:color w:val="231F20"/>
          <w:spacing w:val="-1"/>
        </w:rPr>
        <w:t> </w:t>
      </w:r>
      <w:r>
        <w:rPr>
          <w:rFonts w:ascii="Segoe UI" w:hAnsi="Segoe UI" w:cs="Segoe UI" w:eastAsia="Segoe UI"/>
          <w:color w:val="231F20"/>
        </w:rPr>
        <w:t>staff, utilities</w:t>
      </w:r>
      <w:r>
        <w:rPr>
          <w:rFonts w:ascii="Segoe UI" w:hAnsi="Segoe UI" w:cs="Segoe UI" w:eastAsia="Segoe UI"/>
          <w:color w:val="231F20"/>
          <w:spacing w:val="-1"/>
        </w:rPr>
        <w:t> </w:t>
      </w:r>
      <w:r>
        <w:rPr>
          <w:rFonts w:ascii="Segoe UI" w:hAnsi="Segoe UI" w:cs="Segoe UI" w:eastAsia="Segoe UI"/>
          <w:color w:val="231F20"/>
        </w:rPr>
        <w:t>and</w:t>
      </w:r>
      <w:r>
        <w:rPr>
          <w:rFonts w:ascii="Segoe UI" w:hAnsi="Segoe UI" w:cs="Segoe UI" w:eastAsia="Segoe UI"/>
          <w:color w:val="231F20"/>
        </w:rPr>
        <w:t> </w:t>
      </w:r>
      <w:r>
        <w:rPr>
          <w:color w:val="231F20"/>
        </w:rPr>
        <w:t>facilities.</w:t>
      </w:r>
      <w:r>
        <w:rPr>
          <w:color w:val="231F20"/>
          <w:spacing w:val="-9"/>
        </w:rPr>
        <w:t> </w:t>
      </w:r>
      <w:r>
        <w:rPr>
          <w:color w:val="231F20"/>
          <w:spacing w:val="-1"/>
        </w:rPr>
        <w:t>Indigenous</w:t>
      </w:r>
      <w:r>
        <w:rPr>
          <w:color w:val="231F20"/>
          <w:spacing w:val="-7"/>
        </w:rPr>
        <w:t> </w:t>
      </w:r>
      <w:r>
        <w:rPr>
          <w:color w:val="231F20"/>
        </w:rPr>
        <w:t>Education</w:t>
      </w:r>
      <w:r>
        <w:rPr>
          <w:color w:val="231F20"/>
          <w:spacing w:val="-9"/>
        </w:rPr>
        <w:t> </w:t>
      </w:r>
      <w:r>
        <w:rPr>
          <w:color w:val="231F20"/>
        </w:rPr>
        <w:t>and</w:t>
      </w:r>
      <w:r>
        <w:rPr>
          <w:color w:val="231F20"/>
          <w:spacing w:val="-8"/>
        </w:rPr>
        <w:t> </w:t>
      </w:r>
      <w:r>
        <w:rPr>
          <w:color w:val="231F20"/>
          <w:spacing w:val="-1"/>
        </w:rPr>
        <w:t>Boarding</w:t>
      </w:r>
      <w:r>
        <w:rPr>
          <w:color w:val="231F20"/>
          <w:spacing w:val="21"/>
          <w:w w:val="99"/>
        </w:rPr>
        <w:t> </w:t>
      </w:r>
      <w:r>
        <w:rPr>
          <w:color w:val="231F20"/>
        </w:rPr>
        <w:t>Australia</w:t>
      </w:r>
      <w:r>
        <w:rPr>
          <w:color w:val="231F20"/>
          <w:spacing w:val="-5"/>
        </w:rPr>
        <w:t> </w:t>
      </w:r>
      <w:r>
        <w:rPr>
          <w:color w:val="231F20"/>
          <w:spacing w:val="-1"/>
        </w:rPr>
        <w:t>is</w:t>
      </w:r>
      <w:r>
        <w:rPr>
          <w:color w:val="231F20"/>
          <w:spacing w:val="-5"/>
        </w:rPr>
        <w:t> </w:t>
      </w:r>
      <w:r>
        <w:rPr>
          <w:color w:val="231F20"/>
        </w:rPr>
        <w:t>also</w:t>
      </w:r>
      <w:r>
        <w:rPr>
          <w:color w:val="231F20"/>
          <w:spacing w:val="-5"/>
        </w:rPr>
        <w:t> </w:t>
      </w:r>
      <w:r>
        <w:rPr>
          <w:color w:val="231F20"/>
          <w:spacing w:val="-1"/>
        </w:rPr>
        <w:t>located</w:t>
      </w:r>
      <w:r>
        <w:rPr>
          <w:color w:val="231F20"/>
          <w:spacing w:val="-4"/>
        </w:rPr>
        <w:t> </w:t>
      </w:r>
      <w:r>
        <w:rPr>
          <w:color w:val="231F20"/>
        </w:rPr>
        <w:t>on</w:t>
      </w:r>
      <w:r>
        <w:rPr>
          <w:color w:val="231F20"/>
          <w:spacing w:val="-4"/>
        </w:rPr>
        <w:t> </w:t>
      </w:r>
      <w:r>
        <w:rPr>
          <w:color w:val="231F20"/>
        </w:rPr>
        <w:t>the</w:t>
      </w:r>
      <w:r>
        <w:rPr>
          <w:color w:val="231F20"/>
          <w:spacing w:val="-5"/>
        </w:rPr>
        <w:t> </w:t>
      </w:r>
      <w:r>
        <w:rPr>
          <w:color w:val="231F20"/>
        </w:rPr>
        <w:t>grounds</w:t>
      </w:r>
      <w:r>
        <w:rPr>
          <w:color w:val="231F20"/>
          <w:spacing w:val="-5"/>
        </w:rPr>
        <w:t> </w:t>
      </w:r>
      <w:r>
        <w:rPr>
          <w:color w:val="231F20"/>
        </w:rPr>
        <w:t>of</w:t>
      </w:r>
      <w:r>
        <w:rPr>
          <w:color w:val="231F20"/>
          <w:spacing w:val="23"/>
          <w:w w:val="99"/>
        </w:rPr>
        <w:t> </w:t>
      </w:r>
      <w:r>
        <w:rPr>
          <w:color w:val="231F20"/>
          <w:spacing w:val="-1"/>
        </w:rPr>
        <w:t>Wiltja</w:t>
      </w:r>
      <w:r>
        <w:rPr>
          <w:color w:val="231F20"/>
          <w:spacing w:val="-3"/>
        </w:rPr>
        <w:t> </w:t>
      </w:r>
      <w:r>
        <w:rPr>
          <w:color w:val="231F20"/>
          <w:spacing w:val="-1"/>
        </w:rPr>
        <w:t>Boarding.</w:t>
      </w:r>
      <w:r>
        <w:rPr>
          <w:color w:val="231F20"/>
          <w:spacing w:val="-2"/>
        </w:rPr>
        <w:t> </w:t>
      </w:r>
      <w:r>
        <w:rPr>
          <w:color w:val="231F20"/>
        </w:rPr>
        <w:t>The</w:t>
      </w:r>
      <w:r>
        <w:rPr>
          <w:color w:val="231F20"/>
          <w:spacing w:val="-2"/>
        </w:rPr>
        <w:t> </w:t>
      </w:r>
      <w:r>
        <w:rPr>
          <w:color w:val="231F20"/>
        </w:rPr>
        <w:t>facility’s</w:t>
      </w:r>
      <w:r>
        <w:rPr>
          <w:color w:val="231F20"/>
          <w:spacing w:val="-3"/>
        </w:rPr>
        <w:t> </w:t>
      </w:r>
      <w:r>
        <w:rPr>
          <w:color w:val="231F20"/>
          <w:spacing w:val="-6"/>
        </w:rPr>
        <w:t>Taste</w:t>
      </w:r>
      <w:r>
        <w:rPr>
          <w:color w:val="231F20"/>
          <w:spacing w:val="-3"/>
        </w:rPr>
        <w:t> </w:t>
      </w:r>
      <w:r>
        <w:rPr>
          <w:color w:val="231F20"/>
        </w:rPr>
        <w:t>of</w:t>
      </w:r>
      <w:r>
        <w:rPr>
          <w:color w:val="231F20"/>
          <w:spacing w:val="-3"/>
        </w:rPr>
        <w:t> </w:t>
      </w:r>
      <w:r>
        <w:rPr>
          <w:color w:val="231F20"/>
          <w:spacing w:val="-1"/>
        </w:rPr>
        <w:t>Wiltja</w:t>
      </w:r>
      <w:r>
        <w:rPr>
          <w:color w:val="231F20"/>
          <w:spacing w:val="24"/>
        </w:rPr>
        <w:t> </w:t>
      </w:r>
      <w:r>
        <w:rPr>
          <w:color w:val="231F20"/>
        </w:rPr>
        <w:t>program</w:t>
      </w:r>
      <w:r>
        <w:rPr>
          <w:color w:val="231F20"/>
          <w:spacing w:val="-6"/>
        </w:rPr>
        <w:t> </w:t>
      </w:r>
      <w:r>
        <w:rPr>
          <w:color w:val="231F20"/>
        </w:rPr>
        <w:t>to</w:t>
      </w:r>
      <w:r>
        <w:rPr>
          <w:color w:val="231F20"/>
          <w:spacing w:val="-5"/>
        </w:rPr>
        <w:t> </w:t>
      </w:r>
      <w:r>
        <w:rPr>
          <w:color w:val="231F20"/>
        </w:rPr>
        <w:t>transition</w:t>
      </w:r>
      <w:r>
        <w:rPr>
          <w:color w:val="231F20"/>
          <w:spacing w:val="-6"/>
        </w:rPr>
        <w:t> </w:t>
      </w:r>
      <w:r>
        <w:rPr>
          <w:color w:val="231F20"/>
        </w:rPr>
        <w:t>primary</w:t>
      </w:r>
      <w:r>
        <w:rPr>
          <w:color w:val="231F20"/>
          <w:spacing w:val="-6"/>
        </w:rPr>
        <w:t> </w:t>
      </w:r>
      <w:r>
        <w:rPr>
          <w:color w:val="231F20"/>
          <w:spacing w:val="-1"/>
        </w:rPr>
        <w:t>school</w:t>
      </w:r>
      <w:r>
        <w:rPr>
          <w:color w:val="231F20"/>
          <w:spacing w:val="-5"/>
        </w:rPr>
        <w:t> </w:t>
      </w:r>
      <w:r>
        <w:rPr>
          <w:color w:val="231F20"/>
          <w:spacing w:val="-1"/>
        </w:rPr>
        <w:t>students</w:t>
      </w:r>
      <w:r>
        <w:rPr>
          <w:color w:val="231F20"/>
          <w:spacing w:val="21"/>
        </w:rPr>
        <w:t> </w:t>
      </w:r>
      <w:r>
        <w:rPr>
          <w:color w:val="231F20"/>
        </w:rPr>
        <w:t>to</w:t>
      </w:r>
      <w:r>
        <w:rPr>
          <w:color w:val="231F20"/>
          <w:spacing w:val="-5"/>
        </w:rPr>
        <w:t> </w:t>
      </w:r>
      <w:r>
        <w:rPr>
          <w:color w:val="231F20"/>
        </w:rPr>
        <w:t>boarding</w:t>
      </w:r>
      <w:r>
        <w:rPr>
          <w:color w:val="231F20"/>
          <w:spacing w:val="-5"/>
        </w:rPr>
        <w:t> </w:t>
      </w:r>
      <w:r>
        <w:rPr>
          <w:color w:val="231F20"/>
        </w:rPr>
        <w:t>was</w:t>
      </w:r>
      <w:r>
        <w:rPr>
          <w:color w:val="231F20"/>
          <w:spacing w:val="-5"/>
        </w:rPr>
        <w:t> </w:t>
      </w:r>
      <w:r>
        <w:rPr>
          <w:color w:val="231F20"/>
        </w:rPr>
        <w:t>a</w:t>
      </w:r>
      <w:r>
        <w:rPr>
          <w:color w:val="231F20"/>
          <w:spacing w:val="-4"/>
        </w:rPr>
        <w:t> </w:t>
      </w:r>
      <w:r>
        <w:rPr>
          <w:color w:val="231F20"/>
        </w:rPr>
        <w:t>featured</w:t>
      </w:r>
      <w:r>
        <w:rPr>
          <w:color w:val="231F20"/>
          <w:spacing w:val="-4"/>
        </w:rPr>
        <w:t> </w:t>
      </w:r>
      <w:r>
        <w:rPr>
          <w:color w:val="231F20"/>
        </w:rPr>
        <w:t>case</w:t>
      </w:r>
      <w:r>
        <w:rPr>
          <w:color w:val="231F20"/>
          <w:spacing w:val="-5"/>
        </w:rPr>
        <w:t> </w:t>
      </w:r>
      <w:r>
        <w:rPr>
          <w:color w:val="231F20"/>
          <w:spacing w:val="-1"/>
        </w:rPr>
        <w:t>study</w:t>
      </w:r>
      <w:r>
        <w:rPr>
          <w:color w:val="231F20"/>
          <w:spacing w:val="-4"/>
        </w:rPr>
        <w:t> </w:t>
      </w:r>
      <w:r>
        <w:rPr>
          <w:color w:val="231F20"/>
          <w:spacing w:val="-1"/>
        </w:rPr>
        <w:t>in</w:t>
      </w:r>
      <w:r>
        <w:rPr>
          <w:color w:val="231F20"/>
          <w:spacing w:val="-5"/>
        </w:rPr>
        <w:t> </w:t>
      </w:r>
      <w:r>
        <w:rPr>
          <w:color w:val="231F20"/>
        </w:rPr>
        <w:t>the</w:t>
      </w:r>
      <w:r>
        <w:rPr>
          <w:color w:val="231F20"/>
          <w:spacing w:val="22"/>
          <w:w w:val="99"/>
        </w:rPr>
        <w:t> </w:t>
      </w:r>
      <w:r>
        <w:rPr>
          <w:color w:val="231F20"/>
          <w:spacing w:val="-2"/>
        </w:rPr>
        <w:t>Study</w:t>
      </w:r>
      <w:r>
        <w:rPr>
          <w:color w:val="231F20"/>
          <w:spacing w:val="-4"/>
        </w:rPr>
        <w:t> </w:t>
      </w:r>
      <w:r>
        <w:rPr>
          <w:color w:val="231F20"/>
          <w:spacing w:val="-1"/>
        </w:rPr>
        <w:t>Away</w:t>
      </w:r>
      <w:r>
        <w:rPr>
          <w:color w:val="231F20"/>
          <w:spacing w:val="-3"/>
        </w:rPr>
        <w:t> </w:t>
      </w:r>
      <w:r>
        <w:rPr>
          <w:color w:val="231F20"/>
          <w:spacing w:val="-1"/>
        </w:rPr>
        <w:t>Review</w:t>
      </w:r>
      <w:r>
        <w:rPr>
          <w:rFonts w:ascii="Segoe UI Semibold" w:hAnsi="Segoe UI Semibold" w:cs="Segoe UI Semibold" w:eastAsia="Segoe UI Semibold"/>
          <w:b/>
          <w:bCs/>
          <w:color w:val="231F20"/>
          <w:spacing w:val="-1"/>
          <w:position w:val="7"/>
          <w:sz w:val="11"/>
          <w:szCs w:val="11"/>
        </w:rPr>
        <w:t>199</w:t>
      </w:r>
      <w:r>
        <w:rPr>
          <w:color w:val="231F20"/>
          <w:spacing w:val="-1"/>
        </w:rPr>
        <w:t>.</w:t>
      </w:r>
      <w:r>
        <w:rPr>
          <w:color w:val="231F20"/>
          <w:spacing w:val="-2"/>
        </w:rPr>
        <w:t> </w:t>
      </w:r>
      <w:r>
        <w:rPr>
          <w:color w:val="231F20"/>
          <w:spacing w:val="-1"/>
        </w:rPr>
        <w:t>During</w:t>
      </w:r>
      <w:r>
        <w:rPr>
          <w:color w:val="231F20"/>
          <w:spacing w:val="-3"/>
        </w:rPr>
        <w:t> </w:t>
      </w:r>
      <w:r>
        <w:rPr>
          <w:color w:val="231F20"/>
        </w:rPr>
        <w:t>the</w:t>
      </w:r>
      <w:r>
        <w:rPr>
          <w:color w:val="231F20"/>
          <w:spacing w:val="-3"/>
        </w:rPr>
        <w:t> </w:t>
      </w:r>
      <w:r>
        <w:rPr>
          <w:color w:val="231F20"/>
        </w:rPr>
        <w:t>consultations</w:t>
      </w:r>
      <w:r>
        <w:rPr>
          <w:color w:val="231F20"/>
          <w:spacing w:val="26"/>
        </w:rPr>
        <w:t> </w:t>
      </w:r>
      <w:r>
        <w:rPr>
          <w:color w:val="231F20"/>
          <w:spacing w:val="-1"/>
        </w:rPr>
        <w:t>Wiltja</w:t>
      </w:r>
      <w:r>
        <w:rPr>
          <w:color w:val="231F20"/>
          <w:spacing w:val="-5"/>
        </w:rPr>
        <w:t> </w:t>
      </w:r>
      <w:r>
        <w:rPr>
          <w:color w:val="231F20"/>
          <w:spacing w:val="-1"/>
        </w:rPr>
        <w:t>Boarding</w:t>
      </w:r>
      <w:r>
        <w:rPr>
          <w:color w:val="231F20"/>
          <w:spacing w:val="-4"/>
        </w:rPr>
        <w:t> </w:t>
      </w:r>
      <w:r>
        <w:rPr>
          <w:color w:val="231F20"/>
        </w:rPr>
        <w:t>reported</w:t>
      </w:r>
      <w:r>
        <w:rPr>
          <w:color w:val="231F20"/>
          <w:spacing w:val="-5"/>
        </w:rPr>
        <w:t> </w:t>
      </w:r>
      <w:r>
        <w:rPr>
          <w:color w:val="231F20"/>
        </w:rPr>
        <w:t>that</w:t>
      </w:r>
      <w:r>
        <w:rPr>
          <w:color w:val="231F20"/>
          <w:spacing w:val="-5"/>
        </w:rPr>
        <w:t> </w:t>
      </w:r>
      <w:r>
        <w:rPr>
          <w:color w:val="231F20"/>
        </w:rPr>
        <w:t>the</w:t>
      </w:r>
      <w:r>
        <w:rPr>
          <w:color w:val="231F20"/>
          <w:spacing w:val="-5"/>
        </w:rPr>
        <w:t> </w:t>
      </w:r>
      <w:r>
        <w:rPr>
          <w:rFonts w:ascii="Segoe UI" w:hAnsi="Segoe UI" w:cs="Segoe UI" w:eastAsia="Segoe UI"/>
          <w:i/>
          <w:color w:val="231F20"/>
          <w:spacing w:val="-5"/>
        </w:rPr>
        <w:t>T</w:t>
      </w:r>
      <w:r>
        <w:rPr>
          <w:rFonts w:ascii="Segoe UI" w:hAnsi="Segoe UI" w:cs="Segoe UI" w:eastAsia="Segoe UI"/>
          <w:i/>
          <w:color w:val="231F20"/>
          <w:spacing w:val="-4"/>
        </w:rPr>
        <w:t>ast</w:t>
      </w:r>
      <w:r>
        <w:rPr>
          <w:rFonts w:ascii="Segoe UI" w:hAnsi="Segoe UI" w:cs="Segoe UI" w:eastAsia="Segoe UI"/>
          <w:i/>
          <w:color w:val="231F20"/>
          <w:spacing w:val="-5"/>
        </w:rPr>
        <w:t>e</w:t>
      </w:r>
      <w:r>
        <w:rPr>
          <w:rFonts w:ascii="Segoe UI" w:hAnsi="Segoe UI" w:cs="Segoe UI" w:eastAsia="Segoe UI"/>
          <w:i/>
          <w:color w:val="231F20"/>
          <w:spacing w:val="-4"/>
        </w:rPr>
        <w:t> </w:t>
      </w:r>
      <w:r>
        <w:rPr>
          <w:rFonts w:ascii="Segoe UI" w:hAnsi="Segoe UI" w:cs="Segoe UI" w:eastAsia="Segoe UI"/>
          <w:i/>
          <w:color w:val="231F20"/>
          <w:spacing w:val="-2"/>
        </w:rPr>
        <w:t>of</w:t>
      </w:r>
      <w:r>
        <w:rPr>
          <w:rFonts w:ascii="Segoe UI" w:hAnsi="Segoe UI" w:cs="Segoe UI" w:eastAsia="Segoe UI"/>
          <w:i/>
          <w:color w:val="231F20"/>
          <w:spacing w:val="-4"/>
        </w:rPr>
        <w:t> </w:t>
      </w:r>
      <w:r>
        <w:rPr>
          <w:rFonts w:ascii="Segoe UI" w:hAnsi="Segoe UI" w:cs="Segoe UI" w:eastAsia="Segoe UI"/>
          <w:i/>
          <w:color w:val="231F20"/>
          <w:spacing w:val="-1"/>
        </w:rPr>
        <w:t>Wiltja</w:t>
      </w:r>
      <w:r>
        <w:rPr>
          <w:rFonts w:ascii="Segoe UI" w:hAnsi="Segoe UI" w:cs="Segoe UI" w:eastAsia="Segoe UI"/>
          <w:i/>
          <w:color w:val="231F20"/>
          <w:spacing w:val="25"/>
        </w:rPr>
        <w:t> </w:t>
      </w:r>
      <w:r>
        <w:rPr>
          <w:rFonts w:ascii="Segoe UI" w:hAnsi="Segoe UI" w:cs="Segoe UI" w:eastAsia="Segoe UI"/>
          <w:color w:val="231F20"/>
        </w:rPr>
        <w:t>program has significantly improved retention</w:t>
      </w:r>
      <w:r>
        <w:rPr>
          <w:rFonts w:ascii="Segoe UI" w:hAnsi="Segoe UI" w:cs="Segoe UI" w:eastAsia="Segoe UI"/>
          <w:color w:val="231F20"/>
        </w:rPr>
        <w:t> </w:t>
      </w:r>
      <w:r>
        <w:rPr>
          <w:color w:val="231F20"/>
        </w:rPr>
        <w:t>and</w:t>
      </w:r>
      <w:r>
        <w:rPr>
          <w:color w:val="231F20"/>
          <w:spacing w:val="-7"/>
        </w:rPr>
        <w:t> </w:t>
      </w:r>
      <w:r>
        <w:rPr>
          <w:color w:val="231F20"/>
        </w:rPr>
        <w:t>reduced</w:t>
      </w:r>
      <w:r>
        <w:rPr>
          <w:color w:val="231F20"/>
          <w:spacing w:val="-6"/>
        </w:rPr>
        <w:t> </w:t>
      </w:r>
      <w:r>
        <w:rPr>
          <w:color w:val="231F20"/>
        </w:rPr>
        <w:t>homesickness</w:t>
      </w:r>
      <w:r>
        <w:rPr>
          <w:color w:val="231F20"/>
          <w:spacing w:val="-6"/>
        </w:rPr>
        <w:t> </w:t>
      </w:r>
      <w:r>
        <w:rPr>
          <w:color w:val="231F20"/>
        </w:rPr>
        <w:t>withdrawals</w:t>
      </w:r>
      <w:r>
        <w:rPr>
          <w:color w:val="231F20"/>
          <w:spacing w:val="-8"/>
        </w:rPr>
        <w:t> </w:t>
      </w:r>
      <w:r>
        <w:rPr>
          <w:color w:val="231F20"/>
        </w:rPr>
        <w:t>to</w:t>
      </w:r>
      <w:r>
        <w:rPr>
          <w:color w:val="231F20"/>
          <w:spacing w:val="-5"/>
        </w:rPr>
        <w:t> </w:t>
      </w:r>
      <w:r>
        <w:rPr>
          <w:color w:val="231F20"/>
          <w:spacing w:val="-1"/>
        </w:rPr>
        <w:t>zero</w:t>
      </w:r>
      <w:r>
        <w:rPr>
          <w:color w:val="231F20"/>
          <w:spacing w:val="19"/>
          <w:w w:val="99"/>
        </w:rPr>
        <w:t> </w:t>
      </w:r>
      <w:r>
        <w:rPr>
          <w:color w:val="231F20"/>
          <w:spacing w:val="-1"/>
        </w:rPr>
        <w:t>since</w:t>
      </w:r>
      <w:r>
        <w:rPr>
          <w:color w:val="231F20"/>
          <w:spacing w:val="-5"/>
        </w:rPr>
        <w:t> </w:t>
      </w:r>
      <w:r>
        <w:rPr>
          <w:color w:val="231F20"/>
          <w:spacing w:val="-1"/>
        </w:rPr>
        <w:t>it</w:t>
      </w:r>
      <w:r>
        <w:rPr>
          <w:color w:val="231F20"/>
          <w:spacing w:val="-4"/>
        </w:rPr>
        <w:t> </w:t>
      </w:r>
      <w:r>
        <w:rPr>
          <w:color w:val="231F20"/>
        </w:rPr>
        <w:t>was</w:t>
      </w:r>
      <w:r>
        <w:rPr>
          <w:color w:val="231F20"/>
          <w:spacing w:val="-6"/>
        </w:rPr>
        <w:t> </w:t>
      </w:r>
      <w:r>
        <w:rPr>
          <w:color w:val="231F20"/>
          <w:spacing w:val="-1"/>
        </w:rPr>
        <w:t>introduced.</w:t>
      </w:r>
      <w:r>
        <w:rPr/>
      </w:r>
    </w:p>
    <w:p>
      <w:pPr>
        <w:pStyle w:val="BodyText"/>
        <w:spacing w:line="250" w:lineRule="exact" w:before="113"/>
        <w:ind w:right="170"/>
        <w:jc w:val="left"/>
      </w:pPr>
      <w:r>
        <w:rPr>
          <w:color w:val="231F20"/>
          <w:spacing w:val="-1"/>
        </w:rPr>
        <w:t>In</w:t>
      </w:r>
      <w:r>
        <w:rPr>
          <w:color w:val="231F20"/>
          <w:spacing w:val="-3"/>
        </w:rPr>
        <w:t> </w:t>
      </w:r>
      <w:r>
        <w:rPr>
          <w:color w:val="231F20"/>
        </w:rPr>
        <w:t>the</w:t>
      </w:r>
      <w:r>
        <w:rPr>
          <w:color w:val="231F20"/>
          <w:spacing w:val="-3"/>
        </w:rPr>
        <w:t> </w:t>
      </w:r>
      <w:r>
        <w:rPr>
          <w:color w:val="231F20"/>
          <w:spacing w:val="-1"/>
        </w:rPr>
        <w:t>last</w:t>
      </w:r>
      <w:r>
        <w:rPr>
          <w:color w:val="231F20"/>
          <w:spacing w:val="-2"/>
        </w:rPr>
        <w:t> </w:t>
      </w:r>
      <w:r>
        <w:rPr>
          <w:color w:val="231F20"/>
          <w:spacing w:val="-1"/>
        </w:rPr>
        <w:t>15</w:t>
      </w:r>
      <w:r>
        <w:rPr>
          <w:color w:val="231F20"/>
          <w:spacing w:val="-3"/>
        </w:rPr>
        <w:t> </w:t>
      </w:r>
      <w:r>
        <w:rPr>
          <w:color w:val="231F20"/>
        </w:rPr>
        <w:t>years,</w:t>
      </w:r>
      <w:r>
        <w:rPr>
          <w:color w:val="231F20"/>
          <w:spacing w:val="-3"/>
        </w:rPr>
        <w:t> </w:t>
      </w:r>
      <w:r>
        <w:rPr>
          <w:color w:val="231F20"/>
          <w:spacing w:val="-1"/>
        </w:rPr>
        <w:t>77</w:t>
      </w:r>
      <w:r>
        <w:rPr>
          <w:color w:val="231F20"/>
          <w:spacing w:val="-3"/>
        </w:rPr>
        <w:t> </w:t>
      </w:r>
      <w:r>
        <w:rPr>
          <w:color w:val="231F20"/>
          <w:spacing w:val="-1"/>
        </w:rPr>
        <w:t>students</w:t>
      </w:r>
      <w:r>
        <w:rPr>
          <w:color w:val="231F20"/>
          <w:spacing w:val="-2"/>
        </w:rPr>
        <w:t> </w:t>
      </w:r>
      <w:r>
        <w:rPr>
          <w:color w:val="231F20"/>
        </w:rPr>
        <w:t>attending</w:t>
      </w:r>
      <w:r>
        <w:rPr>
          <w:color w:val="231F20"/>
          <w:spacing w:val="26"/>
          <w:w w:val="99"/>
        </w:rPr>
        <w:t> </w:t>
      </w:r>
      <w:r>
        <w:rPr>
          <w:color w:val="231F20"/>
          <w:spacing w:val="-1"/>
        </w:rPr>
        <w:t>Wiltja</w:t>
      </w:r>
      <w:r>
        <w:rPr>
          <w:color w:val="231F20"/>
          <w:spacing w:val="-7"/>
        </w:rPr>
        <w:t> </w:t>
      </w:r>
      <w:r>
        <w:rPr>
          <w:color w:val="231F20"/>
          <w:spacing w:val="-1"/>
        </w:rPr>
        <w:t>Boarding</w:t>
      </w:r>
      <w:r>
        <w:rPr>
          <w:color w:val="231F20"/>
          <w:spacing w:val="-6"/>
        </w:rPr>
        <w:t> </w:t>
      </w:r>
      <w:r>
        <w:rPr>
          <w:color w:val="231F20"/>
        </w:rPr>
        <w:t>have</w:t>
      </w:r>
      <w:r>
        <w:rPr>
          <w:color w:val="231F20"/>
          <w:spacing w:val="-7"/>
        </w:rPr>
        <w:t> </w:t>
      </w:r>
      <w:r>
        <w:rPr>
          <w:color w:val="231F20"/>
        </w:rPr>
        <w:t>completed</w:t>
      </w:r>
      <w:r>
        <w:rPr>
          <w:color w:val="231F20"/>
          <w:spacing w:val="-7"/>
        </w:rPr>
        <w:t> </w:t>
      </w:r>
      <w:r>
        <w:rPr>
          <w:color w:val="231F20"/>
        </w:rPr>
        <w:t>their</w:t>
      </w:r>
      <w:r>
        <w:rPr>
          <w:color w:val="231F20"/>
          <w:spacing w:val="-7"/>
        </w:rPr>
        <w:t> </w:t>
      </w:r>
      <w:r>
        <w:rPr>
          <w:color w:val="231F20"/>
          <w:spacing w:val="-1"/>
        </w:rPr>
        <w:t>South</w:t>
      </w:r>
      <w:r>
        <w:rPr>
          <w:color w:val="231F20"/>
          <w:spacing w:val="22"/>
          <w:w w:val="99"/>
        </w:rPr>
        <w:t> </w:t>
      </w:r>
      <w:r>
        <w:rPr>
          <w:rFonts w:ascii="Segoe UI"/>
          <w:color w:val="231F20"/>
        </w:rPr>
        <w:t>Australian Certificate of Education qualification</w:t>
      </w:r>
      <w:r>
        <w:rPr>
          <w:rFonts w:ascii="Segoe UI"/>
          <w:color w:val="231F20"/>
        </w:rPr>
        <w:t> </w:t>
      </w:r>
      <w:r>
        <w:rPr>
          <w:color w:val="231F20"/>
        </w:rPr>
        <w:t>compared</w:t>
      </w:r>
      <w:r>
        <w:rPr>
          <w:color w:val="231F20"/>
          <w:spacing w:val="-8"/>
        </w:rPr>
        <w:t> </w:t>
      </w:r>
      <w:r>
        <w:rPr>
          <w:color w:val="231F20"/>
        </w:rPr>
        <w:t>to</w:t>
      </w:r>
      <w:r>
        <w:rPr>
          <w:color w:val="231F20"/>
          <w:spacing w:val="-6"/>
        </w:rPr>
        <w:t> </w:t>
      </w:r>
      <w:r>
        <w:rPr>
          <w:color w:val="231F20"/>
        </w:rPr>
        <w:t>only</w:t>
      </w:r>
      <w:r>
        <w:rPr>
          <w:color w:val="231F20"/>
          <w:spacing w:val="-7"/>
        </w:rPr>
        <w:t> </w:t>
      </w:r>
      <w:r>
        <w:rPr>
          <w:color w:val="231F20"/>
        </w:rPr>
        <w:t>three</w:t>
      </w:r>
      <w:r>
        <w:rPr>
          <w:color w:val="231F20"/>
          <w:spacing w:val="-7"/>
        </w:rPr>
        <w:t> </w:t>
      </w:r>
      <w:r>
        <w:rPr>
          <w:color w:val="231F20"/>
        </w:rPr>
        <w:t>graduations</w:t>
      </w:r>
      <w:r>
        <w:rPr>
          <w:color w:val="231F20"/>
          <w:spacing w:val="-7"/>
        </w:rPr>
        <w:t> </w:t>
      </w:r>
      <w:r>
        <w:rPr>
          <w:color w:val="231F20"/>
        </w:rPr>
        <w:t>over</w:t>
      </w:r>
      <w:r>
        <w:rPr>
          <w:color w:val="231F20"/>
          <w:spacing w:val="-6"/>
        </w:rPr>
        <w:t> </w:t>
      </w:r>
      <w:r>
        <w:rPr>
          <w:color w:val="231F20"/>
        </w:rPr>
        <w:t>the</w:t>
      </w:r>
      <w:r>
        <w:rPr>
          <w:color w:val="231F20"/>
          <w:w w:val="99"/>
        </w:rPr>
        <w:t> </w:t>
      </w:r>
      <w:r>
        <w:rPr>
          <w:color w:val="231F20"/>
          <w:spacing w:val="-1"/>
        </w:rPr>
        <w:t>same</w:t>
      </w:r>
      <w:r>
        <w:rPr>
          <w:color w:val="231F20"/>
          <w:spacing w:val="-6"/>
        </w:rPr>
        <w:t> </w:t>
      </w:r>
      <w:r>
        <w:rPr>
          <w:color w:val="231F20"/>
        </w:rPr>
        <w:t>period</w:t>
      </w:r>
      <w:r>
        <w:rPr>
          <w:color w:val="231F20"/>
          <w:spacing w:val="-6"/>
        </w:rPr>
        <w:t> </w:t>
      </w:r>
      <w:r>
        <w:rPr>
          <w:color w:val="231F20"/>
        </w:rPr>
        <w:t>for</w:t>
      </w:r>
      <w:r>
        <w:rPr>
          <w:color w:val="231F20"/>
          <w:spacing w:val="-5"/>
        </w:rPr>
        <w:t> </w:t>
      </w:r>
      <w:r>
        <w:rPr>
          <w:color w:val="231F20"/>
          <w:spacing w:val="-1"/>
        </w:rPr>
        <w:t>students</w:t>
      </w:r>
      <w:r>
        <w:rPr>
          <w:color w:val="231F20"/>
          <w:spacing w:val="-5"/>
        </w:rPr>
        <w:t> </w:t>
      </w:r>
      <w:r>
        <w:rPr>
          <w:color w:val="231F20"/>
        </w:rPr>
        <w:t>attending</w:t>
      </w:r>
      <w:r>
        <w:rPr>
          <w:color w:val="231F20"/>
          <w:spacing w:val="-6"/>
        </w:rPr>
        <w:t> </w:t>
      </w:r>
      <w:r>
        <w:rPr>
          <w:color w:val="231F20"/>
          <w:spacing w:val="-1"/>
        </w:rPr>
        <w:t>secondary</w:t>
      </w:r>
      <w:r>
        <w:rPr>
          <w:color w:val="231F20"/>
          <w:spacing w:val="22"/>
          <w:w w:val="99"/>
        </w:rPr>
        <w:t> </w:t>
      </w:r>
      <w:r>
        <w:rPr>
          <w:color w:val="231F20"/>
          <w:spacing w:val="-1"/>
        </w:rPr>
        <w:t>school</w:t>
      </w:r>
      <w:r>
        <w:rPr>
          <w:color w:val="231F20"/>
          <w:spacing w:val="-2"/>
        </w:rPr>
        <w:t> </w:t>
      </w:r>
      <w:r>
        <w:rPr>
          <w:color w:val="231F20"/>
          <w:spacing w:val="-1"/>
        </w:rPr>
        <w:t>in</w:t>
      </w:r>
      <w:r>
        <w:rPr>
          <w:color w:val="231F20"/>
          <w:spacing w:val="-2"/>
        </w:rPr>
        <w:t> </w:t>
      </w:r>
      <w:r>
        <w:rPr>
          <w:color w:val="231F20"/>
        </w:rPr>
        <w:t>their</w:t>
      </w:r>
      <w:r>
        <w:rPr>
          <w:color w:val="231F20"/>
          <w:spacing w:val="-2"/>
        </w:rPr>
        <w:t> </w:t>
      </w:r>
      <w:r>
        <w:rPr>
          <w:color w:val="231F20"/>
        </w:rPr>
        <w:t>home</w:t>
      </w:r>
      <w:r>
        <w:rPr>
          <w:color w:val="231F20"/>
          <w:spacing w:val="-3"/>
        </w:rPr>
        <w:t> </w:t>
      </w:r>
      <w:r>
        <w:rPr>
          <w:color w:val="231F20"/>
        </w:rPr>
        <w:t>community</w:t>
      </w:r>
      <w:r>
        <w:rPr>
          <w:color w:val="231F20"/>
          <w:spacing w:val="-2"/>
        </w:rPr>
        <w:t> </w:t>
      </w:r>
      <w:r>
        <w:rPr>
          <w:color w:val="231F20"/>
        </w:rPr>
        <w:t>on</w:t>
      </w:r>
      <w:r>
        <w:rPr>
          <w:color w:val="231F20"/>
          <w:spacing w:val="-2"/>
        </w:rPr>
        <w:t> </w:t>
      </w:r>
      <w:r>
        <w:rPr>
          <w:color w:val="231F20"/>
        </w:rPr>
        <w:t>the</w:t>
      </w:r>
      <w:r>
        <w:rPr/>
      </w:r>
    </w:p>
    <w:p>
      <w:pPr>
        <w:pStyle w:val="BodyText"/>
        <w:spacing w:line="250" w:lineRule="exact"/>
        <w:ind w:right="0"/>
        <w:jc w:val="left"/>
      </w:pPr>
      <w:r>
        <w:rPr>
          <w:color w:val="231F20"/>
        </w:rPr>
        <w:t>APY</w:t>
      </w:r>
      <w:r>
        <w:rPr>
          <w:color w:val="231F20"/>
          <w:spacing w:val="-10"/>
        </w:rPr>
        <w:t> </w:t>
      </w:r>
      <w:r>
        <w:rPr>
          <w:color w:val="231F20"/>
        </w:rPr>
        <w:t>Lands.</w:t>
      </w:r>
      <w:r>
        <w:rPr/>
      </w:r>
    </w:p>
    <w:p>
      <w:pPr>
        <w:spacing w:after="0" w:line="250" w:lineRule="exact"/>
        <w:jc w:val="left"/>
        <w:sectPr>
          <w:type w:val="continuous"/>
          <w:pgSz w:w="11910" w:h="16840"/>
          <w:pgMar w:top="1580" w:bottom="280" w:left="1300" w:right="1600"/>
          <w:cols w:num="2" w:equalWidth="0">
            <w:col w:w="4367" w:space="225"/>
            <w:col w:w="4418"/>
          </w:cols>
        </w:sectPr>
      </w:pPr>
    </w:p>
    <w:p>
      <w:pPr>
        <w:spacing w:line="240" w:lineRule="auto" w:before="0"/>
        <w:rPr>
          <w:rFonts w:ascii="Segoe UI" w:hAnsi="Segoe UI" w:cs="Segoe UI" w:eastAsia="Segoe UI"/>
          <w:sz w:val="20"/>
          <w:szCs w:val="20"/>
        </w:rPr>
      </w:pPr>
    </w:p>
    <w:p>
      <w:pPr>
        <w:spacing w:line="240" w:lineRule="auto" w:before="1"/>
        <w:rPr>
          <w:rFonts w:ascii="Segoe UI" w:hAnsi="Segoe UI" w:cs="Segoe UI" w:eastAsia="Segoe UI"/>
          <w:sz w:val="20"/>
          <w:szCs w:val="20"/>
        </w:rPr>
      </w:pPr>
    </w:p>
    <w:p>
      <w:pPr>
        <w:pStyle w:val="Heading1"/>
        <w:numPr>
          <w:ilvl w:val="0"/>
          <w:numId w:val="6"/>
        </w:numPr>
        <w:tabs>
          <w:tab w:pos="821" w:val="left" w:leader="none"/>
        </w:tabs>
        <w:spacing w:line="180" w:lineRule="auto" w:before="100" w:after="0"/>
        <w:ind w:left="100" w:right="585" w:firstLine="0"/>
        <w:jc w:val="left"/>
      </w:pPr>
      <w:bookmarkStart w:name="_TOC_250002" w:id="34"/>
      <w:r>
        <w:rPr>
          <w:color w:val="67973F"/>
        </w:rPr>
        <w:t>Appendix</w:t>
      </w:r>
      <w:r>
        <w:rPr>
          <w:color w:val="67973F"/>
          <w:spacing w:val="-17"/>
        </w:rPr>
        <w:t> </w:t>
      </w:r>
      <w:r>
        <w:rPr>
          <w:color w:val="67973F"/>
        </w:rPr>
        <w:t>B</w:t>
      </w:r>
      <w:r>
        <w:rPr>
          <w:color w:val="67973F"/>
          <w:spacing w:val="-18"/>
        </w:rPr>
        <w:t> </w:t>
      </w:r>
      <w:r>
        <w:rPr>
          <w:color w:val="67973F"/>
        </w:rPr>
        <w:t>–</w:t>
      </w:r>
      <w:r>
        <w:rPr>
          <w:color w:val="67973F"/>
          <w:spacing w:val="-17"/>
        </w:rPr>
        <w:t> </w:t>
      </w:r>
      <w:r>
        <w:rPr>
          <w:color w:val="67973F"/>
          <w:spacing w:val="-1"/>
        </w:rPr>
        <w:t>Commonwealth</w:t>
      </w:r>
      <w:r>
        <w:rPr>
          <w:color w:val="67973F"/>
          <w:spacing w:val="-15"/>
        </w:rPr>
        <w:t> </w:t>
      </w:r>
      <w:r>
        <w:rPr>
          <w:color w:val="67973F"/>
        </w:rPr>
        <w:t>recurrent</w:t>
      </w:r>
      <w:r>
        <w:rPr>
          <w:color w:val="67973F"/>
          <w:spacing w:val="22"/>
          <w:w w:val="99"/>
        </w:rPr>
        <w:t> </w:t>
      </w:r>
      <w:r>
        <w:rPr>
          <w:color w:val="67973F"/>
          <w:spacing w:val="-1"/>
        </w:rPr>
        <w:t>school</w:t>
      </w:r>
      <w:r>
        <w:rPr>
          <w:color w:val="67973F"/>
          <w:spacing w:val="-15"/>
        </w:rPr>
        <w:t> </w:t>
      </w:r>
      <w:r>
        <w:rPr>
          <w:color w:val="67973F"/>
        </w:rPr>
        <w:t>funding</w:t>
      </w:r>
      <w:bookmarkEnd w:id="34"/>
      <w:r>
        <w:rPr/>
      </w:r>
    </w:p>
    <w:p>
      <w:pPr>
        <w:pStyle w:val="Heading4"/>
        <w:spacing w:line="300" w:lineRule="exact" w:before="225"/>
        <w:ind w:right="171"/>
        <w:jc w:val="left"/>
      </w:pPr>
      <w:r>
        <w:rPr>
          <w:color w:val="666155"/>
          <w:spacing w:val="-1"/>
        </w:rPr>
        <w:t>From</w:t>
      </w:r>
      <w:r>
        <w:rPr>
          <w:color w:val="666155"/>
          <w:spacing w:val="-3"/>
        </w:rPr>
        <w:t> </w:t>
      </w:r>
      <w:r>
        <w:rPr>
          <w:color w:val="666155"/>
        </w:rPr>
        <w:t>1</w:t>
      </w:r>
      <w:r>
        <w:rPr>
          <w:color w:val="666155"/>
          <w:spacing w:val="-2"/>
        </w:rPr>
        <w:t> </w:t>
      </w:r>
      <w:r>
        <w:rPr>
          <w:color w:val="666155"/>
        </w:rPr>
        <w:t>January</w:t>
      </w:r>
      <w:r>
        <w:rPr>
          <w:color w:val="666155"/>
          <w:spacing w:val="-2"/>
        </w:rPr>
        <w:t> </w:t>
      </w:r>
      <w:r>
        <w:rPr>
          <w:color w:val="666155"/>
          <w:spacing w:val="-1"/>
        </w:rPr>
        <w:t>2018</w:t>
      </w:r>
      <w:r>
        <w:rPr>
          <w:color w:val="666155"/>
          <w:spacing w:val="-3"/>
        </w:rPr>
        <w:t> </w:t>
      </w:r>
      <w:r>
        <w:rPr>
          <w:color w:val="666155"/>
        </w:rPr>
        <w:t>amendments</w:t>
      </w:r>
      <w:r>
        <w:rPr>
          <w:color w:val="666155"/>
          <w:spacing w:val="-3"/>
        </w:rPr>
        <w:t> </w:t>
      </w:r>
      <w:r>
        <w:rPr>
          <w:color w:val="666155"/>
        </w:rPr>
        <w:t>to</w:t>
      </w:r>
      <w:r>
        <w:rPr>
          <w:color w:val="666155"/>
          <w:spacing w:val="-2"/>
        </w:rPr>
        <w:t> </w:t>
      </w:r>
      <w:r>
        <w:rPr>
          <w:color w:val="666155"/>
        </w:rPr>
        <w:t>the</w:t>
      </w:r>
      <w:r>
        <w:rPr>
          <w:color w:val="666155"/>
          <w:spacing w:val="-3"/>
        </w:rPr>
        <w:t> </w:t>
      </w:r>
      <w:r>
        <w:rPr>
          <w:rFonts w:ascii="Segoe UI"/>
          <w:i/>
          <w:color w:val="666155"/>
          <w:spacing w:val="-1"/>
        </w:rPr>
        <w:t>Australian</w:t>
      </w:r>
      <w:r>
        <w:rPr>
          <w:rFonts w:ascii="Segoe UI"/>
          <w:i/>
          <w:color w:val="666155"/>
          <w:spacing w:val="-3"/>
        </w:rPr>
        <w:t> </w:t>
      </w:r>
      <w:r>
        <w:rPr>
          <w:rFonts w:ascii="Segoe UI"/>
          <w:i/>
          <w:color w:val="666155"/>
        </w:rPr>
        <w:t>Education</w:t>
      </w:r>
      <w:r>
        <w:rPr>
          <w:rFonts w:ascii="Segoe UI"/>
          <w:i/>
          <w:color w:val="666155"/>
          <w:spacing w:val="-2"/>
        </w:rPr>
        <w:t> </w:t>
      </w:r>
      <w:r>
        <w:rPr>
          <w:rFonts w:ascii="Segoe UI"/>
          <w:i/>
          <w:color w:val="666155"/>
        </w:rPr>
        <w:t>Act</w:t>
      </w:r>
      <w:r>
        <w:rPr>
          <w:rFonts w:ascii="Segoe UI"/>
          <w:i/>
          <w:color w:val="666155"/>
          <w:spacing w:val="-3"/>
        </w:rPr>
        <w:t> </w:t>
      </w:r>
      <w:r>
        <w:rPr>
          <w:rFonts w:ascii="Segoe UI"/>
          <w:i/>
          <w:color w:val="666155"/>
        </w:rPr>
        <w:t>2013</w:t>
      </w:r>
      <w:r>
        <w:rPr>
          <w:rFonts w:ascii="Segoe UI"/>
          <w:i/>
          <w:color w:val="666155"/>
          <w:spacing w:val="-3"/>
        </w:rPr>
        <w:t> </w:t>
      </w:r>
      <w:r>
        <w:rPr>
          <w:color w:val="666155"/>
        </w:rPr>
        <w:t>(the</w:t>
      </w:r>
      <w:r>
        <w:rPr>
          <w:color w:val="666155"/>
          <w:spacing w:val="-4"/>
        </w:rPr>
        <w:t> </w:t>
      </w:r>
      <w:r>
        <w:rPr>
          <w:color w:val="666155"/>
        </w:rPr>
        <w:t>Act)</w:t>
      </w:r>
      <w:r>
        <w:rPr>
          <w:color w:val="666155"/>
          <w:spacing w:val="21"/>
          <w:w w:val="99"/>
        </w:rPr>
        <w:t> </w:t>
      </w:r>
      <w:r>
        <w:rPr>
          <w:rFonts w:ascii="Segoe UI"/>
          <w:color w:val="666155"/>
        </w:rPr>
        <w:t>took</w:t>
      </w:r>
      <w:r>
        <w:rPr>
          <w:rFonts w:ascii="Segoe UI"/>
          <w:color w:val="666155"/>
          <w:spacing w:val="-1"/>
        </w:rPr>
        <w:t> </w:t>
      </w:r>
      <w:r>
        <w:rPr>
          <w:rFonts w:ascii="Segoe UI"/>
          <w:color w:val="666155"/>
        </w:rPr>
        <w:t>effect. Schools</w:t>
      </w:r>
      <w:r>
        <w:rPr>
          <w:rFonts w:ascii="Segoe UI"/>
          <w:color w:val="666155"/>
          <w:spacing w:val="-1"/>
        </w:rPr>
        <w:t> </w:t>
      </w:r>
      <w:r>
        <w:rPr>
          <w:rFonts w:ascii="Segoe UI"/>
          <w:color w:val="666155"/>
        </w:rPr>
        <w:t>are transitioning</w:t>
      </w:r>
      <w:r>
        <w:rPr>
          <w:rFonts w:ascii="Segoe UI"/>
          <w:color w:val="666155"/>
          <w:spacing w:val="-1"/>
        </w:rPr>
        <w:t> </w:t>
      </w:r>
      <w:r>
        <w:rPr>
          <w:rFonts w:ascii="Segoe UI"/>
          <w:color w:val="666155"/>
        </w:rPr>
        <w:t>over 6 or</w:t>
      </w:r>
      <w:r>
        <w:rPr>
          <w:rFonts w:ascii="Segoe UI"/>
          <w:color w:val="666155"/>
          <w:spacing w:val="-1"/>
        </w:rPr>
        <w:t> </w:t>
      </w:r>
      <w:r>
        <w:rPr>
          <w:rFonts w:ascii="Segoe UI"/>
          <w:color w:val="666155"/>
        </w:rPr>
        <w:t>10 years</w:t>
      </w:r>
      <w:r>
        <w:rPr>
          <w:rFonts w:ascii="Segoe UI"/>
          <w:color w:val="666155"/>
          <w:spacing w:val="-1"/>
        </w:rPr>
        <w:t> </w:t>
      </w:r>
      <w:r>
        <w:rPr>
          <w:rFonts w:ascii="Segoe UI"/>
          <w:color w:val="666155"/>
        </w:rPr>
        <w:t>to 80</w:t>
      </w:r>
      <w:r>
        <w:rPr>
          <w:rFonts w:ascii="Segoe UI"/>
          <w:color w:val="666155"/>
          <w:spacing w:val="-1"/>
        </w:rPr>
        <w:t> </w:t>
      </w:r>
      <w:r>
        <w:rPr>
          <w:rFonts w:ascii="Segoe UI"/>
          <w:color w:val="666155"/>
        </w:rPr>
        <w:t>per cent</w:t>
      </w:r>
      <w:r>
        <w:rPr>
          <w:rFonts w:ascii="Segoe UI"/>
          <w:color w:val="666155"/>
          <w:spacing w:val="-1"/>
        </w:rPr>
        <w:t> </w:t>
      </w:r>
      <w:r>
        <w:rPr>
          <w:rFonts w:ascii="Segoe UI"/>
          <w:color w:val="666155"/>
        </w:rPr>
        <w:t>of the</w:t>
      </w:r>
      <w:r>
        <w:rPr>
          <w:rFonts w:ascii="Segoe UI"/>
          <w:color w:val="666155"/>
        </w:rPr>
        <w:t> </w:t>
      </w:r>
      <w:r>
        <w:rPr>
          <w:color w:val="666155"/>
          <w:spacing w:val="-1"/>
        </w:rPr>
        <w:t>Schooling</w:t>
      </w:r>
      <w:r>
        <w:rPr>
          <w:color w:val="666155"/>
          <w:spacing w:val="-5"/>
        </w:rPr>
        <w:t> </w:t>
      </w:r>
      <w:r>
        <w:rPr>
          <w:color w:val="666155"/>
          <w:spacing w:val="-1"/>
        </w:rPr>
        <w:t>Resource</w:t>
      </w:r>
      <w:r>
        <w:rPr>
          <w:color w:val="666155"/>
          <w:spacing w:val="-6"/>
        </w:rPr>
        <w:t> </w:t>
      </w:r>
      <w:r>
        <w:rPr>
          <w:color w:val="666155"/>
          <w:spacing w:val="-1"/>
        </w:rPr>
        <w:t>Standard</w:t>
      </w:r>
      <w:r>
        <w:rPr>
          <w:color w:val="666155"/>
          <w:spacing w:val="-6"/>
        </w:rPr>
        <w:t> </w:t>
      </w:r>
      <w:r>
        <w:rPr>
          <w:color w:val="666155"/>
        </w:rPr>
        <w:t>(SRS)</w:t>
      </w:r>
      <w:r>
        <w:rPr>
          <w:color w:val="666155"/>
          <w:spacing w:val="-6"/>
        </w:rPr>
        <w:t> </w:t>
      </w:r>
      <w:r>
        <w:rPr>
          <w:color w:val="666155"/>
        </w:rPr>
        <w:t>for</w:t>
      </w:r>
      <w:r>
        <w:rPr>
          <w:color w:val="666155"/>
          <w:spacing w:val="-5"/>
        </w:rPr>
        <w:t> </w:t>
      </w:r>
      <w:r>
        <w:rPr>
          <w:color w:val="666155"/>
        </w:rPr>
        <w:t>non-government</w:t>
      </w:r>
      <w:r>
        <w:rPr>
          <w:color w:val="666155"/>
          <w:spacing w:val="-6"/>
        </w:rPr>
        <w:t> </w:t>
      </w:r>
      <w:r>
        <w:rPr>
          <w:color w:val="666155"/>
          <w:spacing w:val="-1"/>
        </w:rPr>
        <w:t>schools</w:t>
      </w:r>
      <w:r>
        <w:rPr>
          <w:color w:val="666155"/>
          <w:spacing w:val="-5"/>
        </w:rPr>
        <w:t> </w:t>
      </w:r>
      <w:r>
        <w:rPr>
          <w:color w:val="666155"/>
        </w:rPr>
        <w:t>and</w:t>
      </w:r>
      <w:r>
        <w:rPr>
          <w:color w:val="666155"/>
          <w:spacing w:val="-6"/>
        </w:rPr>
        <w:t> </w:t>
      </w:r>
      <w:r>
        <w:rPr>
          <w:color w:val="666155"/>
          <w:spacing w:val="-1"/>
        </w:rPr>
        <w:t>20</w:t>
      </w:r>
      <w:r>
        <w:rPr>
          <w:color w:val="666155"/>
          <w:spacing w:val="-5"/>
        </w:rPr>
        <w:t> </w:t>
      </w:r>
      <w:r>
        <w:rPr>
          <w:color w:val="666155"/>
        </w:rPr>
        <w:t>per</w:t>
      </w:r>
      <w:r>
        <w:rPr>
          <w:color w:val="666155"/>
          <w:spacing w:val="-5"/>
        </w:rPr>
        <w:t> </w:t>
      </w:r>
      <w:r>
        <w:rPr>
          <w:color w:val="666155"/>
        </w:rPr>
        <w:t>cent</w:t>
      </w:r>
      <w:r>
        <w:rPr>
          <w:color w:val="666155"/>
          <w:spacing w:val="25"/>
          <w:w w:val="99"/>
        </w:rPr>
        <w:t> </w:t>
      </w:r>
      <w:r>
        <w:rPr>
          <w:color w:val="666155"/>
        </w:rPr>
        <w:t>for</w:t>
      </w:r>
      <w:r>
        <w:rPr>
          <w:color w:val="666155"/>
          <w:spacing w:val="-4"/>
        </w:rPr>
        <w:t> </w:t>
      </w:r>
      <w:r>
        <w:rPr>
          <w:color w:val="666155"/>
        </w:rPr>
        <w:t>government</w:t>
      </w:r>
      <w:r>
        <w:rPr>
          <w:color w:val="666155"/>
          <w:spacing w:val="-5"/>
        </w:rPr>
        <w:t> </w:t>
      </w:r>
      <w:r>
        <w:rPr>
          <w:color w:val="666155"/>
          <w:spacing w:val="-1"/>
        </w:rPr>
        <w:t>schools.</w:t>
      </w:r>
      <w:r>
        <w:rPr>
          <w:color w:val="666155"/>
          <w:spacing w:val="-3"/>
        </w:rPr>
        <w:t> </w:t>
      </w:r>
      <w:r>
        <w:rPr>
          <w:color w:val="666155"/>
        </w:rPr>
        <w:t>The</w:t>
      </w:r>
      <w:r>
        <w:rPr>
          <w:color w:val="666155"/>
          <w:spacing w:val="-4"/>
        </w:rPr>
        <w:t> </w:t>
      </w:r>
      <w:r>
        <w:rPr>
          <w:color w:val="666155"/>
          <w:spacing w:val="-1"/>
        </w:rPr>
        <w:t>Schooling</w:t>
      </w:r>
      <w:r>
        <w:rPr>
          <w:color w:val="666155"/>
          <w:spacing w:val="-4"/>
        </w:rPr>
        <w:t> </w:t>
      </w:r>
      <w:r>
        <w:rPr>
          <w:color w:val="666155"/>
          <w:spacing w:val="-1"/>
        </w:rPr>
        <w:t>Resource</w:t>
      </w:r>
      <w:r>
        <w:rPr>
          <w:color w:val="666155"/>
          <w:spacing w:val="-5"/>
        </w:rPr>
        <w:t> </w:t>
      </w:r>
      <w:r>
        <w:rPr>
          <w:color w:val="666155"/>
          <w:spacing w:val="-1"/>
        </w:rPr>
        <w:t>Standard</w:t>
      </w:r>
      <w:r>
        <w:rPr>
          <w:color w:val="666155"/>
          <w:spacing w:val="-5"/>
        </w:rPr>
        <w:t> </w:t>
      </w:r>
      <w:r>
        <w:rPr>
          <w:color w:val="666155"/>
        </w:rPr>
        <w:t>(SRS)</w:t>
      </w:r>
      <w:r>
        <w:rPr>
          <w:color w:val="666155"/>
          <w:spacing w:val="-4"/>
        </w:rPr>
        <w:t> </w:t>
      </w:r>
      <w:r>
        <w:rPr>
          <w:color w:val="666155"/>
          <w:spacing w:val="-1"/>
        </w:rPr>
        <w:t>is</w:t>
      </w:r>
      <w:r>
        <w:rPr>
          <w:color w:val="666155"/>
          <w:spacing w:val="-5"/>
        </w:rPr>
        <w:t> </w:t>
      </w:r>
      <w:r>
        <w:rPr>
          <w:color w:val="666155"/>
        </w:rPr>
        <w:t>an</w:t>
      </w:r>
      <w:r>
        <w:rPr>
          <w:color w:val="666155"/>
          <w:spacing w:val="-5"/>
        </w:rPr>
        <w:t> </w:t>
      </w:r>
      <w:r>
        <w:rPr>
          <w:color w:val="666155"/>
        </w:rPr>
        <w:t>estimate</w:t>
      </w:r>
      <w:r>
        <w:rPr>
          <w:color w:val="666155"/>
          <w:spacing w:val="-5"/>
        </w:rPr>
        <w:t> </w:t>
      </w:r>
      <w:r>
        <w:rPr>
          <w:color w:val="666155"/>
        </w:rPr>
        <w:t>of</w:t>
      </w:r>
      <w:r>
        <w:rPr>
          <w:color w:val="666155"/>
          <w:spacing w:val="24"/>
          <w:w w:val="99"/>
        </w:rPr>
        <w:t> </w:t>
      </w:r>
      <w:r>
        <w:rPr>
          <w:color w:val="666155"/>
        </w:rPr>
        <w:t>how</w:t>
      </w:r>
      <w:r>
        <w:rPr>
          <w:color w:val="666155"/>
          <w:spacing w:val="-4"/>
        </w:rPr>
        <w:t> </w:t>
      </w:r>
      <w:r>
        <w:rPr>
          <w:color w:val="666155"/>
          <w:spacing w:val="-1"/>
        </w:rPr>
        <w:t>much</w:t>
      </w:r>
      <w:r>
        <w:rPr>
          <w:color w:val="666155"/>
          <w:spacing w:val="-3"/>
        </w:rPr>
        <w:t> </w:t>
      </w:r>
      <w:r>
        <w:rPr>
          <w:color w:val="666155"/>
        </w:rPr>
        <w:t>total</w:t>
      </w:r>
      <w:r>
        <w:rPr>
          <w:color w:val="666155"/>
          <w:spacing w:val="-4"/>
        </w:rPr>
        <w:t> </w:t>
      </w:r>
      <w:r>
        <w:rPr>
          <w:color w:val="666155"/>
        </w:rPr>
        <w:t>public</w:t>
      </w:r>
      <w:r>
        <w:rPr>
          <w:color w:val="666155"/>
          <w:spacing w:val="-4"/>
        </w:rPr>
        <w:t> </w:t>
      </w:r>
      <w:r>
        <w:rPr>
          <w:color w:val="666155"/>
        </w:rPr>
        <w:t>funding</w:t>
      </w:r>
      <w:r>
        <w:rPr>
          <w:color w:val="666155"/>
          <w:spacing w:val="-4"/>
        </w:rPr>
        <w:t> </w:t>
      </w:r>
      <w:r>
        <w:rPr>
          <w:color w:val="666155"/>
        </w:rPr>
        <w:t>a</w:t>
      </w:r>
      <w:r>
        <w:rPr>
          <w:color w:val="666155"/>
          <w:spacing w:val="-3"/>
        </w:rPr>
        <w:t> </w:t>
      </w:r>
      <w:r>
        <w:rPr>
          <w:color w:val="666155"/>
          <w:spacing w:val="-1"/>
        </w:rPr>
        <w:t>school</w:t>
      </w:r>
      <w:r>
        <w:rPr>
          <w:color w:val="666155"/>
          <w:spacing w:val="-3"/>
        </w:rPr>
        <w:t> </w:t>
      </w:r>
      <w:r>
        <w:rPr>
          <w:color w:val="666155"/>
        </w:rPr>
        <w:t>needs</w:t>
      </w:r>
      <w:r>
        <w:rPr>
          <w:color w:val="666155"/>
          <w:spacing w:val="-4"/>
        </w:rPr>
        <w:t> </w:t>
      </w:r>
      <w:r>
        <w:rPr>
          <w:color w:val="666155"/>
        </w:rPr>
        <w:t>to</w:t>
      </w:r>
      <w:r>
        <w:rPr>
          <w:color w:val="666155"/>
          <w:spacing w:val="-4"/>
        </w:rPr>
        <w:t> </w:t>
      </w:r>
      <w:r>
        <w:rPr>
          <w:color w:val="666155"/>
          <w:spacing w:val="-1"/>
        </w:rPr>
        <w:t>meet</w:t>
      </w:r>
      <w:r>
        <w:rPr>
          <w:color w:val="666155"/>
          <w:spacing w:val="-3"/>
        </w:rPr>
        <w:t> </w:t>
      </w:r>
      <w:r>
        <w:rPr>
          <w:color w:val="666155"/>
        </w:rPr>
        <w:t>the</w:t>
      </w:r>
      <w:r>
        <w:rPr>
          <w:color w:val="666155"/>
          <w:spacing w:val="-4"/>
        </w:rPr>
        <w:t> </w:t>
      </w:r>
      <w:r>
        <w:rPr>
          <w:color w:val="666155"/>
        </w:rPr>
        <w:t>educational</w:t>
      </w:r>
      <w:r>
        <w:rPr>
          <w:color w:val="666155"/>
          <w:spacing w:val="-4"/>
        </w:rPr>
        <w:t> </w:t>
      </w:r>
      <w:r>
        <w:rPr>
          <w:color w:val="666155"/>
        </w:rPr>
        <w:t>needs</w:t>
      </w:r>
      <w:r>
        <w:rPr>
          <w:color w:val="666155"/>
          <w:spacing w:val="-5"/>
        </w:rPr>
        <w:t> </w:t>
      </w:r>
      <w:r>
        <w:rPr>
          <w:color w:val="666155"/>
        </w:rPr>
        <w:t>of</w:t>
      </w:r>
      <w:r>
        <w:rPr>
          <w:color w:val="666155"/>
          <w:spacing w:val="-3"/>
        </w:rPr>
        <w:t> </w:t>
      </w:r>
      <w:r>
        <w:rPr>
          <w:color w:val="666155"/>
          <w:spacing w:val="-1"/>
        </w:rPr>
        <w:t>its</w:t>
      </w:r>
      <w:r>
        <w:rPr>
          <w:color w:val="666155"/>
          <w:spacing w:val="23"/>
        </w:rPr>
        <w:t> </w:t>
      </w:r>
      <w:r>
        <w:rPr>
          <w:color w:val="666155"/>
          <w:spacing w:val="-1"/>
        </w:rPr>
        <w:t>students,</w:t>
      </w:r>
      <w:r>
        <w:rPr>
          <w:color w:val="666155"/>
          <w:spacing w:val="-5"/>
        </w:rPr>
        <w:t> </w:t>
      </w:r>
      <w:r>
        <w:rPr>
          <w:color w:val="666155"/>
        </w:rPr>
        <w:t>as</w:t>
      </w:r>
      <w:r>
        <w:rPr>
          <w:color w:val="666155"/>
          <w:spacing w:val="-7"/>
        </w:rPr>
        <w:t> </w:t>
      </w:r>
      <w:r>
        <w:rPr>
          <w:color w:val="666155"/>
        </w:rPr>
        <w:t>recommended</w:t>
      </w:r>
      <w:r>
        <w:rPr>
          <w:color w:val="666155"/>
          <w:spacing w:val="-7"/>
        </w:rPr>
        <w:t> </w:t>
      </w:r>
      <w:r>
        <w:rPr>
          <w:color w:val="666155"/>
        </w:rPr>
        <w:t>by</w:t>
      </w:r>
      <w:r>
        <w:rPr>
          <w:color w:val="666155"/>
          <w:spacing w:val="-6"/>
        </w:rPr>
        <w:t> </w:t>
      </w:r>
      <w:r>
        <w:rPr>
          <w:color w:val="666155"/>
        </w:rPr>
        <w:t>the</w:t>
      </w:r>
      <w:r>
        <w:rPr>
          <w:color w:val="666155"/>
          <w:spacing w:val="-7"/>
        </w:rPr>
        <w:t> </w:t>
      </w:r>
      <w:r>
        <w:rPr>
          <w:color w:val="666155"/>
          <w:spacing w:val="-1"/>
        </w:rPr>
        <w:t>2011</w:t>
      </w:r>
      <w:r>
        <w:rPr>
          <w:color w:val="666155"/>
          <w:spacing w:val="-5"/>
        </w:rPr>
        <w:t> </w:t>
      </w:r>
      <w:r>
        <w:rPr>
          <w:color w:val="666155"/>
        </w:rPr>
        <w:t>Gonski</w:t>
      </w:r>
      <w:r>
        <w:rPr>
          <w:color w:val="666155"/>
          <w:spacing w:val="-7"/>
        </w:rPr>
        <w:t> </w:t>
      </w:r>
      <w:r>
        <w:rPr>
          <w:color w:val="666155"/>
          <w:spacing w:val="-2"/>
        </w:rPr>
        <w:t>Review</w:t>
      </w:r>
      <w:r>
        <w:rPr>
          <w:color w:val="666155"/>
          <w:spacing w:val="-6"/>
        </w:rPr>
        <w:t> </w:t>
      </w:r>
      <w:r>
        <w:rPr>
          <w:color w:val="666155"/>
        </w:rPr>
        <w:t>of</w:t>
      </w:r>
      <w:r>
        <w:rPr>
          <w:color w:val="666155"/>
          <w:spacing w:val="-6"/>
        </w:rPr>
        <w:t> </w:t>
      </w:r>
      <w:r>
        <w:rPr>
          <w:color w:val="666155"/>
          <w:spacing w:val="-1"/>
        </w:rPr>
        <w:t>Funding</w:t>
      </w:r>
      <w:r>
        <w:rPr>
          <w:color w:val="666155"/>
          <w:spacing w:val="-6"/>
        </w:rPr>
        <w:t> </w:t>
      </w:r>
      <w:r>
        <w:rPr>
          <w:color w:val="666155"/>
        </w:rPr>
        <w:t>for</w:t>
      </w:r>
      <w:r>
        <w:rPr>
          <w:color w:val="666155"/>
          <w:spacing w:val="-5"/>
        </w:rPr>
        <w:t> </w:t>
      </w:r>
      <w:r>
        <w:rPr>
          <w:color w:val="666155"/>
          <w:spacing w:val="-1"/>
        </w:rPr>
        <w:t>Schooling.</w:t>
      </w:r>
      <w:r>
        <w:rPr/>
      </w:r>
    </w:p>
    <w:p>
      <w:pPr>
        <w:spacing w:line="240" w:lineRule="auto" w:before="4"/>
        <w:rPr>
          <w:rFonts w:ascii="Segoe UI" w:hAnsi="Segoe UI" w:cs="Segoe UI" w:eastAsia="Segoe UI"/>
          <w:sz w:val="27"/>
          <w:szCs w:val="27"/>
        </w:rPr>
      </w:pPr>
    </w:p>
    <w:p>
      <w:pPr>
        <w:spacing w:line="200" w:lineRule="atLeast"/>
        <w:ind w:left="100" w:right="0" w:firstLine="0"/>
        <w:rPr>
          <w:rFonts w:ascii="Segoe UI" w:hAnsi="Segoe UI" w:cs="Segoe UI" w:eastAsia="Segoe UI"/>
          <w:sz w:val="20"/>
          <w:szCs w:val="20"/>
        </w:rPr>
      </w:pPr>
      <w:r>
        <w:rPr>
          <w:rFonts w:ascii="Segoe UI" w:hAnsi="Segoe UI" w:cs="Segoe UI" w:eastAsia="Segoe UI"/>
          <w:sz w:val="20"/>
          <w:szCs w:val="20"/>
        </w:rPr>
        <w:pict>
          <v:group style="width:426.65pt;height:150.25pt;mso-position-horizontal-relative:char;mso-position-vertical-relative:line" coordorigin="0,0" coordsize="8533,3005">
            <v:group style="position:absolute;left:0;top:0;width:8533;height:3005" coordorigin="0,0" coordsize="8533,3005">
              <v:shape style="position:absolute;left:0;top:0;width:8533;height:3005" coordorigin="0,0" coordsize="8533,3005" path="m0,3005l8532,3005,8532,0,0,0,0,3005xe" filled="true" fillcolor="#231f20" stroked="false">
                <v:path arrowok="t"/>
                <v:fill type="solid"/>
              </v:shape>
              <v:shape style="position:absolute;left:0;top:0;width:8532;height:3005" type="#_x0000_t75" stroked="false">
                <v:imagedata r:id="rId103" o:title=""/>
              </v:shape>
            </v:group>
          </v:group>
        </w:pict>
      </w:r>
      <w:r>
        <w:rPr>
          <w:rFonts w:ascii="Segoe UI" w:hAnsi="Segoe UI" w:cs="Segoe UI" w:eastAsia="Segoe UI"/>
          <w:sz w:val="20"/>
          <w:szCs w:val="20"/>
        </w:rPr>
      </w:r>
    </w:p>
    <w:p>
      <w:pPr>
        <w:spacing w:line="240" w:lineRule="auto" w:before="8"/>
        <w:rPr>
          <w:rFonts w:ascii="Segoe UI" w:hAnsi="Segoe UI" w:cs="Segoe UI" w:eastAsia="Segoe UI"/>
          <w:sz w:val="31"/>
          <w:szCs w:val="31"/>
        </w:rPr>
      </w:pPr>
    </w:p>
    <w:p>
      <w:pPr>
        <w:pStyle w:val="Heading3"/>
        <w:spacing w:line="240" w:lineRule="auto" w:before="0"/>
        <w:ind w:left="100" w:right="0"/>
        <w:jc w:val="left"/>
      </w:pPr>
      <w:r>
        <w:rPr>
          <w:b/>
          <w:color w:val="00779B"/>
        </w:rPr>
        <w:t>What</w:t>
      </w:r>
      <w:r>
        <w:rPr>
          <w:b/>
          <w:color w:val="00779B"/>
          <w:spacing w:val="-2"/>
        </w:rPr>
        <w:t> </w:t>
      </w:r>
      <w:r>
        <w:rPr>
          <w:b/>
          <w:color w:val="00779B"/>
          <w:spacing w:val="-1"/>
        </w:rPr>
        <w:t>is</w:t>
      </w:r>
      <w:r>
        <w:rPr>
          <w:b/>
          <w:color w:val="00779B"/>
        </w:rPr>
        <w:t> </w:t>
      </w:r>
      <w:r>
        <w:rPr>
          <w:b/>
          <w:color w:val="00779B"/>
          <w:spacing w:val="-1"/>
        </w:rPr>
        <w:t>the Schooling</w:t>
      </w:r>
      <w:r>
        <w:rPr>
          <w:b/>
          <w:color w:val="00779B"/>
          <w:spacing w:val="1"/>
        </w:rPr>
        <w:t> </w:t>
      </w:r>
      <w:r>
        <w:rPr>
          <w:b/>
          <w:color w:val="00779B"/>
          <w:spacing w:val="-2"/>
        </w:rPr>
        <w:t>Resource</w:t>
      </w:r>
      <w:r>
        <w:rPr>
          <w:b/>
          <w:color w:val="00779B"/>
        </w:rPr>
        <w:t> </w:t>
      </w:r>
      <w:r>
        <w:rPr>
          <w:b/>
          <w:color w:val="00779B"/>
          <w:spacing w:val="-2"/>
        </w:rPr>
        <w:t>Standard</w:t>
      </w:r>
      <w:r>
        <w:rPr>
          <w:b/>
          <w:color w:val="00779B"/>
          <w:spacing w:val="-1"/>
        </w:rPr>
        <w:t> </w:t>
      </w:r>
      <w:r>
        <w:rPr>
          <w:b/>
          <w:color w:val="00779B"/>
        </w:rPr>
        <w:t>and</w:t>
      </w:r>
      <w:r>
        <w:rPr>
          <w:b/>
          <w:color w:val="00779B"/>
          <w:spacing w:val="-1"/>
        </w:rPr>
        <w:t> </w:t>
      </w:r>
      <w:r>
        <w:rPr>
          <w:b/>
          <w:color w:val="00779B"/>
        </w:rPr>
        <w:t>how</w:t>
      </w:r>
      <w:r>
        <w:rPr>
          <w:b/>
          <w:color w:val="00779B"/>
          <w:spacing w:val="-1"/>
        </w:rPr>
        <w:t> </w:t>
      </w:r>
      <w:r>
        <w:rPr>
          <w:b/>
          <w:color w:val="00779B"/>
        </w:rPr>
        <w:t>does</w:t>
      </w:r>
      <w:r>
        <w:rPr>
          <w:b/>
          <w:color w:val="00779B"/>
          <w:spacing w:val="-2"/>
        </w:rPr>
        <w:t> </w:t>
      </w:r>
      <w:r>
        <w:rPr>
          <w:b/>
          <w:color w:val="00779B"/>
          <w:spacing w:val="-1"/>
        </w:rPr>
        <w:t>it </w:t>
      </w:r>
      <w:r>
        <w:rPr>
          <w:b/>
          <w:color w:val="00779B"/>
          <w:spacing w:val="-2"/>
        </w:rPr>
        <w:t>work?</w:t>
      </w:r>
      <w:r>
        <w:rPr/>
      </w:r>
    </w:p>
    <w:p>
      <w:pPr>
        <w:pStyle w:val="BodyText"/>
        <w:spacing w:line="250" w:lineRule="exact" w:before="64"/>
        <w:ind w:left="100" w:right="296"/>
        <w:jc w:val="left"/>
      </w:pPr>
      <w:r>
        <w:rPr>
          <w:color w:val="231F20"/>
        </w:rPr>
        <w:t>The</w:t>
      </w:r>
      <w:r>
        <w:rPr>
          <w:color w:val="231F20"/>
          <w:spacing w:val="-3"/>
        </w:rPr>
        <w:t> </w:t>
      </w:r>
      <w:r>
        <w:rPr>
          <w:color w:val="231F20"/>
          <w:spacing w:val="-1"/>
        </w:rPr>
        <w:t>Schooling</w:t>
      </w:r>
      <w:r>
        <w:rPr>
          <w:color w:val="231F20"/>
          <w:spacing w:val="-3"/>
        </w:rPr>
        <w:t> </w:t>
      </w:r>
      <w:r>
        <w:rPr>
          <w:color w:val="231F20"/>
          <w:spacing w:val="-1"/>
        </w:rPr>
        <w:t>Resource</w:t>
      </w:r>
      <w:r>
        <w:rPr>
          <w:color w:val="231F20"/>
          <w:spacing w:val="-4"/>
        </w:rPr>
        <w:t> </w:t>
      </w:r>
      <w:r>
        <w:rPr>
          <w:color w:val="231F20"/>
          <w:spacing w:val="-1"/>
        </w:rPr>
        <w:t>Standard</w:t>
      </w:r>
      <w:r>
        <w:rPr>
          <w:color w:val="231F20"/>
          <w:spacing w:val="-4"/>
        </w:rPr>
        <w:t> </w:t>
      </w:r>
      <w:r>
        <w:rPr>
          <w:color w:val="231F20"/>
        </w:rPr>
        <w:t>(SRS)</w:t>
      </w:r>
      <w:r>
        <w:rPr>
          <w:color w:val="231F20"/>
          <w:spacing w:val="-3"/>
        </w:rPr>
        <w:t> </w:t>
      </w:r>
      <w:r>
        <w:rPr>
          <w:color w:val="231F20"/>
          <w:spacing w:val="-1"/>
        </w:rPr>
        <w:t>is</w:t>
      </w:r>
      <w:r>
        <w:rPr>
          <w:color w:val="231F20"/>
          <w:spacing w:val="-4"/>
        </w:rPr>
        <w:t> </w:t>
      </w:r>
      <w:r>
        <w:rPr>
          <w:color w:val="231F20"/>
        </w:rPr>
        <w:t>an</w:t>
      </w:r>
      <w:r>
        <w:rPr>
          <w:color w:val="231F20"/>
          <w:spacing w:val="-4"/>
        </w:rPr>
        <w:t> </w:t>
      </w:r>
      <w:r>
        <w:rPr>
          <w:color w:val="231F20"/>
        </w:rPr>
        <w:t>estimate</w:t>
      </w:r>
      <w:r>
        <w:rPr>
          <w:color w:val="231F20"/>
          <w:spacing w:val="-4"/>
        </w:rPr>
        <w:t> </w:t>
      </w:r>
      <w:r>
        <w:rPr>
          <w:color w:val="231F20"/>
        </w:rPr>
        <w:t>of</w:t>
      </w:r>
      <w:r>
        <w:rPr>
          <w:color w:val="231F20"/>
          <w:spacing w:val="-3"/>
        </w:rPr>
        <w:t> </w:t>
      </w:r>
      <w:r>
        <w:rPr>
          <w:color w:val="231F20"/>
        </w:rPr>
        <w:t>how</w:t>
      </w:r>
      <w:r>
        <w:rPr>
          <w:color w:val="231F20"/>
          <w:spacing w:val="-2"/>
        </w:rPr>
        <w:t> </w:t>
      </w:r>
      <w:r>
        <w:rPr>
          <w:color w:val="231F20"/>
          <w:spacing w:val="-1"/>
        </w:rPr>
        <w:t>much</w:t>
      </w:r>
      <w:r>
        <w:rPr>
          <w:color w:val="231F20"/>
          <w:spacing w:val="-3"/>
        </w:rPr>
        <w:t> </w:t>
      </w:r>
      <w:r>
        <w:rPr>
          <w:color w:val="231F20"/>
        </w:rPr>
        <w:t>total</w:t>
      </w:r>
      <w:r>
        <w:rPr>
          <w:color w:val="231F20"/>
          <w:spacing w:val="-4"/>
        </w:rPr>
        <w:t> </w:t>
      </w:r>
      <w:r>
        <w:rPr>
          <w:color w:val="231F20"/>
        </w:rPr>
        <w:t>public</w:t>
      </w:r>
      <w:r>
        <w:rPr>
          <w:color w:val="231F20"/>
          <w:spacing w:val="-4"/>
        </w:rPr>
        <w:t> </w:t>
      </w:r>
      <w:r>
        <w:rPr>
          <w:color w:val="231F20"/>
        </w:rPr>
        <w:t>funding</w:t>
      </w:r>
      <w:r>
        <w:rPr>
          <w:color w:val="231F20"/>
          <w:spacing w:val="-3"/>
        </w:rPr>
        <w:t> </w:t>
      </w:r>
      <w:r>
        <w:rPr>
          <w:color w:val="231F20"/>
        </w:rPr>
        <w:t>a</w:t>
      </w:r>
      <w:r>
        <w:rPr>
          <w:color w:val="231F20"/>
          <w:spacing w:val="-2"/>
        </w:rPr>
        <w:t> </w:t>
      </w:r>
      <w:r>
        <w:rPr>
          <w:color w:val="231F20"/>
          <w:spacing w:val="-1"/>
        </w:rPr>
        <w:t>school</w:t>
      </w:r>
      <w:r>
        <w:rPr>
          <w:color w:val="231F20"/>
          <w:spacing w:val="26"/>
        </w:rPr>
        <w:t> </w:t>
      </w:r>
      <w:r>
        <w:rPr>
          <w:color w:val="231F20"/>
        </w:rPr>
        <w:t>needs</w:t>
      </w:r>
      <w:r>
        <w:rPr>
          <w:color w:val="231F20"/>
          <w:spacing w:val="-5"/>
        </w:rPr>
        <w:t> </w:t>
      </w:r>
      <w:r>
        <w:rPr>
          <w:color w:val="231F20"/>
        </w:rPr>
        <w:t>to</w:t>
      </w:r>
      <w:r>
        <w:rPr>
          <w:color w:val="231F20"/>
          <w:spacing w:val="-4"/>
        </w:rPr>
        <w:t> </w:t>
      </w:r>
      <w:r>
        <w:rPr>
          <w:color w:val="231F20"/>
          <w:spacing w:val="-1"/>
        </w:rPr>
        <w:t>meet</w:t>
      </w:r>
      <w:r>
        <w:rPr>
          <w:color w:val="231F20"/>
          <w:spacing w:val="-4"/>
        </w:rPr>
        <w:t> </w:t>
      </w:r>
      <w:r>
        <w:rPr>
          <w:color w:val="231F20"/>
        </w:rPr>
        <w:t>the</w:t>
      </w:r>
      <w:r>
        <w:rPr>
          <w:color w:val="231F20"/>
          <w:spacing w:val="-4"/>
        </w:rPr>
        <w:t> </w:t>
      </w:r>
      <w:r>
        <w:rPr>
          <w:color w:val="231F20"/>
        </w:rPr>
        <w:t>educational</w:t>
      </w:r>
      <w:r>
        <w:rPr>
          <w:color w:val="231F20"/>
          <w:spacing w:val="-5"/>
        </w:rPr>
        <w:t> </w:t>
      </w:r>
      <w:r>
        <w:rPr>
          <w:color w:val="231F20"/>
        </w:rPr>
        <w:t>needs</w:t>
      </w:r>
      <w:r>
        <w:rPr>
          <w:color w:val="231F20"/>
          <w:spacing w:val="-5"/>
        </w:rPr>
        <w:t> </w:t>
      </w:r>
      <w:r>
        <w:rPr>
          <w:color w:val="231F20"/>
        </w:rPr>
        <w:t>of</w:t>
      </w:r>
      <w:r>
        <w:rPr>
          <w:color w:val="231F20"/>
          <w:spacing w:val="-4"/>
        </w:rPr>
        <w:t> </w:t>
      </w:r>
      <w:r>
        <w:rPr>
          <w:color w:val="231F20"/>
          <w:spacing w:val="-1"/>
        </w:rPr>
        <w:t>its</w:t>
      </w:r>
      <w:r>
        <w:rPr>
          <w:color w:val="231F20"/>
          <w:spacing w:val="-4"/>
        </w:rPr>
        <w:t> </w:t>
      </w:r>
      <w:r>
        <w:rPr>
          <w:color w:val="231F20"/>
          <w:spacing w:val="-1"/>
        </w:rPr>
        <w:t>students,</w:t>
      </w:r>
      <w:r>
        <w:rPr>
          <w:color w:val="231F20"/>
          <w:spacing w:val="-2"/>
        </w:rPr>
        <w:t> </w:t>
      </w:r>
      <w:r>
        <w:rPr>
          <w:color w:val="231F20"/>
        </w:rPr>
        <w:t>and</w:t>
      </w:r>
      <w:r>
        <w:rPr>
          <w:color w:val="231F20"/>
          <w:spacing w:val="-5"/>
        </w:rPr>
        <w:t> </w:t>
      </w:r>
      <w:r>
        <w:rPr>
          <w:color w:val="231F20"/>
          <w:spacing w:val="-1"/>
        </w:rPr>
        <w:t>is</w:t>
      </w:r>
      <w:r>
        <w:rPr>
          <w:color w:val="231F20"/>
          <w:spacing w:val="-5"/>
        </w:rPr>
        <w:t> </w:t>
      </w:r>
      <w:r>
        <w:rPr>
          <w:color w:val="231F20"/>
        </w:rPr>
        <w:t>based</w:t>
      </w:r>
      <w:r>
        <w:rPr>
          <w:color w:val="231F20"/>
          <w:spacing w:val="-5"/>
        </w:rPr>
        <w:t> </w:t>
      </w:r>
      <w:r>
        <w:rPr>
          <w:color w:val="231F20"/>
        </w:rPr>
        <w:t>on</w:t>
      </w:r>
      <w:r>
        <w:rPr>
          <w:color w:val="231F20"/>
          <w:spacing w:val="-3"/>
        </w:rPr>
        <w:t> </w:t>
      </w:r>
      <w:r>
        <w:rPr>
          <w:color w:val="231F20"/>
        </w:rPr>
        <w:t>recommendations</w:t>
      </w:r>
      <w:r>
        <w:rPr>
          <w:color w:val="231F20"/>
          <w:spacing w:val="-6"/>
        </w:rPr>
        <w:t> </w:t>
      </w:r>
      <w:r>
        <w:rPr>
          <w:color w:val="231F20"/>
        </w:rPr>
        <w:t>of</w:t>
      </w:r>
      <w:r>
        <w:rPr>
          <w:color w:val="231F20"/>
          <w:spacing w:val="-4"/>
        </w:rPr>
        <w:t> </w:t>
      </w:r>
      <w:r>
        <w:rPr>
          <w:color w:val="231F20"/>
        </w:rPr>
        <w:t>the</w:t>
      </w:r>
      <w:r>
        <w:rPr>
          <w:color w:val="231F20"/>
          <w:spacing w:val="25"/>
          <w:w w:val="99"/>
        </w:rPr>
        <w:t> </w:t>
      </w:r>
      <w:r>
        <w:rPr>
          <w:color w:val="231F20"/>
          <w:spacing w:val="-1"/>
        </w:rPr>
        <w:t>2011</w:t>
      </w:r>
      <w:r>
        <w:rPr>
          <w:color w:val="231F20"/>
          <w:spacing w:val="-5"/>
        </w:rPr>
        <w:t> </w:t>
      </w:r>
      <w:r>
        <w:rPr>
          <w:color w:val="231F20"/>
        </w:rPr>
        <w:t>Gonski</w:t>
      </w:r>
      <w:r>
        <w:rPr>
          <w:color w:val="231F20"/>
          <w:spacing w:val="-5"/>
        </w:rPr>
        <w:t> </w:t>
      </w:r>
      <w:r>
        <w:rPr>
          <w:color w:val="231F20"/>
          <w:spacing w:val="-1"/>
        </w:rPr>
        <w:t>Review</w:t>
      </w:r>
      <w:r>
        <w:rPr>
          <w:color w:val="231F20"/>
          <w:spacing w:val="-5"/>
        </w:rPr>
        <w:t> </w:t>
      </w:r>
      <w:r>
        <w:rPr>
          <w:color w:val="231F20"/>
        </w:rPr>
        <w:t>of</w:t>
      </w:r>
      <w:r>
        <w:rPr>
          <w:color w:val="231F20"/>
          <w:spacing w:val="-5"/>
        </w:rPr>
        <w:t> </w:t>
      </w:r>
      <w:r>
        <w:rPr>
          <w:color w:val="231F20"/>
          <w:spacing w:val="-1"/>
        </w:rPr>
        <w:t>Funding</w:t>
      </w:r>
      <w:r>
        <w:rPr>
          <w:color w:val="231F20"/>
          <w:spacing w:val="-4"/>
        </w:rPr>
        <w:t> </w:t>
      </w:r>
      <w:r>
        <w:rPr>
          <w:color w:val="231F20"/>
        </w:rPr>
        <w:t>for</w:t>
      </w:r>
      <w:r>
        <w:rPr>
          <w:color w:val="231F20"/>
          <w:spacing w:val="-4"/>
        </w:rPr>
        <w:t> </w:t>
      </w:r>
      <w:r>
        <w:rPr>
          <w:color w:val="231F20"/>
          <w:spacing w:val="-1"/>
        </w:rPr>
        <w:t>Schooling.</w:t>
      </w:r>
      <w:r>
        <w:rPr/>
      </w:r>
    </w:p>
    <w:p>
      <w:pPr>
        <w:pStyle w:val="BodyText"/>
        <w:spacing w:line="250" w:lineRule="exact" w:before="113"/>
        <w:ind w:left="100" w:right="167"/>
        <w:jc w:val="left"/>
      </w:pPr>
      <w:r>
        <w:rPr>
          <w:color w:val="231F20"/>
        </w:rPr>
        <w:t>The</w:t>
      </w:r>
      <w:r>
        <w:rPr>
          <w:color w:val="231F20"/>
          <w:spacing w:val="-4"/>
        </w:rPr>
        <w:t> </w:t>
      </w:r>
      <w:r>
        <w:rPr>
          <w:color w:val="231F20"/>
          <w:spacing w:val="-1"/>
        </w:rPr>
        <w:t>SRS</w:t>
      </w:r>
      <w:r>
        <w:rPr>
          <w:color w:val="231F20"/>
          <w:spacing w:val="-4"/>
        </w:rPr>
        <w:t> </w:t>
      </w:r>
      <w:r>
        <w:rPr>
          <w:color w:val="231F20"/>
          <w:spacing w:val="-1"/>
        </w:rPr>
        <w:t>is</w:t>
      </w:r>
      <w:r>
        <w:rPr>
          <w:color w:val="231F20"/>
          <w:spacing w:val="-5"/>
        </w:rPr>
        <w:t> </w:t>
      </w:r>
      <w:r>
        <w:rPr>
          <w:color w:val="231F20"/>
          <w:spacing w:val="-1"/>
        </w:rPr>
        <w:t>made</w:t>
      </w:r>
      <w:r>
        <w:rPr>
          <w:color w:val="231F20"/>
          <w:spacing w:val="-4"/>
        </w:rPr>
        <w:t> </w:t>
      </w:r>
      <w:r>
        <w:rPr>
          <w:color w:val="231F20"/>
        </w:rPr>
        <w:t>up</w:t>
      </w:r>
      <w:r>
        <w:rPr>
          <w:color w:val="231F20"/>
          <w:spacing w:val="-4"/>
        </w:rPr>
        <w:t> </w:t>
      </w:r>
      <w:r>
        <w:rPr>
          <w:color w:val="231F20"/>
        </w:rPr>
        <w:t>of</w:t>
      </w:r>
      <w:r>
        <w:rPr>
          <w:color w:val="231F20"/>
          <w:spacing w:val="-4"/>
        </w:rPr>
        <w:t> </w:t>
      </w:r>
      <w:r>
        <w:rPr>
          <w:color w:val="231F20"/>
        </w:rPr>
        <w:t>a</w:t>
      </w:r>
      <w:r>
        <w:rPr>
          <w:color w:val="231F20"/>
          <w:spacing w:val="-4"/>
        </w:rPr>
        <w:t> </w:t>
      </w:r>
      <w:r>
        <w:rPr>
          <w:color w:val="231F20"/>
        </w:rPr>
        <w:t>base</w:t>
      </w:r>
      <w:r>
        <w:rPr>
          <w:color w:val="231F20"/>
          <w:spacing w:val="-5"/>
        </w:rPr>
        <w:t> </w:t>
      </w:r>
      <w:r>
        <w:rPr>
          <w:color w:val="231F20"/>
        </w:rPr>
        <w:t>amount</w:t>
      </w:r>
      <w:r>
        <w:rPr>
          <w:color w:val="231F20"/>
          <w:spacing w:val="-5"/>
        </w:rPr>
        <w:t> </w:t>
      </w:r>
      <w:r>
        <w:rPr>
          <w:color w:val="231F20"/>
        </w:rPr>
        <w:t>for</w:t>
      </w:r>
      <w:r>
        <w:rPr>
          <w:color w:val="231F20"/>
          <w:spacing w:val="-4"/>
        </w:rPr>
        <w:t> </w:t>
      </w:r>
      <w:r>
        <w:rPr>
          <w:color w:val="231F20"/>
        </w:rPr>
        <w:t>every</w:t>
      </w:r>
      <w:r>
        <w:rPr>
          <w:color w:val="231F20"/>
          <w:spacing w:val="-3"/>
        </w:rPr>
        <w:t> </w:t>
      </w:r>
      <w:r>
        <w:rPr>
          <w:color w:val="231F20"/>
        </w:rPr>
        <w:t>primary</w:t>
      </w:r>
      <w:r>
        <w:rPr>
          <w:color w:val="231F20"/>
          <w:spacing w:val="-5"/>
        </w:rPr>
        <w:t> </w:t>
      </w:r>
      <w:r>
        <w:rPr>
          <w:color w:val="231F20"/>
        </w:rPr>
        <w:t>and</w:t>
      </w:r>
      <w:r>
        <w:rPr>
          <w:color w:val="231F20"/>
          <w:spacing w:val="-5"/>
        </w:rPr>
        <w:t> </w:t>
      </w:r>
      <w:r>
        <w:rPr>
          <w:color w:val="231F20"/>
          <w:spacing w:val="-1"/>
        </w:rPr>
        <w:t>secondary</w:t>
      </w:r>
      <w:r>
        <w:rPr>
          <w:color w:val="231F20"/>
          <w:spacing w:val="-3"/>
        </w:rPr>
        <w:t> </w:t>
      </w:r>
      <w:r>
        <w:rPr>
          <w:color w:val="231F20"/>
          <w:spacing w:val="-1"/>
        </w:rPr>
        <w:t>student,</w:t>
      </w:r>
      <w:r>
        <w:rPr>
          <w:color w:val="231F20"/>
          <w:spacing w:val="-3"/>
        </w:rPr>
        <w:t> </w:t>
      </w:r>
      <w:r>
        <w:rPr>
          <w:color w:val="231F20"/>
        </w:rPr>
        <w:t>along</w:t>
      </w:r>
      <w:r>
        <w:rPr>
          <w:color w:val="231F20"/>
          <w:spacing w:val="-5"/>
        </w:rPr>
        <w:t> </w:t>
      </w:r>
      <w:r>
        <w:rPr>
          <w:color w:val="231F20"/>
        </w:rPr>
        <w:t>with</w:t>
      </w:r>
      <w:r>
        <w:rPr>
          <w:color w:val="231F20"/>
          <w:spacing w:val="-5"/>
        </w:rPr>
        <w:t> </w:t>
      </w:r>
      <w:r>
        <w:rPr>
          <w:color w:val="231F20"/>
          <w:spacing w:val="-1"/>
        </w:rPr>
        <w:t>six</w:t>
      </w:r>
      <w:r>
        <w:rPr>
          <w:color w:val="231F20"/>
          <w:spacing w:val="25"/>
        </w:rPr>
        <w:t> </w:t>
      </w:r>
      <w:r>
        <w:rPr>
          <w:color w:val="231F20"/>
          <w:spacing w:val="-1"/>
        </w:rPr>
        <w:t>loadings</w:t>
      </w:r>
      <w:r>
        <w:rPr>
          <w:color w:val="231F20"/>
          <w:spacing w:val="-5"/>
        </w:rPr>
        <w:t> </w:t>
      </w:r>
      <w:r>
        <w:rPr>
          <w:color w:val="231F20"/>
        </w:rPr>
        <w:t>to</w:t>
      </w:r>
      <w:r>
        <w:rPr>
          <w:color w:val="231F20"/>
          <w:spacing w:val="-4"/>
        </w:rPr>
        <w:t> </w:t>
      </w:r>
      <w:r>
        <w:rPr>
          <w:color w:val="231F20"/>
        </w:rPr>
        <w:t>provide</w:t>
      </w:r>
      <w:r>
        <w:rPr>
          <w:color w:val="231F20"/>
          <w:spacing w:val="-5"/>
        </w:rPr>
        <w:t> </w:t>
      </w:r>
      <w:r>
        <w:rPr>
          <w:color w:val="231F20"/>
        </w:rPr>
        <w:t>extra</w:t>
      </w:r>
      <w:r>
        <w:rPr>
          <w:color w:val="231F20"/>
          <w:spacing w:val="-5"/>
        </w:rPr>
        <w:t> </w:t>
      </w:r>
      <w:r>
        <w:rPr>
          <w:color w:val="231F20"/>
        </w:rPr>
        <w:t>funding</w:t>
      </w:r>
      <w:r>
        <w:rPr>
          <w:color w:val="231F20"/>
          <w:spacing w:val="-4"/>
        </w:rPr>
        <w:t> </w:t>
      </w:r>
      <w:r>
        <w:rPr>
          <w:color w:val="231F20"/>
        </w:rPr>
        <w:t>for</w:t>
      </w:r>
      <w:r>
        <w:rPr>
          <w:color w:val="231F20"/>
          <w:spacing w:val="-4"/>
        </w:rPr>
        <w:t> </w:t>
      </w:r>
      <w:r>
        <w:rPr>
          <w:color w:val="231F20"/>
        </w:rPr>
        <w:t>disadvantaged</w:t>
      </w:r>
      <w:r>
        <w:rPr>
          <w:color w:val="231F20"/>
          <w:spacing w:val="-5"/>
        </w:rPr>
        <w:t> </w:t>
      </w:r>
      <w:r>
        <w:rPr>
          <w:color w:val="231F20"/>
          <w:spacing w:val="-1"/>
        </w:rPr>
        <w:t>students</w:t>
      </w:r>
      <w:r>
        <w:rPr>
          <w:color w:val="231F20"/>
          <w:spacing w:val="-5"/>
        </w:rPr>
        <w:t> </w:t>
      </w:r>
      <w:r>
        <w:rPr>
          <w:color w:val="231F20"/>
        </w:rPr>
        <w:t>and</w:t>
      </w:r>
      <w:r>
        <w:rPr>
          <w:color w:val="231F20"/>
          <w:spacing w:val="-5"/>
        </w:rPr>
        <w:t> </w:t>
      </w:r>
      <w:r>
        <w:rPr>
          <w:color w:val="231F20"/>
          <w:spacing w:val="-1"/>
        </w:rPr>
        <w:t>schools.</w:t>
      </w:r>
      <w:r>
        <w:rPr/>
      </w:r>
    </w:p>
    <w:p>
      <w:pPr>
        <w:pStyle w:val="BodyText"/>
        <w:spacing w:line="250" w:lineRule="exact" w:before="113"/>
        <w:ind w:left="100" w:right="210"/>
        <w:jc w:val="left"/>
      </w:pPr>
      <w:r>
        <w:rPr>
          <w:color w:val="231F20"/>
          <w:spacing w:val="-1"/>
        </w:rPr>
        <w:t>By</w:t>
      </w:r>
      <w:r>
        <w:rPr>
          <w:color w:val="231F20"/>
          <w:spacing w:val="-3"/>
        </w:rPr>
        <w:t> </w:t>
      </w:r>
      <w:r>
        <w:rPr>
          <w:color w:val="231F20"/>
          <w:spacing w:val="-1"/>
        </w:rPr>
        <w:t>2029,</w:t>
      </w:r>
      <w:r>
        <w:rPr>
          <w:color w:val="231F20"/>
          <w:spacing w:val="-2"/>
        </w:rPr>
        <w:t> </w:t>
      </w:r>
      <w:r>
        <w:rPr>
          <w:color w:val="231F20"/>
        </w:rPr>
        <w:t>all</w:t>
      </w:r>
      <w:r>
        <w:rPr>
          <w:color w:val="231F20"/>
          <w:spacing w:val="-3"/>
        </w:rPr>
        <w:t> </w:t>
      </w:r>
      <w:r>
        <w:rPr>
          <w:color w:val="231F20"/>
          <w:spacing w:val="-1"/>
        </w:rPr>
        <w:t>schools</w:t>
      </w:r>
      <w:r>
        <w:rPr>
          <w:color w:val="231F20"/>
          <w:spacing w:val="-3"/>
        </w:rPr>
        <w:t> </w:t>
      </w:r>
      <w:r>
        <w:rPr>
          <w:color w:val="231F20"/>
        </w:rPr>
        <w:t>will</w:t>
      </w:r>
      <w:r>
        <w:rPr>
          <w:color w:val="231F20"/>
          <w:spacing w:val="-3"/>
        </w:rPr>
        <w:t> </w:t>
      </w:r>
      <w:r>
        <w:rPr>
          <w:color w:val="231F20"/>
        </w:rPr>
        <w:t>be</w:t>
      </w:r>
      <w:r>
        <w:rPr>
          <w:color w:val="231F20"/>
          <w:spacing w:val="-2"/>
        </w:rPr>
        <w:t> </w:t>
      </w:r>
      <w:r>
        <w:rPr>
          <w:color w:val="231F20"/>
        </w:rPr>
        <w:t>funded</w:t>
      </w:r>
      <w:r>
        <w:rPr>
          <w:color w:val="231F20"/>
          <w:spacing w:val="-3"/>
        </w:rPr>
        <w:t> </w:t>
      </w:r>
      <w:r>
        <w:rPr>
          <w:color w:val="231F20"/>
        </w:rPr>
        <w:t>on</w:t>
      </w:r>
      <w:r>
        <w:rPr>
          <w:color w:val="231F20"/>
          <w:spacing w:val="-2"/>
        </w:rPr>
        <w:t> </w:t>
      </w:r>
      <w:r>
        <w:rPr>
          <w:color w:val="231F20"/>
        </w:rPr>
        <w:t>a</w:t>
      </w:r>
      <w:r>
        <w:rPr>
          <w:color w:val="231F20"/>
          <w:spacing w:val="-2"/>
        </w:rPr>
        <w:t> </w:t>
      </w:r>
      <w:r>
        <w:rPr>
          <w:color w:val="231F20"/>
        </w:rPr>
        <w:t>fair</w:t>
      </w:r>
      <w:r>
        <w:rPr>
          <w:color w:val="231F20"/>
          <w:spacing w:val="-3"/>
        </w:rPr>
        <w:t> </w:t>
      </w:r>
      <w:r>
        <w:rPr>
          <w:color w:val="231F20"/>
          <w:spacing w:val="-1"/>
        </w:rPr>
        <w:t>share</w:t>
      </w:r>
      <w:r>
        <w:rPr>
          <w:color w:val="231F20"/>
          <w:spacing w:val="-2"/>
        </w:rPr>
        <w:t> </w:t>
      </w:r>
      <w:r>
        <w:rPr>
          <w:color w:val="231F20"/>
        </w:rPr>
        <w:t>of</w:t>
      </w:r>
      <w:r>
        <w:rPr>
          <w:color w:val="231F20"/>
          <w:spacing w:val="-2"/>
        </w:rPr>
        <w:t> </w:t>
      </w:r>
      <w:r>
        <w:rPr>
          <w:color w:val="231F20"/>
        </w:rPr>
        <w:t>the</w:t>
      </w:r>
      <w:r>
        <w:rPr>
          <w:color w:val="231F20"/>
          <w:spacing w:val="-4"/>
        </w:rPr>
        <w:t> </w:t>
      </w:r>
      <w:r>
        <w:rPr>
          <w:color w:val="231F20"/>
          <w:spacing w:val="-1"/>
        </w:rPr>
        <w:t>Commonwealth</w:t>
      </w:r>
      <w:r>
        <w:rPr>
          <w:color w:val="231F20"/>
          <w:spacing w:val="-2"/>
        </w:rPr>
        <w:t> </w:t>
      </w:r>
      <w:r>
        <w:rPr>
          <w:color w:val="231F20"/>
          <w:spacing w:val="-1"/>
        </w:rPr>
        <w:t>SRS.</w:t>
      </w:r>
      <w:r>
        <w:rPr>
          <w:color w:val="231F20"/>
          <w:spacing w:val="-2"/>
        </w:rPr>
        <w:t> </w:t>
      </w:r>
      <w:r>
        <w:rPr>
          <w:color w:val="231F20"/>
          <w:spacing w:val="-1"/>
        </w:rPr>
        <w:t>In</w:t>
      </w:r>
      <w:r>
        <w:rPr>
          <w:color w:val="231F20"/>
          <w:spacing w:val="-3"/>
        </w:rPr>
        <w:t> </w:t>
      </w:r>
      <w:r>
        <w:rPr>
          <w:color w:val="231F20"/>
          <w:spacing w:val="-1"/>
        </w:rPr>
        <w:t>line</w:t>
      </w:r>
      <w:r>
        <w:rPr>
          <w:color w:val="231F20"/>
          <w:spacing w:val="-2"/>
        </w:rPr>
        <w:t> </w:t>
      </w:r>
      <w:r>
        <w:rPr>
          <w:color w:val="231F20"/>
        </w:rPr>
        <w:t>with</w:t>
      </w:r>
      <w:r>
        <w:rPr>
          <w:color w:val="231F20"/>
          <w:spacing w:val="-3"/>
        </w:rPr>
        <w:t> </w:t>
      </w:r>
      <w:r>
        <w:rPr>
          <w:color w:val="231F20"/>
          <w:spacing w:val="-1"/>
        </w:rPr>
        <w:t>states</w:t>
      </w:r>
      <w:r>
        <w:rPr>
          <w:color w:val="231F20"/>
          <w:spacing w:val="28"/>
        </w:rPr>
        <w:t> </w:t>
      </w:r>
      <w:r>
        <w:rPr>
          <w:color w:val="231F20"/>
        </w:rPr>
        <w:t>having</w:t>
      </w:r>
      <w:r>
        <w:rPr>
          <w:color w:val="231F20"/>
          <w:spacing w:val="-6"/>
        </w:rPr>
        <w:t> </w:t>
      </w:r>
      <w:r>
        <w:rPr>
          <w:color w:val="231F20"/>
        </w:rPr>
        <w:t>full</w:t>
      </w:r>
      <w:r>
        <w:rPr>
          <w:color w:val="231F20"/>
          <w:spacing w:val="-6"/>
        </w:rPr>
        <w:t> </w:t>
      </w:r>
      <w:r>
        <w:rPr>
          <w:color w:val="231F20"/>
        </w:rPr>
        <w:t>constitutional</w:t>
      </w:r>
      <w:r>
        <w:rPr>
          <w:color w:val="231F20"/>
          <w:spacing w:val="-5"/>
        </w:rPr>
        <w:t> </w:t>
      </w:r>
      <w:r>
        <w:rPr>
          <w:color w:val="231F20"/>
        </w:rPr>
        <w:t>responsibility</w:t>
      </w:r>
      <w:r>
        <w:rPr>
          <w:color w:val="231F20"/>
          <w:spacing w:val="-7"/>
        </w:rPr>
        <w:t> </w:t>
      </w:r>
      <w:r>
        <w:rPr>
          <w:color w:val="231F20"/>
        </w:rPr>
        <w:t>for</w:t>
      </w:r>
      <w:r>
        <w:rPr>
          <w:color w:val="231F20"/>
          <w:spacing w:val="-5"/>
        </w:rPr>
        <w:t> </w:t>
      </w:r>
      <w:r>
        <w:rPr>
          <w:color w:val="231F20"/>
          <w:spacing w:val="-1"/>
        </w:rPr>
        <w:t>schools,</w:t>
      </w:r>
      <w:r>
        <w:rPr>
          <w:color w:val="231F20"/>
          <w:spacing w:val="-4"/>
        </w:rPr>
        <w:t> </w:t>
      </w:r>
      <w:r>
        <w:rPr>
          <w:color w:val="231F20"/>
        </w:rPr>
        <w:t>the</w:t>
      </w:r>
      <w:r>
        <w:rPr>
          <w:color w:val="231F20"/>
          <w:spacing w:val="-6"/>
        </w:rPr>
        <w:t> </w:t>
      </w:r>
      <w:r>
        <w:rPr>
          <w:color w:val="231F20"/>
          <w:spacing w:val="-1"/>
        </w:rPr>
        <w:t>Commonwealth</w:t>
      </w:r>
      <w:r>
        <w:rPr>
          <w:color w:val="231F20"/>
          <w:spacing w:val="-5"/>
        </w:rPr>
        <w:t> </w:t>
      </w:r>
      <w:r>
        <w:rPr>
          <w:color w:val="231F20"/>
        </w:rPr>
        <w:t>will</w:t>
      </w:r>
      <w:r>
        <w:rPr>
          <w:color w:val="231F20"/>
          <w:spacing w:val="-5"/>
        </w:rPr>
        <w:t> </w:t>
      </w:r>
      <w:r>
        <w:rPr>
          <w:color w:val="231F20"/>
        </w:rPr>
        <w:t>fund:</w:t>
      </w:r>
      <w:r>
        <w:rPr/>
      </w:r>
    </w:p>
    <w:p>
      <w:pPr>
        <w:pStyle w:val="BodyText"/>
        <w:spacing w:line="258" w:lineRule="exact" w:before="97"/>
        <w:ind w:left="100" w:right="0"/>
        <w:jc w:val="left"/>
        <w:rPr>
          <w:rFonts w:ascii="Segoe UI" w:hAnsi="Segoe UI" w:cs="Segoe UI" w:eastAsia="Segoe UI"/>
        </w:rPr>
      </w:pPr>
      <w:r>
        <w:rPr>
          <w:rFonts w:ascii="Century Gothic" w:hAnsi="Century Gothic"/>
          <w:color w:val="231F20"/>
        </w:rPr>
        <w:t>» </w:t>
      </w:r>
      <w:r>
        <w:rPr>
          <w:rFonts w:ascii="Century Gothic" w:hAnsi="Century Gothic"/>
          <w:color w:val="231F20"/>
          <w:spacing w:val="31"/>
        </w:rPr>
        <w:t> </w:t>
      </w:r>
      <w:r>
        <w:rPr>
          <w:rFonts w:ascii="Segoe UI" w:hAnsi="Segoe UI"/>
          <w:color w:val="231F20"/>
        </w:rPr>
        <w:t>at least</w:t>
      </w:r>
      <w:r>
        <w:rPr>
          <w:rFonts w:ascii="Segoe UI" w:hAnsi="Segoe UI"/>
          <w:color w:val="231F20"/>
          <w:spacing w:val="-1"/>
        </w:rPr>
        <w:t> </w:t>
      </w:r>
      <w:r>
        <w:rPr>
          <w:rFonts w:ascii="Segoe UI" w:hAnsi="Segoe UI"/>
          <w:color w:val="231F20"/>
        </w:rPr>
        <w:t>20 per cent of the total SRS for government systems by</w:t>
      </w:r>
      <w:r>
        <w:rPr>
          <w:rFonts w:ascii="Segoe UI" w:hAnsi="Segoe UI"/>
          <w:color w:val="231F20"/>
          <w:spacing w:val="-1"/>
        </w:rPr>
        <w:t> </w:t>
      </w:r>
      <w:r>
        <w:rPr>
          <w:rFonts w:ascii="Segoe UI" w:hAnsi="Segoe UI"/>
          <w:color w:val="231F20"/>
        </w:rPr>
        <w:t>2023, reflecting the</w:t>
      </w:r>
      <w:r>
        <w:rPr>
          <w:rFonts w:ascii="Segoe UI" w:hAnsi="Segoe UI"/>
        </w:rPr>
      </w:r>
    </w:p>
    <w:p>
      <w:pPr>
        <w:pStyle w:val="BodyText"/>
        <w:spacing w:line="258" w:lineRule="exact"/>
        <w:ind w:left="327" w:right="0"/>
        <w:jc w:val="left"/>
      </w:pPr>
      <w:r>
        <w:rPr>
          <w:color w:val="231F20"/>
          <w:spacing w:val="-1"/>
        </w:rPr>
        <w:t>Commonwealth’s</w:t>
      </w:r>
      <w:r>
        <w:rPr>
          <w:color w:val="231F20"/>
          <w:spacing w:val="-5"/>
        </w:rPr>
        <w:t> </w:t>
      </w:r>
      <w:r>
        <w:rPr>
          <w:color w:val="231F20"/>
        </w:rPr>
        <w:t>role</w:t>
      </w:r>
      <w:r>
        <w:rPr>
          <w:color w:val="231F20"/>
          <w:spacing w:val="-5"/>
        </w:rPr>
        <w:t> </w:t>
      </w:r>
      <w:r>
        <w:rPr>
          <w:color w:val="231F20"/>
        </w:rPr>
        <w:t>as</w:t>
      </w:r>
      <w:r>
        <w:rPr>
          <w:color w:val="231F20"/>
          <w:spacing w:val="-5"/>
        </w:rPr>
        <w:t> </w:t>
      </w:r>
      <w:r>
        <w:rPr>
          <w:color w:val="231F20"/>
        </w:rPr>
        <w:t>the</w:t>
      </w:r>
      <w:r>
        <w:rPr>
          <w:color w:val="231F20"/>
          <w:spacing w:val="-5"/>
        </w:rPr>
        <w:t> </w:t>
      </w:r>
      <w:r>
        <w:rPr>
          <w:color w:val="231F20"/>
          <w:spacing w:val="-1"/>
        </w:rPr>
        <w:t>minority</w:t>
      </w:r>
      <w:r>
        <w:rPr>
          <w:color w:val="231F20"/>
          <w:spacing w:val="-4"/>
        </w:rPr>
        <w:t> </w:t>
      </w:r>
      <w:r>
        <w:rPr>
          <w:color w:val="231F20"/>
        </w:rPr>
        <w:t>public</w:t>
      </w:r>
      <w:r>
        <w:rPr>
          <w:color w:val="231F20"/>
          <w:spacing w:val="-5"/>
        </w:rPr>
        <w:t> </w:t>
      </w:r>
      <w:r>
        <w:rPr>
          <w:color w:val="231F20"/>
        </w:rPr>
        <w:t>funder</w:t>
      </w:r>
      <w:r>
        <w:rPr>
          <w:color w:val="231F20"/>
          <w:spacing w:val="-5"/>
        </w:rPr>
        <w:t> </w:t>
      </w:r>
      <w:r>
        <w:rPr>
          <w:color w:val="231F20"/>
        </w:rPr>
        <w:t>of</w:t>
      </w:r>
      <w:r>
        <w:rPr>
          <w:color w:val="231F20"/>
          <w:spacing w:val="-4"/>
        </w:rPr>
        <w:t> </w:t>
      </w:r>
      <w:r>
        <w:rPr>
          <w:color w:val="231F20"/>
        </w:rPr>
        <w:t>government</w:t>
      </w:r>
      <w:r>
        <w:rPr>
          <w:color w:val="231F20"/>
          <w:spacing w:val="-5"/>
        </w:rPr>
        <w:t> </w:t>
      </w:r>
      <w:r>
        <w:rPr>
          <w:color w:val="231F20"/>
          <w:spacing w:val="-1"/>
        </w:rPr>
        <w:t>schools</w:t>
      </w:r>
      <w:r>
        <w:rPr/>
      </w:r>
    </w:p>
    <w:p>
      <w:pPr>
        <w:pStyle w:val="BodyText"/>
        <w:spacing w:line="258" w:lineRule="exact" w:before="97"/>
        <w:ind w:left="100" w:right="0"/>
        <w:jc w:val="left"/>
        <w:rPr>
          <w:rFonts w:ascii="Segoe UI" w:hAnsi="Segoe UI" w:cs="Segoe UI" w:eastAsia="Segoe UI"/>
        </w:rPr>
      </w:pPr>
      <w:r>
        <w:rPr>
          <w:rFonts w:ascii="Century Gothic" w:hAnsi="Century Gothic"/>
          <w:color w:val="231F20"/>
        </w:rPr>
        <w:t>» </w:t>
      </w:r>
      <w:r>
        <w:rPr>
          <w:rFonts w:ascii="Century Gothic" w:hAnsi="Century Gothic"/>
          <w:color w:val="231F20"/>
          <w:spacing w:val="31"/>
        </w:rPr>
        <w:t> </w:t>
      </w:r>
      <w:r>
        <w:rPr>
          <w:rFonts w:ascii="Segoe UI" w:hAnsi="Segoe UI"/>
          <w:color w:val="231F20"/>
        </w:rPr>
        <w:t>at least</w:t>
      </w:r>
      <w:r>
        <w:rPr>
          <w:rFonts w:ascii="Segoe UI" w:hAnsi="Segoe UI"/>
          <w:color w:val="231F20"/>
          <w:spacing w:val="-1"/>
        </w:rPr>
        <w:t> </w:t>
      </w:r>
      <w:r>
        <w:rPr>
          <w:rFonts w:ascii="Segoe UI" w:hAnsi="Segoe UI"/>
          <w:color w:val="231F20"/>
        </w:rPr>
        <w:t>80 per cent of the total SRS for non-government schools and</w:t>
      </w:r>
      <w:r>
        <w:rPr>
          <w:rFonts w:ascii="Segoe UI" w:hAnsi="Segoe UI"/>
          <w:color w:val="231F20"/>
          <w:spacing w:val="-1"/>
        </w:rPr>
        <w:t> </w:t>
      </w:r>
      <w:r>
        <w:rPr>
          <w:rFonts w:ascii="Segoe UI" w:hAnsi="Segoe UI"/>
          <w:color w:val="231F20"/>
        </w:rPr>
        <w:t>systems by 2023, reflecting</w:t>
      </w:r>
      <w:r>
        <w:rPr>
          <w:rFonts w:ascii="Segoe UI" w:hAnsi="Segoe UI"/>
        </w:rPr>
      </w:r>
    </w:p>
    <w:p>
      <w:pPr>
        <w:pStyle w:val="BodyText"/>
        <w:spacing w:line="258" w:lineRule="exact"/>
        <w:ind w:left="327" w:right="0"/>
        <w:jc w:val="left"/>
      </w:pPr>
      <w:r>
        <w:rPr>
          <w:color w:val="231F20"/>
        </w:rPr>
        <w:t>the</w:t>
      </w:r>
      <w:r>
        <w:rPr>
          <w:color w:val="231F20"/>
          <w:spacing w:val="-6"/>
        </w:rPr>
        <w:t> </w:t>
      </w:r>
      <w:r>
        <w:rPr>
          <w:color w:val="231F20"/>
          <w:spacing w:val="-1"/>
        </w:rPr>
        <w:t>Commonwealth’s</w:t>
      </w:r>
      <w:r>
        <w:rPr>
          <w:color w:val="231F20"/>
          <w:spacing w:val="-4"/>
        </w:rPr>
        <w:t> </w:t>
      </w:r>
      <w:r>
        <w:rPr>
          <w:color w:val="231F20"/>
        </w:rPr>
        <w:t>role</w:t>
      </w:r>
      <w:r>
        <w:rPr>
          <w:color w:val="231F20"/>
          <w:spacing w:val="-6"/>
        </w:rPr>
        <w:t> </w:t>
      </w:r>
      <w:r>
        <w:rPr>
          <w:color w:val="231F20"/>
        </w:rPr>
        <w:t>as</w:t>
      </w:r>
      <w:r>
        <w:rPr>
          <w:color w:val="231F20"/>
          <w:spacing w:val="-5"/>
        </w:rPr>
        <w:t> </w:t>
      </w:r>
      <w:r>
        <w:rPr>
          <w:color w:val="231F20"/>
        </w:rPr>
        <w:t>the</w:t>
      </w:r>
      <w:r>
        <w:rPr>
          <w:color w:val="231F20"/>
          <w:spacing w:val="-6"/>
        </w:rPr>
        <w:t> </w:t>
      </w:r>
      <w:r>
        <w:rPr>
          <w:color w:val="231F20"/>
          <w:spacing w:val="-1"/>
        </w:rPr>
        <w:t>majority</w:t>
      </w:r>
      <w:r>
        <w:rPr>
          <w:color w:val="231F20"/>
          <w:spacing w:val="-4"/>
        </w:rPr>
        <w:t> </w:t>
      </w:r>
      <w:r>
        <w:rPr>
          <w:color w:val="231F20"/>
        </w:rPr>
        <w:t>public</w:t>
      </w:r>
      <w:r>
        <w:rPr>
          <w:color w:val="231F20"/>
          <w:spacing w:val="-5"/>
        </w:rPr>
        <w:t> </w:t>
      </w:r>
      <w:r>
        <w:rPr>
          <w:color w:val="231F20"/>
        </w:rPr>
        <w:t>funder</w:t>
      </w:r>
      <w:r>
        <w:rPr>
          <w:color w:val="231F20"/>
          <w:spacing w:val="-5"/>
        </w:rPr>
        <w:t> </w:t>
      </w:r>
      <w:r>
        <w:rPr>
          <w:color w:val="231F20"/>
        </w:rPr>
        <w:t>of</w:t>
      </w:r>
      <w:r>
        <w:rPr>
          <w:color w:val="231F20"/>
          <w:spacing w:val="-4"/>
        </w:rPr>
        <w:t> </w:t>
      </w:r>
      <w:r>
        <w:rPr>
          <w:color w:val="231F20"/>
        </w:rPr>
        <w:t>non-government</w:t>
      </w:r>
      <w:r>
        <w:rPr>
          <w:color w:val="231F20"/>
          <w:spacing w:val="-6"/>
        </w:rPr>
        <w:t> </w:t>
      </w:r>
      <w:r>
        <w:rPr>
          <w:color w:val="231F20"/>
          <w:spacing w:val="-1"/>
        </w:rPr>
        <w:t>schools.</w:t>
      </w:r>
      <w:r>
        <w:rPr/>
      </w:r>
    </w:p>
    <w:p>
      <w:pPr>
        <w:pStyle w:val="BodyText"/>
        <w:spacing w:line="250" w:lineRule="exact" w:before="113"/>
        <w:ind w:left="100" w:right="167"/>
        <w:jc w:val="left"/>
      </w:pPr>
      <w:r>
        <w:rPr>
          <w:color w:val="231F20"/>
          <w:spacing w:val="-1"/>
        </w:rPr>
        <w:t>Schools</w:t>
      </w:r>
      <w:r>
        <w:rPr>
          <w:color w:val="231F20"/>
          <w:spacing w:val="-4"/>
        </w:rPr>
        <w:t> </w:t>
      </w:r>
      <w:r>
        <w:rPr>
          <w:color w:val="231F20"/>
        </w:rPr>
        <w:t>or</w:t>
      </w:r>
      <w:r>
        <w:rPr>
          <w:color w:val="231F20"/>
          <w:spacing w:val="-4"/>
        </w:rPr>
        <w:t> </w:t>
      </w:r>
      <w:r>
        <w:rPr>
          <w:color w:val="231F20"/>
          <w:spacing w:val="-1"/>
        </w:rPr>
        <w:t>systems</w:t>
      </w:r>
      <w:r>
        <w:rPr>
          <w:color w:val="231F20"/>
          <w:spacing w:val="-4"/>
        </w:rPr>
        <w:t> </w:t>
      </w:r>
      <w:r>
        <w:rPr>
          <w:color w:val="231F20"/>
        </w:rPr>
        <w:t>funded</w:t>
      </w:r>
      <w:r>
        <w:rPr>
          <w:color w:val="231F20"/>
          <w:spacing w:val="-4"/>
        </w:rPr>
        <w:t> </w:t>
      </w:r>
      <w:r>
        <w:rPr>
          <w:color w:val="231F20"/>
        </w:rPr>
        <w:t>below</w:t>
      </w:r>
      <w:r>
        <w:rPr>
          <w:color w:val="231F20"/>
          <w:spacing w:val="-5"/>
        </w:rPr>
        <w:t> </w:t>
      </w:r>
      <w:r>
        <w:rPr>
          <w:color w:val="231F20"/>
        </w:rPr>
        <w:t>their</w:t>
      </w:r>
      <w:r>
        <w:rPr>
          <w:color w:val="231F20"/>
          <w:spacing w:val="-5"/>
        </w:rPr>
        <w:t> </w:t>
      </w:r>
      <w:r>
        <w:rPr>
          <w:color w:val="231F20"/>
          <w:spacing w:val="-1"/>
        </w:rPr>
        <w:t>Commonwealth</w:t>
      </w:r>
      <w:r>
        <w:rPr>
          <w:color w:val="231F20"/>
          <w:spacing w:val="-4"/>
        </w:rPr>
        <w:t> </w:t>
      </w:r>
      <w:r>
        <w:rPr>
          <w:color w:val="231F20"/>
        </w:rPr>
        <w:t>target</w:t>
      </w:r>
      <w:r>
        <w:rPr>
          <w:color w:val="231F20"/>
          <w:spacing w:val="-5"/>
        </w:rPr>
        <w:t> </w:t>
      </w:r>
      <w:r>
        <w:rPr>
          <w:color w:val="231F20"/>
          <w:spacing w:val="-1"/>
        </w:rPr>
        <w:t>share</w:t>
      </w:r>
      <w:r>
        <w:rPr>
          <w:color w:val="231F20"/>
          <w:spacing w:val="-4"/>
        </w:rPr>
        <w:t> </w:t>
      </w:r>
      <w:r>
        <w:rPr>
          <w:color w:val="231F20"/>
        </w:rPr>
        <w:t>of</w:t>
      </w:r>
      <w:r>
        <w:rPr>
          <w:color w:val="231F20"/>
          <w:spacing w:val="-4"/>
        </w:rPr>
        <w:t> </w:t>
      </w:r>
      <w:r>
        <w:rPr>
          <w:color w:val="231F20"/>
        </w:rPr>
        <w:t>the</w:t>
      </w:r>
      <w:r>
        <w:rPr>
          <w:color w:val="231F20"/>
          <w:spacing w:val="-5"/>
        </w:rPr>
        <w:t> </w:t>
      </w:r>
      <w:r>
        <w:rPr>
          <w:color w:val="231F20"/>
          <w:spacing w:val="-1"/>
        </w:rPr>
        <w:t>SRS</w:t>
      </w:r>
      <w:r>
        <w:rPr>
          <w:color w:val="231F20"/>
          <w:spacing w:val="-4"/>
        </w:rPr>
        <w:t> </w:t>
      </w:r>
      <w:r>
        <w:rPr>
          <w:color w:val="231F20"/>
        </w:rPr>
        <w:t>will</w:t>
      </w:r>
      <w:r>
        <w:rPr>
          <w:color w:val="231F20"/>
          <w:spacing w:val="-5"/>
        </w:rPr>
        <w:t> </w:t>
      </w:r>
      <w:r>
        <w:rPr>
          <w:color w:val="231F20"/>
        </w:rPr>
        <w:t>transition</w:t>
      </w:r>
      <w:r>
        <w:rPr>
          <w:color w:val="231F20"/>
          <w:spacing w:val="-5"/>
        </w:rPr>
        <w:t> </w:t>
      </w:r>
      <w:r>
        <w:rPr>
          <w:color w:val="231F20"/>
        </w:rPr>
        <w:t>to</w:t>
      </w:r>
      <w:r>
        <w:rPr>
          <w:color w:val="231F20"/>
          <w:spacing w:val="-4"/>
        </w:rPr>
        <w:t> </w:t>
      </w:r>
      <w:r>
        <w:rPr>
          <w:color w:val="231F20"/>
        </w:rPr>
        <w:t>the</w:t>
      </w:r>
      <w:r>
        <w:rPr>
          <w:color w:val="231F20"/>
          <w:spacing w:val="26"/>
          <w:w w:val="99"/>
        </w:rPr>
        <w:t> </w:t>
      </w:r>
      <w:r>
        <w:rPr>
          <w:color w:val="231F20"/>
        </w:rPr>
        <w:t>consistent</w:t>
      </w:r>
      <w:r>
        <w:rPr>
          <w:color w:val="231F20"/>
          <w:spacing w:val="-6"/>
        </w:rPr>
        <w:t> </w:t>
      </w:r>
      <w:r>
        <w:rPr>
          <w:color w:val="231F20"/>
          <w:spacing w:val="-1"/>
        </w:rPr>
        <w:t>shares</w:t>
      </w:r>
      <w:r>
        <w:rPr>
          <w:color w:val="231F20"/>
          <w:spacing w:val="-4"/>
        </w:rPr>
        <w:t> </w:t>
      </w:r>
      <w:r>
        <w:rPr>
          <w:color w:val="231F20"/>
        </w:rPr>
        <w:t>by</w:t>
      </w:r>
      <w:r>
        <w:rPr>
          <w:color w:val="231F20"/>
          <w:spacing w:val="-4"/>
        </w:rPr>
        <w:t> </w:t>
      </w:r>
      <w:r>
        <w:rPr>
          <w:color w:val="231F20"/>
          <w:spacing w:val="-1"/>
        </w:rPr>
        <w:t>2023.</w:t>
      </w:r>
      <w:r>
        <w:rPr>
          <w:color w:val="231F20"/>
          <w:spacing w:val="-4"/>
        </w:rPr>
        <w:t> </w:t>
      </w:r>
      <w:r>
        <w:rPr>
          <w:color w:val="231F20"/>
          <w:spacing w:val="-1"/>
        </w:rPr>
        <w:t>Schools</w:t>
      </w:r>
      <w:r>
        <w:rPr>
          <w:color w:val="231F20"/>
          <w:spacing w:val="-5"/>
        </w:rPr>
        <w:t> </w:t>
      </w:r>
      <w:r>
        <w:rPr>
          <w:color w:val="231F20"/>
        </w:rPr>
        <w:t>that</w:t>
      </w:r>
      <w:r>
        <w:rPr>
          <w:color w:val="231F20"/>
          <w:spacing w:val="-5"/>
        </w:rPr>
        <w:t> </w:t>
      </w:r>
      <w:r>
        <w:rPr>
          <w:color w:val="231F20"/>
        </w:rPr>
        <w:t>are</w:t>
      </w:r>
      <w:r>
        <w:rPr>
          <w:color w:val="231F20"/>
          <w:spacing w:val="-5"/>
        </w:rPr>
        <w:t> </w:t>
      </w:r>
      <w:r>
        <w:rPr>
          <w:color w:val="231F20"/>
        </w:rPr>
        <w:t>currently</w:t>
      </w:r>
      <w:r>
        <w:rPr>
          <w:color w:val="231F20"/>
          <w:spacing w:val="-5"/>
        </w:rPr>
        <w:t> </w:t>
      </w:r>
      <w:r>
        <w:rPr>
          <w:color w:val="231F20"/>
        </w:rPr>
        <w:t>funded</w:t>
      </w:r>
      <w:r>
        <w:rPr>
          <w:color w:val="231F20"/>
          <w:spacing w:val="-4"/>
        </w:rPr>
        <w:t> </w:t>
      </w:r>
      <w:r>
        <w:rPr>
          <w:color w:val="231F20"/>
        </w:rPr>
        <w:t>above</w:t>
      </w:r>
      <w:r>
        <w:rPr>
          <w:color w:val="231F20"/>
          <w:spacing w:val="-5"/>
        </w:rPr>
        <w:t> </w:t>
      </w:r>
      <w:r>
        <w:rPr>
          <w:color w:val="231F20"/>
        </w:rPr>
        <w:t>the</w:t>
      </w:r>
      <w:r>
        <w:rPr>
          <w:color w:val="231F20"/>
          <w:spacing w:val="-6"/>
        </w:rPr>
        <w:t> </w:t>
      </w:r>
      <w:r>
        <w:rPr>
          <w:color w:val="231F20"/>
        </w:rPr>
        <w:t>consistent</w:t>
      </w:r>
      <w:r>
        <w:rPr>
          <w:color w:val="231F20"/>
          <w:spacing w:val="-5"/>
        </w:rPr>
        <w:t> </w:t>
      </w:r>
      <w:r>
        <w:rPr>
          <w:color w:val="231F20"/>
          <w:spacing w:val="-1"/>
        </w:rPr>
        <w:t>Commonwealth</w:t>
      </w:r>
      <w:r>
        <w:rPr>
          <w:color w:val="231F20"/>
          <w:spacing w:val="23"/>
          <w:w w:val="99"/>
        </w:rPr>
        <w:t> </w:t>
      </w:r>
      <w:r>
        <w:rPr>
          <w:color w:val="231F20"/>
          <w:spacing w:val="-1"/>
        </w:rPr>
        <w:t>shares</w:t>
      </w:r>
      <w:r>
        <w:rPr>
          <w:color w:val="231F20"/>
          <w:spacing w:val="-3"/>
        </w:rPr>
        <w:t> </w:t>
      </w:r>
      <w:r>
        <w:rPr>
          <w:color w:val="231F20"/>
        </w:rPr>
        <w:t>will</w:t>
      </w:r>
      <w:r>
        <w:rPr>
          <w:color w:val="231F20"/>
          <w:spacing w:val="-4"/>
        </w:rPr>
        <w:t> </w:t>
      </w:r>
      <w:r>
        <w:rPr>
          <w:color w:val="231F20"/>
        </w:rPr>
        <w:t>transition</w:t>
      </w:r>
      <w:r>
        <w:rPr>
          <w:color w:val="231F20"/>
          <w:spacing w:val="-4"/>
        </w:rPr>
        <w:t> </w:t>
      </w:r>
      <w:r>
        <w:rPr>
          <w:color w:val="231F20"/>
        </w:rPr>
        <w:t>to</w:t>
      </w:r>
      <w:r>
        <w:rPr>
          <w:color w:val="231F20"/>
          <w:spacing w:val="-3"/>
        </w:rPr>
        <w:t> </w:t>
      </w:r>
      <w:r>
        <w:rPr>
          <w:color w:val="231F20"/>
        </w:rPr>
        <w:t>them</w:t>
      </w:r>
      <w:r>
        <w:rPr>
          <w:color w:val="231F20"/>
          <w:spacing w:val="-4"/>
        </w:rPr>
        <w:t> </w:t>
      </w:r>
      <w:r>
        <w:rPr>
          <w:color w:val="231F20"/>
        </w:rPr>
        <w:t>by</w:t>
      </w:r>
      <w:r>
        <w:rPr>
          <w:color w:val="231F20"/>
          <w:spacing w:val="-3"/>
        </w:rPr>
        <w:t> </w:t>
      </w:r>
      <w:r>
        <w:rPr>
          <w:color w:val="231F20"/>
        </w:rPr>
        <w:t>2029.</w:t>
      </w:r>
      <w:r>
        <w:rPr/>
      </w:r>
    </w:p>
    <w:p>
      <w:pPr>
        <w:spacing w:after="0" w:line="250" w:lineRule="exact"/>
        <w:jc w:val="left"/>
        <w:sectPr>
          <w:pgSz w:w="11910" w:h="16840"/>
          <w:pgMar w:header="0" w:footer="691" w:top="1580" w:bottom="880" w:left="1600" w:right="1300"/>
        </w:sectPr>
      </w:pPr>
    </w:p>
    <w:p>
      <w:pPr>
        <w:spacing w:line="240" w:lineRule="auto" w:before="0"/>
        <w:rPr>
          <w:rFonts w:ascii="Segoe UI" w:hAnsi="Segoe UI" w:cs="Segoe UI" w:eastAsia="Segoe UI"/>
          <w:sz w:val="20"/>
          <w:szCs w:val="20"/>
        </w:rPr>
      </w:pPr>
    </w:p>
    <w:p>
      <w:pPr>
        <w:spacing w:line="240" w:lineRule="auto" w:before="1"/>
        <w:rPr>
          <w:rFonts w:ascii="Segoe UI" w:hAnsi="Segoe UI" w:cs="Segoe UI" w:eastAsia="Segoe UI"/>
          <w:sz w:val="21"/>
          <w:szCs w:val="21"/>
        </w:rPr>
      </w:pPr>
    </w:p>
    <w:p>
      <w:pPr>
        <w:pStyle w:val="Heading3"/>
        <w:spacing w:line="240" w:lineRule="auto" w:before="25"/>
        <w:ind w:right="0"/>
        <w:jc w:val="left"/>
      </w:pPr>
      <w:r>
        <w:rPr>
          <w:b/>
          <w:color w:val="00779B"/>
        </w:rPr>
        <w:t>Base</w:t>
      </w:r>
      <w:r>
        <w:rPr>
          <w:b/>
          <w:color w:val="00779B"/>
          <w:spacing w:val="-2"/>
        </w:rPr>
        <w:t> </w:t>
      </w:r>
      <w:r>
        <w:rPr>
          <w:b/>
          <w:color w:val="00779B"/>
        </w:rPr>
        <w:t>amount</w:t>
      </w:r>
      <w:r>
        <w:rPr>
          <w:b/>
          <w:color w:val="00779B"/>
          <w:spacing w:val="-1"/>
        </w:rPr>
        <w:t> provides </w:t>
      </w:r>
      <w:r>
        <w:rPr>
          <w:b/>
          <w:color w:val="00779B"/>
        </w:rPr>
        <w:t>funding</w:t>
      </w:r>
      <w:r>
        <w:rPr>
          <w:b/>
          <w:color w:val="00779B"/>
          <w:spacing w:val="-2"/>
        </w:rPr>
        <w:t> </w:t>
      </w:r>
      <w:r>
        <w:rPr>
          <w:b/>
          <w:color w:val="00779B"/>
        </w:rPr>
        <w:t>for</w:t>
      </w:r>
      <w:r>
        <w:rPr>
          <w:b/>
          <w:color w:val="00779B"/>
          <w:spacing w:val="-2"/>
        </w:rPr>
        <w:t> </w:t>
      </w:r>
      <w:r>
        <w:rPr>
          <w:b/>
          <w:color w:val="00779B"/>
          <w:spacing w:val="1"/>
        </w:rPr>
        <w:t>every</w:t>
      </w:r>
      <w:r>
        <w:rPr>
          <w:b/>
          <w:color w:val="00779B"/>
          <w:spacing w:val="-1"/>
        </w:rPr>
        <w:t> student</w:t>
      </w:r>
      <w:r>
        <w:rPr/>
      </w:r>
    </w:p>
    <w:p>
      <w:pPr>
        <w:pStyle w:val="BodyText"/>
        <w:spacing w:line="250" w:lineRule="exact" w:before="64"/>
        <w:ind w:right="109"/>
        <w:jc w:val="left"/>
      </w:pPr>
      <w:r>
        <w:rPr>
          <w:color w:val="231F20"/>
        </w:rPr>
        <w:t>The</w:t>
      </w:r>
      <w:r>
        <w:rPr>
          <w:color w:val="231F20"/>
          <w:spacing w:val="-5"/>
        </w:rPr>
        <w:t> </w:t>
      </w:r>
      <w:r>
        <w:rPr>
          <w:color w:val="231F20"/>
          <w:spacing w:val="-1"/>
        </w:rPr>
        <w:t>SRS</w:t>
      </w:r>
      <w:r>
        <w:rPr>
          <w:color w:val="231F20"/>
          <w:spacing w:val="-4"/>
        </w:rPr>
        <w:t> </w:t>
      </w:r>
      <w:r>
        <w:rPr>
          <w:color w:val="231F20"/>
        </w:rPr>
        <w:t>base</w:t>
      </w:r>
      <w:r>
        <w:rPr>
          <w:color w:val="231F20"/>
          <w:spacing w:val="-5"/>
        </w:rPr>
        <w:t> </w:t>
      </w:r>
      <w:r>
        <w:rPr>
          <w:color w:val="231F20"/>
        </w:rPr>
        <w:t>amount</w:t>
      </w:r>
      <w:r>
        <w:rPr>
          <w:color w:val="231F20"/>
          <w:spacing w:val="-5"/>
        </w:rPr>
        <w:t> </w:t>
      </w:r>
      <w:r>
        <w:rPr>
          <w:color w:val="231F20"/>
        </w:rPr>
        <w:t>was</w:t>
      </w:r>
      <w:r>
        <w:rPr>
          <w:color w:val="231F20"/>
          <w:spacing w:val="-5"/>
        </w:rPr>
        <w:t> </w:t>
      </w:r>
      <w:r>
        <w:rPr>
          <w:color w:val="231F20"/>
        </w:rPr>
        <w:t>calculated</w:t>
      </w:r>
      <w:r>
        <w:rPr>
          <w:color w:val="231F20"/>
          <w:spacing w:val="-6"/>
        </w:rPr>
        <w:t> </w:t>
      </w:r>
      <w:r>
        <w:rPr>
          <w:color w:val="231F20"/>
        </w:rPr>
        <w:t>by</w:t>
      </w:r>
      <w:r>
        <w:rPr>
          <w:color w:val="231F20"/>
          <w:spacing w:val="-4"/>
        </w:rPr>
        <w:t> </w:t>
      </w:r>
      <w:r>
        <w:rPr>
          <w:color w:val="231F20"/>
        </w:rPr>
        <w:t>analysing</w:t>
      </w:r>
      <w:r>
        <w:rPr>
          <w:color w:val="231F20"/>
          <w:spacing w:val="-5"/>
        </w:rPr>
        <w:t> </w:t>
      </w:r>
      <w:r>
        <w:rPr>
          <w:color w:val="231F20"/>
        </w:rPr>
        <w:t>funding</w:t>
      </w:r>
      <w:r>
        <w:rPr>
          <w:color w:val="231F20"/>
          <w:spacing w:val="-4"/>
        </w:rPr>
        <w:t> </w:t>
      </w:r>
      <w:r>
        <w:rPr>
          <w:color w:val="231F20"/>
          <w:spacing w:val="-1"/>
        </w:rPr>
        <w:t>levels</w:t>
      </w:r>
      <w:r>
        <w:rPr>
          <w:color w:val="231F20"/>
          <w:spacing w:val="-5"/>
        </w:rPr>
        <w:t> </w:t>
      </w:r>
      <w:r>
        <w:rPr>
          <w:color w:val="231F20"/>
          <w:spacing w:val="-1"/>
        </w:rPr>
        <w:t>in</w:t>
      </w:r>
      <w:r>
        <w:rPr>
          <w:color w:val="231F20"/>
          <w:spacing w:val="-4"/>
        </w:rPr>
        <w:t> </w:t>
      </w:r>
      <w:r>
        <w:rPr>
          <w:color w:val="231F20"/>
          <w:spacing w:val="-1"/>
        </w:rPr>
        <w:t>schools</w:t>
      </w:r>
      <w:r>
        <w:rPr>
          <w:color w:val="231F20"/>
          <w:spacing w:val="-4"/>
        </w:rPr>
        <w:t> </w:t>
      </w:r>
      <w:r>
        <w:rPr>
          <w:color w:val="231F20"/>
        </w:rPr>
        <w:t>(known</w:t>
      </w:r>
      <w:r>
        <w:rPr>
          <w:color w:val="231F20"/>
          <w:spacing w:val="-5"/>
        </w:rPr>
        <w:t> </w:t>
      </w:r>
      <w:r>
        <w:rPr>
          <w:color w:val="231F20"/>
        </w:rPr>
        <w:t>as</w:t>
      </w:r>
      <w:r>
        <w:rPr>
          <w:color w:val="231F20"/>
          <w:spacing w:val="-5"/>
        </w:rPr>
        <w:t> </w:t>
      </w:r>
      <w:r>
        <w:rPr>
          <w:color w:val="231F20"/>
        </w:rPr>
        <w:t>'reference</w:t>
      </w:r>
      <w:r>
        <w:rPr>
          <w:color w:val="231F20"/>
          <w:spacing w:val="25"/>
          <w:w w:val="99"/>
        </w:rPr>
        <w:t> </w:t>
      </w:r>
      <w:r>
        <w:rPr>
          <w:color w:val="231F20"/>
          <w:spacing w:val="-1"/>
        </w:rPr>
        <w:t>schools')</w:t>
      </w:r>
      <w:r>
        <w:rPr>
          <w:color w:val="231F20"/>
          <w:spacing w:val="-4"/>
        </w:rPr>
        <w:t> </w:t>
      </w:r>
      <w:r>
        <w:rPr>
          <w:color w:val="231F20"/>
        </w:rPr>
        <w:t>where</w:t>
      </w:r>
      <w:r>
        <w:rPr>
          <w:color w:val="231F20"/>
          <w:spacing w:val="-4"/>
        </w:rPr>
        <w:t> </w:t>
      </w:r>
      <w:r>
        <w:rPr>
          <w:color w:val="231F20"/>
        </w:rPr>
        <w:t>at</w:t>
      </w:r>
      <w:r>
        <w:rPr>
          <w:color w:val="231F20"/>
          <w:spacing w:val="-3"/>
        </w:rPr>
        <w:t> </w:t>
      </w:r>
      <w:r>
        <w:rPr>
          <w:color w:val="231F20"/>
          <w:spacing w:val="-1"/>
        </w:rPr>
        <w:t>least</w:t>
      </w:r>
      <w:r>
        <w:rPr>
          <w:color w:val="231F20"/>
          <w:spacing w:val="-4"/>
        </w:rPr>
        <w:t> </w:t>
      </w:r>
      <w:r>
        <w:rPr>
          <w:color w:val="231F20"/>
          <w:spacing w:val="-1"/>
        </w:rPr>
        <w:t>80</w:t>
      </w:r>
      <w:r>
        <w:rPr>
          <w:color w:val="231F20"/>
          <w:spacing w:val="-3"/>
        </w:rPr>
        <w:t> </w:t>
      </w:r>
      <w:r>
        <w:rPr>
          <w:color w:val="231F20"/>
        </w:rPr>
        <w:t>per</w:t>
      </w:r>
      <w:r>
        <w:rPr>
          <w:color w:val="231F20"/>
          <w:spacing w:val="-3"/>
        </w:rPr>
        <w:t> </w:t>
      </w:r>
      <w:r>
        <w:rPr>
          <w:color w:val="231F20"/>
        </w:rPr>
        <w:t>cent</w:t>
      </w:r>
      <w:r>
        <w:rPr>
          <w:color w:val="231F20"/>
          <w:spacing w:val="-5"/>
        </w:rPr>
        <w:t> </w:t>
      </w:r>
      <w:r>
        <w:rPr>
          <w:color w:val="231F20"/>
        </w:rPr>
        <w:t>of</w:t>
      </w:r>
      <w:r>
        <w:rPr>
          <w:color w:val="231F20"/>
          <w:spacing w:val="-3"/>
        </w:rPr>
        <w:t> </w:t>
      </w:r>
      <w:r>
        <w:rPr>
          <w:color w:val="231F20"/>
          <w:spacing w:val="-1"/>
        </w:rPr>
        <w:t>students</w:t>
      </w:r>
      <w:r>
        <w:rPr>
          <w:color w:val="231F20"/>
          <w:spacing w:val="-3"/>
        </w:rPr>
        <w:t> </w:t>
      </w:r>
      <w:r>
        <w:rPr>
          <w:color w:val="231F20"/>
        </w:rPr>
        <w:t>had</w:t>
      </w:r>
      <w:r>
        <w:rPr>
          <w:color w:val="231F20"/>
          <w:spacing w:val="-4"/>
        </w:rPr>
        <w:t> </w:t>
      </w:r>
      <w:r>
        <w:rPr>
          <w:color w:val="231F20"/>
        </w:rPr>
        <w:t>achieved</w:t>
      </w:r>
      <w:r>
        <w:rPr>
          <w:color w:val="231F20"/>
          <w:spacing w:val="-4"/>
        </w:rPr>
        <w:t> </w:t>
      </w:r>
      <w:r>
        <w:rPr>
          <w:color w:val="231F20"/>
        </w:rPr>
        <w:t>above</w:t>
      </w:r>
      <w:r>
        <w:rPr>
          <w:color w:val="231F20"/>
          <w:spacing w:val="-4"/>
        </w:rPr>
        <w:t> </w:t>
      </w:r>
      <w:r>
        <w:rPr>
          <w:color w:val="231F20"/>
        </w:rPr>
        <w:t>the</w:t>
      </w:r>
      <w:r>
        <w:rPr>
          <w:color w:val="231F20"/>
          <w:spacing w:val="-5"/>
        </w:rPr>
        <w:t> </w:t>
      </w:r>
      <w:r>
        <w:rPr>
          <w:color w:val="231F20"/>
        </w:rPr>
        <w:t>national</w:t>
      </w:r>
      <w:r>
        <w:rPr>
          <w:color w:val="231F20"/>
          <w:spacing w:val="-4"/>
        </w:rPr>
        <w:t> </w:t>
      </w:r>
      <w:r>
        <w:rPr>
          <w:color w:val="231F20"/>
          <w:spacing w:val="-1"/>
        </w:rPr>
        <w:t>minimum</w:t>
      </w:r>
      <w:r>
        <w:rPr>
          <w:color w:val="231F20"/>
          <w:spacing w:val="-3"/>
        </w:rPr>
        <w:t> </w:t>
      </w:r>
      <w:r>
        <w:rPr>
          <w:color w:val="231F20"/>
          <w:spacing w:val="-1"/>
        </w:rPr>
        <w:t>standard</w:t>
      </w:r>
      <w:r>
        <w:rPr>
          <w:color w:val="231F20"/>
          <w:spacing w:val="25"/>
          <w:w w:val="99"/>
        </w:rPr>
        <w:t> </w:t>
      </w:r>
      <w:r>
        <w:rPr>
          <w:color w:val="231F20"/>
          <w:spacing w:val="-1"/>
        </w:rPr>
        <w:t>in</w:t>
      </w:r>
      <w:r>
        <w:rPr>
          <w:color w:val="231F20"/>
          <w:spacing w:val="-4"/>
        </w:rPr>
        <w:t> </w:t>
      </w:r>
      <w:r>
        <w:rPr>
          <w:color w:val="231F20"/>
        </w:rPr>
        <w:t>NAPLAN</w:t>
      </w:r>
      <w:r>
        <w:rPr>
          <w:color w:val="231F20"/>
          <w:spacing w:val="-4"/>
        </w:rPr>
        <w:t> </w:t>
      </w:r>
      <w:r>
        <w:rPr>
          <w:color w:val="231F20"/>
        </w:rPr>
        <w:t>for</w:t>
      </w:r>
      <w:r>
        <w:rPr>
          <w:color w:val="231F20"/>
          <w:spacing w:val="-4"/>
        </w:rPr>
        <w:t> </w:t>
      </w:r>
      <w:r>
        <w:rPr>
          <w:color w:val="231F20"/>
        </w:rPr>
        <w:t>reading</w:t>
      </w:r>
      <w:r>
        <w:rPr>
          <w:color w:val="231F20"/>
          <w:spacing w:val="-5"/>
        </w:rPr>
        <w:t> </w:t>
      </w:r>
      <w:r>
        <w:rPr>
          <w:color w:val="231F20"/>
        </w:rPr>
        <w:t>and</w:t>
      </w:r>
      <w:r>
        <w:rPr>
          <w:color w:val="231F20"/>
          <w:spacing w:val="-5"/>
        </w:rPr>
        <w:t> </w:t>
      </w:r>
      <w:r>
        <w:rPr>
          <w:color w:val="231F20"/>
        </w:rPr>
        <w:t>numeracy</w:t>
      </w:r>
      <w:r>
        <w:rPr>
          <w:color w:val="231F20"/>
          <w:spacing w:val="-5"/>
        </w:rPr>
        <w:t> </w:t>
      </w:r>
      <w:r>
        <w:rPr>
          <w:color w:val="231F20"/>
        </w:rPr>
        <w:t>for</w:t>
      </w:r>
      <w:r>
        <w:rPr>
          <w:color w:val="231F20"/>
          <w:spacing w:val="-4"/>
        </w:rPr>
        <w:t> </w:t>
      </w:r>
      <w:r>
        <w:rPr>
          <w:color w:val="231F20"/>
        </w:rPr>
        <w:t>three</w:t>
      </w:r>
      <w:r>
        <w:rPr>
          <w:color w:val="231F20"/>
          <w:spacing w:val="-4"/>
        </w:rPr>
        <w:t> </w:t>
      </w:r>
      <w:r>
        <w:rPr>
          <w:color w:val="231F20"/>
        </w:rPr>
        <w:t>years</w:t>
      </w:r>
      <w:r>
        <w:rPr>
          <w:color w:val="231F20"/>
          <w:spacing w:val="-5"/>
        </w:rPr>
        <w:t> </w:t>
      </w:r>
      <w:r>
        <w:rPr>
          <w:color w:val="231F20"/>
          <w:spacing w:val="-1"/>
        </w:rPr>
        <w:t>in</w:t>
      </w:r>
      <w:r>
        <w:rPr>
          <w:color w:val="231F20"/>
          <w:spacing w:val="-4"/>
        </w:rPr>
        <w:t> </w:t>
      </w:r>
      <w:r>
        <w:rPr>
          <w:color w:val="231F20"/>
        </w:rPr>
        <w:t>a</w:t>
      </w:r>
      <w:r>
        <w:rPr>
          <w:color w:val="231F20"/>
          <w:spacing w:val="-4"/>
        </w:rPr>
        <w:t> </w:t>
      </w:r>
      <w:r>
        <w:rPr>
          <w:color w:val="231F20"/>
        </w:rPr>
        <w:t>row.</w:t>
      </w:r>
      <w:r>
        <w:rPr/>
      </w:r>
    </w:p>
    <w:p>
      <w:pPr>
        <w:pStyle w:val="BodyText"/>
        <w:spacing w:line="250" w:lineRule="exact" w:before="113"/>
        <w:ind w:right="140"/>
        <w:jc w:val="left"/>
      </w:pPr>
      <w:r>
        <w:rPr>
          <w:color w:val="231F20"/>
        </w:rPr>
        <w:t>The</w:t>
      </w:r>
      <w:r>
        <w:rPr>
          <w:color w:val="231F20"/>
          <w:spacing w:val="-3"/>
        </w:rPr>
        <w:t> </w:t>
      </w:r>
      <w:r>
        <w:rPr>
          <w:color w:val="231F20"/>
        </w:rPr>
        <w:t>base</w:t>
      </w:r>
      <w:r>
        <w:rPr>
          <w:color w:val="231F20"/>
          <w:spacing w:val="-3"/>
        </w:rPr>
        <w:t> </w:t>
      </w:r>
      <w:r>
        <w:rPr>
          <w:color w:val="231F20"/>
        </w:rPr>
        <w:t>amount</w:t>
      </w:r>
      <w:r>
        <w:rPr>
          <w:color w:val="231F20"/>
          <w:spacing w:val="-4"/>
        </w:rPr>
        <w:t> </w:t>
      </w:r>
      <w:r>
        <w:rPr>
          <w:color w:val="231F20"/>
          <w:spacing w:val="-1"/>
        </w:rPr>
        <w:t>is</w:t>
      </w:r>
      <w:r>
        <w:rPr>
          <w:color w:val="231F20"/>
          <w:spacing w:val="-3"/>
        </w:rPr>
        <w:t> </w:t>
      </w:r>
      <w:r>
        <w:rPr>
          <w:color w:val="231F20"/>
          <w:spacing w:val="-1"/>
        </w:rPr>
        <w:t>set</w:t>
      </w:r>
      <w:r>
        <w:rPr>
          <w:color w:val="231F20"/>
          <w:spacing w:val="-3"/>
        </w:rPr>
        <w:t> </w:t>
      </w:r>
      <w:r>
        <w:rPr>
          <w:color w:val="231F20"/>
        </w:rPr>
        <w:t>at</w:t>
      </w:r>
      <w:r>
        <w:rPr>
          <w:color w:val="231F20"/>
          <w:spacing w:val="-2"/>
        </w:rPr>
        <w:t> </w:t>
      </w:r>
      <w:r>
        <w:rPr>
          <w:color w:val="231F20"/>
          <w:spacing w:val="-1"/>
        </w:rPr>
        <w:t>$11,343</w:t>
      </w:r>
      <w:r>
        <w:rPr>
          <w:color w:val="231F20"/>
          <w:spacing w:val="-3"/>
        </w:rPr>
        <w:t> </w:t>
      </w:r>
      <w:r>
        <w:rPr>
          <w:color w:val="231F20"/>
        </w:rPr>
        <w:t>for</w:t>
      </w:r>
      <w:r>
        <w:rPr>
          <w:color w:val="231F20"/>
          <w:spacing w:val="-2"/>
        </w:rPr>
        <w:t> </w:t>
      </w:r>
      <w:r>
        <w:rPr>
          <w:color w:val="231F20"/>
        </w:rPr>
        <w:t>primary</w:t>
      </w:r>
      <w:r>
        <w:rPr>
          <w:color w:val="231F20"/>
          <w:spacing w:val="-4"/>
        </w:rPr>
        <w:t> </w:t>
      </w:r>
      <w:r>
        <w:rPr>
          <w:color w:val="231F20"/>
          <w:spacing w:val="-1"/>
        </w:rPr>
        <w:t>students</w:t>
      </w:r>
      <w:r>
        <w:rPr>
          <w:color w:val="231F20"/>
          <w:spacing w:val="-2"/>
        </w:rPr>
        <w:t> </w:t>
      </w:r>
      <w:r>
        <w:rPr>
          <w:color w:val="231F20"/>
        </w:rPr>
        <w:t>and</w:t>
      </w:r>
      <w:r>
        <w:rPr>
          <w:color w:val="231F20"/>
          <w:spacing w:val="-4"/>
        </w:rPr>
        <w:t> </w:t>
      </w:r>
      <w:r>
        <w:rPr>
          <w:color w:val="231F20"/>
          <w:spacing w:val="-1"/>
        </w:rPr>
        <w:t>$14,254</w:t>
      </w:r>
      <w:r>
        <w:rPr>
          <w:color w:val="231F20"/>
          <w:spacing w:val="-2"/>
        </w:rPr>
        <w:t> </w:t>
      </w:r>
      <w:r>
        <w:rPr>
          <w:color w:val="231F20"/>
        </w:rPr>
        <w:t>for</w:t>
      </w:r>
      <w:r>
        <w:rPr>
          <w:color w:val="231F20"/>
          <w:spacing w:val="-3"/>
        </w:rPr>
        <w:t> </w:t>
      </w:r>
      <w:r>
        <w:rPr>
          <w:color w:val="231F20"/>
          <w:spacing w:val="-1"/>
        </w:rPr>
        <w:t>secondary students</w:t>
      </w:r>
      <w:r>
        <w:rPr>
          <w:color w:val="231F20"/>
          <w:spacing w:val="-3"/>
        </w:rPr>
        <w:t> </w:t>
      </w:r>
      <w:r>
        <w:rPr>
          <w:color w:val="231F20"/>
          <w:spacing w:val="-1"/>
        </w:rPr>
        <w:t>in</w:t>
      </w:r>
      <w:r>
        <w:rPr>
          <w:color w:val="231F20"/>
          <w:spacing w:val="-2"/>
        </w:rPr>
        <w:t> </w:t>
      </w:r>
      <w:r>
        <w:rPr>
          <w:color w:val="231F20"/>
          <w:spacing w:val="-1"/>
        </w:rPr>
        <w:t>2019.</w:t>
      </w:r>
      <w:r>
        <w:rPr>
          <w:color w:val="231F20"/>
          <w:spacing w:val="28"/>
        </w:rPr>
        <w:t> </w:t>
      </w:r>
      <w:r>
        <w:rPr>
          <w:color w:val="231F20"/>
          <w:spacing w:val="-1"/>
        </w:rPr>
        <w:t>It</w:t>
      </w:r>
      <w:r>
        <w:rPr>
          <w:color w:val="231F20"/>
          <w:spacing w:val="-5"/>
        </w:rPr>
        <w:t> </w:t>
      </w:r>
      <w:r>
        <w:rPr>
          <w:color w:val="231F20"/>
          <w:spacing w:val="-1"/>
        </w:rPr>
        <w:t>is</w:t>
      </w:r>
      <w:r>
        <w:rPr>
          <w:color w:val="231F20"/>
          <w:spacing w:val="-5"/>
        </w:rPr>
        <w:t> </w:t>
      </w:r>
      <w:r>
        <w:rPr>
          <w:color w:val="231F20"/>
        </w:rPr>
        <w:t>estimated</w:t>
      </w:r>
      <w:r>
        <w:rPr>
          <w:color w:val="231F20"/>
          <w:spacing w:val="-5"/>
        </w:rPr>
        <w:t> </w:t>
      </w:r>
      <w:r>
        <w:rPr>
          <w:color w:val="231F20"/>
        </w:rPr>
        <w:t>that</w:t>
      </w:r>
      <w:r>
        <w:rPr>
          <w:color w:val="231F20"/>
          <w:spacing w:val="-5"/>
        </w:rPr>
        <w:t> </w:t>
      </w:r>
      <w:r>
        <w:rPr>
          <w:color w:val="231F20"/>
        </w:rPr>
        <w:t>the</w:t>
      </w:r>
      <w:r>
        <w:rPr>
          <w:color w:val="231F20"/>
          <w:spacing w:val="-5"/>
        </w:rPr>
        <w:t> </w:t>
      </w:r>
      <w:r>
        <w:rPr>
          <w:color w:val="231F20"/>
        </w:rPr>
        <w:t>base</w:t>
      </w:r>
      <w:r>
        <w:rPr>
          <w:color w:val="231F20"/>
          <w:spacing w:val="-5"/>
        </w:rPr>
        <w:t> </w:t>
      </w:r>
      <w:r>
        <w:rPr>
          <w:color w:val="231F20"/>
        </w:rPr>
        <w:t>amount</w:t>
      </w:r>
      <w:r>
        <w:rPr>
          <w:color w:val="231F20"/>
          <w:spacing w:val="-5"/>
        </w:rPr>
        <w:t> </w:t>
      </w:r>
      <w:r>
        <w:rPr>
          <w:color w:val="231F20"/>
        </w:rPr>
        <w:t>will</w:t>
      </w:r>
      <w:r>
        <w:rPr>
          <w:color w:val="231F20"/>
          <w:spacing w:val="-5"/>
        </w:rPr>
        <w:t> </w:t>
      </w:r>
      <w:r>
        <w:rPr>
          <w:color w:val="231F20"/>
        </w:rPr>
        <w:t>account</w:t>
      </w:r>
      <w:r>
        <w:rPr>
          <w:color w:val="231F20"/>
          <w:spacing w:val="-6"/>
        </w:rPr>
        <w:t> </w:t>
      </w:r>
      <w:r>
        <w:rPr>
          <w:color w:val="231F20"/>
        </w:rPr>
        <w:t>for</w:t>
      </w:r>
      <w:r>
        <w:rPr>
          <w:color w:val="231F20"/>
          <w:spacing w:val="-4"/>
        </w:rPr>
        <w:t> </w:t>
      </w:r>
      <w:r>
        <w:rPr>
          <w:color w:val="231F20"/>
          <w:spacing w:val="-1"/>
        </w:rPr>
        <w:t>75.4</w:t>
      </w:r>
      <w:r>
        <w:rPr>
          <w:color w:val="231F20"/>
          <w:spacing w:val="-4"/>
        </w:rPr>
        <w:t> </w:t>
      </w:r>
      <w:r>
        <w:rPr>
          <w:color w:val="231F20"/>
        </w:rPr>
        <w:t>per</w:t>
      </w:r>
      <w:r>
        <w:rPr>
          <w:color w:val="231F20"/>
          <w:spacing w:val="-4"/>
        </w:rPr>
        <w:t> </w:t>
      </w:r>
      <w:r>
        <w:rPr>
          <w:color w:val="231F20"/>
        </w:rPr>
        <w:t>cent</w:t>
      </w:r>
      <w:r>
        <w:rPr>
          <w:color w:val="231F20"/>
          <w:spacing w:val="-5"/>
        </w:rPr>
        <w:t> </w:t>
      </w:r>
      <w:r>
        <w:rPr>
          <w:color w:val="231F20"/>
        </w:rPr>
        <w:t>of</w:t>
      </w:r>
      <w:r>
        <w:rPr>
          <w:color w:val="231F20"/>
          <w:spacing w:val="-4"/>
        </w:rPr>
        <w:t> </w:t>
      </w:r>
      <w:r>
        <w:rPr>
          <w:color w:val="231F20"/>
          <w:spacing w:val="-1"/>
        </w:rPr>
        <w:t>Commonwealth</w:t>
      </w:r>
      <w:r>
        <w:rPr>
          <w:color w:val="231F20"/>
          <w:spacing w:val="-5"/>
        </w:rPr>
        <w:t> </w:t>
      </w:r>
      <w:r>
        <w:rPr>
          <w:color w:val="231F20"/>
        </w:rPr>
        <w:t>recurrent</w:t>
      </w:r>
      <w:r>
        <w:rPr>
          <w:color w:val="231F20"/>
          <w:spacing w:val="25"/>
          <w:w w:val="99"/>
        </w:rPr>
        <w:t> </w:t>
      </w:r>
      <w:r>
        <w:rPr>
          <w:color w:val="231F20"/>
          <w:spacing w:val="-1"/>
        </w:rPr>
        <w:t>school</w:t>
      </w:r>
      <w:r>
        <w:rPr>
          <w:color w:val="231F20"/>
          <w:spacing w:val="-5"/>
        </w:rPr>
        <w:t> </w:t>
      </w:r>
      <w:r>
        <w:rPr>
          <w:color w:val="231F20"/>
        </w:rPr>
        <w:t>funding</w:t>
      </w:r>
      <w:r>
        <w:rPr>
          <w:color w:val="231F20"/>
          <w:spacing w:val="-4"/>
        </w:rPr>
        <w:t> </w:t>
      </w:r>
      <w:r>
        <w:rPr>
          <w:color w:val="231F20"/>
        </w:rPr>
        <w:t>expenditure</w:t>
      </w:r>
      <w:r>
        <w:rPr>
          <w:color w:val="231F20"/>
          <w:spacing w:val="-6"/>
        </w:rPr>
        <w:t> </w:t>
      </w:r>
      <w:r>
        <w:rPr>
          <w:color w:val="231F20"/>
          <w:spacing w:val="-1"/>
        </w:rPr>
        <w:t>in</w:t>
      </w:r>
      <w:r>
        <w:rPr>
          <w:color w:val="231F20"/>
          <w:spacing w:val="-4"/>
        </w:rPr>
        <w:t> </w:t>
      </w:r>
      <w:r>
        <w:rPr>
          <w:color w:val="231F20"/>
        </w:rPr>
        <w:t>2019.</w:t>
      </w:r>
      <w:r>
        <w:rPr/>
      </w:r>
    </w:p>
    <w:p>
      <w:pPr>
        <w:pStyle w:val="BodyText"/>
        <w:spacing w:line="258" w:lineRule="exact" w:before="97"/>
        <w:ind w:right="0"/>
        <w:jc w:val="left"/>
      </w:pPr>
      <w:r>
        <w:rPr>
          <w:color w:val="231F20"/>
          <w:spacing w:val="-1"/>
        </w:rPr>
        <w:t>For</w:t>
      </w:r>
      <w:r>
        <w:rPr>
          <w:color w:val="231F20"/>
          <w:spacing w:val="-5"/>
        </w:rPr>
        <w:t> </w:t>
      </w:r>
      <w:r>
        <w:rPr>
          <w:color w:val="231F20"/>
          <w:spacing w:val="-1"/>
        </w:rPr>
        <w:t>most</w:t>
      </w:r>
      <w:r>
        <w:rPr>
          <w:color w:val="231F20"/>
          <w:spacing w:val="-5"/>
        </w:rPr>
        <w:t> </w:t>
      </w:r>
      <w:r>
        <w:rPr>
          <w:color w:val="231F20"/>
        </w:rPr>
        <w:t>non</w:t>
      </w:r>
      <w:r>
        <w:rPr>
          <w:color w:val="231F20"/>
          <w:spacing w:val="-5"/>
        </w:rPr>
        <w:t> </w:t>
      </w:r>
      <w:r>
        <w:rPr>
          <w:color w:val="231F20"/>
        </w:rPr>
        <w:t>government</w:t>
      </w:r>
      <w:r>
        <w:rPr>
          <w:color w:val="231F20"/>
          <w:spacing w:val="-6"/>
        </w:rPr>
        <w:t> </w:t>
      </w:r>
      <w:r>
        <w:rPr>
          <w:color w:val="231F20"/>
          <w:spacing w:val="-1"/>
        </w:rPr>
        <w:t>schools,</w:t>
      </w:r>
      <w:r>
        <w:rPr>
          <w:color w:val="231F20"/>
          <w:spacing w:val="-5"/>
        </w:rPr>
        <w:t> </w:t>
      </w:r>
      <w:r>
        <w:rPr>
          <w:color w:val="231F20"/>
        </w:rPr>
        <w:t>the</w:t>
      </w:r>
      <w:r>
        <w:rPr>
          <w:color w:val="231F20"/>
          <w:spacing w:val="-5"/>
        </w:rPr>
        <w:t> </w:t>
      </w:r>
      <w:r>
        <w:rPr>
          <w:color w:val="231F20"/>
        </w:rPr>
        <w:t>base</w:t>
      </w:r>
      <w:r>
        <w:rPr>
          <w:color w:val="231F20"/>
          <w:spacing w:val="-6"/>
        </w:rPr>
        <w:t> </w:t>
      </w:r>
      <w:r>
        <w:rPr>
          <w:color w:val="231F20"/>
        </w:rPr>
        <w:t>amount</w:t>
      </w:r>
      <w:r>
        <w:rPr>
          <w:color w:val="231F20"/>
          <w:spacing w:val="-5"/>
        </w:rPr>
        <w:t> </w:t>
      </w:r>
      <w:r>
        <w:rPr>
          <w:color w:val="231F20"/>
          <w:spacing w:val="-1"/>
        </w:rPr>
        <w:t>is</w:t>
      </w:r>
      <w:r>
        <w:rPr>
          <w:color w:val="231F20"/>
          <w:spacing w:val="-6"/>
        </w:rPr>
        <w:t> </w:t>
      </w:r>
      <w:r>
        <w:rPr>
          <w:color w:val="231F20"/>
        </w:rPr>
        <w:t>discounted</w:t>
      </w:r>
      <w:r>
        <w:rPr>
          <w:color w:val="231F20"/>
          <w:spacing w:val="-6"/>
        </w:rPr>
        <w:t> </w:t>
      </w:r>
      <w:r>
        <w:rPr>
          <w:color w:val="231F20"/>
        </w:rPr>
        <w:t>by</w:t>
      </w:r>
      <w:r>
        <w:rPr>
          <w:color w:val="231F20"/>
          <w:spacing w:val="-4"/>
        </w:rPr>
        <w:t> </w:t>
      </w:r>
      <w:r>
        <w:rPr>
          <w:color w:val="231F20"/>
        </w:rPr>
        <w:t>the</w:t>
      </w:r>
      <w:r>
        <w:rPr>
          <w:color w:val="231F20"/>
          <w:spacing w:val="-6"/>
        </w:rPr>
        <w:t> </w:t>
      </w:r>
      <w:r>
        <w:rPr>
          <w:color w:val="231F20"/>
        </w:rPr>
        <w:t>anticipated</w:t>
      </w:r>
      <w:r>
        <w:rPr>
          <w:color w:val="231F20"/>
          <w:spacing w:val="-5"/>
        </w:rPr>
        <w:t> </w:t>
      </w:r>
      <w:r>
        <w:rPr>
          <w:color w:val="231F20"/>
        </w:rPr>
        <w:t>capacity</w:t>
      </w:r>
      <w:r>
        <w:rPr>
          <w:color w:val="231F20"/>
          <w:spacing w:val="-6"/>
        </w:rPr>
        <w:t> </w:t>
      </w:r>
      <w:r>
        <w:rPr>
          <w:color w:val="231F20"/>
        </w:rPr>
        <w:t>of</w:t>
      </w:r>
      <w:r>
        <w:rPr/>
      </w:r>
    </w:p>
    <w:p>
      <w:pPr>
        <w:pStyle w:val="BodyText"/>
        <w:spacing w:line="258" w:lineRule="exact"/>
        <w:ind w:right="0"/>
        <w:jc w:val="left"/>
        <w:rPr>
          <w:rFonts w:ascii="Segoe UI" w:hAnsi="Segoe UI" w:cs="Segoe UI" w:eastAsia="Segoe UI"/>
        </w:rPr>
      </w:pPr>
      <w:r>
        <w:rPr>
          <w:rFonts w:ascii="Segoe UI"/>
          <w:color w:val="231F20"/>
        </w:rPr>
        <w:t>their school community to financially contribute towards the school's operating costs.</w:t>
      </w:r>
      <w:r>
        <w:rPr>
          <w:rFonts w:ascii="Segoe UI"/>
        </w:rPr>
      </w:r>
    </w:p>
    <w:p>
      <w:pPr>
        <w:pStyle w:val="BodyText"/>
        <w:spacing w:line="250" w:lineRule="exact" w:before="113"/>
        <w:ind w:right="279"/>
        <w:jc w:val="left"/>
      </w:pPr>
      <w:r>
        <w:rPr>
          <w:color w:val="231F20"/>
        </w:rPr>
        <w:t>This</w:t>
      </w:r>
      <w:r>
        <w:rPr>
          <w:color w:val="231F20"/>
          <w:spacing w:val="-4"/>
        </w:rPr>
        <w:t> </w:t>
      </w:r>
      <w:r>
        <w:rPr>
          <w:color w:val="231F20"/>
          <w:spacing w:val="-1"/>
        </w:rPr>
        <w:t>is</w:t>
      </w:r>
      <w:r>
        <w:rPr>
          <w:color w:val="231F20"/>
          <w:spacing w:val="-4"/>
        </w:rPr>
        <w:t> </w:t>
      </w:r>
      <w:r>
        <w:rPr>
          <w:color w:val="231F20"/>
        </w:rPr>
        <w:t>called</w:t>
      </w:r>
      <w:r>
        <w:rPr>
          <w:color w:val="231F20"/>
          <w:spacing w:val="-3"/>
        </w:rPr>
        <w:t> </w:t>
      </w:r>
      <w:r>
        <w:rPr>
          <w:color w:val="231F20"/>
        </w:rPr>
        <w:t>the</w:t>
      </w:r>
      <w:r>
        <w:rPr>
          <w:color w:val="231F20"/>
          <w:spacing w:val="-4"/>
        </w:rPr>
        <w:t> </w:t>
      </w:r>
      <w:r>
        <w:rPr>
          <w:color w:val="231F20"/>
        </w:rPr>
        <w:t>'capacity</w:t>
      </w:r>
      <w:r>
        <w:rPr>
          <w:color w:val="231F20"/>
          <w:spacing w:val="-2"/>
        </w:rPr>
        <w:t> </w:t>
      </w:r>
      <w:r>
        <w:rPr>
          <w:color w:val="231F20"/>
        </w:rPr>
        <w:t>to</w:t>
      </w:r>
      <w:r>
        <w:rPr>
          <w:color w:val="231F20"/>
          <w:spacing w:val="-3"/>
        </w:rPr>
        <w:t> </w:t>
      </w:r>
      <w:r>
        <w:rPr>
          <w:color w:val="231F20"/>
        </w:rPr>
        <w:t>contribute'</w:t>
      </w:r>
      <w:r>
        <w:rPr>
          <w:color w:val="231F20"/>
          <w:spacing w:val="-3"/>
        </w:rPr>
        <w:t> </w:t>
      </w:r>
      <w:r>
        <w:rPr>
          <w:color w:val="231F20"/>
        </w:rPr>
        <w:t>assessment</w:t>
      </w:r>
      <w:r>
        <w:rPr>
          <w:color w:val="231F20"/>
          <w:spacing w:val="-4"/>
        </w:rPr>
        <w:t> </w:t>
      </w:r>
      <w:r>
        <w:rPr>
          <w:color w:val="231F20"/>
        </w:rPr>
        <w:t>and</w:t>
      </w:r>
      <w:r>
        <w:rPr>
          <w:color w:val="231F20"/>
          <w:spacing w:val="-3"/>
        </w:rPr>
        <w:t> </w:t>
      </w:r>
      <w:r>
        <w:rPr>
          <w:color w:val="231F20"/>
          <w:spacing w:val="-1"/>
        </w:rPr>
        <w:t>it</w:t>
      </w:r>
      <w:r>
        <w:rPr>
          <w:color w:val="231F20"/>
          <w:spacing w:val="-3"/>
        </w:rPr>
        <w:t> </w:t>
      </w:r>
      <w:r>
        <w:rPr>
          <w:color w:val="231F20"/>
          <w:spacing w:val="-1"/>
        </w:rPr>
        <w:t>is</w:t>
      </w:r>
      <w:r>
        <w:rPr>
          <w:color w:val="231F20"/>
          <w:spacing w:val="-4"/>
        </w:rPr>
        <w:t> </w:t>
      </w:r>
      <w:r>
        <w:rPr>
          <w:color w:val="231F20"/>
        </w:rPr>
        <w:t>based</w:t>
      </w:r>
      <w:r>
        <w:rPr>
          <w:color w:val="231F20"/>
          <w:spacing w:val="-3"/>
        </w:rPr>
        <w:t> </w:t>
      </w:r>
      <w:r>
        <w:rPr>
          <w:color w:val="231F20"/>
        </w:rPr>
        <w:t>on</w:t>
      </w:r>
      <w:r>
        <w:rPr>
          <w:color w:val="231F20"/>
          <w:spacing w:val="-3"/>
        </w:rPr>
        <w:t> </w:t>
      </w:r>
      <w:r>
        <w:rPr>
          <w:color w:val="231F20"/>
        </w:rPr>
        <w:t>the</w:t>
      </w:r>
      <w:r>
        <w:rPr>
          <w:color w:val="231F20"/>
          <w:spacing w:val="-3"/>
        </w:rPr>
        <w:t> </w:t>
      </w:r>
      <w:r>
        <w:rPr>
          <w:color w:val="231F20"/>
          <w:spacing w:val="-1"/>
        </w:rPr>
        <w:t>socio</w:t>
      </w:r>
      <w:r>
        <w:rPr>
          <w:color w:val="231F20"/>
          <w:spacing w:val="-3"/>
        </w:rPr>
        <w:t> </w:t>
      </w:r>
      <w:r>
        <w:rPr>
          <w:color w:val="231F20"/>
        </w:rPr>
        <w:t>economic</w:t>
      </w:r>
      <w:r>
        <w:rPr>
          <w:color w:val="231F20"/>
          <w:spacing w:val="-3"/>
        </w:rPr>
        <w:t> </w:t>
      </w:r>
      <w:r>
        <w:rPr>
          <w:color w:val="231F20"/>
          <w:spacing w:val="-1"/>
        </w:rPr>
        <w:t>status</w:t>
      </w:r>
      <w:r>
        <w:rPr>
          <w:color w:val="231F20"/>
          <w:spacing w:val="24"/>
        </w:rPr>
        <w:t> </w:t>
      </w:r>
      <w:r>
        <w:rPr>
          <w:color w:val="231F20"/>
        </w:rPr>
        <w:t>(SES)</w:t>
      </w:r>
      <w:r>
        <w:rPr>
          <w:color w:val="231F20"/>
          <w:spacing w:val="-5"/>
        </w:rPr>
        <w:t> </w:t>
      </w:r>
      <w:r>
        <w:rPr>
          <w:color w:val="231F20"/>
          <w:spacing w:val="-1"/>
        </w:rPr>
        <w:t>score</w:t>
      </w:r>
      <w:r>
        <w:rPr>
          <w:color w:val="231F20"/>
          <w:spacing w:val="-5"/>
        </w:rPr>
        <w:t> </w:t>
      </w:r>
      <w:r>
        <w:rPr>
          <w:color w:val="231F20"/>
        </w:rPr>
        <w:t>of</w:t>
      </w:r>
      <w:r>
        <w:rPr>
          <w:color w:val="231F20"/>
          <w:spacing w:val="-4"/>
        </w:rPr>
        <w:t> </w:t>
      </w:r>
      <w:r>
        <w:rPr>
          <w:color w:val="231F20"/>
        </w:rPr>
        <w:t>the</w:t>
      </w:r>
      <w:r>
        <w:rPr>
          <w:color w:val="231F20"/>
          <w:spacing w:val="-5"/>
        </w:rPr>
        <w:t> </w:t>
      </w:r>
      <w:r>
        <w:rPr>
          <w:color w:val="231F20"/>
          <w:spacing w:val="-1"/>
        </w:rPr>
        <w:t>school.</w:t>
      </w:r>
      <w:r>
        <w:rPr>
          <w:color w:val="231F20"/>
          <w:spacing w:val="-4"/>
        </w:rPr>
        <w:t> </w:t>
      </w:r>
      <w:r>
        <w:rPr>
          <w:color w:val="231F20"/>
        </w:rPr>
        <w:t>'Capacity</w:t>
      </w:r>
      <w:r>
        <w:rPr>
          <w:color w:val="231F20"/>
          <w:spacing w:val="-4"/>
        </w:rPr>
        <w:t> </w:t>
      </w:r>
      <w:r>
        <w:rPr>
          <w:color w:val="231F20"/>
        </w:rPr>
        <w:t>to</w:t>
      </w:r>
      <w:r>
        <w:rPr>
          <w:color w:val="231F20"/>
          <w:spacing w:val="-4"/>
        </w:rPr>
        <w:t> </w:t>
      </w:r>
      <w:r>
        <w:rPr>
          <w:color w:val="231F20"/>
        </w:rPr>
        <w:t>contribute'</w:t>
      </w:r>
      <w:r>
        <w:rPr>
          <w:color w:val="231F20"/>
          <w:spacing w:val="-5"/>
        </w:rPr>
        <w:t> </w:t>
      </w:r>
      <w:r>
        <w:rPr>
          <w:color w:val="231F20"/>
        </w:rPr>
        <w:t>does</w:t>
      </w:r>
      <w:r>
        <w:rPr>
          <w:color w:val="231F20"/>
          <w:spacing w:val="-5"/>
        </w:rPr>
        <w:t> </w:t>
      </w:r>
      <w:r>
        <w:rPr>
          <w:color w:val="231F20"/>
        </w:rPr>
        <w:t>not</w:t>
      </w:r>
      <w:r>
        <w:rPr>
          <w:color w:val="231F20"/>
          <w:spacing w:val="-4"/>
        </w:rPr>
        <w:t> </w:t>
      </w:r>
      <w:r>
        <w:rPr>
          <w:color w:val="231F20"/>
        </w:rPr>
        <w:t>apply</w:t>
      </w:r>
      <w:r>
        <w:rPr>
          <w:color w:val="231F20"/>
          <w:spacing w:val="-5"/>
        </w:rPr>
        <w:t> </w:t>
      </w:r>
      <w:r>
        <w:rPr>
          <w:color w:val="231F20"/>
        </w:rPr>
        <w:t>to</w:t>
      </w:r>
      <w:r>
        <w:rPr>
          <w:color w:val="231F20"/>
          <w:spacing w:val="-4"/>
        </w:rPr>
        <w:t> </w:t>
      </w:r>
      <w:r>
        <w:rPr>
          <w:color w:val="231F20"/>
        </w:rPr>
        <w:t>government</w:t>
      </w:r>
      <w:r>
        <w:rPr>
          <w:color w:val="231F20"/>
          <w:spacing w:val="-5"/>
        </w:rPr>
        <w:t> </w:t>
      </w:r>
      <w:r>
        <w:rPr>
          <w:color w:val="231F20"/>
          <w:spacing w:val="-1"/>
        </w:rPr>
        <w:t>schools</w:t>
      </w:r>
      <w:r>
        <w:rPr>
          <w:color w:val="231F20"/>
          <w:spacing w:val="-4"/>
        </w:rPr>
        <w:t> </w:t>
      </w:r>
      <w:r>
        <w:rPr>
          <w:color w:val="231F20"/>
        </w:rPr>
        <w:t>and</w:t>
      </w:r>
      <w:r>
        <w:rPr>
          <w:color w:val="231F20"/>
          <w:spacing w:val="-5"/>
        </w:rPr>
        <w:t> </w:t>
      </w:r>
      <w:r>
        <w:rPr>
          <w:color w:val="231F20"/>
        </w:rPr>
        <w:t>non</w:t>
      </w:r>
      <w:r>
        <w:rPr>
          <w:color w:val="231F20"/>
          <w:spacing w:val="24"/>
          <w:w w:val="99"/>
        </w:rPr>
        <w:t> </w:t>
      </w:r>
      <w:r>
        <w:rPr>
          <w:color w:val="231F20"/>
        </w:rPr>
        <w:t>government</w:t>
      </w:r>
      <w:r>
        <w:rPr>
          <w:color w:val="231F20"/>
          <w:spacing w:val="-6"/>
        </w:rPr>
        <w:t> </w:t>
      </w:r>
      <w:r>
        <w:rPr>
          <w:color w:val="231F20"/>
          <w:spacing w:val="-1"/>
        </w:rPr>
        <w:t>special</w:t>
      </w:r>
      <w:r>
        <w:rPr>
          <w:color w:val="231F20"/>
          <w:spacing w:val="-4"/>
        </w:rPr>
        <w:t> </w:t>
      </w:r>
      <w:r>
        <w:rPr>
          <w:color w:val="231F20"/>
          <w:spacing w:val="-1"/>
        </w:rPr>
        <w:t>schools</w:t>
      </w:r>
      <w:r>
        <w:rPr>
          <w:color w:val="231F20"/>
          <w:spacing w:val="-5"/>
        </w:rPr>
        <w:t> </w:t>
      </w:r>
      <w:r>
        <w:rPr>
          <w:color w:val="231F20"/>
        </w:rPr>
        <w:t>and</w:t>
      </w:r>
      <w:r>
        <w:rPr>
          <w:color w:val="231F20"/>
          <w:spacing w:val="-5"/>
        </w:rPr>
        <w:t> </w:t>
      </w:r>
      <w:r>
        <w:rPr>
          <w:color w:val="231F20"/>
          <w:spacing w:val="-1"/>
        </w:rPr>
        <w:t>special</w:t>
      </w:r>
      <w:r>
        <w:rPr>
          <w:color w:val="231F20"/>
          <w:spacing w:val="-5"/>
        </w:rPr>
        <w:t> </w:t>
      </w:r>
      <w:r>
        <w:rPr>
          <w:color w:val="231F20"/>
        </w:rPr>
        <w:t>assistance</w:t>
      </w:r>
      <w:r>
        <w:rPr>
          <w:color w:val="231F20"/>
          <w:spacing w:val="-5"/>
        </w:rPr>
        <w:t> </w:t>
      </w:r>
      <w:r>
        <w:rPr>
          <w:color w:val="231F20"/>
          <w:spacing w:val="-1"/>
        </w:rPr>
        <w:t>schools,</w:t>
      </w:r>
      <w:r>
        <w:rPr>
          <w:color w:val="231F20"/>
          <w:spacing w:val="-5"/>
        </w:rPr>
        <w:t> </w:t>
      </w:r>
      <w:r>
        <w:rPr>
          <w:color w:val="231F20"/>
        </w:rPr>
        <w:t>non</w:t>
      </w:r>
      <w:r>
        <w:rPr>
          <w:color w:val="231F20"/>
          <w:spacing w:val="-5"/>
        </w:rPr>
        <w:t> </w:t>
      </w:r>
      <w:r>
        <w:rPr>
          <w:color w:val="231F20"/>
        </w:rPr>
        <w:t>government</w:t>
      </w:r>
      <w:r>
        <w:rPr>
          <w:color w:val="231F20"/>
          <w:spacing w:val="-6"/>
        </w:rPr>
        <w:t> </w:t>
      </w:r>
      <w:r>
        <w:rPr>
          <w:color w:val="231F20"/>
          <w:spacing w:val="-1"/>
        </w:rPr>
        <w:t>majority</w:t>
      </w:r>
      <w:r>
        <w:rPr>
          <w:color w:val="231F20"/>
          <w:spacing w:val="-4"/>
        </w:rPr>
        <w:t> </w:t>
      </w:r>
      <w:r>
        <w:rPr>
          <w:color w:val="231F20"/>
        </w:rPr>
        <w:t>Aboriginal</w:t>
      </w:r>
      <w:r>
        <w:rPr>
          <w:color w:val="231F20"/>
          <w:spacing w:val="26"/>
          <w:w w:val="99"/>
        </w:rPr>
        <w:t> </w:t>
      </w:r>
      <w:r>
        <w:rPr>
          <w:color w:val="231F20"/>
        </w:rPr>
        <w:t>and</w:t>
      </w:r>
      <w:r>
        <w:rPr>
          <w:color w:val="231F20"/>
          <w:spacing w:val="-5"/>
        </w:rPr>
        <w:t> 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4"/>
        </w:rPr>
        <w:t> </w:t>
      </w:r>
      <w:r>
        <w:rPr>
          <w:color w:val="231F20"/>
          <w:spacing w:val="-1"/>
        </w:rPr>
        <w:t>schools,</w:t>
      </w:r>
      <w:r>
        <w:rPr>
          <w:color w:val="231F20"/>
          <w:spacing w:val="-4"/>
        </w:rPr>
        <w:t> </w:t>
      </w:r>
      <w:r>
        <w:rPr>
          <w:color w:val="231F20"/>
        </w:rPr>
        <w:t>and</w:t>
      </w:r>
      <w:r>
        <w:rPr>
          <w:color w:val="231F20"/>
          <w:spacing w:val="-4"/>
        </w:rPr>
        <w:t> </w:t>
      </w:r>
      <w:r>
        <w:rPr>
          <w:color w:val="231F20"/>
        </w:rPr>
        <w:t>non</w:t>
      </w:r>
      <w:r>
        <w:rPr>
          <w:color w:val="231F20"/>
          <w:spacing w:val="-5"/>
        </w:rPr>
        <w:t> </w:t>
      </w:r>
      <w:r>
        <w:rPr>
          <w:color w:val="231F20"/>
        </w:rPr>
        <w:t>government</w:t>
      </w:r>
      <w:r>
        <w:rPr>
          <w:color w:val="231F20"/>
          <w:spacing w:val="-5"/>
        </w:rPr>
        <w:t> </w:t>
      </w:r>
      <w:r>
        <w:rPr>
          <w:color w:val="231F20"/>
          <w:spacing w:val="-1"/>
        </w:rPr>
        <w:t>sole</w:t>
      </w:r>
      <w:r>
        <w:rPr>
          <w:color w:val="231F20"/>
          <w:spacing w:val="-4"/>
        </w:rPr>
        <w:t> </w:t>
      </w:r>
      <w:r>
        <w:rPr>
          <w:color w:val="231F20"/>
        </w:rPr>
        <w:t>provider</w:t>
      </w:r>
      <w:r>
        <w:rPr>
          <w:color w:val="231F20"/>
          <w:spacing w:val="-4"/>
        </w:rPr>
        <w:t> </w:t>
      </w:r>
      <w:r>
        <w:rPr>
          <w:color w:val="231F20"/>
          <w:spacing w:val="-1"/>
        </w:rPr>
        <w:t>schools.</w:t>
      </w:r>
      <w:r>
        <w:rPr>
          <w:color w:val="231F20"/>
          <w:spacing w:val="-4"/>
        </w:rPr>
        <w:t> </w:t>
      </w:r>
      <w:r>
        <w:rPr>
          <w:color w:val="231F20"/>
        </w:rPr>
        <w:t>There</w:t>
      </w:r>
      <w:r>
        <w:rPr>
          <w:color w:val="231F20"/>
          <w:spacing w:val="-4"/>
        </w:rPr>
        <w:t> </w:t>
      </w:r>
      <w:r>
        <w:rPr>
          <w:color w:val="231F20"/>
          <w:spacing w:val="-1"/>
        </w:rPr>
        <w:t>is</w:t>
      </w:r>
      <w:r>
        <w:rPr>
          <w:color w:val="231F20"/>
          <w:spacing w:val="-5"/>
        </w:rPr>
        <w:t> </w:t>
      </w:r>
      <w:r>
        <w:rPr>
          <w:color w:val="231F20"/>
        </w:rPr>
        <w:t>no</w:t>
      </w:r>
      <w:r>
        <w:rPr>
          <w:color w:val="231F20"/>
          <w:spacing w:val="-4"/>
        </w:rPr>
        <w:t> </w:t>
      </w:r>
      <w:r>
        <w:rPr>
          <w:color w:val="231F20"/>
        </w:rPr>
        <w:t>'capacity</w:t>
      </w:r>
      <w:r>
        <w:rPr>
          <w:color w:val="231F20"/>
          <w:spacing w:val="29"/>
          <w:w w:val="99"/>
        </w:rPr>
        <w:t> </w:t>
      </w:r>
      <w:r>
        <w:rPr>
          <w:color w:val="231F20"/>
        </w:rPr>
        <w:t>to</w:t>
      </w:r>
      <w:r>
        <w:rPr>
          <w:color w:val="231F20"/>
          <w:spacing w:val="-5"/>
        </w:rPr>
        <w:t> </w:t>
      </w:r>
      <w:r>
        <w:rPr>
          <w:color w:val="231F20"/>
        </w:rPr>
        <w:t>contribute'</w:t>
      </w:r>
      <w:r>
        <w:rPr>
          <w:color w:val="231F20"/>
          <w:spacing w:val="-5"/>
        </w:rPr>
        <w:t> </w:t>
      </w:r>
      <w:r>
        <w:rPr>
          <w:color w:val="231F20"/>
        </w:rPr>
        <w:t>discount</w:t>
      </w:r>
      <w:r>
        <w:rPr>
          <w:color w:val="231F20"/>
          <w:spacing w:val="-6"/>
        </w:rPr>
        <w:t> </w:t>
      </w:r>
      <w:r>
        <w:rPr>
          <w:color w:val="231F20"/>
        </w:rPr>
        <w:t>applied</w:t>
      </w:r>
      <w:r>
        <w:rPr>
          <w:color w:val="231F20"/>
          <w:spacing w:val="-5"/>
        </w:rPr>
        <w:t> </w:t>
      </w:r>
      <w:r>
        <w:rPr>
          <w:color w:val="231F20"/>
        </w:rPr>
        <w:t>to</w:t>
      </w:r>
      <w:r>
        <w:rPr>
          <w:color w:val="231F20"/>
          <w:spacing w:val="-4"/>
        </w:rPr>
        <w:t> </w:t>
      </w:r>
      <w:r>
        <w:rPr>
          <w:color w:val="231F20"/>
        </w:rPr>
        <w:t>the</w:t>
      </w:r>
      <w:r>
        <w:rPr>
          <w:color w:val="231F20"/>
          <w:spacing w:val="-6"/>
        </w:rPr>
        <w:t> </w:t>
      </w:r>
      <w:r>
        <w:rPr>
          <w:color w:val="231F20"/>
          <w:spacing w:val="-1"/>
        </w:rPr>
        <w:t>loadings.</w:t>
      </w:r>
      <w:r>
        <w:rPr>
          <w:color w:val="231F20"/>
          <w:spacing w:val="-4"/>
        </w:rPr>
        <w:t> </w:t>
      </w:r>
      <w:r>
        <w:rPr>
          <w:color w:val="231F20"/>
        </w:rPr>
        <w:t>The</w:t>
      </w:r>
      <w:r>
        <w:rPr>
          <w:color w:val="231F20"/>
          <w:spacing w:val="-4"/>
        </w:rPr>
        <w:t> </w:t>
      </w:r>
      <w:r>
        <w:rPr>
          <w:color w:val="231F20"/>
        </w:rPr>
        <w:t>higher</w:t>
      </w:r>
      <w:r>
        <w:rPr>
          <w:color w:val="231F20"/>
          <w:spacing w:val="-6"/>
        </w:rPr>
        <w:t> </w:t>
      </w:r>
      <w:r>
        <w:rPr>
          <w:color w:val="231F20"/>
        </w:rPr>
        <w:t>the</w:t>
      </w:r>
      <w:r>
        <w:rPr>
          <w:color w:val="231F20"/>
          <w:spacing w:val="-5"/>
        </w:rPr>
        <w:t> </w:t>
      </w:r>
      <w:r>
        <w:rPr>
          <w:color w:val="231F20"/>
          <w:spacing w:val="-1"/>
        </w:rPr>
        <w:t>school's</w:t>
      </w:r>
      <w:r>
        <w:rPr>
          <w:color w:val="231F20"/>
          <w:spacing w:val="-4"/>
        </w:rPr>
        <w:t> </w:t>
      </w:r>
      <w:r>
        <w:rPr>
          <w:color w:val="231F20"/>
          <w:spacing w:val="-1"/>
        </w:rPr>
        <w:t>SES</w:t>
      </w:r>
      <w:r>
        <w:rPr>
          <w:color w:val="231F20"/>
          <w:spacing w:val="-5"/>
        </w:rPr>
        <w:t> </w:t>
      </w:r>
      <w:r>
        <w:rPr>
          <w:color w:val="231F20"/>
          <w:spacing w:val="-1"/>
        </w:rPr>
        <w:t>score,</w:t>
      </w:r>
      <w:r>
        <w:rPr>
          <w:color w:val="231F20"/>
          <w:spacing w:val="-4"/>
        </w:rPr>
        <w:t> </w:t>
      </w:r>
      <w:r>
        <w:rPr>
          <w:color w:val="231F20"/>
        </w:rPr>
        <w:t>the</w:t>
      </w:r>
      <w:r>
        <w:rPr>
          <w:color w:val="231F20"/>
          <w:spacing w:val="-5"/>
        </w:rPr>
        <w:t> </w:t>
      </w:r>
      <w:r>
        <w:rPr>
          <w:color w:val="231F20"/>
          <w:spacing w:val="-1"/>
        </w:rPr>
        <w:t>more</w:t>
      </w:r>
      <w:r>
        <w:rPr>
          <w:color w:val="231F20"/>
          <w:spacing w:val="-5"/>
        </w:rPr>
        <w:t> </w:t>
      </w:r>
      <w:r>
        <w:rPr>
          <w:color w:val="231F20"/>
        </w:rPr>
        <w:t>the</w:t>
      </w:r>
      <w:r>
        <w:rPr>
          <w:color w:val="231F20"/>
          <w:spacing w:val="26"/>
          <w:w w:val="99"/>
        </w:rPr>
        <w:t> </w:t>
      </w:r>
      <w:r>
        <w:rPr>
          <w:color w:val="231F20"/>
        </w:rPr>
        <w:t>base</w:t>
      </w:r>
      <w:r>
        <w:rPr>
          <w:color w:val="231F20"/>
          <w:spacing w:val="-5"/>
        </w:rPr>
        <w:t> </w:t>
      </w:r>
      <w:r>
        <w:rPr>
          <w:color w:val="231F20"/>
        </w:rPr>
        <w:t>amount</w:t>
      </w:r>
      <w:r>
        <w:rPr>
          <w:color w:val="231F20"/>
          <w:spacing w:val="-5"/>
        </w:rPr>
        <w:t> </w:t>
      </w:r>
      <w:r>
        <w:rPr>
          <w:color w:val="231F20"/>
          <w:spacing w:val="-1"/>
        </w:rPr>
        <w:t>is</w:t>
      </w:r>
      <w:r>
        <w:rPr>
          <w:color w:val="231F20"/>
          <w:spacing w:val="-4"/>
        </w:rPr>
        <w:t> </w:t>
      </w:r>
      <w:r>
        <w:rPr>
          <w:color w:val="231F20"/>
        </w:rPr>
        <w:t>discounted,</w:t>
      </w:r>
      <w:r>
        <w:rPr>
          <w:color w:val="231F20"/>
          <w:spacing w:val="-5"/>
        </w:rPr>
        <w:t> </w:t>
      </w:r>
      <w:r>
        <w:rPr>
          <w:color w:val="231F20"/>
        </w:rPr>
        <w:t>up</w:t>
      </w:r>
      <w:r>
        <w:rPr>
          <w:color w:val="231F20"/>
          <w:spacing w:val="-3"/>
        </w:rPr>
        <w:t> </w:t>
      </w:r>
      <w:r>
        <w:rPr>
          <w:color w:val="231F20"/>
        </w:rPr>
        <w:t>to</w:t>
      </w:r>
      <w:r>
        <w:rPr>
          <w:color w:val="231F20"/>
          <w:spacing w:val="-4"/>
        </w:rPr>
        <w:t> </w:t>
      </w:r>
      <w:r>
        <w:rPr>
          <w:color w:val="231F20"/>
        </w:rPr>
        <w:t>a</w:t>
      </w:r>
      <w:r>
        <w:rPr>
          <w:color w:val="231F20"/>
          <w:spacing w:val="-4"/>
        </w:rPr>
        <w:t> </w:t>
      </w:r>
      <w:r>
        <w:rPr>
          <w:color w:val="231F20"/>
        </w:rPr>
        <w:t>cap</w:t>
      </w:r>
      <w:r>
        <w:rPr>
          <w:color w:val="231F20"/>
          <w:spacing w:val="-3"/>
        </w:rPr>
        <w:t> </w:t>
      </w:r>
      <w:r>
        <w:rPr>
          <w:color w:val="231F20"/>
        </w:rPr>
        <w:t>of</w:t>
      </w:r>
      <w:r>
        <w:rPr>
          <w:color w:val="231F20"/>
          <w:spacing w:val="-4"/>
        </w:rPr>
        <w:t> </w:t>
      </w:r>
      <w:r>
        <w:rPr>
          <w:color w:val="231F20"/>
          <w:spacing w:val="-1"/>
        </w:rPr>
        <w:t>80</w:t>
      </w:r>
      <w:r>
        <w:rPr>
          <w:color w:val="231F20"/>
          <w:spacing w:val="-4"/>
        </w:rPr>
        <w:t> </w:t>
      </w:r>
      <w:r>
        <w:rPr>
          <w:color w:val="231F20"/>
        </w:rPr>
        <w:t>per</w:t>
      </w:r>
      <w:r>
        <w:rPr>
          <w:color w:val="231F20"/>
          <w:spacing w:val="-3"/>
        </w:rPr>
        <w:t> </w:t>
      </w:r>
      <w:r>
        <w:rPr>
          <w:color w:val="231F20"/>
        </w:rPr>
        <w:t>cent</w:t>
      </w:r>
      <w:r>
        <w:rPr>
          <w:color w:val="231F20"/>
          <w:spacing w:val="-5"/>
        </w:rPr>
        <w:t> </w:t>
      </w:r>
      <w:r>
        <w:rPr>
          <w:color w:val="231F20"/>
        </w:rPr>
        <w:t>of</w:t>
      </w:r>
      <w:r>
        <w:rPr>
          <w:color w:val="231F20"/>
          <w:spacing w:val="-3"/>
        </w:rPr>
        <w:t> </w:t>
      </w:r>
      <w:r>
        <w:rPr>
          <w:color w:val="231F20"/>
        </w:rPr>
        <w:t>the</w:t>
      </w:r>
      <w:r>
        <w:rPr>
          <w:color w:val="231F20"/>
          <w:spacing w:val="-5"/>
        </w:rPr>
        <w:t> </w:t>
      </w:r>
      <w:r>
        <w:rPr>
          <w:color w:val="231F20"/>
        </w:rPr>
        <w:t>base</w:t>
      </w:r>
      <w:r>
        <w:rPr>
          <w:color w:val="231F20"/>
          <w:spacing w:val="-4"/>
        </w:rPr>
        <w:t> </w:t>
      </w:r>
      <w:r>
        <w:rPr>
          <w:color w:val="231F20"/>
        </w:rPr>
        <w:t>amount.</w:t>
      </w:r>
      <w:r>
        <w:rPr/>
      </w:r>
    </w:p>
    <w:p>
      <w:pPr>
        <w:pStyle w:val="BodyText"/>
        <w:spacing w:line="250" w:lineRule="exact" w:before="113"/>
        <w:ind w:right="167"/>
        <w:jc w:val="left"/>
      </w:pPr>
      <w:r>
        <w:rPr>
          <w:color w:val="231F20"/>
          <w:spacing w:val="-1"/>
        </w:rPr>
        <w:t>Previously,</w:t>
      </w:r>
      <w:r>
        <w:rPr>
          <w:color w:val="231F20"/>
          <w:spacing w:val="-5"/>
        </w:rPr>
        <w:t> </w:t>
      </w:r>
      <w:r>
        <w:rPr>
          <w:color w:val="231F20"/>
          <w:spacing w:val="-1"/>
        </w:rPr>
        <w:t>SES</w:t>
      </w:r>
      <w:r>
        <w:rPr>
          <w:color w:val="231F20"/>
          <w:spacing w:val="-5"/>
        </w:rPr>
        <w:t> </w:t>
      </w:r>
      <w:r>
        <w:rPr>
          <w:color w:val="231F20"/>
          <w:spacing w:val="-1"/>
        </w:rPr>
        <w:t>scores</w:t>
      </w:r>
      <w:r>
        <w:rPr>
          <w:color w:val="231F20"/>
          <w:spacing w:val="-5"/>
        </w:rPr>
        <w:t> </w:t>
      </w:r>
      <w:r>
        <w:rPr>
          <w:color w:val="231F20"/>
        </w:rPr>
        <w:t>were</w:t>
      </w:r>
      <w:r>
        <w:rPr>
          <w:color w:val="231F20"/>
          <w:spacing w:val="-5"/>
        </w:rPr>
        <w:t> </w:t>
      </w:r>
      <w:r>
        <w:rPr>
          <w:color w:val="231F20"/>
        </w:rPr>
        <w:t>calculated</w:t>
      </w:r>
      <w:r>
        <w:rPr>
          <w:color w:val="231F20"/>
          <w:spacing w:val="-6"/>
        </w:rPr>
        <w:t> </w:t>
      </w:r>
      <w:r>
        <w:rPr>
          <w:color w:val="231F20"/>
        </w:rPr>
        <w:t>using</w:t>
      </w:r>
      <w:r>
        <w:rPr>
          <w:color w:val="231F20"/>
          <w:spacing w:val="-5"/>
        </w:rPr>
        <w:t> </w:t>
      </w:r>
      <w:r>
        <w:rPr>
          <w:color w:val="231F20"/>
          <w:spacing w:val="-1"/>
        </w:rPr>
        <w:t>student</w:t>
      </w:r>
      <w:r>
        <w:rPr>
          <w:color w:val="231F20"/>
          <w:spacing w:val="-5"/>
        </w:rPr>
        <w:t> </w:t>
      </w:r>
      <w:r>
        <w:rPr>
          <w:color w:val="231F20"/>
        </w:rPr>
        <w:t>residential</w:t>
      </w:r>
      <w:r>
        <w:rPr>
          <w:color w:val="231F20"/>
          <w:spacing w:val="-7"/>
        </w:rPr>
        <w:t> </w:t>
      </w:r>
      <w:r>
        <w:rPr>
          <w:color w:val="231F20"/>
        </w:rPr>
        <w:t>addresses</w:t>
      </w:r>
      <w:r>
        <w:rPr>
          <w:color w:val="231F20"/>
          <w:spacing w:val="-5"/>
        </w:rPr>
        <w:t> </w:t>
      </w:r>
      <w:r>
        <w:rPr>
          <w:color w:val="231F20"/>
        </w:rPr>
        <w:t>collected</w:t>
      </w:r>
      <w:r>
        <w:rPr>
          <w:color w:val="231F20"/>
          <w:spacing w:val="-6"/>
        </w:rPr>
        <w:t> </w:t>
      </w:r>
      <w:r>
        <w:rPr>
          <w:color w:val="231F20"/>
        </w:rPr>
        <w:t>by</w:t>
      </w:r>
      <w:r>
        <w:rPr>
          <w:color w:val="231F20"/>
          <w:spacing w:val="-5"/>
        </w:rPr>
        <w:t> </w:t>
      </w:r>
      <w:r>
        <w:rPr>
          <w:color w:val="231F20"/>
        </w:rPr>
        <w:t>the</w:t>
      </w:r>
      <w:r>
        <w:rPr>
          <w:color w:val="231F20"/>
          <w:spacing w:val="25"/>
          <w:w w:val="99"/>
        </w:rPr>
        <w:t> </w:t>
      </w:r>
      <w:r>
        <w:rPr>
          <w:color w:val="231F20"/>
        </w:rPr>
        <w:t>department</w:t>
      </w:r>
      <w:r>
        <w:rPr>
          <w:color w:val="231F20"/>
          <w:spacing w:val="-5"/>
        </w:rPr>
        <w:t> </w:t>
      </w:r>
      <w:r>
        <w:rPr>
          <w:color w:val="231F20"/>
        </w:rPr>
        <w:t>between</w:t>
      </w:r>
      <w:r>
        <w:rPr>
          <w:color w:val="231F20"/>
          <w:spacing w:val="-5"/>
        </w:rPr>
        <w:t> </w:t>
      </w:r>
      <w:r>
        <w:rPr>
          <w:color w:val="231F20"/>
          <w:spacing w:val="-1"/>
        </w:rPr>
        <w:t>2012–2016</w:t>
      </w:r>
      <w:r>
        <w:rPr>
          <w:color w:val="231F20"/>
          <w:spacing w:val="-3"/>
        </w:rPr>
        <w:t> </w:t>
      </w:r>
      <w:r>
        <w:rPr>
          <w:color w:val="231F20"/>
        </w:rPr>
        <w:t>and</w:t>
      </w:r>
      <w:r>
        <w:rPr>
          <w:color w:val="231F20"/>
          <w:spacing w:val="-5"/>
        </w:rPr>
        <w:t> </w:t>
      </w:r>
      <w:r>
        <w:rPr>
          <w:color w:val="231F20"/>
          <w:spacing w:val="-1"/>
        </w:rPr>
        <w:t>2011</w:t>
      </w:r>
      <w:r>
        <w:rPr>
          <w:color w:val="231F20"/>
          <w:spacing w:val="-4"/>
        </w:rPr>
        <w:t> </w:t>
      </w:r>
      <w:r>
        <w:rPr>
          <w:color w:val="231F20"/>
        </w:rPr>
        <w:t>ABS</w:t>
      </w:r>
      <w:r>
        <w:rPr>
          <w:color w:val="231F20"/>
          <w:spacing w:val="-4"/>
        </w:rPr>
        <w:t> </w:t>
      </w:r>
      <w:r>
        <w:rPr>
          <w:color w:val="231F20"/>
          <w:spacing w:val="-1"/>
        </w:rPr>
        <w:t>Census</w:t>
      </w:r>
      <w:r>
        <w:rPr>
          <w:color w:val="231F20"/>
          <w:spacing w:val="-4"/>
        </w:rPr>
        <w:t> </w:t>
      </w:r>
      <w:r>
        <w:rPr>
          <w:color w:val="231F20"/>
        </w:rPr>
        <w:t>data.</w:t>
      </w:r>
      <w:r>
        <w:rPr/>
      </w:r>
    </w:p>
    <w:p>
      <w:pPr>
        <w:pStyle w:val="BodyText"/>
        <w:spacing w:line="250" w:lineRule="exact" w:before="113"/>
        <w:ind w:right="167"/>
        <w:jc w:val="left"/>
      </w:pPr>
      <w:r>
        <w:rPr>
          <w:color w:val="231F20"/>
          <w:spacing w:val="-1"/>
        </w:rPr>
        <w:t>Following</w:t>
      </w:r>
      <w:r>
        <w:rPr>
          <w:color w:val="231F20"/>
          <w:spacing w:val="-4"/>
        </w:rPr>
        <w:t> </w:t>
      </w:r>
      <w:r>
        <w:rPr>
          <w:color w:val="231F20"/>
        </w:rPr>
        <w:t>a</w:t>
      </w:r>
      <w:r>
        <w:rPr>
          <w:color w:val="231F20"/>
          <w:spacing w:val="-3"/>
        </w:rPr>
        <w:t> </w:t>
      </w:r>
      <w:r>
        <w:rPr>
          <w:color w:val="231F20"/>
        </w:rPr>
        <w:t>review</w:t>
      </w:r>
      <w:r>
        <w:rPr>
          <w:color w:val="231F20"/>
          <w:spacing w:val="-4"/>
        </w:rPr>
        <w:t> </w:t>
      </w:r>
      <w:r>
        <w:rPr>
          <w:color w:val="231F20"/>
        </w:rPr>
        <w:t>by</w:t>
      </w:r>
      <w:r>
        <w:rPr>
          <w:color w:val="231F20"/>
          <w:spacing w:val="-4"/>
        </w:rPr>
        <w:t> </w:t>
      </w:r>
      <w:r>
        <w:rPr>
          <w:color w:val="231F20"/>
        </w:rPr>
        <w:t>the</w:t>
      </w:r>
      <w:r>
        <w:rPr>
          <w:color w:val="231F20"/>
          <w:spacing w:val="-4"/>
        </w:rPr>
        <w:t> </w:t>
      </w:r>
      <w:r>
        <w:rPr>
          <w:color w:val="231F20"/>
        </w:rPr>
        <w:t>National</w:t>
      </w:r>
      <w:r>
        <w:rPr>
          <w:color w:val="231F20"/>
          <w:spacing w:val="-3"/>
        </w:rPr>
        <w:t> </w:t>
      </w:r>
      <w:r>
        <w:rPr>
          <w:color w:val="231F20"/>
          <w:spacing w:val="-1"/>
        </w:rPr>
        <w:t>School</w:t>
      </w:r>
      <w:r>
        <w:rPr>
          <w:color w:val="231F20"/>
          <w:spacing w:val="-4"/>
        </w:rPr>
        <w:t> </w:t>
      </w:r>
      <w:r>
        <w:rPr>
          <w:color w:val="231F20"/>
          <w:spacing w:val="-1"/>
        </w:rPr>
        <w:t>Resourcing</w:t>
      </w:r>
      <w:r>
        <w:rPr>
          <w:color w:val="231F20"/>
          <w:spacing w:val="-4"/>
        </w:rPr>
        <w:t> </w:t>
      </w:r>
      <w:r>
        <w:rPr>
          <w:color w:val="231F20"/>
          <w:spacing w:val="-1"/>
        </w:rPr>
        <w:t>Board,</w:t>
      </w:r>
      <w:r>
        <w:rPr>
          <w:color w:val="231F20"/>
          <w:spacing w:val="-3"/>
        </w:rPr>
        <w:t> </w:t>
      </w:r>
      <w:r>
        <w:rPr>
          <w:color w:val="231F20"/>
          <w:spacing w:val="-1"/>
        </w:rPr>
        <w:t>in</w:t>
      </w:r>
      <w:r>
        <w:rPr>
          <w:color w:val="231F20"/>
          <w:spacing w:val="-4"/>
        </w:rPr>
        <w:t> </w:t>
      </w:r>
      <w:r>
        <w:rPr>
          <w:color w:val="231F20"/>
          <w:spacing w:val="-1"/>
        </w:rPr>
        <w:t>2019,</w:t>
      </w:r>
      <w:r>
        <w:rPr>
          <w:color w:val="231F20"/>
          <w:spacing w:val="-3"/>
        </w:rPr>
        <w:t> </w:t>
      </w:r>
      <w:r>
        <w:rPr>
          <w:color w:val="231F20"/>
        </w:rPr>
        <w:t>for</w:t>
      </w:r>
      <w:r>
        <w:rPr>
          <w:color w:val="231F20"/>
          <w:spacing w:val="-3"/>
        </w:rPr>
        <w:t> </w:t>
      </w:r>
      <w:r>
        <w:rPr>
          <w:color w:val="231F20"/>
        </w:rPr>
        <w:t>those</w:t>
      </w:r>
      <w:r>
        <w:rPr>
          <w:color w:val="231F20"/>
          <w:spacing w:val="-5"/>
        </w:rPr>
        <w:t> </w:t>
      </w:r>
      <w:r>
        <w:rPr>
          <w:color w:val="231F20"/>
          <w:spacing w:val="-1"/>
        </w:rPr>
        <w:t>schools</w:t>
      </w:r>
      <w:r>
        <w:rPr>
          <w:color w:val="231F20"/>
          <w:spacing w:val="-3"/>
        </w:rPr>
        <w:t> </w:t>
      </w:r>
      <w:r>
        <w:rPr>
          <w:color w:val="231F20"/>
        </w:rPr>
        <w:t>that</w:t>
      </w:r>
      <w:r>
        <w:rPr>
          <w:color w:val="231F20"/>
          <w:spacing w:val="-4"/>
        </w:rPr>
        <w:t> </w:t>
      </w:r>
      <w:r>
        <w:rPr>
          <w:color w:val="231F20"/>
        </w:rPr>
        <w:t>would</w:t>
      </w:r>
      <w:r>
        <w:rPr>
          <w:color w:val="231F20"/>
          <w:spacing w:val="30"/>
          <w:w w:val="99"/>
        </w:rPr>
        <w:t> </w:t>
      </w:r>
      <w:r>
        <w:rPr>
          <w:rFonts w:ascii="Segoe UI"/>
          <w:color w:val="231F20"/>
        </w:rPr>
        <w:t>receive a benefit, funding will be based on scores using 2017 residential addresses and 2016 ABS</w:t>
      </w:r>
      <w:r>
        <w:rPr>
          <w:rFonts w:ascii="Segoe UI"/>
          <w:color w:val="231F20"/>
        </w:rPr>
        <w:t> </w:t>
      </w:r>
      <w:r>
        <w:rPr>
          <w:color w:val="231F20"/>
          <w:spacing w:val="-1"/>
        </w:rPr>
        <w:t>Census</w:t>
      </w:r>
      <w:r>
        <w:rPr>
          <w:color w:val="231F20"/>
          <w:spacing w:val="-5"/>
        </w:rPr>
        <w:t> </w:t>
      </w:r>
      <w:r>
        <w:rPr>
          <w:color w:val="231F20"/>
        </w:rPr>
        <w:t>data.</w:t>
      </w:r>
      <w:r>
        <w:rPr/>
      </w:r>
    </w:p>
    <w:p>
      <w:pPr>
        <w:pStyle w:val="BodyText"/>
        <w:spacing w:line="250" w:lineRule="exact" w:before="113"/>
        <w:ind w:right="210"/>
        <w:jc w:val="left"/>
      </w:pPr>
      <w:r>
        <w:rPr>
          <w:color w:val="231F20"/>
        </w:rPr>
        <w:t>The</w:t>
      </w:r>
      <w:r>
        <w:rPr>
          <w:color w:val="231F20"/>
          <w:spacing w:val="-5"/>
        </w:rPr>
        <w:t> </w:t>
      </w:r>
      <w:r>
        <w:rPr>
          <w:color w:val="231F20"/>
        </w:rPr>
        <w:t>Government</w:t>
      </w:r>
      <w:r>
        <w:rPr>
          <w:color w:val="231F20"/>
          <w:spacing w:val="-4"/>
        </w:rPr>
        <w:t> </w:t>
      </w:r>
      <w:r>
        <w:rPr>
          <w:color w:val="231F20"/>
        </w:rPr>
        <w:t>will</w:t>
      </w:r>
      <w:r>
        <w:rPr>
          <w:color w:val="231F20"/>
          <w:spacing w:val="-5"/>
        </w:rPr>
        <w:t> </w:t>
      </w:r>
      <w:r>
        <w:rPr>
          <w:color w:val="231F20"/>
          <w:spacing w:val="-1"/>
        </w:rPr>
        <w:t>introduce</w:t>
      </w:r>
      <w:r>
        <w:rPr>
          <w:color w:val="231F20"/>
          <w:spacing w:val="-5"/>
        </w:rPr>
        <w:t> </w:t>
      </w:r>
      <w:r>
        <w:rPr>
          <w:color w:val="231F20"/>
        </w:rPr>
        <w:t>a</w:t>
      </w:r>
      <w:r>
        <w:rPr>
          <w:color w:val="231F20"/>
          <w:spacing w:val="-4"/>
        </w:rPr>
        <w:t> </w:t>
      </w:r>
      <w:r>
        <w:rPr>
          <w:color w:val="231F20"/>
        </w:rPr>
        <w:t>new</w:t>
      </w:r>
      <w:r>
        <w:rPr>
          <w:color w:val="231F20"/>
          <w:spacing w:val="-4"/>
        </w:rPr>
        <w:t> </w:t>
      </w:r>
      <w:r>
        <w:rPr>
          <w:color w:val="231F20"/>
          <w:spacing w:val="-1"/>
        </w:rPr>
        <w:t>method</w:t>
      </w:r>
      <w:r>
        <w:rPr>
          <w:color w:val="231F20"/>
          <w:spacing w:val="-5"/>
        </w:rPr>
        <w:t> </w:t>
      </w:r>
      <w:r>
        <w:rPr>
          <w:color w:val="231F20"/>
        </w:rPr>
        <w:t>for</w:t>
      </w:r>
      <w:r>
        <w:rPr>
          <w:color w:val="231F20"/>
          <w:spacing w:val="-4"/>
        </w:rPr>
        <w:t> </w:t>
      </w:r>
      <w:r>
        <w:rPr>
          <w:color w:val="231F20"/>
        </w:rPr>
        <w:t>calculating</w:t>
      </w:r>
      <w:r>
        <w:rPr>
          <w:color w:val="231F20"/>
          <w:spacing w:val="-5"/>
        </w:rPr>
        <w:t> </w:t>
      </w:r>
      <w:r>
        <w:rPr>
          <w:color w:val="231F20"/>
        </w:rPr>
        <w:t>a</w:t>
      </w:r>
      <w:r>
        <w:rPr>
          <w:color w:val="231F20"/>
          <w:spacing w:val="-5"/>
        </w:rPr>
        <w:t> </w:t>
      </w:r>
      <w:r>
        <w:rPr>
          <w:color w:val="231F20"/>
          <w:spacing w:val="-1"/>
        </w:rPr>
        <w:t>school</w:t>
      </w:r>
      <w:r>
        <w:rPr>
          <w:color w:val="231F20"/>
          <w:spacing w:val="-4"/>
        </w:rPr>
        <w:t> </w:t>
      </w:r>
      <w:r>
        <w:rPr>
          <w:color w:val="231F20"/>
        </w:rPr>
        <w:t>community’s</w:t>
      </w:r>
      <w:r>
        <w:rPr>
          <w:color w:val="231F20"/>
          <w:spacing w:val="-5"/>
        </w:rPr>
        <w:t> </w:t>
      </w:r>
      <w:r>
        <w:rPr>
          <w:color w:val="231F20"/>
        </w:rPr>
        <w:t>capacity</w:t>
      </w:r>
      <w:r>
        <w:rPr>
          <w:color w:val="231F20"/>
          <w:spacing w:val="-6"/>
        </w:rPr>
        <w:t> </w:t>
      </w:r>
      <w:r>
        <w:rPr>
          <w:color w:val="231F20"/>
        </w:rPr>
        <w:t>to</w:t>
      </w:r>
      <w:r>
        <w:rPr>
          <w:color w:val="231F20"/>
          <w:spacing w:val="24"/>
          <w:w w:val="99"/>
        </w:rPr>
        <w:t> </w:t>
      </w:r>
      <w:r>
        <w:rPr>
          <w:color w:val="231F20"/>
        </w:rPr>
        <w:t>contribute</w:t>
      </w:r>
      <w:r>
        <w:rPr>
          <w:color w:val="231F20"/>
          <w:spacing w:val="-5"/>
        </w:rPr>
        <w:t> </w:t>
      </w:r>
      <w:r>
        <w:rPr>
          <w:color w:val="231F20"/>
        </w:rPr>
        <w:t>based</w:t>
      </w:r>
      <w:r>
        <w:rPr>
          <w:color w:val="231F20"/>
          <w:spacing w:val="-5"/>
        </w:rPr>
        <w:t> </w:t>
      </w:r>
      <w:r>
        <w:rPr>
          <w:color w:val="231F20"/>
        </w:rPr>
        <w:t>on</w:t>
      </w:r>
      <w:r>
        <w:rPr>
          <w:color w:val="231F20"/>
          <w:spacing w:val="-3"/>
        </w:rPr>
        <w:t> </w:t>
      </w:r>
      <w:r>
        <w:rPr>
          <w:color w:val="231F20"/>
        </w:rPr>
        <w:t>a</w:t>
      </w:r>
      <w:r>
        <w:rPr>
          <w:color w:val="231F20"/>
          <w:spacing w:val="-4"/>
        </w:rPr>
        <w:t> </w:t>
      </w:r>
      <w:r>
        <w:rPr>
          <w:color w:val="231F20"/>
        </w:rPr>
        <w:t>direct</w:t>
      </w:r>
      <w:r>
        <w:rPr>
          <w:color w:val="231F20"/>
          <w:spacing w:val="-4"/>
        </w:rPr>
        <w:t> </w:t>
      </w:r>
      <w:r>
        <w:rPr>
          <w:color w:val="231F20"/>
          <w:spacing w:val="-1"/>
        </w:rPr>
        <w:t>measure</w:t>
      </w:r>
      <w:r>
        <w:rPr>
          <w:color w:val="231F20"/>
          <w:spacing w:val="-4"/>
        </w:rPr>
        <w:t> </w:t>
      </w:r>
      <w:r>
        <w:rPr>
          <w:color w:val="231F20"/>
        </w:rPr>
        <w:t>of</w:t>
      </w:r>
      <w:r>
        <w:rPr>
          <w:color w:val="231F20"/>
          <w:spacing w:val="-3"/>
        </w:rPr>
        <w:t> </w:t>
      </w:r>
      <w:r>
        <w:rPr>
          <w:color w:val="231F20"/>
          <w:spacing w:val="-1"/>
        </w:rPr>
        <w:t>income</w:t>
      </w:r>
      <w:r>
        <w:rPr>
          <w:color w:val="231F20"/>
          <w:spacing w:val="-4"/>
        </w:rPr>
        <w:t> </w:t>
      </w:r>
      <w:r>
        <w:rPr>
          <w:color w:val="231F20"/>
        </w:rPr>
        <w:t>of</w:t>
      </w:r>
      <w:r>
        <w:rPr>
          <w:color w:val="231F20"/>
          <w:spacing w:val="-4"/>
        </w:rPr>
        <w:t> </w:t>
      </w:r>
      <w:r>
        <w:rPr>
          <w:color w:val="231F20"/>
        </w:rPr>
        <w:t>parents</w:t>
      </w:r>
      <w:r>
        <w:rPr>
          <w:color w:val="231F20"/>
          <w:spacing w:val="-4"/>
        </w:rPr>
        <w:t> </w:t>
      </w:r>
      <w:r>
        <w:rPr>
          <w:color w:val="231F20"/>
        </w:rPr>
        <w:t>and</w:t>
      </w:r>
      <w:r>
        <w:rPr>
          <w:color w:val="231F20"/>
          <w:spacing w:val="-5"/>
        </w:rPr>
        <w:t> </w:t>
      </w:r>
      <w:r>
        <w:rPr>
          <w:color w:val="231F20"/>
        </w:rPr>
        <w:t>guardians</w:t>
      </w:r>
      <w:r>
        <w:rPr>
          <w:color w:val="231F20"/>
          <w:spacing w:val="-4"/>
        </w:rPr>
        <w:t> </w:t>
      </w:r>
      <w:r>
        <w:rPr>
          <w:color w:val="231F20"/>
        </w:rPr>
        <w:t>of</w:t>
      </w:r>
      <w:r>
        <w:rPr>
          <w:color w:val="231F20"/>
          <w:spacing w:val="-4"/>
        </w:rPr>
        <w:t> </w:t>
      </w:r>
      <w:r>
        <w:rPr>
          <w:color w:val="231F20"/>
          <w:spacing w:val="-1"/>
        </w:rPr>
        <w:t>students</w:t>
      </w:r>
      <w:r>
        <w:rPr>
          <w:color w:val="231F20"/>
          <w:spacing w:val="-3"/>
        </w:rPr>
        <w:t> </w:t>
      </w:r>
      <w:r>
        <w:rPr>
          <w:color w:val="231F20"/>
        </w:rPr>
        <w:t>at</w:t>
      </w:r>
      <w:r>
        <w:rPr>
          <w:color w:val="231F20"/>
          <w:spacing w:val="-4"/>
        </w:rPr>
        <w:t> </w:t>
      </w:r>
      <w:r>
        <w:rPr>
          <w:color w:val="231F20"/>
        </w:rPr>
        <w:t>a</w:t>
      </w:r>
      <w:r>
        <w:rPr>
          <w:color w:val="231F20"/>
          <w:spacing w:val="-3"/>
        </w:rPr>
        <w:t> </w:t>
      </w:r>
      <w:r>
        <w:rPr>
          <w:color w:val="231F20"/>
          <w:spacing w:val="-1"/>
        </w:rPr>
        <w:t>school.</w:t>
      </w:r>
      <w:r>
        <w:rPr>
          <w:color w:val="231F20"/>
          <w:spacing w:val="23"/>
        </w:rPr>
        <w:t> </w:t>
      </w:r>
      <w:r>
        <w:rPr>
          <w:color w:val="231F20"/>
        </w:rPr>
        <w:t>The</w:t>
      </w:r>
      <w:r>
        <w:rPr>
          <w:color w:val="231F20"/>
          <w:spacing w:val="-5"/>
        </w:rPr>
        <w:t> </w:t>
      </w:r>
      <w:r>
        <w:rPr>
          <w:color w:val="231F20"/>
        </w:rPr>
        <w:t>Government</w:t>
      </w:r>
      <w:r>
        <w:rPr>
          <w:color w:val="231F20"/>
          <w:spacing w:val="-5"/>
        </w:rPr>
        <w:t> </w:t>
      </w:r>
      <w:r>
        <w:rPr>
          <w:color w:val="231F20"/>
          <w:spacing w:val="-1"/>
        </w:rPr>
        <w:t>is</w:t>
      </w:r>
      <w:r>
        <w:rPr>
          <w:color w:val="231F20"/>
          <w:spacing w:val="-6"/>
        </w:rPr>
        <w:t> </w:t>
      </w:r>
      <w:r>
        <w:rPr>
          <w:color w:val="231F20"/>
        </w:rPr>
        <w:t>working</w:t>
      </w:r>
      <w:r>
        <w:rPr>
          <w:color w:val="231F20"/>
          <w:spacing w:val="-6"/>
        </w:rPr>
        <w:t> </w:t>
      </w:r>
      <w:r>
        <w:rPr>
          <w:color w:val="231F20"/>
        </w:rPr>
        <w:t>with</w:t>
      </w:r>
      <w:r>
        <w:rPr>
          <w:color w:val="231F20"/>
          <w:spacing w:val="-6"/>
        </w:rPr>
        <w:t> </w:t>
      </w:r>
      <w:r>
        <w:rPr>
          <w:color w:val="231F20"/>
        </w:rPr>
        <w:t>the</w:t>
      </w:r>
      <w:r>
        <w:rPr>
          <w:color w:val="231F20"/>
          <w:spacing w:val="-6"/>
        </w:rPr>
        <w:t> </w:t>
      </w:r>
      <w:r>
        <w:rPr>
          <w:color w:val="231F20"/>
        </w:rPr>
        <w:t>non-government</w:t>
      </w:r>
      <w:r>
        <w:rPr>
          <w:color w:val="231F20"/>
          <w:spacing w:val="-6"/>
        </w:rPr>
        <w:t> </w:t>
      </w:r>
      <w:r>
        <w:rPr>
          <w:color w:val="231F20"/>
          <w:spacing w:val="-1"/>
        </w:rPr>
        <w:t>school</w:t>
      </w:r>
      <w:r>
        <w:rPr>
          <w:color w:val="231F20"/>
          <w:spacing w:val="-5"/>
        </w:rPr>
        <w:t> </w:t>
      </w:r>
      <w:r>
        <w:rPr>
          <w:color w:val="231F20"/>
          <w:spacing w:val="-1"/>
        </w:rPr>
        <w:t>sector</w:t>
      </w:r>
      <w:r>
        <w:rPr>
          <w:color w:val="231F20"/>
          <w:spacing w:val="-5"/>
        </w:rPr>
        <w:t> </w:t>
      </w:r>
      <w:r>
        <w:rPr>
          <w:color w:val="231F20"/>
        </w:rPr>
        <w:t>to</w:t>
      </w:r>
      <w:r>
        <w:rPr>
          <w:color w:val="231F20"/>
          <w:spacing w:val="-5"/>
        </w:rPr>
        <w:t> </w:t>
      </w:r>
      <w:r>
        <w:rPr>
          <w:color w:val="231F20"/>
        </w:rPr>
        <w:t>transition</w:t>
      </w:r>
      <w:r>
        <w:rPr>
          <w:color w:val="231F20"/>
          <w:spacing w:val="-6"/>
        </w:rPr>
        <w:t> </w:t>
      </w:r>
      <w:r>
        <w:rPr>
          <w:color w:val="231F20"/>
        </w:rPr>
        <w:t>to</w:t>
      </w:r>
      <w:r>
        <w:rPr>
          <w:color w:val="231F20"/>
          <w:spacing w:val="-4"/>
        </w:rPr>
        <w:t> </w:t>
      </w:r>
      <w:r>
        <w:rPr>
          <w:color w:val="231F20"/>
        </w:rPr>
        <w:t>these</w:t>
      </w:r>
      <w:r>
        <w:rPr>
          <w:color w:val="231F20"/>
          <w:spacing w:val="-6"/>
        </w:rPr>
        <w:t> </w:t>
      </w:r>
      <w:r>
        <w:rPr>
          <w:color w:val="231F20"/>
        </w:rPr>
        <w:t>new</w:t>
      </w:r>
      <w:r>
        <w:rPr>
          <w:color w:val="231F20"/>
          <w:spacing w:val="24"/>
          <w:w w:val="99"/>
        </w:rPr>
        <w:t> </w:t>
      </w:r>
      <w:r>
        <w:rPr>
          <w:color w:val="231F20"/>
        </w:rPr>
        <w:t>arrangements</w:t>
      </w:r>
      <w:r>
        <w:rPr>
          <w:color w:val="231F20"/>
          <w:spacing w:val="-10"/>
        </w:rPr>
        <w:t> </w:t>
      </w:r>
      <w:r>
        <w:rPr>
          <w:color w:val="231F20"/>
        </w:rPr>
        <w:t>from</w:t>
      </w:r>
      <w:r>
        <w:rPr>
          <w:color w:val="231F20"/>
          <w:spacing w:val="-8"/>
        </w:rPr>
        <w:t> </w:t>
      </w:r>
      <w:r>
        <w:rPr>
          <w:color w:val="231F20"/>
        </w:rPr>
        <w:t>2020.</w:t>
      </w:r>
      <w:r>
        <w:rPr/>
      </w:r>
    </w:p>
    <w:p>
      <w:pPr>
        <w:pStyle w:val="BodyText"/>
        <w:spacing w:line="258" w:lineRule="exact" w:before="97"/>
        <w:ind w:right="0"/>
        <w:jc w:val="left"/>
        <w:rPr>
          <w:rFonts w:ascii="Segoe UI" w:hAnsi="Segoe UI" w:cs="Segoe UI" w:eastAsia="Segoe UI"/>
        </w:rPr>
      </w:pPr>
      <w:r>
        <w:rPr>
          <w:rFonts w:ascii="Segoe UI"/>
          <w:color w:val="231F20"/>
        </w:rPr>
        <w:t>As an interim measure to provide financial certainty to schools in 2019 the Government will provide</w:t>
      </w:r>
      <w:r>
        <w:rPr>
          <w:rFonts w:ascii="Segoe UI"/>
        </w:rPr>
      </w:r>
    </w:p>
    <w:p>
      <w:pPr>
        <w:pStyle w:val="BodyText"/>
        <w:spacing w:line="258" w:lineRule="exact"/>
        <w:ind w:right="0"/>
        <w:jc w:val="left"/>
      </w:pPr>
      <w:r>
        <w:rPr>
          <w:color w:val="231F20"/>
        </w:rPr>
        <w:t>approximately</w:t>
      </w:r>
      <w:r>
        <w:rPr>
          <w:color w:val="231F20"/>
          <w:spacing w:val="-7"/>
        </w:rPr>
        <w:t> </w:t>
      </w:r>
      <w:r>
        <w:rPr>
          <w:color w:val="231F20"/>
        </w:rPr>
        <w:t>an</w:t>
      </w:r>
      <w:r>
        <w:rPr>
          <w:color w:val="231F20"/>
          <w:spacing w:val="-6"/>
        </w:rPr>
        <w:t> </w:t>
      </w:r>
      <w:r>
        <w:rPr>
          <w:color w:val="231F20"/>
        </w:rPr>
        <w:t>additional</w:t>
      </w:r>
      <w:r>
        <w:rPr>
          <w:color w:val="231F20"/>
          <w:spacing w:val="-6"/>
        </w:rPr>
        <w:t> </w:t>
      </w:r>
      <w:r>
        <w:rPr>
          <w:color w:val="231F20"/>
          <w:spacing w:val="-1"/>
        </w:rPr>
        <w:t>$170.8</w:t>
      </w:r>
      <w:r>
        <w:rPr>
          <w:color w:val="231F20"/>
          <w:spacing w:val="-5"/>
        </w:rPr>
        <w:t> </w:t>
      </w:r>
      <w:r>
        <w:rPr>
          <w:color w:val="231F20"/>
          <w:spacing w:val="-1"/>
        </w:rPr>
        <w:t>million</w:t>
      </w:r>
      <w:r>
        <w:rPr>
          <w:color w:val="231F20"/>
          <w:spacing w:val="-5"/>
        </w:rPr>
        <w:t> </w:t>
      </w:r>
      <w:r>
        <w:rPr>
          <w:color w:val="231F20"/>
          <w:spacing w:val="-1"/>
        </w:rPr>
        <w:t>in</w:t>
      </w:r>
      <w:r>
        <w:rPr>
          <w:color w:val="231F20"/>
          <w:spacing w:val="-5"/>
        </w:rPr>
        <w:t> </w:t>
      </w:r>
      <w:r>
        <w:rPr>
          <w:color w:val="231F20"/>
        </w:rPr>
        <w:t>additional</w:t>
      </w:r>
      <w:r>
        <w:rPr>
          <w:color w:val="231F20"/>
          <w:spacing w:val="-6"/>
        </w:rPr>
        <w:t> </w:t>
      </w:r>
      <w:r>
        <w:rPr>
          <w:color w:val="231F20"/>
        </w:rPr>
        <w:t>assistance,</w:t>
      </w:r>
      <w:r>
        <w:rPr>
          <w:color w:val="231F20"/>
          <w:spacing w:val="-6"/>
        </w:rPr>
        <w:t> </w:t>
      </w:r>
      <w:r>
        <w:rPr>
          <w:color w:val="231F20"/>
          <w:spacing w:val="-1"/>
        </w:rPr>
        <w:t>including:</w:t>
      </w:r>
      <w:r>
        <w:rPr/>
      </w:r>
    </w:p>
    <w:p>
      <w:pPr>
        <w:pStyle w:val="BodyText"/>
        <w:spacing w:line="250" w:lineRule="exact" w:before="113"/>
        <w:ind w:left="344" w:right="167" w:hanging="227"/>
        <w:jc w:val="left"/>
      </w:pPr>
      <w:r>
        <w:rPr>
          <w:rFonts w:ascii="Century Gothic" w:hAnsi="Century Gothic"/>
          <w:color w:val="231F20"/>
        </w:rPr>
        <w:t>» </w:t>
      </w:r>
      <w:r>
        <w:rPr>
          <w:rFonts w:ascii="Century Gothic" w:hAnsi="Century Gothic"/>
          <w:color w:val="231F20"/>
          <w:spacing w:val="22"/>
        </w:rPr>
        <w:t> </w:t>
      </w:r>
      <w:r>
        <w:rPr>
          <w:color w:val="231F20"/>
          <w:spacing w:val="-1"/>
        </w:rPr>
        <w:t>Financial</w:t>
      </w:r>
      <w:r>
        <w:rPr>
          <w:color w:val="231F20"/>
          <w:spacing w:val="-3"/>
        </w:rPr>
        <w:t> </w:t>
      </w:r>
      <w:r>
        <w:rPr>
          <w:color w:val="231F20"/>
        </w:rPr>
        <w:t>assistance</w:t>
      </w:r>
      <w:r>
        <w:rPr>
          <w:color w:val="231F20"/>
          <w:spacing w:val="-4"/>
        </w:rPr>
        <w:t> </w:t>
      </w:r>
      <w:r>
        <w:rPr>
          <w:color w:val="231F20"/>
        </w:rPr>
        <w:t>for</w:t>
      </w:r>
      <w:r>
        <w:rPr>
          <w:color w:val="231F20"/>
          <w:spacing w:val="-3"/>
        </w:rPr>
        <w:t> </w:t>
      </w:r>
      <w:r>
        <w:rPr>
          <w:color w:val="231F20"/>
          <w:spacing w:val="-1"/>
        </w:rPr>
        <w:t>low</w:t>
      </w:r>
      <w:r>
        <w:rPr>
          <w:color w:val="231F20"/>
          <w:spacing w:val="-4"/>
        </w:rPr>
        <w:t> </w:t>
      </w:r>
      <w:r>
        <w:rPr>
          <w:color w:val="231F20"/>
        </w:rPr>
        <w:t>funding</w:t>
      </w:r>
      <w:r>
        <w:rPr>
          <w:color w:val="231F20"/>
          <w:spacing w:val="-3"/>
        </w:rPr>
        <w:t> </w:t>
      </w:r>
      <w:r>
        <w:rPr>
          <w:color w:val="231F20"/>
        </w:rPr>
        <w:t>growth</w:t>
      </w:r>
      <w:r>
        <w:rPr>
          <w:color w:val="231F20"/>
          <w:spacing w:val="-4"/>
        </w:rPr>
        <w:t> </w:t>
      </w:r>
      <w:r>
        <w:rPr>
          <w:color w:val="231F20"/>
          <w:spacing w:val="-1"/>
        </w:rPr>
        <w:t>independent</w:t>
      </w:r>
      <w:r>
        <w:rPr>
          <w:color w:val="231F20"/>
          <w:spacing w:val="-3"/>
        </w:rPr>
        <w:t> </w:t>
      </w:r>
      <w:r>
        <w:rPr>
          <w:color w:val="231F20"/>
          <w:spacing w:val="-1"/>
        </w:rPr>
        <w:t>schools</w:t>
      </w:r>
      <w:r>
        <w:rPr>
          <w:color w:val="231F20"/>
          <w:spacing w:val="-4"/>
        </w:rPr>
        <w:t> </w:t>
      </w:r>
      <w:r>
        <w:rPr>
          <w:color w:val="231F20"/>
          <w:spacing w:val="-1"/>
        </w:rPr>
        <w:t>in</w:t>
      </w:r>
      <w:r>
        <w:rPr>
          <w:color w:val="231F20"/>
          <w:spacing w:val="-3"/>
        </w:rPr>
        <w:t> </w:t>
      </w:r>
      <w:r>
        <w:rPr>
          <w:color w:val="231F20"/>
          <w:spacing w:val="-1"/>
        </w:rPr>
        <w:t>2019</w:t>
      </w:r>
      <w:r>
        <w:rPr>
          <w:color w:val="231F20"/>
          <w:spacing w:val="-3"/>
        </w:rPr>
        <w:t> </w:t>
      </w:r>
      <w:r>
        <w:rPr>
          <w:color w:val="231F20"/>
        </w:rPr>
        <w:t>guaranteeing</w:t>
      </w:r>
      <w:r>
        <w:rPr>
          <w:color w:val="231F20"/>
          <w:spacing w:val="-5"/>
        </w:rPr>
        <w:t> </w:t>
      </w:r>
      <w:r>
        <w:rPr>
          <w:color w:val="231F20"/>
        </w:rPr>
        <w:t>a</w:t>
      </w:r>
      <w:r>
        <w:rPr>
          <w:color w:val="231F20"/>
          <w:spacing w:val="27"/>
          <w:w w:val="99"/>
        </w:rPr>
        <w:t> </w:t>
      </w:r>
      <w:r>
        <w:rPr>
          <w:color w:val="231F20"/>
          <w:spacing w:val="-1"/>
        </w:rPr>
        <w:t>minimum</w:t>
      </w:r>
      <w:r>
        <w:rPr>
          <w:color w:val="231F20"/>
          <w:spacing w:val="-5"/>
        </w:rPr>
        <w:t> </w:t>
      </w:r>
      <w:r>
        <w:rPr>
          <w:color w:val="231F20"/>
        </w:rPr>
        <w:t>of</w:t>
      </w:r>
      <w:r>
        <w:rPr>
          <w:color w:val="231F20"/>
          <w:spacing w:val="-5"/>
        </w:rPr>
        <w:t> </w:t>
      </w:r>
      <w:r>
        <w:rPr>
          <w:color w:val="231F20"/>
        </w:rPr>
        <w:t>3</w:t>
      </w:r>
      <w:r>
        <w:rPr>
          <w:color w:val="231F20"/>
          <w:spacing w:val="-5"/>
        </w:rPr>
        <w:t> </w:t>
      </w:r>
      <w:r>
        <w:rPr>
          <w:color w:val="231F20"/>
        </w:rPr>
        <w:t>per</w:t>
      </w:r>
      <w:r>
        <w:rPr>
          <w:color w:val="231F20"/>
          <w:spacing w:val="-5"/>
        </w:rPr>
        <w:t> </w:t>
      </w:r>
      <w:r>
        <w:rPr>
          <w:color w:val="231F20"/>
        </w:rPr>
        <w:t>cent</w:t>
      </w:r>
      <w:r>
        <w:rPr>
          <w:color w:val="231F20"/>
          <w:spacing w:val="-6"/>
        </w:rPr>
        <w:t> </w:t>
      </w:r>
      <w:r>
        <w:rPr>
          <w:color w:val="231F20"/>
        </w:rPr>
        <w:t>growth</w:t>
      </w:r>
      <w:r>
        <w:rPr>
          <w:color w:val="231F20"/>
          <w:spacing w:val="-5"/>
        </w:rPr>
        <w:t> </w:t>
      </w:r>
      <w:r>
        <w:rPr>
          <w:color w:val="231F20"/>
          <w:spacing w:val="-1"/>
        </w:rPr>
        <w:t>in</w:t>
      </w:r>
      <w:r>
        <w:rPr>
          <w:color w:val="231F20"/>
          <w:spacing w:val="-5"/>
        </w:rPr>
        <w:t> </w:t>
      </w:r>
      <w:r>
        <w:rPr>
          <w:color w:val="231F20"/>
          <w:spacing w:val="-1"/>
        </w:rPr>
        <w:t>Commonwealth</w:t>
      </w:r>
      <w:r>
        <w:rPr>
          <w:color w:val="231F20"/>
          <w:spacing w:val="-5"/>
        </w:rPr>
        <w:t> </w:t>
      </w:r>
      <w:r>
        <w:rPr>
          <w:color w:val="231F20"/>
          <w:spacing w:val="-1"/>
        </w:rPr>
        <w:t>Recurrent</w:t>
      </w:r>
      <w:r>
        <w:rPr>
          <w:color w:val="231F20"/>
          <w:spacing w:val="-5"/>
        </w:rPr>
        <w:t> </w:t>
      </w:r>
      <w:r>
        <w:rPr>
          <w:color w:val="231F20"/>
        </w:rPr>
        <w:t>funding.</w:t>
      </w:r>
      <w:r>
        <w:rPr/>
      </w:r>
    </w:p>
    <w:p>
      <w:pPr>
        <w:pStyle w:val="BodyText"/>
        <w:spacing w:line="240" w:lineRule="auto" w:before="97"/>
        <w:ind w:right="0"/>
        <w:jc w:val="left"/>
      </w:pPr>
      <w:r>
        <w:rPr>
          <w:rFonts w:ascii="Century Gothic" w:hAnsi="Century Gothic"/>
          <w:color w:val="231F20"/>
        </w:rPr>
        <w:t>» </w:t>
      </w:r>
      <w:r>
        <w:rPr>
          <w:rFonts w:ascii="Century Gothic" w:hAnsi="Century Gothic"/>
          <w:color w:val="231F20"/>
          <w:spacing w:val="27"/>
        </w:rPr>
        <w:t> </w:t>
      </w:r>
      <w:r>
        <w:rPr>
          <w:color w:val="231F20"/>
          <w:spacing w:val="-1"/>
        </w:rPr>
        <w:t>Financial</w:t>
      </w:r>
      <w:r>
        <w:rPr>
          <w:color w:val="231F20"/>
          <w:spacing w:val="-2"/>
        </w:rPr>
        <w:t> </w:t>
      </w:r>
      <w:r>
        <w:rPr>
          <w:color w:val="231F20"/>
        </w:rPr>
        <w:t>assistance</w:t>
      </w:r>
      <w:r>
        <w:rPr>
          <w:color w:val="231F20"/>
          <w:spacing w:val="-3"/>
        </w:rPr>
        <w:t> </w:t>
      </w:r>
      <w:r>
        <w:rPr>
          <w:color w:val="231F20"/>
        </w:rPr>
        <w:t>for</w:t>
      </w:r>
      <w:r>
        <w:rPr>
          <w:color w:val="231F20"/>
          <w:spacing w:val="-1"/>
        </w:rPr>
        <w:t> system</w:t>
      </w:r>
      <w:r>
        <w:rPr>
          <w:color w:val="231F20"/>
          <w:spacing w:val="-2"/>
        </w:rPr>
        <w:t> </w:t>
      </w:r>
      <w:r>
        <w:rPr>
          <w:color w:val="231F20"/>
        </w:rPr>
        <w:t>weighted</w:t>
      </w:r>
      <w:r>
        <w:rPr>
          <w:color w:val="231F20"/>
          <w:spacing w:val="-3"/>
        </w:rPr>
        <w:t> </w:t>
      </w:r>
      <w:r>
        <w:rPr>
          <w:color w:val="231F20"/>
        </w:rPr>
        <w:t>average</w:t>
      </w:r>
      <w:r>
        <w:rPr>
          <w:color w:val="231F20"/>
          <w:spacing w:val="-2"/>
        </w:rPr>
        <w:t> </w:t>
      </w:r>
      <w:r>
        <w:rPr>
          <w:color w:val="231F20"/>
          <w:spacing w:val="-1"/>
        </w:rPr>
        <w:t>SES</w:t>
      </w:r>
      <w:r>
        <w:rPr>
          <w:color w:val="231F20"/>
          <w:spacing w:val="-2"/>
        </w:rPr>
        <w:t> </w:t>
      </w:r>
      <w:r>
        <w:rPr>
          <w:color w:val="231F20"/>
          <w:spacing w:val="-1"/>
        </w:rPr>
        <w:t>schools</w:t>
      </w:r>
      <w:r>
        <w:rPr>
          <w:color w:val="231F20"/>
          <w:spacing w:val="-2"/>
        </w:rPr>
        <w:t> </w:t>
      </w:r>
      <w:r>
        <w:rPr>
          <w:color w:val="231F20"/>
          <w:spacing w:val="-1"/>
        </w:rPr>
        <w:t>in </w:t>
      </w:r>
      <w:r>
        <w:rPr>
          <w:color w:val="231F20"/>
        </w:rPr>
        <w:t>2019.</w:t>
      </w:r>
      <w:r>
        <w:rPr/>
      </w:r>
    </w:p>
    <w:p>
      <w:pPr>
        <w:pStyle w:val="BodyText"/>
        <w:spacing w:line="258" w:lineRule="exact" w:before="97"/>
        <w:ind w:right="0"/>
        <w:jc w:val="left"/>
        <w:rPr>
          <w:rFonts w:ascii="Segoe UI" w:hAnsi="Segoe UI" w:cs="Segoe UI" w:eastAsia="Segoe UI"/>
        </w:rPr>
      </w:pPr>
      <w:r>
        <w:rPr>
          <w:rFonts w:ascii="Century Gothic" w:hAnsi="Century Gothic"/>
          <w:color w:val="231F20"/>
        </w:rPr>
        <w:t>» </w:t>
      </w:r>
      <w:r>
        <w:rPr>
          <w:rFonts w:ascii="Century Gothic" w:hAnsi="Century Gothic"/>
          <w:color w:val="231F20"/>
          <w:spacing w:val="31"/>
        </w:rPr>
        <w:t> </w:t>
      </w:r>
      <w:r>
        <w:rPr>
          <w:rFonts w:ascii="Segoe UI" w:hAnsi="Segoe UI"/>
          <w:color w:val="231F20"/>
        </w:rPr>
        <w:t>Financial assistance</w:t>
      </w:r>
      <w:r>
        <w:rPr>
          <w:rFonts w:ascii="Segoe UI" w:hAnsi="Segoe UI"/>
          <w:color w:val="231F20"/>
          <w:spacing w:val="-1"/>
        </w:rPr>
        <w:t> </w:t>
      </w:r>
      <w:r>
        <w:rPr>
          <w:rFonts w:ascii="Segoe UI" w:hAnsi="Segoe UI"/>
          <w:color w:val="231F20"/>
        </w:rPr>
        <w:t>equivalent to the benefit that a school would receive if</w:t>
      </w:r>
      <w:r>
        <w:rPr>
          <w:rFonts w:ascii="Segoe UI" w:hAnsi="Segoe UI"/>
          <w:color w:val="231F20"/>
          <w:spacing w:val="-1"/>
        </w:rPr>
        <w:t> </w:t>
      </w:r>
      <w:r>
        <w:rPr>
          <w:rFonts w:ascii="Segoe UI" w:hAnsi="Segoe UI"/>
          <w:color w:val="231F20"/>
        </w:rPr>
        <w:t>updated 2016 Census</w:t>
      </w:r>
      <w:r>
        <w:rPr>
          <w:rFonts w:ascii="Segoe UI" w:hAnsi="Segoe UI"/>
        </w:rPr>
      </w:r>
    </w:p>
    <w:p>
      <w:pPr>
        <w:pStyle w:val="BodyText"/>
        <w:spacing w:line="258" w:lineRule="exact"/>
        <w:ind w:left="344" w:right="0"/>
        <w:jc w:val="left"/>
      </w:pPr>
      <w:r>
        <w:rPr>
          <w:color w:val="231F20"/>
        </w:rPr>
        <w:t>data</w:t>
      </w:r>
      <w:r>
        <w:rPr>
          <w:color w:val="231F20"/>
          <w:spacing w:val="-4"/>
        </w:rPr>
        <w:t> </w:t>
      </w:r>
      <w:r>
        <w:rPr>
          <w:color w:val="231F20"/>
        </w:rPr>
        <w:t>were</w:t>
      </w:r>
      <w:r>
        <w:rPr>
          <w:color w:val="231F20"/>
          <w:spacing w:val="-3"/>
        </w:rPr>
        <w:t> </w:t>
      </w:r>
      <w:r>
        <w:rPr>
          <w:color w:val="231F20"/>
        </w:rPr>
        <w:t>used</w:t>
      </w:r>
      <w:r>
        <w:rPr>
          <w:color w:val="231F20"/>
          <w:spacing w:val="-3"/>
        </w:rPr>
        <w:t> </w:t>
      </w:r>
      <w:r>
        <w:rPr>
          <w:color w:val="231F20"/>
        </w:rPr>
        <w:t>to</w:t>
      </w:r>
      <w:r>
        <w:rPr>
          <w:color w:val="231F20"/>
          <w:spacing w:val="-2"/>
        </w:rPr>
        <w:t> </w:t>
      </w:r>
      <w:r>
        <w:rPr>
          <w:color w:val="231F20"/>
        </w:rPr>
        <w:t>calculate</w:t>
      </w:r>
      <w:r>
        <w:rPr>
          <w:color w:val="231F20"/>
          <w:spacing w:val="-3"/>
        </w:rPr>
        <w:t> </w:t>
      </w:r>
      <w:r>
        <w:rPr>
          <w:color w:val="231F20"/>
          <w:spacing w:val="-1"/>
        </w:rPr>
        <w:t>SES</w:t>
      </w:r>
      <w:r>
        <w:rPr>
          <w:color w:val="231F20"/>
          <w:spacing w:val="-3"/>
        </w:rPr>
        <w:t> </w:t>
      </w:r>
      <w:r>
        <w:rPr>
          <w:color w:val="231F20"/>
          <w:spacing w:val="-1"/>
        </w:rPr>
        <w:t>scores</w:t>
      </w:r>
      <w:r>
        <w:rPr>
          <w:color w:val="231F20"/>
          <w:spacing w:val="-2"/>
        </w:rPr>
        <w:t> </w:t>
      </w:r>
      <w:r>
        <w:rPr>
          <w:color w:val="231F20"/>
          <w:spacing w:val="-1"/>
        </w:rPr>
        <w:t>in</w:t>
      </w:r>
      <w:r>
        <w:rPr>
          <w:color w:val="231F20"/>
          <w:spacing w:val="-2"/>
        </w:rPr>
        <w:t> </w:t>
      </w:r>
      <w:r>
        <w:rPr>
          <w:color w:val="231F20"/>
          <w:spacing w:val="-1"/>
        </w:rPr>
        <w:t>2019.</w:t>
      </w:r>
      <w:r>
        <w:rPr/>
      </w:r>
    </w:p>
    <w:p>
      <w:pPr>
        <w:pStyle w:val="Heading3"/>
        <w:spacing w:line="240" w:lineRule="auto"/>
        <w:ind w:right="0"/>
        <w:jc w:val="left"/>
      </w:pPr>
      <w:r>
        <w:rPr>
          <w:b/>
          <w:color w:val="00779B"/>
          <w:spacing w:val="-1"/>
        </w:rPr>
        <w:t>Loadings</w:t>
      </w:r>
      <w:r>
        <w:rPr>
          <w:b/>
          <w:color w:val="00779B"/>
          <w:spacing w:val="-6"/>
        </w:rPr>
        <w:t> </w:t>
      </w:r>
      <w:r>
        <w:rPr>
          <w:b/>
          <w:color w:val="00779B"/>
          <w:spacing w:val="-1"/>
        </w:rPr>
        <w:t>provide</w:t>
      </w:r>
      <w:r>
        <w:rPr>
          <w:b/>
          <w:color w:val="00779B"/>
          <w:spacing w:val="-4"/>
        </w:rPr>
        <w:t> </w:t>
      </w:r>
      <w:r>
        <w:rPr>
          <w:b/>
          <w:color w:val="00779B"/>
          <w:spacing w:val="-1"/>
        </w:rPr>
        <w:t>extra</w:t>
      </w:r>
      <w:r>
        <w:rPr>
          <w:b/>
          <w:color w:val="00779B"/>
          <w:spacing w:val="-5"/>
        </w:rPr>
        <w:t> </w:t>
      </w:r>
      <w:r>
        <w:rPr>
          <w:b/>
          <w:color w:val="00779B"/>
        </w:rPr>
        <w:t>funding</w:t>
      </w:r>
      <w:r>
        <w:rPr>
          <w:b/>
          <w:color w:val="00779B"/>
          <w:spacing w:val="-6"/>
        </w:rPr>
        <w:t> </w:t>
      </w:r>
      <w:r>
        <w:rPr>
          <w:b/>
          <w:color w:val="00779B"/>
        </w:rPr>
        <w:t>for</w:t>
      </w:r>
      <w:r>
        <w:rPr>
          <w:b/>
          <w:color w:val="00779B"/>
          <w:spacing w:val="-6"/>
        </w:rPr>
        <w:t> </w:t>
      </w:r>
      <w:r>
        <w:rPr>
          <w:b/>
          <w:color w:val="00779B"/>
          <w:spacing w:val="-1"/>
        </w:rPr>
        <w:t>disadvantage</w:t>
      </w:r>
      <w:r>
        <w:rPr/>
      </w:r>
    </w:p>
    <w:p>
      <w:pPr>
        <w:pStyle w:val="BodyText"/>
        <w:spacing w:line="258" w:lineRule="exact" w:before="49"/>
        <w:ind w:right="0"/>
        <w:jc w:val="left"/>
      </w:pPr>
      <w:r>
        <w:rPr>
          <w:color w:val="231F20"/>
        </w:rPr>
        <w:t>'Loadings'</w:t>
      </w:r>
      <w:r>
        <w:rPr>
          <w:color w:val="231F20"/>
          <w:spacing w:val="-5"/>
        </w:rPr>
        <w:t> </w:t>
      </w:r>
      <w:r>
        <w:rPr>
          <w:color w:val="231F20"/>
        </w:rPr>
        <w:t>were</w:t>
      </w:r>
      <w:r>
        <w:rPr>
          <w:color w:val="231F20"/>
          <w:spacing w:val="-5"/>
        </w:rPr>
        <w:t> </w:t>
      </w:r>
      <w:r>
        <w:rPr>
          <w:color w:val="231F20"/>
        </w:rPr>
        <w:t>developed</w:t>
      </w:r>
      <w:r>
        <w:rPr>
          <w:color w:val="231F20"/>
          <w:spacing w:val="-6"/>
        </w:rPr>
        <w:t> </w:t>
      </w:r>
      <w:r>
        <w:rPr>
          <w:color w:val="231F20"/>
        </w:rPr>
        <w:t>by</w:t>
      </w:r>
      <w:r>
        <w:rPr>
          <w:color w:val="231F20"/>
          <w:spacing w:val="-4"/>
        </w:rPr>
        <w:t> </w:t>
      </w:r>
      <w:r>
        <w:rPr>
          <w:color w:val="231F20"/>
          <w:spacing w:val="-1"/>
        </w:rPr>
        <w:t>looking</w:t>
      </w:r>
      <w:r>
        <w:rPr>
          <w:color w:val="231F20"/>
          <w:spacing w:val="-5"/>
        </w:rPr>
        <w:t> </w:t>
      </w:r>
      <w:r>
        <w:rPr>
          <w:color w:val="231F20"/>
        </w:rPr>
        <w:t>at</w:t>
      </w:r>
      <w:r>
        <w:rPr>
          <w:color w:val="231F20"/>
          <w:spacing w:val="-4"/>
        </w:rPr>
        <w:t> </w:t>
      </w:r>
      <w:r>
        <w:rPr>
          <w:color w:val="231F20"/>
        </w:rPr>
        <w:t>how</w:t>
      </w:r>
      <w:r>
        <w:rPr>
          <w:color w:val="231F20"/>
          <w:spacing w:val="-5"/>
        </w:rPr>
        <w:t> </w:t>
      </w:r>
      <w:r>
        <w:rPr>
          <w:color w:val="231F20"/>
          <w:spacing w:val="-1"/>
        </w:rPr>
        <w:t>much</w:t>
      </w:r>
      <w:r>
        <w:rPr>
          <w:color w:val="231F20"/>
          <w:spacing w:val="-4"/>
        </w:rPr>
        <w:t> </w:t>
      </w:r>
      <w:r>
        <w:rPr>
          <w:color w:val="231F20"/>
        </w:rPr>
        <w:t>additional</w:t>
      </w:r>
      <w:r>
        <w:rPr>
          <w:color w:val="231F20"/>
          <w:spacing w:val="-5"/>
        </w:rPr>
        <w:t> </w:t>
      </w:r>
      <w:r>
        <w:rPr>
          <w:color w:val="231F20"/>
        </w:rPr>
        <w:t>funding</w:t>
      </w:r>
      <w:r>
        <w:rPr>
          <w:color w:val="231F20"/>
          <w:spacing w:val="-5"/>
        </w:rPr>
        <w:t> </w:t>
      </w:r>
      <w:r>
        <w:rPr>
          <w:color w:val="231F20"/>
        </w:rPr>
        <w:t>on</w:t>
      </w:r>
      <w:r>
        <w:rPr>
          <w:color w:val="231F20"/>
          <w:spacing w:val="-4"/>
        </w:rPr>
        <w:t> </w:t>
      </w:r>
      <w:r>
        <w:rPr>
          <w:color w:val="231F20"/>
        </w:rPr>
        <w:t>top</w:t>
      </w:r>
      <w:r>
        <w:rPr>
          <w:color w:val="231F20"/>
          <w:spacing w:val="-6"/>
        </w:rPr>
        <w:t> </w:t>
      </w:r>
      <w:r>
        <w:rPr>
          <w:color w:val="231F20"/>
        </w:rPr>
        <w:t>of</w:t>
      </w:r>
      <w:r>
        <w:rPr>
          <w:color w:val="231F20"/>
          <w:spacing w:val="-4"/>
        </w:rPr>
        <w:t> </w:t>
      </w:r>
      <w:r>
        <w:rPr>
          <w:color w:val="231F20"/>
        </w:rPr>
        <w:t>the</w:t>
      </w:r>
      <w:r>
        <w:rPr>
          <w:color w:val="231F20"/>
          <w:spacing w:val="-6"/>
        </w:rPr>
        <w:t> </w:t>
      </w:r>
      <w:r>
        <w:rPr>
          <w:color w:val="231F20"/>
        </w:rPr>
        <w:t>base</w:t>
      </w:r>
      <w:r>
        <w:rPr>
          <w:color w:val="231F20"/>
          <w:spacing w:val="-5"/>
        </w:rPr>
        <w:t> </w:t>
      </w:r>
      <w:r>
        <w:rPr>
          <w:color w:val="231F20"/>
        </w:rPr>
        <w:t>amount</w:t>
      </w:r>
      <w:r>
        <w:rPr/>
      </w:r>
    </w:p>
    <w:p>
      <w:pPr>
        <w:pStyle w:val="BodyText"/>
        <w:spacing w:line="258" w:lineRule="exact"/>
        <w:ind w:right="0"/>
        <w:jc w:val="left"/>
        <w:rPr>
          <w:rFonts w:ascii="Segoe UI" w:hAnsi="Segoe UI" w:cs="Segoe UI" w:eastAsia="Segoe UI"/>
        </w:rPr>
      </w:pPr>
      <w:r>
        <w:rPr>
          <w:rFonts w:ascii="Segoe UI"/>
          <w:color w:val="231F20"/>
        </w:rPr>
        <w:t>was</w:t>
      </w:r>
      <w:r>
        <w:rPr>
          <w:rFonts w:ascii="Segoe UI"/>
          <w:color w:val="231F20"/>
          <w:spacing w:val="-1"/>
        </w:rPr>
        <w:t> </w:t>
      </w:r>
      <w:r>
        <w:rPr>
          <w:rFonts w:ascii="Segoe UI"/>
          <w:color w:val="231F20"/>
        </w:rPr>
        <w:t>required</w:t>
      </w:r>
      <w:r>
        <w:rPr>
          <w:rFonts w:ascii="Segoe UI"/>
          <w:color w:val="231F20"/>
          <w:spacing w:val="-1"/>
        </w:rPr>
        <w:t> </w:t>
      </w:r>
      <w:r>
        <w:rPr>
          <w:rFonts w:ascii="Segoe UI"/>
          <w:color w:val="231F20"/>
        </w:rPr>
        <w:t>to</w:t>
      </w:r>
      <w:r>
        <w:rPr>
          <w:rFonts w:ascii="Segoe UI"/>
          <w:color w:val="231F20"/>
          <w:spacing w:val="-1"/>
        </w:rPr>
        <w:t> </w:t>
      </w:r>
      <w:r>
        <w:rPr>
          <w:rFonts w:ascii="Segoe UI"/>
          <w:color w:val="231F20"/>
        </w:rPr>
        <w:t>help</w:t>
      </w:r>
      <w:r>
        <w:rPr>
          <w:rFonts w:ascii="Segoe UI"/>
          <w:color w:val="231F20"/>
          <w:spacing w:val="-1"/>
        </w:rPr>
        <w:t> </w:t>
      </w:r>
      <w:r>
        <w:rPr>
          <w:rFonts w:ascii="Segoe UI"/>
          <w:color w:val="231F20"/>
        </w:rPr>
        <w:t>students</w:t>
      </w:r>
      <w:r>
        <w:rPr>
          <w:rFonts w:ascii="Segoe UI"/>
          <w:color w:val="231F20"/>
          <w:spacing w:val="-1"/>
        </w:rPr>
        <w:t> </w:t>
      </w:r>
      <w:r>
        <w:rPr>
          <w:rFonts w:ascii="Segoe UI"/>
          <w:color w:val="231F20"/>
        </w:rPr>
        <w:t>facing different</w:t>
      </w:r>
      <w:r>
        <w:rPr>
          <w:rFonts w:ascii="Segoe UI"/>
          <w:color w:val="231F20"/>
          <w:spacing w:val="-1"/>
        </w:rPr>
        <w:t> </w:t>
      </w:r>
      <w:r>
        <w:rPr>
          <w:rFonts w:ascii="Segoe UI"/>
          <w:color w:val="231F20"/>
        </w:rPr>
        <w:t>types</w:t>
      </w:r>
      <w:r>
        <w:rPr>
          <w:rFonts w:ascii="Segoe UI"/>
          <w:color w:val="231F20"/>
          <w:spacing w:val="-1"/>
        </w:rPr>
        <w:t> </w:t>
      </w:r>
      <w:r>
        <w:rPr>
          <w:rFonts w:ascii="Segoe UI"/>
          <w:color w:val="231F20"/>
        </w:rPr>
        <w:t>of</w:t>
      </w:r>
      <w:r>
        <w:rPr>
          <w:rFonts w:ascii="Segoe UI"/>
          <w:color w:val="231F20"/>
          <w:spacing w:val="-1"/>
        </w:rPr>
        <w:t> </w:t>
      </w:r>
      <w:r>
        <w:rPr>
          <w:rFonts w:ascii="Segoe UI"/>
          <w:color w:val="231F20"/>
        </w:rPr>
        <w:t>disadvantage.</w:t>
      </w:r>
      <w:r>
        <w:rPr>
          <w:rFonts w:ascii="Segoe UI"/>
        </w:rPr>
      </w:r>
    </w:p>
    <w:p>
      <w:pPr>
        <w:spacing w:line="240" w:lineRule="auto" w:before="9"/>
        <w:rPr>
          <w:rFonts w:ascii="Segoe UI" w:hAnsi="Segoe UI" w:cs="Segoe UI" w:eastAsia="Segoe UI"/>
          <w:sz w:val="19"/>
          <w:szCs w:val="19"/>
        </w:rPr>
      </w:pPr>
    </w:p>
    <w:p>
      <w:pPr>
        <w:pStyle w:val="Heading5"/>
        <w:spacing w:line="240" w:lineRule="auto"/>
        <w:ind w:right="0"/>
        <w:jc w:val="left"/>
        <w:rPr>
          <w:i w:val="0"/>
        </w:rPr>
      </w:pPr>
      <w:r>
        <w:rPr>
          <w:b/>
          <w:i/>
          <w:color w:val="00779B"/>
          <w:spacing w:val="-2"/>
        </w:rPr>
        <w:t>Students</w:t>
      </w:r>
      <w:r>
        <w:rPr>
          <w:b/>
          <w:i/>
          <w:color w:val="00779B"/>
        </w:rPr>
        <w:t> </w:t>
      </w:r>
      <w:r>
        <w:rPr>
          <w:b/>
          <w:i/>
          <w:color w:val="00779B"/>
          <w:spacing w:val="-1"/>
        </w:rPr>
        <w:t>with</w:t>
      </w:r>
      <w:r>
        <w:rPr>
          <w:b/>
          <w:i/>
          <w:color w:val="00779B"/>
        </w:rPr>
        <w:t> </w:t>
      </w:r>
      <w:r>
        <w:rPr>
          <w:b/>
          <w:i/>
          <w:color w:val="00779B"/>
          <w:spacing w:val="-1"/>
        </w:rPr>
        <w:t>disability</w:t>
      </w:r>
      <w:r>
        <w:rPr>
          <w:b/>
          <w:i/>
          <w:color w:val="00779B"/>
        </w:rPr>
        <w:t> </w:t>
      </w:r>
      <w:r>
        <w:rPr>
          <w:b/>
          <w:i/>
          <w:color w:val="00779B"/>
          <w:spacing w:val="-2"/>
        </w:rPr>
        <w:t>loading</w:t>
      </w:r>
      <w:r>
        <w:rPr>
          <w:i w:val="0"/>
        </w:rPr>
      </w:r>
    </w:p>
    <w:p>
      <w:pPr>
        <w:pStyle w:val="BodyText"/>
        <w:spacing w:line="240" w:lineRule="auto" w:before="115"/>
        <w:ind w:right="0"/>
        <w:jc w:val="left"/>
      </w:pPr>
      <w:r>
        <w:rPr>
          <w:color w:val="231F20"/>
        </w:rPr>
        <w:t>This</w:t>
      </w:r>
      <w:r>
        <w:rPr>
          <w:color w:val="231F20"/>
          <w:spacing w:val="-6"/>
        </w:rPr>
        <w:t> </w:t>
      </w:r>
      <w:r>
        <w:rPr>
          <w:color w:val="231F20"/>
          <w:spacing w:val="-1"/>
        </w:rPr>
        <w:t>loading</w:t>
      </w:r>
      <w:r>
        <w:rPr>
          <w:color w:val="231F20"/>
          <w:spacing w:val="-4"/>
        </w:rPr>
        <w:t> </w:t>
      </w:r>
      <w:r>
        <w:rPr>
          <w:color w:val="231F20"/>
        </w:rPr>
        <w:t>provides</w:t>
      </w:r>
      <w:r>
        <w:rPr>
          <w:color w:val="231F20"/>
          <w:spacing w:val="-5"/>
        </w:rPr>
        <w:t> </w:t>
      </w:r>
      <w:r>
        <w:rPr>
          <w:color w:val="231F20"/>
        </w:rPr>
        <w:t>extra</w:t>
      </w:r>
      <w:r>
        <w:rPr>
          <w:color w:val="231F20"/>
          <w:spacing w:val="-4"/>
        </w:rPr>
        <w:t> </w:t>
      </w:r>
      <w:r>
        <w:rPr>
          <w:color w:val="231F20"/>
        </w:rPr>
        <w:t>funding</w:t>
      </w:r>
      <w:r>
        <w:rPr>
          <w:color w:val="231F20"/>
          <w:spacing w:val="-5"/>
        </w:rPr>
        <w:t> </w:t>
      </w:r>
      <w:r>
        <w:rPr>
          <w:color w:val="231F20"/>
        </w:rPr>
        <w:t>on</w:t>
      </w:r>
      <w:r>
        <w:rPr>
          <w:color w:val="231F20"/>
          <w:spacing w:val="-4"/>
        </w:rPr>
        <w:t> </w:t>
      </w:r>
      <w:r>
        <w:rPr>
          <w:color w:val="231F20"/>
        </w:rPr>
        <w:t>top</w:t>
      </w:r>
      <w:r>
        <w:rPr>
          <w:color w:val="231F20"/>
          <w:spacing w:val="-5"/>
        </w:rPr>
        <w:t> </w:t>
      </w:r>
      <w:r>
        <w:rPr>
          <w:color w:val="231F20"/>
        </w:rPr>
        <w:t>of</w:t>
      </w:r>
      <w:r>
        <w:rPr>
          <w:color w:val="231F20"/>
          <w:spacing w:val="-4"/>
        </w:rPr>
        <w:t> </w:t>
      </w:r>
      <w:r>
        <w:rPr>
          <w:color w:val="231F20"/>
        </w:rPr>
        <w:t>the</w:t>
      </w:r>
      <w:r>
        <w:rPr>
          <w:color w:val="231F20"/>
          <w:spacing w:val="-6"/>
        </w:rPr>
        <w:t> </w:t>
      </w:r>
      <w:r>
        <w:rPr>
          <w:color w:val="231F20"/>
        </w:rPr>
        <w:t>base</w:t>
      </w:r>
      <w:r>
        <w:rPr>
          <w:color w:val="231F20"/>
          <w:spacing w:val="-5"/>
        </w:rPr>
        <w:t> </w:t>
      </w:r>
      <w:r>
        <w:rPr>
          <w:color w:val="231F20"/>
        </w:rPr>
        <w:t>amount</w:t>
      </w:r>
      <w:r>
        <w:rPr>
          <w:color w:val="231F20"/>
          <w:spacing w:val="-5"/>
        </w:rPr>
        <w:t> </w:t>
      </w:r>
      <w:r>
        <w:rPr>
          <w:color w:val="231F20"/>
        </w:rPr>
        <w:t>for</w:t>
      </w:r>
      <w:r>
        <w:rPr>
          <w:color w:val="231F20"/>
          <w:spacing w:val="-4"/>
        </w:rPr>
        <w:t> </w:t>
      </w:r>
      <w:r>
        <w:rPr>
          <w:color w:val="231F20"/>
        </w:rPr>
        <w:t>each</w:t>
      </w:r>
      <w:r>
        <w:rPr>
          <w:color w:val="231F20"/>
          <w:spacing w:val="-4"/>
        </w:rPr>
        <w:t> </w:t>
      </w:r>
      <w:r>
        <w:rPr>
          <w:color w:val="231F20"/>
          <w:spacing w:val="-1"/>
        </w:rPr>
        <w:t>student</w:t>
      </w:r>
      <w:r>
        <w:rPr>
          <w:color w:val="231F20"/>
          <w:spacing w:val="-5"/>
        </w:rPr>
        <w:t> </w:t>
      </w:r>
      <w:r>
        <w:rPr>
          <w:color w:val="231F20"/>
        </w:rPr>
        <w:t>with</w:t>
      </w:r>
      <w:r>
        <w:rPr>
          <w:color w:val="231F20"/>
          <w:spacing w:val="-5"/>
        </w:rPr>
        <w:t> </w:t>
      </w:r>
      <w:r>
        <w:rPr>
          <w:color w:val="231F20"/>
        </w:rPr>
        <w:t>disability.</w:t>
      </w:r>
      <w:r>
        <w:rPr/>
      </w:r>
    </w:p>
    <w:p>
      <w:pPr>
        <w:pStyle w:val="BodyText"/>
        <w:spacing w:line="250" w:lineRule="exact" w:before="113"/>
        <w:ind w:right="296"/>
        <w:jc w:val="left"/>
      </w:pPr>
      <w:r>
        <w:rPr>
          <w:color w:val="231F20"/>
          <w:spacing w:val="-1"/>
        </w:rPr>
        <w:t>From</w:t>
      </w:r>
      <w:r>
        <w:rPr>
          <w:color w:val="231F20"/>
          <w:spacing w:val="-3"/>
        </w:rPr>
        <w:t> </w:t>
      </w:r>
      <w:r>
        <w:rPr>
          <w:color w:val="231F20"/>
          <w:spacing w:val="-1"/>
        </w:rPr>
        <w:t>2018,</w:t>
      </w:r>
      <w:r>
        <w:rPr>
          <w:color w:val="231F20"/>
          <w:spacing w:val="-3"/>
        </w:rPr>
        <w:t> </w:t>
      </w:r>
      <w:r>
        <w:rPr>
          <w:color w:val="231F20"/>
        </w:rPr>
        <w:t>the</w:t>
      </w:r>
      <w:r>
        <w:rPr>
          <w:color w:val="231F20"/>
          <w:spacing w:val="-3"/>
        </w:rPr>
        <w:t> </w:t>
      </w:r>
      <w:r>
        <w:rPr>
          <w:color w:val="231F20"/>
          <w:spacing w:val="-1"/>
        </w:rPr>
        <w:t>loading</w:t>
      </w:r>
      <w:r>
        <w:rPr>
          <w:color w:val="231F20"/>
          <w:spacing w:val="-3"/>
        </w:rPr>
        <w:t> </w:t>
      </w:r>
      <w:r>
        <w:rPr>
          <w:color w:val="231F20"/>
          <w:spacing w:val="-1"/>
        </w:rPr>
        <w:t>is</w:t>
      </w:r>
      <w:r>
        <w:rPr>
          <w:color w:val="231F20"/>
          <w:spacing w:val="-4"/>
        </w:rPr>
        <w:t> </w:t>
      </w:r>
      <w:r>
        <w:rPr>
          <w:color w:val="231F20"/>
        </w:rPr>
        <w:t>based</w:t>
      </w:r>
      <w:r>
        <w:rPr>
          <w:color w:val="231F20"/>
          <w:spacing w:val="-3"/>
        </w:rPr>
        <w:t> </w:t>
      </w:r>
      <w:r>
        <w:rPr>
          <w:color w:val="231F20"/>
        </w:rPr>
        <w:t>on</w:t>
      </w:r>
      <w:r>
        <w:rPr>
          <w:color w:val="231F20"/>
          <w:spacing w:val="-3"/>
        </w:rPr>
        <w:t> </w:t>
      </w:r>
      <w:r>
        <w:rPr>
          <w:color w:val="231F20"/>
        </w:rPr>
        <w:t>the</w:t>
      </w:r>
      <w:r>
        <w:rPr>
          <w:color w:val="231F20"/>
          <w:spacing w:val="-4"/>
        </w:rPr>
        <w:t> </w:t>
      </w:r>
      <w:r>
        <w:rPr>
          <w:color w:val="231F20"/>
        </w:rPr>
        <w:t>Nationally</w:t>
      </w:r>
      <w:r>
        <w:rPr>
          <w:color w:val="231F20"/>
          <w:spacing w:val="-2"/>
        </w:rPr>
        <w:t> </w:t>
      </w:r>
      <w:r>
        <w:rPr>
          <w:color w:val="231F20"/>
          <w:spacing w:val="-1"/>
        </w:rPr>
        <w:t>Consistent</w:t>
      </w:r>
      <w:r>
        <w:rPr>
          <w:color w:val="231F20"/>
          <w:spacing w:val="-3"/>
        </w:rPr>
        <w:t> </w:t>
      </w:r>
      <w:r>
        <w:rPr>
          <w:color w:val="231F20"/>
          <w:spacing w:val="-1"/>
        </w:rPr>
        <w:t>Collection</w:t>
      </w:r>
      <w:r>
        <w:rPr>
          <w:color w:val="231F20"/>
          <w:spacing w:val="-3"/>
        </w:rPr>
        <w:t> </w:t>
      </w:r>
      <w:r>
        <w:rPr>
          <w:color w:val="231F20"/>
        </w:rPr>
        <w:t>of</w:t>
      </w:r>
      <w:r>
        <w:rPr>
          <w:color w:val="231F20"/>
          <w:spacing w:val="-2"/>
        </w:rPr>
        <w:t> </w:t>
      </w:r>
      <w:r>
        <w:rPr>
          <w:color w:val="231F20"/>
          <w:spacing w:val="-1"/>
        </w:rPr>
        <w:t>Data</w:t>
      </w:r>
      <w:r>
        <w:rPr>
          <w:color w:val="231F20"/>
          <w:spacing w:val="-3"/>
        </w:rPr>
        <w:t> </w:t>
      </w:r>
      <w:r>
        <w:rPr>
          <w:color w:val="231F20"/>
        </w:rPr>
        <w:t>on</w:t>
      </w:r>
      <w:r>
        <w:rPr>
          <w:color w:val="231F20"/>
          <w:spacing w:val="-3"/>
        </w:rPr>
        <w:t> </w:t>
      </w:r>
      <w:r>
        <w:rPr>
          <w:color w:val="231F20"/>
          <w:spacing w:val="-1"/>
        </w:rPr>
        <w:t>School</w:t>
      </w:r>
      <w:r>
        <w:rPr>
          <w:color w:val="231F20"/>
          <w:spacing w:val="27"/>
        </w:rPr>
        <w:t> </w:t>
      </w:r>
      <w:r>
        <w:rPr>
          <w:color w:val="231F20"/>
          <w:spacing w:val="-1"/>
        </w:rPr>
        <w:t>Students</w:t>
      </w:r>
      <w:r>
        <w:rPr>
          <w:color w:val="231F20"/>
          <w:spacing w:val="-5"/>
        </w:rPr>
        <w:t> </w:t>
      </w:r>
      <w:r>
        <w:rPr>
          <w:color w:val="231F20"/>
        </w:rPr>
        <w:t>with</w:t>
      </w:r>
      <w:r>
        <w:rPr>
          <w:color w:val="231F20"/>
          <w:spacing w:val="-4"/>
        </w:rPr>
        <w:t> </w:t>
      </w:r>
      <w:r>
        <w:rPr>
          <w:color w:val="231F20"/>
          <w:spacing w:val="-1"/>
        </w:rPr>
        <w:t>Disability</w:t>
      </w:r>
      <w:r>
        <w:rPr>
          <w:color w:val="231F20"/>
          <w:spacing w:val="-4"/>
        </w:rPr>
        <w:t> </w:t>
      </w:r>
      <w:r>
        <w:rPr>
          <w:color w:val="231F20"/>
          <w:spacing w:val="-2"/>
        </w:rPr>
        <w:t>(NCCD),</w:t>
      </w:r>
      <w:r>
        <w:rPr>
          <w:color w:val="231F20"/>
          <w:spacing w:val="-3"/>
        </w:rPr>
        <w:t> </w:t>
      </w:r>
      <w:r>
        <w:rPr>
          <w:color w:val="231F20"/>
        </w:rPr>
        <w:t>which</w:t>
      </w:r>
      <w:r>
        <w:rPr>
          <w:color w:val="231F20"/>
          <w:spacing w:val="-4"/>
        </w:rPr>
        <w:t> </w:t>
      </w:r>
      <w:r>
        <w:rPr>
          <w:color w:val="231F20"/>
        </w:rPr>
        <w:t>collects</w:t>
      </w:r>
      <w:r>
        <w:rPr>
          <w:color w:val="231F20"/>
          <w:spacing w:val="-5"/>
        </w:rPr>
        <w:t> </w:t>
      </w:r>
      <w:r>
        <w:rPr>
          <w:color w:val="231F20"/>
          <w:spacing w:val="-1"/>
        </w:rPr>
        <w:t>information</w:t>
      </w:r>
      <w:r>
        <w:rPr>
          <w:color w:val="231F20"/>
          <w:spacing w:val="-3"/>
        </w:rPr>
        <w:t> </w:t>
      </w:r>
      <w:r>
        <w:rPr>
          <w:color w:val="231F20"/>
        </w:rPr>
        <w:t>on</w:t>
      </w:r>
      <w:r>
        <w:rPr>
          <w:color w:val="231F20"/>
          <w:spacing w:val="-4"/>
        </w:rPr>
        <w:t> </w:t>
      </w:r>
      <w:r>
        <w:rPr>
          <w:color w:val="231F20"/>
          <w:spacing w:val="-1"/>
        </w:rPr>
        <w:t>students</w:t>
      </w:r>
      <w:r>
        <w:rPr>
          <w:color w:val="231F20"/>
          <w:spacing w:val="-3"/>
        </w:rPr>
        <w:t> </w:t>
      </w:r>
      <w:r>
        <w:rPr>
          <w:color w:val="231F20"/>
        </w:rPr>
        <w:t>with</w:t>
      </w:r>
      <w:r>
        <w:rPr>
          <w:color w:val="231F20"/>
          <w:spacing w:val="-4"/>
        </w:rPr>
        <w:t> </w:t>
      </w:r>
      <w:r>
        <w:rPr>
          <w:color w:val="231F20"/>
        </w:rPr>
        <w:t>disability</w:t>
      </w:r>
      <w:r>
        <w:rPr>
          <w:color w:val="231F20"/>
          <w:spacing w:val="-5"/>
        </w:rPr>
        <w:t> </w:t>
      </w:r>
      <w:r>
        <w:rPr>
          <w:color w:val="231F20"/>
        </w:rPr>
        <w:t>by</w:t>
      </w:r>
      <w:r>
        <w:rPr>
          <w:color w:val="231F20"/>
          <w:spacing w:val="-3"/>
        </w:rPr>
        <w:t> </w:t>
      </w:r>
      <w:r>
        <w:rPr>
          <w:color w:val="231F20"/>
        </w:rPr>
        <w:t>the</w:t>
      </w:r>
      <w:r>
        <w:rPr>
          <w:color w:val="231F20"/>
          <w:spacing w:val="-4"/>
        </w:rPr>
        <w:t> </w:t>
      </w:r>
      <w:r>
        <w:rPr>
          <w:color w:val="231F20"/>
          <w:spacing w:val="-1"/>
        </w:rPr>
        <w:t>level</w:t>
      </w:r>
      <w:r>
        <w:rPr>
          <w:color w:val="231F20"/>
          <w:spacing w:val="29"/>
        </w:rPr>
        <w:t> </w:t>
      </w:r>
      <w:r>
        <w:rPr>
          <w:color w:val="231F20"/>
        </w:rPr>
        <w:t>of</w:t>
      </w:r>
      <w:r>
        <w:rPr>
          <w:color w:val="231F20"/>
          <w:spacing w:val="-5"/>
        </w:rPr>
        <w:t> </w:t>
      </w:r>
      <w:r>
        <w:rPr>
          <w:color w:val="231F20"/>
        </w:rPr>
        <w:t>additional</w:t>
      </w:r>
      <w:r>
        <w:rPr>
          <w:color w:val="231F20"/>
          <w:spacing w:val="-5"/>
        </w:rPr>
        <w:t> </w:t>
      </w:r>
      <w:r>
        <w:rPr>
          <w:color w:val="231F20"/>
          <w:spacing w:val="-1"/>
        </w:rPr>
        <w:t>support</w:t>
      </w:r>
      <w:r>
        <w:rPr>
          <w:color w:val="231F20"/>
          <w:spacing w:val="-5"/>
        </w:rPr>
        <w:t> </w:t>
      </w:r>
      <w:r>
        <w:rPr>
          <w:color w:val="231F20"/>
        </w:rPr>
        <w:t>they</w:t>
      </w:r>
      <w:r>
        <w:rPr>
          <w:color w:val="231F20"/>
          <w:spacing w:val="-5"/>
        </w:rPr>
        <w:t> </w:t>
      </w:r>
      <w:r>
        <w:rPr>
          <w:color w:val="231F20"/>
        </w:rPr>
        <w:t>are</w:t>
      </w:r>
      <w:r>
        <w:rPr>
          <w:color w:val="231F20"/>
          <w:spacing w:val="-6"/>
        </w:rPr>
        <w:t> </w:t>
      </w:r>
      <w:r>
        <w:rPr>
          <w:color w:val="231F20"/>
        </w:rPr>
        <w:t>provided</w:t>
      </w:r>
      <w:r>
        <w:rPr>
          <w:color w:val="231F20"/>
          <w:spacing w:val="-5"/>
        </w:rPr>
        <w:t> </w:t>
      </w:r>
      <w:r>
        <w:rPr>
          <w:color w:val="231F20"/>
        </w:rPr>
        <w:t>to</w:t>
      </w:r>
      <w:r>
        <w:rPr>
          <w:color w:val="231F20"/>
          <w:spacing w:val="-5"/>
        </w:rPr>
        <w:t> </w:t>
      </w:r>
      <w:r>
        <w:rPr>
          <w:color w:val="231F20"/>
        </w:rPr>
        <w:t>access</w:t>
      </w:r>
      <w:r>
        <w:rPr>
          <w:color w:val="231F20"/>
          <w:spacing w:val="-5"/>
        </w:rPr>
        <w:t> </w:t>
      </w:r>
      <w:r>
        <w:rPr>
          <w:color w:val="231F20"/>
        </w:rPr>
        <w:t>and</w:t>
      </w:r>
      <w:r>
        <w:rPr>
          <w:color w:val="231F20"/>
          <w:spacing w:val="-6"/>
        </w:rPr>
        <w:t> </w:t>
      </w:r>
      <w:r>
        <w:rPr>
          <w:color w:val="231F20"/>
        </w:rPr>
        <w:t>participate</w:t>
      </w:r>
      <w:r>
        <w:rPr>
          <w:color w:val="231F20"/>
          <w:spacing w:val="-5"/>
        </w:rPr>
        <w:t> </w:t>
      </w:r>
      <w:r>
        <w:rPr>
          <w:color w:val="231F20"/>
          <w:spacing w:val="-1"/>
        </w:rPr>
        <w:t>in</w:t>
      </w:r>
      <w:r>
        <w:rPr>
          <w:color w:val="231F20"/>
          <w:spacing w:val="-4"/>
        </w:rPr>
        <w:t> </w:t>
      </w:r>
      <w:r>
        <w:rPr>
          <w:color w:val="231F20"/>
          <w:spacing w:val="-1"/>
        </w:rPr>
        <w:t>learning.</w:t>
      </w:r>
      <w:r>
        <w:rPr>
          <w:color w:val="231F20"/>
          <w:spacing w:val="-5"/>
        </w:rPr>
        <w:t> </w:t>
      </w:r>
      <w:r>
        <w:rPr>
          <w:color w:val="231F20"/>
        </w:rPr>
        <w:t>Under</w:t>
      </w:r>
      <w:r>
        <w:rPr>
          <w:color w:val="231F20"/>
          <w:spacing w:val="-4"/>
        </w:rPr>
        <w:t> </w:t>
      </w:r>
      <w:r>
        <w:rPr>
          <w:color w:val="231F20"/>
        </w:rPr>
        <w:t>the</w:t>
      </w:r>
      <w:r>
        <w:rPr>
          <w:color w:val="231F20"/>
          <w:spacing w:val="-6"/>
        </w:rPr>
        <w:t> </w:t>
      </w:r>
      <w:r>
        <w:rPr>
          <w:color w:val="231F20"/>
          <w:spacing w:val="-2"/>
        </w:rPr>
        <w:t>NCCD,</w:t>
      </w:r>
      <w:r>
        <w:rPr>
          <w:color w:val="231F20"/>
          <w:spacing w:val="23"/>
        </w:rPr>
        <w:t> </w:t>
      </w:r>
      <w:r>
        <w:rPr>
          <w:color w:val="231F20"/>
        </w:rPr>
        <w:t>teachers</w:t>
      </w:r>
      <w:r>
        <w:rPr>
          <w:color w:val="231F20"/>
          <w:spacing w:val="-7"/>
        </w:rPr>
        <w:t> </w:t>
      </w:r>
      <w:r>
        <w:rPr>
          <w:color w:val="231F20"/>
        </w:rPr>
        <w:t>and</w:t>
      </w:r>
      <w:r>
        <w:rPr>
          <w:color w:val="231F20"/>
          <w:spacing w:val="-7"/>
        </w:rPr>
        <w:t> </w:t>
      </w:r>
      <w:r>
        <w:rPr>
          <w:color w:val="231F20"/>
          <w:spacing w:val="-1"/>
        </w:rPr>
        <w:t>schools</w:t>
      </w:r>
      <w:r>
        <w:rPr>
          <w:color w:val="231F20"/>
          <w:spacing w:val="-6"/>
        </w:rPr>
        <w:t> </w:t>
      </w:r>
      <w:r>
        <w:rPr>
          <w:color w:val="231F20"/>
        </w:rPr>
        <w:t>use</w:t>
      </w:r>
      <w:r>
        <w:rPr>
          <w:color w:val="231F20"/>
          <w:spacing w:val="-7"/>
        </w:rPr>
        <w:t> </w:t>
      </w:r>
      <w:r>
        <w:rPr>
          <w:color w:val="231F20"/>
        </w:rPr>
        <w:t>their</w:t>
      </w:r>
      <w:r>
        <w:rPr>
          <w:color w:val="231F20"/>
          <w:spacing w:val="-6"/>
        </w:rPr>
        <w:t> </w:t>
      </w:r>
      <w:r>
        <w:rPr>
          <w:color w:val="231F20"/>
        </w:rPr>
        <w:t>professional,</w:t>
      </w:r>
      <w:r>
        <w:rPr>
          <w:color w:val="231F20"/>
          <w:spacing w:val="-7"/>
        </w:rPr>
        <w:t> </w:t>
      </w:r>
      <w:r>
        <w:rPr>
          <w:color w:val="231F20"/>
        </w:rPr>
        <w:t>evidence</w:t>
      </w:r>
      <w:r>
        <w:rPr>
          <w:color w:val="231F20"/>
          <w:spacing w:val="-7"/>
        </w:rPr>
        <w:t> </w:t>
      </w:r>
      <w:r>
        <w:rPr>
          <w:color w:val="231F20"/>
        </w:rPr>
        <w:t>based</w:t>
      </w:r>
      <w:r>
        <w:rPr>
          <w:color w:val="231F20"/>
          <w:spacing w:val="-7"/>
        </w:rPr>
        <w:t> </w:t>
      </w:r>
      <w:r>
        <w:rPr>
          <w:color w:val="231F20"/>
          <w:spacing w:val="-1"/>
        </w:rPr>
        <w:t>judgement</w:t>
      </w:r>
      <w:r>
        <w:rPr>
          <w:color w:val="231F20"/>
          <w:spacing w:val="-6"/>
        </w:rPr>
        <w:t> </w:t>
      </w:r>
      <w:r>
        <w:rPr>
          <w:color w:val="231F20"/>
        </w:rPr>
        <w:t>to</w:t>
      </w:r>
      <w:r>
        <w:rPr>
          <w:color w:val="231F20"/>
          <w:spacing w:val="-5"/>
        </w:rPr>
        <w:t> </w:t>
      </w:r>
      <w:r>
        <w:rPr>
          <w:color w:val="231F20"/>
        </w:rPr>
        <w:t>capture</w:t>
      </w:r>
      <w:r>
        <w:rPr>
          <w:color w:val="231F20"/>
          <w:spacing w:val="-6"/>
        </w:rPr>
        <w:t> </w:t>
      </w:r>
      <w:r>
        <w:rPr>
          <w:color w:val="231F20"/>
          <w:spacing w:val="-1"/>
        </w:rPr>
        <w:t>information</w:t>
      </w:r>
      <w:r>
        <w:rPr>
          <w:color w:val="231F20"/>
          <w:spacing w:val="-6"/>
        </w:rPr>
        <w:t> </w:t>
      </w:r>
      <w:r>
        <w:rPr>
          <w:color w:val="231F20"/>
        </w:rPr>
        <w:t>on</w:t>
      </w:r>
      <w:r>
        <w:rPr>
          <w:color w:val="231F20"/>
          <w:spacing w:val="24"/>
          <w:w w:val="99"/>
        </w:rPr>
        <w:t> </w:t>
      </w:r>
      <w:r>
        <w:rPr>
          <w:color w:val="231F20"/>
        </w:rPr>
        <w:t>the</w:t>
      </w:r>
      <w:r>
        <w:rPr>
          <w:color w:val="231F20"/>
          <w:spacing w:val="-5"/>
        </w:rPr>
        <w:t> </w:t>
      </w:r>
      <w:r>
        <w:rPr>
          <w:color w:val="231F20"/>
          <w:spacing w:val="-1"/>
        </w:rPr>
        <w:t>level</w:t>
      </w:r>
      <w:r>
        <w:rPr>
          <w:color w:val="231F20"/>
          <w:spacing w:val="-4"/>
        </w:rPr>
        <w:t> </w:t>
      </w:r>
      <w:r>
        <w:rPr>
          <w:color w:val="231F20"/>
        </w:rPr>
        <w:t>of</w:t>
      </w:r>
      <w:r>
        <w:rPr>
          <w:color w:val="231F20"/>
          <w:spacing w:val="-3"/>
        </w:rPr>
        <w:t> </w:t>
      </w:r>
      <w:r>
        <w:rPr>
          <w:color w:val="231F20"/>
        </w:rPr>
        <w:t>additional</w:t>
      </w:r>
      <w:r>
        <w:rPr>
          <w:color w:val="231F20"/>
          <w:spacing w:val="-5"/>
        </w:rPr>
        <w:t> </w:t>
      </w:r>
      <w:r>
        <w:rPr>
          <w:color w:val="231F20"/>
          <w:spacing w:val="-1"/>
        </w:rPr>
        <w:t>support</w:t>
      </w:r>
      <w:r>
        <w:rPr>
          <w:color w:val="231F20"/>
          <w:spacing w:val="-3"/>
        </w:rPr>
        <w:t> </w:t>
      </w:r>
      <w:r>
        <w:rPr>
          <w:color w:val="231F20"/>
        </w:rPr>
        <w:t>a</w:t>
      </w:r>
      <w:r>
        <w:rPr>
          <w:color w:val="231F20"/>
          <w:spacing w:val="-4"/>
        </w:rPr>
        <w:t> </w:t>
      </w:r>
      <w:r>
        <w:rPr>
          <w:color w:val="231F20"/>
          <w:spacing w:val="-1"/>
        </w:rPr>
        <w:t>student</w:t>
      </w:r>
      <w:r>
        <w:rPr>
          <w:color w:val="231F20"/>
          <w:spacing w:val="-3"/>
        </w:rPr>
        <w:t> </w:t>
      </w:r>
      <w:r>
        <w:rPr>
          <w:color w:val="231F20"/>
          <w:spacing w:val="-1"/>
        </w:rPr>
        <w:t>is</w:t>
      </w:r>
      <w:r>
        <w:rPr>
          <w:color w:val="231F20"/>
          <w:spacing w:val="-5"/>
        </w:rPr>
        <w:t> </w:t>
      </w:r>
      <w:r>
        <w:rPr>
          <w:color w:val="231F20"/>
        </w:rPr>
        <w:t>provided</w:t>
      </w:r>
      <w:r>
        <w:rPr>
          <w:color w:val="231F20"/>
          <w:spacing w:val="-4"/>
        </w:rPr>
        <w:t> </w:t>
      </w:r>
      <w:r>
        <w:rPr>
          <w:color w:val="231F20"/>
          <w:spacing w:val="-1"/>
        </w:rPr>
        <w:t>in</w:t>
      </w:r>
      <w:r>
        <w:rPr>
          <w:color w:val="231F20"/>
          <w:spacing w:val="-4"/>
        </w:rPr>
        <w:t> </w:t>
      </w:r>
      <w:r>
        <w:rPr>
          <w:color w:val="231F20"/>
        </w:rPr>
        <w:t>the</w:t>
      </w:r>
      <w:r>
        <w:rPr>
          <w:color w:val="231F20"/>
          <w:spacing w:val="-4"/>
        </w:rPr>
        <w:t> </w:t>
      </w:r>
      <w:r>
        <w:rPr>
          <w:color w:val="231F20"/>
        </w:rPr>
        <w:t>classroom.</w:t>
      </w:r>
      <w:r>
        <w:rPr/>
      </w:r>
    </w:p>
    <w:p>
      <w:pPr>
        <w:spacing w:after="0" w:line="250" w:lineRule="exact"/>
        <w:jc w:val="left"/>
        <w:sectPr>
          <w:pgSz w:w="11910" w:h="16840"/>
          <w:pgMar w:header="0" w:footer="691" w:top="1580" w:bottom="880" w:left="1300" w:right="1600"/>
        </w:sectPr>
      </w:pPr>
    </w:p>
    <w:p>
      <w:pPr>
        <w:spacing w:line="240" w:lineRule="auto" w:before="0"/>
        <w:rPr>
          <w:rFonts w:ascii="Segoe UI" w:hAnsi="Segoe UI" w:cs="Segoe UI" w:eastAsia="Segoe UI"/>
          <w:sz w:val="20"/>
          <w:szCs w:val="20"/>
        </w:rPr>
      </w:pPr>
    </w:p>
    <w:p>
      <w:pPr>
        <w:spacing w:line="240" w:lineRule="auto" w:before="8"/>
        <w:rPr>
          <w:rFonts w:ascii="Segoe UI" w:hAnsi="Segoe UI" w:cs="Segoe UI" w:eastAsia="Segoe UI"/>
          <w:sz w:val="21"/>
          <w:szCs w:val="21"/>
        </w:rPr>
      </w:pPr>
    </w:p>
    <w:p>
      <w:pPr>
        <w:pStyle w:val="BodyText"/>
        <w:spacing w:line="250" w:lineRule="exact" w:before="62"/>
        <w:ind w:left="100" w:right="140"/>
        <w:jc w:val="left"/>
      </w:pPr>
      <w:r>
        <w:rPr>
          <w:color w:val="231F20"/>
          <w:spacing w:val="-1"/>
        </w:rPr>
        <w:t>Students</w:t>
      </w:r>
      <w:r>
        <w:rPr>
          <w:color w:val="231F20"/>
          <w:spacing w:val="-5"/>
        </w:rPr>
        <w:t> </w:t>
      </w:r>
      <w:r>
        <w:rPr>
          <w:color w:val="231F20"/>
        </w:rPr>
        <w:t>with</w:t>
      </w:r>
      <w:r>
        <w:rPr>
          <w:color w:val="231F20"/>
          <w:spacing w:val="-4"/>
        </w:rPr>
        <w:t> </w:t>
      </w:r>
      <w:r>
        <w:rPr>
          <w:color w:val="231F20"/>
        </w:rPr>
        <w:t>disability</w:t>
      </w:r>
      <w:r>
        <w:rPr>
          <w:color w:val="231F20"/>
          <w:spacing w:val="-4"/>
        </w:rPr>
        <w:t> </w:t>
      </w:r>
      <w:r>
        <w:rPr>
          <w:color w:val="231F20"/>
        </w:rPr>
        <w:t>who</w:t>
      </w:r>
      <w:r>
        <w:rPr>
          <w:color w:val="231F20"/>
          <w:spacing w:val="-4"/>
        </w:rPr>
        <w:t> </w:t>
      </w:r>
      <w:r>
        <w:rPr>
          <w:color w:val="231F20"/>
        </w:rPr>
        <w:t>are</w:t>
      </w:r>
      <w:r>
        <w:rPr>
          <w:color w:val="231F20"/>
          <w:spacing w:val="-5"/>
        </w:rPr>
        <w:t> </w:t>
      </w:r>
      <w:r>
        <w:rPr>
          <w:color w:val="231F20"/>
        </w:rPr>
        <w:t>counted</w:t>
      </w:r>
      <w:r>
        <w:rPr>
          <w:color w:val="231F20"/>
          <w:spacing w:val="-4"/>
        </w:rPr>
        <w:t> </w:t>
      </w:r>
      <w:r>
        <w:rPr>
          <w:color w:val="231F20"/>
          <w:spacing w:val="-1"/>
        </w:rPr>
        <w:t>in</w:t>
      </w:r>
      <w:r>
        <w:rPr>
          <w:color w:val="231F20"/>
          <w:spacing w:val="-3"/>
        </w:rPr>
        <w:t> </w:t>
      </w:r>
      <w:r>
        <w:rPr>
          <w:color w:val="231F20"/>
        </w:rPr>
        <w:t>the</w:t>
      </w:r>
      <w:r>
        <w:rPr>
          <w:color w:val="231F20"/>
          <w:spacing w:val="-4"/>
        </w:rPr>
        <w:t> </w:t>
      </w:r>
      <w:r>
        <w:rPr>
          <w:color w:val="231F20"/>
        </w:rPr>
        <w:t>top</w:t>
      </w:r>
      <w:r>
        <w:rPr>
          <w:color w:val="231F20"/>
          <w:spacing w:val="-5"/>
        </w:rPr>
        <w:t> </w:t>
      </w:r>
      <w:r>
        <w:rPr>
          <w:color w:val="231F20"/>
        </w:rPr>
        <w:t>three</w:t>
      </w:r>
      <w:r>
        <w:rPr>
          <w:color w:val="231F20"/>
          <w:spacing w:val="-4"/>
        </w:rPr>
        <w:t> </w:t>
      </w:r>
      <w:r>
        <w:rPr>
          <w:color w:val="231F20"/>
          <w:spacing w:val="-1"/>
        </w:rPr>
        <w:t>levels</w:t>
      </w:r>
      <w:r>
        <w:rPr>
          <w:color w:val="231F20"/>
          <w:spacing w:val="-3"/>
        </w:rPr>
        <w:t> </w:t>
      </w:r>
      <w:r>
        <w:rPr>
          <w:color w:val="231F20"/>
        </w:rPr>
        <w:t>of</w:t>
      </w:r>
      <w:r>
        <w:rPr>
          <w:color w:val="231F20"/>
          <w:spacing w:val="-3"/>
        </w:rPr>
        <w:t> </w:t>
      </w:r>
      <w:r>
        <w:rPr>
          <w:color w:val="231F20"/>
        </w:rPr>
        <w:t>the</w:t>
      </w:r>
      <w:r>
        <w:rPr>
          <w:color w:val="231F20"/>
          <w:spacing w:val="-5"/>
        </w:rPr>
        <w:t> </w:t>
      </w:r>
      <w:r>
        <w:rPr>
          <w:color w:val="231F20"/>
          <w:spacing w:val="-2"/>
        </w:rPr>
        <w:t>NCCD</w:t>
      </w:r>
      <w:r>
        <w:rPr>
          <w:color w:val="231F20"/>
          <w:spacing w:val="-3"/>
        </w:rPr>
        <w:t> </w:t>
      </w:r>
      <w:r>
        <w:rPr>
          <w:color w:val="231F20"/>
        </w:rPr>
        <w:t>(extensive,</w:t>
      </w:r>
      <w:r>
        <w:rPr>
          <w:color w:val="231F20"/>
          <w:spacing w:val="-4"/>
        </w:rPr>
        <w:t> </w:t>
      </w:r>
      <w:r>
        <w:rPr>
          <w:color w:val="231F20"/>
          <w:spacing w:val="-1"/>
        </w:rPr>
        <w:t>substantial</w:t>
      </w:r>
      <w:r>
        <w:rPr>
          <w:color w:val="231F20"/>
          <w:spacing w:val="23"/>
        </w:rPr>
        <w:t> </w:t>
      </w:r>
      <w:r>
        <w:rPr>
          <w:rFonts w:ascii="Segoe UI"/>
          <w:color w:val="231F20"/>
        </w:rPr>
        <w:t>and supplementary levels) attract a loading. The amount of the loading reflects the level of support</w:t>
      </w:r>
      <w:r>
        <w:rPr>
          <w:rFonts w:ascii="Segoe UI"/>
          <w:color w:val="231F20"/>
        </w:rPr>
        <w:t> </w:t>
      </w:r>
      <w:r>
        <w:rPr>
          <w:color w:val="231F20"/>
        </w:rPr>
        <w:t>they</w:t>
      </w:r>
      <w:r>
        <w:rPr>
          <w:color w:val="231F20"/>
          <w:spacing w:val="-5"/>
        </w:rPr>
        <w:t> </w:t>
      </w:r>
      <w:r>
        <w:rPr>
          <w:color w:val="231F20"/>
        </w:rPr>
        <w:t>need</w:t>
      </w:r>
      <w:r>
        <w:rPr>
          <w:color w:val="231F20"/>
          <w:spacing w:val="-5"/>
        </w:rPr>
        <w:t> </w:t>
      </w:r>
      <w:r>
        <w:rPr>
          <w:color w:val="231F20"/>
        </w:rPr>
        <w:t>to</w:t>
      </w:r>
      <w:r>
        <w:rPr>
          <w:color w:val="231F20"/>
          <w:spacing w:val="-3"/>
        </w:rPr>
        <w:t> </w:t>
      </w:r>
      <w:r>
        <w:rPr>
          <w:color w:val="231F20"/>
        </w:rPr>
        <w:t>participate</w:t>
      </w:r>
      <w:r>
        <w:rPr>
          <w:color w:val="231F20"/>
          <w:spacing w:val="-5"/>
        </w:rPr>
        <w:t> </w:t>
      </w:r>
      <w:r>
        <w:rPr>
          <w:color w:val="231F20"/>
        </w:rPr>
        <w:t>fully</w:t>
      </w:r>
      <w:r>
        <w:rPr>
          <w:color w:val="231F20"/>
          <w:spacing w:val="-5"/>
        </w:rPr>
        <w:t> </w:t>
      </w:r>
      <w:r>
        <w:rPr>
          <w:color w:val="231F20"/>
          <w:spacing w:val="-1"/>
        </w:rPr>
        <w:t>in</w:t>
      </w:r>
      <w:r>
        <w:rPr>
          <w:color w:val="231F20"/>
          <w:spacing w:val="-3"/>
        </w:rPr>
        <w:t> </w:t>
      </w:r>
      <w:r>
        <w:rPr>
          <w:color w:val="231F20"/>
          <w:spacing w:val="-1"/>
        </w:rPr>
        <w:t>school,</w:t>
      </w:r>
      <w:r>
        <w:rPr>
          <w:color w:val="231F20"/>
          <w:spacing w:val="-4"/>
        </w:rPr>
        <w:t> </w:t>
      </w:r>
      <w:r>
        <w:rPr>
          <w:color w:val="231F20"/>
        </w:rPr>
        <w:t>with</w:t>
      </w:r>
      <w:r>
        <w:rPr>
          <w:color w:val="231F20"/>
          <w:spacing w:val="-5"/>
        </w:rPr>
        <w:t> </w:t>
      </w:r>
      <w:r>
        <w:rPr>
          <w:color w:val="231F20"/>
        </w:rPr>
        <w:t>higher</w:t>
      </w:r>
      <w:r>
        <w:rPr>
          <w:color w:val="231F20"/>
          <w:spacing w:val="-4"/>
        </w:rPr>
        <w:t> </w:t>
      </w:r>
      <w:r>
        <w:rPr>
          <w:color w:val="231F20"/>
        </w:rPr>
        <w:t>funding</w:t>
      </w:r>
      <w:r>
        <w:rPr>
          <w:color w:val="231F20"/>
          <w:spacing w:val="-4"/>
        </w:rPr>
        <w:t> </w:t>
      </w:r>
      <w:r>
        <w:rPr>
          <w:color w:val="231F20"/>
        </w:rPr>
        <w:t>for</w:t>
      </w:r>
      <w:r>
        <w:rPr>
          <w:color w:val="231F20"/>
          <w:spacing w:val="-4"/>
        </w:rPr>
        <w:t> </w:t>
      </w:r>
      <w:r>
        <w:rPr>
          <w:color w:val="231F20"/>
        </w:rPr>
        <w:t>those</w:t>
      </w:r>
      <w:r>
        <w:rPr>
          <w:color w:val="231F20"/>
          <w:spacing w:val="-5"/>
        </w:rPr>
        <w:t> </w:t>
      </w:r>
      <w:r>
        <w:rPr>
          <w:color w:val="231F20"/>
        </w:rPr>
        <w:t>who</w:t>
      </w:r>
      <w:r>
        <w:rPr>
          <w:color w:val="231F20"/>
          <w:spacing w:val="-4"/>
        </w:rPr>
        <w:t> </w:t>
      </w:r>
      <w:r>
        <w:rPr>
          <w:color w:val="231F20"/>
        </w:rPr>
        <w:t>need</w:t>
      </w:r>
      <w:r>
        <w:rPr>
          <w:color w:val="231F20"/>
          <w:spacing w:val="-5"/>
        </w:rPr>
        <w:t> </w:t>
      </w:r>
      <w:r>
        <w:rPr>
          <w:color w:val="231F20"/>
        </w:rPr>
        <w:t>higher</w:t>
      </w:r>
      <w:r>
        <w:rPr>
          <w:color w:val="231F20"/>
          <w:spacing w:val="-4"/>
        </w:rPr>
        <w:t> </w:t>
      </w:r>
      <w:r>
        <w:rPr>
          <w:color w:val="231F20"/>
          <w:spacing w:val="-1"/>
        </w:rPr>
        <w:t>levels</w:t>
      </w:r>
      <w:r>
        <w:rPr>
          <w:color w:val="231F20"/>
          <w:spacing w:val="-4"/>
        </w:rPr>
        <w:t> </w:t>
      </w:r>
      <w:r>
        <w:rPr>
          <w:color w:val="231F20"/>
        </w:rPr>
        <w:t>of</w:t>
      </w:r>
      <w:r>
        <w:rPr>
          <w:color w:val="231F20"/>
          <w:spacing w:val="24"/>
          <w:w w:val="99"/>
        </w:rPr>
        <w:t> </w:t>
      </w:r>
      <w:r>
        <w:rPr>
          <w:color w:val="231F20"/>
          <w:spacing w:val="-1"/>
        </w:rPr>
        <w:t>support.</w:t>
      </w:r>
      <w:r>
        <w:rPr/>
      </w:r>
    </w:p>
    <w:p>
      <w:pPr>
        <w:pStyle w:val="BodyText"/>
        <w:spacing w:line="250" w:lineRule="exact" w:before="113"/>
        <w:ind w:left="100" w:right="210"/>
        <w:jc w:val="left"/>
      </w:pPr>
      <w:r>
        <w:rPr>
          <w:rFonts w:ascii="Segoe UI"/>
          <w:color w:val="231F20"/>
        </w:rPr>
        <w:t>The collection has a fourth level of support defined as 'support provided within quality differentiated</w:t>
      </w:r>
      <w:r>
        <w:rPr>
          <w:rFonts w:ascii="Segoe UI"/>
          <w:color w:val="231F20"/>
          <w:spacing w:val="-1"/>
        </w:rPr>
        <w:t> </w:t>
      </w:r>
      <w:r>
        <w:rPr>
          <w:rFonts w:ascii="Segoe UI"/>
          <w:color w:val="231F20"/>
        </w:rPr>
        <w:t>teaching</w:t>
      </w:r>
      <w:r>
        <w:rPr>
          <w:rFonts w:ascii="Segoe UI"/>
          <w:color w:val="231F20"/>
          <w:spacing w:val="-1"/>
        </w:rPr>
        <w:t> </w:t>
      </w:r>
      <w:r>
        <w:rPr>
          <w:rFonts w:ascii="Segoe UI"/>
          <w:color w:val="231F20"/>
        </w:rPr>
        <w:t>practice'.</w:t>
      </w:r>
      <w:r>
        <w:rPr>
          <w:rFonts w:ascii="Segoe UI"/>
          <w:color w:val="231F20"/>
          <w:spacing w:val="-1"/>
        </w:rPr>
        <w:t> </w:t>
      </w:r>
      <w:r>
        <w:rPr>
          <w:rFonts w:ascii="Segoe UI"/>
          <w:color w:val="231F20"/>
        </w:rPr>
        <w:t>These</w:t>
      </w:r>
      <w:r>
        <w:rPr>
          <w:rFonts w:ascii="Segoe UI"/>
          <w:color w:val="231F20"/>
          <w:spacing w:val="-1"/>
        </w:rPr>
        <w:t> </w:t>
      </w:r>
      <w:r>
        <w:rPr>
          <w:rFonts w:ascii="Segoe UI"/>
          <w:color w:val="231F20"/>
        </w:rPr>
        <w:t>students</w:t>
      </w:r>
      <w:r>
        <w:rPr>
          <w:rFonts w:ascii="Segoe UI"/>
          <w:color w:val="231F20"/>
          <w:spacing w:val="-1"/>
        </w:rPr>
        <w:t> </w:t>
      </w:r>
      <w:r>
        <w:rPr>
          <w:rFonts w:ascii="Segoe UI"/>
          <w:color w:val="231F20"/>
        </w:rPr>
        <w:t>are</w:t>
      </w:r>
      <w:r>
        <w:rPr>
          <w:rFonts w:ascii="Segoe UI"/>
          <w:color w:val="231F20"/>
          <w:spacing w:val="-1"/>
        </w:rPr>
        <w:t> </w:t>
      </w:r>
      <w:r>
        <w:rPr>
          <w:rFonts w:ascii="Segoe UI"/>
          <w:color w:val="231F20"/>
        </w:rPr>
        <w:t>supported</w:t>
      </w:r>
      <w:r>
        <w:rPr>
          <w:rFonts w:ascii="Segoe UI"/>
          <w:color w:val="231F20"/>
          <w:spacing w:val="-1"/>
        </w:rPr>
        <w:t> </w:t>
      </w:r>
      <w:r>
        <w:rPr>
          <w:rFonts w:ascii="Segoe UI"/>
          <w:color w:val="231F20"/>
        </w:rPr>
        <w:t>within</w:t>
      </w:r>
      <w:r>
        <w:rPr>
          <w:rFonts w:ascii="Segoe UI"/>
          <w:color w:val="231F20"/>
          <w:spacing w:val="-1"/>
        </w:rPr>
        <w:t> </w:t>
      </w:r>
      <w:r>
        <w:rPr>
          <w:rFonts w:ascii="Segoe UI"/>
          <w:color w:val="231F20"/>
        </w:rPr>
        <w:t>the</w:t>
      </w:r>
      <w:r>
        <w:rPr>
          <w:rFonts w:ascii="Segoe UI"/>
          <w:color w:val="231F20"/>
          <w:spacing w:val="-1"/>
        </w:rPr>
        <w:t> </w:t>
      </w:r>
      <w:r>
        <w:rPr>
          <w:rFonts w:ascii="Segoe UI"/>
          <w:color w:val="231F20"/>
        </w:rPr>
        <w:t>classroom</w:t>
      </w:r>
      <w:r>
        <w:rPr>
          <w:rFonts w:ascii="Segoe UI"/>
          <w:color w:val="231F20"/>
          <w:spacing w:val="-1"/>
        </w:rPr>
        <w:t> </w:t>
      </w:r>
      <w:r>
        <w:rPr>
          <w:rFonts w:ascii="Segoe UI"/>
          <w:color w:val="231F20"/>
        </w:rPr>
        <w:t>as</w:t>
      </w:r>
      <w:r>
        <w:rPr>
          <w:rFonts w:ascii="Segoe UI"/>
          <w:color w:val="231F20"/>
          <w:spacing w:val="-1"/>
        </w:rPr>
        <w:t> </w:t>
      </w:r>
      <w:r>
        <w:rPr>
          <w:rFonts w:ascii="Segoe UI"/>
          <w:color w:val="231F20"/>
        </w:rPr>
        <w:t>part</w:t>
      </w:r>
      <w:r>
        <w:rPr>
          <w:rFonts w:ascii="Segoe UI"/>
          <w:color w:val="231F20"/>
          <w:spacing w:val="-1"/>
        </w:rPr>
        <w:t> </w:t>
      </w:r>
      <w:r>
        <w:rPr>
          <w:rFonts w:ascii="Segoe UI"/>
          <w:color w:val="231F20"/>
        </w:rPr>
        <w:t>of</w:t>
      </w:r>
      <w:r>
        <w:rPr>
          <w:rFonts w:ascii="Segoe UI"/>
          <w:color w:val="231F20"/>
        </w:rPr>
        <w:t> </w:t>
      </w:r>
      <w:r>
        <w:rPr>
          <w:color w:val="231F20"/>
          <w:spacing w:val="-1"/>
        </w:rPr>
        <w:t>standard</w:t>
      </w:r>
      <w:r>
        <w:rPr>
          <w:color w:val="231F20"/>
          <w:spacing w:val="-3"/>
        </w:rPr>
        <w:t> </w:t>
      </w:r>
      <w:r>
        <w:rPr>
          <w:color w:val="231F20"/>
        </w:rPr>
        <w:t>teaching</w:t>
      </w:r>
      <w:r>
        <w:rPr>
          <w:color w:val="231F20"/>
          <w:spacing w:val="-5"/>
        </w:rPr>
        <w:t> </w:t>
      </w:r>
      <w:r>
        <w:rPr>
          <w:color w:val="231F20"/>
        </w:rPr>
        <w:t>practice</w:t>
      </w:r>
      <w:r>
        <w:rPr>
          <w:color w:val="231F20"/>
          <w:spacing w:val="-5"/>
        </w:rPr>
        <w:t> </w:t>
      </w:r>
      <w:r>
        <w:rPr>
          <w:color w:val="231F20"/>
        </w:rPr>
        <w:t>which</w:t>
      </w:r>
      <w:r>
        <w:rPr>
          <w:color w:val="231F20"/>
          <w:spacing w:val="-4"/>
        </w:rPr>
        <w:t> </w:t>
      </w:r>
      <w:r>
        <w:rPr>
          <w:color w:val="231F20"/>
          <w:spacing w:val="-1"/>
        </w:rPr>
        <w:t>is</w:t>
      </w:r>
      <w:r>
        <w:rPr>
          <w:color w:val="231F20"/>
          <w:spacing w:val="-5"/>
        </w:rPr>
        <w:t> </w:t>
      </w:r>
      <w:r>
        <w:rPr>
          <w:color w:val="231F20"/>
        </w:rPr>
        <w:t>responsive</w:t>
      </w:r>
      <w:r>
        <w:rPr>
          <w:color w:val="231F20"/>
          <w:spacing w:val="-6"/>
        </w:rPr>
        <w:t> </w:t>
      </w:r>
      <w:r>
        <w:rPr>
          <w:color w:val="231F20"/>
        </w:rPr>
        <w:t>to</w:t>
      </w:r>
      <w:r>
        <w:rPr>
          <w:color w:val="231F20"/>
          <w:spacing w:val="-4"/>
        </w:rPr>
        <w:t> </w:t>
      </w:r>
      <w:r>
        <w:rPr>
          <w:color w:val="231F20"/>
        </w:rPr>
        <w:t>the</w:t>
      </w:r>
      <w:r>
        <w:rPr>
          <w:color w:val="231F20"/>
          <w:spacing w:val="-4"/>
        </w:rPr>
        <w:t> </w:t>
      </w:r>
      <w:r>
        <w:rPr>
          <w:color w:val="231F20"/>
        </w:rPr>
        <w:t>needs</w:t>
      </w:r>
      <w:r>
        <w:rPr>
          <w:color w:val="231F20"/>
          <w:spacing w:val="-5"/>
        </w:rPr>
        <w:t> </w:t>
      </w:r>
      <w:r>
        <w:rPr>
          <w:color w:val="231F20"/>
        </w:rPr>
        <w:t>of</w:t>
      </w:r>
      <w:r>
        <w:rPr>
          <w:color w:val="231F20"/>
          <w:spacing w:val="-4"/>
        </w:rPr>
        <w:t> </w:t>
      </w:r>
      <w:r>
        <w:rPr>
          <w:color w:val="231F20"/>
        </w:rPr>
        <w:t>all</w:t>
      </w:r>
      <w:r>
        <w:rPr>
          <w:color w:val="231F20"/>
          <w:spacing w:val="-4"/>
        </w:rPr>
        <w:t> </w:t>
      </w:r>
      <w:r>
        <w:rPr>
          <w:color w:val="231F20"/>
          <w:spacing w:val="-1"/>
        </w:rPr>
        <w:t>students</w:t>
      </w:r>
      <w:r>
        <w:rPr>
          <w:color w:val="231F20"/>
          <w:spacing w:val="-4"/>
        </w:rPr>
        <w:t> </w:t>
      </w:r>
      <w:r>
        <w:rPr>
          <w:color w:val="231F20"/>
        </w:rPr>
        <w:t>and</w:t>
      </w:r>
      <w:r>
        <w:rPr>
          <w:color w:val="231F20"/>
          <w:spacing w:val="-5"/>
        </w:rPr>
        <w:t> </w:t>
      </w:r>
      <w:r>
        <w:rPr>
          <w:color w:val="231F20"/>
        </w:rPr>
        <w:t>delivered</w:t>
      </w:r>
      <w:r>
        <w:rPr>
          <w:color w:val="231F20"/>
          <w:spacing w:val="-5"/>
        </w:rPr>
        <w:t> </w:t>
      </w:r>
      <w:r>
        <w:rPr>
          <w:color w:val="231F20"/>
        </w:rPr>
        <w:t>without</w:t>
      </w:r>
      <w:r>
        <w:rPr>
          <w:color w:val="231F20"/>
          <w:spacing w:val="24"/>
          <w:w w:val="99"/>
        </w:rPr>
        <w:t> </w:t>
      </w:r>
      <w:r>
        <w:rPr>
          <w:color w:val="231F20"/>
        </w:rPr>
        <w:t>the</w:t>
      </w:r>
      <w:r>
        <w:rPr>
          <w:color w:val="231F20"/>
          <w:spacing w:val="-8"/>
        </w:rPr>
        <w:t> </w:t>
      </w:r>
      <w:r>
        <w:rPr>
          <w:color w:val="231F20"/>
        </w:rPr>
        <w:t>need</w:t>
      </w:r>
      <w:r>
        <w:rPr>
          <w:color w:val="231F20"/>
          <w:spacing w:val="-7"/>
        </w:rPr>
        <w:t> </w:t>
      </w:r>
      <w:r>
        <w:rPr>
          <w:color w:val="231F20"/>
        </w:rPr>
        <w:t>for</w:t>
      </w:r>
      <w:r>
        <w:rPr>
          <w:color w:val="231F20"/>
          <w:spacing w:val="-7"/>
        </w:rPr>
        <w:t> </w:t>
      </w:r>
      <w:r>
        <w:rPr>
          <w:color w:val="231F20"/>
        </w:rPr>
        <w:t>additional</w:t>
      </w:r>
      <w:r>
        <w:rPr>
          <w:color w:val="231F20"/>
          <w:spacing w:val="-7"/>
        </w:rPr>
        <w:t> </w:t>
      </w:r>
      <w:r>
        <w:rPr>
          <w:color w:val="231F20"/>
        </w:rPr>
        <w:t>funding.</w:t>
      </w:r>
      <w:r>
        <w:rPr/>
      </w:r>
    </w:p>
    <w:p>
      <w:pPr>
        <w:pStyle w:val="BodyText"/>
        <w:spacing w:line="250" w:lineRule="exact" w:before="113"/>
        <w:ind w:left="100" w:right="441"/>
        <w:jc w:val="both"/>
      </w:pPr>
      <w:r>
        <w:rPr>
          <w:color w:val="231F20"/>
          <w:spacing w:val="-1"/>
        </w:rPr>
        <w:t>It</w:t>
      </w:r>
      <w:r>
        <w:rPr>
          <w:color w:val="231F20"/>
          <w:spacing w:val="-4"/>
        </w:rPr>
        <w:t> </w:t>
      </w:r>
      <w:r>
        <w:rPr>
          <w:color w:val="231F20"/>
          <w:spacing w:val="-1"/>
        </w:rPr>
        <w:t>is</w:t>
      </w:r>
      <w:r>
        <w:rPr>
          <w:color w:val="231F20"/>
          <w:spacing w:val="-4"/>
        </w:rPr>
        <w:t> </w:t>
      </w:r>
      <w:r>
        <w:rPr>
          <w:color w:val="231F20"/>
        </w:rPr>
        <w:t>estimated</w:t>
      </w:r>
      <w:r>
        <w:rPr>
          <w:color w:val="231F20"/>
          <w:spacing w:val="-4"/>
        </w:rPr>
        <w:t> </w:t>
      </w:r>
      <w:r>
        <w:rPr>
          <w:color w:val="231F20"/>
        </w:rPr>
        <w:t>the</w:t>
      </w:r>
      <w:r>
        <w:rPr>
          <w:color w:val="231F20"/>
          <w:spacing w:val="-5"/>
        </w:rPr>
        <w:t> </w:t>
      </w:r>
      <w:r>
        <w:rPr>
          <w:color w:val="231F20"/>
          <w:spacing w:val="-1"/>
        </w:rPr>
        <w:t>student</w:t>
      </w:r>
      <w:r>
        <w:rPr>
          <w:color w:val="231F20"/>
          <w:spacing w:val="-3"/>
        </w:rPr>
        <w:t> </w:t>
      </w:r>
      <w:r>
        <w:rPr>
          <w:color w:val="231F20"/>
        </w:rPr>
        <w:t>with</w:t>
      </w:r>
      <w:r>
        <w:rPr>
          <w:color w:val="231F20"/>
          <w:spacing w:val="-4"/>
        </w:rPr>
        <w:t> </w:t>
      </w:r>
      <w:r>
        <w:rPr>
          <w:color w:val="231F20"/>
        </w:rPr>
        <w:t>disability</w:t>
      </w:r>
      <w:r>
        <w:rPr>
          <w:color w:val="231F20"/>
          <w:spacing w:val="-5"/>
        </w:rPr>
        <w:t> </w:t>
      </w:r>
      <w:r>
        <w:rPr>
          <w:color w:val="231F20"/>
          <w:spacing w:val="-1"/>
        </w:rPr>
        <w:t>loading</w:t>
      </w:r>
      <w:r>
        <w:rPr>
          <w:color w:val="231F20"/>
          <w:spacing w:val="-3"/>
        </w:rPr>
        <w:t> </w:t>
      </w:r>
      <w:r>
        <w:rPr>
          <w:color w:val="231F20"/>
        </w:rPr>
        <w:t>will</w:t>
      </w:r>
      <w:r>
        <w:rPr>
          <w:color w:val="231F20"/>
          <w:spacing w:val="-4"/>
        </w:rPr>
        <w:t> </w:t>
      </w:r>
      <w:r>
        <w:rPr>
          <w:color w:val="231F20"/>
        </w:rPr>
        <w:t>account</w:t>
      </w:r>
      <w:r>
        <w:rPr>
          <w:color w:val="231F20"/>
          <w:spacing w:val="-5"/>
        </w:rPr>
        <w:t> </w:t>
      </w:r>
      <w:r>
        <w:rPr>
          <w:color w:val="231F20"/>
        </w:rPr>
        <w:t>for</w:t>
      </w:r>
      <w:r>
        <w:rPr>
          <w:color w:val="231F20"/>
          <w:spacing w:val="-3"/>
        </w:rPr>
        <w:t> </w:t>
      </w:r>
      <w:r>
        <w:rPr>
          <w:color w:val="231F20"/>
          <w:spacing w:val="-1"/>
        </w:rPr>
        <w:t>9.3</w:t>
      </w:r>
      <w:r>
        <w:rPr>
          <w:color w:val="231F20"/>
          <w:spacing w:val="-3"/>
        </w:rPr>
        <w:t> </w:t>
      </w:r>
      <w:r>
        <w:rPr>
          <w:color w:val="231F20"/>
        </w:rPr>
        <w:t>per</w:t>
      </w:r>
      <w:r>
        <w:rPr>
          <w:color w:val="231F20"/>
          <w:spacing w:val="-4"/>
        </w:rPr>
        <w:t> </w:t>
      </w:r>
      <w:r>
        <w:rPr>
          <w:color w:val="231F20"/>
        </w:rPr>
        <w:t>cent</w:t>
      </w:r>
      <w:r>
        <w:rPr>
          <w:color w:val="231F20"/>
          <w:spacing w:val="-4"/>
        </w:rPr>
        <w:t> </w:t>
      </w:r>
      <w:r>
        <w:rPr>
          <w:color w:val="231F20"/>
        </w:rPr>
        <w:t>of</w:t>
      </w:r>
      <w:r>
        <w:rPr>
          <w:color w:val="231F20"/>
          <w:spacing w:val="-3"/>
        </w:rPr>
        <w:t> </w:t>
      </w:r>
      <w:r>
        <w:rPr>
          <w:color w:val="231F20"/>
          <w:spacing w:val="-1"/>
        </w:rPr>
        <w:t>Commonwealth</w:t>
      </w:r>
      <w:r>
        <w:rPr>
          <w:color w:val="231F20"/>
          <w:spacing w:val="25"/>
          <w:w w:val="99"/>
        </w:rPr>
        <w:t> </w:t>
      </w:r>
      <w:r>
        <w:rPr>
          <w:color w:val="231F20"/>
        </w:rPr>
        <w:t>recurrent</w:t>
      </w:r>
      <w:r>
        <w:rPr>
          <w:color w:val="231F20"/>
          <w:spacing w:val="-5"/>
        </w:rPr>
        <w:t> </w:t>
      </w:r>
      <w:r>
        <w:rPr>
          <w:color w:val="231F20"/>
          <w:spacing w:val="-1"/>
        </w:rPr>
        <w:t>school</w:t>
      </w:r>
      <w:r>
        <w:rPr>
          <w:color w:val="231F20"/>
          <w:spacing w:val="-3"/>
        </w:rPr>
        <w:t> </w:t>
      </w:r>
      <w:r>
        <w:rPr>
          <w:color w:val="231F20"/>
        </w:rPr>
        <w:t>funding</w:t>
      </w:r>
      <w:r>
        <w:rPr>
          <w:color w:val="231F20"/>
          <w:spacing w:val="-3"/>
        </w:rPr>
        <w:t> </w:t>
      </w:r>
      <w:r>
        <w:rPr>
          <w:color w:val="231F20"/>
        </w:rPr>
        <w:t>expenditure</w:t>
      </w:r>
      <w:r>
        <w:rPr>
          <w:color w:val="231F20"/>
          <w:spacing w:val="-4"/>
        </w:rPr>
        <w:t> </w:t>
      </w:r>
      <w:r>
        <w:rPr>
          <w:color w:val="231F20"/>
          <w:spacing w:val="-1"/>
        </w:rPr>
        <w:t>in</w:t>
      </w:r>
      <w:r>
        <w:rPr>
          <w:color w:val="231F20"/>
          <w:spacing w:val="-3"/>
        </w:rPr>
        <w:t> </w:t>
      </w:r>
      <w:r>
        <w:rPr>
          <w:color w:val="231F20"/>
          <w:spacing w:val="-1"/>
        </w:rPr>
        <w:t>2019.</w:t>
      </w:r>
      <w:r>
        <w:rPr>
          <w:color w:val="231F20"/>
          <w:spacing w:val="-3"/>
        </w:rPr>
        <w:t> </w:t>
      </w:r>
      <w:r>
        <w:rPr>
          <w:color w:val="231F20"/>
          <w:spacing w:val="-1"/>
        </w:rPr>
        <w:t>Funding</w:t>
      </w:r>
      <w:r>
        <w:rPr>
          <w:color w:val="231F20"/>
          <w:spacing w:val="-4"/>
        </w:rPr>
        <w:t> </w:t>
      </w:r>
      <w:r>
        <w:rPr>
          <w:color w:val="231F20"/>
        </w:rPr>
        <w:t>for</w:t>
      </w:r>
      <w:r>
        <w:rPr>
          <w:color w:val="231F20"/>
          <w:spacing w:val="-3"/>
        </w:rPr>
        <w:t> </w:t>
      </w:r>
      <w:r>
        <w:rPr>
          <w:color w:val="231F20"/>
        </w:rPr>
        <w:t>the</w:t>
      </w:r>
      <w:r>
        <w:rPr>
          <w:color w:val="231F20"/>
          <w:spacing w:val="-4"/>
        </w:rPr>
        <w:t> </w:t>
      </w:r>
      <w:r>
        <w:rPr>
          <w:color w:val="231F20"/>
          <w:spacing w:val="-1"/>
        </w:rPr>
        <w:t>students</w:t>
      </w:r>
      <w:r>
        <w:rPr>
          <w:color w:val="231F20"/>
          <w:spacing w:val="-3"/>
        </w:rPr>
        <w:t> </w:t>
      </w:r>
      <w:r>
        <w:rPr>
          <w:color w:val="231F20"/>
        </w:rPr>
        <w:t>with</w:t>
      </w:r>
      <w:r>
        <w:rPr>
          <w:color w:val="231F20"/>
          <w:spacing w:val="-4"/>
        </w:rPr>
        <w:t> </w:t>
      </w:r>
      <w:r>
        <w:rPr>
          <w:color w:val="231F20"/>
        </w:rPr>
        <w:t>disability</w:t>
      </w:r>
      <w:r>
        <w:rPr>
          <w:color w:val="231F20"/>
          <w:spacing w:val="-4"/>
        </w:rPr>
        <w:t> </w:t>
      </w:r>
      <w:r>
        <w:rPr>
          <w:color w:val="231F20"/>
          <w:spacing w:val="-1"/>
        </w:rPr>
        <w:t>loading</w:t>
      </w:r>
      <w:r>
        <w:rPr>
          <w:color w:val="231F20"/>
          <w:spacing w:val="-4"/>
        </w:rPr>
        <w:t> </w:t>
      </w:r>
      <w:r>
        <w:rPr>
          <w:color w:val="231F20"/>
          <w:spacing w:val="-1"/>
        </w:rPr>
        <w:t>is</w:t>
      </w:r>
      <w:r>
        <w:rPr>
          <w:color w:val="231F20"/>
          <w:spacing w:val="26"/>
        </w:rPr>
        <w:t> </w:t>
      </w:r>
      <w:r>
        <w:rPr>
          <w:color w:val="231F20"/>
        </w:rPr>
        <w:t>estimated</w:t>
      </w:r>
      <w:r>
        <w:rPr>
          <w:color w:val="231F20"/>
          <w:spacing w:val="-4"/>
        </w:rPr>
        <w:t> </w:t>
      </w:r>
      <w:r>
        <w:rPr>
          <w:color w:val="231F20"/>
        </w:rPr>
        <w:t>to</w:t>
      </w:r>
      <w:r>
        <w:rPr>
          <w:color w:val="231F20"/>
          <w:spacing w:val="-3"/>
        </w:rPr>
        <w:t> </w:t>
      </w:r>
      <w:r>
        <w:rPr>
          <w:color w:val="231F20"/>
        </w:rPr>
        <w:t>grow,</w:t>
      </w:r>
      <w:r>
        <w:rPr>
          <w:color w:val="231F20"/>
          <w:spacing w:val="-3"/>
        </w:rPr>
        <w:t> </w:t>
      </w:r>
      <w:r>
        <w:rPr>
          <w:color w:val="231F20"/>
        </w:rPr>
        <w:t>on</w:t>
      </w:r>
      <w:r>
        <w:rPr>
          <w:color w:val="231F20"/>
          <w:spacing w:val="-3"/>
        </w:rPr>
        <w:t> </w:t>
      </w:r>
      <w:r>
        <w:rPr>
          <w:color w:val="231F20"/>
        </w:rPr>
        <w:t>average,</w:t>
      </w:r>
      <w:r>
        <w:rPr>
          <w:color w:val="231F20"/>
          <w:spacing w:val="-4"/>
        </w:rPr>
        <w:t> </w:t>
      </w:r>
      <w:r>
        <w:rPr>
          <w:color w:val="231F20"/>
        </w:rPr>
        <w:t>by</w:t>
      </w:r>
      <w:r>
        <w:rPr>
          <w:color w:val="231F20"/>
          <w:spacing w:val="-3"/>
        </w:rPr>
        <w:t> </w:t>
      </w:r>
      <w:r>
        <w:rPr>
          <w:color w:val="231F20"/>
          <w:spacing w:val="-1"/>
        </w:rPr>
        <w:t>5.1</w:t>
      </w:r>
      <w:r>
        <w:rPr>
          <w:color w:val="231F20"/>
          <w:spacing w:val="-3"/>
        </w:rPr>
        <w:t> </w:t>
      </w:r>
      <w:r>
        <w:rPr>
          <w:color w:val="231F20"/>
        </w:rPr>
        <w:t>per</w:t>
      </w:r>
      <w:r>
        <w:rPr>
          <w:color w:val="231F20"/>
          <w:spacing w:val="-2"/>
        </w:rPr>
        <w:t> </w:t>
      </w:r>
      <w:r>
        <w:rPr>
          <w:color w:val="231F20"/>
        </w:rPr>
        <w:t>cent</w:t>
      </w:r>
      <w:r>
        <w:rPr>
          <w:color w:val="231F20"/>
          <w:spacing w:val="-4"/>
        </w:rPr>
        <w:t> </w:t>
      </w:r>
      <w:r>
        <w:rPr>
          <w:color w:val="231F20"/>
        </w:rPr>
        <w:t>per</w:t>
      </w:r>
      <w:r>
        <w:rPr>
          <w:color w:val="231F20"/>
          <w:spacing w:val="-3"/>
        </w:rPr>
        <w:t> </w:t>
      </w:r>
      <w:r>
        <w:rPr>
          <w:color w:val="231F20"/>
        </w:rPr>
        <w:t>year</w:t>
      </w:r>
      <w:r>
        <w:rPr>
          <w:color w:val="231F20"/>
          <w:spacing w:val="-3"/>
        </w:rPr>
        <w:t> </w:t>
      </w:r>
      <w:r>
        <w:rPr>
          <w:color w:val="231F20"/>
        </w:rPr>
        <w:t>over</w:t>
      </w:r>
      <w:r>
        <w:rPr>
          <w:color w:val="231F20"/>
          <w:spacing w:val="-3"/>
        </w:rPr>
        <w:t> </w:t>
      </w:r>
      <w:r>
        <w:rPr>
          <w:color w:val="231F20"/>
          <w:spacing w:val="-1"/>
        </w:rPr>
        <w:t>2018</w:t>
      </w:r>
      <w:r>
        <w:rPr>
          <w:color w:val="231F20"/>
          <w:spacing w:val="-3"/>
        </w:rPr>
        <w:t> </w:t>
      </w:r>
      <w:r>
        <w:rPr>
          <w:color w:val="231F20"/>
        </w:rPr>
        <w:t>to</w:t>
      </w:r>
      <w:r>
        <w:rPr>
          <w:color w:val="231F20"/>
          <w:spacing w:val="-3"/>
        </w:rPr>
        <w:t> </w:t>
      </w:r>
      <w:r>
        <w:rPr>
          <w:color w:val="231F20"/>
          <w:spacing w:val="-1"/>
        </w:rPr>
        <w:t>2029.</w:t>
      </w:r>
      <w:r>
        <w:rPr/>
      </w:r>
    </w:p>
    <w:p>
      <w:pPr>
        <w:spacing w:line="240" w:lineRule="auto" w:before="9"/>
        <w:rPr>
          <w:rFonts w:ascii="Segoe UI" w:hAnsi="Segoe UI" w:cs="Segoe UI" w:eastAsia="Segoe UI"/>
          <w:sz w:val="19"/>
          <w:szCs w:val="19"/>
        </w:rPr>
      </w:pPr>
    </w:p>
    <w:p>
      <w:pPr>
        <w:pStyle w:val="Heading5"/>
        <w:spacing w:line="240" w:lineRule="auto"/>
        <w:ind w:left="100" w:right="0"/>
        <w:jc w:val="left"/>
        <w:rPr>
          <w:rFonts w:ascii="Segoe UI Semibold" w:hAnsi="Segoe UI Semibold" w:cs="Segoe UI Semibold" w:eastAsia="Segoe UI Semibold"/>
          <w:i w:val="0"/>
        </w:rPr>
      </w:pPr>
      <w:r>
        <w:rPr>
          <w:rFonts w:ascii="Segoe UI Semibold"/>
          <w:b/>
          <w:i/>
          <w:color w:val="00779B"/>
          <w:spacing w:val="-3"/>
        </w:rPr>
        <w:t>Low</w:t>
      </w:r>
      <w:r>
        <w:rPr>
          <w:rFonts w:ascii="Segoe UI Semibold"/>
          <w:b/>
          <w:i/>
          <w:color w:val="00779B"/>
        </w:rPr>
        <w:t> English language </w:t>
      </w:r>
      <w:r>
        <w:rPr>
          <w:rFonts w:ascii="Segoe UI Semibold"/>
          <w:b/>
          <w:i/>
          <w:color w:val="00779B"/>
          <w:spacing w:val="-1"/>
        </w:rPr>
        <w:t>proficiency</w:t>
      </w:r>
      <w:r>
        <w:rPr>
          <w:rFonts w:ascii="Segoe UI Semibold"/>
          <w:b/>
          <w:i/>
          <w:color w:val="00779B"/>
        </w:rPr>
        <w:t> </w:t>
      </w:r>
      <w:r>
        <w:rPr>
          <w:rFonts w:ascii="Segoe UI Semibold"/>
          <w:b/>
          <w:i/>
          <w:color w:val="00779B"/>
          <w:spacing w:val="-1"/>
        </w:rPr>
        <w:t>loading</w:t>
      </w:r>
      <w:r>
        <w:rPr>
          <w:rFonts w:ascii="Segoe UI Semibold"/>
          <w:i w:val="0"/>
        </w:rPr>
      </w:r>
    </w:p>
    <w:p>
      <w:pPr>
        <w:pStyle w:val="BodyText"/>
        <w:spacing w:line="250" w:lineRule="exact" w:before="131"/>
        <w:ind w:left="100" w:right="210"/>
        <w:jc w:val="left"/>
      </w:pPr>
      <w:r>
        <w:rPr>
          <w:color w:val="231F20"/>
        </w:rPr>
        <w:t>This</w:t>
      </w:r>
      <w:r>
        <w:rPr>
          <w:color w:val="231F20"/>
          <w:spacing w:val="-5"/>
        </w:rPr>
        <w:t> </w:t>
      </w:r>
      <w:r>
        <w:rPr>
          <w:color w:val="231F20"/>
          <w:spacing w:val="-1"/>
        </w:rPr>
        <w:t>loading</w:t>
      </w:r>
      <w:r>
        <w:rPr>
          <w:color w:val="231F20"/>
          <w:spacing w:val="-4"/>
        </w:rPr>
        <w:t> </w:t>
      </w:r>
      <w:r>
        <w:rPr>
          <w:color w:val="231F20"/>
        </w:rPr>
        <w:t>provides</w:t>
      </w:r>
      <w:r>
        <w:rPr>
          <w:color w:val="231F20"/>
          <w:spacing w:val="-5"/>
        </w:rPr>
        <w:t> </w:t>
      </w:r>
      <w:r>
        <w:rPr>
          <w:color w:val="231F20"/>
        </w:rPr>
        <w:t>extra</w:t>
      </w:r>
      <w:r>
        <w:rPr>
          <w:color w:val="231F20"/>
          <w:spacing w:val="-4"/>
        </w:rPr>
        <w:t> </w:t>
      </w:r>
      <w:r>
        <w:rPr>
          <w:color w:val="231F20"/>
        </w:rPr>
        <w:t>funding</w:t>
      </w:r>
      <w:r>
        <w:rPr>
          <w:color w:val="231F20"/>
          <w:spacing w:val="-4"/>
        </w:rPr>
        <w:t> </w:t>
      </w:r>
      <w:r>
        <w:rPr>
          <w:color w:val="231F20"/>
        </w:rPr>
        <w:t>on</w:t>
      </w:r>
      <w:r>
        <w:rPr>
          <w:color w:val="231F20"/>
          <w:spacing w:val="-4"/>
        </w:rPr>
        <w:t> </w:t>
      </w:r>
      <w:r>
        <w:rPr>
          <w:color w:val="231F20"/>
        </w:rPr>
        <w:t>top</w:t>
      </w:r>
      <w:r>
        <w:rPr>
          <w:color w:val="231F20"/>
          <w:spacing w:val="-4"/>
        </w:rPr>
        <w:t> </w:t>
      </w:r>
      <w:r>
        <w:rPr>
          <w:color w:val="231F20"/>
        </w:rPr>
        <w:t>of</w:t>
      </w:r>
      <w:r>
        <w:rPr>
          <w:color w:val="231F20"/>
          <w:spacing w:val="-4"/>
        </w:rPr>
        <w:t> </w:t>
      </w:r>
      <w:r>
        <w:rPr>
          <w:color w:val="231F20"/>
        </w:rPr>
        <w:t>the</w:t>
      </w:r>
      <w:r>
        <w:rPr>
          <w:color w:val="231F20"/>
          <w:spacing w:val="-5"/>
        </w:rPr>
        <w:t> </w:t>
      </w:r>
      <w:r>
        <w:rPr>
          <w:color w:val="231F20"/>
        </w:rPr>
        <w:t>base</w:t>
      </w:r>
      <w:r>
        <w:rPr>
          <w:color w:val="231F20"/>
          <w:spacing w:val="-5"/>
        </w:rPr>
        <w:t> </w:t>
      </w:r>
      <w:r>
        <w:rPr>
          <w:color w:val="231F20"/>
        </w:rPr>
        <w:t>amount</w:t>
      </w:r>
      <w:r>
        <w:rPr>
          <w:color w:val="231F20"/>
          <w:spacing w:val="-5"/>
        </w:rPr>
        <w:t> </w:t>
      </w:r>
      <w:r>
        <w:rPr>
          <w:color w:val="231F20"/>
        </w:rPr>
        <w:t>for</w:t>
      </w:r>
      <w:r>
        <w:rPr>
          <w:color w:val="231F20"/>
          <w:spacing w:val="-4"/>
        </w:rPr>
        <w:t> </w:t>
      </w:r>
      <w:r>
        <w:rPr>
          <w:color w:val="231F20"/>
        </w:rPr>
        <w:t>a</w:t>
      </w:r>
      <w:r>
        <w:rPr>
          <w:color w:val="231F20"/>
          <w:spacing w:val="-3"/>
        </w:rPr>
        <w:t> </w:t>
      </w:r>
      <w:r>
        <w:rPr>
          <w:color w:val="231F20"/>
          <w:spacing w:val="-1"/>
        </w:rPr>
        <w:t>student</w:t>
      </w:r>
      <w:r>
        <w:rPr>
          <w:color w:val="231F20"/>
          <w:spacing w:val="-4"/>
        </w:rPr>
        <w:t> </w:t>
      </w:r>
      <w:r>
        <w:rPr>
          <w:color w:val="231F20"/>
        </w:rPr>
        <w:t>that</w:t>
      </w:r>
      <w:r>
        <w:rPr>
          <w:color w:val="231F20"/>
          <w:spacing w:val="-5"/>
        </w:rPr>
        <w:t> </w:t>
      </w:r>
      <w:r>
        <w:rPr>
          <w:color w:val="231F20"/>
        </w:rPr>
        <w:t>comes</w:t>
      </w:r>
      <w:r>
        <w:rPr>
          <w:color w:val="231F20"/>
          <w:spacing w:val="-5"/>
        </w:rPr>
        <w:t> </w:t>
      </w:r>
      <w:r>
        <w:rPr>
          <w:color w:val="231F20"/>
        </w:rPr>
        <w:t>from</w:t>
      </w:r>
      <w:r>
        <w:rPr>
          <w:color w:val="231F20"/>
          <w:spacing w:val="-4"/>
        </w:rPr>
        <w:t> </w:t>
      </w:r>
      <w:r>
        <w:rPr>
          <w:color w:val="231F20"/>
          <w:spacing w:val="-4"/>
        </w:rPr>
      </w:r>
      <w:r>
        <w:rPr>
          <w:color w:val="231F20"/>
        </w:rPr>
        <w:t>a</w:t>
      </w:r>
      <w:r>
        <w:rPr>
          <w:color w:val="231F20"/>
          <w:spacing w:val="23"/>
        </w:rPr>
        <w:t> </w:t>
      </w:r>
      <w:r>
        <w:rPr>
          <w:color w:val="231F20"/>
          <w:spacing w:val="-1"/>
        </w:rPr>
        <w:t>language</w:t>
      </w:r>
      <w:r>
        <w:rPr>
          <w:color w:val="231F20"/>
          <w:spacing w:val="-5"/>
        </w:rPr>
        <w:t> </w:t>
      </w:r>
      <w:r>
        <w:rPr>
          <w:color w:val="231F20"/>
        </w:rPr>
        <w:t>background</w:t>
      </w:r>
      <w:r>
        <w:rPr>
          <w:color w:val="231F20"/>
          <w:spacing w:val="-5"/>
        </w:rPr>
        <w:t> </w:t>
      </w:r>
      <w:r>
        <w:rPr>
          <w:color w:val="231F20"/>
        </w:rPr>
        <w:t>other</w:t>
      </w:r>
      <w:r>
        <w:rPr>
          <w:color w:val="231F20"/>
          <w:spacing w:val="-5"/>
        </w:rPr>
        <w:t> </w:t>
      </w:r>
      <w:r>
        <w:rPr>
          <w:color w:val="231F20"/>
        </w:rPr>
        <w:t>than</w:t>
      </w:r>
      <w:r>
        <w:rPr>
          <w:color w:val="231F20"/>
          <w:spacing w:val="-5"/>
        </w:rPr>
        <w:t> </w:t>
      </w:r>
      <w:r>
        <w:rPr>
          <w:color w:val="231F20"/>
        </w:rPr>
        <w:t>English</w:t>
      </w:r>
      <w:r>
        <w:rPr>
          <w:color w:val="231F20"/>
          <w:spacing w:val="-5"/>
        </w:rPr>
        <w:t> </w:t>
      </w:r>
      <w:r>
        <w:rPr>
          <w:color w:val="231F20"/>
        </w:rPr>
        <w:t>and</w:t>
      </w:r>
      <w:r>
        <w:rPr>
          <w:color w:val="231F20"/>
          <w:spacing w:val="-5"/>
        </w:rPr>
        <w:t> </w:t>
      </w:r>
      <w:r>
        <w:rPr>
          <w:color w:val="231F20"/>
        </w:rPr>
        <w:t>at</w:t>
      </w:r>
      <w:r>
        <w:rPr>
          <w:color w:val="231F20"/>
          <w:spacing w:val="-5"/>
        </w:rPr>
        <w:t> </w:t>
      </w:r>
      <w:r>
        <w:rPr>
          <w:color w:val="231F20"/>
          <w:spacing w:val="-1"/>
        </w:rPr>
        <w:t>least</w:t>
      </w:r>
      <w:r>
        <w:rPr>
          <w:color w:val="231F20"/>
          <w:spacing w:val="-4"/>
        </w:rPr>
        <w:t> </w:t>
      </w:r>
      <w:r>
        <w:rPr>
          <w:color w:val="231F20"/>
        </w:rPr>
        <w:t>one</w:t>
      </w:r>
      <w:r>
        <w:rPr>
          <w:color w:val="231F20"/>
          <w:spacing w:val="-5"/>
        </w:rPr>
        <w:t> </w:t>
      </w:r>
      <w:r>
        <w:rPr>
          <w:color w:val="231F20"/>
        </w:rPr>
        <w:t>of</w:t>
      </w:r>
      <w:r>
        <w:rPr>
          <w:color w:val="231F20"/>
          <w:spacing w:val="-4"/>
        </w:rPr>
        <w:t> </w:t>
      </w:r>
      <w:r>
        <w:rPr>
          <w:color w:val="231F20"/>
        </w:rPr>
        <w:t>the</w:t>
      </w:r>
      <w:r>
        <w:rPr>
          <w:color w:val="231F20"/>
          <w:spacing w:val="-5"/>
        </w:rPr>
        <w:t> </w:t>
      </w:r>
      <w:r>
        <w:rPr>
          <w:color w:val="231F20"/>
          <w:spacing w:val="-1"/>
        </w:rPr>
        <w:t>student's</w:t>
      </w:r>
      <w:r>
        <w:rPr>
          <w:color w:val="231F20"/>
          <w:spacing w:val="-4"/>
        </w:rPr>
        <w:t> </w:t>
      </w:r>
      <w:r>
        <w:rPr>
          <w:color w:val="231F20"/>
        </w:rPr>
        <w:t>parents</w:t>
      </w:r>
      <w:r>
        <w:rPr>
          <w:color w:val="231F20"/>
          <w:spacing w:val="-5"/>
        </w:rPr>
        <w:t> </w:t>
      </w:r>
      <w:r>
        <w:rPr>
          <w:color w:val="231F20"/>
        </w:rPr>
        <w:t>completed</w:t>
      </w:r>
      <w:r>
        <w:rPr/>
      </w:r>
    </w:p>
    <w:p>
      <w:pPr>
        <w:pStyle w:val="BodyText"/>
        <w:spacing w:line="250" w:lineRule="exact"/>
        <w:ind w:left="100" w:right="210"/>
        <w:jc w:val="left"/>
      </w:pPr>
      <w:r>
        <w:rPr>
          <w:color w:val="231F20"/>
          <w:spacing w:val="-1"/>
        </w:rPr>
        <w:t>school</w:t>
      </w:r>
      <w:r>
        <w:rPr>
          <w:color w:val="231F20"/>
          <w:spacing w:val="-4"/>
        </w:rPr>
        <w:t> </w:t>
      </w:r>
      <w:r>
        <w:rPr>
          <w:color w:val="231F20"/>
        </w:rPr>
        <w:t>education</w:t>
      </w:r>
      <w:r>
        <w:rPr>
          <w:color w:val="231F20"/>
          <w:spacing w:val="-5"/>
        </w:rPr>
        <w:t> </w:t>
      </w:r>
      <w:r>
        <w:rPr>
          <w:color w:val="231F20"/>
        </w:rPr>
        <w:t>only</w:t>
      </w:r>
      <w:r>
        <w:rPr>
          <w:color w:val="231F20"/>
          <w:spacing w:val="-4"/>
        </w:rPr>
        <w:t> </w:t>
      </w:r>
      <w:r>
        <w:rPr>
          <w:color w:val="231F20"/>
        </w:rPr>
        <w:t>to</w:t>
      </w:r>
      <w:r>
        <w:rPr>
          <w:color w:val="231F20"/>
          <w:spacing w:val="-4"/>
        </w:rPr>
        <w:t> </w:t>
      </w:r>
      <w:r>
        <w:rPr>
          <w:color w:val="231F20"/>
          <w:spacing w:val="-6"/>
        </w:rPr>
        <w:t>Year</w:t>
      </w:r>
      <w:r>
        <w:rPr>
          <w:color w:val="231F20"/>
          <w:spacing w:val="-4"/>
        </w:rPr>
        <w:t> </w:t>
      </w:r>
      <w:r>
        <w:rPr>
          <w:color w:val="231F20"/>
        </w:rPr>
        <w:t>9</w:t>
      </w:r>
      <w:r>
        <w:rPr>
          <w:color w:val="231F20"/>
          <w:spacing w:val="-4"/>
        </w:rPr>
        <w:t> </w:t>
      </w:r>
      <w:r>
        <w:rPr>
          <w:color w:val="231F20"/>
        </w:rPr>
        <w:t>(or</w:t>
      </w:r>
      <w:r>
        <w:rPr>
          <w:color w:val="231F20"/>
          <w:spacing w:val="-4"/>
        </w:rPr>
        <w:t> </w:t>
      </w:r>
      <w:r>
        <w:rPr>
          <w:color w:val="231F20"/>
        </w:rPr>
        <w:t>equivalent)</w:t>
      </w:r>
      <w:r>
        <w:rPr>
          <w:color w:val="231F20"/>
          <w:spacing w:val="-5"/>
        </w:rPr>
        <w:t> </w:t>
      </w:r>
      <w:r>
        <w:rPr>
          <w:color w:val="231F20"/>
        </w:rPr>
        <w:t>or</w:t>
      </w:r>
      <w:r>
        <w:rPr>
          <w:color w:val="231F20"/>
          <w:spacing w:val="-4"/>
        </w:rPr>
        <w:t> </w:t>
      </w:r>
      <w:r>
        <w:rPr>
          <w:color w:val="231F20"/>
        </w:rPr>
        <w:t>below.</w:t>
      </w:r>
      <w:r>
        <w:rPr>
          <w:color w:val="231F20"/>
          <w:spacing w:val="-4"/>
        </w:rPr>
        <w:t> </w:t>
      </w:r>
      <w:r>
        <w:rPr>
          <w:color w:val="231F20"/>
        </w:rPr>
        <w:t>This</w:t>
      </w:r>
      <w:r>
        <w:rPr>
          <w:color w:val="231F20"/>
          <w:spacing w:val="-5"/>
        </w:rPr>
        <w:t> </w:t>
      </w:r>
      <w:r>
        <w:rPr>
          <w:color w:val="231F20"/>
          <w:spacing w:val="-1"/>
        </w:rPr>
        <w:t>may</w:t>
      </w:r>
      <w:r>
        <w:rPr>
          <w:color w:val="231F20"/>
          <w:spacing w:val="-4"/>
        </w:rPr>
        <w:t> </w:t>
      </w:r>
      <w:r>
        <w:rPr>
          <w:color w:val="231F20"/>
          <w:spacing w:val="-1"/>
        </w:rPr>
        <w:t>include</w:t>
      </w:r>
      <w:r>
        <w:rPr>
          <w:color w:val="231F20"/>
          <w:spacing w:val="-3"/>
        </w:rPr>
        <w:t> </w:t>
      </w:r>
      <w:r>
        <w:rPr>
          <w:color w:val="231F20"/>
        </w:rPr>
        <w:t>recently</w:t>
      </w:r>
      <w:r>
        <w:rPr>
          <w:color w:val="231F20"/>
          <w:spacing w:val="-5"/>
        </w:rPr>
        <w:t> </w:t>
      </w:r>
      <w:r>
        <w:rPr>
          <w:color w:val="231F20"/>
          <w:spacing w:val="-1"/>
        </w:rPr>
        <w:t>settled</w:t>
      </w:r>
      <w:r>
        <w:rPr>
          <w:color w:val="231F20"/>
          <w:spacing w:val="-4"/>
        </w:rPr>
        <w:t> </w:t>
      </w:r>
      <w:r>
        <w:rPr>
          <w:color w:val="231F20"/>
          <w:spacing w:val="-1"/>
        </w:rPr>
        <w:t>migrants</w:t>
      </w:r>
      <w:r>
        <w:rPr>
          <w:color w:val="231F20"/>
          <w:spacing w:val="26"/>
          <w:w w:val="99"/>
        </w:rPr>
        <w:t> </w:t>
      </w:r>
      <w:r>
        <w:rPr>
          <w:color w:val="231F20"/>
        </w:rPr>
        <w:t>and</w:t>
      </w:r>
      <w:r>
        <w:rPr>
          <w:color w:val="231F20"/>
          <w:spacing w:val="-5"/>
        </w:rPr>
        <w:t> </w:t>
      </w:r>
      <w:r>
        <w:rPr>
          <w:color w:val="231F20"/>
        </w:rPr>
        <w:t>refugees.</w:t>
      </w:r>
      <w:r>
        <w:rPr>
          <w:color w:val="231F20"/>
          <w:spacing w:val="-5"/>
        </w:rPr>
        <w:t> </w:t>
      </w:r>
      <w:r>
        <w:rPr>
          <w:color w:val="231F20"/>
        </w:rPr>
        <w:t>The</w:t>
      </w:r>
      <w:r>
        <w:rPr>
          <w:color w:val="231F20"/>
          <w:spacing w:val="-4"/>
        </w:rPr>
        <w:t> </w:t>
      </w:r>
      <w:r>
        <w:rPr>
          <w:color w:val="231F20"/>
          <w:spacing w:val="-1"/>
        </w:rPr>
        <w:t>loading</w:t>
      </w:r>
      <w:r>
        <w:rPr>
          <w:color w:val="231F20"/>
          <w:spacing w:val="-4"/>
        </w:rPr>
        <w:t> </w:t>
      </w:r>
      <w:r>
        <w:rPr>
          <w:color w:val="231F20"/>
          <w:spacing w:val="-1"/>
        </w:rPr>
        <w:t>is</w:t>
      </w:r>
      <w:r>
        <w:rPr>
          <w:color w:val="231F20"/>
          <w:spacing w:val="-5"/>
        </w:rPr>
        <w:t> </w:t>
      </w:r>
      <w:r>
        <w:rPr>
          <w:color w:val="231F20"/>
          <w:spacing w:val="-1"/>
        </w:rPr>
        <w:t>10</w:t>
      </w:r>
      <w:r>
        <w:rPr>
          <w:color w:val="231F20"/>
          <w:spacing w:val="-4"/>
        </w:rPr>
        <w:t> </w:t>
      </w:r>
      <w:r>
        <w:rPr>
          <w:color w:val="231F20"/>
        </w:rPr>
        <w:t>per</w:t>
      </w:r>
      <w:r>
        <w:rPr>
          <w:color w:val="231F20"/>
          <w:spacing w:val="-5"/>
        </w:rPr>
        <w:t> </w:t>
      </w:r>
      <w:r>
        <w:rPr>
          <w:color w:val="231F20"/>
        </w:rPr>
        <w:t>cent</w:t>
      </w:r>
      <w:r>
        <w:rPr>
          <w:color w:val="231F20"/>
          <w:spacing w:val="-4"/>
        </w:rPr>
        <w:t> </w:t>
      </w:r>
      <w:r>
        <w:rPr>
          <w:color w:val="231F20"/>
        </w:rPr>
        <w:t>of</w:t>
      </w:r>
      <w:r>
        <w:rPr>
          <w:color w:val="231F20"/>
          <w:spacing w:val="-5"/>
        </w:rPr>
        <w:t> </w:t>
      </w:r>
      <w:r>
        <w:rPr>
          <w:color w:val="231F20"/>
        </w:rPr>
        <w:t>the</w:t>
      </w:r>
      <w:r>
        <w:rPr>
          <w:color w:val="231F20"/>
          <w:spacing w:val="-4"/>
        </w:rPr>
        <w:t> </w:t>
      </w:r>
      <w:r>
        <w:rPr>
          <w:color w:val="231F20"/>
        </w:rPr>
        <w:t>base</w:t>
      </w:r>
      <w:r>
        <w:rPr>
          <w:color w:val="231F20"/>
          <w:spacing w:val="-5"/>
        </w:rPr>
        <w:t> </w:t>
      </w:r>
      <w:r>
        <w:rPr>
          <w:color w:val="231F20"/>
        </w:rPr>
        <w:t>amount.</w:t>
      </w:r>
      <w:r>
        <w:rPr/>
      </w:r>
    </w:p>
    <w:p>
      <w:pPr>
        <w:pStyle w:val="BodyText"/>
        <w:spacing w:line="258" w:lineRule="exact" w:before="97"/>
        <w:ind w:left="100" w:right="0"/>
        <w:jc w:val="left"/>
        <w:rPr>
          <w:rFonts w:ascii="Segoe UI" w:hAnsi="Segoe UI" w:cs="Segoe UI" w:eastAsia="Segoe UI"/>
        </w:rPr>
      </w:pPr>
      <w:r>
        <w:rPr>
          <w:rFonts w:ascii="Segoe UI"/>
          <w:color w:val="231F20"/>
        </w:rPr>
        <w:t>It is estimated the Low English language proficiency loading will account for 0.2 per cent of</w:t>
      </w:r>
      <w:r>
        <w:rPr>
          <w:rFonts w:ascii="Segoe UI"/>
        </w:rPr>
      </w:r>
    </w:p>
    <w:p>
      <w:pPr>
        <w:pStyle w:val="BodyText"/>
        <w:spacing w:line="258" w:lineRule="exact"/>
        <w:ind w:left="100" w:right="0"/>
        <w:jc w:val="left"/>
      </w:pPr>
      <w:r>
        <w:rPr>
          <w:color w:val="231F20"/>
          <w:spacing w:val="-1"/>
        </w:rPr>
        <w:t>Commonwealth</w:t>
      </w:r>
      <w:r>
        <w:rPr>
          <w:color w:val="231F20"/>
          <w:spacing w:val="-7"/>
        </w:rPr>
        <w:t> </w:t>
      </w:r>
      <w:r>
        <w:rPr>
          <w:color w:val="231F20"/>
        </w:rPr>
        <w:t>recurrent</w:t>
      </w:r>
      <w:r>
        <w:rPr>
          <w:color w:val="231F20"/>
          <w:spacing w:val="-8"/>
        </w:rPr>
        <w:t> </w:t>
      </w:r>
      <w:r>
        <w:rPr>
          <w:color w:val="231F20"/>
          <w:spacing w:val="-1"/>
        </w:rPr>
        <w:t>school</w:t>
      </w:r>
      <w:r>
        <w:rPr>
          <w:color w:val="231F20"/>
          <w:spacing w:val="-6"/>
        </w:rPr>
        <w:t> </w:t>
      </w:r>
      <w:r>
        <w:rPr>
          <w:color w:val="231F20"/>
        </w:rPr>
        <w:t>funding</w:t>
      </w:r>
      <w:r>
        <w:rPr>
          <w:color w:val="231F20"/>
          <w:spacing w:val="-7"/>
        </w:rPr>
        <w:t> </w:t>
      </w:r>
      <w:r>
        <w:rPr>
          <w:color w:val="231F20"/>
        </w:rPr>
        <w:t>expenditure</w:t>
      </w:r>
      <w:r>
        <w:rPr>
          <w:color w:val="231F20"/>
          <w:spacing w:val="-7"/>
        </w:rPr>
        <w:t> </w:t>
      </w:r>
      <w:r>
        <w:rPr>
          <w:color w:val="231F20"/>
          <w:spacing w:val="-1"/>
        </w:rPr>
        <w:t>in</w:t>
      </w:r>
      <w:r>
        <w:rPr>
          <w:color w:val="231F20"/>
          <w:spacing w:val="-7"/>
        </w:rPr>
        <w:t> </w:t>
      </w:r>
      <w:r>
        <w:rPr>
          <w:color w:val="231F20"/>
        </w:rPr>
        <w:t>2019.</w:t>
      </w:r>
      <w:r>
        <w:rPr/>
      </w:r>
    </w:p>
    <w:p>
      <w:pPr>
        <w:pStyle w:val="BodyText"/>
        <w:spacing w:line="258" w:lineRule="exact" w:before="97"/>
        <w:ind w:left="100" w:right="0"/>
        <w:jc w:val="left"/>
        <w:rPr>
          <w:rFonts w:ascii="Segoe UI" w:hAnsi="Segoe UI" w:cs="Segoe UI" w:eastAsia="Segoe UI"/>
        </w:rPr>
      </w:pPr>
      <w:r>
        <w:rPr>
          <w:rFonts w:ascii="Segoe UI"/>
          <w:color w:val="231F20"/>
        </w:rPr>
        <w:t>Funding for the Low English language proficiency loading is estimated to grow, on average,</w:t>
      </w:r>
      <w:r>
        <w:rPr>
          <w:rFonts w:ascii="Segoe UI"/>
        </w:rPr>
      </w:r>
    </w:p>
    <w:p>
      <w:pPr>
        <w:pStyle w:val="BodyText"/>
        <w:spacing w:line="258" w:lineRule="exact"/>
        <w:ind w:left="100" w:right="0"/>
        <w:jc w:val="left"/>
      </w:pPr>
      <w:r>
        <w:rPr>
          <w:color w:val="231F20"/>
        </w:rPr>
        <w:t>by</w:t>
      </w:r>
      <w:r>
        <w:rPr>
          <w:color w:val="231F20"/>
          <w:spacing w:val="-3"/>
        </w:rPr>
        <w:t> </w:t>
      </w:r>
      <w:r>
        <w:rPr>
          <w:color w:val="231F20"/>
          <w:spacing w:val="-1"/>
        </w:rPr>
        <w:t>5.3</w:t>
      </w:r>
      <w:r>
        <w:rPr>
          <w:color w:val="231F20"/>
          <w:spacing w:val="-3"/>
        </w:rPr>
        <w:t> </w:t>
      </w:r>
      <w:r>
        <w:rPr>
          <w:color w:val="231F20"/>
        </w:rPr>
        <w:t>per</w:t>
      </w:r>
      <w:r>
        <w:rPr>
          <w:color w:val="231F20"/>
          <w:spacing w:val="-2"/>
        </w:rPr>
        <w:t> </w:t>
      </w:r>
      <w:r>
        <w:rPr>
          <w:color w:val="231F20"/>
        </w:rPr>
        <w:t>cent</w:t>
      </w:r>
      <w:r>
        <w:rPr>
          <w:color w:val="231F20"/>
          <w:spacing w:val="-4"/>
        </w:rPr>
        <w:t> </w:t>
      </w:r>
      <w:r>
        <w:rPr>
          <w:color w:val="231F20"/>
        </w:rPr>
        <w:t>per</w:t>
      </w:r>
      <w:r>
        <w:rPr>
          <w:color w:val="231F20"/>
          <w:spacing w:val="-3"/>
        </w:rPr>
        <w:t> </w:t>
      </w:r>
      <w:r>
        <w:rPr>
          <w:color w:val="231F20"/>
        </w:rPr>
        <w:t>year</w:t>
      </w:r>
      <w:r>
        <w:rPr>
          <w:color w:val="231F20"/>
          <w:spacing w:val="-2"/>
        </w:rPr>
        <w:t> </w:t>
      </w:r>
      <w:r>
        <w:rPr>
          <w:color w:val="231F20"/>
        </w:rPr>
        <w:t>over</w:t>
      </w:r>
      <w:r>
        <w:rPr>
          <w:color w:val="231F20"/>
          <w:spacing w:val="-3"/>
        </w:rPr>
        <w:t> </w:t>
      </w:r>
      <w:r>
        <w:rPr>
          <w:color w:val="231F20"/>
          <w:spacing w:val="-1"/>
        </w:rPr>
        <w:t>2018</w:t>
      </w:r>
      <w:r>
        <w:rPr>
          <w:color w:val="231F20"/>
          <w:spacing w:val="-3"/>
        </w:rPr>
        <w:t> </w:t>
      </w:r>
      <w:r>
        <w:rPr>
          <w:color w:val="231F20"/>
        </w:rPr>
        <w:t>to</w:t>
      </w:r>
      <w:r>
        <w:rPr>
          <w:color w:val="231F20"/>
          <w:spacing w:val="-2"/>
        </w:rPr>
        <w:t> </w:t>
      </w:r>
      <w:r>
        <w:rPr>
          <w:color w:val="231F20"/>
          <w:spacing w:val="-1"/>
        </w:rPr>
        <w:t>2029.</w:t>
      </w:r>
      <w:r>
        <w:rPr/>
      </w:r>
    </w:p>
    <w:p>
      <w:pPr>
        <w:spacing w:line="240" w:lineRule="auto" w:before="9"/>
        <w:rPr>
          <w:rFonts w:ascii="Segoe UI" w:hAnsi="Segoe UI" w:cs="Segoe UI" w:eastAsia="Segoe UI"/>
          <w:sz w:val="19"/>
          <w:szCs w:val="19"/>
        </w:rPr>
      </w:pPr>
    </w:p>
    <w:p>
      <w:pPr>
        <w:pStyle w:val="Heading5"/>
        <w:spacing w:line="240" w:lineRule="auto"/>
        <w:ind w:left="100" w:right="0"/>
        <w:jc w:val="left"/>
        <w:rPr>
          <w:i w:val="0"/>
        </w:rPr>
      </w:pPr>
      <w:r>
        <w:rPr>
          <w:b/>
          <w:i/>
          <w:color w:val="00779B"/>
          <w:spacing w:val="-1"/>
        </w:rPr>
        <w:t>Abo</w:t>
      </w:r>
      <w:r>
        <w:rPr>
          <w:b/>
          <w:i/>
          <w:color w:val="00779B"/>
        </w:rPr>
        <w:t>r</w:t>
      </w:r>
      <w:r>
        <w:rPr>
          <w:b/>
          <w:i/>
          <w:color w:val="00779B"/>
          <w:spacing w:val="-1"/>
        </w:rPr>
        <w:t>igina</w:t>
      </w:r>
      <w:r>
        <w:rPr>
          <w:b/>
          <w:i/>
          <w:color w:val="00779B"/>
        </w:rPr>
        <w:t>l</w:t>
      </w:r>
      <w:r>
        <w:rPr>
          <w:b/>
          <w:i/>
          <w:color w:val="00779B"/>
          <w:spacing w:val="-1"/>
        </w:rPr>
        <w:t> an</w:t>
      </w:r>
      <w:r>
        <w:rPr>
          <w:b/>
          <w:i/>
          <w:color w:val="00779B"/>
        </w:rPr>
        <w:t>d </w:t>
      </w:r>
      <w:r>
        <w:rPr>
          <w:b/>
          <w:i/>
          <w:color w:val="00779B"/>
          <w:spacing w:val="-25"/>
        </w:rPr>
        <w:t>T</w:t>
      </w:r>
      <w:r>
        <w:rPr>
          <w:b/>
          <w:i/>
          <w:color w:val="00779B"/>
          <w:spacing w:val="-1"/>
        </w:rPr>
        <w:t>or</w:t>
      </w:r>
      <w:r>
        <w:rPr>
          <w:b/>
          <w:i/>
          <w:color w:val="00779B"/>
          <w:spacing w:val="-2"/>
        </w:rPr>
        <w:t>r</w:t>
      </w:r>
      <w:r>
        <w:rPr>
          <w:b/>
          <w:i/>
          <w:color w:val="00779B"/>
          <w:spacing w:val="-1"/>
        </w:rPr>
        <w:t>e</w:t>
      </w:r>
      <w:r>
        <w:rPr>
          <w:b/>
          <w:i/>
          <w:color w:val="00779B"/>
        </w:rPr>
        <w:t>s </w:t>
      </w:r>
      <w:r>
        <w:rPr>
          <w:b/>
          <w:i/>
          <w:color w:val="00779B"/>
          <w:spacing w:val="-5"/>
        </w:rPr>
        <w:t>S</w:t>
      </w:r>
      <w:r>
        <w:rPr>
          <w:b/>
          <w:i/>
          <w:color w:val="00779B"/>
          <w:spacing w:val="-1"/>
        </w:rPr>
        <w:t>t</w:t>
      </w:r>
      <w:r>
        <w:rPr>
          <w:b/>
          <w:i/>
          <w:color w:val="00779B"/>
          <w:spacing w:val="-2"/>
        </w:rPr>
        <w:t>r</w:t>
      </w:r>
      <w:r>
        <w:rPr>
          <w:b/>
          <w:i/>
          <w:color w:val="00779B"/>
          <w:spacing w:val="-1"/>
        </w:rPr>
        <w:t>ai</w:t>
      </w:r>
      <w:r>
        <w:rPr>
          <w:b/>
          <w:i/>
          <w:color w:val="00779B"/>
        </w:rPr>
        <w:t>t Islander</w:t>
      </w:r>
      <w:r>
        <w:rPr>
          <w:b/>
          <w:i/>
          <w:color w:val="00779B"/>
          <w:spacing w:val="-2"/>
        </w:rPr>
        <w:t> </w:t>
      </w:r>
      <w:r>
        <w:rPr>
          <w:b/>
          <w:i/>
          <w:color w:val="00779B"/>
        </w:rPr>
        <w:t>student</w:t>
      </w:r>
      <w:r>
        <w:rPr>
          <w:b/>
          <w:i/>
          <w:color w:val="00779B"/>
          <w:spacing w:val="-1"/>
        </w:rPr>
        <w:t> l</w:t>
      </w:r>
      <w:r>
        <w:rPr>
          <w:b/>
          <w:i/>
          <w:color w:val="00779B"/>
          <w:spacing w:val="-2"/>
        </w:rPr>
        <w:t>o</w:t>
      </w:r>
      <w:r>
        <w:rPr>
          <w:b/>
          <w:i/>
          <w:color w:val="00779B"/>
          <w:spacing w:val="-1"/>
        </w:rPr>
        <w:t>ading</w:t>
      </w:r>
      <w:r>
        <w:rPr>
          <w:i w:val="0"/>
        </w:rPr>
      </w:r>
    </w:p>
    <w:p>
      <w:pPr>
        <w:pStyle w:val="BodyText"/>
        <w:spacing w:line="250" w:lineRule="exact" w:before="131"/>
        <w:ind w:left="100" w:right="167"/>
        <w:jc w:val="left"/>
      </w:pPr>
      <w:r>
        <w:rPr>
          <w:color w:val="231F20"/>
        </w:rPr>
        <w:t>This</w:t>
      </w:r>
      <w:r>
        <w:rPr>
          <w:color w:val="231F20"/>
          <w:spacing w:val="-6"/>
        </w:rPr>
        <w:t> </w:t>
      </w:r>
      <w:r>
        <w:rPr>
          <w:color w:val="231F20"/>
          <w:spacing w:val="-1"/>
        </w:rPr>
        <w:t>loading</w:t>
      </w:r>
      <w:r>
        <w:rPr>
          <w:color w:val="231F20"/>
          <w:spacing w:val="-4"/>
        </w:rPr>
        <w:t> </w:t>
      </w:r>
      <w:r>
        <w:rPr>
          <w:color w:val="231F20"/>
        </w:rPr>
        <w:t>provides</w:t>
      </w:r>
      <w:r>
        <w:rPr>
          <w:color w:val="231F20"/>
          <w:spacing w:val="-5"/>
        </w:rPr>
        <w:t> </w:t>
      </w:r>
      <w:r>
        <w:rPr>
          <w:color w:val="231F20"/>
        </w:rPr>
        <w:t>extra</w:t>
      </w:r>
      <w:r>
        <w:rPr>
          <w:color w:val="231F20"/>
          <w:spacing w:val="-5"/>
        </w:rPr>
        <w:t> </w:t>
      </w:r>
      <w:r>
        <w:rPr>
          <w:color w:val="231F20"/>
        </w:rPr>
        <w:t>funding</w:t>
      </w:r>
      <w:r>
        <w:rPr>
          <w:color w:val="231F20"/>
          <w:spacing w:val="-4"/>
        </w:rPr>
        <w:t> </w:t>
      </w:r>
      <w:r>
        <w:rPr>
          <w:color w:val="231F20"/>
        </w:rPr>
        <w:t>on</w:t>
      </w:r>
      <w:r>
        <w:rPr>
          <w:color w:val="231F20"/>
          <w:spacing w:val="-5"/>
        </w:rPr>
        <w:t> </w:t>
      </w:r>
      <w:r>
        <w:rPr>
          <w:color w:val="231F20"/>
        </w:rPr>
        <w:t>top</w:t>
      </w:r>
      <w:r>
        <w:rPr>
          <w:color w:val="231F20"/>
          <w:spacing w:val="-5"/>
        </w:rPr>
        <w:t> </w:t>
      </w:r>
      <w:r>
        <w:rPr>
          <w:color w:val="231F20"/>
        </w:rPr>
        <w:t>of</w:t>
      </w:r>
      <w:r>
        <w:rPr>
          <w:color w:val="231F20"/>
          <w:spacing w:val="-4"/>
        </w:rPr>
        <w:t> </w:t>
      </w:r>
      <w:r>
        <w:rPr>
          <w:color w:val="231F20"/>
        </w:rPr>
        <w:t>the</w:t>
      </w:r>
      <w:r>
        <w:rPr>
          <w:color w:val="231F20"/>
          <w:spacing w:val="-5"/>
        </w:rPr>
        <w:t> </w:t>
      </w:r>
      <w:r>
        <w:rPr>
          <w:color w:val="231F20"/>
        </w:rPr>
        <w:t>base</w:t>
      </w:r>
      <w:r>
        <w:rPr>
          <w:color w:val="231F20"/>
          <w:spacing w:val="-6"/>
        </w:rPr>
        <w:t> </w:t>
      </w:r>
      <w:r>
        <w:rPr>
          <w:color w:val="231F20"/>
        </w:rPr>
        <w:t>amount</w:t>
      </w:r>
      <w:r>
        <w:rPr>
          <w:color w:val="231F20"/>
          <w:spacing w:val="-5"/>
        </w:rPr>
        <w:t> </w:t>
      </w:r>
      <w:r>
        <w:rPr>
          <w:color w:val="231F20"/>
        </w:rPr>
        <w:t>for</w:t>
      </w:r>
      <w:r>
        <w:rPr>
          <w:color w:val="231F20"/>
          <w:spacing w:val="-4"/>
        </w:rPr>
        <w:t> </w:t>
      </w:r>
      <w:r>
        <w:rPr>
          <w:color w:val="231F20"/>
        </w:rPr>
        <w:t>each</w:t>
      </w:r>
      <w:r>
        <w:rPr>
          <w:color w:val="231F20"/>
          <w:spacing w:val="-5"/>
        </w:rPr>
        <w:t> </w:t>
      </w:r>
      <w:r>
        <w:rPr>
          <w:color w:val="231F20"/>
        </w:rPr>
        <w:t>Aboriginal</w:t>
      </w:r>
      <w:r>
        <w:rPr>
          <w:color w:val="231F20"/>
          <w:spacing w:val="-4"/>
        </w:rPr>
        <w:t> </w:t>
      </w:r>
      <w:r>
        <w:rPr>
          <w:color w:val="231F20"/>
        </w:rPr>
        <w:t>and</w:t>
      </w:r>
      <w:r>
        <w:rPr>
          <w:color w:val="231F20"/>
          <w:spacing w:val="-5"/>
        </w:rPr>
        <w:t> Torres</w:t>
      </w:r>
      <w:r>
        <w:rPr>
          <w:color w:val="231F20"/>
          <w:w w:val="99"/>
        </w:rPr>
        <w:t> </w:t>
      </w:r>
      <w:r>
        <w:rPr>
          <w:color w:val="231F20"/>
          <w:spacing w:val="12"/>
          <w:w w:val="99"/>
        </w:rPr>
        <w:t>  </w:t>
      </w:r>
      <w:r>
        <w:rPr>
          <w:color w:val="231F20"/>
          <w:spacing w:val="-2"/>
        </w:rPr>
        <w:t>Strait</w:t>
      </w:r>
      <w:r>
        <w:rPr>
          <w:color w:val="231F20"/>
          <w:spacing w:val="-7"/>
        </w:rPr>
        <w:t> </w:t>
      </w:r>
      <w:r>
        <w:rPr>
          <w:color w:val="231F20"/>
          <w:spacing w:val="-1"/>
        </w:rPr>
        <w:t>Islander</w:t>
      </w:r>
      <w:r>
        <w:rPr>
          <w:color w:val="231F20"/>
          <w:spacing w:val="-5"/>
        </w:rPr>
        <w:t> </w:t>
      </w:r>
      <w:r>
        <w:rPr>
          <w:color w:val="231F20"/>
          <w:spacing w:val="-1"/>
        </w:rPr>
        <w:t>student.</w:t>
      </w:r>
      <w:r>
        <w:rPr>
          <w:color w:val="231F20"/>
          <w:spacing w:val="-4"/>
        </w:rPr>
        <w:t> </w:t>
      </w:r>
      <w:r>
        <w:rPr>
          <w:color w:val="231F20"/>
        </w:rPr>
        <w:t>The</w:t>
      </w:r>
      <w:r>
        <w:rPr>
          <w:color w:val="231F20"/>
          <w:spacing w:val="-5"/>
        </w:rPr>
        <w:t> </w:t>
      </w:r>
      <w:r>
        <w:rPr>
          <w:color w:val="231F20"/>
        </w:rPr>
        <w:t>amount</w:t>
      </w:r>
      <w:r>
        <w:rPr>
          <w:color w:val="231F20"/>
          <w:spacing w:val="-7"/>
        </w:rPr>
        <w:t> </w:t>
      </w:r>
      <w:r>
        <w:rPr>
          <w:color w:val="231F20"/>
        </w:rPr>
        <w:t>of</w:t>
      </w:r>
      <w:r>
        <w:rPr>
          <w:color w:val="231F20"/>
          <w:spacing w:val="-5"/>
        </w:rPr>
        <w:t> </w:t>
      </w:r>
      <w:r>
        <w:rPr>
          <w:color w:val="231F20"/>
        </w:rPr>
        <w:t>extra</w:t>
      </w:r>
      <w:r>
        <w:rPr>
          <w:color w:val="231F20"/>
          <w:spacing w:val="-5"/>
        </w:rPr>
        <w:t> </w:t>
      </w:r>
      <w:r>
        <w:rPr>
          <w:color w:val="231F20"/>
        </w:rPr>
        <w:t>funding</w:t>
      </w:r>
      <w:r>
        <w:rPr>
          <w:color w:val="231F20"/>
          <w:spacing w:val="-5"/>
        </w:rPr>
        <w:t> </w:t>
      </w:r>
      <w:r>
        <w:rPr>
          <w:color w:val="231F20"/>
        </w:rPr>
        <w:t>for</w:t>
      </w:r>
      <w:r>
        <w:rPr>
          <w:color w:val="231F20"/>
          <w:spacing w:val="-5"/>
        </w:rPr>
        <w:t> </w:t>
      </w:r>
      <w:r>
        <w:rPr>
          <w:color w:val="231F20"/>
        </w:rPr>
        <w:t>each</w:t>
      </w:r>
      <w:r>
        <w:rPr>
          <w:color w:val="231F20"/>
          <w:spacing w:val="-6"/>
        </w:rPr>
        <w:t> </w:t>
      </w:r>
      <w:r>
        <w:rPr>
          <w:color w:val="231F20"/>
          <w:spacing w:val="-1"/>
        </w:rPr>
        <w:t>student</w:t>
      </w:r>
      <w:r>
        <w:rPr>
          <w:color w:val="231F20"/>
          <w:spacing w:val="-5"/>
        </w:rPr>
        <w:t> </w:t>
      </w:r>
      <w:r>
        <w:rPr>
          <w:color w:val="231F20"/>
        </w:rPr>
        <w:t>depends</w:t>
      </w:r>
      <w:r>
        <w:rPr>
          <w:color w:val="231F20"/>
          <w:spacing w:val="-6"/>
        </w:rPr>
        <w:t> </w:t>
      </w:r>
      <w:r>
        <w:rPr>
          <w:color w:val="231F20"/>
        </w:rPr>
        <w:t>on</w:t>
      </w:r>
      <w:r>
        <w:rPr>
          <w:color w:val="231F20"/>
          <w:spacing w:val="-5"/>
        </w:rPr>
        <w:t> </w:t>
      </w:r>
      <w:r>
        <w:rPr>
          <w:color w:val="231F20"/>
        </w:rPr>
        <w:t>the</w:t>
      </w:r>
      <w:r>
        <w:rPr>
          <w:color w:val="231F20"/>
          <w:spacing w:val="-6"/>
        </w:rPr>
        <w:t> </w:t>
      </w:r>
      <w:r>
        <w:rPr>
          <w:color w:val="231F20"/>
        </w:rPr>
        <w:t>proportion</w:t>
      </w:r>
      <w:r>
        <w:rPr>
          <w:color w:val="231F20"/>
          <w:spacing w:val="-7"/>
        </w:rPr>
        <w:t> </w:t>
      </w:r>
      <w:r>
        <w:rPr>
          <w:color w:val="231F20"/>
        </w:rPr>
        <w:t>of</w:t>
      </w:r>
      <w:r>
        <w:rPr>
          <w:color w:val="231F20"/>
          <w:spacing w:val="29"/>
          <w:w w:val="99"/>
        </w:rPr>
        <w:t> </w:t>
      </w:r>
      <w:r>
        <w:rPr>
          <w:color w:val="231F20"/>
          <w:spacing w:val="-1"/>
        </w:rPr>
        <w:t>Indigenous</w:t>
      </w:r>
      <w:r>
        <w:rPr>
          <w:color w:val="231F20"/>
          <w:spacing w:val="-3"/>
        </w:rPr>
        <w:t> </w:t>
      </w:r>
      <w:r>
        <w:rPr>
          <w:color w:val="231F20"/>
          <w:spacing w:val="-1"/>
        </w:rPr>
        <w:t>students</w:t>
      </w:r>
      <w:r>
        <w:rPr>
          <w:color w:val="231F20"/>
          <w:spacing w:val="-3"/>
        </w:rPr>
        <w:t> </w:t>
      </w:r>
      <w:r>
        <w:rPr>
          <w:color w:val="231F20"/>
          <w:spacing w:val="-1"/>
        </w:rPr>
        <w:t>in</w:t>
      </w:r>
      <w:r>
        <w:rPr>
          <w:color w:val="231F20"/>
          <w:spacing w:val="-3"/>
        </w:rPr>
        <w:t> </w:t>
      </w:r>
      <w:r>
        <w:rPr>
          <w:color w:val="231F20"/>
        </w:rPr>
        <w:t>the</w:t>
      </w:r>
      <w:r>
        <w:rPr>
          <w:color w:val="231F20"/>
          <w:spacing w:val="-4"/>
        </w:rPr>
        <w:t> </w:t>
      </w:r>
      <w:r>
        <w:rPr>
          <w:color w:val="231F20"/>
          <w:spacing w:val="-1"/>
        </w:rPr>
        <w:t>school.</w:t>
      </w:r>
      <w:r>
        <w:rPr>
          <w:color w:val="231F20"/>
          <w:spacing w:val="-3"/>
        </w:rPr>
        <w:t> </w:t>
      </w:r>
      <w:r>
        <w:rPr>
          <w:color w:val="231F20"/>
          <w:spacing w:val="-1"/>
        </w:rPr>
        <w:t>If</w:t>
      </w:r>
      <w:r>
        <w:rPr>
          <w:color w:val="231F20"/>
          <w:spacing w:val="-3"/>
        </w:rPr>
        <w:t> </w:t>
      </w:r>
      <w:r>
        <w:rPr>
          <w:color w:val="231F20"/>
        </w:rPr>
        <w:t>there</w:t>
      </w:r>
      <w:r>
        <w:rPr>
          <w:color w:val="231F20"/>
          <w:spacing w:val="-4"/>
        </w:rPr>
        <w:t> </w:t>
      </w:r>
      <w:r>
        <w:rPr>
          <w:color w:val="231F20"/>
          <w:spacing w:val="-1"/>
        </w:rPr>
        <w:t>is</w:t>
      </w:r>
      <w:r>
        <w:rPr>
          <w:color w:val="231F20"/>
          <w:spacing w:val="-4"/>
        </w:rPr>
        <w:t> </w:t>
      </w:r>
      <w:r>
        <w:rPr>
          <w:color w:val="231F20"/>
        </w:rPr>
        <w:t>a</w:t>
      </w:r>
      <w:r>
        <w:rPr>
          <w:color w:val="231F20"/>
          <w:spacing w:val="-3"/>
        </w:rPr>
        <w:t> </w:t>
      </w:r>
      <w:r>
        <w:rPr>
          <w:color w:val="231F20"/>
          <w:spacing w:val="-1"/>
        </w:rPr>
        <w:t>single</w:t>
      </w:r>
      <w:r>
        <w:rPr>
          <w:color w:val="231F20"/>
          <w:spacing w:val="-3"/>
        </w:rPr>
        <w:t> </w:t>
      </w:r>
      <w:r>
        <w:rPr>
          <w:color w:val="231F20"/>
          <w:spacing w:val="-1"/>
        </w:rPr>
        <w:t>Indigenous</w:t>
      </w:r>
      <w:r>
        <w:rPr>
          <w:color w:val="231F20"/>
          <w:spacing w:val="-3"/>
        </w:rPr>
        <w:t> </w:t>
      </w:r>
      <w:r>
        <w:rPr>
          <w:color w:val="231F20"/>
          <w:spacing w:val="-1"/>
        </w:rPr>
        <w:t>student</w:t>
      </w:r>
      <w:r>
        <w:rPr>
          <w:color w:val="231F20"/>
          <w:spacing w:val="-3"/>
        </w:rPr>
        <w:t> </w:t>
      </w:r>
      <w:r>
        <w:rPr>
          <w:color w:val="231F20"/>
          <w:spacing w:val="-1"/>
        </w:rPr>
        <w:t>in</w:t>
      </w:r>
      <w:r>
        <w:rPr>
          <w:color w:val="231F20"/>
          <w:spacing w:val="-3"/>
        </w:rPr>
        <w:t> </w:t>
      </w:r>
      <w:r>
        <w:rPr>
          <w:color w:val="231F20"/>
        </w:rPr>
        <w:t>the</w:t>
      </w:r>
      <w:r>
        <w:rPr>
          <w:color w:val="231F20"/>
          <w:spacing w:val="-4"/>
        </w:rPr>
        <w:t> </w:t>
      </w:r>
      <w:r>
        <w:rPr>
          <w:color w:val="231F20"/>
          <w:spacing w:val="-1"/>
        </w:rPr>
        <w:t>school,</w:t>
      </w:r>
      <w:r>
        <w:rPr>
          <w:color w:val="231F20"/>
          <w:spacing w:val="-3"/>
        </w:rPr>
        <w:t> </w:t>
      </w:r>
      <w:r>
        <w:rPr>
          <w:color w:val="231F20"/>
        </w:rPr>
        <w:t>the</w:t>
      </w:r>
      <w:r>
        <w:rPr>
          <w:color w:val="231F20"/>
          <w:spacing w:val="-4"/>
        </w:rPr>
        <w:t> </w:t>
      </w:r>
      <w:r>
        <w:rPr>
          <w:color w:val="231F20"/>
          <w:spacing w:val="-1"/>
        </w:rPr>
        <w:t>loading</w:t>
      </w:r>
      <w:r>
        <w:rPr>
          <w:color w:val="231F20"/>
          <w:spacing w:val="22"/>
          <w:w w:val="99"/>
        </w:rPr>
        <w:t> </w:t>
      </w:r>
      <w:r>
        <w:rPr>
          <w:color w:val="231F20"/>
          <w:spacing w:val="-1"/>
        </w:rPr>
        <w:t>is</w:t>
      </w:r>
      <w:r>
        <w:rPr>
          <w:color w:val="231F20"/>
          <w:spacing w:val="-4"/>
        </w:rPr>
        <w:t> </w:t>
      </w:r>
      <w:r>
        <w:rPr>
          <w:color w:val="231F20"/>
          <w:spacing w:val="-1"/>
        </w:rPr>
        <w:t>20</w:t>
      </w:r>
      <w:r>
        <w:rPr>
          <w:color w:val="231F20"/>
          <w:spacing w:val="-3"/>
        </w:rPr>
        <w:t> </w:t>
      </w:r>
      <w:r>
        <w:rPr>
          <w:color w:val="231F20"/>
        </w:rPr>
        <w:t>per</w:t>
      </w:r>
      <w:r>
        <w:rPr>
          <w:color w:val="231F20"/>
          <w:spacing w:val="-2"/>
        </w:rPr>
        <w:t> </w:t>
      </w:r>
      <w:r>
        <w:rPr>
          <w:color w:val="231F20"/>
        </w:rPr>
        <w:t>cent</w:t>
      </w:r>
      <w:r>
        <w:rPr>
          <w:color w:val="231F20"/>
          <w:spacing w:val="-4"/>
        </w:rPr>
        <w:t> </w:t>
      </w:r>
      <w:r>
        <w:rPr>
          <w:color w:val="231F20"/>
        </w:rPr>
        <w:t>of</w:t>
      </w:r>
      <w:r>
        <w:rPr>
          <w:color w:val="231F20"/>
          <w:spacing w:val="-3"/>
        </w:rPr>
        <w:t> </w:t>
      </w:r>
      <w:r>
        <w:rPr>
          <w:color w:val="231F20"/>
        </w:rPr>
        <w:t>the</w:t>
      </w:r>
      <w:r>
        <w:rPr>
          <w:color w:val="231F20"/>
          <w:spacing w:val="-3"/>
        </w:rPr>
        <w:t> </w:t>
      </w:r>
      <w:r>
        <w:rPr>
          <w:color w:val="231F20"/>
        </w:rPr>
        <w:t>base</w:t>
      </w:r>
      <w:r>
        <w:rPr>
          <w:color w:val="231F20"/>
          <w:spacing w:val="-4"/>
        </w:rPr>
        <w:t> </w:t>
      </w:r>
      <w:r>
        <w:rPr>
          <w:color w:val="231F20"/>
        </w:rPr>
        <w:t>amount.</w:t>
      </w:r>
      <w:r>
        <w:rPr>
          <w:color w:val="231F20"/>
          <w:spacing w:val="-3"/>
        </w:rPr>
        <w:t> </w:t>
      </w:r>
      <w:r>
        <w:rPr>
          <w:color w:val="231F20"/>
          <w:spacing w:val="-1"/>
        </w:rPr>
        <w:t>If</w:t>
      </w:r>
      <w:r>
        <w:rPr>
          <w:color w:val="231F20"/>
          <w:spacing w:val="-3"/>
        </w:rPr>
        <w:t> </w:t>
      </w:r>
      <w:r>
        <w:rPr>
          <w:color w:val="231F20"/>
          <w:spacing w:val="-1"/>
        </w:rPr>
        <w:t>100</w:t>
      </w:r>
      <w:r>
        <w:rPr>
          <w:color w:val="231F20"/>
          <w:spacing w:val="-3"/>
        </w:rPr>
        <w:t> </w:t>
      </w:r>
      <w:r>
        <w:rPr>
          <w:color w:val="231F20"/>
        </w:rPr>
        <w:t>per</w:t>
      </w:r>
      <w:r>
        <w:rPr>
          <w:color w:val="231F20"/>
          <w:spacing w:val="-2"/>
        </w:rPr>
        <w:t> </w:t>
      </w:r>
      <w:r>
        <w:rPr>
          <w:color w:val="231F20"/>
        </w:rPr>
        <w:t>cent</w:t>
      </w:r>
      <w:r>
        <w:rPr>
          <w:color w:val="231F20"/>
          <w:spacing w:val="-4"/>
        </w:rPr>
        <w:t> </w:t>
      </w:r>
      <w:r>
        <w:rPr>
          <w:color w:val="231F20"/>
        </w:rPr>
        <w:t>of</w:t>
      </w:r>
      <w:r>
        <w:rPr>
          <w:color w:val="231F20"/>
          <w:spacing w:val="-2"/>
        </w:rPr>
        <w:t> </w:t>
      </w:r>
      <w:r>
        <w:rPr>
          <w:color w:val="231F20"/>
        </w:rPr>
        <w:t>the</w:t>
      </w:r>
      <w:r>
        <w:rPr>
          <w:color w:val="231F20"/>
          <w:spacing w:val="-4"/>
        </w:rPr>
        <w:t> </w:t>
      </w:r>
      <w:r>
        <w:rPr>
          <w:color w:val="231F20"/>
          <w:spacing w:val="-1"/>
        </w:rPr>
        <w:t>students</w:t>
      </w:r>
      <w:r>
        <w:rPr>
          <w:color w:val="231F20"/>
          <w:spacing w:val="-3"/>
        </w:rPr>
        <w:t> </w:t>
      </w:r>
      <w:r>
        <w:rPr>
          <w:color w:val="231F20"/>
          <w:spacing w:val="-1"/>
        </w:rPr>
        <w:t>in</w:t>
      </w:r>
      <w:r>
        <w:rPr>
          <w:color w:val="231F20"/>
          <w:spacing w:val="-2"/>
        </w:rPr>
        <w:t> </w:t>
      </w:r>
      <w:r>
        <w:rPr>
          <w:color w:val="231F20"/>
        </w:rPr>
        <w:t>the</w:t>
      </w:r>
      <w:r>
        <w:rPr>
          <w:color w:val="231F20"/>
          <w:spacing w:val="-4"/>
        </w:rPr>
        <w:t> </w:t>
      </w:r>
      <w:r>
        <w:rPr>
          <w:color w:val="231F20"/>
          <w:spacing w:val="-1"/>
        </w:rPr>
        <w:t>school</w:t>
      </w:r>
      <w:r>
        <w:rPr>
          <w:color w:val="231F20"/>
          <w:spacing w:val="-2"/>
        </w:rPr>
        <w:t> </w:t>
      </w:r>
      <w:r>
        <w:rPr>
          <w:color w:val="231F20"/>
        </w:rPr>
        <w:t>are</w:t>
      </w:r>
      <w:r>
        <w:rPr>
          <w:color w:val="231F20"/>
          <w:spacing w:val="-4"/>
        </w:rPr>
        <w:t> </w:t>
      </w:r>
      <w:r>
        <w:rPr>
          <w:color w:val="231F20"/>
          <w:spacing w:val="-1"/>
        </w:rPr>
        <w:t>Indigenous</w:t>
      </w:r>
      <w:r>
        <w:rPr>
          <w:color w:val="231F20"/>
          <w:spacing w:val="27"/>
          <w:w w:val="99"/>
        </w:rPr>
        <w:t> </w:t>
      </w:r>
      <w:r>
        <w:rPr>
          <w:color w:val="231F20"/>
          <w:spacing w:val="-1"/>
        </w:rPr>
        <w:t>students,</w:t>
      </w:r>
      <w:r>
        <w:rPr>
          <w:color w:val="231F20"/>
          <w:spacing w:val="-4"/>
        </w:rPr>
        <w:t> </w:t>
      </w:r>
      <w:r>
        <w:rPr>
          <w:color w:val="231F20"/>
        </w:rPr>
        <w:t>the</w:t>
      </w:r>
      <w:r>
        <w:rPr>
          <w:color w:val="231F20"/>
          <w:spacing w:val="-5"/>
        </w:rPr>
        <w:t> </w:t>
      </w:r>
      <w:r>
        <w:rPr>
          <w:color w:val="231F20"/>
          <w:spacing w:val="-1"/>
        </w:rPr>
        <w:t>loading</w:t>
      </w:r>
      <w:r>
        <w:rPr>
          <w:color w:val="231F20"/>
          <w:spacing w:val="-4"/>
        </w:rPr>
        <w:t> </w:t>
      </w:r>
      <w:r>
        <w:rPr>
          <w:color w:val="231F20"/>
          <w:spacing w:val="-1"/>
        </w:rPr>
        <w:t>is</w:t>
      </w:r>
      <w:r>
        <w:rPr>
          <w:color w:val="231F20"/>
          <w:spacing w:val="-5"/>
        </w:rPr>
        <w:t> </w:t>
      </w:r>
      <w:r>
        <w:rPr>
          <w:color w:val="231F20"/>
          <w:spacing w:val="-1"/>
        </w:rPr>
        <w:t>120</w:t>
      </w:r>
      <w:r>
        <w:rPr>
          <w:color w:val="231F20"/>
          <w:spacing w:val="-4"/>
        </w:rPr>
        <w:t> </w:t>
      </w:r>
      <w:r>
        <w:rPr>
          <w:color w:val="231F20"/>
        </w:rPr>
        <w:t>per</w:t>
      </w:r>
      <w:r>
        <w:rPr>
          <w:color w:val="231F20"/>
          <w:spacing w:val="-4"/>
        </w:rPr>
        <w:t> </w:t>
      </w:r>
      <w:r>
        <w:rPr>
          <w:color w:val="231F20"/>
        </w:rPr>
        <w:t>cent</w:t>
      </w:r>
      <w:r>
        <w:rPr>
          <w:color w:val="231F20"/>
          <w:spacing w:val="-5"/>
        </w:rPr>
        <w:t> </w:t>
      </w:r>
      <w:r>
        <w:rPr>
          <w:color w:val="231F20"/>
        </w:rPr>
        <w:t>of</w:t>
      </w:r>
      <w:r>
        <w:rPr>
          <w:color w:val="231F20"/>
          <w:spacing w:val="-4"/>
        </w:rPr>
        <w:t> </w:t>
      </w:r>
      <w:r>
        <w:rPr>
          <w:color w:val="231F20"/>
        </w:rPr>
        <w:t>the</w:t>
      </w:r>
      <w:r>
        <w:rPr>
          <w:color w:val="231F20"/>
          <w:spacing w:val="-5"/>
        </w:rPr>
        <w:t> </w:t>
      </w:r>
      <w:r>
        <w:rPr>
          <w:color w:val="231F20"/>
        </w:rPr>
        <w:t>base</w:t>
      </w:r>
      <w:r>
        <w:rPr>
          <w:color w:val="231F20"/>
          <w:spacing w:val="-5"/>
        </w:rPr>
        <w:t> </w:t>
      </w:r>
      <w:r>
        <w:rPr>
          <w:color w:val="231F20"/>
        </w:rPr>
        <w:t>amount.</w:t>
      </w:r>
      <w:r>
        <w:rPr/>
      </w:r>
    </w:p>
    <w:p>
      <w:pPr>
        <w:pStyle w:val="BodyText"/>
        <w:spacing w:line="250" w:lineRule="exact" w:before="113"/>
        <w:ind w:left="100" w:right="167"/>
        <w:jc w:val="left"/>
      </w:pPr>
      <w:r>
        <w:rPr>
          <w:color w:val="231F20"/>
          <w:spacing w:val="-1"/>
        </w:rPr>
        <w:t>It</w:t>
      </w:r>
      <w:r>
        <w:rPr>
          <w:color w:val="231F20"/>
          <w:spacing w:val="-4"/>
        </w:rPr>
        <w:t> </w:t>
      </w:r>
      <w:r>
        <w:rPr>
          <w:color w:val="231F20"/>
          <w:spacing w:val="-1"/>
        </w:rPr>
        <w:t>is</w:t>
      </w:r>
      <w:r>
        <w:rPr>
          <w:color w:val="231F20"/>
          <w:spacing w:val="-5"/>
        </w:rPr>
        <w:t> </w:t>
      </w:r>
      <w:r>
        <w:rPr>
          <w:color w:val="231F20"/>
        </w:rPr>
        <w:t>estimated</w:t>
      </w:r>
      <w:r>
        <w:rPr>
          <w:color w:val="231F20"/>
          <w:spacing w:val="-4"/>
        </w:rPr>
        <w:t> </w:t>
      </w:r>
      <w:r>
        <w:rPr>
          <w:color w:val="231F20"/>
        </w:rPr>
        <w:t>the</w:t>
      </w:r>
      <w:r>
        <w:rPr>
          <w:color w:val="231F20"/>
          <w:spacing w:val="-5"/>
        </w:rPr>
        <w:t> </w:t>
      </w:r>
      <w:r>
        <w:rPr>
          <w:color w:val="231F20"/>
        </w:rPr>
        <w:t>Aboriginal</w:t>
      </w:r>
      <w:r>
        <w:rPr>
          <w:color w:val="231F20"/>
          <w:spacing w:val="-4"/>
        </w:rPr>
        <w:t> </w:t>
      </w:r>
      <w:r>
        <w:rPr>
          <w:color w:val="231F20"/>
        </w:rPr>
        <w:t>and</w:t>
      </w:r>
      <w:r>
        <w:rPr>
          <w:color w:val="231F20"/>
          <w:spacing w:val="-4"/>
        </w:rPr>
        <w:t> </w:t>
      </w:r>
      <w:r>
        <w:rPr>
          <w:color w:val="231F20"/>
          <w:spacing w:val="-5"/>
        </w:rPr>
        <w:t>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3"/>
        </w:rPr>
        <w:t> </w:t>
      </w:r>
      <w:r>
        <w:rPr>
          <w:color w:val="231F20"/>
          <w:spacing w:val="-1"/>
        </w:rPr>
        <w:t>student</w:t>
      </w:r>
      <w:r>
        <w:rPr>
          <w:color w:val="231F20"/>
          <w:spacing w:val="-4"/>
        </w:rPr>
        <w:t> </w:t>
      </w:r>
      <w:r>
        <w:rPr>
          <w:color w:val="231F20"/>
          <w:spacing w:val="-1"/>
        </w:rPr>
        <w:t>loading</w:t>
      </w:r>
      <w:r>
        <w:rPr>
          <w:color w:val="231F20"/>
          <w:spacing w:val="-4"/>
        </w:rPr>
        <w:t> </w:t>
      </w:r>
      <w:r>
        <w:rPr>
          <w:color w:val="231F20"/>
        </w:rPr>
        <w:t>will</w:t>
      </w:r>
      <w:r>
        <w:rPr>
          <w:color w:val="231F20"/>
          <w:spacing w:val="-4"/>
        </w:rPr>
        <w:t> </w:t>
      </w:r>
      <w:r>
        <w:rPr>
          <w:color w:val="231F20"/>
        </w:rPr>
        <w:t>account</w:t>
      </w:r>
      <w:r>
        <w:rPr>
          <w:color w:val="231F20"/>
          <w:spacing w:val="-5"/>
        </w:rPr>
        <w:t> </w:t>
      </w:r>
      <w:r>
        <w:rPr>
          <w:color w:val="231F20"/>
        </w:rPr>
        <w:t>for</w:t>
      </w:r>
      <w:r>
        <w:rPr>
          <w:color w:val="231F20"/>
          <w:spacing w:val="-4"/>
        </w:rPr>
        <w:t> </w:t>
      </w:r>
      <w:r>
        <w:rPr>
          <w:color w:val="231F20"/>
          <w:spacing w:val="-1"/>
        </w:rPr>
        <w:t>1.7</w:t>
      </w:r>
      <w:r>
        <w:rPr>
          <w:color w:val="231F20"/>
          <w:spacing w:val="-3"/>
        </w:rPr>
        <w:t> </w:t>
      </w:r>
      <w:r>
        <w:rPr>
          <w:color w:val="231F20"/>
        </w:rPr>
        <w:t>per</w:t>
      </w:r>
      <w:r>
        <w:rPr>
          <w:color w:val="231F20"/>
          <w:spacing w:val="-4"/>
        </w:rPr>
        <w:t> </w:t>
      </w:r>
      <w:r>
        <w:rPr>
          <w:color w:val="231F20"/>
        </w:rPr>
        <w:t>cent</w:t>
      </w:r>
      <w:r>
        <w:rPr>
          <w:color w:val="231F20"/>
          <w:spacing w:val="31"/>
          <w:w w:val="99"/>
        </w:rPr>
        <w:t> </w:t>
      </w:r>
      <w:r>
        <w:rPr>
          <w:color w:val="231F20"/>
        </w:rPr>
        <w:t>of</w:t>
      </w:r>
      <w:r>
        <w:rPr>
          <w:color w:val="231F20"/>
          <w:spacing w:val="-6"/>
        </w:rPr>
        <w:t> </w:t>
      </w:r>
      <w:r>
        <w:rPr>
          <w:color w:val="231F20"/>
          <w:spacing w:val="-1"/>
        </w:rPr>
        <w:t>Commonwealth</w:t>
      </w:r>
      <w:r>
        <w:rPr>
          <w:color w:val="231F20"/>
          <w:spacing w:val="-6"/>
        </w:rPr>
        <w:t> </w:t>
      </w:r>
      <w:r>
        <w:rPr>
          <w:color w:val="231F20"/>
        </w:rPr>
        <w:t>recurrent</w:t>
      </w:r>
      <w:r>
        <w:rPr>
          <w:color w:val="231F20"/>
          <w:spacing w:val="-7"/>
        </w:rPr>
        <w:t> </w:t>
      </w:r>
      <w:r>
        <w:rPr>
          <w:color w:val="231F20"/>
          <w:spacing w:val="-1"/>
        </w:rPr>
        <w:t>school</w:t>
      </w:r>
      <w:r>
        <w:rPr>
          <w:color w:val="231F20"/>
          <w:spacing w:val="-6"/>
        </w:rPr>
        <w:t> </w:t>
      </w:r>
      <w:r>
        <w:rPr>
          <w:color w:val="231F20"/>
        </w:rPr>
        <w:t>funding</w:t>
      </w:r>
      <w:r>
        <w:rPr>
          <w:color w:val="231F20"/>
          <w:spacing w:val="-6"/>
        </w:rPr>
        <w:t> </w:t>
      </w:r>
      <w:r>
        <w:rPr>
          <w:color w:val="231F20"/>
        </w:rPr>
        <w:t>expenditure</w:t>
      </w:r>
      <w:r>
        <w:rPr>
          <w:color w:val="231F20"/>
          <w:spacing w:val="-7"/>
        </w:rPr>
        <w:t> </w:t>
      </w:r>
      <w:r>
        <w:rPr>
          <w:color w:val="231F20"/>
          <w:spacing w:val="-1"/>
        </w:rPr>
        <w:t>in</w:t>
      </w:r>
      <w:r>
        <w:rPr>
          <w:color w:val="231F20"/>
          <w:spacing w:val="-6"/>
        </w:rPr>
        <w:t> </w:t>
      </w:r>
      <w:r>
        <w:rPr>
          <w:color w:val="231F20"/>
        </w:rPr>
        <w:t>2019.</w:t>
      </w:r>
      <w:r>
        <w:rPr/>
      </w:r>
    </w:p>
    <w:p>
      <w:pPr>
        <w:pStyle w:val="BodyText"/>
        <w:spacing w:line="250" w:lineRule="exact" w:before="113"/>
        <w:ind w:left="100" w:right="210"/>
        <w:jc w:val="left"/>
      </w:pPr>
      <w:r>
        <w:rPr>
          <w:color w:val="231F20"/>
          <w:spacing w:val="-1"/>
        </w:rPr>
        <w:t>Funding</w:t>
      </w:r>
      <w:r>
        <w:rPr>
          <w:color w:val="231F20"/>
          <w:spacing w:val="-5"/>
        </w:rPr>
        <w:t> </w:t>
      </w:r>
      <w:r>
        <w:rPr>
          <w:color w:val="231F20"/>
        </w:rPr>
        <w:t>for</w:t>
      </w:r>
      <w:r>
        <w:rPr>
          <w:color w:val="231F20"/>
          <w:spacing w:val="-4"/>
        </w:rPr>
        <w:t> </w:t>
      </w:r>
      <w:r>
        <w:rPr>
          <w:color w:val="231F20"/>
        </w:rPr>
        <w:t>the</w:t>
      </w:r>
      <w:r>
        <w:rPr>
          <w:color w:val="231F20"/>
          <w:spacing w:val="-5"/>
        </w:rPr>
        <w:t> </w:t>
      </w:r>
      <w:r>
        <w:rPr>
          <w:color w:val="231F20"/>
        </w:rPr>
        <w:t>Aboriginal</w:t>
      </w:r>
      <w:r>
        <w:rPr>
          <w:color w:val="231F20"/>
          <w:spacing w:val="-4"/>
        </w:rPr>
        <w:t> </w:t>
      </w:r>
      <w:r>
        <w:rPr>
          <w:color w:val="231F20"/>
        </w:rPr>
        <w:t>and</w:t>
      </w:r>
      <w:r>
        <w:rPr>
          <w:color w:val="231F20"/>
          <w:spacing w:val="-5"/>
        </w:rPr>
        <w:t> Torres</w:t>
      </w:r>
      <w:r>
        <w:rPr>
          <w:color w:val="231F20"/>
          <w:spacing w:val="-4"/>
        </w:rPr>
        <w:t> </w:t>
      </w:r>
      <w:r>
        <w:rPr>
          <w:color w:val="231F20"/>
          <w:spacing w:val="-2"/>
        </w:rPr>
        <w:t>Strait</w:t>
      </w:r>
      <w:r>
        <w:rPr>
          <w:color w:val="231F20"/>
          <w:spacing w:val="-5"/>
        </w:rPr>
        <w:t> </w:t>
      </w:r>
      <w:r>
        <w:rPr>
          <w:color w:val="231F20"/>
          <w:spacing w:val="-1"/>
        </w:rPr>
        <w:t>Islander</w:t>
      </w:r>
      <w:r>
        <w:rPr>
          <w:color w:val="231F20"/>
          <w:spacing w:val="-4"/>
        </w:rPr>
        <w:t> </w:t>
      </w:r>
      <w:r>
        <w:rPr>
          <w:color w:val="231F20"/>
          <w:spacing w:val="-1"/>
        </w:rPr>
        <w:t>student</w:t>
      </w:r>
      <w:r>
        <w:rPr>
          <w:color w:val="231F20"/>
          <w:spacing w:val="-4"/>
        </w:rPr>
        <w:t> </w:t>
      </w:r>
      <w:r>
        <w:rPr>
          <w:color w:val="231F20"/>
          <w:spacing w:val="-1"/>
        </w:rPr>
        <w:t>loading</w:t>
      </w:r>
      <w:r>
        <w:rPr>
          <w:color w:val="231F20"/>
          <w:spacing w:val="-5"/>
        </w:rPr>
        <w:t> </w:t>
      </w:r>
      <w:r>
        <w:rPr>
          <w:color w:val="231F20"/>
          <w:spacing w:val="-1"/>
        </w:rPr>
        <w:t>is</w:t>
      </w:r>
      <w:r>
        <w:rPr>
          <w:color w:val="231F20"/>
          <w:spacing w:val="-5"/>
        </w:rPr>
        <w:t> </w:t>
      </w:r>
      <w:r>
        <w:rPr>
          <w:color w:val="231F20"/>
        </w:rPr>
        <w:t>estimated</w:t>
      </w:r>
      <w:r>
        <w:rPr>
          <w:color w:val="231F20"/>
          <w:spacing w:val="-5"/>
        </w:rPr>
        <w:t> </w:t>
      </w:r>
      <w:r>
        <w:rPr>
          <w:color w:val="231F20"/>
        </w:rPr>
        <w:t>to</w:t>
      </w:r>
      <w:r>
        <w:rPr>
          <w:color w:val="231F20"/>
          <w:spacing w:val="-4"/>
        </w:rPr>
        <w:t> </w:t>
      </w:r>
      <w:r>
        <w:rPr>
          <w:color w:val="231F20"/>
        </w:rPr>
        <w:t>grow,</w:t>
      </w:r>
      <w:r>
        <w:rPr>
          <w:color w:val="231F20"/>
          <w:spacing w:val="-4"/>
        </w:rPr>
        <w:t> </w:t>
      </w:r>
      <w:r>
        <w:rPr>
          <w:color w:val="231F20"/>
        </w:rPr>
        <w:t>on</w:t>
      </w:r>
      <w:r>
        <w:rPr>
          <w:color w:val="231F20"/>
          <w:spacing w:val="29"/>
          <w:w w:val="99"/>
        </w:rPr>
        <w:t> </w:t>
      </w:r>
      <w:r>
        <w:rPr>
          <w:color w:val="231F20"/>
        </w:rPr>
        <w:t>average,</w:t>
      </w:r>
      <w:r>
        <w:rPr>
          <w:color w:val="231F20"/>
          <w:spacing w:val="-5"/>
        </w:rPr>
        <w:t> </w:t>
      </w:r>
      <w:r>
        <w:rPr>
          <w:color w:val="231F20"/>
        </w:rPr>
        <w:t>by</w:t>
      </w:r>
      <w:r>
        <w:rPr>
          <w:color w:val="231F20"/>
          <w:spacing w:val="-3"/>
        </w:rPr>
        <w:t> </w:t>
      </w:r>
      <w:r>
        <w:rPr>
          <w:color w:val="231F20"/>
          <w:spacing w:val="-1"/>
        </w:rPr>
        <w:t>4.6</w:t>
      </w:r>
      <w:r>
        <w:rPr>
          <w:color w:val="231F20"/>
          <w:spacing w:val="-3"/>
        </w:rPr>
        <w:t> </w:t>
      </w:r>
      <w:r>
        <w:rPr>
          <w:color w:val="231F20"/>
        </w:rPr>
        <w:t>per</w:t>
      </w:r>
      <w:r>
        <w:rPr>
          <w:color w:val="231F20"/>
          <w:spacing w:val="-3"/>
        </w:rPr>
        <w:t> </w:t>
      </w:r>
      <w:r>
        <w:rPr>
          <w:color w:val="231F20"/>
        </w:rPr>
        <w:t>cent</w:t>
      </w:r>
      <w:r>
        <w:rPr>
          <w:color w:val="231F20"/>
          <w:spacing w:val="-4"/>
        </w:rPr>
        <w:t> </w:t>
      </w:r>
      <w:r>
        <w:rPr>
          <w:color w:val="231F20"/>
        </w:rPr>
        <w:t>per</w:t>
      </w:r>
      <w:r>
        <w:rPr>
          <w:color w:val="231F20"/>
          <w:spacing w:val="-3"/>
        </w:rPr>
        <w:t> </w:t>
      </w:r>
      <w:r>
        <w:rPr>
          <w:color w:val="231F20"/>
        </w:rPr>
        <w:t>year</w:t>
      </w:r>
      <w:r>
        <w:rPr>
          <w:color w:val="231F20"/>
          <w:spacing w:val="-3"/>
        </w:rPr>
        <w:t> </w:t>
      </w:r>
      <w:r>
        <w:rPr>
          <w:color w:val="231F20"/>
        </w:rPr>
        <w:t>over</w:t>
      </w:r>
      <w:r>
        <w:rPr>
          <w:color w:val="231F20"/>
          <w:spacing w:val="-3"/>
        </w:rPr>
        <w:t> </w:t>
      </w:r>
      <w:r>
        <w:rPr>
          <w:color w:val="231F20"/>
          <w:spacing w:val="-1"/>
        </w:rPr>
        <w:t>2018</w:t>
      </w:r>
      <w:r>
        <w:rPr>
          <w:color w:val="231F20"/>
          <w:spacing w:val="-4"/>
        </w:rPr>
        <w:t> </w:t>
      </w:r>
      <w:r>
        <w:rPr>
          <w:color w:val="231F20"/>
        </w:rPr>
        <w:t>to</w:t>
      </w:r>
      <w:r>
        <w:rPr>
          <w:color w:val="231F20"/>
          <w:spacing w:val="-3"/>
        </w:rPr>
        <w:t> </w:t>
      </w:r>
      <w:r>
        <w:rPr>
          <w:color w:val="231F20"/>
        </w:rPr>
        <w:t>2029.</w:t>
      </w:r>
      <w:r>
        <w:rPr/>
      </w:r>
    </w:p>
    <w:p>
      <w:pPr>
        <w:spacing w:line="240" w:lineRule="auto" w:before="9"/>
        <w:rPr>
          <w:rFonts w:ascii="Segoe UI" w:hAnsi="Segoe UI" w:cs="Segoe UI" w:eastAsia="Segoe UI"/>
          <w:sz w:val="19"/>
          <w:szCs w:val="19"/>
        </w:rPr>
      </w:pPr>
    </w:p>
    <w:p>
      <w:pPr>
        <w:pStyle w:val="Heading5"/>
        <w:spacing w:line="240" w:lineRule="auto"/>
        <w:ind w:left="100" w:right="0"/>
        <w:jc w:val="left"/>
        <w:rPr>
          <w:i w:val="0"/>
        </w:rPr>
      </w:pPr>
      <w:r>
        <w:rPr>
          <w:b/>
          <w:i/>
          <w:color w:val="00779B"/>
          <w:spacing w:val="-1"/>
        </w:rPr>
        <w:t>Socio</w:t>
      </w:r>
      <w:r>
        <w:rPr>
          <w:b/>
          <w:i/>
          <w:color w:val="00779B"/>
        </w:rPr>
        <w:t> </w:t>
      </w:r>
      <w:r>
        <w:rPr>
          <w:b/>
          <w:i/>
          <w:color w:val="00779B"/>
          <w:spacing w:val="-1"/>
        </w:rPr>
        <w:t>educational</w:t>
      </w:r>
      <w:r>
        <w:rPr>
          <w:b/>
          <w:i/>
          <w:color w:val="00779B"/>
          <w:spacing w:val="1"/>
        </w:rPr>
        <w:t> </w:t>
      </w:r>
      <w:r>
        <w:rPr>
          <w:b/>
          <w:i/>
          <w:color w:val="00779B"/>
          <w:spacing w:val="-2"/>
        </w:rPr>
        <w:t>disadvantage</w:t>
      </w:r>
      <w:r>
        <w:rPr>
          <w:b/>
          <w:i/>
          <w:color w:val="00779B"/>
        </w:rPr>
        <w:t> </w:t>
      </w:r>
      <w:r>
        <w:rPr>
          <w:b/>
          <w:i/>
          <w:color w:val="00779B"/>
          <w:spacing w:val="-2"/>
        </w:rPr>
        <w:t>loading</w:t>
      </w:r>
      <w:r>
        <w:rPr>
          <w:i w:val="0"/>
        </w:rPr>
      </w:r>
    </w:p>
    <w:p>
      <w:pPr>
        <w:pStyle w:val="BodyText"/>
        <w:spacing w:line="250" w:lineRule="exact" w:before="131"/>
        <w:ind w:left="100" w:right="167"/>
        <w:jc w:val="left"/>
      </w:pPr>
      <w:r>
        <w:rPr>
          <w:color w:val="231F20"/>
        </w:rPr>
        <w:t>This</w:t>
      </w:r>
      <w:r>
        <w:rPr>
          <w:color w:val="231F20"/>
          <w:spacing w:val="-5"/>
        </w:rPr>
        <w:t> </w:t>
      </w:r>
      <w:r>
        <w:rPr>
          <w:color w:val="231F20"/>
          <w:spacing w:val="-1"/>
        </w:rPr>
        <w:t>loading</w:t>
      </w:r>
      <w:r>
        <w:rPr>
          <w:color w:val="231F20"/>
          <w:spacing w:val="-5"/>
        </w:rPr>
        <w:t> </w:t>
      </w:r>
      <w:r>
        <w:rPr>
          <w:color w:val="231F20"/>
        </w:rPr>
        <w:t>provides</w:t>
      </w:r>
      <w:r>
        <w:rPr>
          <w:color w:val="231F20"/>
          <w:spacing w:val="-5"/>
        </w:rPr>
        <w:t> </w:t>
      </w:r>
      <w:r>
        <w:rPr>
          <w:color w:val="231F20"/>
        </w:rPr>
        <w:t>extra</w:t>
      </w:r>
      <w:r>
        <w:rPr>
          <w:color w:val="231F20"/>
          <w:spacing w:val="-4"/>
        </w:rPr>
        <w:t> </w:t>
      </w:r>
      <w:r>
        <w:rPr>
          <w:color w:val="231F20"/>
        </w:rPr>
        <w:t>funding</w:t>
      </w:r>
      <w:r>
        <w:rPr>
          <w:color w:val="231F20"/>
          <w:spacing w:val="-4"/>
        </w:rPr>
        <w:t> </w:t>
      </w:r>
      <w:r>
        <w:rPr>
          <w:color w:val="231F20"/>
        </w:rPr>
        <w:t>on</w:t>
      </w:r>
      <w:r>
        <w:rPr>
          <w:color w:val="231F20"/>
          <w:spacing w:val="-4"/>
        </w:rPr>
        <w:t> </w:t>
      </w:r>
      <w:r>
        <w:rPr>
          <w:color w:val="231F20"/>
        </w:rPr>
        <w:t>top</w:t>
      </w:r>
      <w:r>
        <w:rPr>
          <w:color w:val="231F20"/>
          <w:spacing w:val="-5"/>
        </w:rPr>
        <w:t> </w:t>
      </w:r>
      <w:r>
        <w:rPr>
          <w:color w:val="231F20"/>
        </w:rPr>
        <w:t>of</w:t>
      </w:r>
      <w:r>
        <w:rPr>
          <w:color w:val="231F20"/>
          <w:spacing w:val="-4"/>
        </w:rPr>
        <w:t> </w:t>
      </w:r>
      <w:r>
        <w:rPr>
          <w:color w:val="231F20"/>
        </w:rPr>
        <w:t>the</w:t>
      </w:r>
      <w:r>
        <w:rPr>
          <w:color w:val="231F20"/>
          <w:spacing w:val="-5"/>
        </w:rPr>
        <w:t> </w:t>
      </w:r>
      <w:r>
        <w:rPr>
          <w:color w:val="231F20"/>
        </w:rPr>
        <w:t>base</w:t>
      </w:r>
      <w:r>
        <w:rPr>
          <w:color w:val="231F20"/>
          <w:spacing w:val="-5"/>
        </w:rPr>
        <w:t> </w:t>
      </w:r>
      <w:r>
        <w:rPr>
          <w:color w:val="231F20"/>
        </w:rPr>
        <w:t>amount</w:t>
      </w:r>
      <w:r>
        <w:rPr>
          <w:color w:val="231F20"/>
          <w:spacing w:val="-5"/>
        </w:rPr>
        <w:t> </w:t>
      </w:r>
      <w:r>
        <w:rPr>
          <w:color w:val="231F20"/>
        </w:rPr>
        <w:t>for</w:t>
      </w:r>
      <w:r>
        <w:rPr>
          <w:color w:val="231F20"/>
          <w:spacing w:val="-4"/>
        </w:rPr>
        <w:t> </w:t>
      </w:r>
      <w:r>
        <w:rPr>
          <w:color w:val="231F20"/>
        </w:rPr>
        <w:t>each</w:t>
      </w:r>
      <w:r>
        <w:rPr>
          <w:color w:val="231F20"/>
          <w:spacing w:val="-4"/>
        </w:rPr>
        <w:t> </w:t>
      </w:r>
      <w:r>
        <w:rPr>
          <w:color w:val="231F20"/>
          <w:spacing w:val="-1"/>
        </w:rPr>
        <w:t>student</w:t>
      </w:r>
      <w:r>
        <w:rPr>
          <w:color w:val="231F20"/>
          <w:spacing w:val="-4"/>
        </w:rPr>
        <w:t> </w:t>
      </w:r>
      <w:r>
        <w:rPr>
          <w:color w:val="231F20"/>
        </w:rPr>
        <w:t>from</w:t>
      </w:r>
      <w:r>
        <w:rPr>
          <w:color w:val="231F20"/>
          <w:spacing w:val="-4"/>
        </w:rPr>
        <w:t> </w:t>
      </w:r>
      <w:r>
        <w:rPr>
          <w:color w:val="231F20"/>
        </w:rPr>
        <w:t>a</w:t>
      </w:r>
      <w:r>
        <w:rPr>
          <w:color w:val="231F20"/>
          <w:spacing w:val="-4"/>
        </w:rPr>
        <w:t> </w:t>
      </w:r>
      <w:r>
        <w:rPr>
          <w:color w:val="231F20"/>
          <w:spacing w:val="-1"/>
        </w:rPr>
        <w:t>socio</w:t>
      </w:r>
      <w:r>
        <w:rPr>
          <w:color w:val="231F20"/>
          <w:spacing w:val="22"/>
        </w:rPr>
        <w:t> </w:t>
      </w:r>
      <w:r>
        <w:rPr>
          <w:color w:val="231F20"/>
        </w:rPr>
        <w:t>educationally</w:t>
      </w:r>
      <w:r>
        <w:rPr>
          <w:color w:val="231F20"/>
          <w:spacing w:val="-19"/>
        </w:rPr>
        <w:t> </w:t>
      </w:r>
      <w:r>
        <w:rPr>
          <w:color w:val="231F20"/>
        </w:rPr>
        <w:t>disadvantaged</w:t>
      </w:r>
      <w:r>
        <w:rPr>
          <w:color w:val="231F20"/>
          <w:spacing w:val="-19"/>
        </w:rPr>
        <w:t> </w:t>
      </w:r>
      <w:r>
        <w:rPr>
          <w:color w:val="231F20"/>
        </w:rPr>
        <w:t>background.</w:t>
      </w:r>
      <w:r>
        <w:rPr/>
      </w:r>
    </w:p>
    <w:p>
      <w:pPr>
        <w:pStyle w:val="BodyText"/>
        <w:spacing w:line="250" w:lineRule="exact" w:before="113"/>
        <w:ind w:left="100" w:right="210"/>
        <w:jc w:val="left"/>
      </w:pPr>
      <w:r>
        <w:rPr>
          <w:color w:val="231F20"/>
        </w:rPr>
        <w:t>The</w:t>
      </w:r>
      <w:r>
        <w:rPr>
          <w:color w:val="231F20"/>
          <w:spacing w:val="-4"/>
        </w:rPr>
        <w:t> </w:t>
      </w:r>
      <w:r>
        <w:rPr>
          <w:color w:val="231F20"/>
          <w:spacing w:val="-1"/>
        </w:rPr>
        <w:t>loading</w:t>
      </w:r>
      <w:r>
        <w:rPr>
          <w:color w:val="231F20"/>
          <w:spacing w:val="-4"/>
        </w:rPr>
        <w:t> </w:t>
      </w:r>
      <w:r>
        <w:rPr>
          <w:color w:val="231F20"/>
        </w:rPr>
        <w:t>amount</w:t>
      </w:r>
      <w:r>
        <w:rPr>
          <w:color w:val="231F20"/>
          <w:spacing w:val="-5"/>
        </w:rPr>
        <w:t> </w:t>
      </w:r>
      <w:r>
        <w:rPr>
          <w:color w:val="231F20"/>
          <w:spacing w:val="-1"/>
        </w:rPr>
        <w:t>is</w:t>
      </w:r>
      <w:r>
        <w:rPr>
          <w:color w:val="231F20"/>
          <w:spacing w:val="-4"/>
        </w:rPr>
        <w:t> </w:t>
      </w:r>
      <w:r>
        <w:rPr>
          <w:color w:val="231F20"/>
        </w:rPr>
        <w:t>based</w:t>
      </w:r>
      <w:r>
        <w:rPr>
          <w:color w:val="231F20"/>
          <w:spacing w:val="-5"/>
        </w:rPr>
        <w:t> </w:t>
      </w:r>
      <w:r>
        <w:rPr>
          <w:color w:val="231F20"/>
        </w:rPr>
        <w:t>on</w:t>
      </w:r>
      <w:r>
        <w:rPr>
          <w:color w:val="231F20"/>
          <w:spacing w:val="-4"/>
        </w:rPr>
        <w:t> </w:t>
      </w:r>
      <w:r>
        <w:rPr>
          <w:color w:val="231F20"/>
        </w:rPr>
        <w:t>the</w:t>
      </w:r>
      <w:r>
        <w:rPr>
          <w:color w:val="231F20"/>
          <w:spacing w:val="-5"/>
        </w:rPr>
        <w:t> </w:t>
      </w:r>
      <w:r>
        <w:rPr>
          <w:color w:val="231F20"/>
        </w:rPr>
        <w:t>percentage</w:t>
      </w:r>
      <w:r>
        <w:rPr>
          <w:color w:val="231F20"/>
          <w:spacing w:val="-4"/>
        </w:rPr>
        <w:t> </w:t>
      </w:r>
      <w:r>
        <w:rPr>
          <w:color w:val="231F20"/>
        </w:rPr>
        <w:t>of</w:t>
      </w:r>
      <w:r>
        <w:rPr>
          <w:color w:val="231F20"/>
          <w:spacing w:val="-4"/>
        </w:rPr>
        <w:t> </w:t>
      </w:r>
      <w:r>
        <w:rPr>
          <w:color w:val="231F20"/>
          <w:spacing w:val="-1"/>
        </w:rPr>
        <w:t>students</w:t>
      </w:r>
      <w:r>
        <w:rPr>
          <w:color w:val="231F20"/>
          <w:spacing w:val="-4"/>
        </w:rPr>
        <w:t> </w:t>
      </w:r>
      <w:r>
        <w:rPr>
          <w:color w:val="231F20"/>
          <w:spacing w:val="-1"/>
        </w:rPr>
        <w:t>in</w:t>
      </w:r>
      <w:r>
        <w:rPr>
          <w:color w:val="231F20"/>
          <w:spacing w:val="-4"/>
        </w:rPr>
        <w:t> </w:t>
      </w:r>
      <w:r>
        <w:rPr>
          <w:color w:val="231F20"/>
        </w:rPr>
        <w:t>the</w:t>
      </w:r>
      <w:r>
        <w:rPr>
          <w:color w:val="231F20"/>
          <w:spacing w:val="-4"/>
        </w:rPr>
        <w:t> </w:t>
      </w:r>
      <w:r>
        <w:rPr>
          <w:color w:val="231F20"/>
          <w:spacing w:val="-1"/>
        </w:rPr>
        <w:t>lowest</w:t>
      </w:r>
      <w:r>
        <w:rPr>
          <w:color w:val="231F20"/>
          <w:spacing w:val="-4"/>
        </w:rPr>
        <w:t> </w:t>
      </w:r>
      <w:r>
        <w:rPr>
          <w:color w:val="231F20"/>
        </w:rPr>
        <w:t>two</w:t>
      </w:r>
      <w:r>
        <w:rPr>
          <w:color w:val="231F20"/>
          <w:spacing w:val="-4"/>
        </w:rPr>
        <w:t> </w:t>
      </w:r>
      <w:r>
        <w:rPr>
          <w:color w:val="231F20"/>
        </w:rPr>
        <w:t>quartiles</w:t>
      </w:r>
      <w:r>
        <w:rPr>
          <w:color w:val="231F20"/>
          <w:spacing w:val="-5"/>
        </w:rPr>
        <w:t> </w:t>
      </w:r>
      <w:r>
        <w:rPr>
          <w:color w:val="231F20"/>
        </w:rPr>
        <w:t>of</w:t>
      </w:r>
      <w:r>
        <w:rPr>
          <w:color w:val="231F20"/>
          <w:spacing w:val="-4"/>
        </w:rPr>
        <w:t> </w:t>
      </w:r>
      <w:r>
        <w:rPr>
          <w:color w:val="231F20"/>
          <w:spacing w:val="-1"/>
        </w:rPr>
        <w:t>socio</w:t>
      </w:r>
      <w:r>
        <w:rPr>
          <w:color w:val="231F20"/>
          <w:spacing w:val="25"/>
        </w:rPr>
        <w:t> </w:t>
      </w:r>
      <w:r>
        <w:rPr>
          <w:color w:val="231F20"/>
        </w:rPr>
        <w:t>educational</w:t>
      </w:r>
      <w:r>
        <w:rPr>
          <w:color w:val="231F20"/>
          <w:spacing w:val="-8"/>
        </w:rPr>
        <w:t> </w:t>
      </w:r>
      <w:r>
        <w:rPr>
          <w:color w:val="231F20"/>
        </w:rPr>
        <w:t>advantage</w:t>
      </w:r>
      <w:r>
        <w:rPr>
          <w:color w:val="231F20"/>
          <w:spacing w:val="-8"/>
        </w:rPr>
        <w:t> </w:t>
      </w:r>
      <w:r>
        <w:rPr>
          <w:color w:val="231F20"/>
        </w:rPr>
        <w:t>(SEA)</w:t>
      </w:r>
      <w:r>
        <w:rPr>
          <w:color w:val="231F20"/>
          <w:spacing w:val="-8"/>
        </w:rPr>
        <w:t> </w:t>
      </w:r>
      <w:r>
        <w:rPr>
          <w:color w:val="231F20"/>
        </w:rPr>
        <w:t>developed</w:t>
      </w:r>
      <w:r>
        <w:rPr>
          <w:color w:val="231F20"/>
          <w:spacing w:val="-8"/>
        </w:rPr>
        <w:t> </w:t>
      </w:r>
      <w:r>
        <w:rPr>
          <w:color w:val="231F20"/>
        </w:rPr>
        <w:t>by</w:t>
      </w:r>
      <w:r>
        <w:rPr>
          <w:color w:val="231F20"/>
          <w:spacing w:val="-6"/>
        </w:rPr>
        <w:t> </w:t>
      </w:r>
      <w:r>
        <w:rPr>
          <w:color w:val="231F20"/>
        </w:rPr>
        <w:t>the</w:t>
      </w:r>
      <w:r>
        <w:rPr>
          <w:color w:val="231F20"/>
          <w:spacing w:val="-8"/>
        </w:rPr>
        <w:t> </w:t>
      </w:r>
      <w:r>
        <w:rPr>
          <w:color w:val="231F20"/>
        </w:rPr>
        <w:t>Australian</w:t>
      </w:r>
      <w:r>
        <w:rPr>
          <w:color w:val="231F20"/>
          <w:spacing w:val="-7"/>
        </w:rPr>
        <w:t> </w:t>
      </w:r>
      <w:r>
        <w:rPr>
          <w:color w:val="231F20"/>
          <w:spacing w:val="-1"/>
        </w:rPr>
        <w:t>Curriculum,</w:t>
      </w:r>
      <w:r>
        <w:rPr>
          <w:color w:val="231F20"/>
          <w:spacing w:val="-7"/>
        </w:rPr>
        <w:t> </w:t>
      </w:r>
      <w:r>
        <w:rPr>
          <w:color w:val="231F20"/>
        </w:rPr>
        <w:t>Assessment</w:t>
      </w:r>
      <w:r>
        <w:rPr>
          <w:color w:val="231F20"/>
          <w:spacing w:val="-8"/>
        </w:rPr>
        <w:t> </w:t>
      </w:r>
      <w:r>
        <w:rPr>
          <w:color w:val="231F20"/>
        </w:rPr>
        <w:t>and</w:t>
      </w:r>
      <w:r>
        <w:rPr>
          <w:color w:val="231F20"/>
          <w:spacing w:val="-8"/>
        </w:rPr>
        <w:t> </w:t>
      </w:r>
      <w:r>
        <w:rPr>
          <w:color w:val="231F20"/>
          <w:spacing w:val="-1"/>
        </w:rPr>
        <w:t>Reporting</w:t>
      </w:r>
      <w:r>
        <w:rPr>
          <w:color w:val="231F20"/>
          <w:spacing w:val="24"/>
          <w:w w:val="99"/>
        </w:rPr>
        <w:t> </w:t>
      </w:r>
      <w:r>
        <w:rPr>
          <w:color w:val="231F20"/>
        </w:rPr>
        <w:t>Authority.</w:t>
      </w:r>
      <w:r>
        <w:rPr>
          <w:color w:val="231F20"/>
          <w:spacing w:val="-5"/>
        </w:rPr>
        <w:t> </w:t>
      </w:r>
      <w:r>
        <w:rPr>
          <w:color w:val="231F20"/>
        </w:rPr>
        <w:t>The</w:t>
      </w:r>
      <w:r>
        <w:rPr>
          <w:color w:val="231F20"/>
          <w:spacing w:val="-4"/>
        </w:rPr>
        <w:t> </w:t>
      </w:r>
      <w:r>
        <w:rPr>
          <w:color w:val="231F20"/>
          <w:spacing w:val="-1"/>
        </w:rPr>
        <w:t>SEA</w:t>
      </w:r>
      <w:r>
        <w:rPr>
          <w:color w:val="231F20"/>
          <w:spacing w:val="-4"/>
        </w:rPr>
        <w:t> </w:t>
      </w:r>
      <w:r>
        <w:rPr>
          <w:color w:val="231F20"/>
          <w:spacing w:val="-1"/>
        </w:rPr>
        <w:t>measures</w:t>
      </w:r>
      <w:r>
        <w:rPr>
          <w:color w:val="231F20"/>
          <w:spacing w:val="-4"/>
        </w:rPr>
        <w:t> </w:t>
      </w:r>
      <w:r>
        <w:rPr>
          <w:color w:val="231F20"/>
        </w:rPr>
        <w:t>the</w:t>
      </w:r>
      <w:r>
        <w:rPr>
          <w:color w:val="231F20"/>
          <w:spacing w:val="-5"/>
        </w:rPr>
        <w:t> </w:t>
      </w:r>
      <w:r>
        <w:rPr>
          <w:color w:val="231F20"/>
        </w:rPr>
        <w:t>occupational</w:t>
      </w:r>
      <w:r>
        <w:rPr>
          <w:color w:val="231F20"/>
          <w:spacing w:val="-6"/>
        </w:rPr>
        <w:t> </w:t>
      </w:r>
      <w:r>
        <w:rPr>
          <w:color w:val="231F20"/>
        </w:rPr>
        <w:t>and</w:t>
      </w:r>
      <w:r>
        <w:rPr>
          <w:color w:val="231F20"/>
          <w:spacing w:val="-5"/>
        </w:rPr>
        <w:t> </w:t>
      </w:r>
      <w:r>
        <w:rPr>
          <w:color w:val="231F20"/>
        </w:rPr>
        <w:t>educational</w:t>
      </w:r>
      <w:r>
        <w:rPr>
          <w:color w:val="231F20"/>
          <w:spacing w:val="-5"/>
        </w:rPr>
        <w:t> </w:t>
      </w:r>
      <w:r>
        <w:rPr>
          <w:color w:val="231F20"/>
          <w:spacing w:val="-1"/>
        </w:rPr>
        <w:t>status</w:t>
      </w:r>
      <w:r>
        <w:rPr>
          <w:color w:val="231F20"/>
          <w:spacing w:val="-4"/>
        </w:rPr>
        <w:t> </w:t>
      </w:r>
      <w:r>
        <w:rPr>
          <w:color w:val="231F20"/>
        </w:rPr>
        <w:t>of</w:t>
      </w:r>
      <w:r>
        <w:rPr>
          <w:color w:val="231F20"/>
          <w:spacing w:val="-4"/>
        </w:rPr>
        <w:t> </w:t>
      </w:r>
      <w:r>
        <w:rPr>
          <w:color w:val="231F20"/>
          <w:spacing w:val="-1"/>
        </w:rPr>
        <w:t>students'</w:t>
      </w:r>
      <w:r>
        <w:rPr>
          <w:color w:val="231F20"/>
          <w:spacing w:val="-4"/>
        </w:rPr>
        <w:t> </w:t>
      </w:r>
      <w:r>
        <w:rPr>
          <w:color w:val="231F20"/>
        </w:rPr>
        <w:t>parents</w:t>
      </w:r>
      <w:r>
        <w:rPr>
          <w:color w:val="231F20"/>
          <w:spacing w:val="-5"/>
        </w:rPr>
        <w:t> </w:t>
      </w:r>
      <w:r>
        <w:rPr>
          <w:color w:val="231F20"/>
        </w:rPr>
        <w:t>by</w:t>
      </w:r>
      <w:r>
        <w:rPr>
          <w:color w:val="231F20"/>
          <w:spacing w:val="25"/>
          <w:w w:val="99"/>
        </w:rPr>
        <w:t> </w:t>
      </w:r>
      <w:r>
        <w:rPr>
          <w:color w:val="231F20"/>
          <w:spacing w:val="-1"/>
        </w:rPr>
        <w:t>looking</w:t>
      </w:r>
      <w:r>
        <w:rPr>
          <w:color w:val="231F20"/>
          <w:spacing w:val="-4"/>
        </w:rPr>
        <w:t> </w:t>
      </w:r>
      <w:r>
        <w:rPr>
          <w:color w:val="231F20"/>
        </w:rPr>
        <w:t>at</w:t>
      </w:r>
      <w:r>
        <w:rPr>
          <w:color w:val="231F20"/>
          <w:spacing w:val="-3"/>
        </w:rPr>
        <w:t> </w:t>
      </w:r>
      <w:r>
        <w:rPr>
          <w:color w:val="231F20"/>
        </w:rPr>
        <w:t>factors</w:t>
      </w:r>
      <w:r>
        <w:rPr>
          <w:color w:val="231F20"/>
          <w:spacing w:val="-3"/>
        </w:rPr>
        <w:t> </w:t>
      </w:r>
      <w:r>
        <w:rPr>
          <w:color w:val="231F20"/>
          <w:spacing w:val="-1"/>
        </w:rPr>
        <w:t>like</w:t>
      </w:r>
      <w:r>
        <w:rPr>
          <w:color w:val="231F20"/>
          <w:spacing w:val="-3"/>
        </w:rPr>
        <w:t> </w:t>
      </w:r>
      <w:r>
        <w:rPr>
          <w:color w:val="231F20"/>
        </w:rPr>
        <w:t>occupation,</w:t>
      </w:r>
      <w:r>
        <w:rPr>
          <w:color w:val="231F20"/>
          <w:spacing w:val="-4"/>
        </w:rPr>
        <w:t> </w:t>
      </w:r>
      <w:r>
        <w:rPr>
          <w:color w:val="231F20"/>
        </w:rPr>
        <w:t>completed</w:t>
      </w:r>
      <w:r>
        <w:rPr>
          <w:color w:val="231F20"/>
          <w:spacing w:val="-5"/>
        </w:rPr>
        <w:t> </w:t>
      </w:r>
      <w:r>
        <w:rPr>
          <w:color w:val="231F20"/>
          <w:spacing w:val="-1"/>
        </w:rPr>
        <w:t>school</w:t>
      </w:r>
      <w:r>
        <w:rPr>
          <w:color w:val="231F20"/>
          <w:spacing w:val="-3"/>
        </w:rPr>
        <w:t> </w:t>
      </w:r>
      <w:r>
        <w:rPr>
          <w:color w:val="231F20"/>
        </w:rPr>
        <w:t>education</w:t>
      </w:r>
      <w:r>
        <w:rPr>
          <w:color w:val="231F20"/>
          <w:spacing w:val="-4"/>
        </w:rPr>
        <w:t> </w:t>
      </w:r>
      <w:r>
        <w:rPr>
          <w:color w:val="231F20"/>
        </w:rPr>
        <w:t>and</w:t>
      </w:r>
      <w:r>
        <w:rPr>
          <w:color w:val="231F20"/>
          <w:spacing w:val="-4"/>
        </w:rPr>
        <w:t> </w:t>
      </w:r>
      <w:r>
        <w:rPr>
          <w:color w:val="231F20"/>
        </w:rPr>
        <w:t>highest</w:t>
      </w:r>
      <w:r>
        <w:rPr>
          <w:color w:val="231F20"/>
          <w:spacing w:val="-4"/>
        </w:rPr>
        <w:t> </w:t>
      </w:r>
      <w:r>
        <w:rPr>
          <w:color w:val="231F20"/>
          <w:spacing w:val="-1"/>
        </w:rPr>
        <w:t>level</w:t>
      </w:r>
      <w:r>
        <w:rPr>
          <w:color w:val="231F20"/>
          <w:spacing w:val="-3"/>
        </w:rPr>
        <w:t> </w:t>
      </w:r>
      <w:r>
        <w:rPr>
          <w:color w:val="231F20"/>
        </w:rPr>
        <w:t>of</w:t>
      </w:r>
      <w:r>
        <w:rPr>
          <w:color w:val="231F20"/>
          <w:spacing w:val="-4"/>
        </w:rPr>
        <w:t> </w:t>
      </w:r>
      <w:r>
        <w:rPr>
          <w:color w:val="231F20"/>
        </w:rPr>
        <w:t>post</w:t>
      </w:r>
      <w:r>
        <w:rPr>
          <w:color w:val="231F20"/>
          <w:spacing w:val="-4"/>
        </w:rPr>
        <w:t> </w:t>
      </w:r>
      <w:r>
        <w:rPr>
          <w:color w:val="231F20"/>
          <w:spacing w:val="-1"/>
        </w:rPr>
        <w:t>school</w:t>
      </w:r>
      <w:r>
        <w:rPr>
          <w:color w:val="231F20"/>
          <w:spacing w:val="24"/>
        </w:rPr>
        <w:t> </w:t>
      </w:r>
      <w:r>
        <w:rPr>
          <w:color w:val="231F20"/>
        </w:rPr>
        <w:t>education.</w:t>
      </w:r>
      <w:r>
        <w:rPr/>
      </w:r>
    </w:p>
    <w:p>
      <w:pPr>
        <w:pStyle w:val="BodyText"/>
        <w:spacing w:line="250" w:lineRule="exact" w:before="113"/>
        <w:ind w:left="100" w:right="296"/>
        <w:jc w:val="left"/>
      </w:pPr>
      <w:r>
        <w:rPr>
          <w:color w:val="231F20"/>
        </w:rPr>
        <w:t>The</w:t>
      </w:r>
      <w:r>
        <w:rPr>
          <w:color w:val="231F20"/>
          <w:spacing w:val="-4"/>
        </w:rPr>
        <w:t> </w:t>
      </w:r>
      <w:r>
        <w:rPr>
          <w:color w:val="231F20"/>
        </w:rPr>
        <w:t>greater</w:t>
      </w:r>
      <w:r>
        <w:rPr>
          <w:color w:val="231F20"/>
          <w:spacing w:val="-5"/>
        </w:rPr>
        <w:t> </w:t>
      </w:r>
      <w:r>
        <w:rPr>
          <w:color w:val="231F20"/>
        </w:rPr>
        <w:t>the</w:t>
      </w:r>
      <w:r>
        <w:rPr>
          <w:color w:val="231F20"/>
          <w:spacing w:val="-4"/>
        </w:rPr>
        <w:t> </w:t>
      </w:r>
      <w:r>
        <w:rPr>
          <w:color w:val="231F20"/>
        </w:rPr>
        <w:t>percentage</w:t>
      </w:r>
      <w:r>
        <w:rPr>
          <w:color w:val="231F20"/>
          <w:spacing w:val="-4"/>
        </w:rPr>
        <w:t> </w:t>
      </w:r>
      <w:r>
        <w:rPr>
          <w:color w:val="231F20"/>
        </w:rPr>
        <w:t>of</w:t>
      </w:r>
      <w:r>
        <w:rPr>
          <w:color w:val="231F20"/>
          <w:spacing w:val="-4"/>
        </w:rPr>
        <w:t> </w:t>
      </w:r>
      <w:r>
        <w:rPr>
          <w:color w:val="231F20"/>
        </w:rPr>
        <w:t>a</w:t>
      </w:r>
      <w:r>
        <w:rPr>
          <w:color w:val="231F20"/>
          <w:spacing w:val="-4"/>
        </w:rPr>
        <w:t> </w:t>
      </w:r>
      <w:r>
        <w:rPr>
          <w:color w:val="231F20"/>
          <w:spacing w:val="-1"/>
        </w:rPr>
        <w:t>school's</w:t>
      </w:r>
      <w:r>
        <w:rPr>
          <w:color w:val="231F20"/>
          <w:spacing w:val="-3"/>
        </w:rPr>
        <w:t> </w:t>
      </w:r>
      <w:r>
        <w:rPr>
          <w:color w:val="231F20"/>
          <w:spacing w:val="-1"/>
        </w:rPr>
        <w:t>students</w:t>
      </w:r>
      <w:r>
        <w:rPr>
          <w:color w:val="231F20"/>
          <w:spacing w:val="-4"/>
        </w:rPr>
        <w:t> </w:t>
      </w:r>
      <w:r>
        <w:rPr>
          <w:color w:val="231F20"/>
          <w:spacing w:val="-1"/>
        </w:rPr>
        <w:t>in</w:t>
      </w:r>
      <w:r>
        <w:rPr>
          <w:color w:val="231F20"/>
          <w:spacing w:val="-3"/>
        </w:rPr>
        <w:t> </w:t>
      </w:r>
      <w:r>
        <w:rPr>
          <w:color w:val="231F20"/>
        </w:rPr>
        <w:t>each</w:t>
      </w:r>
      <w:r>
        <w:rPr>
          <w:color w:val="231F20"/>
          <w:spacing w:val="-4"/>
        </w:rPr>
        <w:t> </w:t>
      </w:r>
      <w:r>
        <w:rPr>
          <w:color w:val="231F20"/>
        </w:rPr>
        <w:t>of</w:t>
      </w:r>
      <w:r>
        <w:rPr>
          <w:color w:val="231F20"/>
          <w:spacing w:val="-3"/>
        </w:rPr>
        <w:t> </w:t>
      </w:r>
      <w:r>
        <w:rPr>
          <w:color w:val="231F20"/>
        </w:rPr>
        <w:t>the</w:t>
      </w:r>
      <w:r>
        <w:rPr>
          <w:color w:val="231F20"/>
          <w:spacing w:val="-5"/>
        </w:rPr>
        <w:t> </w:t>
      </w:r>
      <w:r>
        <w:rPr>
          <w:color w:val="231F20"/>
        </w:rPr>
        <w:t>bottom</w:t>
      </w:r>
      <w:r>
        <w:rPr>
          <w:color w:val="231F20"/>
          <w:spacing w:val="-4"/>
        </w:rPr>
        <w:t> </w:t>
      </w:r>
      <w:r>
        <w:rPr>
          <w:color w:val="231F20"/>
        </w:rPr>
        <w:t>two</w:t>
      </w:r>
      <w:r>
        <w:rPr>
          <w:color w:val="231F20"/>
          <w:spacing w:val="-4"/>
        </w:rPr>
        <w:t> </w:t>
      </w:r>
      <w:r>
        <w:rPr>
          <w:color w:val="231F20"/>
        </w:rPr>
        <w:t>quartiles</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spacing w:val="-1"/>
        </w:rPr>
        <w:t>SEA,</w:t>
      </w:r>
      <w:r>
        <w:rPr>
          <w:color w:val="231F20"/>
          <w:spacing w:val="23"/>
          <w:w w:val="99"/>
        </w:rPr>
        <w:t> </w:t>
      </w:r>
      <w:r>
        <w:rPr>
          <w:color w:val="231F20"/>
        </w:rPr>
        <w:t>the</w:t>
      </w:r>
      <w:r>
        <w:rPr>
          <w:color w:val="231F20"/>
          <w:spacing w:val="-4"/>
        </w:rPr>
        <w:t> </w:t>
      </w:r>
      <w:r>
        <w:rPr>
          <w:color w:val="231F20"/>
        </w:rPr>
        <w:t>higher</w:t>
      </w:r>
      <w:r>
        <w:rPr>
          <w:color w:val="231F20"/>
          <w:spacing w:val="-4"/>
        </w:rPr>
        <w:t> </w:t>
      </w:r>
      <w:r>
        <w:rPr>
          <w:color w:val="231F20"/>
        </w:rPr>
        <w:t>the</w:t>
      </w:r>
      <w:r>
        <w:rPr>
          <w:color w:val="231F20"/>
          <w:spacing w:val="-5"/>
        </w:rPr>
        <w:t> </w:t>
      </w:r>
      <w:r>
        <w:rPr>
          <w:color w:val="231F20"/>
          <w:spacing w:val="-1"/>
        </w:rPr>
        <w:t>loading,</w:t>
      </w:r>
      <w:r>
        <w:rPr>
          <w:color w:val="231F20"/>
          <w:spacing w:val="-3"/>
        </w:rPr>
        <w:t> </w:t>
      </w:r>
      <w:r>
        <w:rPr>
          <w:color w:val="231F20"/>
        </w:rPr>
        <w:t>up</w:t>
      </w:r>
      <w:r>
        <w:rPr>
          <w:color w:val="231F20"/>
          <w:spacing w:val="-3"/>
        </w:rPr>
        <w:t> </w:t>
      </w:r>
      <w:r>
        <w:rPr>
          <w:color w:val="231F20"/>
        </w:rPr>
        <w:t>to</w:t>
      </w:r>
      <w:r>
        <w:rPr>
          <w:color w:val="231F20"/>
          <w:spacing w:val="-3"/>
        </w:rPr>
        <w:t> </w:t>
      </w:r>
      <w:r>
        <w:rPr>
          <w:color w:val="231F20"/>
        </w:rPr>
        <w:t>a</w:t>
      </w:r>
      <w:r>
        <w:rPr>
          <w:color w:val="231F20"/>
          <w:spacing w:val="-3"/>
        </w:rPr>
        <w:t> </w:t>
      </w:r>
      <w:r>
        <w:rPr>
          <w:color w:val="231F20"/>
          <w:spacing w:val="-1"/>
        </w:rPr>
        <w:t>maximum</w:t>
      </w:r>
      <w:r>
        <w:rPr>
          <w:color w:val="231F20"/>
          <w:spacing w:val="-3"/>
        </w:rPr>
        <w:t> </w:t>
      </w:r>
      <w:r>
        <w:rPr>
          <w:color w:val="231F20"/>
        </w:rPr>
        <w:t>of</w:t>
      </w:r>
      <w:r>
        <w:rPr>
          <w:color w:val="231F20"/>
          <w:spacing w:val="-3"/>
        </w:rPr>
        <w:t> </w:t>
      </w:r>
      <w:r>
        <w:rPr>
          <w:color w:val="231F20"/>
          <w:spacing w:val="-1"/>
        </w:rPr>
        <w:t>50</w:t>
      </w:r>
      <w:r>
        <w:rPr>
          <w:color w:val="231F20"/>
          <w:spacing w:val="-3"/>
        </w:rPr>
        <w:t> </w:t>
      </w:r>
      <w:r>
        <w:rPr>
          <w:color w:val="231F20"/>
        </w:rPr>
        <w:t>per</w:t>
      </w:r>
      <w:r>
        <w:rPr>
          <w:color w:val="231F20"/>
          <w:spacing w:val="-3"/>
        </w:rPr>
        <w:t> </w:t>
      </w:r>
      <w:r>
        <w:rPr>
          <w:color w:val="231F20"/>
        </w:rPr>
        <w:t>cent</w:t>
      </w:r>
      <w:r>
        <w:rPr>
          <w:color w:val="231F20"/>
          <w:spacing w:val="-4"/>
        </w:rPr>
        <w:t> </w:t>
      </w:r>
      <w:r>
        <w:rPr>
          <w:color w:val="231F20"/>
        </w:rPr>
        <w:t>for</w:t>
      </w:r>
      <w:r>
        <w:rPr>
          <w:color w:val="231F20"/>
          <w:spacing w:val="-3"/>
        </w:rPr>
        <w:t> </w:t>
      </w:r>
      <w:r>
        <w:rPr>
          <w:color w:val="231F20"/>
        </w:rPr>
        <w:t>Quartile</w:t>
      </w:r>
      <w:r>
        <w:rPr>
          <w:color w:val="231F20"/>
          <w:spacing w:val="-4"/>
        </w:rPr>
        <w:t> </w:t>
      </w:r>
      <w:r>
        <w:rPr>
          <w:color w:val="231F20"/>
        </w:rPr>
        <w:t>1</w:t>
      </w:r>
      <w:r>
        <w:rPr>
          <w:color w:val="231F20"/>
          <w:spacing w:val="-3"/>
        </w:rPr>
        <w:t> </w:t>
      </w:r>
      <w:r>
        <w:rPr>
          <w:color w:val="231F20"/>
        </w:rPr>
        <w:t>and</w:t>
      </w:r>
      <w:r>
        <w:rPr>
          <w:color w:val="231F20"/>
          <w:spacing w:val="-4"/>
        </w:rPr>
        <w:t> </w:t>
      </w:r>
      <w:r>
        <w:rPr>
          <w:color w:val="231F20"/>
          <w:spacing w:val="-1"/>
        </w:rPr>
        <w:t>37.5</w:t>
      </w:r>
      <w:r>
        <w:rPr>
          <w:color w:val="231F20"/>
          <w:spacing w:val="-3"/>
        </w:rPr>
        <w:t> </w:t>
      </w:r>
      <w:r>
        <w:rPr>
          <w:color w:val="231F20"/>
        </w:rPr>
        <w:t>per</w:t>
      </w:r>
      <w:r>
        <w:rPr>
          <w:color w:val="231F20"/>
          <w:spacing w:val="-3"/>
        </w:rPr>
        <w:t> </w:t>
      </w:r>
      <w:r>
        <w:rPr>
          <w:color w:val="231F20"/>
        </w:rPr>
        <w:t>cent</w:t>
      </w:r>
      <w:r>
        <w:rPr>
          <w:color w:val="231F20"/>
          <w:spacing w:val="-4"/>
        </w:rPr>
        <w:t> </w:t>
      </w:r>
      <w:r>
        <w:rPr>
          <w:color w:val="231F20"/>
        </w:rPr>
        <w:t>for</w:t>
      </w:r>
      <w:r>
        <w:rPr>
          <w:color w:val="231F20"/>
          <w:spacing w:val="25"/>
          <w:w w:val="99"/>
        </w:rPr>
        <w:t> </w:t>
      </w:r>
      <w:r>
        <w:rPr>
          <w:color w:val="231F20"/>
        </w:rPr>
        <w:t>Quartile</w:t>
      </w:r>
      <w:r>
        <w:rPr>
          <w:color w:val="231F20"/>
          <w:spacing w:val="-10"/>
        </w:rPr>
        <w:t> </w:t>
      </w:r>
      <w:r>
        <w:rPr>
          <w:color w:val="231F20"/>
        </w:rPr>
        <w:t>2.</w:t>
      </w:r>
      <w:r>
        <w:rPr/>
      </w:r>
    </w:p>
    <w:p>
      <w:pPr>
        <w:spacing w:after="0" w:line="250" w:lineRule="exact"/>
        <w:jc w:val="left"/>
        <w:sectPr>
          <w:pgSz w:w="11910" w:h="16840"/>
          <w:pgMar w:header="0" w:footer="691" w:top="1580" w:bottom="880" w:left="1600" w:right="1300"/>
        </w:sectPr>
      </w:pPr>
    </w:p>
    <w:p>
      <w:pPr>
        <w:spacing w:line="240" w:lineRule="auto" w:before="0"/>
        <w:rPr>
          <w:rFonts w:ascii="Segoe UI" w:hAnsi="Segoe UI" w:cs="Segoe UI" w:eastAsia="Segoe UI"/>
          <w:sz w:val="20"/>
          <w:szCs w:val="20"/>
        </w:rPr>
      </w:pPr>
    </w:p>
    <w:p>
      <w:pPr>
        <w:spacing w:line="240" w:lineRule="auto" w:before="8"/>
        <w:rPr>
          <w:rFonts w:ascii="Segoe UI" w:hAnsi="Segoe UI" w:cs="Segoe UI" w:eastAsia="Segoe UI"/>
          <w:sz w:val="21"/>
          <w:szCs w:val="21"/>
        </w:rPr>
      </w:pPr>
    </w:p>
    <w:p>
      <w:pPr>
        <w:pStyle w:val="BodyText"/>
        <w:spacing w:line="250" w:lineRule="exact" w:before="62"/>
        <w:ind w:right="210"/>
        <w:jc w:val="left"/>
      </w:pPr>
      <w:r>
        <w:rPr>
          <w:color w:val="231F20"/>
          <w:spacing w:val="-1"/>
        </w:rPr>
        <w:t>It</w:t>
      </w:r>
      <w:r>
        <w:rPr>
          <w:color w:val="231F20"/>
          <w:spacing w:val="-5"/>
        </w:rPr>
        <w:t> </w:t>
      </w:r>
      <w:r>
        <w:rPr>
          <w:color w:val="231F20"/>
          <w:spacing w:val="-1"/>
        </w:rPr>
        <w:t>is</w:t>
      </w:r>
      <w:r>
        <w:rPr>
          <w:color w:val="231F20"/>
          <w:spacing w:val="-5"/>
        </w:rPr>
        <w:t> </w:t>
      </w:r>
      <w:r>
        <w:rPr>
          <w:color w:val="231F20"/>
        </w:rPr>
        <w:t>estimated</w:t>
      </w:r>
      <w:r>
        <w:rPr>
          <w:color w:val="231F20"/>
          <w:spacing w:val="-5"/>
        </w:rPr>
        <w:t> </w:t>
      </w:r>
      <w:r>
        <w:rPr>
          <w:color w:val="231F20"/>
        </w:rPr>
        <w:t>the</w:t>
      </w:r>
      <w:r>
        <w:rPr>
          <w:color w:val="231F20"/>
          <w:spacing w:val="-5"/>
        </w:rPr>
        <w:t> </w:t>
      </w:r>
      <w:r>
        <w:rPr>
          <w:color w:val="231F20"/>
          <w:spacing w:val="-1"/>
        </w:rPr>
        <w:t>socio</w:t>
      </w:r>
      <w:r>
        <w:rPr>
          <w:color w:val="231F20"/>
          <w:spacing w:val="-4"/>
        </w:rPr>
        <w:t> </w:t>
      </w:r>
      <w:r>
        <w:rPr>
          <w:color w:val="231F20"/>
        </w:rPr>
        <w:t>educational</w:t>
      </w:r>
      <w:r>
        <w:rPr>
          <w:color w:val="231F20"/>
          <w:spacing w:val="-5"/>
        </w:rPr>
        <w:t> </w:t>
      </w:r>
      <w:r>
        <w:rPr>
          <w:color w:val="231F20"/>
        </w:rPr>
        <w:t>disadvantage</w:t>
      </w:r>
      <w:r>
        <w:rPr>
          <w:color w:val="231F20"/>
          <w:spacing w:val="-6"/>
        </w:rPr>
        <w:t> </w:t>
      </w:r>
      <w:r>
        <w:rPr>
          <w:color w:val="231F20"/>
          <w:spacing w:val="-1"/>
        </w:rPr>
        <w:t>loading</w:t>
      </w:r>
      <w:r>
        <w:rPr>
          <w:color w:val="231F20"/>
          <w:spacing w:val="-4"/>
        </w:rPr>
        <w:t> </w:t>
      </w:r>
      <w:r>
        <w:rPr>
          <w:color w:val="231F20"/>
        </w:rPr>
        <w:t>(previously</w:t>
      </w:r>
      <w:r>
        <w:rPr>
          <w:color w:val="231F20"/>
          <w:spacing w:val="-5"/>
        </w:rPr>
        <w:t> </w:t>
      </w:r>
      <w:r>
        <w:rPr>
          <w:color w:val="231F20"/>
          <w:spacing w:val="-1"/>
        </w:rPr>
        <w:t>known</w:t>
      </w:r>
      <w:r>
        <w:rPr>
          <w:color w:val="231F20"/>
          <w:spacing w:val="-4"/>
        </w:rPr>
        <w:t> </w:t>
      </w:r>
      <w:r>
        <w:rPr>
          <w:color w:val="231F20"/>
        </w:rPr>
        <w:t>as</w:t>
      </w:r>
      <w:r>
        <w:rPr>
          <w:color w:val="231F20"/>
          <w:spacing w:val="-5"/>
        </w:rPr>
        <w:t> </w:t>
      </w:r>
      <w:r>
        <w:rPr>
          <w:color w:val="231F20"/>
        </w:rPr>
        <w:t>the</w:t>
      </w:r>
      <w:r>
        <w:rPr>
          <w:color w:val="231F20"/>
          <w:spacing w:val="-5"/>
        </w:rPr>
        <w:t> </w:t>
      </w:r>
      <w:r>
        <w:rPr>
          <w:color w:val="231F20"/>
          <w:spacing w:val="-1"/>
        </w:rPr>
        <w:t>low</w:t>
      </w:r>
      <w:r>
        <w:rPr>
          <w:color w:val="231F20"/>
          <w:spacing w:val="-5"/>
        </w:rPr>
        <w:t> </w:t>
      </w:r>
      <w:r>
        <w:rPr>
          <w:color w:val="231F20"/>
          <w:spacing w:val="-1"/>
        </w:rPr>
        <w:t>socio</w:t>
      </w:r>
      <w:r>
        <w:rPr>
          <w:color w:val="231F20"/>
          <w:spacing w:val="26"/>
        </w:rPr>
        <w:t> </w:t>
      </w:r>
      <w:r>
        <w:rPr>
          <w:color w:val="231F20"/>
        </w:rPr>
        <w:t>economic</w:t>
      </w:r>
      <w:r>
        <w:rPr>
          <w:color w:val="231F20"/>
          <w:spacing w:val="-6"/>
        </w:rPr>
        <w:t> </w:t>
      </w:r>
      <w:r>
        <w:rPr>
          <w:color w:val="231F20"/>
          <w:spacing w:val="-1"/>
        </w:rPr>
        <w:t>status</w:t>
      </w:r>
      <w:r>
        <w:rPr>
          <w:color w:val="231F20"/>
          <w:spacing w:val="-4"/>
        </w:rPr>
        <w:t> </w:t>
      </w:r>
      <w:r>
        <w:rPr>
          <w:color w:val="231F20"/>
          <w:spacing w:val="-1"/>
        </w:rPr>
        <w:t>loading)</w:t>
      </w:r>
      <w:r>
        <w:rPr>
          <w:color w:val="231F20"/>
          <w:spacing w:val="-5"/>
        </w:rPr>
        <w:t> </w:t>
      </w:r>
      <w:r>
        <w:rPr>
          <w:color w:val="231F20"/>
        </w:rPr>
        <w:t>will</w:t>
      </w:r>
      <w:r>
        <w:rPr>
          <w:color w:val="231F20"/>
          <w:spacing w:val="-5"/>
        </w:rPr>
        <w:t> </w:t>
      </w:r>
      <w:r>
        <w:rPr>
          <w:color w:val="231F20"/>
        </w:rPr>
        <w:t>account</w:t>
      </w:r>
      <w:r>
        <w:rPr>
          <w:color w:val="231F20"/>
          <w:spacing w:val="-5"/>
        </w:rPr>
        <w:t> </w:t>
      </w:r>
      <w:r>
        <w:rPr>
          <w:color w:val="231F20"/>
        </w:rPr>
        <w:t>for</w:t>
      </w:r>
      <w:r>
        <w:rPr>
          <w:color w:val="231F20"/>
          <w:spacing w:val="-5"/>
        </w:rPr>
        <w:t> </w:t>
      </w:r>
      <w:r>
        <w:rPr>
          <w:color w:val="231F20"/>
          <w:spacing w:val="-1"/>
        </w:rPr>
        <w:t>9.5</w:t>
      </w:r>
      <w:r>
        <w:rPr>
          <w:color w:val="231F20"/>
          <w:spacing w:val="-4"/>
        </w:rPr>
        <w:t> </w:t>
      </w:r>
      <w:r>
        <w:rPr>
          <w:color w:val="231F20"/>
        </w:rPr>
        <w:t>per</w:t>
      </w:r>
      <w:r>
        <w:rPr>
          <w:color w:val="231F20"/>
          <w:spacing w:val="-4"/>
        </w:rPr>
        <w:t> </w:t>
      </w:r>
      <w:r>
        <w:rPr>
          <w:color w:val="231F20"/>
        </w:rPr>
        <w:t>cent</w:t>
      </w:r>
      <w:r>
        <w:rPr>
          <w:color w:val="231F20"/>
          <w:spacing w:val="-6"/>
        </w:rPr>
        <w:t> </w:t>
      </w:r>
      <w:r>
        <w:rPr>
          <w:color w:val="231F20"/>
        </w:rPr>
        <w:t>of</w:t>
      </w:r>
      <w:r>
        <w:rPr>
          <w:color w:val="231F20"/>
          <w:spacing w:val="-4"/>
        </w:rPr>
        <w:t> </w:t>
      </w:r>
      <w:r>
        <w:rPr>
          <w:color w:val="231F20"/>
          <w:spacing w:val="-1"/>
        </w:rPr>
        <w:t>Commonwealth</w:t>
      </w:r>
      <w:r>
        <w:rPr>
          <w:color w:val="231F20"/>
          <w:spacing w:val="-4"/>
        </w:rPr>
        <w:t> </w:t>
      </w:r>
      <w:r>
        <w:rPr>
          <w:color w:val="231F20"/>
        </w:rPr>
        <w:t>recurrent</w:t>
      </w:r>
      <w:r>
        <w:rPr>
          <w:color w:val="231F20"/>
          <w:spacing w:val="-6"/>
        </w:rPr>
        <w:t> </w:t>
      </w:r>
      <w:r>
        <w:rPr>
          <w:color w:val="231F20"/>
          <w:spacing w:val="-1"/>
        </w:rPr>
        <w:t>school</w:t>
      </w:r>
      <w:r>
        <w:rPr>
          <w:color w:val="231F20"/>
          <w:spacing w:val="-4"/>
        </w:rPr>
        <w:t> </w:t>
      </w:r>
      <w:r>
        <w:rPr>
          <w:color w:val="231F20"/>
        </w:rPr>
        <w:t>funding</w:t>
      </w:r>
      <w:r>
        <w:rPr>
          <w:color w:val="231F20"/>
          <w:spacing w:val="26"/>
          <w:w w:val="99"/>
        </w:rPr>
        <w:t> </w:t>
      </w:r>
      <w:r>
        <w:rPr>
          <w:color w:val="231F20"/>
        </w:rPr>
        <w:t>expenditure</w:t>
      </w:r>
      <w:r>
        <w:rPr>
          <w:color w:val="231F20"/>
          <w:spacing w:val="-7"/>
        </w:rPr>
        <w:t> </w:t>
      </w:r>
      <w:r>
        <w:rPr>
          <w:color w:val="231F20"/>
          <w:spacing w:val="-1"/>
        </w:rPr>
        <w:t>in</w:t>
      </w:r>
      <w:r>
        <w:rPr>
          <w:color w:val="231F20"/>
          <w:spacing w:val="-5"/>
        </w:rPr>
        <w:t> </w:t>
      </w:r>
      <w:r>
        <w:rPr>
          <w:color w:val="231F20"/>
        </w:rPr>
        <w:t>2019.</w:t>
      </w:r>
      <w:r>
        <w:rPr/>
      </w:r>
    </w:p>
    <w:p>
      <w:pPr>
        <w:pStyle w:val="BodyText"/>
        <w:spacing w:line="250" w:lineRule="exact" w:before="113"/>
        <w:ind w:right="585"/>
        <w:jc w:val="left"/>
      </w:pPr>
      <w:r>
        <w:rPr>
          <w:color w:val="231F20"/>
          <w:spacing w:val="-1"/>
        </w:rPr>
        <w:t>Funding</w:t>
      </w:r>
      <w:r>
        <w:rPr>
          <w:color w:val="231F20"/>
          <w:spacing w:val="-5"/>
        </w:rPr>
        <w:t> </w:t>
      </w:r>
      <w:r>
        <w:rPr>
          <w:color w:val="231F20"/>
        </w:rPr>
        <w:t>for</w:t>
      </w:r>
      <w:r>
        <w:rPr>
          <w:color w:val="231F20"/>
          <w:spacing w:val="-5"/>
        </w:rPr>
        <w:t> </w:t>
      </w:r>
      <w:r>
        <w:rPr>
          <w:color w:val="231F20"/>
        </w:rPr>
        <w:t>the</w:t>
      </w:r>
      <w:r>
        <w:rPr>
          <w:color w:val="231F20"/>
          <w:spacing w:val="-5"/>
        </w:rPr>
        <w:t> </w:t>
      </w:r>
      <w:r>
        <w:rPr>
          <w:color w:val="231F20"/>
          <w:spacing w:val="-1"/>
        </w:rPr>
        <w:t>loading</w:t>
      </w:r>
      <w:r>
        <w:rPr>
          <w:color w:val="231F20"/>
          <w:spacing w:val="-5"/>
        </w:rPr>
        <w:t> </w:t>
      </w:r>
      <w:r>
        <w:rPr>
          <w:color w:val="231F20"/>
        </w:rPr>
        <w:t>for</w:t>
      </w:r>
      <w:r>
        <w:rPr>
          <w:color w:val="231F20"/>
          <w:spacing w:val="-5"/>
        </w:rPr>
        <w:t> </w:t>
      </w:r>
      <w:r>
        <w:rPr>
          <w:color w:val="231F20"/>
          <w:spacing w:val="-1"/>
        </w:rPr>
        <w:t>socio</w:t>
      </w:r>
      <w:r>
        <w:rPr>
          <w:color w:val="231F20"/>
          <w:spacing w:val="-4"/>
        </w:rPr>
        <w:t> </w:t>
      </w:r>
      <w:r>
        <w:rPr>
          <w:color w:val="231F20"/>
        </w:rPr>
        <w:t>educational</w:t>
      </w:r>
      <w:r>
        <w:rPr>
          <w:color w:val="231F20"/>
          <w:spacing w:val="-6"/>
        </w:rPr>
        <w:t> </w:t>
      </w:r>
      <w:r>
        <w:rPr>
          <w:color w:val="231F20"/>
        </w:rPr>
        <w:t>disadvantage</w:t>
      </w:r>
      <w:r>
        <w:rPr>
          <w:color w:val="231F20"/>
          <w:spacing w:val="-6"/>
        </w:rPr>
        <w:t> </w:t>
      </w:r>
      <w:r>
        <w:rPr>
          <w:color w:val="231F20"/>
          <w:spacing w:val="-1"/>
        </w:rPr>
        <w:t>is</w:t>
      </w:r>
      <w:r>
        <w:rPr>
          <w:color w:val="231F20"/>
          <w:spacing w:val="-5"/>
        </w:rPr>
        <w:t> </w:t>
      </w:r>
      <w:r>
        <w:rPr>
          <w:color w:val="231F20"/>
        </w:rPr>
        <w:t>estimated</w:t>
      </w:r>
      <w:r>
        <w:rPr>
          <w:color w:val="231F20"/>
          <w:spacing w:val="-6"/>
        </w:rPr>
        <w:t> </w:t>
      </w:r>
      <w:r>
        <w:rPr>
          <w:color w:val="231F20"/>
        </w:rPr>
        <w:t>to</w:t>
      </w:r>
      <w:r>
        <w:rPr>
          <w:color w:val="231F20"/>
          <w:spacing w:val="-4"/>
        </w:rPr>
        <w:t> </w:t>
      </w:r>
      <w:r>
        <w:rPr>
          <w:color w:val="231F20"/>
        </w:rPr>
        <w:t>grow,</w:t>
      </w:r>
      <w:r>
        <w:rPr>
          <w:color w:val="231F20"/>
          <w:spacing w:val="-5"/>
        </w:rPr>
        <w:t> </w:t>
      </w:r>
      <w:r>
        <w:rPr>
          <w:color w:val="231F20"/>
        </w:rPr>
        <w:t>on</w:t>
      </w:r>
      <w:r>
        <w:rPr>
          <w:color w:val="231F20"/>
          <w:spacing w:val="-5"/>
        </w:rPr>
        <w:t> </w:t>
      </w:r>
      <w:r>
        <w:rPr>
          <w:color w:val="231F20"/>
        </w:rPr>
        <w:t>average,</w:t>
      </w:r>
      <w:r>
        <w:rPr>
          <w:color w:val="231F20"/>
          <w:spacing w:val="25"/>
          <w:w w:val="99"/>
        </w:rPr>
        <w:t> </w:t>
      </w:r>
      <w:r>
        <w:rPr>
          <w:color w:val="231F20"/>
        </w:rPr>
        <w:t>by</w:t>
      </w:r>
      <w:r>
        <w:rPr>
          <w:color w:val="231F20"/>
          <w:spacing w:val="-3"/>
        </w:rPr>
        <w:t> </w:t>
      </w:r>
      <w:r>
        <w:rPr>
          <w:color w:val="231F20"/>
          <w:spacing w:val="-1"/>
        </w:rPr>
        <w:t>5.2</w:t>
      </w:r>
      <w:r>
        <w:rPr>
          <w:color w:val="231F20"/>
          <w:spacing w:val="-3"/>
        </w:rPr>
        <w:t> </w:t>
      </w:r>
      <w:r>
        <w:rPr>
          <w:color w:val="231F20"/>
        </w:rPr>
        <w:t>per</w:t>
      </w:r>
      <w:r>
        <w:rPr>
          <w:color w:val="231F20"/>
          <w:spacing w:val="-2"/>
        </w:rPr>
        <w:t> </w:t>
      </w:r>
      <w:r>
        <w:rPr>
          <w:color w:val="231F20"/>
        </w:rPr>
        <w:t>cent</w:t>
      </w:r>
      <w:r>
        <w:rPr>
          <w:color w:val="231F20"/>
          <w:spacing w:val="-4"/>
        </w:rPr>
        <w:t> </w:t>
      </w:r>
      <w:r>
        <w:rPr>
          <w:color w:val="231F20"/>
        </w:rPr>
        <w:t>per</w:t>
      </w:r>
      <w:r>
        <w:rPr>
          <w:color w:val="231F20"/>
          <w:spacing w:val="-3"/>
        </w:rPr>
        <w:t> </w:t>
      </w:r>
      <w:r>
        <w:rPr>
          <w:color w:val="231F20"/>
        </w:rPr>
        <w:t>year</w:t>
      </w:r>
      <w:r>
        <w:rPr>
          <w:color w:val="231F20"/>
          <w:spacing w:val="-2"/>
        </w:rPr>
        <w:t> </w:t>
      </w:r>
      <w:r>
        <w:rPr>
          <w:color w:val="231F20"/>
        </w:rPr>
        <w:t>over</w:t>
      </w:r>
      <w:r>
        <w:rPr>
          <w:color w:val="231F20"/>
          <w:spacing w:val="-3"/>
        </w:rPr>
        <w:t> </w:t>
      </w:r>
      <w:r>
        <w:rPr>
          <w:color w:val="231F20"/>
          <w:spacing w:val="-1"/>
        </w:rPr>
        <w:t>2018</w:t>
      </w:r>
      <w:r>
        <w:rPr>
          <w:color w:val="231F20"/>
          <w:spacing w:val="-3"/>
        </w:rPr>
        <w:t> </w:t>
      </w:r>
      <w:r>
        <w:rPr>
          <w:color w:val="231F20"/>
        </w:rPr>
        <w:t>to</w:t>
      </w:r>
      <w:r>
        <w:rPr>
          <w:color w:val="231F20"/>
          <w:spacing w:val="-2"/>
        </w:rPr>
        <w:t> </w:t>
      </w:r>
      <w:r>
        <w:rPr>
          <w:color w:val="231F20"/>
        </w:rPr>
        <w:t>2029.</w:t>
      </w:r>
      <w:r>
        <w:rPr/>
      </w:r>
    </w:p>
    <w:p>
      <w:pPr>
        <w:pStyle w:val="BodyText"/>
        <w:spacing w:line="250" w:lineRule="exact" w:before="113"/>
        <w:ind w:right="585"/>
        <w:jc w:val="left"/>
        <w:rPr>
          <w:rFonts w:ascii="Segoe UI" w:hAnsi="Segoe UI" w:cs="Segoe UI" w:eastAsia="Segoe UI"/>
        </w:rPr>
      </w:pPr>
      <w:r>
        <w:rPr>
          <w:color w:val="231F20"/>
        </w:rPr>
        <w:t>Note:</w:t>
      </w:r>
      <w:r>
        <w:rPr>
          <w:color w:val="231F20"/>
          <w:spacing w:val="-6"/>
        </w:rPr>
        <w:t> </w:t>
      </w:r>
      <w:r>
        <w:rPr>
          <w:color w:val="231F20"/>
        </w:rPr>
        <w:t>The</w:t>
      </w:r>
      <w:r>
        <w:rPr>
          <w:color w:val="231F20"/>
          <w:spacing w:val="-5"/>
        </w:rPr>
        <w:t> </w:t>
      </w:r>
      <w:r>
        <w:rPr>
          <w:color w:val="231F20"/>
        </w:rPr>
        <w:t>calculation</w:t>
      </w:r>
      <w:r>
        <w:rPr>
          <w:color w:val="231F20"/>
          <w:spacing w:val="-7"/>
        </w:rPr>
        <w:t> </w:t>
      </w:r>
      <w:r>
        <w:rPr>
          <w:color w:val="231F20"/>
        </w:rPr>
        <w:t>of</w:t>
      </w:r>
      <w:r>
        <w:rPr>
          <w:color w:val="231F20"/>
          <w:spacing w:val="-5"/>
        </w:rPr>
        <w:t> </w:t>
      </w:r>
      <w:r>
        <w:rPr>
          <w:color w:val="231F20"/>
        </w:rPr>
        <w:t>the</w:t>
      </w:r>
      <w:r>
        <w:rPr>
          <w:color w:val="231F20"/>
          <w:spacing w:val="-6"/>
        </w:rPr>
        <w:t> </w:t>
      </w:r>
      <w:r>
        <w:rPr>
          <w:color w:val="231F20"/>
          <w:spacing w:val="-1"/>
        </w:rPr>
        <w:t>socio</w:t>
      </w:r>
      <w:r>
        <w:rPr>
          <w:color w:val="231F20"/>
          <w:spacing w:val="-6"/>
        </w:rPr>
        <w:t> </w:t>
      </w:r>
      <w:r>
        <w:rPr>
          <w:color w:val="231F20"/>
        </w:rPr>
        <w:t>educational</w:t>
      </w:r>
      <w:r>
        <w:rPr>
          <w:color w:val="231F20"/>
          <w:spacing w:val="-6"/>
        </w:rPr>
        <w:t> </w:t>
      </w:r>
      <w:r>
        <w:rPr>
          <w:color w:val="231F20"/>
        </w:rPr>
        <w:t>disadvantage</w:t>
      </w:r>
      <w:r>
        <w:rPr>
          <w:color w:val="231F20"/>
          <w:spacing w:val="-6"/>
        </w:rPr>
        <w:t> </w:t>
      </w:r>
      <w:r>
        <w:rPr>
          <w:color w:val="231F20"/>
          <w:spacing w:val="-1"/>
        </w:rPr>
        <w:t>loading</w:t>
      </w:r>
      <w:r>
        <w:rPr>
          <w:color w:val="231F20"/>
          <w:spacing w:val="-5"/>
        </w:rPr>
        <w:t> </w:t>
      </w:r>
      <w:r>
        <w:rPr>
          <w:color w:val="231F20"/>
          <w:spacing w:val="-1"/>
        </w:rPr>
        <w:t>is</w:t>
      </w:r>
      <w:r>
        <w:rPr>
          <w:color w:val="231F20"/>
          <w:spacing w:val="-7"/>
        </w:rPr>
        <w:t> </w:t>
      </w:r>
      <w:r>
        <w:rPr>
          <w:color w:val="231F20"/>
        </w:rPr>
        <w:t>unrelated</w:t>
      </w:r>
      <w:r>
        <w:rPr>
          <w:color w:val="231F20"/>
          <w:spacing w:val="-6"/>
        </w:rPr>
        <w:t> </w:t>
      </w:r>
      <w:r>
        <w:rPr>
          <w:color w:val="231F20"/>
        </w:rPr>
        <w:t>to</w:t>
      </w:r>
      <w:r>
        <w:rPr>
          <w:color w:val="231F20"/>
          <w:spacing w:val="-5"/>
        </w:rPr>
        <w:t> </w:t>
      </w:r>
      <w:r>
        <w:rPr>
          <w:color w:val="231F20"/>
        </w:rPr>
        <w:t>the</w:t>
      </w:r>
      <w:r>
        <w:rPr>
          <w:color w:val="231F20"/>
          <w:spacing w:val="24"/>
          <w:w w:val="99"/>
        </w:rPr>
        <w:t> </w:t>
      </w:r>
      <w:r>
        <w:rPr>
          <w:color w:val="231F20"/>
          <w:spacing w:val="-1"/>
        </w:rPr>
        <w:t>methodology</w:t>
      </w:r>
      <w:r>
        <w:rPr>
          <w:color w:val="231F20"/>
          <w:spacing w:val="-4"/>
        </w:rPr>
        <w:t> </w:t>
      </w:r>
      <w:r>
        <w:rPr>
          <w:color w:val="231F20"/>
        </w:rPr>
        <w:t>used</w:t>
      </w:r>
      <w:r>
        <w:rPr>
          <w:color w:val="231F20"/>
          <w:spacing w:val="-5"/>
        </w:rPr>
        <w:t> </w:t>
      </w:r>
      <w:r>
        <w:rPr>
          <w:color w:val="231F20"/>
        </w:rPr>
        <w:t>to</w:t>
      </w:r>
      <w:r>
        <w:rPr>
          <w:color w:val="231F20"/>
          <w:spacing w:val="-5"/>
        </w:rPr>
        <w:t> </w:t>
      </w:r>
      <w:r>
        <w:rPr>
          <w:color w:val="231F20"/>
        </w:rPr>
        <w:t>determine</w:t>
      </w:r>
      <w:r>
        <w:rPr>
          <w:color w:val="231F20"/>
          <w:spacing w:val="-5"/>
        </w:rPr>
        <w:t> </w:t>
      </w:r>
      <w:r>
        <w:rPr>
          <w:color w:val="231F20"/>
        </w:rPr>
        <w:t>a</w:t>
      </w:r>
      <w:r>
        <w:rPr>
          <w:color w:val="231F20"/>
          <w:spacing w:val="-5"/>
        </w:rPr>
        <w:t> </w:t>
      </w:r>
      <w:r>
        <w:rPr>
          <w:color w:val="231F20"/>
        </w:rPr>
        <w:t>non</w:t>
      </w:r>
      <w:r>
        <w:rPr>
          <w:color w:val="231F20"/>
          <w:spacing w:val="-5"/>
        </w:rPr>
        <w:t> </w:t>
      </w:r>
      <w:r>
        <w:rPr>
          <w:color w:val="231F20"/>
        </w:rPr>
        <w:t>government</w:t>
      </w:r>
      <w:r>
        <w:rPr>
          <w:color w:val="231F20"/>
          <w:spacing w:val="-5"/>
        </w:rPr>
        <w:t> </w:t>
      </w:r>
      <w:r>
        <w:rPr>
          <w:color w:val="231F20"/>
          <w:spacing w:val="-1"/>
        </w:rPr>
        <w:t>school's</w:t>
      </w:r>
      <w:r>
        <w:rPr>
          <w:color w:val="231F20"/>
          <w:spacing w:val="-5"/>
        </w:rPr>
        <w:t> </w:t>
      </w:r>
      <w:r>
        <w:rPr>
          <w:color w:val="231F20"/>
          <w:spacing w:val="-1"/>
        </w:rPr>
        <w:t>SES</w:t>
      </w:r>
      <w:r>
        <w:rPr>
          <w:color w:val="231F20"/>
          <w:spacing w:val="-4"/>
        </w:rPr>
        <w:t> </w:t>
      </w:r>
      <w:r>
        <w:rPr>
          <w:color w:val="231F20"/>
          <w:spacing w:val="-1"/>
        </w:rPr>
        <w:t>score</w:t>
      </w:r>
      <w:r>
        <w:rPr>
          <w:color w:val="231F20"/>
          <w:spacing w:val="-5"/>
        </w:rPr>
        <w:t> </w:t>
      </w:r>
      <w:r>
        <w:rPr>
          <w:color w:val="231F20"/>
        </w:rPr>
        <w:t>for</w:t>
      </w:r>
      <w:r>
        <w:rPr>
          <w:color w:val="231F20"/>
          <w:spacing w:val="-4"/>
        </w:rPr>
        <w:t> </w:t>
      </w:r>
      <w:r>
        <w:rPr>
          <w:color w:val="231F20"/>
        </w:rPr>
        <w:t>the</w:t>
      </w:r>
      <w:r>
        <w:rPr>
          <w:color w:val="231F20"/>
          <w:spacing w:val="-6"/>
        </w:rPr>
        <w:t> </w:t>
      </w:r>
      <w:r>
        <w:rPr>
          <w:color w:val="231F20"/>
        </w:rPr>
        <w:t>'capacity</w:t>
      </w:r>
      <w:r>
        <w:rPr>
          <w:color w:val="231F20"/>
          <w:spacing w:val="-4"/>
        </w:rPr>
        <w:t> </w:t>
      </w:r>
      <w:r>
        <w:rPr>
          <w:color w:val="231F20"/>
        </w:rPr>
        <w:t>to</w:t>
      </w:r>
      <w:r>
        <w:rPr>
          <w:color w:val="231F20"/>
          <w:spacing w:val="25"/>
          <w:w w:val="99"/>
        </w:rPr>
        <w:t> </w:t>
      </w:r>
      <w:r>
        <w:rPr>
          <w:rFonts w:ascii="Segoe UI"/>
          <w:color w:val="231F20"/>
        </w:rPr>
        <w:t>contribute' assessment referenced on the first page of this factsheet.</w:t>
      </w:r>
      <w:r>
        <w:rPr>
          <w:rFonts w:ascii="Segoe UI"/>
        </w:rPr>
      </w:r>
    </w:p>
    <w:p>
      <w:pPr>
        <w:spacing w:line="240" w:lineRule="auto" w:before="9"/>
        <w:rPr>
          <w:rFonts w:ascii="Segoe UI" w:hAnsi="Segoe UI" w:cs="Segoe UI" w:eastAsia="Segoe UI"/>
          <w:sz w:val="19"/>
          <w:szCs w:val="19"/>
        </w:rPr>
      </w:pPr>
    </w:p>
    <w:p>
      <w:pPr>
        <w:pStyle w:val="Heading5"/>
        <w:spacing w:line="240" w:lineRule="auto"/>
        <w:ind w:right="0"/>
        <w:jc w:val="left"/>
        <w:rPr>
          <w:i w:val="0"/>
        </w:rPr>
      </w:pPr>
      <w:r>
        <w:rPr>
          <w:b/>
          <w:i/>
          <w:color w:val="00779B"/>
          <w:spacing w:val="-1"/>
        </w:rPr>
        <w:t>School</w:t>
      </w:r>
      <w:r>
        <w:rPr>
          <w:b/>
          <w:i/>
          <w:color w:val="00779B"/>
          <w:spacing w:val="-4"/>
        </w:rPr>
        <w:t> </w:t>
      </w:r>
      <w:r>
        <w:rPr>
          <w:b/>
          <w:i/>
          <w:color w:val="00779B"/>
          <w:spacing w:val="-1"/>
        </w:rPr>
        <w:t>location</w:t>
      </w:r>
      <w:r>
        <w:rPr>
          <w:b/>
          <w:i/>
          <w:color w:val="00779B"/>
          <w:spacing w:val="-4"/>
        </w:rPr>
        <w:t> </w:t>
      </w:r>
      <w:r>
        <w:rPr>
          <w:b/>
          <w:i/>
          <w:color w:val="00779B"/>
          <w:spacing w:val="-2"/>
        </w:rPr>
        <w:t>loading</w:t>
      </w:r>
      <w:r>
        <w:rPr>
          <w:i w:val="0"/>
        </w:rPr>
      </w:r>
    </w:p>
    <w:p>
      <w:pPr>
        <w:pStyle w:val="BodyText"/>
        <w:spacing w:line="250" w:lineRule="exact" w:before="131"/>
        <w:ind w:right="167"/>
        <w:jc w:val="left"/>
      </w:pPr>
      <w:r>
        <w:rPr>
          <w:color w:val="231F20"/>
        </w:rPr>
        <w:t>This</w:t>
      </w:r>
      <w:r>
        <w:rPr>
          <w:color w:val="231F20"/>
          <w:spacing w:val="-6"/>
        </w:rPr>
        <w:t> </w:t>
      </w:r>
      <w:r>
        <w:rPr>
          <w:color w:val="231F20"/>
          <w:spacing w:val="-1"/>
        </w:rPr>
        <w:t>loading</w:t>
      </w:r>
      <w:r>
        <w:rPr>
          <w:color w:val="231F20"/>
          <w:spacing w:val="-4"/>
        </w:rPr>
        <w:t> </w:t>
      </w:r>
      <w:r>
        <w:rPr>
          <w:color w:val="231F20"/>
        </w:rPr>
        <w:t>provides</w:t>
      </w:r>
      <w:r>
        <w:rPr>
          <w:color w:val="231F20"/>
          <w:spacing w:val="-5"/>
        </w:rPr>
        <w:t> </w:t>
      </w:r>
      <w:r>
        <w:rPr>
          <w:color w:val="231F20"/>
        </w:rPr>
        <w:t>extra</w:t>
      </w:r>
      <w:r>
        <w:rPr>
          <w:color w:val="231F20"/>
          <w:spacing w:val="-4"/>
        </w:rPr>
        <w:t> </w:t>
      </w:r>
      <w:r>
        <w:rPr>
          <w:color w:val="231F20"/>
        </w:rPr>
        <w:t>funding</w:t>
      </w:r>
      <w:r>
        <w:rPr>
          <w:color w:val="231F20"/>
          <w:spacing w:val="-4"/>
        </w:rPr>
        <w:t> </w:t>
      </w:r>
      <w:r>
        <w:rPr>
          <w:color w:val="231F20"/>
        </w:rPr>
        <w:t>for</w:t>
      </w:r>
      <w:r>
        <w:rPr>
          <w:color w:val="231F20"/>
          <w:spacing w:val="-5"/>
        </w:rPr>
        <w:t> </w:t>
      </w:r>
      <w:r>
        <w:rPr>
          <w:color w:val="231F20"/>
          <w:spacing w:val="-1"/>
        </w:rPr>
        <w:t>schools</w:t>
      </w:r>
      <w:r>
        <w:rPr>
          <w:color w:val="231F20"/>
          <w:spacing w:val="-4"/>
        </w:rPr>
        <w:t> </w:t>
      </w:r>
      <w:r>
        <w:rPr>
          <w:color w:val="231F20"/>
          <w:spacing w:val="-1"/>
        </w:rPr>
        <w:t>in</w:t>
      </w:r>
      <w:r>
        <w:rPr>
          <w:color w:val="231F20"/>
          <w:spacing w:val="-4"/>
        </w:rPr>
        <w:t> </w:t>
      </w:r>
      <w:r>
        <w:rPr>
          <w:color w:val="231F20"/>
        </w:rPr>
        <w:t>regional</w:t>
      </w:r>
      <w:r>
        <w:rPr>
          <w:color w:val="231F20"/>
          <w:spacing w:val="-5"/>
        </w:rPr>
        <w:t> </w:t>
      </w:r>
      <w:r>
        <w:rPr>
          <w:color w:val="231F20"/>
        </w:rPr>
        <w:t>and</w:t>
      </w:r>
      <w:r>
        <w:rPr>
          <w:color w:val="231F20"/>
          <w:spacing w:val="-5"/>
        </w:rPr>
        <w:t> </w:t>
      </w:r>
      <w:r>
        <w:rPr>
          <w:color w:val="231F20"/>
        </w:rPr>
        <w:t>remote</w:t>
      </w:r>
      <w:r>
        <w:rPr>
          <w:color w:val="231F20"/>
          <w:spacing w:val="-5"/>
        </w:rPr>
        <w:t> </w:t>
      </w:r>
      <w:r>
        <w:rPr>
          <w:color w:val="231F20"/>
          <w:spacing w:val="-1"/>
        </w:rPr>
        <w:t>locations</w:t>
      </w:r>
      <w:r>
        <w:rPr>
          <w:color w:val="231F20"/>
          <w:spacing w:val="-5"/>
        </w:rPr>
        <w:t> </w:t>
      </w:r>
      <w:r>
        <w:rPr>
          <w:color w:val="231F20"/>
          <w:spacing w:val="-1"/>
        </w:rPr>
        <w:t>in</w:t>
      </w:r>
      <w:r>
        <w:rPr>
          <w:color w:val="231F20"/>
          <w:spacing w:val="-4"/>
        </w:rPr>
        <w:t> </w:t>
      </w:r>
      <w:r>
        <w:rPr>
          <w:color w:val="231F20"/>
        </w:rPr>
        <w:t>recognition</w:t>
      </w:r>
      <w:r>
        <w:rPr>
          <w:color w:val="231F20"/>
          <w:spacing w:val="-6"/>
        </w:rPr>
        <w:t> </w:t>
      </w:r>
      <w:r>
        <w:rPr>
          <w:color w:val="231F20"/>
        </w:rPr>
        <w:t>that</w:t>
      </w:r>
      <w:r>
        <w:rPr>
          <w:color w:val="231F20"/>
          <w:spacing w:val="26"/>
          <w:w w:val="99"/>
        </w:rPr>
        <w:t> </w:t>
      </w:r>
      <w:r>
        <w:rPr>
          <w:color w:val="231F20"/>
          <w:spacing w:val="-1"/>
        </w:rPr>
        <w:t>it</w:t>
      </w:r>
      <w:r>
        <w:rPr>
          <w:color w:val="231F20"/>
          <w:spacing w:val="-4"/>
        </w:rPr>
        <w:t> </w:t>
      </w:r>
      <w:r>
        <w:rPr>
          <w:color w:val="231F20"/>
        </w:rPr>
        <w:t>generally</w:t>
      </w:r>
      <w:r>
        <w:rPr>
          <w:color w:val="231F20"/>
          <w:spacing w:val="-4"/>
        </w:rPr>
        <w:t> </w:t>
      </w:r>
      <w:r>
        <w:rPr>
          <w:color w:val="231F20"/>
        </w:rPr>
        <w:t>costs</w:t>
      </w:r>
      <w:r>
        <w:rPr>
          <w:color w:val="231F20"/>
          <w:spacing w:val="-5"/>
        </w:rPr>
        <w:t> </w:t>
      </w:r>
      <w:r>
        <w:rPr>
          <w:color w:val="231F20"/>
          <w:spacing w:val="-1"/>
        </w:rPr>
        <w:t>more</w:t>
      </w:r>
      <w:r>
        <w:rPr>
          <w:color w:val="231F20"/>
          <w:spacing w:val="-3"/>
        </w:rPr>
        <w:t> </w:t>
      </w:r>
      <w:r>
        <w:rPr>
          <w:color w:val="231F20"/>
        </w:rPr>
        <w:t>to</w:t>
      </w:r>
      <w:r>
        <w:rPr>
          <w:color w:val="231F20"/>
          <w:spacing w:val="-3"/>
        </w:rPr>
        <w:t> </w:t>
      </w:r>
      <w:r>
        <w:rPr>
          <w:color w:val="231F20"/>
        </w:rPr>
        <w:t>educate</w:t>
      </w:r>
      <w:r>
        <w:rPr>
          <w:color w:val="231F20"/>
          <w:spacing w:val="-4"/>
        </w:rPr>
        <w:t> </w:t>
      </w:r>
      <w:r>
        <w:rPr>
          <w:color w:val="231F20"/>
          <w:spacing w:val="-1"/>
        </w:rPr>
        <w:t>students</w:t>
      </w:r>
      <w:r>
        <w:rPr>
          <w:color w:val="231F20"/>
          <w:spacing w:val="-3"/>
        </w:rPr>
        <w:t> </w:t>
      </w:r>
      <w:r>
        <w:rPr>
          <w:color w:val="231F20"/>
        </w:rPr>
        <w:t>going</w:t>
      </w:r>
      <w:r>
        <w:rPr>
          <w:color w:val="231F20"/>
          <w:spacing w:val="-5"/>
        </w:rPr>
        <w:t> </w:t>
      </w:r>
      <w:r>
        <w:rPr>
          <w:color w:val="231F20"/>
        </w:rPr>
        <w:t>to</w:t>
      </w:r>
      <w:r>
        <w:rPr>
          <w:color w:val="231F20"/>
          <w:spacing w:val="-3"/>
        </w:rPr>
        <w:t> </w:t>
      </w:r>
      <w:r>
        <w:rPr>
          <w:color w:val="231F20"/>
          <w:spacing w:val="-1"/>
        </w:rPr>
        <w:t>school</w:t>
      </w:r>
      <w:r>
        <w:rPr>
          <w:color w:val="231F20"/>
          <w:spacing w:val="-3"/>
        </w:rPr>
        <w:t> </w:t>
      </w:r>
      <w:r>
        <w:rPr>
          <w:color w:val="231F20"/>
          <w:spacing w:val="-1"/>
        </w:rPr>
        <w:t>in</w:t>
      </w:r>
      <w:r>
        <w:rPr>
          <w:color w:val="231F20"/>
          <w:spacing w:val="-4"/>
        </w:rPr>
        <w:t> </w:t>
      </w:r>
      <w:r>
        <w:rPr>
          <w:color w:val="231F20"/>
        </w:rPr>
        <w:t>regional</w:t>
      </w:r>
      <w:r>
        <w:rPr>
          <w:color w:val="231F20"/>
          <w:spacing w:val="-4"/>
        </w:rPr>
        <w:t> </w:t>
      </w:r>
      <w:r>
        <w:rPr>
          <w:color w:val="231F20"/>
        </w:rPr>
        <w:t>and</w:t>
      </w:r>
      <w:r>
        <w:rPr>
          <w:color w:val="231F20"/>
          <w:spacing w:val="-4"/>
        </w:rPr>
        <w:t> </w:t>
      </w:r>
      <w:r>
        <w:rPr>
          <w:color w:val="231F20"/>
        </w:rPr>
        <w:t>remote</w:t>
      </w:r>
      <w:r>
        <w:rPr>
          <w:color w:val="231F20"/>
          <w:spacing w:val="-5"/>
        </w:rPr>
        <w:t> </w:t>
      </w:r>
      <w:r>
        <w:rPr>
          <w:color w:val="231F20"/>
        </w:rPr>
        <w:t>areas</w:t>
      </w:r>
      <w:r>
        <w:rPr>
          <w:color w:val="231F20"/>
          <w:spacing w:val="-4"/>
        </w:rPr>
        <w:t> </w:t>
      </w:r>
      <w:r>
        <w:rPr>
          <w:color w:val="231F20"/>
        </w:rPr>
        <w:t>than</w:t>
      </w:r>
      <w:r>
        <w:rPr>
          <w:color w:val="231F20"/>
          <w:spacing w:val="-5"/>
        </w:rPr>
        <w:t> </w:t>
      </w:r>
      <w:r>
        <w:rPr>
          <w:color w:val="231F20"/>
          <w:spacing w:val="-1"/>
        </w:rPr>
        <w:t>it</w:t>
      </w:r>
      <w:r>
        <w:rPr>
          <w:color w:val="231F20"/>
          <w:spacing w:val="25"/>
        </w:rPr>
        <w:t> </w:t>
      </w:r>
      <w:r>
        <w:rPr>
          <w:color w:val="231F20"/>
        </w:rPr>
        <w:t>does</w:t>
      </w:r>
      <w:r>
        <w:rPr>
          <w:color w:val="231F20"/>
          <w:spacing w:val="-4"/>
        </w:rPr>
        <w:t> </w:t>
      </w:r>
      <w:r>
        <w:rPr>
          <w:color w:val="231F20"/>
        </w:rPr>
        <w:t>for</w:t>
      </w:r>
      <w:r>
        <w:rPr>
          <w:color w:val="231F20"/>
          <w:spacing w:val="-2"/>
        </w:rPr>
        <w:t> </w:t>
      </w:r>
      <w:r>
        <w:rPr>
          <w:color w:val="231F20"/>
          <w:spacing w:val="-1"/>
        </w:rPr>
        <w:t>students</w:t>
      </w:r>
      <w:r>
        <w:rPr>
          <w:color w:val="231F20"/>
          <w:spacing w:val="-2"/>
        </w:rPr>
        <w:t> </w:t>
      </w:r>
      <w:r>
        <w:rPr>
          <w:color w:val="231F20"/>
          <w:spacing w:val="-1"/>
        </w:rPr>
        <w:t>in</w:t>
      </w:r>
      <w:r>
        <w:rPr>
          <w:color w:val="231F20"/>
          <w:spacing w:val="-2"/>
        </w:rPr>
        <w:t> </w:t>
      </w:r>
      <w:r>
        <w:rPr>
          <w:color w:val="231F20"/>
        </w:rPr>
        <w:t>city</w:t>
      </w:r>
      <w:r>
        <w:rPr>
          <w:color w:val="231F20"/>
          <w:spacing w:val="-3"/>
        </w:rPr>
        <w:t> </w:t>
      </w:r>
      <w:r>
        <w:rPr>
          <w:color w:val="231F20"/>
        </w:rPr>
        <w:t>based</w:t>
      </w:r>
      <w:r>
        <w:rPr>
          <w:color w:val="231F20"/>
          <w:spacing w:val="-3"/>
        </w:rPr>
        <w:t> </w:t>
      </w:r>
      <w:r>
        <w:rPr>
          <w:color w:val="231F20"/>
          <w:spacing w:val="-1"/>
        </w:rPr>
        <w:t>schools.</w:t>
      </w:r>
      <w:r>
        <w:rPr>
          <w:color w:val="231F20"/>
          <w:spacing w:val="-2"/>
        </w:rPr>
        <w:t> </w:t>
      </w:r>
      <w:r>
        <w:rPr>
          <w:color w:val="231F20"/>
        </w:rPr>
        <w:t>The</w:t>
      </w:r>
      <w:r>
        <w:rPr>
          <w:color w:val="231F20"/>
          <w:spacing w:val="-2"/>
        </w:rPr>
        <w:t> </w:t>
      </w:r>
      <w:r>
        <w:rPr>
          <w:color w:val="231F20"/>
          <w:spacing w:val="-1"/>
        </w:rPr>
        <w:t>loading</w:t>
      </w:r>
      <w:r>
        <w:rPr>
          <w:color w:val="231F20"/>
          <w:spacing w:val="-2"/>
        </w:rPr>
        <w:t> </w:t>
      </w:r>
      <w:r>
        <w:rPr>
          <w:color w:val="231F20"/>
          <w:spacing w:val="-1"/>
        </w:rPr>
        <w:t>is</w:t>
      </w:r>
      <w:r>
        <w:rPr>
          <w:color w:val="231F20"/>
          <w:spacing w:val="-3"/>
        </w:rPr>
        <w:t> </w:t>
      </w:r>
      <w:r>
        <w:rPr>
          <w:color w:val="231F20"/>
        </w:rPr>
        <w:t>based</w:t>
      </w:r>
      <w:r>
        <w:rPr>
          <w:color w:val="231F20"/>
          <w:spacing w:val="-3"/>
        </w:rPr>
        <w:t> </w:t>
      </w:r>
      <w:r>
        <w:rPr>
          <w:color w:val="231F20"/>
        </w:rPr>
        <w:t>on</w:t>
      </w:r>
      <w:r>
        <w:rPr>
          <w:color w:val="231F20"/>
          <w:spacing w:val="-3"/>
        </w:rPr>
        <w:t> </w:t>
      </w:r>
      <w:r>
        <w:rPr>
          <w:color w:val="231F20"/>
        </w:rPr>
        <w:t>a</w:t>
      </w:r>
      <w:r>
        <w:rPr>
          <w:color w:val="231F20"/>
          <w:spacing w:val="-2"/>
        </w:rPr>
        <w:t> </w:t>
      </w:r>
      <w:r>
        <w:rPr>
          <w:color w:val="231F20"/>
          <w:spacing w:val="-1"/>
        </w:rPr>
        <w:t>school’s</w:t>
      </w:r>
      <w:r>
        <w:rPr>
          <w:color w:val="231F20"/>
          <w:spacing w:val="-2"/>
        </w:rPr>
        <w:t> </w:t>
      </w:r>
      <w:r>
        <w:rPr>
          <w:color w:val="231F20"/>
          <w:spacing w:val="-1"/>
        </w:rPr>
        <w:t>Accessibility/Remoteness</w:t>
      </w:r>
      <w:r>
        <w:rPr>
          <w:color w:val="231F20"/>
          <w:spacing w:val="47"/>
        </w:rPr>
        <w:t> </w:t>
      </w:r>
      <w:r>
        <w:rPr>
          <w:color w:val="231F20"/>
          <w:spacing w:val="-1"/>
        </w:rPr>
        <w:t>Index</w:t>
      </w:r>
      <w:r>
        <w:rPr>
          <w:color w:val="231F20"/>
          <w:spacing w:val="-4"/>
        </w:rPr>
        <w:t> </w:t>
      </w:r>
      <w:r>
        <w:rPr>
          <w:color w:val="231F20"/>
        </w:rPr>
        <w:t>of</w:t>
      </w:r>
      <w:r>
        <w:rPr>
          <w:color w:val="231F20"/>
          <w:spacing w:val="-4"/>
        </w:rPr>
        <w:t> </w:t>
      </w:r>
      <w:r>
        <w:rPr>
          <w:color w:val="231F20"/>
        </w:rPr>
        <w:t>Australia</w:t>
      </w:r>
      <w:r>
        <w:rPr>
          <w:color w:val="231F20"/>
          <w:spacing w:val="-3"/>
        </w:rPr>
        <w:t> </w:t>
      </w:r>
      <w:r>
        <w:rPr>
          <w:color w:val="231F20"/>
        </w:rPr>
        <w:t>(ARIA)</w:t>
      </w:r>
      <w:r>
        <w:rPr>
          <w:color w:val="231F20"/>
          <w:spacing w:val="-5"/>
        </w:rPr>
        <w:t> </w:t>
      </w:r>
      <w:r>
        <w:rPr>
          <w:color w:val="231F20"/>
          <w:spacing w:val="-1"/>
        </w:rPr>
        <w:t>score,</w:t>
      </w:r>
      <w:r>
        <w:rPr>
          <w:color w:val="231F20"/>
          <w:spacing w:val="-3"/>
        </w:rPr>
        <w:t> </w:t>
      </w:r>
      <w:r>
        <w:rPr>
          <w:color w:val="231F20"/>
        </w:rPr>
        <w:t>a</w:t>
      </w:r>
      <w:r>
        <w:rPr>
          <w:color w:val="231F20"/>
          <w:spacing w:val="-4"/>
        </w:rPr>
        <w:t> </w:t>
      </w:r>
      <w:r>
        <w:rPr>
          <w:color w:val="231F20"/>
          <w:spacing w:val="-1"/>
        </w:rPr>
        <w:t>measure</w:t>
      </w:r>
      <w:r>
        <w:rPr>
          <w:color w:val="231F20"/>
          <w:spacing w:val="-4"/>
        </w:rPr>
        <w:t> </w:t>
      </w:r>
      <w:r>
        <w:rPr>
          <w:color w:val="231F20"/>
        </w:rPr>
        <w:t>of</w:t>
      </w:r>
      <w:r>
        <w:rPr>
          <w:color w:val="231F20"/>
          <w:spacing w:val="-3"/>
        </w:rPr>
        <w:t> </w:t>
      </w:r>
      <w:r>
        <w:rPr>
          <w:color w:val="231F20"/>
        </w:rPr>
        <w:t>the</w:t>
      </w:r>
      <w:r>
        <w:rPr>
          <w:color w:val="231F20"/>
          <w:spacing w:val="-5"/>
        </w:rPr>
        <w:t> </w:t>
      </w:r>
      <w:r>
        <w:rPr>
          <w:color w:val="231F20"/>
        </w:rPr>
        <w:t>remoteness</w:t>
      </w:r>
      <w:r>
        <w:rPr>
          <w:color w:val="231F20"/>
          <w:spacing w:val="-5"/>
        </w:rPr>
        <w:t> </w:t>
      </w:r>
      <w:r>
        <w:rPr>
          <w:color w:val="231F20"/>
        </w:rPr>
        <w:t>or</w:t>
      </w:r>
      <w:r>
        <w:rPr>
          <w:color w:val="231F20"/>
          <w:spacing w:val="-4"/>
        </w:rPr>
        <w:t> </w:t>
      </w:r>
      <w:r>
        <w:rPr>
          <w:color w:val="231F20"/>
        </w:rPr>
        <w:t>accessibility</w:t>
      </w:r>
      <w:r>
        <w:rPr>
          <w:color w:val="231F20"/>
          <w:spacing w:val="-5"/>
        </w:rPr>
        <w:t> </w:t>
      </w:r>
      <w:r>
        <w:rPr>
          <w:color w:val="231F20"/>
        </w:rPr>
        <w:t>of</w:t>
      </w:r>
      <w:r>
        <w:rPr>
          <w:color w:val="231F20"/>
          <w:spacing w:val="-4"/>
        </w:rPr>
        <w:t> </w:t>
      </w:r>
      <w:r>
        <w:rPr>
          <w:color w:val="231F20"/>
        </w:rPr>
        <w:t>every</w:t>
      </w:r>
      <w:r>
        <w:rPr>
          <w:color w:val="231F20"/>
          <w:spacing w:val="-3"/>
        </w:rPr>
        <w:t> </w:t>
      </w:r>
      <w:r>
        <w:rPr>
          <w:color w:val="231F20"/>
          <w:spacing w:val="-1"/>
        </w:rPr>
        <w:t>location</w:t>
      </w:r>
      <w:r>
        <w:rPr>
          <w:color w:val="231F20"/>
          <w:spacing w:val="-4"/>
        </w:rPr>
        <w:t> </w:t>
      </w:r>
      <w:r>
        <w:rPr>
          <w:color w:val="231F20"/>
          <w:spacing w:val="-1"/>
        </w:rPr>
        <w:t>in</w:t>
      </w:r>
      <w:r>
        <w:rPr>
          <w:color w:val="231F20"/>
          <w:spacing w:val="24"/>
        </w:rPr>
        <w:t> </w:t>
      </w:r>
      <w:r>
        <w:rPr>
          <w:color w:val="231F20"/>
        </w:rPr>
        <w:t>Australia,</w:t>
      </w:r>
      <w:r>
        <w:rPr>
          <w:color w:val="231F20"/>
          <w:spacing w:val="-5"/>
        </w:rPr>
        <w:t> </w:t>
      </w:r>
      <w:r>
        <w:rPr>
          <w:color w:val="231F20"/>
        </w:rPr>
        <w:t>as</w:t>
      </w:r>
      <w:r>
        <w:rPr>
          <w:color w:val="231F20"/>
          <w:spacing w:val="-5"/>
        </w:rPr>
        <w:t> </w:t>
      </w:r>
      <w:r>
        <w:rPr>
          <w:color w:val="231F20"/>
        </w:rPr>
        <w:t>a</w:t>
      </w:r>
      <w:r>
        <w:rPr>
          <w:color w:val="231F20"/>
          <w:spacing w:val="-4"/>
        </w:rPr>
        <w:t> </w:t>
      </w:r>
      <w:r>
        <w:rPr>
          <w:color w:val="231F20"/>
        </w:rPr>
        <w:t>percentage</w:t>
      </w:r>
      <w:r>
        <w:rPr>
          <w:color w:val="231F20"/>
          <w:spacing w:val="-5"/>
        </w:rPr>
        <w:t> </w:t>
      </w:r>
      <w:r>
        <w:rPr>
          <w:color w:val="231F20"/>
        </w:rPr>
        <w:t>to</w:t>
      </w:r>
      <w:r>
        <w:rPr>
          <w:color w:val="231F20"/>
          <w:spacing w:val="-4"/>
        </w:rPr>
        <w:t> </w:t>
      </w:r>
      <w:r>
        <w:rPr>
          <w:color w:val="231F20"/>
        </w:rPr>
        <w:t>both</w:t>
      </w:r>
      <w:r>
        <w:rPr>
          <w:color w:val="231F20"/>
          <w:spacing w:val="-5"/>
        </w:rPr>
        <w:t> </w:t>
      </w:r>
      <w:r>
        <w:rPr>
          <w:color w:val="231F20"/>
        </w:rPr>
        <w:t>the</w:t>
      </w:r>
      <w:r>
        <w:rPr>
          <w:color w:val="231F20"/>
          <w:spacing w:val="-5"/>
        </w:rPr>
        <w:t> </w:t>
      </w:r>
      <w:r>
        <w:rPr>
          <w:color w:val="231F20"/>
        </w:rPr>
        <w:t>per</w:t>
      </w:r>
      <w:r>
        <w:rPr>
          <w:color w:val="231F20"/>
          <w:spacing w:val="-4"/>
        </w:rPr>
        <w:t> </w:t>
      </w:r>
      <w:r>
        <w:rPr>
          <w:color w:val="231F20"/>
          <w:spacing w:val="-1"/>
        </w:rPr>
        <w:t>student</w:t>
      </w:r>
      <w:r>
        <w:rPr>
          <w:color w:val="231F20"/>
          <w:spacing w:val="-5"/>
        </w:rPr>
        <w:t> </w:t>
      </w:r>
      <w:r>
        <w:rPr>
          <w:color w:val="231F20"/>
        </w:rPr>
        <w:t>base</w:t>
      </w:r>
      <w:r>
        <w:rPr>
          <w:color w:val="231F20"/>
          <w:spacing w:val="-5"/>
        </w:rPr>
        <w:t> </w:t>
      </w:r>
      <w:r>
        <w:rPr>
          <w:color w:val="231F20"/>
        </w:rPr>
        <w:t>amount</w:t>
      </w:r>
      <w:r>
        <w:rPr>
          <w:color w:val="231F20"/>
          <w:spacing w:val="-5"/>
        </w:rPr>
        <w:t> </w:t>
      </w:r>
      <w:r>
        <w:rPr>
          <w:color w:val="231F20"/>
        </w:rPr>
        <w:t>and</w:t>
      </w:r>
      <w:r>
        <w:rPr>
          <w:color w:val="231F20"/>
          <w:spacing w:val="-5"/>
        </w:rPr>
        <w:t> </w:t>
      </w:r>
      <w:r>
        <w:rPr>
          <w:color w:val="231F20"/>
        </w:rPr>
        <w:t>the</w:t>
      </w:r>
      <w:r>
        <w:rPr>
          <w:color w:val="231F20"/>
          <w:spacing w:val="-5"/>
        </w:rPr>
        <w:t> </w:t>
      </w:r>
      <w:r>
        <w:rPr>
          <w:color w:val="231F20"/>
          <w:spacing w:val="-1"/>
        </w:rPr>
        <w:t>school's</w:t>
      </w:r>
      <w:r>
        <w:rPr>
          <w:color w:val="231F20"/>
          <w:spacing w:val="-4"/>
        </w:rPr>
        <w:t> </w:t>
      </w:r>
      <w:r>
        <w:rPr>
          <w:color w:val="231F20"/>
          <w:spacing w:val="-1"/>
        </w:rPr>
        <w:t>size</w:t>
      </w:r>
      <w:r>
        <w:rPr>
          <w:color w:val="231F20"/>
          <w:spacing w:val="-4"/>
        </w:rPr>
        <w:t> </w:t>
      </w:r>
      <w:r>
        <w:rPr>
          <w:color w:val="231F20"/>
          <w:spacing w:val="-1"/>
        </w:rPr>
        <w:t>loading.</w:t>
      </w:r>
      <w:r>
        <w:rPr/>
      </w:r>
    </w:p>
    <w:p>
      <w:pPr>
        <w:pStyle w:val="BodyText"/>
        <w:spacing w:line="250" w:lineRule="exact" w:before="113"/>
        <w:ind w:right="164"/>
        <w:jc w:val="both"/>
      </w:pPr>
      <w:r>
        <w:rPr>
          <w:color w:val="231F20"/>
          <w:spacing w:val="-1"/>
        </w:rPr>
        <w:t>It</w:t>
      </w:r>
      <w:r>
        <w:rPr>
          <w:color w:val="231F20"/>
          <w:spacing w:val="-4"/>
        </w:rPr>
        <w:t> </w:t>
      </w:r>
      <w:r>
        <w:rPr>
          <w:color w:val="231F20"/>
          <w:spacing w:val="-1"/>
        </w:rPr>
        <w:t>is</w:t>
      </w:r>
      <w:r>
        <w:rPr>
          <w:color w:val="231F20"/>
          <w:spacing w:val="-5"/>
        </w:rPr>
        <w:t> </w:t>
      </w:r>
      <w:r>
        <w:rPr>
          <w:color w:val="231F20"/>
        </w:rPr>
        <w:t>estimated</w:t>
      </w:r>
      <w:r>
        <w:rPr>
          <w:color w:val="231F20"/>
          <w:spacing w:val="-4"/>
        </w:rPr>
        <w:t> </w:t>
      </w:r>
      <w:r>
        <w:rPr>
          <w:color w:val="231F20"/>
        </w:rPr>
        <w:t>the</w:t>
      </w:r>
      <w:r>
        <w:rPr>
          <w:color w:val="231F20"/>
          <w:spacing w:val="-5"/>
        </w:rPr>
        <w:t> </w:t>
      </w:r>
      <w:r>
        <w:rPr>
          <w:color w:val="231F20"/>
          <w:spacing w:val="-1"/>
        </w:rPr>
        <w:t>location</w:t>
      </w:r>
      <w:r>
        <w:rPr>
          <w:color w:val="231F20"/>
          <w:spacing w:val="-3"/>
        </w:rPr>
        <w:t> </w:t>
      </w:r>
      <w:r>
        <w:rPr>
          <w:color w:val="231F20"/>
          <w:spacing w:val="-1"/>
        </w:rPr>
        <w:t>loading</w:t>
      </w:r>
      <w:r>
        <w:rPr>
          <w:color w:val="231F20"/>
          <w:spacing w:val="-4"/>
        </w:rPr>
        <w:t> </w:t>
      </w:r>
      <w:r>
        <w:rPr>
          <w:color w:val="231F20"/>
        </w:rPr>
        <w:t>will</w:t>
      </w:r>
      <w:r>
        <w:rPr>
          <w:color w:val="231F20"/>
          <w:spacing w:val="-4"/>
        </w:rPr>
        <w:t> </w:t>
      </w:r>
      <w:r>
        <w:rPr>
          <w:color w:val="231F20"/>
        </w:rPr>
        <w:t>account</w:t>
      </w:r>
      <w:r>
        <w:rPr>
          <w:color w:val="231F20"/>
          <w:spacing w:val="-5"/>
        </w:rPr>
        <w:t> </w:t>
      </w:r>
      <w:r>
        <w:rPr>
          <w:color w:val="231F20"/>
        </w:rPr>
        <w:t>for</w:t>
      </w:r>
      <w:r>
        <w:rPr>
          <w:color w:val="231F20"/>
          <w:spacing w:val="-3"/>
        </w:rPr>
        <w:t> </w:t>
      </w:r>
      <w:r>
        <w:rPr>
          <w:color w:val="231F20"/>
          <w:spacing w:val="-1"/>
        </w:rPr>
        <w:t>2.3</w:t>
      </w:r>
      <w:r>
        <w:rPr>
          <w:color w:val="231F20"/>
          <w:spacing w:val="-4"/>
        </w:rPr>
        <w:t> </w:t>
      </w:r>
      <w:r>
        <w:rPr>
          <w:color w:val="231F20"/>
        </w:rPr>
        <w:t>per</w:t>
      </w:r>
      <w:r>
        <w:rPr>
          <w:color w:val="231F20"/>
          <w:spacing w:val="-4"/>
        </w:rPr>
        <w:t> </w:t>
      </w:r>
      <w:r>
        <w:rPr>
          <w:color w:val="231F20"/>
        </w:rPr>
        <w:t>cent</w:t>
      </w:r>
      <w:r>
        <w:rPr>
          <w:color w:val="231F20"/>
          <w:spacing w:val="-4"/>
        </w:rPr>
        <w:t> </w:t>
      </w:r>
      <w:r>
        <w:rPr>
          <w:color w:val="231F20"/>
        </w:rPr>
        <w:t>of</w:t>
      </w:r>
      <w:r>
        <w:rPr>
          <w:color w:val="231F20"/>
          <w:spacing w:val="-4"/>
        </w:rPr>
        <w:t> </w:t>
      </w:r>
      <w:r>
        <w:rPr>
          <w:color w:val="231F20"/>
          <w:spacing w:val="-1"/>
        </w:rPr>
        <w:t>Commonwealth</w:t>
      </w:r>
      <w:r>
        <w:rPr>
          <w:color w:val="231F20"/>
          <w:spacing w:val="-3"/>
        </w:rPr>
        <w:t> </w:t>
      </w:r>
      <w:r>
        <w:rPr>
          <w:color w:val="231F20"/>
        </w:rPr>
        <w:t>recurrent</w:t>
      </w:r>
      <w:r>
        <w:rPr>
          <w:color w:val="231F20"/>
          <w:spacing w:val="-5"/>
        </w:rPr>
        <w:t> </w:t>
      </w:r>
      <w:r>
        <w:rPr>
          <w:color w:val="231F20"/>
          <w:spacing w:val="-1"/>
        </w:rPr>
        <w:t>school</w:t>
      </w:r>
      <w:r>
        <w:rPr>
          <w:color w:val="231F20"/>
          <w:spacing w:val="26"/>
        </w:rPr>
        <w:t> </w:t>
      </w:r>
      <w:r>
        <w:rPr>
          <w:color w:val="231F20"/>
        </w:rPr>
        <w:t>funding</w:t>
      </w:r>
      <w:r>
        <w:rPr>
          <w:color w:val="231F20"/>
          <w:spacing w:val="-4"/>
        </w:rPr>
        <w:t> </w:t>
      </w:r>
      <w:r>
        <w:rPr>
          <w:color w:val="231F20"/>
        </w:rPr>
        <w:t>expenditure</w:t>
      </w:r>
      <w:r>
        <w:rPr>
          <w:color w:val="231F20"/>
          <w:spacing w:val="-4"/>
        </w:rPr>
        <w:t> </w:t>
      </w:r>
      <w:r>
        <w:rPr>
          <w:color w:val="231F20"/>
          <w:spacing w:val="-1"/>
        </w:rPr>
        <w:t>in</w:t>
      </w:r>
      <w:r>
        <w:rPr>
          <w:color w:val="231F20"/>
          <w:spacing w:val="-4"/>
        </w:rPr>
        <w:t> </w:t>
      </w:r>
      <w:r>
        <w:rPr>
          <w:color w:val="231F20"/>
          <w:spacing w:val="-1"/>
        </w:rPr>
        <w:t>2019.</w:t>
      </w:r>
      <w:r>
        <w:rPr>
          <w:color w:val="231F20"/>
          <w:spacing w:val="-3"/>
        </w:rPr>
        <w:t> </w:t>
      </w:r>
      <w:r>
        <w:rPr>
          <w:color w:val="231F20"/>
          <w:spacing w:val="-1"/>
        </w:rPr>
        <w:t>Funding</w:t>
      </w:r>
      <w:r>
        <w:rPr>
          <w:color w:val="231F20"/>
          <w:spacing w:val="-3"/>
        </w:rPr>
        <w:t> </w:t>
      </w:r>
      <w:r>
        <w:rPr>
          <w:color w:val="231F20"/>
        </w:rPr>
        <w:t>for</w:t>
      </w:r>
      <w:r>
        <w:rPr>
          <w:color w:val="231F20"/>
          <w:spacing w:val="-4"/>
        </w:rPr>
        <w:t> </w:t>
      </w:r>
      <w:r>
        <w:rPr>
          <w:color w:val="231F20"/>
        </w:rPr>
        <w:t>the</w:t>
      </w:r>
      <w:r>
        <w:rPr>
          <w:color w:val="231F20"/>
          <w:spacing w:val="-4"/>
        </w:rPr>
        <w:t> </w:t>
      </w:r>
      <w:r>
        <w:rPr>
          <w:color w:val="231F20"/>
          <w:spacing w:val="-1"/>
        </w:rPr>
        <w:t>loading</w:t>
      </w:r>
      <w:r>
        <w:rPr>
          <w:color w:val="231F20"/>
          <w:spacing w:val="-3"/>
        </w:rPr>
        <w:t> </w:t>
      </w:r>
      <w:r>
        <w:rPr>
          <w:color w:val="231F20"/>
        </w:rPr>
        <w:t>for</w:t>
      </w:r>
      <w:r>
        <w:rPr>
          <w:color w:val="231F20"/>
          <w:spacing w:val="-4"/>
        </w:rPr>
        <w:t> </w:t>
      </w:r>
      <w:r>
        <w:rPr>
          <w:color w:val="231F20"/>
        </w:rPr>
        <w:t>remote</w:t>
      </w:r>
      <w:r>
        <w:rPr>
          <w:color w:val="231F20"/>
          <w:spacing w:val="-4"/>
        </w:rPr>
        <w:t> </w:t>
      </w:r>
      <w:r>
        <w:rPr>
          <w:color w:val="231F20"/>
        </w:rPr>
        <w:t>and</w:t>
      </w:r>
      <w:r>
        <w:rPr>
          <w:color w:val="231F20"/>
          <w:spacing w:val="-4"/>
        </w:rPr>
        <w:t> </w:t>
      </w:r>
      <w:r>
        <w:rPr>
          <w:color w:val="231F20"/>
        </w:rPr>
        <w:t>regional</w:t>
      </w:r>
      <w:r>
        <w:rPr>
          <w:color w:val="231F20"/>
          <w:spacing w:val="-5"/>
        </w:rPr>
        <w:t> </w:t>
      </w:r>
      <w:r>
        <w:rPr>
          <w:color w:val="231F20"/>
          <w:spacing w:val="-1"/>
        </w:rPr>
        <w:t>schools</w:t>
      </w:r>
      <w:r>
        <w:rPr>
          <w:color w:val="231F20"/>
          <w:spacing w:val="-3"/>
        </w:rPr>
        <w:t> </w:t>
      </w:r>
      <w:r>
        <w:rPr>
          <w:color w:val="231F20"/>
          <w:spacing w:val="-1"/>
        </w:rPr>
        <w:t>is</w:t>
      </w:r>
      <w:r>
        <w:rPr>
          <w:color w:val="231F20"/>
          <w:spacing w:val="-4"/>
        </w:rPr>
        <w:t> </w:t>
      </w:r>
      <w:r>
        <w:rPr>
          <w:color w:val="231F20"/>
        </w:rPr>
        <w:t>estimated</w:t>
      </w:r>
      <w:r>
        <w:rPr>
          <w:color w:val="231F20"/>
          <w:spacing w:val="27"/>
        </w:rPr>
        <w:t> </w:t>
      </w:r>
      <w:r>
        <w:rPr>
          <w:color w:val="231F20"/>
        </w:rPr>
        <w:t>to</w:t>
      </w:r>
      <w:r>
        <w:rPr>
          <w:color w:val="231F20"/>
          <w:spacing w:val="-4"/>
        </w:rPr>
        <w:t> </w:t>
      </w:r>
      <w:r>
        <w:rPr>
          <w:color w:val="231F20"/>
        </w:rPr>
        <w:t>grow,</w:t>
      </w:r>
      <w:r>
        <w:rPr>
          <w:color w:val="231F20"/>
          <w:spacing w:val="-3"/>
        </w:rPr>
        <w:t> </w:t>
      </w:r>
      <w:r>
        <w:rPr>
          <w:color w:val="231F20"/>
        </w:rPr>
        <w:t>on</w:t>
      </w:r>
      <w:r>
        <w:rPr>
          <w:color w:val="231F20"/>
          <w:spacing w:val="-3"/>
        </w:rPr>
        <w:t> </w:t>
      </w:r>
      <w:r>
        <w:rPr>
          <w:color w:val="231F20"/>
        </w:rPr>
        <w:t>average,</w:t>
      </w:r>
      <w:r>
        <w:rPr>
          <w:color w:val="231F20"/>
          <w:spacing w:val="-4"/>
        </w:rPr>
        <w:t> </w:t>
      </w:r>
      <w:r>
        <w:rPr>
          <w:color w:val="231F20"/>
        </w:rPr>
        <w:t>by</w:t>
      </w:r>
      <w:r>
        <w:rPr>
          <w:color w:val="231F20"/>
          <w:spacing w:val="-3"/>
        </w:rPr>
        <w:t> </w:t>
      </w:r>
      <w:r>
        <w:rPr>
          <w:color w:val="231F20"/>
          <w:spacing w:val="-1"/>
        </w:rPr>
        <w:t>4.5</w:t>
      </w:r>
      <w:r>
        <w:rPr>
          <w:color w:val="231F20"/>
          <w:spacing w:val="-3"/>
        </w:rPr>
        <w:t> </w:t>
      </w:r>
      <w:r>
        <w:rPr>
          <w:color w:val="231F20"/>
        </w:rPr>
        <w:t>per</w:t>
      </w:r>
      <w:r>
        <w:rPr>
          <w:color w:val="231F20"/>
          <w:spacing w:val="-3"/>
        </w:rPr>
        <w:t> </w:t>
      </w:r>
      <w:r>
        <w:rPr>
          <w:color w:val="231F20"/>
        </w:rPr>
        <w:t>cent</w:t>
      </w:r>
      <w:r>
        <w:rPr>
          <w:color w:val="231F20"/>
          <w:spacing w:val="-4"/>
        </w:rPr>
        <w:t> </w:t>
      </w:r>
      <w:r>
        <w:rPr>
          <w:color w:val="231F20"/>
        </w:rPr>
        <w:t>per</w:t>
      </w:r>
      <w:r>
        <w:rPr>
          <w:color w:val="231F20"/>
          <w:spacing w:val="-3"/>
        </w:rPr>
        <w:t> </w:t>
      </w:r>
      <w:r>
        <w:rPr>
          <w:color w:val="231F20"/>
        </w:rPr>
        <w:t>year</w:t>
      </w:r>
      <w:r>
        <w:rPr>
          <w:color w:val="231F20"/>
          <w:spacing w:val="-3"/>
        </w:rPr>
        <w:t> </w:t>
      </w:r>
      <w:r>
        <w:rPr>
          <w:color w:val="231F20"/>
        </w:rPr>
        <w:t>over</w:t>
      </w:r>
      <w:r>
        <w:rPr>
          <w:color w:val="231F20"/>
          <w:spacing w:val="-4"/>
        </w:rPr>
        <w:t> </w:t>
      </w:r>
      <w:r>
        <w:rPr>
          <w:color w:val="231F20"/>
          <w:spacing w:val="-1"/>
        </w:rPr>
        <w:t>2018</w:t>
      </w:r>
      <w:r>
        <w:rPr>
          <w:color w:val="231F20"/>
          <w:spacing w:val="-3"/>
        </w:rPr>
        <w:t> </w:t>
      </w:r>
      <w:r>
        <w:rPr>
          <w:color w:val="231F20"/>
        </w:rPr>
        <w:t>to</w:t>
      </w:r>
      <w:r>
        <w:rPr>
          <w:color w:val="231F20"/>
          <w:spacing w:val="-3"/>
        </w:rPr>
        <w:t> </w:t>
      </w:r>
      <w:r>
        <w:rPr>
          <w:color w:val="231F20"/>
        </w:rPr>
        <w:t>2029.</w:t>
      </w:r>
      <w:r>
        <w:rPr/>
      </w:r>
    </w:p>
    <w:p>
      <w:pPr>
        <w:spacing w:line="240" w:lineRule="auto" w:before="9"/>
        <w:rPr>
          <w:rFonts w:ascii="Segoe UI" w:hAnsi="Segoe UI" w:cs="Segoe UI" w:eastAsia="Segoe UI"/>
          <w:sz w:val="19"/>
          <w:szCs w:val="19"/>
        </w:rPr>
      </w:pPr>
    </w:p>
    <w:p>
      <w:pPr>
        <w:pStyle w:val="Heading5"/>
        <w:spacing w:line="240" w:lineRule="auto"/>
        <w:ind w:right="0"/>
        <w:jc w:val="left"/>
        <w:rPr>
          <w:i w:val="0"/>
        </w:rPr>
      </w:pPr>
      <w:r>
        <w:rPr>
          <w:b/>
          <w:i/>
          <w:color w:val="00779B"/>
          <w:spacing w:val="-1"/>
        </w:rPr>
        <w:t>School</w:t>
      </w:r>
      <w:r>
        <w:rPr>
          <w:b/>
          <w:i/>
          <w:color w:val="00779B"/>
          <w:spacing w:val="-4"/>
        </w:rPr>
        <w:t> </w:t>
      </w:r>
      <w:r>
        <w:rPr>
          <w:b/>
          <w:i/>
          <w:color w:val="00779B"/>
        </w:rPr>
        <w:t>size</w:t>
      </w:r>
      <w:r>
        <w:rPr>
          <w:b/>
          <w:i/>
          <w:color w:val="00779B"/>
          <w:spacing w:val="-5"/>
        </w:rPr>
        <w:t> </w:t>
      </w:r>
      <w:r>
        <w:rPr>
          <w:b/>
          <w:i/>
          <w:color w:val="00779B"/>
          <w:spacing w:val="-2"/>
        </w:rPr>
        <w:t>loading</w:t>
      </w:r>
      <w:r>
        <w:rPr>
          <w:i w:val="0"/>
        </w:rPr>
      </w:r>
    </w:p>
    <w:p>
      <w:pPr>
        <w:pStyle w:val="BodyText"/>
        <w:spacing w:line="250" w:lineRule="exact" w:before="131"/>
        <w:ind w:right="194"/>
        <w:jc w:val="left"/>
      </w:pPr>
      <w:r>
        <w:rPr>
          <w:color w:val="231F20"/>
        </w:rPr>
        <w:t>This</w:t>
      </w:r>
      <w:r>
        <w:rPr>
          <w:color w:val="231F20"/>
          <w:spacing w:val="-5"/>
        </w:rPr>
        <w:t> </w:t>
      </w:r>
      <w:r>
        <w:rPr>
          <w:color w:val="231F20"/>
          <w:spacing w:val="-1"/>
        </w:rPr>
        <w:t>loading</w:t>
      </w:r>
      <w:r>
        <w:rPr>
          <w:color w:val="231F20"/>
          <w:spacing w:val="-3"/>
        </w:rPr>
        <w:t> </w:t>
      </w:r>
      <w:r>
        <w:rPr>
          <w:color w:val="231F20"/>
        </w:rPr>
        <w:t>provides</w:t>
      </w:r>
      <w:r>
        <w:rPr>
          <w:color w:val="231F20"/>
          <w:spacing w:val="-5"/>
        </w:rPr>
        <w:t> </w:t>
      </w:r>
      <w:r>
        <w:rPr>
          <w:color w:val="231F20"/>
        </w:rPr>
        <w:t>extra</w:t>
      </w:r>
      <w:r>
        <w:rPr>
          <w:color w:val="231F20"/>
          <w:spacing w:val="-3"/>
        </w:rPr>
        <w:t> </w:t>
      </w:r>
      <w:r>
        <w:rPr>
          <w:color w:val="231F20"/>
        </w:rPr>
        <w:t>funding</w:t>
      </w:r>
      <w:r>
        <w:rPr>
          <w:color w:val="231F20"/>
          <w:spacing w:val="-4"/>
        </w:rPr>
        <w:t> </w:t>
      </w:r>
      <w:r>
        <w:rPr>
          <w:color w:val="231F20"/>
        </w:rPr>
        <w:t>for</w:t>
      </w:r>
      <w:r>
        <w:rPr>
          <w:color w:val="231F20"/>
          <w:spacing w:val="-3"/>
        </w:rPr>
        <w:t> </w:t>
      </w:r>
      <w:r>
        <w:rPr>
          <w:color w:val="231F20"/>
          <w:spacing w:val="-1"/>
        </w:rPr>
        <w:t>medium,</w:t>
      </w:r>
      <w:r>
        <w:rPr>
          <w:color w:val="231F20"/>
          <w:spacing w:val="-4"/>
        </w:rPr>
        <w:t> </w:t>
      </w:r>
      <w:r>
        <w:rPr>
          <w:color w:val="231F20"/>
          <w:spacing w:val="-1"/>
        </w:rPr>
        <w:t>small</w:t>
      </w:r>
      <w:r>
        <w:rPr>
          <w:color w:val="231F20"/>
          <w:spacing w:val="-3"/>
        </w:rPr>
        <w:t> </w:t>
      </w:r>
      <w:r>
        <w:rPr>
          <w:color w:val="231F20"/>
        </w:rPr>
        <w:t>and</w:t>
      </w:r>
      <w:r>
        <w:rPr>
          <w:color w:val="231F20"/>
          <w:spacing w:val="-5"/>
        </w:rPr>
        <w:t> </w:t>
      </w:r>
      <w:r>
        <w:rPr>
          <w:color w:val="231F20"/>
        </w:rPr>
        <w:t>very</w:t>
      </w:r>
      <w:r>
        <w:rPr>
          <w:color w:val="231F20"/>
          <w:spacing w:val="-3"/>
        </w:rPr>
        <w:t> </w:t>
      </w:r>
      <w:r>
        <w:rPr>
          <w:color w:val="231F20"/>
          <w:spacing w:val="-1"/>
        </w:rPr>
        <w:t>small</w:t>
      </w:r>
      <w:r>
        <w:rPr>
          <w:color w:val="231F20"/>
          <w:spacing w:val="-4"/>
        </w:rPr>
        <w:t> </w:t>
      </w:r>
      <w:r>
        <w:rPr>
          <w:color w:val="231F20"/>
          <w:spacing w:val="-1"/>
        </w:rPr>
        <w:t>schools</w:t>
      </w:r>
      <w:r>
        <w:rPr>
          <w:color w:val="231F20"/>
          <w:spacing w:val="-3"/>
        </w:rPr>
        <w:t> </w:t>
      </w:r>
      <w:r>
        <w:rPr>
          <w:color w:val="231F20"/>
          <w:spacing w:val="-1"/>
        </w:rPr>
        <w:t>in</w:t>
      </w:r>
      <w:r>
        <w:rPr>
          <w:color w:val="231F20"/>
          <w:spacing w:val="-4"/>
        </w:rPr>
        <w:t> </w:t>
      </w:r>
      <w:r>
        <w:rPr>
          <w:color w:val="231F20"/>
        </w:rPr>
        <w:t>recognition</w:t>
      </w:r>
      <w:r>
        <w:rPr>
          <w:color w:val="231F20"/>
          <w:spacing w:val="-5"/>
        </w:rPr>
        <w:t> </w:t>
      </w:r>
      <w:r>
        <w:rPr>
          <w:color w:val="231F20"/>
        </w:rPr>
        <w:t>that</w:t>
      </w:r>
      <w:r>
        <w:rPr>
          <w:color w:val="231F20"/>
          <w:spacing w:val="27"/>
          <w:w w:val="99"/>
        </w:rPr>
        <w:t> </w:t>
      </w:r>
      <w:r>
        <w:rPr>
          <w:rFonts w:ascii="Segoe UI"/>
          <w:color w:val="231F20"/>
        </w:rPr>
        <w:t>they cannot achieve the same efficiencies of scale as a large school. This is the only loading that is</w:t>
      </w:r>
      <w:r>
        <w:rPr>
          <w:rFonts w:ascii="Segoe UI"/>
          <w:color w:val="231F20"/>
        </w:rPr>
        <w:t> </w:t>
      </w:r>
      <w:r>
        <w:rPr>
          <w:color w:val="231F20"/>
        </w:rPr>
        <w:t>calculated</w:t>
      </w:r>
      <w:r>
        <w:rPr>
          <w:color w:val="231F20"/>
          <w:spacing w:val="-6"/>
        </w:rPr>
        <w:t> </w:t>
      </w:r>
      <w:r>
        <w:rPr>
          <w:color w:val="231F20"/>
        </w:rPr>
        <w:t>as</w:t>
      </w:r>
      <w:r>
        <w:rPr>
          <w:color w:val="231F20"/>
          <w:spacing w:val="-6"/>
        </w:rPr>
        <w:t> </w:t>
      </w:r>
      <w:r>
        <w:rPr>
          <w:color w:val="231F20"/>
        </w:rPr>
        <w:t>a</w:t>
      </w:r>
      <w:r>
        <w:rPr>
          <w:color w:val="231F20"/>
          <w:spacing w:val="-5"/>
        </w:rPr>
        <w:t> </w:t>
      </w:r>
      <w:r>
        <w:rPr>
          <w:color w:val="231F20"/>
          <w:spacing w:val="-1"/>
        </w:rPr>
        <w:t>set</w:t>
      </w:r>
      <w:r>
        <w:rPr>
          <w:color w:val="231F20"/>
          <w:spacing w:val="-5"/>
        </w:rPr>
        <w:t> </w:t>
      </w:r>
      <w:r>
        <w:rPr>
          <w:color w:val="231F20"/>
        </w:rPr>
        <w:t>dollar</w:t>
      </w:r>
      <w:r>
        <w:rPr>
          <w:color w:val="231F20"/>
          <w:spacing w:val="-6"/>
        </w:rPr>
        <w:t> </w:t>
      </w:r>
      <w:r>
        <w:rPr>
          <w:color w:val="231F20"/>
        </w:rPr>
        <w:t>amount</w:t>
      </w:r>
      <w:r>
        <w:rPr>
          <w:color w:val="231F20"/>
          <w:spacing w:val="-5"/>
        </w:rPr>
        <w:t> </w:t>
      </w:r>
      <w:r>
        <w:rPr>
          <w:color w:val="231F20"/>
        </w:rPr>
        <w:t>(rather</w:t>
      </w:r>
      <w:r>
        <w:rPr>
          <w:color w:val="231F20"/>
          <w:spacing w:val="-6"/>
        </w:rPr>
        <w:t> </w:t>
      </w:r>
      <w:r>
        <w:rPr>
          <w:color w:val="231F20"/>
        </w:rPr>
        <w:t>than</w:t>
      </w:r>
      <w:r>
        <w:rPr>
          <w:color w:val="231F20"/>
          <w:spacing w:val="-6"/>
        </w:rPr>
        <w:t> </w:t>
      </w:r>
      <w:r>
        <w:rPr>
          <w:color w:val="231F20"/>
        </w:rPr>
        <w:t>proportion</w:t>
      </w:r>
      <w:r>
        <w:rPr>
          <w:color w:val="231F20"/>
          <w:spacing w:val="-6"/>
        </w:rPr>
        <w:t> </w:t>
      </w:r>
      <w:r>
        <w:rPr>
          <w:color w:val="231F20"/>
        </w:rPr>
        <w:t>of</w:t>
      </w:r>
      <w:r>
        <w:rPr>
          <w:color w:val="231F20"/>
          <w:spacing w:val="-5"/>
        </w:rPr>
        <w:t> </w:t>
      </w:r>
      <w:r>
        <w:rPr>
          <w:color w:val="231F20"/>
        </w:rPr>
        <w:t>the</w:t>
      </w:r>
      <w:r>
        <w:rPr>
          <w:color w:val="231F20"/>
          <w:spacing w:val="-5"/>
        </w:rPr>
        <w:t> </w:t>
      </w:r>
      <w:r>
        <w:rPr>
          <w:color w:val="231F20"/>
        </w:rPr>
        <w:t>base</w:t>
      </w:r>
      <w:r>
        <w:rPr>
          <w:color w:val="231F20"/>
          <w:spacing w:val="-6"/>
        </w:rPr>
        <w:t> </w:t>
      </w:r>
      <w:r>
        <w:rPr>
          <w:color w:val="231F20"/>
        </w:rPr>
        <w:t>amount)</w:t>
      </w:r>
      <w:r>
        <w:rPr>
          <w:color w:val="231F20"/>
          <w:spacing w:val="-6"/>
        </w:rPr>
        <w:t> </w:t>
      </w:r>
      <w:r>
        <w:rPr>
          <w:color w:val="231F20"/>
        </w:rPr>
        <w:t>depending</w:t>
      </w:r>
      <w:r>
        <w:rPr>
          <w:color w:val="231F20"/>
          <w:spacing w:val="-6"/>
        </w:rPr>
        <w:t> </w:t>
      </w:r>
      <w:r>
        <w:rPr>
          <w:color w:val="231F20"/>
        </w:rPr>
        <w:t>on</w:t>
      </w:r>
      <w:r>
        <w:rPr>
          <w:color w:val="231F20"/>
          <w:spacing w:val="-5"/>
        </w:rPr>
        <w:t> </w:t>
      </w:r>
      <w:r>
        <w:rPr>
          <w:color w:val="231F20"/>
        </w:rPr>
        <w:t>the</w:t>
      </w:r>
      <w:r>
        <w:rPr>
          <w:color w:val="231F20"/>
          <w:spacing w:val="21"/>
          <w:w w:val="99"/>
        </w:rPr>
        <w:t> </w:t>
      </w:r>
      <w:r>
        <w:rPr>
          <w:color w:val="231F20"/>
          <w:spacing w:val="-1"/>
        </w:rPr>
        <w:t>size </w:t>
      </w:r>
      <w:r>
        <w:rPr>
          <w:color w:val="231F20"/>
        </w:rPr>
        <w:t>of</w:t>
      </w:r>
      <w:r>
        <w:rPr>
          <w:color w:val="231F20"/>
          <w:spacing w:val="-1"/>
        </w:rPr>
        <w:t> </w:t>
      </w:r>
      <w:r>
        <w:rPr>
          <w:color w:val="231F20"/>
        </w:rPr>
        <w:t>a</w:t>
      </w:r>
      <w:r>
        <w:rPr>
          <w:color w:val="231F20"/>
          <w:spacing w:val="-1"/>
        </w:rPr>
        <w:t> school.</w:t>
      </w:r>
      <w:r>
        <w:rPr/>
      </w:r>
    </w:p>
    <w:p>
      <w:pPr>
        <w:pStyle w:val="BodyText"/>
        <w:spacing w:line="250" w:lineRule="exact" w:before="113"/>
        <w:ind w:right="279"/>
        <w:jc w:val="left"/>
      </w:pPr>
      <w:r>
        <w:rPr>
          <w:color w:val="231F20"/>
          <w:spacing w:val="-1"/>
        </w:rPr>
        <w:t>Primary</w:t>
      </w:r>
      <w:r>
        <w:rPr>
          <w:color w:val="231F20"/>
          <w:spacing w:val="-3"/>
        </w:rPr>
        <w:t> </w:t>
      </w:r>
      <w:r>
        <w:rPr>
          <w:color w:val="231F20"/>
          <w:spacing w:val="-1"/>
        </w:rPr>
        <w:t>schools</w:t>
      </w:r>
      <w:r>
        <w:rPr>
          <w:color w:val="231F20"/>
          <w:spacing w:val="-3"/>
        </w:rPr>
        <w:t> </w:t>
      </w:r>
      <w:r>
        <w:rPr>
          <w:color w:val="231F20"/>
        </w:rPr>
        <w:t>with</w:t>
      </w:r>
      <w:r>
        <w:rPr>
          <w:color w:val="231F20"/>
          <w:spacing w:val="-3"/>
        </w:rPr>
        <w:t> </w:t>
      </w:r>
      <w:r>
        <w:rPr>
          <w:color w:val="231F20"/>
        </w:rPr>
        <w:t>up</w:t>
      </w:r>
      <w:r>
        <w:rPr>
          <w:color w:val="231F20"/>
          <w:spacing w:val="-3"/>
        </w:rPr>
        <w:t> </w:t>
      </w:r>
      <w:r>
        <w:rPr>
          <w:color w:val="231F20"/>
        </w:rPr>
        <w:t>to</w:t>
      </w:r>
      <w:r>
        <w:rPr>
          <w:color w:val="231F20"/>
          <w:spacing w:val="-2"/>
        </w:rPr>
        <w:t> </w:t>
      </w:r>
      <w:r>
        <w:rPr>
          <w:color w:val="231F20"/>
          <w:spacing w:val="-1"/>
        </w:rPr>
        <w:t>300</w:t>
      </w:r>
      <w:r>
        <w:rPr>
          <w:color w:val="231F20"/>
          <w:spacing w:val="-3"/>
        </w:rPr>
        <w:t> </w:t>
      </w:r>
      <w:r>
        <w:rPr>
          <w:color w:val="231F20"/>
          <w:spacing w:val="-1"/>
        </w:rPr>
        <w:t>students</w:t>
      </w:r>
      <w:r>
        <w:rPr>
          <w:color w:val="231F20"/>
          <w:spacing w:val="-3"/>
        </w:rPr>
        <w:t> </w:t>
      </w:r>
      <w:r>
        <w:rPr>
          <w:color w:val="231F20"/>
        </w:rPr>
        <w:t>and</w:t>
      </w:r>
      <w:r>
        <w:rPr>
          <w:color w:val="231F20"/>
          <w:spacing w:val="-3"/>
        </w:rPr>
        <w:t> </w:t>
      </w:r>
      <w:r>
        <w:rPr>
          <w:color w:val="231F20"/>
          <w:spacing w:val="-1"/>
        </w:rPr>
        <w:t>secondary</w:t>
      </w:r>
      <w:r>
        <w:rPr>
          <w:color w:val="231F20"/>
          <w:spacing w:val="-2"/>
        </w:rPr>
        <w:t> </w:t>
      </w:r>
      <w:r>
        <w:rPr>
          <w:color w:val="231F20"/>
          <w:spacing w:val="-1"/>
        </w:rPr>
        <w:t>schools</w:t>
      </w:r>
      <w:r>
        <w:rPr>
          <w:color w:val="231F20"/>
          <w:spacing w:val="-2"/>
        </w:rPr>
        <w:t> </w:t>
      </w:r>
      <w:r>
        <w:rPr>
          <w:color w:val="231F20"/>
        </w:rPr>
        <w:t>with</w:t>
      </w:r>
      <w:r>
        <w:rPr>
          <w:color w:val="231F20"/>
          <w:spacing w:val="-4"/>
        </w:rPr>
        <w:t> </w:t>
      </w:r>
      <w:r>
        <w:rPr>
          <w:color w:val="231F20"/>
        </w:rPr>
        <w:t>up</w:t>
      </w:r>
      <w:r>
        <w:rPr>
          <w:color w:val="231F20"/>
          <w:spacing w:val="-3"/>
        </w:rPr>
        <w:t> </w:t>
      </w:r>
      <w:r>
        <w:rPr>
          <w:color w:val="231F20"/>
        </w:rPr>
        <w:t>to</w:t>
      </w:r>
      <w:r>
        <w:rPr>
          <w:color w:val="231F20"/>
          <w:spacing w:val="-2"/>
        </w:rPr>
        <w:t> </w:t>
      </w:r>
      <w:r>
        <w:rPr>
          <w:color w:val="231F20"/>
          <w:spacing w:val="-1"/>
        </w:rPr>
        <w:t>700</w:t>
      </w:r>
      <w:r>
        <w:rPr>
          <w:color w:val="231F20"/>
          <w:spacing w:val="-3"/>
        </w:rPr>
        <w:t> </w:t>
      </w:r>
      <w:r>
        <w:rPr>
          <w:color w:val="231F20"/>
          <w:spacing w:val="-1"/>
        </w:rPr>
        <w:t>students</w:t>
      </w:r>
      <w:r>
        <w:rPr>
          <w:color w:val="231F20"/>
          <w:spacing w:val="-2"/>
        </w:rPr>
        <w:t> </w:t>
      </w:r>
      <w:r>
        <w:rPr>
          <w:color w:val="231F20"/>
        </w:rPr>
        <w:t>attract</w:t>
      </w:r>
      <w:r>
        <w:rPr>
          <w:color w:val="231F20"/>
          <w:spacing w:val="-4"/>
        </w:rPr>
        <w:t> </w:t>
      </w:r>
      <w:r>
        <w:rPr>
          <w:color w:val="231F20"/>
        </w:rPr>
        <w:t>a</w:t>
      </w:r>
      <w:r>
        <w:rPr>
          <w:color w:val="231F20"/>
          <w:spacing w:val="29"/>
          <w:w w:val="99"/>
        </w:rPr>
        <w:t> </w:t>
      </w:r>
      <w:r>
        <w:rPr>
          <w:color w:val="231F20"/>
          <w:spacing w:val="-1"/>
        </w:rPr>
        <w:t>size</w:t>
      </w:r>
      <w:r>
        <w:rPr>
          <w:color w:val="231F20"/>
          <w:spacing w:val="-4"/>
        </w:rPr>
        <w:t> </w:t>
      </w:r>
      <w:r>
        <w:rPr>
          <w:color w:val="231F20"/>
          <w:spacing w:val="-1"/>
        </w:rPr>
        <w:t>loading.</w:t>
      </w:r>
      <w:r>
        <w:rPr>
          <w:color w:val="231F20"/>
          <w:spacing w:val="-3"/>
        </w:rPr>
        <w:t> </w:t>
      </w:r>
      <w:r>
        <w:rPr>
          <w:color w:val="231F20"/>
        </w:rPr>
        <w:t>The</w:t>
      </w:r>
      <w:r>
        <w:rPr>
          <w:color w:val="231F20"/>
          <w:spacing w:val="-3"/>
        </w:rPr>
        <w:t> </w:t>
      </w:r>
      <w:r>
        <w:rPr>
          <w:color w:val="231F20"/>
          <w:spacing w:val="-1"/>
        </w:rPr>
        <w:t>size</w:t>
      </w:r>
      <w:r>
        <w:rPr>
          <w:color w:val="231F20"/>
          <w:spacing w:val="-3"/>
        </w:rPr>
        <w:t> </w:t>
      </w:r>
      <w:r>
        <w:rPr>
          <w:color w:val="231F20"/>
          <w:spacing w:val="-1"/>
        </w:rPr>
        <w:t>loading</w:t>
      </w:r>
      <w:r>
        <w:rPr>
          <w:color w:val="231F20"/>
          <w:spacing w:val="-4"/>
        </w:rPr>
        <w:t> </w:t>
      </w:r>
      <w:r>
        <w:rPr>
          <w:color w:val="231F20"/>
          <w:spacing w:val="-1"/>
        </w:rPr>
        <w:t>is</w:t>
      </w:r>
      <w:r>
        <w:rPr>
          <w:color w:val="231F20"/>
          <w:spacing w:val="-4"/>
        </w:rPr>
        <w:t> </w:t>
      </w:r>
      <w:r>
        <w:rPr>
          <w:color w:val="231F20"/>
          <w:spacing w:val="-1"/>
        </w:rPr>
        <w:t>scaled,</w:t>
      </w:r>
      <w:r>
        <w:rPr>
          <w:color w:val="231F20"/>
          <w:spacing w:val="-3"/>
        </w:rPr>
        <w:t> </w:t>
      </w:r>
      <w:r>
        <w:rPr>
          <w:color w:val="231F20"/>
        </w:rPr>
        <w:t>with</w:t>
      </w:r>
      <w:r>
        <w:rPr>
          <w:color w:val="231F20"/>
          <w:spacing w:val="-4"/>
        </w:rPr>
        <w:t> </w:t>
      </w:r>
      <w:r>
        <w:rPr>
          <w:color w:val="231F20"/>
        </w:rPr>
        <w:t>primary</w:t>
      </w:r>
      <w:r>
        <w:rPr>
          <w:color w:val="231F20"/>
          <w:spacing w:val="-4"/>
        </w:rPr>
        <w:t> </w:t>
      </w:r>
      <w:r>
        <w:rPr>
          <w:color w:val="231F20"/>
          <w:spacing w:val="-1"/>
        </w:rPr>
        <w:t>schools</w:t>
      </w:r>
      <w:r>
        <w:rPr>
          <w:color w:val="231F20"/>
          <w:spacing w:val="-4"/>
        </w:rPr>
        <w:t> </w:t>
      </w:r>
      <w:r>
        <w:rPr>
          <w:color w:val="231F20"/>
        </w:rPr>
        <w:t>with</w:t>
      </w:r>
      <w:r>
        <w:rPr>
          <w:color w:val="231F20"/>
          <w:spacing w:val="-4"/>
        </w:rPr>
        <w:t> </w:t>
      </w:r>
      <w:r>
        <w:rPr>
          <w:color w:val="231F20"/>
        </w:rPr>
        <w:t>between</w:t>
      </w:r>
      <w:r>
        <w:rPr>
          <w:color w:val="231F20"/>
          <w:spacing w:val="-4"/>
        </w:rPr>
        <w:t> </w:t>
      </w:r>
      <w:r>
        <w:rPr>
          <w:color w:val="231F20"/>
          <w:spacing w:val="-1"/>
        </w:rPr>
        <w:t>15</w:t>
      </w:r>
      <w:r>
        <w:rPr>
          <w:color w:val="231F20"/>
          <w:spacing w:val="-3"/>
        </w:rPr>
        <w:t> </w:t>
      </w:r>
      <w:r>
        <w:rPr>
          <w:color w:val="231F20"/>
        </w:rPr>
        <w:t>and</w:t>
      </w:r>
      <w:r>
        <w:rPr>
          <w:color w:val="231F20"/>
          <w:spacing w:val="-4"/>
        </w:rPr>
        <w:t> </w:t>
      </w:r>
      <w:r>
        <w:rPr>
          <w:color w:val="231F20"/>
          <w:spacing w:val="-1"/>
        </w:rPr>
        <w:t>200</w:t>
      </w:r>
      <w:r>
        <w:rPr>
          <w:color w:val="231F20"/>
          <w:spacing w:val="-4"/>
        </w:rPr>
        <w:t> </w:t>
      </w:r>
      <w:r>
        <w:rPr>
          <w:color w:val="231F20"/>
          <w:spacing w:val="-1"/>
        </w:rPr>
        <w:t>students</w:t>
      </w:r>
      <w:r>
        <w:rPr>
          <w:color w:val="231F20"/>
          <w:spacing w:val="29"/>
        </w:rPr>
        <w:t> </w:t>
      </w:r>
      <w:r>
        <w:rPr>
          <w:color w:val="231F20"/>
        </w:rPr>
        <w:t>attracting</w:t>
      </w:r>
      <w:r>
        <w:rPr>
          <w:color w:val="231F20"/>
          <w:spacing w:val="-5"/>
        </w:rPr>
        <w:t> </w:t>
      </w:r>
      <w:r>
        <w:rPr>
          <w:color w:val="231F20"/>
        </w:rPr>
        <w:t>the</w:t>
      </w:r>
      <w:r>
        <w:rPr>
          <w:color w:val="231F20"/>
          <w:spacing w:val="-5"/>
        </w:rPr>
        <w:t> </w:t>
      </w:r>
      <w:r>
        <w:rPr>
          <w:color w:val="231F20"/>
          <w:spacing w:val="-1"/>
        </w:rPr>
        <w:t>maximum</w:t>
      </w:r>
      <w:r>
        <w:rPr>
          <w:color w:val="231F20"/>
          <w:spacing w:val="-3"/>
        </w:rPr>
        <w:t> </w:t>
      </w:r>
      <w:r>
        <w:rPr>
          <w:color w:val="231F20"/>
          <w:spacing w:val="-1"/>
        </w:rPr>
        <w:t>loading</w:t>
      </w:r>
      <w:r>
        <w:rPr>
          <w:color w:val="231F20"/>
          <w:spacing w:val="-4"/>
        </w:rPr>
        <w:t> </w:t>
      </w:r>
      <w:r>
        <w:rPr>
          <w:color w:val="231F20"/>
        </w:rPr>
        <w:t>of</w:t>
      </w:r>
      <w:r>
        <w:rPr>
          <w:color w:val="231F20"/>
          <w:spacing w:val="-3"/>
        </w:rPr>
        <w:t> </w:t>
      </w:r>
      <w:r>
        <w:rPr>
          <w:color w:val="231F20"/>
          <w:spacing w:val="-1"/>
        </w:rPr>
        <w:t>$178,877</w:t>
      </w:r>
      <w:r>
        <w:rPr>
          <w:color w:val="231F20"/>
          <w:spacing w:val="-4"/>
        </w:rPr>
        <w:t> </w:t>
      </w:r>
      <w:r>
        <w:rPr>
          <w:color w:val="231F20"/>
        </w:rPr>
        <w:t>and</w:t>
      </w:r>
      <w:r>
        <w:rPr>
          <w:color w:val="231F20"/>
          <w:spacing w:val="-5"/>
        </w:rPr>
        <w:t> </w:t>
      </w:r>
      <w:r>
        <w:rPr>
          <w:color w:val="231F20"/>
          <w:spacing w:val="-1"/>
        </w:rPr>
        <w:t>secondary</w:t>
      </w:r>
      <w:r>
        <w:rPr>
          <w:color w:val="231F20"/>
          <w:spacing w:val="-2"/>
        </w:rPr>
        <w:t> </w:t>
      </w:r>
      <w:r>
        <w:rPr>
          <w:color w:val="231F20"/>
          <w:spacing w:val="-1"/>
        </w:rPr>
        <w:t>schools</w:t>
      </w:r>
      <w:r>
        <w:rPr>
          <w:color w:val="231F20"/>
          <w:spacing w:val="-4"/>
        </w:rPr>
        <w:t> </w:t>
      </w:r>
      <w:r>
        <w:rPr>
          <w:color w:val="231F20"/>
        </w:rPr>
        <w:t>with</w:t>
      </w:r>
      <w:r>
        <w:rPr>
          <w:color w:val="231F20"/>
          <w:spacing w:val="-4"/>
        </w:rPr>
        <w:t> </w:t>
      </w:r>
      <w:r>
        <w:rPr>
          <w:color w:val="231F20"/>
        </w:rPr>
        <w:t>between</w:t>
      </w:r>
      <w:r>
        <w:rPr>
          <w:color w:val="231F20"/>
          <w:spacing w:val="-5"/>
        </w:rPr>
        <w:t> </w:t>
      </w:r>
      <w:r>
        <w:rPr>
          <w:color w:val="231F20"/>
          <w:spacing w:val="-1"/>
        </w:rPr>
        <w:t>100</w:t>
      </w:r>
      <w:r>
        <w:rPr>
          <w:color w:val="231F20"/>
          <w:spacing w:val="-4"/>
        </w:rPr>
        <w:t> </w:t>
      </w:r>
      <w:r>
        <w:rPr>
          <w:color w:val="231F20"/>
        </w:rPr>
        <w:t>and</w:t>
      </w:r>
      <w:r>
        <w:rPr>
          <w:color w:val="231F20"/>
          <w:spacing w:val="-4"/>
        </w:rPr>
        <w:t> </w:t>
      </w:r>
      <w:r>
        <w:rPr>
          <w:color w:val="231F20"/>
          <w:spacing w:val="-1"/>
        </w:rPr>
        <w:t>500</w:t>
      </w:r>
      <w:r>
        <w:rPr>
          <w:color w:val="231F20"/>
          <w:spacing w:val="26"/>
        </w:rPr>
        <w:t> </w:t>
      </w:r>
      <w:r>
        <w:rPr>
          <w:color w:val="231F20"/>
          <w:spacing w:val="-1"/>
        </w:rPr>
        <w:t>students</w:t>
      </w:r>
      <w:r>
        <w:rPr>
          <w:color w:val="231F20"/>
          <w:spacing w:val="-3"/>
        </w:rPr>
        <w:t> </w:t>
      </w:r>
      <w:r>
        <w:rPr>
          <w:color w:val="231F20"/>
        </w:rPr>
        <w:t>attracting</w:t>
      </w:r>
      <w:r>
        <w:rPr>
          <w:color w:val="231F20"/>
          <w:spacing w:val="-3"/>
        </w:rPr>
        <w:t> </w:t>
      </w:r>
      <w:r>
        <w:rPr>
          <w:color w:val="231F20"/>
        </w:rPr>
        <w:t>the</w:t>
      </w:r>
      <w:r>
        <w:rPr>
          <w:color w:val="231F20"/>
          <w:spacing w:val="-4"/>
        </w:rPr>
        <w:t> </w:t>
      </w:r>
      <w:r>
        <w:rPr>
          <w:color w:val="231F20"/>
          <w:spacing w:val="-1"/>
        </w:rPr>
        <w:t>maximum</w:t>
      </w:r>
      <w:r>
        <w:rPr>
          <w:color w:val="231F20"/>
          <w:spacing w:val="-2"/>
        </w:rPr>
        <w:t> </w:t>
      </w:r>
      <w:r>
        <w:rPr>
          <w:color w:val="231F20"/>
          <w:spacing w:val="-1"/>
        </w:rPr>
        <w:t>loading</w:t>
      </w:r>
      <w:r>
        <w:rPr>
          <w:color w:val="231F20"/>
          <w:spacing w:val="-3"/>
        </w:rPr>
        <w:t> </w:t>
      </w:r>
      <w:r>
        <w:rPr>
          <w:color w:val="231F20"/>
        </w:rPr>
        <w:t>of</w:t>
      </w:r>
      <w:r>
        <w:rPr>
          <w:color w:val="231F20"/>
          <w:spacing w:val="-2"/>
        </w:rPr>
        <w:t> </w:t>
      </w:r>
      <w:r>
        <w:rPr>
          <w:color w:val="231F20"/>
          <w:spacing w:val="-1"/>
        </w:rPr>
        <w:t>$286,203</w:t>
      </w:r>
      <w:r>
        <w:rPr>
          <w:color w:val="231F20"/>
          <w:spacing w:val="-3"/>
        </w:rPr>
        <w:t> </w:t>
      </w:r>
      <w:r>
        <w:rPr>
          <w:color w:val="231F20"/>
          <w:spacing w:val="-1"/>
        </w:rPr>
        <w:t>in</w:t>
      </w:r>
      <w:r>
        <w:rPr>
          <w:color w:val="231F20"/>
          <w:spacing w:val="-2"/>
        </w:rPr>
        <w:t> </w:t>
      </w:r>
      <w:r>
        <w:rPr>
          <w:color w:val="231F20"/>
        </w:rPr>
        <w:t>2019.</w:t>
      </w:r>
      <w:r>
        <w:rPr/>
      </w:r>
    </w:p>
    <w:p>
      <w:pPr>
        <w:pStyle w:val="BodyText"/>
        <w:spacing w:line="250" w:lineRule="exact" w:before="113"/>
        <w:ind w:right="167"/>
        <w:jc w:val="left"/>
      </w:pPr>
      <w:r>
        <w:rPr>
          <w:color w:val="231F20"/>
          <w:spacing w:val="-1"/>
        </w:rPr>
        <w:t>It</w:t>
      </w:r>
      <w:r>
        <w:rPr>
          <w:color w:val="231F20"/>
          <w:spacing w:val="-4"/>
        </w:rPr>
        <w:t> </w:t>
      </w:r>
      <w:r>
        <w:rPr>
          <w:color w:val="231F20"/>
          <w:spacing w:val="-1"/>
        </w:rPr>
        <w:t>is</w:t>
      </w:r>
      <w:r>
        <w:rPr>
          <w:color w:val="231F20"/>
          <w:spacing w:val="-5"/>
        </w:rPr>
        <w:t> </w:t>
      </w:r>
      <w:r>
        <w:rPr>
          <w:color w:val="231F20"/>
        </w:rPr>
        <w:t>estimated</w:t>
      </w:r>
      <w:r>
        <w:rPr>
          <w:color w:val="231F20"/>
          <w:spacing w:val="-4"/>
        </w:rPr>
        <w:t> </w:t>
      </w:r>
      <w:r>
        <w:rPr>
          <w:color w:val="231F20"/>
        </w:rPr>
        <w:t>the</w:t>
      </w:r>
      <w:r>
        <w:rPr>
          <w:color w:val="231F20"/>
          <w:spacing w:val="-5"/>
        </w:rPr>
        <w:t> </w:t>
      </w:r>
      <w:r>
        <w:rPr>
          <w:color w:val="231F20"/>
          <w:spacing w:val="-1"/>
        </w:rPr>
        <w:t>size</w:t>
      </w:r>
      <w:r>
        <w:rPr>
          <w:color w:val="231F20"/>
          <w:spacing w:val="-3"/>
        </w:rPr>
        <w:t> </w:t>
      </w:r>
      <w:r>
        <w:rPr>
          <w:color w:val="231F20"/>
          <w:spacing w:val="-1"/>
        </w:rPr>
        <w:t>loading</w:t>
      </w:r>
      <w:r>
        <w:rPr>
          <w:color w:val="231F20"/>
          <w:spacing w:val="-4"/>
        </w:rPr>
        <w:t> </w:t>
      </w:r>
      <w:r>
        <w:rPr>
          <w:color w:val="231F20"/>
        </w:rPr>
        <w:t>will</w:t>
      </w:r>
      <w:r>
        <w:rPr>
          <w:color w:val="231F20"/>
          <w:spacing w:val="-4"/>
        </w:rPr>
        <w:t> </w:t>
      </w:r>
      <w:r>
        <w:rPr>
          <w:color w:val="231F20"/>
        </w:rPr>
        <w:t>account</w:t>
      </w:r>
      <w:r>
        <w:rPr>
          <w:color w:val="231F20"/>
          <w:spacing w:val="-5"/>
        </w:rPr>
        <w:t> </w:t>
      </w:r>
      <w:r>
        <w:rPr>
          <w:color w:val="231F20"/>
        </w:rPr>
        <w:t>for</w:t>
      </w:r>
      <w:r>
        <w:rPr>
          <w:color w:val="231F20"/>
          <w:spacing w:val="-3"/>
        </w:rPr>
        <w:t> </w:t>
      </w:r>
      <w:r>
        <w:rPr>
          <w:color w:val="231F20"/>
          <w:spacing w:val="-1"/>
        </w:rPr>
        <w:t>1.6</w:t>
      </w:r>
      <w:r>
        <w:rPr>
          <w:color w:val="231F20"/>
          <w:spacing w:val="-4"/>
        </w:rPr>
        <w:t> </w:t>
      </w:r>
      <w:r>
        <w:rPr>
          <w:color w:val="231F20"/>
        </w:rPr>
        <w:t>per</w:t>
      </w:r>
      <w:r>
        <w:rPr>
          <w:color w:val="231F20"/>
          <w:spacing w:val="-4"/>
        </w:rPr>
        <w:t> </w:t>
      </w:r>
      <w:r>
        <w:rPr>
          <w:color w:val="231F20"/>
        </w:rPr>
        <w:t>cent</w:t>
      </w:r>
      <w:r>
        <w:rPr>
          <w:color w:val="231F20"/>
          <w:spacing w:val="-4"/>
        </w:rPr>
        <w:t> </w:t>
      </w:r>
      <w:r>
        <w:rPr>
          <w:color w:val="231F20"/>
        </w:rPr>
        <w:t>of</w:t>
      </w:r>
      <w:r>
        <w:rPr>
          <w:color w:val="231F20"/>
          <w:spacing w:val="-4"/>
        </w:rPr>
        <w:t> </w:t>
      </w:r>
      <w:r>
        <w:rPr>
          <w:color w:val="231F20"/>
          <w:spacing w:val="-1"/>
        </w:rPr>
        <w:t>Commonwealth</w:t>
      </w:r>
      <w:r>
        <w:rPr>
          <w:color w:val="231F20"/>
          <w:spacing w:val="-3"/>
        </w:rPr>
        <w:t> </w:t>
      </w:r>
      <w:r>
        <w:rPr>
          <w:color w:val="231F20"/>
        </w:rPr>
        <w:t>recurrent</w:t>
      </w:r>
      <w:r>
        <w:rPr>
          <w:color w:val="231F20"/>
          <w:spacing w:val="-5"/>
        </w:rPr>
        <w:t> </w:t>
      </w:r>
      <w:r>
        <w:rPr>
          <w:color w:val="231F20"/>
          <w:spacing w:val="-1"/>
        </w:rPr>
        <w:t>school</w:t>
      </w:r>
      <w:r>
        <w:rPr>
          <w:color w:val="231F20"/>
          <w:spacing w:val="26"/>
        </w:rPr>
        <w:t> </w:t>
      </w:r>
      <w:r>
        <w:rPr>
          <w:color w:val="231F20"/>
        </w:rPr>
        <w:t>funding</w:t>
      </w:r>
      <w:r>
        <w:rPr>
          <w:color w:val="231F20"/>
          <w:spacing w:val="-4"/>
        </w:rPr>
        <w:t> </w:t>
      </w:r>
      <w:r>
        <w:rPr>
          <w:color w:val="231F20"/>
        </w:rPr>
        <w:t>expenditure</w:t>
      </w:r>
      <w:r>
        <w:rPr>
          <w:color w:val="231F20"/>
          <w:spacing w:val="-5"/>
        </w:rPr>
        <w:t> </w:t>
      </w:r>
      <w:r>
        <w:rPr>
          <w:color w:val="231F20"/>
          <w:spacing w:val="-1"/>
        </w:rPr>
        <w:t>in</w:t>
      </w:r>
      <w:r>
        <w:rPr>
          <w:color w:val="231F20"/>
          <w:spacing w:val="-4"/>
        </w:rPr>
        <w:t> </w:t>
      </w:r>
      <w:r>
        <w:rPr>
          <w:color w:val="231F20"/>
          <w:spacing w:val="-1"/>
        </w:rPr>
        <w:t>2019.</w:t>
      </w:r>
      <w:r>
        <w:rPr>
          <w:color w:val="231F20"/>
          <w:spacing w:val="-4"/>
        </w:rPr>
        <w:t> </w:t>
      </w:r>
      <w:r>
        <w:rPr>
          <w:color w:val="231F20"/>
          <w:spacing w:val="-1"/>
        </w:rPr>
        <w:t>Funding</w:t>
      </w:r>
      <w:r>
        <w:rPr>
          <w:color w:val="231F20"/>
          <w:spacing w:val="-3"/>
        </w:rPr>
        <w:t> </w:t>
      </w:r>
      <w:r>
        <w:rPr>
          <w:color w:val="231F20"/>
        </w:rPr>
        <w:t>for</w:t>
      </w:r>
      <w:r>
        <w:rPr>
          <w:color w:val="231F20"/>
          <w:spacing w:val="-4"/>
        </w:rPr>
        <w:t> </w:t>
      </w:r>
      <w:r>
        <w:rPr>
          <w:color w:val="231F20"/>
        </w:rPr>
        <w:t>the</w:t>
      </w:r>
      <w:r>
        <w:rPr>
          <w:color w:val="231F20"/>
          <w:spacing w:val="-5"/>
        </w:rPr>
        <w:t> </w:t>
      </w:r>
      <w:r>
        <w:rPr>
          <w:color w:val="231F20"/>
          <w:spacing w:val="-1"/>
        </w:rPr>
        <w:t>size</w:t>
      </w:r>
      <w:r>
        <w:rPr>
          <w:color w:val="231F20"/>
          <w:spacing w:val="-4"/>
        </w:rPr>
        <w:t> </w:t>
      </w:r>
      <w:r>
        <w:rPr>
          <w:color w:val="231F20"/>
          <w:spacing w:val="-1"/>
        </w:rPr>
        <w:t>loading</w:t>
      </w:r>
      <w:r>
        <w:rPr>
          <w:color w:val="231F20"/>
          <w:spacing w:val="-4"/>
        </w:rPr>
        <w:t> </w:t>
      </w:r>
      <w:r>
        <w:rPr>
          <w:color w:val="231F20"/>
          <w:spacing w:val="-1"/>
        </w:rPr>
        <w:t>is</w:t>
      </w:r>
      <w:r>
        <w:rPr>
          <w:color w:val="231F20"/>
          <w:spacing w:val="-4"/>
        </w:rPr>
        <w:t> </w:t>
      </w:r>
      <w:r>
        <w:rPr>
          <w:color w:val="231F20"/>
        </w:rPr>
        <w:t>estimated</w:t>
      </w:r>
      <w:r>
        <w:rPr>
          <w:color w:val="231F20"/>
          <w:spacing w:val="-5"/>
        </w:rPr>
        <w:t> </w:t>
      </w:r>
      <w:r>
        <w:rPr>
          <w:color w:val="231F20"/>
        </w:rPr>
        <w:t>to</w:t>
      </w:r>
      <w:r>
        <w:rPr>
          <w:color w:val="231F20"/>
          <w:spacing w:val="-4"/>
        </w:rPr>
        <w:t> </w:t>
      </w:r>
      <w:r>
        <w:rPr>
          <w:color w:val="231F20"/>
        </w:rPr>
        <w:t>grow,</w:t>
      </w:r>
      <w:r>
        <w:rPr>
          <w:color w:val="231F20"/>
          <w:spacing w:val="-4"/>
        </w:rPr>
        <w:t> </w:t>
      </w:r>
      <w:r>
        <w:rPr>
          <w:color w:val="231F20"/>
        </w:rPr>
        <w:t>on</w:t>
      </w:r>
      <w:r>
        <w:rPr>
          <w:color w:val="231F20"/>
          <w:spacing w:val="-4"/>
        </w:rPr>
        <w:t> </w:t>
      </w:r>
      <w:r>
        <w:rPr>
          <w:color w:val="231F20"/>
        </w:rPr>
        <w:t>average,</w:t>
      </w:r>
      <w:r>
        <w:rPr/>
      </w:r>
    </w:p>
    <w:p>
      <w:pPr>
        <w:pStyle w:val="BodyText"/>
        <w:spacing w:line="250" w:lineRule="exact"/>
        <w:ind w:right="0"/>
        <w:jc w:val="left"/>
      </w:pPr>
      <w:r>
        <w:rPr>
          <w:color w:val="231F20"/>
        </w:rPr>
        <w:t>by</w:t>
      </w:r>
      <w:r>
        <w:rPr>
          <w:color w:val="231F20"/>
          <w:spacing w:val="-3"/>
        </w:rPr>
        <w:t> </w:t>
      </w:r>
      <w:r>
        <w:rPr>
          <w:color w:val="231F20"/>
          <w:spacing w:val="-1"/>
        </w:rPr>
        <w:t>3.6</w:t>
      </w:r>
      <w:r>
        <w:rPr>
          <w:color w:val="231F20"/>
          <w:spacing w:val="-3"/>
        </w:rPr>
        <w:t> </w:t>
      </w:r>
      <w:r>
        <w:rPr>
          <w:color w:val="231F20"/>
        </w:rPr>
        <w:t>per</w:t>
      </w:r>
      <w:r>
        <w:rPr>
          <w:color w:val="231F20"/>
          <w:spacing w:val="-2"/>
        </w:rPr>
        <w:t> </w:t>
      </w:r>
      <w:r>
        <w:rPr>
          <w:color w:val="231F20"/>
        </w:rPr>
        <w:t>cent</w:t>
      </w:r>
      <w:r>
        <w:rPr>
          <w:color w:val="231F20"/>
          <w:spacing w:val="-4"/>
        </w:rPr>
        <w:t> </w:t>
      </w:r>
      <w:r>
        <w:rPr>
          <w:color w:val="231F20"/>
        </w:rPr>
        <w:t>per</w:t>
      </w:r>
      <w:r>
        <w:rPr>
          <w:color w:val="231F20"/>
          <w:spacing w:val="-3"/>
        </w:rPr>
        <w:t> </w:t>
      </w:r>
      <w:r>
        <w:rPr>
          <w:color w:val="231F20"/>
        </w:rPr>
        <w:t>year</w:t>
      </w:r>
      <w:r>
        <w:rPr>
          <w:color w:val="231F20"/>
          <w:spacing w:val="-2"/>
        </w:rPr>
        <w:t> </w:t>
      </w:r>
      <w:r>
        <w:rPr>
          <w:color w:val="231F20"/>
        </w:rPr>
        <w:t>over</w:t>
      </w:r>
      <w:r>
        <w:rPr>
          <w:color w:val="231F20"/>
          <w:spacing w:val="-3"/>
        </w:rPr>
        <w:t> </w:t>
      </w:r>
      <w:r>
        <w:rPr>
          <w:color w:val="231F20"/>
          <w:spacing w:val="-1"/>
        </w:rPr>
        <w:t>2018</w:t>
      </w:r>
      <w:r>
        <w:rPr>
          <w:color w:val="231F20"/>
          <w:spacing w:val="-3"/>
        </w:rPr>
        <w:t> </w:t>
      </w:r>
      <w:r>
        <w:rPr>
          <w:color w:val="231F20"/>
        </w:rPr>
        <w:t>to</w:t>
      </w:r>
      <w:r>
        <w:rPr>
          <w:color w:val="231F20"/>
          <w:spacing w:val="-2"/>
        </w:rPr>
        <w:t> </w:t>
      </w:r>
      <w:r>
        <w:rPr>
          <w:color w:val="231F20"/>
          <w:spacing w:val="-1"/>
        </w:rPr>
        <w:t>2029.</w:t>
      </w:r>
      <w:r>
        <w:rPr/>
      </w:r>
    </w:p>
    <w:p>
      <w:pPr>
        <w:pStyle w:val="Heading3"/>
        <w:spacing w:line="240" w:lineRule="auto"/>
        <w:ind w:right="0"/>
        <w:jc w:val="left"/>
      </w:pPr>
      <w:r>
        <w:rPr>
          <w:b/>
          <w:color w:val="00779B"/>
          <w:spacing w:val="-1"/>
        </w:rPr>
        <w:t>Commonwealth </w:t>
      </w:r>
      <w:r>
        <w:rPr>
          <w:b/>
          <w:color w:val="00779B"/>
          <w:spacing w:val="-2"/>
        </w:rPr>
        <w:t>share</w:t>
      </w:r>
      <w:r>
        <w:rPr>
          <w:b/>
          <w:color w:val="00779B"/>
          <w:spacing w:val="-1"/>
        </w:rPr>
        <w:t> </w:t>
      </w:r>
      <w:r>
        <w:rPr>
          <w:b/>
          <w:color w:val="00779B"/>
          <w:spacing w:val="-3"/>
        </w:rPr>
        <w:t>of</w:t>
      </w:r>
      <w:r>
        <w:rPr>
          <w:b/>
          <w:color w:val="00779B"/>
        </w:rPr>
        <w:t> </w:t>
      </w:r>
      <w:r>
        <w:rPr>
          <w:b/>
          <w:color w:val="00779B"/>
          <w:spacing w:val="-1"/>
        </w:rPr>
        <w:t>the</w:t>
      </w:r>
      <w:r>
        <w:rPr>
          <w:b/>
          <w:color w:val="00779B"/>
        </w:rPr>
        <w:t> </w:t>
      </w:r>
      <w:r>
        <w:rPr>
          <w:b/>
          <w:color w:val="00779B"/>
          <w:spacing w:val="-1"/>
        </w:rPr>
        <w:t>SRS</w:t>
      </w:r>
      <w:r>
        <w:rPr/>
      </w:r>
    </w:p>
    <w:p>
      <w:pPr>
        <w:pStyle w:val="BodyText"/>
        <w:spacing w:line="250" w:lineRule="exact" w:before="64"/>
        <w:ind w:right="210"/>
        <w:jc w:val="left"/>
      </w:pPr>
      <w:r>
        <w:rPr>
          <w:color w:val="231F20"/>
        </w:rPr>
        <w:t>Under</w:t>
      </w:r>
      <w:r>
        <w:rPr>
          <w:color w:val="231F20"/>
          <w:spacing w:val="-6"/>
        </w:rPr>
        <w:t> </w:t>
      </w:r>
      <w:r>
        <w:rPr>
          <w:color w:val="231F20"/>
        </w:rPr>
        <w:t>the</w:t>
      </w:r>
      <w:r>
        <w:rPr>
          <w:color w:val="231F20"/>
          <w:spacing w:val="-6"/>
        </w:rPr>
        <w:t> </w:t>
      </w:r>
      <w:r>
        <w:rPr>
          <w:color w:val="231F20"/>
        </w:rPr>
        <w:t>Quality</w:t>
      </w:r>
      <w:r>
        <w:rPr>
          <w:color w:val="231F20"/>
          <w:spacing w:val="-6"/>
        </w:rPr>
        <w:t> </w:t>
      </w:r>
      <w:r>
        <w:rPr>
          <w:color w:val="231F20"/>
          <w:spacing w:val="-1"/>
        </w:rPr>
        <w:t>Schools</w:t>
      </w:r>
      <w:r>
        <w:rPr>
          <w:color w:val="231F20"/>
          <w:spacing w:val="-5"/>
        </w:rPr>
        <w:t> </w:t>
      </w:r>
      <w:r>
        <w:rPr>
          <w:color w:val="231F20"/>
        </w:rPr>
        <w:t>arrangements,</w:t>
      </w:r>
      <w:r>
        <w:rPr>
          <w:color w:val="231F20"/>
          <w:spacing w:val="-6"/>
        </w:rPr>
        <w:t> </w:t>
      </w:r>
      <w:r>
        <w:rPr>
          <w:color w:val="231F20"/>
        </w:rPr>
        <w:t>the</w:t>
      </w:r>
      <w:r>
        <w:rPr>
          <w:color w:val="231F20"/>
          <w:spacing w:val="-6"/>
        </w:rPr>
        <w:t> </w:t>
      </w:r>
      <w:r>
        <w:rPr>
          <w:color w:val="231F20"/>
          <w:spacing w:val="-1"/>
        </w:rPr>
        <w:t>Commonwealth</w:t>
      </w:r>
      <w:r>
        <w:rPr>
          <w:color w:val="231F20"/>
          <w:spacing w:val="-5"/>
        </w:rPr>
        <w:t> </w:t>
      </w:r>
      <w:r>
        <w:rPr>
          <w:color w:val="231F20"/>
        </w:rPr>
        <w:t>will</w:t>
      </w:r>
      <w:r>
        <w:rPr>
          <w:color w:val="231F20"/>
          <w:spacing w:val="-6"/>
        </w:rPr>
        <w:t> </w:t>
      </w:r>
      <w:r>
        <w:rPr>
          <w:color w:val="231F20"/>
        </w:rPr>
        <w:t>contribute</w:t>
      </w:r>
      <w:r>
        <w:rPr>
          <w:color w:val="231F20"/>
          <w:spacing w:val="-6"/>
        </w:rPr>
        <w:t> </w:t>
      </w:r>
      <w:r>
        <w:rPr>
          <w:color w:val="231F20"/>
        </w:rPr>
        <w:t>a</w:t>
      </w:r>
      <w:r>
        <w:rPr>
          <w:color w:val="231F20"/>
          <w:spacing w:val="-5"/>
        </w:rPr>
        <w:t> </w:t>
      </w:r>
      <w:r>
        <w:rPr>
          <w:color w:val="231F20"/>
        </w:rPr>
        <w:t>consistent</w:t>
      </w:r>
      <w:r>
        <w:rPr>
          <w:color w:val="231F20"/>
          <w:spacing w:val="-6"/>
        </w:rPr>
        <w:t> </w:t>
      </w:r>
      <w:r>
        <w:rPr>
          <w:color w:val="231F20"/>
          <w:spacing w:val="-1"/>
        </w:rPr>
        <w:t>share</w:t>
      </w:r>
      <w:r>
        <w:rPr>
          <w:color w:val="231F20"/>
          <w:spacing w:val="-5"/>
        </w:rPr>
        <w:t> </w:t>
      </w:r>
      <w:r>
        <w:rPr>
          <w:color w:val="231F20"/>
        </w:rPr>
        <w:t>of</w:t>
      </w:r>
      <w:r>
        <w:rPr>
          <w:color w:val="231F20"/>
          <w:spacing w:val="24"/>
          <w:w w:val="99"/>
        </w:rPr>
        <w:t> </w:t>
      </w:r>
      <w:r>
        <w:rPr>
          <w:color w:val="231F20"/>
        </w:rPr>
        <w:t>the</w:t>
      </w:r>
      <w:r>
        <w:rPr>
          <w:color w:val="231F20"/>
          <w:spacing w:val="-4"/>
        </w:rPr>
        <w:t> </w:t>
      </w:r>
      <w:r>
        <w:rPr>
          <w:color w:val="231F20"/>
          <w:spacing w:val="-1"/>
        </w:rPr>
        <w:t>SRS</w:t>
      </w:r>
      <w:r>
        <w:rPr>
          <w:color w:val="231F20"/>
          <w:spacing w:val="-2"/>
        </w:rPr>
        <w:t> </w:t>
      </w:r>
      <w:r>
        <w:rPr>
          <w:color w:val="231F20"/>
        </w:rPr>
        <w:t>for</w:t>
      </w:r>
      <w:r>
        <w:rPr>
          <w:color w:val="231F20"/>
          <w:spacing w:val="-3"/>
        </w:rPr>
        <w:t> </w:t>
      </w:r>
      <w:r>
        <w:rPr>
          <w:color w:val="231F20"/>
        </w:rPr>
        <w:t>each</w:t>
      </w:r>
      <w:r>
        <w:rPr>
          <w:color w:val="231F20"/>
          <w:spacing w:val="-2"/>
        </w:rPr>
        <w:t> </w:t>
      </w:r>
      <w:r>
        <w:rPr>
          <w:color w:val="231F20"/>
          <w:spacing w:val="-1"/>
        </w:rPr>
        <w:t>school.</w:t>
      </w:r>
      <w:r>
        <w:rPr>
          <w:color w:val="231F20"/>
          <w:spacing w:val="-2"/>
        </w:rPr>
        <w:t> </w:t>
      </w:r>
      <w:r>
        <w:rPr>
          <w:color w:val="231F20"/>
        </w:rPr>
        <w:t>The</w:t>
      </w:r>
      <w:r>
        <w:rPr>
          <w:color w:val="231F20"/>
          <w:spacing w:val="-3"/>
        </w:rPr>
        <w:t> </w:t>
      </w:r>
      <w:r>
        <w:rPr>
          <w:color w:val="231F20"/>
          <w:spacing w:val="-1"/>
        </w:rPr>
        <w:t>Commonwealth's</w:t>
      </w:r>
      <w:r>
        <w:rPr>
          <w:color w:val="231F20"/>
          <w:spacing w:val="-2"/>
        </w:rPr>
        <w:t> </w:t>
      </w:r>
      <w:r>
        <w:rPr>
          <w:color w:val="231F20"/>
          <w:spacing w:val="-1"/>
        </w:rPr>
        <w:t>share</w:t>
      </w:r>
      <w:r>
        <w:rPr>
          <w:color w:val="231F20"/>
          <w:spacing w:val="-2"/>
        </w:rPr>
        <w:t> </w:t>
      </w:r>
      <w:r>
        <w:rPr>
          <w:color w:val="231F20"/>
        </w:rPr>
        <w:t>will</w:t>
      </w:r>
      <w:r>
        <w:rPr>
          <w:color w:val="231F20"/>
          <w:spacing w:val="-4"/>
        </w:rPr>
        <w:t> </w:t>
      </w:r>
      <w:r>
        <w:rPr>
          <w:color w:val="231F20"/>
          <w:spacing w:val="-1"/>
        </w:rPr>
        <w:t>increase</w:t>
      </w:r>
      <w:r>
        <w:rPr>
          <w:color w:val="231F20"/>
          <w:spacing w:val="-2"/>
        </w:rPr>
        <w:t> </w:t>
      </w:r>
      <w:r>
        <w:rPr>
          <w:color w:val="231F20"/>
        </w:rPr>
        <w:t>to</w:t>
      </w:r>
      <w:r>
        <w:rPr>
          <w:color w:val="231F20"/>
          <w:spacing w:val="-3"/>
        </w:rPr>
        <w:t> </w:t>
      </w:r>
      <w:r>
        <w:rPr>
          <w:color w:val="231F20"/>
          <w:spacing w:val="-1"/>
        </w:rPr>
        <w:t>80</w:t>
      </w:r>
      <w:r>
        <w:rPr>
          <w:color w:val="231F20"/>
          <w:spacing w:val="-2"/>
        </w:rPr>
        <w:t> </w:t>
      </w:r>
      <w:r>
        <w:rPr>
          <w:color w:val="231F20"/>
        </w:rPr>
        <w:t>per</w:t>
      </w:r>
      <w:r>
        <w:rPr>
          <w:color w:val="231F20"/>
          <w:spacing w:val="-2"/>
        </w:rPr>
        <w:t> </w:t>
      </w:r>
      <w:r>
        <w:rPr>
          <w:color w:val="231F20"/>
        </w:rPr>
        <w:t>cent</w:t>
      </w:r>
      <w:r>
        <w:rPr>
          <w:color w:val="231F20"/>
          <w:spacing w:val="-4"/>
        </w:rPr>
        <w:t> </w:t>
      </w:r>
      <w:r>
        <w:rPr>
          <w:color w:val="231F20"/>
        </w:rPr>
        <w:t>of</w:t>
      </w:r>
      <w:r>
        <w:rPr>
          <w:color w:val="231F20"/>
          <w:spacing w:val="-2"/>
        </w:rPr>
        <w:t> </w:t>
      </w:r>
      <w:r>
        <w:rPr>
          <w:color w:val="231F20"/>
        </w:rPr>
        <w:t>the</w:t>
      </w:r>
      <w:r>
        <w:rPr>
          <w:color w:val="231F20"/>
          <w:spacing w:val="-3"/>
        </w:rPr>
        <w:t> </w:t>
      </w:r>
      <w:r>
        <w:rPr>
          <w:color w:val="231F20"/>
          <w:spacing w:val="-1"/>
        </w:rPr>
        <w:t>Schooling</w:t>
      </w:r>
      <w:r>
        <w:rPr>
          <w:color w:val="231F20"/>
          <w:spacing w:val="26"/>
        </w:rPr>
        <w:t> </w:t>
      </w:r>
      <w:r>
        <w:rPr>
          <w:color w:val="231F20"/>
          <w:spacing w:val="-1"/>
        </w:rPr>
        <w:t>Resource</w:t>
      </w:r>
      <w:r>
        <w:rPr>
          <w:color w:val="231F20"/>
          <w:spacing w:val="-6"/>
        </w:rPr>
        <w:t> </w:t>
      </w:r>
      <w:r>
        <w:rPr>
          <w:color w:val="231F20"/>
          <w:spacing w:val="-1"/>
        </w:rPr>
        <w:t>Standard</w:t>
      </w:r>
      <w:r>
        <w:rPr>
          <w:color w:val="231F20"/>
          <w:spacing w:val="-5"/>
        </w:rPr>
        <w:t> </w:t>
      </w:r>
      <w:r>
        <w:rPr>
          <w:color w:val="231F20"/>
        </w:rPr>
        <w:t>(SRS)</w:t>
      </w:r>
      <w:r>
        <w:rPr>
          <w:color w:val="231F20"/>
          <w:spacing w:val="-6"/>
        </w:rPr>
        <w:t> </w:t>
      </w:r>
      <w:r>
        <w:rPr>
          <w:color w:val="231F20"/>
        </w:rPr>
        <w:t>for</w:t>
      </w:r>
      <w:r>
        <w:rPr>
          <w:color w:val="231F20"/>
          <w:spacing w:val="-5"/>
        </w:rPr>
        <w:t> </w:t>
      </w:r>
      <w:r>
        <w:rPr>
          <w:color w:val="231F20"/>
        </w:rPr>
        <w:t>non-government</w:t>
      </w:r>
      <w:r>
        <w:rPr>
          <w:color w:val="231F20"/>
          <w:spacing w:val="-5"/>
        </w:rPr>
        <w:t> </w:t>
      </w:r>
      <w:r>
        <w:rPr>
          <w:color w:val="231F20"/>
          <w:spacing w:val="-1"/>
        </w:rPr>
        <w:t>schools</w:t>
      </w:r>
      <w:r>
        <w:rPr>
          <w:color w:val="231F20"/>
          <w:spacing w:val="-5"/>
        </w:rPr>
        <w:t> </w:t>
      </w:r>
      <w:r>
        <w:rPr>
          <w:color w:val="231F20"/>
        </w:rPr>
        <w:t>and</w:t>
      </w:r>
      <w:r>
        <w:rPr>
          <w:color w:val="231F20"/>
          <w:spacing w:val="-5"/>
        </w:rPr>
        <w:t> </w:t>
      </w:r>
      <w:r>
        <w:rPr>
          <w:color w:val="231F20"/>
          <w:spacing w:val="-1"/>
        </w:rPr>
        <w:t>20</w:t>
      </w:r>
      <w:r>
        <w:rPr>
          <w:color w:val="231F20"/>
          <w:spacing w:val="-5"/>
        </w:rPr>
        <w:t> </w:t>
      </w:r>
      <w:r>
        <w:rPr>
          <w:color w:val="231F20"/>
        </w:rPr>
        <w:t>per</w:t>
      </w:r>
      <w:r>
        <w:rPr>
          <w:color w:val="231F20"/>
          <w:spacing w:val="-4"/>
        </w:rPr>
        <w:t> </w:t>
      </w:r>
      <w:r>
        <w:rPr>
          <w:color w:val="231F20"/>
        </w:rPr>
        <w:t>cent</w:t>
      </w:r>
      <w:r>
        <w:rPr>
          <w:color w:val="231F20"/>
          <w:spacing w:val="-6"/>
        </w:rPr>
        <w:t> </w:t>
      </w:r>
      <w:r>
        <w:rPr>
          <w:color w:val="231F20"/>
        </w:rPr>
        <w:t>for</w:t>
      </w:r>
      <w:r>
        <w:rPr>
          <w:color w:val="231F20"/>
          <w:spacing w:val="-5"/>
        </w:rPr>
        <w:t> </w:t>
      </w:r>
      <w:r>
        <w:rPr>
          <w:color w:val="231F20"/>
        </w:rPr>
        <w:t>government</w:t>
      </w:r>
      <w:r>
        <w:rPr>
          <w:color w:val="231F20"/>
          <w:spacing w:val="-5"/>
        </w:rPr>
        <w:t> </w:t>
      </w:r>
      <w:r>
        <w:rPr>
          <w:color w:val="231F20"/>
          <w:spacing w:val="-1"/>
        </w:rPr>
        <w:t>schools.</w:t>
      </w:r>
      <w:r>
        <w:rPr/>
      </w:r>
    </w:p>
    <w:p>
      <w:pPr>
        <w:pStyle w:val="BodyText"/>
        <w:spacing w:line="250" w:lineRule="exact" w:before="113"/>
        <w:ind w:right="210"/>
        <w:jc w:val="left"/>
      </w:pPr>
      <w:r>
        <w:rPr>
          <w:color w:val="231F20"/>
        </w:rPr>
        <w:t>The</w:t>
      </w:r>
      <w:r>
        <w:rPr>
          <w:color w:val="231F20"/>
          <w:spacing w:val="-5"/>
        </w:rPr>
        <w:t> </w:t>
      </w:r>
      <w:r>
        <w:rPr>
          <w:color w:val="231F20"/>
          <w:spacing w:val="-1"/>
        </w:rPr>
        <w:t>majority</w:t>
      </w:r>
      <w:r>
        <w:rPr>
          <w:color w:val="231F20"/>
          <w:spacing w:val="-4"/>
        </w:rPr>
        <w:t> </w:t>
      </w:r>
      <w:r>
        <w:rPr>
          <w:color w:val="231F20"/>
        </w:rPr>
        <w:t>of</w:t>
      </w:r>
      <w:r>
        <w:rPr>
          <w:color w:val="231F20"/>
          <w:spacing w:val="-4"/>
        </w:rPr>
        <w:t> </w:t>
      </w:r>
      <w:r>
        <w:rPr>
          <w:color w:val="231F20"/>
          <w:spacing w:val="-1"/>
        </w:rPr>
        <w:t>schools</w:t>
      </w:r>
      <w:r>
        <w:rPr>
          <w:color w:val="231F20"/>
          <w:spacing w:val="-4"/>
        </w:rPr>
        <w:t> </w:t>
      </w:r>
      <w:r>
        <w:rPr>
          <w:color w:val="231F20"/>
        </w:rPr>
        <w:t>and</w:t>
      </w:r>
      <w:r>
        <w:rPr>
          <w:color w:val="231F20"/>
          <w:spacing w:val="-5"/>
        </w:rPr>
        <w:t> </w:t>
      </w:r>
      <w:r>
        <w:rPr>
          <w:color w:val="231F20"/>
          <w:spacing w:val="-1"/>
        </w:rPr>
        <w:t>systems</w:t>
      </w:r>
      <w:r>
        <w:rPr>
          <w:color w:val="231F20"/>
          <w:spacing w:val="-5"/>
        </w:rPr>
        <w:t> </w:t>
      </w:r>
      <w:r>
        <w:rPr>
          <w:color w:val="231F20"/>
        </w:rPr>
        <w:t>currently</w:t>
      </w:r>
      <w:r>
        <w:rPr>
          <w:color w:val="231F20"/>
          <w:spacing w:val="-5"/>
        </w:rPr>
        <w:t> </w:t>
      </w:r>
      <w:r>
        <w:rPr>
          <w:color w:val="231F20"/>
        </w:rPr>
        <w:t>attract</w:t>
      </w:r>
      <w:r>
        <w:rPr>
          <w:color w:val="231F20"/>
          <w:spacing w:val="-5"/>
        </w:rPr>
        <w:t> </w:t>
      </w:r>
      <w:r>
        <w:rPr>
          <w:color w:val="231F20"/>
          <w:spacing w:val="-1"/>
        </w:rPr>
        <w:t>less</w:t>
      </w:r>
      <w:r>
        <w:rPr>
          <w:color w:val="231F20"/>
          <w:spacing w:val="-4"/>
        </w:rPr>
        <w:t> </w:t>
      </w:r>
      <w:r>
        <w:rPr>
          <w:color w:val="231F20"/>
        </w:rPr>
        <w:t>than</w:t>
      </w:r>
      <w:r>
        <w:rPr>
          <w:color w:val="231F20"/>
          <w:spacing w:val="-5"/>
        </w:rPr>
        <w:t> </w:t>
      </w:r>
      <w:r>
        <w:rPr>
          <w:color w:val="231F20"/>
        </w:rPr>
        <w:t>the</w:t>
      </w:r>
      <w:r>
        <w:rPr>
          <w:color w:val="231F20"/>
          <w:spacing w:val="-5"/>
        </w:rPr>
        <w:t> </w:t>
      </w:r>
      <w:r>
        <w:rPr>
          <w:color w:val="231F20"/>
        </w:rPr>
        <w:t>consistent</w:t>
      </w:r>
      <w:r>
        <w:rPr>
          <w:color w:val="231F20"/>
          <w:spacing w:val="-5"/>
        </w:rPr>
        <w:t> </w:t>
      </w:r>
      <w:r>
        <w:rPr>
          <w:color w:val="231F20"/>
          <w:spacing w:val="-1"/>
        </w:rPr>
        <w:t>Commonwealth</w:t>
      </w:r>
      <w:r>
        <w:rPr>
          <w:color w:val="231F20"/>
          <w:spacing w:val="24"/>
          <w:w w:val="99"/>
        </w:rPr>
        <w:t> </w:t>
      </w:r>
      <w:r>
        <w:rPr>
          <w:color w:val="231F20"/>
          <w:spacing w:val="-1"/>
        </w:rPr>
        <w:t>shares.</w:t>
      </w:r>
      <w:r>
        <w:rPr>
          <w:color w:val="231F20"/>
          <w:spacing w:val="-5"/>
        </w:rPr>
        <w:t> </w:t>
      </w:r>
      <w:r>
        <w:rPr>
          <w:color w:val="231F20"/>
          <w:spacing w:val="-11"/>
        </w:rPr>
        <w:t>To</w:t>
      </w:r>
      <w:r>
        <w:rPr>
          <w:color w:val="231F20"/>
          <w:spacing w:val="-5"/>
        </w:rPr>
        <w:t> </w:t>
      </w:r>
      <w:r>
        <w:rPr>
          <w:color w:val="231F20"/>
        </w:rPr>
        <w:t>ensure</w:t>
      </w:r>
      <w:r>
        <w:rPr>
          <w:color w:val="231F20"/>
          <w:spacing w:val="-6"/>
        </w:rPr>
        <w:t> </w:t>
      </w:r>
      <w:r>
        <w:rPr>
          <w:color w:val="231F20"/>
        </w:rPr>
        <w:t>they</w:t>
      </w:r>
      <w:r>
        <w:rPr>
          <w:color w:val="231F20"/>
          <w:spacing w:val="-5"/>
        </w:rPr>
        <w:t> </w:t>
      </w:r>
      <w:r>
        <w:rPr>
          <w:color w:val="231F20"/>
        </w:rPr>
        <w:t>receive</w:t>
      </w:r>
      <w:r>
        <w:rPr>
          <w:color w:val="231F20"/>
          <w:spacing w:val="-6"/>
        </w:rPr>
        <w:t> </w:t>
      </w:r>
      <w:r>
        <w:rPr>
          <w:color w:val="231F20"/>
        </w:rPr>
        <w:t>their</w:t>
      </w:r>
      <w:r>
        <w:rPr>
          <w:color w:val="231F20"/>
          <w:spacing w:val="-6"/>
        </w:rPr>
        <w:t> </w:t>
      </w:r>
      <w:r>
        <w:rPr>
          <w:color w:val="231F20"/>
        </w:rPr>
        <w:t>fair</w:t>
      </w:r>
      <w:r>
        <w:rPr>
          <w:color w:val="231F20"/>
          <w:spacing w:val="-4"/>
        </w:rPr>
        <w:t> </w:t>
      </w:r>
      <w:r>
        <w:rPr>
          <w:color w:val="231F20"/>
          <w:spacing w:val="-1"/>
        </w:rPr>
        <w:t>share</w:t>
      </w:r>
      <w:r>
        <w:rPr>
          <w:color w:val="231F20"/>
          <w:spacing w:val="-5"/>
        </w:rPr>
        <w:t> </w:t>
      </w:r>
      <w:r>
        <w:rPr>
          <w:color w:val="231F20"/>
        </w:rPr>
        <w:t>of</w:t>
      </w:r>
      <w:r>
        <w:rPr>
          <w:color w:val="231F20"/>
          <w:spacing w:val="-5"/>
        </w:rPr>
        <w:t> </w:t>
      </w:r>
      <w:r>
        <w:rPr>
          <w:color w:val="231F20"/>
          <w:spacing w:val="-1"/>
        </w:rPr>
        <w:t>Commonwealth</w:t>
      </w:r>
      <w:r>
        <w:rPr>
          <w:color w:val="231F20"/>
          <w:spacing w:val="-4"/>
        </w:rPr>
        <w:t> </w:t>
      </w:r>
      <w:r>
        <w:rPr>
          <w:color w:val="231F20"/>
        </w:rPr>
        <w:t>funding</w:t>
      </w:r>
      <w:r>
        <w:rPr>
          <w:color w:val="231F20"/>
          <w:spacing w:val="-5"/>
        </w:rPr>
        <w:t> </w:t>
      </w:r>
      <w:r>
        <w:rPr>
          <w:color w:val="231F20"/>
          <w:spacing w:val="-1"/>
        </w:rPr>
        <w:t>sooner</w:t>
      </w:r>
      <w:r>
        <w:rPr>
          <w:color w:val="231F20"/>
          <w:spacing w:val="-5"/>
        </w:rPr>
        <w:t> </w:t>
      </w:r>
      <w:r>
        <w:rPr>
          <w:color w:val="231F20"/>
        </w:rPr>
        <w:t>these</w:t>
      </w:r>
      <w:r>
        <w:rPr>
          <w:color w:val="231F20"/>
          <w:spacing w:val="-6"/>
        </w:rPr>
        <w:t> </w:t>
      </w:r>
      <w:r>
        <w:rPr>
          <w:color w:val="231F20"/>
          <w:spacing w:val="-1"/>
        </w:rPr>
        <w:t>schools</w:t>
      </w:r>
      <w:r>
        <w:rPr>
          <w:color w:val="231F20"/>
          <w:spacing w:val="-4"/>
        </w:rPr>
        <w:t> </w:t>
      </w:r>
      <w:r>
        <w:rPr>
          <w:color w:val="231F20"/>
        </w:rPr>
        <w:t>and</w:t>
      </w:r>
      <w:r>
        <w:rPr>
          <w:color w:val="231F20"/>
          <w:spacing w:val="26"/>
          <w:w w:val="99"/>
        </w:rPr>
        <w:t> </w:t>
      </w:r>
      <w:r>
        <w:rPr>
          <w:color w:val="231F20"/>
          <w:spacing w:val="-1"/>
        </w:rPr>
        <w:t>systems</w:t>
      </w:r>
      <w:r>
        <w:rPr>
          <w:color w:val="231F20"/>
          <w:spacing w:val="-3"/>
        </w:rPr>
        <w:t> </w:t>
      </w:r>
      <w:r>
        <w:rPr>
          <w:color w:val="231F20"/>
        </w:rPr>
        <w:t>will</w:t>
      </w:r>
      <w:r>
        <w:rPr>
          <w:color w:val="231F20"/>
          <w:spacing w:val="-4"/>
        </w:rPr>
        <w:t> </w:t>
      </w:r>
      <w:r>
        <w:rPr>
          <w:color w:val="231F20"/>
        </w:rPr>
        <w:t>transition</w:t>
      </w:r>
      <w:r>
        <w:rPr>
          <w:color w:val="231F20"/>
          <w:spacing w:val="-4"/>
        </w:rPr>
        <w:t> </w:t>
      </w:r>
      <w:r>
        <w:rPr>
          <w:color w:val="231F20"/>
        </w:rPr>
        <w:t>to</w:t>
      </w:r>
      <w:r>
        <w:rPr>
          <w:color w:val="231F20"/>
          <w:spacing w:val="-2"/>
        </w:rPr>
        <w:t> </w:t>
      </w:r>
      <w:r>
        <w:rPr>
          <w:color w:val="231F20"/>
        </w:rPr>
        <w:t>the</w:t>
      </w:r>
      <w:r>
        <w:rPr>
          <w:color w:val="231F20"/>
          <w:spacing w:val="-4"/>
        </w:rPr>
        <w:t> </w:t>
      </w:r>
      <w:r>
        <w:rPr>
          <w:color w:val="231F20"/>
        </w:rPr>
        <w:t>consistent</w:t>
      </w:r>
      <w:r>
        <w:rPr>
          <w:color w:val="231F20"/>
          <w:spacing w:val="-4"/>
        </w:rPr>
        <w:t> </w:t>
      </w:r>
      <w:r>
        <w:rPr>
          <w:color w:val="231F20"/>
          <w:spacing w:val="-1"/>
        </w:rPr>
        <w:t>shares</w:t>
      </w:r>
      <w:r>
        <w:rPr>
          <w:color w:val="231F20"/>
          <w:spacing w:val="-3"/>
        </w:rPr>
        <w:t> </w:t>
      </w:r>
      <w:r>
        <w:rPr>
          <w:color w:val="231F20"/>
        </w:rPr>
        <w:t>by</w:t>
      </w:r>
      <w:r>
        <w:rPr>
          <w:color w:val="231F20"/>
          <w:spacing w:val="-2"/>
        </w:rPr>
        <w:t> </w:t>
      </w:r>
      <w:r>
        <w:rPr>
          <w:color w:val="231F20"/>
          <w:spacing w:val="-1"/>
        </w:rPr>
        <w:t>2023.</w:t>
      </w:r>
      <w:r>
        <w:rPr>
          <w:color w:val="231F20"/>
          <w:spacing w:val="-3"/>
        </w:rPr>
        <w:t> </w:t>
      </w:r>
      <w:r>
        <w:rPr>
          <w:color w:val="231F20"/>
          <w:spacing w:val="-1"/>
        </w:rPr>
        <w:t>Schools</w:t>
      </w:r>
      <w:r>
        <w:rPr>
          <w:color w:val="231F20"/>
          <w:spacing w:val="-3"/>
        </w:rPr>
        <w:t> </w:t>
      </w:r>
      <w:r>
        <w:rPr>
          <w:color w:val="231F20"/>
        </w:rPr>
        <w:t>and</w:t>
      </w:r>
      <w:r>
        <w:rPr>
          <w:color w:val="231F20"/>
          <w:spacing w:val="-3"/>
        </w:rPr>
        <w:t> </w:t>
      </w:r>
      <w:r>
        <w:rPr>
          <w:color w:val="231F20"/>
          <w:spacing w:val="-1"/>
        </w:rPr>
        <w:t>systems</w:t>
      </w:r>
      <w:r>
        <w:rPr>
          <w:color w:val="231F20"/>
          <w:spacing w:val="-3"/>
        </w:rPr>
        <w:t> </w:t>
      </w:r>
      <w:r>
        <w:rPr>
          <w:color w:val="231F20"/>
        </w:rPr>
        <w:t>that</w:t>
      </w:r>
      <w:r>
        <w:rPr>
          <w:color w:val="231F20"/>
          <w:spacing w:val="-4"/>
        </w:rPr>
        <w:t> </w:t>
      </w:r>
      <w:r>
        <w:rPr>
          <w:color w:val="231F20"/>
        </w:rPr>
        <w:t>are</w:t>
      </w:r>
      <w:r>
        <w:rPr>
          <w:color w:val="231F20"/>
          <w:spacing w:val="-4"/>
        </w:rPr>
        <w:t> </w:t>
      </w:r>
      <w:r>
        <w:rPr>
          <w:color w:val="231F20"/>
        </w:rPr>
        <w:t>currently</w:t>
      </w:r>
      <w:r>
        <w:rPr>
          <w:color w:val="231F20"/>
          <w:spacing w:val="26"/>
          <w:w w:val="99"/>
        </w:rPr>
        <w:t> </w:t>
      </w:r>
      <w:r>
        <w:rPr>
          <w:color w:val="231F20"/>
        </w:rPr>
        <w:t>funded</w:t>
      </w:r>
      <w:r>
        <w:rPr>
          <w:color w:val="231F20"/>
          <w:spacing w:val="-5"/>
        </w:rPr>
        <w:t> </w:t>
      </w:r>
      <w:r>
        <w:rPr>
          <w:color w:val="231F20"/>
        </w:rPr>
        <w:t>above</w:t>
      </w:r>
      <w:r>
        <w:rPr>
          <w:color w:val="231F20"/>
          <w:spacing w:val="-5"/>
        </w:rPr>
        <w:t> </w:t>
      </w:r>
      <w:r>
        <w:rPr>
          <w:color w:val="231F20"/>
        </w:rPr>
        <w:t>the</w:t>
      </w:r>
      <w:r>
        <w:rPr>
          <w:color w:val="231F20"/>
          <w:spacing w:val="-5"/>
        </w:rPr>
        <w:t> </w:t>
      </w:r>
      <w:r>
        <w:rPr>
          <w:color w:val="231F20"/>
        </w:rPr>
        <w:t>consistent</w:t>
      </w:r>
      <w:r>
        <w:rPr>
          <w:color w:val="231F20"/>
          <w:spacing w:val="-5"/>
        </w:rPr>
        <w:t> </w:t>
      </w:r>
      <w:r>
        <w:rPr>
          <w:color w:val="231F20"/>
          <w:spacing w:val="-1"/>
        </w:rPr>
        <w:t>Commonwealth</w:t>
      </w:r>
      <w:r>
        <w:rPr>
          <w:color w:val="231F20"/>
          <w:spacing w:val="-5"/>
        </w:rPr>
        <w:t> </w:t>
      </w:r>
      <w:r>
        <w:rPr>
          <w:color w:val="231F20"/>
          <w:spacing w:val="-1"/>
        </w:rPr>
        <w:t>shares</w:t>
      </w:r>
      <w:r>
        <w:rPr>
          <w:color w:val="231F20"/>
          <w:spacing w:val="-4"/>
        </w:rPr>
        <w:t> </w:t>
      </w:r>
      <w:r>
        <w:rPr>
          <w:color w:val="231F20"/>
        </w:rPr>
        <w:t>will</w:t>
      </w:r>
      <w:r>
        <w:rPr>
          <w:color w:val="231F20"/>
          <w:spacing w:val="-5"/>
        </w:rPr>
        <w:t> </w:t>
      </w:r>
      <w:r>
        <w:rPr>
          <w:color w:val="231F20"/>
        </w:rPr>
        <w:t>transition</w:t>
      </w:r>
      <w:r>
        <w:rPr>
          <w:color w:val="231F20"/>
          <w:spacing w:val="-5"/>
        </w:rPr>
        <w:t> </w:t>
      </w:r>
      <w:r>
        <w:rPr>
          <w:color w:val="231F20"/>
        </w:rPr>
        <w:t>to</w:t>
      </w:r>
      <w:r>
        <w:rPr>
          <w:color w:val="231F20"/>
          <w:spacing w:val="-4"/>
        </w:rPr>
        <w:t> </w:t>
      </w:r>
      <w:r>
        <w:rPr>
          <w:color w:val="231F20"/>
        </w:rPr>
        <w:t>them</w:t>
      </w:r>
      <w:r>
        <w:rPr>
          <w:color w:val="231F20"/>
          <w:spacing w:val="-6"/>
        </w:rPr>
        <w:t> </w:t>
      </w:r>
      <w:r>
        <w:rPr>
          <w:color w:val="231F20"/>
        </w:rPr>
        <w:t>by</w:t>
      </w:r>
      <w:r>
        <w:rPr>
          <w:color w:val="231F20"/>
          <w:spacing w:val="-4"/>
        </w:rPr>
        <w:t> </w:t>
      </w:r>
      <w:r>
        <w:rPr>
          <w:color w:val="231F20"/>
        </w:rPr>
        <w:t>2029.</w:t>
      </w:r>
      <w:r>
        <w:rPr/>
      </w:r>
    </w:p>
    <w:p>
      <w:pPr>
        <w:pStyle w:val="BodyText"/>
        <w:spacing w:line="250" w:lineRule="exact" w:before="113"/>
        <w:ind w:right="210"/>
        <w:jc w:val="left"/>
      </w:pPr>
      <w:r>
        <w:rPr>
          <w:color w:val="231F20"/>
        </w:rPr>
        <w:t>Alongside</w:t>
      </w:r>
      <w:r>
        <w:rPr>
          <w:color w:val="231F20"/>
          <w:spacing w:val="-5"/>
        </w:rPr>
        <w:t> </w:t>
      </w:r>
      <w:r>
        <w:rPr>
          <w:color w:val="231F20"/>
        </w:rPr>
        <w:t>the</w:t>
      </w:r>
      <w:r>
        <w:rPr>
          <w:color w:val="231F20"/>
          <w:spacing w:val="-5"/>
        </w:rPr>
        <w:t> </w:t>
      </w:r>
      <w:r>
        <w:rPr>
          <w:color w:val="231F20"/>
          <w:spacing w:val="-1"/>
        </w:rPr>
        <w:t>Commonwealth’s</w:t>
      </w:r>
      <w:r>
        <w:rPr>
          <w:color w:val="231F20"/>
          <w:spacing w:val="-4"/>
        </w:rPr>
        <w:t> </w:t>
      </w:r>
      <w:r>
        <w:rPr>
          <w:color w:val="231F20"/>
          <w:spacing w:val="-1"/>
        </w:rPr>
        <w:t>increased</w:t>
      </w:r>
      <w:r>
        <w:rPr>
          <w:color w:val="231F20"/>
          <w:spacing w:val="-4"/>
        </w:rPr>
        <w:t> </w:t>
      </w:r>
      <w:r>
        <w:rPr>
          <w:color w:val="231F20"/>
          <w:spacing w:val="-1"/>
        </w:rPr>
        <w:t>investment,</w:t>
      </w:r>
      <w:r>
        <w:rPr>
          <w:color w:val="231F20"/>
          <w:spacing w:val="-4"/>
        </w:rPr>
        <w:t> </w:t>
      </w:r>
      <w:r>
        <w:rPr>
          <w:color w:val="231F20"/>
          <w:spacing w:val="-1"/>
        </w:rPr>
        <w:t>state</w:t>
      </w:r>
      <w:r>
        <w:rPr>
          <w:color w:val="231F20"/>
          <w:spacing w:val="-4"/>
        </w:rPr>
        <w:t> </w:t>
      </w:r>
      <w:r>
        <w:rPr>
          <w:color w:val="231F20"/>
        </w:rPr>
        <w:t>and</w:t>
      </w:r>
      <w:r>
        <w:rPr>
          <w:color w:val="231F20"/>
          <w:spacing w:val="-5"/>
        </w:rPr>
        <w:t> </w:t>
      </w:r>
      <w:r>
        <w:rPr>
          <w:color w:val="231F20"/>
        </w:rPr>
        <w:t>territory</w:t>
      </w:r>
      <w:r>
        <w:rPr>
          <w:color w:val="231F20"/>
          <w:spacing w:val="-5"/>
        </w:rPr>
        <w:t> </w:t>
      </w:r>
      <w:r>
        <w:rPr>
          <w:color w:val="231F20"/>
        </w:rPr>
        <w:t>governments</w:t>
      </w:r>
      <w:r>
        <w:rPr>
          <w:color w:val="231F20"/>
          <w:spacing w:val="-5"/>
        </w:rPr>
        <w:t> </w:t>
      </w:r>
      <w:r>
        <w:rPr>
          <w:color w:val="231F20"/>
        </w:rPr>
        <w:t>are</w:t>
      </w:r>
      <w:r>
        <w:rPr>
          <w:color w:val="231F20"/>
          <w:spacing w:val="-5"/>
        </w:rPr>
        <w:t> </w:t>
      </w:r>
      <w:r>
        <w:rPr>
          <w:color w:val="231F20"/>
        </w:rPr>
        <w:t>also</w:t>
      </w:r>
      <w:r>
        <w:rPr>
          <w:color w:val="231F20"/>
          <w:spacing w:val="25"/>
        </w:rPr>
        <w:t> </w:t>
      </w:r>
      <w:r>
        <w:rPr>
          <w:color w:val="231F20"/>
        </w:rPr>
        <w:t>required</w:t>
      </w:r>
      <w:r>
        <w:rPr>
          <w:color w:val="231F20"/>
          <w:spacing w:val="-7"/>
        </w:rPr>
        <w:t> </w:t>
      </w:r>
      <w:r>
        <w:rPr>
          <w:color w:val="231F20"/>
        </w:rPr>
        <w:t>to</w:t>
      </w:r>
      <w:r>
        <w:rPr>
          <w:color w:val="231F20"/>
          <w:spacing w:val="-6"/>
        </w:rPr>
        <w:t> </w:t>
      </w:r>
      <w:r>
        <w:rPr>
          <w:color w:val="231F20"/>
        </w:rPr>
        <w:t>deliver</w:t>
      </w:r>
      <w:r>
        <w:rPr>
          <w:color w:val="231F20"/>
          <w:spacing w:val="-7"/>
        </w:rPr>
        <w:t> </w:t>
      </w:r>
      <w:r>
        <w:rPr>
          <w:color w:val="231F20"/>
        </w:rPr>
        <w:t>their</w:t>
      </w:r>
      <w:r>
        <w:rPr>
          <w:color w:val="231F20"/>
          <w:spacing w:val="-7"/>
        </w:rPr>
        <w:t> </w:t>
      </w:r>
      <w:r>
        <w:rPr>
          <w:color w:val="231F20"/>
          <w:spacing w:val="-1"/>
        </w:rPr>
        <w:t>share</w:t>
      </w:r>
      <w:r>
        <w:rPr>
          <w:color w:val="231F20"/>
          <w:spacing w:val="-5"/>
        </w:rPr>
        <w:t> </w:t>
      </w:r>
      <w:r>
        <w:rPr>
          <w:color w:val="231F20"/>
        </w:rPr>
        <w:t>of</w:t>
      </w:r>
      <w:r>
        <w:rPr>
          <w:color w:val="231F20"/>
          <w:spacing w:val="-6"/>
        </w:rPr>
        <w:t> </w:t>
      </w:r>
      <w:r>
        <w:rPr>
          <w:color w:val="231F20"/>
        </w:rPr>
        <w:t>total</w:t>
      </w:r>
      <w:r>
        <w:rPr>
          <w:color w:val="231F20"/>
          <w:spacing w:val="-7"/>
        </w:rPr>
        <w:t> </w:t>
      </w:r>
      <w:r>
        <w:rPr>
          <w:color w:val="231F20"/>
        </w:rPr>
        <w:t>public</w:t>
      </w:r>
      <w:r>
        <w:rPr>
          <w:color w:val="231F20"/>
          <w:spacing w:val="-7"/>
        </w:rPr>
        <w:t> </w:t>
      </w:r>
      <w:r>
        <w:rPr>
          <w:color w:val="231F20"/>
        </w:rPr>
        <w:t>funding.</w:t>
      </w:r>
      <w:r>
        <w:rPr>
          <w:color w:val="231F20"/>
          <w:spacing w:val="-6"/>
        </w:rPr>
        <w:t> </w:t>
      </w:r>
      <w:r>
        <w:rPr>
          <w:color w:val="231F20"/>
          <w:spacing w:val="-1"/>
        </w:rPr>
        <w:t>Further</w:t>
      </w:r>
      <w:r>
        <w:rPr>
          <w:color w:val="231F20"/>
          <w:spacing w:val="-5"/>
        </w:rPr>
        <w:t> </w:t>
      </w:r>
      <w:r>
        <w:rPr>
          <w:color w:val="231F20"/>
          <w:spacing w:val="-1"/>
        </w:rPr>
        <w:t>information</w:t>
      </w:r>
      <w:r>
        <w:rPr>
          <w:color w:val="231F20"/>
          <w:spacing w:val="-6"/>
        </w:rPr>
        <w:t> </w:t>
      </w:r>
      <w:r>
        <w:rPr>
          <w:color w:val="231F20"/>
        </w:rPr>
        <w:t>about</w:t>
      </w:r>
      <w:r>
        <w:rPr>
          <w:color w:val="231F20"/>
          <w:spacing w:val="-7"/>
        </w:rPr>
        <w:t> </w:t>
      </w:r>
      <w:r>
        <w:rPr>
          <w:color w:val="231F20"/>
          <w:spacing w:val="-1"/>
        </w:rPr>
        <w:t>state</w:t>
      </w:r>
      <w:r>
        <w:rPr>
          <w:color w:val="231F20"/>
          <w:spacing w:val="-6"/>
        </w:rPr>
        <w:t> </w:t>
      </w:r>
      <w:r>
        <w:rPr>
          <w:color w:val="231F20"/>
        </w:rPr>
        <w:t>funding</w:t>
      </w:r>
      <w:r>
        <w:rPr>
          <w:color w:val="231F20"/>
          <w:spacing w:val="25"/>
          <w:w w:val="99"/>
        </w:rPr>
        <w:t> </w:t>
      </w:r>
      <w:r>
        <w:rPr>
          <w:color w:val="231F20"/>
        </w:rPr>
        <w:t>requirements</w:t>
      </w:r>
      <w:r>
        <w:rPr>
          <w:color w:val="231F20"/>
          <w:spacing w:val="-7"/>
        </w:rPr>
        <w:t> </w:t>
      </w:r>
      <w:r>
        <w:rPr>
          <w:color w:val="231F20"/>
          <w:spacing w:val="-1"/>
        </w:rPr>
        <w:t>is</w:t>
      </w:r>
      <w:r>
        <w:rPr>
          <w:color w:val="231F20"/>
          <w:spacing w:val="-6"/>
        </w:rPr>
        <w:t> </w:t>
      </w:r>
      <w:r>
        <w:rPr>
          <w:color w:val="231F20"/>
        </w:rPr>
        <w:t>available</w:t>
      </w:r>
      <w:r>
        <w:rPr>
          <w:color w:val="231F20"/>
          <w:spacing w:val="-6"/>
        </w:rPr>
        <w:t> </w:t>
      </w:r>
      <w:r>
        <w:rPr>
          <w:color w:val="231F20"/>
        </w:rPr>
        <w:t>at:</w:t>
      </w:r>
      <w:r>
        <w:rPr>
          <w:color w:val="231F20"/>
          <w:spacing w:val="-5"/>
        </w:rPr>
        <w:t> </w:t>
      </w:r>
      <w:r>
        <w:rPr>
          <w:color w:val="231F20"/>
        </w:rPr>
        <w:t>How</w:t>
      </w:r>
      <w:r>
        <w:rPr>
          <w:color w:val="231F20"/>
          <w:spacing w:val="-5"/>
        </w:rPr>
        <w:t> </w:t>
      </w:r>
      <w:r>
        <w:rPr>
          <w:color w:val="231F20"/>
        </w:rPr>
        <w:t>are</w:t>
      </w:r>
      <w:r>
        <w:rPr>
          <w:color w:val="231F20"/>
          <w:spacing w:val="-6"/>
        </w:rPr>
        <w:t> </w:t>
      </w:r>
      <w:r>
        <w:rPr>
          <w:color w:val="231F20"/>
          <w:spacing w:val="-1"/>
        </w:rPr>
        <w:t>schools</w:t>
      </w:r>
      <w:r>
        <w:rPr>
          <w:color w:val="231F20"/>
          <w:spacing w:val="-5"/>
        </w:rPr>
        <w:t> </w:t>
      </w:r>
      <w:r>
        <w:rPr>
          <w:color w:val="231F20"/>
        </w:rPr>
        <w:t>funded</w:t>
      </w:r>
      <w:r>
        <w:rPr>
          <w:color w:val="231F20"/>
          <w:spacing w:val="-5"/>
        </w:rPr>
        <w:t> </w:t>
      </w:r>
      <w:r>
        <w:rPr>
          <w:color w:val="231F20"/>
          <w:spacing w:val="-1"/>
        </w:rPr>
        <w:t>in</w:t>
      </w:r>
      <w:r>
        <w:rPr>
          <w:color w:val="231F20"/>
          <w:spacing w:val="-5"/>
        </w:rPr>
        <w:t> </w:t>
      </w:r>
      <w:r>
        <w:rPr>
          <w:color w:val="231F20"/>
        </w:rPr>
        <w:t>Australia?</w:t>
      </w:r>
      <w:r>
        <w:rPr/>
      </w:r>
    </w:p>
    <w:p>
      <w:pPr>
        <w:spacing w:after="0" w:line="250" w:lineRule="exact"/>
        <w:jc w:val="left"/>
        <w:sectPr>
          <w:footerReference w:type="even" r:id="rId104"/>
          <w:footerReference w:type="default" r:id="rId105"/>
          <w:pgSz w:w="11910" w:h="16840"/>
          <w:pgMar w:footer="691" w:header="0" w:top="1580" w:bottom="880" w:left="1300" w:right="1600"/>
        </w:sectPr>
      </w:pPr>
    </w:p>
    <w:p>
      <w:pPr>
        <w:spacing w:line="240" w:lineRule="auto" w:before="0"/>
        <w:rPr>
          <w:rFonts w:ascii="Segoe UI" w:hAnsi="Segoe UI" w:cs="Segoe UI" w:eastAsia="Segoe UI"/>
          <w:sz w:val="20"/>
          <w:szCs w:val="20"/>
        </w:rPr>
      </w:pPr>
    </w:p>
    <w:p>
      <w:pPr>
        <w:spacing w:line="240" w:lineRule="auto" w:before="1"/>
        <w:rPr>
          <w:rFonts w:ascii="Segoe UI" w:hAnsi="Segoe UI" w:cs="Segoe UI" w:eastAsia="Segoe UI"/>
          <w:sz w:val="21"/>
          <w:szCs w:val="21"/>
        </w:rPr>
      </w:pPr>
    </w:p>
    <w:p>
      <w:pPr>
        <w:pStyle w:val="Heading3"/>
        <w:spacing w:line="240" w:lineRule="auto" w:before="25"/>
        <w:ind w:left="100" w:right="0"/>
        <w:jc w:val="left"/>
      </w:pPr>
      <w:r>
        <w:rPr>
          <w:b/>
          <w:color w:val="00779B"/>
        </w:rPr>
        <w:t>Example</w:t>
      </w:r>
      <w:r>
        <w:rPr>
          <w:b/>
          <w:color w:val="00779B"/>
          <w:spacing w:val="-5"/>
        </w:rPr>
        <w:t> </w:t>
      </w:r>
      <w:r>
        <w:rPr>
          <w:b/>
          <w:color w:val="00779B"/>
          <w:spacing w:val="-3"/>
        </w:rPr>
        <w:t>of </w:t>
      </w:r>
      <w:r>
        <w:rPr>
          <w:b/>
          <w:color w:val="00779B"/>
          <w:spacing w:val="-1"/>
        </w:rPr>
        <w:t>calculating</w:t>
      </w:r>
      <w:r>
        <w:rPr>
          <w:b/>
          <w:color w:val="00779B"/>
          <w:spacing w:val="-2"/>
        </w:rPr>
        <w:t> </w:t>
      </w:r>
      <w:r>
        <w:rPr>
          <w:b/>
          <w:color w:val="00779B"/>
        </w:rPr>
        <w:t>a</w:t>
      </w:r>
      <w:r>
        <w:rPr>
          <w:b/>
          <w:color w:val="00779B"/>
          <w:spacing w:val="-3"/>
        </w:rPr>
        <w:t> school's</w:t>
      </w:r>
      <w:r>
        <w:rPr>
          <w:b/>
          <w:color w:val="00779B"/>
          <w:spacing w:val="-4"/>
        </w:rPr>
        <w:t> </w:t>
      </w:r>
      <w:r>
        <w:rPr>
          <w:b/>
          <w:color w:val="00779B"/>
          <w:spacing w:val="-1"/>
        </w:rPr>
        <w:t>SRS</w:t>
      </w:r>
      <w:r>
        <w:rPr/>
      </w:r>
    </w:p>
    <w:p>
      <w:pPr>
        <w:pStyle w:val="BodyText"/>
        <w:spacing w:line="250" w:lineRule="exact" w:before="64"/>
        <w:ind w:left="100" w:right="210"/>
        <w:jc w:val="left"/>
      </w:pPr>
      <w:r>
        <w:rPr>
          <w:color w:val="231F20"/>
        </w:rPr>
        <w:t>The</w:t>
      </w:r>
      <w:r>
        <w:rPr>
          <w:color w:val="231F20"/>
          <w:spacing w:val="-4"/>
        </w:rPr>
        <w:t> </w:t>
      </w:r>
      <w:r>
        <w:rPr>
          <w:color w:val="231F20"/>
        </w:rPr>
        <w:t>following</w:t>
      </w:r>
      <w:r>
        <w:rPr>
          <w:color w:val="231F20"/>
          <w:spacing w:val="-4"/>
        </w:rPr>
        <w:t> </w:t>
      </w:r>
      <w:r>
        <w:rPr>
          <w:color w:val="231F20"/>
          <w:spacing w:val="-1"/>
        </w:rPr>
        <w:t>is</w:t>
      </w:r>
      <w:r>
        <w:rPr>
          <w:color w:val="231F20"/>
          <w:spacing w:val="-4"/>
        </w:rPr>
        <w:t> </w:t>
      </w:r>
      <w:r>
        <w:rPr>
          <w:color w:val="231F20"/>
        </w:rPr>
        <w:t>an</w:t>
      </w:r>
      <w:r>
        <w:rPr>
          <w:color w:val="231F20"/>
          <w:spacing w:val="-5"/>
        </w:rPr>
        <w:t> </w:t>
      </w:r>
      <w:r>
        <w:rPr>
          <w:color w:val="231F20"/>
        </w:rPr>
        <w:t>example</w:t>
      </w:r>
      <w:r>
        <w:rPr>
          <w:color w:val="231F20"/>
          <w:spacing w:val="-5"/>
        </w:rPr>
        <w:t> </w:t>
      </w:r>
      <w:r>
        <w:rPr>
          <w:color w:val="231F20"/>
        </w:rPr>
        <w:t>of</w:t>
      </w:r>
      <w:r>
        <w:rPr>
          <w:color w:val="231F20"/>
          <w:spacing w:val="-3"/>
        </w:rPr>
        <w:t> </w:t>
      </w:r>
      <w:r>
        <w:rPr>
          <w:color w:val="231F20"/>
        </w:rPr>
        <w:t>the</w:t>
      </w:r>
      <w:r>
        <w:rPr>
          <w:color w:val="231F20"/>
          <w:spacing w:val="-5"/>
        </w:rPr>
        <w:t> </w:t>
      </w:r>
      <w:r>
        <w:rPr>
          <w:color w:val="231F20"/>
          <w:spacing w:val="-1"/>
        </w:rPr>
        <w:t>SRS</w:t>
      </w:r>
      <w:r>
        <w:rPr>
          <w:color w:val="231F20"/>
          <w:spacing w:val="-3"/>
        </w:rPr>
        <w:t> </w:t>
      </w:r>
      <w:r>
        <w:rPr>
          <w:color w:val="231F20"/>
        </w:rPr>
        <w:t>calculation</w:t>
      </w:r>
      <w:r>
        <w:rPr>
          <w:color w:val="231F20"/>
          <w:spacing w:val="-5"/>
        </w:rPr>
        <w:t> </w:t>
      </w:r>
      <w:r>
        <w:rPr>
          <w:color w:val="231F20"/>
          <w:spacing w:val="-1"/>
        </w:rPr>
        <w:t>in</w:t>
      </w:r>
      <w:r>
        <w:rPr>
          <w:color w:val="231F20"/>
          <w:spacing w:val="-4"/>
        </w:rPr>
        <w:t> </w:t>
      </w:r>
      <w:r>
        <w:rPr>
          <w:color w:val="231F20"/>
          <w:spacing w:val="-1"/>
        </w:rPr>
        <w:t>2019</w:t>
      </w:r>
      <w:r>
        <w:rPr>
          <w:color w:val="231F20"/>
          <w:spacing w:val="-3"/>
        </w:rPr>
        <w:t> </w:t>
      </w:r>
      <w:r>
        <w:rPr>
          <w:color w:val="231F20"/>
        </w:rPr>
        <w:t>for</w:t>
      </w:r>
      <w:r>
        <w:rPr>
          <w:color w:val="231F20"/>
          <w:spacing w:val="-4"/>
        </w:rPr>
        <w:t> </w:t>
      </w:r>
      <w:r>
        <w:rPr>
          <w:color w:val="231F20"/>
        </w:rPr>
        <w:t>a</w:t>
      </w:r>
      <w:r>
        <w:rPr>
          <w:color w:val="231F20"/>
          <w:spacing w:val="-4"/>
        </w:rPr>
        <w:t> </w:t>
      </w:r>
      <w:r>
        <w:rPr>
          <w:color w:val="231F20"/>
        </w:rPr>
        <w:t>hypothetical</w:t>
      </w:r>
      <w:r>
        <w:rPr>
          <w:color w:val="231F20"/>
          <w:spacing w:val="-4"/>
        </w:rPr>
        <w:t> </w:t>
      </w:r>
      <w:r>
        <w:rPr>
          <w:color w:val="231F20"/>
        </w:rPr>
        <w:t>combined</w:t>
      </w:r>
      <w:r>
        <w:rPr>
          <w:color w:val="231F20"/>
          <w:spacing w:val="-5"/>
        </w:rPr>
        <w:t> </w:t>
      </w:r>
      <w:r>
        <w:rPr>
          <w:color w:val="231F20"/>
        </w:rPr>
        <w:t>non</w:t>
      </w:r>
      <w:r>
        <w:rPr>
          <w:color w:val="231F20"/>
          <w:spacing w:val="25"/>
          <w:w w:val="99"/>
        </w:rPr>
        <w:t> </w:t>
      </w:r>
      <w:r>
        <w:rPr>
          <w:color w:val="231F20"/>
        </w:rPr>
        <w:t>government</w:t>
      </w:r>
      <w:r>
        <w:rPr>
          <w:color w:val="231F20"/>
          <w:spacing w:val="-6"/>
        </w:rPr>
        <w:t> </w:t>
      </w:r>
      <w:r>
        <w:rPr>
          <w:color w:val="231F20"/>
          <w:spacing w:val="-1"/>
        </w:rPr>
        <w:t>school</w:t>
      </w:r>
      <w:r>
        <w:rPr>
          <w:color w:val="231F20"/>
          <w:spacing w:val="-4"/>
        </w:rPr>
        <w:t> </w:t>
      </w:r>
      <w:r>
        <w:rPr>
          <w:color w:val="231F20"/>
          <w:spacing w:val="-1"/>
        </w:rPr>
        <w:t>in</w:t>
      </w:r>
      <w:r>
        <w:rPr>
          <w:color w:val="231F20"/>
          <w:spacing w:val="-5"/>
        </w:rPr>
        <w:t> </w:t>
      </w:r>
      <w:r>
        <w:rPr>
          <w:color w:val="231F20"/>
        </w:rPr>
        <w:t>a</w:t>
      </w:r>
      <w:r>
        <w:rPr>
          <w:color w:val="231F20"/>
          <w:spacing w:val="-4"/>
        </w:rPr>
        <w:t> </w:t>
      </w:r>
      <w:r>
        <w:rPr>
          <w:color w:val="231F20"/>
        </w:rPr>
        <w:t>regional</w:t>
      </w:r>
      <w:r>
        <w:rPr>
          <w:color w:val="231F20"/>
          <w:spacing w:val="-5"/>
        </w:rPr>
        <w:t> </w:t>
      </w:r>
      <w:r>
        <w:rPr>
          <w:color w:val="231F20"/>
          <w:spacing w:val="-1"/>
        </w:rPr>
        <w:t>location</w:t>
      </w:r>
      <w:r>
        <w:rPr>
          <w:color w:val="231F20"/>
          <w:spacing w:val="-5"/>
        </w:rPr>
        <w:t> </w:t>
      </w:r>
      <w:r>
        <w:rPr>
          <w:color w:val="231F20"/>
        </w:rPr>
        <w:t>with</w:t>
      </w:r>
      <w:r>
        <w:rPr>
          <w:color w:val="231F20"/>
          <w:spacing w:val="-5"/>
        </w:rPr>
        <w:t> </w:t>
      </w:r>
      <w:r>
        <w:rPr>
          <w:color w:val="231F20"/>
          <w:spacing w:val="-1"/>
        </w:rPr>
        <w:t>500</w:t>
      </w:r>
      <w:r>
        <w:rPr>
          <w:color w:val="231F20"/>
          <w:spacing w:val="-4"/>
        </w:rPr>
        <w:t> </w:t>
      </w:r>
      <w:r>
        <w:rPr>
          <w:color w:val="231F20"/>
        </w:rPr>
        <w:t>primary</w:t>
      </w:r>
      <w:r>
        <w:rPr>
          <w:color w:val="231F20"/>
          <w:spacing w:val="-6"/>
        </w:rPr>
        <w:t> </w:t>
      </w:r>
      <w:r>
        <w:rPr>
          <w:color w:val="231F20"/>
          <w:spacing w:val="-1"/>
        </w:rPr>
        <w:t>students</w:t>
      </w:r>
      <w:r>
        <w:rPr>
          <w:color w:val="231F20"/>
          <w:spacing w:val="-4"/>
        </w:rPr>
        <w:t> </w:t>
      </w:r>
      <w:r>
        <w:rPr>
          <w:color w:val="231F20"/>
        </w:rPr>
        <w:t>and</w:t>
      </w:r>
      <w:r>
        <w:rPr>
          <w:color w:val="231F20"/>
          <w:spacing w:val="-5"/>
        </w:rPr>
        <w:t> </w:t>
      </w:r>
      <w:r>
        <w:rPr>
          <w:color w:val="231F20"/>
          <w:spacing w:val="-1"/>
        </w:rPr>
        <w:t>500</w:t>
      </w:r>
      <w:r>
        <w:rPr>
          <w:color w:val="231F20"/>
          <w:spacing w:val="-5"/>
        </w:rPr>
        <w:t> </w:t>
      </w:r>
      <w:r>
        <w:rPr>
          <w:color w:val="231F20"/>
          <w:spacing w:val="-1"/>
        </w:rPr>
        <w:t>secondary</w:t>
      </w:r>
      <w:r>
        <w:rPr>
          <w:color w:val="231F20"/>
          <w:spacing w:val="-3"/>
        </w:rPr>
        <w:t> </w:t>
      </w:r>
      <w:r>
        <w:rPr>
          <w:color w:val="231F20"/>
          <w:spacing w:val="-1"/>
        </w:rPr>
        <w:t>students.</w:t>
      </w:r>
      <w:r>
        <w:rPr/>
      </w:r>
    </w:p>
    <w:p>
      <w:pPr>
        <w:spacing w:line="250" w:lineRule="exact" w:before="113"/>
        <w:ind w:left="100" w:right="244" w:firstLine="0"/>
        <w:jc w:val="left"/>
        <w:rPr>
          <w:rFonts w:ascii="Segoe UI" w:hAnsi="Segoe UI" w:cs="Segoe UI" w:eastAsia="Segoe UI"/>
          <w:sz w:val="20"/>
          <w:szCs w:val="20"/>
        </w:rPr>
      </w:pPr>
      <w:r>
        <w:rPr>
          <w:rFonts w:ascii="Segoe UI" w:hAnsi="Segoe UI" w:cs="Segoe UI" w:eastAsia="Segoe UI"/>
          <w:i/>
          <w:color w:val="231F20"/>
          <w:sz w:val="20"/>
          <w:szCs w:val="20"/>
        </w:rPr>
        <w:t>Note:</w:t>
      </w:r>
      <w:r>
        <w:rPr>
          <w:rFonts w:ascii="Segoe UI" w:hAnsi="Segoe UI" w:cs="Segoe UI" w:eastAsia="Segoe UI"/>
          <w:i/>
          <w:color w:val="231F20"/>
          <w:spacing w:val="-2"/>
          <w:sz w:val="20"/>
          <w:szCs w:val="20"/>
        </w:rPr>
        <w:t> </w:t>
      </w:r>
      <w:r>
        <w:rPr>
          <w:rFonts w:ascii="Segoe UI" w:hAnsi="Segoe UI" w:cs="Segoe UI" w:eastAsia="Segoe UI"/>
          <w:i/>
          <w:color w:val="231F20"/>
          <w:sz w:val="20"/>
          <w:szCs w:val="20"/>
        </w:rPr>
        <w:t>The</w:t>
      </w:r>
      <w:r>
        <w:rPr>
          <w:rFonts w:ascii="Segoe UI" w:hAnsi="Segoe UI" w:cs="Segoe UI" w:eastAsia="Segoe UI"/>
          <w:i/>
          <w:color w:val="231F20"/>
          <w:spacing w:val="-3"/>
          <w:sz w:val="20"/>
          <w:szCs w:val="20"/>
        </w:rPr>
        <w:t> </w:t>
      </w:r>
      <w:r>
        <w:rPr>
          <w:rFonts w:ascii="Segoe UI" w:hAnsi="Segoe UI" w:cs="Segoe UI" w:eastAsia="Segoe UI"/>
          <w:i/>
          <w:color w:val="231F20"/>
          <w:spacing w:val="-1"/>
          <w:sz w:val="20"/>
          <w:szCs w:val="20"/>
        </w:rPr>
        <w:t>following table</w:t>
      </w:r>
      <w:r>
        <w:rPr>
          <w:rFonts w:ascii="Segoe UI" w:hAnsi="Segoe UI" w:cs="Segoe UI" w:eastAsia="Segoe UI"/>
          <w:i/>
          <w:color w:val="231F20"/>
          <w:spacing w:val="-2"/>
          <w:sz w:val="20"/>
          <w:szCs w:val="20"/>
        </w:rPr>
        <w:t> </w:t>
      </w:r>
      <w:r>
        <w:rPr>
          <w:rFonts w:ascii="Segoe UI" w:hAnsi="Segoe UI" w:cs="Segoe UI" w:eastAsia="Segoe UI"/>
          <w:i/>
          <w:color w:val="231F20"/>
          <w:spacing w:val="-1"/>
          <w:sz w:val="20"/>
          <w:szCs w:val="20"/>
        </w:rPr>
        <w:t>shows</w:t>
      </w:r>
      <w:r>
        <w:rPr>
          <w:rFonts w:ascii="Segoe UI" w:hAnsi="Segoe UI" w:cs="Segoe UI" w:eastAsia="Segoe UI"/>
          <w:i/>
          <w:color w:val="231F20"/>
          <w:spacing w:val="-2"/>
          <w:sz w:val="20"/>
          <w:szCs w:val="20"/>
        </w:rPr>
        <w:t> </w:t>
      </w:r>
      <w:r>
        <w:rPr>
          <w:rFonts w:ascii="Segoe UI" w:hAnsi="Segoe UI" w:cs="Segoe UI" w:eastAsia="Segoe UI"/>
          <w:i/>
          <w:color w:val="231F20"/>
          <w:spacing w:val="-1"/>
          <w:sz w:val="20"/>
          <w:szCs w:val="20"/>
        </w:rPr>
        <w:t>the 2019</w:t>
      </w:r>
      <w:r>
        <w:rPr>
          <w:rFonts w:ascii="Segoe UI" w:hAnsi="Segoe UI" w:cs="Segoe UI" w:eastAsia="Segoe UI"/>
          <w:i/>
          <w:color w:val="231F20"/>
          <w:spacing w:val="-2"/>
          <w:sz w:val="20"/>
          <w:szCs w:val="20"/>
        </w:rPr>
        <w:t> </w:t>
      </w:r>
      <w:r>
        <w:rPr>
          <w:rFonts w:ascii="Segoe UI" w:hAnsi="Segoe UI" w:cs="Segoe UI" w:eastAsia="Segoe UI"/>
          <w:i/>
          <w:color w:val="231F20"/>
          <w:sz w:val="20"/>
          <w:szCs w:val="20"/>
        </w:rPr>
        <w:t>amounts</w:t>
      </w:r>
      <w:r>
        <w:rPr>
          <w:rFonts w:ascii="Segoe UI" w:hAnsi="Segoe UI" w:cs="Segoe UI" w:eastAsia="Segoe UI"/>
          <w:i/>
          <w:color w:val="231F20"/>
          <w:spacing w:val="-3"/>
          <w:sz w:val="20"/>
          <w:szCs w:val="20"/>
        </w:rPr>
        <w:t> </w:t>
      </w:r>
      <w:r>
        <w:rPr>
          <w:rFonts w:ascii="Segoe UI" w:hAnsi="Segoe UI" w:cs="Segoe UI" w:eastAsia="Segoe UI"/>
          <w:i/>
          <w:color w:val="231F20"/>
          <w:spacing w:val="-1"/>
          <w:sz w:val="20"/>
          <w:szCs w:val="20"/>
        </w:rPr>
        <w:t>under the</w:t>
      </w:r>
      <w:r>
        <w:rPr>
          <w:rFonts w:ascii="Segoe UI" w:hAnsi="Segoe UI" w:cs="Segoe UI" w:eastAsia="Segoe UI"/>
          <w:i/>
          <w:color w:val="231F20"/>
          <w:spacing w:val="-2"/>
          <w:sz w:val="20"/>
          <w:szCs w:val="20"/>
        </w:rPr>
        <w:t> </w:t>
      </w:r>
      <w:r>
        <w:rPr>
          <w:rFonts w:ascii="Segoe UI" w:hAnsi="Segoe UI" w:cs="Segoe UI" w:eastAsia="Segoe UI"/>
          <w:i/>
          <w:color w:val="231F20"/>
          <w:spacing w:val="-1"/>
          <w:sz w:val="20"/>
          <w:szCs w:val="20"/>
        </w:rPr>
        <w:t>full</w:t>
      </w:r>
      <w:r>
        <w:rPr>
          <w:rFonts w:ascii="Segoe UI" w:hAnsi="Segoe UI" w:cs="Segoe UI" w:eastAsia="Segoe UI"/>
          <w:i/>
          <w:color w:val="231F20"/>
          <w:spacing w:val="-2"/>
          <w:sz w:val="20"/>
          <w:szCs w:val="20"/>
        </w:rPr>
        <w:t> </w:t>
      </w:r>
      <w:r>
        <w:rPr>
          <w:rFonts w:ascii="Segoe UI" w:hAnsi="Segoe UI" w:cs="Segoe UI" w:eastAsia="Segoe UI"/>
          <w:i/>
          <w:color w:val="231F20"/>
          <w:spacing w:val="-1"/>
          <w:sz w:val="20"/>
          <w:szCs w:val="20"/>
        </w:rPr>
        <w:t>SRS </w:t>
      </w:r>
      <w:r>
        <w:rPr>
          <w:rFonts w:ascii="Segoe UI" w:hAnsi="Segoe UI" w:cs="Segoe UI" w:eastAsia="Segoe UI"/>
          <w:i/>
          <w:color w:val="231F20"/>
          <w:sz w:val="20"/>
          <w:szCs w:val="20"/>
        </w:rPr>
        <w:t>and</w:t>
      </w:r>
      <w:r>
        <w:rPr>
          <w:rFonts w:ascii="Segoe UI" w:hAnsi="Segoe UI" w:cs="Segoe UI" w:eastAsia="Segoe UI"/>
          <w:i/>
          <w:color w:val="231F20"/>
          <w:spacing w:val="-2"/>
          <w:sz w:val="20"/>
          <w:szCs w:val="20"/>
        </w:rPr>
        <w:t> </w:t>
      </w:r>
      <w:r>
        <w:rPr>
          <w:rFonts w:ascii="Segoe UI" w:hAnsi="Segoe UI" w:cs="Segoe UI" w:eastAsia="Segoe UI"/>
          <w:i/>
          <w:color w:val="231F20"/>
          <w:sz w:val="20"/>
          <w:szCs w:val="20"/>
        </w:rPr>
        <w:t>does</w:t>
      </w:r>
      <w:r>
        <w:rPr>
          <w:rFonts w:ascii="Segoe UI" w:hAnsi="Segoe UI" w:cs="Segoe UI" w:eastAsia="Segoe UI"/>
          <w:i/>
          <w:color w:val="231F20"/>
          <w:spacing w:val="-2"/>
          <w:sz w:val="20"/>
          <w:szCs w:val="20"/>
        </w:rPr>
        <w:t> </w:t>
      </w:r>
      <w:r>
        <w:rPr>
          <w:rFonts w:ascii="Segoe UI" w:hAnsi="Segoe UI" w:cs="Segoe UI" w:eastAsia="Segoe UI"/>
          <w:i/>
          <w:color w:val="231F20"/>
          <w:sz w:val="20"/>
          <w:szCs w:val="20"/>
        </w:rPr>
        <w:t>not</w:t>
      </w:r>
      <w:r>
        <w:rPr>
          <w:rFonts w:ascii="Segoe UI" w:hAnsi="Segoe UI" w:cs="Segoe UI" w:eastAsia="Segoe UI"/>
          <w:i/>
          <w:color w:val="231F20"/>
          <w:spacing w:val="-2"/>
          <w:sz w:val="20"/>
          <w:szCs w:val="20"/>
        </w:rPr>
        <w:t> take </w:t>
      </w:r>
      <w:r>
        <w:rPr>
          <w:rFonts w:ascii="Segoe UI" w:hAnsi="Segoe UI" w:cs="Segoe UI" w:eastAsia="Segoe UI"/>
          <w:i/>
          <w:color w:val="231F20"/>
          <w:sz w:val="20"/>
          <w:szCs w:val="20"/>
        </w:rPr>
        <w:t>into</w:t>
      </w:r>
      <w:r>
        <w:rPr>
          <w:rFonts w:ascii="Segoe UI" w:hAnsi="Segoe UI" w:cs="Segoe UI" w:eastAsia="Segoe UI"/>
          <w:i/>
          <w:color w:val="231F20"/>
          <w:spacing w:val="-2"/>
          <w:sz w:val="20"/>
          <w:szCs w:val="20"/>
        </w:rPr>
        <w:t> account</w:t>
      </w:r>
      <w:r>
        <w:rPr>
          <w:rFonts w:ascii="Segoe UI" w:hAnsi="Segoe UI" w:cs="Segoe UI" w:eastAsia="Segoe UI"/>
          <w:i/>
          <w:color w:val="231F20"/>
          <w:spacing w:val="48"/>
          <w:sz w:val="20"/>
          <w:szCs w:val="20"/>
        </w:rPr>
        <w:t> </w:t>
      </w:r>
      <w:r>
        <w:rPr>
          <w:rFonts w:ascii="Segoe UI" w:hAnsi="Segoe UI" w:cs="Segoe UI" w:eastAsia="Segoe UI"/>
          <w:i/>
          <w:color w:val="231F20"/>
          <w:sz w:val="20"/>
          <w:szCs w:val="20"/>
        </w:rPr>
        <w:t>a</w:t>
      </w:r>
      <w:r>
        <w:rPr>
          <w:rFonts w:ascii="Segoe UI" w:hAnsi="Segoe UI" w:cs="Segoe UI" w:eastAsia="Segoe UI"/>
          <w:i/>
          <w:color w:val="231F20"/>
          <w:spacing w:val="-3"/>
          <w:sz w:val="20"/>
          <w:szCs w:val="20"/>
        </w:rPr>
        <w:t> school’s</w:t>
      </w:r>
      <w:r>
        <w:rPr>
          <w:rFonts w:ascii="Segoe UI" w:hAnsi="Segoe UI" w:cs="Segoe UI" w:eastAsia="Segoe UI"/>
          <w:i/>
          <w:color w:val="231F20"/>
          <w:spacing w:val="-2"/>
          <w:sz w:val="20"/>
          <w:szCs w:val="20"/>
        </w:rPr>
        <w:t> </w:t>
      </w:r>
      <w:r>
        <w:rPr>
          <w:rFonts w:ascii="Segoe UI" w:hAnsi="Segoe UI" w:cs="Segoe UI" w:eastAsia="Segoe UI"/>
          <w:i/>
          <w:color w:val="231F20"/>
          <w:spacing w:val="-1"/>
          <w:sz w:val="20"/>
          <w:szCs w:val="20"/>
        </w:rPr>
        <w:t>transition</w:t>
      </w:r>
      <w:r>
        <w:rPr>
          <w:rFonts w:ascii="Segoe UI" w:hAnsi="Segoe UI" w:cs="Segoe UI" w:eastAsia="Segoe UI"/>
          <w:i/>
          <w:color w:val="231F20"/>
          <w:spacing w:val="-3"/>
          <w:sz w:val="20"/>
          <w:szCs w:val="20"/>
        </w:rPr>
        <w:t> </w:t>
      </w:r>
      <w:r>
        <w:rPr>
          <w:rFonts w:ascii="Segoe UI" w:hAnsi="Segoe UI" w:cs="Segoe UI" w:eastAsia="Segoe UI"/>
          <w:i/>
          <w:color w:val="231F20"/>
          <w:spacing w:val="-1"/>
          <w:sz w:val="20"/>
          <w:szCs w:val="20"/>
        </w:rPr>
        <w:t>arrangements</w:t>
      </w:r>
      <w:r>
        <w:rPr>
          <w:rFonts w:ascii="Segoe UI" w:hAnsi="Segoe UI" w:cs="Segoe UI" w:eastAsia="Segoe UI"/>
          <w:i/>
          <w:color w:val="231F20"/>
          <w:spacing w:val="-2"/>
          <w:sz w:val="20"/>
          <w:szCs w:val="20"/>
        </w:rPr>
        <w:t> </w:t>
      </w:r>
      <w:r>
        <w:rPr>
          <w:rFonts w:ascii="Segoe UI" w:hAnsi="Segoe UI" w:cs="Segoe UI" w:eastAsia="Segoe UI"/>
          <w:i/>
          <w:color w:val="231F20"/>
          <w:sz w:val="20"/>
          <w:szCs w:val="20"/>
        </w:rPr>
        <w:t>to</w:t>
      </w:r>
      <w:r>
        <w:rPr>
          <w:rFonts w:ascii="Segoe UI" w:hAnsi="Segoe UI" w:cs="Segoe UI" w:eastAsia="Segoe UI"/>
          <w:i/>
          <w:color w:val="231F20"/>
          <w:spacing w:val="-3"/>
          <w:sz w:val="20"/>
          <w:szCs w:val="20"/>
        </w:rPr>
        <w:t> </w:t>
      </w:r>
      <w:r>
        <w:rPr>
          <w:rFonts w:ascii="Segoe UI" w:hAnsi="Segoe UI" w:cs="Segoe UI" w:eastAsia="Segoe UI"/>
          <w:i/>
          <w:color w:val="231F20"/>
          <w:spacing w:val="-1"/>
          <w:sz w:val="20"/>
          <w:szCs w:val="20"/>
        </w:rPr>
        <w:t>the</w:t>
      </w:r>
      <w:r>
        <w:rPr>
          <w:rFonts w:ascii="Segoe UI" w:hAnsi="Segoe UI" w:cs="Segoe UI" w:eastAsia="Segoe UI"/>
          <w:i/>
          <w:color w:val="231F20"/>
          <w:spacing w:val="-2"/>
          <w:sz w:val="20"/>
          <w:szCs w:val="20"/>
        </w:rPr>
        <w:t> </w:t>
      </w:r>
      <w:r>
        <w:rPr>
          <w:rFonts w:ascii="Segoe UI" w:hAnsi="Segoe UI" w:cs="Segoe UI" w:eastAsia="Segoe UI"/>
          <w:i/>
          <w:color w:val="231F20"/>
          <w:spacing w:val="-1"/>
          <w:sz w:val="20"/>
          <w:szCs w:val="20"/>
        </w:rPr>
        <w:t>consistent</w:t>
      </w:r>
      <w:r>
        <w:rPr>
          <w:rFonts w:ascii="Segoe UI" w:hAnsi="Segoe UI" w:cs="Segoe UI" w:eastAsia="Segoe UI"/>
          <w:i/>
          <w:color w:val="231F20"/>
          <w:spacing w:val="-3"/>
          <w:sz w:val="20"/>
          <w:szCs w:val="20"/>
        </w:rPr>
        <w:t> </w:t>
      </w:r>
      <w:r>
        <w:rPr>
          <w:rFonts w:ascii="Segoe UI" w:hAnsi="Segoe UI" w:cs="Segoe UI" w:eastAsia="Segoe UI"/>
          <w:i/>
          <w:color w:val="231F20"/>
          <w:spacing w:val="-1"/>
          <w:sz w:val="20"/>
          <w:szCs w:val="20"/>
        </w:rPr>
        <w:t>Commonwealth</w:t>
      </w:r>
      <w:r>
        <w:rPr>
          <w:rFonts w:ascii="Segoe UI" w:hAnsi="Segoe UI" w:cs="Segoe UI" w:eastAsia="Segoe UI"/>
          <w:i/>
          <w:color w:val="231F20"/>
          <w:spacing w:val="-3"/>
          <w:sz w:val="20"/>
          <w:szCs w:val="20"/>
        </w:rPr>
        <w:t> </w:t>
      </w:r>
      <w:r>
        <w:rPr>
          <w:rFonts w:ascii="Segoe UI" w:hAnsi="Segoe UI" w:cs="Segoe UI" w:eastAsia="Segoe UI"/>
          <w:i/>
          <w:color w:val="231F20"/>
          <w:sz w:val="20"/>
          <w:szCs w:val="20"/>
        </w:rPr>
        <w:t>shares</w:t>
      </w:r>
      <w:r>
        <w:rPr>
          <w:rFonts w:ascii="Segoe UI" w:hAnsi="Segoe UI" w:cs="Segoe UI" w:eastAsia="Segoe UI"/>
          <w:i/>
          <w:color w:val="231F20"/>
          <w:spacing w:val="-4"/>
          <w:sz w:val="20"/>
          <w:szCs w:val="20"/>
        </w:rPr>
        <w:t> </w:t>
      </w:r>
      <w:r>
        <w:rPr>
          <w:rFonts w:ascii="Segoe UI" w:hAnsi="Segoe UI" w:cs="Segoe UI" w:eastAsia="Segoe UI"/>
          <w:i/>
          <w:color w:val="231F20"/>
          <w:spacing w:val="-2"/>
          <w:sz w:val="20"/>
          <w:szCs w:val="20"/>
        </w:rPr>
        <w:t>of </w:t>
      </w:r>
      <w:r>
        <w:rPr>
          <w:rFonts w:ascii="Segoe UI" w:hAnsi="Segoe UI" w:cs="Segoe UI" w:eastAsia="Segoe UI"/>
          <w:i/>
          <w:color w:val="231F20"/>
          <w:spacing w:val="-1"/>
          <w:sz w:val="20"/>
          <w:szCs w:val="20"/>
        </w:rPr>
        <w:t>the</w:t>
      </w:r>
      <w:r>
        <w:rPr>
          <w:rFonts w:ascii="Segoe UI" w:hAnsi="Segoe UI" w:cs="Segoe UI" w:eastAsia="Segoe UI"/>
          <w:i/>
          <w:color w:val="231F20"/>
          <w:spacing w:val="-2"/>
          <w:sz w:val="20"/>
          <w:szCs w:val="20"/>
        </w:rPr>
        <w:t> </w:t>
      </w:r>
      <w:r>
        <w:rPr>
          <w:rFonts w:ascii="Segoe UI" w:hAnsi="Segoe UI" w:cs="Segoe UI" w:eastAsia="Segoe UI"/>
          <w:i/>
          <w:color w:val="231F20"/>
          <w:sz w:val="20"/>
          <w:szCs w:val="20"/>
        </w:rPr>
        <w:t>SRS.</w:t>
      </w:r>
      <w:r>
        <w:rPr>
          <w:rFonts w:ascii="Segoe UI" w:hAnsi="Segoe UI" w:cs="Segoe UI" w:eastAsia="Segoe UI"/>
          <w:sz w:val="20"/>
          <w:szCs w:val="20"/>
        </w:rPr>
      </w:r>
    </w:p>
    <w:p>
      <w:pPr>
        <w:pStyle w:val="BodyText"/>
        <w:spacing w:line="240" w:lineRule="auto" w:before="97"/>
        <w:ind w:left="100" w:right="0"/>
        <w:jc w:val="left"/>
      </w:pPr>
      <w:r>
        <w:rPr>
          <w:color w:val="231F20"/>
        </w:rPr>
        <w:t>The</w:t>
      </w:r>
      <w:r>
        <w:rPr>
          <w:color w:val="231F20"/>
          <w:spacing w:val="-2"/>
        </w:rPr>
        <w:t> </w:t>
      </w:r>
      <w:r>
        <w:rPr>
          <w:color w:val="231F20"/>
          <w:spacing w:val="-1"/>
        </w:rPr>
        <w:t>school</w:t>
      </w:r>
      <w:r>
        <w:rPr>
          <w:color w:val="231F20"/>
          <w:spacing w:val="-2"/>
        </w:rPr>
        <w:t> </w:t>
      </w:r>
      <w:r>
        <w:rPr>
          <w:color w:val="231F20"/>
        </w:rPr>
        <w:t>has</w:t>
      </w:r>
      <w:r>
        <w:rPr>
          <w:color w:val="231F20"/>
          <w:spacing w:val="-3"/>
        </w:rPr>
        <w:t> </w:t>
      </w:r>
      <w:r>
        <w:rPr>
          <w:color w:val="231F20"/>
        </w:rPr>
        <w:t>a</w:t>
      </w:r>
      <w:r>
        <w:rPr>
          <w:color w:val="231F20"/>
          <w:spacing w:val="-2"/>
        </w:rPr>
        <w:t> </w:t>
      </w:r>
      <w:r>
        <w:rPr>
          <w:color w:val="231F20"/>
          <w:spacing w:val="-1"/>
        </w:rPr>
        <w:t>socio </w:t>
      </w:r>
      <w:r>
        <w:rPr>
          <w:color w:val="231F20"/>
        </w:rPr>
        <w:t>economic</w:t>
      </w:r>
      <w:r>
        <w:rPr>
          <w:color w:val="231F20"/>
          <w:spacing w:val="-3"/>
        </w:rPr>
        <w:t> </w:t>
      </w:r>
      <w:r>
        <w:rPr>
          <w:color w:val="231F20"/>
          <w:spacing w:val="-1"/>
        </w:rPr>
        <w:t>status</w:t>
      </w:r>
      <w:r>
        <w:rPr>
          <w:color w:val="231F20"/>
          <w:spacing w:val="-2"/>
        </w:rPr>
        <w:t> </w:t>
      </w:r>
      <w:r>
        <w:rPr>
          <w:color w:val="231F20"/>
        </w:rPr>
        <w:t>(SES)</w:t>
      </w:r>
      <w:r>
        <w:rPr>
          <w:color w:val="231F20"/>
          <w:spacing w:val="-3"/>
        </w:rPr>
        <w:t> </w:t>
      </w:r>
      <w:r>
        <w:rPr>
          <w:color w:val="231F20"/>
          <w:spacing w:val="-1"/>
        </w:rPr>
        <w:t>score </w:t>
      </w:r>
      <w:r>
        <w:rPr>
          <w:color w:val="231F20"/>
        </w:rPr>
        <w:t>of</w:t>
      </w:r>
      <w:r>
        <w:rPr>
          <w:color w:val="231F20"/>
          <w:spacing w:val="-2"/>
        </w:rPr>
        <w:t> </w:t>
      </w:r>
      <w:r>
        <w:rPr>
          <w:color w:val="231F20"/>
        </w:rPr>
        <w:t>93.</w:t>
      </w:r>
      <w:r>
        <w:rPr/>
      </w:r>
    </w:p>
    <w:p>
      <w:pPr>
        <w:pStyle w:val="BodyText"/>
        <w:spacing w:line="240" w:lineRule="auto" w:before="97"/>
        <w:ind w:left="100" w:right="0"/>
        <w:jc w:val="left"/>
      </w:pPr>
      <w:r>
        <w:rPr>
          <w:rFonts w:ascii="Century Gothic" w:hAnsi="Century Gothic"/>
          <w:color w:val="231F20"/>
        </w:rPr>
        <w:t>» </w:t>
      </w:r>
      <w:r>
        <w:rPr>
          <w:rFonts w:ascii="Century Gothic" w:hAnsi="Century Gothic"/>
          <w:color w:val="231F20"/>
          <w:spacing w:val="28"/>
        </w:rPr>
        <w:t> </w:t>
      </w:r>
      <w:r>
        <w:rPr>
          <w:color w:val="231F20"/>
          <w:spacing w:val="-1"/>
        </w:rPr>
        <w:t>50 students </w:t>
      </w:r>
      <w:r>
        <w:rPr>
          <w:color w:val="231F20"/>
        </w:rPr>
        <w:t>have</w:t>
      </w:r>
      <w:r>
        <w:rPr>
          <w:color w:val="231F20"/>
          <w:spacing w:val="-2"/>
        </w:rPr>
        <w:t> </w:t>
      </w:r>
      <w:r>
        <w:rPr>
          <w:color w:val="231F20"/>
        </w:rPr>
        <w:t>a</w:t>
      </w:r>
      <w:r>
        <w:rPr>
          <w:color w:val="231F20"/>
          <w:spacing w:val="-1"/>
        </w:rPr>
        <w:t> </w:t>
      </w:r>
      <w:r>
        <w:rPr>
          <w:color w:val="231F20"/>
        </w:rPr>
        <w:t>disability.</w:t>
      </w:r>
      <w:r>
        <w:rPr/>
      </w:r>
    </w:p>
    <w:p>
      <w:pPr>
        <w:pStyle w:val="BodyText"/>
        <w:spacing w:line="240" w:lineRule="auto" w:before="97"/>
        <w:ind w:left="100" w:right="0"/>
        <w:jc w:val="left"/>
        <w:rPr>
          <w:rFonts w:ascii="Segoe UI" w:hAnsi="Segoe UI" w:cs="Segoe UI" w:eastAsia="Segoe UI"/>
        </w:rPr>
      </w:pPr>
      <w:r>
        <w:rPr>
          <w:rFonts w:ascii="Century Gothic" w:hAnsi="Century Gothic"/>
          <w:color w:val="231F20"/>
        </w:rPr>
        <w:t>» </w:t>
      </w:r>
      <w:r>
        <w:rPr>
          <w:rFonts w:ascii="Century Gothic" w:hAnsi="Century Gothic"/>
          <w:color w:val="231F20"/>
          <w:spacing w:val="30"/>
        </w:rPr>
        <w:t> </w:t>
      </w:r>
      <w:r>
        <w:rPr>
          <w:rFonts w:ascii="Segoe UI" w:hAnsi="Segoe UI"/>
          <w:color w:val="231F20"/>
        </w:rPr>
        <w:t>20 students have low English</w:t>
      </w:r>
      <w:r>
        <w:rPr>
          <w:rFonts w:ascii="Segoe UI" w:hAnsi="Segoe UI"/>
          <w:color w:val="231F20"/>
          <w:spacing w:val="-1"/>
        </w:rPr>
        <w:t> </w:t>
      </w:r>
      <w:r>
        <w:rPr>
          <w:rFonts w:ascii="Segoe UI" w:hAnsi="Segoe UI"/>
          <w:color w:val="231F20"/>
        </w:rPr>
        <w:t>language proficiency.</w:t>
      </w:r>
      <w:r>
        <w:rPr>
          <w:rFonts w:ascii="Segoe UI" w:hAnsi="Segoe UI"/>
        </w:rPr>
      </w:r>
    </w:p>
    <w:p>
      <w:pPr>
        <w:pStyle w:val="BodyText"/>
        <w:spacing w:line="240" w:lineRule="auto" w:before="97"/>
        <w:ind w:left="100" w:right="0"/>
        <w:jc w:val="left"/>
      </w:pPr>
      <w:r>
        <w:rPr>
          <w:rFonts w:ascii="Century Gothic" w:hAnsi="Century Gothic"/>
          <w:color w:val="231F20"/>
        </w:rPr>
        <w:t>» </w:t>
      </w:r>
      <w:r>
        <w:rPr>
          <w:rFonts w:ascii="Century Gothic" w:hAnsi="Century Gothic"/>
          <w:color w:val="231F20"/>
          <w:spacing w:val="24"/>
        </w:rPr>
        <w:t> </w:t>
      </w:r>
      <w:r>
        <w:rPr>
          <w:color w:val="231F20"/>
          <w:spacing w:val="-1"/>
        </w:rPr>
        <w:t>150</w:t>
      </w:r>
      <w:r>
        <w:rPr>
          <w:color w:val="231F20"/>
          <w:spacing w:val="-3"/>
        </w:rPr>
        <w:t> </w:t>
      </w:r>
      <w:r>
        <w:rPr>
          <w:color w:val="231F20"/>
          <w:spacing w:val="-1"/>
        </w:rPr>
        <w:t>students</w:t>
      </w:r>
      <w:r>
        <w:rPr>
          <w:color w:val="231F20"/>
          <w:spacing w:val="-3"/>
        </w:rPr>
        <w:t> </w:t>
      </w:r>
      <w:r>
        <w:rPr>
          <w:color w:val="231F20"/>
          <w:spacing w:val="-1"/>
        </w:rPr>
        <w:t>identify</w:t>
      </w:r>
      <w:r>
        <w:rPr>
          <w:color w:val="231F20"/>
          <w:spacing w:val="-3"/>
        </w:rPr>
        <w:t> </w:t>
      </w:r>
      <w:r>
        <w:rPr>
          <w:color w:val="231F20"/>
        </w:rPr>
        <w:t>as</w:t>
      </w:r>
      <w:r>
        <w:rPr>
          <w:color w:val="231F20"/>
          <w:spacing w:val="-4"/>
        </w:rPr>
        <w:t> </w:t>
      </w:r>
      <w:r>
        <w:rPr>
          <w:color w:val="231F20"/>
        </w:rPr>
        <w:t>Aboriginal</w:t>
      </w:r>
      <w:r>
        <w:rPr>
          <w:color w:val="231F20"/>
          <w:spacing w:val="-2"/>
        </w:rPr>
        <w:t> </w:t>
      </w:r>
      <w:r>
        <w:rPr>
          <w:color w:val="231F20"/>
        </w:rPr>
        <w:t>or</w:t>
      </w:r>
      <w:r>
        <w:rPr>
          <w:color w:val="231F20"/>
          <w:spacing w:val="-3"/>
        </w:rPr>
        <w:t> </w:t>
      </w:r>
      <w:r>
        <w:rPr>
          <w:color w:val="231F20"/>
          <w:spacing w:val="-5"/>
        </w:rPr>
        <w:t>Torres</w:t>
      </w:r>
      <w:r>
        <w:rPr>
          <w:color w:val="231F20"/>
          <w:spacing w:val="-3"/>
        </w:rPr>
        <w:t> </w:t>
      </w:r>
      <w:r>
        <w:rPr>
          <w:color w:val="231F20"/>
          <w:spacing w:val="-2"/>
        </w:rPr>
        <w:t>Strait</w:t>
      </w:r>
      <w:r>
        <w:rPr>
          <w:color w:val="231F20"/>
          <w:spacing w:val="-4"/>
        </w:rPr>
        <w:t> </w:t>
      </w:r>
      <w:r>
        <w:rPr>
          <w:color w:val="231F20"/>
          <w:spacing w:val="-1"/>
        </w:rPr>
        <w:t>Islander.</w:t>
      </w:r>
      <w:r>
        <w:rPr/>
      </w:r>
    </w:p>
    <w:p>
      <w:pPr>
        <w:pStyle w:val="BodyText"/>
        <w:spacing w:line="240" w:lineRule="auto" w:before="97"/>
        <w:ind w:left="100" w:right="0"/>
        <w:jc w:val="left"/>
      </w:pPr>
      <w:r>
        <w:rPr>
          <w:rFonts w:ascii="Century Gothic" w:hAnsi="Century Gothic"/>
          <w:color w:val="231F20"/>
        </w:rPr>
        <w:t>» </w:t>
      </w:r>
      <w:r>
        <w:rPr>
          <w:rFonts w:ascii="Century Gothic" w:hAnsi="Century Gothic"/>
          <w:color w:val="231F20"/>
          <w:spacing w:val="21"/>
        </w:rPr>
        <w:t> </w:t>
      </w:r>
      <w:r>
        <w:rPr>
          <w:color w:val="231F20"/>
          <w:spacing w:val="-1"/>
        </w:rPr>
        <w:t>600</w:t>
      </w:r>
      <w:r>
        <w:rPr>
          <w:color w:val="231F20"/>
          <w:spacing w:val="-4"/>
        </w:rPr>
        <w:t> </w:t>
      </w:r>
      <w:r>
        <w:rPr>
          <w:color w:val="231F20"/>
          <w:spacing w:val="-1"/>
        </w:rPr>
        <w:t>students</w:t>
      </w:r>
      <w:r>
        <w:rPr>
          <w:color w:val="231F20"/>
          <w:spacing w:val="-3"/>
        </w:rPr>
        <w:t> </w:t>
      </w:r>
      <w:r>
        <w:rPr>
          <w:color w:val="231F20"/>
        </w:rPr>
        <w:t>have</w:t>
      </w:r>
      <w:r>
        <w:rPr>
          <w:color w:val="231F20"/>
          <w:spacing w:val="-5"/>
        </w:rPr>
        <w:t> </w:t>
      </w:r>
      <w:r>
        <w:rPr>
          <w:color w:val="231F20"/>
          <w:spacing w:val="-1"/>
        </w:rPr>
        <w:t>socio</w:t>
      </w:r>
      <w:r>
        <w:rPr>
          <w:color w:val="231F20"/>
          <w:spacing w:val="-4"/>
        </w:rPr>
        <w:t> </w:t>
      </w:r>
      <w:r>
        <w:rPr>
          <w:color w:val="231F20"/>
        </w:rPr>
        <w:t>educational</w:t>
      </w:r>
      <w:r>
        <w:rPr>
          <w:color w:val="231F20"/>
          <w:spacing w:val="-4"/>
        </w:rPr>
        <w:t> </w:t>
      </w:r>
      <w:r>
        <w:rPr>
          <w:color w:val="231F20"/>
        </w:rPr>
        <w:t>disadvantage.</w:t>
      </w:r>
      <w:r>
        <w:rPr/>
      </w:r>
    </w:p>
    <w:p>
      <w:pPr>
        <w:spacing w:line="240" w:lineRule="auto" w:before="2"/>
        <w:rPr>
          <w:rFonts w:ascii="Segoe UI" w:hAnsi="Segoe UI" w:cs="Segoe UI" w:eastAsia="Segoe UI"/>
          <w:sz w:val="11"/>
          <w:szCs w:val="11"/>
        </w:rPr>
      </w:pPr>
    </w:p>
    <w:tbl>
      <w:tblPr>
        <w:tblW w:w="0" w:type="auto"/>
        <w:jc w:val="left"/>
        <w:tblInd w:w="100" w:type="dxa"/>
        <w:tblLayout w:type="fixed"/>
        <w:tblCellMar>
          <w:top w:w="0" w:type="dxa"/>
          <w:left w:w="0" w:type="dxa"/>
          <w:bottom w:w="0" w:type="dxa"/>
          <w:right w:w="0" w:type="dxa"/>
        </w:tblCellMar>
        <w:tblLook w:val="01E0"/>
      </w:tblPr>
      <w:tblGrid>
        <w:gridCol w:w="3335"/>
        <w:gridCol w:w="3969"/>
        <w:gridCol w:w="1464"/>
      </w:tblGrid>
      <w:tr>
        <w:trPr>
          <w:trHeight w:val="291" w:hRule="exact"/>
        </w:trPr>
        <w:tc>
          <w:tcPr>
            <w:tcW w:w="3335" w:type="dxa"/>
            <w:tcBorders>
              <w:top w:val="single" w:sz="4" w:space="0" w:color="231F20"/>
              <w:left w:val="single" w:sz="4" w:space="0" w:color="231F20"/>
              <w:bottom w:val="single" w:sz="4" w:space="0" w:color="231F20"/>
              <w:right w:val="single" w:sz="4" w:space="0" w:color="231F20"/>
            </w:tcBorders>
            <w:shd w:val="clear" w:color="auto" w:fill="452A70"/>
          </w:tcPr>
          <w:p>
            <w:pPr>
              <w:pStyle w:val="TableParagraph"/>
              <w:spacing w:line="240" w:lineRule="auto" w:before="12"/>
              <w:ind w:left="74" w:right="0"/>
              <w:jc w:val="left"/>
              <w:rPr>
                <w:rFonts w:ascii="Segoe UI Semibold" w:hAnsi="Segoe UI Semibold" w:cs="Segoe UI Semibold" w:eastAsia="Segoe UI Semibold"/>
                <w:sz w:val="18"/>
                <w:szCs w:val="18"/>
              </w:rPr>
            </w:pPr>
            <w:r>
              <w:rPr>
                <w:rFonts w:ascii="Segoe UI Semibold"/>
                <w:b/>
                <w:color w:val="FFFFFF"/>
                <w:spacing w:val="-1"/>
                <w:sz w:val="18"/>
              </w:rPr>
              <w:t>SRS</w:t>
            </w:r>
            <w:r>
              <w:rPr>
                <w:rFonts w:ascii="Segoe UI Semibold"/>
                <w:b/>
                <w:color w:val="FFFFFF"/>
                <w:sz w:val="18"/>
              </w:rPr>
              <w:t> Component</w:t>
            </w:r>
            <w:r>
              <w:rPr>
                <w:rFonts w:ascii="Segoe UI Semibold"/>
                <w:sz w:val="18"/>
              </w:rPr>
            </w:r>
          </w:p>
        </w:tc>
        <w:tc>
          <w:tcPr>
            <w:tcW w:w="3969" w:type="dxa"/>
            <w:tcBorders>
              <w:top w:val="single" w:sz="4" w:space="0" w:color="231F20"/>
              <w:left w:val="single" w:sz="4" w:space="0" w:color="231F20"/>
              <w:bottom w:val="single" w:sz="4" w:space="0" w:color="231F20"/>
              <w:right w:val="single" w:sz="4" w:space="0" w:color="231F20"/>
            </w:tcBorders>
            <w:shd w:val="clear" w:color="auto" w:fill="452A70"/>
          </w:tcPr>
          <w:p>
            <w:pPr>
              <w:pStyle w:val="TableParagraph"/>
              <w:spacing w:line="240" w:lineRule="auto" w:before="12"/>
              <w:ind w:left="74" w:right="0"/>
              <w:jc w:val="left"/>
              <w:rPr>
                <w:rFonts w:ascii="Segoe UI Semibold" w:hAnsi="Segoe UI Semibold" w:cs="Segoe UI Semibold" w:eastAsia="Segoe UI Semibold"/>
                <w:sz w:val="18"/>
                <w:szCs w:val="18"/>
              </w:rPr>
            </w:pPr>
            <w:r>
              <w:rPr>
                <w:rFonts w:ascii="Segoe UI Semibold"/>
                <w:b/>
                <w:color w:val="FFFFFF"/>
                <w:sz w:val="18"/>
              </w:rPr>
              <w:t>Calculation</w:t>
            </w:r>
            <w:r>
              <w:rPr>
                <w:rFonts w:ascii="Segoe UI Semibold"/>
                <w:sz w:val="18"/>
              </w:rPr>
            </w:r>
          </w:p>
        </w:tc>
        <w:tc>
          <w:tcPr>
            <w:tcW w:w="1464" w:type="dxa"/>
            <w:tcBorders>
              <w:top w:val="single" w:sz="4" w:space="0" w:color="231F20"/>
              <w:left w:val="single" w:sz="4" w:space="0" w:color="231F20"/>
              <w:bottom w:val="single" w:sz="4" w:space="0" w:color="231F20"/>
              <w:right w:val="single" w:sz="4" w:space="0" w:color="231F20"/>
            </w:tcBorders>
            <w:shd w:val="clear" w:color="auto" w:fill="452A70"/>
          </w:tcPr>
          <w:p>
            <w:pPr>
              <w:pStyle w:val="TableParagraph"/>
              <w:spacing w:line="240" w:lineRule="auto" w:before="12"/>
              <w:ind w:left="74" w:right="0"/>
              <w:jc w:val="left"/>
              <w:rPr>
                <w:rFonts w:ascii="Segoe UI Semibold" w:hAnsi="Segoe UI Semibold" w:cs="Segoe UI Semibold" w:eastAsia="Segoe UI Semibold"/>
                <w:sz w:val="18"/>
                <w:szCs w:val="18"/>
              </w:rPr>
            </w:pPr>
            <w:r>
              <w:rPr>
                <w:rFonts w:ascii="Segoe UI Semibold"/>
                <w:b/>
                <w:color w:val="FFFFFF"/>
                <w:spacing w:val="-1"/>
                <w:sz w:val="18"/>
              </w:rPr>
              <w:t>Amount*</w:t>
            </w:r>
            <w:r>
              <w:rPr>
                <w:rFonts w:ascii="Segoe UI Semibold"/>
                <w:sz w:val="18"/>
              </w:rPr>
            </w:r>
          </w:p>
        </w:tc>
      </w:tr>
      <w:tr>
        <w:trPr>
          <w:trHeight w:val="1518" w:hRule="exact"/>
        </w:trPr>
        <w:tc>
          <w:tcPr>
            <w:tcW w:w="3335"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ind w:right="0"/>
              <w:jc w:val="left"/>
              <w:rPr>
                <w:rFonts w:ascii="Segoe UI" w:hAnsi="Segoe UI" w:cs="Segoe UI" w:eastAsia="Segoe UI"/>
                <w:sz w:val="18"/>
                <w:szCs w:val="18"/>
              </w:rPr>
            </w:pPr>
          </w:p>
          <w:p>
            <w:pPr>
              <w:pStyle w:val="TableParagraph"/>
              <w:spacing w:line="240" w:lineRule="auto"/>
              <w:ind w:right="0"/>
              <w:jc w:val="left"/>
              <w:rPr>
                <w:rFonts w:ascii="Segoe UI" w:hAnsi="Segoe UI" w:cs="Segoe UI" w:eastAsia="Segoe UI"/>
                <w:sz w:val="18"/>
                <w:szCs w:val="18"/>
              </w:rPr>
            </w:pPr>
          </w:p>
          <w:p>
            <w:pPr>
              <w:pStyle w:val="TableParagraph"/>
              <w:spacing w:line="240" w:lineRule="auto" w:before="146"/>
              <w:ind w:left="74" w:right="0"/>
              <w:jc w:val="left"/>
              <w:rPr>
                <w:rFonts w:ascii="Segoe UI" w:hAnsi="Segoe UI" w:cs="Segoe UI" w:eastAsia="Segoe UI"/>
                <w:sz w:val="18"/>
                <w:szCs w:val="18"/>
              </w:rPr>
            </w:pPr>
            <w:r>
              <w:rPr>
                <w:rFonts w:ascii="Segoe UI"/>
                <w:b/>
                <w:color w:val="231F20"/>
                <w:spacing w:val="-1"/>
                <w:sz w:val="18"/>
              </w:rPr>
              <w:t>Base</w:t>
            </w:r>
            <w:r>
              <w:rPr>
                <w:rFonts w:ascii="Segoe UI"/>
                <w:b/>
                <w:color w:val="231F20"/>
                <w:sz w:val="18"/>
              </w:rPr>
              <w:t> </w:t>
            </w:r>
            <w:r>
              <w:rPr>
                <w:rFonts w:ascii="Segoe UI"/>
                <w:b/>
                <w:color w:val="231F20"/>
                <w:spacing w:val="-1"/>
                <w:sz w:val="18"/>
              </w:rPr>
              <w:t>funding</w:t>
            </w:r>
            <w:r>
              <w:rPr>
                <w:rFonts w:ascii="Segoe UI"/>
                <w:sz w:val="18"/>
              </w:rPr>
            </w:r>
          </w:p>
        </w:tc>
        <w:tc>
          <w:tcPr>
            <w:tcW w:w="3969"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12"/>
              <w:ind w:left="74" w:right="0"/>
              <w:jc w:val="left"/>
              <w:rPr>
                <w:rFonts w:ascii="Segoe UI" w:hAnsi="Segoe UI" w:cs="Segoe UI" w:eastAsia="Segoe UI"/>
                <w:sz w:val="18"/>
                <w:szCs w:val="18"/>
              </w:rPr>
            </w:pPr>
            <w:r>
              <w:rPr>
                <w:rFonts w:ascii="Segoe UI"/>
                <w:color w:val="231F20"/>
                <w:spacing w:val="-1"/>
                <w:sz w:val="18"/>
              </w:rPr>
              <w:t>500</w:t>
            </w:r>
            <w:r>
              <w:rPr>
                <w:rFonts w:ascii="Segoe UI"/>
                <w:color w:val="231F20"/>
                <w:spacing w:val="-3"/>
                <w:sz w:val="18"/>
              </w:rPr>
              <w:t> </w:t>
            </w:r>
            <w:r>
              <w:rPr>
                <w:rFonts w:ascii="Segoe UI"/>
                <w:color w:val="231F20"/>
                <w:sz w:val="18"/>
              </w:rPr>
              <w:t>primary</w:t>
            </w:r>
            <w:r>
              <w:rPr>
                <w:rFonts w:ascii="Segoe UI"/>
                <w:color w:val="231F20"/>
                <w:spacing w:val="-4"/>
                <w:sz w:val="18"/>
              </w:rPr>
              <w:t> </w:t>
            </w:r>
            <w:r>
              <w:rPr>
                <w:rFonts w:ascii="Segoe UI"/>
                <w:color w:val="231F20"/>
                <w:spacing w:val="-1"/>
                <w:sz w:val="18"/>
              </w:rPr>
              <w:t>students</w:t>
            </w:r>
            <w:r>
              <w:rPr>
                <w:rFonts w:ascii="Segoe UI"/>
                <w:color w:val="231F20"/>
                <w:spacing w:val="-2"/>
                <w:sz w:val="18"/>
              </w:rPr>
              <w:t> </w:t>
            </w:r>
            <w:r>
              <w:rPr>
                <w:rFonts w:ascii="Segoe UI"/>
                <w:color w:val="231F20"/>
                <w:sz w:val="18"/>
              </w:rPr>
              <w:t>x</w:t>
            </w:r>
            <w:r>
              <w:rPr>
                <w:rFonts w:ascii="Segoe UI"/>
                <w:color w:val="231F20"/>
                <w:spacing w:val="-3"/>
                <w:sz w:val="18"/>
              </w:rPr>
              <w:t> </w:t>
            </w:r>
            <w:r>
              <w:rPr>
                <w:rFonts w:ascii="Segoe UI"/>
                <w:color w:val="231F20"/>
                <w:sz w:val="18"/>
              </w:rPr>
              <w:t>base</w:t>
            </w:r>
            <w:r>
              <w:rPr>
                <w:rFonts w:ascii="Segoe UI"/>
                <w:color w:val="231F20"/>
                <w:spacing w:val="-4"/>
                <w:sz w:val="18"/>
              </w:rPr>
              <w:t> </w:t>
            </w:r>
            <w:r>
              <w:rPr>
                <w:rFonts w:ascii="Segoe UI"/>
                <w:color w:val="231F20"/>
                <w:sz w:val="18"/>
              </w:rPr>
              <w:t>amount</w:t>
            </w:r>
            <w:r>
              <w:rPr>
                <w:rFonts w:ascii="Segoe UI"/>
                <w:color w:val="231F20"/>
                <w:spacing w:val="-3"/>
                <w:sz w:val="18"/>
              </w:rPr>
              <w:t> </w:t>
            </w:r>
            <w:r>
              <w:rPr>
                <w:rFonts w:ascii="Segoe UI"/>
                <w:color w:val="231F20"/>
                <w:sz w:val="18"/>
              </w:rPr>
              <w:t>of</w:t>
            </w:r>
            <w:r>
              <w:rPr>
                <w:rFonts w:ascii="Segoe UI"/>
                <w:color w:val="231F20"/>
                <w:spacing w:val="-3"/>
                <w:sz w:val="18"/>
              </w:rPr>
              <w:t> </w:t>
            </w:r>
            <w:r>
              <w:rPr>
                <w:rFonts w:ascii="Segoe UI"/>
                <w:color w:val="231F20"/>
                <w:spacing w:val="-1"/>
                <w:sz w:val="18"/>
              </w:rPr>
              <w:t>$11,343</w:t>
            </w:r>
            <w:r>
              <w:rPr>
                <w:rFonts w:ascii="Segoe UI"/>
                <w:sz w:val="18"/>
              </w:rPr>
            </w:r>
          </w:p>
          <w:p>
            <w:pPr>
              <w:pStyle w:val="TableParagraph"/>
              <w:spacing w:line="240" w:lineRule="auto" w:before="10"/>
              <w:ind w:left="74" w:right="0"/>
              <w:jc w:val="left"/>
              <w:rPr>
                <w:rFonts w:ascii="Segoe UI" w:hAnsi="Segoe UI" w:cs="Segoe UI" w:eastAsia="Segoe UI"/>
                <w:sz w:val="18"/>
                <w:szCs w:val="18"/>
              </w:rPr>
            </w:pPr>
            <w:r>
              <w:rPr>
                <w:rFonts w:ascii="Segoe UI"/>
                <w:color w:val="231F20"/>
                <w:sz w:val="18"/>
              </w:rPr>
              <w:t>=</w:t>
            </w:r>
            <w:r>
              <w:rPr>
                <w:rFonts w:ascii="Segoe UI"/>
                <w:color w:val="231F20"/>
                <w:spacing w:val="-9"/>
                <w:sz w:val="18"/>
              </w:rPr>
              <w:t> </w:t>
            </w:r>
            <w:r>
              <w:rPr>
                <w:rFonts w:ascii="Segoe UI"/>
                <w:color w:val="231F20"/>
                <w:sz w:val="18"/>
              </w:rPr>
              <w:t>$5,671,500.</w:t>
            </w:r>
            <w:r>
              <w:rPr>
                <w:rFonts w:ascii="Segoe UI"/>
                <w:sz w:val="18"/>
              </w:rPr>
            </w:r>
          </w:p>
          <w:p>
            <w:pPr>
              <w:pStyle w:val="TableParagraph"/>
              <w:spacing w:line="240" w:lineRule="auto" w:before="124"/>
              <w:ind w:left="74" w:right="0"/>
              <w:jc w:val="left"/>
              <w:rPr>
                <w:rFonts w:ascii="Segoe UI" w:hAnsi="Segoe UI" w:cs="Segoe UI" w:eastAsia="Segoe UI"/>
                <w:sz w:val="18"/>
                <w:szCs w:val="18"/>
              </w:rPr>
            </w:pPr>
            <w:r>
              <w:rPr>
                <w:rFonts w:ascii="Segoe UI"/>
                <w:color w:val="231F20"/>
                <w:spacing w:val="-1"/>
                <w:sz w:val="18"/>
              </w:rPr>
              <w:t>500</w:t>
            </w:r>
            <w:r>
              <w:rPr>
                <w:rFonts w:ascii="Segoe UI"/>
                <w:color w:val="231F20"/>
                <w:spacing w:val="-4"/>
                <w:sz w:val="18"/>
              </w:rPr>
              <w:t> </w:t>
            </w:r>
            <w:r>
              <w:rPr>
                <w:rFonts w:ascii="Segoe UI"/>
                <w:color w:val="231F20"/>
                <w:spacing w:val="-1"/>
                <w:sz w:val="18"/>
              </w:rPr>
              <w:t>secondary</w:t>
            </w:r>
            <w:r>
              <w:rPr>
                <w:rFonts w:ascii="Segoe UI"/>
                <w:color w:val="231F20"/>
                <w:spacing w:val="-2"/>
                <w:sz w:val="18"/>
              </w:rPr>
              <w:t> </w:t>
            </w:r>
            <w:r>
              <w:rPr>
                <w:rFonts w:ascii="Segoe UI"/>
                <w:color w:val="231F20"/>
                <w:spacing w:val="-1"/>
                <w:sz w:val="18"/>
              </w:rPr>
              <w:t>students</w:t>
            </w:r>
            <w:r>
              <w:rPr>
                <w:rFonts w:ascii="Segoe UI"/>
                <w:color w:val="231F20"/>
                <w:spacing w:val="-4"/>
                <w:sz w:val="18"/>
              </w:rPr>
              <w:t> </w:t>
            </w:r>
            <w:r>
              <w:rPr>
                <w:rFonts w:ascii="Segoe UI"/>
                <w:color w:val="231F20"/>
                <w:sz w:val="18"/>
              </w:rPr>
              <w:t>x</w:t>
            </w:r>
            <w:r>
              <w:rPr>
                <w:rFonts w:ascii="Segoe UI"/>
                <w:color w:val="231F20"/>
                <w:spacing w:val="-3"/>
                <w:sz w:val="18"/>
              </w:rPr>
              <w:t> </w:t>
            </w:r>
            <w:r>
              <w:rPr>
                <w:rFonts w:ascii="Segoe UI"/>
                <w:color w:val="231F20"/>
                <w:sz w:val="18"/>
              </w:rPr>
              <w:t>base</w:t>
            </w:r>
            <w:r>
              <w:rPr>
                <w:rFonts w:ascii="Segoe UI"/>
                <w:color w:val="231F20"/>
                <w:spacing w:val="-5"/>
                <w:sz w:val="18"/>
              </w:rPr>
              <w:t> </w:t>
            </w:r>
            <w:r>
              <w:rPr>
                <w:rFonts w:ascii="Segoe UI"/>
                <w:color w:val="231F20"/>
                <w:sz w:val="18"/>
              </w:rPr>
              <w:t>amount</w:t>
            </w:r>
            <w:r>
              <w:rPr>
                <w:rFonts w:ascii="Segoe UI"/>
                <w:color w:val="231F20"/>
                <w:spacing w:val="-4"/>
                <w:sz w:val="18"/>
              </w:rPr>
              <w:t> </w:t>
            </w:r>
            <w:r>
              <w:rPr>
                <w:rFonts w:ascii="Segoe UI"/>
                <w:color w:val="231F20"/>
                <w:sz w:val="18"/>
              </w:rPr>
              <w:t>of</w:t>
            </w:r>
            <w:r>
              <w:rPr>
                <w:rFonts w:ascii="Segoe UI"/>
                <w:sz w:val="18"/>
              </w:rPr>
            </w:r>
          </w:p>
          <w:p>
            <w:pPr>
              <w:pStyle w:val="TableParagraph"/>
              <w:spacing w:line="240" w:lineRule="auto" w:before="10"/>
              <w:ind w:left="74" w:right="0"/>
              <w:jc w:val="left"/>
              <w:rPr>
                <w:rFonts w:ascii="Segoe UI" w:hAnsi="Segoe UI" w:cs="Segoe UI" w:eastAsia="Segoe UI"/>
                <w:sz w:val="18"/>
                <w:szCs w:val="18"/>
              </w:rPr>
            </w:pPr>
            <w:r>
              <w:rPr>
                <w:rFonts w:ascii="Segoe UI"/>
                <w:color w:val="231F20"/>
                <w:spacing w:val="-1"/>
                <w:sz w:val="18"/>
              </w:rPr>
              <w:t>$14,254</w:t>
            </w:r>
            <w:r>
              <w:rPr>
                <w:rFonts w:ascii="Segoe UI"/>
                <w:color w:val="231F20"/>
                <w:spacing w:val="-5"/>
                <w:sz w:val="18"/>
              </w:rPr>
              <w:t> </w:t>
            </w:r>
            <w:r>
              <w:rPr>
                <w:rFonts w:ascii="Segoe UI"/>
                <w:color w:val="231F20"/>
                <w:sz w:val="18"/>
              </w:rPr>
              <w:t>=</w:t>
            </w:r>
            <w:r>
              <w:rPr>
                <w:rFonts w:ascii="Segoe UI"/>
                <w:color w:val="231F20"/>
                <w:spacing w:val="-4"/>
                <w:sz w:val="18"/>
              </w:rPr>
              <w:t> </w:t>
            </w:r>
            <w:r>
              <w:rPr>
                <w:rFonts w:ascii="Segoe UI"/>
                <w:color w:val="231F20"/>
                <w:sz w:val="18"/>
              </w:rPr>
              <w:t>$7,127,000.</w:t>
            </w:r>
            <w:r>
              <w:rPr>
                <w:rFonts w:ascii="Segoe UI"/>
                <w:sz w:val="18"/>
              </w:rPr>
            </w:r>
          </w:p>
          <w:p>
            <w:pPr>
              <w:pStyle w:val="TableParagraph"/>
              <w:spacing w:line="240" w:lineRule="auto" w:before="124"/>
              <w:ind w:left="74" w:right="0"/>
              <w:jc w:val="left"/>
              <w:rPr>
                <w:rFonts w:ascii="Segoe UI" w:hAnsi="Segoe UI" w:cs="Segoe UI" w:eastAsia="Segoe UI"/>
                <w:sz w:val="18"/>
                <w:szCs w:val="18"/>
              </w:rPr>
            </w:pPr>
            <w:r>
              <w:rPr>
                <w:rFonts w:ascii="Segoe UI"/>
                <w:color w:val="231F20"/>
                <w:spacing w:val="-1"/>
                <w:sz w:val="18"/>
              </w:rPr>
              <w:t>$5,671,500+</w:t>
            </w:r>
            <w:r>
              <w:rPr>
                <w:rFonts w:ascii="Segoe UI"/>
                <w:color w:val="231F20"/>
                <w:sz w:val="18"/>
              </w:rPr>
              <w:t> </w:t>
            </w:r>
            <w:r>
              <w:rPr>
                <w:rFonts w:ascii="Segoe UI"/>
                <w:color w:val="231F20"/>
                <w:spacing w:val="-1"/>
                <w:sz w:val="18"/>
              </w:rPr>
              <w:t>$7,127,000=</w:t>
            </w:r>
            <w:r>
              <w:rPr>
                <w:rFonts w:ascii="Segoe UI"/>
                <w:color w:val="231F20"/>
                <w:sz w:val="18"/>
              </w:rPr>
              <w:t> $12,798,500</w:t>
            </w:r>
            <w:r>
              <w:rPr>
                <w:rFonts w:ascii="Segoe UI"/>
                <w:sz w:val="18"/>
              </w:rPr>
            </w:r>
          </w:p>
        </w:tc>
        <w:tc>
          <w:tcPr>
            <w:tcW w:w="146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ind w:right="0"/>
              <w:jc w:val="left"/>
              <w:rPr>
                <w:rFonts w:ascii="Segoe UI" w:hAnsi="Segoe UI" w:cs="Segoe UI" w:eastAsia="Segoe UI"/>
                <w:sz w:val="18"/>
                <w:szCs w:val="18"/>
              </w:rPr>
            </w:pPr>
          </w:p>
          <w:p>
            <w:pPr>
              <w:pStyle w:val="TableParagraph"/>
              <w:spacing w:line="240" w:lineRule="auto"/>
              <w:ind w:right="0"/>
              <w:jc w:val="left"/>
              <w:rPr>
                <w:rFonts w:ascii="Segoe UI" w:hAnsi="Segoe UI" w:cs="Segoe UI" w:eastAsia="Segoe UI"/>
                <w:sz w:val="18"/>
                <w:szCs w:val="18"/>
              </w:rPr>
            </w:pPr>
          </w:p>
          <w:p>
            <w:pPr>
              <w:pStyle w:val="TableParagraph"/>
              <w:spacing w:line="240" w:lineRule="auto" w:before="146"/>
              <w:ind w:left="74" w:right="0"/>
              <w:jc w:val="left"/>
              <w:rPr>
                <w:rFonts w:ascii="Segoe UI" w:hAnsi="Segoe UI" w:cs="Segoe UI" w:eastAsia="Segoe UI"/>
                <w:sz w:val="18"/>
                <w:szCs w:val="18"/>
              </w:rPr>
            </w:pPr>
            <w:r>
              <w:rPr>
                <w:rFonts w:ascii="Segoe UI"/>
                <w:color w:val="231F20"/>
                <w:sz w:val="18"/>
              </w:rPr>
              <w:t>$12,798,500</w:t>
            </w:r>
            <w:r>
              <w:rPr>
                <w:rFonts w:ascii="Segoe UI"/>
                <w:sz w:val="18"/>
              </w:rPr>
            </w:r>
          </w:p>
        </w:tc>
      </w:tr>
      <w:tr>
        <w:trPr>
          <w:trHeight w:val="1404" w:hRule="exact"/>
        </w:trPr>
        <w:tc>
          <w:tcPr>
            <w:tcW w:w="3335"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9"/>
              <w:ind w:right="0"/>
              <w:jc w:val="left"/>
              <w:rPr>
                <w:rFonts w:ascii="Segoe UI" w:hAnsi="Segoe UI" w:cs="Segoe UI" w:eastAsia="Segoe UI"/>
                <w:sz w:val="19"/>
                <w:szCs w:val="19"/>
              </w:rPr>
            </w:pPr>
          </w:p>
          <w:p>
            <w:pPr>
              <w:pStyle w:val="TableParagraph"/>
              <w:spacing w:line="240" w:lineRule="auto"/>
              <w:ind w:left="74" w:right="0"/>
              <w:jc w:val="left"/>
              <w:rPr>
                <w:rFonts w:ascii="Segoe UI" w:hAnsi="Segoe UI" w:cs="Segoe UI" w:eastAsia="Segoe UI"/>
                <w:sz w:val="18"/>
                <w:szCs w:val="18"/>
              </w:rPr>
            </w:pPr>
            <w:r>
              <w:rPr>
                <w:rFonts w:ascii="Segoe UI"/>
                <w:color w:val="231F20"/>
                <w:spacing w:val="-1"/>
                <w:sz w:val="18"/>
              </w:rPr>
              <w:t>Capacity</w:t>
            </w:r>
            <w:r>
              <w:rPr>
                <w:rFonts w:ascii="Segoe UI"/>
                <w:color w:val="231F20"/>
                <w:spacing w:val="-8"/>
                <w:sz w:val="18"/>
              </w:rPr>
              <w:t> </w:t>
            </w:r>
            <w:r>
              <w:rPr>
                <w:rFonts w:ascii="Segoe UI"/>
                <w:color w:val="231F20"/>
                <w:sz w:val="18"/>
              </w:rPr>
              <w:t>to</w:t>
            </w:r>
            <w:r>
              <w:rPr>
                <w:rFonts w:ascii="Segoe UI"/>
                <w:color w:val="231F20"/>
                <w:spacing w:val="-8"/>
                <w:sz w:val="18"/>
              </w:rPr>
              <w:t> </w:t>
            </w:r>
            <w:r>
              <w:rPr>
                <w:rFonts w:ascii="Segoe UI"/>
                <w:color w:val="231F20"/>
                <w:sz w:val="18"/>
              </w:rPr>
              <w:t>contribute</w:t>
            </w:r>
            <w:r>
              <w:rPr>
                <w:rFonts w:ascii="Segoe UI"/>
                <w:color w:val="231F20"/>
                <w:spacing w:val="-9"/>
                <w:sz w:val="18"/>
              </w:rPr>
              <w:t> </w:t>
            </w:r>
            <w:r>
              <w:rPr>
                <w:rFonts w:ascii="Segoe UI"/>
                <w:color w:val="231F20"/>
                <w:sz w:val="18"/>
              </w:rPr>
              <w:t>discount</w:t>
            </w:r>
            <w:r>
              <w:rPr>
                <w:rFonts w:ascii="Segoe UI"/>
                <w:sz w:val="18"/>
              </w:rPr>
            </w:r>
          </w:p>
          <w:p>
            <w:pPr>
              <w:pStyle w:val="TableParagraph"/>
              <w:spacing w:line="250" w:lineRule="auto" w:before="124"/>
              <w:ind w:left="74" w:right="1050"/>
              <w:jc w:val="left"/>
              <w:rPr>
                <w:rFonts w:ascii="Segoe UI" w:hAnsi="Segoe UI" w:cs="Segoe UI" w:eastAsia="Segoe UI"/>
                <w:sz w:val="18"/>
                <w:szCs w:val="18"/>
              </w:rPr>
            </w:pPr>
            <w:r>
              <w:rPr>
                <w:rFonts w:ascii="Segoe UI"/>
                <w:color w:val="231F20"/>
                <w:sz w:val="18"/>
              </w:rPr>
              <w:t>(note</w:t>
            </w:r>
            <w:r>
              <w:rPr>
                <w:rFonts w:ascii="Segoe UI"/>
                <w:color w:val="231F20"/>
                <w:spacing w:val="-4"/>
                <w:sz w:val="18"/>
              </w:rPr>
              <w:t> </w:t>
            </w:r>
            <w:r>
              <w:rPr>
                <w:rFonts w:ascii="Segoe UI"/>
                <w:color w:val="231F20"/>
                <w:sz w:val="18"/>
              </w:rPr>
              <w:t>this</w:t>
            </w:r>
            <w:r>
              <w:rPr>
                <w:rFonts w:ascii="Segoe UI"/>
                <w:color w:val="231F20"/>
                <w:spacing w:val="-4"/>
                <w:sz w:val="18"/>
              </w:rPr>
              <w:t> </w:t>
            </w:r>
            <w:r>
              <w:rPr>
                <w:rFonts w:ascii="Segoe UI"/>
                <w:color w:val="231F20"/>
                <w:sz w:val="18"/>
              </w:rPr>
              <w:t>does</w:t>
            </w:r>
            <w:r>
              <w:rPr>
                <w:rFonts w:ascii="Segoe UI"/>
                <w:color w:val="231F20"/>
                <w:spacing w:val="-3"/>
                <w:sz w:val="18"/>
              </w:rPr>
              <w:t> </w:t>
            </w:r>
            <w:r>
              <w:rPr>
                <w:rFonts w:ascii="Segoe UI"/>
                <w:color w:val="231F20"/>
                <w:sz w:val="18"/>
              </w:rPr>
              <w:t>not</w:t>
            </w:r>
            <w:r>
              <w:rPr>
                <w:rFonts w:ascii="Segoe UI"/>
                <w:color w:val="231F20"/>
                <w:spacing w:val="-3"/>
                <w:sz w:val="18"/>
              </w:rPr>
              <w:t> </w:t>
            </w:r>
            <w:r>
              <w:rPr>
                <w:rFonts w:ascii="Segoe UI"/>
                <w:color w:val="231F20"/>
                <w:sz w:val="18"/>
              </w:rPr>
              <w:t>apply</w:t>
            </w:r>
            <w:r>
              <w:rPr>
                <w:rFonts w:ascii="Segoe UI"/>
                <w:color w:val="231F20"/>
                <w:spacing w:val="-3"/>
                <w:sz w:val="18"/>
              </w:rPr>
              <w:t> </w:t>
            </w:r>
            <w:r>
              <w:rPr>
                <w:rFonts w:ascii="Segoe UI"/>
                <w:color w:val="231F20"/>
                <w:sz w:val="18"/>
              </w:rPr>
              <w:t>to</w:t>
            </w:r>
            <w:r>
              <w:rPr>
                <w:rFonts w:ascii="Segoe UI"/>
                <w:color w:val="231F20"/>
                <w:w w:val="99"/>
                <w:sz w:val="18"/>
              </w:rPr>
              <w:t> </w:t>
            </w:r>
            <w:r>
              <w:rPr>
                <w:rFonts w:ascii="Segoe UI"/>
                <w:color w:val="231F20"/>
                <w:sz w:val="18"/>
              </w:rPr>
              <w:t>government</w:t>
            </w:r>
            <w:r>
              <w:rPr>
                <w:rFonts w:ascii="Segoe UI"/>
                <w:color w:val="231F20"/>
                <w:spacing w:val="-11"/>
                <w:sz w:val="18"/>
              </w:rPr>
              <w:t> </w:t>
            </w:r>
            <w:r>
              <w:rPr>
                <w:rFonts w:ascii="Segoe UI"/>
                <w:color w:val="231F20"/>
                <w:spacing w:val="-1"/>
                <w:sz w:val="18"/>
              </w:rPr>
              <w:t>schools)</w:t>
            </w:r>
            <w:r>
              <w:rPr>
                <w:rFonts w:ascii="Segoe UI"/>
                <w:sz w:val="18"/>
              </w:rPr>
            </w:r>
          </w:p>
        </w:tc>
        <w:tc>
          <w:tcPr>
            <w:tcW w:w="3969" w:type="dxa"/>
            <w:tcBorders>
              <w:top w:val="single" w:sz="4" w:space="0" w:color="231F20"/>
              <w:left w:val="single" w:sz="4" w:space="0" w:color="231F20"/>
              <w:bottom w:val="single" w:sz="4" w:space="0" w:color="231F20"/>
              <w:right w:val="single" w:sz="4" w:space="0" w:color="231F20"/>
            </w:tcBorders>
          </w:tcPr>
          <w:p>
            <w:pPr>
              <w:pStyle w:val="TableParagraph"/>
              <w:spacing w:line="250" w:lineRule="auto" w:before="11"/>
              <w:ind w:left="74" w:right="430"/>
              <w:jc w:val="left"/>
              <w:rPr>
                <w:rFonts w:ascii="Segoe UI" w:hAnsi="Segoe UI" w:cs="Segoe UI" w:eastAsia="Segoe UI"/>
                <w:sz w:val="18"/>
                <w:szCs w:val="18"/>
              </w:rPr>
            </w:pPr>
            <w:r>
              <w:rPr>
                <w:rFonts w:ascii="Segoe UI"/>
                <w:color w:val="231F20"/>
                <w:sz w:val="18"/>
              </w:rPr>
              <w:t>An</w:t>
            </w:r>
            <w:r>
              <w:rPr>
                <w:rFonts w:ascii="Segoe UI"/>
                <w:color w:val="231F20"/>
                <w:spacing w:val="-3"/>
                <w:sz w:val="18"/>
              </w:rPr>
              <w:t> </w:t>
            </w:r>
            <w:r>
              <w:rPr>
                <w:rFonts w:ascii="Segoe UI"/>
                <w:color w:val="231F20"/>
                <w:spacing w:val="-1"/>
                <w:sz w:val="18"/>
              </w:rPr>
              <w:t>SES</w:t>
            </w:r>
            <w:r>
              <w:rPr>
                <w:rFonts w:ascii="Segoe UI"/>
                <w:color w:val="231F20"/>
                <w:spacing w:val="-2"/>
                <w:sz w:val="18"/>
              </w:rPr>
              <w:t> </w:t>
            </w:r>
            <w:r>
              <w:rPr>
                <w:rFonts w:ascii="Segoe UI"/>
                <w:color w:val="231F20"/>
                <w:spacing w:val="-1"/>
                <w:sz w:val="18"/>
              </w:rPr>
              <w:t>score</w:t>
            </w:r>
            <w:r>
              <w:rPr>
                <w:rFonts w:ascii="Segoe UI"/>
                <w:color w:val="231F20"/>
                <w:spacing w:val="-2"/>
                <w:sz w:val="18"/>
              </w:rPr>
              <w:t> </w:t>
            </w:r>
            <w:r>
              <w:rPr>
                <w:rFonts w:ascii="Segoe UI"/>
                <w:color w:val="231F20"/>
                <w:sz w:val="18"/>
              </w:rPr>
              <w:t>of</w:t>
            </w:r>
            <w:r>
              <w:rPr>
                <w:rFonts w:ascii="Segoe UI"/>
                <w:color w:val="231F20"/>
                <w:spacing w:val="-3"/>
                <w:sz w:val="18"/>
              </w:rPr>
              <w:t> </w:t>
            </w:r>
            <w:r>
              <w:rPr>
                <w:rFonts w:ascii="Segoe UI"/>
                <w:color w:val="231F20"/>
                <w:spacing w:val="-1"/>
                <w:sz w:val="18"/>
              </w:rPr>
              <w:t>93</w:t>
            </w:r>
            <w:r>
              <w:rPr>
                <w:rFonts w:ascii="Segoe UI"/>
                <w:color w:val="231F20"/>
                <w:spacing w:val="-2"/>
                <w:sz w:val="18"/>
              </w:rPr>
              <w:t> </w:t>
            </w:r>
            <w:r>
              <w:rPr>
                <w:rFonts w:ascii="Segoe UI"/>
                <w:color w:val="231F20"/>
                <w:sz w:val="18"/>
              </w:rPr>
              <w:t>equates</w:t>
            </w:r>
            <w:r>
              <w:rPr>
                <w:rFonts w:ascii="Segoe UI"/>
                <w:color w:val="231F20"/>
                <w:spacing w:val="-3"/>
                <w:sz w:val="18"/>
              </w:rPr>
              <w:t> </w:t>
            </w:r>
            <w:r>
              <w:rPr>
                <w:rFonts w:ascii="Segoe UI"/>
                <w:color w:val="231F20"/>
                <w:sz w:val="18"/>
              </w:rPr>
              <w:t>to</w:t>
            </w:r>
            <w:r>
              <w:rPr>
                <w:rFonts w:ascii="Segoe UI"/>
                <w:color w:val="231F20"/>
                <w:spacing w:val="-2"/>
                <w:sz w:val="18"/>
              </w:rPr>
              <w:t> </w:t>
            </w:r>
            <w:r>
              <w:rPr>
                <w:rFonts w:ascii="Segoe UI"/>
                <w:color w:val="231F20"/>
                <w:sz w:val="18"/>
              </w:rPr>
              <w:t>a</w:t>
            </w:r>
            <w:r>
              <w:rPr>
                <w:rFonts w:ascii="Segoe UI"/>
                <w:color w:val="231F20"/>
                <w:spacing w:val="-3"/>
                <w:sz w:val="18"/>
              </w:rPr>
              <w:t> </w:t>
            </w:r>
            <w:r>
              <w:rPr>
                <w:rFonts w:ascii="Segoe UI"/>
                <w:color w:val="231F20"/>
                <w:spacing w:val="-1"/>
                <w:sz w:val="18"/>
              </w:rPr>
              <w:t>10</w:t>
            </w:r>
            <w:r>
              <w:rPr>
                <w:rFonts w:ascii="Segoe UI"/>
                <w:color w:val="231F20"/>
                <w:spacing w:val="-2"/>
                <w:sz w:val="18"/>
              </w:rPr>
              <w:t> </w:t>
            </w:r>
            <w:r>
              <w:rPr>
                <w:rFonts w:ascii="Segoe UI"/>
                <w:color w:val="231F20"/>
                <w:sz w:val="18"/>
              </w:rPr>
              <w:t>per</w:t>
            </w:r>
            <w:r>
              <w:rPr>
                <w:rFonts w:ascii="Segoe UI"/>
                <w:color w:val="231F20"/>
                <w:spacing w:val="-2"/>
                <w:sz w:val="18"/>
              </w:rPr>
              <w:t> </w:t>
            </w:r>
            <w:r>
              <w:rPr>
                <w:rFonts w:ascii="Segoe UI"/>
                <w:color w:val="231F20"/>
                <w:sz w:val="18"/>
              </w:rPr>
              <w:t>cent</w:t>
            </w:r>
            <w:r>
              <w:rPr>
                <w:rFonts w:ascii="Segoe UI"/>
                <w:color w:val="231F20"/>
                <w:spacing w:val="25"/>
                <w:w w:val="99"/>
                <w:sz w:val="18"/>
              </w:rPr>
              <w:t> </w:t>
            </w:r>
            <w:r>
              <w:rPr>
                <w:rFonts w:ascii="Segoe UI"/>
                <w:color w:val="231F20"/>
                <w:sz w:val="18"/>
              </w:rPr>
              <w:t>capacity</w:t>
            </w:r>
            <w:r>
              <w:rPr>
                <w:rFonts w:ascii="Segoe UI"/>
                <w:color w:val="231F20"/>
                <w:spacing w:val="-7"/>
                <w:sz w:val="18"/>
              </w:rPr>
              <w:t> </w:t>
            </w:r>
            <w:r>
              <w:rPr>
                <w:rFonts w:ascii="Segoe UI"/>
                <w:color w:val="231F20"/>
                <w:sz w:val="18"/>
              </w:rPr>
              <w:t>to</w:t>
            </w:r>
            <w:r>
              <w:rPr>
                <w:rFonts w:ascii="Segoe UI"/>
                <w:color w:val="231F20"/>
                <w:spacing w:val="-6"/>
                <w:sz w:val="18"/>
              </w:rPr>
              <w:t> </w:t>
            </w:r>
            <w:r>
              <w:rPr>
                <w:rFonts w:ascii="Segoe UI"/>
                <w:color w:val="231F20"/>
                <w:sz w:val="18"/>
              </w:rPr>
              <w:t>contribute</w:t>
            </w:r>
            <w:r>
              <w:rPr>
                <w:rFonts w:ascii="Segoe UI"/>
                <w:color w:val="231F20"/>
                <w:spacing w:val="-7"/>
                <w:sz w:val="18"/>
              </w:rPr>
              <w:t> </w:t>
            </w:r>
            <w:r>
              <w:rPr>
                <w:rFonts w:ascii="Segoe UI"/>
                <w:color w:val="231F20"/>
                <w:sz w:val="18"/>
              </w:rPr>
              <w:t>discount</w:t>
            </w:r>
            <w:r>
              <w:rPr>
                <w:rFonts w:ascii="Segoe UI"/>
                <w:color w:val="231F20"/>
                <w:spacing w:val="-7"/>
                <w:sz w:val="18"/>
              </w:rPr>
              <w:t> </w:t>
            </w:r>
            <w:r>
              <w:rPr>
                <w:rFonts w:ascii="Segoe UI"/>
                <w:color w:val="231F20"/>
                <w:sz w:val="18"/>
              </w:rPr>
              <w:t>rate</w:t>
            </w:r>
            <w:r>
              <w:rPr>
                <w:rFonts w:ascii="Segoe UI"/>
                <w:color w:val="231F20"/>
                <w:spacing w:val="-6"/>
                <w:sz w:val="18"/>
              </w:rPr>
              <w:t> </w:t>
            </w:r>
            <w:r>
              <w:rPr>
                <w:rFonts w:ascii="Segoe UI"/>
                <w:color w:val="231F20"/>
                <w:sz w:val="18"/>
              </w:rPr>
              <w:t>per</w:t>
            </w:r>
            <w:r>
              <w:rPr>
                <w:rFonts w:ascii="Segoe UI"/>
                <w:color w:val="231F20"/>
                <w:w w:val="99"/>
                <w:sz w:val="18"/>
              </w:rPr>
              <w:t> </w:t>
            </w:r>
            <w:r>
              <w:rPr>
                <w:rFonts w:ascii="Segoe UI"/>
                <w:color w:val="231F20"/>
                <w:spacing w:val="-1"/>
                <w:sz w:val="18"/>
              </w:rPr>
              <w:t>student.</w:t>
            </w:r>
            <w:r>
              <w:rPr>
                <w:rFonts w:ascii="Segoe UI"/>
                <w:sz w:val="18"/>
              </w:rPr>
            </w:r>
          </w:p>
          <w:p>
            <w:pPr>
              <w:pStyle w:val="TableParagraph"/>
              <w:spacing w:line="250" w:lineRule="auto" w:before="113"/>
              <w:ind w:left="74" w:right="802"/>
              <w:jc w:val="left"/>
              <w:rPr>
                <w:rFonts w:ascii="Segoe UI" w:hAnsi="Segoe UI" w:cs="Segoe UI" w:eastAsia="Segoe UI"/>
                <w:sz w:val="18"/>
                <w:szCs w:val="18"/>
              </w:rPr>
            </w:pPr>
            <w:r>
              <w:rPr>
                <w:rFonts w:ascii="Segoe UI"/>
                <w:color w:val="231F20"/>
                <w:spacing w:val="-1"/>
                <w:sz w:val="18"/>
              </w:rPr>
              <w:t>$12,798,500</w:t>
            </w:r>
            <w:r>
              <w:rPr>
                <w:rFonts w:ascii="Segoe UI"/>
                <w:color w:val="231F20"/>
                <w:spacing w:val="-4"/>
                <w:sz w:val="18"/>
              </w:rPr>
              <w:t> </w:t>
            </w:r>
            <w:r>
              <w:rPr>
                <w:rFonts w:ascii="Segoe UI"/>
                <w:color w:val="231F20"/>
                <w:sz w:val="18"/>
              </w:rPr>
              <w:t>(total</w:t>
            </w:r>
            <w:r>
              <w:rPr>
                <w:rFonts w:ascii="Segoe UI"/>
                <w:color w:val="231F20"/>
                <w:spacing w:val="-4"/>
                <w:sz w:val="18"/>
              </w:rPr>
              <w:t> </w:t>
            </w:r>
            <w:r>
              <w:rPr>
                <w:rFonts w:ascii="Segoe UI"/>
                <w:color w:val="231F20"/>
                <w:sz w:val="18"/>
              </w:rPr>
              <w:t>base</w:t>
            </w:r>
            <w:r>
              <w:rPr>
                <w:rFonts w:ascii="Segoe UI"/>
                <w:color w:val="231F20"/>
                <w:spacing w:val="-4"/>
                <w:sz w:val="18"/>
              </w:rPr>
              <w:t> </w:t>
            </w:r>
            <w:r>
              <w:rPr>
                <w:rFonts w:ascii="Segoe UI"/>
                <w:color w:val="231F20"/>
                <w:sz w:val="18"/>
              </w:rPr>
              <w:t>funding)</w:t>
            </w:r>
            <w:r>
              <w:rPr>
                <w:rFonts w:ascii="Segoe UI"/>
                <w:color w:val="231F20"/>
                <w:spacing w:val="-3"/>
                <w:sz w:val="18"/>
              </w:rPr>
              <w:t> </w:t>
            </w:r>
            <w:r>
              <w:rPr>
                <w:rFonts w:ascii="Segoe UI"/>
                <w:color w:val="231F20"/>
                <w:sz w:val="18"/>
              </w:rPr>
              <w:t>x</w:t>
            </w:r>
            <w:r>
              <w:rPr>
                <w:rFonts w:ascii="Segoe UI"/>
                <w:color w:val="231F20"/>
                <w:spacing w:val="-3"/>
                <w:sz w:val="18"/>
              </w:rPr>
              <w:t> </w:t>
            </w:r>
            <w:r>
              <w:rPr>
                <w:rFonts w:ascii="Segoe UI"/>
                <w:color w:val="231F20"/>
                <w:spacing w:val="-1"/>
                <w:sz w:val="18"/>
              </w:rPr>
              <w:t>10%</w:t>
            </w:r>
            <w:r>
              <w:rPr>
                <w:rFonts w:ascii="Segoe UI"/>
                <w:color w:val="231F20"/>
                <w:spacing w:val="21"/>
                <w:sz w:val="18"/>
              </w:rPr>
              <w:t> </w:t>
            </w:r>
            <w:r>
              <w:rPr>
                <w:rFonts w:ascii="Segoe UI"/>
                <w:color w:val="231F20"/>
                <w:sz w:val="18"/>
              </w:rPr>
              <w:t>(discount)</w:t>
            </w:r>
            <w:r>
              <w:rPr>
                <w:rFonts w:ascii="Segoe UI"/>
                <w:color w:val="231F20"/>
                <w:spacing w:val="-6"/>
                <w:sz w:val="18"/>
              </w:rPr>
              <w:t> </w:t>
            </w:r>
            <w:r>
              <w:rPr>
                <w:rFonts w:ascii="Segoe UI"/>
                <w:color w:val="231F20"/>
                <w:sz w:val="18"/>
              </w:rPr>
              <w:t>=</w:t>
            </w:r>
            <w:r>
              <w:rPr>
                <w:rFonts w:ascii="Segoe UI"/>
                <w:color w:val="231F20"/>
                <w:spacing w:val="-5"/>
                <w:sz w:val="18"/>
              </w:rPr>
              <w:t> </w:t>
            </w:r>
            <w:r>
              <w:rPr>
                <w:rFonts w:ascii="Segoe UI"/>
                <w:color w:val="231F20"/>
                <w:spacing w:val="-1"/>
                <w:sz w:val="18"/>
              </w:rPr>
              <w:t>$1,279,850</w:t>
            </w:r>
            <w:r>
              <w:rPr>
                <w:rFonts w:ascii="Segoe UI"/>
                <w:color w:val="231F20"/>
                <w:spacing w:val="-5"/>
                <w:sz w:val="18"/>
              </w:rPr>
              <w:t> </w:t>
            </w:r>
            <w:r>
              <w:rPr>
                <w:rFonts w:ascii="Segoe UI"/>
                <w:color w:val="231F20"/>
                <w:sz w:val="18"/>
              </w:rPr>
              <w:t>discount</w:t>
            </w:r>
            <w:r>
              <w:rPr>
                <w:rFonts w:ascii="Segoe UI"/>
                <w:sz w:val="18"/>
              </w:rPr>
            </w:r>
          </w:p>
        </w:tc>
        <w:tc>
          <w:tcPr>
            <w:tcW w:w="146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ind w:right="0"/>
              <w:jc w:val="left"/>
              <w:rPr>
                <w:rFonts w:ascii="Segoe UI" w:hAnsi="Segoe UI" w:cs="Segoe UI" w:eastAsia="Segoe UI"/>
                <w:sz w:val="18"/>
                <w:szCs w:val="18"/>
              </w:rPr>
            </w:pPr>
          </w:p>
          <w:p>
            <w:pPr>
              <w:pStyle w:val="TableParagraph"/>
              <w:spacing w:line="240" w:lineRule="auto" w:before="10"/>
              <w:ind w:right="0"/>
              <w:jc w:val="left"/>
              <w:rPr>
                <w:rFonts w:ascii="Segoe UI" w:hAnsi="Segoe UI" w:cs="Segoe UI" w:eastAsia="Segoe UI"/>
                <w:sz w:val="24"/>
                <w:szCs w:val="24"/>
              </w:rPr>
            </w:pPr>
          </w:p>
          <w:p>
            <w:pPr>
              <w:pStyle w:val="TableParagraph"/>
              <w:spacing w:line="240" w:lineRule="auto"/>
              <w:ind w:left="74" w:right="0"/>
              <w:jc w:val="left"/>
              <w:rPr>
                <w:rFonts w:ascii="Segoe UI" w:hAnsi="Segoe UI" w:cs="Segoe UI" w:eastAsia="Segoe UI"/>
                <w:sz w:val="18"/>
                <w:szCs w:val="18"/>
              </w:rPr>
            </w:pPr>
            <w:r>
              <w:rPr>
                <w:rFonts w:ascii="Segoe UI"/>
                <w:color w:val="231F20"/>
                <w:sz w:val="18"/>
              </w:rPr>
              <w:t>$1,279,850</w:t>
            </w:r>
            <w:r>
              <w:rPr>
                <w:rFonts w:ascii="Segoe UI"/>
                <w:sz w:val="18"/>
              </w:rPr>
            </w:r>
          </w:p>
        </w:tc>
      </w:tr>
      <w:tr>
        <w:trPr>
          <w:trHeight w:val="3995" w:hRule="exact"/>
        </w:trPr>
        <w:tc>
          <w:tcPr>
            <w:tcW w:w="3335"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ind w:right="0"/>
              <w:jc w:val="left"/>
              <w:rPr>
                <w:rFonts w:ascii="Segoe UI" w:hAnsi="Segoe UI" w:cs="Segoe UI" w:eastAsia="Segoe UI"/>
                <w:sz w:val="18"/>
                <w:szCs w:val="18"/>
              </w:rPr>
            </w:pPr>
          </w:p>
          <w:p>
            <w:pPr>
              <w:pStyle w:val="TableParagraph"/>
              <w:spacing w:line="240" w:lineRule="auto"/>
              <w:ind w:right="0"/>
              <w:jc w:val="left"/>
              <w:rPr>
                <w:rFonts w:ascii="Segoe UI" w:hAnsi="Segoe UI" w:cs="Segoe UI" w:eastAsia="Segoe UI"/>
                <w:sz w:val="18"/>
                <w:szCs w:val="18"/>
              </w:rPr>
            </w:pPr>
          </w:p>
          <w:p>
            <w:pPr>
              <w:pStyle w:val="TableParagraph"/>
              <w:spacing w:line="240" w:lineRule="auto"/>
              <w:ind w:right="0"/>
              <w:jc w:val="left"/>
              <w:rPr>
                <w:rFonts w:ascii="Segoe UI" w:hAnsi="Segoe UI" w:cs="Segoe UI" w:eastAsia="Segoe UI"/>
                <w:sz w:val="18"/>
                <w:szCs w:val="18"/>
              </w:rPr>
            </w:pPr>
          </w:p>
          <w:p>
            <w:pPr>
              <w:pStyle w:val="TableParagraph"/>
              <w:spacing w:line="240" w:lineRule="auto"/>
              <w:ind w:right="0"/>
              <w:jc w:val="left"/>
              <w:rPr>
                <w:rFonts w:ascii="Segoe UI" w:hAnsi="Segoe UI" w:cs="Segoe UI" w:eastAsia="Segoe UI"/>
                <w:sz w:val="18"/>
                <w:szCs w:val="18"/>
              </w:rPr>
            </w:pPr>
          </w:p>
          <w:p>
            <w:pPr>
              <w:pStyle w:val="TableParagraph"/>
              <w:spacing w:line="240" w:lineRule="auto"/>
              <w:ind w:right="0"/>
              <w:jc w:val="left"/>
              <w:rPr>
                <w:rFonts w:ascii="Segoe UI" w:hAnsi="Segoe UI" w:cs="Segoe UI" w:eastAsia="Segoe UI"/>
                <w:sz w:val="18"/>
                <w:szCs w:val="18"/>
              </w:rPr>
            </w:pPr>
          </w:p>
          <w:p>
            <w:pPr>
              <w:pStyle w:val="TableParagraph"/>
              <w:spacing w:line="240" w:lineRule="auto"/>
              <w:ind w:right="0"/>
              <w:jc w:val="left"/>
              <w:rPr>
                <w:rFonts w:ascii="Segoe UI" w:hAnsi="Segoe UI" w:cs="Segoe UI" w:eastAsia="Segoe UI"/>
                <w:sz w:val="18"/>
                <w:szCs w:val="18"/>
              </w:rPr>
            </w:pPr>
          </w:p>
          <w:p>
            <w:pPr>
              <w:pStyle w:val="TableParagraph"/>
              <w:spacing w:line="240" w:lineRule="auto"/>
              <w:ind w:right="0"/>
              <w:jc w:val="left"/>
              <w:rPr>
                <w:rFonts w:ascii="Segoe UI" w:hAnsi="Segoe UI" w:cs="Segoe UI" w:eastAsia="Segoe UI"/>
                <w:sz w:val="18"/>
                <w:szCs w:val="18"/>
              </w:rPr>
            </w:pPr>
          </w:p>
          <w:p>
            <w:pPr>
              <w:pStyle w:val="TableParagraph"/>
              <w:spacing w:line="240" w:lineRule="auto" w:before="1"/>
              <w:ind w:right="0"/>
              <w:jc w:val="left"/>
              <w:rPr>
                <w:rFonts w:ascii="Segoe UI" w:hAnsi="Segoe UI" w:cs="Segoe UI" w:eastAsia="Segoe UI"/>
                <w:sz w:val="14"/>
                <w:szCs w:val="14"/>
              </w:rPr>
            </w:pPr>
          </w:p>
          <w:p>
            <w:pPr>
              <w:pStyle w:val="TableParagraph"/>
              <w:spacing w:line="240" w:lineRule="auto"/>
              <w:ind w:left="74" w:right="0"/>
              <w:jc w:val="left"/>
              <w:rPr>
                <w:rFonts w:ascii="Segoe UI" w:hAnsi="Segoe UI" w:cs="Segoe UI" w:eastAsia="Segoe UI"/>
                <w:sz w:val="18"/>
                <w:szCs w:val="18"/>
              </w:rPr>
            </w:pPr>
            <w:r>
              <w:rPr>
                <w:rFonts w:ascii="Segoe UI"/>
                <w:b/>
                <w:color w:val="231F20"/>
                <w:spacing w:val="-2"/>
                <w:sz w:val="18"/>
              </w:rPr>
              <w:t>Students</w:t>
            </w:r>
            <w:r>
              <w:rPr>
                <w:rFonts w:ascii="Segoe UI"/>
                <w:b/>
                <w:color w:val="231F20"/>
                <w:spacing w:val="-1"/>
                <w:sz w:val="18"/>
              </w:rPr>
              <w:t> with</w:t>
            </w:r>
            <w:r>
              <w:rPr>
                <w:rFonts w:ascii="Segoe UI"/>
                <w:b/>
                <w:color w:val="231F20"/>
                <w:sz w:val="18"/>
              </w:rPr>
              <w:t> </w:t>
            </w:r>
            <w:r>
              <w:rPr>
                <w:rFonts w:ascii="Segoe UI"/>
                <w:b/>
                <w:color w:val="231F20"/>
                <w:spacing w:val="-1"/>
                <w:sz w:val="18"/>
              </w:rPr>
              <w:t>disability</w:t>
            </w:r>
            <w:r>
              <w:rPr>
                <w:rFonts w:ascii="Segoe UI"/>
                <w:b/>
                <w:color w:val="231F20"/>
                <w:sz w:val="18"/>
              </w:rPr>
              <w:t> </w:t>
            </w:r>
            <w:r>
              <w:rPr>
                <w:rFonts w:ascii="Segoe UI"/>
                <w:b/>
                <w:color w:val="231F20"/>
                <w:spacing w:val="-1"/>
                <w:sz w:val="18"/>
              </w:rPr>
              <w:t>loading</w:t>
            </w:r>
            <w:r>
              <w:rPr>
                <w:rFonts w:ascii="Segoe UI"/>
                <w:sz w:val="18"/>
              </w:rPr>
            </w:r>
          </w:p>
        </w:tc>
        <w:tc>
          <w:tcPr>
            <w:tcW w:w="3969" w:type="dxa"/>
            <w:tcBorders>
              <w:top w:val="single" w:sz="4" w:space="0" w:color="231F20"/>
              <w:left w:val="single" w:sz="4" w:space="0" w:color="231F20"/>
              <w:bottom w:val="single" w:sz="4" w:space="0" w:color="231F20"/>
              <w:right w:val="single" w:sz="4" w:space="0" w:color="231F20"/>
            </w:tcBorders>
          </w:tcPr>
          <w:p>
            <w:pPr>
              <w:pStyle w:val="TableParagraph"/>
              <w:spacing w:line="250" w:lineRule="auto" w:before="11"/>
              <w:ind w:left="74" w:right="212"/>
              <w:jc w:val="left"/>
              <w:rPr>
                <w:rFonts w:ascii="Segoe UI" w:hAnsi="Segoe UI" w:cs="Segoe UI" w:eastAsia="Segoe UI"/>
                <w:sz w:val="18"/>
                <w:szCs w:val="18"/>
              </w:rPr>
            </w:pPr>
            <w:r>
              <w:rPr>
                <w:rFonts w:ascii="Segoe UI"/>
                <w:color w:val="231F20"/>
                <w:spacing w:val="-1"/>
                <w:sz w:val="18"/>
              </w:rPr>
              <w:t>20</w:t>
            </w:r>
            <w:r>
              <w:rPr>
                <w:rFonts w:ascii="Segoe UI"/>
                <w:color w:val="231F20"/>
                <w:spacing w:val="-3"/>
                <w:sz w:val="18"/>
              </w:rPr>
              <w:t> </w:t>
            </w:r>
            <w:r>
              <w:rPr>
                <w:rFonts w:ascii="Segoe UI"/>
                <w:color w:val="231F20"/>
                <w:sz w:val="18"/>
              </w:rPr>
              <w:t>primary</w:t>
            </w:r>
            <w:r>
              <w:rPr>
                <w:rFonts w:ascii="Segoe UI"/>
                <w:color w:val="231F20"/>
                <w:spacing w:val="-3"/>
                <w:sz w:val="18"/>
              </w:rPr>
              <w:t> </w:t>
            </w:r>
            <w:r>
              <w:rPr>
                <w:rFonts w:ascii="Segoe UI"/>
                <w:color w:val="231F20"/>
                <w:spacing w:val="-1"/>
                <w:sz w:val="18"/>
              </w:rPr>
              <w:t>school</w:t>
            </w:r>
            <w:r>
              <w:rPr>
                <w:rFonts w:ascii="Segoe UI"/>
                <w:color w:val="231F20"/>
                <w:spacing w:val="-2"/>
                <w:sz w:val="18"/>
              </w:rPr>
              <w:t> </w:t>
            </w:r>
            <w:r>
              <w:rPr>
                <w:rFonts w:ascii="Segoe UI"/>
                <w:color w:val="231F20"/>
                <w:spacing w:val="-1"/>
                <w:sz w:val="18"/>
              </w:rPr>
              <w:t>students</w:t>
            </w:r>
            <w:r>
              <w:rPr>
                <w:rFonts w:ascii="Segoe UI"/>
                <w:color w:val="231F20"/>
                <w:spacing w:val="-2"/>
                <w:sz w:val="18"/>
              </w:rPr>
              <w:t> </w:t>
            </w:r>
            <w:r>
              <w:rPr>
                <w:rFonts w:ascii="Segoe UI"/>
                <w:color w:val="231F20"/>
                <w:sz w:val="18"/>
              </w:rPr>
              <w:t>with</w:t>
            </w:r>
            <w:r>
              <w:rPr>
                <w:rFonts w:ascii="Segoe UI"/>
                <w:color w:val="231F20"/>
                <w:spacing w:val="-3"/>
                <w:sz w:val="18"/>
              </w:rPr>
              <w:t> </w:t>
            </w:r>
            <w:r>
              <w:rPr>
                <w:rFonts w:ascii="Segoe UI"/>
                <w:color w:val="231F20"/>
                <w:sz w:val="18"/>
              </w:rPr>
              <w:t>disability</w:t>
            </w:r>
            <w:r>
              <w:rPr>
                <w:rFonts w:ascii="Segoe UI"/>
                <w:color w:val="231F20"/>
                <w:spacing w:val="-3"/>
                <w:sz w:val="18"/>
              </w:rPr>
              <w:t> </w:t>
            </w:r>
            <w:r>
              <w:rPr>
                <w:rFonts w:ascii="Segoe UI"/>
                <w:color w:val="231F20"/>
                <w:sz w:val="18"/>
              </w:rPr>
              <w:t>who</w:t>
            </w:r>
            <w:r>
              <w:rPr>
                <w:rFonts w:ascii="Segoe UI"/>
                <w:color w:val="231F20"/>
                <w:spacing w:val="24"/>
                <w:w w:val="99"/>
                <w:sz w:val="18"/>
              </w:rPr>
              <w:t> </w:t>
            </w:r>
            <w:r>
              <w:rPr>
                <w:rFonts w:ascii="Segoe UI"/>
                <w:color w:val="231F20"/>
                <w:sz w:val="18"/>
              </w:rPr>
              <w:t>attract</w:t>
            </w:r>
            <w:r>
              <w:rPr>
                <w:rFonts w:ascii="Segoe UI"/>
                <w:color w:val="231F20"/>
                <w:spacing w:val="-6"/>
                <w:sz w:val="18"/>
              </w:rPr>
              <w:t> </w:t>
            </w:r>
            <w:r>
              <w:rPr>
                <w:rFonts w:ascii="Segoe UI"/>
                <w:color w:val="231F20"/>
                <w:sz w:val="18"/>
              </w:rPr>
              <w:t>a</w:t>
            </w:r>
            <w:r>
              <w:rPr>
                <w:rFonts w:ascii="Segoe UI"/>
                <w:color w:val="231F20"/>
                <w:spacing w:val="-4"/>
                <w:sz w:val="18"/>
              </w:rPr>
              <w:t> </w:t>
            </w:r>
            <w:r>
              <w:rPr>
                <w:rFonts w:ascii="Segoe UI"/>
                <w:color w:val="231F20"/>
                <w:spacing w:val="-1"/>
                <w:sz w:val="18"/>
              </w:rPr>
              <w:t>supplementary</w:t>
            </w:r>
            <w:r>
              <w:rPr>
                <w:rFonts w:ascii="Segoe UI"/>
                <w:color w:val="231F20"/>
                <w:spacing w:val="-4"/>
                <w:sz w:val="18"/>
              </w:rPr>
              <w:t> </w:t>
            </w:r>
            <w:r>
              <w:rPr>
                <w:rFonts w:ascii="Segoe UI"/>
                <w:color w:val="231F20"/>
                <w:spacing w:val="-1"/>
                <w:sz w:val="18"/>
              </w:rPr>
              <w:t>level</w:t>
            </w:r>
            <w:r>
              <w:rPr>
                <w:rFonts w:ascii="Segoe UI"/>
                <w:color w:val="231F20"/>
                <w:spacing w:val="-4"/>
                <w:sz w:val="18"/>
              </w:rPr>
              <w:t> </w:t>
            </w:r>
            <w:r>
              <w:rPr>
                <w:rFonts w:ascii="Segoe UI"/>
                <w:color w:val="231F20"/>
                <w:sz w:val="18"/>
              </w:rPr>
              <w:t>of</w:t>
            </w:r>
            <w:r>
              <w:rPr>
                <w:rFonts w:ascii="Segoe UI"/>
                <w:color w:val="231F20"/>
                <w:spacing w:val="-5"/>
                <w:sz w:val="18"/>
              </w:rPr>
              <w:t> </w:t>
            </w:r>
            <w:r>
              <w:rPr>
                <w:rFonts w:ascii="Segoe UI"/>
                <w:color w:val="231F20"/>
                <w:spacing w:val="-1"/>
                <w:sz w:val="18"/>
              </w:rPr>
              <w:t>support</w:t>
            </w:r>
            <w:r>
              <w:rPr>
                <w:rFonts w:ascii="Segoe UI"/>
                <w:color w:val="231F20"/>
                <w:spacing w:val="-4"/>
                <w:sz w:val="18"/>
              </w:rPr>
              <w:t> </w:t>
            </w:r>
            <w:r>
              <w:rPr>
                <w:rFonts w:ascii="Segoe UI"/>
                <w:color w:val="231F20"/>
                <w:sz w:val="18"/>
              </w:rPr>
              <w:t>x</w:t>
            </w:r>
            <w:r>
              <w:rPr>
                <w:rFonts w:ascii="Segoe UI"/>
                <w:sz w:val="18"/>
              </w:rPr>
            </w:r>
          </w:p>
          <w:p>
            <w:pPr>
              <w:pStyle w:val="TableParagraph"/>
              <w:spacing w:line="240" w:lineRule="auto"/>
              <w:ind w:left="74" w:right="0"/>
              <w:jc w:val="left"/>
              <w:rPr>
                <w:rFonts w:ascii="Segoe UI" w:hAnsi="Segoe UI" w:cs="Segoe UI" w:eastAsia="Segoe UI"/>
                <w:sz w:val="18"/>
                <w:szCs w:val="18"/>
              </w:rPr>
            </w:pPr>
            <w:r>
              <w:rPr>
                <w:rFonts w:ascii="Segoe UI"/>
                <w:color w:val="231F20"/>
                <w:spacing w:val="-1"/>
                <w:sz w:val="18"/>
              </w:rPr>
              <w:t>$4,764</w:t>
            </w:r>
            <w:r>
              <w:rPr>
                <w:rFonts w:ascii="Segoe UI"/>
                <w:color w:val="231F20"/>
                <w:spacing w:val="-4"/>
                <w:sz w:val="18"/>
              </w:rPr>
              <w:t> </w:t>
            </w:r>
            <w:r>
              <w:rPr>
                <w:rFonts w:ascii="Segoe UI"/>
                <w:color w:val="231F20"/>
                <w:sz w:val="18"/>
              </w:rPr>
              <w:t>=</w:t>
            </w:r>
            <w:r>
              <w:rPr>
                <w:rFonts w:ascii="Segoe UI"/>
                <w:color w:val="231F20"/>
                <w:spacing w:val="-3"/>
                <w:sz w:val="18"/>
              </w:rPr>
              <w:t> </w:t>
            </w:r>
            <w:r>
              <w:rPr>
                <w:rFonts w:ascii="Segoe UI"/>
                <w:color w:val="231F20"/>
                <w:sz w:val="18"/>
              </w:rPr>
              <w:t>$95,280.</w:t>
            </w:r>
            <w:r>
              <w:rPr>
                <w:rFonts w:ascii="Segoe UI"/>
                <w:sz w:val="18"/>
              </w:rPr>
            </w:r>
          </w:p>
          <w:p>
            <w:pPr>
              <w:pStyle w:val="TableParagraph"/>
              <w:spacing w:line="250" w:lineRule="auto" w:before="124"/>
              <w:ind w:left="74" w:right="189"/>
              <w:jc w:val="left"/>
              <w:rPr>
                <w:rFonts w:ascii="Segoe UI" w:hAnsi="Segoe UI" w:cs="Segoe UI" w:eastAsia="Segoe UI"/>
                <w:sz w:val="18"/>
                <w:szCs w:val="18"/>
              </w:rPr>
            </w:pPr>
            <w:r>
              <w:rPr>
                <w:rFonts w:ascii="Segoe UI"/>
                <w:color w:val="231F20"/>
                <w:spacing w:val="-1"/>
                <w:sz w:val="18"/>
              </w:rPr>
              <w:t>15</w:t>
            </w:r>
            <w:r>
              <w:rPr>
                <w:rFonts w:ascii="Segoe UI"/>
                <w:color w:val="231F20"/>
                <w:spacing w:val="-3"/>
                <w:sz w:val="18"/>
              </w:rPr>
              <w:t> </w:t>
            </w:r>
            <w:r>
              <w:rPr>
                <w:rFonts w:ascii="Segoe UI"/>
                <w:color w:val="231F20"/>
                <w:spacing w:val="-1"/>
                <w:sz w:val="18"/>
              </w:rPr>
              <w:t>secondary school</w:t>
            </w:r>
            <w:r>
              <w:rPr>
                <w:rFonts w:ascii="Segoe UI"/>
                <w:color w:val="231F20"/>
                <w:spacing w:val="-2"/>
                <w:sz w:val="18"/>
              </w:rPr>
              <w:t> </w:t>
            </w:r>
            <w:r>
              <w:rPr>
                <w:rFonts w:ascii="Segoe UI"/>
                <w:color w:val="231F20"/>
                <w:spacing w:val="-1"/>
                <w:sz w:val="18"/>
              </w:rPr>
              <w:t>students</w:t>
            </w:r>
            <w:r>
              <w:rPr>
                <w:rFonts w:ascii="Segoe UI"/>
                <w:color w:val="231F20"/>
                <w:spacing w:val="-3"/>
                <w:sz w:val="18"/>
              </w:rPr>
              <w:t> </w:t>
            </w:r>
            <w:r>
              <w:rPr>
                <w:rFonts w:ascii="Segoe UI"/>
                <w:color w:val="231F20"/>
                <w:sz w:val="18"/>
              </w:rPr>
              <w:t>with</w:t>
            </w:r>
            <w:r>
              <w:rPr>
                <w:rFonts w:ascii="Segoe UI"/>
                <w:color w:val="231F20"/>
                <w:spacing w:val="-3"/>
                <w:sz w:val="18"/>
              </w:rPr>
              <w:t> </w:t>
            </w:r>
            <w:r>
              <w:rPr>
                <w:rFonts w:ascii="Segoe UI"/>
                <w:color w:val="231F20"/>
                <w:sz w:val="18"/>
              </w:rPr>
              <w:t>disability</w:t>
            </w:r>
            <w:r>
              <w:rPr>
                <w:rFonts w:ascii="Segoe UI"/>
                <w:color w:val="231F20"/>
                <w:spacing w:val="25"/>
                <w:sz w:val="18"/>
              </w:rPr>
              <w:t> </w:t>
            </w:r>
            <w:r>
              <w:rPr>
                <w:rFonts w:ascii="Segoe UI"/>
                <w:color w:val="231F20"/>
                <w:sz w:val="18"/>
              </w:rPr>
              <w:t>who</w:t>
            </w:r>
            <w:r>
              <w:rPr>
                <w:rFonts w:ascii="Segoe UI"/>
                <w:color w:val="231F20"/>
                <w:spacing w:val="-6"/>
                <w:sz w:val="18"/>
              </w:rPr>
              <w:t> </w:t>
            </w:r>
            <w:r>
              <w:rPr>
                <w:rFonts w:ascii="Segoe UI"/>
                <w:color w:val="231F20"/>
                <w:sz w:val="18"/>
              </w:rPr>
              <w:t>attract</w:t>
            </w:r>
            <w:r>
              <w:rPr>
                <w:rFonts w:ascii="Segoe UI"/>
                <w:color w:val="231F20"/>
                <w:spacing w:val="-5"/>
                <w:sz w:val="18"/>
              </w:rPr>
              <w:t> </w:t>
            </w:r>
            <w:r>
              <w:rPr>
                <w:rFonts w:ascii="Segoe UI"/>
                <w:color w:val="231F20"/>
                <w:sz w:val="18"/>
              </w:rPr>
              <w:t>a</w:t>
            </w:r>
            <w:r>
              <w:rPr>
                <w:rFonts w:ascii="Segoe UI"/>
                <w:color w:val="231F20"/>
                <w:spacing w:val="-4"/>
                <w:sz w:val="18"/>
              </w:rPr>
              <w:t> </w:t>
            </w:r>
            <w:r>
              <w:rPr>
                <w:rFonts w:ascii="Segoe UI"/>
                <w:color w:val="231F20"/>
                <w:spacing w:val="-1"/>
                <w:sz w:val="18"/>
              </w:rPr>
              <w:t>supplementary</w:t>
            </w:r>
            <w:r>
              <w:rPr>
                <w:rFonts w:ascii="Segoe UI"/>
                <w:color w:val="231F20"/>
                <w:spacing w:val="-4"/>
                <w:sz w:val="18"/>
              </w:rPr>
              <w:t> </w:t>
            </w:r>
            <w:r>
              <w:rPr>
                <w:rFonts w:ascii="Segoe UI"/>
                <w:color w:val="231F20"/>
                <w:spacing w:val="-1"/>
                <w:sz w:val="18"/>
              </w:rPr>
              <w:t>level</w:t>
            </w:r>
            <w:r>
              <w:rPr>
                <w:rFonts w:ascii="Segoe UI"/>
                <w:color w:val="231F20"/>
                <w:spacing w:val="-4"/>
                <w:sz w:val="18"/>
              </w:rPr>
              <w:t> </w:t>
            </w:r>
            <w:r>
              <w:rPr>
                <w:rFonts w:ascii="Segoe UI"/>
                <w:color w:val="231F20"/>
                <w:sz w:val="18"/>
              </w:rPr>
              <w:t>of</w:t>
            </w:r>
            <w:r>
              <w:rPr>
                <w:rFonts w:ascii="Segoe UI"/>
                <w:color w:val="231F20"/>
                <w:spacing w:val="-4"/>
                <w:sz w:val="18"/>
              </w:rPr>
              <w:t> </w:t>
            </w:r>
            <w:r>
              <w:rPr>
                <w:rFonts w:ascii="Segoe UI"/>
                <w:color w:val="231F20"/>
                <w:spacing w:val="-1"/>
                <w:sz w:val="18"/>
              </w:rPr>
              <w:t>support</w:t>
            </w:r>
            <w:r>
              <w:rPr>
                <w:rFonts w:ascii="Segoe UI"/>
                <w:color w:val="231F20"/>
                <w:spacing w:val="-4"/>
                <w:sz w:val="18"/>
              </w:rPr>
              <w:t> </w:t>
            </w:r>
            <w:r>
              <w:rPr>
                <w:rFonts w:ascii="Segoe UI"/>
                <w:color w:val="231F20"/>
                <w:sz w:val="18"/>
              </w:rPr>
              <w:t>x</w:t>
            </w:r>
            <w:r>
              <w:rPr>
                <w:rFonts w:ascii="Segoe UI"/>
                <w:sz w:val="18"/>
              </w:rPr>
            </w:r>
          </w:p>
          <w:p>
            <w:pPr>
              <w:pStyle w:val="TableParagraph"/>
              <w:spacing w:line="240" w:lineRule="auto"/>
              <w:ind w:left="74" w:right="0"/>
              <w:jc w:val="left"/>
              <w:rPr>
                <w:rFonts w:ascii="Segoe UI" w:hAnsi="Segoe UI" w:cs="Segoe UI" w:eastAsia="Segoe UI"/>
                <w:sz w:val="18"/>
                <w:szCs w:val="18"/>
              </w:rPr>
            </w:pPr>
            <w:r>
              <w:rPr>
                <w:rFonts w:ascii="Segoe UI"/>
                <w:color w:val="231F20"/>
                <w:spacing w:val="-1"/>
                <w:sz w:val="18"/>
              </w:rPr>
              <w:t>$4,704</w:t>
            </w:r>
            <w:r>
              <w:rPr>
                <w:rFonts w:ascii="Segoe UI"/>
                <w:color w:val="231F20"/>
                <w:spacing w:val="-4"/>
                <w:sz w:val="18"/>
              </w:rPr>
              <w:t> </w:t>
            </w:r>
            <w:r>
              <w:rPr>
                <w:rFonts w:ascii="Segoe UI"/>
                <w:color w:val="231F20"/>
                <w:sz w:val="18"/>
              </w:rPr>
              <w:t>=</w:t>
            </w:r>
            <w:r>
              <w:rPr>
                <w:rFonts w:ascii="Segoe UI"/>
                <w:color w:val="231F20"/>
                <w:spacing w:val="-3"/>
                <w:sz w:val="18"/>
              </w:rPr>
              <w:t> </w:t>
            </w:r>
            <w:r>
              <w:rPr>
                <w:rFonts w:ascii="Segoe UI"/>
                <w:color w:val="231F20"/>
                <w:sz w:val="18"/>
              </w:rPr>
              <w:t>$70,560.</w:t>
            </w:r>
            <w:r>
              <w:rPr>
                <w:rFonts w:ascii="Segoe UI"/>
                <w:sz w:val="18"/>
              </w:rPr>
            </w:r>
          </w:p>
          <w:p>
            <w:pPr>
              <w:pStyle w:val="TableParagraph"/>
              <w:spacing w:line="250" w:lineRule="auto" w:before="124"/>
              <w:ind w:left="74" w:right="212"/>
              <w:jc w:val="left"/>
              <w:rPr>
                <w:rFonts w:ascii="Segoe UI" w:hAnsi="Segoe UI" w:cs="Segoe UI" w:eastAsia="Segoe UI"/>
                <w:sz w:val="18"/>
                <w:szCs w:val="18"/>
              </w:rPr>
            </w:pPr>
            <w:r>
              <w:rPr>
                <w:rFonts w:ascii="Segoe UI"/>
                <w:color w:val="231F20"/>
                <w:spacing w:val="-1"/>
                <w:sz w:val="18"/>
              </w:rPr>
              <w:t>10</w:t>
            </w:r>
            <w:r>
              <w:rPr>
                <w:rFonts w:ascii="Segoe UI"/>
                <w:color w:val="231F20"/>
                <w:spacing w:val="-3"/>
                <w:sz w:val="18"/>
              </w:rPr>
              <w:t> </w:t>
            </w:r>
            <w:r>
              <w:rPr>
                <w:rFonts w:ascii="Segoe UI"/>
                <w:color w:val="231F20"/>
                <w:sz w:val="18"/>
              </w:rPr>
              <w:t>primary</w:t>
            </w:r>
            <w:r>
              <w:rPr>
                <w:rFonts w:ascii="Segoe UI"/>
                <w:color w:val="231F20"/>
                <w:spacing w:val="-3"/>
                <w:sz w:val="18"/>
              </w:rPr>
              <w:t> </w:t>
            </w:r>
            <w:r>
              <w:rPr>
                <w:rFonts w:ascii="Segoe UI"/>
                <w:color w:val="231F20"/>
                <w:spacing w:val="-1"/>
                <w:sz w:val="18"/>
              </w:rPr>
              <w:t>school</w:t>
            </w:r>
            <w:r>
              <w:rPr>
                <w:rFonts w:ascii="Segoe UI"/>
                <w:color w:val="231F20"/>
                <w:spacing w:val="-2"/>
                <w:sz w:val="18"/>
              </w:rPr>
              <w:t> </w:t>
            </w:r>
            <w:r>
              <w:rPr>
                <w:rFonts w:ascii="Segoe UI"/>
                <w:color w:val="231F20"/>
                <w:spacing w:val="-1"/>
                <w:sz w:val="18"/>
              </w:rPr>
              <w:t>students</w:t>
            </w:r>
            <w:r>
              <w:rPr>
                <w:rFonts w:ascii="Segoe UI"/>
                <w:color w:val="231F20"/>
                <w:spacing w:val="-2"/>
                <w:sz w:val="18"/>
              </w:rPr>
              <w:t> </w:t>
            </w:r>
            <w:r>
              <w:rPr>
                <w:rFonts w:ascii="Segoe UI"/>
                <w:color w:val="231F20"/>
                <w:sz w:val="18"/>
              </w:rPr>
              <w:t>with</w:t>
            </w:r>
            <w:r>
              <w:rPr>
                <w:rFonts w:ascii="Segoe UI"/>
                <w:color w:val="231F20"/>
                <w:spacing w:val="-3"/>
                <w:sz w:val="18"/>
              </w:rPr>
              <w:t> </w:t>
            </w:r>
            <w:r>
              <w:rPr>
                <w:rFonts w:ascii="Segoe UI"/>
                <w:color w:val="231F20"/>
                <w:sz w:val="18"/>
              </w:rPr>
              <w:t>disability</w:t>
            </w:r>
            <w:r>
              <w:rPr>
                <w:rFonts w:ascii="Segoe UI"/>
                <w:color w:val="231F20"/>
                <w:spacing w:val="-3"/>
                <w:sz w:val="18"/>
              </w:rPr>
              <w:t> </w:t>
            </w:r>
            <w:r>
              <w:rPr>
                <w:rFonts w:ascii="Segoe UI"/>
                <w:color w:val="231F20"/>
                <w:sz w:val="18"/>
              </w:rPr>
              <w:t>who</w:t>
            </w:r>
            <w:r>
              <w:rPr>
                <w:rFonts w:ascii="Segoe UI"/>
                <w:color w:val="231F20"/>
                <w:spacing w:val="24"/>
                <w:w w:val="99"/>
                <w:sz w:val="18"/>
              </w:rPr>
              <w:t> </w:t>
            </w:r>
            <w:r>
              <w:rPr>
                <w:rFonts w:ascii="Segoe UI"/>
                <w:color w:val="231F20"/>
                <w:sz w:val="18"/>
              </w:rPr>
              <w:t>attract</w:t>
            </w:r>
            <w:r>
              <w:rPr>
                <w:rFonts w:ascii="Segoe UI"/>
                <w:color w:val="231F20"/>
                <w:spacing w:val="-4"/>
                <w:sz w:val="18"/>
              </w:rPr>
              <w:t> </w:t>
            </w:r>
            <w:r>
              <w:rPr>
                <w:rFonts w:ascii="Segoe UI"/>
                <w:color w:val="231F20"/>
                <w:sz w:val="18"/>
              </w:rPr>
              <w:t>a</w:t>
            </w:r>
            <w:r>
              <w:rPr>
                <w:rFonts w:ascii="Segoe UI"/>
                <w:color w:val="231F20"/>
                <w:spacing w:val="-2"/>
                <w:sz w:val="18"/>
              </w:rPr>
              <w:t> </w:t>
            </w:r>
            <w:r>
              <w:rPr>
                <w:rFonts w:ascii="Segoe UI"/>
                <w:color w:val="231F20"/>
                <w:spacing w:val="-1"/>
                <w:sz w:val="18"/>
              </w:rPr>
              <w:t>substantial level</w:t>
            </w:r>
            <w:r>
              <w:rPr>
                <w:rFonts w:ascii="Segoe UI"/>
                <w:color w:val="231F20"/>
                <w:spacing w:val="-2"/>
                <w:sz w:val="18"/>
              </w:rPr>
              <w:t> </w:t>
            </w:r>
            <w:r>
              <w:rPr>
                <w:rFonts w:ascii="Segoe UI"/>
                <w:color w:val="231F20"/>
                <w:sz w:val="18"/>
              </w:rPr>
              <w:t>of</w:t>
            </w:r>
            <w:r>
              <w:rPr>
                <w:rFonts w:ascii="Segoe UI"/>
                <w:color w:val="231F20"/>
                <w:spacing w:val="-2"/>
                <w:sz w:val="18"/>
              </w:rPr>
              <w:t> </w:t>
            </w:r>
            <w:r>
              <w:rPr>
                <w:rFonts w:ascii="Segoe UI"/>
                <w:color w:val="231F20"/>
                <w:spacing w:val="-1"/>
                <w:sz w:val="18"/>
              </w:rPr>
              <w:t>support</w:t>
            </w:r>
            <w:r>
              <w:rPr>
                <w:rFonts w:ascii="Segoe UI"/>
                <w:color w:val="231F20"/>
                <w:spacing w:val="-2"/>
                <w:sz w:val="18"/>
              </w:rPr>
              <w:t> </w:t>
            </w:r>
            <w:r>
              <w:rPr>
                <w:rFonts w:ascii="Segoe UI"/>
                <w:color w:val="231F20"/>
                <w:sz w:val="18"/>
              </w:rPr>
              <w:t>x</w:t>
            </w:r>
            <w:r>
              <w:rPr>
                <w:rFonts w:ascii="Segoe UI"/>
                <w:color w:val="231F20"/>
                <w:spacing w:val="-2"/>
                <w:sz w:val="18"/>
              </w:rPr>
              <w:t> </w:t>
            </w:r>
            <w:r>
              <w:rPr>
                <w:rFonts w:ascii="Segoe UI"/>
                <w:color w:val="231F20"/>
                <w:spacing w:val="-1"/>
                <w:sz w:val="18"/>
              </w:rPr>
              <w:t>$16,561</w:t>
            </w:r>
            <w:r>
              <w:rPr>
                <w:rFonts w:ascii="Segoe UI"/>
                <w:sz w:val="18"/>
              </w:rPr>
            </w:r>
          </w:p>
          <w:p>
            <w:pPr>
              <w:pStyle w:val="TableParagraph"/>
              <w:spacing w:line="240" w:lineRule="auto"/>
              <w:ind w:left="74" w:right="0"/>
              <w:jc w:val="left"/>
              <w:rPr>
                <w:rFonts w:ascii="Segoe UI" w:hAnsi="Segoe UI" w:cs="Segoe UI" w:eastAsia="Segoe UI"/>
                <w:sz w:val="18"/>
                <w:szCs w:val="18"/>
              </w:rPr>
            </w:pPr>
            <w:r>
              <w:rPr>
                <w:rFonts w:ascii="Segoe UI"/>
                <w:color w:val="231F20"/>
                <w:sz w:val="18"/>
              </w:rPr>
              <w:t>= $165,610.</w:t>
            </w:r>
            <w:r>
              <w:rPr>
                <w:rFonts w:ascii="Segoe UI"/>
                <w:sz w:val="18"/>
              </w:rPr>
            </w:r>
          </w:p>
          <w:p>
            <w:pPr>
              <w:pStyle w:val="TableParagraph"/>
              <w:spacing w:line="250" w:lineRule="auto" w:before="124"/>
              <w:ind w:left="74" w:right="109"/>
              <w:jc w:val="left"/>
              <w:rPr>
                <w:rFonts w:ascii="Segoe UI" w:hAnsi="Segoe UI" w:cs="Segoe UI" w:eastAsia="Segoe UI"/>
                <w:sz w:val="18"/>
                <w:szCs w:val="18"/>
              </w:rPr>
            </w:pPr>
            <w:r>
              <w:rPr>
                <w:rFonts w:ascii="Segoe UI"/>
                <w:color w:val="231F20"/>
                <w:sz w:val="18"/>
              </w:rPr>
              <w:t>5</w:t>
            </w:r>
            <w:r>
              <w:rPr>
                <w:rFonts w:ascii="Segoe UI"/>
                <w:color w:val="231F20"/>
                <w:spacing w:val="-3"/>
                <w:sz w:val="18"/>
              </w:rPr>
              <w:t> </w:t>
            </w:r>
            <w:r>
              <w:rPr>
                <w:rFonts w:ascii="Segoe UI"/>
                <w:color w:val="231F20"/>
                <w:spacing w:val="-1"/>
                <w:sz w:val="18"/>
              </w:rPr>
              <w:t>secondary school</w:t>
            </w:r>
            <w:r>
              <w:rPr>
                <w:rFonts w:ascii="Segoe UI"/>
                <w:color w:val="231F20"/>
                <w:spacing w:val="-3"/>
                <w:sz w:val="18"/>
              </w:rPr>
              <w:t> </w:t>
            </w:r>
            <w:r>
              <w:rPr>
                <w:rFonts w:ascii="Segoe UI"/>
                <w:color w:val="231F20"/>
                <w:spacing w:val="-1"/>
                <w:sz w:val="18"/>
              </w:rPr>
              <w:t>students</w:t>
            </w:r>
            <w:r>
              <w:rPr>
                <w:rFonts w:ascii="Segoe UI"/>
                <w:color w:val="231F20"/>
                <w:spacing w:val="-2"/>
                <w:sz w:val="18"/>
              </w:rPr>
              <w:t> </w:t>
            </w:r>
            <w:r>
              <w:rPr>
                <w:rFonts w:ascii="Segoe UI"/>
                <w:color w:val="231F20"/>
                <w:sz w:val="18"/>
              </w:rPr>
              <w:t>with</w:t>
            </w:r>
            <w:r>
              <w:rPr>
                <w:rFonts w:ascii="Segoe UI"/>
                <w:color w:val="231F20"/>
                <w:spacing w:val="-4"/>
                <w:sz w:val="18"/>
              </w:rPr>
              <w:t> </w:t>
            </w:r>
            <w:r>
              <w:rPr>
                <w:rFonts w:ascii="Segoe UI"/>
                <w:color w:val="231F20"/>
                <w:sz w:val="18"/>
              </w:rPr>
              <w:t>disability</w:t>
            </w:r>
            <w:r>
              <w:rPr>
                <w:rFonts w:ascii="Segoe UI"/>
                <w:color w:val="231F20"/>
                <w:spacing w:val="-3"/>
                <w:sz w:val="18"/>
              </w:rPr>
              <w:t> </w:t>
            </w:r>
            <w:r>
              <w:rPr>
                <w:rFonts w:ascii="Segoe UI"/>
                <w:color w:val="231F20"/>
                <w:sz w:val="18"/>
              </w:rPr>
              <w:t>who</w:t>
            </w:r>
            <w:r>
              <w:rPr>
                <w:rFonts w:ascii="Segoe UI"/>
                <w:color w:val="231F20"/>
                <w:spacing w:val="24"/>
                <w:w w:val="99"/>
                <w:sz w:val="18"/>
              </w:rPr>
              <w:t> </w:t>
            </w:r>
            <w:r>
              <w:rPr>
                <w:rFonts w:ascii="Segoe UI"/>
                <w:color w:val="231F20"/>
                <w:sz w:val="18"/>
              </w:rPr>
              <w:t>attract</w:t>
            </w:r>
            <w:r>
              <w:rPr>
                <w:rFonts w:ascii="Segoe UI"/>
                <w:color w:val="231F20"/>
                <w:spacing w:val="-4"/>
                <w:sz w:val="18"/>
              </w:rPr>
              <w:t> </w:t>
            </w:r>
            <w:r>
              <w:rPr>
                <w:rFonts w:ascii="Segoe UI"/>
                <w:color w:val="231F20"/>
                <w:sz w:val="18"/>
              </w:rPr>
              <w:t>an</w:t>
            </w:r>
            <w:r>
              <w:rPr>
                <w:rFonts w:ascii="Segoe UI"/>
                <w:color w:val="231F20"/>
                <w:spacing w:val="-3"/>
                <w:sz w:val="18"/>
              </w:rPr>
              <w:t> </w:t>
            </w:r>
            <w:r>
              <w:rPr>
                <w:rFonts w:ascii="Segoe UI"/>
                <w:color w:val="231F20"/>
                <w:sz w:val="18"/>
              </w:rPr>
              <w:t>extensive</w:t>
            </w:r>
            <w:r>
              <w:rPr>
                <w:rFonts w:ascii="Segoe UI"/>
                <w:color w:val="231F20"/>
                <w:spacing w:val="-3"/>
                <w:sz w:val="18"/>
              </w:rPr>
              <w:t> </w:t>
            </w:r>
            <w:r>
              <w:rPr>
                <w:rFonts w:ascii="Segoe UI"/>
                <w:color w:val="231F20"/>
                <w:spacing w:val="-1"/>
                <w:sz w:val="18"/>
              </w:rPr>
              <w:t>level</w:t>
            </w:r>
            <w:r>
              <w:rPr>
                <w:rFonts w:ascii="Segoe UI"/>
                <w:color w:val="231F20"/>
                <w:spacing w:val="-2"/>
                <w:sz w:val="18"/>
              </w:rPr>
              <w:t> </w:t>
            </w:r>
            <w:r>
              <w:rPr>
                <w:rFonts w:ascii="Segoe UI"/>
                <w:color w:val="231F20"/>
                <w:sz w:val="18"/>
              </w:rPr>
              <w:t>of</w:t>
            </w:r>
            <w:r>
              <w:rPr>
                <w:rFonts w:ascii="Segoe UI"/>
                <w:color w:val="231F20"/>
                <w:spacing w:val="-3"/>
                <w:sz w:val="18"/>
              </w:rPr>
              <w:t> </w:t>
            </w:r>
            <w:r>
              <w:rPr>
                <w:rFonts w:ascii="Segoe UI"/>
                <w:color w:val="231F20"/>
                <w:spacing w:val="-1"/>
                <w:sz w:val="18"/>
              </w:rPr>
              <w:t>support</w:t>
            </w:r>
            <w:r>
              <w:rPr>
                <w:rFonts w:ascii="Segoe UI"/>
                <w:color w:val="231F20"/>
                <w:spacing w:val="-2"/>
                <w:sz w:val="18"/>
              </w:rPr>
              <w:t> </w:t>
            </w:r>
            <w:r>
              <w:rPr>
                <w:rFonts w:ascii="Segoe UI"/>
                <w:color w:val="231F20"/>
                <w:sz w:val="18"/>
              </w:rPr>
              <w:t>x</w:t>
            </w:r>
            <w:r>
              <w:rPr>
                <w:rFonts w:ascii="Segoe UI"/>
                <w:color w:val="231F20"/>
                <w:spacing w:val="-2"/>
                <w:sz w:val="18"/>
              </w:rPr>
              <w:t> </w:t>
            </w:r>
            <w:r>
              <w:rPr>
                <w:rFonts w:ascii="Segoe UI"/>
                <w:color w:val="231F20"/>
                <w:spacing w:val="-1"/>
                <w:sz w:val="18"/>
              </w:rPr>
              <w:t>$35,350</w:t>
            </w:r>
            <w:r>
              <w:rPr>
                <w:rFonts w:ascii="Segoe UI"/>
                <w:sz w:val="18"/>
              </w:rPr>
            </w:r>
          </w:p>
          <w:p>
            <w:pPr>
              <w:pStyle w:val="TableParagraph"/>
              <w:spacing w:line="240" w:lineRule="auto"/>
              <w:ind w:left="74" w:right="0"/>
              <w:jc w:val="left"/>
              <w:rPr>
                <w:rFonts w:ascii="Segoe UI" w:hAnsi="Segoe UI" w:cs="Segoe UI" w:eastAsia="Segoe UI"/>
                <w:sz w:val="18"/>
                <w:szCs w:val="18"/>
              </w:rPr>
            </w:pPr>
            <w:r>
              <w:rPr>
                <w:rFonts w:ascii="Segoe UI"/>
                <w:color w:val="231F20"/>
                <w:sz w:val="18"/>
              </w:rPr>
              <w:t>= $176,750.</w:t>
            </w:r>
            <w:r>
              <w:rPr>
                <w:rFonts w:ascii="Segoe UI"/>
                <w:sz w:val="18"/>
              </w:rPr>
            </w:r>
          </w:p>
          <w:p>
            <w:pPr>
              <w:pStyle w:val="TableParagraph"/>
              <w:spacing w:line="240" w:lineRule="auto" w:before="124"/>
              <w:ind w:left="74" w:right="0"/>
              <w:jc w:val="left"/>
              <w:rPr>
                <w:rFonts w:ascii="Segoe UI" w:hAnsi="Segoe UI" w:cs="Segoe UI" w:eastAsia="Segoe UI"/>
                <w:sz w:val="18"/>
                <w:szCs w:val="18"/>
              </w:rPr>
            </w:pPr>
            <w:r>
              <w:rPr>
                <w:rFonts w:ascii="Segoe UI"/>
                <w:color w:val="231F20"/>
                <w:spacing w:val="-1"/>
                <w:sz w:val="18"/>
              </w:rPr>
              <w:t>$95,280</w:t>
            </w:r>
            <w:r>
              <w:rPr>
                <w:rFonts w:ascii="Segoe UI"/>
                <w:color w:val="231F20"/>
                <w:sz w:val="18"/>
              </w:rPr>
              <w:t> + </w:t>
            </w:r>
            <w:r>
              <w:rPr>
                <w:rFonts w:ascii="Segoe UI"/>
                <w:color w:val="231F20"/>
                <w:spacing w:val="-1"/>
                <w:sz w:val="18"/>
              </w:rPr>
              <w:t>$70,560</w:t>
            </w:r>
            <w:r>
              <w:rPr>
                <w:rFonts w:ascii="Segoe UI"/>
                <w:color w:val="231F20"/>
                <w:sz w:val="18"/>
              </w:rPr>
              <w:t> + </w:t>
            </w:r>
            <w:r>
              <w:rPr>
                <w:rFonts w:ascii="Segoe UI"/>
                <w:color w:val="231F20"/>
                <w:spacing w:val="-1"/>
                <w:sz w:val="18"/>
              </w:rPr>
              <w:t>$165,610</w:t>
            </w:r>
            <w:r>
              <w:rPr>
                <w:rFonts w:ascii="Segoe UI"/>
                <w:color w:val="231F20"/>
                <w:sz w:val="18"/>
              </w:rPr>
              <w:t> + </w:t>
            </w:r>
            <w:r>
              <w:rPr>
                <w:rFonts w:ascii="Segoe UI"/>
                <w:color w:val="231F20"/>
                <w:spacing w:val="-1"/>
                <w:sz w:val="18"/>
              </w:rPr>
              <w:t>$176,750</w:t>
            </w:r>
            <w:r>
              <w:rPr>
                <w:rFonts w:ascii="Segoe UI"/>
                <w:color w:val="231F20"/>
                <w:sz w:val="18"/>
              </w:rPr>
              <w:t> =</w:t>
            </w:r>
            <w:r>
              <w:rPr>
                <w:rFonts w:ascii="Segoe UI"/>
                <w:sz w:val="18"/>
              </w:rPr>
            </w:r>
          </w:p>
          <w:p>
            <w:pPr>
              <w:pStyle w:val="TableParagraph"/>
              <w:spacing w:line="240" w:lineRule="auto" w:before="10"/>
              <w:ind w:left="74" w:right="0"/>
              <w:jc w:val="left"/>
              <w:rPr>
                <w:rFonts w:ascii="Segoe UI" w:hAnsi="Segoe UI" w:cs="Segoe UI" w:eastAsia="Segoe UI"/>
                <w:sz w:val="18"/>
                <w:szCs w:val="18"/>
              </w:rPr>
            </w:pPr>
            <w:r>
              <w:rPr>
                <w:rFonts w:ascii="Segoe UI"/>
                <w:color w:val="231F20"/>
                <w:sz w:val="18"/>
              </w:rPr>
              <w:t>$508,290</w:t>
            </w:r>
            <w:r>
              <w:rPr>
                <w:rFonts w:ascii="Segoe UI"/>
                <w:sz w:val="18"/>
              </w:rPr>
            </w:r>
          </w:p>
        </w:tc>
        <w:tc>
          <w:tcPr>
            <w:tcW w:w="146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ind w:right="0"/>
              <w:jc w:val="left"/>
              <w:rPr>
                <w:rFonts w:ascii="Segoe UI" w:hAnsi="Segoe UI" w:cs="Segoe UI" w:eastAsia="Segoe UI"/>
                <w:sz w:val="18"/>
                <w:szCs w:val="18"/>
              </w:rPr>
            </w:pPr>
          </w:p>
          <w:p>
            <w:pPr>
              <w:pStyle w:val="TableParagraph"/>
              <w:spacing w:line="240" w:lineRule="auto"/>
              <w:ind w:right="0"/>
              <w:jc w:val="left"/>
              <w:rPr>
                <w:rFonts w:ascii="Segoe UI" w:hAnsi="Segoe UI" w:cs="Segoe UI" w:eastAsia="Segoe UI"/>
                <w:sz w:val="18"/>
                <w:szCs w:val="18"/>
              </w:rPr>
            </w:pPr>
          </w:p>
          <w:p>
            <w:pPr>
              <w:pStyle w:val="TableParagraph"/>
              <w:spacing w:line="240" w:lineRule="auto"/>
              <w:ind w:right="0"/>
              <w:jc w:val="left"/>
              <w:rPr>
                <w:rFonts w:ascii="Segoe UI" w:hAnsi="Segoe UI" w:cs="Segoe UI" w:eastAsia="Segoe UI"/>
                <w:sz w:val="18"/>
                <w:szCs w:val="18"/>
              </w:rPr>
            </w:pPr>
          </w:p>
          <w:p>
            <w:pPr>
              <w:pStyle w:val="TableParagraph"/>
              <w:spacing w:line="240" w:lineRule="auto"/>
              <w:ind w:right="0"/>
              <w:jc w:val="left"/>
              <w:rPr>
                <w:rFonts w:ascii="Segoe UI" w:hAnsi="Segoe UI" w:cs="Segoe UI" w:eastAsia="Segoe UI"/>
                <w:sz w:val="18"/>
                <w:szCs w:val="18"/>
              </w:rPr>
            </w:pPr>
          </w:p>
          <w:p>
            <w:pPr>
              <w:pStyle w:val="TableParagraph"/>
              <w:spacing w:line="240" w:lineRule="auto"/>
              <w:ind w:right="0"/>
              <w:jc w:val="left"/>
              <w:rPr>
                <w:rFonts w:ascii="Segoe UI" w:hAnsi="Segoe UI" w:cs="Segoe UI" w:eastAsia="Segoe UI"/>
                <w:sz w:val="18"/>
                <w:szCs w:val="18"/>
              </w:rPr>
            </w:pPr>
          </w:p>
          <w:p>
            <w:pPr>
              <w:pStyle w:val="TableParagraph"/>
              <w:spacing w:line="240" w:lineRule="auto"/>
              <w:ind w:right="0"/>
              <w:jc w:val="left"/>
              <w:rPr>
                <w:rFonts w:ascii="Segoe UI" w:hAnsi="Segoe UI" w:cs="Segoe UI" w:eastAsia="Segoe UI"/>
                <w:sz w:val="18"/>
                <w:szCs w:val="18"/>
              </w:rPr>
            </w:pPr>
          </w:p>
          <w:p>
            <w:pPr>
              <w:pStyle w:val="TableParagraph"/>
              <w:spacing w:line="240" w:lineRule="auto"/>
              <w:ind w:right="0"/>
              <w:jc w:val="left"/>
              <w:rPr>
                <w:rFonts w:ascii="Segoe UI" w:hAnsi="Segoe UI" w:cs="Segoe UI" w:eastAsia="Segoe UI"/>
                <w:sz w:val="18"/>
                <w:szCs w:val="18"/>
              </w:rPr>
            </w:pPr>
          </w:p>
          <w:p>
            <w:pPr>
              <w:pStyle w:val="TableParagraph"/>
              <w:spacing w:line="240" w:lineRule="auto" w:before="2"/>
              <w:ind w:right="0"/>
              <w:jc w:val="left"/>
              <w:rPr>
                <w:rFonts w:ascii="Segoe UI" w:hAnsi="Segoe UI" w:cs="Segoe UI" w:eastAsia="Segoe UI"/>
                <w:sz w:val="14"/>
                <w:szCs w:val="14"/>
              </w:rPr>
            </w:pPr>
          </w:p>
          <w:p>
            <w:pPr>
              <w:pStyle w:val="TableParagraph"/>
              <w:spacing w:line="240" w:lineRule="auto"/>
              <w:ind w:left="74" w:right="0"/>
              <w:jc w:val="left"/>
              <w:rPr>
                <w:rFonts w:ascii="Segoe UI" w:hAnsi="Segoe UI" w:cs="Segoe UI" w:eastAsia="Segoe UI"/>
                <w:sz w:val="18"/>
                <w:szCs w:val="18"/>
              </w:rPr>
            </w:pPr>
            <w:r>
              <w:rPr>
                <w:rFonts w:ascii="Segoe UI"/>
                <w:color w:val="231F20"/>
                <w:sz w:val="18"/>
              </w:rPr>
              <w:t>$508,290</w:t>
            </w:r>
            <w:r>
              <w:rPr>
                <w:rFonts w:ascii="Segoe UI"/>
                <w:sz w:val="18"/>
              </w:rPr>
            </w:r>
          </w:p>
        </w:tc>
      </w:tr>
      <w:tr>
        <w:trPr>
          <w:trHeight w:val="1904" w:hRule="exact"/>
        </w:trPr>
        <w:tc>
          <w:tcPr>
            <w:tcW w:w="3335"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ind w:right="0"/>
              <w:jc w:val="left"/>
              <w:rPr>
                <w:rFonts w:ascii="Segoe UI" w:hAnsi="Segoe UI" w:cs="Segoe UI" w:eastAsia="Segoe UI"/>
                <w:sz w:val="18"/>
                <w:szCs w:val="18"/>
              </w:rPr>
            </w:pPr>
          </w:p>
          <w:p>
            <w:pPr>
              <w:pStyle w:val="TableParagraph"/>
              <w:spacing w:line="240" w:lineRule="auto"/>
              <w:ind w:right="0"/>
              <w:jc w:val="left"/>
              <w:rPr>
                <w:rFonts w:ascii="Segoe UI" w:hAnsi="Segoe UI" w:cs="Segoe UI" w:eastAsia="Segoe UI"/>
                <w:sz w:val="18"/>
                <w:szCs w:val="18"/>
              </w:rPr>
            </w:pPr>
          </w:p>
          <w:p>
            <w:pPr>
              <w:pStyle w:val="TableParagraph"/>
              <w:spacing w:line="240" w:lineRule="auto" w:before="2"/>
              <w:ind w:right="0"/>
              <w:jc w:val="left"/>
              <w:rPr>
                <w:rFonts w:ascii="Segoe UI" w:hAnsi="Segoe UI" w:cs="Segoe UI" w:eastAsia="Segoe UI"/>
                <w:sz w:val="16"/>
                <w:szCs w:val="16"/>
              </w:rPr>
            </w:pPr>
          </w:p>
          <w:p>
            <w:pPr>
              <w:pStyle w:val="TableParagraph"/>
              <w:spacing w:line="240" w:lineRule="auto"/>
              <w:ind w:left="74" w:right="0"/>
              <w:jc w:val="left"/>
              <w:rPr>
                <w:rFonts w:ascii="Segoe UI" w:hAnsi="Segoe UI" w:cs="Segoe UI" w:eastAsia="Segoe UI"/>
                <w:sz w:val="18"/>
                <w:szCs w:val="18"/>
              </w:rPr>
            </w:pPr>
            <w:r>
              <w:rPr>
                <w:rFonts w:ascii="Segoe UI"/>
                <w:b/>
                <w:color w:val="231F20"/>
                <w:sz w:val="18"/>
              </w:rPr>
              <w:t>Low English language </w:t>
            </w:r>
            <w:r>
              <w:rPr>
                <w:rFonts w:ascii="Segoe UI"/>
                <w:b/>
                <w:color w:val="231F20"/>
                <w:spacing w:val="-1"/>
                <w:sz w:val="18"/>
              </w:rPr>
              <w:t>proficiency</w:t>
            </w:r>
            <w:r>
              <w:rPr>
                <w:rFonts w:ascii="Segoe UI"/>
                <w:sz w:val="18"/>
              </w:rPr>
            </w:r>
          </w:p>
          <w:p>
            <w:pPr>
              <w:pStyle w:val="TableParagraph"/>
              <w:spacing w:line="240" w:lineRule="auto" w:before="10"/>
              <w:ind w:left="74" w:right="0"/>
              <w:jc w:val="left"/>
              <w:rPr>
                <w:rFonts w:ascii="Segoe UI" w:hAnsi="Segoe UI" w:cs="Segoe UI" w:eastAsia="Segoe UI"/>
                <w:sz w:val="18"/>
                <w:szCs w:val="18"/>
              </w:rPr>
            </w:pPr>
            <w:r>
              <w:rPr>
                <w:rFonts w:ascii="Segoe UI"/>
                <w:b/>
                <w:color w:val="231F20"/>
                <w:spacing w:val="-1"/>
                <w:sz w:val="18"/>
              </w:rPr>
              <w:t>loading</w:t>
            </w:r>
            <w:r>
              <w:rPr>
                <w:rFonts w:ascii="Segoe UI"/>
                <w:sz w:val="18"/>
              </w:rPr>
            </w:r>
          </w:p>
        </w:tc>
        <w:tc>
          <w:tcPr>
            <w:tcW w:w="3969" w:type="dxa"/>
            <w:tcBorders>
              <w:top w:val="single" w:sz="4" w:space="0" w:color="231F20"/>
              <w:left w:val="single" w:sz="4" w:space="0" w:color="231F20"/>
              <w:bottom w:val="single" w:sz="4" w:space="0" w:color="231F20"/>
              <w:right w:val="single" w:sz="4" w:space="0" w:color="231F20"/>
            </w:tcBorders>
          </w:tcPr>
          <w:p>
            <w:pPr>
              <w:pStyle w:val="TableParagraph"/>
              <w:spacing w:line="250" w:lineRule="auto" w:before="12"/>
              <w:ind w:left="74" w:right="548"/>
              <w:jc w:val="left"/>
              <w:rPr>
                <w:rFonts w:ascii="Segoe UI" w:hAnsi="Segoe UI" w:cs="Segoe UI" w:eastAsia="Segoe UI"/>
                <w:sz w:val="18"/>
                <w:szCs w:val="18"/>
              </w:rPr>
            </w:pPr>
            <w:r>
              <w:rPr>
                <w:rFonts w:ascii="Segoe UI"/>
                <w:color w:val="231F20"/>
                <w:spacing w:val="-1"/>
                <w:sz w:val="18"/>
              </w:rPr>
              <w:t>20</w:t>
            </w:r>
            <w:r>
              <w:rPr>
                <w:rFonts w:ascii="Segoe UI"/>
                <w:color w:val="231F20"/>
                <w:spacing w:val="-3"/>
                <w:sz w:val="18"/>
              </w:rPr>
              <w:t> </w:t>
            </w:r>
            <w:r>
              <w:rPr>
                <w:rFonts w:ascii="Segoe UI"/>
                <w:color w:val="231F20"/>
                <w:spacing w:val="-1"/>
                <w:sz w:val="18"/>
              </w:rPr>
              <w:t>students</w:t>
            </w:r>
            <w:r>
              <w:rPr>
                <w:rFonts w:ascii="Segoe UI"/>
                <w:color w:val="231F20"/>
                <w:spacing w:val="-2"/>
                <w:sz w:val="18"/>
              </w:rPr>
              <w:t> </w:t>
            </w:r>
            <w:r>
              <w:rPr>
                <w:rFonts w:ascii="Segoe UI"/>
                <w:color w:val="231F20"/>
                <w:sz w:val="18"/>
              </w:rPr>
              <w:t>(or</w:t>
            </w:r>
            <w:r>
              <w:rPr>
                <w:rFonts w:ascii="Segoe UI"/>
                <w:color w:val="231F20"/>
                <w:spacing w:val="-4"/>
                <w:sz w:val="18"/>
              </w:rPr>
              <w:t> </w:t>
            </w:r>
            <w:r>
              <w:rPr>
                <w:rFonts w:ascii="Segoe UI"/>
                <w:color w:val="231F20"/>
                <w:sz w:val="18"/>
              </w:rPr>
              <w:t>2</w:t>
            </w:r>
            <w:r>
              <w:rPr>
                <w:rFonts w:ascii="Segoe UI"/>
                <w:color w:val="231F20"/>
                <w:spacing w:val="-2"/>
                <w:sz w:val="18"/>
              </w:rPr>
              <w:t> </w:t>
            </w:r>
            <w:r>
              <w:rPr>
                <w:rFonts w:ascii="Segoe UI"/>
                <w:color w:val="231F20"/>
                <w:sz w:val="18"/>
              </w:rPr>
              <w:t>per</w:t>
            </w:r>
            <w:r>
              <w:rPr>
                <w:rFonts w:ascii="Segoe UI"/>
                <w:color w:val="231F20"/>
                <w:spacing w:val="-3"/>
                <w:sz w:val="18"/>
              </w:rPr>
              <w:t> </w:t>
            </w:r>
            <w:r>
              <w:rPr>
                <w:rFonts w:ascii="Segoe UI"/>
                <w:color w:val="231F20"/>
                <w:sz w:val="18"/>
              </w:rPr>
              <w:t>cent</w:t>
            </w:r>
            <w:r>
              <w:rPr>
                <w:rFonts w:ascii="Segoe UI"/>
                <w:color w:val="231F20"/>
                <w:spacing w:val="-3"/>
                <w:sz w:val="18"/>
              </w:rPr>
              <w:t> </w:t>
            </w:r>
            <w:r>
              <w:rPr>
                <w:rFonts w:ascii="Segoe UI"/>
                <w:color w:val="231F20"/>
                <w:sz w:val="18"/>
              </w:rPr>
              <w:t>of</w:t>
            </w:r>
            <w:r>
              <w:rPr>
                <w:rFonts w:ascii="Segoe UI"/>
                <w:color w:val="231F20"/>
                <w:spacing w:val="-3"/>
                <w:sz w:val="18"/>
              </w:rPr>
              <w:t> </w:t>
            </w:r>
            <w:r>
              <w:rPr>
                <w:rFonts w:ascii="Segoe UI"/>
                <w:color w:val="231F20"/>
                <w:spacing w:val="-1"/>
                <w:sz w:val="18"/>
              </w:rPr>
              <w:t>students)</w:t>
            </w:r>
            <w:r>
              <w:rPr>
                <w:rFonts w:ascii="Segoe UI"/>
                <w:color w:val="231F20"/>
                <w:spacing w:val="-2"/>
                <w:sz w:val="18"/>
              </w:rPr>
              <w:t> </w:t>
            </w:r>
            <w:r>
              <w:rPr>
                <w:rFonts w:ascii="Segoe UI"/>
                <w:color w:val="231F20"/>
                <w:sz w:val="18"/>
              </w:rPr>
              <w:t>are</w:t>
            </w:r>
            <w:r>
              <w:rPr>
                <w:rFonts w:ascii="Segoe UI"/>
                <w:color w:val="231F20"/>
                <w:spacing w:val="24"/>
                <w:w w:val="99"/>
                <w:sz w:val="18"/>
              </w:rPr>
              <w:t> </w:t>
            </w:r>
            <w:r>
              <w:rPr>
                <w:rFonts w:ascii="Segoe UI"/>
                <w:color w:val="231F20"/>
                <w:sz w:val="18"/>
              </w:rPr>
              <w:t>identified as having low English language</w:t>
            </w:r>
            <w:r>
              <w:rPr>
                <w:rFonts w:ascii="Segoe UI"/>
                <w:color w:val="231F20"/>
                <w:sz w:val="18"/>
              </w:rPr>
              <w:t> proficiency, which provides a 10 per cent </w:t>
            </w:r>
            <w:r>
              <w:rPr>
                <w:rFonts w:ascii="Segoe UI"/>
                <w:color w:val="231F20"/>
                <w:spacing w:val="-1"/>
                <w:sz w:val="18"/>
              </w:rPr>
              <w:t>loading</w:t>
            </w:r>
            <w:r>
              <w:rPr>
                <w:rFonts w:ascii="Segoe UI"/>
                <w:color w:val="231F20"/>
                <w:spacing w:val="-8"/>
                <w:sz w:val="18"/>
              </w:rPr>
              <w:t> </w:t>
            </w:r>
            <w:r>
              <w:rPr>
                <w:rFonts w:ascii="Segoe UI"/>
                <w:color w:val="231F20"/>
                <w:sz w:val="18"/>
              </w:rPr>
              <w:t>per</w:t>
            </w:r>
            <w:r>
              <w:rPr>
                <w:rFonts w:ascii="Segoe UI"/>
                <w:color w:val="231F20"/>
                <w:spacing w:val="-8"/>
                <w:sz w:val="18"/>
              </w:rPr>
              <w:t> </w:t>
            </w:r>
            <w:r>
              <w:rPr>
                <w:rFonts w:ascii="Segoe UI"/>
                <w:color w:val="231F20"/>
                <w:spacing w:val="-1"/>
                <w:sz w:val="18"/>
              </w:rPr>
              <w:t>student.</w:t>
            </w:r>
            <w:r>
              <w:rPr>
                <w:rFonts w:ascii="Segoe UI"/>
                <w:sz w:val="18"/>
              </w:rPr>
            </w:r>
          </w:p>
          <w:p>
            <w:pPr>
              <w:pStyle w:val="TableParagraph"/>
              <w:spacing w:line="250" w:lineRule="auto" w:before="113"/>
              <w:ind w:left="74" w:right="427"/>
              <w:jc w:val="left"/>
              <w:rPr>
                <w:rFonts w:ascii="Segoe UI" w:hAnsi="Segoe UI" w:cs="Segoe UI" w:eastAsia="Segoe UI"/>
                <w:sz w:val="18"/>
                <w:szCs w:val="18"/>
              </w:rPr>
            </w:pPr>
            <w:r>
              <w:rPr>
                <w:rFonts w:ascii="Segoe UI"/>
                <w:color w:val="231F20"/>
                <w:spacing w:val="-1"/>
                <w:sz w:val="18"/>
              </w:rPr>
              <w:t>$12,798,500</w:t>
            </w:r>
            <w:r>
              <w:rPr>
                <w:rFonts w:ascii="Segoe UI"/>
                <w:color w:val="231F20"/>
                <w:spacing w:val="-4"/>
                <w:sz w:val="18"/>
              </w:rPr>
              <w:t> </w:t>
            </w:r>
            <w:r>
              <w:rPr>
                <w:rFonts w:ascii="Segoe UI"/>
                <w:color w:val="231F20"/>
                <w:sz w:val="18"/>
              </w:rPr>
              <w:t>(total</w:t>
            </w:r>
            <w:r>
              <w:rPr>
                <w:rFonts w:ascii="Segoe UI"/>
                <w:color w:val="231F20"/>
                <w:spacing w:val="-4"/>
                <w:sz w:val="18"/>
              </w:rPr>
              <w:t> </w:t>
            </w:r>
            <w:r>
              <w:rPr>
                <w:rFonts w:ascii="Segoe UI"/>
                <w:color w:val="231F20"/>
                <w:sz w:val="18"/>
              </w:rPr>
              <w:t>base</w:t>
            </w:r>
            <w:r>
              <w:rPr>
                <w:rFonts w:ascii="Segoe UI"/>
                <w:color w:val="231F20"/>
                <w:spacing w:val="-4"/>
                <w:sz w:val="18"/>
              </w:rPr>
              <w:t> </w:t>
            </w:r>
            <w:r>
              <w:rPr>
                <w:rFonts w:ascii="Segoe UI"/>
                <w:color w:val="231F20"/>
                <w:sz w:val="18"/>
              </w:rPr>
              <w:t>funding)</w:t>
            </w:r>
            <w:r>
              <w:rPr>
                <w:rFonts w:ascii="Segoe UI"/>
                <w:color w:val="231F20"/>
                <w:spacing w:val="-4"/>
                <w:sz w:val="18"/>
              </w:rPr>
              <w:t> </w:t>
            </w:r>
            <w:r>
              <w:rPr>
                <w:rFonts w:ascii="Segoe UI"/>
                <w:color w:val="231F20"/>
                <w:sz w:val="18"/>
              </w:rPr>
              <w:t>x</w:t>
            </w:r>
            <w:r>
              <w:rPr>
                <w:rFonts w:ascii="Segoe UI"/>
                <w:color w:val="231F20"/>
                <w:spacing w:val="-3"/>
                <w:sz w:val="18"/>
              </w:rPr>
              <w:t> </w:t>
            </w:r>
            <w:r>
              <w:rPr>
                <w:rFonts w:ascii="Segoe UI"/>
                <w:color w:val="231F20"/>
                <w:spacing w:val="-1"/>
                <w:sz w:val="18"/>
              </w:rPr>
              <w:t>2%</w:t>
            </w:r>
            <w:r>
              <w:rPr>
                <w:rFonts w:ascii="Segoe UI"/>
                <w:color w:val="231F20"/>
                <w:spacing w:val="-4"/>
                <w:sz w:val="18"/>
              </w:rPr>
              <w:t> </w:t>
            </w:r>
            <w:r>
              <w:rPr>
                <w:rFonts w:ascii="Segoe UI"/>
                <w:color w:val="231F20"/>
                <w:sz w:val="18"/>
              </w:rPr>
              <w:t>(base</w:t>
            </w:r>
            <w:r>
              <w:rPr>
                <w:rFonts w:ascii="Segoe UI"/>
                <w:color w:val="231F20"/>
                <w:spacing w:val="23"/>
                <w:w w:val="99"/>
                <w:sz w:val="18"/>
              </w:rPr>
              <w:t> </w:t>
            </w:r>
            <w:r>
              <w:rPr>
                <w:rFonts w:ascii="Segoe UI"/>
                <w:color w:val="231F20"/>
                <w:sz w:val="18"/>
              </w:rPr>
              <w:t>funding</w:t>
            </w:r>
            <w:r>
              <w:rPr>
                <w:rFonts w:ascii="Segoe UI"/>
                <w:color w:val="231F20"/>
                <w:spacing w:val="-4"/>
                <w:sz w:val="18"/>
              </w:rPr>
              <w:t> </w:t>
            </w:r>
            <w:r>
              <w:rPr>
                <w:rFonts w:ascii="Segoe UI"/>
                <w:color w:val="231F20"/>
                <w:sz w:val="18"/>
              </w:rPr>
              <w:t>for</w:t>
            </w:r>
            <w:r>
              <w:rPr>
                <w:rFonts w:ascii="Segoe UI"/>
                <w:color w:val="231F20"/>
                <w:spacing w:val="-3"/>
                <w:sz w:val="18"/>
              </w:rPr>
              <w:t> </w:t>
            </w:r>
            <w:r>
              <w:rPr>
                <w:rFonts w:ascii="Segoe UI"/>
                <w:color w:val="231F20"/>
                <w:spacing w:val="-1"/>
                <w:sz w:val="18"/>
              </w:rPr>
              <w:t>20</w:t>
            </w:r>
            <w:r>
              <w:rPr>
                <w:rFonts w:ascii="Segoe UI"/>
                <w:color w:val="231F20"/>
                <w:spacing w:val="-4"/>
                <w:sz w:val="18"/>
              </w:rPr>
              <w:t> </w:t>
            </w:r>
            <w:r>
              <w:rPr>
                <w:rFonts w:ascii="Segoe UI"/>
                <w:color w:val="231F20"/>
                <w:spacing w:val="-1"/>
                <w:sz w:val="18"/>
              </w:rPr>
              <w:t>students)</w:t>
            </w:r>
            <w:r>
              <w:rPr>
                <w:rFonts w:ascii="Segoe UI"/>
                <w:color w:val="231F20"/>
                <w:spacing w:val="-3"/>
                <w:sz w:val="18"/>
              </w:rPr>
              <w:t> </w:t>
            </w:r>
            <w:r>
              <w:rPr>
                <w:rFonts w:ascii="Segoe UI"/>
                <w:color w:val="231F20"/>
                <w:sz w:val="18"/>
              </w:rPr>
              <w:t>x</w:t>
            </w:r>
            <w:r>
              <w:rPr>
                <w:rFonts w:ascii="Segoe UI"/>
                <w:color w:val="231F20"/>
                <w:spacing w:val="-3"/>
                <w:sz w:val="18"/>
              </w:rPr>
              <w:t> </w:t>
            </w:r>
            <w:r>
              <w:rPr>
                <w:rFonts w:ascii="Segoe UI"/>
                <w:color w:val="231F20"/>
                <w:spacing w:val="-1"/>
                <w:sz w:val="18"/>
              </w:rPr>
              <w:t>10%</w:t>
            </w:r>
            <w:r>
              <w:rPr>
                <w:rFonts w:ascii="Segoe UI"/>
                <w:color w:val="231F20"/>
                <w:spacing w:val="-5"/>
                <w:sz w:val="18"/>
              </w:rPr>
              <w:t> </w:t>
            </w:r>
            <w:r>
              <w:rPr>
                <w:rFonts w:ascii="Segoe UI"/>
                <w:color w:val="231F20"/>
                <w:sz w:val="18"/>
              </w:rPr>
              <w:t>(loading)</w:t>
            </w:r>
            <w:r>
              <w:rPr>
                <w:rFonts w:ascii="Segoe UI"/>
                <w:color w:val="231F20"/>
                <w:spacing w:val="-4"/>
                <w:sz w:val="18"/>
              </w:rPr>
              <w:t> </w:t>
            </w:r>
            <w:r>
              <w:rPr>
                <w:rFonts w:ascii="Segoe UI"/>
                <w:color w:val="231F20"/>
                <w:sz w:val="18"/>
              </w:rPr>
              <w:t>=</w:t>
            </w:r>
            <w:r>
              <w:rPr>
                <w:rFonts w:ascii="Segoe UI"/>
                <w:sz w:val="18"/>
              </w:rPr>
            </w:r>
          </w:p>
          <w:p>
            <w:pPr>
              <w:pStyle w:val="TableParagraph"/>
              <w:spacing w:line="240" w:lineRule="auto"/>
              <w:ind w:left="74" w:right="0"/>
              <w:jc w:val="left"/>
              <w:rPr>
                <w:rFonts w:ascii="Segoe UI" w:hAnsi="Segoe UI" w:cs="Segoe UI" w:eastAsia="Segoe UI"/>
                <w:sz w:val="18"/>
                <w:szCs w:val="18"/>
              </w:rPr>
            </w:pPr>
            <w:r>
              <w:rPr>
                <w:rFonts w:ascii="Segoe UI"/>
                <w:color w:val="231F20"/>
                <w:sz w:val="18"/>
              </w:rPr>
              <w:t>$25,597</w:t>
            </w:r>
            <w:r>
              <w:rPr>
                <w:rFonts w:ascii="Segoe UI"/>
                <w:sz w:val="18"/>
              </w:rPr>
            </w:r>
          </w:p>
        </w:tc>
        <w:tc>
          <w:tcPr>
            <w:tcW w:w="146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ind w:right="0"/>
              <w:jc w:val="left"/>
              <w:rPr>
                <w:rFonts w:ascii="Segoe UI" w:hAnsi="Segoe UI" w:cs="Segoe UI" w:eastAsia="Segoe UI"/>
                <w:sz w:val="18"/>
                <w:szCs w:val="18"/>
              </w:rPr>
            </w:pPr>
          </w:p>
          <w:p>
            <w:pPr>
              <w:pStyle w:val="TableParagraph"/>
              <w:spacing w:line="240" w:lineRule="auto"/>
              <w:ind w:right="0"/>
              <w:jc w:val="left"/>
              <w:rPr>
                <w:rFonts w:ascii="Segoe UI" w:hAnsi="Segoe UI" w:cs="Segoe UI" w:eastAsia="Segoe UI"/>
                <w:sz w:val="18"/>
                <w:szCs w:val="18"/>
              </w:rPr>
            </w:pPr>
          </w:p>
          <w:p>
            <w:pPr>
              <w:pStyle w:val="TableParagraph"/>
              <w:spacing w:line="240" w:lineRule="auto" w:before="7"/>
              <w:ind w:right="0"/>
              <w:jc w:val="left"/>
              <w:rPr>
                <w:rFonts w:ascii="Segoe UI" w:hAnsi="Segoe UI" w:cs="Segoe UI" w:eastAsia="Segoe UI"/>
                <w:sz w:val="25"/>
                <w:szCs w:val="25"/>
              </w:rPr>
            </w:pPr>
          </w:p>
          <w:p>
            <w:pPr>
              <w:pStyle w:val="TableParagraph"/>
              <w:spacing w:line="240" w:lineRule="auto"/>
              <w:ind w:left="74" w:right="0"/>
              <w:jc w:val="left"/>
              <w:rPr>
                <w:rFonts w:ascii="Segoe UI" w:hAnsi="Segoe UI" w:cs="Segoe UI" w:eastAsia="Segoe UI"/>
                <w:sz w:val="18"/>
                <w:szCs w:val="18"/>
              </w:rPr>
            </w:pPr>
            <w:r>
              <w:rPr>
                <w:rFonts w:ascii="Segoe UI"/>
                <w:color w:val="231F20"/>
                <w:sz w:val="18"/>
              </w:rPr>
              <w:t>$25,597</w:t>
            </w:r>
            <w:r>
              <w:rPr>
                <w:rFonts w:ascii="Segoe UI"/>
                <w:sz w:val="18"/>
              </w:rPr>
            </w:r>
          </w:p>
        </w:tc>
      </w:tr>
    </w:tbl>
    <w:p>
      <w:pPr>
        <w:spacing w:after="0" w:line="240" w:lineRule="auto"/>
        <w:jc w:val="left"/>
        <w:rPr>
          <w:rFonts w:ascii="Segoe UI" w:hAnsi="Segoe UI" w:cs="Segoe UI" w:eastAsia="Segoe UI"/>
          <w:sz w:val="18"/>
          <w:szCs w:val="18"/>
        </w:rPr>
        <w:sectPr>
          <w:pgSz w:w="11910" w:h="16840"/>
          <w:pgMar w:header="0" w:footer="691" w:top="1580" w:bottom="880" w:left="1600" w:right="1300"/>
        </w:sectPr>
      </w:pPr>
    </w:p>
    <w:p>
      <w:pPr>
        <w:spacing w:line="240" w:lineRule="auto" w:before="6"/>
        <w:rPr>
          <w:rFonts w:ascii="Segoe UI" w:hAnsi="Segoe UI" w:cs="Segoe UI" w:eastAsia="Segoe UI"/>
          <w:sz w:val="28"/>
          <w:szCs w:val="28"/>
        </w:rPr>
      </w:pPr>
    </w:p>
    <w:tbl>
      <w:tblPr>
        <w:tblW w:w="0" w:type="auto"/>
        <w:jc w:val="left"/>
        <w:tblInd w:w="117" w:type="dxa"/>
        <w:tblLayout w:type="fixed"/>
        <w:tblCellMar>
          <w:top w:w="0" w:type="dxa"/>
          <w:left w:w="0" w:type="dxa"/>
          <w:bottom w:w="0" w:type="dxa"/>
          <w:right w:w="0" w:type="dxa"/>
        </w:tblCellMar>
        <w:tblLook w:val="01E0"/>
      </w:tblPr>
      <w:tblGrid>
        <w:gridCol w:w="3335"/>
        <w:gridCol w:w="3969"/>
        <w:gridCol w:w="1464"/>
      </w:tblGrid>
      <w:tr>
        <w:trPr>
          <w:trHeight w:val="291" w:hRule="exact"/>
        </w:trPr>
        <w:tc>
          <w:tcPr>
            <w:tcW w:w="3335" w:type="dxa"/>
            <w:tcBorders>
              <w:top w:val="single" w:sz="4" w:space="0" w:color="231F20"/>
              <w:left w:val="single" w:sz="4" w:space="0" w:color="231F20"/>
              <w:bottom w:val="single" w:sz="4" w:space="0" w:color="231F20"/>
              <w:right w:val="single" w:sz="4" w:space="0" w:color="231F20"/>
            </w:tcBorders>
            <w:shd w:val="clear" w:color="auto" w:fill="452A70"/>
          </w:tcPr>
          <w:p>
            <w:pPr>
              <w:pStyle w:val="TableParagraph"/>
              <w:spacing w:line="240" w:lineRule="auto" w:before="12"/>
              <w:ind w:left="74" w:right="0"/>
              <w:jc w:val="left"/>
              <w:rPr>
                <w:rFonts w:ascii="Segoe UI Semibold" w:hAnsi="Segoe UI Semibold" w:cs="Segoe UI Semibold" w:eastAsia="Segoe UI Semibold"/>
                <w:sz w:val="18"/>
                <w:szCs w:val="18"/>
              </w:rPr>
            </w:pPr>
            <w:r>
              <w:rPr>
                <w:rFonts w:ascii="Segoe UI Semibold"/>
                <w:b/>
                <w:color w:val="FFFFFF"/>
                <w:spacing w:val="-1"/>
                <w:sz w:val="18"/>
              </w:rPr>
              <w:t>SRS</w:t>
            </w:r>
            <w:r>
              <w:rPr>
                <w:rFonts w:ascii="Segoe UI Semibold"/>
                <w:b/>
                <w:color w:val="FFFFFF"/>
                <w:sz w:val="18"/>
              </w:rPr>
              <w:t> Component</w:t>
            </w:r>
            <w:r>
              <w:rPr>
                <w:rFonts w:ascii="Segoe UI Semibold"/>
                <w:sz w:val="18"/>
              </w:rPr>
            </w:r>
          </w:p>
        </w:tc>
        <w:tc>
          <w:tcPr>
            <w:tcW w:w="3969" w:type="dxa"/>
            <w:tcBorders>
              <w:top w:val="single" w:sz="4" w:space="0" w:color="231F20"/>
              <w:left w:val="single" w:sz="4" w:space="0" w:color="231F20"/>
              <w:bottom w:val="single" w:sz="4" w:space="0" w:color="231F20"/>
              <w:right w:val="single" w:sz="4" w:space="0" w:color="231F20"/>
            </w:tcBorders>
            <w:shd w:val="clear" w:color="auto" w:fill="452A70"/>
          </w:tcPr>
          <w:p>
            <w:pPr>
              <w:pStyle w:val="TableParagraph"/>
              <w:spacing w:line="240" w:lineRule="auto" w:before="12"/>
              <w:ind w:left="74" w:right="0"/>
              <w:jc w:val="left"/>
              <w:rPr>
                <w:rFonts w:ascii="Segoe UI Semibold" w:hAnsi="Segoe UI Semibold" w:cs="Segoe UI Semibold" w:eastAsia="Segoe UI Semibold"/>
                <w:sz w:val="18"/>
                <w:szCs w:val="18"/>
              </w:rPr>
            </w:pPr>
            <w:r>
              <w:rPr>
                <w:rFonts w:ascii="Segoe UI Semibold"/>
                <w:b/>
                <w:color w:val="FFFFFF"/>
                <w:sz w:val="18"/>
              </w:rPr>
              <w:t>Calculation</w:t>
            </w:r>
            <w:r>
              <w:rPr>
                <w:rFonts w:ascii="Segoe UI Semibold"/>
                <w:sz w:val="18"/>
              </w:rPr>
            </w:r>
          </w:p>
        </w:tc>
        <w:tc>
          <w:tcPr>
            <w:tcW w:w="1464" w:type="dxa"/>
            <w:tcBorders>
              <w:top w:val="single" w:sz="4" w:space="0" w:color="231F20"/>
              <w:left w:val="single" w:sz="4" w:space="0" w:color="231F20"/>
              <w:bottom w:val="single" w:sz="4" w:space="0" w:color="231F20"/>
              <w:right w:val="single" w:sz="4" w:space="0" w:color="231F20"/>
            </w:tcBorders>
            <w:shd w:val="clear" w:color="auto" w:fill="452A70"/>
          </w:tcPr>
          <w:p>
            <w:pPr>
              <w:pStyle w:val="TableParagraph"/>
              <w:spacing w:line="240" w:lineRule="auto" w:before="12"/>
              <w:ind w:left="74" w:right="0"/>
              <w:jc w:val="left"/>
              <w:rPr>
                <w:rFonts w:ascii="Segoe UI Semibold" w:hAnsi="Segoe UI Semibold" w:cs="Segoe UI Semibold" w:eastAsia="Segoe UI Semibold"/>
                <w:sz w:val="18"/>
                <w:szCs w:val="18"/>
              </w:rPr>
            </w:pPr>
            <w:r>
              <w:rPr>
                <w:rFonts w:ascii="Segoe UI Semibold"/>
                <w:b/>
                <w:color w:val="FFFFFF"/>
                <w:spacing w:val="-1"/>
                <w:sz w:val="18"/>
              </w:rPr>
              <w:t>Amount*</w:t>
            </w:r>
            <w:r>
              <w:rPr>
                <w:rFonts w:ascii="Segoe UI Semibold"/>
                <w:sz w:val="18"/>
              </w:rPr>
            </w:r>
          </w:p>
        </w:tc>
      </w:tr>
      <w:tr>
        <w:trPr>
          <w:trHeight w:val="1654" w:hRule="exact"/>
        </w:trPr>
        <w:tc>
          <w:tcPr>
            <w:tcW w:w="3335"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ind w:right="0"/>
              <w:jc w:val="left"/>
              <w:rPr>
                <w:rFonts w:ascii="Segoe UI" w:hAnsi="Segoe UI" w:cs="Segoe UI" w:eastAsia="Segoe UI"/>
                <w:sz w:val="18"/>
                <w:szCs w:val="18"/>
              </w:rPr>
            </w:pPr>
          </w:p>
          <w:p>
            <w:pPr>
              <w:pStyle w:val="TableParagraph"/>
              <w:spacing w:line="240" w:lineRule="auto" w:before="10"/>
              <w:ind w:right="0"/>
              <w:jc w:val="left"/>
              <w:rPr>
                <w:rFonts w:ascii="Segoe UI" w:hAnsi="Segoe UI" w:cs="Segoe UI" w:eastAsia="Segoe UI"/>
                <w:sz w:val="24"/>
                <w:szCs w:val="24"/>
              </w:rPr>
            </w:pPr>
          </w:p>
          <w:p>
            <w:pPr>
              <w:pStyle w:val="TableParagraph"/>
              <w:spacing w:line="250" w:lineRule="auto"/>
              <w:ind w:left="74" w:right="192"/>
              <w:jc w:val="left"/>
              <w:rPr>
                <w:rFonts w:ascii="Segoe UI" w:hAnsi="Segoe UI" w:cs="Segoe UI" w:eastAsia="Segoe UI"/>
                <w:sz w:val="18"/>
                <w:szCs w:val="18"/>
              </w:rPr>
            </w:pPr>
            <w:r>
              <w:rPr>
                <w:rFonts w:ascii="Segoe UI"/>
                <w:b/>
                <w:color w:val="231F20"/>
                <w:spacing w:val="-1"/>
                <w:sz w:val="18"/>
              </w:rPr>
              <w:t>Aboriginal and</w:t>
            </w:r>
            <w:r>
              <w:rPr>
                <w:rFonts w:ascii="Segoe UI"/>
                <w:b/>
                <w:color w:val="231F20"/>
                <w:sz w:val="18"/>
              </w:rPr>
              <w:t> </w:t>
            </w:r>
            <w:r>
              <w:rPr>
                <w:rFonts w:ascii="Segoe UI"/>
                <w:b/>
                <w:color w:val="231F20"/>
                <w:spacing w:val="-5"/>
                <w:sz w:val="18"/>
              </w:rPr>
              <w:t>T</w:t>
            </w:r>
            <w:r>
              <w:rPr>
                <w:rFonts w:ascii="Segoe UI"/>
                <w:b/>
                <w:color w:val="231F20"/>
                <w:spacing w:val="-4"/>
                <w:sz w:val="18"/>
              </w:rPr>
              <w:t>orr</w:t>
            </w:r>
            <w:r>
              <w:rPr>
                <w:rFonts w:ascii="Segoe UI"/>
                <w:b/>
                <w:color w:val="231F20"/>
                <w:spacing w:val="-5"/>
                <w:sz w:val="18"/>
              </w:rPr>
              <w:t>es</w:t>
            </w:r>
            <w:r>
              <w:rPr>
                <w:rFonts w:ascii="Segoe UI"/>
                <w:b/>
                <w:color w:val="231F20"/>
                <w:sz w:val="18"/>
              </w:rPr>
              <w:t> </w:t>
            </w:r>
            <w:r>
              <w:rPr>
                <w:rFonts w:ascii="Segoe UI"/>
                <w:b/>
                <w:color w:val="231F20"/>
                <w:spacing w:val="-2"/>
                <w:sz w:val="18"/>
              </w:rPr>
              <w:t>Strait</w:t>
            </w:r>
            <w:r>
              <w:rPr>
                <w:rFonts w:ascii="Segoe UI"/>
                <w:b/>
                <w:color w:val="231F20"/>
                <w:sz w:val="18"/>
              </w:rPr>
              <w:t> Islander</w:t>
            </w:r>
            <w:r>
              <w:rPr>
                <w:rFonts w:ascii="Segoe UI"/>
                <w:b/>
                <w:color w:val="231F20"/>
                <w:spacing w:val="21"/>
                <w:sz w:val="18"/>
              </w:rPr>
              <w:t> </w:t>
            </w:r>
            <w:r>
              <w:rPr>
                <w:rFonts w:ascii="Segoe UI"/>
                <w:b/>
                <w:color w:val="231F20"/>
                <w:spacing w:val="-1"/>
                <w:sz w:val="18"/>
              </w:rPr>
              <w:t>loading</w:t>
            </w:r>
            <w:r>
              <w:rPr>
                <w:rFonts w:ascii="Segoe UI"/>
                <w:sz w:val="18"/>
              </w:rPr>
            </w:r>
          </w:p>
        </w:tc>
        <w:tc>
          <w:tcPr>
            <w:tcW w:w="3969" w:type="dxa"/>
            <w:tcBorders>
              <w:top w:val="single" w:sz="4" w:space="0" w:color="231F20"/>
              <w:left w:val="single" w:sz="4" w:space="0" w:color="231F20"/>
              <w:bottom w:val="single" w:sz="4" w:space="0" w:color="231F20"/>
              <w:right w:val="single" w:sz="4" w:space="0" w:color="231F20"/>
            </w:tcBorders>
          </w:tcPr>
          <w:p>
            <w:pPr>
              <w:pStyle w:val="TableParagraph"/>
              <w:spacing w:line="250" w:lineRule="auto" w:before="12"/>
              <w:ind w:left="74" w:right="227"/>
              <w:jc w:val="left"/>
              <w:rPr>
                <w:rFonts w:ascii="Segoe UI" w:hAnsi="Segoe UI" w:cs="Segoe UI" w:eastAsia="Segoe UI"/>
                <w:sz w:val="18"/>
                <w:szCs w:val="18"/>
              </w:rPr>
            </w:pPr>
            <w:r>
              <w:rPr>
                <w:rFonts w:ascii="Segoe UI"/>
                <w:color w:val="231F20"/>
                <w:spacing w:val="-1"/>
                <w:sz w:val="18"/>
              </w:rPr>
              <w:t>15</w:t>
            </w:r>
            <w:r>
              <w:rPr>
                <w:rFonts w:ascii="Segoe UI"/>
                <w:color w:val="231F20"/>
                <w:spacing w:val="-4"/>
                <w:sz w:val="18"/>
              </w:rPr>
              <w:t> </w:t>
            </w:r>
            <w:r>
              <w:rPr>
                <w:rFonts w:ascii="Segoe UI"/>
                <w:color w:val="231F20"/>
                <w:sz w:val="18"/>
              </w:rPr>
              <w:t>per</w:t>
            </w:r>
            <w:r>
              <w:rPr>
                <w:rFonts w:ascii="Segoe UI"/>
                <w:color w:val="231F20"/>
                <w:spacing w:val="-3"/>
                <w:sz w:val="18"/>
              </w:rPr>
              <w:t> </w:t>
            </w:r>
            <w:r>
              <w:rPr>
                <w:rFonts w:ascii="Segoe UI"/>
                <w:color w:val="231F20"/>
                <w:sz w:val="18"/>
              </w:rPr>
              <w:t>cent</w:t>
            </w:r>
            <w:r>
              <w:rPr>
                <w:rFonts w:ascii="Segoe UI"/>
                <w:color w:val="231F20"/>
                <w:spacing w:val="-5"/>
                <w:sz w:val="18"/>
              </w:rPr>
              <w:t> </w:t>
            </w:r>
            <w:r>
              <w:rPr>
                <w:rFonts w:ascii="Segoe UI"/>
                <w:color w:val="231F20"/>
                <w:sz w:val="18"/>
              </w:rPr>
              <w:t>of</w:t>
            </w:r>
            <w:r>
              <w:rPr>
                <w:rFonts w:ascii="Segoe UI"/>
                <w:color w:val="231F20"/>
                <w:spacing w:val="-3"/>
                <w:sz w:val="18"/>
              </w:rPr>
              <w:t> </w:t>
            </w:r>
            <w:r>
              <w:rPr>
                <w:rFonts w:ascii="Segoe UI"/>
                <w:color w:val="231F20"/>
                <w:spacing w:val="-1"/>
                <w:sz w:val="18"/>
              </w:rPr>
              <w:t>students</w:t>
            </w:r>
            <w:r>
              <w:rPr>
                <w:rFonts w:ascii="Segoe UI"/>
                <w:color w:val="231F20"/>
                <w:spacing w:val="-4"/>
                <w:sz w:val="18"/>
              </w:rPr>
              <w:t> </w:t>
            </w:r>
            <w:r>
              <w:rPr>
                <w:rFonts w:ascii="Segoe UI"/>
                <w:color w:val="231F20"/>
                <w:sz w:val="18"/>
              </w:rPr>
              <w:t>(150</w:t>
            </w:r>
            <w:r>
              <w:rPr>
                <w:rFonts w:ascii="Segoe UI"/>
                <w:color w:val="231F20"/>
                <w:spacing w:val="-4"/>
                <w:sz w:val="18"/>
              </w:rPr>
              <w:t> </w:t>
            </w:r>
            <w:r>
              <w:rPr>
                <w:rFonts w:ascii="Segoe UI"/>
                <w:color w:val="231F20"/>
                <w:spacing w:val="-1"/>
                <w:sz w:val="18"/>
              </w:rPr>
              <w:t>students)</w:t>
            </w:r>
            <w:r>
              <w:rPr>
                <w:rFonts w:ascii="Segoe UI"/>
                <w:color w:val="231F20"/>
                <w:spacing w:val="-4"/>
                <w:sz w:val="18"/>
              </w:rPr>
              <w:t> </w:t>
            </w:r>
            <w:r>
              <w:rPr>
                <w:rFonts w:ascii="Segoe UI"/>
                <w:color w:val="231F20"/>
                <w:spacing w:val="-1"/>
                <w:sz w:val="18"/>
              </w:rPr>
              <w:t>identify</w:t>
            </w:r>
            <w:r>
              <w:rPr>
                <w:rFonts w:ascii="Segoe UI"/>
                <w:color w:val="231F20"/>
                <w:spacing w:val="23"/>
                <w:w w:val="99"/>
                <w:sz w:val="18"/>
              </w:rPr>
              <w:t> </w:t>
            </w:r>
            <w:r>
              <w:rPr>
                <w:rFonts w:ascii="Segoe UI"/>
                <w:color w:val="231F20"/>
                <w:sz w:val="18"/>
              </w:rPr>
              <w:t>as</w:t>
            </w:r>
            <w:r>
              <w:rPr>
                <w:rFonts w:ascii="Segoe UI"/>
                <w:color w:val="231F20"/>
                <w:spacing w:val="-5"/>
                <w:sz w:val="18"/>
              </w:rPr>
              <w:t> </w:t>
            </w:r>
            <w:r>
              <w:rPr>
                <w:rFonts w:ascii="Segoe UI"/>
                <w:color w:val="231F20"/>
                <w:spacing w:val="-1"/>
                <w:sz w:val="18"/>
              </w:rPr>
              <w:t>Indigenous,</w:t>
            </w:r>
            <w:r>
              <w:rPr>
                <w:rFonts w:ascii="Segoe UI"/>
                <w:color w:val="231F20"/>
                <w:spacing w:val="-4"/>
                <w:sz w:val="18"/>
              </w:rPr>
              <w:t> </w:t>
            </w:r>
            <w:r>
              <w:rPr>
                <w:rFonts w:ascii="Segoe UI"/>
                <w:color w:val="231F20"/>
                <w:sz w:val="18"/>
              </w:rPr>
              <w:t>which</w:t>
            </w:r>
            <w:r>
              <w:rPr>
                <w:rFonts w:ascii="Segoe UI"/>
                <w:color w:val="231F20"/>
                <w:spacing w:val="-5"/>
                <w:sz w:val="18"/>
              </w:rPr>
              <w:t> </w:t>
            </w:r>
            <w:r>
              <w:rPr>
                <w:rFonts w:ascii="Segoe UI"/>
                <w:color w:val="231F20"/>
                <w:sz w:val="18"/>
              </w:rPr>
              <w:t>provides</w:t>
            </w:r>
            <w:r>
              <w:rPr>
                <w:rFonts w:ascii="Segoe UI"/>
                <w:color w:val="231F20"/>
                <w:spacing w:val="-5"/>
                <w:sz w:val="18"/>
              </w:rPr>
              <w:t> </w:t>
            </w:r>
            <w:r>
              <w:rPr>
                <w:rFonts w:ascii="Segoe UI"/>
                <w:color w:val="231F20"/>
                <w:sz w:val="18"/>
              </w:rPr>
              <w:t>a</w:t>
            </w:r>
            <w:r>
              <w:rPr>
                <w:rFonts w:ascii="Segoe UI"/>
                <w:color w:val="231F20"/>
                <w:spacing w:val="-4"/>
                <w:sz w:val="18"/>
              </w:rPr>
              <w:t> </w:t>
            </w:r>
            <w:r>
              <w:rPr>
                <w:rFonts w:ascii="Segoe UI"/>
                <w:color w:val="231F20"/>
                <w:spacing w:val="-1"/>
                <w:sz w:val="18"/>
              </w:rPr>
              <w:t>35</w:t>
            </w:r>
            <w:r>
              <w:rPr>
                <w:rFonts w:ascii="Segoe UI"/>
                <w:color w:val="231F20"/>
                <w:spacing w:val="-4"/>
                <w:sz w:val="18"/>
              </w:rPr>
              <w:t> </w:t>
            </w:r>
            <w:r>
              <w:rPr>
                <w:rFonts w:ascii="Segoe UI"/>
                <w:color w:val="231F20"/>
                <w:sz w:val="18"/>
              </w:rPr>
              <w:t>per</w:t>
            </w:r>
            <w:r>
              <w:rPr>
                <w:rFonts w:ascii="Segoe UI"/>
                <w:color w:val="231F20"/>
                <w:spacing w:val="-4"/>
                <w:sz w:val="18"/>
              </w:rPr>
              <w:t> </w:t>
            </w:r>
            <w:r>
              <w:rPr>
                <w:rFonts w:ascii="Segoe UI"/>
                <w:color w:val="231F20"/>
                <w:sz w:val="18"/>
              </w:rPr>
              <w:t>cent</w:t>
            </w:r>
            <w:r>
              <w:rPr>
                <w:rFonts w:ascii="Segoe UI"/>
                <w:color w:val="231F20"/>
                <w:spacing w:val="23"/>
                <w:w w:val="99"/>
                <w:sz w:val="18"/>
              </w:rPr>
              <w:t> </w:t>
            </w:r>
            <w:r>
              <w:rPr>
                <w:rFonts w:ascii="Segoe UI"/>
                <w:color w:val="231F20"/>
                <w:spacing w:val="-1"/>
                <w:sz w:val="18"/>
              </w:rPr>
              <w:t>loading</w:t>
            </w:r>
            <w:r>
              <w:rPr>
                <w:rFonts w:ascii="Segoe UI"/>
                <w:color w:val="231F20"/>
                <w:spacing w:val="-8"/>
                <w:sz w:val="18"/>
              </w:rPr>
              <w:t> </w:t>
            </w:r>
            <w:r>
              <w:rPr>
                <w:rFonts w:ascii="Segoe UI"/>
                <w:color w:val="231F20"/>
                <w:sz w:val="18"/>
              </w:rPr>
              <w:t>per</w:t>
            </w:r>
            <w:r>
              <w:rPr>
                <w:rFonts w:ascii="Segoe UI"/>
                <w:color w:val="231F20"/>
                <w:spacing w:val="-8"/>
                <w:sz w:val="18"/>
              </w:rPr>
              <w:t> </w:t>
            </w:r>
            <w:r>
              <w:rPr>
                <w:rFonts w:ascii="Segoe UI"/>
                <w:color w:val="231F20"/>
                <w:spacing w:val="-1"/>
                <w:sz w:val="18"/>
              </w:rPr>
              <w:t>student.</w:t>
            </w:r>
            <w:r>
              <w:rPr>
                <w:rFonts w:ascii="Segoe UI"/>
                <w:sz w:val="18"/>
              </w:rPr>
            </w:r>
          </w:p>
          <w:p>
            <w:pPr>
              <w:pStyle w:val="TableParagraph"/>
              <w:spacing w:line="250" w:lineRule="auto" w:before="113"/>
              <w:ind w:left="74" w:right="330"/>
              <w:jc w:val="left"/>
              <w:rPr>
                <w:rFonts w:ascii="Segoe UI" w:hAnsi="Segoe UI" w:cs="Segoe UI" w:eastAsia="Segoe UI"/>
                <w:sz w:val="18"/>
                <w:szCs w:val="18"/>
              </w:rPr>
            </w:pPr>
            <w:r>
              <w:rPr>
                <w:rFonts w:ascii="Segoe UI"/>
                <w:color w:val="231F20"/>
                <w:spacing w:val="-1"/>
                <w:sz w:val="18"/>
              </w:rPr>
              <w:t>$12,798,500</w:t>
            </w:r>
            <w:r>
              <w:rPr>
                <w:rFonts w:ascii="Segoe UI"/>
                <w:color w:val="231F20"/>
                <w:spacing w:val="-4"/>
                <w:sz w:val="18"/>
              </w:rPr>
              <w:t> </w:t>
            </w:r>
            <w:r>
              <w:rPr>
                <w:rFonts w:ascii="Segoe UI"/>
                <w:color w:val="231F20"/>
                <w:sz w:val="18"/>
              </w:rPr>
              <w:t>(total</w:t>
            </w:r>
            <w:r>
              <w:rPr>
                <w:rFonts w:ascii="Segoe UI"/>
                <w:color w:val="231F20"/>
                <w:spacing w:val="-4"/>
                <w:sz w:val="18"/>
              </w:rPr>
              <w:t> </w:t>
            </w:r>
            <w:r>
              <w:rPr>
                <w:rFonts w:ascii="Segoe UI"/>
                <w:color w:val="231F20"/>
                <w:sz w:val="18"/>
              </w:rPr>
              <w:t>base</w:t>
            </w:r>
            <w:r>
              <w:rPr>
                <w:rFonts w:ascii="Segoe UI"/>
                <w:color w:val="231F20"/>
                <w:spacing w:val="-4"/>
                <w:sz w:val="18"/>
              </w:rPr>
              <w:t> </w:t>
            </w:r>
            <w:r>
              <w:rPr>
                <w:rFonts w:ascii="Segoe UI"/>
                <w:color w:val="231F20"/>
                <w:sz w:val="18"/>
              </w:rPr>
              <w:t>funding)</w:t>
            </w:r>
            <w:r>
              <w:rPr>
                <w:rFonts w:ascii="Segoe UI"/>
                <w:color w:val="231F20"/>
                <w:spacing w:val="-4"/>
                <w:sz w:val="18"/>
              </w:rPr>
              <w:t> </w:t>
            </w:r>
            <w:r>
              <w:rPr>
                <w:rFonts w:ascii="Segoe UI"/>
                <w:color w:val="231F20"/>
                <w:sz w:val="18"/>
              </w:rPr>
              <w:t>x</w:t>
            </w:r>
            <w:r>
              <w:rPr>
                <w:rFonts w:ascii="Segoe UI"/>
                <w:color w:val="231F20"/>
                <w:spacing w:val="-3"/>
                <w:sz w:val="18"/>
              </w:rPr>
              <w:t> </w:t>
            </w:r>
            <w:r>
              <w:rPr>
                <w:rFonts w:ascii="Segoe UI"/>
                <w:color w:val="231F20"/>
                <w:spacing w:val="-1"/>
                <w:sz w:val="18"/>
              </w:rPr>
              <w:t>15%</w:t>
            </w:r>
            <w:r>
              <w:rPr>
                <w:rFonts w:ascii="Segoe UI"/>
                <w:color w:val="231F20"/>
                <w:spacing w:val="-4"/>
                <w:sz w:val="18"/>
              </w:rPr>
              <w:t> </w:t>
            </w:r>
            <w:r>
              <w:rPr>
                <w:rFonts w:ascii="Segoe UI"/>
                <w:color w:val="231F20"/>
                <w:sz w:val="18"/>
              </w:rPr>
              <w:t>(base</w:t>
            </w:r>
            <w:r>
              <w:rPr>
                <w:rFonts w:ascii="Segoe UI"/>
                <w:color w:val="231F20"/>
                <w:spacing w:val="23"/>
                <w:w w:val="99"/>
                <w:sz w:val="18"/>
              </w:rPr>
              <w:t> </w:t>
            </w:r>
            <w:r>
              <w:rPr>
                <w:rFonts w:ascii="Segoe UI"/>
                <w:color w:val="231F20"/>
                <w:sz w:val="18"/>
              </w:rPr>
              <w:t>funding</w:t>
            </w:r>
            <w:r>
              <w:rPr>
                <w:rFonts w:ascii="Segoe UI"/>
                <w:color w:val="231F20"/>
                <w:spacing w:val="-4"/>
                <w:sz w:val="18"/>
              </w:rPr>
              <w:t> </w:t>
            </w:r>
            <w:r>
              <w:rPr>
                <w:rFonts w:ascii="Segoe UI"/>
                <w:color w:val="231F20"/>
                <w:sz w:val="18"/>
              </w:rPr>
              <w:t>for</w:t>
            </w:r>
            <w:r>
              <w:rPr>
                <w:rFonts w:ascii="Segoe UI"/>
                <w:color w:val="231F20"/>
                <w:spacing w:val="-3"/>
                <w:sz w:val="18"/>
              </w:rPr>
              <w:t> </w:t>
            </w:r>
            <w:r>
              <w:rPr>
                <w:rFonts w:ascii="Segoe UI"/>
                <w:color w:val="231F20"/>
                <w:spacing w:val="-1"/>
                <w:sz w:val="18"/>
              </w:rPr>
              <w:t>150</w:t>
            </w:r>
            <w:r>
              <w:rPr>
                <w:rFonts w:ascii="Segoe UI"/>
                <w:color w:val="231F20"/>
                <w:spacing w:val="-4"/>
                <w:sz w:val="18"/>
              </w:rPr>
              <w:t> </w:t>
            </w:r>
            <w:r>
              <w:rPr>
                <w:rFonts w:ascii="Segoe UI"/>
                <w:color w:val="231F20"/>
                <w:spacing w:val="-1"/>
                <w:sz w:val="18"/>
              </w:rPr>
              <w:t>students)</w:t>
            </w:r>
            <w:r>
              <w:rPr>
                <w:rFonts w:ascii="Segoe UI"/>
                <w:color w:val="231F20"/>
                <w:spacing w:val="-3"/>
                <w:sz w:val="18"/>
              </w:rPr>
              <w:t> </w:t>
            </w:r>
            <w:r>
              <w:rPr>
                <w:rFonts w:ascii="Segoe UI"/>
                <w:color w:val="231F20"/>
                <w:sz w:val="18"/>
              </w:rPr>
              <w:t>x</w:t>
            </w:r>
            <w:r>
              <w:rPr>
                <w:rFonts w:ascii="Segoe UI"/>
                <w:color w:val="231F20"/>
                <w:spacing w:val="-3"/>
                <w:sz w:val="18"/>
              </w:rPr>
              <w:t> </w:t>
            </w:r>
            <w:r>
              <w:rPr>
                <w:rFonts w:ascii="Segoe UI"/>
                <w:color w:val="231F20"/>
                <w:spacing w:val="-1"/>
                <w:sz w:val="18"/>
              </w:rPr>
              <w:t>35%</w:t>
            </w:r>
            <w:r>
              <w:rPr>
                <w:rFonts w:ascii="Segoe UI"/>
                <w:color w:val="231F20"/>
                <w:spacing w:val="-5"/>
                <w:sz w:val="18"/>
              </w:rPr>
              <w:t> </w:t>
            </w:r>
            <w:r>
              <w:rPr>
                <w:rFonts w:ascii="Segoe UI"/>
                <w:color w:val="231F20"/>
                <w:sz w:val="18"/>
              </w:rPr>
              <w:t>(loading)</w:t>
            </w:r>
            <w:r>
              <w:rPr>
                <w:rFonts w:ascii="Segoe UI"/>
                <w:color w:val="231F20"/>
                <w:spacing w:val="-4"/>
                <w:sz w:val="18"/>
              </w:rPr>
              <w:t> </w:t>
            </w:r>
            <w:r>
              <w:rPr>
                <w:rFonts w:ascii="Segoe UI"/>
                <w:color w:val="231F20"/>
                <w:sz w:val="18"/>
              </w:rPr>
              <w:t>=</w:t>
            </w:r>
            <w:r>
              <w:rPr>
                <w:rFonts w:ascii="Segoe UI"/>
                <w:sz w:val="18"/>
              </w:rPr>
            </w:r>
          </w:p>
          <w:p>
            <w:pPr>
              <w:pStyle w:val="TableParagraph"/>
              <w:spacing w:line="240" w:lineRule="auto"/>
              <w:ind w:left="74" w:right="0"/>
              <w:jc w:val="left"/>
              <w:rPr>
                <w:rFonts w:ascii="Segoe UI" w:hAnsi="Segoe UI" w:cs="Segoe UI" w:eastAsia="Segoe UI"/>
                <w:sz w:val="18"/>
                <w:szCs w:val="18"/>
              </w:rPr>
            </w:pPr>
            <w:r>
              <w:rPr>
                <w:rFonts w:ascii="Segoe UI"/>
                <w:color w:val="231F20"/>
                <w:sz w:val="18"/>
              </w:rPr>
              <w:t>$671,921</w:t>
            </w:r>
            <w:r>
              <w:rPr>
                <w:rFonts w:ascii="Segoe UI"/>
                <w:sz w:val="18"/>
              </w:rPr>
            </w:r>
          </w:p>
        </w:tc>
        <w:tc>
          <w:tcPr>
            <w:tcW w:w="146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ind w:right="0"/>
              <w:jc w:val="left"/>
              <w:rPr>
                <w:rFonts w:ascii="Segoe UI" w:hAnsi="Segoe UI" w:cs="Segoe UI" w:eastAsia="Segoe UI"/>
                <w:sz w:val="18"/>
                <w:szCs w:val="18"/>
              </w:rPr>
            </w:pPr>
          </w:p>
          <w:p>
            <w:pPr>
              <w:pStyle w:val="TableParagraph"/>
              <w:spacing w:line="240" w:lineRule="auto"/>
              <w:ind w:right="0"/>
              <w:jc w:val="left"/>
              <w:rPr>
                <w:rFonts w:ascii="Segoe UI" w:hAnsi="Segoe UI" w:cs="Segoe UI" w:eastAsia="Segoe UI"/>
                <w:sz w:val="18"/>
                <w:szCs w:val="18"/>
              </w:rPr>
            </w:pPr>
          </w:p>
          <w:p>
            <w:pPr>
              <w:pStyle w:val="TableParagraph"/>
              <w:spacing w:line="240" w:lineRule="auto" w:before="2"/>
              <w:ind w:right="0"/>
              <w:jc w:val="left"/>
              <w:rPr>
                <w:rFonts w:ascii="Segoe UI" w:hAnsi="Segoe UI" w:cs="Segoe UI" w:eastAsia="Segoe UI"/>
                <w:sz w:val="16"/>
                <w:szCs w:val="16"/>
              </w:rPr>
            </w:pPr>
          </w:p>
          <w:p>
            <w:pPr>
              <w:pStyle w:val="TableParagraph"/>
              <w:spacing w:line="240" w:lineRule="auto"/>
              <w:ind w:left="74" w:right="0"/>
              <w:jc w:val="left"/>
              <w:rPr>
                <w:rFonts w:ascii="Segoe UI" w:hAnsi="Segoe UI" w:cs="Segoe UI" w:eastAsia="Segoe UI"/>
                <w:sz w:val="18"/>
                <w:szCs w:val="18"/>
              </w:rPr>
            </w:pPr>
            <w:r>
              <w:rPr>
                <w:rFonts w:ascii="Segoe UI"/>
                <w:color w:val="231F20"/>
                <w:sz w:val="18"/>
              </w:rPr>
              <w:t>$671,921</w:t>
            </w:r>
            <w:r>
              <w:rPr>
                <w:rFonts w:ascii="Segoe UI"/>
                <w:sz w:val="18"/>
              </w:rPr>
            </w:r>
          </w:p>
        </w:tc>
      </w:tr>
      <w:tr>
        <w:trPr>
          <w:trHeight w:val="3745" w:hRule="exact"/>
        </w:trPr>
        <w:tc>
          <w:tcPr>
            <w:tcW w:w="3335"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ind w:right="0"/>
              <w:jc w:val="left"/>
              <w:rPr>
                <w:rFonts w:ascii="Segoe UI" w:hAnsi="Segoe UI" w:cs="Segoe UI" w:eastAsia="Segoe UI"/>
                <w:sz w:val="18"/>
                <w:szCs w:val="18"/>
              </w:rPr>
            </w:pPr>
          </w:p>
          <w:p>
            <w:pPr>
              <w:pStyle w:val="TableParagraph"/>
              <w:spacing w:line="240" w:lineRule="auto"/>
              <w:ind w:right="0"/>
              <w:jc w:val="left"/>
              <w:rPr>
                <w:rFonts w:ascii="Segoe UI" w:hAnsi="Segoe UI" w:cs="Segoe UI" w:eastAsia="Segoe UI"/>
                <w:sz w:val="18"/>
                <w:szCs w:val="18"/>
              </w:rPr>
            </w:pPr>
          </w:p>
          <w:p>
            <w:pPr>
              <w:pStyle w:val="TableParagraph"/>
              <w:spacing w:line="240" w:lineRule="auto"/>
              <w:ind w:right="0"/>
              <w:jc w:val="left"/>
              <w:rPr>
                <w:rFonts w:ascii="Segoe UI" w:hAnsi="Segoe UI" w:cs="Segoe UI" w:eastAsia="Segoe UI"/>
                <w:sz w:val="18"/>
                <w:szCs w:val="18"/>
              </w:rPr>
            </w:pPr>
          </w:p>
          <w:p>
            <w:pPr>
              <w:pStyle w:val="TableParagraph"/>
              <w:spacing w:line="240" w:lineRule="auto"/>
              <w:ind w:right="0"/>
              <w:jc w:val="left"/>
              <w:rPr>
                <w:rFonts w:ascii="Segoe UI" w:hAnsi="Segoe UI" w:cs="Segoe UI" w:eastAsia="Segoe UI"/>
                <w:sz w:val="18"/>
                <w:szCs w:val="18"/>
              </w:rPr>
            </w:pPr>
          </w:p>
          <w:p>
            <w:pPr>
              <w:pStyle w:val="TableParagraph"/>
              <w:spacing w:line="240" w:lineRule="auto"/>
              <w:ind w:right="0"/>
              <w:jc w:val="left"/>
              <w:rPr>
                <w:rFonts w:ascii="Segoe UI" w:hAnsi="Segoe UI" w:cs="Segoe UI" w:eastAsia="Segoe UI"/>
                <w:sz w:val="18"/>
                <w:szCs w:val="18"/>
              </w:rPr>
            </w:pPr>
          </w:p>
          <w:p>
            <w:pPr>
              <w:pStyle w:val="TableParagraph"/>
              <w:spacing w:line="240" w:lineRule="auto"/>
              <w:ind w:right="0"/>
              <w:jc w:val="left"/>
              <w:rPr>
                <w:rFonts w:ascii="Segoe UI" w:hAnsi="Segoe UI" w:cs="Segoe UI" w:eastAsia="Segoe UI"/>
                <w:sz w:val="18"/>
                <w:szCs w:val="18"/>
              </w:rPr>
            </w:pPr>
          </w:p>
          <w:p>
            <w:pPr>
              <w:pStyle w:val="TableParagraph"/>
              <w:spacing w:line="240" w:lineRule="auto" w:before="4"/>
              <w:ind w:right="0"/>
              <w:jc w:val="left"/>
              <w:rPr>
                <w:rFonts w:ascii="Segoe UI" w:hAnsi="Segoe UI" w:cs="Segoe UI" w:eastAsia="Segoe UI"/>
                <w:sz w:val="13"/>
                <w:szCs w:val="13"/>
              </w:rPr>
            </w:pPr>
          </w:p>
          <w:p>
            <w:pPr>
              <w:pStyle w:val="TableParagraph"/>
              <w:spacing w:line="250" w:lineRule="auto"/>
              <w:ind w:left="74" w:right="574"/>
              <w:jc w:val="left"/>
              <w:rPr>
                <w:rFonts w:ascii="Segoe UI" w:hAnsi="Segoe UI" w:cs="Segoe UI" w:eastAsia="Segoe UI"/>
                <w:sz w:val="18"/>
                <w:szCs w:val="18"/>
              </w:rPr>
            </w:pPr>
            <w:r>
              <w:rPr>
                <w:rFonts w:ascii="Segoe UI"/>
                <w:b/>
                <w:color w:val="231F20"/>
                <w:sz w:val="18"/>
              </w:rPr>
              <w:t>Socio</w:t>
            </w:r>
            <w:r>
              <w:rPr>
                <w:rFonts w:ascii="Segoe UI"/>
                <w:b/>
                <w:color w:val="231F20"/>
                <w:spacing w:val="-1"/>
                <w:sz w:val="18"/>
              </w:rPr>
              <w:t> </w:t>
            </w:r>
            <w:r>
              <w:rPr>
                <w:rFonts w:ascii="Segoe UI"/>
                <w:b/>
                <w:color w:val="231F20"/>
                <w:sz w:val="18"/>
              </w:rPr>
              <w:t>educational</w:t>
            </w:r>
            <w:r>
              <w:rPr>
                <w:rFonts w:ascii="Segoe UI"/>
                <w:b/>
                <w:color w:val="231F20"/>
                <w:spacing w:val="-1"/>
                <w:sz w:val="18"/>
              </w:rPr>
              <w:t> </w:t>
            </w:r>
            <w:r>
              <w:rPr>
                <w:rFonts w:ascii="Segoe UI"/>
                <w:b/>
                <w:color w:val="231F20"/>
                <w:spacing w:val="-2"/>
                <w:sz w:val="18"/>
              </w:rPr>
              <w:t>disadvantage</w:t>
            </w:r>
            <w:r>
              <w:rPr>
                <w:rFonts w:ascii="Segoe UI"/>
                <w:b/>
                <w:color w:val="231F20"/>
                <w:spacing w:val="20"/>
                <w:sz w:val="18"/>
              </w:rPr>
              <w:t> </w:t>
            </w:r>
            <w:r>
              <w:rPr>
                <w:rFonts w:ascii="Segoe UI"/>
                <w:b/>
                <w:color w:val="231F20"/>
                <w:spacing w:val="-1"/>
                <w:sz w:val="18"/>
              </w:rPr>
              <w:t>loading</w:t>
            </w:r>
            <w:r>
              <w:rPr>
                <w:rFonts w:ascii="Segoe UI"/>
                <w:sz w:val="18"/>
              </w:rPr>
            </w:r>
          </w:p>
        </w:tc>
        <w:tc>
          <w:tcPr>
            <w:tcW w:w="3969" w:type="dxa"/>
            <w:tcBorders>
              <w:top w:val="single" w:sz="4" w:space="0" w:color="231F20"/>
              <w:left w:val="single" w:sz="4" w:space="0" w:color="231F20"/>
              <w:bottom w:val="single" w:sz="4" w:space="0" w:color="231F20"/>
              <w:right w:val="single" w:sz="4" w:space="0" w:color="231F20"/>
            </w:tcBorders>
          </w:tcPr>
          <w:p>
            <w:pPr>
              <w:pStyle w:val="TableParagraph"/>
              <w:spacing w:line="250" w:lineRule="auto" w:before="12"/>
              <w:ind w:left="74" w:right="72"/>
              <w:jc w:val="both"/>
              <w:rPr>
                <w:rFonts w:ascii="Segoe UI" w:hAnsi="Segoe UI" w:cs="Segoe UI" w:eastAsia="Segoe UI"/>
                <w:sz w:val="18"/>
                <w:szCs w:val="18"/>
              </w:rPr>
            </w:pPr>
            <w:r>
              <w:rPr>
                <w:rFonts w:ascii="Segoe UI"/>
                <w:color w:val="231F20"/>
                <w:spacing w:val="-1"/>
                <w:sz w:val="18"/>
              </w:rPr>
              <w:t>35</w:t>
            </w:r>
            <w:r>
              <w:rPr>
                <w:rFonts w:ascii="Segoe UI"/>
                <w:color w:val="231F20"/>
                <w:spacing w:val="-4"/>
                <w:sz w:val="18"/>
              </w:rPr>
              <w:t> </w:t>
            </w:r>
            <w:r>
              <w:rPr>
                <w:rFonts w:ascii="Segoe UI"/>
                <w:color w:val="231F20"/>
                <w:sz w:val="18"/>
              </w:rPr>
              <w:t>per</w:t>
            </w:r>
            <w:r>
              <w:rPr>
                <w:rFonts w:ascii="Segoe UI"/>
                <w:color w:val="231F20"/>
                <w:spacing w:val="-3"/>
                <w:sz w:val="18"/>
              </w:rPr>
              <w:t> </w:t>
            </w:r>
            <w:r>
              <w:rPr>
                <w:rFonts w:ascii="Segoe UI"/>
                <w:color w:val="231F20"/>
                <w:sz w:val="18"/>
              </w:rPr>
              <w:t>cent</w:t>
            </w:r>
            <w:r>
              <w:rPr>
                <w:rFonts w:ascii="Segoe UI"/>
                <w:color w:val="231F20"/>
                <w:spacing w:val="-3"/>
                <w:sz w:val="18"/>
              </w:rPr>
              <w:t> </w:t>
            </w:r>
            <w:r>
              <w:rPr>
                <w:rFonts w:ascii="Segoe UI"/>
                <w:color w:val="231F20"/>
                <w:sz w:val="18"/>
              </w:rPr>
              <w:t>of</w:t>
            </w:r>
            <w:r>
              <w:rPr>
                <w:rFonts w:ascii="Segoe UI"/>
                <w:color w:val="231F20"/>
                <w:spacing w:val="-4"/>
                <w:sz w:val="18"/>
              </w:rPr>
              <w:t> </w:t>
            </w:r>
            <w:r>
              <w:rPr>
                <w:rFonts w:ascii="Segoe UI"/>
                <w:color w:val="231F20"/>
                <w:spacing w:val="-1"/>
                <w:sz w:val="18"/>
              </w:rPr>
              <w:t>students</w:t>
            </w:r>
            <w:r>
              <w:rPr>
                <w:rFonts w:ascii="Segoe UI"/>
                <w:color w:val="231F20"/>
                <w:spacing w:val="-2"/>
                <w:sz w:val="18"/>
              </w:rPr>
              <w:t> </w:t>
            </w:r>
            <w:r>
              <w:rPr>
                <w:rFonts w:ascii="Segoe UI"/>
                <w:color w:val="231F20"/>
                <w:sz w:val="18"/>
              </w:rPr>
              <w:t>(350</w:t>
            </w:r>
            <w:r>
              <w:rPr>
                <w:rFonts w:ascii="Segoe UI"/>
                <w:color w:val="231F20"/>
                <w:spacing w:val="-4"/>
                <w:sz w:val="18"/>
              </w:rPr>
              <w:t> </w:t>
            </w:r>
            <w:r>
              <w:rPr>
                <w:rFonts w:ascii="Segoe UI"/>
                <w:color w:val="231F20"/>
                <w:spacing w:val="-1"/>
                <w:sz w:val="18"/>
              </w:rPr>
              <w:t>students)</w:t>
            </w:r>
            <w:r>
              <w:rPr>
                <w:rFonts w:ascii="Segoe UI"/>
                <w:color w:val="231F20"/>
                <w:spacing w:val="-2"/>
                <w:sz w:val="18"/>
              </w:rPr>
              <w:t> </w:t>
            </w:r>
            <w:r>
              <w:rPr>
                <w:rFonts w:ascii="Segoe UI"/>
                <w:color w:val="231F20"/>
                <w:sz w:val="18"/>
              </w:rPr>
              <w:t>are</w:t>
            </w:r>
            <w:r>
              <w:rPr>
                <w:rFonts w:ascii="Segoe UI"/>
                <w:color w:val="231F20"/>
                <w:spacing w:val="-3"/>
                <w:sz w:val="18"/>
              </w:rPr>
              <w:t> </w:t>
            </w:r>
            <w:r>
              <w:rPr>
                <w:rFonts w:ascii="Segoe UI"/>
                <w:color w:val="231F20"/>
                <w:spacing w:val="-1"/>
                <w:sz w:val="18"/>
              </w:rPr>
              <w:t>in</w:t>
            </w:r>
            <w:r>
              <w:rPr>
                <w:rFonts w:ascii="Segoe UI"/>
                <w:color w:val="231F20"/>
                <w:spacing w:val="-4"/>
                <w:sz w:val="18"/>
              </w:rPr>
              <w:t> </w:t>
            </w:r>
            <w:r>
              <w:rPr>
                <w:rFonts w:ascii="Segoe UI"/>
                <w:color w:val="231F20"/>
                <w:sz w:val="18"/>
              </w:rPr>
              <w:t>the</w:t>
            </w:r>
            <w:r>
              <w:rPr>
                <w:rFonts w:ascii="Segoe UI"/>
                <w:color w:val="231F20"/>
                <w:spacing w:val="25"/>
                <w:w w:val="99"/>
                <w:sz w:val="18"/>
              </w:rPr>
              <w:t> </w:t>
            </w:r>
            <w:r>
              <w:rPr>
                <w:rFonts w:ascii="Segoe UI"/>
                <w:color w:val="231F20"/>
                <w:sz w:val="18"/>
              </w:rPr>
              <w:t>first SEA quartile, which provides a 31.3 per cent</w:t>
            </w:r>
            <w:r>
              <w:rPr>
                <w:rFonts w:ascii="Segoe UI"/>
                <w:color w:val="231F20"/>
                <w:sz w:val="18"/>
              </w:rPr>
              <w:t> </w:t>
            </w:r>
            <w:r>
              <w:rPr>
                <w:rFonts w:ascii="Segoe UI"/>
                <w:color w:val="231F20"/>
                <w:spacing w:val="-1"/>
                <w:sz w:val="18"/>
              </w:rPr>
              <w:t>loading</w:t>
            </w:r>
            <w:r>
              <w:rPr>
                <w:rFonts w:ascii="Segoe UI"/>
                <w:color w:val="231F20"/>
                <w:spacing w:val="-8"/>
                <w:sz w:val="18"/>
              </w:rPr>
              <w:t> </w:t>
            </w:r>
            <w:r>
              <w:rPr>
                <w:rFonts w:ascii="Segoe UI"/>
                <w:color w:val="231F20"/>
                <w:sz w:val="18"/>
              </w:rPr>
              <w:t>per</w:t>
            </w:r>
            <w:r>
              <w:rPr>
                <w:rFonts w:ascii="Segoe UI"/>
                <w:color w:val="231F20"/>
                <w:spacing w:val="-8"/>
                <w:sz w:val="18"/>
              </w:rPr>
              <w:t> </w:t>
            </w:r>
            <w:r>
              <w:rPr>
                <w:rFonts w:ascii="Segoe UI"/>
                <w:color w:val="231F20"/>
                <w:spacing w:val="-1"/>
                <w:sz w:val="18"/>
              </w:rPr>
              <w:t>student.</w:t>
            </w:r>
            <w:r>
              <w:rPr>
                <w:rFonts w:ascii="Segoe UI"/>
                <w:sz w:val="18"/>
              </w:rPr>
            </w:r>
          </w:p>
          <w:p>
            <w:pPr>
              <w:pStyle w:val="TableParagraph"/>
              <w:spacing w:line="250" w:lineRule="auto" w:before="113"/>
              <w:ind w:left="74" w:right="280"/>
              <w:jc w:val="left"/>
              <w:rPr>
                <w:rFonts w:ascii="Segoe UI" w:hAnsi="Segoe UI" w:cs="Segoe UI" w:eastAsia="Segoe UI"/>
                <w:sz w:val="18"/>
                <w:szCs w:val="18"/>
              </w:rPr>
            </w:pPr>
            <w:r>
              <w:rPr>
                <w:rFonts w:ascii="Segoe UI"/>
                <w:color w:val="231F20"/>
                <w:spacing w:val="-1"/>
                <w:sz w:val="18"/>
              </w:rPr>
              <w:t>$12,798,500</w:t>
            </w:r>
            <w:r>
              <w:rPr>
                <w:rFonts w:ascii="Segoe UI"/>
                <w:color w:val="231F20"/>
                <w:spacing w:val="-4"/>
                <w:sz w:val="18"/>
              </w:rPr>
              <w:t> </w:t>
            </w:r>
            <w:r>
              <w:rPr>
                <w:rFonts w:ascii="Segoe UI"/>
                <w:color w:val="231F20"/>
                <w:sz w:val="18"/>
              </w:rPr>
              <w:t>(total</w:t>
            </w:r>
            <w:r>
              <w:rPr>
                <w:rFonts w:ascii="Segoe UI"/>
                <w:color w:val="231F20"/>
                <w:spacing w:val="-4"/>
                <w:sz w:val="18"/>
              </w:rPr>
              <w:t> </w:t>
            </w:r>
            <w:r>
              <w:rPr>
                <w:rFonts w:ascii="Segoe UI"/>
                <w:color w:val="231F20"/>
                <w:sz w:val="18"/>
              </w:rPr>
              <w:t>base</w:t>
            </w:r>
            <w:r>
              <w:rPr>
                <w:rFonts w:ascii="Segoe UI"/>
                <w:color w:val="231F20"/>
                <w:spacing w:val="-4"/>
                <w:sz w:val="18"/>
              </w:rPr>
              <w:t> </w:t>
            </w:r>
            <w:r>
              <w:rPr>
                <w:rFonts w:ascii="Segoe UI"/>
                <w:color w:val="231F20"/>
                <w:sz w:val="18"/>
              </w:rPr>
              <w:t>funding)</w:t>
            </w:r>
            <w:r>
              <w:rPr>
                <w:rFonts w:ascii="Segoe UI"/>
                <w:color w:val="231F20"/>
                <w:spacing w:val="-4"/>
                <w:sz w:val="18"/>
              </w:rPr>
              <w:t> </w:t>
            </w:r>
            <w:r>
              <w:rPr>
                <w:rFonts w:ascii="Segoe UI"/>
                <w:color w:val="231F20"/>
                <w:sz w:val="18"/>
              </w:rPr>
              <w:t>x</w:t>
            </w:r>
            <w:r>
              <w:rPr>
                <w:rFonts w:ascii="Segoe UI"/>
                <w:color w:val="231F20"/>
                <w:spacing w:val="-3"/>
                <w:sz w:val="18"/>
              </w:rPr>
              <w:t> </w:t>
            </w:r>
            <w:r>
              <w:rPr>
                <w:rFonts w:ascii="Segoe UI"/>
                <w:color w:val="231F20"/>
                <w:spacing w:val="-1"/>
                <w:sz w:val="18"/>
              </w:rPr>
              <w:t>35%</w:t>
            </w:r>
            <w:r>
              <w:rPr>
                <w:rFonts w:ascii="Segoe UI"/>
                <w:color w:val="231F20"/>
                <w:spacing w:val="-4"/>
                <w:sz w:val="18"/>
              </w:rPr>
              <w:t> </w:t>
            </w:r>
            <w:r>
              <w:rPr>
                <w:rFonts w:ascii="Segoe UI"/>
                <w:color w:val="231F20"/>
                <w:sz w:val="18"/>
              </w:rPr>
              <w:t>(base</w:t>
            </w:r>
            <w:r>
              <w:rPr>
                <w:rFonts w:ascii="Segoe UI"/>
                <w:color w:val="231F20"/>
                <w:spacing w:val="23"/>
                <w:w w:val="99"/>
                <w:sz w:val="18"/>
              </w:rPr>
              <w:t> </w:t>
            </w:r>
            <w:r>
              <w:rPr>
                <w:rFonts w:ascii="Segoe UI"/>
                <w:color w:val="231F20"/>
                <w:sz w:val="18"/>
              </w:rPr>
              <w:t>funding</w:t>
            </w:r>
            <w:r>
              <w:rPr>
                <w:rFonts w:ascii="Segoe UI"/>
                <w:color w:val="231F20"/>
                <w:spacing w:val="-4"/>
                <w:sz w:val="18"/>
              </w:rPr>
              <w:t> </w:t>
            </w:r>
            <w:r>
              <w:rPr>
                <w:rFonts w:ascii="Segoe UI"/>
                <w:color w:val="231F20"/>
                <w:sz w:val="18"/>
              </w:rPr>
              <w:t>for</w:t>
            </w:r>
            <w:r>
              <w:rPr>
                <w:rFonts w:ascii="Segoe UI"/>
                <w:color w:val="231F20"/>
                <w:spacing w:val="-3"/>
                <w:sz w:val="18"/>
              </w:rPr>
              <w:t> </w:t>
            </w:r>
            <w:r>
              <w:rPr>
                <w:rFonts w:ascii="Segoe UI"/>
                <w:color w:val="231F20"/>
                <w:spacing w:val="-1"/>
                <w:sz w:val="18"/>
              </w:rPr>
              <w:t>350</w:t>
            </w:r>
            <w:r>
              <w:rPr>
                <w:rFonts w:ascii="Segoe UI"/>
                <w:color w:val="231F20"/>
                <w:spacing w:val="-4"/>
                <w:sz w:val="18"/>
              </w:rPr>
              <w:t> </w:t>
            </w:r>
            <w:r>
              <w:rPr>
                <w:rFonts w:ascii="Segoe UI"/>
                <w:color w:val="231F20"/>
                <w:spacing w:val="-1"/>
                <w:sz w:val="18"/>
              </w:rPr>
              <w:t>students)</w:t>
            </w:r>
            <w:r>
              <w:rPr>
                <w:rFonts w:ascii="Segoe UI"/>
                <w:color w:val="231F20"/>
                <w:spacing w:val="-3"/>
                <w:sz w:val="18"/>
              </w:rPr>
              <w:t> </w:t>
            </w:r>
            <w:r>
              <w:rPr>
                <w:rFonts w:ascii="Segoe UI"/>
                <w:color w:val="231F20"/>
                <w:sz w:val="18"/>
              </w:rPr>
              <w:t>x</w:t>
            </w:r>
            <w:r>
              <w:rPr>
                <w:rFonts w:ascii="Segoe UI"/>
                <w:color w:val="231F20"/>
                <w:spacing w:val="-3"/>
                <w:sz w:val="18"/>
              </w:rPr>
              <w:t> </w:t>
            </w:r>
            <w:r>
              <w:rPr>
                <w:rFonts w:ascii="Segoe UI"/>
                <w:color w:val="231F20"/>
                <w:spacing w:val="-1"/>
                <w:sz w:val="18"/>
              </w:rPr>
              <w:t>31.3%</w:t>
            </w:r>
            <w:r>
              <w:rPr>
                <w:rFonts w:ascii="Segoe UI"/>
                <w:color w:val="231F20"/>
                <w:spacing w:val="-4"/>
                <w:sz w:val="18"/>
              </w:rPr>
              <w:t> </w:t>
            </w:r>
            <w:r>
              <w:rPr>
                <w:rFonts w:ascii="Segoe UI"/>
                <w:color w:val="231F20"/>
                <w:sz w:val="18"/>
              </w:rPr>
              <w:t>(loading)</w:t>
            </w:r>
            <w:r>
              <w:rPr>
                <w:rFonts w:ascii="Segoe UI"/>
                <w:color w:val="231F20"/>
                <w:spacing w:val="-4"/>
                <w:sz w:val="18"/>
              </w:rPr>
              <w:t> </w:t>
            </w:r>
            <w:r>
              <w:rPr>
                <w:rFonts w:ascii="Segoe UI"/>
                <w:color w:val="231F20"/>
                <w:sz w:val="18"/>
              </w:rPr>
              <w:t>=</w:t>
            </w:r>
            <w:r>
              <w:rPr>
                <w:rFonts w:ascii="Segoe UI"/>
                <w:sz w:val="18"/>
              </w:rPr>
            </w:r>
          </w:p>
          <w:p>
            <w:pPr>
              <w:pStyle w:val="TableParagraph"/>
              <w:spacing w:line="240" w:lineRule="auto"/>
              <w:ind w:left="74" w:right="0"/>
              <w:jc w:val="left"/>
              <w:rPr>
                <w:rFonts w:ascii="Segoe UI" w:hAnsi="Segoe UI" w:cs="Segoe UI" w:eastAsia="Segoe UI"/>
                <w:sz w:val="18"/>
                <w:szCs w:val="18"/>
              </w:rPr>
            </w:pPr>
            <w:r>
              <w:rPr>
                <w:rFonts w:ascii="Segoe UI"/>
                <w:color w:val="231F20"/>
                <w:sz w:val="18"/>
              </w:rPr>
              <w:t>$1,402,076.</w:t>
            </w:r>
            <w:r>
              <w:rPr>
                <w:rFonts w:ascii="Segoe UI"/>
                <w:sz w:val="18"/>
              </w:rPr>
            </w:r>
          </w:p>
          <w:p>
            <w:pPr>
              <w:pStyle w:val="TableParagraph"/>
              <w:spacing w:line="250" w:lineRule="auto" w:before="124"/>
              <w:ind w:left="74" w:right="72"/>
              <w:jc w:val="left"/>
              <w:rPr>
                <w:rFonts w:ascii="Segoe UI" w:hAnsi="Segoe UI" w:cs="Segoe UI" w:eastAsia="Segoe UI"/>
                <w:sz w:val="18"/>
                <w:szCs w:val="18"/>
              </w:rPr>
            </w:pPr>
            <w:r>
              <w:rPr>
                <w:rFonts w:ascii="Segoe UI"/>
                <w:color w:val="231F20"/>
                <w:spacing w:val="-1"/>
                <w:sz w:val="18"/>
              </w:rPr>
              <w:t>25</w:t>
            </w:r>
            <w:r>
              <w:rPr>
                <w:rFonts w:ascii="Segoe UI"/>
                <w:color w:val="231F20"/>
                <w:spacing w:val="-4"/>
                <w:sz w:val="18"/>
              </w:rPr>
              <w:t> </w:t>
            </w:r>
            <w:r>
              <w:rPr>
                <w:rFonts w:ascii="Segoe UI"/>
                <w:color w:val="231F20"/>
                <w:sz w:val="18"/>
              </w:rPr>
              <w:t>per</w:t>
            </w:r>
            <w:r>
              <w:rPr>
                <w:rFonts w:ascii="Segoe UI"/>
                <w:color w:val="231F20"/>
                <w:spacing w:val="-4"/>
                <w:sz w:val="18"/>
              </w:rPr>
              <w:t> </w:t>
            </w:r>
            <w:r>
              <w:rPr>
                <w:rFonts w:ascii="Segoe UI"/>
                <w:color w:val="231F20"/>
                <w:sz w:val="18"/>
              </w:rPr>
              <w:t>cent</w:t>
            </w:r>
            <w:r>
              <w:rPr>
                <w:rFonts w:ascii="Segoe UI"/>
                <w:color w:val="231F20"/>
                <w:spacing w:val="-3"/>
                <w:sz w:val="18"/>
              </w:rPr>
              <w:t> </w:t>
            </w:r>
            <w:r>
              <w:rPr>
                <w:rFonts w:ascii="Segoe UI"/>
                <w:color w:val="231F20"/>
                <w:sz w:val="18"/>
              </w:rPr>
              <w:t>of</w:t>
            </w:r>
            <w:r>
              <w:rPr>
                <w:rFonts w:ascii="Segoe UI"/>
                <w:color w:val="231F20"/>
                <w:spacing w:val="-4"/>
                <w:sz w:val="18"/>
              </w:rPr>
              <w:t> </w:t>
            </w:r>
            <w:r>
              <w:rPr>
                <w:rFonts w:ascii="Segoe UI"/>
                <w:color w:val="231F20"/>
                <w:spacing w:val="-1"/>
                <w:sz w:val="18"/>
              </w:rPr>
              <w:t>students</w:t>
            </w:r>
            <w:r>
              <w:rPr>
                <w:rFonts w:ascii="Segoe UI"/>
                <w:color w:val="231F20"/>
                <w:spacing w:val="-3"/>
                <w:sz w:val="18"/>
              </w:rPr>
              <w:t> </w:t>
            </w:r>
            <w:r>
              <w:rPr>
                <w:rFonts w:ascii="Segoe UI"/>
                <w:color w:val="231F20"/>
                <w:sz w:val="18"/>
              </w:rPr>
              <w:t>(250</w:t>
            </w:r>
            <w:r>
              <w:rPr>
                <w:rFonts w:ascii="Segoe UI"/>
                <w:color w:val="231F20"/>
                <w:spacing w:val="-3"/>
                <w:sz w:val="18"/>
              </w:rPr>
              <w:t> </w:t>
            </w:r>
            <w:r>
              <w:rPr>
                <w:rFonts w:ascii="Segoe UI"/>
                <w:color w:val="231F20"/>
                <w:spacing w:val="-1"/>
                <w:sz w:val="18"/>
              </w:rPr>
              <w:t>students)</w:t>
            </w:r>
            <w:r>
              <w:rPr>
                <w:rFonts w:ascii="Segoe UI"/>
                <w:color w:val="231F20"/>
                <w:spacing w:val="-3"/>
                <w:sz w:val="18"/>
              </w:rPr>
              <w:t> </w:t>
            </w:r>
            <w:r>
              <w:rPr>
                <w:rFonts w:ascii="Segoe UI"/>
                <w:color w:val="231F20"/>
                <w:sz w:val="18"/>
              </w:rPr>
              <w:t>are</w:t>
            </w:r>
            <w:r>
              <w:rPr>
                <w:rFonts w:ascii="Segoe UI"/>
                <w:color w:val="231F20"/>
                <w:spacing w:val="-3"/>
                <w:sz w:val="18"/>
              </w:rPr>
              <w:t> </w:t>
            </w:r>
            <w:r>
              <w:rPr>
                <w:rFonts w:ascii="Segoe UI"/>
                <w:color w:val="231F20"/>
                <w:spacing w:val="-1"/>
                <w:sz w:val="18"/>
              </w:rPr>
              <w:t>in</w:t>
            </w:r>
            <w:r>
              <w:rPr>
                <w:rFonts w:ascii="Segoe UI"/>
                <w:color w:val="231F20"/>
                <w:spacing w:val="-4"/>
                <w:sz w:val="18"/>
              </w:rPr>
              <w:t> </w:t>
            </w:r>
            <w:r>
              <w:rPr>
                <w:rFonts w:ascii="Segoe UI"/>
                <w:color w:val="231F20"/>
                <w:sz w:val="18"/>
              </w:rPr>
              <w:t>the</w:t>
            </w:r>
            <w:r>
              <w:rPr>
                <w:rFonts w:ascii="Segoe UI"/>
                <w:color w:val="231F20"/>
                <w:spacing w:val="25"/>
                <w:w w:val="99"/>
                <w:sz w:val="18"/>
              </w:rPr>
              <w:t> </w:t>
            </w:r>
            <w:r>
              <w:rPr>
                <w:rFonts w:ascii="Segoe UI"/>
                <w:color w:val="231F20"/>
                <w:spacing w:val="-1"/>
                <w:sz w:val="18"/>
              </w:rPr>
              <w:t>second</w:t>
            </w:r>
            <w:r>
              <w:rPr>
                <w:rFonts w:ascii="Segoe UI"/>
                <w:color w:val="231F20"/>
                <w:spacing w:val="-5"/>
                <w:sz w:val="18"/>
              </w:rPr>
              <w:t> </w:t>
            </w:r>
            <w:r>
              <w:rPr>
                <w:rFonts w:ascii="Segoe UI"/>
                <w:color w:val="231F20"/>
                <w:spacing w:val="-1"/>
                <w:sz w:val="18"/>
              </w:rPr>
              <w:t>SEA</w:t>
            </w:r>
            <w:r>
              <w:rPr>
                <w:rFonts w:ascii="Segoe UI"/>
                <w:color w:val="231F20"/>
                <w:spacing w:val="-4"/>
                <w:sz w:val="18"/>
              </w:rPr>
              <w:t> </w:t>
            </w:r>
            <w:r>
              <w:rPr>
                <w:rFonts w:ascii="Segoe UI"/>
                <w:color w:val="231F20"/>
                <w:sz w:val="18"/>
              </w:rPr>
              <w:t>quartile,</w:t>
            </w:r>
            <w:r>
              <w:rPr>
                <w:rFonts w:ascii="Segoe UI"/>
                <w:color w:val="231F20"/>
                <w:spacing w:val="-6"/>
                <w:sz w:val="18"/>
              </w:rPr>
              <w:t> </w:t>
            </w:r>
            <w:r>
              <w:rPr>
                <w:rFonts w:ascii="Segoe UI"/>
                <w:color w:val="231F20"/>
                <w:sz w:val="18"/>
              </w:rPr>
              <w:t>which</w:t>
            </w:r>
            <w:r>
              <w:rPr>
                <w:rFonts w:ascii="Segoe UI"/>
                <w:color w:val="231F20"/>
                <w:spacing w:val="-5"/>
                <w:sz w:val="18"/>
              </w:rPr>
              <w:t> </w:t>
            </w:r>
            <w:r>
              <w:rPr>
                <w:rFonts w:ascii="Segoe UI"/>
                <w:color w:val="231F20"/>
                <w:sz w:val="18"/>
              </w:rPr>
              <w:t>provides</w:t>
            </w:r>
            <w:r>
              <w:rPr>
                <w:rFonts w:ascii="Segoe UI"/>
                <w:color w:val="231F20"/>
                <w:spacing w:val="-5"/>
                <w:sz w:val="18"/>
              </w:rPr>
              <w:t> </w:t>
            </w:r>
            <w:r>
              <w:rPr>
                <w:rFonts w:ascii="Segoe UI"/>
                <w:color w:val="231F20"/>
                <w:sz w:val="18"/>
              </w:rPr>
              <w:t>a</w:t>
            </w:r>
            <w:r>
              <w:rPr>
                <w:rFonts w:ascii="Segoe UI"/>
                <w:color w:val="231F20"/>
                <w:spacing w:val="-4"/>
                <w:sz w:val="18"/>
              </w:rPr>
              <w:t> </w:t>
            </w:r>
            <w:r>
              <w:rPr>
                <w:rFonts w:ascii="Segoe UI"/>
                <w:color w:val="231F20"/>
                <w:spacing w:val="-1"/>
                <w:sz w:val="18"/>
              </w:rPr>
              <w:t>17.5</w:t>
            </w:r>
            <w:r>
              <w:rPr>
                <w:rFonts w:ascii="Segoe UI"/>
                <w:color w:val="231F20"/>
                <w:spacing w:val="-5"/>
                <w:sz w:val="18"/>
              </w:rPr>
              <w:t> </w:t>
            </w:r>
            <w:r>
              <w:rPr>
                <w:rFonts w:ascii="Segoe UI"/>
                <w:color w:val="231F20"/>
                <w:sz w:val="18"/>
              </w:rPr>
              <w:t>per</w:t>
            </w:r>
            <w:r>
              <w:rPr>
                <w:rFonts w:ascii="Segoe UI"/>
                <w:color w:val="231F20"/>
                <w:spacing w:val="24"/>
                <w:w w:val="99"/>
                <w:sz w:val="18"/>
              </w:rPr>
              <w:t> </w:t>
            </w:r>
            <w:r>
              <w:rPr>
                <w:rFonts w:ascii="Segoe UI"/>
                <w:color w:val="231F20"/>
                <w:sz w:val="18"/>
              </w:rPr>
              <w:t>cent</w:t>
            </w:r>
            <w:r>
              <w:rPr>
                <w:rFonts w:ascii="Segoe UI"/>
                <w:color w:val="231F20"/>
                <w:spacing w:val="-8"/>
                <w:sz w:val="18"/>
              </w:rPr>
              <w:t> </w:t>
            </w:r>
            <w:r>
              <w:rPr>
                <w:rFonts w:ascii="Segoe UI"/>
                <w:color w:val="231F20"/>
                <w:spacing w:val="-1"/>
                <w:sz w:val="18"/>
              </w:rPr>
              <w:t>loading</w:t>
            </w:r>
            <w:r>
              <w:rPr>
                <w:rFonts w:ascii="Segoe UI"/>
                <w:color w:val="231F20"/>
                <w:spacing w:val="-6"/>
                <w:sz w:val="18"/>
              </w:rPr>
              <w:t> </w:t>
            </w:r>
            <w:r>
              <w:rPr>
                <w:rFonts w:ascii="Segoe UI"/>
                <w:color w:val="231F20"/>
                <w:sz w:val="18"/>
              </w:rPr>
              <w:t>per</w:t>
            </w:r>
            <w:r>
              <w:rPr>
                <w:rFonts w:ascii="Segoe UI"/>
                <w:color w:val="231F20"/>
                <w:spacing w:val="-6"/>
                <w:sz w:val="18"/>
              </w:rPr>
              <w:t> </w:t>
            </w:r>
            <w:r>
              <w:rPr>
                <w:rFonts w:ascii="Segoe UI"/>
                <w:color w:val="231F20"/>
                <w:spacing w:val="-1"/>
                <w:sz w:val="18"/>
              </w:rPr>
              <w:t>student.</w:t>
            </w:r>
            <w:r>
              <w:rPr>
                <w:rFonts w:ascii="Segoe UI"/>
                <w:sz w:val="18"/>
              </w:rPr>
            </w:r>
          </w:p>
          <w:p>
            <w:pPr>
              <w:pStyle w:val="TableParagraph"/>
              <w:spacing w:line="250" w:lineRule="auto" w:before="113"/>
              <w:ind w:left="74" w:right="280"/>
              <w:jc w:val="left"/>
              <w:rPr>
                <w:rFonts w:ascii="Segoe UI" w:hAnsi="Segoe UI" w:cs="Segoe UI" w:eastAsia="Segoe UI"/>
                <w:sz w:val="18"/>
                <w:szCs w:val="18"/>
              </w:rPr>
            </w:pPr>
            <w:r>
              <w:rPr>
                <w:rFonts w:ascii="Segoe UI"/>
                <w:color w:val="231F20"/>
                <w:spacing w:val="-1"/>
                <w:sz w:val="18"/>
              </w:rPr>
              <w:t>$12,798,500</w:t>
            </w:r>
            <w:r>
              <w:rPr>
                <w:rFonts w:ascii="Segoe UI"/>
                <w:color w:val="231F20"/>
                <w:spacing w:val="-4"/>
                <w:sz w:val="18"/>
              </w:rPr>
              <w:t> </w:t>
            </w:r>
            <w:r>
              <w:rPr>
                <w:rFonts w:ascii="Segoe UI"/>
                <w:color w:val="231F20"/>
                <w:sz w:val="18"/>
              </w:rPr>
              <w:t>(total</w:t>
            </w:r>
            <w:r>
              <w:rPr>
                <w:rFonts w:ascii="Segoe UI"/>
                <w:color w:val="231F20"/>
                <w:spacing w:val="-4"/>
                <w:sz w:val="18"/>
              </w:rPr>
              <w:t> </w:t>
            </w:r>
            <w:r>
              <w:rPr>
                <w:rFonts w:ascii="Segoe UI"/>
                <w:color w:val="231F20"/>
                <w:sz w:val="18"/>
              </w:rPr>
              <w:t>base</w:t>
            </w:r>
            <w:r>
              <w:rPr>
                <w:rFonts w:ascii="Segoe UI"/>
                <w:color w:val="231F20"/>
                <w:spacing w:val="-4"/>
                <w:sz w:val="18"/>
              </w:rPr>
              <w:t> </w:t>
            </w:r>
            <w:r>
              <w:rPr>
                <w:rFonts w:ascii="Segoe UI"/>
                <w:color w:val="231F20"/>
                <w:sz w:val="18"/>
              </w:rPr>
              <w:t>funding)</w:t>
            </w:r>
            <w:r>
              <w:rPr>
                <w:rFonts w:ascii="Segoe UI"/>
                <w:color w:val="231F20"/>
                <w:spacing w:val="-4"/>
                <w:sz w:val="18"/>
              </w:rPr>
              <w:t> </w:t>
            </w:r>
            <w:r>
              <w:rPr>
                <w:rFonts w:ascii="Segoe UI"/>
                <w:color w:val="231F20"/>
                <w:sz w:val="18"/>
              </w:rPr>
              <w:t>x</w:t>
            </w:r>
            <w:r>
              <w:rPr>
                <w:rFonts w:ascii="Segoe UI"/>
                <w:color w:val="231F20"/>
                <w:spacing w:val="-3"/>
                <w:sz w:val="18"/>
              </w:rPr>
              <w:t> </w:t>
            </w:r>
            <w:r>
              <w:rPr>
                <w:rFonts w:ascii="Segoe UI"/>
                <w:color w:val="231F20"/>
                <w:spacing w:val="-1"/>
                <w:sz w:val="18"/>
              </w:rPr>
              <w:t>25%</w:t>
            </w:r>
            <w:r>
              <w:rPr>
                <w:rFonts w:ascii="Segoe UI"/>
                <w:color w:val="231F20"/>
                <w:spacing w:val="-4"/>
                <w:sz w:val="18"/>
              </w:rPr>
              <w:t> </w:t>
            </w:r>
            <w:r>
              <w:rPr>
                <w:rFonts w:ascii="Segoe UI"/>
                <w:color w:val="231F20"/>
                <w:sz w:val="18"/>
              </w:rPr>
              <w:t>(base</w:t>
            </w:r>
            <w:r>
              <w:rPr>
                <w:rFonts w:ascii="Segoe UI"/>
                <w:color w:val="231F20"/>
                <w:spacing w:val="23"/>
                <w:w w:val="99"/>
                <w:sz w:val="18"/>
              </w:rPr>
              <w:t> </w:t>
            </w:r>
            <w:r>
              <w:rPr>
                <w:rFonts w:ascii="Segoe UI"/>
                <w:color w:val="231F20"/>
                <w:sz w:val="18"/>
              </w:rPr>
              <w:t>funding</w:t>
            </w:r>
            <w:r>
              <w:rPr>
                <w:rFonts w:ascii="Segoe UI"/>
                <w:color w:val="231F20"/>
                <w:spacing w:val="-4"/>
                <w:sz w:val="18"/>
              </w:rPr>
              <w:t> </w:t>
            </w:r>
            <w:r>
              <w:rPr>
                <w:rFonts w:ascii="Segoe UI"/>
                <w:color w:val="231F20"/>
                <w:sz w:val="18"/>
              </w:rPr>
              <w:t>for</w:t>
            </w:r>
            <w:r>
              <w:rPr>
                <w:rFonts w:ascii="Segoe UI"/>
                <w:color w:val="231F20"/>
                <w:spacing w:val="-3"/>
                <w:sz w:val="18"/>
              </w:rPr>
              <w:t> </w:t>
            </w:r>
            <w:r>
              <w:rPr>
                <w:rFonts w:ascii="Segoe UI"/>
                <w:color w:val="231F20"/>
                <w:spacing w:val="-1"/>
                <w:sz w:val="18"/>
              </w:rPr>
              <w:t>250</w:t>
            </w:r>
            <w:r>
              <w:rPr>
                <w:rFonts w:ascii="Segoe UI"/>
                <w:color w:val="231F20"/>
                <w:spacing w:val="-4"/>
                <w:sz w:val="18"/>
              </w:rPr>
              <w:t> </w:t>
            </w:r>
            <w:r>
              <w:rPr>
                <w:rFonts w:ascii="Segoe UI"/>
                <w:color w:val="231F20"/>
                <w:spacing w:val="-1"/>
                <w:sz w:val="18"/>
              </w:rPr>
              <w:t>students)</w:t>
            </w:r>
            <w:r>
              <w:rPr>
                <w:rFonts w:ascii="Segoe UI"/>
                <w:color w:val="231F20"/>
                <w:spacing w:val="-3"/>
                <w:sz w:val="18"/>
              </w:rPr>
              <w:t> </w:t>
            </w:r>
            <w:r>
              <w:rPr>
                <w:rFonts w:ascii="Segoe UI"/>
                <w:color w:val="231F20"/>
                <w:sz w:val="18"/>
              </w:rPr>
              <w:t>x</w:t>
            </w:r>
            <w:r>
              <w:rPr>
                <w:rFonts w:ascii="Segoe UI"/>
                <w:color w:val="231F20"/>
                <w:spacing w:val="-3"/>
                <w:sz w:val="18"/>
              </w:rPr>
              <w:t> </w:t>
            </w:r>
            <w:r>
              <w:rPr>
                <w:rFonts w:ascii="Segoe UI"/>
                <w:color w:val="231F20"/>
                <w:spacing w:val="-1"/>
                <w:sz w:val="18"/>
              </w:rPr>
              <w:t>17.5%</w:t>
            </w:r>
            <w:r>
              <w:rPr>
                <w:rFonts w:ascii="Segoe UI"/>
                <w:color w:val="231F20"/>
                <w:spacing w:val="-4"/>
                <w:sz w:val="18"/>
              </w:rPr>
              <w:t> </w:t>
            </w:r>
            <w:r>
              <w:rPr>
                <w:rFonts w:ascii="Segoe UI"/>
                <w:color w:val="231F20"/>
                <w:sz w:val="18"/>
              </w:rPr>
              <w:t>(loading)</w:t>
            </w:r>
            <w:r>
              <w:rPr>
                <w:rFonts w:ascii="Segoe UI"/>
                <w:color w:val="231F20"/>
                <w:spacing w:val="-4"/>
                <w:sz w:val="18"/>
              </w:rPr>
              <w:t> </w:t>
            </w:r>
            <w:r>
              <w:rPr>
                <w:rFonts w:ascii="Segoe UI"/>
                <w:color w:val="231F20"/>
                <w:sz w:val="18"/>
              </w:rPr>
              <w:t>=</w:t>
            </w:r>
            <w:r>
              <w:rPr>
                <w:rFonts w:ascii="Segoe UI"/>
                <w:sz w:val="18"/>
              </w:rPr>
            </w:r>
          </w:p>
          <w:p>
            <w:pPr>
              <w:pStyle w:val="TableParagraph"/>
              <w:spacing w:line="240" w:lineRule="auto"/>
              <w:ind w:left="74" w:right="0"/>
              <w:jc w:val="left"/>
              <w:rPr>
                <w:rFonts w:ascii="Segoe UI" w:hAnsi="Segoe UI" w:cs="Segoe UI" w:eastAsia="Segoe UI"/>
                <w:sz w:val="18"/>
                <w:szCs w:val="18"/>
              </w:rPr>
            </w:pPr>
            <w:r>
              <w:rPr>
                <w:rFonts w:ascii="Segoe UI"/>
                <w:color w:val="231F20"/>
                <w:sz w:val="18"/>
              </w:rPr>
              <w:t>$559,934.</w:t>
            </w:r>
            <w:r>
              <w:rPr>
                <w:rFonts w:ascii="Segoe UI"/>
                <w:sz w:val="18"/>
              </w:rPr>
            </w:r>
          </w:p>
          <w:p>
            <w:pPr>
              <w:pStyle w:val="TableParagraph"/>
              <w:spacing w:line="240" w:lineRule="auto" w:before="124"/>
              <w:ind w:left="74" w:right="0"/>
              <w:jc w:val="left"/>
              <w:rPr>
                <w:rFonts w:ascii="Segoe UI" w:hAnsi="Segoe UI" w:cs="Segoe UI" w:eastAsia="Segoe UI"/>
                <w:sz w:val="18"/>
                <w:szCs w:val="18"/>
              </w:rPr>
            </w:pPr>
            <w:r>
              <w:rPr>
                <w:rFonts w:ascii="Segoe UI"/>
                <w:color w:val="231F20"/>
                <w:spacing w:val="-1"/>
                <w:sz w:val="18"/>
              </w:rPr>
              <w:t>$1,402,076</w:t>
            </w:r>
            <w:r>
              <w:rPr>
                <w:rFonts w:ascii="Segoe UI"/>
                <w:color w:val="231F20"/>
                <w:sz w:val="18"/>
              </w:rPr>
              <w:t> + </w:t>
            </w:r>
            <w:r>
              <w:rPr>
                <w:rFonts w:ascii="Segoe UI"/>
                <w:color w:val="231F20"/>
                <w:spacing w:val="-1"/>
                <w:sz w:val="18"/>
              </w:rPr>
              <w:t>$559,934</w:t>
            </w:r>
            <w:r>
              <w:rPr>
                <w:rFonts w:ascii="Segoe UI"/>
                <w:color w:val="231F20"/>
                <w:sz w:val="18"/>
              </w:rPr>
              <w:t> = $1,962,010</w:t>
            </w:r>
            <w:r>
              <w:rPr>
                <w:rFonts w:ascii="Segoe UI"/>
                <w:sz w:val="18"/>
              </w:rPr>
            </w:r>
          </w:p>
        </w:tc>
        <w:tc>
          <w:tcPr>
            <w:tcW w:w="146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ind w:right="0"/>
              <w:jc w:val="left"/>
              <w:rPr>
                <w:rFonts w:ascii="Segoe UI" w:hAnsi="Segoe UI" w:cs="Segoe UI" w:eastAsia="Segoe UI"/>
                <w:sz w:val="18"/>
                <w:szCs w:val="18"/>
              </w:rPr>
            </w:pPr>
          </w:p>
          <w:p>
            <w:pPr>
              <w:pStyle w:val="TableParagraph"/>
              <w:spacing w:line="240" w:lineRule="auto"/>
              <w:ind w:right="0"/>
              <w:jc w:val="left"/>
              <w:rPr>
                <w:rFonts w:ascii="Segoe UI" w:hAnsi="Segoe UI" w:cs="Segoe UI" w:eastAsia="Segoe UI"/>
                <w:sz w:val="18"/>
                <w:szCs w:val="18"/>
              </w:rPr>
            </w:pPr>
          </w:p>
          <w:p>
            <w:pPr>
              <w:pStyle w:val="TableParagraph"/>
              <w:spacing w:line="240" w:lineRule="auto"/>
              <w:ind w:right="0"/>
              <w:jc w:val="left"/>
              <w:rPr>
                <w:rFonts w:ascii="Segoe UI" w:hAnsi="Segoe UI" w:cs="Segoe UI" w:eastAsia="Segoe UI"/>
                <w:sz w:val="18"/>
                <w:szCs w:val="18"/>
              </w:rPr>
            </w:pPr>
          </w:p>
          <w:p>
            <w:pPr>
              <w:pStyle w:val="TableParagraph"/>
              <w:spacing w:line="240" w:lineRule="auto"/>
              <w:ind w:right="0"/>
              <w:jc w:val="left"/>
              <w:rPr>
                <w:rFonts w:ascii="Segoe UI" w:hAnsi="Segoe UI" w:cs="Segoe UI" w:eastAsia="Segoe UI"/>
                <w:sz w:val="18"/>
                <w:szCs w:val="18"/>
              </w:rPr>
            </w:pPr>
          </w:p>
          <w:p>
            <w:pPr>
              <w:pStyle w:val="TableParagraph"/>
              <w:spacing w:line="240" w:lineRule="auto"/>
              <w:ind w:right="0"/>
              <w:jc w:val="left"/>
              <w:rPr>
                <w:rFonts w:ascii="Segoe UI" w:hAnsi="Segoe UI" w:cs="Segoe UI" w:eastAsia="Segoe UI"/>
                <w:sz w:val="18"/>
                <w:szCs w:val="18"/>
              </w:rPr>
            </w:pPr>
          </w:p>
          <w:p>
            <w:pPr>
              <w:pStyle w:val="TableParagraph"/>
              <w:spacing w:line="240" w:lineRule="auto"/>
              <w:ind w:right="0"/>
              <w:jc w:val="left"/>
              <w:rPr>
                <w:rFonts w:ascii="Segoe UI" w:hAnsi="Segoe UI" w:cs="Segoe UI" w:eastAsia="Segoe UI"/>
                <w:sz w:val="18"/>
                <w:szCs w:val="18"/>
              </w:rPr>
            </w:pPr>
          </w:p>
          <w:p>
            <w:pPr>
              <w:pStyle w:val="TableParagraph"/>
              <w:spacing w:line="240" w:lineRule="auto" w:before="10"/>
              <w:ind w:right="0"/>
              <w:jc w:val="left"/>
              <w:rPr>
                <w:rFonts w:ascii="Segoe UI" w:hAnsi="Segoe UI" w:cs="Segoe UI" w:eastAsia="Segoe UI"/>
                <w:sz w:val="22"/>
                <w:szCs w:val="22"/>
              </w:rPr>
            </w:pPr>
          </w:p>
          <w:p>
            <w:pPr>
              <w:pStyle w:val="TableParagraph"/>
              <w:spacing w:line="240" w:lineRule="auto"/>
              <w:ind w:left="74" w:right="0"/>
              <w:jc w:val="left"/>
              <w:rPr>
                <w:rFonts w:ascii="Segoe UI" w:hAnsi="Segoe UI" w:cs="Segoe UI" w:eastAsia="Segoe UI"/>
                <w:sz w:val="18"/>
                <w:szCs w:val="18"/>
              </w:rPr>
            </w:pPr>
            <w:r>
              <w:rPr>
                <w:rFonts w:ascii="Segoe UI"/>
                <w:color w:val="231F20"/>
                <w:sz w:val="18"/>
              </w:rPr>
              <w:t>$1,962,010</w:t>
            </w:r>
            <w:r>
              <w:rPr>
                <w:rFonts w:ascii="Segoe UI"/>
                <w:sz w:val="18"/>
              </w:rPr>
            </w:r>
          </w:p>
        </w:tc>
      </w:tr>
      <w:tr>
        <w:trPr>
          <w:trHeight w:val="1404" w:hRule="exact"/>
        </w:trPr>
        <w:tc>
          <w:tcPr>
            <w:tcW w:w="3335"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ind w:right="0"/>
              <w:jc w:val="left"/>
              <w:rPr>
                <w:rFonts w:ascii="Segoe UI" w:hAnsi="Segoe UI" w:cs="Segoe UI" w:eastAsia="Segoe UI"/>
                <w:sz w:val="18"/>
                <w:szCs w:val="18"/>
              </w:rPr>
            </w:pPr>
          </w:p>
          <w:p>
            <w:pPr>
              <w:pStyle w:val="TableParagraph"/>
              <w:spacing w:line="240" w:lineRule="auto" w:before="10"/>
              <w:ind w:right="0"/>
              <w:jc w:val="left"/>
              <w:rPr>
                <w:rFonts w:ascii="Segoe UI" w:hAnsi="Segoe UI" w:cs="Segoe UI" w:eastAsia="Segoe UI"/>
                <w:sz w:val="24"/>
                <w:szCs w:val="24"/>
              </w:rPr>
            </w:pPr>
          </w:p>
          <w:p>
            <w:pPr>
              <w:pStyle w:val="TableParagraph"/>
              <w:spacing w:line="240" w:lineRule="auto"/>
              <w:ind w:left="74" w:right="0"/>
              <w:jc w:val="left"/>
              <w:rPr>
                <w:rFonts w:ascii="Segoe UI" w:hAnsi="Segoe UI" w:cs="Segoe UI" w:eastAsia="Segoe UI"/>
                <w:sz w:val="18"/>
                <w:szCs w:val="18"/>
              </w:rPr>
            </w:pPr>
            <w:r>
              <w:rPr>
                <w:rFonts w:ascii="Segoe UI"/>
                <w:b/>
                <w:color w:val="231F20"/>
                <w:sz w:val="18"/>
              </w:rPr>
              <w:t>School</w:t>
            </w:r>
            <w:r>
              <w:rPr>
                <w:rFonts w:ascii="Segoe UI"/>
                <w:b/>
                <w:color w:val="231F20"/>
                <w:spacing w:val="-1"/>
                <w:sz w:val="18"/>
              </w:rPr>
              <w:t> location</w:t>
            </w:r>
            <w:r>
              <w:rPr>
                <w:rFonts w:ascii="Segoe UI"/>
                <w:b/>
                <w:color w:val="231F20"/>
                <w:sz w:val="18"/>
              </w:rPr>
              <w:t> </w:t>
            </w:r>
            <w:r>
              <w:rPr>
                <w:rFonts w:ascii="Segoe UI"/>
                <w:b/>
                <w:color w:val="231F20"/>
                <w:spacing w:val="-1"/>
                <w:sz w:val="18"/>
              </w:rPr>
              <w:t>loading</w:t>
            </w:r>
            <w:r>
              <w:rPr>
                <w:rFonts w:ascii="Segoe UI"/>
                <w:sz w:val="18"/>
              </w:rPr>
            </w:r>
          </w:p>
        </w:tc>
        <w:tc>
          <w:tcPr>
            <w:tcW w:w="3969" w:type="dxa"/>
            <w:tcBorders>
              <w:top w:val="single" w:sz="4" w:space="0" w:color="231F20"/>
              <w:left w:val="single" w:sz="4" w:space="0" w:color="231F20"/>
              <w:bottom w:val="single" w:sz="4" w:space="0" w:color="231F20"/>
              <w:right w:val="single" w:sz="4" w:space="0" w:color="231F20"/>
            </w:tcBorders>
          </w:tcPr>
          <w:p>
            <w:pPr>
              <w:pStyle w:val="TableParagraph"/>
              <w:spacing w:line="250" w:lineRule="auto" w:before="12"/>
              <w:ind w:left="74" w:right="164"/>
              <w:jc w:val="left"/>
              <w:rPr>
                <w:rFonts w:ascii="Segoe UI" w:hAnsi="Segoe UI" w:cs="Segoe UI" w:eastAsia="Segoe UI"/>
                <w:sz w:val="18"/>
                <w:szCs w:val="18"/>
              </w:rPr>
            </w:pPr>
            <w:r>
              <w:rPr>
                <w:rFonts w:ascii="Segoe UI"/>
                <w:color w:val="231F20"/>
                <w:sz w:val="18"/>
              </w:rPr>
              <w:t>The</w:t>
            </w:r>
            <w:r>
              <w:rPr>
                <w:rFonts w:ascii="Segoe UI"/>
                <w:color w:val="231F20"/>
                <w:spacing w:val="-3"/>
                <w:sz w:val="18"/>
              </w:rPr>
              <w:t> </w:t>
            </w:r>
            <w:r>
              <w:rPr>
                <w:rFonts w:ascii="Segoe UI"/>
                <w:color w:val="231F20"/>
                <w:spacing w:val="-1"/>
                <w:sz w:val="18"/>
              </w:rPr>
              <w:t>school</w:t>
            </w:r>
            <w:r>
              <w:rPr>
                <w:rFonts w:ascii="Segoe UI"/>
                <w:color w:val="231F20"/>
                <w:spacing w:val="-2"/>
                <w:sz w:val="18"/>
              </w:rPr>
              <w:t> </w:t>
            </w:r>
            <w:r>
              <w:rPr>
                <w:rFonts w:ascii="Segoe UI"/>
                <w:color w:val="231F20"/>
                <w:spacing w:val="-1"/>
                <w:sz w:val="18"/>
              </w:rPr>
              <w:t>is</w:t>
            </w:r>
            <w:r>
              <w:rPr>
                <w:rFonts w:ascii="Segoe UI"/>
                <w:color w:val="231F20"/>
                <w:spacing w:val="-4"/>
                <w:sz w:val="18"/>
              </w:rPr>
              <w:t> </w:t>
            </w:r>
            <w:r>
              <w:rPr>
                <w:rFonts w:ascii="Segoe UI"/>
                <w:color w:val="231F20"/>
                <w:spacing w:val="-1"/>
                <w:sz w:val="18"/>
              </w:rPr>
              <w:t>in</w:t>
            </w:r>
            <w:r>
              <w:rPr>
                <w:rFonts w:ascii="Segoe UI"/>
                <w:color w:val="231F20"/>
                <w:spacing w:val="-2"/>
                <w:sz w:val="18"/>
              </w:rPr>
              <w:t> </w:t>
            </w:r>
            <w:r>
              <w:rPr>
                <w:rFonts w:ascii="Segoe UI"/>
                <w:color w:val="231F20"/>
                <w:sz w:val="18"/>
              </w:rPr>
              <w:t>a</w:t>
            </w:r>
            <w:r>
              <w:rPr>
                <w:rFonts w:ascii="Segoe UI"/>
                <w:color w:val="231F20"/>
                <w:spacing w:val="-3"/>
                <w:sz w:val="18"/>
              </w:rPr>
              <w:t> </w:t>
            </w:r>
            <w:r>
              <w:rPr>
                <w:rFonts w:ascii="Segoe UI"/>
                <w:color w:val="231F20"/>
                <w:sz w:val="18"/>
              </w:rPr>
              <w:t>regional</w:t>
            </w:r>
            <w:r>
              <w:rPr>
                <w:rFonts w:ascii="Segoe UI"/>
                <w:color w:val="231F20"/>
                <w:spacing w:val="-3"/>
                <w:sz w:val="18"/>
              </w:rPr>
              <w:t> </w:t>
            </w:r>
            <w:r>
              <w:rPr>
                <w:rFonts w:ascii="Segoe UI"/>
                <w:color w:val="231F20"/>
                <w:spacing w:val="-1"/>
                <w:sz w:val="18"/>
              </w:rPr>
              <w:t>location</w:t>
            </w:r>
            <w:r>
              <w:rPr>
                <w:rFonts w:ascii="Segoe UI"/>
                <w:color w:val="231F20"/>
                <w:spacing w:val="-2"/>
                <w:sz w:val="18"/>
              </w:rPr>
              <w:t> </w:t>
            </w:r>
            <w:r>
              <w:rPr>
                <w:rFonts w:ascii="Segoe UI"/>
                <w:color w:val="231F20"/>
                <w:sz w:val="18"/>
              </w:rPr>
              <w:t>and</w:t>
            </w:r>
            <w:r>
              <w:rPr>
                <w:rFonts w:ascii="Segoe UI"/>
                <w:color w:val="231F20"/>
                <w:spacing w:val="-4"/>
                <w:sz w:val="18"/>
              </w:rPr>
              <w:t> </w:t>
            </w:r>
            <w:r>
              <w:rPr>
                <w:rFonts w:ascii="Segoe UI"/>
                <w:color w:val="231F20"/>
                <w:sz w:val="18"/>
              </w:rPr>
              <w:t>has</w:t>
            </w:r>
            <w:r>
              <w:rPr>
                <w:rFonts w:ascii="Segoe UI"/>
                <w:color w:val="231F20"/>
                <w:spacing w:val="-3"/>
                <w:sz w:val="18"/>
              </w:rPr>
              <w:t> </w:t>
            </w:r>
            <w:r>
              <w:rPr>
                <w:rFonts w:ascii="Segoe UI"/>
                <w:color w:val="231F20"/>
                <w:sz w:val="18"/>
              </w:rPr>
              <w:t>an</w:t>
            </w:r>
            <w:r>
              <w:rPr>
                <w:rFonts w:ascii="Segoe UI"/>
                <w:color w:val="231F20"/>
                <w:spacing w:val="25"/>
                <w:w w:val="99"/>
                <w:sz w:val="18"/>
              </w:rPr>
              <w:t> </w:t>
            </w:r>
            <w:r>
              <w:rPr>
                <w:rFonts w:ascii="Segoe UI"/>
                <w:color w:val="231F20"/>
                <w:sz w:val="18"/>
              </w:rPr>
              <w:t>ARIA</w:t>
            </w:r>
            <w:r>
              <w:rPr>
                <w:rFonts w:ascii="Segoe UI"/>
                <w:color w:val="231F20"/>
                <w:spacing w:val="-5"/>
                <w:sz w:val="18"/>
              </w:rPr>
              <w:t> </w:t>
            </w:r>
            <w:r>
              <w:rPr>
                <w:rFonts w:ascii="Segoe UI"/>
                <w:color w:val="231F20"/>
                <w:spacing w:val="-1"/>
                <w:sz w:val="18"/>
              </w:rPr>
              <w:t>score</w:t>
            </w:r>
            <w:r>
              <w:rPr>
                <w:rFonts w:ascii="Segoe UI"/>
                <w:color w:val="231F20"/>
                <w:spacing w:val="-3"/>
                <w:sz w:val="18"/>
              </w:rPr>
              <w:t> </w:t>
            </w:r>
            <w:r>
              <w:rPr>
                <w:rFonts w:ascii="Segoe UI"/>
                <w:color w:val="231F20"/>
                <w:sz w:val="18"/>
              </w:rPr>
              <w:t>of</w:t>
            </w:r>
            <w:r>
              <w:rPr>
                <w:rFonts w:ascii="Segoe UI"/>
                <w:color w:val="231F20"/>
                <w:spacing w:val="-3"/>
                <w:sz w:val="18"/>
              </w:rPr>
              <w:t> </w:t>
            </w:r>
            <w:r>
              <w:rPr>
                <w:rFonts w:ascii="Segoe UI"/>
                <w:color w:val="231F20"/>
                <w:spacing w:val="-1"/>
                <w:sz w:val="18"/>
              </w:rPr>
              <w:t>5,</w:t>
            </w:r>
            <w:r>
              <w:rPr>
                <w:rFonts w:ascii="Segoe UI"/>
                <w:color w:val="231F20"/>
                <w:spacing w:val="-3"/>
                <w:sz w:val="18"/>
              </w:rPr>
              <w:t> </w:t>
            </w:r>
            <w:r>
              <w:rPr>
                <w:rFonts w:ascii="Segoe UI"/>
                <w:color w:val="231F20"/>
                <w:sz w:val="18"/>
              </w:rPr>
              <w:t>which</w:t>
            </w:r>
            <w:r>
              <w:rPr>
                <w:rFonts w:ascii="Segoe UI"/>
                <w:color w:val="231F20"/>
                <w:spacing w:val="-4"/>
                <w:sz w:val="18"/>
              </w:rPr>
              <w:t> </w:t>
            </w:r>
            <w:r>
              <w:rPr>
                <w:rFonts w:ascii="Segoe UI"/>
                <w:color w:val="231F20"/>
                <w:sz w:val="18"/>
              </w:rPr>
              <w:t>provides</w:t>
            </w:r>
            <w:r>
              <w:rPr>
                <w:rFonts w:ascii="Segoe UI"/>
                <w:color w:val="231F20"/>
                <w:spacing w:val="-5"/>
                <w:sz w:val="18"/>
              </w:rPr>
              <w:t> </w:t>
            </w:r>
            <w:r>
              <w:rPr>
                <w:rFonts w:ascii="Segoe UI"/>
                <w:color w:val="231F20"/>
                <w:sz w:val="18"/>
              </w:rPr>
              <w:t>a</w:t>
            </w:r>
            <w:r>
              <w:rPr>
                <w:rFonts w:ascii="Segoe UI"/>
                <w:color w:val="231F20"/>
                <w:spacing w:val="-3"/>
                <w:sz w:val="18"/>
              </w:rPr>
              <w:t> </w:t>
            </w:r>
            <w:r>
              <w:rPr>
                <w:rFonts w:ascii="Segoe UI"/>
                <w:color w:val="231F20"/>
                <w:spacing w:val="-1"/>
                <w:sz w:val="18"/>
              </w:rPr>
              <w:t>24.4</w:t>
            </w:r>
            <w:r>
              <w:rPr>
                <w:rFonts w:ascii="Segoe UI"/>
                <w:color w:val="231F20"/>
                <w:spacing w:val="-3"/>
                <w:sz w:val="18"/>
              </w:rPr>
              <w:t> </w:t>
            </w:r>
            <w:r>
              <w:rPr>
                <w:rFonts w:ascii="Segoe UI"/>
                <w:color w:val="231F20"/>
                <w:sz w:val="18"/>
              </w:rPr>
              <w:t>per</w:t>
            </w:r>
            <w:r>
              <w:rPr>
                <w:rFonts w:ascii="Segoe UI"/>
                <w:color w:val="231F20"/>
                <w:spacing w:val="-3"/>
                <w:sz w:val="18"/>
              </w:rPr>
              <w:t> </w:t>
            </w:r>
            <w:r>
              <w:rPr>
                <w:rFonts w:ascii="Segoe UI"/>
                <w:color w:val="231F20"/>
                <w:sz w:val="18"/>
              </w:rPr>
              <w:t>cent</w:t>
            </w:r>
            <w:r>
              <w:rPr>
                <w:rFonts w:ascii="Segoe UI"/>
                <w:color w:val="231F20"/>
                <w:spacing w:val="24"/>
                <w:w w:val="99"/>
                <w:sz w:val="18"/>
              </w:rPr>
              <w:t> </w:t>
            </w:r>
            <w:r>
              <w:rPr>
                <w:rFonts w:ascii="Segoe UI"/>
                <w:color w:val="231F20"/>
                <w:spacing w:val="-1"/>
                <w:sz w:val="18"/>
              </w:rPr>
              <w:t>loading</w:t>
            </w:r>
            <w:r>
              <w:rPr>
                <w:rFonts w:ascii="Segoe UI"/>
                <w:color w:val="231F20"/>
                <w:spacing w:val="-8"/>
                <w:sz w:val="18"/>
              </w:rPr>
              <w:t> </w:t>
            </w:r>
            <w:r>
              <w:rPr>
                <w:rFonts w:ascii="Segoe UI"/>
                <w:color w:val="231F20"/>
                <w:sz w:val="18"/>
              </w:rPr>
              <w:t>per</w:t>
            </w:r>
            <w:r>
              <w:rPr>
                <w:rFonts w:ascii="Segoe UI"/>
                <w:color w:val="231F20"/>
                <w:spacing w:val="-8"/>
                <w:sz w:val="18"/>
              </w:rPr>
              <w:t> </w:t>
            </w:r>
            <w:r>
              <w:rPr>
                <w:rFonts w:ascii="Segoe UI"/>
                <w:color w:val="231F20"/>
                <w:spacing w:val="-1"/>
                <w:sz w:val="18"/>
              </w:rPr>
              <w:t>student.</w:t>
            </w:r>
            <w:r>
              <w:rPr>
                <w:rFonts w:ascii="Segoe UI"/>
                <w:sz w:val="18"/>
              </w:rPr>
            </w:r>
          </w:p>
          <w:p>
            <w:pPr>
              <w:pStyle w:val="TableParagraph"/>
              <w:spacing w:line="240" w:lineRule="auto" w:before="113"/>
              <w:ind w:left="74" w:right="0"/>
              <w:jc w:val="left"/>
              <w:rPr>
                <w:rFonts w:ascii="Segoe UI" w:hAnsi="Segoe UI" w:cs="Segoe UI" w:eastAsia="Segoe UI"/>
                <w:sz w:val="18"/>
                <w:szCs w:val="18"/>
              </w:rPr>
            </w:pPr>
            <w:r>
              <w:rPr>
                <w:rFonts w:ascii="Segoe UI"/>
                <w:color w:val="231F20"/>
                <w:spacing w:val="-1"/>
                <w:sz w:val="18"/>
              </w:rPr>
              <w:t>$12,798,500</w:t>
            </w:r>
            <w:r>
              <w:rPr>
                <w:rFonts w:ascii="Segoe UI"/>
                <w:color w:val="231F20"/>
                <w:spacing w:val="-3"/>
                <w:sz w:val="18"/>
              </w:rPr>
              <w:t> </w:t>
            </w:r>
            <w:r>
              <w:rPr>
                <w:rFonts w:ascii="Segoe UI"/>
                <w:color w:val="231F20"/>
                <w:sz w:val="18"/>
              </w:rPr>
              <w:t>(total</w:t>
            </w:r>
            <w:r>
              <w:rPr>
                <w:rFonts w:ascii="Segoe UI"/>
                <w:color w:val="231F20"/>
                <w:spacing w:val="-4"/>
                <w:sz w:val="18"/>
              </w:rPr>
              <w:t> </w:t>
            </w:r>
            <w:r>
              <w:rPr>
                <w:rFonts w:ascii="Segoe UI"/>
                <w:color w:val="231F20"/>
                <w:sz w:val="18"/>
              </w:rPr>
              <w:t>base</w:t>
            </w:r>
            <w:r>
              <w:rPr>
                <w:rFonts w:ascii="Segoe UI"/>
                <w:color w:val="231F20"/>
                <w:spacing w:val="-3"/>
                <w:sz w:val="18"/>
              </w:rPr>
              <w:t> </w:t>
            </w:r>
            <w:r>
              <w:rPr>
                <w:rFonts w:ascii="Segoe UI"/>
                <w:color w:val="231F20"/>
                <w:sz w:val="18"/>
              </w:rPr>
              <w:t>funding)</w:t>
            </w:r>
            <w:r>
              <w:rPr>
                <w:rFonts w:ascii="Segoe UI"/>
                <w:color w:val="231F20"/>
                <w:spacing w:val="-3"/>
                <w:sz w:val="18"/>
              </w:rPr>
              <w:t> </w:t>
            </w:r>
            <w:r>
              <w:rPr>
                <w:rFonts w:ascii="Segoe UI"/>
                <w:color w:val="231F20"/>
                <w:sz w:val="18"/>
              </w:rPr>
              <w:t>x</w:t>
            </w:r>
            <w:r>
              <w:rPr>
                <w:rFonts w:ascii="Segoe UI"/>
                <w:color w:val="231F20"/>
                <w:spacing w:val="-2"/>
                <w:sz w:val="18"/>
              </w:rPr>
              <w:t> </w:t>
            </w:r>
            <w:r>
              <w:rPr>
                <w:rFonts w:ascii="Segoe UI"/>
                <w:color w:val="231F20"/>
                <w:spacing w:val="-1"/>
                <w:sz w:val="18"/>
              </w:rPr>
              <w:t>24.4%</w:t>
            </w:r>
            <w:r>
              <w:rPr>
                <w:rFonts w:ascii="Segoe UI"/>
                <w:color w:val="231F20"/>
                <w:spacing w:val="-3"/>
                <w:sz w:val="18"/>
              </w:rPr>
              <w:t> </w:t>
            </w:r>
            <w:r>
              <w:rPr>
                <w:rFonts w:ascii="Segoe UI"/>
                <w:color w:val="231F20"/>
                <w:sz w:val="18"/>
              </w:rPr>
              <w:t>=</w:t>
            </w:r>
            <w:r>
              <w:rPr>
                <w:rFonts w:ascii="Segoe UI"/>
                <w:sz w:val="18"/>
              </w:rPr>
            </w:r>
          </w:p>
          <w:p>
            <w:pPr>
              <w:pStyle w:val="TableParagraph"/>
              <w:spacing w:line="240" w:lineRule="auto" w:before="10"/>
              <w:ind w:left="74" w:right="0"/>
              <w:jc w:val="left"/>
              <w:rPr>
                <w:rFonts w:ascii="Segoe UI" w:hAnsi="Segoe UI" w:cs="Segoe UI" w:eastAsia="Segoe UI"/>
                <w:sz w:val="18"/>
                <w:szCs w:val="18"/>
              </w:rPr>
            </w:pPr>
            <w:r>
              <w:rPr>
                <w:rFonts w:ascii="Segoe UI"/>
                <w:color w:val="231F20"/>
                <w:sz w:val="18"/>
              </w:rPr>
              <w:t>$3,122,834</w:t>
            </w:r>
            <w:r>
              <w:rPr>
                <w:rFonts w:ascii="Segoe UI"/>
                <w:sz w:val="18"/>
              </w:rPr>
            </w:r>
          </w:p>
        </w:tc>
        <w:tc>
          <w:tcPr>
            <w:tcW w:w="146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ind w:right="0"/>
              <w:jc w:val="left"/>
              <w:rPr>
                <w:rFonts w:ascii="Segoe UI" w:hAnsi="Segoe UI" w:cs="Segoe UI" w:eastAsia="Segoe UI"/>
                <w:sz w:val="18"/>
                <w:szCs w:val="18"/>
              </w:rPr>
            </w:pPr>
          </w:p>
          <w:p>
            <w:pPr>
              <w:pStyle w:val="TableParagraph"/>
              <w:spacing w:line="240" w:lineRule="auto" w:before="10"/>
              <w:ind w:right="0"/>
              <w:jc w:val="left"/>
              <w:rPr>
                <w:rFonts w:ascii="Segoe UI" w:hAnsi="Segoe UI" w:cs="Segoe UI" w:eastAsia="Segoe UI"/>
                <w:sz w:val="24"/>
                <w:szCs w:val="24"/>
              </w:rPr>
            </w:pPr>
          </w:p>
          <w:p>
            <w:pPr>
              <w:pStyle w:val="TableParagraph"/>
              <w:spacing w:line="240" w:lineRule="auto"/>
              <w:ind w:left="74" w:right="0"/>
              <w:jc w:val="left"/>
              <w:rPr>
                <w:rFonts w:ascii="Segoe UI" w:hAnsi="Segoe UI" w:cs="Segoe UI" w:eastAsia="Segoe UI"/>
                <w:sz w:val="18"/>
                <w:szCs w:val="18"/>
              </w:rPr>
            </w:pPr>
            <w:r>
              <w:rPr>
                <w:rFonts w:ascii="Segoe UI"/>
                <w:color w:val="231F20"/>
                <w:sz w:val="18"/>
              </w:rPr>
              <w:t>$3,122,834</w:t>
            </w:r>
            <w:r>
              <w:rPr>
                <w:rFonts w:ascii="Segoe UI"/>
                <w:sz w:val="18"/>
              </w:rPr>
            </w:r>
          </w:p>
        </w:tc>
      </w:tr>
      <w:tr>
        <w:trPr>
          <w:trHeight w:val="541" w:hRule="exact"/>
        </w:trPr>
        <w:tc>
          <w:tcPr>
            <w:tcW w:w="3335"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137"/>
              <w:ind w:left="74" w:right="0"/>
              <w:jc w:val="left"/>
              <w:rPr>
                <w:rFonts w:ascii="Segoe UI" w:hAnsi="Segoe UI" w:cs="Segoe UI" w:eastAsia="Segoe UI"/>
                <w:sz w:val="18"/>
                <w:szCs w:val="18"/>
              </w:rPr>
            </w:pPr>
            <w:r>
              <w:rPr>
                <w:rFonts w:ascii="Segoe UI"/>
                <w:b/>
                <w:color w:val="231F20"/>
                <w:sz w:val="18"/>
              </w:rPr>
              <w:t>School</w:t>
            </w:r>
            <w:r>
              <w:rPr>
                <w:rFonts w:ascii="Segoe UI"/>
                <w:b/>
                <w:color w:val="231F20"/>
                <w:spacing w:val="-1"/>
                <w:sz w:val="18"/>
              </w:rPr>
              <w:t> </w:t>
            </w:r>
            <w:r>
              <w:rPr>
                <w:rFonts w:ascii="Segoe UI"/>
                <w:b/>
                <w:color w:val="231F20"/>
                <w:sz w:val="18"/>
              </w:rPr>
              <w:t>size</w:t>
            </w:r>
            <w:r>
              <w:rPr>
                <w:rFonts w:ascii="Segoe UI"/>
                <w:b/>
                <w:color w:val="231F20"/>
                <w:spacing w:val="-1"/>
                <w:sz w:val="18"/>
              </w:rPr>
              <w:t> loading</w:t>
            </w:r>
            <w:r>
              <w:rPr>
                <w:rFonts w:ascii="Segoe UI"/>
                <w:sz w:val="18"/>
              </w:rPr>
            </w:r>
          </w:p>
        </w:tc>
        <w:tc>
          <w:tcPr>
            <w:tcW w:w="3969" w:type="dxa"/>
            <w:tcBorders>
              <w:top w:val="single" w:sz="4" w:space="0" w:color="231F20"/>
              <w:left w:val="single" w:sz="4" w:space="0" w:color="231F20"/>
              <w:bottom w:val="single" w:sz="4" w:space="0" w:color="231F20"/>
              <w:right w:val="single" w:sz="4" w:space="0" w:color="231F20"/>
            </w:tcBorders>
          </w:tcPr>
          <w:p>
            <w:pPr>
              <w:pStyle w:val="TableParagraph"/>
              <w:spacing w:line="250" w:lineRule="auto" w:before="12"/>
              <w:ind w:left="74" w:right="316"/>
              <w:jc w:val="left"/>
              <w:rPr>
                <w:rFonts w:ascii="Segoe UI" w:hAnsi="Segoe UI" w:cs="Segoe UI" w:eastAsia="Segoe UI"/>
                <w:sz w:val="18"/>
                <w:szCs w:val="18"/>
              </w:rPr>
            </w:pPr>
            <w:r>
              <w:rPr>
                <w:rFonts w:ascii="Segoe UI"/>
                <w:color w:val="231F20"/>
                <w:sz w:val="18"/>
              </w:rPr>
              <w:t>The</w:t>
            </w:r>
            <w:r>
              <w:rPr>
                <w:rFonts w:ascii="Segoe UI"/>
                <w:color w:val="231F20"/>
                <w:spacing w:val="-3"/>
                <w:sz w:val="18"/>
              </w:rPr>
              <w:t> </w:t>
            </w:r>
            <w:r>
              <w:rPr>
                <w:rFonts w:ascii="Segoe UI"/>
                <w:color w:val="231F20"/>
                <w:spacing w:val="-1"/>
                <w:sz w:val="18"/>
              </w:rPr>
              <w:t>school</w:t>
            </w:r>
            <w:r>
              <w:rPr>
                <w:rFonts w:ascii="Segoe UI"/>
                <w:color w:val="231F20"/>
                <w:spacing w:val="-3"/>
                <w:sz w:val="18"/>
              </w:rPr>
              <w:t> </w:t>
            </w:r>
            <w:r>
              <w:rPr>
                <w:rFonts w:ascii="Segoe UI"/>
                <w:color w:val="231F20"/>
                <w:spacing w:val="-1"/>
                <w:sz w:val="18"/>
              </w:rPr>
              <w:t>is</w:t>
            </w:r>
            <w:r>
              <w:rPr>
                <w:rFonts w:ascii="Segoe UI"/>
                <w:color w:val="231F20"/>
                <w:spacing w:val="-3"/>
                <w:sz w:val="18"/>
              </w:rPr>
              <w:t> </w:t>
            </w:r>
            <w:r>
              <w:rPr>
                <w:rFonts w:ascii="Segoe UI"/>
                <w:color w:val="231F20"/>
                <w:sz w:val="18"/>
              </w:rPr>
              <w:t>considered</w:t>
            </w:r>
            <w:r>
              <w:rPr>
                <w:rFonts w:ascii="Segoe UI"/>
                <w:color w:val="231F20"/>
                <w:spacing w:val="-4"/>
                <w:sz w:val="18"/>
              </w:rPr>
              <w:t> </w:t>
            </w:r>
            <w:r>
              <w:rPr>
                <w:rFonts w:ascii="Segoe UI"/>
                <w:color w:val="231F20"/>
                <w:sz w:val="18"/>
              </w:rPr>
              <w:t>to</w:t>
            </w:r>
            <w:r>
              <w:rPr>
                <w:rFonts w:ascii="Segoe UI"/>
                <w:color w:val="231F20"/>
                <w:spacing w:val="-2"/>
                <w:sz w:val="18"/>
              </w:rPr>
              <w:t> </w:t>
            </w:r>
            <w:r>
              <w:rPr>
                <w:rFonts w:ascii="Segoe UI"/>
                <w:color w:val="231F20"/>
                <w:sz w:val="18"/>
              </w:rPr>
              <w:t>be</w:t>
            </w:r>
            <w:r>
              <w:rPr>
                <w:rFonts w:ascii="Segoe UI"/>
                <w:color w:val="231F20"/>
                <w:spacing w:val="-3"/>
                <w:sz w:val="18"/>
              </w:rPr>
              <w:t> </w:t>
            </w:r>
            <w:r>
              <w:rPr>
                <w:rFonts w:ascii="Segoe UI"/>
                <w:color w:val="231F20"/>
                <w:sz w:val="18"/>
              </w:rPr>
              <w:t>a</w:t>
            </w:r>
            <w:r>
              <w:rPr>
                <w:rFonts w:ascii="Segoe UI"/>
                <w:color w:val="231F20"/>
                <w:spacing w:val="-2"/>
                <w:sz w:val="18"/>
              </w:rPr>
              <w:t> </w:t>
            </w:r>
            <w:r>
              <w:rPr>
                <w:rFonts w:ascii="Segoe UI"/>
                <w:color w:val="231F20"/>
                <w:spacing w:val="-1"/>
                <w:sz w:val="18"/>
              </w:rPr>
              <w:t>large</w:t>
            </w:r>
            <w:r>
              <w:rPr>
                <w:rFonts w:ascii="Segoe UI"/>
                <w:color w:val="231F20"/>
                <w:spacing w:val="-3"/>
                <w:sz w:val="18"/>
              </w:rPr>
              <w:t> </w:t>
            </w:r>
            <w:r>
              <w:rPr>
                <w:rFonts w:ascii="Segoe UI"/>
                <w:color w:val="231F20"/>
                <w:spacing w:val="-1"/>
                <w:sz w:val="18"/>
              </w:rPr>
              <w:t>school</w:t>
            </w:r>
            <w:r>
              <w:rPr>
                <w:rFonts w:ascii="Segoe UI"/>
                <w:color w:val="231F20"/>
                <w:spacing w:val="23"/>
                <w:sz w:val="18"/>
              </w:rPr>
              <w:t> </w:t>
            </w:r>
            <w:r>
              <w:rPr>
                <w:rFonts w:ascii="Segoe UI"/>
                <w:color w:val="231F20"/>
                <w:sz w:val="18"/>
              </w:rPr>
              <w:t>and</w:t>
            </w:r>
            <w:r>
              <w:rPr>
                <w:rFonts w:ascii="Segoe UI"/>
                <w:color w:val="231F20"/>
                <w:spacing w:val="-5"/>
                <w:sz w:val="18"/>
              </w:rPr>
              <w:t> </w:t>
            </w:r>
            <w:r>
              <w:rPr>
                <w:rFonts w:ascii="Segoe UI"/>
                <w:color w:val="231F20"/>
                <w:sz w:val="18"/>
              </w:rPr>
              <w:t>therefore</w:t>
            </w:r>
            <w:r>
              <w:rPr>
                <w:rFonts w:ascii="Segoe UI"/>
                <w:color w:val="231F20"/>
                <w:spacing w:val="-5"/>
                <w:sz w:val="18"/>
              </w:rPr>
              <w:t> </w:t>
            </w:r>
            <w:r>
              <w:rPr>
                <w:rFonts w:ascii="Segoe UI"/>
                <w:color w:val="231F20"/>
                <w:sz w:val="18"/>
              </w:rPr>
              <w:t>no</w:t>
            </w:r>
            <w:r>
              <w:rPr>
                <w:rFonts w:ascii="Segoe UI"/>
                <w:color w:val="231F20"/>
                <w:spacing w:val="-3"/>
                <w:sz w:val="18"/>
              </w:rPr>
              <w:t> </w:t>
            </w:r>
            <w:r>
              <w:rPr>
                <w:rFonts w:ascii="Segoe UI"/>
                <w:color w:val="231F20"/>
                <w:spacing w:val="-1"/>
                <w:sz w:val="18"/>
              </w:rPr>
              <w:t>size</w:t>
            </w:r>
            <w:r>
              <w:rPr>
                <w:rFonts w:ascii="Segoe UI"/>
                <w:color w:val="231F20"/>
                <w:spacing w:val="-4"/>
                <w:sz w:val="18"/>
              </w:rPr>
              <w:t> </w:t>
            </w:r>
            <w:r>
              <w:rPr>
                <w:rFonts w:ascii="Segoe UI"/>
                <w:color w:val="231F20"/>
                <w:spacing w:val="-1"/>
                <w:sz w:val="18"/>
              </w:rPr>
              <w:t>loading</w:t>
            </w:r>
            <w:r>
              <w:rPr>
                <w:rFonts w:ascii="Segoe UI"/>
                <w:color w:val="231F20"/>
                <w:spacing w:val="-4"/>
                <w:sz w:val="18"/>
              </w:rPr>
              <w:t> </w:t>
            </w:r>
            <w:r>
              <w:rPr>
                <w:rFonts w:ascii="Segoe UI"/>
                <w:color w:val="231F20"/>
                <w:sz w:val="18"/>
              </w:rPr>
              <w:t>applies.</w:t>
            </w:r>
            <w:r>
              <w:rPr>
                <w:rFonts w:ascii="Segoe UI"/>
                <w:sz w:val="18"/>
              </w:rPr>
            </w:r>
          </w:p>
        </w:tc>
        <w:tc>
          <w:tcPr>
            <w:tcW w:w="1464" w:type="dxa"/>
            <w:tcBorders>
              <w:top w:val="single" w:sz="4" w:space="0" w:color="231F20"/>
              <w:left w:val="single" w:sz="4" w:space="0" w:color="231F20"/>
              <w:bottom w:val="single" w:sz="4" w:space="0" w:color="231F20"/>
              <w:right w:val="single" w:sz="4" w:space="0" w:color="231F20"/>
            </w:tcBorders>
          </w:tcPr>
          <w:p>
            <w:pPr>
              <w:pStyle w:val="TableParagraph"/>
              <w:spacing w:line="240" w:lineRule="auto" w:before="137"/>
              <w:ind w:left="74" w:right="0"/>
              <w:jc w:val="left"/>
              <w:rPr>
                <w:rFonts w:ascii="Segoe UI" w:hAnsi="Segoe UI" w:cs="Segoe UI" w:eastAsia="Segoe UI"/>
                <w:sz w:val="18"/>
                <w:szCs w:val="18"/>
              </w:rPr>
            </w:pPr>
            <w:r>
              <w:rPr>
                <w:rFonts w:ascii="Segoe UI"/>
                <w:color w:val="231F20"/>
                <w:sz w:val="18"/>
              </w:rPr>
              <w:t>$0</w:t>
            </w:r>
            <w:r>
              <w:rPr>
                <w:rFonts w:ascii="Segoe UI"/>
                <w:sz w:val="18"/>
              </w:rPr>
            </w:r>
          </w:p>
        </w:tc>
      </w:tr>
      <w:tr>
        <w:trPr>
          <w:trHeight w:val="291" w:hRule="exact"/>
        </w:trPr>
        <w:tc>
          <w:tcPr>
            <w:tcW w:w="3335" w:type="dxa"/>
            <w:tcBorders>
              <w:top w:val="single" w:sz="4" w:space="0" w:color="231F20"/>
              <w:left w:val="single" w:sz="4" w:space="0" w:color="231F20"/>
              <w:bottom w:val="single" w:sz="4" w:space="0" w:color="231F20"/>
              <w:right w:val="single" w:sz="4" w:space="0" w:color="231F20"/>
            </w:tcBorders>
            <w:shd w:val="clear" w:color="auto" w:fill="E0DCE6"/>
          </w:tcPr>
          <w:p>
            <w:pPr>
              <w:pStyle w:val="TableParagraph"/>
              <w:spacing w:line="240" w:lineRule="auto" w:before="12"/>
              <w:ind w:left="74" w:right="0"/>
              <w:jc w:val="left"/>
              <w:rPr>
                <w:rFonts w:ascii="Segoe UI" w:hAnsi="Segoe UI" w:cs="Segoe UI" w:eastAsia="Segoe UI"/>
                <w:sz w:val="18"/>
                <w:szCs w:val="18"/>
              </w:rPr>
            </w:pPr>
            <w:r>
              <w:rPr>
                <w:rFonts w:ascii="Segoe UI"/>
                <w:b/>
                <w:color w:val="231F20"/>
                <w:spacing w:val="-5"/>
                <w:sz w:val="18"/>
              </w:rPr>
              <w:t>T</w:t>
            </w:r>
            <w:r>
              <w:rPr>
                <w:rFonts w:ascii="Segoe UI"/>
                <w:b/>
                <w:color w:val="231F20"/>
                <w:spacing w:val="-4"/>
                <w:sz w:val="18"/>
              </w:rPr>
              <w:t>otal</w:t>
            </w:r>
            <w:r>
              <w:rPr>
                <w:rFonts w:ascii="Segoe UI"/>
                <w:b/>
                <w:color w:val="231F20"/>
                <w:spacing w:val="-2"/>
                <w:sz w:val="18"/>
              </w:rPr>
              <w:t> </w:t>
            </w:r>
            <w:r>
              <w:rPr>
                <w:rFonts w:ascii="Segoe UI"/>
                <w:b/>
                <w:color w:val="231F20"/>
                <w:sz w:val="18"/>
              </w:rPr>
              <w:t>SRS</w:t>
            </w:r>
            <w:r>
              <w:rPr>
                <w:rFonts w:ascii="Segoe UI"/>
                <w:b/>
                <w:color w:val="231F20"/>
                <w:spacing w:val="-2"/>
                <w:sz w:val="18"/>
              </w:rPr>
              <w:t> </w:t>
            </w:r>
            <w:r>
              <w:rPr>
                <w:rFonts w:ascii="Segoe UI"/>
                <w:b/>
                <w:color w:val="231F20"/>
                <w:spacing w:val="-1"/>
                <w:sz w:val="18"/>
              </w:rPr>
              <w:t>for 2018</w:t>
            </w:r>
            <w:r>
              <w:rPr>
                <w:rFonts w:ascii="Segoe UI"/>
                <w:sz w:val="18"/>
              </w:rPr>
            </w:r>
          </w:p>
        </w:tc>
        <w:tc>
          <w:tcPr>
            <w:tcW w:w="3969" w:type="dxa"/>
            <w:tcBorders>
              <w:top w:val="single" w:sz="4" w:space="0" w:color="231F20"/>
              <w:left w:val="single" w:sz="4" w:space="0" w:color="231F20"/>
              <w:bottom w:val="single" w:sz="4" w:space="0" w:color="231F20"/>
              <w:right w:val="single" w:sz="4" w:space="0" w:color="231F20"/>
            </w:tcBorders>
            <w:shd w:val="clear" w:color="auto" w:fill="E0DCE6"/>
          </w:tcPr>
          <w:p>
            <w:pPr/>
          </w:p>
        </w:tc>
        <w:tc>
          <w:tcPr>
            <w:tcW w:w="1464" w:type="dxa"/>
            <w:tcBorders>
              <w:top w:val="single" w:sz="4" w:space="0" w:color="231F20"/>
              <w:left w:val="single" w:sz="4" w:space="0" w:color="231F20"/>
              <w:bottom w:val="single" w:sz="4" w:space="0" w:color="231F20"/>
              <w:right w:val="single" w:sz="4" w:space="0" w:color="231F20"/>
            </w:tcBorders>
            <w:shd w:val="clear" w:color="auto" w:fill="E0DCE6"/>
          </w:tcPr>
          <w:p>
            <w:pPr>
              <w:pStyle w:val="TableParagraph"/>
              <w:spacing w:line="240" w:lineRule="auto" w:before="12"/>
              <w:ind w:left="74" w:right="0"/>
              <w:jc w:val="left"/>
              <w:rPr>
                <w:rFonts w:ascii="Segoe UI" w:hAnsi="Segoe UI" w:cs="Segoe UI" w:eastAsia="Segoe UI"/>
                <w:sz w:val="18"/>
                <w:szCs w:val="18"/>
              </w:rPr>
            </w:pPr>
            <w:r>
              <w:rPr>
                <w:rFonts w:ascii="Segoe UI"/>
                <w:b/>
                <w:color w:val="231F20"/>
                <w:spacing w:val="-1"/>
                <w:sz w:val="18"/>
              </w:rPr>
              <w:t>$17,809,302</w:t>
            </w:r>
            <w:r>
              <w:rPr>
                <w:rFonts w:ascii="Segoe UI"/>
                <w:sz w:val="18"/>
              </w:rPr>
            </w:r>
          </w:p>
        </w:tc>
      </w:tr>
    </w:tbl>
    <w:p>
      <w:pPr>
        <w:spacing w:line="240" w:lineRule="auto" w:before="12"/>
        <w:rPr>
          <w:rFonts w:ascii="Segoe UI" w:hAnsi="Segoe UI" w:cs="Segoe UI" w:eastAsia="Segoe UI"/>
          <w:sz w:val="13"/>
          <w:szCs w:val="13"/>
        </w:rPr>
      </w:pPr>
    </w:p>
    <w:p>
      <w:pPr>
        <w:spacing w:line="361" w:lineRule="auto" w:before="57"/>
        <w:ind w:left="117" w:right="4896" w:firstLine="0"/>
        <w:jc w:val="left"/>
        <w:rPr>
          <w:rFonts w:ascii="Segoe UI" w:hAnsi="Segoe UI" w:cs="Segoe UI" w:eastAsia="Segoe UI"/>
          <w:sz w:val="20"/>
          <w:szCs w:val="20"/>
        </w:rPr>
      </w:pPr>
      <w:r>
        <w:rPr>
          <w:rFonts w:ascii="Segoe UI"/>
          <w:i/>
          <w:color w:val="231F20"/>
          <w:sz w:val="16"/>
        </w:rPr>
        <w:t>*</w:t>
      </w:r>
      <w:r>
        <w:rPr>
          <w:rFonts w:ascii="Segoe UI"/>
          <w:i/>
          <w:color w:val="231F20"/>
          <w:spacing w:val="-2"/>
          <w:sz w:val="16"/>
        </w:rPr>
        <w:t> </w:t>
      </w:r>
      <w:r>
        <w:rPr>
          <w:rFonts w:ascii="Segoe UI"/>
          <w:i/>
          <w:color w:val="231F20"/>
          <w:sz w:val="16"/>
        </w:rPr>
        <w:t>All</w:t>
      </w:r>
      <w:r>
        <w:rPr>
          <w:rFonts w:ascii="Segoe UI"/>
          <w:i/>
          <w:color w:val="231F20"/>
          <w:spacing w:val="-1"/>
          <w:sz w:val="16"/>
        </w:rPr>
        <w:t> </w:t>
      </w:r>
      <w:r>
        <w:rPr>
          <w:rFonts w:ascii="Segoe UI"/>
          <w:i/>
          <w:color w:val="231F20"/>
          <w:sz w:val="16"/>
        </w:rPr>
        <w:t>amounts</w:t>
      </w:r>
      <w:r>
        <w:rPr>
          <w:rFonts w:ascii="Segoe UI"/>
          <w:i/>
          <w:color w:val="231F20"/>
          <w:spacing w:val="-3"/>
          <w:sz w:val="16"/>
        </w:rPr>
        <w:t> </w:t>
      </w:r>
      <w:r>
        <w:rPr>
          <w:rFonts w:ascii="Segoe UI"/>
          <w:i/>
          <w:color w:val="231F20"/>
          <w:spacing w:val="-1"/>
          <w:sz w:val="16"/>
        </w:rPr>
        <w:t>have </w:t>
      </w:r>
      <w:r>
        <w:rPr>
          <w:rFonts w:ascii="Segoe UI"/>
          <w:i/>
          <w:color w:val="231F20"/>
          <w:sz w:val="16"/>
        </w:rPr>
        <w:t>been</w:t>
      </w:r>
      <w:r>
        <w:rPr>
          <w:rFonts w:ascii="Segoe UI"/>
          <w:i/>
          <w:color w:val="231F20"/>
          <w:spacing w:val="-1"/>
          <w:sz w:val="16"/>
        </w:rPr>
        <w:t> rounded</w:t>
      </w:r>
      <w:r>
        <w:rPr>
          <w:rFonts w:ascii="Segoe UI"/>
          <w:i/>
          <w:color w:val="231F20"/>
          <w:spacing w:val="-2"/>
          <w:sz w:val="16"/>
        </w:rPr>
        <w:t> </w:t>
      </w:r>
      <w:r>
        <w:rPr>
          <w:rFonts w:ascii="Segoe UI"/>
          <w:i/>
          <w:color w:val="231F20"/>
          <w:sz w:val="16"/>
        </w:rPr>
        <w:t>to</w:t>
      </w:r>
      <w:r>
        <w:rPr>
          <w:rFonts w:ascii="Segoe UI"/>
          <w:i/>
          <w:color w:val="231F20"/>
          <w:spacing w:val="-2"/>
          <w:sz w:val="16"/>
        </w:rPr>
        <w:t> </w:t>
      </w:r>
      <w:r>
        <w:rPr>
          <w:rFonts w:ascii="Segoe UI"/>
          <w:i/>
          <w:color w:val="231F20"/>
          <w:spacing w:val="-1"/>
          <w:sz w:val="16"/>
        </w:rPr>
        <w:t>the </w:t>
      </w:r>
      <w:r>
        <w:rPr>
          <w:rFonts w:ascii="Segoe UI"/>
          <w:i/>
          <w:color w:val="231F20"/>
          <w:sz w:val="16"/>
        </w:rPr>
        <w:t>nearest</w:t>
      </w:r>
      <w:r>
        <w:rPr>
          <w:rFonts w:ascii="Segoe UI"/>
          <w:i/>
          <w:color w:val="231F20"/>
          <w:spacing w:val="-3"/>
          <w:sz w:val="16"/>
        </w:rPr>
        <w:t> </w:t>
      </w:r>
      <w:r>
        <w:rPr>
          <w:rFonts w:ascii="Segoe UI"/>
          <w:i/>
          <w:color w:val="231F20"/>
          <w:sz w:val="16"/>
        </w:rPr>
        <w:t>$1.</w:t>
      </w:r>
      <w:r>
        <w:rPr>
          <w:rFonts w:ascii="Segoe UI"/>
          <w:i/>
          <w:color w:val="231F20"/>
          <w:spacing w:val="24"/>
          <w:w w:val="99"/>
          <w:sz w:val="16"/>
        </w:rPr>
        <w:t> </w:t>
      </w:r>
      <w:r>
        <w:rPr>
          <w:rFonts w:ascii="Segoe UI"/>
          <w:i/>
          <w:color w:val="231F20"/>
          <w:spacing w:val="-1"/>
          <w:sz w:val="16"/>
        </w:rPr>
        <w:t>Source: Department </w:t>
      </w:r>
      <w:r>
        <w:rPr>
          <w:rFonts w:ascii="Segoe UI"/>
          <w:i/>
          <w:color w:val="231F20"/>
          <w:spacing w:val="-2"/>
          <w:sz w:val="16"/>
        </w:rPr>
        <w:t>of</w:t>
      </w:r>
      <w:r>
        <w:rPr>
          <w:rFonts w:ascii="Segoe UI"/>
          <w:i/>
          <w:color w:val="231F20"/>
          <w:sz w:val="16"/>
        </w:rPr>
        <w:t> Education</w:t>
      </w:r>
      <w:r>
        <w:rPr>
          <w:rFonts w:ascii="Segoe UI"/>
          <w:i/>
          <w:color w:val="231F20"/>
          <w:spacing w:val="-1"/>
          <w:sz w:val="16"/>
        </w:rPr>
        <w:t> </w:t>
      </w:r>
      <w:r>
        <w:rPr>
          <w:rFonts w:ascii="Segoe UI"/>
          <w:i/>
          <w:color w:val="231F20"/>
          <w:sz w:val="16"/>
        </w:rPr>
        <w:t>and</w:t>
      </w:r>
      <w:r>
        <w:rPr>
          <w:rFonts w:ascii="Segoe UI"/>
          <w:i/>
          <w:color w:val="231F20"/>
          <w:spacing w:val="-1"/>
          <w:sz w:val="16"/>
        </w:rPr>
        <w:t> </w:t>
      </w:r>
      <w:r>
        <w:rPr>
          <w:rFonts w:ascii="Segoe UI"/>
          <w:i/>
          <w:color w:val="231F20"/>
          <w:spacing w:val="-2"/>
          <w:sz w:val="16"/>
        </w:rPr>
        <w:t>Training.</w:t>
      </w:r>
      <w:r>
        <w:rPr>
          <w:rFonts w:ascii="Segoe UI"/>
          <w:i/>
          <w:color w:val="231F20"/>
          <w:spacing w:val="-1"/>
          <w:sz w:val="16"/>
        </w:rPr>
        <w:t> </w:t>
      </w:r>
      <w:r>
        <w:rPr>
          <w:rFonts w:ascii="Segoe UI Semibold"/>
          <w:b/>
          <w:color w:val="231F20"/>
          <w:spacing w:val="-1"/>
          <w:position w:val="7"/>
          <w:sz w:val="11"/>
        </w:rPr>
        <w:t>200</w:t>
      </w:r>
      <w:r>
        <w:rPr>
          <w:rFonts w:ascii="Segoe UI"/>
          <w:color w:val="231F20"/>
          <w:spacing w:val="-1"/>
          <w:sz w:val="20"/>
        </w:rPr>
        <w:t>.</w:t>
      </w:r>
      <w:r>
        <w:rPr>
          <w:rFonts w:ascii="Segoe UI"/>
          <w:sz w:val="20"/>
        </w:rPr>
      </w:r>
    </w:p>
    <w:p>
      <w:pPr>
        <w:spacing w:after="0" w:line="361" w:lineRule="auto"/>
        <w:jc w:val="left"/>
        <w:rPr>
          <w:rFonts w:ascii="Segoe UI" w:hAnsi="Segoe UI" w:cs="Segoe UI" w:eastAsia="Segoe UI"/>
          <w:sz w:val="20"/>
          <w:szCs w:val="20"/>
        </w:rPr>
        <w:sectPr>
          <w:footerReference w:type="even" r:id="rId106"/>
          <w:footerReference w:type="default" r:id="rId107"/>
          <w:pgSz w:w="11910" w:h="16840"/>
          <w:pgMar w:footer="691" w:header="0" w:top="1580" w:bottom="880" w:left="1300" w:right="1600"/>
          <w:pgNumType w:start="122"/>
        </w:sectPr>
      </w:pPr>
    </w:p>
    <w:p>
      <w:pPr>
        <w:spacing w:line="240" w:lineRule="auto" w:before="11"/>
        <w:rPr>
          <w:rFonts w:ascii="Segoe UI" w:hAnsi="Segoe UI" w:cs="Segoe UI" w:eastAsia="Segoe UI"/>
          <w:sz w:val="17"/>
          <w:szCs w:val="17"/>
        </w:rPr>
      </w:pPr>
    </w:p>
    <w:p>
      <w:pPr>
        <w:pStyle w:val="Heading1"/>
        <w:numPr>
          <w:ilvl w:val="0"/>
          <w:numId w:val="6"/>
        </w:numPr>
        <w:tabs>
          <w:tab w:pos="821" w:val="left" w:leader="none"/>
        </w:tabs>
        <w:spacing w:line="567" w:lineRule="exact" w:before="0" w:after="0"/>
        <w:ind w:left="820" w:right="0" w:hanging="720"/>
        <w:jc w:val="left"/>
      </w:pPr>
      <w:bookmarkStart w:name="_TOC_250001" w:id="35"/>
      <w:r>
        <w:rPr>
          <w:color w:val="67973F"/>
        </w:rPr>
        <w:t>Appendix</w:t>
      </w:r>
      <w:r>
        <w:rPr>
          <w:color w:val="67973F"/>
          <w:spacing w:val="-8"/>
        </w:rPr>
        <w:t> </w:t>
      </w:r>
      <w:r>
        <w:rPr>
          <w:color w:val="67973F"/>
        </w:rPr>
        <w:t>C</w:t>
      </w:r>
      <w:r>
        <w:rPr>
          <w:color w:val="67973F"/>
          <w:spacing w:val="-8"/>
        </w:rPr>
        <w:t> </w:t>
      </w:r>
      <w:r>
        <w:rPr>
          <w:color w:val="67973F"/>
        </w:rPr>
        <w:t>–</w:t>
      </w:r>
      <w:r>
        <w:rPr>
          <w:color w:val="67973F"/>
          <w:spacing w:val="-8"/>
        </w:rPr>
        <w:t> </w:t>
      </w:r>
      <w:r>
        <w:rPr>
          <w:color w:val="67973F"/>
          <w:spacing w:val="-1"/>
        </w:rPr>
        <w:t>Safe</w:t>
      </w:r>
      <w:r>
        <w:rPr>
          <w:color w:val="67973F"/>
          <w:spacing w:val="-7"/>
        </w:rPr>
        <w:t> </w:t>
      </w:r>
      <w:r>
        <w:rPr>
          <w:color w:val="67973F"/>
        </w:rPr>
        <w:t>travel</w:t>
      </w:r>
      <w:r>
        <w:rPr>
          <w:color w:val="67973F"/>
          <w:spacing w:val="-9"/>
        </w:rPr>
        <w:t> </w:t>
      </w:r>
      <w:r>
        <w:rPr>
          <w:color w:val="67973F"/>
        </w:rPr>
        <w:t>plans</w:t>
      </w:r>
      <w:bookmarkEnd w:id="35"/>
      <w:r>
        <w:rPr/>
      </w:r>
    </w:p>
    <w:p>
      <w:pPr>
        <w:pStyle w:val="Heading4"/>
        <w:spacing w:line="300" w:lineRule="exact" w:before="148"/>
        <w:ind w:right="167"/>
        <w:jc w:val="left"/>
      </w:pPr>
      <w:r>
        <w:rPr>
          <w:color w:val="666155"/>
        </w:rPr>
        <w:t>The</w:t>
      </w:r>
      <w:r>
        <w:rPr>
          <w:color w:val="666155"/>
          <w:spacing w:val="-6"/>
        </w:rPr>
        <w:t> </w:t>
      </w:r>
      <w:r>
        <w:rPr>
          <w:color w:val="666155"/>
        </w:rPr>
        <w:t>following</w:t>
      </w:r>
      <w:r>
        <w:rPr>
          <w:color w:val="666155"/>
          <w:spacing w:val="-4"/>
        </w:rPr>
        <w:t> </w:t>
      </w:r>
      <w:r>
        <w:rPr>
          <w:color w:val="666155"/>
          <w:spacing w:val="-1"/>
        </w:rPr>
        <w:t>is</w:t>
      </w:r>
      <w:r>
        <w:rPr>
          <w:color w:val="666155"/>
          <w:spacing w:val="-5"/>
        </w:rPr>
        <w:t> </w:t>
      </w:r>
      <w:r>
        <w:rPr>
          <w:color w:val="666155"/>
        </w:rPr>
        <w:t>an</w:t>
      </w:r>
      <w:r>
        <w:rPr>
          <w:color w:val="666155"/>
          <w:spacing w:val="-5"/>
        </w:rPr>
        <w:t> </w:t>
      </w:r>
      <w:r>
        <w:rPr>
          <w:color w:val="666155"/>
        </w:rPr>
        <w:t>extract</w:t>
      </w:r>
      <w:r>
        <w:rPr>
          <w:color w:val="666155"/>
          <w:spacing w:val="-5"/>
        </w:rPr>
        <w:t> </w:t>
      </w:r>
      <w:r>
        <w:rPr>
          <w:color w:val="666155"/>
        </w:rPr>
        <w:t>from</w:t>
      </w:r>
      <w:r>
        <w:rPr>
          <w:color w:val="666155"/>
          <w:spacing w:val="-4"/>
        </w:rPr>
        <w:t> </w:t>
      </w:r>
      <w:r>
        <w:rPr>
          <w:color w:val="666155"/>
        </w:rPr>
        <w:t>the</w:t>
      </w:r>
      <w:r>
        <w:rPr>
          <w:color w:val="666155"/>
          <w:spacing w:val="-5"/>
        </w:rPr>
        <w:t> </w:t>
      </w:r>
      <w:r>
        <w:rPr>
          <w:color w:val="666155"/>
          <w:spacing w:val="-1"/>
        </w:rPr>
        <w:t>Department</w:t>
      </w:r>
      <w:r>
        <w:rPr>
          <w:color w:val="666155"/>
          <w:spacing w:val="-4"/>
        </w:rPr>
        <w:t> </w:t>
      </w:r>
      <w:r>
        <w:rPr>
          <w:color w:val="666155"/>
        </w:rPr>
        <w:t>of</w:t>
      </w:r>
      <w:r>
        <w:rPr>
          <w:color w:val="666155"/>
          <w:spacing w:val="-4"/>
        </w:rPr>
        <w:t> </w:t>
      </w:r>
      <w:r>
        <w:rPr>
          <w:color w:val="666155"/>
          <w:spacing w:val="-1"/>
        </w:rPr>
        <w:t>Social</w:t>
      </w:r>
      <w:r>
        <w:rPr>
          <w:color w:val="666155"/>
          <w:spacing w:val="-5"/>
        </w:rPr>
        <w:t> </w:t>
      </w:r>
      <w:r>
        <w:rPr>
          <w:color w:val="666155"/>
          <w:spacing w:val="-1"/>
        </w:rPr>
        <w:t>Services</w:t>
      </w:r>
      <w:r>
        <w:rPr>
          <w:color w:val="666155"/>
          <w:spacing w:val="-4"/>
        </w:rPr>
        <w:t> </w:t>
      </w:r>
      <w:r>
        <w:rPr>
          <w:color w:val="666155"/>
        </w:rPr>
        <w:t>fact</w:t>
      </w:r>
      <w:r>
        <w:rPr>
          <w:color w:val="666155"/>
          <w:spacing w:val="-4"/>
        </w:rPr>
        <w:t> </w:t>
      </w:r>
      <w:r>
        <w:rPr>
          <w:color w:val="666155"/>
          <w:spacing w:val="-1"/>
        </w:rPr>
        <w:t>sheet</w:t>
      </w:r>
      <w:r>
        <w:rPr>
          <w:color w:val="666155"/>
          <w:spacing w:val="24"/>
        </w:rPr>
        <w:t> </w:t>
      </w:r>
      <w:r>
        <w:rPr>
          <w:color w:val="666155"/>
        </w:rPr>
        <w:t>regarding</w:t>
      </w:r>
      <w:r>
        <w:rPr>
          <w:color w:val="666155"/>
          <w:spacing w:val="-8"/>
        </w:rPr>
        <w:t> </w:t>
      </w:r>
      <w:r>
        <w:rPr>
          <w:color w:val="666155"/>
          <w:spacing w:val="-1"/>
        </w:rPr>
        <w:t>safe</w:t>
      </w:r>
      <w:r>
        <w:rPr>
          <w:color w:val="666155"/>
          <w:spacing w:val="-6"/>
        </w:rPr>
        <w:t> </w:t>
      </w:r>
      <w:r>
        <w:rPr>
          <w:color w:val="666155"/>
        </w:rPr>
        <w:t>travel</w:t>
      </w:r>
      <w:r>
        <w:rPr>
          <w:color w:val="666155"/>
          <w:spacing w:val="-7"/>
        </w:rPr>
        <w:t> </w:t>
      </w:r>
      <w:r>
        <w:rPr>
          <w:color w:val="666155"/>
        </w:rPr>
        <w:t>plans</w:t>
      </w:r>
      <w:r>
        <w:rPr>
          <w:color w:val="666155"/>
          <w:spacing w:val="-7"/>
        </w:rPr>
        <w:t> </w:t>
      </w:r>
      <w:r>
        <w:rPr>
          <w:color w:val="666155"/>
        </w:rPr>
        <w:t>(STPs).</w:t>
      </w:r>
      <w:r>
        <w:rPr/>
      </w:r>
    </w:p>
    <w:p>
      <w:pPr>
        <w:spacing w:line="240" w:lineRule="auto" w:before="2"/>
        <w:rPr>
          <w:rFonts w:ascii="Segoe UI" w:hAnsi="Segoe UI" w:cs="Segoe UI" w:eastAsia="Segoe UI"/>
          <w:sz w:val="9"/>
          <w:szCs w:val="9"/>
        </w:rPr>
      </w:pPr>
    </w:p>
    <w:p>
      <w:pPr>
        <w:spacing w:after="0" w:line="240" w:lineRule="auto"/>
        <w:rPr>
          <w:rFonts w:ascii="Segoe UI" w:hAnsi="Segoe UI" w:cs="Segoe UI" w:eastAsia="Segoe UI"/>
          <w:sz w:val="9"/>
          <w:szCs w:val="9"/>
        </w:rPr>
        <w:sectPr>
          <w:pgSz w:w="11910" w:h="16840"/>
          <w:pgMar w:header="0" w:footer="691" w:top="1580" w:bottom="880" w:left="1600" w:right="1300"/>
        </w:sectPr>
      </w:pPr>
    </w:p>
    <w:p>
      <w:pPr>
        <w:pStyle w:val="BodyText"/>
        <w:spacing w:line="250" w:lineRule="exact" w:before="62"/>
        <w:ind w:left="100" w:right="73"/>
        <w:jc w:val="left"/>
      </w:pPr>
      <w:r>
        <w:rPr>
          <w:color w:val="231F20"/>
        </w:rPr>
        <w:t>The</w:t>
      </w:r>
      <w:r>
        <w:rPr>
          <w:color w:val="231F20"/>
          <w:spacing w:val="-6"/>
        </w:rPr>
        <w:t> </w:t>
      </w:r>
      <w:r>
        <w:rPr>
          <w:color w:val="231F20"/>
          <w:spacing w:val="-2"/>
        </w:rPr>
        <w:t>Study</w:t>
      </w:r>
      <w:r>
        <w:rPr>
          <w:color w:val="231F20"/>
          <w:spacing w:val="-6"/>
        </w:rPr>
        <w:t> </w:t>
      </w:r>
      <w:r>
        <w:rPr>
          <w:color w:val="231F20"/>
          <w:spacing w:val="-1"/>
        </w:rPr>
        <w:t>Away</w:t>
      </w:r>
      <w:r>
        <w:rPr>
          <w:color w:val="231F20"/>
          <w:spacing w:val="-6"/>
        </w:rPr>
        <w:t> </w:t>
      </w:r>
      <w:r>
        <w:rPr>
          <w:color w:val="231F20"/>
          <w:spacing w:val="-1"/>
        </w:rPr>
        <w:t>Review</w:t>
      </w:r>
      <w:r>
        <w:rPr>
          <w:color w:val="231F20"/>
          <w:spacing w:val="-6"/>
        </w:rPr>
        <w:t> </w:t>
      </w:r>
      <w:r>
        <w:rPr>
          <w:color w:val="231F20"/>
        </w:rPr>
        <w:t>found</w:t>
      </w:r>
      <w:r>
        <w:rPr>
          <w:color w:val="231F20"/>
          <w:spacing w:val="-5"/>
        </w:rPr>
        <w:t> </w:t>
      </w:r>
      <w:r>
        <w:rPr>
          <w:color w:val="231F20"/>
        </w:rPr>
        <w:t>that</w:t>
      </w:r>
      <w:r>
        <w:rPr>
          <w:color w:val="231F20"/>
          <w:spacing w:val="-6"/>
        </w:rPr>
        <w:t> </w:t>
      </w:r>
      <w:r>
        <w:rPr>
          <w:color w:val="231F20"/>
        </w:rPr>
        <w:t>remote</w:t>
      </w:r>
      <w:r>
        <w:rPr>
          <w:color w:val="231F20"/>
          <w:spacing w:val="24"/>
          <w:w w:val="99"/>
        </w:rPr>
        <w:t> </w:t>
      </w:r>
      <w:r>
        <w:rPr>
          <w:color w:val="231F20"/>
        </w:rPr>
        <w:t>Aboriginal</w:t>
      </w:r>
      <w:r>
        <w:rPr>
          <w:color w:val="231F20"/>
          <w:spacing w:val="-5"/>
        </w:rPr>
        <w:t> </w:t>
      </w:r>
      <w:r>
        <w:rPr>
          <w:color w:val="231F20"/>
        </w:rPr>
        <w:t>and</w:t>
      </w:r>
      <w:r>
        <w:rPr>
          <w:color w:val="231F20"/>
          <w:spacing w:val="-5"/>
        </w:rPr>
        <w:t> Torres </w:t>
      </w:r>
      <w:r>
        <w:rPr>
          <w:color w:val="231F20"/>
          <w:spacing w:val="-2"/>
        </w:rPr>
        <w:t>Strait</w:t>
      </w:r>
      <w:r>
        <w:rPr>
          <w:color w:val="231F20"/>
          <w:spacing w:val="-5"/>
        </w:rPr>
        <w:t> </w:t>
      </w:r>
      <w:r>
        <w:rPr>
          <w:color w:val="231F20"/>
          <w:spacing w:val="-1"/>
        </w:rPr>
        <w:t>Islander</w:t>
      </w:r>
      <w:r>
        <w:rPr>
          <w:color w:val="231F20"/>
          <w:spacing w:val="-5"/>
        </w:rPr>
        <w:t> </w:t>
      </w:r>
      <w:r>
        <w:rPr>
          <w:color w:val="231F20"/>
          <w:spacing w:val="-1"/>
        </w:rPr>
        <w:t>students</w:t>
      </w:r>
      <w:r>
        <w:rPr>
          <w:color w:val="231F20"/>
          <w:spacing w:val="20"/>
        </w:rPr>
        <w:t> </w:t>
      </w:r>
      <w:r>
        <w:rPr>
          <w:color w:val="231F20"/>
        </w:rPr>
        <w:t>face</w:t>
      </w:r>
      <w:r>
        <w:rPr>
          <w:color w:val="231F20"/>
          <w:spacing w:val="-7"/>
        </w:rPr>
        <w:t> </w:t>
      </w:r>
      <w:r>
        <w:rPr>
          <w:color w:val="231F20"/>
          <w:spacing w:val="-1"/>
        </w:rPr>
        <w:t>multiple</w:t>
      </w:r>
      <w:r>
        <w:rPr>
          <w:color w:val="231F20"/>
          <w:spacing w:val="-6"/>
        </w:rPr>
        <w:t> </w:t>
      </w:r>
      <w:r>
        <w:rPr>
          <w:color w:val="231F20"/>
        </w:rPr>
        <w:t>challenges</w:t>
      </w:r>
      <w:r>
        <w:rPr>
          <w:color w:val="231F20"/>
          <w:spacing w:val="-7"/>
        </w:rPr>
        <w:t> </w:t>
      </w:r>
      <w:r>
        <w:rPr>
          <w:color w:val="231F20"/>
        </w:rPr>
        <w:t>when</w:t>
      </w:r>
      <w:r>
        <w:rPr>
          <w:color w:val="231F20"/>
          <w:spacing w:val="-7"/>
        </w:rPr>
        <w:t> </w:t>
      </w:r>
      <w:r>
        <w:rPr>
          <w:color w:val="231F20"/>
        </w:rPr>
        <w:t>travelling</w:t>
      </w:r>
      <w:r>
        <w:rPr>
          <w:color w:val="231F20"/>
          <w:spacing w:val="-7"/>
        </w:rPr>
        <w:t> </w:t>
      </w:r>
      <w:r>
        <w:rPr>
          <w:color w:val="231F20"/>
        </w:rPr>
        <w:t>from</w:t>
      </w:r>
      <w:r>
        <w:rPr>
          <w:color w:val="231F20"/>
          <w:spacing w:val="22"/>
          <w:w w:val="99"/>
        </w:rPr>
        <w:t> </w:t>
      </w:r>
      <w:r>
        <w:rPr>
          <w:color w:val="231F20"/>
        </w:rPr>
        <w:t>community</w:t>
      </w:r>
      <w:r>
        <w:rPr>
          <w:color w:val="231F20"/>
          <w:spacing w:val="-7"/>
        </w:rPr>
        <w:t> </w:t>
      </w:r>
      <w:r>
        <w:rPr>
          <w:color w:val="231F20"/>
        </w:rPr>
        <w:t>to</w:t>
      </w:r>
      <w:r>
        <w:rPr>
          <w:color w:val="231F20"/>
          <w:spacing w:val="-7"/>
        </w:rPr>
        <w:t> </w:t>
      </w:r>
      <w:r>
        <w:rPr>
          <w:color w:val="231F20"/>
          <w:spacing w:val="-1"/>
        </w:rPr>
        <w:t>school/boarding</w:t>
      </w:r>
      <w:r>
        <w:rPr>
          <w:color w:val="231F20"/>
          <w:spacing w:val="-5"/>
        </w:rPr>
        <w:t> </w:t>
      </w:r>
      <w:r>
        <w:rPr>
          <w:color w:val="231F20"/>
        </w:rPr>
        <w:t>and</w:t>
      </w:r>
      <w:r>
        <w:rPr>
          <w:color w:val="231F20"/>
          <w:spacing w:val="-7"/>
        </w:rPr>
        <w:t> </w:t>
      </w:r>
      <w:r>
        <w:rPr>
          <w:color w:val="231F20"/>
        </w:rPr>
        <w:t>back,</w:t>
      </w:r>
      <w:r>
        <w:rPr>
          <w:color w:val="231F20"/>
          <w:spacing w:val="22"/>
          <w:w w:val="99"/>
        </w:rPr>
        <w:t> </w:t>
      </w:r>
      <w:r>
        <w:rPr>
          <w:color w:val="231F20"/>
          <w:spacing w:val="-1"/>
        </w:rPr>
        <w:t>including:</w:t>
      </w:r>
      <w:r>
        <w:rPr/>
      </w:r>
    </w:p>
    <w:p>
      <w:pPr>
        <w:pStyle w:val="BodyText"/>
        <w:spacing w:line="240" w:lineRule="auto" w:before="97"/>
        <w:ind w:left="100" w:right="32"/>
        <w:jc w:val="left"/>
      </w:pPr>
      <w:r>
        <w:rPr>
          <w:rFonts w:ascii="Century Gothic" w:hAnsi="Century Gothic"/>
          <w:color w:val="231F20"/>
        </w:rPr>
        <w:t>» </w:t>
      </w:r>
      <w:r>
        <w:rPr>
          <w:rFonts w:ascii="Century Gothic" w:hAnsi="Century Gothic"/>
          <w:color w:val="231F20"/>
          <w:spacing w:val="18"/>
        </w:rPr>
        <w:t> </w:t>
      </w:r>
      <w:r>
        <w:rPr>
          <w:color w:val="231F20"/>
          <w:spacing w:val="-1"/>
        </w:rPr>
        <w:t>long</w:t>
      </w:r>
      <w:r>
        <w:rPr>
          <w:color w:val="231F20"/>
          <w:spacing w:val="-5"/>
        </w:rPr>
        <w:t> </w:t>
      </w:r>
      <w:r>
        <w:rPr>
          <w:color w:val="231F20"/>
        </w:rPr>
        <w:t>periods</w:t>
      </w:r>
      <w:r>
        <w:rPr>
          <w:color w:val="231F20"/>
          <w:spacing w:val="-5"/>
        </w:rPr>
        <w:t> </w:t>
      </w:r>
      <w:r>
        <w:rPr>
          <w:color w:val="231F20"/>
        </w:rPr>
        <w:t>waiting</w:t>
      </w:r>
      <w:r>
        <w:rPr>
          <w:color w:val="231F20"/>
          <w:spacing w:val="-6"/>
        </w:rPr>
        <w:t> </w:t>
      </w:r>
      <w:r>
        <w:rPr>
          <w:color w:val="231F20"/>
        </w:rPr>
        <w:t>for</w:t>
      </w:r>
      <w:r>
        <w:rPr>
          <w:color w:val="231F20"/>
          <w:spacing w:val="-5"/>
        </w:rPr>
        <w:t> </w:t>
      </w:r>
      <w:r>
        <w:rPr>
          <w:color w:val="231F20"/>
        </w:rPr>
        <w:t>travel</w:t>
      </w:r>
      <w:r>
        <w:rPr>
          <w:color w:val="231F20"/>
          <w:spacing w:val="-6"/>
        </w:rPr>
        <w:t> </w:t>
      </w:r>
      <w:r>
        <w:rPr>
          <w:color w:val="231F20"/>
        </w:rPr>
        <w:t>connections</w:t>
      </w:r>
      <w:r>
        <w:rPr/>
      </w:r>
    </w:p>
    <w:p>
      <w:pPr>
        <w:pStyle w:val="BodyText"/>
        <w:spacing w:line="250" w:lineRule="exact" w:before="113"/>
        <w:ind w:left="327" w:right="12" w:hanging="227"/>
        <w:jc w:val="left"/>
      </w:pPr>
      <w:r>
        <w:rPr>
          <w:rFonts w:ascii="Century Gothic" w:hAnsi="Century Gothic"/>
          <w:color w:val="231F20"/>
        </w:rPr>
        <w:t>» </w:t>
      </w:r>
      <w:r>
        <w:rPr>
          <w:rFonts w:ascii="Century Gothic" w:hAnsi="Century Gothic"/>
          <w:color w:val="231F20"/>
          <w:spacing w:val="20"/>
        </w:rPr>
        <w:t> </w:t>
      </w:r>
      <w:r>
        <w:rPr>
          <w:color w:val="231F20"/>
        </w:rPr>
        <w:t>disrupted</w:t>
      </w:r>
      <w:r>
        <w:rPr>
          <w:color w:val="231F20"/>
          <w:spacing w:val="-5"/>
        </w:rPr>
        <w:t> </w:t>
      </w:r>
      <w:r>
        <w:rPr>
          <w:color w:val="231F20"/>
        </w:rPr>
        <w:t>travel</w:t>
      </w:r>
      <w:r>
        <w:rPr>
          <w:color w:val="231F20"/>
          <w:spacing w:val="-6"/>
        </w:rPr>
        <w:t> </w:t>
      </w:r>
      <w:r>
        <w:rPr>
          <w:color w:val="231F20"/>
        </w:rPr>
        <w:t>(where</w:t>
      </w:r>
      <w:r>
        <w:rPr>
          <w:color w:val="231F20"/>
          <w:spacing w:val="-5"/>
        </w:rPr>
        <w:t> </w:t>
      </w:r>
      <w:r>
        <w:rPr>
          <w:color w:val="231F20"/>
        </w:rPr>
        <w:t>a</w:t>
      </w:r>
      <w:r>
        <w:rPr>
          <w:color w:val="231F20"/>
          <w:spacing w:val="-4"/>
        </w:rPr>
        <w:t> </w:t>
      </w:r>
      <w:r>
        <w:rPr>
          <w:color w:val="231F20"/>
        </w:rPr>
        <w:t>travel</w:t>
      </w:r>
      <w:r>
        <w:rPr>
          <w:color w:val="231F20"/>
          <w:spacing w:val="-6"/>
        </w:rPr>
        <w:t> </w:t>
      </w:r>
      <w:r>
        <w:rPr>
          <w:color w:val="231F20"/>
        </w:rPr>
        <w:t>connection</w:t>
      </w:r>
      <w:r>
        <w:rPr>
          <w:color w:val="231F20"/>
          <w:spacing w:val="-5"/>
        </w:rPr>
        <w:t> </w:t>
      </w:r>
      <w:r>
        <w:rPr>
          <w:color w:val="231F20"/>
          <w:spacing w:val="-1"/>
        </w:rPr>
        <w:t>is</w:t>
      </w:r>
      <w:r>
        <w:rPr>
          <w:color w:val="231F20"/>
          <w:spacing w:val="19"/>
        </w:rPr>
        <w:t> </w:t>
      </w:r>
      <w:r>
        <w:rPr>
          <w:color w:val="231F20"/>
          <w:spacing w:val="-1"/>
        </w:rPr>
        <w:t>missed</w:t>
      </w:r>
      <w:r>
        <w:rPr>
          <w:color w:val="231F20"/>
          <w:spacing w:val="-6"/>
        </w:rPr>
        <w:t> </w:t>
      </w:r>
      <w:r>
        <w:rPr>
          <w:color w:val="231F20"/>
        </w:rPr>
        <w:t>or</w:t>
      </w:r>
      <w:r>
        <w:rPr>
          <w:color w:val="231F20"/>
          <w:spacing w:val="-5"/>
        </w:rPr>
        <w:t> </w:t>
      </w:r>
      <w:r>
        <w:rPr>
          <w:color w:val="231F20"/>
        </w:rPr>
        <w:t>cancelled)</w:t>
      </w:r>
      <w:r>
        <w:rPr/>
      </w:r>
    </w:p>
    <w:p>
      <w:pPr>
        <w:pStyle w:val="BodyText"/>
        <w:spacing w:line="250" w:lineRule="exact" w:before="113"/>
        <w:ind w:left="327" w:right="12" w:hanging="227"/>
        <w:jc w:val="left"/>
      </w:pPr>
      <w:r>
        <w:rPr>
          <w:rFonts w:ascii="Century Gothic" w:hAnsi="Century Gothic"/>
          <w:color w:val="231F20"/>
        </w:rPr>
        <w:t>» </w:t>
      </w:r>
      <w:r>
        <w:rPr>
          <w:rFonts w:ascii="Century Gothic" w:hAnsi="Century Gothic"/>
          <w:color w:val="231F20"/>
          <w:spacing w:val="20"/>
        </w:rPr>
        <w:t> </w:t>
      </w:r>
      <w:r>
        <w:rPr>
          <w:color w:val="231F20"/>
        </w:rPr>
        <w:t>a</w:t>
      </w:r>
      <w:r>
        <w:rPr>
          <w:color w:val="231F20"/>
          <w:spacing w:val="-5"/>
        </w:rPr>
        <w:t> </w:t>
      </w:r>
      <w:r>
        <w:rPr>
          <w:color w:val="231F20"/>
          <w:spacing w:val="-1"/>
        </w:rPr>
        <w:t>lack</w:t>
      </w:r>
      <w:r>
        <w:rPr>
          <w:color w:val="231F20"/>
          <w:spacing w:val="-4"/>
        </w:rPr>
        <w:t> </w:t>
      </w:r>
      <w:r>
        <w:rPr>
          <w:color w:val="231F20"/>
        </w:rPr>
        <w:t>of</w:t>
      </w:r>
      <w:r>
        <w:rPr>
          <w:color w:val="231F20"/>
          <w:spacing w:val="-4"/>
        </w:rPr>
        <w:t> </w:t>
      </w:r>
      <w:r>
        <w:rPr>
          <w:color w:val="231F20"/>
        </w:rPr>
        <w:t>contingency</w:t>
      </w:r>
      <w:r>
        <w:rPr>
          <w:color w:val="231F20"/>
          <w:spacing w:val="-6"/>
        </w:rPr>
        <w:t> </w:t>
      </w:r>
      <w:r>
        <w:rPr>
          <w:color w:val="231F20"/>
        </w:rPr>
        <w:t>planning</w:t>
      </w:r>
      <w:r>
        <w:rPr>
          <w:color w:val="231F20"/>
          <w:spacing w:val="-5"/>
        </w:rPr>
        <w:t> </w:t>
      </w:r>
      <w:r>
        <w:rPr>
          <w:color w:val="231F20"/>
        </w:rPr>
        <w:t>for</w:t>
      </w:r>
      <w:r>
        <w:rPr>
          <w:color w:val="231F20"/>
          <w:spacing w:val="-4"/>
        </w:rPr>
        <w:t> </w:t>
      </w:r>
      <w:r>
        <w:rPr>
          <w:color w:val="231F20"/>
        </w:rPr>
        <w:t>disrupted</w:t>
      </w:r>
      <w:r>
        <w:rPr>
          <w:color w:val="231F20"/>
          <w:spacing w:val="21"/>
          <w:w w:val="99"/>
        </w:rPr>
        <w:t> </w:t>
      </w:r>
      <w:r>
        <w:rPr>
          <w:color w:val="231F20"/>
        </w:rPr>
        <w:t>travel</w:t>
      </w:r>
      <w:r>
        <w:rPr/>
      </w:r>
    </w:p>
    <w:p>
      <w:pPr>
        <w:pStyle w:val="BodyText"/>
        <w:spacing w:line="250" w:lineRule="exact" w:before="113"/>
        <w:ind w:left="327" w:right="73" w:hanging="227"/>
        <w:jc w:val="left"/>
      </w:pPr>
      <w:r>
        <w:rPr>
          <w:rFonts w:ascii="Century Gothic" w:hAnsi="Century Gothic"/>
          <w:color w:val="231F20"/>
        </w:rPr>
        <w:t>» </w:t>
      </w:r>
      <w:r>
        <w:rPr>
          <w:rFonts w:ascii="Century Gothic" w:hAnsi="Century Gothic"/>
          <w:color w:val="231F20"/>
          <w:spacing w:val="25"/>
        </w:rPr>
        <w:t> </w:t>
      </w:r>
      <w:r>
        <w:rPr>
          <w:color w:val="231F20"/>
        </w:rPr>
        <w:t>being</w:t>
      </w:r>
      <w:r>
        <w:rPr>
          <w:color w:val="231F20"/>
          <w:spacing w:val="-3"/>
        </w:rPr>
        <w:t> </w:t>
      </w:r>
      <w:r>
        <w:rPr>
          <w:color w:val="231F20"/>
        </w:rPr>
        <w:t>assisted</w:t>
      </w:r>
      <w:r>
        <w:rPr>
          <w:color w:val="231F20"/>
          <w:spacing w:val="-4"/>
        </w:rPr>
        <w:t> </w:t>
      </w:r>
      <w:r>
        <w:rPr>
          <w:color w:val="231F20"/>
        </w:rPr>
        <w:t>by</w:t>
      </w:r>
      <w:r>
        <w:rPr>
          <w:color w:val="231F20"/>
          <w:spacing w:val="-2"/>
        </w:rPr>
        <w:t> </w:t>
      </w:r>
      <w:r>
        <w:rPr>
          <w:color w:val="231F20"/>
        </w:rPr>
        <w:t>travel</w:t>
      </w:r>
      <w:r>
        <w:rPr>
          <w:color w:val="231F20"/>
          <w:spacing w:val="-3"/>
        </w:rPr>
        <w:t> </w:t>
      </w:r>
      <w:r>
        <w:rPr>
          <w:color w:val="231F20"/>
          <w:spacing w:val="-1"/>
        </w:rPr>
        <w:t>supervisors</w:t>
      </w:r>
      <w:r>
        <w:rPr>
          <w:color w:val="231F20"/>
          <w:spacing w:val="-2"/>
        </w:rPr>
        <w:t> </w:t>
      </w:r>
      <w:r>
        <w:rPr>
          <w:color w:val="231F20"/>
        </w:rPr>
        <w:t>with</w:t>
      </w:r>
      <w:r>
        <w:rPr>
          <w:color w:val="231F20"/>
          <w:spacing w:val="-3"/>
        </w:rPr>
        <w:t> </w:t>
      </w:r>
      <w:r>
        <w:rPr>
          <w:color w:val="231F20"/>
        </w:rPr>
        <w:t>no</w:t>
      </w:r>
      <w:r>
        <w:rPr>
          <w:color w:val="231F20"/>
          <w:spacing w:val="22"/>
          <w:w w:val="99"/>
        </w:rPr>
        <w:t> </w:t>
      </w:r>
      <w:r>
        <w:rPr>
          <w:color w:val="231F20"/>
        </w:rPr>
        <w:t>experience,</w:t>
      </w:r>
      <w:r>
        <w:rPr>
          <w:color w:val="231F20"/>
          <w:spacing w:val="-17"/>
        </w:rPr>
        <w:t> </w:t>
      </w:r>
      <w:r>
        <w:rPr>
          <w:color w:val="231F20"/>
        </w:rPr>
        <w:t>and/or</w:t>
      </w:r>
      <w:r>
        <w:rPr/>
      </w:r>
    </w:p>
    <w:p>
      <w:pPr>
        <w:pStyle w:val="BodyText"/>
        <w:spacing w:line="250" w:lineRule="exact" w:before="113"/>
        <w:ind w:left="327" w:right="35" w:hanging="227"/>
        <w:jc w:val="left"/>
      </w:pPr>
      <w:r>
        <w:rPr>
          <w:rFonts w:ascii="Century Gothic" w:hAnsi="Century Gothic"/>
          <w:color w:val="231F20"/>
        </w:rPr>
        <w:t>» </w:t>
      </w:r>
      <w:r>
        <w:rPr>
          <w:rFonts w:ascii="Century Gothic" w:hAnsi="Century Gothic"/>
          <w:color w:val="231F20"/>
          <w:spacing w:val="17"/>
        </w:rPr>
        <w:t> </w:t>
      </w:r>
      <w:r>
        <w:rPr>
          <w:color w:val="231F20"/>
        </w:rPr>
        <w:t>travelling</w:t>
      </w:r>
      <w:r>
        <w:rPr>
          <w:color w:val="231F20"/>
          <w:spacing w:val="-6"/>
        </w:rPr>
        <w:t> </w:t>
      </w:r>
      <w:r>
        <w:rPr>
          <w:color w:val="231F20"/>
        </w:rPr>
        <w:t>unaccompanied</w:t>
      </w:r>
      <w:r>
        <w:rPr>
          <w:color w:val="231F20"/>
          <w:spacing w:val="-6"/>
        </w:rPr>
        <w:t> </w:t>
      </w:r>
      <w:r>
        <w:rPr>
          <w:color w:val="231F20"/>
        </w:rPr>
        <w:t>and</w:t>
      </w:r>
      <w:r>
        <w:rPr>
          <w:color w:val="231F20"/>
          <w:spacing w:val="-6"/>
        </w:rPr>
        <w:t> </w:t>
      </w:r>
      <w:r>
        <w:rPr>
          <w:color w:val="231F20"/>
        </w:rPr>
        <w:t>trying</w:t>
      </w:r>
      <w:r>
        <w:rPr>
          <w:color w:val="231F20"/>
          <w:spacing w:val="-6"/>
        </w:rPr>
        <w:t> </w:t>
      </w:r>
      <w:r>
        <w:rPr>
          <w:color w:val="231F20"/>
        </w:rPr>
        <w:t>to</w:t>
      </w:r>
      <w:r>
        <w:rPr>
          <w:color w:val="231F20"/>
          <w:w w:val="99"/>
        </w:rPr>
        <w:t> </w:t>
      </w:r>
      <w:r>
        <w:rPr>
          <w:color w:val="231F20"/>
        </w:rPr>
        <w:t>navigate</w:t>
      </w:r>
      <w:r>
        <w:rPr>
          <w:color w:val="231F20"/>
          <w:spacing w:val="-7"/>
        </w:rPr>
        <w:t> </w:t>
      </w:r>
      <w:r>
        <w:rPr>
          <w:color w:val="231F20"/>
        </w:rPr>
        <w:t>travel</w:t>
      </w:r>
      <w:r>
        <w:rPr>
          <w:color w:val="231F20"/>
          <w:spacing w:val="-6"/>
        </w:rPr>
        <w:t> </w:t>
      </w:r>
      <w:r>
        <w:rPr>
          <w:color w:val="231F20"/>
          <w:spacing w:val="-1"/>
        </w:rPr>
        <w:t>schedules</w:t>
      </w:r>
      <w:r>
        <w:rPr>
          <w:color w:val="231F20"/>
          <w:spacing w:val="-5"/>
        </w:rPr>
        <w:t> </w:t>
      </w:r>
      <w:r>
        <w:rPr>
          <w:color w:val="231F20"/>
        </w:rPr>
        <w:t>and</w:t>
      </w:r>
      <w:r>
        <w:rPr>
          <w:color w:val="231F20"/>
          <w:spacing w:val="-6"/>
        </w:rPr>
        <w:t> </w:t>
      </w:r>
      <w:r>
        <w:rPr>
          <w:color w:val="231F20"/>
        </w:rPr>
        <w:t>airports</w:t>
      </w:r>
      <w:r>
        <w:rPr>
          <w:color w:val="231F20"/>
          <w:spacing w:val="-7"/>
        </w:rPr>
        <w:t> </w:t>
      </w:r>
      <w:r>
        <w:rPr>
          <w:color w:val="231F20"/>
        </w:rPr>
        <w:t>with</w:t>
      </w:r>
      <w:r>
        <w:rPr>
          <w:color w:val="231F20"/>
          <w:spacing w:val="22"/>
          <w:w w:val="99"/>
        </w:rPr>
        <w:t> </w:t>
      </w:r>
      <w:r>
        <w:rPr>
          <w:color w:val="231F20"/>
        </w:rPr>
        <w:t>no</w:t>
      </w:r>
      <w:r>
        <w:rPr>
          <w:color w:val="231F20"/>
          <w:spacing w:val="-5"/>
        </w:rPr>
        <w:t> </w:t>
      </w:r>
      <w:r>
        <w:rPr>
          <w:color w:val="231F20"/>
        </w:rPr>
        <w:t>or</w:t>
      </w:r>
      <w:r>
        <w:rPr>
          <w:color w:val="231F20"/>
          <w:spacing w:val="-5"/>
        </w:rPr>
        <w:t> </w:t>
      </w:r>
      <w:r>
        <w:rPr>
          <w:color w:val="231F20"/>
          <w:spacing w:val="-1"/>
        </w:rPr>
        <w:t>limited</w:t>
      </w:r>
      <w:r>
        <w:rPr>
          <w:color w:val="231F20"/>
          <w:spacing w:val="-5"/>
        </w:rPr>
        <w:t> </w:t>
      </w:r>
      <w:r>
        <w:rPr>
          <w:color w:val="231F20"/>
        </w:rPr>
        <w:t>travel</w:t>
      </w:r>
      <w:r>
        <w:rPr>
          <w:color w:val="231F20"/>
          <w:spacing w:val="-5"/>
        </w:rPr>
        <w:t> </w:t>
      </w:r>
      <w:r>
        <w:rPr>
          <w:color w:val="231F20"/>
        </w:rPr>
        <w:t>experience.</w:t>
      </w:r>
      <w:r>
        <w:rPr/>
      </w:r>
    </w:p>
    <w:p>
      <w:pPr>
        <w:pStyle w:val="BodyText"/>
        <w:spacing w:line="250" w:lineRule="exact" w:before="113"/>
        <w:ind w:left="327" w:right="12" w:hanging="227"/>
        <w:jc w:val="left"/>
      </w:pPr>
      <w:r>
        <w:rPr>
          <w:rFonts w:ascii="Century Gothic" w:hAnsi="Century Gothic"/>
          <w:color w:val="231F20"/>
        </w:rPr>
        <w:t>» </w:t>
      </w:r>
      <w:r>
        <w:rPr>
          <w:rFonts w:ascii="Century Gothic" w:hAnsi="Century Gothic"/>
          <w:color w:val="231F20"/>
          <w:spacing w:val="25"/>
        </w:rPr>
        <w:t> </w:t>
      </w:r>
      <w:r>
        <w:rPr>
          <w:color w:val="231F20"/>
        </w:rPr>
        <w:t>The</w:t>
      </w:r>
      <w:r>
        <w:rPr>
          <w:color w:val="231F20"/>
          <w:spacing w:val="-3"/>
        </w:rPr>
        <w:t> </w:t>
      </w:r>
      <w:r>
        <w:rPr>
          <w:color w:val="231F20"/>
          <w:spacing w:val="-1"/>
        </w:rPr>
        <w:t>Review</w:t>
      </w:r>
      <w:r>
        <w:rPr>
          <w:color w:val="231F20"/>
          <w:spacing w:val="-3"/>
        </w:rPr>
        <w:t> </w:t>
      </w:r>
      <w:r>
        <w:rPr>
          <w:color w:val="231F20"/>
        </w:rPr>
        <w:t>also</w:t>
      </w:r>
      <w:r>
        <w:rPr>
          <w:color w:val="231F20"/>
          <w:spacing w:val="-4"/>
        </w:rPr>
        <w:t> </w:t>
      </w:r>
      <w:r>
        <w:rPr>
          <w:color w:val="231F20"/>
        </w:rPr>
        <w:t>found</w:t>
      </w:r>
      <w:r>
        <w:rPr>
          <w:color w:val="231F20"/>
          <w:spacing w:val="-2"/>
        </w:rPr>
        <w:t> </w:t>
      </w:r>
      <w:r>
        <w:rPr>
          <w:color w:val="231F20"/>
        </w:rPr>
        <w:t>that</w:t>
      </w:r>
      <w:r>
        <w:rPr>
          <w:color w:val="231F20"/>
          <w:spacing w:val="-4"/>
        </w:rPr>
        <w:t> </w:t>
      </w:r>
      <w:r>
        <w:rPr>
          <w:color w:val="231F20"/>
          <w:spacing w:val="-1"/>
        </w:rPr>
        <w:t>some</w:t>
      </w:r>
      <w:r>
        <w:rPr>
          <w:color w:val="231F20"/>
          <w:spacing w:val="-2"/>
        </w:rPr>
        <w:t> </w:t>
      </w:r>
      <w:r>
        <w:rPr>
          <w:color w:val="231F20"/>
        </w:rPr>
        <w:t>of</w:t>
      </w:r>
      <w:r>
        <w:rPr>
          <w:color w:val="231F20"/>
          <w:spacing w:val="-2"/>
        </w:rPr>
        <w:t> </w:t>
      </w:r>
      <w:r>
        <w:rPr>
          <w:color w:val="231F20"/>
        </w:rPr>
        <w:t>the</w:t>
      </w:r>
      <w:r>
        <w:rPr>
          <w:color w:val="231F20"/>
          <w:spacing w:val="21"/>
          <w:w w:val="99"/>
        </w:rPr>
        <w:t> </w:t>
      </w:r>
      <w:r>
        <w:rPr>
          <w:color w:val="231F20"/>
          <w:spacing w:val="-1"/>
        </w:rPr>
        <w:t>issues</w:t>
      </w:r>
      <w:r>
        <w:rPr>
          <w:color w:val="231F20"/>
          <w:spacing w:val="-5"/>
        </w:rPr>
        <w:t> </w:t>
      </w:r>
      <w:r>
        <w:rPr>
          <w:color w:val="231F20"/>
          <w:spacing w:val="-1"/>
        </w:rPr>
        <w:t>leading</w:t>
      </w:r>
      <w:r>
        <w:rPr>
          <w:color w:val="231F20"/>
          <w:spacing w:val="-4"/>
        </w:rPr>
        <w:t> </w:t>
      </w:r>
      <w:r>
        <w:rPr>
          <w:color w:val="231F20"/>
        </w:rPr>
        <w:t>to</w:t>
      </w:r>
      <w:r>
        <w:rPr>
          <w:color w:val="231F20"/>
          <w:spacing w:val="-5"/>
        </w:rPr>
        <w:t> </w:t>
      </w:r>
      <w:r>
        <w:rPr>
          <w:color w:val="231F20"/>
        </w:rPr>
        <w:t>these</w:t>
      </w:r>
      <w:r>
        <w:rPr>
          <w:color w:val="231F20"/>
          <w:spacing w:val="-5"/>
        </w:rPr>
        <w:t> </w:t>
      </w:r>
      <w:r>
        <w:rPr>
          <w:color w:val="231F20"/>
        </w:rPr>
        <w:t>challenges</w:t>
      </w:r>
      <w:r>
        <w:rPr>
          <w:color w:val="231F20"/>
          <w:spacing w:val="-6"/>
        </w:rPr>
        <w:t> </w:t>
      </w:r>
      <w:r>
        <w:rPr>
          <w:color w:val="231F20"/>
        </w:rPr>
        <w:t>were:</w:t>
      </w:r>
      <w:r>
        <w:rPr/>
      </w:r>
    </w:p>
    <w:p>
      <w:pPr>
        <w:pStyle w:val="BodyText"/>
        <w:spacing w:line="250" w:lineRule="exact" w:before="113"/>
        <w:ind w:left="327" w:right="12" w:hanging="227"/>
        <w:jc w:val="left"/>
      </w:pPr>
      <w:r>
        <w:rPr>
          <w:rFonts w:ascii="Century Gothic" w:hAnsi="Century Gothic"/>
          <w:color w:val="231F20"/>
        </w:rPr>
        <w:t>» </w:t>
      </w:r>
      <w:r>
        <w:rPr>
          <w:rFonts w:ascii="Century Gothic" w:hAnsi="Century Gothic"/>
          <w:color w:val="231F20"/>
          <w:spacing w:val="24"/>
        </w:rPr>
        <w:t> </w:t>
      </w:r>
      <w:r>
        <w:rPr>
          <w:color w:val="231F20"/>
        </w:rPr>
        <w:t>a</w:t>
      </w:r>
      <w:r>
        <w:rPr>
          <w:color w:val="231F20"/>
          <w:spacing w:val="-3"/>
        </w:rPr>
        <w:t> </w:t>
      </w:r>
      <w:r>
        <w:rPr>
          <w:color w:val="231F20"/>
          <w:spacing w:val="-1"/>
        </w:rPr>
        <w:t>lack</w:t>
      </w:r>
      <w:r>
        <w:rPr>
          <w:color w:val="231F20"/>
          <w:spacing w:val="-2"/>
        </w:rPr>
        <w:t> </w:t>
      </w:r>
      <w:r>
        <w:rPr>
          <w:color w:val="231F20"/>
        </w:rPr>
        <w:t>of</w:t>
      </w:r>
      <w:r>
        <w:rPr>
          <w:color w:val="231F20"/>
          <w:spacing w:val="-3"/>
        </w:rPr>
        <w:t> </w:t>
      </w:r>
      <w:r>
        <w:rPr>
          <w:color w:val="231F20"/>
        </w:rPr>
        <w:t>clarity</w:t>
      </w:r>
      <w:r>
        <w:rPr>
          <w:color w:val="231F20"/>
          <w:spacing w:val="-4"/>
        </w:rPr>
        <w:t> </w:t>
      </w:r>
      <w:r>
        <w:rPr>
          <w:color w:val="231F20"/>
        </w:rPr>
        <w:t>around</w:t>
      </w:r>
      <w:r>
        <w:rPr>
          <w:color w:val="231F20"/>
          <w:spacing w:val="-3"/>
        </w:rPr>
        <w:t> </w:t>
      </w:r>
      <w:r>
        <w:rPr>
          <w:color w:val="231F20"/>
        </w:rPr>
        <w:t>roles</w:t>
      </w:r>
      <w:r>
        <w:rPr>
          <w:color w:val="231F20"/>
          <w:spacing w:val="-4"/>
        </w:rPr>
        <w:t> </w:t>
      </w:r>
      <w:r>
        <w:rPr>
          <w:color w:val="231F20"/>
        </w:rPr>
        <w:t>and</w:t>
      </w:r>
      <w:r>
        <w:rPr>
          <w:color w:val="231F20"/>
          <w:spacing w:val="21"/>
          <w:w w:val="99"/>
        </w:rPr>
        <w:t> </w:t>
      </w:r>
      <w:r>
        <w:rPr>
          <w:color w:val="231F20"/>
        </w:rPr>
        <w:t>responsibilities</w:t>
      </w:r>
      <w:r>
        <w:rPr>
          <w:color w:val="231F20"/>
          <w:spacing w:val="-7"/>
        </w:rPr>
        <w:t> </w:t>
      </w:r>
      <w:r>
        <w:rPr>
          <w:color w:val="231F20"/>
        </w:rPr>
        <w:t>for</w:t>
      </w:r>
      <w:r>
        <w:rPr>
          <w:color w:val="231F20"/>
          <w:spacing w:val="-4"/>
        </w:rPr>
        <w:t> </w:t>
      </w:r>
      <w:r>
        <w:rPr>
          <w:color w:val="231F20"/>
        </w:rPr>
        <w:t>care</w:t>
      </w:r>
      <w:r>
        <w:rPr>
          <w:color w:val="231F20"/>
          <w:spacing w:val="-4"/>
        </w:rPr>
        <w:t> </w:t>
      </w:r>
      <w:r>
        <w:rPr>
          <w:color w:val="231F20"/>
        </w:rPr>
        <w:t>of</w:t>
      </w:r>
      <w:r>
        <w:rPr>
          <w:color w:val="231F20"/>
          <w:spacing w:val="-3"/>
        </w:rPr>
        <w:t> </w:t>
      </w:r>
      <w:r>
        <w:rPr>
          <w:color w:val="231F20"/>
        </w:rPr>
        <w:t>the</w:t>
      </w:r>
      <w:r>
        <w:rPr>
          <w:color w:val="231F20"/>
          <w:spacing w:val="-5"/>
        </w:rPr>
        <w:t> </w:t>
      </w:r>
      <w:r>
        <w:rPr>
          <w:color w:val="231F20"/>
          <w:spacing w:val="-1"/>
        </w:rPr>
        <w:t>student</w:t>
      </w:r>
      <w:r>
        <w:rPr>
          <w:color w:val="231F20"/>
          <w:spacing w:val="-4"/>
        </w:rPr>
        <w:t> </w:t>
      </w:r>
      <w:r>
        <w:rPr>
          <w:color w:val="231F20"/>
        </w:rPr>
        <w:t>when</w:t>
      </w:r>
      <w:r>
        <w:rPr>
          <w:color w:val="231F20"/>
          <w:spacing w:val="22"/>
          <w:w w:val="99"/>
        </w:rPr>
        <w:t> </w:t>
      </w:r>
      <w:r>
        <w:rPr>
          <w:color w:val="231F20"/>
        </w:rPr>
        <w:t>the</w:t>
      </w:r>
      <w:r>
        <w:rPr>
          <w:color w:val="231F20"/>
          <w:spacing w:val="-6"/>
        </w:rPr>
        <w:t> </w:t>
      </w:r>
      <w:r>
        <w:rPr>
          <w:color w:val="231F20"/>
          <w:spacing w:val="-1"/>
        </w:rPr>
        <w:t>student</w:t>
      </w:r>
      <w:r>
        <w:rPr>
          <w:color w:val="231F20"/>
          <w:spacing w:val="-4"/>
        </w:rPr>
        <w:t> </w:t>
      </w:r>
      <w:r>
        <w:rPr>
          <w:color w:val="231F20"/>
          <w:spacing w:val="-1"/>
        </w:rPr>
        <w:t>is</w:t>
      </w:r>
      <w:r>
        <w:rPr>
          <w:color w:val="231F20"/>
          <w:spacing w:val="-5"/>
        </w:rPr>
        <w:t> </w:t>
      </w:r>
      <w:r>
        <w:rPr>
          <w:color w:val="231F20"/>
          <w:spacing w:val="-1"/>
        </w:rPr>
        <w:t>in</w:t>
      </w:r>
      <w:r>
        <w:rPr>
          <w:color w:val="231F20"/>
          <w:spacing w:val="-4"/>
        </w:rPr>
        <w:t> </w:t>
      </w:r>
      <w:r>
        <w:rPr>
          <w:color w:val="231F20"/>
        </w:rPr>
        <w:t>transit</w:t>
      </w:r>
      <w:r>
        <w:rPr>
          <w:color w:val="231F20"/>
          <w:spacing w:val="-5"/>
        </w:rPr>
        <w:t> </w:t>
      </w:r>
      <w:r>
        <w:rPr>
          <w:color w:val="231F20"/>
        </w:rPr>
        <w:t>and</w:t>
      </w:r>
      <w:r>
        <w:rPr>
          <w:color w:val="231F20"/>
          <w:spacing w:val="-5"/>
        </w:rPr>
        <w:t> </w:t>
      </w:r>
      <w:r>
        <w:rPr>
          <w:color w:val="231F20"/>
        </w:rPr>
        <w:t>during</w:t>
      </w:r>
      <w:r>
        <w:rPr>
          <w:color w:val="231F20"/>
          <w:spacing w:val="-6"/>
        </w:rPr>
        <w:t> </w:t>
      </w:r>
      <w:r>
        <w:rPr>
          <w:color w:val="231F20"/>
        </w:rPr>
        <w:t>travel</w:t>
      </w:r>
      <w:r>
        <w:rPr>
          <w:color w:val="231F20"/>
          <w:spacing w:val="24"/>
          <w:w w:val="99"/>
        </w:rPr>
        <w:t> </w:t>
      </w:r>
      <w:r>
        <w:rPr>
          <w:color w:val="231F20"/>
        </w:rPr>
        <w:t>disruptions;</w:t>
      </w:r>
      <w:r>
        <w:rPr/>
      </w:r>
    </w:p>
    <w:p>
      <w:pPr>
        <w:pStyle w:val="BodyText"/>
        <w:spacing w:line="250" w:lineRule="exact" w:before="113"/>
        <w:ind w:left="327" w:right="12" w:hanging="227"/>
        <w:jc w:val="left"/>
      </w:pPr>
      <w:r>
        <w:rPr>
          <w:rFonts w:ascii="Century Gothic" w:hAnsi="Century Gothic"/>
          <w:color w:val="231F20"/>
        </w:rPr>
        <w:t>» </w:t>
      </w:r>
      <w:r>
        <w:rPr>
          <w:rFonts w:ascii="Century Gothic" w:hAnsi="Century Gothic"/>
          <w:color w:val="231F20"/>
          <w:spacing w:val="25"/>
        </w:rPr>
        <w:t> </w:t>
      </w:r>
      <w:r>
        <w:rPr>
          <w:color w:val="231F20"/>
        </w:rPr>
        <w:t>no</w:t>
      </w:r>
      <w:r>
        <w:rPr>
          <w:color w:val="231F20"/>
          <w:spacing w:val="-3"/>
        </w:rPr>
        <w:t> </w:t>
      </w:r>
      <w:r>
        <w:rPr>
          <w:color w:val="231F20"/>
        </w:rPr>
        <w:t>requirement</w:t>
      </w:r>
      <w:r>
        <w:rPr>
          <w:color w:val="231F20"/>
          <w:spacing w:val="-4"/>
        </w:rPr>
        <w:t> </w:t>
      </w:r>
      <w:r>
        <w:rPr>
          <w:color w:val="231F20"/>
        </w:rPr>
        <w:t>for</w:t>
      </w:r>
      <w:r>
        <w:rPr>
          <w:color w:val="231F20"/>
          <w:spacing w:val="-2"/>
        </w:rPr>
        <w:t> </w:t>
      </w:r>
      <w:r>
        <w:rPr>
          <w:color w:val="231F20"/>
        </w:rPr>
        <w:t>a</w:t>
      </w:r>
      <w:r>
        <w:rPr>
          <w:color w:val="231F20"/>
          <w:spacing w:val="-3"/>
        </w:rPr>
        <w:t> </w:t>
      </w:r>
      <w:r>
        <w:rPr>
          <w:color w:val="231F20"/>
        </w:rPr>
        <w:t>risk</w:t>
      </w:r>
      <w:r>
        <w:rPr>
          <w:color w:val="231F20"/>
          <w:spacing w:val="-3"/>
        </w:rPr>
        <w:t> </w:t>
      </w:r>
      <w:r>
        <w:rPr>
          <w:color w:val="231F20"/>
        </w:rPr>
        <w:t>assessment</w:t>
      </w:r>
      <w:r>
        <w:rPr>
          <w:color w:val="231F20"/>
          <w:spacing w:val="-3"/>
        </w:rPr>
        <w:t> </w:t>
      </w:r>
      <w:r>
        <w:rPr>
          <w:color w:val="231F20"/>
        </w:rPr>
        <w:t>or</w:t>
      </w:r>
      <w:r>
        <w:rPr>
          <w:color w:val="231F20"/>
          <w:w w:val="99"/>
        </w:rPr>
        <w:t> </w:t>
      </w:r>
      <w:r>
        <w:rPr>
          <w:color w:val="231F20"/>
          <w:spacing w:val="-1"/>
        </w:rPr>
        <w:t>management</w:t>
      </w:r>
      <w:r>
        <w:rPr>
          <w:color w:val="231F20"/>
          <w:spacing w:val="-6"/>
        </w:rPr>
        <w:t> </w:t>
      </w:r>
      <w:r>
        <w:rPr>
          <w:color w:val="231F20"/>
        </w:rPr>
        <w:t>plan</w:t>
      </w:r>
      <w:r>
        <w:rPr>
          <w:color w:val="231F20"/>
          <w:spacing w:val="-8"/>
        </w:rPr>
        <w:t> </w:t>
      </w:r>
      <w:r>
        <w:rPr>
          <w:color w:val="231F20"/>
        </w:rPr>
        <w:t>for</w:t>
      </w:r>
      <w:r>
        <w:rPr>
          <w:color w:val="231F20"/>
          <w:spacing w:val="-6"/>
        </w:rPr>
        <w:t> </w:t>
      </w:r>
      <w:r>
        <w:rPr>
          <w:color w:val="231F20"/>
          <w:spacing w:val="-1"/>
        </w:rPr>
        <w:t>students</w:t>
      </w:r>
      <w:r>
        <w:rPr>
          <w:color w:val="231F20"/>
          <w:spacing w:val="-7"/>
        </w:rPr>
        <w:t> </w:t>
      </w:r>
      <w:r>
        <w:rPr>
          <w:color w:val="231F20"/>
        </w:rPr>
        <w:t>travelling</w:t>
      </w:r>
      <w:r>
        <w:rPr>
          <w:color w:val="231F20"/>
          <w:spacing w:val="23"/>
          <w:w w:val="99"/>
        </w:rPr>
        <w:t> </w:t>
      </w:r>
      <w:r>
        <w:rPr>
          <w:color w:val="231F20"/>
        </w:rPr>
        <w:t>unaccompanied</w:t>
      </w:r>
      <w:r>
        <w:rPr>
          <w:color w:val="231F20"/>
          <w:spacing w:val="-6"/>
        </w:rPr>
        <w:t> </w:t>
      </w:r>
      <w:r>
        <w:rPr>
          <w:color w:val="231F20"/>
        </w:rPr>
        <w:t>or</w:t>
      </w:r>
      <w:r>
        <w:rPr>
          <w:color w:val="231F20"/>
          <w:spacing w:val="-4"/>
        </w:rPr>
        <w:t> </w:t>
      </w:r>
      <w:r>
        <w:rPr>
          <w:color w:val="231F20"/>
        </w:rPr>
        <w:t>on</w:t>
      </w:r>
      <w:r>
        <w:rPr>
          <w:color w:val="231F20"/>
          <w:spacing w:val="-4"/>
        </w:rPr>
        <w:t> </w:t>
      </w:r>
      <w:r>
        <w:rPr>
          <w:color w:val="231F20"/>
        </w:rPr>
        <w:t>the</w:t>
      </w:r>
      <w:r>
        <w:rPr>
          <w:color w:val="231F20"/>
          <w:spacing w:val="-6"/>
        </w:rPr>
        <w:t> </w:t>
      </w:r>
      <w:r>
        <w:rPr>
          <w:color w:val="231F20"/>
          <w:spacing w:val="-1"/>
        </w:rPr>
        <w:t>suitability</w:t>
      </w:r>
      <w:r>
        <w:rPr>
          <w:color w:val="231F20"/>
          <w:spacing w:val="-3"/>
        </w:rPr>
        <w:t> </w:t>
      </w:r>
      <w:r>
        <w:rPr>
          <w:color w:val="231F20"/>
        </w:rPr>
        <w:t>of</w:t>
      </w:r>
      <w:r>
        <w:rPr>
          <w:color w:val="231F20"/>
          <w:spacing w:val="-4"/>
        </w:rPr>
        <w:t> </w:t>
      </w:r>
      <w:r>
        <w:rPr>
          <w:color w:val="231F20"/>
        </w:rPr>
        <w:t>the</w:t>
      </w:r>
      <w:r>
        <w:rPr>
          <w:color w:val="231F20"/>
          <w:spacing w:val="22"/>
          <w:w w:val="99"/>
        </w:rPr>
        <w:t> </w:t>
      </w:r>
      <w:r>
        <w:rPr>
          <w:color w:val="231F20"/>
        </w:rPr>
        <w:t>travel</w:t>
      </w:r>
      <w:r>
        <w:rPr>
          <w:color w:val="231F20"/>
          <w:spacing w:val="-10"/>
        </w:rPr>
        <w:t> </w:t>
      </w:r>
      <w:r>
        <w:rPr>
          <w:color w:val="231F20"/>
          <w:spacing w:val="-1"/>
        </w:rPr>
        <w:t>supervisor;</w:t>
      </w:r>
      <w:r>
        <w:rPr>
          <w:color w:val="231F20"/>
          <w:spacing w:val="-8"/>
        </w:rPr>
        <w:t> </w:t>
      </w:r>
      <w:r>
        <w:rPr>
          <w:color w:val="231F20"/>
        </w:rPr>
        <w:t>and</w:t>
      </w:r>
      <w:r>
        <w:rPr/>
      </w:r>
    </w:p>
    <w:p>
      <w:pPr>
        <w:pStyle w:val="BodyText"/>
        <w:spacing w:line="258" w:lineRule="exact" w:before="97"/>
        <w:ind w:left="100" w:right="401"/>
        <w:jc w:val="left"/>
      </w:pPr>
      <w:r>
        <w:rPr>
          <w:color w:val="231F20"/>
        </w:rPr>
        <w:t>ABSTUDY</w:t>
      </w:r>
      <w:r>
        <w:rPr>
          <w:color w:val="231F20"/>
          <w:spacing w:val="-6"/>
        </w:rPr>
        <w:t> </w:t>
      </w:r>
      <w:r>
        <w:rPr>
          <w:color w:val="231F20"/>
          <w:spacing w:val="-2"/>
        </w:rPr>
        <w:t>Fares</w:t>
      </w:r>
      <w:r>
        <w:rPr>
          <w:color w:val="231F20"/>
          <w:spacing w:val="-6"/>
        </w:rPr>
        <w:t> </w:t>
      </w:r>
      <w:r>
        <w:rPr>
          <w:color w:val="231F20"/>
        </w:rPr>
        <w:t>Allowance</w:t>
      </w:r>
      <w:r>
        <w:rPr>
          <w:color w:val="231F20"/>
          <w:spacing w:val="-5"/>
        </w:rPr>
        <w:t> </w:t>
      </w:r>
      <w:r>
        <w:rPr>
          <w:color w:val="231F20"/>
        </w:rPr>
        <w:t>rules</w:t>
      </w:r>
      <w:r>
        <w:rPr>
          <w:color w:val="231F20"/>
          <w:spacing w:val="-5"/>
        </w:rPr>
        <w:t> </w:t>
      </w:r>
      <w:r>
        <w:rPr>
          <w:color w:val="231F20"/>
          <w:spacing w:val="-1"/>
        </w:rPr>
        <w:t>lacking</w:t>
      </w:r>
      <w:r>
        <w:rPr/>
      </w:r>
    </w:p>
    <w:p>
      <w:pPr>
        <w:pStyle w:val="BodyText"/>
        <w:spacing w:line="258" w:lineRule="exact"/>
        <w:ind w:left="100" w:right="401"/>
        <w:jc w:val="left"/>
        <w:rPr>
          <w:rFonts w:ascii="Segoe UI" w:hAnsi="Segoe UI" w:cs="Segoe UI" w:eastAsia="Segoe UI"/>
        </w:rPr>
      </w:pPr>
      <w:r>
        <w:rPr>
          <w:rFonts w:ascii="Segoe UI"/>
          <w:color w:val="231F20"/>
        </w:rPr>
        <w:t>flexibility to cover all travel scenarios.</w:t>
      </w:r>
      <w:r>
        <w:rPr>
          <w:rFonts w:ascii="Segoe UI"/>
        </w:rPr>
      </w:r>
    </w:p>
    <w:p>
      <w:pPr>
        <w:spacing w:line="240" w:lineRule="auto" w:before="2"/>
        <w:rPr>
          <w:rFonts w:ascii="Segoe UI" w:hAnsi="Segoe UI" w:cs="Segoe UI" w:eastAsia="Segoe UI"/>
          <w:sz w:val="26"/>
          <w:szCs w:val="26"/>
        </w:rPr>
      </w:pPr>
    </w:p>
    <w:p>
      <w:pPr>
        <w:pStyle w:val="Heading6"/>
        <w:spacing w:line="240" w:lineRule="auto" w:before="0"/>
        <w:ind w:right="401"/>
        <w:jc w:val="left"/>
        <w:rPr>
          <w:b w:val="0"/>
          <w:bCs w:val="0"/>
        </w:rPr>
      </w:pPr>
      <w:r>
        <w:rPr>
          <w:color w:val="231F20"/>
          <w:spacing w:val="-1"/>
        </w:rPr>
        <w:t>2018–19</w:t>
      </w:r>
      <w:r>
        <w:rPr>
          <w:color w:val="231F20"/>
        </w:rPr>
        <w:t> </w:t>
      </w:r>
      <w:r>
        <w:rPr>
          <w:color w:val="231F20"/>
          <w:spacing w:val="-1"/>
        </w:rPr>
        <w:t>Budget</w:t>
      </w:r>
      <w:r>
        <w:rPr>
          <w:color w:val="231F20"/>
        </w:rPr>
        <w:t> </w:t>
      </w:r>
      <w:r>
        <w:rPr>
          <w:color w:val="231F20"/>
          <w:spacing w:val="-1"/>
        </w:rPr>
        <w:t>Measure</w:t>
      </w:r>
      <w:r>
        <w:rPr>
          <w:color w:val="231F20"/>
        </w:rPr>
        <w:t> </w:t>
      </w:r>
      <w:r>
        <w:rPr>
          <w:color w:val="231F20"/>
          <w:spacing w:val="-1"/>
        </w:rPr>
        <w:t>for</w:t>
      </w:r>
      <w:r>
        <w:rPr>
          <w:color w:val="231F20"/>
        </w:rPr>
        <w:t> </w:t>
      </w:r>
      <w:r>
        <w:rPr>
          <w:color w:val="231F20"/>
          <w:spacing w:val="-1"/>
        </w:rPr>
        <w:t>ABSTUDY</w:t>
      </w:r>
      <w:r>
        <w:rPr>
          <w:b w:val="0"/>
          <w:bCs w:val="0"/>
        </w:rPr>
      </w:r>
    </w:p>
    <w:p>
      <w:pPr>
        <w:pStyle w:val="BodyText"/>
        <w:spacing w:line="250" w:lineRule="exact" w:before="113"/>
        <w:ind w:left="100" w:right="32"/>
        <w:jc w:val="left"/>
      </w:pPr>
      <w:r>
        <w:rPr>
          <w:color w:val="231F20"/>
          <w:spacing w:val="-1"/>
        </w:rPr>
        <w:t>STPs,</w:t>
      </w:r>
      <w:r>
        <w:rPr>
          <w:color w:val="231F20"/>
          <w:spacing w:val="-4"/>
        </w:rPr>
        <w:t> </w:t>
      </w:r>
      <w:r>
        <w:rPr>
          <w:color w:val="231F20"/>
        </w:rPr>
        <w:t>along</w:t>
      </w:r>
      <w:r>
        <w:rPr>
          <w:color w:val="231F20"/>
          <w:spacing w:val="-4"/>
        </w:rPr>
        <w:t> </w:t>
      </w:r>
      <w:r>
        <w:rPr>
          <w:color w:val="231F20"/>
        </w:rPr>
        <w:t>with</w:t>
      </w:r>
      <w:r>
        <w:rPr>
          <w:color w:val="231F20"/>
          <w:spacing w:val="-4"/>
        </w:rPr>
        <w:t> </w:t>
      </w:r>
      <w:r>
        <w:rPr>
          <w:color w:val="231F20"/>
        </w:rPr>
        <w:t>other</w:t>
      </w:r>
      <w:r>
        <w:rPr>
          <w:color w:val="231F20"/>
          <w:spacing w:val="-3"/>
        </w:rPr>
        <w:t> </w:t>
      </w:r>
      <w:r>
        <w:rPr>
          <w:color w:val="231F20"/>
          <w:spacing w:val="-1"/>
        </w:rPr>
        <w:t>improvements</w:t>
      </w:r>
      <w:r>
        <w:rPr>
          <w:color w:val="231F20"/>
          <w:spacing w:val="-3"/>
        </w:rPr>
        <w:t> </w:t>
      </w:r>
      <w:r>
        <w:rPr>
          <w:color w:val="231F20"/>
        </w:rPr>
        <w:t>to</w:t>
      </w:r>
      <w:r>
        <w:rPr>
          <w:color w:val="231F20"/>
          <w:spacing w:val="-3"/>
        </w:rPr>
        <w:t> </w:t>
      </w:r>
      <w:r>
        <w:rPr>
          <w:color w:val="231F20"/>
          <w:spacing w:val="-2"/>
        </w:rPr>
        <w:t>Fares</w:t>
      </w:r>
      <w:r>
        <w:rPr>
          <w:color w:val="231F20"/>
          <w:spacing w:val="25"/>
          <w:w w:val="99"/>
        </w:rPr>
        <w:t> </w:t>
      </w:r>
      <w:r>
        <w:rPr>
          <w:color w:val="231F20"/>
        </w:rPr>
        <w:t>Allowance</w:t>
      </w:r>
      <w:r>
        <w:rPr>
          <w:color w:val="231F20"/>
          <w:spacing w:val="-6"/>
        </w:rPr>
        <w:t> </w:t>
      </w:r>
      <w:r>
        <w:rPr>
          <w:color w:val="231F20"/>
        </w:rPr>
        <w:t>announced</w:t>
      </w:r>
      <w:r>
        <w:rPr>
          <w:color w:val="231F20"/>
          <w:spacing w:val="-7"/>
        </w:rPr>
        <w:t> </w:t>
      </w:r>
      <w:r>
        <w:rPr>
          <w:color w:val="231F20"/>
          <w:spacing w:val="-1"/>
        </w:rPr>
        <w:t>in</w:t>
      </w:r>
      <w:r>
        <w:rPr>
          <w:color w:val="231F20"/>
          <w:spacing w:val="-6"/>
        </w:rPr>
        <w:t> </w:t>
      </w:r>
      <w:r>
        <w:rPr>
          <w:color w:val="231F20"/>
        </w:rPr>
        <w:t>the</w:t>
      </w:r>
      <w:r>
        <w:rPr>
          <w:color w:val="231F20"/>
          <w:spacing w:val="-6"/>
        </w:rPr>
        <w:t> </w:t>
      </w:r>
      <w:r>
        <w:rPr>
          <w:color w:val="231F20"/>
          <w:spacing w:val="-1"/>
        </w:rPr>
        <w:t>2018–19</w:t>
      </w:r>
      <w:r>
        <w:rPr>
          <w:color w:val="231F20"/>
          <w:spacing w:val="-6"/>
        </w:rPr>
        <w:t> </w:t>
      </w:r>
      <w:r>
        <w:rPr>
          <w:color w:val="231F20"/>
          <w:spacing w:val="-1"/>
        </w:rPr>
        <w:t>Budget,</w:t>
      </w:r>
      <w:r>
        <w:rPr>
          <w:color w:val="231F20"/>
          <w:spacing w:val="22"/>
          <w:w w:val="99"/>
        </w:rPr>
        <w:t> </w:t>
      </w:r>
      <w:r>
        <w:rPr>
          <w:rFonts w:ascii="Segoe UI" w:hAnsi="Segoe UI" w:cs="Segoe UI" w:eastAsia="Segoe UI"/>
          <w:color w:val="231F20"/>
        </w:rPr>
        <w:t>are a direct response to the findings from the</w:t>
      </w:r>
      <w:r>
        <w:rPr>
          <w:rFonts w:ascii="Segoe UI" w:hAnsi="Segoe UI" w:cs="Segoe UI" w:eastAsia="Segoe UI"/>
          <w:color w:val="231F20"/>
        </w:rPr>
        <w:t> </w:t>
      </w:r>
      <w:r>
        <w:rPr>
          <w:color w:val="231F20"/>
          <w:spacing w:val="-2"/>
        </w:rPr>
        <w:t>Study</w:t>
      </w:r>
      <w:r>
        <w:rPr>
          <w:color w:val="231F20"/>
          <w:spacing w:val="-6"/>
        </w:rPr>
        <w:t> </w:t>
      </w:r>
      <w:r>
        <w:rPr>
          <w:color w:val="231F20"/>
          <w:spacing w:val="-1"/>
        </w:rPr>
        <w:t>Away</w:t>
      </w:r>
      <w:r>
        <w:rPr>
          <w:color w:val="231F20"/>
          <w:spacing w:val="-6"/>
        </w:rPr>
        <w:t> </w:t>
      </w:r>
      <w:r>
        <w:rPr>
          <w:color w:val="231F20"/>
          <w:spacing w:val="-1"/>
        </w:rPr>
        <w:t>Review</w:t>
      </w:r>
      <w:r>
        <w:rPr>
          <w:color w:val="231F20"/>
          <w:spacing w:val="-5"/>
        </w:rPr>
        <w:t> </w:t>
      </w:r>
      <w:r>
        <w:rPr>
          <w:color w:val="231F20"/>
        </w:rPr>
        <w:t>and</w:t>
      </w:r>
      <w:r>
        <w:rPr>
          <w:color w:val="231F20"/>
          <w:spacing w:val="-6"/>
        </w:rPr>
        <w:t> </w:t>
      </w:r>
      <w:r>
        <w:rPr>
          <w:color w:val="231F20"/>
        </w:rPr>
        <w:t>the</w:t>
      </w:r>
      <w:r>
        <w:rPr>
          <w:color w:val="231F20"/>
          <w:spacing w:val="-5"/>
        </w:rPr>
        <w:t> </w:t>
      </w:r>
      <w:r>
        <w:rPr>
          <w:color w:val="231F20"/>
        </w:rPr>
        <w:t>need</w:t>
      </w:r>
      <w:r>
        <w:rPr>
          <w:color w:val="231F20"/>
          <w:spacing w:val="-6"/>
        </w:rPr>
        <w:t> </w:t>
      </w:r>
      <w:r>
        <w:rPr>
          <w:color w:val="231F20"/>
        </w:rPr>
        <w:t>to</w:t>
      </w:r>
      <w:r>
        <w:rPr>
          <w:color w:val="231F20"/>
          <w:spacing w:val="-5"/>
        </w:rPr>
        <w:t> </w:t>
      </w:r>
      <w:r>
        <w:rPr>
          <w:color w:val="231F20"/>
          <w:spacing w:val="-1"/>
        </w:rPr>
        <w:t>improve</w:t>
      </w:r>
      <w:r>
        <w:rPr>
          <w:color w:val="231F20"/>
          <w:spacing w:val="23"/>
          <w:w w:val="99"/>
        </w:rPr>
        <w:t> </w:t>
      </w:r>
      <w:r>
        <w:rPr>
          <w:rFonts w:ascii="Segoe UI" w:hAnsi="Segoe UI" w:cs="Segoe UI" w:eastAsia="Segoe UI"/>
          <w:color w:val="231F20"/>
        </w:rPr>
        <w:t>the safety, fairness and flexibility of travel</w:t>
      </w:r>
      <w:r>
        <w:rPr>
          <w:rFonts w:ascii="Segoe UI" w:hAnsi="Segoe UI" w:cs="Segoe UI" w:eastAsia="Segoe UI"/>
          <w:color w:val="231F20"/>
        </w:rPr>
        <w:t> </w:t>
      </w:r>
      <w:r>
        <w:rPr>
          <w:color w:val="231F20"/>
        </w:rPr>
        <w:t>arrangements</w:t>
      </w:r>
      <w:r>
        <w:rPr>
          <w:color w:val="231F20"/>
          <w:spacing w:val="-7"/>
        </w:rPr>
        <w:t> </w:t>
      </w:r>
      <w:r>
        <w:rPr>
          <w:color w:val="231F20"/>
        </w:rPr>
        <w:t>for</w:t>
      </w:r>
      <w:r>
        <w:rPr>
          <w:color w:val="231F20"/>
          <w:spacing w:val="-7"/>
        </w:rPr>
        <w:t> </w:t>
      </w:r>
      <w:r>
        <w:rPr>
          <w:color w:val="231F20"/>
        </w:rPr>
        <w:t>Aboriginal</w:t>
      </w:r>
      <w:r>
        <w:rPr>
          <w:color w:val="231F20"/>
          <w:spacing w:val="-6"/>
        </w:rPr>
        <w:t> </w:t>
      </w:r>
      <w:r>
        <w:rPr>
          <w:color w:val="231F20"/>
        </w:rPr>
        <w:t>and</w:t>
      </w:r>
      <w:r>
        <w:rPr>
          <w:color w:val="231F20"/>
          <w:spacing w:val="-7"/>
        </w:rPr>
        <w:t> </w:t>
      </w:r>
      <w:r>
        <w:rPr>
          <w:color w:val="231F20"/>
          <w:spacing w:val="-5"/>
        </w:rPr>
        <w:t>Torres</w:t>
      </w:r>
      <w:r>
        <w:rPr>
          <w:color w:val="231F20"/>
          <w:spacing w:val="-6"/>
        </w:rPr>
        <w:t> </w:t>
      </w:r>
      <w:r>
        <w:rPr>
          <w:color w:val="231F20"/>
          <w:spacing w:val="-2"/>
        </w:rPr>
        <w:t>Strait</w:t>
      </w:r>
      <w:r>
        <w:rPr>
          <w:color w:val="231F20"/>
          <w:spacing w:val="28"/>
          <w:w w:val="99"/>
        </w:rPr>
        <w:t> </w:t>
      </w:r>
      <w:r>
        <w:rPr>
          <w:color w:val="231F20"/>
          <w:spacing w:val="-1"/>
        </w:rPr>
        <w:t>Islander</w:t>
      </w:r>
      <w:r>
        <w:rPr>
          <w:color w:val="231F20"/>
          <w:spacing w:val="-7"/>
        </w:rPr>
        <w:t> </w:t>
      </w:r>
      <w:r>
        <w:rPr>
          <w:color w:val="231F20"/>
          <w:spacing w:val="-1"/>
        </w:rPr>
        <w:t>primary</w:t>
      </w:r>
      <w:r>
        <w:rPr>
          <w:color w:val="231F20"/>
          <w:spacing w:val="-7"/>
        </w:rPr>
        <w:t> </w:t>
      </w:r>
      <w:r>
        <w:rPr>
          <w:color w:val="231F20"/>
        </w:rPr>
        <w:t>and</w:t>
      </w:r>
      <w:r>
        <w:rPr>
          <w:color w:val="231F20"/>
          <w:spacing w:val="-7"/>
        </w:rPr>
        <w:t> </w:t>
      </w:r>
      <w:r>
        <w:rPr>
          <w:color w:val="231F20"/>
          <w:spacing w:val="-1"/>
        </w:rPr>
        <w:t>secondary</w:t>
      </w:r>
      <w:r>
        <w:rPr>
          <w:color w:val="231F20"/>
          <w:spacing w:val="-6"/>
        </w:rPr>
        <w:t> </w:t>
      </w:r>
      <w:r>
        <w:rPr>
          <w:color w:val="231F20"/>
          <w:spacing w:val="-1"/>
        </w:rPr>
        <w:t>school</w:t>
      </w:r>
      <w:r>
        <w:rPr>
          <w:color w:val="231F20"/>
          <w:spacing w:val="-6"/>
        </w:rPr>
        <w:t> </w:t>
      </w:r>
      <w:r>
        <w:rPr>
          <w:color w:val="231F20"/>
          <w:spacing w:val="-1"/>
        </w:rPr>
        <w:t>students</w:t>
      </w:r>
      <w:r>
        <w:rPr>
          <w:color w:val="231F20"/>
          <w:spacing w:val="29"/>
        </w:rPr>
        <w:t> </w:t>
      </w:r>
      <w:r>
        <w:rPr>
          <w:color w:val="231F20"/>
        </w:rPr>
        <w:t>who</w:t>
      </w:r>
      <w:r>
        <w:rPr>
          <w:color w:val="231F20"/>
          <w:spacing w:val="-7"/>
        </w:rPr>
        <w:t> </w:t>
      </w:r>
      <w:r>
        <w:rPr>
          <w:color w:val="231F20"/>
          <w:spacing w:val="-1"/>
        </w:rPr>
        <w:t>study</w:t>
      </w:r>
      <w:r>
        <w:rPr>
          <w:color w:val="231F20"/>
          <w:spacing w:val="-6"/>
        </w:rPr>
        <w:t> </w:t>
      </w:r>
      <w:r>
        <w:rPr>
          <w:color w:val="231F20"/>
        </w:rPr>
        <w:t>away</w:t>
      </w:r>
      <w:r>
        <w:rPr>
          <w:color w:val="231F20"/>
          <w:spacing w:val="-6"/>
        </w:rPr>
        <w:t> </w:t>
      </w:r>
      <w:r>
        <w:rPr>
          <w:color w:val="231F20"/>
        </w:rPr>
        <w:t>from</w:t>
      </w:r>
      <w:r>
        <w:rPr>
          <w:color w:val="231F20"/>
          <w:spacing w:val="-6"/>
        </w:rPr>
        <w:t> </w:t>
      </w:r>
      <w:r>
        <w:rPr>
          <w:color w:val="231F20"/>
        </w:rPr>
        <w:t>home.</w:t>
      </w:r>
      <w:r>
        <w:rPr/>
      </w:r>
    </w:p>
    <w:p>
      <w:pPr>
        <w:pStyle w:val="BodyText"/>
        <w:spacing w:line="250" w:lineRule="exact" w:before="62"/>
        <w:ind w:left="100" w:right="335"/>
        <w:jc w:val="both"/>
      </w:pPr>
      <w:r>
        <w:rPr/>
        <w:br w:type="column"/>
      </w:r>
      <w:r>
        <w:rPr>
          <w:color w:val="231F20"/>
          <w:spacing w:val="-1"/>
        </w:rPr>
        <w:t>From</w:t>
      </w:r>
      <w:r>
        <w:rPr>
          <w:color w:val="231F20"/>
          <w:spacing w:val="-4"/>
        </w:rPr>
        <w:t> </w:t>
      </w:r>
      <w:r>
        <w:rPr>
          <w:color w:val="231F20"/>
        </w:rPr>
        <w:t>1</w:t>
      </w:r>
      <w:r>
        <w:rPr>
          <w:color w:val="231F20"/>
          <w:spacing w:val="-3"/>
        </w:rPr>
        <w:t> </w:t>
      </w:r>
      <w:r>
        <w:rPr>
          <w:color w:val="231F20"/>
        </w:rPr>
        <w:t>January</w:t>
      </w:r>
      <w:r>
        <w:rPr>
          <w:color w:val="231F20"/>
          <w:spacing w:val="-3"/>
        </w:rPr>
        <w:t> </w:t>
      </w:r>
      <w:r>
        <w:rPr>
          <w:color w:val="231F20"/>
          <w:spacing w:val="-1"/>
        </w:rPr>
        <w:t>2019,</w:t>
      </w:r>
      <w:r>
        <w:rPr>
          <w:color w:val="231F20"/>
          <w:spacing w:val="-3"/>
        </w:rPr>
        <w:t> </w:t>
      </w:r>
      <w:r>
        <w:rPr>
          <w:color w:val="231F20"/>
        </w:rPr>
        <w:t>changes</w:t>
      </w:r>
      <w:r>
        <w:rPr>
          <w:color w:val="231F20"/>
          <w:spacing w:val="-4"/>
        </w:rPr>
        <w:t> </w:t>
      </w:r>
      <w:r>
        <w:rPr>
          <w:color w:val="231F20"/>
        </w:rPr>
        <w:t>will</w:t>
      </w:r>
      <w:r>
        <w:rPr>
          <w:color w:val="231F20"/>
          <w:spacing w:val="-4"/>
        </w:rPr>
        <w:t> </w:t>
      </w:r>
      <w:r>
        <w:rPr>
          <w:color w:val="231F20"/>
        </w:rPr>
        <w:t>allow</w:t>
      </w:r>
      <w:r>
        <w:rPr>
          <w:color w:val="231F20"/>
          <w:spacing w:val="-4"/>
        </w:rPr>
        <w:t> </w:t>
      </w:r>
      <w:r>
        <w:rPr>
          <w:color w:val="231F20"/>
          <w:spacing w:val="-1"/>
        </w:rPr>
        <w:t>more</w:t>
      </w:r>
      <w:r>
        <w:rPr>
          <w:color w:val="231F20"/>
          <w:spacing w:val="23"/>
          <w:w w:val="99"/>
        </w:rPr>
        <w:t> </w:t>
      </w:r>
      <w:r>
        <w:rPr>
          <w:rFonts w:ascii="Segoe UI" w:hAnsi="Segoe UI" w:cs="Segoe UI" w:eastAsia="Segoe UI"/>
          <w:color w:val="231F20"/>
        </w:rPr>
        <w:t>flexibility for a student’s travel and family and</w:t>
      </w:r>
      <w:r>
        <w:rPr>
          <w:rFonts w:ascii="Segoe UI" w:hAnsi="Segoe UI" w:cs="Segoe UI" w:eastAsia="Segoe UI"/>
          <w:color w:val="231F20"/>
        </w:rPr>
        <w:t> </w:t>
      </w:r>
      <w:r>
        <w:rPr>
          <w:color w:val="231F20"/>
        </w:rPr>
        <w:t>community</w:t>
      </w:r>
      <w:r>
        <w:rPr>
          <w:color w:val="231F20"/>
          <w:spacing w:val="-9"/>
        </w:rPr>
        <w:t> </w:t>
      </w:r>
      <w:r>
        <w:rPr>
          <w:color w:val="231F20"/>
        </w:rPr>
        <w:t>engagement,</w:t>
      </w:r>
      <w:r>
        <w:rPr>
          <w:color w:val="231F20"/>
          <w:spacing w:val="-8"/>
        </w:rPr>
        <w:t> </w:t>
      </w:r>
      <w:r>
        <w:rPr>
          <w:color w:val="231F20"/>
        </w:rPr>
        <w:t>by:</w:t>
      </w:r>
      <w:r>
        <w:rPr/>
      </w:r>
    </w:p>
    <w:p>
      <w:pPr>
        <w:pStyle w:val="BodyText"/>
        <w:spacing w:line="250" w:lineRule="exact" w:before="113"/>
        <w:ind w:left="327" w:right="227" w:hanging="227"/>
        <w:jc w:val="left"/>
      </w:pPr>
      <w:r>
        <w:rPr>
          <w:rFonts w:ascii="Century Gothic" w:hAnsi="Century Gothic" w:cs="Century Gothic" w:eastAsia="Century Gothic"/>
          <w:color w:val="231F20"/>
        </w:rPr>
        <w:t>» </w:t>
      </w:r>
      <w:r>
        <w:rPr>
          <w:rFonts w:ascii="Century Gothic" w:hAnsi="Century Gothic" w:cs="Century Gothic" w:eastAsia="Century Gothic"/>
          <w:color w:val="231F20"/>
          <w:spacing w:val="22"/>
        </w:rPr>
        <w:t> </w:t>
      </w:r>
      <w:r>
        <w:rPr>
          <w:color w:val="231F20"/>
          <w:spacing w:val="-1"/>
        </w:rPr>
        <w:t>increasing</w:t>
      </w:r>
      <w:r>
        <w:rPr>
          <w:color w:val="231F20"/>
          <w:spacing w:val="-3"/>
        </w:rPr>
        <w:t> </w:t>
      </w:r>
      <w:r>
        <w:rPr>
          <w:color w:val="231F20"/>
        </w:rPr>
        <w:t>the</w:t>
      </w:r>
      <w:r>
        <w:rPr>
          <w:color w:val="231F20"/>
          <w:spacing w:val="-5"/>
        </w:rPr>
        <w:t> </w:t>
      </w:r>
      <w:r>
        <w:rPr>
          <w:color w:val="231F20"/>
          <w:spacing w:val="-1"/>
        </w:rPr>
        <w:t>maximum</w:t>
      </w:r>
      <w:r>
        <w:rPr>
          <w:color w:val="231F20"/>
          <w:spacing w:val="-3"/>
        </w:rPr>
        <w:t> </w:t>
      </w:r>
      <w:r>
        <w:rPr>
          <w:color w:val="231F20"/>
        </w:rPr>
        <w:t>number</w:t>
      </w:r>
      <w:r>
        <w:rPr>
          <w:color w:val="231F20"/>
          <w:spacing w:val="-4"/>
        </w:rPr>
        <w:t> </w:t>
      </w:r>
      <w:r>
        <w:rPr>
          <w:color w:val="231F20"/>
        </w:rPr>
        <w:t>of</w:t>
      </w:r>
      <w:r>
        <w:rPr>
          <w:color w:val="231F20"/>
          <w:spacing w:val="23"/>
          <w:w w:val="99"/>
        </w:rPr>
        <w:t> </w:t>
      </w:r>
      <w:r>
        <w:rPr>
          <w:color w:val="231F20"/>
          <w:spacing w:val="-1"/>
        </w:rPr>
        <w:t>supported</w:t>
      </w:r>
      <w:r>
        <w:rPr>
          <w:color w:val="231F20"/>
          <w:spacing w:val="-3"/>
        </w:rPr>
        <w:t> </w:t>
      </w:r>
      <w:r>
        <w:rPr>
          <w:color w:val="231F20"/>
        </w:rPr>
        <w:t>family</w:t>
      </w:r>
      <w:r>
        <w:rPr>
          <w:color w:val="231F20"/>
          <w:spacing w:val="-4"/>
        </w:rPr>
        <w:t> </w:t>
      </w:r>
      <w:r>
        <w:rPr>
          <w:color w:val="231F20"/>
        </w:rPr>
        <w:t>and</w:t>
      </w:r>
      <w:r>
        <w:rPr>
          <w:color w:val="231F20"/>
          <w:spacing w:val="-4"/>
        </w:rPr>
        <w:t> </w:t>
      </w:r>
      <w:r>
        <w:rPr>
          <w:color w:val="231F20"/>
        </w:rPr>
        <w:t>community</w:t>
      </w:r>
      <w:r>
        <w:rPr>
          <w:color w:val="231F20"/>
          <w:spacing w:val="-4"/>
        </w:rPr>
        <w:t> </w:t>
      </w:r>
      <w:r>
        <w:rPr>
          <w:color w:val="231F20"/>
          <w:spacing w:val="-1"/>
        </w:rPr>
        <w:t>member</w:t>
      </w:r>
      <w:r>
        <w:rPr>
          <w:color w:val="231F20"/>
          <w:spacing w:val="21"/>
        </w:rPr>
        <w:t> </w:t>
      </w:r>
      <w:r>
        <w:rPr>
          <w:color w:val="231F20"/>
        </w:rPr>
        <w:t>visits</w:t>
      </w:r>
      <w:r>
        <w:rPr>
          <w:color w:val="231F20"/>
          <w:spacing w:val="-4"/>
        </w:rPr>
        <w:t> </w:t>
      </w:r>
      <w:r>
        <w:rPr>
          <w:color w:val="231F20"/>
        </w:rPr>
        <w:t>for</w:t>
      </w:r>
      <w:r>
        <w:rPr>
          <w:color w:val="231F20"/>
          <w:spacing w:val="-2"/>
        </w:rPr>
        <w:t> </w:t>
      </w:r>
      <w:r>
        <w:rPr>
          <w:color w:val="231F20"/>
          <w:spacing w:val="-1"/>
        </w:rPr>
        <w:t>school</w:t>
      </w:r>
      <w:r>
        <w:rPr>
          <w:color w:val="231F20"/>
          <w:spacing w:val="-3"/>
        </w:rPr>
        <w:t> </w:t>
      </w:r>
      <w:r>
        <w:rPr>
          <w:color w:val="231F20"/>
        </w:rPr>
        <w:t>events</w:t>
      </w:r>
      <w:r>
        <w:rPr>
          <w:color w:val="231F20"/>
          <w:spacing w:val="-3"/>
        </w:rPr>
        <w:t> </w:t>
      </w:r>
      <w:r>
        <w:rPr>
          <w:color w:val="231F20"/>
        </w:rPr>
        <w:t>to</w:t>
      </w:r>
      <w:r>
        <w:rPr>
          <w:color w:val="231F20"/>
          <w:spacing w:val="-3"/>
        </w:rPr>
        <w:t> </w:t>
      </w:r>
      <w:r>
        <w:rPr>
          <w:color w:val="231F20"/>
        </w:rPr>
        <w:t>two</w:t>
      </w:r>
      <w:r>
        <w:rPr>
          <w:color w:val="231F20"/>
          <w:spacing w:val="-2"/>
        </w:rPr>
        <w:t> </w:t>
      </w:r>
      <w:r>
        <w:rPr>
          <w:color w:val="231F20"/>
        </w:rPr>
        <w:t>return</w:t>
      </w:r>
      <w:r>
        <w:rPr>
          <w:color w:val="231F20"/>
          <w:spacing w:val="-3"/>
        </w:rPr>
        <w:t> </w:t>
      </w:r>
      <w:r>
        <w:rPr>
          <w:color w:val="231F20"/>
        </w:rPr>
        <w:t>trips</w:t>
      </w:r>
      <w:r>
        <w:rPr>
          <w:color w:val="231F20"/>
          <w:spacing w:val="21"/>
          <w:w w:val="99"/>
        </w:rPr>
        <w:t> </w:t>
      </w:r>
      <w:r>
        <w:rPr>
          <w:color w:val="231F20"/>
        </w:rPr>
        <w:t>per</w:t>
      </w:r>
      <w:r>
        <w:rPr>
          <w:color w:val="231F20"/>
          <w:spacing w:val="-3"/>
        </w:rPr>
        <w:t> </w:t>
      </w:r>
      <w:r>
        <w:rPr>
          <w:color w:val="231F20"/>
        </w:rPr>
        <w:t>year</w:t>
      </w:r>
      <w:r>
        <w:rPr>
          <w:color w:val="231F20"/>
          <w:spacing w:val="-2"/>
        </w:rPr>
        <w:t> </w:t>
      </w:r>
      <w:r>
        <w:rPr>
          <w:color w:val="231F20"/>
        </w:rPr>
        <w:t>to</w:t>
      </w:r>
      <w:r>
        <w:rPr>
          <w:color w:val="231F20"/>
          <w:spacing w:val="-2"/>
        </w:rPr>
        <w:t> </w:t>
      </w:r>
      <w:r>
        <w:rPr>
          <w:color w:val="231F20"/>
        </w:rPr>
        <w:t>attend</w:t>
      </w:r>
      <w:r>
        <w:rPr>
          <w:color w:val="231F20"/>
          <w:spacing w:val="-3"/>
        </w:rPr>
        <w:t> </w:t>
      </w:r>
      <w:r>
        <w:rPr>
          <w:color w:val="231F20"/>
          <w:spacing w:val="-1"/>
        </w:rPr>
        <w:t>school</w:t>
      </w:r>
      <w:r>
        <w:rPr>
          <w:color w:val="231F20"/>
          <w:spacing w:val="-2"/>
        </w:rPr>
        <w:t> </w:t>
      </w:r>
      <w:r>
        <w:rPr>
          <w:color w:val="231F20"/>
        </w:rPr>
        <w:t>activities</w:t>
      </w:r>
      <w:r>
        <w:rPr>
          <w:color w:val="231F20"/>
          <w:spacing w:val="-3"/>
        </w:rPr>
        <w:t> </w:t>
      </w:r>
      <w:r>
        <w:rPr>
          <w:color w:val="231F20"/>
          <w:spacing w:val="-1"/>
        </w:rPr>
        <w:t>such</w:t>
      </w:r>
      <w:r>
        <w:rPr>
          <w:color w:val="231F20"/>
          <w:spacing w:val="-2"/>
        </w:rPr>
        <w:t> </w:t>
      </w:r>
      <w:r>
        <w:rPr>
          <w:color w:val="231F20"/>
        </w:rPr>
        <w:t>as</w:t>
      </w:r>
      <w:r>
        <w:rPr>
          <w:color w:val="231F20"/>
          <w:spacing w:val="23"/>
        </w:rPr>
        <w:t> </w:t>
      </w:r>
      <w:r>
        <w:rPr>
          <w:color w:val="231F20"/>
        </w:rPr>
        <w:t>graduations,</w:t>
      </w:r>
      <w:r>
        <w:rPr>
          <w:color w:val="231F20"/>
          <w:spacing w:val="-8"/>
        </w:rPr>
        <w:t> </w:t>
      </w:r>
      <w:r>
        <w:rPr>
          <w:color w:val="231F20"/>
        </w:rPr>
        <w:t>award</w:t>
      </w:r>
      <w:r>
        <w:rPr>
          <w:color w:val="231F20"/>
          <w:spacing w:val="-8"/>
        </w:rPr>
        <w:t> </w:t>
      </w:r>
      <w:r>
        <w:rPr>
          <w:color w:val="231F20"/>
        </w:rPr>
        <w:t>ceremonies</w:t>
      </w:r>
      <w:r>
        <w:rPr>
          <w:color w:val="231F20"/>
          <w:spacing w:val="-8"/>
        </w:rPr>
        <w:t> </w:t>
      </w:r>
      <w:r>
        <w:rPr>
          <w:color w:val="231F20"/>
        </w:rPr>
        <w:t>and</w:t>
      </w:r>
      <w:r>
        <w:rPr>
          <w:color w:val="231F20"/>
          <w:spacing w:val="-7"/>
        </w:rPr>
        <w:t> </w:t>
      </w:r>
      <w:r>
        <w:rPr>
          <w:color w:val="231F20"/>
          <w:spacing w:val="-1"/>
        </w:rPr>
        <w:t>sporting</w:t>
      </w:r>
      <w:r>
        <w:rPr>
          <w:color w:val="231F20"/>
          <w:spacing w:val="20"/>
          <w:w w:val="99"/>
        </w:rPr>
        <w:t> </w:t>
      </w:r>
      <w:r>
        <w:rPr>
          <w:color w:val="231F20"/>
        </w:rPr>
        <w:t>events</w:t>
      </w:r>
      <w:r>
        <w:rPr>
          <w:color w:val="231F20"/>
          <w:spacing w:val="-6"/>
        </w:rPr>
        <w:t> </w:t>
      </w:r>
      <w:r>
        <w:rPr>
          <w:color w:val="231F20"/>
          <w:spacing w:val="-1"/>
        </w:rPr>
        <w:t>in</w:t>
      </w:r>
      <w:r>
        <w:rPr>
          <w:color w:val="231F20"/>
          <w:spacing w:val="-4"/>
        </w:rPr>
        <w:t> </w:t>
      </w:r>
      <w:r>
        <w:rPr>
          <w:color w:val="231F20"/>
        </w:rPr>
        <w:t>which</w:t>
      </w:r>
      <w:r>
        <w:rPr>
          <w:color w:val="231F20"/>
          <w:spacing w:val="-6"/>
        </w:rPr>
        <w:t> </w:t>
      </w:r>
      <w:r>
        <w:rPr>
          <w:color w:val="231F20"/>
        </w:rPr>
        <w:t>the</w:t>
      </w:r>
      <w:r>
        <w:rPr>
          <w:color w:val="231F20"/>
          <w:spacing w:val="-5"/>
        </w:rPr>
        <w:t> </w:t>
      </w:r>
      <w:r>
        <w:rPr>
          <w:color w:val="231F20"/>
          <w:spacing w:val="-1"/>
        </w:rPr>
        <w:t>student</w:t>
      </w:r>
      <w:r>
        <w:rPr>
          <w:color w:val="231F20"/>
          <w:spacing w:val="-4"/>
        </w:rPr>
        <w:t> </w:t>
      </w:r>
      <w:r>
        <w:rPr>
          <w:color w:val="231F20"/>
          <w:spacing w:val="-1"/>
        </w:rPr>
        <w:t>is</w:t>
      </w:r>
      <w:r>
        <w:rPr>
          <w:color w:val="231F20"/>
          <w:spacing w:val="-6"/>
        </w:rPr>
        <w:t> </w:t>
      </w:r>
      <w:r>
        <w:rPr>
          <w:color w:val="231F20"/>
        </w:rPr>
        <w:t>participating.</w:t>
      </w:r>
      <w:r>
        <w:rPr>
          <w:color w:val="231F20"/>
          <w:spacing w:val="24"/>
          <w:w w:val="99"/>
        </w:rPr>
        <w:t> </w:t>
      </w:r>
      <w:r>
        <w:rPr>
          <w:color w:val="231F20"/>
        </w:rPr>
        <w:t>Education</w:t>
      </w:r>
      <w:r>
        <w:rPr>
          <w:color w:val="231F20"/>
          <w:spacing w:val="-7"/>
        </w:rPr>
        <w:t> </w:t>
      </w:r>
      <w:r>
        <w:rPr>
          <w:color w:val="231F20"/>
        </w:rPr>
        <w:t>representatives</w:t>
      </w:r>
      <w:r>
        <w:rPr>
          <w:color w:val="231F20"/>
          <w:spacing w:val="-7"/>
        </w:rPr>
        <w:t> </w:t>
      </w:r>
      <w:r>
        <w:rPr>
          <w:color w:val="231F20"/>
          <w:spacing w:val="-1"/>
        </w:rPr>
        <w:t>may</w:t>
      </w:r>
      <w:r>
        <w:rPr>
          <w:color w:val="231F20"/>
          <w:spacing w:val="-6"/>
        </w:rPr>
        <w:t> </w:t>
      </w:r>
      <w:r>
        <w:rPr>
          <w:color w:val="231F20"/>
        </w:rPr>
        <w:t>also</w:t>
      </w:r>
      <w:r>
        <w:rPr>
          <w:color w:val="231F20"/>
          <w:spacing w:val="-7"/>
        </w:rPr>
        <w:t> </w:t>
      </w:r>
      <w:r>
        <w:rPr>
          <w:color w:val="231F20"/>
        </w:rPr>
        <w:t>access</w:t>
      </w:r>
      <w:r>
        <w:rPr>
          <w:color w:val="231F20"/>
          <w:spacing w:val="21"/>
        </w:rPr>
        <w:t> </w:t>
      </w:r>
      <w:r>
        <w:rPr>
          <w:color w:val="231F20"/>
        </w:rPr>
        <w:t>these</w:t>
      </w:r>
      <w:r>
        <w:rPr>
          <w:color w:val="231F20"/>
          <w:spacing w:val="-4"/>
        </w:rPr>
        <w:t> </w:t>
      </w:r>
      <w:r>
        <w:rPr>
          <w:color w:val="231F20"/>
        </w:rPr>
        <w:t>trips</w:t>
      </w:r>
      <w:r>
        <w:rPr>
          <w:color w:val="231F20"/>
          <w:spacing w:val="-4"/>
        </w:rPr>
        <w:t> </w:t>
      </w:r>
      <w:r>
        <w:rPr>
          <w:color w:val="231F20"/>
        </w:rPr>
        <w:t>to</w:t>
      </w:r>
      <w:r>
        <w:rPr>
          <w:color w:val="231F20"/>
          <w:spacing w:val="-2"/>
        </w:rPr>
        <w:t> </w:t>
      </w:r>
      <w:r>
        <w:rPr>
          <w:color w:val="231F20"/>
        </w:rPr>
        <w:t>travel</w:t>
      </w:r>
      <w:r>
        <w:rPr>
          <w:color w:val="231F20"/>
          <w:spacing w:val="-4"/>
        </w:rPr>
        <w:t> </w:t>
      </w:r>
      <w:r>
        <w:rPr>
          <w:color w:val="231F20"/>
        </w:rPr>
        <w:t>to</w:t>
      </w:r>
      <w:r>
        <w:rPr>
          <w:color w:val="231F20"/>
          <w:spacing w:val="-2"/>
        </w:rPr>
        <w:t> </w:t>
      </w:r>
      <w:r>
        <w:rPr>
          <w:color w:val="231F20"/>
        </w:rPr>
        <w:t>the</w:t>
      </w:r>
      <w:r>
        <w:rPr>
          <w:color w:val="231F20"/>
          <w:spacing w:val="-4"/>
        </w:rPr>
        <w:t> </w:t>
      </w:r>
      <w:r>
        <w:rPr>
          <w:color w:val="231F20"/>
          <w:spacing w:val="-1"/>
        </w:rPr>
        <w:t>student’s</w:t>
      </w:r>
      <w:r>
        <w:rPr>
          <w:color w:val="231F20"/>
          <w:spacing w:val="20"/>
        </w:rPr>
        <w:t> </w:t>
      </w:r>
      <w:r>
        <w:rPr>
          <w:color w:val="231F20"/>
        </w:rPr>
        <w:t>community</w:t>
      </w:r>
      <w:r>
        <w:rPr>
          <w:color w:val="231F20"/>
          <w:spacing w:val="-4"/>
        </w:rPr>
        <w:t> </w:t>
      </w:r>
      <w:r>
        <w:rPr>
          <w:color w:val="231F20"/>
          <w:spacing w:val="-1"/>
        </w:rPr>
        <w:t>if</w:t>
      </w:r>
      <w:r>
        <w:rPr>
          <w:color w:val="231F20"/>
          <w:spacing w:val="-2"/>
        </w:rPr>
        <w:t> </w:t>
      </w:r>
      <w:r>
        <w:rPr>
          <w:color w:val="231F20"/>
        </w:rPr>
        <w:t>the</w:t>
      </w:r>
      <w:r>
        <w:rPr>
          <w:color w:val="231F20"/>
          <w:spacing w:val="-3"/>
        </w:rPr>
        <w:t> </w:t>
      </w:r>
      <w:r>
        <w:rPr>
          <w:color w:val="231F20"/>
        </w:rPr>
        <w:t>parent</w:t>
      </w:r>
      <w:r>
        <w:rPr>
          <w:color w:val="231F20"/>
          <w:spacing w:val="-3"/>
        </w:rPr>
        <w:t> </w:t>
      </w:r>
      <w:r>
        <w:rPr>
          <w:color w:val="231F20"/>
        </w:rPr>
        <w:t>or</w:t>
      </w:r>
      <w:r>
        <w:rPr>
          <w:color w:val="231F20"/>
          <w:spacing w:val="-2"/>
        </w:rPr>
        <w:t> </w:t>
      </w:r>
      <w:r>
        <w:rPr>
          <w:color w:val="231F20"/>
        </w:rPr>
        <w:t>community</w:t>
      </w:r>
      <w:r>
        <w:rPr>
          <w:color w:val="231F20"/>
          <w:spacing w:val="21"/>
        </w:rPr>
        <w:t> </w:t>
      </w:r>
      <w:r>
        <w:rPr>
          <w:color w:val="231F20"/>
          <w:spacing w:val="-1"/>
        </w:rPr>
        <w:t>member</w:t>
      </w:r>
      <w:r>
        <w:rPr>
          <w:color w:val="231F20"/>
          <w:spacing w:val="-3"/>
        </w:rPr>
        <w:t> </w:t>
      </w:r>
      <w:r>
        <w:rPr>
          <w:color w:val="231F20"/>
          <w:spacing w:val="-1"/>
        </w:rPr>
        <w:t>is</w:t>
      </w:r>
      <w:r>
        <w:rPr>
          <w:color w:val="231F20"/>
          <w:spacing w:val="-3"/>
        </w:rPr>
        <w:t> </w:t>
      </w:r>
      <w:r>
        <w:rPr>
          <w:color w:val="231F20"/>
        </w:rPr>
        <w:t>unable</w:t>
      </w:r>
      <w:r>
        <w:rPr>
          <w:color w:val="231F20"/>
          <w:spacing w:val="-4"/>
        </w:rPr>
        <w:t> </w:t>
      </w:r>
      <w:r>
        <w:rPr>
          <w:color w:val="231F20"/>
        </w:rPr>
        <w:t>to</w:t>
      </w:r>
      <w:r>
        <w:rPr>
          <w:color w:val="231F20"/>
          <w:spacing w:val="-2"/>
        </w:rPr>
        <w:t> </w:t>
      </w:r>
      <w:r>
        <w:rPr>
          <w:color w:val="231F20"/>
        </w:rPr>
        <w:t>travel</w:t>
      </w:r>
      <w:r>
        <w:rPr>
          <w:color w:val="231F20"/>
          <w:spacing w:val="-4"/>
        </w:rPr>
        <w:t> </w:t>
      </w:r>
      <w:r>
        <w:rPr>
          <w:color w:val="231F20"/>
        </w:rPr>
        <w:t>to</w:t>
      </w:r>
      <w:r>
        <w:rPr>
          <w:color w:val="231F20"/>
          <w:spacing w:val="-2"/>
        </w:rPr>
        <w:t> </w:t>
      </w:r>
      <w:r>
        <w:rPr>
          <w:color w:val="231F20"/>
        </w:rPr>
        <w:t>the</w:t>
      </w:r>
      <w:r>
        <w:rPr>
          <w:color w:val="231F20"/>
          <w:spacing w:val="-3"/>
        </w:rPr>
        <w:t> </w:t>
      </w:r>
      <w:r>
        <w:rPr>
          <w:color w:val="231F20"/>
          <w:spacing w:val="-1"/>
        </w:rPr>
        <w:t>school</w:t>
      </w:r>
      <w:r>
        <w:rPr>
          <w:color w:val="231F20"/>
          <w:spacing w:val="-3"/>
        </w:rPr>
        <w:t> </w:t>
      </w:r>
      <w:r>
        <w:rPr>
          <w:color w:val="231F20"/>
        </w:rPr>
        <w:t>or</w:t>
      </w:r>
      <w:r>
        <w:rPr>
          <w:color w:val="231F20"/>
          <w:spacing w:val="24"/>
          <w:w w:val="99"/>
        </w:rPr>
        <w:t> </w:t>
      </w:r>
      <w:r>
        <w:rPr>
          <w:color w:val="231F20"/>
        </w:rPr>
        <w:t>boarding</w:t>
      </w:r>
      <w:r>
        <w:rPr>
          <w:color w:val="231F20"/>
          <w:spacing w:val="-17"/>
        </w:rPr>
        <w:t> </w:t>
      </w:r>
      <w:r>
        <w:rPr>
          <w:color w:val="231F20"/>
        </w:rPr>
        <w:t>provider;</w:t>
      </w:r>
      <w:r>
        <w:rPr/>
      </w:r>
    </w:p>
    <w:p>
      <w:pPr>
        <w:pStyle w:val="BodyText"/>
        <w:spacing w:line="250" w:lineRule="exact" w:before="113"/>
        <w:ind w:left="327" w:right="128" w:hanging="227"/>
        <w:jc w:val="left"/>
      </w:pPr>
      <w:r>
        <w:rPr>
          <w:rFonts w:ascii="Century Gothic" w:hAnsi="Century Gothic" w:cs="Century Gothic" w:eastAsia="Century Gothic"/>
          <w:color w:val="231F20"/>
        </w:rPr>
        <w:t>» </w:t>
      </w:r>
      <w:r>
        <w:rPr>
          <w:rFonts w:ascii="Century Gothic" w:hAnsi="Century Gothic" w:cs="Century Gothic" w:eastAsia="Century Gothic"/>
          <w:color w:val="231F20"/>
          <w:spacing w:val="30"/>
        </w:rPr>
        <w:t> </w:t>
      </w:r>
      <w:r>
        <w:rPr>
          <w:rFonts w:ascii="Segoe UI" w:hAnsi="Segoe UI" w:cs="Segoe UI" w:eastAsia="Segoe UI"/>
          <w:color w:val="231F20"/>
        </w:rPr>
        <w:t>providing greater flexibility for travel</w:t>
      </w:r>
      <w:r>
        <w:rPr>
          <w:rFonts w:ascii="Segoe UI" w:hAnsi="Segoe UI" w:cs="Segoe UI" w:eastAsia="Segoe UI"/>
          <w:color w:val="231F20"/>
          <w:spacing w:val="-1"/>
        </w:rPr>
        <w:t> </w:t>
      </w:r>
      <w:r>
        <w:rPr>
          <w:rFonts w:ascii="Segoe UI" w:hAnsi="Segoe UI" w:cs="Segoe UI" w:eastAsia="Segoe UI"/>
          <w:color w:val="231F20"/>
        </w:rPr>
        <w:t>to or</w:t>
      </w:r>
      <w:r>
        <w:rPr>
          <w:rFonts w:ascii="Segoe UI" w:hAnsi="Segoe UI" w:cs="Segoe UI" w:eastAsia="Segoe UI"/>
          <w:color w:val="231F20"/>
        </w:rPr>
        <w:t> </w:t>
      </w:r>
      <w:r>
        <w:rPr>
          <w:color w:val="231F20"/>
        </w:rPr>
        <w:t>from</w:t>
      </w:r>
      <w:r>
        <w:rPr>
          <w:color w:val="231F20"/>
          <w:spacing w:val="-3"/>
        </w:rPr>
        <w:t> </w:t>
      </w:r>
      <w:r>
        <w:rPr>
          <w:color w:val="231F20"/>
          <w:spacing w:val="-1"/>
        </w:rPr>
        <w:t>locations</w:t>
      </w:r>
      <w:r>
        <w:rPr>
          <w:color w:val="231F20"/>
          <w:spacing w:val="-3"/>
        </w:rPr>
        <w:t> </w:t>
      </w:r>
      <w:r>
        <w:rPr>
          <w:color w:val="231F20"/>
        </w:rPr>
        <w:t>other</w:t>
      </w:r>
      <w:r>
        <w:rPr>
          <w:color w:val="231F20"/>
          <w:spacing w:val="-2"/>
        </w:rPr>
        <w:t> </w:t>
      </w:r>
      <w:r>
        <w:rPr>
          <w:color w:val="231F20"/>
        </w:rPr>
        <w:t>than</w:t>
      </w:r>
      <w:r>
        <w:rPr>
          <w:color w:val="231F20"/>
          <w:spacing w:val="-4"/>
        </w:rPr>
        <w:t> </w:t>
      </w:r>
      <w:r>
        <w:rPr>
          <w:color w:val="231F20"/>
        </w:rPr>
        <w:t>the</w:t>
      </w:r>
      <w:r>
        <w:rPr>
          <w:color w:val="231F20"/>
          <w:spacing w:val="-4"/>
        </w:rPr>
        <w:t> </w:t>
      </w:r>
      <w:r>
        <w:rPr>
          <w:color w:val="231F20"/>
          <w:spacing w:val="-1"/>
        </w:rPr>
        <w:t>student’s </w:t>
      </w:r>
      <w:r>
        <w:rPr>
          <w:color w:val="231F20"/>
        </w:rPr>
        <w:t>home</w:t>
      </w:r>
      <w:r>
        <w:rPr>
          <w:color w:val="231F20"/>
          <w:spacing w:val="23"/>
        </w:rPr>
        <w:t> </w:t>
      </w:r>
      <w:r>
        <w:rPr>
          <w:color w:val="231F20"/>
        </w:rPr>
        <w:t>and</w:t>
      </w:r>
      <w:r>
        <w:rPr>
          <w:color w:val="231F20"/>
          <w:spacing w:val="-4"/>
        </w:rPr>
        <w:t> </w:t>
      </w:r>
      <w:r>
        <w:rPr>
          <w:color w:val="231F20"/>
          <w:spacing w:val="-1"/>
        </w:rPr>
        <w:t>school,</w:t>
      </w:r>
      <w:r>
        <w:rPr>
          <w:color w:val="231F20"/>
          <w:spacing w:val="-2"/>
        </w:rPr>
        <w:t> </w:t>
      </w:r>
      <w:r>
        <w:rPr>
          <w:color w:val="231F20"/>
        </w:rPr>
        <w:t>for</w:t>
      </w:r>
      <w:r>
        <w:rPr>
          <w:color w:val="231F20"/>
          <w:spacing w:val="-2"/>
        </w:rPr>
        <w:t> </w:t>
      </w:r>
      <w:r>
        <w:rPr>
          <w:color w:val="231F20"/>
        </w:rPr>
        <w:t>example</w:t>
      </w:r>
      <w:r>
        <w:rPr>
          <w:color w:val="231F20"/>
          <w:spacing w:val="-3"/>
        </w:rPr>
        <w:t> </w:t>
      </w:r>
      <w:r>
        <w:rPr>
          <w:color w:val="231F20"/>
        </w:rPr>
        <w:t>where</w:t>
      </w:r>
      <w:r>
        <w:rPr>
          <w:color w:val="231F20"/>
          <w:spacing w:val="-3"/>
        </w:rPr>
        <w:t> </w:t>
      </w:r>
      <w:r>
        <w:rPr>
          <w:color w:val="231F20"/>
        </w:rPr>
        <w:t>the</w:t>
      </w:r>
      <w:r>
        <w:rPr>
          <w:color w:val="231F20"/>
          <w:spacing w:val="-3"/>
        </w:rPr>
        <w:t> </w:t>
      </w:r>
      <w:r>
        <w:rPr>
          <w:color w:val="231F20"/>
        </w:rPr>
        <w:t>family</w:t>
      </w:r>
      <w:r>
        <w:rPr>
          <w:color w:val="231F20"/>
          <w:spacing w:val="-3"/>
        </w:rPr>
        <w:t> </w:t>
      </w:r>
      <w:r>
        <w:rPr>
          <w:color w:val="231F20"/>
        </w:rPr>
        <w:t>of</w:t>
      </w:r>
      <w:r>
        <w:rPr>
          <w:color w:val="231F20"/>
          <w:spacing w:val="-2"/>
        </w:rPr>
        <w:t> </w:t>
      </w:r>
      <w:r>
        <w:rPr>
          <w:color w:val="231F20"/>
        </w:rPr>
        <w:t>a</w:t>
      </w:r>
      <w:r>
        <w:rPr>
          <w:color w:val="231F20"/>
          <w:spacing w:val="22"/>
          <w:w w:val="99"/>
        </w:rPr>
        <w:t> </w:t>
      </w:r>
      <w:r>
        <w:rPr>
          <w:color w:val="231F20"/>
          <w:spacing w:val="-1"/>
        </w:rPr>
        <w:t>Cape</w:t>
      </w:r>
      <w:r>
        <w:rPr>
          <w:color w:val="231F20"/>
          <w:spacing w:val="-3"/>
        </w:rPr>
        <w:t> </w:t>
      </w:r>
      <w:r>
        <w:rPr>
          <w:color w:val="231F20"/>
          <w:spacing w:val="-6"/>
        </w:rPr>
        <w:t>York</w:t>
      </w:r>
      <w:r>
        <w:rPr>
          <w:color w:val="231F20"/>
          <w:spacing w:val="-3"/>
        </w:rPr>
        <w:t> </w:t>
      </w:r>
      <w:r>
        <w:rPr>
          <w:color w:val="231F20"/>
          <w:spacing w:val="-1"/>
        </w:rPr>
        <w:t>student</w:t>
      </w:r>
      <w:r>
        <w:rPr>
          <w:color w:val="231F20"/>
          <w:spacing w:val="-3"/>
        </w:rPr>
        <w:t> </w:t>
      </w:r>
      <w:r>
        <w:rPr>
          <w:color w:val="231F20"/>
          <w:spacing w:val="-1"/>
        </w:rPr>
        <w:t>is</w:t>
      </w:r>
      <w:r>
        <w:rPr>
          <w:color w:val="231F20"/>
          <w:spacing w:val="-4"/>
        </w:rPr>
        <w:t> </w:t>
      </w:r>
      <w:r>
        <w:rPr>
          <w:color w:val="231F20"/>
          <w:spacing w:val="-1"/>
        </w:rPr>
        <w:t>in</w:t>
      </w:r>
      <w:r>
        <w:rPr>
          <w:color w:val="231F20"/>
          <w:spacing w:val="-3"/>
        </w:rPr>
        <w:t> </w:t>
      </w:r>
      <w:r>
        <w:rPr>
          <w:color w:val="231F20"/>
          <w:spacing w:val="-1"/>
        </w:rPr>
        <w:t>Cairns</w:t>
      </w:r>
      <w:r>
        <w:rPr>
          <w:color w:val="231F20"/>
          <w:spacing w:val="-3"/>
        </w:rPr>
        <w:t> </w:t>
      </w:r>
      <w:r>
        <w:rPr>
          <w:color w:val="231F20"/>
        </w:rPr>
        <w:t>for</w:t>
      </w:r>
      <w:r>
        <w:rPr>
          <w:color w:val="231F20"/>
          <w:spacing w:val="-3"/>
        </w:rPr>
        <w:t> </w:t>
      </w:r>
      <w:r>
        <w:rPr>
          <w:color w:val="231F20"/>
        </w:rPr>
        <w:t>a</w:t>
      </w:r>
      <w:r>
        <w:rPr>
          <w:color w:val="231F20"/>
          <w:spacing w:val="-2"/>
        </w:rPr>
        <w:t> </w:t>
      </w:r>
      <w:r>
        <w:rPr>
          <w:color w:val="231F20"/>
          <w:spacing w:val="-1"/>
        </w:rPr>
        <w:t>shopping</w:t>
      </w:r>
      <w:r>
        <w:rPr>
          <w:color w:val="231F20"/>
          <w:spacing w:val="27"/>
          <w:w w:val="99"/>
        </w:rPr>
        <w:t> </w:t>
      </w:r>
      <w:r>
        <w:rPr>
          <w:color w:val="231F20"/>
        </w:rPr>
        <w:t>trip</w:t>
      </w:r>
      <w:r>
        <w:rPr>
          <w:color w:val="231F20"/>
          <w:spacing w:val="-6"/>
        </w:rPr>
        <w:t> </w:t>
      </w:r>
      <w:r>
        <w:rPr>
          <w:color w:val="231F20"/>
        </w:rPr>
        <w:t>the</w:t>
      </w:r>
      <w:r>
        <w:rPr>
          <w:color w:val="231F20"/>
          <w:spacing w:val="-5"/>
        </w:rPr>
        <w:t> </w:t>
      </w:r>
      <w:r>
        <w:rPr>
          <w:color w:val="231F20"/>
          <w:spacing w:val="-1"/>
        </w:rPr>
        <w:t>student</w:t>
      </w:r>
      <w:r>
        <w:rPr>
          <w:color w:val="231F20"/>
          <w:spacing w:val="-4"/>
        </w:rPr>
        <w:t> </w:t>
      </w:r>
      <w:r>
        <w:rPr>
          <w:color w:val="231F20"/>
        </w:rPr>
        <w:t>can</w:t>
      </w:r>
      <w:r>
        <w:rPr>
          <w:color w:val="231F20"/>
          <w:spacing w:val="-5"/>
        </w:rPr>
        <w:t> </w:t>
      </w:r>
      <w:r>
        <w:rPr>
          <w:color w:val="231F20"/>
        </w:rPr>
        <w:t>be</w:t>
      </w:r>
      <w:r>
        <w:rPr>
          <w:color w:val="231F20"/>
          <w:spacing w:val="-4"/>
        </w:rPr>
        <w:t> </w:t>
      </w:r>
      <w:r>
        <w:rPr>
          <w:color w:val="231F20"/>
        </w:rPr>
        <w:t>collected</w:t>
      </w:r>
      <w:r>
        <w:rPr>
          <w:color w:val="231F20"/>
          <w:spacing w:val="-5"/>
        </w:rPr>
        <w:t> </w:t>
      </w:r>
      <w:r>
        <w:rPr>
          <w:color w:val="231F20"/>
        </w:rPr>
        <w:t>from</w:t>
      </w:r>
      <w:r>
        <w:rPr>
          <w:color w:val="231F20"/>
          <w:spacing w:val="-5"/>
        </w:rPr>
        <w:t> </w:t>
      </w:r>
      <w:r>
        <w:rPr>
          <w:color w:val="231F20"/>
          <w:spacing w:val="-1"/>
        </w:rPr>
        <w:t>Cairns</w:t>
      </w:r>
      <w:r>
        <w:rPr>
          <w:color w:val="231F20"/>
          <w:spacing w:val="21"/>
        </w:rPr>
        <w:t> </w:t>
      </w:r>
      <w:r>
        <w:rPr>
          <w:color w:val="231F20"/>
        </w:rPr>
        <w:t>airport</w:t>
      </w:r>
      <w:r>
        <w:rPr>
          <w:color w:val="231F20"/>
          <w:spacing w:val="-7"/>
        </w:rPr>
        <w:t> </w:t>
      </w:r>
      <w:r>
        <w:rPr>
          <w:color w:val="231F20"/>
          <w:spacing w:val="-1"/>
        </w:rPr>
        <w:t>instead</w:t>
      </w:r>
      <w:r>
        <w:rPr>
          <w:color w:val="231F20"/>
          <w:spacing w:val="-5"/>
        </w:rPr>
        <w:t> </w:t>
      </w:r>
      <w:r>
        <w:rPr>
          <w:color w:val="231F20"/>
        </w:rPr>
        <w:t>of</w:t>
      </w:r>
      <w:r>
        <w:rPr>
          <w:color w:val="231F20"/>
          <w:spacing w:val="-6"/>
        </w:rPr>
        <w:t> </w:t>
      </w:r>
      <w:r>
        <w:rPr>
          <w:color w:val="231F20"/>
        </w:rPr>
        <w:t>travelling</w:t>
      </w:r>
      <w:r>
        <w:rPr>
          <w:color w:val="231F20"/>
          <w:spacing w:val="-6"/>
        </w:rPr>
        <w:t> </w:t>
      </w:r>
      <w:r>
        <w:rPr>
          <w:color w:val="231F20"/>
        </w:rPr>
        <w:t>back</w:t>
      </w:r>
      <w:r>
        <w:rPr>
          <w:color w:val="231F20"/>
          <w:spacing w:val="-6"/>
        </w:rPr>
        <w:t> </w:t>
      </w:r>
      <w:r>
        <w:rPr>
          <w:color w:val="231F20"/>
        </w:rPr>
        <w:t>to</w:t>
      </w:r>
      <w:r>
        <w:rPr>
          <w:color w:val="231F20"/>
          <w:spacing w:val="-6"/>
        </w:rPr>
        <w:t> </w:t>
      </w:r>
      <w:r>
        <w:rPr>
          <w:color w:val="231F20"/>
        </w:rPr>
        <w:t>their</w:t>
      </w:r>
      <w:r>
        <w:rPr>
          <w:color w:val="231F20"/>
          <w:spacing w:val="22"/>
          <w:w w:val="99"/>
        </w:rPr>
        <w:t> </w:t>
      </w:r>
      <w:r>
        <w:rPr>
          <w:rFonts w:ascii="Segoe UI" w:hAnsi="Segoe UI" w:cs="Segoe UI" w:eastAsia="Segoe UI"/>
          <w:color w:val="231F20"/>
        </w:rPr>
        <w:t>home and then finding their way back to</w:t>
      </w:r>
      <w:r>
        <w:rPr>
          <w:rFonts w:ascii="Segoe UI" w:hAnsi="Segoe UI" w:cs="Segoe UI" w:eastAsia="Segoe UI"/>
          <w:color w:val="231F20"/>
        </w:rPr>
        <w:t> </w:t>
      </w:r>
      <w:r>
        <w:rPr>
          <w:color w:val="231F20"/>
          <w:spacing w:val="-1"/>
        </w:rPr>
        <w:t>Cairns;</w:t>
      </w:r>
      <w:r>
        <w:rPr/>
      </w:r>
    </w:p>
    <w:p>
      <w:pPr>
        <w:pStyle w:val="BodyText"/>
        <w:spacing w:line="250" w:lineRule="exact" w:before="113"/>
        <w:ind w:left="327" w:right="324" w:hanging="227"/>
        <w:jc w:val="left"/>
      </w:pPr>
      <w:r>
        <w:rPr>
          <w:rFonts w:ascii="Century Gothic" w:hAnsi="Century Gothic"/>
          <w:color w:val="231F20"/>
        </w:rPr>
        <w:t>» </w:t>
      </w:r>
      <w:r>
        <w:rPr>
          <w:rFonts w:ascii="Century Gothic" w:hAnsi="Century Gothic"/>
          <w:color w:val="231F20"/>
          <w:spacing w:val="24"/>
        </w:rPr>
        <w:t> </w:t>
      </w:r>
      <w:r>
        <w:rPr>
          <w:color w:val="231F20"/>
        </w:rPr>
        <w:t>fairer</w:t>
      </w:r>
      <w:r>
        <w:rPr>
          <w:color w:val="231F20"/>
          <w:spacing w:val="-3"/>
        </w:rPr>
        <w:t> </w:t>
      </w:r>
      <w:r>
        <w:rPr>
          <w:color w:val="231F20"/>
        </w:rPr>
        <w:t>rules</w:t>
      </w:r>
      <w:r>
        <w:rPr>
          <w:color w:val="231F20"/>
          <w:spacing w:val="-4"/>
        </w:rPr>
        <w:t> </w:t>
      </w:r>
      <w:r>
        <w:rPr>
          <w:color w:val="231F20"/>
        </w:rPr>
        <w:t>for</w:t>
      </w:r>
      <w:r>
        <w:rPr>
          <w:color w:val="231F20"/>
          <w:spacing w:val="-3"/>
        </w:rPr>
        <w:t> </w:t>
      </w:r>
      <w:r>
        <w:rPr>
          <w:color w:val="231F20"/>
        </w:rPr>
        <w:t>travel</w:t>
      </w:r>
      <w:r>
        <w:rPr>
          <w:color w:val="231F20"/>
          <w:spacing w:val="-3"/>
        </w:rPr>
        <w:t> </w:t>
      </w:r>
      <w:r>
        <w:rPr>
          <w:color w:val="231F20"/>
        </w:rPr>
        <w:t>to</w:t>
      </w:r>
      <w:r>
        <w:rPr>
          <w:color w:val="231F20"/>
          <w:spacing w:val="-3"/>
        </w:rPr>
        <w:t> </w:t>
      </w:r>
      <w:r>
        <w:rPr>
          <w:color w:val="231F20"/>
          <w:spacing w:val="-1"/>
        </w:rPr>
        <w:t>interstate</w:t>
      </w:r>
      <w:r>
        <w:rPr>
          <w:color w:val="231F20"/>
          <w:spacing w:val="-3"/>
        </w:rPr>
        <w:t> </w:t>
      </w:r>
      <w:r>
        <w:rPr>
          <w:color w:val="231F20"/>
          <w:spacing w:val="-1"/>
        </w:rPr>
        <w:t>schools</w:t>
      </w:r>
      <w:r>
        <w:rPr>
          <w:color w:val="231F20"/>
          <w:spacing w:val="-1"/>
        </w:rPr>
        <w:t> </w:t>
      </w:r>
      <w:r>
        <w:rPr>
          <w:color w:val="231F20"/>
          <w:spacing w:val="21"/>
        </w:rPr>
        <w:t> </w:t>
      </w:r>
      <w:r>
        <w:rPr>
          <w:color w:val="231F20"/>
        </w:rPr>
        <w:t>to</w:t>
      </w:r>
      <w:r>
        <w:rPr>
          <w:color w:val="231F20"/>
          <w:spacing w:val="-3"/>
        </w:rPr>
        <w:t> </w:t>
      </w:r>
      <w:r>
        <w:rPr>
          <w:color w:val="231F20"/>
        </w:rPr>
        <w:t>allow</w:t>
      </w:r>
      <w:r>
        <w:rPr>
          <w:color w:val="231F20"/>
          <w:spacing w:val="-4"/>
        </w:rPr>
        <w:t> </w:t>
      </w:r>
      <w:r>
        <w:rPr>
          <w:color w:val="231F20"/>
        </w:rPr>
        <w:t>for</w:t>
      </w:r>
      <w:r>
        <w:rPr>
          <w:color w:val="231F20"/>
          <w:spacing w:val="-3"/>
        </w:rPr>
        <w:t> </w:t>
      </w:r>
      <w:r>
        <w:rPr>
          <w:color w:val="231F20"/>
          <w:spacing w:val="-1"/>
        </w:rPr>
        <w:t>siblings</w:t>
      </w:r>
      <w:r>
        <w:rPr>
          <w:color w:val="231F20"/>
          <w:spacing w:val="-3"/>
        </w:rPr>
        <w:t> </w:t>
      </w:r>
      <w:r>
        <w:rPr>
          <w:color w:val="231F20"/>
        </w:rPr>
        <w:t>of</w:t>
      </w:r>
      <w:r>
        <w:rPr>
          <w:color w:val="231F20"/>
          <w:spacing w:val="-3"/>
        </w:rPr>
        <w:t> </w:t>
      </w:r>
      <w:r>
        <w:rPr>
          <w:color w:val="231F20"/>
          <w:spacing w:val="-1"/>
        </w:rPr>
        <w:t>students</w:t>
      </w:r>
      <w:r>
        <w:rPr>
          <w:color w:val="231F20"/>
          <w:spacing w:val="-3"/>
        </w:rPr>
        <w:t> </w:t>
      </w:r>
      <w:r>
        <w:rPr>
          <w:color w:val="231F20"/>
        </w:rPr>
        <w:t>already</w:t>
      </w:r>
      <w:r>
        <w:rPr>
          <w:color w:val="231F20"/>
          <w:spacing w:val="23"/>
          <w:w w:val="99"/>
        </w:rPr>
        <w:t> </w:t>
      </w:r>
      <w:r>
        <w:rPr>
          <w:rFonts w:ascii="Segoe UI" w:hAnsi="Segoe UI"/>
          <w:color w:val="231F20"/>
        </w:rPr>
        <w:t>approved</w:t>
      </w:r>
      <w:r>
        <w:rPr>
          <w:rFonts w:ascii="Segoe UI" w:hAnsi="Segoe UI"/>
          <w:color w:val="231F20"/>
          <w:spacing w:val="-3"/>
        </w:rPr>
        <w:t> </w:t>
      </w:r>
      <w:r>
        <w:rPr>
          <w:rFonts w:ascii="Segoe UI" w:hAnsi="Segoe UI"/>
          <w:color w:val="231F20"/>
        </w:rPr>
        <w:t>under</w:t>
      </w:r>
      <w:r>
        <w:rPr>
          <w:rFonts w:ascii="Segoe UI" w:hAnsi="Segoe UI"/>
          <w:color w:val="231F20"/>
          <w:spacing w:val="-3"/>
        </w:rPr>
        <w:t> </w:t>
      </w:r>
      <w:r>
        <w:rPr>
          <w:rFonts w:ascii="Segoe UI" w:hAnsi="Segoe UI"/>
          <w:color w:val="231F20"/>
        </w:rPr>
        <w:t>cost</w:t>
      </w:r>
      <w:r>
        <w:rPr>
          <w:rFonts w:ascii="Segoe UI" w:hAnsi="Segoe UI"/>
          <w:color w:val="231F20"/>
          <w:spacing w:val="-3"/>
        </w:rPr>
        <w:t> </w:t>
      </w:r>
      <w:r>
        <w:rPr>
          <w:rFonts w:ascii="Segoe UI" w:hAnsi="Segoe UI"/>
          <w:color w:val="231F20"/>
        </w:rPr>
        <w:t>effectiveness</w:t>
      </w:r>
      <w:r>
        <w:rPr>
          <w:rFonts w:ascii="Segoe UI" w:hAnsi="Segoe UI"/>
          <w:color w:val="231F20"/>
          <w:spacing w:val="-3"/>
        </w:rPr>
        <w:t> </w:t>
      </w:r>
      <w:r>
        <w:rPr>
          <w:rFonts w:ascii="Segoe UI" w:hAnsi="Segoe UI"/>
          <w:color w:val="231F20"/>
        </w:rPr>
        <w:t>criteria</w:t>
      </w:r>
      <w:r>
        <w:rPr>
          <w:rFonts w:ascii="Segoe UI" w:hAnsi="Segoe UI"/>
          <w:color w:val="231F20"/>
        </w:rPr>
        <w:t> </w:t>
      </w:r>
      <w:r>
        <w:rPr>
          <w:color w:val="231F20"/>
        </w:rPr>
        <w:t>for</w:t>
      </w:r>
      <w:r>
        <w:rPr>
          <w:color w:val="231F20"/>
          <w:spacing w:val="-5"/>
        </w:rPr>
        <w:t> </w:t>
      </w:r>
      <w:r>
        <w:rPr>
          <w:color w:val="231F20"/>
        </w:rPr>
        <w:t>ABSTUDY</w:t>
      </w:r>
      <w:r>
        <w:rPr>
          <w:color w:val="231F20"/>
          <w:spacing w:val="-5"/>
        </w:rPr>
        <w:t> </w:t>
      </w:r>
      <w:r>
        <w:rPr>
          <w:color w:val="231F20"/>
          <w:spacing w:val="-2"/>
        </w:rPr>
        <w:t>Fares</w:t>
      </w:r>
      <w:r>
        <w:rPr>
          <w:color w:val="231F20"/>
          <w:spacing w:val="-5"/>
        </w:rPr>
        <w:t> </w:t>
      </w:r>
      <w:r>
        <w:rPr>
          <w:color w:val="231F20"/>
        </w:rPr>
        <w:t>Allowance</w:t>
      </w:r>
      <w:r>
        <w:rPr>
          <w:color w:val="231F20"/>
          <w:spacing w:val="-5"/>
        </w:rPr>
        <w:t> </w:t>
      </w:r>
      <w:r>
        <w:rPr>
          <w:color w:val="231F20"/>
        </w:rPr>
        <w:t>to</w:t>
      </w:r>
      <w:r>
        <w:rPr>
          <w:color w:val="231F20"/>
          <w:spacing w:val="-4"/>
        </w:rPr>
        <w:t> </w:t>
      </w:r>
      <w:r>
        <w:rPr>
          <w:color w:val="231F20"/>
        </w:rPr>
        <w:t>attend</w:t>
      </w:r>
      <w:r>
        <w:rPr>
          <w:color w:val="231F20"/>
          <w:spacing w:val="-5"/>
        </w:rPr>
        <w:t> </w:t>
      </w:r>
      <w:r>
        <w:rPr>
          <w:color w:val="231F20"/>
        </w:rPr>
        <w:t>the</w:t>
      </w:r>
      <w:r>
        <w:rPr>
          <w:color w:val="231F20"/>
          <w:spacing w:val="23"/>
          <w:w w:val="99"/>
        </w:rPr>
        <w:t> </w:t>
      </w:r>
      <w:r>
        <w:rPr>
          <w:color w:val="231F20"/>
          <w:spacing w:val="-1"/>
        </w:rPr>
        <w:t>same</w:t>
      </w:r>
      <w:r>
        <w:rPr>
          <w:color w:val="231F20"/>
          <w:spacing w:val="-2"/>
        </w:rPr>
        <w:t> </w:t>
      </w:r>
      <w:r>
        <w:rPr>
          <w:color w:val="231F20"/>
          <w:spacing w:val="-1"/>
        </w:rPr>
        <w:t>school;</w:t>
      </w:r>
      <w:r>
        <w:rPr>
          <w:color w:val="231F20"/>
          <w:spacing w:val="-2"/>
        </w:rPr>
        <w:t> </w:t>
      </w:r>
      <w:r>
        <w:rPr>
          <w:color w:val="231F20"/>
        </w:rPr>
        <w:t>and</w:t>
      </w:r>
      <w:r>
        <w:rPr/>
      </w:r>
    </w:p>
    <w:p>
      <w:pPr>
        <w:pStyle w:val="BodyText"/>
        <w:spacing w:line="250" w:lineRule="exact" w:before="113"/>
        <w:ind w:left="327" w:right="238" w:hanging="227"/>
        <w:jc w:val="left"/>
      </w:pPr>
      <w:r>
        <w:rPr>
          <w:rFonts w:ascii="Century Gothic" w:hAnsi="Century Gothic"/>
          <w:color w:val="231F20"/>
        </w:rPr>
        <w:t>» </w:t>
      </w:r>
      <w:r>
        <w:rPr>
          <w:rFonts w:ascii="Century Gothic" w:hAnsi="Century Gothic"/>
          <w:color w:val="231F20"/>
          <w:spacing w:val="21"/>
        </w:rPr>
        <w:t> </w:t>
      </w:r>
      <w:r>
        <w:rPr>
          <w:color w:val="231F20"/>
        </w:rPr>
        <w:t>the</w:t>
      </w:r>
      <w:r>
        <w:rPr>
          <w:color w:val="231F20"/>
          <w:spacing w:val="-4"/>
        </w:rPr>
        <w:t> </w:t>
      </w:r>
      <w:r>
        <w:rPr>
          <w:color w:val="231F20"/>
          <w:spacing w:val="-1"/>
        </w:rPr>
        <w:t>introduction</w:t>
      </w:r>
      <w:r>
        <w:rPr>
          <w:color w:val="231F20"/>
          <w:spacing w:val="-3"/>
        </w:rPr>
        <w:t> </w:t>
      </w:r>
      <w:r>
        <w:rPr>
          <w:color w:val="231F20"/>
        </w:rPr>
        <w:t>of</w:t>
      </w:r>
      <w:r>
        <w:rPr>
          <w:color w:val="231F20"/>
          <w:spacing w:val="-4"/>
        </w:rPr>
        <w:t> </w:t>
      </w:r>
      <w:r>
        <w:rPr>
          <w:color w:val="231F20"/>
          <w:spacing w:val="-1"/>
        </w:rPr>
        <w:t>Safe</w:t>
      </w:r>
      <w:r>
        <w:rPr>
          <w:color w:val="231F20"/>
          <w:spacing w:val="-3"/>
        </w:rPr>
        <w:t> Travel</w:t>
      </w:r>
      <w:r>
        <w:rPr>
          <w:color w:val="231F20"/>
          <w:spacing w:val="-5"/>
        </w:rPr>
        <w:t> </w:t>
      </w:r>
      <w:r>
        <w:rPr>
          <w:color w:val="231F20"/>
          <w:spacing w:val="-1"/>
        </w:rPr>
        <w:t>Plans,</w:t>
      </w:r>
      <w:r>
        <w:rPr>
          <w:color w:val="231F20"/>
          <w:spacing w:val="-3"/>
        </w:rPr>
        <w:t> </w:t>
      </w:r>
      <w:r>
        <w:rPr>
          <w:color w:val="231F20"/>
        </w:rPr>
        <w:t>which</w:t>
      </w:r>
      <w:r>
        <w:rPr>
          <w:color w:val="231F20"/>
          <w:spacing w:val="24"/>
          <w:w w:val="99"/>
        </w:rPr>
        <w:t> </w:t>
      </w:r>
      <w:r>
        <w:rPr>
          <w:color w:val="231F20"/>
        </w:rPr>
        <w:t>would</w:t>
      </w:r>
      <w:r>
        <w:rPr>
          <w:color w:val="231F20"/>
          <w:spacing w:val="-6"/>
        </w:rPr>
        <w:t> </w:t>
      </w:r>
      <w:r>
        <w:rPr>
          <w:color w:val="231F20"/>
        </w:rPr>
        <w:t>be</w:t>
      </w:r>
      <w:r>
        <w:rPr>
          <w:color w:val="231F20"/>
          <w:spacing w:val="-4"/>
        </w:rPr>
        <w:t> </w:t>
      </w:r>
      <w:r>
        <w:rPr>
          <w:color w:val="231F20"/>
        </w:rPr>
        <w:t>voluntary</w:t>
      </w:r>
      <w:r>
        <w:rPr>
          <w:color w:val="231F20"/>
          <w:spacing w:val="-5"/>
        </w:rPr>
        <w:t> </w:t>
      </w:r>
      <w:r>
        <w:rPr>
          <w:color w:val="231F20"/>
        </w:rPr>
        <w:t>from</w:t>
      </w:r>
      <w:r>
        <w:rPr>
          <w:color w:val="231F20"/>
          <w:spacing w:val="-4"/>
        </w:rPr>
        <w:t> </w:t>
      </w:r>
      <w:r>
        <w:rPr>
          <w:color w:val="231F20"/>
        </w:rPr>
        <w:t>1</w:t>
      </w:r>
      <w:r>
        <w:rPr>
          <w:color w:val="231F20"/>
          <w:spacing w:val="-5"/>
        </w:rPr>
        <w:t> </w:t>
      </w:r>
      <w:r>
        <w:rPr>
          <w:color w:val="231F20"/>
        </w:rPr>
        <w:t>January</w:t>
      </w:r>
      <w:r>
        <w:rPr>
          <w:color w:val="231F20"/>
          <w:spacing w:val="-4"/>
        </w:rPr>
        <w:t> </w:t>
      </w:r>
      <w:r>
        <w:rPr>
          <w:color w:val="231F20"/>
          <w:spacing w:val="-1"/>
        </w:rPr>
        <w:t>2019</w:t>
      </w:r>
      <w:r>
        <w:rPr>
          <w:color w:val="231F20"/>
          <w:spacing w:val="-1"/>
        </w:rPr>
        <w:t> </w:t>
      </w:r>
      <w:r>
        <w:rPr>
          <w:color w:val="231F20"/>
          <w:spacing w:val="19"/>
        </w:rPr>
        <w:t> </w:t>
      </w:r>
      <w:r>
        <w:rPr>
          <w:color w:val="231F20"/>
        </w:rPr>
        <w:t>and</w:t>
      </w:r>
      <w:r>
        <w:rPr>
          <w:color w:val="231F20"/>
          <w:spacing w:val="-6"/>
        </w:rPr>
        <w:t> </w:t>
      </w:r>
      <w:r>
        <w:rPr>
          <w:color w:val="231F20"/>
        </w:rPr>
        <w:t>become</w:t>
      </w:r>
      <w:r>
        <w:rPr>
          <w:color w:val="231F20"/>
          <w:spacing w:val="-5"/>
        </w:rPr>
        <w:t> </w:t>
      </w:r>
      <w:r>
        <w:rPr>
          <w:color w:val="231F20"/>
          <w:spacing w:val="-1"/>
        </w:rPr>
        <w:t>mandatory</w:t>
      </w:r>
      <w:r>
        <w:rPr>
          <w:color w:val="231F20"/>
          <w:spacing w:val="-3"/>
        </w:rPr>
        <w:t> </w:t>
      </w:r>
      <w:r>
        <w:rPr>
          <w:color w:val="231F20"/>
        </w:rPr>
        <w:t>from</w:t>
      </w:r>
      <w:r>
        <w:rPr>
          <w:color w:val="231F20"/>
          <w:spacing w:val="-4"/>
        </w:rPr>
        <w:t> </w:t>
      </w:r>
      <w:r>
        <w:rPr>
          <w:color w:val="231F20"/>
        </w:rPr>
        <w:t>1</w:t>
      </w:r>
      <w:r>
        <w:rPr>
          <w:color w:val="231F20"/>
          <w:spacing w:val="-4"/>
        </w:rPr>
        <w:t> </w:t>
      </w:r>
      <w:r>
        <w:rPr>
          <w:color w:val="231F20"/>
        </w:rPr>
        <w:t>July</w:t>
      </w:r>
      <w:r>
        <w:rPr>
          <w:color w:val="231F20"/>
          <w:spacing w:val="-6"/>
        </w:rPr>
        <w:t> </w:t>
      </w:r>
      <w:r>
        <w:rPr>
          <w:color w:val="231F20"/>
          <w:spacing w:val="-1"/>
        </w:rPr>
        <w:t>2019,</w:t>
      </w:r>
      <w:r>
        <w:rPr>
          <w:color w:val="231F20"/>
          <w:spacing w:val="-4"/>
        </w:rPr>
        <w:t> </w:t>
      </w:r>
      <w:r>
        <w:rPr>
          <w:color w:val="231F20"/>
        </w:rPr>
        <w:t>to</w:t>
      </w:r>
      <w:r>
        <w:rPr>
          <w:color w:val="231F20"/>
          <w:spacing w:val="23"/>
          <w:w w:val="99"/>
        </w:rPr>
        <w:t> </w:t>
      </w:r>
      <w:r>
        <w:rPr>
          <w:color w:val="231F20"/>
        </w:rPr>
        <w:t>alleviate</w:t>
      </w:r>
      <w:r>
        <w:rPr>
          <w:color w:val="231F20"/>
          <w:spacing w:val="-5"/>
        </w:rPr>
        <w:t> </w:t>
      </w:r>
      <w:r>
        <w:rPr>
          <w:color w:val="231F20"/>
        </w:rPr>
        <w:t>the</w:t>
      </w:r>
      <w:r>
        <w:rPr>
          <w:color w:val="231F20"/>
          <w:spacing w:val="-4"/>
        </w:rPr>
        <w:t> </w:t>
      </w:r>
      <w:r>
        <w:rPr>
          <w:color w:val="231F20"/>
        </w:rPr>
        <w:t>risks</w:t>
      </w:r>
      <w:r>
        <w:rPr>
          <w:color w:val="231F20"/>
          <w:spacing w:val="-4"/>
        </w:rPr>
        <w:t> </w:t>
      </w:r>
      <w:r>
        <w:rPr>
          <w:color w:val="231F20"/>
        </w:rPr>
        <w:t>to</w:t>
      </w:r>
      <w:r>
        <w:rPr>
          <w:color w:val="231F20"/>
          <w:spacing w:val="-3"/>
        </w:rPr>
        <w:t> </w:t>
      </w:r>
      <w:r>
        <w:rPr>
          <w:color w:val="231F20"/>
          <w:spacing w:val="-1"/>
        </w:rPr>
        <w:t>students</w:t>
      </w:r>
      <w:r>
        <w:rPr>
          <w:color w:val="231F20"/>
          <w:spacing w:val="-3"/>
        </w:rPr>
        <w:t> </w:t>
      </w:r>
      <w:r>
        <w:rPr>
          <w:color w:val="231F20"/>
        </w:rPr>
        <w:t>who</w:t>
      </w:r>
      <w:r>
        <w:rPr>
          <w:color w:val="231F20"/>
          <w:spacing w:val="-4"/>
        </w:rPr>
        <w:t> </w:t>
      </w:r>
      <w:r>
        <w:rPr>
          <w:color w:val="231F20"/>
        </w:rPr>
        <w:t>have</w:t>
      </w:r>
      <w:r>
        <w:rPr>
          <w:color w:val="231F20"/>
          <w:spacing w:val="-4"/>
        </w:rPr>
        <w:t> </w:t>
      </w:r>
      <w:r>
        <w:rPr>
          <w:color w:val="231F20"/>
        </w:rPr>
        <w:t>to</w:t>
      </w:r>
      <w:r>
        <w:rPr>
          <w:color w:val="231F20"/>
          <w:spacing w:val="22"/>
          <w:w w:val="99"/>
        </w:rPr>
        <w:t> </w:t>
      </w:r>
      <w:r>
        <w:rPr>
          <w:color w:val="231F20"/>
        </w:rPr>
        <w:t>travel</w:t>
      </w:r>
      <w:r>
        <w:rPr>
          <w:color w:val="231F20"/>
          <w:spacing w:val="-5"/>
        </w:rPr>
        <w:t> </w:t>
      </w:r>
      <w:r>
        <w:rPr>
          <w:color w:val="231F20"/>
          <w:spacing w:val="-1"/>
        </w:rPr>
        <w:t>multiple</w:t>
      </w:r>
      <w:r>
        <w:rPr>
          <w:color w:val="231F20"/>
          <w:spacing w:val="-4"/>
        </w:rPr>
        <w:t> </w:t>
      </w:r>
      <w:r>
        <w:rPr>
          <w:color w:val="231F20"/>
          <w:spacing w:val="-1"/>
        </w:rPr>
        <w:t>journeys</w:t>
      </w:r>
      <w:r>
        <w:rPr>
          <w:color w:val="231F20"/>
          <w:spacing w:val="-4"/>
        </w:rPr>
        <w:t> </w:t>
      </w:r>
      <w:r>
        <w:rPr>
          <w:color w:val="231F20"/>
        </w:rPr>
        <w:t>to</w:t>
      </w:r>
      <w:r>
        <w:rPr>
          <w:color w:val="231F20"/>
          <w:spacing w:val="-4"/>
        </w:rPr>
        <w:t> </w:t>
      </w:r>
      <w:r>
        <w:rPr>
          <w:color w:val="231F20"/>
        </w:rPr>
        <w:t>attend</w:t>
      </w:r>
      <w:r>
        <w:rPr>
          <w:color w:val="231F20"/>
          <w:spacing w:val="-5"/>
        </w:rPr>
        <w:t> </w:t>
      </w:r>
      <w:r>
        <w:rPr>
          <w:color w:val="231F20"/>
          <w:spacing w:val="-1"/>
        </w:rPr>
        <w:t>school.</w:t>
      </w:r>
      <w:r>
        <w:rPr/>
      </w:r>
    </w:p>
    <w:p>
      <w:pPr>
        <w:pStyle w:val="BodyText"/>
        <w:spacing w:line="250" w:lineRule="exact" w:before="113"/>
        <w:ind w:left="100" w:right="554"/>
        <w:jc w:val="left"/>
      </w:pPr>
      <w:r>
        <w:rPr>
          <w:color w:val="231F20"/>
          <w:spacing w:val="-1"/>
        </w:rPr>
        <w:t>STPs</w:t>
      </w:r>
      <w:r>
        <w:rPr>
          <w:color w:val="231F20"/>
          <w:spacing w:val="-3"/>
        </w:rPr>
        <w:t> </w:t>
      </w:r>
      <w:r>
        <w:rPr>
          <w:color w:val="231F20"/>
        </w:rPr>
        <w:t>are</w:t>
      </w:r>
      <w:r>
        <w:rPr>
          <w:color w:val="231F20"/>
          <w:spacing w:val="-4"/>
        </w:rPr>
        <w:t> </w:t>
      </w:r>
      <w:r>
        <w:rPr>
          <w:color w:val="231F20"/>
        </w:rPr>
        <w:t>also</w:t>
      </w:r>
      <w:r>
        <w:rPr>
          <w:color w:val="231F20"/>
          <w:spacing w:val="-4"/>
        </w:rPr>
        <w:t> </w:t>
      </w:r>
      <w:r>
        <w:rPr>
          <w:color w:val="231F20"/>
        </w:rPr>
        <w:t>an</w:t>
      </w:r>
      <w:r>
        <w:rPr>
          <w:color w:val="231F20"/>
          <w:spacing w:val="-4"/>
        </w:rPr>
        <w:t> </w:t>
      </w:r>
      <w:r>
        <w:rPr>
          <w:color w:val="231F20"/>
        </w:rPr>
        <w:t>opportunity</w:t>
      </w:r>
      <w:r>
        <w:rPr>
          <w:color w:val="231F20"/>
          <w:spacing w:val="-4"/>
        </w:rPr>
        <w:t> </w:t>
      </w:r>
      <w:r>
        <w:rPr>
          <w:color w:val="231F20"/>
        </w:rPr>
        <w:t>for</w:t>
      </w:r>
      <w:r>
        <w:rPr>
          <w:color w:val="231F20"/>
          <w:spacing w:val="-3"/>
        </w:rPr>
        <w:t> </w:t>
      </w:r>
      <w:r>
        <w:rPr>
          <w:color w:val="231F20"/>
          <w:spacing w:val="-1"/>
        </w:rPr>
        <w:t>schools</w:t>
      </w:r>
      <w:r>
        <w:rPr>
          <w:color w:val="231F20"/>
          <w:spacing w:val="21"/>
        </w:rPr>
        <w:t> </w:t>
      </w:r>
      <w:r>
        <w:rPr>
          <w:color w:val="231F20"/>
        </w:rPr>
        <w:t>and</w:t>
      </w:r>
      <w:r>
        <w:rPr>
          <w:color w:val="231F20"/>
          <w:spacing w:val="-8"/>
        </w:rPr>
        <w:t> </w:t>
      </w:r>
      <w:r>
        <w:rPr>
          <w:color w:val="231F20"/>
        </w:rPr>
        <w:t>boarding</w:t>
      </w:r>
      <w:r>
        <w:rPr>
          <w:color w:val="231F20"/>
          <w:spacing w:val="-8"/>
        </w:rPr>
        <w:t> </w:t>
      </w:r>
      <w:r>
        <w:rPr>
          <w:color w:val="231F20"/>
        </w:rPr>
        <w:t>providers</w:t>
      </w:r>
      <w:r>
        <w:rPr>
          <w:color w:val="231F20"/>
          <w:spacing w:val="-8"/>
        </w:rPr>
        <w:t> </w:t>
      </w:r>
      <w:r>
        <w:rPr>
          <w:color w:val="231F20"/>
        </w:rPr>
        <w:t>to</w:t>
      </w:r>
      <w:r>
        <w:rPr>
          <w:color w:val="231F20"/>
          <w:spacing w:val="-7"/>
        </w:rPr>
        <w:t> </w:t>
      </w:r>
      <w:r>
        <w:rPr>
          <w:color w:val="231F20"/>
          <w:spacing w:val="-1"/>
        </w:rPr>
        <w:t>strengthen</w:t>
      </w:r>
      <w:r>
        <w:rPr>
          <w:color w:val="231F20"/>
          <w:spacing w:val="-7"/>
        </w:rPr>
        <w:t> </w:t>
      </w:r>
      <w:r>
        <w:rPr>
          <w:color w:val="231F20"/>
        </w:rPr>
        <w:t>their</w:t>
      </w:r>
      <w:r>
        <w:rPr/>
      </w:r>
    </w:p>
    <w:p>
      <w:pPr>
        <w:pStyle w:val="BodyText"/>
        <w:spacing w:line="250" w:lineRule="exact"/>
        <w:ind w:left="100" w:right="132"/>
        <w:jc w:val="left"/>
      </w:pPr>
      <w:r>
        <w:rPr>
          <w:color w:val="231F20"/>
        </w:rPr>
        <w:t>relationships</w:t>
      </w:r>
      <w:r>
        <w:rPr>
          <w:color w:val="231F20"/>
          <w:spacing w:val="-12"/>
        </w:rPr>
        <w:t> </w:t>
      </w:r>
      <w:r>
        <w:rPr>
          <w:color w:val="231F20"/>
        </w:rPr>
        <w:t>with</w:t>
      </w:r>
      <w:r>
        <w:rPr>
          <w:color w:val="231F20"/>
          <w:spacing w:val="-11"/>
        </w:rPr>
        <w:t> </w:t>
      </w:r>
      <w:r>
        <w:rPr>
          <w:color w:val="231F20"/>
        </w:rPr>
        <w:t>parent/guardians,</w:t>
      </w:r>
      <w:r>
        <w:rPr>
          <w:color w:val="231F20"/>
          <w:spacing w:val="-11"/>
        </w:rPr>
        <w:t> </w:t>
      </w:r>
      <w:r>
        <w:rPr>
          <w:color w:val="231F20"/>
          <w:spacing w:val="-1"/>
        </w:rPr>
        <w:t>Indigenous</w:t>
      </w:r>
      <w:r>
        <w:rPr>
          <w:color w:val="231F20"/>
          <w:spacing w:val="20"/>
          <w:w w:val="99"/>
        </w:rPr>
        <w:t> </w:t>
      </w:r>
      <w:r>
        <w:rPr>
          <w:color w:val="231F20"/>
        </w:rPr>
        <w:t>communities</w:t>
      </w:r>
      <w:r>
        <w:rPr>
          <w:color w:val="231F20"/>
          <w:spacing w:val="-5"/>
        </w:rPr>
        <w:t> </w:t>
      </w:r>
      <w:r>
        <w:rPr>
          <w:color w:val="231F20"/>
        </w:rPr>
        <w:t>and</w:t>
      </w:r>
      <w:r>
        <w:rPr>
          <w:color w:val="231F20"/>
          <w:spacing w:val="-5"/>
        </w:rPr>
        <w:t> </w:t>
      </w:r>
      <w:r>
        <w:rPr>
          <w:color w:val="231F20"/>
        </w:rPr>
        <w:t>other</w:t>
      </w:r>
      <w:r>
        <w:rPr>
          <w:color w:val="231F20"/>
          <w:spacing w:val="-4"/>
        </w:rPr>
        <w:t> </w:t>
      </w:r>
      <w:r>
        <w:rPr>
          <w:color w:val="231F20"/>
          <w:spacing w:val="-1"/>
        </w:rPr>
        <w:t>schools</w:t>
      </w:r>
      <w:r>
        <w:rPr>
          <w:color w:val="231F20"/>
          <w:spacing w:val="-4"/>
        </w:rPr>
        <w:t> </w:t>
      </w:r>
      <w:r>
        <w:rPr>
          <w:color w:val="231F20"/>
        </w:rPr>
        <w:t>and</w:t>
      </w:r>
      <w:r>
        <w:rPr>
          <w:color w:val="231F20"/>
          <w:spacing w:val="-5"/>
        </w:rPr>
        <w:t> </w:t>
      </w:r>
      <w:r>
        <w:rPr>
          <w:color w:val="231F20"/>
        </w:rPr>
        <w:t>boarding</w:t>
      </w:r>
      <w:r>
        <w:rPr>
          <w:color w:val="231F20"/>
          <w:spacing w:val="22"/>
          <w:w w:val="99"/>
        </w:rPr>
        <w:t> </w:t>
      </w:r>
      <w:r>
        <w:rPr>
          <w:color w:val="231F20"/>
        </w:rPr>
        <w:t>providers</w:t>
      </w:r>
      <w:r>
        <w:rPr>
          <w:color w:val="231F20"/>
          <w:spacing w:val="-7"/>
        </w:rPr>
        <w:t> </w:t>
      </w:r>
      <w:r>
        <w:rPr>
          <w:color w:val="231F20"/>
        </w:rPr>
        <w:t>to</w:t>
      </w:r>
      <w:r>
        <w:rPr>
          <w:color w:val="231F20"/>
          <w:spacing w:val="-6"/>
        </w:rPr>
        <w:t> </w:t>
      </w:r>
      <w:r>
        <w:rPr>
          <w:color w:val="231F20"/>
        </w:rPr>
        <w:t>provide</w:t>
      </w:r>
      <w:r>
        <w:rPr>
          <w:color w:val="231F20"/>
          <w:spacing w:val="-7"/>
        </w:rPr>
        <w:t> </w:t>
      </w:r>
      <w:r>
        <w:rPr>
          <w:color w:val="231F20"/>
          <w:spacing w:val="-1"/>
        </w:rPr>
        <w:t>more</w:t>
      </w:r>
      <w:r>
        <w:rPr>
          <w:color w:val="231F20"/>
          <w:spacing w:val="-6"/>
        </w:rPr>
        <w:t> </w:t>
      </w:r>
      <w:r>
        <w:rPr>
          <w:color w:val="231F20"/>
        </w:rPr>
        <w:t>holistic</w:t>
      </w:r>
      <w:r>
        <w:rPr>
          <w:color w:val="231F20"/>
          <w:spacing w:val="-7"/>
        </w:rPr>
        <w:t> </w:t>
      </w:r>
      <w:r>
        <w:rPr>
          <w:color w:val="231F20"/>
        </w:rPr>
        <w:t>transition</w:t>
      </w:r>
      <w:r>
        <w:rPr>
          <w:color w:val="231F20"/>
          <w:spacing w:val="21"/>
          <w:w w:val="99"/>
        </w:rPr>
        <w:t> </w:t>
      </w:r>
      <w:r>
        <w:rPr>
          <w:color w:val="231F20"/>
          <w:spacing w:val="-1"/>
        </w:rPr>
        <w:t>support</w:t>
      </w:r>
      <w:r>
        <w:rPr>
          <w:color w:val="231F20"/>
          <w:spacing w:val="-9"/>
        </w:rPr>
        <w:t> </w:t>
      </w:r>
      <w:r>
        <w:rPr>
          <w:color w:val="231F20"/>
        </w:rPr>
        <w:t>to</w:t>
      </w:r>
      <w:r>
        <w:rPr>
          <w:color w:val="231F20"/>
          <w:spacing w:val="-8"/>
        </w:rPr>
        <w:t> </w:t>
      </w:r>
      <w:r>
        <w:rPr>
          <w:color w:val="231F20"/>
          <w:spacing w:val="-1"/>
        </w:rPr>
        <w:t>students.</w:t>
      </w:r>
      <w:r>
        <w:rPr/>
      </w:r>
    </w:p>
    <w:p>
      <w:pPr>
        <w:pStyle w:val="BodyText"/>
        <w:spacing w:line="250" w:lineRule="exact" w:before="113"/>
        <w:ind w:left="100" w:right="119"/>
        <w:jc w:val="left"/>
      </w:pPr>
      <w:r>
        <w:rPr>
          <w:color w:val="231F20"/>
          <w:spacing w:val="-1"/>
        </w:rPr>
        <w:t>In</w:t>
      </w:r>
      <w:r>
        <w:rPr>
          <w:color w:val="231F20"/>
          <w:spacing w:val="-5"/>
        </w:rPr>
        <w:t> </w:t>
      </w:r>
      <w:r>
        <w:rPr>
          <w:color w:val="231F20"/>
        </w:rPr>
        <w:t>addition</w:t>
      </w:r>
      <w:r>
        <w:rPr>
          <w:color w:val="231F20"/>
          <w:spacing w:val="-6"/>
        </w:rPr>
        <w:t> </w:t>
      </w:r>
      <w:r>
        <w:rPr>
          <w:color w:val="231F20"/>
        </w:rPr>
        <w:t>to</w:t>
      </w:r>
      <w:r>
        <w:rPr>
          <w:color w:val="231F20"/>
          <w:spacing w:val="-4"/>
        </w:rPr>
        <w:t> </w:t>
      </w:r>
      <w:r>
        <w:rPr>
          <w:color w:val="231F20"/>
        </w:rPr>
        <w:t>the</w:t>
      </w:r>
      <w:r>
        <w:rPr>
          <w:color w:val="231F20"/>
          <w:spacing w:val="-6"/>
        </w:rPr>
        <w:t> </w:t>
      </w:r>
      <w:r>
        <w:rPr>
          <w:color w:val="231F20"/>
        </w:rPr>
        <w:t>above,</w:t>
      </w:r>
      <w:r>
        <w:rPr>
          <w:color w:val="231F20"/>
          <w:spacing w:val="-6"/>
        </w:rPr>
        <w:t> </w:t>
      </w:r>
      <w:r>
        <w:rPr>
          <w:color w:val="231F20"/>
        </w:rPr>
        <w:t>approximately</w:t>
      </w:r>
      <w:r>
        <w:rPr>
          <w:color w:val="231F20"/>
          <w:spacing w:val="-5"/>
        </w:rPr>
        <w:t> </w:t>
      </w:r>
      <w:r>
        <w:rPr>
          <w:color w:val="231F20"/>
          <w:spacing w:val="-1"/>
        </w:rPr>
        <w:t>30</w:t>
      </w:r>
      <w:r>
        <w:rPr>
          <w:color w:val="231F20"/>
          <w:spacing w:val="-5"/>
        </w:rPr>
        <w:t> </w:t>
      </w:r>
      <w:r>
        <w:rPr>
          <w:color w:val="231F20"/>
        </w:rPr>
        <w:t>or</w:t>
      </w:r>
      <w:r>
        <w:rPr>
          <w:color w:val="231F20"/>
          <w:spacing w:val="22"/>
          <w:w w:val="99"/>
        </w:rPr>
        <w:t> </w:t>
      </w:r>
      <w:r>
        <w:rPr>
          <w:color w:val="231F20"/>
          <w:spacing w:val="-1"/>
        </w:rPr>
        <w:t>more</w:t>
      </w:r>
      <w:r>
        <w:rPr>
          <w:color w:val="231F20"/>
          <w:spacing w:val="-5"/>
        </w:rPr>
        <w:t> </w:t>
      </w:r>
      <w:r>
        <w:rPr>
          <w:color w:val="231F20"/>
        </w:rPr>
        <w:t>boarding</w:t>
      </w:r>
      <w:r>
        <w:rPr>
          <w:color w:val="231F20"/>
          <w:spacing w:val="-6"/>
        </w:rPr>
        <w:t> </w:t>
      </w:r>
      <w:r>
        <w:rPr>
          <w:color w:val="231F20"/>
        </w:rPr>
        <w:t>providers</w:t>
      </w:r>
      <w:r>
        <w:rPr>
          <w:color w:val="231F20"/>
          <w:spacing w:val="-5"/>
        </w:rPr>
        <w:t> </w:t>
      </w:r>
      <w:r>
        <w:rPr>
          <w:color w:val="231F20"/>
        </w:rPr>
        <w:t>will</w:t>
      </w:r>
      <w:r>
        <w:rPr>
          <w:color w:val="231F20"/>
          <w:spacing w:val="-6"/>
        </w:rPr>
        <w:t> </w:t>
      </w:r>
      <w:r>
        <w:rPr>
          <w:color w:val="231F20"/>
        </w:rPr>
        <w:t>also</w:t>
      </w:r>
      <w:r>
        <w:rPr>
          <w:color w:val="231F20"/>
          <w:spacing w:val="-6"/>
        </w:rPr>
        <w:t> </w:t>
      </w:r>
      <w:r>
        <w:rPr>
          <w:color w:val="231F20"/>
        </w:rPr>
        <w:t>be</w:t>
      </w:r>
      <w:r>
        <w:rPr>
          <w:color w:val="231F20"/>
          <w:spacing w:val="-4"/>
        </w:rPr>
        <w:t> </w:t>
      </w:r>
      <w:r>
        <w:rPr>
          <w:color w:val="231F20"/>
        </w:rPr>
        <w:t>required</w:t>
      </w:r>
      <w:r>
        <w:rPr>
          <w:color w:val="231F20"/>
          <w:spacing w:val="-5"/>
        </w:rPr>
        <w:t> </w:t>
      </w:r>
      <w:r>
        <w:rPr>
          <w:color w:val="231F20"/>
          <w:spacing w:val="-5"/>
        </w:rPr>
      </w:r>
      <w:r>
        <w:rPr>
          <w:color w:val="231F20"/>
        </w:rPr>
        <w:t>to</w:t>
      </w:r>
      <w:r>
        <w:rPr>
          <w:color w:val="231F20"/>
          <w:spacing w:val="21"/>
        </w:rPr>
        <w:t> </w:t>
      </w:r>
      <w:r>
        <w:rPr>
          <w:color w:val="231F20"/>
        </w:rPr>
        <w:t>create</w:t>
      </w:r>
      <w:r>
        <w:rPr>
          <w:color w:val="231F20"/>
          <w:spacing w:val="-4"/>
        </w:rPr>
        <w:t> </w:t>
      </w:r>
      <w:r>
        <w:rPr>
          <w:color w:val="231F20"/>
          <w:spacing w:val="-1"/>
        </w:rPr>
        <w:t>STPs</w:t>
      </w:r>
      <w:r>
        <w:rPr>
          <w:color w:val="231F20"/>
          <w:spacing w:val="-4"/>
        </w:rPr>
        <w:t> </w:t>
      </w:r>
      <w:r>
        <w:rPr>
          <w:color w:val="231F20"/>
        </w:rPr>
        <w:t>for</w:t>
      </w:r>
      <w:r>
        <w:rPr>
          <w:color w:val="231F20"/>
          <w:spacing w:val="-4"/>
        </w:rPr>
        <w:t> </w:t>
      </w:r>
      <w:r>
        <w:rPr>
          <w:color w:val="231F20"/>
        </w:rPr>
        <w:t>their</w:t>
      </w:r>
      <w:r>
        <w:rPr>
          <w:color w:val="231F20"/>
          <w:spacing w:val="-5"/>
        </w:rPr>
        <w:t> </w:t>
      </w:r>
      <w:r>
        <w:rPr>
          <w:color w:val="231F20"/>
          <w:spacing w:val="-1"/>
        </w:rPr>
        <w:t>students</w:t>
      </w:r>
      <w:r>
        <w:rPr>
          <w:color w:val="231F20"/>
          <w:spacing w:val="-3"/>
        </w:rPr>
        <w:t> </w:t>
      </w:r>
      <w:r>
        <w:rPr>
          <w:color w:val="231F20"/>
          <w:spacing w:val="-1"/>
        </w:rPr>
        <w:t>in</w:t>
      </w:r>
      <w:r>
        <w:rPr>
          <w:color w:val="231F20"/>
          <w:spacing w:val="-4"/>
        </w:rPr>
        <w:t> </w:t>
      </w:r>
      <w:r>
        <w:rPr>
          <w:color w:val="231F20"/>
        </w:rPr>
        <w:t>consultation</w:t>
      </w:r>
      <w:r>
        <w:rPr>
          <w:color w:val="231F20"/>
          <w:spacing w:val="24"/>
          <w:w w:val="99"/>
        </w:rPr>
        <w:t> </w:t>
      </w:r>
      <w:r>
        <w:rPr>
          <w:color w:val="231F20"/>
        </w:rPr>
        <w:t>with</w:t>
      </w:r>
      <w:r>
        <w:rPr>
          <w:color w:val="231F20"/>
          <w:spacing w:val="-6"/>
        </w:rPr>
        <w:t> </w:t>
      </w:r>
      <w:r>
        <w:rPr>
          <w:color w:val="231F20"/>
        </w:rPr>
        <w:t>the</w:t>
      </w:r>
      <w:r>
        <w:rPr>
          <w:color w:val="231F20"/>
          <w:spacing w:val="-6"/>
        </w:rPr>
        <w:t> </w:t>
      </w:r>
      <w:r>
        <w:rPr>
          <w:color w:val="231F20"/>
          <w:spacing w:val="-1"/>
        </w:rPr>
        <w:t>student’s</w:t>
      </w:r>
      <w:r>
        <w:rPr>
          <w:color w:val="231F20"/>
          <w:spacing w:val="-4"/>
        </w:rPr>
        <w:t> </w:t>
      </w:r>
      <w:r>
        <w:rPr>
          <w:color w:val="231F20"/>
        </w:rPr>
        <w:t>parent/guardian</w:t>
      </w:r>
      <w:r>
        <w:rPr>
          <w:color w:val="231F20"/>
          <w:spacing w:val="-6"/>
        </w:rPr>
        <w:t> </w:t>
      </w:r>
      <w:r>
        <w:rPr>
          <w:color w:val="231F20"/>
        </w:rPr>
        <w:t>and</w:t>
      </w:r>
      <w:r>
        <w:rPr>
          <w:color w:val="231F20"/>
          <w:spacing w:val="-6"/>
        </w:rPr>
        <w:t> </w:t>
      </w:r>
      <w:r>
        <w:rPr>
          <w:color w:val="231F20"/>
          <w:spacing w:val="-1"/>
        </w:rPr>
        <w:t>school.</w:t>
      </w:r>
      <w:r>
        <w:rPr/>
      </w:r>
    </w:p>
    <w:p>
      <w:pPr>
        <w:pStyle w:val="BodyText"/>
        <w:spacing w:line="250" w:lineRule="exact" w:before="113"/>
        <w:ind w:left="100" w:right="132"/>
        <w:jc w:val="left"/>
      </w:pPr>
      <w:r>
        <w:rPr>
          <w:color w:val="231F20"/>
          <w:spacing w:val="-1"/>
        </w:rPr>
        <w:t>It</w:t>
      </w:r>
      <w:r>
        <w:rPr>
          <w:color w:val="231F20"/>
          <w:spacing w:val="-4"/>
        </w:rPr>
        <w:t> </w:t>
      </w:r>
      <w:r>
        <w:rPr>
          <w:color w:val="231F20"/>
        </w:rPr>
        <w:t>will</w:t>
      </w:r>
      <w:r>
        <w:rPr>
          <w:color w:val="231F20"/>
          <w:spacing w:val="-4"/>
        </w:rPr>
        <w:t> </w:t>
      </w:r>
      <w:r>
        <w:rPr>
          <w:color w:val="231F20"/>
        </w:rPr>
        <w:t>be</w:t>
      </w:r>
      <w:r>
        <w:rPr>
          <w:color w:val="231F20"/>
          <w:spacing w:val="-4"/>
        </w:rPr>
        <w:t> </w:t>
      </w:r>
      <w:r>
        <w:rPr>
          <w:color w:val="231F20"/>
        </w:rPr>
        <w:t>the</w:t>
      </w:r>
      <w:r>
        <w:rPr>
          <w:color w:val="231F20"/>
          <w:spacing w:val="-4"/>
        </w:rPr>
        <w:t> </w:t>
      </w:r>
      <w:r>
        <w:rPr>
          <w:color w:val="231F20"/>
        </w:rPr>
        <w:t>responsibility</w:t>
      </w:r>
      <w:r>
        <w:rPr>
          <w:color w:val="231F20"/>
          <w:spacing w:val="-6"/>
        </w:rPr>
        <w:t> </w:t>
      </w:r>
      <w:r>
        <w:rPr>
          <w:color w:val="231F20"/>
        </w:rPr>
        <w:t>of</w:t>
      </w:r>
      <w:r>
        <w:rPr>
          <w:color w:val="231F20"/>
          <w:spacing w:val="-3"/>
        </w:rPr>
        <w:t> </w:t>
      </w:r>
      <w:r>
        <w:rPr>
          <w:color w:val="231F20"/>
        </w:rPr>
        <w:t>whoever</w:t>
      </w:r>
      <w:r>
        <w:rPr>
          <w:color w:val="231F20"/>
          <w:spacing w:val="-4"/>
        </w:rPr>
        <w:t> </w:t>
      </w:r>
      <w:r>
        <w:rPr>
          <w:color w:val="231F20"/>
        </w:rPr>
        <w:t>organises</w:t>
      </w:r>
      <w:r>
        <w:rPr>
          <w:color w:val="231F20"/>
          <w:spacing w:val="21"/>
          <w:w w:val="99"/>
        </w:rPr>
        <w:t> </w:t>
      </w:r>
      <w:r>
        <w:rPr>
          <w:color w:val="231F20"/>
        </w:rPr>
        <w:t>the</w:t>
      </w:r>
      <w:r>
        <w:rPr>
          <w:color w:val="231F20"/>
          <w:spacing w:val="-4"/>
        </w:rPr>
        <w:t> </w:t>
      </w:r>
      <w:r>
        <w:rPr>
          <w:color w:val="231F20"/>
          <w:spacing w:val="-1"/>
        </w:rPr>
        <w:t>student’s</w:t>
      </w:r>
      <w:r>
        <w:rPr>
          <w:color w:val="231F20"/>
          <w:spacing w:val="-3"/>
        </w:rPr>
        <w:t> </w:t>
      </w:r>
      <w:r>
        <w:rPr>
          <w:color w:val="231F20"/>
        </w:rPr>
        <w:t>travel,</w:t>
      </w:r>
      <w:r>
        <w:rPr>
          <w:color w:val="231F20"/>
          <w:spacing w:val="-3"/>
        </w:rPr>
        <w:t> </w:t>
      </w:r>
      <w:r>
        <w:rPr>
          <w:color w:val="231F20"/>
        </w:rPr>
        <w:t>either</w:t>
      </w:r>
      <w:r>
        <w:rPr>
          <w:color w:val="231F20"/>
          <w:spacing w:val="-3"/>
        </w:rPr>
        <w:t> </w:t>
      </w:r>
      <w:r>
        <w:rPr>
          <w:color w:val="231F20"/>
        </w:rPr>
        <w:t>the</w:t>
      </w:r>
      <w:r>
        <w:rPr>
          <w:color w:val="231F20"/>
          <w:spacing w:val="-4"/>
        </w:rPr>
        <w:t> </w:t>
      </w:r>
      <w:r>
        <w:rPr>
          <w:color w:val="231F20"/>
          <w:spacing w:val="-1"/>
        </w:rPr>
        <w:t>school</w:t>
      </w:r>
      <w:r>
        <w:rPr>
          <w:color w:val="231F20"/>
          <w:spacing w:val="-3"/>
        </w:rPr>
        <w:t> </w:t>
      </w:r>
      <w:r>
        <w:rPr>
          <w:color w:val="231F20"/>
        </w:rPr>
        <w:t>or</w:t>
      </w:r>
      <w:r>
        <w:rPr>
          <w:color w:val="231F20"/>
          <w:spacing w:val="23"/>
          <w:w w:val="99"/>
        </w:rPr>
        <w:t> </w:t>
      </w:r>
      <w:r>
        <w:rPr>
          <w:color w:val="231F20"/>
        </w:rPr>
        <w:t>boarding</w:t>
      </w:r>
      <w:r>
        <w:rPr>
          <w:color w:val="231F20"/>
          <w:spacing w:val="-6"/>
        </w:rPr>
        <w:t> </w:t>
      </w:r>
      <w:r>
        <w:rPr>
          <w:color w:val="231F20"/>
        </w:rPr>
        <w:t>provider,</w:t>
      </w:r>
      <w:r>
        <w:rPr>
          <w:color w:val="231F20"/>
          <w:spacing w:val="-6"/>
        </w:rPr>
        <w:t> </w:t>
      </w:r>
      <w:r>
        <w:rPr>
          <w:color w:val="231F20"/>
        </w:rPr>
        <w:t>to</w:t>
      </w:r>
      <w:r>
        <w:rPr>
          <w:color w:val="231F20"/>
          <w:spacing w:val="-5"/>
        </w:rPr>
        <w:t> </w:t>
      </w:r>
      <w:r>
        <w:rPr>
          <w:color w:val="231F20"/>
        </w:rPr>
        <w:t>create</w:t>
      </w:r>
      <w:r>
        <w:rPr>
          <w:color w:val="231F20"/>
          <w:spacing w:val="-5"/>
        </w:rPr>
        <w:t> </w:t>
      </w:r>
      <w:r>
        <w:rPr>
          <w:color w:val="231F20"/>
        </w:rPr>
        <w:t>and</w:t>
      </w:r>
      <w:r>
        <w:rPr>
          <w:color w:val="231F20"/>
          <w:spacing w:val="-6"/>
        </w:rPr>
        <w:t> </w:t>
      </w:r>
      <w:r>
        <w:rPr>
          <w:color w:val="231F20"/>
          <w:spacing w:val="-1"/>
        </w:rPr>
        <w:t>store</w:t>
      </w:r>
      <w:r>
        <w:rPr>
          <w:color w:val="231F20"/>
          <w:spacing w:val="-4"/>
        </w:rPr>
        <w:t> </w:t>
      </w:r>
      <w:r>
        <w:rPr>
          <w:color w:val="231F20"/>
        </w:rPr>
        <w:t>the</w:t>
      </w:r>
      <w:r>
        <w:rPr>
          <w:color w:val="231F20"/>
          <w:spacing w:val="-6"/>
        </w:rPr>
        <w:t> </w:t>
      </w:r>
      <w:r>
        <w:rPr>
          <w:color w:val="231F20"/>
          <w:spacing w:val="-1"/>
        </w:rPr>
        <w:t>STP.</w:t>
      </w:r>
      <w:r>
        <w:rPr/>
      </w:r>
    </w:p>
    <w:p>
      <w:pPr>
        <w:spacing w:after="0" w:line="250" w:lineRule="exact"/>
        <w:jc w:val="left"/>
        <w:sectPr>
          <w:type w:val="continuous"/>
          <w:pgSz w:w="11910" w:h="16840"/>
          <w:pgMar w:top="1580" w:bottom="280" w:left="1600" w:right="1300"/>
          <w:cols w:num="2" w:equalWidth="0">
            <w:col w:w="4296" w:space="240"/>
            <w:col w:w="4474"/>
          </w:cols>
        </w:sectPr>
      </w:pPr>
    </w:p>
    <w:p>
      <w:pPr>
        <w:spacing w:line="240" w:lineRule="auto" w:before="0"/>
        <w:rPr>
          <w:rFonts w:ascii="Segoe UI" w:hAnsi="Segoe UI" w:cs="Segoe UI" w:eastAsia="Segoe UI"/>
          <w:sz w:val="20"/>
          <w:szCs w:val="20"/>
        </w:rPr>
      </w:pPr>
    </w:p>
    <w:p>
      <w:pPr>
        <w:spacing w:line="240" w:lineRule="auto" w:before="8"/>
        <w:rPr>
          <w:rFonts w:ascii="Segoe UI" w:hAnsi="Segoe UI" w:cs="Segoe UI" w:eastAsia="Segoe UI"/>
          <w:sz w:val="21"/>
          <w:szCs w:val="21"/>
        </w:rPr>
      </w:pPr>
    </w:p>
    <w:p>
      <w:pPr>
        <w:spacing w:after="0" w:line="240" w:lineRule="auto"/>
        <w:rPr>
          <w:rFonts w:ascii="Segoe UI" w:hAnsi="Segoe UI" w:cs="Segoe UI" w:eastAsia="Segoe UI"/>
          <w:sz w:val="21"/>
          <w:szCs w:val="21"/>
        </w:rPr>
        <w:sectPr>
          <w:pgSz w:w="11910" w:h="16840"/>
          <w:pgMar w:header="0" w:footer="691" w:top="1580" w:bottom="880" w:left="1300" w:right="1680"/>
        </w:sectPr>
      </w:pPr>
    </w:p>
    <w:p>
      <w:pPr>
        <w:pStyle w:val="Heading6"/>
        <w:spacing w:line="250" w:lineRule="exact" w:before="62"/>
        <w:ind w:left="117" w:right="15"/>
        <w:jc w:val="left"/>
        <w:rPr>
          <w:b w:val="0"/>
          <w:bCs w:val="0"/>
        </w:rPr>
      </w:pPr>
      <w:r>
        <w:rPr>
          <w:color w:val="231F20"/>
          <w:spacing w:val="-1"/>
        </w:rPr>
        <w:t>How </w:t>
      </w:r>
      <w:r>
        <w:rPr>
          <w:color w:val="231F20"/>
        </w:rPr>
        <w:t>many </w:t>
      </w:r>
      <w:r>
        <w:rPr>
          <w:color w:val="231F20"/>
          <w:spacing w:val="-1"/>
        </w:rPr>
        <w:t>incidents</w:t>
      </w:r>
      <w:r>
        <w:rPr>
          <w:color w:val="231F20"/>
        </w:rPr>
        <w:t> </w:t>
      </w:r>
      <w:r>
        <w:rPr>
          <w:color w:val="231F20"/>
          <w:spacing w:val="-2"/>
        </w:rPr>
        <w:t>of</w:t>
      </w:r>
      <w:r>
        <w:rPr>
          <w:color w:val="231F20"/>
          <w:spacing w:val="-1"/>
        </w:rPr>
        <w:t> disrupted travel are</w:t>
      </w:r>
      <w:r>
        <w:rPr>
          <w:color w:val="231F20"/>
          <w:spacing w:val="23"/>
        </w:rPr>
        <w:t> </w:t>
      </w:r>
      <w:r>
        <w:rPr>
          <w:color w:val="231F20"/>
          <w:spacing w:val="-1"/>
        </w:rPr>
        <w:t>there?</w:t>
      </w:r>
      <w:r>
        <w:rPr>
          <w:b w:val="0"/>
        </w:rPr>
      </w:r>
    </w:p>
    <w:p>
      <w:pPr>
        <w:pStyle w:val="BodyText"/>
        <w:spacing w:line="250" w:lineRule="exact" w:before="113"/>
        <w:ind w:right="0"/>
        <w:jc w:val="left"/>
      </w:pPr>
      <w:r>
        <w:rPr>
          <w:rFonts w:ascii="Segoe UI" w:hAnsi="Segoe UI" w:cs="Segoe UI" w:eastAsia="Segoe UI"/>
          <w:color w:val="231F20"/>
        </w:rPr>
        <w:t>In the 2016–17 financial year, DHS recorded </w:t>
      </w:r>
      <w:r>
        <w:rPr>
          <w:color w:val="231F20"/>
          <w:spacing w:val="-1"/>
        </w:rPr>
        <w:t>471*</w:t>
      </w:r>
      <w:r>
        <w:rPr>
          <w:color w:val="231F20"/>
          <w:spacing w:val="-5"/>
        </w:rPr>
        <w:t> </w:t>
      </w:r>
      <w:r>
        <w:rPr>
          <w:color w:val="231F20"/>
        </w:rPr>
        <w:t>travel</w:t>
      </w:r>
      <w:r>
        <w:rPr>
          <w:color w:val="231F20"/>
          <w:spacing w:val="-6"/>
        </w:rPr>
        <w:t> </w:t>
      </w:r>
      <w:r>
        <w:rPr>
          <w:color w:val="231F20"/>
        </w:rPr>
        <w:t>disruptions.</w:t>
      </w:r>
      <w:r>
        <w:rPr>
          <w:color w:val="231F20"/>
          <w:spacing w:val="-5"/>
        </w:rPr>
        <w:t> </w:t>
      </w:r>
      <w:r>
        <w:rPr>
          <w:color w:val="231F20"/>
        </w:rPr>
        <w:t>The</w:t>
      </w:r>
      <w:r>
        <w:rPr>
          <w:color w:val="231F20"/>
          <w:spacing w:val="-5"/>
        </w:rPr>
        <w:t> </w:t>
      </w:r>
      <w:r>
        <w:rPr>
          <w:color w:val="231F20"/>
          <w:spacing w:val="-1"/>
        </w:rPr>
        <w:t>majority</w:t>
      </w:r>
      <w:r>
        <w:rPr>
          <w:color w:val="231F20"/>
          <w:spacing w:val="-4"/>
        </w:rPr>
        <w:t> </w:t>
      </w:r>
      <w:r>
        <w:rPr>
          <w:color w:val="231F20"/>
        </w:rPr>
        <w:t>of</w:t>
      </w:r>
      <w:r>
        <w:rPr>
          <w:color w:val="231F20"/>
          <w:spacing w:val="-5"/>
        </w:rPr>
        <w:t> </w:t>
      </w:r>
      <w:r>
        <w:rPr>
          <w:color w:val="231F20"/>
        </w:rPr>
        <w:t>these</w:t>
      </w:r>
      <w:r>
        <w:rPr>
          <w:color w:val="231F20"/>
          <w:spacing w:val="23"/>
        </w:rPr>
        <w:t> </w:t>
      </w:r>
      <w:r>
        <w:rPr>
          <w:color w:val="231F20"/>
        </w:rPr>
        <w:t>were</w:t>
      </w:r>
      <w:r>
        <w:rPr>
          <w:color w:val="231F20"/>
          <w:spacing w:val="-8"/>
        </w:rPr>
        <w:t> </w:t>
      </w:r>
      <w:r>
        <w:rPr>
          <w:color w:val="231F20"/>
        </w:rPr>
        <w:t>travellers</w:t>
      </w:r>
      <w:r>
        <w:rPr>
          <w:color w:val="231F20"/>
          <w:spacing w:val="-7"/>
        </w:rPr>
        <w:t> </w:t>
      </w:r>
      <w:r>
        <w:rPr>
          <w:color w:val="231F20"/>
          <w:spacing w:val="-1"/>
        </w:rPr>
        <w:t>impacted</w:t>
      </w:r>
      <w:r>
        <w:rPr>
          <w:color w:val="231F20"/>
          <w:spacing w:val="-6"/>
        </w:rPr>
        <w:t> </w:t>
      </w:r>
      <w:r>
        <w:rPr>
          <w:color w:val="231F20"/>
        </w:rPr>
        <w:t>by</w:t>
      </w:r>
      <w:r>
        <w:rPr>
          <w:color w:val="231F20"/>
          <w:spacing w:val="-6"/>
        </w:rPr>
        <w:t> </w:t>
      </w:r>
      <w:r>
        <w:rPr>
          <w:color w:val="231F20"/>
        </w:rPr>
        <w:t>weather</w:t>
      </w:r>
      <w:r>
        <w:rPr>
          <w:color w:val="231F20"/>
          <w:spacing w:val="-7"/>
        </w:rPr>
        <w:t> </w:t>
      </w:r>
      <w:r>
        <w:rPr>
          <w:color w:val="231F20"/>
        </w:rPr>
        <w:t>or</w:t>
      </w:r>
      <w:r>
        <w:rPr>
          <w:color w:val="231F20"/>
          <w:spacing w:val="-6"/>
        </w:rPr>
        <w:t> </w:t>
      </w:r>
      <w:r>
        <w:rPr>
          <w:color w:val="231F20"/>
        </w:rPr>
        <w:t>airline</w:t>
      </w:r>
      <w:r>
        <w:rPr>
          <w:color w:val="231F20"/>
          <w:spacing w:val="22"/>
          <w:w w:val="99"/>
        </w:rPr>
        <w:t> </w:t>
      </w:r>
      <w:r>
        <w:rPr>
          <w:color w:val="231F20"/>
        </w:rPr>
        <w:t>disruptions,</w:t>
      </w:r>
      <w:r>
        <w:rPr>
          <w:color w:val="231F20"/>
          <w:spacing w:val="-7"/>
        </w:rPr>
        <w:t> </w:t>
      </w:r>
      <w:r>
        <w:rPr>
          <w:color w:val="231F20"/>
        </w:rPr>
        <w:t>who</w:t>
      </w:r>
      <w:r>
        <w:rPr>
          <w:color w:val="231F20"/>
          <w:spacing w:val="-7"/>
        </w:rPr>
        <w:t> </w:t>
      </w:r>
      <w:r>
        <w:rPr>
          <w:color w:val="231F20"/>
        </w:rPr>
        <w:t>experienced</w:t>
      </w:r>
      <w:r>
        <w:rPr>
          <w:color w:val="231F20"/>
          <w:spacing w:val="-6"/>
        </w:rPr>
        <w:t> </w:t>
      </w:r>
      <w:r>
        <w:rPr>
          <w:color w:val="231F20"/>
        </w:rPr>
        <w:t>a</w:t>
      </w:r>
      <w:r>
        <w:rPr>
          <w:color w:val="231F20"/>
          <w:spacing w:val="-6"/>
        </w:rPr>
        <w:t> </w:t>
      </w:r>
      <w:r>
        <w:rPr>
          <w:color w:val="231F20"/>
          <w:spacing w:val="-1"/>
        </w:rPr>
        <w:t>same</w:t>
      </w:r>
      <w:r>
        <w:rPr>
          <w:color w:val="231F20"/>
          <w:spacing w:val="-5"/>
        </w:rPr>
        <w:t> </w:t>
      </w:r>
      <w:r>
        <w:rPr>
          <w:color w:val="231F20"/>
        </w:rPr>
        <w:t>day</w:t>
      </w:r>
      <w:r>
        <w:rPr>
          <w:color w:val="231F20"/>
          <w:spacing w:val="-6"/>
        </w:rPr>
        <w:t> </w:t>
      </w:r>
      <w:r>
        <w:rPr>
          <w:color w:val="231F20"/>
        </w:rPr>
        <w:t>delay</w:t>
      </w:r>
      <w:r>
        <w:rPr>
          <w:color w:val="231F20"/>
          <w:spacing w:val="21"/>
          <w:w w:val="99"/>
        </w:rPr>
        <w:t> </w:t>
      </w:r>
      <w:r>
        <w:rPr>
          <w:color w:val="231F20"/>
        </w:rPr>
        <w:t>at</w:t>
      </w:r>
      <w:r>
        <w:rPr>
          <w:color w:val="231F20"/>
          <w:spacing w:val="-6"/>
        </w:rPr>
        <w:t> </w:t>
      </w:r>
      <w:r>
        <w:rPr>
          <w:color w:val="231F20"/>
        </w:rPr>
        <w:t>a</w:t>
      </w:r>
      <w:r>
        <w:rPr>
          <w:color w:val="231F20"/>
          <w:spacing w:val="-5"/>
        </w:rPr>
        <w:t> </w:t>
      </w:r>
      <w:r>
        <w:rPr>
          <w:color w:val="231F20"/>
        </w:rPr>
        <w:t>transit</w:t>
      </w:r>
      <w:r>
        <w:rPr>
          <w:color w:val="231F20"/>
          <w:spacing w:val="-6"/>
        </w:rPr>
        <w:t> </w:t>
      </w:r>
      <w:r>
        <w:rPr>
          <w:color w:val="231F20"/>
          <w:spacing w:val="-1"/>
        </w:rPr>
        <w:t>location.</w:t>
      </w:r>
      <w:r>
        <w:rPr/>
      </w:r>
    </w:p>
    <w:p>
      <w:pPr>
        <w:pStyle w:val="BodyText"/>
        <w:spacing w:line="250" w:lineRule="exact" w:before="113"/>
        <w:ind w:right="15"/>
        <w:jc w:val="left"/>
      </w:pPr>
      <w:r>
        <w:rPr>
          <w:color w:val="231F20"/>
          <w:spacing w:val="-1"/>
        </w:rPr>
        <w:t>DHS</w:t>
      </w:r>
      <w:r>
        <w:rPr>
          <w:color w:val="231F20"/>
          <w:spacing w:val="-4"/>
        </w:rPr>
        <w:t> </w:t>
      </w:r>
      <w:r>
        <w:rPr>
          <w:color w:val="231F20"/>
        </w:rPr>
        <w:t>recorded</w:t>
      </w:r>
      <w:r>
        <w:rPr>
          <w:color w:val="231F20"/>
          <w:spacing w:val="-5"/>
        </w:rPr>
        <w:t> </w:t>
      </w:r>
      <w:r>
        <w:rPr>
          <w:color w:val="231F20"/>
          <w:spacing w:val="-1"/>
        </w:rPr>
        <w:t>23*</w:t>
      </w:r>
      <w:r>
        <w:rPr>
          <w:color w:val="231F20"/>
          <w:spacing w:val="-3"/>
        </w:rPr>
        <w:t> </w:t>
      </w:r>
      <w:r>
        <w:rPr>
          <w:color w:val="231F20"/>
        </w:rPr>
        <w:t>travel</w:t>
      </w:r>
      <w:r>
        <w:rPr>
          <w:color w:val="231F20"/>
          <w:spacing w:val="-5"/>
        </w:rPr>
        <w:t> </w:t>
      </w:r>
      <w:r>
        <w:rPr>
          <w:color w:val="231F20"/>
        </w:rPr>
        <w:t>disruptions</w:t>
      </w:r>
      <w:r>
        <w:rPr>
          <w:color w:val="231F20"/>
          <w:spacing w:val="-5"/>
        </w:rPr>
        <w:t> </w:t>
      </w:r>
      <w:r>
        <w:rPr>
          <w:color w:val="231F20"/>
        </w:rPr>
        <w:t>where</w:t>
      </w:r>
      <w:r>
        <w:rPr>
          <w:color w:val="231F20"/>
          <w:spacing w:val="22"/>
          <w:w w:val="99"/>
        </w:rPr>
        <w:t> </w:t>
      </w:r>
      <w:r>
        <w:rPr>
          <w:color w:val="231F20"/>
        </w:rPr>
        <w:t>overnight</w:t>
      </w:r>
      <w:r>
        <w:rPr>
          <w:color w:val="231F20"/>
          <w:spacing w:val="-6"/>
        </w:rPr>
        <w:t> </w:t>
      </w:r>
      <w:r>
        <w:rPr>
          <w:color w:val="231F20"/>
          <w:spacing w:val="-1"/>
        </w:rPr>
        <w:t>supervision</w:t>
      </w:r>
      <w:r>
        <w:rPr>
          <w:color w:val="231F20"/>
          <w:spacing w:val="-4"/>
        </w:rPr>
        <w:t> </w:t>
      </w:r>
      <w:r>
        <w:rPr>
          <w:color w:val="231F20"/>
        </w:rPr>
        <w:t>was</w:t>
      </w:r>
      <w:r>
        <w:rPr>
          <w:color w:val="231F20"/>
          <w:spacing w:val="-5"/>
        </w:rPr>
        <w:t> </w:t>
      </w:r>
      <w:r>
        <w:rPr>
          <w:color w:val="231F20"/>
        </w:rPr>
        <w:t>required</w:t>
      </w:r>
      <w:r>
        <w:rPr>
          <w:color w:val="231F20"/>
          <w:spacing w:val="-6"/>
        </w:rPr>
        <w:t> </w:t>
      </w:r>
      <w:r>
        <w:rPr>
          <w:color w:val="231F20"/>
        </w:rPr>
        <w:t>for</w:t>
      </w:r>
      <w:r>
        <w:rPr>
          <w:color w:val="231F20"/>
          <w:spacing w:val="-4"/>
        </w:rPr>
        <w:t> </w:t>
      </w:r>
      <w:r>
        <w:rPr>
          <w:color w:val="231F20"/>
        </w:rPr>
        <w:t>a</w:t>
      </w:r>
      <w:r>
        <w:rPr>
          <w:color w:val="231F20"/>
          <w:spacing w:val="22"/>
          <w:w w:val="99"/>
        </w:rPr>
        <w:t> </w:t>
      </w:r>
      <w:r>
        <w:rPr>
          <w:color w:val="231F20"/>
          <w:spacing w:val="-1"/>
        </w:rPr>
        <w:t>student.</w:t>
      </w:r>
      <w:r>
        <w:rPr>
          <w:color w:val="231F20"/>
          <w:spacing w:val="-5"/>
        </w:rPr>
        <w:t> </w:t>
      </w:r>
      <w:r>
        <w:rPr>
          <w:color w:val="231F20"/>
        </w:rPr>
        <w:t>There</w:t>
      </w:r>
      <w:r>
        <w:rPr>
          <w:color w:val="231F20"/>
          <w:spacing w:val="-5"/>
        </w:rPr>
        <w:t> </w:t>
      </w:r>
      <w:r>
        <w:rPr>
          <w:color w:val="231F20"/>
        </w:rPr>
        <w:t>was</w:t>
      </w:r>
      <w:r>
        <w:rPr>
          <w:color w:val="231F20"/>
          <w:spacing w:val="-7"/>
        </w:rPr>
        <w:t> </w:t>
      </w:r>
      <w:r>
        <w:rPr>
          <w:color w:val="231F20"/>
        </w:rPr>
        <w:t>only</w:t>
      </w:r>
      <w:r>
        <w:rPr>
          <w:color w:val="231F20"/>
          <w:spacing w:val="-6"/>
        </w:rPr>
        <w:t> </w:t>
      </w:r>
      <w:r>
        <w:rPr>
          <w:color w:val="231F20"/>
        </w:rPr>
        <w:t>one</w:t>
      </w:r>
      <w:r>
        <w:rPr>
          <w:color w:val="231F20"/>
          <w:spacing w:val="-5"/>
        </w:rPr>
        <w:t> </w:t>
      </w:r>
      <w:r>
        <w:rPr>
          <w:color w:val="231F20"/>
          <w:spacing w:val="-1"/>
        </w:rPr>
        <w:t>instance</w:t>
      </w:r>
      <w:r>
        <w:rPr>
          <w:color w:val="231F20"/>
          <w:spacing w:val="-6"/>
        </w:rPr>
        <w:t> </w:t>
      </w:r>
      <w:r>
        <w:rPr>
          <w:color w:val="231F20"/>
        </w:rPr>
        <w:t>where</w:t>
      </w:r>
      <w:r>
        <w:rPr>
          <w:color w:val="231F20"/>
          <w:spacing w:val="-6"/>
        </w:rPr>
        <w:t> </w:t>
      </w:r>
      <w:r>
        <w:rPr>
          <w:color w:val="231F20"/>
        </w:rPr>
        <w:t>no</w:t>
      </w:r>
      <w:r>
        <w:rPr>
          <w:color w:val="231F20"/>
          <w:spacing w:val="23"/>
          <w:w w:val="99"/>
        </w:rPr>
        <w:t> </w:t>
      </w:r>
      <w:r>
        <w:rPr>
          <w:color w:val="231F20"/>
        </w:rPr>
        <w:t>family,</w:t>
      </w:r>
      <w:r>
        <w:rPr>
          <w:color w:val="231F20"/>
          <w:spacing w:val="-6"/>
        </w:rPr>
        <w:t> </w:t>
      </w:r>
      <w:r>
        <w:rPr>
          <w:color w:val="231F20"/>
        </w:rPr>
        <w:t>friends,</w:t>
      </w:r>
      <w:r>
        <w:rPr>
          <w:color w:val="231F20"/>
          <w:spacing w:val="-5"/>
        </w:rPr>
        <w:t> </w:t>
      </w:r>
      <w:r>
        <w:rPr>
          <w:color w:val="231F20"/>
          <w:spacing w:val="-1"/>
        </w:rPr>
        <w:t>schools</w:t>
      </w:r>
      <w:r>
        <w:rPr>
          <w:color w:val="231F20"/>
          <w:spacing w:val="-5"/>
        </w:rPr>
        <w:t> </w:t>
      </w:r>
      <w:r>
        <w:rPr>
          <w:color w:val="231F20"/>
        </w:rPr>
        <w:t>or</w:t>
      </w:r>
      <w:r>
        <w:rPr>
          <w:color w:val="231F20"/>
          <w:spacing w:val="-5"/>
        </w:rPr>
        <w:t> </w:t>
      </w:r>
      <w:r>
        <w:rPr>
          <w:color w:val="231F20"/>
        </w:rPr>
        <w:t>boarding</w:t>
      </w:r>
      <w:r>
        <w:rPr>
          <w:color w:val="231F20"/>
          <w:spacing w:val="-6"/>
        </w:rPr>
        <w:t> </w:t>
      </w:r>
      <w:r>
        <w:rPr>
          <w:color w:val="231F20"/>
        </w:rPr>
        <w:t>providers</w:t>
      </w:r>
      <w:r>
        <w:rPr>
          <w:color w:val="231F20"/>
          <w:spacing w:val="22"/>
          <w:w w:val="99"/>
        </w:rPr>
        <w:t> </w:t>
      </w:r>
      <w:r>
        <w:rPr>
          <w:color w:val="231F20"/>
        </w:rPr>
        <w:t>were</w:t>
      </w:r>
      <w:r>
        <w:rPr>
          <w:color w:val="231F20"/>
          <w:spacing w:val="-5"/>
        </w:rPr>
        <w:t> </w:t>
      </w:r>
      <w:r>
        <w:rPr>
          <w:color w:val="231F20"/>
        </w:rPr>
        <w:t>available</w:t>
      </w:r>
      <w:r>
        <w:rPr>
          <w:color w:val="231F20"/>
          <w:spacing w:val="-4"/>
        </w:rPr>
        <w:t> </w:t>
      </w:r>
      <w:r>
        <w:rPr>
          <w:color w:val="231F20"/>
        </w:rPr>
        <w:t>to</w:t>
      </w:r>
      <w:r>
        <w:rPr>
          <w:color w:val="231F20"/>
          <w:spacing w:val="-4"/>
        </w:rPr>
        <w:t> </w:t>
      </w:r>
      <w:r>
        <w:rPr>
          <w:color w:val="231F20"/>
        </w:rPr>
        <w:t>assist</w:t>
      </w:r>
      <w:r>
        <w:rPr>
          <w:color w:val="231F20"/>
          <w:spacing w:val="-4"/>
        </w:rPr>
        <w:t> </w:t>
      </w:r>
      <w:r>
        <w:rPr>
          <w:color w:val="231F20"/>
        </w:rPr>
        <w:t>the</w:t>
      </w:r>
      <w:r>
        <w:rPr>
          <w:color w:val="231F20"/>
          <w:spacing w:val="-4"/>
        </w:rPr>
        <w:t> </w:t>
      </w:r>
      <w:r>
        <w:rPr>
          <w:color w:val="231F20"/>
          <w:spacing w:val="-1"/>
        </w:rPr>
        <w:t>student.</w:t>
      </w:r>
      <w:r>
        <w:rPr>
          <w:color w:val="231F20"/>
          <w:spacing w:val="-3"/>
        </w:rPr>
        <w:t> </w:t>
      </w:r>
      <w:r>
        <w:rPr>
          <w:color w:val="231F20"/>
          <w:spacing w:val="-1"/>
        </w:rPr>
        <w:t>In</w:t>
      </w:r>
      <w:r>
        <w:rPr>
          <w:color w:val="231F20"/>
          <w:spacing w:val="-3"/>
        </w:rPr>
        <w:t> </w:t>
      </w:r>
      <w:r>
        <w:rPr>
          <w:color w:val="231F20"/>
        </w:rPr>
        <w:t>this</w:t>
      </w:r>
      <w:r>
        <w:rPr>
          <w:color w:val="231F20"/>
          <w:spacing w:val="-5"/>
        </w:rPr>
        <w:t> </w:t>
      </w:r>
      <w:r>
        <w:rPr>
          <w:color w:val="231F20"/>
        </w:rPr>
        <w:t>rare</w:t>
      </w:r>
      <w:r>
        <w:rPr>
          <w:color w:val="231F20"/>
          <w:spacing w:val="23"/>
          <w:w w:val="99"/>
        </w:rPr>
        <w:t> </w:t>
      </w:r>
      <w:r>
        <w:rPr>
          <w:color w:val="231F20"/>
        </w:rPr>
        <w:t>circumstance,</w:t>
      </w:r>
      <w:r>
        <w:rPr>
          <w:color w:val="231F20"/>
          <w:spacing w:val="-5"/>
        </w:rPr>
        <w:t> </w:t>
      </w:r>
      <w:r>
        <w:rPr>
          <w:color w:val="231F20"/>
        </w:rPr>
        <w:t>as</w:t>
      </w:r>
      <w:r>
        <w:rPr>
          <w:color w:val="231F20"/>
          <w:spacing w:val="-5"/>
        </w:rPr>
        <w:t> </w:t>
      </w:r>
      <w:r>
        <w:rPr>
          <w:color w:val="231F20"/>
        </w:rPr>
        <w:t>a</w:t>
      </w:r>
      <w:r>
        <w:rPr>
          <w:color w:val="231F20"/>
          <w:spacing w:val="-4"/>
        </w:rPr>
        <w:t> </w:t>
      </w:r>
      <w:r>
        <w:rPr>
          <w:color w:val="231F20"/>
          <w:spacing w:val="-1"/>
        </w:rPr>
        <w:t>last</w:t>
      </w:r>
      <w:r>
        <w:rPr>
          <w:color w:val="231F20"/>
          <w:spacing w:val="-4"/>
        </w:rPr>
        <w:t> </w:t>
      </w:r>
      <w:r>
        <w:rPr>
          <w:color w:val="231F20"/>
        </w:rPr>
        <w:t>resort</w:t>
      </w:r>
      <w:r>
        <w:rPr>
          <w:color w:val="231F20"/>
          <w:spacing w:val="-5"/>
        </w:rPr>
        <w:t> </w:t>
      </w:r>
      <w:r>
        <w:rPr>
          <w:color w:val="231F20"/>
          <w:spacing w:val="-1"/>
        </w:rPr>
        <w:t>DHS</w:t>
      </w:r>
      <w:r>
        <w:rPr>
          <w:color w:val="231F20"/>
          <w:spacing w:val="-4"/>
        </w:rPr>
        <w:t> </w:t>
      </w:r>
      <w:r>
        <w:rPr>
          <w:color w:val="231F20"/>
        </w:rPr>
        <w:t>provided</w:t>
      </w:r>
      <w:r>
        <w:rPr>
          <w:color w:val="231F20"/>
          <w:spacing w:val="-5"/>
        </w:rPr>
        <w:t> </w:t>
      </w:r>
      <w:r>
        <w:rPr>
          <w:color w:val="231F20"/>
        </w:rPr>
        <w:t>a</w:t>
      </w:r>
      <w:r>
        <w:rPr>
          <w:color w:val="231F20"/>
          <w:spacing w:val="22"/>
          <w:w w:val="99"/>
        </w:rPr>
        <w:t> </w:t>
      </w:r>
      <w:r>
        <w:rPr>
          <w:color w:val="231F20"/>
        </w:rPr>
        <w:t>volunteer</w:t>
      </w:r>
      <w:r>
        <w:rPr>
          <w:color w:val="231F20"/>
          <w:spacing w:val="-6"/>
        </w:rPr>
        <w:t> </w:t>
      </w:r>
      <w:r>
        <w:rPr>
          <w:color w:val="231F20"/>
          <w:spacing w:val="-1"/>
        </w:rPr>
        <w:t>supervisor</w:t>
      </w:r>
      <w:r>
        <w:rPr>
          <w:color w:val="231F20"/>
          <w:spacing w:val="-5"/>
        </w:rPr>
        <w:t> </w:t>
      </w:r>
      <w:r>
        <w:rPr>
          <w:color w:val="231F20"/>
        </w:rPr>
        <w:t>to</w:t>
      </w:r>
      <w:r>
        <w:rPr>
          <w:color w:val="231F20"/>
          <w:spacing w:val="-6"/>
        </w:rPr>
        <w:t> </w:t>
      </w:r>
      <w:r>
        <w:rPr>
          <w:color w:val="231F20"/>
          <w:spacing w:val="-1"/>
        </w:rPr>
        <w:t>support</w:t>
      </w:r>
      <w:r>
        <w:rPr>
          <w:color w:val="231F20"/>
          <w:spacing w:val="-6"/>
        </w:rPr>
        <w:t> </w:t>
      </w:r>
      <w:r>
        <w:rPr>
          <w:color w:val="231F20"/>
        </w:rPr>
        <w:t>and</w:t>
      </w:r>
      <w:r>
        <w:rPr>
          <w:color w:val="231F20"/>
          <w:spacing w:val="-7"/>
        </w:rPr>
        <w:t> </w:t>
      </w:r>
      <w:r>
        <w:rPr>
          <w:color w:val="231F20"/>
          <w:spacing w:val="-1"/>
        </w:rPr>
        <w:t>supervise</w:t>
      </w:r>
      <w:r>
        <w:rPr>
          <w:color w:val="231F20"/>
          <w:spacing w:val="22"/>
        </w:rPr>
        <w:t> </w:t>
      </w:r>
      <w:r>
        <w:rPr>
          <w:color w:val="231F20"/>
        </w:rPr>
        <w:t>the</w:t>
      </w:r>
      <w:r>
        <w:rPr>
          <w:color w:val="231F20"/>
          <w:spacing w:val="-11"/>
        </w:rPr>
        <w:t> </w:t>
      </w:r>
      <w:r>
        <w:rPr>
          <w:color w:val="231F20"/>
          <w:spacing w:val="-1"/>
        </w:rPr>
        <w:t>student.</w:t>
      </w:r>
      <w:r>
        <w:rPr/>
      </w:r>
    </w:p>
    <w:p>
      <w:pPr>
        <w:pStyle w:val="BodyText"/>
        <w:spacing w:line="250" w:lineRule="exact" w:before="113"/>
        <w:ind w:right="15"/>
        <w:jc w:val="left"/>
      </w:pPr>
      <w:r>
        <w:rPr>
          <w:color w:val="231F20"/>
        </w:rPr>
        <w:t>*These</w:t>
      </w:r>
      <w:r>
        <w:rPr>
          <w:color w:val="231F20"/>
          <w:spacing w:val="-3"/>
        </w:rPr>
        <w:t> </w:t>
      </w:r>
      <w:r>
        <w:rPr>
          <w:color w:val="231F20"/>
          <w:spacing w:val="-1"/>
        </w:rPr>
        <w:t>statistics</w:t>
      </w:r>
      <w:r>
        <w:rPr>
          <w:color w:val="231F20"/>
        </w:rPr>
        <w:t> are</w:t>
      </w:r>
      <w:r>
        <w:rPr>
          <w:color w:val="231F20"/>
          <w:spacing w:val="-3"/>
        </w:rPr>
        <w:t> </w:t>
      </w:r>
      <w:r>
        <w:rPr>
          <w:color w:val="231F20"/>
        </w:rPr>
        <w:t>of</w:t>
      </w:r>
      <w:r>
        <w:rPr>
          <w:color w:val="231F20"/>
          <w:spacing w:val="-1"/>
        </w:rPr>
        <w:t> instances </w:t>
      </w:r>
      <w:r>
        <w:rPr>
          <w:color w:val="231F20"/>
        </w:rPr>
        <w:t>that</w:t>
      </w:r>
      <w:r>
        <w:rPr>
          <w:color w:val="231F20"/>
          <w:spacing w:val="-3"/>
        </w:rPr>
        <w:t> </w:t>
      </w:r>
      <w:r>
        <w:rPr>
          <w:color w:val="231F20"/>
          <w:spacing w:val="-1"/>
        </w:rPr>
        <w:t>DHS</w:t>
      </w:r>
      <w:r>
        <w:rPr>
          <w:color w:val="231F20"/>
          <w:spacing w:val="22"/>
        </w:rPr>
        <w:t> </w:t>
      </w:r>
      <w:r>
        <w:rPr>
          <w:color w:val="231F20"/>
          <w:spacing w:val="-1"/>
        </w:rPr>
        <w:t>managed</w:t>
      </w:r>
      <w:r>
        <w:rPr>
          <w:color w:val="231F20"/>
          <w:spacing w:val="-4"/>
        </w:rPr>
        <w:t> </w:t>
      </w:r>
      <w:r>
        <w:rPr>
          <w:color w:val="231F20"/>
        </w:rPr>
        <w:t>or</w:t>
      </w:r>
      <w:r>
        <w:rPr>
          <w:color w:val="231F20"/>
          <w:spacing w:val="-4"/>
        </w:rPr>
        <w:t> </w:t>
      </w:r>
      <w:r>
        <w:rPr>
          <w:color w:val="231F20"/>
        </w:rPr>
        <w:t>were</w:t>
      </w:r>
      <w:r>
        <w:rPr>
          <w:color w:val="231F20"/>
          <w:spacing w:val="-5"/>
        </w:rPr>
        <w:t> </w:t>
      </w:r>
      <w:r>
        <w:rPr>
          <w:color w:val="231F20"/>
        </w:rPr>
        <w:t>advised</w:t>
      </w:r>
      <w:r>
        <w:rPr>
          <w:color w:val="231F20"/>
          <w:spacing w:val="-5"/>
        </w:rPr>
        <w:t> </w:t>
      </w:r>
      <w:r>
        <w:rPr>
          <w:color w:val="231F20"/>
        </w:rPr>
        <w:t>of.</w:t>
      </w:r>
      <w:r>
        <w:rPr>
          <w:color w:val="231F20"/>
          <w:spacing w:val="-4"/>
        </w:rPr>
        <w:t> </w:t>
      </w:r>
      <w:r>
        <w:rPr>
          <w:color w:val="231F20"/>
        </w:rPr>
        <w:t>As</w:t>
      </w:r>
      <w:r>
        <w:rPr>
          <w:color w:val="231F20"/>
          <w:spacing w:val="-5"/>
        </w:rPr>
        <w:t> </w:t>
      </w:r>
      <w:r>
        <w:rPr>
          <w:color w:val="231F20"/>
          <w:spacing w:val="-1"/>
        </w:rPr>
        <w:t>such,</w:t>
      </w:r>
      <w:r>
        <w:rPr>
          <w:color w:val="231F20"/>
          <w:spacing w:val="-4"/>
        </w:rPr>
        <w:t> </w:t>
      </w:r>
      <w:r>
        <w:rPr>
          <w:color w:val="231F20"/>
        </w:rPr>
        <w:t>these</w:t>
      </w:r>
      <w:r>
        <w:rPr>
          <w:color w:val="231F20"/>
          <w:spacing w:val="23"/>
        </w:rPr>
        <w:t> </w:t>
      </w:r>
      <w:r>
        <w:rPr>
          <w:color w:val="231F20"/>
          <w:spacing w:val="-1"/>
        </w:rPr>
        <w:t>statistics</w:t>
      </w:r>
      <w:r>
        <w:rPr>
          <w:color w:val="231F20"/>
          <w:spacing w:val="-4"/>
        </w:rPr>
        <w:t> </w:t>
      </w:r>
      <w:r>
        <w:rPr>
          <w:color w:val="231F20"/>
          <w:spacing w:val="-1"/>
        </w:rPr>
        <w:t>may</w:t>
      </w:r>
      <w:r>
        <w:rPr>
          <w:color w:val="231F20"/>
          <w:spacing w:val="-4"/>
        </w:rPr>
        <w:t> </w:t>
      </w:r>
      <w:r>
        <w:rPr>
          <w:color w:val="231F20"/>
        </w:rPr>
        <w:t>under</w:t>
      </w:r>
      <w:r>
        <w:rPr>
          <w:color w:val="231F20"/>
          <w:spacing w:val="-4"/>
        </w:rPr>
        <w:t> </w:t>
      </w:r>
      <w:r>
        <w:rPr>
          <w:color w:val="231F20"/>
        </w:rPr>
        <w:t>report</w:t>
      </w:r>
      <w:r>
        <w:rPr>
          <w:color w:val="231F20"/>
          <w:spacing w:val="-6"/>
        </w:rPr>
        <w:t> </w:t>
      </w:r>
      <w:r>
        <w:rPr>
          <w:color w:val="231F20"/>
        </w:rPr>
        <w:t>the</w:t>
      </w:r>
      <w:r>
        <w:rPr>
          <w:color w:val="231F20"/>
          <w:spacing w:val="-5"/>
        </w:rPr>
        <w:t> </w:t>
      </w:r>
      <w:r>
        <w:rPr>
          <w:color w:val="231F20"/>
        </w:rPr>
        <w:t>actual</w:t>
      </w:r>
      <w:r>
        <w:rPr>
          <w:color w:val="231F20"/>
          <w:spacing w:val="-5"/>
        </w:rPr>
        <w:t> </w:t>
      </w:r>
      <w:r>
        <w:rPr>
          <w:color w:val="231F20"/>
        </w:rPr>
        <w:t>number</w:t>
      </w:r>
      <w:r>
        <w:rPr>
          <w:color w:val="231F20"/>
          <w:spacing w:val="23"/>
          <w:w w:val="99"/>
        </w:rPr>
        <w:t> </w:t>
      </w:r>
      <w:r>
        <w:rPr>
          <w:color w:val="231F20"/>
        </w:rPr>
        <w:t>of</w:t>
      </w:r>
      <w:r>
        <w:rPr>
          <w:color w:val="231F20"/>
          <w:spacing w:val="-13"/>
        </w:rPr>
        <w:t> </w:t>
      </w:r>
      <w:r>
        <w:rPr>
          <w:color w:val="231F20"/>
        </w:rPr>
        <w:t>disruptions.</w:t>
      </w:r>
      <w:r>
        <w:rPr/>
      </w:r>
    </w:p>
    <w:p>
      <w:pPr>
        <w:pStyle w:val="Heading6"/>
        <w:spacing w:line="240" w:lineRule="auto"/>
        <w:ind w:left="117" w:right="0"/>
        <w:jc w:val="left"/>
        <w:rPr>
          <w:b w:val="0"/>
          <w:bCs w:val="0"/>
        </w:rPr>
      </w:pPr>
      <w:r>
        <w:rPr>
          <w:b w:val="0"/>
        </w:rPr>
        <w:br w:type="column"/>
      </w:r>
      <w:r>
        <w:rPr>
          <w:color w:val="231F20"/>
        </w:rPr>
        <w:t>What</w:t>
      </w:r>
      <w:r>
        <w:rPr>
          <w:color w:val="231F20"/>
          <w:spacing w:val="-2"/>
        </w:rPr>
        <w:t> </w:t>
      </w:r>
      <w:r>
        <w:rPr>
          <w:color w:val="231F20"/>
          <w:spacing w:val="-1"/>
        </w:rPr>
        <w:t>risks </w:t>
      </w:r>
      <w:r>
        <w:rPr>
          <w:color w:val="231F20"/>
        </w:rPr>
        <w:t>exist</w:t>
      </w:r>
      <w:r>
        <w:rPr>
          <w:color w:val="231F20"/>
          <w:spacing w:val="-2"/>
        </w:rPr>
        <w:t> </w:t>
      </w:r>
      <w:r>
        <w:rPr>
          <w:color w:val="231F20"/>
        </w:rPr>
        <w:t>under</w:t>
      </w:r>
      <w:r>
        <w:rPr>
          <w:color w:val="231F20"/>
          <w:spacing w:val="-2"/>
        </w:rPr>
        <w:t> </w:t>
      </w:r>
      <w:r>
        <w:rPr>
          <w:color w:val="231F20"/>
          <w:spacing w:val="-1"/>
        </w:rPr>
        <w:t>current processes?</w:t>
      </w:r>
      <w:r>
        <w:rPr>
          <w:b w:val="0"/>
        </w:rPr>
      </w:r>
    </w:p>
    <w:p>
      <w:pPr>
        <w:pStyle w:val="BodyText"/>
        <w:spacing w:line="250" w:lineRule="exact" w:before="113"/>
        <w:ind w:right="151"/>
        <w:jc w:val="left"/>
      </w:pPr>
      <w:r>
        <w:rPr>
          <w:color w:val="231F20"/>
        </w:rPr>
        <w:t>The</w:t>
      </w:r>
      <w:r>
        <w:rPr>
          <w:color w:val="231F20"/>
          <w:spacing w:val="-5"/>
        </w:rPr>
        <w:t> </w:t>
      </w:r>
      <w:r>
        <w:rPr>
          <w:color w:val="231F20"/>
          <w:spacing w:val="-2"/>
        </w:rPr>
        <w:t>Study</w:t>
      </w:r>
      <w:r>
        <w:rPr>
          <w:color w:val="231F20"/>
          <w:spacing w:val="-5"/>
        </w:rPr>
        <w:t> </w:t>
      </w:r>
      <w:r>
        <w:rPr>
          <w:color w:val="231F20"/>
          <w:spacing w:val="-1"/>
        </w:rPr>
        <w:t>Away</w:t>
      </w:r>
      <w:r>
        <w:rPr>
          <w:color w:val="231F20"/>
          <w:spacing w:val="-5"/>
        </w:rPr>
        <w:t> </w:t>
      </w:r>
      <w:r>
        <w:rPr>
          <w:color w:val="231F20"/>
          <w:spacing w:val="-1"/>
        </w:rPr>
        <w:t>Review</w:t>
      </w:r>
      <w:r>
        <w:rPr>
          <w:color w:val="231F20"/>
          <w:spacing w:val="-5"/>
        </w:rPr>
        <w:t> </w:t>
      </w:r>
      <w:r>
        <w:rPr>
          <w:color w:val="231F20"/>
        </w:rPr>
        <w:t>found</w:t>
      </w:r>
      <w:r>
        <w:rPr>
          <w:color w:val="231F20"/>
          <w:spacing w:val="-4"/>
        </w:rPr>
        <w:t> </w:t>
      </w:r>
      <w:r>
        <w:rPr>
          <w:color w:val="231F20"/>
          <w:spacing w:val="-1"/>
        </w:rPr>
        <w:t>in</w:t>
      </w:r>
      <w:r>
        <w:rPr>
          <w:color w:val="231F20"/>
          <w:spacing w:val="-4"/>
        </w:rPr>
        <w:t> </w:t>
      </w:r>
      <w:r>
        <w:rPr>
          <w:color w:val="231F20"/>
        </w:rPr>
        <w:t>rare</w:t>
      </w:r>
      <w:r>
        <w:rPr>
          <w:color w:val="231F20"/>
          <w:spacing w:val="25"/>
          <w:w w:val="99"/>
        </w:rPr>
        <w:t> </w:t>
      </w:r>
      <w:r>
        <w:rPr>
          <w:color w:val="231F20"/>
        </w:rPr>
        <w:t>circumstances,</w:t>
      </w:r>
      <w:r>
        <w:rPr>
          <w:color w:val="231F20"/>
          <w:spacing w:val="-8"/>
        </w:rPr>
        <w:t> </w:t>
      </w:r>
      <w:r>
        <w:rPr>
          <w:color w:val="231F20"/>
          <w:spacing w:val="-1"/>
        </w:rPr>
        <w:t>DHS,</w:t>
      </w:r>
      <w:r>
        <w:rPr>
          <w:color w:val="231F20"/>
          <w:spacing w:val="-7"/>
        </w:rPr>
        <w:t> </w:t>
      </w:r>
      <w:r>
        <w:rPr>
          <w:color w:val="231F20"/>
        </w:rPr>
        <w:t>who</w:t>
      </w:r>
      <w:r>
        <w:rPr>
          <w:color w:val="231F20"/>
          <w:spacing w:val="-7"/>
        </w:rPr>
        <w:t> </w:t>
      </w:r>
      <w:r>
        <w:rPr>
          <w:color w:val="231F20"/>
        </w:rPr>
        <w:t>have</w:t>
      </w:r>
      <w:r>
        <w:rPr>
          <w:color w:val="231F20"/>
          <w:spacing w:val="-8"/>
        </w:rPr>
        <w:t> </w:t>
      </w:r>
      <w:r>
        <w:rPr>
          <w:color w:val="231F20"/>
        </w:rPr>
        <w:t>no</w:t>
      </w:r>
      <w:r>
        <w:rPr>
          <w:color w:val="231F20"/>
          <w:spacing w:val="-6"/>
        </w:rPr>
        <w:t> </w:t>
      </w:r>
      <w:r>
        <w:rPr>
          <w:color w:val="231F20"/>
        </w:rPr>
        <w:t>connection</w:t>
      </w:r>
      <w:r>
        <w:rPr>
          <w:color w:val="231F20"/>
          <w:spacing w:val="21"/>
          <w:w w:val="99"/>
        </w:rPr>
        <w:t> </w:t>
      </w:r>
      <w:r>
        <w:rPr>
          <w:color w:val="231F20"/>
        </w:rPr>
        <w:t>to</w:t>
      </w:r>
      <w:r>
        <w:rPr>
          <w:color w:val="231F20"/>
          <w:spacing w:val="-3"/>
        </w:rPr>
        <w:t> </w:t>
      </w:r>
      <w:r>
        <w:rPr>
          <w:color w:val="231F20"/>
        </w:rPr>
        <w:t>the</w:t>
      </w:r>
      <w:r>
        <w:rPr>
          <w:color w:val="231F20"/>
          <w:spacing w:val="-4"/>
        </w:rPr>
        <w:t> </w:t>
      </w:r>
      <w:r>
        <w:rPr>
          <w:color w:val="231F20"/>
          <w:spacing w:val="-1"/>
        </w:rPr>
        <w:t>student,</w:t>
      </w:r>
      <w:r>
        <w:rPr>
          <w:color w:val="231F20"/>
          <w:spacing w:val="-2"/>
        </w:rPr>
        <w:t> </w:t>
      </w:r>
      <w:r>
        <w:rPr>
          <w:color w:val="231F20"/>
        </w:rPr>
        <w:t>their</w:t>
      </w:r>
      <w:r>
        <w:rPr>
          <w:color w:val="231F20"/>
          <w:spacing w:val="-4"/>
        </w:rPr>
        <w:t> </w:t>
      </w:r>
      <w:r>
        <w:rPr>
          <w:color w:val="231F20"/>
        </w:rPr>
        <w:t>family</w:t>
      </w:r>
      <w:r>
        <w:rPr>
          <w:color w:val="231F20"/>
          <w:spacing w:val="-4"/>
        </w:rPr>
        <w:t> </w:t>
      </w:r>
      <w:r>
        <w:rPr>
          <w:color w:val="231F20"/>
        </w:rPr>
        <w:t>or</w:t>
      </w:r>
      <w:r>
        <w:rPr>
          <w:color w:val="231F20"/>
          <w:spacing w:val="-3"/>
        </w:rPr>
        <w:t> </w:t>
      </w:r>
      <w:r>
        <w:rPr>
          <w:color w:val="231F20"/>
        </w:rPr>
        <w:t>community,</w:t>
      </w:r>
      <w:r>
        <w:rPr>
          <w:color w:val="231F20"/>
          <w:spacing w:val="-4"/>
        </w:rPr>
        <w:t> </w:t>
      </w:r>
      <w:r>
        <w:rPr>
          <w:color w:val="231F20"/>
        </w:rPr>
        <w:t>are</w:t>
      </w:r>
      <w:r>
        <w:rPr>
          <w:color w:val="231F20"/>
          <w:spacing w:val="22"/>
          <w:w w:val="99"/>
        </w:rPr>
        <w:t> </w:t>
      </w:r>
      <w:r>
        <w:rPr>
          <w:color w:val="231F20"/>
        </w:rPr>
        <w:t>forced</w:t>
      </w:r>
      <w:r>
        <w:rPr>
          <w:color w:val="231F20"/>
          <w:spacing w:val="-5"/>
        </w:rPr>
        <w:t> </w:t>
      </w:r>
      <w:r>
        <w:rPr>
          <w:color w:val="231F20"/>
        </w:rPr>
        <w:t>to</w:t>
      </w:r>
      <w:r>
        <w:rPr>
          <w:color w:val="231F20"/>
          <w:spacing w:val="-4"/>
        </w:rPr>
        <w:t> </w:t>
      </w:r>
      <w:r>
        <w:rPr>
          <w:color w:val="231F20"/>
        </w:rPr>
        <w:t>organise</w:t>
      </w:r>
      <w:r>
        <w:rPr>
          <w:color w:val="231F20"/>
          <w:spacing w:val="-5"/>
        </w:rPr>
        <w:t> </w:t>
      </w:r>
      <w:r>
        <w:rPr>
          <w:color w:val="231F20"/>
          <w:spacing w:val="-1"/>
        </w:rPr>
        <w:t>supervision</w:t>
      </w:r>
      <w:r>
        <w:rPr>
          <w:color w:val="231F20"/>
          <w:spacing w:val="-4"/>
        </w:rPr>
        <w:t> </w:t>
      </w:r>
      <w:r>
        <w:rPr>
          <w:color w:val="231F20"/>
        </w:rPr>
        <w:t>and</w:t>
      </w:r>
      <w:r>
        <w:rPr>
          <w:color w:val="231F20"/>
          <w:spacing w:val="-5"/>
        </w:rPr>
        <w:t> </w:t>
      </w:r>
      <w:r>
        <w:rPr>
          <w:color w:val="231F20"/>
          <w:spacing w:val="-1"/>
        </w:rPr>
        <w:t>in</w:t>
      </w:r>
      <w:r>
        <w:rPr>
          <w:color w:val="231F20"/>
          <w:spacing w:val="-4"/>
        </w:rPr>
        <w:t> </w:t>
      </w:r>
      <w:r>
        <w:rPr>
          <w:color w:val="231F20"/>
        </w:rPr>
        <w:t>extreme</w:t>
      </w:r>
      <w:r>
        <w:rPr>
          <w:color w:val="231F20"/>
          <w:spacing w:val="23"/>
          <w:w w:val="99"/>
        </w:rPr>
        <w:t> </w:t>
      </w:r>
      <w:r>
        <w:rPr>
          <w:color w:val="231F20"/>
        </w:rPr>
        <w:t>cases,</w:t>
      </w:r>
      <w:r>
        <w:rPr>
          <w:color w:val="231F20"/>
          <w:spacing w:val="-4"/>
        </w:rPr>
        <w:t> </w:t>
      </w:r>
      <w:r>
        <w:rPr>
          <w:color w:val="231F20"/>
          <w:spacing w:val="-1"/>
        </w:rPr>
        <w:t>supervise</w:t>
      </w:r>
      <w:r>
        <w:rPr>
          <w:color w:val="231F20"/>
          <w:spacing w:val="-2"/>
        </w:rPr>
        <w:t> </w:t>
      </w:r>
      <w:r>
        <w:rPr>
          <w:color w:val="231F20"/>
        </w:rPr>
        <w:t>the</w:t>
      </w:r>
      <w:r>
        <w:rPr>
          <w:color w:val="231F20"/>
          <w:spacing w:val="-4"/>
        </w:rPr>
        <w:t> </w:t>
      </w:r>
      <w:r>
        <w:rPr>
          <w:color w:val="231F20"/>
          <w:spacing w:val="-1"/>
        </w:rPr>
        <w:t>student</w:t>
      </w:r>
      <w:r>
        <w:rPr>
          <w:color w:val="231F20"/>
          <w:spacing w:val="-2"/>
        </w:rPr>
        <w:t> </w:t>
      </w:r>
      <w:r>
        <w:rPr>
          <w:color w:val="231F20"/>
        </w:rPr>
        <w:t>themselves.</w:t>
      </w:r>
      <w:r>
        <w:rPr/>
      </w:r>
    </w:p>
    <w:p>
      <w:pPr>
        <w:pStyle w:val="BodyText"/>
        <w:spacing w:line="250" w:lineRule="exact"/>
        <w:ind w:right="23"/>
        <w:jc w:val="left"/>
      </w:pPr>
      <w:r>
        <w:rPr>
          <w:rFonts w:ascii="Segoe UI"/>
          <w:color w:val="231F20"/>
        </w:rPr>
        <w:t>Significant risk exists for DHS volunteer </w:t>
      </w:r>
      <w:r>
        <w:rPr>
          <w:color w:val="231F20"/>
        </w:rPr>
        <w:t>employee</w:t>
      </w:r>
      <w:r>
        <w:rPr>
          <w:color w:val="231F20"/>
          <w:spacing w:val="-2"/>
        </w:rPr>
        <w:t> </w:t>
      </w:r>
      <w:r>
        <w:rPr>
          <w:color w:val="231F20"/>
          <w:spacing w:val="-1"/>
        </w:rPr>
        <w:t>supervisors</w:t>
      </w:r>
      <w:r>
        <w:rPr>
          <w:color w:val="231F20"/>
        </w:rPr>
        <w:t> and</w:t>
      </w:r>
      <w:r>
        <w:rPr>
          <w:color w:val="231F20"/>
          <w:spacing w:val="-2"/>
        </w:rPr>
        <w:t> </w:t>
      </w:r>
      <w:r>
        <w:rPr>
          <w:color w:val="231F20"/>
        </w:rPr>
        <w:t>as</w:t>
      </w:r>
      <w:r>
        <w:rPr>
          <w:color w:val="231F20"/>
          <w:spacing w:val="-2"/>
        </w:rPr>
        <w:t> </w:t>
      </w:r>
      <w:r>
        <w:rPr>
          <w:color w:val="231F20"/>
          <w:spacing w:val="-1"/>
        </w:rPr>
        <w:t>such DHS</w:t>
      </w:r>
      <w:r>
        <w:rPr>
          <w:color w:val="231F20"/>
        </w:rPr>
        <w:t> will</w:t>
      </w:r>
      <w:r>
        <w:rPr>
          <w:color w:val="231F20"/>
          <w:spacing w:val="-2"/>
        </w:rPr>
        <w:t> </w:t>
      </w:r>
      <w:r>
        <w:rPr>
          <w:color w:val="231F20"/>
        </w:rPr>
        <w:t>no</w:t>
      </w:r>
      <w:r>
        <w:rPr>
          <w:color w:val="231F20"/>
          <w:spacing w:val="24"/>
          <w:w w:val="99"/>
        </w:rPr>
        <w:t> </w:t>
      </w:r>
      <w:r>
        <w:rPr>
          <w:color w:val="231F20"/>
          <w:spacing w:val="-1"/>
        </w:rPr>
        <w:t>longer</w:t>
      </w:r>
      <w:r>
        <w:rPr>
          <w:color w:val="231F20"/>
          <w:spacing w:val="-4"/>
        </w:rPr>
        <w:t> </w:t>
      </w:r>
      <w:r>
        <w:rPr>
          <w:color w:val="231F20"/>
        </w:rPr>
        <w:t>provide</w:t>
      </w:r>
      <w:r>
        <w:rPr>
          <w:color w:val="231F20"/>
          <w:spacing w:val="-5"/>
        </w:rPr>
        <w:t> </w:t>
      </w:r>
      <w:r>
        <w:rPr>
          <w:color w:val="231F20"/>
        </w:rPr>
        <w:t>this</w:t>
      </w:r>
      <w:r>
        <w:rPr>
          <w:color w:val="231F20"/>
          <w:spacing w:val="-5"/>
        </w:rPr>
        <w:t> </w:t>
      </w:r>
      <w:r>
        <w:rPr>
          <w:color w:val="231F20"/>
          <w:spacing w:val="-1"/>
        </w:rPr>
        <w:t>supervision</w:t>
      </w:r>
      <w:r>
        <w:rPr>
          <w:color w:val="231F20"/>
          <w:spacing w:val="-3"/>
        </w:rPr>
        <w:t> </w:t>
      </w:r>
      <w:r>
        <w:rPr>
          <w:color w:val="231F20"/>
        </w:rPr>
        <w:t>or</w:t>
      </w:r>
      <w:r>
        <w:rPr>
          <w:color w:val="231F20"/>
          <w:spacing w:val="-4"/>
        </w:rPr>
        <w:t> </w:t>
      </w:r>
      <w:r>
        <w:rPr>
          <w:color w:val="231F20"/>
          <w:spacing w:val="-1"/>
        </w:rPr>
        <w:t>support</w:t>
      </w:r>
      <w:r>
        <w:rPr>
          <w:color w:val="231F20"/>
          <w:spacing w:val="-4"/>
        </w:rPr>
        <w:t> </w:t>
      </w:r>
      <w:r>
        <w:rPr>
          <w:color w:val="231F20"/>
        </w:rPr>
        <w:t>for</w:t>
      </w:r>
      <w:r>
        <w:rPr>
          <w:color w:val="231F20"/>
          <w:spacing w:val="24"/>
          <w:w w:val="99"/>
        </w:rPr>
        <w:t> </w:t>
      </w:r>
      <w:r>
        <w:rPr>
          <w:color w:val="231F20"/>
        </w:rPr>
        <w:t>disrupted</w:t>
      </w:r>
      <w:r>
        <w:rPr>
          <w:color w:val="231F20"/>
          <w:spacing w:val="-18"/>
        </w:rPr>
        <w:t> </w:t>
      </w:r>
      <w:r>
        <w:rPr>
          <w:color w:val="231F20"/>
        </w:rPr>
        <w:t>travellers.</w:t>
      </w:r>
      <w:r>
        <w:rPr/>
      </w:r>
    </w:p>
    <w:p>
      <w:pPr>
        <w:pStyle w:val="BodyText"/>
        <w:spacing w:line="250" w:lineRule="exact" w:before="113"/>
        <w:ind w:right="0"/>
        <w:jc w:val="left"/>
      </w:pPr>
      <w:r>
        <w:rPr>
          <w:color w:val="231F20"/>
        </w:rPr>
        <w:t>The</w:t>
      </w:r>
      <w:r>
        <w:rPr>
          <w:color w:val="231F20"/>
          <w:spacing w:val="-4"/>
        </w:rPr>
        <w:t> </w:t>
      </w:r>
      <w:r>
        <w:rPr>
          <w:color w:val="231F20"/>
        </w:rPr>
        <w:t>current</w:t>
      </w:r>
      <w:r>
        <w:rPr>
          <w:color w:val="231F20"/>
          <w:spacing w:val="-4"/>
        </w:rPr>
        <w:t> </w:t>
      </w:r>
      <w:r>
        <w:rPr>
          <w:color w:val="231F20"/>
        </w:rPr>
        <w:t>approach</w:t>
      </w:r>
      <w:r>
        <w:rPr>
          <w:color w:val="231F20"/>
          <w:spacing w:val="-5"/>
        </w:rPr>
        <w:t> </w:t>
      </w:r>
      <w:r>
        <w:rPr>
          <w:color w:val="231F20"/>
          <w:spacing w:val="-1"/>
        </w:rPr>
        <w:t>is</w:t>
      </w:r>
      <w:r>
        <w:rPr>
          <w:color w:val="231F20"/>
          <w:spacing w:val="-5"/>
        </w:rPr>
        <w:t> </w:t>
      </w:r>
      <w:r>
        <w:rPr>
          <w:color w:val="231F20"/>
        </w:rPr>
        <w:t>ad</w:t>
      </w:r>
      <w:r>
        <w:rPr>
          <w:color w:val="231F20"/>
          <w:spacing w:val="-4"/>
        </w:rPr>
        <w:t> </w:t>
      </w:r>
      <w:r>
        <w:rPr>
          <w:color w:val="231F20"/>
        </w:rPr>
        <w:t>hoc</w:t>
      </w:r>
      <w:r>
        <w:rPr>
          <w:color w:val="231F20"/>
          <w:spacing w:val="-4"/>
        </w:rPr>
        <w:t> </w:t>
      </w:r>
      <w:r>
        <w:rPr>
          <w:color w:val="231F20"/>
        </w:rPr>
        <w:t>and</w:t>
      </w:r>
      <w:r>
        <w:rPr>
          <w:color w:val="231F20"/>
          <w:spacing w:val="-5"/>
        </w:rPr>
        <w:t> </w:t>
      </w:r>
      <w:r>
        <w:rPr>
          <w:color w:val="231F20"/>
        </w:rPr>
        <w:t>there</w:t>
      </w:r>
      <w:r>
        <w:rPr>
          <w:color w:val="231F20"/>
          <w:spacing w:val="-5"/>
        </w:rPr>
        <w:t> </w:t>
      </w:r>
      <w:r>
        <w:rPr>
          <w:color w:val="231F20"/>
          <w:spacing w:val="-1"/>
        </w:rPr>
        <w:t>is</w:t>
      </w:r>
      <w:r>
        <w:rPr>
          <w:color w:val="231F20"/>
          <w:spacing w:val="20"/>
        </w:rPr>
        <w:t> </w:t>
      </w:r>
      <w:r>
        <w:rPr>
          <w:color w:val="231F20"/>
        </w:rPr>
        <w:t>confusion</w:t>
      </w:r>
      <w:r>
        <w:rPr>
          <w:color w:val="231F20"/>
          <w:spacing w:val="-4"/>
        </w:rPr>
        <w:t> </w:t>
      </w:r>
      <w:r>
        <w:rPr>
          <w:color w:val="231F20"/>
        </w:rPr>
        <w:t>about</w:t>
      </w:r>
      <w:r>
        <w:rPr>
          <w:color w:val="231F20"/>
          <w:spacing w:val="-3"/>
        </w:rPr>
        <w:t> </w:t>
      </w:r>
      <w:r>
        <w:rPr>
          <w:color w:val="231F20"/>
        </w:rPr>
        <w:t>who</w:t>
      </w:r>
      <w:r>
        <w:rPr>
          <w:color w:val="231F20"/>
          <w:spacing w:val="-4"/>
        </w:rPr>
        <w:t> </w:t>
      </w:r>
      <w:r>
        <w:rPr>
          <w:color w:val="231F20"/>
        </w:rPr>
        <w:t>has</w:t>
      </w:r>
      <w:r>
        <w:rPr>
          <w:color w:val="231F20"/>
          <w:spacing w:val="-3"/>
        </w:rPr>
        <w:t> </w:t>
      </w:r>
      <w:r>
        <w:rPr>
          <w:color w:val="231F20"/>
        </w:rPr>
        <w:t>responsibility</w:t>
      </w:r>
      <w:r>
        <w:rPr>
          <w:color w:val="231F20"/>
          <w:spacing w:val="-4"/>
        </w:rPr>
        <w:t> </w:t>
      </w:r>
      <w:r>
        <w:rPr>
          <w:color w:val="231F20"/>
        </w:rPr>
        <w:t>for</w:t>
      </w:r>
      <w:r>
        <w:rPr>
          <w:color w:val="231F20"/>
          <w:spacing w:val="-3"/>
        </w:rPr>
        <w:t> </w:t>
      </w:r>
      <w:r>
        <w:rPr>
          <w:color w:val="231F20"/>
        </w:rPr>
        <w:t>the</w:t>
      </w:r>
      <w:r>
        <w:rPr>
          <w:color w:val="231F20"/>
          <w:w w:val="99"/>
        </w:rPr>
        <w:t> </w:t>
      </w:r>
      <w:r>
        <w:rPr>
          <w:color w:val="231F20"/>
          <w:spacing w:val="-1"/>
        </w:rPr>
        <w:t>student</w:t>
      </w:r>
      <w:r>
        <w:rPr>
          <w:color w:val="231F20"/>
          <w:spacing w:val="-5"/>
        </w:rPr>
        <w:t> </w:t>
      </w:r>
      <w:r>
        <w:rPr>
          <w:color w:val="231F20"/>
        </w:rPr>
        <w:t>while</w:t>
      </w:r>
      <w:r>
        <w:rPr>
          <w:color w:val="231F20"/>
          <w:spacing w:val="-6"/>
        </w:rPr>
        <w:t> </w:t>
      </w:r>
      <w:r>
        <w:rPr>
          <w:color w:val="231F20"/>
        </w:rPr>
        <w:t>they</w:t>
      </w:r>
      <w:r>
        <w:rPr>
          <w:color w:val="231F20"/>
          <w:spacing w:val="-6"/>
        </w:rPr>
        <w:t> </w:t>
      </w:r>
      <w:r>
        <w:rPr>
          <w:color w:val="231F20"/>
        </w:rPr>
        <w:t>are</w:t>
      </w:r>
      <w:r>
        <w:rPr>
          <w:color w:val="231F20"/>
          <w:spacing w:val="-5"/>
        </w:rPr>
        <w:t> </w:t>
      </w:r>
      <w:r>
        <w:rPr>
          <w:color w:val="231F20"/>
          <w:spacing w:val="-1"/>
        </w:rPr>
        <w:t>in</w:t>
      </w:r>
      <w:r>
        <w:rPr>
          <w:color w:val="231F20"/>
          <w:spacing w:val="-5"/>
        </w:rPr>
        <w:t> </w:t>
      </w:r>
      <w:r>
        <w:rPr>
          <w:color w:val="231F20"/>
        </w:rPr>
        <w:t>transit.</w:t>
      </w:r>
      <w:r>
        <w:rPr/>
      </w:r>
    </w:p>
    <w:p>
      <w:pPr>
        <w:pStyle w:val="BodyText"/>
        <w:spacing w:line="250" w:lineRule="exact" w:before="113"/>
        <w:ind w:right="198"/>
        <w:jc w:val="left"/>
      </w:pPr>
      <w:r>
        <w:rPr>
          <w:color w:val="231F20"/>
          <w:spacing w:val="-1"/>
        </w:rPr>
        <w:t>Source:</w:t>
      </w:r>
      <w:r>
        <w:rPr>
          <w:color w:val="231F20"/>
          <w:spacing w:val="-5"/>
        </w:rPr>
        <w:t> </w:t>
      </w:r>
      <w:r>
        <w:rPr>
          <w:color w:val="231F20"/>
          <w:spacing w:val="-1"/>
        </w:rPr>
        <w:t>Department</w:t>
      </w:r>
      <w:r>
        <w:rPr>
          <w:color w:val="231F20"/>
          <w:spacing w:val="-5"/>
        </w:rPr>
        <w:t> </w:t>
      </w:r>
      <w:r>
        <w:rPr>
          <w:color w:val="231F20"/>
        </w:rPr>
        <w:t>of</w:t>
      </w:r>
      <w:r>
        <w:rPr>
          <w:color w:val="231F20"/>
          <w:spacing w:val="-5"/>
        </w:rPr>
        <w:t> </w:t>
      </w:r>
      <w:r>
        <w:rPr>
          <w:color w:val="231F20"/>
          <w:spacing w:val="-1"/>
        </w:rPr>
        <w:t>Social</w:t>
      </w:r>
      <w:r>
        <w:rPr>
          <w:color w:val="231F20"/>
          <w:spacing w:val="-4"/>
        </w:rPr>
        <w:t> </w:t>
      </w:r>
      <w:r>
        <w:rPr>
          <w:color w:val="231F20"/>
          <w:spacing w:val="-1"/>
        </w:rPr>
        <w:t>Services,</w:t>
      </w:r>
      <w:r>
        <w:rPr>
          <w:color w:val="231F20"/>
          <w:spacing w:val="23"/>
        </w:rPr>
        <w:t> </w:t>
      </w:r>
      <w:hyperlink r:id="rId108">
        <w:r>
          <w:rPr>
            <w:color w:val="231F20"/>
          </w:rPr>
          <w:t>www.dss.gov.au</w:t>
        </w:r>
        <w:r>
          <w:rPr/>
        </w:r>
      </w:hyperlink>
    </w:p>
    <w:p>
      <w:pPr>
        <w:spacing w:after="0" w:line="250" w:lineRule="exact"/>
        <w:jc w:val="left"/>
        <w:sectPr>
          <w:type w:val="continuous"/>
          <w:pgSz w:w="11910" w:h="16840"/>
          <w:pgMar w:top="1580" w:bottom="280" w:left="1300" w:right="1680"/>
          <w:cols w:num="2" w:equalWidth="0">
            <w:col w:w="4268" w:space="324"/>
            <w:col w:w="4338"/>
          </w:cols>
        </w:sectPr>
      </w:pPr>
    </w:p>
    <w:p>
      <w:pPr>
        <w:spacing w:line="240" w:lineRule="auto" w:before="0"/>
        <w:rPr>
          <w:rFonts w:ascii="Segoe UI" w:hAnsi="Segoe UI" w:cs="Segoe UI" w:eastAsia="Segoe UI"/>
          <w:sz w:val="20"/>
          <w:szCs w:val="20"/>
        </w:rPr>
      </w:pPr>
    </w:p>
    <w:p>
      <w:pPr>
        <w:spacing w:line="240" w:lineRule="auto" w:before="1"/>
        <w:rPr>
          <w:rFonts w:ascii="Segoe UI" w:hAnsi="Segoe UI" w:cs="Segoe UI" w:eastAsia="Segoe UI"/>
          <w:sz w:val="20"/>
          <w:szCs w:val="20"/>
        </w:rPr>
      </w:pPr>
    </w:p>
    <w:p>
      <w:pPr>
        <w:pStyle w:val="Heading1"/>
        <w:numPr>
          <w:ilvl w:val="0"/>
          <w:numId w:val="6"/>
        </w:numPr>
        <w:tabs>
          <w:tab w:pos="821" w:val="left" w:leader="none"/>
        </w:tabs>
        <w:spacing w:line="567" w:lineRule="exact" w:before="0" w:after="0"/>
        <w:ind w:left="820" w:right="0" w:hanging="720"/>
        <w:jc w:val="left"/>
      </w:pPr>
      <w:bookmarkStart w:name="_TOC_250000" w:id="36"/>
      <w:r>
        <w:rPr>
          <w:color w:val="67973F"/>
        </w:rPr>
        <w:t>Endnotes</w:t>
      </w:r>
      <w:bookmarkEnd w:id="36"/>
      <w:r>
        <w:rPr/>
      </w:r>
    </w:p>
    <w:p>
      <w:pPr>
        <w:spacing w:line="240" w:lineRule="auto" w:before="0"/>
        <w:rPr>
          <w:rFonts w:ascii="Segoe UI" w:hAnsi="Segoe UI" w:cs="Segoe UI" w:eastAsia="Segoe UI"/>
          <w:sz w:val="23"/>
          <w:szCs w:val="23"/>
        </w:rPr>
      </w:pPr>
    </w:p>
    <w:p>
      <w:pPr>
        <w:spacing w:after="0" w:line="240" w:lineRule="auto"/>
        <w:rPr>
          <w:rFonts w:ascii="Segoe UI" w:hAnsi="Segoe UI" w:cs="Segoe UI" w:eastAsia="Segoe UI"/>
          <w:sz w:val="23"/>
          <w:szCs w:val="23"/>
        </w:rPr>
        <w:sectPr>
          <w:pgSz w:w="11910" w:h="16840"/>
          <w:pgMar w:header="0" w:footer="691" w:top="1580" w:bottom="880" w:left="1600" w:right="1300"/>
        </w:sectPr>
      </w:pPr>
    </w:p>
    <w:p>
      <w:pPr>
        <w:numPr>
          <w:ilvl w:val="0"/>
          <w:numId w:val="7"/>
        </w:numPr>
        <w:tabs>
          <w:tab w:pos="668" w:val="left" w:leader="none"/>
        </w:tabs>
        <w:spacing w:line="200" w:lineRule="exact" w:before="70"/>
        <w:ind w:left="667" w:right="1" w:hanging="567"/>
        <w:jc w:val="left"/>
        <w:rPr>
          <w:rFonts w:ascii="Segoe UI" w:hAnsi="Segoe UI" w:cs="Segoe UI" w:eastAsia="Segoe UI"/>
          <w:sz w:val="16"/>
          <w:szCs w:val="16"/>
        </w:rPr>
      </w:pPr>
      <w:r>
        <w:rPr>
          <w:rFonts w:ascii="Segoe UI"/>
          <w:color w:val="231F20"/>
          <w:spacing w:val="-3"/>
          <w:sz w:val="16"/>
        </w:rPr>
        <w:t>Two</w:t>
      </w:r>
      <w:r>
        <w:rPr>
          <w:rFonts w:ascii="Segoe UI"/>
          <w:color w:val="231F20"/>
          <w:spacing w:val="-6"/>
          <w:sz w:val="16"/>
        </w:rPr>
        <w:t> </w:t>
      </w:r>
      <w:r>
        <w:rPr>
          <w:rFonts w:ascii="Segoe UI"/>
          <w:color w:val="231F20"/>
          <w:spacing w:val="-1"/>
          <w:sz w:val="16"/>
        </w:rPr>
        <w:t>boarding</w:t>
      </w:r>
      <w:r>
        <w:rPr>
          <w:rFonts w:ascii="Segoe UI"/>
          <w:color w:val="231F20"/>
          <w:spacing w:val="-5"/>
          <w:sz w:val="16"/>
        </w:rPr>
        <w:t> </w:t>
      </w:r>
      <w:r>
        <w:rPr>
          <w:rFonts w:ascii="Segoe UI"/>
          <w:color w:val="231F20"/>
          <w:sz w:val="16"/>
        </w:rPr>
        <w:t>providers</w:t>
      </w:r>
      <w:r>
        <w:rPr>
          <w:rFonts w:ascii="Segoe UI"/>
          <w:color w:val="231F20"/>
          <w:spacing w:val="-6"/>
          <w:sz w:val="16"/>
        </w:rPr>
        <w:t> </w:t>
      </w:r>
      <w:r>
        <w:rPr>
          <w:rFonts w:ascii="Segoe UI"/>
          <w:color w:val="231F20"/>
          <w:spacing w:val="-1"/>
          <w:sz w:val="16"/>
        </w:rPr>
        <w:t>share</w:t>
      </w:r>
      <w:r>
        <w:rPr>
          <w:rFonts w:ascii="Segoe UI"/>
          <w:color w:val="231F20"/>
          <w:spacing w:val="-4"/>
          <w:sz w:val="16"/>
        </w:rPr>
        <w:t> </w:t>
      </w:r>
      <w:r>
        <w:rPr>
          <w:rFonts w:ascii="Segoe UI"/>
          <w:color w:val="231F20"/>
          <w:sz w:val="16"/>
        </w:rPr>
        <w:t>a</w:t>
      </w:r>
      <w:r>
        <w:rPr>
          <w:rFonts w:ascii="Segoe UI"/>
          <w:color w:val="231F20"/>
          <w:spacing w:val="-5"/>
          <w:sz w:val="16"/>
        </w:rPr>
        <w:t> </w:t>
      </w:r>
      <w:r>
        <w:rPr>
          <w:rFonts w:ascii="Segoe UI"/>
          <w:color w:val="231F20"/>
          <w:sz w:val="16"/>
        </w:rPr>
        <w:t>common</w:t>
      </w:r>
      <w:r>
        <w:rPr>
          <w:rFonts w:ascii="Segoe UI"/>
          <w:color w:val="231F20"/>
          <w:spacing w:val="-5"/>
          <w:sz w:val="16"/>
        </w:rPr>
        <w:t> </w:t>
      </w:r>
      <w:r>
        <w:rPr>
          <w:rFonts w:ascii="Segoe UI"/>
          <w:color w:val="231F20"/>
          <w:sz w:val="16"/>
        </w:rPr>
        <w:t>boarding</w:t>
      </w:r>
      <w:r>
        <w:rPr>
          <w:rFonts w:ascii="Segoe UI"/>
          <w:color w:val="231F20"/>
          <w:spacing w:val="30"/>
          <w:w w:val="99"/>
          <w:sz w:val="16"/>
        </w:rPr>
        <w:t> </w:t>
      </w:r>
      <w:r>
        <w:rPr>
          <w:rFonts w:ascii="Segoe UI"/>
          <w:color w:val="231F20"/>
          <w:sz w:val="16"/>
        </w:rPr>
        <w:t>house</w:t>
      </w:r>
      <w:r>
        <w:rPr>
          <w:rFonts w:ascii="Segoe UI"/>
          <w:color w:val="231F20"/>
          <w:spacing w:val="-4"/>
          <w:sz w:val="16"/>
        </w:rPr>
        <w:t> </w:t>
      </w:r>
      <w:r>
        <w:rPr>
          <w:rFonts w:ascii="Segoe UI"/>
          <w:color w:val="231F20"/>
          <w:sz w:val="16"/>
        </w:rPr>
        <w:t>and</w:t>
      </w:r>
      <w:r>
        <w:rPr>
          <w:rFonts w:ascii="Segoe UI"/>
          <w:color w:val="231F20"/>
          <w:spacing w:val="-4"/>
          <w:sz w:val="16"/>
        </w:rPr>
        <w:t> </w:t>
      </w:r>
      <w:r>
        <w:rPr>
          <w:rFonts w:ascii="Segoe UI"/>
          <w:color w:val="231F20"/>
          <w:sz w:val="16"/>
        </w:rPr>
        <w:t>their</w:t>
      </w:r>
      <w:r>
        <w:rPr>
          <w:rFonts w:ascii="Segoe UI"/>
          <w:color w:val="231F20"/>
          <w:spacing w:val="-4"/>
          <w:sz w:val="16"/>
        </w:rPr>
        <w:t> </w:t>
      </w:r>
      <w:r>
        <w:rPr>
          <w:rFonts w:ascii="Segoe UI"/>
          <w:color w:val="231F20"/>
          <w:sz w:val="16"/>
        </w:rPr>
        <w:t>data</w:t>
      </w:r>
      <w:r>
        <w:rPr>
          <w:rFonts w:ascii="Segoe UI"/>
          <w:color w:val="231F20"/>
          <w:spacing w:val="-3"/>
          <w:sz w:val="16"/>
        </w:rPr>
        <w:t> </w:t>
      </w:r>
      <w:r>
        <w:rPr>
          <w:rFonts w:ascii="Segoe UI"/>
          <w:color w:val="231F20"/>
          <w:sz w:val="16"/>
        </w:rPr>
        <w:t>has</w:t>
      </w:r>
      <w:r>
        <w:rPr>
          <w:rFonts w:ascii="Segoe UI"/>
          <w:color w:val="231F20"/>
          <w:spacing w:val="-4"/>
          <w:sz w:val="16"/>
        </w:rPr>
        <w:t> </w:t>
      </w:r>
      <w:r>
        <w:rPr>
          <w:rFonts w:ascii="Segoe UI"/>
          <w:color w:val="231F20"/>
          <w:sz w:val="16"/>
        </w:rPr>
        <w:t>been</w:t>
      </w:r>
      <w:r>
        <w:rPr>
          <w:rFonts w:ascii="Segoe UI"/>
          <w:color w:val="231F20"/>
          <w:spacing w:val="-4"/>
          <w:sz w:val="16"/>
        </w:rPr>
        <w:t> </w:t>
      </w:r>
      <w:r>
        <w:rPr>
          <w:rFonts w:ascii="Segoe UI"/>
          <w:color w:val="231F20"/>
          <w:sz w:val="16"/>
        </w:rPr>
        <w:t>combined</w:t>
      </w:r>
      <w:r>
        <w:rPr>
          <w:rFonts w:ascii="Segoe UI"/>
          <w:color w:val="231F20"/>
          <w:spacing w:val="-4"/>
          <w:sz w:val="16"/>
        </w:rPr>
        <w:t> </w:t>
      </w:r>
      <w:r>
        <w:rPr>
          <w:rFonts w:ascii="Segoe UI"/>
          <w:color w:val="231F20"/>
          <w:sz w:val="16"/>
        </w:rPr>
        <w:t>for</w:t>
      </w:r>
      <w:r>
        <w:rPr>
          <w:rFonts w:ascii="Segoe UI"/>
          <w:color w:val="231F20"/>
          <w:spacing w:val="-3"/>
          <w:sz w:val="16"/>
        </w:rPr>
        <w:t> </w:t>
      </w:r>
      <w:r>
        <w:rPr>
          <w:rFonts w:ascii="Segoe UI"/>
          <w:color w:val="231F20"/>
          <w:sz w:val="16"/>
        </w:rPr>
        <w:t>the</w:t>
      </w:r>
      <w:r>
        <w:rPr>
          <w:rFonts w:ascii="Segoe UI"/>
          <w:color w:val="231F20"/>
          <w:w w:val="99"/>
          <w:sz w:val="16"/>
        </w:rPr>
        <w:t> </w:t>
      </w:r>
      <w:r>
        <w:rPr>
          <w:rFonts w:ascii="Segoe UI"/>
          <w:color w:val="231F20"/>
          <w:sz w:val="16"/>
        </w:rPr>
        <w:t>purposes</w:t>
      </w:r>
      <w:r>
        <w:rPr>
          <w:rFonts w:ascii="Segoe UI"/>
          <w:color w:val="231F20"/>
          <w:spacing w:val="-6"/>
          <w:sz w:val="16"/>
        </w:rPr>
        <w:t> </w:t>
      </w:r>
      <w:r>
        <w:rPr>
          <w:rFonts w:ascii="Segoe UI"/>
          <w:color w:val="231F20"/>
          <w:sz w:val="16"/>
        </w:rPr>
        <w:t>of</w:t>
      </w:r>
      <w:r>
        <w:rPr>
          <w:rFonts w:ascii="Segoe UI"/>
          <w:color w:val="231F20"/>
          <w:spacing w:val="-4"/>
          <w:sz w:val="16"/>
        </w:rPr>
        <w:t> </w:t>
      </w:r>
      <w:r>
        <w:rPr>
          <w:rFonts w:ascii="Segoe UI"/>
          <w:color w:val="231F20"/>
          <w:sz w:val="16"/>
        </w:rPr>
        <w:t>this</w:t>
      </w:r>
      <w:r>
        <w:rPr>
          <w:rFonts w:ascii="Segoe UI"/>
          <w:color w:val="231F20"/>
          <w:spacing w:val="-5"/>
          <w:sz w:val="16"/>
        </w:rPr>
        <w:t> </w:t>
      </w:r>
      <w:r>
        <w:rPr>
          <w:rFonts w:ascii="Segoe UI"/>
          <w:color w:val="231F20"/>
          <w:sz w:val="16"/>
        </w:rPr>
        <w:t>report</w:t>
      </w:r>
      <w:r>
        <w:rPr>
          <w:rFonts w:ascii="Segoe UI"/>
          <w:sz w:val="16"/>
        </w:rPr>
      </w:r>
    </w:p>
    <w:p>
      <w:pPr>
        <w:numPr>
          <w:ilvl w:val="0"/>
          <w:numId w:val="7"/>
        </w:numPr>
        <w:tabs>
          <w:tab w:pos="668" w:val="left" w:leader="none"/>
        </w:tabs>
        <w:spacing w:line="200" w:lineRule="exact" w:before="113"/>
        <w:ind w:left="667" w:right="436" w:hanging="567"/>
        <w:jc w:val="left"/>
        <w:rPr>
          <w:rFonts w:ascii="Segoe UI" w:hAnsi="Segoe UI" w:cs="Segoe UI" w:eastAsia="Segoe UI"/>
          <w:sz w:val="16"/>
          <w:szCs w:val="16"/>
        </w:rPr>
      </w:pPr>
      <w:r>
        <w:rPr>
          <w:rFonts w:ascii="Segoe UI"/>
          <w:i/>
          <w:color w:val="231F20"/>
          <w:spacing w:val="-1"/>
          <w:sz w:val="16"/>
        </w:rPr>
        <w:t>Boarding</w:t>
      </w:r>
      <w:r>
        <w:rPr>
          <w:rFonts w:ascii="Segoe UI"/>
          <w:i/>
          <w:color w:val="231F20"/>
          <w:spacing w:val="-4"/>
          <w:sz w:val="16"/>
        </w:rPr>
        <w:t> </w:t>
      </w:r>
      <w:r>
        <w:rPr>
          <w:rFonts w:ascii="Segoe UI"/>
          <w:i/>
          <w:color w:val="231F20"/>
          <w:spacing w:val="-1"/>
          <w:sz w:val="16"/>
        </w:rPr>
        <w:t>Standard</w:t>
      </w:r>
      <w:r>
        <w:rPr>
          <w:rFonts w:ascii="Segoe UI"/>
          <w:i/>
          <w:color w:val="231F20"/>
          <w:spacing w:val="-3"/>
          <w:sz w:val="16"/>
        </w:rPr>
        <w:t> </w:t>
      </w:r>
      <w:r>
        <w:rPr>
          <w:rFonts w:ascii="Segoe UI"/>
          <w:i/>
          <w:color w:val="231F20"/>
          <w:sz w:val="16"/>
        </w:rPr>
        <w:t>for</w:t>
      </w:r>
      <w:r>
        <w:rPr>
          <w:rFonts w:ascii="Segoe UI"/>
          <w:i/>
          <w:color w:val="231F20"/>
          <w:spacing w:val="-4"/>
          <w:sz w:val="16"/>
        </w:rPr>
        <w:t> </w:t>
      </w:r>
      <w:r>
        <w:rPr>
          <w:rFonts w:ascii="Segoe UI"/>
          <w:i/>
          <w:color w:val="231F20"/>
          <w:spacing w:val="-1"/>
          <w:sz w:val="16"/>
        </w:rPr>
        <w:t>Australian</w:t>
      </w:r>
      <w:r>
        <w:rPr>
          <w:rFonts w:ascii="Segoe UI"/>
          <w:i/>
          <w:color w:val="231F20"/>
          <w:spacing w:val="-3"/>
          <w:sz w:val="16"/>
        </w:rPr>
        <w:t> </w:t>
      </w:r>
      <w:r>
        <w:rPr>
          <w:rFonts w:ascii="Segoe UI"/>
          <w:i/>
          <w:color w:val="231F20"/>
          <w:spacing w:val="-1"/>
          <w:sz w:val="16"/>
        </w:rPr>
        <w:t>Schools</w:t>
      </w:r>
      <w:r>
        <w:rPr>
          <w:rFonts w:ascii="Segoe UI"/>
          <w:i/>
          <w:color w:val="231F20"/>
          <w:spacing w:val="-3"/>
          <w:sz w:val="16"/>
        </w:rPr>
        <w:t> </w:t>
      </w:r>
      <w:r>
        <w:rPr>
          <w:rFonts w:ascii="Segoe UI"/>
          <w:i/>
          <w:color w:val="231F20"/>
          <w:sz w:val="16"/>
        </w:rPr>
        <w:t>and</w:t>
      </w:r>
      <w:r>
        <w:rPr>
          <w:rFonts w:ascii="Segoe UI"/>
          <w:i/>
          <w:color w:val="231F20"/>
          <w:spacing w:val="43"/>
          <w:w w:val="99"/>
          <w:sz w:val="16"/>
        </w:rPr>
        <w:t> </w:t>
      </w:r>
      <w:r>
        <w:rPr>
          <w:rFonts w:ascii="Segoe UI"/>
          <w:i/>
          <w:color w:val="231F20"/>
          <w:spacing w:val="-1"/>
          <w:sz w:val="16"/>
        </w:rPr>
        <w:t>Residences</w:t>
      </w:r>
      <w:r>
        <w:rPr>
          <w:rFonts w:ascii="Segoe UI"/>
          <w:i/>
          <w:color w:val="231F20"/>
          <w:spacing w:val="-5"/>
          <w:sz w:val="16"/>
        </w:rPr>
        <w:t> </w:t>
      </w:r>
      <w:r>
        <w:rPr>
          <w:rFonts w:ascii="Segoe UI"/>
          <w:color w:val="231F20"/>
          <w:sz w:val="16"/>
        </w:rPr>
        <w:t>(AS</w:t>
      </w:r>
      <w:r>
        <w:rPr>
          <w:rFonts w:ascii="Segoe UI"/>
          <w:color w:val="231F20"/>
          <w:spacing w:val="-4"/>
          <w:sz w:val="16"/>
        </w:rPr>
        <w:t> </w:t>
      </w:r>
      <w:r>
        <w:rPr>
          <w:rFonts w:ascii="Segoe UI"/>
          <w:color w:val="231F20"/>
          <w:sz w:val="16"/>
        </w:rPr>
        <w:t>5725:2015)</w:t>
      </w:r>
      <w:r>
        <w:rPr>
          <w:rFonts w:ascii="Segoe UI"/>
          <w:sz w:val="16"/>
        </w:rPr>
      </w:r>
    </w:p>
    <w:p>
      <w:pPr>
        <w:numPr>
          <w:ilvl w:val="0"/>
          <w:numId w:val="7"/>
        </w:numPr>
        <w:tabs>
          <w:tab w:pos="668" w:val="left" w:leader="none"/>
        </w:tabs>
        <w:spacing w:line="200" w:lineRule="exact" w:before="113"/>
        <w:ind w:left="667" w:right="152" w:hanging="567"/>
        <w:jc w:val="left"/>
        <w:rPr>
          <w:rFonts w:ascii="Segoe UI" w:hAnsi="Segoe UI" w:cs="Segoe UI" w:eastAsia="Segoe UI"/>
          <w:sz w:val="16"/>
          <w:szCs w:val="16"/>
        </w:rPr>
      </w:pPr>
      <w:r>
        <w:rPr>
          <w:rFonts w:ascii="Segoe UI"/>
          <w:color w:val="231F20"/>
          <w:sz w:val="16"/>
        </w:rPr>
        <w:t>Tuition</w:t>
      </w:r>
      <w:r>
        <w:rPr>
          <w:rFonts w:ascii="Segoe UI"/>
          <w:color w:val="231F20"/>
          <w:spacing w:val="-5"/>
          <w:sz w:val="16"/>
        </w:rPr>
        <w:t> </w:t>
      </w:r>
      <w:r>
        <w:rPr>
          <w:rFonts w:ascii="Segoe UI"/>
          <w:color w:val="231F20"/>
          <w:sz w:val="16"/>
        </w:rPr>
        <w:t>revenue</w:t>
      </w:r>
      <w:r>
        <w:rPr>
          <w:rFonts w:ascii="Segoe UI"/>
          <w:color w:val="231F20"/>
          <w:spacing w:val="-4"/>
          <w:sz w:val="16"/>
        </w:rPr>
        <w:t> </w:t>
      </w:r>
      <w:r>
        <w:rPr>
          <w:rFonts w:ascii="Segoe UI"/>
          <w:color w:val="231F20"/>
          <w:sz w:val="16"/>
        </w:rPr>
        <w:t>and</w:t>
      </w:r>
      <w:r>
        <w:rPr>
          <w:rFonts w:ascii="Segoe UI"/>
          <w:color w:val="231F20"/>
          <w:spacing w:val="-4"/>
          <w:sz w:val="16"/>
        </w:rPr>
        <w:t> </w:t>
      </w:r>
      <w:r>
        <w:rPr>
          <w:rFonts w:ascii="Segoe UI"/>
          <w:color w:val="231F20"/>
          <w:sz w:val="16"/>
        </w:rPr>
        <w:t>costs</w:t>
      </w:r>
      <w:r>
        <w:rPr>
          <w:rFonts w:ascii="Segoe UI"/>
          <w:color w:val="231F20"/>
          <w:spacing w:val="-4"/>
          <w:sz w:val="16"/>
        </w:rPr>
        <w:t> </w:t>
      </w:r>
      <w:r>
        <w:rPr>
          <w:rFonts w:ascii="Segoe UI"/>
          <w:color w:val="231F20"/>
          <w:sz w:val="16"/>
        </w:rPr>
        <w:t>are</w:t>
      </w:r>
      <w:r>
        <w:rPr>
          <w:rFonts w:ascii="Segoe UI"/>
          <w:color w:val="231F20"/>
          <w:spacing w:val="-4"/>
          <w:sz w:val="16"/>
        </w:rPr>
        <w:t> </w:t>
      </w:r>
      <w:r>
        <w:rPr>
          <w:rFonts w:ascii="Segoe UI"/>
          <w:color w:val="231F20"/>
          <w:spacing w:val="-1"/>
          <w:sz w:val="16"/>
        </w:rPr>
        <w:t>largely</w:t>
      </w:r>
      <w:r>
        <w:rPr>
          <w:rFonts w:ascii="Segoe UI"/>
          <w:color w:val="231F20"/>
          <w:spacing w:val="-4"/>
          <w:sz w:val="16"/>
        </w:rPr>
        <w:t> </w:t>
      </w:r>
      <w:r>
        <w:rPr>
          <w:rFonts w:ascii="Segoe UI"/>
          <w:color w:val="231F20"/>
          <w:sz w:val="16"/>
        </w:rPr>
        <w:t>outside</w:t>
      </w:r>
      <w:r>
        <w:rPr>
          <w:rFonts w:ascii="Segoe UI"/>
          <w:color w:val="231F20"/>
          <w:spacing w:val="-4"/>
          <w:sz w:val="16"/>
        </w:rPr>
        <w:t> </w:t>
      </w:r>
      <w:r>
        <w:rPr>
          <w:rFonts w:ascii="Segoe UI"/>
          <w:color w:val="231F20"/>
          <w:sz w:val="16"/>
        </w:rPr>
        <w:t>the</w:t>
      </w:r>
      <w:r>
        <w:rPr>
          <w:rFonts w:ascii="Segoe UI"/>
          <w:color w:val="231F20"/>
          <w:spacing w:val="22"/>
          <w:w w:val="99"/>
          <w:sz w:val="16"/>
        </w:rPr>
        <w:t> </w:t>
      </w:r>
      <w:r>
        <w:rPr>
          <w:rFonts w:ascii="Segoe UI"/>
          <w:color w:val="231F20"/>
          <w:spacing w:val="-1"/>
          <w:sz w:val="16"/>
        </w:rPr>
        <w:t>scope</w:t>
      </w:r>
      <w:r>
        <w:rPr>
          <w:rFonts w:ascii="Segoe UI"/>
          <w:color w:val="231F20"/>
          <w:spacing w:val="-2"/>
          <w:sz w:val="16"/>
        </w:rPr>
        <w:t> </w:t>
      </w:r>
      <w:r>
        <w:rPr>
          <w:rFonts w:ascii="Segoe UI"/>
          <w:color w:val="231F20"/>
          <w:sz w:val="16"/>
        </w:rPr>
        <w:t>of</w:t>
      </w:r>
      <w:r>
        <w:rPr>
          <w:rFonts w:ascii="Segoe UI"/>
          <w:color w:val="231F20"/>
          <w:spacing w:val="-2"/>
          <w:sz w:val="16"/>
        </w:rPr>
        <w:t> </w:t>
      </w:r>
      <w:r>
        <w:rPr>
          <w:rFonts w:ascii="Segoe UI"/>
          <w:color w:val="231F20"/>
          <w:sz w:val="16"/>
        </w:rPr>
        <w:t>this</w:t>
      </w:r>
      <w:r>
        <w:rPr>
          <w:rFonts w:ascii="Segoe UI"/>
          <w:color w:val="231F20"/>
          <w:spacing w:val="-3"/>
          <w:sz w:val="16"/>
        </w:rPr>
        <w:t> </w:t>
      </w:r>
      <w:r>
        <w:rPr>
          <w:rFonts w:ascii="Segoe UI"/>
          <w:color w:val="231F20"/>
          <w:sz w:val="16"/>
        </w:rPr>
        <w:t>report</w:t>
      </w:r>
      <w:r>
        <w:rPr>
          <w:rFonts w:ascii="Segoe UI"/>
          <w:sz w:val="16"/>
        </w:rPr>
      </w:r>
    </w:p>
    <w:p>
      <w:pPr>
        <w:numPr>
          <w:ilvl w:val="0"/>
          <w:numId w:val="7"/>
        </w:numPr>
        <w:tabs>
          <w:tab w:pos="668" w:val="left" w:leader="none"/>
        </w:tabs>
        <w:spacing w:line="200" w:lineRule="exact" w:before="113"/>
        <w:ind w:left="667" w:right="0" w:hanging="567"/>
        <w:jc w:val="left"/>
        <w:rPr>
          <w:rFonts w:ascii="Segoe UI" w:hAnsi="Segoe UI" w:cs="Segoe UI" w:eastAsia="Segoe UI"/>
          <w:sz w:val="16"/>
          <w:szCs w:val="16"/>
        </w:rPr>
      </w:pPr>
      <w:r>
        <w:rPr>
          <w:rFonts w:ascii="Segoe UI"/>
          <w:color w:val="231F20"/>
          <w:sz w:val="16"/>
        </w:rPr>
        <w:t>ABSTUDY</w:t>
      </w:r>
      <w:r>
        <w:rPr>
          <w:rFonts w:ascii="Segoe UI"/>
          <w:color w:val="231F20"/>
          <w:spacing w:val="-4"/>
          <w:sz w:val="16"/>
        </w:rPr>
        <w:t> </w:t>
      </w:r>
      <w:r>
        <w:rPr>
          <w:rFonts w:ascii="Segoe UI"/>
          <w:color w:val="231F20"/>
          <w:spacing w:val="-1"/>
          <w:sz w:val="16"/>
        </w:rPr>
        <w:t>is</w:t>
      </w:r>
      <w:r>
        <w:rPr>
          <w:rFonts w:ascii="Segoe UI"/>
          <w:color w:val="231F20"/>
          <w:spacing w:val="-5"/>
          <w:sz w:val="16"/>
        </w:rPr>
        <w:t> </w:t>
      </w:r>
      <w:r>
        <w:rPr>
          <w:rFonts w:ascii="Segoe UI"/>
          <w:color w:val="231F20"/>
          <w:sz w:val="16"/>
        </w:rPr>
        <w:t>not</w:t>
      </w:r>
      <w:r>
        <w:rPr>
          <w:rFonts w:ascii="Segoe UI"/>
          <w:color w:val="231F20"/>
          <w:spacing w:val="-4"/>
          <w:sz w:val="16"/>
        </w:rPr>
        <w:t> </w:t>
      </w:r>
      <w:r>
        <w:rPr>
          <w:rFonts w:ascii="Segoe UI"/>
          <w:color w:val="231F20"/>
          <w:sz w:val="16"/>
        </w:rPr>
        <w:t>funding</w:t>
      </w:r>
      <w:r>
        <w:rPr>
          <w:rFonts w:ascii="Segoe UI"/>
          <w:color w:val="231F20"/>
          <w:spacing w:val="-4"/>
          <w:sz w:val="16"/>
        </w:rPr>
        <w:t> </w:t>
      </w:r>
      <w:r>
        <w:rPr>
          <w:rFonts w:ascii="Segoe UI"/>
          <w:color w:val="231F20"/>
          <w:sz w:val="16"/>
        </w:rPr>
        <w:t>for</w:t>
      </w:r>
      <w:r>
        <w:rPr>
          <w:rFonts w:ascii="Segoe UI"/>
          <w:color w:val="231F20"/>
          <w:spacing w:val="-4"/>
          <w:sz w:val="16"/>
        </w:rPr>
        <w:t> </w:t>
      </w:r>
      <w:r>
        <w:rPr>
          <w:rFonts w:ascii="Segoe UI"/>
          <w:color w:val="231F20"/>
          <w:spacing w:val="-1"/>
          <w:sz w:val="16"/>
        </w:rPr>
        <w:t>boarding</w:t>
      </w:r>
      <w:r>
        <w:rPr>
          <w:rFonts w:ascii="Segoe UI"/>
          <w:color w:val="231F20"/>
          <w:spacing w:val="-3"/>
          <w:sz w:val="16"/>
        </w:rPr>
        <w:t> </w:t>
      </w:r>
      <w:r>
        <w:rPr>
          <w:rFonts w:ascii="Segoe UI"/>
          <w:color w:val="231F20"/>
          <w:sz w:val="16"/>
        </w:rPr>
        <w:t>providers</w:t>
      </w:r>
      <w:r>
        <w:rPr>
          <w:rFonts w:ascii="Segoe UI"/>
          <w:color w:val="231F20"/>
          <w:spacing w:val="28"/>
          <w:w w:val="99"/>
          <w:sz w:val="16"/>
        </w:rPr>
        <w:t> </w:t>
      </w:r>
      <w:r>
        <w:rPr>
          <w:rFonts w:ascii="Segoe UI"/>
          <w:color w:val="231F20"/>
          <w:sz w:val="16"/>
        </w:rPr>
        <w:t>but</w:t>
      </w:r>
      <w:r>
        <w:rPr>
          <w:rFonts w:ascii="Segoe UI"/>
          <w:color w:val="231F20"/>
          <w:spacing w:val="-5"/>
          <w:sz w:val="16"/>
        </w:rPr>
        <w:t> </w:t>
      </w:r>
      <w:r>
        <w:rPr>
          <w:rFonts w:ascii="Segoe UI"/>
          <w:color w:val="231F20"/>
          <w:spacing w:val="-1"/>
          <w:sz w:val="16"/>
        </w:rPr>
        <w:t>support</w:t>
      </w:r>
      <w:r>
        <w:rPr>
          <w:rFonts w:ascii="Segoe UI"/>
          <w:color w:val="231F20"/>
          <w:spacing w:val="-5"/>
          <w:sz w:val="16"/>
        </w:rPr>
        <w:t> </w:t>
      </w:r>
      <w:r>
        <w:rPr>
          <w:rFonts w:ascii="Segoe UI"/>
          <w:color w:val="231F20"/>
          <w:sz w:val="16"/>
        </w:rPr>
        <w:t>to</w:t>
      </w:r>
      <w:r>
        <w:rPr>
          <w:rFonts w:ascii="Segoe UI"/>
          <w:color w:val="231F20"/>
          <w:spacing w:val="-4"/>
          <w:sz w:val="16"/>
        </w:rPr>
        <w:t> </w:t>
      </w:r>
      <w:r>
        <w:rPr>
          <w:rFonts w:ascii="Segoe UI"/>
          <w:color w:val="231F20"/>
          <w:sz w:val="16"/>
        </w:rPr>
        <w:t>Aboriginal</w:t>
      </w:r>
      <w:r>
        <w:rPr>
          <w:rFonts w:ascii="Segoe UI"/>
          <w:color w:val="231F20"/>
          <w:spacing w:val="-5"/>
          <w:sz w:val="16"/>
        </w:rPr>
        <w:t> </w:t>
      </w:r>
      <w:r>
        <w:rPr>
          <w:rFonts w:ascii="Segoe UI"/>
          <w:color w:val="231F20"/>
          <w:sz w:val="16"/>
        </w:rPr>
        <w:t>and</w:t>
      </w:r>
      <w:r>
        <w:rPr>
          <w:rFonts w:ascii="Segoe UI"/>
          <w:color w:val="231F20"/>
          <w:spacing w:val="-5"/>
          <w:sz w:val="16"/>
        </w:rPr>
        <w:t> </w:t>
      </w:r>
      <w:r>
        <w:rPr>
          <w:rFonts w:ascii="Segoe UI"/>
          <w:color w:val="231F20"/>
          <w:spacing w:val="-3"/>
          <w:sz w:val="16"/>
        </w:rPr>
        <w:t>Torres</w:t>
      </w:r>
      <w:r>
        <w:rPr>
          <w:rFonts w:ascii="Segoe UI"/>
          <w:color w:val="231F20"/>
          <w:spacing w:val="-5"/>
          <w:sz w:val="16"/>
        </w:rPr>
        <w:t> </w:t>
      </w:r>
      <w:r>
        <w:rPr>
          <w:rFonts w:ascii="Segoe UI"/>
          <w:color w:val="231F20"/>
          <w:spacing w:val="-1"/>
          <w:sz w:val="16"/>
        </w:rPr>
        <w:t>Strait</w:t>
      </w:r>
      <w:r>
        <w:rPr>
          <w:rFonts w:ascii="Segoe UI"/>
          <w:color w:val="231F20"/>
          <w:spacing w:val="-6"/>
          <w:sz w:val="16"/>
        </w:rPr>
        <w:t> </w:t>
      </w:r>
      <w:r>
        <w:rPr>
          <w:rFonts w:ascii="Segoe UI"/>
          <w:color w:val="231F20"/>
          <w:spacing w:val="-1"/>
          <w:sz w:val="16"/>
        </w:rPr>
        <w:t>Islander</w:t>
      </w:r>
      <w:r>
        <w:rPr>
          <w:rFonts w:ascii="Segoe UI"/>
          <w:color w:val="231F20"/>
          <w:spacing w:val="23"/>
          <w:w w:val="99"/>
          <w:sz w:val="16"/>
        </w:rPr>
        <w:t> </w:t>
      </w:r>
      <w:r>
        <w:rPr>
          <w:rFonts w:ascii="Segoe UI"/>
          <w:color w:val="231F20"/>
          <w:spacing w:val="-1"/>
          <w:sz w:val="16"/>
        </w:rPr>
        <w:t>students</w:t>
      </w:r>
      <w:r>
        <w:rPr>
          <w:rFonts w:ascii="Segoe UI"/>
          <w:color w:val="231F20"/>
          <w:spacing w:val="-3"/>
          <w:sz w:val="16"/>
        </w:rPr>
        <w:t> </w:t>
      </w:r>
      <w:r>
        <w:rPr>
          <w:rFonts w:ascii="Segoe UI"/>
          <w:color w:val="231F20"/>
          <w:sz w:val="16"/>
        </w:rPr>
        <w:t>to</w:t>
      </w:r>
      <w:r>
        <w:rPr>
          <w:rFonts w:ascii="Segoe UI"/>
          <w:color w:val="231F20"/>
          <w:spacing w:val="-3"/>
          <w:sz w:val="16"/>
        </w:rPr>
        <w:t> </w:t>
      </w:r>
      <w:r>
        <w:rPr>
          <w:rFonts w:ascii="Segoe UI"/>
          <w:color w:val="231F20"/>
          <w:sz w:val="16"/>
        </w:rPr>
        <w:t>pay</w:t>
      </w:r>
      <w:r>
        <w:rPr>
          <w:rFonts w:ascii="Segoe UI"/>
          <w:color w:val="231F20"/>
          <w:spacing w:val="-3"/>
          <w:sz w:val="16"/>
        </w:rPr>
        <w:t> </w:t>
      </w:r>
      <w:r>
        <w:rPr>
          <w:rFonts w:ascii="Segoe UI"/>
          <w:color w:val="231F20"/>
          <w:sz w:val="16"/>
        </w:rPr>
        <w:t>tuition</w:t>
      </w:r>
      <w:r>
        <w:rPr>
          <w:rFonts w:ascii="Segoe UI"/>
          <w:color w:val="231F20"/>
          <w:spacing w:val="-4"/>
          <w:sz w:val="16"/>
        </w:rPr>
        <w:t> </w:t>
      </w:r>
      <w:r>
        <w:rPr>
          <w:rFonts w:ascii="Segoe UI"/>
          <w:color w:val="231F20"/>
          <w:sz w:val="16"/>
        </w:rPr>
        <w:t>and</w:t>
      </w:r>
      <w:r>
        <w:rPr>
          <w:rFonts w:ascii="Segoe UI"/>
          <w:color w:val="231F20"/>
          <w:spacing w:val="-4"/>
          <w:sz w:val="16"/>
        </w:rPr>
        <w:t> </w:t>
      </w:r>
      <w:r>
        <w:rPr>
          <w:rFonts w:ascii="Segoe UI"/>
          <w:color w:val="231F20"/>
          <w:sz w:val="16"/>
        </w:rPr>
        <w:t>boarding</w:t>
      </w:r>
      <w:r>
        <w:rPr>
          <w:rFonts w:ascii="Segoe UI"/>
          <w:color w:val="231F20"/>
          <w:spacing w:val="-4"/>
          <w:sz w:val="16"/>
        </w:rPr>
        <w:t> </w:t>
      </w:r>
      <w:r>
        <w:rPr>
          <w:rFonts w:ascii="Segoe UI"/>
          <w:color w:val="231F20"/>
          <w:sz w:val="16"/>
        </w:rPr>
        <w:t>fees</w:t>
      </w:r>
      <w:r>
        <w:rPr>
          <w:rFonts w:ascii="Segoe UI"/>
          <w:sz w:val="16"/>
        </w:rPr>
      </w:r>
    </w:p>
    <w:p>
      <w:pPr>
        <w:numPr>
          <w:ilvl w:val="0"/>
          <w:numId w:val="7"/>
        </w:numPr>
        <w:tabs>
          <w:tab w:pos="668" w:val="left" w:leader="none"/>
        </w:tabs>
        <w:spacing w:before="100"/>
        <w:ind w:left="667" w:right="0" w:hanging="567"/>
        <w:jc w:val="left"/>
        <w:rPr>
          <w:rFonts w:ascii="Segoe UI" w:hAnsi="Segoe UI" w:cs="Segoe UI" w:eastAsia="Segoe UI"/>
          <w:sz w:val="16"/>
          <w:szCs w:val="16"/>
        </w:rPr>
      </w:pPr>
      <w:r>
        <w:rPr>
          <w:rFonts w:ascii="Segoe UI"/>
          <w:color w:val="231F20"/>
          <w:sz w:val="16"/>
        </w:rPr>
        <w:t>Excludes</w:t>
      </w:r>
      <w:r>
        <w:rPr>
          <w:rFonts w:ascii="Segoe UI"/>
          <w:color w:val="231F20"/>
          <w:spacing w:val="-10"/>
          <w:sz w:val="16"/>
        </w:rPr>
        <w:t> </w:t>
      </w:r>
      <w:r>
        <w:rPr>
          <w:rFonts w:ascii="Segoe UI"/>
          <w:color w:val="231F20"/>
          <w:sz w:val="16"/>
        </w:rPr>
        <w:t>tuition</w:t>
      </w:r>
      <w:r>
        <w:rPr>
          <w:rFonts w:ascii="Segoe UI"/>
          <w:color w:val="231F20"/>
          <w:spacing w:val="-9"/>
          <w:sz w:val="16"/>
        </w:rPr>
        <w:t> </w:t>
      </w:r>
      <w:r>
        <w:rPr>
          <w:rFonts w:ascii="Segoe UI"/>
          <w:color w:val="231F20"/>
          <w:sz w:val="16"/>
        </w:rPr>
        <w:t>revenue</w:t>
      </w:r>
      <w:r>
        <w:rPr>
          <w:rFonts w:ascii="Segoe UI"/>
          <w:sz w:val="16"/>
        </w:rPr>
      </w:r>
    </w:p>
    <w:p>
      <w:pPr>
        <w:numPr>
          <w:ilvl w:val="0"/>
          <w:numId w:val="7"/>
        </w:numPr>
        <w:tabs>
          <w:tab w:pos="668" w:val="left" w:leader="none"/>
        </w:tabs>
        <w:spacing w:before="100"/>
        <w:ind w:left="667" w:right="0" w:hanging="567"/>
        <w:jc w:val="left"/>
        <w:rPr>
          <w:rFonts w:ascii="Segoe UI" w:hAnsi="Segoe UI" w:cs="Segoe UI" w:eastAsia="Segoe UI"/>
          <w:sz w:val="16"/>
          <w:szCs w:val="16"/>
        </w:rPr>
      </w:pPr>
      <w:r>
        <w:rPr>
          <w:rFonts w:ascii="Segoe UI"/>
          <w:i/>
          <w:color w:val="231F20"/>
          <w:spacing w:val="-1"/>
          <w:sz w:val="16"/>
        </w:rPr>
        <w:t>Australian</w:t>
      </w:r>
      <w:r>
        <w:rPr>
          <w:rFonts w:ascii="Segoe UI"/>
          <w:i/>
          <w:color w:val="231F20"/>
          <w:spacing w:val="-2"/>
          <w:sz w:val="16"/>
        </w:rPr>
        <w:t> </w:t>
      </w:r>
      <w:r>
        <w:rPr>
          <w:rFonts w:ascii="Segoe UI"/>
          <w:i/>
          <w:color w:val="231F20"/>
          <w:sz w:val="16"/>
        </w:rPr>
        <w:t>Education</w:t>
      </w:r>
      <w:r>
        <w:rPr>
          <w:rFonts w:ascii="Segoe UI"/>
          <w:i/>
          <w:color w:val="231F20"/>
          <w:spacing w:val="-1"/>
          <w:sz w:val="16"/>
        </w:rPr>
        <w:t> </w:t>
      </w:r>
      <w:r>
        <w:rPr>
          <w:rFonts w:ascii="Segoe UI"/>
          <w:i/>
          <w:color w:val="231F20"/>
          <w:sz w:val="16"/>
        </w:rPr>
        <w:t>Act</w:t>
      </w:r>
      <w:r>
        <w:rPr>
          <w:rFonts w:ascii="Segoe UI"/>
          <w:i/>
          <w:color w:val="231F20"/>
          <w:spacing w:val="-2"/>
          <w:sz w:val="16"/>
        </w:rPr>
        <w:t> </w:t>
      </w:r>
      <w:r>
        <w:rPr>
          <w:rFonts w:ascii="Segoe UI"/>
          <w:i/>
          <w:color w:val="231F20"/>
          <w:sz w:val="16"/>
        </w:rPr>
        <w:t>2013</w:t>
      </w:r>
      <w:r>
        <w:rPr>
          <w:rFonts w:ascii="Segoe UI"/>
          <w:sz w:val="16"/>
        </w:rPr>
      </w:r>
    </w:p>
    <w:p>
      <w:pPr>
        <w:numPr>
          <w:ilvl w:val="0"/>
          <w:numId w:val="7"/>
        </w:numPr>
        <w:tabs>
          <w:tab w:pos="668" w:val="left" w:leader="none"/>
        </w:tabs>
        <w:spacing w:line="200" w:lineRule="exact" w:before="113"/>
        <w:ind w:left="667" w:right="109" w:hanging="567"/>
        <w:jc w:val="left"/>
        <w:rPr>
          <w:rFonts w:ascii="Segoe UI" w:hAnsi="Segoe UI" w:cs="Segoe UI" w:eastAsia="Segoe UI"/>
          <w:sz w:val="16"/>
          <w:szCs w:val="16"/>
        </w:rPr>
      </w:pPr>
      <w:r>
        <w:rPr>
          <w:rFonts w:ascii="Segoe UI" w:hAnsi="Segoe UI" w:cs="Segoe UI" w:eastAsia="Segoe UI"/>
          <w:color w:val="231F20"/>
          <w:sz w:val="16"/>
          <w:szCs w:val="16"/>
        </w:rPr>
        <w:t>The </w:t>
      </w:r>
      <w:r>
        <w:rPr>
          <w:rFonts w:ascii="Segoe UI" w:hAnsi="Segoe UI" w:cs="Segoe UI" w:eastAsia="Segoe UI"/>
          <w:color w:val="231F20"/>
          <w:spacing w:val="-1"/>
          <w:sz w:val="16"/>
          <w:szCs w:val="16"/>
        </w:rPr>
        <w:t>findings</w:t>
      </w:r>
      <w:r>
        <w:rPr>
          <w:rFonts w:ascii="Segoe UI" w:hAnsi="Segoe UI" w:cs="Segoe UI" w:eastAsia="Segoe UI"/>
          <w:color w:val="231F20"/>
          <w:sz w:val="16"/>
          <w:szCs w:val="16"/>
        </w:rPr>
        <w:t> from the KPMG, 2016 </w:t>
      </w:r>
      <w:r>
        <w:rPr>
          <w:rFonts w:ascii="Segoe UI" w:hAnsi="Segoe UI" w:cs="Segoe UI" w:eastAsia="Segoe UI"/>
          <w:color w:val="231F20"/>
          <w:spacing w:val="-1"/>
          <w:sz w:val="16"/>
          <w:szCs w:val="16"/>
        </w:rPr>
        <w:t>report</w:t>
      </w:r>
      <w:r>
        <w:rPr>
          <w:rFonts w:ascii="Segoe UI" w:hAnsi="Segoe UI" w:cs="Segoe UI" w:eastAsia="Segoe UI"/>
          <w:color w:val="231F20"/>
          <w:sz w:val="16"/>
          <w:szCs w:val="16"/>
        </w:rPr>
        <w:t> </w:t>
      </w:r>
      <w:r>
        <w:rPr>
          <w:rFonts w:ascii="Segoe UI" w:hAnsi="Segoe UI" w:cs="Segoe UI" w:eastAsia="Segoe UI"/>
          <w:color w:val="231F20"/>
          <w:spacing w:val="-1"/>
          <w:sz w:val="16"/>
          <w:szCs w:val="16"/>
        </w:rPr>
        <w:t>(</w:t>
      </w:r>
      <w:r>
        <w:rPr>
          <w:rFonts w:ascii="Segoe UI" w:hAnsi="Segoe UI" w:cs="Segoe UI" w:eastAsia="Segoe UI"/>
          <w:i/>
          <w:color w:val="231F20"/>
          <w:spacing w:val="-1"/>
          <w:sz w:val="16"/>
          <w:szCs w:val="16"/>
        </w:rPr>
        <w:t>Non-</w:t>
      </w:r>
      <w:r>
        <w:rPr>
          <w:rFonts w:ascii="Segoe UI" w:hAnsi="Segoe UI" w:cs="Segoe UI" w:eastAsia="Segoe UI"/>
          <w:i/>
          <w:color w:val="231F20"/>
          <w:spacing w:val="33"/>
          <w:sz w:val="16"/>
          <w:szCs w:val="16"/>
        </w:rPr>
        <w:t> </w:t>
      </w:r>
      <w:r>
        <w:rPr>
          <w:rFonts w:ascii="Segoe UI" w:hAnsi="Segoe UI" w:cs="Segoe UI" w:eastAsia="Segoe UI"/>
          <w:i/>
          <w:color w:val="231F20"/>
          <w:spacing w:val="-1"/>
          <w:sz w:val="16"/>
          <w:szCs w:val="16"/>
        </w:rPr>
        <w:t>Government</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Indigenous</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Boarding</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Schools:</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Review</w:t>
      </w:r>
      <w:r>
        <w:rPr>
          <w:rFonts w:ascii="Segoe UI" w:hAnsi="Segoe UI" w:cs="Segoe UI" w:eastAsia="Segoe UI"/>
          <w:i/>
          <w:color w:val="231F20"/>
          <w:spacing w:val="29"/>
          <w:w w:val="99"/>
          <w:sz w:val="16"/>
          <w:szCs w:val="16"/>
        </w:rPr>
        <w:t> </w:t>
      </w:r>
      <w:r>
        <w:rPr>
          <w:rFonts w:ascii="Segoe UI" w:hAnsi="Segoe UI" w:cs="Segoe UI" w:eastAsia="Segoe UI"/>
          <w:i/>
          <w:color w:val="231F20"/>
          <w:spacing w:val="-2"/>
          <w:sz w:val="16"/>
          <w:szCs w:val="16"/>
        </w:rPr>
        <w:t>of</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funding</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arrangements</w:t>
      </w:r>
      <w:r>
        <w:rPr>
          <w:rFonts w:ascii="Segoe UI" w:hAnsi="Segoe UI" w:cs="Segoe UI" w:eastAsia="Segoe UI"/>
          <w:i/>
          <w:color w:val="231F20"/>
          <w:spacing w:val="-3"/>
          <w:sz w:val="16"/>
          <w:szCs w:val="16"/>
        </w:rPr>
        <w:t> </w:t>
      </w:r>
      <w:r>
        <w:rPr>
          <w:rFonts w:ascii="Segoe UI" w:hAnsi="Segoe UI" w:cs="Segoe UI" w:eastAsia="Segoe UI"/>
          <w:i/>
          <w:color w:val="231F20"/>
          <w:sz w:val="16"/>
          <w:szCs w:val="16"/>
        </w:rPr>
        <w:t>for</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the</w:t>
      </w:r>
      <w:r>
        <w:rPr>
          <w:rFonts w:ascii="Segoe UI" w:hAnsi="Segoe UI" w:cs="Segoe UI" w:eastAsia="Segoe UI"/>
          <w:i/>
          <w:color w:val="231F20"/>
          <w:spacing w:val="-3"/>
          <w:sz w:val="16"/>
          <w:szCs w:val="16"/>
        </w:rPr>
        <w:t> </w:t>
      </w:r>
      <w:r>
        <w:rPr>
          <w:rFonts w:ascii="Segoe UI" w:hAnsi="Segoe UI" w:cs="Segoe UI" w:eastAsia="Segoe UI"/>
          <w:i/>
          <w:color w:val="231F20"/>
          <w:sz w:val="16"/>
          <w:szCs w:val="16"/>
        </w:rPr>
        <w:t>Northern</w:t>
      </w:r>
      <w:r>
        <w:rPr>
          <w:rFonts w:ascii="Segoe UI" w:hAnsi="Segoe UI" w:cs="Segoe UI" w:eastAsia="Segoe UI"/>
          <w:i/>
          <w:color w:val="231F20"/>
          <w:spacing w:val="-3"/>
          <w:sz w:val="16"/>
          <w:szCs w:val="16"/>
        </w:rPr>
        <w:t> </w:t>
      </w:r>
      <w:r>
        <w:rPr>
          <w:rFonts w:ascii="Segoe UI" w:hAnsi="Segoe UI" w:cs="Segoe UI" w:eastAsia="Segoe UI"/>
          <w:i/>
          <w:color w:val="231F20"/>
          <w:spacing w:val="-2"/>
          <w:sz w:val="16"/>
          <w:szCs w:val="16"/>
        </w:rPr>
        <w:t>Territory</w:t>
      </w:r>
      <w:r>
        <w:rPr>
          <w:rFonts w:ascii="Segoe UI" w:hAnsi="Segoe UI" w:cs="Segoe UI" w:eastAsia="Segoe UI"/>
          <w:i/>
          <w:color w:val="231F20"/>
          <w:spacing w:val="39"/>
          <w:w w:val="99"/>
          <w:sz w:val="16"/>
          <w:szCs w:val="16"/>
        </w:rPr>
        <w:t> </w:t>
      </w:r>
      <w:r>
        <w:rPr>
          <w:rFonts w:ascii="Segoe UI" w:hAnsi="Segoe UI" w:cs="Segoe UI" w:eastAsia="Segoe UI"/>
          <w:i/>
          <w:color w:val="231F20"/>
          <w:spacing w:val="-1"/>
          <w:sz w:val="16"/>
          <w:szCs w:val="16"/>
        </w:rPr>
        <w:t>Government,</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Department</w:t>
      </w:r>
      <w:r>
        <w:rPr>
          <w:rFonts w:ascii="Segoe UI" w:hAnsi="Segoe UI" w:cs="Segoe UI" w:eastAsia="Segoe UI"/>
          <w:i/>
          <w:color w:val="231F20"/>
          <w:spacing w:val="-4"/>
          <w:sz w:val="16"/>
          <w:szCs w:val="16"/>
        </w:rPr>
        <w:t> </w:t>
      </w:r>
      <w:r>
        <w:rPr>
          <w:rFonts w:ascii="Segoe UI" w:hAnsi="Segoe UI" w:cs="Segoe UI" w:eastAsia="Segoe UI"/>
          <w:i/>
          <w:color w:val="231F20"/>
          <w:spacing w:val="-2"/>
          <w:sz w:val="16"/>
          <w:szCs w:val="16"/>
        </w:rPr>
        <w:t>of</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Education</w:t>
      </w:r>
      <w:r>
        <w:rPr>
          <w:rFonts w:ascii="Segoe UI" w:hAnsi="Segoe UI" w:cs="Segoe UI" w:eastAsia="Segoe UI"/>
          <w:color w:val="231F20"/>
          <w:spacing w:val="-1"/>
          <w:sz w:val="16"/>
          <w:szCs w:val="16"/>
        </w:rPr>
        <w:t>,</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KPMG,</w:t>
      </w:r>
      <w:r>
        <w:rPr>
          <w:rFonts w:ascii="Segoe UI" w:hAnsi="Segoe UI" w:cs="Segoe UI" w:eastAsia="Segoe UI"/>
          <w:color w:val="231F20"/>
          <w:spacing w:val="50"/>
          <w:w w:val="99"/>
          <w:sz w:val="16"/>
          <w:szCs w:val="16"/>
        </w:rPr>
        <w:t> </w:t>
      </w:r>
      <w:r>
        <w:rPr>
          <w:rFonts w:ascii="Segoe UI" w:hAnsi="Segoe UI" w:cs="Segoe UI" w:eastAsia="Segoe UI"/>
          <w:color w:val="231F20"/>
          <w:spacing w:val="-1"/>
          <w:sz w:val="16"/>
          <w:szCs w:val="16"/>
        </w:rPr>
        <w:t>2016)</w:t>
      </w:r>
      <w:r>
        <w:rPr>
          <w:rFonts w:ascii="Segoe UI" w:hAnsi="Segoe UI" w:cs="Segoe UI" w:eastAsia="Segoe UI"/>
          <w:color w:val="231F20"/>
          <w:spacing w:val="-8"/>
          <w:sz w:val="16"/>
          <w:szCs w:val="16"/>
        </w:rPr>
        <w:t> </w:t>
      </w:r>
      <w:r>
        <w:rPr>
          <w:rFonts w:ascii="Segoe UI" w:hAnsi="Segoe UI" w:cs="Segoe UI" w:eastAsia="Segoe UI"/>
          <w:color w:val="231F20"/>
          <w:sz w:val="16"/>
          <w:szCs w:val="16"/>
        </w:rPr>
        <w:t>were;</w:t>
      </w:r>
      <w:r>
        <w:rPr>
          <w:rFonts w:ascii="Segoe UI" w:hAnsi="Segoe UI" w:cs="Segoe UI" w:eastAsia="Segoe UI"/>
          <w:color w:val="231F20"/>
          <w:spacing w:val="-8"/>
          <w:sz w:val="16"/>
          <w:szCs w:val="16"/>
        </w:rPr>
        <w:t> </w:t>
      </w:r>
      <w:r>
        <w:rPr>
          <w:rFonts w:ascii="Segoe UI" w:hAnsi="Segoe UI" w:cs="Segoe UI" w:eastAsia="Segoe UI"/>
          <w:color w:val="231F20"/>
          <w:sz w:val="16"/>
          <w:szCs w:val="16"/>
        </w:rPr>
        <w:t>average</w:t>
      </w:r>
      <w:r>
        <w:rPr>
          <w:rFonts w:ascii="Segoe UI" w:hAnsi="Segoe UI" w:cs="Segoe UI" w:eastAsia="Segoe UI"/>
          <w:color w:val="231F20"/>
          <w:spacing w:val="-8"/>
          <w:sz w:val="16"/>
          <w:szCs w:val="16"/>
        </w:rPr>
        <w:t> </w:t>
      </w:r>
      <w:r>
        <w:rPr>
          <w:rFonts w:ascii="Segoe UI" w:hAnsi="Segoe UI" w:cs="Segoe UI" w:eastAsia="Segoe UI"/>
          <w:color w:val="231F20"/>
          <w:sz w:val="16"/>
          <w:szCs w:val="16"/>
        </w:rPr>
        <w:t>revenue—$15,500,</w:t>
      </w:r>
      <w:r>
        <w:rPr>
          <w:rFonts w:ascii="Segoe UI" w:hAnsi="Segoe UI" w:cs="Segoe UI" w:eastAsia="Segoe UI"/>
          <w:color w:val="231F20"/>
          <w:spacing w:val="-8"/>
          <w:sz w:val="16"/>
          <w:szCs w:val="16"/>
        </w:rPr>
        <w:t> </w:t>
      </w:r>
      <w:r>
        <w:rPr>
          <w:rFonts w:ascii="Segoe UI" w:hAnsi="Segoe UI" w:cs="Segoe UI" w:eastAsia="Segoe UI"/>
          <w:color w:val="231F20"/>
          <w:sz w:val="16"/>
          <w:szCs w:val="16"/>
        </w:rPr>
        <w:t>average</w:t>
      </w:r>
      <w:r>
        <w:rPr>
          <w:rFonts w:ascii="Segoe UI" w:hAnsi="Segoe UI" w:cs="Segoe UI" w:eastAsia="Segoe UI"/>
          <w:color w:val="231F20"/>
          <w:spacing w:val="21"/>
          <w:w w:val="99"/>
          <w:sz w:val="16"/>
          <w:szCs w:val="16"/>
        </w:rPr>
        <w:t> </w:t>
      </w:r>
      <w:r>
        <w:rPr>
          <w:rFonts w:ascii="Segoe UI" w:hAnsi="Segoe UI" w:cs="Segoe UI" w:eastAsia="Segoe UI"/>
          <w:color w:val="231F20"/>
          <w:sz w:val="16"/>
          <w:szCs w:val="16"/>
        </w:rPr>
        <w:t>cost—$26,000</w:t>
      </w:r>
      <w:r>
        <w:rPr>
          <w:rFonts w:ascii="Segoe UI" w:hAnsi="Segoe UI" w:cs="Segoe UI" w:eastAsia="Segoe UI"/>
          <w:color w:val="231F20"/>
          <w:spacing w:val="-9"/>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8"/>
          <w:sz w:val="16"/>
          <w:szCs w:val="16"/>
        </w:rPr>
        <w:t> </w:t>
      </w:r>
      <w:r>
        <w:rPr>
          <w:rFonts w:ascii="Segoe UI" w:hAnsi="Segoe UI" w:cs="Segoe UI" w:eastAsia="Segoe UI"/>
          <w:color w:val="231F20"/>
          <w:sz w:val="16"/>
          <w:szCs w:val="16"/>
        </w:rPr>
        <w:t>average</w:t>
      </w:r>
      <w:r>
        <w:rPr>
          <w:rFonts w:ascii="Segoe UI" w:hAnsi="Segoe UI" w:cs="Segoe UI" w:eastAsia="Segoe UI"/>
          <w:color w:val="231F20"/>
          <w:spacing w:val="-8"/>
          <w:sz w:val="16"/>
          <w:szCs w:val="16"/>
        </w:rPr>
        <w:t> </w:t>
      </w:r>
      <w:r>
        <w:rPr>
          <w:rFonts w:ascii="Segoe UI" w:hAnsi="Segoe UI" w:cs="Segoe UI" w:eastAsia="Segoe UI"/>
          <w:color w:val="231F20"/>
          <w:spacing w:val="-1"/>
          <w:sz w:val="16"/>
          <w:szCs w:val="16"/>
        </w:rPr>
        <w:t>shortfall—$10,437.</w:t>
      </w:r>
      <w:r>
        <w:rPr>
          <w:rFonts w:ascii="Segoe UI" w:hAnsi="Segoe UI" w:cs="Segoe UI" w:eastAsia="Segoe UI"/>
          <w:color w:val="231F20"/>
          <w:spacing w:val="20"/>
          <w:w w:val="99"/>
          <w:sz w:val="16"/>
          <w:szCs w:val="16"/>
        </w:rPr>
        <w:t> </w:t>
      </w:r>
      <w:r>
        <w:rPr>
          <w:rFonts w:ascii="Segoe UI" w:hAnsi="Segoe UI" w:cs="Segoe UI" w:eastAsia="Segoe UI"/>
          <w:color w:val="231F20"/>
          <w:spacing w:val="-1"/>
          <w:sz w:val="16"/>
          <w:szCs w:val="16"/>
        </w:rPr>
        <w:t>KPMG,</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2016</w:t>
      </w:r>
      <w:r>
        <w:rPr>
          <w:rFonts w:ascii="Segoe UI" w:hAnsi="Segoe UI" w:cs="Segoe UI" w:eastAsia="Segoe UI"/>
          <w:color w:val="231F20"/>
          <w:spacing w:val="-3"/>
          <w:sz w:val="16"/>
          <w:szCs w:val="16"/>
        </w:rPr>
        <w:t> </w:t>
      </w:r>
      <w:r>
        <w:rPr>
          <w:rFonts w:ascii="Segoe UI" w:hAnsi="Segoe UI" w:cs="Segoe UI" w:eastAsia="Segoe UI"/>
          <w:color w:val="231F20"/>
          <w:sz w:val="16"/>
          <w:szCs w:val="16"/>
        </w:rPr>
        <w:t>reviewed</w:t>
      </w:r>
      <w:r>
        <w:rPr>
          <w:rFonts w:ascii="Segoe UI" w:hAnsi="Segoe UI" w:cs="Segoe UI" w:eastAsia="Segoe UI"/>
          <w:color w:val="231F20"/>
          <w:spacing w:val="-4"/>
          <w:sz w:val="16"/>
          <w:szCs w:val="16"/>
        </w:rPr>
        <w:t> </w:t>
      </w:r>
      <w:r>
        <w:rPr>
          <w:rFonts w:ascii="Segoe UI" w:hAnsi="Segoe UI" w:cs="Segoe UI" w:eastAsia="Segoe UI"/>
          <w:color w:val="231F20"/>
          <w:sz w:val="16"/>
          <w:szCs w:val="16"/>
        </w:rPr>
        <w:t>a</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smaller</w:t>
      </w:r>
      <w:r>
        <w:rPr>
          <w:rFonts w:ascii="Segoe UI" w:hAnsi="Segoe UI" w:cs="Segoe UI" w:eastAsia="Segoe UI"/>
          <w:color w:val="231F20"/>
          <w:spacing w:val="-3"/>
          <w:sz w:val="16"/>
          <w:szCs w:val="16"/>
        </w:rPr>
        <w:t> </w:t>
      </w:r>
      <w:r>
        <w:rPr>
          <w:rFonts w:ascii="Segoe UI" w:hAnsi="Segoe UI" w:cs="Segoe UI" w:eastAsia="Segoe UI"/>
          <w:color w:val="231F20"/>
          <w:sz w:val="16"/>
          <w:szCs w:val="16"/>
        </w:rPr>
        <w:t>number</w:t>
      </w:r>
      <w:r>
        <w:rPr>
          <w:rFonts w:ascii="Segoe UI" w:hAnsi="Segoe UI" w:cs="Segoe UI" w:eastAsia="Segoe UI"/>
          <w:color w:val="231F20"/>
          <w:spacing w:val="-4"/>
          <w:sz w:val="16"/>
          <w:szCs w:val="16"/>
        </w:rPr>
        <w:t> </w:t>
      </w:r>
      <w:r>
        <w:rPr>
          <w:rFonts w:ascii="Segoe UI" w:hAnsi="Segoe UI" w:cs="Segoe UI" w:eastAsia="Segoe UI"/>
          <w:color w:val="231F20"/>
          <w:sz w:val="16"/>
          <w:szCs w:val="16"/>
        </w:rPr>
        <w:t>of</w:t>
      </w:r>
      <w:r>
        <w:rPr>
          <w:rFonts w:ascii="Segoe UI" w:hAnsi="Segoe UI" w:cs="Segoe UI" w:eastAsia="Segoe UI"/>
          <w:color w:val="231F20"/>
          <w:spacing w:val="24"/>
          <w:w w:val="99"/>
          <w:sz w:val="16"/>
          <w:szCs w:val="16"/>
        </w:rPr>
        <w:t> </w:t>
      </w:r>
      <w:r>
        <w:rPr>
          <w:rFonts w:ascii="Segoe UI" w:hAnsi="Segoe UI" w:cs="Segoe UI" w:eastAsia="Segoe UI"/>
          <w:color w:val="231F20"/>
          <w:sz w:val="16"/>
          <w:szCs w:val="16"/>
        </w:rPr>
        <w:t>boarding</w:t>
      </w:r>
      <w:r>
        <w:rPr>
          <w:rFonts w:ascii="Segoe UI" w:hAnsi="Segoe UI" w:cs="Segoe UI" w:eastAsia="Segoe UI"/>
          <w:color w:val="231F20"/>
          <w:spacing w:val="-9"/>
          <w:sz w:val="16"/>
          <w:szCs w:val="16"/>
        </w:rPr>
        <w:t> </w:t>
      </w:r>
      <w:r>
        <w:rPr>
          <w:rFonts w:ascii="Segoe UI" w:hAnsi="Segoe UI" w:cs="Segoe UI" w:eastAsia="Segoe UI"/>
          <w:color w:val="231F20"/>
          <w:sz w:val="16"/>
          <w:szCs w:val="16"/>
        </w:rPr>
        <w:t>providers</w:t>
      </w:r>
      <w:r>
        <w:rPr>
          <w:rFonts w:ascii="Segoe UI" w:hAnsi="Segoe UI" w:cs="Segoe UI" w:eastAsia="Segoe UI"/>
          <w:color w:val="231F20"/>
          <w:spacing w:val="-9"/>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8"/>
          <w:sz w:val="16"/>
          <w:szCs w:val="16"/>
        </w:rPr>
        <w:t> </w:t>
      </w:r>
      <w:r>
        <w:rPr>
          <w:rFonts w:ascii="Segoe UI" w:hAnsi="Segoe UI" w:cs="Segoe UI" w:eastAsia="Segoe UI"/>
          <w:color w:val="231F20"/>
          <w:spacing w:val="-1"/>
          <w:sz w:val="16"/>
          <w:szCs w:val="16"/>
        </w:rPr>
        <w:t>included</w:t>
      </w:r>
      <w:r>
        <w:rPr>
          <w:rFonts w:ascii="Segoe UI" w:hAnsi="Segoe UI" w:cs="Segoe UI" w:eastAsia="Segoe UI"/>
          <w:color w:val="231F20"/>
          <w:spacing w:val="-8"/>
          <w:sz w:val="16"/>
          <w:szCs w:val="16"/>
        </w:rPr>
        <w:t> </w:t>
      </w:r>
      <w:r>
        <w:rPr>
          <w:rFonts w:ascii="Segoe UI" w:hAnsi="Segoe UI" w:cs="Segoe UI" w:eastAsia="Segoe UI"/>
          <w:color w:val="231F20"/>
          <w:sz w:val="16"/>
          <w:szCs w:val="16"/>
        </w:rPr>
        <w:t>depreciation</w:t>
      </w:r>
      <w:r>
        <w:rPr>
          <w:rFonts w:ascii="Segoe UI" w:hAnsi="Segoe UI" w:cs="Segoe UI" w:eastAsia="Segoe UI"/>
          <w:color w:val="231F20"/>
          <w:spacing w:val="22"/>
          <w:w w:val="99"/>
          <w:sz w:val="16"/>
          <w:szCs w:val="16"/>
        </w:rPr>
        <w:t> </w:t>
      </w:r>
      <w:r>
        <w:rPr>
          <w:rFonts w:ascii="Segoe UI" w:hAnsi="Segoe UI" w:cs="Segoe UI" w:eastAsia="Segoe UI"/>
          <w:color w:val="231F20"/>
          <w:sz w:val="16"/>
          <w:szCs w:val="16"/>
        </w:rPr>
        <w:t>costs,</w:t>
      </w:r>
      <w:r>
        <w:rPr>
          <w:rFonts w:ascii="Segoe UI" w:hAnsi="Segoe UI" w:cs="Segoe UI" w:eastAsia="Segoe UI"/>
          <w:color w:val="231F20"/>
          <w:spacing w:val="-5"/>
          <w:sz w:val="16"/>
          <w:szCs w:val="16"/>
        </w:rPr>
        <w:t> </w:t>
      </w:r>
      <w:r>
        <w:rPr>
          <w:rFonts w:ascii="Segoe UI" w:hAnsi="Segoe UI" w:cs="Segoe UI" w:eastAsia="Segoe UI"/>
          <w:color w:val="231F20"/>
          <w:sz w:val="16"/>
          <w:szCs w:val="16"/>
        </w:rPr>
        <w:t>which</w:t>
      </w:r>
      <w:r>
        <w:rPr>
          <w:rFonts w:ascii="Segoe UI" w:hAnsi="Segoe UI" w:cs="Segoe UI" w:eastAsia="Segoe UI"/>
          <w:color w:val="231F20"/>
          <w:spacing w:val="-4"/>
          <w:sz w:val="16"/>
          <w:szCs w:val="16"/>
        </w:rPr>
        <w:t> </w:t>
      </w:r>
      <w:r>
        <w:rPr>
          <w:rFonts w:ascii="Segoe UI" w:hAnsi="Segoe UI" w:cs="Segoe UI" w:eastAsia="Segoe UI"/>
          <w:color w:val="231F20"/>
          <w:sz w:val="16"/>
          <w:szCs w:val="16"/>
        </w:rPr>
        <w:t>have</w:t>
      </w:r>
      <w:r>
        <w:rPr>
          <w:rFonts w:ascii="Segoe UI" w:hAnsi="Segoe UI" w:cs="Segoe UI" w:eastAsia="Segoe UI"/>
          <w:color w:val="231F20"/>
          <w:spacing w:val="-5"/>
          <w:sz w:val="16"/>
          <w:szCs w:val="16"/>
        </w:rPr>
        <w:t> </w:t>
      </w:r>
      <w:r>
        <w:rPr>
          <w:rFonts w:ascii="Segoe UI" w:hAnsi="Segoe UI" w:cs="Segoe UI" w:eastAsia="Segoe UI"/>
          <w:color w:val="231F20"/>
          <w:sz w:val="16"/>
          <w:szCs w:val="16"/>
        </w:rPr>
        <w:t>been</w:t>
      </w:r>
      <w:r>
        <w:rPr>
          <w:rFonts w:ascii="Segoe UI" w:hAnsi="Segoe UI" w:cs="Segoe UI" w:eastAsia="Segoe UI"/>
          <w:color w:val="231F20"/>
          <w:spacing w:val="-4"/>
          <w:sz w:val="16"/>
          <w:szCs w:val="16"/>
        </w:rPr>
        <w:t> </w:t>
      </w:r>
      <w:r>
        <w:rPr>
          <w:rFonts w:ascii="Segoe UI" w:hAnsi="Segoe UI" w:cs="Segoe UI" w:eastAsia="Segoe UI"/>
          <w:color w:val="231F20"/>
          <w:sz w:val="16"/>
          <w:szCs w:val="16"/>
        </w:rPr>
        <w:t>excluded</w:t>
      </w:r>
      <w:r>
        <w:rPr>
          <w:rFonts w:ascii="Segoe UI" w:hAnsi="Segoe UI" w:cs="Segoe UI" w:eastAsia="Segoe UI"/>
          <w:color w:val="231F20"/>
          <w:spacing w:val="-4"/>
          <w:sz w:val="16"/>
          <w:szCs w:val="16"/>
        </w:rPr>
        <w:t> </w:t>
      </w:r>
      <w:r>
        <w:rPr>
          <w:rFonts w:ascii="Segoe UI" w:hAnsi="Segoe UI" w:cs="Segoe UI" w:eastAsia="Segoe UI"/>
          <w:color w:val="231F20"/>
          <w:sz w:val="16"/>
          <w:szCs w:val="16"/>
        </w:rPr>
        <w:t>for</w:t>
      </w:r>
      <w:r>
        <w:rPr>
          <w:rFonts w:ascii="Segoe UI" w:hAnsi="Segoe UI" w:cs="Segoe UI" w:eastAsia="Segoe UI"/>
          <w:color w:val="231F20"/>
          <w:spacing w:val="-4"/>
          <w:sz w:val="16"/>
          <w:szCs w:val="16"/>
        </w:rPr>
        <w:t> </w:t>
      </w:r>
      <w:r>
        <w:rPr>
          <w:rFonts w:ascii="Segoe UI" w:hAnsi="Segoe UI" w:cs="Segoe UI" w:eastAsia="Segoe UI"/>
          <w:color w:val="231F20"/>
          <w:sz w:val="16"/>
          <w:szCs w:val="16"/>
        </w:rPr>
        <w:t>this</w:t>
      </w:r>
      <w:r>
        <w:rPr>
          <w:rFonts w:ascii="Segoe UI" w:hAnsi="Segoe UI" w:cs="Segoe UI" w:eastAsia="Segoe UI"/>
          <w:color w:val="231F20"/>
          <w:spacing w:val="-4"/>
          <w:sz w:val="16"/>
          <w:szCs w:val="16"/>
        </w:rPr>
        <w:t> </w:t>
      </w:r>
      <w:r>
        <w:rPr>
          <w:rFonts w:ascii="Segoe UI" w:hAnsi="Segoe UI" w:cs="Segoe UI" w:eastAsia="Segoe UI"/>
          <w:color w:val="231F20"/>
          <w:sz w:val="16"/>
          <w:szCs w:val="16"/>
        </w:rPr>
        <w:t>review</w:t>
      </w:r>
      <w:r>
        <w:rPr>
          <w:rFonts w:ascii="Segoe UI" w:hAnsi="Segoe UI" w:cs="Segoe UI" w:eastAsia="Segoe UI"/>
          <w:sz w:val="16"/>
          <w:szCs w:val="16"/>
        </w:rPr>
      </w:r>
    </w:p>
    <w:p>
      <w:pPr>
        <w:numPr>
          <w:ilvl w:val="0"/>
          <w:numId w:val="7"/>
        </w:numPr>
        <w:tabs>
          <w:tab w:pos="668" w:val="left" w:leader="none"/>
        </w:tabs>
        <w:spacing w:line="200" w:lineRule="exact" w:before="113"/>
        <w:ind w:left="667" w:right="200" w:hanging="567"/>
        <w:jc w:val="left"/>
        <w:rPr>
          <w:rFonts w:ascii="Segoe UI" w:hAnsi="Segoe UI" w:cs="Segoe UI" w:eastAsia="Segoe UI"/>
          <w:sz w:val="16"/>
          <w:szCs w:val="16"/>
        </w:rPr>
      </w:pPr>
      <w:r>
        <w:rPr>
          <w:rFonts w:ascii="Segoe UI" w:hAnsi="Segoe UI" w:cs="Segoe UI" w:eastAsia="Segoe UI"/>
          <w:color w:val="231F20"/>
          <w:sz w:val="16"/>
          <w:szCs w:val="16"/>
        </w:rPr>
        <w:t>ABSTUDY</w:t>
      </w:r>
      <w:r>
        <w:rPr>
          <w:rFonts w:ascii="Segoe UI" w:hAnsi="Segoe UI" w:cs="Segoe UI" w:eastAsia="Segoe UI"/>
          <w:color w:val="231F20"/>
          <w:spacing w:val="-5"/>
          <w:sz w:val="16"/>
          <w:szCs w:val="16"/>
        </w:rPr>
        <w:t> </w:t>
      </w:r>
      <w:r>
        <w:rPr>
          <w:rFonts w:ascii="Segoe UI" w:hAnsi="Segoe UI" w:cs="Segoe UI" w:eastAsia="Segoe UI"/>
          <w:color w:val="231F20"/>
          <w:sz w:val="16"/>
          <w:szCs w:val="16"/>
        </w:rPr>
        <w:t>payment</w:t>
      </w:r>
      <w:r>
        <w:rPr>
          <w:rFonts w:ascii="Segoe UI" w:hAnsi="Segoe UI" w:cs="Segoe UI" w:eastAsia="Segoe UI"/>
          <w:color w:val="231F20"/>
          <w:spacing w:val="-6"/>
          <w:sz w:val="16"/>
          <w:szCs w:val="16"/>
        </w:rPr>
        <w:t> </w:t>
      </w:r>
      <w:r>
        <w:rPr>
          <w:rFonts w:ascii="Segoe UI" w:hAnsi="Segoe UI" w:cs="Segoe UI" w:eastAsia="Segoe UI"/>
          <w:color w:val="231F20"/>
          <w:sz w:val="16"/>
          <w:szCs w:val="16"/>
        </w:rPr>
        <w:t>amounts</w:t>
      </w:r>
      <w:r>
        <w:rPr>
          <w:rFonts w:ascii="Segoe UI" w:hAnsi="Segoe UI" w:cs="Segoe UI" w:eastAsia="Segoe UI"/>
          <w:color w:val="231F20"/>
          <w:spacing w:val="-5"/>
          <w:sz w:val="16"/>
          <w:szCs w:val="16"/>
        </w:rPr>
        <w:t> </w:t>
      </w:r>
      <w:r>
        <w:rPr>
          <w:rFonts w:ascii="Segoe UI" w:hAnsi="Segoe UI" w:cs="Segoe UI" w:eastAsia="Segoe UI"/>
          <w:color w:val="231F20"/>
          <w:sz w:val="16"/>
          <w:szCs w:val="16"/>
        </w:rPr>
        <w:t>are</w:t>
      </w:r>
      <w:r>
        <w:rPr>
          <w:rFonts w:ascii="Segoe UI" w:hAnsi="Segoe UI" w:cs="Segoe UI" w:eastAsia="Segoe UI"/>
          <w:color w:val="231F20"/>
          <w:spacing w:val="-6"/>
          <w:sz w:val="16"/>
          <w:szCs w:val="16"/>
        </w:rPr>
        <w:t> </w:t>
      </w:r>
      <w:r>
        <w:rPr>
          <w:rFonts w:ascii="Segoe UI" w:hAnsi="Segoe UI" w:cs="Segoe UI" w:eastAsia="Segoe UI"/>
          <w:color w:val="231F20"/>
          <w:spacing w:val="-1"/>
          <w:sz w:val="16"/>
          <w:szCs w:val="16"/>
        </w:rPr>
        <w:t>unpredictable</w:t>
      </w:r>
      <w:r>
        <w:rPr>
          <w:rFonts w:ascii="Segoe UI" w:hAnsi="Segoe UI" w:cs="Segoe UI" w:eastAsia="Segoe UI"/>
          <w:color w:val="231F20"/>
          <w:spacing w:val="24"/>
          <w:w w:val="99"/>
          <w:sz w:val="16"/>
          <w:szCs w:val="16"/>
        </w:rPr>
        <w:t> </w:t>
      </w:r>
      <w:r>
        <w:rPr>
          <w:rFonts w:ascii="Segoe UI" w:hAnsi="Segoe UI" w:cs="Segoe UI" w:eastAsia="Segoe UI"/>
          <w:color w:val="231F20"/>
          <w:sz w:val="16"/>
          <w:szCs w:val="16"/>
        </w:rPr>
        <w:t>because</w:t>
      </w:r>
      <w:r>
        <w:rPr>
          <w:rFonts w:ascii="Segoe UI" w:hAnsi="Segoe UI" w:cs="Segoe UI" w:eastAsia="Segoe UI"/>
          <w:color w:val="231F20"/>
          <w:spacing w:val="-6"/>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7"/>
          <w:sz w:val="16"/>
          <w:szCs w:val="16"/>
        </w:rPr>
        <w:t> </w:t>
      </w:r>
      <w:r>
        <w:rPr>
          <w:rFonts w:ascii="Segoe UI" w:hAnsi="Segoe UI" w:cs="Segoe UI" w:eastAsia="Segoe UI"/>
          <w:color w:val="231F20"/>
          <w:sz w:val="16"/>
          <w:szCs w:val="16"/>
        </w:rPr>
        <w:t>amount</w:t>
      </w:r>
      <w:r>
        <w:rPr>
          <w:rFonts w:ascii="Segoe UI" w:hAnsi="Segoe UI" w:cs="Segoe UI" w:eastAsia="Segoe UI"/>
          <w:color w:val="231F20"/>
          <w:spacing w:val="-6"/>
          <w:sz w:val="16"/>
          <w:szCs w:val="16"/>
        </w:rPr>
        <w:t> </w:t>
      </w:r>
      <w:r>
        <w:rPr>
          <w:rFonts w:ascii="Segoe UI" w:hAnsi="Segoe UI" w:cs="Segoe UI" w:eastAsia="Segoe UI"/>
          <w:color w:val="231F20"/>
          <w:spacing w:val="-1"/>
          <w:sz w:val="16"/>
          <w:szCs w:val="16"/>
        </w:rPr>
        <w:t>is</w:t>
      </w:r>
      <w:r>
        <w:rPr>
          <w:rFonts w:ascii="Segoe UI" w:hAnsi="Segoe UI" w:cs="Segoe UI" w:eastAsia="Segoe UI"/>
          <w:color w:val="231F20"/>
          <w:spacing w:val="-6"/>
          <w:sz w:val="16"/>
          <w:szCs w:val="16"/>
        </w:rPr>
        <w:t> </w:t>
      </w:r>
      <w:r>
        <w:rPr>
          <w:rFonts w:ascii="Segoe UI" w:hAnsi="Segoe UI" w:cs="Segoe UI" w:eastAsia="Segoe UI"/>
          <w:color w:val="231F20"/>
          <w:sz w:val="16"/>
          <w:szCs w:val="16"/>
        </w:rPr>
        <w:t>determined</w:t>
      </w:r>
      <w:r>
        <w:rPr>
          <w:rFonts w:ascii="Segoe UI" w:hAnsi="Segoe UI" w:cs="Segoe UI" w:eastAsia="Segoe UI"/>
          <w:color w:val="231F20"/>
          <w:spacing w:val="-6"/>
          <w:sz w:val="16"/>
          <w:szCs w:val="16"/>
        </w:rPr>
        <w:t> </w:t>
      </w:r>
      <w:r>
        <w:rPr>
          <w:rFonts w:ascii="Segoe UI" w:hAnsi="Segoe UI" w:cs="Segoe UI" w:eastAsia="Segoe UI"/>
          <w:color w:val="231F20"/>
          <w:sz w:val="16"/>
          <w:szCs w:val="16"/>
        </w:rPr>
        <w:t>according</w:t>
      </w:r>
      <w:r>
        <w:rPr>
          <w:rFonts w:ascii="Segoe UI" w:hAnsi="Segoe UI" w:cs="Segoe UI" w:eastAsia="Segoe UI"/>
          <w:color w:val="231F20"/>
          <w:spacing w:val="-5"/>
          <w:sz w:val="16"/>
          <w:szCs w:val="16"/>
        </w:rPr>
        <w:t> </w:t>
      </w:r>
      <w:r>
        <w:rPr>
          <w:rFonts w:ascii="Segoe UI" w:hAnsi="Segoe UI" w:cs="Segoe UI" w:eastAsia="Segoe UI"/>
          <w:color w:val="231F20"/>
          <w:spacing w:val="-5"/>
          <w:sz w:val="16"/>
          <w:szCs w:val="16"/>
        </w:rPr>
      </w:r>
      <w:r>
        <w:rPr>
          <w:rFonts w:ascii="Segoe UI" w:hAnsi="Segoe UI" w:cs="Segoe UI" w:eastAsia="Segoe UI"/>
          <w:color w:val="231F20"/>
          <w:sz w:val="16"/>
          <w:szCs w:val="16"/>
        </w:rPr>
        <w:t>to</w:t>
      </w:r>
      <w:r>
        <w:rPr>
          <w:rFonts w:ascii="Segoe UI" w:hAnsi="Segoe UI" w:cs="Segoe UI" w:eastAsia="Segoe UI"/>
          <w:color w:val="231F20"/>
          <w:spacing w:val="21"/>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individual</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students’</w:t>
      </w:r>
      <w:r>
        <w:rPr>
          <w:rFonts w:ascii="Segoe UI" w:hAnsi="Segoe UI" w:cs="Segoe UI" w:eastAsia="Segoe UI"/>
          <w:color w:val="231F20"/>
          <w:spacing w:val="-3"/>
          <w:sz w:val="16"/>
          <w:szCs w:val="16"/>
        </w:rPr>
        <w:t> </w:t>
      </w:r>
      <w:r>
        <w:rPr>
          <w:rFonts w:ascii="Segoe UI" w:hAnsi="Segoe UI" w:cs="Segoe UI" w:eastAsia="Segoe UI"/>
          <w:color w:val="231F20"/>
          <w:sz w:val="16"/>
          <w:szCs w:val="16"/>
        </w:rPr>
        <w:t>circumstances</w:t>
      </w:r>
      <w:r>
        <w:rPr>
          <w:rFonts w:ascii="Segoe UI" w:hAnsi="Segoe UI" w:cs="Segoe UI" w:eastAsia="Segoe UI"/>
          <w:color w:val="231F20"/>
          <w:spacing w:val="-5"/>
          <w:sz w:val="16"/>
          <w:szCs w:val="16"/>
        </w:rPr>
        <w:t> </w:t>
      </w:r>
      <w:r>
        <w:rPr>
          <w:rFonts w:ascii="Segoe UI" w:hAnsi="Segoe UI" w:cs="Segoe UI" w:eastAsia="Segoe UI"/>
          <w:color w:val="231F20"/>
          <w:sz w:val="16"/>
          <w:szCs w:val="16"/>
        </w:rPr>
        <w:t>for</w:t>
      </w:r>
      <w:r>
        <w:rPr>
          <w:rFonts w:ascii="Segoe UI" w:hAnsi="Segoe UI" w:cs="Segoe UI" w:eastAsia="Segoe UI"/>
          <w:color w:val="231F20"/>
          <w:spacing w:val="-3"/>
          <w:sz w:val="16"/>
          <w:szCs w:val="16"/>
        </w:rPr>
        <w:t> </w:t>
      </w:r>
      <w:r>
        <w:rPr>
          <w:rFonts w:ascii="Segoe UI" w:hAnsi="Segoe UI" w:cs="Segoe UI" w:eastAsia="Segoe UI"/>
          <w:color w:val="231F20"/>
          <w:sz w:val="16"/>
          <w:szCs w:val="16"/>
        </w:rPr>
        <w:t>the</w:t>
      </w:r>
      <w:r>
        <w:rPr>
          <w:rFonts w:ascii="Segoe UI" w:hAnsi="Segoe UI" w:cs="Segoe UI" w:eastAsia="Segoe UI"/>
          <w:sz w:val="16"/>
          <w:szCs w:val="16"/>
        </w:rPr>
      </w:r>
    </w:p>
    <w:p>
      <w:pPr>
        <w:spacing w:line="200" w:lineRule="exact" w:before="0"/>
        <w:ind w:left="667" w:right="0" w:firstLine="0"/>
        <w:jc w:val="left"/>
        <w:rPr>
          <w:rFonts w:ascii="Segoe UI" w:hAnsi="Segoe UI" w:cs="Segoe UI" w:eastAsia="Segoe UI"/>
          <w:sz w:val="16"/>
          <w:szCs w:val="16"/>
        </w:rPr>
      </w:pPr>
      <w:r>
        <w:rPr>
          <w:rFonts w:ascii="Segoe UI"/>
          <w:color w:val="231F20"/>
          <w:sz w:val="16"/>
        </w:rPr>
        <w:t>relevant payment period and is not a flat payment. </w:t>
      </w:r>
      <w:r>
        <w:rPr>
          <w:rFonts w:ascii="Segoe UI"/>
          <w:color w:val="231F20"/>
          <w:sz w:val="16"/>
        </w:rPr>
        <w:t>The</w:t>
      </w:r>
      <w:r>
        <w:rPr>
          <w:rFonts w:ascii="Segoe UI"/>
          <w:color w:val="231F20"/>
          <w:spacing w:val="-3"/>
          <w:sz w:val="16"/>
        </w:rPr>
        <w:t> </w:t>
      </w:r>
      <w:r>
        <w:rPr>
          <w:rFonts w:ascii="Segoe UI"/>
          <w:color w:val="231F20"/>
          <w:sz w:val="16"/>
        </w:rPr>
        <w:t>amount</w:t>
      </w:r>
      <w:r>
        <w:rPr>
          <w:rFonts w:ascii="Segoe UI"/>
          <w:color w:val="231F20"/>
          <w:spacing w:val="-4"/>
          <w:sz w:val="16"/>
        </w:rPr>
        <w:t> </w:t>
      </w:r>
      <w:r>
        <w:rPr>
          <w:rFonts w:ascii="Segoe UI"/>
          <w:color w:val="231F20"/>
          <w:sz w:val="16"/>
        </w:rPr>
        <w:t>for</w:t>
      </w:r>
      <w:r>
        <w:rPr>
          <w:rFonts w:ascii="Segoe UI"/>
          <w:color w:val="231F20"/>
          <w:spacing w:val="-3"/>
          <w:sz w:val="16"/>
        </w:rPr>
        <w:t> </w:t>
      </w:r>
      <w:r>
        <w:rPr>
          <w:rFonts w:ascii="Segoe UI"/>
          <w:color w:val="231F20"/>
          <w:sz w:val="16"/>
        </w:rPr>
        <w:t>an</w:t>
      </w:r>
      <w:r>
        <w:rPr>
          <w:rFonts w:ascii="Segoe UI"/>
          <w:color w:val="231F20"/>
          <w:spacing w:val="-4"/>
          <w:sz w:val="16"/>
        </w:rPr>
        <w:t> </w:t>
      </w:r>
      <w:r>
        <w:rPr>
          <w:rFonts w:ascii="Segoe UI"/>
          <w:color w:val="231F20"/>
          <w:spacing w:val="-1"/>
          <w:sz w:val="16"/>
        </w:rPr>
        <w:t>individual</w:t>
      </w:r>
      <w:r>
        <w:rPr>
          <w:rFonts w:ascii="Segoe UI"/>
          <w:color w:val="231F20"/>
          <w:spacing w:val="-3"/>
          <w:sz w:val="16"/>
        </w:rPr>
        <w:t> </w:t>
      </w:r>
      <w:r>
        <w:rPr>
          <w:rFonts w:ascii="Segoe UI"/>
          <w:color w:val="231F20"/>
          <w:spacing w:val="-1"/>
          <w:sz w:val="16"/>
        </w:rPr>
        <w:t>student</w:t>
      </w:r>
      <w:r>
        <w:rPr>
          <w:rFonts w:ascii="Segoe UI"/>
          <w:color w:val="231F20"/>
          <w:spacing w:val="-2"/>
          <w:sz w:val="16"/>
        </w:rPr>
        <w:t> </w:t>
      </w:r>
      <w:r>
        <w:rPr>
          <w:rFonts w:ascii="Segoe UI"/>
          <w:color w:val="231F20"/>
          <w:sz w:val="16"/>
        </w:rPr>
        <w:t>can</w:t>
      </w:r>
      <w:r>
        <w:rPr>
          <w:rFonts w:ascii="Segoe UI"/>
          <w:color w:val="231F20"/>
          <w:spacing w:val="-3"/>
          <w:sz w:val="16"/>
        </w:rPr>
        <w:t> </w:t>
      </w:r>
      <w:r>
        <w:rPr>
          <w:rFonts w:ascii="Segoe UI"/>
          <w:color w:val="231F20"/>
          <w:sz w:val="16"/>
        </w:rPr>
        <w:t>also</w:t>
      </w:r>
      <w:r>
        <w:rPr>
          <w:rFonts w:ascii="Segoe UI"/>
          <w:color w:val="231F20"/>
          <w:spacing w:val="-4"/>
          <w:sz w:val="16"/>
        </w:rPr>
        <w:t> </w:t>
      </w:r>
      <w:r>
        <w:rPr>
          <w:rFonts w:ascii="Segoe UI"/>
          <w:color w:val="231F20"/>
          <w:sz w:val="16"/>
        </w:rPr>
        <w:t>vary</w:t>
      </w:r>
      <w:r>
        <w:rPr>
          <w:rFonts w:ascii="Segoe UI"/>
          <w:color w:val="231F20"/>
          <w:spacing w:val="23"/>
          <w:w w:val="99"/>
          <w:sz w:val="16"/>
        </w:rPr>
        <w:t> </w:t>
      </w:r>
      <w:r>
        <w:rPr>
          <w:rFonts w:ascii="Segoe UI"/>
          <w:color w:val="231F20"/>
          <w:sz w:val="16"/>
        </w:rPr>
        <w:t>from</w:t>
      </w:r>
      <w:r>
        <w:rPr>
          <w:rFonts w:ascii="Segoe UI"/>
          <w:color w:val="231F20"/>
          <w:spacing w:val="-4"/>
          <w:sz w:val="16"/>
        </w:rPr>
        <w:t> </w:t>
      </w:r>
      <w:r>
        <w:rPr>
          <w:rFonts w:ascii="Segoe UI"/>
          <w:color w:val="231F20"/>
          <w:sz w:val="16"/>
        </w:rPr>
        <w:t>year</w:t>
      </w:r>
      <w:r>
        <w:rPr>
          <w:rFonts w:ascii="Segoe UI"/>
          <w:color w:val="231F20"/>
          <w:spacing w:val="-4"/>
          <w:sz w:val="16"/>
        </w:rPr>
        <w:t> </w:t>
      </w:r>
      <w:r>
        <w:rPr>
          <w:rFonts w:ascii="Segoe UI"/>
          <w:color w:val="231F20"/>
          <w:sz w:val="16"/>
        </w:rPr>
        <w:t>to</w:t>
      </w:r>
      <w:r>
        <w:rPr>
          <w:rFonts w:ascii="Segoe UI"/>
          <w:color w:val="231F20"/>
          <w:spacing w:val="-4"/>
          <w:sz w:val="16"/>
        </w:rPr>
        <w:t> </w:t>
      </w:r>
      <w:r>
        <w:rPr>
          <w:rFonts w:ascii="Segoe UI"/>
          <w:color w:val="231F20"/>
          <w:sz w:val="16"/>
        </w:rPr>
        <w:t>year</w:t>
      </w:r>
      <w:r>
        <w:rPr>
          <w:rFonts w:ascii="Segoe UI"/>
          <w:color w:val="231F20"/>
          <w:spacing w:val="-4"/>
          <w:sz w:val="16"/>
        </w:rPr>
        <w:t> </w:t>
      </w:r>
      <w:r>
        <w:rPr>
          <w:rFonts w:ascii="Segoe UI"/>
          <w:color w:val="231F20"/>
          <w:spacing w:val="-1"/>
          <w:sz w:val="16"/>
        </w:rPr>
        <w:t>if</w:t>
      </w:r>
      <w:r>
        <w:rPr>
          <w:rFonts w:ascii="Segoe UI"/>
          <w:color w:val="231F20"/>
          <w:spacing w:val="-4"/>
          <w:sz w:val="16"/>
        </w:rPr>
        <w:t> </w:t>
      </w:r>
      <w:r>
        <w:rPr>
          <w:rFonts w:ascii="Segoe UI"/>
          <w:color w:val="231F20"/>
          <w:sz w:val="16"/>
        </w:rPr>
        <w:t>the</w:t>
      </w:r>
      <w:r>
        <w:rPr>
          <w:rFonts w:ascii="Segoe UI"/>
          <w:color w:val="231F20"/>
          <w:spacing w:val="-4"/>
          <w:sz w:val="16"/>
        </w:rPr>
        <w:t> </w:t>
      </w:r>
      <w:r>
        <w:rPr>
          <w:rFonts w:ascii="Segoe UI"/>
          <w:color w:val="231F20"/>
          <w:sz w:val="16"/>
        </w:rPr>
        <w:t>personal</w:t>
      </w:r>
      <w:r>
        <w:rPr>
          <w:rFonts w:ascii="Segoe UI"/>
          <w:color w:val="231F20"/>
          <w:spacing w:val="-5"/>
          <w:sz w:val="16"/>
        </w:rPr>
        <w:t> </w:t>
      </w:r>
      <w:r>
        <w:rPr>
          <w:rFonts w:ascii="Segoe UI"/>
          <w:color w:val="231F20"/>
          <w:sz w:val="16"/>
        </w:rPr>
        <w:t>circumstances</w:t>
      </w:r>
      <w:r>
        <w:rPr>
          <w:rFonts w:ascii="Segoe UI"/>
          <w:color w:val="231F20"/>
          <w:spacing w:val="-5"/>
          <w:sz w:val="16"/>
        </w:rPr>
        <w:t> </w:t>
      </w:r>
      <w:r>
        <w:rPr>
          <w:rFonts w:ascii="Segoe UI"/>
          <w:color w:val="231F20"/>
          <w:sz w:val="16"/>
        </w:rPr>
        <w:t>of</w:t>
      </w:r>
      <w:r>
        <w:rPr>
          <w:rFonts w:ascii="Segoe UI"/>
          <w:color w:val="231F20"/>
          <w:spacing w:val="21"/>
          <w:w w:val="99"/>
          <w:sz w:val="16"/>
        </w:rPr>
        <w:t> </w:t>
      </w:r>
      <w:r>
        <w:rPr>
          <w:rFonts w:ascii="Segoe UI"/>
          <w:color w:val="231F20"/>
          <w:sz w:val="16"/>
        </w:rPr>
        <w:t>the</w:t>
      </w:r>
      <w:r>
        <w:rPr>
          <w:rFonts w:ascii="Segoe UI"/>
          <w:color w:val="231F20"/>
          <w:spacing w:val="-7"/>
          <w:sz w:val="16"/>
        </w:rPr>
        <w:t> </w:t>
      </w:r>
      <w:r>
        <w:rPr>
          <w:rFonts w:ascii="Segoe UI"/>
          <w:color w:val="231F20"/>
          <w:spacing w:val="-1"/>
          <w:sz w:val="16"/>
        </w:rPr>
        <w:t>student</w:t>
      </w:r>
      <w:r>
        <w:rPr>
          <w:rFonts w:ascii="Segoe UI"/>
          <w:color w:val="231F20"/>
          <w:spacing w:val="-7"/>
          <w:sz w:val="16"/>
        </w:rPr>
        <w:t> </w:t>
      </w:r>
      <w:r>
        <w:rPr>
          <w:rFonts w:ascii="Segoe UI"/>
          <w:color w:val="231F20"/>
          <w:sz w:val="16"/>
        </w:rPr>
        <w:t>or</w:t>
      </w:r>
      <w:r>
        <w:rPr>
          <w:rFonts w:ascii="Segoe UI"/>
          <w:color w:val="231F20"/>
          <w:spacing w:val="-6"/>
          <w:sz w:val="16"/>
        </w:rPr>
        <w:t> </w:t>
      </w:r>
      <w:r>
        <w:rPr>
          <w:rFonts w:ascii="Segoe UI"/>
          <w:color w:val="231F20"/>
          <w:sz w:val="16"/>
        </w:rPr>
        <w:t>parents/carers</w:t>
      </w:r>
      <w:r>
        <w:rPr>
          <w:rFonts w:ascii="Segoe UI"/>
          <w:color w:val="231F20"/>
          <w:spacing w:val="-7"/>
          <w:sz w:val="16"/>
        </w:rPr>
        <w:t> </w:t>
      </w:r>
      <w:r>
        <w:rPr>
          <w:rFonts w:ascii="Segoe UI"/>
          <w:color w:val="231F20"/>
          <w:sz w:val="16"/>
        </w:rPr>
        <w:t>change</w:t>
      </w:r>
      <w:r>
        <w:rPr>
          <w:rFonts w:ascii="Segoe UI"/>
          <w:sz w:val="16"/>
        </w:rPr>
      </w:r>
    </w:p>
    <w:p>
      <w:pPr>
        <w:tabs>
          <w:tab w:pos="667" w:val="left" w:leader="none"/>
        </w:tabs>
        <w:spacing w:before="100"/>
        <w:ind w:left="100" w:right="0" w:firstLine="0"/>
        <w:jc w:val="left"/>
        <w:rPr>
          <w:rFonts w:ascii="Segoe UI" w:hAnsi="Segoe UI" w:cs="Segoe UI" w:eastAsia="Segoe UI"/>
          <w:sz w:val="16"/>
          <w:szCs w:val="16"/>
        </w:rPr>
      </w:pPr>
      <w:r>
        <w:rPr>
          <w:rFonts w:ascii="Segoe UI"/>
          <w:color w:val="362058"/>
          <w:sz w:val="16"/>
        </w:rPr>
        <w:t>9</w:t>
        <w:tab/>
      </w:r>
      <w:r>
        <w:rPr>
          <w:rFonts w:ascii="Segoe UI"/>
          <w:color w:val="231F20"/>
          <w:spacing w:val="-1"/>
          <w:sz w:val="16"/>
        </w:rPr>
        <w:t>CAEPR, 2017,</w:t>
      </w:r>
      <w:r>
        <w:rPr>
          <w:rFonts w:ascii="Segoe UI"/>
          <w:color w:val="231F20"/>
          <w:sz w:val="16"/>
        </w:rPr>
        <w:t> p.</w:t>
      </w:r>
      <w:r>
        <w:rPr>
          <w:rFonts w:ascii="Segoe UI"/>
          <w:color w:val="231F20"/>
          <w:spacing w:val="-1"/>
          <w:sz w:val="16"/>
        </w:rPr>
        <w:t> </w:t>
      </w:r>
      <w:r>
        <w:rPr>
          <w:rFonts w:ascii="Segoe UI"/>
          <w:color w:val="231F20"/>
          <w:sz w:val="16"/>
        </w:rPr>
        <w:t>12</w:t>
      </w:r>
      <w:r>
        <w:rPr>
          <w:rFonts w:ascii="Segoe UI"/>
          <w:sz w:val="16"/>
        </w:rPr>
      </w:r>
    </w:p>
    <w:p>
      <w:pPr>
        <w:numPr>
          <w:ilvl w:val="0"/>
          <w:numId w:val="8"/>
        </w:numPr>
        <w:tabs>
          <w:tab w:pos="668" w:val="left" w:leader="none"/>
        </w:tabs>
        <w:spacing w:line="200" w:lineRule="exact" w:before="113"/>
        <w:ind w:left="667" w:right="109" w:hanging="567"/>
        <w:jc w:val="left"/>
        <w:rPr>
          <w:rFonts w:ascii="Segoe UI" w:hAnsi="Segoe UI" w:cs="Segoe UI" w:eastAsia="Segoe UI"/>
          <w:sz w:val="16"/>
          <w:szCs w:val="16"/>
        </w:rPr>
      </w:pPr>
      <w:r>
        <w:rPr>
          <w:rFonts w:ascii="Segoe UI"/>
          <w:color w:val="231F20"/>
          <w:sz w:val="16"/>
        </w:rPr>
        <w:t>The</w:t>
      </w:r>
      <w:r>
        <w:rPr>
          <w:rFonts w:ascii="Segoe UI"/>
          <w:color w:val="231F20"/>
          <w:spacing w:val="-6"/>
          <w:sz w:val="16"/>
        </w:rPr>
        <w:t> </w:t>
      </w:r>
      <w:r>
        <w:rPr>
          <w:rFonts w:ascii="Segoe UI"/>
          <w:color w:val="231F20"/>
          <w:spacing w:val="-1"/>
          <w:sz w:val="16"/>
        </w:rPr>
        <w:t>Index</w:t>
      </w:r>
      <w:r>
        <w:rPr>
          <w:rFonts w:ascii="Segoe UI"/>
          <w:color w:val="231F20"/>
          <w:spacing w:val="-5"/>
          <w:sz w:val="16"/>
        </w:rPr>
        <w:t> </w:t>
      </w:r>
      <w:r>
        <w:rPr>
          <w:rFonts w:ascii="Segoe UI"/>
          <w:color w:val="231F20"/>
          <w:sz w:val="16"/>
        </w:rPr>
        <w:t>of</w:t>
      </w:r>
      <w:r>
        <w:rPr>
          <w:rFonts w:ascii="Segoe UI"/>
          <w:color w:val="231F20"/>
          <w:spacing w:val="-5"/>
          <w:sz w:val="16"/>
        </w:rPr>
        <w:t> </w:t>
      </w:r>
      <w:r>
        <w:rPr>
          <w:rFonts w:ascii="Segoe UI"/>
          <w:color w:val="231F20"/>
          <w:spacing w:val="-1"/>
          <w:sz w:val="16"/>
        </w:rPr>
        <w:t>Community</w:t>
      </w:r>
      <w:r>
        <w:rPr>
          <w:rFonts w:ascii="Segoe UI"/>
          <w:color w:val="231F20"/>
          <w:spacing w:val="-5"/>
          <w:sz w:val="16"/>
        </w:rPr>
        <w:t> </w:t>
      </w:r>
      <w:r>
        <w:rPr>
          <w:rFonts w:ascii="Segoe UI"/>
          <w:color w:val="231F20"/>
          <w:spacing w:val="-1"/>
          <w:sz w:val="16"/>
        </w:rPr>
        <w:t>Socio-Educational</w:t>
      </w:r>
      <w:r>
        <w:rPr>
          <w:rFonts w:ascii="Segoe UI"/>
          <w:color w:val="231F20"/>
          <w:spacing w:val="21"/>
          <w:w w:val="99"/>
          <w:sz w:val="16"/>
        </w:rPr>
        <w:t> </w:t>
      </w:r>
      <w:r>
        <w:rPr>
          <w:rFonts w:ascii="Segoe UI"/>
          <w:color w:val="231F20"/>
          <w:sz w:val="16"/>
        </w:rPr>
        <w:t>Advantage.</w:t>
      </w:r>
      <w:r>
        <w:rPr>
          <w:rFonts w:ascii="Segoe UI"/>
          <w:color w:val="231F20"/>
          <w:spacing w:val="-5"/>
          <w:sz w:val="16"/>
        </w:rPr>
        <w:t> </w:t>
      </w:r>
      <w:r>
        <w:rPr>
          <w:rFonts w:ascii="Segoe UI"/>
          <w:color w:val="231F20"/>
          <w:sz w:val="16"/>
        </w:rPr>
        <w:t>The</w:t>
      </w:r>
      <w:r>
        <w:rPr>
          <w:rFonts w:ascii="Segoe UI"/>
          <w:color w:val="231F20"/>
          <w:spacing w:val="-4"/>
          <w:sz w:val="16"/>
        </w:rPr>
        <w:t> </w:t>
      </w:r>
      <w:r>
        <w:rPr>
          <w:rFonts w:ascii="Segoe UI"/>
          <w:color w:val="231F20"/>
          <w:spacing w:val="-1"/>
          <w:sz w:val="16"/>
        </w:rPr>
        <w:t>index</w:t>
      </w:r>
      <w:r>
        <w:rPr>
          <w:rFonts w:ascii="Segoe UI"/>
          <w:color w:val="231F20"/>
          <w:spacing w:val="-4"/>
          <w:sz w:val="16"/>
        </w:rPr>
        <w:t> </w:t>
      </w:r>
      <w:r>
        <w:rPr>
          <w:rFonts w:ascii="Segoe UI"/>
          <w:color w:val="231F20"/>
          <w:spacing w:val="-1"/>
          <w:sz w:val="16"/>
        </w:rPr>
        <w:t>is</w:t>
      </w:r>
      <w:r>
        <w:rPr>
          <w:rFonts w:ascii="Segoe UI"/>
          <w:color w:val="231F20"/>
          <w:spacing w:val="-5"/>
          <w:sz w:val="16"/>
        </w:rPr>
        <w:t> </w:t>
      </w:r>
      <w:r>
        <w:rPr>
          <w:rFonts w:ascii="Segoe UI"/>
          <w:color w:val="231F20"/>
          <w:sz w:val="16"/>
        </w:rPr>
        <w:t>calculated</w:t>
      </w:r>
      <w:r>
        <w:rPr>
          <w:rFonts w:ascii="Segoe UI"/>
          <w:color w:val="231F20"/>
          <w:spacing w:val="-6"/>
          <w:sz w:val="16"/>
        </w:rPr>
        <w:t> </w:t>
      </w:r>
      <w:r>
        <w:rPr>
          <w:rFonts w:ascii="Segoe UI"/>
          <w:color w:val="231F20"/>
          <w:sz w:val="16"/>
        </w:rPr>
        <w:t>by</w:t>
      </w:r>
      <w:r>
        <w:rPr>
          <w:rFonts w:ascii="Segoe UI"/>
          <w:color w:val="231F20"/>
          <w:spacing w:val="-4"/>
          <w:sz w:val="16"/>
        </w:rPr>
        <w:t> </w:t>
      </w:r>
      <w:r>
        <w:rPr>
          <w:rFonts w:ascii="Segoe UI"/>
          <w:color w:val="231F20"/>
          <w:sz w:val="16"/>
        </w:rPr>
        <w:t>the</w:t>
      </w:r>
      <w:r>
        <w:rPr>
          <w:rFonts w:ascii="Segoe UI"/>
          <w:color w:val="231F20"/>
          <w:spacing w:val="22"/>
          <w:w w:val="99"/>
          <w:sz w:val="16"/>
        </w:rPr>
        <w:t> </w:t>
      </w:r>
      <w:r>
        <w:rPr>
          <w:rFonts w:ascii="Segoe UI"/>
          <w:color w:val="231F20"/>
          <w:sz w:val="16"/>
        </w:rPr>
        <w:t>Australian</w:t>
      </w:r>
      <w:r>
        <w:rPr>
          <w:rFonts w:ascii="Segoe UI"/>
          <w:color w:val="231F20"/>
          <w:spacing w:val="-6"/>
          <w:sz w:val="16"/>
        </w:rPr>
        <w:t> </w:t>
      </w:r>
      <w:r>
        <w:rPr>
          <w:rFonts w:ascii="Segoe UI"/>
          <w:color w:val="231F20"/>
          <w:spacing w:val="-1"/>
          <w:sz w:val="16"/>
        </w:rPr>
        <w:t>Curriculum,</w:t>
      </w:r>
      <w:r>
        <w:rPr>
          <w:rFonts w:ascii="Segoe UI"/>
          <w:color w:val="231F20"/>
          <w:spacing w:val="-7"/>
          <w:sz w:val="16"/>
        </w:rPr>
        <w:t> </w:t>
      </w:r>
      <w:r>
        <w:rPr>
          <w:rFonts w:ascii="Segoe UI"/>
          <w:color w:val="231F20"/>
          <w:sz w:val="16"/>
        </w:rPr>
        <w:t>Assessment</w:t>
      </w:r>
      <w:r>
        <w:rPr>
          <w:rFonts w:ascii="Segoe UI"/>
          <w:color w:val="231F20"/>
          <w:spacing w:val="-6"/>
          <w:sz w:val="16"/>
        </w:rPr>
        <w:t> </w:t>
      </w:r>
      <w:r>
        <w:rPr>
          <w:rFonts w:ascii="Segoe UI"/>
          <w:color w:val="231F20"/>
          <w:sz w:val="16"/>
        </w:rPr>
        <w:t>and</w:t>
      </w:r>
      <w:r>
        <w:rPr>
          <w:rFonts w:ascii="Segoe UI"/>
          <w:color w:val="231F20"/>
          <w:spacing w:val="-7"/>
          <w:sz w:val="16"/>
        </w:rPr>
        <w:t> </w:t>
      </w:r>
      <w:r>
        <w:rPr>
          <w:rFonts w:ascii="Segoe UI"/>
          <w:color w:val="231F20"/>
          <w:spacing w:val="-1"/>
          <w:sz w:val="16"/>
        </w:rPr>
        <w:t>Reporting</w:t>
      </w:r>
      <w:r>
        <w:rPr>
          <w:rFonts w:ascii="Segoe UI"/>
          <w:color w:val="231F20"/>
          <w:spacing w:val="26"/>
          <w:w w:val="99"/>
          <w:sz w:val="16"/>
        </w:rPr>
        <w:t> </w:t>
      </w:r>
      <w:r>
        <w:rPr>
          <w:rFonts w:ascii="Segoe UI"/>
          <w:color w:val="231F20"/>
          <w:sz w:val="16"/>
        </w:rPr>
        <w:t>Authority</w:t>
      </w:r>
      <w:r>
        <w:rPr>
          <w:rFonts w:ascii="Segoe UI"/>
          <w:color w:val="231F20"/>
          <w:spacing w:val="-13"/>
          <w:sz w:val="16"/>
        </w:rPr>
        <w:t> </w:t>
      </w:r>
      <w:r>
        <w:rPr>
          <w:rFonts w:ascii="Segoe UI"/>
          <w:color w:val="231F20"/>
          <w:spacing w:val="-2"/>
          <w:sz w:val="16"/>
        </w:rPr>
        <w:t>(ACARA),</w:t>
      </w:r>
      <w:r>
        <w:rPr>
          <w:rFonts w:ascii="Segoe UI"/>
          <w:color w:val="231F20"/>
          <w:spacing w:val="-13"/>
          <w:sz w:val="16"/>
        </w:rPr>
        <w:t> </w:t>
      </w:r>
      <w:r>
        <w:rPr>
          <w:rFonts w:ascii="Segoe UI"/>
          <w:color w:val="3853A4"/>
          <w:spacing w:val="-13"/>
          <w:sz w:val="16"/>
        </w:rPr>
      </w:r>
      <w:hyperlink r:id="rId93">
        <w:r>
          <w:rPr>
            <w:rFonts w:ascii="Segoe UI"/>
            <w:color w:val="3853A4"/>
            <w:spacing w:val="-1"/>
            <w:sz w:val="16"/>
            <w:u w:val="single" w:color="3853A4"/>
          </w:rPr>
          <w:t>www.acara.edu.au</w:t>
        </w:r>
        <w:r>
          <w:rPr>
            <w:rFonts w:ascii="Segoe UI"/>
            <w:color w:val="3853A4"/>
            <w:sz w:val="16"/>
          </w:rPr>
        </w:r>
        <w:r>
          <w:rPr>
            <w:rFonts w:ascii="Segoe UI"/>
            <w:color w:val="231F20"/>
            <w:spacing w:val="-1"/>
            <w:sz w:val="16"/>
          </w:rPr>
          <w:t>.</w:t>
        </w:r>
        <w:r>
          <w:rPr>
            <w:rFonts w:ascii="Segoe UI"/>
            <w:sz w:val="16"/>
          </w:rPr>
        </w:r>
      </w:hyperlink>
    </w:p>
    <w:p>
      <w:pPr>
        <w:numPr>
          <w:ilvl w:val="0"/>
          <w:numId w:val="8"/>
        </w:numPr>
        <w:tabs>
          <w:tab w:pos="668" w:val="left" w:leader="none"/>
        </w:tabs>
        <w:spacing w:line="200" w:lineRule="exact" w:before="113"/>
        <w:ind w:left="667" w:right="368" w:hanging="567"/>
        <w:jc w:val="left"/>
        <w:rPr>
          <w:rFonts w:ascii="Segoe UI" w:hAnsi="Segoe UI" w:cs="Segoe UI" w:eastAsia="Segoe UI"/>
          <w:sz w:val="16"/>
          <w:szCs w:val="16"/>
        </w:rPr>
      </w:pPr>
      <w:r>
        <w:rPr>
          <w:rFonts w:ascii="Segoe UI"/>
          <w:color w:val="231F20"/>
          <w:sz w:val="16"/>
        </w:rPr>
        <w:t>ABSTUDY</w:t>
      </w:r>
      <w:r>
        <w:rPr>
          <w:rFonts w:ascii="Segoe UI"/>
          <w:color w:val="231F20"/>
          <w:spacing w:val="-5"/>
          <w:sz w:val="16"/>
        </w:rPr>
        <w:t> </w:t>
      </w:r>
      <w:r>
        <w:rPr>
          <w:rFonts w:ascii="Segoe UI"/>
          <w:color w:val="231F20"/>
          <w:spacing w:val="-1"/>
          <w:sz w:val="16"/>
        </w:rPr>
        <w:t>is</w:t>
      </w:r>
      <w:r>
        <w:rPr>
          <w:rFonts w:ascii="Segoe UI"/>
          <w:color w:val="231F20"/>
          <w:spacing w:val="-5"/>
          <w:sz w:val="16"/>
        </w:rPr>
        <w:t> </w:t>
      </w:r>
      <w:r>
        <w:rPr>
          <w:rFonts w:ascii="Segoe UI"/>
          <w:color w:val="231F20"/>
          <w:sz w:val="16"/>
        </w:rPr>
        <w:t>already</w:t>
      </w:r>
      <w:r>
        <w:rPr>
          <w:rFonts w:ascii="Segoe UI"/>
          <w:color w:val="231F20"/>
          <w:spacing w:val="-5"/>
          <w:sz w:val="16"/>
        </w:rPr>
        <w:t> </w:t>
      </w:r>
      <w:r>
        <w:rPr>
          <w:rFonts w:ascii="Segoe UI"/>
          <w:color w:val="231F20"/>
          <w:sz w:val="16"/>
        </w:rPr>
        <w:t>a</w:t>
      </w:r>
      <w:r>
        <w:rPr>
          <w:rFonts w:ascii="Segoe UI"/>
          <w:color w:val="231F20"/>
          <w:spacing w:val="-4"/>
          <w:sz w:val="16"/>
        </w:rPr>
        <w:t> </w:t>
      </w:r>
      <w:r>
        <w:rPr>
          <w:rFonts w:ascii="Segoe UI"/>
          <w:color w:val="231F20"/>
          <w:spacing w:val="-1"/>
          <w:sz w:val="16"/>
        </w:rPr>
        <w:t>targeted</w:t>
      </w:r>
      <w:r>
        <w:rPr>
          <w:rFonts w:ascii="Segoe UI"/>
          <w:color w:val="231F20"/>
          <w:spacing w:val="-5"/>
          <w:sz w:val="16"/>
        </w:rPr>
        <w:t> </w:t>
      </w:r>
      <w:r>
        <w:rPr>
          <w:rFonts w:ascii="Segoe UI"/>
          <w:color w:val="231F20"/>
          <w:spacing w:val="-1"/>
          <w:sz w:val="16"/>
        </w:rPr>
        <w:t>equity-based</w:t>
      </w:r>
      <w:r>
        <w:rPr>
          <w:rFonts w:ascii="Segoe UI"/>
          <w:color w:val="231F20"/>
          <w:spacing w:val="39"/>
          <w:w w:val="99"/>
          <w:sz w:val="16"/>
        </w:rPr>
        <w:t> </w:t>
      </w:r>
      <w:r>
        <w:rPr>
          <w:rFonts w:ascii="Segoe UI"/>
          <w:color w:val="231F20"/>
          <w:sz w:val="16"/>
        </w:rPr>
        <w:t>payment.</w:t>
      </w:r>
      <w:r>
        <w:rPr>
          <w:rFonts w:ascii="Segoe UI"/>
          <w:color w:val="231F20"/>
          <w:spacing w:val="-7"/>
          <w:sz w:val="16"/>
        </w:rPr>
        <w:t> </w:t>
      </w:r>
      <w:r>
        <w:rPr>
          <w:rFonts w:ascii="Segoe UI"/>
          <w:color w:val="231F20"/>
          <w:sz w:val="16"/>
        </w:rPr>
        <w:t>Aboriginal</w:t>
      </w:r>
      <w:r>
        <w:rPr>
          <w:rFonts w:ascii="Segoe UI"/>
          <w:color w:val="231F20"/>
          <w:spacing w:val="-6"/>
          <w:sz w:val="16"/>
        </w:rPr>
        <w:t> </w:t>
      </w:r>
      <w:r>
        <w:rPr>
          <w:rFonts w:ascii="Segoe UI"/>
          <w:color w:val="231F20"/>
          <w:sz w:val="16"/>
        </w:rPr>
        <w:t>and</w:t>
      </w:r>
      <w:r>
        <w:rPr>
          <w:rFonts w:ascii="Segoe UI"/>
          <w:color w:val="231F20"/>
          <w:spacing w:val="-7"/>
          <w:sz w:val="16"/>
        </w:rPr>
        <w:t> </w:t>
      </w:r>
      <w:r>
        <w:rPr>
          <w:rFonts w:ascii="Segoe UI"/>
          <w:color w:val="231F20"/>
          <w:spacing w:val="-3"/>
          <w:sz w:val="16"/>
        </w:rPr>
        <w:t>Torres</w:t>
      </w:r>
      <w:r>
        <w:rPr>
          <w:rFonts w:ascii="Segoe UI"/>
          <w:color w:val="231F20"/>
          <w:spacing w:val="-6"/>
          <w:sz w:val="16"/>
        </w:rPr>
        <w:t> </w:t>
      </w:r>
      <w:r>
        <w:rPr>
          <w:rFonts w:ascii="Segoe UI"/>
          <w:color w:val="231F20"/>
          <w:spacing w:val="-1"/>
          <w:sz w:val="16"/>
        </w:rPr>
        <w:t>Strait</w:t>
      </w:r>
      <w:r>
        <w:rPr>
          <w:rFonts w:ascii="Segoe UI"/>
          <w:color w:val="231F20"/>
          <w:spacing w:val="-7"/>
          <w:sz w:val="16"/>
        </w:rPr>
        <w:t> </w:t>
      </w:r>
      <w:r>
        <w:rPr>
          <w:rFonts w:ascii="Segoe UI"/>
          <w:color w:val="231F20"/>
          <w:spacing w:val="-1"/>
          <w:sz w:val="16"/>
        </w:rPr>
        <w:t>Islander</w:t>
      </w:r>
      <w:r>
        <w:rPr>
          <w:rFonts w:ascii="Segoe UI"/>
          <w:color w:val="231F20"/>
          <w:spacing w:val="22"/>
          <w:w w:val="99"/>
          <w:sz w:val="16"/>
        </w:rPr>
        <w:t> </w:t>
      </w:r>
      <w:r>
        <w:rPr>
          <w:rFonts w:ascii="Segoe UI"/>
          <w:color w:val="231F20"/>
          <w:sz w:val="16"/>
        </w:rPr>
        <w:t>boarding</w:t>
      </w:r>
      <w:r>
        <w:rPr>
          <w:rFonts w:ascii="Segoe UI"/>
          <w:color w:val="231F20"/>
          <w:spacing w:val="-5"/>
          <w:sz w:val="16"/>
        </w:rPr>
        <w:t> </w:t>
      </w:r>
      <w:r>
        <w:rPr>
          <w:rFonts w:ascii="Segoe UI"/>
          <w:color w:val="231F20"/>
          <w:spacing w:val="-1"/>
          <w:sz w:val="16"/>
        </w:rPr>
        <w:t>students</w:t>
      </w:r>
      <w:r>
        <w:rPr>
          <w:rFonts w:ascii="Segoe UI"/>
          <w:color w:val="231F20"/>
          <w:spacing w:val="-4"/>
          <w:sz w:val="16"/>
        </w:rPr>
        <w:t> </w:t>
      </w:r>
      <w:r>
        <w:rPr>
          <w:rFonts w:ascii="Segoe UI"/>
          <w:color w:val="231F20"/>
          <w:sz w:val="16"/>
        </w:rPr>
        <w:t>receive</w:t>
      </w:r>
      <w:r>
        <w:rPr>
          <w:rFonts w:ascii="Segoe UI"/>
          <w:color w:val="231F20"/>
          <w:spacing w:val="-4"/>
          <w:sz w:val="16"/>
        </w:rPr>
        <w:t> </w:t>
      </w:r>
      <w:r>
        <w:rPr>
          <w:rFonts w:ascii="Segoe UI"/>
          <w:color w:val="231F20"/>
          <w:spacing w:val="-1"/>
          <w:sz w:val="16"/>
        </w:rPr>
        <w:t>support</w:t>
      </w:r>
      <w:r>
        <w:rPr>
          <w:rFonts w:ascii="Segoe UI"/>
          <w:color w:val="231F20"/>
          <w:spacing w:val="-4"/>
          <w:sz w:val="16"/>
        </w:rPr>
        <w:t> </w:t>
      </w:r>
      <w:r>
        <w:rPr>
          <w:rFonts w:ascii="Segoe UI"/>
          <w:color w:val="231F20"/>
          <w:sz w:val="16"/>
        </w:rPr>
        <w:t>of</w:t>
      </w:r>
      <w:r>
        <w:rPr>
          <w:rFonts w:ascii="Segoe UI"/>
          <w:color w:val="231F20"/>
          <w:spacing w:val="-3"/>
          <w:sz w:val="16"/>
        </w:rPr>
        <w:t> </w:t>
      </w:r>
      <w:r>
        <w:rPr>
          <w:rFonts w:ascii="Segoe UI"/>
          <w:color w:val="231F20"/>
          <w:sz w:val="16"/>
        </w:rPr>
        <w:t>up</w:t>
      </w:r>
      <w:r>
        <w:rPr>
          <w:rFonts w:ascii="Segoe UI"/>
          <w:color w:val="231F20"/>
          <w:spacing w:val="-4"/>
          <w:sz w:val="16"/>
        </w:rPr>
        <w:t> </w:t>
      </w:r>
      <w:r>
        <w:rPr>
          <w:rFonts w:ascii="Segoe UI"/>
          <w:color w:val="231F20"/>
          <w:sz w:val="16"/>
        </w:rPr>
        <w:t>to</w:t>
      </w:r>
      <w:r>
        <w:rPr>
          <w:rFonts w:ascii="Segoe UI"/>
          <w:sz w:val="16"/>
        </w:rPr>
      </w:r>
    </w:p>
    <w:p>
      <w:pPr>
        <w:spacing w:line="200" w:lineRule="exact" w:before="0"/>
        <w:ind w:left="667" w:right="1" w:firstLine="0"/>
        <w:jc w:val="left"/>
        <w:rPr>
          <w:rFonts w:ascii="Segoe UI" w:hAnsi="Segoe UI" w:cs="Segoe UI" w:eastAsia="Segoe UI"/>
          <w:sz w:val="16"/>
          <w:szCs w:val="16"/>
        </w:rPr>
      </w:pPr>
      <w:r>
        <w:rPr>
          <w:rFonts w:ascii="Segoe UI"/>
          <w:color w:val="231F20"/>
          <w:spacing w:val="-1"/>
          <w:sz w:val="16"/>
        </w:rPr>
        <w:t>$17,000</w:t>
      </w:r>
      <w:r>
        <w:rPr>
          <w:rFonts w:ascii="Segoe UI"/>
          <w:color w:val="231F20"/>
          <w:spacing w:val="-6"/>
          <w:sz w:val="16"/>
        </w:rPr>
        <w:t> </w:t>
      </w:r>
      <w:r>
        <w:rPr>
          <w:rFonts w:ascii="Segoe UI"/>
          <w:color w:val="231F20"/>
          <w:sz w:val="16"/>
        </w:rPr>
        <w:t>per</w:t>
      </w:r>
      <w:r>
        <w:rPr>
          <w:rFonts w:ascii="Segoe UI"/>
          <w:color w:val="231F20"/>
          <w:spacing w:val="-5"/>
          <w:sz w:val="16"/>
        </w:rPr>
        <w:t> </w:t>
      </w:r>
      <w:r>
        <w:rPr>
          <w:rFonts w:ascii="Segoe UI"/>
          <w:color w:val="231F20"/>
          <w:sz w:val="16"/>
        </w:rPr>
        <w:t>year</w:t>
      </w:r>
      <w:r>
        <w:rPr>
          <w:rFonts w:ascii="Segoe UI"/>
          <w:color w:val="231F20"/>
          <w:spacing w:val="-5"/>
          <w:sz w:val="16"/>
        </w:rPr>
        <w:t> </w:t>
      </w:r>
      <w:r>
        <w:rPr>
          <w:rFonts w:ascii="Segoe UI"/>
          <w:color w:val="231F20"/>
          <w:sz w:val="16"/>
        </w:rPr>
        <w:t>compared</w:t>
      </w:r>
      <w:r>
        <w:rPr>
          <w:rFonts w:ascii="Segoe UI"/>
          <w:color w:val="231F20"/>
          <w:spacing w:val="-6"/>
          <w:sz w:val="16"/>
        </w:rPr>
        <w:t> </w:t>
      </w:r>
      <w:r>
        <w:rPr>
          <w:rFonts w:ascii="Segoe UI"/>
          <w:color w:val="231F20"/>
          <w:sz w:val="16"/>
        </w:rPr>
        <w:t>to</w:t>
      </w:r>
      <w:r>
        <w:rPr>
          <w:rFonts w:ascii="Segoe UI"/>
          <w:color w:val="231F20"/>
          <w:spacing w:val="-5"/>
          <w:sz w:val="16"/>
        </w:rPr>
        <w:t> </w:t>
      </w:r>
      <w:r>
        <w:rPr>
          <w:rFonts w:ascii="Segoe UI"/>
          <w:color w:val="231F20"/>
          <w:sz w:val="16"/>
        </w:rPr>
        <w:t>non-Indigenous</w:t>
      </w:r>
      <w:r>
        <w:rPr>
          <w:rFonts w:ascii="Segoe UI"/>
          <w:color w:val="231F20"/>
          <w:spacing w:val="22"/>
          <w:w w:val="99"/>
          <w:sz w:val="16"/>
        </w:rPr>
        <w:t> </w:t>
      </w:r>
      <w:r>
        <w:rPr>
          <w:rFonts w:ascii="Segoe UI"/>
          <w:color w:val="231F20"/>
          <w:sz w:val="16"/>
        </w:rPr>
        <w:t>boarding</w:t>
      </w:r>
      <w:r>
        <w:rPr>
          <w:rFonts w:ascii="Segoe UI"/>
          <w:color w:val="231F20"/>
          <w:spacing w:val="-4"/>
          <w:sz w:val="16"/>
        </w:rPr>
        <w:t> </w:t>
      </w:r>
      <w:r>
        <w:rPr>
          <w:rFonts w:ascii="Segoe UI"/>
          <w:color w:val="231F20"/>
          <w:spacing w:val="-1"/>
          <w:sz w:val="16"/>
        </w:rPr>
        <w:t>students,</w:t>
      </w:r>
      <w:r>
        <w:rPr>
          <w:rFonts w:ascii="Segoe UI"/>
          <w:color w:val="231F20"/>
          <w:spacing w:val="-3"/>
          <w:sz w:val="16"/>
        </w:rPr>
        <w:t> </w:t>
      </w:r>
      <w:r>
        <w:rPr>
          <w:rFonts w:ascii="Segoe UI"/>
          <w:color w:val="231F20"/>
          <w:sz w:val="16"/>
        </w:rPr>
        <w:t>with</w:t>
      </w:r>
      <w:r>
        <w:rPr>
          <w:rFonts w:ascii="Segoe UI"/>
          <w:color w:val="231F20"/>
          <w:spacing w:val="-4"/>
          <w:sz w:val="16"/>
        </w:rPr>
        <w:t> </w:t>
      </w:r>
      <w:r>
        <w:rPr>
          <w:rFonts w:ascii="Segoe UI"/>
          <w:color w:val="231F20"/>
          <w:spacing w:val="-1"/>
          <w:sz w:val="16"/>
        </w:rPr>
        <w:t>means-testing</w:t>
      </w:r>
      <w:r>
        <w:rPr>
          <w:rFonts w:ascii="Segoe UI"/>
          <w:color w:val="231F20"/>
          <w:spacing w:val="-2"/>
          <w:sz w:val="16"/>
        </w:rPr>
        <w:t> </w:t>
      </w:r>
      <w:r>
        <w:rPr>
          <w:rFonts w:ascii="Segoe UI"/>
          <w:color w:val="231F20"/>
          <w:sz w:val="16"/>
        </w:rPr>
        <w:t>built</w:t>
      </w:r>
      <w:r>
        <w:rPr>
          <w:rFonts w:ascii="Segoe UI"/>
          <w:color w:val="231F20"/>
          <w:spacing w:val="-4"/>
          <w:sz w:val="16"/>
        </w:rPr>
        <w:t> </w:t>
      </w:r>
      <w:r>
        <w:rPr>
          <w:rFonts w:ascii="Segoe UI"/>
          <w:color w:val="231F20"/>
          <w:spacing w:val="-1"/>
          <w:sz w:val="16"/>
        </w:rPr>
        <w:t>in</w:t>
      </w:r>
      <w:r>
        <w:rPr>
          <w:rFonts w:ascii="Segoe UI"/>
          <w:color w:val="231F20"/>
          <w:spacing w:val="-3"/>
          <w:sz w:val="16"/>
        </w:rPr>
        <w:t> </w:t>
      </w:r>
      <w:r>
        <w:rPr>
          <w:rFonts w:ascii="Segoe UI"/>
          <w:color w:val="231F20"/>
          <w:sz w:val="16"/>
        </w:rPr>
        <w:t>to</w:t>
      </w:r>
      <w:r>
        <w:rPr>
          <w:rFonts w:ascii="Segoe UI"/>
          <w:color w:val="231F20"/>
          <w:spacing w:val="24"/>
          <w:w w:val="99"/>
          <w:sz w:val="16"/>
        </w:rPr>
        <w:t> </w:t>
      </w:r>
      <w:r>
        <w:rPr>
          <w:rFonts w:ascii="Segoe UI"/>
          <w:color w:val="231F20"/>
          <w:sz w:val="16"/>
        </w:rPr>
        <w:t>this</w:t>
      </w:r>
      <w:r>
        <w:rPr>
          <w:rFonts w:ascii="Segoe UI"/>
          <w:color w:val="231F20"/>
          <w:spacing w:val="-4"/>
          <w:sz w:val="16"/>
        </w:rPr>
        <w:t> </w:t>
      </w:r>
      <w:r>
        <w:rPr>
          <w:rFonts w:ascii="Segoe UI"/>
          <w:color w:val="231F20"/>
          <w:sz w:val="16"/>
        </w:rPr>
        <w:t>amount</w:t>
      </w:r>
      <w:r>
        <w:rPr>
          <w:rFonts w:ascii="Segoe UI"/>
          <w:color w:val="231F20"/>
          <w:spacing w:val="-4"/>
          <w:sz w:val="16"/>
        </w:rPr>
        <w:t> </w:t>
      </w:r>
      <w:r>
        <w:rPr>
          <w:rFonts w:ascii="Segoe UI"/>
          <w:color w:val="231F20"/>
          <w:sz w:val="16"/>
        </w:rPr>
        <w:t>to</w:t>
      </w:r>
      <w:r>
        <w:rPr>
          <w:rFonts w:ascii="Segoe UI"/>
          <w:color w:val="231F20"/>
          <w:spacing w:val="-3"/>
          <w:sz w:val="16"/>
        </w:rPr>
        <w:t> </w:t>
      </w:r>
      <w:r>
        <w:rPr>
          <w:rFonts w:ascii="Segoe UI"/>
          <w:color w:val="231F20"/>
          <w:sz w:val="16"/>
        </w:rPr>
        <w:t>target</w:t>
      </w:r>
      <w:r>
        <w:rPr>
          <w:rFonts w:ascii="Segoe UI"/>
          <w:color w:val="231F20"/>
          <w:spacing w:val="-3"/>
          <w:sz w:val="16"/>
        </w:rPr>
        <w:t> </w:t>
      </w:r>
      <w:r>
        <w:rPr>
          <w:rFonts w:ascii="Segoe UI"/>
          <w:color w:val="231F20"/>
          <w:spacing w:val="-1"/>
          <w:sz w:val="16"/>
        </w:rPr>
        <w:t>support</w:t>
      </w:r>
      <w:r>
        <w:rPr>
          <w:rFonts w:ascii="Segoe UI"/>
          <w:color w:val="231F20"/>
          <w:spacing w:val="-3"/>
          <w:sz w:val="16"/>
        </w:rPr>
        <w:t> </w:t>
      </w:r>
      <w:r>
        <w:rPr>
          <w:rFonts w:ascii="Segoe UI"/>
          <w:color w:val="231F20"/>
          <w:sz w:val="16"/>
        </w:rPr>
        <w:t>to</w:t>
      </w:r>
      <w:r>
        <w:rPr>
          <w:rFonts w:ascii="Segoe UI"/>
          <w:color w:val="231F20"/>
          <w:spacing w:val="-3"/>
          <w:sz w:val="16"/>
        </w:rPr>
        <w:t> </w:t>
      </w:r>
      <w:r>
        <w:rPr>
          <w:rFonts w:ascii="Segoe UI"/>
          <w:color w:val="231F20"/>
          <w:sz w:val="16"/>
        </w:rPr>
        <w:t>those</w:t>
      </w:r>
      <w:r>
        <w:rPr>
          <w:rFonts w:ascii="Segoe UI"/>
          <w:color w:val="231F20"/>
          <w:spacing w:val="-4"/>
          <w:sz w:val="16"/>
        </w:rPr>
        <w:t> </w:t>
      </w:r>
      <w:r>
        <w:rPr>
          <w:rFonts w:ascii="Segoe UI"/>
          <w:color w:val="231F20"/>
          <w:spacing w:val="-1"/>
          <w:sz w:val="16"/>
        </w:rPr>
        <w:t>most</w:t>
      </w:r>
      <w:r>
        <w:rPr>
          <w:rFonts w:ascii="Segoe UI"/>
          <w:color w:val="231F20"/>
          <w:spacing w:val="-3"/>
          <w:sz w:val="16"/>
        </w:rPr>
        <w:t> </w:t>
      </w:r>
      <w:r>
        <w:rPr>
          <w:rFonts w:ascii="Segoe UI"/>
          <w:color w:val="231F20"/>
          <w:spacing w:val="-1"/>
          <w:sz w:val="16"/>
        </w:rPr>
        <w:t>in</w:t>
      </w:r>
      <w:r>
        <w:rPr>
          <w:rFonts w:ascii="Segoe UI"/>
          <w:color w:val="231F20"/>
          <w:spacing w:val="22"/>
          <w:sz w:val="16"/>
        </w:rPr>
        <w:t> </w:t>
      </w:r>
      <w:r>
        <w:rPr>
          <w:rFonts w:ascii="Segoe UI"/>
          <w:color w:val="231F20"/>
          <w:sz w:val="16"/>
        </w:rPr>
        <w:t>need</w:t>
      </w:r>
      <w:r>
        <w:rPr>
          <w:rFonts w:ascii="Segoe UI"/>
          <w:sz w:val="16"/>
        </w:rPr>
      </w:r>
    </w:p>
    <w:p>
      <w:pPr>
        <w:numPr>
          <w:ilvl w:val="0"/>
          <w:numId w:val="8"/>
        </w:numPr>
        <w:tabs>
          <w:tab w:pos="668" w:val="left" w:leader="none"/>
        </w:tabs>
        <w:spacing w:line="206" w:lineRule="exact" w:before="100"/>
        <w:ind w:left="667" w:right="0" w:hanging="567"/>
        <w:jc w:val="left"/>
        <w:rPr>
          <w:rFonts w:ascii="Segoe UI" w:hAnsi="Segoe UI" w:cs="Segoe UI" w:eastAsia="Segoe UI"/>
          <w:sz w:val="16"/>
          <w:szCs w:val="16"/>
        </w:rPr>
      </w:pPr>
      <w:r>
        <w:rPr>
          <w:rFonts w:ascii="Segoe UI"/>
          <w:color w:val="231F20"/>
          <w:sz w:val="16"/>
        </w:rPr>
        <w:t>The</w:t>
      </w:r>
      <w:r>
        <w:rPr>
          <w:rFonts w:ascii="Segoe UI"/>
          <w:color w:val="231F20"/>
          <w:spacing w:val="-5"/>
          <w:sz w:val="16"/>
        </w:rPr>
        <w:t> </w:t>
      </w:r>
      <w:r>
        <w:rPr>
          <w:rFonts w:ascii="Segoe UI"/>
          <w:color w:val="231F20"/>
          <w:sz w:val="16"/>
        </w:rPr>
        <w:t>NAPLAN</w:t>
      </w:r>
      <w:r>
        <w:rPr>
          <w:rFonts w:ascii="Segoe UI"/>
          <w:color w:val="231F20"/>
          <w:spacing w:val="-4"/>
          <w:sz w:val="16"/>
        </w:rPr>
        <w:t> </w:t>
      </w:r>
      <w:r>
        <w:rPr>
          <w:rFonts w:ascii="Segoe UI"/>
          <w:color w:val="231F20"/>
          <w:sz w:val="16"/>
        </w:rPr>
        <w:t>average</w:t>
      </w:r>
      <w:r>
        <w:rPr>
          <w:rFonts w:ascii="Segoe UI"/>
          <w:color w:val="231F20"/>
          <w:spacing w:val="-6"/>
          <w:sz w:val="16"/>
        </w:rPr>
        <w:t> </w:t>
      </w:r>
      <w:r>
        <w:rPr>
          <w:rFonts w:ascii="Segoe UI"/>
          <w:color w:val="231F20"/>
          <w:spacing w:val="-1"/>
          <w:sz w:val="16"/>
        </w:rPr>
        <w:t>is</w:t>
      </w:r>
      <w:r>
        <w:rPr>
          <w:rFonts w:ascii="Segoe UI"/>
          <w:color w:val="231F20"/>
          <w:spacing w:val="-5"/>
          <w:sz w:val="16"/>
        </w:rPr>
        <w:t> </w:t>
      </w:r>
      <w:r>
        <w:rPr>
          <w:rFonts w:ascii="Segoe UI"/>
          <w:color w:val="231F20"/>
          <w:sz w:val="16"/>
        </w:rPr>
        <w:t>the</w:t>
      </w:r>
      <w:r>
        <w:rPr>
          <w:rFonts w:ascii="Segoe UI"/>
          <w:color w:val="231F20"/>
          <w:spacing w:val="-5"/>
          <w:sz w:val="16"/>
        </w:rPr>
        <w:t> </w:t>
      </w:r>
      <w:r>
        <w:rPr>
          <w:rFonts w:ascii="Segoe UI"/>
          <w:color w:val="231F20"/>
          <w:spacing w:val="-1"/>
          <w:sz w:val="16"/>
        </w:rPr>
        <w:t>average</w:t>
      </w:r>
      <w:r>
        <w:rPr>
          <w:rFonts w:ascii="Segoe UI"/>
          <w:color w:val="231F20"/>
          <w:spacing w:val="-5"/>
          <w:sz w:val="16"/>
        </w:rPr>
        <w:t> </w:t>
      </w:r>
      <w:r>
        <w:rPr>
          <w:rFonts w:ascii="Segoe UI"/>
          <w:color w:val="231F20"/>
          <w:sz w:val="16"/>
        </w:rPr>
        <w:t>reported</w:t>
      </w:r>
      <w:r>
        <w:rPr>
          <w:rFonts w:ascii="Segoe UI"/>
          <w:sz w:val="16"/>
        </w:rPr>
      </w:r>
    </w:p>
    <w:p>
      <w:pPr>
        <w:spacing w:line="200" w:lineRule="exact" w:before="0"/>
        <w:ind w:left="667" w:right="0" w:firstLine="0"/>
        <w:jc w:val="left"/>
        <w:rPr>
          <w:rFonts w:ascii="Segoe UI" w:hAnsi="Segoe UI" w:cs="Segoe UI" w:eastAsia="Segoe UI"/>
          <w:sz w:val="16"/>
          <w:szCs w:val="16"/>
        </w:rPr>
      </w:pPr>
      <w:r>
        <w:rPr>
          <w:rFonts w:ascii="Segoe UI"/>
          <w:color w:val="231F20"/>
          <w:sz w:val="16"/>
        </w:rPr>
        <w:t>NAPLAN result for the five NAPLAN test</w:t>
      </w:r>
      <w:r>
        <w:rPr>
          <w:rFonts w:ascii="Segoe UI"/>
          <w:sz w:val="16"/>
        </w:rPr>
      </w:r>
    </w:p>
    <w:p>
      <w:pPr>
        <w:spacing w:line="200" w:lineRule="exact" w:before="6"/>
        <w:ind w:left="667" w:right="1" w:firstLine="0"/>
        <w:jc w:val="left"/>
        <w:rPr>
          <w:rFonts w:ascii="Segoe UI" w:hAnsi="Segoe UI" w:cs="Segoe UI" w:eastAsia="Segoe UI"/>
          <w:sz w:val="16"/>
          <w:szCs w:val="16"/>
        </w:rPr>
      </w:pPr>
      <w:r>
        <w:rPr>
          <w:rFonts w:ascii="Segoe UI" w:hAnsi="Segoe UI" w:cs="Segoe UI" w:eastAsia="Segoe UI"/>
          <w:color w:val="231F20"/>
          <w:sz w:val="16"/>
          <w:szCs w:val="16"/>
        </w:rPr>
        <w:t>domains</w:t>
      </w:r>
      <w:r>
        <w:rPr>
          <w:rFonts w:ascii="Segoe UI" w:hAnsi="Segoe UI" w:cs="Segoe UI" w:eastAsia="Segoe UI"/>
          <w:color w:val="231F20"/>
          <w:spacing w:val="-6"/>
          <w:sz w:val="16"/>
          <w:szCs w:val="16"/>
        </w:rPr>
        <w:t> </w:t>
      </w:r>
      <w:r>
        <w:rPr>
          <w:rFonts w:ascii="Segoe UI" w:hAnsi="Segoe UI" w:cs="Segoe UI" w:eastAsia="Segoe UI"/>
          <w:color w:val="231F20"/>
          <w:sz w:val="16"/>
          <w:szCs w:val="16"/>
        </w:rPr>
        <w:t>(reading,</w:t>
      </w:r>
      <w:r>
        <w:rPr>
          <w:rFonts w:ascii="Segoe UI" w:hAnsi="Segoe UI" w:cs="Segoe UI" w:eastAsia="Segoe UI"/>
          <w:color w:val="231F20"/>
          <w:spacing w:val="-5"/>
          <w:sz w:val="16"/>
          <w:szCs w:val="16"/>
        </w:rPr>
        <w:t> </w:t>
      </w:r>
      <w:r>
        <w:rPr>
          <w:rFonts w:ascii="Segoe UI" w:hAnsi="Segoe UI" w:cs="Segoe UI" w:eastAsia="Segoe UI"/>
          <w:color w:val="231F20"/>
          <w:sz w:val="16"/>
          <w:szCs w:val="16"/>
        </w:rPr>
        <w:t>writing,</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spelling,</w:t>
      </w:r>
      <w:r>
        <w:rPr>
          <w:rFonts w:ascii="Segoe UI" w:hAnsi="Segoe UI" w:cs="Segoe UI" w:eastAsia="Segoe UI"/>
          <w:color w:val="231F20"/>
          <w:spacing w:val="-4"/>
          <w:sz w:val="16"/>
          <w:szCs w:val="16"/>
        </w:rPr>
        <w:t> </w:t>
      </w:r>
      <w:r>
        <w:rPr>
          <w:rFonts w:ascii="Segoe UI" w:hAnsi="Segoe UI" w:cs="Segoe UI" w:eastAsia="Segoe UI"/>
          <w:color w:val="231F20"/>
          <w:sz w:val="16"/>
          <w:szCs w:val="16"/>
        </w:rPr>
        <w:t>grammar</w:t>
      </w:r>
      <w:r>
        <w:rPr>
          <w:rFonts w:ascii="Segoe UI" w:hAnsi="Segoe UI" w:cs="Segoe UI" w:eastAsia="Segoe UI"/>
          <w:color w:val="231F20"/>
          <w:spacing w:val="-5"/>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22"/>
          <w:w w:val="99"/>
          <w:sz w:val="16"/>
          <w:szCs w:val="16"/>
        </w:rPr>
        <w:t> </w:t>
      </w:r>
      <w:r>
        <w:rPr>
          <w:rFonts w:ascii="Segoe UI" w:hAnsi="Segoe UI" w:cs="Segoe UI" w:eastAsia="Segoe UI"/>
          <w:color w:val="231F20"/>
          <w:sz w:val="16"/>
          <w:szCs w:val="16"/>
        </w:rPr>
        <w:t>numeracy)</w:t>
      </w:r>
      <w:r>
        <w:rPr>
          <w:rFonts w:ascii="Segoe UI" w:hAnsi="Segoe UI" w:cs="Segoe UI" w:eastAsia="Segoe UI"/>
          <w:color w:val="231F20"/>
          <w:spacing w:val="-4"/>
          <w:sz w:val="16"/>
          <w:szCs w:val="16"/>
        </w:rPr>
        <w:t> </w:t>
      </w:r>
      <w:r>
        <w:rPr>
          <w:rFonts w:ascii="Segoe UI" w:hAnsi="Segoe UI" w:cs="Segoe UI" w:eastAsia="Segoe UI"/>
          <w:color w:val="231F20"/>
          <w:sz w:val="16"/>
          <w:szCs w:val="16"/>
        </w:rPr>
        <w:t>for</w:t>
      </w:r>
      <w:r>
        <w:rPr>
          <w:rFonts w:ascii="Segoe UI" w:hAnsi="Segoe UI" w:cs="Segoe UI" w:eastAsia="Segoe UI"/>
          <w:color w:val="231F20"/>
          <w:spacing w:val="-3"/>
          <w:sz w:val="16"/>
          <w:szCs w:val="16"/>
        </w:rPr>
        <w:t> </w:t>
      </w:r>
      <w:r>
        <w:rPr>
          <w:rFonts w:ascii="Segoe UI" w:hAnsi="Segoe UI" w:cs="Segoe UI" w:eastAsia="Segoe UI"/>
          <w:color w:val="231F20"/>
          <w:sz w:val="16"/>
          <w:szCs w:val="16"/>
        </w:rPr>
        <w:t>years</w:t>
      </w:r>
      <w:r>
        <w:rPr>
          <w:rFonts w:ascii="Segoe UI" w:hAnsi="Segoe UI" w:cs="Segoe UI" w:eastAsia="Segoe UI"/>
          <w:color w:val="231F20"/>
          <w:spacing w:val="-4"/>
          <w:sz w:val="16"/>
          <w:szCs w:val="16"/>
        </w:rPr>
        <w:t> </w:t>
      </w:r>
      <w:r>
        <w:rPr>
          <w:rFonts w:ascii="Segoe UI" w:hAnsi="Segoe UI" w:cs="Segoe UI" w:eastAsia="Segoe UI"/>
          <w:color w:val="231F20"/>
          <w:sz w:val="16"/>
          <w:szCs w:val="16"/>
        </w:rPr>
        <w:t>7</w:t>
      </w:r>
      <w:r>
        <w:rPr>
          <w:rFonts w:ascii="Segoe UI" w:hAnsi="Segoe UI" w:cs="Segoe UI" w:eastAsia="Segoe UI"/>
          <w:color w:val="231F20"/>
          <w:spacing w:val="-3"/>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9,</w:t>
      </w:r>
      <w:r>
        <w:rPr>
          <w:rFonts w:ascii="Segoe UI" w:hAnsi="Segoe UI" w:cs="Segoe UI" w:eastAsia="Segoe UI"/>
          <w:color w:val="231F20"/>
          <w:spacing w:val="-3"/>
          <w:sz w:val="16"/>
          <w:szCs w:val="16"/>
        </w:rPr>
        <w:t> </w:t>
      </w:r>
      <w:r>
        <w:rPr>
          <w:rFonts w:ascii="Segoe UI" w:hAnsi="Segoe UI" w:cs="Segoe UI" w:eastAsia="Segoe UI"/>
          <w:color w:val="231F20"/>
          <w:sz w:val="16"/>
          <w:szCs w:val="16"/>
        </w:rPr>
        <w:t>for</w:t>
      </w:r>
      <w:r>
        <w:rPr>
          <w:rFonts w:ascii="Segoe UI" w:hAnsi="Segoe UI" w:cs="Segoe UI" w:eastAsia="Segoe UI"/>
          <w:color w:val="231F20"/>
          <w:spacing w:val="-3"/>
          <w:sz w:val="16"/>
          <w:szCs w:val="16"/>
        </w:rPr>
        <w:t> </w:t>
      </w:r>
      <w:r>
        <w:rPr>
          <w:rFonts w:ascii="Segoe UI" w:hAnsi="Segoe UI" w:cs="Segoe UI" w:eastAsia="Segoe UI"/>
          <w:color w:val="231F20"/>
          <w:sz w:val="16"/>
          <w:szCs w:val="16"/>
        </w:rPr>
        <w:t>both</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2016</w:t>
      </w:r>
      <w:r>
        <w:rPr>
          <w:rFonts w:ascii="Segoe UI" w:hAnsi="Segoe UI" w:cs="Segoe UI" w:eastAsia="Segoe UI"/>
          <w:color w:val="231F20"/>
          <w:spacing w:val="-2"/>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22"/>
          <w:w w:val="99"/>
          <w:sz w:val="16"/>
          <w:szCs w:val="16"/>
        </w:rPr>
        <w:t> </w:t>
      </w:r>
      <w:r>
        <w:rPr>
          <w:rFonts w:ascii="Segoe UI" w:hAnsi="Segoe UI" w:cs="Segoe UI" w:eastAsia="Segoe UI"/>
          <w:color w:val="231F20"/>
          <w:spacing w:val="-1"/>
          <w:sz w:val="16"/>
          <w:szCs w:val="16"/>
        </w:rPr>
        <w:t>2017.</w:t>
      </w:r>
      <w:r>
        <w:rPr>
          <w:rFonts w:ascii="Segoe UI" w:hAnsi="Segoe UI" w:cs="Segoe UI" w:eastAsia="Segoe UI"/>
          <w:color w:val="231F20"/>
          <w:spacing w:val="-3"/>
          <w:sz w:val="16"/>
          <w:szCs w:val="16"/>
        </w:rPr>
        <w:t> </w:t>
      </w:r>
      <w:r>
        <w:rPr>
          <w:rFonts w:ascii="Segoe UI" w:hAnsi="Segoe UI" w:cs="Segoe UI" w:eastAsia="Segoe UI"/>
          <w:color w:val="231F20"/>
          <w:sz w:val="16"/>
          <w:szCs w:val="16"/>
        </w:rPr>
        <w:t>This</w:t>
      </w:r>
      <w:r>
        <w:rPr>
          <w:rFonts w:ascii="Segoe UI" w:hAnsi="Segoe UI" w:cs="Segoe UI" w:eastAsia="Segoe UI"/>
          <w:color w:val="231F20"/>
          <w:spacing w:val="-3"/>
          <w:sz w:val="16"/>
          <w:szCs w:val="16"/>
        </w:rPr>
        <w:t> </w:t>
      </w:r>
      <w:r>
        <w:rPr>
          <w:rFonts w:ascii="Segoe UI" w:hAnsi="Segoe UI" w:cs="Segoe UI" w:eastAsia="Segoe UI"/>
          <w:color w:val="231F20"/>
          <w:sz w:val="16"/>
          <w:szCs w:val="16"/>
        </w:rPr>
        <w:t>data</w:t>
      </w:r>
      <w:r>
        <w:rPr>
          <w:rFonts w:ascii="Segoe UI" w:hAnsi="Segoe UI" w:cs="Segoe UI" w:eastAsia="Segoe UI"/>
          <w:color w:val="231F20"/>
          <w:spacing w:val="-3"/>
          <w:sz w:val="16"/>
          <w:szCs w:val="16"/>
        </w:rPr>
        <w:t> </w:t>
      </w:r>
      <w:r>
        <w:rPr>
          <w:rFonts w:ascii="Segoe UI" w:hAnsi="Segoe UI" w:cs="Segoe UI" w:eastAsia="Segoe UI"/>
          <w:color w:val="231F20"/>
          <w:sz w:val="16"/>
          <w:szCs w:val="16"/>
        </w:rPr>
        <w:t>was</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sourced</w:t>
      </w:r>
      <w:r>
        <w:rPr>
          <w:rFonts w:ascii="Segoe UI" w:hAnsi="Segoe UI" w:cs="Segoe UI" w:eastAsia="Segoe UI"/>
          <w:color w:val="231F20"/>
          <w:spacing w:val="-3"/>
          <w:sz w:val="16"/>
          <w:szCs w:val="16"/>
        </w:rPr>
        <w:t> </w:t>
      </w:r>
      <w:r>
        <w:rPr>
          <w:rFonts w:ascii="Segoe UI" w:hAnsi="Segoe UI" w:cs="Segoe UI" w:eastAsia="Segoe UI"/>
          <w:color w:val="231F20"/>
          <w:sz w:val="16"/>
          <w:szCs w:val="16"/>
        </w:rPr>
        <w:t>from</w:t>
      </w:r>
      <w:r>
        <w:rPr>
          <w:rFonts w:ascii="Segoe UI" w:hAnsi="Segoe UI" w:cs="Segoe UI" w:eastAsia="Segoe UI"/>
          <w:color w:val="231F20"/>
          <w:spacing w:val="-2"/>
          <w:sz w:val="16"/>
          <w:szCs w:val="16"/>
        </w:rPr>
        <w:t> ACARA’s </w:t>
      </w:r>
      <w:r>
        <w:rPr>
          <w:rFonts w:ascii="Segoe UI" w:hAnsi="Segoe UI" w:cs="Segoe UI" w:eastAsia="Segoe UI"/>
          <w:color w:val="231F20"/>
          <w:sz w:val="16"/>
          <w:szCs w:val="16"/>
        </w:rPr>
        <w:t>My</w:t>
      </w:r>
      <w:r>
        <w:rPr>
          <w:rFonts w:ascii="Segoe UI" w:hAnsi="Segoe UI" w:cs="Segoe UI" w:eastAsia="Segoe UI"/>
          <w:color w:val="231F20"/>
          <w:spacing w:val="28"/>
          <w:w w:val="99"/>
          <w:sz w:val="16"/>
          <w:szCs w:val="16"/>
        </w:rPr>
        <w:t> </w:t>
      </w:r>
      <w:r>
        <w:rPr>
          <w:rFonts w:ascii="Segoe UI" w:hAnsi="Segoe UI" w:cs="Segoe UI" w:eastAsia="Segoe UI"/>
          <w:color w:val="231F20"/>
          <w:spacing w:val="-1"/>
          <w:sz w:val="16"/>
          <w:szCs w:val="16"/>
        </w:rPr>
        <w:t>School</w:t>
      </w:r>
      <w:r>
        <w:rPr>
          <w:rFonts w:ascii="Segoe UI" w:hAnsi="Segoe UI" w:cs="Segoe UI" w:eastAsia="Segoe UI"/>
          <w:color w:val="231F20"/>
          <w:spacing w:val="-6"/>
          <w:sz w:val="16"/>
          <w:szCs w:val="16"/>
        </w:rPr>
        <w:t> </w:t>
      </w:r>
      <w:r>
        <w:rPr>
          <w:rFonts w:ascii="Segoe UI" w:hAnsi="Segoe UI" w:cs="Segoe UI" w:eastAsia="Segoe UI"/>
          <w:color w:val="231F20"/>
          <w:sz w:val="16"/>
          <w:szCs w:val="16"/>
        </w:rPr>
        <w:t>website</w:t>
      </w:r>
      <w:r>
        <w:rPr>
          <w:rFonts w:ascii="Segoe UI" w:hAnsi="Segoe UI" w:cs="Segoe UI" w:eastAsia="Segoe UI"/>
          <w:sz w:val="16"/>
          <w:szCs w:val="16"/>
        </w:rPr>
      </w:r>
    </w:p>
    <w:p>
      <w:pPr>
        <w:numPr>
          <w:ilvl w:val="0"/>
          <w:numId w:val="8"/>
        </w:numPr>
        <w:tabs>
          <w:tab w:pos="668" w:val="left" w:leader="none"/>
        </w:tabs>
        <w:spacing w:line="200" w:lineRule="exact" w:before="113"/>
        <w:ind w:left="667" w:right="57" w:hanging="567"/>
        <w:jc w:val="left"/>
        <w:rPr>
          <w:rFonts w:ascii="Segoe UI" w:hAnsi="Segoe UI" w:cs="Segoe UI" w:eastAsia="Segoe UI"/>
          <w:sz w:val="16"/>
          <w:szCs w:val="16"/>
        </w:rPr>
      </w:pPr>
      <w:hyperlink r:id="rId109">
        <w:r>
          <w:rPr>
            <w:rFonts w:ascii="Segoe UI"/>
            <w:color w:val="231F20"/>
            <w:spacing w:val="-1"/>
            <w:sz w:val="16"/>
          </w:rPr>
          <w:t>http://www.abs.gov.au/websitedbs/D3310114.nsf/</w:t>
        </w:r>
      </w:hyperlink>
      <w:r>
        <w:rPr>
          <w:rFonts w:ascii="Segoe UI"/>
          <w:color w:val="231F20"/>
          <w:spacing w:val="50"/>
          <w:sz w:val="16"/>
        </w:rPr>
        <w:t> </w:t>
      </w:r>
      <w:r>
        <w:rPr>
          <w:rFonts w:ascii="Segoe UI"/>
          <w:color w:val="231F20"/>
          <w:sz w:val="16"/>
        </w:rPr>
        <w:t>home/remoteness+structure</w:t>
      </w:r>
      <w:r>
        <w:rPr>
          <w:rFonts w:ascii="Segoe UI"/>
          <w:sz w:val="16"/>
        </w:rPr>
      </w:r>
    </w:p>
    <w:p>
      <w:pPr>
        <w:numPr>
          <w:ilvl w:val="0"/>
          <w:numId w:val="8"/>
        </w:numPr>
        <w:tabs>
          <w:tab w:pos="668" w:val="left" w:leader="none"/>
        </w:tabs>
        <w:spacing w:line="200" w:lineRule="exact" w:before="70"/>
        <w:ind w:left="667" w:right="516" w:hanging="567"/>
        <w:jc w:val="left"/>
        <w:rPr>
          <w:rFonts w:ascii="Segoe UI" w:hAnsi="Segoe UI" w:cs="Segoe UI" w:eastAsia="Segoe UI"/>
          <w:sz w:val="16"/>
          <w:szCs w:val="16"/>
        </w:rPr>
      </w:pPr>
      <w:r>
        <w:rPr>
          <w:rFonts w:ascii="Segoe UI"/>
          <w:color w:val="231F20"/>
          <w:sz w:val="16"/>
        </w:rPr>
        <w:br w:type="column"/>
      </w:r>
      <w:r>
        <w:rPr>
          <w:rFonts w:ascii="Segoe UI"/>
          <w:color w:val="231F20"/>
          <w:spacing w:val="-1"/>
          <w:sz w:val="16"/>
        </w:rPr>
        <w:t>Data</w:t>
      </w:r>
      <w:r>
        <w:rPr>
          <w:rFonts w:ascii="Segoe UI"/>
          <w:color w:val="231F20"/>
          <w:spacing w:val="-4"/>
          <w:sz w:val="16"/>
        </w:rPr>
        <w:t> </w:t>
      </w:r>
      <w:r>
        <w:rPr>
          <w:rFonts w:ascii="Segoe UI"/>
          <w:color w:val="231F20"/>
          <w:spacing w:val="-1"/>
          <w:sz w:val="16"/>
        </w:rPr>
        <w:t>supplied</w:t>
      </w:r>
      <w:r>
        <w:rPr>
          <w:rFonts w:ascii="Segoe UI"/>
          <w:color w:val="231F20"/>
          <w:spacing w:val="-4"/>
          <w:sz w:val="16"/>
        </w:rPr>
        <w:t> </w:t>
      </w:r>
      <w:r>
        <w:rPr>
          <w:rFonts w:ascii="Segoe UI"/>
          <w:color w:val="231F20"/>
          <w:sz w:val="16"/>
        </w:rPr>
        <w:t>by</w:t>
      </w:r>
      <w:r>
        <w:rPr>
          <w:rFonts w:ascii="Segoe UI"/>
          <w:color w:val="231F20"/>
          <w:spacing w:val="-4"/>
          <w:sz w:val="16"/>
        </w:rPr>
        <w:t> </w:t>
      </w:r>
      <w:r>
        <w:rPr>
          <w:rFonts w:ascii="Segoe UI"/>
          <w:color w:val="231F20"/>
          <w:sz w:val="16"/>
        </w:rPr>
        <w:t>the</w:t>
      </w:r>
      <w:r>
        <w:rPr>
          <w:rFonts w:ascii="Segoe UI"/>
          <w:color w:val="231F20"/>
          <w:spacing w:val="-4"/>
          <w:sz w:val="16"/>
        </w:rPr>
        <w:t> </w:t>
      </w:r>
      <w:r>
        <w:rPr>
          <w:rFonts w:ascii="Segoe UI"/>
          <w:color w:val="231F20"/>
          <w:spacing w:val="-1"/>
          <w:sz w:val="16"/>
        </w:rPr>
        <w:t>Department</w:t>
      </w:r>
      <w:r>
        <w:rPr>
          <w:rFonts w:ascii="Segoe UI"/>
          <w:color w:val="231F20"/>
          <w:spacing w:val="-4"/>
          <w:sz w:val="16"/>
        </w:rPr>
        <w:t> </w:t>
      </w:r>
      <w:r>
        <w:rPr>
          <w:rFonts w:ascii="Segoe UI"/>
          <w:color w:val="231F20"/>
          <w:sz w:val="16"/>
        </w:rPr>
        <w:t>of</w:t>
      </w:r>
      <w:r>
        <w:rPr>
          <w:rFonts w:ascii="Segoe UI"/>
          <w:color w:val="231F20"/>
          <w:spacing w:val="-4"/>
          <w:sz w:val="16"/>
        </w:rPr>
        <w:t> </w:t>
      </w:r>
      <w:r>
        <w:rPr>
          <w:rFonts w:ascii="Segoe UI"/>
          <w:color w:val="231F20"/>
          <w:sz w:val="16"/>
        </w:rPr>
        <w:t>Human</w:t>
      </w:r>
      <w:r>
        <w:rPr>
          <w:rFonts w:ascii="Segoe UI"/>
          <w:color w:val="231F20"/>
          <w:spacing w:val="27"/>
          <w:w w:val="99"/>
          <w:sz w:val="16"/>
        </w:rPr>
        <w:t> </w:t>
      </w:r>
      <w:r>
        <w:rPr>
          <w:rFonts w:ascii="Segoe UI"/>
          <w:color w:val="231F20"/>
          <w:spacing w:val="-1"/>
          <w:sz w:val="16"/>
        </w:rPr>
        <w:t>Services</w:t>
      </w:r>
      <w:r>
        <w:rPr>
          <w:rFonts w:ascii="Segoe UI"/>
          <w:color w:val="231F20"/>
          <w:spacing w:val="-3"/>
          <w:sz w:val="16"/>
        </w:rPr>
        <w:t> </w:t>
      </w:r>
      <w:r>
        <w:rPr>
          <w:rFonts w:ascii="Segoe UI"/>
          <w:color w:val="231F20"/>
          <w:sz w:val="16"/>
        </w:rPr>
        <w:t>of</w:t>
      </w:r>
      <w:r>
        <w:rPr>
          <w:rFonts w:ascii="Segoe UI"/>
          <w:color w:val="231F20"/>
          <w:spacing w:val="-3"/>
          <w:sz w:val="16"/>
        </w:rPr>
        <w:t> </w:t>
      </w:r>
      <w:r>
        <w:rPr>
          <w:rFonts w:ascii="Segoe UI"/>
          <w:color w:val="231F20"/>
          <w:spacing w:val="-1"/>
          <w:sz w:val="16"/>
        </w:rPr>
        <w:t>215</w:t>
      </w:r>
      <w:r>
        <w:rPr>
          <w:rFonts w:ascii="Segoe UI"/>
          <w:color w:val="231F20"/>
          <w:spacing w:val="-3"/>
          <w:sz w:val="16"/>
        </w:rPr>
        <w:t> </w:t>
      </w:r>
      <w:r>
        <w:rPr>
          <w:rFonts w:ascii="Segoe UI"/>
          <w:color w:val="231F20"/>
          <w:spacing w:val="-1"/>
          <w:sz w:val="16"/>
        </w:rPr>
        <w:t>schools</w:t>
      </w:r>
      <w:r>
        <w:rPr>
          <w:rFonts w:ascii="Segoe UI"/>
          <w:color w:val="231F20"/>
          <w:spacing w:val="-3"/>
          <w:sz w:val="16"/>
        </w:rPr>
        <w:t> </w:t>
      </w:r>
      <w:r>
        <w:rPr>
          <w:rFonts w:ascii="Segoe UI"/>
          <w:color w:val="231F20"/>
          <w:sz w:val="16"/>
        </w:rPr>
        <w:t>and</w:t>
      </w:r>
      <w:r>
        <w:rPr>
          <w:rFonts w:ascii="Segoe UI"/>
          <w:color w:val="231F20"/>
          <w:spacing w:val="-4"/>
          <w:sz w:val="16"/>
        </w:rPr>
        <w:t> </w:t>
      </w:r>
      <w:r>
        <w:rPr>
          <w:rFonts w:ascii="Segoe UI"/>
          <w:color w:val="231F20"/>
          <w:sz w:val="16"/>
        </w:rPr>
        <w:t>boarding</w:t>
      </w:r>
      <w:r>
        <w:rPr>
          <w:rFonts w:ascii="Segoe UI"/>
          <w:color w:val="231F20"/>
          <w:spacing w:val="-4"/>
          <w:sz w:val="16"/>
        </w:rPr>
        <w:t> </w:t>
      </w:r>
      <w:r>
        <w:rPr>
          <w:rFonts w:ascii="Segoe UI"/>
          <w:color w:val="231F20"/>
          <w:sz w:val="16"/>
        </w:rPr>
        <w:t>providers</w:t>
      </w:r>
      <w:r>
        <w:rPr>
          <w:rFonts w:ascii="Segoe UI"/>
          <w:color w:val="231F20"/>
          <w:spacing w:val="24"/>
          <w:w w:val="99"/>
          <w:sz w:val="16"/>
        </w:rPr>
        <w:t> </w:t>
      </w:r>
      <w:r>
        <w:rPr>
          <w:rFonts w:ascii="Segoe UI"/>
          <w:color w:val="231F20"/>
          <w:sz w:val="16"/>
        </w:rPr>
        <w:t>that</w:t>
      </w:r>
      <w:r>
        <w:rPr>
          <w:rFonts w:ascii="Segoe UI"/>
          <w:color w:val="231F20"/>
          <w:spacing w:val="-4"/>
          <w:sz w:val="16"/>
        </w:rPr>
        <w:t> </w:t>
      </w:r>
      <w:r>
        <w:rPr>
          <w:rFonts w:ascii="Segoe UI"/>
          <w:color w:val="231F20"/>
          <w:sz w:val="16"/>
        </w:rPr>
        <w:t>receive</w:t>
      </w:r>
      <w:r>
        <w:rPr>
          <w:rFonts w:ascii="Segoe UI"/>
          <w:color w:val="231F20"/>
          <w:spacing w:val="-4"/>
          <w:sz w:val="16"/>
        </w:rPr>
        <w:t> </w:t>
      </w:r>
      <w:r>
        <w:rPr>
          <w:rFonts w:ascii="Segoe UI"/>
          <w:color w:val="231F20"/>
          <w:sz w:val="16"/>
        </w:rPr>
        <w:t>ABSTUDY</w:t>
      </w:r>
      <w:r>
        <w:rPr>
          <w:rFonts w:ascii="Segoe UI"/>
          <w:color w:val="231F20"/>
          <w:spacing w:val="-3"/>
          <w:sz w:val="16"/>
        </w:rPr>
        <w:t> </w:t>
      </w:r>
      <w:r>
        <w:rPr>
          <w:rFonts w:ascii="Segoe UI"/>
          <w:color w:val="231F20"/>
          <w:sz w:val="16"/>
        </w:rPr>
        <w:t>payments</w:t>
      </w:r>
      <w:r>
        <w:rPr>
          <w:rFonts w:ascii="Segoe UI"/>
          <w:color w:val="231F20"/>
          <w:spacing w:val="-4"/>
          <w:sz w:val="16"/>
        </w:rPr>
        <w:t> </w:t>
      </w:r>
      <w:r>
        <w:rPr>
          <w:rFonts w:ascii="Segoe UI"/>
          <w:color w:val="231F20"/>
          <w:spacing w:val="-1"/>
          <w:sz w:val="16"/>
        </w:rPr>
        <w:t>in</w:t>
      </w:r>
      <w:r>
        <w:rPr>
          <w:rFonts w:ascii="Segoe UI"/>
          <w:color w:val="231F20"/>
          <w:spacing w:val="-2"/>
          <w:sz w:val="16"/>
        </w:rPr>
        <w:t> </w:t>
      </w:r>
      <w:r>
        <w:rPr>
          <w:rFonts w:ascii="Segoe UI"/>
          <w:color w:val="231F20"/>
          <w:spacing w:val="-1"/>
          <w:sz w:val="16"/>
        </w:rPr>
        <w:t>2018</w:t>
      </w:r>
      <w:r>
        <w:rPr>
          <w:rFonts w:ascii="Segoe UI"/>
          <w:color w:val="231F20"/>
          <w:spacing w:val="-3"/>
          <w:sz w:val="16"/>
        </w:rPr>
        <w:t> </w:t>
      </w:r>
      <w:r>
        <w:rPr>
          <w:rFonts w:ascii="Segoe UI"/>
          <w:color w:val="231F20"/>
          <w:sz w:val="16"/>
        </w:rPr>
        <w:t>for</w:t>
      </w:r>
      <w:r>
        <w:rPr>
          <w:rFonts w:ascii="Segoe UI"/>
          <w:color w:val="231F20"/>
          <w:spacing w:val="22"/>
          <w:w w:val="99"/>
          <w:sz w:val="16"/>
        </w:rPr>
        <w:t> </w:t>
      </w:r>
      <w:r>
        <w:rPr>
          <w:rFonts w:ascii="Segoe UI"/>
          <w:color w:val="231F20"/>
          <w:spacing w:val="-1"/>
          <w:sz w:val="16"/>
        </w:rPr>
        <w:t>students</w:t>
      </w:r>
      <w:r>
        <w:rPr>
          <w:rFonts w:ascii="Segoe UI"/>
          <w:color w:val="231F20"/>
          <w:spacing w:val="-4"/>
          <w:sz w:val="16"/>
        </w:rPr>
        <w:t> </w:t>
      </w:r>
      <w:r>
        <w:rPr>
          <w:rFonts w:ascii="Segoe UI"/>
          <w:color w:val="231F20"/>
          <w:spacing w:val="-1"/>
          <w:sz w:val="16"/>
        </w:rPr>
        <w:t>studying</w:t>
      </w:r>
      <w:r>
        <w:rPr>
          <w:rFonts w:ascii="Segoe UI"/>
          <w:color w:val="231F20"/>
          <w:spacing w:val="-3"/>
          <w:sz w:val="16"/>
        </w:rPr>
        <w:t> </w:t>
      </w:r>
      <w:r>
        <w:rPr>
          <w:rFonts w:ascii="Segoe UI"/>
          <w:color w:val="231F20"/>
          <w:sz w:val="16"/>
        </w:rPr>
        <w:t>away</w:t>
      </w:r>
      <w:r>
        <w:rPr>
          <w:rFonts w:ascii="Segoe UI"/>
          <w:color w:val="231F20"/>
          <w:spacing w:val="-4"/>
          <w:sz w:val="16"/>
        </w:rPr>
        <w:t> </w:t>
      </w:r>
      <w:r>
        <w:rPr>
          <w:rFonts w:ascii="Segoe UI"/>
          <w:color w:val="231F20"/>
          <w:sz w:val="16"/>
        </w:rPr>
        <w:t>from</w:t>
      </w:r>
      <w:r>
        <w:rPr>
          <w:rFonts w:ascii="Segoe UI"/>
          <w:color w:val="231F20"/>
          <w:spacing w:val="-3"/>
          <w:sz w:val="16"/>
        </w:rPr>
        <w:t> </w:t>
      </w:r>
      <w:r>
        <w:rPr>
          <w:rFonts w:ascii="Segoe UI"/>
          <w:color w:val="231F20"/>
          <w:sz w:val="16"/>
        </w:rPr>
        <w:t>home</w:t>
      </w:r>
      <w:r>
        <w:rPr>
          <w:rFonts w:ascii="Segoe UI"/>
          <w:sz w:val="16"/>
        </w:rPr>
      </w:r>
    </w:p>
    <w:p>
      <w:pPr>
        <w:numPr>
          <w:ilvl w:val="0"/>
          <w:numId w:val="8"/>
        </w:numPr>
        <w:tabs>
          <w:tab w:pos="668" w:val="left" w:leader="none"/>
        </w:tabs>
        <w:spacing w:line="200" w:lineRule="exact" w:before="113"/>
        <w:ind w:left="667" w:right="449" w:hanging="567"/>
        <w:jc w:val="left"/>
        <w:rPr>
          <w:rFonts w:ascii="Segoe UI" w:hAnsi="Segoe UI" w:cs="Segoe UI" w:eastAsia="Segoe UI"/>
          <w:sz w:val="16"/>
          <w:szCs w:val="16"/>
        </w:rPr>
      </w:pPr>
      <w:r>
        <w:rPr>
          <w:rFonts w:ascii="Segoe UI" w:hAnsi="Segoe UI" w:cs="Segoe UI" w:eastAsia="Segoe UI"/>
          <w:color w:val="231F20"/>
          <w:spacing w:val="-1"/>
          <w:sz w:val="16"/>
          <w:szCs w:val="16"/>
        </w:rPr>
        <w:t>Special</w:t>
      </w:r>
      <w:r>
        <w:rPr>
          <w:rFonts w:ascii="Segoe UI" w:hAnsi="Segoe UI" w:cs="Segoe UI" w:eastAsia="Segoe UI"/>
          <w:color w:val="231F20"/>
          <w:spacing w:val="-4"/>
          <w:sz w:val="16"/>
          <w:szCs w:val="16"/>
        </w:rPr>
        <w:t> </w:t>
      </w:r>
      <w:r>
        <w:rPr>
          <w:rFonts w:ascii="Segoe UI" w:hAnsi="Segoe UI" w:cs="Segoe UI" w:eastAsia="Segoe UI"/>
          <w:color w:val="231F20"/>
          <w:sz w:val="16"/>
          <w:szCs w:val="16"/>
        </w:rPr>
        <w:t>assistance</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schools</w:t>
      </w:r>
      <w:r>
        <w:rPr>
          <w:rFonts w:ascii="Segoe UI" w:hAnsi="Segoe UI" w:cs="Segoe UI" w:eastAsia="Segoe UI"/>
          <w:color w:val="231F20"/>
          <w:spacing w:val="-3"/>
          <w:sz w:val="16"/>
          <w:szCs w:val="16"/>
        </w:rPr>
        <w:t> </w:t>
      </w:r>
      <w:r>
        <w:rPr>
          <w:rFonts w:ascii="Segoe UI" w:hAnsi="Segoe UI" w:cs="Segoe UI" w:eastAsia="Segoe UI"/>
          <w:color w:val="231F20"/>
          <w:sz w:val="16"/>
          <w:szCs w:val="16"/>
        </w:rPr>
        <w:t>‘provide</w:t>
      </w:r>
      <w:r>
        <w:rPr>
          <w:rFonts w:ascii="Segoe UI" w:hAnsi="Segoe UI" w:cs="Segoe UI" w:eastAsia="Segoe UI"/>
          <w:color w:val="231F20"/>
          <w:spacing w:val="-4"/>
          <w:sz w:val="16"/>
          <w:szCs w:val="16"/>
        </w:rPr>
        <w:t> </w:t>
      </w:r>
      <w:r>
        <w:rPr>
          <w:rFonts w:ascii="Segoe UI" w:hAnsi="Segoe UI" w:cs="Segoe UI" w:eastAsia="Segoe UI"/>
          <w:color w:val="231F20"/>
          <w:sz w:val="16"/>
          <w:szCs w:val="16"/>
        </w:rPr>
        <w:t>alternative</w:t>
      </w:r>
      <w:r>
        <w:rPr>
          <w:rFonts w:ascii="Segoe UI" w:hAnsi="Segoe UI" w:cs="Segoe UI" w:eastAsia="Segoe UI"/>
          <w:color w:val="231F20"/>
          <w:spacing w:val="23"/>
          <w:w w:val="99"/>
          <w:sz w:val="16"/>
          <w:szCs w:val="16"/>
        </w:rPr>
        <w:t> </w:t>
      </w:r>
      <w:r>
        <w:rPr>
          <w:rFonts w:ascii="Segoe UI" w:hAnsi="Segoe UI" w:cs="Segoe UI" w:eastAsia="Segoe UI"/>
          <w:color w:val="231F20"/>
          <w:sz w:val="16"/>
          <w:szCs w:val="16"/>
        </w:rPr>
        <w:t>educational</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settings</w:t>
      </w:r>
      <w:r>
        <w:rPr>
          <w:rFonts w:ascii="Segoe UI" w:hAnsi="Segoe UI" w:cs="Segoe UI" w:eastAsia="Segoe UI"/>
          <w:color w:val="231F20"/>
          <w:spacing w:val="-3"/>
          <w:sz w:val="16"/>
          <w:szCs w:val="16"/>
        </w:rPr>
        <w:t> </w:t>
      </w:r>
      <w:r>
        <w:rPr>
          <w:rFonts w:ascii="Segoe UI" w:hAnsi="Segoe UI" w:cs="Segoe UI" w:eastAsia="Segoe UI"/>
          <w:color w:val="231F20"/>
          <w:sz w:val="16"/>
          <w:szCs w:val="16"/>
        </w:rPr>
        <w:t>for</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students</w:t>
      </w:r>
      <w:r>
        <w:rPr>
          <w:rFonts w:ascii="Segoe UI" w:hAnsi="Segoe UI" w:cs="Segoe UI" w:eastAsia="Segoe UI"/>
          <w:color w:val="231F20"/>
          <w:spacing w:val="-3"/>
          <w:sz w:val="16"/>
          <w:szCs w:val="16"/>
        </w:rPr>
        <w:t> </w:t>
      </w:r>
      <w:r>
        <w:rPr>
          <w:rFonts w:ascii="Segoe UI" w:hAnsi="Segoe UI" w:cs="Segoe UI" w:eastAsia="Segoe UI"/>
          <w:color w:val="231F20"/>
          <w:sz w:val="16"/>
          <w:szCs w:val="16"/>
        </w:rPr>
        <w:t>with</w:t>
      </w:r>
      <w:r>
        <w:rPr>
          <w:rFonts w:ascii="Segoe UI" w:hAnsi="Segoe UI" w:cs="Segoe UI" w:eastAsia="Segoe UI"/>
          <w:color w:val="231F20"/>
          <w:spacing w:val="-4"/>
          <w:sz w:val="16"/>
          <w:szCs w:val="16"/>
        </w:rPr>
        <w:t> </w:t>
      </w:r>
      <w:r>
        <w:rPr>
          <w:rFonts w:ascii="Segoe UI" w:hAnsi="Segoe UI" w:cs="Segoe UI" w:eastAsia="Segoe UI"/>
          <w:color w:val="231F20"/>
          <w:sz w:val="16"/>
          <w:szCs w:val="16"/>
        </w:rPr>
        <w:t>high-level</w:t>
      </w:r>
      <w:r>
        <w:rPr>
          <w:rFonts w:ascii="Segoe UI" w:hAnsi="Segoe UI" w:cs="Segoe UI" w:eastAsia="Segoe UI"/>
          <w:color w:val="231F20"/>
          <w:spacing w:val="23"/>
          <w:sz w:val="16"/>
          <w:szCs w:val="16"/>
        </w:rPr>
        <w:t> </w:t>
      </w:r>
      <w:r>
        <w:rPr>
          <w:rFonts w:ascii="Segoe UI" w:hAnsi="Segoe UI" w:cs="Segoe UI" w:eastAsia="Segoe UI"/>
          <w:color w:val="231F20"/>
          <w:sz w:val="16"/>
          <w:szCs w:val="16"/>
        </w:rPr>
        <w:t>needs,</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such</w:t>
      </w:r>
      <w:r>
        <w:rPr>
          <w:rFonts w:ascii="Segoe UI" w:hAnsi="Segoe UI" w:cs="Segoe UI" w:eastAsia="Segoe UI"/>
          <w:color w:val="231F20"/>
          <w:spacing w:val="-2"/>
          <w:sz w:val="16"/>
          <w:szCs w:val="16"/>
        </w:rPr>
        <w:t> </w:t>
      </w:r>
      <w:r>
        <w:rPr>
          <w:rFonts w:ascii="Segoe UI" w:hAnsi="Segoe UI" w:cs="Segoe UI" w:eastAsia="Segoe UI"/>
          <w:color w:val="231F20"/>
          <w:sz w:val="16"/>
          <w:szCs w:val="16"/>
        </w:rPr>
        <w:t>as</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severe</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social,</w:t>
      </w:r>
      <w:r>
        <w:rPr>
          <w:rFonts w:ascii="Segoe UI" w:hAnsi="Segoe UI" w:cs="Segoe UI" w:eastAsia="Segoe UI"/>
          <w:color w:val="231F20"/>
          <w:spacing w:val="-2"/>
          <w:sz w:val="16"/>
          <w:szCs w:val="16"/>
        </w:rPr>
        <w:t> </w:t>
      </w:r>
      <w:r>
        <w:rPr>
          <w:rFonts w:ascii="Segoe UI" w:hAnsi="Segoe UI" w:cs="Segoe UI" w:eastAsia="Segoe UI"/>
          <w:color w:val="231F20"/>
          <w:sz w:val="16"/>
          <w:szCs w:val="16"/>
        </w:rPr>
        <w:t>emotional</w:t>
      </w:r>
      <w:r>
        <w:rPr>
          <w:rFonts w:ascii="Segoe UI" w:hAnsi="Segoe UI" w:cs="Segoe UI" w:eastAsia="Segoe UI"/>
          <w:color w:val="231F20"/>
          <w:spacing w:val="-3"/>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24"/>
          <w:w w:val="99"/>
          <w:sz w:val="16"/>
          <w:szCs w:val="16"/>
        </w:rPr>
        <w:t> </w:t>
      </w:r>
      <w:r>
        <w:rPr>
          <w:rFonts w:ascii="Segoe UI" w:hAnsi="Segoe UI" w:cs="Segoe UI" w:eastAsia="Segoe UI"/>
          <w:color w:val="231F20"/>
          <w:sz w:val="16"/>
          <w:szCs w:val="16"/>
        </w:rPr>
        <w:t>behavioural</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issues,</w:t>
      </w:r>
      <w:r>
        <w:rPr>
          <w:rFonts w:ascii="Segoe UI" w:hAnsi="Segoe UI" w:cs="Segoe UI" w:eastAsia="Segoe UI"/>
          <w:color w:val="231F20"/>
          <w:spacing w:val="-3"/>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4"/>
          <w:sz w:val="16"/>
          <w:szCs w:val="16"/>
        </w:rPr>
        <w:t> </w:t>
      </w:r>
      <w:r>
        <w:rPr>
          <w:rFonts w:ascii="Segoe UI" w:hAnsi="Segoe UI" w:cs="Segoe UI" w:eastAsia="Segoe UI"/>
          <w:color w:val="231F20"/>
          <w:sz w:val="16"/>
          <w:szCs w:val="16"/>
        </w:rPr>
        <w:t>cater</w:t>
      </w:r>
      <w:r>
        <w:rPr>
          <w:rFonts w:ascii="Segoe UI" w:hAnsi="Segoe UI" w:cs="Segoe UI" w:eastAsia="Segoe UI"/>
          <w:color w:val="231F20"/>
          <w:spacing w:val="-3"/>
          <w:sz w:val="16"/>
          <w:szCs w:val="16"/>
        </w:rPr>
        <w:t> </w:t>
      </w:r>
      <w:r>
        <w:rPr>
          <w:rFonts w:ascii="Segoe UI" w:hAnsi="Segoe UI" w:cs="Segoe UI" w:eastAsia="Segoe UI"/>
          <w:color w:val="231F20"/>
          <w:sz w:val="16"/>
          <w:szCs w:val="16"/>
        </w:rPr>
        <w:t>for</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students</w:t>
      </w:r>
      <w:r>
        <w:rPr>
          <w:rFonts w:ascii="Segoe UI" w:hAnsi="Segoe UI" w:cs="Segoe UI" w:eastAsia="Segoe UI"/>
          <w:color w:val="231F20"/>
          <w:spacing w:val="-3"/>
          <w:sz w:val="16"/>
          <w:szCs w:val="16"/>
        </w:rPr>
        <w:t> </w:t>
      </w:r>
      <w:r>
        <w:rPr>
          <w:rFonts w:ascii="Segoe UI" w:hAnsi="Segoe UI" w:cs="Segoe UI" w:eastAsia="Segoe UI"/>
          <w:color w:val="231F20"/>
          <w:sz w:val="16"/>
          <w:szCs w:val="16"/>
        </w:rPr>
        <w:t>with</w:t>
      </w:r>
      <w:r>
        <w:rPr>
          <w:rFonts w:ascii="Segoe UI" w:hAnsi="Segoe UI" w:cs="Segoe UI" w:eastAsia="Segoe UI"/>
          <w:color w:val="231F20"/>
          <w:spacing w:val="23"/>
          <w:w w:val="99"/>
          <w:sz w:val="16"/>
          <w:szCs w:val="16"/>
        </w:rPr>
        <w:t> </w:t>
      </w:r>
      <w:r>
        <w:rPr>
          <w:rFonts w:ascii="Segoe UI" w:hAnsi="Segoe UI" w:cs="Segoe UI" w:eastAsia="Segoe UI"/>
          <w:color w:val="231F20"/>
          <w:sz w:val="16"/>
          <w:szCs w:val="16"/>
        </w:rPr>
        <w:t>disability,</w:t>
      </w:r>
      <w:r>
        <w:rPr>
          <w:rFonts w:ascii="Segoe UI" w:hAnsi="Segoe UI" w:cs="Segoe UI" w:eastAsia="Segoe UI"/>
          <w:color w:val="231F20"/>
          <w:spacing w:val="-3"/>
          <w:sz w:val="16"/>
          <w:szCs w:val="16"/>
        </w:rPr>
        <w:t> </w:t>
      </w:r>
      <w:r>
        <w:rPr>
          <w:rFonts w:ascii="Segoe UI" w:hAnsi="Segoe UI" w:cs="Segoe UI" w:eastAsia="Segoe UI"/>
          <w:color w:val="231F20"/>
          <w:sz w:val="16"/>
          <w:szCs w:val="16"/>
        </w:rPr>
        <w:t>as</w:t>
      </w:r>
      <w:r>
        <w:rPr>
          <w:rFonts w:ascii="Segoe UI" w:hAnsi="Segoe UI" w:cs="Segoe UI" w:eastAsia="Segoe UI"/>
          <w:color w:val="231F20"/>
          <w:spacing w:val="-2"/>
          <w:sz w:val="16"/>
          <w:szCs w:val="16"/>
        </w:rPr>
        <w:t> </w:t>
      </w:r>
      <w:r>
        <w:rPr>
          <w:rFonts w:ascii="Segoe UI" w:hAnsi="Segoe UI" w:cs="Segoe UI" w:eastAsia="Segoe UI"/>
          <w:color w:val="231F20"/>
          <w:sz w:val="16"/>
          <w:szCs w:val="16"/>
        </w:rPr>
        <w:t>well</w:t>
      </w:r>
      <w:r>
        <w:rPr>
          <w:rFonts w:ascii="Segoe UI" w:hAnsi="Segoe UI" w:cs="Segoe UI" w:eastAsia="Segoe UI"/>
          <w:color w:val="231F20"/>
          <w:spacing w:val="-2"/>
          <w:sz w:val="16"/>
          <w:szCs w:val="16"/>
        </w:rPr>
        <w:t> </w:t>
      </w:r>
      <w:r>
        <w:rPr>
          <w:rFonts w:ascii="Segoe UI" w:hAnsi="Segoe UI" w:cs="Segoe UI" w:eastAsia="Segoe UI"/>
          <w:color w:val="231F20"/>
          <w:sz w:val="16"/>
          <w:szCs w:val="16"/>
        </w:rPr>
        <w:t>as</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students </w:t>
      </w:r>
      <w:r>
        <w:rPr>
          <w:rFonts w:ascii="Segoe UI" w:hAnsi="Segoe UI" w:cs="Segoe UI" w:eastAsia="Segoe UI"/>
          <w:color w:val="231F20"/>
          <w:sz w:val="16"/>
          <w:szCs w:val="16"/>
        </w:rPr>
        <w:t>who</w:t>
      </w:r>
      <w:r>
        <w:rPr>
          <w:rFonts w:ascii="Segoe UI" w:hAnsi="Segoe UI" w:cs="Segoe UI" w:eastAsia="Segoe UI"/>
          <w:color w:val="231F20"/>
          <w:spacing w:val="-3"/>
          <w:sz w:val="16"/>
          <w:szCs w:val="16"/>
        </w:rPr>
        <w:t> </w:t>
      </w:r>
      <w:r>
        <w:rPr>
          <w:rFonts w:ascii="Segoe UI" w:hAnsi="Segoe UI" w:cs="Segoe UI" w:eastAsia="Segoe UI"/>
          <w:color w:val="231F20"/>
          <w:sz w:val="16"/>
          <w:szCs w:val="16"/>
        </w:rPr>
        <w:t>are</w:t>
      </w:r>
      <w:r>
        <w:rPr>
          <w:rFonts w:ascii="Segoe UI" w:hAnsi="Segoe UI" w:cs="Segoe UI" w:eastAsia="Segoe UI"/>
          <w:color w:val="231F20"/>
          <w:spacing w:val="-2"/>
          <w:sz w:val="16"/>
          <w:szCs w:val="16"/>
        </w:rPr>
        <w:t> </w:t>
      </w:r>
      <w:r>
        <w:rPr>
          <w:rFonts w:ascii="Segoe UI" w:hAnsi="Segoe UI" w:cs="Segoe UI" w:eastAsia="Segoe UI"/>
          <w:color w:val="231F20"/>
          <w:sz w:val="16"/>
          <w:szCs w:val="16"/>
        </w:rPr>
        <w:t>at</w:t>
      </w:r>
      <w:r>
        <w:rPr>
          <w:rFonts w:ascii="Segoe UI" w:hAnsi="Segoe UI" w:cs="Segoe UI" w:eastAsia="Segoe UI"/>
          <w:color w:val="231F20"/>
          <w:spacing w:val="-1"/>
          <w:sz w:val="16"/>
          <w:szCs w:val="16"/>
        </w:rPr>
        <w:t> </w:t>
      </w:r>
      <w:r>
        <w:rPr>
          <w:rFonts w:ascii="Segoe UI" w:hAnsi="Segoe UI" w:cs="Segoe UI" w:eastAsia="Segoe UI"/>
          <w:color w:val="231F20"/>
          <w:sz w:val="16"/>
          <w:szCs w:val="16"/>
        </w:rPr>
        <w:t>risk,</w:t>
      </w:r>
      <w:r>
        <w:rPr>
          <w:rFonts w:ascii="Segoe UI" w:hAnsi="Segoe UI" w:cs="Segoe UI" w:eastAsia="Segoe UI"/>
          <w:color w:val="231F20"/>
          <w:spacing w:val="-2"/>
          <w:sz w:val="16"/>
          <w:szCs w:val="16"/>
        </w:rPr>
        <w:t> </w:t>
      </w:r>
      <w:r>
        <w:rPr>
          <w:rFonts w:ascii="Segoe UI" w:hAnsi="Segoe UI" w:cs="Segoe UI" w:eastAsia="Segoe UI"/>
          <w:color w:val="231F20"/>
          <w:sz w:val="16"/>
          <w:szCs w:val="16"/>
        </w:rPr>
        <w:t>or</w:t>
      </w:r>
      <w:r>
        <w:rPr>
          <w:rFonts w:ascii="Segoe UI" w:hAnsi="Segoe UI" w:cs="Segoe UI" w:eastAsia="Segoe UI"/>
          <w:color w:val="231F20"/>
          <w:spacing w:val="22"/>
          <w:w w:val="99"/>
          <w:sz w:val="16"/>
          <w:szCs w:val="16"/>
        </w:rPr>
        <w:t> </w:t>
      </w:r>
      <w:r>
        <w:rPr>
          <w:rFonts w:ascii="Segoe UI" w:hAnsi="Segoe UI" w:cs="Segoe UI" w:eastAsia="Segoe UI"/>
          <w:color w:val="231F20"/>
          <w:sz w:val="16"/>
          <w:szCs w:val="16"/>
        </w:rPr>
        <w:t>whose needs are better met by flexible learning</w:t>
      </w:r>
      <w:r>
        <w:rPr>
          <w:rFonts w:ascii="Segoe UI" w:hAnsi="Segoe UI" w:cs="Segoe UI" w:eastAsia="Segoe UI"/>
          <w:color w:val="231F20"/>
          <w:sz w:val="16"/>
          <w:szCs w:val="16"/>
        </w:rPr>
        <w:t> </w:t>
      </w:r>
      <w:r>
        <w:rPr>
          <w:rFonts w:ascii="Segoe UI" w:hAnsi="Segoe UI" w:cs="Segoe UI" w:eastAsia="Segoe UI"/>
          <w:color w:val="231F20"/>
          <w:spacing w:val="-1"/>
          <w:sz w:val="16"/>
          <w:szCs w:val="16"/>
        </w:rPr>
        <w:t>structures</w:t>
      </w:r>
      <w:r>
        <w:rPr>
          <w:rFonts w:ascii="Segoe UI" w:hAnsi="Segoe UI" w:cs="Segoe UI" w:eastAsia="Segoe UI"/>
          <w:color w:val="231F20"/>
          <w:spacing w:val="-3"/>
          <w:sz w:val="16"/>
          <w:szCs w:val="16"/>
        </w:rPr>
        <w:t> </w:t>
      </w:r>
      <w:r>
        <w:rPr>
          <w:rFonts w:ascii="Segoe UI" w:hAnsi="Segoe UI" w:cs="Segoe UI" w:eastAsia="Segoe UI"/>
          <w:color w:val="231F20"/>
          <w:sz w:val="16"/>
          <w:szCs w:val="16"/>
        </w:rPr>
        <w:t>that</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may</w:t>
      </w:r>
      <w:r>
        <w:rPr>
          <w:rFonts w:ascii="Segoe UI" w:hAnsi="Segoe UI" w:cs="Segoe UI" w:eastAsia="Segoe UI"/>
          <w:color w:val="231F20"/>
          <w:spacing w:val="-4"/>
          <w:sz w:val="16"/>
          <w:szCs w:val="16"/>
        </w:rPr>
        <w:t> </w:t>
      </w:r>
      <w:r>
        <w:rPr>
          <w:rFonts w:ascii="Segoe UI" w:hAnsi="Segoe UI" w:cs="Segoe UI" w:eastAsia="Segoe UI"/>
          <w:color w:val="231F20"/>
          <w:sz w:val="16"/>
          <w:szCs w:val="16"/>
        </w:rPr>
        <w:t>not</w:t>
      </w:r>
      <w:r>
        <w:rPr>
          <w:rFonts w:ascii="Segoe UI" w:hAnsi="Segoe UI" w:cs="Segoe UI" w:eastAsia="Segoe UI"/>
          <w:color w:val="231F20"/>
          <w:spacing w:val="-3"/>
          <w:sz w:val="16"/>
          <w:szCs w:val="16"/>
        </w:rPr>
        <w:t> </w:t>
      </w:r>
      <w:r>
        <w:rPr>
          <w:rFonts w:ascii="Segoe UI" w:hAnsi="Segoe UI" w:cs="Segoe UI" w:eastAsia="Segoe UI"/>
          <w:color w:val="231F20"/>
          <w:sz w:val="16"/>
          <w:szCs w:val="16"/>
        </w:rPr>
        <w:t>be</w:t>
      </w:r>
      <w:r>
        <w:rPr>
          <w:rFonts w:ascii="Segoe UI" w:hAnsi="Segoe UI" w:cs="Segoe UI" w:eastAsia="Segoe UI"/>
          <w:color w:val="231F20"/>
          <w:spacing w:val="-4"/>
          <w:sz w:val="16"/>
          <w:szCs w:val="16"/>
        </w:rPr>
        <w:t> </w:t>
      </w:r>
      <w:r>
        <w:rPr>
          <w:rFonts w:ascii="Segoe UI" w:hAnsi="Segoe UI" w:cs="Segoe UI" w:eastAsia="Segoe UI"/>
          <w:color w:val="231F20"/>
          <w:sz w:val="16"/>
          <w:szCs w:val="16"/>
        </w:rPr>
        <w:t>available</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in</w:t>
      </w:r>
      <w:r>
        <w:rPr>
          <w:rFonts w:ascii="Segoe UI" w:hAnsi="Segoe UI" w:cs="Segoe UI" w:eastAsia="Segoe UI"/>
          <w:color w:val="231F20"/>
          <w:spacing w:val="-3"/>
          <w:sz w:val="16"/>
          <w:szCs w:val="16"/>
        </w:rPr>
        <w:t> </w:t>
      </w:r>
      <w:r>
        <w:rPr>
          <w:rFonts w:ascii="Segoe UI" w:hAnsi="Segoe UI" w:cs="Segoe UI" w:eastAsia="Segoe UI"/>
          <w:color w:val="231F20"/>
          <w:sz w:val="16"/>
          <w:szCs w:val="16"/>
        </w:rPr>
        <w:t>other</w:t>
      </w:r>
      <w:r>
        <w:rPr>
          <w:rFonts w:ascii="Segoe UI" w:hAnsi="Segoe UI" w:cs="Segoe UI" w:eastAsia="Segoe UI"/>
          <w:color w:val="231F20"/>
          <w:spacing w:val="24"/>
          <w:w w:val="99"/>
          <w:sz w:val="16"/>
          <w:szCs w:val="16"/>
        </w:rPr>
        <w:t> </w:t>
      </w:r>
      <w:r>
        <w:rPr>
          <w:rFonts w:ascii="Segoe UI" w:hAnsi="Segoe UI" w:cs="Segoe UI" w:eastAsia="Segoe UI"/>
          <w:color w:val="231F20"/>
          <w:spacing w:val="-1"/>
          <w:sz w:val="16"/>
          <w:szCs w:val="16"/>
        </w:rPr>
        <w:t>schools.</w:t>
      </w:r>
      <w:r>
        <w:rPr>
          <w:rFonts w:ascii="Segoe UI" w:hAnsi="Segoe UI" w:cs="Segoe UI" w:eastAsia="Segoe UI"/>
          <w:color w:val="231F20"/>
          <w:spacing w:val="-3"/>
          <w:sz w:val="16"/>
          <w:szCs w:val="16"/>
        </w:rPr>
        <w:t> </w:t>
      </w:r>
      <w:r>
        <w:rPr>
          <w:rFonts w:ascii="Segoe UI" w:hAnsi="Segoe UI" w:cs="Segoe UI" w:eastAsia="Segoe UI"/>
          <w:color w:val="231F20"/>
          <w:sz w:val="16"/>
          <w:szCs w:val="16"/>
        </w:rPr>
        <w:t>…</w:t>
      </w:r>
      <w:r>
        <w:rPr>
          <w:rFonts w:ascii="Segoe UI" w:hAnsi="Segoe UI" w:cs="Segoe UI" w:eastAsia="Segoe UI"/>
          <w:color w:val="231F20"/>
          <w:spacing w:val="-3"/>
          <w:sz w:val="16"/>
          <w:szCs w:val="16"/>
        </w:rPr>
        <w:t> </w:t>
      </w:r>
      <w:r>
        <w:rPr>
          <w:rFonts w:ascii="Segoe UI" w:hAnsi="Segoe UI" w:cs="Segoe UI" w:eastAsia="Segoe UI"/>
          <w:color w:val="231F20"/>
          <w:sz w:val="16"/>
          <w:szCs w:val="16"/>
        </w:rPr>
        <w:t>These</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schools</w:t>
      </w:r>
      <w:r>
        <w:rPr>
          <w:rFonts w:ascii="Segoe UI" w:hAnsi="Segoe UI" w:cs="Segoe UI" w:eastAsia="Segoe UI"/>
          <w:color w:val="231F20"/>
          <w:spacing w:val="-3"/>
          <w:sz w:val="16"/>
          <w:szCs w:val="16"/>
        </w:rPr>
        <w:t> </w:t>
      </w:r>
      <w:r>
        <w:rPr>
          <w:rFonts w:ascii="Segoe UI" w:hAnsi="Segoe UI" w:cs="Segoe UI" w:eastAsia="Segoe UI"/>
          <w:color w:val="231F20"/>
          <w:sz w:val="16"/>
          <w:szCs w:val="16"/>
        </w:rPr>
        <w:t>generally</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serve</w:t>
      </w:r>
      <w:r>
        <w:rPr>
          <w:rFonts w:ascii="Segoe UI" w:hAnsi="Segoe UI" w:cs="Segoe UI" w:eastAsia="Segoe UI"/>
          <w:color w:val="231F20"/>
          <w:spacing w:val="-2"/>
          <w:sz w:val="16"/>
          <w:szCs w:val="16"/>
        </w:rPr>
        <w:t> </w:t>
      </w:r>
      <w:r>
        <w:rPr>
          <w:rFonts w:ascii="Segoe UI" w:hAnsi="Segoe UI" w:cs="Segoe UI" w:eastAsia="Segoe UI"/>
          <w:color w:val="231F20"/>
          <w:sz w:val="16"/>
          <w:szCs w:val="16"/>
        </w:rPr>
        <w:t>young</w:t>
      </w:r>
      <w:r>
        <w:rPr>
          <w:rFonts w:ascii="Segoe UI" w:hAnsi="Segoe UI" w:cs="Segoe UI" w:eastAsia="Segoe UI"/>
          <w:color w:val="231F20"/>
          <w:spacing w:val="24"/>
          <w:w w:val="99"/>
          <w:sz w:val="16"/>
          <w:szCs w:val="16"/>
        </w:rPr>
        <w:t> </w:t>
      </w:r>
      <w:r>
        <w:rPr>
          <w:rFonts w:ascii="Segoe UI" w:hAnsi="Segoe UI" w:cs="Segoe UI" w:eastAsia="Segoe UI"/>
          <w:color w:val="231F20"/>
          <w:sz w:val="16"/>
          <w:szCs w:val="16"/>
        </w:rPr>
        <w:t>people</w:t>
      </w:r>
      <w:r>
        <w:rPr>
          <w:rFonts w:ascii="Segoe UI" w:hAnsi="Segoe UI" w:cs="Segoe UI" w:eastAsia="Segoe UI"/>
          <w:color w:val="231F20"/>
          <w:spacing w:val="-7"/>
          <w:sz w:val="16"/>
          <w:szCs w:val="16"/>
        </w:rPr>
        <w:t> </w:t>
      </w:r>
      <w:r>
        <w:rPr>
          <w:rFonts w:ascii="Segoe UI" w:hAnsi="Segoe UI" w:cs="Segoe UI" w:eastAsia="Segoe UI"/>
          <w:color w:val="231F20"/>
          <w:sz w:val="16"/>
          <w:szCs w:val="16"/>
        </w:rPr>
        <w:t>who</w:t>
      </w:r>
      <w:r>
        <w:rPr>
          <w:rFonts w:ascii="Segoe UI" w:hAnsi="Segoe UI" w:cs="Segoe UI" w:eastAsia="Segoe UI"/>
          <w:color w:val="231F20"/>
          <w:spacing w:val="-6"/>
          <w:sz w:val="16"/>
          <w:szCs w:val="16"/>
        </w:rPr>
        <w:t> </w:t>
      </w:r>
      <w:r>
        <w:rPr>
          <w:rFonts w:ascii="Segoe UI" w:hAnsi="Segoe UI" w:cs="Segoe UI" w:eastAsia="Segoe UI"/>
          <w:color w:val="231F20"/>
          <w:sz w:val="16"/>
          <w:szCs w:val="16"/>
        </w:rPr>
        <w:t>are</w:t>
      </w:r>
      <w:r>
        <w:rPr>
          <w:rFonts w:ascii="Segoe UI" w:hAnsi="Segoe UI" w:cs="Segoe UI" w:eastAsia="Segoe UI"/>
          <w:color w:val="231F20"/>
          <w:spacing w:val="-6"/>
          <w:sz w:val="16"/>
          <w:szCs w:val="16"/>
        </w:rPr>
        <w:t> </w:t>
      </w:r>
      <w:r>
        <w:rPr>
          <w:rFonts w:ascii="Segoe UI" w:hAnsi="Segoe UI" w:cs="Segoe UI" w:eastAsia="Segoe UI"/>
          <w:color w:val="231F20"/>
          <w:sz w:val="16"/>
          <w:szCs w:val="16"/>
        </w:rPr>
        <w:t>disengaged</w:t>
      </w:r>
      <w:r>
        <w:rPr>
          <w:rFonts w:ascii="Segoe UI" w:hAnsi="Segoe UI" w:cs="Segoe UI" w:eastAsia="Segoe UI"/>
          <w:color w:val="231F20"/>
          <w:spacing w:val="-6"/>
          <w:sz w:val="16"/>
          <w:szCs w:val="16"/>
        </w:rPr>
        <w:t> </w:t>
      </w:r>
      <w:r>
        <w:rPr>
          <w:rFonts w:ascii="Segoe UI" w:hAnsi="Segoe UI" w:cs="Segoe UI" w:eastAsia="Segoe UI"/>
          <w:color w:val="231F20"/>
          <w:sz w:val="16"/>
          <w:szCs w:val="16"/>
        </w:rPr>
        <w:t>from</w:t>
      </w:r>
      <w:r>
        <w:rPr>
          <w:rFonts w:ascii="Segoe UI" w:hAnsi="Segoe UI" w:cs="Segoe UI" w:eastAsia="Segoe UI"/>
          <w:color w:val="231F20"/>
          <w:spacing w:val="-6"/>
          <w:sz w:val="16"/>
          <w:szCs w:val="16"/>
        </w:rPr>
        <w:t> </w:t>
      </w:r>
      <w:r>
        <w:rPr>
          <w:rFonts w:ascii="Segoe UI" w:hAnsi="Segoe UI" w:cs="Segoe UI" w:eastAsia="Segoe UI"/>
          <w:color w:val="231F20"/>
          <w:sz w:val="16"/>
          <w:szCs w:val="16"/>
        </w:rPr>
        <w:t>education</w:t>
      </w:r>
      <w:r>
        <w:rPr>
          <w:rFonts w:ascii="Segoe UI" w:hAnsi="Segoe UI" w:cs="Segoe UI" w:eastAsia="Segoe UI"/>
          <w:color w:val="231F20"/>
          <w:spacing w:val="-5"/>
          <w:sz w:val="16"/>
          <w:szCs w:val="16"/>
        </w:rPr>
        <w:t> </w:t>
      </w:r>
      <w:r>
        <w:rPr>
          <w:rFonts w:ascii="Segoe UI" w:hAnsi="Segoe UI" w:cs="Segoe UI" w:eastAsia="Segoe UI"/>
          <w:color w:val="231F20"/>
          <w:spacing w:val="-5"/>
          <w:sz w:val="16"/>
          <w:szCs w:val="16"/>
        </w:rPr>
      </w:r>
      <w:r>
        <w:rPr>
          <w:rFonts w:ascii="Segoe UI" w:hAnsi="Segoe UI" w:cs="Segoe UI" w:eastAsia="Segoe UI"/>
          <w:color w:val="231F20"/>
          <w:sz w:val="16"/>
          <w:szCs w:val="16"/>
        </w:rPr>
        <w:t>and</w:t>
      </w:r>
      <w:r>
        <w:rPr>
          <w:rFonts w:ascii="Segoe UI" w:hAnsi="Segoe UI" w:cs="Segoe UI" w:eastAsia="Segoe UI"/>
          <w:color w:val="231F20"/>
          <w:spacing w:val="-1"/>
          <w:sz w:val="16"/>
          <w:szCs w:val="16"/>
        </w:rPr>
        <w:t> </w:t>
      </w:r>
      <w:r>
        <w:rPr>
          <w:rFonts w:ascii="Segoe UI" w:hAnsi="Segoe UI" w:cs="Segoe UI" w:eastAsia="Segoe UI"/>
          <w:color w:val="231F20"/>
          <w:sz w:val="16"/>
          <w:szCs w:val="16"/>
        </w:rPr>
        <w:t>whose</w:t>
      </w:r>
      <w:r>
        <w:rPr>
          <w:rFonts w:ascii="Segoe UI" w:hAnsi="Segoe UI" w:cs="Segoe UI" w:eastAsia="Segoe UI"/>
          <w:color w:val="231F20"/>
          <w:spacing w:val="-3"/>
          <w:sz w:val="16"/>
          <w:szCs w:val="16"/>
        </w:rPr>
        <w:t> </w:t>
      </w:r>
      <w:r>
        <w:rPr>
          <w:rFonts w:ascii="Segoe UI" w:hAnsi="Segoe UI" w:cs="Segoe UI" w:eastAsia="Segoe UI"/>
          <w:color w:val="231F20"/>
          <w:sz w:val="16"/>
          <w:szCs w:val="16"/>
        </w:rPr>
        <w:t>needs</w:t>
      </w:r>
      <w:r>
        <w:rPr>
          <w:rFonts w:ascii="Segoe UI" w:hAnsi="Segoe UI" w:cs="Segoe UI" w:eastAsia="Segoe UI"/>
          <w:color w:val="231F20"/>
          <w:spacing w:val="-3"/>
          <w:sz w:val="16"/>
          <w:szCs w:val="16"/>
        </w:rPr>
        <w:t> </w:t>
      </w:r>
      <w:r>
        <w:rPr>
          <w:rFonts w:ascii="Segoe UI" w:hAnsi="Segoe UI" w:cs="Segoe UI" w:eastAsia="Segoe UI"/>
          <w:color w:val="231F20"/>
          <w:sz w:val="16"/>
          <w:szCs w:val="16"/>
        </w:rPr>
        <w:t>are</w:t>
      </w:r>
      <w:r>
        <w:rPr>
          <w:rFonts w:ascii="Segoe UI" w:hAnsi="Segoe UI" w:cs="Segoe UI" w:eastAsia="Segoe UI"/>
          <w:color w:val="231F20"/>
          <w:spacing w:val="-3"/>
          <w:sz w:val="16"/>
          <w:szCs w:val="16"/>
        </w:rPr>
        <w:t> </w:t>
      </w:r>
      <w:r>
        <w:rPr>
          <w:rFonts w:ascii="Segoe UI" w:hAnsi="Segoe UI" w:cs="Segoe UI" w:eastAsia="Segoe UI"/>
          <w:color w:val="231F20"/>
          <w:sz w:val="16"/>
          <w:szCs w:val="16"/>
        </w:rPr>
        <w:t>not</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met </w:t>
      </w:r>
      <w:r>
        <w:rPr>
          <w:rFonts w:ascii="Segoe UI" w:hAnsi="Segoe UI" w:cs="Segoe UI" w:eastAsia="Segoe UI"/>
          <w:color w:val="231F20"/>
          <w:sz w:val="16"/>
          <w:szCs w:val="16"/>
        </w:rPr>
        <w:t>by</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mainstream</w:t>
      </w:r>
      <w:r>
        <w:rPr>
          <w:rFonts w:ascii="Segoe UI" w:hAnsi="Segoe UI" w:cs="Segoe UI" w:eastAsia="Segoe UI"/>
          <w:color w:val="231F20"/>
          <w:spacing w:val="21"/>
          <w:sz w:val="16"/>
          <w:szCs w:val="16"/>
        </w:rPr>
        <w:t> </w:t>
      </w:r>
      <w:r>
        <w:rPr>
          <w:rFonts w:ascii="Segoe UI" w:hAnsi="Segoe UI" w:cs="Segoe UI" w:eastAsia="Segoe UI"/>
          <w:color w:val="231F20"/>
          <w:sz w:val="16"/>
          <w:szCs w:val="16"/>
        </w:rPr>
        <w:t>education’,</w:t>
      </w:r>
      <w:r>
        <w:rPr>
          <w:rFonts w:ascii="Segoe UI" w:hAnsi="Segoe UI" w:cs="Segoe UI" w:eastAsia="Segoe UI"/>
          <w:color w:val="231F20"/>
          <w:spacing w:val="-11"/>
          <w:sz w:val="16"/>
          <w:szCs w:val="16"/>
        </w:rPr>
        <w:t> </w:t>
      </w:r>
      <w:r>
        <w:rPr>
          <w:rFonts w:ascii="Segoe UI" w:hAnsi="Segoe UI" w:cs="Segoe UI" w:eastAsia="Segoe UI"/>
          <w:color w:val="231F20"/>
          <w:spacing w:val="-1"/>
          <w:sz w:val="16"/>
          <w:szCs w:val="16"/>
        </w:rPr>
        <w:t>2018,</w:t>
      </w:r>
      <w:r>
        <w:rPr>
          <w:rFonts w:ascii="Segoe UI" w:hAnsi="Segoe UI" w:cs="Segoe UI" w:eastAsia="Segoe UI"/>
          <w:color w:val="231F20"/>
          <w:spacing w:val="-11"/>
          <w:sz w:val="16"/>
          <w:szCs w:val="16"/>
        </w:rPr>
        <w:t> </w:t>
      </w:r>
      <w:r>
        <w:rPr>
          <w:rFonts w:ascii="Segoe UI" w:hAnsi="Segoe UI" w:cs="Segoe UI" w:eastAsia="Segoe UI"/>
          <w:color w:val="3853A4"/>
          <w:spacing w:val="-11"/>
          <w:sz w:val="16"/>
          <w:szCs w:val="16"/>
        </w:rPr>
      </w:r>
      <w:hyperlink r:id="rId110">
        <w:r>
          <w:rPr>
            <w:rFonts w:ascii="Segoe UI" w:hAnsi="Segoe UI" w:cs="Segoe UI" w:eastAsia="Segoe UI"/>
            <w:color w:val="3853A4"/>
            <w:spacing w:val="-1"/>
            <w:sz w:val="16"/>
            <w:szCs w:val="16"/>
            <w:u w:val="single" w:color="3853A4"/>
          </w:rPr>
          <w:t>www.isca.edu.au</w:t>
        </w:r>
        <w:r>
          <w:rPr>
            <w:rFonts w:ascii="Segoe UI" w:hAnsi="Segoe UI" w:cs="Segoe UI" w:eastAsia="Segoe UI"/>
            <w:color w:val="3853A4"/>
            <w:sz w:val="16"/>
            <w:szCs w:val="16"/>
          </w:rPr>
        </w:r>
        <w:r>
          <w:rPr>
            <w:rFonts w:ascii="Segoe UI" w:hAnsi="Segoe UI" w:cs="Segoe UI" w:eastAsia="Segoe UI"/>
            <w:color w:val="231F20"/>
            <w:spacing w:val="-1"/>
            <w:sz w:val="16"/>
            <w:szCs w:val="16"/>
          </w:rPr>
          <w:t>.</w:t>
        </w:r>
        <w:r>
          <w:rPr>
            <w:rFonts w:ascii="Segoe UI" w:hAnsi="Segoe UI" w:cs="Segoe UI" w:eastAsia="Segoe UI"/>
            <w:sz w:val="16"/>
            <w:szCs w:val="16"/>
          </w:rPr>
        </w:r>
      </w:hyperlink>
    </w:p>
    <w:p>
      <w:pPr>
        <w:numPr>
          <w:ilvl w:val="0"/>
          <w:numId w:val="8"/>
        </w:numPr>
        <w:tabs>
          <w:tab w:pos="668" w:val="left" w:leader="none"/>
        </w:tabs>
        <w:spacing w:line="200" w:lineRule="exact" w:before="113"/>
        <w:ind w:left="667" w:right="310" w:hanging="567"/>
        <w:jc w:val="left"/>
        <w:rPr>
          <w:rFonts w:ascii="Segoe UI" w:hAnsi="Segoe UI" w:cs="Segoe UI" w:eastAsia="Segoe UI"/>
          <w:sz w:val="16"/>
          <w:szCs w:val="16"/>
        </w:rPr>
      </w:pPr>
      <w:r>
        <w:rPr>
          <w:rFonts w:ascii="Segoe UI"/>
          <w:color w:val="231F20"/>
          <w:sz w:val="16"/>
        </w:rPr>
        <w:t>There</w:t>
      </w:r>
      <w:r>
        <w:rPr>
          <w:rFonts w:ascii="Segoe UI"/>
          <w:color w:val="231F20"/>
          <w:spacing w:val="-3"/>
          <w:sz w:val="16"/>
        </w:rPr>
        <w:t> </w:t>
      </w:r>
      <w:r>
        <w:rPr>
          <w:rFonts w:ascii="Segoe UI"/>
          <w:color w:val="231F20"/>
          <w:sz w:val="16"/>
        </w:rPr>
        <w:t>were</w:t>
      </w:r>
      <w:r>
        <w:rPr>
          <w:rFonts w:ascii="Segoe UI"/>
          <w:color w:val="231F20"/>
          <w:spacing w:val="-3"/>
          <w:sz w:val="16"/>
        </w:rPr>
        <w:t> </w:t>
      </w:r>
      <w:r>
        <w:rPr>
          <w:rFonts w:ascii="Segoe UI"/>
          <w:color w:val="231F20"/>
          <w:sz w:val="16"/>
        </w:rPr>
        <w:t>only</w:t>
      </w:r>
      <w:r>
        <w:rPr>
          <w:rFonts w:ascii="Segoe UI"/>
          <w:color w:val="231F20"/>
          <w:spacing w:val="-3"/>
          <w:sz w:val="16"/>
        </w:rPr>
        <w:t> </w:t>
      </w:r>
      <w:r>
        <w:rPr>
          <w:rFonts w:ascii="Segoe UI"/>
          <w:color w:val="231F20"/>
          <w:sz w:val="16"/>
        </w:rPr>
        <w:t>four</w:t>
      </w:r>
      <w:r>
        <w:rPr>
          <w:rFonts w:ascii="Segoe UI"/>
          <w:color w:val="231F20"/>
          <w:spacing w:val="-2"/>
          <w:sz w:val="16"/>
        </w:rPr>
        <w:t> </w:t>
      </w:r>
      <w:r>
        <w:rPr>
          <w:rFonts w:ascii="Segoe UI"/>
          <w:color w:val="231F20"/>
          <w:spacing w:val="-1"/>
          <w:sz w:val="16"/>
        </w:rPr>
        <w:t>special</w:t>
      </w:r>
      <w:r>
        <w:rPr>
          <w:rFonts w:ascii="Segoe UI"/>
          <w:color w:val="231F20"/>
          <w:spacing w:val="-3"/>
          <w:sz w:val="16"/>
        </w:rPr>
        <w:t> </w:t>
      </w:r>
      <w:r>
        <w:rPr>
          <w:rFonts w:ascii="Segoe UI"/>
          <w:color w:val="231F20"/>
          <w:sz w:val="16"/>
        </w:rPr>
        <w:t>assistance</w:t>
      </w:r>
      <w:r>
        <w:rPr>
          <w:rFonts w:ascii="Segoe UI"/>
          <w:color w:val="231F20"/>
          <w:spacing w:val="-3"/>
          <w:sz w:val="16"/>
        </w:rPr>
        <w:t> </w:t>
      </w:r>
      <w:r>
        <w:rPr>
          <w:rFonts w:ascii="Segoe UI"/>
          <w:color w:val="231F20"/>
          <w:spacing w:val="-1"/>
          <w:sz w:val="16"/>
        </w:rPr>
        <w:t>schools</w:t>
      </w:r>
      <w:r>
        <w:rPr>
          <w:rFonts w:ascii="Segoe UI"/>
          <w:color w:val="231F20"/>
          <w:spacing w:val="21"/>
          <w:sz w:val="16"/>
        </w:rPr>
        <w:t> </w:t>
      </w:r>
      <w:r>
        <w:rPr>
          <w:rFonts w:ascii="Segoe UI"/>
          <w:color w:val="231F20"/>
          <w:spacing w:val="-1"/>
          <w:sz w:val="16"/>
        </w:rPr>
        <w:t>included</w:t>
      </w:r>
      <w:r>
        <w:rPr>
          <w:rFonts w:ascii="Segoe UI"/>
          <w:color w:val="231F20"/>
          <w:spacing w:val="-3"/>
          <w:sz w:val="16"/>
        </w:rPr>
        <w:t> </w:t>
      </w:r>
      <w:r>
        <w:rPr>
          <w:rFonts w:ascii="Segoe UI"/>
          <w:color w:val="231F20"/>
          <w:spacing w:val="-1"/>
          <w:sz w:val="16"/>
        </w:rPr>
        <w:t>in</w:t>
      </w:r>
      <w:r>
        <w:rPr>
          <w:rFonts w:ascii="Segoe UI"/>
          <w:color w:val="231F20"/>
          <w:spacing w:val="-3"/>
          <w:sz w:val="16"/>
        </w:rPr>
        <w:t> </w:t>
      </w:r>
      <w:r>
        <w:rPr>
          <w:rFonts w:ascii="Segoe UI"/>
          <w:color w:val="231F20"/>
          <w:sz w:val="16"/>
        </w:rPr>
        <w:t>the</w:t>
      </w:r>
      <w:r>
        <w:rPr>
          <w:rFonts w:ascii="Segoe UI"/>
          <w:color w:val="231F20"/>
          <w:spacing w:val="-3"/>
          <w:sz w:val="16"/>
        </w:rPr>
        <w:t> </w:t>
      </w:r>
      <w:r>
        <w:rPr>
          <w:rFonts w:ascii="Segoe UI"/>
          <w:color w:val="231F20"/>
          <w:sz w:val="16"/>
        </w:rPr>
        <w:t>analysis</w:t>
      </w:r>
      <w:r>
        <w:rPr>
          <w:rFonts w:ascii="Segoe UI"/>
          <w:color w:val="231F20"/>
          <w:spacing w:val="-4"/>
          <w:sz w:val="16"/>
        </w:rPr>
        <w:t> </w:t>
      </w:r>
      <w:r>
        <w:rPr>
          <w:rFonts w:ascii="Segoe UI"/>
          <w:color w:val="231F20"/>
          <w:sz w:val="16"/>
        </w:rPr>
        <w:t>for</w:t>
      </w:r>
      <w:r>
        <w:rPr>
          <w:rFonts w:ascii="Segoe UI"/>
          <w:color w:val="231F20"/>
          <w:spacing w:val="-3"/>
          <w:sz w:val="16"/>
        </w:rPr>
        <w:t> </w:t>
      </w:r>
      <w:r>
        <w:rPr>
          <w:rFonts w:ascii="Segoe UI"/>
          <w:color w:val="231F20"/>
          <w:sz w:val="16"/>
        </w:rPr>
        <w:t>this</w:t>
      </w:r>
      <w:r>
        <w:rPr>
          <w:rFonts w:ascii="Segoe UI"/>
          <w:color w:val="231F20"/>
          <w:spacing w:val="-3"/>
          <w:sz w:val="16"/>
        </w:rPr>
        <w:t> </w:t>
      </w:r>
      <w:r>
        <w:rPr>
          <w:rFonts w:ascii="Segoe UI"/>
          <w:color w:val="231F20"/>
          <w:sz w:val="16"/>
        </w:rPr>
        <w:t>report</w:t>
      </w:r>
      <w:r>
        <w:rPr>
          <w:rFonts w:ascii="Segoe UI"/>
          <w:color w:val="231F20"/>
          <w:spacing w:val="-4"/>
          <w:sz w:val="16"/>
        </w:rPr>
        <w:t> </w:t>
      </w:r>
      <w:r>
        <w:rPr>
          <w:rFonts w:ascii="Segoe UI"/>
          <w:color w:val="231F20"/>
          <w:sz w:val="16"/>
        </w:rPr>
        <w:t>and</w:t>
      </w:r>
      <w:r>
        <w:rPr>
          <w:rFonts w:ascii="Segoe UI"/>
          <w:color w:val="231F20"/>
          <w:spacing w:val="-4"/>
          <w:sz w:val="16"/>
        </w:rPr>
        <w:t> </w:t>
      </w:r>
      <w:r>
        <w:rPr>
          <w:rFonts w:ascii="Segoe UI"/>
          <w:color w:val="231F20"/>
          <w:sz w:val="16"/>
        </w:rPr>
        <w:t>given</w:t>
      </w:r>
      <w:r>
        <w:rPr>
          <w:rFonts w:ascii="Segoe UI"/>
          <w:color w:val="231F20"/>
          <w:spacing w:val="23"/>
          <w:w w:val="99"/>
          <w:sz w:val="16"/>
        </w:rPr>
        <w:t> </w:t>
      </w:r>
      <w:r>
        <w:rPr>
          <w:rFonts w:ascii="Segoe UI"/>
          <w:color w:val="231F20"/>
          <w:sz w:val="16"/>
        </w:rPr>
        <w:t>the</w:t>
      </w:r>
      <w:r>
        <w:rPr>
          <w:rFonts w:ascii="Segoe UI"/>
          <w:color w:val="231F20"/>
          <w:spacing w:val="-4"/>
          <w:sz w:val="16"/>
        </w:rPr>
        <w:t> </w:t>
      </w:r>
      <w:r>
        <w:rPr>
          <w:rFonts w:ascii="Segoe UI"/>
          <w:color w:val="231F20"/>
          <w:spacing w:val="-1"/>
          <w:sz w:val="16"/>
        </w:rPr>
        <w:t>small</w:t>
      </w:r>
      <w:r>
        <w:rPr>
          <w:rFonts w:ascii="Segoe UI"/>
          <w:color w:val="231F20"/>
          <w:spacing w:val="-2"/>
          <w:sz w:val="16"/>
        </w:rPr>
        <w:t> </w:t>
      </w:r>
      <w:r>
        <w:rPr>
          <w:rFonts w:ascii="Segoe UI"/>
          <w:color w:val="231F20"/>
          <w:spacing w:val="-1"/>
          <w:sz w:val="16"/>
        </w:rPr>
        <w:t>sample</w:t>
      </w:r>
      <w:r>
        <w:rPr>
          <w:rFonts w:ascii="Segoe UI"/>
          <w:color w:val="231F20"/>
          <w:spacing w:val="-2"/>
          <w:sz w:val="16"/>
        </w:rPr>
        <w:t> </w:t>
      </w:r>
      <w:r>
        <w:rPr>
          <w:rFonts w:ascii="Segoe UI"/>
          <w:color w:val="231F20"/>
          <w:spacing w:val="-1"/>
          <w:sz w:val="16"/>
        </w:rPr>
        <w:t>size,</w:t>
      </w:r>
      <w:r>
        <w:rPr>
          <w:rFonts w:ascii="Segoe UI"/>
          <w:color w:val="231F20"/>
          <w:spacing w:val="-3"/>
          <w:sz w:val="16"/>
        </w:rPr>
        <w:t> </w:t>
      </w:r>
      <w:r>
        <w:rPr>
          <w:rFonts w:ascii="Segoe UI"/>
          <w:color w:val="231F20"/>
          <w:sz w:val="16"/>
        </w:rPr>
        <w:t>caution</w:t>
      </w:r>
      <w:r>
        <w:rPr>
          <w:rFonts w:ascii="Segoe UI"/>
          <w:color w:val="231F20"/>
          <w:spacing w:val="-3"/>
          <w:sz w:val="16"/>
        </w:rPr>
        <w:t> </w:t>
      </w:r>
      <w:r>
        <w:rPr>
          <w:rFonts w:ascii="Segoe UI"/>
          <w:color w:val="231F20"/>
          <w:spacing w:val="-1"/>
          <w:sz w:val="16"/>
        </w:rPr>
        <w:t>should</w:t>
      </w:r>
      <w:r>
        <w:rPr>
          <w:rFonts w:ascii="Segoe UI"/>
          <w:color w:val="231F20"/>
          <w:spacing w:val="-2"/>
          <w:sz w:val="16"/>
        </w:rPr>
        <w:t> </w:t>
      </w:r>
      <w:r>
        <w:rPr>
          <w:rFonts w:ascii="Segoe UI"/>
          <w:color w:val="231F20"/>
          <w:sz w:val="16"/>
        </w:rPr>
        <w:t>be</w:t>
      </w:r>
      <w:r>
        <w:rPr>
          <w:rFonts w:ascii="Segoe UI"/>
          <w:color w:val="231F20"/>
          <w:spacing w:val="-2"/>
          <w:sz w:val="16"/>
        </w:rPr>
        <w:t> </w:t>
      </w:r>
      <w:r>
        <w:rPr>
          <w:rFonts w:ascii="Segoe UI"/>
          <w:color w:val="231F20"/>
          <w:sz w:val="16"/>
        </w:rPr>
        <w:t>exercised</w:t>
      </w:r>
      <w:r>
        <w:rPr>
          <w:rFonts w:ascii="Segoe UI"/>
          <w:color w:val="231F20"/>
          <w:spacing w:val="25"/>
          <w:w w:val="99"/>
          <w:sz w:val="16"/>
        </w:rPr>
        <w:t> </w:t>
      </w:r>
      <w:r>
        <w:rPr>
          <w:rFonts w:ascii="Segoe UI"/>
          <w:color w:val="231F20"/>
          <w:spacing w:val="-1"/>
          <w:sz w:val="16"/>
        </w:rPr>
        <w:t>in</w:t>
      </w:r>
      <w:r>
        <w:rPr>
          <w:rFonts w:ascii="Segoe UI"/>
          <w:color w:val="231F20"/>
          <w:spacing w:val="-5"/>
          <w:sz w:val="16"/>
        </w:rPr>
        <w:t> </w:t>
      </w:r>
      <w:r>
        <w:rPr>
          <w:rFonts w:ascii="Segoe UI"/>
          <w:color w:val="231F20"/>
          <w:spacing w:val="-1"/>
          <w:sz w:val="16"/>
        </w:rPr>
        <w:t>interpreting</w:t>
      </w:r>
      <w:r>
        <w:rPr>
          <w:rFonts w:ascii="Segoe UI"/>
          <w:color w:val="231F20"/>
          <w:spacing w:val="-5"/>
          <w:sz w:val="16"/>
        </w:rPr>
        <w:t> </w:t>
      </w:r>
      <w:r>
        <w:rPr>
          <w:rFonts w:ascii="Segoe UI"/>
          <w:color w:val="231F20"/>
          <w:sz w:val="16"/>
        </w:rPr>
        <w:t>the</w:t>
      </w:r>
      <w:r>
        <w:rPr>
          <w:rFonts w:ascii="Segoe UI"/>
          <w:color w:val="231F20"/>
          <w:spacing w:val="-5"/>
          <w:sz w:val="16"/>
        </w:rPr>
        <w:t> </w:t>
      </w:r>
      <w:r>
        <w:rPr>
          <w:rFonts w:ascii="Segoe UI"/>
          <w:color w:val="231F20"/>
          <w:sz w:val="16"/>
        </w:rPr>
        <w:t>data</w:t>
      </w:r>
      <w:r>
        <w:rPr>
          <w:rFonts w:ascii="Segoe UI"/>
          <w:sz w:val="16"/>
        </w:rPr>
      </w:r>
    </w:p>
    <w:p>
      <w:pPr>
        <w:numPr>
          <w:ilvl w:val="0"/>
          <w:numId w:val="8"/>
        </w:numPr>
        <w:tabs>
          <w:tab w:pos="668" w:val="left" w:leader="none"/>
        </w:tabs>
        <w:spacing w:line="200" w:lineRule="exact" w:before="113"/>
        <w:ind w:left="667" w:right="362" w:hanging="567"/>
        <w:jc w:val="left"/>
        <w:rPr>
          <w:rFonts w:ascii="Segoe UI" w:hAnsi="Segoe UI" w:cs="Segoe UI" w:eastAsia="Segoe UI"/>
          <w:sz w:val="16"/>
          <w:szCs w:val="16"/>
        </w:rPr>
      </w:pPr>
      <w:r>
        <w:rPr>
          <w:rFonts w:ascii="Segoe UI"/>
          <w:color w:val="231F20"/>
          <w:spacing w:val="-1"/>
          <w:sz w:val="16"/>
        </w:rPr>
        <w:t>2016</w:t>
      </w:r>
      <w:r>
        <w:rPr>
          <w:rFonts w:ascii="Segoe UI"/>
          <w:color w:val="231F20"/>
          <w:spacing w:val="-12"/>
          <w:sz w:val="16"/>
        </w:rPr>
        <w:t> </w:t>
      </w:r>
      <w:r>
        <w:rPr>
          <w:rFonts w:ascii="Segoe UI"/>
          <w:color w:val="231F20"/>
          <w:spacing w:val="-1"/>
          <w:sz w:val="16"/>
        </w:rPr>
        <w:t>Census,</w:t>
      </w:r>
      <w:r>
        <w:rPr>
          <w:rFonts w:ascii="Segoe UI"/>
          <w:color w:val="231F20"/>
          <w:spacing w:val="-11"/>
          <w:sz w:val="16"/>
        </w:rPr>
        <w:t> </w:t>
      </w:r>
      <w:r>
        <w:rPr>
          <w:rFonts w:ascii="Segoe UI"/>
          <w:color w:val="3853A4"/>
          <w:spacing w:val="-11"/>
          <w:sz w:val="16"/>
        </w:rPr>
      </w:r>
      <w:hyperlink r:id="rId111">
        <w:r>
          <w:rPr>
            <w:rFonts w:ascii="Segoe UI"/>
            <w:color w:val="3853A4"/>
            <w:spacing w:val="-1"/>
            <w:sz w:val="16"/>
            <w:u w:val="single" w:color="3853A4"/>
          </w:rPr>
          <w:t>http://quickstat</w:t>
        </w:r>
        <w:r>
          <w:rPr>
            <w:rFonts w:ascii="Segoe UI"/>
            <w:color w:val="3853A4"/>
            <w:sz w:val="16"/>
          </w:rPr>
        </w:r>
        <w:r>
          <w:rPr>
            <w:rFonts w:ascii="Segoe UI"/>
            <w:color w:val="3853A4"/>
            <w:spacing w:val="-1"/>
            <w:sz w:val="16"/>
          </w:rPr>
          <w:t>s.censusdata.abs.</w:t>
        </w:r>
      </w:hyperlink>
      <w:r>
        <w:rPr>
          <w:rFonts w:ascii="Segoe UI"/>
          <w:color w:val="3853A4"/>
          <w:spacing w:val="69"/>
          <w:w w:val="99"/>
          <w:sz w:val="16"/>
        </w:rPr>
        <w:t> </w:t>
      </w:r>
      <w:r>
        <w:rPr>
          <w:rFonts w:ascii="Segoe UI"/>
          <w:color w:val="3853A4"/>
          <w:w w:val="95"/>
          <w:sz w:val="16"/>
          <w:u w:val="single" w:color="3853A4"/>
        </w:rPr>
        <w:t>gov.au/census_services/getproduct/census/2016/</w:t>
      </w:r>
      <w:r>
        <w:rPr>
          <w:rFonts w:ascii="Segoe UI"/>
          <w:color w:val="3853A4"/>
          <w:w w:val="99"/>
          <w:sz w:val="16"/>
        </w:rPr>
      </w:r>
      <w:r>
        <w:rPr>
          <w:rFonts w:ascii="Segoe UI"/>
          <w:color w:val="3853A4"/>
          <w:w w:val="99"/>
          <w:sz w:val="16"/>
        </w:rPr>
        <w:t> </w:t>
      </w:r>
      <w:r>
        <w:rPr>
          <w:rFonts w:ascii="Segoe UI"/>
          <w:color w:val="3853A4"/>
          <w:spacing w:val="-1"/>
          <w:sz w:val="16"/>
          <w:u w:val="single" w:color="3853A4"/>
        </w:rPr>
        <w:t>quickstat/IQS036</w:t>
      </w:r>
      <w:r>
        <w:rPr>
          <w:rFonts w:ascii="Segoe UI"/>
          <w:color w:val="3853A4"/>
          <w:sz w:val="16"/>
        </w:rPr>
      </w:r>
      <w:r>
        <w:rPr>
          <w:rFonts w:ascii="Segoe UI"/>
          <w:color w:val="231F20"/>
          <w:spacing w:val="-1"/>
          <w:sz w:val="16"/>
        </w:rPr>
        <w:t>,</w:t>
      </w:r>
      <w:r>
        <w:rPr>
          <w:rFonts w:ascii="Segoe UI"/>
          <w:color w:val="231F20"/>
          <w:spacing w:val="-7"/>
          <w:sz w:val="16"/>
        </w:rPr>
        <w:t> </w:t>
      </w:r>
      <w:r>
        <w:rPr>
          <w:rFonts w:ascii="Segoe UI"/>
          <w:color w:val="231F20"/>
          <w:sz w:val="16"/>
        </w:rPr>
        <w:t>Australian</w:t>
      </w:r>
      <w:r>
        <w:rPr>
          <w:rFonts w:ascii="Segoe UI"/>
          <w:color w:val="231F20"/>
          <w:spacing w:val="-6"/>
          <w:sz w:val="16"/>
        </w:rPr>
        <w:t> </w:t>
      </w:r>
      <w:r>
        <w:rPr>
          <w:rFonts w:ascii="Segoe UI"/>
          <w:color w:val="231F20"/>
          <w:spacing w:val="-1"/>
          <w:sz w:val="16"/>
        </w:rPr>
        <w:t>Bureau</w:t>
      </w:r>
      <w:r>
        <w:rPr>
          <w:rFonts w:ascii="Segoe UI"/>
          <w:color w:val="231F20"/>
          <w:spacing w:val="-7"/>
          <w:sz w:val="16"/>
        </w:rPr>
        <w:t> </w:t>
      </w:r>
      <w:r>
        <w:rPr>
          <w:rFonts w:ascii="Segoe UI"/>
          <w:color w:val="231F20"/>
          <w:sz w:val="16"/>
        </w:rPr>
        <w:t>of</w:t>
      </w:r>
      <w:r>
        <w:rPr>
          <w:rFonts w:ascii="Segoe UI"/>
          <w:color w:val="231F20"/>
          <w:spacing w:val="-6"/>
          <w:sz w:val="16"/>
        </w:rPr>
        <w:t> </w:t>
      </w:r>
      <w:r>
        <w:rPr>
          <w:rFonts w:ascii="Segoe UI"/>
          <w:color w:val="231F20"/>
          <w:spacing w:val="-1"/>
          <w:sz w:val="16"/>
        </w:rPr>
        <w:t>Statistics,</w:t>
      </w:r>
      <w:r>
        <w:rPr>
          <w:rFonts w:ascii="Segoe UI"/>
          <w:color w:val="231F20"/>
          <w:spacing w:val="45"/>
          <w:sz w:val="16"/>
        </w:rPr>
        <w:t> </w:t>
      </w:r>
      <w:r>
        <w:rPr>
          <w:rFonts w:ascii="Segoe UI"/>
          <w:color w:val="231F20"/>
          <w:sz w:val="16"/>
        </w:rPr>
        <w:t>accessed</w:t>
      </w:r>
      <w:r>
        <w:rPr>
          <w:rFonts w:ascii="Segoe UI"/>
          <w:color w:val="231F20"/>
          <w:spacing w:val="-4"/>
          <w:sz w:val="16"/>
        </w:rPr>
        <w:t> </w:t>
      </w:r>
      <w:r>
        <w:rPr>
          <w:rFonts w:ascii="Segoe UI"/>
          <w:color w:val="231F20"/>
          <w:spacing w:val="-1"/>
          <w:sz w:val="16"/>
        </w:rPr>
        <w:t>in</w:t>
      </w:r>
      <w:r>
        <w:rPr>
          <w:rFonts w:ascii="Segoe UI"/>
          <w:color w:val="231F20"/>
          <w:spacing w:val="-3"/>
          <w:sz w:val="16"/>
        </w:rPr>
        <w:t> </w:t>
      </w:r>
      <w:r>
        <w:rPr>
          <w:rFonts w:ascii="Segoe UI"/>
          <w:color w:val="231F20"/>
          <w:sz w:val="16"/>
        </w:rPr>
        <w:t>January</w:t>
      </w:r>
      <w:r>
        <w:rPr>
          <w:rFonts w:ascii="Segoe UI"/>
          <w:color w:val="231F20"/>
          <w:spacing w:val="-2"/>
          <w:sz w:val="16"/>
        </w:rPr>
        <w:t> </w:t>
      </w:r>
      <w:r>
        <w:rPr>
          <w:rFonts w:ascii="Segoe UI"/>
          <w:color w:val="231F20"/>
          <w:spacing w:val="-1"/>
          <w:sz w:val="16"/>
        </w:rPr>
        <w:t>2019.</w:t>
      </w:r>
      <w:r>
        <w:rPr>
          <w:rFonts w:ascii="Segoe UI"/>
          <w:color w:val="231F20"/>
          <w:spacing w:val="-3"/>
          <w:sz w:val="16"/>
        </w:rPr>
        <w:t> </w:t>
      </w:r>
      <w:r>
        <w:rPr>
          <w:rFonts w:ascii="Segoe UI"/>
          <w:color w:val="231F20"/>
          <w:spacing w:val="-1"/>
          <w:sz w:val="16"/>
        </w:rPr>
        <w:t>While,</w:t>
      </w:r>
      <w:r>
        <w:rPr>
          <w:rFonts w:ascii="Segoe UI"/>
          <w:color w:val="231F20"/>
          <w:spacing w:val="-2"/>
          <w:sz w:val="16"/>
        </w:rPr>
        <w:t> </w:t>
      </w:r>
      <w:r>
        <w:rPr>
          <w:rFonts w:ascii="Segoe UI"/>
          <w:color w:val="231F20"/>
          <w:sz w:val="16"/>
        </w:rPr>
        <w:t>household</w:t>
      </w:r>
      <w:r>
        <w:rPr>
          <w:rFonts w:ascii="Segoe UI"/>
          <w:color w:val="231F20"/>
          <w:spacing w:val="24"/>
          <w:w w:val="99"/>
          <w:sz w:val="16"/>
        </w:rPr>
        <w:t> </w:t>
      </w:r>
      <w:r>
        <w:rPr>
          <w:rFonts w:ascii="Segoe UI"/>
          <w:color w:val="231F20"/>
          <w:spacing w:val="-1"/>
          <w:sz w:val="16"/>
        </w:rPr>
        <w:t>income</w:t>
      </w:r>
      <w:r>
        <w:rPr>
          <w:rFonts w:ascii="Segoe UI"/>
          <w:color w:val="231F20"/>
          <w:spacing w:val="-3"/>
          <w:sz w:val="16"/>
        </w:rPr>
        <w:t> </w:t>
      </w:r>
      <w:r>
        <w:rPr>
          <w:rFonts w:ascii="Segoe UI"/>
          <w:color w:val="231F20"/>
          <w:sz w:val="16"/>
        </w:rPr>
        <w:t>has</w:t>
      </w:r>
      <w:r>
        <w:rPr>
          <w:rFonts w:ascii="Segoe UI"/>
          <w:color w:val="231F20"/>
          <w:spacing w:val="-4"/>
          <w:sz w:val="16"/>
        </w:rPr>
        <w:t> </w:t>
      </w:r>
      <w:r>
        <w:rPr>
          <w:rFonts w:ascii="Segoe UI"/>
          <w:color w:val="231F20"/>
          <w:spacing w:val="-1"/>
          <w:sz w:val="16"/>
        </w:rPr>
        <w:t>increased</w:t>
      </w:r>
      <w:r>
        <w:rPr>
          <w:rFonts w:ascii="Segoe UI"/>
          <w:color w:val="231F20"/>
          <w:spacing w:val="-3"/>
          <w:sz w:val="16"/>
        </w:rPr>
        <w:t> </w:t>
      </w:r>
      <w:r>
        <w:rPr>
          <w:rFonts w:ascii="Segoe UI"/>
          <w:color w:val="231F20"/>
          <w:sz w:val="16"/>
        </w:rPr>
        <w:t>nationally,</w:t>
      </w:r>
      <w:r>
        <w:rPr>
          <w:rFonts w:ascii="Segoe UI"/>
          <w:color w:val="231F20"/>
          <w:spacing w:val="-4"/>
          <w:sz w:val="16"/>
        </w:rPr>
        <w:t> </w:t>
      </w:r>
      <w:r>
        <w:rPr>
          <w:rFonts w:ascii="Segoe UI"/>
          <w:color w:val="231F20"/>
          <w:spacing w:val="-1"/>
          <w:sz w:val="16"/>
        </w:rPr>
        <w:t>it</w:t>
      </w:r>
      <w:r>
        <w:rPr>
          <w:rFonts w:ascii="Segoe UI"/>
          <w:color w:val="231F20"/>
          <w:spacing w:val="-3"/>
          <w:sz w:val="16"/>
        </w:rPr>
        <w:t> </w:t>
      </w:r>
      <w:r>
        <w:rPr>
          <w:rFonts w:ascii="Segoe UI"/>
          <w:color w:val="231F20"/>
          <w:sz w:val="16"/>
        </w:rPr>
        <w:t>has</w:t>
      </w:r>
      <w:r>
        <w:rPr>
          <w:rFonts w:ascii="Segoe UI"/>
          <w:color w:val="231F20"/>
          <w:spacing w:val="-4"/>
          <w:sz w:val="16"/>
        </w:rPr>
        <w:t> </w:t>
      </w:r>
      <w:r>
        <w:rPr>
          <w:rFonts w:ascii="Segoe UI"/>
          <w:color w:val="231F20"/>
          <w:sz w:val="16"/>
        </w:rPr>
        <w:t>been</w:t>
      </w:r>
      <w:r>
        <w:rPr>
          <w:rFonts w:ascii="Segoe UI"/>
          <w:sz w:val="16"/>
        </w:rPr>
      </w:r>
    </w:p>
    <w:p>
      <w:pPr>
        <w:spacing w:line="200" w:lineRule="exact" w:before="0"/>
        <w:ind w:left="667" w:right="387" w:firstLine="0"/>
        <w:jc w:val="left"/>
        <w:rPr>
          <w:rFonts w:ascii="Segoe UI" w:hAnsi="Segoe UI" w:cs="Segoe UI" w:eastAsia="Segoe UI"/>
          <w:sz w:val="16"/>
          <w:szCs w:val="16"/>
        </w:rPr>
      </w:pPr>
      <w:r>
        <w:rPr>
          <w:rFonts w:ascii="Segoe UI"/>
          <w:color w:val="231F20"/>
          <w:sz w:val="16"/>
        </w:rPr>
        <w:t>flat in remote areas and has declined in very </w:t>
      </w:r>
      <w:r>
        <w:rPr>
          <w:rFonts w:ascii="Segoe UI"/>
          <w:color w:val="231F20"/>
          <w:sz w:val="16"/>
        </w:rPr>
        <w:t>remote</w:t>
      </w:r>
      <w:r>
        <w:rPr>
          <w:rFonts w:ascii="Segoe UI"/>
          <w:color w:val="231F20"/>
          <w:spacing w:val="-6"/>
          <w:sz w:val="16"/>
        </w:rPr>
        <w:t> </w:t>
      </w:r>
      <w:r>
        <w:rPr>
          <w:rFonts w:ascii="Segoe UI"/>
          <w:color w:val="231F20"/>
          <w:sz w:val="16"/>
        </w:rPr>
        <w:t>areas</w:t>
      </w:r>
      <w:r>
        <w:rPr>
          <w:rFonts w:ascii="Segoe UI"/>
          <w:color w:val="231F20"/>
          <w:spacing w:val="-5"/>
          <w:sz w:val="16"/>
        </w:rPr>
        <w:t> </w:t>
      </w:r>
      <w:r>
        <w:rPr>
          <w:rFonts w:ascii="Segoe UI"/>
          <w:color w:val="231F20"/>
          <w:sz w:val="16"/>
        </w:rPr>
        <w:t>(Markham,</w:t>
      </w:r>
      <w:r>
        <w:rPr>
          <w:rFonts w:ascii="Segoe UI"/>
          <w:color w:val="231F20"/>
          <w:spacing w:val="-6"/>
          <w:sz w:val="16"/>
        </w:rPr>
        <w:t> </w:t>
      </w:r>
      <w:r>
        <w:rPr>
          <w:rFonts w:ascii="Segoe UI"/>
          <w:color w:val="231F20"/>
          <w:spacing w:val="-1"/>
          <w:sz w:val="16"/>
        </w:rPr>
        <w:t>2018)</w:t>
      </w:r>
      <w:r>
        <w:rPr>
          <w:rFonts w:ascii="Segoe UI"/>
          <w:color w:val="231F20"/>
          <w:spacing w:val="-5"/>
          <w:sz w:val="16"/>
        </w:rPr>
        <w:t> </w:t>
      </w:r>
      <w:r>
        <w:rPr>
          <w:rFonts w:ascii="Segoe UI"/>
          <w:color w:val="231F20"/>
          <w:sz w:val="16"/>
        </w:rPr>
        <w:t>and</w:t>
      </w:r>
      <w:r>
        <w:rPr>
          <w:rFonts w:ascii="Segoe UI"/>
          <w:color w:val="231F20"/>
          <w:spacing w:val="-5"/>
          <w:sz w:val="16"/>
        </w:rPr>
        <w:t> </w:t>
      </w:r>
      <w:r>
        <w:rPr>
          <w:rFonts w:ascii="Segoe UI"/>
          <w:color w:val="231F20"/>
          <w:sz w:val="16"/>
        </w:rPr>
        <w:t>the</w:t>
      </w:r>
      <w:r>
        <w:rPr>
          <w:rFonts w:ascii="Segoe UI"/>
          <w:color w:val="231F20"/>
          <w:spacing w:val="-5"/>
          <w:sz w:val="16"/>
        </w:rPr>
        <w:t> </w:t>
      </w:r>
      <w:r>
        <w:rPr>
          <w:rFonts w:ascii="Segoe UI"/>
          <w:color w:val="231F20"/>
          <w:sz w:val="16"/>
        </w:rPr>
        <w:t>capacity</w:t>
      </w:r>
      <w:r>
        <w:rPr>
          <w:rFonts w:ascii="Segoe UI"/>
          <w:color w:val="231F20"/>
          <w:spacing w:val="21"/>
          <w:w w:val="99"/>
          <w:sz w:val="16"/>
        </w:rPr>
        <w:t> </w:t>
      </w:r>
      <w:r>
        <w:rPr>
          <w:rFonts w:ascii="Segoe UI"/>
          <w:color w:val="231F20"/>
          <w:sz w:val="16"/>
        </w:rPr>
        <w:t>of</w:t>
      </w:r>
      <w:r>
        <w:rPr>
          <w:rFonts w:ascii="Segoe UI"/>
          <w:color w:val="231F20"/>
          <w:spacing w:val="-4"/>
          <w:sz w:val="16"/>
        </w:rPr>
        <w:t> </w:t>
      </w:r>
      <w:r>
        <w:rPr>
          <w:rFonts w:ascii="Segoe UI"/>
          <w:color w:val="231F20"/>
          <w:sz w:val="16"/>
        </w:rPr>
        <w:t>Aboriginal</w:t>
      </w:r>
      <w:r>
        <w:rPr>
          <w:rFonts w:ascii="Segoe UI"/>
          <w:color w:val="231F20"/>
          <w:spacing w:val="-3"/>
          <w:sz w:val="16"/>
        </w:rPr>
        <w:t> </w:t>
      </w:r>
      <w:r>
        <w:rPr>
          <w:rFonts w:ascii="Segoe UI"/>
          <w:color w:val="231F20"/>
          <w:sz w:val="16"/>
        </w:rPr>
        <w:t>and</w:t>
      </w:r>
      <w:r>
        <w:rPr>
          <w:rFonts w:ascii="Segoe UI"/>
          <w:color w:val="231F20"/>
          <w:spacing w:val="-5"/>
          <w:sz w:val="16"/>
        </w:rPr>
        <w:t> </w:t>
      </w:r>
      <w:r>
        <w:rPr>
          <w:rFonts w:ascii="Segoe UI"/>
          <w:color w:val="231F20"/>
          <w:spacing w:val="-3"/>
          <w:sz w:val="16"/>
        </w:rPr>
        <w:t>Torres </w:t>
      </w:r>
      <w:r>
        <w:rPr>
          <w:rFonts w:ascii="Segoe UI"/>
          <w:color w:val="231F20"/>
          <w:spacing w:val="-1"/>
          <w:sz w:val="16"/>
        </w:rPr>
        <w:t>Strait</w:t>
      </w:r>
      <w:r>
        <w:rPr>
          <w:rFonts w:ascii="Segoe UI"/>
          <w:color w:val="231F20"/>
          <w:spacing w:val="-5"/>
          <w:sz w:val="16"/>
        </w:rPr>
        <w:t> </w:t>
      </w:r>
      <w:r>
        <w:rPr>
          <w:rFonts w:ascii="Segoe UI"/>
          <w:color w:val="231F20"/>
          <w:spacing w:val="-1"/>
          <w:sz w:val="16"/>
        </w:rPr>
        <w:t>Islander</w:t>
      </w:r>
      <w:r>
        <w:rPr>
          <w:rFonts w:ascii="Segoe UI"/>
          <w:color w:val="231F20"/>
          <w:spacing w:val="-3"/>
          <w:sz w:val="16"/>
        </w:rPr>
        <w:t> </w:t>
      </w:r>
      <w:r>
        <w:rPr>
          <w:rFonts w:ascii="Segoe UI"/>
          <w:color w:val="231F20"/>
          <w:sz w:val="16"/>
        </w:rPr>
        <w:t>families</w:t>
      </w:r>
      <w:r>
        <w:rPr>
          <w:rFonts w:ascii="Segoe UI"/>
          <w:color w:val="231F20"/>
          <w:spacing w:val="-5"/>
          <w:sz w:val="16"/>
        </w:rPr>
        <w:t> </w:t>
      </w:r>
      <w:r>
        <w:rPr>
          <w:rFonts w:ascii="Segoe UI"/>
          <w:color w:val="231F20"/>
          <w:spacing w:val="-1"/>
          <w:sz w:val="16"/>
        </w:rPr>
        <w:t>in</w:t>
      </w:r>
      <w:r>
        <w:rPr>
          <w:rFonts w:ascii="Segoe UI"/>
          <w:color w:val="231F20"/>
          <w:spacing w:val="23"/>
          <w:sz w:val="16"/>
        </w:rPr>
        <w:t> </w:t>
      </w:r>
      <w:r>
        <w:rPr>
          <w:rFonts w:ascii="Segoe UI"/>
          <w:color w:val="231F20"/>
          <w:sz w:val="16"/>
        </w:rPr>
        <w:t>remote</w:t>
      </w:r>
      <w:r>
        <w:rPr>
          <w:rFonts w:ascii="Segoe UI"/>
          <w:color w:val="231F20"/>
          <w:spacing w:val="-4"/>
          <w:sz w:val="16"/>
        </w:rPr>
        <w:t> </w:t>
      </w:r>
      <w:r>
        <w:rPr>
          <w:rFonts w:ascii="Segoe UI"/>
          <w:color w:val="231F20"/>
          <w:sz w:val="16"/>
        </w:rPr>
        <w:t>areas</w:t>
      </w:r>
      <w:r>
        <w:rPr>
          <w:rFonts w:ascii="Segoe UI"/>
          <w:color w:val="231F20"/>
          <w:spacing w:val="-4"/>
          <w:sz w:val="16"/>
        </w:rPr>
        <w:t> </w:t>
      </w:r>
      <w:r>
        <w:rPr>
          <w:rFonts w:ascii="Segoe UI"/>
          <w:color w:val="231F20"/>
          <w:sz w:val="16"/>
        </w:rPr>
        <w:t>to</w:t>
      </w:r>
      <w:r>
        <w:rPr>
          <w:rFonts w:ascii="Segoe UI"/>
          <w:color w:val="231F20"/>
          <w:spacing w:val="-3"/>
          <w:sz w:val="16"/>
        </w:rPr>
        <w:t> </w:t>
      </w:r>
      <w:r>
        <w:rPr>
          <w:rFonts w:ascii="Segoe UI"/>
          <w:color w:val="231F20"/>
          <w:spacing w:val="-1"/>
          <w:sz w:val="16"/>
        </w:rPr>
        <w:t>meet</w:t>
      </w:r>
      <w:r>
        <w:rPr>
          <w:rFonts w:ascii="Segoe UI"/>
          <w:color w:val="231F20"/>
          <w:spacing w:val="-3"/>
          <w:sz w:val="16"/>
        </w:rPr>
        <w:t> </w:t>
      </w:r>
      <w:r>
        <w:rPr>
          <w:rFonts w:ascii="Segoe UI"/>
          <w:color w:val="231F20"/>
          <w:sz w:val="16"/>
        </w:rPr>
        <w:t>boarding</w:t>
      </w:r>
      <w:r>
        <w:rPr>
          <w:rFonts w:ascii="Segoe UI"/>
          <w:color w:val="231F20"/>
          <w:spacing w:val="-3"/>
          <w:sz w:val="16"/>
        </w:rPr>
        <w:t> </w:t>
      </w:r>
      <w:r>
        <w:rPr>
          <w:rFonts w:ascii="Segoe UI"/>
          <w:color w:val="231F20"/>
          <w:sz w:val="16"/>
        </w:rPr>
        <w:t>costs</w:t>
      </w:r>
      <w:r>
        <w:rPr>
          <w:rFonts w:ascii="Segoe UI"/>
          <w:color w:val="231F20"/>
          <w:spacing w:val="-4"/>
          <w:sz w:val="16"/>
        </w:rPr>
        <w:t> </w:t>
      </w:r>
      <w:r>
        <w:rPr>
          <w:rFonts w:ascii="Segoe UI"/>
          <w:color w:val="231F20"/>
          <w:sz w:val="16"/>
        </w:rPr>
        <w:t>(disposable</w:t>
      </w:r>
      <w:r>
        <w:rPr>
          <w:rFonts w:ascii="Segoe UI"/>
          <w:color w:val="231F20"/>
          <w:spacing w:val="21"/>
          <w:sz w:val="16"/>
        </w:rPr>
        <w:t> </w:t>
      </w:r>
      <w:r>
        <w:rPr>
          <w:rFonts w:ascii="Segoe UI"/>
          <w:color w:val="231F20"/>
          <w:spacing w:val="-1"/>
          <w:sz w:val="16"/>
        </w:rPr>
        <w:t>income)</w:t>
      </w:r>
      <w:r>
        <w:rPr>
          <w:rFonts w:ascii="Segoe UI"/>
          <w:color w:val="231F20"/>
          <w:spacing w:val="-4"/>
          <w:sz w:val="16"/>
        </w:rPr>
        <w:t> </w:t>
      </w:r>
      <w:r>
        <w:rPr>
          <w:rFonts w:ascii="Segoe UI"/>
          <w:color w:val="231F20"/>
          <w:sz w:val="16"/>
        </w:rPr>
        <w:t>actually</w:t>
      </w:r>
      <w:r>
        <w:rPr>
          <w:rFonts w:ascii="Segoe UI"/>
          <w:color w:val="231F20"/>
          <w:spacing w:val="-4"/>
          <w:sz w:val="16"/>
        </w:rPr>
        <w:t> </w:t>
      </w:r>
      <w:r>
        <w:rPr>
          <w:rFonts w:ascii="Segoe UI"/>
          <w:color w:val="231F20"/>
          <w:sz w:val="16"/>
        </w:rPr>
        <w:t>decreased.</w:t>
      </w:r>
      <w:r>
        <w:rPr>
          <w:rFonts w:ascii="Segoe UI"/>
          <w:color w:val="231F20"/>
          <w:spacing w:val="-5"/>
          <w:sz w:val="16"/>
        </w:rPr>
        <w:t> </w:t>
      </w:r>
      <w:r>
        <w:rPr>
          <w:rFonts w:ascii="Segoe UI"/>
          <w:color w:val="231F20"/>
          <w:spacing w:val="-1"/>
          <w:sz w:val="16"/>
        </w:rPr>
        <w:t>In</w:t>
      </w:r>
      <w:r>
        <w:rPr>
          <w:rFonts w:ascii="Segoe UI"/>
          <w:color w:val="231F20"/>
          <w:spacing w:val="-3"/>
          <w:sz w:val="16"/>
        </w:rPr>
        <w:t> </w:t>
      </w:r>
      <w:r>
        <w:rPr>
          <w:rFonts w:ascii="Segoe UI"/>
          <w:color w:val="231F20"/>
          <w:sz w:val="16"/>
        </w:rPr>
        <w:t>the</w:t>
      </w:r>
      <w:r>
        <w:rPr>
          <w:rFonts w:ascii="Segoe UI"/>
          <w:color w:val="231F20"/>
          <w:spacing w:val="-5"/>
          <w:sz w:val="16"/>
        </w:rPr>
        <w:t> </w:t>
      </w:r>
      <w:r>
        <w:rPr>
          <w:rFonts w:ascii="Segoe UI"/>
          <w:color w:val="231F20"/>
          <w:spacing w:val="-1"/>
          <w:sz w:val="16"/>
        </w:rPr>
        <w:t>2016</w:t>
      </w:r>
      <w:r>
        <w:rPr>
          <w:rFonts w:ascii="Segoe UI"/>
          <w:color w:val="231F20"/>
          <w:spacing w:val="-3"/>
          <w:sz w:val="16"/>
        </w:rPr>
        <w:t> </w:t>
      </w:r>
      <w:r>
        <w:rPr>
          <w:rFonts w:ascii="Segoe UI"/>
          <w:color w:val="231F20"/>
          <w:spacing w:val="-1"/>
          <w:sz w:val="16"/>
        </w:rPr>
        <w:t>Census</w:t>
      </w:r>
      <w:r>
        <w:rPr>
          <w:rFonts w:ascii="Segoe UI"/>
          <w:color w:val="231F20"/>
          <w:spacing w:val="23"/>
          <w:sz w:val="16"/>
        </w:rPr>
        <w:t> </w:t>
      </w:r>
      <w:r>
        <w:rPr>
          <w:rFonts w:ascii="Segoe UI"/>
          <w:color w:val="231F20"/>
          <w:sz w:val="16"/>
        </w:rPr>
        <w:t>and for the first time, more than half of all</w:t>
      </w:r>
      <w:r>
        <w:rPr>
          <w:rFonts w:ascii="Segoe UI"/>
          <w:sz w:val="16"/>
        </w:rPr>
      </w:r>
    </w:p>
    <w:p>
      <w:pPr>
        <w:spacing w:line="200" w:lineRule="exact" w:before="0"/>
        <w:ind w:left="667" w:right="62" w:firstLine="0"/>
        <w:jc w:val="left"/>
        <w:rPr>
          <w:rFonts w:ascii="Segoe UI" w:hAnsi="Segoe UI" w:cs="Segoe UI" w:eastAsia="Segoe UI"/>
          <w:sz w:val="16"/>
          <w:szCs w:val="16"/>
        </w:rPr>
      </w:pPr>
      <w:r>
        <w:rPr>
          <w:rFonts w:ascii="Segoe UI"/>
          <w:color w:val="231F20"/>
          <w:sz w:val="16"/>
        </w:rPr>
        <w:t>Aboriginal</w:t>
      </w:r>
      <w:r>
        <w:rPr>
          <w:rFonts w:ascii="Segoe UI"/>
          <w:color w:val="231F20"/>
          <w:spacing w:val="-5"/>
          <w:sz w:val="16"/>
        </w:rPr>
        <w:t> </w:t>
      </w:r>
      <w:r>
        <w:rPr>
          <w:rFonts w:ascii="Segoe UI"/>
          <w:color w:val="231F20"/>
          <w:sz w:val="16"/>
        </w:rPr>
        <w:t>and</w:t>
      </w:r>
      <w:r>
        <w:rPr>
          <w:rFonts w:ascii="Segoe UI"/>
          <w:color w:val="231F20"/>
          <w:spacing w:val="-5"/>
          <w:sz w:val="16"/>
        </w:rPr>
        <w:t> </w:t>
      </w:r>
      <w:r>
        <w:rPr>
          <w:rFonts w:ascii="Segoe UI"/>
          <w:color w:val="231F20"/>
          <w:spacing w:val="-3"/>
          <w:sz w:val="16"/>
        </w:rPr>
        <w:t>Torres</w:t>
      </w:r>
      <w:r>
        <w:rPr>
          <w:rFonts w:ascii="Segoe UI"/>
          <w:color w:val="231F20"/>
          <w:spacing w:val="-5"/>
          <w:sz w:val="16"/>
        </w:rPr>
        <w:t> </w:t>
      </w:r>
      <w:r>
        <w:rPr>
          <w:rFonts w:ascii="Segoe UI"/>
          <w:color w:val="231F20"/>
          <w:spacing w:val="-1"/>
          <w:sz w:val="16"/>
        </w:rPr>
        <w:t>Strait</w:t>
      </w:r>
      <w:r>
        <w:rPr>
          <w:rFonts w:ascii="Segoe UI"/>
          <w:color w:val="231F20"/>
          <w:spacing w:val="-5"/>
          <w:sz w:val="16"/>
        </w:rPr>
        <w:t> </w:t>
      </w:r>
      <w:r>
        <w:rPr>
          <w:rFonts w:ascii="Segoe UI"/>
          <w:color w:val="231F20"/>
          <w:spacing w:val="-1"/>
          <w:sz w:val="16"/>
        </w:rPr>
        <w:t>Islander</w:t>
      </w:r>
      <w:r>
        <w:rPr>
          <w:rFonts w:ascii="Segoe UI"/>
          <w:color w:val="231F20"/>
          <w:spacing w:val="-4"/>
          <w:sz w:val="16"/>
        </w:rPr>
        <w:t> </w:t>
      </w:r>
      <w:r>
        <w:rPr>
          <w:rFonts w:ascii="Segoe UI"/>
          <w:color w:val="231F20"/>
          <w:sz w:val="16"/>
        </w:rPr>
        <w:t>people</w:t>
      </w:r>
      <w:r>
        <w:rPr>
          <w:rFonts w:ascii="Segoe UI"/>
          <w:color w:val="231F20"/>
          <w:spacing w:val="-6"/>
          <w:sz w:val="16"/>
        </w:rPr>
        <w:t> </w:t>
      </w:r>
      <w:r>
        <w:rPr>
          <w:rFonts w:ascii="Segoe UI"/>
          <w:color w:val="231F20"/>
          <w:spacing w:val="-1"/>
          <w:sz w:val="16"/>
        </w:rPr>
        <w:t>in</w:t>
      </w:r>
      <w:r>
        <w:rPr>
          <w:rFonts w:ascii="Segoe UI"/>
          <w:color w:val="231F20"/>
          <w:spacing w:val="-4"/>
          <w:sz w:val="16"/>
        </w:rPr>
        <w:t> </w:t>
      </w:r>
      <w:r>
        <w:rPr>
          <w:rFonts w:ascii="Segoe UI"/>
          <w:color w:val="231F20"/>
          <w:sz w:val="16"/>
        </w:rPr>
        <w:t>very</w:t>
      </w:r>
      <w:r>
        <w:rPr>
          <w:rFonts w:ascii="Segoe UI"/>
          <w:color w:val="231F20"/>
          <w:spacing w:val="25"/>
          <w:w w:val="99"/>
          <w:sz w:val="16"/>
        </w:rPr>
        <w:t> </w:t>
      </w:r>
      <w:r>
        <w:rPr>
          <w:rFonts w:ascii="Segoe UI"/>
          <w:color w:val="231F20"/>
          <w:sz w:val="16"/>
        </w:rPr>
        <w:t>remote</w:t>
      </w:r>
      <w:r>
        <w:rPr>
          <w:rFonts w:ascii="Segoe UI"/>
          <w:color w:val="231F20"/>
          <w:spacing w:val="-6"/>
          <w:sz w:val="16"/>
        </w:rPr>
        <w:t> </w:t>
      </w:r>
      <w:r>
        <w:rPr>
          <w:rFonts w:ascii="Segoe UI"/>
          <w:color w:val="231F20"/>
          <w:sz w:val="16"/>
        </w:rPr>
        <w:t>areas</w:t>
      </w:r>
      <w:r>
        <w:rPr>
          <w:rFonts w:ascii="Segoe UI"/>
          <w:color w:val="231F20"/>
          <w:spacing w:val="-5"/>
          <w:sz w:val="16"/>
        </w:rPr>
        <w:t> </w:t>
      </w:r>
      <w:r>
        <w:rPr>
          <w:rFonts w:ascii="Segoe UI"/>
          <w:color w:val="231F20"/>
          <w:sz w:val="16"/>
        </w:rPr>
        <w:t>were</w:t>
      </w:r>
      <w:r>
        <w:rPr>
          <w:rFonts w:ascii="Segoe UI"/>
          <w:color w:val="231F20"/>
          <w:spacing w:val="-5"/>
          <w:sz w:val="16"/>
        </w:rPr>
        <w:t> </w:t>
      </w:r>
      <w:r>
        <w:rPr>
          <w:rFonts w:ascii="Segoe UI"/>
          <w:color w:val="231F20"/>
          <w:spacing w:val="-1"/>
          <w:sz w:val="16"/>
        </w:rPr>
        <w:t>in</w:t>
      </w:r>
      <w:r>
        <w:rPr>
          <w:rFonts w:ascii="Segoe UI"/>
          <w:color w:val="231F20"/>
          <w:spacing w:val="-4"/>
          <w:sz w:val="16"/>
        </w:rPr>
        <w:t> </w:t>
      </w:r>
      <w:r>
        <w:rPr>
          <w:rFonts w:ascii="Segoe UI"/>
          <w:color w:val="231F20"/>
          <w:spacing w:val="-1"/>
          <w:sz w:val="16"/>
        </w:rPr>
        <w:t>income</w:t>
      </w:r>
      <w:r>
        <w:rPr>
          <w:rFonts w:ascii="Segoe UI"/>
          <w:color w:val="231F20"/>
          <w:spacing w:val="-4"/>
          <w:sz w:val="16"/>
        </w:rPr>
        <w:t> </w:t>
      </w:r>
      <w:r>
        <w:rPr>
          <w:rFonts w:ascii="Segoe UI"/>
          <w:color w:val="231F20"/>
          <w:sz w:val="16"/>
        </w:rPr>
        <w:t>poverty</w:t>
      </w:r>
      <w:r>
        <w:rPr>
          <w:rFonts w:ascii="Segoe UI"/>
          <w:color w:val="231F20"/>
          <w:spacing w:val="-6"/>
          <w:sz w:val="16"/>
        </w:rPr>
        <w:t> </w:t>
      </w:r>
      <w:r>
        <w:rPr>
          <w:rFonts w:ascii="Segoe UI"/>
          <w:color w:val="231F20"/>
          <w:sz w:val="16"/>
        </w:rPr>
        <w:t>(Markham,</w:t>
      </w:r>
      <w:r>
        <w:rPr>
          <w:rFonts w:ascii="Segoe UI"/>
          <w:color w:val="231F20"/>
          <w:spacing w:val="23"/>
          <w:w w:val="99"/>
          <w:sz w:val="16"/>
        </w:rPr>
        <w:t> </w:t>
      </w:r>
      <w:r>
        <w:rPr>
          <w:rFonts w:ascii="Segoe UI"/>
          <w:color w:val="231F20"/>
          <w:spacing w:val="-1"/>
          <w:sz w:val="16"/>
        </w:rPr>
        <w:t>2018).</w:t>
      </w:r>
      <w:r>
        <w:rPr>
          <w:rFonts w:ascii="Segoe UI"/>
          <w:color w:val="231F20"/>
          <w:spacing w:val="-4"/>
          <w:sz w:val="16"/>
        </w:rPr>
        <w:t> </w:t>
      </w:r>
      <w:r>
        <w:rPr>
          <w:rFonts w:ascii="Segoe UI"/>
          <w:color w:val="231F20"/>
          <w:spacing w:val="-1"/>
          <w:sz w:val="16"/>
        </w:rPr>
        <w:t>See</w:t>
      </w:r>
      <w:r>
        <w:rPr>
          <w:rFonts w:ascii="Segoe UI"/>
          <w:color w:val="231F20"/>
          <w:spacing w:val="-4"/>
          <w:sz w:val="16"/>
        </w:rPr>
        <w:t> </w:t>
      </w:r>
      <w:r>
        <w:rPr>
          <w:rFonts w:ascii="Segoe UI"/>
          <w:color w:val="231F20"/>
          <w:sz w:val="16"/>
        </w:rPr>
        <w:t>further</w:t>
      </w:r>
      <w:r>
        <w:rPr>
          <w:rFonts w:ascii="Segoe UI"/>
          <w:color w:val="231F20"/>
          <w:spacing w:val="-4"/>
          <w:sz w:val="16"/>
        </w:rPr>
        <w:t> </w:t>
      </w:r>
      <w:r>
        <w:rPr>
          <w:rFonts w:ascii="Segoe UI"/>
          <w:color w:val="231F20"/>
          <w:sz w:val="16"/>
        </w:rPr>
        <w:t>discussion</w:t>
      </w:r>
      <w:r>
        <w:rPr>
          <w:rFonts w:ascii="Segoe UI"/>
          <w:color w:val="231F20"/>
          <w:spacing w:val="-5"/>
          <w:sz w:val="16"/>
        </w:rPr>
        <w:t> </w:t>
      </w:r>
      <w:r>
        <w:rPr>
          <w:rFonts w:ascii="Segoe UI"/>
          <w:color w:val="231F20"/>
          <w:sz w:val="16"/>
        </w:rPr>
        <w:t>and</w:t>
      </w:r>
      <w:r>
        <w:rPr>
          <w:rFonts w:ascii="Segoe UI"/>
          <w:color w:val="231F20"/>
          <w:spacing w:val="-5"/>
          <w:sz w:val="16"/>
        </w:rPr>
        <w:t> </w:t>
      </w:r>
      <w:r>
        <w:rPr>
          <w:rFonts w:ascii="Segoe UI"/>
          <w:color w:val="231F20"/>
          <w:sz w:val="16"/>
        </w:rPr>
        <w:t>references</w:t>
      </w:r>
      <w:r>
        <w:rPr>
          <w:rFonts w:ascii="Segoe UI"/>
          <w:color w:val="231F20"/>
          <w:spacing w:val="-5"/>
          <w:sz w:val="16"/>
        </w:rPr>
        <w:t> </w:t>
      </w:r>
      <w:r>
        <w:rPr>
          <w:rFonts w:ascii="Segoe UI"/>
          <w:color w:val="231F20"/>
          <w:sz w:val="16"/>
        </w:rPr>
        <w:t>under</w:t>
      </w:r>
      <w:r>
        <w:rPr>
          <w:rFonts w:ascii="Segoe UI"/>
          <w:color w:val="231F20"/>
          <w:spacing w:val="23"/>
          <w:w w:val="99"/>
          <w:sz w:val="16"/>
        </w:rPr>
        <w:t> </w:t>
      </w:r>
      <w:r>
        <w:rPr>
          <w:rFonts w:ascii="Segoe UI"/>
          <w:color w:val="231F20"/>
          <w:sz w:val="16"/>
        </w:rPr>
        <w:t>Private</w:t>
      </w:r>
      <w:r>
        <w:rPr>
          <w:rFonts w:ascii="Segoe UI"/>
          <w:color w:val="231F20"/>
          <w:spacing w:val="-4"/>
          <w:sz w:val="16"/>
        </w:rPr>
        <w:t> </w:t>
      </w:r>
      <w:r>
        <w:rPr>
          <w:rFonts w:ascii="Segoe UI"/>
          <w:color w:val="231F20"/>
          <w:sz w:val="16"/>
        </w:rPr>
        <w:t>fees</w:t>
      </w:r>
      <w:r>
        <w:rPr>
          <w:rFonts w:ascii="Segoe UI"/>
          <w:color w:val="231F20"/>
          <w:spacing w:val="-5"/>
          <w:sz w:val="16"/>
        </w:rPr>
        <w:t> </w:t>
      </w:r>
      <w:r>
        <w:rPr>
          <w:rFonts w:ascii="Segoe UI"/>
          <w:color w:val="231F20"/>
          <w:sz w:val="16"/>
        </w:rPr>
        <w:t>and</w:t>
      </w:r>
      <w:r>
        <w:rPr>
          <w:rFonts w:ascii="Segoe UI"/>
          <w:color w:val="231F20"/>
          <w:spacing w:val="-4"/>
          <w:sz w:val="16"/>
        </w:rPr>
        <w:t> </w:t>
      </w:r>
      <w:r>
        <w:rPr>
          <w:rFonts w:ascii="Segoe UI"/>
          <w:color w:val="231F20"/>
          <w:sz w:val="16"/>
        </w:rPr>
        <w:t>parental</w:t>
      </w:r>
      <w:r>
        <w:rPr>
          <w:rFonts w:ascii="Segoe UI"/>
          <w:color w:val="231F20"/>
          <w:spacing w:val="-4"/>
          <w:sz w:val="16"/>
        </w:rPr>
        <w:t> </w:t>
      </w:r>
      <w:r>
        <w:rPr>
          <w:rFonts w:ascii="Segoe UI"/>
          <w:color w:val="231F20"/>
          <w:sz w:val="16"/>
        </w:rPr>
        <w:t>contributions</w:t>
      </w:r>
      <w:r>
        <w:rPr>
          <w:rFonts w:ascii="Segoe UI"/>
          <w:color w:val="231F20"/>
          <w:spacing w:val="-5"/>
          <w:sz w:val="16"/>
        </w:rPr>
        <w:t> </w:t>
      </w:r>
      <w:r>
        <w:rPr>
          <w:rFonts w:ascii="Segoe UI"/>
          <w:color w:val="231F20"/>
          <w:spacing w:val="-1"/>
          <w:sz w:val="16"/>
        </w:rPr>
        <w:t>in</w:t>
      </w:r>
      <w:r>
        <w:rPr>
          <w:rFonts w:ascii="Segoe UI"/>
          <w:color w:val="231F20"/>
          <w:spacing w:val="-4"/>
          <w:sz w:val="16"/>
        </w:rPr>
        <w:t> </w:t>
      </w:r>
      <w:r>
        <w:rPr>
          <w:rFonts w:ascii="Segoe UI"/>
          <w:color w:val="231F20"/>
          <w:spacing w:val="-2"/>
          <w:sz w:val="16"/>
        </w:rPr>
        <w:t>Part</w:t>
      </w:r>
      <w:r>
        <w:rPr>
          <w:rFonts w:ascii="Segoe UI"/>
          <w:color w:val="231F20"/>
          <w:spacing w:val="-4"/>
          <w:sz w:val="16"/>
        </w:rPr>
        <w:t> </w:t>
      </w:r>
      <w:r>
        <w:rPr>
          <w:rFonts w:ascii="Segoe UI"/>
          <w:color w:val="231F20"/>
          <w:sz w:val="16"/>
        </w:rPr>
        <w:t>10</w:t>
      </w:r>
      <w:r>
        <w:rPr>
          <w:rFonts w:ascii="Segoe UI"/>
          <w:sz w:val="16"/>
        </w:rPr>
      </w:r>
    </w:p>
    <w:p>
      <w:pPr>
        <w:numPr>
          <w:ilvl w:val="0"/>
          <w:numId w:val="8"/>
        </w:numPr>
        <w:tabs>
          <w:tab w:pos="668" w:val="left" w:leader="none"/>
        </w:tabs>
        <w:spacing w:before="100"/>
        <w:ind w:left="667" w:right="212" w:hanging="567"/>
        <w:jc w:val="left"/>
        <w:rPr>
          <w:rFonts w:ascii="Segoe UI" w:hAnsi="Segoe UI" w:cs="Segoe UI" w:eastAsia="Segoe UI"/>
          <w:sz w:val="16"/>
          <w:szCs w:val="16"/>
        </w:rPr>
      </w:pPr>
      <w:r>
        <w:rPr>
          <w:rFonts w:ascii="Segoe UI"/>
          <w:color w:val="231F20"/>
          <w:sz w:val="16"/>
        </w:rPr>
        <w:t>Guenther,</w:t>
      </w:r>
      <w:r>
        <w:rPr>
          <w:rFonts w:ascii="Segoe UI"/>
          <w:color w:val="231F20"/>
          <w:spacing w:val="-7"/>
          <w:sz w:val="16"/>
        </w:rPr>
        <w:t> </w:t>
      </w:r>
      <w:r>
        <w:rPr>
          <w:rFonts w:ascii="Segoe UI"/>
          <w:color w:val="231F20"/>
          <w:sz w:val="16"/>
        </w:rPr>
        <w:t>2017</w:t>
      </w:r>
      <w:r>
        <w:rPr>
          <w:rFonts w:ascii="Segoe UI"/>
          <w:sz w:val="16"/>
        </w:rPr>
      </w:r>
    </w:p>
    <w:p>
      <w:pPr>
        <w:numPr>
          <w:ilvl w:val="0"/>
          <w:numId w:val="8"/>
        </w:numPr>
        <w:tabs>
          <w:tab w:pos="668" w:val="left" w:leader="none"/>
        </w:tabs>
        <w:spacing w:line="200" w:lineRule="exact" w:before="113"/>
        <w:ind w:left="667" w:right="387" w:hanging="567"/>
        <w:jc w:val="left"/>
        <w:rPr>
          <w:rFonts w:ascii="Segoe UI" w:hAnsi="Segoe UI" w:cs="Segoe UI" w:eastAsia="Segoe UI"/>
          <w:sz w:val="16"/>
          <w:szCs w:val="16"/>
        </w:rPr>
      </w:pPr>
      <w:r>
        <w:rPr>
          <w:rFonts w:ascii="Segoe UI"/>
          <w:color w:val="231F20"/>
          <w:spacing w:val="-1"/>
          <w:sz w:val="16"/>
        </w:rPr>
        <w:t>Some</w:t>
      </w:r>
      <w:r>
        <w:rPr>
          <w:rFonts w:ascii="Segoe UI"/>
          <w:color w:val="231F20"/>
          <w:spacing w:val="-4"/>
          <w:sz w:val="16"/>
        </w:rPr>
        <w:t> </w:t>
      </w:r>
      <w:r>
        <w:rPr>
          <w:rFonts w:ascii="Segoe UI"/>
          <w:color w:val="231F20"/>
          <w:spacing w:val="-1"/>
          <w:sz w:val="16"/>
        </w:rPr>
        <w:t>states</w:t>
      </w:r>
      <w:r>
        <w:rPr>
          <w:rFonts w:ascii="Segoe UI"/>
          <w:color w:val="231F20"/>
          <w:spacing w:val="-4"/>
          <w:sz w:val="16"/>
        </w:rPr>
        <w:t> </w:t>
      </w:r>
      <w:r>
        <w:rPr>
          <w:rFonts w:ascii="Segoe UI"/>
          <w:color w:val="231F20"/>
          <w:sz w:val="16"/>
        </w:rPr>
        <w:t>and</w:t>
      </w:r>
      <w:r>
        <w:rPr>
          <w:rFonts w:ascii="Segoe UI"/>
          <w:color w:val="231F20"/>
          <w:spacing w:val="-5"/>
          <w:sz w:val="16"/>
        </w:rPr>
        <w:t> </w:t>
      </w:r>
      <w:r>
        <w:rPr>
          <w:rFonts w:ascii="Segoe UI"/>
          <w:color w:val="231F20"/>
          <w:sz w:val="16"/>
        </w:rPr>
        <w:t>territories</w:t>
      </w:r>
      <w:r>
        <w:rPr>
          <w:rFonts w:ascii="Segoe UI"/>
          <w:color w:val="231F20"/>
          <w:spacing w:val="-4"/>
          <w:sz w:val="16"/>
        </w:rPr>
        <w:t> </w:t>
      </w:r>
      <w:r>
        <w:rPr>
          <w:rFonts w:ascii="Segoe UI"/>
          <w:color w:val="231F20"/>
          <w:spacing w:val="-1"/>
          <w:sz w:val="16"/>
        </w:rPr>
        <w:t>provide</w:t>
      </w:r>
      <w:r>
        <w:rPr>
          <w:rFonts w:ascii="Segoe UI"/>
          <w:color w:val="231F20"/>
          <w:spacing w:val="-5"/>
          <w:sz w:val="16"/>
        </w:rPr>
        <w:t> </w:t>
      </w:r>
      <w:r>
        <w:rPr>
          <w:rFonts w:ascii="Segoe UI"/>
          <w:color w:val="231F20"/>
          <w:sz w:val="16"/>
        </w:rPr>
        <w:t>funding</w:t>
      </w:r>
      <w:r>
        <w:rPr>
          <w:rFonts w:ascii="Segoe UI"/>
          <w:color w:val="231F20"/>
          <w:spacing w:val="-4"/>
          <w:sz w:val="16"/>
        </w:rPr>
        <w:t> </w:t>
      </w:r>
      <w:r>
        <w:rPr>
          <w:rFonts w:ascii="Segoe UI"/>
          <w:color w:val="231F20"/>
          <w:sz w:val="16"/>
        </w:rPr>
        <w:t>for</w:t>
      </w:r>
      <w:r>
        <w:rPr>
          <w:rFonts w:ascii="Segoe UI"/>
          <w:color w:val="231F20"/>
          <w:spacing w:val="29"/>
          <w:w w:val="99"/>
          <w:sz w:val="16"/>
        </w:rPr>
        <w:t> </w:t>
      </w:r>
      <w:r>
        <w:rPr>
          <w:rFonts w:ascii="Segoe UI"/>
          <w:color w:val="231F20"/>
          <w:sz w:val="16"/>
        </w:rPr>
        <w:t>boarding</w:t>
      </w:r>
      <w:r>
        <w:rPr>
          <w:rFonts w:ascii="Segoe UI"/>
          <w:color w:val="231F20"/>
          <w:spacing w:val="-7"/>
          <w:sz w:val="16"/>
        </w:rPr>
        <w:t> </w:t>
      </w:r>
      <w:r>
        <w:rPr>
          <w:rFonts w:ascii="Segoe UI"/>
          <w:color w:val="231F20"/>
          <w:sz w:val="16"/>
        </w:rPr>
        <w:t>and</w:t>
      </w:r>
      <w:r>
        <w:rPr>
          <w:rFonts w:ascii="Segoe UI"/>
          <w:color w:val="231F20"/>
          <w:spacing w:val="-7"/>
          <w:sz w:val="16"/>
        </w:rPr>
        <w:t> </w:t>
      </w:r>
      <w:r>
        <w:rPr>
          <w:rFonts w:ascii="Segoe UI"/>
          <w:color w:val="231F20"/>
          <w:sz w:val="16"/>
        </w:rPr>
        <w:t>the</w:t>
      </w:r>
      <w:r>
        <w:rPr>
          <w:rFonts w:ascii="Segoe UI"/>
          <w:color w:val="231F20"/>
          <w:spacing w:val="-7"/>
          <w:sz w:val="16"/>
        </w:rPr>
        <w:t> </w:t>
      </w:r>
      <w:r>
        <w:rPr>
          <w:rFonts w:ascii="Segoe UI"/>
          <w:color w:val="231F20"/>
          <w:spacing w:val="-1"/>
          <w:sz w:val="16"/>
        </w:rPr>
        <w:t>Commonwealth</w:t>
      </w:r>
      <w:r>
        <w:rPr>
          <w:rFonts w:ascii="Segoe UI"/>
          <w:color w:val="231F20"/>
          <w:spacing w:val="-5"/>
          <w:sz w:val="16"/>
        </w:rPr>
        <w:t> </w:t>
      </w:r>
      <w:r>
        <w:rPr>
          <w:rFonts w:ascii="Segoe UI"/>
          <w:color w:val="231F20"/>
          <w:spacing w:val="-1"/>
          <w:sz w:val="16"/>
        </w:rPr>
        <w:t>supports</w:t>
      </w:r>
      <w:r>
        <w:rPr>
          <w:rFonts w:ascii="Segoe UI"/>
          <w:color w:val="231F20"/>
          <w:spacing w:val="-6"/>
          <w:sz w:val="16"/>
        </w:rPr>
        <w:t> </w:t>
      </w:r>
      <w:r>
        <w:rPr>
          <w:rFonts w:ascii="Segoe UI"/>
          <w:color w:val="231F20"/>
          <w:spacing w:val="-1"/>
          <w:sz w:val="16"/>
        </w:rPr>
        <w:t>some</w:t>
      </w:r>
      <w:r>
        <w:rPr>
          <w:rFonts w:ascii="Segoe UI"/>
          <w:color w:val="231F20"/>
          <w:spacing w:val="22"/>
          <w:sz w:val="16"/>
        </w:rPr>
        <w:t> </w:t>
      </w:r>
      <w:r>
        <w:rPr>
          <w:rFonts w:ascii="Segoe UI"/>
          <w:color w:val="231F20"/>
          <w:sz w:val="16"/>
        </w:rPr>
        <w:t>boarding</w:t>
      </w:r>
      <w:r>
        <w:rPr>
          <w:rFonts w:ascii="Segoe UI"/>
          <w:color w:val="231F20"/>
          <w:spacing w:val="-9"/>
          <w:sz w:val="16"/>
        </w:rPr>
        <w:t> </w:t>
      </w:r>
      <w:r>
        <w:rPr>
          <w:rFonts w:ascii="Segoe UI"/>
          <w:color w:val="231F20"/>
          <w:sz w:val="16"/>
        </w:rPr>
        <w:t>through</w:t>
      </w:r>
      <w:r>
        <w:rPr>
          <w:rFonts w:ascii="Segoe UI"/>
          <w:color w:val="231F20"/>
          <w:spacing w:val="-9"/>
          <w:sz w:val="16"/>
        </w:rPr>
        <w:t> </w:t>
      </w:r>
      <w:r>
        <w:rPr>
          <w:rFonts w:ascii="Segoe UI"/>
          <w:color w:val="231F20"/>
          <w:sz w:val="16"/>
        </w:rPr>
        <w:t>the</w:t>
      </w:r>
      <w:r>
        <w:rPr>
          <w:rFonts w:ascii="Segoe UI"/>
          <w:color w:val="231F20"/>
          <w:spacing w:val="-9"/>
          <w:sz w:val="16"/>
        </w:rPr>
        <w:t> </w:t>
      </w:r>
      <w:r>
        <w:rPr>
          <w:rFonts w:ascii="Segoe UI"/>
          <w:color w:val="231F20"/>
          <w:spacing w:val="-1"/>
          <w:sz w:val="16"/>
        </w:rPr>
        <w:t>Indigenous</w:t>
      </w:r>
      <w:r>
        <w:rPr>
          <w:rFonts w:ascii="Segoe UI"/>
          <w:color w:val="231F20"/>
          <w:spacing w:val="-8"/>
          <w:sz w:val="16"/>
        </w:rPr>
        <w:t> </w:t>
      </w:r>
      <w:r>
        <w:rPr>
          <w:rFonts w:ascii="Segoe UI"/>
          <w:color w:val="231F20"/>
          <w:sz w:val="16"/>
        </w:rPr>
        <w:t>Advancement</w:t>
      </w:r>
      <w:r>
        <w:rPr>
          <w:rFonts w:ascii="Segoe UI"/>
          <w:color w:val="231F20"/>
          <w:spacing w:val="22"/>
          <w:w w:val="99"/>
          <w:sz w:val="16"/>
        </w:rPr>
        <w:t> </w:t>
      </w:r>
      <w:r>
        <w:rPr>
          <w:rFonts w:ascii="Segoe UI"/>
          <w:color w:val="231F20"/>
          <w:spacing w:val="-1"/>
          <w:sz w:val="16"/>
        </w:rPr>
        <w:t>Strategy</w:t>
      </w:r>
      <w:r>
        <w:rPr>
          <w:rFonts w:ascii="Segoe UI"/>
          <w:color w:val="231F20"/>
          <w:spacing w:val="-5"/>
          <w:sz w:val="16"/>
        </w:rPr>
        <w:t> </w:t>
      </w:r>
      <w:r>
        <w:rPr>
          <w:rFonts w:ascii="Segoe UI"/>
          <w:color w:val="231F20"/>
          <w:sz w:val="16"/>
        </w:rPr>
        <w:t>by</w:t>
      </w:r>
      <w:r>
        <w:rPr>
          <w:rFonts w:ascii="Segoe UI"/>
          <w:color w:val="231F20"/>
          <w:spacing w:val="-3"/>
          <w:sz w:val="16"/>
        </w:rPr>
        <w:t> </w:t>
      </w:r>
      <w:r>
        <w:rPr>
          <w:rFonts w:ascii="Segoe UI"/>
          <w:color w:val="231F20"/>
          <w:sz w:val="16"/>
        </w:rPr>
        <w:t>way</w:t>
      </w:r>
      <w:r>
        <w:rPr>
          <w:rFonts w:ascii="Segoe UI"/>
          <w:color w:val="231F20"/>
          <w:spacing w:val="-4"/>
          <w:sz w:val="16"/>
        </w:rPr>
        <w:t> </w:t>
      </w:r>
      <w:r>
        <w:rPr>
          <w:rFonts w:ascii="Segoe UI"/>
          <w:color w:val="231F20"/>
          <w:sz w:val="16"/>
        </w:rPr>
        <w:t>of</w:t>
      </w:r>
      <w:r>
        <w:rPr>
          <w:rFonts w:ascii="Segoe UI"/>
          <w:color w:val="231F20"/>
          <w:spacing w:val="-3"/>
          <w:sz w:val="16"/>
        </w:rPr>
        <w:t> </w:t>
      </w:r>
      <w:r>
        <w:rPr>
          <w:rFonts w:ascii="Segoe UI"/>
          <w:color w:val="231F20"/>
          <w:sz w:val="16"/>
        </w:rPr>
        <w:t>direct</w:t>
      </w:r>
      <w:r>
        <w:rPr>
          <w:rFonts w:ascii="Segoe UI"/>
          <w:color w:val="231F20"/>
          <w:spacing w:val="-4"/>
          <w:sz w:val="16"/>
        </w:rPr>
        <w:t> </w:t>
      </w:r>
      <w:r>
        <w:rPr>
          <w:rFonts w:ascii="Segoe UI"/>
          <w:color w:val="231F20"/>
          <w:spacing w:val="-1"/>
          <w:sz w:val="16"/>
        </w:rPr>
        <w:t>support</w:t>
      </w:r>
      <w:r>
        <w:rPr>
          <w:rFonts w:ascii="Segoe UI"/>
          <w:color w:val="231F20"/>
          <w:spacing w:val="-3"/>
          <w:sz w:val="16"/>
        </w:rPr>
        <w:t> </w:t>
      </w:r>
      <w:r>
        <w:rPr>
          <w:rFonts w:ascii="Segoe UI"/>
          <w:color w:val="231F20"/>
          <w:sz w:val="16"/>
        </w:rPr>
        <w:t>or</w:t>
      </w:r>
      <w:r>
        <w:rPr>
          <w:rFonts w:ascii="Segoe UI"/>
          <w:color w:val="231F20"/>
          <w:spacing w:val="-3"/>
          <w:sz w:val="16"/>
        </w:rPr>
        <w:t> </w:t>
      </w:r>
      <w:r>
        <w:rPr>
          <w:rFonts w:ascii="Segoe UI"/>
          <w:color w:val="231F20"/>
          <w:spacing w:val="-1"/>
          <w:sz w:val="16"/>
        </w:rPr>
        <w:t>scholarships</w:t>
      </w:r>
      <w:r>
        <w:rPr>
          <w:rFonts w:ascii="Segoe UI"/>
          <w:sz w:val="16"/>
        </w:rPr>
      </w:r>
    </w:p>
    <w:p>
      <w:pPr>
        <w:numPr>
          <w:ilvl w:val="0"/>
          <w:numId w:val="8"/>
        </w:numPr>
        <w:tabs>
          <w:tab w:pos="668" w:val="left" w:leader="none"/>
        </w:tabs>
        <w:spacing w:line="200" w:lineRule="exact" w:before="113"/>
        <w:ind w:left="667" w:right="492" w:hanging="567"/>
        <w:jc w:val="left"/>
        <w:rPr>
          <w:rFonts w:ascii="Segoe UI" w:hAnsi="Segoe UI" w:cs="Segoe UI" w:eastAsia="Segoe UI"/>
          <w:sz w:val="16"/>
          <w:szCs w:val="16"/>
        </w:rPr>
      </w:pPr>
      <w:r>
        <w:rPr>
          <w:rFonts w:ascii="Segoe UI"/>
          <w:color w:val="231F20"/>
          <w:sz w:val="16"/>
        </w:rPr>
        <w:t>There</w:t>
      </w:r>
      <w:r>
        <w:rPr>
          <w:rFonts w:ascii="Segoe UI"/>
          <w:color w:val="231F20"/>
          <w:spacing w:val="-3"/>
          <w:sz w:val="16"/>
        </w:rPr>
        <w:t> </w:t>
      </w:r>
      <w:r>
        <w:rPr>
          <w:rFonts w:ascii="Segoe UI"/>
          <w:color w:val="231F20"/>
          <w:spacing w:val="-1"/>
          <w:sz w:val="16"/>
        </w:rPr>
        <w:t>is</w:t>
      </w:r>
      <w:r>
        <w:rPr>
          <w:rFonts w:ascii="Segoe UI"/>
          <w:color w:val="231F20"/>
          <w:spacing w:val="-3"/>
          <w:sz w:val="16"/>
        </w:rPr>
        <w:t> </w:t>
      </w:r>
      <w:r>
        <w:rPr>
          <w:rFonts w:ascii="Segoe UI"/>
          <w:color w:val="231F20"/>
          <w:sz w:val="16"/>
        </w:rPr>
        <w:t>a</w:t>
      </w:r>
      <w:r>
        <w:rPr>
          <w:rFonts w:ascii="Segoe UI"/>
          <w:color w:val="231F20"/>
          <w:spacing w:val="-2"/>
          <w:sz w:val="16"/>
        </w:rPr>
        <w:t> </w:t>
      </w:r>
      <w:r>
        <w:rPr>
          <w:rFonts w:ascii="Segoe UI"/>
          <w:color w:val="231F20"/>
          <w:sz w:val="16"/>
        </w:rPr>
        <w:t>broader</w:t>
      </w:r>
      <w:r>
        <w:rPr>
          <w:rFonts w:ascii="Segoe UI"/>
          <w:color w:val="231F20"/>
          <w:spacing w:val="-2"/>
          <w:sz w:val="16"/>
        </w:rPr>
        <w:t> </w:t>
      </w:r>
      <w:r>
        <w:rPr>
          <w:rFonts w:ascii="Segoe UI"/>
          <w:color w:val="231F20"/>
          <w:sz w:val="16"/>
        </w:rPr>
        <w:t>discussion</w:t>
      </w:r>
      <w:r>
        <w:rPr>
          <w:rFonts w:ascii="Segoe UI"/>
          <w:color w:val="231F20"/>
          <w:spacing w:val="-4"/>
          <w:sz w:val="16"/>
        </w:rPr>
        <w:t> </w:t>
      </w:r>
      <w:r>
        <w:rPr>
          <w:rFonts w:ascii="Segoe UI"/>
          <w:color w:val="231F20"/>
          <w:spacing w:val="-1"/>
          <w:sz w:val="16"/>
        </w:rPr>
        <w:t>later</w:t>
      </w:r>
      <w:r>
        <w:rPr>
          <w:rFonts w:ascii="Segoe UI"/>
          <w:color w:val="231F20"/>
          <w:spacing w:val="-2"/>
          <w:sz w:val="16"/>
        </w:rPr>
        <w:t> </w:t>
      </w:r>
      <w:r>
        <w:rPr>
          <w:rFonts w:ascii="Segoe UI"/>
          <w:color w:val="231F20"/>
          <w:spacing w:val="-1"/>
          <w:sz w:val="16"/>
        </w:rPr>
        <w:t>in</w:t>
      </w:r>
      <w:r>
        <w:rPr>
          <w:rFonts w:ascii="Segoe UI"/>
          <w:color w:val="231F20"/>
          <w:spacing w:val="-2"/>
          <w:sz w:val="16"/>
        </w:rPr>
        <w:t> </w:t>
      </w:r>
      <w:r>
        <w:rPr>
          <w:rFonts w:ascii="Segoe UI"/>
          <w:color w:val="231F20"/>
          <w:sz w:val="16"/>
        </w:rPr>
        <w:t>this</w:t>
      </w:r>
      <w:r>
        <w:rPr>
          <w:rFonts w:ascii="Segoe UI"/>
          <w:color w:val="231F20"/>
          <w:spacing w:val="-3"/>
          <w:sz w:val="16"/>
        </w:rPr>
        <w:t> </w:t>
      </w:r>
      <w:r>
        <w:rPr>
          <w:rFonts w:ascii="Segoe UI"/>
          <w:color w:val="231F20"/>
          <w:sz w:val="16"/>
        </w:rPr>
        <w:t>report</w:t>
      </w:r>
      <w:r>
        <w:rPr>
          <w:rFonts w:ascii="Segoe UI"/>
          <w:color w:val="231F20"/>
          <w:spacing w:val="24"/>
          <w:w w:val="99"/>
          <w:sz w:val="16"/>
        </w:rPr>
        <w:t> </w:t>
      </w:r>
      <w:r>
        <w:rPr>
          <w:rFonts w:ascii="Segoe UI"/>
          <w:color w:val="231F20"/>
          <w:sz w:val="16"/>
        </w:rPr>
        <w:t>regarding</w:t>
      </w:r>
      <w:r>
        <w:rPr>
          <w:rFonts w:ascii="Segoe UI"/>
          <w:color w:val="231F20"/>
          <w:spacing w:val="-6"/>
          <w:sz w:val="16"/>
        </w:rPr>
        <w:t> </w:t>
      </w:r>
      <w:r>
        <w:rPr>
          <w:rFonts w:ascii="Segoe UI"/>
          <w:color w:val="231F20"/>
          <w:sz w:val="16"/>
        </w:rPr>
        <w:t>what</w:t>
      </w:r>
      <w:r>
        <w:rPr>
          <w:rFonts w:ascii="Segoe UI"/>
          <w:color w:val="231F20"/>
          <w:spacing w:val="-5"/>
          <w:sz w:val="16"/>
        </w:rPr>
        <w:t> </w:t>
      </w:r>
      <w:r>
        <w:rPr>
          <w:rFonts w:ascii="Segoe UI"/>
          <w:color w:val="231F20"/>
          <w:sz w:val="16"/>
        </w:rPr>
        <w:t>components</w:t>
      </w:r>
      <w:r>
        <w:rPr>
          <w:rFonts w:ascii="Segoe UI"/>
          <w:color w:val="231F20"/>
          <w:spacing w:val="-6"/>
          <w:sz w:val="16"/>
        </w:rPr>
        <w:t> </w:t>
      </w:r>
      <w:r>
        <w:rPr>
          <w:rFonts w:ascii="Segoe UI"/>
          <w:color w:val="231F20"/>
          <w:sz w:val="16"/>
        </w:rPr>
        <w:t>of</w:t>
      </w:r>
      <w:r>
        <w:rPr>
          <w:rFonts w:ascii="Segoe UI"/>
          <w:color w:val="231F20"/>
          <w:spacing w:val="-5"/>
          <w:sz w:val="16"/>
        </w:rPr>
        <w:t> </w:t>
      </w:r>
      <w:r>
        <w:rPr>
          <w:rFonts w:ascii="Segoe UI"/>
          <w:color w:val="231F20"/>
          <w:sz w:val="16"/>
        </w:rPr>
        <w:t>ABSTUDY</w:t>
      </w:r>
      <w:r>
        <w:rPr>
          <w:rFonts w:ascii="Segoe UI"/>
          <w:color w:val="231F20"/>
          <w:spacing w:val="-4"/>
          <w:sz w:val="16"/>
        </w:rPr>
        <w:t> </w:t>
      </w:r>
      <w:r>
        <w:rPr>
          <w:rFonts w:ascii="Segoe UI"/>
          <w:color w:val="231F20"/>
          <w:sz w:val="16"/>
        </w:rPr>
        <w:t>are</w:t>
      </w:r>
      <w:r>
        <w:rPr>
          <w:rFonts w:ascii="Segoe UI"/>
          <w:color w:val="231F20"/>
          <w:w w:val="99"/>
          <w:sz w:val="16"/>
        </w:rPr>
        <w:t> </w:t>
      </w:r>
      <w:r>
        <w:rPr>
          <w:rFonts w:ascii="Segoe UI"/>
          <w:color w:val="231F20"/>
          <w:spacing w:val="-1"/>
          <w:sz w:val="16"/>
        </w:rPr>
        <w:t>means</w:t>
      </w:r>
      <w:r>
        <w:rPr>
          <w:rFonts w:ascii="Segoe UI"/>
          <w:color w:val="231F20"/>
          <w:spacing w:val="-3"/>
          <w:sz w:val="16"/>
        </w:rPr>
        <w:t> </w:t>
      </w:r>
      <w:r>
        <w:rPr>
          <w:rFonts w:ascii="Segoe UI"/>
          <w:color w:val="231F20"/>
          <w:sz w:val="16"/>
        </w:rPr>
        <w:t>tested</w:t>
      </w:r>
      <w:r>
        <w:rPr>
          <w:rFonts w:ascii="Segoe UI"/>
          <w:color w:val="231F20"/>
          <w:spacing w:val="-4"/>
          <w:sz w:val="16"/>
        </w:rPr>
        <w:t> </w:t>
      </w:r>
      <w:r>
        <w:rPr>
          <w:rFonts w:ascii="Segoe UI"/>
          <w:color w:val="231F20"/>
          <w:sz w:val="16"/>
        </w:rPr>
        <w:t>and</w:t>
      </w:r>
      <w:r>
        <w:rPr>
          <w:rFonts w:ascii="Segoe UI"/>
          <w:color w:val="231F20"/>
          <w:spacing w:val="-3"/>
          <w:sz w:val="16"/>
        </w:rPr>
        <w:t> </w:t>
      </w:r>
      <w:r>
        <w:rPr>
          <w:rFonts w:ascii="Segoe UI"/>
          <w:color w:val="231F20"/>
          <w:sz w:val="16"/>
        </w:rPr>
        <w:t>not</w:t>
      </w:r>
      <w:r>
        <w:rPr>
          <w:rFonts w:ascii="Segoe UI"/>
          <w:color w:val="231F20"/>
          <w:spacing w:val="-3"/>
          <w:sz w:val="16"/>
        </w:rPr>
        <w:t> </w:t>
      </w:r>
      <w:r>
        <w:rPr>
          <w:rFonts w:ascii="Segoe UI"/>
          <w:color w:val="231F20"/>
          <w:spacing w:val="-1"/>
          <w:sz w:val="16"/>
        </w:rPr>
        <w:t>means</w:t>
      </w:r>
      <w:r>
        <w:rPr>
          <w:rFonts w:ascii="Segoe UI"/>
          <w:color w:val="231F20"/>
          <w:spacing w:val="-3"/>
          <w:sz w:val="16"/>
        </w:rPr>
        <w:t> </w:t>
      </w:r>
      <w:r>
        <w:rPr>
          <w:rFonts w:ascii="Segoe UI"/>
          <w:color w:val="231F20"/>
          <w:sz w:val="16"/>
        </w:rPr>
        <w:t>tested</w:t>
      </w:r>
      <w:r>
        <w:rPr>
          <w:rFonts w:ascii="Segoe UI"/>
          <w:color w:val="231F20"/>
          <w:spacing w:val="-4"/>
          <w:sz w:val="16"/>
        </w:rPr>
        <w:t> </w:t>
      </w:r>
      <w:r>
        <w:rPr>
          <w:rFonts w:ascii="Segoe UI"/>
          <w:color w:val="231F20"/>
          <w:sz w:val="16"/>
        </w:rPr>
        <w:t>and</w:t>
      </w:r>
      <w:r>
        <w:rPr>
          <w:rFonts w:ascii="Segoe UI"/>
          <w:color w:val="231F20"/>
          <w:spacing w:val="-3"/>
          <w:sz w:val="16"/>
        </w:rPr>
        <w:t> </w:t>
      </w:r>
      <w:r>
        <w:rPr>
          <w:rFonts w:ascii="Segoe UI"/>
          <w:color w:val="231F20"/>
          <w:sz w:val="16"/>
        </w:rPr>
        <w:t>the</w:t>
      </w:r>
      <w:r>
        <w:rPr>
          <w:rFonts w:ascii="Segoe UI"/>
          <w:color w:val="231F20"/>
          <w:spacing w:val="23"/>
          <w:w w:val="99"/>
          <w:sz w:val="16"/>
        </w:rPr>
        <w:t> </w:t>
      </w:r>
      <w:r>
        <w:rPr>
          <w:rFonts w:ascii="Segoe UI"/>
          <w:color w:val="231F20"/>
          <w:sz w:val="16"/>
        </w:rPr>
        <w:t>capacity</w:t>
      </w:r>
      <w:r>
        <w:rPr>
          <w:rFonts w:ascii="Segoe UI"/>
          <w:color w:val="231F20"/>
          <w:spacing w:val="-6"/>
          <w:sz w:val="16"/>
        </w:rPr>
        <w:t> </w:t>
      </w:r>
      <w:r>
        <w:rPr>
          <w:rFonts w:ascii="Segoe UI"/>
          <w:color w:val="231F20"/>
          <w:sz w:val="16"/>
        </w:rPr>
        <w:t>of</w:t>
      </w:r>
      <w:r>
        <w:rPr>
          <w:rFonts w:ascii="Segoe UI"/>
          <w:color w:val="231F20"/>
          <w:spacing w:val="-4"/>
          <w:sz w:val="16"/>
        </w:rPr>
        <w:t> </w:t>
      </w:r>
      <w:r>
        <w:rPr>
          <w:rFonts w:ascii="Segoe UI"/>
          <w:color w:val="231F20"/>
          <w:sz w:val="16"/>
        </w:rPr>
        <w:t>parents</w:t>
      </w:r>
      <w:r>
        <w:rPr>
          <w:rFonts w:ascii="Segoe UI"/>
          <w:color w:val="231F20"/>
          <w:spacing w:val="-5"/>
          <w:sz w:val="16"/>
        </w:rPr>
        <w:t> </w:t>
      </w:r>
      <w:r>
        <w:rPr>
          <w:rFonts w:ascii="Segoe UI"/>
          <w:color w:val="231F20"/>
          <w:sz w:val="16"/>
        </w:rPr>
        <w:t>to</w:t>
      </w:r>
      <w:r>
        <w:rPr>
          <w:rFonts w:ascii="Segoe UI"/>
          <w:color w:val="231F20"/>
          <w:spacing w:val="-4"/>
          <w:sz w:val="16"/>
        </w:rPr>
        <w:t> </w:t>
      </w:r>
      <w:r>
        <w:rPr>
          <w:rFonts w:ascii="Segoe UI"/>
          <w:color w:val="231F20"/>
          <w:sz w:val="16"/>
        </w:rPr>
        <w:t>pay</w:t>
      </w:r>
      <w:r>
        <w:rPr>
          <w:rFonts w:ascii="Segoe UI"/>
          <w:sz w:val="16"/>
        </w:rPr>
      </w:r>
    </w:p>
    <w:p>
      <w:pPr>
        <w:numPr>
          <w:ilvl w:val="0"/>
          <w:numId w:val="8"/>
        </w:numPr>
        <w:tabs>
          <w:tab w:pos="668" w:val="left" w:leader="none"/>
        </w:tabs>
        <w:spacing w:line="200" w:lineRule="exact" w:before="113"/>
        <w:ind w:left="667" w:right="390" w:hanging="567"/>
        <w:jc w:val="left"/>
        <w:rPr>
          <w:rFonts w:ascii="Segoe UI" w:hAnsi="Segoe UI" w:cs="Segoe UI" w:eastAsia="Segoe UI"/>
          <w:sz w:val="16"/>
          <w:szCs w:val="16"/>
        </w:rPr>
      </w:pPr>
      <w:r>
        <w:rPr>
          <w:rFonts w:ascii="Segoe UI"/>
          <w:i/>
          <w:color w:val="231F20"/>
          <w:sz w:val="16"/>
        </w:rPr>
        <w:t>Barriers</w:t>
      </w:r>
      <w:r>
        <w:rPr>
          <w:rFonts w:ascii="Segoe UI"/>
          <w:i/>
          <w:color w:val="231F20"/>
          <w:spacing w:val="-5"/>
          <w:sz w:val="16"/>
        </w:rPr>
        <w:t> </w:t>
      </w:r>
      <w:r>
        <w:rPr>
          <w:rFonts w:ascii="Segoe UI"/>
          <w:i/>
          <w:color w:val="231F20"/>
          <w:sz w:val="16"/>
        </w:rPr>
        <w:t>and</w:t>
      </w:r>
      <w:r>
        <w:rPr>
          <w:rFonts w:ascii="Segoe UI"/>
          <w:i/>
          <w:color w:val="231F20"/>
          <w:spacing w:val="-4"/>
          <w:sz w:val="16"/>
        </w:rPr>
        <w:t> </w:t>
      </w:r>
      <w:r>
        <w:rPr>
          <w:rFonts w:ascii="Segoe UI"/>
          <w:i/>
          <w:color w:val="231F20"/>
          <w:spacing w:val="-2"/>
          <w:sz w:val="16"/>
        </w:rPr>
        <w:t>Bureaucracy,</w:t>
      </w:r>
      <w:r>
        <w:rPr>
          <w:rFonts w:ascii="Segoe UI"/>
          <w:i/>
          <w:color w:val="231F20"/>
          <w:spacing w:val="-4"/>
          <w:sz w:val="16"/>
        </w:rPr>
        <w:t> </w:t>
      </w:r>
      <w:r>
        <w:rPr>
          <w:rFonts w:ascii="Segoe UI"/>
          <w:i/>
          <w:color w:val="231F20"/>
          <w:spacing w:val="-1"/>
          <w:sz w:val="16"/>
        </w:rPr>
        <w:t>Bridges</w:t>
      </w:r>
      <w:r>
        <w:rPr>
          <w:rFonts w:ascii="Segoe UI"/>
          <w:i/>
          <w:color w:val="231F20"/>
          <w:spacing w:val="-5"/>
          <w:sz w:val="16"/>
        </w:rPr>
        <w:t> </w:t>
      </w:r>
      <w:r>
        <w:rPr>
          <w:rFonts w:ascii="Segoe UI"/>
          <w:i/>
          <w:color w:val="231F20"/>
          <w:sz w:val="16"/>
        </w:rPr>
        <w:t>and</w:t>
      </w:r>
      <w:r>
        <w:rPr>
          <w:rFonts w:ascii="Segoe UI"/>
          <w:i/>
          <w:color w:val="231F20"/>
          <w:spacing w:val="-4"/>
          <w:sz w:val="16"/>
        </w:rPr>
        <w:t> </w:t>
      </w:r>
      <w:r>
        <w:rPr>
          <w:rFonts w:ascii="Segoe UI"/>
          <w:i/>
          <w:color w:val="231F20"/>
          <w:spacing w:val="-1"/>
          <w:sz w:val="16"/>
        </w:rPr>
        <w:t>Brokers</w:t>
      </w:r>
      <w:r>
        <w:rPr>
          <w:rFonts w:ascii="Segoe UI"/>
          <w:color w:val="231F20"/>
          <w:spacing w:val="-1"/>
          <w:sz w:val="16"/>
        </w:rPr>
        <w:t>,</w:t>
      </w:r>
      <w:r>
        <w:rPr>
          <w:rFonts w:ascii="Segoe UI"/>
          <w:color w:val="231F20"/>
          <w:spacing w:val="37"/>
          <w:w w:val="99"/>
          <w:sz w:val="16"/>
        </w:rPr>
        <w:t> </w:t>
      </w:r>
      <w:r>
        <w:rPr>
          <w:rFonts w:ascii="Segoe UI"/>
          <w:color w:val="231F20"/>
          <w:spacing w:val="-1"/>
          <w:sz w:val="16"/>
        </w:rPr>
        <w:t>Centre</w:t>
      </w:r>
      <w:r>
        <w:rPr>
          <w:rFonts w:ascii="Segoe UI"/>
          <w:color w:val="231F20"/>
          <w:spacing w:val="-6"/>
          <w:sz w:val="16"/>
        </w:rPr>
        <w:t> </w:t>
      </w:r>
      <w:r>
        <w:rPr>
          <w:rFonts w:ascii="Segoe UI"/>
          <w:color w:val="231F20"/>
          <w:sz w:val="16"/>
        </w:rPr>
        <w:t>for</w:t>
      </w:r>
      <w:r>
        <w:rPr>
          <w:rFonts w:ascii="Segoe UI"/>
          <w:color w:val="231F20"/>
          <w:spacing w:val="-5"/>
          <w:sz w:val="16"/>
        </w:rPr>
        <w:t> </w:t>
      </w:r>
      <w:r>
        <w:rPr>
          <w:rFonts w:ascii="Segoe UI"/>
          <w:color w:val="231F20"/>
          <w:sz w:val="16"/>
        </w:rPr>
        <w:t>Aboriginal</w:t>
      </w:r>
      <w:r>
        <w:rPr>
          <w:rFonts w:ascii="Segoe UI"/>
          <w:color w:val="231F20"/>
          <w:spacing w:val="-5"/>
          <w:sz w:val="16"/>
        </w:rPr>
        <w:t> </w:t>
      </w:r>
      <w:r>
        <w:rPr>
          <w:rFonts w:ascii="Segoe UI"/>
          <w:color w:val="231F20"/>
          <w:sz w:val="16"/>
        </w:rPr>
        <w:t>Economic</w:t>
      </w:r>
      <w:r>
        <w:rPr>
          <w:rFonts w:ascii="Segoe UI"/>
          <w:color w:val="231F20"/>
          <w:spacing w:val="-6"/>
          <w:sz w:val="16"/>
        </w:rPr>
        <w:t> </w:t>
      </w:r>
      <w:r>
        <w:rPr>
          <w:rFonts w:ascii="Segoe UI"/>
          <w:color w:val="231F20"/>
          <w:spacing w:val="-2"/>
          <w:sz w:val="16"/>
        </w:rPr>
        <w:t>Policy</w:t>
      </w:r>
      <w:r>
        <w:rPr>
          <w:rFonts w:ascii="Segoe UI"/>
          <w:color w:val="231F20"/>
          <w:spacing w:val="-7"/>
          <w:sz w:val="16"/>
        </w:rPr>
        <w:t> </w:t>
      </w:r>
      <w:r>
        <w:rPr>
          <w:rFonts w:ascii="Segoe UI"/>
          <w:color w:val="231F20"/>
          <w:spacing w:val="-1"/>
          <w:sz w:val="16"/>
        </w:rPr>
        <w:t>Research</w:t>
      </w:r>
      <w:r>
        <w:rPr>
          <w:rFonts w:ascii="Segoe UI"/>
          <w:color w:val="231F20"/>
          <w:spacing w:val="30"/>
          <w:w w:val="99"/>
          <w:sz w:val="16"/>
        </w:rPr>
        <w:t> </w:t>
      </w:r>
      <w:r>
        <w:rPr>
          <w:rFonts w:ascii="Segoe UI"/>
          <w:color w:val="231F20"/>
          <w:sz w:val="16"/>
        </w:rPr>
        <w:t>for</w:t>
      </w:r>
      <w:r>
        <w:rPr>
          <w:rFonts w:ascii="Segoe UI"/>
          <w:color w:val="231F20"/>
          <w:spacing w:val="-4"/>
          <w:sz w:val="16"/>
        </w:rPr>
        <w:t> </w:t>
      </w:r>
      <w:r>
        <w:rPr>
          <w:rFonts w:ascii="Segoe UI"/>
          <w:color w:val="231F20"/>
          <w:sz w:val="16"/>
        </w:rPr>
        <w:t>the</w:t>
      </w:r>
      <w:r>
        <w:rPr>
          <w:rFonts w:ascii="Segoe UI"/>
          <w:color w:val="231F20"/>
          <w:spacing w:val="-4"/>
          <w:sz w:val="16"/>
        </w:rPr>
        <w:t> </w:t>
      </w:r>
      <w:r>
        <w:rPr>
          <w:rFonts w:ascii="Segoe UI"/>
          <w:color w:val="231F20"/>
          <w:spacing w:val="-1"/>
          <w:sz w:val="16"/>
        </w:rPr>
        <w:t>Independent</w:t>
      </w:r>
      <w:r>
        <w:rPr>
          <w:rFonts w:ascii="Segoe UI"/>
          <w:color w:val="231F20"/>
          <w:spacing w:val="-4"/>
          <w:sz w:val="16"/>
        </w:rPr>
        <w:t> </w:t>
      </w:r>
      <w:r>
        <w:rPr>
          <w:rFonts w:ascii="Segoe UI"/>
          <w:color w:val="231F20"/>
          <w:spacing w:val="-1"/>
          <w:sz w:val="16"/>
        </w:rPr>
        <w:t>Schools</w:t>
      </w:r>
      <w:r>
        <w:rPr>
          <w:rFonts w:ascii="Segoe UI"/>
          <w:color w:val="231F20"/>
          <w:spacing w:val="-4"/>
          <w:sz w:val="16"/>
        </w:rPr>
        <w:t> </w:t>
      </w:r>
      <w:r>
        <w:rPr>
          <w:rFonts w:ascii="Segoe UI"/>
          <w:color w:val="231F20"/>
          <w:spacing w:val="-1"/>
          <w:sz w:val="16"/>
        </w:rPr>
        <w:t>Council</w:t>
      </w:r>
      <w:r>
        <w:rPr>
          <w:rFonts w:ascii="Segoe UI"/>
          <w:color w:val="231F20"/>
          <w:spacing w:val="-3"/>
          <w:sz w:val="16"/>
        </w:rPr>
        <w:t> </w:t>
      </w:r>
      <w:r>
        <w:rPr>
          <w:rFonts w:ascii="Segoe UI"/>
          <w:color w:val="231F20"/>
          <w:sz w:val="16"/>
        </w:rPr>
        <w:t>of</w:t>
      </w:r>
      <w:r>
        <w:rPr>
          <w:rFonts w:ascii="Segoe UI"/>
          <w:color w:val="231F20"/>
          <w:spacing w:val="-4"/>
          <w:sz w:val="16"/>
        </w:rPr>
        <w:t> </w:t>
      </w:r>
      <w:r>
        <w:rPr>
          <w:rFonts w:ascii="Segoe UI"/>
          <w:color w:val="231F20"/>
          <w:sz w:val="16"/>
        </w:rPr>
        <w:t>Australia,</w:t>
      </w:r>
      <w:r>
        <w:rPr>
          <w:rFonts w:ascii="Segoe UI"/>
          <w:color w:val="231F20"/>
          <w:spacing w:val="24"/>
          <w:w w:val="99"/>
          <w:sz w:val="16"/>
        </w:rPr>
        <w:t> </w:t>
      </w:r>
      <w:r>
        <w:rPr>
          <w:rFonts w:ascii="Segoe UI"/>
          <w:color w:val="231F20"/>
          <w:sz w:val="16"/>
        </w:rPr>
        <w:t>2017</w:t>
      </w:r>
      <w:r>
        <w:rPr>
          <w:rFonts w:ascii="Segoe UI"/>
          <w:sz w:val="16"/>
        </w:rPr>
      </w:r>
    </w:p>
    <w:p>
      <w:pPr>
        <w:numPr>
          <w:ilvl w:val="0"/>
          <w:numId w:val="8"/>
        </w:numPr>
        <w:tabs>
          <w:tab w:pos="668" w:val="left" w:leader="none"/>
        </w:tabs>
        <w:spacing w:line="200" w:lineRule="exact" w:before="113"/>
        <w:ind w:left="667" w:right="699" w:hanging="567"/>
        <w:jc w:val="left"/>
        <w:rPr>
          <w:rFonts w:ascii="Segoe UI" w:hAnsi="Segoe UI" w:cs="Segoe UI" w:eastAsia="Segoe UI"/>
          <w:sz w:val="16"/>
          <w:szCs w:val="16"/>
        </w:rPr>
      </w:pPr>
      <w:r>
        <w:rPr>
          <w:rFonts w:ascii="Segoe UI"/>
          <w:i/>
          <w:color w:val="231F20"/>
          <w:spacing w:val="-1"/>
          <w:sz w:val="16"/>
        </w:rPr>
        <w:t>Boarding</w:t>
      </w:r>
      <w:r>
        <w:rPr>
          <w:rFonts w:ascii="Segoe UI"/>
          <w:i/>
          <w:color w:val="231F20"/>
          <w:spacing w:val="-4"/>
          <w:sz w:val="16"/>
        </w:rPr>
        <w:t> </w:t>
      </w:r>
      <w:r>
        <w:rPr>
          <w:rFonts w:ascii="Segoe UI"/>
          <w:i/>
          <w:color w:val="231F20"/>
          <w:spacing w:val="-1"/>
          <w:sz w:val="16"/>
        </w:rPr>
        <w:t>Standard</w:t>
      </w:r>
      <w:r>
        <w:rPr>
          <w:rFonts w:ascii="Segoe UI"/>
          <w:i/>
          <w:color w:val="231F20"/>
          <w:spacing w:val="-3"/>
          <w:sz w:val="16"/>
        </w:rPr>
        <w:t> </w:t>
      </w:r>
      <w:r>
        <w:rPr>
          <w:rFonts w:ascii="Segoe UI"/>
          <w:i/>
          <w:color w:val="231F20"/>
          <w:sz w:val="16"/>
        </w:rPr>
        <w:t>for</w:t>
      </w:r>
      <w:r>
        <w:rPr>
          <w:rFonts w:ascii="Segoe UI"/>
          <w:i/>
          <w:color w:val="231F20"/>
          <w:spacing w:val="-4"/>
          <w:sz w:val="16"/>
        </w:rPr>
        <w:t> </w:t>
      </w:r>
      <w:r>
        <w:rPr>
          <w:rFonts w:ascii="Segoe UI"/>
          <w:i/>
          <w:color w:val="231F20"/>
          <w:spacing w:val="-1"/>
          <w:sz w:val="16"/>
        </w:rPr>
        <w:t>Australian</w:t>
      </w:r>
      <w:r>
        <w:rPr>
          <w:rFonts w:ascii="Segoe UI"/>
          <w:i/>
          <w:color w:val="231F20"/>
          <w:spacing w:val="-3"/>
          <w:sz w:val="16"/>
        </w:rPr>
        <w:t> </w:t>
      </w:r>
      <w:r>
        <w:rPr>
          <w:rFonts w:ascii="Segoe UI"/>
          <w:i/>
          <w:color w:val="231F20"/>
          <w:spacing w:val="-1"/>
          <w:sz w:val="16"/>
        </w:rPr>
        <w:t>Schools</w:t>
      </w:r>
      <w:r>
        <w:rPr>
          <w:rFonts w:ascii="Segoe UI"/>
          <w:i/>
          <w:color w:val="231F20"/>
          <w:spacing w:val="-3"/>
          <w:sz w:val="16"/>
        </w:rPr>
        <w:t> </w:t>
      </w:r>
      <w:r>
        <w:rPr>
          <w:rFonts w:ascii="Segoe UI"/>
          <w:i/>
          <w:color w:val="231F20"/>
          <w:sz w:val="16"/>
        </w:rPr>
        <w:t>and</w:t>
      </w:r>
      <w:r>
        <w:rPr>
          <w:rFonts w:ascii="Segoe UI"/>
          <w:i/>
          <w:color w:val="231F20"/>
          <w:spacing w:val="43"/>
          <w:w w:val="99"/>
          <w:sz w:val="16"/>
        </w:rPr>
        <w:t> </w:t>
      </w:r>
      <w:r>
        <w:rPr>
          <w:rFonts w:ascii="Segoe UI"/>
          <w:i/>
          <w:color w:val="231F20"/>
          <w:spacing w:val="-1"/>
          <w:sz w:val="16"/>
        </w:rPr>
        <w:t>Residences</w:t>
      </w:r>
      <w:r>
        <w:rPr>
          <w:rFonts w:ascii="Segoe UI"/>
          <w:i/>
          <w:color w:val="231F20"/>
          <w:spacing w:val="-5"/>
          <w:sz w:val="16"/>
        </w:rPr>
        <w:t> </w:t>
      </w:r>
      <w:r>
        <w:rPr>
          <w:rFonts w:ascii="Segoe UI"/>
          <w:color w:val="231F20"/>
          <w:sz w:val="16"/>
        </w:rPr>
        <w:t>(AS</w:t>
      </w:r>
      <w:r>
        <w:rPr>
          <w:rFonts w:ascii="Segoe UI"/>
          <w:color w:val="231F20"/>
          <w:spacing w:val="-4"/>
          <w:sz w:val="16"/>
        </w:rPr>
        <w:t> </w:t>
      </w:r>
      <w:r>
        <w:rPr>
          <w:rFonts w:ascii="Segoe UI"/>
          <w:color w:val="231F20"/>
          <w:sz w:val="16"/>
        </w:rPr>
        <w:t>5725:2015)</w:t>
      </w:r>
      <w:r>
        <w:rPr>
          <w:rFonts w:ascii="Segoe UI"/>
          <w:sz w:val="16"/>
        </w:rPr>
      </w:r>
    </w:p>
    <w:p>
      <w:pPr>
        <w:numPr>
          <w:ilvl w:val="0"/>
          <w:numId w:val="8"/>
        </w:numPr>
        <w:tabs>
          <w:tab w:pos="668" w:val="left" w:leader="none"/>
        </w:tabs>
        <w:spacing w:line="206" w:lineRule="exact" w:before="100"/>
        <w:ind w:left="667" w:right="212" w:hanging="567"/>
        <w:jc w:val="left"/>
        <w:rPr>
          <w:rFonts w:ascii="Segoe UI" w:hAnsi="Segoe UI" w:cs="Segoe UI" w:eastAsia="Segoe UI"/>
          <w:sz w:val="16"/>
          <w:szCs w:val="16"/>
        </w:rPr>
      </w:pPr>
      <w:r>
        <w:rPr>
          <w:rFonts w:ascii="Segoe UI"/>
          <w:color w:val="231F20"/>
          <w:sz w:val="16"/>
        </w:rPr>
        <w:t>The</w:t>
      </w:r>
      <w:r>
        <w:rPr>
          <w:rFonts w:ascii="Segoe UI"/>
          <w:color w:val="231F20"/>
          <w:spacing w:val="-3"/>
          <w:sz w:val="16"/>
        </w:rPr>
        <w:t> </w:t>
      </w:r>
      <w:r>
        <w:rPr>
          <w:rFonts w:ascii="Segoe UI"/>
          <w:color w:val="231F20"/>
          <w:spacing w:val="-1"/>
          <w:sz w:val="16"/>
        </w:rPr>
        <w:t>survey</w:t>
      </w:r>
      <w:r>
        <w:rPr>
          <w:rFonts w:ascii="Segoe UI"/>
          <w:color w:val="231F20"/>
          <w:spacing w:val="-3"/>
          <w:sz w:val="16"/>
        </w:rPr>
        <w:t> </w:t>
      </w:r>
      <w:r>
        <w:rPr>
          <w:rFonts w:ascii="Segoe UI"/>
          <w:color w:val="231F20"/>
          <w:sz w:val="16"/>
        </w:rPr>
        <w:t>was</w:t>
      </w:r>
      <w:r>
        <w:rPr>
          <w:rFonts w:ascii="Segoe UI"/>
          <w:color w:val="231F20"/>
          <w:spacing w:val="-4"/>
          <w:sz w:val="16"/>
        </w:rPr>
        <w:t> </w:t>
      </w:r>
      <w:r>
        <w:rPr>
          <w:rFonts w:ascii="Segoe UI"/>
          <w:color w:val="231F20"/>
          <w:sz w:val="16"/>
        </w:rPr>
        <w:t>a</w:t>
      </w:r>
      <w:r>
        <w:rPr>
          <w:rFonts w:ascii="Segoe UI"/>
          <w:color w:val="231F20"/>
          <w:spacing w:val="-3"/>
          <w:sz w:val="16"/>
        </w:rPr>
        <w:t> </w:t>
      </w:r>
      <w:r>
        <w:rPr>
          <w:rFonts w:ascii="Segoe UI"/>
          <w:color w:val="231F20"/>
          <w:spacing w:val="-1"/>
          <w:sz w:val="16"/>
        </w:rPr>
        <w:t>self-assessment</w:t>
      </w:r>
      <w:r>
        <w:rPr>
          <w:rFonts w:ascii="Segoe UI"/>
          <w:color w:val="231F20"/>
          <w:spacing w:val="-3"/>
          <w:sz w:val="16"/>
        </w:rPr>
        <w:t> </w:t>
      </w:r>
      <w:r>
        <w:rPr>
          <w:rFonts w:ascii="Segoe UI"/>
          <w:color w:val="231F20"/>
          <w:sz w:val="16"/>
        </w:rPr>
        <w:t>and</w:t>
      </w:r>
      <w:r>
        <w:rPr>
          <w:rFonts w:ascii="Segoe UI"/>
          <w:color w:val="231F20"/>
          <w:spacing w:val="-4"/>
          <w:sz w:val="16"/>
        </w:rPr>
        <w:t> </w:t>
      </w:r>
      <w:r>
        <w:rPr>
          <w:rFonts w:ascii="Segoe UI"/>
          <w:color w:val="231F20"/>
          <w:sz w:val="16"/>
        </w:rPr>
        <w:t>was</w:t>
      </w:r>
      <w:r>
        <w:rPr>
          <w:rFonts w:ascii="Segoe UI"/>
          <w:color w:val="231F20"/>
          <w:spacing w:val="-4"/>
          <w:sz w:val="16"/>
        </w:rPr>
        <w:t> </w:t>
      </w:r>
      <w:r>
        <w:rPr>
          <w:rFonts w:ascii="Segoe UI"/>
          <w:color w:val="231F20"/>
          <w:sz w:val="16"/>
        </w:rPr>
        <w:t>not</w:t>
      </w:r>
      <w:r>
        <w:rPr>
          <w:rFonts w:ascii="Segoe UI"/>
          <w:sz w:val="16"/>
        </w:rPr>
      </w:r>
    </w:p>
    <w:p>
      <w:pPr>
        <w:spacing w:line="206" w:lineRule="exact" w:before="0"/>
        <w:ind w:left="667" w:right="212" w:firstLine="0"/>
        <w:jc w:val="left"/>
        <w:rPr>
          <w:rFonts w:ascii="Segoe UI" w:hAnsi="Segoe UI" w:cs="Segoe UI" w:eastAsia="Segoe UI"/>
          <w:sz w:val="16"/>
          <w:szCs w:val="16"/>
        </w:rPr>
      </w:pPr>
      <w:r>
        <w:rPr>
          <w:rFonts w:ascii="Segoe UI"/>
          <w:color w:val="231F20"/>
          <w:sz w:val="16"/>
        </w:rPr>
        <w:t>independently assessed or verified</w:t>
      </w:r>
      <w:r>
        <w:rPr>
          <w:rFonts w:ascii="Segoe UI"/>
          <w:sz w:val="16"/>
        </w:rPr>
      </w:r>
    </w:p>
    <w:p>
      <w:pPr>
        <w:tabs>
          <w:tab w:pos="667" w:val="left" w:leader="none"/>
        </w:tabs>
        <w:spacing w:before="100"/>
        <w:ind w:left="100" w:right="212" w:firstLine="0"/>
        <w:jc w:val="left"/>
        <w:rPr>
          <w:rFonts w:ascii="Segoe UI" w:hAnsi="Segoe UI" w:cs="Segoe UI" w:eastAsia="Segoe UI"/>
          <w:sz w:val="16"/>
          <w:szCs w:val="16"/>
        </w:rPr>
      </w:pPr>
      <w:r>
        <w:rPr>
          <w:rFonts w:ascii="Segoe UI"/>
          <w:color w:val="231F20"/>
          <w:sz w:val="16"/>
        </w:rPr>
        <w:t>24</w:t>
        <w:tab/>
      </w:r>
      <w:r>
        <w:rPr>
          <w:rFonts w:ascii="Segoe UI"/>
          <w:color w:val="231F20"/>
          <w:spacing w:val="-1"/>
          <w:sz w:val="16"/>
        </w:rPr>
        <w:t>KPMG,</w:t>
      </w:r>
      <w:r>
        <w:rPr>
          <w:rFonts w:ascii="Segoe UI"/>
          <w:color w:val="231F20"/>
          <w:spacing w:val="-2"/>
          <w:sz w:val="16"/>
        </w:rPr>
        <w:t> </w:t>
      </w:r>
      <w:r>
        <w:rPr>
          <w:rFonts w:ascii="Segoe UI"/>
          <w:color w:val="231F20"/>
          <w:spacing w:val="-1"/>
          <w:sz w:val="16"/>
        </w:rPr>
        <w:t>2016,</w:t>
      </w:r>
      <w:r>
        <w:rPr>
          <w:rFonts w:ascii="Segoe UI"/>
          <w:color w:val="231F20"/>
          <w:spacing w:val="-2"/>
          <w:sz w:val="16"/>
        </w:rPr>
        <w:t> </w:t>
      </w:r>
      <w:r>
        <w:rPr>
          <w:rFonts w:ascii="Segoe UI"/>
          <w:color w:val="231F20"/>
          <w:sz w:val="16"/>
        </w:rPr>
        <w:t>p.</w:t>
      </w:r>
      <w:r>
        <w:rPr>
          <w:rFonts w:ascii="Segoe UI"/>
          <w:color w:val="231F20"/>
          <w:spacing w:val="-2"/>
          <w:sz w:val="16"/>
        </w:rPr>
        <w:t> </w:t>
      </w:r>
      <w:r>
        <w:rPr>
          <w:rFonts w:ascii="Segoe UI"/>
          <w:color w:val="231F20"/>
          <w:sz w:val="16"/>
        </w:rPr>
        <w:t>22</w:t>
      </w:r>
      <w:r>
        <w:rPr>
          <w:rFonts w:ascii="Segoe UI"/>
          <w:sz w:val="16"/>
        </w:rPr>
      </w:r>
    </w:p>
    <w:p>
      <w:pPr>
        <w:spacing w:after="0"/>
        <w:jc w:val="left"/>
        <w:rPr>
          <w:rFonts w:ascii="Segoe UI" w:hAnsi="Segoe UI" w:cs="Segoe UI" w:eastAsia="Segoe UI"/>
          <w:sz w:val="16"/>
          <w:szCs w:val="16"/>
        </w:rPr>
        <w:sectPr>
          <w:type w:val="continuous"/>
          <w:pgSz w:w="11910" w:h="16840"/>
          <w:pgMar w:top="1580" w:bottom="280" w:left="1600" w:right="1300"/>
          <w:cols w:num="2" w:equalWidth="0">
            <w:col w:w="4251" w:space="242"/>
            <w:col w:w="4517"/>
          </w:cols>
        </w:sectPr>
      </w:pPr>
    </w:p>
    <w:p>
      <w:pPr>
        <w:spacing w:line="240" w:lineRule="auto" w:before="0"/>
        <w:rPr>
          <w:rFonts w:ascii="Segoe UI" w:hAnsi="Segoe UI" w:cs="Segoe UI" w:eastAsia="Segoe UI"/>
          <w:sz w:val="20"/>
          <w:szCs w:val="20"/>
        </w:rPr>
      </w:pPr>
    </w:p>
    <w:p>
      <w:pPr>
        <w:spacing w:line="240" w:lineRule="auto" w:before="11"/>
        <w:rPr>
          <w:rFonts w:ascii="Segoe UI" w:hAnsi="Segoe UI" w:cs="Segoe UI" w:eastAsia="Segoe UI"/>
          <w:sz w:val="21"/>
          <w:szCs w:val="21"/>
        </w:rPr>
      </w:pPr>
    </w:p>
    <w:p>
      <w:pPr>
        <w:spacing w:after="0" w:line="240" w:lineRule="auto"/>
        <w:rPr>
          <w:rFonts w:ascii="Segoe UI" w:hAnsi="Segoe UI" w:cs="Segoe UI" w:eastAsia="Segoe UI"/>
          <w:sz w:val="21"/>
          <w:szCs w:val="21"/>
        </w:rPr>
        <w:sectPr>
          <w:pgSz w:w="11910" w:h="16840"/>
          <w:pgMar w:header="0" w:footer="691" w:top="1580" w:bottom="880" w:left="1300" w:right="1680"/>
        </w:sectPr>
      </w:pPr>
    </w:p>
    <w:p>
      <w:pPr>
        <w:numPr>
          <w:ilvl w:val="0"/>
          <w:numId w:val="9"/>
        </w:numPr>
        <w:tabs>
          <w:tab w:pos="685" w:val="left" w:leader="none"/>
        </w:tabs>
        <w:spacing w:line="200" w:lineRule="exact" w:before="70"/>
        <w:ind w:left="684" w:right="124" w:hanging="567"/>
        <w:jc w:val="left"/>
        <w:rPr>
          <w:rFonts w:ascii="Segoe UI" w:hAnsi="Segoe UI" w:cs="Segoe UI" w:eastAsia="Segoe UI"/>
          <w:sz w:val="16"/>
          <w:szCs w:val="16"/>
        </w:rPr>
      </w:pPr>
      <w:r>
        <w:rPr>
          <w:rFonts w:ascii="Segoe UI" w:hAnsi="Segoe UI" w:cs="Segoe UI" w:eastAsia="Segoe UI"/>
          <w:color w:val="231F20"/>
          <w:sz w:val="16"/>
          <w:szCs w:val="16"/>
        </w:rPr>
        <w:t>Medicare</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items</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715/228:</w:t>
      </w:r>
      <w:r>
        <w:rPr>
          <w:rFonts w:ascii="Segoe UI" w:hAnsi="Segoe UI" w:cs="Segoe UI" w:eastAsia="Segoe UI"/>
          <w:color w:val="231F20"/>
          <w:spacing w:val="-4"/>
          <w:sz w:val="16"/>
          <w:szCs w:val="16"/>
        </w:rPr>
        <w:t> </w:t>
      </w:r>
      <w:r>
        <w:rPr>
          <w:rFonts w:ascii="Segoe UI" w:hAnsi="Segoe UI" w:cs="Segoe UI" w:eastAsia="Segoe UI"/>
          <w:color w:val="231F20"/>
          <w:sz w:val="16"/>
          <w:szCs w:val="16"/>
        </w:rPr>
        <w:t>A</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health</w:t>
      </w:r>
      <w:r>
        <w:rPr>
          <w:rFonts w:ascii="Segoe UI" w:hAnsi="Segoe UI" w:cs="Segoe UI" w:eastAsia="Segoe UI"/>
          <w:color w:val="231F20"/>
          <w:spacing w:val="-4"/>
          <w:sz w:val="16"/>
          <w:szCs w:val="16"/>
        </w:rPr>
        <w:t> </w:t>
      </w:r>
      <w:r>
        <w:rPr>
          <w:rFonts w:ascii="Segoe UI" w:hAnsi="Segoe UI" w:cs="Segoe UI" w:eastAsia="Segoe UI"/>
          <w:color w:val="231F20"/>
          <w:sz w:val="16"/>
          <w:szCs w:val="16"/>
        </w:rPr>
        <w:t>assessment</w:t>
      </w:r>
      <w:r>
        <w:rPr>
          <w:rFonts w:ascii="Segoe UI" w:hAnsi="Segoe UI" w:cs="Segoe UI" w:eastAsia="Segoe UI"/>
          <w:color w:val="231F20"/>
          <w:sz w:val="16"/>
          <w:szCs w:val="16"/>
        </w:rPr>
        <w:t> </w:t>
      </w:r>
      <w:r>
        <w:rPr>
          <w:rFonts w:ascii="Segoe UI" w:hAnsi="Segoe UI" w:cs="Segoe UI" w:eastAsia="Segoe UI"/>
          <w:color w:val="231F20"/>
          <w:spacing w:val="28"/>
          <w:sz w:val="16"/>
          <w:szCs w:val="16"/>
        </w:rPr>
        <w:t> </w:t>
      </w:r>
      <w:r>
        <w:rPr>
          <w:rFonts w:ascii="Segoe UI" w:hAnsi="Segoe UI" w:cs="Segoe UI" w:eastAsia="Segoe UI"/>
          <w:color w:val="231F20"/>
          <w:sz w:val="16"/>
          <w:szCs w:val="16"/>
        </w:rPr>
        <w:t>for</w:t>
      </w:r>
      <w:r>
        <w:rPr>
          <w:rFonts w:ascii="Segoe UI" w:hAnsi="Segoe UI" w:cs="Segoe UI" w:eastAsia="Segoe UI"/>
          <w:color w:val="231F20"/>
          <w:spacing w:val="-5"/>
          <w:sz w:val="16"/>
          <w:szCs w:val="16"/>
        </w:rPr>
        <w:t> </w:t>
      </w:r>
      <w:r>
        <w:rPr>
          <w:rFonts w:ascii="Segoe UI" w:hAnsi="Segoe UI" w:cs="Segoe UI" w:eastAsia="Segoe UI"/>
          <w:color w:val="231F20"/>
          <w:sz w:val="16"/>
          <w:szCs w:val="16"/>
        </w:rPr>
        <w:t>Aboriginal</w:t>
      </w:r>
      <w:r>
        <w:rPr>
          <w:rFonts w:ascii="Segoe UI" w:hAnsi="Segoe UI" w:cs="Segoe UI" w:eastAsia="Segoe UI"/>
          <w:color w:val="231F20"/>
          <w:spacing w:val="-5"/>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6"/>
          <w:sz w:val="16"/>
          <w:szCs w:val="16"/>
        </w:rPr>
        <w:t> </w:t>
      </w:r>
      <w:r>
        <w:rPr>
          <w:rFonts w:ascii="Segoe UI" w:hAnsi="Segoe UI" w:cs="Segoe UI" w:eastAsia="Segoe UI"/>
          <w:color w:val="231F20"/>
          <w:spacing w:val="-3"/>
          <w:sz w:val="16"/>
          <w:szCs w:val="16"/>
        </w:rPr>
        <w:t>Torres</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Strait</w:t>
      </w:r>
      <w:r>
        <w:rPr>
          <w:rFonts w:ascii="Segoe UI" w:hAnsi="Segoe UI" w:cs="Segoe UI" w:eastAsia="Segoe UI"/>
          <w:color w:val="231F20"/>
          <w:spacing w:val="-6"/>
          <w:sz w:val="16"/>
          <w:szCs w:val="16"/>
        </w:rPr>
        <w:t> </w:t>
      </w:r>
      <w:r>
        <w:rPr>
          <w:rFonts w:ascii="Segoe UI" w:hAnsi="Segoe UI" w:cs="Segoe UI" w:eastAsia="Segoe UI"/>
          <w:color w:val="231F20"/>
          <w:spacing w:val="-1"/>
          <w:sz w:val="16"/>
          <w:szCs w:val="16"/>
        </w:rPr>
        <w:t>Islander</w:t>
      </w:r>
      <w:r>
        <w:rPr>
          <w:rFonts w:ascii="Segoe UI" w:hAnsi="Segoe UI" w:cs="Segoe UI" w:eastAsia="Segoe UI"/>
          <w:color w:val="231F20"/>
          <w:spacing w:val="-5"/>
          <w:sz w:val="16"/>
          <w:szCs w:val="16"/>
        </w:rPr>
        <w:t> </w:t>
      </w:r>
      <w:r>
        <w:rPr>
          <w:rFonts w:ascii="Segoe UI" w:hAnsi="Segoe UI" w:cs="Segoe UI" w:eastAsia="Segoe UI"/>
          <w:color w:val="231F20"/>
          <w:sz w:val="16"/>
          <w:szCs w:val="16"/>
        </w:rPr>
        <w:t>people</w:t>
      </w:r>
      <w:r>
        <w:rPr>
          <w:rFonts w:ascii="Segoe UI" w:hAnsi="Segoe UI" w:cs="Segoe UI" w:eastAsia="Segoe UI"/>
          <w:color w:val="231F20"/>
          <w:spacing w:val="24"/>
          <w:w w:val="99"/>
          <w:sz w:val="16"/>
          <w:szCs w:val="16"/>
        </w:rPr>
        <w:t> </w:t>
      </w:r>
      <w:r>
        <w:rPr>
          <w:rFonts w:ascii="Segoe UI" w:hAnsi="Segoe UI" w:cs="Segoe UI" w:eastAsia="Segoe UI"/>
          <w:color w:val="231F20"/>
          <w:spacing w:val="-1"/>
          <w:sz w:val="16"/>
          <w:szCs w:val="16"/>
        </w:rPr>
        <w:t>involves</w:t>
      </w:r>
      <w:r>
        <w:rPr>
          <w:rFonts w:ascii="Segoe UI" w:hAnsi="Segoe UI" w:cs="Segoe UI" w:eastAsia="Segoe UI"/>
          <w:color w:val="231F20"/>
          <w:spacing w:val="-5"/>
          <w:sz w:val="16"/>
          <w:szCs w:val="16"/>
        </w:rPr>
        <w:t> </w:t>
      </w:r>
      <w:r>
        <w:rPr>
          <w:rFonts w:ascii="Segoe UI" w:hAnsi="Segoe UI" w:cs="Segoe UI" w:eastAsia="Segoe UI"/>
          <w:color w:val="231F20"/>
          <w:sz w:val="16"/>
          <w:szCs w:val="16"/>
        </w:rPr>
        <w:t>checking</w:t>
      </w:r>
      <w:r>
        <w:rPr>
          <w:rFonts w:ascii="Segoe UI" w:hAnsi="Segoe UI" w:cs="Segoe UI" w:eastAsia="Segoe UI"/>
          <w:color w:val="231F20"/>
          <w:spacing w:val="-5"/>
          <w:sz w:val="16"/>
          <w:szCs w:val="16"/>
        </w:rPr>
        <w:t> </w:t>
      </w:r>
      <w:r>
        <w:rPr>
          <w:rFonts w:ascii="Segoe UI" w:hAnsi="Segoe UI" w:cs="Segoe UI" w:eastAsia="Segoe UI"/>
          <w:color w:val="231F20"/>
          <w:sz w:val="16"/>
          <w:szCs w:val="16"/>
        </w:rPr>
        <w:t>a</w:t>
      </w:r>
      <w:r>
        <w:rPr>
          <w:rFonts w:ascii="Segoe UI" w:hAnsi="Segoe UI" w:cs="Segoe UI" w:eastAsia="Segoe UI"/>
          <w:color w:val="231F20"/>
          <w:spacing w:val="-5"/>
          <w:sz w:val="16"/>
          <w:szCs w:val="16"/>
        </w:rPr>
        <w:t> </w:t>
      </w:r>
      <w:r>
        <w:rPr>
          <w:rFonts w:ascii="Segoe UI" w:hAnsi="Segoe UI" w:cs="Segoe UI" w:eastAsia="Segoe UI"/>
          <w:color w:val="231F20"/>
          <w:sz w:val="16"/>
          <w:szCs w:val="16"/>
        </w:rPr>
        <w:t>patient’s</w:t>
      </w:r>
      <w:r>
        <w:rPr>
          <w:rFonts w:ascii="Segoe UI" w:hAnsi="Segoe UI" w:cs="Segoe UI" w:eastAsia="Segoe UI"/>
          <w:color w:val="231F20"/>
          <w:spacing w:val="-5"/>
          <w:sz w:val="16"/>
          <w:szCs w:val="16"/>
        </w:rPr>
        <w:t> </w:t>
      </w:r>
      <w:r>
        <w:rPr>
          <w:rFonts w:ascii="Segoe UI" w:hAnsi="Segoe UI" w:cs="Segoe UI" w:eastAsia="Segoe UI"/>
          <w:color w:val="231F20"/>
          <w:sz w:val="16"/>
          <w:szCs w:val="16"/>
        </w:rPr>
        <w:t>health</w:t>
      </w:r>
      <w:r>
        <w:rPr>
          <w:rFonts w:ascii="Segoe UI" w:hAnsi="Segoe UI" w:cs="Segoe UI" w:eastAsia="Segoe UI"/>
          <w:color w:val="231F20"/>
          <w:spacing w:val="-5"/>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6"/>
          <w:sz w:val="16"/>
          <w:szCs w:val="16"/>
        </w:rPr>
        <w:t> </w:t>
      </w:r>
      <w:r>
        <w:rPr>
          <w:rFonts w:ascii="Segoe UI" w:hAnsi="Segoe UI" w:cs="Segoe UI" w:eastAsia="Segoe UI"/>
          <w:color w:val="231F20"/>
          <w:sz w:val="16"/>
          <w:szCs w:val="16"/>
        </w:rPr>
        <w:t>physical,</w:t>
      </w:r>
      <w:r>
        <w:rPr>
          <w:rFonts w:ascii="Segoe UI" w:hAnsi="Segoe UI" w:cs="Segoe UI" w:eastAsia="Segoe UI"/>
          <w:color w:val="231F20"/>
          <w:spacing w:val="22"/>
          <w:w w:val="99"/>
          <w:sz w:val="16"/>
          <w:szCs w:val="16"/>
        </w:rPr>
        <w:t> </w:t>
      </w:r>
      <w:r>
        <w:rPr>
          <w:rFonts w:ascii="Segoe UI" w:hAnsi="Segoe UI" w:cs="Segoe UI" w:eastAsia="Segoe UI"/>
          <w:color w:val="231F20"/>
          <w:sz w:val="16"/>
          <w:szCs w:val="16"/>
        </w:rPr>
        <w:t>psychological</w:t>
      </w:r>
      <w:r>
        <w:rPr>
          <w:rFonts w:ascii="Segoe UI" w:hAnsi="Segoe UI" w:cs="Segoe UI" w:eastAsia="Segoe UI"/>
          <w:color w:val="231F20"/>
          <w:spacing w:val="-7"/>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6"/>
          <w:sz w:val="16"/>
          <w:szCs w:val="16"/>
        </w:rPr>
        <w:t> </w:t>
      </w:r>
      <w:r>
        <w:rPr>
          <w:rFonts w:ascii="Segoe UI" w:hAnsi="Segoe UI" w:cs="Segoe UI" w:eastAsia="Segoe UI"/>
          <w:color w:val="231F20"/>
          <w:spacing w:val="-1"/>
          <w:sz w:val="16"/>
          <w:szCs w:val="16"/>
        </w:rPr>
        <w:t>social</w:t>
      </w:r>
      <w:r>
        <w:rPr>
          <w:rFonts w:ascii="Segoe UI" w:hAnsi="Segoe UI" w:cs="Segoe UI" w:eastAsia="Segoe UI"/>
          <w:color w:val="231F20"/>
          <w:spacing w:val="-6"/>
          <w:sz w:val="16"/>
          <w:szCs w:val="16"/>
        </w:rPr>
        <w:t> </w:t>
      </w:r>
      <w:r>
        <w:rPr>
          <w:rFonts w:ascii="Segoe UI" w:hAnsi="Segoe UI" w:cs="Segoe UI" w:eastAsia="Segoe UI"/>
          <w:color w:val="231F20"/>
          <w:sz w:val="16"/>
          <w:szCs w:val="16"/>
        </w:rPr>
        <w:t>functions</w:t>
      </w:r>
      <w:r>
        <w:rPr>
          <w:rFonts w:ascii="Segoe UI" w:hAnsi="Segoe UI" w:cs="Segoe UI" w:eastAsia="Segoe UI"/>
          <w:color w:val="231F20"/>
          <w:spacing w:val="-6"/>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7"/>
          <w:sz w:val="16"/>
          <w:szCs w:val="16"/>
        </w:rPr>
        <w:t> </w:t>
      </w:r>
      <w:r>
        <w:rPr>
          <w:rFonts w:ascii="Segoe UI" w:hAnsi="Segoe UI" w:cs="Segoe UI" w:eastAsia="Segoe UI"/>
          <w:color w:val="231F20"/>
          <w:sz w:val="16"/>
          <w:szCs w:val="16"/>
        </w:rPr>
        <w:t>deciding</w:t>
      </w:r>
      <w:r>
        <w:rPr>
          <w:rFonts w:ascii="Segoe UI" w:hAnsi="Segoe UI" w:cs="Segoe UI" w:eastAsia="Segoe UI"/>
          <w:sz w:val="16"/>
          <w:szCs w:val="16"/>
        </w:rPr>
      </w:r>
    </w:p>
    <w:p>
      <w:pPr>
        <w:spacing w:line="200" w:lineRule="exact" w:before="0"/>
        <w:ind w:left="684" w:right="39" w:firstLine="0"/>
        <w:jc w:val="left"/>
        <w:rPr>
          <w:rFonts w:ascii="Segoe UI" w:hAnsi="Segoe UI" w:cs="Segoe UI" w:eastAsia="Segoe UI"/>
          <w:sz w:val="16"/>
          <w:szCs w:val="16"/>
        </w:rPr>
      </w:pPr>
      <w:r>
        <w:rPr>
          <w:rFonts w:ascii="Segoe UI"/>
          <w:color w:val="231F20"/>
          <w:spacing w:val="-1"/>
          <w:sz w:val="16"/>
        </w:rPr>
        <w:t>if</w:t>
      </w:r>
      <w:r>
        <w:rPr>
          <w:rFonts w:ascii="Segoe UI"/>
          <w:color w:val="231F20"/>
          <w:spacing w:val="-4"/>
          <w:sz w:val="16"/>
        </w:rPr>
        <w:t> </w:t>
      </w:r>
      <w:r>
        <w:rPr>
          <w:rFonts w:ascii="Segoe UI"/>
          <w:color w:val="231F20"/>
          <w:sz w:val="16"/>
        </w:rPr>
        <w:t>preventive</w:t>
      </w:r>
      <w:r>
        <w:rPr>
          <w:rFonts w:ascii="Segoe UI"/>
          <w:color w:val="231F20"/>
          <w:spacing w:val="-5"/>
          <w:sz w:val="16"/>
        </w:rPr>
        <w:t> </w:t>
      </w:r>
      <w:r>
        <w:rPr>
          <w:rFonts w:ascii="Segoe UI"/>
          <w:color w:val="231F20"/>
          <w:sz w:val="16"/>
        </w:rPr>
        <w:t>health</w:t>
      </w:r>
      <w:r>
        <w:rPr>
          <w:rFonts w:ascii="Segoe UI"/>
          <w:color w:val="231F20"/>
          <w:spacing w:val="-5"/>
          <w:sz w:val="16"/>
        </w:rPr>
        <w:t> </w:t>
      </w:r>
      <w:r>
        <w:rPr>
          <w:rFonts w:ascii="Segoe UI"/>
          <w:color w:val="231F20"/>
          <w:sz w:val="16"/>
        </w:rPr>
        <w:t>care</w:t>
      </w:r>
      <w:r>
        <w:rPr>
          <w:rFonts w:ascii="Segoe UI"/>
          <w:color w:val="231F20"/>
          <w:spacing w:val="-3"/>
          <w:sz w:val="16"/>
        </w:rPr>
        <w:t> </w:t>
      </w:r>
      <w:r>
        <w:rPr>
          <w:rFonts w:ascii="Segoe UI"/>
          <w:color w:val="231F20"/>
          <w:sz w:val="16"/>
        </w:rPr>
        <w:t>and</w:t>
      </w:r>
      <w:r>
        <w:rPr>
          <w:rFonts w:ascii="Segoe UI"/>
          <w:color w:val="231F20"/>
          <w:spacing w:val="-5"/>
          <w:sz w:val="16"/>
        </w:rPr>
        <w:t> </w:t>
      </w:r>
      <w:r>
        <w:rPr>
          <w:rFonts w:ascii="Segoe UI"/>
          <w:color w:val="231F20"/>
          <w:sz w:val="16"/>
        </w:rPr>
        <w:t>education</w:t>
      </w:r>
      <w:r>
        <w:rPr>
          <w:rFonts w:ascii="Segoe UI"/>
          <w:color w:val="231F20"/>
          <w:spacing w:val="-5"/>
          <w:sz w:val="16"/>
        </w:rPr>
        <w:t> </w:t>
      </w:r>
      <w:r>
        <w:rPr>
          <w:rFonts w:ascii="Segoe UI"/>
          <w:color w:val="231F20"/>
          <w:spacing w:val="-1"/>
          <w:sz w:val="16"/>
        </w:rPr>
        <w:t>should</w:t>
      </w:r>
      <w:r>
        <w:rPr>
          <w:rFonts w:ascii="Segoe UI"/>
          <w:color w:val="231F20"/>
          <w:spacing w:val="-4"/>
          <w:sz w:val="16"/>
        </w:rPr>
        <w:t> </w:t>
      </w:r>
      <w:r>
        <w:rPr>
          <w:rFonts w:ascii="Segoe UI"/>
          <w:color w:val="231F20"/>
          <w:sz w:val="16"/>
        </w:rPr>
        <w:t>be</w:t>
      </w:r>
      <w:r>
        <w:rPr>
          <w:rFonts w:ascii="Segoe UI"/>
          <w:color w:val="231F20"/>
          <w:spacing w:val="23"/>
          <w:w w:val="99"/>
          <w:sz w:val="16"/>
        </w:rPr>
        <w:t> </w:t>
      </w:r>
      <w:r>
        <w:rPr>
          <w:rFonts w:ascii="Segoe UI"/>
          <w:color w:val="231F20"/>
          <w:sz w:val="16"/>
        </w:rPr>
        <w:t>offered</w:t>
      </w:r>
      <w:r>
        <w:rPr>
          <w:rFonts w:ascii="Segoe UI"/>
          <w:color w:val="231F20"/>
          <w:spacing w:val="-1"/>
          <w:sz w:val="16"/>
        </w:rPr>
        <w:t> </w:t>
      </w:r>
      <w:r>
        <w:rPr>
          <w:rFonts w:ascii="Segoe UI"/>
          <w:color w:val="231F20"/>
          <w:sz w:val="16"/>
        </w:rPr>
        <w:t>to</w:t>
      </w:r>
      <w:r>
        <w:rPr>
          <w:rFonts w:ascii="Segoe UI"/>
          <w:color w:val="231F20"/>
          <w:spacing w:val="-1"/>
          <w:sz w:val="16"/>
        </w:rPr>
        <w:t> </w:t>
      </w:r>
      <w:r>
        <w:rPr>
          <w:rFonts w:ascii="Segoe UI"/>
          <w:color w:val="231F20"/>
          <w:sz w:val="16"/>
        </w:rPr>
        <w:t>the patient</w:t>
      </w:r>
      <w:r>
        <w:rPr>
          <w:rFonts w:ascii="Segoe UI"/>
          <w:color w:val="231F20"/>
          <w:spacing w:val="-1"/>
          <w:sz w:val="16"/>
        </w:rPr>
        <w:t> </w:t>
      </w:r>
      <w:r>
        <w:rPr>
          <w:rFonts w:ascii="Segoe UI"/>
          <w:color w:val="231F20"/>
          <w:sz w:val="16"/>
        </w:rPr>
        <w:t>to</w:t>
      </w:r>
      <w:r>
        <w:rPr>
          <w:rFonts w:ascii="Segoe UI"/>
          <w:color w:val="231F20"/>
          <w:spacing w:val="-1"/>
          <w:sz w:val="16"/>
        </w:rPr>
        <w:t> </w:t>
      </w:r>
      <w:r>
        <w:rPr>
          <w:rFonts w:ascii="Segoe UI"/>
          <w:color w:val="231F20"/>
          <w:sz w:val="16"/>
        </w:rPr>
        <w:t>improve their</w:t>
      </w:r>
      <w:r>
        <w:rPr>
          <w:rFonts w:ascii="Segoe UI"/>
          <w:color w:val="231F20"/>
          <w:spacing w:val="-1"/>
          <w:sz w:val="16"/>
        </w:rPr>
        <w:t> </w:t>
      </w:r>
      <w:r>
        <w:rPr>
          <w:rFonts w:ascii="Segoe UI"/>
          <w:color w:val="231F20"/>
          <w:sz w:val="16"/>
        </w:rPr>
        <w:t>health</w:t>
      </w:r>
      <w:r>
        <w:rPr>
          <w:rFonts w:ascii="Segoe UI"/>
          <w:color w:val="231F20"/>
          <w:spacing w:val="-1"/>
          <w:sz w:val="16"/>
        </w:rPr>
        <w:t> </w:t>
      </w:r>
      <w:r>
        <w:rPr>
          <w:rFonts w:ascii="Segoe UI"/>
          <w:color w:val="231F20"/>
          <w:sz w:val="16"/>
        </w:rPr>
        <w:t>and</w:t>
      </w:r>
      <w:r>
        <w:rPr>
          <w:rFonts w:ascii="Segoe UI"/>
          <w:color w:val="231F20"/>
          <w:sz w:val="16"/>
        </w:rPr>
        <w:t> </w:t>
      </w:r>
      <w:r>
        <w:rPr>
          <w:rFonts w:ascii="Segoe UI"/>
          <w:color w:val="231F20"/>
          <w:sz w:val="16"/>
        </w:rPr>
        <w:t>wellbeing.</w:t>
      </w:r>
      <w:r>
        <w:rPr>
          <w:rFonts w:ascii="Segoe UI"/>
          <w:color w:val="231F20"/>
          <w:spacing w:val="-6"/>
          <w:sz w:val="16"/>
        </w:rPr>
        <w:t> </w:t>
      </w:r>
      <w:r>
        <w:rPr>
          <w:rFonts w:ascii="Segoe UI"/>
          <w:color w:val="231F20"/>
          <w:sz w:val="16"/>
        </w:rPr>
        <w:t>A</w:t>
      </w:r>
      <w:r>
        <w:rPr>
          <w:rFonts w:ascii="Segoe UI"/>
          <w:color w:val="231F20"/>
          <w:spacing w:val="-5"/>
          <w:sz w:val="16"/>
        </w:rPr>
        <w:t> </w:t>
      </w:r>
      <w:r>
        <w:rPr>
          <w:rFonts w:ascii="Segoe UI"/>
          <w:color w:val="231F20"/>
          <w:sz w:val="16"/>
        </w:rPr>
        <w:t>Medicare</w:t>
      </w:r>
      <w:r>
        <w:rPr>
          <w:rFonts w:ascii="Segoe UI"/>
          <w:color w:val="231F20"/>
          <w:spacing w:val="-4"/>
          <w:sz w:val="16"/>
        </w:rPr>
        <w:t> </w:t>
      </w:r>
      <w:r>
        <w:rPr>
          <w:rFonts w:ascii="Segoe UI"/>
          <w:color w:val="231F20"/>
          <w:sz w:val="16"/>
        </w:rPr>
        <w:t>funded</w:t>
      </w:r>
      <w:r>
        <w:rPr>
          <w:rFonts w:ascii="Segoe UI"/>
          <w:color w:val="231F20"/>
          <w:spacing w:val="-5"/>
          <w:sz w:val="16"/>
        </w:rPr>
        <w:t> </w:t>
      </w:r>
      <w:r>
        <w:rPr>
          <w:rFonts w:ascii="Segoe UI"/>
          <w:color w:val="231F20"/>
          <w:sz w:val="16"/>
        </w:rPr>
        <w:t>health</w:t>
      </w:r>
      <w:r>
        <w:rPr>
          <w:rFonts w:ascii="Segoe UI"/>
          <w:color w:val="231F20"/>
          <w:spacing w:val="-6"/>
          <w:sz w:val="16"/>
        </w:rPr>
        <w:t> </w:t>
      </w:r>
      <w:r>
        <w:rPr>
          <w:rFonts w:ascii="Segoe UI"/>
          <w:color w:val="231F20"/>
          <w:sz w:val="16"/>
        </w:rPr>
        <w:t>assessment</w:t>
      </w:r>
      <w:r>
        <w:rPr>
          <w:rFonts w:ascii="Segoe UI"/>
          <w:color w:val="231F20"/>
          <w:sz w:val="16"/>
        </w:rPr>
        <w:t> can</w:t>
      </w:r>
      <w:r>
        <w:rPr>
          <w:rFonts w:ascii="Segoe UI"/>
          <w:color w:val="231F20"/>
          <w:spacing w:val="-4"/>
          <w:sz w:val="16"/>
        </w:rPr>
        <w:t> </w:t>
      </w:r>
      <w:r>
        <w:rPr>
          <w:rFonts w:ascii="Segoe UI"/>
          <w:color w:val="231F20"/>
          <w:sz w:val="16"/>
        </w:rPr>
        <w:t>be</w:t>
      </w:r>
      <w:r>
        <w:rPr>
          <w:rFonts w:ascii="Segoe UI"/>
          <w:color w:val="231F20"/>
          <w:spacing w:val="-4"/>
          <w:sz w:val="16"/>
        </w:rPr>
        <w:t> </w:t>
      </w:r>
      <w:r>
        <w:rPr>
          <w:rFonts w:ascii="Segoe UI"/>
          <w:color w:val="231F20"/>
          <w:sz w:val="16"/>
        </w:rPr>
        <w:t>undertaken</w:t>
      </w:r>
      <w:r>
        <w:rPr>
          <w:rFonts w:ascii="Segoe UI"/>
          <w:color w:val="231F20"/>
          <w:spacing w:val="-5"/>
          <w:sz w:val="16"/>
        </w:rPr>
        <w:t> </w:t>
      </w:r>
      <w:r>
        <w:rPr>
          <w:rFonts w:ascii="Segoe UI"/>
          <w:color w:val="231F20"/>
          <w:sz w:val="16"/>
        </w:rPr>
        <w:t>every</w:t>
      </w:r>
      <w:r>
        <w:rPr>
          <w:rFonts w:ascii="Segoe UI"/>
          <w:color w:val="231F20"/>
          <w:spacing w:val="-4"/>
          <w:sz w:val="16"/>
        </w:rPr>
        <w:t> </w:t>
      </w:r>
      <w:r>
        <w:rPr>
          <w:rFonts w:ascii="Segoe UI"/>
          <w:color w:val="231F20"/>
          <w:sz w:val="16"/>
        </w:rPr>
        <w:t>nine</w:t>
      </w:r>
      <w:r>
        <w:rPr>
          <w:rFonts w:ascii="Segoe UI"/>
          <w:color w:val="231F20"/>
          <w:spacing w:val="-5"/>
          <w:sz w:val="16"/>
        </w:rPr>
        <w:t> </w:t>
      </w:r>
      <w:r>
        <w:rPr>
          <w:rFonts w:ascii="Segoe UI"/>
          <w:color w:val="231F20"/>
          <w:spacing w:val="-1"/>
          <w:sz w:val="16"/>
        </w:rPr>
        <w:t>months</w:t>
      </w:r>
      <w:r>
        <w:rPr>
          <w:rFonts w:ascii="Segoe UI"/>
          <w:sz w:val="16"/>
        </w:rPr>
      </w:r>
    </w:p>
    <w:p>
      <w:pPr>
        <w:numPr>
          <w:ilvl w:val="0"/>
          <w:numId w:val="9"/>
        </w:numPr>
        <w:tabs>
          <w:tab w:pos="685" w:val="left" w:leader="none"/>
        </w:tabs>
        <w:spacing w:line="200" w:lineRule="exact" w:before="113"/>
        <w:ind w:left="684" w:right="82" w:hanging="567"/>
        <w:jc w:val="left"/>
        <w:rPr>
          <w:rFonts w:ascii="Segoe UI" w:hAnsi="Segoe UI" w:cs="Segoe UI" w:eastAsia="Segoe UI"/>
          <w:sz w:val="16"/>
          <w:szCs w:val="16"/>
        </w:rPr>
      </w:pPr>
      <w:r>
        <w:rPr>
          <w:rFonts w:ascii="Segoe UI"/>
          <w:color w:val="231F20"/>
          <w:sz w:val="16"/>
        </w:rPr>
        <w:t>The</w:t>
      </w:r>
      <w:r>
        <w:rPr>
          <w:rFonts w:ascii="Segoe UI"/>
          <w:color w:val="231F20"/>
          <w:spacing w:val="-5"/>
          <w:sz w:val="16"/>
        </w:rPr>
        <w:t> </w:t>
      </w:r>
      <w:r>
        <w:rPr>
          <w:rFonts w:ascii="Segoe UI"/>
          <w:color w:val="231F20"/>
          <w:sz w:val="16"/>
        </w:rPr>
        <w:t>Australian</w:t>
      </w:r>
      <w:r>
        <w:rPr>
          <w:rFonts w:ascii="Segoe UI"/>
          <w:color w:val="231F20"/>
          <w:spacing w:val="-4"/>
          <w:sz w:val="16"/>
        </w:rPr>
        <w:t> </w:t>
      </w:r>
      <w:r>
        <w:rPr>
          <w:rFonts w:ascii="Segoe UI"/>
          <w:color w:val="231F20"/>
          <w:sz w:val="16"/>
        </w:rPr>
        <w:t>Education</w:t>
      </w:r>
      <w:r>
        <w:rPr>
          <w:rFonts w:ascii="Segoe UI"/>
          <w:color w:val="231F20"/>
          <w:spacing w:val="-5"/>
          <w:sz w:val="16"/>
        </w:rPr>
        <w:t> </w:t>
      </w:r>
      <w:r>
        <w:rPr>
          <w:rFonts w:ascii="Segoe UI"/>
          <w:color w:val="231F20"/>
          <w:sz w:val="16"/>
        </w:rPr>
        <w:t>Act</w:t>
      </w:r>
      <w:r>
        <w:rPr>
          <w:rFonts w:ascii="Segoe UI"/>
          <w:color w:val="231F20"/>
          <w:spacing w:val="-5"/>
          <w:sz w:val="16"/>
        </w:rPr>
        <w:t> </w:t>
      </w:r>
      <w:r>
        <w:rPr>
          <w:rFonts w:ascii="Segoe UI"/>
          <w:color w:val="231F20"/>
          <w:sz w:val="16"/>
        </w:rPr>
        <w:t>does</w:t>
      </w:r>
      <w:r>
        <w:rPr>
          <w:rFonts w:ascii="Segoe UI"/>
          <w:color w:val="231F20"/>
          <w:spacing w:val="-5"/>
          <w:sz w:val="16"/>
        </w:rPr>
        <w:t> </w:t>
      </w:r>
      <w:r>
        <w:rPr>
          <w:rFonts w:ascii="Segoe UI"/>
          <w:color w:val="231F20"/>
          <w:sz w:val="16"/>
        </w:rPr>
        <w:t>not</w:t>
      </w:r>
      <w:r>
        <w:rPr>
          <w:rFonts w:ascii="Segoe UI"/>
          <w:color w:val="231F20"/>
          <w:spacing w:val="-4"/>
          <w:sz w:val="16"/>
        </w:rPr>
        <w:t> </w:t>
      </w:r>
      <w:r>
        <w:rPr>
          <w:rFonts w:ascii="Segoe UI"/>
          <w:color w:val="231F20"/>
          <w:sz w:val="16"/>
        </w:rPr>
        <w:t>provide</w:t>
      </w:r>
      <w:r>
        <w:rPr>
          <w:rFonts w:ascii="Segoe UI"/>
          <w:color w:val="231F20"/>
          <w:spacing w:val="-5"/>
          <w:sz w:val="16"/>
        </w:rPr>
        <w:t> </w:t>
      </w:r>
      <w:r>
        <w:rPr>
          <w:rFonts w:ascii="Segoe UI"/>
          <w:color w:val="231F20"/>
          <w:spacing w:val="-5"/>
          <w:sz w:val="16"/>
        </w:rPr>
      </w:r>
      <w:r>
        <w:rPr>
          <w:rFonts w:ascii="Segoe UI"/>
          <w:color w:val="231F20"/>
          <w:sz w:val="16"/>
        </w:rPr>
        <w:t>for</w:t>
      </w:r>
      <w:r>
        <w:rPr>
          <w:rFonts w:ascii="Segoe UI"/>
          <w:color w:val="231F20"/>
          <w:sz w:val="16"/>
        </w:rPr>
        <w:t> funding</w:t>
      </w:r>
      <w:r>
        <w:rPr>
          <w:rFonts w:ascii="Segoe UI"/>
          <w:color w:val="231F20"/>
          <w:spacing w:val="-6"/>
          <w:sz w:val="16"/>
        </w:rPr>
        <w:t> </w:t>
      </w:r>
      <w:r>
        <w:rPr>
          <w:rFonts w:ascii="Segoe UI"/>
          <w:color w:val="231F20"/>
          <w:sz w:val="16"/>
        </w:rPr>
        <w:t>for</w:t>
      </w:r>
      <w:r>
        <w:rPr>
          <w:rFonts w:ascii="Segoe UI"/>
          <w:color w:val="231F20"/>
          <w:spacing w:val="-5"/>
          <w:sz w:val="16"/>
        </w:rPr>
        <w:t> </w:t>
      </w:r>
      <w:r>
        <w:rPr>
          <w:rFonts w:ascii="Segoe UI"/>
          <w:color w:val="231F20"/>
          <w:sz w:val="16"/>
        </w:rPr>
        <w:t>boarding</w:t>
      </w:r>
      <w:r>
        <w:rPr>
          <w:rFonts w:ascii="Segoe UI"/>
          <w:color w:val="231F20"/>
          <w:spacing w:val="-6"/>
          <w:sz w:val="16"/>
        </w:rPr>
        <w:t> </w:t>
      </w:r>
      <w:r>
        <w:rPr>
          <w:rFonts w:ascii="Segoe UI"/>
          <w:color w:val="231F20"/>
          <w:spacing w:val="-1"/>
          <w:sz w:val="16"/>
        </w:rPr>
        <w:t>students.</w:t>
      </w:r>
      <w:r>
        <w:rPr>
          <w:rFonts w:ascii="Segoe UI"/>
          <w:color w:val="231F20"/>
          <w:spacing w:val="-5"/>
          <w:sz w:val="16"/>
        </w:rPr>
        <w:t> </w:t>
      </w:r>
      <w:r>
        <w:rPr>
          <w:rFonts w:ascii="Segoe UI"/>
          <w:color w:val="231F20"/>
          <w:sz w:val="16"/>
        </w:rPr>
        <w:t>The</w:t>
      </w:r>
      <w:r>
        <w:rPr>
          <w:rFonts w:ascii="Segoe UI"/>
          <w:color w:val="231F20"/>
          <w:spacing w:val="-5"/>
          <w:sz w:val="16"/>
        </w:rPr>
        <w:t> </w:t>
      </w:r>
      <w:r>
        <w:rPr>
          <w:rFonts w:ascii="Segoe UI"/>
          <w:color w:val="231F20"/>
          <w:sz w:val="16"/>
        </w:rPr>
        <w:t>Act</w:t>
      </w:r>
      <w:r>
        <w:rPr>
          <w:rFonts w:ascii="Segoe UI"/>
          <w:color w:val="231F20"/>
          <w:w w:val="99"/>
          <w:sz w:val="16"/>
        </w:rPr>
        <w:t> </w:t>
      </w:r>
      <w:r>
        <w:rPr>
          <w:rFonts w:ascii="Segoe UI"/>
          <w:color w:val="231F20"/>
          <w:spacing w:val="6"/>
          <w:w w:val="99"/>
          <w:sz w:val="16"/>
        </w:rPr>
        <w:t>    </w:t>
      </w:r>
      <w:r>
        <w:rPr>
          <w:rFonts w:ascii="Segoe UI"/>
          <w:color w:val="231F20"/>
          <w:sz w:val="16"/>
        </w:rPr>
        <w:t>provides financial assistance for schools only.</w:t>
      </w:r>
      <w:r>
        <w:rPr>
          <w:rFonts w:ascii="Segoe UI"/>
          <w:color w:val="231F20"/>
          <w:sz w:val="16"/>
        </w:rPr>
        <w:t> </w:t>
      </w:r>
      <w:r>
        <w:rPr>
          <w:rFonts w:ascii="Segoe UI"/>
          <w:color w:val="231F20"/>
          <w:spacing w:val="-1"/>
          <w:sz w:val="16"/>
        </w:rPr>
        <w:t>Payments</w:t>
      </w:r>
      <w:r>
        <w:rPr>
          <w:rFonts w:ascii="Segoe UI"/>
          <w:color w:val="231F20"/>
          <w:spacing w:val="-4"/>
          <w:sz w:val="16"/>
        </w:rPr>
        <w:t> </w:t>
      </w:r>
      <w:r>
        <w:rPr>
          <w:rFonts w:ascii="Segoe UI"/>
          <w:color w:val="231F20"/>
          <w:sz w:val="16"/>
        </w:rPr>
        <w:t>are</w:t>
      </w:r>
      <w:r>
        <w:rPr>
          <w:rFonts w:ascii="Segoe UI"/>
          <w:color w:val="231F20"/>
          <w:spacing w:val="-4"/>
          <w:sz w:val="16"/>
        </w:rPr>
        <w:t> </w:t>
      </w:r>
      <w:r>
        <w:rPr>
          <w:rFonts w:ascii="Segoe UI"/>
          <w:color w:val="231F20"/>
          <w:sz w:val="16"/>
        </w:rPr>
        <w:t>based</w:t>
      </w:r>
      <w:r>
        <w:rPr>
          <w:rFonts w:ascii="Segoe UI"/>
          <w:color w:val="231F20"/>
          <w:spacing w:val="-3"/>
          <w:sz w:val="16"/>
        </w:rPr>
        <w:t> </w:t>
      </w:r>
      <w:r>
        <w:rPr>
          <w:rFonts w:ascii="Segoe UI"/>
          <w:color w:val="231F20"/>
          <w:sz w:val="16"/>
        </w:rPr>
        <w:t>on</w:t>
      </w:r>
      <w:r>
        <w:rPr>
          <w:rFonts w:ascii="Segoe UI"/>
          <w:color w:val="231F20"/>
          <w:spacing w:val="-3"/>
          <w:sz w:val="16"/>
        </w:rPr>
        <w:t> </w:t>
      </w:r>
      <w:r>
        <w:rPr>
          <w:rFonts w:ascii="Segoe UI"/>
          <w:color w:val="231F20"/>
          <w:sz w:val="16"/>
        </w:rPr>
        <w:t>the</w:t>
      </w:r>
      <w:r>
        <w:rPr>
          <w:rFonts w:ascii="Segoe UI"/>
          <w:color w:val="231F20"/>
          <w:spacing w:val="-4"/>
          <w:sz w:val="16"/>
        </w:rPr>
        <w:t> </w:t>
      </w:r>
      <w:r>
        <w:rPr>
          <w:rFonts w:ascii="Segoe UI"/>
          <w:color w:val="231F20"/>
          <w:spacing w:val="-1"/>
          <w:sz w:val="16"/>
        </w:rPr>
        <w:t>Schooling</w:t>
      </w:r>
      <w:r>
        <w:rPr>
          <w:rFonts w:ascii="Segoe UI"/>
          <w:color w:val="231F20"/>
          <w:spacing w:val="-3"/>
          <w:sz w:val="16"/>
        </w:rPr>
        <w:t> </w:t>
      </w:r>
      <w:r>
        <w:rPr>
          <w:rFonts w:ascii="Segoe UI"/>
          <w:color w:val="231F20"/>
          <w:spacing w:val="-1"/>
          <w:sz w:val="16"/>
        </w:rPr>
        <w:t>Resource</w:t>
      </w:r>
      <w:r>
        <w:rPr>
          <w:rFonts w:ascii="Segoe UI"/>
          <w:color w:val="231F20"/>
          <w:spacing w:val="27"/>
          <w:w w:val="99"/>
          <w:sz w:val="16"/>
        </w:rPr>
        <w:t> </w:t>
      </w:r>
      <w:r>
        <w:rPr>
          <w:rFonts w:ascii="Segoe UI"/>
          <w:color w:val="231F20"/>
          <w:spacing w:val="-1"/>
          <w:sz w:val="16"/>
        </w:rPr>
        <w:t>Standard</w:t>
      </w:r>
      <w:r>
        <w:rPr>
          <w:rFonts w:ascii="Segoe UI"/>
          <w:color w:val="231F20"/>
          <w:spacing w:val="-4"/>
          <w:sz w:val="16"/>
        </w:rPr>
        <w:t> </w:t>
      </w:r>
      <w:r>
        <w:rPr>
          <w:rFonts w:ascii="Segoe UI"/>
          <w:color w:val="231F20"/>
          <w:sz w:val="16"/>
        </w:rPr>
        <w:t>(SRS).</w:t>
      </w:r>
      <w:r>
        <w:rPr>
          <w:rFonts w:ascii="Segoe UI"/>
          <w:color w:val="231F20"/>
          <w:spacing w:val="-4"/>
          <w:sz w:val="16"/>
        </w:rPr>
        <w:t> </w:t>
      </w:r>
      <w:r>
        <w:rPr>
          <w:rFonts w:ascii="Segoe UI"/>
          <w:color w:val="231F20"/>
          <w:sz w:val="16"/>
        </w:rPr>
        <w:t>The</w:t>
      </w:r>
      <w:r>
        <w:rPr>
          <w:rFonts w:ascii="Segoe UI"/>
          <w:color w:val="231F20"/>
          <w:spacing w:val="-2"/>
          <w:sz w:val="16"/>
        </w:rPr>
        <w:t> </w:t>
      </w:r>
      <w:r>
        <w:rPr>
          <w:rFonts w:ascii="Segoe UI"/>
          <w:color w:val="231F20"/>
          <w:spacing w:val="-1"/>
          <w:sz w:val="16"/>
        </w:rPr>
        <w:t>SRS</w:t>
      </w:r>
      <w:r>
        <w:rPr>
          <w:rFonts w:ascii="Segoe UI"/>
          <w:color w:val="231F20"/>
          <w:spacing w:val="-3"/>
          <w:sz w:val="16"/>
        </w:rPr>
        <w:t> </w:t>
      </w:r>
      <w:r>
        <w:rPr>
          <w:rFonts w:ascii="Segoe UI"/>
          <w:color w:val="231F20"/>
          <w:spacing w:val="-1"/>
          <w:sz w:val="16"/>
        </w:rPr>
        <w:t>is</w:t>
      </w:r>
      <w:r>
        <w:rPr>
          <w:rFonts w:ascii="Segoe UI"/>
          <w:color w:val="231F20"/>
          <w:spacing w:val="-3"/>
          <w:sz w:val="16"/>
        </w:rPr>
        <w:t> </w:t>
      </w:r>
      <w:r>
        <w:rPr>
          <w:rFonts w:ascii="Segoe UI"/>
          <w:color w:val="231F20"/>
          <w:spacing w:val="-1"/>
          <w:sz w:val="16"/>
        </w:rPr>
        <w:t>made</w:t>
      </w:r>
      <w:r>
        <w:rPr>
          <w:rFonts w:ascii="Segoe UI"/>
          <w:color w:val="231F20"/>
          <w:spacing w:val="-3"/>
          <w:sz w:val="16"/>
        </w:rPr>
        <w:t> </w:t>
      </w:r>
      <w:r>
        <w:rPr>
          <w:rFonts w:ascii="Segoe UI"/>
          <w:color w:val="231F20"/>
          <w:sz w:val="16"/>
        </w:rPr>
        <w:t>up</w:t>
      </w:r>
      <w:r>
        <w:rPr>
          <w:rFonts w:ascii="Segoe UI"/>
          <w:color w:val="231F20"/>
          <w:spacing w:val="-3"/>
          <w:sz w:val="16"/>
        </w:rPr>
        <w:t> </w:t>
      </w:r>
      <w:r>
        <w:rPr>
          <w:rFonts w:ascii="Segoe UI"/>
          <w:color w:val="231F20"/>
          <w:sz w:val="16"/>
        </w:rPr>
        <w:t>of</w:t>
      </w:r>
      <w:r>
        <w:rPr>
          <w:rFonts w:ascii="Segoe UI"/>
          <w:color w:val="231F20"/>
          <w:spacing w:val="-2"/>
          <w:sz w:val="16"/>
        </w:rPr>
        <w:t> </w:t>
      </w:r>
      <w:r>
        <w:rPr>
          <w:rFonts w:ascii="Segoe UI"/>
          <w:color w:val="231F20"/>
          <w:sz w:val="16"/>
        </w:rPr>
        <w:t>a</w:t>
      </w:r>
      <w:r>
        <w:rPr>
          <w:rFonts w:ascii="Segoe UI"/>
          <w:color w:val="231F20"/>
          <w:spacing w:val="-3"/>
          <w:sz w:val="16"/>
        </w:rPr>
        <w:t> </w:t>
      </w:r>
      <w:r>
        <w:rPr>
          <w:rFonts w:ascii="Segoe UI"/>
          <w:color w:val="231F20"/>
          <w:sz w:val="16"/>
        </w:rPr>
        <w:t>base</w:t>
      </w:r>
      <w:r>
        <w:rPr>
          <w:rFonts w:ascii="Segoe UI"/>
          <w:color w:val="231F20"/>
          <w:spacing w:val="26"/>
          <w:w w:val="99"/>
          <w:sz w:val="16"/>
        </w:rPr>
        <w:t> </w:t>
      </w:r>
      <w:r>
        <w:rPr>
          <w:rFonts w:ascii="Segoe UI"/>
          <w:color w:val="231F20"/>
          <w:sz w:val="16"/>
        </w:rPr>
        <w:t>amount</w:t>
      </w:r>
      <w:r>
        <w:rPr>
          <w:rFonts w:ascii="Segoe UI"/>
          <w:color w:val="231F20"/>
          <w:spacing w:val="-7"/>
          <w:sz w:val="16"/>
        </w:rPr>
        <w:t> </w:t>
      </w:r>
      <w:r>
        <w:rPr>
          <w:rFonts w:ascii="Segoe UI"/>
          <w:color w:val="231F20"/>
          <w:sz w:val="16"/>
        </w:rPr>
        <w:t>for</w:t>
      </w:r>
      <w:r>
        <w:rPr>
          <w:rFonts w:ascii="Segoe UI"/>
          <w:color w:val="231F20"/>
          <w:spacing w:val="-5"/>
          <w:sz w:val="16"/>
        </w:rPr>
        <w:t> </w:t>
      </w:r>
      <w:r>
        <w:rPr>
          <w:rFonts w:ascii="Segoe UI"/>
          <w:color w:val="231F20"/>
          <w:sz w:val="16"/>
        </w:rPr>
        <w:t>every</w:t>
      </w:r>
      <w:r>
        <w:rPr>
          <w:rFonts w:ascii="Segoe UI"/>
          <w:color w:val="231F20"/>
          <w:spacing w:val="-6"/>
          <w:sz w:val="16"/>
        </w:rPr>
        <w:t> </w:t>
      </w:r>
      <w:r>
        <w:rPr>
          <w:rFonts w:ascii="Segoe UI"/>
          <w:color w:val="231F20"/>
          <w:sz w:val="16"/>
        </w:rPr>
        <w:t>primary</w:t>
      </w:r>
      <w:r>
        <w:rPr>
          <w:rFonts w:ascii="Segoe UI"/>
          <w:color w:val="231F20"/>
          <w:spacing w:val="-6"/>
          <w:sz w:val="16"/>
        </w:rPr>
        <w:t> </w:t>
      </w:r>
      <w:r>
        <w:rPr>
          <w:rFonts w:ascii="Segoe UI"/>
          <w:color w:val="231F20"/>
          <w:sz w:val="16"/>
        </w:rPr>
        <w:t>and</w:t>
      </w:r>
      <w:r>
        <w:rPr>
          <w:rFonts w:ascii="Segoe UI"/>
          <w:color w:val="231F20"/>
          <w:spacing w:val="-6"/>
          <w:sz w:val="16"/>
        </w:rPr>
        <w:t> </w:t>
      </w:r>
      <w:r>
        <w:rPr>
          <w:rFonts w:ascii="Segoe UI"/>
          <w:color w:val="231F20"/>
          <w:spacing w:val="-1"/>
          <w:sz w:val="16"/>
        </w:rPr>
        <w:t>secondary</w:t>
      </w:r>
      <w:r>
        <w:rPr>
          <w:rFonts w:ascii="Segoe UI"/>
          <w:color w:val="231F20"/>
          <w:spacing w:val="-6"/>
          <w:sz w:val="16"/>
        </w:rPr>
        <w:t> </w:t>
      </w:r>
      <w:r>
        <w:rPr>
          <w:rFonts w:ascii="Segoe UI"/>
          <w:color w:val="231F20"/>
          <w:spacing w:val="-1"/>
          <w:sz w:val="16"/>
        </w:rPr>
        <w:t>student,</w:t>
      </w:r>
      <w:r>
        <w:rPr>
          <w:rFonts w:ascii="Segoe UI"/>
          <w:color w:val="231F20"/>
          <w:spacing w:val="21"/>
          <w:w w:val="99"/>
          <w:sz w:val="16"/>
        </w:rPr>
        <w:t> </w:t>
      </w:r>
      <w:r>
        <w:rPr>
          <w:rFonts w:ascii="Segoe UI"/>
          <w:color w:val="231F20"/>
          <w:sz w:val="16"/>
        </w:rPr>
        <w:t>along</w:t>
      </w:r>
      <w:r>
        <w:rPr>
          <w:rFonts w:ascii="Segoe UI"/>
          <w:color w:val="231F20"/>
          <w:spacing w:val="-5"/>
          <w:sz w:val="16"/>
        </w:rPr>
        <w:t> </w:t>
      </w:r>
      <w:r>
        <w:rPr>
          <w:rFonts w:ascii="Segoe UI"/>
          <w:color w:val="231F20"/>
          <w:sz w:val="16"/>
        </w:rPr>
        <w:t>with</w:t>
      </w:r>
      <w:r>
        <w:rPr>
          <w:rFonts w:ascii="Segoe UI"/>
          <w:color w:val="231F20"/>
          <w:spacing w:val="-4"/>
          <w:sz w:val="16"/>
        </w:rPr>
        <w:t> </w:t>
      </w:r>
      <w:r>
        <w:rPr>
          <w:rFonts w:ascii="Segoe UI"/>
          <w:color w:val="231F20"/>
          <w:spacing w:val="-1"/>
          <w:sz w:val="16"/>
        </w:rPr>
        <w:t>six</w:t>
      </w:r>
      <w:r>
        <w:rPr>
          <w:rFonts w:ascii="Segoe UI"/>
          <w:color w:val="231F20"/>
          <w:spacing w:val="-3"/>
          <w:sz w:val="16"/>
        </w:rPr>
        <w:t> </w:t>
      </w:r>
      <w:r>
        <w:rPr>
          <w:rFonts w:ascii="Segoe UI"/>
          <w:color w:val="231F20"/>
          <w:spacing w:val="-1"/>
          <w:sz w:val="16"/>
        </w:rPr>
        <w:t>loadings</w:t>
      </w:r>
      <w:r>
        <w:rPr>
          <w:rFonts w:ascii="Segoe UI"/>
          <w:color w:val="231F20"/>
          <w:spacing w:val="-3"/>
          <w:sz w:val="16"/>
        </w:rPr>
        <w:t> </w:t>
      </w:r>
      <w:r>
        <w:rPr>
          <w:rFonts w:ascii="Segoe UI"/>
          <w:color w:val="231F20"/>
          <w:sz w:val="16"/>
        </w:rPr>
        <w:t>to</w:t>
      </w:r>
      <w:r>
        <w:rPr>
          <w:rFonts w:ascii="Segoe UI"/>
          <w:color w:val="231F20"/>
          <w:spacing w:val="-4"/>
          <w:sz w:val="16"/>
        </w:rPr>
        <w:t> </w:t>
      </w:r>
      <w:r>
        <w:rPr>
          <w:rFonts w:ascii="Segoe UI"/>
          <w:color w:val="231F20"/>
          <w:sz w:val="16"/>
        </w:rPr>
        <w:t>provide</w:t>
      </w:r>
      <w:r>
        <w:rPr>
          <w:rFonts w:ascii="Segoe UI"/>
          <w:color w:val="231F20"/>
          <w:spacing w:val="-4"/>
          <w:sz w:val="16"/>
        </w:rPr>
        <w:t> </w:t>
      </w:r>
      <w:r>
        <w:rPr>
          <w:rFonts w:ascii="Segoe UI"/>
          <w:color w:val="231F20"/>
          <w:sz w:val="16"/>
        </w:rPr>
        <w:t>extra</w:t>
      </w:r>
      <w:r>
        <w:rPr>
          <w:rFonts w:ascii="Segoe UI"/>
          <w:color w:val="231F20"/>
          <w:spacing w:val="-3"/>
          <w:sz w:val="16"/>
        </w:rPr>
        <w:t> </w:t>
      </w:r>
      <w:r>
        <w:rPr>
          <w:rFonts w:ascii="Segoe UI"/>
          <w:color w:val="231F20"/>
          <w:sz w:val="16"/>
        </w:rPr>
        <w:t>funding</w:t>
      </w:r>
      <w:r>
        <w:rPr>
          <w:rFonts w:ascii="Segoe UI"/>
          <w:color w:val="231F20"/>
          <w:spacing w:val="23"/>
          <w:w w:val="99"/>
          <w:sz w:val="16"/>
        </w:rPr>
        <w:t> </w:t>
      </w:r>
      <w:r>
        <w:rPr>
          <w:rFonts w:ascii="Segoe UI"/>
          <w:color w:val="231F20"/>
          <w:sz w:val="16"/>
        </w:rPr>
        <w:t>for</w:t>
      </w:r>
      <w:r>
        <w:rPr>
          <w:rFonts w:ascii="Segoe UI"/>
          <w:color w:val="231F20"/>
          <w:spacing w:val="-4"/>
          <w:sz w:val="16"/>
        </w:rPr>
        <w:t> </w:t>
      </w:r>
      <w:r>
        <w:rPr>
          <w:rFonts w:ascii="Segoe UI"/>
          <w:color w:val="231F20"/>
          <w:sz w:val="16"/>
        </w:rPr>
        <w:t>disadvantaged</w:t>
      </w:r>
      <w:r>
        <w:rPr>
          <w:rFonts w:ascii="Segoe UI"/>
          <w:color w:val="231F20"/>
          <w:spacing w:val="-3"/>
          <w:sz w:val="16"/>
        </w:rPr>
        <w:t> </w:t>
      </w:r>
      <w:r>
        <w:rPr>
          <w:rFonts w:ascii="Segoe UI"/>
          <w:color w:val="231F20"/>
          <w:spacing w:val="-1"/>
          <w:sz w:val="16"/>
        </w:rPr>
        <w:t>students</w:t>
      </w:r>
      <w:r>
        <w:rPr>
          <w:rFonts w:ascii="Segoe UI"/>
          <w:color w:val="231F20"/>
          <w:spacing w:val="-3"/>
          <w:sz w:val="16"/>
        </w:rPr>
        <w:t> </w:t>
      </w:r>
      <w:r>
        <w:rPr>
          <w:rFonts w:ascii="Segoe UI"/>
          <w:color w:val="231F20"/>
          <w:sz w:val="16"/>
        </w:rPr>
        <w:t>and</w:t>
      </w:r>
      <w:r>
        <w:rPr>
          <w:rFonts w:ascii="Segoe UI"/>
          <w:color w:val="231F20"/>
          <w:spacing w:val="-4"/>
          <w:sz w:val="16"/>
        </w:rPr>
        <w:t> </w:t>
      </w:r>
      <w:r>
        <w:rPr>
          <w:rFonts w:ascii="Segoe UI"/>
          <w:color w:val="231F20"/>
          <w:spacing w:val="-1"/>
          <w:sz w:val="16"/>
        </w:rPr>
        <w:t>schools.</w:t>
      </w:r>
      <w:r>
        <w:rPr>
          <w:rFonts w:ascii="Segoe UI"/>
          <w:color w:val="231F20"/>
          <w:spacing w:val="-3"/>
          <w:sz w:val="16"/>
        </w:rPr>
        <w:t> </w:t>
      </w:r>
      <w:r>
        <w:rPr>
          <w:rFonts w:ascii="Segoe UI"/>
          <w:color w:val="231F20"/>
          <w:sz w:val="16"/>
        </w:rPr>
        <w:t>This</w:t>
      </w:r>
      <w:r>
        <w:rPr>
          <w:rFonts w:ascii="Segoe UI"/>
          <w:color w:val="231F20"/>
          <w:spacing w:val="23"/>
          <w:sz w:val="16"/>
        </w:rPr>
        <w:t> </w:t>
      </w:r>
      <w:r>
        <w:rPr>
          <w:rFonts w:ascii="Segoe UI"/>
          <w:color w:val="231F20"/>
          <w:sz w:val="16"/>
        </w:rPr>
        <w:t>additional</w:t>
      </w:r>
      <w:r>
        <w:rPr>
          <w:rFonts w:ascii="Segoe UI"/>
          <w:color w:val="231F20"/>
          <w:spacing w:val="-7"/>
          <w:sz w:val="16"/>
        </w:rPr>
        <w:t> </w:t>
      </w:r>
      <w:r>
        <w:rPr>
          <w:rFonts w:ascii="Segoe UI"/>
          <w:color w:val="231F20"/>
          <w:sz w:val="16"/>
        </w:rPr>
        <w:t>funding</w:t>
      </w:r>
      <w:r>
        <w:rPr>
          <w:rFonts w:ascii="Segoe UI"/>
          <w:color w:val="231F20"/>
          <w:spacing w:val="-5"/>
          <w:sz w:val="16"/>
        </w:rPr>
        <w:t> </w:t>
      </w:r>
      <w:r>
        <w:rPr>
          <w:rFonts w:ascii="Segoe UI"/>
          <w:color w:val="231F20"/>
          <w:sz w:val="16"/>
        </w:rPr>
        <w:t>for</w:t>
      </w:r>
      <w:r>
        <w:rPr>
          <w:rFonts w:ascii="Segoe UI"/>
          <w:color w:val="231F20"/>
          <w:spacing w:val="-5"/>
          <w:sz w:val="16"/>
        </w:rPr>
        <w:t> </w:t>
      </w:r>
      <w:r>
        <w:rPr>
          <w:rFonts w:ascii="Segoe UI"/>
          <w:color w:val="231F20"/>
          <w:sz w:val="16"/>
        </w:rPr>
        <w:t>disadvantage</w:t>
      </w:r>
      <w:r>
        <w:rPr>
          <w:rFonts w:ascii="Segoe UI"/>
          <w:color w:val="231F20"/>
          <w:spacing w:val="-6"/>
          <w:sz w:val="16"/>
        </w:rPr>
        <w:t> </w:t>
      </w:r>
      <w:r>
        <w:rPr>
          <w:rFonts w:ascii="Segoe UI"/>
          <w:color w:val="231F20"/>
          <w:spacing w:val="-1"/>
          <w:sz w:val="16"/>
        </w:rPr>
        <w:t>is</w:t>
      </w:r>
      <w:r>
        <w:rPr>
          <w:rFonts w:ascii="Segoe UI"/>
          <w:color w:val="231F20"/>
          <w:spacing w:val="-7"/>
          <w:sz w:val="16"/>
        </w:rPr>
        <w:t> </w:t>
      </w:r>
      <w:r>
        <w:rPr>
          <w:rFonts w:ascii="Segoe UI"/>
          <w:color w:val="231F20"/>
          <w:sz w:val="16"/>
        </w:rPr>
        <w:t>focused</w:t>
      </w:r>
      <w:r>
        <w:rPr>
          <w:rFonts w:ascii="Segoe UI"/>
          <w:color w:val="231F20"/>
          <w:spacing w:val="-5"/>
          <w:sz w:val="16"/>
        </w:rPr>
        <w:t> </w:t>
      </w:r>
      <w:r>
        <w:rPr>
          <w:rFonts w:ascii="Segoe UI"/>
          <w:color w:val="231F20"/>
          <w:spacing w:val="-5"/>
          <w:sz w:val="16"/>
        </w:rPr>
      </w:r>
      <w:r>
        <w:rPr>
          <w:rFonts w:ascii="Segoe UI"/>
          <w:color w:val="231F20"/>
          <w:sz w:val="16"/>
        </w:rPr>
        <w:t>on</w:t>
      </w:r>
      <w:r>
        <w:rPr>
          <w:rFonts w:ascii="Segoe UI"/>
          <w:color w:val="231F20"/>
          <w:spacing w:val="21"/>
          <w:sz w:val="16"/>
        </w:rPr>
        <w:t> </w:t>
      </w:r>
      <w:r>
        <w:rPr>
          <w:rFonts w:ascii="Segoe UI"/>
          <w:color w:val="231F20"/>
          <w:sz w:val="16"/>
        </w:rPr>
        <w:t>Aboriginal</w:t>
      </w:r>
      <w:r>
        <w:rPr>
          <w:rFonts w:ascii="Segoe UI"/>
          <w:color w:val="231F20"/>
          <w:spacing w:val="-6"/>
          <w:sz w:val="16"/>
        </w:rPr>
        <w:t> </w:t>
      </w:r>
      <w:r>
        <w:rPr>
          <w:rFonts w:ascii="Segoe UI"/>
          <w:color w:val="231F20"/>
          <w:sz w:val="16"/>
        </w:rPr>
        <w:t>and</w:t>
      </w:r>
      <w:r>
        <w:rPr>
          <w:rFonts w:ascii="Segoe UI"/>
          <w:color w:val="231F20"/>
          <w:spacing w:val="-7"/>
          <w:sz w:val="16"/>
        </w:rPr>
        <w:t> </w:t>
      </w:r>
      <w:r>
        <w:rPr>
          <w:rFonts w:ascii="Segoe UI"/>
          <w:color w:val="231F20"/>
          <w:spacing w:val="-3"/>
          <w:sz w:val="16"/>
        </w:rPr>
        <w:t>Torres</w:t>
      </w:r>
      <w:r>
        <w:rPr>
          <w:rFonts w:ascii="Segoe UI"/>
          <w:color w:val="231F20"/>
          <w:spacing w:val="-6"/>
          <w:sz w:val="16"/>
        </w:rPr>
        <w:t> </w:t>
      </w:r>
      <w:r>
        <w:rPr>
          <w:rFonts w:ascii="Segoe UI"/>
          <w:color w:val="231F20"/>
          <w:spacing w:val="-1"/>
          <w:sz w:val="16"/>
        </w:rPr>
        <w:t>Strait</w:t>
      </w:r>
      <w:r>
        <w:rPr>
          <w:rFonts w:ascii="Segoe UI"/>
          <w:color w:val="231F20"/>
          <w:spacing w:val="-7"/>
          <w:sz w:val="16"/>
        </w:rPr>
        <w:t> </w:t>
      </w:r>
      <w:r>
        <w:rPr>
          <w:rFonts w:ascii="Segoe UI"/>
          <w:color w:val="231F20"/>
          <w:spacing w:val="-1"/>
          <w:sz w:val="16"/>
        </w:rPr>
        <w:t>Islander</w:t>
      </w:r>
      <w:r>
        <w:rPr>
          <w:rFonts w:ascii="Segoe UI"/>
          <w:color w:val="231F20"/>
          <w:spacing w:val="-6"/>
          <w:sz w:val="16"/>
        </w:rPr>
        <w:t> </w:t>
      </w:r>
      <w:r>
        <w:rPr>
          <w:rFonts w:ascii="Segoe UI"/>
          <w:color w:val="231F20"/>
          <w:spacing w:val="-1"/>
          <w:sz w:val="16"/>
        </w:rPr>
        <w:t>students,</w:t>
      </w:r>
      <w:r>
        <w:rPr>
          <w:rFonts w:ascii="Segoe UI"/>
          <w:color w:val="231F20"/>
          <w:spacing w:val="23"/>
          <w:w w:val="99"/>
          <w:sz w:val="16"/>
        </w:rPr>
        <w:t> </w:t>
      </w:r>
      <w:r>
        <w:rPr>
          <w:rFonts w:ascii="Segoe UI"/>
          <w:color w:val="231F20"/>
          <w:spacing w:val="-1"/>
          <w:sz w:val="16"/>
        </w:rPr>
        <w:t>students</w:t>
      </w:r>
      <w:r>
        <w:rPr>
          <w:rFonts w:ascii="Segoe UI"/>
          <w:color w:val="231F20"/>
          <w:spacing w:val="-3"/>
          <w:sz w:val="16"/>
        </w:rPr>
        <w:t> </w:t>
      </w:r>
      <w:r>
        <w:rPr>
          <w:rFonts w:ascii="Segoe UI"/>
          <w:color w:val="231F20"/>
          <w:sz w:val="16"/>
        </w:rPr>
        <w:t>with</w:t>
      </w:r>
      <w:r>
        <w:rPr>
          <w:rFonts w:ascii="Segoe UI"/>
          <w:color w:val="231F20"/>
          <w:spacing w:val="-3"/>
          <w:sz w:val="16"/>
        </w:rPr>
        <w:t> </w:t>
      </w:r>
      <w:r>
        <w:rPr>
          <w:rFonts w:ascii="Segoe UI"/>
          <w:color w:val="231F20"/>
          <w:sz w:val="16"/>
        </w:rPr>
        <w:t>disability,</w:t>
      </w:r>
      <w:r>
        <w:rPr>
          <w:rFonts w:ascii="Segoe UI"/>
          <w:color w:val="231F20"/>
          <w:spacing w:val="-4"/>
          <w:sz w:val="16"/>
        </w:rPr>
        <w:t> </w:t>
      </w:r>
      <w:r>
        <w:rPr>
          <w:rFonts w:ascii="Segoe UI"/>
          <w:color w:val="231F20"/>
          <w:spacing w:val="-1"/>
          <w:sz w:val="16"/>
        </w:rPr>
        <w:t>low</w:t>
      </w:r>
      <w:r>
        <w:rPr>
          <w:rFonts w:ascii="Segoe UI"/>
          <w:color w:val="231F20"/>
          <w:spacing w:val="-2"/>
          <w:sz w:val="16"/>
        </w:rPr>
        <w:t> </w:t>
      </w:r>
      <w:r>
        <w:rPr>
          <w:rFonts w:ascii="Segoe UI"/>
          <w:color w:val="231F20"/>
          <w:sz w:val="16"/>
        </w:rPr>
        <w:t>English</w:t>
      </w:r>
      <w:r>
        <w:rPr>
          <w:rFonts w:ascii="Segoe UI"/>
          <w:color w:val="231F20"/>
          <w:spacing w:val="-4"/>
          <w:sz w:val="16"/>
        </w:rPr>
        <w:t> </w:t>
      </w:r>
      <w:r>
        <w:rPr>
          <w:rFonts w:ascii="Segoe UI"/>
          <w:color w:val="231F20"/>
          <w:spacing w:val="-1"/>
          <w:sz w:val="16"/>
        </w:rPr>
        <w:t>language</w:t>
      </w:r>
      <w:r>
        <w:rPr>
          <w:rFonts w:ascii="Segoe UI"/>
          <w:color w:val="231F20"/>
          <w:spacing w:val="22"/>
          <w:w w:val="99"/>
          <w:sz w:val="16"/>
        </w:rPr>
        <w:t> </w:t>
      </w:r>
      <w:r>
        <w:rPr>
          <w:rFonts w:ascii="Segoe UI"/>
          <w:color w:val="231F20"/>
          <w:sz w:val="16"/>
        </w:rPr>
        <w:t>proficiency, socio-educational disadvantage,</w:t>
      </w:r>
      <w:r>
        <w:rPr>
          <w:rFonts w:ascii="Segoe UI"/>
          <w:color w:val="231F20"/>
          <w:sz w:val="16"/>
        </w:rPr>
        <w:t> </w:t>
      </w:r>
      <w:r>
        <w:rPr>
          <w:rFonts w:ascii="Segoe UI"/>
          <w:color w:val="231F20"/>
          <w:spacing w:val="-1"/>
          <w:sz w:val="16"/>
        </w:rPr>
        <w:t>school</w:t>
      </w:r>
      <w:r>
        <w:rPr>
          <w:rFonts w:ascii="Segoe UI"/>
          <w:color w:val="231F20"/>
          <w:spacing w:val="-3"/>
          <w:sz w:val="16"/>
        </w:rPr>
        <w:t> </w:t>
      </w:r>
      <w:r>
        <w:rPr>
          <w:rFonts w:ascii="Segoe UI"/>
          <w:color w:val="231F20"/>
          <w:spacing w:val="-1"/>
          <w:sz w:val="16"/>
        </w:rPr>
        <w:t>size</w:t>
      </w:r>
      <w:r>
        <w:rPr>
          <w:rFonts w:ascii="Segoe UI"/>
          <w:color w:val="231F20"/>
          <w:spacing w:val="-3"/>
          <w:sz w:val="16"/>
        </w:rPr>
        <w:t> </w:t>
      </w:r>
      <w:r>
        <w:rPr>
          <w:rFonts w:ascii="Segoe UI"/>
          <w:color w:val="231F20"/>
          <w:sz w:val="16"/>
        </w:rPr>
        <w:t>and</w:t>
      </w:r>
      <w:r>
        <w:rPr>
          <w:rFonts w:ascii="Segoe UI"/>
          <w:color w:val="231F20"/>
          <w:spacing w:val="-4"/>
          <w:sz w:val="16"/>
        </w:rPr>
        <w:t> </w:t>
      </w:r>
      <w:r>
        <w:rPr>
          <w:rFonts w:ascii="Segoe UI"/>
          <w:color w:val="231F20"/>
          <w:spacing w:val="-1"/>
          <w:sz w:val="16"/>
        </w:rPr>
        <w:t>location</w:t>
      </w:r>
      <w:r>
        <w:rPr>
          <w:rFonts w:ascii="Segoe UI"/>
          <w:sz w:val="16"/>
        </w:rPr>
      </w:r>
    </w:p>
    <w:p>
      <w:pPr>
        <w:numPr>
          <w:ilvl w:val="0"/>
          <w:numId w:val="9"/>
        </w:numPr>
        <w:tabs>
          <w:tab w:pos="685" w:val="left" w:leader="none"/>
        </w:tabs>
        <w:spacing w:line="200" w:lineRule="exact" w:before="113"/>
        <w:ind w:left="684" w:right="126" w:hanging="567"/>
        <w:jc w:val="left"/>
        <w:rPr>
          <w:rFonts w:ascii="Segoe UI" w:hAnsi="Segoe UI" w:cs="Segoe UI" w:eastAsia="Segoe UI"/>
          <w:sz w:val="16"/>
          <w:szCs w:val="16"/>
        </w:rPr>
      </w:pPr>
      <w:r>
        <w:rPr>
          <w:rFonts w:ascii="Segoe UI"/>
          <w:color w:val="231F20"/>
          <w:sz w:val="16"/>
        </w:rPr>
        <w:t>The</w:t>
      </w:r>
      <w:r>
        <w:rPr>
          <w:rFonts w:ascii="Segoe UI"/>
          <w:color w:val="231F20"/>
          <w:spacing w:val="-4"/>
          <w:sz w:val="16"/>
        </w:rPr>
        <w:t> </w:t>
      </w:r>
      <w:r>
        <w:rPr>
          <w:rFonts w:ascii="Segoe UI"/>
          <w:color w:val="231F20"/>
          <w:spacing w:val="-2"/>
          <w:sz w:val="16"/>
        </w:rPr>
        <w:t>Study</w:t>
      </w:r>
      <w:r>
        <w:rPr>
          <w:rFonts w:ascii="Segoe UI"/>
          <w:color w:val="231F20"/>
          <w:spacing w:val="-4"/>
          <w:sz w:val="16"/>
        </w:rPr>
        <w:t> </w:t>
      </w:r>
      <w:r>
        <w:rPr>
          <w:rFonts w:ascii="Segoe UI"/>
          <w:color w:val="231F20"/>
          <w:spacing w:val="-1"/>
          <w:sz w:val="16"/>
        </w:rPr>
        <w:t>Away</w:t>
      </w:r>
      <w:r>
        <w:rPr>
          <w:rFonts w:ascii="Segoe UI"/>
          <w:color w:val="231F20"/>
          <w:spacing w:val="-5"/>
          <w:sz w:val="16"/>
        </w:rPr>
        <w:t> </w:t>
      </w:r>
      <w:r>
        <w:rPr>
          <w:rFonts w:ascii="Segoe UI"/>
          <w:color w:val="231F20"/>
          <w:spacing w:val="-1"/>
          <w:sz w:val="16"/>
        </w:rPr>
        <w:t>Review,</w:t>
      </w:r>
      <w:r>
        <w:rPr>
          <w:rFonts w:ascii="Segoe UI"/>
          <w:color w:val="231F20"/>
          <w:spacing w:val="-3"/>
          <w:sz w:val="16"/>
        </w:rPr>
        <w:t> </w:t>
      </w:r>
      <w:r>
        <w:rPr>
          <w:rFonts w:ascii="Segoe UI"/>
          <w:color w:val="231F20"/>
          <w:spacing w:val="-1"/>
          <w:sz w:val="16"/>
        </w:rPr>
        <w:t>details</w:t>
      </w:r>
      <w:r>
        <w:rPr>
          <w:rFonts w:ascii="Segoe UI"/>
          <w:color w:val="231F20"/>
          <w:spacing w:val="-3"/>
          <w:sz w:val="16"/>
        </w:rPr>
        <w:t> </w:t>
      </w:r>
      <w:r>
        <w:rPr>
          <w:rFonts w:ascii="Segoe UI"/>
          <w:color w:val="231F20"/>
          <w:sz w:val="16"/>
        </w:rPr>
        <w:t>the</w:t>
      </w:r>
      <w:r>
        <w:rPr>
          <w:rFonts w:ascii="Segoe UI"/>
          <w:color w:val="231F20"/>
          <w:spacing w:val="-5"/>
          <w:sz w:val="16"/>
        </w:rPr>
        <w:t> </w:t>
      </w:r>
      <w:r>
        <w:rPr>
          <w:rFonts w:ascii="Segoe UI"/>
          <w:color w:val="231F20"/>
          <w:spacing w:val="-1"/>
          <w:sz w:val="16"/>
        </w:rPr>
        <w:t>main</w:t>
      </w:r>
      <w:r>
        <w:rPr>
          <w:rFonts w:ascii="Segoe UI"/>
          <w:color w:val="231F20"/>
          <w:spacing w:val="-3"/>
          <w:sz w:val="16"/>
        </w:rPr>
        <w:t> </w:t>
      </w:r>
      <w:r>
        <w:rPr>
          <w:rFonts w:ascii="Segoe UI"/>
          <w:color w:val="231F20"/>
          <w:sz w:val="16"/>
        </w:rPr>
        <w:t>reasons</w:t>
      </w:r>
      <w:r>
        <w:rPr>
          <w:rFonts w:ascii="Segoe UI"/>
          <w:color w:val="231F20"/>
          <w:spacing w:val="23"/>
          <w:w w:val="99"/>
          <w:sz w:val="16"/>
        </w:rPr>
        <w:t> </w:t>
      </w:r>
      <w:r>
        <w:rPr>
          <w:rFonts w:ascii="Segoe UI"/>
          <w:color w:val="231F20"/>
          <w:sz w:val="16"/>
        </w:rPr>
        <w:t>for</w:t>
      </w:r>
      <w:r>
        <w:rPr>
          <w:rFonts w:ascii="Segoe UI"/>
          <w:color w:val="231F20"/>
          <w:spacing w:val="-3"/>
          <w:sz w:val="16"/>
        </w:rPr>
        <w:t> </w:t>
      </w:r>
      <w:r>
        <w:rPr>
          <w:rFonts w:ascii="Segoe UI"/>
          <w:color w:val="231F20"/>
          <w:sz w:val="16"/>
        </w:rPr>
        <w:t>accessing</w:t>
      </w:r>
      <w:r>
        <w:rPr>
          <w:rFonts w:ascii="Segoe UI"/>
          <w:color w:val="231F20"/>
          <w:spacing w:val="-3"/>
          <w:sz w:val="16"/>
        </w:rPr>
        <w:t> </w:t>
      </w:r>
      <w:r>
        <w:rPr>
          <w:rFonts w:ascii="Segoe UI"/>
          <w:color w:val="231F20"/>
          <w:sz w:val="16"/>
        </w:rPr>
        <w:t>ABSTUDY</w:t>
      </w:r>
      <w:r>
        <w:rPr>
          <w:rFonts w:ascii="Segoe UI"/>
          <w:color w:val="231F20"/>
          <w:spacing w:val="-2"/>
          <w:sz w:val="16"/>
        </w:rPr>
        <w:t> </w:t>
      </w:r>
      <w:r>
        <w:rPr>
          <w:rFonts w:ascii="Segoe UI"/>
          <w:color w:val="231F20"/>
          <w:sz w:val="16"/>
        </w:rPr>
        <w:t>to</w:t>
      </w:r>
      <w:r>
        <w:rPr>
          <w:rFonts w:ascii="Segoe UI"/>
          <w:color w:val="231F20"/>
          <w:spacing w:val="-3"/>
          <w:sz w:val="16"/>
        </w:rPr>
        <w:t> </w:t>
      </w:r>
      <w:r>
        <w:rPr>
          <w:rFonts w:ascii="Segoe UI"/>
          <w:color w:val="231F20"/>
          <w:sz w:val="16"/>
        </w:rPr>
        <w:t>attend</w:t>
      </w:r>
      <w:r>
        <w:rPr>
          <w:rFonts w:ascii="Segoe UI"/>
          <w:color w:val="231F20"/>
          <w:spacing w:val="-3"/>
          <w:sz w:val="16"/>
        </w:rPr>
        <w:t> </w:t>
      </w:r>
      <w:r>
        <w:rPr>
          <w:rFonts w:ascii="Segoe UI"/>
          <w:color w:val="231F20"/>
          <w:sz w:val="16"/>
        </w:rPr>
        <w:t>boarding,</w:t>
      </w:r>
      <w:r>
        <w:rPr>
          <w:rFonts w:ascii="Segoe UI"/>
          <w:color w:val="231F20"/>
          <w:spacing w:val="-3"/>
          <w:sz w:val="16"/>
        </w:rPr>
        <w:t> </w:t>
      </w:r>
      <w:r>
        <w:rPr>
          <w:rFonts w:ascii="Segoe UI"/>
          <w:color w:val="231F20"/>
          <w:sz w:val="16"/>
        </w:rPr>
        <w:t>p.</w:t>
      </w:r>
      <w:r>
        <w:rPr>
          <w:rFonts w:ascii="Segoe UI"/>
          <w:color w:val="231F20"/>
          <w:spacing w:val="-3"/>
          <w:sz w:val="16"/>
        </w:rPr>
        <w:t> </w:t>
      </w:r>
      <w:r>
        <w:rPr>
          <w:rFonts w:ascii="Segoe UI"/>
          <w:color w:val="231F20"/>
          <w:sz w:val="16"/>
        </w:rPr>
        <w:t>12</w:t>
      </w:r>
      <w:r>
        <w:rPr>
          <w:rFonts w:ascii="Segoe UI"/>
          <w:sz w:val="16"/>
        </w:rPr>
      </w:r>
    </w:p>
    <w:p>
      <w:pPr>
        <w:numPr>
          <w:ilvl w:val="0"/>
          <w:numId w:val="9"/>
        </w:numPr>
        <w:tabs>
          <w:tab w:pos="685" w:val="left" w:leader="none"/>
        </w:tabs>
        <w:spacing w:line="200" w:lineRule="exact" w:before="113"/>
        <w:ind w:left="684" w:right="39" w:hanging="567"/>
        <w:jc w:val="left"/>
        <w:rPr>
          <w:rFonts w:ascii="Segoe UI" w:hAnsi="Segoe UI" w:cs="Segoe UI" w:eastAsia="Segoe UI"/>
          <w:sz w:val="16"/>
          <w:szCs w:val="16"/>
        </w:rPr>
      </w:pPr>
      <w:r>
        <w:rPr>
          <w:rFonts w:ascii="Segoe UI"/>
          <w:i/>
          <w:color w:val="231F20"/>
          <w:sz w:val="16"/>
        </w:rPr>
        <w:t>A</w:t>
      </w:r>
      <w:r>
        <w:rPr>
          <w:rFonts w:ascii="Segoe UI"/>
          <w:i/>
          <w:color w:val="231F20"/>
          <w:spacing w:val="-3"/>
          <w:sz w:val="16"/>
        </w:rPr>
        <w:t> </w:t>
      </w:r>
      <w:r>
        <w:rPr>
          <w:rFonts w:ascii="Segoe UI"/>
          <w:i/>
          <w:color w:val="231F20"/>
          <w:sz w:val="16"/>
        </w:rPr>
        <w:t>brief</w:t>
      </w:r>
      <w:r>
        <w:rPr>
          <w:rFonts w:ascii="Segoe UI"/>
          <w:i/>
          <w:color w:val="231F20"/>
          <w:spacing w:val="-3"/>
          <w:sz w:val="16"/>
        </w:rPr>
        <w:t> </w:t>
      </w:r>
      <w:r>
        <w:rPr>
          <w:rFonts w:ascii="Segoe UI"/>
          <w:i/>
          <w:color w:val="231F20"/>
          <w:sz w:val="16"/>
        </w:rPr>
        <w:t>review</w:t>
      </w:r>
      <w:r>
        <w:rPr>
          <w:rFonts w:ascii="Segoe UI"/>
          <w:i/>
          <w:color w:val="231F20"/>
          <w:spacing w:val="-3"/>
          <w:sz w:val="16"/>
        </w:rPr>
        <w:t> </w:t>
      </w:r>
      <w:r>
        <w:rPr>
          <w:rFonts w:ascii="Segoe UI"/>
          <w:i/>
          <w:color w:val="231F20"/>
          <w:spacing w:val="-2"/>
          <w:sz w:val="16"/>
        </w:rPr>
        <w:t>of </w:t>
      </w:r>
      <w:r>
        <w:rPr>
          <w:rFonts w:ascii="Segoe UI"/>
          <w:i/>
          <w:color w:val="231F20"/>
          <w:spacing w:val="-1"/>
          <w:sz w:val="16"/>
        </w:rPr>
        <w:t>literature</w:t>
      </w:r>
      <w:r>
        <w:rPr>
          <w:rFonts w:ascii="Segoe UI"/>
          <w:i/>
          <w:color w:val="231F20"/>
          <w:spacing w:val="-3"/>
          <w:sz w:val="16"/>
        </w:rPr>
        <w:t> </w:t>
      </w:r>
      <w:r>
        <w:rPr>
          <w:rFonts w:ascii="Segoe UI"/>
          <w:i/>
          <w:color w:val="231F20"/>
          <w:spacing w:val="-1"/>
          <w:sz w:val="16"/>
        </w:rPr>
        <w:t>on</w:t>
      </w:r>
      <w:r>
        <w:rPr>
          <w:rFonts w:ascii="Segoe UI"/>
          <w:i/>
          <w:color w:val="231F20"/>
          <w:spacing w:val="-2"/>
          <w:sz w:val="16"/>
        </w:rPr>
        <w:t> </w:t>
      </w:r>
      <w:r>
        <w:rPr>
          <w:rFonts w:ascii="Segoe UI"/>
          <w:i/>
          <w:color w:val="231F20"/>
          <w:spacing w:val="-1"/>
          <w:sz w:val="16"/>
        </w:rPr>
        <w:t>boarding</w:t>
      </w:r>
      <w:r>
        <w:rPr>
          <w:rFonts w:ascii="Segoe UI"/>
          <w:i/>
          <w:color w:val="231F20"/>
          <w:spacing w:val="-2"/>
          <w:sz w:val="16"/>
        </w:rPr>
        <w:t> </w:t>
      </w:r>
      <w:r>
        <w:rPr>
          <w:rFonts w:ascii="Segoe UI"/>
          <w:i/>
          <w:color w:val="231F20"/>
          <w:spacing w:val="-1"/>
          <w:sz w:val="16"/>
        </w:rPr>
        <w:t>school</w:t>
      </w:r>
      <w:r>
        <w:rPr>
          <w:rFonts w:ascii="Segoe UI"/>
          <w:i/>
          <w:color w:val="231F20"/>
          <w:spacing w:val="39"/>
          <w:sz w:val="16"/>
        </w:rPr>
        <w:t> </w:t>
      </w:r>
      <w:r>
        <w:rPr>
          <w:rFonts w:ascii="Segoe UI"/>
          <w:i/>
          <w:color w:val="231F20"/>
          <w:sz w:val="16"/>
        </w:rPr>
        <w:t>education</w:t>
      </w:r>
      <w:r>
        <w:rPr>
          <w:rFonts w:ascii="Segoe UI"/>
          <w:i/>
          <w:color w:val="231F20"/>
          <w:spacing w:val="-2"/>
          <w:sz w:val="16"/>
        </w:rPr>
        <w:t> </w:t>
      </w:r>
      <w:r>
        <w:rPr>
          <w:rFonts w:ascii="Segoe UI"/>
          <w:i/>
          <w:color w:val="231F20"/>
          <w:sz w:val="16"/>
        </w:rPr>
        <w:t>for</w:t>
      </w:r>
      <w:r>
        <w:rPr>
          <w:rFonts w:ascii="Segoe UI"/>
          <w:i/>
          <w:color w:val="231F20"/>
          <w:spacing w:val="-2"/>
          <w:sz w:val="16"/>
        </w:rPr>
        <w:t> </w:t>
      </w:r>
      <w:r>
        <w:rPr>
          <w:rFonts w:ascii="Segoe UI"/>
          <w:i/>
          <w:color w:val="231F20"/>
          <w:spacing w:val="-1"/>
          <w:sz w:val="16"/>
        </w:rPr>
        <w:t>Indigenous </w:t>
      </w:r>
      <w:r>
        <w:rPr>
          <w:rFonts w:ascii="Segoe UI"/>
          <w:i/>
          <w:color w:val="231F20"/>
          <w:sz w:val="16"/>
        </w:rPr>
        <w:t>students</w:t>
      </w:r>
      <w:r>
        <w:rPr>
          <w:rFonts w:ascii="Segoe UI"/>
          <w:i/>
          <w:color w:val="231F20"/>
          <w:spacing w:val="-2"/>
          <w:sz w:val="16"/>
        </w:rPr>
        <w:t> </w:t>
      </w:r>
      <w:r>
        <w:rPr>
          <w:rFonts w:ascii="Segoe UI"/>
          <w:i/>
          <w:color w:val="231F20"/>
          <w:sz w:val="16"/>
        </w:rPr>
        <w:t>and</w:t>
      </w:r>
      <w:r>
        <w:rPr>
          <w:rFonts w:ascii="Segoe UI"/>
          <w:i/>
          <w:color w:val="231F20"/>
          <w:spacing w:val="-1"/>
          <w:sz w:val="16"/>
        </w:rPr>
        <w:t> recent</w:t>
      </w:r>
      <w:r>
        <w:rPr>
          <w:rFonts w:ascii="Segoe UI"/>
          <w:i/>
          <w:color w:val="231F20"/>
          <w:spacing w:val="26"/>
          <w:sz w:val="16"/>
        </w:rPr>
        <w:t> </w:t>
      </w:r>
      <w:r>
        <w:rPr>
          <w:rFonts w:ascii="Segoe UI"/>
          <w:i/>
          <w:color w:val="231F20"/>
          <w:spacing w:val="-1"/>
          <w:sz w:val="16"/>
        </w:rPr>
        <w:t>Australian</w:t>
      </w:r>
      <w:r>
        <w:rPr>
          <w:rFonts w:ascii="Segoe UI"/>
          <w:i/>
          <w:color w:val="231F20"/>
          <w:spacing w:val="-3"/>
          <w:sz w:val="16"/>
        </w:rPr>
        <w:t> </w:t>
      </w:r>
      <w:r>
        <w:rPr>
          <w:rFonts w:ascii="Segoe UI"/>
          <w:i/>
          <w:color w:val="231F20"/>
          <w:sz w:val="16"/>
        </w:rPr>
        <w:t>media</w:t>
      </w:r>
      <w:r>
        <w:rPr>
          <w:rFonts w:ascii="Segoe UI"/>
          <w:i/>
          <w:color w:val="231F20"/>
          <w:spacing w:val="-4"/>
          <w:sz w:val="16"/>
        </w:rPr>
        <w:t> </w:t>
      </w:r>
      <w:r>
        <w:rPr>
          <w:rFonts w:ascii="Segoe UI"/>
          <w:i/>
          <w:color w:val="231F20"/>
          <w:spacing w:val="-2"/>
          <w:sz w:val="16"/>
        </w:rPr>
        <w:t>coverage of</w:t>
      </w:r>
      <w:r>
        <w:rPr>
          <w:rFonts w:ascii="Segoe UI"/>
          <w:i/>
          <w:color w:val="231F20"/>
          <w:spacing w:val="-3"/>
          <w:sz w:val="16"/>
        </w:rPr>
        <w:t> </w:t>
      </w:r>
      <w:r>
        <w:rPr>
          <w:rFonts w:ascii="Segoe UI"/>
          <w:i/>
          <w:color w:val="231F20"/>
          <w:spacing w:val="-1"/>
          <w:sz w:val="16"/>
        </w:rPr>
        <w:t>the</w:t>
      </w:r>
      <w:r>
        <w:rPr>
          <w:rFonts w:ascii="Segoe UI"/>
          <w:i/>
          <w:color w:val="231F20"/>
          <w:spacing w:val="-3"/>
          <w:sz w:val="16"/>
        </w:rPr>
        <w:t> </w:t>
      </w:r>
      <w:r>
        <w:rPr>
          <w:rFonts w:ascii="Segoe UI"/>
          <w:i/>
          <w:color w:val="231F20"/>
          <w:spacing w:val="-1"/>
          <w:sz w:val="16"/>
        </w:rPr>
        <w:t>issue</w:t>
      </w:r>
      <w:r>
        <w:rPr>
          <w:rFonts w:ascii="Segoe UI"/>
          <w:color w:val="231F20"/>
          <w:spacing w:val="-1"/>
          <w:sz w:val="16"/>
        </w:rPr>
        <w:t>,</w:t>
      </w:r>
      <w:r>
        <w:rPr>
          <w:rFonts w:ascii="Segoe UI"/>
          <w:color w:val="231F20"/>
          <w:spacing w:val="-2"/>
          <w:sz w:val="16"/>
        </w:rPr>
        <w:t> </w:t>
      </w:r>
      <w:r>
        <w:rPr>
          <w:rFonts w:ascii="Segoe UI"/>
          <w:color w:val="231F20"/>
          <w:spacing w:val="-1"/>
          <w:sz w:val="16"/>
        </w:rPr>
        <w:t>Benveniste,</w:t>
      </w:r>
      <w:r>
        <w:rPr>
          <w:rFonts w:ascii="Segoe UI"/>
          <w:color w:val="231F20"/>
          <w:spacing w:val="44"/>
          <w:sz w:val="16"/>
        </w:rPr>
        <w:t> </w:t>
      </w:r>
      <w:r>
        <w:rPr>
          <w:rFonts w:ascii="Segoe UI"/>
          <w:color w:val="231F20"/>
          <w:sz w:val="16"/>
        </w:rPr>
        <w:t>T,</w:t>
      </w:r>
      <w:r>
        <w:rPr>
          <w:rFonts w:ascii="Segoe UI"/>
          <w:color w:val="231F20"/>
          <w:spacing w:val="-4"/>
          <w:sz w:val="16"/>
        </w:rPr>
        <w:t> </w:t>
      </w:r>
      <w:r>
        <w:rPr>
          <w:rFonts w:ascii="Segoe UI"/>
          <w:color w:val="231F20"/>
          <w:spacing w:val="-1"/>
          <w:sz w:val="16"/>
        </w:rPr>
        <w:t>Disbray,</w:t>
      </w:r>
      <w:r>
        <w:rPr>
          <w:rFonts w:ascii="Segoe UI"/>
          <w:color w:val="231F20"/>
          <w:spacing w:val="-3"/>
          <w:sz w:val="16"/>
        </w:rPr>
        <w:t> </w:t>
      </w:r>
      <w:r>
        <w:rPr>
          <w:rFonts w:ascii="Segoe UI"/>
          <w:color w:val="231F20"/>
          <w:spacing w:val="-1"/>
          <w:sz w:val="16"/>
        </w:rPr>
        <w:t>S,</w:t>
      </w:r>
      <w:r>
        <w:rPr>
          <w:rFonts w:ascii="Segoe UI"/>
          <w:color w:val="231F20"/>
          <w:spacing w:val="-3"/>
          <w:sz w:val="16"/>
        </w:rPr>
        <w:t> </w:t>
      </w:r>
      <w:r>
        <w:rPr>
          <w:rFonts w:ascii="Segoe UI"/>
          <w:color w:val="231F20"/>
          <w:sz w:val="16"/>
        </w:rPr>
        <w:t>&amp;</w:t>
      </w:r>
      <w:r>
        <w:rPr>
          <w:rFonts w:ascii="Segoe UI"/>
          <w:color w:val="231F20"/>
          <w:spacing w:val="-5"/>
          <w:sz w:val="16"/>
        </w:rPr>
        <w:t> </w:t>
      </w:r>
      <w:r>
        <w:rPr>
          <w:rFonts w:ascii="Segoe UI"/>
          <w:color w:val="231F20"/>
          <w:sz w:val="16"/>
        </w:rPr>
        <w:t>Guenther,</w:t>
      </w:r>
      <w:r>
        <w:rPr>
          <w:rFonts w:ascii="Segoe UI"/>
          <w:color w:val="231F20"/>
          <w:spacing w:val="-3"/>
          <w:sz w:val="16"/>
        </w:rPr>
        <w:t> </w:t>
      </w:r>
      <w:r>
        <w:rPr>
          <w:rFonts w:ascii="Segoe UI"/>
          <w:color w:val="231F20"/>
          <w:sz w:val="16"/>
        </w:rPr>
        <w:t>J,</w:t>
      </w:r>
      <w:r>
        <w:rPr>
          <w:rFonts w:ascii="Segoe UI"/>
          <w:color w:val="231F20"/>
          <w:spacing w:val="-3"/>
          <w:sz w:val="16"/>
        </w:rPr>
        <w:t> </w:t>
      </w:r>
      <w:r>
        <w:rPr>
          <w:rFonts w:ascii="Segoe UI"/>
          <w:color w:val="231F20"/>
          <w:spacing w:val="-1"/>
          <w:sz w:val="16"/>
        </w:rPr>
        <w:t>2014,</w:t>
      </w:r>
      <w:r>
        <w:rPr>
          <w:rFonts w:ascii="Segoe UI"/>
          <w:color w:val="231F20"/>
          <w:spacing w:val="-4"/>
          <w:sz w:val="16"/>
        </w:rPr>
        <w:t> </w:t>
      </w:r>
      <w:r>
        <w:rPr>
          <w:rFonts w:ascii="Segoe UI"/>
          <w:color w:val="231F20"/>
          <w:sz w:val="16"/>
        </w:rPr>
        <w:t>(Benveniste,</w:t>
      </w:r>
      <w:r>
        <w:rPr>
          <w:rFonts w:ascii="Segoe UI"/>
          <w:color w:val="231F20"/>
          <w:spacing w:val="24"/>
          <w:w w:val="99"/>
          <w:sz w:val="16"/>
        </w:rPr>
        <w:t> </w:t>
      </w:r>
      <w:r>
        <w:rPr>
          <w:rFonts w:ascii="Segoe UI"/>
          <w:color w:val="231F20"/>
          <w:spacing w:val="-1"/>
          <w:w w:val="95"/>
          <w:sz w:val="16"/>
        </w:rPr>
        <w:t>2014),</w:t>
      </w:r>
      <w:r>
        <w:rPr>
          <w:rFonts w:ascii="Segoe UI"/>
          <w:color w:val="231F20"/>
          <w:w w:val="95"/>
          <w:sz w:val="16"/>
        </w:rPr>
        <w:t>   </w:t>
      </w:r>
      <w:r>
        <w:rPr>
          <w:rFonts w:ascii="Segoe UI"/>
          <w:color w:val="231F20"/>
          <w:spacing w:val="5"/>
          <w:w w:val="95"/>
          <w:sz w:val="16"/>
        </w:rPr>
        <w:t> </w:t>
      </w:r>
      <w:hyperlink r:id="rId112">
        <w:r>
          <w:rPr>
            <w:rFonts w:ascii="Segoe UI"/>
            <w:color w:val="231F20"/>
            <w:w w:val="95"/>
            <w:sz w:val="16"/>
          </w:rPr>
          <w:t>https://www.academia.edu/8776088/A_</w:t>
        </w:r>
      </w:hyperlink>
      <w:r>
        <w:rPr>
          <w:rFonts w:ascii="Segoe UI"/>
          <w:color w:val="231F20"/>
          <w:spacing w:val="21"/>
          <w:w w:val="99"/>
          <w:sz w:val="16"/>
        </w:rPr>
        <w:t> </w:t>
      </w:r>
      <w:r>
        <w:rPr>
          <w:rFonts w:ascii="Segoe UI"/>
          <w:color w:val="231F20"/>
          <w:sz w:val="16"/>
        </w:rPr>
        <w:t>brief_review_of_literature_on_boarding_school_</w:t>
      </w:r>
      <w:r>
        <w:rPr>
          <w:rFonts w:ascii="Segoe UI"/>
          <w:color w:val="231F20"/>
          <w:w w:val="99"/>
          <w:sz w:val="16"/>
        </w:rPr>
        <w:t> </w:t>
      </w:r>
      <w:r>
        <w:rPr>
          <w:rFonts w:ascii="Segoe UI"/>
          <w:color w:val="231F20"/>
          <w:sz w:val="16"/>
        </w:rPr>
        <w:t>education_for_indigenous_students_and_recent_</w:t>
      </w:r>
      <w:r>
        <w:rPr>
          <w:rFonts w:ascii="Segoe UI"/>
          <w:color w:val="231F20"/>
          <w:w w:val="99"/>
          <w:sz w:val="16"/>
        </w:rPr>
        <w:t> </w:t>
      </w:r>
      <w:r>
        <w:rPr>
          <w:rFonts w:ascii="Segoe UI"/>
          <w:color w:val="231F20"/>
          <w:sz w:val="16"/>
        </w:rPr>
        <w:t>Australian_media_coverage_of_the_issue.</w:t>
      </w:r>
      <w:r>
        <w:rPr>
          <w:rFonts w:ascii="Segoe UI"/>
          <w:sz w:val="16"/>
        </w:rPr>
      </w:r>
    </w:p>
    <w:p>
      <w:pPr>
        <w:numPr>
          <w:ilvl w:val="0"/>
          <w:numId w:val="9"/>
        </w:numPr>
        <w:tabs>
          <w:tab w:pos="685" w:val="left" w:leader="none"/>
        </w:tabs>
        <w:spacing w:line="200" w:lineRule="exact" w:before="113"/>
        <w:ind w:left="684" w:right="320" w:hanging="567"/>
        <w:jc w:val="left"/>
        <w:rPr>
          <w:rFonts w:ascii="Segoe UI" w:hAnsi="Segoe UI" w:cs="Segoe UI" w:eastAsia="Segoe UI"/>
          <w:sz w:val="16"/>
          <w:szCs w:val="16"/>
        </w:rPr>
      </w:pPr>
      <w:r>
        <w:rPr>
          <w:rFonts w:ascii="Segoe UI"/>
          <w:i/>
          <w:color w:val="231F20"/>
          <w:sz w:val="16"/>
        </w:rPr>
        <w:t>Theorising</w:t>
      </w:r>
      <w:r>
        <w:rPr>
          <w:rFonts w:ascii="Segoe UI"/>
          <w:i/>
          <w:color w:val="231F20"/>
          <w:spacing w:val="-7"/>
          <w:sz w:val="16"/>
        </w:rPr>
        <w:t> </w:t>
      </w:r>
      <w:r>
        <w:rPr>
          <w:rFonts w:ascii="Segoe UI"/>
          <w:i/>
          <w:color w:val="231F20"/>
          <w:spacing w:val="-1"/>
          <w:sz w:val="16"/>
        </w:rPr>
        <w:t>the</w:t>
      </w:r>
      <w:r>
        <w:rPr>
          <w:rFonts w:ascii="Segoe UI"/>
          <w:i/>
          <w:color w:val="231F20"/>
          <w:spacing w:val="-5"/>
          <w:sz w:val="16"/>
        </w:rPr>
        <w:t> </w:t>
      </w:r>
      <w:r>
        <w:rPr>
          <w:rFonts w:ascii="Segoe UI"/>
          <w:i/>
          <w:color w:val="231F20"/>
          <w:sz w:val="16"/>
        </w:rPr>
        <w:t>mechanisms</w:t>
      </w:r>
      <w:r>
        <w:rPr>
          <w:rFonts w:ascii="Segoe UI"/>
          <w:i/>
          <w:color w:val="231F20"/>
          <w:spacing w:val="-7"/>
          <w:sz w:val="16"/>
        </w:rPr>
        <w:t> </w:t>
      </w:r>
      <w:r>
        <w:rPr>
          <w:rFonts w:ascii="Segoe UI"/>
          <w:i/>
          <w:color w:val="231F20"/>
          <w:sz w:val="16"/>
        </w:rPr>
        <w:t>and</w:t>
      </w:r>
      <w:r>
        <w:rPr>
          <w:rFonts w:ascii="Segoe UI"/>
          <w:i/>
          <w:color w:val="231F20"/>
          <w:spacing w:val="-5"/>
          <w:sz w:val="16"/>
        </w:rPr>
        <w:t> </w:t>
      </w:r>
      <w:r>
        <w:rPr>
          <w:rFonts w:ascii="Segoe UI"/>
          <w:i/>
          <w:color w:val="231F20"/>
          <w:spacing w:val="-1"/>
          <w:sz w:val="16"/>
        </w:rPr>
        <w:t>outcomes</w:t>
      </w:r>
      <w:r>
        <w:rPr>
          <w:rFonts w:ascii="Segoe UI"/>
          <w:i/>
          <w:color w:val="231F20"/>
          <w:spacing w:val="21"/>
          <w:w w:val="99"/>
          <w:sz w:val="16"/>
        </w:rPr>
        <w:t> </w:t>
      </w:r>
      <w:r>
        <w:rPr>
          <w:rFonts w:ascii="Segoe UI"/>
          <w:i/>
          <w:color w:val="231F20"/>
          <w:sz w:val="16"/>
        </w:rPr>
        <w:t>pathways</w:t>
      </w:r>
      <w:r>
        <w:rPr>
          <w:rFonts w:ascii="Segoe UI"/>
          <w:i/>
          <w:color w:val="231F20"/>
          <w:spacing w:val="-4"/>
          <w:sz w:val="16"/>
        </w:rPr>
        <w:t> </w:t>
      </w:r>
      <w:r>
        <w:rPr>
          <w:rFonts w:ascii="Segoe UI"/>
          <w:i/>
          <w:color w:val="231F20"/>
          <w:spacing w:val="-1"/>
          <w:sz w:val="16"/>
        </w:rPr>
        <w:t>from</w:t>
      </w:r>
      <w:r>
        <w:rPr>
          <w:rFonts w:ascii="Segoe UI"/>
          <w:i/>
          <w:color w:val="231F20"/>
          <w:spacing w:val="-3"/>
          <w:sz w:val="16"/>
        </w:rPr>
        <w:t> </w:t>
      </w:r>
      <w:r>
        <w:rPr>
          <w:rFonts w:ascii="Segoe UI"/>
          <w:i/>
          <w:color w:val="231F20"/>
          <w:spacing w:val="-1"/>
          <w:sz w:val="16"/>
        </w:rPr>
        <w:t>boarding</w:t>
      </w:r>
      <w:r>
        <w:rPr>
          <w:rFonts w:ascii="Segoe UI"/>
          <w:i/>
          <w:color w:val="231F20"/>
          <w:spacing w:val="-3"/>
          <w:sz w:val="16"/>
        </w:rPr>
        <w:t> </w:t>
      </w:r>
      <w:r>
        <w:rPr>
          <w:rFonts w:ascii="Segoe UI"/>
          <w:i/>
          <w:color w:val="231F20"/>
          <w:spacing w:val="-1"/>
          <w:sz w:val="16"/>
        </w:rPr>
        <w:t>school</w:t>
      </w:r>
      <w:r>
        <w:rPr>
          <w:rFonts w:ascii="Segoe UI"/>
          <w:i/>
          <w:color w:val="231F20"/>
          <w:spacing w:val="-3"/>
          <w:sz w:val="16"/>
        </w:rPr>
        <w:t> </w:t>
      </w:r>
      <w:r>
        <w:rPr>
          <w:rFonts w:ascii="Segoe UI"/>
          <w:i/>
          <w:color w:val="231F20"/>
          <w:spacing w:val="-1"/>
          <w:sz w:val="16"/>
        </w:rPr>
        <w:t>participation</w:t>
      </w:r>
      <w:r>
        <w:rPr>
          <w:rFonts w:ascii="Segoe UI"/>
          <w:i/>
          <w:color w:val="231F20"/>
          <w:spacing w:val="47"/>
          <w:sz w:val="16"/>
        </w:rPr>
        <w:t> </w:t>
      </w:r>
      <w:r>
        <w:rPr>
          <w:rFonts w:ascii="Segoe UI"/>
          <w:i/>
          <w:color w:val="231F20"/>
          <w:sz w:val="16"/>
        </w:rPr>
        <w:t>for</w:t>
      </w:r>
      <w:r>
        <w:rPr>
          <w:rFonts w:ascii="Segoe UI"/>
          <w:i/>
          <w:color w:val="231F20"/>
          <w:spacing w:val="-5"/>
          <w:sz w:val="16"/>
        </w:rPr>
        <w:t> </w:t>
      </w:r>
      <w:r>
        <w:rPr>
          <w:rFonts w:ascii="Segoe UI"/>
          <w:i/>
          <w:color w:val="231F20"/>
          <w:sz w:val="16"/>
        </w:rPr>
        <w:t>remote</w:t>
      </w:r>
      <w:r>
        <w:rPr>
          <w:rFonts w:ascii="Segoe UI"/>
          <w:i/>
          <w:color w:val="231F20"/>
          <w:spacing w:val="-3"/>
          <w:sz w:val="16"/>
        </w:rPr>
        <w:t> </w:t>
      </w:r>
      <w:r>
        <w:rPr>
          <w:rFonts w:ascii="Segoe UI"/>
          <w:i/>
          <w:color w:val="231F20"/>
          <w:sz w:val="16"/>
        </w:rPr>
        <w:t>Aboriginal</w:t>
      </w:r>
      <w:r>
        <w:rPr>
          <w:rFonts w:ascii="Segoe UI"/>
          <w:i/>
          <w:color w:val="231F20"/>
          <w:spacing w:val="-4"/>
          <w:sz w:val="16"/>
        </w:rPr>
        <w:t> </w:t>
      </w:r>
      <w:r>
        <w:rPr>
          <w:rFonts w:ascii="Segoe UI"/>
          <w:i/>
          <w:color w:val="231F20"/>
          <w:sz w:val="16"/>
        </w:rPr>
        <w:t>and</w:t>
      </w:r>
      <w:r>
        <w:rPr>
          <w:rFonts w:ascii="Segoe UI"/>
          <w:i/>
          <w:color w:val="231F20"/>
          <w:spacing w:val="-3"/>
          <w:sz w:val="16"/>
        </w:rPr>
        <w:t> Torres</w:t>
      </w:r>
      <w:r>
        <w:rPr>
          <w:rFonts w:ascii="Segoe UI"/>
          <w:i/>
          <w:color w:val="231F20"/>
          <w:spacing w:val="-4"/>
          <w:sz w:val="16"/>
        </w:rPr>
        <w:t> </w:t>
      </w:r>
      <w:r>
        <w:rPr>
          <w:rFonts w:ascii="Segoe UI"/>
          <w:i/>
          <w:color w:val="231F20"/>
          <w:spacing w:val="-1"/>
          <w:sz w:val="16"/>
        </w:rPr>
        <w:t>Strait</w:t>
      </w:r>
      <w:r>
        <w:rPr>
          <w:rFonts w:ascii="Segoe UI"/>
          <w:i/>
          <w:color w:val="231F20"/>
          <w:spacing w:val="-3"/>
          <w:sz w:val="16"/>
        </w:rPr>
        <w:t> </w:t>
      </w:r>
      <w:r>
        <w:rPr>
          <w:rFonts w:ascii="Segoe UI"/>
          <w:i/>
          <w:color w:val="231F20"/>
          <w:spacing w:val="-1"/>
          <w:sz w:val="16"/>
        </w:rPr>
        <w:t>Islander</w:t>
      </w:r>
      <w:r>
        <w:rPr>
          <w:rFonts w:ascii="Segoe UI"/>
          <w:i/>
          <w:color w:val="231F20"/>
          <w:spacing w:val="24"/>
          <w:w w:val="99"/>
          <w:sz w:val="16"/>
        </w:rPr>
        <w:t> </w:t>
      </w:r>
      <w:r>
        <w:rPr>
          <w:rFonts w:ascii="Segoe UI"/>
          <w:i/>
          <w:color w:val="231F20"/>
          <w:spacing w:val="-1"/>
          <w:sz w:val="16"/>
        </w:rPr>
        <w:t>students</w:t>
      </w:r>
      <w:r>
        <w:rPr>
          <w:rFonts w:ascii="Segoe UI"/>
          <w:color w:val="231F20"/>
          <w:spacing w:val="-1"/>
          <w:sz w:val="16"/>
        </w:rPr>
        <w:t>,</w:t>
      </w:r>
      <w:r>
        <w:rPr>
          <w:rFonts w:ascii="Segoe UI"/>
          <w:color w:val="231F20"/>
          <w:spacing w:val="-8"/>
          <w:sz w:val="16"/>
        </w:rPr>
        <w:t> </w:t>
      </w:r>
      <w:r>
        <w:rPr>
          <w:rFonts w:ascii="Segoe UI"/>
          <w:color w:val="231F20"/>
          <w:sz w:val="16"/>
        </w:rPr>
        <w:t>Guenther,</w:t>
      </w:r>
      <w:r>
        <w:rPr>
          <w:rFonts w:ascii="Segoe UI"/>
          <w:color w:val="231F20"/>
          <w:spacing w:val="-8"/>
          <w:sz w:val="16"/>
        </w:rPr>
        <w:t> </w:t>
      </w:r>
      <w:r>
        <w:rPr>
          <w:rFonts w:ascii="Segoe UI"/>
          <w:color w:val="231F20"/>
          <w:sz w:val="16"/>
        </w:rPr>
        <w:t>John;</w:t>
      </w:r>
      <w:r>
        <w:rPr>
          <w:rFonts w:ascii="Segoe UI"/>
          <w:color w:val="231F20"/>
          <w:spacing w:val="-8"/>
          <w:sz w:val="16"/>
        </w:rPr>
        <w:t> </w:t>
      </w:r>
      <w:r>
        <w:rPr>
          <w:rFonts w:ascii="Segoe UI"/>
          <w:color w:val="231F20"/>
          <w:spacing w:val="-1"/>
          <w:sz w:val="16"/>
        </w:rPr>
        <w:t>Redman-MacLaren,</w:t>
      </w:r>
      <w:r>
        <w:rPr>
          <w:rFonts w:ascii="Segoe UI"/>
          <w:color w:val="231F20"/>
          <w:spacing w:val="38"/>
          <w:w w:val="99"/>
          <w:sz w:val="16"/>
        </w:rPr>
        <w:t> </w:t>
      </w:r>
      <w:r>
        <w:rPr>
          <w:rFonts w:ascii="Segoe UI"/>
          <w:color w:val="231F20"/>
          <w:sz w:val="16"/>
        </w:rPr>
        <w:t>Michelle;</w:t>
      </w:r>
      <w:r>
        <w:rPr>
          <w:rFonts w:ascii="Segoe UI"/>
          <w:color w:val="231F20"/>
          <w:spacing w:val="-7"/>
          <w:sz w:val="16"/>
        </w:rPr>
        <w:t> </w:t>
      </w:r>
      <w:r>
        <w:rPr>
          <w:rFonts w:ascii="Segoe UI"/>
          <w:color w:val="231F20"/>
          <w:sz w:val="16"/>
        </w:rPr>
        <w:t>Mander,</w:t>
      </w:r>
      <w:r>
        <w:rPr>
          <w:rFonts w:ascii="Segoe UI"/>
          <w:color w:val="231F20"/>
          <w:spacing w:val="-5"/>
          <w:sz w:val="16"/>
        </w:rPr>
        <w:t> </w:t>
      </w:r>
      <w:r>
        <w:rPr>
          <w:rFonts w:ascii="Segoe UI"/>
          <w:color w:val="231F20"/>
          <w:spacing w:val="-1"/>
          <w:sz w:val="16"/>
        </w:rPr>
        <w:t>David;</w:t>
      </w:r>
      <w:r>
        <w:rPr>
          <w:rFonts w:ascii="Segoe UI"/>
          <w:color w:val="231F20"/>
          <w:spacing w:val="-5"/>
          <w:sz w:val="16"/>
        </w:rPr>
        <w:t> </w:t>
      </w:r>
      <w:r>
        <w:rPr>
          <w:rFonts w:ascii="Segoe UI"/>
          <w:color w:val="231F20"/>
          <w:spacing w:val="-1"/>
          <w:sz w:val="16"/>
        </w:rPr>
        <w:t>Stewart,</w:t>
      </w:r>
      <w:r>
        <w:rPr>
          <w:rFonts w:ascii="Segoe UI"/>
          <w:color w:val="231F20"/>
          <w:spacing w:val="-6"/>
          <w:sz w:val="16"/>
        </w:rPr>
        <w:t> </w:t>
      </w:r>
      <w:r>
        <w:rPr>
          <w:rFonts w:ascii="Segoe UI"/>
          <w:color w:val="231F20"/>
          <w:spacing w:val="-1"/>
          <w:sz w:val="16"/>
        </w:rPr>
        <w:t>Richard;</w:t>
      </w:r>
      <w:r>
        <w:rPr>
          <w:rFonts w:ascii="Segoe UI"/>
          <w:color w:val="231F20"/>
          <w:spacing w:val="23"/>
          <w:w w:val="99"/>
          <w:sz w:val="16"/>
        </w:rPr>
        <w:t> </w:t>
      </w:r>
      <w:r>
        <w:rPr>
          <w:rFonts w:ascii="Segoe UI"/>
          <w:color w:val="231F20"/>
          <w:spacing w:val="-1"/>
          <w:sz w:val="16"/>
        </w:rPr>
        <w:t>Bobongie,</w:t>
      </w:r>
      <w:r>
        <w:rPr>
          <w:rFonts w:ascii="Segoe UI"/>
          <w:color w:val="231F20"/>
          <w:spacing w:val="-8"/>
          <w:sz w:val="16"/>
        </w:rPr>
        <w:t> </w:t>
      </w:r>
      <w:r>
        <w:rPr>
          <w:rFonts w:ascii="Segoe UI"/>
          <w:color w:val="231F20"/>
          <w:spacing w:val="-1"/>
          <w:sz w:val="16"/>
        </w:rPr>
        <w:t>Francis;</w:t>
      </w:r>
      <w:r>
        <w:rPr>
          <w:rFonts w:ascii="Segoe UI"/>
          <w:color w:val="231F20"/>
          <w:spacing w:val="-7"/>
          <w:sz w:val="16"/>
        </w:rPr>
        <w:t> </w:t>
      </w:r>
      <w:r>
        <w:rPr>
          <w:rFonts w:ascii="Segoe UI"/>
          <w:color w:val="231F20"/>
          <w:sz w:val="16"/>
        </w:rPr>
        <w:t>McCalman,</w:t>
      </w:r>
      <w:r>
        <w:rPr>
          <w:rFonts w:ascii="Segoe UI"/>
          <w:color w:val="231F20"/>
          <w:spacing w:val="-9"/>
          <w:sz w:val="16"/>
        </w:rPr>
        <w:t> </w:t>
      </w:r>
      <w:r>
        <w:rPr>
          <w:rFonts w:ascii="Segoe UI"/>
          <w:color w:val="231F20"/>
          <w:sz w:val="16"/>
        </w:rPr>
        <w:t>Janya;</w:t>
      </w:r>
      <w:r>
        <w:rPr>
          <w:rFonts w:ascii="Segoe UI"/>
          <w:color w:val="231F20"/>
          <w:spacing w:val="-7"/>
          <w:sz w:val="16"/>
        </w:rPr>
        <w:t> </w:t>
      </w:r>
      <w:r>
        <w:rPr>
          <w:rFonts w:ascii="Segoe UI"/>
          <w:color w:val="231F20"/>
          <w:spacing w:val="-1"/>
          <w:sz w:val="16"/>
        </w:rPr>
        <w:t>Barrett,</w:t>
      </w:r>
      <w:r>
        <w:rPr>
          <w:rFonts w:ascii="Segoe UI"/>
          <w:sz w:val="16"/>
        </w:rPr>
      </w:r>
    </w:p>
    <w:p>
      <w:pPr>
        <w:spacing w:line="200" w:lineRule="exact" w:before="0"/>
        <w:ind w:left="684" w:right="177" w:firstLine="0"/>
        <w:jc w:val="both"/>
        <w:rPr>
          <w:rFonts w:ascii="Segoe UI" w:hAnsi="Segoe UI" w:cs="Segoe UI" w:eastAsia="Segoe UI"/>
          <w:sz w:val="16"/>
          <w:szCs w:val="16"/>
        </w:rPr>
      </w:pPr>
      <w:r>
        <w:rPr>
          <w:rFonts w:ascii="Segoe UI" w:hAnsi="Segoe UI" w:cs="Segoe UI" w:eastAsia="Segoe UI"/>
          <w:color w:val="231F20"/>
          <w:spacing w:val="-1"/>
          <w:sz w:val="16"/>
          <w:szCs w:val="16"/>
        </w:rPr>
        <w:t>Peter;</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Fogarty,</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Bill;</w:t>
      </w:r>
      <w:r>
        <w:rPr>
          <w:rFonts w:ascii="Segoe UI" w:hAnsi="Segoe UI" w:cs="Segoe UI" w:eastAsia="Segoe UI"/>
          <w:color w:val="231F20"/>
          <w:spacing w:val="-4"/>
          <w:sz w:val="16"/>
          <w:szCs w:val="16"/>
        </w:rPr>
        <w:t> </w:t>
      </w:r>
      <w:r>
        <w:rPr>
          <w:rFonts w:ascii="Segoe UI" w:hAnsi="Segoe UI" w:cs="Segoe UI" w:eastAsia="Segoe UI"/>
          <w:color w:val="231F20"/>
          <w:sz w:val="16"/>
          <w:szCs w:val="16"/>
        </w:rPr>
        <w:t>Milgate,</w:t>
      </w:r>
      <w:r>
        <w:rPr>
          <w:rFonts w:ascii="Segoe UI" w:hAnsi="Segoe UI" w:cs="Segoe UI" w:eastAsia="Segoe UI"/>
          <w:color w:val="231F20"/>
          <w:spacing w:val="-4"/>
          <w:sz w:val="16"/>
          <w:szCs w:val="16"/>
        </w:rPr>
        <w:t> </w:t>
      </w:r>
      <w:r>
        <w:rPr>
          <w:rFonts w:ascii="Segoe UI" w:hAnsi="Segoe UI" w:cs="Segoe UI" w:eastAsia="Segoe UI"/>
          <w:color w:val="231F20"/>
          <w:sz w:val="16"/>
          <w:szCs w:val="16"/>
        </w:rPr>
        <w:t>Gina;</w:t>
      </w:r>
      <w:r>
        <w:rPr>
          <w:rFonts w:ascii="Segoe UI" w:hAnsi="Segoe UI" w:cs="Segoe UI" w:eastAsia="Segoe UI"/>
          <w:color w:val="231F20"/>
          <w:spacing w:val="-5"/>
          <w:sz w:val="16"/>
          <w:szCs w:val="16"/>
        </w:rPr>
        <w:t> </w:t>
      </w:r>
      <w:r>
        <w:rPr>
          <w:rFonts w:ascii="Segoe UI" w:hAnsi="Segoe UI" w:cs="Segoe UI" w:eastAsia="Segoe UI"/>
          <w:color w:val="231F20"/>
          <w:sz w:val="16"/>
          <w:szCs w:val="16"/>
        </w:rPr>
        <w:t>Lloyd,</w:t>
      </w:r>
      <w:r>
        <w:rPr>
          <w:rFonts w:ascii="Segoe UI" w:hAnsi="Segoe UI" w:cs="Segoe UI" w:eastAsia="Segoe UI"/>
          <w:color w:val="231F20"/>
          <w:spacing w:val="-4"/>
          <w:sz w:val="16"/>
          <w:szCs w:val="16"/>
        </w:rPr>
        <w:t> </w:t>
      </w:r>
      <w:r>
        <w:rPr>
          <w:rFonts w:ascii="Segoe UI" w:hAnsi="Segoe UI" w:cs="Segoe UI" w:eastAsia="Segoe UI"/>
          <w:color w:val="231F20"/>
          <w:sz w:val="16"/>
          <w:szCs w:val="16"/>
        </w:rPr>
        <w:t>Andrew;</w:t>
      </w:r>
      <w:r>
        <w:rPr>
          <w:rFonts w:ascii="Segoe UI" w:hAnsi="Segoe UI" w:cs="Segoe UI" w:eastAsia="Segoe UI"/>
          <w:color w:val="231F20"/>
          <w:spacing w:val="23"/>
          <w:w w:val="99"/>
          <w:sz w:val="16"/>
          <w:szCs w:val="16"/>
        </w:rPr>
        <w:t> </w:t>
      </w:r>
      <w:r>
        <w:rPr>
          <w:rFonts w:ascii="Segoe UI" w:hAnsi="Segoe UI" w:cs="Segoe UI" w:eastAsia="Segoe UI"/>
          <w:color w:val="231F20"/>
          <w:sz w:val="16"/>
          <w:szCs w:val="16"/>
        </w:rPr>
        <w:t>O’Bryan,</w:t>
      </w:r>
      <w:r>
        <w:rPr>
          <w:rFonts w:ascii="Segoe UI" w:hAnsi="Segoe UI" w:cs="Segoe UI" w:eastAsia="Segoe UI"/>
          <w:color w:val="231F20"/>
          <w:spacing w:val="-4"/>
          <w:sz w:val="16"/>
          <w:szCs w:val="16"/>
        </w:rPr>
        <w:t> </w:t>
      </w:r>
      <w:r>
        <w:rPr>
          <w:rFonts w:ascii="Segoe UI" w:hAnsi="Segoe UI" w:cs="Segoe UI" w:eastAsia="Segoe UI"/>
          <w:color w:val="231F20"/>
          <w:sz w:val="16"/>
          <w:szCs w:val="16"/>
        </w:rPr>
        <w:t>Marnie;</w:t>
      </w:r>
      <w:r>
        <w:rPr>
          <w:rFonts w:ascii="Segoe UI" w:hAnsi="Segoe UI" w:cs="Segoe UI" w:eastAsia="Segoe UI"/>
          <w:color w:val="231F20"/>
          <w:spacing w:val="-3"/>
          <w:sz w:val="16"/>
          <w:szCs w:val="16"/>
        </w:rPr>
        <w:t> </w:t>
      </w:r>
      <w:r>
        <w:rPr>
          <w:rFonts w:ascii="Segoe UI" w:hAnsi="Segoe UI" w:cs="Segoe UI" w:eastAsia="Segoe UI"/>
          <w:color w:val="231F20"/>
          <w:sz w:val="16"/>
          <w:szCs w:val="16"/>
        </w:rPr>
        <w:t>Osborne,</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Sam</w:t>
      </w:r>
      <w:r>
        <w:rPr>
          <w:rFonts w:ascii="Segoe UI" w:hAnsi="Segoe UI" w:cs="Segoe UI" w:eastAsia="Segoe UI"/>
          <w:color w:val="231F20"/>
          <w:spacing w:val="-3"/>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Benveniste,</w:t>
      </w:r>
      <w:r>
        <w:rPr>
          <w:rFonts w:ascii="Segoe UI" w:hAnsi="Segoe UI" w:cs="Segoe UI" w:eastAsia="Segoe UI"/>
          <w:color w:val="231F20"/>
          <w:spacing w:val="21"/>
          <w:sz w:val="16"/>
          <w:szCs w:val="16"/>
        </w:rPr>
        <w:t> </w:t>
      </w:r>
      <w:r>
        <w:rPr>
          <w:rFonts w:ascii="Segoe UI" w:hAnsi="Segoe UI" w:cs="Segoe UI" w:eastAsia="Segoe UI"/>
          <w:color w:val="231F20"/>
          <w:spacing w:val="-3"/>
          <w:sz w:val="16"/>
          <w:szCs w:val="16"/>
        </w:rPr>
        <w:t>Tessa,</w:t>
      </w:r>
      <w:r>
        <w:rPr>
          <w:rFonts w:ascii="Segoe UI" w:hAnsi="Segoe UI" w:cs="Segoe UI" w:eastAsia="Segoe UI"/>
          <w:color w:val="231F20"/>
          <w:spacing w:val="-6"/>
          <w:sz w:val="16"/>
          <w:szCs w:val="16"/>
        </w:rPr>
        <w:t> </w:t>
      </w:r>
      <w:r>
        <w:rPr>
          <w:rFonts w:ascii="Segoe UI" w:hAnsi="Segoe UI" w:cs="Segoe UI" w:eastAsia="Segoe UI"/>
          <w:color w:val="231F20"/>
          <w:spacing w:val="-1"/>
          <w:sz w:val="16"/>
          <w:szCs w:val="16"/>
        </w:rPr>
        <w:t>2017</w:t>
      </w:r>
      <w:r>
        <w:rPr>
          <w:rFonts w:ascii="Segoe UI" w:hAnsi="Segoe UI" w:cs="Segoe UI" w:eastAsia="Segoe UI"/>
          <w:color w:val="231F20"/>
          <w:spacing w:val="-4"/>
          <w:sz w:val="16"/>
          <w:szCs w:val="16"/>
        </w:rPr>
        <w:t> </w:t>
      </w:r>
      <w:r>
        <w:rPr>
          <w:rFonts w:ascii="Segoe UI" w:hAnsi="Segoe UI" w:cs="Segoe UI" w:eastAsia="Segoe UI"/>
          <w:color w:val="231F20"/>
          <w:sz w:val="16"/>
          <w:szCs w:val="16"/>
        </w:rPr>
        <w:t>(Guenther,</w:t>
      </w:r>
      <w:r>
        <w:rPr>
          <w:rFonts w:ascii="Segoe UI" w:hAnsi="Segoe UI" w:cs="Segoe UI" w:eastAsia="Segoe UI"/>
          <w:color w:val="231F20"/>
          <w:spacing w:val="-5"/>
          <w:sz w:val="16"/>
          <w:szCs w:val="16"/>
        </w:rPr>
        <w:t> </w:t>
      </w:r>
      <w:r>
        <w:rPr>
          <w:rFonts w:ascii="Segoe UI" w:hAnsi="Segoe UI" w:cs="Segoe UI" w:eastAsia="Segoe UI"/>
          <w:color w:val="231F20"/>
          <w:sz w:val="16"/>
          <w:szCs w:val="16"/>
        </w:rPr>
        <w:t>2017).</w:t>
      </w:r>
      <w:r>
        <w:rPr>
          <w:rFonts w:ascii="Segoe UI" w:hAnsi="Segoe UI" w:cs="Segoe UI" w:eastAsia="Segoe UI"/>
          <w:sz w:val="16"/>
          <w:szCs w:val="16"/>
        </w:rPr>
      </w:r>
    </w:p>
    <w:p>
      <w:pPr>
        <w:numPr>
          <w:ilvl w:val="0"/>
          <w:numId w:val="9"/>
        </w:numPr>
        <w:tabs>
          <w:tab w:pos="685" w:val="left" w:leader="none"/>
        </w:tabs>
        <w:spacing w:line="200" w:lineRule="exact" w:before="113"/>
        <w:ind w:left="684" w:right="126" w:hanging="567"/>
        <w:jc w:val="left"/>
        <w:rPr>
          <w:rFonts w:ascii="Segoe UI" w:hAnsi="Segoe UI" w:cs="Segoe UI" w:eastAsia="Segoe UI"/>
          <w:sz w:val="16"/>
          <w:szCs w:val="16"/>
        </w:rPr>
      </w:pPr>
      <w:r>
        <w:rPr>
          <w:rFonts w:ascii="Segoe UI" w:hAnsi="Segoe UI" w:cs="Segoe UI" w:eastAsia="Segoe UI"/>
          <w:color w:val="231F20"/>
          <w:spacing w:val="-1"/>
          <w:sz w:val="16"/>
          <w:szCs w:val="16"/>
        </w:rPr>
        <w:t>Source:</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Department</w:t>
      </w:r>
      <w:r>
        <w:rPr>
          <w:rFonts w:ascii="Segoe UI" w:hAnsi="Segoe UI" w:cs="Segoe UI" w:eastAsia="Segoe UI"/>
          <w:color w:val="231F20"/>
          <w:spacing w:val="-3"/>
          <w:sz w:val="16"/>
          <w:szCs w:val="16"/>
        </w:rPr>
        <w:t> </w:t>
      </w:r>
      <w:r>
        <w:rPr>
          <w:rFonts w:ascii="Segoe UI" w:hAnsi="Segoe UI" w:cs="Segoe UI" w:eastAsia="Segoe UI"/>
          <w:color w:val="231F20"/>
          <w:sz w:val="16"/>
          <w:szCs w:val="16"/>
        </w:rPr>
        <w:t>of</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Social</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Services</w:t>
      </w:r>
      <w:r>
        <w:rPr>
          <w:rFonts w:ascii="Segoe UI" w:hAnsi="Segoe UI" w:cs="Segoe UI" w:eastAsia="Segoe UI"/>
          <w:color w:val="231F20"/>
          <w:spacing w:val="-3"/>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4"/>
          <w:sz w:val="16"/>
          <w:szCs w:val="16"/>
        </w:rPr>
        <w:t> </w:t>
      </w:r>
      <w:r>
        <w:rPr>
          <w:rFonts w:ascii="Segoe UI" w:hAnsi="Segoe UI" w:cs="Segoe UI" w:eastAsia="Segoe UI"/>
          <w:color w:val="231F20"/>
          <w:sz w:val="16"/>
          <w:szCs w:val="16"/>
        </w:rPr>
        <w:t>House</w:t>
      </w:r>
      <w:r>
        <w:rPr>
          <w:rFonts w:ascii="Segoe UI" w:hAnsi="Segoe UI" w:cs="Segoe UI" w:eastAsia="Segoe UI"/>
          <w:color w:val="231F20"/>
          <w:spacing w:val="25"/>
          <w:sz w:val="16"/>
          <w:szCs w:val="16"/>
        </w:rPr>
        <w:t> </w:t>
      </w:r>
      <w:r>
        <w:rPr>
          <w:rFonts w:ascii="Segoe UI" w:hAnsi="Segoe UI" w:cs="Segoe UI" w:eastAsia="Segoe UI"/>
          <w:color w:val="231F20"/>
          <w:sz w:val="16"/>
          <w:szCs w:val="16"/>
        </w:rPr>
        <w:t>of</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Representatives</w:t>
      </w:r>
      <w:r>
        <w:rPr>
          <w:rFonts w:ascii="Segoe UI" w:hAnsi="Segoe UI" w:cs="Segoe UI" w:eastAsia="Segoe UI"/>
          <w:color w:val="231F20"/>
          <w:spacing w:val="-6"/>
          <w:sz w:val="16"/>
          <w:szCs w:val="16"/>
        </w:rPr>
        <w:t> </w:t>
      </w:r>
      <w:r>
        <w:rPr>
          <w:rFonts w:ascii="Segoe UI" w:hAnsi="Segoe UI" w:cs="Segoe UI" w:eastAsia="Segoe UI"/>
          <w:color w:val="231F20"/>
          <w:spacing w:val="-1"/>
          <w:sz w:val="16"/>
          <w:szCs w:val="16"/>
        </w:rPr>
        <w:t>Standing</w:t>
      </w:r>
      <w:r>
        <w:rPr>
          <w:rFonts w:ascii="Segoe UI" w:hAnsi="Segoe UI" w:cs="Segoe UI" w:eastAsia="Segoe UI"/>
          <w:color w:val="231F20"/>
          <w:spacing w:val="-6"/>
          <w:sz w:val="16"/>
          <w:szCs w:val="16"/>
        </w:rPr>
        <w:t> </w:t>
      </w:r>
      <w:r>
        <w:rPr>
          <w:rFonts w:ascii="Segoe UI" w:hAnsi="Segoe UI" w:cs="Segoe UI" w:eastAsia="Segoe UI"/>
          <w:color w:val="231F20"/>
          <w:spacing w:val="-1"/>
          <w:sz w:val="16"/>
          <w:szCs w:val="16"/>
        </w:rPr>
        <w:t>Committee</w:t>
      </w:r>
      <w:r>
        <w:rPr>
          <w:rFonts w:ascii="Segoe UI" w:hAnsi="Segoe UI" w:cs="Segoe UI" w:eastAsia="Segoe UI"/>
          <w:color w:val="231F20"/>
          <w:spacing w:val="-4"/>
          <w:sz w:val="16"/>
          <w:szCs w:val="16"/>
        </w:rPr>
        <w:t> </w:t>
      </w:r>
      <w:r>
        <w:rPr>
          <w:rFonts w:ascii="Segoe UI" w:hAnsi="Segoe UI" w:cs="Segoe UI" w:eastAsia="Segoe UI"/>
          <w:color w:val="231F20"/>
          <w:sz w:val="16"/>
          <w:szCs w:val="16"/>
        </w:rPr>
        <w:t>on</w:t>
      </w:r>
      <w:r>
        <w:rPr>
          <w:rFonts w:ascii="Segoe UI" w:hAnsi="Segoe UI" w:cs="Segoe UI" w:eastAsia="Segoe UI"/>
          <w:color w:val="231F20"/>
          <w:spacing w:val="27"/>
          <w:w w:val="99"/>
          <w:sz w:val="16"/>
          <w:szCs w:val="16"/>
        </w:rPr>
        <w:t> </w:t>
      </w:r>
      <w:r>
        <w:rPr>
          <w:rFonts w:ascii="Segoe UI" w:hAnsi="Segoe UI" w:cs="Segoe UI" w:eastAsia="Segoe UI"/>
          <w:color w:val="231F20"/>
          <w:sz w:val="16"/>
          <w:szCs w:val="16"/>
        </w:rPr>
        <w:t>Indigenous</w:t>
      </w:r>
      <w:r>
        <w:rPr>
          <w:rFonts w:ascii="Segoe UI" w:hAnsi="Segoe UI" w:cs="Segoe UI" w:eastAsia="Segoe UI"/>
          <w:color w:val="231F20"/>
          <w:spacing w:val="-3"/>
          <w:sz w:val="16"/>
          <w:szCs w:val="16"/>
        </w:rPr>
        <w:t> </w:t>
      </w:r>
      <w:r>
        <w:rPr>
          <w:rFonts w:ascii="Segoe UI" w:hAnsi="Segoe UI" w:cs="Segoe UI" w:eastAsia="Segoe UI"/>
          <w:color w:val="231F20"/>
          <w:sz w:val="16"/>
          <w:szCs w:val="16"/>
        </w:rPr>
        <w:t>Affairs,</w:t>
      </w:r>
      <w:r>
        <w:rPr>
          <w:rFonts w:ascii="Segoe UI" w:hAnsi="Segoe UI" w:cs="Segoe UI" w:eastAsia="Segoe UI"/>
          <w:color w:val="231F20"/>
          <w:spacing w:val="-3"/>
          <w:sz w:val="16"/>
          <w:szCs w:val="16"/>
        </w:rPr>
        <w:t> </w:t>
      </w:r>
      <w:r>
        <w:rPr>
          <w:rFonts w:ascii="Segoe UI" w:hAnsi="Segoe UI" w:cs="Segoe UI" w:eastAsia="Segoe UI"/>
          <w:i/>
          <w:color w:val="231F20"/>
          <w:sz w:val="16"/>
          <w:szCs w:val="16"/>
        </w:rPr>
        <w:t>The</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power</w:t>
      </w:r>
      <w:r>
        <w:rPr>
          <w:rFonts w:ascii="Segoe UI" w:hAnsi="Segoe UI" w:cs="Segoe UI" w:eastAsia="Segoe UI"/>
          <w:i/>
          <w:color w:val="231F20"/>
          <w:spacing w:val="-4"/>
          <w:sz w:val="16"/>
          <w:szCs w:val="16"/>
        </w:rPr>
        <w:t> </w:t>
      </w:r>
      <w:r>
        <w:rPr>
          <w:rFonts w:ascii="Segoe UI" w:hAnsi="Segoe UI" w:cs="Segoe UI" w:eastAsia="Segoe UI"/>
          <w:i/>
          <w:color w:val="231F20"/>
          <w:spacing w:val="-2"/>
          <w:sz w:val="16"/>
          <w:szCs w:val="16"/>
        </w:rPr>
        <w:t>of</w:t>
      </w:r>
      <w:r>
        <w:rPr>
          <w:rFonts w:ascii="Segoe UI" w:hAnsi="Segoe UI" w:cs="Segoe UI" w:eastAsia="Segoe UI"/>
          <w:i/>
          <w:color w:val="231F20"/>
          <w:spacing w:val="-3"/>
          <w:sz w:val="16"/>
          <w:szCs w:val="16"/>
        </w:rPr>
        <w:t> </w:t>
      </w:r>
      <w:r>
        <w:rPr>
          <w:rFonts w:ascii="Segoe UI" w:hAnsi="Segoe UI" w:cs="Segoe UI" w:eastAsia="Segoe UI"/>
          <w:i/>
          <w:color w:val="231F20"/>
          <w:sz w:val="16"/>
          <w:szCs w:val="16"/>
        </w:rPr>
        <w:t>education:</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From</w:t>
      </w:r>
      <w:r>
        <w:rPr>
          <w:rFonts w:ascii="Segoe UI" w:hAnsi="Segoe UI" w:cs="Segoe UI" w:eastAsia="Segoe UI"/>
          <w:i/>
          <w:color w:val="231F20"/>
          <w:spacing w:val="25"/>
          <w:sz w:val="16"/>
          <w:szCs w:val="16"/>
        </w:rPr>
        <w:t> </w:t>
      </w:r>
      <w:r>
        <w:rPr>
          <w:rFonts w:ascii="Segoe UI" w:hAnsi="Segoe UI" w:cs="Segoe UI" w:eastAsia="Segoe UI"/>
          <w:i/>
          <w:color w:val="231F20"/>
          <w:spacing w:val="-1"/>
          <w:sz w:val="16"/>
          <w:szCs w:val="16"/>
        </w:rPr>
        <w:t>surviving</w:t>
      </w:r>
      <w:r>
        <w:rPr>
          <w:rFonts w:ascii="Segoe UI" w:hAnsi="Segoe UI" w:cs="Segoe UI" w:eastAsia="Segoe UI"/>
          <w:i/>
          <w:color w:val="231F20"/>
          <w:spacing w:val="-6"/>
          <w:sz w:val="16"/>
          <w:szCs w:val="16"/>
        </w:rPr>
        <w:t> </w:t>
      </w:r>
      <w:r>
        <w:rPr>
          <w:rFonts w:ascii="Segoe UI" w:hAnsi="Segoe UI" w:cs="Segoe UI" w:eastAsia="Segoe UI"/>
          <w:i/>
          <w:color w:val="231F20"/>
          <w:sz w:val="16"/>
          <w:szCs w:val="16"/>
        </w:rPr>
        <w:t>to</w:t>
      </w:r>
      <w:r>
        <w:rPr>
          <w:rFonts w:ascii="Segoe UI" w:hAnsi="Segoe UI" w:cs="Segoe UI" w:eastAsia="Segoe UI"/>
          <w:i/>
          <w:color w:val="231F20"/>
          <w:spacing w:val="-7"/>
          <w:sz w:val="16"/>
          <w:szCs w:val="16"/>
        </w:rPr>
        <w:t> </w:t>
      </w:r>
      <w:r>
        <w:rPr>
          <w:rFonts w:ascii="Segoe UI" w:hAnsi="Segoe UI" w:cs="Segoe UI" w:eastAsia="Segoe UI"/>
          <w:i/>
          <w:color w:val="231F20"/>
          <w:spacing w:val="-1"/>
          <w:sz w:val="16"/>
          <w:szCs w:val="16"/>
        </w:rPr>
        <w:t>thriving—Educational</w:t>
      </w:r>
      <w:r>
        <w:rPr>
          <w:rFonts w:ascii="Segoe UI" w:hAnsi="Segoe UI" w:cs="Segoe UI" w:eastAsia="Segoe UI"/>
          <w:i/>
          <w:color w:val="231F20"/>
          <w:spacing w:val="-8"/>
          <w:sz w:val="16"/>
          <w:szCs w:val="16"/>
        </w:rPr>
        <w:t> </w:t>
      </w:r>
      <w:r>
        <w:rPr>
          <w:rFonts w:ascii="Segoe UI" w:hAnsi="Segoe UI" w:cs="Segoe UI" w:eastAsia="Segoe UI"/>
          <w:i/>
          <w:color w:val="231F20"/>
          <w:spacing w:val="-1"/>
          <w:sz w:val="16"/>
          <w:szCs w:val="16"/>
        </w:rPr>
        <w:t>opportunities</w:t>
      </w:r>
      <w:r>
        <w:rPr>
          <w:rFonts w:ascii="Segoe UI" w:hAnsi="Segoe UI" w:cs="Segoe UI" w:eastAsia="Segoe UI"/>
          <w:i/>
          <w:color w:val="231F20"/>
          <w:spacing w:val="58"/>
          <w:sz w:val="16"/>
          <w:szCs w:val="16"/>
        </w:rPr>
        <w:t> </w:t>
      </w:r>
      <w:r>
        <w:rPr>
          <w:rFonts w:ascii="Segoe UI" w:hAnsi="Segoe UI" w:cs="Segoe UI" w:eastAsia="Segoe UI"/>
          <w:i/>
          <w:color w:val="231F20"/>
          <w:sz w:val="16"/>
          <w:szCs w:val="16"/>
        </w:rPr>
        <w:t>for</w:t>
      </w:r>
      <w:r>
        <w:rPr>
          <w:rFonts w:ascii="Segoe UI" w:hAnsi="Segoe UI" w:cs="Segoe UI" w:eastAsia="Segoe UI"/>
          <w:i/>
          <w:color w:val="231F20"/>
          <w:spacing w:val="-5"/>
          <w:sz w:val="16"/>
          <w:szCs w:val="16"/>
        </w:rPr>
        <w:t> </w:t>
      </w:r>
      <w:r>
        <w:rPr>
          <w:rFonts w:ascii="Segoe UI" w:hAnsi="Segoe UI" w:cs="Segoe UI" w:eastAsia="Segoe UI"/>
          <w:i/>
          <w:color w:val="231F20"/>
          <w:sz w:val="16"/>
          <w:szCs w:val="16"/>
        </w:rPr>
        <w:t>Aboriginal</w:t>
      </w:r>
      <w:r>
        <w:rPr>
          <w:rFonts w:ascii="Segoe UI" w:hAnsi="Segoe UI" w:cs="Segoe UI" w:eastAsia="Segoe UI"/>
          <w:i/>
          <w:color w:val="231F20"/>
          <w:spacing w:val="-4"/>
          <w:sz w:val="16"/>
          <w:szCs w:val="16"/>
        </w:rPr>
        <w:t> </w:t>
      </w:r>
      <w:r>
        <w:rPr>
          <w:rFonts w:ascii="Segoe UI" w:hAnsi="Segoe UI" w:cs="Segoe UI" w:eastAsia="Segoe UI"/>
          <w:i/>
          <w:color w:val="231F20"/>
          <w:sz w:val="16"/>
          <w:szCs w:val="16"/>
        </w:rPr>
        <w:t>and</w:t>
      </w:r>
      <w:r>
        <w:rPr>
          <w:rFonts w:ascii="Segoe UI" w:hAnsi="Segoe UI" w:cs="Segoe UI" w:eastAsia="Segoe UI"/>
          <w:i/>
          <w:color w:val="231F20"/>
          <w:spacing w:val="-4"/>
          <w:sz w:val="16"/>
          <w:szCs w:val="16"/>
        </w:rPr>
        <w:t> </w:t>
      </w:r>
      <w:r>
        <w:rPr>
          <w:rFonts w:ascii="Segoe UI" w:hAnsi="Segoe UI" w:cs="Segoe UI" w:eastAsia="Segoe UI"/>
          <w:i/>
          <w:color w:val="231F20"/>
          <w:spacing w:val="-3"/>
          <w:sz w:val="16"/>
          <w:szCs w:val="16"/>
        </w:rPr>
        <w:t>Torres</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Strait</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Islander</w:t>
      </w:r>
      <w:r>
        <w:rPr>
          <w:rFonts w:ascii="Segoe UI" w:hAnsi="Segoe UI" w:cs="Segoe UI" w:eastAsia="Segoe UI"/>
          <w:sz w:val="16"/>
          <w:szCs w:val="16"/>
        </w:rPr>
      </w:r>
    </w:p>
    <w:p>
      <w:pPr>
        <w:spacing w:line="200" w:lineRule="exact" w:before="0"/>
        <w:ind w:left="684" w:right="1" w:firstLine="0"/>
        <w:jc w:val="left"/>
        <w:rPr>
          <w:rFonts w:ascii="Segoe UI" w:hAnsi="Segoe UI" w:cs="Segoe UI" w:eastAsia="Segoe UI"/>
          <w:sz w:val="16"/>
          <w:szCs w:val="16"/>
        </w:rPr>
      </w:pPr>
      <w:r>
        <w:rPr>
          <w:rFonts w:ascii="Segoe UI"/>
          <w:i/>
          <w:color w:val="231F20"/>
          <w:spacing w:val="-1"/>
          <w:sz w:val="16"/>
        </w:rPr>
        <w:t>students</w:t>
      </w:r>
      <w:r>
        <w:rPr>
          <w:rFonts w:ascii="Segoe UI"/>
          <w:color w:val="231F20"/>
          <w:spacing w:val="-1"/>
          <w:sz w:val="16"/>
        </w:rPr>
        <w:t>,</w:t>
      </w:r>
      <w:r>
        <w:rPr>
          <w:rFonts w:ascii="Segoe UI"/>
          <w:color w:val="231F20"/>
          <w:spacing w:val="-3"/>
          <w:sz w:val="16"/>
        </w:rPr>
        <w:t> </w:t>
      </w:r>
      <w:r>
        <w:rPr>
          <w:rFonts w:ascii="Segoe UI"/>
          <w:color w:val="231F20"/>
          <w:spacing w:val="-1"/>
          <w:sz w:val="16"/>
        </w:rPr>
        <w:t>Department</w:t>
      </w:r>
      <w:r>
        <w:rPr>
          <w:rFonts w:ascii="Segoe UI"/>
          <w:color w:val="231F20"/>
          <w:spacing w:val="-2"/>
          <w:sz w:val="16"/>
        </w:rPr>
        <w:t> </w:t>
      </w:r>
      <w:r>
        <w:rPr>
          <w:rFonts w:ascii="Segoe UI"/>
          <w:color w:val="231F20"/>
          <w:sz w:val="16"/>
        </w:rPr>
        <w:t>of</w:t>
      </w:r>
      <w:r>
        <w:rPr>
          <w:rFonts w:ascii="Segoe UI"/>
          <w:color w:val="231F20"/>
          <w:spacing w:val="-2"/>
          <w:sz w:val="16"/>
        </w:rPr>
        <w:t> </w:t>
      </w:r>
      <w:r>
        <w:rPr>
          <w:rFonts w:ascii="Segoe UI"/>
          <w:color w:val="231F20"/>
          <w:spacing w:val="-1"/>
          <w:sz w:val="16"/>
        </w:rPr>
        <w:t>Social</w:t>
      </w:r>
      <w:r>
        <w:rPr>
          <w:rFonts w:ascii="Segoe UI"/>
          <w:color w:val="231F20"/>
          <w:spacing w:val="-2"/>
          <w:sz w:val="16"/>
        </w:rPr>
        <w:t> </w:t>
      </w:r>
      <w:r>
        <w:rPr>
          <w:rFonts w:ascii="Segoe UI"/>
          <w:color w:val="231F20"/>
          <w:spacing w:val="-1"/>
          <w:sz w:val="16"/>
        </w:rPr>
        <w:t>Services,</w:t>
      </w:r>
      <w:r>
        <w:rPr>
          <w:rFonts w:ascii="Segoe UI"/>
          <w:color w:val="231F20"/>
          <w:spacing w:val="-2"/>
          <w:sz w:val="16"/>
        </w:rPr>
        <w:t> </w:t>
      </w:r>
      <w:r>
        <w:rPr>
          <w:rFonts w:ascii="Segoe UI"/>
          <w:color w:val="231F20"/>
          <w:spacing w:val="-1"/>
          <w:sz w:val="16"/>
        </w:rPr>
        <w:t>2017,</w:t>
      </w:r>
      <w:r>
        <w:rPr>
          <w:rFonts w:ascii="Segoe UI"/>
          <w:color w:val="231F20"/>
          <w:spacing w:val="22"/>
          <w:sz w:val="16"/>
        </w:rPr>
        <w:t> </w:t>
      </w:r>
      <w:r>
        <w:rPr>
          <w:rFonts w:ascii="Segoe UI"/>
          <w:color w:val="231F20"/>
          <w:spacing w:val="-1"/>
          <w:sz w:val="16"/>
        </w:rPr>
        <w:t>Submission</w:t>
      </w:r>
      <w:r>
        <w:rPr>
          <w:rFonts w:ascii="Segoe UI"/>
          <w:color w:val="231F20"/>
          <w:spacing w:val="-3"/>
          <w:sz w:val="16"/>
        </w:rPr>
        <w:t> </w:t>
      </w:r>
      <w:r>
        <w:rPr>
          <w:rFonts w:ascii="Segoe UI"/>
          <w:color w:val="231F20"/>
          <w:sz w:val="16"/>
        </w:rPr>
        <w:t>67,</w:t>
      </w:r>
      <w:r>
        <w:rPr>
          <w:rFonts w:ascii="Segoe UI"/>
          <w:sz w:val="16"/>
        </w:rPr>
      </w:r>
    </w:p>
    <w:p>
      <w:pPr>
        <w:numPr>
          <w:ilvl w:val="0"/>
          <w:numId w:val="9"/>
        </w:numPr>
        <w:tabs>
          <w:tab w:pos="685" w:val="left" w:leader="none"/>
        </w:tabs>
        <w:spacing w:line="200" w:lineRule="exact" w:before="113"/>
        <w:ind w:left="684" w:right="159" w:hanging="567"/>
        <w:jc w:val="both"/>
        <w:rPr>
          <w:rFonts w:ascii="Segoe UI" w:hAnsi="Segoe UI" w:cs="Segoe UI" w:eastAsia="Segoe UI"/>
          <w:sz w:val="16"/>
          <w:szCs w:val="16"/>
        </w:rPr>
      </w:pPr>
      <w:r>
        <w:rPr>
          <w:rFonts w:ascii="Segoe UI"/>
          <w:color w:val="231F20"/>
          <w:spacing w:val="-1"/>
          <w:sz w:val="16"/>
        </w:rPr>
        <w:t>Commonwealth</w:t>
      </w:r>
      <w:r>
        <w:rPr>
          <w:rFonts w:ascii="Segoe UI"/>
          <w:color w:val="231F20"/>
          <w:spacing w:val="-5"/>
          <w:sz w:val="16"/>
        </w:rPr>
        <w:t> </w:t>
      </w:r>
      <w:r>
        <w:rPr>
          <w:rFonts w:ascii="Segoe UI"/>
          <w:color w:val="231F20"/>
          <w:sz w:val="16"/>
        </w:rPr>
        <w:t>of</w:t>
      </w:r>
      <w:r>
        <w:rPr>
          <w:rFonts w:ascii="Segoe UI"/>
          <w:color w:val="231F20"/>
          <w:spacing w:val="-4"/>
          <w:sz w:val="16"/>
        </w:rPr>
        <w:t> </w:t>
      </w:r>
      <w:r>
        <w:rPr>
          <w:rFonts w:ascii="Segoe UI"/>
          <w:color w:val="231F20"/>
          <w:sz w:val="16"/>
        </w:rPr>
        <w:t>Australia,</w:t>
      </w:r>
      <w:r>
        <w:rPr>
          <w:rFonts w:ascii="Segoe UI"/>
          <w:color w:val="231F20"/>
          <w:spacing w:val="-5"/>
          <w:sz w:val="16"/>
        </w:rPr>
        <w:t> </w:t>
      </w:r>
      <w:r>
        <w:rPr>
          <w:rFonts w:ascii="Segoe UI"/>
          <w:color w:val="231F20"/>
          <w:spacing w:val="-1"/>
          <w:sz w:val="16"/>
        </w:rPr>
        <w:t>Department</w:t>
      </w:r>
      <w:r>
        <w:rPr>
          <w:rFonts w:ascii="Segoe UI"/>
          <w:color w:val="231F20"/>
          <w:spacing w:val="-4"/>
          <w:sz w:val="16"/>
        </w:rPr>
        <w:t> </w:t>
      </w:r>
      <w:r>
        <w:rPr>
          <w:rFonts w:ascii="Segoe UI"/>
          <w:color w:val="231F20"/>
          <w:sz w:val="16"/>
        </w:rPr>
        <w:t>of</w:t>
      </w:r>
      <w:r>
        <w:rPr>
          <w:rFonts w:ascii="Segoe UI"/>
          <w:color w:val="231F20"/>
          <w:spacing w:val="-4"/>
          <w:sz w:val="16"/>
        </w:rPr>
        <w:t> </w:t>
      </w:r>
      <w:r>
        <w:rPr>
          <w:rFonts w:ascii="Segoe UI"/>
          <w:color w:val="231F20"/>
          <w:sz w:val="16"/>
        </w:rPr>
        <w:t>the</w:t>
      </w:r>
      <w:r>
        <w:rPr>
          <w:rFonts w:ascii="Segoe UI"/>
          <w:color w:val="231F20"/>
          <w:spacing w:val="23"/>
          <w:w w:val="99"/>
          <w:sz w:val="16"/>
        </w:rPr>
        <w:t> </w:t>
      </w:r>
      <w:r>
        <w:rPr>
          <w:rFonts w:ascii="Segoe UI"/>
          <w:color w:val="231F20"/>
          <w:sz w:val="16"/>
        </w:rPr>
        <w:t>Prime</w:t>
      </w:r>
      <w:r>
        <w:rPr>
          <w:rFonts w:ascii="Segoe UI"/>
          <w:color w:val="231F20"/>
          <w:spacing w:val="-2"/>
          <w:sz w:val="16"/>
        </w:rPr>
        <w:t> </w:t>
      </w:r>
      <w:r>
        <w:rPr>
          <w:rFonts w:ascii="Segoe UI"/>
          <w:color w:val="231F20"/>
          <w:sz w:val="16"/>
        </w:rPr>
        <w:t>Minister</w:t>
      </w:r>
      <w:r>
        <w:rPr>
          <w:rFonts w:ascii="Segoe UI"/>
          <w:color w:val="231F20"/>
          <w:spacing w:val="-3"/>
          <w:sz w:val="16"/>
        </w:rPr>
        <w:t> </w:t>
      </w:r>
      <w:r>
        <w:rPr>
          <w:rFonts w:ascii="Segoe UI"/>
          <w:color w:val="231F20"/>
          <w:sz w:val="16"/>
        </w:rPr>
        <w:t>and</w:t>
      </w:r>
      <w:r>
        <w:rPr>
          <w:rFonts w:ascii="Segoe UI"/>
          <w:color w:val="231F20"/>
          <w:spacing w:val="-3"/>
          <w:sz w:val="16"/>
        </w:rPr>
        <w:t> </w:t>
      </w:r>
      <w:r>
        <w:rPr>
          <w:rFonts w:ascii="Segoe UI"/>
          <w:color w:val="231F20"/>
          <w:spacing w:val="-1"/>
          <w:sz w:val="16"/>
        </w:rPr>
        <w:t>Cabinet, </w:t>
      </w:r>
      <w:r>
        <w:rPr>
          <w:rFonts w:ascii="Segoe UI"/>
          <w:i/>
          <w:color w:val="231F20"/>
          <w:spacing w:val="-1"/>
          <w:sz w:val="16"/>
        </w:rPr>
        <w:t>Study</w:t>
      </w:r>
      <w:r>
        <w:rPr>
          <w:rFonts w:ascii="Segoe UI"/>
          <w:i/>
          <w:color w:val="231F20"/>
          <w:spacing w:val="-2"/>
          <w:sz w:val="16"/>
        </w:rPr>
        <w:t> Away </w:t>
      </w:r>
      <w:r>
        <w:rPr>
          <w:rFonts w:ascii="Segoe UI"/>
          <w:i/>
          <w:color w:val="231F20"/>
          <w:spacing w:val="-1"/>
          <w:sz w:val="16"/>
        </w:rPr>
        <w:t>Review:</w:t>
      </w:r>
      <w:r>
        <w:rPr>
          <w:rFonts w:ascii="Segoe UI"/>
          <w:i/>
          <w:color w:val="231F20"/>
          <w:spacing w:val="29"/>
          <w:w w:val="99"/>
          <w:sz w:val="16"/>
        </w:rPr>
        <w:t> </w:t>
      </w:r>
      <w:r>
        <w:rPr>
          <w:rFonts w:ascii="Segoe UI"/>
          <w:i/>
          <w:color w:val="231F20"/>
          <w:spacing w:val="-1"/>
          <w:sz w:val="16"/>
        </w:rPr>
        <w:t>Review</w:t>
      </w:r>
      <w:r>
        <w:rPr>
          <w:rFonts w:ascii="Segoe UI"/>
          <w:i/>
          <w:color w:val="231F20"/>
          <w:spacing w:val="-4"/>
          <w:sz w:val="16"/>
        </w:rPr>
        <w:t> </w:t>
      </w:r>
      <w:r>
        <w:rPr>
          <w:rFonts w:ascii="Segoe UI"/>
          <w:i/>
          <w:color w:val="231F20"/>
          <w:spacing w:val="-2"/>
          <w:sz w:val="16"/>
        </w:rPr>
        <w:t>of </w:t>
      </w:r>
      <w:r>
        <w:rPr>
          <w:rFonts w:ascii="Segoe UI"/>
          <w:i/>
          <w:color w:val="231F20"/>
          <w:sz w:val="16"/>
        </w:rPr>
        <w:t>Support</w:t>
      </w:r>
      <w:r>
        <w:rPr>
          <w:rFonts w:ascii="Segoe UI"/>
          <w:i/>
          <w:color w:val="231F20"/>
          <w:spacing w:val="-3"/>
          <w:sz w:val="16"/>
        </w:rPr>
        <w:t> </w:t>
      </w:r>
      <w:r>
        <w:rPr>
          <w:rFonts w:ascii="Segoe UI"/>
          <w:i/>
          <w:color w:val="231F20"/>
          <w:sz w:val="16"/>
        </w:rPr>
        <w:t>for</w:t>
      </w:r>
      <w:r>
        <w:rPr>
          <w:rFonts w:ascii="Segoe UI"/>
          <w:i/>
          <w:color w:val="231F20"/>
          <w:spacing w:val="-3"/>
          <w:sz w:val="16"/>
        </w:rPr>
        <w:t> </w:t>
      </w:r>
      <w:r>
        <w:rPr>
          <w:rFonts w:ascii="Segoe UI"/>
          <w:i/>
          <w:color w:val="231F20"/>
          <w:sz w:val="16"/>
        </w:rPr>
        <w:t>Aboriginal</w:t>
      </w:r>
      <w:r>
        <w:rPr>
          <w:rFonts w:ascii="Segoe UI"/>
          <w:i/>
          <w:color w:val="231F20"/>
          <w:spacing w:val="-3"/>
          <w:sz w:val="16"/>
        </w:rPr>
        <w:t> </w:t>
      </w:r>
      <w:r>
        <w:rPr>
          <w:rFonts w:ascii="Segoe UI"/>
          <w:i/>
          <w:color w:val="231F20"/>
          <w:sz w:val="16"/>
        </w:rPr>
        <w:t>and</w:t>
      </w:r>
      <w:r>
        <w:rPr>
          <w:rFonts w:ascii="Segoe UI"/>
          <w:i/>
          <w:color w:val="231F20"/>
          <w:spacing w:val="-2"/>
          <w:sz w:val="16"/>
        </w:rPr>
        <w:t> </w:t>
      </w:r>
      <w:r>
        <w:rPr>
          <w:rFonts w:ascii="Segoe UI"/>
          <w:i/>
          <w:color w:val="231F20"/>
          <w:spacing w:val="-3"/>
          <w:sz w:val="16"/>
        </w:rPr>
        <w:t>Torres </w:t>
      </w:r>
      <w:r>
        <w:rPr>
          <w:rFonts w:ascii="Segoe UI"/>
          <w:i/>
          <w:color w:val="231F20"/>
          <w:spacing w:val="-1"/>
          <w:sz w:val="16"/>
        </w:rPr>
        <w:t>Strait</w:t>
      </w:r>
      <w:r>
        <w:rPr>
          <w:rFonts w:ascii="Segoe UI"/>
          <w:i/>
          <w:color w:val="231F20"/>
          <w:spacing w:val="21"/>
          <w:sz w:val="16"/>
        </w:rPr>
        <w:t> </w:t>
      </w:r>
      <w:r>
        <w:rPr>
          <w:rFonts w:ascii="Segoe UI"/>
          <w:i/>
          <w:color w:val="231F20"/>
          <w:spacing w:val="-1"/>
          <w:sz w:val="16"/>
        </w:rPr>
        <w:t>Islander</w:t>
      </w:r>
      <w:r>
        <w:rPr>
          <w:rFonts w:ascii="Segoe UI"/>
          <w:i/>
          <w:color w:val="231F20"/>
          <w:spacing w:val="-2"/>
          <w:sz w:val="16"/>
        </w:rPr>
        <w:t> </w:t>
      </w:r>
      <w:r>
        <w:rPr>
          <w:rFonts w:ascii="Segoe UI"/>
          <w:i/>
          <w:color w:val="231F20"/>
          <w:spacing w:val="-1"/>
          <w:sz w:val="16"/>
        </w:rPr>
        <w:t>Secondary</w:t>
      </w:r>
      <w:r>
        <w:rPr>
          <w:rFonts w:ascii="Segoe UI"/>
          <w:i/>
          <w:color w:val="231F20"/>
          <w:spacing w:val="-2"/>
          <w:sz w:val="16"/>
        </w:rPr>
        <w:t> </w:t>
      </w:r>
      <w:r>
        <w:rPr>
          <w:rFonts w:ascii="Segoe UI"/>
          <w:i/>
          <w:color w:val="231F20"/>
          <w:spacing w:val="-1"/>
          <w:sz w:val="16"/>
        </w:rPr>
        <w:t>Students</w:t>
      </w:r>
      <w:r>
        <w:rPr>
          <w:rFonts w:ascii="Segoe UI"/>
          <w:i/>
          <w:color w:val="231F20"/>
          <w:spacing w:val="-2"/>
          <w:sz w:val="16"/>
        </w:rPr>
        <w:t> </w:t>
      </w:r>
      <w:r>
        <w:rPr>
          <w:rFonts w:ascii="Segoe UI"/>
          <w:i/>
          <w:color w:val="231F20"/>
          <w:spacing w:val="-1"/>
          <w:sz w:val="16"/>
        </w:rPr>
        <w:t>Studying </w:t>
      </w:r>
      <w:r>
        <w:rPr>
          <w:rFonts w:ascii="Segoe UI"/>
          <w:i/>
          <w:color w:val="231F20"/>
          <w:spacing w:val="-2"/>
          <w:sz w:val="16"/>
        </w:rPr>
        <w:t>Away </w:t>
      </w:r>
      <w:r>
        <w:rPr>
          <w:rFonts w:ascii="Segoe UI"/>
          <w:i/>
          <w:color w:val="231F20"/>
          <w:spacing w:val="-1"/>
          <w:sz w:val="16"/>
        </w:rPr>
        <w:t>From</w:t>
      </w:r>
      <w:r>
        <w:rPr>
          <w:rFonts w:ascii="Segoe UI"/>
          <w:i/>
          <w:color w:val="231F20"/>
          <w:spacing w:val="28"/>
          <w:sz w:val="16"/>
        </w:rPr>
        <w:t> </w:t>
      </w:r>
      <w:r>
        <w:rPr>
          <w:rFonts w:ascii="Segoe UI"/>
          <w:i/>
          <w:color w:val="231F20"/>
          <w:sz w:val="16"/>
        </w:rPr>
        <w:t>Home</w:t>
      </w:r>
      <w:r>
        <w:rPr>
          <w:rFonts w:ascii="Segoe UI"/>
          <w:color w:val="231F20"/>
          <w:sz w:val="16"/>
        </w:rPr>
        <w:t>;</w:t>
      </w:r>
      <w:r>
        <w:rPr>
          <w:rFonts w:ascii="Segoe UI"/>
          <w:color w:val="231F20"/>
          <w:spacing w:val="-4"/>
          <w:sz w:val="16"/>
        </w:rPr>
        <w:t> </w:t>
      </w:r>
      <w:r>
        <w:rPr>
          <w:rFonts w:ascii="Segoe UI"/>
          <w:color w:val="231F20"/>
          <w:spacing w:val="-1"/>
          <w:sz w:val="16"/>
        </w:rPr>
        <w:t>December</w:t>
      </w:r>
      <w:r>
        <w:rPr>
          <w:rFonts w:ascii="Segoe UI"/>
          <w:color w:val="231F20"/>
          <w:spacing w:val="-3"/>
          <w:sz w:val="16"/>
        </w:rPr>
        <w:t> </w:t>
      </w:r>
      <w:r>
        <w:rPr>
          <w:rFonts w:ascii="Segoe UI"/>
          <w:color w:val="231F20"/>
          <w:spacing w:val="-1"/>
          <w:sz w:val="16"/>
        </w:rPr>
        <w:t>2017,</w:t>
      </w:r>
      <w:r>
        <w:rPr>
          <w:rFonts w:ascii="Segoe UI"/>
          <w:color w:val="231F20"/>
          <w:spacing w:val="-3"/>
          <w:sz w:val="16"/>
        </w:rPr>
        <w:t> </w:t>
      </w:r>
      <w:r>
        <w:rPr>
          <w:rFonts w:ascii="Segoe UI"/>
          <w:color w:val="231F20"/>
          <w:sz w:val="16"/>
        </w:rPr>
        <w:t>p.</w:t>
      </w:r>
      <w:r>
        <w:rPr>
          <w:rFonts w:ascii="Segoe UI"/>
          <w:color w:val="231F20"/>
          <w:spacing w:val="-4"/>
          <w:sz w:val="16"/>
        </w:rPr>
        <w:t> </w:t>
      </w:r>
      <w:r>
        <w:rPr>
          <w:rFonts w:ascii="Segoe UI"/>
          <w:color w:val="231F20"/>
          <w:sz w:val="16"/>
        </w:rPr>
        <w:t>6</w:t>
      </w:r>
      <w:r>
        <w:rPr>
          <w:rFonts w:ascii="Segoe UI"/>
          <w:sz w:val="16"/>
        </w:rPr>
      </w:r>
    </w:p>
    <w:p>
      <w:pPr>
        <w:numPr>
          <w:ilvl w:val="0"/>
          <w:numId w:val="9"/>
        </w:numPr>
        <w:tabs>
          <w:tab w:pos="685" w:val="left" w:leader="none"/>
        </w:tabs>
        <w:spacing w:line="200" w:lineRule="exact" w:before="113"/>
        <w:ind w:left="684" w:right="179" w:hanging="567"/>
        <w:jc w:val="left"/>
        <w:rPr>
          <w:rFonts w:ascii="Segoe UI" w:hAnsi="Segoe UI" w:cs="Segoe UI" w:eastAsia="Segoe UI"/>
          <w:sz w:val="16"/>
          <w:szCs w:val="16"/>
        </w:rPr>
      </w:pPr>
      <w:r>
        <w:rPr>
          <w:rFonts w:ascii="Segoe UI"/>
          <w:color w:val="231F20"/>
          <w:spacing w:val="-1"/>
          <w:sz w:val="16"/>
        </w:rPr>
        <w:t>Source:</w:t>
      </w:r>
      <w:r>
        <w:rPr>
          <w:rFonts w:ascii="Segoe UI"/>
          <w:color w:val="231F20"/>
          <w:spacing w:val="-6"/>
          <w:sz w:val="16"/>
        </w:rPr>
        <w:t> </w:t>
      </w:r>
      <w:r>
        <w:rPr>
          <w:rFonts w:ascii="Segoe UI"/>
          <w:color w:val="231F20"/>
          <w:spacing w:val="-1"/>
          <w:sz w:val="16"/>
        </w:rPr>
        <w:t>Department</w:t>
      </w:r>
      <w:r>
        <w:rPr>
          <w:rFonts w:ascii="Segoe UI"/>
          <w:color w:val="231F20"/>
          <w:spacing w:val="-5"/>
          <w:sz w:val="16"/>
        </w:rPr>
        <w:t> </w:t>
      </w:r>
      <w:r>
        <w:rPr>
          <w:rFonts w:ascii="Segoe UI"/>
          <w:color w:val="231F20"/>
          <w:sz w:val="16"/>
        </w:rPr>
        <w:t>of</w:t>
      </w:r>
      <w:r>
        <w:rPr>
          <w:rFonts w:ascii="Segoe UI"/>
          <w:color w:val="231F20"/>
          <w:spacing w:val="-5"/>
          <w:sz w:val="16"/>
        </w:rPr>
        <w:t> </w:t>
      </w:r>
      <w:r>
        <w:rPr>
          <w:rFonts w:ascii="Segoe UI"/>
          <w:color w:val="231F20"/>
          <w:spacing w:val="-1"/>
          <w:sz w:val="16"/>
        </w:rPr>
        <w:t>Human</w:t>
      </w:r>
      <w:r>
        <w:rPr>
          <w:rFonts w:ascii="Segoe UI"/>
          <w:color w:val="231F20"/>
          <w:spacing w:val="-5"/>
          <w:sz w:val="16"/>
        </w:rPr>
        <w:t> </w:t>
      </w:r>
      <w:r>
        <w:rPr>
          <w:rFonts w:ascii="Segoe UI"/>
          <w:color w:val="231F20"/>
          <w:spacing w:val="-1"/>
          <w:sz w:val="16"/>
        </w:rPr>
        <w:t>Services</w:t>
      </w:r>
      <w:r>
        <w:rPr>
          <w:rFonts w:ascii="Segoe UI"/>
          <w:color w:val="231F20"/>
          <w:spacing w:val="26"/>
          <w:sz w:val="16"/>
        </w:rPr>
        <w:t> </w:t>
      </w:r>
      <w:r>
        <w:rPr>
          <w:rFonts w:ascii="Segoe UI"/>
          <w:color w:val="231F20"/>
          <w:sz w:val="16"/>
        </w:rPr>
        <w:t>administrative</w:t>
      </w:r>
      <w:r>
        <w:rPr>
          <w:rFonts w:ascii="Segoe UI"/>
          <w:color w:val="231F20"/>
          <w:spacing w:val="-7"/>
          <w:sz w:val="16"/>
        </w:rPr>
        <w:t> </w:t>
      </w:r>
      <w:r>
        <w:rPr>
          <w:rFonts w:ascii="Segoe UI"/>
          <w:color w:val="231F20"/>
          <w:sz w:val="16"/>
        </w:rPr>
        <w:t>data</w:t>
      </w:r>
      <w:r>
        <w:rPr>
          <w:rFonts w:ascii="Segoe UI"/>
          <w:color w:val="231F20"/>
          <w:spacing w:val="-6"/>
          <w:sz w:val="16"/>
        </w:rPr>
        <w:t> </w:t>
      </w:r>
      <w:r>
        <w:rPr>
          <w:rFonts w:ascii="Segoe UI"/>
          <w:color w:val="231F20"/>
          <w:sz w:val="16"/>
        </w:rPr>
        <w:t>(Department</w:t>
      </w:r>
      <w:r>
        <w:rPr>
          <w:rFonts w:ascii="Segoe UI"/>
          <w:color w:val="231F20"/>
          <w:spacing w:val="-7"/>
          <w:sz w:val="16"/>
        </w:rPr>
        <w:t> </w:t>
      </w:r>
      <w:r>
        <w:rPr>
          <w:rFonts w:ascii="Segoe UI"/>
          <w:color w:val="231F20"/>
          <w:sz w:val="16"/>
        </w:rPr>
        <w:t>of</w:t>
      </w:r>
      <w:r>
        <w:rPr>
          <w:rFonts w:ascii="Segoe UI"/>
          <w:color w:val="231F20"/>
          <w:spacing w:val="-6"/>
          <w:sz w:val="16"/>
        </w:rPr>
        <w:t> </w:t>
      </w:r>
      <w:r>
        <w:rPr>
          <w:rFonts w:ascii="Segoe UI"/>
          <w:color w:val="231F20"/>
          <w:spacing w:val="-1"/>
          <w:sz w:val="16"/>
        </w:rPr>
        <w:t>Social</w:t>
      </w:r>
      <w:r>
        <w:rPr>
          <w:rFonts w:ascii="Segoe UI"/>
          <w:color w:val="231F20"/>
          <w:spacing w:val="20"/>
          <w:sz w:val="16"/>
        </w:rPr>
        <w:t> </w:t>
      </w:r>
      <w:r>
        <w:rPr>
          <w:rFonts w:ascii="Segoe UI"/>
          <w:color w:val="231F20"/>
          <w:spacing w:val="-1"/>
          <w:sz w:val="16"/>
        </w:rPr>
        <w:t>Services</w:t>
      </w:r>
      <w:r>
        <w:rPr>
          <w:rFonts w:ascii="Segoe UI"/>
          <w:color w:val="231F20"/>
          <w:spacing w:val="-4"/>
          <w:sz w:val="16"/>
        </w:rPr>
        <w:t> </w:t>
      </w:r>
      <w:r>
        <w:rPr>
          <w:rFonts w:ascii="Segoe UI"/>
          <w:color w:val="231F20"/>
          <w:sz w:val="16"/>
        </w:rPr>
        <w:t>extract),</w:t>
      </w:r>
      <w:r>
        <w:rPr>
          <w:rFonts w:ascii="Segoe UI"/>
          <w:color w:val="231F20"/>
          <w:spacing w:val="-3"/>
          <w:sz w:val="16"/>
        </w:rPr>
        <w:t> </w:t>
      </w:r>
      <w:r>
        <w:rPr>
          <w:rFonts w:ascii="Segoe UI"/>
          <w:color w:val="231F20"/>
          <w:spacing w:val="-1"/>
          <w:sz w:val="16"/>
        </w:rPr>
        <w:t>22</w:t>
      </w:r>
      <w:r>
        <w:rPr>
          <w:rFonts w:ascii="Segoe UI"/>
          <w:color w:val="231F20"/>
          <w:spacing w:val="-4"/>
          <w:sz w:val="16"/>
        </w:rPr>
        <w:t> </w:t>
      </w:r>
      <w:r>
        <w:rPr>
          <w:rFonts w:ascii="Segoe UI"/>
          <w:color w:val="231F20"/>
          <w:sz w:val="16"/>
        </w:rPr>
        <w:t>January</w:t>
      </w:r>
      <w:r>
        <w:rPr>
          <w:rFonts w:ascii="Segoe UI"/>
          <w:color w:val="231F20"/>
          <w:spacing w:val="-3"/>
          <w:sz w:val="16"/>
        </w:rPr>
        <w:t> </w:t>
      </w:r>
      <w:r>
        <w:rPr>
          <w:rFonts w:ascii="Segoe UI"/>
          <w:color w:val="231F20"/>
          <w:spacing w:val="-1"/>
          <w:sz w:val="16"/>
        </w:rPr>
        <w:t>2019.</w:t>
      </w:r>
      <w:r>
        <w:rPr>
          <w:rFonts w:ascii="Segoe UI"/>
          <w:color w:val="231F20"/>
          <w:spacing w:val="-3"/>
          <w:sz w:val="16"/>
        </w:rPr>
        <w:t> </w:t>
      </w:r>
      <w:r>
        <w:rPr>
          <w:rFonts w:ascii="Segoe UI"/>
          <w:color w:val="231F20"/>
          <w:sz w:val="16"/>
        </w:rPr>
        <w:t>Unique</w:t>
      </w:r>
      <w:r>
        <w:rPr>
          <w:rFonts w:ascii="Segoe UI"/>
          <w:color w:val="231F20"/>
          <w:spacing w:val="-4"/>
          <w:sz w:val="16"/>
        </w:rPr>
        <w:t> </w:t>
      </w:r>
      <w:r>
        <w:rPr>
          <w:rFonts w:ascii="Segoe UI"/>
          <w:color w:val="231F20"/>
          <w:sz w:val="16"/>
        </w:rPr>
        <w:t>count</w:t>
      </w:r>
      <w:r>
        <w:rPr>
          <w:rFonts w:ascii="Segoe UI"/>
          <w:color w:val="231F20"/>
          <w:spacing w:val="24"/>
          <w:w w:val="99"/>
          <w:sz w:val="16"/>
        </w:rPr>
        <w:t> </w:t>
      </w:r>
      <w:r>
        <w:rPr>
          <w:rFonts w:ascii="Segoe UI"/>
          <w:color w:val="231F20"/>
          <w:sz w:val="16"/>
        </w:rPr>
        <w:t>of</w:t>
      </w:r>
      <w:r>
        <w:rPr>
          <w:rFonts w:ascii="Segoe UI"/>
          <w:color w:val="231F20"/>
          <w:spacing w:val="-6"/>
          <w:sz w:val="16"/>
        </w:rPr>
        <w:t> </w:t>
      </w:r>
      <w:r>
        <w:rPr>
          <w:rFonts w:ascii="Segoe UI"/>
          <w:color w:val="231F20"/>
          <w:sz w:val="16"/>
        </w:rPr>
        <w:t>ABSTUDY</w:t>
      </w:r>
      <w:r>
        <w:rPr>
          <w:rFonts w:ascii="Segoe UI"/>
          <w:color w:val="231F20"/>
          <w:spacing w:val="-6"/>
          <w:sz w:val="16"/>
        </w:rPr>
        <w:t> </w:t>
      </w:r>
      <w:r>
        <w:rPr>
          <w:rFonts w:ascii="Segoe UI"/>
          <w:color w:val="231F20"/>
          <w:sz w:val="16"/>
        </w:rPr>
        <w:t>boarding</w:t>
      </w:r>
      <w:r>
        <w:rPr>
          <w:rFonts w:ascii="Segoe UI"/>
          <w:color w:val="231F20"/>
          <w:spacing w:val="-7"/>
          <w:sz w:val="16"/>
        </w:rPr>
        <w:t> </w:t>
      </w:r>
      <w:r>
        <w:rPr>
          <w:rFonts w:ascii="Segoe UI"/>
          <w:color w:val="231F20"/>
          <w:sz w:val="16"/>
        </w:rPr>
        <w:t>recipients</w:t>
      </w:r>
      <w:r>
        <w:rPr>
          <w:rFonts w:ascii="Segoe UI"/>
          <w:color w:val="231F20"/>
          <w:spacing w:val="-6"/>
          <w:sz w:val="16"/>
        </w:rPr>
        <w:t> </w:t>
      </w:r>
      <w:r>
        <w:rPr>
          <w:rFonts w:ascii="Segoe UI"/>
          <w:color w:val="231F20"/>
          <w:sz w:val="16"/>
        </w:rPr>
        <w:t>determined</w:t>
      </w:r>
      <w:r>
        <w:rPr>
          <w:rFonts w:ascii="Segoe UI"/>
          <w:sz w:val="16"/>
        </w:rPr>
      </w:r>
    </w:p>
    <w:p>
      <w:pPr>
        <w:spacing w:line="200" w:lineRule="exact" w:before="0"/>
        <w:ind w:left="684" w:right="229" w:firstLine="0"/>
        <w:jc w:val="left"/>
        <w:rPr>
          <w:rFonts w:ascii="Segoe UI" w:hAnsi="Segoe UI" w:cs="Segoe UI" w:eastAsia="Segoe UI"/>
          <w:sz w:val="16"/>
          <w:szCs w:val="16"/>
        </w:rPr>
      </w:pPr>
      <w:r>
        <w:rPr>
          <w:rFonts w:ascii="Segoe UI"/>
          <w:color w:val="231F20"/>
          <w:sz w:val="16"/>
        </w:rPr>
        <w:t>to</w:t>
      </w:r>
      <w:r>
        <w:rPr>
          <w:rFonts w:ascii="Segoe UI"/>
          <w:color w:val="231F20"/>
          <w:spacing w:val="-3"/>
          <w:sz w:val="16"/>
        </w:rPr>
        <w:t> </w:t>
      </w:r>
      <w:r>
        <w:rPr>
          <w:rFonts w:ascii="Segoe UI"/>
          <w:color w:val="231F20"/>
          <w:sz w:val="16"/>
        </w:rPr>
        <w:t>be</w:t>
      </w:r>
      <w:r>
        <w:rPr>
          <w:rFonts w:ascii="Segoe UI"/>
          <w:color w:val="231F20"/>
          <w:spacing w:val="-3"/>
          <w:sz w:val="16"/>
        </w:rPr>
        <w:t> </w:t>
      </w:r>
      <w:r>
        <w:rPr>
          <w:rFonts w:ascii="Segoe UI"/>
          <w:color w:val="231F20"/>
          <w:sz w:val="16"/>
        </w:rPr>
        <w:t>current</w:t>
      </w:r>
      <w:r>
        <w:rPr>
          <w:rFonts w:ascii="Segoe UI"/>
          <w:color w:val="231F20"/>
          <w:spacing w:val="-3"/>
          <w:sz w:val="16"/>
        </w:rPr>
        <w:t> </w:t>
      </w:r>
      <w:r>
        <w:rPr>
          <w:rFonts w:ascii="Segoe UI"/>
          <w:color w:val="231F20"/>
          <w:sz w:val="16"/>
        </w:rPr>
        <w:t>(i.e.</w:t>
      </w:r>
      <w:r>
        <w:rPr>
          <w:rFonts w:ascii="Segoe UI"/>
          <w:color w:val="231F20"/>
          <w:spacing w:val="-4"/>
          <w:sz w:val="16"/>
        </w:rPr>
        <w:t> </w:t>
      </w:r>
      <w:r>
        <w:rPr>
          <w:rFonts w:ascii="Segoe UI"/>
          <w:color w:val="231F20"/>
          <w:sz w:val="16"/>
        </w:rPr>
        <w:t>entitled</w:t>
      </w:r>
      <w:r>
        <w:rPr>
          <w:rFonts w:ascii="Segoe UI"/>
          <w:color w:val="231F20"/>
          <w:spacing w:val="-4"/>
          <w:sz w:val="16"/>
        </w:rPr>
        <w:t> </w:t>
      </w:r>
      <w:r>
        <w:rPr>
          <w:rFonts w:ascii="Segoe UI"/>
          <w:color w:val="231F20"/>
          <w:sz w:val="16"/>
        </w:rPr>
        <w:t>to</w:t>
      </w:r>
      <w:r>
        <w:rPr>
          <w:rFonts w:ascii="Segoe UI"/>
          <w:color w:val="231F20"/>
          <w:spacing w:val="-3"/>
          <w:sz w:val="16"/>
        </w:rPr>
        <w:t> </w:t>
      </w:r>
      <w:r>
        <w:rPr>
          <w:rFonts w:ascii="Segoe UI"/>
          <w:color w:val="231F20"/>
          <w:sz w:val="16"/>
        </w:rPr>
        <w:t>be</w:t>
      </w:r>
      <w:r>
        <w:rPr>
          <w:rFonts w:ascii="Segoe UI"/>
          <w:color w:val="231F20"/>
          <w:spacing w:val="-3"/>
          <w:sz w:val="16"/>
        </w:rPr>
        <w:t> </w:t>
      </w:r>
      <w:r>
        <w:rPr>
          <w:rFonts w:ascii="Segoe UI"/>
          <w:color w:val="231F20"/>
          <w:sz w:val="16"/>
        </w:rPr>
        <w:t>paid)</w:t>
      </w:r>
      <w:r>
        <w:rPr>
          <w:rFonts w:ascii="Segoe UI"/>
          <w:color w:val="231F20"/>
          <w:spacing w:val="-4"/>
          <w:sz w:val="16"/>
        </w:rPr>
        <w:t> </w:t>
      </w:r>
      <w:r>
        <w:rPr>
          <w:rFonts w:ascii="Segoe UI"/>
          <w:color w:val="231F20"/>
          <w:sz w:val="16"/>
        </w:rPr>
        <w:t>at</w:t>
      </w:r>
      <w:r>
        <w:rPr>
          <w:rFonts w:ascii="Segoe UI"/>
          <w:color w:val="231F20"/>
          <w:spacing w:val="-3"/>
          <w:sz w:val="16"/>
        </w:rPr>
        <w:t> </w:t>
      </w:r>
      <w:r>
        <w:rPr>
          <w:rFonts w:ascii="Segoe UI"/>
          <w:color w:val="231F20"/>
          <w:sz w:val="16"/>
        </w:rPr>
        <w:t>any</w:t>
      </w:r>
      <w:r>
        <w:rPr>
          <w:rFonts w:ascii="Segoe UI"/>
          <w:color w:val="231F20"/>
          <w:w w:val="99"/>
          <w:sz w:val="16"/>
        </w:rPr>
        <w:t> </w:t>
      </w:r>
      <w:r>
        <w:rPr>
          <w:rFonts w:ascii="Segoe UI"/>
          <w:color w:val="231F20"/>
          <w:spacing w:val="-1"/>
          <w:sz w:val="16"/>
        </w:rPr>
        <w:t>stage</w:t>
      </w:r>
      <w:r>
        <w:rPr>
          <w:rFonts w:ascii="Segoe UI"/>
          <w:color w:val="231F20"/>
          <w:spacing w:val="-4"/>
          <w:sz w:val="16"/>
        </w:rPr>
        <w:t> </w:t>
      </w:r>
      <w:r>
        <w:rPr>
          <w:rFonts w:ascii="Segoe UI"/>
          <w:color w:val="231F20"/>
          <w:spacing w:val="-1"/>
          <w:sz w:val="16"/>
        </w:rPr>
        <w:t>in</w:t>
      </w:r>
      <w:r>
        <w:rPr>
          <w:rFonts w:ascii="Segoe UI"/>
          <w:color w:val="231F20"/>
          <w:spacing w:val="-3"/>
          <w:sz w:val="16"/>
        </w:rPr>
        <w:t> </w:t>
      </w:r>
      <w:r>
        <w:rPr>
          <w:rFonts w:ascii="Segoe UI"/>
          <w:color w:val="231F20"/>
          <w:sz w:val="16"/>
        </w:rPr>
        <w:t>the</w:t>
      </w:r>
      <w:r>
        <w:rPr>
          <w:rFonts w:ascii="Segoe UI"/>
          <w:color w:val="231F20"/>
          <w:spacing w:val="-4"/>
          <w:sz w:val="16"/>
        </w:rPr>
        <w:t> </w:t>
      </w:r>
      <w:r>
        <w:rPr>
          <w:rFonts w:ascii="Segoe UI"/>
          <w:color w:val="231F20"/>
          <w:sz w:val="16"/>
        </w:rPr>
        <w:t>period</w:t>
      </w:r>
      <w:r>
        <w:rPr>
          <w:rFonts w:ascii="Segoe UI"/>
          <w:color w:val="231F20"/>
          <w:spacing w:val="-4"/>
          <w:sz w:val="16"/>
        </w:rPr>
        <w:t> </w:t>
      </w:r>
      <w:r>
        <w:rPr>
          <w:rFonts w:ascii="Segoe UI"/>
          <w:color w:val="231F20"/>
          <w:sz w:val="16"/>
        </w:rPr>
        <w:t>1</w:t>
      </w:r>
      <w:r>
        <w:rPr>
          <w:rFonts w:ascii="Segoe UI"/>
          <w:color w:val="231F20"/>
          <w:spacing w:val="-3"/>
          <w:sz w:val="16"/>
        </w:rPr>
        <w:t> </w:t>
      </w:r>
      <w:r>
        <w:rPr>
          <w:rFonts w:ascii="Segoe UI"/>
          <w:color w:val="231F20"/>
          <w:sz w:val="16"/>
        </w:rPr>
        <w:t>January</w:t>
      </w:r>
      <w:r>
        <w:rPr>
          <w:rFonts w:ascii="Segoe UI"/>
          <w:color w:val="231F20"/>
          <w:spacing w:val="-3"/>
          <w:sz w:val="16"/>
        </w:rPr>
        <w:t> </w:t>
      </w:r>
      <w:r>
        <w:rPr>
          <w:rFonts w:ascii="Segoe UI"/>
          <w:color w:val="231F20"/>
          <w:sz w:val="16"/>
        </w:rPr>
        <w:t>to</w:t>
      </w:r>
      <w:r>
        <w:rPr>
          <w:rFonts w:ascii="Segoe UI"/>
          <w:color w:val="231F20"/>
          <w:spacing w:val="-3"/>
          <w:sz w:val="16"/>
        </w:rPr>
        <w:t> </w:t>
      </w:r>
      <w:r>
        <w:rPr>
          <w:rFonts w:ascii="Segoe UI"/>
          <w:color w:val="231F20"/>
          <w:spacing w:val="-1"/>
          <w:sz w:val="16"/>
        </w:rPr>
        <w:t>31</w:t>
      </w:r>
      <w:r>
        <w:rPr>
          <w:rFonts w:ascii="Segoe UI"/>
          <w:color w:val="231F20"/>
          <w:spacing w:val="-3"/>
          <w:sz w:val="16"/>
        </w:rPr>
        <w:t> </w:t>
      </w:r>
      <w:r>
        <w:rPr>
          <w:rFonts w:ascii="Segoe UI"/>
          <w:color w:val="231F20"/>
          <w:spacing w:val="-1"/>
          <w:sz w:val="16"/>
        </w:rPr>
        <w:t>December</w:t>
      </w:r>
      <w:r>
        <w:rPr>
          <w:rFonts w:ascii="Segoe UI"/>
          <w:color w:val="231F20"/>
          <w:spacing w:val="23"/>
          <w:w w:val="99"/>
          <w:sz w:val="16"/>
        </w:rPr>
        <w:t> </w:t>
      </w:r>
      <w:r>
        <w:rPr>
          <w:rFonts w:ascii="Segoe UI"/>
          <w:color w:val="231F20"/>
          <w:sz w:val="16"/>
        </w:rPr>
        <w:t>on</w:t>
      </w:r>
      <w:r>
        <w:rPr>
          <w:rFonts w:ascii="Segoe UI"/>
          <w:color w:val="231F20"/>
          <w:spacing w:val="-4"/>
          <w:sz w:val="16"/>
        </w:rPr>
        <w:t> </w:t>
      </w:r>
      <w:r>
        <w:rPr>
          <w:rFonts w:ascii="Segoe UI"/>
          <w:color w:val="231F20"/>
          <w:sz w:val="16"/>
        </w:rPr>
        <w:t>the</w:t>
      </w:r>
      <w:r>
        <w:rPr>
          <w:rFonts w:ascii="Segoe UI"/>
          <w:color w:val="231F20"/>
          <w:spacing w:val="-5"/>
          <w:sz w:val="16"/>
        </w:rPr>
        <w:t> </w:t>
      </w:r>
      <w:r>
        <w:rPr>
          <w:rFonts w:ascii="Segoe UI"/>
          <w:color w:val="231F20"/>
          <w:spacing w:val="-1"/>
          <w:sz w:val="16"/>
        </w:rPr>
        <w:t>Centrelink</w:t>
      </w:r>
      <w:r>
        <w:rPr>
          <w:rFonts w:ascii="Segoe UI"/>
          <w:color w:val="231F20"/>
          <w:spacing w:val="-4"/>
          <w:sz w:val="16"/>
        </w:rPr>
        <w:t> </w:t>
      </w:r>
      <w:r>
        <w:rPr>
          <w:rFonts w:ascii="Segoe UI"/>
          <w:color w:val="231F20"/>
          <w:sz w:val="16"/>
        </w:rPr>
        <w:t>payment</w:t>
      </w:r>
      <w:r>
        <w:rPr>
          <w:rFonts w:ascii="Segoe UI"/>
          <w:color w:val="231F20"/>
          <w:spacing w:val="-5"/>
          <w:sz w:val="16"/>
        </w:rPr>
        <w:t> </w:t>
      </w:r>
      <w:r>
        <w:rPr>
          <w:rFonts w:ascii="Segoe UI"/>
          <w:color w:val="231F20"/>
          <w:spacing w:val="-1"/>
          <w:sz w:val="16"/>
        </w:rPr>
        <w:t>system</w:t>
      </w:r>
      <w:r>
        <w:rPr>
          <w:rFonts w:ascii="Segoe UI"/>
          <w:color w:val="231F20"/>
          <w:spacing w:val="-4"/>
          <w:sz w:val="16"/>
        </w:rPr>
        <w:t> </w:t>
      </w:r>
      <w:r>
        <w:rPr>
          <w:rFonts w:ascii="Segoe UI"/>
          <w:color w:val="231F20"/>
          <w:sz w:val="16"/>
        </w:rPr>
        <w:t>recorded</w:t>
      </w:r>
      <w:r>
        <w:rPr>
          <w:rFonts w:ascii="Segoe UI"/>
          <w:color w:val="231F20"/>
          <w:spacing w:val="-5"/>
          <w:sz w:val="16"/>
        </w:rPr>
        <w:t> </w:t>
      </w:r>
      <w:r>
        <w:rPr>
          <w:rFonts w:ascii="Segoe UI"/>
          <w:color w:val="231F20"/>
          <w:sz w:val="16"/>
        </w:rPr>
        <w:t>as</w:t>
      </w:r>
      <w:r>
        <w:rPr>
          <w:rFonts w:ascii="Segoe UI"/>
          <w:sz w:val="16"/>
        </w:rPr>
      </w:r>
    </w:p>
    <w:p>
      <w:pPr>
        <w:spacing w:line="200" w:lineRule="exact" w:before="0"/>
        <w:ind w:left="684" w:right="0" w:firstLine="0"/>
        <w:jc w:val="both"/>
        <w:rPr>
          <w:rFonts w:ascii="Segoe UI" w:hAnsi="Segoe UI" w:cs="Segoe UI" w:eastAsia="Segoe UI"/>
          <w:sz w:val="16"/>
          <w:szCs w:val="16"/>
        </w:rPr>
      </w:pPr>
      <w:r>
        <w:rPr>
          <w:rFonts w:ascii="Segoe UI"/>
          <w:color w:val="231F20"/>
          <w:sz w:val="16"/>
        </w:rPr>
        <w:t>undertaking</w:t>
      </w:r>
      <w:r>
        <w:rPr>
          <w:rFonts w:ascii="Segoe UI"/>
          <w:color w:val="231F20"/>
          <w:spacing w:val="-5"/>
          <w:sz w:val="16"/>
        </w:rPr>
        <w:t> </w:t>
      </w:r>
      <w:r>
        <w:rPr>
          <w:rFonts w:ascii="Segoe UI"/>
          <w:color w:val="231F20"/>
          <w:spacing w:val="-1"/>
          <w:sz w:val="16"/>
        </w:rPr>
        <w:t>secondary</w:t>
      </w:r>
      <w:r>
        <w:rPr>
          <w:rFonts w:ascii="Segoe UI"/>
          <w:color w:val="231F20"/>
          <w:spacing w:val="-4"/>
          <w:sz w:val="16"/>
        </w:rPr>
        <w:t> </w:t>
      </w:r>
      <w:r>
        <w:rPr>
          <w:rFonts w:ascii="Segoe UI"/>
          <w:color w:val="231F20"/>
          <w:spacing w:val="-1"/>
          <w:sz w:val="16"/>
        </w:rPr>
        <w:t>level</w:t>
      </w:r>
      <w:r>
        <w:rPr>
          <w:rFonts w:ascii="Segoe UI"/>
          <w:color w:val="231F20"/>
          <w:spacing w:val="-3"/>
          <w:sz w:val="16"/>
        </w:rPr>
        <w:t> </w:t>
      </w:r>
      <w:r>
        <w:rPr>
          <w:rFonts w:ascii="Segoe UI"/>
          <w:color w:val="231F20"/>
          <w:spacing w:val="-1"/>
          <w:sz w:val="16"/>
        </w:rPr>
        <w:t>studies.</w:t>
      </w:r>
      <w:r>
        <w:rPr>
          <w:rFonts w:ascii="Segoe UI"/>
          <w:color w:val="231F20"/>
          <w:spacing w:val="-4"/>
          <w:sz w:val="16"/>
        </w:rPr>
        <w:t> </w:t>
      </w:r>
      <w:r>
        <w:rPr>
          <w:rFonts w:ascii="Segoe UI"/>
          <w:color w:val="231F20"/>
          <w:spacing w:val="-1"/>
          <w:sz w:val="16"/>
        </w:rPr>
        <w:t>Recipient</w:t>
      </w:r>
      <w:r>
        <w:rPr>
          <w:rFonts w:ascii="Segoe UI"/>
          <w:color w:val="231F20"/>
          <w:spacing w:val="-5"/>
          <w:sz w:val="16"/>
        </w:rPr>
        <w:t> </w:t>
      </w:r>
      <w:r>
        <w:rPr>
          <w:rFonts w:ascii="Segoe UI"/>
          <w:color w:val="231F20"/>
          <w:sz w:val="16"/>
        </w:rPr>
        <w:t>age</w:t>
      </w:r>
      <w:r>
        <w:rPr>
          <w:rFonts w:ascii="Segoe UI"/>
          <w:color w:val="231F20"/>
          <w:spacing w:val="28"/>
          <w:w w:val="99"/>
          <w:sz w:val="16"/>
        </w:rPr>
        <w:t> </w:t>
      </w:r>
      <w:r>
        <w:rPr>
          <w:rFonts w:ascii="Segoe UI"/>
          <w:color w:val="231F20"/>
          <w:spacing w:val="-1"/>
          <w:sz w:val="16"/>
        </w:rPr>
        <w:t>is</w:t>
      </w:r>
      <w:r>
        <w:rPr>
          <w:rFonts w:ascii="Segoe UI"/>
          <w:color w:val="231F20"/>
          <w:spacing w:val="-4"/>
          <w:sz w:val="16"/>
        </w:rPr>
        <w:t> </w:t>
      </w:r>
      <w:r>
        <w:rPr>
          <w:rFonts w:ascii="Segoe UI"/>
          <w:color w:val="231F20"/>
          <w:sz w:val="16"/>
        </w:rPr>
        <w:t>calculated</w:t>
      </w:r>
      <w:r>
        <w:rPr>
          <w:rFonts w:ascii="Segoe UI"/>
          <w:color w:val="231F20"/>
          <w:spacing w:val="-4"/>
          <w:sz w:val="16"/>
        </w:rPr>
        <w:t> </w:t>
      </w:r>
      <w:r>
        <w:rPr>
          <w:rFonts w:ascii="Segoe UI"/>
          <w:color w:val="231F20"/>
          <w:sz w:val="16"/>
        </w:rPr>
        <w:t>as</w:t>
      </w:r>
      <w:r>
        <w:rPr>
          <w:rFonts w:ascii="Segoe UI"/>
          <w:color w:val="231F20"/>
          <w:spacing w:val="-4"/>
          <w:sz w:val="16"/>
        </w:rPr>
        <w:t> </w:t>
      </w:r>
      <w:r>
        <w:rPr>
          <w:rFonts w:ascii="Segoe UI"/>
          <w:color w:val="231F20"/>
          <w:sz w:val="16"/>
        </w:rPr>
        <w:t>at</w:t>
      </w:r>
      <w:r>
        <w:rPr>
          <w:rFonts w:ascii="Segoe UI"/>
          <w:color w:val="231F20"/>
          <w:spacing w:val="-3"/>
          <w:sz w:val="16"/>
        </w:rPr>
        <w:t> </w:t>
      </w:r>
      <w:r>
        <w:rPr>
          <w:rFonts w:ascii="Segoe UI"/>
          <w:color w:val="231F20"/>
          <w:sz w:val="16"/>
        </w:rPr>
        <w:t>the</w:t>
      </w:r>
      <w:r>
        <w:rPr>
          <w:rFonts w:ascii="Segoe UI"/>
          <w:color w:val="231F20"/>
          <w:spacing w:val="-4"/>
          <w:sz w:val="16"/>
        </w:rPr>
        <w:t> </w:t>
      </w:r>
      <w:r>
        <w:rPr>
          <w:rFonts w:ascii="Segoe UI"/>
          <w:color w:val="231F20"/>
          <w:spacing w:val="-1"/>
          <w:sz w:val="16"/>
        </w:rPr>
        <w:t>start</w:t>
      </w:r>
      <w:r>
        <w:rPr>
          <w:rFonts w:ascii="Segoe UI"/>
          <w:color w:val="231F20"/>
          <w:spacing w:val="-3"/>
          <w:sz w:val="16"/>
        </w:rPr>
        <w:t> </w:t>
      </w:r>
      <w:r>
        <w:rPr>
          <w:rFonts w:ascii="Segoe UI"/>
          <w:color w:val="231F20"/>
          <w:sz w:val="16"/>
        </w:rPr>
        <w:t>of</w:t>
      </w:r>
      <w:r>
        <w:rPr>
          <w:rFonts w:ascii="Segoe UI"/>
          <w:color w:val="231F20"/>
          <w:spacing w:val="-3"/>
          <w:sz w:val="16"/>
        </w:rPr>
        <w:t> </w:t>
      </w:r>
      <w:r>
        <w:rPr>
          <w:rFonts w:ascii="Segoe UI"/>
          <w:color w:val="231F20"/>
          <w:sz w:val="16"/>
        </w:rPr>
        <w:t>the</w:t>
      </w:r>
      <w:r>
        <w:rPr>
          <w:rFonts w:ascii="Segoe UI"/>
          <w:color w:val="231F20"/>
          <w:spacing w:val="-4"/>
          <w:sz w:val="16"/>
        </w:rPr>
        <w:t> </w:t>
      </w:r>
      <w:r>
        <w:rPr>
          <w:rFonts w:ascii="Segoe UI"/>
          <w:color w:val="231F20"/>
          <w:sz w:val="16"/>
        </w:rPr>
        <w:t>reporting</w:t>
      </w:r>
      <w:r>
        <w:rPr>
          <w:rFonts w:ascii="Segoe UI"/>
          <w:color w:val="231F20"/>
          <w:spacing w:val="-4"/>
          <w:sz w:val="16"/>
        </w:rPr>
        <w:t> </w:t>
      </w:r>
      <w:r>
        <w:rPr>
          <w:rFonts w:ascii="Segoe UI"/>
          <w:color w:val="231F20"/>
          <w:sz w:val="16"/>
        </w:rPr>
        <w:t>period,</w:t>
      </w:r>
      <w:r>
        <w:rPr>
          <w:rFonts w:ascii="Segoe UI"/>
          <w:color w:val="231F20"/>
          <w:spacing w:val="22"/>
          <w:w w:val="99"/>
          <w:sz w:val="16"/>
        </w:rPr>
        <w:t> </w:t>
      </w:r>
      <w:r>
        <w:rPr>
          <w:rFonts w:ascii="Segoe UI"/>
          <w:color w:val="231F20"/>
          <w:sz w:val="16"/>
        </w:rPr>
        <w:t>1</w:t>
      </w:r>
      <w:r>
        <w:rPr>
          <w:rFonts w:ascii="Segoe UI"/>
          <w:color w:val="231F20"/>
          <w:spacing w:val="-6"/>
          <w:sz w:val="16"/>
        </w:rPr>
        <w:t> </w:t>
      </w:r>
      <w:r>
        <w:rPr>
          <w:rFonts w:ascii="Segoe UI"/>
          <w:color w:val="231F20"/>
          <w:sz w:val="16"/>
        </w:rPr>
        <w:t>January</w:t>
      </w:r>
      <w:r>
        <w:rPr>
          <w:rFonts w:ascii="Segoe UI"/>
          <w:sz w:val="16"/>
        </w:rPr>
      </w:r>
    </w:p>
    <w:p>
      <w:pPr>
        <w:numPr>
          <w:ilvl w:val="0"/>
          <w:numId w:val="9"/>
        </w:numPr>
        <w:tabs>
          <w:tab w:pos="685" w:val="left" w:leader="none"/>
        </w:tabs>
        <w:spacing w:line="200" w:lineRule="exact" w:before="70"/>
        <w:ind w:left="684" w:right="370" w:hanging="567"/>
        <w:jc w:val="left"/>
        <w:rPr>
          <w:rFonts w:ascii="Segoe UI" w:hAnsi="Segoe UI" w:cs="Segoe UI" w:eastAsia="Segoe UI"/>
          <w:sz w:val="16"/>
          <w:szCs w:val="16"/>
        </w:rPr>
      </w:pPr>
      <w:r>
        <w:rPr>
          <w:rFonts w:ascii="Segoe UI"/>
          <w:i/>
          <w:color w:val="231F20"/>
          <w:sz w:val="16"/>
        </w:rPr>
        <w:br w:type="column"/>
      </w:r>
      <w:r>
        <w:rPr>
          <w:rFonts w:ascii="Segoe UI"/>
          <w:i/>
          <w:color w:val="231F20"/>
          <w:spacing w:val="-1"/>
          <w:sz w:val="16"/>
        </w:rPr>
        <w:t>Boarding</w:t>
      </w:r>
      <w:r>
        <w:rPr>
          <w:rFonts w:ascii="Segoe UI"/>
          <w:i/>
          <w:color w:val="231F20"/>
          <w:spacing w:val="-3"/>
          <w:sz w:val="16"/>
        </w:rPr>
        <w:t> </w:t>
      </w:r>
      <w:r>
        <w:rPr>
          <w:rFonts w:ascii="Segoe UI"/>
          <w:i/>
          <w:color w:val="231F20"/>
          <w:spacing w:val="-1"/>
          <w:sz w:val="16"/>
        </w:rPr>
        <w:t>school</w:t>
      </w:r>
      <w:r>
        <w:rPr>
          <w:rFonts w:ascii="Segoe UI"/>
          <w:i/>
          <w:color w:val="231F20"/>
          <w:spacing w:val="-3"/>
          <w:sz w:val="16"/>
        </w:rPr>
        <w:t> </w:t>
      </w:r>
      <w:r>
        <w:rPr>
          <w:rFonts w:ascii="Segoe UI"/>
          <w:i/>
          <w:color w:val="231F20"/>
          <w:sz w:val="16"/>
        </w:rPr>
        <w:t>for</w:t>
      </w:r>
      <w:r>
        <w:rPr>
          <w:rFonts w:ascii="Segoe UI"/>
          <w:i/>
          <w:color w:val="231F20"/>
          <w:spacing w:val="-3"/>
          <w:sz w:val="16"/>
        </w:rPr>
        <w:t> </w:t>
      </w:r>
      <w:r>
        <w:rPr>
          <w:rFonts w:ascii="Segoe UI"/>
          <w:i/>
          <w:color w:val="231F20"/>
          <w:sz w:val="16"/>
        </w:rPr>
        <w:t>remote</w:t>
      </w:r>
      <w:r>
        <w:rPr>
          <w:rFonts w:ascii="Segoe UI"/>
          <w:i/>
          <w:color w:val="231F20"/>
          <w:spacing w:val="-3"/>
          <w:sz w:val="16"/>
        </w:rPr>
        <w:t> </w:t>
      </w:r>
      <w:r>
        <w:rPr>
          <w:rFonts w:ascii="Segoe UI"/>
          <w:i/>
          <w:color w:val="231F20"/>
          <w:spacing w:val="-1"/>
          <w:sz w:val="16"/>
        </w:rPr>
        <w:t>Aboriginal</w:t>
      </w:r>
      <w:r>
        <w:rPr>
          <w:rFonts w:ascii="Segoe UI"/>
          <w:i/>
          <w:color w:val="231F20"/>
          <w:spacing w:val="-3"/>
          <w:sz w:val="16"/>
        </w:rPr>
        <w:t> </w:t>
      </w:r>
      <w:r>
        <w:rPr>
          <w:rFonts w:ascii="Segoe UI"/>
          <w:i/>
          <w:color w:val="231F20"/>
          <w:sz w:val="16"/>
        </w:rPr>
        <w:t>and</w:t>
      </w:r>
      <w:r>
        <w:rPr>
          <w:rFonts w:ascii="Segoe UI"/>
          <w:i/>
          <w:color w:val="231F20"/>
          <w:spacing w:val="-3"/>
          <w:sz w:val="16"/>
        </w:rPr>
        <w:t> Torres</w:t>
      </w:r>
      <w:r>
        <w:rPr>
          <w:rFonts w:ascii="Segoe UI"/>
          <w:i/>
          <w:color w:val="231F20"/>
          <w:spacing w:val="37"/>
          <w:w w:val="99"/>
          <w:sz w:val="16"/>
        </w:rPr>
        <w:t> </w:t>
      </w:r>
      <w:r>
        <w:rPr>
          <w:rFonts w:ascii="Segoe UI"/>
          <w:i/>
          <w:color w:val="231F20"/>
          <w:spacing w:val="-1"/>
          <w:sz w:val="16"/>
        </w:rPr>
        <w:t>Strait</w:t>
      </w:r>
      <w:r>
        <w:rPr>
          <w:rFonts w:ascii="Segoe UI"/>
          <w:i/>
          <w:color w:val="231F20"/>
          <w:spacing w:val="-3"/>
          <w:sz w:val="16"/>
        </w:rPr>
        <w:t> </w:t>
      </w:r>
      <w:r>
        <w:rPr>
          <w:rFonts w:ascii="Segoe UI"/>
          <w:i/>
          <w:color w:val="231F20"/>
          <w:spacing w:val="-1"/>
          <w:sz w:val="16"/>
        </w:rPr>
        <w:t>Islander</w:t>
      </w:r>
      <w:r>
        <w:rPr>
          <w:rFonts w:ascii="Segoe UI"/>
          <w:i/>
          <w:color w:val="231F20"/>
          <w:spacing w:val="-3"/>
          <w:sz w:val="16"/>
        </w:rPr>
        <w:t> </w:t>
      </w:r>
      <w:r>
        <w:rPr>
          <w:rFonts w:ascii="Segoe UI"/>
          <w:i/>
          <w:color w:val="231F20"/>
          <w:sz w:val="16"/>
        </w:rPr>
        <w:t>students</w:t>
      </w:r>
      <w:r>
        <w:rPr>
          <w:rFonts w:ascii="Segoe UI"/>
          <w:i/>
          <w:color w:val="231F20"/>
          <w:spacing w:val="-3"/>
          <w:sz w:val="16"/>
        </w:rPr>
        <w:t> </w:t>
      </w:r>
      <w:r>
        <w:rPr>
          <w:rFonts w:ascii="Segoe UI"/>
          <w:i/>
          <w:color w:val="231F20"/>
          <w:sz w:val="16"/>
        </w:rPr>
        <w:t>can</w:t>
      </w:r>
      <w:r>
        <w:rPr>
          <w:rFonts w:ascii="Segoe UI"/>
          <w:i/>
          <w:color w:val="231F20"/>
          <w:spacing w:val="-3"/>
          <w:sz w:val="16"/>
        </w:rPr>
        <w:t> </w:t>
      </w:r>
      <w:r>
        <w:rPr>
          <w:rFonts w:ascii="Segoe UI"/>
          <w:i/>
          <w:color w:val="231F20"/>
          <w:spacing w:val="-1"/>
          <w:sz w:val="16"/>
        </w:rPr>
        <w:t>have</w:t>
      </w:r>
      <w:r>
        <w:rPr>
          <w:rFonts w:ascii="Segoe UI"/>
          <w:i/>
          <w:color w:val="231F20"/>
          <w:spacing w:val="-2"/>
          <w:sz w:val="16"/>
        </w:rPr>
        <w:t> </w:t>
      </w:r>
      <w:r>
        <w:rPr>
          <w:rFonts w:ascii="Segoe UI"/>
          <w:i/>
          <w:color w:val="231F20"/>
          <w:sz w:val="16"/>
        </w:rPr>
        <w:t>very</w:t>
      </w:r>
      <w:r>
        <w:rPr>
          <w:rFonts w:ascii="Segoe UI"/>
          <w:i/>
          <w:color w:val="231F20"/>
          <w:spacing w:val="-3"/>
          <w:sz w:val="16"/>
        </w:rPr>
        <w:t> </w:t>
      </w:r>
      <w:r>
        <w:rPr>
          <w:rFonts w:ascii="Segoe UI"/>
          <w:i/>
          <w:color w:val="231F20"/>
          <w:sz w:val="16"/>
        </w:rPr>
        <w:t>damaging</w:t>
      </w:r>
      <w:r>
        <w:rPr>
          <w:rFonts w:ascii="Segoe UI"/>
          <w:i/>
          <w:color w:val="231F20"/>
          <w:spacing w:val="28"/>
          <w:w w:val="99"/>
          <w:sz w:val="16"/>
        </w:rPr>
        <w:t> </w:t>
      </w:r>
      <w:r>
        <w:rPr>
          <w:rFonts w:ascii="Segoe UI"/>
          <w:i/>
          <w:color w:val="231F20"/>
          <w:sz w:val="16"/>
        </w:rPr>
        <w:t>effects:</w:t>
      </w:r>
      <w:r>
        <w:rPr>
          <w:rFonts w:ascii="Segoe UI"/>
          <w:i/>
          <w:color w:val="231F20"/>
          <w:spacing w:val="-2"/>
          <w:sz w:val="16"/>
        </w:rPr>
        <w:t> </w:t>
      </w:r>
      <w:r>
        <w:rPr>
          <w:rFonts w:ascii="Segoe UI"/>
          <w:i/>
          <w:color w:val="231F20"/>
          <w:sz w:val="16"/>
        </w:rPr>
        <w:t>new</w:t>
      </w:r>
      <w:r>
        <w:rPr>
          <w:rFonts w:ascii="Segoe UI"/>
          <w:i/>
          <w:color w:val="231F20"/>
          <w:spacing w:val="-2"/>
          <w:sz w:val="16"/>
        </w:rPr>
        <w:t> </w:t>
      </w:r>
      <w:r>
        <w:rPr>
          <w:rFonts w:ascii="Segoe UI"/>
          <w:i/>
          <w:color w:val="231F20"/>
          <w:spacing w:val="-1"/>
          <w:sz w:val="16"/>
        </w:rPr>
        <w:t>evidence-based</w:t>
      </w:r>
      <w:r>
        <w:rPr>
          <w:rFonts w:ascii="Segoe UI"/>
          <w:i/>
          <w:color w:val="231F20"/>
          <w:spacing w:val="-2"/>
          <w:sz w:val="16"/>
        </w:rPr>
        <w:t> </w:t>
      </w:r>
      <w:r>
        <w:rPr>
          <w:rFonts w:ascii="Segoe UI"/>
          <w:i/>
          <w:color w:val="231F20"/>
          <w:spacing w:val="-1"/>
          <w:sz w:val="16"/>
        </w:rPr>
        <w:t>research</w:t>
      </w:r>
      <w:r>
        <w:rPr>
          <w:rFonts w:ascii="Segoe UI"/>
          <w:color w:val="231F20"/>
          <w:spacing w:val="-1"/>
          <w:sz w:val="16"/>
        </w:rPr>
        <w:t>,</w:t>
      </w:r>
      <w:r>
        <w:rPr>
          <w:rFonts w:ascii="Segoe UI"/>
          <w:color w:val="231F20"/>
          <w:spacing w:val="-2"/>
          <w:sz w:val="16"/>
        </w:rPr>
        <w:t> </w:t>
      </w:r>
      <w:r>
        <w:rPr>
          <w:rFonts w:ascii="Segoe UI"/>
          <w:color w:val="231F20"/>
          <w:sz w:val="16"/>
        </w:rPr>
        <w:t>Guenther,</w:t>
      </w:r>
      <w:r>
        <w:rPr>
          <w:rFonts w:ascii="Segoe UI"/>
          <w:color w:val="231F20"/>
          <w:spacing w:val="33"/>
          <w:w w:val="99"/>
          <w:sz w:val="16"/>
        </w:rPr>
        <w:t> </w:t>
      </w:r>
      <w:r>
        <w:rPr>
          <w:rFonts w:ascii="Segoe UI"/>
          <w:color w:val="231F20"/>
          <w:w w:val="95"/>
          <w:sz w:val="16"/>
        </w:rPr>
        <w:t>John,   </w:t>
      </w:r>
      <w:r>
        <w:rPr>
          <w:rFonts w:ascii="Segoe UI"/>
          <w:color w:val="231F20"/>
          <w:spacing w:val="8"/>
          <w:w w:val="95"/>
          <w:sz w:val="16"/>
        </w:rPr>
        <w:t> </w:t>
      </w:r>
      <w:r>
        <w:rPr>
          <w:rFonts w:ascii="Segoe UI"/>
          <w:color w:val="3853A4"/>
          <w:spacing w:val="8"/>
          <w:w w:val="95"/>
          <w:sz w:val="16"/>
        </w:rPr>
      </w:r>
      <w:hyperlink r:id="rId113">
        <w:r>
          <w:rPr>
            <w:rFonts w:ascii="Segoe UI"/>
            <w:color w:val="3853A4"/>
            <w:w w:val="95"/>
            <w:sz w:val="16"/>
            <w:u w:val="single" w:color="3853A4"/>
          </w:rPr>
          <w:t>https://www.aare.edu.au/blog/?tag=john-</w:t>
        </w:r>
        <w:r>
          <w:rPr>
            <w:rFonts w:ascii="Segoe UI"/>
            <w:color w:val="3853A4"/>
            <w:w w:val="99"/>
            <w:sz w:val="16"/>
          </w:rPr>
        </w:r>
      </w:hyperlink>
      <w:r>
        <w:rPr>
          <w:rFonts w:ascii="Segoe UI"/>
          <w:color w:val="3853A4"/>
          <w:w w:val="99"/>
          <w:sz w:val="16"/>
        </w:rPr>
        <w:t> </w:t>
      </w:r>
      <w:r>
        <w:rPr>
          <w:rFonts w:ascii="Segoe UI"/>
          <w:color w:val="3853A4"/>
          <w:spacing w:val="-1"/>
          <w:sz w:val="16"/>
          <w:u w:val="single" w:color="3853A4"/>
        </w:rPr>
        <w:t>guenther</w:t>
      </w:r>
      <w:r>
        <w:rPr>
          <w:rFonts w:ascii="Segoe UI"/>
          <w:color w:val="3853A4"/>
          <w:sz w:val="16"/>
        </w:rPr>
      </w:r>
      <w:r>
        <w:rPr>
          <w:rFonts w:ascii="Segoe UI"/>
          <w:color w:val="231F20"/>
          <w:spacing w:val="-1"/>
          <w:sz w:val="16"/>
        </w:rPr>
        <w:t>,</w:t>
      </w:r>
      <w:r>
        <w:rPr>
          <w:rFonts w:ascii="Segoe UI"/>
          <w:color w:val="231F20"/>
          <w:spacing w:val="-4"/>
          <w:sz w:val="16"/>
        </w:rPr>
        <w:t> </w:t>
      </w:r>
      <w:r>
        <w:rPr>
          <w:rFonts w:ascii="Segoe UI"/>
          <w:color w:val="231F20"/>
          <w:sz w:val="16"/>
        </w:rPr>
        <w:t>accessed</w:t>
      </w:r>
      <w:r>
        <w:rPr>
          <w:rFonts w:ascii="Segoe UI"/>
          <w:color w:val="231F20"/>
          <w:spacing w:val="-4"/>
          <w:sz w:val="16"/>
        </w:rPr>
        <w:t> </w:t>
      </w:r>
      <w:r>
        <w:rPr>
          <w:rFonts w:ascii="Segoe UI"/>
          <w:color w:val="231F20"/>
          <w:spacing w:val="-1"/>
          <w:sz w:val="16"/>
        </w:rPr>
        <w:t>in</w:t>
      </w:r>
      <w:r>
        <w:rPr>
          <w:rFonts w:ascii="Segoe UI"/>
          <w:color w:val="231F20"/>
          <w:spacing w:val="-3"/>
          <w:sz w:val="16"/>
        </w:rPr>
        <w:t> </w:t>
      </w:r>
      <w:r>
        <w:rPr>
          <w:rFonts w:ascii="Segoe UI"/>
          <w:color w:val="231F20"/>
          <w:sz w:val="16"/>
        </w:rPr>
        <w:t>January</w:t>
      </w:r>
      <w:r>
        <w:rPr>
          <w:rFonts w:ascii="Segoe UI"/>
          <w:color w:val="231F20"/>
          <w:spacing w:val="-3"/>
          <w:sz w:val="16"/>
        </w:rPr>
        <w:t> </w:t>
      </w:r>
      <w:r>
        <w:rPr>
          <w:rFonts w:ascii="Segoe UI"/>
          <w:color w:val="231F20"/>
          <w:sz w:val="16"/>
        </w:rPr>
        <w:t>2019</w:t>
      </w:r>
      <w:r>
        <w:rPr>
          <w:rFonts w:ascii="Segoe UI"/>
          <w:sz w:val="16"/>
        </w:rPr>
      </w:r>
    </w:p>
    <w:p>
      <w:pPr>
        <w:numPr>
          <w:ilvl w:val="0"/>
          <w:numId w:val="9"/>
        </w:numPr>
        <w:tabs>
          <w:tab w:pos="685" w:val="left" w:leader="none"/>
        </w:tabs>
        <w:spacing w:line="200" w:lineRule="exact" w:before="113"/>
        <w:ind w:left="684" w:right="456" w:hanging="567"/>
        <w:jc w:val="left"/>
        <w:rPr>
          <w:rFonts w:ascii="Segoe UI" w:hAnsi="Segoe UI" w:cs="Segoe UI" w:eastAsia="Segoe UI"/>
          <w:sz w:val="16"/>
          <w:szCs w:val="16"/>
        </w:rPr>
      </w:pPr>
      <w:r>
        <w:rPr>
          <w:rFonts w:ascii="Segoe UI" w:hAnsi="Segoe UI" w:cs="Segoe UI" w:eastAsia="Segoe UI"/>
          <w:i/>
          <w:color w:val="231F20"/>
          <w:spacing w:val="-1"/>
          <w:sz w:val="16"/>
          <w:szCs w:val="16"/>
        </w:rPr>
        <w:t>Closing</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the</w:t>
      </w:r>
      <w:r>
        <w:rPr>
          <w:rFonts w:ascii="Segoe UI" w:hAnsi="Segoe UI" w:cs="Segoe UI" w:eastAsia="Segoe UI"/>
          <w:i/>
          <w:color w:val="231F20"/>
          <w:spacing w:val="-4"/>
          <w:sz w:val="16"/>
          <w:szCs w:val="16"/>
        </w:rPr>
        <w:t> </w:t>
      </w:r>
      <w:r>
        <w:rPr>
          <w:rFonts w:ascii="Segoe UI" w:hAnsi="Segoe UI" w:cs="Segoe UI" w:eastAsia="Segoe UI"/>
          <w:i/>
          <w:color w:val="231F20"/>
          <w:sz w:val="16"/>
          <w:szCs w:val="16"/>
        </w:rPr>
        <w:t>Gap:</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Prime</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Minister’s</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Report</w:t>
      </w:r>
      <w:r>
        <w:rPr>
          <w:rFonts w:ascii="Segoe UI" w:hAnsi="Segoe UI" w:cs="Segoe UI" w:eastAsia="Segoe UI"/>
          <w:i/>
          <w:color w:val="231F20"/>
          <w:spacing w:val="-5"/>
          <w:sz w:val="16"/>
          <w:szCs w:val="16"/>
        </w:rPr>
        <w:t> </w:t>
      </w:r>
      <w:r>
        <w:rPr>
          <w:rFonts w:ascii="Segoe UI" w:hAnsi="Segoe UI" w:cs="Segoe UI" w:eastAsia="Segoe UI"/>
          <w:i/>
          <w:color w:val="231F20"/>
          <w:sz w:val="16"/>
          <w:szCs w:val="16"/>
        </w:rPr>
        <w:t>2018</w:t>
      </w:r>
      <w:r>
        <w:rPr>
          <w:rFonts w:ascii="Segoe UI" w:hAnsi="Segoe UI" w:cs="Segoe UI" w:eastAsia="Segoe UI"/>
          <w:color w:val="231F20"/>
          <w:sz w:val="16"/>
          <w:szCs w:val="16"/>
        </w:rPr>
        <w:t>,</w:t>
      </w:r>
      <w:r>
        <w:rPr>
          <w:rFonts w:ascii="Segoe UI" w:hAnsi="Segoe UI" w:cs="Segoe UI" w:eastAsia="Segoe UI"/>
          <w:color w:val="231F20"/>
          <w:spacing w:val="25"/>
          <w:w w:val="99"/>
          <w:sz w:val="16"/>
          <w:szCs w:val="16"/>
        </w:rPr>
        <w:t> </w:t>
      </w:r>
      <w:r>
        <w:rPr>
          <w:rFonts w:ascii="Segoe UI" w:hAnsi="Segoe UI" w:cs="Segoe UI" w:eastAsia="Segoe UI"/>
          <w:color w:val="231F20"/>
          <w:spacing w:val="-1"/>
          <w:sz w:val="16"/>
          <w:szCs w:val="16"/>
        </w:rPr>
        <w:t>Department</w:t>
      </w:r>
      <w:r>
        <w:rPr>
          <w:rFonts w:ascii="Segoe UI" w:hAnsi="Segoe UI" w:cs="Segoe UI" w:eastAsia="Segoe UI"/>
          <w:color w:val="231F20"/>
          <w:spacing w:val="-4"/>
          <w:sz w:val="16"/>
          <w:szCs w:val="16"/>
        </w:rPr>
        <w:t> </w:t>
      </w:r>
      <w:r>
        <w:rPr>
          <w:rFonts w:ascii="Segoe UI" w:hAnsi="Segoe UI" w:cs="Segoe UI" w:eastAsia="Segoe UI"/>
          <w:color w:val="231F20"/>
          <w:sz w:val="16"/>
          <w:szCs w:val="16"/>
        </w:rPr>
        <w:t>of</w:t>
      </w:r>
      <w:r>
        <w:rPr>
          <w:rFonts w:ascii="Segoe UI" w:hAnsi="Segoe UI" w:cs="Segoe UI" w:eastAsia="Segoe UI"/>
          <w:color w:val="231F20"/>
          <w:spacing w:val="-3"/>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5"/>
          <w:sz w:val="16"/>
          <w:szCs w:val="16"/>
        </w:rPr>
        <w:t> </w:t>
      </w:r>
      <w:r>
        <w:rPr>
          <w:rFonts w:ascii="Segoe UI" w:hAnsi="Segoe UI" w:cs="Segoe UI" w:eastAsia="Segoe UI"/>
          <w:color w:val="231F20"/>
          <w:sz w:val="16"/>
          <w:szCs w:val="16"/>
        </w:rPr>
        <w:t>Prime</w:t>
      </w:r>
      <w:r>
        <w:rPr>
          <w:rFonts w:ascii="Segoe UI" w:hAnsi="Segoe UI" w:cs="Segoe UI" w:eastAsia="Segoe UI"/>
          <w:color w:val="231F20"/>
          <w:spacing w:val="-3"/>
          <w:sz w:val="16"/>
          <w:szCs w:val="16"/>
        </w:rPr>
        <w:t> </w:t>
      </w:r>
      <w:r>
        <w:rPr>
          <w:rFonts w:ascii="Segoe UI" w:hAnsi="Segoe UI" w:cs="Segoe UI" w:eastAsia="Segoe UI"/>
          <w:color w:val="231F20"/>
          <w:sz w:val="16"/>
          <w:szCs w:val="16"/>
        </w:rPr>
        <w:t>Minister</w:t>
      </w:r>
      <w:r>
        <w:rPr>
          <w:rFonts w:ascii="Segoe UI" w:hAnsi="Segoe UI" w:cs="Segoe UI" w:eastAsia="Segoe UI"/>
          <w:color w:val="231F20"/>
          <w:spacing w:val="-5"/>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Cabinet,</w:t>
      </w:r>
      <w:r>
        <w:rPr>
          <w:rFonts w:ascii="Segoe UI" w:hAnsi="Segoe UI" w:cs="Segoe UI" w:eastAsia="Segoe UI"/>
          <w:color w:val="231F20"/>
          <w:spacing w:val="21"/>
          <w:w w:val="99"/>
          <w:sz w:val="16"/>
          <w:szCs w:val="16"/>
        </w:rPr>
        <w:t> </w:t>
      </w:r>
      <w:r>
        <w:rPr>
          <w:rFonts w:ascii="Segoe UI" w:hAnsi="Segoe UI" w:cs="Segoe UI" w:eastAsia="Segoe UI"/>
          <w:color w:val="231F20"/>
          <w:spacing w:val="-1"/>
          <w:sz w:val="16"/>
          <w:szCs w:val="16"/>
        </w:rPr>
        <w:t>2018, </w:t>
      </w:r>
      <w:r>
        <w:rPr>
          <w:rFonts w:ascii="Segoe UI" w:hAnsi="Segoe UI" w:cs="Segoe UI" w:eastAsia="Segoe UI"/>
          <w:color w:val="231F20"/>
          <w:sz w:val="16"/>
          <w:szCs w:val="16"/>
        </w:rPr>
        <w:t>pp.</w:t>
      </w:r>
      <w:r>
        <w:rPr>
          <w:rFonts w:ascii="Segoe UI" w:hAnsi="Segoe UI" w:cs="Segoe UI" w:eastAsia="Segoe UI"/>
          <w:color w:val="231F20"/>
          <w:spacing w:val="-1"/>
          <w:sz w:val="16"/>
          <w:szCs w:val="16"/>
        </w:rPr>
        <w:t> 64</w:t>
      </w:r>
      <w:r>
        <w:rPr>
          <w:rFonts w:ascii="Segoe UI" w:hAnsi="Segoe UI" w:cs="Segoe UI" w:eastAsia="Segoe UI"/>
          <w:color w:val="231F20"/>
          <w:sz w:val="16"/>
          <w:szCs w:val="16"/>
        </w:rPr>
        <w:t> &amp;</w:t>
      </w:r>
      <w:r>
        <w:rPr>
          <w:rFonts w:ascii="Segoe UI" w:hAnsi="Segoe UI" w:cs="Segoe UI" w:eastAsia="Segoe UI"/>
          <w:color w:val="231F20"/>
          <w:spacing w:val="-2"/>
          <w:sz w:val="16"/>
          <w:szCs w:val="16"/>
        </w:rPr>
        <w:t> </w:t>
      </w:r>
      <w:r>
        <w:rPr>
          <w:rFonts w:ascii="Segoe UI" w:hAnsi="Segoe UI" w:cs="Segoe UI" w:eastAsia="Segoe UI"/>
          <w:color w:val="231F20"/>
          <w:sz w:val="16"/>
          <w:szCs w:val="16"/>
        </w:rPr>
        <w:t>67</w:t>
      </w:r>
      <w:r>
        <w:rPr>
          <w:rFonts w:ascii="Segoe UI" w:hAnsi="Segoe UI" w:cs="Segoe UI" w:eastAsia="Segoe UI"/>
          <w:sz w:val="16"/>
          <w:szCs w:val="16"/>
        </w:rPr>
      </w:r>
    </w:p>
    <w:p>
      <w:pPr>
        <w:numPr>
          <w:ilvl w:val="0"/>
          <w:numId w:val="9"/>
        </w:numPr>
        <w:tabs>
          <w:tab w:pos="685" w:val="left" w:leader="none"/>
        </w:tabs>
        <w:spacing w:line="200" w:lineRule="exact" w:before="113"/>
        <w:ind w:left="684" w:right="456" w:hanging="567"/>
        <w:jc w:val="left"/>
        <w:rPr>
          <w:rFonts w:ascii="Segoe UI" w:hAnsi="Segoe UI" w:cs="Segoe UI" w:eastAsia="Segoe UI"/>
          <w:sz w:val="16"/>
          <w:szCs w:val="16"/>
        </w:rPr>
      </w:pPr>
      <w:r>
        <w:rPr>
          <w:rFonts w:ascii="Segoe UI" w:hAnsi="Segoe UI" w:cs="Segoe UI" w:eastAsia="Segoe UI"/>
          <w:i/>
          <w:color w:val="231F20"/>
          <w:spacing w:val="-1"/>
          <w:sz w:val="16"/>
          <w:szCs w:val="16"/>
        </w:rPr>
        <w:t>Closing</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the</w:t>
      </w:r>
      <w:r>
        <w:rPr>
          <w:rFonts w:ascii="Segoe UI" w:hAnsi="Segoe UI" w:cs="Segoe UI" w:eastAsia="Segoe UI"/>
          <w:i/>
          <w:color w:val="231F20"/>
          <w:spacing w:val="-4"/>
          <w:sz w:val="16"/>
          <w:szCs w:val="16"/>
        </w:rPr>
        <w:t> </w:t>
      </w:r>
      <w:r>
        <w:rPr>
          <w:rFonts w:ascii="Segoe UI" w:hAnsi="Segoe UI" w:cs="Segoe UI" w:eastAsia="Segoe UI"/>
          <w:i/>
          <w:color w:val="231F20"/>
          <w:sz w:val="16"/>
          <w:szCs w:val="16"/>
        </w:rPr>
        <w:t>Gap:</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Prime</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Minister’s</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Report</w:t>
      </w:r>
      <w:r>
        <w:rPr>
          <w:rFonts w:ascii="Segoe UI" w:hAnsi="Segoe UI" w:cs="Segoe UI" w:eastAsia="Segoe UI"/>
          <w:i/>
          <w:color w:val="231F20"/>
          <w:spacing w:val="-5"/>
          <w:sz w:val="16"/>
          <w:szCs w:val="16"/>
        </w:rPr>
        <w:t> </w:t>
      </w:r>
      <w:r>
        <w:rPr>
          <w:rFonts w:ascii="Segoe UI" w:hAnsi="Segoe UI" w:cs="Segoe UI" w:eastAsia="Segoe UI"/>
          <w:i/>
          <w:color w:val="231F20"/>
          <w:sz w:val="16"/>
          <w:szCs w:val="16"/>
        </w:rPr>
        <w:t>2018</w:t>
      </w:r>
      <w:r>
        <w:rPr>
          <w:rFonts w:ascii="Segoe UI" w:hAnsi="Segoe UI" w:cs="Segoe UI" w:eastAsia="Segoe UI"/>
          <w:color w:val="231F20"/>
          <w:sz w:val="16"/>
          <w:szCs w:val="16"/>
        </w:rPr>
        <w:t>,</w:t>
      </w:r>
      <w:r>
        <w:rPr>
          <w:rFonts w:ascii="Segoe UI" w:hAnsi="Segoe UI" w:cs="Segoe UI" w:eastAsia="Segoe UI"/>
          <w:color w:val="231F20"/>
          <w:spacing w:val="25"/>
          <w:w w:val="99"/>
          <w:sz w:val="16"/>
          <w:szCs w:val="16"/>
        </w:rPr>
        <w:t> </w:t>
      </w:r>
      <w:r>
        <w:rPr>
          <w:rFonts w:ascii="Segoe UI" w:hAnsi="Segoe UI" w:cs="Segoe UI" w:eastAsia="Segoe UI"/>
          <w:color w:val="231F20"/>
          <w:spacing w:val="-1"/>
          <w:sz w:val="16"/>
          <w:szCs w:val="16"/>
        </w:rPr>
        <w:t>Department</w:t>
      </w:r>
      <w:r>
        <w:rPr>
          <w:rFonts w:ascii="Segoe UI" w:hAnsi="Segoe UI" w:cs="Segoe UI" w:eastAsia="Segoe UI"/>
          <w:color w:val="231F20"/>
          <w:spacing w:val="-4"/>
          <w:sz w:val="16"/>
          <w:szCs w:val="16"/>
        </w:rPr>
        <w:t> </w:t>
      </w:r>
      <w:r>
        <w:rPr>
          <w:rFonts w:ascii="Segoe UI" w:hAnsi="Segoe UI" w:cs="Segoe UI" w:eastAsia="Segoe UI"/>
          <w:color w:val="231F20"/>
          <w:sz w:val="16"/>
          <w:szCs w:val="16"/>
        </w:rPr>
        <w:t>of</w:t>
      </w:r>
      <w:r>
        <w:rPr>
          <w:rFonts w:ascii="Segoe UI" w:hAnsi="Segoe UI" w:cs="Segoe UI" w:eastAsia="Segoe UI"/>
          <w:color w:val="231F20"/>
          <w:spacing w:val="-3"/>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5"/>
          <w:sz w:val="16"/>
          <w:szCs w:val="16"/>
        </w:rPr>
        <w:t> </w:t>
      </w:r>
      <w:r>
        <w:rPr>
          <w:rFonts w:ascii="Segoe UI" w:hAnsi="Segoe UI" w:cs="Segoe UI" w:eastAsia="Segoe UI"/>
          <w:color w:val="231F20"/>
          <w:sz w:val="16"/>
          <w:szCs w:val="16"/>
        </w:rPr>
        <w:t>Prime</w:t>
      </w:r>
      <w:r>
        <w:rPr>
          <w:rFonts w:ascii="Segoe UI" w:hAnsi="Segoe UI" w:cs="Segoe UI" w:eastAsia="Segoe UI"/>
          <w:color w:val="231F20"/>
          <w:spacing w:val="-3"/>
          <w:sz w:val="16"/>
          <w:szCs w:val="16"/>
        </w:rPr>
        <w:t> </w:t>
      </w:r>
      <w:r>
        <w:rPr>
          <w:rFonts w:ascii="Segoe UI" w:hAnsi="Segoe UI" w:cs="Segoe UI" w:eastAsia="Segoe UI"/>
          <w:color w:val="231F20"/>
          <w:sz w:val="16"/>
          <w:szCs w:val="16"/>
        </w:rPr>
        <w:t>Minister</w:t>
      </w:r>
      <w:r>
        <w:rPr>
          <w:rFonts w:ascii="Segoe UI" w:hAnsi="Segoe UI" w:cs="Segoe UI" w:eastAsia="Segoe UI"/>
          <w:color w:val="231F20"/>
          <w:spacing w:val="-5"/>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Cabinet,</w:t>
      </w:r>
      <w:r>
        <w:rPr>
          <w:rFonts w:ascii="Segoe UI" w:hAnsi="Segoe UI" w:cs="Segoe UI" w:eastAsia="Segoe UI"/>
          <w:color w:val="231F20"/>
          <w:spacing w:val="21"/>
          <w:w w:val="99"/>
          <w:sz w:val="16"/>
          <w:szCs w:val="16"/>
        </w:rPr>
        <w:t> </w:t>
      </w:r>
      <w:r>
        <w:rPr>
          <w:rFonts w:ascii="Segoe UI" w:hAnsi="Segoe UI" w:cs="Segoe UI" w:eastAsia="Segoe UI"/>
          <w:color w:val="231F20"/>
          <w:spacing w:val="-1"/>
          <w:sz w:val="16"/>
          <w:szCs w:val="16"/>
        </w:rPr>
        <w:t>2018,</w:t>
      </w:r>
      <w:r>
        <w:rPr>
          <w:rFonts w:ascii="Segoe UI" w:hAnsi="Segoe UI" w:cs="Segoe UI" w:eastAsia="Segoe UI"/>
          <w:color w:val="231F20"/>
          <w:spacing w:val="-3"/>
          <w:sz w:val="16"/>
          <w:szCs w:val="16"/>
        </w:rPr>
        <w:t> </w:t>
      </w:r>
      <w:r>
        <w:rPr>
          <w:rFonts w:ascii="Segoe UI" w:hAnsi="Segoe UI" w:cs="Segoe UI" w:eastAsia="Segoe UI"/>
          <w:color w:val="231F20"/>
          <w:sz w:val="16"/>
          <w:szCs w:val="16"/>
        </w:rPr>
        <w:t>p.</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64;</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Sources:</w:t>
      </w:r>
      <w:r>
        <w:rPr>
          <w:rFonts w:ascii="Segoe UI" w:hAnsi="Segoe UI" w:cs="Segoe UI" w:eastAsia="Segoe UI"/>
          <w:color w:val="231F20"/>
          <w:spacing w:val="-2"/>
          <w:sz w:val="16"/>
          <w:szCs w:val="16"/>
        </w:rPr>
        <w:t> </w:t>
      </w:r>
      <w:r>
        <w:rPr>
          <w:rFonts w:ascii="Segoe UI" w:hAnsi="Segoe UI" w:cs="Segoe UI" w:eastAsia="Segoe UI"/>
          <w:color w:val="231F20"/>
          <w:sz w:val="16"/>
          <w:szCs w:val="16"/>
        </w:rPr>
        <w:t>ABS</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Census</w:t>
      </w:r>
      <w:r>
        <w:rPr>
          <w:rFonts w:ascii="Segoe UI" w:hAnsi="Segoe UI" w:cs="Segoe UI" w:eastAsia="Segoe UI"/>
          <w:color w:val="231F20"/>
          <w:spacing w:val="-2"/>
          <w:sz w:val="16"/>
          <w:szCs w:val="16"/>
        </w:rPr>
        <w:t> </w:t>
      </w:r>
      <w:r>
        <w:rPr>
          <w:rFonts w:ascii="Segoe UI" w:hAnsi="Segoe UI" w:cs="Segoe UI" w:eastAsia="Segoe UI"/>
          <w:color w:val="231F20"/>
          <w:sz w:val="16"/>
          <w:szCs w:val="16"/>
        </w:rPr>
        <w:t>of</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Population</w:t>
      </w:r>
      <w:r>
        <w:rPr>
          <w:rFonts w:ascii="Segoe UI" w:hAnsi="Segoe UI" w:cs="Segoe UI" w:eastAsia="Segoe UI"/>
          <w:color w:val="231F20"/>
          <w:spacing w:val="29"/>
          <w:w w:val="99"/>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3"/>
          <w:sz w:val="16"/>
          <w:szCs w:val="16"/>
        </w:rPr>
        <w:t> </w:t>
      </w:r>
      <w:r>
        <w:rPr>
          <w:rFonts w:ascii="Segoe UI" w:hAnsi="Segoe UI" w:cs="Segoe UI" w:eastAsia="Segoe UI"/>
          <w:color w:val="231F20"/>
          <w:sz w:val="16"/>
          <w:szCs w:val="16"/>
        </w:rPr>
        <w:t>Housing</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2006, 2011 </w:t>
      </w:r>
      <w:r>
        <w:rPr>
          <w:rFonts w:ascii="Segoe UI" w:hAnsi="Segoe UI" w:cs="Segoe UI" w:eastAsia="Segoe UI"/>
          <w:color w:val="231F20"/>
          <w:sz w:val="16"/>
          <w:szCs w:val="16"/>
        </w:rPr>
        <w:t>and</w:t>
      </w:r>
      <w:r>
        <w:rPr>
          <w:rFonts w:ascii="Segoe UI" w:hAnsi="Segoe UI" w:cs="Segoe UI" w:eastAsia="Segoe UI"/>
          <w:color w:val="231F20"/>
          <w:spacing w:val="-2"/>
          <w:sz w:val="16"/>
          <w:szCs w:val="16"/>
        </w:rPr>
        <w:t> </w:t>
      </w:r>
      <w:r>
        <w:rPr>
          <w:rFonts w:ascii="Segoe UI" w:hAnsi="Segoe UI" w:cs="Segoe UI" w:eastAsia="Segoe UI"/>
          <w:color w:val="231F20"/>
          <w:sz w:val="16"/>
          <w:szCs w:val="16"/>
        </w:rPr>
        <w:t>2016</w:t>
      </w:r>
      <w:r>
        <w:rPr>
          <w:rFonts w:ascii="Segoe UI" w:hAnsi="Segoe UI" w:cs="Segoe UI" w:eastAsia="Segoe UI"/>
          <w:sz w:val="16"/>
          <w:szCs w:val="16"/>
        </w:rPr>
      </w:r>
    </w:p>
    <w:p>
      <w:pPr>
        <w:numPr>
          <w:ilvl w:val="0"/>
          <w:numId w:val="9"/>
        </w:numPr>
        <w:tabs>
          <w:tab w:pos="685" w:val="left" w:leader="none"/>
        </w:tabs>
        <w:spacing w:before="100"/>
        <w:ind w:left="684" w:right="0" w:hanging="567"/>
        <w:jc w:val="left"/>
        <w:rPr>
          <w:rFonts w:ascii="Segoe UI" w:hAnsi="Segoe UI" w:cs="Segoe UI" w:eastAsia="Segoe UI"/>
          <w:sz w:val="16"/>
          <w:szCs w:val="16"/>
        </w:rPr>
      </w:pPr>
      <w:r>
        <w:rPr>
          <w:rFonts w:ascii="Segoe UI"/>
          <w:color w:val="231F20"/>
          <w:spacing w:val="-2"/>
          <w:sz w:val="16"/>
        </w:rPr>
        <w:t>Study</w:t>
      </w:r>
      <w:r>
        <w:rPr>
          <w:rFonts w:ascii="Segoe UI"/>
          <w:color w:val="231F20"/>
          <w:spacing w:val="-6"/>
          <w:sz w:val="16"/>
        </w:rPr>
        <w:t> </w:t>
      </w:r>
      <w:r>
        <w:rPr>
          <w:rFonts w:ascii="Segoe UI"/>
          <w:color w:val="231F20"/>
          <w:spacing w:val="-1"/>
          <w:sz w:val="16"/>
        </w:rPr>
        <w:t>Away</w:t>
      </w:r>
      <w:r>
        <w:rPr>
          <w:rFonts w:ascii="Segoe UI"/>
          <w:color w:val="231F20"/>
          <w:spacing w:val="-6"/>
          <w:sz w:val="16"/>
        </w:rPr>
        <w:t> </w:t>
      </w:r>
      <w:r>
        <w:rPr>
          <w:rFonts w:ascii="Segoe UI"/>
          <w:color w:val="231F20"/>
          <w:spacing w:val="-1"/>
          <w:sz w:val="16"/>
        </w:rPr>
        <w:t>Review</w:t>
      </w:r>
      <w:r>
        <w:rPr>
          <w:rFonts w:ascii="Segoe UI"/>
          <w:sz w:val="16"/>
        </w:rPr>
      </w:r>
    </w:p>
    <w:p>
      <w:pPr>
        <w:tabs>
          <w:tab w:pos="684" w:val="left" w:leader="none"/>
        </w:tabs>
        <w:spacing w:before="100"/>
        <w:ind w:left="117" w:right="0" w:firstLine="0"/>
        <w:jc w:val="left"/>
        <w:rPr>
          <w:rFonts w:ascii="Segoe UI" w:hAnsi="Segoe UI" w:cs="Segoe UI" w:eastAsia="Segoe UI"/>
          <w:sz w:val="16"/>
          <w:szCs w:val="16"/>
        </w:rPr>
      </w:pPr>
      <w:r>
        <w:rPr>
          <w:rFonts w:ascii="Segoe UI"/>
          <w:color w:val="231F20"/>
          <w:sz w:val="16"/>
        </w:rPr>
        <w:t>37</w:t>
        <w:tab/>
      </w:r>
      <w:r>
        <w:rPr>
          <w:rFonts w:ascii="Segoe UI"/>
          <w:color w:val="231F20"/>
          <w:spacing w:val="-1"/>
          <w:sz w:val="16"/>
        </w:rPr>
        <w:t>KPMG,</w:t>
      </w:r>
      <w:r>
        <w:rPr>
          <w:rFonts w:ascii="Segoe UI"/>
          <w:color w:val="231F20"/>
          <w:spacing w:val="-2"/>
          <w:sz w:val="16"/>
        </w:rPr>
        <w:t> </w:t>
      </w:r>
      <w:r>
        <w:rPr>
          <w:rFonts w:ascii="Segoe UI"/>
          <w:color w:val="231F20"/>
          <w:spacing w:val="-1"/>
          <w:sz w:val="16"/>
        </w:rPr>
        <w:t>2016,</w:t>
      </w:r>
      <w:r>
        <w:rPr>
          <w:rFonts w:ascii="Segoe UI"/>
          <w:color w:val="231F20"/>
          <w:spacing w:val="-2"/>
          <w:sz w:val="16"/>
        </w:rPr>
        <w:t> </w:t>
      </w:r>
      <w:r>
        <w:rPr>
          <w:rFonts w:ascii="Segoe UI"/>
          <w:color w:val="231F20"/>
          <w:sz w:val="16"/>
        </w:rPr>
        <w:t>p.</w:t>
      </w:r>
      <w:r>
        <w:rPr>
          <w:rFonts w:ascii="Segoe UI"/>
          <w:color w:val="231F20"/>
          <w:spacing w:val="-2"/>
          <w:sz w:val="16"/>
        </w:rPr>
        <w:t> </w:t>
      </w:r>
      <w:r>
        <w:rPr>
          <w:rFonts w:ascii="Segoe UI"/>
          <w:color w:val="231F20"/>
          <w:sz w:val="16"/>
        </w:rPr>
        <w:t>13</w:t>
      </w:r>
      <w:r>
        <w:rPr>
          <w:rFonts w:ascii="Segoe UI"/>
          <w:sz w:val="16"/>
        </w:rPr>
      </w:r>
    </w:p>
    <w:p>
      <w:pPr>
        <w:numPr>
          <w:ilvl w:val="0"/>
          <w:numId w:val="10"/>
        </w:numPr>
        <w:tabs>
          <w:tab w:pos="685" w:val="left" w:leader="none"/>
        </w:tabs>
        <w:spacing w:line="200" w:lineRule="exact" w:before="113"/>
        <w:ind w:left="684" w:right="308" w:hanging="567"/>
        <w:jc w:val="left"/>
        <w:rPr>
          <w:rFonts w:ascii="Segoe UI" w:hAnsi="Segoe UI" w:cs="Segoe UI" w:eastAsia="Segoe UI"/>
          <w:sz w:val="16"/>
          <w:szCs w:val="16"/>
        </w:rPr>
      </w:pPr>
      <w:r>
        <w:rPr>
          <w:rFonts w:ascii="Segoe UI"/>
          <w:color w:val="231F20"/>
          <w:spacing w:val="-1"/>
          <w:sz w:val="16"/>
        </w:rPr>
        <w:t>Barriers</w:t>
      </w:r>
      <w:r>
        <w:rPr>
          <w:rFonts w:ascii="Segoe UI"/>
          <w:color w:val="231F20"/>
          <w:spacing w:val="-6"/>
          <w:sz w:val="16"/>
        </w:rPr>
        <w:t> </w:t>
      </w:r>
      <w:r>
        <w:rPr>
          <w:rFonts w:ascii="Segoe UI"/>
          <w:color w:val="231F20"/>
          <w:sz w:val="16"/>
        </w:rPr>
        <w:t>and</w:t>
      </w:r>
      <w:r>
        <w:rPr>
          <w:rFonts w:ascii="Segoe UI"/>
          <w:color w:val="231F20"/>
          <w:spacing w:val="-6"/>
          <w:sz w:val="16"/>
        </w:rPr>
        <w:t> </w:t>
      </w:r>
      <w:r>
        <w:rPr>
          <w:rFonts w:ascii="Segoe UI"/>
          <w:color w:val="231F20"/>
          <w:spacing w:val="-1"/>
          <w:sz w:val="16"/>
        </w:rPr>
        <w:t>Bureaucracy,</w:t>
      </w:r>
      <w:r>
        <w:rPr>
          <w:rFonts w:ascii="Segoe UI"/>
          <w:color w:val="231F20"/>
          <w:spacing w:val="-4"/>
          <w:sz w:val="16"/>
        </w:rPr>
        <w:t> </w:t>
      </w:r>
      <w:r>
        <w:rPr>
          <w:rFonts w:ascii="Segoe UI"/>
          <w:color w:val="231F20"/>
          <w:spacing w:val="-1"/>
          <w:sz w:val="16"/>
        </w:rPr>
        <w:t>Bridges</w:t>
      </w:r>
      <w:r>
        <w:rPr>
          <w:rFonts w:ascii="Segoe UI"/>
          <w:color w:val="231F20"/>
          <w:spacing w:val="-6"/>
          <w:sz w:val="16"/>
        </w:rPr>
        <w:t> </w:t>
      </w:r>
      <w:r>
        <w:rPr>
          <w:rFonts w:ascii="Segoe UI"/>
          <w:color w:val="231F20"/>
          <w:sz w:val="16"/>
        </w:rPr>
        <w:t>and</w:t>
      </w:r>
      <w:r>
        <w:rPr>
          <w:rFonts w:ascii="Segoe UI"/>
          <w:color w:val="231F20"/>
          <w:spacing w:val="-6"/>
          <w:sz w:val="16"/>
        </w:rPr>
        <w:t> </w:t>
      </w:r>
      <w:r>
        <w:rPr>
          <w:rFonts w:ascii="Segoe UI"/>
          <w:color w:val="231F20"/>
          <w:spacing w:val="-1"/>
          <w:sz w:val="16"/>
        </w:rPr>
        <w:t>Brokers,</w:t>
      </w:r>
      <w:r>
        <w:rPr>
          <w:rFonts w:ascii="Segoe UI"/>
          <w:color w:val="231F20"/>
          <w:spacing w:val="26"/>
          <w:w w:val="99"/>
          <w:sz w:val="16"/>
        </w:rPr>
        <w:t> </w:t>
      </w:r>
      <w:r>
        <w:rPr>
          <w:rFonts w:ascii="Segoe UI"/>
          <w:color w:val="231F20"/>
          <w:spacing w:val="-1"/>
          <w:sz w:val="16"/>
        </w:rPr>
        <w:t>Centre</w:t>
      </w:r>
      <w:r>
        <w:rPr>
          <w:rFonts w:ascii="Segoe UI"/>
          <w:color w:val="231F20"/>
          <w:spacing w:val="-6"/>
          <w:sz w:val="16"/>
        </w:rPr>
        <w:t> </w:t>
      </w:r>
      <w:r>
        <w:rPr>
          <w:rFonts w:ascii="Segoe UI"/>
          <w:color w:val="231F20"/>
          <w:sz w:val="16"/>
        </w:rPr>
        <w:t>for</w:t>
      </w:r>
      <w:r>
        <w:rPr>
          <w:rFonts w:ascii="Segoe UI"/>
          <w:color w:val="231F20"/>
          <w:spacing w:val="-5"/>
          <w:sz w:val="16"/>
        </w:rPr>
        <w:t> </w:t>
      </w:r>
      <w:r>
        <w:rPr>
          <w:rFonts w:ascii="Segoe UI"/>
          <w:color w:val="231F20"/>
          <w:sz w:val="16"/>
        </w:rPr>
        <w:t>Aboriginal</w:t>
      </w:r>
      <w:r>
        <w:rPr>
          <w:rFonts w:ascii="Segoe UI"/>
          <w:color w:val="231F20"/>
          <w:spacing w:val="-5"/>
          <w:sz w:val="16"/>
        </w:rPr>
        <w:t> </w:t>
      </w:r>
      <w:r>
        <w:rPr>
          <w:rFonts w:ascii="Segoe UI"/>
          <w:color w:val="231F20"/>
          <w:sz w:val="16"/>
        </w:rPr>
        <w:t>Economic</w:t>
      </w:r>
      <w:r>
        <w:rPr>
          <w:rFonts w:ascii="Segoe UI"/>
          <w:color w:val="231F20"/>
          <w:spacing w:val="-6"/>
          <w:sz w:val="16"/>
        </w:rPr>
        <w:t> </w:t>
      </w:r>
      <w:r>
        <w:rPr>
          <w:rFonts w:ascii="Segoe UI"/>
          <w:color w:val="231F20"/>
          <w:spacing w:val="-2"/>
          <w:sz w:val="16"/>
        </w:rPr>
        <w:t>Policy</w:t>
      </w:r>
      <w:r>
        <w:rPr>
          <w:rFonts w:ascii="Segoe UI"/>
          <w:color w:val="231F20"/>
          <w:spacing w:val="-7"/>
          <w:sz w:val="16"/>
        </w:rPr>
        <w:t> </w:t>
      </w:r>
      <w:r>
        <w:rPr>
          <w:rFonts w:ascii="Segoe UI"/>
          <w:color w:val="231F20"/>
          <w:spacing w:val="-1"/>
          <w:sz w:val="16"/>
        </w:rPr>
        <w:t>Research</w:t>
      </w:r>
      <w:r>
        <w:rPr>
          <w:rFonts w:ascii="Segoe UI"/>
          <w:color w:val="231F20"/>
          <w:spacing w:val="30"/>
          <w:w w:val="99"/>
          <w:sz w:val="16"/>
        </w:rPr>
        <w:t> </w:t>
      </w:r>
      <w:r>
        <w:rPr>
          <w:rFonts w:ascii="Segoe UI"/>
          <w:color w:val="231F20"/>
          <w:sz w:val="16"/>
        </w:rPr>
        <w:t>for</w:t>
      </w:r>
      <w:r>
        <w:rPr>
          <w:rFonts w:ascii="Segoe UI"/>
          <w:color w:val="231F20"/>
          <w:spacing w:val="-4"/>
          <w:sz w:val="16"/>
        </w:rPr>
        <w:t> </w:t>
      </w:r>
      <w:r>
        <w:rPr>
          <w:rFonts w:ascii="Segoe UI"/>
          <w:color w:val="231F20"/>
          <w:sz w:val="16"/>
        </w:rPr>
        <w:t>the</w:t>
      </w:r>
      <w:r>
        <w:rPr>
          <w:rFonts w:ascii="Segoe UI"/>
          <w:color w:val="231F20"/>
          <w:spacing w:val="-4"/>
          <w:sz w:val="16"/>
        </w:rPr>
        <w:t> </w:t>
      </w:r>
      <w:r>
        <w:rPr>
          <w:rFonts w:ascii="Segoe UI"/>
          <w:color w:val="231F20"/>
          <w:spacing w:val="-1"/>
          <w:sz w:val="16"/>
        </w:rPr>
        <w:t>Independent</w:t>
      </w:r>
      <w:r>
        <w:rPr>
          <w:rFonts w:ascii="Segoe UI"/>
          <w:color w:val="231F20"/>
          <w:spacing w:val="-4"/>
          <w:sz w:val="16"/>
        </w:rPr>
        <w:t> </w:t>
      </w:r>
      <w:r>
        <w:rPr>
          <w:rFonts w:ascii="Segoe UI"/>
          <w:color w:val="231F20"/>
          <w:spacing w:val="-1"/>
          <w:sz w:val="16"/>
        </w:rPr>
        <w:t>Schools</w:t>
      </w:r>
      <w:r>
        <w:rPr>
          <w:rFonts w:ascii="Segoe UI"/>
          <w:color w:val="231F20"/>
          <w:spacing w:val="-4"/>
          <w:sz w:val="16"/>
        </w:rPr>
        <w:t> </w:t>
      </w:r>
      <w:r>
        <w:rPr>
          <w:rFonts w:ascii="Segoe UI"/>
          <w:color w:val="231F20"/>
          <w:spacing w:val="-1"/>
          <w:sz w:val="16"/>
        </w:rPr>
        <w:t>Council</w:t>
      </w:r>
      <w:r>
        <w:rPr>
          <w:rFonts w:ascii="Segoe UI"/>
          <w:color w:val="231F20"/>
          <w:spacing w:val="-3"/>
          <w:sz w:val="16"/>
        </w:rPr>
        <w:t> </w:t>
      </w:r>
      <w:r>
        <w:rPr>
          <w:rFonts w:ascii="Segoe UI"/>
          <w:color w:val="231F20"/>
          <w:sz w:val="16"/>
        </w:rPr>
        <w:t>of</w:t>
      </w:r>
      <w:r>
        <w:rPr>
          <w:rFonts w:ascii="Segoe UI"/>
          <w:color w:val="231F20"/>
          <w:spacing w:val="-4"/>
          <w:sz w:val="16"/>
        </w:rPr>
        <w:t> </w:t>
      </w:r>
      <w:r>
        <w:rPr>
          <w:rFonts w:ascii="Segoe UI"/>
          <w:color w:val="231F20"/>
          <w:sz w:val="16"/>
        </w:rPr>
        <w:t>Australia,</w:t>
      </w:r>
      <w:r>
        <w:rPr>
          <w:rFonts w:ascii="Segoe UI"/>
          <w:color w:val="231F20"/>
          <w:spacing w:val="24"/>
          <w:w w:val="99"/>
          <w:sz w:val="16"/>
        </w:rPr>
        <w:t> </w:t>
      </w:r>
      <w:r>
        <w:rPr>
          <w:rFonts w:ascii="Segoe UI"/>
          <w:color w:val="231F20"/>
          <w:spacing w:val="-1"/>
          <w:sz w:val="16"/>
        </w:rPr>
        <w:t>2017, </w:t>
      </w:r>
      <w:r>
        <w:rPr>
          <w:rFonts w:ascii="Segoe UI"/>
          <w:color w:val="231F20"/>
          <w:sz w:val="16"/>
        </w:rPr>
        <w:t>p.</w:t>
      </w:r>
      <w:r>
        <w:rPr>
          <w:rFonts w:ascii="Segoe UI"/>
          <w:color w:val="231F20"/>
          <w:spacing w:val="-1"/>
          <w:sz w:val="16"/>
        </w:rPr>
        <w:t> </w:t>
      </w:r>
      <w:r>
        <w:rPr>
          <w:rFonts w:ascii="Segoe UI"/>
          <w:color w:val="231F20"/>
          <w:sz w:val="16"/>
        </w:rPr>
        <w:t>1</w:t>
      </w:r>
      <w:r>
        <w:rPr>
          <w:rFonts w:ascii="Segoe UI"/>
          <w:sz w:val="16"/>
        </w:rPr>
      </w:r>
    </w:p>
    <w:p>
      <w:pPr>
        <w:numPr>
          <w:ilvl w:val="0"/>
          <w:numId w:val="10"/>
        </w:numPr>
        <w:tabs>
          <w:tab w:pos="685" w:val="left" w:leader="none"/>
        </w:tabs>
        <w:spacing w:line="200" w:lineRule="exact" w:before="113"/>
        <w:ind w:left="684" w:right="439" w:hanging="567"/>
        <w:jc w:val="left"/>
        <w:rPr>
          <w:rFonts w:ascii="Segoe UI" w:hAnsi="Segoe UI" w:cs="Segoe UI" w:eastAsia="Segoe UI"/>
          <w:sz w:val="16"/>
          <w:szCs w:val="16"/>
        </w:rPr>
      </w:pPr>
      <w:r>
        <w:rPr>
          <w:rFonts w:ascii="Segoe UI"/>
          <w:color w:val="231F20"/>
          <w:spacing w:val="-1"/>
          <w:sz w:val="16"/>
        </w:rPr>
        <w:t>Shalom</w:t>
      </w:r>
      <w:r>
        <w:rPr>
          <w:rFonts w:ascii="Segoe UI"/>
          <w:color w:val="231F20"/>
          <w:spacing w:val="-2"/>
          <w:sz w:val="16"/>
        </w:rPr>
        <w:t> </w:t>
      </w:r>
      <w:r>
        <w:rPr>
          <w:rFonts w:ascii="Segoe UI"/>
          <w:color w:val="231F20"/>
          <w:spacing w:val="-1"/>
          <w:sz w:val="16"/>
        </w:rPr>
        <w:t>Christian</w:t>
      </w:r>
      <w:r>
        <w:rPr>
          <w:rFonts w:ascii="Segoe UI"/>
          <w:color w:val="231F20"/>
          <w:spacing w:val="-2"/>
          <w:sz w:val="16"/>
        </w:rPr>
        <w:t> </w:t>
      </w:r>
      <w:r>
        <w:rPr>
          <w:rFonts w:ascii="Segoe UI"/>
          <w:color w:val="231F20"/>
          <w:spacing w:val="-1"/>
          <w:sz w:val="16"/>
        </w:rPr>
        <w:t>College</w:t>
      </w:r>
      <w:r>
        <w:rPr>
          <w:rFonts w:ascii="Segoe UI"/>
          <w:color w:val="231F20"/>
          <w:spacing w:val="-2"/>
          <w:sz w:val="16"/>
        </w:rPr>
        <w:t> </w:t>
      </w:r>
      <w:r>
        <w:rPr>
          <w:rFonts w:ascii="Segoe UI"/>
          <w:color w:val="231F20"/>
          <w:spacing w:val="-1"/>
          <w:sz w:val="16"/>
        </w:rPr>
        <w:t>in </w:t>
      </w:r>
      <w:r>
        <w:rPr>
          <w:rFonts w:ascii="Segoe UI"/>
          <w:color w:val="231F20"/>
          <w:spacing w:val="-2"/>
          <w:sz w:val="16"/>
        </w:rPr>
        <w:t>Townsville,</w:t>
      </w:r>
      <w:r>
        <w:rPr>
          <w:rFonts w:ascii="Segoe UI"/>
          <w:color w:val="231F20"/>
          <w:spacing w:val="21"/>
          <w:sz w:val="16"/>
        </w:rPr>
        <w:t> </w:t>
      </w:r>
      <w:r>
        <w:rPr>
          <w:rFonts w:ascii="Segoe UI"/>
          <w:color w:val="231F20"/>
          <w:sz w:val="16"/>
        </w:rPr>
        <w:t>Queensland</w:t>
      </w:r>
      <w:r>
        <w:rPr>
          <w:rFonts w:ascii="Segoe UI"/>
          <w:color w:val="231F20"/>
          <w:spacing w:val="-7"/>
          <w:sz w:val="16"/>
        </w:rPr>
        <w:t> </w:t>
      </w:r>
      <w:r>
        <w:rPr>
          <w:rFonts w:ascii="Segoe UI"/>
          <w:color w:val="231F20"/>
          <w:sz w:val="16"/>
        </w:rPr>
        <w:t>was</w:t>
      </w:r>
      <w:r>
        <w:rPr>
          <w:rFonts w:ascii="Segoe UI"/>
          <w:color w:val="231F20"/>
          <w:spacing w:val="-7"/>
          <w:sz w:val="16"/>
        </w:rPr>
        <w:t> </w:t>
      </w:r>
      <w:r>
        <w:rPr>
          <w:rFonts w:ascii="Segoe UI"/>
          <w:color w:val="231F20"/>
          <w:sz w:val="16"/>
        </w:rPr>
        <w:t>originally</w:t>
      </w:r>
      <w:r>
        <w:rPr>
          <w:rFonts w:ascii="Segoe UI"/>
          <w:color w:val="231F20"/>
          <w:spacing w:val="-7"/>
          <w:sz w:val="16"/>
        </w:rPr>
        <w:t> </w:t>
      </w:r>
      <w:r>
        <w:rPr>
          <w:rFonts w:ascii="Segoe UI"/>
          <w:color w:val="231F20"/>
          <w:spacing w:val="-1"/>
          <w:sz w:val="16"/>
        </w:rPr>
        <w:t>included</w:t>
      </w:r>
      <w:r>
        <w:rPr>
          <w:rFonts w:ascii="Segoe UI"/>
          <w:color w:val="231F20"/>
          <w:spacing w:val="-5"/>
          <w:sz w:val="16"/>
        </w:rPr>
        <w:t> </w:t>
      </w:r>
      <w:r>
        <w:rPr>
          <w:rFonts w:ascii="Segoe UI"/>
          <w:color w:val="231F20"/>
          <w:sz w:val="16"/>
        </w:rPr>
        <w:t>but</w:t>
      </w:r>
      <w:r>
        <w:rPr>
          <w:rFonts w:ascii="Segoe UI"/>
          <w:color w:val="231F20"/>
          <w:spacing w:val="-6"/>
          <w:sz w:val="16"/>
        </w:rPr>
        <w:t> </w:t>
      </w:r>
      <w:r>
        <w:rPr>
          <w:rFonts w:ascii="Segoe UI"/>
          <w:color w:val="231F20"/>
          <w:sz w:val="16"/>
        </w:rPr>
        <w:t>was</w:t>
      </w:r>
      <w:r>
        <w:rPr>
          <w:rFonts w:ascii="Segoe UI"/>
          <w:color w:val="231F20"/>
          <w:spacing w:val="22"/>
          <w:w w:val="99"/>
          <w:sz w:val="16"/>
        </w:rPr>
        <w:t> </w:t>
      </w:r>
      <w:r>
        <w:rPr>
          <w:rFonts w:ascii="Segoe UI"/>
          <w:color w:val="231F20"/>
          <w:sz w:val="16"/>
        </w:rPr>
        <w:t>excluded</w:t>
      </w:r>
      <w:r>
        <w:rPr>
          <w:rFonts w:ascii="Segoe UI"/>
          <w:color w:val="231F20"/>
          <w:spacing w:val="-6"/>
          <w:sz w:val="16"/>
        </w:rPr>
        <w:t> </w:t>
      </w:r>
      <w:r>
        <w:rPr>
          <w:rFonts w:ascii="Segoe UI"/>
          <w:color w:val="231F20"/>
          <w:sz w:val="16"/>
        </w:rPr>
        <w:t>as</w:t>
      </w:r>
      <w:r>
        <w:rPr>
          <w:rFonts w:ascii="Segoe UI"/>
          <w:color w:val="231F20"/>
          <w:spacing w:val="-5"/>
          <w:sz w:val="16"/>
        </w:rPr>
        <w:t> </w:t>
      </w:r>
      <w:r>
        <w:rPr>
          <w:rFonts w:ascii="Segoe UI"/>
          <w:color w:val="231F20"/>
          <w:spacing w:val="-1"/>
          <w:sz w:val="16"/>
        </w:rPr>
        <w:t>it</w:t>
      </w:r>
      <w:r>
        <w:rPr>
          <w:rFonts w:ascii="Segoe UI"/>
          <w:color w:val="231F20"/>
          <w:spacing w:val="-4"/>
          <w:sz w:val="16"/>
        </w:rPr>
        <w:t> </w:t>
      </w:r>
      <w:r>
        <w:rPr>
          <w:rFonts w:ascii="Segoe UI"/>
          <w:color w:val="231F20"/>
          <w:sz w:val="16"/>
        </w:rPr>
        <w:t>ceased</w:t>
      </w:r>
      <w:r>
        <w:rPr>
          <w:rFonts w:ascii="Segoe UI"/>
          <w:color w:val="231F20"/>
          <w:spacing w:val="-5"/>
          <w:sz w:val="16"/>
        </w:rPr>
        <w:t> </w:t>
      </w:r>
      <w:r>
        <w:rPr>
          <w:rFonts w:ascii="Segoe UI"/>
          <w:color w:val="231F20"/>
          <w:spacing w:val="-1"/>
          <w:sz w:val="16"/>
        </w:rPr>
        <w:t>its</w:t>
      </w:r>
      <w:r>
        <w:rPr>
          <w:rFonts w:ascii="Segoe UI"/>
          <w:color w:val="231F20"/>
          <w:spacing w:val="-4"/>
          <w:sz w:val="16"/>
        </w:rPr>
        <w:t> </w:t>
      </w:r>
      <w:r>
        <w:rPr>
          <w:rFonts w:ascii="Segoe UI"/>
          <w:color w:val="231F20"/>
          <w:sz w:val="16"/>
        </w:rPr>
        <w:t>boarding</w:t>
      </w:r>
      <w:r>
        <w:rPr>
          <w:rFonts w:ascii="Segoe UI"/>
          <w:color w:val="231F20"/>
          <w:spacing w:val="-6"/>
          <w:sz w:val="16"/>
        </w:rPr>
        <w:t> </w:t>
      </w:r>
      <w:r>
        <w:rPr>
          <w:rFonts w:ascii="Segoe UI"/>
          <w:color w:val="231F20"/>
          <w:sz w:val="16"/>
        </w:rPr>
        <w:t>operations</w:t>
      </w:r>
      <w:r>
        <w:rPr>
          <w:rFonts w:ascii="Segoe UI"/>
          <w:color w:val="231F20"/>
          <w:w w:val="99"/>
          <w:sz w:val="16"/>
        </w:rPr>
        <w:t> </w:t>
      </w:r>
      <w:r>
        <w:rPr>
          <w:rFonts w:ascii="Segoe UI"/>
          <w:color w:val="231F20"/>
          <w:spacing w:val="22"/>
          <w:w w:val="99"/>
          <w:sz w:val="16"/>
        </w:rPr>
        <w:t> </w:t>
      </w:r>
      <w:r>
        <w:rPr>
          <w:rFonts w:ascii="Segoe UI"/>
          <w:color w:val="231F20"/>
          <w:spacing w:val="-1"/>
          <w:sz w:val="16"/>
        </w:rPr>
        <w:t>in</w:t>
      </w:r>
      <w:r>
        <w:rPr>
          <w:rFonts w:ascii="Segoe UI"/>
          <w:color w:val="231F20"/>
          <w:spacing w:val="-4"/>
          <w:sz w:val="16"/>
        </w:rPr>
        <w:t> </w:t>
      </w:r>
      <w:r>
        <w:rPr>
          <w:rFonts w:ascii="Segoe UI"/>
          <w:color w:val="231F20"/>
          <w:spacing w:val="-1"/>
          <w:sz w:val="16"/>
        </w:rPr>
        <w:t>2017.</w:t>
      </w:r>
      <w:r>
        <w:rPr>
          <w:rFonts w:ascii="Segoe UI"/>
          <w:color w:val="231F20"/>
          <w:spacing w:val="-3"/>
          <w:sz w:val="16"/>
        </w:rPr>
        <w:t> </w:t>
      </w:r>
      <w:r>
        <w:rPr>
          <w:rFonts w:ascii="Segoe UI"/>
          <w:color w:val="231F20"/>
          <w:sz w:val="16"/>
        </w:rPr>
        <w:t>Additionally,</w:t>
      </w:r>
      <w:r>
        <w:rPr>
          <w:rFonts w:ascii="Segoe UI"/>
          <w:color w:val="231F20"/>
          <w:spacing w:val="-4"/>
          <w:sz w:val="16"/>
        </w:rPr>
        <w:t> </w:t>
      </w:r>
      <w:r>
        <w:rPr>
          <w:rFonts w:ascii="Segoe UI"/>
          <w:color w:val="231F20"/>
          <w:sz w:val="16"/>
        </w:rPr>
        <w:t>eight</w:t>
      </w:r>
      <w:r>
        <w:rPr>
          <w:rFonts w:ascii="Segoe UI"/>
          <w:color w:val="231F20"/>
          <w:spacing w:val="-4"/>
          <w:sz w:val="16"/>
        </w:rPr>
        <w:t> </w:t>
      </w:r>
      <w:r>
        <w:rPr>
          <w:rFonts w:ascii="Segoe UI"/>
          <w:color w:val="231F20"/>
          <w:sz w:val="16"/>
        </w:rPr>
        <w:t>hostels</w:t>
      </w:r>
      <w:r>
        <w:rPr>
          <w:rFonts w:ascii="Segoe UI"/>
          <w:color w:val="231F20"/>
          <w:spacing w:val="-5"/>
          <w:sz w:val="16"/>
        </w:rPr>
        <w:t> </w:t>
      </w:r>
      <w:r>
        <w:rPr>
          <w:rFonts w:ascii="Segoe UI"/>
          <w:color w:val="231F20"/>
          <w:sz w:val="16"/>
        </w:rPr>
        <w:t>operated</w:t>
      </w:r>
      <w:r>
        <w:rPr>
          <w:rFonts w:ascii="Segoe UI"/>
          <w:color w:val="231F20"/>
          <w:spacing w:val="-3"/>
          <w:sz w:val="16"/>
        </w:rPr>
        <w:t> </w:t>
      </w:r>
      <w:r>
        <w:rPr>
          <w:rFonts w:ascii="Segoe UI"/>
          <w:color w:val="231F20"/>
          <w:sz w:val="16"/>
        </w:rPr>
        <w:t>by</w:t>
      </w:r>
      <w:r>
        <w:rPr>
          <w:rFonts w:ascii="Segoe UI"/>
          <w:sz w:val="16"/>
        </w:rPr>
      </w:r>
    </w:p>
    <w:p>
      <w:pPr>
        <w:spacing w:line="200" w:lineRule="exact" w:before="0"/>
        <w:ind w:left="684" w:right="219" w:firstLine="0"/>
        <w:jc w:val="left"/>
        <w:rPr>
          <w:rFonts w:ascii="Segoe UI" w:hAnsi="Segoe UI" w:cs="Segoe UI" w:eastAsia="Segoe UI"/>
          <w:sz w:val="16"/>
          <w:szCs w:val="16"/>
        </w:rPr>
      </w:pPr>
      <w:r>
        <w:rPr>
          <w:rFonts w:ascii="Segoe UI"/>
          <w:color w:val="231F20"/>
          <w:sz w:val="16"/>
        </w:rPr>
        <w:t>Aboriginal</w:t>
      </w:r>
      <w:r>
        <w:rPr>
          <w:rFonts w:ascii="Segoe UI"/>
          <w:color w:val="231F20"/>
          <w:spacing w:val="-3"/>
          <w:sz w:val="16"/>
        </w:rPr>
        <w:t> </w:t>
      </w:r>
      <w:r>
        <w:rPr>
          <w:rFonts w:ascii="Segoe UI"/>
          <w:color w:val="231F20"/>
          <w:sz w:val="16"/>
        </w:rPr>
        <w:t>Hostels</w:t>
      </w:r>
      <w:r>
        <w:rPr>
          <w:rFonts w:ascii="Segoe UI"/>
          <w:color w:val="231F20"/>
          <w:spacing w:val="-3"/>
          <w:sz w:val="16"/>
        </w:rPr>
        <w:t> </w:t>
      </w:r>
      <w:r>
        <w:rPr>
          <w:rFonts w:ascii="Segoe UI"/>
          <w:color w:val="231F20"/>
          <w:sz w:val="16"/>
        </w:rPr>
        <w:t>Limited</w:t>
      </w:r>
      <w:r>
        <w:rPr>
          <w:rFonts w:ascii="Segoe UI"/>
          <w:color w:val="231F20"/>
          <w:spacing w:val="-4"/>
          <w:sz w:val="16"/>
        </w:rPr>
        <w:t> </w:t>
      </w:r>
      <w:r>
        <w:rPr>
          <w:rFonts w:ascii="Segoe UI"/>
          <w:color w:val="231F20"/>
          <w:sz w:val="16"/>
        </w:rPr>
        <w:t>(AHL)</w:t>
      </w:r>
      <w:r>
        <w:rPr>
          <w:rFonts w:ascii="Segoe UI"/>
          <w:color w:val="231F20"/>
          <w:spacing w:val="-3"/>
          <w:sz w:val="16"/>
        </w:rPr>
        <w:t> </w:t>
      </w:r>
      <w:r>
        <w:rPr>
          <w:rFonts w:ascii="Segoe UI"/>
          <w:color w:val="231F20"/>
          <w:sz w:val="16"/>
        </w:rPr>
        <w:t>were</w:t>
      </w:r>
      <w:r>
        <w:rPr>
          <w:rFonts w:ascii="Segoe UI"/>
          <w:color w:val="231F20"/>
          <w:spacing w:val="-4"/>
          <w:sz w:val="16"/>
        </w:rPr>
        <w:t> </w:t>
      </w:r>
      <w:r>
        <w:rPr>
          <w:rFonts w:ascii="Segoe UI"/>
          <w:color w:val="231F20"/>
          <w:sz w:val="16"/>
        </w:rPr>
        <w:t>also</w:t>
      </w:r>
      <w:r>
        <w:rPr>
          <w:rFonts w:ascii="Segoe UI"/>
          <w:color w:val="231F20"/>
          <w:spacing w:val="-3"/>
          <w:sz w:val="16"/>
        </w:rPr>
        <w:t> </w:t>
      </w:r>
      <w:r>
        <w:rPr>
          <w:rFonts w:ascii="Segoe UI"/>
          <w:color w:val="231F20"/>
          <w:spacing w:val="-1"/>
          <w:sz w:val="16"/>
        </w:rPr>
        <w:t>initially</w:t>
      </w:r>
      <w:r>
        <w:rPr>
          <w:rFonts w:ascii="Segoe UI"/>
          <w:color w:val="231F20"/>
          <w:spacing w:val="20"/>
          <w:sz w:val="16"/>
        </w:rPr>
        <w:t> </w:t>
      </w:r>
      <w:r>
        <w:rPr>
          <w:rFonts w:ascii="Segoe UI"/>
          <w:color w:val="231F20"/>
          <w:spacing w:val="-1"/>
          <w:sz w:val="16"/>
        </w:rPr>
        <w:t>included</w:t>
      </w:r>
      <w:r>
        <w:rPr>
          <w:rFonts w:ascii="Segoe UI"/>
          <w:color w:val="231F20"/>
          <w:spacing w:val="-5"/>
          <w:sz w:val="16"/>
        </w:rPr>
        <w:t> </w:t>
      </w:r>
      <w:r>
        <w:rPr>
          <w:rFonts w:ascii="Segoe UI"/>
          <w:color w:val="231F20"/>
          <w:sz w:val="16"/>
        </w:rPr>
        <w:t>but</w:t>
      </w:r>
      <w:r>
        <w:rPr>
          <w:rFonts w:ascii="Segoe UI"/>
          <w:color w:val="231F20"/>
          <w:spacing w:val="-4"/>
          <w:sz w:val="16"/>
        </w:rPr>
        <w:t> </w:t>
      </w:r>
      <w:r>
        <w:rPr>
          <w:rFonts w:ascii="Segoe UI"/>
          <w:color w:val="231F20"/>
          <w:sz w:val="16"/>
        </w:rPr>
        <w:t>AHL</w:t>
      </w:r>
      <w:r>
        <w:rPr>
          <w:rFonts w:ascii="Segoe UI"/>
          <w:color w:val="231F20"/>
          <w:spacing w:val="-4"/>
          <w:sz w:val="16"/>
        </w:rPr>
        <w:t> </w:t>
      </w:r>
      <w:r>
        <w:rPr>
          <w:rFonts w:ascii="Segoe UI"/>
          <w:color w:val="231F20"/>
          <w:sz w:val="16"/>
        </w:rPr>
        <w:t>advised</w:t>
      </w:r>
      <w:r>
        <w:rPr>
          <w:rFonts w:ascii="Segoe UI"/>
          <w:color w:val="231F20"/>
          <w:spacing w:val="-5"/>
          <w:sz w:val="16"/>
        </w:rPr>
        <w:t> </w:t>
      </w:r>
      <w:r>
        <w:rPr>
          <w:rFonts w:ascii="Segoe UI"/>
          <w:color w:val="231F20"/>
          <w:sz w:val="16"/>
        </w:rPr>
        <w:t>that</w:t>
      </w:r>
      <w:r>
        <w:rPr>
          <w:rFonts w:ascii="Segoe UI"/>
          <w:color w:val="231F20"/>
          <w:spacing w:val="-5"/>
          <w:sz w:val="16"/>
        </w:rPr>
        <w:t> </w:t>
      </w:r>
      <w:r>
        <w:rPr>
          <w:rFonts w:ascii="Segoe UI"/>
          <w:color w:val="231F20"/>
          <w:sz w:val="16"/>
        </w:rPr>
        <w:t>they</w:t>
      </w:r>
      <w:r>
        <w:rPr>
          <w:rFonts w:ascii="Segoe UI"/>
          <w:color w:val="231F20"/>
          <w:spacing w:val="-5"/>
          <w:sz w:val="16"/>
        </w:rPr>
        <w:t> </w:t>
      </w:r>
      <w:r>
        <w:rPr>
          <w:rFonts w:ascii="Segoe UI"/>
          <w:color w:val="231F20"/>
          <w:sz w:val="16"/>
        </w:rPr>
        <w:t>were</w:t>
      </w:r>
      <w:r>
        <w:rPr>
          <w:rFonts w:ascii="Segoe UI"/>
          <w:color w:val="231F20"/>
          <w:spacing w:val="-5"/>
          <w:sz w:val="16"/>
        </w:rPr>
        <w:t> </w:t>
      </w:r>
      <w:r>
        <w:rPr>
          <w:rFonts w:ascii="Segoe UI"/>
          <w:color w:val="231F20"/>
          <w:sz w:val="16"/>
        </w:rPr>
        <w:t>unable</w:t>
      </w:r>
      <w:r>
        <w:rPr>
          <w:rFonts w:ascii="Segoe UI"/>
          <w:color w:val="231F20"/>
          <w:spacing w:val="-4"/>
          <w:sz w:val="16"/>
        </w:rPr>
        <w:t> </w:t>
      </w:r>
      <w:r>
        <w:rPr>
          <w:rFonts w:ascii="Segoe UI"/>
          <w:color w:val="231F20"/>
          <w:spacing w:val="-4"/>
          <w:sz w:val="16"/>
        </w:rPr>
      </w:r>
      <w:r>
        <w:rPr>
          <w:rFonts w:ascii="Segoe UI"/>
          <w:color w:val="231F20"/>
          <w:sz w:val="16"/>
        </w:rPr>
        <w:t>to</w:t>
      </w:r>
      <w:r>
        <w:rPr>
          <w:rFonts w:ascii="Segoe UI"/>
          <w:color w:val="231F20"/>
          <w:spacing w:val="22"/>
          <w:sz w:val="16"/>
        </w:rPr>
        <w:t> </w:t>
      </w:r>
      <w:r>
        <w:rPr>
          <w:rFonts w:ascii="Segoe UI"/>
          <w:color w:val="231F20"/>
          <w:sz w:val="16"/>
        </w:rPr>
        <w:t>participate</w:t>
      </w:r>
      <w:r>
        <w:rPr>
          <w:rFonts w:ascii="Segoe UI"/>
          <w:color w:val="231F20"/>
          <w:spacing w:val="-5"/>
          <w:sz w:val="16"/>
        </w:rPr>
        <w:t> </w:t>
      </w:r>
      <w:r>
        <w:rPr>
          <w:rFonts w:ascii="Segoe UI"/>
          <w:color w:val="231F20"/>
          <w:sz w:val="16"/>
        </w:rPr>
        <w:t>and</w:t>
      </w:r>
      <w:r>
        <w:rPr>
          <w:rFonts w:ascii="Segoe UI"/>
          <w:color w:val="231F20"/>
          <w:spacing w:val="-5"/>
          <w:sz w:val="16"/>
        </w:rPr>
        <w:t> </w:t>
      </w:r>
      <w:r>
        <w:rPr>
          <w:rFonts w:ascii="Segoe UI"/>
          <w:color w:val="231F20"/>
          <w:sz w:val="16"/>
        </w:rPr>
        <w:t>were</w:t>
      </w:r>
      <w:r>
        <w:rPr>
          <w:rFonts w:ascii="Segoe UI"/>
          <w:color w:val="231F20"/>
          <w:spacing w:val="-5"/>
          <w:sz w:val="16"/>
        </w:rPr>
        <w:t> </w:t>
      </w:r>
      <w:r>
        <w:rPr>
          <w:rFonts w:ascii="Segoe UI"/>
          <w:color w:val="231F20"/>
          <w:sz w:val="16"/>
        </w:rPr>
        <w:t>also</w:t>
      </w:r>
      <w:r>
        <w:rPr>
          <w:rFonts w:ascii="Segoe UI"/>
          <w:color w:val="231F20"/>
          <w:spacing w:val="-5"/>
          <w:sz w:val="16"/>
        </w:rPr>
        <w:t> </w:t>
      </w:r>
      <w:r>
        <w:rPr>
          <w:rFonts w:ascii="Segoe UI"/>
          <w:color w:val="231F20"/>
          <w:sz w:val="16"/>
        </w:rPr>
        <w:t>excluded</w:t>
      </w:r>
      <w:r>
        <w:rPr>
          <w:rFonts w:ascii="Segoe UI"/>
          <w:color w:val="231F20"/>
          <w:spacing w:val="-5"/>
          <w:sz w:val="16"/>
        </w:rPr>
        <w:t> </w:t>
      </w:r>
      <w:r>
        <w:rPr>
          <w:rFonts w:ascii="Segoe UI"/>
          <w:color w:val="231F20"/>
          <w:sz w:val="16"/>
        </w:rPr>
        <w:t>from</w:t>
      </w:r>
      <w:r>
        <w:rPr>
          <w:rFonts w:ascii="Segoe UI"/>
          <w:color w:val="231F20"/>
          <w:spacing w:val="-4"/>
          <w:sz w:val="16"/>
        </w:rPr>
        <w:t> </w:t>
      </w:r>
      <w:r>
        <w:rPr>
          <w:rFonts w:ascii="Segoe UI"/>
          <w:color w:val="231F20"/>
          <w:sz w:val="16"/>
        </w:rPr>
        <w:t>this</w:t>
      </w:r>
      <w:r>
        <w:rPr>
          <w:rFonts w:ascii="Segoe UI"/>
          <w:color w:val="231F20"/>
          <w:sz w:val="16"/>
        </w:rPr>
        <w:t> report</w:t>
      </w:r>
      <w:r>
        <w:rPr>
          <w:rFonts w:ascii="Segoe UI"/>
          <w:sz w:val="16"/>
        </w:rPr>
      </w:r>
    </w:p>
    <w:p>
      <w:pPr>
        <w:numPr>
          <w:ilvl w:val="0"/>
          <w:numId w:val="10"/>
        </w:numPr>
        <w:tabs>
          <w:tab w:pos="685" w:val="left" w:leader="none"/>
        </w:tabs>
        <w:spacing w:line="200" w:lineRule="exact" w:before="113"/>
        <w:ind w:left="684" w:right="582" w:hanging="567"/>
        <w:jc w:val="left"/>
        <w:rPr>
          <w:rFonts w:ascii="Segoe UI" w:hAnsi="Segoe UI" w:cs="Segoe UI" w:eastAsia="Segoe UI"/>
          <w:sz w:val="16"/>
          <w:szCs w:val="16"/>
        </w:rPr>
      </w:pPr>
      <w:r>
        <w:rPr>
          <w:rFonts w:ascii="Segoe UI"/>
          <w:color w:val="231F20"/>
          <w:sz w:val="16"/>
        </w:rPr>
        <w:t>Northern</w:t>
      </w:r>
      <w:r>
        <w:rPr>
          <w:rFonts w:ascii="Segoe UI"/>
          <w:color w:val="231F20"/>
          <w:spacing w:val="-6"/>
          <w:sz w:val="16"/>
        </w:rPr>
        <w:t> </w:t>
      </w:r>
      <w:r>
        <w:rPr>
          <w:rFonts w:ascii="Segoe UI"/>
          <w:color w:val="231F20"/>
          <w:spacing w:val="-2"/>
          <w:sz w:val="16"/>
        </w:rPr>
        <w:t>Territory</w:t>
      </w:r>
      <w:r>
        <w:rPr>
          <w:rFonts w:ascii="Segoe UI"/>
          <w:color w:val="231F20"/>
          <w:spacing w:val="-6"/>
          <w:sz w:val="16"/>
        </w:rPr>
        <w:t> </w:t>
      </w:r>
      <w:r>
        <w:rPr>
          <w:rFonts w:ascii="Segoe UI"/>
          <w:color w:val="231F20"/>
          <w:spacing w:val="-1"/>
          <w:sz w:val="16"/>
        </w:rPr>
        <w:t>Christian</w:t>
      </w:r>
      <w:r>
        <w:rPr>
          <w:rFonts w:ascii="Segoe UI"/>
          <w:color w:val="231F20"/>
          <w:spacing w:val="-6"/>
          <w:sz w:val="16"/>
        </w:rPr>
        <w:t> </w:t>
      </w:r>
      <w:r>
        <w:rPr>
          <w:rFonts w:ascii="Segoe UI"/>
          <w:color w:val="231F20"/>
          <w:spacing w:val="-1"/>
          <w:sz w:val="16"/>
        </w:rPr>
        <w:t>College</w:t>
      </w:r>
      <w:r>
        <w:rPr>
          <w:rFonts w:ascii="Segoe UI"/>
          <w:color w:val="231F20"/>
          <w:spacing w:val="-6"/>
          <w:sz w:val="16"/>
        </w:rPr>
        <w:t> </w:t>
      </w:r>
      <w:r>
        <w:rPr>
          <w:rFonts w:ascii="Segoe UI"/>
          <w:color w:val="231F20"/>
          <w:spacing w:val="-3"/>
          <w:sz w:val="16"/>
        </w:rPr>
        <w:t>(NTCC)</w:t>
      </w:r>
      <w:r>
        <w:rPr>
          <w:rFonts w:ascii="Segoe UI"/>
          <w:color w:val="231F20"/>
          <w:spacing w:val="-1"/>
          <w:w w:val="99"/>
          <w:sz w:val="16"/>
        </w:rPr>
        <w:t> </w:t>
      </w:r>
      <w:r>
        <w:rPr>
          <w:rFonts w:ascii="Segoe UI"/>
          <w:color w:val="231F20"/>
          <w:spacing w:val="24"/>
          <w:w w:val="99"/>
          <w:sz w:val="16"/>
        </w:rPr>
        <w:t> </w:t>
      </w:r>
      <w:r>
        <w:rPr>
          <w:rFonts w:ascii="Segoe UI"/>
          <w:color w:val="231F20"/>
          <w:spacing w:val="-1"/>
          <w:sz w:val="16"/>
        </w:rPr>
        <w:t>is</w:t>
      </w:r>
      <w:r>
        <w:rPr>
          <w:rFonts w:ascii="Segoe UI"/>
          <w:color w:val="231F20"/>
          <w:spacing w:val="-6"/>
          <w:sz w:val="16"/>
        </w:rPr>
        <w:t> </w:t>
      </w:r>
      <w:r>
        <w:rPr>
          <w:rFonts w:ascii="Segoe UI"/>
          <w:color w:val="231F20"/>
          <w:sz w:val="16"/>
        </w:rPr>
        <w:t>closely</w:t>
      </w:r>
      <w:r>
        <w:rPr>
          <w:rFonts w:ascii="Segoe UI"/>
          <w:color w:val="231F20"/>
          <w:spacing w:val="-5"/>
          <w:sz w:val="16"/>
        </w:rPr>
        <w:t> </w:t>
      </w:r>
      <w:r>
        <w:rPr>
          <w:rFonts w:ascii="Segoe UI"/>
          <w:color w:val="231F20"/>
          <w:sz w:val="16"/>
        </w:rPr>
        <w:t>associated</w:t>
      </w:r>
      <w:r>
        <w:rPr>
          <w:rFonts w:ascii="Segoe UI"/>
          <w:color w:val="231F20"/>
          <w:spacing w:val="-6"/>
          <w:sz w:val="16"/>
        </w:rPr>
        <w:t> </w:t>
      </w:r>
      <w:r>
        <w:rPr>
          <w:rFonts w:ascii="Segoe UI"/>
          <w:color w:val="231F20"/>
          <w:sz w:val="16"/>
        </w:rPr>
        <w:t>with</w:t>
      </w:r>
      <w:r>
        <w:rPr>
          <w:rFonts w:ascii="Segoe UI"/>
          <w:color w:val="231F20"/>
          <w:spacing w:val="-5"/>
          <w:sz w:val="16"/>
        </w:rPr>
        <w:t> </w:t>
      </w:r>
      <w:r>
        <w:rPr>
          <w:rFonts w:ascii="Segoe UI"/>
          <w:color w:val="231F20"/>
          <w:sz w:val="16"/>
        </w:rPr>
        <w:t>Marrara</w:t>
      </w:r>
      <w:r>
        <w:rPr>
          <w:rFonts w:ascii="Segoe UI"/>
          <w:color w:val="231F20"/>
          <w:spacing w:val="-5"/>
          <w:sz w:val="16"/>
        </w:rPr>
        <w:t> </w:t>
      </w:r>
      <w:r>
        <w:rPr>
          <w:rFonts w:ascii="Segoe UI"/>
          <w:color w:val="231F20"/>
          <w:spacing w:val="-1"/>
          <w:sz w:val="16"/>
        </w:rPr>
        <w:t>Christian</w:t>
      </w:r>
      <w:r>
        <w:rPr>
          <w:rFonts w:ascii="Segoe UI"/>
          <w:color w:val="231F20"/>
          <w:spacing w:val="21"/>
          <w:w w:val="99"/>
          <w:sz w:val="16"/>
        </w:rPr>
        <w:t> </w:t>
      </w:r>
      <w:r>
        <w:rPr>
          <w:rFonts w:ascii="Segoe UI"/>
          <w:color w:val="231F20"/>
          <w:spacing w:val="-1"/>
          <w:sz w:val="16"/>
        </w:rPr>
        <w:t>College</w:t>
      </w:r>
      <w:r>
        <w:rPr>
          <w:rFonts w:ascii="Segoe UI"/>
          <w:color w:val="231F20"/>
          <w:spacing w:val="-2"/>
          <w:sz w:val="16"/>
        </w:rPr>
        <w:t> (MCC). MCC</w:t>
      </w:r>
      <w:r>
        <w:rPr>
          <w:rFonts w:ascii="Segoe UI"/>
          <w:color w:val="231F20"/>
          <w:spacing w:val="-3"/>
          <w:sz w:val="16"/>
        </w:rPr>
        <w:t> </w:t>
      </w:r>
      <w:r>
        <w:rPr>
          <w:rFonts w:ascii="Segoe UI"/>
          <w:color w:val="231F20"/>
          <w:sz w:val="16"/>
        </w:rPr>
        <w:t>owns</w:t>
      </w:r>
      <w:r>
        <w:rPr>
          <w:rFonts w:ascii="Segoe UI"/>
          <w:color w:val="231F20"/>
          <w:spacing w:val="-3"/>
          <w:sz w:val="16"/>
        </w:rPr>
        <w:t> </w:t>
      </w:r>
      <w:r>
        <w:rPr>
          <w:rFonts w:ascii="Segoe UI"/>
          <w:color w:val="231F20"/>
          <w:sz w:val="16"/>
        </w:rPr>
        <w:t>the</w:t>
      </w:r>
      <w:r>
        <w:rPr>
          <w:rFonts w:ascii="Segoe UI"/>
          <w:color w:val="231F20"/>
          <w:spacing w:val="-2"/>
          <w:sz w:val="16"/>
        </w:rPr>
        <w:t> </w:t>
      </w:r>
      <w:r>
        <w:rPr>
          <w:rFonts w:ascii="Segoe UI"/>
          <w:color w:val="231F20"/>
          <w:sz w:val="16"/>
        </w:rPr>
        <w:t>campus</w:t>
      </w:r>
      <w:r>
        <w:rPr>
          <w:rFonts w:ascii="Segoe UI"/>
          <w:color w:val="231F20"/>
          <w:spacing w:val="-3"/>
          <w:sz w:val="16"/>
        </w:rPr>
        <w:t> </w:t>
      </w:r>
      <w:r>
        <w:rPr>
          <w:rFonts w:ascii="Segoe UI"/>
          <w:color w:val="231F20"/>
          <w:sz w:val="16"/>
        </w:rPr>
        <w:t>assets</w:t>
      </w:r>
      <w:r>
        <w:rPr>
          <w:rFonts w:ascii="Segoe UI"/>
          <w:color w:val="231F20"/>
          <w:spacing w:val="28"/>
          <w:sz w:val="16"/>
        </w:rPr>
        <w:t> </w:t>
      </w:r>
      <w:r>
        <w:rPr>
          <w:rFonts w:ascii="Segoe UI"/>
          <w:color w:val="231F20"/>
          <w:sz w:val="16"/>
        </w:rPr>
        <w:t>and</w:t>
      </w:r>
      <w:r>
        <w:rPr>
          <w:rFonts w:ascii="Segoe UI"/>
          <w:color w:val="231F20"/>
          <w:spacing w:val="-6"/>
          <w:sz w:val="16"/>
        </w:rPr>
        <w:t> </w:t>
      </w:r>
      <w:r>
        <w:rPr>
          <w:rFonts w:ascii="Segoe UI"/>
          <w:color w:val="231F20"/>
          <w:sz w:val="16"/>
        </w:rPr>
        <w:t>conducts</w:t>
      </w:r>
      <w:r>
        <w:rPr>
          <w:rFonts w:ascii="Segoe UI"/>
          <w:color w:val="231F20"/>
          <w:spacing w:val="-5"/>
          <w:sz w:val="16"/>
        </w:rPr>
        <w:t> </w:t>
      </w:r>
      <w:r>
        <w:rPr>
          <w:rFonts w:ascii="Segoe UI"/>
          <w:color w:val="231F20"/>
          <w:sz w:val="16"/>
        </w:rPr>
        <w:t>classes</w:t>
      </w:r>
      <w:r>
        <w:rPr>
          <w:rFonts w:ascii="Segoe UI"/>
          <w:color w:val="231F20"/>
          <w:spacing w:val="-5"/>
          <w:sz w:val="16"/>
        </w:rPr>
        <w:t> </w:t>
      </w:r>
      <w:r>
        <w:rPr>
          <w:rFonts w:ascii="Segoe UI"/>
          <w:color w:val="231F20"/>
          <w:sz w:val="16"/>
        </w:rPr>
        <w:t>from</w:t>
      </w:r>
      <w:r>
        <w:rPr>
          <w:rFonts w:ascii="Segoe UI"/>
          <w:color w:val="231F20"/>
          <w:spacing w:val="-5"/>
          <w:sz w:val="16"/>
        </w:rPr>
        <w:t> </w:t>
      </w:r>
      <w:r>
        <w:rPr>
          <w:rFonts w:ascii="Segoe UI"/>
          <w:color w:val="231F20"/>
          <w:sz w:val="16"/>
        </w:rPr>
        <w:t>early</w:t>
      </w:r>
      <w:r>
        <w:rPr>
          <w:rFonts w:ascii="Segoe UI"/>
          <w:color w:val="231F20"/>
          <w:spacing w:val="-4"/>
          <w:sz w:val="16"/>
        </w:rPr>
        <w:t> </w:t>
      </w:r>
      <w:r>
        <w:rPr>
          <w:rFonts w:ascii="Segoe UI"/>
          <w:color w:val="231F20"/>
          <w:spacing w:val="-1"/>
          <w:sz w:val="16"/>
        </w:rPr>
        <w:t>learning</w:t>
      </w:r>
      <w:r>
        <w:rPr>
          <w:rFonts w:ascii="Segoe UI"/>
          <w:color w:val="231F20"/>
          <w:spacing w:val="20"/>
          <w:w w:val="99"/>
          <w:sz w:val="16"/>
        </w:rPr>
        <w:t> </w:t>
      </w:r>
      <w:r>
        <w:rPr>
          <w:rFonts w:ascii="Segoe UI"/>
          <w:color w:val="231F20"/>
          <w:sz w:val="16"/>
        </w:rPr>
        <w:t>through</w:t>
      </w:r>
      <w:r>
        <w:rPr>
          <w:rFonts w:ascii="Segoe UI"/>
          <w:color w:val="231F20"/>
          <w:spacing w:val="-4"/>
          <w:sz w:val="16"/>
        </w:rPr>
        <w:t> </w:t>
      </w:r>
      <w:r>
        <w:rPr>
          <w:rFonts w:ascii="Segoe UI"/>
          <w:color w:val="231F20"/>
          <w:sz w:val="16"/>
        </w:rPr>
        <w:t>to</w:t>
      </w:r>
      <w:r>
        <w:rPr>
          <w:rFonts w:ascii="Segoe UI"/>
          <w:color w:val="231F20"/>
          <w:spacing w:val="-2"/>
          <w:sz w:val="16"/>
        </w:rPr>
        <w:t> </w:t>
      </w:r>
      <w:r>
        <w:rPr>
          <w:rFonts w:ascii="Segoe UI"/>
          <w:color w:val="231F20"/>
          <w:sz w:val="16"/>
        </w:rPr>
        <w:t>grade</w:t>
      </w:r>
      <w:r>
        <w:rPr>
          <w:rFonts w:ascii="Segoe UI"/>
          <w:color w:val="231F20"/>
          <w:spacing w:val="-3"/>
          <w:sz w:val="16"/>
        </w:rPr>
        <w:t> </w:t>
      </w:r>
      <w:r>
        <w:rPr>
          <w:rFonts w:ascii="Segoe UI"/>
          <w:color w:val="231F20"/>
          <w:spacing w:val="-1"/>
          <w:sz w:val="16"/>
        </w:rPr>
        <w:t>10.</w:t>
      </w:r>
      <w:r>
        <w:rPr>
          <w:rFonts w:ascii="Segoe UI"/>
          <w:color w:val="231F20"/>
          <w:spacing w:val="-2"/>
          <w:sz w:val="16"/>
        </w:rPr>
        <w:t> </w:t>
      </w:r>
      <w:r>
        <w:rPr>
          <w:rFonts w:ascii="Segoe UI"/>
          <w:color w:val="231F20"/>
          <w:spacing w:val="-1"/>
          <w:sz w:val="16"/>
        </w:rPr>
        <w:t>It</w:t>
      </w:r>
      <w:r>
        <w:rPr>
          <w:rFonts w:ascii="Segoe UI"/>
          <w:color w:val="231F20"/>
          <w:spacing w:val="-2"/>
          <w:sz w:val="16"/>
        </w:rPr>
        <w:t> </w:t>
      </w:r>
      <w:r>
        <w:rPr>
          <w:rFonts w:ascii="Segoe UI"/>
          <w:color w:val="231F20"/>
          <w:spacing w:val="-1"/>
          <w:sz w:val="16"/>
        </w:rPr>
        <w:t>is</w:t>
      </w:r>
      <w:r>
        <w:rPr>
          <w:rFonts w:ascii="Segoe UI"/>
          <w:color w:val="231F20"/>
          <w:spacing w:val="-3"/>
          <w:sz w:val="16"/>
        </w:rPr>
        <w:t> </w:t>
      </w:r>
      <w:r>
        <w:rPr>
          <w:rFonts w:ascii="Segoe UI"/>
          <w:color w:val="231F20"/>
          <w:sz w:val="16"/>
        </w:rPr>
        <w:t>also</w:t>
      </w:r>
      <w:r>
        <w:rPr>
          <w:rFonts w:ascii="Segoe UI"/>
          <w:color w:val="231F20"/>
          <w:spacing w:val="-3"/>
          <w:sz w:val="16"/>
        </w:rPr>
        <w:t> </w:t>
      </w:r>
      <w:r>
        <w:rPr>
          <w:rFonts w:ascii="Segoe UI"/>
          <w:color w:val="231F20"/>
          <w:sz w:val="16"/>
        </w:rPr>
        <w:t>responsible</w:t>
      </w:r>
      <w:r>
        <w:rPr>
          <w:rFonts w:ascii="Segoe UI"/>
          <w:color w:val="231F20"/>
          <w:spacing w:val="-4"/>
          <w:sz w:val="16"/>
        </w:rPr>
        <w:t> </w:t>
      </w:r>
      <w:r>
        <w:rPr>
          <w:rFonts w:ascii="Segoe UI"/>
          <w:color w:val="231F20"/>
          <w:sz w:val="16"/>
        </w:rPr>
        <w:t>for</w:t>
      </w:r>
      <w:r>
        <w:rPr>
          <w:rFonts w:ascii="Segoe UI"/>
          <w:color w:val="231F20"/>
          <w:spacing w:val="23"/>
          <w:w w:val="99"/>
          <w:sz w:val="16"/>
        </w:rPr>
        <w:t> </w:t>
      </w:r>
      <w:r>
        <w:rPr>
          <w:rFonts w:ascii="Segoe UI"/>
          <w:color w:val="231F20"/>
          <w:sz w:val="16"/>
        </w:rPr>
        <w:t>the</w:t>
      </w:r>
      <w:r>
        <w:rPr>
          <w:rFonts w:ascii="Segoe UI"/>
          <w:color w:val="231F20"/>
          <w:spacing w:val="-12"/>
          <w:sz w:val="16"/>
        </w:rPr>
        <w:t> </w:t>
      </w:r>
      <w:r>
        <w:rPr>
          <w:rFonts w:ascii="Segoe UI"/>
          <w:color w:val="231F20"/>
          <w:sz w:val="16"/>
        </w:rPr>
        <w:t>accommodation/boarding</w:t>
      </w:r>
      <w:r>
        <w:rPr>
          <w:rFonts w:ascii="Segoe UI"/>
          <w:color w:val="231F20"/>
          <w:spacing w:val="-12"/>
          <w:sz w:val="16"/>
        </w:rPr>
        <w:t> </w:t>
      </w:r>
      <w:r>
        <w:rPr>
          <w:rFonts w:ascii="Segoe UI"/>
          <w:color w:val="231F20"/>
          <w:sz w:val="16"/>
        </w:rPr>
        <w:t>operations</w:t>
      </w:r>
      <w:r>
        <w:rPr>
          <w:rFonts w:ascii="Segoe UI"/>
          <w:color w:val="231F20"/>
          <w:spacing w:val="-11"/>
          <w:sz w:val="16"/>
        </w:rPr>
        <w:t> </w:t>
      </w:r>
      <w:r>
        <w:rPr>
          <w:rFonts w:ascii="Segoe UI"/>
          <w:color w:val="231F20"/>
          <w:sz w:val="16"/>
        </w:rPr>
        <w:t>for</w:t>
      </w:r>
      <w:r>
        <w:rPr>
          <w:rFonts w:ascii="Segoe UI"/>
          <w:color w:val="231F20"/>
          <w:w w:val="99"/>
          <w:sz w:val="16"/>
        </w:rPr>
        <w:t> </w:t>
      </w:r>
      <w:r>
        <w:rPr>
          <w:rFonts w:ascii="Segoe UI"/>
          <w:color w:val="231F20"/>
          <w:spacing w:val="-1"/>
          <w:sz w:val="16"/>
        </w:rPr>
        <w:t>students</w:t>
      </w:r>
      <w:r>
        <w:rPr>
          <w:rFonts w:ascii="Segoe UI"/>
          <w:color w:val="231F20"/>
          <w:spacing w:val="-2"/>
          <w:sz w:val="16"/>
        </w:rPr>
        <w:t> </w:t>
      </w:r>
      <w:r>
        <w:rPr>
          <w:rFonts w:ascii="Segoe UI"/>
          <w:color w:val="231F20"/>
          <w:sz w:val="16"/>
        </w:rPr>
        <w:t>from</w:t>
      </w:r>
      <w:r>
        <w:rPr>
          <w:rFonts w:ascii="Segoe UI"/>
          <w:color w:val="231F20"/>
          <w:spacing w:val="-2"/>
          <w:sz w:val="16"/>
        </w:rPr>
        <w:t> </w:t>
      </w:r>
      <w:r>
        <w:rPr>
          <w:rFonts w:ascii="Segoe UI"/>
          <w:color w:val="231F20"/>
          <w:spacing w:val="-5"/>
          <w:sz w:val="16"/>
        </w:rPr>
        <w:t>Year</w:t>
      </w:r>
      <w:r>
        <w:rPr>
          <w:rFonts w:ascii="Segoe UI"/>
          <w:color w:val="231F20"/>
          <w:spacing w:val="-1"/>
          <w:sz w:val="16"/>
        </w:rPr>
        <w:t> </w:t>
      </w:r>
      <w:r>
        <w:rPr>
          <w:rFonts w:ascii="Segoe UI"/>
          <w:color w:val="231F20"/>
          <w:sz w:val="16"/>
        </w:rPr>
        <w:t>7</w:t>
      </w:r>
      <w:r>
        <w:rPr>
          <w:rFonts w:ascii="Segoe UI"/>
          <w:color w:val="231F20"/>
          <w:spacing w:val="-2"/>
          <w:sz w:val="16"/>
        </w:rPr>
        <w:t> </w:t>
      </w:r>
      <w:r>
        <w:rPr>
          <w:rFonts w:ascii="Segoe UI"/>
          <w:color w:val="231F20"/>
          <w:sz w:val="16"/>
        </w:rPr>
        <w:t>to</w:t>
      </w:r>
      <w:r>
        <w:rPr>
          <w:rFonts w:ascii="Segoe UI"/>
          <w:color w:val="231F20"/>
          <w:spacing w:val="-2"/>
          <w:sz w:val="16"/>
        </w:rPr>
        <w:t> </w:t>
      </w:r>
      <w:r>
        <w:rPr>
          <w:rFonts w:ascii="Segoe UI"/>
          <w:color w:val="231F20"/>
          <w:spacing w:val="-5"/>
          <w:sz w:val="16"/>
        </w:rPr>
        <w:t>Year</w:t>
      </w:r>
      <w:r>
        <w:rPr>
          <w:rFonts w:ascii="Segoe UI"/>
          <w:color w:val="231F20"/>
          <w:spacing w:val="-1"/>
          <w:sz w:val="16"/>
        </w:rPr>
        <w:t> 12.</w:t>
      </w:r>
      <w:r>
        <w:rPr>
          <w:rFonts w:ascii="Segoe UI"/>
          <w:color w:val="231F20"/>
          <w:spacing w:val="-2"/>
          <w:sz w:val="16"/>
        </w:rPr>
        <w:t> </w:t>
      </w:r>
      <w:r>
        <w:rPr>
          <w:rFonts w:ascii="Segoe UI"/>
          <w:color w:val="231F20"/>
          <w:sz w:val="16"/>
        </w:rPr>
        <w:t>NT</w:t>
      </w:r>
      <w:r>
        <w:rPr>
          <w:rFonts w:ascii="Segoe UI"/>
          <w:color w:val="231F20"/>
          <w:spacing w:val="-2"/>
          <w:sz w:val="16"/>
        </w:rPr>
        <w:t> </w:t>
      </w:r>
      <w:r>
        <w:rPr>
          <w:rFonts w:ascii="Segoe UI"/>
          <w:color w:val="231F20"/>
          <w:spacing w:val="-1"/>
          <w:sz w:val="16"/>
        </w:rPr>
        <w:t>Christian</w:t>
      </w:r>
      <w:r>
        <w:rPr>
          <w:rFonts w:ascii="Segoe UI"/>
          <w:sz w:val="16"/>
        </w:rPr>
      </w:r>
    </w:p>
    <w:p>
      <w:pPr>
        <w:spacing w:line="200" w:lineRule="exact" w:before="0"/>
        <w:ind w:left="684" w:right="209" w:firstLine="0"/>
        <w:jc w:val="left"/>
        <w:rPr>
          <w:rFonts w:ascii="Segoe UI" w:hAnsi="Segoe UI" w:cs="Segoe UI" w:eastAsia="Segoe UI"/>
          <w:sz w:val="16"/>
          <w:szCs w:val="16"/>
        </w:rPr>
      </w:pPr>
      <w:r>
        <w:rPr>
          <w:rFonts w:ascii="Segoe UI"/>
          <w:color w:val="231F20"/>
          <w:spacing w:val="-1"/>
          <w:sz w:val="16"/>
        </w:rPr>
        <w:t>College</w:t>
      </w:r>
      <w:r>
        <w:rPr>
          <w:rFonts w:ascii="Segoe UI"/>
          <w:color w:val="231F20"/>
          <w:spacing w:val="-4"/>
          <w:sz w:val="16"/>
        </w:rPr>
        <w:t> </w:t>
      </w:r>
      <w:r>
        <w:rPr>
          <w:rFonts w:ascii="Segoe UI"/>
          <w:color w:val="231F20"/>
          <w:spacing w:val="-3"/>
          <w:sz w:val="16"/>
        </w:rPr>
        <w:t>(NTCC) </w:t>
      </w:r>
      <w:r>
        <w:rPr>
          <w:rFonts w:ascii="Segoe UI"/>
          <w:color w:val="231F20"/>
          <w:sz w:val="16"/>
        </w:rPr>
        <w:t>runs</w:t>
      </w:r>
      <w:r>
        <w:rPr>
          <w:rFonts w:ascii="Segoe UI"/>
          <w:color w:val="231F20"/>
          <w:spacing w:val="-5"/>
          <w:sz w:val="16"/>
        </w:rPr>
        <w:t> </w:t>
      </w:r>
      <w:r>
        <w:rPr>
          <w:rFonts w:ascii="Segoe UI"/>
          <w:color w:val="231F20"/>
          <w:sz w:val="16"/>
        </w:rPr>
        <w:t>the</w:t>
      </w:r>
      <w:r>
        <w:rPr>
          <w:rFonts w:ascii="Segoe UI"/>
          <w:color w:val="231F20"/>
          <w:spacing w:val="-4"/>
          <w:sz w:val="16"/>
        </w:rPr>
        <w:t> </w:t>
      </w:r>
      <w:r>
        <w:rPr>
          <w:rFonts w:ascii="Segoe UI"/>
          <w:color w:val="231F20"/>
          <w:spacing w:val="-1"/>
          <w:sz w:val="16"/>
        </w:rPr>
        <w:t>senior</w:t>
      </w:r>
      <w:r>
        <w:rPr>
          <w:rFonts w:ascii="Segoe UI"/>
          <w:color w:val="231F20"/>
          <w:spacing w:val="-4"/>
          <w:sz w:val="16"/>
        </w:rPr>
        <w:t> </w:t>
      </w:r>
      <w:r>
        <w:rPr>
          <w:rFonts w:ascii="Segoe UI"/>
          <w:color w:val="231F20"/>
          <w:spacing w:val="-1"/>
          <w:sz w:val="16"/>
        </w:rPr>
        <w:t>school</w:t>
      </w:r>
      <w:r>
        <w:rPr>
          <w:rFonts w:ascii="Segoe UI"/>
          <w:color w:val="231F20"/>
          <w:spacing w:val="-3"/>
          <w:sz w:val="16"/>
        </w:rPr>
        <w:t> </w:t>
      </w:r>
      <w:r>
        <w:rPr>
          <w:rFonts w:ascii="Segoe UI"/>
          <w:color w:val="231F20"/>
          <w:sz w:val="16"/>
        </w:rPr>
        <w:t>education</w:t>
      </w:r>
      <w:r>
        <w:rPr>
          <w:rFonts w:ascii="Segoe UI"/>
          <w:color w:val="231F20"/>
          <w:spacing w:val="28"/>
          <w:w w:val="99"/>
          <w:sz w:val="16"/>
        </w:rPr>
        <w:t> </w:t>
      </w:r>
      <w:r>
        <w:rPr>
          <w:rFonts w:ascii="Segoe UI"/>
          <w:color w:val="231F20"/>
          <w:sz w:val="16"/>
        </w:rPr>
        <w:t>programs</w:t>
      </w:r>
      <w:r>
        <w:rPr>
          <w:rFonts w:ascii="Segoe UI"/>
          <w:color w:val="231F20"/>
          <w:spacing w:val="-3"/>
          <w:sz w:val="16"/>
        </w:rPr>
        <w:t> </w:t>
      </w:r>
      <w:r>
        <w:rPr>
          <w:rFonts w:ascii="Segoe UI"/>
          <w:color w:val="231F20"/>
          <w:sz w:val="16"/>
        </w:rPr>
        <w:t>for</w:t>
      </w:r>
      <w:r>
        <w:rPr>
          <w:rFonts w:ascii="Segoe UI"/>
          <w:color w:val="231F20"/>
          <w:spacing w:val="-2"/>
          <w:sz w:val="16"/>
        </w:rPr>
        <w:t> </w:t>
      </w:r>
      <w:r>
        <w:rPr>
          <w:rFonts w:ascii="Segoe UI"/>
          <w:color w:val="231F20"/>
          <w:spacing w:val="-5"/>
          <w:sz w:val="16"/>
        </w:rPr>
        <w:t>Year</w:t>
      </w:r>
      <w:r>
        <w:rPr>
          <w:rFonts w:ascii="Segoe UI"/>
          <w:color w:val="231F20"/>
          <w:spacing w:val="-2"/>
          <w:sz w:val="16"/>
        </w:rPr>
        <w:t> </w:t>
      </w:r>
      <w:r>
        <w:rPr>
          <w:rFonts w:ascii="Segoe UI"/>
          <w:color w:val="231F20"/>
          <w:spacing w:val="-1"/>
          <w:sz w:val="16"/>
        </w:rPr>
        <w:t>11</w:t>
      </w:r>
      <w:r>
        <w:rPr>
          <w:rFonts w:ascii="Segoe UI"/>
          <w:color w:val="231F20"/>
          <w:spacing w:val="-2"/>
          <w:sz w:val="16"/>
        </w:rPr>
        <w:t> </w:t>
      </w:r>
      <w:r>
        <w:rPr>
          <w:rFonts w:ascii="Segoe UI"/>
          <w:color w:val="231F20"/>
          <w:sz w:val="16"/>
        </w:rPr>
        <w:t>and</w:t>
      </w:r>
      <w:r>
        <w:rPr>
          <w:rFonts w:ascii="Segoe UI"/>
          <w:color w:val="231F20"/>
          <w:spacing w:val="-3"/>
          <w:sz w:val="16"/>
        </w:rPr>
        <w:t> </w:t>
      </w:r>
      <w:r>
        <w:rPr>
          <w:rFonts w:ascii="Segoe UI"/>
          <w:color w:val="231F20"/>
          <w:spacing w:val="-1"/>
          <w:sz w:val="16"/>
        </w:rPr>
        <w:t>12</w:t>
      </w:r>
      <w:r>
        <w:rPr>
          <w:rFonts w:ascii="Segoe UI"/>
          <w:color w:val="231F20"/>
          <w:spacing w:val="-2"/>
          <w:sz w:val="16"/>
        </w:rPr>
        <w:t> </w:t>
      </w:r>
      <w:r>
        <w:rPr>
          <w:rFonts w:ascii="Segoe UI"/>
          <w:color w:val="231F20"/>
          <w:sz w:val="16"/>
        </w:rPr>
        <w:t>from</w:t>
      </w:r>
      <w:r>
        <w:rPr>
          <w:rFonts w:ascii="Segoe UI"/>
          <w:color w:val="231F20"/>
          <w:spacing w:val="-2"/>
          <w:sz w:val="16"/>
        </w:rPr>
        <w:t> </w:t>
      </w:r>
      <w:r>
        <w:rPr>
          <w:rFonts w:ascii="Segoe UI"/>
          <w:color w:val="231F20"/>
          <w:sz w:val="16"/>
        </w:rPr>
        <w:t>campuses</w:t>
      </w:r>
      <w:r>
        <w:rPr>
          <w:rFonts w:ascii="Segoe UI"/>
          <w:color w:val="231F20"/>
          <w:spacing w:val="23"/>
          <w:sz w:val="16"/>
        </w:rPr>
        <w:t> </w:t>
      </w:r>
      <w:r>
        <w:rPr>
          <w:rFonts w:ascii="Segoe UI"/>
          <w:color w:val="231F20"/>
          <w:spacing w:val="-1"/>
          <w:sz w:val="16"/>
        </w:rPr>
        <w:t>located</w:t>
      </w:r>
      <w:r>
        <w:rPr>
          <w:rFonts w:ascii="Segoe UI"/>
          <w:color w:val="231F20"/>
          <w:spacing w:val="-7"/>
          <w:sz w:val="16"/>
        </w:rPr>
        <w:t> </w:t>
      </w:r>
      <w:r>
        <w:rPr>
          <w:rFonts w:ascii="Segoe UI"/>
          <w:color w:val="231F20"/>
          <w:sz w:val="16"/>
        </w:rPr>
        <w:t>at</w:t>
      </w:r>
      <w:r>
        <w:rPr>
          <w:rFonts w:ascii="Segoe UI"/>
          <w:color w:val="231F20"/>
          <w:spacing w:val="-6"/>
          <w:sz w:val="16"/>
        </w:rPr>
        <w:t> </w:t>
      </w:r>
      <w:r>
        <w:rPr>
          <w:rFonts w:ascii="Segoe UI"/>
          <w:color w:val="231F20"/>
          <w:sz w:val="16"/>
        </w:rPr>
        <w:t>Marrara,</w:t>
      </w:r>
      <w:r>
        <w:rPr>
          <w:rFonts w:ascii="Segoe UI"/>
          <w:color w:val="231F20"/>
          <w:spacing w:val="-6"/>
          <w:sz w:val="16"/>
        </w:rPr>
        <w:t> </w:t>
      </w:r>
      <w:r>
        <w:rPr>
          <w:rFonts w:ascii="Segoe UI"/>
          <w:color w:val="231F20"/>
          <w:spacing w:val="-1"/>
          <w:sz w:val="16"/>
        </w:rPr>
        <w:t>Palmerston</w:t>
      </w:r>
      <w:r>
        <w:rPr>
          <w:rFonts w:ascii="Segoe UI"/>
          <w:color w:val="231F20"/>
          <w:spacing w:val="-7"/>
          <w:sz w:val="16"/>
        </w:rPr>
        <w:t> </w:t>
      </w:r>
      <w:r>
        <w:rPr>
          <w:rFonts w:ascii="Segoe UI"/>
          <w:color w:val="231F20"/>
          <w:sz w:val="16"/>
        </w:rPr>
        <w:t>and</w:t>
      </w:r>
      <w:r>
        <w:rPr>
          <w:rFonts w:ascii="Segoe UI"/>
          <w:color w:val="231F20"/>
          <w:spacing w:val="-7"/>
          <w:sz w:val="16"/>
        </w:rPr>
        <w:t> </w:t>
      </w:r>
      <w:r>
        <w:rPr>
          <w:rFonts w:ascii="Segoe UI"/>
          <w:color w:val="231F20"/>
          <w:sz w:val="16"/>
        </w:rPr>
        <w:t>Nhulunbuy.</w:t>
      </w:r>
      <w:r>
        <w:rPr>
          <w:rFonts w:ascii="Segoe UI"/>
          <w:color w:val="231F20"/>
          <w:spacing w:val="26"/>
          <w:w w:val="99"/>
          <w:sz w:val="16"/>
        </w:rPr>
        <w:t> </w:t>
      </w:r>
      <w:r>
        <w:rPr>
          <w:rFonts w:ascii="Segoe UI"/>
          <w:color w:val="231F20"/>
          <w:spacing w:val="-2"/>
          <w:sz w:val="16"/>
        </w:rPr>
        <w:t>MCC</w:t>
      </w:r>
      <w:r>
        <w:rPr>
          <w:rFonts w:ascii="Segoe UI"/>
          <w:color w:val="231F20"/>
          <w:spacing w:val="-4"/>
          <w:sz w:val="16"/>
        </w:rPr>
        <w:t> </w:t>
      </w:r>
      <w:r>
        <w:rPr>
          <w:rFonts w:ascii="Segoe UI"/>
          <w:color w:val="231F20"/>
          <w:sz w:val="16"/>
        </w:rPr>
        <w:t>has</w:t>
      </w:r>
      <w:r>
        <w:rPr>
          <w:rFonts w:ascii="Segoe UI"/>
          <w:color w:val="231F20"/>
          <w:spacing w:val="-4"/>
          <w:sz w:val="16"/>
        </w:rPr>
        <w:t> </w:t>
      </w:r>
      <w:r>
        <w:rPr>
          <w:rFonts w:ascii="Segoe UI"/>
          <w:color w:val="231F20"/>
          <w:spacing w:val="-1"/>
          <w:sz w:val="16"/>
        </w:rPr>
        <w:t>79</w:t>
      </w:r>
      <w:r>
        <w:rPr>
          <w:rFonts w:ascii="Segoe UI"/>
          <w:color w:val="231F20"/>
          <w:spacing w:val="-3"/>
          <w:sz w:val="16"/>
        </w:rPr>
        <w:t> </w:t>
      </w:r>
      <w:r>
        <w:rPr>
          <w:rFonts w:ascii="Segoe UI"/>
          <w:color w:val="231F20"/>
          <w:sz w:val="16"/>
        </w:rPr>
        <w:t>boarders</w:t>
      </w:r>
      <w:r>
        <w:rPr>
          <w:rFonts w:ascii="Segoe UI"/>
          <w:color w:val="231F20"/>
          <w:spacing w:val="-4"/>
          <w:sz w:val="16"/>
        </w:rPr>
        <w:t> </w:t>
      </w:r>
      <w:r>
        <w:rPr>
          <w:rFonts w:ascii="Segoe UI"/>
          <w:color w:val="231F20"/>
          <w:sz w:val="16"/>
        </w:rPr>
        <w:t>(all</w:t>
      </w:r>
      <w:r>
        <w:rPr>
          <w:rFonts w:ascii="Segoe UI"/>
          <w:color w:val="231F20"/>
          <w:spacing w:val="-4"/>
          <w:sz w:val="16"/>
        </w:rPr>
        <w:t> </w:t>
      </w:r>
      <w:r>
        <w:rPr>
          <w:rFonts w:ascii="Segoe UI"/>
          <w:color w:val="231F20"/>
          <w:sz w:val="16"/>
        </w:rPr>
        <w:t>are</w:t>
      </w:r>
      <w:r>
        <w:rPr>
          <w:rFonts w:ascii="Segoe UI"/>
          <w:color w:val="231F20"/>
          <w:spacing w:val="-4"/>
          <w:sz w:val="16"/>
        </w:rPr>
        <w:t> </w:t>
      </w:r>
      <w:r>
        <w:rPr>
          <w:rFonts w:ascii="Segoe UI"/>
          <w:color w:val="231F20"/>
          <w:sz w:val="16"/>
        </w:rPr>
        <w:t>Aboriginal)</w:t>
      </w:r>
      <w:r>
        <w:rPr>
          <w:rFonts w:ascii="Segoe UI"/>
          <w:color w:val="231F20"/>
          <w:spacing w:val="-3"/>
          <w:sz w:val="16"/>
        </w:rPr>
        <w:t> </w:t>
      </w:r>
      <w:r>
        <w:rPr>
          <w:rFonts w:ascii="Segoe UI"/>
          <w:color w:val="231F20"/>
          <w:sz w:val="16"/>
        </w:rPr>
        <w:t>but</w:t>
      </w:r>
      <w:r>
        <w:rPr>
          <w:rFonts w:ascii="Segoe UI"/>
          <w:color w:val="231F20"/>
          <w:spacing w:val="-2"/>
          <w:sz w:val="16"/>
        </w:rPr>
        <w:t> </w:t>
      </w:r>
      <w:r>
        <w:rPr>
          <w:rFonts w:ascii="Segoe UI"/>
          <w:color w:val="231F20"/>
          <w:sz w:val="16"/>
        </w:rPr>
        <w:t>the</w:t>
      </w:r>
      <w:r>
        <w:rPr>
          <w:rFonts w:ascii="Segoe UI"/>
          <w:color w:val="231F20"/>
          <w:spacing w:val="22"/>
          <w:w w:val="99"/>
          <w:sz w:val="16"/>
        </w:rPr>
        <w:t> </w:t>
      </w:r>
      <w:r>
        <w:rPr>
          <w:rFonts w:ascii="Segoe UI"/>
          <w:color w:val="231F20"/>
          <w:spacing w:val="-1"/>
          <w:sz w:val="16"/>
        </w:rPr>
        <w:t>majority</w:t>
      </w:r>
      <w:r>
        <w:rPr>
          <w:rFonts w:ascii="Segoe UI"/>
          <w:color w:val="231F20"/>
          <w:spacing w:val="-3"/>
          <w:sz w:val="16"/>
        </w:rPr>
        <w:t> </w:t>
      </w:r>
      <w:r>
        <w:rPr>
          <w:rFonts w:ascii="Segoe UI"/>
          <w:color w:val="231F20"/>
          <w:sz w:val="16"/>
        </w:rPr>
        <w:t>of</w:t>
      </w:r>
      <w:r>
        <w:rPr>
          <w:rFonts w:ascii="Segoe UI"/>
          <w:color w:val="231F20"/>
          <w:spacing w:val="-2"/>
          <w:sz w:val="16"/>
        </w:rPr>
        <w:t> </w:t>
      </w:r>
      <w:r>
        <w:rPr>
          <w:rFonts w:ascii="Segoe UI"/>
          <w:color w:val="231F20"/>
          <w:sz w:val="16"/>
        </w:rPr>
        <w:t>the</w:t>
      </w:r>
      <w:r>
        <w:rPr>
          <w:rFonts w:ascii="Segoe UI"/>
          <w:color w:val="231F20"/>
          <w:spacing w:val="-3"/>
          <w:sz w:val="16"/>
        </w:rPr>
        <w:t> </w:t>
      </w:r>
      <w:r>
        <w:rPr>
          <w:rFonts w:ascii="Segoe UI"/>
          <w:color w:val="231F20"/>
          <w:spacing w:val="-1"/>
          <w:sz w:val="16"/>
        </w:rPr>
        <w:t>students</w:t>
      </w:r>
      <w:r>
        <w:rPr>
          <w:rFonts w:ascii="Segoe UI"/>
          <w:color w:val="231F20"/>
          <w:spacing w:val="-2"/>
          <w:sz w:val="16"/>
        </w:rPr>
        <w:t> </w:t>
      </w:r>
      <w:r>
        <w:rPr>
          <w:rFonts w:ascii="Segoe UI"/>
          <w:color w:val="231F20"/>
          <w:sz w:val="16"/>
        </w:rPr>
        <w:t>at</w:t>
      </w:r>
      <w:r>
        <w:rPr>
          <w:rFonts w:ascii="Segoe UI"/>
          <w:color w:val="231F20"/>
          <w:spacing w:val="-2"/>
          <w:sz w:val="16"/>
        </w:rPr>
        <w:t> MCC</w:t>
      </w:r>
      <w:r>
        <w:rPr>
          <w:rFonts w:ascii="Segoe UI"/>
          <w:color w:val="231F20"/>
          <w:spacing w:val="-3"/>
          <w:sz w:val="16"/>
        </w:rPr>
        <w:t> </w:t>
      </w:r>
      <w:r>
        <w:rPr>
          <w:rFonts w:ascii="Segoe UI"/>
          <w:color w:val="231F20"/>
          <w:sz w:val="16"/>
        </w:rPr>
        <w:t>and</w:t>
      </w:r>
      <w:r>
        <w:rPr>
          <w:rFonts w:ascii="Segoe UI"/>
          <w:color w:val="231F20"/>
          <w:spacing w:val="-3"/>
          <w:sz w:val="16"/>
        </w:rPr>
        <w:t> </w:t>
      </w:r>
      <w:r>
        <w:rPr>
          <w:rFonts w:ascii="Segoe UI"/>
          <w:color w:val="231F20"/>
          <w:spacing w:val="-5"/>
          <w:sz w:val="16"/>
        </w:rPr>
        <w:t>NT</w:t>
      </w:r>
      <w:r>
        <w:rPr>
          <w:rFonts w:ascii="Segoe UI"/>
          <w:color w:val="231F20"/>
          <w:spacing w:val="-4"/>
          <w:sz w:val="16"/>
        </w:rPr>
        <w:t>CC</w:t>
      </w:r>
      <w:r>
        <w:rPr>
          <w:rFonts w:ascii="Segoe UI"/>
          <w:color w:val="231F20"/>
          <w:spacing w:val="-3"/>
          <w:sz w:val="16"/>
        </w:rPr>
        <w:t> </w:t>
      </w:r>
      <w:r>
        <w:rPr>
          <w:rFonts w:ascii="Segoe UI"/>
          <w:color w:val="231F20"/>
          <w:sz w:val="16"/>
        </w:rPr>
        <w:t>are</w:t>
      </w:r>
      <w:r>
        <w:rPr>
          <w:rFonts w:ascii="Segoe UI"/>
          <w:color w:val="231F20"/>
          <w:spacing w:val="-3"/>
          <w:sz w:val="16"/>
        </w:rPr>
        <w:t> </w:t>
      </w:r>
      <w:r>
        <w:rPr>
          <w:rFonts w:ascii="Segoe UI"/>
          <w:color w:val="231F20"/>
          <w:sz w:val="16"/>
        </w:rPr>
        <w:t>day</w:t>
      </w:r>
      <w:r>
        <w:rPr>
          <w:rFonts w:ascii="Segoe UI"/>
          <w:color w:val="231F20"/>
          <w:spacing w:val="27"/>
          <w:w w:val="99"/>
          <w:sz w:val="16"/>
        </w:rPr>
        <w:t> </w:t>
      </w:r>
      <w:r>
        <w:rPr>
          <w:rFonts w:ascii="Segoe UI"/>
          <w:color w:val="231F20"/>
          <w:spacing w:val="-1"/>
          <w:sz w:val="16"/>
        </w:rPr>
        <w:t>students.</w:t>
      </w:r>
      <w:r>
        <w:rPr>
          <w:rFonts w:ascii="Segoe UI"/>
          <w:color w:val="231F20"/>
          <w:spacing w:val="-5"/>
          <w:sz w:val="16"/>
        </w:rPr>
        <w:t> NT</w:t>
      </w:r>
      <w:r>
        <w:rPr>
          <w:rFonts w:ascii="Segoe UI"/>
          <w:color w:val="231F20"/>
          <w:spacing w:val="-4"/>
          <w:sz w:val="16"/>
        </w:rPr>
        <w:t>CC</w:t>
      </w:r>
      <w:r>
        <w:rPr>
          <w:rFonts w:ascii="Segoe UI"/>
          <w:color w:val="231F20"/>
          <w:spacing w:val="-5"/>
          <w:sz w:val="16"/>
        </w:rPr>
        <w:t> </w:t>
      </w:r>
      <w:r>
        <w:rPr>
          <w:rFonts w:ascii="Segoe UI"/>
          <w:color w:val="231F20"/>
          <w:sz w:val="16"/>
        </w:rPr>
        <w:t>has</w:t>
      </w:r>
      <w:r>
        <w:rPr>
          <w:rFonts w:ascii="Segoe UI"/>
          <w:color w:val="231F20"/>
          <w:spacing w:val="-5"/>
          <w:sz w:val="16"/>
        </w:rPr>
        <w:t> </w:t>
      </w:r>
      <w:r>
        <w:rPr>
          <w:rFonts w:ascii="Segoe UI"/>
          <w:color w:val="231F20"/>
          <w:sz w:val="16"/>
        </w:rPr>
        <w:t>therefore</w:t>
      </w:r>
      <w:r>
        <w:rPr>
          <w:rFonts w:ascii="Segoe UI"/>
          <w:color w:val="231F20"/>
          <w:spacing w:val="-5"/>
          <w:sz w:val="16"/>
        </w:rPr>
        <w:t> </w:t>
      </w:r>
      <w:r>
        <w:rPr>
          <w:rFonts w:ascii="Segoe UI"/>
          <w:color w:val="231F20"/>
          <w:sz w:val="16"/>
        </w:rPr>
        <w:t>been</w:t>
      </w:r>
      <w:r>
        <w:rPr>
          <w:rFonts w:ascii="Segoe UI"/>
          <w:color w:val="231F20"/>
          <w:spacing w:val="-6"/>
          <w:sz w:val="16"/>
        </w:rPr>
        <w:t> </w:t>
      </w:r>
      <w:r>
        <w:rPr>
          <w:rFonts w:ascii="Segoe UI"/>
          <w:color w:val="231F20"/>
          <w:sz w:val="16"/>
        </w:rPr>
        <w:t>excluded</w:t>
      </w:r>
      <w:r>
        <w:rPr>
          <w:rFonts w:ascii="Segoe UI"/>
          <w:color w:val="231F20"/>
          <w:spacing w:val="-5"/>
          <w:sz w:val="16"/>
        </w:rPr>
        <w:t> </w:t>
      </w:r>
      <w:r>
        <w:rPr>
          <w:rFonts w:ascii="Segoe UI"/>
          <w:color w:val="231F20"/>
          <w:sz w:val="16"/>
        </w:rPr>
        <w:t>and</w:t>
      </w:r>
      <w:r>
        <w:rPr>
          <w:rFonts w:ascii="Segoe UI"/>
          <w:color w:val="231F20"/>
          <w:spacing w:val="25"/>
          <w:w w:val="99"/>
          <w:sz w:val="16"/>
        </w:rPr>
        <w:t> </w:t>
      </w:r>
      <w:r>
        <w:rPr>
          <w:rFonts w:ascii="Segoe UI"/>
          <w:color w:val="231F20"/>
          <w:spacing w:val="-1"/>
          <w:sz w:val="16"/>
        </w:rPr>
        <w:t>its</w:t>
      </w:r>
      <w:r>
        <w:rPr>
          <w:rFonts w:ascii="Segoe UI"/>
          <w:color w:val="231F20"/>
          <w:spacing w:val="-4"/>
          <w:sz w:val="16"/>
        </w:rPr>
        <w:t> </w:t>
      </w:r>
      <w:r>
        <w:rPr>
          <w:rFonts w:ascii="Segoe UI"/>
          <w:color w:val="231F20"/>
          <w:sz w:val="16"/>
        </w:rPr>
        <w:t>boarders</w:t>
      </w:r>
      <w:r>
        <w:rPr>
          <w:rFonts w:ascii="Segoe UI"/>
          <w:color w:val="231F20"/>
          <w:spacing w:val="-4"/>
          <w:sz w:val="16"/>
        </w:rPr>
        <w:t> </w:t>
      </w:r>
      <w:r>
        <w:rPr>
          <w:rFonts w:ascii="Segoe UI"/>
          <w:color w:val="231F20"/>
          <w:sz w:val="16"/>
        </w:rPr>
        <w:t>are</w:t>
      </w:r>
      <w:r>
        <w:rPr>
          <w:rFonts w:ascii="Segoe UI"/>
          <w:color w:val="231F20"/>
          <w:spacing w:val="-4"/>
          <w:sz w:val="16"/>
        </w:rPr>
        <w:t> </w:t>
      </w:r>
      <w:r>
        <w:rPr>
          <w:rFonts w:ascii="Segoe UI"/>
          <w:color w:val="231F20"/>
          <w:sz w:val="16"/>
        </w:rPr>
        <w:t>for</w:t>
      </w:r>
      <w:r>
        <w:rPr>
          <w:rFonts w:ascii="Segoe UI"/>
          <w:color w:val="231F20"/>
          <w:spacing w:val="-3"/>
          <w:sz w:val="16"/>
        </w:rPr>
        <w:t> </w:t>
      </w:r>
      <w:r>
        <w:rPr>
          <w:rFonts w:ascii="Segoe UI"/>
          <w:color w:val="231F20"/>
          <w:sz w:val="16"/>
        </w:rPr>
        <w:t>the</w:t>
      </w:r>
      <w:r>
        <w:rPr>
          <w:rFonts w:ascii="Segoe UI"/>
          <w:color w:val="231F20"/>
          <w:spacing w:val="-4"/>
          <w:sz w:val="16"/>
        </w:rPr>
        <w:t> </w:t>
      </w:r>
      <w:r>
        <w:rPr>
          <w:rFonts w:ascii="Segoe UI"/>
          <w:color w:val="231F20"/>
          <w:sz w:val="16"/>
        </w:rPr>
        <w:t>purposes</w:t>
      </w:r>
      <w:r>
        <w:rPr>
          <w:rFonts w:ascii="Segoe UI"/>
          <w:color w:val="231F20"/>
          <w:spacing w:val="-4"/>
          <w:sz w:val="16"/>
        </w:rPr>
        <w:t> </w:t>
      </w:r>
      <w:r>
        <w:rPr>
          <w:rFonts w:ascii="Segoe UI"/>
          <w:color w:val="231F20"/>
          <w:sz w:val="16"/>
        </w:rPr>
        <w:t>of</w:t>
      </w:r>
      <w:r>
        <w:rPr>
          <w:rFonts w:ascii="Segoe UI"/>
          <w:color w:val="231F20"/>
          <w:spacing w:val="-3"/>
          <w:sz w:val="16"/>
        </w:rPr>
        <w:t> </w:t>
      </w:r>
      <w:r>
        <w:rPr>
          <w:rFonts w:ascii="Segoe UI"/>
          <w:color w:val="231F20"/>
          <w:sz w:val="16"/>
        </w:rPr>
        <w:t>this</w:t>
      </w:r>
      <w:r>
        <w:rPr>
          <w:rFonts w:ascii="Segoe UI"/>
          <w:color w:val="231F20"/>
          <w:spacing w:val="-4"/>
          <w:sz w:val="16"/>
        </w:rPr>
        <w:t> </w:t>
      </w:r>
      <w:r>
        <w:rPr>
          <w:rFonts w:ascii="Segoe UI"/>
          <w:color w:val="231F20"/>
          <w:sz w:val="16"/>
        </w:rPr>
        <w:t>report</w:t>
      </w:r>
      <w:r>
        <w:rPr>
          <w:rFonts w:ascii="Segoe UI"/>
          <w:color w:val="231F20"/>
          <w:spacing w:val="-4"/>
          <w:sz w:val="16"/>
        </w:rPr>
        <w:t> </w:t>
      </w:r>
      <w:r>
        <w:rPr>
          <w:rFonts w:ascii="Segoe UI"/>
          <w:color w:val="231F20"/>
          <w:sz w:val="16"/>
        </w:rPr>
        <w:t>are</w:t>
      </w:r>
      <w:r>
        <w:rPr>
          <w:rFonts w:ascii="Segoe UI"/>
          <w:color w:val="231F20"/>
          <w:spacing w:val="21"/>
          <w:w w:val="99"/>
          <w:sz w:val="16"/>
        </w:rPr>
        <w:t> </w:t>
      </w:r>
      <w:r>
        <w:rPr>
          <w:rFonts w:ascii="Segoe UI"/>
          <w:color w:val="231F20"/>
          <w:sz w:val="16"/>
        </w:rPr>
        <w:t>counted</w:t>
      </w:r>
      <w:r>
        <w:rPr>
          <w:rFonts w:ascii="Segoe UI"/>
          <w:color w:val="231F20"/>
          <w:spacing w:val="-6"/>
          <w:sz w:val="16"/>
        </w:rPr>
        <w:t> </w:t>
      </w:r>
      <w:r>
        <w:rPr>
          <w:rFonts w:ascii="Segoe UI"/>
          <w:color w:val="231F20"/>
          <w:sz w:val="16"/>
        </w:rPr>
        <w:t>as</w:t>
      </w:r>
      <w:r>
        <w:rPr>
          <w:rFonts w:ascii="Segoe UI"/>
          <w:color w:val="231F20"/>
          <w:spacing w:val="-5"/>
          <w:sz w:val="16"/>
        </w:rPr>
        <w:t> </w:t>
      </w:r>
      <w:r>
        <w:rPr>
          <w:rFonts w:ascii="Segoe UI"/>
          <w:color w:val="231F20"/>
          <w:sz w:val="16"/>
        </w:rPr>
        <w:t>boarders/students</w:t>
      </w:r>
      <w:r>
        <w:rPr>
          <w:rFonts w:ascii="Segoe UI"/>
          <w:color w:val="231F20"/>
          <w:spacing w:val="-5"/>
          <w:sz w:val="16"/>
        </w:rPr>
        <w:t> </w:t>
      </w:r>
      <w:r>
        <w:rPr>
          <w:rFonts w:ascii="Segoe UI"/>
          <w:color w:val="231F20"/>
          <w:sz w:val="16"/>
        </w:rPr>
        <w:t>of</w:t>
      </w:r>
      <w:r>
        <w:rPr>
          <w:rFonts w:ascii="Segoe UI"/>
          <w:color w:val="231F20"/>
          <w:spacing w:val="-5"/>
          <w:sz w:val="16"/>
        </w:rPr>
        <w:t> </w:t>
      </w:r>
      <w:r>
        <w:rPr>
          <w:rFonts w:ascii="Segoe UI"/>
          <w:color w:val="231F20"/>
          <w:spacing w:val="-2"/>
          <w:sz w:val="16"/>
        </w:rPr>
        <w:t>MCC.</w:t>
      </w:r>
      <w:r>
        <w:rPr>
          <w:rFonts w:ascii="Segoe UI"/>
          <w:color w:val="231F20"/>
          <w:spacing w:val="-4"/>
          <w:sz w:val="16"/>
        </w:rPr>
        <w:t> </w:t>
      </w:r>
      <w:r>
        <w:rPr>
          <w:rFonts w:ascii="Segoe UI"/>
          <w:color w:val="231F20"/>
          <w:sz w:val="16"/>
        </w:rPr>
        <w:t>This</w:t>
      </w:r>
      <w:r>
        <w:rPr>
          <w:rFonts w:ascii="Segoe UI"/>
          <w:color w:val="231F20"/>
          <w:spacing w:val="-5"/>
          <w:sz w:val="16"/>
        </w:rPr>
        <w:t> </w:t>
      </w:r>
      <w:r>
        <w:rPr>
          <w:rFonts w:ascii="Segoe UI"/>
          <w:color w:val="231F20"/>
          <w:sz w:val="16"/>
        </w:rPr>
        <w:t>report</w:t>
      </w:r>
      <w:r>
        <w:rPr>
          <w:rFonts w:ascii="Segoe UI"/>
          <w:color w:val="231F20"/>
          <w:spacing w:val="22"/>
          <w:w w:val="99"/>
          <w:sz w:val="16"/>
        </w:rPr>
        <w:t> </w:t>
      </w:r>
      <w:r>
        <w:rPr>
          <w:rFonts w:ascii="Segoe UI"/>
          <w:color w:val="231F20"/>
          <w:sz w:val="16"/>
        </w:rPr>
        <w:t>therefore</w:t>
      </w:r>
      <w:r>
        <w:rPr>
          <w:rFonts w:ascii="Segoe UI"/>
          <w:color w:val="231F20"/>
          <w:spacing w:val="-6"/>
          <w:sz w:val="16"/>
        </w:rPr>
        <w:t> </w:t>
      </w:r>
      <w:r>
        <w:rPr>
          <w:rFonts w:ascii="Segoe UI"/>
          <w:color w:val="231F20"/>
          <w:sz w:val="16"/>
        </w:rPr>
        <w:t>reviews</w:t>
      </w:r>
      <w:r>
        <w:rPr>
          <w:rFonts w:ascii="Segoe UI"/>
          <w:color w:val="231F20"/>
          <w:spacing w:val="-6"/>
          <w:sz w:val="16"/>
        </w:rPr>
        <w:t> </w:t>
      </w:r>
      <w:r>
        <w:rPr>
          <w:rFonts w:ascii="Segoe UI"/>
          <w:color w:val="231F20"/>
          <w:spacing w:val="-1"/>
          <w:sz w:val="16"/>
        </w:rPr>
        <w:t>27</w:t>
      </w:r>
      <w:r>
        <w:rPr>
          <w:rFonts w:ascii="Segoe UI"/>
          <w:color w:val="231F20"/>
          <w:spacing w:val="-5"/>
          <w:sz w:val="16"/>
        </w:rPr>
        <w:t> </w:t>
      </w:r>
      <w:r>
        <w:rPr>
          <w:rFonts w:ascii="Segoe UI"/>
          <w:color w:val="231F20"/>
          <w:sz w:val="16"/>
        </w:rPr>
        <w:t>Aboriginal</w:t>
      </w:r>
      <w:r>
        <w:rPr>
          <w:rFonts w:ascii="Segoe UI"/>
          <w:color w:val="231F20"/>
          <w:spacing w:val="-5"/>
          <w:sz w:val="16"/>
        </w:rPr>
        <w:t> </w:t>
      </w:r>
      <w:r>
        <w:rPr>
          <w:rFonts w:ascii="Segoe UI"/>
          <w:color w:val="231F20"/>
          <w:sz w:val="16"/>
        </w:rPr>
        <w:t>and</w:t>
      </w:r>
      <w:r>
        <w:rPr>
          <w:rFonts w:ascii="Segoe UI"/>
          <w:color w:val="231F20"/>
          <w:spacing w:val="-6"/>
          <w:sz w:val="16"/>
        </w:rPr>
        <w:t> </w:t>
      </w:r>
      <w:r>
        <w:rPr>
          <w:rFonts w:ascii="Segoe UI"/>
          <w:color w:val="231F20"/>
          <w:spacing w:val="-3"/>
          <w:sz w:val="16"/>
        </w:rPr>
        <w:t>Torres</w:t>
      </w:r>
      <w:r>
        <w:rPr>
          <w:rFonts w:ascii="Segoe UI"/>
          <w:color w:val="231F20"/>
          <w:spacing w:val="-4"/>
          <w:sz w:val="16"/>
        </w:rPr>
        <w:t> </w:t>
      </w:r>
      <w:r>
        <w:rPr>
          <w:rFonts w:ascii="Segoe UI"/>
          <w:color w:val="231F20"/>
          <w:spacing w:val="-1"/>
          <w:sz w:val="16"/>
        </w:rPr>
        <w:t>Strait</w:t>
      </w:r>
      <w:r>
        <w:rPr>
          <w:rFonts w:ascii="Segoe UI"/>
          <w:color w:val="231F20"/>
          <w:spacing w:val="22"/>
          <w:w w:val="99"/>
          <w:sz w:val="16"/>
        </w:rPr>
        <w:t> </w:t>
      </w:r>
      <w:r>
        <w:rPr>
          <w:rFonts w:ascii="Segoe UI"/>
          <w:color w:val="231F20"/>
          <w:sz w:val="16"/>
        </w:rPr>
        <w:t>boarding</w:t>
      </w:r>
      <w:r>
        <w:rPr>
          <w:rFonts w:ascii="Segoe UI"/>
          <w:color w:val="231F20"/>
          <w:spacing w:val="-8"/>
          <w:sz w:val="16"/>
        </w:rPr>
        <w:t> </w:t>
      </w:r>
      <w:r>
        <w:rPr>
          <w:rFonts w:ascii="Segoe UI"/>
          <w:color w:val="231F20"/>
          <w:sz w:val="16"/>
        </w:rPr>
        <w:t>providers</w:t>
      </w:r>
      <w:r>
        <w:rPr>
          <w:rFonts w:ascii="Segoe UI"/>
          <w:color w:val="231F20"/>
          <w:spacing w:val="-7"/>
          <w:sz w:val="16"/>
        </w:rPr>
        <w:t> </w:t>
      </w:r>
      <w:r>
        <w:rPr>
          <w:rFonts w:ascii="Segoe UI"/>
          <w:color w:val="231F20"/>
          <w:sz w:val="16"/>
        </w:rPr>
        <w:t>but</w:t>
      </w:r>
      <w:r>
        <w:rPr>
          <w:rFonts w:ascii="Segoe UI"/>
          <w:color w:val="231F20"/>
          <w:spacing w:val="-6"/>
          <w:sz w:val="16"/>
        </w:rPr>
        <w:t> </w:t>
      </w:r>
      <w:r>
        <w:rPr>
          <w:rFonts w:ascii="Segoe UI"/>
          <w:color w:val="231F20"/>
          <w:sz w:val="16"/>
        </w:rPr>
        <w:t>encapsulates</w:t>
      </w:r>
      <w:r>
        <w:rPr>
          <w:rFonts w:ascii="Segoe UI"/>
          <w:color w:val="231F20"/>
          <w:spacing w:val="-7"/>
          <w:sz w:val="16"/>
        </w:rPr>
        <w:t> </w:t>
      </w:r>
      <w:r>
        <w:rPr>
          <w:rFonts w:ascii="Segoe UI"/>
          <w:color w:val="231F20"/>
          <w:spacing w:val="-1"/>
          <w:sz w:val="16"/>
        </w:rPr>
        <w:t>28</w:t>
      </w:r>
      <w:r>
        <w:rPr>
          <w:rFonts w:ascii="Segoe UI"/>
          <w:color w:val="231F20"/>
          <w:spacing w:val="-7"/>
          <w:sz w:val="16"/>
        </w:rPr>
        <w:t> </w:t>
      </w:r>
      <w:r>
        <w:rPr>
          <w:rFonts w:ascii="Segoe UI"/>
          <w:color w:val="231F20"/>
          <w:sz w:val="16"/>
        </w:rPr>
        <w:t>providers</w:t>
      </w:r>
      <w:r>
        <w:rPr>
          <w:rFonts w:ascii="Segoe UI"/>
          <w:color w:val="231F20"/>
          <w:spacing w:val="21"/>
          <w:w w:val="99"/>
          <w:sz w:val="16"/>
        </w:rPr>
        <w:t> </w:t>
      </w:r>
      <w:r>
        <w:rPr>
          <w:rFonts w:ascii="Segoe UI"/>
          <w:color w:val="231F20"/>
          <w:sz w:val="16"/>
        </w:rPr>
        <w:t>(incorporating</w:t>
      </w:r>
      <w:r>
        <w:rPr>
          <w:rFonts w:ascii="Segoe UI"/>
          <w:color w:val="231F20"/>
          <w:spacing w:val="-10"/>
          <w:sz w:val="16"/>
        </w:rPr>
        <w:t> </w:t>
      </w:r>
      <w:r>
        <w:rPr>
          <w:rFonts w:ascii="Segoe UI"/>
          <w:color w:val="231F20"/>
          <w:sz w:val="16"/>
        </w:rPr>
        <w:t>Northern</w:t>
      </w:r>
      <w:r>
        <w:rPr>
          <w:rFonts w:ascii="Segoe UI"/>
          <w:color w:val="231F20"/>
          <w:spacing w:val="-9"/>
          <w:sz w:val="16"/>
        </w:rPr>
        <w:t> </w:t>
      </w:r>
      <w:r>
        <w:rPr>
          <w:rFonts w:ascii="Segoe UI"/>
          <w:color w:val="231F20"/>
          <w:spacing w:val="-2"/>
          <w:sz w:val="16"/>
        </w:rPr>
        <w:t>Territory</w:t>
      </w:r>
      <w:r>
        <w:rPr>
          <w:rFonts w:ascii="Segoe UI"/>
          <w:color w:val="231F20"/>
          <w:spacing w:val="-8"/>
          <w:sz w:val="16"/>
        </w:rPr>
        <w:t> </w:t>
      </w:r>
      <w:r>
        <w:rPr>
          <w:rFonts w:ascii="Segoe UI"/>
          <w:color w:val="231F20"/>
          <w:spacing w:val="-1"/>
          <w:sz w:val="16"/>
        </w:rPr>
        <w:t>Christian</w:t>
      </w:r>
      <w:r>
        <w:rPr>
          <w:rFonts w:ascii="Segoe UI"/>
          <w:color w:val="231F20"/>
          <w:spacing w:val="-10"/>
          <w:sz w:val="16"/>
        </w:rPr>
        <w:t> </w:t>
      </w:r>
      <w:r>
        <w:rPr>
          <w:rFonts w:ascii="Segoe UI"/>
          <w:color w:val="231F20"/>
          <w:spacing w:val="-10"/>
          <w:sz w:val="16"/>
        </w:rPr>
      </w:r>
      <w:r>
        <w:rPr>
          <w:rFonts w:ascii="Segoe UI"/>
          <w:color w:val="231F20"/>
          <w:spacing w:val="-1"/>
          <w:sz w:val="16"/>
        </w:rPr>
        <w:t>College)</w:t>
      </w:r>
      <w:r>
        <w:rPr>
          <w:rFonts w:ascii="Segoe UI"/>
          <w:sz w:val="16"/>
        </w:rPr>
      </w:r>
    </w:p>
    <w:p>
      <w:pPr>
        <w:numPr>
          <w:ilvl w:val="0"/>
          <w:numId w:val="10"/>
        </w:numPr>
        <w:tabs>
          <w:tab w:pos="685" w:val="left" w:leader="none"/>
        </w:tabs>
        <w:spacing w:line="200" w:lineRule="exact" w:before="113"/>
        <w:ind w:left="684" w:right="616" w:hanging="567"/>
        <w:jc w:val="left"/>
        <w:rPr>
          <w:rFonts w:ascii="Segoe UI" w:hAnsi="Segoe UI" w:cs="Segoe UI" w:eastAsia="Segoe UI"/>
          <w:sz w:val="16"/>
          <w:szCs w:val="16"/>
        </w:rPr>
      </w:pPr>
      <w:r>
        <w:rPr>
          <w:rFonts w:ascii="Segoe UI"/>
          <w:i/>
          <w:color w:val="231F20"/>
          <w:spacing w:val="-1"/>
          <w:sz w:val="16"/>
        </w:rPr>
        <w:t>Boarding</w:t>
      </w:r>
      <w:r>
        <w:rPr>
          <w:rFonts w:ascii="Segoe UI"/>
          <w:i/>
          <w:color w:val="231F20"/>
          <w:spacing w:val="-4"/>
          <w:sz w:val="16"/>
        </w:rPr>
        <w:t> </w:t>
      </w:r>
      <w:r>
        <w:rPr>
          <w:rFonts w:ascii="Segoe UI"/>
          <w:i/>
          <w:color w:val="231F20"/>
          <w:spacing w:val="-1"/>
          <w:sz w:val="16"/>
        </w:rPr>
        <w:t>Standard</w:t>
      </w:r>
      <w:r>
        <w:rPr>
          <w:rFonts w:ascii="Segoe UI"/>
          <w:i/>
          <w:color w:val="231F20"/>
          <w:spacing w:val="-3"/>
          <w:sz w:val="16"/>
        </w:rPr>
        <w:t> </w:t>
      </w:r>
      <w:r>
        <w:rPr>
          <w:rFonts w:ascii="Segoe UI"/>
          <w:i/>
          <w:color w:val="231F20"/>
          <w:sz w:val="16"/>
        </w:rPr>
        <w:t>for</w:t>
      </w:r>
      <w:r>
        <w:rPr>
          <w:rFonts w:ascii="Segoe UI"/>
          <w:i/>
          <w:color w:val="231F20"/>
          <w:spacing w:val="-4"/>
          <w:sz w:val="16"/>
        </w:rPr>
        <w:t> </w:t>
      </w:r>
      <w:r>
        <w:rPr>
          <w:rFonts w:ascii="Segoe UI"/>
          <w:i/>
          <w:color w:val="231F20"/>
          <w:spacing w:val="-1"/>
          <w:sz w:val="16"/>
        </w:rPr>
        <w:t>Australian</w:t>
      </w:r>
      <w:r>
        <w:rPr>
          <w:rFonts w:ascii="Segoe UI"/>
          <w:i/>
          <w:color w:val="231F20"/>
          <w:spacing w:val="-3"/>
          <w:sz w:val="16"/>
        </w:rPr>
        <w:t> </w:t>
      </w:r>
      <w:r>
        <w:rPr>
          <w:rFonts w:ascii="Segoe UI"/>
          <w:i/>
          <w:color w:val="231F20"/>
          <w:spacing w:val="-1"/>
          <w:sz w:val="16"/>
        </w:rPr>
        <w:t>Schools</w:t>
      </w:r>
      <w:r>
        <w:rPr>
          <w:rFonts w:ascii="Segoe UI"/>
          <w:i/>
          <w:color w:val="231F20"/>
          <w:spacing w:val="-3"/>
          <w:sz w:val="16"/>
        </w:rPr>
        <w:t> </w:t>
      </w:r>
      <w:r>
        <w:rPr>
          <w:rFonts w:ascii="Segoe UI"/>
          <w:i/>
          <w:color w:val="231F20"/>
          <w:sz w:val="16"/>
        </w:rPr>
        <w:t>and</w:t>
      </w:r>
      <w:r>
        <w:rPr>
          <w:rFonts w:ascii="Segoe UI"/>
          <w:i/>
          <w:color w:val="231F20"/>
          <w:spacing w:val="43"/>
          <w:w w:val="99"/>
          <w:sz w:val="16"/>
        </w:rPr>
        <w:t> </w:t>
      </w:r>
      <w:r>
        <w:rPr>
          <w:rFonts w:ascii="Segoe UI"/>
          <w:i/>
          <w:color w:val="231F20"/>
          <w:spacing w:val="-1"/>
          <w:sz w:val="16"/>
        </w:rPr>
        <w:t>Residences</w:t>
      </w:r>
      <w:r>
        <w:rPr>
          <w:rFonts w:ascii="Segoe UI"/>
          <w:i/>
          <w:color w:val="231F20"/>
          <w:spacing w:val="-5"/>
          <w:sz w:val="16"/>
        </w:rPr>
        <w:t> </w:t>
      </w:r>
      <w:r>
        <w:rPr>
          <w:rFonts w:ascii="Segoe UI"/>
          <w:color w:val="231F20"/>
          <w:sz w:val="16"/>
        </w:rPr>
        <w:t>(AS</w:t>
      </w:r>
      <w:r>
        <w:rPr>
          <w:rFonts w:ascii="Segoe UI"/>
          <w:color w:val="231F20"/>
          <w:spacing w:val="-4"/>
          <w:sz w:val="16"/>
        </w:rPr>
        <w:t> </w:t>
      </w:r>
      <w:r>
        <w:rPr>
          <w:rFonts w:ascii="Segoe UI"/>
          <w:color w:val="231F20"/>
          <w:sz w:val="16"/>
        </w:rPr>
        <w:t>5725:2015)</w:t>
      </w:r>
      <w:r>
        <w:rPr>
          <w:rFonts w:ascii="Segoe UI"/>
          <w:sz w:val="16"/>
        </w:rPr>
      </w:r>
    </w:p>
    <w:p>
      <w:pPr>
        <w:numPr>
          <w:ilvl w:val="0"/>
          <w:numId w:val="10"/>
        </w:numPr>
        <w:tabs>
          <w:tab w:pos="685" w:val="left" w:leader="none"/>
        </w:tabs>
        <w:spacing w:line="200" w:lineRule="exact" w:before="113"/>
        <w:ind w:left="684" w:right="209" w:hanging="567"/>
        <w:jc w:val="left"/>
        <w:rPr>
          <w:rFonts w:ascii="Segoe UI" w:hAnsi="Segoe UI" w:cs="Segoe UI" w:eastAsia="Segoe UI"/>
          <w:sz w:val="16"/>
          <w:szCs w:val="16"/>
        </w:rPr>
      </w:pPr>
      <w:r>
        <w:rPr>
          <w:rFonts w:ascii="Segoe UI"/>
          <w:color w:val="231F20"/>
          <w:sz w:val="16"/>
        </w:rPr>
        <w:t>The</w:t>
      </w:r>
      <w:r>
        <w:rPr>
          <w:rFonts w:ascii="Segoe UI"/>
          <w:color w:val="231F20"/>
          <w:spacing w:val="-5"/>
          <w:sz w:val="16"/>
        </w:rPr>
        <w:t> </w:t>
      </w:r>
      <w:r>
        <w:rPr>
          <w:rFonts w:ascii="Segoe UI"/>
          <w:color w:val="231F20"/>
          <w:sz w:val="16"/>
        </w:rPr>
        <w:t>three-year</w:t>
      </w:r>
      <w:r>
        <w:rPr>
          <w:rFonts w:ascii="Segoe UI"/>
          <w:color w:val="231F20"/>
          <w:spacing w:val="-5"/>
          <w:sz w:val="16"/>
        </w:rPr>
        <w:t> </w:t>
      </w:r>
      <w:r>
        <w:rPr>
          <w:rFonts w:ascii="Segoe UI"/>
          <w:color w:val="231F20"/>
          <w:sz w:val="16"/>
        </w:rPr>
        <w:t>trend</w:t>
      </w:r>
      <w:r>
        <w:rPr>
          <w:rFonts w:ascii="Segoe UI"/>
          <w:color w:val="231F20"/>
          <w:spacing w:val="-5"/>
          <w:sz w:val="16"/>
        </w:rPr>
        <w:t> </w:t>
      </w:r>
      <w:r>
        <w:rPr>
          <w:rFonts w:ascii="Segoe UI"/>
          <w:color w:val="231F20"/>
          <w:sz w:val="16"/>
        </w:rPr>
        <w:t>data</w:t>
      </w:r>
      <w:r>
        <w:rPr>
          <w:rFonts w:ascii="Segoe UI"/>
          <w:color w:val="231F20"/>
          <w:spacing w:val="-5"/>
          <w:sz w:val="16"/>
        </w:rPr>
        <w:t> </w:t>
      </w:r>
      <w:r>
        <w:rPr>
          <w:rFonts w:ascii="Segoe UI"/>
          <w:color w:val="231F20"/>
          <w:spacing w:val="-1"/>
          <w:sz w:val="16"/>
        </w:rPr>
        <w:t>was</w:t>
      </w:r>
      <w:r>
        <w:rPr>
          <w:rFonts w:ascii="Segoe UI"/>
          <w:color w:val="231F20"/>
          <w:spacing w:val="-5"/>
          <w:sz w:val="16"/>
        </w:rPr>
        <w:t> </w:t>
      </w:r>
      <w:r>
        <w:rPr>
          <w:rFonts w:ascii="Segoe UI"/>
          <w:color w:val="231F20"/>
          <w:sz w:val="16"/>
        </w:rPr>
        <w:t>only</w:t>
      </w:r>
      <w:r>
        <w:rPr>
          <w:rFonts w:ascii="Segoe UI"/>
          <w:color w:val="231F20"/>
          <w:spacing w:val="-5"/>
          <w:sz w:val="16"/>
        </w:rPr>
        <w:t> </w:t>
      </w:r>
      <w:r>
        <w:rPr>
          <w:rFonts w:ascii="Segoe UI"/>
          <w:color w:val="231F20"/>
          <w:sz w:val="16"/>
        </w:rPr>
        <w:t>available</w:t>
      </w:r>
      <w:r>
        <w:rPr>
          <w:rFonts w:ascii="Segoe UI"/>
          <w:color w:val="231F20"/>
          <w:spacing w:val="-5"/>
          <w:sz w:val="16"/>
        </w:rPr>
        <w:t> </w:t>
      </w:r>
      <w:r>
        <w:rPr>
          <w:rFonts w:ascii="Segoe UI"/>
          <w:color w:val="231F20"/>
          <w:sz w:val="16"/>
        </w:rPr>
        <w:t>for</w:t>
      </w:r>
      <w:r>
        <w:rPr>
          <w:rFonts w:ascii="Segoe UI"/>
          <w:color w:val="231F20"/>
          <w:spacing w:val="22"/>
          <w:w w:val="99"/>
          <w:sz w:val="16"/>
        </w:rPr>
        <w:t> </w:t>
      </w:r>
      <w:r>
        <w:rPr>
          <w:rFonts w:ascii="Segoe UI"/>
          <w:color w:val="231F20"/>
          <w:sz w:val="16"/>
        </w:rPr>
        <w:t>boarding</w:t>
      </w:r>
      <w:r>
        <w:rPr>
          <w:rFonts w:ascii="Segoe UI"/>
          <w:color w:val="231F20"/>
          <w:spacing w:val="-6"/>
          <w:sz w:val="16"/>
        </w:rPr>
        <w:t> </w:t>
      </w:r>
      <w:r>
        <w:rPr>
          <w:rFonts w:ascii="Segoe UI"/>
          <w:color w:val="231F20"/>
          <w:spacing w:val="-1"/>
          <w:sz w:val="16"/>
        </w:rPr>
        <w:t>schools</w:t>
      </w:r>
      <w:r>
        <w:rPr>
          <w:rFonts w:ascii="Segoe UI"/>
          <w:color w:val="231F20"/>
          <w:spacing w:val="-5"/>
          <w:sz w:val="16"/>
        </w:rPr>
        <w:t> </w:t>
      </w:r>
      <w:r>
        <w:rPr>
          <w:rFonts w:ascii="Segoe UI"/>
          <w:color w:val="231F20"/>
          <w:sz w:val="16"/>
        </w:rPr>
        <w:t>and</w:t>
      </w:r>
      <w:r>
        <w:rPr>
          <w:rFonts w:ascii="Segoe UI"/>
          <w:color w:val="231F20"/>
          <w:spacing w:val="-5"/>
          <w:sz w:val="16"/>
        </w:rPr>
        <w:t> </w:t>
      </w:r>
      <w:r>
        <w:rPr>
          <w:rFonts w:ascii="Segoe UI"/>
          <w:color w:val="231F20"/>
          <w:sz w:val="16"/>
        </w:rPr>
        <w:t>not</w:t>
      </w:r>
      <w:r>
        <w:rPr>
          <w:rFonts w:ascii="Segoe UI"/>
          <w:color w:val="231F20"/>
          <w:spacing w:val="-5"/>
          <w:sz w:val="16"/>
        </w:rPr>
        <w:t> </w:t>
      </w:r>
      <w:r>
        <w:rPr>
          <w:rFonts w:ascii="Segoe UI"/>
          <w:color w:val="231F20"/>
          <w:sz w:val="16"/>
        </w:rPr>
        <w:t>for</w:t>
      </w:r>
      <w:r>
        <w:rPr>
          <w:rFonts w:ascii="Segoe UI"/>
          <w:color w:val="231F20"/>
          <w:spacing w:val="-4"/>
          <w:sz w:val="16"/>
        </w:rPr>
        <w:t> </w:t>
      </w:r>
      <w:r>
        <w:rPr>
          <w:rFonts w:ascii="Segoe UI"/>
          <w:color w:val="231F20"/>
          <w:spacing w:val="-1"/>
          <w:sz w:val="16"/>
        </w:rPr>
        <w:t>standalone</w:t>
      </w:r>
      <w:r>
        <w:rPr>
          <w:rFonts w:ascii="Segoe UI"/>
          <w:color w:val="231F20"/>
          <w:spacing w:val="-4"/>
          <w:sz w:val="16"/>
        </w:rPr>
        <w:t> </w:t>
      </w:r>
      <w:r>
        <w:rPr>
          <w:rFonts w:ascii="Segoe UI"/>
          <w:color w:val="231F20"/>
          <w:sz w:val="16"/>
        </w:rPr>
        <w:t>boarding</w:t>
      </w:r>
      <w:r>
        <w:rPr>
          <w:rFonts w:ascii="Segoe UI"/>
          <w:color w:val="231F20"/>
          <w:spacing w:val="23"/>
          <w:w w:val="99"/>
          <w:sz w:val="16"/>
        </w:rPr>
        <w:t> </w:t>
      </w:r>
      <w:r>
        <w:rPr>
          <w:rFonts w:ascii="Segoe UI"/>
          <w:color w:val="231F20"/>
          <w:sz w:val="16"/>
        </w:rPr>
        <w:t>providers</w:t>
      </w:r>
      <w:r>
        <w:rPr>
          <w:rFonts w:ascii="Segoe UI"/>
          <w:sz w:val="16"/>
        </w:rPr>
      </w:r>
    </w:p>
    <w:p>
      <w:pPr>
        <w:numPr>
          <w:ilvl w:val="0"/>
          <w:numId w:val="10"/>
        </w:numPr>
        <w:tabs>
          <w:tab w:pos="685" w:val="left" w:leader="none"/>
        </w:tabs>
        <w:spacing w:line="200" w:lineRule="exact" w:before="113"/>
        <w:ind w:left="684" w:right="226" w:hanging="567"/>
        <w:jc w:val="left"/>
        <w:rPr>
          <w:rFonts w:ascii="Segoe UI" w:hAnsi="Segoe UI" w:cs="Segoe UI" w:eastAsia="Segoe UI"/>
          <w:sz w:val="16"/>
          <w:szCs w:val="16"/>
        </w:rPr>
      </w:pPr>
      <w:r>
        <w:rPr>
          <w:rFonts w:ascii="Segoe UI"/>
          <w:color w:val="231F20"/>
          <w:spacing w:val="-1"/>
          <w:sz w:val="16"/>
        </w:rPr>
        <w:t>Recurrent</w:t>
      </w:r>
      <w:r>
        <w:rPr>
          <w:rFonts w:ascii="Segoe UI"/>
          <w:color w:val="231F20"/>
          <w:spacing w:val="-3"/>
          <w:sz w:val="16"/>
        </w:rPr>
        <w:t> </w:t>
      </w:r>
      <w:r>
        <w:rPr>
          <w:rFonts w:ascii="Segoe UI"/>
          <w:color w:val="231F20"/>
          <w:spacing w:val="-1"/>
          <w:sz w:val="16"/>
        </w:rPr>
        <w:t>income</w:t>
      </w:r>
      <w:r>
        <w:rPr>
          <w:rFonts w:ascii="Segoe UI"/>
          <w:color w:val="231F20"/>
          <w:spacing w:val="-3"/>
          <w:sz w:val="16"/>
        </w:rPr>
        <w:t> </w:t>
      </w:r>
      <w:r>
        <w:rPr>
          <w:rFonts w:ascii="Segoe UI"/>
          <w:color w:val="231F20"/>
          <w:spacing w:val="-1"/>
          <w:sz w:val="16"/>
        </w:rPr>
        <w:t>is</w:t>
      </w:r>
      <w:r>
        <w:rPr>
          <w:rFonts w:ascii="Segoe UI"/>
          <w:color w:val="231F20"/>
          <w:spacing w:val="-4"/>
          <w:sz w:val="16"/>
        </w:rPr>
        <w:t> </w:t>
      </w:r>
      <w:r>
        <w:rPr>
          <w:rFonts w:ascii="Segoe UI"/>
          <w:color w:val="231F20"/>
          <w:spacing w:val="-1"/>
          <w:sz w:val="16"/>
        </w:rPr>
        <w:t>income</w:t>
      </w:r>
      <w:r>
        <w:rPr>
          <w:rFonts w:ascii="Segoe UI"/>
          <w:color w:val="231F20"/>
          <w:spacing w:val="-3"/>
          <w:sz w:val="16"/>
        </w:rPr>
        <w:t> </w:t>
      </w:r>
      <w:r>
        <w:rPr>
          <w:rFonts w:ascii="Segoe UI"/>
          <w:color w:val="231F20"/>
          <w:sz w:val="16"/>
        </w:rPr>
        <w:t>that</w:t>
      </w:r>
      <w:r>
        <w:rPr>
          <w:rFonts w:ascii="Segoe UI"/>
          <w:color w:val="231F20"/>
          <w:spacing w:val="-4"/>
          <w:sz w:val="16"/>
        </w:rPr>
        <w:t> </w:t>
      </w:r>
      <w:r>
        <w:rPr>
          <w:rFonts w:ascii="Segoe UI"/>
          <w:color w:val="231F20"/>
          <w:spacing w:val="-1"/>
          <w:sz w:val="16"/>
        </w:rPr>
        <w:t>is</w:t>
      </w:r>
      <w:r>
        <w:rPr>
          <w:rFonts w:ascii="Segoe UI"/>
          <w:color w:val="231F20"/>
          <w:spacing w:val="-3"/>
          <w:sz w:val="16"/>
        </w:rPr>
        <w:t> </w:t>
      </w:r>
      <w:r>
        <w:rPr>
          <w:rFonts w:ascii="Segoe UI"/>
          <w:color w:val="231F20"/>
          <w:sz w:val="16"/>
        </w:rPr>
        <w:t>predictable,</w:t>
      </w:r>
      <w:r>
        <w:rPr>
          <w:rFonts w:ascii="Segoe UI"/>
          <w:color w:val="231F20"/>
          <w:spacing w:val="29"/>
          <w:w w:val="99"/>
          <w:sz w:val="16"/>
        </w:rPr>
        <w:t> </w:t>
      </w:r>
      <w:r>
        <w:rPr>
          <w:rFonts w:ascii="Segoe UI"/>
          <w:color w:val="231F20"/>
          <w:spacing w:val="-1"/>
          <w:sz w:val="16"/>
        </w:rPr>
        <w:t>stable</w:t>
      </w:r>
      <w:r>
        <w:rPr>
          <w:rFonts w:ascii="Segoe UI"/>
          <w:color w:val="231F20"/>
          <w:spacing w:val="-4"/>
          <w:sz w:val="16"/>
        </w:rPr>
        <w:t> </w:t>
      </w:r>
      <w:r>
        <w:rPr>
          <w:rFonts w:ascii="Segoe UI"/>
          <w:color w:val="231F20"/>
          <w:sz w:val="16"/>
        </w:rPr>
        <w:t>and</w:t>
      </w:r>
      <w:r>
        <w:rPr>
          <w:rFonts w:ascii="Segoe UI"/>
          <w:color w:val="231F20"/>
          <w:spacing w:val="-4"/>
          <w:sz w:val="16"/>
        </w:rPr>
        <w:t> </w:t>
      </w:r>
      <w:r>
        <w:rPr>
          <w:rFonts w:ascii="Segoe UI"/>
          <w:color w:val="231F20"/>
          <w:sz w:val="16"/>
        </w:rPr>
        <w:t>will</w:t>
      </w:r>
      <w:r>
        <w:rPr>
          <w:rFonts w:ascii="Segoe UI"/>
          <w:color w:val="231F20"/>
          <w:spacing w:val="-4"/>
          <w:sz w:val="16"/>
        </w:rPr>
        <w:t> </w:t>
      </w:r>
      <w:r>
        <w:rPr>
          <w:rFonts w:ascii="Segoe UI"/>
          <w:color w:val="231F20"/>
          <w:sz w:val="16"/>
        </w:rPr>
        <w:t>continue</w:t>
      </w:r>
      <w:r>
        <w:rPr>
          <w:rFonts w:ascii="Segoe UI"/>
          <w:color w:val="231F20"/>
          <w:spacing w:val="-4"/>
          <w:sz w:val="16"/>
        </w:rPr>
        <w:t> </w:t>
      </w:r>
      <w:r>
        <w:rPr>
          <w:rFonts w:ascii="Segoe UI"/>
          <w:color w:val="231F20"/>
          <w:spacing w:val="-1"/>
          <w:sz w:val="16"/>
        </w:rPr>
        <w:t>into</w:t>
      </w:r>
      <w:r>
        <w:rPr>
          <w:rFonts w:ascii="Segoe UI"/>
          <w:color w:val="231F20"/>
          <w:spacing w:val="-3"/>
          <w:sz w:val="16"/>
        </w:rPr>
        <w:t> </w:t>
      </w:r>
      <w:r>
        <w:rPr>
          <w:rFonts w:ascii="Segoe UI"/>
          <w:color w:val="231F20"/>
          <w:sz w:val="16"/>
        </w:rPr>
        <w:t>future</w:t>
      </w:r>
      <w:r>
        <w:rPr>
          <w:rFonts w:ascii="Segoe UI"/>
          <w:color w:val="231F20"/>
          <w:spacing w:val="-3"/>
          <w:sz w:val="16"/>
        </w:rPr>
        <w:t> </w:t>
      </w:r>
      <w:r>
        <w:rPr>
          <w:rFonts w:ascii="Segoe UI"/>
          <w:color w:val="231F20"/>
          <w:sz w:val="16"/>
        </w:rPr>
        <w:t>periods</w:t>
      </w:r>
      <w:r>
        <w:rPr>
          <w:rFonts w:ascii="Segoe UI"/>
          <w:color w:val="231F20"/>
          <w:spacing w:val="-4"/>
          <w:sz w:val="16"/>
        </w:rPr>
        <w:t> </w:t>
      </w:r>
      <w:r>
        <w:rPr>
          <w:rFonts w:ascii="Segoe UI"/>
          <w:color w:val="231F20"/>
          <w:sz w:val="16"/>
        </w:rPr>
        <w:t>with</w:t>
      </w:r>
      <w:r>
        <w:rPr>
          <w:rFonts w:ascii="Segoe UI"/>
          <w:color w:val="231F20"/>
          <w:spacing w:val="-4"/>
          <w:sz w:val="16"/>
        </w:rPr>
        <w:t> </w:t>
      </w:r>
      <w:r>
        <w:rPr>
          <w:rFonts w:ascii="Segoe UI"/>
          <w:color w:val="231F20"/>
          <w:sz w:val="16"/>
        </w:rPr>
        <w:t>a</w:t>
      </w:r>
      <w:r>
        <w:rPr>
          <w:rFonts w:ascii="Segoe UI"/>
          <w:color w:val="231F20"/>
          <w:spacing w:val="23"/>
          <w:w w:val="99"/>
          <w:sz w:val="16"/>
        </w:rPr>
        <w:t> </w:t>
      </w:r>
      <w:r>
        <w:rPr>
          <w:rFonts w:ascii="Segoe UI"/>
          <w:color w:val="231F20"/>
          <w:sz w:val="16"/>
        </w:rPr>
        <w:t>degree</w:t>
      </w:r>
      <w:r>
        <w:rPr>
          <w:rFonts w:ascii="Segoe UI"/>
          <w:color w:val="231F20"/>
          <w:spacing w:val="-5"/>
          <w:sz w:val="16"/>
        </w:rPr>
        <w:t> </w:t>
      </w:r>
      <w:r>
        <w:rPr>
          <w:rFonts w:ascii="Segoe UI"/>
          <w:color w:val="231F20"/>
          <w:sz w:val="16"/>
        </w:rPr>
        <w:t>of</w:t>
      </w:r>
      <w:r>
        <w:rPr>
          <w:rFonts w:ascii="Segoe UI"/>
          <w:color w:val="231F20"/>
          <w:spacing w:val="-3"/>
          <w:sz w:val="16"/>
        </w:rPr>
        <w:t> </w:t>
      </w:r>
      <w:r>
        <w:rPr>
          <w:rFonts w:ascii="Segoe UI"/>
          <w:color w:val="231F20"/>
          <w:sz w:val="16"/>
        </w:rPr>
        <w:t>certainty</w:t>
      </w:r>
      <w:r>
        <w:rPr>
          <w:rFonts w:ascii="Segoe UI"/>
          <w:color w:val="231F20"/>
          <w:spacing w:val="-5"/>
          <w:sz w:val="16"/>
        </w:rPr>
        <w:t> </w:t>
      </w:r>
      <w:r>
        <w:rPr>
          <w:rFonts w:ascii="Segoe UI"/>
          <w:color w:val="231F20"/>
          <w:sz w:val="16"/>
        </w:rPr>
        <w:t>and</w:t>
      </w:r>
      <w:r>
        <w:rPr>
          <w:rFonts w:ascii="Segoe UI"/>
          <w:color w:val="231F20"/>
          <w:spacing w:val="-4"/>
          <w:sz w:val="16"/>
        </w:rPr>
        <w:t> </w:t>
      </w:r>
      <w:r>
        <w:rPr>
          <w:rFonts w:ascii="Segoe UI"/>
          <w:color w:val="231F20"/>
          <w:spacing w:val="-1"/>
          <w:sz w:val="16"/>
        </w:rPr>
        <w:t>includes</w:t>
      </w:r>
      <w:r>
        <w:rPr>
          <w:rFonts w:ascii="Segoe UI"/>
          <w:color w:val="231F20"/>
          <w:spacing w:val="-3"/>
          <w:sz w:val="16"/>
        </w:rPr>
        <w:t> </w:t>
      </w:r>
      <w:r>
        <w:rPr>
          <w:rFonts w:ascii="Segoe UI"/>
          <w:color w:val="231F20"/>
          <w:sz w:val="16"/>
        </w:rPr>
        <w:t>fees</w:t>
      </w:r>
      <w:r>
        <w:rPr>
          <w:rFonts w:ascii="Segoe UI"/>
          <w:color w:val="231F20"/>
          <w:spacing w:val="-5"/>
          <w:sz w:val="16"/>
        </w:rPr>
        <w:t> </w:t>
      </w:r>
      <w:r>
        <w:rPr>
          <w:rFonts w:ascii="Segoe UI"/>
          <w:color w:val="231F20"/>
          <w:sz w:val="16"/>
        </w:rPr>
        <w:t>and</w:t>
      </w:r>
      <w:r>
        <w:rPr>
          <w:rFonts w:ascii="Segoe UI"/>
          <w:color w:val="231F20"/>
          <w:spacing w:val="-4"/>
          <w:sz w:val="16"/>
        </w:rPr>
        <w:t> </w:t>
      </w:r>
      <w:r>
        <w:rPr>
          <w:rFonts w:ascii="Segoe UI"/>
          <w:color w:val="231F20"/>
          <w:sz w:val="16"/>
        </w:rPr>
        <w:t>charges,</w:t>
      </w:r>
      <w:r>
        <w:rPr>
          <w:rFonts w:ascii="Segoe UI"/>
          <w:color w:val="231F20"/>
          <w:spacing w:val="22"/>
          <w:w w:val="99"/>
          <w:sz w:val="16"/>
        </w:rPr>
        <w:t> </w:t>
      </w:r>
      <w:r>
        <w:rPr>
          <w:rFonts w:ascii="Segoe UI"/>
          <w:color w:val="231F20"/>
          <w:sz w:val="16"/>
        </w:rPr>
        <w:t>ABSTUDY,</w:t>
      </w:r>
      <w:r>
        <w:rPr>
          <w:rFonts w:ascii="Segoe UI"/>
          <w:color w:val="231F20"/>
          <w:spacing w:val="-3"/>
          <w:sz w:val="16"/>
        </w:rPr>
        <w:t> </w:t>
      </w:r>
      <w:r>
        <w:rPr>
          <w:rFonts w:ascii="Segoe UI"/>
          <w:color w:val="231F20"/>
          <w:sz w:val="16"/>
        </w:rPr>
        <w:t>private</w:t>
      </w:r>
      <w:r>
        <w:rPr>
          <w:rFonts w:ascii="Segoe UI"/>
          <w:color w:val="231F20"/>
          <w:spacing w:val="-3"/>
          <w:sz w:val="16"/>
        </w:rPr>
        <w:t> </w:t>
      </w:r>
      <w:r>
        <w:rPr>
          <w:rFonts w:ascii="Segoe UI"/>
          <w:color w:val="231F20"/>
          <w:spacing w:val="-1"/>
          <w:sz w:val="16"/>
        </w:rPr>
        <w:t>income</w:t>
      </w:r>
      <w:r>
        <w:rPr>
          <w:rFonts w:ascii="Segoe UI"/>
          <w:color w:val="231F20"/>
          <w:spacing w:val="-2"/>
          <w:sz w:val="16"/>
        </w:rPr>
        <w:t> </w:t>
      </w:r>
      <w:r>
        <w:rPr>
          <w:rFonts w:ascii="Segoe UI"/>
          <w:color w:val="231F20"/>
          <w:spacing w:val="-1"/>
          <w:sz w:val="16"/>
        </w:rPr>
        <w:t>sources</w:t>
      </w:r>
      <w:r>
        <w:rPr>
          <w:rFonts w:ascii="Segoe UI"/>
          <w:color w:val="231F20"/>
          <w:spacing w:val="-3"/>
          <w:sz w:val="16"/>
        </w:rPr>
        <w:t> </w:t>
      </w:r>
      <w:r>
        <w:rPr>
          <w:rFonts w:ascii="Segoe UI"/>
          <w:color w:val="231F20"/>
          <w:sz w:val="16"/>
        </w:rPr>
        <w:t>and</w:t>
      </w:r>
      <w:r>
        <w:rPr>
          <w:rFonts w:ascii="Segoe UI"/>
          <w:color w:val="231F20"/>
          <w:spacing w:val="-3"/>
          <w:sz w:val="16"/>
        </w:rPr>
        <w:t> </w:t>
      </w:r>
      <w:r>
        <w:rPr>
          <w:rFonts w:ascii="Segoe UI"/>
          <w:color w:val="231F20"/>
          <w:spacing w:val="-1"/>
          <w:sz w:val="16"/>
        </w:rPr>
        <w:t>state/</w:t>
      </w:r>
      <w:r>
        <w:rPr>
          <w:rFonts w:ascii="Segoe UI"/>
          <w:color w:val="231F20"/>
          <w:spacing w:val="22"/>
          <w:w w:val="99"/>
          <w:sz w:val="16"/>
        </w:rPr>
        <w:t> </w:t>
      </w:r>
      <w:r>
        <w:rPr>
          <w:rFonts w:ascii="Segoe UI"/>
          <w:color w:val="231F20"/>
          <w:sz w:val="16"/>
        </w:rPr>
        <w:t>territory</w:t>
      </w:r>
      <w:r>
        <w:rPr>
          <w:rFonts w:ascii="Segoe UI"/>
          <w:color w:val="231F20"/>
          <w:spacing w:val="-10"/>
          <w:sz w:val="16"/>
        </w:rPr>
        <w:t> </w:t>
      </w:r>
      <w:r>
        <w:rPr>
          <w:rFonts w:ascii="Segoe UI"/>
          <w:color w:val="231F20"/>
          <w:sz w:val="16"/>
        </w:rPr>
        <w:t>and</w:t>
      </w:r>
      <w:r>
        <w:rPr>
          <w:rFonts w:ascii="Segoe UI"/>
          <w:color w:val="231F20"/>
          <w:spacing w:val="-9"/>
          <w:sz w:val="16"/>
        </w:rPr>
        <w:t> </w:t>
      </w:r>
      <w:r>
        <w:rPr>
          <w:rFonts w:ascii="Segoe UI"/>
          <w:color w:val="231F20"/>
          <w:spacing w:val="-1"/>
          <w:sz w:val="16"/>
        </w:rPr>
        <w:t>Commonwealth</w:t>
      </w:r>
      <w:r>
        <w:rPr>
          <w:rFonts w:ascii="Segoe UI"/>
          <w:color w:val="231F20"/>
          <w:spacing w:val="-8"/>
          <w:sz w:val="16"/>
        </w:rPr>
        <w:t> </w:t>
      </w:r>
      <w:r>
        <w:rPr>
          <w:rFonts w:ascii="Segoe UI"/>
          <w:color w:val="231F20"/>
          <w:sz w:val="16"/>
        </w:rPr>
        <w:t>funding</w:t>
      </w:r>
      <w:r>
        <w:rPr>
          <w:rFonts w:ascii="Segoe UI"/>
          <w:sz w:val="16"/>
        </w:rPr>
      </w:r>
    </w:p>
    <w:p>
      <w:pPr>
        <w:spacing w:after="0" w:line="200" w:lineRule="exact"/>
        <w:jc w:val="left"/>
        <w:rPr>
          <w:rFonts w:ascii="Segoe UI" w:hAnsi="Segoe UI" w:cs="Segoe UI" w:eastAsia="Segoe UI"/>
          <w:sz w:val="16"/>
          <w:szCs w:val="16"/>
        </w:rPr>
        <w:sectPr>
          <w:type w:val="continuous"/>
          <w:pgSz w:w="11910" w:h="16840"/>
          <w:pgMar w:top="1580" w:bottom="280" w:left="1300" w:right="1680"/>
          <w:cols w:num="2" w:equalWidth="0">
            <w:col w:w="4252" w:space="227"/>
            <w:col w:w="4451"/>
          </w:cols>
        </w:sectPr>
      </w:pPr>
    </w:p>
    <w:p>
      <w:pPr>
        <w:spacing w:line="240" w:lineRule="auto" w:before="0"/>
        <w:rPr>
          <w:rFonts w:ascii="Segoe UI" w:hAnsi="Segoe UI" w:cs="Segoe UI" w:eastAsia="Segoe UI"/>
          <w:sz w:val="20"/>
          <w:szCs w:val="20"/>
        </w:rPr>
      </w:pPr>
    </w:p>
    <w:p>
      <w:pPr>
        <w:spacing w:line="240" w:lineRule="auto" w:before="11"/>
        <w:rPr>
          <w:rFonts w:ascii="Segoe UI" w:hAnsi="Segoe UI" w:cs="Segoe UI" w:eastAsia="Segoe UI"/>
          <w:sz w:val="21"/>
          <w:szCs w:val="21"/>
        </w:rPr>
      </w:pPr>
    </w:p>
    <w:p>
      <w:pPr>
        <w:spacing w:after="0" w:line="240" w:lineRule="auto"/>
        <w:rPr>
          <w:rFonts w:ascii="Segoe UI" w:hAnsi="Segoe UI" w:cs="Segoe UI" w:eastAsia="Segoe UI"/>
          <w:sz w:val="21"/>
          <w:szCs w:val="21"/>
        </w:rPr>
        <w:sectPr>
          <w:pgSz w:w="11910" w:h="16840"/>
          <w:pgMar w:header="0" w:footer="691" w:top="1580" w:bottom="880" w:left="1600" w:right="1300"/>
        </w:sectPr>
      </w:pPr>
    </w:p>
    <w:p>
      <w:pPr>
        <w:numPr>
          <w:ilvl w:val="0"/>
          <w:numId w:val="10"/>
        </w:numPr>
        <w:tabs>
          <w:tab w:pos="668" w:val="left" w:leader="none"/>
        </w:tabs>
        <w:spacing w:line="200" w:lineRule="exact" w:before="70"/>
        <w:ind w:left="667" w:right="0" w:hanging="567"/>
        <w:jc w:val="left"/>
        <w:rPr>
          <w:rFonts w:ascii="Segoe UI" w:hAnsi="Segoe UI" w:cs="Segoe UI" w:eastAsia="Segoe UI"/>
          <w:sz w:val="16"/>
          <w:szCs w:val="16"/>
        </w:rPr>
      </w:pPr>
      <w:r>
        <w:rPr>
          <w:rFonts w:ascii="Segoe UI"/>
          <w:color w:val="231F20"/>
          <w:spacing w:val="-1"/>
          <w:sz w:val="16"/>
        </w:rPr>
        <w:t>Recurrent</w:t>
      </w:r>
      <w:r>
        <w:rPr>
          <w:rFonts w:ascii="Segoe UI"/>
          <w:color w:val="231F20"/>
          <w:spacing w:val="-4"/>
          <w:sz w:val="16"/>
        </w:rPr>
        <w:t> </w:t>
      </w:r>
      <w:r>
        <w:rPr>
          <w:rFonts w:ascii="Segoe UI"/>
          <w:color w:val="231F20"/>
          <w:sz w:val="16"/>
        </w:rPr>
        <w:t>costs</w:t>
      </w:r>
      <w:r>
        <w:rPr>
          <w:rFonts w:ascii="Segoe UI"/>
          <w:color w:val="231F20"/>
          <w:spacing w:val="-5"/>
          <w:sz w:val="16"/>
        </w:rPr>
        <w:t> </w:t>
      </w:r>
      <w:r>
        <w:rPr>
          <w:rFonts w:ascii="Segoe UI"/>
          <w:color w:val="231F20"/>
          <w:sz w:val="16"/>
        </w:rPr>
        <w:t>are</w:t>
      </w:r>
      <w:r>
        <w:rPr>
          <w:rFonts w:ascii="Segoe UI"/>
          <w:color w:val="231F20"/>
          <w:spacing w:val="-4"/>
          <w:sz w:val="16"/>
        </w:rPr>
        <w:t> </w:t>
      </w:r>
      <w:r>
        <w:rPr>
          <w:rFonts w:ascii="Segoe UI"/>
          <w:color w:val="231F20"/>
          <w:sz w:val="16"/>
        </w:rPr>
        <w:t>those</w:t>
      </w:r>
      <w:r>
        <w:rPr>
          <w:rFonts w:ascii="Segoe UI"/>
          <w:color w:val="231F20"/>
          <w:spacing w:val="-5"/>
          <w:sz w:val="16"/>
        </w:rPr>
        <w:t> </w:t>
      </w:r>
      <w:r>
        <w:rPr>
          <w:rFonts w:ascii="Segoe UI"/>
          <w:color w:val="231F20"/>
          <w:spacing w:val="-1"/>
          <w:sz w:val="16"/>
        </w:rPr>
        <w:t>costs</w:t>
      </w:r>
      <w:r>
        <w:rPr>
          <w:rFonts w:ascii="Segoe UI"/>
          <w:color w:val="231F20"/>
          <w:spacing w:val="-4"/>
          <w:sz w:val="16"/>
        </w:rPr>
        <w:t> </w:t>
      </w:r>
      <w:r>
        <w:rPr>
          <w:rFonts w:ascii="Segoe UI"/>
          <w:color w:val="231F20"/>
          <w:sz w:val="16"/>
        </w:rPr>
        <w:t>that</w:t>
      </w:r>
      <w:r>
        <w:rPr>
          <w:rFonts w:ascii="Segoe UI"/>
          <w:color w:val="231F20"/>
          <w:spacing w:val="-5"/>
          <w:sz w:val="16"/>
        </w:rPr>
        <w:t> </w:t>
      </w:r>
      <w:r>
        <w:rPr>
          <w:rFonts w:ascii="Segoe UI"/>
          <w:color w:val="231F20"/>
          <w:sz w:val="16"/>
        </w:rPr>
        <w:t>are</w:t>
      </w:r>
      <w:r>
        <w:rPr>
          <w:rFonts w:ascii="Segoe UI"/>
          <w:color w:val="231F20"/>
          <w:spacing w:val="-4"/>
          <w:sz w:val="16"/>
        </w:rPr>
        <w:t> </w:t>
      </w:r>
      <w:r>
        <w:rPr>
          <w:rFonts w:ascii="Segoe UI"/>
          <w:color w:val="231F20"/>
          <w:sz w:val="16"/>
        </w:rPr>
        <w:t>predictable</w:t>
      </w:r>
      <w:r>
        <w:rPr>
          <w:rFonts w:ascii="Segoe UI"/>
          <w:color w:val="231F20"/>
          <w:spacing w:val="28"/>
          <w:w w:val="99"/>
          <w:sz w:val="16"/>
        </w:rPr>
        <w:t> </w:t>
      </w:r>
      <w:r>
        <w:rPr>
          <w:rFonts w:ascii="Segoe UI"/>
          <w:color w:val="231F20"/>
          <w:sz w:val="16"/>
        </w:rPr>
        <w:t>and</w:t>
      </w:r>
      <w:r>
        <w:rPr>
          <w:rFonts w:ascii="Segoe UI"/>
          <w:color w:val="231F20"/>
          <w:spacing w:val="-5"/>
          <w:sz w:val="16"/>
        </w:rPr>
        <w:t> </w:t>
      </w:r>
      <w:r>
        <w:rPr>
          <w:rFonts w:ascii="Segoe UI"/>
          <w:color w:val="231F20"/>
          <w:spacing w:val="-1"/>
          <w:sz w:val="16"/>
        </w:rPr>
        <w:t>stable</w:t>
      </w:r>
      <w:r>
        <w:rPr>
          <w:rFonts w:ascii="Segoe UI"/>
          <w:color w:val="231F20"/>
          <w:spacing w:val="-5"/>
          <w:sz w:val="16"/>
        </w:rPr>
        <w:t> </w:t>
      </w:r>
      <w:r>
        <w:rPr>
          <w:rFonts w:ascii="Segoe UI"/>
          <w:color w:val="231F20"/>
          <w:sz w:val="16"/>
        </w:rPr>
        <w:t>and</w:t>
      </w:r>
      <w:r>
        <w:rPr>
          <w:rFonts w:ascii="Segoe UI"/>
          <w:color w:val="231F20"/>
          <w:spacing w:val="-4"/>
          <w:sz w:val="16"/>
        </w:rPr>
        <w:t> </w:t>
      </w:r>
      <w:r>
        <w:rPr>
          <w:rFonts w:ascii="Segoe UI"/>
          <w:color w:val="231F20"/>
          <w:sz w:val="16"/>
        </w:rPr>
        <w:t>an</w:t>
      </w:r>
      <w:r>
        <w:rPr>
          <w:rFonts w:ascii="Segoe UI"/>
          <w:color w:val="231F20"/>
          <w:spacing w:val="-5"/>
          <w:sz w:val="16"/>
        </w:rPr>
        <w:t> </w:t>
      </w:r>
      <w:r>
        <w:rPr>
          <w:rFonts w:ascii="Segoe UI"/>
          <w:color w:val="231F20"/>
          <w:sz w:val="16"/>
        </w:rPr>
        <w:t>ongoing</w:t>
      </w:r>
      <w:r>
        <w:rPr>
          <w:rFonts w:ascii="Segoe UI"/>
          <w:color w:val="231F20"/>
          <w:spacing w:val="-5"/>
          <w:sz w:val="16"/>
        </w:rPr>
        <w:t> </w:t>
      </w:r>
      <w:r>
        <w:rPr>
          <w:rFonts w:ascii="Segoe UI"/>
          <w:color w:val="231F20"/>
          <w:sz w:val="16"/>
        </w:rPr>
        <w:t>expense</w:t>
      </w:r>
      <w:r>
        <w:rPr>
          <w:rFonts w:ascii="Segoe UI"/>
          <w:color w:val="231F20"/>
          <w:spacing w:val="-4"/>
          <w:sz w:val="16"/>
        </w:rPr>
        <w:t> </w:t>
      </w:r>
      <w:r>
        <w:rPr>
          <w:rFonts w:ascii="Segoe UI"/>
          <w:color w:val="231F20"/>
          <w:sz w:val="16"/>
        </w:rPr>
        <w:t>of</w:t>
      </w:r>
      <w:r>
        <w:rPr>
          <w:rFonts w:ascii="Segoe UI"/>
          <w:color w:val="231F20"/>
          <w:spacing w:val="-5"/>
          <w:sz w:val="16"/>
        </w:rPr>
        <w:t> </w:t>
      </w:r>
      <w:r>
        <w:rPr>
          <w:rFonts w:ascii="Segoe UI"/>
          <w:color w:val="231F20"/>
          <w:sz w:val="16"/>
        </w:rPr>
        <w:t>the</w:t>
      </w:r>
      <w:r>
        <w:rPr>
          <w:rFonts w:ascii="Segoe UI"/>
          <w:color w:val="231F20"/>
          <w:spacing w:val="-4"/>
          <w:sz w:val="16"/>
        </w:rPr>
        <w:t> </w:t>
      </w:r>
      <w:r>
        <w:rPr>
          <w:rFonts w:ascii="Segoe UI"/>
          <w:color w:val="231F20"/>
          <w:sz w:val="16"/>
        </w:rPr>
        <w:t>boarding</w:t>
      </w:r>
      <w:r>
        <w:rPr>
          <w:rFonts w:ascii="Segoe UI"/>
          <w:color w:val="231F20"/>
          <w:spacing w:val="21"/>
          <w:w w:val="99"/>
          <w:sz w:val="16"/>
        </w:rPr>
        <w:t> </w:t>
      </w:r>
      <w:r>
        <w:rPr>
          <w:rFonts w:ascii="Segoe UI"/>
          <w:color w:val="231F20"/>
          <w:sz w:val="16"/>
        </w:rPr>
        <w:t>provider.</w:t>
      </w:r>
      <w:r>
        <w:rPr>
          <w:rFonts w:ascii="Segoe UI"/>
          <w:color w:val="231F20"/>
          <w:spacing w:val="-9"/>
          <w:sz w:val="16"/>
        </w:rPr>
        <w:t> </w:t>
      </w:r>
      <w:r>
        <w:rPr>
          <w:rFonts w:ascii="Segoe UI"/>
          <w:color w:val="231F20"/>
          <w:sz w:val="16"/>
        </w:rPr>
        <w:t>They</w:t>
      </w:r>
      <w:r>
        <w:rPr>
          <w:rFonts w:ascii="Segoe UI"/>
          <w:color w:val="231F20"/>
          <w:spacing w:val="-8"/>
          <w:sz w:val="16"/>
        </w:rPr>
        <w:t> </w:t>
      </w:r>
      <w:r>
        <w:rPr>
          <w:rFonts w:ascii="Segoe UI"/>
          <w:color w:val="231F20"/>
          <w:spacing w:val="-1"/>
          <w:sz w:val="16"/>
        </w:rPr>
        <w:t>include</w:t>
      </w:r>
      <w:r>
        <w:rPr>
          <w:rFonts w:ascii="Segoe UI"/>
          <w:color w:val="231F20"/>
          <w:spacing w:val="-7"/>
          <w:sz w:val="16"/>
        </w:rPr>
        <w:t> </w:t>
      </w:r>
      <w:r>
        <w:rPr>
          <w:rFonts w:ascii="Segoe UI"/>
          <w:color w:val="231F20"/>
          <w:spacing w:val="-1"/>
          <w:sz w:val="16"/>
        </w:rPr>
        <w:t>salaries,</w:t>
      </w:r>
      <w:r>
        <w:rPr>
          <w:rFonts w:ascii="Segoe UI"/>
          <w:color w:val="231F20"/>
          <w:spacing w:val="-8"/>
          <w:sz w:val="16"/>
        </w:rPr>
        <w:t> </w:t>
      </w:r>
      <w:r>
        <w:rPr>
          <w:rFonts w:ascii="Segoe UI"/>
          <w:color w:val="231F20"/>
          <w:sz w:val="16"/>
        </w:rPr>
        <w:t>administration</w:t>
      </w:r>
      <w:r>
        <w:rPr>
          <w:rFonts w:ascii="Segoe UI"/>
          <w:color w:val="231F20"/>
          <w:spacing w:val="23"/>
          <w:w w:val="99"/>
          <w:sz w:val="16"/>
        </w:rPr>
        <w:t> </w:t>
      </w:r>
      <w:r>
        <w:rPr>
          <w:rFonts w:ascii="Segoe UI"/>
          <w:color w:val="231F20"/>
          <w:sz w:val="16"/>
        </w:rPr>
        <w:t>expenses,</w:t>
      </w:r>
      <w:r>
        <w:rPr>
          <w:rFonts w:ascii="Segoe UI"/>
          <w:color w:val="231F20"/>
          <w:spacing w:val="-8"/>
          <w:sz w:val="16"/>
        </w:rPr>
        <w:t> </w:t>
      </w:r>
      <w:r>
        <w:rPr>
          <w:rFonts w:ascii="Segoe UI"/>
          <w:color w:val="231F20"/>
          <w:sz w:val="16"/>
        </w:rPr>
        <w:t>property</w:t>
      </w:r>
      <w:r>
        <w:rPr>
          <w:rFonts w:ascii="Segoe UI"/>
          <w:color w:val="231F20"/>
          <w:spacing w:val="-7"/>
          <w:sz w:val="16"/>
        </w:rPr>
        <w:t> </w:t>
      </w:r>
      <w:r>
        <w:rPr>
          <w:rFonts w:ascii="Segoe UI"/>
          <w:color w:val="231F20"/>
          <w:spacing w:val="-1"/>
          <w:sz w:val="16"/>
        </w:rPr>
        <w:t>maintenance,</w:t>
      </w:r>
      <w:r>
        <w:rPr>
          <w:rFonts w:ascii="Segoe UI"/>
          <w:color w:val="231F20"/>
          <w:spacing w:val="-6"/>
          <w:sz w:val="16"/>
        </w:rPr>
        <w:t> </w:t>
      </w:r>
      <w:r>
        <w:rPr>
          <w:rFonts w:ascii="Segoe UI"/>
          <w:color w:val="231F20"/>
          <w:spacing w:val="-1"/>
          <w:sz w:val="16"/>
        </w:rPr>
        <w:t>interest</w:t>
      </w:r>
      <w:r>
        <w:rPr>
          <w:rFonts w:ascii="Segoe UI"/>
          <w:color w:val="231F20"/>
          <w:spacing w:val="-7"/>
          <w:sz w:val="16"/>
        </w:rPr>
        <w:t> </w:t>
      </w:r>
      <w:r>
        <w:rPr>
          <w:rFonts w:ascii="Segoe UI"/>
          <w:color w:val="231F20"/>
          <w:sz w:val="16"/>
        </w:rPr>
        <w:t>charges</w:t>
      </w:r>
      <w:r>
        <w:rPr>
          <w:rFonts w:ascii="Segoe UI"/>
          <w:color w:val="231F20"/>
          <w:spacing w:val="23"/>
          <w:w w:val="99"/>
          <w:sz w:val="16"/>
        </w:rPr>
        <w:t> </w:t>
      </w:r>
      <w:r>
        <w:rPr>
          <w:rFonts w:ascii="Segoe UI"/>
          <w:color w:val="231F20"/>
          <w:sz w:val="16"/>
        </w:rPr>
        <w:t>and</w:t>
      </w:r>
      <w:r>
        <w:rPr>
          <w:rFonts w:ascii="Segoe UI"/>
          <w:color w:val="231F20"/>
          <w:spacing w:val="-6"/>
          <w:sz w:val="16"/>
        </w:rPr>
        <w:t> </w:t>
      </w:r>
      <w:r>
        <w:rPr>
          <w:rFonts w:ascii="Segoe UI"/>
          <w:color w:val="231F20"/>
          <w:sz w:val="16"/>
        </w:rPr>
        <w:t>bad</w:t>
      </w:r>
      <w:r>
        <w:rPr>
          <w:rFonts w:ascii="Segoe UI"/>
          <w:color w:val="231F20"/>
          <w:spacing w:val="-5"/>
          <w:sz w:val="16"/>
        </w:rPr>
        <w:t> </w:t>
      </w:r>
      <w:r>
        <w:rPr>
          <w:rFonts w:ascii="Segoe UI"/>
          <w:color w:val="231F20"/>
          <w:sz w:val="16"/>
        </w:rPr>
        <w:t>and</w:t>
      </w:r>
      <w:r>
        <w:rPr>
          <w:rFonts w:ascii="Segoe UI"/>
          <w:color w:val="231F20"/>
          <w:spacing w:val="-5"/>
          <w:sz w:val="16"/>
        </w:rPr>
        <w:t> </w:t>
      </w:r>
      <w:r>
        <w:rPr>
          <w:rFonts w:ascii="Segoe UI"/>
          <w:color w:val="231F20"/>
          <w:sz w:val="16"/>
        </w:rPr>
        <w:t>doubtful</w:t>
      </w:r>
      <w:r>
        <w:rPr>
          <w:rFonts w:ascii="Segoe UI"/>
          <w:color w:val="231F20"/>
          <w:spacing w:val="-6"/>
          <w:sz w:val="16"/>
        </w:rPr>
        <w:t> </w:t>
      </w:r>
      <w:r>
        <w:rPr>
          <w:rFonts w:ascii="Segoe UI"/>
          <w:color w:val="231F20"/>
          <w:sz w:val="16"/>
        </w:rPr>
        <w:t>debts</w:t>
      </w:r>
      <w:r>
        <w:rPr>
          <w:rFonts w:ascii="Segoe UI"/>
          <w:sz w:val="16"/>
        </w:rPr>
      </w:r>
    </w:p>
    <w:p>
      <w:pPr>
        <w:numPr>
          <w:ilvl w:val="0"/>
          <w:numId w:val="10"/>
        </w:numPr>
        <w:tabs>
          <w:tab w:pos="668" w:val="left" w:leader="none"/>
        </w:tabs>
        <w:spacing w:before="100"/>
        <w:ind w:left="667" w:right="37" w:hanging="567"/>
        <w:jc w:val="left"/>
        <w:rPr>
          <w:rFonts w:ascii="Segoe UI" w:hAnsi="Segoe UI" w:cs="Segoe UI" w:eastAsia="Segoe UI"/>
          <w:sz w:val="16"/>
          <w:szCs w:val="16"/>
        </w:rPr>
      </w:pPr>
      <w:r>
        <w:rPr>
          <w:rFonts w:ascii="Segoe UI"/>
          <w:color w:val="231F20"/>
          <w:spacing w:val="-1"/>
          <w:sz w:val="16"/>
        </w:rPr>
        <w:t>KPMG,</w:t>
      </w:r>
      <w:r>
        <w:rPr>
          <w:rFonts w:ascii="Segoe UI"/>
          <w:color w:val="231F20"/>
          <w:spacing w:val="-3"/>
          <w:sz w:val="16"/>
        </w:rPr>
        <w:t> </w:t>
      </w:r>
      <w:r>
        <w:rPr>
          <w:rFonts w:ascii="Segoe UI"/>
          <w:color w:val="231F20"/>
          <w:spacing w:val="-1"/>
          <w:sz w:val="16"/>
        </w:rPr>
        <w:t>2016,</w:t>
      </w:r>
      <w:r>
        <w:rPr>
          <w:rFonts w:ascii="Segoe UI"/>
          <w:color w:val="231F20"/>
          <w:spacing w:val="-2"/>
          <w:sz w:val="16"/>
        </w:rPr>
        <w:t> </w:t>
      </w:r>
      <w:r>
        <w:rPr>
          <w:rFonts w:ascii="Segoe UI"/>
          <w:i/>
          <w:color w:val="231F20"/>
          <w:spacing w:val="-1"/>
          <w:sz w:val="16"/>
        </w:rPr>
        <w:t>Introduction</w:t>
      </w:r>
      <w:r>
        <w:rPr>
          <w:rFonts w:ascii="Segoe UI"/>
          <w:sz w:val="16"/>
        </w:rPr>
      </w:r>
    </w:p>
    <w:p>
      <w:pPr>
        <w:numPr>
          <w:ilvl w:val="0"/>
          <w:numId w:val="10"/>
        </w:numPr>
        <w:tabs>
          <w:tab w:pos="668" w:val="left" w:leader="none"/>
        </w:tabs>
        <w:spacing w:line="200" w:lineRule="exact" w:before="113"/>
        <w:ind w:left="667" w:right="9" w:hanging="567"/>
        <w:jc w:val="left"/>
        <w:rPr>
          <w:rFonts w:ascii="Segoe UI" w:hAnsi="Segoe UI" w:cs="Segoe UI" w:eastAsia="Segoe UI"/>
          <w:sz w:val="16"/>
          <w:szCs w:val="16"/>
        </w:rPr>
      </w:pPr>
      <w:r>
        <w:rPr>
          <w:rFonts w:ascii="Segoe UI" w:hAnsi="Segoe UI" w:cs="Segoe UI" w:eastAsia="Segoe UI"/>
          <w:color w:val="231F20"/>
          <w:sz w:val="16"/>
          <w:szCs w:val="16"/>
        </w:rPr>
        <w:t>Guenther,</w:t>
      </w:r>
      <w:r>
        <w:rPr>
          <w:rFonts w:ascii="Segoe UI" w:hAnsi="Segoe UI" w:cs="Segoe UI" w:eastAsia="Segoe UI"/>
          <w:color w:val="231F20"/>
          <w:spacing w:val="-8"/>
          <w:sz w:val="16"/>
          <w:szCs w:val="16"/>
        </w:rPr>
        <w:t> </w:t>
      </w:r>
      <w:r>
        <w:rPr>
          <w:rFonts w:ascii="Segoe UI" w:hAnsi="Segoe UI" w:cs="Segoe UI" w:eastAsia="Segoe UI"/>
          <w:color w:val="231F20"/>
          <w:sz w:val="16"/>
          <w:szCs w:val="16"/>
        </w:rPr>
        <w:t>John;</w:t>
      </w:r>
      <w:r>
        <w:rPr>
          <w:rFonts w:ascii="Segoe UI" w:hAnsi="Segoe UI" w:cs="Segoe UI" w:eastAsia="Segoe UI"/>
          <w:color w:val="231F20"/>
          <w:spacing w:val="-8"/>
          <w:sz w:val="16"/>
          <w:szCs w:val="16"/>
        </w:rPr>
        <w:t> </w:t>
      </w:r>
      <w:r>
        <w:rPr>
          <w:rFonts w:ascii="Segoe UI" w:hAnsi="Segoe UI" w:cs="Segoe UI" w:eastAsia="Segoe UI"/>
          <w:color w:val="231F20"/>
          <w:spacing w:val="-1"/>
          <w:sz w:val="16"/>
          <w:szCs w:val="16"/>
        </w:rPr>
        <w:t>Redman-MacLaren,</w:t>
      </w:r>
      <w:r>
        <w:rPr>
          <w:rFonts w:ascii="Segoe UI" w:hAnsi="Segoe UI" w:cs="Segoe UI" w:eastAsia="Segoe UI"/>
          <w:color w:val="231F20"/>
          <w:spacing w:val="-8"/>
          <w:sz w:val="16"/>
          <w:szCs w:val="16"/>
        </w:rPr>
        <w:t> </w:t>
      </w:r>
      <w:r>
        <w:rPr>
          <w:rFonts w:ascii="Segoe UI" w:hAnsi="Segoe UI" w:cs="Segoe UI" w:eastAsia="Segoe UI"/>
          <w:color w:val="231F20"/>
          <w:sz w:val="16"/>
          <w:szCs w:val="16"/>
        </w:rPr>
        <w:t>Michelle;</w:t>
      </w:r>
      <w:r>
        <w:rPr>
          <w:rFonts w:ascii="Segoe UI" w:hAnsi="Segoe UI" w:cs="Segoe UI" w:eastAsia="Segoe UI"/>
          <w:color w:val="231F20"/>
          <w:spacing w:val="20"/>
          <w:sz w:val="16"/>
          <w:szCs w:val="16"/>
        </w:rPr>
        <w:t> </w:t>
      </w:r>
      <w:r>
        <w:rPr>
          <w:rFonts w:ascii="Segoe UI" w:hAnsi="Segoe UI" w:cs="Segoe UI" w:eastAsia="Segoe UI"/>
          <w:color w:val="231F20"/>
          <w:sz w:val="16"/>
          <w:szCs w:val="16"/>
        </w:rPr>
        <w:t>Mander,</w:t>
      </w:r>
      <w:r>
        <w:rPr>
          <w:rFonts w:ascii="Segoe UI" w:hAnsi="Segoe UI" w:cs="Segoe UI" w:eastAsia="Segoe UI"/>
          <w:color w:val="231F20"/>
          <w:spacing w:val="-7"/>
          <w:sz w:val="16"/>
          <w:szCs w:val="16"/>
        </w:rPr>
        <w:t> </w:t>
      </w:r>
      <w:r>
        <w:rPr>
          <w:rFonts w:ascii="Segoe UI" w:hAnsi="Segoe UI" w:cs="Segoe UI" w:eastAsia="Segoe UI"/>
          <w:color w:val="231F20"/>
          <w:spacing w:val="-1"/>
          <w:sz w:val="16"/>
          <w:szCs w:val="16"/>
        </w:rPr>
        <w:t>David;</w:t>
      </w:r>
      <w:r>
        <w:rPr>
          <w:rFonts w:ascii="Segoe UI" w:hAnsi="Segoe UI" w:cs="Segoe UI" w:eastAsia="Segoe UI"/>
          <w:color w:val="231F20"/>
          <w:spacing w:val="-7"/>
          <w:sz w:val="16"/>
          <w:szCs w:val="16"/>
        </w:rPr>
        <w:t> </w:t>
      </w:r>
      <w:r>
        <w:rPr>
          <w:rFonts w:ascii="Segoe UI" w:hAnsi="Segoe UI" w:cs="Segoe UI" w:eastAsia="Segoe UI"/>
          <w:color w:val="231F20"/>
          <w:spacing w:val="-1"/>
          <w:sz w:val="16"/>
          <w:szCs w:val="16"/>
        </w:rPr>
        <w:t>Stewart,</w:t>
      </w:r>
      <w:r>
        <w:rPr>
          <w:rFonts w:ascii="Segoe UI" w:hAnsi="Segoe UI" w:cs="Segoe UI" w:eastAsia="Segoe UI"/>
          <w:color w:val="231F20"/>
          <w:spacing w:val="-7"/>
          <w:sz w:val="16"/>
          <w:szCs w:val="16"/>
        </w:rPr>
        <w:t> </w:t>
      </w:r>
      <w:r>
        <w:rPr>
          <w:rFonts w:ascii="Segoe UI" w:hAnsi="Segoe UI" w:cs="Segoe UI" w:eastAsia="Segoe UI"/>
          <w:color w:val="231F20"/>
          <w:spacing w:val="-1"/>
          <w:sz w:val="16"/>
          <w:szCs w:val="16"/>
        </w:rPr>
        <w:t>Richard;</w:t>
      </w:r>
      <w:r>
        <w:rPr>
          <w:rFonts w:ascii="Segoe UI" w:hAnsi="Segoe UI" w:cs="Segoe UI" w:eastAsia="Segoe UI"/>
          <w:color w:val="231F20"/>
          <w:spacing w:val="-7"/>
          <w:sz w:val="16"/>
          <w:szCs w:val="16"/>
        </w:rPr>
        <w:t> </w:t>
      </w:r>
      <w:r>
        <w:rPr>
          <w:rFonts w:ascii="Segoe UI" w:hAnsi="Segoe UI" w:cs="Segoe UI" w:eastAsia="Segoe UI"/>
          <w:color w:val="231F20"/>
          <w:spacing w:val="-1"/>
          <w:sz w:val="16"/>
          <w:szCs w:val="16"/>
        </w:rPr>
        <w:t>Bobongie,</w:t>
      </w:r>
      <w:r>
        <w:rPr>
          <w:rFonts w:ascii="Segoe UI" w:hAnsi="Segoe UI" w:cs="Segoe UI" w:eastAsia="Segoe UI"/>
          <w:color w:val="231F20"/>
          <w:spacing w:val="-7"/>
          <w:sz w:val="16"/>
          <w:szCs w:val="16"/>
        </w:rPr>
        <w:t> </w:t>
      </w:r>
      <w:r>
        <w:rPr>
          <w:rFonts w:ascii="Segoe UI" w:hAnsi="Segoe UI" w:cs="Segoe UI" w:eastAsia="Segoe UI"/>
          <w:color w:val="231F20"/>
          <w:spacing w:val="-1"/>
          <w:sz w:val="16"/>
          <w:szCs w:val="16"/>
        </w:rPr>
        <w:t>Francis;</w:t>
      </w:r>
      <w:r>
        <w:rPr>
          <w:rFonts w:ascii="Segoe UI" w:hAnsi="Segoe UI" w:cs="Segoe UI" w:eastAsia="Segoe UI"/>
          <w:color w:val="231F20"/>
          <w:spacing w:val="25"/>
          <w:w w:val="99"/>
          <w:sz w:val="16"/>
          <w:szCs w:val="16"/>
        </w:rPr>
        <w:t> </w:t>
      </w:r>
      <w:r>
        <w:rPr>
          <w:rFonts w:ascii="Segoe UI" w:hAnsi="Segoe UI" w:cs="Segoe UI" w:eastAsia="Segoe UI"/>
          <w:color w:val="231F20"/>
          <w:sz w:val="16"/>
          <w:szCs w:val="16"/>
        </w:rPr>
        <w:t>McCalman,</w:t>
      </w:r>
      <w:r>
        <w:rPr>
          <w:rFonts w:ascii="Segoe UI" w:hAnsi="Segoe UI" w:cs="Segoe UI" w:eastAsia="Segoe UI"/>
          <w:color w:val="231F20"/>
          <w:spacing w:val="-7"/>
          <w:sz w:val="16"/>
          <w:szCs w:val="16"/>
        </w:rPr>
        <w:t> </w:t>
      </w:r>
      <w:r>
        <w:rPr>
          <w:rFonts w:ascii="Segoe UI" w:hAnsi="Segoe UI" w:cs="Segoe UI" w:eastAsia="Segoe UI"/>
          <w:color w:val="231F20"/>
          <w:sz w:val="16"/>
          <w:szCs w:val="16"/>
        </w:rPr>
        <w:t>Janya;</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Barrett,</w:t>
      </w:r>
      <w:r>
        <w:rPr>
          <w:rFonts w:ascii="Segoe UI" w:hAnsi="Segoe UI" w:cs="Segoe UI" w:eastAsia="Segoe UI"/>
          <w:color w:val="231F20"/>
          <w:spacing w:val="-5"/>
          <w:sz w:val="16"/>
          <w:szCs w:val="16"/>
        </w:rPr>
        <w:t> </w:t>
      </w:r>
      <w:r>
        <w:rPr>
          <w:rFonts w:ascii="Segoe UI" w:hAnsi="Segoe UI" w:cs="Segoe UI" w:eastAsia="Segoe UI"/>
          <w:color w:val="231F20"/>
          <w:spacing w:val="-2"/>
          <w:sz w:val="16"/>
          <w:szCs w:val="16"/>
        </w:rPr>
        <w:t>Peter;</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Fogarty,</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Bill;</w:t>
      </w:r>
      <w:r>
        <w:rPr>
          <w:rFonts w:ascii="Segoe UI" w:hAnsi="Segoe UI" w:cs="Segoe UI" w:eastAsia="Segoe UI"/>
          <w:color w:val="231F20"/>
          <w:spacing w:val="27"/>
          <w:sz w:val="16"/>
          <w:szCs w:val="16"/>
        </w:rPr>
        <w:t> </w:t>
      </w:r>
      <w:r>
        <w:rPr>
          <w:rFonts w:ascii="Segoe UI" w:hAnsi="Segoe UI" w:cs="Segoe UI" w:eastAsia="Segoe UI"/>
          <w:color w:val="231F20"/>
          <w:sz w:val="16"/>
          <w:szCs w:val="16"/>
        </w:rPr>
        <w:t>Milgate,</w:t>
      </w:r>
      <w:r>
        <w:rPr>
          <w:rFonts w:ascii="Segoe UI" w:hAnsi="Segoe UI" w:cs="Segoe UI" w:eastAsia="Segoe UI"/>
          <w:color w:val="231F20"/>
          <w:spacing w:val="-7"/>
          <w:sz w:val="16"/>
          <w:szCs w:val="16"/>
        </w:rPr>
        <w:t> </w:t>
      </w:r>
      <w:r>
        <w:rPr>
          <w:rFonts w:ascii="Segoe UI" w:hAnsi="Segoe UI" w:cs="Segoe UI" w:eastAsia="Segoe UI"/>
          <w:color w:val="231F20"/>
          <w:sz w:val="16"/>
          <w:szCs w:val="16"/>
        </w:rPr>
        <w:t>Gina;</w:t>
      </w:r>
      <w:r>
        <w:rPr>
          <w:rFonts w:ascii="Segoe UI" w:hAnsi="Segoe UI" w:cs="Segoe UI" w:eastAsia="Segoe UI"/>
          <w:color w:val="231F20"/>
          <w:spacing w:val="-7"/>
          <w:sz w:val="16"/>
          <w:szCs w:val="16"/>
        </w:rPr>
        <w:t> </w:t>
      </w:r>
      <w:r>
        <w:rPr>
          <w:rFonts w:ascii="Segoe UI" w:hAnsi="Segoe UI" w:cs="Segoe UI" w:eastAsia="Segoe UI"/>
          <w:color w:val="231F20"/>
          <w:sz w:val="16"/>
          <w:szCs w:val="16"/>
        </w:rPr>
        <w:t>Lloyd,</w:t>
      </w:r>
      <w:r>
        <w:rPr>
          <w:rFonts w:ascii="Segoe UI" w:hAnsi="Segoe UI" w:cs="Segoe UI" w:eastAsia="Segoe UI"/>
          <w:color w:val="231F20"/>
          <w:spacing w:val="-7"/>
          <w:sz w:val="16"/>
          <w:szCs w:val="16"/>
        </w:rPr>
        <w:t> </w:t>
      </w:r>
      <w:r>
        <w:rPr>
          <w:rFonts w:ascii="Segoe UI" w:hAnsi="Segoe UI" w:cs="Segoe UI" w:eastAsia="Segoe UI"/>
          <w:color w:val="231F20"/>
          <w:sz w:val="16"/>
          <w:szCs w:val="16"/>
        </w:rPr>
        <w:t>Andrew;</w:t>
      </w:r>
      <w:r>
        <w:rPr>
          <w:rFonts w:ascii="Segoe UI" w:hAnsi="Segoe UI" w:cs="Segoe UI" w:eastAsia="Segoe UI"/>
          <w:color w:val="231F20"/>
          <w:spacing w:val="-6"/>
          <w:sz w:val="16"/>
          <w:szCs w:val="16"/>
        </w:rPr>
        <w:t> </w:t>
      </w:r>
      <w:r>
        <w:rPr>
          <w:rFonts w:ascii="Segoe UI" w:hAnsi="Segoe UI" w:cs="Segoe UI" w:eastAsia="Segoe UI"/>
          <w:color w:val="231F20"/>
          <w:sz w:val="16"/>
          <w:szCs w:val="16"/>
        </w:rPr>
        <w:t>O’Bryan,</w:t>
      </w:r>
      <w:r>
        <w:rPr>
          <w:rFonts w:ascii="Segoe UI" w:hAnsi="Segoe UI" w:cs="Segoe UI" w:eastAsia="Segoe UI"/>
          <w:color w:val="231F20"/>
          <w:spacing w:val="-7"/>
          <w:sz w:val="16"/>
          <w:szCs w:val="16"/>
        </w:rPr>
        <w:t> </w:t>
      </w:r>
      <w:r>
        <w:rPr>
          <w:rFonts w:ascii="Segoe UI" w:hAnsi="Segoe UI" w:cs="Segoe UI" w:eastAsia="Segoe UI"/>
          <w:color w:val="231F20"/>
          <w:sz w:val="16"/>
          <w:szCs w:val="16"/>
        </w:rPr>
        <w:t>Marnie;</w:t>
      </w:r>
      <w:r>
        <w:rPr>
          <w:rFonts w:ascii="Segoe UI" w:hAnsi="Segoe UI" w:cs="Segoe UI" w:eastAsia="Segoe UI"/>
          <w:color w:val="231F20"/>
          <w:w w:val="99"/>
          <w:sz w:val="16"/>
          <w:szCs w:val="16"/>
        </w:rPr>
        <w:t> </w:t>
      </w:r>
      <w:r>
        <w:rPr>
          <w:rFonts w:ascii="Segoe UI" w:hAnsi="Segoe UI" w:cs="Segoe UI" w:eastAsia="Segoe UI"/>
          <w:color w:val="231F20"/>
          <w:sz w:val="16"/>
          <w:szCs w:val="16"/>
        </w:rPr>
        <w:t>Osborne,</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Sam</w:t>
      </w:r>
      <w:r>
        <w:rPr>
          <w:rFonts w:ascii="Segoe UI" w:hAnsi="Segoe UI" w:cs="Segoe UI" w:eastAsia="Segoe UI"/>
          <w:color w:val="231F20"/>
          <w:spacing w:val="-3"/>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Benveniste,</w:t>
      </w:r>
      <w:r>
        <w:rPr>
          <w:rFonts w:ascii="Segoe UI" w:hAnsi="Segoe UI" w:cs="Segoe UI" w:eastAsia="Segoe UI"/>
          <w:color w:val="231F20"/>
          <w:spacing w:val="-3"/>
          <w:sz w:val="16"/>
          <w:szCs w:val="16"/>
        </w:rPr>
        <w:t> Tessa,</w:t>
      </w:r>
      <w:r>
        <w:rPr>
          <w:rFonts w:ascii="Segoe UI" w:hAnsi="Segoe UI" w:cs="Segoe UI" w:eastAsia="Segoe UI"/>
          <w:color w:val="231F20"/>
          <w:spacing w:val="-4"/>
          <w:sz w:val="16"/>
          <w:szCs w:val="16"/>
        </w:rPr>
        <w:t> </w:t>
      </w:r>
      <w:r>
        <w:rPr>
          <w:rFonts w:ascii="Segoe UI" w:hAnsi="Segoe UI" w:cs="Segoe UI" w:eastAsia="Segoe UI"/>
          <w:i/>
          <w:color w:val="231F20"/>
          <w:sz w:val="16"/>
          <w:szCs w:val="16"/>
        </w:rPr>
        <w:t>Theorising</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the</w:t>
      </w:r>
      <w:r>
        <w:rPr>
          <w:rFonts w:ascii="Segoe UI" w:hAnsi="Segoe UI" w:cs="Segoe UI" w:eastAsia="Segoe UI"/>
          <w:i/>
          <w:color w:val="231F20"/>
          <w:spacing w:val="24"/>
          <w:sz w:val="16"/>
          <w:szCs w:val="16"/>
        </w:rPr>
        <w:t> </w:t>
      </w:r>
      <w:r>
        <w:rPr>
          <w:rFonts w:ascii="Segoe UI" w:hAnsi="Segoe UI" w:cs="Segoe UI" w:eastAsia="Segoe UI"/>
          <w:i/>
          <w:color w:val="231F20"/>
          <w:sz w:val="16"/>
          <w:szCs w:val="16"/>
        </w:rPr>
        <w:t>mechanisms</w:t>
      </w:r>
      <w:r>
        <w:rPr>
          <w:rFonts w:ascii="Segoe UI" w:hAnsi="Segoe UI" w:cs="Segoe UI" w:eastAsia="Segoe UI"/>
          <w:i/>
          <w:color w:val="231F20"/>
          <w:spacing w:val="-6"/>
          <w:sz w:val="16"/>
          <w:szCs w:val="16"/>
        </w:rPr>
        <w:t> </w:t>
      </w:r>
      <w:r>
        <w:rPr>
          <w:rFonts w:ascii="Segoe UI" w:hAnsi="Segoe UI" w:cs="Segoe UI" w:eastAsia="Segoe UI"/>
          <w:i/>
          <w:color w:val="231F20"/>
          <w:sz w:val="16"/>
          <w:szCs w:val="16"/>
        </w:rPr>
        <w:t>and</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outcomes</w:t>
      </w:r>
      <w:r>
        <w:rPr>
          <w:rFonts w:ascii="Segoe UI" w:hAnsi="Segoe UI" w:cs="Segoe UI" w:eastAsia="Segoe UI"/>
          <w:i/>
          <w:color w:val="231F20"/>
          <w:spacing w:val="-4"/>
          <w:sz w:val="16"/>
          <w:szCs w:val="16"/>
        </w:rPr>
        <w:t> </w:t>
      </w:r>
      <w:r>
        <w:rPr>
          <w:rFonts w:ascii="Segoe UI" w:hAnsi="Segoe UI" w:cs="Segoe UI" w:eastAsia="Segoe UI"/>
          <w:i/>
          <w:color w:val="231F20"/>
          <w:sz w:val="16"/>
          <w:szCs w:val="16"/>
        </w:rPr>
        <w:t>pathways</w:t>
      </w:r>
      <w:r>
        <w:rPr>
          <w:rFonts w:ascii="Segoe UI" w:hAnsi="Segoe UI" w:cs="Segoe UI" w:eastAsia="Segoe UI"/>
          <w:i/>
          <w:color w:val="231F20"/>
          <w:spacing w:val="-5"/>
          <w:sz w:val="16"/>
          <w:szCs w:val="16"/>
        </w:rPr>
        <w:t> </w:t>
      </w:r>
      <w:r>
        <w:rPr>
          <w:rFonts w:ascii="Segoe UI" w:hAnsi="Segoe UI" w:cs="Segoe UI" w:eastAsia="Segoe UI"/>
          <w:i/>
          <w:color w:val="231F20"/>
          <w:spacing w:val="-1"/>
          <w:sz w:val="16"/>
          <w:szCs w:val="16"/>
        </w:rPr>
        <w:t>from</w:t>
      </w:r>
      <w:r>
        <w:rPr>
          <w:rFonts w:ascii="Segoe UI" w:hAnsi="Segoe UI" w:cs="Segoe UI" w:eastAsia="Segoe UI"/>
          <w:i/>
          <w:color w:val="231F20"/>
          <w:spacing w:val="-5"/>
          <w:sz w:val="16"/>
          <w:szCs w:val="16"/>
        </w:rPr>
        <w:t> </w:t>
      </w:r>
      <w:r>
        <w:rPr>
          <w:rFonts w:ascii="Segoe UI" w:hAnsi="Segoe UI" w:cs="Segoe UI" w:eastAsia="Segoe UI"/>
          <w:i/>
          <w:color w:val="231F20"/>
          <w:spacing w:val="-1"/>
          <w:sz w:val="16"/>
          <w:szCs w:val="16"/>
        </w:rPr>
        <w:t>boarding</w:t>
      </w:r>
      <w:r>
        <w:rPr>
          <w:rFonts w:ascii="Segoe UI" w:hAnsi="Segoe UI" w:cs="Segoe UI" w:eastAsia="Segoe UI"/>
          <w:i/>
          <w:color w:val="231F20"/>
          <w:spacing w:val="21"/>
          <w:w w:val="99"/>
          <w:sz w:val="16"/>
          <w:szCs w:val="16"/>
        </w:rPr>
        <w:t> </w:t>
      </w:r>
      <w:r>
        <w:rPr>
          <w:rFonts w:ascii="Segoe UI" w:hAnsi="Segoe UI" w:cs="Segoe UI" w:eastAsia="Segoe UI"/>
          <w:i/>
          <w:color w:val="231F20"/>
          <w:spacing w:val="-1"/>
          <w:sz w:val="16"/>
          <w:szCs w:val="16"/>
        </w:rPr>
        <w:t>school</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participation</w:t>
      </w:r>
      <w:r>
        <w:rPr>
          <w:rFonts w:ascii="Segoe UI" w:hAnsi="Segoe UI" w:cs="Segoe UI" w:eastAsia="Segoe UI"/>
          <w:i/>
          <w:color w:val="231F20"/>
          <w:spacing w:val="-4"/>
          <w:sz w:val="16"/>
          <w:szCs w:val="16"/>
        </w:rPr>
        <w:t> </w:t>
      </w:r>
      <w:r>
        <w:rPr>
          <w:rFonts w:ascii="Segoe UI" w:hAnsi="Segoe UI" w:cs="Segoe UI" w:eastAsia="Segoe UI"/>
          <w:i/>
          <w:color w:val="231F20"/>
          <w:sz w:val="16"/>
          <w:szCs w:val="16"/>
        </w:rPr>
        <w:t>for</w:t>
      </w:r>
      <w:r>
        <w:rPr>
          <w:rFonts w:ascii="Segoe UI" w:hAnsi="Segoe UI" w:cs="Segoe UI" w:eastAsia="Segoe UI"/>
          <w:i/>
          <w:color w:val="231F20"/>
          <w:spacing w:val="-4"/>
          <w:sz w:val="16"/>
          <w:szCs w:val="16"/>
        </w:rPr>
        <w:t> </w:t>
      </w:r>
      <w:r>
        <w:rPr>
          <w:rFonts w:ascii="Segoe UI" w:hAnsi="Segoe UI" w:cs="Segoe UI" w:eastAsia="Segoe UI"/>
          <w:i/>
          <w:color w:val="231F20"/>
          <w:sz w:val="16"/>
          <w:szCs w:val="16"/>
        </w:rPr>
        <w:t>remote</w:t>
      </w:r>
      <w:r>
        <w:rPr>
          <w:rFonts w:ascii="Segoe UI" w:hAnsi="Segoe UI" w:cs="Segoe UI" w:eastAsia="Segoe UI"/>
          <w:i/>
          <w:color w:val="231F20"/>
          <w:spacing w:val="-3"/>
          <w:sz w:val="16"/>
          <w:szCs w:val="16"/>
        </w:rPr>
        <w:t> </w:t>
      </w:r>
      <w:r>
        <w:rPr>
          <w:rFonts w:ascii="Segoe UI" w:hAnsi="Segoe UI" w:cs="Segoe UI" w:eastAsia="Segoe UI"/>
          <w:i/>
          <w:color w:val="231F20"/>
          <w:sz w:val="16"/>
          <w:szCs w:val="16"/>
        </w:rPr>
        <w:t>Aboriginal</w:t>
      </w:r>
      <w:r>
        <w:rPr>
          <w:rFonts w:ascii="Segoe UI" w:hAnsi="Segoe UI" w:cs="Segoe UI" w:eastAsia="Segoe UI"/>
          <w:i/>
          <w:color w:val="231F20"/>
          <w:spacing w:val="-4"/>
          <w:sz w:val="16"/>
          <w:szCs w:val="16"/>
        </w:rPr>
        <w:t> </w:t>
      </w:r>
      <w:r>
        <w:rPr>
          <w:rFonts w:ascii="Segoe UI" w:hAnsi="Segoe UI" w:cs="Segoe UI" w:eastAsia="Segoe UI"/>
          <w:i/>
          <w:color w:val="231F20"/>
          <w:sz w:val="16"/>
          <w:szCs w:val="16"/>
        </w:rPr>
        <w:t>and</w:t>
      </w:r>
      <w:r>
        <w:rPr>
          <w:rFonts w:ascii="Segoe UI" w:hAnsi="Segoe UI" w:cs="Segoe UI" w:eastAsia="Segoe UI"/>
          <w:i/>
          <w:color w:val="231F20"/>
          <w:spacing w:val="-3"/>
          <w:sz w:val="16"/>
          <w:szCs w:val="16"/>
        </w:rPr>
        <w:t> Torres</w:t>
      </w:r>
      <w:r>
        <w:rPr>
          <w:rFonts w:ascii="Segoe UI" w:hAnsi="Segoe UI" w:cs="Segoe UI" w:eastAsia="Segoe UI"/>
          <w:i/>
          <w:color w:val="231F20"/>
          <w:spacing w:val="31"/>
          <w:w w:val="99"/>
          <w:sz w:val="16"/>
          <w:szCs w:val="16"/>
        </w:rPr>
        <w:t> </w:t>
      </w:r>
      <w:r>
        <w:rPr>
          <w:rFonts w:ascii="Segoe UI" w:hAnsi="Segoe UI" w:cs="Segoe UI" w:eastAsia="Segoe UI"/>
          <w:i/>
          <w:color w:val="231F20"/>
          <w:spacing w:val="-1"/>
          <w:sz w:val="16"/>
          <w:szCs w:val="16"/>
        </w:rPr>
        <w:t>Strait</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Islander</w:t>
      </w:r>
      <w:r>
        <w:rPr>
          <w:rFonts w:ascii="Segoe UI" w:hAnsi="Segoe UI" w:cs="Segoe UI" w:eastAsia="Segoe UI"/>
          <w:i/>
          <w:color w:val="231F20"/>
          <w:spacing w:val="-3"/>
          <w:sz w:val="16"/>
          <w:szCs w:val="16"/>
        </w:rPr>
        <w:t> </w:t>
      </w:r>
      <w:r>
        <w:rPr>
          <w:rFonts w:ascii="Segoe UI" w:hAnsi="Segoe UI" w:cs="Segoe UI" w:eastAsia="Segoe UI"/>
          <w:i/>
          <w:color w:val="231F20"/>
          <w:sz w:val="16"/>
          <w:szCs w:val="16"/>
        </w:rPr>
        <w:t>students,</w:t>
      </w:r>
      <w:r>
        <w:rPr>
          <w:rFonts w:ascii="Segoe UI" w:hAnsi="Segoe UI" w:cs="Segoe UI" w:eastAsia="Segoe UI"/>
          <w:i/>
          <w:color w:val="231F20"/>
          <w:spacing w:val="-3"/>
          <w:sz w:val="16"/>
          <w:szCs w:val="16"/>
        </w:rPr>
        <w:t> </w:t>
      </w:r>
      <w:r>
        <w:rPr>
          <w:rFonts w:ascii="Segoe UI" w:hAnsi="Segoe UI" w:cs="Segoe UI" w:eastAsia="Segoe UI"/>
          <w:color w:val="231F20"/>
          <w:spacing w:val="-1"/>
          <w:sz w:val="16"/>
          <w:szCs w:val="16"/>
        </w:rPr>
        <w:t>2017</w:t>
      </w:r>
      <w:r>
        <w:rPr>
          <w:rFonts w:ascii="Segoe UI" w:hAnsi="Segoe UI" w:cs="Segoe UI" w:eastAsia="Segoe UI"/>
          <w:color w:val="231F20"/>
          <w:spacing w:val="-3"/>
          <w:sz w:val="16"/>
          <w:szCs w:val="16"/>
        </w:rPr>
        <w:t> </w:t>
      </w:r>
      <w:r>
        <w:rPr>
          <w:rFonts w:ascii="Segoe UI" w:hAnsi="Segoe UI" w:cs="Segoe UI" w:eastAsia="Segoe UI"/>
          <w:color w:val="231F20"/>
          <w:sz w:val="16"/>
          <w:szCs w:val="16"/>
        </w:rPr>
        <w:t>(Guenther,</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2017),</w:t>
      </w:r>
      <w:r>
        <w:rPr>
          <w:rFonts w:ascii="Segoe UI" w:hAnsi="Segoe UI" w:cs="Segoe UI" w:eastAsia="Segoe UI"/>
          <w:color w:val="231F20"/>
          <w:spacing w:val="-2"/>
          <w:sz w:val="16"/>
          <w:szCs w:val="16"/>
        </w:rPr>
        <w:t> </w:t>
      </w:r>
      <w:r>
        <w:rPr>
          <w:rFonts w:ascii="Segoe UI" w:hAnsi="Segoe UI" w:cs="Segoe UI" w:eastAsia="Segoe UI"/>
          <w:color w:val="231F20"/>
          <w:sz w:val="16"/>
          <w:szCs w:val="16"/>
        </w:rPr>
        <w:t>p.</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10</w:t>
      </w:r>
      <w:r>
        <w:rPr>
          <w:rFonts w:ascii="Segoe UI" w:hAnsi="Segoe UI" w:cs="Segoe UI" w:eastAsia="Segoe UI"/>
          <w:sz w:val="16"/>
          <w:szCs w:val="16"/>
        </w:rPr>
      </w:r>
    </w:p>
    <w:p>
      <w:pPr>
        <w:numPr>
          <w:ilvl w:val="0"/>
          <w:numId w:val="10"/>
        </w:numPr>
        <w:tabs>
          <w:tab w:pos="668" w:val="left" w:leader="none"/>
        </w:tabs>
        <w:spacing w:line="200" w:lineRule="exact" w:before="113"/>
        <w:ind w:left="667" w:right="622" w:hanging="567"/>
        <w:jc w:val="left"/>
        <w:rPr>
          <w:rFonts w:ascii="Segoe UI" w:hAnsi="Segoe UI" w:cs="Segoe UI" w:eastAsia="Segoe UI"/>
          <w:sz w:val="16"/>
          <w:szCs w:val="16"/>
        </w:rPr>
      </w:pPr>
      <w:r>
        <w:rPr>
          <w:rFonts w:ascii="Segoe UI"/>
          <w:color w:val="231F20"/>
          <w:sz w:val="16"/>
        </w:rPr>
        <w:t>Guenther,</w:t>
      </w:r>
      <w:r>
        <w:rPr>
          <w:rFonts w:ascii="Segoe UI"/>
          <w:color w:val="231F20"/>
          <w:spacing w:val="-4"/>
          <w:sz w:val="16"/>
        </w:rPr>
        <w:t> </w:t>
      </w:r>
      <w:r>
        <w:rPr>
          <w:rFonts w:ascii="Segoe UI"/>
          <w:color w:val="231F20"/>
          <w:spacing w:val="-1"/>
          <w:sz w:val="16"/>
        </w:rPr>
        <w:t>2017,</w:t>
      </w:r>
      <w:r>
        <w:rPr>
          <w:rFonts w:ascii="Segoe UI"/>
          <w:color w:val="231F20"/>
          <w:spacing w:val="-4"/>
          <w:sz w:val="16"/>
        </w:rPr>
        <w:t> </w:t>
      </w:r>
      <w:r>
        <w:rPr>
          <w:rFonts w:ascii="Segoe UI"/>
          <w:color w:val="231F20"/>
          <w:sz w:val="16"/>
        </w:rPr>
        <w:t>p.</w:t>
      </w:r>
      <w:r>
        <w:rPr>
          <w:rFonts w:ascii="Segoe UI"/>
          <w:color w:val="231F20"/>
          <w:spacing w:val="-4"/>
          <w:sz w:val="16"/>
        </w:rPr>
        <w:t> </w:t>
      </w:r>
      <w:r>
        <w:rPr>
          <w:rFonts w:ascii="Segoe UI"/>
          <w:color w:val="231F20"/>
          <w:spacing w:val="-1"/>
          <w:sz w:val="16"/>
        </w:rPr>
        <w:t>11</w:t>
      </w:r>
      <w:r>
        <w:rPr>
          <w:rFonts w:ascii="Segoe UI"/>
          <w:color w:val="231F20"/>
          <w:spacing w:val="-3"/>
          <w:sz w:val="16"/>
        </w:rPr>
        <w:t> </w:t>
      </w:r>
      <w:r>
        <w:rPr>
          <w:rFonts w:ascii="Segoe UI"/>
          <w:color w:val="231F20"/>
          <w:spacing w:val="-1"/>
          <w:sz w:val="16"/>
        </w:rPr>
        <w:t>(reproduced</w:t>
      </w:r>
      <w:r>
        <w:rPr>
          <w:rFonts w:ascii="Segoe UI"/>
          <w:color w:val="231F20"/>
          <w:spacing w:val="-5"/>
          <w:sz w:val="16"/>
        </w:rPr>
        <w:t> </w:t>
      </w:r>
      <w:r>
        <w:rPr>
          <w:rFonts w:ascii="Segoe UI"/>
          <w:color w:val="231F20"/>
          <w:sz w:val="16"/>
        </w:rPr>
        <w:t>with</w:t>
      </w:r>
      <w:r>
        <w:rPr>
          <w:rFonts w:ascii="Segoe UI"/>
          <w:color w:val="231F20"/>
          <w:spacing w:val="-5"/>
          <w:sz w:val="16"/>
        </w:rPr>
        <w:t> </w:t>
      </w:r>
      <w:r>
        <w:rPr>
          <w:rFonts w:ascii="Segoe UI"/>
          <w:color w:val="231F20"/>
          <w:sz w:val="16"/>
        </w:rPr>
        <w:t>the</w:t>
      </w:r>
      <w:r>
        <w:rPr>
          <w:rFonts w:ascii="Segoe UI"/>
          <w:color w:val="231F20"/>
          <w:spacing w:val="25"/>
          <w:w w:val="99"/>
          <w:sz w:val="16"/>
        </w:rPr>
        <w:t> </w:t>
      </w:r>
      <w:r>
        <w:rPr>
          <w:rFonts w:ascii="Segoe UI"/>
          <w:color w:val="231F20"/>
          <w:sz w:val="16"/>
        </w:rPr>
        <w:t>permission</w:t>
      </w:r>
      <w:r>
        <w:rPr>
          <w:rFonts w:ascii="Segoe UI"/>
          <w:color w:val="231F20"/>
          <w:spacing w:val="-6"/>
          <w:sz w:val="16"/>
        </w:rPr>
        <w:t> </w:t>
      </w:r>
      <w:r>
        <w:rPr>
          <w:rFonts w:ascii="Segoe UI"/>
          <w:color w:val="231F20"/>
          <w:sz w:val="16"/>
        </w:rPr>
        <w:t>of</w:t>
      </w:r>
      <w:r>
        <w:rPr>
          <w:rFonts w:ascii="Segoe UI"/>
          <w:color w:val="231F20"/>
          <w:spacing w:val="-4"/>
          <w:sz w:val="16"/>
        </w:rPr>
        <w:t> </w:t>
      </w:r>
      <w:r>
        <w:rPr>
          <w:rFonts w:ascii="Segoe UI"/>
          <w:color w:val="231F20"/>
          <w:sz w:val="16"/>
        </w:rPr>
        <w:t>Guenther)</w:t>
      </w:r>
      <w:r>
        <w:rPr>
          <w:rFonts w:ascii="Segoe UI"/>
          <w:sz w:val="16"/>
        </w:rPr>
      </w:r>
    </w:p>
    <w:p>
      <w:pPr>
        <w:numPr>
          <w:ilvl w:val="0"/>
          <w:numId w:val="10"/>
        </w:numPr>
        <w:tabs>
          <w:tab w:pos="668" w:val="left" w:leader="none"/>
        </w:tabs>
        <w:spacing w:before="100"/>
        <w:ind w:left="667" w:right="37" w:hanging="567"/>
        <w:jc w:val="left"/>
        <w:rPr>
          <w:rFonts w:ascii="Segoe UI" w:hAnsi="Segoe UI" w:cs="Segoe UI" w:eastAsia="Segoe UI"/>
          <w:sz w:val="16"/>
          <w:szCs w:val="16"/>
        </w:rPr>
      </w:pPr>
      <w:r>
        <w:rPr>
          <w:rFonts w:ascii="Segoe UI"/>
          <w:color w:val="231F20"/>
          <w:sz w:val="16"/>
        </w:rPr>
        <w:t>Guenther,</w:t>
      </w:r>
      <w:r>
        <w:rPr>
          <w:rFonts w:ascii="Segoe UI"/>
          <w:color w:val="231F20"/>
          <w:spacing w:val="-7"/>
          <w:sz w:val="16"/>
        </w:rPr>
        <w:t> </w:t>
      </w:r>
      <w:r>
        <w:rPr>
          <w:rFonts w:ascii="Segoe UI"/>
          <w:color w:val="231F20"/>
          <w:sz w:val="16"/>
        </w:rPr>
        <w:t>2017</w:t>
      </w:r>
      <w:r>
        <w:rPr>
          <w:rFonts w:ascii="Segoe UI"/>
          <w:sz w:val="16"/>
        </w:rPr>
      </w:r>
    </w:p>
    <w:p>
      <w:pPr>
        <w:numPr>
          <w:ilvl w:val="0"/>
          <w:numId w:val="10"/>
        </w:numPr>
        <w:tabs>
          <w:tab w:pos="668" w:val="left" w:leader="none"/>
        </w:tabs>
        <w:spacing w:line="200" w:lineRule="exact" w:before="113"/>
        <w:ind w:left="667" w:right="258" w:hanging="567"/>
        <w:jc w:val="left"/>
        <w:rPr>
          <w:rFonts w:ascii="Segoe UI" w:hAnsi="Segoe UI" w:cs="Segoe UI" w:eastAsia="Segoe UI"/>
          <w:sz w:val="16"/>
          <w:szCs w:val="16"/>
        </w:rPr>
      </w:pPr>
      <w:r>
        <w:rPr>
          <w:rFonts w:ascii="Segoe UI"/>
          <w:color w:val="231F20"/>
          <w:sz w:val="16"/>
        </w:rPr>
        <w:t>Lewis,</w:t>
      </w:r>
      <w:r>
        <w:rPr>
          <w:rFonts w:ascii="Segoe UI"/>
          <w:color w:val="231F20"/>
          <w:spacing w:val="-6"/>
          <w:sz w:val="16"/>
        </w:rPr>
        <w:t> </w:t>
      </w:r>
      <w:r>
        <w:rPr>
          <w:rFonts w:ascii="Segoe UI"/>
          <w:color w:val="231F20"/>
          <w:spacing w:val="-1"/>
          <w:sz w:val="16"/>
        </w:rPr>
        <w:t>Simon,</w:t>
      </w:r>
      <w:r>
        <w:rPr>
          <w:rFonts w:ascii="Segoe UI"/>
          <w:color w:val="231F20"/>
          <w:spacing w:val="-4"/>
          <w:sz w:val="16"/>
        </w:rPr>
        <w:t> </w:t>
      </w:r>
      <w:r>
        <w:rPr>
          <w:rFonts w:ascii="Segoe UI"/>
          <w:i/>
          <w:color w:val="231F20"/>
          <w:spacing w:val="-1"/>
          <w:sz w:val="16"/>
        </w:rPr>
        <w:t>Boarding</w:t>
      </w:r>
      <w:r>
        <w:rPr>
          <w:rFonts w:ascii="Segoe UI"/>
          <w:i/>
          <w:color w:val="231F20"/>
          <w:spacing w:val="-4"/>
          <w:sz w:val="16"/>
        </w:rPr>
        <w:t> </w:t>
      </w:r>
      <w:r>
        <w:rPr>
          <w:rFonts w:ascii="Segoe UI"/>
          <w:i/>
          <w:color w:val="231F20"/>
          <w:spacing w:val="-1"/>
          <w:sz w:val="16"/>
        </w:rPr>
        <w:t>Australia</w:t>
      </w:r>
      <w:r>
        <w:rPr>
          <w:rFonts w:ascii="Segoe UI"/>
          <w:i/>
          <w:color w:val="231F20"/>
          <w:spacing w:val="-4"/>
          <w:sz w:val="16"/>
        </w:rPr>
        <w:t> </w:t>
      </w:r>
      <w:r>
        <w:rPr>
          <w:rFonts w:ascii="Segoe UI"/>
          <w:i/>
          <w:color w:val="231F20"/>
          <w:spacing w:val="-1"/>
          <w:sz w:val="16"/>
        </w:rPr>
        <w:t>Inc.,</w:t>
      </w:r>
      <w:r>
        <w:rPr>
          <w:rFonts w:ascii="Segoe UI"/>
          <w:i/>
          <w:color w:val="231F20"/>
          <w:spacing w:val="-4"/>
          <w:sz w:val="16"/>
        </w:rPr>
        <w:t> </w:t>
      </w:r>
      <w:r>
        <w:rPr>
          <w:rFonts w:ascii="Segoe UI"/>
          <w:i/>
          <w:color w:val="231F20"/>
          <w:spacing w:val="-2"/>
          <w:sz w:val="16"/>
        </w:rPr>
        <w:t>Positioning</w:t>
      </w:r>
      <w:r>
        <w:rPr>
          <w:rFonts w:ascii="Segoe UI"/>
          <w:i/>
          <w:color w:val="231F20"/>
          <w:spacing w:val="48"/>
          <w:w w:val="99"/>
          <w:sz w:val="16"/>
        </w:rPr>
        <w:t> </w:t>
      </w:r>
      <w:r>
        <w:rPr>
          <w:rFonts w:ascii="Segoe UI"/>
          <w:i/>
          <w:color w:val="231F20"/>
          <w:spacing w:val="-1"/>
          <w:sz w:val="16"/>
        </w:rPr>
        <w:t>Document</w:t>
      </w:r>
      <w:r>
        <w:rPr>
          <w:rFonts w:ascii="Segoe UI"/>
          <w:color w:val="231F20"/>
          <w:spacing w:val="-1"/>
          <w:sz w:val="16"/>
        </w:rPr>
        <w:t>,</w:t>
      </w:r>
      <w:r>
        <w:rPr>
          <w:rFonts w:ascii="Segoe UI"/>
          <w:color w:val="231F20"/>
          <w:spacing w:val="-3"/>
          <w:sz w:val="16"/>
        </w:rPr>
        <w:t> </w:t>
      </w:r>
      <w:r>
        <w:rPr>
          <w:rFonts w:ascii="Segoe UI"/>
          <w:color w:val="231F20"/>
          <w:sz w:val="16"/>
        </w:rPr>
        <w:t>unpublished,</w:t>
      </w:r>
      <w:r>
        <w:rPr>
          <w:rFonts w:ascii="Segoe UI"/>
          <w:color w:val="231F20"/>
          <w:spacing w:val="-4"/>
          <w:sz w:val="16"/>
        </w:rPr>
        <w:t> </w:t>
      </w:r>
      <w:r>
        <w:rPr>
          <w:rFonts w:ascii="Segoe UI"/>
          <w:color w:val="231F20"/>
          <w:sz w:val="16"/>
        </w:rPr>
        <w:t>June</w:t>
      </w:r>
      <w:r>
        <w:rPr>
          <w:rFonts w:ascii="Segoe UI"/>
          <w:color w:val="231F20"/>
          <w:spacing w:val="-3"/>
          <w:sz w:val="16"/>
        </w:rPr>
        <w:t> </w:t>
      </w:r>
      <w:r>
        <w:rPr>
          <w:rFonts w:ascii="Segoe UI"/>
          <w:color w:val="231F20"/>
          <w:spacing w:val="-1"/>
          <w:sz w:val="16"/>
        </w:rPr>
        <w:t>2014,</w:t>
      </w:r>
      <w:r>
        <w:rPr>
          <w:rFonts w:ascii="Segoe UI"/>
          <w:color w:val="231F20"/>
          <w:spacing w:val="-3"/>
          <w:sz w:val="16"/>
        </w:rPr>
        <w:t> </w:t>
      </w:r>
      <w:r>
        <w:rPr>
          <w:rFonts w:ascii="Segoe UI"/>
          <w:color w:val="231F20"/>
          <w:sz w:val="16"/>
        </w:rPr>
        <w:t>p.</w:t>
      </w:r>
      <w:r>
        <w:rPr>
          <w:rFonts w:ascii="Segoe UI"/>
          <w:color w:val="231F20"/>
          <w:spacing w:val="-2"/>
          <w:sz w:val="16"/>
        </w:rPr>
        <w:t> </w:t>
      </w:r>
      <w:r>
        <w:rPr>
          <w:rFonts w:ascii="Segoe UI"/>
          <w:color w:val="231F20"/>
          <w:sz w:val="16"/>
        </w:rPr>
        <w:t>18</w:t>
      </w:r>
      <w:r>
        <w:rPr>
          <w:rFonts w:ascii="Segoe UI"/>
          <w:sz w:val="16"/>
        </w:rPr>
      </w:r>
    </w:p>
    <w:p>
      <w:pPr>
        <w:numPr>
          <w:ilvl w:val="0"/>
          <w:numId w:val="10"/>
        </w:numPr>
        <w:tabs>
          <w:tab w:pos="668" w:val="left" w:leader="none"/>
        </w:tabs>
        <w:spacing w:before="100"/>
        <w:ind w:left="667" w:right="37" w:hanging="567"/>
        <w:jc w:val="left"/>
        <w:rPr>
          <w:rFonts w:ascii="Segoe UI" w:hAnsi="Segoe UI" w:cs="Segoe UI" w:eastAsia="Segoe UI"/>
          <w:sz w:val="16"/>
          <w:szCs w:val="16"/>
        </w:rPr>
      </w:pPr>
      <w:r>
        <w:rPr>
          <w:rFonts w:ascii="Segoe UI"/>
          <w:color w:val="231F20"/>
          <w:sz w:val="16"/>
        </w:rPr>
        <w:t>Guenther,</w:t>
      </w:r>
      <w:r>
        <w:rPr>
          <w:rFonts w:ascii="Segoe UI"/>
          <w:color w:val="231F20"/>
          <w:spacing w:val="-7"/>
          <w:sz w:val="16"/>
        </w:rPr>
        <w:t> </w:t>
      </w:r>
      <w:r>
        <w:rPr>
          <w:rFonts w:ascii="Segoe UI"/>
          <w:color w:val="231F20"/>
          <w:spacing w:val="-1"/>
          <w:sz w:val="16"/>
        </w:rPr>
        <w:t>2017,</w:t>
      </w:r>
      <w:r>
        <w:rPr>
          <w:rFonts w:ascii="Segoe UI"/>
          <w:color w:val="231F20"/>
          <w:spacing w:val="-6"/>
          <w:sz w:val="16"/>
        </w:rPr>
        <w:t> </w:t>
      </w:r>
      <w:r>
        <w:rPr>
          <w:rFonts w:ascii="Segoe UI"/>
          <w:color w:val="231F20"/>
          <w:sz w:val="16"/>
        </w:rPr>
        <w:t>Abstract</w:t>
      </w:r>
      <w:r>
        <w:rPr>
          <w:rFonts w:ascii="Segoe UI"/>
          <w:sz w:val="16"/>
        </w:rPr>
      </w:r>
    </w:p>
    <w:p>
      <w:pPr>
        <w:numPr>
          <w:ilvl w:val="0"/>
          <w:numId w:val="10"/>
        </w:numPr>
        <w:tabs>
          <w:tab w:pos="668" w:val="left" w:leader="none"/>
        </w:tabs>
        <w:spacing w:line="200" w:lineRule="exact" w:before="113"/>
        <w:ind w:left="667" w:right="351" w:hanging="567"/>
        <w:jc w:val="left"/>
        <w:rPr>
          <w:rFonts w:ascii="Segoe UI" w:hAnsi="Segoe UI" w:cs="Segoe UI" w:eastAsia="Segoe UI"/>
          <w:sz w:val="16"/>
          <w:szCs w:val="16"/>
        </w:rPr>
      </w:pPr>
      <w:r>
        <w:rPr>
          <w:rFonts w:ascii="Segoe UI" w:hAnsi="Segoe UI" w:cs="Segoe UI" w:eastAsia="Segoe UI"/>
          <w:i/>
          <w:color w:val="231F20"/>
          <w:spacing w:val="-1"/>
          <w:sz w:val="16"/>
          <w:szCs w:val="16"/>
        </w:rPr>
        <w:t>Closing</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the</w:t>
      </w:r>
      <w:r>
        <w:rPr>
          <w:rFonts w:ascii="Segoe UI" w:hAnsi="Segoe UI" w:cs="Segoe UI" w:eastAsia="Segoe UI"/>
          <w:i/>
          <w:color w:val="231F20"/>
          <w:spacing w:val="-4"/>
          <w:sz w:val="16"/>
          <w:szCs w:val="16"/>
        </w:rPr>
        <w:t> </w:t>
      </w:r>
      <w:r>
        <w:rPr>
          <w:rFonts w:ascii="Segoe UI" w:hAnsi="Segoe UI" w:cs="Segoe UI" w:eastAsia="Segoe UI"/>
          <w:i/>
          <w:color w:val="231F20"/>
          <w:sz w:val="16"/>
          <w:szCs w:val="16"/>
        </w:rPr>
        <w:t>Gap:</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Prime</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Minister’s</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Report</w:t>
      </w:r>
      <w:r>
        <w:rPr>
          <w:rFonts w:ascii="Segoe UI" w:hAnsi="Segoe UI" w:cs="Segoe UI" w:eastAsia="Segoe UI"/>
          <w:i/>
          <w:color w:val="231F20"/>
          <w:spacing w:val="-5"/>
          <w:sz w:val="16"/>
          <w:szCs w:val="16"/>
        </w:rPr>
        <w:t> </w:t>
      </w:r>
      <w:r>
        <w:rPr>
          <w:rFonts w:ascii="Segoe UI" w:hAnsi="Segoe UI" w:cs="Segoe UI" w:eastAsia="Segoe UI"/>
          <w:i/>
          <w:color w:val="231F20"/>
          <w:sz w:val="16"/>
          <w:szCs w:val="16"/>
        </w:rPr>
        <w:t>2018</w:t>
      </w:r>
      <w:r>
        <w:rPr>
          <w:rFonts w:ascii="Segoe UI" w:hAnsi="Segoe UI" w:cs="Segoe UI" w:eastAsia="Segoe UI"/>
          <w:color w:val="231F20"/>
          <w:sz w:val="16"/>
          <w:szCs w:val="16"/>
        </w:rPr>
        <w:t>,</w:t>
      </w:r>
      <w:r>
        <w:rPr>
          <w:rFonts w:ascii="Segoe UI" w:hAnsi="Segoe UI" w:cs="Segoe UI" w:eastAsia="Segoe UI"/>
          <w:color w:val="231F20"/>
          <w:spacing w:val="25"/>
          <w:w w:val="99"/>
          <w:sz w:val="16"/>
          <w:szCs w:val="16"/>
        </w:rPr>
        <w:t> </w:t>
      </w:r>
      <w:r>
        <w:rPr>
          <w:rFonts w:ascii="Segoe UI" w:hAnsi="Segoe UI" w:cs="Segoe UI" w:eastAsia="Segoe UI"/>
          <w:color w:val="231F20"/>
          <w:spacing w:val="-1"/>
          <w:sz w:val="16"/>
          <w:szCs w:val="16"/>
        </w:rPr>
        <w:t>Department</w:t>
      </w:r>
      <w:r>
        <w:rPr>
          <w:rFonts w:ascii="Segoe UI" w:hAnsi="Segoe UI" w:cs="Segoe UI" w:eastAsia="Segoe UI"/>
          <w:color w:val="231F20"/>
          <w:spacing w:val="-4"/>
          <w:sz w:val="16"/>
          <w:szCs w:val="16"/>
        </w:rPr>
        <w:t> </w:t>
      </w:r>
      <w:r>
        <w:rPr>
          <w:rFonts w:ascii="Segoe UI" w:hAnsi="Segoe UI" w:cs="Segoe UI" w:eastAsia="Segoe UI"/>
          <w:color w:val="231F20"/>
          <w:sz w:val="16"/>
          <w:szCs w:val="16"/>
        </w:rPr>
        <w:t>of</w:t>
      </w:r>
      <w:r>
        <w:rPr>
          <w:rFonts w:ascii="Segoe UI" w:hAnsi="Segoe UI" w:cs="Segoe UI" w:eastAsia="Segoe UI"/>
          <w:color w:val="231F20"/>
          <w:spacing w:val="-3"/>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5"/>
          <w:sz w:val="16"/>
          <w:szCs w:val="16"/>
        </w:rPr>
        <w:t> </w:t>
      </w:r>
      <w:r>
        <w:rPr>
          <w:rFonts w:ascii="Segoe UI" w:hAnsi="Segoe UI" w:cs="Segoe UI" w:eastAsia="Segoe UI"/>
          <w:color w:val="231F20"/>
          <w:sz w:val="16"/>
          <w:szCs w:val="16"/>
        </w:rPr>
        <w:t>Prime</w:t>
      </w:r>
      <w:r>
        <w:rPr>
          <w:rFonts w:ascii="Segoe UI" w:hAnsi="Segoe UI" w:cs="Segoe UI" w:eastAsia="Segoe UI"/>
          <w:color w:val="231F20"/>
          <w:spacing w:val="-3"/>
          <w:sz w:val="16"/>
          <w:szCs w:val="16"/>
        </w:rPr>
        <w:t> </w:t>
      </w:r>
      <w:r>
        <w:rPr>
          <w:rFonts w:ascii="Segoe UI" w:hAnsi="Segoe UI" w:cs="Segoe UI" w:eastAsia="Segoe UI"/>
          <w:color w:val="231F20"/>
          <w:sz w:val="16"/>
          <w:szCs w:val="16"/>
        </w:rPr>
        <w:t>Minister</w:t>
      </w:r>
      <w:r>
        <w:rPr>
          <w:rFonts w:ascii="Segoe UI" w:hAnsi="Segoe UI" w:cs="Segoe UI" w:eastAsia="Segoe UI"/>
          <w:color w:val="231F20"/>
          <w:spacing w:val="-5"/>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Cabinet,</w:t>
      </w:r>
      <w:r>
        <w:rPr>
          <w:rFonts w:ascii="Segoe UI" w:hAnsi="Segoe UI" w:cs="Segoe UI" w:eastAsia="Segoe UI"/>
          <w:color w:val="231F20"/>
          <w:spacing w:val="21"/>
          <w:w w:val="99"/>
          <w:sz w:val="16"/>
          <w:szCs w:val="16"/>
        </w:rPr>
        <w:t> </w:t>
      </w:r>
      <w:r>
        <w:rPr>
          <w:rFonts w:ascii="Segoe UI" w:hAnsi="Segoe UI" w:cs="Segoe UI" w:eastAsia="Segoe UI"/>
          <w:color w:val="231F20"/>
          <w:spacing w:val="-1"/>
          <w:sz w:val="16"/>
          <w:szCs w:val="16"/>
        </w:rPr>
        <w:t>2018, </w:t>
      </w:r>
      <w:r>
        <w:rPr>
          <w:rFonts w:ascii="Segoe UI" w:hAnsi="Segoe UI" w:cs="Segoe UI" w:eastAsia="Segoe UI"/>
          <w:color w:val="231F20"/>
          <w:sz w:val="16"/>
          <w:szCs w:val="16"/>
        </w:rPr>
        <w:t>p.</w:t>
      </w:r>
      <w:r>
        <w:rPr>
          <w:rFonts w:ascii="Segoe UI" w:hAnsi="Segoe UI" w:cs="Segoe UI" w:eastAsia="Segoe UI"/>
          <w:color w:val="231F20"/>
          <w:spacing w:val="-1"/>
          <w:sz w:val="16"/>
          <w:szCs w:val="16"/>
        </w:rPr>
        <w:t> </w:t>
      </w:r>
      <w:r>
        <w:rPr>
          <w:rFonts w:ascii="Segoe UI" w:hAnsi="Segoe UI" w:cs="Segoe UI" w:eastAsia="Segoe UI"/>
          <w:color w:val="231F20"/>
          <w:sz w:val="16"/>
          <w:szCs w:val="16"/>
        </w:rPr>
        <w:t>51</w:t>
      </w:r>
      <w:r>
        <w:rPr>
          <w:rFonts w:ascii="Segoe UI" w:hAnsi="Segoe UI" w:cs="Segoe UI" w:eastAsia="Segoe UI"/>
          <w:sz w:val="16"/>
          <w:szCs w:val="16"/>
        </w:rPr>
      </w:r>
    </w:p>
    <w:p>
      <w:pPr>
        <w:numPr>
          <w:ilvl w:val="0"/>
          <w:numId w:val="10"/>
        </w:numPr>
        <w:tabs>
          <w:tab w:pos="668" w:val="left" w:leader="none"/>
        </w:tabs>
        <w:spacing w:before="100"/>
        <w:ind w:left="667" w:right="37" w:hanging="567"/>
        <w:jc w:val="left"/>
        <w:rPr>
          <w:rFonts w:ascii="Segoe UI" w:hAnsi="Segoe UI" w:cs="Segoe UI" w:eastAsia="Segoe UI"/>
          <w:sz w:val="16"/>
          <w:szCs w:val="16"/>
        </w:rPr>
      </w:pPr>
      <w:r>
        <w:rPr>
          <w:rFonts w:ascii="Segoe UI"/>
          <w:color w:val="231F20"/>
          <w:spacing w:val="-1"/>
          <w:sz w:val="16"/>
        </w:rPr>
        <w:t>Closing</w:t>
      </w:r>
      <w:r>
        <w:rPr>
          <w:rFonts w:ascii="Segoe UI"/>
          <w:color w:val="231F20"/>
          <w:spacing w:val="-2"/>
          <w:sz w:val="16"/>
        </w:rPr>
        <w:t> </w:t>
      </w:r>
      <w:r>
        <w:rPr>
          <w:rFonts w:ascii="Segoe UI"/>
          <w:color w:val="231F20"/>
          <w:sz w:val="16"/>
        </w:rPr>
        <w:t>the</w:t>
      </w:r>
      <w:r>
        <w:rPr>
          <w:rFonts w:ascii="Segoe UI"/>
          <w:color w:val="231F20"/>
          <w:spacing w:val="-3"/>
          <w:sz w:val="16"/>
        </w:rPr>
        <w:t> </w:t>
      </w:r>
      <w:r>
        <w:rPr>
          <w:rFonts w:ascii="Segoe UI"/>
          <w:color w:val="231F20"/>
          <w:sz w:val="16"/>
        </w:rPr>
        <w:t>Gap</w:t>
      </w:r>
      <w:r>
        <w:rPr>
          <w:rFonts w:ascii="Segoe UI"/>
          <w:color w:val="231F20"/>
          <w:spacing w:val="-2"/>
          <w:sz w:val="16"/>
        </w:rPr>
        <w:t> </w:t>
      </w:r>
      <w:r>
        <w:rPr>
          <w:rFonts w:ascii="Segoe UI"/>
          <w:color w:val="231F20"/>
          <w:sz w:val="16"/>
        </w:rPr>
        <w:t>2018</w:t>
      </w:r>
      <w:r>
        <w:rPr>
          <w:rFonts w:ascii="Segoe UI"/>
          <w:sz w:val="16"/>
        </w:rPr>
      </w:r>
    </w:p>
    <w:p>
      <w:pPr>
        <w:numPr>
          <w:ilvl w:val="0"/>
          <w:numId w:val="10"/>
        </w:numPr>
        <w:tabs>
          <w:tab w:pos="668" w:val="left" w:leader="none"/>
        </w:tabs>
        <w:spacing w:before="100"/>
        <w:ind w:left="667" w:right="37" w:hanging="567"/>
        <w:jc w:val="left"/>
        <w:rPr>
          <w:rFonts w:ascii="Segoe UI" w:hAnsi="Segoe UI" w:cs="Segoe UI" w:eastAsia="Segoe UI"/>
          <w:sz w:val="16"/>
          <w:szCs w:val="16"/>
        </w:rPr>
      </w:pPr>
      <w:r>
        <w:rPr>
          <w:rFonts w:ascii="Segoe UI"/>
          <w:color w:val="231F20"/>
          <w:sz w:val="16"/>
        </w:rPr>
        <w:t>Guenther,</w:t>
      </w:r>
      <w:r>
        <w:rPr>
          <w:rFonts w:ascii="Segoe UI"/>
          <w:color w:val="231F20"/>
          <w:spacing w:val="-3"/>
          <w:sz w:val="16"/>
        </w:rPr>
        <w:t> </w:t>
      </w:r>
      <w:r>
        <w:rPr>
          <w:rFonts w:ascii="Segoe UI"/>
          <w:color w:val="231F20"/>
          <w:spacing w:val="-1"/>
          <w:sz w:val="16"/>
        </w:rPr>
        <w:t>2017,</w:t>
      </w:r>
      <w:r>
        <w:rPr>
          <w:rFonts w:ascii="Segoe UI"/>
          <w:color w:val="231F20"/>
          <w:spacing w:val="-3"/>
          <w:sz w:val="16"/>
        </w:rPr>
        <w:t> </w:t>
      </w:r>
      <w:r>
        <w:rPr>
          <w:rFonts w:ascii="Segoe UI"/>
          <w:color w:val="231F20"/>
          <w:sz w:val="16"/>
        </w:rPr>
        <w:t>p.</w:t>
      </w:r>
      <w:r>
        <w:rPr>
          <w:rFonts w:ascii="Segoe UI"/>
          <w:color w:val="231F20"/>
          <w:spacing w:val="-3"/>
          <w:sz w:val="16"/>
        </w:rPr>
        <w:t> </w:t>
      </w:r>
      <w:r>
        <w:rPr>
          <w:rFonts w:ascii="Segoe UI"/>
          <w:color w:val="231F20"/>
          <w:sz w:val="16"/>
        </w:rPr>
        <w:t>11</w:t>
      </w:r>
      <w:r>
        <w:rPr>
          <w:rFonts w:ascii="Segoe UI"/>
          <w:sz w:val="16"/>
        </w:rPr>
      </w:r>
    </w:p>
    <w:p>
      <w:pPr>
        <w:numPr>
          <w:ilvl w:val="0"/>
          <w:numId w:val="10"/>
        </w:numPr>
        <w:tabs>
          <w:tab w:pos="668" w:val="left" w:leader="none"/>
        </w:tabs>
        <w:spacing w:line="200" w:lineRule="exact" w:before="113"/>
        <w:ind w:left="667" w:right="32" w:hanging="567"/>
        <w:jc w:val="left"/>
        <w:rPr>
          <w:rFonts w:ascii="Segoe UI" w:hAnsi="Segoe UI" w:cs="Segoe UI" w:eastAsia="Segoe UI"/>
          <w:sz w:val="16"/>
          <w:szCs w:val="16"/>
        </w:rPr>
      </w:pPr>
      <w:r>
        <w:rPr>
          <w:rFonts w:ascii="Segoe UI"/>
          <w:color w:val="231F20"/>
          <w:spacing w:val="-1"/>
          <w:sz w:val="16"/>
        </w:rPr>
        <w:t>Based</w:t>
      </w:r>
      <w:r>
        <w:rPr>
          <w:rFonts w:ascii="Segoe UI"/>
          <w:color w:val="231F20"/>
          <w:spacing w:val="-3"/>
          <w:sz w:val="16"/>
        </w:rPr>
        <w:t> </w:t>
      </w:r>
      <w:r>
        <w:rPr>
          <w:rFonts w:ascii="Segoe UI"/>
          <w:color w:val="231F20"/>
          <w:sz w:val="16"/>
        </w:rPr>
        <w:t>on</w:t>
      </w:r>
      <w:r>
        <w:rPr>
          <w:rFonts w:ascii="Segoe UI"/>
          <w:color w:val="231F20"/>
          <w:spacing w:val="-3"/>
          <w:sz w:val="16"/>
        </w:rPr>
        <w:t> </w:t>
      </w:r>
      <w:r>
        <w:rPr>
          <w:rFonts w:ascii="Segoe UI"/>
          <w:color w:val="231F20"/>
          <w:sz w:val="16"/>
        </w:rPr>
        <w:t>program</w:t>
      </w:r>
      <w:r>
        <w:rPr>
          <w:rFonts w:ascii="Segoe UI"/>
          <w:color w:val="231F20"/>
          <w:spacing w:val="-3"/>
          <w:sz w:val="16"/>
        </w:rPr>
        <w:t> </w:t>
      </w:r>
      <w:r>
        <w:rPr>
          <w:rFonts w:ascii="Segoe UI"/>
          <w:color w:val="231F20"/>
          <w:spacing w:val="-1"/>
          <w:sz w:val="16"/>
        </w:rPr>
        <w:t>intended</w:t>
      </w:r>
      <w:r>
        <w:rPr>
          <w:rFonts w:ascii="Segoe UI"/>
          <w:color w:val="231F20"/>
          <w:spacing w:val="-3"/>
          <w:sz w:val="16"/>
        </w:rPr>
        <w:t> </w:t>
      </w:r>
      <w:r>
        <w:rPr>
          <w:rFonts w:ascii="Segoe UI"/>
          <w:color w:val="231F20"/>
          <w:sz w:val="16"/>
        </w:rPr>
        <w:t>outcomes</w:t>
      </w:r>
      <w:r>
        <w:rPr>
          <w:rFonts w:ascii="Segoe UI"/>
          <w:color w:val="231F20"/>
          <w:spacing w:val="-4"/>
          <w:sz w:val="16"/>
        </w:rPr>
        <w:t> </w:t>
      </w:r>
      <w:r>
        <w:rPr>
          <w:rFonts w:ascii="Segoe UI"/>
          <w:color w:val="231F20"/>
          <w:sz w:val="16"/>
        </w:rPr>
        <w:t>of</w:t>
      </w:r>
      <w:r>
        <w:rPr>
          <w:rFonts w:ascii="Segoe UI"/>
          <w:color w:val="231F20"/>
          <w:spacing w:val="-2"/>
          <w:sz w:val="16"/>
        </w:rPr>
        <w:t> </w:t>
      </w:r>
      <w:r>
        <w:rPr>
          <w:rFonts w:ascii="Segoe UI"/>
          <w:color w:val="231F20"/>
          <w:sz w:val="16"/>
        </w:rPr>
        <w:t>ABSTUDY</w:t>
      </w:r>
      <w:r>
        <w:rPr>
          <w:rFonts w:ascii="Segoe UI"/>
          <w:color w:val="231F20"/>
          <w:spacing w:val="23"/>
          <w:sz w:val="16"/>
        </w:rPr>
        <w:t> </w:t>
      </w:r>
      <w:r>
        <w:rPr>
          <w:rFonts w:ascii="Segoe UI"/>
          <w:color w:val="231F20"/>
          <w:sz w:val="16"/>
        </w:rPr>
        <w:t>(DSS</w:t>
      </w:r>
      <w:r>
        <w:rPr>
          <w:rFonts w:ascii="Segoe UI"/>
          <w:color w:val="231F20"/>
          <w:spacing w:val="-8"/>
          <w:sz w:val="16"/>
        </w:rPr>
        <w:t> </w:t>
      </w:r>
      <w:r>
        <w:rPr>
          <w:rFonts w:ascii="Segoe UI"/>
          <w:color w:val="231F20"/>
          <w:spacing w:val="-1"/>
          <w:sz w:val="16"/>
        </w:rPr>
        <w:t>2018),</w:t>
      </w:r>
      <w:r>
        <w:rPr>
          <w:rFonts w:ascii="Segoe UI"/>
          <w:color w:val="231F20"/>
          <w:spacing w:val="-7"/>
          <w:sz w:val="16"/>
        </w:rPr>
        <w:t> </w:t>
      </w:r>
      <w:r>
        <w:rPr>
          <w:rFonts w:ascii="Segoe UI"/>
          <w:color w:val="231F20"/>
          <w:spacing w:val="-1"/>
          <w:sz w:val="16"/>
        </w:rPr>
        <w:t>Indigenous</w:t>
      </w:r>
      <w:r>
        <w:rPr>
          <w:rFonts w:ascii="Segoe UI"/>
          <w:color w:val="231F20"/>
          <w:spacing w:val="-7"/>
          <w:sz w:val="16"/>
        </w:rPr>
        <w:t> </w:t>
      </w:r>
      <w:r>
        <w:rPr>
          <w:rFonts w:ascii="Segoe UI"/>
          <w:color w:val="231F20"/>
          <w:sz w:val="16"/>
        </w:rPr>
        <w:t>Advancement</w:t>
      </w:r>
      <w:r>
        <w:rPr>
          <w:rFonts w:ascii="Segoe UI"/>
          <w:color w:val="231F20"/>
          <w:spacing w:val="-7"/>
          <w:sz w:val="16"/>
        </w:rPr>
        <w:t> </w:t>
      </w:r>
      <w:r>
        <w:rPr>
          <w:rFonts w:ascii="Segoe UI"/>
          <w:color w:val="231F20"/>
          <w:spacing w:val="-1"/>
          <w:sz w:val="16"/>
        </w:rPr>
        <w:t>Strategy,</w:t>
      </w:r>
      <w:r>
        <w:rPr>
          <w:rFonts w:ascii="Segoe UI"/>
          <w:color w:val="231F20"/>
          <w:spacing w:val="26"/>
          <w:w w:val="99"/>
          <w:sz w:val="16"/>
        </w:rPr>
        <w:t> </w:t>
      </w:r>
      <w:r>
        <w:rPr>
          <w:rFonts w:ascii="Segoe UI"/>
          <w:i/>
          <w:color w:val="231F20"/>
          <w:spacing w:val="-1"/>
          <w:sz w:val="16"/>
        </w:rPr>
        <w:t>Children</w:t>
      </w:r>
      <w:r>
        <w:rPr>
          <w:rFonts w:ascii="Segoe UI"/>
          <w:i/>
          <w:color w:val="231F20"/>
          <w:spacing w:val="-3"/>
          <w:sz w:val="16"/>
        </w:rPr>
        <w:t> </w:t>
      </w:r>
      <w:r>
        <w:rPr>
          <w:rFonts w:ascii="Segoe UI"/>
          <w:i/>
          <w:color w:val="231F20"/>
          <w:sz w:val="16"/>
        </w:rPr>
        <w:t>and</w:t>
      </w:r>
      <w:r>
        <w:rPr>
          <w:rFonts w:ascii="Segoe UI"/>
          <w:i/>
          <w:color w:val="231F20"/>
          <w:spacing w:val="-2"/>
          <w:sz w:val="16"/>
        </w:rPr>
        <w:t> </w:t>
      </w:r>
      <w:r>
        <w:rPr>
          <w:rFonts w:ascii="Segoe UI"/>
          <w:i/>
          <w:color w:val="231F20"/>
          <w:sz w:val="16"/>
        </w:rPr>
        <w:t>Schooling</w:t>
      </w:r>
      <w:r>
        <w:rPr>
          <w:rFonts w:ascii="Segoe UI"/>
          <w:color w:val="231F20"/>
          <w:sz w:val="16"/>
        </w:rPr>
        <w:t>,</w:t>
      </w:r>
      <w:r>
        <w:rPr>
          <w:rFonts w:ascii="Segoe UI"/>
          <w:color w:val="231F20"/>
          <w:spacing w:val="-2"/>
          <w:sz w:val="16"/>
        </w:rPr>
        <w:t> </w:t>
      </w:r>
      <w:r>
        <w:rPr>
          <w:rFonts w:ascii="Segoe UI"/>
          <w:color w:val="231F20"/>
          <w:sz w:val="16"/>
        </w:rPr>
        <w:t>PM&amp;C,</w:t>
      </w:r>
      <w:r>
        <w:rPr>
          <w:rFonts w:ascii="Segoe UI"/>
          <w:color w:val="231F20"/>
          <w:spacing w:val="-2"/>
          <w:sz w:val="16"/>
        </w:rPr>
        <w:t> </w:t>
      </w:r>
      <w:r>
        <w:rPr>
          <w:rFonts w:ascii="Segoe UI"/>
          <w:color w:val="231F20"/>
          <w:spacing w:val="-1"/>
          <w:sz w:val="16"/>
        </w:rPr>
        <w:t>2016 </w:t>
      </w:r>
      <w:r>
        <w:rPr>
          <w:rFonts w:ascii="Segoe UI"/>
          <w:color w:val="231F20"/>
          <w:sz w:val="16"/>
        </w:rPr>
        <w:t>and</w:t>
      </w:r>
      <w:r>
        <w:rPr>
          <w:rFonts w:ascii="Segoe UI"/>
          <w:color w:val="231F20"/>
          <w:spacing w:val="-3"/>
          <w:sz w:val="16"/>
        </w:rPr>
        <w:t> </w:t>
      </w:r>
      <w:r>
        <w:rPr>
          <w:rFonts w:ascii="Segoe UI"/>
          <w:i/>
          <w:color w:val="231F20"/>
          <w:spacing w:val="-1"/>
          <w:sz w:val="16"/>
        </w:rPr>
        <w:t>Close</w:t>
      </w:r>
      <w:r>
        <w:rPr>
          <w:rFonts w:ascii="Segoe UI"/>
          <w:i/>
          <w:color w:val="231F20"/>
          <w:spacing w:val="-2"/>
          <w:sz w:val="16"/>
        </w:rPr>
        <w:t> </w:t>
      </w:r>
      <w:r>
        <w:rPr>
          <w:rFonts w:ascii="Segoe UI"/>
          <w:i/>
          <w:color w:val="231F20"/>
          <w:spacing w:val="-1"/>
          <w:sz w:val="16"/>
        </w:rPr>
        <w:t>the</w:t>
      </w:r>
      <w:r>
        <w:rPr>
          <w:rFonts w:ascii="Segoe UI"/>
          <w:i/>
          <w:color w:val="231F20"/>
          <w:spacing w:val="24"/>
          <w:sz w:val="16"/>
        </w:rPr>
        <w:t> </w:t>
      </w:r>
      <w:r>
        <w:rPr>
          <w:rFonts w:ascii="Segoe UI"/>
          <w:i/>
          <w:color w:val="231F20"/>
          <w:sz w:val="16"/>
        </w:rPr>
        <w:t>Gap</w:t>
      </w:r>
      <w:r>
        <w:rPr>
          <w:rFonts w:ascii="Segoe UI"/>
          <w:i/>
          <w:color w:val="231F20"/>
          <w:spacing w:val="-2"/>
          <w:sz w:val="16"/>
        </w:rPr>
        <w:t> </w:t>
      </w:r>
      <w:r>
        <w:rPr>
          <w:rFonts w:ascii="Segoe UI"/>
          <w:i/>
          <w:color w:val="231F20"/>
          <w:sz w:val="16"/>
        </w:rPr>
        <w:t>Education</w:t>
      </w:r>
      <w:r>
        <w:rPr>
          <w:rFonts w:ascii="Segoe UI"/>
          <w:i/>
          <w:color w:val="231F20"/>
          <w:spacing w:val="-1"/>
          <w:sz w:val="16"/>
        </w:rPr>
        <w:t> </w:t>
      </w:r>
      <w:r>
        <w:rPr>
          <w:rFonts w:ascii="Segoe UI"/>
          <w:i/>
          <w:color w:val="231F20"/>
          <w:spacing w:val="-2"/>
          <w:sz w:val="16"/>
        </w:rPr>
        <w:t>Targets</w:t>
      </w:r>
      <w:r>
        <w:rPr>
          <w:rFonts w:ascii="Segoe UI"/>
          <w:color w:val="231F20"/>
          <w:spacing w:val="-2"/>
          <w:sz w:val="16"/>
        </w:rPr>
        <w:t>, </w:t>
      </w:r>
      <w:r>
        <w:rPr>
          <w:rFonts w:ascii="Segoe UI"/>
          <w:color w:val="231F20"/>
          <w:sz w:val="16"/>
        </w:rPr>
        <w:t>PM&amp;C</w:t>
      </w:r>
      <w:r>
        <w:rPr>
          <w:rFonts w:ascii="Segoe UI"/>
          <w:color w:val="231F20"/>
          <w:spacing w:val="-1"/>
          <w:sz w:val="16"/>
        </w:rPr>
        <w:t> </w:t>
      </w:r>
      <w:r>
        <w:rPr>
          <w:rFonts w:ascii="Segoe UI"/>
          <w:color w:val="231F20"/>
          <w:sz w:val="16"/>
        </w:rPr>
        <w:t>2018</w:t>
      </w:r>
      <w:r>
        <w:rPr>
          <w:rFonts w:ascii="Segoe UI"/>
          <w:sz w:val="16"/>
        </w:rPr>
      </w:r>
    </w:p>
    <w:p>
      <w:pPr>
        <w:numPr>
          <w:ilvl w:val="0"/>
          <w:numId w:val="10"/>
        </w:numPr>
        <w:tabs>
          <w:tab w:pos="668" w:val="left" w:leader="none"/>
        </w:tabs>
        <w:spacing w:line="200" w:lineRule="exact" w:before="113"/>
        <w:ind w:left="667" w:right="424" w:hanging="567"/>
        <w:jc w:val="left"/>
        <w:rPr>
          <w:rFonts w:ascii="Segoe UI" w:hAnsi="Segoe UI" w:cs="Segoe UI" w:eastAsia="Segoe UI"/>
          <w:sz w:val="16"/>
          <w:szCs w:val="16"/>
        </w:rPr>
      </w:pPr>
      <w:r>
        <w:rPr>
          <w:rFonts w:ascii="Segoe UI"/>
          <w:color w:val="231F20"/>
          <w:spacing w:val="-1"/>
          <w:sz w:val="16"/>
        </w:rPr>
        <w:t>Rogers,</w:t>
      </w:r>
      <w:r>
        <w:rPr>
          <w:rFonts w:ascii="Segoe UI"/>
          <w:color w:val="231F20"/>
          <w:spacing w:val="-3"/>
          <w:sz w:val="16"/>
        </w:rPr>
        <w:t> </w:t>
      </w:r>
      <w:r>
        <w:rPr>
          <w:rFonts w:ascii="Segoe UI"/>
          <w:color w:val="231F20"/>
          <w:sz w:val="16"/>
        </w:rPr>
        <w:t>Jessa,</w:t>
      </w:r>
      <w:r>
        <w:rPr>
          <w:rFonts w:ascii="Segoe UI"/>
          <w:color w:val="231F20"/>
          <w:spacing w:val="-2"/>
          <w:sz w:val="16"/>
        </w:rPr>
        <w:t> </w:t>
      </w:r>
      <w:r>
        <w:rPr>
          <w:rFonts w:ascii="Segoe UI"/>
          <w:i/>
          <w:color w:val="231F20"/>
          <w:spacing w:val="-1"/>
          <w:sz w:val="16"/>
        </w:rPr>
        <w:t>We </w:t>
      </w:r>
      <w:r>
        <w:rPr>
          <w:rFonts w:ascii="Segoe UI"/>
          <w:i/>
          <w:color w:val="231F20"/>
          <w:sz w:val="16"/>
        </w:rPr>
        <w:t>need</w:t>
      </w:r>
      <w:r>
        <w:rPr>
          <w:rFonts w:ascii="Segoe UI"/>
          <w:i/>
          <w:color w:val="231F20"/>
          <w:spacing w:val="-1"/>
          <w:sz w:val="16"/>
        </w:rPr>
        <w:t> to</w:t>
      </w:r>
      <w:r>
        <w:rPr>
          <w:rFonts w:ascii="Segoe UI"/>
          <w:i/>
          <w:color w:val="231F20"/>
          <w:spacing w:val="-2"/>
          <w:sz w:val="16"/>
        </w:rPr>
        <w:t> </w:t>
      </w:r>
      <w:r>
        <w:rPr>
          <w:rFonts w:ascii="Segoe UI"/>
          <w:i/>
          <w:color w:val="231F20"/>
          <w:spacing w:val="-1"/>
          <w:sz w:val="16"/>
        </w:rPr>
        <w:t>know</w:t>
      </w:r>
      <w:r>
        <w:rPr>
          <w:rFonts w:ascii="Segoe UI"/>
          <w:i/>
          <w:color w:val="231F20"/>
          <w:spacing w:val="-2"/>
          <w:sz w:val="16"/>
        </w:rPr>
        <w:t> </w:t>
      </w:r>
      <w:r>
        <w:rPr>
          <w:rFonts w:ascii="Segoe UI"/>
          <w:i/>
          <w:color w:val="231F20"/>
          <w:spacing w:val="-1"/>
          <w:sz w:val="16"/>
        </w:rPr>
        <w:t>the true</w:t>
      </w:r>
      <w:r>
        <w:rPr>
          <w:rFonts w:ascii="Segoe UI"/>
          <w:i/>
          <w:color w:val="231F20"/>
          <w:spacing w:val="-2"/>
          <w:sz w:val="16"/>
        </w:rPr>
        <w:t> cost</w:t>
      </w:r>
      <w:r>
        <w:rPr>
          <w:rFonts w:ascii="Segoe UI"/>
          <w:i/>
          <w:color w:val="231F20"/>
          <w:spacing w:val="29"/>
          <w:sz w:val="16"/>
        </w:rPr>
        <w:t> </w:t>
      </w:r>
      <w:r>
        <w:rPr>
          <w:rFonts w:ascii="Segoe UI"/>
          <w:i/>
          <w:color w:val="231F20"/>
          <w:spacing w:val="-2"/>
          <w:sz w:val="16"/>
        </w:rPr>
        <w:t>of </w:t>
      </w:r>
      <w:r>
        <w:rPr>
          <w:rFonts w:ascii="Segoe UI"/>
          <w:i/>
          <w:color w:val="231F20"/>
          <w:spacing w:val="-1"/>
          <w:sz w:val="16"/>
        </w:rPr>
        <w:t>Indigenous</w:t>
      </w:r>
      <w:r>
        <w:rPr>
          <w:rFonts w:ascii="Segoe UI"/>
          <w:i/>
          <w:color w:val="231F20"/>
          <w:spacing w:val="-2"/>
          <w:sz w:val="16"/>
        </w:rPr>
        <w:t> </w:t>
      </w:r>
      <w:r>
        <w:rPr>
          <w:rFonts w:ascii="Segoe UI"/>
          <w:i/>
          <w:color w:val="231F20"/>
          <w:spacing w:val="-1"/>
          <w:sz w:val="16"/>
        </w:rPr>
        <w:t>boarding</w:t>
      </w:r>
      <w:r>
        <w:rPr>
          <w:rFonts w:ascii="Segoe UI"/>
          <w:i/>
          <w:color w:val="231F20"/>
          <w:spacing w:val="-2"/>
          <w:sz w:val="16"/>
        </w:rPr>
        <w:t> </w:t>
      </w:r>
      <w:r>
        <w:rPr>
          <w:rFonts w:ascii="Segoe UI"/>
          <w:i/>
          <w:color w:val="231F20"/>
          <w:spacing w:val="-1"/>
          <w:sz w:val="16"/>
        </w:rPr>
        <w:t>school scholarships</w:t>
      </w:r>
      <w:r>
        <w:rPr>
          <w:rFonts w:ascii="Segoe UI"/>
          <w:i/>
          <w:color w:val="231F20"/>
          <w:spacing w:val="-2"/>
          <w:sz w:val="16"/>
        </w:rPr>
        <w:t> </w:t>
      </w:r>
      <w:r>
        <w:rPr>
          <w:rFonts w:ascii="Segoe UI"/>
          <w:i/>
          <w:color w:val="231F20"/>
          <w:spacing w:val="-1"/>
          <w:sz w:val="16"/>
        </w:rPr>
        <w:t>on</w:t>
      </w:r>
      <w:r>
        <w:rPr>
          <w:rFonts w:ascii="Segoe UI"/>
          <w:i/>
          <w:color w:val="231F20"/>
          <w:spacing w:val="40"/>
          <w:sz w:val="16"/>
        </w:rPr>
        <w:t> </w:t>
      </w:r>
      <w:r>
        <w:rPr>
          <w:rFonts w:ascii="Segoe UI"/>
          <w:i/>
          <w:color w:val="231F20"/>
          <w:spacing w:val="-1"/>
          <w:sz w:val="16"/>
        </w:rPr>
        <w:t>communities</w:t>
      </w:r>
      <w:r>
        <w:rPr>
          <w:rFonts w:ascii="Segoe UI"/>
          <w:color w:val="231F20"/>
          <w:spacing w:val="-1"/>
          <w:sz w:val="16"/>
        </w:rPr>
        <w:t>,</w:t>
      </w:r>
      <w:r>
        <w:rPr>
          <w:rFonts w:ascii="Segoe UI"/>
          <w:color w:val="231F20"/>
          <w:spacing w:val="-5"/>
          <w:sz w:val="16"/>
        </w:rPr>
        <w:t> </w:t>
      </w:r>
      <w:r>
        <w:rPr>
          <w:rFonts w:ascii="Segoe UI"/>
          <w:color w:val="231F20"/>
          <w:sz w:val="16"/>
        </w:rPr>
        <w:t>The</w:t>
      </w:r>
      <w:r>
        <w:rPr>
          <w:rFonts w:ascii="Segoe UI"/>
          <w:color w:val="231F20"/>
          <w:spacing w:val="-5"/>
          <w:sz w:val="16"/>
        </w:rPr>
        <w:t> </w:t>
      </w:r>
      <w:r>
        <w:rPr>
          <w:rFonts w:ascii="Segoe UI"/>
          <w:color w:val="231F20"/>
          <w:spacing w:val="-1"/>
          <w:sz w:val="16"/>
        </w:rPr>
        <w:t>Conversation,</w:t>
      </w:r>
      <w:r>
        <w:rPr>
          <w:rFonts w:ascii="Segoe UI"/>
          <w:color w:val="231F20"/>
          <w:spacing w:val="-5"/>
          <w:sz w:val="16"/>
        </w:rPr>
        <w:t> </w:t>
      </w:r>
      <w:r>
        <w:rPr>
          <w:rFonts w:ascii="Segoe UI"/>
          <w:color w:val="231F20"/>
          <w:spacing w:val="-1"/>
          <w:sz w:val="16"/>
        </w:rPr>
        <w:t>13</w:t>
      </w:r>
      <w:r>
        <w:rPr>
          <w:rFonts w:ascii="Segoe UI"/>
          <w:color w:val="231F20"/>
          <w:spacing w:val="-5"/>
          <w:sz w:val="16"/>
        </w:rPr>
        <w:t> </w:t>
      </w:r>
      <w:r>
        <w:rPr>
          <w:rFonts w:ascii="Segoe UI"/>
          <w:color w:val="231F20"/>
          <w:sz w:val="16"/>
        </w:rPr>
        <w:t>June</w:t>
      </w:r>
      <w:r>
        <w:rPr>
          <w:rFonts w:ascii="Segoe UI"/>
          <w:color w:val="231F20"/>
          <w:spacing w:val="-4"/>
          <w:sz w:val="16"/>
        </w:rPr>
        <w:t> </w:t>
      </w:r>
      <w:r>
        <w:rPr>
          <w:rFonts w:ascii="Segoe UI"/>
          <w:color w:val="231F20"/>
          <w:spacing w:val="-1"/>
          <w:sz w:val="16"/>
        </w:rPr>
        <w:t>2017,</w:t>
      </w:r>
      <w:r>
        <w:rPr>
          <w:rFonts w:ascii="Segoe UI"/>
          <w:color w:val="231F20"/>
          <w:spacing w:val="23"/>
          <w:sz w:val="16"/>
        </w:rPr>
        <w:t> </w:t>
      </w:r>
      <w:r>
        <w:rPr>
          <w:rFonts w:ascii="Segoe UI"/>
          <w:color w:val="231F20"/>
          <w:sz w:val="16"/>
        </w:rPr>
        <w:t>accessed</w:t>
      </w:r>
      <w:r>
        <w:rPr>
          <w:rFonts w:ascii="Segoe UI"/>
          <w:color w:val="231F20"/>
          <w:spacing w:val="-4"/>
          <w:sz w:val="16"/>
        </w:rPr>
        <w:t> </w:t>
      </w:r>
      <w:r>
        <w:rPr>
          <w:rFonts w:ascii="Segoe UI"/>
          <w:color w:val="231F20"/>
          <w:sz w:val="16"/>
        </w:rPr>
        <w:t>9</w:t>
      </w:r>
      <w:r>
        <w:rPr>
          <w:rFonts w:ascii="Segoe UI"/>
          <w:color w:val="231F20"/>
          <w:spacing w:val="-3"/>
          <w:sz w:val="16"/>
        </w:rPr>
        <w:t> </w:t>
      </w:r>
      <w:r>
        <w:rPr>
          <w:rFonts w:ascii="Segoe UI"/>
          <w:color w:val="231F20"/>
          <w:sz w:val="16"/>
        </w:rPr>
        <w:t>May</w:t>
      </w:r>
      <w:r>
        <w:rPr>
          <w:rFonts w:ascii="Segoe UI"/>
          <w:color w:val="231F20"/>
          <w:spacing w:val="-2"/>
          <w:sz w:val="16"/>
        </w:rPr>
        <w:t> </w:t>
      </w:r>
      <w:r>
        <w:rPr>
          <w:rFonts w:ascii="Segoe UI"/>
          <w:color w:val="231F20"/>
          <w:spacing w:val="-1"/>
          <w:sz w:val="16"/>
        </w:rPr>
        <w:t>2018.</w:t>
      </w:r>
      <w:r>
        <w:rPr>
          <w:rFonts w:ascii="Segoe UI"/>
          <w:color w:val="231F20"/>
          <w:spacing w:val="-3"/>
          <w:sz w:val="16"/>
        </w:rPr>
        <w:t> </w:t>
      </w:r>
      <w:r>
        <w:rPr>
          <w:rFonts w:ascii="Segoe UI"/>
          <w:color w:val="231F20"/>
          <w:spacing w:val="-1"/>
          <w:sz w:val="16"/>
        </w:rPr>
        <w:t>Available</w:t>
      </w:r>
      <w:r>
        <w:rPr>
          <w:rFonts w:ascii="Segoe UI"/>
          <w:color w:val="231F20"/>
          <w:spacing w:val="-2"/>
          <w:sz w:val="16"/>
        </w:rPr>
        <w:t> </w:t>
      </w:r>
      <w:r>
        <w:rPr>
          <w:rFonts w:ascii="Segoe UI"/>
          <w:color w:val="231F20"/>
          <w:sz w:val="16"/>
        </w:rPr>
        <w:t>at:</w:t>
      </w:r>
      <w:r>
        <w:rPr>
          <w:rFonts w:ascii="Segoe UI"/>
          <w:color w:val="231F20"/>
          <w:spacing w:val="-4"/>
          <w:sz w:val="16"/>
        </w:rPr>
        <w:t> </w:t>
      </w:r>
      <w:r>
        <w:rPr>
          <w:rFonts w:ascii="Segoe UI"/>
          <w:color w:val="3853A4"/>
          <w:spacing w:val="-4"/>
          <w:sz w:val="16"/>
        </w:rPr>
      </w:r>
      <w:r>
        <w:rPr>
          <w:rFonts w:ascii="Segoe UI"/>
          <w:color w:val="3853A4"/>
          <w:sz w:val="16"/>
          <w:u w:val="single" w:color="3853A4"/>
        </w:rPr>
        <w:t>https://</w:t>
      </w:r>
      <w:r>
        <w:rPr>
          <w:rFonts w:ascii="Segoe UI"/>
          <w:color w:val="3853A4"/>
          <w:w w:val="99"/>
          <w:sz w:val="16"/>
        </w:rPr>
      </w:r>
      <w:r>
        <w:rPr>
          <w:rFonts w:ascii="Segoe UI"/>
          <w:sz w:val="16"/>
        </w:rPr>
      </w:r>
    </w:p>
    <w:p>
      <w:pPr>
        <w:spacing w:line="200" w:lineRule="exact" w:before="0"/>
        <w:ind w:left="667" w:right="91" w:firstLine="0"/>
        <w:jc w:val="left"/>
        <w:rPr>
          <w:rFonts w:ascii="Segoe UI" w:hAnsi="Segoe UI" w:cs="Segoe UI" w:eastAsia="Segoe UI"/>
          <w:sz w:val="16"/>
          <w:szCs w:val="16"/>
        </w:rPr>
      </w:pPr>
      <w:r>
        <w:rPr>
          <w:rFonts w:ascii="Segoe UI"/>
          <w:color w:val="3853A4"/>
          <w:w w:val="99"/>
          <w:sz w:val="16"/>
        </w:rPr>
      </w:r>
      <w:r>
        <w:rPr>
          <w:rFonts w:ascii="Segoe UI"/>
          <w:color w:val="3853A4"/>
          <w:sz w:val="16"/>
          <w:u w:val="single" w:color="3853A4"/>
        </w:rPr>
        <w:t>theconversation.com/we-need-to-know-the-true-</w:t>
      </w:r>
      <w:r>
        <w:rPr>
          <w:rFonts w:ascii="Segoe UI"/>
          <w:color w:val="3853A4"/>
          <w:w w:val="99"/>
          <w:sz w:val="16"/>
        </w:rPr>
      </w:r>
      <w:r>
        <w:rPr>
          <w:rFonts w:ascii="Segoe UI"/>
          <w:color w:val="3853A4"/>
          <w:w w:val="99"/>
          <w:sz w:val="16"/>
        </w:rPr>
        <w:t> </w:t>
      </w:r>
      <w:r>
        <w:rPr>
          <w:rFonts w:ascii="Segoe UI"/>
          <w:color w:val="3853A4"/>
          <w:w w:val="95"/>
          <w:sz w:val="16"/>
          <w:u w:val="single" w:color="3853A4"/>
        </w:rPr>
        <w:t>cost-of-indigenous-boarding-school-scholarships-</w:t>
      </w:r>
      <w:r>
        <w:rPr>
          <w:rFonts w:ascii="Segoe UI"/>
          <w:color w:val="3853A4"/>
          <w:w w:val="99"/>
          <w:sz w:val="16"/>
        </w:rPr>
      </w:r>
      <w:r>
        <w:rPr>
          <w:rFonts w:ascii="Segoe UI"/>
          <w:color w:val="3853A4"/>
          <w:w w:val="99"/>
          <w:sz w:val="16"/>
        </w:rPr>
        <w:t> </w:t>
      </w:r>
      <w:r>
        <w:rPr>
          <w:rFonts w:ascii="Segoe UI"/>
          <w:color w:val="3853A4"/>
          <w:sz w:val="16"/>
        </w:rPr>
      </w:r>
      <w:r>
        <w:rPr>
          <w:rFonts w:ascii="Segoe UI"/>
          <w:color w:val="3853A4"/>
          <w:sz w:val="16"/>
          <w:u w:val="single" w:color="3853A4"/>
        </w:rPr>
        <w:t>on-communities-74622</w:t>
      </w:r>
      <w:r>
        <w:rPr>
          <w:rFonts w:ascii="Segoe UI"/>
          <w:color w:val="3853A4"/>
          <w:spacing w:val="-6"/>
          <w:sz w:val="16"/>
          <w:u w:val="single" w:color="3853A4"/>
        </w:rPr>
        <w:t> </w:t>
      </w:r>
      <w:r>
        <w:rPr>
          <w:rFonts w:ascii="Segoe UI"/>
          <w:color w:val="3853A4"/>
          <w:spacing w:val="-6"/>
          <w:sz w:val="16"/>
        </w:rPr>
      </w:r>
      <w:r>
        <w:rPr>
          <w:rFonts w:ascii="Segoe UI"/>
          <w:color w:val="231F20"/>
          <w:spacing w:val="-1"/>
          <w:sz w:val="16"/>
        </w:rPr>
        <w:t>(Rogers,</w:t>
      </w:r>
      <w:r>
        <w:rPr>
          <w:rFonts w:ascii="Segoe UI"/>
          <w:color w:val="231F20"/>
          <w:spacing w:val="-6"/>
          <w:sz w:val="16"/>
        </w:rPr>
        <w:t> </w:t>
      </w:r>
      <w:r>
        <w:rPr>
          <w:rFonts w:ascii="Segoe UI"/>
          <w:color w:val="231F20"/>
          <w:spacing w:val="-1"/>
          <w:sz w:val="16"/>
        </w:rPr>
        <w:t>2017);</w:t>
      </w:r>
      <w:r>
        <w:rPr>
          <w:rFonts w:ascii="Segoe UI"/>
          <w:color w:val="231F20"/>
          <w:spacing w:val="-5"/>
          <w:sz w:val="16"/>
        </w:rPr>
        <w:t> </w:t>
      </w:r>
      <w:r>
        <w:rPr>
          <w:rFonts w:ascii="Segoe UI"/>
          <w:color w:val="231F20"/>
          <w:spacing w:val="-1"/>
          <w:sz w:val="16"/>
        </w:rPr>
        <w:t>Rogers,</w:t>
      </w:r>
      <w:r>
        <w:rPr>
          <w:rFonts w:ascii="Segoe UI"/>
          <w:color w:val="231F20"/>
          <w:spacing w:val="26"/>
          <w:w w:val="99"/>
          <w:sz w:val="16"/>
        </w:rPr>
        <w:t> </w:t>
      </w:r>
      <w:r>
        <w:rPr>
          <w:rFonts w:ascii="Segoe UI"/>
          <w:color w:val="231F20"/>
          <w:sz w:val="16"/>
        </w:rPr>
        <w:t>Jessa</w:t>
      </w:r>
      <w:r>
        <w:rPr>
          <w:rFonts w:ascii="Segoe UI"/>
          <w:color w:val="231F20"/>
          <w:spacing w:val="-3"/>
          <w:sz w:val="16"/>
        </w:rPr>
        <w:t> </w:t>
      </w:r>
      <w:r>
        <w:rPr>
          <w:rFonts w:ascii="Segoe UI"/>
          <w:color w:val="231F20"/>
          <w:sz w:val="16"/>
        </w:rPr>
        <w:t>and</w:t>
      </w:r>
      <w:r>
        <w:rPr>
          <w:rFonts w:ascii="Segoe UI"/>
          <w:color w:val="231F20"/>
          <w:spacing w:val="-2"/>
          <w:sz w:val="16"/>
        </w:rPr>
        <w:t> </w:t>
      </w:r>
      <w:r>
        <w:rPr>
          <w:rFonts w:ascii="Segoe UI"/>
          <w:color w:val="231F20"/>
          <w:spacing w:val="-1"/>
          <w:sz w:val="16"/>
        </w:rPr>
        <w:t>Biddle,</w:t>
      </w:r>
      <w:r>
        <w:rPr>
          <w:rFonts w:ascii="Segoe UI"/>
          <w:color w:val="231F20"/>
          <w:spacing w:val="-2"/>
          <w:sz w:val="16"/>
        </w:rPr>
        <w:t> </w:t>
      </w:r>
      <w:r>
        <w:rPr>
          <w:rFonts w:ascii="Segoe UI"/>
          <w:color w:val="231F20"/>
          <w:sz w:val="16"/>
        </w:rPr>
        <w:t>Nicholas,</w:t>
      </w:r>
      <w:r>
        <w:rPr>
          <w:rFonts w:ascii="Segoe UI"/>
          <w:color w:val="231F20"/>
          <w:spacing w:val="-1"/>
          <w:sz w:val="16"/>
        </w:rPr>
        <w:t> </w:t>
      </w:r>
      <w:r>
        <w:rPr>
          <w:rFonts w:ascii="Segoe UI"/>
          <w:i/>
          <w:color w:val="231F20"/>
          <w:spacing w:val="-1"/>
          <w:sz w:val="16"/>
        </w:rPr>
        <w:t>Stuck</w:t>
      </w:r>
      <w:r>
        <w:rPr>
          <w:rFonts w:ascii="Segoe UI"/>
          <w:i/>
          <w:color w:val="231F20"/>
          <w:spacing w:val="-2"/>
          <w:sz w:val="16"/>
        </w:rPr>
        <w:t> </w:t>
      </w:r>
      <w:r>
        <w:rPr>
          <w:rFonts w:ascii="Segoe UI"/>
          <w:i/>
          <w:color w:val="231F20"/>
          <w:sz w:val="16"/>
        </w:rPr>
        <w:t>in</w:t>
      </w:r>
      <w:r>
        <w:rPr>
          <w:rFonts w:ascii="Segoe UI"/>
          <w:i/>
          <w:color w:val="231F20"/>
          <w:spacing w:val="-2"/>
          <w:sz w:val="16"/>
        </w:rPr>
        <w:t> </w:t>
      </w:r>
      <w:r>
        <w:rPr>
          <w:rFonts w:ascii="Segoe UI"/>
          <w:i/>
          <w:color w:val="231F20"/>
          <w:spacing w:val="-1"/>
          <w:sz w:val="16"/>
        </w:rPr>
        <w:t>the</w:t>
      </w:r>
      <w:r>
        <w:rPr>
          <w:rFonts w:ascii="Segoe UI"/>
          <w:i/>
          <w:color w:val="231F20"/>
          <w:spacing w:val="-2"/>
          <w:sz w:val="16"/>
        </w:rPr>
        <w:t> </w:t>
      </w:r>
      <w:r>
        <w:rPr>
          <w:rFonts w:ascii="Segoe UI"/>
          <w:i/>
          <w:color w:val="231F20"/>
          <w:sz w:val="16"/>
        </w:rPr>
        <w:t>Middle:</w:t>
      </w:r>
      <w:r>
        <w:rPr>
          <w:rFonts w:ascii="Segoe UI"/>
          <w:i/>
          <w:color w:val="231F20"/>
          <w:spacing w:val="-2"/>
          <w:sz w:val="16"/>
        </w:rPr>
        <w:t> </w:t>
      </w:r>
      <w:r>
        <w:rPr>
          <w:rFonts w:ascii="Segoe UI"/>
          <w:i/>
          <w:color w:val="231F20"/>
          <w:sz w:val="16"/>
        </w:rPr>
        <w:t>The</w:t>
      </w:r>
      <w:r>
        <w:rPr>
          <w:rFonts w:ascii="Segoe UI"/>
          <w:i/>
          <w:color w:val="231F20"/>
          <w:spacing w:val="25"/>
          <w:w w:val="99"/>
          <w:sz w:val="16"/>
        </w:rPr>
        <w:t> </w:t>
      </w:r>
      <w:r>
        <w:rPr>
          <w:rFonts w:ascii="Segoe UI"/>
          <w:i/>
          <w:color w:val="231F20"/>
          <w:sz w:val="16"/>
        </w:rPr>
        <w:t>effect </w:t>
      </w:r>
      <w:r>
        <w:rPr>
          <w:rFonts w:ascii="Segoe UI"/>
          <w:i/>
          <w:color w:val="231F20"/>
          <w:spacing w:val="-2"/>
          <w:sz w:val="16"/>
        </w:rPr>
        <w:t>of</w:t>
      </w:r>
      <w:r>
        <w:rPr>
          <w:rFonts w:ascii="Segoe UI"/>
          <w:i/>
          <w:color w:val="231F20"/>
          <w:sz w:val="16"/>
        </w:rPr>
        <w:t> </w:t>
      </w:r>
      <w:r>
        <w:rPr>
          <w:rFonts w:ascii="Segoe UI"/>
          <w:i/>
          <w:color w:val="231F20"/>
          <w:spacing w:val="-1"/>
          <w:sz w:val="16"/>
        </w:rPr>
        <w:t>boarding</w:t>
      </w:r>
      <w:r>
        <w:rPr>
          <w:rFonts w:ascii="Segoe UI"/>
          <w:i/>
          <w:color w:val="231F20"/>
          <w:sz w:val="16"/>
        </w:rPr>
        <w:t> </w:t>
      </w:r>
      <w:r>
        <w:rPr>
          <w:rFonts w:ascii="Segoe UI"/>
          <w:i/>
          <w:color w:val="231F20"/>
          <w:spacing w:val="-1"/>
          <w:sz w:val="16"/>
        </w:rPr>
        <w:t>schools</w:t>
      </w:r>
      <w:r>
        <w:rPr>
          <w:rFonts w:ascii="Segoe UI"/>
          <w:i/>
          <w:color w:val="231F20"/>
          <w:sz w:val="16"/>
        </w:rPr>
        <w:t> for Aboriginal and </w:t>
      </w:r>
      <w:r>
        <w:rPr>
          <w:rFonts w:ascii="Segoe UI"/>
          <w:i/>
          <w:color w:val="231F20"/>
          <w:spacing w:val="-3"/>
          <w:sz w:val="16"/>
        </w:rPr>
        <w:t>Torres</w:t>
      </w:r>
      <w:r>
        <w:rPr>
          <w:rFonts w:ascii="Segoe UI"/>
          <w:i/>
          <w:color w:val="231F20"/>
          <w:spacing w:val="29"/>
          <w:sz w:val="16"/>
        </w:rPr>
        <w:t> </w:t>
      </w:r>
      <w:r>
        <w:rPr>
          <w:rFonts w:ascii="Segoe UI"/>
          <w:i/>
          <w:color w:val="231F20"/>
          <w:spacing w:val="-1"/>
          <w:sz w:val="16"/>
        </w:rPr>
        <w:t>Strait</w:t>
      </w:r>
      <w:r>
        <w:rPr>
          <w:rFonts w:ascii="Segoe UI"/>
          <w:i/>
          <w:color w:val="231F20"/>
          <w:spacing w:val="-4"/>
          <w:sz w:val="16"/>
        </w:rPr>
        <w:t> </w:t>
      </w:r>
      <w:r>
        <w:rPr>
          <w:rFonts w:ascii="Segoe UI"/>
          <w:i/>
          <w:color w:val="231F20"/>
          <w:spacing w:val="-1"/>
          <w:sz w:val="16"/>
        </w:rPr>
        <w:t>Islander</w:t>
      </w:r>
      <w:r>
        <w:rPr>
          <w:rFonts w:ascii="Segoe UI"/>
          <w:i/>
          <w:color w:val="231F20"/>
          <w:spacing w:val="-3"/>
          <w:sz w:val="16"/>
        </w:rPr>
        <w:t> </w:t>
      </w:r>
      <w:r>
        <w:rPr>
          <w:rFonts w:ascii="Segoe UI"/>
          <w:i/>
          <w:color w:val="231F20"/>
          <w:spacing w:val="-1"/>
          <w:sz w:val="16"/>
        </w:rPr>
        <w:t>Students</w:t>
      </w:r>
      <w:r>
        <w:rPr>
          <w:rFonts w:ascii="Segoe UI"/>
          <w:color w:val="231F20"/>
          <w:spacing w:val="-1"/>
          <w:sz w:val="16"/>
        </w:rPr>
        <w:t>,</w:t>
      </w:r>
      <w:r>
        <w:rPr>
          <w:rFonts w:ascii="Segoe UI"/>
          <w:color w:val="231F20"/>
          <w:spacing w:val="-4"/>
          <w:sz w:val="16"/>
        </w:rPr>
        <w:t> </w:t>
      </w:r>
      <w:r>
        <w:rPr>
          <w:rFonts w:ascii="Segoe UI"/>
          <w:color w:val="231F20"/>
          <w:sz w:val="16"/>
        </w:rPr>
        <w:t>House</w:t>
      </w:r>
      <w:r>
        <w:rPr>
          <w:rFonts w:ascii="Segoe UI"/>
          <w:color w:val="231F20"/>
          <w:spacing w:val="-4"/>
          <w:sz w:val="16"/>
        </w:rPr>
        <w:t> </w:t>
      </w:r>
      <w:r>
        <w:rPr>
          <w:rFonts w:ascii="Segoe UI"/>
          <w:color w:val="231F20"/>
          <w:sz w:val="16"/>
        </w:rPr>
        <w:t>of</w:t>
      </w:r>
      <w:r>
        <w:rPr>
          <w:rFonts w:ascii="Segoe UI"/>
          <w:color w:val="231F20"/>
          <w:spacing w:val="-4"/>
          <w:sz w:val="16"/>
        </w:rPr>
        <w:t> </w:t>
      </w:r>
      <w:r>
        <w:rPr>
          <w:rFonts w:ascii="Segoe UI"/>
          <w:color w:val="231F20"/>
          <w:spacing w:val="-1"/>
          <w:sz w:val="16"/>
        </w:rPr>
        <w:t>Representatives</w:t>
      </w:r>
      <w:r>
        <w:rPr>
          <w:rFonts w:ascii="Segoe UI"/>
          <w:color w:val="231F20"/>
          <w:spacing w:val="35"/>
          <w:w w:val="99"/>
          <w:sz w:val="16"/>
        </w:rPr>
        <w:t> </w:t>
      </w:r>
      <w:r>
        <w:rPr>
          <w:rFonts w:ascii="Segoe UI"/>
          <w:color w:val="231F20"/>
          <w:spacing w:val="-1"/>
          <w:sz w:val="16"/>
        </w:rPr>
        <w:t>Standing</w:t>
      </w:r>
      <w:r>
        <w:rPr>
          <w:rFonts w:ascii="Segoe UI"/>
          <w:color w:val="231F20"/>
          <w:spacing w:val="-2"/>
          <w:sz w:val="16"/>
        </w:rPr>
        <w:t> </w:t>
      </w:r>
      <w:r>
        <w:rPr>
          <w:rFonts w:ascii="Segoe UI"/>
          <w:color w:val="231F20"/>
          <w:sz w:val="16"/>
        </w:rPr>
        <w:t>Committee</w:t>
      </w:r>
      <w:r>
        <w:rPr>
          <w:rFonts w:ascii="Segoe UI"/>
          <w:color w:val="231F20"/>
          <w:spacing w:val="-1"/>
          <w:sz w:val="16"/>
        </w:rPr>
        <w:t> </w:t>
      </w:r>
      <w:r>
        <w:rPr>
          <w:rFonts w:ascii="Segoe UI"/>
          <w:color w:val="231F20"/>
          <w:sz w:val="16"/>
        </w:rPr>
        <w:t>on</w:t>
      </w:r>
      <w:r>
        <w:rPr>
          <w:rFonts w:ascii="Segoe UI"/>
          <w:color w:val="231F20"/>
          <w:spacing w:val="-1"/>
          <w:sz w:val="16"/>
        </w:rPr>
        <w:t> </w:t>
      </w:r>
      <w:r>
        <w:rPr>
          <w:rFonts w:ascii="Segoe UI"/>
          <w:color w:val="231F20"/>
          <w:sz w:val="16"/>
        </w:rPr>
        <w:t>Indigenous</w:t>
      </w:r>
      <w:r>
        <w:rPr>
          <w:rFonts w:ascii="Segoe UI"/>
          <w:color w:val="231F20"/>
          <w:spacing w:val="-1"/>
          <w:sz w:val="16"/>
        </w:rPr>
        <w:t> </w:t>
      </w:r>
      <w:r>
        <w:rPr>
          <w:rFonts w:ascii="Segoe UI"/>
          <w:color w:val="231F20"/>
          <w:sz w:val="16"/>
        </w:rPr>
        <w:t>Affairs</w:t>
      </w:r>
      <w:r>
        <w:rPr>
          <w:rFonts w:ascii="Segoe UI"/>
          <w:sz w:val="16"/>
        </w:rPr>
      </w:r>
    </w:p>
    <w:p>
      <w:pPr>
        <w:spacing w:line="200" w:lineRule="exact" w:before="0"/>
        <w:ind w:left="667" w:right="144" w:firstLine="0"/>
        <w:jc w:val="left"/>
        <w:rPr>
          <w:rFonts w:ascii="Segoe UI" w:hAnsi="Segoe UI" w:cs="Segoe UI" w:eastAsia="Segoe UI"/>
          <w:sz w:val="16"/>
          <w:szCs w:val="16"/>
        </w:rPr>
      </w:pPr>
      <w:r>
        <w:rPr>
          <w:rFonts w:ascii="Segoe UI" w:hAnsi="Segoe UI" w:cs="Segoe UI" w:eastAsia="Segoe UI"/>
          <w:color w:val="231F20"/>
          <w:spacing w:val="-1"/>
          <w:sz w:val="16"/>
          <w:szCs w:val="16"/>
        </w:rPr>
        <w:t>Inquiry,</w:t>
      </w:r>
      <w:r>
        <w:rPr>
          <w:rFonts w:ascii="Segoe UI" w:hAnsi="Segoe UI" w:cs="Segoe UI" w:eastAsia="Segoe UI"/>
          <w:color w:val="231F20"/>
          <w:spacing w:val="-4"/>
          <w:sz w:val="16"/>
          <w:szCs w:val="16"/>
        </w:rPr>
        <w:t> </w:t>
      </w:r>
      <w:r>
        <w:rPr>
          <w:rFonts w:ascii="Segoe UI" w:hAnsi="Segoe UI" w:cs="Segoe UI" w:eastAsia="Segoe UI"/>
          <w:i/>
          <w:color w:val="231F20"/>
          <w:sz w:val="16"/>
          <w:szCs w:val="16"/>
        </w:rPr>
        <w:t>The</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power</w:t>
      </w:r>
      <w:r>
        <w:rPr>
          <w:rFonts w:ascii="Segoe UI" w:hAnsi="Segoe UI" w:cs="Segoe UI" w:eastAsia="Segoe UI"/>
          <w:i/>
          <w:color w:val="231F20"/>
          <w:spacing w:val="-4"/>
          <w:sz w:val="16"/>
          <w:szCs w:val="16"/>
        </w:rPr>
        <w:t> </w:t>
      </w:r>
      <w:r>
        <w:rPr>
          <w:rFonts w:ascii="Segoe UI" w:hAnsi="Segoe UI" w:cs="Segoe UI" w:eastAsia="Segoe UI"/>
          <w:i/>
          <w:color w:val="231F20"/>
          <w:spacing w:val="-2"/>
          <w:sz w:val="16"/>
          <w:szCs w:val="16"/>
        </w:rPr>
        <w:t>of</w:t>
      </w:r>
      <w:r>
        <w:rPr>
          <w:rFonts w:ascii="Segoe UI" w:hAnsi="Segoe UI" w:cs="Segoe UI" w:eastAsia="Segoe UI"/>
          <w:i/>
          <w:color w:val="231F20"/>
          <w:spacing w:val="-3"/>
          <w:sz w:val="16"/>
          <w:szCs w:val="16"/>
        </w:rPr>
        <w:t> </w:t>
      </w:r>
      <w:r>
        <w:rPr>
          <w:rFonts w:ascii="Segoe UI" w:hAnsi="Segoe UI" w:cs="Segoe UI" w:eastAsia="Segoe UI"/>
          <w:i/>
          <w:color w:val="231F20"/>
          <w:sz w:val="16"/>
          <w:szCs w:val="16"/>
        </w:rPr>
        <w:t>education:</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From</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surviving</w:t>
      </w:r>
      <w:r>
        <w:rPr>
          <w:rFonts w:ascii="Segoe UI" w:hAnsi="Segoe UI" w:cs="Segoe UI" w:eastAsia="Segoe UI"/>
          <w:i/>
          <w:color w:val="231F20"/>
          <w:spacing w:val="-4"/>
          <w:sz w:val="16"/>
          <w:szCs w:val="16"/>
        </w:rPr>
        <w:t> </w:t>
      </w:r>
      <w:r>
        <w:rPr>
          <w:rFonts w:ascii="Segoe UI" w:hAnsi="Segoe UI" w:cs="Segoe UI" w:eastAsia="Segoe UI"/>
          <w:i/>
          <w:color w:val="231F20"/>
          <w:sz w:val="16"/>
          <w:szCs w:val="16"/>
        </w:rPr>
        <w:t>to</w:t>
      </w:r>
      <w:r>
        <w:rPr>
          <w:rFonts w:ascii="Segoe UI" w:hAnsi="Segoe UI" w:cs="Segoe UI" w:eastAsia="Segoe UI"/>
          <w:i/>
          <w:color w:val="231F20"/>
          <w:spacing w:val="29"/>
          <w:sz w:val="16"/>
          <w:szCs w:val="16"/>
        </w:rPr>
        <w:t> </w:t>
      </w:r>
      <w:r>
        <w:rPr>
          <w:rFonts w:ascii="Segoe UI" w:hAnsi="Segoe UI" w:cs="Segoe UI" w:eastAsia="Segoe UI"/>
          <w:i/>
          <w:color w:val="231F20"/>
          <w:spacing w:val="-1"/>
          <w:sz w:val="16"/>
          <w:szCs w:val="16"/>
        </w:rPr>
        <w:t>thriving</w:t>
      </w:r>
      <w:r>
        <w:rPr>
          <w:rFonts w:ascii="Segoe UI" w:hAnsi="Segoe UI" w:cs="Segoe UI" w:eastAsia="Segoe UI"/>
          <w:i/>
          <w:color w:val="231F20"/>
          <w:spacing w:val="-4"/>
          <w:sz w:val="16"/>
          <w:szCs w:val="16"/>
        </w:rPr>
        <w:t> </w:t>
      </w:r>
      <w:r>
        <w:rPr>
          <w:rFonts w:ascii="Segoe UI" w:hAnsi="Segoe UI" w:cs="Segoe UI" w:eastAsia="Segoe UI"/>
          <w:i/>
          <w:color w:val="231F20"/>
          <w:sz w:val="16"/>
          <w:szCs w:val="16"/>
        </w:rPr>
        <w:t>–</w:t>
      </w:r>
      <w:r>
        <w:rPr>
          <w:rFonts w:ascii="Segoe UI" w:hAnsi="Segoe UI" w:cs="Segoe UI" w:eastAsia="Segoe UI"/>
          <w:i/>
          <w:color w:val="231F20"/>
          <w:spacing w:val="-2"/>
          <w:sz w:val="16"/>
          <w:szCs w:val="16"/>
        </w:rPr>
        <w:t> </w:t>
      </w:r>
      <w:r>
        <w:rPr>
          <w:rFonts w:ascii="Segoe UI" w:hAnsi="Segoe UI" w:cs="Segoe UI" w:eastAsia="Segoe UI"/>
          <w:i/>
          <w:color w:val="231F20"/>
          <w:sz w:val="16"/>
          <w:szCs w:val="16"/>
        </w:rPr>
        <w:t>Educational</w:t>
      </w:r>
      <w:r>
        <w:rPr>
          <w:rFonts w:ascii="Segoe UI" w:hAnsi="Segoe UI" w:cs="Segoe UI" w:eastAsia="Segoe UI"/>
          <w:i/>
          <w:color w:val="231F20"/>
          <w:spacing w:val="-2"/>
          <w:sz w:val="16"/>
          <w:szCs w:val="16"/>
        </w:rPr>
        <w:t> </w:t>
      </w:r>
      <w:r>
        <w:rPr>
          <w:rFonts w:ascii="Segoe UI" w:hAnsi="Segoe UI" w:cs="Segoe UI" w:eastAsia="Segoe UI"/>
          <w:i/>
          <w:color w:val="231F20"/>
          <w:spacing w:val="-1"/>
          <w:sz w:val="16"/>
          <w:szCs w:val="16"/>
        </w:rPr>
        <w:t>opportunities</w:t>
      </w:r>
      <w:r>
        <w:rPr>
          <w:rFonts w:ascii="Segoe UI" w:hAnsi="Segoe UI" w:cs="Segoe UI" w:eastAsia="Segoe UI"/>
          <w:i/>
          <w:color w:val="231F20"/>
          <w:spacing w:val="-2"/>
          <w:sz w:val="16"/>
          <w:szCs w:val="16"/>
        </w:rPr>
        <w:t> </w:t>
      </w:r>
      <w:r>
        <w:rPr>
          <w:rFonts w:ascii="Segoe UI" w:hAnsi="Segoe UI" w:cs="Segoe UI" w:eastAsia="Segoe UI"/>
          <w:i/>
          <w:color w:val="231F20"/>
          <w:sz w:val="16"/>
          <w:szCs w:val="16"/>
        </w:rPr>
        <w:t>for</w:t>
      </w:r>
      <w:r>
        <w:rPr>
          <w:rFonts w:ascii="Segoe UI" w:hAnsi="Segoe UI" w:cs="Segoe UI" w:eastAsia="Segoe UI"/>
          <w:i/>
          <w:color w:val="231F20"/>
          <w:spacing w:val="-3"/>
          <w:sz w:val="16"/>
          <w:szCs w:val="16"/>
        </w:rPr>
        <w:t> </w:t>
      </w:r>
      <w:r>
        <w:rPr>
          <w:rFonts w:ascii="Segoe UI" w:hAnsi="Segoe UI" w:cs="Segoe UI" w:eastAsia="Segoe UI"/>
          <w:i/>
          <w:color w:val="231F20"/>
          <w:sz w:val="16"/>
          <w:szCs w:val="16"/>
        </w:rPr>
        <w:t>Aboriginal</w:t>
      </w:r>
      <w:r>
        <w:rPr>
          <w:rFonts w:ascii="Segoe UI" w:hAnsi="Segoe UI" w:cs="Segoe UI" w:eastAsia="Segoe UI"/>
          <w:i/>
          <w:color w:val="231F20"/>
          <w:spacing w:val="23"/>
          <w:w w:val="99"/>
          <w:sz w:val="16"/>
          <w:szCs w:val="16"/>
        </w:rPr>
        <w:t> </w:t>
      </w:r>
      <w:r>
        <w:rPr>
          <w:rFonts w:ascii="Segoe UI" w:hAnsi="Segoe UI" w:cs="Segoe UI" w:eastAsia="Segoe UI"/>
          <w:i/>
          <w:color w:val="231F20"/>
          <w:sz w:val="16"/>
          <w:szCs w:val="16"/>
        </w:rPr>
        <w:t>and</w:t>
      </w:r>
      <w:r>
        <w:rPr>
          <w:rFonts w:ascii="Segoe UI" w:hAnsi="Segoe UI" w:cs="Segoe UI" w:eastAsia="Segoe UI"/>
          <w:i/>
          <w:color w:val="231F20"/>
          <w:spacing w:val="-3"/>
          <w:sz w:val="16"/>
          <w:szCs w:val="16"/>
        </w:rPr>
        <w:t> Torres </w:t>
      </w:r>
      <w:r>
        <w:rPr>
          <w:rFonts w:ascii="Segoe UI" w:hAnsi="Segoe UI" w:cs="Segoe UI" w:eastAsia="Segoe UI"/>
          <w:i/>
          <w:color w:val="231F20"/>
          <w:spacing w:val="-1"/>
          <w:sz w:val="16"/>
          <w:szCs w:val="16"/>
        </w:rPr>
        <w:t>Strait</w:t>
      </w:r>
      <w:r>
        <w:rPr>
          <w:rFonts w:ascii="Segoe UI" w:hAnsi="Segoe UI" w:cs="Segoe UI" w:eastAsia="Segoe UI"/>
          <w:i/>
          <w:color w:val="231F20"/>
          <w:spacing w:val="-2"/>
          <w:sz w:val="16"/>
          <w:szCs w:val="16"/>
        </w:rPr>
        <w:t> </w:t>
      </w:r>
      <w:r>
        <w:rPr>
          <w:rFonts w:ascii="Segoe UI" w:hAnsi="Segoe UI" w:cs="Segoe UI" w:eastAsia="Segoe UI"/>
          <w:i/>
          <w:color w:val="231F20"/>
          <w:spacing w:val="-1"/>
          <w:sz w:val="16"/>
          <w:szCs w:val="16"/>
        </w:rPr>
        <w:t>Islander</w:t>
      </w:r>
      <w:r>
        <w:rPr>
          <w:rFonts w:ascii="Segoe UI" w:hAnsi="Segoe UI" w:cs="Segoe UI" w:eastAsia="Segoe UI"/>
          <w:i/>
          <w:color w:val="231F20"/>
          <w:spacing w:val="-2"/>
          <w:sz w:val="16"/>
          <w:szCs w:val="16"/>
        </w:rPr>
        <w:t> </w:t>
      </w:r>
      <w:r>
        <w:rPr>
          <w:rFonts w:ascii="Segoe UI" w:hAnsi="Segoe UI" w:cs="Segoe UI" w:eastAsia="Segoe UI"/>
          <w:i/>
          <w:color w:val="231F20"/>
          <w:spacing w:val="-1"/>
          <w:sz w:val="16"/>
          <w:szCs w:val="16"/>
        </w:rPr>
        <w:t>students</w:t>
      </w:r>
      <w:r>
        <w:rPr>
          <w:rFonts w:ascii="Segoe UI" w:hAnsi="Segoe UI" w:cs="Segoe UI" w:eastAsia="Segoe UI"/>
          <w:color w:val="231F20"/>
          <w:spacing w:val="-1"/>
          <w:sz w:val="16"/>
          <w:szCs w:val="16"/>
        </w:rPr>
        <w:t>,</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submission</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14,</w:t>
      </w:r>
      <w:r>
        <w:rPr>
          <w:rFonts w:ascii="Segoe UI" w:hAnsi="Segoe UI" w:cs="Segoe UI" w:eastAsia="Segoe UI"/>
          <w:color w:val="231F20"/>
          <w:spacing w:val="28"/>
          <w:w w:val="99"/>
          <w:sz w:val="16"/>
          <w:szCs w:val="16"/>
        </w:rPr>
        <w:t> </w:t>
      </w:r>
      <w:r>
        <w:rPr>
          <w:rFonts w:ascii="Segoe UI" w:hAnsi="Segoe UI" w:cs="Segoe UI" w:eastAsia="Segoe UI"/>
          <w:color w:val="231F20"/>
          <w:spacing w:val="-1"/>
          <w:sz w:val="16"/>
          <w:szCs w:val="16"/>
        </w:rPr>
        <w:t>2017;</w:t>
      </w:r>
      <w:r>
        <w:rPr>
          <w:rFonts w:ascii="Segoe UI" w:hAnsi="Segoe UI" w:cs="Segoe UI" w:eastAsia="Segoe UI"/>
          <w:color w:val="231F20"/>
          <w:spacing w:val="-3"/>
          <w:sz w:val="16"/>
          <w:szCs w:val="16"/>
        </w:rPr>
        <w:t> </w:t>
      </w:r>
      <w:r>
        <w:rPr>
          <w:rFonts w:ascii="Segoe UI" w:hAnsi="Segoe UI" w:cs="Segoe UI" w:eastAsia="Segoe UI"/>
          <w:color w:val="231F20"/>
          <w:sz w:val="16"/>
          <w:szCs w:val="16"/>
        </w:rPr>
        <w:t>Guenther</w:t>
      </w:r>
      <w:r>
        <w:rPr>
          <w:rFonts w:ascii="Segoe UI" w:hAnsi="Segoe UI" w:cs="Segoe UI" w:eastAsia="Segoe UI"/>
          <w:color w:val="231F20"/>
          <w:spacing w:val="-3"/>
          <w:sz w:val="16"/>
          <w:szCs w:val="16"/>
        </w:rPr>
        <w:t> </w:t>
      </w:r>
      <w:r>
        <w:rPr>
          <w:rFonts w:ascii="Segoe UI" w:hAnsi="Segoe UI" w:cs="Segoe UI" w:eastAsia="Segoe UI"/>
          <w:color w:val="231F20"/>
          <w:sz w:val="16"/>
          <w:szCs w:val="16"/>
        </w:rPr>
        <w:t>J,</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Disbray</w:t>
      </w:r>
      <w:r>
        <w:rPr>
          <w:rFonts w:ascii="Segoe UI" w:hAnsi="Segoe UI" w:cs="Segoe UI" w:eastAsia="Segoe UI"/>
          <w:color w:val="231F20"/>
          <w:spacing w:val="-3"/>
          <w:sz w:val="16"/>
          <w:szCs w:val="16"/>
        </w:rPr>
        <w:t> </w:t>
      </w:r>
      <w:r>
        <w:rPr>
          <w:rFonts w:ascii="Segoe UI" w:hAnsi="Segoe UI" w:cs="Segoe UI" w:eastAsia="Segoe UI"/>
          <w:color w:val="231F20"/>
          <w:sz w:val="16"/>
          <w:szCs w:val="16"/>
        </w:rPr>
        <w:t>S</w:t>
      </w:r>
      <w:r>
        <w:rPr>
          <w:rFonts w:ascii="Segoe UI" w:hAnsi="Segoe UI" w:cs="Segoe UI" w:eastAsia="Segoe UI"/>
          <w:color w:val="231F20"/>
          <w:spacing w:val="-4"/>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4"/>
          <w:sz w:val="16"/>
          <w:szCs w:val="16"/>
        </w:rPr>
        <w:t> </w:t>
      </w:r>
      <w:r>
        <w:rPr>
          <w:rFonts w:ascii="Segoe UI" w:hAnsi="Segoe UI" w:cs="Segoe UI" w:eastAsia="Segoe UI"/>
          <w:color w:val="231F20"/>
          <w:sz w:val="16"/>
          <w:szCs w:val="16"/>
        </w:rPr>
        <w:t>Osborne</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S,</w:t>
      </w:r>
      <w:r>
        <w:rPr>
          <w:rFonts w:ascii="Segoe UI" w:hAnsi="Segoe UI" w:cs="Segoe UI" w:eastAsia="Segoe UI"/>
          <w:color w:val="231F20"/>
          <w:spacing w:val="-4"/>
          <w:sz w:val="16"/>
          <w:szCs w:val="16"/>
        </w:rPr>
        <w:t> </w:t>
      </w:r>
      <w:r>
        <w:rPr>
          <w:rFonts w:ascii="Segoe UI" w:hAnsi="Segoe UI" w:cs="Segoe UI" w:eastAsia="Segoe UI"/>
          <w:i/>
          <w:color w:val="231F20"/>
          <w:spacing w:val="-2"/>
          <w:sz w:val="16"/>
          <w:szCs w:val="16"/>
        </w:rPr>
        <w:t>Red</w:t>
      </w:r>
      <w:r>
        <w:rPr>
          <w:rFonts w:ascii="Segoe UI" w:hAnsi="Segoe UI" w:cs="Segoe UI" w:eastAsia="Segoe UI"/>
          <w:i/>
          <w:color w:val="231F20"/>
          <w:spacing w:val="26"/>
          <w:w w:val="99"/>
          <w:sz w:val="16"/>
          <w:szCs w:val="16"/>
        </w:rPr>
        <w:t> </w:t>
      </w:r>
      <w:r>
        <w:rPr>
          <w:rFonts w:ascii="Segoe UI" w:hAnsi="Segoe UI" w:cs="Segoe UI" w:eastAsia="Segoe UI"/>
          <w:i/>
          <w:color w:val="231F20"/>
          <w:sz w:val="16"/>
          <w:szCs w:val="16"/>
        </w:rPr>
        <w:t>dirt</w:t>
      </w:r>
      <w:r>
        <w:rPr>
          <w:rFonts w:ascii="Segoe UI" w:hAnsi="Segoe UI" w:cs="Segoe UI" w:eastAsia="Segoe UI"/>
          <w:i/>
          <w:color w:val="231F20"/>
          <w:spacing w:val="-5"/>
          <w:sz w:val="16"/>
          <w:szCs w:val="16"/>
        </w:rPr>
        <w:t> </w:t>
      </w:r>
      <w:r>
        <w:rPr>
          <w:rFonts w:ascii="Segoe UI" w:hAnsi="Segoe UI" w:cs="Segoe UI" w:eastAsia="Segoe UI"/>
          <w:i/>
          <w:color w:val="231F20"/>
          <w:sz w:val="16"/>
          <w:szCs w:val="16"/>
        </w:rPr>
        <w:t>education:</w:t>
      </w:r>
      <w:r>
        <w:rPr>
          <w:rFonts w:ascii="Segoe UI" w:hAnsi="Segoe UI" w:cs="Segoe UI" w:eastAsia="Segoe UI"/>
          <w:i/>
          <w:color w:val="231F20"/>
          <w:spacing w:val="-5"/>
          <w:sz w:val="16"/>
          <w:szCs w:val="16"/>
        </w:rPr>
        <w:t> </w:t>
      </w:r>
      <w:r>
        <w:rPr>
          <w:rFonts w:ascii="Segoe UI" w:hAnsi="Segoe UI" w:cs="Segoe UI" w:eastAsia="Segoe UI"/>
          <w:i/>
          <w:color w:val="231F20"/>
          <w:sz w:val="16"/>
          <w:szCs w:val="16"/>
        </w:rPr>
        <w:t>a</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compilation</w:t>
      </w:r>
      <w:r>
        <w:rPr>
          <w:rFonts w:ascii="Segoe UI" w:hAnsi="Segoe UI" w:cs="Segoe UI" w:eastAsia="Segoe UI"/>
          <w:i/>
          <w:color w:val="231F20"/>
          <w:spacing w:val="-4"/>
          <w:sz w:val="16"/>
          <w:szCs w:val="16"/>
        </w:rPr>
        <w:t> </w:t>
      </w:r>
      <w:r>
        <w:rPr>
          <w:rFonts w:ascii="Segoe UI" w:hAnsi="Segoe UI" w:cs="Segoe UI" w:eastAsia="Segoe UI"/>
          <w:i/>
          <w:color w:val="231F20"/>
          <w:spacing w:val="-2"/>
          <w:sz w:val="16"/>
          <w:szCs w:val="16"/>
        </w:rPr>
        <w:t>of</w:t>
      </w:r>
      <w:r>
        <w:rPr>
          <w:rFonts w:ascii="Segoe UI" w:hAnsi="Segoe UI" w:cs="Segoe UI" w:eastAsia="Segoe UI"/>
          <w:i/>
          <w:color w:val="231F20"/>
          <w:spacing w:val="-4"/>
          <w:sz w:val="16"/>
          <w:szCs w:val="16"/>
        </w:rPr>
        <w:t> </w:t>
      </w:r>
      <w:r>
        <w:rPr>
          <w:rFonts w:ascii="Segoe UI" w:hAnsi="Segoe UI" w:cs="Segoe UI" w:eastAsia="Segoe UI"/>
          <w:i/>
          <w:color w:val="231F20"/>
          <w:sz w:val="16"/>
          <w:szCs w:val="16"/>
        </w:rPr>
        <w:t>learnings</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from</w:t>
      </w:r>
      <w:r>
        <w:rPr>
          <w:rFonts w:ascii="Segoe UI" w:hAnsi="Segoe UI" w:cs="Segoe UI" w:eastAsia="Segoe UI"/>
          <w:i/>
          <w:color w:val="231F20"/>
          <w:spacing w:val="-5"/>
          <w:sz w:val="16"/>
          <w:szCs w:val="16"/>
        </w:rPr>
        <w:t> </w:t>
      </w:r>
      <w:r>
        <w:rPr>
          <w:rFonts w:ascii="Segoe UI" w:hAnsi="Segoe UI" w:cs="Segoe UI" w:eastAsia="Segoe UI"/>
          <w:i/>
          <w:color w:val="231F20"/>
          <w:spacing w:val="-5"/>
          <w:sz w:val="16"/>
          <w:szCs w:val="16"/>
        </w:rPr>
      </w:r>
      <w:r>
        <w:rPr>
          <w:rFonts w:ascii="Segoe UI" w:hAnsi="Segoe UI" w:cs="Segoe UI" w:eastAsia="Segoe UI"/>
          <w:i/>
          <w:color w:val="231F20"/>
          <w:spacing w:val="-1"/>
          <w:sz w:val="16"/>
          <w:szCs w:val="16"/>
        </w:rPr>
        <w:t>the</w:t>
      </w:r>
      <w:r>
        <w:rPr>
          <w:rFonts w:ascii="Segoe UI" w:hAnsi="Segoe UI" w:cs="Segoe UI" w:eastAsia="Segoe UI"/>
          <w:i/>
          <w:color w:val="231F20"/>
          <w:spacing w:val="27"/>
          <w:sz w:val="16"/>
          <w:szCs w:val="16"/>
        </w:rPr>
        <w:t> </w:t>
      </w:r>
      <w:r>
        <w:rPr>
          <w:rFonts w:ascii="Segoe UI" w:hAnsi="Segoe UI" w:cs="Segoe UI" w:eastAsia="Segoe UI"/>
          <w:i/>
          <w:color w:val="231F20"/>
          <w:spacing w:val="-1"/>
          <w:sz w:val="16"/>
          <w:szCs w:val="16"/>
        </w:rPr>
        <w:t>Remote</w:t>
      </w:r>
      <w:r>
        <w:rPr>
          <w:rFonts w:ascii="Segoe UI" w:hAnsi="Segoe UI" w:cs="Segoe UI" w:eastAsia="Segoe UI"/>
          <w:i/>
          <w:color w:val="231F20"/>
          <w:spacing w:val="-2"/>
          <w:sz w:val="16"/>
          <w:szCs w:val="16"/>
        </w:rPr>
        <w:t> </w:t>
      </w:r>
      <w:r>
        <w:rPr>
          <w:rFonts w:ascii="Segoe UI" w:hAnsi="Segoe UI" w:cs="Segoe UI" w:eastAsia="Segoe UI"/>
          <w:i/>
          <w:color w:val="231F20"/>
          <w:sz w:val="16"/>
          <w:szCs w:val="16"/>
        </w:rPr>
        <w:t>Education</w:t>
      </w:r>
      <w:r>
        <w:rPr>
          <w:rFonts w:ascii="Segoe UI" w:hAnsi="Segoe UI" w:cs="Segoe UI" w:eastAsia="Segoe UI"/>
          <w:i/>
          <w:color w:val="231F20"/>
          <w:spacing w:val="-2"/>
          <w:sz w:val="16"/>
          <w:szCs w:val="16"/>
        </w:rPr>
        <w:t> </w:t>
      </w:r>
      <w:r>
        <w:rPr>
          <w:rFonts w:ascii="Segoe UI" w:hAnsi="Segoe UI" w:cs="Segoe UI" w:eastAsia="Segoe UI"/>
          <w:i/>
          <w:color w:val="231F20"/>
          <w:spacing w:val="-1"/>
          <w:sz w:val="16"/>
          <w:szCs w:val="16"/>
        </w:rPr>
        <w:t>Systems</w:t>
      </w:r>
      <w:r>
        <w:rPr>
          <w:rFonts w:ascii="Segoe UI" w:hAnsi="Segoe UI" w:cs="Segoe UI" w:eastAsia="Segoe UI"/>
          <w:i/>
          <w:color w:val="231F20"/>
          <w:spacing w:val="-2"/>
          <w:sz w:val="16"/>
          <w:szCs w:val="16"/>
        </w:rPr>
        <w:t> </w:t>
      </w:r>
      <w:r>
        <w:rPr>
          <w:rFonts w:ascii="Segoe UI" w:hAnsi="Segoe UI" w:cs="Segoe UI" w:eastAsia="Segoe UI"/>
          <w:i/>
          <w:color w:val="231F20"/>
          <w:spacing w:val="-1"/>
          <w:sz w:val="16"/>
          <w:szCs w:val="16"/>
        </w:rPr>
        <w:t>project</w:t>
      </w:r>
      <w:r>
        <w:rPr>
          <w:rFonts w:ascii="Segoe UI" w:hAnsi="Segoe UI" w:cs="Segoe UI" w:eastAsia="Segoe UI"/>
          <w:color w:val="231F20"/>
          <w:spacing w:val="-1"/>
          <w:sz w:val="16"/>
          <w:szCs w:val="16"/>
        </w:rPr>
        <w:t>,</w:t>
      </w:r>
      <w:r>
        <w:rPr>
          <w:rFonts w:ascii="Segoe UI" w:hAnsi="Segoe UI" w:cs="Segoe UI" w:eastAsia="Segoe UI"/>
          <w:color w:val="231F20"/>
          <w:spacing w:val="-2"/>
          <w:sz w:val="16"/>
          <w:szCs w:val="16"/>
        </w:rPr>
        <w:t> </w:t>
      </w:r>
      <w:r>
        <w:rPr>
          <w:rFonts w:ascii="Segoe UI" w:hAnsi="Segoe UI" w:cs="Segoe UI" w:eastAsia="Segoe UI"/>
          <w:color w:val="231F20"/>
          <w:sz w:val="16"/>
          <w:szCs w:val="16"/>
        </w:rPr>
        <w:t>Ninti</w:t>
      </w:r>
      <w:r>
        <w:rPr>
          <w:rFonts w:ascii="Segoe UI" w:hAnsi="Segoe UI" w:cs="Segoe UI" w:eastAsia="Segoe UI"/>
          <w:color w:val="231F20"/>
          <w:spacing w:val="-2"/>
          <w:sz w:val="16"/>
          <w:szCs w:val="16"/>
        </w:rPr>
        <w:t> </w:t>
      </w:r>
      <w:r>
        <w:rPr>
          <w:rFonts w:ascii="Segoe UI" w:hAnsi="Segoe UI" w:cs="Segoe UI" w:eastAsia="Segoe UI"/>
          <w:color w:val="231F20"/>
          <w:sz w:val="16"/>
          <w:szCs w:val="16"/>
        </w:rPr>
        <w:t>One</w:t>
      </w:r>
      <w:r>
        <w:rPr>
          <w:rFonts w:ascii="Segoe UI" w:hAnsi="Segoe UI" w:cs="Segoe UI" w:eastAsia="Segoe UI"/>
          <w:sz w:val="16"/>
          <w:szCs w:val="16"/>
        </w:rPr>
      </w:r>
    </w:p>
    <w:p>
      <w:pPr>
        <w:spacing w:line="200" w:lineRule="exact" w:before="0"/>
        <w:ind w:left="667" w:right="139" w:firstLine="0"/>
        <w:jc w:val="left"/>
        <w:rPr>
          <w:rFonts w:ascii="Segoe UI" w:hAnsi="Segoe UI" w:cs="Segoe UI" w:eastAsia="Segoe UI"/>
          <w:sz w:val="16"/>
          <w:szCs w:val="16"/>
        </w:rPr>
      </w:pPr>
      <w:r>
        <w:rPr>
          <w:rFonts w:ascii="Segoe UI"/>
          <w:color w:val="231F20"/>
          <w:sz w:val="16"/>
        </w:rPr>
        <w:t>Limited,</w:t>
      </w:r>
      <w:r>
        <w:rPr>
          <w:rFonts w:ascii="Segoe UI"/>
          <w:color w:val="231F20"/>
          <w:spacing w:val="-6"/>
          <w:sz w:val="16"/>
        </w:rPr>
        <w:t> </w:t>
      </w:r>
      <w:r>
        <w:rPr>
          <w:rFonts w:ascii="Segoe UI"/>
          <w:color w:val="231F20"/>
          <w:sz w:val="16"/>
        </w:rPr>
        <w:t>Alice</w:t>
      </w:r>
      <w:r>
        <w:rPr>
          <w:rFonts w:ascii="Segoe UI"/>
          <w:color w:val="231F20"/>
          <w:spacing w:val="-4"/>
          <w:sz w:val="16"/>
        </w:rPr>
        <w:t> </w:t>
      </w:r>
      <w:r>
        <w:rPr>
          <w:rFonts w:ascii="Segoe UI"/>
          <w:color w:val="231F20"/>
          <w:spacing w:val="-1"/>
          <w:sz w:val="16"/>
        </w:rPr>
        <w:t>Springs,</w:t>
      </w:r>
      <w:r>
        <w:rPr>
          <w:rFonts w:ascii="Segoe UI"/>
          <w:color w:val="231F20"/>
          <w:spacing w:val="-4"/>
          <w:sz w:val="16"/>
        </w:rPr>
        <w:t> </w:t>
      </w:r>
      <w:r>
        <w:rPr>
          <w:rFonts w:ascii="Segoe UI"/>
          <w:color w:val="231F20"/>
          <w:spacing w:val="-1"/>
          <w:sz w:val="16"/>
        </w:rPr>
        <w:t>2017,</w:t>
      </w:r>
      <w:r>
        <w:rPr>
          <w:rFonts w:ascii="Segoe UI"/>
          <w:color w:val="231F20"/>
          <w:spacing w:val="-4"/>
          <w:sz w:val="16"/>
        </w:rPr>
        <w:t> </w:t>
      </w:r>
      <w:r>
        <w:rPr>
          <w:rFonts w:ascii="Segoe UI"/>
          <w:color w:val="231F20"/>
          <w:sz w:val="16"/>
        </w:rPr>
        <w:t>retrieved</w:t>
      </w:r>
      <w:r>
        <w:rPr>
          <w:rFonts w:ascii="Segoe UI"/>
          <w:color w:val="231F20"/>
          <w:spacing w:val="-6"/>
          <w:sz w:val="16"/>
        </w:rPr>
        <w:t> </w:t>
      </w:r>
      <w:r>
        <w:rPr>
          <w:rFonts w:ascii="Segoe UI"/>
          <w:color w:val="231F20"/>
          <w:sz w:val="16"/>
        </w:rPr>
        <w:t>from</w:t>
      </w:r>
      <w:r>
        <w:rPr>
          <w:rFonts w:ascii="Segoe UI"/>
          <w:color w:val="231F20"/>
          <w:spacing w:val="-5"/>
          <w:sz w:val="16"/>
        </w:rPr>
        <w:t> </w:t>
      </w:r>
      <w:r>
        <w:rPr>
          <w:rFonts w:ascii="Segoe UI"/>
          <w:color w:val="3853A4"/>
          <w:spacing w:val="-5"/>
          <w:sz w:val="16"/>
        </w:rPr>
      </w:r>
      <w:r>
        <w:rPr>
          <w:rFonts w:ascii="Segoe UI"/>
          <w:color w:val="3853A4"/>
          <w:sz w:val="16"/>
          <w:u w:val="single" w:color="3853A4"/>
        </w:rPr>
        <w:t>http://</w:t>
      </w:r>
      <w:r>
        <w:rPr>
          <w:rFonts w:ascii="Segoe UI"/>
          <w:color w:val="3853A4"/>
          <w:w w:val="99"/>
          <w:sz w:val="16"/>
        </w:rPr>
      </w:r>
      <w:r>
        <w:rPr>
          <w:rFonts w:ascii="Segoe UI"/>
          <w:color w:val="3853A4"/>
          <w:spacing w:val="23"/>
          <w:w w:val="99"/>
          <w:sz w:val="16"/>
        </w:rPr>
        <w:t> </w:t>
      </w:r>
      <w:hyperlink r:id="rId114">
        <w:r>
          <w:rPr>
            <w:rFonts w:ascii="Segoe UI"/>
            <w:color w:val="3853A4"/>
            <w:spacing w:val="-1"/>
            <w:sz w:val="16"/>
            <w:u w:val="single" w:color="3853A4"/>
          </w:rPr>
          <w:t>www.crc-rep.com.au/resource/RedDirtEducation_</w:t>
        </w:r>
        <w:r>
          <w:rPr>
            <w:rFonts w:ascii="Segoe UI"/>
            <w:color w:val="3853A4"/>
            <w:w w:val="99"/>
            <w:sz w:val="16"/>
          </w:rPr>
        </w:r>
      </w:hyperlink>
      <w:r>
        <w:rPr>
          <w:rFonts w:ascii="Segoe UI"/>
          <w:color w:val="3853A4"/>
          <w:spacing w:val="76"/>
          <w:w w:val="99"/>
          <w:sz w:val="16"/>
        </w:rPr>
        <w:t> </w:t>
      </w:r>
      <w:r>
        <w:rPr>
          <w:rFonts w:ascii="Segoe UI"/>
          <w:color w:val="3853A4"/>
          <w:spacing w:val="-1"/>
          <w:w w:val="95"/>
          <w:sz w:val="16"/>
          <w:u w:val="single" w:color="3853A4"/>
        </w:rPr>
        <w:t>CompilationLearningsRES_EBook.pdf</w:t>
      </w:r>
      <w:r>
        <w:rPr>
          <w:rFonts w:ascii="Segoe UI"/>
          <w:color w:val="3853A4"/>
          <w:w w:val="95"/>
          <w:sz w:val="16"/>
        </w:rPr>
      </w:r>
      <w:r>
        <w:rPr>
          <w:rFonts w:ascii="Segoe UI"/>
          <w:color w:val="231F20"/>
          <w:spacing w:val="-1"/>
          <w:w w:val="95"/>
          <w:sz w:val="16"/>
        </w:rPr>
        <w:t>,</w:t>
      </w:r>
      <w:r>
        <w:rPr>
          <w:rFonts w:ascii="Segoe UI"/>
          <w:color w:val="231F20"/>
          <w:w w:val="95"/>
          <w:sz w:val="16"/>
        </w:rPr>
        <w:t>   </w:t>
      </w:r>
      <w:r>
        <w:rPr>
          <w:rFonts w:ascii="Segoe UI"/>
          <w:color w:val="231F20"/>
          <w:spacing w:val="9"/>
          <w:w w:val="95"/>
          <w:sz w:val="16"/>
        </w:rPr>
        <w:t> </w:t>
      </w:r>
      <w:r>
        <w:rPr>
          <w:rFonts w:ascii="Segoe UI"/>
          <w:color w:val="231F20"/>
          <w:w w:val="95"/>
          <w:sz w:val="16"/>
        </w:rPr>
        <w:t>Guenther,</w:t>
      </w:r>
      <w:r>
        <w:rPr>
          <w:rFonts w:ascii="Segoe UI"/>
          <w:color w:val="231F20"/>
          <w:spacing w:val="23"/>
          <w:w w:val="99"/>
          <w:sz w:val="16"/>
        </w:rPr>
        <w:t> </w:t>
      </w:r>
      <w:r>
        <w:rPr>
          <w:rFonts w:ascii="Segoe UI"/>
          <w:color w:val="231F20"/>
          <w:sz w:val="16"/>
        </w:rPr>
        <w:t>2017</w:t>
      </w:r>
      <w:r>
        <w:rPr>
          <w:rFonts w:ascii="Segoe UI"/>
          <w:sz w:val="16"/>
        </w:rPr>
      </w:r>
    </w:p>
    <w:p>
      <w:pPr>
        <w:numPr>
          <w:ilvl w:val="0"/>
          <w:numId w:val="10"/>
        </w:numPr>
        <w:tabs>
          <w:tab w:pos="668" w:val="left" w:leader="none"/>
        </w:tabs>
        <w:spacing w:line="200" w:lineRule="exact" w:before="113"/>
        <w:ind w:left="667" w:right="9" w:hanging="567"/>
        <w:jc w:val="left"/>
        <w:rPr>
          <w:rFonts w:ascii="Segoe UI" w:hAnsi="Segoe UI" w:cs="Segoe UI" w:eastAsia="Segoe UI"/>
          <w:sz w:val="16"/>
          <w:szCs w:val="16"/>
        </w:rPr>
      </w:pPr>
      <w:r>
        <w:rPr>
          <w:rFonts w:ascii="Segoe UI"/>
          <w:color w:val="231F20"/>
          <w:spacing w:val="-1"/>
          <w:sz w:val="16"/>
        </w:rPr>
        <w:t>Rogers,</w:t>
      </w:r>
      <w:r>
        <w:rPr>
          <w:rFonts w:ascii="Segoe UI"/>
          <w:color w:val="231F20"/>
          <w:spacing w:val="-3"/>
          <w:sz w:val="16"/>
        </w:rPr>
        <w:t> </w:t>
      </w:r>
      <w:r>
        <w:rPr>
          <w:rFonts w:ascii="Segoe UI"/>
          <w:color w:val="231F20"/>
          <w:spacing w:val="-1"/>
          <w:sz w:val="16"/>
        </w:rPr>
        <w:t>2017;</w:t>
      </w:r>
      <w:r>
        <w:rPr>
          <w:rFonts w:ascii="Segoe UI"/>
          <w:color w:val="231F20"/>
          <w:spacing w:val="-2"/>
          <w:sz w:val="16"/>
        </w:rPr>
        <w:t> </w:t>
      </w:r>
      <w:r>
        <w:rPr>
          <w:rFonts w:ascii="Segoe UI"/>
          <w:color w:val="231F20"/>
          <w:spacing w:val="-1"/>
          <w:sz w:val="16"/>
        </w:rPr>
        <w:t>Smith,</w:t>
      </w:r>
      <w:r>
        <w:rPr>
          <w:rFonts w:ascii="Segoe UI"/>
          <w:color w:val="231F20"/>
          <w:spacing w:val="-2"/>
          <w:sz w:val="16"/>
        </w:rPr>
        <w:t> </w:t>
      </w:r>
      <w:r>
        <w:rPr>
          <w:rFonts w:ascii="Segoe UI"/>
          <w:color w:val="231F20"/>
          <w:sz w:val="16"/>
        </w:rPr>
        <w:t>James</w:t>
      </w:r>
      <w:r>
        <w:rPr>
          <w:rFonts w:ascii="Segoe UI"/>
          <w:color w:val="231F20"/>
          <w:spacing w:val="-2"/>
          <w:sz w:val="16"/>
        </w:rPr>
        <w:t> </w:t>
      </w:r>
      <w:r>
        <w:rPr>
          <w:rFonts w:ascii="Segoe UI"/>
          <w:color w:val="231F20"/>
          <w:sz w:val="16"/>
        </w:rPr>
        <w:t>A,</w:t>
      </w:r>
      <w:r>
        <w:rPr>
          <w:rFonts w:ascii="Segoe UI"/>
          <w:color w:val="231F20"/>
          <w:spacing w:val="-2"/>
          <w:sz w:val="16"/>
        </w:rPr>
        <w:t> </w:t>
      </w:r>
      <w:r>
        <w:rPr>
          <w:rFonts w:ascii="Segoe UI"/>
          <w:color w:val="231F20"/>
          <w:spacing w:val="-1"/>
          <w:sz w:val="16"/>
        </w:rPr>
        <w:t>Pollard,</w:t>
      </w:r>
      <w:r>
        <w:rPr>
          <w:rFonts w:ascii="Segoe UI"/>
          <w:color w:val="231F20"/>
          <w:spacing w:val="-3"/>
          <w:sz w:val="16"/>
        </w:rPr>
        <w:t> </w:t>
      </w:r>
      <w:r>
        <w:rPr>
          <w:rFonts w:ascii="Segoe UI"/>
          <w:color w:val="231F20"/>
          <w:spacing w:val="-1"/>
          <w:sz w:val="16"/>
        </w:rPr>
        <w:t>Kellie,</w:t>
      </w:r>
      <w:r>
        <w:rPr>
          <w:rFonts w:ascii="Segoe UI"/>
          <w:color w:val="231F20"/>
          <w:spacing w:val="21"/>
          <w:sz w:val="16"/>
        </w:rPr>
        <w:t> </w:t>
      </w:r>
      <w:r>
        <w:rPr>
          <w:rFonts w:ascii="Segoe UI"/>
          <w:color w:val="231F20"/>
          <w:spacing w:val="-1"/>
          <w:sz w:val="16"/>
        </w:rPr>
        <w:t>Robertson,</w:t>
      </w:r>
      <w:r>
        <w:rPr>
          <w:rFonts w:ascii="Segoe UI"/>
          <w:color w:val="231F20"/>
          <w:spacing w:val="-4"/>
          <w:sz w:val="16"/>
        </w:rPr>
        <w:t> </w:t>
      </w:r>
      <w:r>
        <w:rPr>
          <w:rFonts w:ascii="Segoe UI"/>
          <w:color w:val="231F20"/>
          <w:spacing w:val="-1"/>
          <w:sz w:val="16"/>
        </w:rPr>
        <w:t>Kim</w:t>
      </w:r>
      <w:r>
        <w:rPr>
          <w:rFonts w:ascii="Segoe UI"/>
          <w:color w:val="231F20"/>
          <w:spacing w:val="-3"/>
          <w:sz w:val="16"/>
        </w:rPr>
        <w:t> </w:t>
      </w:r>
      <w:r>
        <w:rPr>
          <w:rFonts w:ascii="Segoe UI"/>
          <w:color w:val="231F20"/>
          <w:sz w:val="16"/>
        </w:rPr>
        <w:t>and</w:t>
      </w:r>
      <w:r>
        <w:rPr>
          <w:rFonts w:ascii="Segoe UI"/>
          <w:color w:val="231F20"/>
          <w:spacing w:val="-4"/>
          <w:sz w:val="16"/>
        </w:rPr>
        <w:t> </w:t>
      </w:r>
      <w:r>
        <w:rPr>
          <w:rFonts w:ascii="Segoe UI"/>
          <w:color w:val="231F20"/>
          <w:spacing w:val="-2"/>
          <w:sz w:val="16"/>
        </w:rPr>
        <w:t>Trinidad,</w:t>
      </w:r>
      <w:r>
        <w:rPr>
          <w:rFonts w:ascii="Segoe UI"/>
          <w:color w:val="231F20"/>
          <w:spacing w:val="-3"/>
          <w:sz w:val="16"/>
        </w:rPr>
        <w:t> </w:t>
      </w:r>
      <w:r>
        <w:rPr>
          <w:rFonts w:ascii="Segoe UI"/>
          <w:color w:val="231F20"/>
          <w:spacing w:val="-1"/>
          <w:sz w:val="16"/>
        </w:rPr>
        <w:t>Sue,</w:t>
      </w:r>
      <w:r>
        <w:rPr>
          <w:rFonts w:ascii="Segoe UI"/>
          <w:color w:val="231F20"/>
          <w:spacing w:val="-2"/>
          <w:sz w:val="16"/>
        </w:rPr>
        <w:t> </w:t>
      </w:r>
      <w:r>
        <w:rPr>
          <w:rFonts w:ascii="Segoe UI"/>
          <w:i/>
          <w:color w:val="231F20"/>
          <w:spacing w:val="-1"/>
          <w:sz w:val="16"/>
        </w:rPr>
        <w:t>What</w:t>
      </w:r>
      <w:r>
        <w:rPr>
          <w:rFonts w:ascii="Segoe UI"/>
          <w:i/>
          <w:color w:val="231F20"/>
          <w:spacing w:val="-3"/>
          <w:sz w:val="16"/>
        </w:rPr>
        <w:t> </w:t>
      </w:r>
      <w:r>
        <w:rPr>
          <w:rFonts w:ascii="Segoe UI"/>
          <w:i/>
          <w:color w:val="231F20"/>
          <w:sz w:val="16"/>
        </w:rPr>
        <w:t>do</w:t>
      </w:r>
      <w:r>
        <w:rPr>
          <w:rFonts w:ascii="Segoe UI"/>
          <w:i/>
          <w:color w:val="231F20"/>
          <w:spacing w:val="-3"/>
          <w:sz w:val="16"/>
        </w:rPr>
        <w:t> </w:t>
      </w:r>
      <w:r>
        <w:rPr>
          <w:rFonts w:ascii="Segoe UI"/>
          <w:i/>
          <w:color w:val="231F20"/>
          <w:sz w:val="16"/>
        </w:rPr>
        <w:t>we</w:t>
      </w:r>
      <w:r>
        <w:rPr>
          <w:rFonts w:ascii="Segoe UI"/>
          <w:i/>
          <w:color w:val="231F20"/>
          <w:spacing w:val="-3"/>
          <w:sz w:val="16"/>
        </w:rPr>
        <w:t> </w:t>
      </w:r>
      <w:r>
        <w:rPr>
          <w:rFonts w:ascii="Segoe UI"/>
          <w:i/>
          <w:color w:val="231F20"/>
          <w:spacing w:val="-1"/>
          <w:sz w:val="16"/>
        </w:rPr>
        <w:t>know</w:t>
      </w:r>
      <w:r>
        <w:rPr>
          <w:rFonts w:ascii="Segoe UI"/>
          <w:i/>
          <w:color w:val="231F20"/>
          <w:spacing w:val="23"/>
          <w:sz w:val="16"/>
        </w:rPr>
        <w:t> </w:t>
      </w:r>
      <w:r>
        <w:rPr>
          <w:rFonts w:ascii="Segoe UI"/>
          <w:i/>
          <w:color w:val="231F20"/>
          <w:sz w:val="16"/>
        </w:rPr>
        <w:t>about</w:t>
      </w:r>
      <w:r>
        <w:rPr>
          <w:rFonts w:ascii="Segoe UI"/>
          <w:i/>
          <w:color w:val="231F20"/>
          <w:spacing w:val="-3"/>
          <w:sz w:val="16"/>
        </w:rPr>
        <w:t> </w:t>
      </w:r>
      <w:r>
        <w:rPr>
          <w:rFonts w:ascii="Segoe UI"/>
          <w:i/>
          <w:color w:val="231F20"/>
          <w:spacing w:val="-1"/>
          <w:sz w:val="16"/>
        </w:rPr>
        <w:t>evaluation</w:t>
      </w:r>
      <w:r>
        <w:rPr>
          <w:rFonts w:ascii="Segoe UI"/>
          <w:i/>
          <w:color w:val="231F20"/>
          <w:spacing w:val="-2"/>
          <w:sz w:val="16"/>
        </w:rPr>
        <w:t> </w:t>
      </w:r>
      <w:r>
        <w:rPr>
          <w:rFonts w:ascii="Segoe UI"/>
          <w:i/>
          <w:color w:val="231F20"/>
          <w:sz w:val="16"/>
        </w:rPr>
        <w:t>in</w:t>
      </w:r>
      <w:r>
        <w:rPr>
          <w:rFonts w:ascii="Segoe UI"/>
          <w:i/>
          <w:color w:val="231F20"/>
          <w:spacing w:val="-3"/>
          <w:sz w:val="16"/>
        </w:rPr>
        <w:t> </w:t>
      </w:r>
      <w:r>
        <w:rPr>
          <w:rFonts w:ascii="Segoe UI"/>
          <w:i/>
          <w:color w:val="231F20"/>
          <w:spacing w:val="-1"/>
          <w:sz w:val="16"/>
        </w:rPr>
        <w:t>Indigenous higher</w:t>
      </w:r>
      <w:r>
        <w:rPr>
          <w:rFonts w:ascii="Segoe UI"/>
          <w:i/>
          <w:color w:val="231F20"/>
          <w:spacing w:val="-2"/>
          <w:sz w:val="16"/>
        </w:rPr>
        <w:t> </w:t>
      </w:r>
      <w:r>
        <w:rPr>
          <w:rFonts w:ascii="Segoe UI"/>
          <w:i/>
          <w:color w:val="231F20"/>
          <w:sz w:val="16"/>
        </w:rPr>
        <w:t>education</w:t>
      </w:r>
      <w:r>
        <w:rPr>
          <w:rFonts w:ascii="Segoe UI"/>
          <w:i/>
          <w:color w:val="231F20"/>
          <w:spacing w:val="23"/>
          <w:sz w:val="16"/>
        </w:rPr>
        <w:t> </w:t>
      </w:r>
      <w:r>
        <w:rPr>
          <w:rFonts w:ascii="Segoe UI"/>
          <w:i/>
          <w:color w:val="231F20"/>
          <w:spacing w:val="-1"/>
          <w:sz w:val="16"/>
        </w:rPr>
        <w:t>contexts</w:t>
      </w:r>
      <w:r>
        <w:rPr>
          <w:rFonts w:ascii="Segoe UI"/>
          <w:i/>
          <w:color w:val="231F20"/>
          <w:spacing w:val="-5"/>
          <w:sz w:val="16"/>
        </w:rPr>
        <w:t> </w:t>
      </w:r>
      <w:r>
        <w:rPr>
          <w:rFonts w:ascii="Segoe UI"/>
          <w:i/>
          <w:color w:val="231F20"/>
          <w:sz w:val="16"/>
        </w:rPr>
        <w:t>in</w:t>
      </w:r>
      <w:r>
        <w:rPr>
          <w:rFonts w:ascii="Segoe UI"/>
          <w:i/>
          <w:color w:val="231F20"/>
          <w:spacing w:val="-4"/>
          <w:sz w:val="16"/>
        </w:rPr>
        <w:t> </w:t>
      </w:r>
      <w:r>
        <w:rPr>
          <w:rFonts w:ascii="Segoe UI"/>
          <w:i/>
          <w:color w:val="231F20"/>
          <w:spacing w:val="-1"/>
          <w:sz w:val="16"/>
        </w:rPr>
        <w:t>Australia?,</w:t>
      </w:r>
      <w:r>
        <w:rPr>
          <w:rFonts w:ascii="Segoe UI"/>
          <w:i/>
          <w:color w:val="231F20"/>
          <w:spacing w:val="-4"/>
          <w:sz w:val="16"/>
        </w:rPr>
        <w:t> </w:t>
      </w:r>
      <w:r>
        <w:rPr>
          <w:rFonts w:ascii="Segoe UI"/>
          <w:i/>
          <w:color w:val="231F20"/>
          <w:sz w:val="16"/>
        </w:rPr>
        <w:t>International</w:t>
      </w:r>
      <w:r>
        <w:rPr>
          <w:rFonts w:ascii="Segoe UI"/>
          <w:i/>
          <w:color w:val="231F20"/>
          <w:spacing w:val="-3"/>
          <w:sz w:val="16"/>
        </w:rPr>
        <w:t> </w:t>
      </w:r>
      <w:r>
        <w:rPr>
          <w:rFonts w:ascii="Segoe UI"/>
          <w:i/>
          <w:color w:val="231F20"/>
          <w:spacing w:val="-1"/>
          <w:sz w:val="16"/>
        </w:rPr>
        <w:t>Studies</w:t>
      </w:r>
      <w:r>
        <w:rPr>
          <w:rFonts w:ascii="Segoe UI"/>
          <w:i/>
          <w:color w:val="231F20"/>
          <w:spacing w:val="-4"/>
          <w:sz w:val="16"/>
        </w:rPr>
        <w:t> </w:t>
      </w:r>
      <w:r>
        <w:rPr>
          <w:rFonts w:ascii="Segoe UI"/>
          <w:i/>
          <w:color w:val="231F20"/>
          <w:sz w:val="16"/>
        </w:rPr>
        <w:t>in</w:t>
      </w:r>
      <w:r>
        <w:rPr>
          <w:rFonts w:ascii="Segoe UI"/>
          <w:i/>
          <w:color w:val="231F20"/>
          <w:spacing w:val="31"/>
          <w:w w:val="99"/>
          <w:sz w:val="16"/>
        </w:rPr>
        <w:t> </w:t>
      </w:r>
      <w:r>
        <w:rPr>
          <w:rFonts w:ascii="Segoe UI"/>
          <w:i/>
          <w:color w:val="231F20"/>
          <w:spacing w:val="-1"/>
          <w:sz w:val="16"/>
        </w:rPr>
        <w:t>Widening</w:t>
      </w:r>
      <w:r>
        <w:rPr>
          <w:rFonts w:ascii="Segoe UI"/>
          <w:i/>
          <w:color w:val="231F20"/>
          <w:spacing w:val="-4"/>
          <w:sz w:val="16"/>
        </w:rPr>
        <w:t> </w:t>
      </w:r>
      <w:r>
        <w:rPr>
          <w:rFonts w:ascii="Segoe UI"/>
          <w:i/>
          <w:color w:val="231F20"/>
          <w:spacing w:val="-1"/>
          <w:sz w:val="16"/>
        </w:rPr>
        <w:t>Participation</w:t>
      </w:r>
      <w:r>
        <w:rPr>
          <w:rFonts w:ascii="Segoe UI"/>
          <w:color w:val="231F20"/>
          <w:spacing w:val="-1"/>
          <w:sz w:val="16"/>
        </w:rPr>
        <w:t>,</w:t>
      </w:r>
      <w:r>
        <w:rPr>
          <w:rFonts w:ascii="Segoe UI"/>
          <w:color w:val="231F20"/>
          <w:spacing w:val="-4"/>
          <w:sz w:val="16"/>
        </w:rPr>
        <w:t> Vol</w:t>
      </w:r>
      <w:r>
        <w:rPr>
          <w:rFonts w:ascii="Segoe UI"/>
          <w:color w:val="231F20"/>
          <w:spacing w:val="-5"/>
          <w:sz w:val="16"/>
        </w:rPr>
        <w:t> </w:t>
      </w:r>
      <w:r>
        <w:rPr>
          <w:rFonts w:ascii="Segoe UI"/>
          <w:color w:val="231F20"/>
          <w:spacing w:val="-1"/>
          <w:sz w:val="16"/>
        </w:rPr>
        <w:t>4(2):</w:t>
      </w:r>
      <w:r>
        <w:rPr>
          <w:rFonts w:ascii="Segoe UI"/>
          <w:color w:val="231F20"/>
          <w:spacing w:val="-4"/>
          <w:sz w:val="16"/>
        </w:rPr>
        <w:t> </w:t>
      </w:r>
      <w:r>
        <w:rPr>
          <w:rFonts w:ascii="Segoe UI"/>
          <w:color w:val="231F20"/>
          <w:spacing w:val="-1"/>
          <w:sz w:val="16"/>
        </w:rPr>
        <w:t>18-31,</w:t>
      </w:r>
      <w:r>
        <w:rPr>
          <w:rFonts w:ascii="Segoe UI"/>
          <w:color w:val="231F20"/>
          <w:spacing w:val="-3"/>
          <w:sz w:val="16"/>
        </w:rPr>
        <w:t> </w:t>
      </w:r>
      <w:r>
        <w:rPr>
          <w:rFonts w:ascii="Segoe UI"/>
          <w:color w:val="231F20"/>
          <w:sz w:val="16"/>
        </w:rPr>
        <w:t>2017</w:t>
      </w:r>
      <w:r>
        <w:rPr>
          <w:rFonts w:ascii="Segoe UI"/>
          <w:sz w:val="16"/>
        </w:rPr>
      </w:r>
    </w:p>
    <w:p>
      <w:pPr>
        <w:tabs>
          <w:tab w:pos="667" w:val="left" w:leader="none"/>
        </w:tabs>
        <w:spacing w:before="100"/>
        <w:ind w:left="100" w:right="37" w:firstLine="0"/>
        <w:jc w:val="left"/>
        <w:rPr>
          <w:rFonts w:ascii="Segoe UI" w:hAnsi="Segoe UI" w:cs="Segoe UI" w:eastAsia="Segoe UI"/>
          <w:sz w:val="16"/>
          <w:szCs w:val="16"/>
        </w:rPr>
      </w:pPr>
      <w:r>
        <w:rPr>
          <w:rFonts w:ascii="Segoe UI"/>
          <w:color w:val="231F20"/>
          <w:sz w:val="16"/>
        </w:rPr>
        <w:t>57</w:t>
        <w:tab/>
        <w:t>HoRSCIA,</w:t>
      </w:r>
      <w:r>
        <w:rPr>
          <w:rFonts w:ascii="Segoe UI"/>
          <w:color w:val="231F20"/>
          <w:spacing w:val="-2"/>
          <w:sz w:val="16"/>
        </w:rPr>
        <w:t> </w:t>
      </w:r>
      <w:r>
        <w:rPr>
          <w:rFonts w:ascii="Segoe UI"/>
          <w:color w:val="231F20"/>
          <w:spacing w:val="-1"/>
          <w:sz w:val="16"/>
        </w:rPr>
        <w:t>2017,</w:t>
      </w:r>
      <w:r>
        <w:rPr>
          <w:rFonts w:ascii="Segoe UI"/>
          <w:color w:val="231F20"/>
          <w:sz w:val="16"/>
        </w:rPr>
        <w:t> p.</w:t>
      </w:r>
      <w:r>
        <w:rPr>
          <w:rFonts w:ascii="Segoe UI"/>
          <w:color w:val="231F20"/>
          <w:spacing w:val="-1"/>
          <w:sz w:val="16"/>
        </w:rPr>
        <w:t> </w:t>
      </w:r>
      <w:r>
        <w:rPr>
          <w:rFonts w:ascii="Segoe UI"/>
          <w:color w:val="231F20"/>
          <w:sz w:val="16"/>
        </w:rPr>
        <w:t>55</w:t>
      </w:r>
      <w:r>
        <w:rPr>
          <w:rFonts w:ascii="Segoe UI"/>
          <w:sz w:val="16"/>
        </w:rPr>
      </w:r>
    </w:p>
    <w:p>
      <w:pPr>
        <w:numPr>
          <w:ilvl w:val="0"/>
          <w:numId w:val="11"/>
        </w:numPr>
        <w:tabs>
          <w:tab w:pos="668" w:val="left" w:leader="none"/>
        </w:tabs>
        <w:spacing w:line="200" w:lineRule="exact" w:before="70"/>
        <w:ind w:left="667" w:right="121" w:hanging="567"/>
        <w:jc w:val="left"/>
        <w:rPr>
          <w:rFonts w:ascii="Segoe UI" w:hAnsi="Segoe UI" w:cs="Segoe UI" w:eastAsia="Segoe UI"/>
          <w:sz w:val="16"/>
          <w:szCs w:val="16"/>
        </w:rPr>
      </w:pPr>
      <w:r>
        <w:rPr>
          <w:rFonts w:ascii="Segoe UI"/>
          <w:color w:val="231F20"/>
          <w:sz w:val="16"/>
        </w:rPr>
        <w:br w:type="column"/>
        <w:t>Guenther,</w:t>
      </w:r>
      <w:r>
        <w:rPr>
          <w:rFonts w:ascii="Segoe UI"/>
          <w:color w:val="231F20"/>
          <w:spacing w:val="-4"/>
          <w:sz w:val="16"/>
        </w:rPr>
        <w:t> </w:t>
      </w:r>
      <w:r>
        <w:rPr>
          <w:rFonts w:ascii="Segoe UI"/>
          <w:color w:val="231F20"/>
          <w:spacing w:val="-1"/>
          <w:sz w:val="16"/>
        </w:rPr>
        <w:t>2017,</w:t>
      </w:r>
      <w:r>
        <w:rPr>
          <w:rFonts w:ascii="Segoe UI"/>
          <w:color w:val="231F20"/>
          <w:spacing w:val="-3"/>
          <w:sz w:val="16"/>
        </w:rPr>
        <w:t> </w:t>
      </w:r>
      <w:r>
        <w:rPr>
          <w:rFonts w:ascii="Segoe UI"/>
          <w:color w:val="231F20"/>
          <w:sz w:val="16"/>
        </w:rPr>
        <w:t>Introduction</w:t>
      </w:r>
      <w:r>
        <w:rPr>
          <w:rFonts w:ascii="Segoe UI"/>
          <w:color w:val="231F20"/>
          <w:spacing w:val="-3"/>
          <w:sz w:val="16"/>
        </w:rPr>
        <w:t> </w:t>
      </w:r>
      <w:r>
        <w:rPr>
          <w:rFonts w:ascii="Segoe UI"/>
          <w:color w:val="231F20"/>
          <w:sz w:val="16"/>
        </w:rPr>
        <w:t>and</w:t>
      </w:r>
      <w:r>
        <w:rPr>
          <w:rFonts w:ascii="Segoe UI"/>
          <w:color w:val="231F20"/>
          <w:spacing w:val="-5"/>
          <w:sz w:val="16"/>
        </w:rPr>
        <w:t> </w:t>
      </w:r>
      <w:r>
        <w:rPr>
          <w:rFonts w:ascii="Segoe UI"/>
          <w:color w:val="231F20"/>
          <w:sz w:val="16"/>
        </w:rPr>
        <w:t>HoRSCIA,</w:t>
      </w:r>
      <w:r>
        <w:rPr>
          <w:rFonts w:ascii="Segoe UI"/>
          <w:color w:val="231F20"/>
          <w:spacing w:val="-4"/>
          <w:sz w:val="16"/>
        </w:rPr>
        <w:t> </w:t>
      </w:r>
      <w:r>
        <w:rPr>
          <w:rFonts w:ascii="Segoe UI"/>
          <w:color w:val="231F20"/>
          <w:spacing w:val="-1"/>
          <w:sz w:val="16"/>
        </w:rPr>
        <w:t>2017,</w:t>
      </w:r>
      <w:r>
        <w:rPr>
          <w:rFonts w:ascii="Segoe UI"/>
          <w:color w:val="231F20"/>
          <w:spacing w:val="-3"/>
          <w:sz w:val="16"/>
        </w:rPr>
        <w:t> </w:t>
      </w:r>
      <w:r>
        <w:rPr>
          <w:rFonts w:ascii="Segoe UI"/>
          <w:color w:val="231F20"/>
          <w:sz w:val="16"/>
        </w:rPr>
        <w:t>p.</w:t>
      </w:r>
      <w:r>
        <w:rPr>
          <w:rFonts w:ascii="Segoe UI"/>
          <w:color w:val="231F20"/>
          <w:spacing w:val="23"/>
          <w:w w:val="99"/>
          <w:sz w:val="16"/>
        </w:rPr>
        <w:t> </w:t>
      </w:r>
      <w:r>
        <w:rPr>
          <w:rFonts w:ascii="Segoe UI"/>
          <w:color w:val="231F20"/>
          <w:sz w:val="16"/>
        </w:rPr>
        <w:t>xv</w:t>
      </w:r>
      <w:r>
        <w:rPr>
          <w:rFonts w:ascii="Segoe UI"/>
          <w:sz w:val="16"/>
        </w:rPr>
      </w:r>
    </w:p>
    <w:p>
      <w:pPr>
        <w:numPr>
          <w:ilvl w:val="0"/>
          <w:numId w:val="11"/>
        </w:numPr>
        <w:tabs>
          <w:tab w:pos="668" w:val="left" w:leader="none"/>
        </w:tabs>
        <w:spacing w:before="100"/>
        <w:ind w:left="667" w:right="0" w:hanging="567"/>
        <w:jc w:val="left"/>
        <w:rPr>
          <w:rFonts w:ascii="Segoe UI" w:hAnsi="Segoe UI" w:cs="Segoe UI" w:eastAsia="Segoe UI"/>
          <w:sz w:val="16"/>
          <w:szCs w:val="16"/>
        </w:rPr>
      </w:pPr>
      <w:r>
        <w:rPr>
          <w:rFonts w:ascii="Segoe UI"/>
          <w:color w:val="231F20"/>
          <w:sz w:val="16"/>
        </w:rPr>
        <w:t>Guenther,</w:t>
      </w:r>
      <w:r>
        <w:rPr>
          <w:rFonts w:ascii="Segoe UI"/>
          <w:color w:val="231F20"/>
          <w:spacing w:val="-7"/>
          <w:sz w:val="16"/>
        </w:rPr>
        <w:t> </w:t>
      </w:r>
      <w:r>
        <w:rPr>
          <w:rFonts w:ascii="Segoe UI"/>
          <w:color w:val="231F20"/>
          <w:spacing w:val="-1"/>
          <w:sz w:val="16"/>
        </w:rPr>
        <w:t>2017,</w:t>
      </w:r>
      <w:r>
        <w:rPr>
          <w:rFonts w:ascii="Segoe UI"/>
          <w:color w:val="231F20"/>
          <w:spacing w:val="-6"/>
          <w:sz w:val="16"/>
        </w:rPr>
        <w:t> </w:t>
      </w:r>
      <w:r>
        <w:rPr>
          <w:rFonts w:ascii="Segoe UI"/>
          <w:color w:val="231F20"/>
          <w:sz w:val="16"/>
        </w:rPr>
        <w:t>Abstract</w:t>
      </w:r>
      <w:r>
        <w:rPr>
          <w:rFonts w:ascii="Segoe UI"/>
          <w:color w:val="231F20"/>
          <w:spacing w:val="-6"/>
          <w:sz w:val="16"/>
        </w:rPr>
        <w:t> </w:t>
      </w:r>
      <w:r>
        <w:rPr>
          <w:rFonts w:ascii="Segoe UI"/>
          <w:color w:val="231F20"/>
          <w:sz w:val="16"/>
        </w:rPr>
        <w:t>and</w:t>
      </w:r>
      <w:r>
        <w:rPr>
          <w:rFonts w:ascii="Segoe UI"/>
          <w:color w:val="231F20"/>
          <w:spacing w:val="-7"/>
          <w:sz w:val="16"/>
        </w:rPr>
        <w:t> </w:t>
      </w:r>
      <w:r>
        <w:rPr>
          <w:rFonts w:ascii="Segoe UI"/>
          <w:color w:val="231F20"/>
          <w:sz w:val="16"/>
        </w:rPr>
        <w:t>Introduction</w:t>
      </w:r>
      <w:r>
        <w:rPr>
          <w:rFonts w:ascii="Segoe UI"/>
          <w:sz w:val="16"/>
        </w:rPr>
      </w:r>
    </w:p>
    <w:p>
      <w:pPr>
        <w:numPr>
          <w:ilvl w:val="0"/>
          <w:numId w:val="11"/>
        </w:numPr>
        <w:tabs>
          <w:tab w:pos="668" w:val="left" w:leader="none"/>
        </w:tabs>
        <w:spacing w:before="100"/>
        <w:ind w:left="667" w:right="0" w:hanging="567"/>
        <w:jc w:val="left"/>
        <w:rPr>
          <w:rFonts w:ascii="Segoe UI" w:hAnsi="Segoe UI" w:cs="Segoe UI" w:eastAsia="Segoe UI"/>
          <w:sz w:val="16"/>
          <w:szCs w:val="16"/>
        </w:rPr>
      </w:pPr>
      <w:r>
        <w:rPr>
          <w:rFonts w:ascii="Segoe UI"/>
          <w:color w:val="231F20"/>
          <w:sz w:val="16"/>
        </w:rPr>
        <w:t>Guenther,</w:t>
      </w:r>
      <w:r>
        <w:rPr>
          <w:rFonts w:ascii="Segoe UI"/>
          <w:color w:val="231F20"/>
          <w:spacing w:val="-3"/>
          <w:sz w:val="16"/>
        </w:rPr>
        <w:t> </w:t>
      </w:r>
      <w:r>
        <w:rPr>
          <w:rFonts w:ascii="Segoe UI"/>
          <w:color w:val="231F20"/>
          <w:spacing w:val="-1"/>
          <w:sz w:val="16"/>
        </w:rPr>
        <w:t>2017,</w:t>
      </w:r>
      <w:r>
        <w:rPr>
          <w:rFonts w:ascii="Segoe UI"/>
          <w:color w:val="231F20"/>
          <w:spacing w:val="-3"/>
          <w:sz w:val="16"/>
        </w:rPr>
        <w:t> </w:t>
      </w:r>
      <w:r>
        <w:rPr>
          <w:rFonts w:ascii="Segoe UI"/>
          <w:color w:val="231F20"/>
          <w:sz w:val="16"/>
        </w:rPr>
        <w:t>p.</w:t>
      </w:r>
      <w:r>
        <w:rPr>
          <w:rFonts w:ascii="Segoe UI"/>
          <w:color w:val="231F20"/>
          <w:spacing w:val="-3"/>
          <w:sz w:val="16"/>
        </w:rPr>
        <w:t> </w:t>
      </w:r>
      <w:r>
        <w:rPr>
          <w:rFonts w:ascii="Segoe UI"/>
          <w:color w:val="231F20"/>
          <w:sz w:val="16"/>
        </w:rPr>
        <w:t>16</w:t>
      </w:r>
      <w:r>
        <w:rPr>
          <w:rFonts w:ascii="Segoe UI"/>
          <w:sz w:val="16"/>
        </w:rPr>
      </w:r>
    </w:p>
    <w:p>
      <w:pPr>
        <w:numPr>
          <w:ilvl w:val="0"/>
          <w:numId w:val="11"/>
        </w:numPr>
        <w:tabs>
          <w:tab w:pos="668" w:val="left" w:leader="none"/>
        </w:tabs>
        <w:spacing w:line="200" w:lineRule="exact" w:before="113"/>
        <w:ind w:left="667" w:right="155" w:hanging="567"/>
        <w:jc w:val="left"/>
        <w:rPr>
          <w:rFonts w:ascii="Segoe UI" w:hAnsi="Segoe UI" w:cs="Segoe UI" w:eastAsia="Segoe UI"/>
          <w:sz w:val="16"/>
          <w:szCs w:val="16"/>
        </w:rPr>
      </w:pPr>
      <w:r>
        <w:rPr>
          <w:rFonts w:ascii="Segoe UI" w:hAnsi="Segoe UI" w:cs="Segoe UI" w:eastAsia="Segoe UI"/>
          <w:i/>
          <w:color w:val="231F20"/>
          <w:sz w:val="16"/>
          <w:szCs w:val="16"/>
        </w:rPr>
        <w:t>The</w:t>
      </w:r>
      <w:r>
        <w:rPr>
          <w:rFonts w:ascii="Segoe UI" w:hAnsi="Segoe UI" w:cs="Segoe UI" w:eastAsia="Segoe UI"/>
          <w:i/>
          <w:color w:val="231F20"/>
          <w:spacing w:val="-5"/>
          <w:sz w:val="16"/>
          <w:szCs w:val="16"/>
        </w:rPr>
        <w:t> </w:t>
      </w:r>
      <w:r>
        <w:rPr>
          <w:rFonts w:ascii="Segoe UI" w:hAnsi="Segoe UI" w:cs="Segoe UI" w:eastAsia="Segoe UI"/>
          <w:i/>
          <w:color w:val="231F20"/>
          <w:spacing w:val="-1"/>
          <w:sz w:val="16"/>
          <w:szCs w:val="16"/>
        </w:rPr>
        <w:t>power</w:t>
      </w:r>
      <w:r>
        <w:rPr>
          <w:rFonts w:ascii="Segoe UI" w:hAnsi="Segoe UI" w:cs="Segoe UI" w:eastAsia="Segoe UI"/>
          <w:i/>
          <w:color w:val="231F20"/>
          <w:spacing w:val="-4"/>
          <w:sz w:val="16"/>
          <w:szCs w:val="16"/>
        </w:rPr>
        <w:t> </w:t>
      </w:r>
      <w:r>
        <w:rPr>
          <w:rFonts w:ascii="Segoe UI" w:hAnsi="Segoe UI" w:cs="Segoe UI" w:eastAsia="Segoe UI"/>
          <w:i/>
          <w:color w:val="231F20"/>
          <w:spacing w:val="-2"/>
          <w:sz w:val="16"/>
          <w:szCs w:val="16"/>
        </w:rPr>
        <w:t>of</w:t>
      </w:r>
      <w:r>
        <w:rPr>
          <w:rFonts w:ascii="Segoe UI" w:hAnsi="Segoe UI" w:cs="Segoe UI" w:eastAsia="Segoe UI"/>
          <w:i/>
          <w:color w:val="231F20"/>
          <w:spacing w:val="-3"/>
          <w:sz w:val="16"/>
          <w:szCs w:val="16"/>
        </w:rPr>
        <w:t> </w:t>
      </w:r>
      <w:r>
        <w:rPr>
          <w:rFonts w:ascii="Segoe UI" w:hAnsi="Segoe UI" w:cs="Segoe UI" w:eastAsia="Segoe UI"/>
          <w:i/>
          <w:color w:val="231F20"/>
          <w:sz w:val="16"/>
          <w:szCs w:val="16"/>
        </w:rPr>
        <w:t>education:</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From</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surviving</w:t>
      </w:r>
      <w:r>
        <w:rPr>
          <w:rFonts w:ascii="Segoe UI" w:hAnsi="Segoe UI" w:cs="Segoe UI" w:eastAsia="Segoe UI"/>
          <w:i/>
          <w:color w:val="231F20"/>
          <w:spacing w:val="-3"/>
          <w:sz w:val="16"/>
          <w:szCs w:val="16"/>
        </w:rPr>
        <w:t> </w:t>
      </w:r>
      <w:r>
        <w:rPr>
          <w:rFonts w:ascii="Segoe UI" w:hAnsi="Segoe UI" w:cs="Segoe UI" w:eastAsia="Segoe UI"/>
          <w:i/>
          <w:color w:val="231F20"/>
          <w:sz w:val="16"/>
          <w:szCs w:val="16"/>
        </w:rPr>
        <w:t>to</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thriving—</w:t>
      </w:r>
      <w:r>
        <w:rPr>
          <w:rFonts w:ascii="Segoe UI" w:hAnsi="Segoe UI" w:cs="Segoe UI" w:eastAsia="Segoe UI"/>
          <w:i/>
          <w:color w:val="231F20"/>
          <w:spacing w:val="41"/>
          <w:w w:val="99"/>
          <w:sz w:val="16"/>
          <w:szCs w:val="16"/>
        </w:rPr>
        <w:t> </w:t>
      </w:r>
      <w:r>
        <w:rPr>
          <w:rFonts w:ascii="Segoe UI" w:hAnsi="Segoe UI" w:cs="Segoe UI" w:eastAsia="Segoe UI"/>
          <w:i/>
          <w:color w:val="231F20"/>
          <w:sz w:val="16"/>
          <w:szCs w:val="16"/>
        </w:rPr>
        <w:t>Educational</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opportunities</w:t>
      </w:r>
      <w:r>
        <w:rPr>
          <w:rFonts w:ascii="Segoe UI" w:hAnsi="Segoe UI" w:cs="Segoe UI" w:eastAsia="Segoe UI"/>
          <w:i/>
          <w:color w:val="231F20"/>
          <w:spacing w:val="-2"/>
          <w:sz w:val="16"/>
          <w:szCs w:val="16"/>
        </w:rPr>
        <w:t> </w:t>
      </w:r>
      <w:r>
        <w:rPr>
          <w:rFonts w:ascii="Segoe UI" w:hAnsi="Segoe UI" w:cs="Segoe UI" w:eastAsia="Segoe UI"/>
          <w:i/>
          <w:color w:val="231F20"/>
          <w:sz w:val="16"/>
          <w:szCs w:val="16"/>
        </w:rPr>
        <w:t>for</w:t>
      </w:r>
      <w:r>
        <w:rPr>
          <w:rFonts w:ascii="Segoe UI" w:hAnsi="Segoe UI" w:cs="Segoe UI" w:eastAsia="Segoe UI"/>
          <w:i/>
          <w:color w:val="231F20"/>
          <w:spacing w:val="-4"/>
          <w:sz w:val="16"/>
          <w:szCs w:val="16"/>
        </w:rPr>
        <w:t> </w:t>
      </w:r>
      <w:r>
        <w:rPr>
          <w:rFonts w:ascii="Segoe UI" w:hAnsi="Segoe UI" w:cs="Segoe UI" w:eastAsia="Segoe UI"/>
          <w:i/>
          <w:color w:val="231F20"/>
          <w:sz w:val="16"/>
          <w:szCs w:val="16"/>
        </w:rPr>
        <w:t>Aboriginal</w:t>
      </w:r>
      <w:r>
        <w:rPr>
          <w:rFonts w:ascii="Segoe UI" w:hAnsi="Segoe UI" w:cs="Segoe UI" w:eastAsia="Segoe UI"/>
          <w:i/>
          <w:color w:val="231F20"/>
          <w:spacing w:val="-3"/>
          <w:sz w:val="16"/>
          <w:szCs w:val="16"/>
        </w:rPr>
        <w:t> </w:t>
      </w:r>
      <w:r>
        <w:rPr>
          <w:rFonts w:ascii="Segoe UI" w:hAnsi="Segoe UI" w:cs="Segoe UI" w:eastAsia="Segoe UI"/>
          <w:i/>
          <w:color w:val="231F20"/>
          <w:sz w:val="16"/>
          <w:szCs w:val="16"/>
        </w:rPr>
        <w:t>and</w:t>
      </w:r>
      <w:r>
        <w:rPr>
          <w:rFonts w:ascii="Segoe UI" w:hAnsi="Segoe UI" w:cs="Segoe UI" w:eastAsia="Segoe UI"/>
          <w:i/>
          <w:color w:val="231F20"/>
          <w:spacing w:val="-3"/>
          <w:sz w:val="16"/>
          <w:szCs w:val="16"/>
        </w:rPr>
        <w:t> Torres</w:t>
      </w:r>
      <w:r>
        <w:rPr>
          <w:rFonts w:ascii="Segoe UI" w:hAnsi="Segoe UI" w:cs="Segoe UI" w:eastAsia="Segoe UI"/>
          <w:i/>
          <w:color w:val="231F20"/>
          <w:spacing w:val="27"/>
          <w:w w:val="99"/>
          <w:sz w:val="16"/>
          <w:szCs w:val="16"/>
        </w:rPr>
        <w:t> </w:t>
      </w:r>
      <w:r>
        <w:rPr>
          <w:rFonts w:ascii="Segoe UI" w:hAnsi="Segoe UI" w:cs="Segoe UI" w:eastAsia="Segoe UI"/>
          <w:i/>
          <w:color w:val="231F20"/>
          <w:spacing w:val="-1"/>
          <w:sz w:val="16"/>
          <w:szCs w:val="16"/>
        </w:rPr>
        <w:t>Strait</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Islander</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students</w:t>
      </w:r>
      <w:r>
        <w:rPr>
          <w:rFonts w:ascii="Segoe UI" w:hAnsi="Segoe UI" w:cs="Segoe UI" w:eastAsia="Segoe UI"/>
          <w:color w:val="231F20"/>
          <w:spacing w:val="-1"/>
          <w:sz w:val="16"/>
          <w:szCs w:val="16"/>
        </w:rPr>
        <w:t>,</w:t>
      </w:r>
      <w:r>
        <w:rPr>
          <w:rFonts w:ascii="Segoe UI" w:hAnsi="Segoe UI" w:cs="Segoe UI" w:eastAsia="Segoe UI"/>
          <w:color w:val="231F20"/>
          <w:spacing w:val="-4"/>
          <w:sz w:val="16"/>
          <w:szCs w:val="16"/>
        </w:rPr>
        <w:t> </w:t>
      </w:r>
      <w:r>
        <w:rPr>
          <w:rFonts w:ascii="Segoe UI" w:hAnsi="Segoe UI" w:cs="Segoe UI" w:eastAsia="Segoe UI"/>
          <w:color w:val="231F20"/>
          <w:sz w:val="16"/>
          <w:szCs w:val="16"/>
        </w:rPr>
        <w:t>House</w:t>
      </w:r>
      <w:r>
        <w:rPr>
          <w:rFonts w:ascii="Segoe UI" w:hAnsi="Segoe UI" w:cs="Segoe UI" w:eastAsia="Segoe UI"/>
          <w:color w:val="231F20"/>
          <w:spacing w:val="-4"/>
          <w:sz w:val="16"/>
          <w:szCs w:val="16"/>
        </w:rPr>
        <w:t> </w:t>
      </w:r>
      <w:r>
        <w:rPr>
          <w:rFonts w:ascii="Segoe UI" w:hAnsi="Segoe UI" w:cs="Segoe UI" w:eastAsia="Segoe UI"/>
          <w:color w:val="231F20"/>
          <w:sz w:val="16"/>
          <w:szCs w:val="16"/>
        </w:rPr>
        <w:t>of</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Representatives</w:t>
      </w:r>
      <w:r>
        <w:rPr>
          <w:rFonts w:ascii="Segoe UI" w:hAnsi="Segoe UI" w:cs="Segoe UI" w:eastAsia="Segoe UI"/>
          <w:color w:val="231F20"/>
          <w:spacing w:val="45"/>
          <w:w w:val="99"/>
          <w:sz w:val="16"/>
          <w:szCs w:val="16"/>
        </w:rPr>
        <w:t> </w:t>
      </w:r>
      <w:r>
        <w:rPr>
          <w:rFonts w:ascii="Segoe UI" w:hAnsi="Segoe UI" w:cs="Segoe UI" w:eastAsia="Segoe UI"/>
          <w:color w:val="231F20"/>
          <w:spacing w:val="-1"/>
          <w:sz w:val="16"/>
          <w:szCs w:val="16"/>
        </w:rPr>
        <w:t>Standing </w:t>
      </w:r>
      <w:r>
        <w:rPr>
          <w:rFonts w:ascii="Segoe UI" w:hAnsi="Segoe UI" w:cs="Segoe UI" w:eastAsia="Segoe UI"/>
          <w:color w:val="231F20"/>
          <w:sz w:val="16"/>
          <w:szCs w:val="16"/>
        </w:rPr>
        <w:t>Committee</w:t>
      </w:r>
      <w:r>
        <w:rPr>
          <w:rFonts w:ascii="Segoe UI" w:hAnsi="Segoe UI" w:cs="Segoe UI" w:eastAsia="Segoe UI"/>
          <w:color w:val="231F20"/>
          <w:spacing w:val="-1"/>
          <w:sz w:val="16"/>
          <w:szCs w:val="16"/>
        </w:rPr>
        <w:t> </w:t>
      </w:r>
      <w:r>
        <w:rPr>
          <w:rFonts w:ascii="Segoe UI" w:hAnsi="Segoe UI" w:cs="Segoe UI" w:eastAsia="Segoe UI"/>
          <w:color w:val="231F20"/>
          <w:sz w:val="16"/>
          <w:szCs w:val="16"/>
        </w:rPr>
        <w:t>on</w:t>
      </w:r>
      <w:r>
        <w:rPr>
          <w:rFonts w:ascii="Segoe UI" w:hAnsi="Segoe UI" w:cs="Segoe UI" w:eastAsia="Segoe UI"/>
          <w:color w:val="231F20"/>
          <w:spacing w:val="-1"/>
          <w:sz w:val="16"/>
          <w:szCs w:val="16"/>
        </w:rPr>
        <w:t> </w:t>
      </w:r>
      <w:r>
        <w:rPr>
          <w:rFonts w:ascii="Segoe UI" w:hAnsi="Segoe UI" w:cs="Segoe UI" w:eastAsia="Segoe UI"/>
          <w:color w:val="231F20"/>
          <w:sz w:val="16"/>
          <w:szCs w:val="16"/>
        </w:rPr>
        <w:t>Indigenous</w:t>
      </w:r>
      <w:r>
        <w:rPr>
          <w:rFonts w:ascii="Segoe UI" w:hAnsi="Segoe UI" w:cs="Segoe UI" w:eastAsia="Segoe UI"/>
          <w:color w:val="231F20"/>
          <w:spacing w:val="-1"/>
          <w:sz w:val="16"/>
          <w:szCs w:val="16"/>
        </w:rPr>
        <w:t> </w:t>
      </w:r>
      <w:r>
        <w:rPr>
          <w:rFonts w:ascii="Segoe UI" w:hAnsi="Segoe UI" w:cs="Segoe UI" w:eastAsia="Segoe UI"/>
          <w:color w:val="231F20"/>
          <w:sz w:val="16"/>
          <w:szCs w:val="16"/>
        </w:rPr>
        <w:t>Affairs,</w:t>
      </w:r>
      <w:r>
        <w:rPr>
          <w:rFonts w:ascii="Segoe UI" w:hAnsi="Segoe UI" w:cs="Segoe UI" w:eastAsia="Segoe UI"/>
          <w:color w:val="231F20"/>
          <w:spacing w:val="-1"/>
          <w:sz w:val="16"/>
          <w:szCs w:val="16"/>
        </w:rPr>
        <w:t> </w:t>
      </w:r>
      <w:r>
        <w:rPr>
          <w:rFonts w:ascii="Segoe UI" w:hAnsi="Segoe UI" w:cs="Segoe UI" w:eastAsia="Segoe UI"/>
          <w:color w:val="231F20"/>
          <w:sz w:val="16"/>
          <w:szCs w:val="16"/>
        </w:rPr>
        <w:t>2017,</w:t>
      </w:r>
      <w:r>
        <w:rPr>
          <w:rFonts w:ascii="Segoe UI" w:hAnsi="Segoe UI" w:cs="Segoe UI" w:eastAsia="Segoe UI"/>
          <w:color w:val="231F20"/>
          <w:spacing w:val="22"/>
          <w:sz w:val="16"/>
          <w:szCs w:val="16"/>
        </w:rPr>
        <w:t> </w:t>
      </w:r>
      <w:r>
        <w:rPr>
          <w:rFonts w:ascii="Segoe UI" w:hAnsi="Segoe UI" w:cs="Segoe UI" w:eastAsia="Segoe UI"/>
          <w:color w:val="231F20"/>
          <w:sz w:val="16"/>
          <w:szCs w:val="16"/>
        </w:rPr>
        <w:t>pp.</w:t>
      </w:r>
      <w:r>
        <w:rPr>
          <w:rFonts w:ascii="Segoe UI" w:hAnsi="Segoe UI" w:cs="Segoe UI" w:eastAsia="Segoe UI"/>
          <w:color w:val="231F20"/>
          <w:spacing w:val="-3"/>
          <w:sz w:val="16"/>
          <w:szCs w:val="16"/>
        </w:rPr>
        <w:t> </w:t>
      </w:r>
      <w:r>
        <w:rPr>
          <w:rFonts w:ascii="Segoe UI" w:hAnsi="Segoe UI" w:cs="Segoe UI" w:eastAsia="Segoe UI"/>
          <w:color w:val="231F20"/>
          <w:sz w:val="16"/>
          <w:szCs w:val="16"/>
        </w:rPr>
        <w:t>15-37</w:t>
      </w:r>
      <w:r>
        <w:rPr>
          <w:rFonts w:ascii="Segoe UI" w:hAnsi="Segoe UI" w:cs="Segoe UI" w:eastAsia="Segoe UI"/>
          <w:sz w:val="16"/>
          <w:szCs w:val="16"/>
        </w:rPr>
      </w:r>
    </w:p>
    <w:p>
      <w:pPr>
        <w:numPr>
          <w:ilvl w:val="0"/>
          <w:numId w:val="11"/>
        </w:numPr>
        <w:tabs>
          <w:tab w:pos="668" w:val="left" w:leader="none"/>
        </w:tabs>
        <w:spacing w:line="200" w:lineRule="exact" w:before="113"/>
        <w:ind w:left="667" w:right="155" w:hanging="567"/>
        <w:jc w:val="left"/>
        <w:rPr>
          <w:rFonts w:ascii="Segoe UI" w:hAnsi="Segoe UI" w:cs="Segoe UI" w:eastAsia="Segoe UI"/>
          <w:sz w:val="16"/>
          <w:szCs w:val="16"/>
        </w:rPr>
      </w:pPr>
      <w:r>
        <w:rPr>
          <w:rFonts w:ascii="Segoe UI" w:hAnsi="Segoe UI" w:cs="Segoe UI" w:eastAsia="Segoe UI"/>
          <w:i/>
          <w:color w:val="231F20"/>
          <w:sz w:val="16"/>
          <w:szCs w:val="16"/>
        </w:rPr>
        <w:t>The</w:t>
      </w:r>
      <w:r>
        <w:rPr>
          <w:rFonts w:ascii="Segoe UI" w:hAnsi="Segoe UI" w:cs="Segoe UI" w:eastAsia="Segoe UI"/>
          <w:i/>
          <w:color w:val="231F20"/>
          <w:spacing w:val="-5"/>
          <w:sz w:val="16"/>
          <w:szCs w:val="16"/>
        </w:rPr>
        <w:t> </w:t>
      </w:r>
      <w:r>
        <w:rPr>
          <w:rFonts w:ascii="Segoe UI" w:hAnsi="Segoe UI" w:cs="Segoe UI" w:eastAsia="Segoe UI"/>
          <w:i/>
          <w:color w:val="231F20"/>
          <w:spacing w:val="-1"/>
          <w:sz w:val="16"/>
          <w:szCs w:val="16"/>
        </w:rPr>
        <w:t>power</w:t>
      </w:r>
      <w:r>
        <w:rPr>
          <w:rFonts w:ascii="Segoe UI" w:hAnsi="Segoe UI" w:cs="Segoe UI" w:eastAsia="Segoe UI"/>
          <w:i/>
          <w:color w:val="231F20"/>
          <w:spacing w:val="-4"/>
          <w:sz w:val="16"/>
          <w:szCs w:val="16"/>
        </w:rPr>
        <w:t> </w:t>
      </w:r>
      <w:r>
        <w:rPr>
          <w:rFonts w:ascii="Segoe UI" w:hAnsi="Segoe UI" w:cs="Segoe UI" w:eastAsia="Segoe UI"/>
          <w:i/>
          <w:color w:val="231F20"/>
          <w:spacing w:val="-2"/>
          <w:sz w:val="16"/>
          <w:szCs w:val="16"/>
        </w:rPr>
        <w:t>of</w:t>
      </w:r>
      <w:r>
        <w:rPr>
          <w:rFonts w:ascii="Segoe UI" w:hAnsi="Segoe UI" w:cs="Segoe UI" w:eastAsia="Segoe UI"/>
          <w:i/>
          <w:color w:val="231F20"/>
          <w:spacing w:val="-3"/>
          <w:sz w:val="16"/>
          <w:szCs w:val="16"/>
        </w:rPr>
        <w:t> </w:t>
      </w:r>
      <w:r>
        <w:rPr>
          <w:rFonts w:ascii="Segoe UI" w:hAnsi="Segoe UI" w:cs="Segoe UI" w:eastAsia="Segoe UI"/>
          <w:i/>
          <w:color w:val="231F20"/>
          <w:sz w:val="16"/>
          <w:szCs w:val="16"/>
        </w:rPr>
        <w:t>education:</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From</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surviving</w:t>
      </w:r>
      <w:r>
        <w:rPr>
          <w:rFonts w:ascii="Segoe UI" w:hAnsi="Segoe UI" w:cs="Segoe UI" w:eastAsia="Segoe UI"/>
          <w:i/>
          <w:color w:val="231F20"/>
          <w:spacing w:val="-3"/>
          <w:sz w:val="16"/>
          <w:szCs w:val="16"/>
        </w:rPr>
        <w:t> </w:t>
      </w:r>
      <w:r>
        <w:rPr>
          <w:rFonts w:ascii="Segoe UI" w:hAnsi="Segoe UI" w:cs="Segoe UI" w:eastAsia="Segoe UI"/>
          <w:i/>
          <w:color w:val="231F20"/>
          <w:sz w:val="16"/>
          <w:szCs w:val="16"/>
        </w:rPr>
        <w:t>to</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thriving—</w:t>
      </w:r>
      <w:r>
        <w:rPr>
          <w:rFonts w:ascii="Segoe UI" w:hAnsi="Segoe UI" w:cs="Segoe UI" w:eastAsia="Segoe UI"/>
          <w:i/>
          <w:color w:val="231F20"/>
          <w:spacing w:val="41"/>
          <w:w w:val="99"/>
          <w:sz w:val="16"/>
          <w:szCs w:val="16"/>
        </w:rPr>
        <w:t> </w:t>
      </w:r>
      <w:r>
        <w:rPr>
          <w:rFonts w:ascii="Segoe UI" w:hAnsi="Segoe UI" w:cs="Segoe UI" w:eastAsia="Segoe UI"/>
          <w:i/>
          <w:color w:val="231F20"/>
          <w:sz w:val="16"/>
          <w:szCs w:val="16"/>
        </w:rPr>
        <w:t>Educational</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opportunities</w:t>
      </w:r>
      <w:r>
        <w:rPr>
          <w:rFonts w:ascii="Segoe UI" w:hAnsi="Segoe UI" w:cs="Segoe UI" w:eastAsia="Segoe UI"/>
          <w:i/>
          <w:color w:val="231F20"/>
          <w:spacing w:val="-2"/>
          <w:sz w:val="16"/>
          <w:szCs w:val="16"/>
        </w:rPr>
        <w:t> </w:t>
      </w:r>
      <w:r>
        <w:rPr>
          <w:rFonts w:ascii="Segoe UI" w:hAnsi="Segoe UI" w:cs="Segoe UI" w:eastAsia="Segoe UI"/>
          <w:i/>
          <w:color w:val="231F20"/>
          <w:sz w:val="16"/>
          <w:szCs w:val="16"/>
        </w:rPr>
        <w:t>for</w:t>
      </w:r>
      <w:r>
        <w:rPr>
          <w:rFonts w:ascii="Segoe UI" w:hAnsi="Segoe UI" w:cs="Segoe UI" w:eastAsia="Segoe UI"/>
          <w:i/>
          <w:color w:val="231F20"/>
          <w:spacing w:val="-4"/>
          <w:sz w:val="16"/>
          <w:szCs w:val="16"/>
        </w:rPr>
        <w:t> </w:t>
      </w:r>
      <w:r>
        <w:rPr>
          <w:rFonts w:ascii="Segoe UI" w:hAnsi="Segoe UI" w:cs="Segoe UI" w:eastAsia="Segoe UI"/>
          <w:i/>
          <w:color w:val="231F20"/>
          <w:sz w:val="16"/>
          <w:szCs w:val="16"/>
        </w:rPr>
        <w:t>Aboriginal</w:t>
      </w:r>
      <w:r>
        <w:rPr>
          <w:rFonts w:ascii="Segoe UI" w:hAnsi="Segoe UI" w:cs="Segoe UI" w:eastAsia="Segoe UI"/>
          <w:i/>
          <w:color w:val="231F20"/>
          <w:spacing w:val="-3"/>
          <w:sz w:val="16"/>
          <w:szCs w:val="16"/>
        </w:rPr>
        <w:t> </w:t>
      </w:r>
      <w:r>
        <w:rPr>
          <w:rFonts w:ascii="Segoe UI" w:hAnsi="Segoe UI" w:cs="Segoe UI" w:eastAsia="Segoe UI"/>
          <w:i/>
          <w:color w:val="231F20"/>
          <w:sz w:val="16"/>
          <w:szCs w:val="16"/>
        </w:rPr>
        <w:t>and</w:t>
      </w:r>
      <w:r>
        <w:rPr>
          <w:rFonts w:ascii="Segoe UI" w:hAnsi="Segoe UI" w:cs="Segoe UI" w:eastAsia="Segoe UI"/>
          <w:i/>
          <w:color w:val="231F20"/>
          <w:spacing w:val="-3"/>
          <w:sz w:val="16"/>
          <w:szCs w:val="16"/>
        </w:rPr>
        <w:t> Torres</w:t>
      </w:r>
      <w:r>
        <w:rPr>
          <w:rFonts w:ascii="Segoe UI" w:hAnsi="Segoe UI" w:cs="Segoe UI" w:eastAsia="Segoe UI"/>
          <w:i/>
          <w:color w:val="231F20"/>
          <w:spacing w:val="27"/>
          <w:w w:val="99"/>
          <w:sz w:val="16"/>
          <w:szCs w:val="16"/>
        </w:rPr>
        <w:t> </w:t>
      </w:r>
      <w:r>
        <w:rPr>
          <w:rFonts w:ascii="Segoe UI" w:hAnsi="Segoe UI" w:cs="Segoe UI" w:eastAsia="Segoe UI"/>
          <w:i/>
          <w:color w:val="231F20"/>
          <w:spacing w:val="-1"/>
          <w:sz w:val="16"/>
          <w:szCs w:val="16"/>
        </w:rPr>
        <w:t>Strait</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Islander</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students</w:t>
      </w:r>
      <w:r>
        <w:rPr>
          <w:rFonts w:ascii="Segoe UI" w:hAnsi="Segoe UI" w:cs="Segoe UI" w:eastAsia="Segoe UI"/>
          <w:color w:val="231F20"/>
          <w:spacing w:val="-1"/>
          <w:sz w:val="16"/>
          <w:szCs w:val="16"/>
        </w:rPr>
        <w:t>,</w:t>
      </w:r>
      <w:r>
        <w:rPr>
          <w:rFonts w:ascii="Segoe UI" w:hAnsi="Segoe UI" w:cs="Segoe UI" w:eastAsia="Segoe UI"/>
          <w:color w:val="231F20"/>
          <w:spacing w:val="-4"/>
          <w:sz w:val="16"/>
          <w:szCs w:val="16"/>
        </w:rPr>
        <w:t> </w:t>
      </w:r>
      <w:r>
        <w:rPr>
          <w:rFonts w:ascii="Segoe UI" w:hAnsi="Segoe UI" w:cs="Segoe UI" w:eastAsia="Segoe UI"/>
          <w:color w:val="231F20"/>
          <w:sz w:val="16"/>
          <w:szCs w:val="16"/>
        </w:rPr>
        <w:t>House</w:t>
      </w:r>
      <w:r>
        <w:rPr>
          <w:rFonts w:ascii="Segoe UI" w:hAnsi="Segoe UI" w:cs="Segoe UI" w:eastAsia="Segoe UI"/>
          <w:color w:val="231F20"/>
          <w:spacing w:val="-4"/>
          <w:sz w:val="16"/>
          <w:szCs w:val="16"/>
        </w:rPr>
        <w:t> </w:t>
      </w:r>
      <w:r>
        <w:rPr>
          <w:rFonts w:ascii="Segoe UI" w:hAnsi="Segoe UI" w:cs="Segoe UI" w:eastAsia="Segoe UI"/>
          <w:color w:val="231F20"/>
          <w:sz w:val="16"/>
          <w:szCs w:val="16"/>
        </w:rPr>
        <w:t>of</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Representatives</w:t>
      </w:r>
      <w:r>
        <w:rPr>
          <w:rFonts w:ascii="Segoe UI" w:hAnsi="Segoe UI" w:cs="Segoe UI" w:eastAsia="Segoe UI"/>
          <w:color w:val="231F20"/>
          <w:spacing w:val="45"/>
          <w:w w:val="99"/>
          <w:sz w:val="16"/>
          <w:szCs w:val="16"/>
        </w:rPr>
        <w:t> </w:t>
      </w:r>
      <w:r>
        <w:rPr>
          <w:rFonts w:ascii="Segoe UI" w:hAnsi="Segoe UI" w:cs="Segoe UI" w:eastAsia="Segoe UI"/>
          <w:color w:val="231F20"/>
          <w:spacing w:val="-1"/>
          <w:sz w:val="16"/>
          <w:szCs w:val="16"/>
        </w:rPr>
        <w:t>Standing </w:t>
      </w:r>
      <w:r>
        <w:rPr>
          <w:rFonts w:ascii="Segoe UI" w:hAnsi="Segoe UI" w:cs="Segoe UI" w:eastAsia="Segoe UI"/>
          <w:color w:val="231F20"/>
          <w:sz w:val="16"/>
          <w:szCs w:val="16"/>
        </w:rPr>
        <w:t>Committee</w:t>
      </w:r>
      <w:r>
        <w:rPr>
          <w:rFonts w:ascii="Segoe UI" w:hAnsi="Segoe UI" w:cs="Segoe UI" w:eastAsia="Segoe UI"/>
          <w:color w:val="231F20"/>
          <w:spacing w:val="-1"/>
          <w:sz w:val="16"/>
          <w:szCs w:val="16"/>
        </w:rPr>
        <w:t> </w:t>
      </w:r>
      <w:r>
        <w:rPr>
          <w:rFonts w:ascii="Segoe UI" w:hAnsi="Segoe UI" w:cs="Segoe UI" w:eastAsia="Segoe UI"/>
          <w:color w:val="231F20"/>
          <w:sz w:val="16"/>
          <w:szCs w:val="16"/>
        </w:rPr>
        <w:t>on</w:t>
      </w:r>
      <w:r>
        <w:rPr>
          <w:rFonts w:ascii="Segoe UI" w:hAnsi="Segoe UI" w:cs="Segoe UI" w:eastAsia="Segoe UI"/>
          <w:color w:val="231F20"/>
          <w:spacing w:val="-1"/>
          <w:sz w:val="16"/>
          <w:szCs w:val="16"/>
        </w:rPr>
        <w:t> </w:t>
      </w:r>
      <w:r>
        <w:rPr>
          <w:rFonts w:ascii="Segoe UI" w:hAnsi="Segoe UI" w:cs="Segoe UI" w:eastAsia="Segoe UI"/>
          <w:color w:val="231F20"/>
          <w:sz w:val="16"/>
          <w:szCs w:val="16"/>
        </w:rPr>
        <w:t>Indigenous</w:t>
      </w:r>
      <w:r>
        <w:rPr>
          <w:rFonts w:ascii="Segoe UI" w:hAnsi="Segoe UI" w:cs="Segoe UI" w:eastAsia="Segoe UI"/>
          <w:color w:val="231F20"/>
          <w:spacing w:val="-1"/>
          <w:sz w:val="16"/>
          <w:szCs w:val="16"/>
        </w:rPr>
        <w:t> </w:t>
      </w:r>
      <w:r>
        <w:rPr>
          <w:rFonts w:ascii="Segoe UI" w:hAnsi="Segoe UI" w:cs="Segoe UI" w:eastAsia="Segoe UI"/>
          <w:color w:val="231F20"/>
          <w:sz w:val="16"/>
          <w:szCs w:val="16"/>
        </w:rPr>
        <w:t>Affairs,</w:t>
      </w:r>
      <w:r>
        <w:rPr>
          <w:rFonts w:ascii="Segoe UI" w:hAnsi="Segoe UI" w:cs="Segoe UI" w:eastAsia="Segoe UI"/>
          <w:color w:val="231F20"/>
          <w:spacing w:val="-1"/>
          <w:sz w:val="16"/>
          <w:szCs w:val="16"/>
        </w:rPr>
        <w:t> </w:t>
      </w:r>
      <w:r>
        <w:rPr>
          <w:rFonts w:ascii="Segoe UI" w:hAnsi="Segoe UI" w:cs="Segoe UI" w:eastAsia="Segoe UI"/>
          <w:color w:val="231F20"/>
          <w:sz w:val="16"/>
          <w:szCs w:val="16"/>
        </w:rPr>
        <w:t>2017,</w:t>
      </w:r>
      <w:r>
        <w:rPr>
          <w:rFonts w:ascii="Segoe UI" w:hAnsi="Segoe UI" w:cs="Segoe UI" w:eastAsia="Segoe UI"/>
          <w:color w:val="231F20"/>
          <w:spacing w:val="22"/>
          <w:sz w:val="16"/>
          <w:szCs w:val="16"/>
        </w:rPr>
        <w:t> </w:t>
      </w:r>
      <w:r>
        <w:rPr>
          <w:rFonts w:ascii="Segoe UI" w:hAnsi="Segoe UI" w:cs="Segoe UI" w:eastAsia="Segoe UI"/>
          <w:color w:val="231F20"/>
          <w:sz w:val="16"/>
          <w:szCs w:val="16"/>
        </w:rPr>
        <w:t>pp.</w:t>
      </w:r>
      <w:r>
        <w:rPr>
          <w:rFonts w:ascii="Segoe UI" w:hAnsi="Segoe UI" w:cs="Segoe UI" w:eastAsia="Segoe UI"/>
          <w:color w:val="231F20"/>
          <w:spacing w:val="-3"/>
          <w:sz w:val="16"/>
          <w:szCs w:val="16"/>
        </w:rPr>
        <w:t> </w:t>
      </w:r>
      <w:r>
        <w:rPr>
          <w:rFonts w:ascii="Segoe UI" w:hAnsi="Segoe UI" w:cs="Segoe UI" w:eastAsia="Segoe UI"/>
          <w:color w:val="231F20"/>
          <w:sz w:val="16"/>
          <w:szCs w:val="16"/>
        </w:rPr>
        <w:t>15-37</w:t>
      </w:r>
      <w:r>
        <w:rPr>
          <w:rFonts w:ascii="Segoe UI" w:hAnsi="Segoe UI" w:cs="Segoe UI" w:eastAsia="Segoe UI"/>
          <w:sz w:val="16"/>
          <w:szCs w:val="16"/>
        </w:rPr>
      </w:r>
    </w:p>
    <w:p>
      <w:pPr>
        <w:numPr>
          <w:ilvl w:val="0"/>
          <w:numId w:val="11"/>
        </w:numPr>
        <w:tabs>
          <w:tab w:pos="668" w:val="left" w:leader="none"/>
        </w:tabs>
        <w:spacing w:before="100"/>
        <w:ind w:left="667" w:right="0" w:hanging="567"/>
        <w:jc w:val="left"/>
        <w:rPr>
          <w:rFonts w:ascii="Segoe UI" w:hAnsi="Segoe UI" w:cs="Segoe UI" w:eastAsia="Segoe UI"/>
          <w:sz w:val="16"/>
          <w:szCs w:val="16"/>
        </w:rPr>
      </w:pPr>
      <w:r>
        <w:rPr>
          <w:rFonts w:ascii="Segoe UI"/>
          <w:color w:val="231F20"/>
          <w:sz w:val="16"/>
        </w:rPr>
        <w:t>Data has been de-identified</w:t>
      </w:r>
      <w:r>
        <w:rPr>
          <w:rFonts w:ascii="Segoe UI"/>
          <w:sz w:val="16"/>
        </w:rPr>
      </w:r>
    </w:p>
    <w:p>
      <w:pPr>
        <w:numPr>
          <w:ilvl w:val="0"/>
          <w:numId w:val="11"/>
        </w:numPr>
        <w:tabs>
          <w:tab w:pos="668" w:val="left" w:leader="none"/>
        </w:tabs>
        <w:spacing w:before="100"/>
        <w:ind w:left="667" w:right="0" w:hanging="567"/>
        <w:jc w:val="left"/>
        <w:rPr>
          <w:rFonts w:ascii="Segoe UI" w:hAnsi="Segoe UI" w:cs="Segoe UI" w:eastAsia="Segoe UI"/>
          <w:sz w:val="16"/>
          <w:szCs w:val="16"/>
        </w:rPr>
      </w:pPr>
      <w:r>
        <w:rPr>
          <w:rFonts w:ascii="Segoe UI"/>
          <w:color w:val="231F20"/>
          <w:spacing w:val="-2"/>
          <w:sz w:val="16"/>
        </w:rPr>
        <w:t>Study</w:t>
      </w:r>
      <w:r>
        <w:rPr>
          <w:rFonts w:ascii="Segoe UI"/>
          <w:color w:val="231F20"/>
          <w:spacing w:val="-4"/>
          <w:sz w:val="16"/>
        </w:rPr>
        <w:t> </w:t>
      </w:r>
      <w:r>
        <w:rPr>
          <w:rFonts w:ascii="Segoe UI"/>
          <w:color w:val="231F20"/>
          <w:spacing w:val="-1"/>
          <w:sz w:val="16"/>
        </w:rPr>
        <w:t>Away</w:t>
      </w:r>
      <w:r>
        <w:rPr>
          <w:rFonts w:ascii="Segoe UI"/>
          <w:color w:val="231F20"/>
          <w:spacing w:val="-4"/>
          <w:sz w:val="16"/>
        </w:rPr>
        <w:t> </w:t>
      </w:r>
      <w:r>
        <w:rPr>
          <w:rFonts w:ascii="Segoe UI"/>
          <w:color w:val="231F20"/>
          <w:spacing w:val="-1"/>
          <w:sz w:val="16"/>
        </w:rPr>
        <w:t>Review,</w:t>
      </w:r>
      <w:r>
        <w:rPr>
          <w:rFonts w:ascii="Segoe UI"/>
          <w:color w:val="231F20"/>
          <w:spacing w:val="-3"/>
          <w:sz w:val="16"/>
        </w:rPr>
        <w:t> </w:t>
      </w:r>
      <w:r>
        <w:rPr>
          <w:rFonts w:ascii="Segoe UI"/>
          <w:color w:val="231F20"/>
          <w:sz w:val="16"/>
        </w:rPr>
        <w:t>p.</w:t>
      </w:r>
      <w:r>
        <w:rPr>
          <w:rFonts w:ascii="Segoe UI"/>
          <w:color w:val="231F20"/>
          <w:spacing w:val="-3"/>
          <w:sz w:val="16"/>
        </w:rPr>
        <w:t> </w:t>
      </w:r>
      <w:r>
        <w:rPr>
          <w:rFonts w:ascii="Segoe UI"/>
          <w:color w:val="231F20"/>
          <w:sz w:val="16"/>
        </w:rPr>
        <w:t>13</w:t>
      </w:r>
      <w:r>
        <w:rPr>
          <w:rFonts w:ascii="Segoe UI"/>
          <w:sz w:val="16"/>
        </w:rPr>
      </w:r>
    </w:p>
    <w:p>
      <w:pPr>
        <w:numPr>
          <w:ilvl w:val="0"/>
          <w:numId w:val="11"/>
        </w:numPr>
        <w:tabs>
          <w:tab w:pos="668" w:val="left" w:leader="none"/>
        </w:tabs>
        <w:spacing w:line="200" w:lineRule="exact" w:before="113"/>
        <w:ind w:left="667" w:right="241" w:hanging="567"/>
        <w:jc w:val="left"/>
        <w:rPr>
          <w:rFonts w:ascii="Segoe UI" w:hAnsi="Segoe UI" w:cs="Segoe UI" w:eastAsia="Segoe UI"/>
          <w:sz w:val="16"/>
          <w:szCs w:val="16"/>
        </w:rPr>
      </w:pPr>
      <w:r>
        <w:rPr>
          <w:rFonts w:ascii="Segoe UI"/>
          <w:color w:val="231F20"/>
          <w:spacing w:val="-1"/>
          <w:sz w:val="16"/>
        </w:rPr>
        <w:t>Data</w:t>
      </w:r>
      <w:r>
        <w:rPr>
          <w:rFonts w:ascii="Segoe UI"/>
          <w:color w:val="231F20"/>
          <w:spacing w:val="-4"/>
          <w:sz w:val="16"/>
        </w:rPr>
        <w:t> </w:t>
      </w:r>
      <w:r>
        <w:rPr>
          <w:rFonts w:ascii="Segoe UI"/>
          <w:color w:val="231F20"/>
          <w:spacing w:val="-1"/>
          <w:sz w:val="16"/>
        </w:rPr>
        <w:t>supplied</w:t>
      </w:r>
      <w:r>
        <w:rPr>
          <w:rFonts w:ascii="Segoe UI"/>
          <w:color w:val="231F20"/>
          <w:spacing w:val="-4"/>
          <w:sz w:val="16"/>
        </w:rPr>
        <w:t> </w:t>
      </w:r>
      <w:r>
        <w:rPr>
          <w:rFonts w:ascii="Segoe UI"/>
          <w:color w:val="231F20"/>
          <w:sz w:val="16"/>
        </w:rPr>
        <w:t>by</w:t>
      </w:r>
      <w:r>
        <w:rPr>
          <w:rFonts w:ascii="Segoe UI"/>
          <w:color w:val="231F20"/>
          <w:spacing w:val="-4"/>
          <w:sz w:val="16"/>
        </w:rPr>
        <w:t> </w:t>
      </w:r>
      <w:r>
        <w:rPr>
          <w:rFonts w:ascii="Segoe UI"/>
          <w:color w:val="231F20"/>
          <w:sz w:val="16"/>
        </w:rPr>
        <w:t>the</w:t>
      </w:r>
      <w:r>
        <w:rPr>
          <w:rFonts w:ascii="Segoe UI"/>
          <w:color w:val="231F20"/>
          <w:spacing w:val="-4"/>
          <w:sz w:val="16"/>
        </w:rPr>
        <w:t> </w:t>
      </w:r>
      <w:r>
        <w:rPr>
          <w:rFonts w:ascii="Segoe UI"/>
          <w:color w:val="231F20"/>
          <w:spacing w:val="-1"/>
          <w:sz w:val="16"/>
        </w:rPr>
        <w:t>Department</w:t>
      </w:r>
      <w:r>
        <w:rPr>
          <w:rFonts w:ascii="Segoe UI"/>
          <w:color w:val="231F20"/>
          <w:spacing w:val="-4"/>
          <w:sz w:val="16"/>
        </w:rPr>
        <w:t> </w:t>
      </w:r>
      <w:r>
        <w:rPr>
          <w:rFonts w:ascii="Segoe UI"/>
          <w:color w:val="231F20"/>
          <w:sz w:val="16"/>
        </w:rPr>
        <w:t>of</w:t>
      </w:r>
      <w:r>
        <w:rPr>
          <w:rFonts w:ascii="Segoe UI"/>
          <w:color w:val="231F20"/>
          <w:spacing w:val="-4"/>
          <w:sz w:val="16"/>
        </w:rPr>
        <w:t> </w:t>
      </w:r>
      <w:r>
        <w:rPr>
          <w:rFonts w:ascii="Segoe UI"/>
          <w:color w:val="231F20"/>
          <w:sz w:val="16"/>
        </w:rPr>
        <w:t>Human</w:t>
      </w:r>
      <w:r>
        <w:rPr>
          <w:rFonts w:ascii="Segoe UI"/>
          <w:color w:val="231F20"/>
          <w:spacing w:val="27"/>
          <w:w w:val="99"/>
          <w:sz w:val="16"/>
        </w:rPr>
        <w:t> </w:t>
      </w:r>
      <w:r>
        <w:rPr>
          <w:rFonts w:ascii="Segoe UI"/>
          <w:color w:val="231F20"/>
          <w:spacing w:val="-1"/>
          <w:sz w:val="16"/>
        </w:rPr>
        <w:t>Services</w:t>
      </w:r>
      <w:r>
        <w:rPr>
          <w:rFonts w:ascii="Segoe UI"/>
          <w:color w:val="231F20"/>
          <w:spacing w:val="-4"/>
          <w:sz w:val="16"/>
        </w:rPr>
        <w:t> </w:t>
      </w:r>
      <w:r>
        <w:rPr>
          <w:rFonts w:ascii="Segoe UI"/>
          <w:color w:val="231F20"/>
          <w:sz w:val="16"/>
        </w:rPr>
        <w:t>of</w:t>
      </w:r>
      <w:r>
        <w:rPr>
          <w:rFonts w:ascii="Segoe UI"/>
          <w:color w:val="231F20"/>
          <w:spacing w:val="-3"/>
          <w:sz w:val="16"/>
        </w:rPr>
        <w:t> </w:t>
      </w:r>
      <w:r>
        <w:rPr>
          <w:rFonts w:ascii="Segoe UI"/>
          <w:color w:val="231F20"/>
          <w:spacing w:val="-1"/>
          <w:sz w:val="16"/>
        </w:rPr>
        <w:t>schools</w:t>
      </w:r>
      <w:r>
        <w:rPr>
          <w:rFonts w:ascii="Segoe UI"/>
          <w:color w:val="231F20"/>
          <w:spacing w:val="-4"/>
          <w:sz w:val="16"/>
        </w:rPr>
        <w:t> </w:t>
      </w:r>
      <w:r>
        <w:rPr>
          <w:rFonts w:ascii="Segoe UI"/>
          <w:color w:val="231F20"/>
          <w:sz w:val="16"/>
        </w:rPr>
        <w:t>and</w:t>
      </w:r>
      <w:r>
        <w:rPr>
          <w:rFonts w:ascii="Segoe UI"/>
          <w:color w:val="231F20"/>
          <w:spacing w:val="-4"/>
          <w:sz w:val="16"/>
        </w:rPr>
        <w:t> </w:t>
      </w:r>
      <w:r>
        <w:rPr>
          <w:rFonts w:ascii="Segoe UI"/>
          <w:color w:val="231F20"/>
          <w:sz w:val="16"/>
        </w:rPr>
        <w:t>boarding</w:t>
      </w:r>
      <w:r>
        <w:rPr>
          <w:rFonts w:ascii="Segoe UI"/>
          <w:color w:val="231F20"/>
          <w:spacing w:val="-4"/>
          <w:sz w:val="16"/>
        </w:rPr>
        <w:t> </w:t>
      </w:r>
      <w:r>
        <w:rPr>
          <w:rFonts w:ascii="Segoe UI"/>
          <w:color w:val="231F20"/>
          <w:sz w:val="16"/>
        </w:rPr>
        <w:t>providers</w:t>
      </w:r>
      <w:r>
        <w:rPr>
          <w:rFonts w:ascii="Segoe UI"/>
          <w:color w:val="231F20"/>
          <w:spacing w:val="-4"/>
          <w:sz w:val="16"/>
        </w:rPr>
        <w:t> </w:t>
      </w:r>
      <w:r>
        <w:rPr>
          <w:rFonts w:ascii="Segoe UI"/>
          <w:color w:val="231F20"/>
          <w:sz w:val="16"/>
        </w:rPr>
        <w:t>that</w:t>
      </w:r>
      <w:r>
        <w:rPr>
          <w:rFonts w:ascii="Segoe UI"/>
          <w:color w:val="231F20"/>
          <w:spacing w:val="23"/>
          <w:w w:val="99"/>
          <w:sz w:val="16"/>
        </w:rPr>
        <w:t> </w:t>
      </w:r>
      <w:r>
        <w:rPr>
          <w:rFonts w:ascii="Segoe UI"/>
          <w:color w:val="231F20"/>
          <w:sz w:val="16"/>
        </w:rPr>
        <w:t>receive</w:t>
      </w:r>
      <w:r>
        <w:rPr>
          <w:rFonts w:ascii="Segoe UI"/>
          <w:color w:val="231F20"/>
          <w:spacing w:val="-4"/>
          <w:sz w:val="16"/>
        </w:rPr>
        <w:t> </w:t>
      </w:r>
      <w:r>
        <w:rPr>
          <w:rFonts w:ascii="Segoe UI"/>
          <w:color w:val="231F20"/>
          <w:sz w:val="16"/>
        </w:rPr>
        <w:t>ABSTUDY</w:t>
      </w:r>
      <w:r>
        <w:rPr>
          <w:rFonts w:ascii="Segoe UI"/>
          <w:color w:val="231F20"/>
          <w:spacing w:val="-2"/>
          <w:sz w:val="16"/>
        </w:rPr>
        <w:t> </w:t>
      </w:r>
      <w:r>
        <w:rPr>
          <w:rFonts w:ascii="Segoe UI"/>
          <w:color w:val="231F20"/>
          <w:sz w:val="16"/>
        </w:rPr>
        <w:t>payments</w:t>
      </w:r>
      <w:r>
        <w:rPr>
          <w:rFonts w:ascii="Segoe UI"/>
          <w:color w:val="231F20"/>
          <w:spacing w:val="-3"/>
          <w:sz w:val="16"/>
        </w:rPr>
        <w:t> </w:t>
      </w:r>
      <w:r>
        <w:rPr>
          <w:rFonts w:ascii="Segoe UI"/>
          <w:color w:val="231F20"/>
          <w:spacing w:val="-1"/>
          <w:sz w:val="16"/>
        </w:rPr>
        <w:t>in</w:t>
      </w:r>
      <w:r>
        <w:rPr>
          <w:rFonts w:ascii="Segoe UI"/>
          <w:color w:val="231F20"/>
          <w:spacing w:val="-3"/>
          <w:sz w:val="16"/>
        </w:rPr>
        <w:t> </w:t>
      </w:r>
      <w:r>
        <w:rPr>
          <w:rFonts w:ascii="Segoe UI"/>
          <w:color w:val="231F20"/>
          <w:spacing w:val="-1"/>
          <w:sz w:val="16"/>
        </w:rPr>
        <w:t>2018</w:t>
      </w:r>
      <w:r>
        <w:rPr>
          <w:rFonts w:ascii="Segoe UI"/>
          <w:color w:val="231F20"/>
          <w:spacing w:val="-2"/>
          <w:sz w:val="16"/>
        </w:rPr>
        <w:t> </w:t>
      </w:r>
      <w:r>
        <w:rPr>
          <w:rFonts w:ascii="Segoe UI"/>
          <w:color w:val="231F20"/>
          <w:sz w:val="16"/>
        </w:rPr>
        <w:t>for</w:t>
      </w:r>
      <w:r>
        <w:rPr>
          <w:rFonts w:ascii="Segoe UI"/>
          <w:color w:val="231F20"/>
          <w:spacing w:val="-2"/>
          <w:sz w:val="16"/>
        </w:rPr>
        <w:t> </w:t>
      </w:r>
      <w:r>
        <w:rPr>
          <w:rFonts w:ascii="Segoe UI"/>
          <w:color w:val="231F20"/>
          <w:spacing w:val="-1"/>
          <w:sz w:val="16"/>
        </w:rPr>
        <w:t>students</w:t>
      </w:r>
      <w:r>
        <w:rPr>
          <w:rFonts w:ascii="Segoe UI"/>
          <w:color w:val="231F20"/>
          <w:spacing w:val="22"/>
          <w:sz w:val="16"/>
        </w:rPr>
        <w:t> </w:t>
      </w:r>
      <w:r>
        <w:rPr>
          <w:rFonts w:ascii="Segoe UI"/>
          <w:color w:val="231F20"/>
          <w:spacing w:val="-1"/>
          <w:sz w:val="16"/>
        </w:rPr>
        <w:t>studying</w:t>
      </w:r>
      <w:r>
        <w:rPr>
          <w:rFonts w:ascii="Segoe UI"/>
          <w:color w:val="231F20"/>
          <w:spacing w:val="-4"/>
          <w:sz w:val="16"/>
        </w:rPr>
        <w:t> </w:t>
      </w:r>
      <w:r>
        <w:rPr>
          <w:rFonts w:ascii="Segoe UI"/>
          <w:color w:val="231F20"/>
          <w:sz w:val="16"/>
        </w:rPr>
        <w:t>away</w:t>
      </w:r>
      <w:r>
        <w:rPr>
          <w:rFonts w:ascii="Segoe UI"/>
          <w:color w:val="231F20"/>
          <w:spacing w:val="-4"/>
          <w:sz w:val="16"/>
        </w:rPr>
        <w:t> </w:t>
      </w:r>
      <w:r>
        <w:rPr>
          <w:rFonts w:ascii="Segoe UI"/>
          <w:color w:val="231F20"/>
          <w:sz w:val="16"/>
        </w:rPr>
        <w:t>from</w:t>
      </w:r>
      <w:r>
        <w:rPr>
          <w:rFonts w:ascii="Segoe UI"/>
          <w:color w:val="231F20"/>
          <w:spacing w:val="-3"/>
          <w:sz w:val="16"/>
        </w:rPr>
        <w:t> </w:t>
      </w:r>
      <w:r>
        <w:rPr>
          <w:rFonts w:ascii="Segoe UI"/>
          <w:color w:val="231F20"/>
          <w:sz w:val="16"/>
        </w:rPr>
        <w:t>home.</w:t>
      </w:r>
      <w:r>
        <w:rPr>
          <w:rFonts w:ascii="Segoe UI"/>
          <w:color w:val="231F20"/>
          <w:spacing w:val="-4"/>
          <w:sz w:val="16"/>
        </w:rPr>
        <w:t> </w:t>
      </w:r>
      <w:r>
        <w:rPr>
          <w:rFonts w:ascii="Segoe UI"/>
          <w:color w:val="231F20"/>
          <w:spacing w:val="-1"/>
          <w:sz w:val="16"/>
        </w:rPr>
        <w:t>It</w:t>
      </w:r>
      <w:r>
        <w:rPr>
          <w:rFonts w:ascii="Segoe UI"/>
          <w:color w:val="231F20"/>
          <w:spacing w:val="-3"/>
          <w:sz w:val="16"/>
        </w:rPr>
        <w:t> </w:t>
      </w:r>
      <w:r>
        <w:rPr>
          <w:rFonts w:ascii="Segoe UI"/>
          <w:color w:val="231F20"/>
          <w:spacing w:val="-1"/>
          <w:sz w:val="16"/>
        </w:rPr>
        <w:t>includes</w:t>
      </w:r>
      <w:r>
        <w:rPr>
          <w:rFonts w:ascii="Segoe UI"/>
          <w:color w:val="231F20"/>
          <w:spacing w:val="-3"/>
          <w:sz w:val="16"/>
        </w:rPr>
        <w:t> </w:t>
      </w:r>
      <w:r>
        <w:rPr>
          <w:rFonts w:ascii="Segoe UI"/>
          <w:color w:val="231F20"/>
          <w:spacing w:val="-1"/>
          <w:sz w:val="16"/>
        </w:rPr>
        <w:t>schools</w:t>
      </w:r>
      <w:r>
        <w:rPr>
          <w:rFonts w:ascii="Segoe UI"/>
          <w:color w:val="231F20"/>
          <w:spacing w:val="-3"/>
          <w:sz w:val="16"/>
        </w:rPr>
        <w:t> </w:t>
      </w:r>
      <w:r>
        <w:rPr>
          <w:rFonts w:ascii="Segoe UI"/>
          <w:color w:val="231F20"/>
          <w:sz w:val="16"/>
        </w:rPr>
        <w:t>that</w:t>
      </w:r>
      <w:r>
        <w:rPr>
          <w:rFonts w:ascii="Segoe UI"/>
          <w:color w:val="231F20"/>
          <w:spacing w:val="25"/>
          <w:w w:val="99"/>
          <w:sz w:val="16"/>
        </w:rPr>
        <w:t> </w:t>
      </w:r>
      <w:r>
        <w:rPr>
          <w:rFonts w:ascii="Segoe UI"/>
          <w:color w:val="231F20"/>
          <w:sz w:val="16"/>
        </w:rPr>
        <w:t>do</w:t>
      </w:r>
      <w:r>
        <w:rPr>
          <w:rFonts w:ascii="Segoe UI"/>
          <w:color w:val="231F20"/>
          <w:spacing w:val="-1"/>
          <w:sz w:val="16"/>
        </w:rPr>
        <w:t> </w:t>
      </w:r>
      <w:r>
        <w:rPr>
          <w:rFonts w:ascii="Segoe UI"/>
          <w:color w:val="231F20"/>
          <w:sz w:val="16"/>
        </w:rPr>
        <w:t>not offer</w:t>
      </w:r>
      <w:r>
        <w:rPr>
          <w:rFonts w:ascii="Segoe UI"/>
          <w:color w:val="231F20"/>
          <w:spacing w:val="-1"/>
          <w:sz w:val="16"/>
        </w:rPr>
        <w:t> </w:t>
      </w:r>
      <w:r>
        <w:rPr>
          <w:rFonts w:ascii="Segoe UI"/>
          <w:color w:val="231F20"/>
          <w:sz w:val="16"/>
        </w:rPr>
        <w:t>boarding but</w:t>
      </w:r>
      <w:r>
        <w:rPr>
          <w:rFonts w:ascii="Segoe UI"/>
          <w:color w:val="231F20"/>
          <w:spacing w:val="-1"/>
          <w:sz w:val="16"/>
        </w:rPr>
        <w:t> </w:t>
      </w:r>
      <w:r>
        <w:rPr>
          <w:rFonts w:ascii="Segoe UI"/>
          <w:color w:val="231F20"/>
          <w:sz w:val="16"/>
        </w:rPr>
        <w:t>receive students from</w:t>
      </w:r>
      <w:r>
        <w:rPr>
          <w:rFonts w:ascii="Segoe UI"/>
          <w:color w:val="231F20"/>
          <w:spacing w:val="-1"/>
          <w:sz w:val="16"/>
        </w:rPr>
        <w:t> </w:t>
      </w:r>
      <w:r>
        <w:rPr>
          <w:rFonts w:ascii="Segoe UI"/>
          <w:color w:val="231F20"/>
          <w:sz w:val="16"/>
        </w:rPr>
        <w:t>a</w:t>
      </w:r>
      <w:r>
        <w:rPr>
          <w:rFonts w:ascii="Segoe UI"/>
          <w:color w:val="231F20"/>
          <w:sz w:val="16"/>
        </w:rPr>
        <w:t> </w:t>
      </w:r>
      <w:r>
        <w:rPr>
          <w:rFonts w:ascii="Segoe UI"/>
          <w:color w:val="231F20"/>
          <w:sz w:val="16"/>
        </w:rPr>
        <w:t>nearby</w:t>
      </w:r>
      <w:r>
        <w:rPr>
          <w:rFonts w:ascii="Segoe UI"/>
          <w:color w:val="231F20"/>
          <w:spacing w:val="-6"/>
          <w:sz w:val="16"/>
        </w:rPr>
        <w:t> </w:t>
      </w:r>
      <w:r>
        <w:rPr>
          <w:rFonts w:ascii="Segoe UI"/>
          <w:color w:val="231F20"/>
          <w:sz w:val="16"/>
        </w:rPr>
        <w:t>boarding</w:t>
      </w:r>
      <w:r>
        <w:rPr>
          <w:rFonts w:ascii="Segoe UI"/>
          <w:color w:val="231F20"/>
          <w:spacing w:val="-7"/>
          <w:sz w:val="16"/>
        </w:rPr>
        <w:t> </w:t>
      </w:r>
      <w:r>
        <w:rPr>
          <w:rFonts w:ascii="Segoe UI"/>
          <w:color w:val="231F20"/>
          <w:sz w:val="16"/>
        </w:rPr>
        <w:t>facility</w:t>
      </w:r>
      <w:r>
        <w:rPr>
          <w:rFonts w:ascii="Segoe UI"/>
          <w:sz w:val="16"/>
        </w:rPr>
      </w:r>
    </w:p>
    <w:p>
      <w:pPr>
        <w:numPr>
          <w:ilvl w:val="0"/>
          <w:numId w:val="11"/>
        </w:numPr>
        <w:tabs>
          <w:tab w:pos="668" w:val="left" w:leader="none"/>
        </w:tabs>
        <w:spacing w:line="200" w:lineRule="exact" w:before="113"/>
        <w:ind w:left="667" w:right="560" w:hanging="567"/>
        <w:jc w:val="left"/>
        <w:rPr>
          <w:rFonts w:ascii="Segoe UI" w:hAnsi="Segoe UI" w:cs="Segoe UI" w:eastAsia="Segoe UI"/>
          <w:sz w:val="16"/>
          <w:szCs w:val="16"/>
        </w:rPr>
      </w:pPr>
      <w:r>
        <w:rPr>
          <w:rFonts w:ascii="Segoe UI"/>
          <w:color w:val="231F20"/>
          <w:spacing w:val="-1"/>
          <w:sz w:val="16"/>
        </w:rPr>
        <w:t>Rogers,</w:t>
      </w:r>
      <w:r>
        <w:rPr>
          <w:rFonts w:ascii="Segoe UI"/>
          <w:color w:val="231F20"/>
          <w:spacing w:val="-3"/>
          <w:sz w:val="16"/>
        </w:rPr>
        <w:t> </w:t>
      </w:r>
      <w:r>
        <w:rPr>
          <w:rFonts w:ascii="Segoe UI"/>
          <w:color w:val="231F20"/>
          <w:sz w:val="16"/>
        </w:rPr>
        <w:t>Jessa,</w:t>
      </w:r>
      <w:r>
        <w:rPr>
          <w:rFonts w:ascii="Segoe UI"/>
          <w:color w:val="231F20"/>
          <w:spacing w:val="-2"/>
          <w:sz w:val="16"/>
        </w:rPr>
        <w:t> </w:t>
      </w:r>
      <w:r>
        <w:rPr>
          <w:rFonts w:ascii="Segoe UI"/>
          <w:i/>
          <w:color w:val="231F20"/>
          <w:spacing w:val="-1"/>
          <w:sz w:val="16"/>
        </w:rPr>
        <w:t>We </w:t>
      </w:r>
      <w:r>
        <w:rPr>
          <w:rFonts w:ascii="Segoe UI"/>
          <w:i/>
          <w:color w:val="231F20"/>
          <w:sz w:val="16"/>
        </w:rPr>
        <w:t>need</w:t>
      </w:r>
      <w:r>
        <w:rPr>
          <w:rFonts w:ascii="Segoe UI"/>
          <w:i/>
          <w:color w:val="231F20"/>
          <w:spacing w:val="-1"/>
          <w:sz w:val="16"/>
        </w:rPr>
        <w:t> to</w:t>
      </w:r>
      <w:r>
        <w:rPr>
          <w:rFonts w:ascii="Segoe UI"/>
          <w:i/>
          <w:color w:val="231F20"/>
          <w:spacing w:val="-2"/>
          <w:sz w:val="16"/>
        </w:rPr>
        <w:t> </w:t>
      </w:r>
      <w:r>
        <w:rPr>
          <w:rFonts w:ascii="Segoe UI"/>
          <w:i/>
          <w:color w:val="231F20"/>
          <w:spacing w:val="-1"/>
          <w:sz w:val="16"/>
        </w:rPr>
        <w:t>know</w:t>
      </w:r>
      <w:r>
        <w:rPr>
          <w:rFonts w:ascii="Segoe UI"/>
          <w:i/>
          <w:color w:val="231F20"/>
          <w:spacing w:val="-2"/>
          <w:sz w:val="16"/>
        </w:rPr>
        <w:t> </w:t>
      </w:r>
      <w:r>
        <w:rPr>
          <w:rFonts w:ascii="Segoe UI"/>
          <w:i/>
          <w:color w:val="231F20"/>
          <w:spacing w:val="-1"/>
          <w:sz w:val="16"/>
        </w:rPr>
        <w:t>the true</w:t>
      </w:r>
      <w:r>
        <w:rPr>
          <w:rFonts w:ascii="Segoe UI"/>
          <w:i/>
          <w:color w:val="231F20"/>
          <w:spacing w:val="-2"/>
          <w:sz w:val="16"/>
        </w:rPr>
        <w:t> cost</w:t>
      </w:r>
      <w:r>
        <w:rPr>
          <w:rFonts w:ascii="Segoe UI"/>
          <w:i/>
          <w:color w:val="231F20"/>
          <w:spacing w:val="29"/>
          <w:sz w:val="16"/>
        </w:rPr>
        <w:t> </w:t>
      </w:r>
      <w:r>
        <w:rPr>
          <w:rFonts w:ascii="Segoe UI"/>
          <w:i/>
          <w:color w:val="231F20"/>
          <w:spacing w:val="-2"/>
          <w:sz w:val="16"/>
        </w:rPr>
        <w:t>of </w:t>
      </w:r>
      <w:r>
        <w:rPr>
          <w:rFonts w:ascii="Segoe UI"/>
          <w:i/>
          <w:color w:val="231F20"/>
          <w:spacing w:val="-1"/>
          <w:sz w:val="16"/>
        </w:rPr>
        <w:t>Indigenous</w:t>
      </w:r>
      <w:r>
        <w:rPr>
          <w:rFonts w:ascii="Segoe UI"/>
          <w:i/>
          <w:color w:val="231F20"/>
          <w:spacing w:val="-2"/>
          <w:sz w:val="16"/>
        </w:rPr>
        <w:t> </w:t>
      </w:r>
      <w:r>
        <w:rPr>
          <w:rFonts w:ascii="Segoe UI"/>
          <w:i/>
          <w:color w:val="231F20"/>
          <w:spacing w:val="-1"/>
          <w:sz w:val="16"/>
        </w:rPr>
        <w:t>boarding</w:t>
      </w:r>
      <w:r>
        <w:rPr>
          <w:rFonts w:ascii="Segoe UI"/>
          <w:i/>
          <w:color w:val="231F20"/>
          <w:spacing w:val="-2"/>
          <w:sz w:val="16"/>
        </w:rPr>
        <w:t> </w:t>
      </w:r>
      <w:r>
        <w:rPr>
          <w:rFonts w:ascii="Segoe UI"/>
          <w:i/>
          <w:color w:val="231F20"/>
          <w:spacing w:val="-1"/>
          <w:sz w:val="16"/>
        </w:rPr>
        <w:t>school scholarships</w:t>
      </w:r>
      <w:r>
        <w:rPr>
          <w:rFonts w:ascii="Segoe UI"/>
          <w:i/>
          <w:color w:val="231F20"/>
          <w:spacing w:val="-2"/>
          <w:sz w:val="16"/>
        </w:rPr>
        <w:t> </w:t>
      </w:r>
      <w:r>
        <w:rPr>
          <w:rFonts w:ascii="Segoe UI"/>
          <w:i/>
          <w:color w:val="231F20"/>
          <w:spacing w:val="-1"/>
          <w:sz w:val="16"/>
        </w:rPr>
        <w:t>on</w:t>
      </w:r>
      <w:r>
        <w:rPr>
          <w:rFonts w:ascii="Segoe UI"/>
          <w:i/>
          <w:color w:val="231F20"/>
          <w:spacing w:val="40"/>
          <w:sz w:val="16"/>
        </w:rPr>
        <w:t> </w:t>
      </w:r>
      <w:r>
        <w:rPr>
          <w:rFonts w:ascii="Segoe UI"/>
          <w:i/>
          <w:color w:val="231F20"/>
          <w:spacing w:val="-1"/>
          <w:sz w:val="16"/>
        </w:rPr>
        <w:t>communities</w:t>
      </w:r>
      <w:r>
        <w:rPr>
          <w:rFonts w:ascii="Segoe UI"/>
          <w:color w:val="231F20"/>
          <w:spacing w:val="-1"/>
          <w:sz w:val="16"/>
        </w:rPr>
        <w:t>,</w:t>
      </w:r>
      <w:r>
        <w:rPr>
          <w:rFonts w:ascii="Segoe UI"/>
          <w:color w:val="231F20"/>
          <w:spacing w:val="-5"/>
          <w:sz w:val="16"/>
        </w:rPr>
        <w:t> </w:t>
      </w:r>
      <w:r>
        <w:rPr>
          <w:rFonts w:ascii="Segoe UI"/>
          <w:color w:val="231F20"/>
          <w:sz w:val="16"/>
        </w:rPr>
        <w:t>The</w:t>
      </w:r>
      <w:r>
        <w:rPr>
          <w:rFonts w:ascii="Segoe UI"/>
          <w:color w:val="231F20"/>
          <w:spacing w:val="-5"/>
          <w:sz w:val="16"/>
        </w:rPr>
        <w:t> </w:t>
      </w:r>
      <w:r>
        <w:rPr>
          <w:rFonts w:ascii="Segoe UI"/>
          <w:color w:val="231F20"/>
          <w:spacing w:val="-1"/>
          <w:sz w:val="16"/>
        </w:rPr>
        <w:t>Conversation,</w:t>
      </w:r>
      <w:r>
        <w:rPr>
          <w:rFonts w:ascii="Segoe UI"/>
          <w:color w:val="231F20"/>
          <w:spacing w:val="-5"/>
          <w:sz w:val="16"/>
        </w:rPr>
        <w:t> </w:t>
      </w:r>
      <w:r>
        <w:rPr>
          <w:rFonts w:ascii="Segoe UI"/>
          <w:color w:val="231F20"/>
          <w:spacing w:val="-1"/>
          <w:sz w:val="16"/>
        </w:rPr>
        <w:t>13</w:t>
      </w:r>
      <w:r>
        <w:rPr>
          <w:rFonts w:ascii="Segoe UI"/>
          <w:color w:val="231F20"/>
          <w:spacing w:val="-5"/>
          <w:sz w:val="16"/>
        </w:rPr>
        <w:t> </w:t>
      </w:r>
      <w:r>
        <w:rPr>
          <w:rFonts w:ascii="Segoe UI"/>
          <w:color w:val="231F20"/>
          <w:sz w:val="16"/>
        </w:rPr>
        <w:t>June</w:t>
      </w:r>
      <w:r>
        <w:rPr>
          <w:rFonts w:ascii="Segoe UI"/>
          <w:color w:val="231F20"/>
          <w:spacing w:val="-4"/>
          <w:sz w:val="16"/>
        </w:rPr>
        <w:t> </w:t>
      </w:r>
      <w:r>
        <w:rPr>
          <w:rFonts w:ascii="Segoe UI"/>
          <w:color w:val="231F20"/>
          <w:spacing w:val="-1"/>
          <w:sz w:val="16"/>
        </w:rPr>
        <w:t>2017,</w:t>
      </w:r>
      <w:r>
        <w:rPr>
          <w:rFonts w:ascii="Segoe UI"/>
          <w:color w:val="231F20"/>
          <w:spacing w:val="23"/>
          <w:sz w:val="16"/>
        </w:rPr>
        <w:t> </w:t>
      </w:r>
      <w:r>
        <w:rPr>
          <w:rFonts w:ascii="Segoe UI"/>
          <w:color w:val="231F20"/>
          <w:sz w:val="16"/>
        </w:rPr>
        <w:t>accessed</w:t>
      </w:r>
      <w:r>
        <w:rPr>
          <w:rFonts w:ascii="Segoe UI"/>
          <w:color w:val="231F20"/>
          <w:spacing w:val="-4"/>
          <w:sz w:val="16"/>
        </w:rPr>
        <w:t> </w:t>
      </w:r>
      <w:r>
        <w:rPr>
          <w:rFonts w:ascii="Segoe UI"/>
          <w:color w:val="231F20"/>
          <w:sz w:val="16"/>
        </w:rPr>
        <w:t>9</w:t>
      </w:r>
      <w:r>
        <w:rPr>
          <w:rFonts w:ascii="Segoe UI"/>
          <w:color w:val="231F20"/>
          <w:spacing w:val="-3"/>
          <w:sz w:val="16"/>
        </w:rPr>
        <w:t> </w:t>
      </w:r>
      <w:r>
        <w:rPr>
          <w:rFonts w:ascii="Segoe UI"/>
          <w:color w:val="231F20"/>
          <w:sz w:val="16"/>
        </w:rPr>
        <w:t>May</w:t>
      </w:r>
      <w:r>
        <w:rPr>
          <w:rFonts w:ascii="Segoe UI"/>
          <w:color w:val="231F20"/>
          <w:spacing w:val="-2"/>
          <w:sz w:val="16"/>
        </w:rPr>
        <w:t> </w:t>
      </w:r>
      <w:r>
        <w:rPr>
          <w:rFonts w:ascii="Segoe UI"/>
          <w:color w:val="231F20"/>
          <w:spacing w:val="-1"/>
          <w:sz w:val="16"/>
        </w:rPr>
        <w:t>2018.</w:t>
      </w:r>
      <w:r>
        <w:rPr>
          <w:rFonts w:ascii="Segoe UI"/>
          <w:color w:val="231F20"/>
          <w:spacing w:val="-3"/>
          <w:sz w:val="16"/>
        </w:rPr>
        <w:t> </w:t>
      </w:r>
      <w:r>
        <w:rPr>
          <w:rFonts w:ascii="Segoe UI"/>
          <w:color w:val="231F20"/>
          <w:spacing w:val="-1"/>
          <w:sz w:val="16"/>
        </w:rPr>
        <w:t>Available</w:t>
      </w:r>
      <w:r>
        <w:rPr>
          <w:rFonts w:ascii="Segoe UI"/>
          <w:color w:val="231F20"/>
          <w:spacing w:val="-2"/>
          <w:sz w:val="16"/>
        </w:rPr>
        <w:t> </w:t>
      </w:r>
      <w:r>
        <w:rPr>
          <w:rFonts w:ascii="Segoe UI"/>
          <w:color w:val="231F20"/>
          <w:sz w:val="16"/>
        </w:rPr>
        <w:t>at:</w:t>
      </w:r>
      <w:r>
        <w:rPr>
          <w:rFonts w:ascii="Segoe UI"/>
          <w:color w:val="231F20"/>
          <w:spacing w:val="-4"/>
          <w:sz w:val="16"/>
        </w:rPr>
        <w:t> </w:t>
      </w:r>
      <w:r>
        <w:rPr>
          <w:rFonts w:ascii="Segoe UI"/>
          <w:color w:val="3853A4"/>
          <w:spacing w:val="-4"/>
          <w:sz w:val="16"/>
        </w:rPr>
      </w:r>
      <w:r>
        <w:rPr>
          <w:rFonts w:ascii="Segoe UI"/>
          <w:color w:val="3853A4"/>
          <w:sz w:val="16"/>
          <w:u w:val="single" w:color="3853A4"/>
        </w:rPr>
        <w:t>https://</w:t>
      </w:r>
      <w:r>
        <w:rPr>
          <w:rFonts w:ascii="Segoe UI"/>
          <w:color w:val="3853A4"/>
          <w:w w:val="99"/>
          <w:sz w:val="16"/>
        </w:rPr>
      </w:r>
      <w:r>
        <w:rPr>
          <w:rFonts w:ascii="Segoe UI"/>
          <w:sz w:val="16"/>
        </w:rPr>
      </w:r>
    </w:p>
    <w:p>
      <w:pPr>
        <w:spacing w:line="200" w:lineRule="exact" w:before="0"/>
        <w:ind w:left="667" w:right="208" w:firstLine="0"/>
        <w:jc w:val="left"/>
        <w:rPr>
          <w:rFonts w:ascii="Segoe UI" w:hAnsi="Segoe UI" w:cs="Segoe UI" w:eastAsia="Segoe UI"/>
          <w:sz w:val="16"/>
          <w:szCs w:val="16"/>
        </w:rPr>
      </w:pPr>
      <w:r>
        <w:rPr>
          <w:rFonts w:ascii="Segoe UI"/>
          <w:color w:val="3853A4"/>
          <w:w w:val="99"/>
          <w:sz w:val="16"/>
        </w:rPr>
      </w:r>
      <w:r>
        <w:rPr>
          <w:rFonts w:ascii="Segoe UI"/>
          <w:color w:val="3853A4"/>
          <w:sz w:val="16"/>
          <w:u w:val="single" w:color="3853A4"/>
        </w:rPr>
        <w:t>theconversation.com/we-need-to-know-the-true-</w:t>
      </w:r>
      <w:r>
        <w:rPr>
          <w:rFonts w:ascii="Segoe UI"/>
          <w:color w:val="3853A4"/>
          <w:w w:val="99"/>
          <w:sz w:val="16"/>
        </w:rPr>
      </w:r>
      <w:r>
        <w:rPr>
          <w:rFonts w:ascii="Segoe UI"/>
          <w:color w:val="3853A4"/>
          <w:w w:val="99"/>
          <w:sz w:val="16"/>
        </w:rPr>
        <w:t> </w:t>
      </w:r>
      <w:r>
        <w:rPr>
          <w:rFonts w:ascii="Segoe UI"/>
          <w:color w:val="3853A4"/>
          <w:w w:val="95"/>
          <w:sz w:val="16"/>
          <w:u w:val="single" w:color="3853A4"/>
        </w:rPr>
        <w:t>cost-of-indigenous-boarding-school-scholarships-</w:t>
      </w:r>
      <w:r>
        <w:rPr>
          <w:rFonts w:ascii="Segoe UI"/>
          <w:color w:val="3853A4"/>
          <w:w w:val="99"/>
          <w:sz w:val="16"/>
        </w:rPr>
      </w:r>
      <w:r>
        <w:rPr>
          <w:rFonts w:ascii="Segoe UI"/>
          <w:color w:val="3853A4"/>
          <w:w w:val="99"/>
          <w:sz w:val="16"/>
        </w:rPr>
        <w:t> </w:t>
      </w:r>
      <w:r>
        <w:rPr>
          <w:rFonts w:ascii="Segoe UI"/>
          <w:color w:val="3853A4"/>
          <w:sz w:val="16"/>
        </w:rPr>
      </w:r>
      <w:r>
        <w:rPr>
          <w:rFonts w:ascii="Segoe UI"/>
          <w:color w:val="3853A4"/>
          <w:sz w:val="16"/>
          <w:u w:val="single" w:color="3853A4"/>
        </w:rPr>
        <w:t>on-communities-74622</w:t>
      </w:r>
      <w:r>
        <w:rPr>
          <w:rFonts w:ascii="Segoe UI"/>
          <w:color w:val="3853A4"/>
          <w:sz w:val="16"/>
        </w:rPr>
      </w:r>
      <w:r>
        <w:rPr>
          <w:rFonts w:ascii="Segoe UI"/>
          <w:sz w:val="16"/>
        </w:rPr>
      </w:r>
    </w:p>
    <w:p>
      <w:pPr>
        <w:numPr>
          <w:ilvl w:val="0"/>
          <w:numId w:val="11"/>
        </w:numPr>
        <w:tabs>
          <w:tab w:pos="668" w:val="left" w:leader="none"/>
        </w:tabs>
        <w:spacing w:line="200" w:lineRule="exact" w:before="113"/>
        <w:ind w:left="667" w:right="115" w:hanging="567"/>
        <w:jc w:val="left"/>
        <w:rPr>
          <w:rFonts w:ascii="Segoe UI" w:hAnsi="Segoe UI" w:cs="Segoe UI" w:eastAsia="Segoe UI"/>
          <w:sz w:val="16"/>
          <w:szCs w:val="16"/>
        </w:rPr>
      </w:pPr>
      <w:r>
        <w:rPr>
          <w:rFonts w:ascii="Segoe UI" w:hAnsi="Segoe UI" w:cs="Segoe UI" w:eastAsia="Segoe UI"/>
          <w:color w:val="231F20"/>
          <w:sz w:val="16"/>
          <w:szCs w:val="16"/>
        </w:rPr>
        <w:t>Attendance</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is</w:t>
      </w:r>
      <w:r>
        <w:rPr>
          <w:rFonts w:ascii="Segoe UI" w:hAnsi="Segoe UI" w:cs="Segoe UI" w:eastAsia="Segoe UI"/>
          <w:color w:val="231F20"/>
          <w:spacing w:val="-5"/>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4"/>
          <w:sz w:val="16"/>
          <w:szCs w:val="16"/>
        </w:rPr>
        <w:t> </w:t>
      </w:r>
      <w:r>
        <w:rPr>
          <w:rFonts w:ascii="Segoe UI" w:hAnsi="Segoe UI" w:cs="Segoe UI" w:eastAsia="Segoe UI"/>
          <w:color w:val="231F20"/>
          <w:sz w:val="16"/>
          <w:szCs w:val="16"/>
        </w:rPr>
        <w:t>number</w:t>
      </w:r>
      <w:r>
        <w:rPr>
          <w:rFonts w:ascii="Segoe UI" w:hAnsi="Segoe UI" w:cs="Segoe UI" w:eastAsia="Segoe UI"/>
          <w:color w:val="231F20"/>
          <w:spacing w:val="-5"/>
          <w:sz w:val="16"/>
          <w:szCs w:val="16"/>
        </w:rPr>
        <w:t> </w:t>
      </w:r>
      <w:r>
        <w:rPr>
          <w:rFonts w:ascii="Segoe UI" w:hAnsi="Segoe UI" w:cs="Segoe UI" w:eastAsia="Segoe UI"/>
          <w:color w:val="231F20"/>
          <w:sz w:val="16"/>
          <w:szCs w:val="16"/>
        </w:rPr>
        <w:t>of</w:t>
      </w:r>
      <w:r>
        <w:rPr>
          <w:rFonts w:ascii="Segoe UI" w:hAnsi="Segoe UI" w:cs="Segoe UI" w:eastAsia="Segoe UI"/>
          <w:color w:val="231F20"/>
          <w:spacing w:val="-4"/>
          <w:sz w:val="16"/>
          <w:szCs w:val="16"/>
        </w:rPr>
        <w:t> </w:t>
      </w:r>
      <w:r>
        <w:rPr>
          <w:rFonts w:ascii="Segoe UI" w:hAnsi="Segoe UI" w:cs="Segoe UI" w:eastAsia="Segoe UI"/>
          <w:color w:val="231F20"/>
          <w:sz w:val="16"/>
          <w:szCs w:val="16"/>
        </w:rPr>
        <w:t>actual</w:t>
      </w:r>
      <w:r>
        <w:rPr>
          <w:rFonts w:ascii="Segoe UI" w:hAnsi="Segoe UI" w:cs="Segoe UI" w:eastAsia="Segoe UI"/>
          <w:color w:val="231F20"/>
          <w:spacing w:val="-5"/>
          <w:sz w:val="16"/>
          <w:szCs w:val="16"/>
        </w:rPr>
        <w:t> </w:t>
      </w:r>
      <w:r>
        <w:rPr>
          <w:rFonts w:ascii="Segoe UI" w:hAnsi="Segoe UI" w:cs="Segoe UI" w:eastAsia="Segoe UI"/>
          <w:color w:val="231F20"/>
          <w:sz w:val="16"/>
          <w:szCs w:val="16"/>
        </w:rPr>
        <w:t>full-time</w:t>
      </w:r>
      <w:r>
        <w:rPr>
          <w:rFonts w:ascii="Segoe UI" w:hAnsi="Segoe UI" w:cs="Segoe UI" w:eastAsia="Segoe UI"/>
          <w:color w:val="231F20"/>
          <w:spacing w:val="21"/>
          <w:sz w:val="16"/>
          <w:szCs w:val="16"/>
        </w:rPr>
        <w:t> </w:t>
      </w:r>
      <w:r>
        <w:rPr>
          <w:rFonts w:ascii="Segoe UI" w:hAnsi="Segoe UI" w:cs="Segoe UI" w:eastAsia="Segoe UI"/>
          <w:color w:val="231F20"/>
          <w:sz w:val="16"/>
          <w:szCs w:val="16"/>
        </w:rPr>
        <w:t>equivalent</w:t>
      </w:r>
      <w:r>
        <w:rPr>
          <w:rFonts w:ascii="Segoe UI" w:hAnsi="Segoe UI" w:cs="Segoe UI" w:eastAsia="Segoe UI"/>
          <w:color w:val="231F20"/>
          <w:spacing w:val="-6"/>
          <w:sz w:val="16"/>
          <w:szCs w:val="16"/>
        </w:rPr>
        <w:t> </w:t>
      </w:r>
      <w:r>
        <w:rPr>
          <w:rFonts w:ascii="Segoe UI" w:hAnsi="Segoe UI" w:cs="Segoe UI" w:eastAsia="Segoe UI"/>
          <w:color w:val="231F20"/>
          <w:spacing w:val="-1"/>
          <w:sz w:val="16"/>
          <w:szCs w:val="16"/>
        </w:rPr>
        <w:t>student</w:t>
      </w:r>
      <w:r>
        <w:rPr>
          <w:rFonts w:ascii="Segoe UI" w:hAnsi="Segoe UI" w:cs="Segoe UI" w:eastAsia="Segoe UI"/>
          <w:color w:val="231F20"/>
          <w:spacing w:val="-5"/>
          <w:sz w:val="16"/>
          <w:szCs w:val="16"/>
        </w:rPr>
        <w:t> </w:t>
      </w:r>
      <w:r>
        <w:rPr>
          <w:rFonts w:ascii="Segoe UI" w:hAnsi="Segoe UI" w:cs="Segoe UI" w:eastAsia="Segoe UI"/>
          <w:color w:val="231F20"/>
          <w:sz w:val="16"/>
          <w:szCs w:val="16"/>
        </w:rPr>
        <w:t>days</w:t>
      </w:r>
      <w:r>
        <w:rPr>
          <w:rFonts w:ascii="Segoe UI" w:hAnsi="Segoe UI" w:cs="Segoe UI" w:eastAsia="Segoe UI"/>
          <w:color w:val="231F20"/>
          <w:spacing w:val="-6"/>
          <w:sz w:val="16"/>
          <w:szCs w:val="16"/>
        </w:rPr>
        <w:t> </w:t>
      </w:r>
      <w:r>
        <w:rPr>
          <w:rFonts w:ascii="Segoe UI" w:hAnsi="Segoe UI" w:cs="Segoe UI" w:eastAsia="Segoe UI"/>
          <w:color w:val="231F20"/>
          <w:sz w:val="16"/>
          <w:szCs w:val="16"/>
        </w:rPr>
        <w:t>attended</w:t>
      </w:r>
      <w:r>
        <w:rPr>
          <w:rFonts w:ascii="Segoe UI" w:hAnsi="Segoe UI" w:cs="Segoe UI" w:eastAsia="Segoe UI"/>
          <w:color w:val="231F20"/>
          <w:spacing w:val="-6"/>
          <w:sz w:val="16"/>
          <w:szCs w:val="16"/>
        </w:rPr>
        <w:t> </w:t>
      </w:r>
      <w:r>
        <w:rPr>
          <w:rFonts w:ascii="Segoe UI" w:hAnsi="Segoe UI" w:cs="Segoe UI" w:eastAsia="Segoe UI"/>
          <w:color w:val="231F20"/>
          <w:sz w:val="16"/>
          <w:szCs w:val="16"/>
        </w:rPr>
        <w:t>by</w:t>
      </w:r>
      <w:r>
        <w:rPr>
          <w:rFonts w:ascii="Segoe UI" w:hAnsi="Segoe UI" w:cs="Segoe UI" w:eastAsia="Segoe UI"/>
          <w:color w:val="231F20"/>
          <w:spacing w:val="-4"/>
          <w:sz w:val="16"/>
          <w:szCs w:val="16"/>
        </w:rPr>
        <w:t> </w:t>
      </w:r>
      <w:r>
        <w:rPr>
          <w:rFonts w:ascii="Segoe UI" w:hAnsi="Segoe UI" w:cs="Segoe UI" w:eastAsia="Segoe UI"/>
          <w:color w:val="231F20"/>
          <w:sz w:val="16"/>
          <w:szCs w:val="16"/>
        </w:rPr>
        <w:t>full-time</w:t>
      </w:r>
      <w:r>
        <w:rPr>
          <w:rFonts w:ascii="Segoe UI" w:hAnsi="Segoe UI" w:cs="Segoe UI" w:eastAsia="Segoe UI"/>
          <w:color w:val="231F20"/>
          <w:spacing w:val="22"/>
          <w:sz w:val="16"/>
          <w:szCs w:val="16"/>
        </w:rPr>
        <w:t> </w:t>
      </w:r>
      <w:r>
        <w:rPr>
          <w:rFonts w:ascii="Segoe UI" w:hAnsi="Segoe UI" w:cs="Segoe UI" w:eastAsia="Segoe UI"/>
          <w:color w:val="231F20"/>
          <w:spacing w:val="-1"/>
          <w:sz w:val="16"/>
          <w:szCs w:val="16"/>
        </w:rPr>
        <w:t>students</w:t>
      </w:r>
      <w:r>
        <w:rPr>
          <w:rFonts w:ascii="Segoe UI" w:hAnsi="Segoe UI" w:cs="Segoe UI" w:eastAsia="Segoe UI"/>
          <w:color w:val="231F20"/>
          <w:spacing w:val="-3"/>
          <w:sz w:val="16"/>
          <w:szCs w:val="16"/>
        </w:rPr>
        <w:t> </w:t>
      </w:r>
      <w:r>
        <w:rPr>
          <w:rFonts w:ascii="Segoe UI" w:hAnsi="Segoe UI" w:cs="Segoe UI" w:eastAsia="Segoe UI"/>
          <w:color w:val="231F20"/>
          <w:sz w:val="16"/>
          <w:szCs w:val="16"/>
        </w:rPr>
        <w:t>as</w:t>
      </w:r>
      <w:r>
        <w:rPr>
          <w:rFonts w:ascii="Segoe UI" w:hAnsi="Segoe UI" w:cs="Segoe UI" w:eastAsia="Segoe UI"/>
          <w:color w:val="231F20"/>
          <w:spacing w:val="-4"/>
          <w:sz w:val="16"/>
          <w:szCs w:val="16"/>
        </w:rPr>
        <w:t> </w:t>
      </w:r>
      <w:r>
        <w:rPr>
          <w:rFonts w:ascii="Segoe UI" w:hAnsi="Segoe UI" w:cs="Segoe UI" w:eastAsia="Segoe UI"/>
          <w:color w:val="231F20"/>
          <w:sz w:val="16"/>
          <w:szCs w:val="16"/>
        </w:rPr>
        <w:t>a</w:t>
      </w:r>
      <w:r>
        <w:rPr>
          <w:rFonts w:ascii="Segoe UI" w:hAnsi="Segoe UI" w:cs="Segoe UI" w:eastAsia="Segoe UI"/>
          <w:color w:val="231F20"/>
          <w:spacing w:val="-3"/>
          <w:sz w:val="16"/>
          <w:szCs w:val="16"/>
        </w:rPr>
        <w:t> </w:t>
      </w:r>
      <w:r>
        <w:rPr>
          <w:rFonts w:ascii="Segoe UI" w:hAnsi="Segoe UI" w:cs="Segoe UI" w:eastAsia="Segoe UI"/>
          <w:color w:val="231F20"/>
          <w:sz w:val="16"/>
          <w:szCs w:val="16"/>
        </w:rPr>
        <w:t>percentage</w:t>
      </w:r>
      <w:r>
        <w:rPr>
          <w:rFonts w:ascii="Segoe UI" w:hAnsi="Segoe UI" w:cs="Segoe UI" w:eastAsia="Segoe UI"/>
          <w:color w:val="231F20"/>
          <w:spacing w:val="-4"/>
          <w:sz w:val="16"/>
          <w:szCs w:val="16"/>
        </w:rPr>
        <w:t> </w:t>
      </w:r>
      <w:r>
        <w:rPr>
          <w:rFonts w:ascii="Segoe UI" w:hAnsi="Segoe UI" w:cs="Segoe UI" w:eastAsia="Segoe UI"/>
          <w:color w:val="231F20"/>
          <w:sz w:val="16"/>
          <w:szCs w:val="16"/>
        </w:rPr>
        <w:t>of</w:t>
      </w:r>
      <w:r>
        <w:rPr>
          <w:rFonts w:ascii="Segoe UI" w:hAnsi="Segoe UI" w:cs="Segoe UI" w:eastAsia="Segoe UI"/>
          <w:color w:val="231F20"/>
          <w:spacing w:val="-3"/>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4"/>
          <w:sz w:val="16"/>
          <w:szCs w:val="16"/>
        </w:rPr>
        <w:t> </w:t>
      </w:r>
      <w:r>
        <w:rPr>
          <w:rFonts w:ascii="Segoe UI" w:hAnsi="Segoe UI" w:cs="Segoe UI" w:eastAsia="Segoe UI"/>
          <w:color w:val="231F20"/>
          <w:sz w:val="16"/>
          <w:szCs w:val="16"/>
        </w:rPr>
        <w:t>total</w:t>
      </w:r>
      <w:r>
        <w:rPr>
          <w:rFonts w:ascii="Segoe UI" w:hAnsi="Segoe UI" w:cs="Segoe UI" w:eastAsia="Segoe UI"/>
          <w:color w:val="231F20"/>
          <w:spacing w:val="-3"/>
          <w:sz w:val="16"/>
          <w:szCs w:val="16"/>
        </w:rPr>
        <w:t> </w:t>
      </w:r>
      <w:r>
        <w:rPr>
          <w:rFonts w:ascii="Segoe UI" w:hAnsi="Segoe UI" w:cs="Segoe UI" w:eastAsia="Segoe UI"/>
          <w:color w:val="231F20"/>
          <w:sz w:val="16"/>
          <w:szCs w:val="16"/>
        </w:rPr>
        <w:t>number</w:t>
      </w:r>
      <w:r>
        <w:rPr>
          <w:rFonts w:ascii="Segoe UI" w:hAnsi="Segoe UI" w:cs="Segoe UI" w:eastAsia="Segoe UI"/>
          <w:color w:val="231F20"/>
          <w:spacing w:val="-4"/>
          <w:sz w:val="16"/>
          <w:szCs w:val="16"/>
        </w:rPr>
        <w:t> </w:t>
      </w:r>
      <w:r>
        <w:rPr>
          <w:rFonts w:ascii="Segoe UI" w:hAnsi="Segoe UI" w:cs="Segoe UI" w:eastAsia="Segoe UI"/>
          <w:color w:val="231F20"/>
          <w:sz w:val="16"/>
          <w:szCs w:val="16"/>
        </w:rPr>
        <w:t>of</w:t>
      </w:r>
      <w:r>
        <w:rPr>
          <w:rFonts w:ascii="Segoe UI" w:hAnsi="Segoe UI" w:cs="Segoe UI" w:eastAsia="Segoe UI"/>
          <w:color w:val="231F20"/>
          <w:spacing w:val="22"/>
          <w:w w:val="99"/>
          <w:sz w:val="16"/>
          <w:szCs w:val="16"/>
        </w:rPr>
        <w:t> </w:t>
      </w:r>
      <w:r>
        <w:rPr>
          <w:rFonts w:ascii="Segoe UI" w:hAnsi="Segoe UI" w:cs="Segoe UI" w:eastAsia="Segoe UI"/>
          <w:color w:val="231F20"/>
          <w:sz w:val="16"/>
          <w:szCs w:val="16"/>
        </w:rPr>
        <w:t>possible</w:t>
      </w:r>
      <w:r>
        <w:rPr>
          <w:rFonts w:ascii="Segoe UI" w:hAnsi="Segoe UI" w:cs="Segoe UI" w:eastAsia="Segoe UI"/>
          <w:color w:val="231F20"/>
          <w:spacing w:val="-6"/>
          <w:sz w:val="16"/>
          <w:szCs w:val="16"/>
        </w:rPr>
        <w:t> </w:t>
      </w:r>
      <w:r>
        <w:rPr>
          <w:rFonts w:ascii="Segoe UI" w:hAnsi="Segoe UI" w:cs="Segoe UI" w:eastAsia="Segoe UI"/>
          <w:color w:val="231F20"/>
          <w:spacing w:val="-1"/>
          <w:sz w:val="16"/>
          <w:szCs w:val="16"/>
        </w:rPr>
        <w:t>student</w:t>
      </w:r>
      <w:r>
        <w:rPr>
          <w:rFonts w:ascii="Segoe UI" w:hAnsi="Segoe UI" w:cs="Segoe UI" w:eastAsia="Segoe UI"/>
          <w:color w:val="231F20"/>
          <w:spacing w:val="-5"/>
          <w:sz w:val="16"/>
          <w:szCs w:val="16"/>
        </w:rPr>
        <w:t> </w:t>
      </w:r>
      <w:r>
        <w:rPr>
          <w:rFonts w:ascii="Segoe UI" w:hAnsi="Segoe UI" w:cs="Segoe UI" w:eastAsia="Segoe UI"/>
          <w:color w:val="231F20"/>
          <w:sz w:val="16"/>
          <w:szCs w:val="16"/>
        </w:rPr>
        <w:t>days</w:t>
      </w:r>
      <w:r>
        <w:rPr>
          <w:rFonts w:ascii="Segoe UI" w:hAnsi="Segoe UI" w:cs="Segoe UI" w:eastAsia="Segoe UI"/>
          <w:color w:val="231F20"/>
          <w:spacing w:val="-5"/>
          <w:sz w:val="16"/>
          <w:szCs w:val="16"/>
        </w:rPr>
        <w:t> </w:t>
      </w:r>
      <w:r>
        <w:rPr>
          <w:rFonts w:ascii="Segoe UI" w:hAnsi="Segoe UI" w:cs="Segoe UI" w:eastAsia="Segoe UI"/>
          <w:color w:val="231F20"/>
          <w:sz w:val="16"/>
          <w:szCs w:val="16"/>
        </w:rPr>
        <w:t>attended</w:t>
      </w:r>
      <w:r>
        <w:rPr>
          <w:rFonts w:ascii="Segoe UI" w:hAnsi="Segoe UI" w:cs="Segoe UI" w:eastAsia="Segoe UI"/>
          <w:color w:val="231F20"/>
          <w:spacing w:val="-6"/>
          <w:sz w:val="16"/>
          <w:szCs w:val="16"/>
        </w:rPr>
        <w:t> </w:t>
      </w:r>
      <w:r>
        <w:rPr>
          <w:rFonts w:ascii="Segoe UI" w:hAnsi="Segoe UI" w:cs="Segoe UI" w:eastAsia="Segoe UI"/>
          <w:color w:val="231F20"/>
          <w:sz w:val="16"/>
          <w:szCs w:val="16"/>
        </w:rPr>
        <w:t>over</w:t>
      </w:r>
      <w:r>
        <w:rPr>
          <w:rFonts w:ascii="Segoe UI" w:hAnsi="Segoe UI" w:cs="Segoe UI" w:eastAsia="Segoe UI"/>
          <w:color w:val="231F20"/>
          <w:spacing w:val="-5"/>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5"/>
          <w:sz w:val="16"/>
          <w:szCs w:val="16"/>
        </w:rPr>
        <w:t> </w:t>
      </w:r>
      <w:r>
        <w:rPr>
          <w:rFonts w:ascii="Segoe UI" w:hAnsi="Segoe UI" w:cs="Segoe UI" w:eastAsia="Segoe UI"/>
          <w:color w:val="231F20"/>
          <w:sz w:val="16"/>
          <w:szCs w:val="16"/>
        </w:rPr>
        <w:t>(reporting)</w:t>
      </w:r>
      <w:r>
        <w:rPr>
          <w:rFonts w:ascii="Segoe UI" w:hAnsi="Segoe UI" w:cs="Segoe UI" w:eastAsia="Segoe UI"/>
          <w:color w:val="231F20"/>
          <w:spacing w:val="22"/>
          <w:w w:val="99"/>
          <w:sz w:val="16"/>
          <w:szCs w:val="16"/>
        </w:rPr>
        <w:t> </w:t>
      </w:r>
      <w:r>
        <w:rPr>
          <w:rFonts w:ascii="Segoe UI" w:hAnsi="Segoe UI" w:cs="Segoe UI" w:eastAsia="Segoe UI"/>
          <w:color w:val="231F20"/>
          <w:sz w:val="16"/>
          <w:szCs w:val="16"/>
        </w:rPr>
        <w:t>period.</w:t>
      </w:r>
      <w:r>
        <w:rPr>
          <w:rFonts w:ascii="Segoe UI" w:hAnsi="Segoe UI" w:cs="Segoe UI" w:eastAsia="Segoe UI"/>
          <w:color w:val="231F20"/>
          <w:spacing w:val="-5"/>
          <w:sz w:val="16"/>
          <w:szCs w:val="16"/>
        </w:rPr>
        <w:t> </w:t>
      </w:r>
      <w:r>
        <w:rPr>
          <w:rFonts w:ascii="Segoe UI" w:hAnsi="Segoe UI" w:cs="Segoe UI" w:eastAsia="Segoe UI"/>
          <w:color w:val="231F20"/>
          <w:sz w:val="16"/>
          <w:szCs w:val="16"/>
        </w:rPr>
        <w:t>Here</w:t>
      </w:r>
      <w:r>
        <w:rPr>
          <w:rFonts w:ascii="Segoe UI" w:hAnsi="Segoe UI" w:cs="Segoe UI" w:eastAsia="Segoe UI"/>
          <w:color w:val="231F20"/>
          <w:spacing w:val="-3"/>
          <w:sz w:val="16"/>
          <w:szCs w:val="16"/>
        </w:rPr>
        <w:t> </w:t>
      </w:r>
      <w:r>
        <w:rPr>
          <w:rFonts w:ascii="Segoe UI" w:hAnsi="Segoe UI" w:cs="Segoe UI" w:eastAsia="Segoe UI"/>
          <w:color w:val="231F20"/>
          <w:sz w:val="16"/>
          <w:szCs w:val="16"/>
        </w:rPr>
        <w:t>this</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is</w:t>
      </w:r>
      <w:r>
        <w:rPr>
          <w:rFonts w:ascii="Segoe UI" w:hAnsi="Segoe UI" w:cs="Segoe UI" w:eastAsia="Segoe UI"/>
          <w:color w:val="231F20"/>
          <w:spacing w:val="-5"/>
          <w:sz w:val="16"/>
          <w:szCs w:val="16"/>
        </w:rPr>
        <w:t> </w:t>
      </w:r>
      <w:r>
        <w:rPr>
          <w:rFonts w:ascii="Segoe UI" w:hAnsi="Segoe UI" w:cs="Segoe UI" w:eastAsia="Segoe UI"/>
          <w:color w:val="231F20"/>
          <w:sz w:val="16"/>
          <w:szCs w:val="16"/>
        </w:rPr>
        <w:t>expressed</w:t>
      </w:r>
      <w:r>
        <w:rPr>
          <w:rFonts w:ascii="Segoe UI" w:hAnsi="Segoe UI" w:cs="Segoe UI" w:eastAsia="Segoe UI"/>
          <w:color w:val="231F20"/>
          <w:spacing w:val="-4"/>
          <w:sz w:val="16"/>
          <w:szCs w:val="16"/>
        </w:rPr>
        <w:t> </w:t>
      </w:r>
      <w:r>
        <w:rPr>
          <w:rFonts w:ascii="Segoe UI" w:hAnsi="Segoe UI" w:cs="Segoe UI" w:eastAsia="Segoe UI"/>
          <w:color w:val="231F20"/>
          <w:sz w:val="16"/>
          <w:szCs w:val="16"/>
        </w:rPr>
        <w:t>as</w:t>
      </w:r>
      <w:r>
        <w:rPr>
          <w:rFonts w:ascii="Segoe UI" w:hAnsi="Segoe UI" w:cs="Segoe UI" w:eastAsia="Segoe UI"/>
          <w:color w:val="231F20"/>
          <w:spacing w:val="-4"/>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5"/>
          <w:sz w:val="16"/>
          <w:szCs w:val="16"/>
        </w:rPr>
        <w:t> </w:t>
      </w:r>
      <w:r>
        <w:rPr>
          <w:rFonts w:ascii="Segoe UI" w:hAnsi="Segoe UI" w:cs="Segoe UI" w:eastAsia="Segoe UI"/>
          <w:color w:val="231F20"/>
          <w:sz w:val="16"/>
          <w:szCs w:val="16"/>
        </w:rPr>
        <w:t>average</w:t>
      </w:r>
      <w:r>
        <w:rPr>
          <w:rFonts w:ascii="Segoe UI" w:hAnsi="Segoe UI" w:cs="Segoe UI" w:eastAsia="Segoe UI"/>
          <w:color w:val="231F20"/>
          <w:spacing w:val="21"/>
          <w:w w:val="99"/>
          <w:sz w:val="16"/>
          <w:szCs w:val="16"/>
        </w:rPr>
        <w:t> </w:t>
      </w:r>
      <w:r>
        <w:rPr>
          <w:rFonts w:ascii="Segoe UI" w:hAnsi="Segoe UI" w:cs="Segoe UI" w:eastAsia="Segoe UI"/>
          <w:color w:val="231F20"/>
          <w:sz w:val="16"/>
          <w:szCs w:val="16"/>
        </w:rPr>
        <w:t>attendance</w:t>
      </w:r>
      <w:r>
        <w:rPr>
          <w:rFonts w:ascii="Segoe UI" w:hAnsi="Segoe UI" w:cs="Segoe UI" w:eastAsia="Segoe UI"/>
          <w:color w:val="231F20"/>
          <w:spacing w:val="-3"/>
          <w:sz w:val="16"/>
          <w:szCs w:val="16"/>
        </w:rPr>
        <w:t> </w:t>
      </w:r>
      <w:r>
        <w:rPr>
          <w:rFonts w:ascii="Segoe UI" w:hAnsi="Segoe UI" w:cs="Segoe UI" w:eastAsia="Segoe UI"/>
          <w:color w:val="231F20"/>
          <w:sz w:val="16"/>
          <w:szCs w:val="16"/>
        </w:rPr>
        <w:t>over</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Semester</w:t>
      </w:r>
      <w:r>
        <w:rPr>
          <w:rFonts w:ascii="Segoe UI" w:hAnsi="Segoe UI" w:cs="Segoe UI" w:eastAsia="Segoe UI"/>
          <w:color w:val="231F20"/>
          <w:spacing w:val="-2"/>
          <w:sz w:val="16"/>
          <w:szCs w:val="16"/>
        </w:rPr>
        <w:t> </w:t>
      </w:r>
      <w:r>
        <w:rPr>
          <w:rFonts w:ascii="Segoe UI" w:hAnsi="Segoe UI" w:cs="Segoe UI" w:eastAsia="Segoe UI"/>
          <w:color w:val="231F20"/>
          <w:sz w:val="16"/>
          <w:szCs w:val="16"/>
        </w:rPr>
        <w:t>1</w:t>
      </w:r>
      <w:r>
        <w:rPr>
          <w:rFonts w:ascii="Segoe UI" w:hAnsi="Segoe UI" w:cs="Segoe UI" w:eastAsia="Segoe UI"/>
          <w:color w:val="231F20"/>
          <w:spacing w:val="-2"/>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3"/>
          <w:sz w:val="16"/>
          <w:szCs w:val="16"/>
        </w:rPr>
        <w:t> </w:t>
      </w:r>
      <w:r>
        <w:rPr>
          <w:rFonts w:ascii="Segoe UI" w:hAnsi="Segoe UI" w:cs="Segoe UI" w:eastAsia="Segoe UI"/>
          <w:color w:val="231F20"/>
          <w:spacing w:val="-5"/>
          <w:sz w:val="16"/>
          <w:szCs w:val="16"/>
        </w:rPr>
        <w:t>Term</w:t>
      </w:r>
      <w:r>
        <w:rPr>
          <w:rFonts w:ascii="Segoe UI" w:hAnsi="Segoe UI" w:cs="Segoe UI" w:eastAsia="Segoe UI"/>
          <w:color w:val="231F20"/>
          <w:spacing w:val="-3"/>
          <w:sz w:val="16"/>
          <w:szCs w:val="16"/>
        </w:rPr>
        <w:t> </w:t>
      </w:r>
      <w:r>
        <w:rPr>
          <w:rFonts w:ascii="Segoe UI" w:hAnsi="Segoe UI" w:cs="Segoe UI" w:eastAsia="Segoe UI"/>
          <w:color w:val="231F20"/>
          <w:sz w:val="16"/>
          <w:szCs w:val="16"/>
        </w:rPr>
        <w:t>3</w:t>
      </w:r>
      <w:r>
        <w:rPr>
          <w:rFonts w:ascii="Segoe UI" w:hAnsi="Segoe UI" w:cs="Segoe UI" w:eastAsia="Segoe UI"/>
          <w:color w:val="231F20"/>
          <w:spacing w:val="-2"/>
          <w:sz w:val="16"/>
          <w:szCs w:val="16"/>
        </w:rPr>
        <w:t> </w:t>
      </w:r>
      <w:r>
        <w:rPr>
          <w:rFonts w:ascii="Segoe UI" w:hAnsi="Segoe UI" w:cs="Segoe UI" w:eastAsia="Segoe UI"/>
          <w:color w:val="231F20"/>
          <w:sz w:val="16"/>
          <w:szCs w:val="16"/>
        </w:rPr>
        <w:t>for</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2016</w:t>
      </w:r>
      <w:r>
        <w:rPr>
          <w:rFonts w:ascii="Segoe UI" w:hAnsi="Segoe UI" w:cs="Segoe UI" w:eastAsia="Segoe UI"/>
          <w:color w:val="231F20"/>
          <w:spacing w:val="21"/>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2017</w:t>
      </w:r>
      <w:r>
        <w:rPr>
          <w:rFonts w:ascii="Segoe UI" w:hAnsi="Segoe UI" w:cs="Segoe UI" w:eastAsia="Segoe UI"/>
          <w:color w:val="231F20"/>
          <w:spacing w:val="-3"/>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latest</w:t>
      </w:r>
      <w:r>
        <w:rPr>
          <w:rFonts w:ascii="Segoe UI" w:hAnsi="Segoe UI" w:cs="Segoe UI" w:eastAsia="Segoe UI"/>
          <w:color w:val="231F20"/>
          <w:spacing w:val="-3"/>
          <w:sz w:val="16"/>
          <w:szCs w:val="16"/>
        </w:rPr>
        <w:t> </w:t>
      </w:r>
      <w:r>
        <w:rPr>
          <w:rFonts w:ascii="Segoe UI" w:hAnsi="Segoe UI" w:cs="Segoe UI" w:eastAsia="Segoe UI"/>
          <w:color w:val="231F20"/>
          <w:sz w:val="16"/>
          <w:szCs w:val="16"/>
        </w:rPr>
        <w:t>available</w:t>
      </w:r>
      <w:r>
        <w:rPr>
          <w:rFonts w:ascii="Segoe UI" w:hAnsi="Segoe UI" w:cs="Segoe UI" w:eastAsia="Segoe UI"/>
          <w:color w:val="231F20"/>
          <w:spacing w:val="-4"/>
          <w:sz w:val="16"/>
          <w:szCs w:val="16"/>
        </w:rPr>
        <w:t> </w:t>
      </w:r>
      <w:r>
        <w:rPr>
          <w:rFonts w:ascii="Segoe UI" w:hAnsi="Segoe UI" w:cs="Segoe UI" w:eastAsia="Segoe UI"/>
          <w:color w:val="231F20"/>
          <w:sz w:val="16"/>
          <w:szCs w:val="16"/>
        </w:rPr>
        <w:t>data).</w:t>
      </w:r>
      <w:r>
        <w:rPr>
          <w:rFonts w:ascii="Segoe UI" w:hAnsi="Segoe UI" w:cs="Segoe UI" w:eastAsia="Segoe UI"/>
          <w:color w:val="231F20"/>
          <w:spacing w:val="-4"/>
          <w:sz w:val="16"/>
          <w:szCs w:val="16"/>
        </w:rPr>
        <w:t> </w:t>
      </w:r>
      <w:r>
        <w:rPr>
          <w:rFonts w:ascii="Segoe UI" w:hAnsi="Segoe UI" w:cs="Segoe UI" w:eastAsia="Segoe UI"/>
          <w:color w:val="231F20"/>
          <w:sz w:val="16"/>
          <w:szCs w:val="16"/>
        </w:rPr>
        <w:t>This</w:t>
      </w:r>
      <w:r>
        <w:rPr>
          <w:rFonts w:ascii="Segoe UI" w:hAnsi="Segoe UI" w:cs="Segoe UI" w:eastAsia="Segoe UI"/>
          <w:color w:val="231F20"/>
          <w:spacing w:val="-4"/>
          <w:sz w:val="16"/>
          <w:szCs w:val="16"/>
        </w:rPr>
        <w:t> </w:t>
      </w:r>
      <w:r>
        <w:rPr>
          <w:rFonts w:ascii="Segoe UI" w:hAnsi="Segoe UI" w:cs="Segoe UI" w:eastAsia="Segoe UI"/>
          <w:color w:val="231F20"/>
          <w:sz w:val="16"/>
          <w:szCs w:val="16"/>
        </w:rPr>
        <w:t>data</w:t>
      </w:r>
      <w:r>
        <w:rPr>
          <w:rFonts w:ascii="Segoe UI" w:hAnsi="Segoe UI" w:cs="Segoe UI" w:eastAsia="Segoe UI"/>
          <w:color w:val="231F20"/>
          <w:spacing w:val="-4"/>
          <w:sz w:val="16"/>
          <w:szCs w:val="16"/>
        </w:rPr>
        <w:t> </w:t>
      </w:r>
      <w:r>
        <w:rPr>
          <w:rFonts w:ascii="Segoe UI" w:hAnsi="Segoe UI" w:cs="Segoe UI" w:eastAsia="Segoe UI"/>
          <w:color w:val="231F20"/>
          <w:sz w:val="16"/>
          <w:szCs w:val="16"/>
        </w:rPr>
        <w:t>was</w:t>
      </w:r>
      <w:r>
        <w:rPr>
          <w:rFonts w:ascii="Segoe UI" w:hAnsi="Segoe UI" w:cs="Segoe UI" w:eastAsia="Segoe UI"/>
          <w:color w:val="231F20"/>
          <w:spacing w:val="23"/>
          <w:w w:val="99"/>
          <w:sz w:val="16"/>
          <w:szCs w:val="16"/>
        </w:rPr>
        <w:t> </w:t>
      </w:r>
      <w:r>
        <w:rPr>
          <w:rFonts w:ascii="Segoe UI" w:hAnsi="Segoe UI" w:cs="Segoe UI" w:eastAsia="Segoe UI"/>
          <w:color w:val="231F20"/>
          <w:spacing w:val="-1"/>
          <w:sz w:val="16"/>
          <w:szCs w:val="16"/>
        </w:rPr>
        <w:t>sourced</w:t>
      </w:r>
      <w:r>
        <w:rPr>
          <w:rFonts w:ascii="Segoe UI" w:hAnsi="Segoe UI" w:cs="Segoe UI" w:eastAsia="Segoe UI"/>
          <w:color w:val="231F20"/>
          <w:spacing w:val="-3"/>
          <w:sz w:val="16"/>
          <w:szCs w:val="16"/>
        </w:rPr>
        <w:t> </w:t>
      </w:r>
      <w:r>
        <w:rPr>
          <w:rFonts w:ascii="Segoe UI" w:hAnsi="Segoe UI" w:cs="Segoe UI" w:eastAsia="Segoe UI"/>
          <w:color w:val="231F20"/>
          <w:sz w:val="16"/>
          <w:szCs w:val="16"/>
        </w:rPr>
        <w:t>from</w:t>
      </w:r>
      <w:r>
        <w:rPr>
          <w:rFonts w:ascii="Segoe UI" w:hAnsi="Segoe UI" w:cs="Segoe UI" w:eastAsia="Segoe UI"/>
          <w:color w:val="231F20"/>
          <w:spacing w:val="-4"/>
          <w:sz w:val="16"/>
          <w:szCs w:val="16"/>
        </w:rPr>
        <w:t> </w:t>
      </w:r>
      <w:r>
        <w:rPr>
          <w:rFonts w:ascii="Segoe UI" w:hAnsi="Segoe UI" w:cs="Segoe UI" w:eastAsia="Segoe UI"/>
          <w:color w:val="231F20"/>
          <w:spacing w:val="-2"/>
          <w:sz w:val="16"/>
          <w:szCs w:val="16"/>
        </w:rPr>
        <w:t>ACARA’s</w:t>
      </w:r>
      <w:r>
        <w:rPr>
          <w:rFonts w:ascii="Segoe UI" w:hAnsi="Segoe UI" w:cs="Segoe UI" w:eastAsia="Segoe UI"/>
          <w:color w:val="231F20"/>
          <w:spacing w:val="-4"/>
          <w:sz w:val="16"/>
          <w:szCs w:val="16"/>
        </w:rPr>
        <w:t> </w:t>
      </w:r>
      <w:r>
        <w:rPr>
          <w:rFonts w:ascii="Segoe UI" w:hAnsi="Segoe UI" w:cs="Segoe UI" w:eastAsia="Segoe UI"/>
          <w:color w:val="231F20"/>
          <w:sz w:val="16"/>
          <w:szCs w:val="16"/>
        </w:rPr>
        <w:t>My</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School</w:t>
      </w:r>
      <w:r>
        <w:rPr>
          <w:rFonts w:ascii="Segoe UI" w:hAnsi="Segoe UI" w:cs="Segoe UI" w:eastAsia="Segoe UI"/>
          <w:color w:val="231F20"/>
          <w:spacing w:val="-2"/>
          <w:sz w:val="16"/>
          <w:szCs w:val="16"/>
        </w:rPr>
        <w:t> </w:t>
      </w:r>
      <w:r>
        <w:rPr>
          <w:rFonts w:ascii="Segoe UI" w:hAnsi="Segoe UI" w:cs="Segoe UI" w:eastAsia="Segoe UI"/>
          <w:color w:val="231F20"/>
          <w:sz w:val="16"/>
          <w:szCs w:val="16"/>
        </w:rPr>
        <w:t>website.</w:t>
      </w:r>
      <w:r>
        <w:rPr>
          <w:rFonts w:ascii="Segoe UI" w:hAnsi="Segoe UI" w:cs="Segoe UI" w:eastAsia="Segoe UI"/>
          <w:color w:val="231F20"/>
          <w:spacing w:val="-4"/>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level</w:t>
      </w:r>
      <w:r>
        <w:rPr>
          <w:rFonts w:ascii="Segoe UI" w:hAnsi="Segoe UI" w:cs="Segoe UI" w:eastAsia="Segoe UI"/>
          <w:color w:val="231F20"/>
          <w:spacing w:val="27"/>
          <w:sz w:val="16"/>
          <w:szCs w:val="16"/>
        </w:rPr>
        <w:t> </w:t>
      </w:r>
      <w:r>
        <w:rPr>
          <w:rFonts w:ascii="Segoe UI" w:hAnsi="Segoe UI" w:cs="Segoe UI" w:eastAsia="Segoe UI"/>
          <w:color w:val="231F20"/>
          <w:sz w:val="16"/>
          <w:szCs w:val="16"/>
        </w:rPr>
        <w:t>of</w:t>
      </w:r>
      <w:r>
        <w:rPr>
          <w:rFonts w:ascii="Segoe UI" w:hAnsi="Segoe UI" w:cs="Segoe UI" w:eastAsia="Segoe UI"/>
          <w:color w:val="231F20"/>
          <w:spacing w:val="-5"/>
          <w:sz w:val="16"/>
          <w:szCs w:val="16"/>
        </w:rPr>
        <w:t> </w:t>
      </w:r>
      <w:r>
        <w:rPr>
          <w:rFonts w:ascii="Segoe UI" w:hAnsi="Segoe UI" w:cs="Segoe UI" w:eastAsia="Segoe UI"/>
          <w:color w:val="231F20"/>
          <w:sz w:val="16"/>
          <w:szCs w:val="16"/>
        </w:rPr>
        <w:t>Aboriginal</w:t>
      </w:r>
      <w:r>
        <w:rPr>
          <w:rFonts w:ascii="Segoe UI" w:hAnsi="Segoe UI" w:cs="Segoe UI" w:eastAsia="Segoe UI"/>
          <w:color w:val="231F20"/>
          <w:spacing w:val="-4"/>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5"/>
          <w:sz w:val="16"/>
          <w:szCs w:val="16"/>
        </w:rPr>
        <w:t> </w:t>
      </w:r>
      <w:r>
        <w:rPr>
          <w:rFonts w:ascii="Segoe UI" w:hAnsi="Segoe UI" w:cs="Segoe UI" w:eastAsia="Segoe UI"/>
          <w:color w:val="231F20"/>
          <w:spacing w:val="-3"/>
          <w:sz w:val="16"/>
          <w:szCs w:val="16"/>
        </w:rPr>
        <w:t>Torres</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Strait</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Islander</w:t>
      </w:r>
      <w:r>
        <w:rPr>
          <w:rFonts w:ascii="Segoe UI" w:hAnsi="Segoe UI" w:cs="Segoe UI" w:eastAsia="Segoe UI"/>
          <w:color w:val="231F20"/>
          <w:spacing w:val="-4"/>
          <w:sz w:val="16"/>
          <w:szCs w:val="16"/>
        </w:rPr>
        <w:t> </w:t>
      </w:r>
      <w:r>
        <w:rPr>
          <w:rFonts w:ascii="Segoe UI" w:hAnsi="Segoe UI" w:cs="Segoe UI" w:eastAsia="Segoe UI"/>
          <w:color w:val="231F20"/>
          <w:sz w:val="16"/>
          <w:szCs w:val="16"/>
        </w:rPr>
        <w:t>enrolments</w:t>
      </w:r>
      <w:r>
        <w:rPr>
          <w:rFonts w:ascii="Segoe UI" w:hAnsi="Segoe UI" w:cs="Segoe UI" w:eastAsia="Segoe UI"/>
          <w:color w:val="231F20"/>
          <w:spacing w:val="24"/>
          <w:sz w:val="16"/>
          <w:szCs w:val="16"/>
        </w:rPr>
        <w:t> </w:t>
      </w:r>
      <w:r>
        <w:rPr>
          <w:rFonts w:ascii="Segoe UI" w:hAnsi="Segoe UI" w:cs="Segoe UI" w:eastAsia="Segoe UI"/>
          <w:color w:val="231F20"/>
          <w:spacing w:val="-1"/>
          <w:sz w:val="16"/>
          <w:szCs w:val="16"/>
        </w:rPr>
        <w:t>is</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shown</w:t>
      </w:r>
      <w:r>
        <w:rPr>
          <w:rFonts w:ascii="Segoe UI" w:hAnsi="Segoe UI" w:cs="Segoe UI" w:eastAsia="Segoe UI"/>
          <w:color w:val="231F20"/>
          <w:spacing w:val="-4"/>
          <w:sz w:val="16"/>
          <w:szCs w:val="16"/>
        </w:rPr>
        <w:t> </w:t>
      </w:r>
      <w:r>
        <w:rPr>
          <w:rFonts w:ascii="Segoe UI" w:hAnsi="Segoe UI" w:cs="Segoe UI" w:eastAsia="Segoe UI"/>
          <w:color w:val="231F20"/>
          <w:sz w:val="16"/>
          <w:szCs w:val="16"/>
        </w:rPr>
        <w:t>as</w:t>
      </w:r>
      <w:r>
        <w:rPr>
          <w:rFonts w:ascii="Segoe UI" w:hAnsi="Segoe UI" w:cs="Segoe UI" w:eastAsia="Segoe UI"/>
          <w:color w:val="231F20"/>
          <w:spacing w:val="-5"/>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5"/>
          <w:sz w:val="16"/>
          <w:szCs w:val="16"/>
        </w:rPr>
        <w:t> </w:t>
      </w:r>
      <w:r>
        <w:rPr>
          <w:rFonts w:ascii="Segoe UI" w:hAnsi="Segoe UI" w:cs="Segoe UI" w:eastAsia="Segoe UI"/>
          <w:color w:val="231F20"/>
          <w:sz w:val="16"/>
          <w:szCs w:val="16"/>
        </w:rPr>
        <w:t>proportion</w:t>
      </w:r>
      <w:r>
        <w:rPr>
          <w:rFonts w:ascii="Segoe UI" w:hAnsi="Segoe UI" w:cs="Segoe UI" w:eastAsia="Segoe UI"/>
          <w:color w:val="231F20"/>
          <w:spacing w:val="-4"/>
          <w:sz w:val="16"/>
          <w:szCs w:val="16"/>
        </w:rPr>
        <w:t> </w:t>
      </w:r>
      <w:r>
        <w:rPr>
          <w:rFonts w:ascii="Segoe UI" w:hAnsi="Segoe UI" w:cs="Segoe UI" w:eastAsia="Segoe UI"/>
          <w:color w:val="231F20"/>
          <w:sz w:val="16"/>
          <w:szCs w:val="16"/>
        </w:rPr>
        <w:t>of</w:t>
      </w:r>
      <w:r>
        <w:rPr>
          <w:rFonts w:ascii="Segoe UI" w:hAnsi="Segoe UI" w:cs="Segoe UI" w:eastAsia="Segoe UI"/>
          <w:color w:val="231F20"/>
          <w:spacing w:val="-4"/>
          <w:sz w:val="16"/>
          <w:szCs w:val="16"/>
        </w:rPr>
        <w:t> </w:t>
      </w:r>
      <w:r>
        <w:rPr>
          <w:rFonts w:ascii="Segoe UI" w:hAnsi="Segoe UI" w:cs="Segoe UI" w:eastAsia="Segoe UI"/>
          <w:color w:val="231F20"/>
          <w:sz w:val="16"/>
          <w:szCs w:val="16"/>
        </w:rPr>
        <w:t>Aboriginal</w:t>
      </w:r>
      <w:r>
        <w:rPr>
          <w:rFonts w:ascii="Segoe UI" w:hAnsi="Segoe UI" w:cs="Segoe UI" w:eastAsia="Segoe UI"/>
          <w:color w:val="231F20"/>
          <w:spacing w:val="-4"/>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5"/>
          <w:sz w:val="16"/>
          <w:szCs w:val="16"/>
        </w:rPr>
        <w:t> </w:t>
      </w:r>
      <w:r>
        <w:rPr>
          <w:rFonts w:ascii="Segoe UI" w:hAnsi="Segoe UI" w:cs="Segoe UI" w:eastAsia="Segoe UI"/>
          <w:color w:val="231F20"/>
          <w:spacing w:val="-3"/>
          <w:sz w:val="16"/>
          <w:szCs w:val="16"/>
        </w:rPr>
        <w:t>Torres</w:t>
      </w:r>
      <w:r>
        <w:rPr>
          <w:rFonts w:ascii="Segoe UI" w:hAnsi="Segoe UI" w:cs="Segoe UI" w:eastAsia="Segoe UI"/>
          <w:color w:val="231F20"/>
          <w:spacing w:val="24"/>
          <w:w w:val="99"/>
          <w:sz w:val="16"/>
          <w:szCs w:val="16"/>
        </w:rPr>
        <w:t> </w:t>
      </w:r>
      <w:r>
        <w:rPr>
          <w:rFonts w:ascii="Segoe UI" w:hAnsi="Segoe UI" w:cs="Segoe UI" w:eastAsia="Segoe UI"/>
          <w:color w:val="231F20"/>
          <w:spacing w:val="-1"/>
          <w:sz w:val="16"/>
          <w:szCs w:val="16"/>
        </w:rPr>
        <w:t>Strait</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Islander</w:t>
      </w:r>
      <w:r>
        <w:rPr>
          <w:rFonts w:ascii="Segoe UI" w:hAnsi="Segoe UI" w:cs="Segoe UI" w:eastAsia="Segoe UI"/>
          <w:color w:val="231F20"/>
          <w:spacing w:val="-3"/>
          <w:sz w:val="16"/>
          <w:szCs w:val="16"/>
        </w:rPr>
        <w:t> </w:t>
      </w:r>
      <w:r>
        <w:rPr>
          <w:rFonts w:ascii="Segoe UI" w:hAnsi="Segoe UI" w:cs="Segoe UI" w:eastAsia="Segoe UI"/>
          <w:color w:val="231F20"/>
          <w:sz w:val="16"/>
          <w:szCs w:val="16"/>
        </w:rPr>
        <w:t>enrolments</w:t>
      </w:r>
      <w:r>
        <w:rPr>
          <w:rFonts w:ascii="Segoe UI" w:hAnsi="Segoe UI" w:cs="Segoe UI" w:eastAsia="Segoe UI"/>
          <w:color w:val="231F20"/>
          <w:spacing w:val="-3"/>
          <w:sz w:val="16"/>
          <w:szCs w:val="16"/>
        </w:rPr>
        <w:t> </w:t>
      </w:r>
      <w:r>
        <w:rPr>
          <w:rFonts w:ascii="Segoe UI" w:hAnsi="Segoe UI" w:cs="Segoe UI" w:eastAsia="Segoe UI"/>
          <w:color w:val="231F20"/>
          <w:sz w:val="16"/>
          <w:szCs w:val="16"/>
        </w:rPr>
        <w:t>to</w:t>
      </w:r>
      <w:r>
        <w:rPr>
          <w:rFonts w:ascii="Segoe UI" w:hAnsi="Segoe UI" w:cs="Segoe UI" w:eastAsia="Segoe UI"/>
          <w:color w:val="231F20"/>
          <w:spacing w:val="-3"/>
          <w:sz w:val="16"/>
          <w:szCs w:val="16"/>
        </w:rPr>
        <w:t> </w:t>
      </w:r>
      <w:r>
        <w:rPr>
          <w:rFonts w:ascii="Segoe UI" w:hAnsi="Segoe UI" w:cs="Segoe UI" w:eastAsia="Segoe UI"/>
          <w:color w:val="231F20"/>
          <w:sz w:val="16"/>
          <w:szCs w:val="16"/>
        </w:rPr>
        <w:t>total</w:t>
      </w:r>
      <w:r>
        <w:rPr>
          <w:rFonts w:ascii="Segoe UI" w:hAnsi="Segoe UI" w:cs="Segoe UI" w:eastAsia="Segoe UI"/>
          <w:color w:val="231F20"/>
          <w:spacing w:val="-3"/>
          <w:sz w:val="16"/>
          <w:szCs w:val="16"/>
        </w:rPr>
        <w:t> </w:t>
      </w:r>
      <w:r>
        <w:rPr>
          <w:rFonts w:ascii="Segoe UI" w:hAnsi="Segoe UI" w:cs="Segoe UI" w:eastAsia="Segoe UI"/>
          <w:color w:val="231F20"/>
          <w:sz w:val="16"/>
          <w:szCs w:val="16"/>
        </w:rPr>
        <w:t>enrolments</w:t>
      </w:r>
      <w:r>
        <w:rPr>
          <w:rFonts w:ascii="Segoe UI" w:hAnsi="Segoe UI" w:cs="Segoe UI" w:eastAsia="Segoe UI"/>
          <w:color w:val="231F20"/>
          <w:spacing w:val="-4"/>
          <w:sz w:val="16"/>
          <w:szCs w:val="16"/>
        </w:rPr>
        <w:t> </w:t>
      </w:r>
      <w:r>
        <w:rPr>
          <w:rFonts w:ascii="Segoe UI" w:hAnsi="Segoe UI" w:cs="Segoe UI" w:eastAsia="Segoe UI"/>
          <w:color w:val="231F20"/>
          <w:sz w:val="16"/>
          <w:szCs w:val="16"/>
        </w:rPr>
        <w:t>for</w:t>
      </w:r>
      <w:r>
        <w:rPr>
          <w:rFonts w:ascii="Segoe UI" w:hAnsi="Segoe UI" w:cs="Segoe UI" w:eastAsia="Segoe UI"/>
          <w:color w:val="231F20"/>
          <w:spacing w:val="22"/>
          <w:w w:val="99"/>
          <w:sz w:val="16"/>
          <w:szCs w:val="16"/>
        </w:rPr>
        <w:t> </w:t>
      </w:r>
      <w:r>
        <w:rPr>
          <w:rFonts w:ascii="Segoe UI" w:hAnsi="Segoe UI" w:cs="Segoe UI" w:eastAsia="Segoe UI"/>
          <w:color w:val="231F20"/>
          <w:sz w:val="16"/>
          <w:szCs w:val="16"/>
        </w:rPr>
        <w:t>each</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school.</w:t>
      </w:r>
      <w:r>
        <w:rPr>
          <w:rFonts w:ascii="Segoe UI" w:hAnsi="Segoe UI" w:cs="Segoe UI" w:eastAsia="Segoe UI"/>
          <w:color w:val="231F20"/>
          <w:spacing w:val="-2"/>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3"/>
          <w:sz w:val="16"/>
          <w:szCs w:val="16"/>
        </w:rPr>
        <w:t> </w:t>
      </w:r>
      <w:r>
        <w:rPr>
          <w:rFonts w:ascii="Segoe UI" w:hAnsi="Segoe UI" w:cs="Segoe UI" w:eastAsia="Segoe UI"/>
          <w:color w:val="231F20"/>
          <w:sz w:val="16"/>
          <w:szCs w:val="16"/>
        </w:rPr>
        <w:t>average</w:t>
      </w:r>
      <w:r>
        <w:rPr>
          <w:rFonts w:ascii="Segoe UI" w:hAnsi="Segoe UI" w:cs="Segoe UI" w:eastAsia="Segoe UI"/>
          <w:color w:val="231F20"/>
          <w:spacing w:val="-3"/>
          <w:sz w:val="16"/>
          <w:szCs w:val="16"/>
        </w:rPr>
        <w:t> </w:t>
      </w:r>
      <w:r>
        <w:rPr>
          <w:rFonts w:ascii="Segoe UI" w:hAnsi="Segoe UI" w:cs="Segoe UI" w:eastAsia="Segoe UI"/>
          <w:color w:val="231F20"/>
          <w:sz w:val="16"/>
          <w:szCs w:val="16"/>
        </w:rPr>
        <w:t>enrolments</w:t>
      </w:r>
      <w:r>
        <w:rPr>
          <w:rFonts w:ascii="Segoe UI" w:hAnsi="Segoe UI" w:cs="Segoe UI" w:eastAsia="Segoe UI"/>
          <w:color w:val="231F20"/>
          <w:spacing w:val="-4"/>
          <w:sz w:val="16"/>
          <w:szCs w:val="16"/>
        </w:rPr>
        <w:t> </w:t>
      </w:r>
      <w:r>
        <w:rPr>
          <w:rFonts w:ascii="Segoe UI" w:hAnsi="Segoe UI" w:cs="Segoe UI" w:eastAsia="Segoe UI"/>
          <w:color w:val="231F20"/>
          <w:sz w:val="16"/>
          <w:szCs w:val="16"/>
        </w:rPr>
        <w:t>over</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2016</w:t>
      </w:r>
      <w:r>
        <w:rPr>
          <w:rFonts w:ascii="Segoe UI" w:hAnsi="Segoe UI" w:cs="Segoe UI" w:eastAsia="Segoe UI"/>
          <w:color w:val="231F20"/>
          <w:spacing w:val="-1"/>
          <w:sz w:val="16"/>
          <w:szCs w:val="16"/>
        </w:rPr>
        <w:t> </w:t>
      </w:r>
      <w:r>
        <w:rPr>
          <w:rFonts w:ascii="Segoe UI" w:hAnsi="Segoe UI" w:cs="Segoe UI" w:eastAsia="Segoe UI"/>
          <w:color w:val="231F20"/>
          <w:spacing w:val="21"/>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2017</w:t>
      </w:r>
      <w:r>
        <w:rPr>
          <w:rFonts w:ascii="Segoe UI" w:hAnsi="Segoe UI" w:cs="Segoe UI" w:eastAsia="Segoe UI"/>
          <w:color w:val="231F20"/>
          <w:spacing w:val="-3"/>
          <w:sz w:val="16"/>
          <w:szCs w:val="16"/>
        </w:rPr>
        <w:t> </w:t>
      </w:r>
      <w:r>
        <w:rPr>
          <w:rFonts w:ascii="Segoe UI" w:hAnsi="Segoe UI" w:cs="Segoe UI" w:eastAsia="Segoe UI"/>
          <w:color w:val="231F20"/>
          <w:sz w:val="16"/>
          <w:szCs w:val="16"/>
        </w:rPr>
        <w:t>have</w:t>
      </w:r>
      <w:r>
        <w:rPr>
          <w:rFonts w:ascii="Segoe UI" w:hAnsi="Segoe UI" w:cs="Segoe UI" w:eastAsia="Segoe UI"/>
          <w:color w:val="231F20"/>
          <w:spacing w:val="-4"/>
          <w:sz w:val="16"/>
          <w:szCs w:val="16"/>
        </w:rPr>
        <w:t> </w:t>
      </w:r>
      <w:r>
        <w:rPr>
          <w:rFonts w:ascii="Segoe UI" w:hAnsi="Segoe UI" w:cs="Segoe UI" w:eastAsia="Segoe UI"/>
          <w:color w:val="231F20"/>
          <w:sz w:val="16"/>
          <w:szCs w:val="16"/>
        </w:rPr>
        <w:t>been</w:t>
      </w:r>
      <w:r>
        <w:rPr>
          <w:rFonts w:ascii="Segoe UI" w:hAnsi="Segoe UI" w:cs="Segoe UI" w:eastAsia="Segoe UI"/>
          <w:color w:val="231F20"/>
          <w:spacing w:val="-4"/>
          <w:sz w:val="16"/>
          <w:szCs w:val="16"/>
        </w:rPr>
        <w:t> </w:t>
      </w:r>
      <w:r>
        <w:rPr>
          <w:rFonts w:ascii="Segoe UI" w:hAnsi="Segoe UI" w:cs="Segoe UI" w:eastAsia="Segoe UI"/>
          <w:color w:val="231F20"/>
          <w:sz w:val="16"/>
          <w:szCs w:val="16"/>
        </w:rPr>
        <w:t>used.</w:t>
      </w:r>
      <w:r>
        <w:rPr>
          <w:rFonts w:ascii="Segoe UI" w:hAnsi="Segoe UI" w:cs="Segoe UI" w:eastAsia="Segoe UI"/>
          <w:color w:val="231F20"/>
          <w:spacing w:val="-4"/>
          <w:sz w:val="16"/>
          <w:szCs w:val="16"/>
        </w:rPr>
        <w:t> </w:t>
      </w:r>
      <w:r>
        <w:rPr>
          <w:rFonts w:ascii="Segoe UI" w:hAnsi="Segoe UI" w:cs="Segoe UI" w:eastAsia="Segoe UI"/>
          <w:color w:val="231F20"/>
          <w:sz w:val="16"/>
          <w:szCs w:val="16"/>
        </w:rPr>
        <w:t>This</w:t>
      </w:r>
      <w:r>
        <w:rPr>
          <w:rFonts w:ascii="Segoe UI" w:hAnsi="Segoe UI" w:cs="Segoe UI" w:eastAsia="Segoe UI"/>
          <w:color w:val="231F20"/>
          <w:spacing w:val="-4"/>
          <w:sz w:val="16"/>
          <w:szCs w:val="16"/>
        </w:rPr>
        <w:t> </w:t>
      </w:r>
      <w:r>
        <w:rPr>
          <w:rFonts w:ascii="Segoe UI" w:hAnsi="Segoe UI" w:cs="Segoe UI" w:eastAsia="Segoe UI"/>
          <w:color w:val="231F20"/>
          <w:sz w:val="16"/>
          <w:szCs w:val="16"/>
        </w:rPr>
        <w:t>data</w:t>
      </w:r>
      <w:r>
        <w:rPr>
          <w:rFonts w:ascii="Segoe UI" w:hAnsi="Segoe UI" w:cs="Segoe UI" w:eastAsia="Segoe UI"/>
          <w:color w:val="231F20"/>
          <w:spacing w:val="-3"/>
          <w:sz w:val="16"/>
          <w:szCs w:val="16"/>
        </w:rPr>
        <w:t> </w:t>
      </w:r>
      <w:r>
        <w:rPr>
          <w:rFonts w:ascii="Segoe UI" w:hAnsi="Segoe UI" w:cs="Segoe UI" w:eastAsia="Segoe UI"/>
          <w:color w:val="231F20"/>
          <w:sz w:val="16"/>
          <w:szCs w:val="16"/>
        </w:rPr>
        <w:t>was</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sourced</w:t>
      </w:r>
      <w:r>
        <w:rPr>
          <w:rFonts w:ascii="Segoe UI" w:hAnsi="Segoe UI" w:cs="Segoe UI" w:eastAsia="Segoe UI"/>
          <w:color w:val="231F20"/>
          <w:spacing w:val="21"/>
          <w:w w:val="99"/>
          <w:sz w:val="16"/>
          <w:szCs w:val="16"/>
        </w:rPr>
        <w:t> </w:t>
      </w:r>
      <w:r>
        <w:rPr>
          <w:rFonts w:ascii="Segoe UI" w:hAnsi="Segoe UI" w:cs="Segoe UI" w:eastAsia="Segoe UI"/>
          <w:color w:val="231F20"/>
          <w:sz w:val="16"/>
          <w:szCs w:val="16"/>
        </w:rPr>
        <w:t>from</w:t>
      </w:r>
      <w:r>
        <w:rPr>
          <w:rFonts w:ascii="Segoe UI" w:hAnsi="Segoe UI" w:cs="Segoe UI" w:eastAsia="Segoe UI"/>
          <w:color w:val="231F20"/>
          <w:spacing w:val="-4"/>
          <w:sz w:val="16"/>
          <w:szCs w:val="16"/>
        </w:rPr>
        <w:t> </w:t>
      </w:r>
      <w:r>
        <w:rPr>
          <w:rFonts w:ascii="Segoe UI" w:hAnsi="Segoe UI" w:cs="Segoe UI" w:eastAsia="Segoe UI"/>
          <w:color w:val="231F20"/>
          <w:spacing w:val="-2"/>
          <w:sz w:val="16"/>
          <w:szCs w:val="16"/>
        </w:rPr>
        <w:t>ACARA’s</w:t>
      </w:r>
      <w:r>
        <w:rPr>
          <w:rFonts w:ascii="Segoe UI" w:hAnsi="Segoe UI" w:cs="Segoe UI" w:eastAsia="Segoe UI"/>
          <w:color w:val="231F20"/>
          <w:spacing w:val="-3"/>
          <w:sz w:val="16"/>
          <w:szCs w:val="16"/>
        </w:rPr>
        <w:t> </w:t>
      </w:r>
      <w:r>
        <w:rPr>
          <w:rFonts w:ascii="Segoe UI" w:hAnsi="Segoe UI" w:cs="Segoe UI" w:eastAsia="Segoe UI"/>
          <w:color w:val="231F20"/>
          <w:sz w:val="16"/>
          <w:szCs w:val="16"/>
        </w:rPr>
        <w:t>My</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School</w:t>
      </w:r>
      <w:r>
        <w:rPr>
          <w:rFonts w:ascii="Segoe UI" w:hAnsi="Segoe UI" w:cs="Segoe UI" w:eastAsia="Segoe UI"/>
          <w:color w:val="231F20"/>
          <w:spacing w:val="-3"/>
          <w:sz w:val="16"/>
          <w:szCs w:val="16"/>
        </w:rPr>
        <w:t> </w:t>
      </w:r>
      <w:r>
        <w:rPr>
          <w:rFonts w:ascii="Segoe UI" w:hAnsi="Segoe UI" w:cs="Segoe UI" w:eastAsia="Segoe UI"/>
          <w:color w:val="231F20"/>
          <w:sz w:val="16"/>
          <w:szCs w:val="16"/>
        </w:rPr>
        <w:t>website.</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Categories</w:t>
      </w:r>
      <w:r>
        <w:rPr>
          <w:rFonts w:ascii="Segoe UI" w:hAnsi="Segoe UI" w:cs="Segoe UI" w:eastAsia="Segoe UI"/>
          <w:color w:val="231F20"/>
          <w:spacing w:val="-3"/>
          <w:sz w:val="16"/>
          <w:szCs w:val="16"/>
        </w:rPr>
        <w:t> </w:t>
      </w:r>
      <w:r>
        <w:rPr>
          <w:rFonts w:ascii="Segoe UI" w:hAnsi="Segoe UI" w:cs="Segoe UI" w:eastAsia="Segoe UI"/>
          <w:color w:val="231F20"/>
          <w:sz w:val="16"/>
          <w:szCs w:val="16"/>
        </w:rPr>
        <w:t>used</w:t>
      </w:r>
      <w:r>
        <w:rPr>
          <w:rFonts w:ascii="Segoe UI" w:hAnsi="Segoe UI" w:cs="Segoe UI" w:eastAsia="Segoe UI"/>
          <w:color w:val="231F20"/>
          <w:spacing w:val="28"/>
          <w:sz w:val="16"/>
          <w:szCs w:val="16"/>
        </w:rPr>
        <w:t> </w:t>
      </w:r>
      <w:r>
        <w:rPr>
          <w:rFonts w:ascii="Segoe UI" w:hAnsi="Segoe UI" w:cs="Segoe UI" w:eastAsia="Segoe UI"/>
          <w:color w:val="231F20"/>
          <w:sz w:val="16"/>
          <w:szCs w:val="16"/>
        </w:rPr>
        <w:t>are</w:t>
      </w:r>
      <w:r>
        <w:rPr>
          <w:rFonts w:ascii="Segoe UI" w:hAnsi="Segoe UI" w:cs="Segoe UI" w:eastAsia="Segoe UI"/>
          <w:color w:val="231F20"/>
          <w:spacing w:val="-5"/>
          <w:sz w:val="16"/>
          <w:szCs w:val="16"/>
        </w:rPr>
        <w:t> </w:t>
      </w:r>
      <w:r>
        <w:rPr>
          <w:rFonts w:ascii="Segoe UI" w:hAnsi="Segoe UI" w:cs="Segoe UI" w:eastAsia="Segoe UI"/>
          <w:color w:val="231F20"/>
          <w:sz w:val="16"/>
          <w:szCs w:val="16"/>
        </w:rPr>
        <w:t>Low</w:t>
      </w:r>
      <w:r>
        <w:rPr>
          <w:rFonts w:ascii="Segoe UI" w:hAnsi="Segoe UI" w:cs="Segoe UI" w:eastAsia="Segoe UI"/>
          <w:color w:val="231F20"/>
          <w:spacing w:val="-4"/>
          <w:sz w:val="16"/>
          <w:szCs w:val="16"/>
        </w:rPr>
        <w:t> </w:t>
      </w:r>
      <w:r>
        <w:rPr>
          <w:rFonts w:ascii="Segoe UI" w:hAnsi="Segoe UI" w:cs="Segoe UI" w:eastAsia="Segoe UI"/>
          <w:color w:val="231F20"/>
          <w:sz w:val="16"/>
          <w:szCs w:val="16"/>
        </w:rPr>
        <w:t>(below</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20</w:t>
      </w:r>
      <w:r>
        <w:rPr>
          <w:rFonts w:ascii="Segoe UI" w:hAnsi="Segoe UI" w:cs="Segoe UI" w:eastAsia="Segoe UI"/>
          <w:color w:val="231F20"/>
          <w:spacing w:val="-3"/>
          <w:sz w:val="16"/>
          <w:szCs w:val="16"/>
        </w:rPr>
        <w:t> </w:t>
      </w:r>
      <w:r>
        <w:rPr>
          <w:rFonts w:ascii="Segoe UI" w:hAnsi="Segoe UI" w:cs="Segoe UI" w:eastAsia="Segoe UI"/>
          <w:color w:val="231F20"/>
          <w:sz w:val="16"/>
          <w:szCs w:val="16"/>
        </w:rPr>
        <w:t>per</w:t>
      </w:r>
      <w:r>
        <w:rPr>
          <w:rFonts w:ascii="Segoe UI" w:hAnsi="Segoe UI" w:cs="Segoe UI" w:eastAsia="Segoe UI"/>
          <w:color w:val="231F20"/>
          <w:spacing w:val="-3"/>
          <w:sz w:val="16"/>
          <w:szCs w:val="16"/>
        </w:rPr>
        <w:t> </w:t>
      </w:r>
      <w:r>
        <w:rPr>
          <w:rFonts w:ascii="Segoe UI" w:hAnsi="Segoe UI" w:cs="Segoe UI" w:eastAsia="Segoe UI"/>
          <w:color w:val="231F20"/>
          <w:sz w:val="16"/>
          <w:szCs w:val="16"/>
        </w:rPr>
        <w:t>cent)</w:t>
      </w:r>
      <w:r>
        <w:rPr>
          <w:rFonts w:ascii="Segoe UI" w:hAnsi="Segoe UI" w:cs="Segoe UI" w:eastAsia="Segoe UI"/>
          <w:color w:val="231F20"/>
          <w:spacing w:val="-3"/>
          <w:sz w:val="16"/>
          <w:szCs w:val="16"/>
        </w:rPr>
        <w:t> </w:t>
      </w:r>
      <w:r>
        <w:rPr>
          <w:rFonts w:ascii="Segoe UI" w:hAnsi="Segoe UI" w:cs="Segoe UI" w:eastAsia="Segoe UI"/>
          <w:color w:val="231F20"/>
          <w:sz w:val="16"/>
          <w:szCs w:val="16"/>
        </w:rPr>
        <w:t>(7</w:t>
      </w:r>
      <w:r>
        <w:rPr>
          <w:rFonts w:ascii="Segoe UI" w:hAnsi="Segoe UI" w:cs="Segoe UI" w:eastAsia="Segoe UI"/>
          <w:color w:val="231F20"/>
          <w:spacing w:val="-4"/>
          <w:sz w:val="16"/>
          <w:szCs w:val="16"/>
        </w:rPr>
        <w:t> </w:t>
      </w:r>
      <w:r>
        <w:rPr>
          <w:rFonts w:ascii="Segoe UI" w:hAnsi="Segoe UI" w:cs="Segoe UI" w:eastAsia="Segoe UI"/>
          <w:color w:val="231F20"/>
          <w:sz w:val="16"/>
          <w:szCs w:val="16"/>
        </w:rPr>
        <w:t>providers),</w:t>
      </w:r>
      <w:r>
        <w:rPr>
          <w:rFonts w:ascii="Segoe UI" w:hAnsi="Segoe UI" w:cs="Segoe UI" w:eastAsia="Segoe UI"/>
          <w:color w:val="231F20"/>
          <w:spacing w:val="-4"/>
          <w:sz w:val="16"/>
          <w:szCs w:val="16"/>
        </w:rPr>
        <w:t> </w:t>
      </w:r>
      <w:r>
        <w:rPr>
          <w:rFonts w:ascii="Segoe UI" w:hAnsi="Segoe UI" w:cs="Segoe UI" w:eastAsia="Segoe UI"/>
          <w:color w:val="231F20"/>
          <w:sz w:val="16"/>
          <w:szCs w:val="16"/>
        </w:rPr>
        <w:t>Medium</w:t>
      </w:r>
      <w:r>
        <w:rPr>
          <w:rFonts w:ascii="Segoe UI" w:hAnsi="Segoe UI" w:cs="Segoe UI" w:eastAsia="Segoe UI"/>
          <w:color w:val="231F20"/>
          <w:spacing w:val="21"/>
          <w:sz w:val="16"/>
          <w:szCs w:val="16"/>
        </w:rPr>
        <w:t> </w:t>
      </w:r>
      <w:r>
        <w:rPr>
          <w:rFonts w:ascii="Segoe UI" w:hAnsi="Segoe UI" w:cs="Segoe UI" w:eastAsia="Segoe UI"/>
          <w:color w:val="231F20"/>
          <w:sz w:val="16"/>
          <w:szCs w:val="16"/>
        </w:rPr>
        <w:t>(20</w:t>
      </w:r>
      <w:r>
        <w:rPr>
          <w:rFonts w:ascii="Segoe UI" w:hAnsi="Segoe UI" w:cs="Segoe UI" w:eastAsia="Segoe UI"/>
          <w:color w:val="231F20"/>
          <w:spacing w:val="-4"/>
          <w:sz w:val="16"/>
          <w:szCs w:val="16"/>
        </w:rPr>
        <w:t> </w:t>
      </w:r>
      <w:r>
        <w:rPr>
          <w:rFonts w:ascii="Segoe UI" w:hAnsi="Segoe UI" w:cs="Segoe UI" w:eastAsia="Segoe UI"/>
          <w:color w:val="231F20"/>
          <w:sz w:val="16"/>
          <w:szCs w:val="16"/>
        </w:rPr>
        <w:t>to</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65</w:t>
      </w:r>
      <w:r>
        <w:rPr>
          <w:rFonts w:ascii="Segoe UI" w:hAnsi="Segoe UI" w:cs="Segoe UI" w:eastAsia="Segoe UI"/>
          <w:color w:val="231F20"/>
          <w:spacing w:val="-3"/>
          <w:sz w:val="16"/>
          <w:szCs w:val="16"/>
        </w:rPr>
        <w:t> </w:t>
      </w:r>
      <w:r>
        <w:rPr>
          <w:rFonts w:ascii="Segoe UI" w:hAnsi="Segoe UI" w:cs="Segoe UI" w:eastAsia="Segoe UI"/>
          <w:color w:val="231F20"/>
          <w:sz w:val="16"/>
          <w:szCs w:val="16"/>
        </w:rPr>
        <w:t>per</w:t>
      </w:r>
      <w:r>
        <w:rPr>
          <w:rFonts w:ascii="Segoe UI" w:hAnsi="Segoe UI" w:cs="Segoe UI" w:eastAsia="Segoe UI"/>
          <w:color w:val="231F20"/>
          <w:spacing w:val="-3"/>
          <w:sz w:val="16"/>
          <w:szCs w:val="16"/>
        </w:rPr>
        <w:t> </w:t>
      </w:r>
      <w:r>
        <w:rPr>
          <w:rFonts w:ascii="Segoe UI" w:hAnsi="Segoe UI" w:cs="Segoe UI" w:eastAsia="Segoe UI"/>
          <w:color w:val="231F20"/>
          <w:sz w:val="16"/>
          <w:szCs w:val="16"/>
        </w:rPr>
        <w:t>cent)</w:t>
      </w:r>
      <w:r>
        <w:rPr>
          <w:rFonts w:ascii="Segoe UI" w:hAnsi="Segoe UI" w:cs="Segoe UI" w:eastAsia="Segoe UI"/>
          <w:color w:val="231F20"/>
          <w:spacing w:val="-2"/>
          <w:sz w:val="16"/>
          <w:szCs w:val="16"/>
        </w:rPr>
        <w:t> </w:t>
      </w:r>
      <w:r>
        <w:rPr>
          <w:rFonts w:ascii="Segoe UI" w:hAnsi="Segoe UI" w:cs="Segoe UI" w:eastAsia="Segoe UI"/>
          <w:color w:val="231F20"/>
          <w:sz w:val="16"/>
          <w:szCs w:val="16"/>
        </w:rPr>
        <w:t>(6</w:t>
      </w:r>
      <w:r>
        <w:rPr>
          <w:rFonts w:ascii="Segoe UI" w:hAnsi="Segoe UI" w:cs="Segoe UI" w:eastAsia="Segoe UI"/>
          <w:color w:val="231F20"/>
          <w:spacing w:val="-4"/>
          <w:sz w:val="16"/>
          <w:szCs w:val="16"/>
        </w:rPr>
        <w:t> </w:t>
      </w:r>
      <w:r>
        <w:rPr>
          <w:rFonts w:ascii="Segoe UI" w:hAnsi="Segoe UI" w:cs="Segoe UI" w:eastAsia="Segoe UI"/>
          <w:color w:val="231F20"/>
          <w:sz w:val="16"/>
          <w:szCs w:val="16"/>
        </w:rPr>
        <w:t>providers)</w:t>
      </w:r>
      <w:r>
        <w:rPr>
          <w:rFonts w:ascii="Segoe UI" w:hAnsi="Segoe UI" w:cs="Segoe UI" w:eastAsia="Segoe UI"/>
          <w:color w:val="231F20"/>
          <w:spacing w:val="-4"/>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4"/>
          <w:sz w:val="16"/>
          <w:szCs w:val="16"/>
        </w:rPr>
        <w:t> </w:t>
      </w:r>
      <w:r>
        <w:rPr>
          <w:rFonts w:ascii="Segoe UI" w:hAnsi="Segoe UI" w:cs="Segoe UI" w:eastAsia="Segoe UI"/>
          <w:color w:val="231F20"/>
          <w:sz w:val="16"/>
          <w:szCs w:val="16"/>
        </w:rPr>
        <w:t>High</w:t>
      </w:r>
      <w:r>
        <w:rPr>
          <w:rFonts w:ascii="Segoe UI" w:hAnsi="Segoe UI" w:cs="Segoe UI" w:eastAsia="Segoe UI"/>
          <w:color w:val="231F20"/>
          <w:spacing w:val="-3"/>
          <w:sz w:val="16"/>
          <w:szCs w:val="16"/>
        </w:rPr>
        <w:t> </w:t>
      </w:r>
      <w:r>
        <w:rPr>
          <w:rFonts w:ascii="Segoe UI" w:hAnsi="Segoe UI" w:cs="Segoe UI" w:eastAsia="Segoe UI"/>
          <w:color w:val="231F20"/>
          <w:sz w:val="16"/>
          <w:szCs w:val="16"/>
        </w:rPr>
        <w:t>(over</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65</w:t>
      </w:r>
      <w:r>
        <w:rPr>
          <w:rFonts w:ascii="Segoe UI" w:hAnsi="Segoe UI" w:cs="Segoe UI" w:eastAsia="Segoe UI"/>
          <w:color w:val="231F20"/>
          <w:spacing w:val="20"/>
          <w:sz w:val="16"/>
          <w:szCs w:val="16"/>
        </w:rPr>
        <w:t> </w:t>
      </w:r>
      <w:r>
        <w:rPr>
          <w:rFonts w:ascii="Segoe UI" w:hAnsi="Segoe UI" w:cs="Segoe UI" w:eastAsia="Segoe UI"/>
          <w:color w:val="231F20"/>
          <w:sz w:val="16"/>
          <w:szCs w:val="16"/>
        </w:rPr>
        <w:t>per</w:t>
      </w:r>
      <w:r>
        <w:rPr>
          <w:rFonts w:ascii="Segoe UI" w:hAnsi="Segoe UI" w:cs="Segoe UI" w:eastAsia="Segoe UI"/>
          <w:color w:val="231F20"/>
          <w:spacing w:val="-6"/>
          <w:sz w:val="16"/>
          <w:szCs w:val="16"/>
        </w:rPr>
        <w:t> </w:t>
      </w:r>
      <w:r>
        <w:rPr>
          <w:rFonts w:ascii="Segoe UI" w:hAnsi="Segoe UI" w:cs="Segoe UI" w:eastAsia="Segoe UI"/>
          <w:color w:val="231F20"/>
          <w:sz w:val="16"/>
          <w:szCs w:val="16"/>
        </w:rPr>
        <w:t>cent)</w:t>
      </w:r>
      <w:r>
        <w:rPr>
          <w:rFonts w:ascii="Segoe UI" w:hAnsi="Segoe UI" w:cs="Segoe UI" w:eastAsia="Segoe UI"/>
          <w:color w:val="231F20"/>
          <w:spacing w:val="-5"/>
          <w:sz w:val="16"/>
          <w:szCs w:val="16"/>
        </w:rPr>
        <w:t> </w:t>
      </w:r>
      <w:r>
        <w:rPr>
          <w:rFonts w:ascii="Segoe UI" w:hAnsi="Segoe UI" w:cs="Segoe UI" w:eastAsia="Segoe UI"/>
          <w:color w:val="231F20"/>
          <w:sz w:val="16"/>
          <w:szCs w:val="16"/>
        </w:rPr>
        <w:t>(13</w:t>
      </w:r>
      <w:r>
        <w:rPr>
          <w:rFonts w:ascii="Segoe UI" w:hAnsi="Segoe UI" w:cs="Segoe UI" w:eastAsia="Segoe UI"/>
          <w:color w:val="231F20"/>
          <w:spacing w:val="-6"/>
          <w:sz w:val="16"/>
          <w:szCs w:val="16"/>
        </w:rPr>
        <w:t> </w:t>
      </w:r>
      <w:r>
        <w:rPr>
          <w:rFonts w:ascii="Segoe UI" w:hAnsi="Segoe UI" w:cs="Segoe UI" w:eastAsia="Segoe UI"/>
          <w:color w:val="231F20"/>
          <w:sz w:val="16"/>
          <w:szCs w:val="16"/>
        </w:rPr>
        <w:t>providers)</w:t>
      </w:r>
      <w:r>
        <w:rPr>
          <w:rFonts w:ascii="Segoe UI" w:hAnsi="Segoe UI" w:cs="Segoe UI" w:eastAsia="Segoe UI"/>
          <w:sz w:val="16"/>
          <w:szCs w:val="16"/>
        </w:rPr>
      </w:r>
    </w:p>
    <w:p>
      <w:pPr>
        <w:numPr>
          <w:ilvl w:val="0"/>
          <w:numId w:val="11"/>
        </w:numPr>
        <w:tabs>
          <w:tab w:pos="668" w:val="left" w:leader="none"/>
        </w:tabs>
        <w:spacing w:line="200" w:lineRule="exact" w:before="113"/>
        <w:ind w:left="667" w:right="121" w:hanging="567"/>
        <w:jc w:val="left"/>
        <w:rPr>
          <w:rFonts w:ascii="Segoe UI" w:hAnsi="Segoe UI" w:cs="Segoe UI" w:eastAsia="Segoe UI"/>
          <w:sz w:val="16"/>
          <w:szCs w:val="16"/>
        </w:rPr>
      </w:pPr>
      <w:r>
        <w:rPr>
          <w:rFonts w:ascii="Segoe UI" w:hAnsi="Segoe UI" w:cs="Segoe UI" w:eastAsia="Segoe UI"/>
          <w:color w:val="231F20"/>
          <w:sz w:val="16"/>
          <w:szCs w:val="16"/>
        </w:rPr>
        <w:t>The</w:t>
      </w:r>
      <w:r>
        <w:rPr>
          <w:rFonts w:ascii="Segoe UI" w:hAnsi="Segoe UI" w:cs="Segoe UI" w:eastAsia="Segoe UI"/>
          <w:color w:val="231F20"/>
          <w:spacing w:val="-5"/>
          <w:sz w:val="16"/>
          <w:szCs w:val="16"/>
        </w:rPr>
        <w:t> </w:t>
      </w:r>
      <w:r>
        <w:rPr>
          <w:rFonts w:ascii="Segoe UI" w:hAnsi="Segoe UI" w:cs="Segoe UI" w:eastAsia="Segoe UI"/>
          <w:color w:val="231F20"/>
          <w:sz w:val="16"/>
          <w:szCs w:val="16"/>
        </w:rPr>
        <w:t>NAPLAN</w:t>
      </w:r>
      <w:r>
        <w:rPr>
          <w:rFonts w:ascii="Segoe UI" w:hAnsi="Segoe UI" w:cs="Segoe UI" w:eastAsia="Segoe UI"/>
          <w:color w:val="231F20"/>
          <w:spacing w:val="-4"/>
          <w:sz w:val="16"/>
          <w:szCs w:val="16"/>
        </w:rPr>
        <w:t> </w:t>
      </w:r>
      <w:r>
        <w:rPr>
          <w:rFonts w:ascii="Segoe UI" w:hAnsi="Segoe UI" w:cs="Segoe UI" w:eastAsia="Segoe UI"/>
          <w:color w:val="231F20"/>
          <w:sz w:val="16"/>
          <w:szCs w:val="16"/>
        </w:rPr>
        <w:t>average</w:t>
      </w:r>
      <w:r>
        <w:rPr>
          <w:rFonts w:ascii="Segoe UI" w:hAnsi="Segoe UI" w:cs="Segoe UI" w:eastAsia="Segoe UI"/>
          <w:color w:val="231F20"/>
          <w:spacing w:val="-6"/>
          <w:sz w:val="16"/>
          <w:szCs w:val="16"/>
        </w:rPr>
        <w:t> </w:t>
      </w:r>
      <w:r>
        <w:rPr>
          <w:rFonts w:ascii="Segoe UI" w:hAnsi="Segoe UI" w:cs="Segoe UI" w:eastAsia="Segoe UI"/>
          <w:color w:val="231F20"/>
          <w:spacing w:val="-1"/>
          <w:sz w:val="16"/>
          <w:szCs w:val="16"/>
        </w:rPr>
        <w:t>is</w:t>
      </w:r>
      <w:r>
        <w:rPr>
          <w:rFonts w:ascii="Segoe UI" w:hAnsi="Segoe UI" w:cs="Segoe UI" w:eastAsia="Segoe UI"/>
          <w:color w:val="231F20"/>
          <w:spacing w:val="-5"/>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average</w:t>
      </w:r>
      <w:r>
        <w:rPr>
          <w:rFonts w:ascii="Segoe UI" w:hAnsi="Segoe UI" w:cs="Segoe UI" w:eastAsia="Segoe UI"/>
          <w:color w:val="231F20"/>
          <w:spacing w:val="-5"/>
          <w:sz w:val="16"/>
          <w:szCs w:val="16"/>
        </w:rPr>
        <w:t> </w:t>
      </w:r>
      <w:r>
        <w:rPr>
          <w:rFonts w:ascii="Segoe UI" w:hAnsi="Segoe UI" w:cs="Segoe UI" w:eastAsia="Segoe UI"/>
          <w:color w:val="231F20"/>
          <w:sz w:val="16"/>
          <w:szCs w:val="16"/>
        </w:rPr>
        <w:t>reported</w:t>
      </w:r>
      <w:r>
        <w:rPr>
          <w:rFonts w:ascii="Segoe UI" w:hAnsi="Segoe UI" w:cs="Segoe UI" w:eastAsia="Segoe UI"/>
          <w:color w:val="231F20"/>
          <w:spacing w:val="22"/>
          <w:w w:val="99"/>
          <w:sz w:val="16"/>
          <w:szCs w:val="16"/>
        </w:rPr>
        <w:t> </w:t>
      </w:r>
      <w:r>
        <w:rPr>
          <w:rFonts w:ascii="Segoe UI" w:hAnsi="Segoe UI" w:cs="Segoe UI" w:eastAsia="Segoe UI"/>
          <w:color w:val="231F20"/>
          <w:sz w:val="16"/>
          <w:szCs w:val="16"/>
        </w:rPr>
        <w:t>NAPLAN results for the five NAPLAN test domains</w:t>
      </w:r>
      <w:r>
        <w:rPr>
          <w:rFonts w:ascii="Segoe UI" w:hAnsi="Segoe UI" w:cs="Segoe UI" w:eastAsia="Segoe UI"/>
          <w:color w:val="231F20"/>
          <w:spacing w:val="28"/>
          <w:sz w:val="16"/>
          <w:szCs w:val="16"/>
        </w:rPr>
        <w:t> </w:t>
      </w:r>
      <w:r>
        <w:rPr>
          <w:rFonts w:ascii="Segoe UI" w:hAnsi="Segoe UI" w:cs="Segoe UI" w:eastAsia="Segoe UI"/>
          <w:color w:val="231F20"/>
          <w:sz w:val="16"/>
          <w:szCs w:val="16"/>
        </w:rPr>
        <w:t>(reading,</w:t>
      </w:r>
      <w:r>
        <w:rPr>
          <w:rFonts w:ascii="Segoe UI" w:hAnsi="Segoe UI" w:cs="Segoe UI" w:eastAsia="Segoe UI"/>
          <w:color w:val="231F20"/>
          <w:spacing w:val="-7"/>
          <w:sz w:val="16"/>
          <w:szCs w:val="16"/>
        </w:rPr>
        <w:t> </w:t>
      </w:r>
      <w:r>
        <w:rPr>
          <w:rFonts w:ascii="Segoe UI" w:hAnsi="Segoe UI" w:cs="Segoe UI" w:eastAsia="Segoe UI"/>
          <w:color w:val="231F20"/>
          <w:sz w:val="16"/>
          <w:szCs w:val="16"/>
        </w:rPr>
        <w:t>writing,</w:t>
      </w:r>
      <w:r>
        <w:rPr>
          <w:rFonts w:ascii="Segoe UI" w:hAnsi="Segoe UI" w:cs="Segoe UI" w:eastAsia="Segoe UI"/>
          <w:color w:val="231F20"/>
          <w:spacing w:val="-7"/>
          <w:sz w:val="16"/>
          <w:szCs w:val="16"/>
        </w:rPr>
        <w:t> </w:t>
      </w:r>
      <w:r>
        <w:rPr>
          <w:rFonts w:ascii="Segoe UI" w:hAnsi="Segoe UI" w:cs="Segoe UI" w:eastAsia="Segoe UI"/>
          <w:color w:val="231F20"/>
          <w:spacing w:val="-1"/>
          <w:sz w:val="16"/>
          <w:szCs w:val="16"/>
        </w:rPr>
        <w:t>spelling,</w:t>
      </w:r>
      <w:r>
        <w:rPr>
          <w:rFonts w:ascii="Segoe UI" w:hAnsi="Segoe UI" w:cs="Segoe UI" w:eastAsia="Segoe UI"/>
          <w:color w:val="231F20"/>
          <w:spacing w:val="-5"/>
          <w:sz w:val="16"/>
          <w:szCs w:val="16"/>
        </w:rPr>
        <w:t> </w:t>
      </w:r>
      <w:r>
        <w:rPr>
          <w:rFonts w:ascii="Segoe UI" w:hAnsi="Segoe UI" w:cs="Segoe UI" w:eastAsia="Segoe UI"/>
          <w:color w:val="231F20"/>
          <w:sz w:val="16"/>
          <w:szCs w:val="16"/>
        </w:rPr>
        <w:t>grammar</w:t>
      </w:r>
      <w:r>
        <w:rPr>
          <w:rFonts w:ascii="Segoe UI" w:hAnsi="Segoe UI" w:cs="Segoe UI" w:eastAsia="Segoe UI"/>
          <w:color w:val="231F20"/>
          <w:spacing w:val="-7"/>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6"/>
          <w:sz w:val="16"/>
          <w:szCs w:val="16"/>
        </w:rPr>
        <w:t> </w:t>
      </w:r>
      <w:r>
        <w:rPr>
          <w:rFonts w:ascii="Segoe UI" w:hAnsi="Segoe UI" w:cs="Segoe UI" w:eastAsia="Segoe UI"/>
          <w:color w:val="231F20"/>
          <w:sz w:val="16"/>
          <w:szCs w:val="16"/>
        </w:rPr>
        <w:t>numeracy)</w:t>
      </w:r>
      <w:r>
        <w:rPr>
          <w:rFonts w:ascii="Segoe UI" w:hAnsi="Segoe UI" w:cs="Segoe UI" w:eastAsia="Segoe UI"/>
          <w:color w:val="231F20"/>
          <w:spacing w:val="22"/>
          <w:w w:val="99"/>
          <w:sz w:val="16"/>
          <w:szCs w:val="16"/>
        </w:rPr>
        <w:t> </w:t>
      </w:r>
      <w:r>
        <w:rPr>
          <w:rFonts w:ascii="Segoe UI" w:hAnsi="Segoe UI" w:cs="Segoe UI" w:eastAsia="Segoe UI"/>
          <w:color w:val="231F20"/>
          <w:sz w:val="16"/>
          <w:szCs w:val="16"/>
        </w:rPr>
        <w:t>for</w:t>
      </w:r>
      <w:r>
        <w:rPr>
          <w:rFonts w:ascii="Segoe UI" w:hAnsi="Segoe UI" w:cs="Segoe UI" w:eastAsia="Segoe UI"/>
          <w:color w:val="231F20"/>
          <w:spacing w:val="-2"/>
          <w:sz w:val="16"/>
          <w:szCs w:val="16"/>
        </w:rPr>
        <w:t> </w:t>
      </w:r>
      <w:r>
        <w:rPr>
          <w:rFonts w:ascii="Segoe UI" w:hAnsi="Segoe UI" w:cs="Segoe UI" w:eastAsia="Segoe UI"/>
          <w:color w:val="231F20"/>
          <w:spacing w:val="-3"/>
          <w:sz w:val="16"/>
          <w:szCs w:val="16"/>
        </w:rPr>
        <w:t>Years</w:t>
      </w:r>
      <w:r>
        <w:rPr>
          <w:rFonts w:ascii="Segoe UI" w:hAnsi="Segoe UI" w:cs="Segoe UI" w:eastAsia="Segoe UI"/>
          <w:color w:val="231F20"/>
          <w:spacing w:val="-2"/>
          <w:sz w:val="16"/>
          <w:szCs w:val="16"/>
        </w:rPr>
        <w:t> </w:t>
      </w:r>
      <w:r>
        <w:rPr>
          <w:rFonts w:ascii="Segoe UI" w:hAnsi="Segoe UI" w:cs="Segoe UI" w:eastAsia="Segoe UI"/>
          <w:color w:val="231F20"/>
          <w:sz w:val="16"/>
          <w:szCs w:val="16"/>
        </w:rPr>
        <w:t>7</w:t>
      </w:r>
      <w:r>
        <w:rPr>
          <w:rFonts w:ascii="Segoe UI" w:hAnsi="Segoe UI" w:cs="Segoe UI" w:eastAsia="Segoe UI"/>
          <w:color w:val="231F20"/>
          <w:spacing w:val="-2"/>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9,</w:t>
      </w:r>
      <w:r>
        <w:rPr>
          <w:rFonts w:ascii="Segoe UI" w:hAnsi="Segoe UI" w:cs="Segoe UI" w:eastAsia="Segoe UI"/>
          <w:color w:val="231F20"/>
          <w:spacing w:val="-2"/>
          <w:sz w:val="16"/>
          <w:szCs w:val="16"/>
        </w:rPr>
        <w:t> </w:t>
      </w:r>
      <w:r>
        <w:rPr>
          <w:rFonts w:ascii="Segoe UI" w:hAnsi="Segoe UI" w:cs="Segoe UI" w:eastAsia="Segoe UI"/>
          <w:color w:val="231F20"/>
          <w:sz w:val="16"/>
          <w:szCs w:val="16"/>
        </w:rPr>
        <w:t>for</w:t>
      </w:r>
      <w:r>
        <w:rPr>
          <w:rFonts w:ascii="Segoe UI" w:hAnsi="Segoe UI" w:cs="Segoe UI" w:eastAsia="Segoe UI"/>
          <w:color w:val="231F20"/>
          <w:spacing w:val="-2"/>
          <w:sz w:val="16"/>
          <w:szCs w:val="16"/>
        </w:rPr>
        <w:t> </w:t>
      </w:r>
      <w:r>
        <w:rPr>
          <w:rFonts w:ascii="Segoe UI" w:hAnsi="Segoe UI" w:cs="Segoe UI" w:eastAsia="Segoe UI"/>
          <w:color w:val="231F20"/>
          <w:sz w:val="16"/>
          <w:szCs w:val="16"/>
        </w:rPr>
        <w:t>both</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2016</w:t>
      </w:r>
      <w:r>
        <w:rPr>
          <w:rFonts w:ascii="Segoe UI" w:hAnsi="Segoe UI" w:cs="Segoe UI" w:eastAsia="Segoe UI"/>
          <w:color w:val="231F20"/>
          <w:spacing w:val="-2"/>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2017.</w:t>
      </w:r>
      <w:r>
        <w:rPr>
          <w:rFonts w:ascii="Segoe UI" w:hAnsi="Segoe UI" w:cs="Segoe UI" w:eastAsia="Segoe UI"/>
          <w:color w:val="231F20"/>
          <w:spacing w:val="-2"/>
          <w:sz w:val="16"/>
          <w:szCs w:val="16"/>
        </w:rPr>
        <w:t> </w:t>
      </w:r>
      <w:r>
        <w:rPr>
          <w:rFonts w:ascii="Segoe UI" w:hAnsi="Segoe UI" w:cs="Segoe UI" w:eastAsia="Segoe UI"/>
          <w:color w:val="231F20"/>
          <w:sz w:val="16"/>
          <w:szCs w:val="16"/>
        </w:rPr>
        <w:t>This</w:t>
      </w:r>
      <w:r>
        <w:rPr>
          <w:rFonts w:ascii="Segoe UI" w:hAnsi="Segoe UI" w:cs="Segoe UI" w:eastAsia="Segoe UI"/>
          <w:color w:val="231F20"/>
          <w:spacing w:val="-3"/>
          <w:sz w:val="16"/>
          <w:szCs w:val="16"/>
        </w:rPr>
        <w:t> </w:t>
      </w:r>
      <w:r>
        <w:rPr>
          <w:rFonts w:ascii="Segoe UI" w:hAnsi="Segoe UI" w:cs="Segoe UI" w:eastAsia="Segoe UI"/>
          <w:color w:val="231F20"/>
          <w:sz w:val="16"/>
          <w:szCs w:val="16"/>
        </w:rPr>
        <w:t>data</w:t>
      </w:r>
      <w:r>
        <w:rPr>
          <w:rFonts w:ascii="Segoe UI" w:hAnsi="Segoe UI" w:cs="Segoe UI" w:eastAsia="Segoe UI"/>
          <w:color w:val="231F20"/>
          <w:spacing w:val="24"/>
          <w:w w:val="99"/>
          <w:sz w:val="16"/>
          <w:szCs w:val="16"/>
        </w:rPr>
        <w:t> </w:t>
      </w:r>
      <w:r>
        <w:rPr>
          <w:rFonts w:ascii="Segoe UI" w:hAnsi="Segoe UI" w:cs="Segoe UI" w:eastAsia="Segoe UI"/>
          <w:color w:val="231F20"/>
          <w:sz w:val="16"/>
          <w:szCs w:val="16"/>
        </w:rPr>
        <w:t>was</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sourced</w:t>
      </w:r>
      <w:r>
        <w:rPr>
          <w:rFonts w:ascii="Segoe UI" w:hAnsi="Segoe UI" w:cs="Segoe UI" w:eastAsia="Segoe UI"/>
          <w:color w:val="231F20"/>
          <w:spacing w:val="-5"/>
          <w:sz w:val="16"/>
          <w:szCs w:val="16"/>
        </w:rPr>
        <w:t> </w:t>
      </w:r>
      <w:r>
        <w:rPr>
          <w:rFonts w:ascii="Segoe UI" w:hAnsi="Segoe UI" w:cs="Segoe UI" w:eastAsia="Segoe UI"/>
          <w:color w:val="231F20"/>
          <w:sz w:val="16"/>
          <w:szCs w:val="16"/>
        </w:rPr>
        <w:t>from</w:t>
      </w:r>
      <w:r>
        <w:rPr>
          <w:rFonts w:ascii="Segoe UI" w:hAnsi="Segoe UI" w:cs="Segoe UI" w:eastAsia="Segoe UI"/>
          <w:color w:val="231F20"/>
          <w:spacing w:val="-4"/>
          <w:sz w:val="16"/>
          <w:szCs w:val="16"/>
        </w:rPr>
        <w:t> </w:t>
      </w:r>
      <w:r>
        <w:rPr>
          <w:rFonts w:ascii="Segoe UI" w:hAnsi="Segoe UI" w:cs="Segoe UI" w:eastAsia="Segoe UI"/>
          <w:color w:val="231F20"/>
          <w:spacing w:val="-2"/>
          <w:sz w:val="16"/>
          <w:szCs w:val="16"/>
        </w:rPr>
        <w:t>ACARA’s</w:t>
      </w:r>
      <w:r>
        <w:rPr>
          <w:rFonts w:ascii="Segoe UI" w:hAnsi="Segoe UI" w:cs="Segoe UI" w:eastAsia="Segoe UI"/>
          <w:color w:val="231F20"/>
          <w:spacing w:val="-4"/>
          <w:sz w:val="16"/>
          <w:szCs w:val="16"/>
        </w:rPr>
        <w:t> </w:t>
      </w:r>
      <w:r>
        <w:rPr>
          <w:rFonts w:ascii="Segoe UI" w:hAnsi="Segoe UI" w:cs="Segoe UI" w:eastAsia="Segoe UI"/>
          <w:color w:val="231F20"/>
          <w:sz w:val="16"/>
          <w:szCs w:val="16"/>
        </w:rPr>
        <w:t>MySchool</w:t>
      </w:r>
      <w:r>
        <w:rPr>
          <w:rFonts w:ascii="Segoe UI" w:hAnsi="Segoe UI" w:cs="Segoe UI" w:eastAsia="Segoe UI"/>
          <w:color w:val="231F20"/>
          <w:spacing w:val="-5"/>
          <w:sz w:val="16"/>
          <w:szCs w:val="16"/>
        </w:rPr>
        <w:t> </w:t>
      </w:r>
      <w:r>
        <w:rPr>
          <w:rFonts w:ascii="Segoe UI" w:hAnsi="Segoe UI" w:cs="Segoe UI" w:eastAsia="Segoe UI"/>
          <w:color w:val="231F20"/>
          <w:sz w:val="16"/>
          <w:szCs w:val="16"/>
        </w:rPr>
        <w:t>website.</w:t>
      </w:r>
      <w:r>
        <w:rPr>
          <w:rFonts w:ascii="Segoe UI" w:hAnsi="Segoe UI" w:cs="Segoe UI" w:eastAsia="Segoe UI"/>
          <w:color w:val="231F20"/>
          <w:spacing w:val="-5"/>
          <w:sz w:val="16"/>
          <w:szCs w:val="16"/>
        </w:rPr>
        <w:t> </w:t>
      </w:r>
      <w:r>
        <w:rPr>
          <w:rFonts w:ascii="Segoe UI" w:hAnsi="Segoe UI" w:cs="Segoe UI" w:eastAsia="Segoe UI"/>
          <w:color w:val="231F20"/>
          <w:sz w:val="16"/>
          <w:szCs w:val="16"/>
        </w:rPr>
        <w:t>This</w:t>
      </w:r>
      <w:r>
        <w:rPr>
          <w:rFonts w:ascii="Segoe UI" w:hAnsi="Segoe UI" w:cs="Segoe UI" w:eastAsia="Segoe UI"/>
          <w:color w:val="231F20"/>
          <w:spacing w:val="27"/>
          <w:sz w:val="16"/>
          <w:szCs w:val="16"/>
        </w:rPr>
        <w:t> </w:t>
      </w:r>
      <w:r>
        <w:rPr>
          <w:rFonts w:ascii="Segoe UI" w:hAnsi="Segoe UI" w:cs="Segoe UI" w:eastAsia="Segoe UI"/>
          <w:color w:val="231F20"/>
          <w:spacing w:val="-1"/>
          <w:sz w:val="16"/>
          <w:szCs w:val="16"/>
        </w:rPr>
        <w:t>indicates</w:t>
      </w:r>
      <w:r>
        <w:rPr>
          <w:rFonts w:ascii="Segoe UI" w:hAnsi="Segoe UI" w:cs="Segoe UI" w:eastAsia="Segoe UI"/>
          <w:color w:val="231F20"/>
          <w:spacing w:val="-6"/>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6"/>
          <w:sz w:val="16"/>
          <w:szCs w:val="16"/>
        </w:rPr>
        <w:t> </w:t>
      </w:r>
      <w:r>
        <w:rPr>
          <w:rFonts w:ascii="Segoe UI" w:hAnsi="Segoe UI" w:cs="Segoe UI" w:eastAsia="Segoe UI"/>
          <w:color w:val="231F20"/>
          <w:sz w:val="16"/>
          <w:szCs w:val="16"/>
        </w:rPr>
        <w:t>relative</w:t>
      </w:r>
      <w:r>
        <w:rPr>
          <w:rFonts w:ascii="Segoe UI" w:hAnsi="Segoe UI" w:cs="Segoe UI" w:eastAsia="Segoe UI"/>
          <w:color w:val="231F20"/>
          <w:spacing w:val="-6"/>
          <w:sz w:val="16"/>
          <w:szCs w:val="16"/>
        </w:rPr>
        <w:t> </w:t>
      </w:r>
      <w:r>
        <w:rPr>
          <w:rFonts w:ascii="Segoe UI" w:hAnsi="Segoe UI" w:cs="Segoe UI" w:eastAsia="Segoe UI"/>
          <w:color w:val="231F20"/>
          <w:spacing w:val="-1"/>
          <w:sz w:val="16"/>
          <w:szCs w:val="16"/>
        </w:rPr>
        <w:t>level</w:t>
      </w:r>
      <w:r>
        <w:rPr>
          <w:rFonts w:ascii="Segoe UI" w:hAnsi="Segoe UI" w:cs="Segoe UI" w:eastAsia="Segoe UI"/>
          <w:color w:val="231F20"/>
          <w:spacing w:val="-5"/>
          <w:sz w:val="16"/>
          <w:szCs w:val="16"/>
        </w:rPr>
        <w:t> </w:t>
      </w:r>
      <w:r>
        <w:rPr>
          <w:rFonts w:ascii="Segoe UI" w:hAnsi="Segoe UI" w:cs="Segoe UI" w:eastAsia="Segoe UI"/>
          <w:color w:val="231F20"/>
          <w:sz w:val="16"/>
          <w:szCs w:val="16"/>
        </w:rPr>
        <w:t>of</w:t>
      </w:r>
      <w:r>
        <w:rPr>
          <w:rFonts w:ascii="Segoe UI" w:hAnsi="Segoe UI" w:cs="Segoe UI" w:eastAsia="Segoe UI"/>
          <w:color w:val="231F20"/>
          <w:spacing w:val="-5"/>
          <w:sz w:val="16"/>
          <w:szCs w:val="16"/>
        </w:rPr>
        <w:t> </w:t>
      </w:r>
      <w:r>
        <w:rPr>
          <w:rFonts w:ascii="Segoe UI" w:hAnsi="Segoe UI" w:cs="Segoe UI" w:eastAsia="Segoe UI"/>
          <w:color w:val="231F20"/>
          <w:sz w:val="16"/>
          <w:szCs w:val="16"/>
        </w:rPr>
        <w:t>academic</w:t>
      </w:r>
      <w:r>
        <w:rPr>
          <w:rFonts w:ascii="Segoe UI" w:hAnsi="Segoe UI" w:cs="Segoe UI" w:eastAsia="Segoe UI"/>
          <w:color w:val="231F20"/>
          <w:spacing w:val="-6"/>
          <w:sz w:val="16"/>
          <w:szCs w:val="16"/>
        </w:rPr>
        <w:t> </w:t>
      </w:r>
      <w:r>
        <w:rPr>
          <w:rFonts w:ascii="Segoe UI" w:hAnsi="Segoe UI" w:cs="Segoe UI" w:eastAsia="Segoe UI"/>
          <w:color w:val="231F20"/>
          <w:sz w:val="16"/>
          <w:szCs w:val="16"/>
        </w:rPr>
        <w:t>achievement</w:t>
      </w:r>
      <w:r>
        <w:rPr>
          <w:rFonts w:ascii="Segoe UI" w:hAnsi="Segoe UI" w:cs="Segoe UI" w:eastAsia="Segoe UI"/>
          <w:color w:val="231F20"/>
          <w:spacing w:val="23"/>
          <w:w w:val="99"/>
          <w:sz w:val="16"/>
          <w:szCs w:val="16"/>
        </w:rPr>
        <w:t> </w:t>
      </w:r>
      <w:r>
        <w:rPr>
          <w:rFonts w:ascii="Segoe UI" w:hAnsi="Segoe UI" w:cs="Segoe UI" w:eastAsia="Segoe UI"/>
          <w:color w:val="231F20"/>
          <w:sz w:val="16"/>
          <w:szCs w:val="16"/>
        </w:rPr>
        <w:t>for</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students</w:t>
      </w:r>
      <w:r>
        <w:rPr>
          <w:rFonts w:ascii="Segoe UI" w:hAnsi="Segoe UI" w:cs="Segoe UI" w:eastAsia="Segoe UI"/>
          <w:color w:val="231F20"/>
          <w:spacing w:val="-3"/>
          <w:sz w:val="16"/>
          <w:szCs w:val="16"/>
        </w:rPr>
        <w:t> </w:t>
      </w:r>
      <w:r>
        <w:rPr>
          <w:rFonts w:ascii="Segoe UI" w:hAnsi="Segoe UI" w:cs="Segoe UI" w:eastAsia="Segoe UI"/>
          <w:color w:val="231F20"/>
          <w:sz w:val="16"/>
          <w:szCs w:val="16"/>
        </w:rPr>
        <w:t>from</w:t>
      </w:r>
      <w:r>
        <w:rPr>
          <w:rFonts w:ascii="Segoe UI" w:hAnsi="Segoe UI" w:cs="Segoe UI" w:eastAsia="Segoe UI"/>
          <w:color w:val="231F20"/>
          <w:spacing w:val="-3"/>
          <w:sz w:val="16"/>
          <w:szCs w:val="16"/>
        </w:rPr>
        <w:t> </w:t>
      </w:r>
      <w:r>
        <w:rPr>
          <w:rFonts w:ascii="Segoe UI" w:hAnsi="Segoe UI" w:cs="Segoe UI" w:eastAsia="Segoe UI"/>
          <w:color w:val="231F20"/>
          <w:sz w:val="16"/>
          <w:szCs w:val="16"/>
        </w:rPr>
        <w:t>each</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school</w:t>
      </w:r>
      <w:r>
        <w:rPr>
          <w:rFonts w:ascii="Segoe UI" w:hAnsi="Segoe UI" w:cs="Segoe UI" w:eastAsia="Segoe UI"/>
          <w:color w:val="231F20"/>
          <w:spacing w:val="-3"/>
          <w:sz w:val="16"/>
          <w:szCs w:val="16"/>
        </w:rPr>
        <w:t> </w:t>
      </w:r>
      <w:r>
        <w:rPr>
          <w:rFonts w:ascii="Segoe UI" w:hAnsi="Segoe UI" w:cs="Segoe UI" w:eastAsia="Segoe UI"/>
          <w:color w:val="231F20"/>
          <w:sz w:val="16"/>
          <w:szCs w:val="16"/>
        </w:rPr>
        <w:t>who</w:t>
      </w:r>
      <w:r>
        <w:rPr>
          <w:rFonts w:ascii="Segoe UI" w:hAnsi="Segoe UI" w:cs="Segoe UI" w:eastAsia="Segoe UI"/>
          <w:color w:val="231F20"/>
          <w:spacing w:val="-4"/>
          <w:sz w:val="16"/>
          <w:szCs w:val="16"/>
        </w:rPr>
        <w:t> </w:t>
      </w:r>
      <w:r>
        <w:rPr>
          <w:rFonts w:ascii="Segoe UI" w:hAnsi="Segoe UI" w:cs="Segoe UI" w:eastAsia="Segoe UI"/>
          <w:color w:val="231F20"/>
          <w:sz w:val="16"/>
          <w:szCs w:val="16"/>
        </w:rPr>
        <w:t>participated</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in</w:t>
      </w:r>
      <w:r>
        <w:rPr>
          <w:rFonts w:ascii="Segoe UI" w:hAnsi="Segoe UI" w:cs="Segoe UI" w:eastAsia="Segoe UI"/>
          <w:color w:val="231F20"/>
          <w:spacing w:val="22"/>
          <w:sz w:val="16"/>
          <w:szCs w:val="16"/>
        </w:rPr>
        <w:t> </w:t>
      </w:r>
      <w:r>
        <w:rPr>
          <w:rFonts w:ascii="Segoe UI" w:hAnsi="Segoe UI" w:cs="Segoe UI" w:eastAsia="Segoe UI"/>
          <w:color w:val="231F20"/>
          <w:spacing w:val="-1"/>
          <w:sz w:val="16"/>
          <w:szCs w:val="16"/>
        </w:rPr>
        <w:t>standardised</w:t>
      </w:r>
      <w:r>
        <w:rPr>
          <w:rFonts w:ascii="Segoe UI" w:hAnsi="Segoe UI" w:cs="Segoe UI" w:eastAsia="Segoe UI"/>
          <w:color w:val="231F20"/>
          <w:spacing w:val="-6"/>
          <w:sz w:val="16"/>
          <w:szCs w:val="16"/>
        </w:rPr>
        <w:t> </w:t>
      </w:r>
      <w:r>
        <w:rPr>
          <w:rFonts w:ascii="Segoe UI" w:hAnsi="Segoe UI" w:cs="Segoe UI" w:eastAsia="Segoe UI"/>
          <w:color w:val="231F20"/>
          <w:sz w:val="16"/>
          <w:szCs w:val="16"/>
        </w:rPr>
        <w:t>NAPLAN</w:t>
      </w:r>
      <w:r>
        <w:rPr>
          <w:rFonts w:ascii="Segoe UI" w:hAnsi="Segoe UI" w:cs="Segoe UI" w:eastAsia="Segoe UI"/>
          <w:color w:val="231F20"/>
          <w:spacing w:val="-6"/>
          <w:sz w:val="16"/>
          <w:szCs w:val="16"/>
        </w:rPr>
        <w:t> </w:t>
      </w:r>
      <w:r>
        <w:rPr>
          <w:rFonts w:ascii="Segoe UI" w:hAnsi="Segoe UI" w:cs="Segoe UI" w:eastAsia="Segoe UI"/>
          <w:color w:val="231F20"/>
          <w:sz w:val="16"/>
          <w:szCs w:val="16"/>
        </w:rPr>
        <w:t>testing</w:t>
      </w:r>
      <w:r>
        <w:rPr>
          <w:rFonts w:ascii="Segoe UI" w:hAnsi="Segoe UI" w:cs="Segoe UI" w:eastAsia="Segoe UI"/>
          <w:color w:val="231F20"/>
          <w:spacing w:val="-7"/>
          <w:sz w:val="16"/>
          <w:szCs w:val="16"/>
        </w:rPr>
        <w:t> </w:t>
      </w:r>
      <w:r>
        <w:rPr>
          <w:rFonts w:ascii="Segoe UI" w:hAnsi="Segoe UI" w:cs="Segoe UI" w:eastAsia="Segoe UI"/>
          <w:color w:val="231F20"/>
          <w:sz w:val="16"/>
          <w:szCs w:val="16"/>
        </w:rPr>
        <w:t>over</w:t>
      </w:r>
      <w:r>
        <w:rPr>
          <w:rFonts w:ascii="Segoe UI" w:hAnsi="Segoe UI" w:cs="Segoe UI" w:eastAsia="Segoe UI"/>
          <w:color w:val="231F20"/>
          <w:spacing w:val="-6"/>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7"/>
          <w:sz w:val="16"/>
          <w:szCs w:val="16"/>
        </w:rPr>
        <w:t> </w:t>
      </w:r>
      <w:r>
        <w:rPr>
          <w:rFonts w:ascii="Segoe UI" w:hAnsi="Segoe UI" w:cs="Segoe UI" w:eastAsia="Segoe UI"/>
          <w:color w:val="231F20"/>
          <w:sz w:val="16"/>
          <w:szCs w:val="16"/>
        </w:rPr>
        <w:t>nominated</w:t>
      </w:r>
      <w:r>
        <w:rPr>
          <w:rFonts w:ascii="Segoe UI" w:hAnsi="Segoe UI" w:cs="Segoe UI" w:eastAsia="Segoe UI"/>
          <w:color w:val="231F20"/>
          <w:spacing w:val="26"/>
          <w:w w:val="99"/>
          <w:sz w:val="16"/>
          <w:szCs w:val="16"/>
        </w:rPr>
        <w:t> </w:t>
      </w:r>
      <w:r>
        <w:rPr>
          <w:rFonts w:ascii="Segoe UI" w:hAnsi="Segoe UI" w:cs="Segoe UI" w:eastAsia="Segoe UI"/>
          <w:color w:val="231F20"/>
          <w:sz w:val="16"/>
          <w:szCs w:val="16"/>
        </w:rPr>
        <w:t>years.</w:t>
      </w:r>
      <w:r>
        <w:rPr>
          <w:rFonts w:ascii="Segoe UI" w:hAnsi="Segoe UI" w:cs="Segoe UI" w:eastAsia="Segoe UI"/>
          <w:sz w:val="16"/>
          <w:szCs w:val="16"/>
        </w:rPr>
      </w:r>
    </w:p>
    <w:p>
      <w:pPr>
        <w:numPr>
          <w:ilvl w:val="0"/>
          <w:numId w:val="11"/>
        </w:numPr>
        <w:tabs>
          <w:tab w:pos="668" w:val="left" w:leader="none"/>
        </w:tabs>
        <w:spacing w:line="200" w:lineRule="exact" w:before="113"/>
        <w:ind w:left="667" w:right="567" w:hanging="567"/>
        <w:jc w:val="left"/>
        <w:rPr>
          <w:rFonts w:ascii="Segoe UI" w:hAnsi="Segoe UI" w:cs="Segoe UI" w:eastAsia="Segoe UI"/>
          <w:sz w:val="16"/>
          <w:szCs w:val="16"/>
        </w:rPr>
      </w:pPr>
      <w:r>
        <w:rPr>
          <w:rFonts w:ascii="Segoe UI"/>
          <w:color w:val="231F20"/>
          <w:spacing w:val="-1"/>
          <w:sz w:val="16"/>
        </w:rPr>
        <w:t>Consultation,</w:t>
      </w:r>
      <w:r>
        <w:rPr>
          <w:rFonts w:ascii="Segoe UI"/>
          <w:color w:val="231F20"/>
          <w:spacing w:val="-4"/>
          <w:sz w:val="16"/>
        </w:rPr>
        <w:t> </w:t>
      </w:r>
      <w:r>
        <w:rPr>
          <w:rFonts w:ascii="Segoe UI"/>
          <w:color w:val="231F20"/>
          <w:spacing w:val="-3"/>
          <w:sz w:val="16"/>
        </w:rPr>
        <w:t>St</w:t>
      </w:r>
      <w:r>
        <w:rPr>
          <w:rFonts w:ascii="Segoe UI"/>
          <w:color w:val="231F20"/>
          <w:spacing w:val="-4"/>
          <w:sz w:val="16"/>
        </w:rPr>
        <w:t> </w:t>
      </w:r>
      <w:r>
        <w:rPr>
          <w:rFonts w:ascii="Segoe UI"/>
          <w:color w:val="231F20"/>
          <w:sz w:val="16"/>
        </w:rPr>
        <w:t>Philips</w:t>
      </w:r>
      <w:r>
        <w:rPr>
          <w:rFonts w:ascii="Segoe UI"/>
          <w:color w:val="231F20"/>
          <w:spacing w:val="-3"/>
          <w:sz w:val="16"/>
        </w:rPr>
        <w:t> </w:t>
      </w:r>
      <w:r>
        <w:rPr>
          <w:rFonts w:ascii="Segoe UI"/>
          <w:color w:val="231F20"/>
          <w:spacing w:val="-1"/>
          <w:sz w:val="16"/>
        </w:rPr>
        <w:t>College,</w:t>
      </w:r>
      <w:r>
        <w:rPr>
          <w:rFonts w:ascii="Segoe UI"/>
          <w:color w:val="231F20"/>
          <w:spacing w:val="-5"/>
          <w:sz w:val="16"/>
        </w:rPr>
        <w:t> </w:t>
      </w:r>
      <w:r>
        <w:rPr>
          <w:rFonts w:ascii="Segoe UI"/>
          <w:color w:val="231F20"/>
          <w:sz w:val="16"/>
        </w:rPr>
        <w:t>Alice</w:t>
      </w:r>
      <w:r>
        <w:rPr>
          <w:rFonts w:ascii="Segoe UI"/>
          <w:color w:val="231F20"/>
          <w:spacing w:val="-3"/>
          <w:sz w:val="16"/>
        </w:rPr>
        <w:t> </w:t>
      </w:r>
      <w:r>
        <w:rPr>
          <w:rFonts w:ascii="Segoe UI"/>
          <w:color w:val="231F20"/>
          <w:spacing w:val="-1"/>
          <w:sz w:val="16"/>
        </w:rPr>
        <w:t>Springs,</w:t>
      </w:r>
      <w:r>
        <w:rPr>
          <w:rFonts w:ascii="Segoe UI"/>
          <w:color w:val="231F20"/>
          <w:spacing w:val="25"/>
          <w:w w:val="99"/>
          <w:sz w:val="16"/>
        </w:rPr>
        <w:t> </w:t>
      </w:r>
      <w:r>
        <w:rPr>
          <w:rFonts w:ascii="Segoe UI"/>
          <w:color w:val="231F20"/>
          <w:sz w:val="16"/>
        </w:rPr>
        <w:t>August</w:t>
      </w:r>
      <w:r>
        <w:rPr>
          <w:rFonts w:ascii="Segoe UI"/>
          <w:color w:val="231F20"/>
          <w:spacing w:val="-5"/>
          <w:sz w:val="16"/>
        </w:rPr>
        <w:t> </w:t>
      </w:r>
      <w:r>
        <w:rPr>
          <w:rFonts w:ascii="Segoe UI"/>
          <w:color w:val="231F20"/>
          <w:sz w:val="16"/>
        </w:rPr>
        <w:t>2018</w:t>
      </w:r>
      <w:r>
        <w:rPr>
          <w:rFonts w:ascii="Segoe UI"/>
          <w:sz w:val="16"/>
        </w:rPr>
      </w:r>
    </w:p>
    <w:p>
      <w:pPr>
        <w:numPr>
          <w:ilvl w:val="0"/>
          <w:numId w:val="11"/>
        </w:numPr>
        <w:tabs>
          <w:tab w:pos="668" w:val="left" w:leader="none"/>
        </w:tabs>
        <w:spacing w:before="100"/>
        <w:ind w:left="667" w:right="0" w:hanging="567"/>
        <w:jc w:val="left"/>
        <w:rPr>
          <w:rFonts w:ascii="Segoe UI" w:hAnsi="Segoe UI" w:cs="Segoe UI" w:eastAsia="Segoe UI"/>
          <w:sz w:val="16"/>
          <w:szCs w:val="16"/>
        </w:rPr>
      </w:pPr>
      <w:r>
        <w:rPr>
          <w:rFonts w:ascii="Segoe UI"/>
          <w:color w:val="231F20"/>
          <w:spacing w:val="-1"/>
          <w:sz w:val="16"/>
        </w:rPr>
        <w:t>Berry</w:t>
      </w:r>
      <w:r>
        <w:rPr>
          <w:rFonts w:ascii="Segoe UI"/>
          <w:color w:val="231F20"/>
          <w:spacing w:val="-12"/>
          <w:sz w:val="16"/>
        </w:rPr>
        <w:t> </w:t>
      </w:r>
      <w:r>
        <w:rPr>
          <w:rFonts w:ascii="Segoe UI"/>
          <w:color w:val="231F20"/>
          <w:spacing w:val="-1"/>
          <w:sz w:val="16"/>
        </w:rPr>
        <w:t>Street,</w:t>
      </w:r>
      <w:r>
        <w:rPr>
          <w:rFonts w:ascii="Segoe UI"/>
          <w:color w:val="231F20"/>
          <w:spacing w:val="-13"/>
          <w:sz w:val="16"/>
        </w:rPr>
        <w:t> </w:t>
      </w:r>
      <w:hyperlink r:id="rId115">
        <w:r>
          <w:rPr>
            <w:rFonts w:ascii="Segoe UI"/>
            <w:color w:val="231F20"/>
            <w:spacing w:val="-1"/>
            <w:sz w:val="16"/>
          </w:rPr>
          <w:t>www.berrystreet.org.au</w:t>
        </w:r>
        <w:r>
          <w:rPr>
            <w:rFonts w:ascii="Segoe UI"/>
            <w:sz w:val="16"/>
          </w:rPr>
        </w:r>
      </w:hyperlink>
    </w:p>
    <w:p>
      <w:pPr>
        <w:spacing w:after="0"/>
        <w:jc w:val="left"/>
        <w:rPr>
          <w:rFonts w:ascii="Segoe UI" w:hAnsi="Segoe UI" w:cs="Segoe UI" w:eastAsia="Segoe UI"/>
          <w:sz w:val="16"/>
          <w:szCs w:val="16"/>
        </w:rPr>
        <w:sectPr>
          <w:type w:val="continuous"/>
          <w:pgSz w:w="11910" w:h="16840"/>
          <w:pgMar w:top="1580" w:bottom="280" w:left="1600" w:right="1300"/>
          <w:cols w:num="2" w:equalWidth="0">
            <w:col w:w="4325" w:space="239"/>
            <w:col w:w="4446"/>
          </w:cols>
        </w:sectPr>
      </w:pPr>
    </w:p>
    <w:p>
      <w:pPr>
        <w:spacing w:line="240" w:lineRule="auto" w:before="0"/>
        <w:rPr>
          <w:rFonts w:ascii="Segoe UI" w:hAnsi="Segoe UI" w:cs="Segoe UI" w:eastAsia="Segoe UI"/>
          <w:sz w:val="20"/>
          <w:szCs w:val="20"/>
        </w:rPr>
      </w:pPr>
    </w:p>
    <w:p>
      <w:pPr>
        <w:spacing w:line="240" w:lineRule="auto" w:before="11"/>
        <w:rPr>
          <w:rFonts w:ascii="Segoe UI" w:hAnsi="Segoe UI" w:cs="Segoe UI" w:eastAsia="Segoe UI"/>
          <w:sz w:val="21"/>
          <w:szCs w:val="21"/>
        </w:rPr>
      </w:pPr>
    </w:p>
    <w:p>
      <w:pPr>
        <w:spacing w:after="0" w:line="240" w:lineRule="auto"/>
        <w:rPr>
          <w:rFonts w:ascii="Segoe UI" w:hAnsi="Segoe UI" w:cs="Segoe UI" w:eastAsia="Segoe UI"/>
          <w:sz w:val="21"/>
          <w:szCs w:val="21"/>
        </w:rPr>
        <w:sectPr>
          <w:pgSz w:w="11910" w:h="16840"/>
          <w:pgMar w:header="0" w:footer="691" w:top="1580" w:bottom="880" w:left="1300" w:right="1600"/>
        </w:sectPr>
      </w:pPr>
    </w:p>
    <w:p>
      <w:pPr>
        <w:numPr>
          <w:ilvl w:val="0"/>
          <w:numId w:val="11"/>
        </w:numPr>
        <w:tabs>
          <w:tab w:pos="671" w:val="left" w:leader="none"/>
        </w:tabs>
        <w:spacing w:before="57"/>
        <w:ind w:left="670" w:right="0" w:hanging="567"/>
        <w:jc w:val="left"/>
        <w:rPr>
          <w:rFonts w:ascii="Segoe UI" w:hAnsi="Segoe UI" w:cs="Segoe UI" w:eastAsia="Segoe UI"/>
          <w:sz w:val="16"/>
          <w:szCs w:val="16"/>
        </w:rPr>
      </w:pPr>
      <w:r>
        <w:rPr>
          <w:rFonts w:ascii="Segoe UI"/>
          <w:color w:val="231F20"/>
          <w:sz w:val="16"/>
        </w:rPr>
        <w:t>The case study has been </w:t>
      </w:r>
      <w:r>
        <w:rPr>
          <w:rFonts w:ascii="Segoe UI"/>
          <w:color w:val="231F20"/>
          <w:spacing w:val="-1"/>
          <w:sz w:val="16"/>
        </w:rPr>
        <w:t>de-identified</w:t>
      </w:r>
      <w:r>
        <w:rPr>
          <w:rFonts w:ascii="Segoe UI"/>
          <w:sz w:val="16"/>
        </w:rPr>
      </w:r>
    </w:p>
    <w:p>
      <w:pPr>
        <w:numPr>
          <w:ilvl w:val="0"/>
          <w:numId w:val="11"/>
        </w:numPr>
        <w:tabs>
          <w:tab w:pos="671" w:val="left" w:leader="none"/>
        </w:tabs>
        <w:spacing w:line="200" w:lineRule="exact" w:before="113"/>
        <w:ind w:left="670" w:right="110" w:hanging="567"/>
        <w:jc w:val="left"/>
        <w:rPr>
          <w:rFonts w:ascii="Segoe UI" w:hAnsi="Segoe UI" w:cs="Segoe UI" w:eastAsia="Segoe UI"/>
          <w:sz w:val="16"/>
          <w:szCs w:val="16"/>
        </w:rPr>
      </w:pPr>
      <w:r>
        <w:rPr/>
        <w:pict>
          <v:group style="position:absolute;margin-left:98.503899pt;margin-top:24.345276pt;width:174.95pt;height:.1pt;mso-position-horizontal-relative:page;mso-position-vertical-relative:paragraph;z-index:-219568" coordorigin="1970,487" coordsize="3499,2">
            <v:shape style="position:absolute;left:1970;top:487;width:3499;height:2" coordorigin="1970,487" coordsize="3499,0" path="m1970,487l5468,487e" filled="false" stroked="true" strokeweight=".465pt" strokecolor="#3853a4">
              <v:path arrowok="t"/>
            </v:shape>
            <w10:wrap type="none"/>
          </v:group>
        </w:pict>
      </w:r>
      <w:hyperlink r:id="rId116">
        <w:r>
          <w:rPr>
            <w:rFonts w:ascii="Segoe UI" w:hAnsi="Segoe UI" w:cs="Segoe UI" w:eastAsia="Segoe UI"/>
            <w:color w:val="3853A4"/>
            <w:spacing w:val="-1"/>
            <w:sz w:val="16"/>
            <w:szCs w:val="16"/>
            <w:u w:val="single" w:color="3853A4"/>
          </w:rPr>
          <w:t>http://www.abs.gov.au/ausstats/abs@.nsf/Lookup/</w:t>
        </w:r>
        <w:r>
          <w:rPr>
            <w:rFonts w:ascii="Segoe UI" w:hAnsi="Segoe UI" w:cs="Segoe UI" w:eastAsia="Segoe UI"/>
            <w:color w:val="3853A4"/>
            <w:w w:val="99"/>
            <w:sz w:val="16"/>
            <w:szCs w:val="16"/>
          </w:rPr>
        </w:r>
      </w:hyperlink>
      <w:r>
        <w:rPr>
          <w:rFonts w:ascii="Segoe UI" w:hAnsi="Segoe UI" w:cs="Segoe UI" w:eastAsia="Segoe UI"/>
          <w:color w:val="3853A4"/>
          <w:spacing w:val="90"/>
          <w:w w:val="99"/>
          <w:sz w:val="16"/>
          <w:szCs w:val="16"/>
        </w:rPr>
        <w:t> </w:t>
      </w:r>
      <w:r>
        <w:rPr>
          <w:rFonts w:ascii="Segoe UI" w:hAnsi="Segoe UI" w:cs="Segoe UI" w:eastAsia="Segoe UI"/>
          <w:color w:val="3853A4"/>
          <w:sz w:val="16"/>
          <w:szCs w:val="16"/>
        </w:rPr>
        <w:t>by%20Subject/4727.0.55.006~2012–13~Main%20</w:t>
      </w:r>
      <w:r>
        <w:rPr>
          <w:rFonts w:ascii="Segoe UI" w:hAnsi="Segoe UI" w:cs="Segoe UI" w:eastAsia="Segoe UI"/>
          <w:color w:val="3853A4"/>
          <w:sz w:val="16"/>
          <w:szCs w:val="16"/>
        </w:rPr>
        <w:t> </w:t>
      </w:r>
      <w:r>
        <w:rPr>
          <w:rFonts w:ascii="Segoe UI" w:hAnsi="Segoe UI" w:cs="Segoe UI" w:eastAsia="Segoe UI"/>
          <w:color w:val="3853A4"/>
          <w:w w:val="99"/>
          <w:sz w:val="16"/>
          <w:szCs w:val="16"/>
        </w:rPr>
      </w:r>
      <w:r>
        <w:rPr>
          <w:rFonts w:ascii="Segoe UI" w:hAnsi="Segoe UI" w:cs="Segoe UI" w:eastAsia="Segoe UI"/>
          <w:color w:val="3853A4"/>
          <w:spacing w:val="-1"/>
          <w:sz w:val="16"/>
          <w:szCs w:val="16"/>
          <w:u w:val="single" w:color="3853A4"/>
        </w:rPr>
        <w:t>Features~Key%20Findings~1</w:t>
      </w:r>
      <w:r>
        <w:rPr>
          <w:rFonts w:ascii="Segoe UI" w:hAnsi="Segoe UI" w:cs="Segoe UI" w:eastAsia="Segoe UI"/>
          <w:color w:val="3853A4"/>
          <w:spacing w:val="-5"/>
          <w:sz w:val="16"/>
          <w:szCs w:val="16"/>
          <w:u w:val="single" w:color="3853A4"/>
        </w:rPr>
        <w:t> </w:t>
      </w:r>
      <w:r>
        <w:rPr>
          <w:rFonts w:ascii="Segoe UI" w:hAnsi="Segoe UI" w:cs="Segoe UI" w:eastAsia="Segoe UI"/>
          <w:color w:val="3853A4"/>
          <w:spacing w:val="-5"/>
          <w:sz w:val="16"/>
          <w:szCs w:val="16"/>
        </w:rPr>
      </w:r>
      <w:r>
        <w:rPr>
          <w:rFonts w:ascii="Segoe UI" w:hAnsi="Segoe UI" w:cs="Segoe UI" w:eastAsia="Segoe UI"/>
          <w:color w:val="231F20"/>
          <w:sz w:val="16"/>
          <w:szCs w:val="16"/>
        </w:rPr>
        <w:t>and</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Closing</w:t>
      </w:r>
      <w:r>
        <w:rPr>
          <w:rFonts w:ascii="Segoe UI" w:hAnsi="Segoe UI" w:cs="Segoe UI" w:eastAsia="Segoe UI"/>
          <w:color w:val="231F20"/>
          <w:spacing w:val="-4"/>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5"/>
          <w:sz w:val="16"/>
          <w:szCs w:val="16"/>
        </w:rPr>
        <w:t> </w:t>
      </w:r>
      <w:r>
        <w:rPr>
          <w:rFonts w:ascii="Segoe UI" w:hAnsi="Segoe UI" w:cs="Segoe UI" w:eastAsia="Segoe UI"/>
          <w:color w:val="231F20"/>
          <w:sz w:val="16"/>
          <w:szCs w:val="16"/>
        </w:rPr>
        <w:t>Gap</w:t>
      </w:r>
      <w:r>
        <w:rPr>
          <w:rFonts w:ascii="Segoe UI" w:hAnsi="Segoe UI" w:cs="Segoe UI" w:eastAsia="Segoe UI"/>
          <w:color w:val="231F20"/>
          <w:spacing w:val="31"/>
          <w:w w:val="99"/>
          <w:sz w:val="16"/>
          <w:szCs w:val="16"/>
        </w:rPr>
        <w:t> </w:t>
      </w:r>
      <w:r>
        <w:rPr>
          <w:rFonts w:ascii="Segoe UI" w:hAnsi="Segoe UI" w:cs="Segoe UI" w:eastAsia="Segoe UI"/>
          <w:color w:val="231F20"/>
          <w:sz w:val="16"/>
          <w:szCs w:val="16"/>
        </w:rPr>
        <w:t>Prime</w:t>
      </w:r>
      <w:r>
        <w:rPr>
          <w:rFonts w:ascii="Segoe UI" w:hAnsi="Segoe UI" w:cs="Segoe UI" w:eastAsia="Segoe UI"/>
          <w:color w:val="231F20"/>
          <w:spacing w:val="-3"/>
          <w:sz w:val="16"/>
          <w:szCs w:val="16"/>
        </w:rPr>
        <w:t> </w:t>
      </w:r>
      <w:r>
        <w:rPr>
          <w:rFonts w:ascii="Segoe UI" w:hAnsi="Segoe UI" w:cs="Segoe UI" w:eastAsia="Segoe UI"/>
          <w:color w:val="231F20"/>
          <w:sz w:val="16"/>
          <w:szCs w:val="16"/>
        </w:rPr>
        <w:t>Minister’s</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Report</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2018,</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Department</w:t>
      </w:r>
      <w:r>
        <w:rPr>
          <w:rFonts w:ascii="Segoe UI" w:hAnsi="Segoe UI" w:cs="Segoe UI" w:eastAsia="Segoe UI"/>
          <w:color w:val="231F20"/>
          <w:spacing w:val="-3"/>
          <w:sz w:val="16"/>
          <w:szCs w:val="16"/>
        </w:rPr>
        <w:t> </w:t>
      </w:r>
      <w:r>
        <w:rPr>
          <w:rFonts w:ascii="Segoe UI" w:hAnsi="Segoe UI" w:cs="Segoe UI" w:eastAsia="Segoe UI"/>
          <w:color w:val="231F20"/>
          <w:sz w:val="16"/>
          <w:szCs w:val="16"/>
        </w:rPr>
        <w:t>of</w:t>
      </w:r>
      <w:r>
        <w:rPr>
          <w:rFonts w:ascii="Segoe UI" w:hAnsi="Segoe UI" w:cs="Segoe UI" w:eastAsia="Segoe UI"/>
          <w:color w:val="231F20"/>
          <w:spacing w:val="-2"/>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24"/>
          <w:w w:val="99"/>
          <w:sz w:val="16"/>
          <w:szCs w:val="16"/>
        </w:rPr>
        <w:t> </w:t>
      </w:r>
      <w:r>
        <w:rPr>
          <w:rFonts w:ascii="Segoe UI" w:hAnsi="Segoe UI" w:cs="Segoe UI" w:eastAsia="Segoe UI"/>
          <w:color w:val="231F20"/>
          <w:sz w:val="16"/>
          <w:szCs w:val="16"/>
        </w:rPr>
        <w:t>Prime</w:t>
      </w:r>
      <w:r>
        <w:rPr>
          <w:rFonts w:ascii="Segoe UI" w:hAnsi="Segoe UI" w:cs="Segoe UI" w:eastAsia="Segoe UI"/>
          <w:color w:val="231F20"/>
          <w:spacing w:val="-3"/>
          <w:sz w:val="16"/>
          <w:szCs w:val="16"/>
        </w:rPr>
        <w:t> </w:t>
      </w:r>
      <w:r>
        <w:rPr>
          <w:rFonts w:ascii="Segoe UI" w:hAnsi="Segoe UI" w:cs="Segoe UI" w:eastAsia="Segoe UI"/>
          <w:color w:val="231F20"/>
          <w:sz w:val="16"/>
          <w:szCs w:val="16"/>
        </w:rPr>
        <w:t>Minister</w:t>
      </w:r>
      <w:r>
        <w:rPr>
          <w:rFonts w:ascii="Segoe UI" w:hAnsi="Segoe UI" w:cs="Segoe UI" w:eastAsia="Segoe UI"/>
          <w:color w:val="231F20"/>
          <w:spacing w:val="-4"/>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Cabinet,</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Chapter</w:t>
      </w:r>
      <w:r>
        <w:rPr>
          <w:rFonts w:ascii="Segoe UI" w:hAnsi="Segoe UI" w:cs="Segoe UI" w:eastAsia="Segoe UI"/>
          <w:color w:val="231F20"/>
          <w:spacing w:val="-2"/>
          <w:sz w:val="16"/>
          <w:szCs w:val="16"/>
        </w:rPr>
        <w:t> </w:t>
      </w:r>
      <w:r>
        <w:rPr>
          <w:rFonts w:ascii="Segoe UI" w:hAnsi="Segoe UI" w:cs="Segoe UI" w:eastAsia="Segoe UI"/>
          <w:color w:val="231F20"/>
          <w:sz w:val="16"/>
          <w:szCs w:val="16"/>
        </w:rPr>
        <w:t>6</w:t>
      </w:r>
      <w:r>
        <w:rPr>
          <w:rFonts w:ascii="Segoe UI" w:hAnsi="Segoe UI" w:cs="Segoe UI" w:eastAsia="Segoe UI"/>
          <w:sz w:val="16"/>
          <w:szCs w:val="16"/>
        </w:rPr>
      </w:r>
    </w:p>
    <w:p>
      <w:pPr>
        <w:numPr>
          <w:ilvl w:val="0"/>
          <w:numId w:val="11"/>
        </w:numPr>
        <w:tabs>
          <w:tab w:pos="671" w:val="left" w:leader="none"/>
        </w:tabs>
        <w:spacing w:line="200" w:lineRule="exact" w:before="113"/>
        <w:ind w:left="670" w:right="288" w:hanging="567"/>
        <w:jc w:val="left"/>
        <w:rPr>
          <w:rFonts w:ascii="Segoe UI" w:hAnsi="Segoe UI" w:cs="Segoe UI" w:eastAsia="Segoe UI"/>
          <w:sz w:val="16"/>
          <w:szCs w:val="16"/>
        </w:rPr>
      </w:pPr>
      <w:r>
        <w:rPr>
          <w:rFonts w:ascii="Segoe UI"/>
          <w:color w:val="231F20"/>
          <w:spacing w:val="-1"/>
          <w:sz w:val="16"/>
        </w:rPr>
        <w:t>Department</w:t>
      </w:r>
      <w:r>
        <w:rPr>
          <w:rFonts w:ascii="Segoe UI"/>
          <w:color w:val="231F20"/>
          <w:spacing w:val="-6"/>
          <w:sz w:val="16"/>
        </w:rPr>
        <w:t> </w:t>
      </w:r>
      <w:r>
        <w:rPr>
          <w:rFonts w:ascii="Segoe UI"/>
          <w:color w:val="231F20"/>
          <w:sz w:val="16"/>
        </w:rPr>
        <w:t>of</w:t>
      </w:r>
      <w:r>
        <w:rPr>
          <w:rFonts w:ascii="Segoe UI"/>
          <w:color w:val="231F20"/>
          <w:spacing w:val="-5"/>
          <w:sz w:val="16"/>
        </w:rPr>
        <w:t> </w:t>
      </w:r>
      <w:r>
        <w:rPr>
          <w:rFonts w:ascii="Segoe UI"/>
          <w:color w:val="231F20"/>
          <w:sz w:val="16"/>
        </w:rPr>
        <w:t>Education</w:t>
      </w:r>
      <w:r>
        <w:rPr>
          <w:rFonts w:ascii="Segoe UI"/>
          <w:color w:val="231F20"/>
          <w:spacing w:val="-6"/>
          <w:sz w:val="16"/>
        </w:rPr>
        <w:t> </w:t>
      </w:r>
      <w:r>
        <w:rPr>
          <w:rFonts w:ascii="Segoe UI"/>
          <w:color w:val="231F20"/>
          <w:sz w:val="16"/>
        </w:rPr>
        <w:t>and</w:t>
      </w:r>
      <w:r>
        <w:rPr>
          <w:rFonts w:ascii="Segoe UI"/>
          <w:color w:val="231F20"/>
          <w:spacing w:val="-7"/>
          <w:sz w:val="16"/>
        </w:rPr>
        <w:t> </w:t>
      </w:r>
      <w:r>
        <w:rPr>
          <w:rFonts w:ascii="Segoe UI"/>
          <w:color w:val="231F20"/>
          <w:spacing w:val="-2"/>
          <w:sz w:val="16"/>
        </w:rPr>
        <w:t>Training,</w:t>
      </w:r>
      <w:r>
        <w:rPr>
          <w:rFonts w:ascii="Segoe UI"/>
          <w:color w:val="231F20"/>
          <w:spacing w:val="-6"/>
          <w:sz w:val="16"/>
        </w:rPr>
        <w:t> </w:t>
      </w:r>
      <w:r>
        <w:rPr>
          <w:rFonts w:ascii="Segoe UI"/>
          <w:i/>
          <w:color w:val="231F20"/>
          <w:sz w:val="16"/>
        </w:rPr>
        <w:t>More</w:t>
      </w:r>
      <w:r>
        <w:rPr>
          <w:rFonts w:ascii="Segoe UI"/>
          <w:i/>
          <w:color w:val="231F20"/>
          <w:spacing w:val="26"/>
          <w:w w:val="99"/>
          <w:sz w:val="16"/>
        </w:rPr>
        <w:t> </w:t>
      </w:r>
      <w:r>
        <w:rPr>
          <w:rFonts w:ascii="Segoe UI"/>
          <w:i/>
          <w:color w:val="231F20"/>
          <w:sz w:val="16"/>
        </w:rPr>
        <w:t>support</w:t>
      </w:r>
      <w:r>
        <w:rPr>
          <w:rFonts w:ascii="Segoe UI"/>
          <w:i/>
          <w:color w:val="231F20"/>
          <w:spacing w:val="-2"/>
          <w:sz w:val="16"/>
        </w:rPr>
        <w:t> </w:t>
      </w:r>
      <w:r>
        <w:rPr>
          <w:rFonts w:ascii="Segoe UI"/>
          <w:i/>
          <w:color w:val="231F20"/>
          <w:sz w:val="16"/>
        </w:rPr>
        <w:t>for</w:t>
      </w:r>
      <w:r>
        <w:rPr>
          <w:rFonts w:ascii="Segoe UI"/>
          <w:i/>
          <w:color w:val="231F20"/>
          <w:spacing w:val="-2"/>
          <w:sz w:val="16"/>
        </w:rPr>
        <w:t> </w:t>
      </w:r>
      <w:r>
        <w:rPr>
          <w:rFonts w:ascii="Segoe UI"/>
          <w:i/>
          <w:color w:val="231F20"/>
          <w:spacing w:val="-1"/>
          <w:sz w:val="16"/>
        </w:rPr>
        <w:t>Indigenous school </w:t>
      </w:r>
      <w:r>
        <w:rPr>
          <w:rFonts w:ascii="Segoe UI"/>
          <w:i/>
          <w:color w:val="231F20"/>
          <w:sz w:val="16"/>
        </w:rPr>
        <w:t>boarders</w:t>
      </w:r>
      <w:r>
        <w:rPr>
          <w:rFonts w:ascii="Segoe UI"/>
          <w:color w:val="231F20"/>
          <w:sz w:val="16"/>
        </w:rPr>
        <w:t>, </w:t>
      </w:r>
      <w:r>
        <w:rPr>
          <w:rFonts w:ascii="Segoe UI"/>
          <w:color w:val="231F20"/>
          <w:spacing w:val="-1"/>
          <w:sz w:val="16"/>
        </w:rPr>
        <w:t>2014,</w:t>
      </w:r>
      <w:r>
        <w:rPr>
          <w:rFonts w:ascii="Segoe UI"/>
          <w:color w:val="231F20"/>
          <w:spacing w:val="-1"/>
          <w:sz w:val="16"/>
        </w:rPr>
        <w:t> </w:t>
      </w:r>
      <w:r>
        <w:rPr>
          <w:rFonts w:ascii="Segoe UI"/>
          <w:color w:val="3853A4"/>
          <w:spacing w:val="-1"/>
          <w:sz w:val="16"/>
        </w:rPr>
      </w:r>
      <w:r>
        <w:rPr>
          <w:rFonts w:ascii="Segoe UI"/>
          <w:color w:val="3853A4"/>
          <w:spacing w:val="-1"/>
          <w:sz w:val="16"/>
        </w:rPr>
        <w:t> </w:t>
      </w:r>
      <w:r>
        <w:rPr>
          <w:rFonts w:ascii="Segoe UI"/>
          <w:color w:val="3853A4"/>
          <w:sz w:val="16"/>
          <w:u w:val="single" w:color="3853A4"/>
        </w:rPr>
        <w:t>https://docs.education.gov.au/system/files/doc/</w:t>
      </w:r>
      <w:r>
        <w:rPr>
          <w:rFonts w:ascii="Segoe UI"/>
          <w:color w:val="3853A4"/>
          <w:sz w:val="16"/>
        </w:rPr>
      </w:r>
      <w:r>
        <w:rPr>
          <w:rFonts w:ascii="Segoe UI"/>
          <w:color w:val="3853A4"/>
          <w:sz w:val="16"/>
        </w:rPr>
        <w:t> </w:t>
      </w:r>
      <w:r>
        <w:rPr>
          <w:rFonts w:ascii="Segoe UI"/>
          <w:color w:val="3853A4"/>
          <w:w w:val="99"/>
          <w:sz w:val="16"/>
        </w:rPr>
      </w:r>
      <w:r>
        <w:rPr>
          <w:rFonts w:ascii="Segoe UI"/>
          <w:color w:val="3853A4"/>
          <w:spacing w:val="-1"/>
          <w:sz w:val="16"/>
          <w:u w:val="single" w:color="3853A4"/>
        </w:rPr>
        <w:t>other/indigenous_boarding_students_0.pdf</w:t>
      </w:r>
      <w:r>
        <w:rPr>
          <w:rFonts w:ascii="Segoe UI"/>
          <w:color w:val="3853A4"/>
          <w:sz w:val="16"/>
        </w:rPr>
      </w:r>
      <w:r>
        <w:rPr>
          <w:rFonts w:ascii="Segoe UI"/>
          <w:color w:val="231F20"/>
          <w:spacing w:val="-1"/>
          <w:sz w:val="16"/>
        </w:rPr>
        <w:t>,</w:t>
      </w:r>
      <w:r>
        <w:rPr>
          <w:rFonts w:ascii="Segoe UI"/>
          <w:color w:val="231F20"/>
          <w:spacing w:val="80"/>
          <w:w w:val="99"/>
          <w:sz w:val="16"/>
        </w:rPr>
        <w:t> </w:t>
      </w:r>
      <w:r>
        <w:rPr>
          <w:rFonts w:ascii="Segoe UI"/>
          <w:color w:val="231F20"/>
          <w:sz w:val="16"/>
        </w:rPr>
        <w:t>accessed</w:t>
      </w:r>
      <w:r>
        <w:rPr>
          <w:rFonts w:ascii="Segoe UI"/>
          <w:color w:val="231F20"/>
          <w:spacing w:val="-3"/>
          <w:sz w:val="16"/>
        </w:rPr>
        <w:t> </w:t>
      </w:r>
      <w:r>
        <w:rPr>
          <w:rFonts w:ascii="Segoe UI"/>
          <w:color w:val="231F20"/>
          <w:spacing w:val="-1"/>
          <w:sz w:val="16"/>
        </w:rPr>
        <w:t>in </w:t>
      </w:r>
      <w:r>
        <w:rPr>
          <w:rFonts w:ascii="Segoe UI"/>
          <w:color w:val="231F20"/>
          <w:sz w:val="16"/>
        </w:rPr>
        <w:t>April</w:t>
      </w:r>
      <w:r>
        <w:rPr>
          <w:rFonts w:ascii="Segoe UI"/>
          <w:color w:val="231F20"/>
          <w:spacing w:val="-1"/>
          <w:sz w:val="16"/>
        </w:rPr>
        <w:t> </w:t>
      </w:r>
      <w:r>
        <w:rPr>
          <w:rFonts w:ascii="Segoe UI"/>
          <w:color w:val="231F20"/>
          <w:sz w:val="16"/>
        </w:rPr>
        <w:t>2019</w:t>
      </w:r>
      <w:r>
        <w:rPr>
          <w:rFonts w:ascii="Segoe UI"/>
          <w:sz w:val="16"/>
        </w:rPr>
      </w:r>
    </w:p>
    <w:p>
      <w:pPr>
        <w:numPr>
          <w:ilvl w:val="0"/>
          <w:numId w:val="11"/>
        </w:numPr>
        <w:tabs>
          <w:tab w:pos="671" w:val="left" w:leader="none"/>
        </w:tabs>
        <w:spacing w:line="200" w:lineRule="exact" w:before="113"/>
        <w:ind w:left="670" w:right="233" w:hanging="567"/>
        <w:jc w:val="left"/>
        <w:rPr>
          <w:rFonts w:ascii="Segoe UI" w:hAnsi="Segoe UI" w:cs="Segoe UI" w:eastAsia="Segoe UI"/>
          <w:sz w:val="16"/>
          <w:szCs w:val="16"/>
        </w:rPr>
      </w:pPr>
      <w:r>
        <w:rPr>
          <w:rFonts w:ascii="Segoe UI" w:hAnsi="Segoe UI" w:cs="Segoe UI" w:eastAsia="Segoe UI"/>
          <w:color w:val="231F20"/>
          <w:sz w:val="16"/>
          <w:szCs w:val="16"/>
        </w:rPr>
        <w:t>Medicare</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items</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715/228:</w:t>
      </w:r>
      <w:r>
        <w:rPr>
          <w:rFonts w:ascii="Segoe UI" w:hAnsi="Segoe UI" w:cs="Segoe UI" w:eastAsia="Segoe UI"/>
          <w:color w:val="231F20"/>
          <w:spacing w:val="-4"/>
          <w:sz w:val="16"/>
          <w:szCs w:val="16"/>
        </w:rPr>
        <w:t> </w:t>
      </w:r>
      <w:r>
        <w:rPr>
          <w:rFonts w:ascii="Segoe UI" w:hAnsi="Segoe UI" w:cs="Segoe UI" w:eastAsia="Segoe UI"/>
          <w:color w:val="231F20"/>
          <w:sz w:val="16"/>
          <w:szCs w:val="16"/>
        </w:rPr>
        <w:t>A</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health</w:t>
      </w:r>
      <w:r>
        <w:rPr>
          <w:rFonts w:ascii="Segoe UI" w:hAnsi="Segoe UI" w:cs="Segoe UI" w:eastAsia="Segoe UI"/>
          <w:color w:val="231F20"/>
          <w:spacing w:val="-4"/>
          <w:sz w:val="16"/>
          <w:szCs w:val="16"/>
        </w:rPr>
        <w:t> </w:t>
      </w:r>
      <w:r>
        <w:rPr>
          <w:rFonts w:ascii="Segoe UI" w:hAnsi="Segoe UI" w:cs="Segoe UI" w:eastAsia="Segoe UI"/>
          <w:color w:val="231F20"/>
          <w:sz w:val="16"/>
          <w:szCs w:val="16"/>
        </w:rPr>
        <w:t>assessment</w:t>
      </w:r>
      <w:r>
        <w:rPr>
          <w:rFonts w:ascii="Segoe UI" w:hAnsi="Segoe UI" w:cs="Segoe UI" w:eastAsia="Segoe UI"/>
          <w:color w:val="231F20"/>
          <w:sz w:val="16"/>
          <w:szCs w:val="16"/>
        </w:rPr>
        <w:t> </w:t>
      </w:r>
      <w:r>
        <w:rPr>
          <w:rFonts w:ascii="Segoe UI" w:hAnsi="Segoe UI" w:cs="Segoe UI" w:eastAsia="Segoe UI"/>
          <w:color w:val="231F20"/>
          <w:spacing w:val="28"/>
          <w:sz w:val="16"/>
          <w:szCs w:val="16"/>
        </w:rPr>
        <w:t> </w:t>
      </w:r>
      <w:r>
        <w:rPr>
          <w:rFonts w:ascii="Segoe UI" w:hAnsi="Segoe UI" w:cs="Segoe UI" w:eastAsia="Segoe UI"/>
          <w:color w:val="231F20"/>
          <w:sz w:val="16"/>
          <w:szCs w:val="16"/>
        </w:rPr>
        <w:t>for</w:t>
      </w:r>
      <w:r>
        <w:rPr>
          <w:rFonts w:ascii="Segoe UI" w:hAnsi="Segoe UI" w:cs="Segoe UI" w:eastAsia="Segoe UI"/>
          <w:color w:val="231F20"/>
          <w:spacing w:val="-5"/>
          <w:sz w:val="16"/>
          <w:szCs w:val="16"/>
        </w:rPr>
        <w:t> </w:t>
      </w:r>
      <w:r>
        <w:rPr>
          <w:rFonts w:ascii="Segoe UI" w:hAnsi="Segoe UI" w:cs="Segoe UI" w:eastAsia="Segoe UI"/>
          <w:color w:val="231F20"/>
          <w:sz w:val="16"/>
          <w:szCs w:val="16"/>
        </w:rPr>
        <w:t>Aboriginal</w:t>
      </w:r>
      <w:r>
        <w:rPr>
          <w:rFonts w:ascii="Segoe UI" w:hAnsi="Segoe UI" w:cs="Segoe UI" w:eastAsia="Segoe UI"/>
          <w:color w:val="231F20"/>
          <w:spacing w:val="-5"/>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6"/>
          <w:sz w:val="16"/>
          <w:szCs w:val="16"/>
        </w:rPr>
        <w:t> </w:t>
      </w:r>
      <w:r>
        <w:rPr>
          <w:rFonts w:ascii="Segoe UI" w:hAnsi="Segoe UI" w:cs="Segoe UI" w:eastAsia="Segoe UI"/>
          <w:color w:val="231F20"/>
          <w:spacing w:val="-3"/>
          <w:sz w:val="16"/>
          <w:szCs w:val="16"/>
        </w:rPr>
        <w:t>Torres</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Strait</w:t>
      </w:r>
      <w:r>
        <w:rPr>
          <w:rFonts w:ascii="Segoe UI" w:hAnsi="Segoe UI" w:cs="Segoe UI" w:eastAsia="Segoe UI"/>
          <w:color w:val="231F20"/>
          <w:spacing w:val="-6"/>
          <w:sz w:val="16"/>
          <w:szCs w:val="16"/>
        </w:rPr>
        <w:t> </w:t>
      </w:r>
      <w:r>
        <w:rPr>
          <w:rFonts w:ascii="Segoe UI" w:hAnsi="Segoe UI" w:cs="Segoe UI" w:eastAsia="Segoe UI"/>
          <w:color w:val="231F20"/>
          <w:spacing w:val="-1"/>
          <w:sz w:val="16"/>
          <w:szCs w:val="16"/>
        </w:rPr>
        <w:t>Islander</w:t>
      </w:r>
      <w:r>
        <w:rPr>
          <w:rFonts w:ascii="Segoe UI" w:hAnsi="Segoe UI" w:cs="Segoe UI" w:eastAsia="Segoe UI"/>
          <w:color w:val="231F20"/>
          <w:spacing w:val="-5"/>
          <w:sz w:val="16"/>
          <w:szCs w:val="16"/>
        </w:rPr>
        <w:t> </w:t>
      </w:r>
      <w:r>
        <w:rPr>
          <w:rFonts w:ascii="Segoe UI" w:hAnsi="Segoe UI" w:cs="Segoe UI" w:eastAsia="Segoe UI"/>
          <w:color w:val="231F20"/>
          <w:sz w:val="16"/>
          <w:szCs w:val="16"/>
        </w:rPr>
        <w:t>people</w:t>
      </w:r>
      <w:r>
        <w:rPr>
          <w:rFonts w:ascii="Segoe UI" w:hAnsi="Segoe UI" w:cs="Segoe UI" w:eastAsia="Segoe UI"/>
          <w:color w:val="231F20"/>
          <w:spacing w:val="24"/>
          <w:w w:val="99"/>
          <w:sz w:val="16"/>
          <w:szCs w:val="16"/>
        </w:rPr>
        <w:t> </w:t>
      </w:r>
      <w:r>
        <w:rPr>
          <w:rFonts w:ascii="Segoe UI" w:hAnsi="Segoe UI" w:cs="Segoe UI" w:eastAsia="Segoe UI"/>
          <w:color w:val="231F20"/>
          <w:spacing w:val="-1"/>
          <w:sz w:val="16"/>
          <w:szCs w:val="16"/>
        </w:rPr>
        <w:t>involves</w:t>
      </w:r>
      <w:r>
        <w:rPr>
          <w:rFonts w:ascii="Segoe UI" w:hAnsi="Segoe UI" w:cs="Segoe UI" w:eastAsia="Segoe UI"/>
          <w:color w:val="231F20"/>
          <w:spacing w:val="-5"/>
          <w:sz w:val="16"/>
          <w:szCs w:val="16"/>
        </w:rPr>
        <w:t> </w:t>
      </w:r>
      <w:r>
        <w:rPr>
          <w:rFonts w:ascii="Segoe UI" w:hAnsi="Segoe UI" w:cs="Segoe UI" w:eastAsia="Segoe UI"/>
          <w:color w:val="231F20"/>
          <w:sz w:val="16"/>
          <w:szCs w:val="16"/>
        </w:rPr>
        <w:t>checking</w:t>
      </w:r>
      <w:r>
        <w:rPr>
          <w:rFonts w:ascii="Segoe UI" w:hAnsi="Segoe UI" w:cs="Segoe UI" w:eastAsia="Segoe UI"/>
          <w:color w:val="231F20"/>
          <w:spacing w:val="-5"/>
          <w:sz w:val="16"/>
          <w:szCs w:val="16"/>
        </w:rPr>
        <w:t> </w:t>
      </w:r>
      <w:r>
        <w:rPr>
          <w:rFonts w:ascii="Segoe UI" w:hAnsi="Segoe UI" w:cs="Segoe UI" w:eastAsia="Segoe UI"/>
          <w:color w:val="231F20"/>
          <w:sz w:val="16"/>
          <w:szCs w:val="16"/>
        </w:rPr>
        <w:t>a</w:t>
      </w:r>
      <w:r>
        <w:rPr>
          <w:rFonts w:ascii="Segoe UI" w:hAnsi="Segoe UI" w:cs="Segoe UI" w:eastAsia="Segoe UI"/>
          <w:color w:val="231F20"/>
          <w:spacing w:val="-5"/>
          <w:sz w:val="16"/>
          <w:szCs w:val="16"/>
        </w:rPr>
        <w:t> </w:t>
      </w:r>
      <w:r>
        <w:rPr>
          <w:rFonts w:ascii="Segoe UI" w:hAnsi="Segoe UI" w:cs="Segoe UI" w:eastAsia="Segoe UI"/>
          <w:color w:val="231F20"/>
          <w:sz w:val="16"/>
          <w:szCs w:val="16"/>
        </w:rPr>
        <w:t>patient’s</w:t>
      </w:r>
      <w:r>
        <w:rPr>
          <w:rFonts w:ascii="Segoe UI" w:hAnsi="Segoe UI" w:cs="Segoe UI" w:eastAsia="Segoe UI"/>
          <w:color w:val="231F20"/>
          <w:spacing w:val="-5"/>
          <w:sz w:val="16"/>
          <w:szCs w:val="16"/>
        </w:rPr>
        <w:t> </w:t>
      </w:r>
      <w:r>
        <w:rPr>
          <w:rFonts w:ascii="Segoe UI" w:hAnsi="Segoe UI" w:cs="Segoe UI" w:eastAsia="Segoe UI"/>
          <w:color w:val="231F20"/>
          <w:sz w:val="16"/>
          <w:szCs w:val="16"/>
        </w:rPr>
        <w:t>health</w:t>
      </w:r>
      <w:r>
        <w:rPr>
          <w:rFonts w:ascii="Segoe UI" w:hAnsi="Segoe UI" w:cs="Segoe UI" w:eastAsia="Segoe UI"/>
          <w:color w:val="231F20"/>
          <w:spacing w:val="-5"/>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6"/>
          <w:sz w:val="16"/>
          <w:szCs w:val="16"/>
        </w:rPr>
        <w:t> </w:t>
      </w:r>
      <w:r>
        <w:rPr>
          <w:rFonts w:ascii="Segoe UI" w:hAnsi="Segoe UI" w:cs="Segoe UI" w:eastAsia="Segoe UI"/>
          <w:color w:val="231F20"/>
          <w:sz w:val="16"/>
          <w:szCs w:val="16"/>
        </w:rPr>
        <w:t>physical,</w:t>
      </w:r>
      <w:r>
        <w:rPr>
          <w:rFonts w:ascii="Segoe UI" w:hAnsi="Segoe UI" w:cs="Segoe UI" w:eastAsia="Segoe UI"/>
          <w:color w:val="231F20"/>
          <w:spacing w:val="22"/>
          <w:w w:val="99"/>
          <w:sz w:val="16"/>
          <w:szCs w:val="16"/>
        </w:rPr>
        <w:t> </w:t>
      </w:r>
      <w:r>
        <w:rPr>
          <w:rFonts w:ascii="Segoe UI" w:hAnsi="Segoe UI" w:cs="Segoe UI" w:eastAsia="Segoe UI"/>
          <w:color w:val="231F20"/>
          <w:sz w:val="16"/>
          <w:szCs w:val="16"/>
        </w:rPr>
        <w:t>psychological</w:t>
      </w:r>
      <w:r>
        <w:rPr>
          <w:rFonts w:ascii="Segoe UI" w:hAnsi="Segoe UI" w:cs="Segoe UI" w:eastAsia="Segoe UI"/>
          <w:color w:val="231F20"/>
          <w:spacing w:val="-7"/>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6"/>
          <w:sz w:val="16"/>
          <w:szCs w:val="16"/>
        </w:rPr>
        <w:t> </w:t>
      </w:r>
      <w:r>
        <w:rPr>
          <w:rFonts w:ascii="Segoe UI" w:hAnsi="Segoe UI" w:cs="Segoe UI" w:eastAsia="Segoe UI"/>
          <w:color w:val="231F20"/>
          <w:spacing w:val="-1"/>
          <w:sz w:val="16"/>
          <w:szCs w:val="16"/>
        </w:rPr>
        <w:t>social</w:t>
      </w:r>
      <w:r>
        <w:rPr>
          <w:rFonts w:ascii="Segoe UI" w:hAnsi="Segoe UI" w:cs="Segoe UI" w:eastAsia="Segoe UI"/>
          <w:color w:val="231F20"/>
          <w:spacing w:val="-6"/>
          <w:sz w:val="16"/>
          <w:szCs w:val="16"/>
        </w:rPr>
        <w:t> </w:t>
      </w:r>
      <w:r>
        <w:rPr>
          <w:rFonts w:ascii="Segoe UI" w:hAnsi="Segoe UI" w:cs="Segoe UI" w:eastAsia="Segoe UI"/>
          <w:color w:val="231F20"/>
          <w:sz w:val="16"/>
          <w:szCs w:val="16"/>
        </w:rPr>
        <w:t>functions</w:t>
      </w:r>
      <w:r>
        <w:rPr>
          <w:rFonts w:ascii="Segoe UI" w:hAnsi="Segoe UI" w:cs="Segoe UI" w:eastAsia="Segoe UI"/>
          <w:color w:val="231F20"/>
          <w:spacing w:val="-6"/>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7"/>
          <w:sz w:val="16"/>
          <w:szCs w:val="16"/>
        </w:rPr>
        <w:t> </w:t>
      </w:r>
      <w:r>
        <w:rPr>
          <w:rFonts w:ascii="Segoe UI" w:hAnsi="Segoe UI" w:cs="Segoe UI" w:eastAsia="Segoe UI"/>
          <w:color w:val="231F20"/>
          <w:sz w:val="16"/>
          <w:szCs w:val="16"/>
        </w:rPr>
        <w:t>deciding</w:t>
      </w:r>
      <w:r>
        <w:rPr>
          <w:rFonts w:ascii="Segoe UI" w:hAnsi="Segoe UI" w:cs="Segoe UI" w:eastAsia="Segoe UI"/>
          <w:sz w:val="16"/>
          <w:szCs w:val="16"/>
        </w:rPr>
      </w:r>
    </w:p>
    <w:p>
      <w:pPr>
        <w:spacing w:line="200" w:lineRule="exact" w:before="0"/>
        <w:ind w:left="670" w:right="110" w:firstLine="0"/>
        <w:jc w:val="left"/>
        <w:rPr>
          <w:rFonts w:ascii="Segoe UI" w:hAnsi="Segoe UI" w:cs="Segoe UI" w:eastAsia="Segoe UI"/>
          <w:sz w:val="16"/>
          <w:szCs w:val="16"/>
        </w:rPr>
      </w:pPr>
      <w:r>
        <w:rPr>
          <w:rFonts w:ascii="Segoe UI"/>
          <w:color w:val="231F20"/>
          <w:spacing w:val="-1"/>
          <w:sz w:val="16"/>
        </w:rPr>
        <w:t>if</w:t>
      </w:r>
      <w:r>
        <w:rPr>
          <w:rFonts w:ascii="Segoe UI"/>
          <w:color w:val="231F20"/>
          <w:spacing w:val="-4"/>
          <w:sz w:val="16"/>
        </w:rPr>
        <w:t> </w:t>
      </w:r>
      <w:r>
        <w:rPr>
          <w:rFonts w:ascii="Segoe UI"/>
          <w:color w:val="231F20"/>
          <w:sz w:val="16"/>
        </w:rPr>
        <w:t>preventive</w:t>
      </w:r>
      <w:r>
        <w:rPr>
          <w:rFonts w:ascii="Segoe UI"/>
          <w:color w:val="231F20"/>
          <w:spacing w:val="-5"/>
          <w:sz w:val="16"/>
        </w:rPr>
        <w:t> </w:t>
      </w:r>
      <w:r>
        <w:rPr>
          <w:rFonts w:ascii="Segoe UI"/>
          <w:color w:val="231F20"/>
          <w:sz w:val="16"/>
        </w:rPr>
        <w:t>health</w:t>
      </w:r>
      <w:r>
        <w:rPr>
          <w:rFonts w:ascii="Segoe UI"/>
          <w:color w:val="231F20"/>
          <w:spacing w:val="-5"/>
          <w:sz w:val="16"/>
        </w:rPr>
        <w:t> </w:t>
      </w:r>
      <w:r>
        <w:rPr>
          <w:rFonts w:ascii="Segoe UI"/>
          <w:color w:val="231F20"/>
          <w:sz w:val="16"/>
        </w:rPr>
        <w:t>care</w:t>
      </w:r>
      <w:r>
        <w:rPr>
          <w:rFonts w:ascii="Segoe UI"/>
          <w:color w:val="231F20"/>
          <w:spacing w:val="-3"/>
          <w:sz w:val="16"/>
        </w:rPr>
        <w:t> </w:t>
      </w:r>
      <w:r>
        <w:rPr>
          <w:rFonts w:ascii="Segoe UI"/>
          <w:color w:val="231F20"/>
          <w:sz w:val="16"/>
        </w:rPr>
        <w:t>and</w:t>
      </w:r>
      <w:r>
        <w:rPr>
          <w:rFonts w:ascii="Segoe UI"/>
          <w:color w:val="231F20"/>
          <w:spacing w:val="-5"/>
          <w:sz w:val="16"/>
        </w:rPr>
        <w:t> </w:t>
      </w:r>
      <w:r>
        <w:rPr>
          <w:rFonts w:ascii="Segoe UI"/>
          <w:color w:val="231F20"/>
          <w:sz w:val="16"/>
        </w:rPr>
        <w:t>education</w:t>
      </w:r>
      <w:r>
        <w:rPr>
          <w:rFonts w:ascii="Segoe UI"/>
          <w:color w:val="231F20"/>
          <w:spacing w:val="-5"/>
          <w:sz w:val="16"/>
        </w:rPr>
        <w:t> </w:t>
      </w:r>
      <w:r>
        <w:rPr>
          <w:rFonts w:ascii="Segoe UI"/>
          <w:color w:val="231F20"/>
          <w:spacing w:val="-1"/>
          <w:sz w:val="16"/>
        </w:rPr>
        <w:t>should</w:t>
      </w:r>
      <w:r>
        <w:rPr>
          <w:rFonts w:ascii="Segoe UI"/>
          <w:color w:val="231F20"/>
          <w:spacing w:val="-4"/>
          <w:sz w:val="16"/>
        </w:rPr>
        <w:t> </w:t>
      </w:r>
      <w:r>
        <w:rPr>
          <w:rFonts w:ascii="Segoe UI"/>
          <w:color w:val="231F20"/>
          <w:sz w:val="16"/>
        </w:rPr>
        <w:t>be</w:t>
      </w:r>
      <w:r>
        <w:rPr>
          <w:rFonts w:ascii="Segoe UI"/>
          <w:color w:val="231F20"/>
          <w:spacing w:val="23"/>
          <w:w w:val="99"/>
          <w:sz w:val="16"/>
        </w:rPr>
        <w:t> </w:t>
      </w:r>
      <w:r>
        <w:rPr>
          <w:rFonts w:ascii="Segoe UI"/>
          <w:color w:val="231F20"/>
          <w:sz w:val="16"/>
        </w:rPr>
        <w:t>offered</w:t>
      </w:r>
      <w:r>
        <w:rPr>
          <w:rFonts w:ascii="Segoe UI"/>
          <w:color w:val="231F20"/>
          <w:spacing w:val="-1"/>
          <w:sz w:val="16"/>
        </w:rPr>
        <w:t> </w:t>
      </w:r>
      <w:r>
        <w:rPr>
          <w:rFonts w:ascii="Segoe UI"/>
          <w:color w:val="231F20"/>
          <w:sz w:val="16"/>
        </w:rPr>
        <w:t>to</w:t>
      </w:r>
      <w:r>
        <w:rPr>
          <w:rFonts w:ascii="Segoe UI"/>
          <w:color w:val="231F20"/>
          <w:spacing w:val="-1"/>
          <w:sz w:val="16"/>
        </w:rPr>
        <w:t> </w:t>
      </w:r>
      <w:r>
        <w:rPr>
          <w:rFonts w:ascii="Segoe UI"/>
          <w:color w:val="231F20"/>
          <w:sz w:val="16"/>
        </w:rPr>
        <w:t>the patient</w:t>
      </w:r>
      <w:r>
        <w:rPr>
          <w:rFonts w:ascii="Segoe UI"/>
          <w:color w:val="231F20"/>
          <w:spacing w:val="-1"/>
          <w:sz w:val="16"/>
        </w:rPr>
        <w:t> </w:t>
      </w:r>
      <w:r>
        <w:rPr>
          <w:rFonts w:ascii="Segoe UI"/>
          <w:color w:val="231F20"/>
          <w:sz w:val="16"/>
        </w:rPr>
        <w:t>to</w:t>
      </w:r>
      <w:r>
        <w:rPr>
          <w:rFonts w:ascii="Segoe UI"/>
          <w:color w:val="231F20"/>
          <w:spacing w:val="-1"/>
          <w:sz w:val="16"/>
        </w:rPr>
        <w:t> </w:t>
      </w:r>
      <w:r>
        <w:rPr>
          <w:rFonts w:ascii="Segoe UI"/>
          <w:color w:val="231F20"/>
          <w:sz w:val="16"/>
        </w:rPr>
        <w:t>improve their</w:t>
      </w:r>
      <w:r>
        <w:rPr>
          <w:rFonts w:ascii="Segoe UI"/>
          <w:color w:val="231F20"/>
          <w:spacing w:val="-1"/>
          <w:sz w:val="16"/>
        </w:rPr>
        <w:t> </w:t>
      </w:r>
      <w:r>
        <w:rPr>
          <w:rFonts w:ascii="Segoe UI"/>
          <w:color w:val="231F20"/>
          <w:sz w:val="16"/>
        </w:rPr>
        <w:t>health</w:t>
      </w:r>
      <w:r>
        <w:rPr>
          <w:rFonts w:ascii="Segoe UI"/>
          <w:color w:val="231F20"/>
          <w:spacing w:val="-1"/>
          <w:sz w:val="16"/>
        </w:rPr>
        <w:t> </w:t>
      </w:r>
      <w:r>
        <w:rPr>
          <w:rFonts w:ascii="Segoe UI"/>
          <w:color w:val="231F20"/>
          <w:sz w:val="16"/>
        </w:rPr>
        <w:t>and</w:t>
      </w:r>
      <w:r>
        <w:rPr>
          <w:rFonts w:ascii="Segoe UI"/>
          <w:color w:val="231F20"/>
          <w:sz w:val="16"/>
        </w:rPr>
        <w:t> </w:t>
      </w:r>
      <w:r>
        <w:rPr>
          <w:rFonts w:ascii="Segoe UI"/>
          <w:color w:val="231F20"/>
          <w:sz w:val="16"/>
        </w:rPr>
        <w:t>wellbeing.</w:t>
      </w:r>
      <w:r>
        <w:rPr>
          <w:rFonts w:ascii="Segoe UI"/>
          <w:color w:val="231F20"/>
          <w:spacing w:val="-6"/>
          <w:sz w:val="16"/>
        </w:rPr>
        <w:t> </w:t>
      </w:r>
      <w:r>
        <w:rPr>
          <w:rFonts w:ascii="Segoe UI"/>
          <w:color w:val="231F20"/>
          <w:sz w:val="16"/>
        </w:rPr>
        <w:t>A</w:t>
      </w:r>
      <w:r>
        <w:rPr>
          <w:rFonts w:ascii="Segoe UI"/>
          <w:color w:val="231F20"/>
          <w:spacing w:val="-5"/>
          <w:sz w:val="16"/>
        </w:rPr>
        <w:t> </w:t>
      </w:r>
      <w:r>
        <w:rPr>
          <w:rFonts w:ascii="Segoe UI"/>
          <w:color w:val="231F20"/>
          <w:sz w:val="16"/>
        </w:rPr>
        <w:t>Medicare</w:t>
      </w:r>
      <w:r>
        <w:rPr>
          <w:rFonts w:ascii="Segoe UI"/>
          <w:color w:val="231F20"/>
          <w:spacing w:val="-4"/>
          <w:sz w:val="16"/>
        </w:rPr>
        <w:t> </w:t>
      </w:r>
      <w:r>
        <w:rPr>
          <w:rFonts w:ascii="Segoe UI"/>
          <w:color w:val="231F20"/>
          <w:sz w:val="16"/>
        </w:rPr>
        <w:t>funded</w:t>
      </w:r>
      <w:r>
        <w:rPr>
          <w:rFonts w:ascii="Segoe UI"/>
          <w:color w:val="231F20"/>
          <w:spacing w:val="-5"/>
          <w:sz w:val="16"/>
        </w:rPr>
        <w:t> </w:t>
      </w:r>
      <w:r>
        <w:rPr>
          <w:rFonts w:ascii="Segoe UI"/>
          <w:color w:val="231F20"/>
          <w:sz w:val="16"/>
        </w:rPr>
        <w:t>health</w:t>
      </w:r>
      <w:r>
        <w:rPr>
          <w:rFonts w:ascii="Segoe UI"/>
          <w:color w:val="231F20"/>
          <w:spacing w:val="-6"/>
          <w:sz w:val="16"/>
        </w:rPr>
        <w:t> </w:t>
      </w:r>
      <w:r>
        <w:rPr>
          <w:rFonts w:ascii="Segoe UI"/>
          <w:color w:val="231F20"/>
          <w:sz w:val="16"/>
        </w:rPr>
        <w:t>assessment</w:t>
      </w:r>
      <w:r>
        <w:rPr>
          <w:rFonts w:ascii="Segoe UI"/>
          <w:color w:val="231F20"/>
          <w:sz w:val="16"/>
        </w:rPr>
        <w:t> can</w:t>
      </w:r>
      <w:r>
        <w:rPr>
          <w:rFonts w:ascii="Segoe UI"/>
          <w:color w:val="231F20"/>
          <w:spacing w:val="-4"/>
          <w:sz w:val="16"/>
        </w:rPr>
        <w:t> </w:t>
      </w:r>
      <w:r>
        <w:rPr>
          <w:rFonts w:ascii="Segoe UI"/>
          <w:color w:val="231F20"/>
          <w:sz w:val="16"/>
        </w:rPr>
        <w:t>be</w:t>
      </w:r>
      <w:r>
        <w:rPr>
          <w:rFonts w:ascii="Segoe UI"/>
          <w:color w:val="231F20"/>
          <w:spacing w:val="-4"/>
          <w:sz w:val="16"/>
        </w:rPr>
        <w:t> </w:t>
      </w:r>
      <w:r>
        <w:rPr>
          <w:rFonts w:ascii="Segoe UI"/>
          <w:color w:val="231F20"/>
          <w:sz w:val="16"/>
        </w:rPr>
        <w:t>undertaken</w:t>
      </w:r>
      <w:r>
        <w:rPr>
          <w:rFonts w:ascii="Segoe UI"/>
          <w:color w:val="231F20"/>
          <w:spacing w:val="-5"/>
          <w:sz w:val="16"/>
        </w:rPr>
        <w:t> </w:t>
      </w:r>
      <w:r>
        <w:rPr>
          <w:rFonts w:ascii="Segoe UI"/>
          <w:color w:val="231F20"/>
          <w:sz w:val="16"/>
        </w:rPr>
        <w:t>every</w:t>
      </w:r>
      <w:r>
        <w:rPr>
          <w:rFonts w:ascii="Segoe UI"/>
          <w:color w:val="231F20"/>
          <w:spacing w:val="-4"/>
          <w:sz w:val="16"/>
        </w:rPr>
        <w:t> </w:t>
      </w:r>
      <w:r>
        <w:rPr>
          <w:rFonts w:ascii="Segoe UI"/>
          <w:color w:val="231F20"/>
          <w:sz w:val="16"/>
        </w:rPr>
        <w:t>nine</w:t>
      </w:r>
      <w:r>
        <w:rPr>
          <w:rFonts w:ascii="Segoe UI"/>
          <w:color w:val="231F20"/>
          <w:spacing w:val="-5"/>
          <w:sz w:val="16"/>
        </w:rPr>
        <w:t> </w:t>
      </w:r>
      <w:r>
        <w:rPr>
          <w:rFonts w:ascii="Segoe UI"/>
          <w:color w:val="231F20"/>
          <w:spacing w:val="-1"/>
          <w:sz w:val="16"/>
        </w:rPr>
        <w:t>months</w:t>
      </w:r>
      <w:r>
        <w:rPr>
          <w:rFonts w:ascii="Segoe UI"/>
          <w:sz w:val="16"/>
        </w:rPr>
      </w:r>
    </w:p>
    <w:p>
      <w:pPr>
        <w:numPr>
          <w:ilvl w:val="0"/>
          <w:numId w:val="11"/>
        </w:numPr>
        <w:tabs>
          <w:tab w:pos="671" w:val="left" w:leader="none"/>
        </w:tabs>
        <w:spacing w:line="200" w:lineRule="exact" w:before="113"/>
        <w:ind w:left="670" w:right="254" w:hanging="567"/>
        <w:jc w:val="both"/>
        <w:rPr>
          <w:rFonts w:ascii="Segoe UI" w:hAnsi="Segoe UI" w:cs="Segoe UI" w:eastAsia="Segoe UI"/>
          <w:sz w:val="16"/>
          <w:szCs w:val="16"/>
        </w:rPr>
      </w:pPr>
      <w:r>
        <w:rPr>
          <w:rFonts w:ascii="Segoe UI"/>
          <w:color w:val="231F20"/>
          <w:spacing w:val="-1"/>
          <w:sz w:val="16"/>
        </w:rPr>
        <w:t>Commonwealth</w:t>
      </w:r>
      <w:r>
        <w:rPr>
          <w:rFonts w:ascii="Segoe UI"/>
          <w:color w:val="231F20"/>
          <w:spacing w:val="-5"/>
          <w:sz w:val="16"/>
        </w:rPr>
        <w:t> </w:t>
      </w:r>
      <w:r>
        <w:rPr>
          <w:rFonts w:ascii="Segoe UI"/>
          <w:color w:val="231F20"/>
          <w:sz w:val="16"/>
        </w:rPr>
        <w:t>of</w:t>
      </w:r>
      <w:r>
        <w:rPr>
          <w:rFonts w:ascii="Segoe UI"/>
          <w:color w:val="231F20"/>
          <w:spacing w:val="-4"/>
          <w:sz w:val="16"/>
        </w:rPr>
        <w:t> </w:t>
      </w:r>
      <w:r>
        <w:rPr>
          <w:rFonts w:ascii="Segoe UI"/>
          <w:color w:val="231F20"/>
          <w:sz w:val="16"/>
        </w:rPr>
        <w:t>Australia,</w:t>
      </w:r>
      <w:r>
        <w:rPr>
          <w:rFonts w:ascii="Segoe UI"/>
          <w:color w:val="231F20"/>
          <w:spacing w:val="-5"/>
          <w:sz w:val="16"/>
        </w:rPr>
        <w:t> </w:t>
      </w:r>
      <w:r>
        <w:rPr>
          <w:rFonts w:ascii="Segoe UI"/>
          <w:color w:val="231F20"/>
          <w:spacing w:val="-1"/>
          <w:sz w:val="16"/>
        </w:rPr>
        <w:t>Department</w:t>
      </w:r>
      <w:r>
        <w:rPr>
          <w:rFonts w:ascii="Segoe UI"/>
          <w:color w:val="231F20"/>
          <w:spacing w:val="-4"/>
          <w:sz w:val="16"/>
        </w:rPr>
        <w:t> </w:t>
      </w:r>
      <w:r>
        <w:rPr>
          <w:rFonts w:ascii="Segoe UI"/>
          <w:color w:val="231F20"/>
          <w:sz w:val="16"/>
        </w:rPr>
        <w:t>of</w:t>
      </w:r>
      <w:r>
        <w:rPr>
          <w:rFonts w:ascii="Segoe UI"/>
          <w:color w:val="231F20"/>
          <w:spacing w:val="-4"/>
          <w:sz w:val="16"/>
        </w:rPr>
        <w:t> </w:t>
      </w:r>
      <w:r>
        <w:rPr>
          <w:rFonts w:ascii="Segoe UI"/>
          <w:color w:val="231F20"/>
          <w:sz w:val="16"/>
        </w:rPr>
        <w:t>the</w:t>
      </w:r>
      <w:r>
        <w:rPr>
          <w:rFonts w:ascii="Segoe UI"/>
          <w:color w:val="231F20"/>
          <w:spacing w:val="23"/>
          <w:w w:val="99"/>
          <w:sz w:val="16"/>
        </w:rPr>
        <w:t> </w:t>
      </w:r>
      <w:r>
        <w:rPr>
          <w:rFonts w:ascii="Segoe UI"/>
          <w:color w:val="231F20"/>
          <w:sz w:val="16"/>
        </w:rPr>
        <w:t>Prime</w:t>
      </w:r>
      <w:r>
        <w:rPr>
          <w:rFonts w:ascii="Segoe UI"/>
          <w:color w:val="231F20"/>
          <w:spacing w:val="-2"/>
          <w:sz w:val="16"/>
        </w:rPr>
        <w:t> </w:t>
      </w:r>
      <w:r>
        <w:rPr>
          <w:rFonts w:ascii="Segoe UI"/>
          <w:color w:val="231F20"/>
          <w:sz w:val="16"/>
        </w:rPr>
        <w:t>Minister</w:t>
      </w:r>
      <w:r>
        <w:rPr>
          <w:rFonts w:ascii="Segoe UI"/>
          <w:color w:val="231F20"/>
          <w:spacing w:val="-3"/>
          <w:sz w:val="16"/>
        </w:rPr>
        <w:t> </w:t>
      </w:r>
      <w:r>
        <w:rPr>
          <w:rFonts w:ascii="Segoe UI"/>
          <w:color w:val="231F20"/>
          <w:sz w:val="16"/>
        </w:rPr>
        <w:t>and</w:t>
      </w:r>
      <w:r>
        <w:rPr>
          <w:rFonts w:ascii="Segoe UI"/>
          <w:color w:val="231F20"/>
          <w:spacing w:val="-3"/>
          <w:sz w:val="16"/>
        </w:rPr>
        <w:t> </w:t>
      </w:r>
      <w:r>
        <w:rPr>
          <w:rFonts w:ascii="Segoe UI"/>
          <w:color w:val="231F20"/>
          <w:spacing w:val="-1"/>
          <w:sz w:val="16"/>
        </w:rPr>
        <w:t>Cabinet, </w:t>
      </w:r>
      <w:r>
        <w:rPr>
          <w:rFonts w:ascii="Segoe UI"/>
          <w:i/>
          <w:color w:val="231F20"/>
          <w:spacing w:val="-1"/>
          <w:sz w:val="16"/>
        </w:rPr>
        <w:t>Study</w:t>
      </w:r>
      <w:r>
        <w:rPr>
          <w:rFonts w:ascii="Segoe UI"/>
          <w:i/>
          <w:color w:val="231F20"/>
          <w:spacing w:val="-2"/>
          <w:sz w:val="16"/>
        </w:rPr>
        <w:t> Away </w:t>
      </w:r>
      <w:r>
        <w:rPr>
          <w:rFonts w:ascii="Segoe UI"/>
          <w:i/>
          <w:color w:val="231F20"/>
          <w:spacing w:val="-1"/>
          <w:sz w:val="16"/>
        </w:rPr>
        <w:t>Review:</w:t>
      </w:r>
      <w:r>
        <w:rPr>
          <w:rFonts w:ascii="Segoe UI"/>
          <w:i/>
          <w:color w:val="231F20"/>
          <w:spacing w:val="29"/>
          <w:w w:val="99"/>
          <w:sz w:val="16"/>
        </w:rPr>
        <w:t> </w:t>
      </w:r>
      <w:r>
        <w:rPr>
          <w:rFonts w:ascii="Segoe UI"/>
          <w:i/>
          <w:color w:val="231F20"/>
          <w:spacing w:val="-1"/>
          <w:sz w:val="16"/>
        </w:rPr>
        <w:t>Review</w:t>
      </w:r>
      <w:r>
        <w:rPr>
          <w:rFonts w:ascii="Segoe UI"/>
          <w:i/>
          <w:color w:val="231F20"/>
          <w:spacing w:val="-4"/>
          <w:sz w:val="16"/>
        </w:rPr>
        <w:t> </w:t>
      </w:r>
      <w:r>
        <w:rPr>
          <w:rFonts w:ascii="Segoe UI"/>
          <w:i/>
          <w:color w:val="231F20"/>
          <w:spacing w:val="-2"/>
          <w:sz w:val="16"/>
        </w:rPr>
        <w:t>of </w:t>
      </w:r>
      <w:r>
        <w:rPr>
          <w:rFonts w:ascii="Segoe UI"/>
          <w:i/>
          <w:color w:val="231F20"/>
          <w:sz w:val="16"/>
        </w:rPr>
        <w:t>Support</w:t>
      </w:r>
      <w:r>
        <w:rPr>
          <w:rFonts w:ascii="Segoe UI"/>
          <w:i/>
          <w:color w:val="231F20"/>
          <w:spacing w:val="-3"/>
          <w:sz w:val="16"/>
        </w:rPr>
        <w:t> </w:t>
      </w:r>
      <w:r>
        <w:rPr>
          <w:rFonts w:ascii="Segoe UI"/>
          <w:i/>
          <w:color w:val="231F20"/>
          <w:sz w:val="16"/>
        </w:rPr>
        <w:t>for</w:t>
      </w:r>
      <w:r>
        <w:rPr>
          <w:rFonts w:ascii="Segoe UI"/>
          <w:i/>
          <w:color w:val="231F20"/>
          <w:spacing w:val="-3"/>
          <w:sz w:val="16"/>
        </w:rPr>
        <w:t> </w:t>
      </w:r>
      <w:r>
        <w:rPr>
          <w:rFonts w:ascii="Segoe UI"/>
          <w:i/>
          <w:color w:val="231F20"/>
          <w:sz w:val="16"/>
        </w:rPr>
        <w:t>Aboriginal</w:t>
      </w:r>
      <w:r>
        <w:rPr>
          <w:rFonts w:ascii="Segoe UI"/>
          <w:i/>
          <w:color w:val="231F20"/>
          <w:spacing w:val="-3"/>
          <w:sz w:val="16"/>
        </w:rPr>
        <w:t> </w:t>
      </w:r>
      <w:r>
        <w:rPr>
          <w:rFonts w:ascii="Segoe UI"/>
          <w:i/>
          <w:color w:val="231F20"/>
          <w:sz w:val="16"/>
        </w:rPr>
        <w:t>and</w:t>
      </w:r>
      <w:r>
        <w:rPr>
          <w:rFonts w:ascii="Segoe UI"/>
          <w:i/>
          <w:color w:val="231F20"/>
          <w:spacing w:val="-2"/>
          <w:sz w:val="16"/>
        </w:rPr>
        <w:t> </w:t>
      </w:r>
      <w:r>
        <w:rPr>
          <w:rFonts w:ascii="Segoe UI"/>
          <w:i/>
          <w:color w:val="231F20"/>
          <w:spacing w:val="-3"/>
          <w:sz w:val="16"/>
        </w:rPr>
        <w:t>Torres </w:t>
      </w:r>
      <w:r>
        <w:rPr>
          <w:rFonts w:ascii="Segoe UI"/>
          <w:i/>
          <w:color w:val="231F20"/>
          <w:spacing w:val="-1"/>
          <w:sz w:val="16"/>
        </w:rPr>
        <w:t>Strait</w:t>
      </w:r>
      <w:r>
        <w:rPr>
          <w:rFonts w:ascii="Segoe UI"/>
          <w:i/>
          <w:color w:val="231F20"/>
          <w:spacing w:val="21"/>
          <w:sz w:val="16"/>
        </w:rPr>
        <w:t> </w:t>
      </w:r>
      <w:r>
        <w:rPr>
          <w:rFonts w:ascii="Segoe UI"/>
          <w:i/>
          <w:color w:val="231F20"/>
          <w:spacing w:val="-1"/>
          <w:sz w:val="16"/>
        </w:rPr>
        <w:t>Islander</w:t>
      </w:r>
      <w:r>
        <w:rPr>
          <w:rFonts w:ascii="Segoe UI"/>
          <w:i/>
          <w:color w:val="231F20"/>
          <w:spacing w:val="-2"/>
          <w:sz w:val="16"/>
        </w:rPr>
        <w:t> </w:t>
      </w:r>
      <w:r>
        <w:rPr>
          <w:rFonts w:ascii="Segoe UI"/>
          <w:i/>
          <w:color w:val="231F20"/>
          <w:spacing w:val="-1"/>
          <w:sz w:val="16"/>
        </w:rPr>
        <w:t>Secondary</w:t>
      </w:r>
      <w:r>
        <w:rPr>
          <w:rFonts w:ascii="Segoe UI"/>
          <w:i/>
          <w:color w:val="231F20"/>
          <w:spacing w:val="-2"/>
          <w:sz w:val="16"/>
        </w:rPr>
        <w:t> </w:t>
      </w:r>
      <w:r>
        <w:rPr>
          <w:rFonts w:ascii="Segoe UI"/>
          <w:i/>
          <w:color w:val="231F20"/>
          <w:spacing w:val="-1"/>
          <w:sz w:val="16"/>
        </w:rPr>
        <w:t>Students</w:t>
      </w:r>
      <w:r>
        <w:rPr>
          <w:rFonts w:ascii="Segoe UI"/>
          <w:i/>
          <w:color w:val="231F20"/>
          <w:spacing w:val="-2"/>
          <w:sz w:val="16"/>
        </w:rPr>
        <w:t> </w:t>
      </w:r>
      <w:r>
        <w:rPr>
          <w:rFonts w:ascii="Segoe UI"/>
          <w:i/>
          <w:color w:val="231F20"/>
          <w:spacing w:val="-1"/>
          <w:sz w:val="16"/>
        </w:rPr>
        <w:t>Studying </w:t>
      </w:r>
      <w:r>
        <w:rPr>
          <w:rFonts w:ascii="Segoe UI"/>
          <w:i/>
          <w:color w:val="231F20"/>
          <w:spacing w:val="-2"/>
          <w:sz w:val="16"/>
        </w:rPr>
        <w:t>Away </w:t>
      </w:r>
      <w:r>
        <w:rPr>
          <w:rFonts w:ascii="Segoe UI"/>
          <w:i/>
          <w:color w:val="231F20"/>
          <w:spacing w:val="-1"/>
          <w:sz w:val="16"/>
        </w:rPr>
        <w:t>From</w:t>
      </w:r>
      <w:r>
        <w:rPr>
          <w:rFonts w:ascii="Segoe UI"/>
          <w:i/>
          <w:color w:val="231F20"/>
          <w:spacing w:val="28"/>
          <w:sz w:val="16"/>
        </w:rPr>
        <w:t> </w:t>
      </w:r>
      <w:r>
        <w:rPr>
          <w:rFonts w:ascii="Segoe UI"/>
          <w:i/>
          <w:color w:val="231F20"/>
          <w:sz w:val="16"/>
        </w:rPr>
        <w:t>Home</w:t>
      </w:r>
      <w:r>
        <w:rPr>
          <w:rFonts w:ascii="Segoe UI"/>
          <w:color w:val="231F20"/>
          <w:sz w:val="16"/>
        </w:rPr>
        <w:t>;</w:t>
      </w:r>
      <w:r>
        <w:rPr>
          <w:rFonts w:ascii="Segoe UI"/>
          <w:color w:val="231F20"/>
          <w:spacing w:val="-4"/>
          <w:sz w:val="16"/>
        </w:rPr>
        <w:t> </w:t>
      </w:r>
      <w:r>
        <w:rPr>
          <w:rFonts w:ascii="Segoe UI"/>
          <w:color w:val="231F20"/>
          <w:spacing w:val="-1"/>
          <w:sz w:val="16"/>
        </w:rPr>
        <w:t>December</w:t>
      </w:r>
      <w:r>
        <w:rPr>
          <w:rFonts w:ascii="Segoe UI"/>
          <w:color w:val="231F20"/>
          <w:spacing w:val="-3"/>
          <w:sz w:val="16"/>
        </w:rPr>
        <w:t> </w:t>
      </w:r>
      <w:r>
        <w:rPr>
          <w:rFonts w:ascii="Segoe UI"/>
          <w:color w:val="231F20"/>
          <w:spacing w:val="-1"/>
          <w:sz w:val="16"/>
        </w:rPr>
        <w:t>2017,</w:t>
      </w:r>
      <w:r>
        <w:rPr>
          <w:rFonts w:ascii="Segoe UI"/>
          <w:color w:val="231F20"/>
          <w:spacing w:val="-3"/>
          <w:sz w:val="16"/>
        </w:rPr>
        <w:t> </w:t>
      </w:r>
      <w:r>
        <w:rPr>
          <w:rFonts w:ascii="Segoe UI"/>
          <w:color w:val="231F20"/>
          <w:sz w:val="16"/>
        </w:rPr>
        <w:t>p.</w:t>
      </w:r>
      <w:r>
        <w:rPr>
          <w:rFonts w:ascii="Segoe UI"/>
          <w:color w:val="231F20"/>
          <w:spacing w:val="-4"/>
          <w:sz w:val="16"/>
        </w:rPr>
        <w:t> </w:t>
      </w:r>
      <w:r>
        <w:rPr>
          <w:rFonts w:ascii="Segoe UI"/>
          <w:color w:val="231F20"/>
          <w:sz w:val="16"/>
        </w:rPr>
        <w:t>6</w:t>
      </w:r>
      <w:r>
        <w:rPr>
          <w:rFonts w:ascii="Segoe UI"/>
          <w:sz w:val="16"/>
        </w:rPr>
      </w:r>
    </w:p>
    <w:p>
      <w:pPr>
        <w:spacing w:line="240" w:lineRule="auto" w:before="0"/>
        <w:rPr>
          <w:rFonts w:ascii="Segoe UI" w:hAnsi="Segoe UI" w:cs="Segoe UI" w:eastAsia="Segoe UI"/>
          <w:sz w:val="16"/>
          <w:szCs w:val="16"/>
        </w:rPr>
      </w:pPr>
    </w:p>
    <w:p>
      <w:pPr>
        <w:spacing w:line="240" w:lineRule="auto" w:before="1"/>
        <w:rPr>
          <w:rFonts w:ascii="Segoe UI" w:hAnsi="Segoe UI" w:cs="Segoe UI" w:eastAsia="Segoe UI"/>
          <w:sz w:val="16"/>
          <w:szCs w:val="16"/>
        </w:rPr>
      </w:pPr>
    </w:p>
    <w:p>
      <w:pPr>
        <w:numPr>
          <w:ilvl w:val="0"/>
          <w:numId w:val="11"/>
        </w:numPr>
        <w:tabs>
          <w:tab w:pos="671" w:val="left" w:leader="none"/>
        </w:tabs>
        <w:spacing w:line="200" w:lineRule="exact" w:before="0"/>
        <w:ind w:left="670" w:right="110" w:hanging="567"/>
        <w:jc w:val="left"/>
        <w:rPr>
          <w:rFonts w:ascii="Segoe UI" w:hAnsi="Segoe UI" w:cs="Segoe UI" w:eastAsia="Segoe UI"/>
          <w:sz w:val="16"/>
          <w:szCs w:val="16"/>
        </w:rPr>
      </w:pPr>
      <w:r>
        <w:rPr>
          <w:rFonts w:ascii="Segoe UI"/>
          <w:color w:val="231F20"/>
          <w:spacing w:val="-1"/>
          <w:sz w:val="16"/>
        </w:rPr>
        <w:t>Sourced</w:t>
      </w:r>
      <w:r>
        <w:rPr>
          <w:rFonts w:ascii="Segoe UI"/>
          <w:color w:val="231F20"/>
          <w:spacing w:val="-16"/>
          <w:sz w:val="16"/>
        </w:rPr>
        <w:t> </w:t>
      </w:r>
      <w:r>
        <w:rPr>
          <w:rFonts w:ascii="Segoe UI"/>
          <w:color w:val="231F20"/>
          <w:sz w:val="16"/>
        </w:rPr>
        <w:t>from</w:t>
      </w:r>
      <w:r>
        <w:rPr>
          <w:rFonts w:ascii="Segoe UI"/>
          <w:color w:val="231F20"/>
          <w:spacing w:val="-15"/>
          <w:sz w:val="16"/>
        </w:rPr>
        <w:t> </w:t>
      </w:r>
      <w:r>
        <w:rPr>
          <w:rFonts w:ascii="Segoe UI"/>
          <w:color w:val="3853A4"/>
          <w:spacing w:val="-15"/>
          <w:sz w:val="16"/>
        </w:rPr>
      </w:r>
      <w:hyperlink r:id="rId117">
        <w:r>
          <w:rPr>
            <w:rFonts w:ascii="Segoe UI"/>
            <w:color w:val="3853A4"/>
            <w:spacing w:val="-1"/>
            <w:sz w:val="16"/>
            <w:u w:val="single" w:color="3853A4"/>
          </w:rPr>
          <w:t>http://www.wesleycollege.net/</w:t>
        </w:r>
        <w:r>
          <w:rPr>
            <w:rFonts w:ascii="Segoe UI"/>
            <w:color w:val="3853A4"/>
            <w:spacing w:val="-1"/>
            <w:w w:val="99"/>
            <w:sz w:val="16"/>
          </w:rPr>
        </w:r>
      </w:hyperlink>
      <w:r>
        <w:rPr>
          <w:rFonts w:ascii="Segoe UI"/>
          <w:color w:val="3853A4"/>
          <w:spacing w:val="-1"/>
          <w:w w:val="99"/>
          <w:sz w:val="16"/>
        </w:rPr>
        <w:t> </w:t>
      </w:r>
      <w:r>
        <w:rPr>
          <w:rFonts w:ascii="Segoe UI"/>
          <w:color w:val="3853A4"/>
          <w:spacing w:val="-1"/>
          <w:sz w:val="16"/>
        </w:rPr>
      </w:r>
      <w:r>
        <w:rPr>
          <w:rFonts w:ascii="Segoe UI"/>
          <w:color w:val="3853A4"/>
          <w:spacing w:val="-1"/>
          <w:sz w:val="16"/>
        </w:rPr>
        <w:t> </w:t>
      </w:r>
      <w:r>
        <w:rPr>
          <w:rFonts w:ascii="Segoe UI"/>
          <w:color w:val="3853A4"/>
          <w:spacing w:val="-1"/>
          <w:sz w:val="16"/>
          <w:u w:val="single" w:color="3853A4"/>
        </w:rPr>
        <w:t>Wesley-Life/Yiramalay-Wesley-Studio-School.aspx</w:t>
      </w:r>
      <w:r>
        <w:rPr>
          <w:rFonts w:ascii="Segoe UI"/>
          <w:color w:val="3853A4"/>
          <w:sz w:val="16"/>
        </w:rPr>
      </w:r>
      <w:r>
        <w:rPr>
          <w:rFonts w:ascii="Segoe UI"/>
          <w:color w:val="231F20"/>
          <w:spacing w:val="-1"/>
          <w:sz w:val="16"/>
        </w:rPr>
        <w:t>,</w:t>
      </w:r>
      <w:r>
        <w:rPr>
          <w:rFonts w:ascii="Segoe UI"/>
          <w:color w:val="231F20"/>
          <w:spacing w:val="55"/>
          <w:w w:val="99"/>
          <w:sz w:val="16"/>
        </w:rPr>
        <w:t> </w:t>
      </w:r>
      <w:r>
        <w:rPr>
          <w:rFonts w:ascii="Segoe UI"/>
          <w:color w:val="231F20"/>
          <w:sz w:val="16"/>
        </w:rPr>
        <w:t>and</w:t>
      </w:r>
      <w:r>
        <w:rPr>
          <w:rFonts w:ascii="Segoe UI"/>
          <w:color w:val="231F20"/>
          <w:spacing w:val="-6"/>
          <w:sz w:val="16"/>
        </w:rPr>
        <w:t> </w:t>
      </w:r>
      <w:r>
        <w:rPr>
          <w:rFonts w:ascii="Segoe UI"/>
          <w:color w:val="231F20"/>
          <w:sz w:val="16"/>
        </w:rPr>
        <w:t>consultations</w:t>
      </w:r>
      <w:r>
        <w:rPr>
          <w:rFonts w:ascii="Segoe UI"/>
          <w:color w:val="231F20"/>
          <w:spacing w:val="-6"/>
          <w:sz w:val="16"/>
        </w:rPr>
        <w:t> </w:t>
      </w:r>
      <w:r>
        <w:rPr>
          <w:rFonts w:ascii="Segoe UI"/>
          <w:color w:val="231F20"/>
          <w:sz w:val="16"/>
        </w:rPr>
        <w:t>with</w:t>
      </w:r>
      <w:r>
        <w:rPr>
          <w:rFonts w:ascii="Segoe UI"/>
          <w:color w:val="231F20"/>
          <w:spacing w:val="-6"/>
          <w:sz w:val="16"/>
        </w:rPr>
        <w:t> </w:t>
      </w:r>
      <w:r>
        <w:rPr>
          <w:rFonts w:ascii="Segoe UI"/>
          <w:color w:val="231F20"/>
          <w:spacing w:val="-1"/>
          <w:sz w:val="16"/>
        </w:rPr>
        <w:t>management</w:t>
      </w:r>
      <w:r>
        <w:rPr>
          <w:rFonts w:ascii="Segoe UI"/>
          <w:sz w:val="16"/>
        </w:rPr>
      </w:r>
    </w:p>
    <w:p>
      <w:pPr>
        <w:spacing w:line="240" w:lineRule="auto" w:before="0"/>
        <w:rPr>
          <w:rFonts w:ascii="Segoe UI" w:hAnsi="Segoe UI" w:cs="Segoe UI" w:eastAsia="Segoe UI"/>
          <w:sz w:val="16"/>
          <w:szCs w:val="16"/>
        </w:rPr>
      </w:pPr>
    </w:p>
    <w:p>
      <w:pPr>
        <w:spacing w:line="240" w:lineRule="auto" w:before="2"/>
        <w:rPr>
          <w:rFonts w:ascii="Segoe UI" w:hAnsi="Segoe UI" w:cs="Segoe UI" w:eastAsia="Segoe UI"/>
          <w:sz w:val="15"/>
          <w:szCs w:val="15"/>
        </w:rPr>
      </w:pPr>
    </w:p>
    <w:p>
      <w:pPr>
        <w:numPr>
          <w:ilvl w:val="0"/>
          <w:numId w:val="11"/>
        </w:numPr>
        <w:tabs>
          <w:tab w:pos="671" w:val="left" w:leader="none"/>
        </w:tabs>
        <w:spacing w:before="0"/>
        <w:ind w:left="670" w:right="0" w:hanging="567"/>
        <w:jc w:val="left"/>
        <w:rPr>
          <w:rFonts w:ascii="Segoe UI" w:hAnsi="Segoe UI" w:cs="Segoe UI" w:eastAsia="Segoe UI"/>
          <w:sz w:val="16"/>
          <w:szCs w:val="16"/>
        </w:rPr>
      </w:pPr>
      <w:r>
        <w:rPr>
          <w:rFonts w:ascii="Segoe UI" w:hAnsi="Segoe UI" w:cs="Segoe UI" w:eastAsia="Segoe UI"/>
          <w:color w:val="231F20"/>
          <w:sz w:val="16"/>
          <w:szCs w:val="16"/>
        </w:rPr>
        <w:t>O’Bryan,</w:t>
      </w:r>
      <w:r>
        <w:rPr>
          <w:rFonts w:ascii="Segoe UI" w:hAnsi="Segoe UI" w:cs="Segoe UI" w:eastAsia="Segoe UI"/>
          <w:color w:val="231F20"/>
          <w:spacing w:val="-7"/>
          <w:sz w:val="16"/>
          <w:szCs w:val="16"/>
        </w:rPr>
        <w:t> </w:t>
      </w:r>
      <w:r>
        <w:rPr>
          <w:rFonts w:ascii="Segoe UI" w:hAnsi="Segoe UI" w:cs="Segoe UI" w:eastAsia="Segoe UI"/>
          <w:color w:val="231F20"/>
          <w:sz w:val="16"/>
          <w:szCs w:val="16"/>
        </w:rPr>
        <w:t>2016</w:t>
      </w:r>
      <w:r>
        <w:rPr>
          <w:rFonts w:ascii="Segoe UI" w:hAnsi="Segoe UI" w:cs="Segoe UI" w:eastAsia="Segoe UI"/>
          <w:sz w:val="16"/>
          <w:szCs w:val="16"/>
        </w:rPr>
      </w:r>
    </w:p>
    <w:p>
      <w:pPr>
        <w:numPr>
          <w:ilvl w:val="0"/>
          <w:numId w:val="11"/>
        </w:numPr>
        <w:tabs>
          <w:tab w:pos="671" w:val="left" w:leader="none"/>
        </w:tabs>
        <w:spacing w:before="100"/>
        <w:ind w:left="670" w:right="0" w:hanging="567"/>
        <w:jc w:val="left"/>
        <w:rPr>
          <w:rFonts w:ascii="Segoe UI" w:hAnsi="Segoe UI" w:cs="Segoe UI" w:eastAsia="Segoe UI"/>
          <w:sz w:val="16"/>
          <w:szCs w:val="16"/>
        </w:rPr>
      </w:pPr>
      <w:hyperlink r:id="rId118">
        <w:r>
          <w:rPr>
            <w:rFonts w:ascii="Segoe UI"/>
            <w:color w:val="231F20"/>
            <w:sz w:val="16"/>
          </w:rPr>
          <w:t>www.yirara.nt.edu.au</w:t>
        </w:r>
        <w:r>
          <w:rPr>
            <w:rFonts w:ascii="Segoe UI"/>
            <w:sz w:val="16"/>
          </w:rPr>
        </w:r>
      </w:hyperlink>
    </w:p>
    <w:p>
      <w:pPr>
        <w:numPr>
          <w:ilvl w:val="0"/>
          <w:numId w:val="11"/>
        </w:numPr>
        <w:tabs>
          <w:tab w:pos="671" w:val="left" w:leader="none"/>
        </w:tabs>
        <w:spacing w:line="200" w:lineRule="exact" w:before="113"/>
        <w:ind w:left="670" w:right="0" w:hanging="567"/>
        <w:jc w:val="left"/>
        <w:rPr>
          <w:rFonts w:ascii="Segoe UI" w:hAnsi="Segoe UI" w:cs="Segoe UI" w:eastAsia="Segoe UI"/>
          <w:sz w:val="16"/>
          <w:szCs w:val="16"/>
        </w:rPr>
      </w:pPr>
      <w:r>
        <w:rPr>
          <w:rFonts w:ascii="Segoe UI"/>
          <w:color w:val="231F20"/>
          <w:sz w:val="16"/>
        </w:rPr>
        <w:t>Under</w:t>
      </w:r>
      <w:r>
        <w:rPr>
          <w:rFonts w:ascii="Segoe UI"/>
          <w:color w:val="231F20"/>
          <w:spacing w:val="-5"/>
          <w:sz w:val="16"/>
        </w:rPr>
        <w:t> </w:t>
      </w:r>
      <w:r>
        <w:rPr>
          <w:rFonts w:ascii="Segoe UI"/>
          <w:color w:val="231F20"/>
          <w:sz w:val="16"/>
        </w:rPr>
        <w:t>the</w:t>
      </w:r>
      <w:r>
        <w:rPr>
          <w:rFonts w:ascii="Segoe UI"/>
          <w:color w:val="231F20"/>
          <w:spacing w:val="-5"/>
          <w:sz w:val="16"/>
        </w:rPr>
        <w:t> </w:t>
      </w:r>
      <w:r>
        <w:rPr>
          <w:rFonts w:ascii="Segoe UI"/>
          <w:color w:val="231F20"/>
          <w:spacing w:val="-1"/>
          <w:sz w:val="16"/>
        </w:rPr>
        <w:t>Children</w:t>
      </w:r>
      <w:r>
        <w:rPr>
          <w:rFonts w:ascii="Segoe UI"/>
          <w:color w:val="231F20"/>
          <w:spacing w:val="-4"/>
          <w:sz w:val="16"/>
        </w:rPr>
        <w:t> </w:t>
      </w:r>
      <w:r>
        <w:rPr>
          <w:rFonts w:ascii="Segoe UI"/>
          <w:color w:val="231F20"/>
          <w:sz w:val="16"/>
        </w:rPr>
        <w:t>and</w:t>
      </w:r>
      <w:r>
        <w:rPr>
          <w:rFonts w:ascii="Segoe UI"/>
          <w:color w:val="231F20"/>
          <w:spacing w:val="-5"/>
          <w:sz w:val="16"/>
        </w:rPr>
        <w:t> </w:t>
      </w:r>
      <w:r>
        <w:rPr>
          <w:rFonts w:ascii="Segoe UI"/>
          <w:color w:val="231F20"/>
          <w:spacing w:val="-1"/>
          <w:sz w:val="16"/>
        </w:rPr>
        <w:t>Schooling</w:t>
      </w:r>
      <w:r>
        <w:rPr>
          <w:rFonts w:ascii="Segoe UI"/>
          <w:color w:val="231F20"/>
          <w:spacing w:val="-6"/>
          <w:sz w:val="16"/>
        </w:rPr>
        <w:t> </w:t>
      </w:r>
      <w:r>
        <w:rPr>
          <w:rFonts w:ascii="Segoe UI"/>
          <w:color w:val="231F20"/>
          <w:sz w:val="16"/>
        </w:rPr>
        <w:t>Program</w:t>
      </w:r>
      <w:r>
        <w:rPr>
          <w:rFonts w:ascii="Segoe UI"/>
          <w:color w:val="231F20"/>
          <w:spacing w:val="-4"/>
          <w:sz w:val="16"/>
        </w:rPr>
        <w:t> </w:t>
      </w:r>
      <w:r>
        <w:rPr>
          <w:rFonts w:ascii="Segoe UI"/>
          <w:color w:val="231F20"/>
          <w:sz w:val="16"/>
        </w:rPr>
        <w:t>under</w:t>
      </w:r>
      <w:r>
        <w:rPr>
          <w:rFonts w:ascii="Segoe UI"/>
          <w:color w:val="231F20"/>
          <w:spacing w:val="27"/>
          <w:w w:val="99"/>
          <w:sz w:val="16"/>
        </w:rPr>
        <w:t> </w:t>
      </w:r>
      <w:r>
        <w:rPr>
          <w:rFonts w:ascii="Segoe UI"/>
          <w:color w:val="231F20"/>
          <w:sz w:val="16"/>
        </w:rPr>
        <w:t>the</w:t>
      </w:r>
      <w:r>
        <w:rPr>
          <w:rFonts w:ascii="Segoe UI"/>
          <w:color w:val="231F20"/>
          <w:spacing w:val="-8"/>
          <w:sz w:val="16"/>
        </w:rPr>
        <w:t> </w:t>
      </w:r>
      <w:r>
        <w:rPr>
          <w:rFonts w:ascii="Segoe UI"/>
          <w:color w:val="231F20"/>
          <w:spacing w:val="-1"/>
          <w:sz w:val="16"/>
        </w:rPr>
        <w:t>Indigenous</w:t>
      </w:r>
      <w:r>
        <w:rPr>
          <w:rFonts w:ascii="Segoe UI"/>
          <w:color w:val="231F20"/>
          <w:spacing w:val="-6"/>
          <w:sz w:val="16"/>
        </w:rPr>
        <w:t> </w:t>
      </w:r>
      <w:r>
        <w:rPr>
          <w:rFonts w:ascii="Segoe UI"/>
          <w:color w:val="231F20"/>
          <w:sz w:val="16"/>
        </w:rPr>
        <w:t>Advancement</w:t>
      </w:r>
      <w:r>
        <w:rPr>
          <w:rFonts w:ascii="Segoe UI"/>
          <w:color w:val="231F20"/>
          <w:spacing w:val="-6"/>
          <w:sz w:val="16"/>
        </w:rPr>
        <w:t> </w:t>
      </w:r>
      <w:r>
        <w:rPr>
          <w:rFonts w:ascii="Segoe UI"/>
          <w:color w:val="231F20"/>
          <w:spacing w:val="-1"/>
          <w:sz w:val="16"/>
        </w:rPr>
        <w:t>Strategy</w:t>
      </w:r>
      <w:r>
        <w:rPr>
          <w:rFonts w:ascii="Segoe UI"/>
          <w:color w:val="231F20"/>
          <w:spacing w:val="-7"/>
          <w:sz w:val="16"/>
        </w:rPr>
        <w:t> </w:t>
      </w:r>
      <w:r>
        <w:rPr>
          <w:rFonts w:ascii="Segoe UI"/>
          <w:color w:val="231F20"/>
          <w:sz w:val="16"/>
        </w:rPr>
        <w:t>funds</w:t>
      </w:r>
      <w:r>
        <w:rPr>
          <w:rFonts w:ascii="Segoe UI"/>
          <w:color w:val="231F20"/>
          <w:spacing w:val="24"/>
          <w:sz w:val="16"/>
        </w:rPr>
        <w:t> </w:t>
      </w:r>
      <w:r>
        <w:rPr>
          <w:rFonts w:ascii="Segoe UI"/>
          <w:color w:val="231F20"/>
          <w:spacing w:val="-1"/>
          <w:sz w:val="16"/>
        </w:rPr>
        <w:t>scholarship</w:t>
      </w:r>
      <w:r>
        <w:rPr>
          <w:rFonts w:ascii="Segoe UI"/>
          <w:color w:val="231F20"/>
          <w:spacing w:val="-4"/>
          <w:sz w:val="16"/>
        </w:rPr>
        <w:t> </w:t>
      </w:r>
      <w:r>
        <w:rPr>
          <w:rFonts w:ascii="Segoe UI"/>
          <w:color w:val="231F20"/>
          <w:sz w:val="16"/>
        </w:rPr>
        <w:t>providers</w:t>
      </w:r>
      <w:r>
        <w:rPr>
          <w:rFonts w:ascii="Segoe UI"/>
          <w:color w:val="231F20"/>
          <w:spacing w:val="-5"/>
          <w:sz w:val="16"/>
        </w:rPr>
        <w:t> </w:t>
      </w:r>
      <w:r>
        <w:rPr>
          <w:rFonts w:ascii="Segoe UI"/>
          <w:color w:val="231F20"/>
          <w:sz w:val="16"/>
        </w:rPr>
        <w:t>to</w:t>
      </w:r>
      <w:r>
        <w:rPr>
          <w:rFonts w:ascii="Segoe UI"/>
          <w:color w:val="231F20"/>
          <w:spacing w:val="-4"/>
          <w:sz w:val="16"/>
        </w:rPr>
        <w:t> </w:t>
      </w:r>
      <w:r>
        <w:rPr>
          <w:rFonts w:ascii="Segoe UI"/>
          <w:color w:val="231F20"/>
          <w:sz w:val="16"/>
        </w:rPr>
        <w:t>provide</w:t>
      </w:r>
      <w:r>
        <w:rPr>
          <w:rFonts w:ascii="Segoe UI"/>
          <w:color w:val="231F20"/>
          <w:spacing w:val="-5"/>
          <w:sz w:val="16"/>
        </w:rPr>
        <w:t> </w:t>
      </w:r>
      <w:r>
        <w:rPr>
          <w:rFonts w:ascii="Segoe UI"/>
          <w:color w:val="231F20"/>
          <w:spacing w:val="-1"/>
          <w:sz w:val="16"/>
        </w:rPr>
        <w:t>secondary</w:t>
      </w:r>
      <w:r>
        <w:rPr>
          <w:rFonts w:ascii="Segoe UI"/>
          <w:color w:val="231F20"/>
          <w:spacing w:val="-4"/>
          <w:sz w:val="16"/>
        </w:rPr>
        <w:t> </w:t>
      </w:r>
      <w:r>
        <w:rPr>
          <w:rFonts w:ascii="Segoe UI"/>
          <w:color w:val="231F20"/>
          <w:spacing w:val="-1"/>
          <w:sz w:val="16"/>
        </w:rPr>
        <w:t>school</w:t>
      </w:r>
      <w:r>
        <w:rPr>
          <w:rFonts w:ascii="Segoe UI"/>
          <w:color w:val="231F20"/>
          <w:spacing w:val="22"/>
          <w:sz w:val="16"/>
        </w:rPr>
        <w:t> </w:t>
      </w:r>
      <w:r>
        <w:rPr>
          <w:rFonts w:ascii="Segoe UI"/>
          <w:color w:val="231F20"/>
          <w:spacing w:val="-1"/>
          <w:sz w:val="16"/>
        </w:rPr>
        <w:t>scholarships</w:t>
      </w:r>
      <w:r>
        <w:rPr>
          <w:rFonts w:ascii="Segoe UI"/>
          <w:color w:val="231F20"/>
          <w:spacing w:val="-4"/>
          <w:sz w:val="16"/>
        </w:rPr>
        <w:t> </w:t>
      </w:r>
      <w:r>
        <w:rPr>
          <w:rFonts w:ascii="Segoe UI"/>
          <w:color w:val="231F20"/>
          <w:sz w:val="16"/>
        </w:rPr>
        <w:t>for</w:t>
      </w:r>
      <w:r>
        <w:rPr>
          <w:rFonts w:ascii="Segoe UI"/>
          <w:color w:val="231F20"/>
          <w:spacing w:val="-4"/>
          <w:sz w:val="16"/>
        </w:rPr>
        <w:t> </w:t>
      </w:r>
      <w:r>
        <w:rPr>
          <w:rFonts w:ascii="Segoe UI"/>
          <w:color w:val="231F20"/>
          <w:sz w:val="16"/>
        </w:rPr>
        <w:t>Aboriginal</w:t>
      </w:r>
      <w:r>
        <w:rPr>
          <w:rFonts w:ascii="Segoe UI"/>
          <w:color w:val="231F20"/>
          <w:spacing w:val="-4"/>
          <w:sz w:val="16"/>
        </w:rPr>
        <w:t> </w:t>
      </w:r>
      <w:r>
        <w:rPr>
          <w:rFonts w:ascii="Segoe UI"/>
          <w:color w:val="231F20"/>
          <w:sz w:val="16"/>
        </w:rPr>
        <w:t>and</w:t>
      </w:r>
      <w:r>
        <w:rPr>
          <w:rFonts w:ascii="Segoe UI"/>
          <w:color w:val="231F20"/>
          <w:spacing w:val="-5"/>
          <w:sz w:val="16"/>
        </w:rPr>
        <w:t> </w:t>
      </w:r>
      <w:r>
        <w:rPr>
          <w:rFonts w:ascii="Segoe UI"/>
          <w:color w:val="231F20"/>
          <w:spacing w:val="-3"/>
          <w:sz w:val="16"/>
        </w:rPr>
        <w:t>Torres</w:t>
      </w:r>
      <w:r>
        <w:rPr>
          <w:rFonts w:ascii="Segoe UI"/>
          <w:color w:val="231F20"/>
          <w:spacing w:val="-4"/>
          <w:sz w:val="16"/>
        </w:rPr>
        <w:t> </w:t>
      </w:r>
      <w:r>
        <w:rPr>
          <w:rFonts w:ascii="Segoe UI"/>
          <w:color w:val="231F20"/>
          <w:spacing w:val="-1"/>
          <w:sz w:val="16"/>
        </w:rPr>
        <w:t>Strait</w:t>
      </w:r>
      <w:r>
        <w:rPr>
          <w:rFonts w:ascii="Segoe UI"/>
          <w:color w:val="231F20"/>
          <w:spacing w:val="-5"/>
          <w:sz w:val="16"/>
        </w:rPr>
        <w:t> </w:t>
      </w:r>
      <w:r>
        <w:rPr>
          <w:rFonts w:ascii="Segoe UI"/>
          <w:color w:val="231F20"/>
          <w:spacing w:val="-1"/>
          <w:sz w:val="16"/>
        </w:rPr>
        <w:t>Islander</w:t>
      </w:r>
      <w:r>
        <w:rPr>
          <w:rFonts w:ascii="Segoe UI"/>
          <w:color w:val="231F20"/>
          <w:spacing w:val="23"/>
          <w:w w:val="99"/>
          <w:sz w:val="16"/>
        </w:rPr>
        <w:t> </w:t>
      </w:r>
      <w:r>
        <w:rPr>
          <w:rFonts w:ascii="Segoe UI"/>
          <w:color w:val="231F20"/>
          <w:spacing w:val="-1"/>
          <w:sz w:val="16"/>
        </w:rPr>
        <w:t>students</w:t>
      </w:r>
      <w:r>
        <w:rPr>
          <w:rFonts w:ascii="Segoe UI"/>
          <w:sz w:val="16"/>
        </w:rPr>
      </w:r>
    </w:p>
    <w:p>
      <w:pPr>
        <w:tabs>
          <w:tab w:pos="669" w:val="left" w:leader="none"/>
        </w:tabs>
        <w:spacing w:before="100"/>
        <w:ind w:left="103" w:right="0" w:firstLine="0"/>
        <w:jc w:val="left"/>
        <w:rPr>
          <w:rFonts w:ascii="Segoe UI" w:hAnsi="Segoe UI" w:cs="Segoe UI" w:eastAsia="Segoe UI"/>
          <w:sz w:val="16"/>
          <w:szCs w:val="16"/>
        </w:rPr>
      </w:pPr>
      <w:r>
        <w:rPr>
          <w:rFonts w:ascii="Segoe UI"/>
          <w:color w:val="231F20"/>
          <w:sz w:val="16"/>
        </w:rPr>
        <w:t>80</w:t>
        <w:tab/>
      </w:r>
      <w:r>
        <w:rPr>
          <w:rFonts w:ascii="Segoe UI"/>
          <w:color w:val="231F20"/>
          <w:spacing w:val="-1"/>
          <w:sz w:val="16"/>
        </w:rPr>
        <w:t>CAEPR, 2017,</w:t>
      </w:r>
      <w:r>
        <w:rPr>
          <w:rFonts w:ascii="Segoe UI"/>
          <w:color w:val="231F20"/>
          <w:sz w:val="16"/>
        </w:rPr>
        <w:t> p.</w:t>
      </w:r>
      <w:r>
        <w:rPr>
          <w:rFonts w:ascii="Segoe UI"/>
          <w:color w:val="231F20"/>
          <w:spacing w:val="-1"/>
          <w:sz w:val="16"/>
        </w:rPr>
        <w:t> </w:t>
      </w:r>
      <w:r>
        <w:rPr>
          <w:rFonts w:ascii="Segoe UI"/>
          <w:color w:val="231F20"/>
          <w:sz w:val="16"/>
        </w:rPr>
        <w:t>31</w:t>
      </w:r>
      <w:r>
        <w:rPr>
          <w:rFonts w:ascii="Segoe UI"/>
          <w:sz w:val="16"/>
        </w:rPr>
      </w:r>
    </w:p>
    <w:p>
      <w:pPr>
        <w:numPr>
          <w:ilvl w:val="0"/>
          <w:numId w:val="12"/>
        </w:numPr>
        <w:tabs>
          <w:tab w:pos="671" w:val="left" w:leader="none"/>
        </w:tabs>
        <w:spacing w:line="200" w:lineRule="exact" w:before="113"/>
        <w:ind w:left="670" w:right="233" w:hanging="567"/>
        <w:jc w:val="left"/>
        <w:rPr>
          <w:rFonts w:ascii="Segoe UI" w:hAnsi="Segoe UI" w:cs="Segoe UI" w:eastAsia="Segoe UI"/>
          <w:sz w:val="16"/>
          <w:szCs w:val="16"/>
        </w:rPr>
      </w:pPr>
      <w:r>
        <w:rPr>
          <w:rFonts w:ascii="Segoe UI" w:hAnsi="Segoe UI" w:cs="Segoe UI" w:eastAsia="Segoe UI"/>
          <w:i/>
          <w:color w:val="231F20"/>
          <w:sz w:val="16"/>
          <w:szCs w:val="16"/>
        </w:rPr>
        <w:t>Fast</w:t>
      </w:r>
      <w:r>
        <w:rPr>
          <w:rFonts w:ascii="Segoe UI" w:hAnsi="Segoe UI" w:cs="Segoe UI" w:eastAsia="Segoe UI"/>
          <w:i/>
          <w:color w:val="231F20"/>
          <w:spacing w:val="-4"/>
          <w:sz w:val="16"/>
          <w:szCs w:val="16"/>
        </w:rPr>
        <w:t> </w:t>
      </w:r>
      <w:r>
        <w:rPr>
          <w:rFonts w:ascii="Segoe UI" w:hAnsi="Segoe UI" w:cs="Segoe UI" w:eastAsia="Segoe UI"/>
          <w:i/>
          <w:color w:val="231F20"/>
          <w:sz w:val="16"/>
          <w:szCs w:val="16"/>
        </w:rPr>
        <w:t>Facts</w:t>
      </w:r>
      <w:r>
        <w:rPr>
          <w:rFonts w:ascii="Segoe UI" w:hAnsi="Segoe UI" w:cs="Segoe UI" w:eastAsia="Segoe UI"/>
          <w:i/>
          <w:color w:val="231F20"/>
          <w:spacing w:val="-4"/>
          <w:sz w:val="16"/>
          <w:szCs w:val="16"/>
        </w:rPr>
        <w:t> </w:t>
      </w:r>
      <w:r>
        <w:rPr>
          <w:rFonts w:ascii="Segoe UI" w:hAnsi="Segoe UI" w:cs="Segoe UI" w:eastAsia="Segoe UI"/>
          <w:i/>
          <w:color w:val="231F20"/>
          <w:sz w:val="16"/>
          <w:szCs w:val="16"/>
        </w:rPr>
        <w:t>–</w:t>
      </w:r>
      <w:r>
        <w:rPr>
          <w:rFonts w:ascii="Segoe UI" w:hAnsi="Segoe UI" w:cs="Segoe UI" w:eastAsia="Segoe UI"/>
          <w:i/>
          <w:color w:val="231F20"/>
          <w:spacing w:val="-2"/>
          <w:sz w:val="16"/>
          <w:szCs w:val="16"/>
        </w:rPr>
        <w:t> Transition</w:t>
      </w:r>
      <w:r>
        <w:rPr>
          <w:rFonts w:ascii="Segoe UI" w:hAnsi="Segoe UI" w:cs="Segoe UI" w:eastAsia="Segoe UI"/>
          <w:i/>
          <w:color w:val="231F20"/>
          <w:spacing w:val="-3"/>
          <w:sz w:val="16"/>
          <w:szCs w:val="16"/>
        </w:rPr>
        <w:t> </w:t>
      </w:r>
      <w:r>
        <w:rPr>
          <w:rFonts w:ascii="Segoe UI" w:hAnsi="Segoe UI" w:cs="Segoe UI" w:eastAsia="Segoe UI"/>
          <w:i/>
          <w:color w:val="231F20"/>
          <w:sz w:val="16"/>
          <w:szCs w:val="16"/>
        </w:rPr>
        <w:t>Support</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Services</w:t>
      </w:r>
      <w:r>
        <w:rPr>
          <w:rFonts w:ascii="Segoe UI" w:hAnsi="Segoe UI" w:cs="Segoe UI" w:eastAsia="Segoe UI"/>
          <w:color w:val="231F20"/>
          <w:spacing w:val="-1"/>
          <w:sz w:val="16"/>
          <w:szCs w:val="16"/>
        </w:rPr>
        <w:t>,</w:t>
      </w:r>
      <w:r>
        <w:rPr>
          <w:rFonts w:ascii="Segoe UI" w:hAnsi="Segoe UI" w:cs="Segoe UI" w:eastAsia="Segoe UI"/>
          <w:color w:val="231F20"/>
          <w:spacing w:val="-2"/>
          <w:sz w:val="16"/>
          <w:szCs w:val="16"/>
        </w:rPr>
        <w:t> Transition</w:t>
      </w:r>
      <w:r>
        <w:rPr>
          <w:rFonts w:ascii="Segoe UI" w:hAnsi="Segoe UI" w:cs="Segoe UI" w:eastAsia="Segoe UI"/>
          <w:color w:val="231F20"/>
          <w:spacing w:val="53"/>
          <w:w w:val="99"/>
          <w:sz w:val="16"/>
          <w:szCs w:val="16"/>
        </w:rPr>
        <w:t> </w:t>
      </w:r>
      <w:r>
        <w:rPr>
          <w:rFonts w:ascii="Segoe UI" w:hAnsi="Segoe UI" w:cs="Segoe UI" w:eastAsia="Segoe UI"/>
          <w:color w:val="231F20"/>
          <w:spacing w:val="-1"/>
          <w:sz w:val="16"/>
          <w:szCs w:val="16"/>
        </w:rPr>
        <w:t>Support</w:t>
      </w:r>
      <w:r>
        <w:rPr>
          <w:rFonts w:ascii="Segoe UI" w:hAnsi="Segoe UI" w:cs="Segoe UI" w:eastAsia="Segoe UI"/>
          <w:color w:val="231F20"/>
          <w:spacing w:val="-6"/>
          <w:sz w:val="16"/>
          <w:szCs w:val="16"/>
        </w:rPr>
        <w:t> </w:t>
      </w:r>
      <w:r>
        <w:rPr>
          <w:rFonts w:ascii="Segoe UI" w:hAnsi="Segoe UI" w:cs="Segoe UI" w:eastAsia="Segoe UI"/>
          <w:color w:val="231F20"/>
          <w:spacing w:val="-1"/>
          <w:sz w:val="16"/>
          <w:szCs w:val="16"/>
        </w:rPr>
        <w:t>Services</w:t>
      </w:r>
      <w:r>
        <w:rPr>
          <w:rFonts w:ascii="Segoe UI" w:hAnsi="Segoe UI" w:cs="Segoe UI" w:eastAsia="Segoe UI"/>
          <w:sz w:val="16"/>
          <w:szCs w:val="16"/>
        </w:rPr>
      </w:r>
    </w:p>
    <w:p>
      <w:pPr>
        <w:numPr>
          <w:ilvl w:val="0"/>
          <w:numId w:val="12"/>
        </w:numPr>
        <w:tabs>
          <w:tab w:pos="671" w:val="left" w:leader="none"/>
        </w:tabs>
        <w:spacing w:line="200" w:lineRule="exact" w:before="113"/>
        <w:ind w:left="670" w:right="20" w:hanging="567"/>
        <w:jc w:val="left"/>
        <w:rPr>
          <w:rFonts w:ascii="Segoe UI" w:hAnsi="Segoe UI" w:cs="Segoe UI" w:eastAsia="Segoe UI"/>
          <w:sz w:val="16"/>
          <w:szCs w:val="16"/>
        </w:rPr>
      </w:pPr>
      <w:r>
        <w:rPr>
          <w:rFonts w:ascii="Segoe UI"/>
          <w:color w:val="231F20"/>
          <w:sz w:val="16"/>
        </w:rPr>
        <w:t>The</w:t>
      </w:r>
      <w:r>
        <w:rPr>
          <w:rFonts w:ascii="Segoe UI"/>
          <w:color w:val="231F20"/>
          <w:spacing w:val="-3"/>
          <w:sz w:val="16"/>
        </w:rPr>
        <w:t> </w:t>
      </w:r>
      <w:r>
        <w:rPr>
          <w:rFonts w:ascii="Segoe UI"/>
          <w:color w:val="231F20"/>
          <w:spacing w:val="-2"/>
          <w:sz w:val="16"/>
        </w:rPr>
        <w:t>TSS </w:t>
      </w:r>
      <w:r>
        <w:rPr>
          <w:rFonts w:ascii="Segoe UI"/>
          <w:color w:val="231F20"/>
          <w:sz w:val="16"/>
        </w:rPr>
        <w:t>estimate</w:t>
      </w:r>
      <w:r>
        <w:rPr>
          <w:rFonts w:ascii="Segoe UI"/>
          <w:color w:val="231F20"/>
          <w:spacing w:val="-3"/>
          <w:sz w:val="16"/>
        </w:rPr>
        <w:t> </w:t>
      </w:r>
      <w:r>
        <w:rPr>
          <w:rFonts w:ascii="Segoe UI"/>
          <w:color w:val="231F20"/>
          <w:sz w:val="16"/>
        </w:rPr>
        <w:t>that</w:t>
      </w:r>
      <w:r>
        <w:rPr>
          <w:rFonts w:ascii="Segoe UI"/>
          <w:color w:val="231F20"/>
          <w:spacing w:val="-3"/>
          <w:sz w:val="16"/>
        </w:rPr>
        <w:t> </w:t>
      </w:r>
      <w:r>
        <w:rPr>
          <w:rFonts w:ascii="Segoe UI"/>
          <w:color w:val="231F20"/>
          <w:spacing w:val="-1"/>
          <w:sz w:val="16"/>
        </w:rPr>
        <w:t>approximately</w:t>
      </w:r>
      <w:r>
        <w:rPr>
          <w:rFonts w:ascii="Segoe UI"/>
          <w:color w:val="231F20"/>
          <w:spacing w:val="-3"/>
          <w:sz w:val="16"/>
        </w:rPr>
        <w:t> </w:t>
      </w:r>
      <w:r>
        <w:rPr>
          <w:rFonts w:ascii="Segoe UI"/>
          <w:color w:val="231F20"/>
          <w:spacing w:val="-1"/>
          <w:sz w:val="16"/>
        </w:rPr>
        <w:t>40</w:t>
      </w:r>
      <w:r>
        <w:rPr>
          <w:rFonts w:ascii="Segoe UI"/>
          <w:color w:val="231F20"/>
          <w:spacing w:val="-2"/>
          <w:sz w:val="16"/>
        </w:rPr>
        <w:t> </w:t>
      </w:r>
      <w:r>
        <w:rPr>
          <w:rFonts w:ascii="Segoe UI"/>
          <w:color w:val="231F20"/>
          <w:sz w:val="16"/>
        </w:rPr>
        <w:t>per</w:t>
      </w:r>
      <w:r>
        <w:rPr>
          <w:rFonts w:ascii="Segoe UI"/>
          <w:color w:val="231F20"/>
          <w:spacing w:val="-2"/>
          <w:sz w:val="16"/>
        </w:rPr>
        <w:t> </w:t>
      </w:r>
      <w:r>
        <w:rPr>
          <w:rFonts w:ascii="Segoe UI"/>
          <w:color w:val="231F20"/>
          <w:sz w:val="16"/>
        </w:rPr>
        <w:t>cent</w:t>
      </w:r>
      <w:r>
        <w:rPr>
          <w:rFonts w:ascii="Segoe UI"/>
          <w:color w:val="231F20"/>
          <w:spacing w:val="-3"/>
          <w:sz w:val="16"/>
        </w:rPr>
        <w:t> </w:t>
      </w:r>
      <w:r>
        <w:rPr>
          <w:rFonts w:ascii="Segoe UI"/>
          <w:color w:val="231F20"/>
          <w:sz w:val="16"/>
        </w:rPr>
        <w:t>of</w:t>
      </w:r>
      <w:r>
        <w:rPr>
          <w:rFonts w:ascii="Segoe UI"/>
          <w:color w:val="231F20"/>
          <w:spacing w:val="29"/>
          <w:w w:val="99"/>
          <w:sz w:val="16"/>
        </w:rPr>
        <w:t> </w:t>
      </w:r>
      <w:r>
        <w:rPr>
          <w:rFonts w:ascii="Segoe UI"/>
          <w:color w:val="231F20"/>
          <w:sz w:val="16"/>
        </w:rPr>
        <w:t>staff</w:t>
      </w:r>
      <w:r>
        <w:rPr>
          <w:rFonts w:ascii="Segoe UI"/>
          <w:color w:val="231F20"/>
          <w:spacing w:val="-1"/>
          <w:sz w:val="16"/>
        </w:rPr>
        <w:t> </w:t>
      </w:r>
      <w:r>
        <w:rPr>
          <w:rFonts w:ascii="Segoe UI"/>
          <w:color w:val="231F20"/>
          <w:sz w:val="16"/>
        </w:rPr>
        <w:t>time in the</w:t>
      </w:r>
      <w:r>
        <w:rPr>
          <w:rFonts w:ascii="Segoe UI"/>
          <w:color w:val="231F20"/>
          <w:spacing w:val="-1"/>
          <w:sz w:val="16"/>
        </w:rPr>
        <w:t> </w:t>
      </w:r>
      <w:r>
        <w:rPr>
          <w:rFonts w:ascii="Segoe UI"/>
          <w:color w:val="231F20"/>
          <w:sz w:val="16"/>
        </w:rPr>
        <w:t>field is</w:t>
      </w:r>
      <w:r>
        <w:rPr>
          <w:rFonts w:ascii="Segoe UI"/>
          <w:color w:val="231F20"/>
          <w:spacing w:val="-1"/>
          <w:sz w:val="16"/>
        </w:rPr>
        <w:t> </w:t>
      </w:r>
      <w:r>
        <w:rPr>
          <w:rFonts w:ascii="Segoe UI"/>
          <w:color w:val="231F20"/>
          <w:sz w:val="16"/>
        </w:rPr>
        <w:t>devoted to assisting</w:t>
      </w:r>
      <w:r>
        <w:rPr>
          <w:rFonts w:ascii="Segoe UI"/>
          <w:color w:val="231F20"/>
          <w:spacing w:val="-1"/>
          <w:sz w:val="16"/>
        </w:rPr>
        <w:t> </w:t>
      </w:r>
      <w:r>
        <w:rPr>
          <w:rFonts w:ascii="Segoe UI"/>
          <w:color w:val="231F20"/>
          <w:sz w:val="16"/>
        </w:rPr>
        <w:t>parents</w:t>
      </w:r>
      <w:r>
        <w:rPr>
          <w:rFonts w:ascii="Segoe UI"/>
          <w:color w:val="231F20"/>
          <w:sz w:val="16"/>
        </w:rPr>
        <w:t> </w:t>
      </w:r>
      <w:r>
        <w:rPr>
          <w:rFonts w:ascii="Segoe UI"/>
          <w:color w:val="231F20"/>
          <w:sz w:val="16"/>
        </w:rPr>
        <w:t>and</w:t>
      </w:r>
      <w:r>
        <w:rPr>
          <w:rFonts w:ascii="Segoe UI"/>
          <w:color w:val="231F20"/>
          <w:spacing w:val="-7"/>
          <w:sz w:val="16"/>
        </w:rPr>
        <w:t> </w:t>
      </w:r>
      <w:r>
        <w:rPr>
          <w:rFonts w:ascii="Segoe UI"/>
          <w:color w:val="231F20"/>
          <w:sz w:val="16"/>
        </w:rPr>
        <w:t>carers</w:t>
      </w:r>
      <w:r>
        <w:rPr>
          <w:rFonts w:ascii="Segoe UI"/>
          <w:color w:val="231F20"/>
          <w:spacing w:val="-6"/>
          <w:sz w:val="16"/>
        </w:rPr>
        <w:t> </w:t>
      </w:r>
      <w:r>
        <w:rPr>
          <w:rFonts w:ascii="Segoe UI"/>
          <w:color w:val="231F20"/>
          <w:sz w:val="16"/>
        </w:rPr>
        <w:t>with</w:t>
      </w:r>
      <w:r>
        <w:rPr>
          <w:rFonts w:ascii="Segoe UI"/>
          <w:color w:val="231F20"/>
          <w:spacing w:val="-7"/>
          <w:sz w:val="16"/>
        </w:rPr>
        <w:t> </w:t>
      </w:r>
      <w:r>
        <w:rPr>
          <w:rFonts w:ascii="Segoe UI"/>
          <w:color w:val="231F20"/>
          <w:sz w:val="16"/>
        </w:rPr>
        <w:t>ABSTUDY</w:t>
      </w:r>
      <w:r>
        <w:rPr>
          <w:rFonts w:ascii="Segoe UI"/>
          <w:color w:val="231F20"/>
          <w:spacing w:val="-5"/>
          <w:sz w:val="16"/>
        </w:rPr>
        <w:t> </w:t>
      </w:r>
      <w:r>
        <w:rPr>
          <w:rFonts w:ascii="Segoe UI"/>
          <w:color w:val="231F20"/>
          <w:sz w:val="16"/>
        </w:rPr>
        <w:t>administration,</w:t>
      </w:r>
      <w:r>
        <w:rPr>
          <w:rFonts w:ascii="Segoe UI"/>
          <w:color w:val="231F20"/>
          <w:spacing w:val="-6"/>
          <w:sz w:val="16"/>
        </w:rPr>
        <w:t> </w:t>
      </w:r>
      <w:r>
        <w:rPr>
          <w:rFonts w:ascii="Segoe UI"/>
          <w:color w:val="231F20"/>
          <w:spacing w:val="-1"/>
          <w:sz w:val="16"/>
        </w:rPr>
        <w:t>including</w:t>
      </w:r>
      <w:r>
        <w:rPr>
          <w:rFonts w:ascii="Segoe UI"/>
          <w:color w:val="231F20"/>
          <w:spacing w:val="20"/>
          <w:w w:val="99"/>
          <w:sz w:val="16"/>
        </w:rPr>
        <w:t> </w:t>
      </w:r>
      <w:r>
        <w:rPr>
          <w:rFonts w:ascii="Segoe UI"/>
          <w:color w:val="231F20"/>
          <w:sz w:val="16"/>
        </w:rPr>
        <w:t>applying for tax file numbers for students</w:t>
      </w:r>
      <w:r>
        <w:rPr>
          <w:rFonts w:ascii="Segoe UI"/>
          <w:sz w:val="16"/>
        </w:rPr>
      </w:r>
    </w:p>
    <w:p>
      <w:pPr>
        <w:numPr>
          <w:ilvl w:val="0"/>
          <w:numId w:val="12"/>
        </w:numPr>
        <w:tabs>
          <w:tab w:pos="671" w:val="left" w:leader="none"/>
        </w:tabs>
        <w:spacing w:line="200" w:lineRule="exact" w:before="113"/>
        <w:ind w:left="670" w:right="23" w:hanging="567"/>
        <w:jc w:val="left"/>
        <w:rPr>
          <w:rFonts w:ascii="Segoe UI" w:hAnsi="Segoe UI" w:cs="Segoe UI" w:eastAsia="Segoe UI"/>
          <w:sz w:val="16"/>
          <w:szCs w:val="16"/>
        </w:rPr>
      </w:pPr>
      <w:r>
        <w:rPr>
          <w:rFonts w:ascii="Segoe UI" w:hAnsi="Segoe UI" w:cs="Segoe UI" w:eastAsia="Segoe UI"/>
          <w:i/>
          <w:color w:val="231F20"/>
          <w:spacing w:val="-1"/>
          <w:sz w:val="16"/>
          <w:szCs w:val="16"/>
        </w:rPr>
        <w:t>Review</w:t>
      </w:r>
      <w:r>
        <w:rPr>
          <w:rFonts w:ascii="Segoe UI" w:hAnsi="Segoe UI" w:cs="Segoe UI" w:eastAsia="Segoe UI"/>
          <w:i/>
          <w:color w:val="231F20"/>
          <w:spacing w:val="-4"/>
          <w:sz w:val="16"/>
          <w:szCs w:val="16"/>
        </w:rPr>
        <w:t> </w:t>
      </w:r>
      <w:r>
        <w:rPr>
          <w:rFonts w:ascii="Segoe UI" w:hAnsi="Segoe UI" w:cs="Segoe UI" w:eastAsia="Segoe UI"/>
          <w:i/>
          <w:color w:val="231F20"/>
          <w:spacing w:val="-2"/>
          <w:sz w:val="16"/>
          <w:szCs w:val="16"/>
        </w:rPr>
        <w:t>of </w:t>
      </w:r>
      <w:r>
        <w:rPr>
          <w:rFonts w:ascii="Segoe UI" w:hAnsi="Segoe UI" w:cs="Segoe UI" w:eastAsia="Segoe UI"/>
          <w:i/>
          <w:color w:val="231F20"/>
          <w:spacing w:val="-1"/>
          <w:sz w:val="16"/>
          <w:szCs w:val="16"/>
        </w:rPr>
        <w:t>the</w:t>
      </w:r>
      <w:r>
        <w:rPr>
          <w:rFonts w:ascii="Segoe UI" w:hAnsi="Segoe UI" w:cs="Segoe UI" w:eastAsia="Segoe UI"/>
          <w:i/>
          <w:color w:val="231F20"/>
          <w:spacing w:val="-2"/>
          <w:sz w:val="16"/>
          <w:szCs w:val="16"/>
        </w:rPr>
        <w:t> Transition </w:t>
      </w:r>
      <w:r>
        <w:rPr>
          <w:rFonts w:ascii="Segoe UI" w:hAnsi="Segoe UI" w:cs="Segoe UI" w:eastAsia="Segoe UI"/>
          <w:i/>
          <w:color w:val="231F20"/>
          <w:sz w:val="16"/>
          <w:szCs w:val="16"/>
        </w:rPr>
        <w:t>Support</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Service</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Program</w:t>
      </w:r>
      <w:r>
        <w:rPr>
          <w:rFonts w:ascii="Segoe UI" w:hAnsi="Segoe UI" w:cs="Segoe UI" w:eastAsia="Segoe UI"/>
          <w:color w:val="231F20"/>
          <w:spacing w:val="-1"/>
          <w:sz w:val="16"/>
          <w:szCs w:val="16"/>
        </w:rPr>
        <w:t>,</w:t>
      </w:r>
      <w:r>
        <w:rPr>
          <w:rFonts w:ascii="Segoe UI" w:hAnsi="Segoe UI" w:cs="Segoe UI" w:eastAsia="Segoe UI"/>
          <w:color w:val="231F20"/>
          <w:spacing w:val="49"/>
          <w:w w:val="99"/>
          <w:sz w:val="16"/>
          <w:szCs w:val="16"/>
        </w:rPr>
        <w:t> </w:t>
      </w:r>
      <w:r>
        <w:rPr>
          <w:rFonts w:ascii="Segoe UI" w:hAnsi="Segoe UI" w:cs="Segoe UI" w:eastAsia="Segoe UI"/>
          <w:color w:val="231F20"/>
          <w:sz w:val="16"/>
          <w:szCs w:val="16"/>
        </w:rPr>
        <w:t>PwC’s</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Indigenous</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Consulting</w:t>
      </w:r>
      <w:r>
        <w:rPr>
          <w:rFonts w:ascii="Segoe UI" w:hAnsi="Segoe UI" w:cs="Segoe UI" w:eastAsia="Segoe UI"/>
          <w:color w:val="231F20"/>
          <w:spacing w:val="-4"/>
          <w:sz w:val="16"/>
          <w:szCs w:val="16"/>
        </w:rPr>
        <w:t> </w:t>
      </w:r>
      <w:r>
        <w:rPr>
          <w:rFonts w:ascii="Segoe UI" w:hAnsi="Segoe UI" w:cs="Segoe UI" w:eastAsia="Segoe UI"/>
          <w:color w:val="231F20"/>
          <w:sz w:val="16"/>
          <w:szCs w:val="16"/>
        </w:rPr>
        <w:t>for</w:t>
      </w:r>
      <w:r>
        <w:rPr>
          <w:rFonts w:ascii="Segoe UI" w:hAnsi="Segoe UI" w:cs="Segoe UI" w:eastAsia="Segoe UI"/>
          <w:color w:val="231F20"/>
          <w:spacing w:val="-3"/>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Department</w:t>
      </w:r>
      <w:r>
        <w:rPr>
          <w:rFonts w:ascii="Segoe UI" w:hAnsi="Segoe UI" w:cs="Segoe UI" w:eastAsia="Segoe UI"/>
          <w:color w:val="231F20"/>
          <w:spacing w:val="-4"/>
          <w:sz w:val="16"/>
          <w:szCs w:val="16"/>
        </w:rPr>
        <w:t> </w:t>
      </w:r>
      <w:r>
        <w:rPr>
          <w:rFonts w:ascii="Segoe UI" w:hAnsi="Segoe UI" w:cs="Segoe UI" w:eastAsia="Segoe UI"/>
          <w:color w:val="231F20"/>
          <w:sz w:val="16"/>
          <w:szCs w:val="16"/>
        </w:rPr>
        <w:t>of</w:t>
      </w:r>
      <w:r>
        <w:rPr>
          <w:rFonts w:ascii="Segoe UI" w:hAnsi="Segoe UI" w:cs="Segoe UI" w:eastAsia="Segoe UI"/>
          <w:color w:val="231F20"/>
          <w:spacing w:val="24"/>
          <w:w w:val="99"/>
          <w:sz w:val="16"/>
          <w:szCs w:val="16"/>
        </w:rPr>
        <w:t> </w:t>
      </w:r>
      <w:r>
        <w:rPr>
          <w:rFonts w:ascii="Segoe UI" w:hAnsi="Segoe UI" w:cs="Segoe UI" w:eastAsia="Segoe UI"/>
          <w:color w:val="231F20"/>
          <w:sz w:val="16"/>
          <w:szCs w:val="16"/>
        </w:rPr>
        <w:t>Education</w:t>
      </w:r>
      <w:r>
        <w:rPr>
          <w:rFonts w:ascii="Segoe UI" w:hAnsi="Segoe UI" w:cs="Segoe UI" w:eastAsia="Segoe UI"/>
          <w:color w:val="231F20"/>
          <w:spacing w:val="-7"/>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6"/>
          <w:sz w:val="16"/>
          <w:szCs w:val="16"/>
        </w:rPr>
        <w:t> </w:t>
      </w:r>
      <w:r>
        <w:rPr>
          <w:rFonts w:ascii="Segoe UI" w:hAnsi="Segoe UI" w:cs="Segoe UI" w:eastAsia="Segoe UI"/>
          <w:color w:val="231F20"/>
          <w:spacing w:val="-2"/>
          <w:sz w:val="16"/>
          <w:szCs w:val="16"/>
        </w:rPr>
        <w:t>Training,</w:t>
      </w:r>
      <w:r>
        <w:rPr>
          <w:rFonts w:ascii="Segoe UI" w:hAnsi="Segoe UI" w:cs="Segoe UI" w:eastAsia="Segoe UI"/>
          <w:color w:val="231F20"/>
          <w:spacing w:val="-7"/>
          <w:sz w:val="16"/>
          <w:szCs w:val="16"/>
        </w:rPr>
        <w:t> </w:t>
      </w:r>
      <w:r>
        <w:rPr>
          <w:rFonts w:ascii="Segoe UI" w:hAnsi="Segoe UI" w:cs="Segoe UI" w:eastAsia="Segoe UI"/>
          <w:color w:val="231F20"/>
          <w:sz w:val="16"/>
          <w:szCs w:val="16"/>
        </w:rPr>
        <w:t>October</w:t>
      </w:r>
      <w:r>
        <w:rPr>
          <w:rFonts w:ascii="Segoe UI" w:hAnsi="Segoe UI" w:cs="Segoe UI" w:eastAsia="Segoe UI"/>
          <w:color w:val="231F20"/>
          <w:spacing w:val="-6"/>
          <w:sz w:val="16"/>
          <w:szCs w:val="16"/>
        </w:rPr>
        <w:t> </w:t>
      </w:r>
      <w:r>
        <w:rPr>
          <w:rFonts w:ascii="Segoe UI" w:hAnsi="Segoe UI" w:cs="Segoe UI" w:eastAsia="Segoe UI"/>
          <w:color w:val="231F20"/>
          <w:sz w:val="16"/>
          <w:szCs w:val="16"/>
        </w:rPr>
        <w:t>2017</w:t>
      </w:r>
      <w:r>
        <w:rPr>
          <w:rFonts w:ascii="Segoe UI" w:hAnsi="Segoe UI" w:cs="Segoe UI" w:eastAsia="Segoe UI"/>
          <w:sz w:val="16"/>
          <w:szCs w:val="16"/>
        </w:rPr>
      </w:r>
    </w:p>
    <w:p>
      <w:pPr>
        <w:numPr>
          <w:ilvl w:val="0"/>
          <w:numId w:val="12"/>
        </w:numPr>
        <w:tabs>
          <w:tab w:pos="671" w:val="left" w:leader="none"/>
        </w:tabs>
        <w:spacing w:line="200" w:lineRule="exact" w:before="113"/>
        <w:ind w:left="670" w:right="233" w:hanging="567"/>
        <w:jc w:val="left"/>
        <w:rPr>
          <w:rFonts w:ascii="Segoe UI" w:hAnsi="Segoe UI" w:cs="Segoe UI" w:eastAsia="Segoe UI"/>
          <w:sz w:val="16"/>
          <w:szCs w:val="16"/>
        </w:rPr>
      </w:pPr>
      <w:r>
        <w:rPr>
          <w:rFonts w:ascii="Segoe UI"/>
          <w:i/>
          <w:color w:val="231F20"/>
          <w:spacing w:val="-1"/>
          <w:sz w:val="16"/>
        </w:rPr>
        <w:t>Review</w:t>
      </w:r>
      <w:r>
        <w:rPr>
          <w:rFonts w:ascii="Segoe UI"/>
          <w:i/>
          <w:color w:val="231F20"/>
          <w:spacing w:val="-4"/>
          <w:sz w:val="16"/>
        </w:rPr>
        <w:t> </w:t>
      </w:r>
      <w:r>
        <w:rPr>
          <w:rFonts w:ascii="Segoe UI"/>
          <w:i/>
          <w:color w:val="231F20"/>
          <w:spacing w:val="-2"/>
          <w:sz w:val="16"/>
        </w:rPr>
        <w:t>of </w:t>
      </w:r>
      <w:r>
        <w:rPr>
          <w:rFonts w:ascii="Segoe UI"/>
          <w:i/>
          <w:color w:val="231F20"/>
          <w:spacing w:val="-1"/>
          <w:sz w:val="16"/>
        </w:rPr>
        <w:t>the</w:t>
      </w:r>
      <w:r>
        <w:rPr>
          <w:rFonts w:ascii="Segoe UI"/>
          <w:i/>
          <w:color w:val="231F20"/>
          <w:spacing w:val="-2"/>
          <w:sz w:val="16"/>
        </w:rPr>
        <w:t> Transition </w:t>
      </w:r>
      <w:r>
        <w:rPr>
          <w:rFonts w:ascii="Segoe UI"/>
          <w:i/>
          <w:color w:val="231F20"/>
          <w:sz w:val="16"/>
        </w:rPr>
        <w:t>Support</w:t>
      </w:r>
      <w:r>
        <w:rPr>
          <w:rFonts w:ascii="Segoe UI"/>
          <w:i/>
          <w:color w:val="231F20"/>
          <w:spacing w:val="-3"/>
          <w:sz w:val="16"/>
        </w:rPr>
        <w:t> </w:t>
      </w:r>
      <w:r>
        <w:rPr>
          <w:rFonts w:ascii="Segoe UI"/>
          <w:i/>
          <w:color w:val="231F20"/>
          <w:spacing w:val="-1"/>
          <w:sz w:val="16"/>
        </w:rPr>
        <w:t>Service</w:t>
      </w:r>
      <w:r>
        <w:rPr>
          <w:rFonts w:ascii="Segoe UI"/>
          <w:i/>
          <w:color w:val="231F20"/>
          <w:spacing w:val="-3"/>
          <w:sz w:val="16"/>
        </w:rPr>
        <w:t> </w:t>
      </w:r>
      <w:r>
        <w:rPr>
          <w:rFonts w:ascii="Segoe UI"/>
          <w:i/>
          <w:color w:val="231F20"/>
          <w:spacing w:val="-1"/>
          <w:sz w:val="16"/>
        </w:rPr>
        <w:t>Program</w:t>
      </w:r>
      <w:r>
        <w:rPr>
          <w:rFonts w:ascii="Segoe UI"/>
          <w:color w:val="231F20"/>
          <w:spacing w:val="-1"/>
          <w:sz w:val="16"/>
        </w:rPr>
        <w:t>,</w:t>
      </w:r>
      <w:r>
        <w:rPr>
          <w:rFonts w:ascii="Segoe UI"/>
          <w:color w:val="231F20"/>
          <w:spacing w:val="49"/>
          <w:w w:val="99"/>
          <w:sz w:val="16"/>
        </w:rPr>
        <w:t> </w:t>
      </w:r>
      <w:r>
        <w:rPr>
          <w:rFonts w:ascii="Segoe UI"/>
          <w:color w:val="231F20"/>
          <w:sz w:val="16"/>
        </w:rPr>
        <w:t>PIC,</w:t>
      </w:r>
      <w:r>
        <w:rPr>
          <w:rFonts w:ascii="Segoe UI"/>
          <w:color w:val="231F20"/>
          <w:spacing w:val="-1"/>
          <w:sz w:val="16"/>
        </w:rPr>
        <w:t> 2017,</w:t>
      </w:r>
      <w:r>
        <w:rPr>
          <w:rFonts w:ascii="Segoe UI"/>
          <w:color w:val="231F20"/>
          <w:sz w:val="16"/>
        </w:rPr>
        <w:t> p.</w:t>
      </w:r>
      <w:r>
        <w:rPr>
          <w:rFonts w:ascii="Segoe UI"/>
          <w:color w:val="231F20"/>
          <w:spacing w:val="-1"/>
          <w:sz w:val="16"/>
        </w:rPr>
        <w:t> </w:t>
      </w:r>
      <w:r>
        <w:rPr>
          <w:rFonts w:ascii="Segoe UI"/>
          <w:color w:val="231F20"/>
          <w:sz w:val="16"/>
        </w:rPr>
        <w:t>21</w:t>
      </w:r>
      <w:r>
        <w:rPr>
          <w:rFonts w:ascii="Segoe UI"/>
          <w:sz w:val="16"/>
        </w:rPr>
      </w:r>
    </w:p>
    <w:p>
      <w:pPr>
        <w:numPr>
          <w:ilvl w:val="0"/>
          <w:numId w:val="12"/>
        </w:numPr>
        <w:tabs>
          <w:tab w:pos="671" w:val="left" w:leader="none"/>
        </w:tabs>
        <w:spacing w:line="200" w:lineRule="exact" w:before="113"/>
        <w:ind w:left="670" w:right="381" w:hanging="567"/>
        <w:jc w:val="left"/>
        <w:rPr>
          <w:rFonts w:ascii="Segoe UI" w:hAnsi="Segoe UI" w:cs="Segoe UI" w:eastAsia="Segoe UI"/>
          <w:sz w:val="16"/>
          <w:szCs w:val="16"/>
        </w:rPr>
      </w:pPr>
      <w:r>
        <w:rPr>
          <w:rFonts w:ascii="Segoe UI"/>
          <w:color w:val="231F20"/>
          <w:sz w:val="16"/>
        </w:rPr>
        <w:t>AS</w:t>
      </w:r>
      <w:r>
        <w:rPr>
          <w:rFonts w:ascii="Segoe UI"/>
          <w:color w:val="231F20"/>
          <w:spacing w:val="-3"/>
          <w:sz w:val="16"/>
        </w:rPr>
        <w:t> </w:t>
      </w:r>
      <w:r>
        <w:rPr>
          <w:rFonts w:ascii="Segoe UI"/>
          <w:color w:val="231F20"/>
          <w:spacing w:val="-1"/>
          <w:sz w:val="16"/>
        </w:rPr>
        <w:t>5725:2015</w:t>
      </w:r>
      <w:r>
        <w:rPr>
          <w:rFonts w:ascii="Segoe UI"/>
          <w:color w:val="231F20"/>
          <w:spacing w:val="-3"/>
          <w:sz w:val="16"/>
        </w:rPr>
        <w:t> </w:t>
      </w:r>
      <w:r>
        <w:rPr>
          <w:rFonts w:ascii="Segoe UI"/>
          <w:i/>
          <w:color w:val="231F20"/>
          <w:spacing w:val="-1"/>
          <w:sz w:val="16"/>
        </w:rPr>
        <w:t>Boarding</w:t>
      </w:r>
      <w:r>
        <w:rPr>
          <w:rFonts w:ascii="Segoe UI"/>
          <w:i/>
          <w:color w:val="231F20"/>
          <w:spacing w:val="-2"/>
          <w:sz w:val="16"/>
        </w:rPr>
        <w:t> </w:t>
      </w:r>
      <w:r>
        <w:rPr>
          <w:rFonts w:ascii="Segoe UI"/>
          <w:i/>
          <w:color w:val="231F20"/>
          <w:spacing w:val="-1"/>
          <w:sz w:val="16"/>
        </w:rPr>
        <w:t>Standard</w:t>
      </w:r>
      <w:r>
        <w:rPr>
          <w:rFonts w:ascii="Segoe UI"/>
          <w:i/>
          <w:color w:val="231F20"/>
          <w:spacing w:val="-3"/>
          <w:sz w:val="16"/>
        </w:rPr>
        <w:t> </w:t>
      </w:r>
      <w:r>
        <w:rPr>
          <w:rFonts w:ascii="Segoe UI"/>
          <w:i/>
          <w:color w:val="231F20"/>
          <w:sz w:val="16"/>
        </w:rPr>
        <w:t>for</w:t>
      </w:r>
      <w:r>
        <w:rPr>
          <w:rFonts w:ascii="Segoe UI"/>
          <w:i/>
          <w:color w:val="231F20"/>
          <w:spacing w:val="-3"/>
          <w:sz w:val="16"/>
        </w:rPr>
        <w:t> </w:t>
      </w:r>
      <w:r>
        <w:rPr>
          <w:rFonts w:ascii="Segoe UI"/>
          <w:i/>
          <w:color w:val="231F20"/>
          <w:spacing w:val="-1"/>
          <w:sz w:val="16"/>
        </w:rPr>
        <w:t>Australian</w:t>
      </w:r>
      <w:r>
        <w:rPr>
          <w:rFonts w:ascii="Segoe UI"/>
          <w:i/>
          <w:color w:val="231F20"/>
          <w:spacing w:val="43"/>
          <w:w w:val="99"/>
          <w:sz w:val="16"/>
        </w:rPr>
        <w:t> </w:t>
      </w:r>
      <w:r>
        <w:rPr>
          <w:rFonts w:ascii="Segoe UI"/>
          <w:i/>
          <w:color w:val="231F20"/>
          <w:spacing w:val="-1"/>
          <w:sz w:val="16"/>
        </w:rPr>
        <w:t>schools</w:t>
      </w:r>
      <w:r>
        <w:rPr>
          <w:rFonts w:ascii="Segoe UI"/>
          <w:i/>
          <w:color w:val="231F20"/>
          <w:spacing w:val="-5"/>
          <w:sz w:val="16"/>
        </w:rPr>
        <w:t> </w:t>
      </w:r>
      <w:r>
        <w:rPr>
          <w:rFonts w:ascii="Segoe UI"/>
          <w:i/>
          <w:color w:val="231F20"/>
          <w:sz w:val="16"/>
        </w:rPr>
        <w:t>and</w:t>
      </w:r>
      <w:r>
        <w:rPr>
          <w:rFonts w:ascii="Segoe UI"/>
          <w:i/>
          <w:color w:val="231F20"/>
          <w:spacing w:val="-5"/>
          <w:sz w:val="16"/>
        </w:rPr>
        <w:t> </w:t>
      </w:r>
      <w:r>
        <w:rPr>
          <w:rFonts w:ascii="Segoe UI"/>
          <w:i/>
          <w:color w:val="231F20"/>
          <w:spacing w:val="-1"/>
          <w:sz w:val="16"/>
        </w:rPr>
        <w:t>residences</w:t>
      </w:r>
      <w:r>
        <w:rPr>
          <w:rFonts w:ascii="Segoe UI"/>
          <w:sz w:val="16"/>
        </w:rPr>
      </w:r>
    </w:p>
    <w:p>
      <w:pPr>
        <w:numPr>
          <w:ilvl w:val="0"/>
          <w:numId w:val="12"/>
        </w:numPr>
        <w:tabs>
          <w:tab w:pos="671" w:val="left" w:leader="none"/>
        </w:tabs>
        <w:spacing w:line="200" w:lineRule="exact" w:before="70"/>
        <w:ind w:left="670" w:right="460" w:hanging="567"/>
        <w:jc w:val="left"/>
        <w:rPr>
          <w:rFonts w:ascii="Segoe UI" w:hAnsi="Segoe UI" w:cs="Segoe UI" w:eastAsia="Segoe UI"/>
          <w:sz w:val="16"/>
          <w:szCs w:val="16"/>
        </w:rPr>
      </w:pPr>
      <w:r>
        <w:rPr>
          <w:rFonts w:ascii="Segoe UI"/>
          <w:color w:val="231F20"/>
          <w:sz w:val="16"/>
        </w:rPr>
        <w:br w:type="column"/>
        <w:t>HoRSCIA,</w:t>
      </w:r>
      <w:r>
        <w:rPr>
          <w:rFonts w:ascii="Segoe UI"/>
          <w:color w:val="231F20"/>
          <w:spacing w:val="-6"/>
          <w:sz w:val="16"/>
        </w:rPr>
        <w:t> </w:t>
      </w:r>
      <w:r>
        <w:rPr>
          <w:rFonts w:ascii="Segoe UI"/>
          <w:color w:val="231F20"/>
          <w:spacing w:val="-1"/>
          <w:sz w:val="16"/>
        </w:rPr>
        <w:t>2017,</w:t>
      </w:r>
      <w:r>
        <w:rPr>
          <w:rFonts w:ascii="Segoe UI"/>
          <w:color w:val="231F20"/>
          <w:spacing w:val="-4"/>
          <w:sz w:val="16"/>
        </w:rPr>
        <w:t> </w:t>
      </w:r>
      <w:r>
        <w:rPr>
          <w:rFonts w:ascii="Segoe UI"/>
          <w:color w:val="231F20"/>
          <w:sz w:val="16"/>
        </w:rPr>
        <w:t>p.</w:t>
      </w:r>
      <w:r>
        <w:rPr>
          <w:rFonts w:ascii="Segoe UI"/>
          <w:color w:val="231F20"/>
          <w:spacing w:val="-4"/>
          <w:sz w:val="16"/>
        </w:rPr>
        <w:t> </w:t>
      </w:r>
      <w:r>
        <w:rPr>
          <w:rFonts w:ascii="Segoe UI"/>
          <w:color w:val="231F20"/>
          <w:spacing w:val="-1"/>
          <w:sz w:val="16"/>
        </w:rPr>
        <w:t>107;</w:t>
      </w:r>
      <w:r>
        <w:rPr>
          <w:rFonts w:ascii="Segoe UI"/>
          <w:color w:val="231F20"/>
          <w:spacing w:val="-4"/>
          <w:sz w:val="16"/>
        </w:rPr>
        <w:t> </w:t>
      </w:r>
      <w:r>
        <w:rPr>
          <w:rFonts w:ascii="Segoe UI"/>
          <w:color w:val="231F20"/>
          <w:sz w:val="16"/>
        </w:rPr>
        <w:t>Queensland</w:t>
      </w:r>
      <w:r>
        <w:rPr>
          <w:rFonts w:ascii="Segoe UI"/>
          <w:color w:val="231F20"/>
          <w:spacing w:val="-5"/>
          <w:sz w:val="16"/>
        </w:rPr>
        <w:t> </w:t>
      </w:r>
      <w:r>
        <w:rPr>
          <w:rFonts w:ascii="Segoe UI"/>
          <w:color w:val="231F20"/>
          <w:spacing w:val="-1"/>
          <w:sz w:val="16"/>
        </w:rPr>
        <w:t>Indigenous</w:t>
      </w:r>
      <w:r>
        <w:rPr>
          <w:rFonts w:ascii="Segoe UI"/>
          <w:color w:val="231F20"/>
          <w:spacing w:val="22"/>
          <w:w w:val="99"/>
          <w:sz w:val="16"/>
        </w:rPr>
        <w:t> </w:t>
      </w:r>
      <w:r>
        <w:rPr>
          <w:rFonts w:ascii="Segoe UI"/>
          <w:color w:val="231F20"/>
          <w:sz w:val="16"/>
        </w:rPr>
        <w:t>Education</w:t>
      </w:r>
      <w:r>
        <w:rPr>
          <w:rFonts w:ascii="Segoe UI"/>
          <w:color w:val="231F20"/>
          <w:spacing w:val="-5"/>
          <w:sz w:val="16"/>
        </w:rPr>
        <w:t> </w:t>
      </w:r>
      <w:r>
        <w:rPr>
          <w:rFonts w:ascii="Segoe UI"/>
          <w:color w:val="231F20"/>
          <w:spacing w:val="-1"/>
          <w:sz w:val="16"/>
        </w:rPr>
        <w:t>Consultative</w:t>
      </w:r>
      <w:r>
        <w:rPr>
          <w:rFonts w:ascii="Segoe UI"/>
          <w:color w:val="231F20"/>
          <w:spacing w:val="-4"/>
          <w:sz w:val="16"/>
        </w:rPr>
        <w:t> </w:t>
      </w:r>
      <w:r>
        <w:rPr>
          <w:rFonts w:ascii="Segoe UI"/>
          <w:color w:val="231F20"/>
          <w:spacing w:val="-1"/>
          <w:sz w:val="16"/>
        </w:rPr>
        <w:t>Body,</w:t>
      </w:r>
      <w:r>
        <w:rPr>
          <w:rFonts w:ascii="Segoe UI"/>
          <w:color w:val="231F20"/>
          <w:spacing w:val="-3"/>
          <w:sz w:val="16"/>
        </w:rPr>
        <w:t> </w:t>
      </w:r>
      <w:r>
        <w:rPr>
          <w:rFonts w:ascii="Segoe UI"/>
          <w:color w:val="231F20"/>
          <w:spacing w:val="-1"/>
          <w:sz w:val="16"/>
        </w:rPr>
        <w:t>Position</w:t>
      </w:r>
      <w:r>
        <w:rPr>
          <w:rFonts w:ascii="Segoe UI"/>
          <w:sz w:val="16"/>
        </w:rPr>
      </w:r>
    </w:p>
    <w:p>
      <w:pPr>
        <w:spacing w:line="200" w:lineRule="exact" w:before="0"/>
        <w:ind w:left="670" w:right="122" w:firstLine="0"/>
        <w:jc w:val="left"/>
        <w:rPr>
          <w:rFonts w:ascii="Segoe UI" w:hAnsi="Segoe UI" w:cs="Segoe UI" w:eastAsia="Segoe UI"/>
          <w:sz w:val="16"/>
          <w:szCs w:val="16"/>
        </w:rPr>
      </w:pPr>
      <w:r>
        <w:rPr/>
        <w:pict>
          <v:group style="position:absolute;margin-left:437.40271pt;margin-top:8.695288pt;width:22.65pt;height:.1pt;mso-position-horizontal-relative:page;mso-position-vertical-relative:paragraph;z-index:-219544" coordorigin="8748,174" coordsize="453,2">
            <v:shape style="position:absolute;left:8748;top:174;width:453;height:2" coordorigin="8748,174" coordsize="453,0" path="m8748,174l9200,174e" filled="false" stroked="true" strokeweight=".465pt" strokecolor="#3853a4">
              <v:path arrowok="t"/>
            </v:shape>
            <w10:wrap type="none"/>
          </v:group>
        </w:pict>
      </w:r>
      <w:r>
        <w:rPr/>
        <w:pict>
          <v:group style="position:absolute;margin-left:327.047211pt;margin-top:28.695288pt;width:156.550pt;height:.1pt;mso-position-horizontal-relative:page;mso-position-vertical-relative:paragraph;z-index:-219520" coordorigin="6541,574" coordsize="3131,2">
            <v:shape style="position:absolute;left:6541;top:574;width:3131;height:2" coordorigin="6541,574" coordsize="3131,0" path="m6541,574l9672,574e" filled="false" stroked="true" strokeweight=".465pt" strokecolor="#3853a4">
              <v:path arrowok="t"/>
            </v:shape>
            <w10:wrap type="none"/>
          </v:group>
        </w:pict>
      </w:r>
      <w:r>
        <w:rPr>
          <w:rFonts w:ascii="Segoe UI"/>
          <w:color w:val="231F20"/>
          <w:spacing w:val="-1"/>
          <w:sz w:val="16"/>
        </w:rPr>
        <w:t>Paper,</w:t>
      </w:r>
      <w:r>
        <w:rPr>
          <w:rFonts w:ascii="Segoe UI"/>
          <w:color w:val="231F20"/>
          <w:spacing w:val="-5"/>
          <w:sz w:val="16"/>
        </w:rPr>
        <w:t> </w:t>
      </w:r>
      <w:r>
        <w:rPr>
          <w:rFonts w:ascii="Segoe UI"/>
          <w:color w:val="231F20"/>
          <w:spacing w:val="-1"/>
          <w:sz w:val="16"/>
        </w:rPr>
        <w:t>Boarding</w:t>
      </w:r>
      <w:r>
        <w:rPr>
          <w:rFonts w:ascii="Segoe UI"/>
          <w:color w:val="231F20"/>
          <w:spacing w:val="-4"/>
          <w:sz w:val="16"/>
        </w:rPr>
        <w:t> </w:t>
      </w:r>
      <w:r>
        <w:rPr>
          <w:rFonts w:ascii="Segoe UI"/>
          <w:color w:val="231F20"/>
          <w:spacing w:val="-1"/>
          <w:sz w:val="16"/>
        </w:rPr>
        <w:t>Schools,</w:t>
      </w:r>
      <w:r>
        <w:rPr>
          <w:rFonts w:ascii="Segoe UI"/>
          <w:color w:val="231F20"/>
          <w:spacing w:val="-3"/>
          <w:sz w:val="16"/>
        </w:rPr>
        <w:t> </w:t>
      </w:r>
      <w:r>
        <w:rPr>
          <w:rFonts w:ascii="Segoe UI"/>
          <w:color w:val="231F20"/>
          <w:spacing w:val="-1"/>
          <w:sz w:val="16"/>
        </w:rPr>
        <w:t>2000,</w:t>
      </w:r>
      <w:r>
        <w:rPr>
          <w:rFonts w:ascii="Segoe UI"/>
          <w:color w:val="231F20"/>
          <w:spacing w:val="-5"/>
          <w:sz w:val="16"/>
        </w:rPr>
        <w:t> </w:t>
      </w:r>
      <w:r>
        <w:rPr>
          <w:rFonts w:ascii="Segoe UI"/>
          <w:color w:val="3853A4"/>
          <w:sz w:val="16"/>
        </w:rPr>
        <w:t>http://</w:t>
      </w:r>
      <w:r>
        <w:rPr>
          <w:rFonts w:ascii="Segoe UI"/>
          <w:color w:val="3853A4"/>
          <w:spacing w:val="24"/>
          <w:w w:val="99"/>
          <w:sz w:val="16"/>
        </w:rPr>
        <w:t> </w:t>
      </w:r>
      <w:r>
        <w:rPr>
          <w:rFonts w:ascii="Segoe UI"/>
          <w:color w:val="3853A4"/>
          <w:sz w:val="16"/>
          <w:u w:val="single" w:color="3853A4"/>
        </w:rPr>
        <w:t>boardingtrainingaustralia.com.au/wp-content/</w:t>
      </w:r>
      <w:r>
        <w:rPr>
          <w:rFonts w:ascii="Segoe UI"/>
          <w:color w:val="3853A4"/>
          <w:w w:val="99"/>
          <w:sz w:val="16"/>
        </w:rPr>
      </w:r>
      <w:r>
        <w:rPr>
          <w:rFonts w:ascii="Segoe UI"/>
          <w:color w:val="3853A4"/>
          <w:w w:val="99"/>
          <w:sz w:val="16"/>
        </w:rPr>
        <w:t> </w:t>
      </w:r>
      <w:r>
        <w:rPr>
          <w:rFonts w:ascii="Segoe UI"/>
          <w:color w:val="3853A4"/>
          <w:spacing w:val="-1"/>
          <w:sz w:val="16"/>
        </w:rPr>
        <w:t>uploads/2016/04/13.-QIECB_Position_Paper_</w:t>
      </w:r>
      <w:r>
        <w:rPr>
          <w:rFonts w:ascii="Segoe UI"/>
          <w:color w:val="3853A4"/>
          <w:spacing w:val="57"/>
          <w:w w:val="99"/>
          <w:sz w:val="16"/>
        </w:rPr>
        <w:t> </w:t>
      </w:r>
      <w:r>
        <w:rPr>
          <w:rFonts w:ascii="Segoe UI"/>
          <w:color w:val="3853A4"/>
          <w:spacing w:val="-1"/>
          <w:sz w:val="16"/>
          <w:u w:val="single" w:color="3853A4"/>
        </w:rPr>
        <w:t>indigenous-Boarding.pdf</w:t>
      </w:r>
      <w:r>
        <w:rPr>
          <w:rFonts w:ascii="Segoe UI"/>
          <w:color w:val="3853A4"/>
          <w:sz w:val="16"/>
        </w:rPr>
      </w:r>
      <w:r>
        <w:rPr>
          <w:rFonts w:ascii="Segoe UI"/>
          <w:color w:val="231F20"/>
          <w:spacing w:val="-1"/>
          <w:sz w:val="16"/>
        </w:rPr>
        <w:t>,</w:t>
      </w:r>
      <w:r>
        <w:rPr>
          <w:rFonts w:ascii="Segoe UI"/>
          <w:color w:val="231F20"/>
          <w:spacing w:val="-6"/>
          <w:sz w:val="16"/>
        </w:rPr>
        <w:t> </w:t>
      </w:r>
      <w:r>
        <w:rPr>
          <w:rFonts w:ascii="Segoe UI"/>
          <w:color w:val="231F20"/>
          <w:sz w:val="16"/>
        </w:rPr>
        <w:t>accessed</w:t>
      </w:r>
      <w:r>
        <w:rPr>
          <w:rFonts w:ascii="Segoe UI"/>
          <w:color w:val="231F20"/>
          <w:spacing w:val="-7"/>
          <w:sz w:val="16"/>
        </w:rPr>
        <w:t> </w:t>
      </w:r>
      <w:r>
        <w:rPr>
          <w:rFonts w:ascii="Segoe UI"/>
          <w:color w:val="231F20"/>
          <w:spacing w:val="-1"/>
          <w:sz w:val="16"/>
        </w:rPr>
        <w:t>in</w:t>
      </w:r>
      <w:r>
        <w:rPr>
          <w:rFonts w:ascii="Segoe UI"/>
          <w:color w:val="231F20"/>
          <w:spacing w:val="-6"/>
          <w:sz w:val="16"/>
        </w:rPr>
        <w:t> </w:t>
      </w:r>
      <w:r>
        <w:rPr>
          <w:rFonts w:ascii="Segoe UI"/>
          <w:color w:val="231F20"/>
          <w:sz w:val="16"/>
        </w:rPr>
        <w:t>January</w:t>
      </w:r>
      <w:r>
        <w:rPr>
          <w:rFonts w:ascii="Segoe UI"/>
          <w:color w:val="231F20"/>
          <w:spacing w:val="-6"/>
          <w:sz w:val="16"/>
        </w:rPr>
        <w:t> </w:t>
      </w:r>
      <w:r>
        <w:rPr>
          <w:rFonts w:ascii="Segoe UI"/>
          <w:color w:val="231F20"/>
          <w:spacing w:val="-1"/>
          <w:sz w:val="16"/>
        </w:rPr>
        <w:t>2019,</w:t>
      </w:r>
      <w:r>
        <w:rPr>
          <w:rFonts w:ascii="Segoe UI"/>
          <w:sz w:val="16"/>
        </w:rPr>
      </w:r>
    </w:p>
    <w:p>
      <w:pPr>
        <w:spacing w:line="200" w:lineRule="exact" w:before="0"/>
        <w:ind w:left="670" w:right="0" w:firstLine="0"/>
        <w:jc w:val="left"/>
        <w:rPr>
          <w:rFonts w:ascii="Segoe UI" w:hAnsi="Segoe UI" w:cs="Segoe UI" w:eastAsia="Segoe UI"/>
          <w:sz w:val="16"/>
          <w:szCs w:val="16"/>
        </w:rPr>
      </w:pPr>
      <w:r>
        <w:rPr>
          <w:rFonts w:ascii="Segoe UI"/>
          <w:color w:val="231F20"/>
          <w:sz w:val="16"/>
        </w:rPr>
        <w:t>p.</w:t>
      </w:r>
      <w:r>
        <w:rPr>
          <w:rFonts w:ascii="Segoe UI"/>
          <w:color w:val="231F20"/>
          <w:spacing w:val="-2"/>
          <w:sz w:val="16"/>
        </w:rPr>
        <w:t> </w:t>
      </w:r>
      <w:r>
        <w:rPr>
          <w:rFonts w:ascii="Segoe UI"/>
          <w:color w:val="231F20"/>
          <w:sz w:val="16"/>
        </w:rPr>
        <w:t>6</w:t>
      </w:r>
      <w:r>
        <w:rPr>
          <w:rFonts w:ascii="Segoe UI"/>
          <w:sz w:val="16"/>
        </w:rPr>
      </w:r>
    </w:p>
    <w:p>
      <w:pPr>
        <w:numPr>
          <w:ilvl w:val="0"/>
          <w:numId w:val="12"/>
        </w:numPr>
        <w:tabs>
          <w:tab w:pos="671" w:val="left" w:leader="none"/>
        </w:tabs>
        <w:spacing w:line="200" w:lineRule="exact" w:before="113"/>
        <w:ind w:left="670" w:right="232" w:hanging="567"/>
        <w:jc w:val="left"/>
        <w:rPr>
          <w:rFonts w:ascii="Segoe UI" w:hAnsi="Segoe UI" w:cs="Segoe UI" w:eastAsia="Segoe UI"/>
          <w:sz w:val="16"/>
          <w:szCs w:val="16"/>
        </w:rPr>
      </w:pPr>
      <w:r>
        <w:rPr>
          <w:rFonts w:ascii="Segoe UI"/>
          <w:color w:val="231F20"/>
          <w:sz w:val="16"/>
        </w:rPr>
        <w:t>The</w:t>
      </w:r>
      <w:r>
        <w:rPr>
          <w:rFonts w:ascii="Segoe UI"/>
          <w:color w:val="231F20"/>
          <w:spacing w:val="-4"/>
          <w:sz w:val="16"/>
        </w:rPr>
        <w:t> </w:t>
      </w:r>
      <w:r>
        <w:rPr>
          <w:rFonts w:ascii="Segoe UI"/>
          <w:color w:val="231F20"/>
          <w:sz w:val="16"/>
        </w:rPr>
        <w:t>ratio</w:t>
      </w:r>
      <w:r>
        <w:rPr>
          <w:rFonts w:ascii="Segoe UI"/>
          <w:color w:val="231F20"/>
          <w:spacing w:val="-4"/>
          <w:sz w:val="16"/>
        </w:rPr>
        <w:t> </w:t>
      </w:r>
      <w:r>
        <w:rPr>
          <w:rFonts w:ascii="Segoe UI"/>
          <w:color w:val="231F20"/>
          <w:spacing w:val="-1"/>
          <w:sz w:val="16"/>
        </w:rPr>
        <w:t>is</w:t>
      </w:r>
      <w:r>
        <w:rPr>
          <w:rFonts w:ascii="Segoe UI"/>
          <w:color w:val="231F20"/>
          <w:spacing w:val="-5"/>
          <w:sz w:val="16"/>
        </w:rPr>
        <w:t> </w:t>
      </w:r>
      <w:r>
        <w:rPr>
          <w:rFonts w:ascii="Segoe UI"/>
          <w:color w:val="231F20"/>
          <w:sz w:val="16"/>
        </w:rPr>
        <w:t>the</w:t>
      </w:r>
      <w:r>
        <w:rPr>
          <w:rFonts w:ascii="Segoe UI"/>
          <w:color w:val="231F20"/>
          <w:spacing w:val="-4"/>
          <w:sz w:val="16"/>
        </w:rPr>
        <w:t> </w:t>
      </w:r>
      <w:r>
        <w:rPr>
          <w:rFonts w:ascii="Segoe UI"/>
          <w:color w:val="231F20"/>
          <w:sz w:val="16"/>
        </w:rPr>
        <w:t>number</w:t>
      </w:r>
      <w:r>
        <w:rPr>
          <w:rFonts w:ascii="Segoe UI"/>
          <w:color w:val="231F20"/>
          <w:spacing w:val="-4"/>
          <w:sz w:val="16"/>
        </w:rPr>
        <w:t> </w:t>
      </w:r>
      <w:r>
        <w:rPr>
          <w:rFonts w:ascii="Segoe UI"/>
          <w:color w:val="231F20"/>
          <w:sz w:val="16"/>
        </w:rPr>
        <w:t>of</w:t>
      </w:r>
      <w:r>
        <w:rPr>
          <w:rFonts w:ascii="Segoe UI"/>
          <w:color w:val="231F20"/>
          <w:spacing w:val="-4"/>
          <w:sz w:val="16"/>
        </w:rPr>
        <w:t> </w:t>
      </w:r>
      <w:r>
        <w:rPr>
          <w:rFonts w:ascii="Segoe UI"/>
          <w:color w:val="231F20"/>
          <w:spacing w:val="-1"/>
          <w:sz w:val="16"/>
        </w:rPr>
        <w:t>teaching</w:t>
      </w:r>
      <w:r>
        <w:rPr>
          <w:rFonts w:ascii="Segoe UI"/>
          <w:color w:val="231F20"/>
          <w:spacing w:val="-4"/>
          <w:sz w:val="16"/>
        </w:rPr>
        <w:t> </w:t>
      </w:r>
      <w:r>
        <w:rPr>
          <w:rFonts w:ascii="Segoe UI"/>
          <w:color w:val="231F20"/>
          <w:sz w:val="16"/>
        </w:rPr>
        <w:t>and</w:t>
      </w:r>
      <w:r>
        <w:rPr>
          <w:rFonts w:ascii="Segoe UI"/>
          <w:color w:val="231F20"/>
          <w:spacing w:val="-5"/>
          <w:sz w:val="16"/>
        </w:rPr>
        <w:t> </w:t>
      </w:r>
      <w:r>
        <w:rPr>
          <w:rFonts w:ascii="Segoe UI"/>
          <w:color w:val="231F20"/>
          <w:sz w:val="16"/>
        </w:rPr>
        <w:t>non-</w:t>
      </w:r>
      <w:r>
        <w:rPr>
          <w:rFonts w:ascii="Segoe UI"/>
          <w:color w:val="231F20"/>
          <w:spacing w:val="28"/>
          <w:w w:val="99"/>
          <w:sz w:val="16"/>
        </w:rPr>
        <w:t> </w:t>
      </w:r>
      <w:r>
        <w:rPr>
          <w:rFonts w:ascii="Segoe UI"/>
          <w:color w:val="231F20"/>
          <w:sz w:val="16"/>
        </w:rPr>
        <w:t>teaching</w:t>
      </w:r>
      <w:r>
        <w:rPr>
          <w:rFonts w:ascii="Segoe UI"/>
          <w:color w:val="231F20"/>
          <w:spacing w:val="-1"/>
          <w:sz w:val="16"/>
        </w:rPr>
        <w:t> </w:t>
      </w:r>
      <w:r>
        <w:rPr>
          <w:rFonts w:ascii="Segoe UI"/>
          <w:color w:val="231F20"/>
          <w:sz w:val="16"/>
        </w:rPr>
        <w:t>staff to</w:t>
      </w:r>
      <w:r>
        <w:rPr>
          <w:rFonts w:ascii="Segoe UI"/>
          <w:color w:val="231F20"/>
          <w:spacing w:val="-1"/>
          <w:sz w:val="16"/>
        </w:rPr>
        <w:t> </w:t>
      </w:r>
      <w:r>
        <w:rPr>
          <w:rFonts w:ascii="Segoe UI"/>
          <w:color w:val="231F20"/>
          <w:sz w:val="16"/>
        </w:rPr>
        <w:t>total students.</w:t>
      </w:r>
      <w:r>
        <w:rPr>
          <w:rFonts w:ascii="Segoe UI"/>
          <w:color w:val="231F20"/>
          <w:spacing w:val="-1"/>
          <w:sz w:val="16"/>
        </w:rPr>
        <w:t> </w:t>
      </w:r>
      <w:r>
        <w:rPr>
          <w:rFonts w:ascii="Segoe UI"/>
          <w:color w:val="231F20"/>
          <w:spacing w:val="-4"/>
          <w:sz w:val="16"/>
        </w:rPr>
        <w:t>Total</w:t>
      </w:r>
      <w:r>
        <w:rPr>
          <w:rFonts w:ascii="Segoe UI"/>
          <w:color w:val="231F20"/>
          <w:sz w:val="16"/>
        </w:rPr>
        <w:t> students</w:t>
      </w:r>
      <w:r>
        <w:rPr>
          <w:rFonts w:ascii="Segoe UI"/>
          <w:color w:val="231F20"/>
          <w:spacing w:val="-1"/>
          <w:sz w:val="16"/>
        </w:rPr>
        <w:t> </w:t>
      </w:r>
      <w:r>
        <w:rPr>
          <w:rFonts w:ascii="Segoe UI"/>
          <w:color w:val="231F20"/>
          <w:sz w:val="16"/>
        </w:rPr>
        <w:t>was</w:t>
      </w:r>
      <w:r>
        <w:rPr>
          <w:rFonts w:ascii="Segoe UI"/>
          <w:color w:val="231F20"/>
          <w:spacing w:val="24"/>
          <w:sz w:val="16"/>
        </w:rPr>
        <w:t> </w:t>
      </w:r>
      <w:r>
        <w:rPr>
          <w:rFonts w:ascii="Segoe UI"/>
          <w:color w:val="231F20"/>
          <w:sz w:val="16"/>
        </w:rPr>
        <w:t>used</w:t>
      </w:r>
      <w:r>
        <w:rPr>
          <w:rFonts w:ascii="Segoe UI"/>
          <w:color w:val="231F20"/>
          <w:spacing w:val="-5"/>
          <w:sz w:val="16"/>
        </w:rPr>
        <w:t> </w:t>
      </w:r>
      <w:r>
        <w:rPr>
          <w:rFonts w:ascii="Segoe UI"/>
          <w:color w:val="231F20"/>
          <w:sz w:val="16"/>
        </w:rPr>
        <w:t>rather</w:t>
      </w:r>
      <w:r>
        <w:rPr>
          <w:rFonts w:ascii="Segoe UI"/>
          <w:color w:val="231F20"/>
          <w:spacing w:val="-5"/>
          <w:sz w:val="16"/>
        </w:rPr>
        <w:t> </w:t>
      </w:r>
      <w:r>
        <w:rPr>
          <w:rFonts w:ascii="Segoe UI"/>
          <w:color w:val="231F20"/>
          <w:sz w:val="16"/>
        </w:rPr>
        <w:t>than</w:t>
      </w:r>
      <w:r>
        <w:rPr>
          <w:rFonts w:ascii="Segoe UI"/>
          <w:color w:val="231F20"/>
          <w:spacing w:val="-5"/>
          <w:sz w:val="16"/>
        </w:rPr>
        <w:t> </w:t>
      </w:r>
      <w:r>
        <w:rPr>
          <w:rFonts w:ascii="Segoe UI"/>
          <w:color w:val="231F20"/>
          <w:sz w:val="16"/>
        </w:rPr>
        <w:t>the</w:t>
      </w:r>
      <w:r>
        <w:rPr>
          <w:rFonts w:ascii="Segoe UI"/>
          <w:color w:val="231F20"/>
          <w:spacing w:val="-5"/>
          <w:sz w:val="16"/>
        </w:rPr>
        <w:t> </w:t>
      </w:r>
      <w:r>
        <w:rPr>
          <w:rFonts w:ascii="Segoe UI"/>
          <w:color w:val="231F20"/>
          <w:sz w:val="16"/>
        </w:rPr>
        <w:t>number</w:t>
      </w:r>
      <w:r>
        <w:rPr>
          <w:rFonts w:ascii="Segoe UI"/>
          <w:color w:val="231F20"/>
          <w:spacing w:val="-4"/>
          <w:sz w:val="16"/>
        </w:rPr>
        <w:t> </w:t>
      </w:r>
      <w:r>
        <w:rPr>
          <w:rFonts w:ascii="Segoe UI"/>
          <w:color w:val="231F20"/>
          <w:sz w:val="16"/>
        </w:rPr>
        <w:t>of</w:t>
      </w:r>
      <w:r>
        <w:rPr>
          <w:rFonts w:ascii="Segoe UI"/>
          <w:color w:val="231F20"/>
          <w:spacing w:val="-4"/>
          <w:sz w:val="16"/>
        </w:rPr>
        <w:t> </w:t>
      </w:r>
      <w:r>
        <w:rPr>
          <w:rFonts w:ascii="Segoe UI"/>
          <w:color w:val="231F20"/>
          <w:sz w:val="16"/>
        </w:rPr>
        <w:t>Aboriginal</w:t>
      </w:r>
      <w:r>
        <w:rPr>
          <w:rFonts w:ascii="Segoe UI"/>
          <w:color w:val="231F20"/>
          <w:spacing w:val="-4"/>
          <w:sz w:val="16"/>
        </w:rPr>
        <w:t> </w:t>
      </w:r>
      <w:r>
        <w:rPr>
          <w:rFonts w:ascii="Segoe UI"/>
          <w:color w:val="231F20"/>
          <w:sz w:val="16"/>
        </w:rPr>
        <w:t>and</w:t>
      </w:r>
      <w:r>
        <w:rPr>
          <w:rFonts w:ascii="Segoe UI"/>
          <w:color w:val="231F20"/>
          <w:w w:val="99"/>
          <w:sz w:val="16"/>
        </w:rPr>
        <w:t> </w:t>
      </w:r>
      <w:r>
        <w:rPr>
          <w:rFonts w:ascii="Segoe UI"/>
          <w:color w:val="231F20"/>
          <w:spacing w:val="-3"/>
          <w:sz w:val="16"/>
        </w:rPr>
        <w:t>Torres</w:t>
      </w:r>
      <w:r>
        <w:rPr>
          <w:rFonts w:ascii="Segoe UI"/>
          <w:color w:val="231F20"/>
          <w:spacing w:val="-5"/>
          <w:sz w:val="16"/>
        </w:rPr>
        <w:t> </w:t>
      </w:r>
      <w:r>
        <w:rPr>
          <w:rFonts w:ascii="Segoe UI"/>
          <w:color w:val="231F20"/>
          <w:spacing w:val="-1"/>
          <w:sz w:val="16"/>
        </w:rPr>
        <w:t>Strait</w:t>
      </w:r>
      <w:r>
        <w:rPr>
          <w:rFonts w:ascii="Segoe UI"/>
          <w:color w:val="231F20"/>
          <w:spacing w:val="-5"/>
          <w:sz w:val="16"/>
        </w:rPr>
        <w:t> </w:t>
      </w:r>
      <w:r>
        <w:rPr>
          <w:rFonts w:ascii="Segoe UI"/>
          <w:color w:val="231F20"/>
          <w:spacing w:val="-1"/>
          <w:sz w:val="16"/>
        </w:rPr>
        <w:t>Islander</w:t>
      </w:r>
      <w:r>
        <w:rPr>
          <w:rFonts w:ascii="Segoe UI"/>
          <w:color w:val="231F20"/>
          <w:spacing w:val="-4"/>
          <w:sz w:val="16"/>
        </w:rPr>
        <w:t> </w:t>
      </w:r>
      <w:r>
        <w:rPr>
          <w:rFonts w:ascii="Segoe UI"/>
          <w:color w:val="231F20"/>
          <w:sz w:val="16"/>
        </w:rPr>
        <w:t>boarders</w:t>
      </w:r>
      <w:r>
        <w:rPr>
          <w:rFonts w:ascii="Segoe UI"/>
          <w:color w:val="231F20"/>
          <w:spacing w:val="-5"/>
          <w:sz w:val="16"/>
        </w:rPr>
        <w:t> </w:t>
      </w:r>
      <w:r>
        <w:rPr>
          <w:rFonts w:ascii="Segoe UI"/>
          <w:color w:val="231F20"/>
          <w:sz w:val="16"/>
        </w:rPr>
        <w:t>or</w:t>
      </w:r>
      <w:r>
        <w:rPr>
          <w:rFonts w:ascii="Segoe UI"/>
          <w:color w:val="231F20"/>
          <w:spacing w:val="-4"/>
          <w:sz w:val="16"/>
        </w:rPr>
        <w:t> </w:t>
      </w:r>
      <w:r>
        <w:rPr>
          <w:rFonts w:ascii="Segoe UI"/>
          <w:color w:val="231F20"/>
          <w:spacing w:val="-1"/>
          <w:sz w:val="16"/>
        </w:rPr>
        <w:t>students</w:t>
      </w:r>
      <w:r>
        <w:rPr>
          <w:rFonts w:ascii="Segoe UI"/>
          <w:sz w:val="16"/>
        </w:rPr>
      </w:r>
    </w:p>
    <w:p>
      <w:pPr>
        <w:numPr>
          <w:ilvl w:val="0"/>
          <w:numId w:val="12"/>
        </w:numPr>
        <w:tabs>
          <w:tab w:pos="671" w:val="left" w:leader="none"/>
        </w:tabs>
        <w:spacing w:line="200" w:lineRule="exact" w:before="113"/>
        <w:ind w:left="670" w:right="122" w:hanging="567"/>
        <w:jc w:val="left"/>
        <w:rPr>
          <w:rFonts w:ascii="Segoe UI" w:hAnsi="Segoe UI" w:cs="Segoe UI" w:eastAsia="Segoe UI"/>
          <w:sz w:val="16"/>
          <w:szCs w:val="16"/>
        </w:rPr>
      </w:pPr>
      <w:r>
        <w:rPr>
          <w:rFonts w:ascii="Segoe UI"/>
          <w:color w:val="231F20"/>
          <w:sz w:val="16"/>
        </w:rPr>
        <w:t>The</w:t>
      </w:r>
      <w:r>
        <w:rPr>
          <w:rFonts w:ascii="Segoe UI"/>
          <w:color w:val="231F20"/>
          <w:spacing w:val="-5"/>
          <w:sz w:val="16"/>
        </w:rPr>
        <w:t> </w:t>
      </w:r>
      <w:r>
        <w:rPr>
          <w:rFonts w:ascii="Segoe UI"/>
          <w:color w:val="231F20"/>
          <w:sz w:val="16"/>
        </w:rPr>
        <w:t>average</w:t>
      </w:r>
      <w:r>
        <w:rPr>
          <w:rFonts w:ascii="Segoe UI"/>
          <w:color w:val="231F20"/>
          <w:spacing w:val="-5"/>
          <w:sz w:val="16"/>
        </w:rPr>
        <w:t> </w:t>
      </w:r>
      <w:r>
        <w:rPr>
          <w:rFonts w:ascii="Segoe UI"/>
          <w:color w:val="231F20"/>
          <w:sz w:val="16"/>
        </w:rPr>
        <w:t>ratio</w:t>
      </w:r>
      <w:r>
        <w:rPr>
          <w:rFonts w:ascii="Segoe UI"/>
          <w:color w:val="231F20"/>
          <w:spacing w:val="-5"/>
          <w:sz w:val="16"/>
        </w:rPr>
        <w:t> </w:t>
      </w:r>
      <w:r>
        <w:rPr>
          <w:rFonts w:ascii="Segoe UI"/>
          <w:color w:val="231F20"/>
          <w:sz w:val="16"/>
        </w:rPr>
        <w:t>for</w:t>
      </w:r>
      <w:r>
        <w:rPr>
          <w:rFonts w:ascii="Segoe UI"/>
          <w:color w:val="231F20"/>
          <w:spacing w:val="-5"/>
          <w:sz w:val="16"/>
        </w:rPr>
        <w:t> </w:t>
      </w:r>
      <w:r>
        <w:rPr>
          <w:rFonts w:ascii="Segoe UI"/>
          <w:color w:val="231F20"/>
          <w:sz w:val="16"/>
        </w:rPr>
        <w:t>the</w:t>
      </w:r>
      <w:r>
        <w:rPr>
          <w:rFonts w:ascii="Segoe UI"/>
          <w:color w:val="231F20"/>
          <w:spacing w:val="-5"/>
          <w:sz w:val="16"/>
        </w:rPr>
        <w:t> </w:t>
      </w:r>
      <w:r>
        <w:rPr>
          <w:rFonts w:ascii="Segoe UI"/>
          <w:color w:val="231F20"/>
          <w:spacing w:val="-1"/>
          <w:sz w:val="16"/>
        </w:rPr>
        <w:t>Aboriginal</w:t>
      </w:r>
      <w:r>
        <w:rPr>
          <w:rFonts w:ascii="Segoe UI"/>
          <w:color w:val="231F20"/>
          <w:spacing w:val="-5"/>
          <w:sz w:val="16"/>
        </w:rPr>
        <w:t> </w:t>
      </w:r>
      <w:r>
        <w:rPr>
          <w:rFonts w:ascii="Segoe UI"/>
          <w:color w:val="231F20"/>
          <w:sz w:val="16"/>
        </w:rPr>
        <w:t>and</w:t>
      </w:r>
      <w:r>
        <w:rPr>
          <w:rFonts w:ascii="Segoe UI"/>
          <w:color w:val="231F20"/>
          <w:spacing w:val="-6"/>
          <w:sz w:val="16"/>
        </w:rPr>
        <w:t> </w:t>
      </w:r>
      <w:r>
        <w:rPr>
          <w:rFonts w:ascii="Segoe UI"/>
          <w:color w:val="231F20"/>
          <w:spacing w:val="-3"/>
          <w:sz w:val="16"/>
        </w:rPr>
        <w:t>Torres</w:t>
      </w:r>
      <w:r>
        <w:rPr>
          <w:rFonts w:ascii="Segoe UI"/>
          <w:color w:val="231F20"/>
          <w:w w:val="99"/>
          <w:sz w:val="16"/>
        </w:rPr>
        <w:t> </w:t>
      </w:r>
      <w:r>
        <w:rPr>
          <w:rFonts w:ascii="Segoe UI"/>
          <w:color w:val="231F20"/>
          <w:spacing w:val="22"/>
          <w:w w:val="99"/>
          <w:sz w:val="16"/>
        </w:rPr>
        <w:t> </w:t>
      </w:r>
      <w:r>
        <w:rPr>
          <w:rFonts w:ascii="Segoe UI"/>
          <w:color w:val="231F20"/>
          <w:spacing w:val="-1"/>
          <w:sz w:val="16"/>
        </w:rPr>
        <w:t>Strait</w:t>
      </w:r>
      <w:r>
        <w:rPr>
          <w:rFonts w:ascii="Segoe UI"/>
          <w:color w:val="231F20"/>
          <w:spacing w:val="-6"/>
          <w:sz w:val="16"/>
        </w:rPr>
        <w:t> </w:t>
      </w:r>
      <w:r>
        <w:rPr>
          <w:rFonts w:ascii="Segoe UI"/>
          <w:color w:val="231F20"/>
          <w:spacing w:val="-1"/>
          <w:sz w:val="16"/>
        </w:rPr>
        <w:t>Islander</w:t>
      </w:r>
      <w:r>
        <w:rPr>
          <w:rFonts w:ascii="Segoe UI"/>
          <w:color w:val="231F20"/>
          <w:spacing w:val="-4"/>
          <w:sz w:val="16"/>
        </w:rPr>
        <w:t> </w:t>
      </w:r>
      <w:r>
        <w:rPr>
          <w:rFonts w:ascii="Segoe UI"/>
          <w:color w:val="231F20"/>
          <w:sz w:val="16"/>
        </w:rPr>
        <w:t>boarding</w:t>
      </w:r>
      <w:r>
        <w:rPr>
          <w:rFonts w:ascii="Segoe UI"/>
          <w:color w:val="231F20"/>
          <w:spacing w:val="-6"/>
          <w:sz w:val="16"/>
        </w:rPr>
        <w:t> </w:t>
      </w:r>
      <w:r>
        <w:rPr>
          <w:rFonts w:ascii="Segoe UI"/>
          <w:color w:val="231F20"/>
          <w:sz w:val="16"/>
        </w:rPr>
        <w:t>providers</w:t>
      </w:r>
      <w:r>
        <w:rPr>
          <w:rFonts w:ascii="Segoe UI"/>
          <w:color w:val="231F20"/>
          <w:spacing w:val="-5"/>
          <w:sz w:val="16"/>
        </w:rPr>
        <w:t> </w:t>
      </w:r>
      <w:r>
        <w:rPr>
          <w:rFonts w:ascii="Segoe UI"/>
          <w:color w:val="231F20"/>
          <w:spacing w:val="-1"/>
          <w:sz w:val="16"/>
        </w:rPr>
        <w:t>increases</w:t>
      </w:r>
      <w:r>
        <w:rPr>
          <w:rFonts w:ascii="Segoe UI"/>
          <w:color w:val="231F20"/>
          <w:spacing w:val="-5"/>
          <w:sz w:val="16"/>
        </w:rPr>
        <w:t> </w:t>
      </w:r>
      <w:r>
        <w:rPr>
          <w:rFonts w:ascii="Segoe UI"/>
          <w:color w:val="231F20"/>
          <w:sz w:val="16"/>
        </w:rPr>
        <w:t>to</w:t>
      </w:r>
      <w:r>
        <w:rPr>
          <w:rFonts w:ascii="Segoe UI"/>
          <w:color w:val="231F20"/>
          <w:spacing w:val="-4"/>
          <w:sz w:val="16"/>
        </w:rPr>
        <w:t> </w:t>
      </w:r>
      <w:r>
        <w:rPr>
          <w:rFonts w:ascii="Segoe UI"/>
          <w:color w:val="231F20"/>
          <w:spacing w:val="-1"/>
          <w:sz w:val="16"/>
        </w:rPr>
        <w:t>4.9</w:t>
      </w:r>
      <w:r>
        <w:rPr>
          <w:rFonts w:ascii="Segoe UI"/>
          <w:color w:val="231F20"/>
          <w:spacing w:val="-5"/>
          <w:sz w:val="16"/>
        </w:rPr>
        <w:t> </w:t>
      </w:r>
      <w:r>
        <w:rPr>
          <w:rFonts w:ascii="Segoe UI"/>
          <w:color w:val="231F20"/>
          <w:spacing w:val="-1"/>
          <w:sz w:val="16"/>
        </w:rPr>
        <w:t>if</w:t>
      </w:r>
      <w:r>
        <w:rPr>
          <w:rFonts w:ascii="Segoe UI"/>
          <w:color w:val="231F20"/>
          <w:spacing w:val="23"/>
          <w:sz w:val="16"/>
        </w:rPr>
        <w:t> </w:t>
      </w:r>
      <w:r>
        <w:rPr>
          <w:rFonts w:ascii="Segoe UI"/>
          <w:color w:val="231F20"/>
          <w:sz w:val="16"/>
        </w:rPr>
        <w:t>the</w:t>
      </w:r>
      <w:r>
        <w:rPr>
          <w:rFonts w:ascii="Segoe UI"/>
          <w:color w:val="231F20"/>
          <w:spacing w:val="-7"/>
          <w:sz w:val="16"/>
        </w:rPr>
        <w:t> </w:t>
      </w:r>
      <w:r>
        <w:rPr>
          <w:rFonts w:ascii="Segoe UI"/>
          <w:color w:val="231F20"/>
          <w:spacing w:val="-1"/>
          <w:sz w:val="16"/>
        </w:rPr>
        <w:t>standalone</w:t>
      </w:r>
      <w:r>
        <w:rPr>
          <w:rFonts w:ascii="Segoe UI"/>
          <w:color w:val="231F20"/>
          <w:spacing w:val="-5"/>
          <w:sz w:val="16"/>
        </w:rPr>
        <w:t> </w:t>
      </w:r>
      <w:r>
        <w:rPr>
          <w:rFonts w:ascii="Segoe UI"/>
          <w:color w:val="231F20"/>
          <w:sz w:val="16"/>
        </w:rPr>
        <w:t>boarding</w:t>
      </w:r>
      <w:r>
        <w:rPr>
          <w:rFonts w:ascii="Segoe UI"/>
          <w:color w:val="231F20"/>
          <w:spacing w:val="-7"/>
          <w:sz w:val="16"/>
        </w:rPr>
        <w:t> </w:t>
      </w:r>
      <w:r>
        <w:rPr>
          <w:rFonts w:ascii="Segoe UI"/>
          <w:color w:val="231F20"/>
          <w:sz w:val="16"/>
        </w:rPr>
        <w:t>providers</w:t>
      </w:r>
      <w:r>
        <w:rPr>
          <w:rFonts w:ascii="Segoe UI"/>
          <w:color w:val="231F20"/>
          <w:spacing w:val="-6"/>
          <w:sz w:val="16"/>
        </w:rPr>
        <w:t> </w:t>
      </w:r>
      <w:r>
        <w:rPr>
          <w:rFonts w:ascii="Segoe UI"/>
          <w:color w:val="231F20"/>
          <w:sz w:val="16"/>
        </w:rPr>
        <w:t>with</w:t>
      </w:r>
      <w:r>
        <w:rPr>
          <w:rFonts w:ascii="Segoe UI"/>
          <w:color w:val="231F20"/>
          <w:spacing w:val="-7"/>
          <w:sz w:val="16"/>
        </w:rPr>
        <w:t> </w:t>
      </w:r>
      <w:r>
        <w:rPr>
          <w:rFonts w:ascii="Segoe UI"/>
          <w:color w:val="231F20"/>
          <w:sz w:val="16"/>
        </w:rPr>
        <w:t>no</w:t>
      </w:r>
      <w:r>
        <w:rPr>
          <w:rFonts w:ascii="Segoe UI"/>
          <w:color w:val="231F20"/>
          <w:spacing w:val="-5"/>
          <w:sz w:val="16"/>
        </w:rPr>
        <w:t> </w:t>
      </w:r>
      <w:r>
        <w:rPr>
          <w:rFonts w:ascii="Segoe UI"/>
          <w:color w:val="231F20"/>
          <w:sz w:val="16"/>
        </w:rPr>
        <w:t>teaching</w:t>
      </w:r>
      <w:r>
        <w:rPr>
          <w:rFonts w:ascii="Segoe UI"/>
          <w:color w:val="231F20"/>
          <w:spacing w:val="22"/>
          <w:w w:val="99"/>
          <w:sz w:val="16"/>
        </w:rPr>
        <w:t> </w:t>
      </w:r>
      <w:r>
        <w:rPr>
          <w:rFonts w:ascii="Segoe UI"/>
          <w:color w:val="231F20"/>
          <w:sz w:val="16"/>
        </w:rPr>
        <w:t>staff</w:t>
      </w:r>
      <w:r>
        <w:rPr>
          <w:rFonts w:ascii="Segoe UI"/>
          <w:color w:val="231F20"/>
          <w:spacing w:val="-1"/>
          <w:sz w:val="16"/>
        </w:rPr>
        <w:t> </w:t>
      </w:r>
      <w:r>
        <w:rPr>
          <w:rFonts w:ascii="Segoe UI"/>
          <w:color w:val="231F20"/>
          <w:sz w:val="16"/>
        </w:rPr>
        <w:t>are excluded</w:t>
      </w:r>
      <w:r>
        <w:rPr>
          <w:rFonts w:ascii="Segoe UI"/>
          <w:color w:val="231F20"/>
          <w:spacing w:val="-1"/>
          <w:sz w:val="16"/>
        </w:rPr>
        <w:t> </w:t>
      </w:r>
      <w:r>
        <w:rPr>
          <w:rFonts w:ascii="Segoe UI"/>
          <w:color w:val="231F20"/>
          <w:sz w:val="16"/>
        </w:rPr>
        <w:t>and 5.2 for</w:t>
      </w:r>
      <w:r>
        <w:rPr>
          <w:rFonts w:ascii="Segoe UI"/>
          <w:color w:val="231F20"/>
          <w:spacing w:val="-1"/>
          <w:sz w:val="16"/>
        </w:rPr>
        <w:t> </w:t>
      </w:r>
      <w:r>
        <w:rPr>
          <w:rFonts w:ascii="Segoe UI"/>
          <w:color w:val="231F20"/>
          <w:sz w:val="16"/>
        </w:rPr>
        <w:t>the median</w:t>
      </w:r>
      <w:r>
        <w:rPr>
          <w:rFonts w:ascii="Segoe UI"/>
          <w:color w:val="231F20"/>
          <w:spacing w:val="-1"/>
          <w:sz w:val="16"/>
        </w:rPr>
        <w:t> </w:t>
      </w:r>
      <w:r>
        <w:rPr>
          <w:rFonts w:ascii="Segoe UI"/>
          <w:color w:val="231F20"/>
          <w:sz w:val="16"/>
        </w:rPr>
        <w:t>ratio</w:t>
      </w:r>
      <w:r>
        <w:rPr>
          <w:rFonts w:ascii="Segoe UI"/>
          <w:sz w:val="16"/>
        </w:rPr>
      </w:r>
    </w:p>
    <w:p>
      <w:pPr>
        <w:numPr>
          <w:ilvl w:val="0"/>
          <w:numId w:val="12"/>
        </w:numPr>
        <w:tabs>
          <w:tab w:pos="671" w:val="left" w:leader="none"/>
        </w:tabs>
        <w:spacing w:before="100"/>
        <w:ind w:left="670" w:right="0" w:hanging="567"/>
        <w:jc w:val="left"/>
        <w:rPr>
          <w:rFonts w:ascii="Segoe UI" w:hAnsi="Segoe UI" w:cs="Segoe UI" w:eastAsia="Segoe UI"/>
          <w:sz w:val="16"/>
          <w:szCs w:val="16"/>
        </w:rPr>
      </w:pPr>
      <w:r>
        <w:rPr>
          <w:rFonts w:ascii="Segoe UI"/>
          <w:color w:val="231F20"/>
          <w:sz w:val="16"/>
        </w:rPr>
        <w:t>Guenther,</w:t>
      </w:r>
      <w:r>
        <w:rPr>
          <w:rFonts w:ascii="Segoe UI"/>
          <w:color w:val="231F20"/>
          <w:spacing w:val="-7"/>
          <w:sz w:val="16"/>
        </w:rPr>
        <w:t> </w:t>
      </w:r>
      <w:r>
        <w:rPr>
          <w:rFonts w:ascii="Segoe UI"/>
          <w:color w:val="231F20"/>
          <w:sz w:val="16"/>
        </w:rPr>
        <w:t>2017</w:t>
      </w:r>
      <w:r>
        <w:rPr>
          <w:rFonts w:ascii="Segoe UI"/>
          <w:sz w:val="16"/>
        </w:rPr>
      </w:r>
    </w:p>
    <w:p>
      <w:pPr>
        <w:numPr>
          <w:ilvl w:val="0"/>
          <w:numId w:val="12"/>
        </w:numPr>
        <w:tabs>
          <w:tab w:pos="671" w:val="left" w:leader="none"/>
        </w:tabs>
        <w:spacing w:line="200" w:lineRule="exact" w:before="113"/>
        <w:ind w:left="670" w:right="179" w:hanging="567"/>
        <w:jc w:val="left"/>
        <w:rPr>
          <w:rFonts w:ascii="Segoe UI" w:hAnsi="Segoe UI" w:cs="Segoe UI" w:eastAsia="Segoe UI"/>
          <w:sz w:val="16"/>
          <w:szCs w:val="16"/>
        </w:rPr>
      </w:pPr>
      <w:r>
        <w:rPr>
          <w:rFonts w:ascii="Segoe UI" w:hAnsi="Segoe UI" w:cs="Segoe UI" w:eastAsia="Segoe UI"/>
          <w:color w:val="231F20"/>
          <w:spacing w:val="-1"/>
          <w:sz w:val="16"/>
          <w:szCs w:val="16"/>
        </w:rPr>
        <w:t>Consultation—Andrew</w:t>
      </w:r>
      <w:r>
        <w:rPr>
          <w:rFonts w:ascii="Segoe UI" w:hAnsi="Segoe UI" w:cs="Segoe UI" w:eastAsia="Segoe UI"/>
          <w:color w:val="231F20"/>
          <w:spacing w:val="-12"/>
          <w:sz w:val="16"/>
          <w:szCs w:val="16"/>
        </w:rPr>
        <w:t> </w:t>
      </w:r>
      <w:r>
        <w:rPr>
          <w:rFonts w:ascii="Segoe UI" w:hAnsi="Segoe UI" w:cs="Segoe UI" w:eastAsia="Segoe UI"/>
          <w:color w:val="231F20"/>
          <w:spacing w:val="-1"/>
          <w:sz w:val="16"/>
          <w:szCs w:val="16"/>
        </w:rPr>
        <w:t>Manning,</w:t>
      </w:r>
      <w:r>
        <w:rPr>
          <w:rFonts w:ascii="Segoe UI" w:hAnsi="Segoe UI" w:cs="Segoe UI" w:eastAsia="Segoe UI"/>
          <w:color w:val="231F20"/>
          <w:spacing w:val="-11"/>
          <w:sz w:val="16"/>
          <w:szCs w:val="16"/>
        </w:rPr>
        <w:t> </w:t>
      </w:r>
      <w:r>
        <w:rPr>
          <w:rFonts w:ascii="Segoe UI" w:hAnsi="Segoe UI" w:cs="Segoe UI" w:eastAsia="Segoe UI"/>
          <w:color w:val="231F20"/>
          <w:sz w:val="16"/>
          <w:szCs w:val="16"/>
        </w:rPr>
        <w:t>Principal,</w:t>
      </w:r>
      <w:r>
        <w:rPr>
          <w:rFonts w:ascii="Segoe UI" w:hAnsi="Segoe UI" w:cs="Segoe UI" w:eastAsia="Segoe UI"/>
          <w:color w:val="231F20"/>
          <w:spacing w:val="-12"/>
          <w:sz w:val="16"/>
          <w:szCs w:val="16"/>
        </w:rPr>
        <w:t> </w:t>
      </w:r>
      <w:r>
        <w:rPr>
          <w:rFonts w:ascii="Segoe UI" w:hAnsi="Segoe UI" w:cs="Segoe UI" w:eastAsia="Segoe UI"/>
          <w:color w:val="231F20"/>
          <w:sz w:val="16"/>
          <w:szCs w:val="16"/>
        </w:rPr>
        <w:t>Marrara</w:t>
      </w:r>
      <w:r>
        <w:rPr>
          <w:rFonts w:ascii="Segoe UI" w:hAnsi="Segoe UI" w:cs="Segoe UI" w:eastAsia="Segoe UI"/>
          <w:color w:val="231F20"/>
          <w:spacing w:val="26"/>
          <w:w w:val="99"/>
          <w:sz w:val="16"/>
          <w:szCs w:val="16"/>
        </w:rPr>
        <w:t> </w:t>
      </w:r>
      <w:r>
        <w:rPr>
          <w:rFonts w:ascii="Segoe UI" w:hAnsi="Segoe UI" w:cs="Segoe UI" w:eastAsia="Segoe UI"/>
          <w:color w:val="231F20"/>
          <w:spacing w:val="-1"/>
          <w:sz w:val="16"/>
          <w:szCs w:val="16"/>
        </w:rPr>
        <w:t>Christian</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College,</w:t>
      </w:r>
      <w:r>
        <w:rPr>
          <w:rFonts w:ascii="Segoe UI" w:hAnsi="Segoe UI" w:cs="Segoe UI" w:eastAsia="Segoe UI"/>
          <w:color w:val="231F20"/>
          <w:spacing w:val="-3"/>
          <w:sz w:val="16"/>
          <w:szCs w:val="16"/>
        </w:rPr>
        <w:t> </w:t>
      </w:r>
      <w:r>
        <w:rPr>
          <w:rFonts w:ascii="Segoe UI" w:hAnsi="Segoe UI" w:cs="Segoe UI" w:eastAsia="Segoe UI"/>
          <w:color w:val="231F20"/>
          <w:sz w:val="16"/>
          <w:szCs w:val="16"/>
        </w:rPr>
        <w:t>8</w:t>
      </w:r>
      <w:r>
        <w:rPr>
          <w:rFonts w:ascii="Segoe UI" w:hAnsi="Segoe UI" w:cs="Segoe UI" w:eastAsia="Segoe UI"/>
          <w:color w:val="231F20"/>
          <w:spacing w:val="-3"/>
          <w:sz w:val="16"/>
          <w:szCs w:val="16"/>
        </w:rPr>
        <w:t> </w:t>
      </w:r>
      <w:r>
        <w:rPr>
          <w:rFonts w:ascii="Segoe UI" w:hAnsi="Segoe UI" w:cs="Segoe UI" w:eastAsia="Segoe UI"/>
          <w:color w:val="231F20"/>
          <w:sz w:val="16"/>
          <w:szCs w:val="16"/>
        </w:rPr>
        <w:t>August</w:t>
      </w:r>
      <w:r>
        <w:rPr>
          <w:rFonts w:ascii="Segoe UI" w:hAnsi="Segoe UI" w:cs="Segoe UI" w:eastAsia="Segoe UI"/>
          <w:color w:val="231F20"/>
          <w:spacing w:val="-3"/>
          <w:sz w:val="16"/>
          <w:szCs w:val="16"/>
        </w:rPr>
        <w:t> </w:t>
      </w:r>
      <w:r>
        <w:rPr>
          <w:rFonts w:ascii="Segoe UI" w:hAnsi="Segoe UI" w:cs="Segoe UI" w:eastAsia="Segoe UI"/>
          <w:color w:val="231F20"/>
          <w:sz w:val="16"/>
          <w:szCs w:val="16"/>
        </w:rPr>
        <w:t>2018</w:t>
      </w:r>
      <w:r>
        <w:rPr>
          <w:rFonts w:ascii="Segoe UI" w:hAnsi="Segoe UI" w:cs="Segoe UI" w:eastAsia="Segoe UI"/>
          <w:sz w:val="16"/>
          <w:szCs w:val="16"/>
        </w:rPr>
      </w:r>
    </w:p>
    <w:p>
      <w:pPr>
        <w:tabs>
          <w:tab w:pos="670" w:val="left" w:leader="none"/>
        </w:tabs>
        <w:spacing w:before="100"/>
        <w:ind w:left="103" w:right="0" w:firstLine="0"/>
        <w:jc w:val="left"/>
        <w:rPr>
          <w:rFonts w:ascii="Segoe UI" w:hAnsi="Segoe UI" w:cs="Segoe UI" w:eastAsia="Segoe UI"/>
          <w:sz w:val="16"/>
          <w:szCs w:val="16"/>
        </w:rPr>
      </w:pPr>
      <w:r>
        <w:rPr>
          <w:rFonts w:ascii="Segoe UI" w:hAnsi="Segoe UI" w:cs="Segoe UI" w:eastAsia="Segoe UI"/>
          <w:color w:val="231F20"/>
          <w:sz w:val="16"/>
          <w:szCs w:val="16"/>
        </w:rPr>
        <w:t>91</w:t>
        <w:tab/>
        <w:t>O’Bryan,</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2016,</w:t>
      </w:r>
      <w:r>
        <w:rPr>
          <w:rFonts w:ascii="Segoe UI" w:hAnsi="Segoe UI" w:cs="Segoe UI" w:eastAsia="Segoe UI"/>
          <w:color w:val="231F20"/>
          <w:spacing w:val="-2"/>
          <w:sz w:val="16"/>
          <w:szCs w:val="16"/>
        </w:rPr>
        <w:t> </w:t>
      </w:r>
      <w:r>
        <w:rPr>
          <w:rFonts w:ascii="Segoe UI" w:hAnsi="Segoe UI" w:cs="Segoe UI" w:eastAsia="Segoe UI"/>
          <w:color w:val="231F20"/>
          <w:sz w:val="16"/>
          <w:szCs w:val="16"/>
        </w:rPr>
        <w:t>p.</w:t>
      </w:r>
      <w:r>
        <w:rPr>
          <w:rFonts w:ascii="Segoe UI" w:hAnsi="Segoe UI" w:cs="Segoe UI" w:eastAsia="Segoe UI"/>
          <w:color w:val="231F20"/>
          <w:spacing w:val="-1"/>
          <w:sz w:val="16"/>
          <w:szCs w:val="16"/>
        </w:rPr>
        <w:t> 50</w:t>
      </w:r>
      <w:r>
        <w:rPr>
          <w:rFonts w:ascii="Segoe UI" w:hAnsi="Segoe UI" w:cs="Segoe UI" w:eastAsia="Segoe UI"/>
          <w:color w:val="231F20"/>
          <w:spacing w:val="-2"/>
          <w:sz w:val="16"/>
          <w:szCs w:val="16"/>
        </w:rPr>
        <w:t> </w:t>
      </w:r>
      <w:r>
        <w:rPr>
          <w:rFonts w:ascii="Segoe UI" w:hAnsi="Segoe UI" w:cs="Segoe UI" w:eastAsia="Segoe UI"/>
          <w:color w:val="231F20"/>
          <w:sz w:val="16"/>
          <w:szCs w:val="16"/>
        </w:rPr>
        <w:t>-</w:t>
      </w:r>
      <w:r>
        <w:rPr>
          <w:rFonts w:ascii="Segoe UI" w:hAnsi="Segoe UI" w:cs="Segoe UI" w:eastAsia="Segoe UI"/>
          <w:color w:val="231F20"/>
          <w:spacing w:val="-1"/>
          <w:sz w:val="16"/>
          <w:szCs w:val="16"/>
        </w:rPr>
        <w:t> </w:t>
      </w:r>
      <w:r>
        <w:rPr>
          <w:rFonts w:ascii="Segoe UI" w:hAnsi="Segoe UI" w:cs="Segoe UI" w:eastAsia="Segoe UI"/>
          <w:color w:val="231F20"/>
          <w:sz w:val="16"/>
          <w:szCs w:val="16"/>
        </w:rPr>
        <w:t>51</w:t>
      </w:r>
      <w:r>
        <w:rPr>
          <w:rFonts w:ascii="Segoe UI" w:hAnsi="Segoe UI" w:cs="Segoe UI" w:eastAsia="Segoe UI"/>
          <w:sz w:val="16"/>
          <w:szCs w:val="16"/>
        </w:rPr>
      </w:r>
    </w:p>
    <w:p>
      <w:pPr>
        <w:numPr>
          <w:ilvl w:val="0"/>
          <w:numId w:val="13"/>
        </w:numPr>
        <w:tabs>
          <w:tab w:pos="671" w:val="left" w:leader="none"/>
        </w:tabs>
        <w:spacing w:line="200" w:lineRule="exact" w:before="113"/>
        <w:ind w:left="670" w:right="307" w:hanging="567"/>
        <w:jc w:val="left"/>
        <w:rPr>
          <w:rFonts w:ascii="Segoe UI" w:hAnsi="Segoe UI" w:cs="Segoe UI" w:eastAsia="Segoe UI"/>
          <w:sz w:val="16"/>
          <w:szCs w:val="16"/>
        </w:rPr>
      </w:pPr>
      <w:r>
        <w:rPr>
          <w:rFonts w:ascii="Segoe UI" w:hAnsi="Segoe UI" w:cs="Segoe UI" w:eastAsia="Segoe UI"/>
          <w:i/>
          <w:color w:val="231F20"/>
          <w:spacing w:val="-1"/>
          <w:sz w:val="16"/>
          <w:szCs w:val="16"/>
        </w:rPr>
        <w:t>Closing</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the</w:t>
      </w:r>
      <w:r>
        <w:rPr>
          <w:rFonts w:ascii="Segoe UI" w:hAnsi="Segoe UI" w:cs="Segoe UI" w:eastAsia="Segoe UI"/>
          <w:i/>
          <w:color w:val="231F20"/>
          <w:spacing w:val="-3"/>
          <w:sz w:val="16"/>
          <w:szCs w:val="16"/>
        </w:rPr>
        <w:t> </w:t>
      </w:r>
      <w:r>
        <w:rPr>
          <w:rFonts w:ascii="Segoe UI" w:hAnsi="Segoe UI" w:cs="Segoe UI" w:eastAsia="Segoe UI"/>
          <w:i/>
          <w:color w:val="231F20"/>
          <w:sz w:val="16"/>
          <w:szCs w:val="16"/>
        </w:rPr>
        <w:t>Gap</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Prime</w:t>
      </w:r>
      <w:r>
        <w:rPr>
          <w:rFonts w:ascii="Segoe UI" w:hAnsi="Segoe UI" w:cs="Segoe UI" w:eastAsia="Segoe UI"/>
          <w:i/>
          <w:color w:val="231F20"/>
          <w:spacing w:val="-5"/>
          <w:sz w:val="16"/>
          <w:szCs w:val="16"/>
        </w:rPr>
        <w:t> </w:t>
      </w:r>
      <w:r>
        <w:rPr>
          <w:rFonts w:ascii="Segoe UI" w:hAnsi="Segoe UI" w:cs="Segoe UI" w:eastAsia="Segoe UI"/>
          <w:i/>
          <w:color w:val="231F20"/>
          <w:spacing w:val="-1"/>
          <w:sz w:val="16"/>
          <w:szCs w:val="16"/>
        </w:rPr>
        <w:t>Minister’s</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Report</w:t>
      </w:r>
      <w:r>
        <w:rPr>
          <w:rFonts w:ascii="Segoe UI" w:hAnsi="Segoe UI" w:cs="Segoe UI" w:eastAsia="Segoe UI"/>
          <w:i/>
          <w:color w:val="231F20"/>
          <w:spacing w:val="-4"/>
          <w:sz w:val="16"/>
          <w:szCs w:val="16"/>
        </w:rPr>
        <w:t> </w:t>
      </w:r>
      <w:r>
        <w:rPr>
          <w:rFonts w:ascii="Segoe UI" w:hAnsi="Segoe UI" w:cs="Segoe UI" w:eastAsia="Segoe UI"/>
          <w:i/>
          <w:color w:val="231F20"/>
          <w:sz w:val="16"/>
          <w:szCs w:val="16"/>
        </w:rPr>
        <w:t>2018</w:t>
      </w:r>
      <w:r>
        <w:rPr>
          <w:rFonts w:ascii="Segoe UI" w:hAnsi="Segoe UI" w:cs="Segoe UI" w:eastAsia="Segoe UI"/>
          <w:color w:val="231F20"/>
          <w:sz w:val="16"/>
          <w:szCs w:val="16"/>
        </w:rPr>
        <w:t>,</w:t>
      </w:r>
      <w:r>
        <w:rPr>
          <w:rFonts w:ascii="Segoe UI" w:hAnsi="Segoe UI" w:cs="Segoe UI" w:eastAsia="Segoe UI"/>
          <w:color w:val="231F20"/>
          <w:spacing w:val="33"/>
          <w:w w:val="99"/>
          <w:sz w:val="16"/>
          <w:szCs w:val="16"/>
        </w:rPr>
        <w:t> </w:t>
      </w:r>
      <w:r>
        <w:rPr>
          <w:rFonts w:ascii="Segoe UI" w:hAnsi="Segoe UI" w:cs="Segoe UI" w:eastAsia="Segoe UI"/>
          <w:color w:val="231F20"/>
          <w:spacing w:val="-1"/>
          <w:sz w:val="16"/>
          <w:szCs w:val="16"/>
        </w:rPr>
        <w:t>Department</w:t>
      </w:r>
      <w:r>
        <w:rPr>
          <w:rFonts w:ascii="Segoe UI" w:hAnsi="Segoe UI" w:cs="Segoe UI" w:eastAsia="Segoe UI"/>
          <w:color w:val="231F20"/>
          <w:spacing w:val="-4"/>
          <w:sz w:val="16"/>
          <w:szCs w:val="16"/>
        </w:rPr>
        <w:t> </w:t>
      </w:r>
      <w:r>
        <w:rPr>
          <w:rFonts w:ascii="Segoe UI" w:hAnsi="Segoe UI" w:cs="Segoe UI" w:eastAsia="Segoe UI"/>
          <w:color w:val="231F20"/>
          <w:sz w:val="16"/>
          <w:szCs w:val="16"/>
        </w:rPr>
        <w:t>of</w:t>
      </w:r>
      <w:r>
        <w:rPr>
          <w:rFonts w:ascii="Segoe UI" w:hAnsi="Segoe UI" w:cs="Segoe UI" w:eastAsia="Segoe UI"/>
          <w:color w:val="231F20"/>
          <w:spacing w:val="-3"/>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4"/>
          <w:sz w:val="16"/>
          <w:szCs w:val="16"/>
        </w:rPr>
        <w:t> </w:t>
      </w:r>
      <w:r>
        <w:rPr>
          <w:rFonts w:ascii="Segoe UI" w:hAnsi="Segoe UI" w:cs="Segoe UI" w:eastAsia="Segoe UI"/>
          <w:color w:val="231F20"/>
          <w:sz w:val="16"/>
          <w:szCs w:val="16"/>
        </w:rPr>
        <w:t>Prime</w:t>
      </w:r>
      <w:r>
        <w:rPr>
          <w:rFonts w:ascii="Segoe UI" w:hAnsi="Segoe UI" w:cs="Segoe UI" w:eastAsia="Segoe UI"/>
          <w:color w:val="231F20"/>
          <w:spacing w:val="-3"/>
          <w:sz w:val="16"/>
          <w:szCs w:val="16"/>
        </w:rPr>
        <w:t> </w:t>
      </w:r>
      <w:r>
        <w:rPr>
          <w:rFonts w:ascii="Segoe UI" w:hAnsi="Segoe UI" w:cs="Segoe UI" w:eastAsia="Segoe UI"/>
          <w:color w:val="231F20"/>
          <w:sz w:val="16"/>
          <w:szCs w:val="16"/>
        </w:rPr>
        <w:t>Minister</w:t>
      </w:r>
      <w:r>
        <w:rPr>
          <w:rFonts w:ascii="Segoe UI" w:hAnsi="Segoe UI" w:cs="Segoe UI" w:eastAsia="Segoe UI"/>
          <w:color w:val="231F20"/>
          <w:spacing w:val="-4"/>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Cabinet,</w:t>
      </w:r>
      <w:r>
        <w:rPr>
          <w:rFonts w:ascii="Segoe UI" w:hAnsi="Segoe UI" w:cs="Segoe UI" w:eastAsia="Segoe UI"/>
          <w:color w:val="231F20"/>
          <w:spacing w:val="-3"/>
          <w:sz w:val="16"/>
          <w:szCs w:val="16"/>
        </w:rPr>
        <w:t> </w:t>
      </w:r>
      <w:r>
        <w:rPr>
          <w:rFonts w:ascii="Segoe UI" w:hAnsi="Segoe UI" w:cs="Segoe UI" w:eastAsia="Segoe UI"/>
          <w:color w:val="231F20"/>
          <w:sz w:val="16"/>
          <w:szCs w:val="16"/>
        </w:rPr>
        <w:t>p.</w:t>
      </w:r>
      <w:r>
        <w:rPr>
          <w:rFonts w:ascii="Segoe UI" w:hAnsi="Segoe UI" w:cs="Segoe UI" w:eastAsia="Segoe UI"/>
          <w:color w:val="231F20"/>
          <w:spacing w:val="23"/>
          <w:w w:val="99"/>
          <w:sz w:val="16"/>
          <w:szCs w:val="16"/>
        </w:rPr>
        <w:t> </w:t>
      </w:r>
      <w:r>
        <w:rPr>
          <w:rFonts w:ascii="Segoe UI" w:hAnsi="Segoe UI" w:cs="Segoe UI" w:eastAsia="Segoe UI"/>
          <w:color w:val="231F20"/>
          <w:sz w:val="16"/>
          <w:szCs w:val="16"/>
        </w:rPr>
        <w:t>67</w:t>
      </w:r>
      <w:r>
        <w:rPr>
          <w:rFonts w:ascii="Segoe UI" w:hAnsi="Segoe UI" w:cs="Segoe UI" w:eastAsia="Segoe UI"/>
          <w:sz w:val="16"/>
          <w:szCs w:val="16"/>
        </w:rPr>
      </w:r>
    </w:p>
    <w:p>
      <w:pPr>
        <w:numPr>
          <w:ilvl w:val="0"/>
          <w:numId w:val="13"/>
        </w:numPr>
        <w:tabs>
          <w:tab w:pos="671" w:val="left" w:leader="none"/>
        </w:tabs>
        <w:spacing w:line="200" w:lineRule="exact" w:before="113"/>
        <w:ind w:left="670" w:right="122" w:hanging="567"/>
        <w:jc w:val="left"/>
        <w:rPr>
          <w:rFonts w:ascii="Segoe UI" w:hAnsi="Segoe UI" w:cs="Segoe UI" w:eastAsia="Segoe UI"/>
          <w:sz w:val="16"/>
          <w:szCs w:val="16"/>
        </w:rPr>
      </w:pPr>
      <w:r>
        <w:rPr>
          <w:rFonts w:ascii="Segoe UI"/>
          <w:color w:val="231F20"/>
          <w:spacing w:val="-1"/>
          <w:sz w:val="16"/>
        </w:rPr>
        <w:t>Department</w:t>
      </w:r>
      <w:r>
        <w:rPr>
          <w:rFonts w:ascii="Segoe UI"/>
          <w:color w:val="231F20"/>
          <w:spacing w:val="-4"/>
          <w:sz w:val="16"/>
        </w:rPr>
        <w:t> </w:t>
      </w:r>
      <w:r>
        <w:rPr>
          <w:rFonts w:ascii="Segoe UI"/>
          <w:color w:val="231F20"/>
          <w:sz w:val="16"/>
        </w:rPr>
        <w:t>of</w:t>
      </w:r>
      <w:r>
        <w:rPr>
          <w:rFonts w:ascii="Segoe UI"/>
          <w:color w:val="231F20"/>
          <w:spacing w:val="-4"/>
          <w:sz w:val="16"/>
        </w:rPr>
        <w:t> </w:t>
      </w:r>
      <w:r>
        <w:rPr>
          <w:rFonts w:ascii="Segoe UI"/>
          <w:color w:val="231F20"/>
          <w:spacing w:val="-1"/>
          <w:sz w:val="16"/>
        </w:rPr>
        <w:t>Social</w:t>
      </w:r>
      <w:r>
        <w:rPr>
          <w:rFonts w:ascii="Segoe UI"/>
          <w:color w:val="231F20"/>
          <w:spacing w:val="-4"/>
          <w:sz w:val="16"/>
        </w:rPr>
        <w:t> </w:t>
      </w:r>
      <w:r>
        <w:rPr>
          <w:rFonts w:ascii="Segoe UI"/>
          <w:color w:val="231F20"/>
          <w:spacing w:val="-1"/>
          <w:sz w:val="16"/>
        </w:rPr>
        <w:t>Services</w:t>
      </w:r>
      <w:r>
        <w:rPr>
          <w:rFonts w:ascii="Segoe UI"/>
          <w:color w:val="231F20"/>
          <w:spacing w:val="-5"/>
          <w:sz w:val="16"/>
        </w:rPr>
        <w:t> </w:t>
      </w:r>
      <w:r>
        <w:rPr>
          <w:rFonts w:ascii="Segoe UI"/>
          <w:color w:val="231F20"/>
          <w:sz w:val="16"/>
        </w:rPr>
        <w:t>Annual</w:t>
      </w:r>
      <w:r>
        <w:rPr>
          <w:rFonts w:ascii="Segoe UI"/>
          <w:color w:val="231F20"/>
          <w:spacing w:val="-4"/>
          <w:sz w:val="16"/>
        </w:rPr>
        <w:t> </w:t>
      </w:r>
      <w:r>
        <w:rPr>
          <w:rFonts w:ascii="Segoe UI"/>
          <w:color w:val="231F20"/>
          <w:spacing w:val="-1"/>
          <w:sz w:val="16"/>
        </w:rPr>
        <w:t>Report</w:t>
      </w:r>
      <w:r>
        <w:rPr>
          <w:rFonts w:ascii="Segoe UI"/>
          <w:color w:val="231F20"/>
          <w:spacing w:val="-4"/>
          <w:sz w:val="16"/>
        </w:rPr>
        <w:t> </w:t>
      </w:r>
      <w:r>
        <w:rPr>
          <w:rFonts w:ascii="Segoe UI"/>
          <w:color w:val="231F20"/>
          <w:sz w:val="16"/>
        </w:rPr>
        <w:t>2017-</w:t>
      </w:r>
      <w:r>
        <w:rPr>
          <w:rFonts w:ascii="Segoe UI"/>
          <w:color w:val="231F20"/>
          <w:spacing w:val="26"/>
          <w:sz w:val="16"/>
        </w:rPr>
        <w:t> </w:t>
      </w:r>
      <w:r>
        <w:rPr>
          <w:rFonts w:ascii="Segoe UI"/>
          <w:color w:val="231F20"/>
          <w:spacing w:val="-1"/>
          <w:sz w:val="16"/>
        </w:rPr>
        <w:t>18,</w:t>
      </w:r>
      <w:r>
        <w:rPr>
          <w:rFonts w:ascii="Segoe UI"/>
          <w:color w:val="231F20"/>
          <w:spacing w:val="-4"/>
          <w:sz w:val="16"/>
        </w:rPr>
        <w:t> </w:t>
      </w:r>
      <w:r>
        <w:rPr>
          <w:rFonts w:ascii="Segoe UI"/>
          <w:color w:val="3853A4"/>
          <w:spacing w:val="-4"/>
          <w:sz w:val="16"/>
        </w:rPr>
      </w:r>
      <w:hyperlink r:id="rId108">
        <w:r>
          <w:rPr>
            <w:rFonts w:ascii="Segoe UI"/>
            <w:color w:val="3853A4"/>
            <w:spacing w:val="-1"/>
            <w:sz w:val="16"/>
            <w:u w:val="single" w:color="3853A4"/>
          </w:rPr>
          <w:t>www.dss.gov.au</w:t>
        </w:r>
        <w:r>
          <w:rPr>
            <w:rFonts w:ascii="Segoe UI"/>
            <w:color w:val="3853A4"/>
            <w:sz w:val="16"/>
          </w:rPr>
        </w:r>
        <w:r>
          <w:rPr>
            <w:rFonts w:ascii="Segoe UI"/>
            <w:color w:val="231F20"/>
            <w:spacing w:val="-1"/>
            <w:sz w:val="16"/>
          </w:rPr>
          <w:t>,</w:t>
        </w:r>
      </w:hyperlink>
      <w:r>
        <w:rPr>
          <w:rFonts w:ascii="Segoe UI"/>
          <w:color w:val="231F20"/>
          <w:spacing w:val="-4"/>
          <w:sz w:val="16"/>
        </w:rPr>
        <w:t> </w:t>
      </w:r>
      <w:r>
        <w:rPr>
          <w:rFonts w:ascii="Segoe UI"/>
          <w:color w:val="231F20"/>
          <w:sz w:val="16"/>
        </w:rPr>
        <w:t>p.</w:t>
      </w:r>
      <w:r>
        <w:rPr>
          <w:rFonts w:ascii="Segoe UI"/>
          <w:color w:val="231F20"/>
          <w:spacing w:val="-3"/>
          <w:sz w:val="16"/>
        </w:rPr>
        <w:t> </w:t>
      </w:r>
      <w:r>
        <w:rPr>
          <w:rFonts w:ascii="Segoe UI"/>
          <w:color w:val="231F20"/>
          <w:spacing w:val="-1"/>
          <w:sz w:val="16"/>
        </w:rPr>
        <w:t>45;</w:t>
      </w:r>
      <w:r>
        <w:rPr>
          <w:rFonts w:ascii="Segoe UI"/>
          <w:color w:val="231F20"/>
          <w:spacing w:val="-4"/>
          <w:sz w:val="16"/>
        </w:rPr>
        <w:t> </w:t>
      </w:r>
      <w:r>
        <w:rPr>
          <w:rFonts w:ascii="Segoe UI"/>
          <w:color w:val="231F20"/>
          <w:spacing w:val="-2"/>
          <w:sz w:val="16"/>
        </w:rPr>
        <w:t>Study</w:t>
      </w:r>
      <w:r>
        <w:rPr>
          <w:rFonts w:ascii="Segoe UI"/>
          <w:color w:val="231F20"/>
          <w:spacing w:val="-4"/>
          <w:sz w:val="16"/>
        </w:rPr>
        <w:t> </w:t>
      </w:r>
      <w:r>
        <w:rPr>
          <w:rFonts w:ascii="Segoe UI"/>
          <w:color w:val="231F20"/>
          <w:spacing w:val="-1"/>
          <w:sz w:val="16"/>
        </w:rPr>
        <w:t>Away</w:t>
      </w:r>
      <w:r>
        <w:rPr>
          <w:rFonts w:ascii="Segoe UI"/>
          <w:color w:val="231F20"/>
          <w:spacing w:val="-5"/>
          <w:sz w:val="16"/>
        </w:rPr>
        <w:t> </w:t>
      </w:r>
      <w:r>
        <w:rPr>
          <w:rFonts w:ascii="Segoe UI"/>
          <w:color w:val="231F20"/>
          <w:spacing w:val="-1"/>
          <w:sz w:val="16"/>
        </w:rPr>
        <w:t>Review,</w:t>
      </w:r>
      <w:r>
        <w:rPr>
          <w:rFonts w:ascii="Segoe UI"/>
          <w:color w:val="231F20"/>
          <w:spacing w:val="-3"/>
          <w:sz w:val="16"/>
        </w:rPr>
        <w:t> </w:t>
      </w:r>
      <w:r>
        <w:rPr>
          <w:rFonts w:ascii="Segoe UI"/>
          <w:color w:val="231F20"/>
          <w:sz w:val="16"/>
        </w:rPr>
        <w:t>p.</w:t>
      </w:r>
      <w:r>
        <w:rPr>
          <w:rFonts w:ascii="Segoe UI"/>
          <w:color w:val="231F20"/>
          <w:spacing w:val="-4"/>
          <w:sz w:val="16"/>
        </w:rPr>
        <w:t> </w:t>
      </w:r>
      <w:r>
        <w:rPr>
          <w:rFonts w:ascii="Segoe UI"/>
          <w:color w:val="231F20"/>
          <w:sz w:val="16"/>
        </w:rPr>
        <w:t>17</w:t>
      </w:r>
      <w:r>
        <w:rPr>
          <w:rFonts w:ascii="Segoe UI"/>
          <w:sz w:val="16"/>
        </w:rPr>
      </w:r>
    </w:p>
    <w:p>
      <w:pPr>
        <w:numPr>
          <w:ilvl w:val="0"/>
          <w:numId w:val="13"/>
        </w:numPr>
        <w:tabs>
          <w:tab w:pos="671" w:val="left" w:leader="none"/>
        </w:tabs>
        <w:spacing w:line="200" w:lineRule="exact" w:before="113"/>
        <w:ind w:left="670" w:right="179" w:hanging="567"/>
        <w:jc w:val="left"/>
        <w:rPr>
          <w:rFonts w:ascii="Segoe UI" w:hAnsi="Segoe UI" w:cs="Segoe UI" w:eastAsia="Segoe UI"/>
          <w:sz w:val="16"/>
          <w:szCs w:val="16"/>
        </w:rPr>
      </w:pPr>
      <w:r>
        <w:rPr>
          <w:rFonts w:ascii="Segoe UI"/>
          <w:i/>
          <w:color w:val="231F20"/>
          <w:sz w:val="16"/>
        </w:rPr>
        <w:t>Barriers</w:t>
      </w:r>
      <w:r>
        <w:rPr>
          <w:rFonts w:ascii="Segoe UI"/>
          <w:i/>
          <w:color w:val="231F20"/>
          <w:spacing w:val="-5"/>
          <w:sz w:val="16"/>
        </w:rPr>
        <w:t> </w:t>
      </w:r>
      <w:r>
        <w:rPr>
          <w:rFonts w:ascii="Segoe UI"/>
          <w:i/>
          <w:color w:val="231F20"/>
          <w:sz w:val="16"/>
        </w:rPr>
        <w:t>and</w:t>
      </w:r>
      <w:r>
        <w:rPr>
          <w:rFonts w:ascii="Segoe UI"/>
          <w:i/>
          <w:color w:val="231F20"/>
          <w:spacing w:val="-4"/>
          <w:sz w:val="16"/>
        </w:rPr>
        <w:t> </w:t>
      </w:r>
      <w:r>
        <w:rPr>
          <w:rFonts w:ascii="Segoe UI"/>
          <w:i/>
          <w:color w:val="231F20"/>
          <w:spacing w:val="-2"/>
          <w:sz w:val="16"/>
        </w:rPr>
        <w:t>Bureaucracy,</w:t>
      </w:r>
      <w:r>
        <w:rPr>
          <w:rFonts w:ascii="Segoe UI"/>
          <w:i/>
          <w:color w:val="231F20"/>
          <w:spacing w:val="-4"/>
          <w:sz w:val="16"/>
        </w:rPr>
        <w:t> </w:t>
      </w:r>
      <w:r>
        <w:rPr>
          <w:rFonts w:ascii="Segoe UI"/>
          <w:i/>
          <w:color w:val="231F20"/>
          <w:spacing w:val="-1"/>
          <w:sz w:val="16"/>
        </w:rPr>
        <w:t>Bridges</w:t>
      </w:r>
      <w:r>
        <w:rPr>
          <w:rFonts w:ascii="Segoe UI"/>
          <w:i/>
          <w:color w:val="231F20"/>
          <w:spacing w:val="-5"/>
          <w:sz w:val="16"/>
        </w:rPr>
        <w:t> </w:t>
      </w:r>
      <w:r>
        <w:rPr>
          <w:rFonts w:ascii="Segoe UI"/>
          <w:i/>
          <w:color w:val="231F20"/>
          <w:sz w:val="16"/>
        </w:rPr>
        <w:t>and</w:t>
      </w:r>
      <w:r>
        <w:rPr>
          <w:rFonts w:ascii="Segoe UI"/>
          <w:i/>
          <w:color w:val="231F20"/>
          <w:spacing w:val="-4"/>
          <w:sz w:val="16"/>
        </w:rPr>
        <w:t> </w:t>
      </w:r>
      <w:r>
        <w:rPr>
          <w:rFonts w:ascii="Segoe UI"/>
          <w:i/>
          <w:color w:val="231F20"/>
          <w:spacing w:val="-1"/>
          <w:sz w:val="16"/>
        </w:rPr>
        <w:t>Brokers</w:t>
      </w:r>
      <w:r>
        <w:rPr>
          <w:rFonts w:ascii="Segoe UI"/>
          <w:color w:val="231F20"/>
          <w:spacing w:val="-1"/>
          <w:sz w:val="16"/>
        </w:rPr>
        <w:t>,</w:t>
      </w:r>
      <w:r>
        <w:rPr>
          <w:rFonts w:ascii="Segoe UI"/>
          <w:color w:val="231F20"/>
          <w:spacing w:val="37"/>
          <w:w w:val="99"/>
          <w:sz w:val="16"/>
        </w:rPr>
        <w:t> </w:t>
      </w:r>
      <w:r>
        <w:rPr>
          <w:rFonts w:ascii="Segoe UI"/>
          <w:color w:val="231F20"/>
          <w:spacing w:val="-1"/>
          <w:sz w:val="16"/>
        </w:rPr>
        <w:t>Centre</w:t>
      </w:r>
      <w:r>
        <w:rPr>
          <w:rFonts w:ascii="Segoe UI"/>
          <w:color w:val="231F20"/>
          <w:spacing w:val="-5"/>
          <w:sz w:val="16"/>
        </w:rPr>
        <w:t> </w:t>
      </w:r>
      <w:r>
        <w:rPr>
          <w:rFonts w:ascii="Segoe UI"/>
          <w:color w:val="231F20"/>
          <w:sz w:val="16"/>
        </w:rPr>
        <w:t>for</w:t>
      </w:r>
      <w:r>
        <w:rPr>
          <w:rFonts w:ascii="Segoe UI"/>
          <w:color w:val="231F20"/>
          <w:spacing w:val="-5"/>
          <w:sz w:val="16"/>
        </w:rPr>
        <w:t> </w:t>
      </w:r>
      <w:r>
        <w:rPr>
          <w:rFonts w:ascii="Segoe UI"/>
          <w:color w:val="231F20"/>
          <w:sz w:val="16"/>
        </w:rPr>
        <w:t>Aboriginal</w:t>
      </w:r>
      <w:r>
        <w:rPr>
          <w:rFonts w:ascii="Segoe UI"/>
          <w:color w:val="231F20"/>
          <w:spacing w:val="-5"/>
          <w:sz w:val="16"/>
        </w:rPr>
        <w:t> </w:t>
      </w:r>
      <w:r>
        <w:rPr>
          <w:rFonts w:ascii="Segoe UI"/>
          <w:color w:val="231F20"/>
          <w:sz w:val="16"/>
        </w:rPr>
        <w:t>Economic</w:t>
      </w:r>
      <w:r>
        <w:rPr>
          <w:rFonts w:ascii="Segoe UI"/>
          <w:color w:val="231F20"/>
          <w:spacing w:val="-5"/>
          <w:sz w:val="16"/>
        </w:rPr>
        <w:t> </w:t>
      </w:r>
      <w:r>
        <w:rPr>
          <w:rFonts w:ascii="Segoe UI"/>
          <w:color w:val="231F20"/>
          <w:spacing w:val="-2"/>
          <w:sz w:val="16"/>
        </w:rPr>
        <w:t>Policy</w:t>
      </w:r>
      <w:r>
        <w:rPr>
          <w:rFonts w:ascii="Segoe UI"/>
          <w:color w:val="231F20"/>
          <w:spacing w:val="-6"/>
          <w:sz w:val="16"/>
        </w:rPr>
        <w:t> </w:t>
      </w:r>
      <w:r>
        <w:rPr>
          <w:rFonts w:ascii="Segoe UI"/>
          <w:color w:val="231F20"/>
          <w:spacing w:val="-1"/>
          <w:sz w:val="16"/>
        </w:rPr>
        <w:t>Research</w:t>
      </w:r>
      <w:r>
        <w:rPr>
          <w:rFonts w:ascii="Segoe UI"/>
          <w:color w:val="231F20"/>
          <w:spacing w:val="-5"/>
          <w:sz w:val="16"/>
        </w:rPr>
        <w:t> </w:t>
      </w:r>
      <w:r>
        <w:rPr>
          <w:rFonts w:ascii="Segoe UI"/>
          <w:color w:val="231F20"/>
          <w:sz w:val="16"/>
        </w:rPr>
        <w:t>for</w:t>
      </w:r>
      <w:r>
        <w:rPr>
          <w:rFonts w:ascii="Segoe UI"/>
          <w:color w:val="231F20"/>
          <w:spacing w:val="30"/>
          <w:w w:val="99"/>
          <w:sz w:val="16"/>
        </w:rPr>
        <w:t> </w:t>
      </w:r>
      <w:r>
        <w:rPr>
          <w:rFonts w:ascii="Segoe UI"/>
          <w:color w:val="231F20"/>
          <w:sz w:val="16"/>
        </w:rPr>
        <w:t>the</w:t>
      </w:r>
      <w:r>
        <w:rPr>
          <w:rFonts w:ascii="Segoe UI"/>
          <w:color w:val="231F20"/>
          <w:spacing w:val="-5"/>
          <w:sz w:val="16"/>
        </w:rPr>
        <w:t> </w:t>
      </w:r>
      <w:r>
        <w:rPr>
          <w:rFonts w:ascii="Segoe UI"/>
          <w:color w:val="231F20"/>
          <w:spacing w:val="-1"/>
          <w:sz w:val="16"/>
        </w:rPr>
        <w:t>Independent</w:t>
      </w:r>
      <w:r>
        <w:rPr>
          <w:rFonts w:ascii="Segoe UI"/>
          <w:color w:val="231F20"/>
          <w:spacing w:val="-3"/>
          <w:sz w:val="16"/>
        </w:rPr>
        <w:t> </w:t>
      </w:r>
      <w:r>
        <w:rPr>
          <w:rFonts w:ascii="Segoe UI"/>
          <w:color w:val="231F20"/>
          <w:spacing w:val="-1"/>
          <w:sz w:val="16"/>
        </w:rPr>
        <w:t>Schools</w:t>
      </w:r>
      <w:r>
        <w:rPr>
          <w:rFonts w:ascii="Segoe UI"/>
          <w:color w:val="231F20"/>
          <w:spacing w:val="-3"/>
          <w:sz w:val="16"/>
        </w:rPr>
        <w:t> </w:t>
      </w:r>
      <w:r>
        <w:rPr>
          <w:rFonts w:ascii="Segoe UI"/>
          <w:color w:val="231F20"/>
          <w:spacing w:val="-1"/>
          <w:sz w:val="16"/>
        </w:rPr>
        <w:t>Council</w:t>
      </w:r>
      <w:r>
        <w:rPr>
          <w:rFonts w:ascii="Segoe UI"/>
          <w:color w:val="231F20"/>
          <w:spacing w:val="-3"/>
          <w:sz w:val="16"/>
        </w:rPr>
        <w:t> </w:t>
      </w:r>
      <w:r>
        <w:rPr>
          <w:rFonts w:ascii="Segoe UI"/>
          <w:color w:val="231F20"/>
          <w:sz w:val="16"/>
        </w:rPr>
        <w:t>of</w:t>
      </w:r>
      <w:r>
        <w:rPr>
          <w:rFonts w:ascii="Segoe UI"/>
          <w:color w:val="231F20"/>
          <w:spacing w:val="-3"/>
          <w:sz w:val="16"/>
        </w:rPr>
        <w:t> </w:t>
      </w:r>
      <w:r>
        <w:rPr>
          <w:rFonts w:ascii="Segoe UI"/>
          <w:color w:val="231F20"/>
          <w:sz w:val="16"/>
        </w:rPr>
        <w:t>Australia,</w:t>
      </w:r>
      <w:r>
        <w:rPr>
          <w:rFonts w:ascii="Segoe UI"/>
          <w:color w:val="231F20"/>
          <w:spacing w:val="-4"/>
          <w:sz w:val="16"/>
        </w:rPr>
        <w:t> </w:t>
      </w:r>
      <w:r>
        <w:rPr>
          <w:rFonts w:ascii="Segoe UI"/>
          <w:color w:val="231F20"/>
          <w:sz w:val="16"/>
        </w:rPr>
        <w:t>2017</w:t>
      </w:r>
      <w:r>
        <w:rPr>
          <w:rFonts w:ascii="Segoe UI"/>
          <w:sz w:val="16"/>
        </w:rPr>
      </w:r>
    </w:p>
    <w:p>
      <w:pPr>
        <w:numPr>
          <w:ilvl w:val="0"/>
          <w:numId w:val="13"/>
        </w:numPr>
        <w:tabs>
          <w:tab w:pos="671" w:val="left" w:leader="none"/>
        </w:tabs>
        <w:spacing w:line="200" w:lineRule="exact" w:before="113"/>
        <w:ind w:left="670" w:right="708" w:hanging="567"/>
        <w:jc w:val="left"/>
        <w:rPr>
          <w:rFonts w:ascii="Segoe UI" w:hAnsi="Segoe UI" w:cs="Segoe UI" w:eastAsia="Segoe UI"/>
          <w:sz w:val="16"/>
          <w:szCs w:val="16"/>
        </w:rPr>
      </w:pPr>
      <w:r>
        <w:rPr>
          <w:rFonts w:ascii="Segoe UI" w:hAnsi="Segoe UI" w:cs="Segoe UI" w:eastAsia="Segoe UI"/>
          <w:color w:val="231F20"/>
          <w:spacing w:val="-1"/>
          <w:sz w:val="16"/>
          <w:szCs w:val="16"/>
        </w:rPr>
        <w:t>Consultation—boarding</w:t>
      </w:r>
      <w:r>
        <w:rPr>
          <w:rFonts w:ascii="Segoe UI" w:hAnsi="Segoe UI" w:cs="Segoe UI" w:eastAsia="Segoe UI"/>
          <w:color w:val="231F20"/>
          <w:spacing w:val="-14"/>
          <w:sz w:val="16"/>
          <w:szCs w:val="16"/>
        </w:rPr>
        <w:t> </w:t>
      </w:r>
      <w:r>
        <w:rPr>
          <w:rFonts w:ascii="Segoe UI" w:hAnsi="Segoe UI" w:cs="Segoe UI" w:eastAsia="Segoe UI"/>
          <w:color w:val="231F20"/>
          <w:spacing w:val="-1"/>
          <w:sz w:val="16"/>
          <w:szCs w:val="16"/>
        </w:rPr>
        <w:t>provider,</w:t>
      </w:r>
      <w:r>
        <w:rPr>
          <w:rFonts w:ascii="Segoe UI" w:hAnsi="Segoe UI" w:cs="Segoe UI" w:eastAsia="Segoe UI"/>
          <w:color w:val="231F20"/>
          <w:spacing w:val="-15"/>
          <w:sz w:val="16"/>
          <w:szCs w:val="16"/>
        </w:rPr>
        <w:t> </w:t>
      </w:r>
      <w:r>
        <w:rPr>
          <w:rFonts w:ascii="Segoe UI" w:hAnsi="Segoe UI" w:cs="Segoe UI" w:eastAsia="Segoe UI"/>
          <w:color w:val="231F20"/>
          <w:sz w:val="16"/>
          <w:szCs w:val="16"/>
        </w:rPr>
        <w:t>Northern</w:t>
      </w:r>
      <w:r>
        <w:rPr>
          <w:rFonts w:ascii="Segoe UI" w:hAnsi="Segoe UI" w:cs="Segoe UI" w:eastAsia="Segoe UI"/>
          <w:color w:val="231F20"/>
          <w:spacing w:val="26"/>
          <w:w w:val="99"/>
          <w:sz w:val="16"/>
          <w:szCs w:val="16"/>
        </w:rPr>
        <w:t> </w:t>
      </w:r>
      <w:r>
        <w:rPr>
          <w:rFonts w:ascii="Segoe UI" w:hAnsi="Segoe UI" w:cs="Segoe UI" w:eastAsia="Segoe UI"/>
          <w:color w:val="231F20"/>
          <w:spacing w:val="-2"/>
          <w:sz w:val="16"/>
          <w:szCs w:val="16"/>
        </w:rPr>
        <w:t>Territory</w:t>
      </w:r>
      <w:r>
        <w:rPr>
          <w:rFonts w:ascii="Segoe UI" w:hAnsi="Segoe UI" w:cs="Segoe UI" w:eastAsia="Segoe UI"/>
          <w:sz w:val="16"/>
          <w:szCs w:val="16"/>
        </w:rPr>
      </w:r>
    </w:p>
    <w:p>
      <w:pPr>
        <w:numPr>
          <w:ilvl w:val="0"/>
          <w:numId w:val="13"/>
        </w:numPr>
        <w:tabs>
          <w:tab w:pos="671" w:val="left" w:leader="none"/>
        </w:tabs>
        <w:spacing w:line="206" w:lineRule="exact" w:before="100"/>
        <w:ind w:left="670" w:right="0" w:hanging="567"/>
        <w:jc w:val="left"/>
        <w:rPr>
          <w:rFonts w:ascii="Segoe UI" w:hAnsi="Segoe UI" w:cs="Segoe UI" w:eastAsia="Segoe UI"/>
          <w:sz w:val="16"/>
          <w:szCs w:val="16"/>
        </w:rPr>
      </w:pPr>
      <w:r>
        <w:rPr>
          <w:rFonts w:ascii="Segoe UI"/>
          <w:color w:val="231F20"/>
          <w:sz w:val="16"/>
        </w:rPr>
        <w:t>The</w:t>
      </w:r>
      <w:r>
        <w:rPr>
          <w:rFonts w:ascii="Segoe UI"/>
          <w:color w:val="231F20"/>
          <w:spacing w:val="-2"/>
          <w:sz w:val="16"/>
        </w:rPr>
        <w:t> </w:t>
      </w:r>
      <w:r>
        <w:rPr>
          <w:rFonts w:ascii="Segoe UI"/>
          <w:color w:val="231F20"/>
          <w:sz w:val="16"/>
        </w:rPr>
        <w:t>ABSTUDY</w:t>
      </w:r>
      <w:r>
        <w:rPr>
          <w:rFonts w:ascii="Segoe UI"/>
          <w:color w:val="231F20"/>
          <w:spacing w:val="-1"/>
          <w:sz w:val="16"/>
        </w:rPr>
        <w:t> </w:t>
      </w:r>
      <w:r>
        <w:rPr>
          <w:rFonts w:ascii="Segoe UI"/>
          <w:color w:val="231F20"/>
          <w:sz w:val="16"/>
        </w:rPr>
        <w:t>policy</w:t>
      </w:r>
      <w:r>
        <w:rPr>
          <w:rFonts w:ascii="Segoe UI"/>
          <w:color w:val="231F20"/>
          <w:spacing w:val="-3"/>
          <w:sz w:val="16"/>
        </w:rPr>
        <w:t> </w:t>
      </w:r>
      <w:r>
        <w:rPr>
          <w:rFonts w:ascii="Segoe UI"/>
          <w:color w:val="231F20"/>
          <w:spacing w:val="-1"/>
          <w:sz w:val="16"/>
        </w:rPr>
        <w:t>manual is</w:t>
      </w:r>
      <w:r>
        <w:rPr>
          <w:rFonts w:ascii="Segoe UI"/>
          <w:color w:val="231F20"/>
          <w:spacing w:val="-3"/>
          <w:sz w:val="16"/>
        </w:rPr>
        <w:t> </w:t>
      </w:r>
      <w:r>
        <w:rPr>
          <w:rFonts w:ascii="Segoe UI"/>
          <w:color w:val="231F20"/>
          <w:sz w:val="16"/>
        </w:rPr>
        <w:t>complex</w:t>
      </w:r>
      <w:r>
        <w:rPr>
          <w:rFonts w:ascii="Segoe UI"/>
          <w:color w:val="231F20"/>
          <w:spacing w:val="-2"/>
          <w:sz w:val="16"/>
        </w:rPr>
        <w:t> </w:t>
      </w:r>
      <w:r>
        <w:rPr>
          <w:rFonts w:ascii="Segoe UI"/>
          <w:color w:val="231F20"/>
          <w:sz w:val="16"/>
        </w:rPr>
        <w:t>and</w:t>
      </w:r>
      <w:r>
        <w:rPr>
          <w:rFonts w:ascii="Segoe UI"/>
          <w:color w:val="231F20"/>
          <w:spacing w:val="-3"/>
          <w:sz w:val="16"/>
        </w:rPr>
        <w:t> </w:t>
      </w:r>
      <w:r>
        <w:rPr>
          <w:rFonts w:ascii="Segoe UI"/>
          <w:color w:val="231F20"/>
          <w:sz w:val="16"/>
        </w:rPr>
        <w:t>at</w:t>
      </w:r>
      <w:r>
        <w:rPr>
          <w:rFonts w:ascii="Segoe UI"/>
          <w:color w:val="231F20"/>
          <w:spacing w:val="-1"/>
          <w:sz w:val="16"/>
        </w:rPr>
        <w:t> 404</w:t>
      </w:r>
      <w:r>
        <w:rPr>
          <w:rFonts w:ascii="Segoe UI"/>
          <w:sz w:val="16"/>
        </w:rPr>
      </w:r>
    </w:p>
    <w:p>
      <w:pPr>
        <w:spacing w:line="206" w:lineRule="exact" w:before="0"/>
        <w:ind w:left="670" w:right="0" w:firstLine="0"/>
        <w:jc w:val="left"/>
        <w:rPr>
          <w:rFonts w:ascii="Segoe UI" w:hAnsi="Segoe UI" w:cs="Segoe UI" w:eastAsia="Segoe UI"/>
          <w:sz w:val="16"/>
          <w:szCs w:val="16"/>
        </w:rPr>
      </w:pPr>
      <w:r>
        <w:rPr>
          <w:rFonts w:ascii="Segoe UI"/>
          <w:color w:val="231F20"/>
          <w:sz w:val="16"/>
        </w:rPr>
        <w:t>pages in length difficult to read</w:t>
      </w:r>
      <w:r>
        <w:rPr>
          <w:rFonts w:ascii="Segoe UI"/>
          <w:sz w:val="16"/>
        </w:rPr>
      </w:r>
    </w:p>
    <w:p>
      <w:pPr>
        <w:numPr>
          <w:ilvl w:val="0"/>
          <w:numId w:val="13"/>
        </w:numPr>
        <w:tabs>
          <w:tab w:pos="671" w:val="left" w:leader="none"/>
        </w:tabs>
        <w:spacing w:line="200" w:lineRule="exact" w:before="113"/>
        <w:ind w:left="670" w:right="635" w:hanging="567"/>
        <w:jc w:val="left"/>
        <w:rPr>
          <w:rFonts w:ascii="Segoe UI" w:hAnsi="Segoe UI" w:cs="Segoe UI" w:eastAsia="Segoe UI"/>
          <w:sz w:val="16"/>
          <w:szCs w:val="16"/>
        </w:rPr>
      </w:pPr>
      <w:r>
        <w:rPr>
          <w:rFonts w:ascii="Segoe UI"/>
          <w:color w:val="231F20"/>
          <w:sz w:val="16"/>
        </w:rPr>
        <w:t>ABSTUDY</w:t>
      </w:r>
      <w:r>
        <w:rPr>
          <w:rFonts w:ascii="Segoe UI"/>
          <w:color w:val="231F20"/>
          <w:spacing w:val="-4"/>
          <w:sz w:val="16"/>
        </w:rPr>
        <w:t> </w:t>
      </w:r>
      <w:r>
        <w:rPr>
          <w:rFonts w:ascii="Segoe UI"/>
          <w:color w:val="231F20"/>
          <w:sz w:val="16"/>
        </w:rPr>
        <w:t>fare</w:t>
      </w:r>
      <w:r>
        <w:rPr>
          <w:rFonts w:ascii="Segoe UI"/>
          <w:color w:val="231F20"/>
          <w:spacing w:val="-4"/>
          <w:sz w:val="16"/>
        </w:rPr>
        <w:t> </w:t>
      </w:r>
      <w:r>
        <w:rPr>
          <w:rFonts w:ascii="Segoe UI"/>
          <w:color w:val="231F20"/>
          <w:sz w:val="16"/>
        </w:rPr>
        <w:t>allowance</w:t>
      </w:r>
      <w:r>
        <w:rPr>
          <w:rFonts w:ascii="Segoe UI"/>
          <w:color w:val="231F20"/>
          <w:spacing w:val="-4"/>
          <w:sz w:val="16"/>
        </w:rPr>
        <w:t> </w:t>
      </w:r>
      <w:r>
        <w:rPr>
          <w:rFonts w:ascii="Segoe UI"/>
          <w:color w:val="231F20"/>
          <w:spacing w:val="-1"/>
          <w:sz w:val="16"/>
        </w:rPr>
        <w:t>is</w:t>
      </w:r>
      <w:r>
        <w:rPr>
          <w:rFonts w:ascii="Segoe UI"/>
          <w:color w:val="231F20"/>
          <w:spacing w:val="-4"/>
          <w:sz w:val="16"/>
        </w:rPr>
        <w:t> </w:t>
      </w:r>
      <w:r>
        <w:rPr>
          <w:rFonts w:ascii="Segoe UI"/>
          <w:color w:val="231F20"/>
          <w:spacing w:val="-1"/>
          <w:sz w:val="16"/>
        </w:rPr>
        <w:t>only</w:t>
      </w:r>
      <w:r>
        <w:rPr>
          <w:rFonts w:ascii="Segoe UI"/>
          <w:color w:val="231F20"/>
          <w:spacing w:val="-5"/>
          <w:sz w:val="16"/>
        </w:rPr>
        <w:t> </w:t>
      </w:r>
      <w:r>
        <w:rPr>
          <w:rFonts w:ascii="Segoe UI"/>
          <w:color w:val="231F20"/>
          <w:sz w:val="16"/>
        </w:rPr>
        <w:t>available</w:t>
      </w:r>
      <w:r>
        <w:rPr>
          <w:rFonts w:ascii="Segoe UI"/>
          <w:color w:val="231F20"/>
          <w:spacing w:val="-4"/>
          <w:sz w:val="16"/>
        </w:rPr>
        <w:t> </w:t>
      </w:r>
      <w:r>
        <w:rPr>
          <w:rFonts w:ascii="Segoe UI"/>
          <w:color w:val="231F20"/>
          <w:sz w:val="16"/>
        </w:rPr>
        <w:t>for</w:t>
      </w:r>
      <w:r>
        <w:rPr>
          <w:rFonts w:ascii="Segoe UI"/>
          <w:color w:val="231F20"/>
          <w:spacing w:val="24"/>
          <w:w w:val="99"/>
          <w:sz w:val="16"/>
        </w:rPr>
        <w:t> </w:t>
      </w:r>
      <w:r>
        <w:rPr>
          <w:rFonts w:ascii="Segoe UI"/>
          <w:color w:val="231F20"/>
          <w:sz w:val="16"/>
        </w:rPr>
        <w:t>expulsions</w:t>
      </w:r>
      <w:r>
        <w:rPr>
          <w:rFonts w:ascii="Segoe UI"/>
          <w:sz w:val="16"/>
        </w:rPr>
      </w:r>
    </w:p>
    <w:p>
      <w:pPr>
        <w:numPr>
          <w:ilvl w:val="0"/>
          <w:numId w:val="13"/>
        </w:numPr>
        <w:tabs>
          <w:tab w:pos="671" w:val="left" w:leader="none"/>
        </w:tabs>
        <w:spacing w:line="200" w:lineRule="exact" w:before="113"/>
        <w:ind w:left="670" w:right="307" w:hanging="567"/>
        <w:jc w:val="left"/>
        <w:rPr>
          <w:rFonts w:ascii="Segoe UI" w:hAnsi="Segoe UI" w:cs="Segoe UI" w:eastAsia="Segoe UI"/>
          <w:sz w:val="16"/>
          <w:szCs w:val="16"/>
        </w:rPr>
      </w:pPr>
      <w:r>
        <w:rPr>
          <w:rFonts w:ascii="Segoe UI" w:hAnsi="Segoe UI" w:cs="Segoe UI" w:eastAsia="Segoe UI"/>
          <w:color w:val="231F20"/>
          <w:spacing w:val="-1"/>
          <w:sz w:val="16"/>
          <w:szCs w:val="16"/>
        </w:rPr>
        <w:t>Commonwealth</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Budget</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2018-19,</w:t>
      </w:r>
      <w:r>
        <w:rPr>
          <w:rFonts w:ascii="Segoe UI" w:hAnsi="Segoe UI" w:cs="Segoe UI" w:eastAsia="Segoe UI"/>
          <w:color w:val="231F20"/>
          <w:spacing w:val="-4"/>
          <w:sz w:val="16"/>
          <w:szCs w:val="16"/>
        </w:rPr>
        <w:t> </w:t>
      </w:r>
      <w:r>
        <w:rPr>
          <w:rFonts w:ascii="Segoe UI" w:hAnsi="Segoe UI" w:cs="Segoe UI" w:eastAsia="Segoe UI"/>
          <w:i/>
          <w:color w:val="231F20"/>
          <w:spacing w:val="-1"/>
          <w:sz w:val="16"/>
          <w:szCs w:val="16"/>
        </w:rPr>
        <w:t>50</w:t>
      </w:r>
      <w:r>
        <w:rPr>
          <w:rFonts w:ascii="Segoe UI" w:hAnsi="Segoe UI" w:cs="Segoe UI" w:eastAsia="Segoe UI"/>
          <w:i/>
          <w:color w:val="231F20"/>
          <w:spacing w:val="-4"/>
          <w:sz w:val="16"/>
          <w:szCs w:val="16"/>
        </w:rPr>
        <w:t> </w:t>
      </w:r>
      <w:r>
        <w:rPr>
          <w:rFonts w:ascii="Segoe UI" w:hAnsi="Segoe UI" w:cs="Segoe UI" w:eastAsia="Segoe UI"/>
          <w:i/>
          <w:color w:val="231F20"/>
          <w:sz w:val="16"/>
          <w:szCs w:val="16"/>
        </w:rPr>
        <w:t>years</w:t>
      </w:r>
      <w:r>
        <w:rPr>
          <w:rFonts w:ascii="Segoe UI" w:hAnsi="Segoe UI" w:cs="Segoe UI" w:eastAsia="Segoe UI"/>
          <w:i/>
          <w:color w:val="231F20"/>
          <w:spacing w:val="-4"/>
          <w:sz w:val="16"/>
          <w:szCs w:val="16"/>
        </w:rPr>
        <w:t> </w:t>
      </w:r>
      <w:r>
        <w:rPr>
          <w:rFonts w:ascii="Segoe UI" w:hAnsi="Segoe UI" w:cs="Segoe UI" w:eastAsia="Segoe UI"/>
          <w:i/>
          <w:color w:val="231F20"/>
          <w:spacing w:val="-2"/>
          <w:sz w:val="16"/>
          <w:szCs w:val="16"/>
        </w:rPr>
        <w:t>of</w:t>
      </w:r>
      <w:r>
        <w:rPr>
          <w:rFonts w:ascii="Segoe UI" w:hAnsi="Segoe UI" w:cs="Segoe UI" w:eastAsia="Segoe UI"/>
          <w:i/>
          <w:color w:val="231F20"/>
          <w:spacing w:val="27"/>
          <w:w w:val="99"/>
          <w:sz w:val="16"/>
          <w:szCs w:val="16"/>
        </w:rPr>
        <w:t> </w:t>
      </w:r>
      <w:r>
        <w:rPr>
          <w:rFonts w:ascii="Segoe UI" w:hAnsi="Segoe UI" w:cs="Segoe UI" w:eastAsia="Segoe UI"/>
          <w:i/>
          <w:color w:val="231F20"/>
          <w:spacing w:val="-1"/>
          <w:sz w:val="16"/>
          <w:szCs w:val="16"/>
        </w:rPr>
        <w:t>ABSTUDY—strengthening</w:t>
      </w:r>
      <w:r>
        <w:rPr>
          <w:rFonts w:ascii="Segoe UI" w:hAnsi="Segoe UI" w:cs="Segoe UI" w:eastAsia="Segoe UI"/>
          <w:i/>
          <w:color w:val="231F20"/>
          <w:spacing w:val="-9"/>
          <w:sz w:val="16"/>
          <w:szCs w:val="16"/>
        </w:rPr>
        <w:t> </w:t>
      </w:r>
      <w:r>
        <w:rPr>
          <w:rFonts w:ascii="Segoe UI" w:hAnsi="Segoe UI" w:cs="Segoe UI" w:eastAsia="Segoe UI"/>
          <w:i/>
          <w:color w:val="231F20"/>
          <w:spacing w:val="-1"/>
          <w:sz w:val="16"/>
          <w:szCs w:val="16"/>
        </w:rPr>
        <w:t>ABSTUDY</w:t>
      </w:r>
      <w:r>
        <w:rPr>
          <w:rFonts w:ascii="Segoe UI" w:hAnsi="Segoe UI" w:cs="Segoe UI" w:eastAsia="Segoe UI"/>
          <w:i/>
          <w:color w:val="231F20"/>
          <w:spacing w:val="-8"/>
          <w:sz w:val="16"/>
          <w:szCs w:val="16"/>
        </w:rPr>
        <w:t> </w:t>
      </w:r>
      <w:r>
        <w:rPr>
          <w:rFonts w:ascii="Segoe UI" w:hAnsi="Segoe UI" w:cs="Segoe UI" w:eastAsia="Segoe UI"/>
          <w:i/>
          <w:color w:val="231F20"/>
          <w:sz w:val="16"/>
          <w:szCs w:val="16"/>
        </w:rPr>
        <w:t>for</w:t>
      </w:r>
      <w:r>
        <w:rPr>
          <w:rFonts w:ascii="Segoe UI" w:hAnsi="Segoe UI" w:cs="Segoe UI" w:eastAsia="Segoe UI"/>
          <w:i/>
          <w:color w:val="231F20"/>
          <w:spacing w:val="-8"/>
          <w:sz w:val="16"/>
          <w:szCs w:val="16"/>
        </w:rPr>
        <w:t> </w:t>
      </w:r>
      <w:r>
        <w:rPr>
          <w:rFonts w:ascii="Segoe UI" w:hAnsi="Segoe UI" w:cs="Segoe UI" w:eastAsia="Segoe UI"/>
          <w:i/>
          <w:color w:val="231F20"/>
          <w:spacing w:val="-1"/>
          <w:sz w:val="16"/>
          <w:szCs w:val="16"/>
        </w:rPr>
        <w:t>secondary</w:t>
      </w:r>
      <w:r>
        <w:rPr>
          <w:rFonts w:ascii="Segoe UI" w:hAnsi="Segoe UI" w:cs="Segoe UI" w:eastAsia="Segoe UI"/>
          <w:i/>
          <w:color w:val="231F20"/>
          <w:spacing w:val="29"/>
          <w:w w:val="99"/>
          <w:sz w:val="16"/>
          <w:szCs w:val="16"/>
        </w:rPr>
        <w:t> </w:t>
      </w:r>
      <w:r>
        <w:rPr>
          <w:rFonts w:ascii="Segoe UI" w:hAnsi="Segoe UI" w:cs="Segoe UI" w:eastAsia="Segoe UI"/>
          <w:i/>
          <w:color w:val="231F20"/>
          <w:sz w:val="16"/>
          <w:szCs w:val="16"/>
        </w:rPr>
        <w:t>students</w:t>
      </w:r>
      <w:r>
        <w:rPr>
          <w:rFonts w:ascii="Segoe UI" w:hAnsi="Segoe UI" w:cs="Segoe UI" w:eastAsia="Segoe UI"/>
          <w:sz w:val="16"/>
          <w:szCs w:val="16"/>
        </w:rPr>
      </w:r>
    </w:p>
    <w:p>
      <w:pPr>
        <w:numPr>
          <w:ilvl w:val="0"/>
          <w:numId w:val="13"/>
        </w:numPr>
        <w:tabs>
          <w:tab w:pos="671" w:val="left" w:leader="none"/>
        </w:tabs>
        <w:spacing w:line="200" w:lineRule="exact" w:before="113"/>
        <w:ind w:left="670" w:right="180" w:hanging="567"/>
        <w:jc w:val="left"/>
        <w:rPr>
          <w:rFonts w:ascii="Segoe UI" w:hAnsi="Segoe UI" w:cs="Segoe UI" w:eastAsia="Segoe UI"/>
          <w:sz w:val="16"/>
          <w:szCs w:val="16"/>
        </w:rPr>
      </w:pPr>
      <w:r>
        <w:rPr>
          <w:rFonts w:ascii="Segoe UI"/>
          <w:color w:val="231F20"/>
          <w:sz w:val="16"/>
        </w:rPr>
        <w:t>The</w:t>
      </w:r>
      <w:r>
        <w:rPr>
          <w:rFonts w:ascii="Segoe UI"/>
          <w:color w:val="231F20"/>
          <w:spacing w:val="-4"/>
          <w:sz w:val="16"/>
        </w:rPr>
        <w:t> </w:t>
      </w:r>
      <w:r>
        <w:rPr>
          <w:rFonts w:ascii="Segoe UI"/>
          <w:color w:val="231F20"/>
          <w:sz w:val="16"/>
        </w:rPr>
        <w:t>ABSTUDY</w:t>
      </w:r>
      <w:r>
        <w:rPr>
          <w:rFonts w:ascii="Segoe UI"/>
          <w:color w:val="231F20"/>
          <w:spacing w:val="-3"/>
          <w:sz w:val="16"/>
        </w:rPr>
        <w:t> </w:t>
      </w:r>
      <w:r>
        <w:rPr>
          <w:rFonts w:ascii="Segoe UI"/>
          <w:color w:val="231F20"/>
          <w:sz w:val="16"/>
        </w:rPr>
        <w:t>entitlement</w:t>
      </w:r>
      <w:r>
        <w:rPr>
          <w:rFonts w:ascii="Segoe UI"/>
          <w:color w:val="231F20"/>
          <w:spacing w:val="-5"/>
          <w:sz w:val="16"/>
        </w:rPr>
        <w:t> </w:t>
      </w:r>
      <w:r>
        <w:rPr>
          <w:rFonts w:ascii="Segoe UI"/>
          <w:color w:val="231F20"/>
          <w:spacing w:val="-1"/>
          <w:sz w:val="16"/>
        </w:rPr>
        <w:t>increased</w:t>
      </w:r>
      <w:r>
        <w:rPr>
          <w:rFonts w:ascii="Segoe UI"/>
          <w:color w:val="231F20"/>
          <w:spacing w:val="-3"/>
          <w:sz w:val="16"/>
        </w:rPr>
        <w:t> </w:t>
      </w:r>
      <w:r>
        <w:rPr>
          <w:rFonts w:ascii="Segoe UI"/>
          <w:color w:val="231F20"/>
          <w:spacing w:val="-1"/>
          <w:sz w:val="16"/>
        </w:rPr>
        <w:t>slightly</w:t>
      </w:r>
      <w:r>
        <w:rPr>
          <w:rFonts w:ascii="Segoe UI"/>
          <w:color w:val="231F20"/>
          <w:spacing w:val="-4"/>
          <w:sz w:val="16"/>
        </w:rPr>
        <w:t> </w:t>
      </w:r>
      <w:r>
        <w:rPr>
          <w:rFonts w:ascii="Segoe UI"/>
          <w:color w:val="231F20"/>
          <w:spacing w:val="-1"/>
          <w:sz w:val="16"/>
        </w:rPr>
        <w:t>in</w:t>
      </w:r>
      <w:r>
        <w:rPr>
          <w:rFonts w:ascii="Segoe UI"/>
          <w:color w:val="231F20"/>
          <w:spacing w:val="22"/>
          <w:sz w:val="16"/>
        </w:rPr>
        <w:t> </w:t>
      </w:r>
      <w:r>
        <w:rPr>
          <w:rFonts w:ascii="Segoe UI"/>
          <w:color w:val="231F20"/>
          <w:sz w:val="16"/>
        </w:rPr>
        <w:t>March</w:t>
      </w:r>
      <w:r>
        <w:rPr>
          <w:rFonts w:ascii="Segoe UI"/>
          <w:color w:val="231F20"/>
          <w:spacing w:val="-3"/>
          <w:sz w:val="16"/>
        </w:rPr>
        <w:t> </w:t>
      </w:r>
      <w:r>
        <w:rPr>
          <w:rFonts w:ascii="Segoe UI"/>
          <w:color w:val="231F20"/>
          <w:spacing w:val="-1"/>
          <w:sz w:val="16"/>
        </w:rPr>
        <w:t>2019</w:t>
      </w:r>
      <w:r>
        <w:rPr>
          <w:rFonts w:ascii="Segoe UI"/>
          <w:color w:val="231F20"/>
          <w:spacing w:val="-3"/>
          <w:sz w:val="16"/>
        </w:rPr>
        <w:t> </w:t>
      </w:r>
      <w:r>
        <w:rPr>
          <w:rFonts w:ascii="Segoe UI"/>
          <w:color w:val="231F20"/>
          <w:sz w:val="16"/>
        </w:rPr>
        <w:t>as</w:t>
      </w:r>
      <w:r>
        <w:rPr>
          <w:rFonts w:ascii="Segoe UI"/>
          <w:color w:val="231F20"/>
          <w:spacing w:val="-3"/>
          <w:sz w:val="16"/>
        </w:rPr>
        <w:t> </w:t>
      </w:r>
      <w:r>
        <w:rPr>
          <w:rFonts w:ascii="Segoe UI"/>
          <w:color w:val="231F20"/>
          <w:sz w:val="16"/>
        </w:rPr>
        <w:t>a</w:t>
      </w:r>
      <w:r>
        <w:rPr>
          <w:rFonts w:ascii="Segoe UI"/>
          <w:color w:val="231F20"/>
          <w:spacing w:val="-3"/>
          <w:sz w:val="16"/>
        </w:rPr>
        <w:t> </w:t>
      </w:r>
      <w:r>
        <w:rPr>
          <w:rFonts w:ascii="Segoe UI"/>
          <w:color w:val="231F20"/>
          <w:sz w:val="16"/>
        </w:rPr>
        <w:t>result</w:t>
      </w:r>
      <w:r>
        <w:rPr>
          <w:rFonts w:ascii="Segoe UI"/>
          <w:color w:val="231F20"/>
          <w:spacing w:val="-3"/>
          <w:sz w:val="16"/>
        </w:rPr>
        <w:t> </w:t>
      </w:r>
      <w:r>
        <w:rPr>
          <w:rFonts w:ascii="Segoe UI"/>
          <w:color w:val="231F20"/>
          <w:sz w:val="16"/>
        </w:rPr>
        <w:t>of</w:t>
      </w:r>
      <w:r>
        <w:rPr>
          <w:rFonts w:ascii="Segoe UI"/>
          <w:color w:val="231F20"/>
          <w:spacing w:val="-3"/>
          <w:sz w:val="16"/>
        </w:rPr>
        <w:t> </w:t>
      </w:r>
      <w:r>
        <w:rPr>
          <w:rFonts w:ascii="Segoe UI"/>
          <w:color w:val="231F20"/>
          <w:sz w:val="16"/>
        </w:rPr>
        <w:t>an</w:t>
      </w:r>
      <w:r>
        <w:rPr>
          <w:rFonts w:ascii="Segoe UI"/>
          <w:color w:val="231F20"/>
          <w:spacing w:val="-3"/>
          <w:sz w:val="16"/>
        </w:rPr>
        <w:t> </w:t>
      </w:r>
      <w:r>
        <w:rPr>
          <w:rFonts w:ascii="Segoe UI"/>
          <w:color w:val="231F20"/>
          <w:spacing w:val="-1"/>
          <w:sz w:val="16"/>
        </w:rPr>
        <w:t>increase</w:t>
      </w:r>
      <w:r>
        <w:rPr>
          <w:rFonts w:ascii="Segoe UI"/>
          <w:color w:val="231F20"/>
          <w:spacing w:val="-3"/>
          <w:sz w:val="16"/>
        </w:rPr>
        <w:t> </w:t>
      </w:r>
      <w:r>
        <w:rPr>
          <w:rFonts w:ascii="Segoe UI"/>
          <w:color w:val="231F20"/>
          <w:spacing w:val="-1"/>
          <w:sz w:val="16"/>
        </w:rPr>
        <w:t>in</w:t>
      </w:r>
      <w:r>
        <w:rPr>
          <w:rFonts w:ascii="Segoe UI"/>
          <w:color w:val="231F20"/>
          <w:spacing w:val="-2"/>
          <w:sz w:val="16"/>
        </w:rPr>
        <w:t> </w:t>
      </w:r>
      <w:r>
        <w:rPr>
          <w:rFonts w:ascii="Segoe UI"/>
          <w:color w:val="231F20"/>
          <w:sz w:val="16"/>
        </w:rPr>
        <w:t>the</w:t>
      </w:r>
      <w:r>
        <w:rPr>
          <w:rFonts w:ascii="Segoe UI"/>
          <w:color w:val="231F20"/>
          <w:spacing w:val="-4"/>
          <w:sz w:val="16"/>
        </w:rPr>
        <w:t> </w:t>
      </w:r>
      <w:r>
        <w:rPr>
          <w:rFonts w:ascii="Segoe UI"/>
          <w:color w:val="231F20"/>
          <w:sz w:val="16"/>
        </w:rPr>
        <w:t>Energy</w:t>
      </w:r>
      <w:r>
        <w:rPr>
          <w:rFonts w:ascii="Segoe UI"/>
          <w:color w:val="231F20"/>
          <w:spacing w:val="24"/>
          <w:w w:val="99"/>
          <w:sz w:val="16"/>
        </w:rPr>
        <w:t> </w:t>
      </w:r>
      <w:r>
        <w:rPr>
          <w:rFonts w:ascii="Segoe UI"/>
          <w:color w:val="231F20"/>
          <w:spacing w:val="-1"/>
          <w:sz w:val="16"/>
        </w:rPr>
        <w:t>Supplement</w:t>
      </w:r>
      <w:r>
        <w:rPr>
          <w:rFonts w:ascii="Segoe UI"/>
          <w:sz w:val="16"/>
        </w:rPr>
      </w:r>
    </w:p>
    <w:p>
      <w:pPr>
        <w:numPr>
          <w:ilvl w:val="0"/>
          <w:numId w:val="13"/>
        </w:numPr>
        <w:tabs>
          <w:tab w:pos="671" w:val="left" w:leader="none"/>
        </w:tabs>
        <w:spacing w:line="200" w:lineRule="exact" w:before="113"/>
        <w:ind w:left="670" w:right="386" w:hanging="567"/>
        <w:jc w:val="left"/>
        <w:rPr>
          <w:rFonts w:ascii="Segoe UI" w:hAnsi="Segoe UI" w:cs="Segoe UI" w:eastAsia="Segoe UI"/>
          <w:sz w:val="16"/>
          <w:szCs w:val="16"/>
        </w:rPr>
      </w:pPr>
      <w:r>
        <w:rPr>
          <w:rFonts w:ascii="Segoe UI" w:hAnsi="Segoe UI" w:cs="Segoe UI" w:eastAsia="Segoe UI"/>
          <w:color w:val="231F20"/>
          <w:spacing w:val="-2"/>
          <w:sz w:val="16"/>
          <w:szCs w:val="16"/>
        </w:rPr>
        <w:t>Study</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Away</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Review,</w:t>
      </w:r>
      <w:r>
        <w:rPr>
          <w:rFonts w:ascii="Segoe UI" w:hAnsi="Segoe UI" w:cs="Segoe UI" w:eastAsia="Segoe UI"/>
          <w:color w:val="231F20"/>
          <w:spacing w:val="-2"/>
          <w:sz w:val="16"/>
          <w:szCs w:val="16"/>
        </w:rPr>
        <w:t> </w:t>
      </w:r>
      <w:r>
        <w:rPr>
          <w:rFonts w:ascii="Segoe UI" w:hAnsi="Segoe UI" w:cs="Segoe UI" w:eastAsia="Segoe UI"/>
          <w:color w:val="231F20"/>
          <w:sz w:val="16"/>
          <w:szCs w:val="16"/>
        </w:rPr>
        <w:t>pp.</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17-18</w:t>
      </w:r>
      <w:r>
        <w:rPr>
          <w:rFonts w:ascii="Segoe UI" w:hAnsi="Segoe UI" w:cs="Segoe UI" w:eastAsia="Segoe UI"/>
          <w:color w:val="231F20"/>
          <w:spacing w:val="-2"/>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4"/>
          <w:sz w:val="16"/>
          <w:szCs w:val="16"/>
        </w:rPr>
        <w:t> </w:t>
      </w:r>
      <w:r>
        <w:rPr>
          <w:rFonts w:ascii="Segoe UI" w:hAnsi="Segoe UI" w:cs="Segoe UI" w:eastAsia="Segoe UI"/>
          <w:color w:val="231F20"/>
          <w:sz w:val="16"/>
          <w:szCs w:val="16"/>
        </w:rPr>
        <w:t>A</w:t>
      </w:r>
      <w:r>
        <w:rPr>
          <w:rFonts w:ascii="Segoe UI" w:hAnsi="Segoe UI" w:cs="Segoe UI" w:eastAsia="Segoe UI"/>
          <w:color w:val="231F20"/>
          <w:spacing w:val="-3"/>
          <w:sz w:val="16"/>
          <w:szCs w:val="16"/>
        </w:rPr>
        <w:t> </w:t>
      </w:r>
      <w:r>
        <w:rPr>
          <w:rFonts w:ascii="Segoe UI" w:hAnsi="Segoe UI" w:cs="Segoe UI" w:eastAsia="Segoe UI"/>
          <w:color w:val="231F20"/>
          <w:sz w:val="16"/>
          <w:szCs w:val="16"/>
        </w:rPr>
        <w:t>guide</w:t>
      </w:r>
      <w:r>
        <w:rPr>
          <w:rFonts w:ascii="Segoe UI" w:hAnsi="Segoe UI" w:cs="Segoe UI" w:eastAsia="Segoe UI"/>
          <w:color w:val="231F20"/>
          <w:spacing w:val="-3"/>
          <w:sz w:val="16"/>
          <w:szCs w:val="16"/>
        </w:rPr>
        <w:t> </w:t>
      </w:r>
      <w:r>
        <w:rPr>
          <w:rFonts w:ascii="Segoe UI" w:hAnsi="Segoe UI" w:cs="Segoe UI" w:eastAsia="Segoe UI"/>
          <w:color w:val="231F20"/>
          <w:sz w:val="16"/>
          <w:szCs w:val="16"/>
        </w:rPr>
        <w:t>to</w:t>
      </w:r>
      <w:r>
        <w:rPr>
          <w:rFonts w:ascii="Segoe UI" w:hAnsi="Segoe UI" w:cs="Segoe UI" w:eastAsia="Segoe UI"/>
          <w:color w:val="231F20"/>
          <w:spacing w:val="21"/>
          <w:w w:val="99"/>
          <w:sz w:val="16"/>
          <w:szCs w:val="16"/>
        </w:rPr>
        <w:t> </w:t>
      </w:r>
      <w:r>
        <w:rPr>
          <w:rFonts w:ascii="Segoe UI" w:hAnsi="Segoe UI" w:cs="Segoe UI" w:eastAsia="Segoe UI"/>
          <w:i/>
          <w:color w:val="231F20"/>
          <w:spacing w:val="-1"/>
          <w:sz w:val="16"/>
          <w:szCs w:val="16"/>
        </w:rPr>
        <w:t>Australian</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Government</w:t>
      </w:r>
      <w:r>
        <w:rPr>
          <w:rFonts w:ascii="Segoe UI" w:hAnsi="Segoe UI" w:cs="Segoe UI" w:eastAsia="Segoe UI"/>
          <w:i/>
          <w:color w:val="231F20"/>
          <w:spacing w:val="-3"/>
          <w:sz w:val="16"/>
          <w:szCs w:val="16"/>
        </w:rPr>
        <w:t> </w:t>
      </w:r>
      <w:r>
        <w:rPr>
          <w:rFonts w:ascii="Segoe UI" w:hAnsi="Segoe UI" w:cs="Segoe UI" w:eastAsia="Segoe UI"/>
          <w:i/>
          <w:color w:val="231F20"/>
          <w:sz w:val="16"/>
          <w:szCs w:val="16"/>
        </w:rPr>
        <w:t>payments</w:t>
      </w:r>
      <w:r>
        <w:rPr>
          <w:rFonts w:ascii="Segoe UI" w:hAnsi="Segoe UI" w:cs="Segoe UI" w:eastAsia="Segoe UI"/>
          <w:i/>
          <w:color w:val="231F20"/>
          <w:spacing w:val="-3"/>
          <w:sz w:val="16"/>
          <w:szCs w:val="16"/>
        </w:rPr>
        <w:t> </w:t>
      </w:r>
      <w:r>
        <w:rPr>
          <w:rFonts w:ascii="Segoe UI" w:hAnsi="Segoe UI" w:cs="Segoe UI" w:eastAsia="Segoe UI"/>
          <w:i/>
          <w:color w:val="231F20"/>
          <w:sz w:val="16"/>
          <w:szCs w:val="16"/>
        </w:rPr>
        <w:t>1</w:t>
      </w:r>
      <w:r>
        <w:rPr>
          <w:rFonts w:ascii="Segoe UI" w:hAnsi="Segoe UI" w:cs="Segoe UI" w:eastAsia="Segoe UI"/>
          <w:i/>
          <w:color w:val="231F20"/>
          <w:spacing w:val="-3"/>
          <w:sz w:val="16"/>
          <w:szCs w:val="16"/>
        </w:rPr>
        <w:t> </w:t>
      </w:r>
      <w:r>
        <w:rPr>
          <w:rFonts w:ascii="Segoe UI" w:hAnsi="Segoe UI" w:cs="Segoe UI" w:eastAsia="Segoe UI"/>
          <w:i/>
          <w:color w:val="231F20"/>
          <w:sz w:val="16"/>
          <w:szCs w:val="16"/>
        </w:rPr>
        <w:t>January</w:t>
      </w:r>
      <w:r>
        <w:rPr>
          <w:rFonts w:ascii="Segoe UI" w:hAnsi="Segoe UI" w:cs="Segoe UI" w:eastAsia="Segoe UI"/>
          <w:i/>
          <w:color w:val="231F20"/>
          <w:spacing w:val="-2"/>
          <w:sz w:val="16"/>
          <w:szCs w:val="16"/>
        </w:rPr>
        <w:t> </w:t>
      </w:r>
      <w:r>
        <w:rPr>
          <w:rFonts w:ascii="Segoe UI" w:hAnsi="Segoe UI" w:cs="Segoe UI" w:eastAsia="Segoe UI"/>
          <w:i/>
          <w:color w:val="231F20"/>
          <w:sz w:val="16"/>
          <w:szCs w:val="16"/>
        </w:rPr>
        <w:t>–</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19</w:t>
      </w:r>
      <w:r>
        <w:rPr>
          <w:rFonts w:ascii="Segoe UI" w:hAnsi="Segoe UI" w:cs="Segoe UI" w:eastAsia="Segoe UI"/>
          <w:i/>
          <w:color w:val="231F20"/>
          <w:spacing w:val="32"/>
          <w:sz w:val="16"/>
          <w:szCs w:val="16"/>
        </w:rPr>
        <w:t> </w:t>
      </w:r>
      <w:r>
        <w:rPr>
          <w:rFonts w:ascii="Segoe UI" w:hAnsi="Segoe UI" w:cs="Segoe UI" w:eastAsia="Segoe UI"/>
          <w:i/>
          <w:color w:val="231F20"/>
          <w:spacing w:val="-1"/>
          <w:sz w:val="16"/>
          <w:szCs w:val="16"/>
        </w:rPr>
        <w:t>March</w:t>
      </w:r>
      <w:r>
        <w:rPr>
          <w:rFonts w:ascii="Segoe UI" w:hAnsi="Segoe UI" w:cs="Segoe UI" w:eastAsia="Segoe UI"/>
          <w:i/>
          <w:color w:val="231F20"/>
          <w:spacing w:val="-12"/>
          <w:sz w:val="16"/>
          <w:szCs w:val="16"/>
        </w:rPr>
        <w:t> </w:t>
      </w:r>
      <w:r>
        <w:rPr>
          <w:rFonts w:ascii="Segoe UI" w:hAnsi="Segoe UI" w:cs="Segoe UI" w:eastAsia="Segoe UI"/>
          <w:i/>
          <w:color w:val="231F20"/>
          <w:sz w:val="16"/>
          <w:szCs w:val="16"/>
        </w:rPr>
        <w:t>2019</w:t>
      </w:r>
      <w:r>
        <w:rPr>
          <w:rFonts w:ascii="Segoe UI" w:hAnsi="Segoe UI" w:cs="Segoe UI" w:eastAsia="Segoe UI"/>
          <w:color w:val="231F20"/>
          <w:sz w:val="16"/>
          <w:szCs w:val="16"/>
        </w:rPr>
        <w:t>,</w:t>
      </w:r>
      <w:r>
        <w:rPr>
          <w:rFonts w:ascii="Segoe UI" w:hAnsi="Segoe UI" w:cs="Segoe UI" w:eastAsia="Segoe UI"/>
          <w:color w:val="231F20"/>
          <w:spacing w:val="-11"/>
          <w:sz w:val="16"/>
          <w:szCs w:val="16"/>
        </w:rPr>
        <w:t> </w:t>
      </w:r>
      <w:hyperlink r:id="rId119">
        <w:r>
          <w:rPr>
            <w:rFonts w:ascii="Segoe UI" w:hAnsi="Segoe UI" w:cs="Segoe UI" w:eastAsia="Segoe UI"/>
            <w:color w:val="231F20"/>
            <w:sz w:val="16"/>
            <w:szCs w:val="16"/>
          </w:rPr>
          <w:t>www.humanservices.gov.au</w:t>
        </w:r>
        <w:r>
          <w:rPr>
            <w:rFonts w:ascii="Segoe UI" w:hAnsi="Segoe UI" w:cs="Segoe UI" w:eastAsia="Segoe UI"/>
            <w:sz w:val="16"/>
            <w:szCs w:val="16"/>
          </w:rPr>
        </w:r>
      </w:hyperlink>
    </w:p>
    <w:p>
      <w:pPr>
        <w:numPr>
          <w:ilvl w:val="0"/>
          <w:numId w:val="13"/>
        </w:numPr>
        <w:tabs>
          <w:tab w:pos="671" w:val="left" w:leader="none"/>
        </w:tabs>
        <w:spacing w:line="200" w:lineRule="exact" w:before="113"/>
        <w:ind w:left="670" w:right="233" w:hanging="567"/>
        <w:jc w:val="left"/>
        <w:rPr>
          <w:rFonts w:ascii="Segoe UI" w:hAnsi="Segoe UI" w:cs="Segoe UI" w:eastAsia="Segoe UI"/>
          <w:sz w:val="16"/>
          <w:szCs w:val="16"/>
        </w:rPr>
      </w:pPr>
      <w:r>
        <w:rPr>
          <w:rFonts w:ascii="Segoe UI" w:hAnsi="Segoe UI" w:cs="Segoe UI" w:eastAsia="Segoe UI"/>
          <w:color w:val="231F20"/>
          <w:spacing w:val="-1"/>
          <w:sz w:val="16"/>
          <w:szCs w:val="16"/>
        </w:rPr>
        <w:t>Department</w:t>
      </w:r>
      <w:r>
        <w:rPr>
          <w:rFonts w:ascii="Segoe UI" w:hAnsi="Segoe UI" w:cs="Segoe UI" w:eastAsia="Segoe UI"/>
          <w:color w:val="231F20"/>
          <w:spacing w:val="-4"/>
          <w:sz w:val="16"/>
          <w:szCs w:val="16"/>
        </w:rPr>
        <w:t> </w:t>
      </w:r>
      <w:r>
        <w:rPr>
          <w:rFonts w:ascii="Segoe UI" w:hAnsi="Segoe UI" w:cs="Segoe UI" w:eastAsia="Segoe UI"/>
          <w:color w:val="231F20"/>
          <w:sz w:val="16"/>
          <w:szCs w:val="16"/>
        </w:rPr>
        <w:t>of</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Social</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Services,</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Submission</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67,</w:t>
      </w:r>
      <w:r>
        <w:rPr>
          <w:rFonts w:ascii="Segoe UI" w:hAnsi="Segoe UI" w:cs="Segoe UI" w:eastAsia="Segoe UI"/>
          <w:color w:val="231F20"/>
          <w:spacing w:val="-3"/>
          <w:sz w:val="16"/>
          <w:szCs w:val="16"/>
        </w:rPr>
        <w:t> </w:t>
      </w:r>
      <w:r>
        <w:rPr>
          <w:rFonts w:ascii="Segoe UI" w:hAnsi="Segoe UI" w:cs="Segoe UI" w:eastAsia="Segoe UI"/>
          <w:i/>
          <w:color w:val="231F20"/>
          <w:sz w:val="16"/>
          <w:szCs w:val="16"/>
        </w:rPr>
        <w:t>The</w:t>
      </w:r>
      <w:r>
        <w:rPr>
          <w:rFonts w:ascii="Segoe UI" w:hAnsi="Segoe UI" w:cs="Segoe UI" w:eastAsia="Segoe UI"/>
          <w:i/>
          <w:color w:val="231F20"/>
          <w:spacing w:val="27"/>
          <w:w w:val="99"/>
          <w:sz w:val="16"/>
          <w:szCs w:val="16"/>
        </w:rPr>
        <w:t> </w:t>
      </w:r>
      <w:r>
        <w:rPr>
          <w:rFonts w:ascii="Segoe UI" w:hAnsi="Segoe UI" w:cs="Segoe UI" w:eastAsia="Segoe UI"/>
          <w:i/>
          <w:color w:val="231F20"/>
          <w:spacing w:val="-1"/>
          <w:sz w:val="16"/>
          <w:szCs w:val="16"/>
        </w:rPr>
        <w:t>power</w:t>
      </w:r>
      <w:r>
        <w:rPr>
          <w:rFonts w:ascii="Segoe UI" w:hAnsi="Segoe UI" w:cs="Segoe UI" w:eastAsia="Segoe UI"/>
          <w:i/>
          <w:color w:val="231F20"/>
          <w:spacing w:val="-5"/>
          <w:sz w:val="16"/>
          <w:szCs w:val="16"/>
        </w:rPr>
        <w:t> </w:t>
      </w:r>
      <w:r>
        <w:rPr>
          <w:rFonts w:ascii="Segoe UI" w:hAnsi="Segoe UI" w:cs="Segoe UI" w:eastAsia="Segoe UI"/>
          <w:i/>
          <w:color w:val="231F20"/>
          <w:spacing w:val="-2"/>
          <w:sz w:val="16"/>
          <w:szCs w:val="16"/>
        </w:rPr>
        <w:t>of</w:t>
      </w:r>
      <w:r>
        <w:rPr>
          <w:rFonts w:ascii="Segoe UI" w:hAnsi="Segoe UI" w:cs="Segoe UI" w:eastAsia="Segoe UI"/>
          <w:i/>
          <w:color w:val="231F20"/>
          <w:spacing w:val="-3"/>
          <w:sz w:val="16"/>
          <w:szCs w:val="16"/>
        </w:rPr>
        <w:t> </w:t>
      </w:r>
      <w:r>
        <w:rPr>
          <w:rFonts w:ascii="Segoe UI" w:hAnsi="Segoe UI" w:cs="Segoe UI" w:eastAsia="Segoe UI"/>
          <w:i/>
          <w:color w:val="231F20"/>
          <w:sz w:val="16"/>
          <w:szCs w:val="16"/>
        </w:rPr>
        <w:t>education:</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From</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surviving</w:t>
      </w:r>
      <w:r>
        <w:rPr>
          <w:rFonts w:ascii="Segoe UI" w:hAnsi="Segoe UI" w:cs="Segoe UI" w:eastAsia="Segoe UI"/>
          <w:i/>
          <w:color w:val="231F20"/>
          <w:spacing w:val="-4"/>
          <w:sz w:val="16"/>
          <w:szCs w:val="16"/>
        </w:rPr>
        <w:t> </w:t>
      </w:r>
      <w:r>
        <w:rPr>
          <w:rFonts w:ascii="Segoe UI" w:hAnsi="Segoe UI" w:cs="Segoe UI" w:eastAsia="Segoe UI"/>
          <w:i/>
          <w:color w:val="231F20"/>
          <w:sz w:val="16"/>
          <w:szCs w:val="16"/>
        </w:rPr>
        <w:t>to</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thriving—</w:t>
      </w:r>
      <w:r>
        <w:rPr>
          <w:rFonts w:ascii="Segoe UI" w:hAnsi="Segoe UI" w:cs="Segoe UI" w:eastAsia="Segoe UI"/>
          <w:i/>
          <w:color w:val="231F20"/>
          <w:spacing w:val="41"/>
          <w:w w:val="99"/>
          <w:sz w:val="16"/>
          <w:szCs w:val="16"/>
        </w:rPr>
        <w:t> </w:t>
      </w:r>
      <w:r>
        <w:rPr>
          <w:rFonts w:ascii="Segoe UI" w:hAnsi="Segoe UI" w:cs="Segoe UI" w:eastAsia="Segoe UI"/>
          <w:i/>
          <w:color w:val="231F20"/>
          <w:sz w:val="16"/>
          <w:szCs w:val="16"/>
        </w:rPr>
        <w:t>Educational</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opportunities</w:t>
      </w:r>
      <w:r>
        <w:rPr>
          <w:rFonts w:ascii="Segoe UI" w:hAnsi="Segoe UI" w:cs="Segoe UI" w:eastAsia="Segoe UI"/>
          <w:i/>
          <w:color w:val="231F20"/>
          <w:spacing w:val="-2"/>
          <w:sz w:val="16"/>
          <w:szCs w:val="16"/>
        </w:rPr>
        <w:t> </w:t>
      </w:r>
      <w:r>
        <w:rPr>
          <w:rFonts w:ascii="Segoe UI" w:hAnsi="Segoe UI" w:cs="Segoe UI" w:eastAsia="Segoe UI"/>
          <w:i/>
          <w:color w:val="231F20"/>
          <w:sz w:val="16"/>
          <w:szCs w:val="16"/>
        </w:rPr>
        <w:t>for</w:t>
      </w:r>
      <w:r>
        <w:rPr>
          <w:rFonts w:ascii="Segoe UI" w:hAnsi="Segoe UI" w:cs="Segoe UI" w:eastAsia="Segoe UI"/>
          <w:i/>
          <w:color w:val="231F20"/>
          <w:spacing w:val="-4"/>
          <w:sz w:val="16"/>
          <w:szCs w:val="16"/>
        </w:rPr>
        <w:t> </w:t>
      </w:r>
      <w:r>
        <w:rPr>
          <w:rFonts w:ascii="Segoe UI" w:hAnsi="Segoe UI" w:cs="Segoe UI" w:eastAsia="Segoe UI"/>
          <w:i/>
          <w:color w:val="231F20"/>
          <w:sz w:val="16"/>
          <w:szCs w:val="16"/>
        </w:rPr>
        <w:t>Aboriginal</w:t>
      </w:r>
      <w:r>
        <w:rPr>
          <w:rFonts w:ascii="Segoe UI" w:hAnsi="Segoe UI" w:cs="Segoe UI" w:eastAsia="Segoe UI"/>
          <w:i/>
          <w:color w:val="231F20"/>
          <w:spacing w:val="-3"/>
          <w:sz w:val="16"/>
          <w:szCs w:val="16"/>
        </w:rPr>
        <w:t> </w:t>
      </w:r>
      <w:r>
        <w:rPr>
          <w:rFonts w:ascii="Segoe UI" w:hAnsi="Segoe UI" w:cs="Segoe UI" w:eastAsia="Segoe UI"/>
          <w:i/>
          <w:color w:val="231F20"/>
          <w:sz w:val="16"/>
          <w:szCs w:val="16"/>
        </w:rPr>
        <w:t>and</w:t>
      </w:r>
      <w:r>
        <w:rPr>
          <w:rFonts w:ascii="Segoe UI" w:hAnsi="Segoe UI" w:cs="Segoe UI" w:eastAsia="Segoe UI"/>
          <w:i/>
          <w:color w:val="231F20"/>
          <w:spacing w:val="-3"/>
          <w:sz w:val="16"/>
          <w:szCs w:val="16"/>
        </w:rPr>
        <w:t> Torres</w:t>
      </w:r>
      <w:r>
        <w:rPr>
          <w:rFonts w:ascii="Segoe UI" w:hAnsi="Segoe UI" w:cs="Segoe UI" w:eastAsia="Segoe UI"/>
          <w:i/>
          <w:color w:val="231F20"/>
          <w:spacing w:val="27"/>
          <w:w w:val="99"/>
          <w:sz w:val="16"/>
          <w:szCs w:val="16"/>
        </w:rPr>
        <w:t> </w:t>
      </w:r>
      <w:r>
        <w:rPr>
          <w:rFonts w:ascii="Segoe UI" w:hAnsi="Segoe UI" w:cs="Segoe UI" w:eastAsia="Segoe UI"/>
          <w:i/>
          <w:color w:val="231F20"/>
          <w:spacing w:val="-1"/>
          <w:sz w:val="16"/>
          <w:szCs w:val="16"/>
        </w:rPr>
        <w:t>Strait</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Islander</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students</w:t>
      </w:r>
      <w:r>
        <w:rPr>
          <w:rFonts w:ascii="Segoe UI" w:hAnsi="Segoe UI" w:cs="Segoe UI" w:eastAsia="Segoe UI"/>
          <w:color w:val="231F20"/>
          <w:spacing w:val="-1"/>
          <w:sz w:val="16"/>
          <w:szCs w:val="16"/>
        </w:rPr>
        <w:t>,</w:t>
      </w:r>
      <w:r>
        <w:rPr>
          <w:rFonts w:ascii="Segoe UI" w:hAnsi="Segoe UI" w:cs="Segoe UI" w:eastAsia="Segoe UI"/>
          <w:color w:val="231F20"/>
          <w:spacing w:val="-4"/>
          <w:sz w:val="16"/>
          <w:szCs w:val="16"/>
        </w:rPr>
        <w:t> </w:t>
      </w:r>
      <w:r>
        <w:rPr>
          <w:rFonts w:ascii="Segoe UI" w:hAnsi="Segoe UI" w:cs="Segoe UI" w:eastAsia="Segoe UI"/>
          <w:color w:val="231F20"/>
          <w:sz w:val="16"/>
          <w:szCs w:val="16"/>
        </w:rPr>
        <w:t>House</w:t>
      </w:r>
      <w:r>
        <w:rPr>
          <w:rFonts w:ascii="Segoe UI" w:hAnsi="Segoe UI" w:cs="Segoe UI" w:eastAsia="Segoe UI"/>
          <w:color w:val="231F20"/>
          <w:spacing w:val="-4"/>
          <w:sz w:val="16"/>
          <w:szCs w:val="16"/>
        </w:rPr>
        <w:t> </w:t>
      </w:r>
      <w:r>
        <w:rPr>
          <w:rFonts w:ascii="Segoe UI" w:hAnsi="Segoe UI" w:cs="Segoe UI" w:eastAsia="Segoe UI"/>
          <w:color w:val="231F20"/>
          <w:sz w:val="16"/>
          <w:szCs w:val="16"/>
        </w:rPr>
        <w:t>of</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Representatives</w:t>
      </w:r>
      <w:r>
        <w:rPr>
          <w:rFonts w:ascii="Segoe UI" w:hAnsi="Segoe UI" w:cs="Segoe UI" w:eastAsia="Segoe UI"/>
          <w:color w:val="231F20"/>
          <w:spacing w:val="45"/>
          <w:w w:val="99"/>
          <w:sz w:val="16"/>
          <w:szCs w:val="16"/>
        </w:rPr>
        <w:t> </w:t>
      </w:r>
      <w:r>
        <w:rPr>
          <w:rFonts w:ascii="Segoe UI" w:hAnsi="Segoe UI" w:cs="Segoe UI" w:eastAsia="Segoe UI"/>
          <w:color w:val="231F20"/>
          <w:spacing w:val="-1"/>
          <w:sz w:val="16"/>
          <w:szCs w:val="16"/>
        </w:rPr>
        <w:t>Standing </w:t>
      </w:r>
      <w:r>
        <w:rPr>
          <w:rFonts w:ascii="Segoe UI" w:hAnsi="Segoe UI" w:cs="Segoe UI" w:eastAsia="Segoe UI"/>
          <w:color w:val="231F20"/>
          <w:sz w:val="16"/>
          <w:szCs w:val="16"/>
        </w:rPr>
        <w:t>Committee</w:t>
      </w:r>
      <w:r>
        <w:rPr>
          <w:rFonts w:ascii="Segoe UI" w:hAnsi="Segoe UI" w:cs="Segoe UI" w:eastAsia="Segoe UI"/>
          <w:color w:val="231F20"/>
          <w:spacing w:val="-1"/>
          <w:sz w:val="16"/>
          <w:szCs w:val="16"/>
        </w:rPr>
        <w:t> </w:t>
      </w:r>
      <w:r>
        <w:rPr>
          <w:rFonts w:ascii="Segoe UI" w:hAnsi="Segoe UI" w:cs="Segoe UI" w:eastAsia="Segoe UI"/>
          <w:color w:val="231F20"/>
          <w:sz w:val="16"/>
          <w:szCs w:val="16"/>
        </w:rPr>
        <w:t>on</w:t>
      </w:r>
      <w:r>
        <w:rPr>
          <w:rFonts w:ascii="Segoe UI" w:hAnsi="Segoe UI" w:cs="Segoe UI" w:eastAsia="Segoe UI"/>
          <w:color w:val="231F20"/>
          <w:spacing w:val="-1"/>
          <w:sz w:val="16"/>
          <w:szCs w:val="16"/>
        </w:rPr>
        <w:t> </w:t>
      </w:r>
      <w:r>
        <w:rPr>
          <w:rFonts w:ascii="Segoe UI" w:hAnsi="Segoe UI" w:cs="Segoe UI" w:eastAsia="Segoe UI"/>
          <w:color w:val="231F20"/>
          <w:sz w:val="16"/>
          <w:szCs w:val="16"/>
        </w:rPr>
        <w:t>Indigenous</w:t>
      </w:r>
      <w:r>
        <w:rPr>
          <w:rFonts w:ascii="Segoe UI" w:hAnsi="Segoe UI" w:cs="Segoe UI" w:eastAsia="Segoe UI"/>
          <w:color w:val="231F20"/>
          <w:spacing w:val="-1"/>
          <w:sz w:val="16"/>
          <w:szCs w:val="16"/>
        </w:rPr>
        <w:t> </w:t>
      </w:r>
      <w:r>
        <w:rPr>
          <w:rFonts w:ascii="Segoe UI" w:hAnsi="Segoe UI" w:cs="Segoe UI" w:eastAsia="Segoe UI"/>
          <w:color w:val="231F20"/>
          <w:sz w:val="16"/>
          <w:szCs w:val="16"/>
        </w:rPr>
        <w:t>Affairs,</w:t>
      </w:r>
      <w:r>
        <w:rPr>
          <w:rFonts w:ascii="Segoe UI" w:hAnsi="Segoe UI" w:cs="Segoe UI" w:eastAsia="Segoe UI"/>
          <w:color w:val="231F20"/>
          <w:spacing w:val="-1"/>
          <w:sz w:val="16"/>
          <w:szCs w:val="16"/>
        </w:rPr>
        <w:t> </w:t>
      </w:r>
      <w:r>
        <w:rPr>
          <w:rFonts w:ascii="Segoe UI" w:hAnsi="Segoe UI" w:cs="Segoe UI" w:eastAsia="Segoe UI"/>
          <w:color w:val="231F20"/>
          <w:sz w:val="16"/>
          <w:szCs w:val="16"/>
        </w:rPr>
        <w:t>Q8</w:t>
      </w:r>
      <w:r>
        <w:rPr>
          <w:rFonts w:ascii="Segoe UI" w:hAnsi="Segoe UI" w:cs="Segoe UI" w:eastAsia="Segoe UI"/>
          <w:color w:val="231F20"/>
          <w:spacing w:val="22"/>
          <w:sz w:val="16"/>
          <w:szCs w:val="16"/>
        </w:rPr>
        <w:t> </w:t>
      </w:r>
      <w:r>
        <w:rPr>
          <w:rFonts w:ascii="Segoe UI" w:hAnsi="Segoe UI" w:cs="Segoe UI" w:eastAsia="Segoe UI"/>
          <w:color w:val="231F20"/>
          <w:sz w:val="16"/>
          <w:szCs w:val="16"/>
        </w:rPr>
        <w:t>answer</w:t>
      </w:r>
      <w:r>
        <w:rPr>
          <w:rFonts w:ascii="Segoe UI" w:hAnsi="Segoe UI" w:cs="Segoe UI" w:eastAsia="Segoe UI"/>
          <w:sz w:val="16"/>
          <w:szCs w:val="16"/>
        </w:rPr>
      </w:r>
    </w:p>
    <w:p>
      <w:pPr>
        <w:numPr>
          <w:ilvl w:val="0"/>
          <w:numId w:val="13"/>
        </w:numPr>
        <w:tabs>
          <w:tab w:pos="671" w:val="left" w:leader="none"/>
        </w:tabs>
        <w:spacing w:line="200" w:lineRule="exact" w:before="113"/>
        <w:ind w:left="670" w:right="460" w:hanging="567"/>
        <w:jc w:val="left"/>
        <w:rPr>
          <w:rFonts w:ascii="Segoe UI" w:hAnsi="Segoe UI" w:cs="Segoe UI" w:eastAsia="Segoe UI"/>
          <w:sz w:val="16"/>
          <w:szCs w:val="16"/>
        </w:rPr>
      </w:pPr>
      <w:r>
        <w:rPr>
          <w:rFonts w:ascii="Segoe UI"/>
          <w:color w:val="231F20"/>
          <w:sz w:val="16"/>
        </w:rPr>
        <w:t>No</w:t>
      </w:r>
      <w:r>
        <w:rPr>
          <w:rFonts w:ascii="Segoe UI"/>
          <w:color w:val="231F20"/>
          <w:spacing w:val="-3"/>
          <w:sz w:val="16"/>
        </w:rPr>
        <w:t> </w:t>
      </w:r>
      <w:r>
        <w:rPr>
          <w:rFonts w:ascii="Segoe UI"/>
          <w:color w:val="231F20"/>
          <w:spacing w:val="-1"/>
          <w:sz w:val="16"/>
        </w:rPr>
        <w:t>ICSEA</w:t>
      </w:r>
      <w:r>
        <w:rPr>
          <w:rFonts w:ascii="Segoe UI"/>
          <w:color w:val="231F20"/>
          <w:spacing w:val="-3"/>
          <w:sz w:val="16"/>
        </w:rPr>
        <w:t> </w:t>
      </w:r>
      <w:r>
        <w:rPr>
          <w:rFonts w:ascii="Segoe UI"/>
          <w:color w:val="231F20"/>
          <w:spacing w:val="-1"/>
          <w:sz w:val="16"/>
        </w:rPr>
        <w:t>score</w:t>
      </w:r>
      <w:r>
        <w:rPr>
          <w:rFonts w:ascii="Segoe UI"/>
          <w:color w:val="231F20"/>
          <w:spacing w:val="-2"/>
          <w:sz w:val="16"/>
        </w:rPr>
        <w:t> </w:t>
      </w:r>
      <w:r>
        <w:rPr>
          <w:rFonts w:ascii="Segoe UI"/>
          <w:color w:val="231F20"/>
          <w:sz w:val="16"/>
        </w:rPr>
        <w:t>available</w:t>
      </w:r>
      <w:r>
        <w:rPr>
          <w:rFonts w:ascii="Segoe UI"/>
          <w:color w:val="231F20"/>
          <w:spacing w:val="-4"/>
          <w:sz w:val="16"/>
        </w:rPr>
        <w:t> </w:t>
      </w:r>
      <w:r>
        <w:rPr>
          <w:rFonts w:ascii="Segoe UI"/>
          <w:color w:val="231F20"/>
          <w:sz w:val="16"/>
        </w:rPr>
        <w:t>for</w:t>
      </w:r>
      <w:r>
        <w:rPr>
          <w:rFonts w:ascii="Segoe UI"/>
          <w:color w:val="231F20"/>
          <w:spacing w:val="-4"/>
          <w:sz w:val="16"/>
        </w:rPr>
        <w:t> </w:t>
      </w:r>
      <w:r>
        <w:rPr>
          <w:rFonts w:ascii="Segoe UI"/>
          <w:color w:val="231F20"/>
          <w:spacing w:val="-1"/>
          <w:sz w:val="16"/>
        </w:rPr>
        <w:t>2017.</w:t>
      </w:r>
      <w:r>
        <w:rPr>
          <w:rFonts w:ascii="Segoe UI"/>
          <w:color w:val="231F20"/>
          <w:spacing w:val="-2"/>
          <w:sz w:val="16"/>
        </w:rPr>
        <w:t> </w:t>
      </w:r>
      <w:r>
        <w:rPr>
          <w:rFonts w:ascii="Segoe UI"/>
          <w:color w:val="231F20"/>
          <w:sz w:val="16"/>
        </w:rPr>
        <w:t>Most</w:t>
      </w:r>
      <w:r>
        <w:rPr>
          <w:rFonts w:ascii="Segoe UI"/>
          <w:color w:val="231F20"/>
          <w:spacing w:val="-4"/>
          <w:sz w:val="16"/>
        </w:rPr>
        <w:t> </w:t>
      </w:r>
      <w:r>
        <w:rPr>
          <w:rFonts w:ascii="Segoe UI"/>
          <w:color w:val="231F20"/>
          <w:sz w:val="16"/>
        </w:rPr>
        <w:t>recent</w:t>
      </w:r>
      <w:r>
        <w:rPr>
          <w:rFonts w:ascii="Segoe UI"/>
          <w:color w:val="231F20"/>
          <w:spacing w:val="24"/>
          <w:w w:val="99"/>
          <w:sz w:val="16"/>
        </w:rPr>
        <w:t> </w:t>
      </w:r>
      <w:r>
        <w:rPr>
          <w:rFonts w:ascii="Segoe UI"/>
          <w:color w:val="231F20"/>
          <w:sz w:val="16"/>
        </w:rPr>
        <w:t>available</w:t>
      </w:r>
      <w:r>
        <w:rPr>
          <w:rFonts w:ascii="Segoe UI"/>
          <w:color w:val="231F20"/>
          <w:spacing w:val="-5"/>
          <w:sz w:val="16"/>
        </w:rPr>
        <w:t> </w:t>
      </w:r>
      <w:r>
        <w:rPr>
          <w:rFonts w:ascii="Segoe UI"/>
          <w:color w:val="231F20"/>
          <w:spacing w:val="-1"/>
          <w:sz w:val="16"/>
        </w:rPr>
        <w:t>ICSEA</w:t>
      </w:r>
      <w:r>
        <w:rPr>
          <w:rFonts w:ascii="Segoe UI"/>
          <w:color w:val="231F20"/>
          <w:spacing w:val="-3"/>
          <w:sz w:val="16"/>
        </w:rPr>
        <w:t> </w:t>
      </w:r>
      <w:r>
        <w:rPr>
          <w:rFonts w:ascii="Segoe UI"/>
          <w:color w:val="231F20"/>
          <w:spacing w:val="-1"/>
          <w:sz w:val="16"/>
        </w:rPr>
        <w:t>score</w:t>
      </w:r>
      <w:r>
        <w:rPr>
          <w:rFonts w:ascii="Segoe UI"/>
          <w:color w:val="231F20"/>
          <w:spacing w:val="-3"/>
          <w:sz w:val="16"/>
        </w:rPr>
        <w:t> </w:t>
      </w:r>
      <w:r>
        <w:rPr>
          <w:rFonts w:ascii="Segoe UI"/>
          <w:color w:val="231F20"/>
          <w:sz w:val="16"/>
        </w:rPr>
        <w:t>used</w:t>
      </w:r>
      <w:r>
        <w:rPr>
          <w:rFonts w:ascii="Segoe UI"/>
          <w:sz w:val="16"/>
        </w:rPr>
      </w:r>
    </w:p>
    <w:p>
      <w:pPr>
        <w:spacing w:after="0" w:line="200" w:lineRule="exact"/>
        <w:jc w:val="left"/>
        <w:rPr>
          <w:rFonts w:ascii="Segoe UI" w:hAnsi="Segoe UI" w:cs="Segoe UI" w:eastAsia="Segoe UI"/>
          <w:sz w:val="16"/>
          <w:szCs w:val="16"/>
        </w:rPr>
        <w:sectPr>
          <w:type w:val="continuous"/>
          <w:pgSz w:w="11910" w:h="16840"/>
          <w:pgMar w:top="1580" w:bottom="280" w:left="1300" w:right="1600"/>
          <w:cols w:num="2" w:equalWidth="0">
            <w:col w:w="4333" w:space="238"/>
            <w:col w:w="4439"/>
          </w:cols>
        </w:sectPr>
      </w:pPr>
    </w:p>
    <w:p>
      <w:pPr>
        <w:spacing w:line="240" w:lineRule="auto" w:before="0"/>
        <w:rPr>
          <w:rFonts w:ascii="Segoe UI" w:hAnsi="Segoe UI" w:cs="Segoe UI" w:eastAsia="Segoe UI"/>
          <w:sz w:val="20"/>
          <w:szCs w:val="20"/>
        </w:rPr>
      </w:pPr>
    </w:p>
    <w:p>
      <w:pPr>
        <w:spacing w:line="240" w:lineRule="auto" w:before="11"/>
        <w:rPr>
          <w:rFonts w:ascii="Segoe UI" w:hAnsi="Segoe UI" w:cs="Segoe UI" w:eastAsia="Segoe UI"/>
          <w:sz w:val="21"/>
          <w:szCs w:val="21"/>
        </w:rPr>
      </w:pPr>
    </w:p>
    <w:p>
      <w:pPr>
        <w:spacing w:after="0" w:line="240" w:lineRule="auto"/>
        <w:rPr>
          <w:rFonts w:ascii="Segoe UI" w:hAnsi="Segoe UI" w:cs="Segoe UI" w:eastAsia="Segoe UI"/>
          <w:sz w:val="21"/>
          <w:szCs w:val="21"/>
        </w:rPr>
        <w:sectPr>
          <w:pgSz w:w="11910" w:h="16840"/>
          <w:pgMar w:header="0" w:footer="691" w:top="1580" w:bottom="880" w:left="1600" w:right="1300"/>
        </w:sectPr>
      </w:pPr>
    </w:p>
    <w:p>
      <w:pPr>
        <w:numPr>
          <w:ilvl w:val="0"/>
          <w:numId w:val="13"/>
        </w:numPr>
        <w:tabs>
          <w:tab w:pos="668" w:val="left" w:leader="none"/>
        </w:tabs>
        <w:spacing w:line="200" w:lineRule="exact" w:before="70"/>
        <w:ind w:left="667" w:right="135" w:hanging="567"/>
        <w:jc w:val="left"/>
        <w:rPr>
          <w:rFonts w:ascii="Segoe UI" w:hAnsi="Segoe UI" w:cs="Segoe UI" w:eastAsia="Segoe UI"/>
          <w:sz w:val="16"/>
          <w:szCs w:val="16"/>
        </w:rPr>
      </w:pPr>
      <w:r>
        <w:rPr>
          <w:rFonts w:ascii="Segoe UI"/>
          <w:color w:val="231F20"/>
          <w:spacing w:val="-1"/>
          <w:sz w:val="16"/>
        </w:rPr>
        <w:t>Clauses</w:t>
      </w:r>
      <w:r>
        <w:rPr>
          <w:rFonts w:ascii="Segoe UI"/>
          <w:color w:val="231F20"/>
          <w:spacing w:val="-2"/>
          <w:sz w:val="16"/>
        </w:rPr>
        <w:t> </w:t>
      </w:r>
      <w:r>
        <w:rPr>
          <w:rFonts w:ascii="Segoe UI"/>
          <w:color w:val="231F20"/>
          <w:spacing w:val="-1"/>
          <w:sz w:val="16"/>
        </w:rPr>
        <w:t>56.2</w:t>
      </w:r>
      <w:r>
        <w:rPr>
          <w:rFonts w:ascii="Segoe UI"/>
          <w:color w:val="231F20"/>
          <w:spacing w:val="-2"/>
          <w:sz w:val="16"/>
        </w:rPr>
        <w:t> </w:t>
      </w:r>
      <w:r>
        <w:rPr>
          <w:rFonts w:ascii="Segoe UI"/>
          <w:color w:val="231F20"/>
          <w:sz w:val="16"/>
        </w:rPr>
        <w:t>and</w:t>
      </w:r>
      <w:r>
        <w:rPr>
          <w:rFonts w:ascii="Segoe UI"/>
          <w:color w:val="231F20"/>
          <w:spacing w:val="-3"/>
          <w:sz w:val="16"/>
        </w:rPr>
        <w:t> </w:t>
      </w:r>
      <w:r>
        <w:rPr>
          <w:rFonts w:ascii="Segoe UI"/>
          <w:color w:val="231F20"/>
          <w:spacing w:val="-1"/>
          <w:sz w:val="16"/>
        </w:rPr>
        <w:t>86.6.1</w:t>
      </w:r>
      <w:r>
        <w:rPr>
          <w:rFonts w:ascii="Segoe UI"/>
          <w:color w:val="231F20"/>
          <w:spacing w:val="-2"/>
          <w:sz w:val="16"/>
        </w:rPr>
        <w:t> </w:t>
      </w:r>
      <w:r>
        <w:rPr>
          <w:rFonts w:ascii="Segoe UI"/>
          <w:color w:val="231F20"/>
          <w:sz w:val="16"/>
        </w:rPr>
        <w:t>of</w:t>
      </w:r>
      <w:r>
        <w:rPr>
          <w:rFonts w:ascii="Segoe UI"/>
          <w:color w:val="231F20"/>
          <w:spacing w:val="-2"/>
          <w:sz w:val="16"/>
        </w:rPr>
        <w:t> </w:t>
      </w:r>
      <w:r>
        <w:rPr>
          <w:rFonts w:ascii="Segoe UI"/>
          <w:color w:val="231F20"/>
          <w:spacing w:val="-1"/>
          <w:sz w:val="16"/>
        </w:rPr>
        <w:t>the</w:t>
      </w:r>
      <w:r>
        <w:rPr>
          <w:rFonts w:ascii="Segoe UI"/>
          <w:color w:val="231F20"/>
          <w:spacing w:val="-2"/>
          <w:sz w:val="16"/>
        </w:rPr>
        <w:t> </w:t>
      </w:r>
      <w:r>
        <w:rPr>
          <w:rFonts w:ascii="Segoe UI"/>
          <w:color w:val="231F20"/>
          <w:sz w:val="16"/>
        </w:rPr>
        <w:t>ABSTUDY</w:t>
      </w:r>
      <w:r>
        <w:rPr>
          <w:rFonts w:ascii="Segoe UI"/>
          <w:color w:val="231F20"/>
          <w:spacing w:val="-2"/>
          <w:sz w:val="16"/>
        </w:rPr>
        <w:t> </w:t>
      </w:r>
      <w:r>
        <w:rPr>
          <w:rFonts w:ascii="Segoe UI"/>
          <w:color w:val="231F20"/>
          <w:sz w:val="16"/>
        </w:rPr>
        <w:t>policy</w:t>
      </w:r>
      <w:r>
        <w:rPr>
          <w:rFonts w:ascii="Segoe UI"/>
          <w:color w:val="231F20"/>
          <w:spacing w:val="26"/>
          <w:sz w:val="16"/>
        </w:rPr>
        <w:t> </w:t>
      </w:r>
      <w:r>
        <w:rPr>
          <w:rFonts w:ascii="Segoe UI"/>
          <w:color w:val="231F20"/>
          <w:spacing w:val="-1"/>
          <w:sz w:val="16"/>
        </w:rPr>
        <w:t>manual.</w:t>
      </w:r>
      <w:r>
        <w:rPr>
          <w:rFonts w:ascii="Segoe UI"/>
          <w:color w:val="231F20"/>
          <w:spacing w:val="-4"/>
          <w:sz w:val="16"/>
        </w:rPr>
        <w:t> </w:t>
      </w:r>
      <w:r>
        <w:rPr>
          <w:rFonts w:ascii="Segoe UI"/>
          <w:color w:val="231F20"/>
          <w:sz w:val="16"/>
        </w:rPr>
        <w:t>The</w:t>
      </w:r>
      <w:r>
        <w:rPr>
          <w:rFonts w:ascii="Segoe UI"/>
          <w:color w:val="231F20"/>
          <w:spacing w:val="-3"/>
          <w:sz w:val="16"/>
        </w:rPr>
        <w:t> </w:t>
      </w:r>
      <w:r>
        <w:rPr>
          <w:rFonts w:ascii="Segoe UI"/>
          <w:color w:val="231F20"/>
          <w:spacing w:val="-1"/>
          <w:sz w:val="16"/>
        </w:rPr>
        <w:t>manual</w:t>
      </w:r>
      <w:r>
        <w:rPr>
          <w:rFonts w:ascii="Segoe UI"/>
          <w:color w:val="231F20"/>
          <w:spacing w:val="-3"/>
          <w:sz w:val="16"/>
        </w:rPr>
        <w:t> </w:t>
      </w:r>
      <w:r>
        <w:rPr>
          <w:rFonts w:ascii="Segoe UI"/>
          <w:color w:val="231F20"/>
          <w:spacing w:val="-1"/>
          <w:sz w:val="16"/>
        </w:rPr>
        <w:t>sets</w:t>
      </w:r>
      <w:r>
        <w:rPr>
          <w:rFonts w:ascii="Segoe UI"/>
          <w:color w:val="231F20"/>
          <w:spacing w:val="-3"/>
          <w:sz w:val="16"/>
        </w:rPr>
        <w:t> </w:t>
      </w:r>
      <w:r>
        <w:rPr>
          <w:rFonts w:ascii="Segoe UI"/>
          <w:color w:val="231F20"/>
          <w:sz w:val="16"/>
        </w:rPr>
        <w:t>a</w:t>
      </w:r>
      <w:r>
        <w:rPr>
          <w:rFonts w:ascii="Segoe UI"/>
          <w:color w:val="231F20"/>
          <w:spacing w:val="-3"/>
          <w:sz w:val="16"/>
        </w:rPr>
        <w:t> </w:t>
      </w:r>
      <w:r>
        <w:rPr>
          <w:rFonts w:ascii="Segoe UI"/>
          <w:color w:val="231F20"/>
          <w:sz w:val="16"/>
        </w:rPr>
        <w:t>number</w:t>
      </w:r>
      <w:r>
        <w:rPr>
          <w:rFonts w:ascii="Segoe UI"/>
          <w:color w:val="231F20"/>
          <w:spacing w:val="-4"/>
          <w:sz w:val="16"/>
        </w:rPr>
        <w:t> </w:t>
      </w:r>
      <w:r>
        <w:rPr>
          <w:rFonts w:ascii="Segoe UI"/>
          <w:color w:val="231F20"/>
          <w:sz w:val="16"/>
        </w:rPr>
        <w:t>of</w:t>
      </w:r>
      <w:r>
        <w:rPr>
          <w:rFonts w:ascii="Segoe UI"/>
          <w:color w:val="231F20"/>
          <w:spacing w:val="-3"/>
          <w:sz w:val="16"/>
        </w:rPr>
        <w:t> </w:t>
      </w:r>
      <w:r>
        <w:rPr>
          <w:rFonts w:ascii="Segoe UI"/>
          <w:color w:val="231F20"/>
          <w:sz w:val="16"/>
        </w:rPr>
        <w:t>exemptions</w:t>
      </w:r>
      <w:r>
        <w:rPr>
          <w:rFonts w:ascii="Segoe UI"/>
          <w:color w:val="231F20"/>
          <w:spacing w:val="24"/>
          <w:sz w:val="16"/>
        </w:rPr>
        <w:t> </w:t>
      </w:r>
      <w:r>
        <w:rPr>
          <w:rFonts w:ascii="Segoe UI"/>
          <w:color w:val="231F20"/>
          <w:sz w:val="16"/>
        </w:rPr>
        <w:t>from</w:t>
      </w:r>
      <w:r>
        <w:rPr>
          <w:rFonts w:ascii="Segoe UI"/>
          <w:color w:val="231F20"/>
          <w:spacing w:val="-2"/>
          <w:sz w:val="16"/>
        </w:rPr>
        <w:t> </w:t>
      </w:r>
      <w:r>
        <w:rPr>
          <w:rFonts w:ascii="Segoe UI"/>
          <w:color w:val="231F20"/>
          <w:sz w:val="16"/>
        </w:rPr>
        <w:t>the</w:t>
      </w:r>
      <w:r>
        <w:rPr>
          <w:rFonts w:ascii="Segoe UI"/>
          <w:color w:val="231F20"/>
          <w:spacing w:val="-3"/>
          <w:sz w:val="16"/>
        </w:rPr>
        <w:t> </w:t>
      </w:r>
      <w:r>
        <w:rPr>
          <w:rFonts w:ascii="Segoe UI"/>
          <w:color w:val="231F20"/>
          <w:sz w:val="16"/>
        </w:rPr>
        <w:t>assets</w:t>
      </w:r>
      <w:r>
        <w:rPr>
          <w:rFonts w:ascii="Segoe UI"/>
          <w:color w:val="231F20"/>
          <w:spacing w:val="-2"/>
          <w:sz w:val="16"/>
        </w:rPr>
        <w:t> </w:t>
      </w:r>
      <w:r>
        <w:rPr>
          <w:rFonts w:ascii="Segoe UI"/>
          <w:color w:val="231F20"/>
          <w:sz w:val="16"/>
        </w:rPr>
        <w:t>and</w:t>
      </w:r>
      <w:r>
        <w:rPr>
          <w:rFonts w:ascii="Segoe UI"/>
          <w:color w:val="231F20"/>
          <w:spacing w:val="-3"/>
          <w:sz w:val="16"/>
        </w:rPr>
        <w:t> </w:t>
      </w:r>
      <w:r>
        <w:rPr>
          <w:rFonts w:ascii="Segoe UI"/>
          <w:color w:val="231F20"/>
          <w:spacing w:val="-1"/>
          <w:sz w:val="16"/>
        </w:rPr>
        <w:t>income</w:t>
      </w:r>
      <w:r>
        <w:rPr>
          <w:rFonts w:ascii="Segoe UI"/>
          <w:color w:val="231F20"/>
          <w:spacing w:val="-2"/>
          <w:sz w:val="16"/>
        </w:rPr>
        <w:t> </w:t>
      </w:r>
      <w:r>
        <w:rPr>
          <w:rFonts w:ascii="Segoe UI"/>
          <w:color w:val="231F20"/>
          <w:sz w:val="16"/>
        </w:rPr>
        <w:t>tests.</w:t>
      </w:r>
      <w:r>
        <w:rPr>
          <w:rFonts w:ascii="Segoe UI"/>
          <w:color w:val="231F20"/>
          <w:spacing w:val="-2"/>
          <w:sz w:val="16"/>
        </w:rPr>
        <w:t> </w:t>
      </w:r>
      <w:r>
        <w:rPr>
          <w:rFonts w:ascii="Segoe UI"/>
          <w:color w:val="231F20"/>
          <w:sz w:val="16"/>
        </w:rPr>
        <w:t>As</w:t>
      </w:r>
      <w:r>
        <w:rPr>
          <w:rFonts w:ascii="Segoe UI"/>
          <w:color w:val="231F20"/>
          <w:spacing w:val="-3"/>
          <w:sz w:val="16"/>
        </w:rPr>
        <w:t> </w:t>
      </w:r>
      <w:r>
        <w:rPr>
          <w:rFonts w:ascii="Segoe UI"/>
          <w:color w:val="231F20"/>
          <w:sz w:val="16"/>
        </w:rPr>
        <w:t>at</w:t>
      </w:r>
      <w:r>
        <w:rPr>
          <w:rFonts w:ascii="Segoe UI"/>
          <w:color w:val="231F20"/>
          <w:spacing w:val="-2"/>
          <w:sz w:val="16"/>
        </w:rPr>
        <w:t> </w:t>
      </w:r>
      <w:r>
        <w:rPr>
          <w:rFonts w:ascii="Segoe UI"/>
          <w:color w:val="231F20"/>
          <w:sz w:val="16"/>
        </w:rPr>
        <w:t>1</w:t>
      </w:r>
      <w:r>
        <w:rPr>
          <w:rFonts w:ascii="Segoe UI"/>
          <w:color w:val="231F20"/>
          <w:spacing w:val="-1"/>
          <w:sz w:val="16"/>
        </w:rPr>
        <w:t> </w:t>
      </w:r>
      <w:r>
        <w:rPr>
          <w:rFonts w:ascii="Segoe UI"/>
          <w:color w:val="231F20"/>
          <w:sz w:val="16"/>
        </w:rPr>
        <w:t>January</w:t>
      </w:r>
      <w:r>
        <w:rPr>
          <w:rFonts w:ascii="Segoe UI"/>
          <w:color w:val="231F20"/>
          <w:spacing w:val="21"/>
          <w:w w:val="99"/>
          <w:sz w:val="16"/>
        </w:rPr>
        <w:t> </w:t>
      </w:r>
      <w:r>
        <w:rPr>
          <w:rFonts w:ascii="Segoe UI"/>
          <w:color w:val="231F20"/>
          <w:spacing w:val="-1"/>
          <w:sz w:val="16"/>
        </w:rPr>
        <w:t>2019,</w:t>
      </w:r>
      <w:r>
        <w:rPr>
          <w:rFonts w:ascii="Segoe UI"/>
          <w:color w:val="231F20"/>
          <w:spacing w:val="-2"/>
          <w:sz w:val="16"/>
        </w:rPr>
        <w:t> </w:t>
      </w:r>
      <w:r>
        <w:rPr>
          <w:rFonts w:ascii="Segoe UI"/>
          <w:color w:val="231F20"/>
          <w:spacing w:val="-1"/>
          <w:sz w:val="16"/>
        </w:rPr>
        <w:t>$8,422</w:t>
      </w:r>
      <w:r>
        <w:rPr>
          <w:rFonts w:ascii="Segoe UI"/>
          <w:color w:val="231F20"/>
          <w:spacing w:val="-2"/>
          <w:sz w:val="16"/>
        </w:rPr>
        <w:t> </w:t>
      </w:r>
      <w:r>
        <w:rPr>
          <w:rFonts w:ascii="Segoe UI"/>
          <w:color w:val="231F20"/>
          <w:sz w:val="16"/>
        </w:rPr>
        <w:t>of</w:t>
      </w:r>
      <w:r>
        <w:rPr>
          <w:rFonts w:ascii="Segoe UI"/>
          <w:color w:val="231F20"/>
          <w:spacing w:val="-2"/>
          <w:sz w:val="16"/>
        </w:rPr>
        <w:t> </w:t>
      </w:r>
      <w:r>
        <w:rPr>
          <w:rFonts w:ascii="Segoe UI"/>
          <w:color w:val="231F20"/>
          <w:sz w:val="16"/>
        </w:rPr>
        <w:t>the</w:t>
      </w:r>
      <w:r>
        <w:rPr>
          <w:rFonts w:ascii="Segoe UI"/>
          <w:color w:val="231F20"/>
          <w:spacing w:val="-3"/>
          <w:sz w:val="16"/>
        </w:rPr>
        <w:t> </w:t>
      </w:r>
      <w:r>
        <w:rPr>
          <w:rFonts w:ascii="Segoe UI"/>
          <w:color w:val="231F20"/>
          <w:spacing w:val="-1"/>
          <w:sz w:val="16"/>
        </w:rPr>
        <w:t>School</w:t>
      </w:r>
      <w:r>
        <w:rPr>
          <w:rFonts w:ascii="Segoe UI"/>
          <w:color w:val="231F20"/>
          <w:spacing w:val="-2"/>
          <w:sz w:val="16"/>
        </w:rPr>
        <w:t> </w:t>
      </w:r>
      <w:r>
        <w:rPr>
          <w:rFonts w:ascii="Segoe UI"/>
          <w:color w:val="231F20"/>
          <w:spacing w:val="-1"/>
          <w:sz w:val="16"/>
        </w:rPr>
        <w:t>Fees </w:t>
      </w:r>
      <w:r>
        <w:rPr>
          <w:rFonts w:ascii="Segoe UI"/>
          <w:color w:val="231F20"/>
          <w:sz w:val="16"/>
        </w:rPr>
        <w:t>Allowance</w:t>
      </w:r>
      <w:r>
        <w:rPr>
          <w:rFonts w:ascii="Segoe UI"/>
          <w:color w:val="231F20"/>
          <w:spacing w:val="25"/>
          <w:w w:val="99"/>
          <w:sz w:val="16"/>
        </w:rPr>
        <w:t> </w:t>
      </w:r>
      <w:r>
        <w:rPr>
          <w:rFonts w:ascii="Segoe UI"/>
          <w:color w:val="231F20"/>
          <w:sz w:val="16"/>
        </w:rPr>
        <w:t>(boarding</w:t>
      </w:r>
      <w:r>
        <w:rPr>
          <w:rFonts w:ascii="Segoe UI"/>
          <w:color w:val="231F20"/>
          <w:spacing w:val="-6"/>
          <w:sz w:val="16"/>
        </w:rPr>
        <w:t> </w:t>
      </w:r>
      <w:r>
        <w:rPr>
          <w:rFonts w:ascii="Segoe UI"/>
          <w:color w:val="231F20"/>
          <w:sz w:val="16"/>
        </w:rPr>
        <w:t>rate)</w:t>
      </w:r>
      <w:r>
        <w:rPr>
          <w:rFonts w:ascii="Segoe UI"/>
          <w:color w:val="231F20"/>
          <w:spacing w:val="-5"/>
          <w:sz w:val="16"/>
        </w:rPr>
        <w:t> </w:t>
      </w:r>
      <w:r>
        <w:rPr>
          <w:rFonts w:ascii="Segoe UI"/>
          <w:color w:val="231F20"/>
          <w:spacing w:val="-1"/>
          <w:sz w:val="16"/>
        </w:rPr>
        <w:t>is</w:t>
      </w:r>
      <w:r>
        <w:rPr>
          <w:rFonts w:ascii="Segoe UI"/>
          <w:color w:val="231F20"/>
          <w:spacing w:val="-6"/>
          <w:sz w:val="16"/>
        </w:rPr>
        <w:t> </w:t>
      </w:r>
      <w:r>
        <w:rPr>
          <w:rFonts w:ascii="Segoe UI"/>
          <w:color w:val="231F20"/>
          <w:sz w:val="16"/>
        </w:rPr>
        <w:t>nonmeans</w:t>
      </w:r>
      <w:r>
        <w:rPr>
          <w:rFonts w:ascii="Segoe UI"/>
          <w:color w:val="231F20"/>
          <w:spacing w:val="-5"/>
          <w:sz w:val="16"/>
        </w:rPr>
        <w:t> </w:t>
      </w:r>
      <w:r>
        <w:rPr>
          <w:rFonts w:ascii="Segoe UI"/>
          <w:color w:val="231F20"/>
          <w:sz w:val="16"/>
        </w:rPr>
        <w:t>but</w:t>
      </w:r>
      <w:r>
        <w:rPr>
          <w:rFonts w:ascii="Segoe UI"/>
          <w:color w:val="231F20"/>
          <w:spacing w:val="-5"/>
          <w:sz w:val="16"/>
        </w:rPr>
        <w:t> </w:t>
      </w:r>
      <w:r>
        <w:rPr>
          <w:rFonts w:ascii="Segoe UI"/>
          <w:color w:val="231F20"/>
          <w:sz w:val="16"/>
        </w:rPr>
        <w:t>approximately</w:t>
      </w:r>
      <w:r>
        <w:rPr>
          <w:rFonts w:ascii="Segoe UI"/>
          <w:color w:val="231F20"/>
          <w:w w:val="99"/>
          <w:sz w:val="16"/>
        </w:rPr>
        <w:t> </w:t>
      </w:r>
      <w:r>
        <w:rPr>
          <w:rFonts w:ascii="Segoe UI"/>
          <w:color w:val="231F20"/>
          <w:spacing w:val="21"/>
          <w:w w:val="99"/>
          <w:sz w:val="16"/>
        </w:rPr>
        <w:t> </w:t>
      </w:r>
      <w:r>
        <w:rPr>
          <w:rFonts w:ascii="Segoe UI"/>
          <w:color w:val="231F20"/>
          <w:spacing w:val="-1"/>
          <w:sz w:val="16"/>
        </w:rPr>
        <w:t>80</w:t>
      </w:r>
      <w:r>
        <w:rPr>
          <w:rFonts w:ascii="Segoe UI"/>
          <w:color w:val="231F20"/>
          <w:spacing w:val="-3"/>
          <w:sz w:val="16"/>
        </w:rPr>
        <w:t> </w:t>
      </w:r>
      <w:r>
        <w:rPr>
          <w:rFonts w:ascii="Segoe UI"/>
          <w:color w:val="231F20"/>
          <w:sz w:val="16"/>
        </w:rPr>
        <w:t>per</w:t>
      </w:r>
      <w:r>
        <w:rPr>
          <w:rFonts w:ascii="Segoe UI"/>
          <w:color w:val="231F20"/>
          <w:spacing w:val="-2"/>
          <w:sz w:val="16"/>
        </w:rPr>
        <w:t> </w:t>
      </w:r>
      <w:r>
        <w:rPr>
          <w:rFonts w:ascii="Segoe UI"/>
          <w:color w:val="231F20"/>
          <w:sz w:val="16"/>
        </w:rPr>
        <w:t>cent</w:t>
      </w:r>
      <w:r>
        <w:rPr>
          <w:rFonts w:ascii="Segoe UI"/>
          <w:color w:val="231F20"/>
          <w:spacing w:val="-3"/>
          <w:sz w:val="16"/>
        </w:rPr>
        <w:t> </w:t>
      </w:r>
      <w:r>
        <w:rPr>
          <w:rFonts w:ascii="Segoe UI"/>
          <w:color w:val="231F20"/>
          <w:sz w:val="16"/>
        </w:rPr>
        <w:t>of</w:t>
      </w:r>
      <w:r>
        <w:rPr>
          <w:rFonts w:ascii="Segoe UI"/>
          <w:color w:val="231F20"/>
          <w:spacing w:val="-2"/>
          <w:sz w:val="16"/>
        </w:rPr>
        <w:t> </w:t>
      </w:r>
      <w:r>
        <w:rPr>
          <w:rFonts w:ascii="Segoe UI"/>
          <w:color w:val="231F20"/>
          <w:sz w:val="16"/>
        </w:rPr>
        <w:t>ABSTUDY</w:t>
      </w:r>
      <w:r>
        <w:rPr>
          <w:rFonts w:ascii="Segoe UI"/>
          <w:color w:val="231F20"/>
          <w:spacing w:val="-3"/>
          <w:sz w:val="16"/>
        </w:rPr>
        <w:t> </w:t>
      </w:r>
      <w:r>
        <w:rPr>
          <w:rFonts w:ascii="Segoe UI"/>
          <w:color w:val="231F20"/>
          <w:sz w:val="16"/>
        </w:rPr>
        <w:t>approved</w:t>
      </w:r>
      <w:r>
        <w:rPr>
          <w:rFonts w:ascii="Segoe UI"/>
          <w:color w:val="231F20"/>
          <w:spacing w:val="-3"/>
          <w:sz w:val="16"/>
        </w:rPr>
        <w:t> </w:t>
      </w:r>
      <w:r>
        <w:rPr>
          <w:rFonts w:ascii="Segoe UI"/>
          <w:color w:val="231F20"/>
          <w:spacing w:val="-1"/>
          <w:sz w:val="16"/>
        </w:rPr>
        <w:t>students</w:t>
      </w:r>
      <w:r>
        <w:rPr>
          <w:rFonts w:ascii="Segoe UI"/>
          <w:color w:val="231F20"/>
          <w:spacing w:val="-2"/>
          <w:sz w:val="16"/>
        </w:rPr>
        <w:t> </w:t>
      </w:r>
      <w:r>
        <w:rPr>
          <w:rFonts w:ascii="Segoe UI"/>
          <w:color w:val="231F20"/>
          <w:sz w:val="16"/>
        </w:rPr>
        <w:t>are</w:t>
      </w:r>
      <w:r>
        <w:rPr>
          <w:rFonts w:ascii="Segoe UI"/>
          <w:color w:val="231F20"/>
          <w:spacing w:val="23"/>
          <w:w w:val="99"/>
          <w:sz w:val="16"/>
        </w:rPr>
        <w:t> </w:t>
      </w:r>
      <w:r>
        <w:rPr>
          <w:rFonts w:ascii="Segoe UI"/>
          <w:color w:val="231F20"/>
          <w:sz w:val="16"/>
        </w:rPr>
        <w:t>entitled</w:t>
      </w:r>
      <w:r>
        <w:rPr>
          <w:rFonts w:ascii="Segoe UI"/>
          <w:color w:val="231F20"/>
          <w:spacing w:val="-4"/>
          <w:sz w:val="16"/>
        </w:rPr>
        <w:t> </w:t>
      </w:r>
      <w:r>
        <w:rPr>
          <w:rFonts w:ascii="Segoe UI"/>
          <w:color w:val="231F20"/>
          <w:sz w:val="16"/>
        </w:rPr>
        <w:t>to</w:t>
      </w:r>
      <w:r>
        <w:rPr>
          <w:rFonts w:ascii="Segoe UI"/>
          <w:color w:val="231F20"/>
          <w:spacing w:val="-2"/>
          <w:sz w:val="16"/>
        </w:rPr>
        <w:t> </w:t>
      </w:r>
      <w:r>
        <w:rPr>
          <w:rFonts w:ascii="Segoe UI"/>
          <w:color w:val="231F20"/>
          <w:sz w:val="16"/>
        </w:rPr>
        <w:t>the</w:t>
      </w:r>
      <w:r>
        <w:rPr>
          <w:rFonts w:ascii="Segoe UI"/>
          <w:color w:val="231F20"/>
          <w:spacing w:val="-3"/>
          <w:sz w:val="16"/>
        </w:rPr>
        <w:t> </w:t>
      </w:r>
      <w:r>
        <w:rPr>
          <w:rFonts w:ascii="Segoe UI"/>
          <w:color w:val="231F20"/>
          <w:spacing w:val="-1"/>
          <w:sz w:val="16"/>
        </w:rPr>
        <w:t>maximum</w:t>
      </w:r>
      <w:r>
        <w:rPr>
          <w:rFonts w:ascii="Segoe UI"/>
          <w:color w:val="231F20"/>
          <w:spacing w:val="-2"/>
          <w:sz w:val="16"/>
        </w:rPr>
        <w:t> </w:t>
      </w:r>
      <w:r>
        <w:rPr>
          <w:rFonts w:ascii="Segoe UI"/>
          <w:color w:val="231F20"/>
          <w:sz w:val="16"/>
        </w:rPr>
        <w:t>rate</w:t>
      </w:r>
      <w:r>
        <w:rPr>
          <w:rFonts w:ascii="Segoe UI"/>
          <w:color w:val="231F20"/>
          <w:spacing w:val="-4"/>
          <w:sz w:val="16"/>
        </w:rPr>
        <w:t> </w:t>
      </w:r>
      <w:r>
        <w:rPr>
          <w:rFonts w:ascii="Segoe UI"/>
          <w:color w:val="231F20"/>
          <w:sz w:val="16"/>
        </w:rPr>
        <w:t>of</w:t>
      </w:r>
      <w:r>
        <w:rPr>
          <w:rFonts w:ascii="Segoe UI"/>
          <w:color w:val="231F20"/>
          <w:spacing w:val="-2"/>
          <w:sz w:val="16"/>
        </w:rPr>
        <w:t> </w:t>
      </w:r>
      <w:r>
        <w:rPr>
          <w:rFonts w:ascii="Segoe UI"/>
          <w:color w:val="231F20"/>
          <w:sz w:val="16"/>
        </w:rPr>
        <w:t>assistance</w:t>
      </w:r>
      <w:r>
        <w:rPr>
          <w:rFonts w:ascii="Segoe UI"/>
          <w:sz w:val="16"/>
        </w:rPr>
      </w:r>
    </w:p>
    <w:p>
      <w:pPr>
        <w:numPr>
          <w:ilvl w:val="0"/>
          <w:numId w:val="13"/>
        </w:numPr>
        <w:tabs>
          <w:tab w:pos="668" w:val="left" w:leader="none"/>
        </w:tabs>
        <w:spacing w:before="100"/>
        <w:ind w:left="667" w:right="69" w:hanging="567"/>
        <w:jc w:val="left"/>
        <w:rPr>
          <w:rFonts w:ascii="Segoe UI" w:hAnsi="Segoe UI" w:cs="Segoe UI" w:eastAsia="Segoe UI"/>
          <w:sz w:val="16"/>
          <w:szCs w:val="16"/>
        </w:rPr>
      </w:pPr>
      <w:r>
        <w:rPr>
          <w:rFonts w:ascii="Segoe UI"/>
          <w:color w:val="231F20"/>
          <w:spacing w:val="-1"/>
          <w:sz w:val="16"/>
        </w:rPr>
        <w:t>Source:</w:t>
      </w:r>
      <w:r>
        <w:rPr>
          <w:rFonts w:ascii="Segoe UI"/>
          <w:color w:val="231F20"/>
          <w:spacing w:val="-4"/>
          <w:sz w:val="16"/>
        </w:rPr>
        <w:t> </w:t>
      </w:r>
      <w:r>
        <w:rPr>
          <w:rFonts w:ascii="Segoe UI"/>
          <w:color w:val="231F20"/>
          <w:spacing w:val="-1"/>
          <w:sz w:val="16"/>
        </w:rPr>
        <w:t>Department</w:t>
      </w:r>
      <w:r>
        <w:rPr>
          <w:rFonts w:ascii="Segoe UI"/>
          <w:color w:val="231F20"/>
          <w:spacing w:val="-4"/>
          <w:sz w:val="16"/>
        </w:rPr>
        <w:t> </w:t>
      </w:r>
      <w:r>
        <w:rPr>
          <w:rFonts w:ascii="Segoe UI"/>
          <w:color w:val="231F20"/>
          <w:sz w:val="16"/>
        </w:rPr>
        <w:t>of</w:t>
      </w:r>
      <w:r>
        <w:rPr>
          <w:rFonts w:ascii="Segoe UI"/>
          <w:color w:val="231F20"/>
          <w:spacing w:val="-4"/>
          <w:sz w:val="16"/>
        </w:rPr>
        <w:t> </w:t>
      </w:r>
      <w:r>
        <w:rPr>
          <w:rFonts w:ascii="Segoe UI"/>
          <w:color w:val="231F20"/>
          <w:spacing w:val="-1"/>
          <w:sz w:val="16"/>
        </w:rPr>
        <w:t>Social</w:t>
      </w:r>
      <w:r>
        <w:rPr>
          <w:rFonts w:ascii="Segoe UI"/>
          <w:color w:val="231F20"/>
          <w:spacing w:val="-5"/>
          <w:sz w:val="16"/>
        </w:rPr>
        <w:t> </w:t>
      </w:r>
      <w:r>
        <w:rPr>
          <w:rFonts w:ascii="Segoe UI"/>
          <w:color w:val="231F20"/>
          <w:spacing w:val="-1"/>
          <w:sz w:val="16"/>
        </w:rPr>
        <w:t>Services</w:t>
      </w:r>
      <w:r>
        <w:rPr>
          <w:rFonts w:ascii="Segoe UI"/>
          <w:sz w:val="16"/>
        </w:rPr>
      </w:r>
    </w:p>
    <w:p>
      <w:pPr>
        <w:numPr>
          <w:ilvl w:val="0"/>
          <w:numId w:val="13"/>
        </w:numPr>
        <w:tabs>
          <w:tab w:pos="668" w:val="left" w:leader="none"/>
        </w:tabs>
        <w:spacing w:line="200" w:lineRule="exact" w:before="113"/>
        <w:ind w:left="667" w:right="248" w:hanging="567"/>
        <w:jc w:val="left"/>
        <w:rPr>
          <w:rFonts w:ascii="Segoe UI" w:hAnsi="Segoe UI" w:cs="Segoe UI" w:eastAsia="Segoe UI"/>
          <w:sz w:val="16"/>
          <w:szCs w:val="16"/>
        </w:rPr>
      </w:pPr>
      <w:r>
        <w:rPr>
          <w:rFonts w:ascii="Segoe UI"/>
          <w:color w:val="231F20"/>
          <w:spacing w:val="-1"/>
          <w:sz w:val="16"/>
        </w:rPr>
        <w:t>Data</w:t>
      </w:r>
      <w:r>
        <w:rPr>
          <w:rFonts w:ascii="Segoe UI"/>
          <w:color w:val="231F20"/>
          <w:spacing w:val="-4"/>
          <w:sz w:val="16"/>
        </w:rPr>
        <w:t> </w:t>
      </w:r>
      <w:r>
        <w:rPr>
          <w:rFonts w:ascii="Segoe UI"/>
          <w:color w:val="231F20"/>
          <w:spacing w:val="-1"/>
          <w:sz w:val="16"/>
        </w:rPr>
        <w:t>supplied</w:t>
      </w:r>
      <w:r>
        <w:rPr>
          <w:rFonts w:ascii="Segoe UI"/>
          <w:color w:val="231F20"/>
          <w:spacing w:val="-4"/>
          <w:sz w:val="16"/>
        </w:rPr>
        <w:t> </w:t>
      </w:r>
      <w:r>
        <w:rPr>
          <w:rFonts w:ascii="Segoe UI"/>
          <w:color w:val="231F20"/>
          <w:sz w:val="16"/>
        </w:rPr>
        <w:t>by</w:t>
      </w:r>
      <w:r>
        <w:rPr>
          <w:rFonts w:ascii="Segoe UI"/>
          <w:color w:val="231F20"/>
          <w:spacing w:val="-4"/>
          <w:sz w:val="16"/>
        </w:rPr>
        <w:t> </w:t>
      </w:r>
      <w:r>
        <w:rPr>
          <w:rFonts w:ascii="Segoe UI"/>
          <w:color w:val="231F20"/>
          <w:sz w:val="16"/>
        </w:rPr>
        <w:t>the</w:t>
      </w:r>
      <w:r>
        <w:rPr>
          <w:rFonts w:ascii="Segoe UI"/>
          <w:color w:val="231F20"/>
          <w:spacing w:val="-4"/>
          <w:sz w:val="16"/>
        </w:rPr>
        <w:t> </w:t>
      </w:r>
      <w:r>
        <w:rPr>
          <w:rFonts w:ascii="Segoe UI"/>
          <w:color w:val="231F20"/>
          <w:spacing w:val="-1"/>
          <w:sz w:val="16"/>
        </w:rPr>
        <w:t>Department</w:t>
      </w:r>
      <w:r>
        <w:rPr>
          <w:rFonts w:ascii="Segoe UI"/>
          <w:color w:val="231F20"/>
          <w:spacing w:val="-4"/>
          <w:sz w:val="16"/>
        </w:rPr>
        <w:t> </w:t>
      </w:r>
      <w:r>
        <w:rPr>
          <w:rFonts w:ascii="Segoe UI"/>
          <w:color w:val="231F20"/>
          <w:sz w:val="16"/>
        </w:rPr>
        <w:t>of</w:t>
      </w:r>
      <w:r>
        <w:rPr>
          <w:rFonts w:ascii="Segoe UI"/>
          <w:color w:val="231F20"/>
          <w:spacing w:val="-4"/>
          <w:sz w:val="16"/>
        </w:rPr>
        <w:t> </w:t>
      </w:r>
      <w:r>
        <w:rPr>
          <w:rFonts w:ascii="Segoe UI"/>
          <w:color w:val="231F20"/>
          <w:sz w:val="16"/>
        </w:rPr>
        <w:t>Human</w:t>
      </w:r>
      <w:r>
        <w:rPr>
          <w:rFonts w:ascii="Segoe UI"/>
          <w:color w:val="231F20"/>
          <w:spacing w:val="27"/>
          <w:w w:val="99"/>
          <w:sz w:val="16"/>
        </w:rPr>
        <w:t> </w:t>
      </w:r>
      <w:r>
        <w:rPr>
          <w:rFonts w:ascii="Segoe UI"/>
          <w:color w:val="231F20"/>
          <w:spacing w:val="-1"/>
          <w:sz w:val="16"/>
        </w:rPr>
        <w:t>Services</w:t>
      </w:r>
      <w:r>
        <w:rPr>
          <w:rFonts w:ascii="Segoe UI"/>
          <w:color w:val="231F20"/>
          <w:spacing w:val="-4"/>
          <w:sz w:val="16"/>
        </w:rPr>
        <w:t> </w:t>
      </w:r>
      <w:r>
        <w:rPr>
          <w:rFonts w:ascii="Segoe UI"/>
          <w:color w:val="231F20"/>
          <w:sz w:val="16"/>
        </w:rPr>
        <w:t>of</w:t>
      </w:r>
      <w:r>
        <w:rPr>
          <w:rFonts w:ascii="Segoe UI"/>
          <w:color w:val="231F20"/>
          <w:spacing w:val="-3"/>
          <w:sz w:val="16"/>
        </w:rPr>
        <w:t> </w:t>
      </w:r>
      <w:r>
        <w:rPr>
          <w:rFonts w:ascii="Segoe UI"/>
          <w:color w:val="231F20"/>
          <w:spacing w:val="-1"/>
          <w:sz w:val="16"/>
        </w:rPr>
        <w:t>schools</w:t>
      </w:r>
      <w:r>
        <w:rPr>
          <w:rFonts w:ascii="Segoe UI"/>
          <w:color w:val="231F20"/>
          <w:spacing w:val="-4"/>
          <w:sz w:val="16"/>
        </w:rPr>
        <w:t> </w:t>
      </w:r>
      <w:r>
        <w:rPr>
          <w:rFonts w:ascii="Segoe UI"/>
          <w:color w:val="231F20"/>
          <w:sz w:val="16"/>
        </w:rPr>
        <w:t>and</w:t>
      </w:r>
      <w:r>
        <w:rPr>
          <w:rFonts w:ascii="Segoe UI"/>
          <w:color w:val="231F20"/>
          <w:spacing w:val="-4"/>
          <w:sz w:val="16"/>
        </w:rPr>
        <w:t> </w:t>
      </w:r>
      <w:r>
        <w:rPr>
          <w:rFonts w:ascii="Segoe UI"/>
          <w:color w:val="231F20"/>
          <w:sz w:val="16"/>
        </w:rPr>
        <w:t>boarding</w:t>
      </w:r>
      <w:r>
        <w:rPr>
          <w:rFonts w:ascii="Segoe UI"/>
          <w:color w:val="231F20"/>
          <w:spacing w:val="-4"/>
          <w:sz w:val="16"/>
        </w:rPr>
        <w:t> </w:t>
      </w:r>
      <w:r>
        <w:rPr>
          <w:rFonts w:ascii="Segoe UI"/>
          <w:color w:val="231F20"/>
          <w:sz w:val="16"/>
        </w:rPr>
        <w:t>providers</w:t>
      </w:r>
      <w:r>
        <w:rPr>
          <w:rFonts w:ascii="Segoe UI"/>
          <w:color w:val="231F20"/>
          <w:spacing w:val="-4"/>
          <w:sz w:val="16"/>
        </w:rPr>
        <w:t> </w:t>
      </w:r>
      <w:r>
        <w:rPr>
          <w:rFonts w:ascii="Segoe UI"/>
          <w:color w:val="231F20"/>
          <w:sz w:val="16"/>
        </w:rPr>
        <w:t>that</w:t>
      </w:r>
      <w:r>
        <w:rPr>
          <w:rFonts w:ascii="Segoe UI"/>
          <w:color w:val="231F20"/>
          <w:spacing w:val="23"/>
          <w:w w:val="99"/>
          <w:sz w:val="16"/>
        </w:rPr>
        <w:t> </w:t>
      </w:r>
      <w:r>
        <w:rPr>
          <w:rFonts w:ascii="Segoe UI"/>
          <w:color w:val="231F20"/>
          <w:sz w:val="16"/>
        </w:rPr>
        <w:t>receive</w:t>
      </w:r>
      <w:r>
        <w:rPr>
          <w:rFonts w:ascii="Segoe UI"/>
          <w:color w:val="231F20"/>
          <w:spacing w:val="-4"/>
          <w:sz w:val="16"/>
        </w:rPr>
        <w:t> </w:t>
      </w:r>
      <w:r>
        <w:rPr>
          <w:rFonts w:ascii="Segoe UI"/>
          <w:color w:val="231F20"/>
          <w:sz w:val="16"/>
        </w:rPr>
        <w:t>ABSTUDY</w:t>
      </w:r>
      <w:r>
        <w:rPr>
          <w:rFonts w:ascii="Segoe UI"/>
          <w:color w:val="231F20"/>
          <w:spacing w:val="-2"/>
          <w:sz w:val="16"/>
        </w:rPr>
        <w:t> </w:t>
      </w:r>
      <w:r>
        <w:rPr>
          <w:rFonts w:ascii="Segoe UI"/>
          <w:color w:val="231F20"/>
          <w:sz w:val="16"/>
        </w:rPr>
        <w:t>payments</w:t>
      </w:r>
      <w:r>
        <w:rPr>
          <w:rFonts w:ascii="Segoe UI"/>
          <w:color w:val="231F20"/>
          <w:spacing w:val="-3"/>
          <w:sz w:val="16"/>
        </w:rPr>
        <w:t> </w:t>
      </w:r>
      <w:r>
        <w:rPr>
          <w:rFonts w:ascii="Segoe UI"/>
          <w:color w:val="231F20"/>
          <w:spacing w:val="-1"/>
          <w:sz w:val="16"/>
        </w:rPr>
        <w:t>in</w:t>
      </w:r>
      <w:r>
        <w:rPr>
          <w:rFonts w:ascii="Segoe UI"/>
          <w:color w:val="231F20"/>
          <w:spacing w:val="-3"/>
          <w:sz w:val="16"/>
        </w:rPr>
        <w:t> </w:t>
      </w:r>
      <w:r>
        <w:rPr>
          <w:rFonts w:ascii="Segoe UI"/>
          <w:color w:val="231F20"/>
          <w:spacing w:val="-1"/>
          <w:sz w:val="16"/>
        </w:rPr>
        <w:t>2018</w:t>
      </w:r>
      <w:r>
        <w:rPr>
          <w:rFonts w:ascii="Segoe UI"/>
          <w:color w:val="231F20"/>
          <w:spacing w:val="-2"/>
          <w:sz w:val="16"/>
        </w:rPr>
        <w:t> </w:t>
      </w:r>
      <w:r>
        <w:rPr>
          <w:rFonts w:ascii="Segoe UI"/>
          <w:color w:val="231F20"/>
          <w:sz w:val="16"/>
        </w:rPr>
        <w:t>for</w:t>
      </w:r>
      <w:r>
        <w:rPr>
          <w:rFonts w:ascii="Segoe UI"/>
          <w:color w:val="231F20"/>
          <w:spacing w:val="-2"/>
          <w:sz w:val="16"/>
        </w:rPr>
        <w:t> </w:t>
      </w:r>
      <w:r>
        <w:rPr>
          <w:rFonts w:ascii="Segoe UI"/>
          <w:color w:val="231F20"/>
          <w:spacing w:val="-1"/>
          <w:sz w:val="16"/>
        </w:rPr>
        <w:t>students</w:t>
      </w:r>
      <w:r>
        <w:rPr>
          <w:rFonts w:ascii="Segoe UI"/>
          <w:color w:val="231F20"/>
          <w:spacing w:val="22"/>
          <w:sz w:val="16"/>
        </w:rPr>
        <w:t> </w:t>
      </w:r>
      <w:r>
        <w:rPr>
          <w:rFonts w:ascii="Segoe UI"/>
          <w:color w:val="231F20"/>
          <w:spacing w:val="-1"/>
          <w:sz w:val="16"/>
        </w:rPr>
        <w:t>studying</w:t>
      </w:r>
      <w:r>
        <w:rPr>
          <w:rFonts w:ascii="Segoe UI"/>
          <w:color w:val="231F20"/>
          <w:spacing w:val="-5"/>
          <w:sz w:val="16"/>
        </w:rPr>
        <w:t> </w:t>
      </w:r>
      <w:r>
        <w:rPr>
          <w:rFonts w:ascii="Segoe UI"/>
          <w:color w:val="231F20"/>
          <w:sz w:val="16"/>
        </w:rPr>
        <w:t>away</w:t>
      </w:r>
      <w:r>
        <w:rPr>
          <w:rFonts w:ascii="Segoe UI"/>
          <w:color w:val="231F20"/>
          <w:spacing w:val="-5"/>
          <w:sz w:val="16"/>
        </w:rPr>
        <w:t> </w:t>
      </w:r>
      <w:r>
        <w:rPr>
          <w:rFonts w:ascii="Segoe UI"/>
          <w:color w:val="231F20"/>
          <w:sz w:val="16"/>
        </w:rPr>
        <w:t>from</w:t>
      </w:r>
      <w:r>
        <w:rPr>
          <w:rFonts w:ascii="Segoe UI"/>
          <w:color w:val="231F20"/>
          <w:spacing w:val="-4"/>
          <w:sz w:val="16"/>
        </w:rPr>
        <w:t> </w:t>
      </w:r>
      <w:r>
        <w:rPr>
          <w:rFonts w:ascii="Segoe UI"/>
          <w:color w:val="231F20"/>
          <w:sz w:val="16"/>
        </w:rPr>
        <w:t>home</w:t>
      </w:r>
      <w:r>
        <w:rPr>
          <w:rFonts w:ascii="Segoe UI"/>
          <w:sz w:val="16"/>
        </w:rPr>
      </w:r>
    </w:p>
    <w:p>
      <w:pPr>
        <w:numPr>
          <w:ilvl w:val="0"/>
          <w:numId w:val="13"/>
        </w:numPr>
        <w:tabs>
          <w:tab w:pos="668" w:val="left" w:leader="none"/>
        </w:tabs>
        <w:spacing w:line="200" w:lineRule="exact" w:before="113"/>
        <w:ind w:left="667" w:right="64" w:hanging="567"/>
        <w:jc w:val="left"/>
        <w:rPr>
          <w:rFonts w:ascii="Segoe UI" w:hAnsi="Segoe UI" w:cs="Segoe UI" w:eastAsia="Segoe UI"/>
          <w:sz w:val="16"/>
          <w:szCs w:val="16"/>
        </w:rPr>
      </w:pPr>
      <w:r>
        <w:rPr>
          <w:rFonts w:ascii="Segoe UI"/>
          <w:color w:val="231F20"/>
          <w:sz w:val="16"/>
        </w:rPr>
        <w:t>ABSTUDY</w:t>
      </w:r>
      <w:r>
        <w:rPr>
          <w:rFonts w:ascii="Segoe UI"/>
          <w:color w:val="231F20"/>
          <w:spacing w:val="-3"/>
          <w:sz w:val="16"/>
        </w:rPr>
        <w:t> </w:t>
      </w:r>
      <w:r>
        <w:rPr>
          <w:rFonts w:ascii="Segoe UI"/>
          <w:color w:val="231F20"/>
          <w:spacing w:val="-1"/>
          <w:sz w:val="16"/>
        </w:rPr>
        <w:t>is</w:t>
      </w:r>
      <w:r>
        <w:rPr>
          <w:rFonts w:ascii="Segoe UI"/>
          <w:color w:val="231F20"/>
          <w:spacing w:val="-4"/>
          <w:sz w:val="16"/>
        </w:rPr>
        <w:t> </w:t>
      </w:r>
      <w:r>
        <w:rPr>
          <w:rFonts w:ascii="Segoe UI"/>
          <w:color w:val="231F20"/>
          <w:sz w:val="16"/>
        </w:rPr>
        <w:t>an</w:t>
      </w:r>
      <w:r>
        <w:rPr>
          <w:rFonts w:ascii="Segoe UI"/>
          <w:color w:val="231F20"/>
          <w:spacing w:val="-3"/>
          <w:sz w:val="16"/>
        </w:rPr>
        <w:t> </w:t>
      </w:r>
      <w:r>
        <w:rPr>
          <w:rFonts w:ascii="Segoe UI"/>
          <w:color w:val="231F20"/>
          <w:sz w:val="16"/>
        </w:rPr>
        <w:t>entitlement</w:t>
      </w:r>
      <w:r>
        <w:rPr>
          <w:rFonts w:ascii="Segoe UI"/>
          <w:color w:val="231F20"/>
          <w:spacing w:val="-4"/>
          <w:sz w:val="16"/>
        </w:rPr>
        <w:t> </w:t>
      </w:r>
      <w:r>
        <w:rPr>
          <w:rFonts w:ascii="Segoe UI"/>
          <w:color w:val="231F20"/>
          <w:sz w:val="16"/>
        </w:rPr>
        <w:t>based</w:t>
      </w:r>
      <w:r>
        <w:rPr>
          <w:rFonts w:ascii="Segoe UI"/>
          <w:color w:val="231F20"/>
          <w:spacing w:val="-3"/>
          <w:sz w:val="16"/>
        </w:rPr>
        <w:t> </w:t>
      </w:r>
      <w:r>
        <w:rPr>
          <w:rFonts w:ascii="Segoe UI"/>
          <w:color w:val="231F20"/>
          <w:sz w:val="16"/>
        </w:rPr>
        <w:t>on</w:t>
      </w:r>
      <w:r>
        <w:rPr>
          <w:rFonts w:ascii="Segoe UI"/>
          <w:color w:val="231F20"/>
          <w:spacing w:val="-3"/>
          <w:sz w:val="16"/>
        </w:rPr>
        <w:t> </w:t>
      </w:r>
      <w:r>
        <w:rPr>
          <w:rFonts w:ascii="Segoe UI"/>
          <w:color w:val="231F20"/>
          <w:sz w:val="16"/>
        </w:rPr>
        <w:t>the</w:t>
      </w:r>
      <w:r>
        <w:rPr>
          <w:rFonts w:ascii="Segoe UI"/>
          <w:color w:val="231F20"/>
          <w:spacing w:val="-4"/>
          <w:sz w:val="16"/>
        </w:rPr>
        <w:t> </w:t>
      </w:r>
      <w:r>
        <w:rPr>
          <w:rFonts w:ascii="Segoe UI"/>
          <w:color w:val="231F20"/>
          <w:spacing w:val="-1"/>
          <w:sz w:val="16"/>
        </w:rPr>
        <w:t>individual</w:t>
      </w:r>
      <w:r>
        <w:rPr>
          <w:rFonts w:ascii="Segoe UI"/>
          <w:color w:val="231F20"/>
          <w:spacing w:val="21"/>
          <w:sz w:val="16"/>
        </w:rPr>
        <w:t> </w:t>
      </w:r>
      <w:r>
        <w:rPr>
          <w:rFonts w:ascii="Segoe UI"/>
          <w:color w:val="231F20"/>
          <w:sz w:val="16"/>
        </w:rPr>
        <w:t>circumstances</w:t>
      </w:r>
      <w:r>
        <w:rPr>
          <w:rFonts w:ascii="Segoe UI"/>
          <w:color w:val="231F20"/>
          <w:spacing w:val="-7"/>
          <w:sz w:val="16"/>
        </w:rPr>
        <w:t> </w:t>
      </w:r>
      <w:r>
        <w:rPr>
          <w:rFonts w:ascii="Segoe UI"/>
          <w:color w:val="231F20"/>
          <w:sz w:val="16"/>
        </w:rPr>
        <w:t>of</w:t>
      </w:r>
      <w:r>
        <w:rPr>
          <w:rFonts w:ascii="Segoe UI"/>
          <w:color w:val="231F20"/>
          <w:spacing w:val="-5"/>
          <w:sz w:val="16"/>
        </w:rPr>
        <w:t> </w:t>
      </w:r>
      <w:r>
        <w:rPr>
          <w:rFonts w:ascii="Segoe UI"/>
          <w:color w:val="231F20"/>
          <w:sz w:val="16"/>
        </w:rPr>
        <w:t>each</w:t>
      </w:r>
      <w:r>
        <w:rPr>
          <w:rFonts w:ascii="Segoe UI"/>
          <w:color w:val="231F20"/>
          <w:spacing w:val="-6"/>
          <w:sz w:val="16"/>
        </w:rPr>
        <w:t> </w:t>
      </w:r>
      <w:r>
        <w:rPr>
          <w:rFonts w:ascii="Segoe UI"/>
          <w:color w:val="231F20"/>
          <w:spacing w:val="-1"/>
          <w:sz w:val="16"/>
        </w:rPr>
        <w:t>student.</w:t>
      </w:r>
      <w:r>
        <w:rPr>
          <w:rFonts w:ascii="Segoe UI"/>
          <w:color w:val="231F20"/>
          <w:spacing w:val="-5"/>
          <w:sz w:val="16"/>
        </w:rPr>
        <w:t> </w:t>
      </w:r>
      <w:r>
        <w:rPr>
          <w:rFonts w:ascii="Segoe UI"/>
          <w:color w:val="231F20"/>
          <w:sz w:val="16"/>
        </w:rPr>
        <w:t>The</w:t>
      </w:r>
      <w:r>
        <w:rPr>
          <w:rFonts w:ascii="Segoe UI"/>
          <w:color w:val="231F20"/>
          <w:spacing w:val="-6"/>
          <w:sz w:val="16"/>
        </w:rPr>
        <w:t> </w:t>
      </w:r>
      <w:r>
        <w:rPr>
          <w:rFonts w:ascii="Segoe UI"/>
          <w:color w:val="231F20"/>
          <w:sz w:val="16"/>
        </w:rPr>
        <w:t>total</w:t>
      </w:r>
      <w:r>
        <w:rPr>
          <w:rFonts w:ascii="Segoe UI"/>
          <w:color w:val="231F20"/>
          <w:spacing w:val="-6"/>
          <w:sz w:val="16"/>
        </w:rPr>
        <w:t> </w:t>
      </w:r>
      <w:r>
        <w:rPr>
          <w:rFonts w:ascii="Segoe UI"/>
          <w:color w:val="231F20"/>
          <w:sz w:val="16"/>
        </w:rPr>
        <w:t>quantum</w:t>
      </w:r>
      <w:r>
        <w:rPr>
          <w:rFonts w:ascii="Segoe UI"/>
          <w:color w:val="231F20"/>
          <w:spacing w:val="22"/>
          <w:w w:val="99"/>
          <w:sz w:val="16"/>
        </w:rPr>
        <w:t> </w:t>
      </w:r>
      <w:r>
        <w:rPr>
          <w:rFonts w:ascii="Segoe UI"/>
          <w:color w:val="231F20"/>
          <w:sz w:val="16"/>
        </w:rPr>
        <w:t>of</w:t>
      </w:r>
      <w:r>
        <w:rPr>
          <w:rFonts w:ascii="Segoe UI"/>
          <w:color w:val="231F20"/>
          <w:spacing w:val="-5"/>
          <w:sz w:val="16"/>
        </w:rPr>
        <w:t> </w:t>
      </w:r>
      <w:r>
        <w:rPr>
          <w:rFonts w:ascii="Segoe UI"/>
          <w:color w:val="231F20"/>
          <w:sz w:val="16"/>
        </w:rPr>
        <w:t>ABSTUDY</w:t>
      </w:r>
      <w:r>
        <w:rPr>
          <w:rFonts w:ascii="Segoe UI"/>
          <w:color w:val="231F20"/>
          <w:spacing w:val="-4"/>
          <w:sz w:val="16"/>
        </w:rPr>
        <w:t> </w:t>
      </w:r>
      <w:r>
        <w:rPr>
          <w:rFonts w:ascii="Segoe UI"/>
          <w:color w:val="231F20"/>
          <w:sz w:val="16"/>
        </w:rPr>
        <w:t>revenue</w:t>
      </w:r>
      <w:r>
        <w:rPr>
          <w:rFonts w:ascii="Segoe UI"/>
          <w:color w:val="231F20"/>
          <w:spacing w:val="-5"/>
          <w:sz w:val="16"/>
        </w:rPr>
        <w:t> </w:t>
      </w:r>
      <w:r>
        <w:rPr>
          <w:rFonts w:ascii="Segoe UI"/>
          <w:color w:val="231F20"/>
          <w:sz w:val="16"/>
        </w:rPr>
        <w:t>foregone</w:t>
      </w:r>
      <w:r>
        <w:rPr>
          <w:rFonts w:ascii="Segoe UI"/>
          <w:color w:val="231F20"/>
          <w:spacing w:val="-4"/>
          <w:sz w:val="16"/>
        </w:rPr>
        <w:t> </w:t>
      </w:r>
      <w:r>
        <w:rPr>
          <w:rFonts w:ascii="Segoe UI"/>
          <w:color w:val="231F20"/>
          <w:sz w:val="16"/>
        </w:rPr>
        <w:t>by</w:t>
      </w:r>
      <w:r>
        <w:rPr>
          <w:rFonts w:ascii="Segoe UI"/>
          <w:color w:val="231F20"/>
          <w:spacing w:val="-4"/>
          <w:sz w:val="16"/>
        </w:rPr>
        <w:t> </w:t>
      </w:r>
      <w:r>
        <w:rPr>
          <w:rFonts w:ascii="Segoe UI"/>
          <w:color w:val="231F20"/>
          <w:sz w:val="16"/>
        </w:rPr>
        <w:t>providers</w:t>
      </w:r>
      <w:r>
        <w:rPr>
          <w:rFonts w:ascii="Segoe UI"/>
          <w:color w:val="231F20"/>
          <w:spacing w:val="-5"/>
          <w:sz w:val="16"/>
        </w:rPr>
        <w:t> </w:t>
      </w:r>
      <w:r>
        <w:rPr>
          <w:rFonts w:ascii="Segoe UI"/>
          <w:color w:val="231F20"/>
          <w:sz w:val="16"/>
        </w:rPr>
        <w:t>not</w:t>
      </w:r>
      <w:r>
        <w:rPr>
          <w:rFonts w:ascii="Segoe UI"/>
          <w:color w:val="231F20"/>
          <w:w w:val="99"/>
          <w:sz w:val="16"/>
        </w:rPr>
        <w:t> </w:t>
      </w:r>
      <w:r>
        <w:rPr>
          <w:rFonts w:ascii="Segoe UI"/>
          <w:color w:val="231F20"/>
          <w:spacing w:val="-1"/>
          <w:sz w:val="16"/>
        </w:rPr>
        <w:t>setting</w:t>
      </w:r>
      <w:r>
        <w:rPr>
          <w:rFonts w:ascii="Segoe UI"/>
          <w:color w:val="231F20"/>
          <w:spacing w:val="-3"/>
          <w:sz w:val="16"/>
        </w:rPr>
        <w:t> </w:t>
      </w:r>
      <w:r>
        <w:rPr>
          <w:rFonts w:ascii="Segoe UI"/>
          <w:color w:val="231F20"/>
          <w:sz w:val="16"/>
        </w:rPr>
        <w:t>fees</w:t>
      </w:r>
      <w:r>
        <w:rPr>
          <w:rFonts w:ascii="Segoe UI"/>
          <w:color w:val="231F20"/>
          <w:spacing w:val="-4"/>
          <w:sz w:val="16"/>
        </w:rPr>
        <w:t> </w:t>
      </w:r>
      <w:r>
        <w:rPr>
          <w:rFonts w:ascii="Segoe UI"/>
          <w:color w:val="231F20"/>
          <w:sz w:val="16"/>
        </w:rPr>
        <w:t>at</w:t>
      </w:r>
      <w:r>
        <w:rPr>
          <w:rFonts w:ascii="Segoe UI"/>
          <w:color w:val="231F20"/>
          <w:spacing w:val="-3"/>
          <w:sz w:val="16"/>
        </w:rPr>
        <w:t> </w:t>
      </w:r>
      <w:r>
        <w:rPr>
          <w:rFonts w:ascii="Segoe UI"/>
          <w:color w:val="231F20"/>
          <w:sz w:val="16"/>
        </w:rPr>
        <w:t>the</w:t>
      </w:r>
      <w:r>
        <w:rPr>
          <w:rFonts w:ascii="Segoe UI"/>
          <w:color w:val="231F20"/>
          <w:spacing w:val="-3"/>
          <w:sz w:val="16"/>
        </w:rPr>
        <w:t> </w:t>
      </w:r>
      <w:r>
        <w:rPr>
          <w:rFonts w:ascii="Segoe UI"/>
          <w:color w:val="231F20"/>
          <w:spacing w:val="-1"/>
          <w:sz w:val="16"/>
        </w:rPr>
        <w:t>maximum</w:t>
      </w:r>
      <w:r>
        <w:rPr>
          <w:rFonts w:ascii="Segoe UI"/>
          <w:color w:val="231F20"/>
          <w:spacing w:val="-3"/>
          <w:sz w:val="16"/>
        </w:rPr>
        <w:t> </w:t>
      </w:r>
      <w:r>
        <w:rPr>
          <w:rFonts w:ascii="Segoe UI"/>
          <w:color w:val="231F20"/>
          <w:sz w:val="16"/>
        </w:rPr>
        <w:t>ABSTUDY</w:t>
      </w:r>
      <w:r>
        <w:rPr>
          <w:rFonts w:ascii="Segoe UI"/>
          <w:color w:val="231F20"/>
          <w:spacing w:val="-3"/>
          <w:sz w:val="16"/>
        </w:rPr>
        <w:t> </w:t>
      </w:r>
      <w:r>
        <w:rPr>
          <w:rFonts w:ascii="Segoe UI"/>
          <w:color w:val="231F20"/>
          <w:sz w:val="16"/>
        </w:rPr>
        <w:t>entitlement</w:t>
      </w:r>
      <w:r>
        <w:rPr>
          <w:rFonts w:ascii="Segoe UI"/>
          <w:color w:val="231F20"/>
          <w:spacing w:val="23"/>
          <w:w w:val="99"/>
          <w:sz w:val="16"/>
        </w:rPr>
        <w:t> </w:t>
      </w:r>
      <w:r>
        <w:rPr>
          <w:rFonts w:ascii="Segoe UI"/>
          <w:color w:val="231F20"/>
          <w:sz w:val="16"/>
        </w:rPr>
        <w:t>cannot</w:t>
      </w:r>
      <w:r>
        <w:rPr>
          <w:rFonts w:ascii="Segoe UI"/>
          <w:color w:val="231F20"/>
          <w:spacing w:val="-6"/>
          <w:sz w:val="16"/>
        </w:rPr>
        <w:t> </w:t>
      </w:r>
      <w:r>
        <w:rPr>
          <w:rFonts w:ascii="Segoe UI"/>
          <w:color w:val="231F20"/>
          <w:sz w:val="16"/>
        </w:rPr>
        <w:t>be</w:t>
      </w:r>
      <w:r>
        <w:rPr>
          <w:rFonts w:ascii="Segoe UI"/>
          <w:color w:val="231F20"/>
          <w:spacing w:val="-4"/>
          <w:sz w:val="16"/>
        </w:rPr>
        <w:t> </w:t>
      </w:r>
      <w:r>
        <w:rPr>
          <w:rFonts w:ascii="Segoe UI"/>
          <w:color w:val="231F20"/>
          <w:sz w:val="16"/>
        </w:rPr>
        <w:t>calculated</w:t>
      </w:r>
      <w:r>
        <w:rPr>
          <w:rFonts w:ascii="Segoe UI"/>
          <w:color w:val="231F20"/>
          <w:spacing w:val="-5"/>
          <w:sz w:val="16"/>
        </w:rPr>
        <w:t> </w:t>
      </w:r>
      <w:r>
        <w:rPr>
          <w:rFonts w:ascii="Segoe UI"/>
          <w:color w:val="231F20"/>
          <w:sz w:val="16"/>
        </w:rPr>
        <w:t>without</w:t>
      </w:r>
      <w:r>
        <w:rPr>
          <w:rFonts w:ascii="Segoe UI"/>
          <w:color w:val="231F20"/>
          <w:spacing w:val="-6"/>
          <w:sz w:val="16"/>
        </w:rPr>
        <w:t> </w:t>
      </w:r>
      <w:r>
        <w:rPr>
          <w:rFonts w:ascii="Segoe UI"/>
          <w:color w:val="231F20"/>
          <w:sz w:val="16"/>
        </w:rPr>
        <w:t>accessing</w:t>
      </w:r>
      <w:r>
        <w:rPr>
          <w:rFonts w:ascii="Segoe UI"/>
          <w:color w:val="231F20"/>
          <w:spacing w:val="-5"/>
          <w:sz w:val="16"/>
        </w:rPr>
        <w:t> </w:t>
      </w:r>
      <w:r>
        <w:rPr>
          <w:rFonts w:ascii="Segoe UI"/>
          <w:color w:val="231F20"/>
          <w:sz w:val="16"/>
        </w:rPr>
        <w:t>the</w:t>
      </w:r>
      <w:r>
        <w:rPr>
          <w:rFonts w:ascii="Segoe UI"/>
          <w:color w:val="231F20"/>
          <w:w w:val="99"/>
          <w:sz w:val="16"/>
        </w:rPr>
        <w:t> </w:t>
      </w:r>
      <w:r>
        <w:rPr>
          <w:rFonts w:ascii="Segoe UI"/>
          <w:color w:val="231F20"/>
          <w:sz w:val="16"/>
        </w:rPr>
        <w:t>personal</w:t>
      </w:r>
      <w:r>
        <w:rPr>
          <w:rFonts w:ascii="Segoe UI"/>
          <w:color w:val="231F20"/>
          <w:spacing w:val="-6"/>
          <w:sz w:val="16"/>
        </w:rPr>
        <w:t> </w:t>
      </w:r>
      <w:r>
        <w:rPr>
          <w:rFonts w:ascii="Segoe UI"/>
          <w:color w:val="231F20"/>
          <w:sz w:val="16"/>
        </w:rPr>
        <w:t>circumstances</w:t>
      </w:r>
      <w:r>
        <w:rPr>
          <w:rFonts w:ascii="Segoe UI"/>
          <w:color w:val="231F20"/>
          <w:spacing w:val="-6"/>
          <w:sz w:val="16"/>
        </w:rPr>
        <w:t> </w:t>
      </w:r>
      <w:r>
        <w:rPr>
          <w:rFonts w:ascii="Segoe UI"/>
          <w:color w:val="231F20"/>
          <w:sz w:val="16"/>
        </w:rPr>
        <w:t>of</w:t>
      </w:r>
      <w:r>
        <w:rPr>
          <w:rFonts w:ascii="Segoe UI"/>
          <w:color w:val="231F20"/>
          <w:spacing w:val="-5"/>
          <w:sz w:val="16"/>
        </w:rPr>
        <w:t> </w:t>
      </w:r>
      <w:r>
        <w:rPr>
          <w:rFonts w:ascii="Segoe UI"/>
          <w:color w:val="231F20"/>
          <w:sz w:val="16"/>
        </w:rPr>
        <w:t>each</w:t>
      </w:r>
      <w:r>
        <w:rPr>
          <w:rFonts w:ascii="Segoe UI"/>
          <w:color w:val="231F20"/>
          <w:spacing w:val="-5"/>
          <w:sz w:val="16"/>
        </w:rPr>
        <w:t> </w:t>
      </w:r>
      <w:r>
        <w:rPr>
          <w:rFonts w:ascii="Segoe UI"/>
          <w:color w:val="231F20"/>
          <w:spacing w:val="-1"/>
          <w:sz w:val="16"/>
        </w:rPr>
        <w:t>student</w:t>
      </w:r>
      <w:r>
        <w:rPr>
          <w:rFonts w:ascii="Segoe UI"/>
          <w:color w:val="231F20"/>
          <w:spacing w:val="-4"/>
          <w:sz w:val="16"/>
        </w:rPr>
        <w:t> </w:t>
      </w:r>
      <w:r>
        <w:rPr>
          <w:rFonts w:ascii="Segoe UI"/>
          <w:color w:val="231F20"/>
          <w:sz w:val="16"/>
        </w:rPr>
        <w:t>and</w:t>
      </w:r>
      <w:r>
        <w:rPr>
          <w:rFonts w:ascii="Segoe UI"/>
          <w:color w:val="231F20"/>
          <w:spacing w:val="-6"/>
          <w:sz w:val="16"/>
        </w:rPr>
        <w:t> </w:t>
      </w:r>
      <w:r>
        <w:rPr>
          <w:rFonts w:ascii="Segoe UI"/>
          <w:color w:val="231F20"/>
          <w:spacing w:val="-1"/>
          <w:sz w:val="16"/>
        </w:rPr>
        <w:t>is</w:t>
      </w:r>
      <w:r>
        <w:rPr>
          <w:rFonts w:ascii="Segoe UI"/>
          <w:color w:val="231F20"/>
          <w:spacing w:val="21"/>
          <w:sz w:val="16"/>
        </w:rPr>
        <w:t> </w:t>
      </w:r>
      <w:r>
        <w:rPr>
          <w:rFonts w:ascii="Segoe UI"/>
          <w:color w:val="231F20"/>
          <w:sz w:val="16"/>
        </w:rPr>
        <w:t>therefore</w:t>
      </w:r>
      <w:r>
        <w:rPr>
          <w:rFonts w:ascii="Segoe UI"/>
          <w:color w:val="231F20"/>
          <w:spacing w:val="-4"/>
          <w:sz w:val="16"/>
        </w:rPr>
        <w:t> </w:t>
      </w:r>
      <w:r>
        <w:rPr>
          <w:rFonts w:ascii="Segoe UI"/>
          <w:color w:val="231F20"/>
          <w:sz w:val="16"/>
        </w:rPr>
        <w:t>outside</w:t>
      </w:r>
      <w:r>
        <w:rPr>
          <w:rFonts w:ascii="Segoe UI"/>
          <w:color w:val="231F20"/>
          <w:spacing w:val="-3"/>
          <w:sz w:val="16"/>
        </w:rPr>
        <w:t> </w:t>
      </w:r>
      <w:r>
        <w:rPr>
          <w:rFonts w:ascii="Segoe UI"/>
          <w:color w:val="231F20"/>
          <w:sz w:val="16"/>
        </w:rPr>
        <w:t>the</w:t>
      </w:r>
      <w:r>
        <w:rPr>
          <w:rFonts w:ascii="Segoe UI"/>
          <w:color w:val="231F20"/>
          <w:spacing w:val="-4"/>
          <w:sz w:val="16"/>
        </w:rPr>
        <w:t> </w:t>
      </w:r>
      <w:r>
        <w:rPr>
          <w:rFonts w:ascii="Segoe UI"/>
          <w:color w:val="231F20"/>
          <w:spacing w:val="-1"/>
          <w:sz w:val="16"/>
        </w:rPr>
        <w:t>scope</w:t>
      </w:r>
      <w:r>
        <w:rPr>
          <w:rFonts w:ascii="Segoe UI"/>
          <w:color w:val="231F20"/>
          <w:spacing w:val="-2"/>
          <w:sz w:val="16"/>
        </w:rPr>
        <w:t> </w:t>
      </w:r>
      <w:r>
        <w:rPr>
          <w:rFonts w:ascii="Segoe UI"/>
          <w:color w:val="231F20"/>
          <w:sz w:val="16"/>
        </w:rPr>
        <w:t>of</w:t>
      </w:r>
      <w:r>
        <w:rPr>
          <w:rFonts w:ascii="Segoe UI"/>
          <w:color w:val="231F20"/>
          <w:spacing w:val="-3"/>
          <w:sz w:val="16"/>
        </w:rPr>
        <w:t> </w:t>
      </w:r>
      <w:r>
        <w:rPr>
          <w:rFonts w:ascii="Segoe UI"/>
          <w:color w:val="231F20"/>
          <w:sz w:val="16"/>
        </w:rPr>
        <w:t>this</w:t>
      </w:r>
      <w:r>
        <w:rPr>
          <w:rFonts w:ascii="Segoe UI"/>
          <w:color w:val="231F20"/>
          <w:spacing w:val="-3"/>
          <w:sz w:val="16"/>
        </w:rPr>
        <w:t> </w:t>
      </w:r>
      <w:r>
        <w:rPr>
          <w:rFonts w:ascii="Segoe UI"/>
          <w:color w:val="231F20"/>
          <w:sz w:val="16"/>
        </w:rPr>
        <w:t>report</w:t>
      </w:r>
      <w:r>
        <w:rPr>
          <w:rFonts w:ascii="Segoe UI"/>
          <w:sz w:val="16"/>
        </w:rPr>
      </w:r>
    </w:p>
    <w:p>
      <w:pPr>
        <w:numPr>
          <w:ilvl w:val="0"/>
          <w:numId w:val="13"/>
        </w:numPr>
        <w:tabs>
          <w:tab w:pos="668" w:val="left" w:leader="none"/>
        </w:tabs>
        <w:spacing w:line="200" w:lineRule="exact" w:before="113"/>
        <w:ind w:left="667" w:right="454" w:hanging="567"/>
        <w:jc w:val="left"/>
        <w:rPr>
          <w:rFonts w:ascii="Segoe UI" w:hAnsi="Segoe UI" w:cs="Segoe UI" w:eastAsia="Segoe UI"/>
          <w:sz w:val="16"/>
          <w:szCs w:val="16"/>
        </w:rPr>
      </w:pPr>
      <w:r>
        <w:rPr>
          <w:rFonts w:ascii="Segoe UI" w:hAnsi="Segoe UI" w:cs="Segoe UI" w:eastAsia="Segoe UI"/>
          <w:color w:val="231F20"/>
          <w:spacing w:val="-1"/>
          <w:sz w:val="16"/>
          <w:szCs w:val="16"/>
        </w:rPr>
        <w:t>Department</w:t>
      </w:r>
      <w:r>
        <w:rPr>
          <w:rFonts w:ascii="Segoe UI" w:hAnsi="Segoe UI" w:cs="Segoe UI" w:eastAsia="Segoe UI"/>
          <w:color w:val="231F20"/>
          <w:spacing w:val="-5"/>
          <w:sz w:val="16"/>
          <w:szCs w:val="16"/>
        </w:rPr>
        <w:t> </w:t>
      </w:r>
      <w:r>
        <w:rPr>
          <w:rFonts w:ascii="Segoe UI" w:hAnsi="Segoe UI" w:cs="Segoe UI" w:eastAsia="Segoe UI"/>
          <w:color w:val="231F20"/>
          <w:sz w:val="16"/>
          <w:szCs w:val="16"/>
        </w:rPr>
        <w:t>of</w:t>
      </w:r>
      <w:r>
        <w:rPr>
          <w:rFonts w:ascii="Segoe UI" w:hAnsi="Segoe UI" w:cs="Segoe UI" w:eastAsia="Segoe UI"/>
          <w:color w:val="231F20"/>
          <w:spacing w:val="-5"/>
          <w:sz w:val="16"/>
          <w:szCs w:val="16"/>
        </w:rPr>
        <w:t> </w:t>
      </w:r>
      <w:r>
        <w:rPr>
          <w:rFonts w:ascii="Segoe UI" w:hAnsi="Segoe UI" w:cs="Segoe UI" w:eastAsia="Segoe UI"/>
          <w:color w:val="231F20"/>
          <w:sz w:val="16"/>
          <w:szCs w:val="16"/>
        </w:rPr>
        <w:t>Human</w:t>
      </w:r>
      <w:r>
        <w:rPr>
          <w:rFonts w:ascii="Segoe UI" w:hAnsi="Segoe UI" w:cs="Segoe UI" w:eastAsia="Segoe UI"/>
          <w:color w:val="231F20"/>
          <w:spacing w:val="-6"/>
          <w:sz w:val="16"/>
          <w:szCs w:val="16"/>
        </w:rPr>
        <w:t> </w:t>
      </w:r>
      <w:r>
        <w:rPr>
          <w:rFonts w:ascii="Segoe UI" w:hAnsi="Segoe UI" w:cs="Segoe UI" w:eastAsia="Segoe UI"/>
          <w:color w:val="231F20"/>
          <w:spacing w:val="-1"/>
          <w:sz w:val="16"/>
          <w:szCs w:val="16"/>
        </w:rPr>
        <w:t>Services,</w:t>
      </w:r>
      <w:r>
        <w:rPr>
          <w:rFonts w:ascii="Segoe UI" w:hAnsi="Segoe UI" w:cs="Segoe UI" w:eastAsia="Segoe UI"/>
          <w:color w:val="231F20"/>
          <w:spacing w:val="-6"/>
          <w:sz w:val="16"/>
          <w:szCs w:val="16"/>
        </w:rPr>
        <w:t> </w:t>
      </w:r>
      <w:r>
        <w:rPr>
          <w:rFonts w:ascii="Segoe UI" w:hAnsi="Segoe UI" w:cs="Segoe UI" w:eastAsia="Segoe UI"/>
          <w:color w:val="231F20"/>
          <w:spacing w:val="-1"/>
          <w:sz w:val="16"/>
          <w:szCs w:val="16"/>
        </w:rPr>
        <w:t>Submission</w:t>
      </w:r>
      <w:r>
        <w:rPr>
          <w:rFonts w:ascii="Segoe UI" w:hAnsi="Segoe UI" w:cs="Segoe UI" w:eastAsia="Segoe UI"/>
          <w:color w:val="231F20"/>
          <w:spacing w:val="25"/>
          <w:sz w:val="16"/>
          <w:szCs w:val="16"/>
        </w:rPr>
        <w:t> </w:t>
      </w:r>
      <w:r>
        <w:rPr>
          <w:rFonts w:ascii="Segoe UI" w:hAnsi="Segoe UI" w:cs="Segoe UI" w:eastAsia="Segoe UI"/>
          <w:color w:val="231F20"/>
          <w:spacing w:val="-1"/>
          <w:sz w:val="16"/>
          <w:szCs w:val="16"/>
        </w:rPr>
        <w:t>50</w:t>
      </w:r>
      <w:r>
        <w:rPr>
          <w:rFonts w:ascii="Segoe UI" w:hAnsi="Segoe UI" w:cs="Segoe UI" w:eastAsia="Segoe UI"/>
          <w:color w:val="231F20"/>
          <w:spacing w:val="-3"/>
          <w:sz w:val="16"/>
          <w:szCs w:val="16"/>
        </w:rPr>
        <w:t> </w:t>
      </w:r>
      <w:r>
        <w:rPr>
          <w:rFonts w:ascii="Segoe UI" w:hAnsi="Segoe UI" w:cs="Segoe UI" w:eastAsia="Segoe UI"/>
          <w:color w:val="231F20"/>
          <w:sz w:val="16"/>
          <w:szCs w:val="16"/>
        </w:rPr>
        <w:t>–</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supplementary</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submission,</w:t>
      </w:r>
      <w:r>
        <w:rPr>
          <w:rFonts w:ascii="Segoe UI" w:hAnsi="Segoe UI" w:cs="Segoe UI" w:eastAsia="Segoe UI"/>
          <w:color w:val="231F20"/>
          <w:spacing w:val="-2"/>
          <w:sz w:val="16"/>
          <w:szCs w:val="16"/>
        </w:rPr>
        <w:t> </w:t>
      </w:r>
      <w:r>
        <w:rPr>
          <w:rFonts w:ascii="Segoe UI" w:hAnsi="Segoe UI" w:cs="Segoe UI" w:eastAsia="Segoe UI"/>
          <w:i/>
          <w:color w:val="231F20"/>
          <w:sz w:val="16"/>
          <w:szCs w:val="16"/>
        </w:rPr>
        <w:t>The</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power</w:t>
      </w:r>
      <w:r>
        <w:rPr>
          <w:rFonts w:ascii="Segoe UI" w:hAnsi="Segoe UI" w:cs="Segoe UI" w:eastAsia="Segoe UI"/>
          <w:i/>
          <w:color w:val="231F20"/>
          <w:spacing w:val="-3"/>
          <w:sz w:val="16"/>
          <w:szCs w:val="16"/>
        </w:rPr>
        <w:t> </w:t>
      </w:r>
      <w:r>
        <w:rPr>
          <w:rFonts w:ascii="Segoe UI" w:hAnsi="Segoe UI" w:cs="Segoe UI" w:eastAsia="Segoe UI"/>
          <w:i/>
          <w:color w:val="231F20"/>
          <w:spacing w:val="-2"/>
          <w:sz w:val="16"/>
          <w:szCs w:val="16"/>
        </w:rPr>
        <w:t>of</w:t>
      </w:r>
      <w:r>
        <w:rPr>
          <w:rFonts w:ascii="Segoe UI" w:hAnsi="Segoe UI" w:cs="Segoe UI" w:eastAsia="Segoe UI"/>
          <w:sz w:val="16"/>
          <w:szCs w:val="16"/>
        </w:rPr>
      </w:r>
    </w:p>
    <w:p>
      <w:pPr>
        <w:spacing w:line="200" w:lineRule="exact" w:before="0"/>
        <w:ind w:left="667" w:right="63" w:firstLine="0"/>
        <w:jc w:val="left"/>
        <w:rPr>
          <w:rFonts w:ascii="Segoe UI" w:hAnsi="Segoe UI" w:cs="Segoe UI" w:eastAsia="Segoe UI"/>
          <w:sz w:val="16"/>
          <w:szCs w:val="16"/>
        </w:rPr>
      </w:pPr>
      <w:r>
        <w:rPr>
          <w:rFonts w:ascii="Segoe UI" w:hAnsi="Segoe UI" w:cs="Segoe UI" w:eastAsia="Segoe UI"/>
          <w:i/>
          <w:color w:val="231F20"/>
          <w:sz w:val="16"/>
          <w:szCs w:val="16"/>
        </w:rPr>
        <w:t>education:</w:t>
      </w:r>
      <w:r>
        <w:rPr>
          <w:rFonts w:ascii="Segoe UI" w:hAnsi="Segoe UI" w:cs="Segoe UI" w:eastAsia="Segoe UI"/>
          <w:i/>
          <w:color w:val="231F20"/>
          <w:spacing w:val="-8"/>
          <w:sz w:val="16"/>
          <w:szCs w:val="16"/>
        </w:rPr>
        <w:t> </w:t>
      </w:r>
      <w:r>
        <w:rPr>
          <w:rFonts w:ascii="Segoe UI" w:hAnsi="Segoe UI" w:cs="Segoe UI" w:eastAsia="Segoe UI"/>
          <w:i/>
          <w:color w:val="231F20"/>
          <w:spacing w:val="-1"/>
          <w:sz w:val="16"/>
          <w:szCs w:val="16"/>
        </w:rPr>
        <w:t>From</w:t>
      </w:r>
      <w:r>
        <w:rPr>
          <w:rFonts w:ascii="Segoe UI" w:hAnsi="Segoe UI" w:cs="Segoe UI" w:eastAsia="Segoe UI"/>
          <w:i/>
          <w:color w:val="231F20"/>
          <w:spacing w:val="-6"/>
          <w:sz w:val="16"/>
          <w:szCs w:val="16"/>
        </w:rPr>
        <w:t> </w:t>
      </w:r>
      <w:r>
        <w:rPr>
          <w:rFonts w:ascii="Segoe UI" w:hAnsi="Segoe UI" w:cs="Segoe UI" w:eastAsia="Segoe UI"/>
          <w:i/>
          <w:color w:val="231F20"/>
          <w:spacing w:val="-1"/>
          <w:sz w:val="16"/>
          <w:szCs w:val="16"/>
        </w:rPr>
        <w:t>surviving</w:t>
      </w:r>
      <w:r>
        <w:rPr>
          <w:rFonts w:ascii="Segoe UI" w:hAnsi="Segoe UI" w:cs="Segoe UI" w:eastAsia="Segoe UI"/>
          <w:i/>
          <w:color w:val="231F20"/>
          <w:spacing w:val="-7"/>
          <w:sz w:val="16"/>
          <w:szCs w:val="16"/>
        </w:rPr>
        <w:t> </w:t>
      </w:r>
      <w:r>
        <w:rPr>
          <w:rFonts w:ascii="Segoe UI" w:hAnsi="Segoe UI" w:cs="Segoe UI" w:eastAsia="Segoe UI"/>
          <w:i/>
          <w:color w:val="231F20"/>
          <w:sz w:val="16"/>
          <w:szCs w:val="16"/>
        </w:rPr>
        <w:t>to</w:t>
      </w:r>
      <w:r>
        <w:rPr>
          <w:rFonts w:ascii="Segoe UI" w:hAnsi="Segoe UI" w:cs="Segoe UI" w:eastAsia="Segoe UI"/>
          <w:i/>
          <w:color w:val="231F20"/>
          <w:spacing w:val="-7"/>
          <w:sz w:val="16"/>
          <w:szCs w:val="16"/>
        </w:rPr>
        <w:t> </w:t>
      </w:r>
      <w:r>
        <w:rPr>
          <w:rFonts w:ascii="Segoe UI" w:hAnsi="Segoe UI" w:cs="Segoe UI" w:eastAsia="Segoe UI"/>
          <w:i/>
          <w:color w:val="231F20"/>
          <w:spacing w:val="-1"/>
          <w:sz w:val="16"/>
          <w:szCs w:val="16"/>
        </w:rPr>
        <w:t>thriving—Educational</w:t>
      </w:r>
      <w:r>
        <w:rPr>
          <w:rFonts w:ascii="Segoe UI" w:hAnsi="Segoe UI" w:cs="Segoe UI" w:eastAsia="Segoe UI"/>
          <w:i/>
          <w:color w:val="231F20"/>
          <w:spacing w:val="55"/>
          <w:w w:val="99"/>
          <w:sz w:val="16"/>
          <w:szCs w:val="16"/>
        </w:rPr>
        <w:t> </w:t>
      </w:r>
      <w:r>
        <w:rPr>
          <w:rFonts w:ascii="Segoe UI" w:hAnsi="Segoe UI" w:cs="Segoe UI" w:eastAsia="Segoe UI"/>
          <w:i/>
          <w:color w:val="231F20"/>
          <w:spacing w:val="-1"/>
          <w:sz w:val="16"/>
          <w:szCs w:val="16"/>
        </w:rPr>
        <w:t>opportunities</w:t>
      </w:r>
      <w:r>
        <w:rPr>
          <w:rFonts w:ascii="Segoe UI" w:hAnsi="Segoe UI" w:cs="Segoe UI" w:eastAsia="Segoe UI"/>
          <w:i/>
          <w:color w:val="231F20"/>
          <w:spacing w:val="-3"/>
          <w:sz w:val="16"/>
          <w:szCs w:val="16"/>
        </w:rPr>
        <w:t> </w:t>
      </w:r>
      <w:r>
        <w:rPr>
          <w:rFonts w:ascii="Segoe UI" w:hAnsi="Segoe UI" w:cs="Segoe UI" w:eastAsia="Segoe UI"/>
          <w:i/>
          <w:color w:val="231F20"/>
          <w:sz w:val="16"/>
          <w:szCs w:val="16"/>
        </w:rPr>
        <w:t>for</w:t>
      </w:r>
      <w:r>
        <w:rPr>
          <w:rFonts w:ascii="Segoe UI" w:hAnsi="Segoe UI" w:cs="Segoe UI" w:eastAsia="Segoe UI"/>
          <w:i/>
          <w:color w:val="231F20"/>
          <w:spacing w:val="-3"/>
          <w:sz w:val="16"/>
          <w:szCs w:val="16"/>
        </w:rPr>
        <w:t> </w:t>
      </w:r>
      <w:r>
        <w:rPr>
          <w:rFonts w:ascii="Segoe UI" w:hAnsi="Segoe UI" w:cs="Segoe UI" w:eastAsia="Segoe UI"/>
          <w:i/>
          <w:color w:val="231F20"/>
          <w:sz w:val="16"/>
          <w:szCs w:val="16"/>
        </w:rPr>
        <w:t>Aboriginal</w:t>
      </w:r>
      <w:r>
        <w:rPr>
          <w:rFonts w:ascii="Segoe UI" w:hAnsi="Segoe UI" w:cs="Segoe UI" w:eastAsia="Segoe UI"/>
          <w:i/>
          <w:color w:val="231F20"/>
          <w:spacing w:val="-4"/>
          <w:sz w:val="16"/>
          <w:szCs w:val="16"/>
        </w:rPr>
        <w:t> </w:t>
      </w:r>
      <w:r>
        <w:rPr>
          <w:rFonts w:ascii="Segoe UI" w:hAnsi="Segoe UI" w:cs="Segoe UI" w:eastAsia="Segoe UI"/>
          <w:i/>
          <w:color w:val="231F20"/>
          <w:sz w:val="16"/>
          <w:szCs w:val="16"/>
        </w:rPr>
        <w:t>and</w:t>
      </w:r>
      <w:r>
        <w:rPr>
          <w:rFonts w:ascii="Segoe UI" w:hAnsi="Segoe UI" w:cs="Segoe UI" w:eastAsia="Segoe UI"/>
          <w:i/>
          <w:color w:val="231F20"/>
          <w:spacing w:val="-2"/>
          <w:sz w:val="16"/>
          <w:szCs w:val="16"/>
        </w:rPr>
        <w:t> </w:t>
      </w:r>
      <w:r>
        <w:rPr>
          <w:rFonts w:ascii="Segoe UI" w:hAnsi="Segoe UI" w:cs="Segoe UI" w:eastAsia="Segoe UI"/>
          <w:i/>
          <w:color w:val="231F20"/>
          <w:spacing w:val="-3"/>
          <w:sz w:val="16"/>
          <w:szCs w:val="16"/>
        </w:rPr>
        <w:t>Torres</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Strait</w:t>
      </w:r>
      <w:r>
        <w:rPr>
          <w:rFonts w:ascii="Segoe UI" w:hAnsi="Segoe UI" w:cs="Segoe UI" w:eastAsia="Segoe UI"/>
          <w:i/>
          <w:color w:val="231F20"/>
          <w:spacing w:val="30"/>
          <w:sz w:val="16"/>
          <w:szCs w:val="16"/>
        </w:rPr>
        <w:t> </w:t>
      </w:r>
      <w:r>
        <w:rPr>
          <w:rFonts w:ascii="Segoe UI" w:hAnsi="Segoe UI" w:cs="Segoe UI" w:eastAsia="Segoe UI"/>
          <w:i/>
          <w:color w:val="231F20"/>
          <w:spacing w:val="-1"/>
          <w:sz w:val="16"/>
          <w:szCs w:val="16"/>
        </w:rPr>
        <w:t>Islander</w:t>
      </w:r>
      <w:r>
        <w:rPr>
          <w:rFonts w:ascii="Segoe UI" w:hAnsi="Segoe UI" w:cs="Segoe UI" w:eastAsia="Segoe UI"/>
          <w:i/>
          <w:color w:val="231F20"/>
          <w:spacing w:val="-4"/>
          <w:sz w:val="16"/>
          <w:szCs w:val="16"/>
        </w:rPr>
        <w:t> </w:t>
      </w:r>
      <w:r>
        <w:rPr>
          <w:rFonts w:ascii="Segoe UI" w:hAnsi="Segoe UI" w:cs="Segoe UI" w:eastAsia="Segoe UI"/>
          <w:i/>
          <w:color w:val="231F20"/>
          <w:sz w:val="16"/>
          <w:szCs w:val="16"/>
        </w:rPr>
        <w:t>students,</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House</w:t>
      </w:r>
      <w:r>
        <w:rPr>
          <w:rFonts w:ascii="Segoe UI" w:hAnsi="Segoe UI" w:cs="Segoe UI" w:eastAsia="Segoe UI"/>
          <w:i/>
          <w:color w:val="231F20"/>
          <w:spacing w:val="-3"/>
          <w:sz w:val="16"/>
          <w:szCs w:val="16"/>
        </w:rPr>
        <w:t> </w:t>
      </w:r>
      <w:r>
        <w:rPr>
          <w:rFonts w:ascii="Segoe UI" w:hAnsi="Segoe UI" w:cs="Segoe UI" w:eastAsia="Segoe UI"/>
          <w:i/>
          <w:color w:val="231F20"/>
          <w:spacing w:val="-2"/>
          <w:sz w:val="16"/>
          <w:szCs w:val="16"/>
        </w:rPr>
        <w:t>of</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Representatives</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Standing</w:t>
      </w:r>
      <w:r>
        <w:rPr>
          <w:rFonts w:ascii="Segoe UI" w:hAnsi="Segoe UI" w:cs="Segoe UI" w:eastAsia="Segoe UI"/>
          <w:i/>
          <w:color w:val="231F20"/>
          <w:spacing w:val="39"/>
          <w:w w:val="99"/>
          <w:sz w:val="16"/>
          <w:szCs w:val="16"/>
        </w:rPr>
        <w:t> </w:t>
      </w:r>
      <w:r>
        <w:rPr>
          <w:rFonts w:ascii="Segoe UI" w:hAnsi="Segoe UI" w:cs="Segoe UI" w:eastAsia="Segoe UI"/>
          <w:i/>
          <w:color w:val="231F20"/>
          <w:spacing w:val="-1"/>
          <w:sz w:val="16"/>
          <w:szCs w:val="16"/>
        </w:rPr>
        <w:t>Committee </w:t>
      </w:r>
      <w:r>
        <w:rPr>
          <w:rFonts w:ascii="Segoe UI" w:hAnsi="Segoe UI" w:cs="Segoe UI" w:eastAsia="Segoe UI"/>
          <w:i/>
          <w:color w:val="231F20"/>
          <w:sz w:val="16"/>
          <w:szCs w:val="16"/>
        </w:rPr>
        <w:t>on Indigenous Affairs</w:t>
      </w:r>
      <w:r>
        <w:rPr>
          <w:rFonts w:ascii="Segoe UI" w:hAnsi="Segoe UI" w:cs="Segoe UI" w:eastAsia="Segoe UI"/>
          <w:color w:val="231F20"/>
          <w:sz w:val="16"/>
          <w:szCs w:val="16"/>
        </w:rPr>
        <w:t>,</w:t>
      </w:r>
      <w:r>
        <w:rPr>
          <w:rFonts w:ascii="Segoe UI" w:hAnsi="Segoe UI" w:cs="Segoe UI" w:eastAsia="Segoe UI"/>
          <w:color w:val="231F20"/>
          <w:spacing w:val="-1"/>
          <w:sz w:val="16"/>
          <w:szCs w:val="16"/>
        </w:rPr>
        <w:t> </w:t>
      </w:r>
      <w:r>
        <w:rPr>
          <w:rFonts w:ascii="Segoe UI" w:hAnsi="Segoe UI" w:cs="Segoe UI" w:eastAsia="Segoe UI"/>
          <w:color w:val="231F20"/>
          <w:sz w:val="16"/>
          <w:szCs w:val="16"/>
        </w:rPr>
        <w:t>p. 5</w:t>
      </w:r>
      <w:r>
        <w:rPr>
          <w:rFonts w:ascii="Segoe UI" w:hAnsi="Segoe UI" w:cs="Segoe UI" w:eastAsia="Segoe UI"/>
          <w:sz w:val="16"/>
          <w:szCs w:val="16"/>
        </w:rPr>
      </w:r>
    </w:p>
    <w:p>
      <w:pPr>
        <w:numPr>
          <w:ilvl w:val="0"/>
          <w:numId w:val="13"/>
        </w:numPr>
        <w:tabs>
          <w:tab w:pos="668" w:val="left" w:leader="none"/>
        </w:tabs>
        <w:spacing w:line="200" w:lineRule="exact" w:before="113"/>
        <w:ind w:left="667" w:right="221" w:hanging="567"/>
        <w:jc w:val="left"/>
        <w:rPr>
          <w:rFonts w:ascii="Segoe UI" w:hAnsi="Segoe UI" w:cs="Segoe UI" w:eastAsia="Segoe UI"/>
          <w:sz w:val="16"/>
          <w:szCs w:val="16"/>
        </w:rPr>
      </w:pPr>
      <w:r>
        <w:rPr>
          <w:rFonts w:ascii="Segoe UI" w:hAnsi="Segoe UI" w:cs="Segoe UI" w:eastAsia="Segoe UI"/>
          <w:color w:val="231F20"/>
          <w:spacing w:val="-1"/>
          <w:sz w:val="16"/>
          <w:szCs w:val="16"/>
        </w:rPr>
        <w:t>Department</w:t>
      </w:r>
      <w:r>
        <w:rPr>
          <w:rFonts w:ascii="Segoe UI" w:hAnsi="Segoe UI" w:cs="Segoe UI" w:eastAsia="Segoe UI"/>
          <w:color w:val="231F20"/>
          <w:spacing w:val="-4"/>
          <w:sz w:val="16"/>
          <w:szCs w:val="16"/>
        </w:rPr>
        <w:t> </w:t>
      </w:r>
      <w:r>
        <w:rPr>
          <w:rFonts w:ascii="Segoe UI" w:hAnsi="Segoe UI" w:cs="Segoe UI" w:eastAsia="Segoe UI"/>
          <w:color w:val="231F20"/>
          <w:sz w:val="16"/>
          <w:szCs w:val="16"/>
        </w:rPr>
        <w:t>of</w:t>
      </w:r>
      <w:r>
        <w:rPr>
          <w:rFonts w:ascii="Segoe UI" w:hAnsi="Segoe UI" w:cs="Segoe UI" w:eastAsia="Segoe UI"/>
          <w:color w:val="231F20"/>
          <w:spacing w:val="-3"/>
          <w:sz w:val="16"/>
          <w:szCs w:val="16"/>
        </w:rPr>
        <w:t> </w:t>
      </w:r>
      <w:r>
        <w:rPr>
          <w:rFonts w:ascii="Segoe UI" w:hAnsi="Segoe UI" w:cs="Segoe UI" w:eastAsia="Segoe UI"/>
          <w:color w:val="231F20"/>
          <w:sz w:val="16"/>
          <w:szCs w:val="16"/>
        </w:rPr>
        <w:t>Human</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Services,</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Submission</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50</w:t>
      </w:r>
      <w:r>
        <w:rPr>
          <w:rFonts w:ascii="Segoe UI" w:hAnsi="Segoe UI" w:cs="Segoe UI" w:eastAsia="Segoe UI"/>
          <w:color w:val="231F20"/>
          <w:spacing w:val="-4"/>
          <w:sz w:val="16"/>
          <w:szCs w:val="16"/>
        </w:rPr>
        <w:t> </w:t>
      </w:r>
      <w:r>
        <w:rPr>
          <w:rFonts w:ascii="Segoe UI" w:hAnsi="Segoe UI" w:cs="Segoe UI" w:eastAsia="Segoe UI"/>
          <w:color w:val="231F20"/>
          <w:sz w:val="16"/>
          <w:szCs w:val="16"/>
        </w:rPr>
        <w:t>–</w:t>
      </w:r>
      <w:r>
        <w:rPr>
          <w:rFonts w:ascii="Segoe UI" w:hAnsi="Segoe UI" w:cs="Segoe UI" w:eastAsia="Segoe UI"/>
          <w:color w:val="231F20"/>
          <w:spacing w:val="28"/>
          <w:sz w:val="16"/>
          <w:szCs w:val="16"/>
        </w:rPr>
        <w:t> </w:t>
      </w:r>
      <w:r>
        <w:rPr>
          <w:rFonts w:ascii="Segoe UI" w:hAnsi="Segoe UI" w:cs="Segoe UI" w:eastAsia="Segoe UI"/>
          <w:color w:val="231F20"/>
          <w:spacing w:val="-1"/>
          <w:sz w:val="16"/>
          <w:szCs w:val="16"/>
        </w:rPr>
        <w:t>supplementary</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submission,</w:t>
      </w:r>
      <w:r>
        <w:rPr>
          <w:rFonts w:ascii="Segoe UI" w:hAnsi="Segoe UI" w:cs="Segoe UI" w:eastAsia="Segoe UI"/>
          <w:color w:val="231F20"/>
          <w:spacing w:val="-6"/>
          <w:sz w:val="16"/>
          <w:szCs w:val="16"/>
        </w:rPr>
        <w:t> </w:t>
      </w:r>
      <w:r>
        <w:rPr>
          <w:rFonts w:ascii="Segoe UI" w:hAnsi="Segoe UI" w:cs="Segoe UI" w:eastAsia="Segoe UI"/>
          <w:color w:val="231F20"/>
          <w:sz w:val="16"/>
          <w:szCs w:val="16"/>
        </w:rPr>
        <w:t>Q1</w:t>
      </w:r>
      <w:r>
        <w:rPr>
          <w:rFonts w:ascii="Segoe UI" w:hAnsi="Segoe UI" w:cs="Segoe UI" w:eastAsia="Segoe UI"/>
          <w:color w:val="231F20"/>
          <w:spacing w:val="-7"/>
          <w:sz w:val="16"/>
          <w:szCs w:val="16"/>
        </w:rPr>
        <w:t> </w:t>
      </w:r>
      <w:r>
        <w:rPr>
          <w:rFonts w:ascii="Segoe UI" w:hAnsi="Segoe UI" w:cs="Segoe UI" w:eastAsia="Segoe UI"/>
          <w:color w:val="231F20"/>
          <w:sz w:val="16"/>
          <w:szCs w:val="16"/>
        </w:rPr>
        <w:t>answer</w:t>
      </w:r>
      <w:r>
        <w:rPr>
          <w:rFonts w:ascii="Segoe UI" w:hAnsi="Segoe UI" w:cs="Segoe UI" w:eastAsia="Segoe UI"/>
          <w:sz w:val="16"/>
          <w:szCs w:val="16"/>
        </w:rPr>
      </w:r>
    </w:p>
    <w:p>
      <w:pPr>
        <w:numPr>
          <w:ilvl w:val="0"/>
          <w:numId w:val="13"/>
        </w:numPr>
        <w:tabs>
          <w:tab w:pos="668" w:val="left" w:leader="none"/>
        </w:tabs>
        <w:spacing w:line="200" w:lineRule="exact" w:before="113"/>
        <w:ind w:left="667" w:right="454" w:hanging="567"/>
        <w:jc w:val="left"/>
        <w:rPr>
          <w:rFonts w:ascii="Segoe UI" w:hAnsi="Segoe UI" w:cs="Segoe UI" w:eastAsia="Segoe UI"/>
          <w:sz w:val="16"/>
          <w:szCs w:val="16"/>
        </w:rPr>
      </w:pPr>
      <w:r>
        <w:rPr>
          <w:rFonts w:ascii="Segoe UI" w:hAnsi="Segoe UI" w:cs="Segoe UI" w:eastAsia="Segoe UI"/>
          <w:color w:val="231F20"/>
          <w:spacing w:val="-1"/>
          <w:sz w:val="16"/>
          <w:szCs w:val="16"/>
        </w:rPr>
        <w:t>Department</w:t>
      </w:r>
      <w:r>
        <w:rPr>
          <w:rFonts w:ascii="Segoe UI" w:hAnsi="Segoe UI" w:cs="Segoe UI" w:eastAsia="Segoe UI"/>
          <w:color w:val="231F20"/>
          <w:spacing w:val="-5"/>
          <w:sz w:val="16"/>
          <w:szCs w:val="16"/>
        </w:rPr>
        <w:t> </w:t>
      </w:r>
      <w:r>
        <w:rPr>
          <w:rFonts w:ascii="Segoe UI" w:hAnsi="Segoe UI" w:cs="Segoe UI" w:eastAsia="Segoe UI"/>
          <w:color w:val="231F20"/>
          <w:sz w:val="16"/>
          <w:szCs w:val="16"/>
        </w:rPr>
        <w:t>of</w:t>
      </w:r>
      <w:r>
        <w:rPr>
          <w:rFonts w:ascii="Segoe UI" w:hAnsi="Segoe UI" w:cs="Segoe UI" w:eastAsia="Segoe UI"/>
          <w:color w:val="231F20"/>
          <w:spacing w:val="-5"/>
          <w:sz w:val="16"/>
          <w:szCs w:val="16"/>
        </w:rPr>
        <w:t> </w:t>
      </w:r>
      <w:r>
        <w:rPr>
          <w:rFonts w:ascii="Segoe UI" w:hAnsi="Segoe UI" w:cs="Segoe UI" w:eastAsia="Segoe UI"/>
          <w:color w:val="231F20"/>
          <w:sz w:val="16"/>
          <w:szCs w:val="16"/>
        </w:rPr>
        <w:t>Human</w:t>
      </w:r>
      <w:r>
        <w:rPr>
          <w:rFonts w:ascii="Segoe UI" w:hAnsi="Segoe UI" w:cs="Segoe UI" w:eastAsia="Segoe UI"/>
          <w:color w:val="231F20"/>
          <w:spacing w:val="-6"/>
          <w:sz w:val="16"/>
          <w:szCs w:val="16"/>
        </w:rPr>
        <w:t> </w:t>
      </w:r>
      <w:r>
        <w:rPr>
          <w:rFonts w:ascii="Segoe UI" w:hAnsi="Segoe UI" w:cs="Segoe UI" w:eastAsia="Segoe UI"/>
          <w:color w:val="231F20"/>
          <w:spacing w:val="-1"/>
          <w:sz w:val="16"/>
          <w:szCs w:val="16"/>
        </w:rPr>
        <w:t>Services,</w:t>
      </w:r>
      <w:r>
        <w:rPr>
          <w:rFonts w:ascii="Segoe UI" w:hAnsi="Segoe UI" w:cs="Segoe UI" w:eastAsia="Segoe UI"/>
          <w:color w:val="231F20"/>
          <w:spacing w:val="-6"/>
          <w:sz w:val="16"/>
          <w:szCs w:val="16"/>
        </w:rPr>
        <w:t> </w:t>
      </w:r>
      <w:r>
        <w:rPr>
          <w:rFonts w:ascii="Segoe UI" w:hAnsi="Segoe UI" w:cs="Segoe UI" w:eastAsia="Segoe UI"/>
          <w:color w:val="231F20"/>
          <w:spacing w:val="-1"/>
          <w:sz w:val="16"/>
          <w:szCs w:val="16"/>
        </w:rPr>
        <w:t>Submission</w:t>
      </w:r>
      <w:r>
        <w:rPr>
          <w:rFonts w:ascii="Segoe UI" w:hAnsi="Segoe UI" w:cs="Segoe UI" w:eastAsia="Segoe UI"/>
          <w:color w:val="231F20"/>
          <w:spacing w:val="25"/>
          <w:sz w:val="16"/>
          <w:szCs w:val="16"/>
        </w:rPr>
        <w:t> </w:t>
      </w:r>
      <w:r>
        <w:rPr>
          <w:rFonts w:ascii="Segoe UI" w:hAnsi="Segoe UI" w:cs="Segoe UI" w:eastAsia="Segoe UI"/>
          <w:color w:val="231F20"/>
          <w:spacing w:val="-1"/>
          <w:sz w:val="16"/>
          <w:szCs w:val="16"/>
        </w:rPr>
        <w:t>50</w:t>
      </w:r>
      <w:r>
        <w:rPr>
          <w:rFonts w:ascii="Segoe UI" w:hAnsi="Segoe UI" w:cs="Segoe UI" w:eastAsia="Segoe UI"/>
          <w:color w:val="231F20"/>
          <w:spacing w:val="-3"/>
          <w:sz w:val="16"/>
          <w:szCs w:val="16"/>
        </w:rPr>
        <w:t> </w:t>
      </w:r>
      <w:r>
        <w:rPr>
          <w:rFonts w:ascii="Segoe UI" w:hAnsi="Segoe UI" w:cs="Segoe UI" w:eastAsia="Segoe UI"/>
          <w:color w:val="231F20"/>
          <w:sz w:val="16"/>
          <w:szCs w:val="16"/>
        </w:rPr>
        <w:t>–</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supplementary</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submission,</w:t>
      </w:r>
      <w:r>
        <w:rPr>
          <w:rFonts w:ascii="Segoe UI" w:hAnsi="Segoe UI" w:cs="Segoe UI" w:eastAsia="Segoe UI"/>
          <w:color w:val="231F20"/>
          <w:spacing w:val="-2"/>
          <w:sz w:val="16"/>
          <w:szCs w:val="16"/>
        </w:rPr>
        <w:t> </w:t>
      </w:r>
      <w:r>
        <w:rPr>
          <w:rFonts w:ascii="Segoe UI" w:hAnsi="Segoe UI" w:cs="Segoe UI" w:eastAsia="Segoe UI"/>
          <w:i/>
          <w:color w:val="231F20"/>
          <w:sz w:val="16"/>
          <w:szCs w:val="16"/>
        </w:rPr>
        <w:t>The</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power</w:t>
      </w:r>
      <w:r>
        <w:rPr>
          <w:rFonts w:ascii="Segoe UI" w:hAnsi="Segoe UI" w:cs="Segoe UI" w:eastAsia="Segoe UI"/>
          <w:i/>
          <w:color w:val="231F20"/>
          <w:spacing w:val="-3"/>
          <w:sz w:val="16"/>
          <w:szCs w:val="16"/>
        </w:rPr>
        <w:t> </w:t>
      </w:r>
      <w:r>
        <w:rPr>
          <w:rFonts w:ascii="Segoe UI" w:hAnsi="Segoe UI" w:cs="Segoe UI" w:eastAsia="Segoe UI"/>
          <w:i/>
          <w:color w:val="231F20"/>
          <w:spacing w:val="-2"/>
          <w:sz w:val="16"/>
          <w:szCs w:val="16"/>
        </w:rPr>
        <w:t>of</w:t>
      </w:r>
      <w:r>
        <w:rPr>
          <w:rFonts w:ascii="Segoe UI" w:hAnsi="Segoe UI" w:cs="Segoe UI" w:eastAsia="Segoe UI"/>
          <w:sz w:val="16"/>
          <w:szCs w:val="16"/>
        </w:rPr>
      </w:r>
    </w:p>
    <w:p>
      <w:pPr>
        <w:spacing w:line="200" w:lineRule="exact" w:before="0"/>
        <w:ind w:left="667" w:right="135" w:firstLine="0"/>
        <w:jc w:val="left"/>
        <w:rPr>
          <w:rFonts w:ascii="Segoe UI" w:hAnsi="Segoe UI" w:cs="Segoe UI" w:eastAsia="Segoe UI"/>
          <w:sz w:val="16"/>
          <w:szCs w:val="16"/>
        </w:rPr>
      </w:pPr>
      <w:r>
        <w:rPr>
          <w:rFonts w:ascii="Segoe UI" w:hAnsi="Segoe UI" w:cs="Segoe UI" w:eastAsia="Segoe UI"/>
          <w:i/>
          <w:color w:val="231F20"/>
          <w:sz w:val="16"/>
          <w:szCs w:val="16"/>
        </w:rPr>
        <w:t>education:</w:t>
      </w:r>
      <w:r>
        <w:rPr>
          <w:rFonts w:ascii="Segoe UI" w:hAnsi="Segoe UI" w:cs="Segoe UI" w:eastAsia="Segoe UI"/>
          <w:i/>
          <w:color w:val="231F20"/>
          <w:spacing w:val="-8"/>
          <w:sz w:val="16"/>
          <w:szCs w:val="16"/>
        </w:rPr>
        <w:t> </w:t>
      </w:r>
      <w:r>
        <w:rPr>
          <w:rFonts w:ascii="Segoe UI" w:hAnsi="Segoe UI" w:cs="Segoe UI" w:eastAsia="Segoe UI"/>
          <w:i/>
          <w:color w:val="231F20"/>
          <w:spacing w:val="-1"/>
          <w:sz w:val="16"/>
          <w:szCs w:val="16"/>
        </w:rPr>
        <w:t>From</w:t>
      </w:r>
      <w:r>
        <w:rPr>
          <w:rFonts w:ascii="Segoe UI" w:hAnsi="Segoe UI" w:cs="Segoe UI" w:eastAsia="Segoe UI"/>
          <w:i/>
          <w:color w:val="231F20"/>
          <w:spacing w:val="-6"/>
          <w:sz w:val="16"/>
          <w:szCs w:val="16"/>
        </w:rPr>
        <w:t> </w:t>
      </w:r>
      <w:r>
        <w:rPr>
          <w:rFonts w:ascii="Segoe UI" w:hAnsi="Segoe UI" w:cs="Segoe UI" w:eastAsia="Segoe UI"/>
          <w:i/>
          <w:color w:val="231F20"/>
          <w:spacing w:val="-1"/>
          <w:sz w:val="16"/>
          <w:szCs w:val="16"/>
        </w:rPr>
        <w:t>surviving</w:t>
      </w:r>
      <w:r>
        <w:rPr>
          <w:rFonts w:ascii="Segoe UI" w:hAnsi="Segoe UI" w:cs="Segoe UI" w:eastAsia="Segoe UI"/>
          <w:i/>
          <w:color w:val="231F20"/>
          <w:spacing w:val="-7"/>
          <w:sz w:val="16"/>
          <w:szCs w:val="16"/>
        </w:rPr>
        <w:t> </w:t>
      </w:r>
      <w:r>
        <w:rPr>
          <w:rFonts w:ascii="Segoe UI" w:hAnsi="Segoe UI" w:cs="Segoe UI" w:eastAsia="Segoe UI"/>
          <w:i/>
          <w:color w:val="231F20"/>
          <w:sz w:val="16"/>
          <w:szCs w:val="16"/>
        </w:rPr>
        <w:t>to</w:t>
      </w:r>
      <w:r>
        <w:rPr>
          <w:rFonts w:ascii="Segoe UI" w:hAnsi="Segoe UI" w:cs="Segoe UI" w:eastAsia="Segoe UI"/>
          <w:i/>
          <w:color w:val="231F20"/>
          <w:spacing w:val="-7"/>
          <w:sz w:val="16"/>
          <w:szCs w:val="16"/>
        </w:rPr>
        <w:t> </w:t>
      </w:r>
      <w:r>
        <w:rPr>
          <w:rFonts w:ascii="Segoe UI" w:hAnsi="Segoe UI" w:cs="Segoe UI" w:eastAsia="Segoe UI"/>
          <w:i/>
          <w:color w:val="231F20"/>
          <w:spacing w:val="-1"/>
          <w:sz w:val="16"/>
          <w:szCs w:val="16"/>
        </w:rPr>
        <w:t>thriving—Educational</w:t>
      </w:r>
      <w:r>
        <w:rPr>
          <w:rFonts w:ascii="Segoe UI" w:hAnsi="Segoe UI" w:cs="Segoe UI" w:eastAsia="Segoe UI"/>
          <w:i/>
          <w:color w:val="231F20"/>
          <w:spacing w:val="55"/>
          <w:w w:val="99"/>
          <w:sz w:val="16"/>
          <w:szCs w:val="16"/>
        </w:rPr>
        <w:t> </w:t>
      </w:r>
      <w:r>
        <w:rPr>
          <w:rFonts w:ascii="Segoe UI" w:hAnsi="Segoe UI" w:cs="Segoe UI" w:eastAsia="Segoe UI"/>
          <w:i/>
          <w:color w:val="231F20"/>
          <w:spacing w:val="-1"/>
          <w:sz w:val="16"/>
          <w:szCs w:val="16"/>
        </w:rPr>
        <w:t>opportunities</w:t>
      </w:r>
      <w:r>
        <w:rPr>
          <w:rFonts w:ascii="Segoe UI" w:hAnsi="Segoe UI" w:cs="Segoe UI" w:eastAsia="Segoe UI"/>
          <w:i/>
          <w:color w:val="231F20"/>
          <w:spacing w:val="-3"/>
          <w:sz w:val="16"/>
          <w:szCs w:val="16"/>
        </w:rPr>
        <w:t> </w:t>
      </w:r>
      <w:r>
        <w:rPr>
          <w:rFonts w:ascii="Segoe UI" w:hAnsi="Segoe UI" w:cs="Segoe UI" w:eastAsia="Segoe UI"/>
          <w:i/>
          <w:color w:val="231F20"/>
          <w:sz w:val="16"/>
          <w:szCs w:val="16"/>
        </w:rPr>
        <w:t>for</w:t>
      </w:r>
      <w:r>
        <w:rPr>
          <w:rFonts w:ascii="Segoe UI" w:hAnsi="Segoe UI" w:cs="Segoe UI" w:eastAsia="Segoe UI"/>
          <w:i/>
          <w:color w:val="231F20"/>
          <w:spacing w:val="-3"/>
          <w:sz w:val="16"/>
          <w:szCs w:val="16"/>
        </w:rPr>
        <w:t> </w:t>
      </w:r>
      <w:r>
        <w:rPr>
          <w:rFonts w:ascii="Segoe UI" w:hAnsi="Segoe UI" w:cs="Segoe UI" w:eastAsia="Segoe UI"/>
          <w:i/>
          <w:color w:val="231F20"/>
          <w:sz w:val="16"/>
          <w:szCs w:val="16"/>
        </w:rPr>
        <w:t>Aboriginal</w:t>
      </w:r>
      <w:r>
        <w:rPr>
          <w:rFonts w:ascii="Segoe UI" w:hAnsi="Segoe UI" w:cs="Segoe UI" w:eastAsia="Segoe UI"/>
          <w:i/>
          <w:color w:val="231F20"/>
          <w:spacing w:val="-4"/>
          <w:sz w:val="16"/>
          <w:szCs w:val="16"/>
        </w:rPr>
        <w:t> </w:t>
      </w:r>
      <w:r>
        <w:rPr>
          <w:rFonts w:ascii="Segoe UI" w:hAnsi="Segoe UI" w:cs="Segoe UI" w:eastAsia="Segoe UI"/>
          <w:i/>
          <w:color w:val="231F20"/>
          <w:sz w:val="16"/>
          <w:szCs w:val="16"/>
        </w:rPr>
        <w:t>and</w:t>
      </w:r>
      <w:r>
        <w:rPr>
          <w:rFonts w:ascii="Segoe UI" w:hAnsi="Segoe UI" w:cs="Segoe UI" w:eastAsia="Segoe UI"/>
          <w:i/>
          <w:color w:val="231F20"/>
          <w:spacing w:val="-2"/>
          <w:sz w:val="16"/>
          <w:szCs w:val="16"/>
        </w:rPr>
        <w:t> </w:t>
      </w:r>
      <w:r>
        <w:rPr>
          <w:rFonts w:ascii="Segoe UI" w:hAnsi="Segoe UI" w:cs="Segoe UI" w:eastAsia="Segoe UI"/>
          <w:i/>
          <w:color w:val="231F20"/>
          <w:spacing w:val="-3"/>
          <w:sz w:val="16"/>
          <w:szCs w:val="16"/>
        </w:rPr>
        <w:t>Torres</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Strait</w:t>
      </w:r>
      <w:r>
        <w:rPr>
          <w:rFonts w:ascii="Segoe UI" w:hAnsi="Segoe UI" w:cs="Segoe UI" w:eastAsia="Segoe UI"/>
          <w:i/>
          <w:color w:val="231F20"/>
          <w:spacing w:val="30"/>
          <w:sz w:val="16"/>
          <w:szCs w:val="16"/>
        </w:rPr>
        <w:t> </w:t>
      </w:r>
      <w:r>
        <w:rPr>
          <w:rFonts w:ascii="Segoe UI" w:hAnsi="Segoe UI" w:cs="Segoe UI" w:eastAsia="Segoe UI"/>
          <w:i/>
          <w:color w:val="231F20"/>
          <w:spacing w:val="-1"/>
          <w:sz w:val="16"/>
          <w:szCs w:val="16"/>
        </w:rPr>
        <w:t>Islander</w:t>
      </w:r>
      <w:r>
        <w:rPr>
          <w:rFonts w:ascii="Segoe UI" w:hAnsi="Segoe UI" w:cs="Segoe UI" w:eastAsia="Segoe UI"/>
          <w:i/>
          <w:color w:val="231F20"/>
          <w:spacing w:val="-5"/>
          <w:sz w:val="16"/>
          <w:szCs w:val="16"/>
        </w:rPr>
        <w:t> </w:t>
      </w:r>
      <w:r>
        <w:rPr>
          <w:rFonts w:ascii="Segoe UI" w:hAnsi="Segoe UI" w:cs="Segoe UI" w:eastAsia="Segoe UI"/>
          <w:i/>
          <w:color w:val="231F20"/>
          <w:spacing w:val="-1"/>
          <w:sz w:val="16"/>
          <w:szCs w:val="16"/>
        </w:rPr>
        <w:t>students</w:t>
      </w:r>
      <w:r>
        <w:rPr>
          <w:rFonts w:ascii="Segoe UI" w:hAnsi="Segoe UI" w:cs="Segoe UI" w:eastAsia="Segoe UI"/>
          <w:color w:val="231F20"/>
          <w:spacing w:val="-1"/>
          <w:sz w:val="16"/>
          <w:szCs w:val="16"/>
        </w:rPr>
        <w:t>,</w:t>
      </w:r>
      <w:r>
        <w:rPr>
          <w:rFonts w:ascii="Segoe UI" w:hAnsi="Segoe UI" w:cs="Segoe UI" w:eastAsia="Segoe UI"/>
          <w:color w:val="231F20"/>
          <w:spacing w:val="-4"/>
          <w:sz w:val="16"/>
          <w:szCs w:val="16"/>
        </w:rPr>
        <w:t> </w:t>
      </w:r>
      <w:r>
        <w:rPr>
          <w:rFonts w:ascii="Segoe UI" w:hAnsi="Segoe UI" w:cs="Segoe UI" w:eastAsia="Segoe UI"/>
          <w:color w:val="231F20"/>
          <w:sz w:val="16"/>
          <w:szCs w:val="16"/>
        </w:rPr>
        <w:t>House</w:t>
      </w:r>
      <w:r>
        <w:rPr>
          <w:rFonts w:ascii="Segoe UI" w:hAnsi="Segoe UI" w:cs="Segoe UI" w:eastAsia="Segoe UI"/>
          <w:color w:val="231F20"/>
          <w:spacing w:val="-6"/>
          <w:sz w:val="16"/>
          <w:szCs w:val="16"/>
        </w:rPr>
        <w:t> </w:t>
      </w:r>
      <w:r>
        <w:rPr>
          <w:rFonts w:ascii="Segoe UI" w:hAnsi="Segoe UI" w:cs="Segoe UI" w:eastAsia="Segoe UI"/>
          <w:color w:val="231F20"/>
          <w:sz w:val="16"/>
          <w:szCs w:val="16"/>
        </w:rPr>
        <w:t>of</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Representatives</w:t>
      </w:r>
      <w:r>
        <w:rPr>
          <w:rFonts w:ascii="Segoe UI" w:hAnsi="Segoe UI" w:cs="Segoe UI" w:eastAsia="Segoe UI"/>
          <w:color w:val="231F20"/>
          <w:spacing w:val="39"/>
          <w:w w:val="99"/>
          <w:sz w:val="16"/>
          <w:szCs w:val="16"/>
        </w:rPr>
        <w:t> </w:t>
      </w:r>
      <w:r>
        <w:rPr>
          <w:rFonts w:ascii="Segoe UI" w:hAnsi="Segoe UI" w:cs="Segoe UI" w:eastAsia="Segoe UI"/>
          <w:color w:val="231F20"/>
          <w:spacing w:val="-1"/>
          <w:sz w:val="16"/>
          <w:szCs w:val="16"/>
        </w:rPr>
        <w:t>Standing </w:t>
      </w:r>
      <w:r>
        <w:rPr>
          <w:rFonts w:ascii="Segoe UI" w:hAnsi="Segoe UI" w:cs="Segoe UI" w:eastAsia="Segoe UI"/>
          <w:color w:val="231F20"/>
          <w:sz w:val="16"/>
          <w:szCs w:val="16"/>
        </w:rPr>
        <w:t>Committee</w:t>
      </w:r>
      <w:r>
        <w:rPr>
          <w:rFonts w:ascii="Segoe UI" w:hAnsi="Segoe UI" w:cs="Segoe UI" w:eastAsia="Segoe UI"/>
          <w:color w:val="231F20"/>
          <w:spacing w:val="-1"/>
          <w:sz w:val="16"/>
          <w:szCs w:val="16"/>
        </w:rPr>
        <w:t> </w:t>
      </w:r>
      <w:r>
        <w:rPr>
          <w:rFonts w:ascii="Segoe UI" w:hAnsi="Segoe UI" w:cs="Segoe UI" w:eastAsia="Segoe UI"/>
          <w:color w:val="231F20"/>
          <w:sz w:val="16"/>
          <w:szCs w:val="16"/>
        </w:rPr>
        <w:t>on</w:t>
      </w:r>
      <w:r>
        <w:rPr>
          <w:rFonts w:ascii="Segoe UI" w:hAnsi="Segoe UI" w:cs="Segoe UI" w:eastAsia="Segoe UI"/>
          <w:color w:val="231F20"/>
          <w:spacing w:val="-1"/>
          <w:sz w:val="16"/>
          <w:szCs w:val="16"/>
        </w:rPr>
        <w:t> </w:t>
      </w:r>
      <w:r>
        <w:rPr>
          <w:rFonts w:ascii="Segoe UI" w:hAnsi="Segoe UI" w:cs="Segoe UI" w:eastAsia="Segoe UI"/>
          <w:color w:val="231F20"/>
          <w:sz w:val="16"/>
          <w:szCs w:val="16"/>
        </w:rPr>
        <w:t>Indigenous</w:t>
      </w:r>
      <w:r>
        <w:rPr>
          <w:rFonts w:ascii="Segoe UI" w:hAnsi="Segoe UI" w:cs="Segoe UI" w:eastAsia="Segoe UI"/>
          <w:color w:val="231F20"/>
          <w:spacing w:val="-1"/>
          <w:sz w:val="16"/>
          <w:szCs w:val="16"/>
        </w:rPr>
        <w:t> </w:t>
      </w:r>
      <w:r>
        <w:rPr>
          <w:rFonts w:ascii="Segoe UI" w:hAnsi="Segoe UI" w:cs="Segoe UI" w:eastAsia="Segoe UI"/>
          <w:color w:val="231F20"/>
          <w:sz w:val="16"/>
          <w:szCs w:val="16"/>
        </w:rPr>
        <w:t>Affairs,</w:t>
      </w:r>
      <w:r>
        <w:rPr>
          <w:rFonts w:ascii="Segoe UI" w:hAnsi="Segoe UI" w:cs="Segoe UI" w:eastAsia="Segoe UI"/>
          <w:color w:val="231F20"/>
          <w:spacing w:val="-1"/>
          <w:sz w:val="16"/>
          <w:szCs w:val="16"/>
        </w:rPr>
        <w:t> </w:t>
      </w:r>
      <w:r>
        <w:rPr>
          <w:rFonts w:ascii="Segoe UI" w:hAnsi="Segoe UI" w:cs="Segoe UI" w:eastAsia="Segoe UI"/>
          <w:color w:val="231F20"/>
          <w:sz w:val="16"/>
          <w:szCs w:val="16"/>
        </w:rPr>
        <w:t>Q10</w:t>
      </w:r>
      <w:r>
        <w:rPr>
          <w:rFonts w:ascii="Segoe UI" w:hAnsi="Segoe UI" w:cs="Segoe UI" w:eastAsia="Segoe UI"/>
          <w:color w:val="231F20"/>
          <w:spacing w:val="22"/>
          <w:sz w:val="16"/>
          <w:szCs w:val="16"/>
        </w:rPr>
        <w:t> </w:t>
      </w:r>
      <w:r>
        <w:rPr>
          <w:rFonts w:ascii="Segoe UI" w:hAnsi="Segoe UI" w:cs="Segoe UI" w:eastAsia="Segoe UI"/>
          <w:color w:val="231F20"/>
          <w:sz w:val="16"/>
          <w:szCs w:val="16"/>
        </w:rPr>
        <w:t>answer</w:t>
      </w:r>
      <w:r>
        <w:rPr>
          <w:rFonts w:ascii="Segoe UI" w:hAnsi="Segoe UI" w:cs="Segoe UI" w:eastAsia="Segoe UI"/>
          <w:sz w:val="16"/>
          <w:szCs w:val="16"/>
        </w:rPr>
      </w:r>
    </w:p>
    <w:p>
      <w:pPr>
        <w:numPr>
          <w:ilvl w:val="0"/>
          <w:numId w:val="13"/>
        </w:numPr>
        <w:tabs>
          <w:tab w:pos="668" w:val="left" w:leader="none"/>
        </w:tabs>
        <w:spacing w:line="200" w:lineRule="exact" w:before="113"/>
        <w:ind w:left="667" w:right="0" w:hanging="567"/>
        <w:jc w:val="left"/>
        <w:rPr>
          <w:rFonts w:ascii="Segoe UI" w:hAnsi="Segoe UI" w:cs="Segoe UI" w:eastAsia="Segoe UI"/>
          <w:sz w:val="16"/>
          <w:szCs w:val="16"/>
        </w:rPr>
      </w:pPr>
      <w:r>
        <w:rPr>
          <w:rFonts w:ascii="Segoe UI"/>
          <w:color w:val="231F20"/>
          <w:spacing w:val="-1"/>
          <w:sz w:val="16"/>
        </w:rPr>
        <w:t>During</w:t>
      </w:r>
      <w:r>
        <w:rPr>
          <w:rFonts w:ascii="Segoe UI"/>
          <w:color w:val="231F20"/>
          <w:spacing w:val="-5"/>
          <w:sz w:val="16"/>
        </w:rPr>
        <w:t> </w:t>
      </w:r>
      <w:r>
        <w:rPr>
          <w:rFonts w:ascii="Segoe UI"/>
          <w:color w:val="231F20"/>
          <w:sz w:val="16"/>
        </w:rPr>
        <w:t>consultations</w:t>
      </w:r>
      <w:r>
        <w:rPr>
          <w:rFonts w:ascii="Segoe UI"/>
          <w:color w:val="231F20"/>
          <w:spacing w:val="-5"/>
          <w:sz w:val="16"/>
        </w:rPr>
        <w:t> </w:t>
      </w:r>
      <w:r>
        <w:rPr>
          <w:rFonts w:ascii="Segoe UI"/>
          <w:color w:val="231F20"/>
          <w:sz w:val="16"/>
        </w:rPr>
        <w:t>no</w:t>
      </w:r>
      <w:r>
        <w:rPr>
          <w:rFonts w:ascii="Segoe UI"/>
          <w:color w:val="231F20"/>
          <w:spacing w:val="-4"/>
          <w:sz w:val="16"/>
        </w:rPr>
        <w:t> </w:t>
      </w:r>
      <w:r>
        <w:rPr>
          <w:rFonts w:ascii="Segoe UI"/>
          <w:color w:val="231F20"/>
          <w:spacing w:val="-1"/>
          <w:sz w:val="16"/>
        </w:rPr>
        <w:t>boarding</w:t>
      </w:r>
      <w:r>
        <w:rPr>
          <w:rFonts w:ascii="Segoe UI"/>
          <w:color w:val="231F20"/>
          <w:spacing w:val="-5"/>
          <w:sz w:val="16"/>
        </w:rPr>
        <w:t> </w:t>
      </w:r>
      <w:r>
        <w:rPr>
          <w:rFonts w:ascii="Segoe UI"/>
          <w:color w:val="231F20"/>
          <w:sz w:val="16"/>
        </w:rPr>
        <w:t>provider</w:t>
      </w:r>
      <w:r>
        <w:rPr>
          <w:rFonts w:ascii="Segoe UI"/>
          <w:color w:val="231F20"/>
          <w:spacing w:val="-5"/>
          <w:sz w:val="16"/>
        </w:rPr>
        <w:t> </w:t>
      </w:r>
      <w:r>
        <w:rPr>
          <w:rFonts w:ascii="Segoe UI"/>
          <w:color w:val="231F20"/>
          <w:sz w:val="16"/>
        </w:rPr>
        <w:t>or</w:t>
      </w:r>
      <w:r>
        <w:rPr>
          <w:rFonts w:ascii="Segoe UI"/>
          <w:color w:val="231F20"/>
          <w:spacing w:val="29"/>
          <w:w w:val="99"/>
          <w:sz w:val="16"/>
        </w:rPr>
        <w:t> </w:t>
      </w:r>
      <w:r>
        <w:rPr>
          <w:rFonts w:ascii="Segoe UI"/>
          <w:color w:val="231F20"/>
          <w:sz w:val="16"/>
        </w:rPr>
        <w:t>transition</w:t>
      </w:r>
      <w:r>
        <w:rPr>
          <w:rFonts w:ascii="Segoe UI"/>
          <w:color w:val="231F20"/>
          <w:spacing w:val="-5"/>
          <w:sz w:val="16"/>
        </w:rPr>
        <w:t> </w:t>
      </w:r>
      <w:r>
        <w:rPr>
          <w:rFonts w:ascii="Segoe UI"/>
          <w:color w:val="231F20"/>
          <w:spacing w:val="-1"/>
          <w:sz w:val="16"/>
        </w:rPr>
        <w:t>support</w:t>
      </w:r>
      <w:r>
        <w:rPr>
          <w:rFonts w:ascii="Segoe UI"/>
          <w:color w:val="231F20"/>
          <w:spacing w:val="-4"/>
          <w:sz w:val="16"/>
        </w:rPr>
        <w:t> </w:t>
      </w:r>
      <w:r>
        <w:rPr>
          <w:rFonts w:ascii="Segoe UI"/>
          <w:color w:val="231F20"/>
          <w:sz w:val="16"/>
        </w:rPr>
        <w:t>unit</w:t>
      </w:r>
      <w:r>
        <w:rPr>
          <w:rFonts w:ascii="Segoe UI"/>
          <w:color w:val="231F20"/>
          <w:spacing w:val="-5"/>
          <w:sz w:val="16"/>
        </w:rPr>
        <w:t> </w:t>
      </w:r>
      <w:r>
        <w:rPr>
          <w:rFonts w:ascii="Segoe UI"/>
          <w:color w:val="231F20"/>
          <w:sz w:val="16"/>
        </w:rPr>
        <w:t>was</w:t>
      </w:r>
      <w:r>
        <w:rPr>
          <w:rFonts w:ascii="Segoe UI"/>
          <w:color w:val="231F20"/>
          <w:spacing w:val="-5"/>
          <w:sz w:val="16"/>
        </w:rPr>
        <w:t> </w:t>
      </w:r>
      <w:r>
        <w:rPr>
          <w:rFonts w:ascii="Segoe UI"/>
          <w:color w:val="231F20"/>
          <w:sz w:val="16"/>
        </w:rPr>
        <w:t>able</w:t>
      </w:r>
      <w:r>
        <w:rPr>
          <w:rFonts w:ascii="Segoe UI"/>
          <w:color w:val="231F20"/>
          <w:spacing w:val="-4"/>
          <w:sz w:val="16"/>
        </w:rPr>
        <w:t> </w:t>
      </w:r>
      <w:r>
        <w:rPr>
          <w:rFonts w:ascii="Segoe UI"/>
          <w:color w:val="231F20"/>
          <w:sz w:val="16"/>
        </w:rPr>
        <w:t>to</w:t>
      </w:r>
      <w:r>
        <w:rPr>
          <w:rFonts w:ascii="Segoe UI"/>
          <w:color w:val="231F20"/>
          <w:spacing w:val="-4"/>
          <w:sz w:val="16"/>
        </w:rPr>
        <w:t> </w:t>
      </w:r>
      <w:r>
        <w:rPr>
          <w:rFonts w:ascii="Segoe UI"/>
          <w:color w:val="231F20"/>
          <w:sz w:val="16"/>
        </w:rPr>
        <w:t>quantify</w:t>
      </w:r>
      <w:r>
        <w:rPr>
          <w:rFonts w:ascii="Segoe UI"/>
          <w:color w:val="231F20"/>
          <w:spacing w:val="-5"/>
          <w:sz w:val="16"/>
        </w:rPr>
        <w:t> </w:t>
      </w:r>
      <w:r>
        <w:rPr>
          <w:rFonts w:ascii="Segoe UI"/>
          <w:color w:val="231F20"/>
          <w:sz w:val="16"/>
        </w:rPr>
        <w:t>the</w:t>
      </w:r>
      <w:r>
        <w:rPr>
          <w:rFonts w:ascii="Segoe UI"/>
          <w:color w:val="231F20"/>
          <w:spacing w:val="-5"/>
          <w:sz w:val="16"/>
        </w:rPr>
        <w:t> </w:t>
      </w:r>
      <w:r>
        <w:rPr>
          <w:rFonts w:ascii="Segoe UI"/>
          <w:color w:val="231F20"/>
          <w:sz w:val="16"/>
        </w:rPr>
        <w:t>cost</w:t>
      </w:r>
      <w:r>
        <w:rPr>
          <w:rFonts w:ascii="Segoe UI"/>
          <w:sz w:val="16"/>
        </w:rPr>
      </w:r>
    </w:p>
    <w:p>
      <w:pPr>
        <w:numPr>
          <w:ilvl w:val="0"/>
          <w:numId w:val="13"/>
        </w:numPr>
        <w:tabs>
          <w:tab w:pos="668" w:val="left" w:leader="none"/>
        </w:tabs>
        <w:spacing w:line="200" w:lineRule="exact" w:before="113"/>
        <w:ind w:left="667" w:right="5" w:hanging="567"/>
        <w:jc w:val="left"/>
        <w:rPr>
          <w:rFonts w:ascii="Segoe UI" w:hAnsi="Segoe UI" w:cs="Segoe UI" w:eastAsia="Segoe UI"/>
          <w:sz w:val="16"/>
          <w:szCs w:val="16"/>
        </w:rPr>
      </w:pPr>
      <w:r>
        <w:rPr>
          <w:rFonts w:ascii="Segoe UI"/>
          <w:color w:val="231F20"/>
          <w:sz w:val="16"/>
        </w:rPr>
        <w:t>One</w:t>
      </w:r>
      <w:r>
        <w:rPr>
          <w:rFonts w:ascii="Segoe UI"/>
          <w:color w:val="231F20"/>
          <w:spacing w:val="-6"/>
          <w:sz w:val="16"/>
        </w:rPr>
        <w:t> </w:t>
      </w:r>
      <w:r>
        <w:rPr>
          <w:rFonts w:ascii="Segoe UI"/>
          <w:color w:val="231F20"/>
          <w:sz w:val="16"/>
        </w:rPr>
        <w:t>peak</w:t>
      </w:r>
      <w:r>
        <w:rPr>
          <w:rFonts w:ascii="Segoe UI"/>
          <w:color w:val="231F20"/>
          <w:spacing w:val="-6"/>
          <w:sz w:val="16"/>
        </w:rPr>
        <w:t> </w:t>
      </w:r>
      <w:r>
        <w:rPr>
          <w:rFonts w:ascii="Segoe UI"/>
          <w:color w:val="231F20"/>
          <w:sz w:val="16"/>
        </w:rPr>
        <w:t>body</w:t>
      </w:r>
      <w:r>
        <w:rPr>
          <w:rFonts w:ascii="Segoe UI"/>
          <w:color w:val="231F20"/>
          <w:spacing w:val="-6"/>
          <w:sz w:val="16"/>
        </w:rPr>
        <w:t> </w:t>
      </w:r>
      <w:r>
        <w:rPr>
          <w:rFonts w:ascii="Segoe UI"/>
          <w:color w:val="231F20"/>
          <w:sz w:val="16"/>
        </w:rPr>
        <w:t>consulted</w:t>
      </w:r>
      <w:r>
        <w:rPr>
          <w:rFonts w:ascii="Segoe UI"/>
          <w:color w:val="231F20"/>
          <w:spacing w:val="-5"/>
          <w:sz w:val="16"/>
        </w:rPr>
        <w:t> </w:t>
      </w:r>
      <w:r>
        <w:rPr>
          <w:rFonts w:ascii="Segoe UI"/>
          <w:color w:val="231F20"/>
          <w:spacing w:val="-1"/>
          <w:sz w:val="16"/>
        </w:rPr>
        <w:t>indicated</w:t>
      </w:r>
      <w:r>
        <w:rPr>
          <w:rFonts w:ascii="Segoe UI"/>
          <w:color w:val="231F20"/>
          <w:spacing w:val="-5"/>
          <w:sz w:val="16"/>
        </w:rPr>
        <w:t> </w:t>
      </w:r>
      <w:r>
        <w:rPr>
          <w:rFonts w:ascii="Segoe UI"/>
          <w:color w:val="231F20"/>
          <w:sz w:val="16"/>
        </w:rPr>
        <w:t>that</w:t>
      </w:r>
      <w:r>
        <w:rPr>
          <w:rFonts w:ascii="Segoe UI"/>
          <w:color w:val="231F20"/>
          <w:spacing w:val="-6"/>
          <w:sz w:val="16"/>
        </w:rPr>
        <w:t> </w:t>
      </w:r>
      <w:r>
        <w:rPr>
          <w:rFonts w:ascii="Segoe UI"/>
          <w:color w:val="231F20"/>
          <w:sz w:val="16"/>
        </w:rPr>
        <w:t>the</w:t>
      </w:r>
      <w:r>
        <w:rPr>
          <w:rFonts w:ascii="Segoe UI"/>
          <w:color w:val="231F20"/>
          <w:spacing w:val="22"/>
          <w:w w:val="99"/>
          <w:sz w:val="16"/>
        </w:rPr>
        <w:t> </w:t>
      </w:r>
      <w:r>
        <w:rPr>
          <w:rFonts w:ascii="Segoe UI"/>
          <w:color w:val="231F20"/>
          <w:spacing w:val="-1"/>
          <w:sz w:val="16"/>
        </w:rPr>
        <w:t>majority</w:t>
      </w:r>
      <w:r>
        <w:rPr>
          <w:rFonts w:ascii="Segoe UI"/>
          <w:color w:val="231F20"/>
          <w:spacing w:val="-3"/>
          <w:sz w:val="16"/>
        </w:rPr>
        <w:t> </w:t>
      </w:r>
      <w:r>
        <w:rPr>
          <w:rFonts w:ascii="Segoe UI"/>
          <w:color w:val="231F20"/>
          <w:sz w:val="16"/>
        </w:rPr>
        <w:t>of</w:t>
      </w:r>
      <w:r>
        <w:rPr>
          <w:rFonts w:ascii="Segoe UI"/>
          <w:color w:val="231F20"/>
          <w:spacing w:val="-3"/>
          <w:sz w:val="16"/>
        </w:rPr>
        <w:t> </w:t>
      </w:r>
      <w:r>
        <w:rPr>
          <w:rFonts w:ascii="Segoe UI"/>
          <w:color w:val="231F20"/>
          <w:spacing w:val="-1"/>
          <w:sz w:val="16"/>
        </w:rPr>
        <w:t>its</w:t>
      </w:r>
      <w:r>
        <w:rPr>
          <w:rFonts w:ascii="Segoe UI"/>
          <w:color w:val="231F20"/>
          <w:spacing w:val="-3"/>
          <w:sz w:val="16"/>
        </w:rPr>
        <w:t> </w:t>
      </w:r>
      <w:r>
        <w:rPr>
          <w:rFonts w:ascii="Segoe UI"/>
          <w:color w:val="231F20"/>
          <w:spacing w:val="-1"/>
          <w:sz w:val="16"/>
        </w:rPr>
        <w:t>members</w:t>
      </w:r>
      <w:r>
        <w:rPr>
          <w:rFonts w:ascii="Segoe UI"/>
          <w:color w:val="231F20"/>
          <w:spacing w:val="-3"/>
          <w:sz w:val="16"/>
        </w:rPr>
        <w:t> </w:t>
      </w:r>
      <w:r>
        <w:rPr>
          <w:rFonts w:ascii="Segoe UI"/>
          <w:color w:val="231F20"/>
          <w:sz w:val="16"/>
        </w:rPr>
        <w:t>would</w:t>
      </w:r>
      <w:r>
        <w:rPr>
          <w:rFonts w:ascii="Segoe UI"/>
          <w:color w:val="231F20"/>
          <w:spacing w:val="-4"/>
          <w:sz w:val="16"/>
        </w:rPr>
        <w:t> </w:t>
      </w:r>
      <w:r>
        <w:rPr>
          <w:rFonts w:ascii="Segoe UI"/>
          <w:color w:val="231F20"/>
          <w:sz w:val="16"/>
        </w:rPr>
        <w:t>prefer</w:t>
      </w:r>
      <w:r>
        <w:rPr>
          <w:rFonts w:ascii="Segoe UI"/>
          <w:color w:val="231F20"/>
          <w:spacing w:val="-4"/>
          <w:sz w:val="16"/>
        </w:rPr>
        <w:t> </w:t>
      </w:r>
      <w:r>
        <w:rPr>
          <w:rFonts w:ascii="Segoe UI"/>
          <w:color w:val="231F20"/>
          <w:sz w:val="16"/>
        </w:rPr>
        <w:t>to</w:t>
      </w:r>
      <w:r>
        <w:rPr>
          <w:rFonts w:ascii="Segoe UI"/>
          <w:color w:val="231F20"/>
          <w:spacing w:val="-3"/>
          <w:sz w:val="16"/>
        </w:rPr>
        <w:t> </w:t>
      </w:r>
      <w:r>
        <w:rPr>
          <w:rFonts w:ascii="Segoe UI"/>
          <w:color w:val="231F20"/>
          <w:sz w:val="16"/>
        </w:rPr>
        <w:t>book</w:t>
      </w:r>
      <w:r>
        <w:rPr>
          <w:rFonts w:ascii="Segoe UI"/>
          <w:color w:val="231F20"/>
          <w:spacing w:val="24"/>
          <w:w w:val="99"/>
          <w:sz w:val="16"/>
        </w:rPr>
        <w:t> </w:t>
      </w:r>
      <w:r>
        <w:rPr>
          <w:rFonts w:ascii="Segoe UI"/>
          <w:color w:val="231F20"/>
          <w:spacing w:val="-1"/>
          <w:sz w:val="16"/>
        </w:rPr>
        <w:t>student</w:t>
      </w:r>
      <w:r>
        <w:rPr>
          <w:rFonts w:ascii="Segoe UI"/>
          <w:color w:val="231F20"/>
          <w:spacing w:val="-6"/>
          <w:sz w:val="16"/>
        </w:rPr>
        <w:t> </w:t>
      </w:r>
      <w:r>
        <w:rPr>
          <w:rFonts w:ascii="Segoe UI"/>
          <w:color w:val="231F20"/>
          <w:sz w:val="16"/>
        </w:rPr>
        <w:t>travel</w:t>
      </w:r>
      <w:r>
        <w:rPr>
          <w:rFonts w:ascii="Segoe UI"/>
          <w:color w:val="231F20"/>
          <w:spacing w:val="-7"/>
          <w:sz w:val="16"/>
        </w:rPr>
        <w:t> </w:t>
      </w:r>
      <w:r>
        <w:rPr>
          <w:rFonts w:ascii="Segoe UI"/>
          <w:color w:val="231F20"/>
          <w:sz w:val="16"/>
        </w:rPr>
        <w:t>directly,</w:t>
      </w:r>
      <w:r>
        <w:rPr>
          <w:rFonts w:ascii="Segoe UI"/>
          <w:color w:val="231F20"/>
          <w:spacing w:val="-6"/>
          <w:sz w:val="16"/>
        </w:rPr>
        <w:t> </w:t>
      </w:r>
      <w:r>
        <w:rPr>
          <w:rFonts w:ascii="Segoe UI"/>
          <w:color w:val="231F20"/>
          <w:sz w:val="16"/>
        </w:rPr>
        <w:t>provided</w:t>
      </w:r>
      <w:r>
        <w:rPr>
          <w:rFonts w:ascii="Segoe UI"/>
          <w:color w:val="231F20"/>
          <w:spacing w:val="-6"/>
          <w:sz w:val="16"/>
        </w:rPr>
        <w:t> </w:t>
      </w:r>
      <w:r>
        <w:rPr>
          <w:rFonts w:ascii="Segoe UI"/>
          <w:color w:val="231F20"/>
          <w:sz w:val="16"/>
        </w:rPr>
        <w:t>there</w:t>
      </w:r>
      <w:r>
        <w:rPr>
          <w:rFonts w:ascii="Segoe UI"/>
          <w:color w:val="231F20"/>
          <w:spacing w:val="-7"/>
          <w:sz w:val="16"/>
        </w:rPr>
        <w:t> </w:t>
      </w:r>
      <w:r>
        <w:rPr>
          <w:rFonts w:ascii="Segoe UI"/>
          <w:color w:val="231F20"/>
          <w:sz w:val="16"/>
        </w:rPr>
        <w:t>was</w:t>
      </w:r>
      <w:r>
        <w:rPr>
          <w:rFonts w:ascii="Segoe UI"/>
          <w:color w:val="231F20"/>
          <w:spacing w:val="22"/>
          <w:w w:val="99"/>
          <w:sz w:val="16"/>
        </w:rPr>
        <w:t> </w:t>
      </w:r>
      <w:r>
        <w:rPr>
          <w:rFonts w:ascii="Segoe UI"/>
          <w:color w:val="231F20"/>
          <w:sz w:val="16"/>
        </w:rPr>
        <w:t>additional</w:t>
      </w:r>
      <w:r>
        <w:rPr>
          <w:rFonts w:ascii="Segoe UI"/>
          <w:color w:val="231F20"/>
          <w:spacing w:val="-5"/>
          <w:sz w:val="16"/>
        </w:rPr>
        <w:t> </w:t>
      </w:r>
      <w:r>
        <w:rPr>
          <w:rFonts w:ascii="Segoe UI"/>
          <w:color w:val="231F20"/>
          <w:sz w:val="16"/>
        </w:rPr>
        <w:t>funding,</w:t>
      </w:r>
      <w:r>
        <w:rPr>
          <w:rFonts w:ascii="Segoe UI"/>
          <w:color w:val="231F20"/>
          <w:spacing w:val="-3"/>
          <w:sz w:val="16"/>
        </w:rPr>
        <w:t> </w:t>
      </w:r>
      <w:r>
        <w:rPr>
          <w:rFonts w:ascii="Segoe UI"/>
          <w:color w:val="231F20"/>
          <w:spacing w:val="-1"/>
          <w:sz w:val="16"/>
        </w:rPr>
        <w:t>such</w:t>
      </w:r>
      <w:r>
        <w:rPr>
          <w:rFonts w:ascii="Segoe UI"/>
          <w:color w:val="231F20"/>
          <w:spacing w:val="-4"/>
          <w:sz w:val="16"/>
        </w:rPr>
        <w:t> </w:t>
      </w:r>
      <w:r>
        <w:rPr>
          <w:rFonts w:ascii="Segoe UI"/>
          <w:color w:val="231F20"/>
          <w:sz w:val="16"/>
        </w:rPr>
        <w:t>as</w:t>
      </w:r>
      <w:r>
        <w:rPr>
          <w:rFonts w:ascii="Segoe UI"/>
          <w:color w:val="231F20"/>
          <w:spacing w:val="-4"/>
          <w:sz w:val="16"/>
        </w:rPr>
        <w:t> </w:t>
      </w:r>
      <w:r>
        <w:rPr>
          <w:rFonts w:ascii="Segoe UI"/>
          <w:color w:val="231F20"/>
          <w:sz w:val="16"/>
        </w:rPr>
        <w:t>the</w:t>
      </w:r>
      <w:r>
        <w:rPr>
          <w:rFonts w:ascii="Segoe UI"/>
          <w:color w:val="231F20"/>
          <w:spacing w:val="-4"/>
          <w:sz w:val="16"/>
        </w:rPr>
        <w:t> </w:t>
      </w:r>
      <w:r>
        <w:rPr>
          <w:rFonts w:ascii="Segoe UI"/>
          <w:color w:val="231F20"/>
          <w:sz w:val="16"/>
        </w:rPr>
        <w:t>existing</w:t>
      </w:r>
      <w:r>
        <w:rPr>
          <w:rFonts w:ascii="Segoe UI"/>
          <w:color w:val="231F20"/>
          <w:spacing w:val="-4"/>
          <w:sz w:val="16"/>
        </w:rPr>
        <w:t> </w:t>
      </w:r>
      <w:r>
        <w:rPr>
          <w:rFonts w:ascii="Segoe UI"/>
          <w:color w:val="231F20"/>
          <w:sz w:val="16"/>
        </w:rPr>
        <w:t>booking</w:t>
      </w:r>
      <w:r>
        <w:rPr>
          <w:rFonts w:ascii="Segoe UI"/>
          <w:color w:val="231F20"/>
          <w:spacing w:val="-5"/>
          <w:sz w:val="16"/>
        </w:rPr>
        <w:t> </w:t>
      </w:r>
      <w:r>
        <w:rPr>
          <w:rFonts w:ascii="Segoe UI"/>
          <w:color w:val="231F20"/>
          <w:sz w:val="16"/>
        </w:rPr>
        <w:t>fee</w:t>
      </w:r>
      <w:r>
        <w:rPr>
          <w:rFonts w:ascii="Segoe UI"/>
          <w:color w:val="231F20"/>
          <w:spacing w:val="21"/>
          <w:w w:val="99"/>
          <w:sz w:val="16"/>
        </w:rPr>
        <w:t> </w:t>
      </w:r>
      <w:r>
        <w:rPr>
          <w:rFonts w:ascii="Segoe UI"/>
          <w:color w:val="231F20"/>
          <w:sz w:val="16"/>
        </w:rPr>
        <w:t>paid</w:t>
      </w:r>
      <w:r>
        <w:rPr>
          <w:rFonts w:ascii="Segoe UI"/>
          <w:color w:val="231F20"/>
          <w:spacing w:val="-5"/>
          <w:sz w:val="16"/>
        </w:rPr>
        <w:t> </w:t>
      </w:r>
      <w:r>
        <w:rPr>
          <w:rFonts w:ascii="Segoe UI"/>
          <w:color w:val="231F20"/>
          <w:sz w:val="16"/>
        </w:rPr>
        <w:t>to</w:t>
      </w:r>
      <w:r>
        <w:rPr>
          <w:rFonts w:ascii="Segoe UI"/>
          <w:color w:val="231F20"/>
          <w:spacing w:val="-3"/>
          <w:sz w:val="16"/>
        </w:rPr>
        <w:t> QBT </w:t>
      </w:r>
      <w:r>
        <w:rPr>
          <w:rFonts w:ascii="Segoe UI"/>
          <w:color w:val="231F20"/>
          <w:sz w:val="16"/>
        </w:rPr>
        <w:t>per</w:t>
      </w:r>
      <w:r>
        <w:rPr>
          <w:rFonts w:ascii="Segoe UI"/>
          <w:color w:val="231F20"/>
          <w:spacing w:val="-3"/>
          <w:sz w:val="16"/>
        </w:rPr>
        <w:t> </w:t>
      </w:r>
      <w:r>
        <w:rPr>
          <w:rFonts w:ascii="Segoe UI"/>
          <w:color w:val="231F20"/>
          <w:sz w:val="16"/>
        </w:rPr>
        <w:t>booking,</w:t>
      </w:r>
      <w:r>
        <w:rPr>
          <w:rFonts w:ascii="Segoe UI"/>
          <w:color w:val="231F20"/>
          <w:spacing w:val="-4"/>
          <w:sz w:val="16"/>
        </w:rPr>
        <w:t> </w:t>
      </w:r>
      <w:r>
        <w:rPr>
          <w:rFonts w:ascii="Segoe UI"/>
          <w:color w:val="231F20"/>
          <w:sz w:val="16"/>
        </w:rPr>
        <w:t>to</w:t>
      </w:r>
      <w:r>
        <w:rPr>
          <w:rFonts w:ascii="Segoe UI"/>
          <w:color w:val="231F20"/>
          <w:spacing w:val="-3"/>
          <w:sz w:val="16"/>
        </w:rPr>
        <w:t> </w:t>
      </w:r>
      <w:r>
        <w:rPr>
          <w:rFonts w:ascii="Segoe UI"/>
          <w:color w:val="231F20"/>
          <w:spacing w:val="-1"/>
          <w:sz w:val="16"/>
        </w:rPr>
        <w:t>meet</w:t>
      </w:r>
      <w:r>
        <w:rPr>
          <w:rFonts w:ascii="Segoe UI"/>
          <w:color w:val="231F20"/>
          <w:spacing w:val="-3"/>
          <w:sz w:val="16"/>
        </w:rPr>
        <w:t> </w:t>
      </w:r>
      <w:r>
        <w:rPr>
          <w:rFonts w:ascii="Segoe UI"/>
          <w:color w:val="231F20"/>
          <w:sz w:val="16"/>
        </w:rPr>
        <w:t>the</w:t>
      </w:r>
      <w:r>
        <w:rPr>
          <w:rFonts w:ascii="Segoe UI"/>
          <w:color w:val="231F20"/>
          <w:spacing w:val="-4"/>
          <w:sz w:val="16"/>
        </w:rPr>
        <w:t> </w:t>
      </w:r>
      <w:r>
        <w:rPr>
          <w:rFonts w:ascii="Segoe UI"/>
          <w:color w:val="231F20"/>
          <w:sz w:val="16"/>
        </w:rPr>
        <w:t>additional</w:t>
      </w:r>
      <w:r>
        <w:rPr>
          <w:rFonts w:ascii="Segoe UI"/>
          <w:color w:val="231F20"/>
          <w:spacing w:val="23"/>
          <w:w w:val="99"/>
          <w:sz w:val="16"/>
        </w:rPr>
        <w:t> </w:t>
      </w:r>
      <w:r>
        <w:rPr>
          <w:rFonts w:ascii="Segoe UI"/>
          <w:color w:val="231F20"/>
          <w:sz w:val="16"/>
        </w:rPr>
        <w:t>administrative</w:t>
      </w:r>
      <w:r>
        <w:rPr>
          <w:rFonts w:ascii="Segoe UI"/>
          <w:color w:val="231F20"/>
          <w:spacing w:val="-6"/>
          <w:sz w:val="16"/>
        </w:rPr>
        <w:t> </w:t>
      </w:r>
      <w:r>
        <w:rPr>
          <w:rFonts w:ascii="Segoe UI"/>
          <w:color w:val="231F20"/>
          <w:sz w:val="16"/>
        </w:rPr>
        <w:t>costs,</w:t>
      </w:r>
      <w:r>
        <w:rPr>
          <w:rFonts w:ascii="Segoe UI"/>
          <w:color w:val="231F20"/>
          <w:spacing w:val="-5"/>
          <w:sz w:val="16"/>
        </w:rPr>
        <w:t> </w:t>
      </w:r>
      <w:r>
        <w:rPr>
          <w:rFonts w:ascii="Segoe UI"/>
          <w:color w:val="231F20"/>
          <w:sz w:val="16"/>
        </w:rPr>
        <w:t>and</w:t>
      </w:r>
      <w:r>
        <w:rPr>
          <w:rFonts w:ascii="Segoe UI"/>
          <w:color w:val="231F20"/>
          <w:spacing w:val="-6"/>
          <w:sz w:val="16"/>
        </w:rPr>
        <w:t> </w:t>
      </w:r>
      <w:r>
        <w:rPr>
          <w:rFonts w:ascii="Segoe UI"/>
          <w:color w:val="231F20"/>
          <w:sz w:val="16"/>
        </w:rPr>
        <w:t>there</w:t>
      </w:r>
      <w:r>
        <w:rPr>
          <w:rFonts w:ascii="Segoe UI"/>
          <w:color w:val="231F20"/>
          <w:spacing w:val="-5"/>
          <w:sz w:val="16"/>
        </w:rPr>
        <w:t> </w:t>
      </w:r>
      <w:r>
        <w:rPr>
          <w:rFonts w:ascii="Segoe UI"/>
          <w:color w:val="231F20"/>
          <w:sz w:val="16"/>
        </w:rPr>
        <w:t>was</w:t>
      </w:r>
      <w:r>
        <w:rPr>
          <w:rFonts w:ascii="Segoe UI"/>
          <w:color w:val="231F20"/>
          <w:spacing w:val="-6"/>
          <w:sz w:val="16"/>
        </w:rPr>
        <w:t> </w:t>
      </w:r>
      <w:r>
        <w:rPr>
          <w:rFonts w:ascii="Segoe UI"/>
          <w:color w:val="231F20"/>
          <w:sz w:val="16"/>
        </w:rPr>
        <w:t>certainty</w:t>
      </w:r>
      <w:r>
        <w:rPr>
          <w:rFonts w:ascii="Segoe UI"/>
          <w:color w:val="231F20"/>
          <w:spacing w:val="-5"/>
          <w:sz w:val="16"/>
        </w:rPr>
        <w:t> </w:t>
      </w:r>
      <w:r>
        <w:rPr>
          <w:rFonts w:ascii="Segoe UI"/>
          <w:color w:val="231F20"/>
          <w:sz w:val="16"/>
        </w:rPr>
        <w:t>of</w:t>
      </w:r>
      <w:r>
        <w:rPr>
          <w:rFonts w:ascii="Segoe UI"/>
          <w:color w:val="231F20"/>
          <w:w w:val="99"/>
          <w:sz w:val="16"/>
        </w:rPr>
        <w:t> </w:t>
      </w:r>
      <w:r>
        <w:rPr>
          <w:rFonts w:ascii="Segoe UI"/>
          <w:color w:val="231F20"/>
          <w:sz w:val="16"/>
        </w:rPr>
        <w:t>reimbursement</w:t>
      </w:r>
      <w:r>
        <w:rPr>
          <w:rFonts w:ascii="Segoe UI"/>
          <w:color w:val="231F20"/>
          <w:spacing w:val="-6"/>
          <w:sz w:val="16"/>
        </w:rPr>
        <w:t> </w:t>
      </w:r>
      <w:r>
        <w:rPr>
          <w:rFonts w:ascii="Segoe UI"/>
          <w:color w:val="231F20"/>
          <w:sz w:val="16"/>
        </w:rPr>
        <w:t>of</w:t>
      </w:r>
      <w:r>
        <w:rPr>
          <w:rFonts w:ascii="Segoe UI"/>
          <w:color w:val="231F20"/>
          <w:spacing w:val="-3"/>
          <w:sz w:val="16"/>
        </w:rPr>
        <w:t> </w:t>
      </w:r>
      <w:r>
        <w:rPr>
          <w:rFonts w:ascii="Segoe UI"/>
          <w:color w:val="231F20"/>
          <w:sz w:val="16"/>
        </w:rPr>
        <w:t>travel</w:t>
      </w:r>
      <w:r>
        <w:rPr>
          <w:rFonts w:ascii="Segoe UI"/>
          <w:color w:val="231F20"/>
          <w:spacing w:val="-4"/>
          <w:sz w:val="16"/>
        </w:rPr>
        <w:t> </w:t>
      </w:r>
      <w:r>
        <w:rPr>
          <w:rFonts w:ascii="Segoe UI"/>
          <w:color w:val="231F20"/>
          <w:sz w:val="16"/>
        </w:rPr>
        <w:t>costs</w:t>
      </w:r>
      <w:r>
        <w:rPr>
          <w:rFonts w:ascii="Segoe UI"/>
          <w:color w:val="231F20"/>
          <w:spacing w:val="-4"/>
          <w:sz w:val="16"/>
        </w:rPr>
        <w:t> </w:t>
      </w:r>
      <w:r>
        <w:rPr>
          <w:rFonts w:ascii="Segoe UI"/>
          <w:color w:val="231F20"/>
          <w:spacing w:val="-1"/>
          <w:sz w:val="16"/>
        </w:rPr>
        <w:t>in</w:t>
      </w:r>
      <w:r>
        <w:rPr>
          <w:rFonts w:ascii="Segoe UI"/>
          <w:color w:val="231F20"/>
          <w:spacing w:val="-4"/>
          <w:sz w:val="16"/>
        </w:rPr>
        <w:t> </w:t>
      </w:r>
      <w:r>
        <w:rPr>
          <w:rFonts w:ascii="Segoe UI"/>
          <w:color w:val="231F20"/>
          <w:sz w:val="16"/>
        </w:rPr>
        <w:t>a</w:t>
      </w:r>
      <w:r>
        <w:rPr>
          <w:rFonts w:ascii="Segoe UI"/>
          <w:color w:val="231F20"/>
          <w:spacing w:val="-3"/>
          <w:sz w:val="16"/>
        </w:rPr>
        <w:t> </w:t>
      </w:r>
      <w:r>
        <w:rPr>
          <w:rFonts w:ascii="Segoe UI"/>
          <w:color w:val="231F20"/>
          <w:sz w:val="16"/>
        </w:rPr>
        <w:t>timely</w:t>
      </w:r>
      <w:r>
        <w:rPr>
          <w:rFonts w:ascii="Segoe UI"/>
          <w:color w:val="231F20"/>
          <w:spacing w:val="-4"/>
          <w:sz w:val="16"/>
        </w:rPr>
        <w:t> </w:t>
      </w:r>
      <w:r>
        <w:rPr>
          <w:rFonts w:ascii="Segoe UI"/>
          <w:color w:val="231F20"/>
          <w:spacing w:val="-1"/>
          <w:sz w:val="16"/>
        </w:rPr>
        <w:t>manner.</w:t>
      </w:r>
      <w:r>
        <w:rPr>
          <w:rFonts w:ascii="Segoe UI"/>
          <w:color w:val="231F20"/>
          <w:spacing w:val="21"/>
          <w:w w:val="99"/>
          <w:sz w:val="16"/>
        </w:rPr>
        <w:t> </w:t>
      </w:r>
      <w:r>
        <w:rPr>
          <w:rFonts w:ascii="Segoe UI"/>
          <w:color w:val="231F20"/>
          <w:sz w:val="16"/>
        </w:rPr>
        <w:t>However,</w:t>
      </w:r>
      <w:r>
        <w:rPr>
          <w:rFonts w:ascii="Segoe UI"/>
          <w:color w:val="231F20"/>
          <w:spacing w:val="-6"/>
          <w:sz w:val="16"/>
        </w:rPr>
        <w:t> </w:t>
      </w:r>
      <w:r>
        <w:rPr>
          <w:rFonts w:ascii="Segoe UI"/>
          <w:color w:val="231F20"/>
          <w:sz w:val="16"/>
        </w:rPr>
        <w:t>two</w:t>
      </w:r>
      <w:r>
        <w:rPr>
          <w:rFonts w:ascii="Segoe UI"/>
          <w:color w:val="231F20"/>
          <w:spacing w:val="-5"/>
          <w:sz w:val="16"/>
        </w:rPr>
        <w:t> </w:t>
      </w:r>
      <w:r>
        <w:rPr>
          <w:rFonts w:ascii="Segoe UI"/>
          <w:color w:val="231F20"/>
          <w:sz w:val="16"/>
        </w:rPr>
        <w:t>Aboriginal</w:t>
      </w:r>
      <w:r>
        <w:rPr>
          <w:rFonts w:ascii="Segoe UI"/>
          <w:color w:val="231F20"/>
          <w:spacing w:val="-6"/>
          <w:sz w:val="16"/>
        </w:rPr>
        <w:t> </w:t>
      </w:r>
      <w:r>
        <w:rPr>
          <w:rFonts w:ascii="Segoe UI"/>
          <w:color w:val="231F20"/>
          <w:sz w:val="16"/>
        </w:rPr>
        <w:t>and</w:t>
      </w:r>
      <w:r>
        <w:rPr>
          <w:rFonts w:ascii="Segoe UI"/>
          <w:color w:val="231F20"/>
          <w:spacing w:val="-6"/>
          <w:sz w:val="16"/>
        </w:rPr>
        <w:t> </w:t>
      </w:r>
      <w:r>
        <w:rPr>
          <w:rFonts w:ascii="Segoe UI"/>
          <w:color w:val="231F20"/>
          <w:spacing w:val="-3"/>
          <w:sz w:val="16"/>
        </w:rPr>
        <w:t>Torres</w:t>
      </w:r>
      <w:r>
        <w:rPr>
          <w:rFonts w:ascii="Segoe UI"/>
          <w:color w:val="231F20"/>
          <w:spacing w:val="-5"/>
          <w:sz w:val="16"/>
        </w:rPr>
        <w:t> </w:t>
      </w:r>
      <w:r>
        <w:rPr>
          <w:rFonts w:ascii="Segoe UI"/>
          <w:color w:val="231F20"/>
          <w:spacing w:val="-1"/>
          <w:sz w:val="16"/>
        </w:rPr>
        <w:t>Strait</w:t>
      </w:r>
      <w:r>
        <w:rPr>
          <w:rFonts w:ascii="Segoe UI"/>
          <w:color w:val="231F20"/>
          <w:spacing w:val="-6"/>
          <w:sz w:val="16"/>
        </w:rPr>
        <w:t> </w:t>
      </w:r>
      <w:r>
        <w:rPr>
          <w:rFonts w:ascii="Segoe UI"/>
          <w:color w:val="231F20"/>
          <w:spacing w:val="-1"/>
          <w:sz w:val="16"/>
        </w:rPr>
        <w:t>Islander</w:t>
      </w:r>
      <w:r>
        <w:rPr>
          <w:rFonts w:ascii="Segoe UI"/>
          <w:color w:val="231F20"/>
          <w:spacing w:val="21"/>
          <w:w w:val="99"/>
          <w:sz w:val="16"/>
        </w:rPr>
        <w:t> </w:t>
      </w:r>
      <w:r>
        <w:rPr>
          <w:rFonts w:ascii="Segoe UI"/>
          <w:color w:val="231F20"/>
          <w:sz w:val="16"/>
        </w:rPr>
        <w:t>boarding</w:t>
      </w:r>
      <w:r>
        <w:rPr>
          <w:rFonts w:ascii="Segoe UI"/>
          <w:color w:val="231F20"/>
          <w:spacing w:val="-7"/>
          <w:sz w:val="16"/>
        </w:rPr>
        <w:t> </w:t>
      </w:r>
      <w:r>
        <w:rPr>
          <w:rFonts w:ascii="Segoe UI"/>
          <w:color w:val="231F20"/>
          <w:sz w:val="16"/>
        </w:rPr>
        <w:t>providers</w:t>
      </w:r>
      <w:r>
        <w:rPr>
          <w:rFonts w:ascii="Segoe UI"/>
          <w:color w:val="231F20"/>
          <w:spacing w:val="-7"/>
          <w:sz w:val="16"/>
        </w:rPr>
        <w:t> </w:t>
      </w:r>
      <w:r>
        <w:rPr>
          <w:rFonts w:ascii="Segoe UI"/>
          <w:color w:val="231F20"/>
          <w:spacing w:val="-1"/>
          <w:sz w:val="16"/>
        </w:rPr>
        <w:t>indicated</w:t>
      </w:r>
      <w:r>
        <w:rPr>
          <w:rFonts w:ascii="Segoe UI"/>
          <w:color w:val="231F20"/>
          <w:spacing w:val="-6"/>
          <w:sz w:val="16"/>
        </w:rPr>
        <w:t> </w:t>
      </w:r>
      <w:r>
        <w:rPr>
          <w:rFonts w:ascii="Segoe UI"/>
          <w:color w:val="231F20"/>
          <w:sz w:val="16"/>
        </w:rPr>
        <w:t>that</w:t>
      </w:r>
      <w:r>
        <w:rPr>
          <w:rFonts w:ascii="Segoe UI"/>
          <w:color w:val="231F20"/>
          <w:spacing w:val="-7"/>
          <w:sz w:val="16"/>
        </w:rPr>
        <w:t> </w:t>
      </w:r>
      <w:r>
        <w:rPr>
          <w:rFonts w:ascii="Segoe UI"/>
          <w:color w:val="231F20"/>
          <w:sz w:val="16"/>
        </w:rPr>
        <w:t>they</w:t>
      </w:r>
      <w:r>
        <w:rPr>
          <w:rFonts w:ascii="Segoe UI"/>
          <w:color w:val="231F20"/>
          <w:spacing w:val="-6"/>
          <w:sz w:val="16"/>
        </w:rPr>
        <w:t> </w:t>
      </w:r>
      <w:r>
        <w:rPr>
          <w:rFonts w:ascii="Segoe UI"/>
          <w:color w:val="231F20"/>
          <w:sz w:val="16"/>
        </w:rPr>
        <w:t>were</w:t>
      </w:r>
      <w:r>
        <w:rPr>
          <w:rFonts w:ascii="Segoe UI"/>
          <w:color w:val="231F20"/>
          <w:spacing w:val="22"/>
          <w:w w:val="99"/>
          <w:sz w:val="16"/>
        </w:rPr>
        <w:t> </w:t>
      </w:r>
      <w:r>
        <w:rPr>
          <w:rFonts w:ascii="Segoe UI"/>
          <w:color w:val="231F20"/>
          <w:sz w:val="16"/>
        </w:rPr>
        <w:t>satisfied with the currently student travel processes</w:t>
      </w:r>
      <w:r>
        <w:rPr>
          <w:rFonts w:ascii="Segoe UI"/>
          <w:color w:val="231F20"/>
          <w:sz w:val="16"/>
        </w:rPr>
        <w:t> </w:t>
      </w:r>
      <w:r>
        <w:rPr>
          <w:rFonts w:ascii="Segoe UI"/>
          <w:color w:val="231F20"/>
          <w:sz w:val="16"/>
        </w:rPr>
        <w:t>and/or</w:t>
      </w:r>
      <w:r>
        <w:rPr>
          <w:rFonts w:ascii="Segoe UI"/>
          <w:color w:val="231F20"/>
          <w:spacing w:val="-6"/>
          <w:sz w:val="16"/>
        </w:rPr>
        <w:t> </w:t>
      </w:r>
      <w:r>
        <w:rPr>
          <w:rFonts w:ascii="Segoe UI"/>
          <w:color w:val="231F20"/>
          <w:sz w:val="16"/>
        </w:rPr>
        <w:t>did</w:t>
      </w:r>
      <w:r>
        <w:rPr>
          <w:rFonts w:ascii="Segoe UI"/>
          <w:color w:val="231F20"/>
          <w:spacing w:val="-5"/>
          <w:sz w:val="16"/>
        </w:rPr>
        <w:t> </w:t>
      </w:r>
      <w:r>
        <w:rPr>
          <w:rFonts w:ascii="Segoe UI"/>
          <w:color w:val="231F20"/>
          <w:sz w:val="16"/>
        </w:rPr>
        <w:t>not</w:t>
      </w:r>
      <w:r>
        <w:rPr>
          <w:rFonts w:ascii="Segoe UI"/>
          <w:color w:val="231F20"/>
          <w:spacing w:val="-5"/>
          <w:sz w:val="16"/>
        </w:rPr>
        <w:t> </w:t>
      </w:r>
      <w:r>
        <w:rPr>
          <w:rFonts w:ascii="Segoe UI"/>
          <w:color w:val="231F20"/>
          <w:sz w:val="16"/>
        </w:rPr>
        <w:t>want</w:t>
      </w:r>
      <w:r>
        <w:rPr>
          <w:rFonts w:ascii="Segoe UI"/>
          <w:color w:val="231F20"/>
          <w:spacing w:val="-6"/>
          <w:sz w:val="16"/>
        </w:rPr>
        <w:t> </w:t>
      </w:r>
      <w:r>
        <w:rPr>
          <w:rFonts w:ascii="Segoe UI"/>
          <w:color w:val="231F20"/>
          <w:sz w:val="16"/>
        </w:rPr>
        <w:t>the</w:t>
      </w:r>
      <w:r>
        <w:rPr>
          <w:rFonts w:ascii="Segoe UI"/>
          <w:color w:val="231F20"/>
          <w:spacing w:val="-5"/>
          <w:sz w:val="16"/>
        </w:rPr>
        <w:t> </w:t>
      </w:r>
      <w:r>
        <w:rPr>
          <w:rFonts w:ascii="Segoe UI"/>
          <w:color w:val="231F20"/>
          <w:sz w:val="16"/>
        </w:rPr>
        <w:t>administrative</w:t>
      </w:r>
      <w:r>
        <w:rPr>
          <w:rFonts w:ascii="Segoe UI"/>
          <w:color w:val="231F20"/>
          <w:spacing w:val="-6"/>
          <w:sz w:val="16"/>
        </w:rPr>
        <w:t> </w:t>
      </w:r>
      <w:r>
        <w:rPr>
          <w:rFonts w:ascii="Segoe UI"/>
          <w:color w:val="231F20"/>
          <w:sz w:val="16"/>
        </w:rPr>
        <w:t>burden</w:t>
      </w:r>
      <w:r>
        <w:rPr>
          <w:rFonts w:ascii="Segoe UI"/>
          <w:color w:val="231F20"/>
          <w:spacing w:val="-5"/>
          <w:sz w:val="16"/>
        </w:rPr>
        <w:t> </w:t>
      </w:r>
      <w:r>
        <w:rPr>
          <w:rFonts w:ascii="Segoe UI"/>
          <w:color w:val="231F20"/>
          <w:sz w:val="16"/>
        </w:rPr>
        <w:t>of</w:t>
      </w:r>
      <w:r>
        <w:rPr>
          <w:rFonts w:ascii="Segoe UI"/>
          <w:color w:val="231F20"/>
          <w:w w:val="99"/>
          <w:sz w:val="16"/>
        </w:rPr>
        <w:t> </w:t>
      </w:r>
      <w:r>
        <w:rPr>
          <w:rFonts w:ascii="Segoe UI"/>
          <w:color w:val="231F20"/>
          <w:spacing w:val="-1"/>
          <w:sz w:val="16"/>
        </w:rPr>
        <w:t>managing</w:t>
      </w:r>
      <w:r>
        <w:rPr>
          <w:rFonts w:ascii="Segoe UI"/>
          <w:color w:val="231F20"/>
          <w:spacing w:val="-5"/>
          <w:sz w:val="16"/>
        </w:rPr>
        <w:t> </w:t>
      </w:r>
      <w:r>
        <w:rPr>
          <w:rFonts w:ascii="Segoe UI"/>
          <w:color w:val="231F20"/>
          <w:sz w:val="16"/>
        </w:rPr>
        <w:t>travel</w:t>
      </w:r>
      <w:r>
        <w:rPr>
          <w:rFonts w:ascii="Segoe UI"/>
          <w:color w:val="231F20"/>
          <w:spacing w:val="-5"/>
          <w:sz w:val="16"/>
        </w:rPr>
        <w:t> </w:t>
      </w:r>
      <w:r>
        <w:rPr>
          <w:rFonts w:ascii="Segoe UI"/>
          <w:color w:val="231F20"/>
          <w:sz w:val="16"/>
        </w:rPr>
        <w:t>for</w:t>
      </w:r>
      <w:r>
        <w:rPr>
          <w:rFonts w:ascii="Segoe UI"/>
          <w:color w:val="231F20"/>
          <w:spacing w:val="-4"/>
          <w:sz w:val="16"/>
        </w:rPr>
        <w:t> </w:t>
      </w:r>
      <w:r>
        <w:rPr>
          <w:rFonts w:ascii="Segoe UI"/>
          <w:color w:val="231F20"/>
          <w:spacing w:val="-1"/>
          <w:sz w:val="16"/>
        </w:rPr>
        <w:t>students</w:t>
      </w:r>
      <w:r>
        <w:rPr>
          <w:rFonts w:ascii="Segoe UI"/>
          <w:sz w:val="16"/>
        </w:rPr>
      </w:r>
    </w:p>
    <w:p>
      <w:pPr>
        <w:numPr>
          <w:ilvl w:val="0"/>
          <w:numId w:val="13"/>
        </w:numPr>
        <w:tabs>
          <w:tab w:pos="668" w:val="left" w:leader="none"/>
        </w:tabs>
        <w:spacing w:line="200" w:lineRule="exact" w:before="113"/>
        <w:ind w:left="667" w:right="64" w:hanging="567"/>
        <w:jc w:val="left"/>
        <w:rPr>
          <w:rFonts w:ascii="Segoe UI" w:hAnsi="Segoe UI" w:cs="Segoe UI" w:eastAsia="Segoe UI"/>
          <w:sz w:val="16"/>
          <w:szCs w:val="16"/>
        </w:rPr>
      </w:pPr>
      <w:r>
        <w:rPr>
          <w:rFonts w:ascii="Segoe UI"/>
          <w:color w:val="231F20"/>
          <w:sz w:val="16"/>
        </w:rPr>
        <w:t>Provisions</w:t>
      </w:r>
      <w:r>
        <w:rPr>
          <w:rFonts w:ascii="Segoe UI"/>
          <w:color w:val="231F20"/>
          <w:spacing w:val="-3"/>
          <w:sz w:val="16"/>
        </w:rPr>
        <w:t> </w:t>
      </w:r>
      <w:r>
        <w:rPr>
          <w:rFonts w:ascii="Segoe UI"/>
          <w:color w:val="231F20"/>
          <w:sz w:val="16"/>
        </w:rPr>
        <w:t>and</w:t>
      </w:r>
      <w:r>
        <w:rPr>
          <w:rFonts w:ascii="Segoe UI"/>
          <w:color w:val="231F20"/>
          <w:spacing w:val="-4"/>
          <w:sz w:val="16"/>
        </w:rPr>
        <w:t> </w:t>
      </w:r>
      <w:r>
        <w:rPr>
          <w:rFonts w:ascii="Segoe UI"/>
          <w:color w:val="231F20"/>
          <w:sz w:val="16"/>
        </w:rPr>
        <w:t>practices</w:t>
      </w:r>
      <w:r>
        <w:rPr>
          <w:rFonts w:ascii="Segoe UI"/>
          <w:color w:val="231F20"/>
          <w:spacing w:val="-4"/>
          <w:sz w:val="16"/>
        </w:rPr>
        <w:t> </w:t>
      </w:r>
      <w:r>
        <w:rPr>
          <w:rFonts w:ascii="Segoe UI"/>
          <w:color w:val="231F20"/>
          <w:sz w:val="16"/>
        </w:rPr>
        <w:t>for</w:t>
      </w:r>
      <w:r>
        <w:rPr>
          <w:rFonts w:ascii="Segoe UI"/>
          <w:color w:val="231F20"/>
          <w:spacing w:val="-2"/>
          <w:sz w:val="16"/>
        </w:rPr>
        <w:t> </w:t>
      </w:r>
      <w:r>
        <w:rPr>
          <w:rFonts w:ascii="Segoe UI"/>
          <w:color w:val="231F20"/>
          <w:spacing w:val="-1"/>
          <w:sz w:val="16"/>
        </w:rPr>
        <w:t>suspension</w:t>
      </w:r>
      <w:r>
        <w:rPr>
          <w:rFonts w:ascii="Segoe UI"/>
          <w:color w:val="231F20"/>
          <w:spacing w:val="-4"/>
          <w:sz w:val="16"/>
        </w:rPr>
        <w:t> </w:t>
      </w:r>
      <w:r>
        <w:rPr>
          <w:rFonts w:ascii="Segoe UI"/>
          <w:color w:val="231F20"/>
          <w:sz w:val="16"/>
        </w:rPr>
        <w:t>and</w:t>
      </w:r>
      <w:r>
        <w:rPr>
          <w:rFonts w:ascii="Segoe UI"/>
          <w:color w:val="231F20"/>
          <w:spacing w:val="29"/>
          <w:w w:val="99"/>
          <w:sz w:val="16"/>
        </w:rPr>
        <w:t> </w:t>
      </w:r>
      <w:r>
        <w:rPr>
          <w:rFonts w:ascii="Segoe UI"/>
          <w:color w:val="231F20"/>
          <w:sz w:val="16"/>
        </w:rPr>
        <w:t>expulsion</w:t>
      </w:r>
      <w:r>
        <w:rPr>
          <w:rFonts w:ascii="Segoe UI"/>
          <w:color w:val="231F20"/>
          <w:spacing w:val="-4"/>
          <w:sz w:val="16"/>
        </w:rPr>
        <w:t> </w:t>
      </w:r>
      <w:r>
        <w:rPr>
          <w:rFonts w:ascii="Segoe UI"/>
          <w:color w:val="231F20"/>
          <w:sz w:val="16"/>
        </w:rPr>
        <w:t>travel</w:t>
      </w:r>
      <w:r>
        <w:rPr>
          <w:rFonts w:ascii="Segoe UI"/>
          <w:color w:val="231F20"/>
          <w:spacing w:val="-4"/>
          <w:sz w:val="16"/>
        </w:rPr>
        <w:t> </w:t>
      </w:r>
      <w:r>
        <w:rPr>
          <w:rFonts w:ascii="Segoe UI"/>
          <w:color w:val="231F20"/>
          <w:sz w:val="16"/>
        </w:rPr>
        <w:t>were</w:t>
      </w:r>
      <w:r>
        <w:rPr>
          <w:rFonts w:ascii="Segoe UI"/>
          <w:color w:val="231F20"/>
          <w:spacing w:val="-4"/>
          <w:sz w:val="16"/>
        </w:rPr>
        <w:t> </w:t>
      </w:r>
      <w:r>
        <w:rPr>
          <w:rFonts w:ascii="Segoe UI"/>
          <w:color w:val="231F20"/>
          <w:sz w:val="16"/>
        </w:rPr>
        <w:t>reviewed</w:t>
      </w:r>
      <w:r>
        <w:rPr>
          <w:rFonts w:ascii="Segoe UI"/>
          <w:color w:val="231F20"/>
          <w:spacing w:val="-4"/>
          <w:sz w:val="16"/>
        </w:rPr>
        <w:t> </w:t>
      </w:r>
      <w:r>
        <w:rPr>
          <w:rFonts w:ascii="Segoe UI"/>
          <w:color w:val="231F20"/>
          <w:spacing w:val="-1"/>
          <w:sz w:val="16"/>
        </w:rPr>
        <w:t>in</w:t>
      </w:r>
      <w:r>
        <w:rPr>
          <w:rFonts w:ascii="Segoe UI"/>
          <w:color w:val="231F20"/>
          <w:spacing w:val="-3"/>
          <w:sz w:val="16"/>
        </w:rPr>
        <w:t> </w:t>
      </w:r>
      <w:r>
        <w:rPr>
          <w:rFonts w:ascii="Segoe UI"/>
          <w:color w:val="231F20"/>
          <w:spacing w:val="-1"/>
          <w:sz w:val="16"/>
        </w:rPr>
        <w:t>2011</w:t>
      </w:r>
      <w:r>
        <w:rPr>
          <w:rFonts w:ascii="Segoe UI"/>
          <w:color w:val="231F20"/>
          <w:spacing w:val="-3"/>
          <w:sz w:val="16"/>
        </w:rPr>
        <w:t> </w:t>
      </w:r>
      <w:r>
        <w:rPr>
          <w:rFonts w:ascii="Segoe UI"/>
          <w:color w:val="231F20"/>
          <w:spacing w:val="-1"/>
          <w:sz w:val="16"/>
        </w:rPr>
        <w:t>in</w:t>
      </w:r>
      <w:r>
        <w:rPr>
          <w:rFonts w:ascii="Segoe UI"/>
          <w:color w:val="231F20"/>
          <w:spacing w:val="-2"/>
          <w:sz w:val="16"/>
        </w:rPr>
        <w:t> </w:t>
      </w:r>
      <w:r>
        <w:rPr>
          <w:rFonts w:ascii="Segoe UI"/>
          <w:color w:val="231F20"/>
          <w:sz w:val="16"/>
        </w:rPr>
        <w:t>response</w:t>
      </w:r>
      <w:r>
        <w:rPr>
          <w:rFonts w:ascii="Segoe UI"/>
          <w:color w:val="231F20"/>
          <w:spacing w:val="23"/>
          <w:w w:val="99"/>
          <w:sz w:val="16"/>
        </w:rPr>
        <w:t> </w:t>
      </w:r>
      <w:r>
        <w:rPr>
          <w:rFonts w:ascii="Segoe UI"/>
          <w:color w:val="231F20"/>
          <w:sz w:val="16"/>
        </w:rPr>
        <w:t>to</w:t>
      </w:r>
      <w:r>
        <w:rPr>
          <w:rFonts w:ascii="Segoe UI"/>
          <w:color w:val="231F20"/>
          <w:spacing w:val="-4"/>
          <w:sz w:val="16"/>
        </w:rPr>
        <w:t> </w:t>
      </w:r>
      <w:r>
        <w:rPr>
          <w:rFonts w:ascii="Segoe UI"/>
          <w:color w:val="231F20"/>
          <w:sz w:val="16"/>
        </w:rPr>
        <w:t>concerns</w:t>
      </w:r>
      <w:r>
        <w:rPr>
          <w:rFonts w:ascii="Segoe UI"/>
          <w:color w:val="231F20"/>
          <w:spacing w:val="-4"/>
          <w:sz w:val="16"/>
        </w:rPr>
        <w:t> </w:t>
      </w:r>
      <w:r>
        <w:rPr>
          <w:rFonts w:ascii="Segoe UI"/>
          <w:color w:val="231F20"/>
          <w:sz w:val="16"/>
        </w:rPr>
        <w:t>about</w:t>
      </w:r>
      <w:r>
        <w:rPr>
          <w:rFonts w:ascii="Segoe UI"/>
          <w:color w:val="231F20"/>
          <w:spacing w:val="-5"/>
          <w:sz w:val="16"/>
        </w:rPr>
        <w:t> </w:t>
      </w:r>
      <w:r>
        <w:rPr>
          <w:rFonts w:ascii="Segoe UI"/>
          <w:color w:val="231F20"/>
          <w:sz w:val="16"/>
        </w:rPr>
        <w:t>the</w:t>
      </w:r>
      <w:r>
        <w:rPr>
          <w:rFonts w:ascii="Segoe UI"/>
          <w:color w:val="231F20"/>
          <w:spacing w:val="-4"/>
          <w:sz w:val="16"/>
        </w:rPr>
        <w:t> </w:t>
      </w:r>
      <w:r>
        <w:rPr>
          <w:rFonts w:ascii="Segoe UI"/>
          <w:color w:val="231F20"/>
          <w:sz w:val="16"/>
        </w:rPr>
        <w:t>high</w:t>
      </w:r>
      <w:r>
        <w:rPr>
          <w:rFonts w:ascii="Segoe UI"/>
          <w:color w:val="231F20"/>
          <w:spacing w:val="-5"/>
          <w:sz w:val="16"/>
        </w:rPr>
        <w:t> </w:t>
      </w:r>
      <w:r>
        <w:rPr>
          <w:rFonts w:ascii="Segoe UI"/>
          <w:color w:val="231F20"/>
          <w:sz w:val="16"/>
        </w:rPr>
        <w:t>number</w:t>
      </w:r>
      <w:r>
        <w:rPr>
          <w:rFonts w:ascii="Segoe UI"/>
          <w:color w:val="231F20"/>
          <w:spacing w:val="-4"/>
          <w:sz w:val="16"/>
        </w:rPr>
        <w:t> </w:t>
      </w:r>
      <w:r>
        <w:rPr>
          <w:rFonts w:ascii="Segoe UI"/>
          <w:color w:val="231F20"/>
          <w:sz w:val="16"/>
        </w:rPr>
        <w:t>of</w:t>
      </w:r>
      <w:r>
        <w:rPr>
          <w:rFonts w:ascii="Segoe UI"/>
          <w:color w:val="231F20"/>
          <w:spacing w:val="-4"/>
          <w:sz w:val="16"/>
        </w:rPr>
        <w:t> </w:t>
      </w:r>
      <w:r>
        <w:rPr>
          <w:rFonts w:ascii="Segoe UI"/>
          <w:color w:val="231F20"/>
          <w:spacing w:val="-1"/>
          <w:sz w:val="16"/>
        </w:rPr>
        <w:t>students</w:t>
      </w:r>
      <w:r>
        <w:rPr>
          <w:rFonts w:ascii="Segoe UI"/>
          <w:color w:val="231F20"/>
          <w:spacing w:val="20"/>
          <w:sz w:val="16"/>
        </w:rPr>
        <w:t> </w:t>
      </w:r>
      <w:r>
        <w:rPr>
          <w:rFonts w:ascii="Segoe UI"/>
          <w:color w:val="231F20"/>
          <w:sz w:val="16"/>
        </w:rPr>
        <w:t>returning</w:t>
      </w:r>
      <w:r>
        <w:rPr>
          <w:rFonts w:ascii="Segoe UI"/>
          <w:color w:val="231F20"/>
          <w:spacing w:val="-6"/>
          <w:sz w:val="16"/>
        </w:rPr>
        <w:t> </w:t>
      </w:r>
      <w:r>
        <w:rPr>
          <w:rFonts w:ascii="Segoe UI"/>
          <w:color w:val="231F20"/>
          <w:sz w:val="16"/>
        </w:rPr>
        <w:t>home</w:t>
      </w:r>
      <w:r>
        <w:rPr>
          <w:rFonts w:ascii="Segoe UI"/>
          <w:color w:val="231F20"/>
          <w:spacing w:val="-5"/>
          <w:sz w:val="16"/>
        </w:rPr>
        <w:t> </w:t>
      </w:r>
      <w:r>
        <w:rPr>
          <w:rFonts w:ascii="Segoe UI"/>
          <w:color w:val="231F20"/>
          <w:spacing w:val="-1"/>
          <w:sz w:val="16"/>
        </w:rPr>
        <w:t>midterm</w:t>
      </w:r>
      <w:r>
        <w:rPr>
          <w:rFonts w:ascii="Segoe UI"/>
          <w:color w:val="231F20"/>
          <w:spacing w:val="-4"/>
          <w:sz w:val="16"/>
        </w:rPr>
        <w:t> </w:t>
      </w:r>
      <w:r>
        <w:rPr>
          <w:rFonts w:ascii="Segoe UI"/>
          <w:color w:val="231F20"/>
          <w:sz w:val="16"/>
        </w:rPr>
        <w:t>and</w:t>
      </w:r>
      <w:r>
        <w:rPr>
          <w:rFonts w:ascii="Segoe UI"/>
          <w:color w:val="231F20"/>
          <w:spacing w:val="-6"/>
          <w:sz w:val="16"/>
        </w:rPr>
        <w:t> </w:t>
      </w:r>
      <w:r>
        <w:rPr>
          <w:rFonts w:ascii="Segoe UI"/>
          <w:color w:val="231F20"/>
          <w:sz w:val="16"/>
        </w:rPr>
        <w:t>disengaging</w:t>
      </w:r>
      <w:r>
        <w:rPr>
          <w:rFonts w:ascii="Segoe UI"/>
          <w:color w:val="231F20"/>
          <w:spacing w:val="-5"/>
          <w:sz w:val="16"/>
        </w:rPr>
        <w:t> </w:t>
      </w:r>
      <w:r>
        <w:rPr>
          <w:rFonts w:ascii="Segoe UI"/>
          <w:color w:val="231F20"/>
          <w:sz w:val="16"/>
        </w:rPr>
        <w:t>from</w:t>
      </w:r>
      <w:r>
        <w:rPr>
          <w:rFonts w:ascii="Segoe UI"/>
          <w:color w:val="231F20"/>
          <w:spacing w:val="22"/>
          <w:w w:val="99"/>
          <w:sz w:val="16"/>
        </w:rPr>
        <w:t> </w:t>
      </w:r>
      <w:r>
        <w:rPr>
          <w:rFonts w:ascii="Segoe UI"/>
          <w:color w:val="231F20"/>
          <w:sz w:val="16"/>
        </w:rPr>
        <w:t>education</w:t>
      </w:r>
      <w:r>
        <w:rPr>
          <w:rFonts w:ascii="Segoe UI"/>
          <w:color w:val="231F20"/>
          <w:spacing w:val="-8"/>
          <w:sz w:val="16"/>
        </w:rPr>
        <w:t> </w:t>
      </w:r>
      <w:r>
        <w:rPr>
          <w:rFonts w:ascii="Segoe UI"/>
          <w:color w:val="231F20"/>
          <w:sz w:val="16"/>
        </w:rPr>
        <w:t>completely.</w:t>
      </w:r>
      <w:r>
        <w:rPr>
          <w:rFonts w:ascii="Segoe UI"/>
          <w:color w:val="231F20"/>
          <w:spacing w:val="-8"/>
          <w:sz w:val="16"/>
        </w:rPr>
        <w:t> </w:t>
      </w:r>
      <w:r>
        <w:rPr>
          <w:rFonts w:ascii="Segoe UI"/>
          <w:color w:val="231F20"/>
          <w:spacing w:val="-1"/>
          <w:sz w:val="16"/>
        </w:rPr>
        <w:t>Source:</w:t>
      </w:r>
      <w:r>
        <w:rPr>
          <w:rFonts w:ascii="Segoe UI"/>
          <w:color w:val="231F20"/>
          <w:spacing w:val="-7"/>
          <w:sz w:val="16"/>
        </w:rPr>
        <w:t> </w:t>
      </w:r>
      <w:r>
        <w:rPr>
          <w:rFonts w:ascii="Segoe UI"/>
          <w:color w:val="231F20"/>
          <w:sz w:val="16"/>
        </w:rPr>
        <w:t>PM&amp;C,</w:t>
      </w:r>
      <w:r>
        <w:rPr>
          <w:rFonts w:ascii="Segoe UI"/>
          <w:color w:val="231F20"/>
          <w:spacing w:val="-7"/>
          <w:sz w:val="16"/>
        </w:rPr>
        <w:t> </w:t>
      </w:r>
      <w:r>
        <w:rPr>
          <w:rFonts w:ascii="Segoe UI"/>
          <w:color w:val="231F20"/>
          <w:sz w:val="16"/>
        </w:rPr>
        <w:t>November</w:t>
      </w:r>
      <w:r>
        <w:rPr>
          <w:rFonts w:ascii="Segoe UI"/>
          <w:color w:val="231F20"/>
          <w:spacing w:val="22"/>
          <w:w w:val="99"/>
          <w:sz w:val="16"/>
        </w:rPr>
        <w:t> </w:t>
      </w:r>
      <w:r>
        <w:rPr>
          <w:rFonts w:ascii="Segoe UI"/>
          <w:color w:val="231F20"/>
          <w:spacing w:val="-1"/>
          <w:sz w:val="16"/>
        </w:rPr>
        <w:t>2018</w:t>
      </w:r>
      <w:r>
        <w:rPr>
          <w:rFonts w:ascii="Segoe UI"/>
          <w:sz w:val="16"/>
        </w:rPr>
      </w:r>
    </w:p>
    <w:p>
      <w:pPr>
        <w:numPr>
          <w:ilvl w:val="0"/>
          <w:numId w:val="13"/>
        </w:numPr>
        <w:tabs>
          <w:tab w:pos="668" w:val="left" w:leader="none"/>
        </w:tabs>
        <w:spacing w:line="200" w:lineRule="exact" w:before="113"/>
        <w:ind w:left="667" w:right="5" w:hanging="567"/>
        <w:jc w:val="left"/>
        <w:rPr>
          <w:rFonts w:ascii="Segoe UI" w:hAnsi="Segoe UI" w:cs="Segoe UI" w:eastAsia="Segoe UI"/>
          <w:sz w:val="16"/>
          <w:szCs w:val="16"/>
        </w:rPr>
      </w:pPr>
      <w:r>
        <w:rPr>
          <w:rFonts w:ascii="Segoe UI"/>
          <w:color w:val="231F20"/>
          <w:spacing w:val="-1"/>
          <w:sz w:val="16"/>
        </w:rPr>
        <w:t>Where</w:t>
      </w:r>
      <w:r>
        <w:rPr>
          <w:rFonts w:ascii="Segoe UI"/>
          <w:color w:val="231F20"/>
          <w:spacing w:val="-4"/>
          <w:sz w:val="16"/>
        </w:rPr>
        <w:t> </w:t>
      </w:r>
      <w:r>
        <w:rPr>
          <w:rFonts w:ascii="Segoe UI"/>
          <w:color w:val="231F20"/>
          <w:sz w:val="16"/>
        </w:rPr>
        <w:t>a</w:t>
      </w:r>
      <w:r>
        <w:rPr>
          <w:rFonts w:ascii="Segoe UI"/>
          <w:color w:val="231F20"/>
          <w:spacing w:val="-3"/>
          <w:sz w:val="16"/>
        </w:rPr>
        <w:t> </w:t>
      </w:r>
      <w:r>
        <w:rPr>
          <w:rFonts w:ascii="Segoe UI"/>
          <w:color w:val="231F20"/>
          <w:spacing w:val="-1"/>
          <w:sz w:val="16"/>
        </w:rPr>
        <w:t>student</w:t>
      </w:r>
      <w:r>
        <w:rPr>
          <w:rFonts w:ascii="Segoe UI"/>
          <w:color w:val="231F20"/>
          <w:spacing w:val="-3"/>
          <w:sz w:val="16"/>
        </w:rPr>
        <w:t> </w:t>
      </w:r>
      <w:r>
        <w:rPr>
          <w:rFonts w:ascii="Segoe UI"/>
          <w:color w:val="231F20"/>
          <w:spacing w:val="-1"/>
          <w:sz w:val="16"/>
        </w:rPr>
        <w:t>is</w:t>
      </w:r>
      <w:r>
        <w:rPr>
          <w:rFonts w:ascii="Segoe UI"/>
          <w:color w:val="231F20"/>
          <w:spacing w:val="-4"/>
          <w:sz w:val="16"/>
        </w:rPr>
        <w:t> </w:t>
      </w:r>
      <w:r>
        <w:rPr>
          <w:rFonts w:ascii="Segoe UI"/>
          <w:color w:val="231F20"/>
          <w:spacing w:val="-1"/>
          <w:sz w:val="16"/>
        </w:rPr>
        <w:t>experiencing</w:t>
      </w:r>
      <w:r>
        <w:rPr>
          <w:rFonts w:ascii="Segoe UI"/>
          <w:color w:val="231F20"/>
          <w:spacing w:val="-3"/>
          <w:sz w:val="16"/>
        </w:rPr>
        <w:t> </w:t>
      </w:r>
      <w:r>
        <w:rPr>
          <w:rFonts w:ascii="Segoe UI"/>
          <w:color w:val="231F20"/>
          <w:sz w:val="16"/>
        </w:rPr>
        <w:t>a</w:t>
      </w:r>
      <w:r>
        <w:rPr>
          <w:rFonts w:ascii="Segoe UI"/>
          <w:color w:val="231F20"/>
          <w:spacing w:val="-3"/>
          <w:sz w:val="16"/>
        </w:rPr>
        <w:t> </w:t>
      </w:r>
      <w:r>
        <w:rPr>
          <w:rFonts w:ascii="Segoe UI"/>
          <w:color w:val="231F20"/>
          <w:sz w:val="16"/>
        </w:rPr>
        <w:t>high</w:t>
      </w:r>
      <w:r>
        <w:rPr>
          <w:rFonts w:ascii="Segoe UI"/>
          <w:color w:val="231F20"/>
          <w:spacing w:val="-5"/>
          <w:sz w:val="16"/>
        </w:rPr>
        <w:t> </w:t>
      </w:r>
      <w:r>
        <w:rPr>
          <w:rFonts w:ascii="Segoe UI"/>
          <w:color w:val="231F20"/>
          <w:spacing w:val="-1"/>
          <w:sz w:val="16"/>
        </w:rPr>
        <w:t>level</w:t>
      </w:r>
      <w:r>
        <w:rPr>
          <w:rFonts w:ascii="Segoe UI"/>
          <w:color w:val="231F20"/>
          <w:spacing w:val="-3"/>
          <w:sz w:val="16"/>
        </w:rPr>
        <w:t> </w:t>
      </w:r>
      <w:r>
        <w:rPr>
          <w:rFonts w:ascii="Segoe UI"/>
          <w:color w:val="231F20"/>
          <w:sz w:val="16"/>
        </w:rPr>
        <w:t>of</w:t>
      </w:r>
      <w:r>
        <w:rPr>
          <w:rFonts w:ascii="Segoe UI"/>
          <w:color w:val="231F20"/>
          <w:spacing w:val="27"/>
          <w:w w:val="99"/>
          <w:sz w:val="16"/>
        </w:rPr>
        <w:t> </w:t>
      </w:r>
      <w:r>
        <w:rPr>
          <w:rFonts w:ascii="Segoe UI"/>
          <w:color w:val="231F20"/>
          <w:sz w:val="16"/>
        </w:rPr>
        <w:t>distress</w:t>
      </w:r>
      <w:r>
        <w:rPr>
          <w:rFonts w:ascii="Segoe UI"/>
          <w:color w:val="231F20"/>
          <w:spacing w:val="-3"/>
          <w:sz w:val="16"/>
        </w:rPr>
        <w:t> </w:t>
      </w:r>
      <w:r>
        <w:rPr>
          <w:rFonts w:ascii="Segoe UI"/>
          <w:color w:val="231F20"/>
          <w:spacing w:val="-1"/>
          <w:sz w:val="16"/>
        </w:rPr>
        <w:t>in </w:t>
      </w:r>
      <w:r>
        <w:rPr>
          <w:rFonts w:ascii="Segoe UI"/>
          <w:color w:val="231F20"/>
          <w:sz w:val="16"/>
        </w:rPr>
        <w:t>boarding,</w:t>
      </w:r>
      <w:r>
        <w:rPr>
          <w:rFonts w:ascii="Segoe UI"/>
          <w:color w:val="231F20"/>
          <w:spacing w:val="-2"/>
          <w:sz w:val="16"/>
        </w:rPr>
        <w:t> </w:t>
      </w:r>
      <w:r>
        <w:rPr>
          <w:rFonts w:ascii="Segoe UI"/>
          <w:color w:val="231F20"/>
          <w:sz w:val="16"/>
        </w:rPr>
        <w:t>or</w:t>
      </w:r>
      <w:r>
        <w:rPr>
          <w:rFonts w:ascii="Segoe UI"/>
          <w:color w:val="231F20"/>
          <w:spacing w:val="-2"/>
          <w:sz w:val="16"/>
        </w:rPr>
        <w:t> </w:t>
      </w:r>
      <w:r>
        <w:rPr>
          <w:rFonts w:ascii="Segoe UI"/>
          <w:color w:val="231F20"/>
          <w:spacing w:val="-1"/>
          <w:sz w:val="16"/>
        </w:rPr>
        <w:t>is</w:t>
      </w:r>
      <w:r>
        <w:rPr>
          <w:rFonts w:ascii="Segoe UI"/>
          <w:color w:val="231F20"/>
          <w:spacing w:val="-2"/>
          <w:sz w:val="16"/>
        </w:rPr>
        <w:t> </w:t>
      </w:r>
      <w:r>
        <w:rPr>
          <w:rFonts w:ascii="Segoe UI"/>
          <w:color w:val="231F20"/>
          <w:sz w:val="16"/>
        </w:rPr>
        <w:t>a</w:t>
      </w:r>
      <w:r>
        <w:rPr>
          <w:rFonts w:ascii="Segoe UI"/>
          <w:color w:val="231F20"/>
          <w:spacing w:val="-2"/>
          <w:sz w:val="16"/>
        </w:rPr>
        <w:t> </w:t>
      </w:r>
      <w:r>
        <w:rPr>
          <w:rFonts w:ascii="Segoe UI"/>
          <w:color w:val="231F20"/>
          <w:sz w:val="16"/>
        </w:rPr>
        <w:t>risk</w:t>
      </w:r>
      <w:r>
        <w:rPr>
          <w:rFonts w:ascii="Segoe UI"/>
          <w:color w:val="231F20"/>
          <w:spacing w:val="-2"/>
          <w:sz w:val="16"/>
        </w:rPr>
        <w:t> </w:t>
      </w:r>
      <w:r>
        <w:rPr>
          <w:rFonts w:ascii="Segoe UI"/>
          <w:color w:val="231F20"/>
          <w:sz w:val="16"/>
        </w:rPr>
        <w:t>to</w:t>
      </w:r>
      <w:r>
        <w:rPr>
          <w:rFonts w:ascii="Segoe UI"/>
          <w:color w:val="231F20"/>
          <w:spacing w:val="-1"/>
          <w:sz w:val="16"/>
        </w:rPr>
        <w:t> </w:t>
      </w:r>
      <w:r>
        <w:rPr>
          <w:rFonts w:ascii="Segoe UI"/>
          <w:color w:val="231F20"/>
          <w:sz w:val="16"/>
        </w:rPr>
        <w:t>themselves</w:t>
      </w:r>
      <w:r>
        <w:rPr>
          <w:rFonts w:ascii="Segoe UI"/>
          <w:color w:val="231F20"/>
          <w:spacing w:val="-3"/>
          <w:sz w:val="16"/>
        </w:rPr>
        <w:t> </w:t>
      </w:r>
      <w:r>
        <w:rPr>
          <w:rFonts w:ascii="Segoe UI"/>
          <w:color w:val="231F20"/>
          <w:sz w:val="16"/>
        </w:rPr>
        <w:t>or</w:t>
      </w:r>
      <w:r>
        <w:rPr>
          <w:rFonts w:ascii="Segoe UI"/>
          <w:color w:val="231F20"/>
          <w:spacing w:val="22"/>
          <w:w w:val="99"/>
          <w:sz w:val="16"/>
        </w:rPr>
        <w:t> </w:t>
      </w:r>
      <w:r>
        <w:rPr>
          <w:rFonts w:ascii="Segoe UI"/>
          <w:color w:val="231F20"/>
          <w:sz w:val="16"/>
        </w:rPr>
        <w:t>others,</w:t>
      </w:r>
      <w:r>
        <w:rPr>
          <w:rFonts w:ascii="Segoe UI"/>
          <w:color w:val="231F20"/>
          <w:spacing w:val="-5"/>
          <w:sz w:val="16"/>
        </w:rPr>
        <w:t> </w:t>
      </w:r>
      <w:r>
        <w:rPr>
          <w:rFonts w:ascii="Segoe UI"/>
          <w:color w:val="231F20"/>
          <w:sz w:val="16"/>
        </w:rPr>
        <w:t>travel</w:t>
      </w:r>
      <w:r>
        <w:rPr>
          <w:rFonts w:ascii="Segoe UI"/>
          <w:color w:val="231F20"/>
          <w:spacing w:val="-5"/>
          <w:sz w:val="16"/>
        </w:rPr>
        <w:t> </w:t>
      </w:r>
      <w:r>
        <w:rPr>
          <w:rFonts w:ascii="Segoe UI"/>
          <w:color w:val="231F20"/>
          <w:sz w:val="16"/>
        </w:rPr>
        <w:t>for</w:t>
      </w:r>
      <w:r>
        <w:rPr>
          <w:rFonts w:ascii="Segoe UI"/>
          <w:color w:val="231F20"/>
          <w:spacing w:val="-4"/>
          <w:sz w:val="16"/>
        </w:rPr>
        <w:t> </w:t>
      </w:r>
      <w:r>
        <w:rPr>
          <w:rFonts w:ascii="Segoe UI"/>
          <w:color w:val="231F20"/>
          <w:sz w:val="16"/>
        </w:rPr>
        <w:t>compassionate</w:t>
      </w:r>
      <w:r>
        <w:rPr>
          <w:rFonts w:ascii="Segoe UI"/>
          <w:color w:val="231F20"/>
          <w:spacing w:val="-5"/>
          <w:sz w:val="16"/>
        </w:rPr>
        <w:t> </w:t>
      </w:r>
      <w:r>
        <w:rPr>
          <w:rFonts w:ascii="Segoe UI"/>
          <w:color w:val="231F20"/>
          <w:sz w:val="16"/>
        </w:rPr>
        <w:t>and</w:t>
      </w:r>
      <w:r>
        <w:rPr>
          <w:rFonts w:ascii="Segoe UI"/>
          <w:color w:val="231F20"/>
          <w:spacing w:val="-5"/>
          <w:sz w:val="16"/>
        </w:rPr>
        <w:t> </w:t>
      </w:r>
      <w:r>
        <w:rPr>
          <w:rFonts w:ascii="Segoe UI"/>
          <w:color w:val="231F20"/>
          <w:sz w:val="16"/>
        </w:rPr>
        <w:t>health</w:t>
      </w:r>
      <w:r>
        <w:rPr>
          <w:rFonts w:ascii="Segoe UI"/>
          <w:color w:val="231F20"/>
          <w:spacing w:val="-5"/>
          <w:sz w:val="16"/>
        </w:rPr>
        <w:t> </w:t>
      </w:r>
      <w:r>
        <w:rPr>
          <w:rFonts w:ascii="Segoe UI"/>
          <w:color w:val="231F20"/>
          <w:sz w:val="16"/>
        </w:rPr>
        <w:t>reasons</w:t>
      </w:r>
      <w:r>
        <w:rPr>
          <w:rFonts w:ascii="Segoe UI"/>
          <w:color w:val="231F20"/>
          <w:w w:val="99"/>
          <w:sz w:val="16"/>
        </w:rPr>
        <w:t> </w:t>
      </w:r>
      <w:r>
        <w:rPr>
          <w:rFonts w:ascii="Segoe UI"/>
          <w:color w:val="231F20"/>
          <w:spacing w:val="-1"/>
          <w:sz w:val="16"/>
        </w:rPr>
        <w:t>is</w:t>
      </w:r>
      <w:r>
        <w:rPr>
          <w:rFonts w:ascii="Segoe UI"/>
          <w:color w:val="231F20"/>
          <w:spacing w:val="-8"/>
          <w:sz w:val="16"/>
        </w:rPr>
        <w:t> </w:t>
      </w:r>
      <w:r>
        <w:rPr>
          <w:rFonts w:ascii="Segoe UI"/>
          <w:color w:val="231F20"/>
          <w:sz w:val="16"/>
        </w:rPr>
        <w:t>permitted</w:t>
      </w:r>
      <w:r>
        <w:rPr>
          <w:rFonts w:ascii="Segoe UI"/>
          <w:sz w:val="16"/>
        </w:rPr>
      </w:r>
    </w:p>
    <w:p>
      <w:pPr>
        <w:numPr>
          <w:ilvl w:val="0"/>
          <w:numId w:val="13"/>
        </w:numPr>
        <w:tabs>
          <w:tab w:pos="668" w:val="left" w:leader="none"/>
        </w:tabs>
        <w:spacing w:line="200" w:lineRule="exact" w:before="70"/>
        <w:ind w:left="667" w:right="183" w:hanging="567"/>
        <w:jc w:val="left"/>
        <w:rPr>
          <w:rFonts w:ascii="Segoe UI" w:hAnsi="Segoe UI" w:cs="Segoe UI" w:eastAsia="Segoe UI"/>
          <w:sz w:val="16"/>
          <w:szCs w:val="16"/>
        </w:rPr>
      </w:pPr>
      <w:r>
        <w:rPr>
          <w:rFonts w:ascii="Segoe UI" w:hAnsi="Segoe UI" w:cs="Segoe UI" w:eastAsia="Segoe UI"/>
          <w:color w:val="231F20"/>
          <w:sz w:val="16"/>
          <w:szCs w:val="16"/>
        </w:rPr>
        <w:br w:type="column"/>
      </w:r>
      <w:r>
        <w:rPr>
          <w:rFonts w:ascii="Segoe UI" w:hAnsi="Segoe UI" w:cs="Segoe UI" w:eastAsia="Segoe UI"/>
          <w:color w:val="231F20"/>
          <w:spacing w:val="-1"/>
          <w:sz w:val="16"/>
          <w:szCs w:val="16"/>
        </w:rPr>
        <w:t>Consultation—medium</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sized</w:t>
      </w:r>
      <w:r>
        <w:rPr>
          <w:rFonts w:ascii="Segoe UI" w:hAnsi="Segoe UI" w:cs="Segoe UI" w:eastAsia="Segoe UI"/>
          <w:color w:val="231F20"/>
          <w:spacing w:val="-4"/>
          <w:sz w:val="16"/>
          <w:szCs w:val="16"/>
        </w:rPr>
        <w:t> </w:t>
      </w:r>
      <w:r>
        <w:rPr>
          <w:rFonts w:ascii="Segoe UI" w:hAnsi="Segoe UI" w:cs="Segoe UI" w:eastAsia="Segoe UI"/>
          <w:color w:val="231F20"/>
          <w:sz w:val="16"/>
          <w:szCs w:val="16"/>
        </w:rPr>
        <w:t>Aboriginal</w:t>
      </w:r>
      <w:r>
        <w:rPr>
          <w:rFonts w:ascii="Segoe UI" w:hAnsi="Segoe UI" w:cs="Segoe UI" w:eastAsia="Segoe UI"/>
          <w:color w:val="231F20"/>
          <w:spacing w:val="-3"/>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5"/>
          <w:sz w:val="16"/>
          <w:szCs w:val="16"/>
        </w:rPr>
        <w:t> </w:t>
      </w:r>
      <w:r>
        <w:rPr>
          <w:rFonts w:ascii="Segoe UI" w:hAnsi="Segoe UI" w:cs="Segoe UI" w:eastAsia="Segoe UI"/>
          <w:color w:val="231F20"/>
          <w:spacing w:val="-3"/>
          <w:sz w:val="16"/>
          <w:szCs w:val="16"/>
        </w:rPr>
        <w:t>Torres</w:t>
      </w:r>
      <w:r>
        <w:rPr>
          <w:rFonts w:ascii="Segoe UI" w:hAnsi="Segoe UI" w:cs="Segoe UI" w:eastAsia="Segoe UI"/>
          <w:color w:val="231F20"/>
          <w:spacing w:val="25"/>
          <w:w w:val="99"/>
          <w:sz w:val="16"/>
          <w:szCs w:val="16"/>
        </w:rPr>
        <w:t> </w:t>
      </w:r>
      <w:r>
        <w:rPr>
          <w:rFonts w:ascii="Segoe UI" w:hAnsi="Segoe UI" w:cs="Segoe UI" w:eastAsia="Segoe UI"/>
          <w:color w:val="231F20"/>
          <w:spacing w:val="-1"/>
          <w:sz w:val="16"/>
          <w:szCs w:val="16"/>
        </w:rPr>
        <w:t>Strait</w:t>
      </w:r>
      <w:r>
        <w:rPr>
          <w:rFonts w:ascii="Segoe UI" w:hAnsi="Segoe UI" w:cs="Segoe UI" w:eastAsia="Segoe UI"/>
          <w:color w:val="231F20"/>
          <w:spacing w:val="-7"/>
          <w:sz w:val="16"/>
          <w:szCs w:val="16"/>
        </w:rPr>
        <w:t> </w:t>
      </w:r>
      <w:r>
        <w:rPr>
          <w:rFonts w:ascii="Segoe UI" w:hAnsi="Segoe UI" w:cs="Segoe UI" w:eastAsia="Segoe UI"/>
          <w:color w:val="231F20"/>
          <w:spacing w:val="-1"/>
          <w:sz w:val="16"/>
          <w:szCs w:val="16"/>
        </w:rPr>
        <w:t>Islander</w:t>
      </w:r>
      <w:r>
        <w:rPr>
          <w:rFonts w:ascii="Segoe UI" w:hAnsi="Segoe UI" w:cs="Segoe UI" w:eastAsia="Segoe UI"/>
          <w:color w:val="231F20"/>
          <w:spacing w:val="-6"/>
          <w:sz w:val="16"/>
          <w:szCs w:val="16"/>
        </w:rPr>
        <w:t> </w:t>
      </w:r>
      <w:r>
        <w:rPr>
          <w:rFonts w:ascii="Segoe UI" w:hAnsi="Segoe UI" w:cs="Segoe UI" w:eastAsia="Segoe UI"/>
          <w:color w:val="231F20"/>
          <w:sz w:val="16"/>
          <w:szCs w:val="16"/>
        </w:rPr>
        <w:t>boarding</w:t>
      </w:r>
      <w:r>
        <w:rPr>
          <w:rFonts w:ascii="Segoe UI" w:hAnsi="Segoe UI" w:cs="Segoe UI" w:eastAsia="Segoe UI"/>
          <w:color w:val="231F20"/>
          <w:spacing w:val="-7"/>
          <w:sz w:val="16"/>
          <w:szCs w:val="16"/>
        </w:rPr>
        <w:t> </w:t>
      </w:r>
      <w:r>
        <w:rPr>
          <w:rFonts w:ascii="Segoe UI" w:hAnsi="Segoe UI" w:cs="Segoe UI" w:eastAsia="Segoe UI"/>
          <w:color w:val="231F20"/>
          <w:sz w:val="16"/>
          <w:szCs w:val="16"/>
        </w:rPr>
        <w:t>provider</w:t>
      </w:r>
      <w:r>
        <w:rPr>
          <w:rFonts w:ascii="Segoe UI" w:hAnsi="Segoe UI" w:cs="Segoe UI" w:eastAsia="Segoe UI"/>
          <w:color w:val="231F20"/>
          <w:spacing w:val="-7"/>
          <w:sz w:val="16"/>
          <w:szCs w:val="16"/>
        </w:rPr>
        <w:t> </w:t>
      </w:r>
      <w:r>
        <w:rPr>
          <w:rFonts w:ascii="Segoe UI" w:hAnsi="Segoe UI" w:cs="Segoe UI" w:eastAsia="Segoe UI"/>
          <w:color w:val="231F20"/>
          <w:spacing w:val="-1"/>
          <w:sz w:val="16"/>
          <w:szCs w:val="16"/>
        </w:rPr>
        <w:t>in</w:t>
      </w:r>
      <w:r>
        <w:rPr>
          <w:rFonts w:ascii="Segoe UI" w:hAnsi="Segoe UI" w:cs="Segoe UI" w:eastAsia="Segoe UI"/>
          <w:color w:val="231F20"/>
          <w:spacing w:val="-6"/>
          <w:sz w:val="16"/>
          <w:szCs w:val="16"/>
        </w:rPr>
        <w:t> </w:t>
      </w:r>
      <w:r>
        <w:rPr>
          <w:rFonts w:ascii="Segoe UI" w:hAnsi="Segoe UI" w:cs="Segoe UI" w:eastAsia="Segoe UI"/>
          <w:color w:val="231F20"/>
          <w:sz w:val="16"/>
          <w:szCs w:val="16"/>
        </w:rPr>
        <w:t>Queensland</w:t>
      </w:r>
      <w:r>
        <w:rPr>
          <w:rFonts w:ascii="Segoe UI" w:hAnsi="Segoe UI" w:cs="Segoe UI" w:eastAsia="Segoe UI"/>
          <w:sz w:val="16"/>
          <w:szCs w:val="16"/>
        </w:rPr>
      </w:r>
    </w:p>
    <w:p>
      <w:pPr>
        <w:numPr>
          <w:ilvl w:val="0"/>
          <w:numId w:val="13"/>
        </w:numPr>
        <w:tabs>
          <w:tab w:pos="668" w:val="left" w:leader="none"/>
        </w:tabs>
        <w:spacing w:line="200" w:lineRule="exact" w:before="113"/>
        <w:ind w:left="667" w:right="274" w:hanging="567"/>
        <w:jc w:val="left"/>
        <w:rPr>
          <w:rFonts w:ascii="Segoe UI" w:hAnsi="Segoe UI" w:cs="Segoe UI" w:eastAsia="Segoe UI"/>
          <w:sz w:val="16"/>
          <w:szCs w:val="16"/>
        </w:rPr>
      </w:pPr>
      <w:r>
        <w:rPr>
          <w:rFonts w:ascii="Segoe UI" w:hAnsi="Segoe UI" w:cs="Segoe UI" w:eastAsia="Segoe UI"/>
          <w:color w:val="231F20"/>
          <w:spacing w:val="-1"/>
          <w:sz w:val="16"/>
          <w:szCs w:val="16"/>
        </w:rPr>
        <w:t>STPs</w:t>
      </w:r>
      <w:r>
        <w:rPr>
          <w:rFonts w:ascii="Segoe UI" w:hAnsi="Segoe UI" w:cs="Segoe UI" w:eastAsia="Segoe UI"/>
          <w:color w:val="231F20"/>
          <w:spacing w:val="-3"/>
          <w:sz w:val="16"/>
          <w:szCs w:val="16"/>
        </w:rPr>
        <w:t> </w:t>
      </w:r>
      <w:r>
        <w:rPr>
          <w:rFonts w:ascii="Segoe UI" w:hAnsi="Segoe UI" w:cs="Segoe UI" w:eastAsia="Segoe UI"/>
          <w:color w:val="231F20"/>
          <w:sz w:val="16"/>
          <w:szCs w:val="16"/>
        </w:rPr>
        <w:t>are</w:t>
      </w:r>
      <w:r>
        <w:rPr>
          <w:rFonts w:ascii="Segoe UI" w:hAnsi="Segoe UI" w:cs="Segoe UI" w:eastAsia="Segoe UI"/>
          <w:color w:val="231F20"/>
          <w:spacing w:val="-3"/>
          <w:sz w:val="16"/>
          <w:szCs w:val="16"/>
        </w:rPr>
        <w:t> </w:t>
      </w:r>
      <w:r>
        <w:rPr>
          <w:rFonts w:ascii="Segoe UI" w:hAnsi="Segoe UI" w:cs="Segoe UI" w:eastAsia="Segoe UI"/>
          <w:color w:val="231F20"/>
          <w:sz w:val="16"/>
          <w:szCs w:val="16"/>
        </w:rPr>
        <w:t>optional</w:t>
      </w:r>
      <w:r>
        <w:rPr>
          <w:rFonts w:ascii="Segoe UI" w:hAnsi="Segoe UI" w:cs="Segoe UI" w:eastAsia="Segoe UI"/>
          <w:color w:val="231F20"/>
          <w:spacing w:val="-3"/>
          <w:sz w:val="16"/>
          <w:szCs w:val="16"/>
        </w:rPr>
        <w:t> </w:t>
      </w:r>
      <w:r>
        <w:rPr>
          <w:rFonts w:ascii="Segoe UI" w:hAnsi="Segoe UI" w:cs="Segoe UI" w:eastAsia="Segoe UI"/>
          <w:color w:val="231F20"/>
          <w:sz w:val="16"/>
          <w:szCs w:val="16"/>
        </w:rPr>
        <w:t>from</w:t>
      </w:r>
      <w:r>
        <w:rPr>
          <w:rFonts w:ascii="Segoe UI" w:hAnsi="Segoe UI" w:cs="Segoe UI" w:eastAsia="Segoe UI"/>
          <w:color w:val="231F20"/>
          <w:spacing w:val="-3"/>
          <w:sz w:val="16"/>
          <w:szCs w:val="16"/>
        </w:rPr>
        <w:t> </w:t>
      </w:r>
      <w:r>
        <w:rPr>
          <w:rFonts w:ascii="Segoe UI" w:hAnsi="Segoe UI" w:cs="Segoe UI" w:eastAsia="Segoe UI"/>
          <w:color w:val="231F20"/>
          <w:sz w:val="16"/>
          <w:szCs w:val="16"/>
        </w:rPr>
        <w:t>1</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January</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2019</w:t>
      </w:r>
      <w:r>
        <w:rPr>
          <w:rFonts w:ascii="Segoe UI" w:hAnsi="Segoe UI" w:cs="Segoe UI" w:eastAsia="Segoe UI"/>
          <w:color w:val="231F20"/>
          <w:spacing w:val="-3"/>
          <w:sz w:val="16"/>
          <w:szCs w:val="16"/>
        </w:rPr>
        <w:t> </w:t>
      </w:r>
      <w:r>
        <w:rPr>
          <w:rFonts w:ascii="Segoe UI" w:hAnsi="Segoe UI" w:cs="Segoe UI" w:eastAsia="Segoe UI"/>
          <w:color w:val="231F20"/>
          <w:sz w:val="16"/>
          <w:szCs w:val="16"/>
        </w:rPr>
        <w:t>but</w:t>
      </w:r>
      <w:r>
        <w:rPr>
          <w:rFonts w:ascii="Segoe UI" w:hAnsi="Segoe UI" w:cs="Segoe UI" w:eastAsia="Segoe UI"/>
          <w:color w:val="231F20"/>
          <w:spacing w:val="-2"/>
          <w:sz w:val="16"/>
          <w:szCs w:val="16"/>
        </w:rPr>
        <w:t> </w:t>
      </w:r>
      <w:r>
        <w:rPr>
          <w:rFonts w:ascii="Segoe UI" w:hAnsi="Segoe UI" w:cs="Segoe UI" w:eastAsia="Segoe UI"/>
          <w:color w:val="231F20"/>
          <w:sz w:val="16"/>
          <w:szCs w:val="16"/>
        </w:rPr>
        <w:t>will</w:t>
      </w:r>
      <w:r>
        <w:rPr>
          <w:rFonts w:ascii="Segoe UI" w:hAnsi="Segoe UI" w:cs="Segoe UI" w:eastAsia="Segoe UI"/>
          <w:color w:val="231F20"/>
          <w:spacing w:val="-3"/>
          <w:sz w:val="16"/>
          <w:szCs w:val="16"/>
        </w:rPr>
        <w:t> </w:t>
      </w:r>
      <w:r>
        <w:rPr>
          <w:rFonts w:ascii="Segoe UI" w:hAnsi="Segoe UI" w:cs="Segoe UI" w:eastAsia="Segoe UI"/>
          <w:color w:val="231F20"/>
          <w:sz w:val="16"/>
          <w:szCs w:val="16"/>
        </w:rPr>
        <w:t>be</w:t>
      </w:r>
      <w:r>
        <w:rPr>
          <w:rFonts w:ascii="Segoe UI" w:hAnsi="Segoe UI" w:cs="Segoe UI" w:eastAsia="Segoe UI"/>
          <w:color w:val="231F20"/>
          <w:spacing w:val="29"/>
          <w:w w:val="99"/>
          <w:sz w:val="16"/>
          <w:szCs w:val="16"/>
        </w:rPr>
        <w:t> </w:t>
      </w:r>
      <w:r>
        <w:rPr>
          <w:rFonts w:ascii="Segoe UI" w:hAnsi="Segoe UI" w:cs="Segoe UI" w:eastAsia="Segoe UI"/>
          <w:color w:val="231F20"/>
          <w:spacing w:val="-1"/>
          <w:sz w:val="16"/>
          <w:szCs w:val="16"/>
        </w:rPr>
        <w:t>mandatory</w:t>
      </w:r>
      <w:r>
        <w:rPr>
          <w:rFonts w:ascii="Segoe UI" w:hAnsi="Segoe UI" w:cs="Segoe UI" w:eastAsia="Segoe UI"/>
          <w:color w:val="231F20"/>
          <w:spacing w:val="-2"/>
          <w:sz w:val="16"/>
          <w:szCs w:val="16"/>
        </w:rPr>
        <w:t> </w:t>
      </w:r>
      <w:r>
        <w:rPr>
          <w:rFonts w:ascii="Segoe UI" w:hAnsi="Segoe UI" w:cs="Segoe UI" w:eastAsia="Segoe UI"/>
          <w:color w:val="231F20"/>
          <w:sz w:val="16"/>
          <w:szCs w:val="16"/>
        </w:rPr>
        <w:t>for</w:t>
      </w:r>
      <w:r>
        <w:rPr>
          <w:rFonts w:ascii="Segoe UI" w:hAnsi="Segoe UI" w:cs="Segoe UI" w:eastAsia="Segoe UI"/>
          <w:color w:val="231F20"/>
          <w:spacing w:val="-2"/>
          <w:sz w:val="16"/>
          <w:szCs w:val="16"/>
        </w:rPr>
        <w:t> </w:t>
      </w:r>
      <w:r>
        <w:rPr>
          <w:rFonts w:ascii="Segoe UI" w:hAnsi="Segoe UI" w:cs="Segoe UI" w:eastAsia="Segoe UI"/>
          <w:color w:val="231F20"/>
          <w:sz w:val="16"/>
          <w:szCs w:val="16"/>
        </w:rPr>
        <w:t>all</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students</w:t>
      </w:r>
      <w:r>
        <w:rPr>
          <w:rFonts w:ascii="Segoe UI" w:hAnsi="Segoe UI" w:cs="Segoe UI" w:eastAsia="Segoe UI"/>
          <w:color w:val="231F20"/>
          <w:spacing w:val="-2"/>
          <w:sz w:val="16"/>
          <w:szCs w:val="16"/>
        </w:rPr>
        <w:t> </w:t>
      </w:r>
      <w:r>
        <w:rPr>
          <w:rFonts w:ascii="Segoe UI" w:hAnsi="Segoe UI" w:cs="Segoe UI" w:eastAsia="Segoe UI"/>
          <w:color w:val="231F20"/>
          <w:sz w:val="16"/>
          <w:szCs w:val="16"/>
        </w:rPr>
        <w:t>from</w:t>
      </w:r>
      <w:r>
        <w:rPr>
          <w:rFonts w:ascii="Segoe UI" w:hAnsi="Segoe UI" w:cs="Segoe UI" w:eastAsia="Segoe UI"/>
          <w:color w:val="231F20"/>
          <w:spacing w:val="-2"/>
          <w:sz w:val="16"/>
          <w:szCs w:val="16"/>
        </w:rPr>
        <w:t> </w:t>
      </w:r>
      <w:r>
        <w:rPr>
          <w:rFonts w:ascii="Segoe UI" w:hAnsi="Segoe UI" w:cs="Segoe UI" w:eastAsia="Segoe UI"/>
          <w:color w:val="231F20"/>
          <w:sz w:val="16"/>
          <w:szCs w:val="16"/>
        </w:rPr>
        <w:t>1</w:t>
      </w:r>
      <w:r>
        <w:rPr>
          <w:rFonts w:ascii="Segoe UI" w:hAnsi="Segoe UI" w:cs="Segoe UI" w:eastAsia="Segoe UI"/>
          <w:color w:val="231F20"/>
          <w:spacing w:val="-3"/>
          <w:sz w:val="16"/>
          <w:szCs w:val="16"/>
        </w:rPr>
        <w:t> </w:t>
      </w:r>
      <w:r>
        <w:rPr>
          <w:rFonts w:ascii="Segoe UI" w:hAnsi="Segoe UI" w:cs="Segoe UI" w:eastAsia="Segoe UI"/>
          <w:color w:val="231F20"/>
          <w:sz w:val="16"/>
          <w:szCs w:val="16"/>
        </w:rPr>
        <w:t>July</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2019.</w:t>
      </w:r>
      <w:r>
        <w:rPr>
          <w:rFonts w:ascii="Segoe UI" w:hAnsi="Segoe UI" w:cs="Segoe UI" w:eastAsia="Segoe UI"/>
          <w:color w:val="231F20"/>
          <w:spacing w:val="-3"/>
          <w:sz w:val="16"/>
          <w:szCs w:val="16"/>
        </w:rPr>
        <w:t> </w:t>
      </w:r>
      <w:r>
        <w:rPr>
          <w:rFonts w:ascii="Segoe UI" w:hAnsi="Segoe UI" w:cs="Segoe UI" w:eastAsia="Segoe UI"/>
          <w:color w:val="231F20"/>
          <w:sz w:val="16"/>
          <w:szCs w:val="16"/>
        </w:rPr>
        <w:t>They</w:t>
      </w:r>
      <w:r>
        <w:rPr>
          <w:rFonts w:ascii="Segoe UI" w:hAnsi="Segoe UI" w:cs="Segoe UI" w:eastAsia="Segoe UI"/>
          <w:color w:val="231F20"/>
          <w:spacing w:val="24"/>
          <w:w w:val="99"/>
          <w:sz w:val="16"/>
          <w:szCs w:val="16"/>
        </w:rPr>
        <w:t> </w:t>
      </w:r>
      <w:r>
        <w:rPr>
          <w:rFonts w:ascii="Segoe UI" w:hAnsi="Segoe UI" w:cs="Segoe UI" w:eastAsia="Segoe UI"/>
          <w:color w:val="231F20"/>
          <w:sz w:val="16"/>
          <w:szCs w:val="16"/>
        </w:rPr>
        <w:t>are</w:t>
      </w:r>
      <w:r>
        <w:rPr>
          <w:rFonts w:ascii="Segoe UI" w:hAnsi="Segoe UI" w:cs="Segoe UI" w:eastAsia="Segoe UI"/>
          <w:color w:val="231F20"/>
          <w:spacing w:val="-5"/>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joint</w:t>
      </w:r>
      <w:r>
        <w:rPr>
          <w:rFonts w:ascii="Segoe UI" w:hAnsi="Segoe UI" w:cs="Segoe UI" w:eastAsia="Segoe UI"/>
          <w:color w:val="231F20"/>
          <w:spacing w:val="-3"/>
          <w:sz w:val="16"/>
          <w:szCs w:val="16"/>
        </w:rPr>
        <w:t> </w:t>
      </w:r>
      <w:r>
        <w:rPr>
          <w:rFonts w:ascii="Segoe UI" w:hAnsi="Segoe UI" w:cs="Segoe UI" w:eastAsia="Segoe UI"/>
          <w:color w:val="231F20"/>
          <w:sz w:val="16"/>
          <w:szCs w:val="16"/>
        </w:rPr>
        <w:t>responsibility</w:t>
      </w:r>
      <w:r>
        <w:rPr>
          <w:rFonts w:ascii="Segoe UI" w:hAnsi="Segoe UI" w:cs="Segoe UI" w:eastAsia="Segoe UI"/>
          <w:color w:val="231F20"/>
          <w:spacing w:val="-5"/>
          <w:sz w:val="16"/>
          <w:szCs w:val="16"/>
        </w:rPr>
        <w:t> </w:t>
      </w:r>
      <w:r>
        <w:rPr>
          <w:rFonts w:ascii="Segoe UI" w:hAnsi="Segoe UI" w:cs="Segoe UI" w:eastAsia="Segoe UI"/>
          <w:color w:val="231F20"/>
          <w:sz w:val="16"/>
          <w:szCs w:val="16"/>
        </w:rPr>
        <w:t>of</w:t>
      </w:r>
      <w:r>
        <w:rPr>
          <w:rFonts w:ascii="Segoe UI" w:hAnsi="Segoe UI" w:cs="Segoe UI" w:eastAsia="Segoe UI"/>
          <w:color w:val="231F20"/>
          <w:spacing w:val="-3"/>
          <w:sz w:val="16"/>
          <w:szCs w:val="16"/>
        </w:rPr>
        <w:t> </w:t>
      </w:r>
      <w:r>
        <w:rPr>
          <w:rFonts w:ascii="Segoe UI" w:hAnsi="Segoe UI" w:cs="Segoe UI" w:eastAsia="Segoe UI"/>
          <w:color w:val="231F20"/>
          <w:sz w:val="16"/>
          <w:szCs w:val="16"/>
        </w:rPr>
        <w:t>boarding</w:t>
      </w:r>
      <w:r>
        <w:rPr>
          <w:rFonts w:ascii="Segoe UI" w:hAnsi="Segoe UI" w:cs="Segoe UI" w:eastAsia="Segoe UI"/>
          <w:color w:val="231F20"/>
          <w:spacing w:val="-4"/>
          <w:sz w:val="16"/>
          <w:szCs w:val="16"/>
        </w:rPr>
        <w:t> </w:t>
      </w:r>
      <w:r>
        <w:rPr>
          <w:rFonts w:ascii="Segoe UI" w:hAnsi="Segoe UI" w:cs="Segoe UI" w:eastAsia="Segoe UI"/>
          <w:color w:val="231F20"/>
          <w:sz w:val="16"/>
          <w:szCs w:val="16"/>
        </w:rPr>
        <w:t>providers</w:t>
      </w:r>
      <w:r>
        <w:rPr>
          <w:rFonts w:ascii="Segoe UI" w:hAnsi="Segoe UI" w:cs="Segoe UI" w:eastAsia="Segoe UI"/>
          <w:color w:val="231F20"/>
          <w:spacing w:val="21"/>
          <w:w w:val="99"/>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5"/>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4"/>
          <w:sz w:val="16"/>
          <w:szCs w:val="16"/>
        </w:rPr>
        <w:t> </w:t>
      </w:r>
      <w:r>
        <w:rPr>
          <w:rFonts w:ascii="Segoe UI" w:hAnsi="Segoe UI" w:cs="Segoe UI" w:eastAsia="Segoe UI"/>
          <w:color w:val="231F20"/>
          <w:sz w:val="16"/>
          <w:szCs w:val="16"/>
        </w:rPr>
        <w:t>parents</w:t>
      </w:r>
      <w:r>
        <w:rPr>
          <w:rFonts w:ascii="Segoe UI" w:hAnsi="Segoe UI" w:cs="Segoe UI" w:eastAsia="Segoe UI"/>
          <w:color w:val="231F20"/>
          <w:spacing w:val="-5"/>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4"/>
          <w:sz w:val="16"/>
          <w:szCs w:val="16"/>
        </w:rPr>
        <w:t> </w:t>
      </w:r>
      <w:r>
        <w:rPr>
          <w:rFonts w:ascii="Segoe UI" w:hAnsi="Segoe UI" w:cs="Segoe UI" w:eastAsia="Segoe UI"/>
          <w:color w:val="231F20"/>
          <w:sz w:val="16"/>
          <w:szCs w:val="16"/>
        </w:rPr>
        <w:t>carers</w:t>
      </w:r>
      <w:r>
        <w:rPr>
          <w:rFonts w:ascii="Segoe UI" w:hAnsi="Segoe UI" w:cs="Segoe UI" w:eastAsia="Segoe UI"/>
          <w:color w:val="231F20"/>
          <w:spacing w:val="-5"/>
          <w:sz w:val="16"/>
          <w:szCs w:val="16"/>
        </w:rPr>
        <w:t> </w:t>
      </w:r>
      <w:r>
        <w:rPr>
          <w:rFonts w:ascii="Segoe UI" w:hAnsi="Segoe UI" w:cs="Segoe UI" w:eastAsia="Segoe UI"/>
          <w:color w:val="231F20"/>
          <w:sz w:val="16"/>
          <w:szCs w:val="16"/>
        </w:rPr>
        <w:t>of</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students.</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STPs</w:t>
      </w:r>
      <w:r>
        <w:rPr>
          <w:rFonts w:ascii="Segoe UI" w:hAnsi="Segoe UI" w:cs="Segoe UI" w:eastAsia="Segoe UI"/>
          <w:color w:val="231F20"/>
          <w:spacing w:val="-4"/>
          <w:sz w:val="16"/>
          <w:szCs w:val="16"/>
        </w:rPr>
        <w:t> </w:t>
      </w:r>
      <w:r>
        <w:rPr>
          <w:rFonts w:ascii="Segoe UI" w:hAnsi="Segoe UI" w:cs="Segoe UI" w:eastAsia="Segoe UI"/>
          <w:color w:val="231F20"/>
          <w:sz w:val="16"/>
          <w:szCs w:val="16"/>
        </w:rPr>
        <w:t>have</w:t>
      </w:r>
      <w:r>
        <w:rPr>
          <w:rFonts w:ascii="Segoe UI" w:hAnsi="Segoe UI" w:cs="Segoe UI" w:eastAsia="Segoe UI"/>
          <w:color w:val="231F20"/>
          <w:spacing w:val="23"/>
          <w:w w:val="99"/>
          <w:sz w:val="16"/>
          <w:szCs w:val="16"/>
        </w:rPr>
        <w:t> </w:t>
      </w:r>
      <w:r>
        <w:rPr>
          <w:rFonts w:ascii="Segoe UI" w:hAnsi="Segoe UI" w:cs="Segoe UI" w:eastAsia="Segoe UI"/>
          <w:color w:val="231F20"/>
          <w:sz w:val="16"/>
          <w:szCs w:val="16"/>
        </w:rPr>
        <w:t>been</w:t>
      </w:r>
      <w:r>
        <w:rPr>
          <w:rFonts w:ascii="Segoe UI" w:hAnsi="Segoe UI" w:cs="Segoe UI" w:eastAsia="Segoe UI"/>
          <w:color w:val="231F20"/>
          <w:spacing w:val="-6"/>
          <w:sz w:val="16"/>
          <w:szCs w:val="16"/>
        </w:rPr>
        <w:t> </w:t>
      </w:r>
      <w:r>
        <w:rPr>
          <w:rFonts w:ascii="Segoe UI" w:hAnsi="Segoe UI" w:cs="Segoe UI" w:eastAsia="Segoe UI"/>
          <w:color w:val="231F20"/>
          <w:spacing w:val="-1"/>
          <w:sz w:val="16"/>
          <w:szCs w:val="16"/>
        </w:rPr>
        <w:t>introduced</w:t>
      </w:r>
      <w:r>
        <w:rPr>
          <w:rFonts w:ascii="Segoe UI" w:hAnsi="Segoe UI" w:cs="Segoe UI" w:eastAsia="Segoe UI"/>
          <w:color w:val="231F20"/>
          <w:spacing w:val="-4"/>
          <w:sz w:val="16"/>
          <w:szCs w:val="16"/>
        </w:rPr>
        <w:t> </w:t>
      </w:r>
      <w:r>
        <w:rPr>
          <w:rFonts w:ascii="Segoe UI" w:hAnsi="Segoe UI" w:cs="Segoe UI" w:eastAsia="Segoe UI"/>
          <w:color w:val="231F20"/>
          <w:sz w:val="16"/>
          <w:szCs w:val="16"/>
        </w:rPr>
        <w:t>to</w:t>
      </w:r>
      <w:r>
        <w:rPr>
          <w:rFonts w:ascii="Segoe UI" w:hAnsi="Segoe UI" w:cs="Segoe UI" w:eastAsia="Segoe UI"/>
          <w:color w:val="231F20"/>
          <w:spacing w:val="-5"/>
          <w:sz w:val="16"/>
          <w:szCs w:val="16"/>
        </w:rPr>
        <w:t> </w:t>
      </w:r>
      <w:r>
        <w:rPr>
          <w:rFonts w:ascii="Segoe UI" w:hAnsi="Segoe UI" w:cs="Segoe UI" w:eastAsia="Segoe UI"/>
          <w:color w:val="231F20"/>
          <w:sz w:val="16"/>
          <w:szCs w:val="16"/>
        </w:rPr>
        <w:t>address</w:t>
      </w:r>
      <w:r>
        <w:rPr>
          <w:rFonts w:ascii="Segoe UI" w:hAnsi="Segoe UI" w:cs="Segoe UI" w:eastAsia="Segoe UI"/>
          <w:color w:val="231F20"/>
          <w:spacing w:val="-5"/>
          <w:sz w:val="16"/>
          <w:szCs w:val="16"/>
        </w:rPr>
        <w:t> </w:t>
      </w:r>
      <w:r>
        <w:rPr>
          <w:rFonts w:ascii="Segoe UI" w:hAnsi="Segoe UI" w:cs="Segoe UI" w:eastAsia="Segoe UI"/>
          <w:color w:val="231F20"/>
          <w:sz w:val="16"/>
          <w:szCs w:val="16"/>
        </w:rPr>
        <w:t>travel</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safety</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issues</w:t>
      </w:r>
      <w:r>
        <w:rPr>
          <w:rFonts w:ascii="Segoe UI" w:hAnsi="Segoe UI" w:cs="Segoe UI" w:eastAsia="Segoe UI"/>
          <w:color w:val="231F20"/>
          <w:spacing w:val="22"/>
          <w:sz w:val="16"/>
          <w:szCs w:val="16"/>
        </w:rPr>
        <w:t> </w:t>
      </w:r>
      <w:r>
        <w:rPr>
          <w:rFonts w:ascii="Segoe UI" w:hAnsi="Segoe UI" w:cs="Segoe UI" w:eastAsia="Segoe UI"/>
          <w:color w:val="231F20"/>
          <w:sz w:val="16"/>
          <w:szCs w:val="16"/>
        </w:rPr>
        <w:t>identified in the </w:t>
      </w:r>
      <w:r>
        <w:rPr>
          <w:rFonts w:ascii="Segoe UI" w:hAnsi="Segoe UI" w:cs="Segoe UI" w:eastAsia="Segoe UI"/>
          <w:color w:val="231F20"/>
          <w:spacing w:val="-2"/>
          <w:sz w:val="16"/>
          <w:szCs w:val="16"/>
        </w:rPr>
        <w:t>Study</w:t>
      </w:r>
      <w:r>
        <w:rPr>
          <w:rFonts w:ascii="Segoe UI" w:hAnsi="Segoe UI" w:cs="Segoe UI" w:eastAsia="Segoe UI"/>
          <w:color w:val="231F20"/>
          <w:sz w:val="16"/>
          <w:szCs w:val="16"/>
        </w:rPr>
        <w:t> </w:t>
      </w:r>
      <w:r>
        <w:rPr>
          <w:rFonts w:ascii="Segoe UI" w:hAnsi="Segoe UI" w:cs="Segoe UI" w:eastAsia="Segoe UI"/>
          <w:color w:val="231F20"/>
          <w:spacing w:val="-1"/>
          <w:sz w:val="16"/>
          <w:szCs w:val="16"/>
        </w:rPr>
        <w:t>Away</w:t>
      </w:r>
      <w:r>
        <w:rPr>
          <w:rFonts w:ascii="Segoe UI" w:hAnsi="Segoe UI" w:cs="Segoe UI" w:eastAsia="Segoe UI"/>
          <w:color w:val="231F20"/>
          <w:sz w:val="16"/>
          <w:szCs w:val="16"/>
        </w:rPr>
        <w:t> </w:t>
      </w:r>
      <w:r>
        <w:rPr>
          <w:rFonts w:ascii="Segoe UI" w:hAnsi="Segoe UI" w:cs="Segoe UI" w:eastAsia="Segoe UI"/>
          <w:color w:val="231F20"/>
          <w:spacing w:val="-1"/>
          <w:sz w:val="16"/>
          <w:szCs w:val="16"/>
        </w:rPr>
        <w:t>Review</w:t>
      </w:r>
      <w:r>
        <w:rPr>
          <w:rFonts w:ascii="Segoe UI" w:hAnsi="Segoe UI" w:cs="Segoe UI" w:eastAsia="Segoe UI"/>
          <w:color w:val="231F20"/>
          <w:sz w:val="16"/>
          <w:szCs w:val="16"/>
        </w:rPr>
        <w:t> and the need</w:t>
      </w:r>
      <w:r>
        <w:rPr>
          <w:rFonts w:ascii="Segoe UI" w:hAnsi="Segoe UI" w:cs="Segoe UI" w:eastAsia="Segoe UI"/>
          <w:color w:val="231F20"/>
          <w:spacing w:val="25"/>
          <w:sz w:val="16"/>
          <w:szCs w:val="16"/>
        </w:rPr>
        <w:t> </w:t>
      </w:r>
      <w:r>
        <w:rPr>
          <w:rFonts w:ascii="Segoe UI" w:hAnsi="Segoe UI" w:cs="Segoe UI" w:eastAsia="Segoe UI"/>
          <w:color w:val="231F20"/>
          <w:sz w:val="16"/>
          <w:szCs w:val="16"/>
        </w:rPr>
        <w:t>to</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make</w:t>
      </w:r>
      <w:r>
        <w:rPr>
          <w:rFonts w:ascii="Segoe UI" w:hAnsi="Segoe UI" w:cs="Segoe UI" w:eastAsia="Segoe UI"/>
          <w:color w:val="231F20"/>
          <w:spacing w:val="-2"/>
          <w:sz w:val="16"/>
          <w:szCs w:val="16"/>
        </w:rPr>
        <w:t> </w:t>
      </w:r>
      <w:r>
        <w:rPr>
          <w:rFonts w:ascii="Segoe UI" w:hAnsi="Segoe UI" w:cs="Segoe UI" w:eastAsia="Segoe UI"/>
          <w:color w:val="231F20"/>
          <w:sz w:val="16"/>
          <w:szCs w:val="16"/>
        </w:rPr>
        <w:t>boarding</w:t>
      </w:r>
      <w:r>
        <w:rPr>
          <w:rFonts w:ascii="Segoe UI" w:hAnsi="Segoe UI" w:cs="Segoe UI" w:eastAsia="Segoe UI"/>
          <w:color w:val="231F20"/>
          <w:spacing w:val="-3"/>
          <w:sz w:val="16"/>
          <w:szCs w:val="16"/>
        </w:rPr>
        <w:t> </w:t>
      </w:r>
      <w:r>
        <w:rPr>
          <w:rFonts w:ascii="Segoe UI" w:hAnsi="Segoe UI" w:cs="Segoe UI" w:eastAsia="Segoe UI"/>
          <w:color w:val="231F20"/>
          <w:sz w:val="16"/>
          <w:szCs w:val="16"/>
        </w:rPr>
        <w:t>‘safer</w:t>
      </w:r>
      <w:r>
        <w:rPr>
          <w:rFonts w:ascii="Segoe UI" w:hAnsi="Segoe UI" w:cs="Segoe UI" w:eastAsia="Segoe UI"/>
          <w:color w:val="231F20"/>
          <w:spacing w:val="-2"/>
          <w:sz w:val="16"/>
          <w:szCs w:val="16"/>
        </w:rPr>
        <w:t> </w:t>
      </w:r>
      <w:r>
        <w:rPr>
          <w:rFonts w:ascii="Segoe UI" w:hAnsi="Segoe UI" w:cs="Segoe UI" w:eastAsia="Segoe UI"/>
          <w:color w:val="231F20"/>
          <w:sz w:val="16"/>
          <w:szCs w:val="16"/>
        </w:rPr>
        <w:t>for</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students’</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in</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light</w:t>
      </w:r>
      <w:r>
        <w:rPr>
          <w:rFonts w:ascii="Segoe UI" w:hAnsi="Segoe UI" w:cs="Segoe UI" w:eastAsia="Segoe UI"/>
          <w:color w:val="231F20"/>
          <w:spacing w:val="-2"/>
          <w:sz w:val="16"/>
          <w:szCs w:val="16"/>
        </w:rPr>
        <w:t> </w:t>
      </w:r>
      <w:r>
        <w:rPr>
          <w:rFonts w:ascii="Segoe UI" w:hAnsi="Segoe UI" w:cs="Segoe UI" w:eastAsia="Segoe UI"/>
          <w:color w:val="231F20"/>
          <w:sz w:val="16"/>
          <w:szCs w:val="16"/>
        </w:rPr>
        <w:t>of</w:t>
      </w:r>
      <w:r>
        <w:rPr>
          <w:rFonts w:ascii="Segoe UI" w:hAnsi="Segoe UI" w:cs="Segoe UI" w:eastAsia="Segoe UI"/>
          <w:color w:val="231F20"/>
          <w:spacing w:val="25"/>
          <w:w w:val="99"/>
          <w:sz w:val="16"/>
          <w:szCs w:val="16"/>
        </w:rPr>
        <w:t> </w:t>
      </w:r>
      <w:r>
        <w:rPr>
          <w:rFonts w:ascii="Segoe UI" w:hAnsi="Segoe UI" w:cs="Segoe UI" w:eastAsia="Segoe UI"/>
          <w:color w:val="231F20"/>
          <w:sz w:val="16"/>
          <w:szCs w:val="16"/>
        </w:rPr>
        <w:t>the findings and recommendations of the </w:t>
      </w:r>
      <w:r>
        <w:rPr>
          <w:rFonts w:ascii="Segoe UI" w:hAnsi="Segoe UI" w:cs="Segoe UI" w:eastAsia="Segoe UI"/>
          <w:color w:val="231F20"/>
          <w:spacing w:val="-1"/>
          <w:sz w:val="16"/>
          <w:szCs w:val="16"/>
        </w:rPr>
        <w:t>Royal</w:t>
      </w:r>
      <w:r>
        <w:rPr>
          <w:rFonts w:ascii="Segoe UI" w:hAnsi="Segoe UI" w:cs="Segoe UI" w:eastAsia="Segoe UI"/>
          <w:color w:val="231F20"/>
          <w:sz w:val="16"/>
          <w:szCs w:val="16"/>
        </w:rPr>
        <w:t> </w:t>
      </w:r>
      <w:r>
        <w:rPr>
          <w:rFonts w:ascii="Segoe UI" w:hAnsi="Segoe UI" w:cs="Segoe UI" w:eastAsia="Segoe UI"/>
          <w:color w:val="231F20"/>
          <w:spacing w:val="-1"/>
          <w:sz w:val="16"/>
          <w:szCs w:val="16"/>
        </w:rPr>
        <w:t>Commission into Institutional Responses</w:t>
      </w:r>
      <w:r>
        <w:rPr>
          <w:rFonts w:ascii="Segoe UI" w:hAnsi="Segoe UI" w:cs="Segoe UI" w:eastAsia="Segoe UI"/>
          <w:color w:val="231F20"/>
          <w:spacing w:val="-2"/>
          <w:sz w:val="16"/>
          <w:szCs w:val="16"/>
        </w:rPr>
        <w:t> </w:t>
      </w:r>
      <w:r>
        <w:rPr>
          <w:rFonts w:ascii="Segoe UI" w:hAnsi="Segoe UI" w:cs="Segoe UI" w:eastAsia="Segoe UI"/>
          <w:color w:val="231F20"/>
          <w:sz w:val="16"/>
          <w:szCs w:val="16"/>
        </w:rPr>
        <w:t>to</w:t>
      </w:r>
      <w:r>
        <w:rPr>
          <w:rFonts w:ascii="Segoe UI" w:hAnsi="Segoe UI" w:cs="Segoe UI" w:eastAsia="Segoe UI"/>
          <w:color w:val="231F20"/>
          <w:spacing w:val="-1"/>
          <w:sz w:val="16"/>
          <w:szCs w:val="16"/>
        </w:rPr>
        <w:t> Child</w:t>
      </w:r>
      <w:r>
        <w:rPr>
          <w:rFonts w:ascii="Segoe UI" w:hAnsi="Segoe UI" w:cs="Segoe UI" w:eastAsia="Segoe UI"/>
          <w:color w:val="231F20"/>
          <w:spacing w:val="27"/>
          <w:sz w:val="16"/>
          <w:szCs w:val="16"/>
        </w:rPr>
        <w:t> </w:t>
      </w:r>
      <w:r>
        <w:rPr>
          <w:rFonts w:ascii="Segoe UI" w:hAnsi="Segoe UI" w:cs="Segoe UI" w:eastAsia="Segoe UI"/>
          <w:color w:val="231F20"/>
          <w:spacing w:val="-1"/>
          <w:sz w:val="16"/>
          <w:szCs w:val="16"/>
        </w:rPr>
        <w:t>Sexual</w:t>
      </w:r>
      <w:r>
        <w:rPr>
          <w:rFonts w:ascii="Segoe UI" w:hAnsi="Segoe UI" w:cs="Segoe UI" w:eastAsia="Segoe UI"/>
          <w:color w:val="231F20"/>
          <w:sz w:val="16"/>
          <w:szCs w:val="16"/>
        </w:rPr>
        <w:t> Abuse</w:t>
      </w:r>
      <w:r>
        <w:rPr>
          <w:rFonts w:ascii="Segoe UI" w:hAnsi="Segoe UI" w:cs="Segoe UI" w:eastAsia="Segoe UI"/>
          <w:sz w:val="16"/>
          <w:szCs w:val="16"/>
        </w:rPr>
      </w:r>
    </w:p>
    <w:p>
      <w:pPr>
        <w:numPr>
          <w:ilvl w:val="0"/>
          <w:numId w:val="13"/>
        </w:numPr>
        <w:tabs>
          <w:tab w:pos="668" w:val="left" w:leader="none"/>
        </w:tabs>
        <w:spacing w:line="200" w:lineRule="exact" w:before="113"/>
        <w:ind w:left="667" w:right="368" w:hanging="567"/>
        <w:jc w:val="left"/>
        <w:rPr>
          <w:rFonts w:ascii="Segoe UI" w:hAnsi="Segoe UI" w:cs="Segoe UI" w:eastAsia="Segoe UI"/>
          <w:sz w:val="16"/>
          <w:szCs w:val="16"/>
        </w:rPr>
      </w:pPr>
      <w:r>
        <w:rPr>
          <w:rFonts w:ascii="Segoe UI" w:hAnsi="Segoe UI" w:cs="Segoe UI" w:eastAsia="Segoe UI"/>
          <w:color w:val="231F20"/>
          <w:spacing w:val="-1"/>
          <w:sz w:val="16"/>
          <w:szCs w:val="16"/>
        </w:rPr>
        <w:t>‘Family</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members</w:t>
      </w:r>
      <w:r>
        <w:rPr>
          <w:rFonts w:ascii="Segoe UI" w:hAnsi="Segoe UI" w:cs="Segoe UI" w:eastAsia="Segoe UI"/>
          <w:color w:val="231F20"/>
          <w:spacing w:val="-2"/>
          <w:sz w:val="16"/>
          <w:szCs w:val="16"/>
        </w:rPr>
        <w:t> </w:t>
      </w:r>
      <w:r>
        <w:rPr>
          <w:rFonts w:ascii="Segoe UI" w:hAnsi="Segoe UI" w:cs="Segoe UI" w:eastAsia="Segoe UI"/>
          <w:color w:val="231F20"/>
          <w:sz w:val="16"/>
          <w:szCs w:val="16"/>
        </w:rPr>
        <w:t>can</w:t>
      </w:r>
      <w:r>
        <w:rPr>
          <w:rFonts w:ascii="Segoe UI" w:hAnsi="Segoe UI" w:cs="Segoe UI" w:eastAsia="Segoe UI"/>
          <w:color w:val="231F20"/>
          <w:spacing w:val="-3"/>
          <w:sz w:val="16"/>
          <w:szCs w:val="16"/>
        </w:rPr>
        <w:t> </w:t>
      </w:r>
      <w:r>
        <w:rPr>
          <w:rFonts w:ascii="Segoe UI" w:hAnsi="Segoe UI" w:cs="Segoe UI" w:eastAsia="Segoe UI"/>
          <w:color w:val="231F20"/>
          <w:sz w:val="16"/>
          <w:szCs w:val="16"/>
        </w:rPr>
        <w:t>now</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get</w:t>
      </w:r>
      <w:r>
        <w:rPr>
          <w:rFonts w:ascii="Segoe UI" w:hAnsi="Segoe UI" w:cs="Segoe UI" w:eastAsia="Segoe UI"/>
          <w:color w:val="231F20"/>
          <w:spacing w:val="-2"/>
          <w:sz w:val="16"/>
          <w:szCs w:val="16"/>
        </w:rPr>
        <w:t> </w:t>
      </w:r>
      <w:r>
        <w:rPr>
          <w:rFonts w:ascii="Segoe UI" w:hAnsi="Segoe UI" w:cs="Segoe UI" w:eastAsia="Segoe UI"/>
          <w:color w:val="231F20"/>
          <w:sz w:val="16"/>
          <w:szCs w:val="16"/>
        </w:rPr>
        <w:t>up</w:t>
      </w:r>
      <w:r>
        <w:rPr>
          <w:rFonts w:ascii="Segoe UI" w:hAnsi="Segoe UI" w:cs="Segoe UI" w:eastAsia="Segoe UI"/>
          <w:color w:val="231F20"/>
          <w:spacing w:val="-3"/>
          <w:sz w:val="16"/>
          <w:szCs w:val="16"/>
        </w:rPr>
        <w:t> </w:t>
      </w:r>
      <w:r>
        <w:rPr>
          <w:rFonts w:ascii="Segoe UI" w:hAnsi="Segoe UI" w:cs="Segoe UI" w:eastAsia="Segoe UI"/>
          <w:color w:val="231F20"/>
          <w:sz w:val="16"/>
          <w:szCs w:val="16"/>
        </w:rPr>
        <w:t>to</w:t>
      </w:r>
      <w:r>
        <w:rPr>
          <w:rFonts w:ascii="Segoe UI" w:hAnsi="Segoe UI" w:cs="Segoe UI" w:eastAsia="Segoe UI"/>
          <w:color w:val="231F20"/>
          <w:spacing w:val="-2"/>
          <w:sz w:val="16"/>
          <w:szCs w:val="16"/>
        </w:rPr>
        <w:t> </w:t>
      </w:r>
      <w:r>
        <w:rPr>
          <w:rFonts w:ascii="Segoe UI" w:hAnsi="Segoe UI" w:cs="Segoe UI" w:eastAsia="Segoe UI"/>
          <w:color w:val="231F20"/>
          <w:sz w:val="16"/>
          <w:szCs w:val="16"/>
        </w:rPr>
        <w:t>three</w:t>
      </w:r>
      <w:r>
        <w:rPr>
          <w:rFonts w:ascii="Segoe UI" w:hAnsi="Segoe UI" w:cs="Segoe UI" w:eastAsia="Segoe UI"/>
          <w:color w:val="231F20"/>
          <w:spacing w:val="-4"/>
          <w:sz w:val="16"/>
          <w:szCs w:val="16"/>
        </w:rPr>
        <w:t> </w:t>
      </w:r>
      <w:r>
        <w:rPr>
          <w:rFonts w:ascii="Segoe UI" w:hAnsi="Segoe UI" w:cs="Segoe UI" w:eastAsia="Segoe UI"/>
          <w:color w:val="231F20"/>
          <w:sz w:val="16"/>
          <w:szCs w:val="16"/>
        </w:rPr>
        <w:t>return</w:t>
      </w:r>
      <w:r>
        <w:rPr>
          <w:rFonts w:ascii="Segoe UI" w:hAnsi="Segoe UI" w:cs="Segoe UI" w:eastAsia="Segoe UI"/>
          <w:color w:val="231F20"/>
          <w:spacing w:val="25"/>
          <w:w w:val="99"/>
          <w:sz w:val="16"/>
          <w:szCs w:val="16"/>
        </w:rPr>
        <w:t> </w:t>
      </w:r>
      <w:r>
        <w:rPr>
          <w:rFonts w:ascii="Segoe UI" w:hAnsi="Segoe UI" w:cs="Segoe UI" w:eastAsia="Segoe UI"/>
          <w:color w:val="231F20"/>
          <w:sz w:val="16"/>
          <w:szCs w:val="16"/>
        </w:rPr>
        <w:t>trips</w:t>
      </w:r>
      <w:r>
        <w:rPr>
          <w:rFonts w:ascii="Segoe UI" w:hAnsi="Segoe UI" w:cs="Segoe UI" w:eastAsia="Segoe UI"/>
          <w:color w:val="231F20"/>
          <w:spacing w:val="-5"/>
          <w:sz w:val="16"/>
          <w:szCs w:val="16"/>
        </w:rPr>
        <w:t> </w:t>
      </w:r>
      <w:r>
        <w:rPr>
          <w:rFonts w:ascii="Segoe UI" w:hAnsi="Segoe UI" w:cs="Segoe UI" w:eastAsia="Segoe UI"/>
          <w:color w:val="231F20"/>
          <w:sz w:val="16"/>
          <w:szCs w:val="16"/>
        </w:rPr>
        <w:t>for</w:t>
      </w:r>
      <w:r>
        <w:rPr>
          <w:rFonts w:ascii="Segoe UI" w:hAnsi="Segoe UI" w:cs="Segoe UI" w:eastAsia="Segoe UI"/>
          <w:color w:val="231F20"/>
          <w:spacing w:val="-4"/>
          <w:sz w:val="16"/>
          <w:szCs w:val="16"/>
        </w:rPr>
        <w:t> </w:t>
      </w:r>
      <w:r>
        <w:rPr>
          <w:rFonts w:ascii="Segoe UI" w:hAnsi="Segoe UI" w:cs="Segoe UI" w:eastAsia="Segoe UI"/>
          <w:color w:val="231F20"/>
          <w:sz w:val="16"/>
          <w:szCs w:val="16"/>
        </w:rPr>
        <w:t>any</w:t>
      </w:r>
      <w:r>
        <w:rPr>
          <w:rFonts w:ascii="Segoe UI" w:hAnsi="Segoe UI" w:cs="Segoe UI" w:eastAsia="Segoe UI"/>
          <w:color w:val="231F20"/>
          <w:spacing w:val="-5"/>
          <w:sz w:val="16"/>
          <w:szCs w:val="16"/>
        </w:rPr>
        <w:t> </w:t>
      </w:r>
      <w:r>
        <w:rPr>
          <w:rFonts w:ascii="Segoe UI" w:hAnsi="Segoe UI" w:cs="Segoe UI" w:eastAsia="Segoe UI"/>
          <w:color w:val="231F20"/>
          <w:sz w:val="16"/>
          <w:szCs w:val="16"/>
        </w:rPr>
        <w:t>of</w:t>
      </w:r>
      <w:r>
        <w:rPr>
          <w:rFonts w:ascii="Segoe UI" w:hAnsi="Segoe UI" w:cs="Segoe UI" w:eastAsia="Segoe UI"/>
          <w:color w:val="231F20"/>
          <w:spacing w:val="-3"/>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5"/>
          <w:sz w:val="16"/>
          <w:szCs w:val="16"/>
        </w:rPr>
        <w:t> </w:t>
      </w:r>
      <w:r>
        <w:rPr>
          <w:rFonts w:ascii="Segoe UI" w:hAnsi="Segoe UI" w:cs="Segoe UI" w:eastAsia="Segoe UI"/>
          <w:color w:val="231F20"/>
          <w:sz w:val="16"/>
          <w:szCs w:val="16"/>
        </w:rPr>
        <w:t>following</w:t>
      </w:r>
      <w:r>
        <w:rPr>
          <w:rFonts w:ascii="Segoe UI" w:hAnsi="Segoe UI" w:cs="Segoe UI" w:eastAsia="Segoe UI"/>
          <w:color w:val="231F20"/>
          <w:spacing w:val="-4"/>
          <w:sz w:val="16"/>
          <w:szCs w:val="16"/>
        </w:rPr>
        <w:t> </w:t>
      </w:r>
      <w:r>
        <w:rPr>
          <w:rFonts w:ascii="Segoe UI" w:hAnsi="Segoe UI" w:cs="Segoe UI" w:eastAsia="Segoe UI"/>
          <w:color w:val="231F20"/>
          <w:sz w:val="16"/>
          <w:szCs w:val="16"/>
        </w:rPr>
        <w:t>reasons,</w:t>
      </w:r>
      <w:r>
        <w:rPr>
          <w:rFonts w:ascii="Segoe UI" w:hAnsi="Segoe UI" w:cs="Segoe UI" w:eastAsia="Segoe UI"/>
          <w:color w:val="231F20"/>
          <w:spacing w:val="-4"/>
          <w:sz w:val="16"/>
          <w:szCs w:val="16"/>
        </w:rPr>
        <w:t> </w:t>
      </w:r>
      <w:r>
        <w:rPr>
          <w:rFonts w:ascii="Segoe UI" w:hAnsi="Segoe UI" w:cs="Segoe UI" w:eastAsia="Segoe UI"/>
          <w:color w:val="231F20"/>
          <w:sz w:val="16"/>
          <w:szCs w:val="16"/>
        </w:rPr>
        <w:t>to</w:t>
      </w:r>
      <w:r>
        <w:rPr>
          <w:rFonts w:ascii="Segoe UI" w:hAnsi="Segoe UI" w:cs="Segoe UI" w:eastAsia="Segoe UI"/>
          <w:color w:val="231F20"/>
          <w:spacing w:val="-4"/>
          <w:sz w:val="16"/>
          <w:szCs w:val="16"/>
        </w:rPr>
        <w:t> </w:t>
      </w:r>
      <w:r>
        <w:rPr>
          <w:rFonts w:ascii="Segoe UI" w:hAnsi="Segoe UI" w:cs="Segoe UI" w:eastAsia="Segoe UI"/>
          <w:color w:val="231F20"/>
          <w:sz w:val="16"/>
          <w:szCs w:val="16"/>
        </w:rPr>
        <w:t>attend</w:t>
      </w:r>
      <w:r>
        <w:rPr>
          <w:rFonts w:ascii="Segoe UI" w:hAnsi="Segoe UI" w:cs="Segoe UI" w:eastAsia="Segoe UI"/>
          <w:color w:val="231F20"/>
          <w:w w:val="99"/>
          <w:sz w:val="16"/>
          <w:szCs w:val="16"/>
        </w:rPr>
        <w:t> </w:t>
      </w:r>
      <w:r>
        <w:rPr>
          <w:rFonts w:ascii="Segoe UI" w:hAnsi="Segoe UI" w:cs="Segoe UI" w:eastAsia="Segoe UI"/>
          <w:color w:val="231F20"/>
          <w:sz w:val="16"/>
          <w:szCs w:val="16"/>
        </w:rPr>
        <w:t>an</w:t>
      </w:r>
      <w:r>
        <w:rPr>
          <w:rFonts w:ascii="Segoe UI" w:hAnsi="Segoe UI" w:cs="Segoe UI" w:eastAsia="Segoe UI"/>
          <w:color w:val="231F20"/>
          <w:spacing w:val="-4"/>
          <w:sz w:val="16"/>
          <w:szCs w:val="16"/>
        </w:rPr>
        <w:t> </w:t>
      </w:r>
      <w:r>
        <w:rPr>
          <w:rFonts w:ascii="Segoe UI" w:hAnsi="Segoe UI" w:cs="Segoe UI" w:eastAsia="Segoe UI"/>
          <w:color w:val="231F20"/>
          <w:sz w:val="16"/>
          <w:szCs w:val="16"/>
        </w:rPr>
        <w:t>event</w:t>
      </w:r>
      <w:r>
        <w:rPr>
          <w:rFonts w:ascii="Segoe UI" w:hAnsi="Segoe UI" w:cs="Segoe UI" w:eastAsia="Segoe UI"/>
          <w:color w:val="231F20"/>
          <w:spacing w:val="-2"/>
          <w:sz w:val="16"/>
          <w:szCs w:val="16"/>
        </w:rPr>
        <w:t> </w:t>
      </w:r>
      <w:r>
        <w:rPr>
          <w:rFonts w:ascii="Segoe UI" w:hAnsi="Segoe UI" w:cs="Segoe UI" w:eastAsia="Segoe UI"/>
          <w:color w:val="231F20"/>
          <w:sz w:val="16"/>
          <w:szCs w:val="16"/>
        </w:rPr>
        <w:t>at</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school,</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like</w:t>
      </w:r>
      <w:r>
        <w:rPr>
          <w:rFonts w:ascii="Segoe UI" w:hAnsi="Segoe UI" w:cs="Segoe UI" w:eastAsia="Segoe UI"/>
          <w:color w:val="231F20"/>
          <w:spacing w:val="-2"/>
          <w:sz w:val="16"/>
          <w:szCs w:val="16"/>
        </w:rPr>
        <w:t> </w:t>
      </w:r>
      <w:r>
        <w:rPr>
          <w:rFonts w:ascii="Segoe UI" w:hAnsi="Segoe UI" w:cs="Segoe UI" w:eastAsia="Segoe UI"/>
          <w:color w:val="231F20"/>
          <w:sz w:val="16"/>
          <w:szCs w:val="16"/>
        </w:rPr>
        <w:t>a</w:t>
      </w:r>
      <w:r>
        <w:rPr>
          <w:rFonts w:ascii="Segoe UI" w:hAnsi="Segoe UI" w:cs="Segoe UI" w:eastAsia="Segoe UI"/>
          <w:color w:val="231F20"/>
          <w:spacing w:val="-2"/>
          <w:sz w:val="16"/>
          <w:szCs w:val="16"/>
        </w:rPr>
        <w:t> </w:t>
      </w:r>
      <w:r>
        <w:rPr>
          <w:rFonts w:ascii="Segoe UI" w:hAnsi="Segoe UI" w:cs="Segoe UI" w:eastAsia="Segoe UI"/>
          <w:color w:val="231F20"/>
          <w:sz w:val="16"/>
          <w:szCs w:val="16"/>
        </w:rPr>
        <w:t>graduation,</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school</w:t>
      </w:r>
      <w:r>
        <w:rPr>
          <w:rFonts w:ascii="Segoe UI" w:hAnsi="Segoe UI" w:cs="Segoe UI" w:eastAsia="Segoe UI"/>
          <w:color w:val="231F20"/>
          <w:spacing w:val="22"/>
          <w:sz w:val="16"/>
          <w:szCs w:val="16"/>
        </w:rPr>
        <w:t> </w:t>
      </w:r>
      <w:r>
        <w:rPr>
          <w:rFonts w:ascii="Segoe UI" w:hAnsi="Segoe UI" w:cs="Segoe UI" w:eastAsia="Segoe UI"/>
          <w:color w:val="231F20"/>
          <w:sz w:val="16"/>
          <w:szCs w:val="16"/>
        </w:rPr>
        <w:t>performance</w:t>
      </w:r>
      <w:r>
        <w:rPr>
          <w:rFonts w:ascii="Segoe UI" w:hAnsi="Segoe UI" w:cs="Segoe UI" w:eastAsia="Segoe UI"/>
          <w:color w:val="231F20"/>
          <w:spacing w:val="-5"/>
          <w:sz w:val="16"/>
          <w:szCs w:val="16"/>
        </w:rPr>
        <w:t> </w:t>
      </w:r>
      <w:r>
        <w:rPr>
          <w:rFonts w:ascii="Segoe UI" w:hAnsi="Segoe UI" w:cs="Segoe UI" w:eastAsia="Segoe UI"/>
          <w:color w:val="231F20"/>
          <w:sz w:val="16"/>
          <w:szCs w:val="16"/>
        </w:rPr>
        <w:t>or</w:t>
      </w:r>
      <w:r>
        <w:rPr>
          <w:rFonts w:ascii="Segoe UI" w:hAnsi="Segoe UI" w:cs="Segoe UI" w:eastAsia="Segoe UI"/>
          <w:color w:val="231F20"/>
          <w:spacing w:val="-5"/>
          <w:sz w:val="16"/>
          <w:szCs w:val="16"/>
        </w:rPr>
        <w:t> </w:t>
      </w:r>
      <w:r>
        <w:rPr>
          <w:rFonts w:ascii="Segoe UI" w:hAnsi="Segoe UI" w:cs="Segoe UI" w:eastAsia="Segoe UI"/>
          <w:color w:val="231F20"/>
          <w:sz w:val="16"/>
          <w:szCs w:val="16"/>
        </w:rPr>
        <w:t>award</w:t>
      </w:r>
      <w:r>
        <w:rPr>
          <w:rFonts w:ascii="Segoe UI" w:hAnsi="Segoe UI" w:cs="Segoe UI" w:eastAsia="Segoe UI"/>
          <w:color w:val="231F20"/>
          <w:spacing w:val="-5"/>
          <w:sz w:val="16"/>
          <w:szCs w:val="16"/>
        </w:rPr>
        <w:t> </w:t>
      </w:r>
      <w:r>
        <w:rPr>
          <w:rFonts w:ascii="Segoe UI" w:hAnsi="Segoe UI" w:cs="Segoe UI" w:eastAsia="Segoe UI"/>
          <w:color w:val="231F20"/>
          <w:sz w:val="16"/>
          <w:szCs w:val="16"/>
        </w:rPr>
        <w:t>ceremony,</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if</w:t>
      </w:r>
      <w:r>
        <w:rPr>
          <w:rFonts w:ascii="Segoe UI" w:hAnsi="Segoe UI" w:cs="Segoe UI" w:eastAsia="Segoe UI"/>
          <w:color w:val="231F20"/>
          <w:spacing w:val="-4"/>
          <w:sz w:val="16"/>
          <w:szCs w:val="16"/>
        </w:rPr>
        <w:t> </w:t>
      </w:r>
      <w:r>
        <w:rPr>
          <w:rFonts w:ascii="Segoe UI" w:hAnsi="Segoe UI" w:cs="Segoe UI" w:eastAsia="Segoe UI"/>
          <w:color w:val="231F20"/>
          <w:sz w:val="16"/>
          <w:szCs w:val="16"/>
        </w:rPr>
        <w:t>a</w:t>
      </w:r>
      <w:r>
        <w:rPr>
          <w:rFonts w:ascii="Segoe UI" w:hAnsi="Segoe UI" w:cs="Segoe UI" w:eastAsia="Segoe UI"/>
          <w:color w:val="231F20"/>
          <w:spacing w:val="-4"/>
          <w:sz w:val="16"/>
          <w:szCs w:val="16"/>
        </w:rPr>
        <w:t> </w:t>
      </w:r>
      <w:r>
        <w:rPr>
          <w:rFonts w:ascii="Segoe UI" w:hAnsi="Segoe UI" w:cs="Segoe UI" w:eastAsia="Segoe UI"/>
          <w:color w:val="231F20"/>
          <w:sz w:val="16"/>
          <w:szCs w:val="16"/>
        </w:rPr>
        <w:t>boarder</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is</w:t>
      </w:r>
      <w:r>
        <w:rPr>
          <w:rFonts w:ascii="Segoe UI" w:hAnsi="Segoe UI" w:cs="Segoe UI" w:eastAsia="Segoe UI"/>
          <w:sz w:val="16"/>
          <w:szCs w:val="16"/>
        </w:rPr>
      </w:r>
    </w:p>
    <w:p>
      <w:pPr>
        <w:spacing w:line="200" w:lineRule="exact" w:before="0"/>
        <w:ind w:left="667" w:right="155" w:firstLine="0"/>
        <w:jc w:val="left"/>
        <w:rPr>
          <w:rFonts w:ascii="Segoe UI" w:hAnsi="Segoe UI" w:cs="Segoe UI" w:eastAsia="Segoe UI"/>
          <w:sz w:val="16"/>
          <w:szCs w:val="16"/>
        </w:rPr>
      </w:pPr>
      <w:r>
        <w:rPr>
          <w:rFonts w:ascii="Segoe UI"/>
          <w:color w:val="231F20"/>
          <w:sz w:val="16"/>
        </w:rPr>
        <w:t>homesick,</w:t>
      </w:r>
      <w:r>
        <w:rPr>
          <w:rFonts w:ascii="Segoe UI"/>
          <w:color w:val="231F20"/>
          <w:spacing w:val="-3"/>
          <w:sz w:val="16"/>
        </w:rPr>
        <w:t> </w:t>
      </w:r>
      <w:r>
        <w:rPr>
          <w:rFonts w:ascii="Segoe UI"/>
          <w:color w:val="231F20"/>
          <w:sz w:val="16"/>
        </w:rPr>
        <w:t>or</w:t>
      </w:r>
      <w:r>
        <w:rPr>
          <w:rFonts w:ascii="Segoe UI"/>
          <w:color w:val="231F20"/>
          <w:spacing w:val="-1"/>
          <w:sz w:val="16"/>
        </w:rPr>
        <w:t> </w:t>
      </w:r>
      <w:r>
        <w:rPr>
          <w:rFonts w:ascii="Segoe UI"/>
          <w:color w:val="231F20"/>
          <w:sz w:val="16"/>
        </w:rPr>
        <w:t>at</w:t>
      </w:r>
      <w:r>
        <w:rPr>
          <w:rFonts w:ascii="Segoe UI"/>
          <w:color w:val="231F20"/>
          <w:spacing w:val="-1"/>
          <w:sz w:val="16"/>
        </w:rPr>
        <w:t> </w:t>
      </w:r>
      <w:r>
        <w:rPr>
          <w:rFonts w:ascii="Segoe UI"/>
          <w:color w:val="231F20"/>
          <w:sz w:val="16"/>
        </w:rPr>
        <w:t>risk</w:t>
      </w:r>
      <w:r>
        <w:rPr>
          <w:rFonts w:ascii="Segoe UI"/>
          <w:color w:val="231F20"/>
          <w:spacing w:val="-2"/>
          <w:sz w:val="16"/>
        </w:rPr>
        <w:t> </w:t>
      </w:r>
      <w:r>
        <w:rPr>
          <w:rFonts w:ascii="Segoe UI"/>
          <w:color w:val="231F20"/>
          <w:sz w:val="16"/>
        </w:rPr>
        <w:t>of</w:t>
      </w:r>
      <w:r>
        <w:rPr>
          <w:rFonts w:ascii="Segoe UI"/>
          <w:color w:val="231F20"/>
          <w:spacing w:val="-1"/>
          <w:sz w:val="16"/>
        </w:rPr>
        <w:t> suspension </w:t>
      </w:r>
      <w:r>
        <w:rPr>
          <w:rFonts w:ascii="Segoe UI"/>
          <w:color w:val="231F20"/>
          <w:sz w:val="16"/>
        </w:rPr>
        <w:t>or</w:t>
      </w:r>
      <w:r>
        <w:rPr>
          <w:rFonts w:ascii="Segoe UI"/>
          <w:color w:val="231F20"/>
          <w:spacing w:val="-1"/>
          <w:sz w:val="16"/>
        </w:rPr>
        <w:t> </w:t>
      </w:r>
      <w:r>
        <w:rPr>
          <w:rFonts w:ascii="Segoe UI"/>
          <w:color w:val="231F20"/>
          <w:sz w:val="16"/>
        </w:rPr>
        <w:t>expulsion</w:t>
      </w:r>
      <w:r>
        <w:rPr>
          <w:rFonts w:ascii="Segoe UI"/>
          <w:color w:val="231F20"/>
          <w:spacing w:val="-2"/>
          <w:sz w:val="16"/>
        </w:rPr>
        <w:t> </w:t>
      </w:r>
      <w:r>
        <w:rPr>
          <w:rFonts w:ascii="Segoe UI"/>
          <w:color w:val="231F20"/>
          <w:sz w:val="16"/>
        </w:rPr>
        <w:t>and</w:t>
      </w:r>
      <w:r>
        <w:rPr>
          <w:rFonts w:ascii="Segoe UI"/>
          <w:color w:val="231F20"/>
          <w:spacing w:val="22"/>
          <w:w w:val="99"/>
          <w:sz w:val="16"/>
        </w:rPr>
        <w:t> </w:t>
      </w:r>
      <w:r>
        <w:rPr>
          <w:rFonts w:ascii="Segoe UI"/>
          <w:color w:val="231F20"/>
          <w:sz w:val="16"/>
        </w:rPr>
        <w:t>a</w:t>
      </w:r>
      <w:r>
        <w:rPr>
          <w:rFonts w:ascii="Segoe UI"/>
          <w:color w:val="231F20"/>
          <w:spacing w:val="-2"/>
          <w:sz w:val="16"/>
        </w:rPr>
        <w:t> </w:t>
      </w:r>
      <w:r>
        <w:rPr>
          <w:rFonts w:ascii="Segoe UI"/>
          <w:color w:val="231F20"/>
          <w:sz w:val="16"/>
        </w:rPr>
        <w:t>family</w:t>
      </w:r>
      <w:r>
        <w:rPr>
          <w:rFonts w:ascii="Segoe UI"/>
          <w:color w:val="231F20"/>
          <w:spacing w:val="-3"/>
          <w:sz w:val="16"/>
        </w:rPr>
        <w:t> </w:t>
      </w:r>
      <w:r>
        <w:rPr>
          <w:rFonts w:ascii="Segoe UI"/>
          <w:color w:val="231F20"/>
          <w:sz w:val="16"/>
        </w:rPr>
        <w:t>visit</w:t>
      </w:r>
      <w:r>
        <w:rPr>
          <w:rFonts w:ascii="Segoe UI"/>
          <w:color w:val="231F20"/>
          <w:spacing w:val="-2"/>
          <w:sz w:val="16"/>
        </w:rPr>
        <w:t> </w:t>
      </w:r>
      <w:r>
        <w:rPr>
          <w:rFonts w:ascii="Segoe UI"/>
          <w:color w:val="231F20"/>
          <w:sz w:val="16"/>
        </w:rPr>
        <w:t>will</w:t>
      </w:r>
      <w:r>
        <w:rPr>
          <w:rFonts w:ascii="Segoe UI"/>
          <w:color w:val="231F20"/>
          <w:spacing w:val="-3"/>
          <w:sz w:val="16"/>
        </w:rPr>
        <w:t> </w:t>
      </w:r>
      <w:r>
        <w:rPr>
          <w:rFonts w:ascii="Segoe UI"/>
          <w:color w:val="231F20"/>
          <w:sz w:val="16"/>
        </w:rPr>
        <w:t>help</w:t>
      </w:r>
      <w:r>
        <w:rPr>
          <w:rFonts w:ascii="Segoe UI"/>
          <w:color w:val="231F20"/>
          <w:spacing w:val="-3"/>
          <w:sz w:val="16"/>
        </w:rPr>
        <w:t> </w:t>
      </w:r>
      <w:r>
        <w:rPr>
          <w:rFonts w:ascii="Segoe UI"/>
          <w:color w:val="231F20"/>
          <w:sz w:val="16"/>
        </w:rPr>
        <w:t>the</w:t>
      </w:r>
      <w:r>
        <w:rPr>
          <w:rFonts w:ascii="Segoe UI"/>
          <w:color w:val="231F20"/>
          <w:spacing w:val="-2"/>
          <w:sz w:val="16"/>
        </w:rPr>
        <w:t> </w:t>
      </w:r>
      <w:r>
        <w:rPr>
          <w:rFonts w:ascii="Segoe UI"/>
          <w:color w:val="231F20"/>
          <w:sz w:val="16"/>
        </w:rPr>
        <w:t>boarder</w:t>
      </w:r>
      <w:r>
        <w:rPr>
          <w:rFonts w:ascii="Segoe UI"/>
          <w:color w:val="231F20"/>
          <w:spacing w:val="-2"/>
          <w:sz w:val="16"/>
        </w:rPr>
        <w:t> </w:t>
      </w:r>
      <w:r>
        <w:rPr>
          <w:rFonts w:ascii="Segoe UI"/>
          <w:color w:val="231F20"/>
          <w:spacing w:val="-1"/>
          <w:sz w:val="16"/>
        </w:rPr>
        <w:t>stay in</w:t>
      </w:r>
      <w:r>
        <w:rPr>
          <w:rFonts w:ascii="Segoe UI"/>
          <w:color w:val="231F20"/>
          <w:spacing w:val="-2"/>
          <w:sz w:val="16"/>
        </w:rPr>
        <w:t> </w:t>
      </w:r>
      <w:r>
        <w:rPr>
          <w:rFonts w:ascii="Segoe UI"/>
          <w:color w:val="231F20"/>
          <w:spacing w:val="-1"/>
          <w:sz w:val="16"/>
        </w:rPr>
        <w:t>school.</w:t>
      </w:r>
      <w:r>
        <w:rPr>
          <w:rFonts w:ascii="Segoe UI"/>
          <w:sz w:val="16"/>
        </w:rPr>
      </w:r>
    </w:p>
    <w:p>
      <w:pPr>
        <w:spacing w:line="200" w:lineRule="exact" w:before="0"/>
        <w:ind w:left="667" w:right="510" w:firstLine="0"/>
        <w:jc w:val="left"/>
        <w:rPr>
          <w:rFonts w:ascii="Segoe UI" w:hAnsi="Segoe UI" w:cs="Segoe UI" w:eastAsia="Segoe UI"/>
          <w:sz w:val="16"/>
          <w:szCs w:val="16"/>
        </w:rPr>
      </w:pPr>
      <w:r>
        <w:rPr>
          <w:rFonts w:ascii="Segoe UI"/>
          <w:color w:val="231F20"/>
          <w:spacing w:val="-1"/>
          <w:sz w:val="16"/>
        </w:rPr>
        <w:t>Parents</w:t>
      </w:r>
      <w:r>
        <w:rPr>
          <w:rFonts w:ascii="Segoe UI"/>
          <w:color w:val="231F20"/>
          <w:spacing w:val="-4"/>
          <w:sz w:val="16"/>
        </w:rPr>
        <w:t> </w:t>
      </w:r>
      <w:r>
        <w:rPr>
          <w:rFonts w:ascii="Segoe UI"/>
          <w:color w:val="231F20"/>
          <w:sz w:val="16"/>
        </w:rPr>
        <w:t>can</w:t>
      </w:r>
      <w:r>
        <w:rPr>
          <w:rFonts w:ascii="Segoe UI"/>
          <w:color w:val="231F20"/>
          <w:spacing w:val="-3"/>
          <w:sz w:val="16"/>
        </w:rPr>
        <w:t> </w:t>
      </w:r>
      <w:r>
        <w:rPr>
          <w:rFonts w:ascii="Segoe UI"/>
          <w:color w:val="231F20"/>
          <w:spacing w:val="-1"/>
          <w:sz w:val="16"/>
        </w:rPr>
        <w:t>still</w:t>
      </w:r>
      <w:r>
        <w:rPr>
          <w:rFonts w:ascii="Segoe UI"/>
          <w:color w:val="231F20"/>
          <w:spacing w:val="-3"/>
          <w:sz w:val="16"/>
        </w:rPr>
        <w:t> </w:t>
      </w:r>
      <w:r>
        <w:rPr>
          <w:rFonts w:ascii="Segoe UI"/>
          <w:color w:val="231F20"/>
          <w:sz w:val="16"/>
        </w:rPr>
        <w:t>use</w:t>
      </w:r>
      <w:r>
        <w:rPr>
          <w:rFonts w:ascii="Segoe UI"/>
          <w:color w:val="231F20"/>
          <w:spacing w:val="-4"/>
          <w:sz w:val="16"/>
        </w:rPr>
        <w:t> </w:t>
      </w:r>
      <w:r>
        <w:rPr>
          <w:rFonts w:ascii="Segoe UI"/>
          <w:color w:val="231F20"/>
          <w:sz w:val="16"/>
        </w:rPr>
        <w:t>ABSTUDY</w:t>
      </w:r>
      <w:r>
        <w:rPr>
          <w:rFonts w:ascii="Segoe UI"/>
          <w:color w:val="231F20"/>
          <w:spacing w:val="-3"/>
          <w:sz w:val="16"/>
        </w:rPr>
        <w:t> </w:t>
      </w:r>
      <w:r>
        <w:rPr>
          <w:rFonts w:ascii="Segoe UI"/>
          <w:color w:val="231F20"/>
          <w:spacing w:val="-2"/>
          <w:sz w:val="16"/>
        </w:rPr>
        <w:t>Fares</w:t>
      </w:r>
      <w:r>
        <w:rPr>
          <w:rFonts w:ascii="Segoe UI"/>
          <w:color w:val="231F20"/>
          <w:spacing w:val="-3"/>
          <w:sz w:val="16"/>
        </w:rPr>
        <w:t> </w:t>
      </w:r>
      <w:r>
        <w:rPr>
          <w:rFonts w:ascii="Segoe UI"/>
          <w:color w:val="231F20"/>
          <w:sz w:val="16"/>
        </w:rPr>
        <w:t>Allowance</w:t>
      </w:r>
      <w:r>
        <w:rPr>
          <w:rFonts w:ascii="Segoe UI"/>
          <w:color w:val="231F20"/>
          <w:spacing w:val="27"/>
          <w:w w:val="99"/>
          <w:sz w:val="16"/>
        </w:rPr>
        <w:t> </w:t>
      </w:r>
      <w:r>
        <w:rPr>
          <w:rFonts w:ascii="Segoe UI"/>
          <w:color w:val="231F20"/>
          <w:sz w:val="16"/>
        </w:rPr>
        <w:t>for</w:t>
      </w:r>
      <w:r>
        <w:rPr>
          <w:rFonts w:ascii="Segoe UI"/>
          <w:color w:val="231F20"/>
          <w:spacing w:val="-2"/>
          <w:sz w:val="16"/>
        </w:rPr>
        <w:t> </w:t>
      </w:r>
      <w:r>
        <w:rPr>
          <w:rFonts w:ascii="Segoe UI"/>
          <w:color w:val="231F20"/>
          <w:sz w:val="16"/>
        </w:rPr>
        <w:t>1</w:t>
      </w:r>
      <w:r>
        <w:rPr>
          <w:rFonts w:ascii="Segoe UI"/>
          <w:color w:val="231F20"/>
          <w:spacing w:val="-2"/>
          <w:sz w:val="16"/>
        </w:rPr>
        <w:t> </w:t>
      </w:r>
      <w:r>
        <w:rPr>
          <w:rFonts w:ascii="Segoe UI"/>
          <w:color w:val="231F20"/>
          <w:sz w:val="16"/>
        </w:rPr>
        <w:t>return</w:t>
      </w:r>
      <w:r>
        <w:rPr>
          <w:rFonts w:ascii="Segoe UI"/>
          <w:color w:val="231F20"/>
          <w:spacing w:val="-3"/>
          <w:sz w:val="16"/>
        </w:rPr>
        <w:t> </w:t>
      </w:r>
      <w:r>
        <w:rPr>
          <w:rFonts w:ascii="Segoe UI"/>
          <w:color w:val="231F20"/>
          <w:sz w:val="16"/>
        </w:rPr>
        <w:t>trip</w:t>
      </w:r>
      <w:r>
        <w:rPr>
          <w:rFonts w:ascii="Segoe UI"/>
          <w:color w:val="231F20"/>
          <w:spacing w:val="-3"/>
          <w:sz w:val="16"/>
        </w:rPr>
        <w:t> </w:t>
      </w:r>
      <w:r>
        <w:rPr>
          <w:rFonts w:ascii="Segoe UI"/>
          <w:color w:val="231F20"/>
          <w:sz w:val="16"/>
        </w:rPr>
        <w:t>to</w:t>
      </w:r>
      <w:r>
        <w:rPr>
          <w:rFonts w:ascii="Segoe UI"/>
          <w:color w:val="231F20"/>
          <w:spacing w:val="-2"/>
          <w:sz w:val="16"/>
        </w:rPr>
        <w:t> </w:t>
      </w:r>
      <w:r>
        <w:rPr>
          <w:rFonts w:ascii="Segoe UI"/>
          <w:color w:val="231F20"/>
          <w:sz w:val="16"/>
        </w:rPr>
        <w:t>visit</w:t>
      </w:r>
      <w:r>
        <w:rPr>
          <w:rFonts w:ascii="Segoe UI"/>
          <w:color w:val="231F20"/>
          <w:spacing w:val="-3"/>
          <w:sz w:val="16"/>
        </w:rPr>
        <w:t> </w:t>
      </w:r>
      <w:r>
        <w:rPr>
          <w:rFonts w:ascii="Segoe UI"/>
          <w:color w:val="231F20"/>
          <w:sz w:val="16"/>
        </w:rPr>
        <w:t>a</w:t>
      </w:r>
      <w:r>
        <w:rPr>
          <w:rFonts w:ascii="Segoe UI"/>
          <w:color w:val="231F20"/>
          <w:spacing w:val="-2"/>
          <w:sz w:val="16"/>
        </w:rPr>
        <w:t> </w:t>
      </w:r>
      <w:r>
        <w:rPr>
          <w:rFonts w:ascii="Segoe UI"/>
          <w:color w:val="231F20"/>
          <w:spacing w:val="-1"/>
          <w:sz w:val="16"/>
        </w:rPr>
        <w:t>student</w:t>
      </w:r>
      <w:r>
        <w:rPr>
          <w:rFonts w:ascii="Segoe UI"/>
          <w:color w:val="231F20"/>
          <w:spacing w:val="-2"/>
          <w:sz w:val="16"/>
        </w:rPr>
        <w:t> </w:t>
      </w:r>
      <w:r>
        <w:rPr>
          <w:rFonts w:ascii="Segoe UI"/>
          <w:color w:val="231F20"/>
          <w:sz w:val="16"/>
        </w:rPr>
        <w:t>at</w:t>
      </w:r>
      <w:r>
        <w:rPr>
          <w:rFonts w:ascii="Segoe UI"/>
          <w:color w:val="231F20"/>
          <w:spacing w:val="-2"/>
          <w:sz w:val="16"/>
        </w:rPr>
        <w:t> </w:t>
      </w:r>
      <w:r>
        <w:rPr>
          <w:rFonts w:ascii="Segoe UI"/>
          <w:color w:val="231F20"/>
          <w:spacing w:val="-1"/>
          <w:sz w:val="16"/>
        </w:rPr>
        <w:t>school</w:t>
      </w:r>
      <w:r>
        <w:rPr>
          <w:rFonts w:ascii="Segoe UI"/>
          <w:color w:val="231F20"/>
          <w:spacing w:val="-2"/>
          <w:sz w:val="16"/>
        </w:rPr>
        <w:t> </w:t>
      </w:r>
      <w:r>
        <w:rPr>
          <w:rFonts w:ascii="Segoe UI"/>
          <w:color w:val="231F20"/>
          <w:sz w:val="16"/>
        </w:rPr>
        <w:t>for</w:t>
      </w:r>
      <w:r>
        <w:rPr>
          <w:rFonts w:ascii="Segoe UI"/>
          <w:color w:val="231F20"/>
          <w:spacing w:val="23"/>
          <w:w w:val="99"/>
          <w:sz w:val="16"/>
        </w:rPr>
        <w:t> </w:t>
      </w:r>
      <w:r>
        <w:rPr>
          <w:rFonts w:ascii="Segoe UI"/>
          <w:color w:val="231F20"/>
          <w:sz w:val="16"/>
        </w:rPr>
        <w:t>compassionate</w:t>
      </w:r>
      <w:r>
        <w:rPr>
          <w:rFonts w:ascii="Segoe UI"/>
          <w:color w:val="231F20"/>
          <w:spacing w:val="-8"/>
          <w:sz w:val="16"/>
        </w:rPr>
        <w:t> </w:t>
      </w:r>
      <w:r>
        <w:rPr>
          <w:rFonts w:ascii="Segoe UI"/>
          <w:color w:val="231F20"/>
          <w:sz w:val="16"/>
        </w:rPr>
        <w:t>reasons.</w:t>
      </w:r>
      <w:r>
        <w:rPr>
          <w:rFonts w:ascii="Segoe UI"/>
          <w:color w:val="231F20"/>
          <w:spacing w:val="-8"/>
          <w:sz w:val="16"/>
        </w:rPr>
        <w:t> </w:t>
      </w:r>
      <w:r>
        <w:rPr>
          <w:rFonts w:ascii="Segoe UI"/>
          <w:color w:val="231F20"/>
          <w:spacing w:val="-1"/>
          <w:sz w:val="16"/>
        </w:rPr>
        <w:t>Source:</w:t>
      </w:r>
      <w:r>
        <w:rPr>
          <w:rFonts w:ascii="Segoe UI"/>
          <w:color w:val="231F20"/>
          <w:spacing w:val="-6"/>
          <w:sz w:val="16"/>
        </w:rPr>
        <w:t> </w:t>
      </w:r>
      <w:r>
        <w:rPr>
          <w:rFonts w:ascii="Segoe UI"/>
          <w:color w:val="3853A4"/>
          <w:spacing w:val="-6"/>
          <w:sz w:val="16"/>
        </w:rPr>
      </w:r>
      <w:r>
        <w:rPr>
          <w:rFonts w:ascii="Segoe UI"/>
          <w:color w:val="3853A4"/>
          <w:sz w:val="16"/>
          <w:u w:val="single" w:color="3853A4"/>
        </w:rPr>
        <w:t>h</w:t>
      </w:r>
      <w:r>
        <w:rPr>
          <w:rFonts w:ascii="Segoe UI"/>
          <w:color w:val="3853A4"/>
          <w:sz w:val="16"/>
        </w:rPr>
      </w:r>
      <w:hyperlink r:id="rId99">
        <w:r>
          <w:rPr>
            <w:rFonts w:ascii="Segoe UI"/>
            <w:color w:val="3853A4"/>
            <w:sz w:val="16"/>
          </w:rPr>
          <w:t>ttps://www.</w:t>
        </w:r>
      </w:hyperlink>
      <w:r>
        <w:rPr>
          <w:rFonts w:ascii="Segoe UI"/>
          <w:color w:val="3853A4"/>
          <w:spacing w:val="22"/>
          <w:w w:val="99"/>
          <w:sz w:val="16"/>
        </w:rPr>
        <w:t> </w:t>
      </w:r>
      <w:r>
        <w:rPr>
          <w:rFonts w:ascii="Segoe UI"/>
          <w:color w:val="3853A4"/>
          <w:sz w:val="16"/>
          <w:u w:val="single" w:color="3853A4"/>
        </w:rPr>
        <w:t>humanservices.gov.au/individuals/subjects/</w:t>
      </w:r>
      <w:r>
        <w:rPr>
          <w:rFonts w:ascii="Segoe UI"/>
          <w:color w:val="3853A4"/>
          <w:w w:val="99"/>
          <w:sz w:val="16"/>
        </w:rPr>
      </w:r>
      <w:r>
        <w:rPr>
          <w:rFonts w:ascii="Segoe UI"/>
          <w:color w:val="3853A4"/>
          <w:w w:val="99"/>
          <w:sz w:val="16"/>
        </w:rPr>
        <w:t> </w:t>
      </w:r>
      <w:r>
        <w:rPr>
          <w:rFonts w:ascii="Segoe UI"/>
          <w:color w:val="3853A4"/>
          <w:sz w:val="16"/>
          <w:u w:val="single" w:color="3853A4"/>
        </w:rPr>
        <w:t>changes-student-payments-from-1-january-</w:t>
      </w:r>
      <w:r>
        <w:rPr>
          <w:rFonts w:ascii="Segoe UI"/>
          <w:color w:val="3853A4"/>
          <w:w w:val="99"/>
          <w:sz w:val="16"/>
        </w:rPr>
      </w:r>
      <w:r>
        <w:rPr>
          <w:rFonts w:ascii="Segoe UI"/>
          <w:color w:val="3853A4"/>
          <w:w w:val="99"/>
          <w:sz w:val="16"/>
        </w:rPr>
        <w:t> </w:t>
      </w:r>
      <w:r>
        <w:rPr>
          <w:rFonts w:ascii="Segoe UI"/>
          <w:color w:val="3853A4"/>
          <w:sz w:val="16"/>
          <w:u w:val="single" w:color="3853A4"/>
        </w:rPr>
        <w:t>2019#a3</w:t>
      </w:r>
      <w:r>
        <w:rPr>
          <w:rFonts w:ascii="Segoe UI"/>
          <w:color w:val="3853A4"/>
          <w:sz w:val="16"/>
        </w:rPr>
      </w:r>
      <w:r>
        <w:rPr>
          <w:rFonts w:ascii="Segoe UI"/>
          <w:color w:val="231F20"/>
          <w:sz w:val="16"/>
        </w:rPr>
        <w:t>,</w:t>
      </w:r>
      <w:r>
        <w:rPr>
          <w:rFonts w:ascii="Segoe UI"/>
          <w:color w:val="231F20"/>
          <w:spacing w:val="-3"/>
          <w:sz w:val="16"/>
        </w:rPr>
        <w:t> </w:t>
      </w:r>
      <w:r>
        <w:rPr>
          <w:rFonts w:ascii="Segoe UI"/>
          <w:color w:val="231F20"/>
          <w:sz w:val="16"/>
        </w:rPr>
        <w:t>accessed</w:t>
      </w:r>
      <w:r>
        <w:rPr>
          <w:rFonts w:ascii="Segoe UI"/>
          <w:color w:val="231F20"/>
          <w:spacing w:val="-4"/>
          <w:sz w:val="16"/>
        </w:rPr>
        <w:t> </w:t>
      </w:r>
      <w:r>
        <w:rPr>
          <w:rFonts w:ascii="Segoe UI"/>
          <w:color w:val="231F20"/>
          <w:spacing w:val="-1"/>
          <w:sz w:val="16"/>
        </w:rPr>
        <w:t>in</w:t>
      </w:r>
      <w:r>
        <w:rPr>
          <w:rFonts w:ascii="Segoe UI"/>
          <w:color w:val="231F20"/>
          <w:spacing w:val="-3"/>
          <w:sz w:val="16"/>
        </w:rPr>
        <w:t> </w:t>
      </w:r>
      <w:r>
        <w:rPr>
          <w:rFonts w:ascii="Segoe UI"/>
          <w:color w:val="231F20"/>
          <w:sz w:val="16"/>
        </w:rPr>
        <w:t>January</w:t>
      </w:r>
      <w:r>
        <w:rPr>
          <w:rFonts w:ascii="Segoe UI"/>
          <w:color w:val="231F20"/>
          <w:spacing w:val="-3"/>
          <w:sz w:val="16"/>
        </w:rPr>
        <w:t> </w:t>
      </w:r>
      <w:r>
        <w:rPr>
          <w:rFonts w:ascii="Segoe UI"/>
          <w:color w:val="231F20"/>
          <w:sz w:val="16"/>
        </w:rPr>
        <w:t>2019</w:t>
      </w:r>
      <w:r>
        <w:rPr>
          <w:rFonts w:ascii="Segoe UI"/>
          <w:sz w:val="16"/>
        </w:rPr>
      </w:r>
    </w:p>
    <w:p>
      <w:pPr>
        <w:numPr>
          <w:ilvl w:val="0"/>
          <w:numId w:val="13"/>
        </w:numPr>
        <w:tabs>
          <w:tab w:pos="668" w:val="left" w:leader="none"/>
        </w:tabs>
        <w:spacing w:line="200" w:lineRule="exact" w:before="113"/>
        <w:ind w:left="667" w:right="298" w:hanging="567"/>
        <w:jc w:val="left"/>
        <w:rPr>
          <w:rFonts w:ascii="Segoe UI" w:hAnsi="Segoe UI" w:cs="Segoe UI" w:eastAsia="Segoe UI"/>
          <w:sz w:val="16"/>
          <w:szCs w:val="16"/>
        </w:rPr>
      </w:pPr>
      <w:r>
        <w:rPr>
          <w:rFonts w:ascii="Segoe UI" w:hAnsi="Segoe UI" w:cs="Segoe UI" w:eastAsia="Segoe UI"/>
          <w:color w:val="231F20"/>
          <w:spacing w:val="-1"/>
          <w:sz w:val="16"/>
          <w:szCs w:val="16"/>
        </w:rPr>
        <w:t>Students</w:t>
      </w:r>
      <w:r>
        <w:rPr>
          <w:rFonts w:ascii="Segoe UI" w:hAnsi="Segoe UI" w:cs="Segoe UI" w:eastAsia="Segoe UI"/>
          <w:color w:val="231F20"/>
          <w:spacing w:val="-5"/>
          <w:sz w:val="16"/>
          <w:szCs w:val="16"/>
        </w:rPr>
        <w:t> </w:t>
      </w:r>
      <w:r>
        <w:rPr>
          <w:rFonts w:ascii="Segoe UI" w:hAnsi="Segoe UI" w:cs="Segoe UI" w:eastAsia="Segoe UI"/>
          <w:color w:val="231F20"/>
          <w:sz w:val="16"/>
          <w:szCs w:val="16"/>
        </w:rPr>
        <w:t>can</w:t>
      </w:r>
      <w:r>
        <w:rPr>
          <w:rFonts w:ascii="Segoe UI" w:hAnsi="Segoe UI" w:cs="Segoe UI" w:eastAsia="Segoe UI"/>
          <w:color w:val="231F20"/>
          <w:spacing w:val="-5"/>
          <w:sz w:val="16"/>
          <w:szCs w:val="16"/>
        </w:rPr>
        <w:t> </w:t>
      </w:r>
      <w:r>
        <w:rPr>
          <w:rFonts w:ascii="Segoe UI" w:hAnsi="Segoe UI" w:cs="Segoe UI" w:eastAsia="Segoe UI"/>
          <w:color w:val="231F20"/>
          <w:sz w:val="16"/>
          <w:szCs w:val="16"/>
        </w:rPr>
        <w:t>now</w:t>
      </w:r>
      <w:r>
        <w:rPr>
          <w:rFonts w:ascii="Segoe UI" w:hAnsi="Segoe UI" w:cs="Segoe UI" w:eastAsia="Segoe UI"/>
          <w:color w:val="231F20"/>
          <w:spacing w:val="-4"/>
          <w:sz w:val="16"/>
          <w:szCs w:val="16"/>
        </w:rPr>
        <w:t> </w:t>
      </w:r>
      <w:r>
        <w:rPr>
          <w:rFonts w:ascii="Segoe UI" w:hAnsi="Segoe UI" w:cs="Segoe UI" w:eastAsia="Segoe UI"/>
          <w:color w:val="231F20"/>
          <w:sz w:val="16"/>
          <w:szCs w:val="16"/>
        </w:rPr>
        <w:t>travel</w:t>
      </w:r>
      <w:r>
        <w:rPr>
          <w:rFonts w:ascii="Segoe UI" w:hAnsi="Segoe UI" w:cs="Segoe UI" w:eastAsia="Segoe UI"/>
          <w:color w:val="231F20"/>
          <w:spacing w:val="-5"/>
          <w:sz w:val="16"/>
          <w:szCs w:val="16"/>
        </w:rPr>
        <w:t> </w:t>
      </w:r>
      <w:r>
        <w:rPr>
          <w:rFonts w:ascii="Segoe UI" w:hAnsi="Segoe UI" w:cs="Segoe UI" w:eastAsia="Segoe UI"/>
          <w:color w:val="231F20"/>
          <w:sz w:val="16"/>
          <w:szCs w:val="16"/>
        </w:rPr>
        <w:t>to</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locations</w:t>
      </w:r>
      <w:r>
        <w:rPr>
          <w:rFonts w:ascii="Segoe UI" w:hAnsi="Segoe UI" w:cs="Segoe UI" w:eastAsia="Segoe UI"/>
          <w:color w:val="231F20"/>
          <w:spacing w:val="-5"/>
          <w:sz w:val="16"/>
          <w:szCs w:val="16"/>
        </w:rPr>
        <w:t> </w:t>
      </w:r>
      <w:r>
        <w:rPr>
          <w:rFonts w:ascii="Segoe UI" w:hAnsi="Segoe UI" w:cs="Segoe UI" w:eastAsia="Segoe UI"/>
          <w:color w:val="231F20"/>
          <w:sz w:val="16"/>
          <w:szCs w:val="16"/>
        </w:rPr>
        <w:t>other</w:t>
      </w:r>
      <w:r>
        <w:rPr>
          <w:rFonts w:ascii="Segoe UI" w:hAnsi="Segoe UI" w:cs="Segoe UI" w:eastAsia="Segoe UI"/>
          <w:color w:val="231F20"/>
          <w:spacing w:val="-4"/>
          <w:sz w:val="16"/>
          <w:szCs w:val="16"/>
        </w:rPr>
        <w:t> </w:t>
      </w:r>
      <w:r>
        <w:rPr>
          <w:rFonts w:ascii="Segoe UI" w:hAnsi="Segoe UI" w:cs="Segoe UI" w:eastAsia="Segoe UI"/>
          <w:color w:val="231F20"/>
          <w:sz w:val="16"/>
          <w:szCs w:val="16"/>
        </w:rPr>
        <w:t>than</w:t>
      </w:r>
      <w:r>
        <w:rPr>
          <w:rFonts w:ascii="Segoe UI" w:hAnsi="Segoe UI" w:cs="Segoe UI" w:eastAsia="Segoe UI"/>
          <w:color w:val="231F20"/>
          <w:spacing w:val="29"/>
          <w:w w:val="99"/>
          <w:sz w:val="16"/>
          <w:szCs w:val="16"/>
        </w:rPr>
        <w:t> </w:t>
      </w:r>
      <w:r>
        <w:rPr>
          <w:rFonts w:ascii="Segoe UI" w:hAnsi="Segoe UI" w:cs="Segoe UI" w:eastAsia="Segoe UI"/>
          <w:color w:val="231F20"/>
          <w:spacing w:val="-1"/>
          <w:sz w:val="16"/>
          <w:szCs w:val="16"/>
        </w:rPr>
        <w:t>school</w:t>
      </w:r>
      <w:r>
        <w:rPr>
          <w:rFonts w:ascii="Segoe UI" w:hAnsi="Segoe UI" w:cs="Segoe UI" w:eastAsia="Segoe UI"/>
          <w:color w:val="231F20"/>
          <w:spacing w:val="-2"/>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2"/>
          <w:sz w:val="16"/>
          <w:szCs w:val="16"/>
        </w:rPr>
        <w:t> </w:t>
      </w:r>
      <w:r>
        <w:rPr>
          <w:rFonts w:ascii="Segoe UI" w:hAnsi="Segoe UI" w:cs="Segoe UI" w:eastAsia="Segoe UI"/>
          <w:color w:val="231F20"/>
          <w:sz w:val="16"/>
          <w:szCs w:val="16"/>
        </w:rPr>
        <w:t>home</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if </w:t>
      </w:r>
      <w:r>
        <w:rPr>
          <w:rFonts w:ascii="Segoe UI" w:hAnsi="Segoe UI" w:cs="Segoe UI" w:eastAsia="Segoe UI"/>
          <w:color w:val="231F20"/>
          <w:sz w:val="16"/>
          <w:szCs w:val="16"/>
        </w:rPr>
        <w:t>they’re</w:t>
      </w:r>
      <w:r>
        <w:rPr>
          <w:rFonts w:ascii="Segoe UI" w:hAnsi="Segoe UI" w:cs="Segoe UI" w:eastAsia="Segoe UI"/>
          <w:color w:val="231F20"/>
          <w:spacing w:val="-3"/>
          <w:sz w:val="16"/>
          <w:szCs w:val="16"/>
        </w:rPr>
        <w:t> </w:t>
      </w:r>
      <w:r>
        <w:rPr>
          <w:rFonts w:ascii="Segoe UI" w:hAnsi="Segoe UI" w:cs="Segoe UI" w:eastAsia="Segoe UI"/>
          <w:color w:val="231F20"/>
          <w:sz w:val="16"/>
          <w:szCs w:val="16"/>
        </w:rPr>
        <w:t>on</w:t>
      </w:r>
      <w:r>
        <w:rPr>
          <w:rFonts w:ascii="Segoe UI" w:hAnsi="Segoe UI" w:cs="Segoe UI" w:eastAsia="Segoe UI"/>
          <w:color w:val="231F20"/>
          <w:spacing w:val="-1"/>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student’s </w:t>
      </w:r>
      <w:r>
        <w:rPr>
          <w:rFonts w:ascii="Segoe UI" w:hAnsi="Segoe UI" w:cs="Segoe UI" w:eastAsia="Segoe UI"/>
          <w:color w:val="231F20"/>
          <w:sz w:val="16"/>
          <w:szCs w:val="16"/>
        </w:rPr>
        <w:t>usual</w:t>
      </w:r>
      <w:r>
        <w:rPr>
          <w:rFonts w:ascii="Segoe UI" w:hAnsi="Segoe UI" w:cs="Segoe UI" w:eastAsia="Segoe UI"/>
          <w:color w:val="231F20"/>
          <w:spacing w:val="24"/>
          <w:sz w:val="16"/>
          <w:szCs w:val="16"/>
        </w:rPr>
        <w:t> </w:t>
      </w:r>
      <w:r>
        <w:rPr>
          <w:rFonts w:ascii="Segoe UI" w:hAnsi="Segoe UI" w:cs="Segoe UI" w:eastAsia="Segoe UI"/>
          <w:color w:val="231F20"/>
          <w:sz w:val="16"/>
          <w:szCs w:val="16"/>
        </w:rPr>
        <w:t>travel</w:t>
      </w:r>
      <w:r>
        <w:rPr>
          <w:rFonts w:ascii="Segoe UI" w:hAnsi="Segoe UI" w:cs="Segoe UI" w:eastAsia="Segoe UI"/>
          <w:color w:val="231F20"/>
          <w:spacing w:val="-5"/>
          <w:sz w:val="16"/>
          <w:szCs w:val="16"/>
        </w:rPr>
        <w:t> </w:t>
      </w:r>
      <w:r>
        <w:rPr>
          <w:rFonts w:ascii="Segoe UI" w:hAnsi="Segoe UI" w:cs="Segoe UI" w:eastAsia="Segoe UI"/>
          <w:color w:val="231F20"/>
          <w:sz w:val="16"/>
          <w:szCs w:val="16"/>
        </w:rPr>
        <w:t>route.</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For</w:t>
      </w:r>
      <w:r>
        <w:rPr>
          <w:rFonts w:ascii="Segoe UI" w:hAnsi="Segoe UI" w:cs="Segoe UI" w:eastAsia="Segoe UI"/>
          <w:color w:val="231F20"/>
          <w:spacing w:val="-4"/>
          <w:sz w:val="16"/>
          <w:szCs w:val="16"/>
        </w:rPr>
        <w:t> </w:t>
      </w:r>
      <w:r>
        <w:rPr>
          <w:rFonts w:ascii="Segoe UI" w:hAnsi="Segoe UI" w:cs="Segoe UI" w:eastAsia="Segoe UI"/>
          <w:color w:val="231F20"/>
          <w:sz w:val="16"/>
          <w:szCs w:val="16"/>
        </w:rPr>
        <w:t>example,</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if</w:t>
      </w:r>
      <w:r>
        <w:rPr>
          <w:rFonts w:ascii="Segoe UI" w:hAnsi="Segoe UI" w:cs="Segoe UI" w:eastAsia="Segoe UI"/>
          <w:color w:val="231F20"/>
          <w:spacing w:val="-4"/>
          <w:sz w:val="16"/>
          <w:szCs w:val="16"/>
        </w:rPr>
        <w:t> </w:t>
      </w:r>
      <w:r>
        <w:rPr>
          <w:rFonts w:ascii="Segoe UI" w:hAnsi="Segoe UI" w:cs="Segoe UI" w:eastAsia="Segoe UI"/>
          <w:color w:val="231F20"/>
          <w:sz w:val="16"/>
          <w:szCs w:val="16"/>
        </w:rPr>
        <w:t>there’s</w:t>
      </w:r>
      <w:r>
        <w:rPr>
          <w:rFonts w:ascii="Segoe UI" w:hAnsi="Segoe UI" w:cs="Segoe UI" w:eastAsia="Segoe UI"/>
          <w:color w:val="231F20"/>
          <w:spacing w:val="-4"/>
          <w:sz w:val="16"/>
          <w:szCs w:val="16"/>
        </w:rPr>
        <w:t> </w:t>
      </w:r>
      <w:r>
        <w:rPr>
          <w:rFonts w:ascii="Segoe UI" w:hAnsi="Segoe UI" w:cs="Segoe UI" w:eastAsia="Segoe UI"/>
          <w:color w:val="231F20"/>
          <w:sz w:val="16"/>
          <w:szCs w:val="16"/>
        </w:rPr>
        <w:t>a</w:t>
      </w:r>
      <w:r>
        <w:rPr>
          <w:rFonts w:ascii="Segoe UI" w:hAnsi="Segoe UI" w:cs="Segoe UI" w:eastAsia="Segoe UI"/>
          <w:color w:val="231F20"/>
          <w:spacing w:val="-3"/>
          <w:sz w:val="16"/>
          <w:szCs w:val="16"/>
        </w:rPr>
        <w:t> </w:t>
      </w:r>
      <w:r>
        <w:rPr>
          <w:rFonts w:ascii="Segoe UI" w:hAnsi="Segoe UI" w:cs="Segoe UI" w:eastAsia="Segoe UI"/>
          <w:color w:val="231F20"/>
          <w:sz w:val="16"/>
          <w:szCs w:val="16"/>
        </w:rPr>
        <w:t>camp</w:t>
      </w:r>
      <w:r>
        <w:rPr>
          <w:rFonts w:ascii="Segoe UI" w:hAnsi="Segoe UI" w:cs="Segoe UI" w:eastAsia="Segoe UI"/>
          <w:color w:val="231F20"/>
          <w:spacing w:val="-5"/>
          <w:sz w:val="16"/>
          <w:szCs w:val="16"/>
        </w:rPr>
        <w:t> </w:t>
      </w:r>
      <w:r>
        <w:rPr>
          <w:rFonts w:ascii="Segoe UI" w:hAnsi="Segoe UI" w:cs="Segoe UI" w:eastAsia="Segoe UI"/>
          <w:color w:val="231F20"/>
          <w:sz w:val="16"/>
          <w:szCs w:val="16"/>
        </w:rPr>
        <w:t>at</w:t>
      </w:r>
      <w:r>
        <w:rPr>
          <w:rFonts w:ascii="Segoe UI" w:hAnsi="Segoe UI" w:cs="Segoe UI" w:eastAsia="Segoe UI"/>
          <w:sz w:val="16"/>
          <w:szCs w:val="16"/>
        </w:rPr>
      </w:r>
    </w:p>
    <w:p>
      <w:pPr>
        <w:spacing w:line="200" w:lineRule="exact" w:before="0"/>
        <w:ind w:left="667" w:right="334" w:firstLine="0"/>
        <w:jc w:val="left"/>
        <w:rPr>
          <w:rFonts w:ascii="Segoe UI" w:hAnsi="Segoe UI" w:cs="Segoe UI" w:eastAsia="Segoe UI"/>
          <w:sz w:val="16"/>
          <w:szCs w:val="16"/>
        </w:rPr>
      </w:pPr>
      <w:r>
        <w:rPr>
          <w:rFonts w:ascii="Segoe UI"/>
          <w:color w:val="231F20"/>
          <w:sz w:val="16"/>
        </w:rPr>
        <w:t>the</w:t>
      </w:r>
      <w:r>
        <w:rPr>
          <w:rFonts w:ascii="Segoe UI"/>
          <w:color w:val="231F20"/>
          <w:spacing w:val="-5"/>
          <w:sz w:val="16"/>
        </w:rPr>
        <w:t> </w:t>
      </w:r>
      <w:r>
        <w:rPr>
          <w:rFonts w:ascii="Segoe UI"/>
          <w:color w:val="231F20"/>
          <w:sz w:val="16"/>
        </w:rPr>
        <w:t>end</w:t>
      </w:r>
      <w:r>
        <w:rPr>
          <w:rFonts w:ascii="Segoe UI"/>
          <w:color w:val="231F20"/>
          <w:spacing w:val="-3"/>
          <w:sz w:val="16"/>
        </w:rPr>
        <w:t> </w:t>
      </w:r>
      <w:r>
        <w:rPr>
          <w:rFonts w:ascii="Segoe UI"/>
          <w:color w:val="231F20"/>
          <w:sz w:val="16"/>
        </w:rPr>
        <w:t>of</w:t>
      </w:r>
      <w:r>
        <w:rPr>
          <w:rFonts w:ascii="Segoe UI"/>
          <w:color w:val="231F20"/>
          <w:spacing w:val="-4"/>
          <w:sz w:val="16"/>
        </w:rPr>
        <w:t> </w:t>
      </w:r>
      <w:r>
        <w:rPr>
          <w:rFonts w:ascii="Segoe UI"/>
          <w:color w:val="231F20"/>
          <w:sz w:val="16"/>
        </w:rPr>
        <w:t>the</w:t>
      </w:r>
      <w:r>
        <w:rPr>
          <w:rFonts w:ascii="Segoe UI"/>
          <w:color w:val="231F20"/>
          <w:spacing w:val="-4"/>
          <w:sz w:val="16"/>
        </w:rPr>
        <w:t> </w:t>
      </w:r>
      <w:r>
        <w:rPr>
          <w:rFonts w:ascii="Segoe UI"/>
          <w:color w:val="231F20"/>
          <w:sz w:val="16"/>
        </w:rPr>
        <w:t>term,</w:t>
      </w:r>
      <w:r>
        <w:rPr>
          <w:rFonts w:ascii="Segoe UI"/>
          <w:color w:val="231F20"/>
          <w:spacing w:val="-4"/>
          <w:sz w:val="16"/>
        </w:rPr>
        <w:t> </w:t>
      </w:r>
      <w:r>
        <w:rPr>
          <w:rFonts w:ascii="Segoe UI"/>
          <w:color w:val="231F20"/>
          <w:sz w:val="16"/>
        </w:rPr>
        <w:t>a</w:t>
      </w:r>
      <w:r>
        <w:rPr>
          <w:rFonts w:ascii="Segoe UI"/>
          <w:color w:val="231F20"/>
          <w:spacing w:val="-3"/>
          <w:sz w:val="16"/>
        </w:rPr>
        <w:t> </w:t>
      </w:r>
      <w:r>
        <w:rPr>
          <w:rFonts w:ascii="Segoe UI"/>
          <w:color w:val="231F20"/>
          <w:spacing w:val="-1"/>
          <w:sz w:val="16"/>
        </w:rPr>
        <w:t>student</w:t>
      </w:r>
      <w:r>
        <w:rPr>
          <w:rFonts w:ascii="Segoe UI"/>
          <w:color w:val="231F20"/>
          <w:spacing w:val="-4"/>
          <w:sz w:val="16"/>
        </w:rPr>
        <w:t> </w:t>
      </w:r>
      <w:r>
        <w:rPr>
          <w:rFonts w:ascii="Segoe UI"/>
          <w:color w:val="231F20"/>
          <w:sz w:val="16"/>
        </w:rPr>
        <w:t>can</w:t>
      </w:r>
      <w:r>
        <w:rPr>
          <w:rFonts w:ascii="Segoe UI"/>
          <w:color w:val="231F20"/>
          <w:spacing w:val="-3"/>
          <w:sz w:val="16"/>
        </w:rPr>
        <w:t> </w:t>
      </w:r>
      <w:r>
        <w:rPr>
          <w:rFonts w:ascii="Segoe UI"/>
          <w:color w:val="231F20"/>
          <w:sz w:val="16"/>
        </w:rPr>
        <w:t>travel</w:t>
      </w:r>
      <w:r>
        <w:rPr>
          <w:rFonts w:ascii="Segoe UI"/>
          <w:color w:val="231F20"/>
          <w:spacing w:val="-5"/>
          <w:sz w:val="16"/>
        </w:rPr>
        <w:t> </w:t>
      </w:r>
      <w:r>
        <w:rPr>
          <w:rFonts w:ascii="Segoe UI"/>
          <w:color w:val="231F20"/>
          <w:sz w:val="16"/>
        </w:rPr>
        <w:t>directly</w:t>
      </w:r>
      <w:r>
        <w:rPr>
          <w:rFonts w:ascii="Segoe UI"/>
          <w:color w:val="231F20"/>
          <w:spacing w:val="22"/>
          <w:w w:val="99"/>
          <w:sz w:val="16"/>
        </w:rPr>
        <w:t> </w:t>
      </w:r>
      <w:r>
        <w:rPr>
          <w:rFonts w:ascii="Segoe UI"/>
          <w:color w:val="231F20"/>
          <w:sz w:val="16"/>
        </w:rPr>
        <w:t>home</w:t>
      </w:r>
      <w:r>
        <w:rPr>
          <w:rFonts w:ascii="Segoe UI"/>
          <w:color w:val="231F20"/>
          <w:spacing w:val="-5"/>
          <w:sz w:val="16"/>
        </w:rPr>
        <w:t> </w:t>
      </w:r>
      <w:r>
        <w:rPr>
          <w:rFonts w:ascii="Segoe UI"/>
          <w:color w:val="231F20"/>
          <w:sz w:val="16"/>
        </w:rPr>
        <w:t>after</w:t>
      </w:r>
      <w:r>
        <w:rPr>
          <w:rFonts w:ascii="Segoe UI"/>
          <w:color w:val="231F20"/>
          <w:spacing w:val="-5"/>
          <w:sz w:val="16"/>
        </w:rPr>
        <w:t> </w:t>
      </w:r>
      <w:r>
        <w:rPr>
          <w:rFonts w:ascii="Segoe UI"/>
          <w:color w:val="231F20"/>
          <w:sz w:val="16"/>
        </w:rPr>
        <w:t>camp.</w:t>
      </w:r>
      <w:r>
        <w:rPr>
          <w:rFonts w:ascii="Segoe UI"/>
          <w:color w:val="231F20"/>
          <w:spacing w:val="-4"/>
          <w:sz w:val="16"/>
        </w:rPr>
        <w:t> </w:t>
      </w:r>
      <w:r>
        <w:rPr>
          <w:rFonts w:ascii="Segoe UI"/>
          <w:color w:val="231F20"/>
          <w:sz w:val="16"/>
        </w:rPr>
        <w:t>Previously,</w:t>
      </w:r>
      <w:r>
        <w:rPr>
          <w:rFonts w:ascii="Segoe UI"/>
          <w:color w:val="231F20"/>
          <w:spacing w:val="-4"/>
          <w:sz w:val="16"/>
        </w:rPr>
        <w:t> </w:t>
      </w:r>
      <w:r>
        <w:rPr>
          <w:rFonts w:ascii="Segoe UI"/>
          <w:color w:val="231F20"/>
          <w:sz w:val="16"/>
        </w:rPr>
        <w:t>a</w:t>
      </w:r>
      <w:r>
        <w:rPr>
          <w:rFonts w:ascii="Segoe UI"/>
          <w:color w:val="231F20"/>
          <w:spacing w:val="-3"/>
          <w:sz w:val="16"/>
        </w:rPr>
        <w:t> </w:t>
      </w:r>
      <w:r>
        <w:rPr>
          <w:rFonts w:ascii="Segoe UI"/>
          <w:color w:val="231F20"/>
          <w:sz w:val="16"/>
        </w:rPr>
        <w:t>boarder</w:t>
      </w:r>
      <w:r>
        <w:rPr>
          <w:rFonts w:ascii="Segoe UI"/>
          <w:color w:val="231F20"/>
          <w:spacing w:val="-4"/>
          <w:sz w:val="16"/>
        </w:rPr>
        <w:t> </w:t>
      </w:r>
      <w:r>
        <w:rPr>
          <w:rFonts w:ascii="Segoe UI"/>
          <w:color w:val="231F20"/>
          <w:spacing w:val="-1"/>
          <w:sz w:val="16"/>
        </w:rPr>
        <w:t>may</w:t>
      </w:r>
      <w:r>
        <w:rPr>
          <w:rFonts w:ascii="Segoe UI"/>
          <w:color w:val="231F20"/>
          <w:spacing w:val="19"/>
          <w:sz w:val="16"/>
        </w:rPr>
        <w:t> </w:t>
      </w:r>
      <w:r>
        <w:rPr>
          <w:rFonts w:ascii="Segoe UI"/>
          <w:color w:val="231F20"/>
          <w:sz w:val="16"/>
        </w:rPr>
        <w:t>have had to travel back to school first. https://</w:t>
      </w:r>
      <w:r>
        <w:rPr>
          <w:rFonts w:ascii="Segoe UI"/>
          <w:color w:val="231F20"/>
          <w:sz w:val="16"/>
        </w:rPr>
        <w:t> </w:t>
      </w:r>
      <w:hyperlink r:id="rId120">
        <w:r>
          <w:rPr>
            <w:rFonts w:ascii="Segoe UI"/>
            <w:color w:val="231F20"/>
            <w:w w:val="95"/>
            <w:sz w:val="16"/>
          </w:rPr>
          <w:t>www.humanservices.gov.au/individuals/subjects/</w:t>
        </w:r>
      </w:hyperlink>
      <w:r>
        <w:rPr>
          <w:rFonts w:ascii="Segoe UI"/>
          <w:color w:val="231F20"/>
          <w:w w:val="99"/>
          <w:sz w:val="16"/>
        </w:rPr>
        <w:t> </w:t>
      </w:r>
      <w:r>
        <w:rPr>
          <w:rFonts w:ascii="Segoe UI"/>
          <w:color w:val="231F20"/>
          <w:sz w:val="16"/>
        </w:rPr>
        <w:t>changes-student-payments-from-1-january-</w:t>
      </w:r>
      <w:r>
        <w:rPr>
          <w:rFonts w:ascii="Segoe UI"/>
          <w:color w:val="231F20"/>
          <w:w w:val="99"/>
          <w:sz w:val="16"/>
        </w:rPr>
        <w:t> </w:t>
      </w:r>
      <w:r>
        <w:rPr>
          <w:rFonts w:ascii="Segoe UI"/>
          <w:color w:val="231F20"/>
          <w:spacing w:val="-1"/>
          <w:sz w:val="16"/>
        </w:rPr>
        <w:t>2019#a3,</w:t>
      </w:r>
      <w:r>
        <w:rPr>
          <w:rFonts w:ascii="Segoe UI"/>
          <w:color w:val="231F20"/>
          <w:spacing w:val="-3"/>
          <w:sz w:val="16"/>
        </w:rPr>
        <w:t> </w:t>
      </w:r>
      <w:r>
        <w:rPr>
          <w:rFonts w:ascii="Segoe UI"/>
          <w:color w:val="231F20"/>
          <w:sz w:val="16"/>
        </w:rPr>
        <w:t>accessed</w:t>
      </w:r>
      <w:r>
        <w:rPr>
          <w:rFonts w:ascii="Segoe UI"/>
          <w:color w:val="231F20"/>
          <w:spacing w:val="-4"/>
          <w:sz w:val="16"/>
        </w:rPr>
        <w:t> </w:t>
      </w:r>
      <w:r>
        <w:rPr>
          <w:rFonts w:ascii="Segoe UI"/>
          <w:color w:val="231F20"/>
          <w:spacing w:val="-1"/>
          <w:sz w:val="16"/>
        </w:rPr>
        <w:t>in</w:t>
      </w:r>
      <w:r>
        <w:rPr>
          <w:rFonts w:ascii="Segoe UI"/>
          <w:color w:val="231F20"/>
          <w:spacing w:val="-3"/>
          <w:sz w:val="16"/>
        </w:rPr>
        <w:t> </w:t>
      </w:r>
      <w:r>
        <w:rPr>
          <w:rFonts w:ascii="Segoe UI"/>
          <w:color w:val="231F20"/>
          <w:sz w:val="16"/>
        </w:rPr>
        <w:t>January</w:t>
      </w:r>
      <w:r>
        <w:rPr>
          <w:rFonts w:ascii="Segoe UI"/>
          <w:color w:val="231F20"/>
          <w:spacing w:val="-3"/>
          <w:sz w:val="16"/>
        </w:rPr>
        <w:t> </w:t>
      </w:r>
      <w:r>
        <w:rPr>
          <w:rFonts w:ascii="Segoe UI"/>
          <w:color w:val="231F20"/>
          <w:sz w:val="16"/>
        </w:rPr>
        <w:t>2019</w:t>
      </w:r>
      <w:r>
        <w:rPr>
          <w:rFonts w:ascii="Segoe UI"/>
          <w:sz w:val="16"/>
        </w:rPr>
      </w:r>
    </w:p>
    <w:p>
      <w:pPr>
        <w:numPr>
          <w:ilvl w:val="0"/>
          <w:numId w:val="13"/>
        </w:numPr>
        <w:tabs>
          <w:tab w:pos="668" w:val="left" w:leader="none"/>
        </w:tabs>
        <w:spacing w:line="200" w:lineRule="exact" w:before="113"/>
        <w:ind w:left="667" w:right="339" w:hanging="567"/>
        <w:jc w:val="left"/>
        <w:rPr>
          <w:rFonts w:ascii="Segoe UI" w:hAnsi="Segoe UI" w:cs="Segoe UI" w:eastAsia="Segoe UI"/>
          <w:sz w:val="16"/>
          <w:szCs w:val="16"/>
        </w:rPr>
      </w:pPr>
      <w:r>
        <w:rPr>
          <w:rFonts w:ascii="Segoe UI"/>
          <w:color w:val="231F20"/>
          <w:sz w:val="16"/>
        </w:rPr>
        <w:t>This</w:t>
      </w:r>
      <w:r>
        <w:rPr>
          <w:rFonts w:ascii="Segoe UI"/>
          <w:color w:val="231F20"/>
          <w:spacing w:val="-3"/>
          <w:sz w:val="16"/>
        </w:rPr>
        <w:t> </w:t>
      </w:r>
      <w:r>
        <w:rPr>
          <w:rFonts w:ascii="Segoe UI"/>
          <w:color w:val="231F20"/>
          <w:spacing w:val="-1"/>
          <w:sz w:val="16"/>
        </w:rPr>
        <w:t>measure</w:t>
      </w:r>
      <w:r>
        <w:rPr>
          <w:rFonts w:ascii="Segoe UI"/>
          <w:color w:val="231F20"/>
          <w:spacing w:val="-2"/>
          <w:sz w:val="16"/>
        </w:rPr>
        <w:t> </w:t>
      </w:r>
      <w:r>
        <w:rPr>
          <w:rFonts w:ascii="Segoe UI"/>
          <w:color w:val="231F20"/>
          <w:sz w:val="16"/>
        </w:rPr>
        <w:t>will</w:t>
      </w:r>
      <w:r>
        <w:rPr>
          <w:rFonts w:ascii="Segoe UI"/>
          <w:color w:val="231F20"/>
          <w:spacing w:val="-3"/>
          <w:sz w:val="16"/>
        </w:rPr>
        <w:t> </w:t>
      </w:r>
      <w:r>
        <w:rPr>
          <w:rFonts w:ascii="Segoe UI"/>
          <w:color w:val="231F20"/>
          <w:sz w:val="16"/>
        </w:rPr>
        <w:t>remove</w:t>
      </w:r>
      <w:r>
        <w:rPr>
          <w:rFonts w:ascii="Segoe UI"/>
          <w:color w:val="231F20"/>
          <w:spacing w:val="-3"/>
          <w:sz w:val="16"/>
        </w:rPr>
        <w:t> </w:t>
      </w:r>
      <w:r>
        <w:rPr>
          <w:rFonts w:ascii="Segoe UI"/>
          <w:color w:val="231F20"/>
          <w:sz w:val="16"/>
        </w:rPr>
        <w:t>all</w:t>
      </w:r>
      <w:r>
        <w:rPr>
          <w:rFonts w:ascii="Segoe UI"/>
          <w:color w:val="231F20"/>
          <w:spacing w:val="-3"/>
          <w:sz w:val="16"/>
        </w:rPr>
        <w:t> </w:t>
      </w:r>
      <w:r>
        <w:rPr>
          <w:rFonts w:ascii="Segoe UI"/>
          <w:color w:val="231F20"/>
          <w:sz w:val="16"/>
        </w:rPr>
        <w:t>penalties</w:t>
      </w:r>
      <w:r>
        <w:rPr>
          <w:rFonts w:ascii="Segoe UI"/>
          <w:color w:val="231F20"/>
          <w:spacing w:val="-3"/>
          <w:sz w:val="16"/>
        </w:rPr>
        <w:t> </w:t>
      </w:r>
      <w:r>
        <w:rPr>
          <w:rFonts w:ascii="Segoe UI"/>
          <w:color w:val="231F20"/>
          <w:sz w:val="16"/>
        </w:rPr>
        <w:t>for</w:t>
      </w:r>
      <w:r>
        <w:rPr>
          <w:rFonts w:ascii="Segoe UI"/>
          <w:color w:val="231F20"/>
          <w:spacing w:val="-2"/>
          <w:sz w:val="16"/>
        </w:rPr>
        <w:t> </w:t>
      </w:r>
      <w:r>
        <w:rPr>
          <w:rFonts w:ascii="Segoe UI"/>
          <w:color w:val="231F20"/>
          <w:spacing w:val="-1"/>
          <w:sz w:val="16"/>
        </w:rPr>
        <w:t>missed</w:t>
      </w:r>
      <w:r>
        <w:rPr>
          <w:rFonts w:ascii="Segoe UI"/>
          <w:color w:val="231F20"/>
          <w:spacing w:val="21"/>
          <w:sz w:val="16"/>
        </w:rPr>
        <w:t> </w:t>
      </w:r>
      <w:r>
        <w:rPr>
          <w:rFonts w:ascii="Segoe UI"/>
          <w:color w:val="231F20"/>
          <w:sz w:val="16"/>
        </w:rPr>
        <w:t>travel other than a flat $100 penalty per missed</w:t>
      </w:r>
      <w:r>
        <w:rPr>
          <w:rFonts w:ascii="Segoe UI"/>
          <w:color w:val="231F20"/>
          <w:sz w:val="16"/>
        </w:rPr>
        <w:t> </w:t>
      </w:r>
      <w:r>
        <w:rPr>
          <w:rFonts w:ascii="Segoe UI"/>
          <w:color w:val="231F20"/>
          <w:sz w:val="16"/>
        </w:rPr>
        <w:t>travel.</w:t>
      </w:r>
      <w:r>
        <w:rPr>
          <w:rFonts w:ascii="Segoe UI"/>
          <w:color w:val="231F20"/>
          <w:spacing w:val="-4"/>
          <w:sz w:val="16"/>
        </w:rPr>
        <w:t> </w:t>
      </w:r>
      <w:r>
        <w:rPr>
          <w:rFonts w:ascii="Segoe UI"/>
          <w:color w:val="231F20"/>
          <w:sz w:val="16"/>
        </w:rPr>
        <w:t>The</w:t>
      </w:r>
      <w:r>
        <w:rPr>
          <w:rFonts w:ascii="Segoe UI"/>
          <w:color w:val="231F20"/>
          <w:spacing w:val="-2"/>
          <w:sz w:val="16"/>
        </w:rPr>
        <w:t> </w:t>
      </w:r>
      <w:r>
        <w:rPr>
          <w:rFonts w:ascii="Segoe UI"/>
          <w:color w:val="231F20"/>
          <w:sz w:val="16"/>
        </w:rPr>
        <w:t>actual</w:t>
      </w:r>
      <w:r>
        <w:rPr>
          <w:rFonts w:ascii="Segoe UI"/>
          <w:color w:val="231F20"/>
          <w:spacing w:val="-3"/>
          <w:sz w:val="16"/>
        </w:rPr>
        <w:t> </w:t>
      </w:r>
      <w:r>
        <w:rPr>
          <w:rFonts w:ascii="Segoe UI"/>
          <w:color w:val="231F20"/>
          <w:sz w:val="16"/>
        </w:rPr>
        <w:t>cost</w:t>
      </w:r>
      <w:r>
        <w:rPr>
          <w:rFonts w:ascii="Segoe UI"/>
          <w:color w:val="231F20"/>
          <w:spacing w:val="-4"/>
          <w:sz w:val="16"/>
        </w:rPr>
        <w:t> </w:t>
      </w:r>
      <w:r>
        <w:rPr>
          <w:rFonts w:ascii="Segoe UI"/>
          <w:color w:val="231F20"/>
          <w:sz w:val="16"/>
        </w:rPr>
        <w:t>of</w:t>
      </w:r>
      <w:r>
        <w:rPr>
          <w:rFonts w:ascii="Segoe UI"/>
          <w:color w:val="231F20"/>
          <w:spacing w:val="-2"/>
          <w:sz w:val="16"/>
        </w:rPr>
        <w:t> </w:t>
      </w:r>
      <w:r>
        <w:rPr>
          <w:rFonts w:ascii="Segoe UI"/>
          <w:color w:val="231F20"/>
          <w:spacing w:val="-1"/>
          <w:sz w:val="16"/>
        </w:rPr>
        <w:t>missed</w:t>
      </w:r>
      <w:r>
        <w:rPr>
          <w:rFonts w:ascii="Segoe UI"/>
          <w:color w:val="231F20"/>
          <w:spacing w:val="-2"/>
          <w:sz w:val="16"/>
        </w:rPr>
        <w:t> </w:t>
      </w:r>
      <w:r>
        <w:rPr>
          <w:rFonts w:ascii="Segoe UI"/>
          <w:color w:val="231F20"/>
          <w:sz w:val="16"/>
        </w:rPr>
        <w:t>travel</w:t>
      </w:r>
      <w:r>
        <w:rPr>
          <w:rFonts w:ascii="Segoe UI"/>
          <w:color w:val="231F20"/>
          <w:spacing w:val="-3"/>
          <w:sz w:val="16"/>
        </w:rPr>
        <w:t> </w:t>
      </w:r>
      <w:r>
        <w:rPr>
          <w:rFonts w:ascii="Segoe UI"/>
          <w:color w:val="231F20"/>
          <w:sz w:val="16"/>
        </w:rPr>
        <w:t>will</w:t>
      </w:r>
      <w:r>
        <w:rPr>
          <w:rFonts w:ascii="Segoe UI"/>
          <w:color w:val="231F20"/>
          <w:spacing w:val="-4"/>
          <w:sz w:val="16"/>
        </w:rPr>
        <w:t> </w:t>
      </w:r>
      <w:r>
        <w:rPr>
          <w:rFonts w:ascii="Segoe UI"/>
          <w:color w:val="231F20"/>
          <w:sz w:val="16"/>
        </w:rPr>
        <w:t>no</w:t>
      </w:r>
      <w:r>
        <w:rPr>
          <w:rFonts w:ascii="Segoe UI"/>
          <w:color w:val="231F20"/>
          <w:spacing w:val="21"/>
          <w:w w:val="99"/>
          <w:sz w:val="16"/>
        </w:rPr>
        <w:t> </w:t>
      </w:r>
      <w:r>
        <w:rPr>
          <w:rFonts w:ascii="Segoe UI"/>
          <w:color w:val="231F20"/>
          <w:spacing w:val="-1"/>
          <w:sz w:val="16"/>
        </w:rPr>
        <w:t>longer</w:t>
      </w:r>
      <w:r>
        <w:rPr>
          <w:rFonts w:ascii="Segoe UI"/>
          <w:color w:val="231F20"/>
          <w:spacing w:val="-4"/>
          <w:sz w:val="16"/>
        </w:rPr>
        <w:t> </w:t>
      </w:r>
      <w:r>
        <w:rPr>
          <w:rFonts w:ascii="Segoe UI"/>
          <w:color w:val="231F20"/>
          <w:sz w:val="16"/>
        </w:rPr>
        <w:t>be</w:t>
      </w:r>
      <w:r>
        <w:rPr>
          <w:rFonts w:ascii="Segoe UI"/>
          <w:color w:val="231F20"/>
          <w:spacing w:val="-4"/>
          <w:sz w:val="16"/>
        </w:rPr>
        <w:t> </w:t>
      </w:r>
      <w:r>
        <w:rPr>
          <w:rFonts w:ascii="Segoe UI"/>
          <w:color w:val="231F20"/>
          <w:sz w:val="16"/>
        </w:rPr>
        <w:t>charged</w:t>
      </w:r>
      <w:r>
        <w:rPr>
          <w:rFonts w:ascii="Segoe UI"/>
          <w:color w:val="231F20"/>
          <w:spacing w:val="-4"/>
          <w:sz w:val="16"/>
        </w:rPr>
        <w:t> </w:t>
      </w:r>
      <w:r>
        <w:rPr>
          <w:rFonts w:ascii="Segoe UI"/>
          <w:color w:val="231F20"/>
          <w:sz w:val="16"/>
        </w:rPr>
        <w:t>to</w:t>
      </w:r>
      <w:r>
        <w:rPr>
          <w:rFonts w:ascii="Segoe UI"/>
          <w:color w:val="231F20"/>
          <w:spacing w:val="-4"/>
          <w:sz w:val="16"/>
        </w:rPr>
        <w:t> </w:t>
      </w:r>
      <w:r>
        <w:rPr>
          <w:rFonts w:ascii="Segoe UI"/>
          <w:color w:val="231F20"/>
          <w:sz w:val="16"/>
        </w:rPr>
        <w:t>parents</w:t>
      </w:r>
      <w:r>
        <w:rPr>
          <w:rFonts w:ascii="Segoe UI"/>
          <w:color w:val="231F20"/>
          <w:spacing w:val="-5"/>
          <w:sz w:val="16"/>
        </w:rPr>
        <w:t> </w:t>
      </w:r>
      <w:r>
        <w:rPr>
          <w:rFonts w:ascii="Segoe UI"/>
          <w:color w:val="231F20"/>
          <w:sz w:val="16"/>
        </w:rPr>
        <w:t>or</w:t>
      </w:r>
      <w:r>
        <w:rPr>
          <w:rFonts w:ascii="Segoe UI"/>
          <w:color w:val="231F20"/>
          <w:spacing w:val="-4"/>
          <w:sz w:val="16"/>
        </w:rPr>
        <w:t> </w:t>
      </w:r>
      <w:r>
        <w:rPr>
          <w:rFonts w:ascii="Segoe UI"/>
          <w:color w:val="231F20"/>
          <w:sz w:val="16"/>
        </w:rPr>
        <w:t>carers</w:t>
      </w:r>
      <w:r>
        <w:rPr>
          <w:rFonts w:ascii="Segoe UI"/>
          <w:color w:val="231F20"/>
          <w:spacing w:val="-5"/>
          <w:sz w:val="16"/>
        </w:rPr>
        <w:t> </w:t>
      </w:r>
      <w:r>
        <w:rPr>
          <w:rFonts w:ascii="Segoe UI"/>
          <w:color w:val="231F20"/>
          <w:sz w:val="16"/>
        </w:rPr>
        <w:t>after</w:t>
      </w:r>
      <w:r>
        <w:rPr>
          <w:rFonts w:ascii="Segoe UI"/>
          <w:sz w:val="16"/>
        </w:rPr>
      </w:r>
    </w:p>
    <w:p>
      <w:pPr>
        <w:spacing w:line="200" w:lineRule="exact" w:before="0"/>
        <w:ind w:left="667" w:right="155" w:firstLine="0"/>
        <w:jc w:val="left"/>
        <w:rPr>
          <w:rFonts w:ascii="Segoe UI" w:hAnsi="Segoe UI" w:cs="Segoe UI" w:eastAsia="Segoe UI"/>
          <w:sz w:val="16"/>
          <w:szCs w:val="16"/>
        </w:rPr>
      </w:pPr>
      <w:r>
        <w:rPr>
          <w:rFonts w:ascii="Segoe UI"/>
          <w:color w:val="231F20"/>
          <w:sz w:val="16"/>
        </w:rPr>
        <w:t>two</w:t>
      </w:r>
      <w:r>
        <w:rPr>
          <w:rFonts w:ascii="Segoe UI"/>
          <w:color w:val="231F20"/>
          <w:spacing w:val="-5"/>
          <w:sz w:val="16"/>
        </w:rPr>
        <w:t> </w:t>
      </w:r>
      <w:r>
        <w:rPr>
          <w:rFonts w:ascii="Segoe UI"/>
          <w:color w:val="231F20"/>
          <w:spacing w:val="-1"/>
          <w:sz w:val="16"/>
        </w:rPr>
        <w:t>missed</w:t>
      </w:r>
      <w:r>
        <w:rPr>
          <w:rFonts w:ascii="Segoe UI"/>
          <w:color w:val="231F20"/>
          <w:spacing w:val="-4"/>
          <w:sz w:val="16"/>
        </w:rPr>
        <w:t> </w:t>
      </w:r>
      <w:r>
        <w:rPr>
          <w:rFonts w:ascii="Segoe UI"/>
          <w:color w:val="231F20"/>
          <w:sz w:val="16"/>
        </w:rPr>
        <w:t>travel</w:t>
      </w:r>
      <w:r>
        <w:rPr>
          <w:rFonts w:ascii="Segoe UI"/>
          <w:color w:val="231F20"/>
          <w:spacing w:val="-5"/>
          <w:sz w:val="16"/>
        </w:rPr>
        <w:t> </w:t>
      </w:r>
      <w:r>
        <w:rPr>
          <w:rFonts w:ascii="Segoe UI"/>
          <w:color w:val="231F20"/>
          <w:sz w:val="16"/>
        </w:rPr>
        <w:t>arrangements</w:t>
      </w:r>
      <w:r>
        <w:rPr>
          <w:rFonts w:ascii="Segoe UI"/>
          <w:color w:val="231F20"/>
          <w:spacing w:val="-5"/>
          <w:sz w:val="16"/>
        </w:rPr>
        <w:t> </w:t>
      </w:r>
      <w:r>
        <w:rPr>
          <w:rFonts w:ascii="Segoe UI"/>
          <w:color w:val="231F20"/>
          <w:sz w:val="16"/>
        </w:rPr>
        <w:t>to</w:t>
      </w:r>
      <w:r>
        <w:rPr>
          <w:rFonts w:ascii="Segoe UI"/>
          <w:color w:val="231F20"/>
          <w:spacing w:val="-5"/>
          <w:sz w:val="16"/>
        </w:rPr>
        <w:t> </w:t>
      </w:r>
      <w:r>
        <w:rPr>
          <w:rFonts w:ascii="Segoe UI"/>
          <w:color w:val="231F20"/>
          <w:sz w:val="16"/>
        </w:rPr>
        <w:t>remove</w:t>
      </w:r>
      <w:r>
        <w:rPr>
          <w:rFonts w:ascii="Segoe UI"/>
          <w:color w:val="231F20"/>
          <w:spacing w:val="-5"/>
          <w:sz w:val="16"/>
        </w:rPr>
        <w:t> </w:t>
      </w:r>
      <w:r>
        <w:rPr>
          <w:rFonts w:ascii="Segoe UI"/>
          <w:color w:val="231F20"/>
          <w:sz w:val="16"/>
        </w:rPr>
        <w:t>the</w:t>
      </w:r>
      <w:r>
        <w:rPr>
          <w:rFonts w:ascii="Segoe UI"/>
          <w:color w:val="231F20"/>
          <w:spacing w:val="21"/>
          <w:w w:val="99"/>
          <w:sz w:val="16"/>
        </w:rPr>
        <w:t> </w:t>
      </w:r>
      <w:r>
        <w:rPr>
          <w:rFonts w:ascii="Segoe UI"/>
          <w:color w:val="231F20"/>
          <w:sz w:val="16"/>
        </w:rPr>
        <w:t>disincentive</w:t>
      </w:r>
      <w:r>
        <w:rPr>
          <w:rFonts w:ascii="Segoe UI"/>
          <w:color w:val="231F20"/>
          <w:spacing w:val="-5"/>
          <w:sz w:val="16"/>
        </w:rPr>
        <w:t> </w:t>
      </w:r>
      <w:r>
        <w:rPr>
          <w:rFonts w:ascii="Segoe UI"/>
          <w:color w:val="231F20"/>
          <w:sz w:val="16"/>
        </w:rPr>
        <w:t>for</w:t>
      </w:r>
      <w:r>
        <w:rPr>
          <w:rFonts w:ascii="Segoe UI"/>
          <w:color w:val="231F20"/>
          <w:spacing w:val="-3"/>
          <w:sz w:val="16"/>
        </w:rPr>
        <w:t> </w:t>
      </w:r>
      <w:r>
        <w:rPr>
          <w:rFonts w:ascii="Segoe UI"/>
          <w:color w:val="231F20"/>
          <w:sz w:val="16"/>
        </w:rPr>
        <w:t>parents</w:t>
      </w:r>
      <w:r>
        <w:rPr>
          <w:rFonts w:ascii="Segoe UI"/>
          <w:color w:val="231F20"/>
          <w:spacing w:val="-4"/>
          <w:sz w:val="16"/>
        </w:rPr>
        <w:t> </w:t>
      </w:r>
      <w:r>
        <w:rPr>
          <w:rFonts w:ascii="Segoe UI"/>
          <w:color w:val="231F20"/>
          <w:sz w:val="16"/>
        </w:rPr>
        <w:t>and</w:t>
      </w:r>
      <w:r>
        <w:rPr>
          <w:rFonts w:ascii="Segoe UI"/>
          <w:color w:val="231F20"/>
          <w:spacing w:val="-5"/>
          <w:sz w:val="16"/>
        </w:rPr>
        <w:t> </w:t>
      </w:r>
      <w:r>
        <w:rPr>
          <w:rFonts w:ascii="Segoe UI"/>
          <w:color w:val="231F20"/>
          <w:sz w:val="16"/>
        </w:rPr>
        <w:t>carers</w:t>
      </w:r>
      <w:r>
        <w:rPr>
          <w:rFonts w:ascii="Segoe UI"/>
          <w:color w:val="231F20"/>
          <w:spacing w:val="-4"/>
          <w:sz w:val="16"/>
        </w:rPr>
        <w:t> </w:t>
      </w:r>
      <w:r>
        <w:rPr>
          <w:rFonts w:ascii="Segoe UI"/>
          <w:color w:val="231F20"/>
          <w:sz w:val="16"/>
        </w:rPr>
        <w:t>to</w:t>
      </w:r>
      <w:r>
        <w:rPr>
          <w:rFonts w:ascii="Segoe UI"/>
          <w:color w:val="231F20"/>
          <w:spacing w:val="-3"/>
          <w:sz w:val="16"/>
        </w:rPr>
        <w:t> </w:t>
      </w:r>
      <w:r>
        <w:rPr>
          <w:rFonts w:ascii="Segoe UI"/>
          <w:color w:val="231F20"/>
          <w:sz w:val="16"/>
        </w:rPr>
        <w:t>return</w:t>
      </w:r>
      <w:r>
        <w:rPr>
          <w:rFonts w:ascii="Segoe UI"/>
          <w:color w:val="231F20"/>
          <w:w w:val="99"/>
          <w:sz w:val="16"/>
        </w:rPr>
        <w:t> </w:t>
      </w:r>
      <w:r>
        <w:rPr>
          <w:rFonts w:ascii="Segoe UI"/>
          <w:color w:val="231F20"/>
          <w:spacing w:val="-1"/>
          <w:sz w:val="16"/>
        </w:rPr>
        <w:t>students</w:t>
      </w:r>
      <w:r>
        <w:rPr>
          <w:rFonts w:ascii="Segoe UI"/>
          <w:color w:val="231F20"/>
          <w:spacing w:val="-4"/>
          <w:sz w:val="16"/>
        </w:rPr>
        <w:t> </w:t>
      </w:r>
      <w:r>
        <w:rPr>
          <w:rFonts w:ascii="Segoe UI"/>
          <w:color w:val="231F20"/>
          <w:sz w:val="16"/>
        </w:rPr>
        <w:t>to</w:t>
      </w:r>
      <w:r>
        <w:rPr>
          <w:rFonts w:ascii="Segoe UI"/>
          <w:color w:val="231F20"/>
          <w:spacing w:val="-3"/>
          <w:sz w:val="16"/>
        </w:rPr>
        <w:t> </w:t>
      </w:r>
      <w:r>
        <w:rPr>
          <w:rFonts w:ascii="Segoe UI"/>
          <w:color w:val="231F20"/>
          <w:sz w:val="16"/>
        </w:rPr>
        <w:t>boarding</w:t>
      </w:r>
      <w:r>
        <w:rPr>
          <w:rFonts w:ascii="Segoe UI"/>
          <w:color w:val="231F20"/>
          <w:spacing w:val="-4"/>
          <w:sz w:val="16"/>
        </w:rPr>
        <w:t> </w:t>
      </w:r>
      <w:r>
        <w:rPr>
          <w:rFonts w:ascii="Segoe UI"/>
          <w:color w:val="231F20"/>
          <w:sz w:val="16"/>
        </w:rPr>
        <w:t>after</w:t>
      </w:r>
      <w:r>
        <w:rPr>
          <w:rFonts w:ascii="Segoe UI"/>
          <w:color w:val="231F20"/>
          <w:spacing w:val="-4"/>
          <w:sz w:val="16"/>
        </w:rPr>
        <w:t> </w:t>
      </w:r>
      <w:r>
        <w:rPr>
          <w:rFonts w:ascii="Segoe UI"/>
          <w:color w:val="231F20"/>
          <w:spacing w:val="-1"/>
          <w:sz w:val="16"/>
        </w:rPr>
        <w:t>missed</w:t>
      </w:r>
      <w:r>
        <w:rPr>
          <w:rFonts w:ascii="Segoe UI"/>
          <w:color w:val="231F20"/>
          <w:spacing w:val="-3"/>
          <w:sz w:val="16"/>
        </w:rPr>
        <w:t> </w:t>
      </w:r>
      <w:r>
        <w:rPr>
          <w:rFonts w:ascii="Segoe UI"/>
          <w:color w:val="231F20"/>
          <w:sz w:val="16"/>
        </w:rPr>
        <w:t>travel</w:t>
      </w:r>
      <w:r>
        <w:rPr>
          <w:rFonts w:ascii="Segoe UI"/>
          <w:sz w:val="16"/>
        </w:rPr>
      </w:r>
    </w:p>
    <w:p>
      <w:pPr>
        <w:numPr>
          <w:ilvl w:val="0"/>
          <w:numId w:val="13"/>
        </w:numPr>
        <w:tabs>
          <w:tab w:pos="668" w:val="left" w:leader="none"/>
        </w:tabs>
        <w:spacing w:line="200" w:lineRule="exact" w:before="113"/>
        <w:ind w:left="667" w:right="384" w:hanging="567"/>
        <w:jc w:val="left"/>
        <w:rPr>
          <w:rFonts w:ascii="Segoe UI" w:hAnsi="Segoe UI" w:cs="Segoe UI" w:eastAsia="Segoe UI"/>
          <w:sz w:val="16"/>
          <w:szCs w:val="16"/>
        </w:rPr>
      </w:pPr>
      <w:r>
        <w:rPr>
          <w:rFonts w:ascii="Segoe UI"/>
          <w:color w:val="231F20"/>
          <w:spacing w:val="-1"/>
          <w:sz w:val="16"/>
        </w:rPr>
        <w:t>Department</w:t>
      </w:r>
      <w:r>
        <w:rPr>
          <w:rFonts w:ascii="Segoe UI"/>
          <w:color w:val="231F20"/>
          <w:spacing w:val="-5"/>
          <w:sz w:val="16"/>
        </w:rPr>
        <w:t> </w:t>
      </w:r>
      <w:r>
        <w:rPr>
          <w:rFonts w:ascii="Segoe UI"/>
          <w:color w:val="231F20"/>
          <w:sz w:val="16"/>
        </w:rPr>
        <w:t>of</w:t>
      </w:r>
      <w:r>
        <w:rPr>
          <w:rFonts w:ascii="Segoe UI"/>
          <w:color w:val="231F20"/>
          <w:spacing w:val="-4"/>
          <w:sz w:val="16"/>
        </w:rPr>
        <w:t> </w:t>
      </w:r>
      <w:r>
        <w:rPr>
          <w:rFonts w:ascii="Segoe UI"/>
          <w:color w:val="231F20"/>
          <w:spacing w:val="-1"/>
          <w:sz w:val="16"/>
        </w:rPr>
        <w:t>Social</w:t>
      </w:r>
      <w:r>
        <w:rPr>
          <w:rFonts w:ascii="Segoe UI"/>
          <w:color w:val="231F20"/>
          <w:spacing w:val="-5"/>
          <w:sz w:val="16"/>
        </w:rPr>
        <w:t> </w:t>
      </w:r>
      <w:r>
        <w:rPr>
          <w:rFonts w:ascii="Segoe UI"/>
          <w:color w:val="231F20"/>
          <w:spacing w:val="-1"/>
          <w:sz w:val="16"/>
        </w:rPr>
        <w:t>Services</w:t>
      </w:r>
      <w:r>
        <w:rPr>
          <w:rFonts w:ascii="Segoe UI"/>
          <w:color w:val="231F20"/>
          <w:spacing w:val="-5"/>
          <w:sz w:val="16"/>
        </w:rPr>
        <w:t> </w:t>
      </w:r>
      <w:r>
        <w:rPr>
          <w:rFonts w:ascii="Segoe UI"/>
          <w:color w:val="231F20"/>
          <w:sz w:val="16"/>
        </w:rPr>
        <w:t>factsheet,</w:t>
      </w:r>
      <w:r>
        <w:rPr>
          <w:rFonts w:ascii="Segoe UI"/>
          <w:color w:val="231F20"/>
          <w:spacing w:val="-4"/>
          <w:sz w:val="16"/>
        </w:rPr>
        <w:t> </w:t>
      </w:r>
      <w:r>
        <w:rPr>
          <w:rFonts w:ascii="Segoe UI"/>
          <w:i/>
          <w:color w:val="231F20"/>
          <w:spacing w:val="-1"/>
          <w:sz w:val="16"/>
        </w:rPr>
        <w:t>Student</w:t>
      </w:r>
      <w:r>
        <w:rPr>
          <w:rFonts w:ascii="Segoe UI"/>
          <w:i/>
          <w:color w:val="231F20"/>
          <w:spacing w:val="25"/>
          <w:sz w:val="16"/>
        </w:rPr>
        <w:t> </w:t>
      </w:r>
      <w:r>
        <w:rPr>
          <w:rFonts w:ascii="Segoe UI"/>
          <w:i/>
          <w:color w:val="231F20"/>
          <w:sz w:val="16"/>
        </w:rPr>
        <w:t>measures</w:t>
      </w:r>
      <w:r>
        <w:rPr>
          <w:rFonts w:ascii="Segoe UI"/>
          <w:i/>
          <w:color w:val="231F20"/>
          <w:spacing w:val="-6"/>
          <w:sz w:val="16"/>
        </w:rPr>
        <w:t> </w:t>
      </w:r>
      <w:r>
        <w:rPr>
          <w:rFonts w:ascii="Segoe UI"/>
          <w:i/>
          <w:color w:val="231F20"/>
          <w:spacing w:val="-1"/>
          <w:sz w:val="16"/>
        </w:rPr>
        <w:t>2018</w:t>
      </w:r>
      <w:r>
        <w:rPr>
          <w:rFonts w:ascii="Segoe UI"/>
          <w:i/>
          <w:color w:val="231F20"/>
          <w:spacing w:val="-4"/>
          <w:sz w:val="16"/>
        </w:rPr>
        <w:t> </w:t>
      </w:r>
      <w:r>
        <w:rPr>
          <w:rFonts w:ascii="Segoe UI"/>
          <w:i/>
          <w:color w:val="231F20"/>
          <w:spacing w:val="-1"/>
          <w:sz w:val="16"/>
        </w:rPr>
        <w:t>Budget,</w:t>
      </w:r>
      <w:r>
        <w:rPr>
          <w:rFonts w:ascii="Segoe UI"/>
          <w:i/>
          <w:color w:val="231F20"/>
          <w:spacing w:val="-5"/>
          <w:sz w:val="16"/>
        </w:rPr>
        <w:t> </w:t>
      </w:r>
      <w:r>
        <w:rPr>
          <w:rFonts w:ascii="Segoe UI"/>
          <w:i/>
          <w:color w:val="231F20"/>
          <w:sz w:val="16"/>
        </w:rPr>
        <w:t>2018</w:t>
      </w:r>
      <w:r>
        <w:rPr>
          <w:rFonts w:ascii="Segoe UI"/>
          <w:color w:val="231F20"/>
          <w:sz w:val="16"/>
        </w:rPr>
        <w:t>,</w:t>
      </w:r>
      <w:r>
        <w:rPr>
          <w:rFonts w:ascii="Segoe UI"/>
          <w:color w:val="231F20"/>
          <w:spacing w:val="-5"/>
          <w:sz w:val="16"/>
        </w:rPr>
        <w:t> </w:t>
      </w:r>
      <w:hyperlink r:id="rId108">
        <w:r>
          <w:rPr>
            <w:rFonts w:ascii="Segoe UI"/>
            <w:color w:val="231F20"/>
            <w:sz w:val="16"/>
          </w:rPr>
          <w:t>www.dss.gov.au</w:t>
        </w:r>
        <w:r>
          <w:rPr>
            <w:rFonts w:ascii="Segoe UI"/>
            <w:sz w:val="16"/>
          </w:rPr>
        </w:r>
      </w:hyperlink>
    </w:p>
    <w:p>
      <w:pPr>
        <w:numPr>
          <w:ilvl w:val="0"/>
          <w:numId w:val="13"/>
        </w:numPr>
        <w:tabs>
          <w:tab w:pos="668" w:val="left" w:leader="none"/>
        </w:tabs>
        <w:spacing w:before="100"/>
        <w:ind w:left="667" w:right="0" w:hanging="567"/>
        <w:jc w:val="left"/>
        <w:rPr>
          <w:rFonts w:ascii="Segoe UI" w:hAnsi="Segoe UI" w:cs="Segoe UI" w:eastAsia="Segoe UI"/>
          <w:sz w:val="16"/>
          <w:szCs w:val="16"/>
        </w:rPr>
      </w:pPr>
      <w:r>
        <w:rPr>
          <w:rFonts w:ascii="Segoe UI"/>
          <w:color w:val="231F20"/>
          <w:spacing w:val="-1"/>
          <w:sz w:val="16"/>
        </w:rPr>
        <w:t>Refer</w:t>
      </w:r>
      <w:r>
        <w:rPr>
          <w:rFonts w:ascii="Segoe UI"/>
          <w:color w:val="231F20"/>
          <w:spacing w:val="-4"/>
          <w:sz w:val="16"/>
        </w:rPr>
        <w:t> </w:t>
      </w:r>
      <w:r>
        <w:rPr>
          <w:rFonts w:ascii="Segoe UI"/>
          <w:color w:val="231F20"/>
          <w:sz w:val="16"/>
        </w:rPr>
        <w:t>to</w:t>
      </w:r>
      <w:r>
        <w:rPr>
          <w:rFonts w:ascii="Segoe UI"/>
          <w:color w:val="231F20"/>
          <w:spacing w:val="-3"/>
          <w:sz w:val="16"/>
        </w:rPr>
        <w:t> </w:t>
      </w:r>
      <w:r>
        <w:rPr>
          <w:rFonts w:ascii="Segoe UI"/>
          <w:color w:val="231F20"/>
          <w:sz w:val="16"/>
        </w:rPr>
        <w:t>page</w:t>
      </w:r>
      <w:r>
        <w:rPr>
          <w:rFonts w:ascii="Segoe UI"/>
          <w:color w:val="231F20"/>
          <w:spacing w:val="-5"/>
          <w:sz w:val="16"/>
        </w:rPr>
        <w:t> </w:t>
      </w:r>
      <w:r>
        <w:rPr>
          <w:rFonts w:ascii="Segoe UI"/>
          <w:color w:val="231F20"/>
          <w:spacing w:val="-1"/>
          <w:sz w:val="16"/>
        </w:rPr>
        <w:t>52</w:t>
      </w:r>
      <w:r>
        <w:rPr>
          <w:rFonts w:ascii="Segoe UI"/>
          <w:color w:val="231F20"/>
          <w:spacing w:val="-3"/>
          <w:sz w:val="16"/>
        </w:rPr>
        <w:t> </w:t>
      </w:r>
      <w:r>
        <w:rPr>
          <w:rFonts w:ascii="Segoe UI"/>
          <w:color w:val="231F20"/>
          <w:sz w:val="16"/>
        </w:rPr>
        <w:t>for</w:t>
      </w:r>
      <w:r>
        <w:rPr>
          <w:rFonts w:ascii="Segoe UI"/>
          <w:color w:val="231F20"/>
          <w:spacing w:val="-3"/>
          <w:sz w:val="16"/>
        </w:rPr>
        <w:t> </w:t>
      </w:r>
      <w:r>
        <w:rPr>
          <w:rFonts w:ascii="Segoe UI"/>
          <w:color w:val="231F20"/>
          <w:spacing w:val="-1"/>
          <w:sz w:val="16"/>
        </w:rPr>
        <w:t>more</w:t>
      </w:r>
      <w:r>
        <w:rPr>
          <w:rFonts w:ascii="Segoe UI"/>
          <w:color w:val="231F20"/>
          <w:spacing w:val="-4"/>
          <w:sz w:val="16"/>
        </w:rPr>
        <w:t> </w:t>
      </w:r>
      <w:r>
        <w:rPr>
          <w:rFonts w:ascii="Segoe UI"/>
          <w:color w:val="231F20"/>
          <w:spacing w:val="-1"/>
          <w:sz w:val="16"/>
        </w:rPr>
        <w:t>information</w:t>
      </w:r>
      <w:r>
        <w:rPr>
          <w:rFonts w:ascii="Segoe UI"/>
          <w:sz w:val="16"/>
        </w:rPr>
      </w:r>
    </w:p>
    <w:p>
      <w:pPr>
        <w:numPr>
          <w:ilvl w:val="0"/>
          <w:numId w:val="13"/>
        </w:numPr>
        <w:tabs>
          <w:tab w:pos="668" w:val="left" w:leader="none"/>
        </w:tabs>
        <w:spacing w:line="200" w:lineRule="exact" w:before="113"/>
        <w:ind w:left="667" w:right="324" w:hanging="567"/>
        <w:jc w:val="left"/>
        <w:rPr>
          <w:rFonts w:ascii="Segoe UI" w:hAnsi="Segoe UI" w:cs="Segoe UI" w:eastAsia="Segoe UI"/>
          <w:sz w:val="16"/>
          <w:szCs w:val="16"/>
        </w:rPr>
      </w:pPr>
      <w:r>
        <w:rPr>
          <w:rFonts w:ascii="Segoe UI" w:hAnsi="Segoe UI" w:cs="Segoe UI" w:eastAsia="Segoe UI"/>
          <w:i/>
          <w:color w:val="231F20"/>
          <w:sz w:val="16"/>
          <w:szCs w:val="16"/>
        </w:rPr>
        <w:t>Fast</w:t>
      </w:r>
      <w:r>
        <w:rPr>
          <w:rFonts w:ascii="Segoe UI" w:hAnsi="Segoe UI" w:cs="Segoe UI" w:eastAsia="Segoe UI"/>
          <w:i/>
          <w:color w:val="231F20"/>
          <w:spacing w:val="-4"/>
          <w:sz w:val="16"/>
          <w:szCs w:val="16"/>
        </w:rPr>
        <w:t> </w:t>
      </w:r>
      <w:r>
        <w:rPr>
          <w:rFonts w:ascii="Segoe UI" w:hAnsi="Segoe UI" w:cs="Segoe UI" w:eastAsia="Segoe UI"/>
          <w:i/>
          <w:color w:val="231F20"/>
          <w:sz w:val="16"/>
          <w:szCs w:val="16"/>
        </w:rPr>
        <w:t>Facts</w:t>
      </w:r>
      <w:r>
        <w:rPr>
          <w:rFonts w:ascii="Segoe UI" w:hAnsi="Segoe UI" w:cs="Segoe UI" w:eastAsia="Segoe UI"/>
          <w:i/>
          <w:color w:val="231F20"/>
          <w:spacing w:val="-4"/>
          <w:sz w:val="16"/>
          <w:szCs w:val="16"/>
        </w:rPr>
        <w:t> </w:t>
      </w:r>
      <w:r>
        <w:rPr>
          <w:rFonts w:ascii="Segoe UI" w:hAnsi="Segoe UI" w:cs="Segoe UI" w:eastAsia="Segoe UI"/>
          <w:i/>
          <w:color w:val="231F20"/>
          <w:sz w:val="16"/>
          <w:szCs w:val="16"/>
        </w:rPr>
        <w:t>–</w:t>
      </w:r>
      <w:r>
        <w:rPr>
          <w:rFonts w:ascii="Segoe UI" w:hAnsi="Segoe UI" w:cs="Segoe UI" w:eastAsia="Segoe UI"/>
          <w:i/>
          <w:color w:val="231F20"/>
          <w:spacing w:val="-2"/>
          <w:sz w:val="16"/>
          <w:szCs w:val="16"/>
        </w:rPr>
        <w:t> Transition</w:t>
      </w:r>
      <w:r>
        <w:rPr>
          <w:rFonts w:ascii="Segoe UI" w:hAnsi="Segoe UI" w:cs="Segoe UI" w:eastAsia="Segoe UI"/>
          <w:i/>
          <w:color w:val="231F20"/>
          <w:spacing w:val="-3"/>
          <w:sz w:val="16"/>
          <w:szCs w:val="16"/>
        </w:rPr>
        <w:t> </w:t>
      </w:r>
      <w:r>
        <w:rPr>
          <w:rFonts w:ascii="Segoe UI" w:hAnsi="Segoe UI" w:cs="Segoe UI" w:eastAsia="Segoe UI"/>
          <w:i/>
          <w:color w:val="231F20"/>
          <w:sz w:val="16"/>
          <w:szCs w:val="16"/>
        </w:rPr>
        <w:t>Support</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Services</w:t>
      </w:r>
      <w:r>
        <w:rPr>
          <w:rFonts w:ascii="Segoe UI" w:hAnsi="Segoe UI" w:cs="Segoe UI" w:eastAsia="Segoe UI"/>
          <w:color w:val="231F20"/>
          <w:spacing w:val="-1"/>
          <w:sz w:val="16"/>
          <w:szCs w:val="16"/>
        </w:rPr>
        <w:t>,</w:t>
      </w:r>
      <w:r>
        <w:rPr>
          <w:rFonts w:ascii="Segoe UI" w:hAnsi="Segoe UI" w:cs="Segoe UI" w:eastAsia="Segoe UI"/>
          <w:color w:val="231F20"/>
          <w:spacing w:val="-2"/>
          <w:sz w:val="16"/>
          <w:szCs w:val="16"/>
        </w:rPr>
        <w:t> Transition</w:t>
      </w:r>
      <w:r>
        <w:rPr>
          <w:rFonts w:ascii="Segoe UI" w:hAnsi="Segoe UI" w:cs="Segoe UI" w:eastAsia="Segoe UI"/>
          <w:color w:val="231F20"/>
          <w:spacing w:val="53"/>
          <w:w w:val="99"/>
          <w:sz w:val="16"/>
          <w:szCs w:val="16"/>
        </w:rPr>
        <w:t> </w:t>
      </w:r>
      <w:r>
        <w:rPr>
          <w:rFonts w:ascii="Segoe UI" w:hAnsi="Segoe UI" w:cs="Segoe UI" w:eastAsia="Segoe UI"/>
          <w:color w:val="231F20"/>
          <w:spacing w:val="-1"/>
          <w:sz w:val="16"/>
          <w:szCs w:val="16"/>
        </w:rPr>
        <w:t>Support</w:t>
      </w:r>
      <w:r>
        <w:rPr>
          <w:rFonts w:ascii="Segoe UI" w:hAnsi="Segoe UI" w:cs="Segoe UI" w:eastAsia="Segoe UI"/>
          <w:color w:val="231F20"/>
          <w:spacing w:val="-6"/>
          <w:sz w:val="16"/>
          <w:szCs w:val="16"/>
        </w:rPr>
        <w:t> </w:t>
      </w:r>
      <w:r>
        <w:rPr>
          <w:rFonts w:ascii="Segoe UI" w:hAnsi="Segoe UI" w:cs="Segoe UI" w:eastAsia="Segoe UI"/>
          <w:color w:val="231F20"/>
          <w:spacing w:val="-1"/>
          <w:sz w:val="16"/>
          <w:szCs w:val="16"/>
        </w:rPr>
        <w:t>Services</w:t>
      </w:r>
      <w:r>
        <w:rPr>
          <w:rFonts w:ascii="Segoe UI" w:hAnsi="Segoe UI" w:cs="Segoe UI" w:eastAsia="Segoe UI"/>
          <w:sz w:val="16"/>
          <w:szCs w:val="16"/>
        </w:rPr>
      </w:r>
    </w:p>
    <w:p>
      <w:pPr>
        <w:numPr>
          <w:ilvl w:val="0"/>
          <w:numId w:val="13"/>
        </w:numPr>
        <w:tabs>
          <w:tab w:pos="668" w:val="left" w:leader="none"/>
        </w:tabs>
        <w:spacing w:line="200" w:lineRule="exact" w:before="113"/>
        <w:ind w:left="667" w:right="560" w:hanging="567"/>
        <w:jc w:val="left"/>
        <w:rPr>
          <w:rFonts w:ascii="Segoe UI" w:hAnsi="Segoe UI" w:cs="Segoe UI" w:eastAsia="Segoe UI"/>
          <w:sz w:val="16"/>
          <w:szCs w:val="16"/>
        </w:rPr>
      </w:pPr>
      <w:r>
        <w:rPr>
          <w:rFonts w:ascii="Segoe UI"/>
          <w:i/>
          <w:color w:val="231F20"/>
          <w:spacing w:val="-1"/>
          <w:sz w:val="16"/>
        </w:rPr>
        <w:t>2017</w:t>
      </w:r>
      <w:r>
        <w:rPr>
          <w:rFonts w:ascii="Segoe UI"/>
          <w:i/>
          <w:color w:val="231F20"/>
          <w:spacing w:val="-6"/>
          <w:sz w:val="16"/>
        </w:rPr>
        <w:t> </w:t>
      </w:r>
      <w:r>
        <w:rPr>
          <w:rFonts w:ascii="Segoe UI"/>
          <w:i/>
          <w:color w:val="231F20"/>
          <w:sz w:val="16"/>
        </w:rPr>
        <w:t>Annual</w:t>
      </w:r>
      <w:r>
        <w:rPr>
          <w:rFonts w:ascii="Segoe UI"/>
          <w:i/>
          <w:color w:val="231F20"/>
          <w:spacing w:val="-7"/>
          <w:sz w:val="16"/>
        </w:rPr>
        <w:t> </w:t>
      </w:r>
      <w:r>
        <w:rPr>
          <w:rFonts w:ascii="Segoe UI"/>
          <w:i/>
          <w:color w:val="231F20"/>
          <w:spacing w:val="-1"/>
          <w:sz w:val="16"/>
        </w:rPr>
        <w:t>Report</w:t>
      </w:r>
      <w:r>
        <w:rPr>
          <w:rFonts w:ascii="Segoe UI"/>
          <w:color w:val="231F20"/>
          <w:spacing w:val="-1"/>
          <w:sz w:val="16"/>
        </w:rPr>
        <w:t>,</w:t>
      </w:r>
      <w:r>
        <w:rPr>
          <w:rFonts w:ascii="Segoe UI"/>
          <w:color w:val="231F20"/>
          <w:spacing w:val="-6"/>
          <w:sz w:val="16"/>
        </w:rPr>
        <w:t> </w:t>
      </w:r>
      <w:r>
        <w:rPr>
          <w:rFonts w:ascii="Segoe UI"/>
          <w:color w:val="231F20"/>
          <w:spacing w:val="-1"/>
          <w:sz w:val="16"/>
        </w:rPr>
        <w:t>Australian</w:t>
      </w:r>
      <w:r>
        <w:rPr>
          <w:rFonts w:ascii="Segoe UI"/>
          <w:color w:val="231F20"/>
          <w:spacing w:val="-6"/>
          <w:sz w:val="16"/>
        </w:rPr>
        <w:t> </w:t>
      </w:r>
      <w:r>
        <w:rPr>
          <w:rFonts w:ascii="Segoe UI"/>
          <w:color w:val="231F20"/>
          <w:spacing w:val="-1"/>
          <w:sz w:val="16"/>
        </w:rPr>
        <w:t>Indigenous</w:t>
      </w:r>
      <w:r>
        <w:rPr>
          <w:rFonts w:ascii="Segoe UI"/>
          <w:color w:val="231F20"/>
          <w:spacing w:val="28"/>
          <w:w w:val="99"/>
          <w:sz w:val="16"/>
        </w:rPr>
        <w:t> </w:t>
      </w:r>
      <w:r>
        <w:rPr>
          <w:rFonts w:ascii="Segoe UI"/>
          <w:color w:val="231F20"/>
          <w:sz w:val="16"/>
        </w:rPr>
        <w:t>Education</w:t>
      </w:r>
      <w:r>
        <w:rPr>
          <w:rFonts w:ascii="Segoe UI"/>
          <w:color w:val="231F20"/>
          <w:spacing w:val="-10"/>
          <w:sz w:val="16"/>
        </w:rPr>
        <w:t> </w:t>
      </w:r>
      <w:r>
        <w:rPr>
          <w:rFonts w:ascii="Segoe UI"/>
          <w:color w:val="231F20"/>
          <w:spacing w:val="-1"/>
          <w:sz w:val="16"/>
        </w:rPr>
        <w:t>Foundation,</w:t>
      </w:r>
      <w:r>
        <w:rPr>
          <w:rFonts w:ascii="Segoe UI"/>
          <w:color w:val="231F20"/>
          <w:spacing w:val="-9"/>
          <w:sz w:val="16"/>
        </w:rPr>
        <w:t> </w:t>
      </w:r>
      <w:r>
        <w:rPr>
          <w:rFonts w:ascii="Segoe UI"/>
          <w:color w:val="231F20"/>
          <w:spacing w:val="-1"/>
          <w:sz w:val="16"/>
        </w:rPr>
        <w:t>2017,</w:t>
      </w:r>
      <w:r>
        <w:rPr>
          <w:rFonts w:ascii="Segoe UI"/>
          <w:color w:val="231F20"/>
          <w:spacing w:val="-9"/>
          <w:sz w:val="16"/>
        </w:rPr>
        <w:t> </w:t>
      </w:r>
      <w:hyperlink r:id="rId121">
        <w:r>
          <w:rPr>
            <w:rFonts w:ascii="Segoe UI"/>
            <w:color w:val="231F20"/>
            <w:sz w:val="16"/>
          </w:rPr>
          <w:t>www.aief.com.au</w:t>
        </w:r>
        <w:r>
          <w:rPr>
            <w:rFonts w:ascii="Segoe UI"/>
            <w:sz w:val="16"/>
          </w:rPr>
        </w:r>
      </w:hyperlink>
    </w:p>
    <w:p>
      <w:pPr>
        <w:numPr>
          <w:ilvl w:val="0"/>
          <w:numId w:val="13"/>
        </w:numPr>
        <w:tabs>
          <w:tab w:pos="668" w:val="left" w:leader="none"/>
        </w:tabs>
        <w:spacing w:before="100"/>
        <w:ind w:left="667" w:right="0" w:hanging="567"/>
        <w:jc w:val="left"/>
        <w:rPr>
          <w:rFonts w:ascii="Segoe UI" w:hAnsi="Segoe UI" w:cs="Segoe UI" w:eastAsia="Segoe UI"/>
          <w:sz w:val="16"/>
          <w:szCs w:val="16"/>
        </w:rPr>
      </w:pPr>
      <w:hyperlink r:id="rId122">
        <w:r>
          <w:rPr>
            <w:rFonts w:ascii="Segoe UI"/>
            <w:color w:val="3853A4"/>
            <w:spacing w:val="-1"/>
            <w:sz w:val="16"/>
            <w:u w:val="single" w:color="3853A4"/>
          </w:rPr>
          <w:t>www.elytrust.com.au</w:t>
        </w:r>
        <w:r>
          <w:rPr>
            <w:rFonts w:ascii="Segoe UI"/>
            <w:color w:val="3853A4"/>
            <w:sz w:val="16"/>
          </w:rPr>
        </w:r>
        <w:r>
          <w:rPr>
            <w:rFonts w:ascii="Segoe UI"/>
            <w:color w:val="231F20"/>
            <w:spacing w:val="-1"/>
            <w:sz w:val="16"/>
          </w:rPr>
          <w:t>,</w:t>
        </w:r>
      </w:hyperlink>
      <w:r>
        <w:rPr>
          <w:rFonts w:ascii="Segoe UI"/>
          <w:color w:val="231F20"/>
          <w:spacing w:val="-6"/>
          <w:sz w:val="16"/>
        </w:rPr>
        <w:t> </w:t>
      </w:r>
      <w:r>
        <w:rPr>
          <w:rFonts w:ascii="Segoe UI"/>
          <w:color w:val="231F20"/>
          <w:sz w:val="16"/>
        </w:rPr>
        <w:t>access</w:t>
      </w:r>
      <w:r>
        <w:rPr>
          <w:rFonts w:ascii="Segoe UI"/>
          <w:color w:val="231F20"/>
          <w:spacing w:val="-7"/>
          <w:sz w:val="16"/>
        </w:rPr>
        <w:t> </w:t>
      </w:r>
      <w:r>
        <w:rPr>
          <w:rFonts w:ascii="Segoe UI"/>
          <w:color w:val="231F20"/>
          <w:spacing w:val="-1"/>
          <w:sz w:val="16"/>
        </w:rPr>
        <w:t>in</w:t>
      </w:r>
      <w:r>
        <w:rPr>
          <w:rFonts w:ascii="Segoe UI"/>
          <w:color w:val="231F20"/>
          <w:spacing w:val="-5"/>
          <w:sz w:val="16"/>
        </w:rPr>
        <w:t> </w:t>
      </w:r>
      <w:r>
        <w:rPr>
          <w:rFonts w:ascii="Segoe UI"/>
          <w:color w:val="231F20"/>
          <w:sz w:val="16"/>
        </w:rPr>
        <w:t>November</w:t>
      </w:r>
      <w:r>
        <w:rPr>
          <w:rFonts w:ascii="Segoe UI"/>
          <w:color w:val="231F20"/>
          <w:spacing w:val="-6"/>
          <w:sz w:val="16"/>
        </w:rPr>
        <w:t> </w:t>
      </w:r>
      <w:r>
        <w:rPr>
          <w:rFonts w:ascii="Segoe UI"/>
          <w:color w:val="231F20"/>
          <w:sz w:val="16"/>
        </w:rPr>
        <w:t>2018</w:t>
      </w:r>
      <w:r>
        <w:rPr>
          <w:rFonts w:ascii="Segoe UI"/>
          <w:sz w:val="16"/>
        </w:rPr>
      </w:r>
    </w:p>
    <w:p>
      <w:pPr>
        <w:numPr>
          <w:ilvl w:val="0"/>
          <w:numId w:val="13"/>
        </w:numPr>
        <w:tabs>
          <w:tab w:pos="668" w:val="left" w:leader="none"/>
        </w:tabs>
        <w:spacing w:line="200" w:lineRule="exact" w:before="113"/>
        <w:ind w:left="667" w:right="182" w:hanging="567"/>
        <w:jc w:val="left"/>
        <w:rPr>
          <w:rFonts w:ascii="Segoe UI" w:hAnsi="Segoe UI" w:cs="Segoe UI" w:eastAsia="Segoe UI"/>
          <w:sz w:val="16"/>
          <w:szCs w:val="16"/>
        </w:rPr>
      </w:pPr>
      <w:r>
        <w:rPr/>
        <w:pict>
          <v:group style="position:absolute;margin-left:341.574799pt;margin-top:34.342701pt;width:12.05pt;height:.1pt;mso-position-horizontal-relative:page;mso-position-vertical-relative:paragraph;z-index:-219496" coordorigin="6831,687" coordsize="241,2">
            <v:shape style="position:absolute;left:6831;top:687;width:241;height:2" coordorigin="6831,687" coordsize="241,0" path="m6831,687l7072,687e" filled="false" stroked="true" strokeweight=".465pt" strokecolor="#3853a4">
              <v:path arrowok="t"/>
            </v:shape>
            <w10:wrap type="none"/>
          </v:group>
        </w:pict>
      </w:r>
      <w:r>
        <w:rPr>
          <w:rFonts w:ascii="Segoe UI"/>
          <w:color w:val="3853A4"/>
          <w:spacing w:val="-1"/>
          <w:sz w:val="16"/>
          <w:u w:val="single" w:color="3853A4"/>
        </w:rPr>
        <w:t>https://www.clc.org.au/index.php?/media-releases/</w:t>
      </w:r>
      <w:r>
        <w:rPr>
          <w:rFonts w:ascii="Segoe UI"/>
          <w:color w:val="3853A4"/>
          <w:w w:val="99"/>
          <w:sz w:val="16"/>
        </w:rPr>
      </w:r>
      <w:r>
        <w:rPr>
          <w:rFonts w:ascii="Segoe UI"/>
          <w:color w:val="3853A4"/>
          <w:spacing w:val="94"/>
          <w:w w:val="99"/>
          <w:sz w:val="16"/>
        </w:rPr>
        <w:t> </w:t>
      </w:r>
      <w:r>
        <w:rPr>
          <w:rFonts w:ascii="Segoe UI"/>
          <w:color w:val="3853A4"/>
          <w:sz w:val="16"/>
          <w:u w:val="single" w:color="3853A4"/>
        </w:rPr>
        <w:t>article/throwing-out-the-land-rights-act-not-the-</w:t>
      </w:r>
      <w:r>
        <w:rPr>
          <w:rFonts w:ascii="Segoe UI"/>
          <w:color w:val="3853A4"/>
          <w:w w:val="99"/>
          <w:sz w:val="16"/>
        </w:rPr>
      </w:r>
      <w:r>
        <w:rPr>
          <w:rFonts w:ascii="Segoe UI"/>
          <w:color w:val="3853A4"/>
          <w:w w:val="99"/>
          <w:sz w:val="16"/>
        </w:rPr>
        <w:t> </w:t>
      </w:r>
      <w:r>
        <w:rPr>
          <w:rFonts w:ascii="Segoe UI"/>
          <w:color w:val="3853A4"/>
          <w:sz w:val="16"/>
        </w:rPr>
        <w:t>key</w:t>
      </w:r>
      <w:r>
        <w:rPr>
          <w:rFonts w:ascii="Segoe UI"/>
          <w:color w:val="231F20"/>
          <w:sz w:val="16"/>
        </w:rPr>
        <w:t>,</w:t>
      </w:r>
      <w:r>
        <w:rPr>
          <w:rFonts w:ascii="Segoe UI"/>
          <w:color w:val="231F20"/>
          <w:spacing w:val="-3"/>
          <w:sz w:val="16"/>
        </w:rPr>
        <w:t> </w:t>
      </w:r>
      <w:r>
        <w:rPr>
          <w:rFonts w:ascii="Segoe UI"/>
          <w:color w:val="231F20"/>
          <w:sz w:val="16"/>
        </w:rPr>
        <w:t>accessed</w:t>
      </w:r>
      <w:r>
        <w:rPr>
          <w:rFonts w:ascii="Segoe UI"/>
          <w:color w:val="231F20"/>
          <w:spacing w:val="-3"/>
          <w:sz w:val="16"/>
        </w:rPr>
        <w:t> </w:t>
      </w:r>
      <w:r>
        <w:rPr>
          <w:rFonts w:ascii="Segoe UI"/>
          <w:color w:val="231F20"/>
          <w:spacing w:val="-1"/>
          <w:sz w:val="16"/>
        </w:rPr>
        <w:t>in</w:t>
      </w:r>
      <w:r>
        <w:rPr>
          <w:rFonts w:ascii="Segoe UI"/>
          <w:color w:val="231F20"/>
          <w:spacing w:val="-2"/>
          <w:sz w:val="16"/>
        </w:rPr>
        <w:t> </w:t>
      </w:r>
      <w:r>
        <w:rPr>
          <w:rFonts w:ascii="Segoe UI"/>
          <w:color w:val="231F20"/>
          <w:sz w:val="16"/>
        </w:rPr>
        <w:t>January</w:t>
      </w:r>
      <w:r>
        <w:rPr>
          <w:rFonts w:ascii="Segoe UI"/>
          <w:color w:val="231F20"/>
          <w:spacing w:val="-2"/>
          <w:sz w:val="16"/>
        </w:rPr>
        <w:t> </w:t>
      </w:r>
      <w:r>
        <w:rPr>
          <w:rFonts w:ascii="Segoe UI"/>
          <w:color w:val="231F20"/>
          <w:sz w:val="16"/>
        </w:rPr>
        <w:t>2019</w:t>
      </w:r>
      <w:r>
        <w:rPr>
          <w:rFonts w:ascii="Segoe UI"/>
          <w:sz w:val="16"/>
        </w:rPr>
      </w:r>
    </w:p>
    <w:p>
      <w:pPr>
        <w:numPr>
          <w:ilvl w:val="0"/>
          <w:numId w:val="13"/>
        </w:numPr>
        <w:tabs>
          <w:tab w:pos="668" w:val="left" w:leader="none"/>
        </w:tabs>
        <w:spacing w:line="200" w:lineRule="exact" w:before="113"/>
        <w:ind w:left="667" w:right="560" w:hanging="567"/>
        <w:jc w:val="left"/>
        <w:rPr>
          <w:rFonts w:ascii="Segoe UI" w:hAnsi="Segoe UI" w:cs="Segoe UI" w:eastAsia="Segoe UI"/>
          <w:sz w:val="16"/>
          <w:szCs w:val="16"/>
        </w:rPr>
      </w:pPr>
      <w:r>
        <w:rPr/>
        <w:pict>
          <v:group style="position:absolute;margin-left:341.574799pt;margin-top:34.342606pt;width:159.950pt;height:.1pt;mso-position-horizontal-relative:page;mso-position-vertical-relative:paragraph;z-index:-219472" coordorigin="6831,687" coordsize="3199,2">
            <v:shape style="position:absolute;left:6831;top:687;width:3199;height:2" coordorigin="6831,687" coordsize="3199,0" path="m6831,687l10030,687e" filled="false" stroked="true" strokeweight=".465pt" strokecolor="#3853a4">
              <v:path arrowok="t"/>
            </v:shape>
            <w10:wrap type="none"/>
          </v:group>
        </w:pict>
      </w:r>
      <w:r>
        <w:rPr/>
        <w:pict>
          <v:group style="position:absolute;margin-left:341.574799pt;margin-top:54.342606pt;width:35.75pt;height:.1pt;mso-position-horizontal-relative:page;mso-position-vertical-relative:paragraph;z-index:-219448" coordorigin="6831,1087" coordsize="715,2">
            <v:shape style="position:absolute;left:6831;top:1087;width:715;height:2" coordorigin="6831,1087" coordsize="715,0" path="m6831,1087l7546,1087e" filled="false" stroked="true" strokeweight=".465pt" strokecolor="#3853a4">
              <v:path arrowok="t"/>
            </v:shape>
            <w10:wrap type="none"/>
          </v:group>
        </w:pict>
      </w:r>
      <w:hyperlink r:id="rId123">
        <w:r>
          <w:rPr>
            <w:rFonts w:ascii="Segoe UI"/>
            <w:color w:val="3853A4"/>
            <w:spacing w:val="-1"/>
            <w:sz w:val="16"/>
            <w:u w:val="single" w:color="3853A4"/>
          </w:rPr>
          <w:t>http://www.centrecorpfoundation.com.au/</w:t>
        </w:r>
        <w:r>
          <w:rPr>
            <w:rFonts w:ascii="Segoe UI"/>
            <w:color w:val="3853A4"/>
            <w:spacing w:val="-1"/>
            <w:w w:val="99"/>
            <w:sz w:val="16"/>
          </w:rPr>
        </w:r>
      </w:hyperlink>
      <w:r>
        <w:rPr>
          <w:rFonts w:ascii="Segoe UI"/>
          <w:color w:val="3853A4"/>
          <w:spacing w:val="62"/>
          <w:w w:val="99"/>
          <w:sz w:val="16"/>
        </w:rPr>
        <w:t> </w:t>
      </w:r>
      <w:r>
        <w:rPr>
          <w:rFonts w:ascii="Segoe UI"/>
          <w:color w:val="3853A4"/>
          <w:sz w:val="16"/>
          <w:u w:val="single" w:color="3853A4"/>
        </w:rPr>
        <w:t>centrecorp-foundation-community-support-</w:t>
      </w:r>
      <w:r>
        <w:rPr>
          <w:rFonts w:ascii="Segoe UI"/>
          <w:color w:val="3853A4"/>
          <w:w w:val="99"/>
          <w:sz w:val="16"/>
        </w:rPr>
      </w:r>
      <w:r>
        <w:rPr>
          <w:rFonts w:ascii="Segoe UI"/>
          <w:color w:val="3853A4"/>
          <w:w w:val="99"/>
          <w:sz w:val="16"/>
        </w:rPr>
        <w:t> </w:t>
      </w:r>
      <w:r>
        <w:rPr>
          <w:rFonts w:ascii="Segoe UI"/>
          <w:color w:val="3853A4"/>
          <w:w w:val="95"/>
          <w:sz w:val="16"/>
        </w:rPr>
        <w:t>program/centrecorp-foundation-community-</w:t>
      </w:r>
      <w:r>
        <w:rPr>
          <w:rFonts w:ascii="Segoe UI"/>
          <w:color w:val="3853A4"/>
          <w:w w:val="99"/>
          <w:sz w:val="16"/>
        </w:rPr>
        <w:t> </w:t>
      </w:r>
      <w:r>
        <w:rPr>
          <w:rFonts w:ascii="Segoe UI"/>
          <w:color w:val="3853A4"/>
          <w:spacing w:val="-1"/>
          <w:sz w:val="16"/>
          <w:u w:val="single" w:color="3853A4"/>
        </w:rPr>
        <w:t>support-program-additional-information-for-</w:t>
      </w:r>
      <w:r>
        <w:rPr>
          <w:rFonts w:ascii="Segoe UI"/>
          <w:color w:val="3853A4"/>
          <w:spacing w:val="-1"/>
          <w:w w:val="99"/>
          <w:sz w:val="16"/>
        </w:rPr>
      </w:r>
      <w:r>
        <w:rPr>
          <w:rFonts w:ascii="Segoe UI"/>
          <w:color w:val="3853A4"/>
          <w:spacing w:val="20"/>
          <w:w w:val="99"/>
          <w:sz w:val="16"/>
        </w:rPr>
        <w:t> </w:t>
      </w:r>
      <w:r>
        <w:rPr>
          <w:rFonts w:ascii="Segoe UI"/>
          <w:color w:val="3853A4"/>
          <w:spacing w:val="-1"/>
          <w:sz w:val="16"/>
        </w:rPr>
        <w:t>applicants</w:t>
      </w:r>
      <w:r>
        <w:rPr>
          <w:rFonts w:ascii="Segoe UI"/>
          <w:color w:val="231F20"/>
          <w:spacing w:val="-1"/>
          <w:sz w:val="16"/>
        </w:rPr>
        <w:t>,</w:t>
      </w:r>
      <w:r>
        <w:rPr>
          <w:rFonts w:ascii="Segoe UI"/>
          <w:color w:val="231F20"/>
          <w:spacing w:val="-4"/>
          <w:sz w:val="16"/>
        </w:rPr>
        <w:t> </w:t>
      </w:r>
      <w:r>
        <w:rPr>
          <w:rFonts w:ascii="Segoe UI"/>
          <w:color w:val="231F20"/>
          <w:sz w:val="16"/>
        </w:rPr>
        <w:t>accessed</w:t>
      </w:r>
      <w:r>
        <w:rPr>
          <w:rFonts w:ascii="Segoe UI"/>
          <w:color w:val="231F20"/>
          <w:spacing w:val="-4"/>
          <w:sz w:val="16"/>
        </w:rPr>
        <w:t> </w:t>
      </w:r>
      <w:r>
        <w:rPr>
          <w:rFonts w:ascii="Segoe UI"/>
          <w:color w:val="231F20"/>
          <w:spacing w:val="-1"/>
          <w:sz w:val="16"/>
        </w:rPr>
        <w:t>in</w:t>
      </w:r>
      <w:r>
        <w:rPr>
          <w:rFonts w:ascii="Segoe UI"/>
          <w:color w:val="231F20"/>
          <w:spacing w:val="-3"/>
          <w:sz w:val="16"/>
        </w:rPr>
        <w:t> </w:t>
      </w:r>
      <w:r>
        <w:rPr>
          <w:rFonts w:ascii="Segoe UI"/>
          <w:color w:val="231F20"/>
          <w:sz w:val="16"/>
        </w:rPr>
        <w:t>January</w:t>
      </w:r>
      <w:r>
        <w:rPr>
          <w:rFonts w:ascii="Segoe UI"/>
          <w:color w:val="231F20"/>
          <w:spacing w:val="-3"/>
          <w:sz w:val="16"/>
        </w:rPr>
        <w:t> </w:t>
      </w:r>
      <w:r>
        <w:rPr>
          <w:rFonts w:ascii="Segoe UI"/>
          <w:color w:val="231F20"/>
          <w:sz w:val="16"/>
        </w:rPr>
        <w:t>2019</w:t>
      </w:r>
      <w:r>
        <w:rPr>
          <w:rFonts w:ascii="Segoe UI"/>
          <w:sz w:val="16"/>
        </w:rPr>
      </w:r>
    </w:p>
    <w:p>
      <w:pPr>
        <w:spacing w:after="0" w:line="200" w:lineRule="exact"/>
        <w:jc w:val="left"/>
        <w:rPr>
          <w:rFonts w:ascii="Segoe UI" w:hAnsi="Segoe UI" w:cs="Segoe UI" w:eastAsia="Segoe UI"/>
          <w:sz w:val="16"/>
          <w:szCs w:val="16"/>
        </w:rPr>
        <w:sectPr>
          <w:type w:val="continuous"/>
          <w:pgSz w:w="11910" w:h="16840"/>
          <w:pgMar w:top="1580" w:bottom="280" w:left="1600" w:right="1300"/>
          <w:cols w:num="2" w:equalWidth="0">
            <w:col w:w="4315" w:space="248"/>
            <w:col w:w="4447"/>
          </w:cols>
        </w:sectPr>
      </w:pPr>
    </w:p>
    <w:p>
      <w:pPr>
        <w:spacing w:line="240" w:lineRule="auto" w:before="0"/>
        <w:rPr>
          <w:rFonts w:ascii="Segoe UI" w:hAnsi="Segoe UI" w:cs="Segoe UI" w:eastAsia="Segoe UI"/>
          <w:sz w:val="20"/>
          <w:szCs w:val="20"/>
        </w:rPr>
      </w:pPr>
    </w:p>
    <w:p>
      <w:pPr>
        <w:spacing w:line="240" w:lineRule="auto" w:before="11"/>
        <w:rPr>
          <w:rFonts w:ascii="Segoe UI" w:hAnsi="Segoe UI" w:cs="Segoe UI" w:eastAsia="Segoe UI"/>
          <w:sz w:val="21"/>
          <w:szCs w:val="21"/>
        </w:rPr>
      </w:pPr>
    </w:p>
    <w:p>
      <w:pPr>
        <w:spacing w:after="0" w:line="240" w:lineRule="auto"/>
        <w:rPr>
          <w:rFonts w:ascii="Segoe UI" w:hAnsi="Segoe UI" w:cs="Segoe UI" w:eastAsia="Segoe UI"/>
          <w:sz w:val="21"/>
          <w:szCs w:val="21"/>
        </w:rPr>
        <w:sectPr>
          <w:footerReference w:type="even" r:id="rId124"/>
          <w:footerReference w:type="default" r:id="rId125"/>
          <w:pgSz w:w="11910" w:h="16840"/>
          <w:pgMar w:footer="691" w:header="0" w:top="1580" w:bottom="880" w:left="1300" w:right="1600"/>
        </w:sectPr>
      </w:pPr>
    </w:p>
    <w:p>
      <w:pPr>
        <w:numPr>
          <w:ilvl w:val="0"/>
          <w:numId w:val="13"/>
        </w:numPr>
        <w:tabs>
          <w:tab w:pos="685" w:val="left" w:leader="none"/>
        </w:tabs>
        <w:spacing w:line="200" w:lineRule="exact" w:before="70"/>
        <w:ind w:left="684" w:right="26" w:hanging="567"/>
        <w:jc w:val="left"/>
        <w:rPr>
          <w:rFonts w:ascii="Segoe UI" w:hAnsi="Segoe UI" w:cs="Segoe UI" w:eastAsia="Segoe UI"/>
          <w:sz w:val="16"/>
          <w:szCs w:val="16"/>
        </w:rPr>
      </w:pPr>
      <w:r>
        <w:rPr>
          <w:rFonts w:ascii="Segoe UI" w:hAnsi="Segoe UI" w:cs="Segoe UI" w:eastAsia="Segoe UI"/>
          <w:i/>
          <w:color w:val="231F20"/>
          <w:sz w:val="16"/>
          <w:szCs w:val="16"/>
        </w:rPr>
        <w:t>The</w:t>
      </w:r>
      <w:r>
        <w:rPr>
          <w:rFonts w:ascii="Segoe UI" w:hAnsi="Segoe UI" w:cs="Segoe UI" w:eastAsia="Segoe UI"/>
          <w:i/>
          <w:color w:val="231F20"/>
          <w:spacing w:val="-5"/>
          <w:sz w:val="16"/>
          <w:szCs w:val="16"/>
        </w:rPr>
        <w:t> </w:t>
      </w:r>
      <w:r>
        <w:rPr>
          <w:rFonts w:ascii="Segoe UI" w:hAnsi="Segoe UI" w:cs="Segoe UI" w:eastAsia="Segoe UI"/>
          <w:i/>
          <w:color w:val="231F20"/>
          <w:spacing w:val="-1"/>
          <w:sz w:val="16"/>
          <w:szCs w:val="16"/>
        </w:rPr>
        <w:t>power</w:t>
      </w:r>
      <w:r>
        <w:rPr>
          <w:rFonts w:ascii="Segoe UI" w:hAnsi="Segoe UI" w:cs="Segoe UI" w:eastAsia="Segoe UI"/>
          <w:i/>
          <w:color w:val="231F20"/>
          <w:spacing w:val="-4"/>
          <w:sz w:val="16"/>
          <w:szCs w:val="16"/>
        </w:rPr>
        <w:t> </w:t>
      </w:r>
      <w:r>
        <w:rPr>
          <w:rFonts w:ascii="Segoe UI" w:hAnsi="Segoe UI" w:cs="Segoe UI" w:eastAsia="Segoe UI"/>
          <w:i/>
          <w:color w:val="231F20"/>
          <w:spacing w:val="-2"/>
          <w:sz w:val="16"/>
          <w:szCs w:val="16"/>
        </w:rPr>
        <w:t>of</w:t>
      </w:r>
      <w:r>
        <w:rPr>
          <w:rFonts w:ascii="Segoe UI" w:hAnsi="Segoe UI" w:cs="Segoe UI" w:eastAsia="Segoe UI"/>
          <w:i/>
          <w:color w:val="231F20"/>
          <w:spacing w:val="-3"/>
          <w:sz w:val="16"/>
          <w:szCs w:val="16"/>
        </w:rPr>
        <w:t> </w:t>
      </w:r>
      <w:r>
        <w:rPr>
          <w:rFonts w:ascii="Segoe UI" w:hAnsi="Segoe UI" w:cs="Segoe UI" w:eastAsia="Segoe UI"/>
          <w:i/>
          <w:color w:val="231F20"/>
          <w:sz w:val="16"/>
          <w:szCs w:val="16"/>
        </w:rPr>
        <w:t>education:</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From</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surviving</w:t>
      </w:r>
      <w:r>
        <w:rPr>
          <w:rFonts w:ascii="Segoe UI" w:hAnsi="Segoe UI" w:cs="Segoe UI" w:eastAsia="Segoe UI"/>
          <w:i/>
          <w:color w:val="231F20"/>
          <w:spacing w:val="-3"/>
          <w:sz w:val="16"/>
          <w:szCs w:val="16"/>
        </w:rPr>
        <w:t> </w:t>
      </w:r>
      <w:r>
        <w:rPr>
          <w:rFonts w:ascii="Segoe UI" w:hAnsi="Segoe UI" w:cs="Segoe UI" w:eastAsia="Segoe UI"/>
          <w:i/>
          <w:color w:val="231F20"/>
          <w:sz w:val="16"/>
          <w:szCs w:val="16"/>
        </w:rPr>
        <w:t>to</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thriving—</w:t>
      </w:r>
      <w:r>
        <w:rPr>
          <w:rFonts w:ascii="Segoe UI" w:hAnsi="Segoe UI" w:cs="Segoe UI" w:eastAsia="Segoe UI"/>
          <w:i/>
          <w:color w:val="231F20"/>
          <w:spacing w:val="41"/>
          <w:w w:val="99"/>
          <w:sz w:val="16"/>
          <w:szCs w:val="16"/>
        </w:rPr>
        <w:t> </w:t>
      </w:r>
      <w:r>
        <w:rPr>
          <w:rFonts w:ascii="Segoe UI" w:hAnsi="Segoe UI" w:cs="Segoe UI" w:eastAsia="Segoe UI"/>
          <w:i/>
          <w:color w:val="231F20"/>
          <w:sz w:val="16"/>
          <w:szCs w:val="16"/>
        </w:rPr>
        <w:t>Educational</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opportunities</w:t>
      </w:r>
      <w:r>
        <w:rPr>
          <w:rFonts w:ascii="Segoe UI" w:hAnsi="Segoe UI" w:cs="Segoe UI" w:eastAsia="Segoe UI"/>
          <w:i/>
          <w:color w:val="231F20"/>
          <w:spacing w:val="-2"/>
          <w:sz w:val="16"/>
          <w:szCs w:val="16"/>
        </w:rPr>
        <w:t> </w:t>
      </w:r>
      <w:r>
        <w:rPr>
          <w:rFonts w:ascii="Segoe UI" w:hAnsi="Segoe UI" w:cs="Segoe UI" w:eastAsia="Segoe UI"/>
          <w:i/>
          <w:color w:val="231F20"/>
          <w:sz w:val="16"/>
          <w:szCs w:val="16"/>
        </w:rPr>
        <w:t>for</w:t>
      </w:r>
      <w:r>
        <w:rPr>
          <w:rFonts w:ascii="Segoe UI" w:hAnsi="Segoe UI" w:cs="Segoe UI" w:eastAsia="Segoe UI"/>
          <w:i/>
          <w:color w:val="231F20"/>
          <w:spacing w:val="-4"/>
          <w:sz w:val="16"/>
          <w:szCs w:val="16"/>
        </w:rPr>
        <w:t> </w:t>
      </w:r>
      <w:r>
        <w:rPr>
          <w:rFonts w:ascii="Segoe UI" w:hAnsi="Segoe UI" w:cs="Segoe UI" w:eastAsia="Segoe UI"/>
          <w:i/>
          <w:color w:val="231F20"/>
          <w:sz w:val="16"/>
          <w:szCs w:val="16"/>
        </w:rPr>
        <w:t>Aboriginal</w:t>
      </w:r>
      <w:r>
        <w:rPr>
          <w:rFonts w:ascii="Segoe UI" w:hAnsi="Segoe UI" w:cs="Segoe UI" w:eastAsia="Segoe UI"/>
          <w:i/>
          <w:color w:val="231F20"/>
          <w:spacing w:val="-3"/>
          <w:sz w:val="16"/>
          <w:szCs w:val="16"/>
        </w:rPr>
        <w:t> </w:t>
      </w:r>
      <w:r>
        <w:rPr>
          <w:rFonts w:ascii="Segoe UI" w:hAnsi="Segoe UI" w:cs="Segoe UI" w:eastAsia="Segoe UI"/>
          <w:i/>
          <w:color w:val="231F20"/>
          <w:sz w:val="16"/>
          <w:szCs w:val="16"/>
        </w:rPr>
        <w:t>and</w:t>
      </w:r>
      <w:r>
        <w:rPr>
          <w:rFonts w:ascii="Segoe UI" w:hAnsi="Segoe UI" w:cs="Segoe UI" w:eastAsia="Segoe UI"/>
          <w:i/>
          <w:color w:val="231F20"/>
          <w:spacing w:val="-3"/>
          <w:sz w:val="16"/>
          <w:szCs w:val="16"/>
        </w:rPr>
        <w:t> Torres</w:t>
      </w:r>
      <w:r>
        <w:rPr>
          <w:rFonts w:ascii="Segoe UI" w:hAnsi="Segoe UI" w:cs="Segoe UI" w:eastAsia="Segoe UI"/>
          <w:i/>
          <w:color w:val="231F20"/>
          <w:spacing w:val="27"/>
          <w:w w:val="99"/>
          <w:sz w:val="16"/>
          <w:szCs w:val="16"/>
        </w:rPr>
        <w:t> </w:t>
      </w:r>
      <w:r>
        <w:rPr>
          <w:rFonts w:ascii="Segoe UI" w:hAnsi="Segoe UI" w:cs="Segoe UI" w:eastAsia="Segoe UI"/>
          <w:i/>
          <w:color w:val="231F20"/>
          <w:spacing w:val="-1"/>
          <w:sz w:val="16"/>
          <w:szCs w:val="16"/>
        </w:rPr>
        <w:t>Strait</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Islander</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students</w:t>
      </w:r>
      <w:r>
        <w:rPr>
          <w:rFonts w:ascii="Segoe UI" w:hAnsi="Segoe UI" w:cs="Segoe UI" w:eastAsia="Segoe UI"/>
          <w:color w:val="231F20"/>
          <w:spacing w:val="-1"/>
          <w:sz w:val="16"/>
          <w:szCs w:val="16"/>
        </w:rPr>
        <w:t>,</w:t>
      </w:r>
      <w:r>
        <w:rPr>
          <w:rFonts w:ascii="Segoe UI" w:hAnsi="Segoe UI" w:cs="Segoe UI" w:eastAsia="Segoe UI"/>
          <w:color w:val="231F20"/>
          <w:spacing w:val="-4"/>
          <w:sz w:val="16"/>
          <w:szCs w:val="16"/>
        </w:rPr>
        <w:t> </w:t>
      </w:r>
      <w:r>
        <w:rPr>
          <w:rFonts w:ascii="Segoe UI" w:hAnsi="Segoe UI" w:cs="Segoe UI" w:eastAsia="Segoe UI"/>
          <w:color w:val="231F20"/>
          <w:sz w:val="16"/>
          <w:szCs w:val="16"/>
        </w:rPr>
        <w:t>House</w:t>
      </w:r>
      <w:r>
        <w:rPr>
          <w:rFonts w:ascii="Segoe UI" w:hAnsi="Segoe UI" w:cs="Segoe UI" w:eastAsia="Segoe UI"/>
          <w:color w:val="231F20"/>
          <w:spacing w:val="-4"/>
          <w:sz w:val="16"/>
          <w:szCs w:val="16"/>
        </w:rPr>
        <w:t> </w:t>
      </w:r>
      <w:r>
        <w:rPr>
          <w:rFonts w:ascii="Segoe UI" w:hAnsi="Segoe UI" w:cs="Segoe UI" w:eastAsia="Segoe UI"/>
          <w:color w:val="231F20"/>
          <w:sz w:val="16"/>
          <w:szCs w:val="16"/>
        </w:rPr>
        <w:t>of</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Representatives</w:t>
      </w:r>
      <w:r>
        <w:rPr>
          <w:rFonts w:ascii="Segoe UI" w:hAnsi="Segoe UI" w:cs="Segoe UI" w:eastAsia="Segoe UI"/>
          <w:color w:val="231F20"/>
          <w:spacing w:val="45"/>
          <w:w w:val="99"/>
          <w:sz w:val="16"/>
          <w:szCs w:val="16"/>
        </w:rPr>
        <w:t> </w:t>
      </w:r>
      <w:r>
        <w:rPr>
          <w:rFonts w:ascii="Segoe UI" w:hAnsi="Segoe UI" w:cs="Segoe UI" w:eastAsia="Segoe UI"/>
          <w:color w:val="231F20"/>
          <w:spacing w:val="-1"/>
          <w:sz w:val="16"/>
          <w:szCs w:val="16"/>
        </w:rPr>
        <w:t>Standing </w:t>
      </w:r>
      <w:r>
        <w:rPr>
          <w:rFonts w:ascii="Segoe UI" w:hAnsi="Segoe UI" w:cs="Segoe UI" w:eastAsia="Segoe UI"/>
          <w:color w:val="231F20"/>
          <w:sz w:val="16"/>
          <w:szCs w:val="16"/>
        </w:rPr>
        <w:t>Committee</w:t>
      </w:r>
      <w:r>
        <w:rPr>
          <w:rFonts w:ascii="Segoe UI" w:hAnsi="Segoe UI" w:cs="Segoe UI" w:eastAsia="Segoe UI"/>
          <w:color w:val="231F20"/>
          <w:spacing w:val="-1"/>
          <w:sz w:val="16"/>
          <w:szCs w:val="16"/>
        </w:rPr>
        <w:t> </w:t>
      </w:r>
      <w:r>
        <w:rPr>
          <w:rFonts w:ascii="Segoe UI" w:hAnsi="Segoe UI" w:cs="Segoe UI" w:eastAsia="Segoe UI"/>
          <w:color w:val="231F20"/>
          <w:sz w:val="16"/>
          <w:szCs w:val="16"/>
        </w:rPr>
        <w:t>on</w:t>
      </w:r>
      <w:r>
        <w:rPr>
          <w:rFonts w:ascii="Segoe UI" w:hAnsi="Segoe UI" w:cs="Segoe UI" w:eastAsia="Segoe UI"/>
          <w:color w:val="231F20"/>
          <w:spacing w:val="-1"/>
          <w:sz w:val="16"/>
          <w:szCs w:val="16"/>
        </w:rPr>
        <w:t> </w:t>
      </w:r>
      <w:r>
        <w:rPr>
          <w:rFonts w:ascii="Segoe UI" w:hAnsi="Segoe UI" w:cs="Segoe UI" w:eastAsia="Segoe UI"/>
          <w:color w:val="231F20"/>
          <w:sz w:val="16"/>
          <w:szCs w:val="16"/>
        </w:rPr>
        <w:t>Indigenous</w:t>
      </w:r>
      <w:r>
        <w:rPr>
          <w:rFonts w:ascii="Segoe UI" w:hAnsi="Segoe UI" w:cs="Segoe UI" w:eastAsia="Segoe UI"/>
          <w:color w:val="231F20"/>
          <w:spacing w:val="-1"/>
          <w:sz w:val="16"/>
          <w:szCs w:val="16"/>
        </w:rPr>
        <w:t> </w:t>
      </w:r>
      <w:r>
        <w:rPr>
          <w:rFonts w:ascii="Segoe UI" w:hAnsi="Segoe UI" w:cs="Segoe UI" w:eastAsia="Segoe UI"/>
          <w:color w:val="231F20"/>
          <w:sz w:val="16"/>
          <w:szCs w:val="16"/>
        </w:rPr>
        <w:t>Affairs,</w:t>
      </w:r>
      <w:r>
        <w:rPr>
          <w:rFonts w:ascii="Segoe UI" w:hAnsi="Segoe UI" w:cs="Segoe UI" w:eastAsia="Segoe UI"/>
          <w:color w:val="231F20"/>
          <w:spacing w:val="-1"/>
          <w:sz w:val="16"/>
          <w:szCs w:val="16"/>
        </w:rPr>
        <w:t> </w:t>
      </w:r>
      <w:r>
        <w:rPr>
          <w:rFonts w:ascii="Segoe UI" w:hAnsi="Segoe UI" w:cs="Segoe UI" w:eastAsia="Segoe UI"/>
          <w:color w:val="231F20"/>
          <w:sz w:val="16"/>
          <w:szCs w:val="16"/>
        </w:rPr>
        <w:t>2017,</w:t>
      </w:r>
      <w:r>
        <w:rPr>
          <w:rFonts w:ascii="Segoe UI" w:hAnsi="Segoe UI" w:cs="Segoe UI" w:eastAsia="Segoe UI"/>
          <w:color w:val="231F20"/>
          <w:spacing w:val="22"/>
          <w:sz w:val="16"/>
          <w:szCs w:val="16"/>
        </w:rPr>
        <w:t> </w:t>
      </w:r>
      <w:r>
        <w:rPr>
          <w:rFonts w:ascii="Segoe UI" w:hAnsi="Segoe UI" w:cs="Segoe UI" w:eastAsia="Segoe UI"/>
          <w:color w:val="231F20"/>
          <w:sz w:val="16"/>
          <w:szCs w:val="16"/>
        </w:rPr>
        <w:t>pp.</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117, 151</w:t>
      </w:r>
      <w:r>
        <w:rPr>
          <w:rFonts w:ascii="Segoe UI" w:hAnsi="Segoe UI" w:cs="Segoe UI" w:eastAsia="Segoe UI"/>
          <w:color w:val="231F20"/>
          <w:spacing w:val="-2"/>
          <w:sz w:val="16"/>
          <w:szCs w:val="16"/>
        </w:rPr>
        <w:t> </w:t>
      </w:r>
      <w:r>
        <w:rPr>
          <w:rFonts w:ascii="Segoe UI" w:hAnsi="Segoe UI" w:cs="Segoe UI" w:eastAsia="Segoe UI"/>
          <w:color w:val="231F20"/>
          <w:sz w:val="16"/>
          <w:szCs w:val="16"/>
        </w:rPr>
        <w:t>-</w:t>
      </w:r>
      <w:r>
        <w:rPr>
          <w:rFonts w:ascii="Segoe UI" w:hAnsi="Segoe UI" w:cs="Segoe UI" w:eastAsia="Segoe UI"/>
          <w:color w:val="231F20"/>
          <w:spacing w:val="-1"/>
          <w:sz w:val="16"/>
          <w:szCs w:val="16"/>
        </w:rPr>
        <w:t> </w:t>
      </w:r>
      <w:r>
        <w:rPr>
          <w:rFonts w:ascii="Segoe UI" w:hAnsi="Segoe UI" w:cs="Segoe UI" w:eastAsia="Segoe UI"/>
          <w:color w:val="231F20"/>
          <w:sz w:val="16"/>
          <w:szCs w:val="16"/>
        </w:rPr>
        <w:t>154</w:t>
      </w:r>
      <w:r>
        <w:rPr>
          <w:rFonts w:ascii="Segoe UI" w:hAnsi="Segoe UI" w:cs="Segoe UI" w:eastAsia="Segoe UI"/>
          <w:sz w:val="16"/>
          <w:szCs w:val="16"/>
        </w:rPr>
      </w:r>
    </w:p>
    <w:p>
      <w:pPr>
        <w:numPr>
          <w:ilvl w:val="0"/>
          <w:numId w:val="13"/>
        </w:numPr>
        <w:tabs>
          <w:tab w:pos="685" w:val="left" w:leader="none"/>
        </w:tabs>
        <w:spacing w:line="200" w:lineRule="exact" w:before="113"/>
        <w:ind w:left="684" w:right="26" w:hanging="567"/>
        <w:jc w:val="left"/>
        <w:rPr>
          <w:rFonts w:ascii="Segoe UI" w:hAnsi="Segoe UI" w:cs="Segoe UI" w:eastAsia="Segoe UI"/>
          <w:sz w:val="16"/>
          <w:szCs w:val="16"/>
        </w:rPr>
      </w:pPr>
      <w:r>
        <w:rPr>
          <w:rFonts w:ascii="Segoe UI"/>
          <w:color w:val="231F20"/>
          <w:spacing w:val="-1"/>
          <w:sz w:val="16"/>
        </w:rPr>
        <w:t>Available</w:t>
      </w:r>
      <w:r>
        <w:rPr>
          <w:rFonts w:ascii="Segoe UI"/>
          <w:color w:val="231F20"/>
          <w:spacing w:val="-18"/>
          <w:sz w:val="16"/>
        </w:rPr>
        <w:t> </w:t>
      </w:r>
      <w:r>
        <w:rPr>
          <w:rFonts w:ascii="Segoe UI"/>
          <w:color w:val="231F20"/>
          <w:sz w:val="16"/>
        </w:rPr>
        <w:t>at:</w:t>
      </w:r>
      <w:r>
        <w:rPr>
          <w:rFonts w:ascii="Segoe UI"/>
          <w:color w:val="231F20"/>
          <w:spacing w:val="-18"/>
          <w:sz w:val="16"/>
        </w:rPr>
        <w:t> </w:t>
      </w:r>
      <w:r>
        <w:rPr>
          <w:rFonts w:ascii="Segoe UI"/>
          <w:color w:val="231F20"/>
          <w:spacing w:val="-1"/>
          <w:sz w:val="16"/>
        </w:rPr>
        <w:t>https://theconversation.com/we-need-</w:t>
      </w:r>
      <w:r>
        <w:rPr>
          <w:rFonts w:ascii="Segoe UI"/>
          <w:color w:val="231F20"/>
          <w:spacing w:val="81"/>
          <w:w w:val="99"/>
          <w:sz w:val="16"/>
        </w:rPr>
        <w:t> </w:t>
      </w:r>
      <w:r>
        <w:rPr>
          <w:rFonts w:ascii="Segoe UI"/>
          <w:color w:val="231F20"/>
          <w:sz w:val="16"/>
        </w:rPr>
        <w:t>to-know-the-true-cost-of-indigenous-boarding-</w:t>
      </w:r>
      <w:r>
        <w:rPr>
          <w:rFonts w:ascii="Segoe UI"/>
          <w:color w:val="231F20"/>
          <w:w w:val="99"/>
          <w:sz w:val="16"/>
        </w:rPr>
        <w:t> </w:t>
      </w:r>
      <w:r>
        <w:rPr>
          <w:rFonts w:ascii="Segoe UI"/>
          <w:color w:val="231F20"/>
          <w:spacing w:val="-1"/>
          <w:sz w:val="16"/>
        </w:rPr>
        <w:t>school-scholarships-on-communities-74622</w:t>
      </w:r>
      <w:r>
        <w:rPr>
          <w:rFonts w:ascii="Segoe UI"/>
          <w:sz w:val="16"/>
        </w:rPr>
      </w:r>
    </w:p>
    <w:p>
      <w:pPr>
        <w:numPr>
          <w:ilvl w:val="0"/>
          <w:numId w:val="13"/>
        </w:numPr>
        <w:tabs>
          <w:tab w:pos="685" w:val="left" w:leader="none"/>
        </w:tabs>
        <w:spacing w:line="200" w:lineRule="exact" w:before="113"/>
        <w:ind w:left="684" w:right="74" w:hanging="567"/>
        <w:jc w:val="left"/>
        <w:rPr>
          <w:rFonts w:ascii="Segoe UI" w:hAnsi="Segoe UI" w:cs="Segoe UI" w:eastAsia="Segoe UI"/>
          <w:sz w:val="16"/>
          <w:szCs w:val="16"/>
        </w:rPr>
      </w:pPr>
      <w:r>
        <w:rPr>
          <w:rFonts w:ascii="Segoe UI" w:hAnsi="Segoe UI" w:cs="Segoe UI" w:eastAsia="Segoe UI"/>
          <w:color w:val="231F20"/>
          <w:spacing w:val="-1"/>
          <w:sz w:val="16"/>
          <w:szCs w:val="16"/>
        </w:rPr>
        <w:t>Parental</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income</w:t>
      </w:r>
      <w:r>
        <w:rPr>
          <w:rFonts w:ascii="Segoe UI" w:hAnsi="Segoe UI" w:cs="Segoe UI" w:eastAsia="Segoe UI"/>
          <w:color w:val="231F20"/>
          <w:spacing w:val="-3"/>
          <w:sz w:val="16"/>
          <w:szCs w:val="16"/>
        </w:rPr>
        <w:t> </w:t>
      </w:r>
      <w:r>
        <w:rPr>
          <w:rFonts w:ascii="Segoe UI" w:hAnsi="Segoe UI" w:cs="Segoe UI" w:eastAsia="Segoe UI"/>
          <w:color w:val="231F20"/>
          <w:sz w:val="16"/>
          <w:szCs w:val="16"/>
        </w:rPr>
        <w:t>only</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reduces</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means</w:t>
      </w:r>
      <w:r>
        <w:rPr>
          <w:rFonts w:ascii="Segoe UI" w:hAnsi="Segoe UI" w:cs="Segoe UI" w:eastAsia="Segoe UI"/>
          <w:color w:val="231F20"/>
          <w:spacing w:val="-4"/>
          <w:sz w:val="16"/>
          <w:szCs w:val="16"/>
        </w:rPr>
        <w:t> </w:t>
      </w:r>
      <w:r>
        <w:rPr>
          <w:rFonts w:ascii="Segoe UI" w:hAnsi="Segoe UI" w:cs="Segoe UI" w:eastAsia="Segoe UI"/>
          <w:color w:val="231F20"/>
          <w:sz w:val="16"/>
          <w:szCs w:val="16"/>
        </w:rPr>
        <w:t>tested</w:t>
      </w:r>
      <w:r>
        <w:rPr>
          <w:rFonts w:ascii="Segoe UI" w:hAnsi="Segoe UI" w:cs="Segoe UI" w:eastAsia="Segoe UI"/>
          <w:color w:val="231F20"/>
          <w:spacing w:val="21"/>
          <w:w w:val="99"/>
          <w:sz w:val="16"/>
          <w:szCs w:val="16"/>
        </w:rPr>
        <w:t> </w:t>
      </w:r>
      <w:r>
        <w:rPr>
          <w:rFonts w:ascii="Segoe UI" w:hAnsi="Segoe UI" w:cs="Segoe UI" w:eastAsia="Segoe UI"/>
          <w:color w:val="231F20"/>
          <w:sz w:val="16"/>
          <w:szCs w:val="16"/>
        </w:rPr>
        <w:t>ABSTUDY</w:t>
      </w:r>
      <w:r>
        <w:rPr>
          <w:rFonts w:ascii="Segoe UI" w:hAnsi="Segoe UI" w:cs="Segoe UI" w:eastAsia="Segoe UI"/>
          <w:color w:val="231F20"/>
          <w:spacing w:val="-6"/>
          <w:sz w:val="16"/>
          <w:szCs w:val="16"/>
        </w:rPr>
        <w:t> </w:t>
      </w:r>
      <w:r>
        <w:rPr>
          <w:rFonts w:ascii="Segoe UI" w:hAnsi="Segoe UI" w:cs="Segoe UI" w:eastAsia="Segoe UI"/>
          <w:color w:val="231F20"/>
          <w:sz w:val="16"/>
          <w:szCs w:val="16"/>
        </w:rPr>
        <w:t>payments</w:t>
      </w:r>
      <w:r>
        <w:rPr>
          <w:rFonts w:ascii="Segoe UI" w:hAnsi="Segoe UI" w:cs="Segoe UI" w:eastAsia="Segoe UI"/>
          <w:color w:val="231F20"/>
          <w:spacing w:val="-6"/>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7"/>
          <w:sz w:val="16"/>
          <w:szCs w:val="16"/>
        </w:rPr>
        <w:t> </w:t>
      </w:r>
      <w:r>
        <w:rPr>
          <w:rFonts w:ascii="Segoe UI" w:hAnsi="Segoe UI" w:cs="Segoe UI" w:eastAsia="Segoe UI"/>
          <w:color w:val="231F20"/>
          <w:sz w:val="16"/>
          <w:szCs w:val="16"/>
        </w:rPr>
        <w:t>wouldn’t</w:t>
      </w:r>
      <w:r>
        <w:rPr>
          <w:rFonts w:ascii="Segoe UI" w:hAnsi="Segoe UI" w:cs="Segoe UI" w:eastAsia="Segoe UI"/>
          <w:color w:val="231F20"/>
          <w:spacing w:val="-6"/>
          <w:sz w:val="16"/>
          <w:szCs w:val="16"/>
        </w:rPr>
        <w:t> </w:t>
      </w:r>
      <w:r>
        <w:rPr>
          <w:rFonts w:ascii="Segoe UI" w:hAnsi="Segoe UI" w:cs="Segoe UI" w:eastAsia="Segoe UI"/>
          <w:color w:val="231F20"/>
          <w:sz w:val="16"/>
          <w:szCs w:val="16"/>
        </w:rPr>
        <w:t>cause</w:t>
      </w:r>
      <w:r>
        <w:rPr>
          <w:rFonts w:ascii="Segoe UI" w:hAnsi="Segoe UI" w:cs="Segoe UI" w:eastAsia="Segoe UI"/>
          <w:color w:val="231F20"/>
          <w:spacing w:val="-6"/>
          <w:sz w:val="16"/>
          <w:szCs w:val="16"/>
        </w:rPr>
        <w:t> </w:t>
      </w:r>
      <w:r>
        <w:rPr>
          <w:rFonts w:ascii="Segoe UI" w:hAnsi="Segoe UI" w:cs="Segoe UI" w:eastAsia="Segoe UI"/>
          <w:color w:val="231F20"/>
          <w:spacing w:val="-1"/>
          <w:sz w:val="16"/>
          <w:szCs w:val="16"/>
        </w:rPr>
        <w:t>secondary</w:t>
      </w:r>
      <w:r>
        <w:rPr>
          <w:rFonts w:ascii="Segoe UI" w:hAnsi="Segoe UI" w:cs="Segoe UI" w:eastAsia="Segoe UI"/>
          <w:color w:val="231F20"/>
          <w:spacing w:val="20"/>
          <w:w w:val="99"/>
          <w:sz w:val="16"/>
          <w:szCs w:val="16"/>
        </w:rPr>
        <w:t> </w:t>
      </w:r>
      <w:r>
        <w:rPr>
          <w:rFonts w:ascii="Segoe UI" w:hAnsi="Segoe UI" w:cs="Segoe UI" w:eastAsia="Segoe UI"/>
          <w:color w:val="231F20"/>
          <w:spacing w:val="-1"/>
          <w:sz w:val="16"/>
          <w:szCs w:val="16"/>
        </w:rPr>
        <w:t>students </w:t>
      </w:r>
      <w:r>
        <w:rPr>
          <w:rFonts w:ascii="Segoe UI" w:hAnsi="Segoe UI" w:cs="Segoe UI" w:eastAsia="Segoe UI"/>
          <w:color w:val="231F20"/>
          <w:sz w:val="16"/>
          <w:szCs w:val="16"/>
        </w:rPr>
        <w:t>to</w:t>
      </w:r>
      <w:r>
        <w:rPr>
          <w:rFonts w:ascii="Segoe UI" w:hAnsi="Segoe UI" w:cs="Segoe UI" w:eastAsia="Segoe UI"/>
          <w:color w:val="231F20"/>
          <w:spacing w:val="-1"/>
          <w:sz w:val="16"/>
          <w:szCs w:val="16"/>
        </w:rPr>
        <w:t> </w:t>
      </w:r>
      <w:r>
        <w:rPr>
          <w:rFonts w:ascii="Segoe UI" w:hAnsi="Segoe UI" w:cs="Segoe UI" w:eastAsia="Segoe UI"/>
          <w:color w:val="231F20"/>
          <w:sz w:val="16"/>
          <w:szCs w:val="16"/>
        </w:rPr>
        <w:t>have</w:t>
      </w:r>
      <w:r>
        <w:rPr>
          <w:rFonts w:ascii="Segoe UI" w:hAnsi="Segoe UI" w:cs="Segoe UI" w:eastAsia="Segoe UI"/>
          <w:color w:val="231F20"/>
          <w:spacing w:val="-2"/>
          <w:sz w:val="16"/>
          <w:szCs w:val="16"/>
        </w:rPr>
        <w:t> </w:t>
      </w:r>
      <w:r>
        <w:rPr>
          <w:rFonts w:ascii="Segoe UI" w:hAnsi="Segoe UI" w:cs="Segoe UI" w:eastAsia="Segoe UI"/>
          <w:color w:val="231F20"/>
          <w:sz w:val="16"/>
          <w:szCs w:val="16"/>
        </w:rPr>
        <w:t>nil</w:t>
      </w:r>
      <w:r>
        <w:rPr>
          <w:rFonts w:ascii="Segoe UI" w:hAnsi="Segoe UI" w:cs="Segoe UI" w:eastAsia="Segoe UI"/>
          <w:color w:val="231F20"/>
          <w:spacing w:val="-2"/>
          <w:sz w:val="16"/>
          <w:szCs w:val="16"/>
        </w:rPr>
        <w:t> </w:t>
      </w:r>
      <w:r>
        <w:rPr>
          <w:rFonts w:ascii="Segoe UI" w:hAnsi="Segoe UI" w:cs="Segoe UI" w:eastAsia="Segoe UI"/>
          <w:color w:val="231F20"/>
          <w:sz w:val="16"/>
          <w:szCs w:val="16"/>
        </w:rPr>
        <w:t>ABSTUDY</w:t>
      </w:r>
      <w:r>
        <w:rPr>
          <w:rFonts w:ascii="Segoe UI" w:hAnsi="Segoe UI" w:cs="Segoe UI" w:eastAsia="Segoe UI"/>
          <w:color w:val="231F20"/>
          <w:spacing w:val="-1"/>
          <w:sz w:val="16"/>
          <w:szCs w:val="16"/>
        </w:rPr>
        <w:t> </w:t>
      </w:r>
      <w:r>
        <w:rPr>
          <w:rFonts w:ascii="Segoe UI" w:hAnsi="Segoe UI" w:cs="Segoe UI" w:eastAsia="Segoe UI"/>
          <w:color w:val="231F20"/>
          <w:sz w:val="16"/>
          <w:szCs w:val="16"/>
        </w:rPr>
        <w:t>eligibility</w:t>
      </w:r>
      <w:r>
        <w:rPr>
          <w:rFonts w:ascii="Segoe UI" w:hAnsi="Segoe UI" w:cs="Segoe UI" w:eastAsia="Segoe UI"/>
          <w:sz w:val="16"/>
          <w:szCs w:val="16"/>
        </w:rPr>
      </w:r>
    </w:p>
    <w:p>
      <w:pPr>
        <w:numPr>
          <w:ilvl w:val="0"/>
          <w:numId w:val="13"/>
        </w:numPr>
        <w:tabs>
          <w:tab w:pos="685" w:val="left" w:leader="none"/>
        </w:tabs>
        <w:spacing w:line="200" w:lineRule="exact" w:before="113"/>
        <w:ind w:left="684" w:right="67" w:hanging="567"/>
        <w:jc w:val="left"/>
        <w:rPr>
          <w:rFonts w:ascii="Segoe UI" w:hAnsi="Segoe UI" w:cs="Segoe UI" w:eastAsia="Segoe UI"/>
          <w:sz w:val="16"/>
          <w:szCs w:val="16"/>
        </w:rPr>
      </w:pPr>
      <w:r>
        <w:rPr>
          <w:rFonts w:ascii="Segoe UI"/>
          <w:color w:val="231F20"/>
          <w:sz w:val="16"/>
        </w:rPr>
        <w:t>Markham,</w:t>
      </w:r>
      <w:r>
        <w:rPr>
          <w:rFonts w:ascii="Segoe UI"/>
          <w:color w:val="231F20"/>
          <w:spacing w:val="-3"/>
          <w:sz w:val="16"/>
        </w:rPr>
        <w:t> </w:t>
      </w:r>
      <w:r>
        <w:rPr>
          <w:rFonts w:ascii="Segoe UI"/>
          <w:color w:val="231F20"/>
          <w:sz w:val="16"/>
        </w:rPr>
        <w:t>F</w:t>
      </w:r>
      <w:r>
        <w:rPr>
          <w:rFonts w:ascii="Segoe UI"/>
          <w:color w:val="231F20"/>
          <w:spacing w:val="-4"/>
          <w:sz w:val="16"/>
        </w:rPr>
        <w:t> </w:t>
      </w:r>
      <w:r>
        <w:rPr>
          <w:rFonts w:ascii="Segoe UI"/>
          <w:color w:val="231F20"/>
          <w:sz w:val="16"/>
        </w:rPr>
        <w:t>and</w:t>
      </w:r>
      <w:r>
        <w:rPr>
          <w:rFonts w:ascii="Segoe UI"/>
          <w:color w:val="231F20"/>
          <w:spacing w:val="-3"/>
          <w:sz w:val="16"/>
        </w:rPr>
        <w:t> </w:t>
      </w:r>
      <w:r>
        <w:rPr>
          <w:rFonts w:ascii="Segoe UI"/>
          <w:color w:val="231F20"/>
          <w:spacing w:val="-1"/>
          <w:sz w:val="16"/>
        </w:rPr>
        <w:t>Biddle,</w:t>
      </w:r>
      <w:r>
        <w:rPr>
          <w:rFonts w:ascii="Segoe UI"/>
          <w:color w:val="231F20"/>
          <w:spacing w:val="-3"/>
          <w:sz w:val="16"/>
        </w:rPr>
        <w:t> </w:t>
      </w:r>
      <w:r>
        <w:rPr>
          <w:rFonts w:ascii="Segoe UI"/>
          <w:color w:val="231F20"/>
          <w:sz w:val="16"/>
        </w:rPr>
        <w:t>N,</w:t>
      </w:r>
      <w:r>
        <w:rPr>
          <w:rFonts w:ascii="Segoe UI"/>
          <w:color w:val="231F20"/>
          <w:spacing w:val="-4"/>
          <w:sz w:val="16"/>
        </w:rPr>
        <w:t> </w:t>
      </w:r>
      <w:r>
        <w:rPr>
          <w:rFonts w:ascii="Segoe UI"/>
          <w:i/>
          <w:color w:val="231F20"/>
          <w:spacing w:val="-1"/>
          <w:sz w:val="16"/>
        </w:rPr>
        <w:t>Income,</w:t>
      </w:r>
      <w:r>
        <w:rPr>
          <w:rFonts w:ascii="Segoe UI"/>
          <w:i/>
          <w:color w:val="231F20"/>
          <w:spacing w:val="-2"/>
          <w:sz w:val="16"/>
        </w:rPr>
        <w:t> </w:t>
      </w:r>
      <w:r>
        <w:rPr>
          <w:rFonts w:ascii="Segoe UI"/>
          <w:i/>
          <w:color w:val="231F20"/>
          <w:spacing w:val="-1"/>
          <w:sz w:val="16"/>
        </w:rPr>
        <w:t>Poverty</w:t>
      </w:r>
      <w:r>
        <w:rPr>
          <w:rFonts w:ascii="Segoe UI"/>
          <w:i/>
          <w:color w:val="231F20"/>
          <w:spacing w:val="-3"/>
          <w:sz w:val="16"/>
        </w:rPr>
        <w:t> </w:t>
      </w:r>
      <w:r>
        <w:rPr>
          <w:rFonts w:ascii="Segoe UI"/>
          <w:i/>
          <w:color w:val="231F20"/>
          <w:sz w:val="16"/>
        </w:rPr>
        <w:t>and</w:t>
      </w:r>
      <w:r>
        <w:rPr>
          <w:rFonts w:ascii="Segoe UI"/>
          <w:i/>
          <w:color w:val="231F20"/>
          <w:spacing w:val="25"/>
          <w:w w:val="99"/>
          <w:sz w:val="16"/>
        </w:rPr>
        <w:t> </w:t>
      </w:r>
      <w:r>
        <w:rPr>
          <w:rFonts w:ascii="Segoe UI"/>
          <w:i/>
          <w:color w:val="231F20"/>
          <w:spacing w:val="-1"/>
          <w:sz w:val="16"/>
        </w:rPr>
        <w:t>Inequality:</w:t>
      </w:r>
      <w:r>
        <w:rPr>
          <w:rFonts w:ascii="Segoe UI"/>
          <w:i/>
          <w:color w:val="231F20"/>
          <w:spacing w:val="-3"/>
          <w:sz w:val="16"/>
        </w:rPr>
        <w:t> </w:t>
      </w:r>
      <w:r>
        <w:rPr>
          <w:rFonts w:ascii="Segoe UI"/>
          <w:i/>
          <w:color w:val="231F20"/>
          <w:spacing w:val="-1"/>
          <w:sz w:val="16"/>
        </w:rPr>
        <w:t>CAEPR</w:t>
      </w:r>
      <w:r>
        <w:rPr>
          <w:rFonts w:ascii="Segoe UI"/>
          <w:i/>
          <w:color w:val="231F20"/>
          <w:spacing w:val="-2"/>
          <w:sz w:val="16"/>
        </w:rPr>
        <w:t> </w:t>
      </w:r>
      <w:r>
        <w:rPr>
          <w:rFonts w:ascii="Segoe UI"/>
          <w:i/>
          <w:color w:val="231F20"/>
          <w:spacing w:val="-1"/>
          <w:sz w:val="16"/>
        </w:rPr>
        <w:t>2016</w:t>
      </w:r>
      <w:r>
        <w:rPr>
          <w:rFonts w:ascii="Segoe UI"/>
          <w:i/>
          <w:color w:val="231F20"/>
          <w:spacing w:val="-3"/>
          <w:sz w:val="16"/>
        </w:rPr>
        <w:t> </w:t>
      </w:r>
      <w:r>
        <w:rPr>
          <w:rFonts w:ascii="Segoe UI"/>
          <w:i/>
          <w:color w:val="231F20"/>
          <w:spacing w:val="-1"/>
          <w:sz w:val="16"/>
        </w:rPr>
        <w:t>Census</w:t>
      </w:r>
      <w:r>
        <w:rPr>
          <w:rFonts w:ascii="Segoe UI"/>
          <w:i/>
          <w:color w:val="231F20"/>
          <w:spacing w:val="-3"/>
          <w:sz w:val="16"/>
        </w:rPr>
        <w:t> </w:t>
      </w:r>
      <w:r>
        <w:rPr>
          <w:rFonts w:ascii="Segoe UI"/>
          <w:i/>
          <w:color w:val="231F20"/>
          <w:spacing w:val="-1"/>
          <w:sz w:val="16"/>
        </w:rPr>
        <w:t>Paper</w:t>
      </w:r>
      <w:r>
        <w:rPr>
          <w:rFonts w:ascii="Segoe UI"/>
          <w:i/>
          <w:color w:val="231F20"/>
          <w:spacing w:val="-3"/>
          <w:sz w:val="16"/>
        </w:rPr>
        <w:t> </w:t>
      </w:r>
      <w:r>
        <w:rPr>
          <w:rFonts w:ascii="Segoe UI"/>
          <w:i/>
          <w:color w:val="231F20"/>
          <w:sz w:val="16"/>
        </w:rPr>
        <w:t>No.</w:t>
      </w:r>
      <w:r>
        <w:rPr>
          <w:rFonts w:ascii="Segoe UI"/>
          <w:i/>
          <w:color w:val="231F20"/>
          <w:spacing w:val="-2"/>
          <w:sz w:val="16"/>
        </w:rPr>
        <w:t> </w:t>
      </w:r>
      <w:r>
        <w:rPr>
          <w:rFonts w:ascii="Segoe UI"/>
          <w:i/>
          <w:color w:val="231F20"/>
          <w:sz w:val="16"/>
        </w:rPr>
        <w:t>2</w:t>
      </w:r>
      <w:r>
        <w:rPr>
          <w:rFonts w:ascii="Segoe UI"/>
          <w:color w:val="231F20"/>
          <w:sz w:val="16"/>
        </w:rPr>
        <w:t>,</w:t>
      </w:r>
      <w:r>
        <w:rPr>
          <w:rFonts w:ascii="Segoe UI"/>
          <w:color w:val="231F20"/>
          <w:spacing w:val="-2"/>
          <w:sz w:val="16"/>
        </w:rPr>
        <w:t> </w:t>
      </w:r>
      <w:r>
        <w:rPr>
          <w:rFonts w:ascii="Segoe UI"/>
          <w:color w:val="231F20"/>
          <w:spacing w:val="-1"/>
          <w:sz w:val="16"/>
        </w:rPr>
        <w:t>CAEPR,</w:t>
      </w:r>
      <w:r>
        <w:rPr>
          <w:rFonts w:ascii="Segoe UI"/>
          <w:color w:val="231F20"/>
          <w:spacing w:val="29"/>
          <w:sz w:val="16"/>
        </w:rPr>
        <w:t> </w:t>
      </w:r>
      <w:r>
        <w:rPr>
          <w:rFonts w:ascii="Segoe UI"/>
          <w:color w:val="231F20"/>
          <w:spacing w:val="-1"/>
          <w:sz w:val="16"/>
        </w:rPr>
        <w:t>2018</w:t>
      </w:r>
      <w:r>
        <w:rPr>
          <w:rFonts w:ascii="Segoe UI"/>
          <w:color w:val="231F20"/>
          <w:spacing w:val="-4"/>
          <w:sz w:val="16"/>
        </w:rPr>
        <w:t> </w:t>
      </w:r>
      <w:r>
        <w:rPr>
          <w:rFonts w:ascii="Segoe UI"/>
          <w:color w:val="231F20"/>
          <w:sz w:val="16"/>
        </w:rPr>
        <w:t>(Markham,</w:t>
      </w:r>
      <w:r>
        <w:rPr>
          <w:rFonts w:ascii="Segoe UI"/>
          <w:color w:val="231F20"/>
          <w:spacing w:val="-4"/>
          <w:sz w:val="16"/>
        </w:rPr>
        <w:t> </w:t>
      </w:r>
      <w:r>
        <w:rPr>
          <w:rFonts w:ascii="Segoe UI"/>
          <w:color w:val="231F20"/>
          <w:spacing w:val="-1"/>
          <w:sz w:val="16"/>
        </w:rPr>
        <w:t>2018),</w:t>
      </w:r>
      <w:r>
        <w:rPr>
          <w:rFonts w:ascii="Segoe UI"/>
          <w:color w:val="231F20"/>
          <w:spacing w:val="-3"/>
          <w:sz w:val="16"/>
        </w:rPr>
        <w:t> </w:t>
      </w:r>
      <w:r>
        <w:rPr>
          <w:rFonts w:ascii="Segoe UI"/>
          <w:color w:val="231F20"/>
          <w:sz w:val="16"/>
        </w:rPr>
        <w:t>p.</w:t>
      </w:r>
      <w:r>
        <w:rPr>
          <w:rFonts w:ascii="Segoe UI"/>
          <w:color w:val="231F20"/>
          <w:spacing w:val="-4"/>
          <w:sz w:val="16"/>
        </w:rPr>
        <w:t> </w:t>
      </w:r>
      <w:r>
        <w:rPr>
          <w:rFonts w:ascii="Segoe UI"/>
          <w:color w:val="231F20"/>
          <w:spacing w:val="-1"/>
          <w:sz w:val="16"/>
        </w:rPr>
        <w:t>iii</w:t>
      </w:r>
      <w:r>
        <w:rPr>
          <w:rFonts w:ascii="Segoe UI"/>
          <w:sz w:val="16"/>
        </w:rPr>
      </w:r>
    </w:p>
    <w:p>
      <w:pPr>
        <w:numPr>
          <w:ilvl w:val="0"/>
          <w:numId w:val="13"/>
        </w:numPr>
        <w:tabs>
          <w:tab w:pos="685" w:val="left" w:leader="none"/>
        </w:tabs>
        <w:spacing w:before="100"/>
        <w:ind w:left="684" w:right="17" w:hanging="567"/>
        <w:jc w:val="left"/>
        <w:rPr>
          <w:rFonts w:ascii="Segoe UI" w:hAnsi="Segoe UI" w:cs="Segoe UI" w:eastAsia="Segoe UI"/>
          <w:sz w:val="16"/>
          <w:szCs w:val="16"/>
        </w:rPr>
      </w:pPr>
      <w:r>
        <w:rPr>
          <w:rFonts w:ascii="Segoe UI"/>
          <w:color w:val="231F20"/>
          <w:spacing w:val="-2"/>
          <w:sz w:val="16"/>
        </w:rPr>
        <w:t>Study</w:t>
      </w:r>
      <w:r>
        <w:rPr>
          <w:rFonts w:ascii="Segoe UI"/>
          <w:color w:val="231F20"/>
          <w:spacing w:val="-4"/>
          <w:sz w:val="16"/>
        </w:rPr>
        <w:t> </w:t>
      </w:r>
      <w:r>
        <w:rPr>
          <w:rFonts w:ascii="Segoe UI"/>
          <w:color w:val="231F20"/>
          <w:spacing w:val="-1"/>
          <w:sz w:val="16"/>
        </w:rPr>
        <w:t>Away</w:t>
      </w:r>
      <w:r>
        <w:rPr>
          <w:rFonts w:ascii="Segoe UI"/>
          <w:color w:val="231F20"/>
          <w:spacing w:val="-4"/>
          <w:sz w:val="16"/>
        </w:rPr>
        <w:t> </w:t>
      </w:r>
      <w:r>
        <w:rPr>
          <w:rFonts w:ascii="Segoe UI"/>
          <w:color w:val="231F20"/>
          <w:spacing w:val="-1"/>
          <w:sz w:val="16"/>
        </w:rPr>
        <w:t>Review,</w:t>
      </w:r>
      <w:r>
        <w:rPr>
          <w:rFonts w:ascii="Segoe UI"/>
          <w:color w:val="231F20"/>
          <w:spacing w:val="-3"/>
          <w:sz w:val="16"/>
        </w:rPr>
        <w:t> </w:t>
      </w:r>
      <w:r>
        <w:rPr>
          <w:rFonts w:ascii="Segoe UI"/>
          <w:color w:val="231F20"/>
          <w:sz w:val="16"/>
        </w:rPr>
        <w:t>p.</w:t>
      </w:r>
      <w:r>
        <w:rPr>
          <w:rFonts w:ascii="Segoe UI"/>
          <w:color w:val="231F20"/>
          <w:spacing w:val="-3"/>
          <w:sz w:val="16"/>
        </w:rPr>
        <w:t> </w:t>
      </w:r>
      <w:r>
        <w:rPr>
          <w:rFonts w:ascii="Segoe UI"/>
          <w:color w:val="231F20"/>
          <w:sz w:val="16"/>
        </w:rPr>
        <w:t>19</w:t>
      </w:r>
      <w:r>
        <w:rPr>
          <w:rFonts w:ascii="Segoe UI"/>
          <w:sz w:val="16"/>
        </w:rPr>
      </w:r>
    </w:p>
    <w:p>
      <w:pPr>
        <w:numPr>
          <w:ilvl w:val="0"/>
          <w:numId w:val="13"/>
        </w:numPr>
        <w:tabs>
          <w:tab w:pos="685" w:val="left" w:leader="none"/>
        </w:tabs>
        <w:spacing w:line="200" w:lineRule="exact" w:before="113"/>
        <w:ind w:left="684" w:right="239" w:hanging="567"/>
        <w:jc w:val="left"/>
        <w:rPr>
          <w:rFonts w:ascii="Segoe UI" w:hAnsi="Segoe UI" w:cs="Segoe UI" w:eastAsia="Segoe UI"/>
          <w:sz w:val="16"/>
          <w:szCs w:val="16"/>
        </w:rPr>
      </w:pPr>
      <w:r>
        <w:rPr>
          <w:rFonts w:ascii="Segoe UI"/>
          <w:color w:val="231F20"/>
          <w:sz w:val="16"/>
        </w:rPr>
        <w:t>Queensland</w:t>
      </w:r>
      <w:r>
        <w:rPr>
          <w:rFonts w:ascii="Segoe UI"/>
          <w:color w:val="231F20"/>
          <w:spacing w:val="-9"/>
          <w:sz w:val="16"/>
        </w:rPr>
        <w:t> </w:t>
      </w:r>
      <w:r>
        <w:rPr>
          <w:rFonts w:ascii="Segoe UI"/>
          <w:color w:val="231F20"/>
          <w:sz w:val="16"/>
        </w:rPr>
        <w:t>Government</w:t>
      </w:r>
      <w:r>
        <w:rPr>
          <w:rFonts w:ascii="Segoe UI"/>
          <w:color w:val="231F20"/>
          <w:spacing w:val="-7"/>
          <w:sz w:val="16"/>
        </w:rPr>
        <w:t> </w:t>
      </w:r>
      <w:r>
        <w:rPr>
          <w:rFonts w:ascii="Segoe UI"/>
          <w:color w:val="231F20"/>
          <w:spacing w:val="-1"/>
          <w:sz w:val="16"/>
        </w:rPr>
        <w:t>Student</w:t>
      </w:r>
      <w:r>
        <w:rPr>
          <w:rFonts w:ascii="Segoe UI"/>
          <w:color w:val="231F20"/>
          <w:spacing w:val="-8"/>
          <w:sz w:val="16"/>
        </w:rPr>
        <w:t> </w:t>
      </w:r>
      <w:r>
        <w:rPr>
          <w:rFonts w:ascii="Segoe UI"/>
          <w:color w:val="231F20"/>
          <w:sz w:val="16"/>
        </w:rPr>
        <w:t>Hostel</w:t>
      </w:r>
      <w:r>
        <w:rPr>
          <w:rFonts w:ascii="Segoe UI"/>
          <w:color w:val="231F20"/>
          <w:spacing w:val="21"/>
          <w:sz w:val="16"/>
        </w:rPr>
        <w:t> </w:t>
      </w:r>
      <w:r>
        <w:rPr>
          <w:rFonts w:ascii="Segoe UI"/>
          <w:color w:val="231F20"/>
          <w:spacing w:val="-1"/>
          <w:sz w:val="16"/>
        </w:rPr>
        <w:t>Support</w:t>
      </w:r>
      <w:r>
        <w:rPr>
          <w:rFonts w:ascii="Segoe UI"/>
          <w:color w:val="231F20"/>
          <w:spacing w:val="-14"/>
          <w:sz w:val="16"/>
        </w:rPr>
        <w:t> </w:t>
      </w:r>
      <w:r>
        <w:rPr>
          <w:rFonts w:ascii="Segoe UI"/>
          <w:color w:val="231F20"/>
          <w:spacing w:val="-1"/>
          <w:sz w:val="16"/>
        </w:rPr>
        <w:t>Scheme,</w:t>
      </w:r>
      <w:r>
        <w:rPr>
          <w:rFonts w:ascii="Segoe UI"/>
          <w:color w:val="231F20"/>
          <w:spacing w:val="-13"/>
          <w:sz w:val="16"/>
        </w:rPr>
        <w:t> </w:t>
      </w:r>
      <w:r>
        <w:rPr>
          <w:rFonts w:ascii="Segoe UI"/>
          <w:color w:val="3853A4"/>
          <w:spacing w:val="-13"/>
          <w:sz w:val="16"/>
        </w:rPr>
      </w:r>
      <w:r>
        <w:rPr>
          <w:rFonts w:ascii="Segoe UI"/>
          <w:color w:val="3853A4"/>
          <w:sz w:val="16"/>
          <w:u w:val="single" w:color="3853A4"/>
        </w:rPr>
        <w:t>https://education.qld.gov.au/</w:t>
      </w:r>
      <w:r>
        <w:rPr>
          <w:rFonts w:ascii="Segoe UI"/>
          <w:color w:val="3853A4"/>
          <w:w w:val="99"/>
          <w:sz w:val="16"/>
        </w:rPr>
      </w:r>
      <w:r>
        <w:rPr>
          <w:rFonts w:ascii="Segoe UI"/>
          <w:color w:val="3853A4"/>
          <w:spacing w:val="23"/>
          <w:w w:val="99"/>
          <w:sz w:val="16"/>
        </w:rPr>
        <w:t> </w:t>
      </w:r>
      <w:r>
        <w:rPr>
          <w:rFonts w:ascii="Segoe UI"/>
          <w:color w:val="3853A4"/>
          <w:w w:val="95"/>
          <w:sz w:val="16"/>
          <w:u w:val="single" w:color="3853A4"/>
        </w:rPr>
        <w:t>about-us/budgets-funding-grants/grants/other-</w:t>
      </w:r>
      <w:r>
        <w:rPr>
          <w:rFonts w:ascii="Segoe UI"/>
          <w:color w:val="3853A4"/>
          <w:w w:val="99"/>
          <w:sz w:val="16"/>
        </w:rPr>
      </w:r>
      <w:r>
        <w:rPr>
          <w:rFonts w:ascii="Segoe UI"/>
          <w:sz w:val="16"/>
        </w:rPr>
      </w:r>
    </w:p>
    <w:p>
      <w:pPr>
        <w:spacing w:line="200" w:lineRule="exact" w:before="0"/>
        <w:ind w:left="684" w:right="17" w:firstLine="0"/>
        <w:jc w:val="left"/>
        <w:rPr>
          <w:rFonts w:ascii="Segoe UI" w:hAnsi="Segoe UI" w:cs="Segoe UI" w:eastAsia="Segoe UI"/>
          <w:sz w:val="16"/>
          <w:szCs w:val="16"/>
        </w:rPr>
      </w:pPr>
      <w:r>
        <w:rPr>
          <w:rFonts w:ascii="Segoe UI"/>
          <w:color w:val="3853A4"/>
          <w:sz w:val="16"/>
        </w:rPr>
      </w:r>
      <w:r>
        <w:rPr>
          <w:rFonts w:ascii="Segoe UI"/>
          <w:color w:val="3853A4"/>
          <w:spacing w:val="-1"/>
          <w:sz w:val="16"/>
          <w:u w:val="single" w:color="3853A4"/>
        </w:rPr>
        <w:t>organisations/students-hostels-assistance</w:t>
      </w:r>
      <w:r>
        <w:rPr>
          <w:rFonts w:ascii="Segoe UI"/>
          <w:color w:val="3853A4"/>
          <w:sz w:val="16"/>
        </w:rPr>
      </w:r>
      <w:r>
        <w:rPr>
          <w:rFonts w:ascii="Segoe UI"/>
          <w:color w:val="231F20"/>
          <w:spacing w:val="-1"/>
          <w:sz w:val="16"/>
        </w:rPr>
        <w:t>, </w:t>
      </w:r>
      <w:r>
        <w:rPr>
          <w:rFonts w:ascii="Segoe UI"/>
          <w:color w:val="231F20"/>
          <w:sz w:val="16"/>
        </w:rPr>
        <w:t>accessed</w:t>
      </w:r>
      <w:r>
        <w:rPr>
          <w:rFonts w:ascii="Segoe UI"/>
          <w:color w:val="231F20"/>
          <w:spacing w:val="82"/>
          <w:sz w:val="16"/>
        </w:rPr>
        <w:t> </w:t>
      </w:r>
      <w:r>
        <w:rPr>
          <w:rFonts w:ascii="Segoe UI"/>
          <w:color w:val="231F20"/>
          <w:spacing w:val="-1"/>
          <w:sz w:val="16"/>
        </w:rPr>
        <w:t>in</w:t>
      </w:r>
      <w:r>
        <w:rPr>
          <w:rFonts w:ascii="Segoe UI"/>
          <w:color w:val="231F20"/>
          <w:spacing w:val="-4"/>
          <w:sz w:val="16"/>
        </w:rPr>
        <w:t> </w:t>
      </w:r>
      <w:r>
        <w:rPr>
          <w:rFonts w:ascii="Segoe UI"/>
          <w:color w:val="231F20"/>
          <w:sz w:val="16"/>
        </w:rPr>
        <w:t>January</w:t>
      </w:r>
      <w:r>
        <w:rPr>
          <w:rFonts w:ascii="Segoe UI"/>
          <w:color w:val="231F20"/>
          <w:spacing w:val="-3"/>
          <w:sz w:val="16"/>
        </w:rPr>
        <w:t> </w:t>
      </w:r>
      <w:r>
        <w:rPr>
          <w:rFonts w:ascii="Segoe UI"/>
          <w:color w:val="231F20"/>
          <w:spacing w:val="-1"/>
          <w:sz w:val="16"/>
        </w:rPr>
        <w:t>2019.</w:t>
      </w:r>
      <w:r>
        <w:rPr>
          <w:rFonts w:ascii="Segoe UI"/>
          <w:color w:val="231F20"/>
          <w:spacing w:val="-4"/>
          <w:sz w:val="16"/>
        </w:rPr>
        <w:t> </w:t>
      </w:r>
      <w:r>
        <w:rPr>
          <w:rFonts w:ascii="Segoe UI"/>
          <w:color w:val="231F20"/>
          <w:sz w:val="16"/>
        </w:rPr>
        <w:t>One</w:t>
      </w:r>
      <w:r>
        <w:rPr>
          <w:rFonts w:ascii="Segoe UI"/>
          <w:color w:val="231F20"/>
          <w:spacing w:val="-4"/>
          <w:sz w:val="16"/>
        </w:rPr>
        <w:t> </w:t>
      </w:r>
      <w:r>
        <w:rPr>
          <w:rFonts w:ascii="Segoe UI"/>
          <w:color w:val="231F20"/>
          <w:spacing w:val="-1"/>
          <w:sz w:val="16"/>
        </w:rPr>
        <w:t>small</w:t>
      </w:r>
      <w:r>
        <w:rPr>
          <w:rFonts w:ascii="Segoe UI"/>
          <w:color w:val="231F20"/>
          <w:spacing w:val="-4"/>
          <w:sz w:val="16"/>
        </w:rPr>
        <w:t> </w:t>
      </w:r>
      <w:r>
        <w:rPr>
          <w:rFonts w:ascii="Segoe UI"/>
          <w:color w:val="231F20"/>
          <w:sz w:val="16"/>
        </w:rPr>
        <w:t>boarding</w:t>
      </w:r>
      <w:r>
        <w:rPr>
          <w:rFonts w:ascii="Segoe UI"/>
          <w:color w:val="231F20"/>
          <w:spacing w:val="-4"/>
          <w:sz w:val="16"/>
        </w:rPr>
        <w:t> </w:t>
      </w:r>
      <w:r>
        <w:rPr>
          <w:rFonts w:ascii="Segoe UI"/>
          <w:color w:val="231F20"/>
          <w:sz w:val="16"/>
        </w:rPr>
        <w:t>provider</w:t>
      </w:r>
      <w:r>
        <w:rPr>
          <w:rFonts w:ascii="Segoe UI"/>
          <w:color w:val="231F20"/>
          <w:spacing w:val="24"/>
          <w:w w:val="99"/>
          <w:sz w:val="16"/>
        </w:rPr>
        <w:t> </w:t>
      </w:r>
      <w:r>
        <w:rPr>
          <w:rFonts w:ascii="Segoe UI"/>
          <w:color w:val="231F20"/>
          <w:spacing w:val="-1"/>
          <w:sz w:val="16"/>
        </w:rPr>
        <w:t>indicated</w:t>
      </w:r>
      <w:r>
        <w:rPr>
          <w:rFonts w:ascii="Segoe UI"/>
          <w:color w:val="231F20"/>
          <w:spacing w:val="-6"/>
          <w:sz w:val="16"/>
        </w:rPr>
        <w:t> </w:t>
      </w:r>
      <w:r>
        <w:rPr>
          <w:rFonts w:ascii="Segoe UI"/>
          <w:color w:val="231F20"/>
          <w:sz w:val="16"/>
        </w:rPr>
        <w:t>that</w:t>
      </w:r>
      <w:r>
        <w:rPr>
          <w:rFonts w:ascii="Segoe UI"/>
          <w:color w:val="231F20"/>
          <w:spacing w:val="-5"/>
          <w:sz w:val="16"/>
        </w:rPr>
        <w:t> </w:t>
      </w:r>
      <w:r>
        <w:rPr>
          <w:rFonts w:ascii="Segoe UI"/>
          <w:color w:val="231F20"/>
          <w:spacing w:val="-1"/>
          <w:sz w:val="16"/>
        </w:rPr>
        <w:t>it</w:t>
      </w:r>
      <w:r>
        <w:rPr>
          <w:rFonts w:ascii="Segoe UI"/>
          <w:color w:val="231F20"/>
          <w:spacing w:val="-6"/>
          <w:sz w:val="16"/>
        </w:rPr>
        <w:t> </w:t>
      </w:r>
      <w:r>
        <w:rPr>
          <w:rFonts w:ascii="Segoe UI"/>
          <w:color w:val="231F20"/>
          <w:sz w:val="16"/>
        </w:rPr>
        <w:t>receives</w:t>
      </w:r>
      <w:r>
        <w:rPr>
          <w:rFonts w:ascii="Segoe UI"/>
          <w:color w:val="231F20"/>
          <w:spacing w:val="-6"/>
          <w:sz w:val="16"/>
        </w:rPr>
        <w:t> </w:t>
      </w:r>
      <w:r>
        <w:rPr>
          <w:rFonts w:ascii="Segoe UI"/>
          <w:color w:val="231F20"/>
          <w:sz w:val="16"/>
        </w:rPr>
        <w:t>approximately</w:t>
      </w:r>
      <w:r>
        <w:rPr>
          <w:rFonts w:ascii="Segoe UI"/>
          <w:color w:val="231F20"/>
          <w:spacing w:val="-5"/>
          <w:sz w:val="16"/>
        </w:rPr>
        <w:t> </w:t>
      </w:r>
      <w:r>
        <w:rPr>
          <w:rFonts w:ascii="Segoe UI"/>
          <w:color w:val="231F20"/>
          <w:spacing w:val="-1"/>
          <w:sz w:val="16"/>
        </w:rPr>
        <w:t>$100,000</w:t>
      </w:r>
      <w:r>
        <w:rPr>
          <w:rFonts w:ascii="Segoe UI"/>
          <w:color w:val="231F20"/>
          <w:spacing w:val="22"/>
          <w:sz w:val="16"/>
        </w:rPr>
        <w:t> </w:t>
      </w:r>
      <w:r>
        <w:rPr>
          <w:rFonts w:ascii="Segoe UI"/>
          <w:color w:val="231F20"/>
          <w:sz w:val="16"/>
        </w:rPr>
        <w:t>per</w:t>
      </w:r>
      <w:r>
        <w:rPr>
          <w:rFonts w:ascii="Segoe UI"/>
          <w:color w:val="231F20"/>
          <w:spacing w:val="-4"/>
          <w:sz w:val="16"/>
        </w:rPr>
        <w:t> </w:t>
      </w:r>
      <w:r>
        <w:rPr>
          <w:rFonts w:ascii="Segoe UI"/>
          <w:color w:val="231F20"/>
          <w:sz w:val="16"/>
        </w:rPr>
        <w:t>annum</w:t>
      </w:r>
      <w:r>
        <w:rPr>
          <w:rFonts w:ascii="Segoe UI"/>
          <w:color w:val="231F20"/>
          <w:spacing w:val="-5"/>
          <w:sz w:val="16"/>
        </w:rPr>
        <w:t> </w:t>
      </w:r>
      <w:r>
        <w:rPr>
          <w:rFonts w:ascii="Segoe UI"/>
          <w:color w:val="231F20"/>
          <w:sz w:val="16"/>
        </w:rPr>
        <w:t>through</w:t>
      </w:r>
      <w:r>
        <w:rPr>
          <w:rFonts w:ascii="Segoe UI"/>
          <w:color w:val="231F20"/>
          <w:spacing w:val="-5"/>
          <w:sz w:val="16"/>
        </w:rPr>
        <w:t> </w:t>
      </w:r>
      <w:r>
        <w:rPr>
          <w:rFonts w:ascii="Segoe UI"/>
          <w:color w:val="231F20"/>
          <w:sz w:val="16"/>
        </w:rPr>
        <w:t>this</w:t>
      </w:r>
      <w:r>
        <w:rPr>
          <w:rFonts w:ascii="Segoe UI"/>
          <w:color w:val="231F20"/>
          <w:spacing w:val="-5"/>
          <w:sz w:val="16"/>
        </w:rPr>
        <w:t> </w:t>
      </w:r>
      <w:r>
        <w:rPr>
          <w:rFonts w:ascii="Segoe UI"/>
          <w:color w:val="231F20"/>
          <w:spacing w:val="-1"/>
          <w:sz w:val="16"/>
        </w:rPr>
        <w:t>scheme</w:t>
      </w:r>
      <w:r>
        <w:rPr>
          <w:rFonts w:ascii="Segoe UI"/>
          <w:color w:val="231F20"/>
          <w:spacing w:val="-4"/>
          <w:sz w:val="16"/>
        </w:rPr>
        <w:t> </w:t>
      </w:r>
      <w:r>
        <w:rPr>
          <w:rFonts w:ascii="Segoe UI"/>
          <w:color w:val="231F20"/>
          <w:sz w:val="16"/>
        </w:rPr>
        <w:t>for</w:t>
      </w:r>
      <w:r>
        <w:rPr>
          <w:rFonts w:ascii="Segoe UI"/>
          <w:color w:val="231F20"/>
          <w:spacing w:val="-3"/>
          <w:sz w:val="16"/>
        </w:rPr>
        <w:t> </w:t>
      </w:r>
      <w:r>
        <w:rPr>
          <w:rFonts w:ascii="Segoe UI"/>
          <w:color w:val="231F20"/>
          <w:sz w:val="16"/>
        </w:rPr>
        <w:t>operational</w:t>
      </w:r>
      <w:r>
        <w:rPr>
          <w:rFonts w:ascii="Segoe UI"/>
          <w:color w:val="231F20"/>
          <w:spacing w:val="21"/>
          <w:w w:val="99"/>
          <w:sz w:val="16"/>
        </w:rPr>
        <w:t> </w:t>
      </w:r>
      <w:r>
        <w:rPr>
          <w:rFonts w:ascii="Segoe UI"/>
          <w:color w:val="231F20"/>
          <w:sz w:val="16"/>
        </w:rPr>
        <w:t>costs</w:t>
      </w:r>
      <w:r>
        <w:rPr>
          <w:rFonts w:ascii="Segoe UI"/>
          <w:sz w:val="16"/>
        </w:rPr>
      </w:r>
    </w:p>
    <w:p>
      <w:pPr>
        <w:numPr>
          <w:ilvl w:val="0"/>
          <w:numId w:val="13"/>
        </w:numPr>
        <w:tabs>
          <w:tab w:pos="685" w:val="left" w:leader="none"/>
        </w:tabs>
        <w:spacing w:line="200" w:lineRule="exact" w:before="113"/>
        <w:ind w:left="684" w:right="67" w:hanging="567"/>
        <w:jc w:val="left"/>
        <w:rPr>
          <w:rFonts w:ascii="Segoe UI" w:hAnsi="Segoe UI" w:cs="Segoe UI" w:eastAsia="Segoe UI"/>
          <w:sz w:val="16"/>
          <w:szCs w:val="16"/>
        </w:rPr>
      </w:pPr>
      <w:r>
        <w:rPr>
          <w:rFonts w:ascii="Segoe UI"/>
          <w:color w:val="231F20"/>
          <w:spacing w:val="-1"/>
          <w:sz w:val="16"/>
        </w:rPr>
        <w:t>Department</w:t>
      </w:r>
      <w:r>
        <w:rPr>
          <w:rFonts w:ascii="Segoe UI"/>
          <w:color w:val="231F20"/>
          <w:spacing w:val="-5"/>
          <w:sz w:val="16"/>
        </w:rPr>
        <w:t> </w:t>
      </w:r>
      <w:r>
        <w:rPr>
          <w:rFonts w:ascii="Segoe UI"/>
          <w:color w:val="231F20"/>
          <w:sz w:val="16"/>
        </w:rPr>
        <w:t>of</w:t>
      </w:r>
      <w:r>
        <w:rPr>
          <w:rFonts w:ascii="Segoe UI"/>
          <w:color w:val="231F20"/>
          <w:spacing w:val="-4"/>
          <w:sz w:val="16"/>
        </w:rPr>
        <w:t> </w:t>
      </w:r>
      <w:r>
        <w:rPr>
          <w:rFonts w:ascii="Segoe UI"/>
          <w:color w:val="231F20"/>
          <w:sz w:val="16"/>
        </w:rPr>
        <w:t>Education</w:t>
      </w:r>
      <w:r>
        <w:rPr>
          <w:rFonts w:ascii="Segoe UI"/>
          <w:color w:val="231F20"/>
          <w:spacing w:val="-6"/>
          <w:sz w:val="16"/>
        </w:rPr>
        <w:t> </w:t>
      </w:r>
      <w:r>
        <w:rPr>
          <w:rFonts w:ascii="Segoe UI"/>
          <w:color w:val="231F20"/>
          <w:sz w:val="16"/>
        </w:rPr>
        <w:t>and</w:t>
      </w:r>
      <w:r>
        <w:rPr>
          <w:rFonts w:ascii="Segoe UI"/>
          <w:color w:val="231F20"/>
          <w:spacing w:val="-5"/>
          <w:sz w:val="16"/>
        </w:rPr>
        <w:t> </w:t>
      </w:r>
      <w:r>
        <w:rPr>
          <w:rFonts w:ascii="Segoe UI"/>
          <w:color w:val="231F20"/>
          <w:spacing w:val="-2"/>
          <w:sz w:val="16"/>
        </w:rPr>
        <w:t>Training,</w:t>
      </w:r>
      <w:r>
        <w:rPr>
          <w:rFonts w:ascii="Segoe UI"/>
          <w:color w:val="231F20"/>
          <w:spacing w:val="-5"/>
          <w:sz w:val="16"/>
        </w:rPr>
        <w:t> </w:t>
      </w:r>
      <w:r>
        <w:rPr>
          <w:rFonts w:ascii="Segoe UI"/>
          <w:i/>
          <w:color w:val="231F20"/>
          <w:sz w:val="16"/>
        </w:rPr>
        <w:t>A</w:t>
      </w:r>
      <w:r>
        <w:rPr>
          <w:rFonts w:ascii="Segoe UI"/>
          <w:i/>
          <w:color w:val="231F20"/>
          <w:spacing w:val="-5"/>
          <w:sz w:val="16"/>
        </w:rPr>
        <w:t> </w:t>
      </w:r>
      <w:r>
        <w:rPr>
          <w:rFonts w:ascii="Segoe UI"/>
          <w:i/>
          <w:color w:val="231F20"/>
          <w:sz w:val="16"/>
        </w:rPr>
        <w:t>guide</w:t>
      </w:r>
      <w:r>
        <w:rPr>
          <w:rFonts w:ascii="Segoe UI"/>
          <w:i/>
          <w:color w:val="231F20"/>
          <w:spacing w:val="-4"/>
          <w:sz w:val="16"/>
        </w:rPr>
        <w:t> </w:t>
      </w:r>
      <w:r>
        <w:rPr>
          <w:rFonts w:ascii="Segoe UI"/>
          <w:i/>
          <w:color w:val="231F20"/>
          <w:sz w:val="16"/>
        </w:rPr>
        <w:t>for</w:t>
      </w:r>
      <w:r>
        <w:rPr>
          <w:rFonts w:ascii="Segoe UI"/>
          <w:i/>
          <w:color w:val="231F20"/>
          <w:spacing w:val="26"/>
          <w:sz w:val="16"/>
        </w:rPr>
        <w:t> </w:t>
      </w:r>
      <w:r>
        <w:rPr>
          <w:rFonts w:ascii="Segoe UI"/>
          <w:i/>
          <w:color w:val="231F20"/>
          <w:spacing w:val="-1"/>
          <w:sz w:val="16"/>
        </w:rPr>
        <w:t>approved</w:t>
      </w:r>
      <w:r>
        <w:rPr>
          <w:rFonts w:ascii="Segoe UI"/>
          <w:i/>
          <w:color w:val="231F20"/>
          <w:spacing w:val="-4"/>
          <w:sz w:val="16"/>
        </w:rPr>
        <w:t> </w:t>
      </w:r>
      <w:r>
        <w:rPr>
          <w:rFonts w:ascii="Segoe UI"/>
          <w:i/>
          <w:color w:val="231F20"/>
          <w:sz w:val="16"/>
        </w:rPr>
        <w:t>authorities</w:t>
      </w:r>
      <w:r>
        <w:rPr>
          <w:rFonts w:ascii="Segoe UI"/>
          <w:i/>
          <w:color w:val="231F20"/>
          <w:spacing w:val="-4"/>
          <w:sz w:val="16"/>
        </w:rPr>
        <w:t> </w:t>
      </w:r>
      <w:r>
        <w:rPr>
          <w:rFonts w:ascii="Segoe UI"/>
          <w:i/>
          <w:color w:val="231F20"/>
          <w:spacing w:val="-1"/>
          <w:sz w:val="16"/>
        </w:rPr>
        <w:t>on</w:t>
      </w:r>
      <w:r>
        <w:rPr>
          <w:rFonts w:ascii="Segoe UI"/>
          <w:i/>
          <w:color w:val="231F20"/>
          <w:spacing w:val="-2"/>
          <w:sz w:val="16"/>
        </w:rPr>
        <w:t> </w:t>
      </w:r>
      <w:r>
        <w:rPr>
          <w:rFonts w:ascii="Segoe UI"/>
          <w:i/>
          <w:color w:val="231F20"/>
          <w:spacing w:val="-1"/>
          <w:sz w:val="16"/>
        </w:rPr>
        <w:t>the</w:t>
      </w:r>
      <w:r>
        <w:rPr>
          <w:rFonts w:ascii="Segoe UI"/>
          <w:i/>
          <w:color w:val="231F20"/>
          <w:spacing w:val="-3"/>
          <w:sz w:val="16"/>
        </w:rPr>
        <w:t> </w:t>
      </w:r>
      <w:r>
        <w:rPr>
          <w:rFonts w:ascii="Segoe UI"/>
          <w:i/>
          <w:color w:val="231F20"/>
          <w:spacing w:val="-1"/>
          <w:sz w:val="16"/>
        </w:rPr>
        <w:t>use</w:t>
      </w:r>
      <w:r>
        <w:rPr>
          <w:rFonts w:ascii="Segoe UI"/>
          <w:i/>
          <w:color w:val="231F20"/>
          <w:spacing w:val="-2"/>
          <w:sz w:val="16"/>
        </w:rPr>
        <w:t> of</w:t>
      </w:r>
      <w:r>
        <w:rPr>
          <w:rFonts w:ascii="Segoe UI"/>
          <w:i/>
          <w:color w:val="231F20"/>
          <w:spacing w:val="-3"/>
          <w:sz w:val="16"/>
        </w:rPr>
        <w:t> </w:t>
      </w:r>
      <w:r>
        <w:rPr>
          <w:rFonts w:ascii="Segoe UI"/>
          <w:i/>
          <w:color w:val="231F20"/>
          <w:sz w:val="16"/>
        </w:rPr>
        <w:t>recurrent</w:t>
      </w:r>
      <w:r>
        <w:rPr>
          <w:rFonts w:ascii="Segoe UI"/>
          <w:i/>
          <w:color w:val="231F20"/>
          <w:spacing w:val="-4"/>
          <w:sz w:val="16"/>
        </w:rPr>
        <w:t> </w:t>
      </w:r>
      <w:r>
        <w:rPr>
          <w:rFonts w:ascii="Segoe UI"/>
          <w:i/>
          <w:color w:val="231F20"/>
          <w:spacing w:val="-1"/>
          <w:sz w:val="16"/>
        </w:rPr>
        <w:t>funding</w:t>
      </w:r>
      <w:r>
        <w:rPr>
          <w:rFonts w:ascii="Segoe UI"/>
          <w:i/>
          <w:color w:val="231F20"/>
          <w:spacing w:val="27"/>
          <w:w w:val="99"/>
          <w:sz w:val="16"/>
        </w:rPr>
        <w:t> </w:t>
      </w:r>
      <w:r>
        <w:rPr>
          <w:rFonts w:ascii="Segoe UI"/>
          <w:i/>
          <w:color w:val="231F20"/>
          <w:spacing w:val="-1"/>
          <w:sz w:val="16"/>
        </w:rPr>
        <w:t>Australian</w:t>
      </w:r>
      <w:r>
        <w:rPr>
          <w:rFonts w:ascii="Segoe UI"/>
          <w:i/>
          <w:color w:val="231F20"/>
          <w:spacing w:val="-5"/>
          <w:sz w:val="16"/>
        </w:rPr>
        <w:t> </w:t>
      </w:r>
      <w:r>
        <w:rPr>
          <w:rFonts w:ascii="Segoe UI"/>
          <w:i/>
          <w:color w:val="231F20"/>
          <w:sz w:val="16"/>
        </w:rPr>
        <w:t>Education</w:t>
      </w:r>
      <w:r>
        <w:rPr>
          <w:rFonts w:ascii="Segoe UI"/>
          <w:i/>
          <w:color w:val="231F20"/>
          <w:spacing w:val="-5"/>
          <w:sz w:val="16"/>
        </w:rPr>
        <w:t> </w:t>
      </w:r>
      <w:r>
        <w:rPr>
          <w:rFonts w:ascii="Segoe UI"/>
          <w:i/>
          <w:color w:val="231F20"/>
          <w:sz w:val="16"/>
        </w:rPr>
        <w:t>Act</w:t>
      </w:r>
      <w:r>
        <w:rPr>
          <w:rFonts w:ascii="Segoe UI"/>
          <w:i/>
          <w:color w:val="231F20"/>
          <w:spacing w:val="-5"/>
          <w:sz w:val="16"/>
        </w:rPr>
        <w:t> </w:t>
      </w:r>
      <w:r>
        <w:rPr>
          <w:rFonts w:ascii="Segoe UI"/>
          <w:i/>
          <w:color w:val="231F20"/>
          <w:sz w:val="16"/>
        </w:rPr>
        <w:t>2013</w:t>
      </w:r>
      <w:r>
        <w:rPr>
          <w:rFonts w:ascii="Segoe UI"/>
          <w:color w:val="231F20"/>
          <w:sz w:val="16"/>
        </w:rPr>
        <w:t>,</w:t>
      </w:r>
      <w:r>
        <w:rPr>
          <w:rFonts w:ascii="Segoe UI"/>
          <w:color w:val="231F20"/>
          <w:spacing w:val="-4"/>
          <w:sz w:val="16"/>
        </w:rPr>
        <w:t> </w:t>
      </w:r>
      <w:r>
        <w:rPr>
          <w:rFonts w:ascii="Segoe UI"/>
          <w:color w:val="3853A4"/>
          <w:spacing w:val="-4"/>
          <w:sz w:val="16"/>
        </w:rPr>
      </w:r>
      <w:hyperlink r:id="rId126">
        <w:r>
          <w:rPr>
            <w:rFonts w:ascii="Segoe UI"/>
            <w:color w:val="3853A4"/>
            <w:sz w:val="16"/>
            <w:u w:val="single" w:color="3853A4"/>
          </w:rPr>
          <w:t>w</w:t>
        </w:r>
        <w:r>
          <w:rPr>
            <w:rFonts w:ascii="Segoe UI"/>
            <w:color w:val="3853A4"/>
            <w:sz w:val="16"/>
          </w:rPr>
          <w:t>ww.education.gov.</w:t>
        </w:r>
      </w:hyperlink>
      <w:r>
        <w:rPr>
          <w:rFonts w:ascii="Segoe UI"/>
          <w:color w:val="3853A4"/>
          <w:spacing w:val="28"/>
          <w:w w:val="99"/>
          <w:sz w:val="16"/>
        </w:rPr>
        <w:t> </w:t>
      </w:r>
      <w:r>
        <w:rPr>
          <w:rFonts w:ascii="Segoe UI"/>
          <w:color w:val="3853A4"/>
          <w:sz w:val="16"/>
          <w:u w:val="single" w:color="3853A4"/>
        </w:rPr>
        <w:t>au</w:t>
      </w:r>
      <w:r>
        <w:rPr>
          <w:rFonts w:ascii="Segoe UI"/>
          <w:color w:val="3853A4"/>
          <w:sz w:val="16"/>
        </w:rPr>
      </w:r>
      <w:r>
        <w:rPr>
          <w:rFonts w:ascii="Segoe UI"/>
          <w:color w:val="231F20"/>
          <w:sz w:val="16"/>
        </w:rPr>
        <w:t>,</w:t>
      </w:r>
      <w:r>
        <w:rPr>
          <w:rFonts w:ascii="Segoe UI"/>
          <w:color w:val="231F20"/>
          <w:spacing w:val="-2"/>
          <w:sz w:val="16"/>
        </w:rPr>
        <w:t> </w:t>
      </w:r>
      <w:r>
        <w:rPr>
          <w:rFonts w:ascii="Segoe UI"/>
          <w:color w:val="231F20"/>
          <w:sz w:val="16"/>
        </w:rPr>
        <w:t>accessed</w:t>
      </w:r>
      <w:r>
        <w:rPr>
          <w:rFonts w:ascii="Segoe UI"/>
          <w:color w:val="231F20"/>
          <w:spacing w:val="-2"/>
          <w:sz w:val="16"/>
        </w:rPr>
        <w:t> </w:t>
      </w:r>
      <w:r>
        <w:rPr>
          <w:rFonts w:ascii="Segoe UI"/>
          <w:color w:val="231F20"/>
          <w:spacing w:val="-1"/>
          <w:sz w:val="16"/>
        </w:rPr>
        <w:t>in </w:t>
      </w:r>
      <w:r>
        <w:rPr>
          <w:rFonts w:ascii="Segoe UI"/>
          <w:color w:val="231F20"/>
          <w:sz w:val="16"/>
        </w:rPr>
        <w:t>May</w:t>
      </w:r>
      <w:r>
        <w:rPr>
          <w:rFonts w:ascii="Segoe UI"/>
          <w:color w:val="231F20"/>
          <w:spacing w:val="-2"/>
          <w:sz w:val="16"/>
        </w:rPr>
        <w:t> </w:t>
      </w:r>
      <w:r>
        <w:rPr>
          <w:rFonts w:ascii="Segoe UI"/>
          <w:color w:val="231F20"/>
          <w:sz w:val="16"/>
        </w:rPr>
        <w:t>2019</w:t>
      </w:r>
      <w:r>
        <w:rPr>
          <w:rFonts w:ascii="Segoe UI"/>
          <w:sz w:val="16"/>
        </w:rPr>
      </w:r>
    </w:p>
    <w:p>
      <w:pPr>
        <w:numPr>
          <w:ilvl w:val="0"/>
          <w:numId w:val="13"/>
        </w:numPr>
        <w:tabs>
          <w:tab w:pos="685" w:val="left" w:leader="none"/>
        </w:tabs>
        <w:spacing w:line="200" w:lineRule="exact" w:before="113"/>
        <w:ind w:left="684" w:right="152" w:hanging="567"/>
        <w:jc w:val="left"/>
        <w:rPr>
          <w:rFonts w:ascii="Segoe UI" w:hAnsi="Segoe UI" w:cs="Segoe UI" w:eastAsia="Segoe UI"/>
          <w:sz w:val="16"/>
          <w:szCs w:val="16"/>
        </w:rPr>
      </w:pPr>
      <w:r>
        <w:rPr>
          <w:rFonts w:ascii="Segoe UI"/>
          <w:color w:val="231F20"/>
          <w:sz w:val="16"/>
        </w:rPr>
        <w:t>There</w:t>
      </w:r>
      <w:r>
        <w:rPr>
          <w:rFonts w:ascii="Segoe UI"/>
          <w:color w:val="231F20"/>
          <w:spacing w:val="-2"/>
          <w:sz w:val="16"/>
        </w:rPr>
        <w:t> </w:t>
      </w:r>
      <w:r>
        <w:rPr>
          <w:rFonts w:ascii="Segoe UI"/>
          <w:color w:val="231F20"/>
          <w:spacing w:val="-1"/>
          <w:sz w:val="16"/>
        </w:rPr>
        <w:t>is</w:t>
      </w:r>
      <w:r>
        <w:rPr>
          <w:rFonts w:ascii="Segoe UI"/>
          <w:color w:val="231F20"/>
          <w:spacing w:val="-3"/>
          <w:sz w:val="16"/>
        </w:rPr>
        <w:t> </w:t>
      </w:r>
      <w:r>
        <w:rPr>
          <w:rFonts w:ascii="Segoe UI"/>
          <w:color w:val="231F20"/>
          <w:sz w:val="16"/>
        </w:rPr>
        <w:t>no</w:t>
      </w:r>
      <w:r>
        <w:rPr>
          <w:rFonts w:ascii="Segoe UI"/>
          <w:color w:val="231F20"/>
          <w:spacing w:val="-2"/>
          <w:sz w:val="16"/>
        </w:rPr>
        <w:t> </w:t>
      </w:r>
      <w:r>
        <w:rPr>
          <w:rFonts w:ascii="Segoe UI"/>
          <w:color w:val="231F20"/>
          <w:spacing w:val="-1"/>
          <w:sz w:val="16"/>
        </w:rPr>
        <w:t>subsection</w:t>
      </w:r>
      <w:r>
        <w:rPr>
          <w:rFonts w:ascii="Segoe UI"/>
          <w:color w:val="231F20"/>
          <w:spacing w:val="-2"/>
          <w:sz w:val="16"/>
        </w:rPr>
        <w:t> </w:t>
      </w:r>
      <w:r>
        <w:rPr>
          <w:rFonts w:ascii="Segoe UI"/>
          <w:color w:val="231F20"/>
          <w:spacing w:val="-1"/>
          <w:sz w:val="16"/>
        </w:rPr>
        <w:t>2(f). Examples</w:t>
      </w:r>
      <w:r>
        <w:rPr>
          <w:rFonts w:ascii="Segoe UI"/>
          <w:color w:val="231F20"/>
          <w:spacing w:val="-3"/>
          <w:sz w:val="16"/>
        </w:rPr>
        <w:t> </w:t>
      </w:r>
      <w:r>
        <w:rPr>
          <w:rFonts w:ascii="Segoe UI"/>
          <w:color w:val="231F20"/>
          <w:sz w:val="16"/>
        </w:rPr>
        <w:t>of</w:t>
      </w:r>
      <w:r>
        <w:rPr>
          <w:rFonts w:ascii="Segoe UI"/>
          <w:color w:val="231F20"/>
          <w:spacing w:val="21"/>
          <w:w w:val="99"/>
          <w:sz w:val="16"/>
        </w:rPr>
        <w:t> </w:t>
      </w:r>
      <w:r>
        <w:rPr>
          <w:rFonts w:ascii="Segoe UI"/>
          <w:color w:val="231F20"/>
          <w:sz w:val="16"/>
        </w:rPr>
        <w:t>administrative</w:t>
      </w:r>
      <w:r>
        <w:rPr>
          <w:rFonts w:ascii="Segoe UI"/>
          <w:color w:val="231F20"/>
          <w:spacing w:val="-1"/>
          <w:sz w:val="16"/>
        </w:rPr>
        <w:t> </w:t>
      </w:r>
      <w:r>
        <w:rPr>
          <w:rFonts w:ascii="Segoe UI"/>
          <w:color w:val="231F20"/>
          <w:sz w:val="16"/>
        </w:rPr>
        <w:t>costs include</w:t>
      </w:r>
      <w:r>
        <w:rPr>
          <w:rFonts w:ascii="Segoe UI"/>
          <w:color w:val="231F20"/>
          <w:spacing w:val="-1"/>
          <w:sz w:val="16"/>
        </w:rPr>
        <w:t> </w:t>
      </w:r>
      <w:r>
        <w:rPr>
          <w:rFonts w:ascii="Segoe UI"/>
          <w:color w:val="231F20"/>
          <w:sz w:val="16"/>
        </w:rPr>
        <w:t>staff</w:t>
      </w:r>
      <w:r>
        <w:rPr>
          <w:rFonts w:ascii="Segoe UI"/>
          <w:color w:val="231F20"/>
          <w:spacing w:val="-1"/>
          <w:sz w:val="16"/>
        </w:rPr>
        <w:t> </w:t>
      </w:r>
      <w:r>
        <w:rPr>
          <w:rFonts w:ascii="Segoe UI"/>
          <w:color w:val="231F20"/>
          <w:sz w:val="16"/>
        </w:rPr>
        <w:t>costs in</w:t>
      </w:r>
      <w:r>
        <w:rPr>
          <w:rFonts w:ascii="Segoe UI"/>
          <w:color w:val="231F20"/>
          <w:spacing w:val="-1"/>
          <w:sz w:val="16"/>
        </w:rPr>
        <w:t> </w:t>
      </w:r>
      <w:r>
        <w:rPr>
          <w:rFonts w:ascii="Segoe UI"/>
          <w:color w:val="231F20"/>
          <w:sz w:val="16"/>
        </w:rPr>
        <w:t>meeting</w:t>
      </w:r>
      <w:r>
        <w:rPr>
          <w:rFonts w:ascii="Segoe UI"/>
          <w:color w:val="231F20"/>
          <w:sz w:val="16"/>
        </w:rPr>
        <w:t> </w:t>
      </w:r>
      <w:r>
        <w:rPr>
          <w:rFonts w:ascii="Segoe UI"/>
          <w:color w:val="231F20"/>
          <w:sz w:val="16"/>
        </w:rPr>
        <w:t>Australian</w:t>
      </w:r>
      <w:r>
        <w:rPr>
          <w:rFonts w:ascii="Segoe UI"/>
          <w:color w:val="231F20"/>
          <w:spacing w:val="-11"/>
          <w:sz w:val="16"/>
        </w:rPr>
        <w:t> </w:t>
      </w:r>
      <w:r>
        <w:rPr>
          <w:rFonts w:ascii="Segoe UI"/>
          <w:color w:val="231F20"/>
          <w:sz w:val="16"/>
        </w:rPr>
        <w:t>Government</w:t>
      </w:r>
      <w:r>
        <w:rPr>
          <w:rFonts w:ascii="Segoe UI"/>
          <w:color w:val="231F20"/>
          <w:spacing w:val="-11"/>
          <w:sz w:val="16"/>
        </w:rPr>
        <w:t> </w:t>
      </w:r>
      <w:r>
        <w:rPr>
          <w:rFonts w:ascii="Segoe UI"/>
          <w:color w:val="231F20"/>
          <w:sz w:val="16"/>
        </w:rPr>
        <w:t>reporting</w:t>
      </w:r>
      <w:r>
        <w:rPr>
          <w:rFonts w:ascii="Segoe UI"/>
          <w:color w:val="231F20"/>
          <w:spacing w:val="-12"/>
          <w:sz w:val="16"/>
        </w:rPr>
        <w:t> </w:t>
      </w:r>
      <w:r>
        <w:rPr>
          <w:rFonts w:ascii="Segoe UI"/>
          <w:color w:val="231F20"/>
          <w:sz w:val="16"/>
        </w:rPr>
        <w:t>requirements,</w:t>
      </w:r>
      <w:r>
        <w:rPr>
          <w:rFonts w:ascii="Segoe UI"/>
          <w:color w:val="231F20"/>
          <w:w w:val="99"/>
          <w:sz w:val="16"/>
        </w:rPr>
        <w:t> </w:t>
      </w:r>
      <w:r>
        <w:rPr>
          <w:rFonts w:ascii="Segoe UI"/>
          <w:color w:val="231F20"/>
          <w:sz w:val="16"/>
        </w:rPr>
        <w:t>participating</w:t>
      </w:r>
      <w:r>
        <w:rPr>
          <w:rFonts w:ascii="Segoe UI"/>
          <w:color w:val="231F20"/>
          <w:spacing w:val="-6"/>
          <w:sz w:val="16"/>
        </w:rPr>
        <w:t> </w:t>
      </w:r>
      <w:r>
        <w:rPr>
          <w:rFonts w:ascii="Segoe UI"/>
          <w:color w:val="231F20"/>
          <w:spacing w:val="-1"/>
          <w:sz w:val="16"/>
        </w:rPr>
        <w:t>in</w:t>
      </w:r>
      <w:r>
        <w:rPr>
          <w:rFonts w:ascii="Segoe UI"/>
          <w:color w:val="231F20"/>
          <w:spacing w:val="-5"/>
          <w:sz w:val="16"/>
        </w:rPr>
        <w:t> </w:t>
      </w:r>
      <w:r>
        <w:rPr>
          <w:rFonts w:ascii="Segoe UI"/>
          <w:color w:val="231F20"/>
          <w:sz w:val="16"/>
        </w:rPr>
        <w:t>NAPLAN</w:t>
      </w:r>
      <w:r>
        <w:rPr>
          <w:rFonts w:ascii="Segoe UI"/>
          <w:color w:val="231F20"/>
          <w:spacing w:val="-5"/>
          <w:sz w:val="16"/>
        </w:rPr>
        <w:t> </w:t>
      </w:r>
      <w:r>
        <w:rPr>
          <w:rFonts w:ascii="Segoe UI"/>
          <w:color w:val="231F20"/>
          <w:sz w:val="16"/>
        </w:rPr>
        <w:t>or</w:t>
      </w:r>
      <w:r>
        <w:rPr>
          <w:rFonts w:ascii="Segoe UI"/>
          <w:color w:val="231F20"/>
          <w:spacing w:val="-4"/>
          <w:sz w:val="16"/>
        </w:rPr>
        <w:t> </w:t>
      </w:r>
      <w:r>
        <w:rPr>
          <w:rFonts w:ascii="Segoe UI"/>
          <w:color w:val="231F20"/>
          <w:sz w:val="16"/>
        </w:rPr>
        <w:t>other</w:t>
      </w:r>
      <w:r>
        <w:rPr>
          <w:rFonts w:ascii="Segoe UI"/>
          <w:color w:val="231F20"/>
          <w:spacing w:val="-5"/>
          <w:sz w:val="16"/>
        </w:rPr>
        <w:t> </w:t>
      </w:r>
      <w:r>
        <w:rPr>
          <w:rFonts w:ascii="Segoe UI"/>
          <w:color w:val="231F20"/>
          <w:sz w:val="16"/>
        </w:rPr>
        <w:t>national</w:t>
      </w:r>
      <w:r>
        <w:rPr>
          <w:rFonts w:ascii="Segoe UI"/>
          <w:color w:val="231F20"/>
          <w:spacing w:val="25"/>
          <w:w w:val="99"/>
          <w:sz w:val="16"/>
        </w:rPr>
        <w:t> </w:t>
      </w:r>
      <w:r>
        <w:rPr>
          <w:rFonts w:ascii="Segoe UI"/>
          <w:color w:val="231F20"/>
          <w:sz w:val="16"/>
        </w:rPr>
        <w:t>assessments</w:t>
      </w:r>
      <w:r>
        <w:rPr>
          <w:rFonts w:ascii="Segoe UI"/>
          <w:sz w:val="16"/>
        </w:rPr>
      </w:r>
    </w:p>
    <w:p>
      <w:pPr>
        <w:numPr>
          <w:ilvl w:val="0"/>
          <w:numId w:val="13"/>
        </w:numPr>
        <w:tabs>
          <w:tab w:pos="685" w:val="left" w:leader="none"/>
        </w:tabs>
        <w:spacing w:line="200" w:lineRule="exact" w:before="113"/>
        <w:ind w:left="684" w:right="239" w:hanging="567"/>
        <w:jc w:val="left"/>
        <w:rPr>
          <w:rFonts w:ascii="Segoe UI" w:hAnsi="Segoe UI" w:cs="Segoe UI" w:eastAsia="Segoe UI"/>
          <w:sz w:val="16"/>
          <w:szCs w:val="16"/>
        </w:rPr>
      </w:pPr>
      <w:r>
        <w:rPr>
          <w:rFonts w:ascii="Segoe UI"/>
          <w:color w:val="231F20"/>
          <w:sz w:val="16"/>
        </w:rPr>
        <w:t>Queensland</w:t>
      </w:r>
      <w:r>
        <w:rPr>
          <w:rFonts w:ascii="Segoe UI"/>
          <w:color w:val="231F20"/>
          <w:spacing w:val="-9"/>
          <w:sz w:val="16"/>
        </w:rPr>
        <w:t> </w:t>
      </w:r>
      <w:r>
        <w:rPr>
          <w:rFonts w:ascii="Segoe UI"/>
          <w:color w:val="231F20"/>
          <w:sz w:val="16"/>
        </w:rPr>
        <w:t>Government</w:t>
      </w:r>
      <w:r>
        <w:rPr>
          <w:rFonts w:ascii="Segoe UI"/>
          <w:color w:val="231F20"/>
          <w:spacing w:val="-7"/>
          <w:sz w:val="16"/>
        </w:rPr>
        <w:t> </w:t>
      </w:r>
      <w:r>
        <w:rPr>
          <w:rFonts w:ascii="Segoe UI"/>
          <w:color w:val="231F20"/>
          <w:spacing w:val="-1"/>
          <w:sz w:val="16"/>
        </w:rPr>
        <w:t>Student</w:t>
      </w:r>
      <w:r>
        <w:rPr>
          <w:rFonts w:ascii="Segoe UI"/>
          <w:color w:val="231F20"/>
          <w:spacing w:val="-8"/>
          <w:sz w:val="16"/>
        </w:rPr>
        <w:t> </w:t>
      </w:r>
      <w:r>
        <w:rPr>
          <w:rFonts w:ascii="Segoe UI"/>
          <w:color w:val="231F20"/>
          <w:sz w:val="16"/>
        </w:rPr>
        <w:t>Hostel</w:t>
      </w:r>
      <w:r>
        <w:rPr>
          <w:rFonts w:ascii="Segoe UI"/>
          <w:color w:val="231F20"/>
          <w:spacing w:val="21"/>
          <w:sz w:val="16"/>
        </w:rPr>
        <w:t> </w:t>
      </w:r>
      <w:r>
        <w:rPr>
          <w:rFonts w:ascii="Segoe UI"/>
          <w:color w:val="231F20"/>
          <w:spacing w:val="-1"/>
          <w:sz w:val="16"/>
        </w:rPr>
        <w:t>Support</w:t>
      </w:r>
      <w:r>
        <w:rPr>
          <w:rFonts w:ascii="Segoe UI"/>
          <w:color w:val="231F20"/>
          <w:spacing w:val="-14"/>
          <w:sz w:val="16"/>
        </w:rPr>
        <w:t> </w:t>
      </w:r>
      <w:r>
        <w:rPr>
          <w:rFonts w:ascii="Segoe UI"/>
          <w:color w:val="231F20"/>
          <w:spacing w:val="-1"/>
          <w:sz w:val="16"/>
        </w:rPr>
        <w:t>Scheme,</w:t>
      </w:r>
      <w:r>
        <w:rPr>
          <w:rFonts w:ascii="Segoe UI"/>
          <w:color w:val="231F20"/>
          <w:spacing w:val="-13"/>
          <w:sz w:val="16"/>
        </w:rPr>
        <w:t> </w:t>
      </w:r>
      <w:r>
        <w:rPr>
          <w:rFonts w:ascii="Segoe UI"/>
          <w:color w:val="3853A4"/>
          <w:spacing w:val="-13"/>
          <w:sz w:val="16"/>
        </w:rPr>
      </w:r>
      <w:r>
        <w:rPr>
          <w:rFonts w:ascii="Segoe UI"/>
          <w:color w:val="3853A4"/>
          <w:sz w:val="16"/>
          <w:u w:val="single" w:color="3853A4"/>
        </w:rPr>
        <w:t>https://education.qld.gov.au/</w:t>
      </w:r>
      <w:r>
        <w:rPr>
          <w:rFonts w:ascii="Segoe UI"/>
          <w:color w:val="3853A4"/>
          <w:w w:val="99"/>
          <w:sz w:val="16"/>
        </w:rPr>
      </w:r>
      <w:r>
        <w:rPr>
          <w:rFonts w:ascii="Segoe UI"/>
          <w:color w:val="3853A4"/>
          <w:spacing w:val="23"/>
          <w:w w:val="99"/>
          <w:sz w:val="16"/>
        </w:rPr>
        <w:t> </w:t>
      </w:r>
      <w:r>
        <w:rPr>
          <w:rFonts w:ascii="Segoe UI"/>
          <w:color w:val="3853A4"/>
          <w:w w:val="95"/>
          <w:sz w:val="16"/>
          <w:u w:val="single" w:color="3853A4"/>
        </w:rPr>
        <w:t>about-us/budgets-funding-grants/grants/other-</w:t>
      </w:r>
      <w:r>
        <w:rPr>
          <w:rFonts w:ascii="Segoe UI"/>
          <w:color w:val="3853A4"/>
          <w:w w:val="99"/>
          <w:sz w:val="16"/>
        </w:rPr>
      </w:r>
      <w:r>
        <w:rPr>
          <w:rFonts w:ascii="Segoe UI"/>
          <w:sz w:val="16"/>
        </w:rPr>
      </w:r>
    </w:p>
    <w:p>
      <w:pPr>
        <w:spacing w:line="200" w:lineRule="exact" w:before="0"/>
        <w:ind w:left="684" w:right="17" w:firstLine="0"/>
        <w:jc w:val="left"/>
        <w:rPr>
          <w:rFonts w:ascii="Segoe UI" w:hAnsi="Segoe UI" w:cs="Segoe UI" w:eastAsia="Segoe UI"/>
          <w:sz w:val="16"/>
          <w:szCs w:val="16"/>
        </w:rPr>
      </w:pPr>
      <w:r>
        <w:rPr>
          <w:rFonts w:ascii="Segoe UI"/>
          <w:color w:val="3853A4"/>
          <w:sz w:val="16"/>
        </w:rPr>
      </w:r>
      <w:r>
        <w:rPr>
          <w:rFonts w:ascii="Segoe UI"/>
          <w:color w:val="3853A4"/>
          <w:spacing w:val="-1"/>
          <w:sz w:val="16"/>
          <w:u w:val="single" w:color="3853A4"/>
        </w:rPr>
        <w:t>organisations/students-hostels-assistance</w:t>
      </w:r>
      <w:r>
        <w:rPr>
          <w:rFonts w:ascii="Segoe UI"/>
          <w:color w:val="3853A4"/>
          <w:sz w:val="16"/>
        </w:rPr>
      </w:r>
      <w:r>
        <w:rPr>
          <w:rFonts w:ascii="Segoe UI"/>
          <w:color w:val="231F20"/>
          <w:spacing w:val="-1"/>
          <w:sz w:val="16"/>
        </w:rPr>
        <w:t>, </w:t>
      </w:r>
      <w:r>
        <w:rPr>
          <w:rFonts w:ascii="Segoe UI"/>
          <w:color w:val="231F20"/>
          <w:sz w:val="16"/>
        </w:rPr>
        <w:t>accessed</w:t>
      </w:r>
      <w:r>
        <w:rPr>
          <w:rFonts w:ascii="Segoe UI"/>
          <w:color w:val="231F20"/>
          <w:spacing w:val="82"/>
          <w:sz w:val="16"/>
        </w:rPr>
        <w:t> </w:t>
      </w:r>
      <w:r>
        <w:rPr>
          <w:rFonts w:ascii="Segoe UI"/>
          <w:color w:val="231F20"/>
          <w:spacing w:val="-1"/>
          <w:sz w:val="16"/>
        </w:rPr>
        <w:t>in</w:t>
      </w:r>
      <w:r>
        <w:rPr>
          <w:rFonts w:ascii="Segoe UI"/>
          <w:color w:val="231F20"/>
          <w:spacing w:val="-4"/>
          <w:sz w:val="16"/>
        </w:rPr>
        <w:t> </w:t>
      </w:r>
      <w:r>
        <w:rPr>
          <w:rFonts w:ascii="Segoe UI"/>
          <w:color w:val="231F20"/>
          <w:sz w:val="16"/>
        </w:rPr>
        <w:t>January</w:t>
      </w:r>
      <w:r>
        <w:rPr>
          <w:rFonts w:ascii="Segoe UI"/>
          <w:color w:val="231F20"/>
          <w:spacing w:val="-3"/>
          <w:sz w:val="16"/>
        </w:rPr>
        <w:t> </w:t>
      </w:r>
      <w:r>
        <w:rPr>
          <w:rFonts w:ascii="Segoe UI"/>
          <w:color w:val="231F20"/>
          <w:spacing w:val="-1"/>
          <w:sz w:val="16"/>
        </w:rPr>
        <w:t>2019.</w:t>
      </w:r>
      <w:r>
        <w:rPr>
          <w:rFonts w:ascii="Segoe UI"/>
          <w:color w:val="231F20"/>
          <w:spacing w:val="-4"/>
          <w:sz w:val="16"/>
        </w:rPr>
        <w:t> </w:t>
      </w:r>
      <w:r>
        <w:rPr>
          <w:rFonts w:ascii="Segoe UI"/>
          <w:color w:val="231F20"/>
          <w:sz w:val="16"/>
        </w:rPr>
        <w:t>One</w:t>
      </w:r>
      <w:r>
        <w:rPr>
          <w:rFonts w:ascii="Segoe UI"/>
          <w:color w:val="231F20"/>
          <w:spacing w:val="-4"/>
          <w:sz w:val="16"/>
        </w:rPr>
        <w:t> </w:t>
      </w:r>
      <w:r>
        <w:rPr>
          <w:rFonts w:ascii="Segoe UI"/>
          <w:color w:val="231F20"/>
          <w:spacing w:val="-1"/>
          <w:sz w:val="16"/>
        </w:rPr>
        <w:t>small</w:t>
      </w:r>
      <w:r>
        <w:rPr>
          <w:rFonts w:ascii="Segoe UI"/>
          <w:color w:val="231F20"/>
          <w:spacing w:val="-4"/>
          <w:sz w:val="16"/>
        </w:rPr>
        <w:t> </w:t>
      </w:r>
      <w:r>
        <w:rPr>
          <w:rFonts w:ascii="Segoe UI"/>
          <w:color w:val="231F20"/>
          <w:sz w:val="16"/>
        </w:rPr>
        <w:t>boarding</w:t>
      </w:r>
      <w:r>
        <w:rPr>
          <w:rFonts w:ascii="Segoe UI"/>
          <w:color w:val="231F20"/>
          <w:spacing w:val="-4"/>
          <w:sz w:val="16"/>
        </w:rPr>
        <w:t> </w:t>
      </w:r>
      <w:r>
        <w:rPr>
          <w:rFonts w:ascii="Segoe UI"/>
          <w:color w:val="231F20"/>
          <w:sz w:val="16"/>
        </w:rPr>
        <w:t>provider</w:t>
      </w:r>
      <w:r>
        <w:rPr>
          <w:rFonts w:ascii="Segoe UI"/>
          <w:color w:val="231F20"/>
          <w:spacing w:val="24"/>
          <w:w w:val="99"/>
          <w:sz w:val="16"/>
        </w:rPr>
        <w:t> </w:t>
      </w:r>
      <w:r>
        <w:rPr>
          <w:rFonts w:ascii="Segoe UI"/>
          <w:color w:val="231F20"/>
          <w:spacing w:val="-1"/>
          <w:sz w:val="16"/>
        </w:rPr>
        <w:t>indicated</w:t>
      </w:r>
      <w:r>
        <w:rPr>
          <w:rFonts w:ascii="Segoe UI"/>
          <w:color w:val="231F20"/>
          <w:spacing w:val="-5"/>
          <w:sz w:val="16"/>
        </w:rPr>
        <w:t> </w:t>
      </w:r>
      <w:r>
        <w:rPr>
          <w:rFonts w:ascii="Segoe UI"/>
          <w:color w:val="231F20"/>
          <w:sz w:val="16"/>
        </w:rPr>
        <w:t>that</w:t>
      </w:r>
      <w:r>
        <w:rPr>
          <w:rFonts w:ascii="Segoe UI"/>
          <w:color w:val="231F20"/>
          <w:spacing w:val="-6"/>
          <w:sz w:val="16"/>
        </w:rPr>
        <w:t> </w:t>
      </w:r>
      <w:r>
        <w:rPr>
          <w:rFonts w:ascii="Segoe UI"/>
          <w:color w:val="231F20"/>
          <w:spacing w:val="-1"/>
          <w:sz w:val="16"/>
        </w:rPr>
        <w:t>it</w:t>
      </w:r>
      <w:r>
        <w:rPr>
          <w:rFonts w:ascii="Segoe UI"/>
          <w:color w:val="231F20"/>
          <w:spacing w:val="-4"/>
          <w:sz w:val="16"/>
        </w:rPr>
        <w:t> </w:t>
      </w:r>
      <w:r>
        <w:rPr>
          <w:rFonts w:ascii="Segoe UI"/>
          <w:color w:val="231F20"/>
          <w:sz w:val="16"/>
        </w:rPr>
        <w:t>receives</w:t>
      </w:r>
      <w:r>
        <w:rPr>
          <w:rFonts w:ascii="Segoe UI"/>
          <w:color w:val="231F20"/>
          <w:spacing w:val="-6"/>
          <w:sz w:val="16"/>
        </w:rPr>
        <w:t> </w:t>
      </w:r>
      <w:r>
        <w:rPr>
          <w:rFonts w:ascii="Segoe UI"/>
          <w:color w:val="231F20"/>
          <w:sz w:val="16"/>
        </w:rPr>
        <w:t>approximately</w:t>
      </w:r>
      <w:r>
        <w:rPr>
          <w:rFonts w:ascii="Segoe UI"/>
          <w:color w:val="231F20"/>
          <w:spacing w:val="-5"/>
          <w:sz w:val="16"/>
        </w:rPr>
        <w:t> </w:t>
      </w:r>
      <w:r>
        <w:rPr>
          <w:rFonts w:ascii="Segoe UI"/>
          <w:color w:val="231F20"/>
          <w:spacing w:val="-1"/>
          <w:sz w:val="16"/>
        </w:rPr>
        <w:t>$50,000</w:t>
      </w:r>
      <w:r>
        <w:rPr>
          <w:rFonts w:ascii="Segoe UI"/>
          <w:color w:val="231F20"/>
          <w:spacing w:val="-5"/>
          <w:sz w:val="16"/>
        </w:rPr>
        <w:t> </w:t>
      </w:r>
      <w:r>
        <w:rPr>
          <w:rFonts w:ascii="Segoe UI"/>
          <w:color w:val="231F20"/>
          <w:sz w:val="16"/>
        </w:rPr>
        <w:t>per</w:t>
      </w:r>
      <w:r>
        <w:rPr>
          <w:rFonts w:ascii="Segoe UI"/>
          <w:color w:val="231F20"/>
          <w:spacing w:val="24"/>
          <w:w w:val="99"/>
          <w:sz w:val="16"/>
        </w:rPr>
        <w:t> </w:t>
      </w:r>
      <w:r>
        <w:rPr>
          <w:rFonts w:ascii="Segoe UI"/>
          <w:color w:val="231F20"/>
          <w:sz w:val="16"/>
        </w:rPr>
        <w:t>annum</w:t>
      </w:r>
      <w:r>
        <w:rPr>
          <w:rFonts w:ascii="Segoe UI"/>
          <w:color w:val="231F20"/>
          <w:spacing w:val="-6"/>
          <w:sz w:val="16"/>
        </w:rPr>
        <w:t> </w:t>
      </w:r>
      <w:r>
        <w:rPr>
          <w:rFonts w:ascii="Segoe UI"/>
          <w:color w:val="231F20"/>
          <w:sz w:val="16"/>
        </w:rPr>
        <w:t>through</w:t>
      </w:r>
      <w:r>
        <w:rPr>
          <w:rFonts w:ascii="Segoe UI"/>
          <w:color w:val="231F20"/>
          <w:spacing w:val="-5"/>
          <w:sz w:val="16"/>
        </w:rPr>
        <w:t> </w:t>
      </w:r>
      <w:r>
        <w:rPr>
          <w:rFonts w:ascii="Segoe UI"/>
          <w:color w:val="231F20"/>
          <w:sz w:val="16"/>
        </w:rPr>
        <w:t>this</w:t>
      </w:r>
      <w:r>
        <w:rPr>
          <w:rFonts w:ascii="Segoe UI"/>
          <w:color w:val="231F20"/>
          <w:spacing w:val="-5"/>
          <w:sz w:val="16"/>
        </w:rPr>
        <w:t> </w:t>
      </w:r>
      <w:r>
        <w:rPr>
          <w:rFonts w:ascii="Segoe UI"/>
          <w:color w:val="231F20"/>
          <w:spacing w:val="-1"/>
          <w:sz w:val="16"/>
        </w:rPr>
        <w:t>scheme</w:t>
      </w:r>
      <w:r>
        <w:rPr>
          <w:rFonts w:ascii="Segoe UI"/>
          <w:color w:val="231F20"/>
          <w:spacing w:val="-5"/>
          <w:sz w:val="16"/>
        </w:rPr>
        <w:t> </w:t>
      </w:r>
      <w:r>
        <w:rPr>
          <w:rFonts w:ascii="Segoe UI"/>
          <w:color w:val="231F20"/>
          <w:sz w:val="16"/>
        </w:rPr>
        <w:t>for</w:t>
      </w:r>
      <w:r>
        <w:rPr>
          <w:rFonts w:ascii="Segoe UI"/>
          <w:color w:val="231F20"/>
          <w:spacing w:val="-4"/>
          <w:sz w:val="16"/>
        </w:rPr>
        <w:t> </w:t>
      </w:r>
      <w:r>
        <w:rPr>
          <w:rFonts w:ascii="Segoe UI"/>
          <w:color w:val="231F20"/>
          <w:sz w:val="16"/>
        </w:rPr>
        <w:t>capital</w:t>
      </w:r>
      <w:r>
        <w:rPr>
          <w:rFonts w:ascii="Segoe UI"/>
          <w:color w:val="231F20"/>
          <w:spacing w:val="-5"/>
          <w:sz w:val="16"/>
        </w:rPr>
        <w:t> </w:t>
      </w:r>
      <w:r>
        <w:rPr>
          <w:rFonts w:ascii="Segoe UI"/>
          <w:color w:val="231F20"/>
          <w:sz w:val="16"/>
        </w:rPr>
        <w:t>expenditure</w:t>
      </w:r>
      <w:r>
        <w:rPr>
          <w:rFonts w:ascii="Segoe UI"/>
          <w:sz w:val="16"/>
        </w:rPr>
      </w:r>
    </w:p>
    <w:p>
      <w:pPr>
        <w:numPr>
          <w:ilvl w:val="0"/>
          <w:numId w:val="13"/>
        </w:numPr>
        <w:tabs>
          <w:tab w:pos="685" w:val="left" w:leader="none"/>
        </w:tabs>
        <w:spacing w:line="200" w:lineRule="exact" w:before="113"/>
        <w:ind w:left="684" w:right="94" w:hanging="567"/>
        <w:jc w:val="left"/>
        <w:rPr>
          <w:rFonts w:ascii="Segoe UI" w:hAnsi="Segoe UI" w:cs="Segoe UI" w:eastAsia="Segoe UI"/>
          <w:sz w:val="16"/>
          <w:szCs w:val="16"/>
        </w:rPr>
      </w:pPr>
      <w:r>
        <w:rPr>
          <w:rFonts w:ascii="Segoe UI"/>
          <w:color w:val="231F20"/>
          <w:sz w:val="16"/>
        </w:rPr>
        <w:t>The</w:t>
      </w:r>
      <w:r>
        <w:rPr>
          <w:rFonts w:ascii="Segoe UI"/>
          <w:color w:val="231F20"/>
          <w:spacing w:val="-5"/>
          <w:sz w:val="16"/>
        </w:rPr>
        <w:t> </w:t>
      </w:r>
      <w:r>
        <w:rPr>
          <w:rFonts w:ascii="Segoe UI"/>
          <w:color w:val="231F20"/>
          <w:sz w:val="16"/>
        </w:rPr>
        <w:t>three-year</w:t>
      </w:r>
      <w:r>
        <w:rPr>
          <w:rFonts w:ascii="Segoe UI"/>
          <w:color w:val="231F20"/>
          <w:spacing w:val="-5"/>
          <w:sz w:val="16"/>
        </w:rPr>
        <w:t> </w:t>
      </w:r>
      <w:r>
        <w:rPr>
          <w:rFonts w:ascii="Segoe UI"/>
          <w:color w:val="231F20"/>
          <w:sz w:val="16"/>
        </w:rPr>
        <w:t>trend</w:t>
      </w:r>
      <w:r>
        <w:rPr>
          <w:rFonts w:ascii="Segoe UI"/>
          <w:color w:val="231F20"/>
          <w:spacing w:val="-5"/>
          <w:sz w:val="16"/>
        </w:rPr>
        <w:t> </w:t>
      </w:r>
      <w:r>
        <w:rPr>
          <w:rFonts w:ascii="Segoe UI"/>
          <w:color w:val="231F20"/>
          <w:sz w:val="16"/>
        </w:rPr>
        <w:t>data</w:t>
      </w:r>
      <w:r>
        <w:rPr>
          <w:rFonts w:ascii="Segoe UI"/>
          <w:color w:val="231F20"/>
          <w:spacing w:val="-5"/>
          <w:sz w:val="16"/>
        </w:rPr>
        <w:t> </w:t>
      </w:r>
      <w:r>
        <w:rPr>
          <w:rFonts w:ascii="Segoe UI"/>
          <w:color w:val="231F20"/>
          <w:spacing w:val="-1"/>
          <w:sz w:val="16"/>
        </w:rPr>
        <w:t>was</w:t>
      </w:r>
      <w:r>
        <w:rPr>
          <w:rFonts w:ascii="Segoe UI"/>
          <w:color w:val="231F20"/>
          <w:spacing w:val="-5"/>
          <w:sz w:val="16"/>
        </w:rPr>
        <w:t> </w:t>
      </w:r>
      <w:r>
        <w:rPr>
          <w:rFonts w:ascii="Segoe UI"/>
          <w:color w:val="231F20"/>
          <w:sz w:val="16"/>
        </w:rPr>
        <w:t>only</w:t>
      </w:r>
      <w:r>
        <w:rPr>
          <w:rFonts w:ascii="Segoe UI"/>
          <w:color w:val="231F20"/>
          <w:spacing w:val="-5"/>
          <w:sz w:val="16"/>
        </w:rPr>
        <w:t> </w:t>
      </w:r>
      <w:r>
        <w:rPr>
          <w:rFonts w:ascii="Segoe UI"/>
          <w:color w:val="231F20"/>
          <w:sz w:val="16"/>
        </w:rPr>
        <w:t>available</w:t>
      </w:r>
      <w:r>
        <w:rPr>
          <w:rFonts w:ascii="Segoe UI"/>
          <w:color w:val="231F20"/>
          <w:spacing w:val="-5"/>
          <w:sz w:val="16"/>
        </w:rPr>
        <w:t> </w:t>
      </w:r>
      <w:r>
        <w:rPr>
          <w:rFonts w:ascii="Segoe UI"/>
          <w:color w:val="231F20"/>
          <w:sz w:val="16"/>
        </w:rPr>
        <w:t>for</w:t>
      </w:r>
      <w:r>
        <w:rPr>
          <w:rFonts w:ascii="Segoe UI"/>
          <w:color w:val="231F20"/>
          <w:spacing w:val="22"/>
          <w:w w:val="99"/>
          <w:sz w:val="16"/>
        </w:rPr>
        <w:t> </w:t>
      </w:r>
      <w:r>
        <w:rPr>
          <w:rFonts w:ascii="Segoe UI"/>
          <w:color w:val="231F20"/>
          <w:sz w:val="16"/>
        </w:rPr>
        <w:t>boarding</w:t>
      </w:r>
      <w:r>
        <w:rPr>
          <w:rFonts w:ascii="Segoe UI"/>
          <w:color w:val="231F20"/>
          <w:spacing w:val="-6"/>
          <w:sz w:val="16"/>
        </w:rPr>
        <w:t> </w:t>
      </w:r>
      <w:r>
        <w:rPr>
          <w:rFonts w:ascii="Segoe UI"/>
          <w:color w:val="231F20"/>
          <w:spacing w:val="-1"/>
          <w:sz w:val="16"/>
        </w:rPr>
        <w:t>schools</w:t>
      </w:r>
      <w:r>
        <w:rPr>
          <w:rFonts w:ascii="Segoe UI"/>
          <w:color w:val="231F20"/>
          <w:spacing w:val="-5"/>
          <w:sz w:val="16"/>
        </w:rPr>
        <w:t> </w:t>
      </w:r>
      <w:r>
        <w:rPr>
          <w:rFonts w:ascii="Segoe UI"/>
          <w:color w:val="231F20"/>
          <w:sz w:val="16"/>
        </w:rPr>
        <w:t>and</w:t>
      </w:r>
      <w:r>
        <w:rPr>
          <w:rFonts w:ascii="Segoe UI"/>
          <w:color w:val="231F20"/>
          <w:spacing w:val="-5"/>
          <w:sz w:val="16"/>
        </w:rPr>
        <w:t> </w:t>
      </w:r>
      <w:r>
        <w:rPr>
          <w:rFonts w:ascii="Segoe UI"/>
          <w:color w:val="231F20"/>
          <w:sz w:val="16"/>
        </w:rPr>
        <w:t>not</w:t>
      </w:r>
      <w:r>
        <w:rPr>
          <w:rFonts w:ascii="Segoe UI"/>
          <w:color w:val="231F20"/>
          <w:spacing w:val="-5"/>
          <w:sz w:val="16"/>
        </w:rPr>
        <w:t> </w:t>
      </w:r>
      <w:r>
        <w:rPr>
          <w:rFonts w:ascii="Segoe UI"/>
          <w:color w:val="231F20"/>
          <w:sz w:val="16"/>
        </w:rPr>
        <w:t>for</w:t>
      </w:r>
      <w:r>
        <w:rPr>
          <w:rFonts w:ascii="Segoe UI"/>
          <w:color w:val="231F20"/>
          <w:spacing w:val="-4"/>
          <w:sz w:val="16"/>
        </w:rPr>
        <w:t> </w:t>
      </w:r>
      <w:r>
        <w:rPr>
          <w:rFonts w:ascii="Segoe UI"/>
          <w:color w:val="231F20"/>
          <w:spacing w:val="-1"/>
          <w:sz w:val="16"/>
        </w:rPr>
        <w:t>standalone</w:t>
      </w:r>
      <w:r>
        <w:rPr>
          <w:rFonts w:ascii="Segoe UI"/>
          <w:color w:val="231F20"/>
          <w:spacing w:val="-4"/>
          <w:sz w:val="16"/>
        </w:rPr>
        <w:t> </w:t>
      </w:r>
      <w:r>
        <w:rPr>
          <w:rFonts w:ascii="Segoe UI"/>
          <w:color w:val="231F20"/>
          <w:sz w:val="16"/>
        </w:rPr>
        <w:t>boarding</w:t>
      </w:r>
      <w:r>
        <w:rPr>
          <w:rFonts w:ascii="Segoe UI"/>
          <w:color w:val="231F20"/>
          <w:spacing w:val="23"/>
          <w:w w:val="99"/>
          <w:sz w:val="16"/>
        </w:rPr>
        <w:t> </w:t>
      </w:r>
      <w:r>
        <w:rPr>
          <w:rFonts w:ascii="Segoe UI"/>
          <w:color w:val="231F20"/>
          <w:sz w:val="16"/>
        </w:rPr>
        <w:t>providers</w:t>
      </w:r>
      <w:r>
        <w:rPr>
          <w:rFonts w:ascii="Segoe UI"/>
          <w:sz w:val="16"/>
        </w:rPr>
      </w:r>
    </w:p>
    <w:p>
      <w:pPr>
        <w:numPr>
          <w:ilvl w:val="0"/>
          <w:numId w:val="13"/>
        </w:numPr>
        <w:tabs>
          <w:tab w:pos="685" w:val="left" w:leader="none"/>
        </w:tabs>
        <w:spacing w:line="200" w:lineRule="exact" w:before="113"/>
        <w:ind w:left="684" w:right="67" w:hanging="567"/>
        <w:jc w:val="left"/>
        <w:rPr>
          <w:rFonts w:ascii="Segoe UI" w:hAnsi="Segoe UI" w:cs="Segoe UI" w:eastAsia="Segoe UI"/>
          <w:sz w:val="16"/>
          <w:szCs w:val="16"/>
        </w:rPr>
      </w:pPr>
      <w:r>
        <w:rPr>
          <w:rFonts w:ascii="Segoe UI"/>
          <w:color w:val="231F20"/>
          <w:sz w:val="16"/>
        </w:rPr>
        <w:t>ABSTUDY</w:t>
      </w:r>
      <w:r>
        <w:rPr>
          <w:rFonts w:ascii="Segoe UI"/>
          <w:color w:val="231F20"/>
          <w:spacing w:val="-4"/>
          <w:sz w:val="16"/>
        </w:rPr>
        <w:t> </w:t>
      </w:r>
      <w:r>
        <w:rPr>
          <w:rFonts w:ascii="Segoe UI"/>
          <w:color w:val="231F20"/>
          <w:spacing w:val="-1"/>
          <w:sz w:val="16"/>
        </w:rPr>
        <w:t>is</w:t>
      </w:r>
      <w:r>
        <w:rPr>
          <w:rFonts w:ascii="Segoe UI"/>
          <w:color w:val="231F20"/>
          <w:spacing w:val="-5"/>
          <w:sz w:val="16"/>
        </w:rPr>
        <w:t> </w:t>
      </w:r>
      <w:r>
        <w:rPr>
          <w:rFonts w:ascii="Segoe UI"/>
          <w:color w:val="231F20"/>
          <w:sz w:val="16"/>
        </w:rPr>
        <w:t>not</w:t>
      </w:r>
      <w:r>
        <w:rPr>
          <w:rFonts w:ascii="Segoe UI"/>
          <w:color w:val="231F20"/>
          <w:spacing w:val="-4"/>
          <w:sz w:val="16"/>
        </w:rPr>
        <w:t> </w:t>
      </w:r>
      <w:r>
        <w:rPr>
          <w:rFonts w:ascii="Segoe UI"/>
          <w:color w:val="231F20"/>
          <w:sz w:val="16"/>
        </w:rPr>
        <w:t>funding</w:t>
      </w:r>
      <w:r>
        <w:rPr>
          <w:rFonts w:ascii="Segoe UI"/>
          <w:color w:val="231F20"/>
          <w:spacing w:val="-4"/>
          <w:sz w:val="16"/>
        </w:rPr>
        <w:t> </w:t>
      </w:r>
      <w:r>
        <w:rPr>
          <w:rFonts w:ascii="Segoe UI"/>
          <w:color w:val="231F20"/>
          <w:sz w:val="16"/>
        </w:rPr>
        <w:t>for</w:t>
      </w:r>
      <w:r>
        <w:rPr>
          <w:rFonts w:ascii="Segoe UI"/>
          <w:color w:val="231F20"/>
          <w:spacing w:val="-4"/>
          <w:sz w:val="16"/>
        </w:rPr>
        <w:t> </w:t>
      </w:r>
      <w:r>
        <w:rPr>
          <w:rFonts w:ascii="Segoe UI"/>
          <w:color w:val="231F20"/>
          <w:spacing w:val="-1"/>
          <w:sz w:val="16"/>
        </w:rPr>
        <w:t>boarding</w:t>
      </w:r>
      <w:r>
        <w:rPr>
          <w:rFonts w:ascii="Segoe UI"/>
          <w:color w:val="231F20"/>
          <w:spacing w:val="-3"/>
          <w:sz w:val="16"/>
        </w:rPr>
        <w:t> </w:t>
      </w:r>
      <w:r>
        <w:rPr>
          <w:rFonts w:ascii="Segoe UI"/>
          <w:color w:val="231F20"/>
          <w:sz w:val="16"/>
        </w:rPr>
        <w:t>providers</w:t>
      </w:r>
      <w:r>
        <w:rPr>
          <w:rFonts w:ascii="Segoe UI"/>
          <w:color w:val="231F20"/>
          <w:spacing w:val="28"/>
          <w:w w:val="99"/>
          <w:sz w:val="16"/>
        </w:rPr>
        <w:t> </w:t>
      </w:r>
      <w:r>
        <w:rPr>
          <w:rFonts w:ascii="Segoe UI"/>
          <w:color w:val="231F20"/>
          <w:sz w:val="16"/>
        </w:rPr>
        <w:t>but</w:t>
      </w:r>
      <w:r>
        <w:rPr>
          <w:rFonts w:ascii="Segoe UI"/>
          <w:color w:val="231F20"/>
          <w:spacing w:val="-5"/>
          <w:sz w:val="16"/>
        </w:rPr>
        <w:t> </w:t>
      </w:r>
      <w:r>
        <w:rPr>
          <w:rFonts w:ascii="Segoe UI"/>
          <w:color w:val="231F20"/>
          <w:spacing w:val="-1"/>
          <w:sz w:val="16"/>
        </w:rPr>
        <w:t>support</w:t>
      </w:r>
      <w:r>
        <w:rPr>
          <w:rFonts w:ascii="Segoe UI"/>
          <w:color w:val="231F20"/>
          <w:spacing w:val="-5"/>
          <w:sz w:val="16"/>
        </w:rPr>
        <w:t> </w:t>
      </w:r>
      <w:r>
        <w:rPr>
          <w:rFonts w:ascii="Segoe UI"/>
          <w:color w:val="231F20"/>
          <w:sz w:val="16"/>
        </w:rPr>
        <w:t>to</w:t>
      </w:r>
      <w:r>
        <w:rPr>
          <w:rFonts w:ascii="Segoe UI"/>
          <w:color w:val="231F20"/>
          <w:spacing w:val="-4"/>
          <w:sz w:val="16"/>
        </w:rPr>
        <w:t> </w:t>
      </w:r>
      <w:r>
        <w:rPr>
          <w:rFonts w:ascii="Segoe UI"/>
          <w:color w:val="231F20"/>
          <w:sz w:val="16"/>
        </w:rPr>
        <w:t>Aboriginal</w:t>
      </w:r>
      <w:r>
        <w:rPr>
          <w:rFonts w:ascii="Segoe UI"/>
          <w:color w:val="231F20"/>
          <w:spacing w:val="-5"/>
          <w:sz w:val="16"/>
        </w:rPr>
        <w:t> </w:t>
      </w:r>
      <w:r>
        <w:rPr>
          <w:rFonts w:ascii="Segoe UI"/>
          <w:color w:val="231F20"/>
          <w:sz w:val="16"/>
        </w:rPr>
        <w:t>and</w:t>
      </w:r>
      <w:r>
        <w:rPr>
          <w:rFonts w:ascii="Segoe UI"/>
          <w:color w:val="231F20"/>
          <w:spacing w:val="-5"/>
          <w:sz w:val="16"/>
        </w:rPr>
        <w:t> </w:t>
      </w:r>
      <w:r>
        <w:rPr>
          <w:rFonts w:ascii="Segoe UI"/>
          <w:color w:val="231F20"/>
          <w:spacing w:val="-3"/>
          <w:sz w:val="16"/>
        </w:rPr>
        <w:t>Torres</w:t>
      </w:r>
      <w:r>
        <w:rPr>
          <w:rFonts w:ascii="Segoe UI"/>
          <w:color w:val="231F20"/>
          <w:spacing w:val="-5"/>
          <w:sz w:val="16"/>
        </w:rPr>
        <w:t> </w:t>
      </w:r>
      <w:r>
        <w:rPr>
          <w:rFonts w:ascii="Segoe UI"/>
          <w:color w:val="231F20"/>
          <w:spacing w:val="-1"/>
          <w:sz w:val="16"/>
        </w:rPr>
        <w:t>Strait</w:t>
      </w:r>
      <w:r>
        <w:rPr>
          <w:rFonts w:ascii="Segoe UI"/>
          <w:color w:val="231F20"/>
          <w:spacing w:val="-6"/>
          <w:sz w:val="16"/>
        </w:rPr>
        <w:t> </w:t>
      </w:r>
      <w:r>
        <w:rPr>
          <w:rFonts w:ascii="Segoe UI"/>
          <w:color w:val="231F20"/>
          <w:spacing w:val="-1"/>
          <w:sz w:val="16"/>
        </w:rPr>
        <w:t>Islander</w:t>
      </w:r>
      <w:r>
        <w:rPr>
          <w:rFonts w:ascii="Segoe UI"/>
          <w:color w:val="231F20"/>
          <w:spacing w:val="23"/>
          <w:w w:val="99"/>
          <w:sz w:val="16"/>
        </w:rPr>
        <w:t> </w:t>
      </w:r>
      <w:r>
        <w:rPr>
          <w:rFonts w:ascii="Segoe UI"/>
          <w:color w:val="231F20"/>
          <w:spacing w:val="-1"/>
          <w:sz w:val="16"/>
        </w:rPr>
        <w:t>students</w:t>
      </w:r>
      <w:r>
        <w:rPr>
          <w:rFonts w:ascii="Segoe UI"/>
          <w:color w:val="231F20"/>
          <w:spacing w:val="-3"/>
          <w:sz w:val="16"/>
        </w:rPr>
        <w:t> </w:t>
      </w:r>
      <w:r>
        <w:rPr>
          <w:rFonts w:ascii="Segoe UI"/>
          <w:color w:val="231F20"/>
          <w:sz w:val="16"/>
        </w:rPr>
        <w:t>to</w:t>
      </w:r>
      <w:r>
        <w:rPr>
          <w:rFonts w:ascii="Segoe UI"/>
          <w:color w:val="231F20"/>
          <w:spacing w:val="-3"/>
          <w:sz w:val="16"/>
        </w:rPr>
        <w:t> </w:t>
      </w:r>
      <w:r>
        <w:rPr>
          <w:rFonts w:ascii="Segoe UI"/>
          <w:color w:val="231F20"/>
          <w:sz w:val="16"/>
        </w:rPr>
        <w:t>pay</w:t>
      </w:r>
      <w:r>
        <w:rPr>
          <w:rFonts w:ascii="Segoe UI"/>
          <w:color w:val="231F20"/>
          <w:spacing w:val="-2"/>
          <w:sz w:val="16"/>
        </w:rPr>
        <w:t> </w:t>
      </w:r>
      <w:r>
        <w:rPr>
          <w:rFonts w:ascii="Segoe UI"/>
          <w:color w:val="231F20"/>
          <w:sz w:val="16"/>
        </w:rPr>
        <w:t>boarding</w:t>
      </w:r>
      <w:r>
        <w:rPr>
          <w:rFonts w:ascii="Segoe UI"/>
          <w:color w:val="231F20"/>
          <w:spacing w:val="-4"/>
          <w:sz w:val="16"/>
        </w:rPr>
        <w:t> </w:t>
      </w:r>
      <w:r>
        <w:rPr>
          <w:rFonts w:ascii="Segoe UI"/>
          <w:color w:val="231F20"/>
          <w:sz w:val="16"/>
        </w:rPr>
        <w:t>fees</w:t>
      </w:r>
      <w:r>
        <w:rPr>
          <w:rFonts w:ascii="Segoe UI"/>
          <w:sz w:val="16"/>
        </w:rPr>
      </w:r>
    </w:p>
    <w:p>
      <w:pPr>
        <w:numPr>
          <w:ilvl w:val="0"/>
          <w:numId w:val="13"/>
        </w:numPr>
        <w:tabs>
          <w:tab w:pos="685" w:val="left" w:leader="none"/>
        </w:tabs>
        <w:spacing w:before="100"/>
        <w:ind w:left="684" w:right="17" w:hanging="567"/>
        <w:jc w:val="left"/>
        <w:rPr>
          <w:rFonts w:ascii="Segoe UI" w:hAnsi="Segoe UI" w:cs="Segoe UI" w:eastAsia="Segoe UI"/>
          <w:sz w:val="16"/>
          <w:szCs w:val="16"/>
        </w:rPr>
      </w:pPr>
      <w:r>
        <w:rPr>
          <w:rFonts w:ascii="Segoe UI"/>
          <w:color w:val="231F20"/>
          <w:sz w:val="16"/>
        </w:rPr>
        <w:t>Excludes</w:t>
      </w:r>
      <w:r>
        <w:rPr>
          <w:rFonts w:ascii="Segoe UI"/>
          <w:color w:val="231F20"/>
          <w:spacing w:val="-10"/>
          <w:sz w:val="16"/>
        </w:rPr>
        <w:t> </w:t>
      </w:r>
      <w:r>
        <w:rPr>
          <w:rFonts w:ascii="Segoe UI"/>
          <w:color w:val="231F20"/>
          <w:sz w:val="16"/>
        </w:rPr>
        <w:t>tuition</w:t>
      </w:r>
      <w:r>
        <w:rPr>
          <w:rFonts w:ascii="Segoe UI"/>
          <w:color w:val="231F20"/>
          <w:spacing w:val="-9"/>
          <w:sz w:val="16"/>
        </w:rPr>
        <w:t> </w:t>
      </w:r>
      <w:r>
        <w:rPr>
          <w:rFonts w:ascii="Segoe UI"/>
          <w:color w:val="231F20"/>
          <w:sz w:val="16"/>
        </w:rPr>
        <w:t>revenue</w:t>
      </w:r>
      <w:r>
        <w:rPr>
          <w:rFonts w:ascii="Segoe UI"/>
          <w:sz w:val="16"/>
        </w:rPr>
      </w:r>
    </w:p>
    <w:p>
      <w:pPr>
        <w:numPr>
          <w:ilvl w:val="0"/>
          <w:numId w:val="13"/>
        </w:numPr>
        <w:tabs>
          <w:tab w:pos="685" w:val="left" w:leader="none"/>
        </w:tabs>
        <w:spacing w:before="100"/>
        <w:ind w:left="684" w:right="17" w:hanging="567"/>
        <w:jc w:val="left"/>
        <w:rPr>
          <w:rFonts w:ascii="Segoe UI" w:hAnsi="Segoe UI" w:cs="Segoe UI" w:eastAsia="Segoe UI"/>
          <w:sz w:val="16"/>
          <w:szCs w:val="16"/>
        </w:rPr>
      </w:pPr>
      <w:r>
        <w:rPr>
          <w:rFonts w:ascii="Segoe UI"/>
          <w:i/>
          <w:color w:val="231F20"/>
          <w:spacing w:val="-1"/>
          <w:sz w:val="16"/>
        </w:rPr>
        <w:t>Australian</w:t>
      </w:r>
      <w:r>
        <w:rPr>
          <w:rFonts w:ascii="Segoe UI"/>
          <w:i/>
          <w:color w:val="231F20"/>
          <w:spacing w:val="-2"/>
          <w:sz w:val="16"/>
        </w:rPr>
        <w:t> </w:t>
      </w:r>
      <w:r>
        <w:rPr>
          <w:rFonts w:ascii="Segoe UI"/>
          <w:i/>
          <w:color w:val="231F20"/>
          <w:sz w:val="16"/>
        </w:rPr>
        <w:t>Education</w:t>
      </w:r>
      <w:r>
        <w:rPr>
          <w:rFonts w:ascii="Segoe UI"/>
          <w:i/>
          <w:color w:val="231F20"/>
          <w:spacing w:val="-1"/>
          <w:sz w:val="16"/>
        </w:rPr>
        <w:t> </w:t>
      </w:r>
      <w:r>
        <w:rPr>
          <w:rFonts w:ascii="Segoe UI"/>
          <w:i/>
          <w:color w:val="231F20"/>
          <w:sz w:val="16"/>
        </w:rPr>
        <w:t>Act</w:t>
      </w:r>
      <w:r>
        <w:rPr>
          <w:rFonts w:ascii="Segoe UI"/>
          <w:i/>
          <w:color w:val="231F20"/>
          <w:spacing w:val="-2"/>
          <w:sz w:val="16"/>
        </w:rPr>
        <w:t> </w:t>
      </w:r>
      <w:r>
        <w:rPr>
          <w:rFonts w:ascii="Segoe UI"/>
          <w:i/>
          <w:color w:val="231F20"/>
          <w:sz w:val="16"/>
        </w:rPr>
        <w:t>2013</w:t>
      </w:r>
      <w:r>
        <w:rPr>
          <w:rFonts w:ascii="Segoe UI"/>
          <w:sz w:val="16"/>
        </w:rPr>
      </w:r>
    </w:p>
    <w:p>
      <w:pPr>
        <w:numPr>
          <w:ilvl w:val="0"/>
          <w:numId w:val="13"/>
        </w:numPr>
        <w:tabs>
          <w:tab w:pos="685" w:val="left" w:leader="none"/>
        </w:tabs>
        <w:spacing w:line="200" w:lineRule="exact" w:before="113"/>
        <w:ind w:left="684" w:right="147" w:hanging="567"/>
        <w:jc w:val="left"/>
        <w:rPr>
          <w:rFonts w:ascii="Segoe UI" w:hAnsi="Segoe UI" w:cs="Segoe UI" w:eastAsia="Segoe UI"/>
          <w:sz w:val="16"/>
          <w:szCs w:val="16"/>
        </w:rPr>
      </w:pPr>
      <w:r>
        <w:rPr>
          <w:rFonts w:ascii="Segoe UI"/>
          <w:color w:val="231F20"/>
          <w:sz w:val="16"/>
        </w:rPr>
        <w:t>The findings from the </w:t>
      </w:r>
      <w:r>
        <w:rPr>
          <w:rFonts w:ascii="Segoe UI"/>
          <w:color w:val="231F20"/>
          <w:spacing w:val="-1"/>
          <w:sz w:val="16"/>
        </w:rPr>
        <w:t>KPMG,</w:t>
      </w:r>
      <w:r>
        <w:rPr>
          <w:rFonts w:ascii="Segoe UI"/>
          <w:color w:val="231F20"/>
          <w:sz w:val="16"/>
        </w:rPr>
        <w:t> 2016 report </w:t>
      </w:r>
      <w:r>
        <w:rPr>
          <w:rFonts w:ascii="Segoe UI"/>
          <w:color w:val="231F20"/>
          <w:spacing w:val="-1"/>
          <w:sz w:val="16"/>
        </w:rPr>
        <w:t>(</w:t>
      </w:r>
      <w:r>
        <w:rPr>
          <w:rFonts w:ascii="Segoe UI"/>
          <w:i/>
          <w:color w:val="231F20"/>
          <w:spacing w:val="-1"/>
          <w:sz w:val="16"/>
        </w:rPr>
        <w:t>Non-</w:t>
      </w:r>
      <w:r>
        <w:rPr>
          <w:rFonts w:ascii="Segoe UI"/>
          <w:i/>
          <w:color w:val="231F20"/>
          <w:spacing w:val="28"/>
          <w:sz w:val="16"/>
        </w:rPr>
        <w:t> </w:t>
      </w:r>
      <w:r>
        <w:rPr>
          <w:rFonts w:ascii="Segoe UI"/>
          <w:i/>
          <w:color w:val="231F20"/>
          <w:spacing w:val="-1"/>
          <w:sz w:val="16"/>
        </w:rPr>
        <w:t>Government</w:t>
      </w:r>
      <w:r>
        <w:rPr>
          <w:rFonts w:ascii="Segoe UI"/>
          <w:i/>
          <w:color w:val="231F20"/>
          <w:spacing w:val="-4"/>
          <w:sz w:val="16"/>
        </w:rPr>
        <w:t> </w:t>
      </w:r>
      <w:r>
        <w:rPr>
          <w:rFonts w:ascii="Segoe UI"/>
          <w:i/>
          <w:color w:val="231F20"/>
          <w:spacing w:val="-1"/>
          <w:sz w:val="16"/>
        </w:rPr>
        <w:t>Indigenous</w:t>
      </w:r>
      <w:r>
        <w:rPr>
          <w:rFonts w:ascii="Segoe UI"/>
          <w:i/>
          <w:color w:val="231F20"/>
          <w:spacing w:val="-4"/>
          <w:sz w:val="16"/>
        </w:rPr>
        <w:t> </w:t>
      </w:r>
      <w:r>
        <w:rPr>
          <w:rFonts w:ascii="Segoe UI"/>
          <w:i/>
          <w:color w:val="231F20"/>
          <w:spacing w:val="-1"/>
          <w:sz w:val="16"/>
        </w:rPr>
        <w:t>Boarding</w:t>
      </w:r>
      <w:r>
        <w:rPr>
          <w:rFonts w:ascii="Segoe UI"/>
          <w:i/>
          <w:color w:val="231F20"/>
          <w:spacing w:val="-3"/>
          <w:sz w:val="16"/>
        </w:rPr>
        <w:t> </w:t>
      </w:r>
      <w:r>
        <w:rPr>
          <w:rFonts w:ascii="Segoe UI"/>
          <w:i/>
          <w:color w:val="231F20"/>
          <w:spacing w:val="-1"/>
          <w:sz w:val="16"/>
        </w:rPr>
        <w:t>Schools:</w:t>
      </w:r>
      <w:r>
        <w:rPr>
          <w:rFonts w:ascii="Segoe UI"/>
          <w:i/>
          <w:color w:val="231F20"/>
          <w:spacing w:val="-4"/>
          <w:sz w:val="16"/>
        </w:rPr>
        <w:t> </w:t>
      </w:r>
      <w:r>
        <w:rPr>
          <w:rFonts w:ascii="Segoe UI"/>
          <w:i/>
          <w:color w:val="231F20"/>
          <w:spacing w:val="-1"/>
          <w:sz w:val="16"/>
        </w:rPr>
        <w:t>Review</w:t>
      </w:r>
      <w:r>
        <w:rPr>
          <w:rFonts w:ascii="Segoe UI"/>
          <w:i/>
          <w:color w:val="231F20"/>
          <w:spacing w:val="29"/>
          <w:w w:val="99"/>
          <w:sz w:val="16"/>
        </w:rPr>
        <w:t> </w:t>
      </w:r>
      <w:r>
        <w:rPr>
          <w:rFonts w:ascii="Segoe UI"/>
          <w:i/>
          <w:color w:val="231F20"/>
          <w:spacing w:val="-2"/>
          <w:sz w:val="16"/>
        </w:rPr>
        <w:t>of</w:t>
      </w:r>
      <w:r>
        <w:rPr>
          <w:rFonts w:ascii="Segoe UI"/>
          <w:i/>
          <w:color w:val="231F20"/>
          <w:spacing w:val="-4"/>
          <w:sz w:val="16"/>
        </w:rPr>
        <w:t> </w:t>
      </w:r>
      <w:r>
        <w:rPr>
          <w:rFonts w:ascii="Segoe UI"/>
          <w:i/>
          <w:color w:val="231F20"/>
          <w:spacing w:val="-1"/>
          <w:sz w:val="16"/>
        </w:rPr>
        <w:t>funding</w:t>
      </w:r>
      <w:r>
        <w:rPr>
          <w:rFonts w:ascii="Segoe UI"/>
          <w:i/>
          <w:color w:val="231F20"/>
          <w:spacing w:val="-3"/>
          <w:sz w:val="16"/>
        </w:rPr>
        <w:t> </w:t>
      </w:r>
      <w:r>
        <w:rPr>
          <w:rFonts w:ascii="Segoe UI"/>
          <w:i/>
          <w:color w:val="231F20"/>
          <w:spacing w:val="-1"/>
          <w:sz w:val="16"/>
        </w:rPr>
        <w:t>arrangements</w:t>
      </w:r>
      <w:r>
        <w:rPr>
          <w:rFonts w:ascii="Segoe UI"/>
          <w:i/>
          <w:color w:val="231F20"/>
          <w:spacing w:val="-3"/>
          <w:sz w:val="16"/>
        </w:rPr>
        <w:t> </w:t>
      </w:r>
      <w:r>
        <w:rPr>
          <w:rFonts w:ascii="Segoe UI"/>
          <w:i/>
          <w:color w:val="231F20"/>
          <w:sz w:val="16"/>
        </w:rPr>
        <w:t>for</w:t>
      </w:r>
      <w:r>
        <w:rPr>
          <w:rFonts w:ascii="Segoe UI"/>
          <w:i/>
          <w:color w:val="231F20"/>
          <w:spacing w:val="-4"/>
          <w:sz w:val="16"/>
        </w:rPr>
        <w:t> </w:t>
      </w:r>
      <w:r>
        <w:rPr>
          <w:rFonts w:ascii="Segoe UI"/>
          <w:i/>
          <w:color w:val="231F20"/>
          <w:spacing w:val="-1"/>
          <w:sz w:val="16"/>
        </w:rPr>
        <w:t>the</w:t>
      </w:r>
      <w:r>
        <w:rPr>
          <w:rFonts w:ascii="Segoe UI"/>
          <w:i/>
          <w:color w:val="231F20"/>
          <w:spacing w:val="-3"/>
          <w:sz w:val="16"/>
        </w:rPr>
        <w:t> </w:t>
      </w:r>
      <w:r>
        <w:rPr>
          <w:rFonts w:ascii="Segoe UI"/>
          <w:i/>
          <w:color w:val="231F20"/>
          <w:sz w:val="16"/>
        </w:rPr>
        <w:t>Northern</w:t>
      </w:r>
      <w:r>
        <w:rPr>
          <w:rFonts w:ascii="Segoe UI"/>
          <w:i/>
          <w:color w:val="231F20"/>
          <w:spacing w:val="-3"/>
          <w:sz w:val="16"/>
        </w:rPr>
        <w:t> </w:t>
      </w:r>
      <w:r>
        <w:rPr>
          <w:rFonts w:ascii="Segoe UI"/>
          <w:i/>
          <w:color w:val="231F20"/>
          <w:spacing w:val="-2"/>
          <w:sz w:val="16"/>
        </w:rPr>
        <w:t>Territory</w:t>
      </w:r>
      <w:r>
        <w:rPr>
          <w:rFonts w:ascii="Segoe UI"/>
          <w:sz w:val="16"/>
        </w:rPr>
      </w:r>
    </w:p>
    <w:p>
      <w:pPr>
        <w:spacing w:line="200" w:lineRule="exact" w:before="0"/>
        <w:ind w:left="684" w:right="0" w:firstLine="0"/>
        <w:jc w:val="left"/>
        <w:rPr>
          <w:rFonts w:ascii="Segoe UI" w:hAnsi="Segoe UI" w:cs="Segoe UI" w:eastAsia="Segoe UI"/>
          <w:sz w:val="16"/>
          <w:szCs w:val="16"/>
        </w:rPr>
      </w:pPr>
      <w:r>
        <w:rPr>
          <w:rFonts w:ascii="Segoe UI" w:hAnsi="Segoe UI" w:cs="Segoe UI" w:eastAsia="Segoe UI"/>
          <w:i/>
          <w:color w:val="231F20"/>
          <w:spacing w:val="-1"/>
          <w:sz w:val="16"/>
          <w:szCs w:val="16"/>
        </w:rPr>
        <w:t>Government,</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Department</w:t>
      </w:r>
      <w:r>
        <w:rPr>
          <w:rFonts w:ascii="Segoe UI" w:hAnsi="Segoe UI" w:cs="Segoe UI" w:eastAsia="Segoe UI"/>
          <w:i/>
          <w:color w:val="231F20"/>
          <w:spacing w:val="-3"/>
          <w:sz w:val="16"/>
          <w:szCs w:val="16"/>
        </w:rPr>
        <w:t> </w:t>
      </w:r>
      <w:r>
        <w:rPr>
          <w:rFonts w:ascii="Segoe UI" w:hAnsi="Segoe UI" w:cs="Segoe UI" w:eastAsia="Segoe UI"/>
          <w:i/>
          <w:color w:val="231F20"/>
          <w:spacing w:val="-2"/>
          <w:sz w:val="16"/>
          <w:szCs w:val="16"/>
        </w:rPr>
        <w:t>of</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Education</w:t>
      </w:r>
      <w:r>
        <w:rPr>
          <w:rFonts w:ascii="Segoe UI" w:hAnsi="Segoe UI" w:cs="Segoe UI" w:eastAsia="Segoe UI"/>
          <w:color w:val="231F20"/>
          <w:spacing w:val="-1"/>
          <w:sz w:val="16"/>
          <w:szCs w:val="16"/>
        </w:rPr>
        <w:t>,</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KPMG,</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2016)</w:t>
      </w:r>
      <w:r>
        <w:rPr>
          <w:rFonts w:ascii="Segoe UI" w:hAnsi="Segoe UI" w:cs="Segoe UI" w:eastAsia="Segoe UI"/>
          <w:color w:val="231F20"/>
          <w:spacing w:val="52"/>
          <w:sz w:val="16"/>
          <w:szCs w:val="16"/>
        </w:rPr>
        <w:t> </w:t>
      </w:r>
      <w:r>
        <w:rPr>
          <w:rFonts w:ascii="Segoe UI" w:hAnsi="Segoe UI" w:cs="Segoe UI" w:eastAsia="Segoe UI"/>
          <w:color w:val="231F20"/>
          <w:sz w:val="16"/>
          <w:szCs w:val="16"/>
        </w:rPr>
        <w:t>were;</w:t>
      </w:r>
      <w:r>
        <w:rPr>
          <w:rFonts w:ascii="Segoe UI" w:hAnsi="Segoe UI" w:cs="Segoe UI" w:eastAsia="Segoe UI"/>
          <w:color w:val="231F20"/>
          <w:spacing w:val="-9"/>
          <w:sz w:val="16"/>
          <w:szCs w:val="16"/>
        </w:rPr>
        <w:t> </w:t>
      </w:r>
      <w:r>
        <w:rPr>
          <w:rFonts w:ascii="Segoe UI" w:hAnsi="Segoe UI" w:cs="Segoe UI" w:eastAsia="Segoe UI"/>
          <w:color w:val="231F20"/>
          <w:sz w:val="16"/>
          <w:szCs w:val="16"/>
        </w:rPr>
        <w:t>average</w:t>
      </w:r>
      <w:r>
        <w:rPr>
          <w:rFonts w:ascii="Segoe UI" w:hAnsi="Segoe UI" w:cs="Segoe UI" w:eastAsia="Segoe UI"/>
          <w:color w:val="231F20"/>
          <w:spacing w:val="-8"/>
          <w:sz w:val="16"/>
          <w:szCs w:val="16"/>
        </w:rPr>
        <w:t> </w:t>
      </w:r>
      <w:r>
        <w:rPr>
          <w:rFonts w:ascii="Segoe UI" w:hAnsi="Segoe UI" w:cs="Segoe UI" w:eastAsia="Segoe UI"/>
          <w:color w:val="231F20"/>
          <w:sz w:val="16"/>
          <w:szCs w:val="16"/>
        </w:rPr>
        <w:t>revenue—$15,500,</w:t>
      </w:r>
      <w:r>
        <w:rPr>
          <w:rFonts w:ascii="Segoe UI" w:hAnsi="Segoe UI" w:cs="Segoe UI" w:eastAsia="Segoe UI"/>
          <w:color w:val="231F20"/>
          <w:spacing w:val="-8"/>
          <w:sz w:val="16"/>
          <w:szCs w:val="16"/>
        </w:rPr>
        <w:t> </w:t>
      </w:r>
      <w:r>
        <w:rPr>
          <w:rFonts w:ascii="Segoe UI" w:hAnsi="Segoe UI" w:cs="Segoe UI" w:eastAsia="Segoe UI"/>
          <w:color w:val="231F20"/>
          <w:sz w:val="16"/>
          <w:szCs w:val="16"/>
        </w:rPr>
        <w:t>average</w:t>
      </w:r>
      <w:r>
        <w:rPr>
          <w:rFonts w:ascii="Segoe UI" w:hAnsi="Segoe UI" w:cs="Segoe UI" w:eastAsia="Segoe UI"/>
          <w:color w:val="231F20"/>
          <w:spacing w:val="-8"/>
          <w:sz w:val="16"/>
          <w:szCs w:val="16"/>
        </w:rPr>
        <w:t> </w:t>
      </w:r>
      <w:r>
        <w:rPr>
          <w:rFonts w:ascii="Segoe UI" w:hAnsi="Segoe UI" w:cs="Segoe UI" w:eastAsia="Segoe UI"/>
          <w:color w:val="231F20"/>
          <w:sz w:val="16"/>
          <w:szCs w:val="16"/>
        </w:rPr>
        <w:t>cost—</w:t>
      </w:r>
      <w:r>
        <w:rPr>
          <w:rFonts w:ascii="Segoe UI" w:hAnsi="Segoe UI" w:cs="Segoe UI" w:eastAsia="Segoe UI"/>
          <w:sz w:val="16"/>
          <w:szCs w:val="16"/>
        </w:rPr>
      </w:r>
    </w:p>
    <w:p>
      <w:pPr>
        <w:spacing w:line="200" w:lineRule="exact" w:before="0"/>
        <w:ind w:left="684" w:right="67" w:firstLine="0"/>
        <w:jc w:val="left"/>
        <w:rPr>
          <w:rFonts w:ascii="Segoe UI" w:hAnsi="Segoe UI" w:cs="Segoe UI" w:eastAsia="Segoe UI"/>
          <w:sz w:val="16"/>
          <w:szCs w:val="16"/>
        </w:rPr>
      </w:pPr>
      <w:r>
        <w:rPr>
          <w:rFonts w:ascii="Segoe UI" w:hAnsi="Segoe UI" w:cs="Segoe UI" w:eastAsia="Segoe UI"/>
          <w:color w:val="231F20"/>
          <w:spacing w:val="-1"/>
          <w:sz w:val="16"/>
          <w:szCs w:val="16"/>
        </w:rPr>
        <w:t>$26,000</w:t>
      </w:r>
      <w:r>
        <w:rPr>
          <w:rFonts w:ascii="Segoe UI" w:hAnsi="Segoe UI" w:cs="Segoe UI" w:eastAsia="Segoe UI"/>
          <w:color w:val="231F20"/>
          <w:spacing w:val="-7"/>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7"/>
          <w:sz w:val="16"/>
          <w:szCs w:val="16"/>
        </w:rPr>
        <w:t> </w:t>
      </w:r>
      <w:r>
        <w:rPr>
          <w:rFonts w:ascii="Segoe UI" w:hAnsi="Segoe UI" w:cs="Segoe UI" w:eastAsia="Segoe UI"/>
          <w:color w:val="231F20"/>
          <w:sz w:val="16"/>
          <w:szCs w:val="16"/>
        </w:rPr>
        <w:t>average</w:t>
      </w:r>
      <w:r>
        <w:rPr>
          <w:rFonts w:ascii="Segoe UI" w:hAnsi="Segoe UI" w:cs="Segoe UI" w:eastAsia="Segoe UI"/>
          <w:color w:val="231F20"/>
          <w:spacing w:val="-8"/>
          <w:sz w:val="16"/>
          <w:szCs w:val="16"/>
        </w:rPr>
        <w:t> </w:t>
      </w:r>
      <w:r>
        <w:rPr>
          <w:rFonts w:ascii="Segoe UI" w:hAnsi="Segoe UI" w:cs="Segoe UI" w:eastAsia="Segoe UI"/>
          <w:color w:val="231F20"/>
          <w:spacing w:val="-1"/>
          <w:sz w:val="16"/>
          <w:szCs w:val="16"/>
        </w:rPr>
        <w:t>shortfall—$10,437.</w:t>
      </w:r>
      <w:r>
        <w:rPr>
          <w:rFonts w:ascii="Segoe UI" w:hAnsi="Segoe UI" w:cs="Segoe UI" w:eastAsia="Segoe UI"/>
          <w:color w:val="231F20"/>
          <w:spacing w:val="-6"/>
          <w:sz w:val="16"/>
          <w:szCs w:val="16"/>
        </w:rPr>
        <w:t> </w:t>
      </w:r>
      <w:r>
        <w:rPr>
          <w:rFonts w:ascii="Segoe UI" w:hAnsi="Segoe UI" w:cs="Segoe UI" w:eastAsia="Segoe UI"/>
          <w:color w:val="231F20"/>
          <w:spacing w:val="-1"/>
          <w:sz w:val="16"/>
          <w:szCs w:val="16"/>
        </w:rPr>
        <w:t>KPMG,</w:t>
      </w:r>
      <w:r>
        <w:rPr>
          <w:rFonts w:ascii="Segoe UI" w:hAnsi="Segoe UI" w:cs="Segoe UI" w:eastAsia="Segoe UI"/>
          <w:color w:val="231F20"/>
          <w:spacing w:val="22"/>
          <w:w w:val="99"/>
          <w:sz w:val="16"/>
          <w:szCs w:val="16"/>
        </w:rPr>
        <w:t> </w:t>
      </w:r>
      <w:r>
        <w:rPr>
          <w:rFonts w:ascii="Segoe UI" w:hAnsi="Segoe UI" w:cs="Segoe UI" w:eastAsia="Segoe UI"/>
          <w:color w:val="231F20"/>
          <w:spacing w:val="-1"/>
          <w:sz w:val="16"/>
          <w:szCs w:val="16"/>
        </w:rPr>
        <w:t>2016</w:t>
      </w:r>
      <w:r>
        <w:rPr>
          <w:rFonts w:ascii="Segoe UI" w:hAnsi="Segoe UI" w:cs="Segoe UI" w:eastAsia="Segoe UI"/>
          <w:color w:val="231F20"/>
          <w:spacing w:val="-4"/>
          <w:sz w:val="16"/>
          <w:szCs w:val="16"/>
        </w:rPr>
        <w:t> </w:t>
      </w:r>
      <w:r>
        <w:rPr>
          <w:rFonts w:ascii="Segoe UI" w:hAnsi="Segoe UI" w:cs="Segoe UI" w:eastAsia="Segoe UI"/>
          <w:color w:val="231F20"/>
          <w:sz w:val="16"/>
          <w:szCs w:val="16"/>
        </w:rPr>
        <w:t>reviewed</w:t>
      </w:r>
      <w:r>
        <w:rPr>
          <w:rFonts w:ascii="Segoe UI" w:hAnsi="Segoe UI" w:cs="Segoe UI" w:eastAsia="Segoe UI"/>
          <w:color w:val="231F20"/>
          <w:spacing w:val="-4"/>
          <w:sz w:val="16"/>
          <w:szCs w:val="16"/>
        </w:rPr>
        <w:t> </w:t>
      </w:r>
      <w:r>
        <w:rPr>
          <w:rFonts w:ascii="Segoe UI" w:hAnsi="Segoe UI" w:cs="Segoe UI" w:eastAsia="Segoe UI"/>
          <w:color w:val="231F20"/>
          <w:sz w:val="16"/>
          <w:szCs w:val="16"/>
        </w:rPr>
        <w:t>a</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smaller</w:t>
      </w:r>
      <w:r>
        <w:rPr>
          <w:rFonts w:ascii="Segoe UI" w:hAnsi="Segoe UI" w:cs="Segoe UI" w:eastAsia="Segoe UI"/>
          <w:color w:val="231F20"/>
          <w:spacing w:val="-3"/>
          <w:sz w:val="16"/>
          <w:szCs w:val="16"/>
        </w:rPr>
        <w:t> </w:t>
      </w:r>
      <w:r>
        <w:rPr>
          <w:rFonts w:ascii="Segoe UI" w:hAnsi="Segoe UI" w:cs="Segoe UI" w:eastAsia="Segoe UI"/>
          <w:color w:val="231F20"/>
          <w:sz w:val="16"/>
          <w:szCs w:val="16"/>
        </w:rPr>
        <w:t>number</w:t>
      </w:r>
      <w:r>
        <w:rPr>
          <w:rFonts w:ascii="Segoe UI" w:hAnsi="Segoe UI" w:cs="Segoe UI" w:eastAsia="Segoe UI"/>
          <w:color w:val="231F20"/>
          <w:spacing w:val="-5"/>
          <w:sz w:val="16"/>
          <w:szCs w:val="16"/>
        </w:rPr>
        <w:t> </w:t>
      </w:r>
      <w:r>
        <w:rPr>
          <w:rFonts w:ascii="Segoe UI" w:hAnsi="Segoe UI" w:cs="Segoe UI" w:eastAsia="Segoe UI"/>
          <w:color w:val="231F20"/>
          <w:sz w:val="16"/>
          <w:szCs w:val="16"/>
        </w:rPr>
        <w:t>of</w:t>
      </w:r>
      <w:r>
        <w:rPr>
          <w:rFonts w:ascii="Segoe UI" w:hAnsi="Segoe UI" w:cs="Segoe UI" w:eastAsia="Segoe UI"/>
          <w:color w:val="231F20"/>
          <w:spacing w:val="-3"/>
          <w:sz w:val="16"/>
          <w:szCs w:val="16"/>
        </w:rPr>
        <w:t> </w:t>
      </w:r>
      <w:r>
        <w:rPr>
          <w:rFonts w:ascii="Segoe UI" w:hAnsi="Segoe UI" w:cs="Segoe UI" w:eastAsia="Segoe UI"/>
          <w:color w:val="231F20"/>
          <w:sz w:val="16"/>
          <w:szCs w:val="16"/>
        </w:rPr>
        <w:t>boarding</w:t>
      </w:r>
      <w:r>
        <w:rPr>
          <w:rFonts w:ascii="Segoe UI" w:hAnsi="Segoe UI" w:cs="Segoe UI" w:eastAsia="Segoe UI"/>
          <w:color w:val="231F20"/>
          <w:spacing w:val="23"/>
          <w:w w:val="99"/>
          <w:sz w:val="16"/>
          <w:szCs w:val="16"/>
        </w:rPr>
        <w:t> </w:t>
      </w:r>
      <w:r>
        <w:rPr>
          <w:rFonts w:ascii="Segoe UI" w:hAnsi="Segoe UI" w:cs="Segoe UI" w:eastAsia="Segoe UI"/>
          <w:color w:val="231F20"/>
          <w:sz w:val="16"/>
          <w:szCs w:val="16"/>
        </w:rPr>
        <w:t>providers</w:t>
      </w:r>
      <w:r>
        <w:rPr>
          <w:rFonts w:ascii="Segoe UI" w:hAnsi="Segoe UI" w:cs="Segoe UI" w:eastAsia="Segoe UI"/>
          <w:color w:val="231F20"/>
          <w:spacing w:val="-7"/>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7"/>
          <w:sz w:val="16"/>
          <w:szCs w:val="16"/>
        </w:rPr>
        <w:t> </w:t>
      </w:r>
      <w:r>
        <w:rPr>
          <w:rFonts w:ascii="Segoe UI" w:hAnsi="Segoe UI" w:cs="Segoe UI" w:eastAsia="Segoe UI"/>
          <w:color w:val="231F20"/>
          <w:spacing w:val="-1"/>
          <w:sz w:val="16"/>
          <w:szCs w:val="16"/>
        </w:rPr>
        <w:t>included</w:t>
      </w:r>
      <w:r>
        <w:rPr>
          <w:rFonts w:ascii="Segoe UI" w:hAnsi="Segoe UI" w:cs="Segoe UI" w:eastAsia="Segoe UI"/>
          <w:color w:val="231F20"/>
          <w:spacing w:val="-5"/>
          <w:sz w:val="16"/>
          <w:szCs w:val="16"/>
        </w:rPr>
        <w:t> </w:t>
      </w:r>
      <w:r>
        <w:rPr>
          <w:rFonts w:ascii="Segoe UI" w:hAnsi="Segoe UI" w:cs="Segoe UI" w:eastAsia="Segoe UI"/>
          <w:color w:val="231F20"/>
          <w:sz w:val="16"/>
          <w:szCs w:val="16"/>
        </w:rPr>
        <w:t>depreciation</w:t>
      </w:r>
      <w:r>
        <w:rPr>
          <w:rFonts w:ascii="Segoe UI" w:hAnsi="Segoe UI" w:cs="Segoe UI" w:eastAsia="Segoe UI"/>
          <w:color w:val="231F20"/>
          <w:spacing w:val="-7"/>
          <w:sz w:val="16"/>
          <w:szCs w:val="16"/>
        </w:rPr>
        <w:t> </w:t>
      </w:r>
      <w:r>
        <w:rPr>
          <w:rFonts w:ascii="Segoe UI" w:hAnsi="Segoe UI" w:cs="Segoe UI" w:eastAsia="Segoe UI"/>
          <w:color w:val="231F20"/>
          <w:sz w:val="16"/>
          <w:szCs w:val="16"/>
        </w:rPr>
        <w:t>costs,</w:t>
      </w:r>
      <w:r>
        <w:rPr>
          <w:rFonts w:ascii="Segoe UI" w:hAnsi="Segoe UI" w:cs="Segoe UI" w:eastAsia="Segoe UI"/>
          <w:color w:val="231F20"/>
          <w:spacing w:val="-7"/>
          <w:sz w:val="16"/>
          <w:szCs w:val="16"/>
        </w:rPr>
        <w:t> </w:t>
      </w:r>
      <w:r>
        <w:rPr>
          <w:rFonts w:ascii="Segoe UI" w:hAnsi="Segoe UI" w:cs="Segoe UI" w:eastAsia="Segoe UI"/>
          <w:color w:val="231F20"/>
          <w:sz w:val="16"/>
          <w:szCs w:val="16"/>
        </w:rPr>
        <w:t>which</w:t>
      </w:r>
      <w:r>
        <w:rPr>
          <w:rFonts w:ascii="Segoe UI" w:hAnsi="Segoe UI" w:cs="Segoe UI" w:eastAsia="Segoe UI"/>
          <w:color w:val="231F20"/>
          <w:spacing w:val="22"/>
          <w:w w:val="99"/>
          <w:sz w:val="16"/>
          <w:szCs w:val="16"/>
        </w:rPr>
        <w:t> </w:t>
      </w:r>
      <w:r>
        <w:rPr>
          <w:rFonts w:ascii="Segoe UI" w:hAnsi="Segoe UI" w:cs="Segoe UI" w:eastAsia="Segoe UI"/>
          <w:color w:val="231F20"/>
          <w:sz w:val="16"/>
          <w:szCs w:val="16"/>
        </w:rPr>
        <w:t>have</w:t>
      </w:r>
      <w:r>
        <w:rPr>
          <w:rFonts w:ascii="Segoe UI" w:hAnsi="Segoe UI" w:cs="Segoe UI" w:eastAsia="Segoe UI"/>
          <w:color w:val="231F20"/>
          <w:spacing w:val="-5"/>
          <w:sz w:val="16"/>
          <w:szCs w:val="16"/>
        </w:rPr>
        <w:t> </w:t>
      </w:r>
      <w:r>
        <w:rPr>
          <w:rFonts w:ascii="Segoe UI" w:hAnsi="Segoe UI" w:cs="Segoe UI" w:eastAsia="Segoe UI"/>
          <w:color w:val="231F20"/>
          <w:sz w:val="16"/>
          <w:szCs w:val="16"/>
        </w:rPr>
        <w:t>been</w:t>
      </w:r>
      <w:r>
        <w:rPr>
          <w:rFonts w:ascii="Segoe UI" w:hAnsi="Segoe UI" w:cs="Segoe UI" w:eastAsia="Segoe UI"/>
          <w:color w:val="231F20"/>
          <w:spacing w:val="-5"/>
          <w:sz w:val="16"/>
          <w:szCs w:val="16"/>
        </w:rPr>
        <w:t> </w:t>
      </w:r>
      <w:r>
        <w:rPr>
          <w:rFonts w:ascii="Segoe UI" w:hAnsi="Segoe UI" w:cs="Segoe UI" w:eastAsia="Segoe UI"/>
          <w:color w:val="231F20"/>
          <w:sz w:val="16"/>
          <w:szCs w:val="16"/>
        </w:rPr>
        <w:t>excluded</w:t>
      </w:r>
      <w:r>
        <w:rPr>
          <w:rFonts w:ascii="Segoe UI" w:hAnsi="Segoe UI" w:cs="Segoe UI" w:eastAsia="Segoe UI"/>
          <w:color w:val="231F20"/>
          <w:spacing w:val="-5"/>
          <w:sz w:val="16"/>
          <w:szCs w:val="16"/>
        </w:rPr>
        <w:t> </w:t>
      </w:r>
      <w:r>
        <w:rPr>
          <w:rFonts w:ascii="Segoe UI" w:hAnsi="Segoe UI" w:cs="Segoe UI" w:eastAsia="Segoe UI"/>
          <w:color w:val="231F20"/>
          <w:sz w:val="16"/>
          <w:szCs w:val="16"/>
        </w:rPr>
        <w:t>for</w:t>
      </w:r>
      <w:r>
        <w:rPr>
          <w:rFonts w:ascii="Segoe UI" w:hAnsi="Segoe UI" w:cs="Segoe UI" w:eastAsia="Segoe UI"/>
          <w:color w:val="231F20"/>
          <w:spacing w:val="-4"/>
          <w:sz w:val="16"/>
          <w:szCs w:val="16"/>
        </w:rPr>
        <w:t> </w:t>
      </w:r>
      <w:r>
        <w:rPr>
          <w:rFonts w:ascii="Segoe UI" w:hAnsi="Segoe UI" w:cs="Segoe UI" w:eastAsia="Segoe UI"/>
          <w:color w:val="231F20"/>
          <w:sz w:val="16"/>
          <w:szCs w:val="16"/>
        </w:rPr>
        <w:t>this</w:t>
      </w:r>
      <w:r>
        <w:rPr>
          <w:rFonts w:ascii="Segoe UI" w:hAnsi="Segoe UI" w:cs="Segoe UI" w:eastAsia="Segoe UI"/>
          <w:color w:val="231F20"/>
          <w:spacing w:val="-5"/>
          <w:sz w:val="16"/>
          <w:szCs w:val="16"/>
        </w:rPr>
        <w:t> </w:t>
      </w:r>
      <w:r>
        <w:rPr>
          <w:rFonts w:ascii="Segoe UI" w:hAnsi="Segoe UI" w:cs="Segoe UI" w:eastAsia="Segoe UI"/>
          <w:color w:val="231F20"/>
          <w:sz w:val="16"/>
          <w:szCs w:val="16"/>
        </w:rPr>
        <w:t>review</w:t>
      </w:r>
      <w:r>
        <w:rPr>
          <w:rFonts w:ascii="Segoe UI" w:hAnsi="Segoe UI" w:cs="Segoe UI" w:eastAsia="Segoe UI"/>
          <w:sz w:val="16"/>
          <w:szCs w:val="16"/>
        </w:rPr>
      </w:r>
    </w:p>
    <w:p>
      <w:pPr>
        <w:numPr>
          <w:ilvl w:val="0"/>
          <w:numId w:val="13"/>
        </w:numPr>
        <w:tabs>
          <w:tab w:pos="685" w:val="left" w:leader="none"/>
        </w:tabs>
        <w:spacing w:line="200" w:lineRule="exact" w:before="70"/>
        <w:ind w:left="684" w:right="274" w:hanging="567"/>
        <w:jc w:val="left"/>
        <w:rPr>
          <w:rFonts w:ascii="Segoe UI" w:hAnsi="Segoe UI" w:cs="Segoe UI" w:eastAsia="Segoe UI"/>
          <w:sz w:val="16"/>
          <w:szCs w:val="16"/>
        </w:rPr>
      </w:pPr>
      <w:r>
        <w:rPr>
          <w:rFonts w:ascii="Segoe UI"/>
          <w:color w:val="231F20"/>
          <w:sz w:val="16"/>
        </w:rPr>
        <w:br w:type="column"/>
        <w:t>The findings from the </w:t>
      </w:r>
      <w:r>
        <w:rPr>
          <w:rFonts w:ascii="Segoe UI"/>
          <w:color w:val="231F20"/>
          <w:spacing w:val="-1"/>
          <w:sz w:val="16"/>
        </w:rPr>
        <w:t>KPMG,</w:t>
      </w:r>
      <w:r>
        <w:rPr>
          <w:rFonts w:ascii="Segoe UI"/>
          <w:color w:val="231F20"/>
          <w:sz w:val="16"/>
        </w:rPr>
        <w:t> 2016 report </w:t>
      </w:r>
      <w:r>
        <w:rPr>
          <w:rFonts w:ascii="Segoe UI"/>
          <w:color w:val="231F20"/>
          <w:spacing w:val="-1"/>
          <w:sz w:val="16"/>
        </w:rPr>
        <w:t>(</w:t>
      </w:r>
      <w:r>
        <w:rPr>
          <w:rFonts w:ascii="Segoe UI"/>
          <w:i/>
          <w:color w:val="231F20"/>
          <w:spacing w:val="-1"/>
          <w:sz w:val="16"/>
        </w:rPr>
        <w:t>Non-</w:t>
      </w:r>
      <w:r>
        <w:rPr>
          <w:rFonts w:ascii="Segoe UI"/>
          <w:i/>
          <w:color w:val="231F20"/>
          <w:spacing w:val="28"/>
          <w:sz w:val="16"/>
        </w:rPr>
        <w:t> </w:t>
      </w:r>
      <w:r>
        <w:rPr>
          <w:rFonts w:ascii="Segoe UI"/>
          <w:i/>
          <w:color w:val="231F20"/>
          <w:spacing w:val="-1"/>
          <w:sz w:val="16"/>
        </w:rPr>
        <w:t>Government</w:t>
      </w:r>
      <w:r>
        <w:rPr>
          <w:rFonts w:ascii="Segoe UI"/>
          <w:i/>
          <w:color w:val="231F20"/>
          <w:spacing w:val="-4"/>
          <w:sz w:val="16"/>
        </w:rPr>
        <w:t> </w:t>
      </w:r>
      <w:r>
        <w:rPr>
          <w:rFonts w:ascii="Segoe UI"/>
          <w:i/>
          <w:color w:val="231F20"/>
          <w:spacing w:val="-1"/>
          <w:sz w:val="16"/>
        </w:rPr>
        <w:t>Indigenous</w:t>
      </w:r>
      <w:r>
        <w:rPr>
          <w:rFonts w:ascii="Segoe UI"/>
          <w:i/>
          <w:color w:val="231F20"/>
          <w:spacing w:val="-4"/>
          <w:sz w:val="16"/>
        </w:rPr>
        <w:t> </w:t>
      </w:r>
      <w:r>
        <w:rPr>
          <w:rFonts w:ascii="Segoe UI"/>
          <w:i/>
          <w:color w:val="231F20"/>
          <w:spacing w:val="-1"/>
          <w:sz w:val="16"/>
        </w:rPr>
        <w:t>Boarding</w:t>
      </w:r>
      <w:r>
        <w:rPr>
          <w:rFonts w:ascii="Segoe UI"/>
          <w:i/>
          <w:color w:val="231F20"/>
          <w:spacing w:val="-3"/>
          <w:sz w:val="16"/>
        </w:rPr>
        <w:t> </w:t>
      </w:r>
      <w:r>
        <w:rPr>
          <w:rFonts w:ascii="Segoe UI"/>
          <w:i/>
          <w:color w:val="231F20"/>
          <w:spacing w:val="-1"/>
          <w:sz w:val="16"/>
        </w:rPr>
        <w:t>Schools:</w:t>
      </w:r>
      <w:r>
        <w:rPr>
          <w:rFonts w:ascii="Segoe UI"/>
          <w:i/>
          <w:color w:val="231F20"/>
          <w:spacing w:val="-4"/>
          <w:sz w:val="16"/>
        </w:rPr>
        <w:t> </w:t>
      </w:r>
      <w:r>
        <w:rPr>
          <w:rFonts w:ascii="Segoe UI"/>
          <w:i/>
          <w:color w:val="231F20"/>
          <w:spacing w:val="-1"/>
          <w:sz w:val="16"/>
        </w:rPr>
        <w:t>Review</w:t>
      </w:r>
      <w:r>
        <w:rPr>
          <w:rFonts w:ascii="Segoe UI"/>
          <w:i/>
          <w:color w:val="231F20"/>
          <w:spacing w:val="29"/>
          <w:w w:val="99"/>
          <w:sz w:val="16"/>
        </w:rPr>
        <w:t> </w:t>
      </w:r>
      <w:r>
        <w:rPr>
          <w:rFonts w:ascii="Segoe UI"/>
          <w:i/>
          <w:color w:val="231F20"/>
          <w:spacing w:val="-2"/>
          <w:sz w:val="16"/>
        </w:rPr>
        <w:t>of</w:t>
      </w:r>
      <w:r>
        <w:rPr>
          <w:rFonts w:ascii="Segoe UI"/>
          <w:i/>
          <w:color w:val="231F20"/>
          <w:spacing w:val="-4"/>
          <w:sz w:val="16"/>
        </w:rPr>
        <w:t> </w:t>
      </w:r>
      <w:r>
        <w:rPr>
          <w:rFonts w:ascii="Segoe UI"/>
          <w:i/>
          <w:color w:val="231F20"/>
          <w:spacing w:val="-1"/>
          <w:sz w:val="16"/>
        </w:rPr>
        <w:t>funding</w:t>
      </w:r>
      <w:r>
        <w:rPr>
          <w:rFonts w:ascii="Segoe UI"/>
          <w:i/>
          <w:color w:val="231F20"/>
          <w:spacing w:val="-3"/>
          <w:sz w:val="16"/>
        </w:rPr>
        <w:t> </w:t>
      </w:r>
      <w:r>
        <w:rPr>
          <w:rFonts w:ascii="Segoe UI"/>
          <w:i/>
          <w:color w:val="231F20"/>
          <w:spacing w:val="-1"/>
          <w:sz w:val="16"/>
        </w:rPr>
        <w:t>arrangements</w:t>
      </w:r>
      <w:r>
        <w:rPr>
          <w:rFonts w:ascii="Segoe UI"/>
          <w:i/>
          <w:color w:val="231F20"/>
          <w:spacing w:val="-3"/>
          <w:sz w:val="16"/>
        </w:rPr>
        <w:t> </w:t>
      </w:r>
      <w:r>
        <w:rPr>
          <w:rFonts w:ascii="Segoe UI"/>
          <w:i/>
          <w:color w:val="231F20"/>
          <w:sz w:val="16"/>
        </w:rPr>
        <w:t>for</w:t>
      </w:r>
      <w:r>
        <w:rPr>
          <w:rFonts w:ascii="Segoe UI"/>
          <w:i/>
          <w:color w:val="231F20"/>
          <w:spacing w:val="-4"/>
          <w:sz w:val="16"/>
        </w:rPr>
        <w:t> </w:t>
      </w:r>
      <w:r>
        <w:rPr>
          <w:rFonts w:ascii="Segoe UI"/>
          <w:i/>
          <w:color w:val="231F20"/>
          <w:spacing w:val="-1"/>
          <w:sz w:val="16"/>
        </w:rPr>
        <w:t>the</w:t>
      </w:r>
      <w:r>
        <w:rPr>
          <w:rFonts w:ascii="Segoe UI"/>
          <w:i/>
          <w:color w:val="231F20"/>
          <w:spacing w:val="-3"/>
          <w:sz w:val="16"/>
        </w:rPr>
        <w:t> </w:t>
      </w:r>
      <w:r>
        <w:rPr>
          <w:rFonts w:ascii="Segoe UI"/>
          <w:i/>
          <w:color w:val="231F20"/>
          <w:sz w:val="16"/>
        </w:rPr>
        <w:t>Northern</w:t>
      </w:r>
      <w:r>
        <w:rPr>
          <w:rFonts w:ascii="Segoe UI"/>
          <w:i/>
          <w:color w:val="231F20"/>
          <w:spacing w:val="-3"/>
          <w:sz w:val="16"/>
        </w:rPr>
        <w:t> </w:t>
      </w:r>
      <w:r>
        <w:rPr>
          <w:rFonts w:ascii="Segoe UI"/>
          <w:i/>
          <w:color w:val="231F20"/>
          <w:spacing w:val="-2"/>
          <w:sz w:val="16"/>
        </w:rPr>
        <w:t>Territory</w:t>
      </w:r>
      <w:r>
        <w:rPr>
          <w:rFonts w:ascii="Segoe UI"/>
          <w:sz w:val="16"/>
        </w:rPr>
      </w:r>
    </w:p>
    <w:p>
      <w:pPr>
        <w:spacing w:line="200" w:lineRule="exact" w:before="0"/>
        <w:ind w:left="684" w:right="0" w:firstLine="0"/>
        <w:jc w:val="left"/>
        <w:rPr>
          <w:rFonts w:ascii="Segoe UI" w:hAnsi="Segoe UI" w:cs="Segoe UI" w:eastAsia="Segoe UI"/>
          <w:sz w:val="16"/>
          <w:szCs w:val="16"/>
        </w:rPr>
      </w:pPr>
      <w:r>
        <w:rPr>
          <w:rFonts w:ascii="Segoe UI"/>
          <w:i/>
          <w:color w:val="231F20"/>
          <w:spacing w:val="-1"/>
          <w:sz w:val="16"/>
        </w:rPr>
        <w:t>Government,</w:t>
      </w:r>
      <w:r>
        <w:rPr>
          <w:rFonts w:ascii="Segoe UI"/>
          <w:i/>
          <w:color w:val="231F20"/>
          <w:spacing w:val="-4"/>
          <w:sz w:val="16"/>
        </w:rPr>
        <w:t> </w:t>
      </w:r>
      <w:r>
        <w:rPr>
          <w:rFonts w:ascii="Segoe UI"/>
          <w:i/>
          <w:color w:val="231F20"/>
          <w:spacing w:val="-1"/>
          <w:sz w:val="16"/>
        </w:rPr>
        <w:t>Department</w:t>
      </w:r>
      <w:r>
        <w:rPr>
          <w:rFonts w:ascii="Segoe UI"/>
          <w:i/>
          <w:color w:val="231F20"/>
          <w:spacing w:val="-3"/>
          <w:sz w:val="16"/>
        </w:rPr>
        <w:t> </w:t>
      </w:r>
      <w:r>
        <w:rPr>
          <w:rFonts w:ascii="Segoe UI"/>
          <w:i/>
          <w:color w:val="231F20"/>
          <w:spacing w:val="-2"/>
          <w:sz w:val="16"/>
        </w:rPr>
        <w:t>of</w:t>
      </w:r>
      <w:r>
        <w:rPr>
          <w:rFonts w:ascii="Segoe UI"/>
          <w:i/>
          <w:color w:val="231F20"/>
          <w:spacing w:val="-3"/>
          <w:sz w:val="16"/>
        </w:rPr>
        <w:t> </w:t>
      </w:r>
      <w:r>
        <w:rPr>
          <w:rFonts w:ascii="Segoe UI"/>
          <w:i/>
          <w:color w:val="231F20"/>
          <w:spacing w:val="-1"/>
          <w:sz w:val="16"/>
        </w:rPr>
        <w:t>Education</w:t>
      </w:r>
      <w:r>
        <w:rPr>
          <w:rFonts w:ascii="Segoe UI"/>
          <w:color w:val="231F20"/>
          <w:spacing w:val="-1"/>
          <w:sz w:val="16"/>
        </w:rPr>
        <w:t>,</w:t>
      </w:r>
      <w:r>
        <w:rPr>
          <w:rFonts w:ascii="Segoe UI"/>
          <w:color w:val="231F20"/>
          <w:spacing w:val="-3"/>
          <w:sz w:val="16"/>
        </w:rPr>
        <w:t> </w:t>
      </w:r>
      <w:r>
        <w:rPr>
          <w:rFonts w:ascii="Segoe UI"/>
          <w:color w:val="231F20"/>
          <w:spacing w:val="-1"/>
          <w:sz w:val="16"/>
        </w:rPr>
        <w:t>KPMG,</w:t>
      </w:r>
      <w:r>
        <w:rPr>
          <w:rFonts w:ascii="Segoe UI"/>
          <w:color w:val="231F20"/>
          <w:spacing w:val="-3"/>
          <w:sz w:val="16"/>
        </w:rPr>
        <w:t> </w:t>
      </w:r>
      <w:r>
        <w:rPr>
          <w:rFonts w:ascii="Segoe UI"/>
          <w:color w:val="231F20"/>
          <w:spacing w:val="-1"/>
          <w:sz w:val="16"/>
        </w:rPr>
        <w:t>2016)</w:t>
      </w:r>
      <w:r>
        <w:rPr>
          <w:rFonts w:ascii="Segoe UI"/>
          <w:sz w:val="16"/>
        </w:rPr>
      </w:r>
    </w:p>
    <w:p>
      <w:pPr>
        <w:numPr>
          <w:ilvl w:val="0"/>
          <w:numId w:val="13"/>
        </w:numPr>
        <w:tabs>
          <w:tab w:pos="685" w:val="left" w:leader="none"/>
        </w:tabs>
        <w:spacing w:line="200" w:lineRule="exact" w:before="113"/>
        <w:ind w:left="684" w:right="115" w:hanging="567"/>
        <w:jc w:val="left"/>
        <w:rPr>
          <w:rFonts w:ascii="Segoe UI" w:hAnsi="Segoe UI" w:cs="Segoe UI" w:eastAsia="Segoe UI"/>
          <w:sz w:val="16"/>
          <w:szCs w:val="16"/>
        </w:rPr>
      </w:pPr>
      <w:r>
        <w:rPr>
          <w:rFonts w:ascii="Segoe UI"/>
          <w:color w:val="231F20"/>
          <w:spacing w:val="-3"/>
          <w:sz w:val="16"/>
        </w:rPr>
        <w:t>St</w:t>
      </w:r>
      <w:r>
        <w:rPr>
          <w:rFonts w:ascii="Segoe UI"/>
          <w:color w:val="231F20"/>
          <w:spacing w:val="-2"/>
          <w:sz w:val="16"/>
        </w:rPr>
        <w:t> </w:t>
      </w:r>
      <w:r>
        <w:rPr>
          <w:rFonts w:ascii="Segoe UI"/>
          <w:color w:val="231F20"/>
          <w:sz w:val="16"/>
        </w:rPr>
        <w:t>Philips</w:t>
      </w:r>
      <w:r>
        <w:rPr>
          <w:rFonts w:ascii="Segoe UI"/>
          <w:color w:val="231F20"/>
          <w:spacing w:val="-2"/>
          <w:sz w:val="16"/>
        </w:rPr>
        <w:t> </w:t>
      </w:r>
      <w:r>
        <w:rPr>
          <w:rFonts w:ascii="Segoe UI"/>
          <w:color w:val="231F20"/>
          <w:spacing w:val="-1"/>
          <w:sz w:val="16"/>
        </w:rPr>
        <w:t>College, </w:t>
      </w:r>
      <w:r>
        <w:rPr>
          <w:rFonts w:ascii="Segoe UI"/>
          <w:color w:val="231F20"/>
          <w:sz w:val="16"/>
        </w:rPr>
        <w:t>Tiwi</w:t>
      </w:r>
      <w:r>
        <w:rPr>
          <w:rFonts w:ascii="Segoe UI"/>
          <w:color w:val="231F20"/>
          <w:spacing w:val="-3"/>
          <w:sz w:val="16"/>
        </w:rPr>
        <w:t> </w:t>
      </w:r>
      <w:r>
        <w:rPr>
          <w:rFonts w:ascii="Segoe UI"/>
          <w:color w:val="231F20"/>
          <w:spacing w:val="-1"/>
          <w:sz w:val="16"/>
        </w:rPr>
        <w:t>College,</w:t>
      </w:r>
      <w:r>
        <w:rPr>
          <w:rFonts w:ascii="Segoe UI"/>
          <w:color w:val="231F20"/>
          <w:spacing w:val="-2"/>
          <w:sz w:val="16"/>
        </w:rPr>
        <w:t> </w:t>
      </w:r>
      <w:r>
        <w:rPr>
          <w:rFonts w:ascii="Segoe UI"/>
          <w:color w:val="231F20"/>
          <w:spacing w:val="-1"/>
          <w:sz w:val="16"/>
        </w:rPr>
        <w:t>Kormilda</w:t>
      </w:r>
      <w:r>
        <w:rPr>
          <w:rFonts w:ascii="Segoe UI"/>
          <w:color w:val="231F20"/>
          <w:spacing w:val="-2"/>
          <w:sz w:val="16"/>
        </w:rPr>
        <w:t> </w:t>
      </w:r>
      <w:r>
        <w:rPr>
          <w:rFonts w:ascii="Segoe UI"/>
          <w:color w:val="231F20"/>
          <w:spacing w:val="-1"/>
          <w:sz w:val="16"/>
        </w:rPr>
        <w:t>College</w:t>
      </w:r>
      <w:r>
        <w:rPr>
          <w:rFonts w:ascii="Segoe UI"/>
          <w:color w:val="231F20"/>
          <w:spacing w:val="28"/>
          <w:sz w:val="16"/>
        </w:rPr>
        <w:t> </w:t>
      </w:r>
      <w:r>
        <w:rPr>
          <w:rFonts w:ascii="Segoe UI"/>
          <w:color w:val="231F20"/>
          <w:sz w:val="16"/>
        </w:rPr>
        <w:t>(Haileybury</w:t>
      </w:r>
      <w:r>
        <w:rPr>
          <w:rFonts w:ascii="Segoe UI"/>
          <w:color w:val="231F20"/>
          <w:spacing w:val="-5"/>
          <w:sz w:val="16"/>
        </w:rPr>
        <w:t> </w:t>
      </w:r>
      <w:r>
        <w:rPr>
          <w:rFonts w:ascii="Segoe UI"/>
          <w:color w:val="231F20"/>
          <w:spacing w:val="-1"/>
          <w:sz w:val="16"/>
        </w:rPr>
        <w:t>Rendall),</w:t>
      </w:r>
      <w:r>
        <w:rPr>
          <w:rFonts w:ascii="Segoe UI"/>
          <w:color w:val="231F20"/>
          <w:spacing w:val="-5"/>
          <w:sz w:val="16"/>
        </w:rPr>
        <w:t> </w:t>
      </w:r>
      <w:r>
        <w:rPr>
          <w:rFonts w:ascii="Segoe UI"/>
          <w:color w:val="231F20"/>
          <w:spacing w:val="-3"/>
          <w:sz w:val="16"/>
        </w:rPr>
        <w:t>St</w:t>
      </w:r>
      <w:r>
        <w:rPr>
          <w:rFonts w:ascii="Segoe UI"/>
          <w:color w:val="231F20"/>
          <w:spacing w:val="-4"/>
          <w:sz w:val="16"/>
        </w:rPr>
        <w:t> </w:t>
      </w:r>
      <w:r>
        <w:rPr>
          <w:rFonts w:ascii="Segoe UI"/>
          <w:color w:val="231F20"/>
          <w:sz w:val="16"/>
        </w:rPr>
        <w:t>Johns</w:t>
      </w:r>
      <w:r>
        <w:rPr>
          <w:rFonts w:ascii="Segoe UI"/>
          <w:color w:val="231F20"/>
          <w:spacing w:val="-5"/>
          <w:sz w:val="16"/>
        </w:rPr>
        <w:t> </w:t>
      </w:r>
      <w:r>
        <w:rPr>
          <w:rFonts w:ascii="Segoe UI"/>
          <w:color w:val="231F20"/>
          <w:spacing w:val="-1"/>
          <w:sz w:val="16"/>
        </w:rPr>
        <w:t>Catholic</w:t>
      </w:r>
      <w:r>
        <w:rPr>
          <w:rFonts w:ascii="Segoe UI"/>
          <w:color w:val="231F20"/>
          <w:spacing w:val="-4"/>
          <w:sz w:val="16"/>
        </w:rPr>
        <w:t> </w:t>
      </w:r>
      <w:r>
        <w:rPr>
          <w:rFonts w:ascii="Segoe UI"/>
          <w:color w:val="231F20"/>
          <w:spacing w:val="-1"/>
          <w:sz w:val="16"/>
        </w:rPr>
        <w:t>College,</w:t>
      </w:r>
      <w:r>
        <w:rPr>
          <w:rFonts w:ascii="Segoe UI"/>
          <w:color w:val="231F20"/>
          <w:spacing w:val="25"/>
          <w:sz w:val="16"/>
        </w:rPr>
        <w:t> </w:t>
      </w:r>
      <w:r>
        <w:rPr>
          <w:rFonts w:ascii="Segoe UI"/>
          <w:color w:val="231F20"/>
          <w:sz w:val="16"/>
        </w:rPr>
        <w:t>Yirara</w:t>
      </w:r>
      <w:r>
        <w:rPr>
          <w:rFonts w:ascii="Segoe UI"/>
          <w:color w:val="231F20"/>
          <w:spacing w:val="-7"/>
          <w:sz w:val="16"/>
        </w:rPr>
        <w:t> </w:t>
      </w:r>
      <w:r>
        <w:rPr>
          <w:rFonts w:ascii="Segoe UI"/>
          <w:color w:val="231F20"/>
          <w:spacing w:val="-1"/>
          <w:sz w:val="16"/>
        </w:rPr>
        <w:t>College,</w:t>
      </w:r>
      <w:r>
        <w:rPr>
          <w:rFonts w:ascii="Segoe UI"/>
          <w:color w:val="231F20"/>
          <w:spacing w:val="-6"/>
          <w:sz w:val="16"/>
        </w:rPr>
        <w:t> </w:t>
      </w:r>
      <w:r>
        <w:rPr>
          <w:rFonts w:ascii="Segoe UI"/>
          <w:color w:val="231F20"/>
          <w:spacing w:val="-1"/>
          <w:sz w:val="16"/>
        </w:rPr>
        <w:t>Woolaning</w:t>
      </w:r>
      <w:r>
        <w:rPr>
          <w:rFonts w:ascii="Segoe UI"/>
          <w:color w:val="231F20"/>
          <w:spacing w:val="-7"/>
          <w:sz w:val="16"/>
        </w:rPr>
        <w:t> </w:t>
      </w:r>
      <w:r>
        <w:rPr>
          <w:rFonts w:ascii="Segoe UI"/>
          <w:color w:val="231F20"/>
          <w:sz w:val="16"/>
        </w:rPr>
        <w:t>Homeland</w:t>
      </w:r>
      <w:r>
        <w:rPr>
          <w:rFonts w:ascii="Segoe UI"/>
          <w:color w:val="231F20"/>
          <w:spacing w:val="-7"/>
          <w:sz w:val="16"/>
        </w:rPr>
        <w:t> </w:t>
      </w:r>
      <w:r>
        <w:rPr>
          <w:rFonts w:ascii="Segoe UI"/>
          <w:color w:val="231F20"/>
          <w:spacing w:val="-1"/>
          <w:sz w:val="16"/>
        </w:rPr>
        <w:t>Christian</w:t>
      </w:r>
      <w:r>
        <w:rPr>
          <w:rFonts w:ascii="Segoe UI"/>
          <w:color w:val="231F20"/>
          <w:spacing w:val="23"/>
          <w:w w:val="99"/>
          <w:sz w:val="16"/>
        </w:rPr>
        <w:t> </w:t>
      </w:r>
      <w:r>
        <w:rPr>
          <w:rFonts w:ascii="Segoe UI"/>
          <w:color w:val="231F20"/>
          <w:spacing w:val="-1"/>
          <w:sz w:val="16"/>
        </w:rPr>
        <w:t>College</w:t>
      </w:r>
      <w:r>
        <w:rPr>
          <w:rFonts w:ascii="Segoe UI"/>
          <w:color w:val="231F20"/>
          <w:spacing w:val="-4"/>
          <w:sz w:val="16"/>
        </w:rPr>
        <w:t> </w:t>
      </w:r>
      <w:r>
        <w:rPr>
          <w:rFonts w:ascii="Segoe UI"/>
          <w:color w:val="231F20"/>
          <w:sz w:val="16"/>
        </w:rPr>
        <w:t>and</w:t>
      </w:r>
      <w:r>
        <w:rPr>
          <w:rFonts w:ascii="Segoe UI"/>
          <w:color w:val="231F20"/>
          <w:spacing w:val="-4"/>
          <w:sz w:val="16"/>
        </w:rPr>
        <w:t> </w:t>
      </w:r>
      <w:r>
        <w:rPr>
          <w:rFonts w:ascii="Segoe UI"/>
          <w:color w:val="231F20"/>
          <w:sz w:val="16"/>
        </w:rPr>
        <w:t>Marrara</w:t>
      </w:r>
      <w:r>
        <w:rPr>
          <w:rFonts w:ascii="Segoe UI"/>
          <w:color w:val="231F20"/>
          <w:spacing w:val="-3"/>
          <w:sz w:val="16"/>
        </w:rPr>
        <w:t> </w:t>
      </w:r>
      <w:r>
        <w:rPr>
          <w:rFonts w:ascii="Segoe UI"/>
          <w:color w:val="231F20"/>
          <w:spacing w:val="-1"/>
          <w:sz w:val="16"/>
        </w:rPr>
        <w:t>Christian</w:t>
      </w:r>
      <w:r>
        <w:rPr>
          <w:rFonts w:ascii="Segoe UI"/>
          <w:color w:val="231F20"/>
          <w:spacing w:val="-3"/>
          <w:sz w:val="16"/>
        </w:rPr>
        <w:t> </w:t>
      </w:r>
      <w:r>
        <w:rPr>
          <w:rFonts w:ascii="Segoe UI"/>
          <w:color w:val="231F20"/>
          <w:spacing w:val="-1"/>
          <w:sz w:val="16"/>
        </w:rPr>
        <w:t>College,</w:t>
      </w:r>
      <w:r>
        <w:rPr>
          <w:rFonts w:ascii="Segoe UI"/>
          <w:color w:val="231F20"/>
          <w:spacing w:val="-3"/>
          <w:sz w:val="16"/>
        </w:rPr>
        <w:t> </w:t>
      </w:r>
      <w:r>
        <w:rPr>
          <w:rFonts w:ascii="Segoe UI"/>
          <w:color w:val="231F20"/>
          <w:spacing w:val="-1"/>
          <w:sz w:val="16"/>
        </w:rPr>
        <w:t>KPMG,</w:t>
      </w:r>
      <w:r>
        <w:rPr>
          <w:rFonts w:ascii="Segoe UI"/>
          <w:color w:val="231F20"/>
          <w:spacing w:val="-4"/>
          <w:sz w:val="16"/>
        </w:rPr>
        <w:t> </w:t>
      </w:r>
      <w:r>
        <w:rPr>
          <w:rFonts w:ascii="Segoe UI"/>
          <w:color w:val="231F20"/>
          <w:spacing w:val="-1"/>
          <w:sz w:val="16"/>
        </w:rPr>
        <w:t>2016,</w:t>
      </w:r>
      <w:r>
        <w:rPr>
          <w:rFonts w:ascii="Segoe UI"/>
          <w:sz w:val="16"/>
        </w:rPr>
      </w:r>
    </w:p>
    <w:p>
      <w:pPr>
        <w:spacing w:line="200" w:lineRule="exact" w:before="0"/>
        <w:ind w:left="684" w:right="0" w:firstLine="0"/>
        <w:jc w:val="left"/>
        <w:rPr>
          <w:rFonts w:ascii="Segoe UI" w:hAnsi="Segoe UI" w:cs="Segoe UI" w:eastAsia="Segoe UI"/>
          <w:sz w:val="16"/>
          <w:szCs w:val="16"/>
        </w:rPr>
      </w:pPr>
      <w:r>
        <w:rPr>
          <w:rFonts w:ascii="Segoe UI"/>
          <w:color w:val="231F20"/>
          <w:sz w:val="16"/>
        </w:rPr>
        <w:t>p.</w:t>
      </w:r>
      <w:r>
        <w:rPr>
          <w:rFonts w:ascii="Segoe UI"/>
          <w:color w:val="231F20"/>
          <w:spacing w:val="-2"/>
          <w:sz w:val="16"/>
        </w:rPr>
        <w:t> </w:t>
      </w:r>
      <w:r>
        <w:rPr>
          <w:rFonts w:ascii="Segoe UI"/>
          <w:color w:val="231F20"/>
          <w:sz w:val="16"/>
        </w:rPr>
        <w:t>2</w:t>
      </w:r>
      <w:r>
        <w:rPr>
          <w:rFonts w:ascii="Segoe UI"/>
          <w:sz w:val="16"/>
        </w:rPr>
      </w:r>
    </w:p>
    <w:p>
      <w:pPr>
        <w:tabs>
          <w:tab w:pos="684" w:val="left" w:leader="none"/>
        </w:tabs>
        <w:spacing w:before="100"/>
        <w:ind w:left="117" w:right="0" w:firstLine="0"/>
        <w:jc w:val="left"/>
        <w:rPr>
          <w:rFonts w:ascii="Segoe UI" w:hAnsi="Segoe UI" w:cs="Segoe UI" w:eastAsia="Segoe UI"/>
          <w:sz w:val="16"/>
          <w:szCs w:val="16"/>
        </w:rPr>
      </w:pPr>
      <w:r>
        <w:rPr>
          <w:rFonts w:ascii="Segoe UI"/>
          <w:color w:val="231F20"/>
          <w:sz w:val="16"/>
        </w:rPr>
        <w:t>142</w:t>
        <w:tab/>
      </w:r>
      <w:r>
        <w:rPr>
          <w:rFonts w:ascii="Segoe UI"/>
          <w:color w:val="231F20"/>
          <w:spacing w:val="-1"/>
          <w:sz w:val="16"/>
        </w:rPr>
        <w:t>CAEPR, 2017,</w:t>
      </w:r>
      <w:r>
        <w:rPr>
          <w:rFonts w:ascii="Segoe UI"/>
          <w:color w:val="231F20"/>
          <w:sz w:val="16"/>
        </w:rPr>
        <w:t> p.</w:t>
      </w:r>
      <w:r>
        <w:rPr>
          <w:rFonts w:ascii="Segoe UI"/>
          <w:color w:val="231F20"/>
          <w:spacing w:val="-1"/>
          <w:sz w:val="16"/>
        </w:rPr>
        <w:t> </w:t>
      </w:r>
      <w:r>
        <w:rPr>
          <w:rFonts w:ascii="Segoe UI"/>
          <w:color w:val="231F20"/>
          <w:sz w:val="16"/>
        </w:rPr>
        <w:t>12</w:t>
      </w:r>
      <w:r>
        <w:rPr>
          <w:rFonts w:ascii="Segoe UI"/>
          <w:sz w:val="16"/>
        </w:rPr>
      </w:r>
    </w:p>
    <w:p>
      <w:pPr>
        <w:numPr>
          <w:ilvl w:val="0"/>
          <w:numId w:val="14"/>
        </w:numPr>
        <w:tabs>
          <w:tab w:pos="685" w:val="left" w:leader="none"/>
        </w:tabs>
        <w:spacing w:line="200" w:lineRule="exact" w:before="113"/>
        <w:ind w:left="684" w:right="368" w:hanging="567"/>
        <w:jc w:val="left"/>
        <w:rPr>
          <w:rFonts w:ascii="Segoe UI" w:hAnsi="Segoe UI" w:cs="Segoe UI" w:eastAsia="Segoe UI"/>
          <w:sz w:val="16"/>
          <w:szCs w:val="16"/>
        </w:rPr>
      </w:pPr>
      <w:r>
        <w:rPr>
          <w:rFonts w:ascii="Segoe UI"/>
          <w:color w:val="231F20"/>
          <w:sz w:val="16"/>
        </w:rPr>
        <w:t>ABSTUDY</w:t>
      </w:r>
      <w:r>
        <w:rPr>
          <w:rFonts w:ascii="Segoe UI"/>
          <w:color w:val="231F20"/>
          <w:spacing w:val="-4"/>
          <w:sz w:val="16"/>
        </w:rPr>
        <w:t> </w:t>
      </w:r>
      <w:r>
        <w:rPr>
          <w:rFonts w:ascii="Segoe UI"/>
          <w:color w:val="231F20"/>
          <w:sz w:val="16"/>
        </w:rPr>
        <w:t>Living</w:t>
      </w:r>
      <w:r>
        <w:rPr>
          <w:rFonts w:ascii="Segoe UI"/>
          <w:color w:val="231F20"/>
          <w:spacing w:val="-5"/>
          <w:sz w:val="16"/>
        </w:rPr>
        <w:t> </w:t>
      </w:r>
      <w:r>
        <w:rPr>
          <w:rFonts w:ascii="Segoe UI"/>
          <w:color w:val="231F20"/>
          <w:sz w:val="16"/>
        </w:rPr>
        <w:t>Allowance</w:t>
      </w:r>
      <w:r>
        <w:rPr>
          <w:rFonts w:ascii="Segoe UI"/>
          <w:color w:val="231F20"/>
          <w:spacing w:val="-4"/>
          <w:sz w:val="16"/>
        </w:rPr>
        <w:t> </w:t>
      </w:r>
      <w:r>
        <w:rPr>
          <w:rFonts w:ascii="Segoe UI"/>
          <w:color w:val="231F20"/>
          <w:spacing w:val="-1"/>
          <w:sz w:val="16"/>
        </w:rPr>
        <w:t>reduces</w:t>
      </w:r>
      <w:r>
        <w:rPr>
          <w:rFonts w:ascii="Segoe UI"/>
          <w:color w:val="231F20"/>
          <w:spacing w:val="-4"/>
          <w:sz w:val="16"/>
        </w:rPr>
        <w:t> </w:t>
      </w:r>
      <w:r>
        <w:rPr>
          <w:rFonts w:ascii="Segoe UI"/>
          <w:color w:val="231F20"/>
          <w:sz w:val="16"/>
        </w:rPr>
        <w:t>by</w:t>
      </w:r>
      <w:r>
        <w:rPr>
          <w:rFonts w:ascii="Segoe UI"/>
          <w:color w:val="231F20"/>
          <w:spacing w:val="-4"/>
          <w:sz w:val="16"/>
        </w:rPr>
        <w:t> </w:t>
      </w:r>
      <w:r>
        <w:rPr>
          <w:rFonts w:ascii="Segoe UI"/>
          <w:color w:val="231F20"/>
          <w:spacing w:val="-1"/>
          <w:sz w:val="16"/>
        </w:rPr>
        <w:t>20</w:t>
      </w:r>
      <w:r>
        <w:rPr>
          <w:rFonts w:ascii="Segoe UI"/>
          <w:color w:val="231F20"/>
          <w:spacing w:val="-4"/>
          <w:sz w:val="16"/>
        </w:rPr>
        <w:t> </w:t>
      </w:r>
      <w:r>
        <w:rPr>
          <w:rFonts w:ascii="Segoe UI"/>
          <w:color w:val="231F20"/>
          <w:sz w:val="16"/>
        </w:rPr>
        <w:t>cents</w:t>
      </w:r>
      <w:r>
        <w:rPr>
          <w:rFonts w:ascii="Segoe UI"/>
          <w:color w:val="231F20"/>
          <w:spacing w:val="27"/>
          <w:w w:val="99"/>
          <w:sz w:val="16"/>
        </w:rPr>
        <w:t> </w:t>
      </w:r>
      <w:r>
        <w:rPr>
          <w:rFonts w:ascii="Segoe UI"/>
          <w:color w:val="231F20"/>
          <w:sz w:val="16"/>
        </w:rPr>
        <w:t>for</w:t>
      </w:r>
      <w:r>
        <w:rPr>
          <w:rFonts w:ascii="Segoe UI"/>
          <w:color w:val="231F20"/>
          <w:spacing w:val="-3"/>
          <w:sz w:val="16"/>
        </w:rPr>
        <w:t> </w:t>
      </w:r>
      <w:r>
        <w:rPr>
          <w:rFonts w:ascii="Segoe UI"/>
          <w:color w:val="231F20"/>
          <w:sz w:val="16"/>
        </w:rPr>
        <w:t>every</w:t>
      </w:r>
      <w:r>
        <w:rPr>
          <w:rFonts w:ascii="Segoe UI"/>
          <w:color w:val="231F20"/>
          <w:spacing w:val="-3"/>
          <w:sz w:val="16"/>
        </w:rPr>
        <w:t> </w:t>
      </w:r>
      <w:r>
        <w:rPr>
          <w:rFonts w:ascii="Segoe UI"/>
          <w:color w:val="231F20"/>
          <w:sz w:val="16"/>
        </w:rPr>
        <w:t>dollar</w:t>
      </w:r>
      <w:r>
        <w:rPr>
          <w:rFonts w:ascii="Segoe UI"/>
          <w:color w:val="231F20"/>
          <w:spacing w:val="-4"/>
          <w:sz w:val="16"/>
        </w:rPr>
        <w:t> </w:t>
      </w:r>
      <w:r>
        <w:rPr>
          <w:rFonts w:ascii="Segoe UI"/>
          <w:color w:val="231F20"/>
          <w:sz w:val="16"/>
        </w:rPr>
        <w:t>of</w:t>
      </w:r>
      <w:r>
        <w:rPr>
          <w:rFonts w:ascii="Segoe UI"/>
          <w:color w:val="231F20"/>
          <w:spacing w:val="-3"/>
          <w:sz w:val="16"/>
        </w:rPr>
        <w:t> </w:t>
      </w:r>
      <w:r>
        <w:rPr>
          <w:rFonts w:ascii="Segoe UI"/>
          <w:color w:val="231F20"/>
          <w:sz w:val="16"/>
        </w:rPr>
        <w:t>parental</w:t>
      </w:r>
      <w:r>
        <w:rPr>
          <w:rFonts w:ascii="Segoe UI"/>
          <w:color w:val="231F20"/>
          <w:spacing w:val="-4"/>
          <w:sz w:val="16"/>
        </w:rPr>
        <w:t> </w:t>
      </w:r>
      <w:r>
        <w:rPr>
          <w:rFonts w:ascii="Segoe UI"/>
          <w:color w:val="231F20"/>
          <w:spacing w:val="-1"/>
          <w:sz w:val="16"/>
        </w:rPr>
        <w:t>income</w:t>
      </w:r>
      <w:r>
        <w:rPr>
          <w:rFonts w:ascii="Segoe UI"/>
          <w:color w:val="231F20"/>
          <w:spacing w:val="-3"/>
          <w:sz w:val="16"/>
        </w:rPr>
        <w:t> </w:t>
      </w:r>
      <w:r>
        <w:rPr>
          <w:rFonts w:ascii="Segoe UI"/>
          <w:color w:val="231F20"/>
          <w:sz w:val="16"/>
        </w:rPr>
        <w:t>over</w:t>
      </w:r>
      <w:r>
        <w:rPr>
          <w:rFonts w:ascii="Segoe UI"/>
          <w:color w:val="231F20"/>
          <w:spacing w:val="-3"/>
          <w:sz w:val="16"/>
        </w:rPr>
        <w:t> </w:t>
      </w:r>
      <w:r>
        <w:rPr>
          <w:rFonts w:ascii="Segoe UI"/>
          <w:color w:val="231F20"/>
          <w:spacing w:val="-1"/>
          <w:sz w:val="16"/>
        </w:rPr>
        <w:t>$53,728</w:t>
      </w:r>
      <w:r>
        <w:rPr>
          <w:rFonts w:ascii="Segoe UI"/>
          <w:color w:val="231F20"/>
          <w:spacing w:val="21"/>
          <w:sz w:val="16"/>
        </w:rPr>
        <w:t> </w:t>
      </w:r>
      <w:r>
        <w:rPr>
          <w:rFonts w:ascii="Segoe UI"/>
          <w:color w:val="231F20"/>
          <w:sz w:val="16"/>
        </w:rPr>
        <w:t>up</w:t>
      </w:r>
      <w:r>
        <w:rPr>
          <w:rFonts w:ascii="Segoe UI"/>
          <w:color w:val="231F20"/>
          <w:spacing w:val="-3"/>
          <w:sz w:val="16"/>
        </w:rPr>
        <w:t> </w:t>
      </w:r>
      <w:r>
        <w:rPr>
          <w:rFonts w:ascii="Segoe UI"/>
          <w:color w:val="231F20"/>
          <w:sz w:val="16"/>
        </w:rPr>
        <w:t>to</w:t>
      </w:r>
      <w:r>
        <w:rPr>
          <w:rFonts w:ascii="Segoe UI"/>
          <w:color w:val="231F20"/>
          <w:spacing w:val="-2"/>
          <w:sz w:val="16"/>
        </w:rPr>
        <w:t> </w:t>
      </w:r>
      <w:r>
        <w:rPr>
          <w:rFonts w:ascii="Segoe UI"/>
          <w:color w:val="231F20"/>
          <w:spacing w:val="-1"/>
          <w:sz w:val="16"/>
        </w:rPr>
        <w:t>$160,000</w:t>
      </w:r>
      <w:r>
        <w:rPr>
          <w:rFonts w:ascii="Segoe UI"/>
          <w:color w:val="231F20"/>
          <w:spacing w:val="-3"/>
          <w:sz w:val="16"/>
        </w:rPr>
        <w:t> </w:t>
      </w:r>
      <w:r>
        <w:rPr>
          <w:rFonts w:ascii="Segoe UI"/>
          <w:color w:val="231F20"/>
          <w:sz w:val="16"/>
        </w:rPr>
        <w:t>(increased</w:t>
      </w:r>
      <w:r>
        <w:rPr>
          <w:rFonts w:ascii="Segoe UI"/>
          <w:color w:val="231F20"/>
          <w:spacing w:val="-3"/>
          <w:sz w:val="16"/>
        </w:rPr>
        <w:t> </w:t>
      </w:r>
      <w:r>
        <w:rPr>
          <w:rFonts w:ascii="Segoe UI"/>
          <w:color w:val="231F20"/>
          <w:sz w:val="16"/>
        </w:rPr>
        <w:t>from</w:t>
      </w:r>
      <w:r>
        <w:rPr>
          <w:rFonts w:ascii="Segoe UI"/>
          <w:color w:val="231F20"/>
          <w:spacing w:val="-3"/>
          <w:sz w:val="16"/>
        </w:rPr>
        <w:t> </w:t>
      </w:r>
      <w:r>
        <w:rPr>
          <w:rFonts w:ascii="Segoe UI"/>
          <w:color w:val="231F20"/>
          <w:spacing w:val="-1"/>
          <w:sz w:val="16"/>
        </w:rPr>
        <w:t>$150,000</w:t>
      </w:r>
      <w:r>
        <w:rPr>
          <w:rFonts w:ascii="Segoe UI"/>
          <w:color w:val="231F20"/>
          <w:spacing w:val="-2"/>
          <w:sz w:val="16"/>
        </w:rPr>
        <w:t> </w:t>
      </w:r>
      <w:r>
        <w:rPr>
          <w:rFonts w:ascii="Segoe UI"/>
          <w:color w:val="231F20"/>
          <w:sz w:val="16"/>
        </w:rPr>
        <w:t>from</w:t>
      </w:r>
      <w:r>
        <w:rPr>
          <w:rFonts w:ascii="Segoe UI"/>
          <w:color w:val="231F20"/>
          <w:spacing w:val="-3"/>
          <w:sz w:val="16"/>
        </w:rPr>
        <w:t> </w:t>
      </w:r>
      <w:r>
        <w:rPr>
          <w:rFonts w:ascii="Segoe UI"/>
          <w:color w:val="231F20"/>
          <w:sz w:val="16"/>
        </w:rPr>
        <w:t>1</w:t>
      </w:r>
      <w:r>
        <w:rPr>
          <w:rFonts w:ascii="Segoe UI"/>
          <w:color w:val="231F20"/>
          <w:spacing w:val="23"/>
          <w:sz w:val="16"/>
        </w:rPr>
        <w:t> </w:t>
      </w:r>
      <w:r>
        <w:rPr>
          <w:rFonts w:ascii="Segoe UI"/>
          <w:color w:val="231F20"/>
          <w:sz w:val="16"/>
        </w:rPr>
        <w:t>January</w:t>
      </w:r>
      <w:r>
        <w:rPr>
          <w:rFonts w:ascii="Segoe UI"/>
          <w:color w:val="231F20"/>
          <w:spacing w:val="-4"/>
          <w:sz w:val="16"/>
        </w:rPr>
        <w:t> </w:t>
      </w:r>
      <w:r>
        <w:rPr>
          <w:rFonts w:ascii="Segoe UI"/>
          <w:color w:val="231F20"/>
          <w:spacing w:val="-1"/>
          <w:sz w:val="16"/>
        </w:rPr>
        <w:t>2019</w:t>
      </w:r>
      <w:r>
        <w:rPr>
          <w:rFonts w:ascii="Segoe UI"/>
          <w:color w:val="231F20"/>
          <w:spacing w:val="-3"/>
          <w:sz w:val="16"/>
        </w:rPr>
        <w:t> </w:t>
      </w:r>
      <w:r>
        <w:rPr>
          <w:rFonts w:ascii="Segoe UI"/>
          <w:color w:val="231F20"/>
          <w:sz w:val="16"/>
        </w:rPr>
        <w:t>and</w:t>
      </w:r>
      <w:r>
        <w:rPr>
          <w:rFonts w:ascii="Segoe UI"/>
          <w:color w:val="231F20"/>
          <w:spacing w:val="-4"/>
          <w:sz w:val="16"/>
        </w:rPr>
        <w:t> </w:t>
      </w:r>
      <w:r>
        <w:rPr>
          <w:rFonts w:ascii="Segoe UI"/>
          <w:color w:val="231F20"/>
          <w:spacing w:val="-1"/>
          <w:sz w:val="16"/>
        </w:rPr>
        <w:t>increases</w:t>
      </w:r>
      <w:r>
        <w:rPr>
          <w:rFonts w:ascii="Segoe UI"/>
          <w:color w:val="231F20"/>
          <w:spacing w:val="-3"/>
          <w:sz w:val="16"/>
        </w:rPr>
        <w:t> </w:t>
      </w:r>
      <w:r>
        <w:rPr>
          <w:rFonts w:ascii="Segoe UI"/>
          <w:color w:val="231F20"/>
          <w:sz w:val="16"/>
        </w:rPr>
        <w:t>by</w:t>
      </w:r>
      <w:r>
        <w:rPr>
          <w:rFonts w:ascii="Segoe UI"/>
          <w:color w:val="231F20"/>
          <w:spacing w:val="-3"/>
          <w:sz w:val="16"/>
        </w:rPr>
        <w:t> </w:t>
      </w:r>
      <w:r>
        <w:rPr>
          <w:rFonts w:ascii="Segoe UI"/>
          <w:color w:val="231F20"/>
          <w:spacing w:val="-1"/>
          <w:sz w:val="16"/>
        </w:rPr>
        <w:t>$10,000</w:t>
      </w:r>
      <w:r>
        <w:rPr>
          <w:rFonts w:ascii="Segoe UI"/>
          <w:color w:val="231F20"/>
          <w:spacing w:val="-3"/>
          <w:sz w:val="16"/>
        </w:rPr>
        <w:t> </w:t>
      </w:r>
      <w:r>
        <w:rPr>
          <w:rFonts w:ascii="Segoe UI"/>
          <w:color w:val="231F20"/>
          <w:sz w:val="16"/>
        </w:rPr>
        <w:t>for</w:t>
      </w:r>
      <w:r>
        <w:rPr>
          <w:rFonts w:ascii="Segoe UI"/>
          <w:color w:val="231F20"/>
          <w:spacing w:val="-3"/>
          <w:sz w:val="16"/>
        </w:rPr>
        <w:t> </w:t>
      </w:r>
      <w:r>
        <w:rPr>
          <w:rFonts w:ascii="Segoe UI"/>
          <w:color w:val="231F20"/>
          <w:sz w:val="16"/>
        </w:rPr>
        <w:t>every</w:t>
      </w:r>
      <w:r>
        <w:rPr>
          <w:rFonts w:ascii="Segoe UI"/>
          <w:sz w:val="16"/>
        </w:rPr>
      </w:r>
    </w:p>
    <w:p>
      <w:pPr>
        <w:spacing w:line="200" w:lineRule="exact" w:before="0"/>
        <w:ind w:left="684" w:right="115" w:firstLine="0"/>
        <w:jc w:val="left"/>
        <w:rPr>
          <w:rFonts w:ascii="Segoe UI" w:hAnsi="Segoe UI" w:cs="Segoe UI" w:eastAsia="Segoe UI"/>
          <w:sz w:val="16"/>
          <w:szCs w:val="16"/>
        </w:rPr>
      </w:pPr>
      <w:r>
        <w:rPr>
          <w:rFonts w:ascii="Segoe UI" w:hAnsi="Segoe UI" w:cs="Segoe UI" w:eastAsia="Segoe UI"/>
          <w:color w:val="231F20"/>
          <w:sz w:val="16"/>
          <w:szCs w:val="16"/>
        </w:rPr>
        <w:t>dependent</w:t>
      </w:r>
      <w:r>
        <w:rPr>
          <w:rFonts w:ascii="Segoe UI" w:hAnsi="Segoe UI" w:cs="Segoe UI" w:eastAsia="Segoe UI"/>
          <w:color w:val="231F20"/>
          <w:spacing w:val="-5"/>
          <w:sz w:val="16"/>
          <w:szCs w:val="16"/>
        </w:rPr>
        <w:t> </w:t>
      </w:r>
      <w:r>
        <w:rPr>
          <w:rFonts w:ascii="Segoe UI" w:hAnsi="Segoe UI" w:cs="Segoe UI" w:eastAsia="Segoe UI"/>
          <w:color w:val="231F20"/>
          <w:sz w:val="16"/>
          <w:szCs w:val="16"/>
        </w:rPr>
        <w:t>child</w:t>
      </w:r>
      <w:r>
        <w:rPr>
          <w:rFonts w:ascii="Segoe UI" w:hAnsi="Segoe UI" w:cs="Segoe UI" w:eastAsia="Segoe UI"/>
          <w:color w:val="231F20"/>
          <w:spacing w:val="-5"/>
          <w:sz w:val="16"/>
          <w:szCs w:val="16"/>
        </w:rPr>
        <w:t> </w:t>
      </w:r>
      <w:r>
        <w:rPr>
          <w:rFonts w:ascii="Segoe UI" w:hAnsi="Segoe UI" w:cs="Segoe UI" w:eastAsia="Segoe UI"/>
          <w:color w:val="231F20"/>
          <w:sz w:val="16"/>
          <w:szCs w:val="16"/>
        </w:rPr>
        <w:t>under</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22</w:t>
      </w:r>
      <w:r>
        <w:rPr>
          <w:rFonts w:ascii="Segoe UI" w:hAnsi="Segoe UI" w:cs="Segoe UI" w:eastAsia="Segoe UI"/>
          <w:color w:val="231F20"/>
          <w:spacing w:val="-4"/>
          <w:sz w:val="16"/>
          <w:szCs w:val="16"/>
        </w:rPr>
        <w:t> </w:t>
      </w:r>
      <w:r>
        <w:rPr>
          <w:rFonts w:ascii="Segoe UI" w:hAnsi="Segoe UI" w:cs="Segoe UI" w:eastAsia="Segoe UI"/>
          <w:color w:val="231F20"/>
          <w:sz w:val="16"/>
          <w:szCs w:val="16"/>
        </w:rPr>
        <w:t>years).</w:t>
      </w:r>
      <w:r>
        <w:rPr>
          <w:rFonts w:ascii="Segoe UI" w:hAnsi="Segoe UI" w:cs="Segoe UI" w:eastAsia="Segoe UI"/>
          <w:color w:val="231F20"/>
          <w:spacing w:val="-5"/>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more</w:t>
      </w:r>
      <w:r>
        <w:rPr>
          <w:rFonts w:ascii="Segoe UI" w:hAnsi="Segoe UI" w:cs="Segoe UI" w:eastAsia="Segoe UI"/>
          <w:color w:val="231F20"/>
          <w:spacing w:val="-4"/>
          <w:sz w:val="16"/>
          <w:szCs w:val="16"/>
        </w:rPr>
        <w:t> </w:t>
      </w:r>
      <w:r>
        <w:rPr>
          <w:rFonts w:ascii="Segoe UI" w:hAnsi="Segoe UI" w:cs="Segoe UI" w:eastAsia="Segoe UI"/>
          <w:color w:val="231F20"/>
          <w:sz w:val="16"/>
          <w:szCs w:val="16"/>
        </w:rPr>
        <w:t>children</w:t>
      </w:r>
      <w:r>
        <w:rPr>
          <w:rFonts w:ascii="Segoe UI" w:hAnsi="Segoe UI" w:cs="Segoe UI" w:eastAsia="Segoe UI"/>
          <w:color w:val="231F20"/>
          <w:spacing w:val="22"/>
          <w:w w:val="99"/>
          <w:sz w:val="16"/>
          <w:szCs w:val="16"/>
        </w:rPr>
        <w:t> </w:t>
      </w:r>
      <w:r>
        <w:rPr>
          <w:rFonts w:ascii="Segoe UI" w:hAnsi="Segoe UI" w:cs="Segoe UI" w:eastAsia="Segoe UI"/>
          <w:color w:val="231F20"/>
          <w:spacing w:val="-1"/>
          <w:sz w:val="16"/>
          <w:szCs w:val="16"/>
        </w:rPr>
        <w:t>in</w:t>
      </w:r>
      <w:r>
        <w:rPr>
          <w:rFonts w:ascii="Segoe UI" w:hAnsi="Segoe UI" w:cs="Segoe UI" w:eastAsia="Segoe UI"/>
          <w:color w:val="231F20"/>
          <w:spacing w:val="-2"/>
          <w:sz w:val="16"/>
          <w:szCs w:val="16"/>
        </w:rPr>
        <w:t> </w:t>
      </w:r>
      <w:r>
        <w:rPr>
          <w:rFonts w:ascii="Segoe UI" w:hAnsi="Segoe UI" w:cs="Segoe UI" w:eastAsia="Segoe UI"/>
          <w:color w:val="231F20"/>
          <w:sz w:val="16"/>
          <w:szCs w:val="16"/>
        </w:rPr>
        <w:t>a</w:t>
      </w:r>
      <w:r>
        <w:rPr>
          <w:rFonts w:ascii="Segoe UI" w:hAnsi="Segoe UI" w:cs="Segoe UI" w:eastAsia="Segoe UI"/>
          <w:color w:val="231F20"/>
          <w:spacing w:val="-3"/>
          <w:sz w:val="16"/>
          <w:szCs w:val="16"/>
        </w:rPr>
        <w:t> </w:t>
      </w:r>
      <w:r>
        <w:rPr>
          <w:rFonts w:ascii="Segoe UI" w:hAnsi="Segoe UI" w:cs="Segoe UI" w:eastAsia="Segoe UI"/>
          <w:color w:val="231F20"/>
          <w:sz w:val="16"/>
          <w:szCs w:val="16"/>
        </w:rPr>
        <w:t>family</w:t>
      </w:r>
      <w:r>
        <w:rPr>
          <w:rFonts w:ascii="Segoe UI" w:hAnsi="Segoe UI" w:cs="Segoe UI" w:eastAsia="Segoe UI"/>
          <w:color w:val="231F20"/>
          <w:spacing w:val="-2"/>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3"/>
          <w:sz w:val="16"/>
          <w:szCs w:val="16"/>
        </w:rPr>
        <w:t> </w:t>
      </w:r>
      <w:r>
        <w:rPr>
          <w:rFonts w:ascii="Segoe UI" w:hAnsi="Segoe UI" w:cs="Segoe UI" w:eastAsia="Segoe UI"/>
          <w:color w:val="231F20"/>
          <w:sz w:val="16"/>
          <w:szCs w:val="16"/>
        </w:rPr>
        <w:t>family</w:t>
      </w:r>
      <w:r>
        <w:rPr>
          <w:rFonts w:ascii="Segoe UI" w:hAnsi="Segoe UI" w:cs="Segoe UI" w:eastAsia="Segoe UI"/>
          <w:color w:val="231F20"/>
          <w:spacing w:val="-3"/>
          <w:sz w:val="16"/>
          <w:szCs w:val="16"/>
        </w:rPr>
        <w:t> </w:t>
      </w:r>
      <w:r>
        <w:rPr>
          <w:rFonts w:ascii="Segoe UI" w:hAnsi="Segoe UI" w:cs="Segoe UI" w:eastAsia="Segoe UI"/>
          <w:color w:val="231F20"/>
          <w:sz w:val="16"/>
          <w:szCs w:val="16"/>
        </w:rPr>
        <w:t>pool),</w:t>
      </w:r>
      <w:r>
        <w:rPr>
          <w:rFonts w:ascii="Segoe UI" w:hAnsi="Segoe UI" w:cs="Segoe UI" w:eastAsia="Segoe UI"/>
          <w:color w:val="231F20"/>
          <w:spacing w:val="-3"/>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less</w:t>
      </w:r>
      <w:r>
        <w:rPr>
          <w:rFonts w:ascii="Segoe UI" w:hAnsi="Segoe UI" w:cs="Segoe UI" w:eastAsia="Segoe UI"/>
          <w:color w:val="231F20"/>
          <w:spacing w:val="-2"/>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3"/>
          <w:sz w:val="16"/>
          <w:szCs w:val="16"/>
        </w:rPr>
        <w:t> </w:t>
      </w:r>
      <w:r>
        <w:rPr>
          <w:rFonts w:ascii="Segoe UI" w:hAnsi="Segoe UI" w:cs="Segoe UI" w:eastAsia="Segoe UI"/>
          <w:color w:val="231F20"/>
          <w:sz w:val="16"/>
          <w:szCs w:val="16"/>
        </w:rPr>
        <w:t>parents’</w:t>
      </w:r>
      <w:r>
        <w:rPr>
          <w:rFonts w:ascii="Segoe UI" w:hAnsi="Segoe UI" w:cs="Segoe UI" w:eastAsia="Segoe UI"/>
          <w:sz w:val="16"/>
          <w:szCs w:val="16"/>
        </w:rPr>
      </w:r>
    </w:p>
    <w:p>
      <w:pPr>
        <w:spacing w:line="200" w:lineRule="exact" w:before="0"/>
        <w:ind w:left="684" w:right="151" w:firstLine="0"/>
        <w:jc w:val="left"/>
        <w:rPr>
          <w:rFonts w:ascii="Segoe UI" w:hAnsi="Segoe UI" w:cs="Segoe UI" w:eastAsia="Segoe UI"/>
          <w:sz w:val="16"/>
          <w:szCs w:val="16"/>
        </w:rPr>
      </w:pPr>
      <w:r>
        <w:rPr>
          <w:rFonts w:ascii="Segoe UI" w:hAnsi="Segoe UI" w:cs="Segoe UI" w:eastAsia="Segoe UI"/>
          <w:color w:val="231F20"/>
          <w:sz w:val="16"/>
          <w:szCs w:val="16"/>
        </w:rPr>
        <w:t>or</w:t>
      </w:r>
      <w:r>
        <w:rPr>
          <w:rFonts w:ascii="Segoe UI" w:hAnsi="Segoe UI" w:cs="Segoe UI" w:eastAsia="Segoe UI"/>
          <w:color w:val="231F20"/>
          <w:spacing w:val="-2"/>
          <w:sz w:val="16"/>
          <w:szCs w:val="16"/>
        </w:rPr>
        <w:t> </w:t>
      </w:r>
      <w:r>
        <w:rPr>
          <w:rFonts w:ascii="Segoe UI" w:hAnsi="Segoe UI" w:cs="Segoe UI" w:eastAsia="Segoe UI"/>
          <w:color w:val="231F20"/>
          <w:sz w:val="16"/>
          <w:szCs w:val="16"/>
        </w:rPr>
        <w:t>guardians’</w:t>
      </w:r>
      <w:r>
        <w:rPr>
          <w:rFonts w:ascii="Segoe UI" w:hAnsi="Segoe UI" w:cs="Segoe UI" w:eastAsia="Segoe UI"/>
          <w:color w:val="231F20"/>
          <w:spacing w:val="-2"/>
          <w:sz w:val="16"/>
          <w:szCs w:val="16"/>
        </w:rPr>
        <w:t> </w:t>
      </w:r>
      <w:r>
        <w:rPr>
          <w:rFonts w:ascii="Segoe UI" w:hAnsi="Segoe UI" w:cs="Segoe UI" w:eastAsia="Segoe UI"/>
          <w:color w:val="231F20"/>
          <w:sz w:val="16"/>
          <w:szCs w:val="16"/>
        </w:rPr>
        <w:t>income</w:t>
      </w:r>
      <w:r>
        <w:rPr>
          <w:rFonts w:ascii="Segoe UI" w:hAnsi="Segoe UI" w:cs="Segoe UI" w:eastAsia="Segoe UI"/>
          <w:color w:val="231F20"/>
          <w:spacing w:val="-1"/>
          <w:sz w:val="16"/>
          <w:szCs w:val="16"/>
        </w:rPr>
        <w:t> </w:t>
      </w:r>
      <w:r>
        <w:rPr>
          <w:rFonts w:ascii="Segoe UI" w:hAnsi="Segoe UI" w:cs="Segoe UI" w:eastAsia="Segoe UI"/>
          <w:color w:val="231F20"/>
          <w:sz w:val="16"/>
          <w:szCs w:val="16"/>
        </w:rPr>
        <w:t>affects</w:t>
      </w:r>
      <w:r>
        <w:rPr>
          <w:rFonts w:ascii="Segoe UI" w:hAnsi="Segoe UI" w:cs="Segoe UI" w:eastAsia="Segoe UI"/>
          <w:color w:val="231F20"/>
          <w:spacing w:val="-2"/>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2"/>
          <w:sz w:val="16"/>
          <w:szCs w:val="16"/>
        </w:rPr>
        <w:t> </w:t>
      </w:r>
      <w:r>
        <w:rPr>
          <w:rFonts w:ascii="Segoe UI" w:hAnsi="Segoe UI" w:cs="Segoe UI" w:eastAsia="Segoe UI"/>
          <w:color w:val="231F20"/>
          <w:sz w:val="16"/>
          <w:szCs w:val="16"/>
        </w:rPr>
        <w:t>allowance,</w:t>
      </w:r>
      <w:r>
        <w:rPr>
          <w:rFonts w:ascii="Segoe UI" w:hAnsi="Segoe UI" w:cs="Segoe UI" w:eastAsia="Segoe UI"/>
          <w:color w:val="231F20"/>
          <w:spacing w:val="-2"/>
          <w:sz w:val="16"/>
          <w:szCs w:val="16"/>
        </w:rPr>
        <w:t> </w:t>
      </w:r>
      <w:r>
        <w:rPr>
          <w:rFonts w:ascii="Segoe UI" w:hAnsi="Segoe UI" w:cs="Segoe UI" w:eastAsia="Segoe UI"/>
          <w:color w:val="3853A4"/>
          <w:spacing w:val="-2"/>
          <w:sz w:val="16"/>
          <w:szCs w:val="16"/>
        </w:rPr>
      </w:r>
      <w:r>
        <w:rPr>
          <w:rFonts w:ascii="Segoe UI" w:hAnsi="Segoe UI" w:cs="Segoe UI" w:eastAsia="Segoe UI"/>
          <w:color w:val="3853A4"/>
          <w:sz w:val="16"/>
          <w:szCs w:val="16"/>
          <w:u w:val="single" w:color="3853A4"/>
        </w:rPr>
        <w:t>https://</w:t>
      </w:r>
      <w:r>
        <w:rPr>
          <w:rFonts w:ascii="Segoe UI" w:hAnsi="Segoe UI" w:cs="Segoe UI" w:eastAsia="Segoe UI"/>
          <w:color w:val="3853A4"/>
          <w:w w:val="99"/>
          <w:sz w:val="16"/>
          <w:szCs w:val="16"/>
        </w:rPr>
      </w:r>
      <w:r>
        <w:rPr>
          <w:rFonts w:ascii="Segoe UI" w:hAnsi="Segoe UI" w:cs="Segoe UI" w:eastAsia="Segoe UI"/>
          <w:color w:val="3853A4"/>
          <w:w w:val="99"/>
          <w:sz w:val="16"/>
          <w:szCs w:val="16"/>
        </w:rPr>
        <w:t> </w:t>
      </w:r>
      <w:hyperlink r:id="rId120">
        <w:r>
          <w:rPr>
            <w:rFonts w:ascii="Segoe UI" w:hAnsi="Segoe UI" w:cs="Segoe UI" w:eastAsia="Segoe UI"/>
            <w:color w:val="3853A4"/>
            <w:sz w:val="16"/>
            <w:szCs w:val="16"/>
            <w:u w:val="single" w:color="3853A4"/>
          </w:rPr>
          <w:t>www.humanservices.gov.au/individuals/subjects/</w:t>
        </w:r>
        <w:r>
          <w:rPr>
            <w:rFonts w:ascii="Segoe UI" w:hAnsi="Segoe UI" w:cs="Segoe UI" w:eastAsia="Segoe UI"/>
            <w:color w:val="3853A4"/>
            <w:w w:val="99"/>
            <w:sz w:val="16"/>
            <w:szCs w:val="16"/>
          </w:rPr>
        </w:r>
      </w:hyperlink>
      <w:r>
        <w:rPr>
          <w:rFonts w:ascii="Segoe UI" w:hAnsi="Segoe UI" w:cs="Segoe UI" w:eastAsia="Segoe UI"/>
          <w:color w:val="3853A4"/>
          <w:w w:val="99"/>
          <w:sz w:val="16"/>
          <w:szCs w:val="16"/>
        </w:rPr>
        <w:t> </w:t>
      </w:r>
      <w:r>
        <w:rPr>
          <w:rFonts w:ascii="Segoe UI" w:hAnsi="Segoe UI" w:cs="Segoe UI" w:eastAsia="Segoe UI"/>
          <w:color w:val="3853A4"/>
          <w:spacing w:val="-1"/>
          <w:sz w:val="16"/>
          <w:szCs w:val="16"/>
          <w:u w:val="single" w:color="3853A4"/>
        </w:rPr>
        <w:t>changes-student-payments-from-1-january-2019</w:t>
      </w:r>
      <w:r>
        <w:rPr>
          <w:rFonts w:ascii="Segoe UI" w:hAnsi="Segoe UI" w:cs="Segoe UI" w:eastAsia="Segoe UI"/>
          <w:color w:val="3853A4"/>
          <w:sz w:val="16"/>
          <w:szCs w:val="16"/>
        </w:rPr>
      </w:r>
      <w:r>
        <w:rPr>
          <w:rFonts w:ascii="Segoe UI" w:hAnsi="Segoe UI" w:cs="Segoe UI" w:eastAsia="Segoe UI"/>
          <w:color w:val="231F20"/>
          <w:spacing w:val="-1"/>
          <w:sz w:val="16"/>
          <w:szCs w:val="16"/>
        </w:rPr>
        <w:t>,</w:t>
      </w:r>
      <w:r>
        <w:rPr>
          <w:rFonts w:ascii="Segoe UI" w:hAnsi="Segoe UI" w:cs="Segoe UI" w:eastAsia="Segoe UI"/>
          <w:color w:val="231F20"/>
          <w:spacing w:val="88"/>
          <w:w w:val="99"/>
          <w:sz w:val="16"/>
          <w:szCs w:val="16"/>
        </w:rPr>
        <w:t> </w:t>
      </w:r>
      <w:r>
        <w:rPr>
          <w:rFonts w:ascii="Segoe UI" w:hAnsi="Segoe UI" w:cs="Segoe UI" w:eastAsia="Segoe UI"/>
          <w:color w:val="231F20"/>
          <w:sz w:val="16"/>
          <w:szCs w:val="16"/>
        </w:rPr>
        <w:t>accessed</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in</w:t>
      </w:r>
      <w:r>
        <w:rPr>
          <w:rFonts w:ascii="Segoe UI" w:hAnsi="Segoe UI" w:cs="Segoe UI" w:eastAsia="Segoe UI"/>
          <w:color w:val="231F20"/>
          <w:spacing w:val="-2"/>
          <w:sz w:val="16"/>
          <w:szCs w:val="16"/>
        </w:rPr>
        <w:t> </w:t>
      </w:r>
      <w:r>
        <w:rPr>
          <w:rFonts w:ascii="Segoe UI" w:hAnsi="Segoe UI" w:cs="Segoe UI" w:eastAsia="Segoe UI"/>
          <w:color w:val="231F20"/>
          <w:sz w:val="16"/>
          <w:szCs w:val="16"/>
        </w:rPr>
        <w:t>January</w:t>
      </w:r>
      <w:r>
        <w:rPr>
          <w:rFonts w:ascii="Segoe UI" w:hAnsi="Segoe UI" w:cs="Segoe UI" w:eastAsia="Segoe UI"/>
          <w:color w:val="231F20"/>
          <w:spacing w:val="-2"/>
          <w:sz w:val="16"/>
          <w:szCs w:val="16"/>
        </w:rPr>
        <w:t> </w:t>
      </w:r>
      <w:r>
        <w:rPr>
          <w:rFonts w:ascii="Segoe UI" w:hAnsi="Segoe UI" w:cs="Segoe UI" w:eastAsia="Segoe UI"/>
          <w:color w:val="231F20"/>
          <w:sz w:val="16"/>
          <w:szCs w:val="16"/>
        </w:rPr>
        <w:t>2019</w:t>
      </w:r>
      <w:r>
        <w:rPr>
          <w:rFonts w:ascii="Segoe UI" w:hAnsi="Segoe UI" w:cs="Segoe UI" w:eastAsia="Segoe UI"/>
          <w:sz w:val="16"/>
          <w:szCs w:val="16"/>
        </w:rPr>
      </w:r>
    </w:p>
    <w:p>
      <w:pPr>
        <w:numPr>
          <w:ilvl w:val="0"/>
          <w:numId w:val="14"/>
        </w:numPr>
        <w:tabs>
          <w:tab w:pos="685" w:val="left" w:leader="none"/>
        </w:tabs>
        <w:spacing w:line="200" w:lineRule="exact" w:before="113"/>
        <w:ind w:left="684" w:right="642" w:hanging="567"/>
        <w:jc w:val="left"/>
        <w:rPr>
          <w:rFonts w:ascii="Segoe UI" w:hAnsi="Segoe UI" w:cs="Segoe UI" w:eastAsia="Segoe UI"/>
          <w:sz w:val="16"/>
          <w:szCs w:val="16"/>
        </w:rPr>
      </w:pPr>
      <w:r>
        <w:rPr>
          <w:rFonts w:ascii="Segoe UI" w:hAnsi="Segoe UI" w:cs="Segoe UI" w:eastAsia="Segoe UI"/>
          <w:color w:val="231F20"/>
          <w:spacing w:val="-1"/>
          <w:sz w:val="16"/>
          <w:szCs w:val="16"/>
        </w:rPr>
        <w:t>Consultation—very</w:t>
      </w:r>
      <w:r>
        <w:rPr>
          <w:rFonts w:ascii="Segoe UI" w:hAnsi="Segoe UI" w:cs="Segoe UI" w:eastAsia="Segoe UI"/>
          <w:color w:val="231F20"/>
          <w:spacing w:val="-9"/>
          <w:sz w:val="16"/>
          <w:szCs w:val="16"/>
        </w:rPr>
        <w:t> </w:t>
      </w:r>
      <w:r>
        <w:rPr>
          <w:rFonts w:ascii="Segoe UI" w:hAnsi="Segoe UI" w:cs="Segoe UI" w:eastAsia="Segoe UI"/>
          <w:color w:val="231F20"/>
          <w:spacing w:val="-1"/>
          <w:sz w:val="16"/>
          <w:szCs w:val="16"/>
        </w:rPr>
        <w:t>small</w:t>
      </w:r>
      <w:r>
        <w:rPr>
          <w:rFonts w:ascii="Segoe UI" w:hAnsi="Segoe UI" w:cs="Segoe UI" w:eastAsia="Segoe UI"/>
          <w:color w:val="231F20"/>
          <w:spacing w:val="-9"/>
          <w:sz w:val="16"/>
          <w:szCs w:val="16"/>
        </w:rPr>
        <w:t> </w:t>
      </w:r>
      <w:r>
        <w:rPr>
          <w:rFonts w:ascii="Segoe UI" w:hAnsi="Segoe UI" w:cs="Segoe UI" w:eastAsia="Segoe UI"/>
          <w:color w:val="231F20"/>
          <w:sz w:val="16"/>
          <w:szCs w:val="16"/>
        </w:rPr>
        <w:t>boarding</w:t>
      </w:r>
      <w:r>
        <w:rPr>
          <w:rFonts w:ascii="Segoe UI" w:hAnsi="Segoe UI" w:cs="Segoe UI" w:eastAsia="Segoe UI"/>
          <w:color w:val="231F20"/>
          <w:spacing w:val="-10"/>
          <w:sz w:val="16"/>
          <w:szCs w:val="16"/>
        </w:rPr>
        <w:t> </w:t>
      </w:r>
      <w:r>
        <w:rPr>
          <w:rFonts w:ascii="Segoe UI" w:hAnsi="Segoe UI" w:cs="Segoe UI" w:eastAsia="Segoe UI"/>
          <w:color w:val="231F20"/>
          <w:sz w:val="16"/>
          <w:szCs w:val="16"/>
        </w:rPr>
        <w:t>provider,</w:t>
      </w:r>
      <w:r>
        <w:rPr>
          <w:rFonts w:ascii="Segoe UI" w:hAnsi="Segoe UI" w:cs="Segoe UI" w:eastAsia="Segoe UI"/>
          <w:color w:val="231F20"/>
          <w:spacing w:val="23"/>
          <w:w w:val="99"/>
          <w:sz w:val="16"/>
          <w:szCs w:val="16"/>
        </w:rPr>
        <w:t> </w:t>
      </w:r>
      <w:r>
        <w:rPr>
          <w:rFonts w:ascii="Segoe UI" w:hAnsi="Segoe UI" w:cs="Segoe UI" w:eastAsia="Segoe UI"/>
          <w:color w:val="231F20"/>
          <w:sz w:val="16"/>
          <w:szCs w:val="16"/>
        </w:rPr>
        <w:t>Northern</w:t>
      </w:r>
      <w:r>
        <w:rPr>
          <w:rFonts w:ascii="Segoe UI" w:hAnsi="Segoe UI" w:cs="Segoe UI" w:eastAsia="Segoe UI"/>
          <w:color w:val="231F20"/>
          <w:spacing w:val="-13"/>
          <w:sz w:val="16"/>
          <w:szCs w:val="16"/>
        </w:rPr>
        <w:t> </w:t>
      </w:r>
      <w:r>
        <w:rPr>
          <w:rFonts w:ascii="Segoe UI" w:hAnsi="Segoe UI" w:cs="Segoe UI" w:eastAsia="Segoe UI"/>
          <w:color w:val="231F20"/>
          <w:spacing w:val="-2"/>
          <w:sz w:val="16"/>
          <w:szCs w:val="16"/>
        </w:rPr>
        <w:t>Territory</w:t>
      </w:r>
      <w:r>
        <w:rPr>
          <w:rFonts w:ascii="Segoe UI" w:hAnsi="Segoe UI" w:cs="Segoe UI" w:eastAsia="Segoe UI"/>
          <w:sz w:val="16"/>
          <w:szCs w:val="16"/>
        </w:rPr>
      </w:r>
    </w:p>
    <w:p>
      <w:pPr>
        <w:numPr>
          <w:ilvl w:val="0"/>
          <w:numId w:val="14"/>
        </w:numPr>
        <w:tabs>
          <w:tab w:pos="685" w:val="left" w:leader="none"/>
        </w:tabs>
        <w:spacing w:before="100"/>
        <w:ind w:left="684" w:right="0" w:hanging="567"/>
        <w:jc w:val="left"/>
        <w:rPr>
          <w:rFonts w:ascii="Segoe UI" w:hAnsi="Segoe UI" w:cs="Segoe UI" w:eastAsia="Segoe UI"/>
          <w:sz w:val="16"/>
          <w:szCs w:val="16"/>
        </w:rPr>
      </w:pPr>
      <w:r>
        <w:rPr>
          <w:rFonts w:ascii="Segoe UI" w:hAnsi="Segoe UI" w:cs="Segoe UI" w:eastAsia="Segoe UI"/>
          <w:color w:val="231F20"/>
          <w:spacing w:val="-1"/>
          <w:sz w:val="16"/>
          <w:szCs w:val="16"/>
        </w:rPr>
        <w:t>Consultation—small</w:t>
      </w:r>
      <w:r>
        <w:rPr>
          <w:rFonts w:ascii="Segoe UI" w:hAnsi="Segoe UI" w:cs="Segoe UI" w:eastAsia="Segoe UI"/>
          <w:color w:val="231F20"/>
          <w:spacing w:val="-9"/>
          <w:sz w:val="16"/>
          <w:szCs w:val="16"/>
        </w:rPr>
        <w:t> </w:t>
      </w:r>
      <w:r>
        <w:rPr>
          <w:rFonts w:ascii="Segoe UI" w:hAnsi="Segoe UI" w:cs="Segoe UI" w:eastAsia="Segoe UI"/>
          <w:color w:val="231F20"/>
          <w:sz w:val="16"/>
          <w:szCs w:val="16"/>
        </w:rPr>
        <w:t>boarding</w:t>
      </w:r>
      <w:r>
        <w:rPr>
          <w:rFonts w:ascii="Segoe UI" w:hAnsi="Segoe UI" w:cs="Segoe UI" w:eastAsia="Segoe UI"/>
          <w:color w:val="231F20"/>
          <w:spacing w:val="-9"/>
          <w:sz w:val="16"/>
          <w:szCs w:val="16"/>
        </w:rPr>
        <w:t> </w:t>
      </w:r>
      <w:r>
        <w:rPr>
          <w:rFonts w:ascii="Segoe UI" w:hAnsi="Segoe UI" w:cs="Segoe UI" w:eastAsia="Segoe UI"/>
          <w:color w:val="231F20"/>
          <w:sz w:val="16"/>
          <w:szCs w:val="16"/>
        </w:rPr>
        <w:t>provider,</w:t>
      </w:r>
      <w:r>
        <w:rPr>
          <w:rFonts w:ascii="Segoe UI" w:hAnsi="Segoe UI" w:cs="Segoe UI" w:eastAsia="Segoe UI"/>
          <w:color w:val="231F20"/>
          <w:spacing w:val="-9"/>
          <w:sz w:val="16"/>
          <w:szCs w:val="16"/>
        </w:rPr>
        <w:t> </w:t>
      </w:r>
      <w:r>
        <w:rPr>
          <w:rFonts w:ascii="Segoe UI" w:hAnsi="Segoe UI" w:cs="Segoe UI" w:eastAsia="Segoe UI"/>
          <w:color w:val="231F20"/>
          <w:sz w:val="16"/>
          <w:szCs w:val="16"/>
        </w:rPr>
        <w:t>Queensland</w:t>
      </w:r>
      <w:r>
        <w:rPr>
          <w:rFonts w:ascii="Segoe UI" w:hAnsi="Segoe UI" w:cs="Segoe UI" w:eastAsia="Segoe UI"/>
          <w:sz w:val="16"/>
          <w:szCs w:val="16"/>
        </w:rPr>
      </w:r>
    </w:p>
    <w:p>
      <w:pPr>
        <w:numPr>
          <w:ilvl w:val="0"/>
          <w:numId w:val="14"/>
        </w:numPr>
        <w:tabs>
          <w:tab w:pos="685" w:val="left" w:leader="none"/>
        </w:tabs>
        <w:spacing w:line="200" w:lineRule="exact" w:before="113"/>
        <w:ind w:left="684" w:right="263" w:hanging="567"/>
        <w:jc w:val="left"/>
        <w:rPr>
          <w:rFonts w:ascii="Segoe UI" w:hAnsi="Segoe UI" w:cs="Segoe UI" w:eastAsia="Segoe UI"/>
          <w:sz w:val="16"/>
          <w:szCs w:val="16"/>
        </w:rPr>
      </w:pPr>
      <w:r>
        <w:rPr>
          <w:rFonts w:ascii="Segoe UI"/>
          <w:color w:val="231F20"/>
          <w:spacing w:val="-5"/>
          <w:sz w:val="16"/>
        </w:rPr>
        <w:t>Total</w:t>
      </w:r>
      <w:r>
        <w:rPr>
          <w:rFonts w:ascii="Segoe UI"/>
          <w:color w:val="231F20"/>
          <w:spacing w:val="-3"/>
          <w:sz w:val="16"/>
        </w:rPr>
        <w:t> </w:t>
      </w:r>
      <w:r>
        <w:rPr>
          <w:rFonts w:ascii="Segoe UI"/>
          <w:color w:val="231F20"/>
          <w:sz w:val="16"/>
        </w:rPr>
        <w:t>enrolments</w:t>
      </w:r>
      <w:r>
        <w:rPr>
          <w:rFonts w:ascii="Segoe UI"/>
          <w:color w:val="231F20"/>
          <w:spacing w:val="-2"/>
          <w:sz w:val="16"/>
        </w:rPr>
        <w:t> </w:t>
      </w:r>
      <w:r>
        <w:rPr>
          <w:rFonts w:ascii="Segoe UI"/>
          <w:color w:val="231F20"/>
          <w:sz w:val="16"/>
        </w:rPr>
        <w:t>are</w:t>
      </w:r>
      <w:r>
        <w:rPr>
          <w:rFonts w:ascii="Segoe UI"/>
          <w:color w:val="231F20"/>
          <w:spacing w:val="-2"/>
          <w:sz w:val="16"/>
        </w:rPr>
        <w:t> </w:t>
      </w:r>
      <w:r>
        <w:rPr>
          <w:rFonts w:ascii="Segoe UI"/>
          <w:color w:val="231F20"/>
          <w:sz w:val="16"/>
        </w:rPr>
        <w:t>used</w:t>
      </w:r>
      <w:r>
        <w:rPr>
          <w:rFonts w:ascii="Segoe UI"/>
          <w:color w:val="231F20"/>
          <w:spacing w:val="-2"/>
          <w:sz w:val="16"/>
        </w:rPr>
        <w:t> </w:t>
      </w:r>
      <w:r>
        <w:rPr>
          <w:rFonts w:ascii="Segoe UI"/>
          <w:color w:val="231F20"/>
          <w:spacing w:val="-1"/>
          <w:sz w:val="16"/>
        </w:rPr>
        <w:t>in</w:t>
      </w:r>
      <w:r>
        <w:rPr>
          <w:rFonts w:ascii="Segoe UI"/>
          <w:color w:val="231F20"/>
          <w:spacing w:val="-2"/>
          <w:sz w:val="16"/>
        </w:rPr>
        <w:t> </w:t>
      </w:r>
      <w:r>
        <w:rPr>
          <w:rFonts w:ascii="Segoe UI"/>
          <w:color w:val="231F20"/>
          <w:sz w:val="16"/>
        </w:rPr>
        <w:t>classifying</w:t>
      </w:r>
      <w:r>
        <w:rPr>
          <w:rFonts w:ascii="Segoe UI"/>
          <w:color w:val="231F20"/>
          <w:spacing w:val="-3"/>
          <w:sz w:val="16"/>
        </w:rPr>
        <w:t> </w:t>
      </w:r>
      <w:r>
        <w:rPr>
          <w:rFonts w:ascii="Segoe UI"/>
          <w:color w:val="231F20"/>
          <w:sz w:val="16"/>
        </w:rPr>
        <w:t>boarding</w:t>
      </w:r>
      <w:r>
        <w:rPr>
          <w:rFonts w:ascii="Segoe UI"/>
          <w:color w:val="231F20"/>
          <w:spacing w:val="25"/>
          <w:w w:val="99"/>
          <w:sz w:val="16"/>
        </w:rPr>
        <w:t> </w:t>
      </w:r>
      <w:r>
        <w:rPr>
          <w:rFonts w:ascii="Segoe UI"/>
          <w:color w:val="231F20"/>
          <w:sz w:val="16"/>
        </w:rPr>
        <w:t>providers</w:t>
      </w:r>
      <w:r>
        <w:rPr>
          <w:rFonts w:ascii="Segoe UI"/>
          <w:color w:val="231F20"/>
          <w:spacing w:val="-5"/>
          <w:sz w:val="16"/>
        </w:rPr>
        <w:t> </w:t>
      </w:r>
      <w:r>
        <w:rPr>
          <w:rFonts w:ascii="Segoe UI"/>
          <w:color w:val="231F20"/>
          <w:sz w:val="16"/>
        </w:rPr>
        <w:t>by</w:t>
      </w:r>
      <w:r>
        <w:rPr>
          <w:rFonts w:ascii="Segoe UI"/>
          <w:color w:val="231F20"/>
          <w:spacing w:val="-4"/>
          <w:sz w:val="16"/>
        </w:rPr>
        <w:t> </w:t>
      </w:r>
      <w:r>
        <w:rPr>
          <w:rFonts w:ascii="Segoe UI"/>
          <w:color w:val="231F20"/>
          <w:spacing w:val="-1"/>
          <w:sz w:val="16"/>
        </w:rPr>
        <w:t>size</w:t>
      </w:r>
      <w:r>
        <w:rPr>
          <w:rFonts w:ascii="Segoe UI"/>
          <w:color w:val="231F20"/>
          <w:spacing w:val="-4"/>
          <w:sz w:val="16"/>
        </w:rPr>
        <w:t> </w:t>
      </w:r>
      <w:r>
        <w:rPr>
          <w:rFonts w:ascii="Segoe UI"/>
          <w:color w:val="231F20"/>
          <w:sz w:val="16"/>
        </w:rPr>
        <w:t>rather</w:t>
      </w:r>
      <w:r>
        <w:rPr>
          <w:rFonts w:ascii="Segoe UI"/>
          <w:color w:val="231F20"/>
          <w:spacing w:val="-4"/>
          <w:sz w:val="16"/>
        </w:rPr>
        <w:t> </w:t>
      </w:r>
      <w:r>
        <w:rPr>
          <w:rFonts w:ascii="Segoe UI"/>
          <w:color w:val="231F20"/>
          <w:sz w:val="16"/>
        </w:rPr>
        <w:t>than</w:t>
      </w:r>
      <w:r>
        <w:rPr>
          <w:rFonts w:ascii="Segoe UI"/>
          <w:color w:val="231F20"/>
          <w:spacing w:val="-5"/>
          <w:sz w:val="16"/>
        </w:rPr>
        <w:t> </w:t>
      </w:r>
      <w:r>
        <w:rPr>
          <w:rFonts w:ascii="Segoe UI"/>
          <w:color w:val="231F20"/>
          <w:sz w:val="16"/>
        </w:rPr>
        <w:t>boarding</w:t>
      </w:r>
      <w:r>
        <w:rPr>
          <w:rFonts w:ascii="Segoe UI"/>
          <w:color w:val="231F20"/>
          <w:spacing w:val="-5"/>
          <w:sz w:val="16"/>
        </w:rPr>
        <w:t> </w:t>
      </w:r>
      <w:r>
        <w:rPr>
          <w:rFonts w:ascii="Segoe UI"/>
          <w:color w:val="231F20"/>
          <w:spacing w:val="-1"/>
          <w:sz w:val="16"/>
        </w:rPr>
        <w:t>students</w:t>
      </w:r>
      <w:r>
        <w:rPr>
          <w:rFonts w:ascii="Segoe UI"/>
          <w:color w:val="231F20"/>
          <w:spacing w:val="21"/>
          <w:sz w:val="16"/>
        </w:rPr>
        <w:t> </w:t>
      </w:r>
      <w:r>
        <w:rPr>
          <w:rFonts w:ascii="Segoe UI"/>
          <w:color w:val="231F20"/>
          <w:sz w:val="16"/>
        </w:rPr>
        <w:t>as it is more reflective of the overall operations of</w:t>
      </w:r>
      <w:r>
        <w:rPr>
          <w:rFonts w:ascii="Segoe UI"/>
          <w:color w:val="231F20"/>
          <w:sz w:val="16"/>
        </w:rPr>
        <w:t> </w:t>
      </w:r>
      <w:r>
        <w:rPr>
          <w:rFonts w:ascii="Segoe UI"/>
          <w:color w:val="231F20"/>
          <w:sz w:val="16"/>
        </w:rPr>
        <w:t>a</w:t>
      </w:r>
      <w:r>
        <w:rPr>
          <w:rFonts w:ascii="Segoe UI"/>
          <w:color w:val="231F20"/>
          <w:spacing w:val="-4"/>
          <w:sz w:val="16"/>
        </w:rPr>
        <w:t> </w:t>
      </w:r>
      <w:r>
        <w:rPr>
          <w:rFonts w:ascii="Segoe UI"/>
          <w:color w:val="231F20"/>
          <w:sz w:val="16"/>
        </w:rPr>
        <w:t>boarding</w:t>
      </w:r>
      <w:r>
        <w:rPr>
          <w:rFonts w:ascii="Segoe UI"/>
          <w:color w:val="231F20"/>
          <w:spacing w:val="-5"/>
          <w:sz w:val="16"/>
        </w:rPr>
        <w:t> </w:t>
      </w:r>
      <w:r>
        <w:rPr>
          <w:rFonts w:ascii="Segoe UI"/>
          <w:color w:val="231F20"/>
          <w:sz w:val="16"/>
        </w:rPr>
        <w:t>facility.</w:t>
      </w:r>
      <w:r>
        <w:rPr>
          <w:rFonts w:ascii="Segoe UI"/>
          <w:color w:val="231F20"/>
          <w:spacing w:val="-3"/>
          <w:sz w:val="16"/>
        </w:rPr>
        <w:t> </w:t>
      </w:r>
      <w:r>
        <w:rPr>
          <w:rFonts w:ascii="Segoe UI"/>
          <w:color w:val="231F20"/>
          <w:spacing w:val="-1"/>
          <w:sz w:val="16"/>
        </w:rPr>
        <w:t>Where</w:t>
      </w:r>
      <w:r>
        <w:rPr>
          <w:rFonts w:ascii="Segoe UI"/>
          <w:color w:val="231F20"/>
          <w:spacing w:val="-4"/>
          <w:sz w:val="16"/>
        </w:rPr>
        <w:t> </w:t>
      </w:r>
      <w:r>
        <w:rPr>
          <w:rFonts w:ascii="Segoe UI"/>
          <w:color w:val="231F20"/>
          <w:sz w:val="16"/>
        </w:rPr>
        <w:t>the</w:t>
      </w:r>
      <w:r>
        <w:rPr>
          <w:rFonts w:ascii="Segoe UI"/>
          <w:color w:val="231F20"/>
          <w:spacing w:val="-5"/>
          <w:sz w:val="16"/>
        </w:rPr>
        <w:t> </w:t>
      </w:r>
      <w:r>
        <w:rPr>
          <w:rFonts w:ascii="Segoe UI"/>
          <w:color w:val="231F20"/>
          <w:sz w:val="16"/>
        </w:rPr>
        <w:t>boarding</w:t>
      </w:r>
      <w:r>
        <w:rPr>
          <w:rFonts w:ascii="Segoe UI"/>
          <w:color w:val="231F20"/>
          <w:spacing w:val="-4"/>
          <w:sz w:val="16"/>
        </w:rPr>
        <w:t> </w:t>
      </w:r>
      <w:r>
        <w:rPr>
          <w:rFonts w:ascii="Segoe UI"/>
          <w:color w:val="231F20"/>
          <w:sz w:val="16"/>
        </w:rPr>
        <w:t>facility</w:t>
      </w:r>
      <w:r>
        <w:rPr>
          <w:rFonts w:ascii="Segoe UI"/>
          <w:color w:val="231F20"/>
          <w:spacing w:val="-5"/>
          <w:sz w:val="16"/>
        </w:rPr>
        <w:t> </w:t>
      </w:r>
      <w:r>
        <w:rPr>
          <w:rFonts w:ascii="Segoe UI"/>
          <w:color w:val="231F20"/>
          <w:spacing w:val="-1"/>
          <w:sz w:val="16"/>
        </w:rPr>
        <w:t>is</w:t>
      </w:r>
      <w:r>
        <w:rPr>
          <w:rFonts w:ascii="Segoe UI"/>
          <w:sz w:val="16"/>
        </w:rPr>
      </w:r>
    </w:p>
    <w:p>
      <w:pPr>
        <w:spacing w:line="200" w:lineRule="exact" w:before="0"/>
        <w:ind w:left="684" w:right="121" w:firstLine="0"/>
        <w:jc w:val="left"/>
        <w:rPr>
          <w:rFonts w:ascii="Segoe UI" w:hAnsi="Segoe UI" w:cs="Segoe UI" w:eastAsia="Segoe UI"/>
          <w:sz w:val="16"/>
          <w:szCs w:val="16"/>
        </w:rPr>
      </w:pPr>
      <w:r>
        <w:rPr>
          <w:rFonts w:ascii="Segoe UI"/>
          <w:color w:val="231F20"/>
          <w:sz w:val="16"/>
        </w:rPr>
        <w:t>also</w:t>
      </w:r>
      <w:r>
        <w:rPr>
          <w:rFonts w:ascii="Segoe UI"/>
          <w:color w:val="231F20"/>
          <w:spacing w:val="-3"/>
          <w:sz w:val="16"/>
        </w:rPr>
        <w:t> </w:t>
      </w:r>
      <w:r>
        <w:rPr>
          <w:rFonts w:ascii="Segoe UI"/>
          <w:color w:val="231F20"/>
          <w:sz w:val="16"/>
        </w:rPr>
        <w:t>a</w:t>
      </w:r>
      <w:r>
        <w:rPr>
          <w:rFonts w:ascii="Segoe UI"/>
          <w:color w:val="231F20"/>
          <w:spacing w:val="-2"/>
          <w:sz w:val="16"/>
        </w:rPr>
        <w:t> </w:t>
      </w:r>
      <w:r>
        <w:rPr>
          <w:rFonts w:ascii="Segoe UI"/>
          <w:color w:val="231F20"/>
          <w:spacing w:val="-1"/>
          <w:sz w:val="16"/>
        </w:rPr>
        <w:t>school </w:t>
      </w:r>
      <w:r>
        <w:rPr>
          <w:rFonts w:ascii="Segoe UI"/>
          <w:color w:val="231F20"/>
          <w:sz w:val="16"/>
        </w:rPr>
        <w:t>total</w:t>
      </w:r>
      <w:r>
        <w:rPr>
          <w:rFonts w:ascii="Segoe UI"/>
          <w:color w:val="231F20"/>
          <w:spacing w:val="-3"/>
          <w:sz w:val="16"/>
        </w:rPr>
        <w:t> </w:t>
      </w:r>
      <w:r>
        <w:rPr>
          <w:rFonts w:ascii="Segoe UI"/>
          <w:color w:val="231F20"/>
          <w:sz w:val="16"/>
        </w:rPr>
        <w:t>enrolments</w:t>
      </w:r>
      <w:r>
        <w:rPr>
          <w:rFonts w:ascii="Segoe UI"/>
          <w:color w:val="231F20"/>
          <w:spacing w:val="-3"/>
          <w:sz w:val="16"/>
        </w:rPr>
        <w:t> </w:t>
      </w:r>
      <w:r>
        <w:rPr>
          <w:rFonts w:ascii="Segoe UI"/>
          <w:color w:val="231F20"/>
          <w:spacing w:val="-1"/>
          <w:sz w:val="16"/>
        </w:rPr>
        <w:t>include </w:t>
      </w:r>
      <w:r>
        <w:rPr>
          <w:rFonts w:ascii="Segoe UI"/>
          <w:color w:val="231F20"/>
          <w:sz w:val="16"/>
        </w:rPr>
        <w:t>day</w:t>
      </w:r>
      <w:r>
        <w:rPr>
          <w:rFonts w:ascii="Segoe UI"/>
          <w:color w:val="231F20"/>
          <w:spacing w:val="-2"/>
          <w:sz w:val="16"/>
        </w:rPr>
        <w:t> </w:t>
      </w:r>
      <w:r>
        <w:rPr>
          <w:rFonts w:ascii="Segoe UI"/>
          <w:color w:val="231F20"/>
          <w:spacing w:val="-1"/>
          <w:sz w:val="16"/>
        </w:rPr>
        <w:t>students</w:t>
      </w:r>
      <w:r>
        <w:rPr>
          <w:rFonts w:ascii="Segoe UI"/>
          <w:color w:val="231F20"/>
          <w:spacing w:val="22"/>
          <w:sz w:val="16"/>
        </w:rPr>
        <w:t> </w:t>
      </w:r>
      <w:r>
        <w:rPr>
          <w:rFonts w:ascii="Segoe UI"/>
          <w:color w:val="231F20"/>
          <w:sz w:val="16"/>
        </w:rPr>
        <w:t>as</w:t>
      </w:r>
      <w:r>
        <w:rPr>
          <w:rFonts w:ascii="Segoe UI"/>
          <w:color w:val="231F20"/>
          <w:spacing w:val="-5"/>
          <w:sz w:val="16"/>
        </w:rPr>
        <w:t> </w:t>
      </w:r>
      <w:r>
        <w:rPr>
          <w:rFonts w:ascii="Segoe UI"/>
          <w:color w:val="231F20"/>
          <w:sz w:val="16"/>
        </w:rPr>
        <w:t>well</w:t>
      </w:r>
      <w:r>
        <w:rPr>
          <w:rFonts w:ascii="Segoe UI"/>
          <w:color w:val="231F20"/>
          <w:spacing w:val="-5"/>
          <w:sz w:val="16"/>
        </w:rPr>
        <w:t> </w:t>
      </w:r>
      <w:r>
        <w:rPr>
          <w:rFonts w:ascii="Segoe UI"/>
          <w:color w:val="231F20"/>
          <w:sz w:val="16"/>
        </w:rPr>
        <w:t>as</w:t>
      </w:r>
      <w:r>
        <w:rPr>
          <w:rFonts w:ascii="Segoe UI"/>
          <w:color w:val="231F20"/>
          <w:spacing w:val="-5"/>
          <w:sz w:val="16"/>
        </w:rPr>
        <w:t> </w:t>
      </w:r>
      <w:r>
        <w:rPr>
          <w:rFonts w:ascii="Segoe UI"/>
          <w:color w:val="231F20"/>
          <w:sz w:val="16"/>
        </w:rPr>
        <w:t>boarders.</w:t>
      </w:r>
      <w:r>
        <w:rPr>
          <w:rFonts w:ascii="Segoe UI"/>
          <w:color w:val="231F20"/>
          <w:spacing w:val="-4"/>
          <w:sz w:val="16"/>
        </w:rPr>
        <w:t> </w:t>
      </w:r>
      <w:r>
        <w:rPr>
          <w:rFonts w:ascii="Segoe UI"/>
          <w:color w:val="231F20"/>
          <w:sz w:val="16"/>
        </w:rPr>
        <w:t>The</w:t>
      </w:r>
      <w:r>
        <w:rPr>
          <w:rFonts w:ascii="Segoe UI"/>
          <w:color w:val="231F20"/>
          <w:spacing w:val="-4"/>
          <w:sz w:val="16"/>
        </w:rPr>
        <w:t> </w:t>
      </w:r>
      <w:r>
        <w:rPr>
          <w:rFonts w:ascii="Segoe UI"/>
          <w:color w:val="231F20"/>
          <w:sz w:val="16"/>
        </w:rPr>
        <w:t>numbers</w:t>
      </w:r>
      <w:r>
        <w:rPr>
          <w:rFonts w:ascii="Segoe UI"/>
          <w:color w:val="231F20"/>
          <w:spacing w:val="-5"/>
          <w:sz w:val="16"/>
        </w:rPr>
        <w:t> </w:t>
      </w:r>
      <w:r>
        <w:rPr>
          <w:rFonts w:ascii="Segoe UI"/>
          <w:color w:val="231F20"/>
          <w:sz w:val="16"/>
        </w:rPr>
        <w:t>of</w:t>
      </w:r>
      <w:r>
        <w:rPr>
          <w:rFonts w:ascii="Segoe UI"/>
          <w:color w:val="231F20"/>
          <w:spacing w:val="-4"/>
          <w:sz w:val="16"/>
        </w:rPr>
        <w:t> </w:t>
      </w:r>
      <w:r>
        <w:rPr>
          <w:rFonts w:ascii="Segoe UI"/>
          <w:color w:val="231F20"/>
          <w:sz w:val="16"/>
        </w:rPr>
        <w:t>boarding</w:t>
      </w:r>
      <w:r>
        <w:rPr>
          <w:rFonts w:ascii="Segoe UI"/>
          <w:color w:val="231F20"/>
          <w:w w:val="99"/>
          <w:sz w:val="16"/>
        </w:rPr>
        <w:t> </w:t>
      </w:r>
      <w:r>
        <w:rPr>
          <w:rFonts w:ascii="Segoe UI"/>
          <w:color w:val="231F20"/>
          <w:sz w:val="16"/>
        </w:rPr>
        <w:t>providers</w:t>
      </w:r>
      <w:r>
        <w:rPr>
          <w:rFonts w:ascii="Segoe UI"/>
          <w:color w:val="231F20"/>
          <w:spacing w:val="-5"/>
          <w:sz w:val="16"/>
        </w:rPr>
        <w:t> </w:t>
      </w:r>
      <w:r>
        <w:rPr>
          <w:rFonts w:ascii="Segoe UI"/>
          <w:color w:val="231F20"/>
          <w:spacing w:val="-1"/>
          <w:sz w:val="16"/>
        </w:rPr>
        <w:t>in</w:t>
      </w:r>
      <w:r>
        <w:rPr>
          <w:rFonts w:ascii="Segoe UI"/>
          <w:color w:val="231F20"/>
          <w:spacing w:val="-3"/>
          <w:sz w:val="16"/>
        </w:rPr>
        <w:t> </w:t>
      </w:r>
      <w:r>
        <w:rPr>
          <w:rFonts w:ascii="Segoe UI"/>
          <w:color w:val="231F20"/>
          <w:sz w:val="16"/>
        </w:rPr>
        <w:t>each</w:t>
      </w:r>
      <w:r>
        <w:rPr>
          <w:rFonts w:ascii="Segoe UI"/>
          <w:color w:val="231F20"/>
          <w:spacing w:val="-4"/>
          <w:sz w:val="16"/>
        </w:rPr>
        <w:t> </w:t>
      </w:r>
      <w:r>
        <w:rPr>
          <w:rFonts w:ascii="Segoe UI"/>
          <w:color w:val="231F20"/>
          <w:sz w:val="16"/>
        </w:rPr>
        <w:t>category</w:t>
      </w:r>
      <w:r>
        <w:rPr>
          <w:rFonts w:ascii="Segoe UI"/>
          <w:color w:val="231F20"/>
          <w:spacing w:val="-3"/>
          <w:sz w:val="16"/>
        </w:rPr>
        <w:t> </w:t>
      </w:r>
      <w:r>
        <w:rPr>
          <w:rFonts w:ascii="Segoe UI"/>
          <w:color w:val="231F20"/>
          <w:spacing w:val="-1"/>
          <w:sz w:val="16"/>
        </w:rPr>
        <w:t>is</w:t>
      </w:r>
      <w:r>
        <w:rPr>
          <w:rFonts w:ascii="Segoe UI"/>
          <w:color w:val="231F20"/>
          <w:spacing w:val="-5"/>
          <w:sz w:val="16"/>
        </w:rPr>
        <w:t> </w:t>
      </w:r>
      <w:r>
        <w:rPr>
          <w:rFonts w:ascii="Segoe UI"/>
          <w:color w:val="231F20"/>
          <w:spacing w:val="-1"/>
          <w:sz w:val="16"/>
        </w:rPr>
        <w:t>small</w:t>
      </w:r>
      <w:r>
        <w:rPr>
          <w:rFonts w:ascii="Segoe UI"/>
          <w:color w:val="231F20"/>
          <w:spacing w:val="-3"/>
          <w:sz w:val="16"/>
        </w:rPr>
        <w:t> </w:t>
      </w:r>
      <w:r>
        <w:rPr>
          <w:rFonts w:ascii="Segoe UI"/>
          <w:color w:val="231F20"/>
          <w:sz w:val="16"/>
        </w:rPr>
        <w:t>and</w:t>
      </w:r>
      <w:r>
        <w:rPr>
          <w:rFonts w:ascii="Segoe UI"/>
          <w:color w:val="231F20"/>
          <w:spacing w:val="-4"/>
          <w:sz w:val="16"/>
        </w:rPr>
        <w:t> </w:t>
      </w:r>
      <w:r>
        <w:rPr>
          <w:rFonts w:ascii="Segoe UI"/>
          <w:color w:val="231F20"/>
          <w:sz w:val="16"/>
        </w:rPr>
        <w:t>caution</w:t>
      </w:r>
      <w:r>
        <w:rPr>
          <w:rFonts w:ascii="Segoe UI"/>
          <w:color w:val="231F20"/>
          <w:spacing w:val="24"/>
          <w:w w:val="99"/>
          <w:sz w:val="16"/>
        </w:rPr>
        <w:t> </w:t>
      </w:r>
      <w:r>
        <w:rPr>
          <w:rFonts w:ascii="Segoe UI"/>
          <w:color w:val="231F20"/>
          <w:spacing w:val="-1"/>
          <w:sz w:val="16"/>
        </w:rPr>
        <w:t>should</w:t>
      </w:r>
      <w:r>
        <w:rPr>
          <w:rFonts w:ascii="Segoe UI"/>
          <w:color w:val="231F20"/>
          <w:spacing w:val="-3"/>
          <w:sz w:val="16"/>
        </w:rPr>
        <w:t> </w:t>
      </w:r>
      <w:r>
        <w:rPr>
          <w:rFonts w:ascii="Segoe UI"/>
          <w:color w:val="231F20"/>
          <w:sz w:val="16"/>
        </w:rPr>
        <w:t>be</w:t>
      </w:r>
      <w:r>
        <w:rPr>
          <w:rFonts w:ascii="Segoe UI"/>
          <w:color w:val="231F20"/>
          <w:spacing w:val="-3"/>
          <w:sz w:val="16"/>
        </w:rPr>
        <w:t> </w:t>
      </w:r>
      <w:r>
        <w:rPr>
          <w:rFonts w:ascii="Segoe UI"/>
          <w:color w:val="231F20"/>
          <w:sz w:val="16"/>
        </w:rPr>
        <w:t>exercised</w:t>
      </w:r>
      <w:r>
        <w:rPr>
          <w:rFonts w:ascii="Segoe UI"/>
          <w:color w:val="231F20"/>
          <w:spacing w:val="-4"/>
          <w:sz w:val="16"/>
        </w:rPr>
        <w:t> </w:t>
      </w:r>
      <w:r>
        <w:rPr>
          <w:rFonts w:ascii="Segoe UI"/>
          <w:color w:val="231F20"/>
          <w:spacing w:val="-1"/>
          <w:sz w:val="16"/>
        </w:rPr>
        <w:t>in</w:t>
      </w:r>
      <w:r>
        <w:rPr>
          <w:rFonts w:ascii="Segoe UI"/>
          <w:color w:val="231F20"/>
          <w:spacing w:val="-3"/>
          <w:sz w:val="16"/>
        </w:rPr>
        <w:t> </w:t>
      </w:r>
      <w:r>
        <w:rPr>
          <w:rFonts w:ascii="Segoe UI"/>
          <w:color w:val="231F20"/>
          <w:spacing w:val="-1"/>
          <w:sz w:val="16"/>
        </w:rPr>
        <w:t>interpreting</w:t>
      </w:r>
      <w:r>
        <w:rPr>
          <w:rFonts w:ascii="Segoe UI"/>
          <w:color w:val="231F20"/>
          <w:spacing w:val="-3"/>
          <w:sz w:val="16"/>
        </w:rPr>
        <w:t> </w:t>
      </w:r>
      <w:r>
        <w:rPr>
          <w:rFonts w:ascii="Segoe UI"/>
          <w:color w:val="231F20"/>
          <w:sz w:val="16"/>
        </w:rPr>
        <w:t>the</w:t>
      </w:r>
      <w:r>
        <w:rPr>
          <w:rFonts w:ascii="Segoe UI"/>
          <w:color w:val="231F20"/>
          <w:spacing w:val="-4"/>
          <w:sz w:val="16"/>
        </w:rPr>
        <w:t> </w:t>
      </w:r>
      <w:r>
        <w:rPr>
          <w:rFonts w:ascii="Segoe UI"/>
          <w:color w:val="231F20"/>
          <w:sz w:val="16"/>
        </w:rPr>
        <w:t>data</w:t>
      </w:r>
      <w:r>
        <w:rPr>
          <w:rFonts w:ascii="Segoe UI"/>
          <w:color w:val="231F20"/>
          <w:spacing w:val="-3"/>
          <w:sz w:val="16"/>
        </w:rPr>
        <w:t> </w:t>
      </w:r>
      <w:r>
        <w:rPr>
          <w:rFonts w:ascii="Segoe UI"/>
          <w:color w:val="231F20"/>
          <w:sz w:val="16"/>
        </w:rPr>
        <w:t>by</w:t>
      </w:r>
      <w:r>
        <w:rPr>
          <w:rFonts w:ascii="Segoe UI"/>
          <w:color w:val="231F20"/>
          <w:spacing w:val="-3"/>
          <w:sz w:val="16"/>
        </w:rPr>
        <w:t> </w:t>
      </w:r>
      <w:r>
        <w:rPr>
          <w:rFonts w:ascii="Segoe UI"/>
          <w:color w:val="231F20"/>
          <w:spacing w:val="-1"/>
          <w:sz w:val="16"/>
        </w:rPr>
        <w:t>size</w:t>
      </w:r>
      <w:r>
        <w:rPr>
          <w:rFonts w:ascii="Segoe UI"/>
          <w:color w:val="231F20"/>
          <w:spacing w:val="23"/>
          <w:sz w:val="16"/>
        </w:rPr>
        <w:t> </w:t>
      </w:r>
      <w:r>
        <w:rPr>
          <w:rFonts w:ascii="Segoe UI"/>
          <w:color w:val="231F20"/>
          <w:sz w:val="16"/>
        </w:rPr>
        <w:t>of</w:t>
      </w:r>
      <w:r>
        <w:rPr>
          <w:rFonts w:ascii="Segoe UI"/>
          <w:color w:val="231F20"/>
          <w:spacing w:val="-7"/>
          <w:sz w:val="16"/>
        </w:rPr>
        <w:t> </w:t>
      </w:r>
      <w:r>
        <w:rPr>
          <w:rFonts w:ascii="Segoe UI"/>
          <w:color w:val="231F20"/>
          <w:sz w:val="16"/>
        </w:rPr>
        <w:t>boarding</w:t>
      </w:r>
      <w:r>
        <w:rPr>
          <w:rFonts w:ascii="Segoe UI"/>
          <w:color w:val="231F20"/>
          <w:spacing w:val="-8"/>
          <w:sz w:val="16"/>
        </w:rPr>
        <w:t> </w:t>
      </w:r>
      <w:r>
        <w:rPr>
          <w:rFonts w:ascii="Segoe UI"/>
          <w:color w:val="231F20"/>
          <w:sz w:val="16"/>
        </w:rPr>
        <w:t>provider</w:t>
      </w:r>
      <w:r>
        <w:rPr>
          <w:rFonts w:ascii="Segoe UI"/>
          <w:sz w:val="16"/>
        </w:rPr>
      </w:r>
    </w:p>
    <w:p>
      <w:pPr>
        <w:numPr>
          <w:ilvl w:val="0"/>
          <w:numId w:val="14"/>
        </w:numPr>
        <w:tabs>
          <w:tab w:pos="685" w:val="left" w:leader="none"/>
        </w:tabs>
        <w:spacing w:line="200" w:lineRule="exact" w:before="113"/>
        <w:ind w:left="684" w:right="98" w:hanging="567"/>
        <w:jc w:val="left"/>
        <w:rPr>
          <w:rFonts w:ascii="Segoe UI" w:hAnsi="Segoe UI" w:cs="Segoe UI" w:eastAsia="Segoe UI"/>
          <w:sz w:val="16"/>
          <w:szCs w:val="16"/>
        </w:rPr>
      </w:pPr>
      <w:hyperlink r:id="rId127">
        <w:r>
          <w:rPr>
            <w:rFonts w:ascii="Segoe UI"/>
            <w:color w:val="3853A4"/>
            <w:spacing w:val="-1"/>
            <w:sz w:val="16"/>
            <w:u w:val="single" w:color="3853A4"/>
          </w:rPr>
          <w:t>https://www.education.gov.a</w:t>
        </w:r>
      </w:hyperlink>
      <w:r>
        <w:rPr>
          <w:rFonts w:ascii="Segoe UI"/>
          <w:color w:val="3853A4"/>
          <w:spacing w:val="-1"/>
          <w:sz w:val="16"/>
          <w:u w:val="single" w:color="3853A4"/>
        </w:rPr>
        <w:t>u/what-</w:t>
      </w:r>
      <w:hyperlink r:id="rId127">
        <w:r>
          <w:rPr>
            <w:rFonts w:ascii="Segoe UI"/>
            <w:color w:val="3853A4"/>
            <w:spacing w:val="-1"/>
            <w:sz w:val="16"/>
            <w:u w:val="single" w:color="3853A4"/>
          </w:rPr>
          <w:t>schooling-</w:t>
        </w:r>
        <w:r>
          <w:rPr>
            <w:rFonts w:ascii="Segoe UI"/>
            <w:color w:val="3853A4"/>
            <w:spacing w:val="-1"/>
            <w:sz w:val="16"/>
          </w:rPr>
        </w:r>
      </w:hyperlink>
      <w:r>
        <w:rPr>
          <w:rFonts w:ascii="Segoe UI"/>
          <w:color w:val="3853A4"/>
          <w:spacing w:val="-1"/>
          <w:sz w:val="16"/>
        </w:rPr>
        <w:t> </w:t>
      </w:r>
      <w:r>
        <w:rPr>
          <w:rFonts w:ascii="Segoe UI"/>
          <w:color w:val="3853A4"/>
          <w:spacing w:val="-1"/>
          <w:w w:val="99"/>
          <w:sz w:val="16"/>
        </w:rPr>
      </w:r>
      <w:r>
        <w:rPr>
          <w:rFonts w:ascii="Segoe UI"/>
          <w:color w:val="3853A4"/>
          <w:spacing w:val="-1"/>
          <w:w w:val="99"/>
          <w:sz w:val="16"/>
        </w:rPr>
        <w:t> </w:t>
      </w:r>
      <w:r>
        <w:rPr>
          <w:rFonts w:ascii="Segoe UI"/>
          <w:color w:val="3853A4"/>
          <w:spacing w:val="-1"/>
          <w:w w:val="95"/>
          <w:sz w:val="16"/>
          <w:u w:val="single" w:color="3853A4"/>
        </w:rPr>
        <w:t>resource-standard-and-how-does-it-work</w:t>
      </w:r>
      <w:r>
        <w:rPr>
          <w:rFonts w:ascii="Segoe UI"/>
          <w:color w:val="3853A4"/>
          <w:w w:val="95"/>
          <w:sz w:val="16"/>
        </w:rPr>
      </w:r>
      <w:r>
        <w:rPr>
          <w:rFonts w:ascii="Segoe UI"/>
          <w:color w:val="231F20"/>
          <w:spacing w:val="-1"/>
          <w:w w:val="95"/>
          <w:sz w:val="16"/>
        </w:rPr>
        <w:t>,</w:t>
      </w:r>
      <w:r>
        <w:rPr>
          <w:rFonts w:ascii="Segoe UI"/>
          <w:color w:val="231F20"/>
          <w:w w:val="95"/>
          <w:sz w:val="16"/>
        </w:rPr>
        <w:t>   </w:t>
      </w:r>
      <w:r>
        <w:rPr>
          <w:rFonts w:ascii="Segoe UI"/>
          <w:color w:val="231F20"/>
          <w:spacing w:val="28"/>
          <w:w w:val="95"/>
          <w:sz w:val="16"/>
        </w:rPr>
        <w:t> </w:t>
      </w:r>
      <w:r>
        <w:rPr>
          <w:rFonts w:ascii="Segoe UI"/>
          <w:color w:val="231F20"/>
          <w:w w:val="95"/>
          <w:sz w:val="16"/>
        </w:rPr>
        <w:t>accessed</w:t>
      </w:r>
      <w:r>
        <w:rPr>
          <w:rFonts w:ascii="Segoe UI"/>
          <w:color w:val="231F20"/>
          <w:spacing w:val="73"/>
          <w:sz w:val="16"/>
        </w:rPr>
        <w:t> </w:t>
      </w:r>
      <w:r>
        <w:rPr>
          <w:rFonts w:ascii="Segoe UI"/>
          <w:color w:val="231F20"/>
          <w:sz w:val="16"/>
        </w:rPr>
        <w:t>January</w:t>
      </w:r>
      <w:r>
        <w:rPr>
          <w:rFonts w:ascii="Segoe UI"/>
          <w:color w:val="231F20"/>
          <w:spacing w:val="-6"/>
          <w:sz w:val="16"/>
        </w:rPr>
        <w:t> </w:t>
      </w:r>
      <w:r>
        <w:rPr>
          <w:rFonts w:ascii="Segoe UI"/>
          <w:color w:val="231F20"/>
          <w:sz w:val="16"/>
        </w:rPr>
        <w:t>2019</w:t>
      </w:r>
      <w:r>
        <w:rPr>
          <w:rFonts w:ascii="Segoe UI"/>
          <w:sz w:val="16"/>
        </w:rPr>
      </w:r>
    </w:p>
    <w:p>
      <w:pPr>
        <w:numPr>
          <w:ilvl w:val="0"/>
          <w:numId w:val="14"/>
        </w:numPr>
        <w:tabs>
          <w:tab w:pos="685" w:val="left" w:leader="none"/>
        </w:tabs>
        <w:spacing w:line="200" w:lineRule="exact" w:before="113"/>
        <w:ind w:left="684" w:right="121" w:hanging="567"/>
        <w:jc w:val="left"/>
        <w:rPr>
          <w:rFonts w:ascii="Segoe UI" w:hAnsi="Segoe UI" w:cs="Segoe UI" w:eastAsia="Segoe UI"/>
          <w:sz w:val="16"/>
          <w:szCs w:val="16"/>
        </w:rPr>
      </w:pPr>
      <w:r>
        <w:rPr>
          <w:rFonts w:ascii="Segoe UI" w:hAnsi="Segoe UI" w:cs="Segoe UI" w:eastAsia="Segoe UI"/>
          <w:color w:val="231F20"/>
          <w:sz w:val="16"/>
          <w:szCs w:val="16"/>
        </w:rPr>
        <w:t>O’Bryan,</w:t>
      </w:r>
      <w:r>
        <w:rPr>
          <w:rFonts w:ascii="Segoe UI" w:hAnsi="Segoe UI" w:cs="Segoe UI" w:eastAsia="Segoe UI"/>
          <w:color w:val="231F20"/>
          <w:spacing w:val="-6"/>
          <w:sz w:val="16"/>
          <w:szCs w:val="16"/>
        </w:rPr>
        <w:t> </w:t>
      </w:r>
      <w:r>
        <w:rPr>
          <w:rFonts w:ascii="Segoe UI" w:hAnsi="Segoe UI" w:cs="Segoe UI" w:eastAsia="Segoe UI"/>
          <w:color w:val="231F20"/>
          <w:sz w:val="16"/>
          <w:szCs w:val="16"/>
        </w:rPr>
        <w:t>M,</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Shaping</w:t>
      </w:r>
      <w:r>
        <w:rPr>
          <w:rFonts w:ascii="Segoe UI" w:hAnsi="Segoe UI" w:cs="Segoe UI" w:eastAsia="Segoe UI"/>
          <w:color w:val="231F20"/>
          <w:spacing w:val="-4"/>
          <w:sz w:val="16"/>
          <w:szCs w:val="16"/>
        </w:rPr>
        <w:t> </w:t>
      </w:r>
      <w:r>
        <w:rPr>
          <w:rFonts w:ascii="Segoe UI" w:hAnsi="Segoe UI" w:cs="Segoe UI" w:eastAsia="Segoe UI"/>
          <w:color w:val="231F20"/>
          <w:sz w:val="16"/>
          <w:szCs w:val="16"/>
        </w:rPr>
        <w:t>futures,</w:t>
      </w:r>
      <w:r>
        <w:rPr>
          <w:rFonts w:ascii="Segoe UI" w:hAnsi="Segoe UI" w:cs="Segoe UI" w:eastAsia="Segoe UI"/>
          <w:color w:val="231F20"/>
          <w:spacing w:val="-6"/>
          <w:sz w:val="16"/>
          <w:szCs w:val="16"/>
        </w:rPr>
        <w:t> </w:t>
      </w:r>
      <w:r>
        <w:rPr>
          <w:rFonts w:ascii="Segoe UI" w:hAnsi="Segoe UI" w:cs="Segoe UI" w:eastAsia="Segoe UI"/>
          <w:color w:val="231F20"/>
          <w:spacing w:val="-1"/>
          <w:sz w:val="16"/>
          <w:szCs w:val="16"/>
        </w:rPr>
        <w:t>shaping</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lives:</w:t>
      </w:r>
      <w:r>
        <w:rPr>
          <w:rFonts w:ascii="Segoe UI" w:hAnsi="Segoe UI" w:cs="Segoe UI" w:eastAsia="Segoe UI"/>
          <w:color w:val="231F20"/>
          <w:spacing w:val="-4"/>
          <w:sz w:val="16"/>
          <w:szCs w:val="16"/>
        </w:rPr>
        <w:t> </w:t>
      </w:r>
      <w:r>
        <w:rPr>
          <w:rFonts w:ascii="Segoe UI" w:hAnsi="Segoe UI" w:cs="Segoe UI" w:eastAsia="Segoe UI"/>
          <w:color w:val="231F20"/>
          <w:sz w:val="16"/>
          <w:szCs w:val="16"/>
        </w:rPr>
        <w:t>an</w:t>
      </w:r>
      <w:r>
        <w:rPr>
          <w:rFonts w:ascii="Segoe UI" w:hAnsi="Segoe UI" w:cs="Segoe UI" w:eastAsia="Segoe UI"/>
          <w:color w:val="231F20"/>
          <w:spacing w:val="24"/>
          <w:w w:val="99"/>
          <w:sz w:val="16"/>
          <w:szCs w:val="16"/>
        </w:rPr>
        <w:t> </w:t>
      </w:r>
      <w:r>
        <w:rPr>
          <w:rFonts w:ascii="Segoe UI" w:hAnsi="Segoe UI" w:cs="Segoe UI" w:eastAsia="Segoe UI"/>
          <w:color w:val="231F20"/>
          <w:spacing w:val="-1"/>
          <w:sz w:val="16"/>
          <w:szCs w:val="16"/>
        </w:rPr>
        <w:t>investigation</w:t>
      </w:r>
      <w:r>
        <w:rPr>
          <w:rFonts w:ascii="Segoe UI" w:hAnsi="Segoe UI" w:cs="Segoe UI" w:eastAsia="Segoe UI"/>
          <w:color w:val="231F20"/>
          <w:spacing w:val="-6"/>
          <w:sz w:val="16"/>
          <w:szCs w:val="16"/>
        </w:rPr>
        <w:t> </w:t>
      </w:r>
      <w:r>
        <w:rPr>
          <w:rFonts w:ascii="Segoe UI" w:hAnsi="Segoe UI" w:cs="Segoe UI" w:eastAsia="Segoe UI"/>
          <w:color w:val="231F20"/>
          <w:spacing w:val="-1"/>
          <w:sz w:val="16"/>
          <w:szCs w:val="16"/>
        </w:rPr>
        <w:t>into</w:t>
      </w:r>
      <w:r>
        <w:rPr>
          <w:rFonts w:ascii="Segoe UI" w:hAnsi="Segoe UI" w:cs="Segoe UI" w:eastAsia="Segoe UI"/>
          <w:color w:val="231F20"/>
          <w:spacing w:val="-5"/>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6"/>
          <w:sz w:val="16"/>
          <w:szCs w:val="16"/>
        </w:rPr>
        <w:t> </w:t>
      </w:r>
      <w:r>
        <w:rPr>
          <w:rFonts w:ascii="Segoe UI" w:hAnsi="Segoe UI" w:cs="Segoe UI" w:eastAsia="Segoe UI"/>
          <w:color w:val="231F20"/>
          <w:spacing w:val="-1"/>
          <w:sz w:val="16"/>
          <w:szCs w:val="16"/>
        </w:rPr>
        <w:t>lived</w:t>
      </w:r>
      <w:r>
        <w:rPr>
          <w:rFonts w:ascii="Segoe UI" w:hAnsi="Segoe UI" w:cs="Segoe UI" w:eastAsia="Segoe UI"/>
          <w:color w:val="231F20"/>
          <w:spacing w:val="-5"/>
          <w:sz w:val="16"/>
          <w:szCs w:val="16"/>
        </w:rPr>
        <w:t> </w:t>
      </w:r>
      <w:r>
        <w:rPr>
          <w:rFonts w:ascii="Segoe UI" w:hAnsi="Segoe UI" w:cs="Segoe UI" w:eastAsia="Segoe UI"/>
          <w:color w:val="231F20"/>
          <w:sz w:val="16"/>
          <w:szCs w:val="16"/>
        </w:rPr>
        <w:t>experience</w:t>
      </w:r>
      <w:r>
        <w:rPr>
          <w:rFonts w:ascii="Segoe UI" w:hAnsi="Segoe UI" w:cs="Segoe UI" w:eastAsia="Segoe UI"/>
          <w:color w:val="231F20"/>
          <w:spacing w:val="-6"/>
          <w:sz w:val="16"/>
          <w:szCs w:val="16"/>
        </w:rPr>
        <w:t> </w:t>
      </w:r>
      <w:r>
        <w:rPr>
          <w:rFonts w:ascii="Segoe UI" w:hAnsi="Segoe UI" w:cs="Segoe UI" w:eastAsia="Segoe UI"/>
          <w:color w:val="231F20"/>
          <w:sz w:val="16"/>
          <w:szCs w:val="16"/>
        </w:rPr>
        <w:t>of</w:t>
      </w:r>
      <w:r>
        <w:rPr>
          <w:rFonts w:ascii="Segoe UI" w:hAnsi="Segoe UI" w:cs="Segoe UI" w:eastAsia="Segoe UI"/>
          <w:color w:val="231F20"/>
          <w:spacing w:val="-5"/>
          <w:sz w:val="16"/>
          <w:szCs w:val="16"/>
        </w:rPr>
        <w:t> </w:t>
      </w:r>
      <w:r>
        <w:rPr>
          <w:rFonts w:ascii="Segoe UI" w:hAnsi="Segoe UI" w:cs="Segoe UI" w:eastAsia="Segoe UI"/>
          <w:color w:val="231F20"/>
          <w:sz w:val="16"/>
          <w:szCs w:val="16"/>
        </w:rPr>
        <w:t>Aboriginal</w:t>
      </w:r>
      <w:r>
        <w:rPr>
          <w:rFonts w:ascii="Segoe UI" w:hAnsi="Segoe UI" w:cs="Segoe UI" w:eastAsia="Segoe UI"/>
          <w:color w:val="231F20"/>
          <w:spacing w:val="24"/>
          <w:w w:val="99"/>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5"/>
          <w:sz w:val="16"/>
          <w:szCs w:val="16"/>
        </w:rPr>
        <w:t> </w:t>
      </w:r>
      <w:r>
        <w:rPr>
          <w:rFonts w:ascii="Segoe UI" w:hAnsi="Segoe UI" w:cs="Segoe UI" w:eastAsia="Segoe UI"/>
          <w:color w:val="231F20"/>
          <w:spacing w:val="-3"/>
          <w:sz w:val="16"/>
          <w:szCs w:val="16"/>
        </w:rPr>
        <w:t>Torres</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Strait</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Islander</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students</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in</w:t>
      </w:r>
      <w:r>
        <w:rPr>
          <w:rFonts w:ascii="Segoe UI" w:hAnsi="Segoe UI" w:cs="Segoe UI" w:eastAsia="Segoe UI"/>
          <w:color w:val="231F20"/>
          <w:spacing w:val="-4"/>
          <w:sz w:val="16"/>
          <w:szCs w:val="16"/>
        </w:rPr>
        <w:t> </w:t>
      </w:r>
      <w:r>
        <w:rPr>
          <w:rFonts w:ascii="Segoe UI" w:hAnsi="Segoe UI" w:cs="Segoe UI" w:eastAsia="Segoe UI"/>
          <w:color w:val="231F20"/>
          <w:sz w:val="16"/>
          <w:szCs w:val="16"/>
        </w:rPr>
        <w:t>Australian</w:t>
      </w:r>
      <w:r>
        <w:rPr>
          <w:rFonts w:ascii="Segoe UI" w:hAnsi="Segoe UI" w:cs="Segoe UI" w:eastAsia="Segoe UI"/>
          <w:color w:val="231F20"/>
          <w:spacing w:val="26"/>
          <w:w w:val="99"/>
          <w:sz w:val="16"/>
          <w:szCs w:val="16"/>
        </w:rPr>
        <w:t> </w:t>
      </w:r>
      <w:r>
        <w:rPr>
          <w:rFonts w:ascii="Segoe UI" w:hAnsi="Segoe UI" w:cs="Segoe UI" w:eastAsia="Segoe UI"/>
          <w:color w:val="231F20"/>
          <w:sz w:val="16"/>
          <w:szCs w:val="16"/>
        </w:rPr>
        <w:t>boarding</w:t>
      </w:r>
      <w:r>
        <w:rPr>
          <w:rFonts w:ascii="Segoe UI" w:hAnsi="Segoe UI" w:cs="Segoe UI" w:eastAsia="Segoe UI"/>
          <w:color w:val="231F20"/>
          <w:spacing w:val="-6"/>
          <w:sz w:val="16"/>
          <w:szCs w:val="16"/>
        </w:rPr>
        <w:t> </w:t>
      </w:r>
      <w:r>
        <w:rPr>
          <w:rFonts w:ascii="Segoe UI" w:hAnsi="Segoe UI" w:cs="Segoe UI" w:eastAsia="Segoe UI"/>
          <w:color w:val="231F20"/>
          <w:spacing w:val="-1"/>
          <w:sz w:val="16"/>
          <w:szCs w:val="16"/>
        </w:rPr>
        <w:t>schools,</w:t>
      </w:r>
      <w:r>
        <w:rPr>
          <w:rFonts w:ascii="Segoe UI" w:hAnsi="Segoe UI" w:cs="Segoe UI" w:eastAsia="Segoe UI"/>
          <w:color w:val="231F20"/>
          <w:spacing w:val="-5"/>
          <w:sz w:val="16"/>
          <w:szCs w:val="16"/>
        </w:rPr>
        <w:t> </w:t>
      </w:r>
      <w:r>
        <w:rPr>
          <w:rFonts w:ascii="Segoe UI" w:hAnsi="Segoe UI" w:cs="Segoe UI" w:eastAsia="Segoe UI"/>
          <w:color w:val="231F20"/>
          <w:sz w:val="16"/>
          <w:szCs w:val="16"/>
        </w:rPr>
        <w:t>University</w:t>
      </w:r>
      <w:r>
        <w:rPr>
          <w:rFonts w:ascii="Segoe UI" w:hAnsi="Segoe UI" w:cs="Segoe UI" w:eastAsia="Segoe UI"/>
          <w:color w:val="231F20"/>
          <w:spacing w:val="-4"/>
          <w:sz w:val="16"/>
          <w:szCs w:val="16"/>
        </w:rPr>
        <w:t> </w:t>
      </w:r>
      <w:r>
        <w:rPr>
          <w:rFonts w:ascii="Segoe UI" w:hAnsi="Segoe UI" w:cs="Segoe UI" w:eastAsia="Segoe UI"/>
          <w:color w:val="231F20"/>
          <w:sz w:val="16"/>
          <w:szCs w:val="16"/>
        </w:rPr>
        <w:t>of</w:t>
      </w:r>
      <w:r>
        <w:rPr>
          <w:rFonts w:ascii="Segoe UI" w:hAnsi="Segoe UI" w:cs="Segoe UI" w:eastAsia="Segoe UI"/>
          <w:color w:val="231F20"/>
          <w:spacing w:val="-5"/>
          <w:sz w:val="16"/>
          <w:szCs w:val="16"/>
        </w:rPr>
        <w:t> </w:t>
      </w:r>
      <w:r>
        <w:rPr>
          <w:rFonts w:ascii="Segoe UI" w:hAnsi="Segoe UI" w:cs="Segoe UI" w:eastAsia="Segoe UI"/>
          <w:color w:val="231F20"/>
          <w:sz w:val="16"/>
          <w:szCs w:val="16"/>
        </w:rPr>
        <w:t>Melbourne,</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2016</w:t>
      </w:r>
      <w:r>
        <w:rPr>
          <w:rFonts w:ascii="Segoe UI" w:hAnsi="Segoe UI" w:cs="Segoe UI" w:eastAsia="Segoe UI"/>
          <w:color w:val="231F20"/>
          <w:spacing w:val="21"/>
          <w:sz w:val="16"/>
          <w:szCs w:val="16"/>
        </w:rPr>
        <w:t> </w:t>
      </w:r>
      <w:r>
        <w:rPr>
          <w:rFonts w:ascii="Segoe UI" w:hAnsi="Segoe UI" w:cs="Segoe UI" w:eastAsia="Segoe UI"/>
          <w:color w:val="231F20"/>
          <w:sz w:val="16"/>
          <w:szCs w:val="16"/>
        </w:rPr>
        <w:t>(O’Bryan,</w:t>
      </w:r>
      <w:r>
        <w:rPr>
          <w:rFonts w:ascii="Segoe UI" w:hAnsi="Segoe UI" w:cs="Segoe UI" w:eastAsia="Segoe UI"/>
          <w:color w:val="231F20"/>
          <w:spacing w:val="-8"/>
          <w:sz w:val="16"/>
          <w:szCs w:val="16"/>
        </w:rPr>
        <w:t> </w:t>
      </w:r>
      <w:r>
        <w:rPr>
          <w:rFonts w:ascii="Segoe UI" w:hAnsi="Segoe UI" w:cs="Segoe UI" w:eastAsia="Segoe UI"/>
          <w:color w:val="231F20"/>
          <w:sz w:val="16"/>
          <w:szCs w:val="16"/>
        </w:rPr>
        <w:t>2016)</w:t>
      </w:r>
      <w:r>
        <w:rPr>
          <w:rFonts w:ascii="Segoe UI" w:hAnsi="Segoe UI" w:cs="Segoe UI" w:eastAsia="Segoe UI"/>
          <w:sz w:val="16"/>
          <w:szCs w:val="16"/>
        </w:rPr>
      </w:r>
    </w:p>
    <w:p>
      <w:pPr>
        <w:numPr>
          <w:ilvl w:val="0"/>
          <w:numId w:val="14"/>
        </w:numPr>
        <w:tabs>
          <w:tab w:pos="685" w:val="left" w:leader="none"/>
        </w:tabs>
        <w:spacing w:line="200" w:lineRule="exact" w:before="113"/>
        <w:ind w:left="684" w:right="414" w:hanging="567"/>
        <w:jc w:val="left"/>
        <w:rPr>
          <w:rFonts w:ascii="Segoe UI" w:hAnsi="Segoe UI" w:cs="Segoe UI" w:eastAsia="Segoe UI"/>
          <w:sz w:val="16"/>
          <w:szCs w:val="16"/>
        </w:rPr>
      </w:pPr>
      <w:r>
        <w:rPr>
          <w:rFonts w:ascii="Segoe UI"/>
          <w:color w:val="231F20"/>
          <w:spacing w:val="-1"/>
          <w:sz w:val="16"/>
        </w:rPr>
        <w:t>Consultation</w:t>
      </w:r>
      <w:r>
        <w:rPr>
          <w:rFonts w:ascii="Segoe UI"/>
          <w:color w:val="231F20"/>
          <w:spacing w:val="-7"/>
          <w:sz w:val="16"/>
        </w:rPr>
        <w:t> </w:t>
      </w:r>
      <w:r>
        <w:rPr>
          <w:rFonts w:ascii="Segoe UI"/>
          <w:color w:val="231F20"/>
          <w:sz w:val="16"/>
        </w:rPr>
        <w:t>with</w:t>
      </w:r>
      <w:r>
        <w:rPr>
          <w:rFonts w:ascii="Segoe UI"/>
          <w:color w:val="231F20"/>
          <w:spacing w:val="-7"/>
          <w:sz w:val="16"/>
        </w:rPr>
        <w:t> </w:t>
      </w:r>
      <w:r>
        <w:rPr>
          <w:rFonts w:ascii="Segoe UI"/>
          <w:color w:val="231F20"/>
          <w:sz w:val="16"/>
        </w:rPr>
        <w:t>remote</w:t>
      </w:r>
      <w:r>
        <w:rPr>
          <w:rFonts w:ascii="Segoe UI"/>
          <w:color w:val="231F20"/>
          <w:spacing w:val="-7"/>
          <w:sz w:val="16"/>
        </w:rPr>
        <w:t> </w:t>
      </w:r>
      <w:r>
        <w:rPr>
          <w:rFonts w:ascii="Segoe UI"/>
          <w:color w:val="231F20"/>
          <w:spacing w:val="-1"/>
          <w:sz w:val="16"/>
        </w:rPr>
        <w:t>Aboriginal</w:t>
      </w:r>
      <w:r>
        <w:rPr>
          <w:rFonts w:ascii="Segoe UI"/>
          <w:color w:val="231F20"/>
          <w:spacing w:val="-8"/>
          <w:sz w:val="16"/>
        </w:rPr>
        <w:t> </w:t>
      </w:r>
      <w:r>
        <w:rPr>
          <w:rFonts w:ascii="Segoe UI"/>
          <w:color w:val="231F20"/>
          <w:sz w:val="16"/>
        </w:rPr>
        <w:t>and</w:t>
      </w:r>
      <w:r>
        <w:rPr>
          <w:rFonts w:ascii="Segoe UI"/>
          <w:color w:val="231F20"/>
          <w:spacing w:val="-7"/>
          <w:sz w:val="16"/>
        </w:rPr>
        <w:t> </w:t>
      </w:r>
      <w:r>
        <w:rPr>
          <w:rFonts w:ascii="Segoe UI"/>
          <w:color w:val="231F20"/>
          <w:spacing w:val="-3"/>
          <w:sz w:val="16"/>
        </w:rPr>
        <w:t>Torres</w:t>
      </w:r>
      <w:r>
        <w:rPr>
          <w:rFonts w:ascii="Segoe UI"/>
          <w:color w:val="231F20"/>
          <w:spacing w:val="25"/>
          <w:w w:val="99"/>
          <w:sz w:val="16"/>
        </w:rPr>
        <w:t> </w:t>
      </w:r>
      <w:r>
        <w:rPr>
          <w:rFonts w:ascii="Segoe UI"/>
          <w:color w:val="231F20"/>
          <w:spacing w:val="-1"/>
          <w:sz w:val="16"/>
        </w:rPr>
        <w:t>Strait</w:t>
      </w:r>
      <w:r>
        <w:rPr>
          <w:rFonts w:ascii="Segoe UI"/>
          <w:color w:val="231F20"/>
          <w:spacing w:val="-8"/>
          <w:sz w:val="16"/>
        </w:rPr>
        <w:t> </w:t>
      </w:r>
      <w:r>
        <w:rPr>
          <w:rFonts w:ascii="Segoe UI"/>
          <w:color w:val="231F20"/>
          <w:spacing w:val="-1"/>
          <w:sz w:val="16"/>
        </w:rPr>
        <w:t>Islander</w:t>
      </w:r>
      <w:r>
        <w:rPr>
          <w:rFonts w:ascii="Segoe UI"/>
          <w:color w:val="231F20"/>
          <w:spacing w:val="-7"/>
          <w:sz w:val="16"/>
        </w:rPr>
        <w:t> </w:t>
      </w:r>
      <w:r>
        <w:rPr>
          <w:rFonts w:ascii="Segoe UI"/>
          <w:color w:val="231F20"/>
          <w:sz w:val="16"/>
        </w:rPr>
        <w:t>boarding</w:t>
      </w:r>
      <w:r>
        <w:rPr>
          <w:rFonts w:ascii="Segoe UI"/>
          <w:color w:val="231F20"/>
          <w:spacing w:val="-8"/>
          <w:sz w:val="16"/>
        </w:rPr>
        <w:t> </w:t>
      </w:r>
      <w:r>
        <w:rPr>
          <w:rFonts w:ascii="Segoe UI"/>
          <w:color w:val="231F20"/>
          <w:sz w:val="16"/>
        </w:rPr>
        <w:t>provider</w:t>
      </w:r>
      <w:r>
        <w:rPr>
          <w:rFonts w:ascii="Segoe UI"/>
          <w:sz w:val="16"/>
        </w:rPr>
      </w:r>
    </w:p>
    <w:p>
      <w:pPr>
        <w:numPr>
          <w:ilvl w:val="0"/>
          <w:numId w:val="14"/>
        </w:numPr>
        <w:tabs>
          <w:tab w:pos="685" w:val="left" w:leader="none"/>
        </w:tabs>
        <w:spacing w:line="200" w:lineRule="exact" w:before="113"/>
        <w:ind w:left="684" w:right="155" w:hanging="567"/>
        <w:jc w:val="left"/>
        <w:rPr>
          <w:rFonts w:ascii="Segoe UI" w:hAnsi="Segoe UI" w:cs="Segoe UI" w:eastAsia="Segoe UI"/>
          <w:sz w:val="16"/>
          <w:szCs w:val="16"/>
        </w:rPr>
      </w:pPr>
      <w:r>
        <w:rPr>
          <w:rFonts w:ascii="Segoe UI"/>
          <w:color w:val="231F20"/>
          <w:sz w:val="16"/>
        </w:rPr>
        <w:t>Only</w:t>
      </w:r>
      <w:r>
        <w:rPr>
          <w:rFonts w:ascii="Segoe UI"/>
          <w:color w:val="231F20"/>
          <w:spacing w:val="-5"/>
          <w:sz w:val="16"/>
        </w:rPr>
        <w:t> </w:t>
      </w:r>
      <w:r>
        <w:rPr>
          <w:rFonts w:ascii="Segoe UI"/>
          <w:color w:val="231F20"/>
          <w:spacing w:val="-1"/>
          <w:sz w:val="16"/>
        </w:rPr>
        <w:t>schools</w:t>
      </w:r>
      <w:r>
        <w:rPr>
          <w:rFonts w:ascii="Segoe UI"/>
          <w:color w:val="231F20"/>
          <w:spacing w:val="-4"/>
          <w:sz w:val="16"/>
        </w:rPr>
        <w:t> </w:t>
      </w:r>
      <w:r>
        <w:rPr>
          <w:rFonts w:ascii="Segoe UI"/>
          <w:color w:val="231F20"/>
          <w:sz w:val="16"/>
        </w:rPr>
        <w:t>receive</w:t>
      </w:r>
      <w:r>
        <w:rPr>
          <w:rFonts w:ascii="Segoe UI"/>
          <w:color w:val="231F20"/>
          <w:spacing w:val="-4"/>
          <w:sz w:val="16"/>
        </w:rPr>
        <w:t> </w:t>
      </w:r>
      <w:r>
        <w:rPr>
          <w:rFonts w:ascii="Segoe UI"/>
          <w:color w:val="231F20"/>
          <w:sz w:val="16"/>
        </w:rPr>
        <w:t>an</w:t>
      </w:r>
      <w:r>
        <w:rPr>
          <w:rFonts w:ascii="Segoe UI"/>
          <w:color w:val="231F20"/>
          <w:spacing w:val="-4"/>
          <w:sz w:val="16"/>
        </w:rPr>
        <w:t> </w:t>
      </w:r>
      <w:r>
        <w:rPr>
          <w:rFonts w:ascii="Segoe UI"/>
          <w:color w:val="231F20"/>
          <w:spacing w:val="-1"/>
          <w:sz w:val="16"/>
        </w:rPr>
        <w:t>ICSEA</w:t>
      </w:r>
      <w:r>
        <w:rPr>
          <w:rFonts w:ascii="Segoe UI"/>
          <w:color w:val="231F20"/>
          <w:spacing w:val="-4"/>
          <w:sz w:val="16"/>
        </w:rPr>
        <w:t> </w:t>
      </w:r>
      <w:r>
        <w:rPr>
          <w:rFonts w:ascii="Segoe UI"/>
          <w:color w:val="231F20"/>
          <w:spacing w:val="-1"/>
          <w:sz w:val="16"/>
        </w:rPr>
        <w:t>score.</w:t>
      </w:r>
      <w:r>
        <w:rPr>
          <w:rFonts w:ascii="Segoe UI"/>
          <w:color w:val="231F20"/>
          <w:spacing w:val="-4"/>
          <w:sz w:val="16"/>
        </w:rPr>
        <w:t> </w:t>
      </w:r>
      <w:r>
        <w:rPr>
          <w:rFonts w:ascii="Segoe UI"/>
          <w:color w:val="231F20"/>
          <w:spacing w:val="-1"/>
          <w:sz w:val="16"/>
        </w:rPr>
        <w:t>Standalone</w:t>
      </w:r>
      <w:r>
        <w:rPr>
          <w:rFonts w:ascii="Segoe UI"/>
          <w:color w:val="231F20"/>
          <w:spacing w:val="28"/>
          <w:w w:val="99"/>
          <w:sz w:val="16"/>
        </w:rPr>
        <w:t> </w:t>
      </w:r>
      <w:r>
        <w:rPr>
          <w:rFonts w:ascii="Segoe UI"/>
          <w:color w:val="231F20"/>
          <w:sz w:val="16"/>
        </w:rPr>
        <w:t>boarding</w:t>
      </w:r>
      <w:r>
        <w:rPr>
          <w:rFonts w:ascii="Segoe UI"/>
          <w:color w:val="231F20"/>
          <w:spacing w:val="-7"/>
          <w:sz w:val="16"/>
        </w:rPr>
        <w:t> </w:t>
      </w:r>
      <w:r>
        <w:rPr>
          <w:rFonts w:ascii="Segoe UI"/>
          <w:color w:val="231F20"/>
          <w:sz w:val="16"/>
        </w:rPr>
        <w:t>providers</w:t>
      </w:r>
      <w:r>
        <w:rPr>
          <w:rFonts w:ascii="Segoe UI"/>
          <w:color w:val="231F20"/>
          <w:spacing w:val="-7"/>
          <w:sz w:val="16"/>
        </w:rPr>
        <w:t> </w:t>
      </w:r>
      <w:r>
        <w:rPr>
          <w:rFonts w:ascii="Segoe UI"/>
          <w:color w:val="231F20"/>
          <w:sz w:val="16"/>
        </w:rPr>
        <w:t>are</w:t>
      </w:r>
      <w:r>
        <w:rPr>
          <w:rFonts w:ascii="Segoe UI"/>
          <w:color w:val="231F20"/>
          <w:spacing w:val="-6"/>
          <w:sz w:val="16"/>
        </w:rPr>
        <w:t> </w:t>
      </w:r>
      <w:r>
        <w:rPr>
          <w:rFonts w:ascii="Segoe UI"/>
          <w:color w:val="231F20"/>
          <w:sz w:val="16"/>
        </w:rPr>
        <w:t>therefore</w:t>
      </w:r>
      <w:r>
        <w:rPr>
          <w:rFonts w:ascii="Segoe UI"/>
          <w:color w:val="231F20"/>
          <w:spacing w:val="-7"/>
          <w:sz w:val="16"/>
        </w:rPr>
        <w:t> </w:t>
      </w:r>
      <w:r>
        <w:rPr>
          <w:rFonts w:ascii="Segoe UI"/>
          <w:color w:val="231F20"/>
          <w:sz w:val="16"/>
        </w:rPr>
        <w:t>excluded</w:t>
      </w:r>
      <w:r>
        <w:rPr>
          <w:rFonts w:ascii="Segoe UI"/>
          <w:color w:val="231F20"/>
          <w:spacing w:val="-7"/>
          <w:sz w:val="16"/>
        </w:rPr>
        <w:t> </w:t>
      </w:r>
      <w:r>
        <w:rPr>
          <w:rFonts w:ascii="Segoe UI"/>
          <w:color w:val="231F20"/>
          <w:sz w:val="16"/>
        </w:rPr>
        <w:t>from</w:t>
      </w:r>
      <w:r>
        <w:rPr>
          <w:rFonts w:ascii="Segoe UI"/>
          <w:color w:val="231F20"/>
          <w:spacing w:val="-6"/>
          <w:sz w:val="16"/>
        </w:rPr>
        <w:t> </w:t>
      </w:r>
      <w:r>
        <w:rPr>
          <w:rFonts w:ascii="Segoe UI"/>
          <w:color w:val="231F20"/>
          <w:spacing w:val="-6"/>
          <w:sz w:val="16"/>
        </w:rPr>
      </w:r>
      <w:r>
        <w:rPr>
          <w:rFonts w:ascii="Segoe UI"/>
          <w:color w:val="231F20"/>
          <w:sz w:val="16"/>
        </w:rPr>
        <w:t>the</w:t>
      </w:r>
      <w:r>
        <w:rPr>
          <w:rFonts w:ascii="Segoe UI"/>
          <w:color w:val="231F20"/>
          <w:spacing w:val="-1"/>
          <w:sz w:val="16"/>
        </w:rPr>
        <w:t> </w:t>
      </w:r>
      <w:r>
        <w:rPr>
          <w:rFonts w:ascii="Segoe UI"/>
          <w:color w:val="231F20"/>
          <w:sz w:val="16"/>
        </w:rPr>
        <w:t>analysis</w:t>
      </w:r>
      <w:r>
        <w:rPr>
          <w:rFonts w:ascii="Segoe UI"/>
          <w:color w:val="231F20"/>
          <w:spacing w:val="-4"/>
          <w:sz w:val="16"/>
        </w:rPr>
        <w:t> </w:t>
      </w:r>
      <w:r>
        <w:rPr>
          <w:rFonts w:ascii="Segoe UI"/>
          <w:color w:val="231F20"/>
          <w:sz w:val="16"/>
        </w:rPr>
        <w:t>of</w:t>
      </w:r>
      <w:r>
        <w:rPr>
          <w:rFonts w:ascii="Segoe UI"/>
          <w:color w:val="231F20"/>
          <w:spacing w:val="-3"/>
          <w:sz w:val="16"/>
        </w:rPr>
        <w:t> </w:t>
      </w:r>
      <w:r>
        <w:rPr>
          <w:rFonts w:ascii="Segoe UI"/>
          <w:color w:val="231F20"/>
          <w:sz w:val="16"/>
        </w:rPr>
        <w:t>the</w:t>
      </w:r>
      <w:r>
        <w:rPr>
          <w:rFonts w:ascii="Segoe UI"/>
          <w:color w:val="231F20"/>
          <w:spacing w:val="-4"/>
          <w:sz w:val="16"/>
        </w:rPr>
        <w:t> </w:t>
      </w:r>
      <w:r>
        <w:rPr>
          <w:rFonts w:ascii="Segoe UI"/>
          <w:color w:val="231F20"/>
          <w:spacing w:val="-1"/>
          <w:sz w:val="16"/>
        </w:rPr>
        <w:t>socio-economic </w:t>
      </w:r>
      <w:r>
        <w:rPr>
          <w:rFonts w:ascii="Segoe UI"/>
          <w:color w:val="231F20"/>
          <w:sz w:val="16"/>
        </w:rPr>
        <w:t>background</w:t>
      </w:r>
      <w:r>
        <w:rPr>
          <w:rFonts w:ascii="Segoe UI"/>
          <w:color w:val="231F20"/>
          <w:spacing w:val="-4"/>
          <w:sz w:val="16"/>
        </w:rPr>
        <w:t> </w:t>
      </w:r>
      <w:r>
        <w:rPr>
          <w:rFonts w:ascii="Segoe UI"/>
          <w:color w:val="231F20"/>
          <w:sz w:val="16"/>
        </w:rPr>
        <w:t>of</w:t>
      </w:r>
      <w:r>
        <w:rPr>
          <w:rFonts w:ascii="Segoe UI"/>
          <w:color w:val="231F20"/>
          <w:spacing w:val="22"/>
          <w:w w:val="99"/>
          <w:sz w:val="16"/>
        </w:rPr>
        <w:t> </w:t>
      </w:r>
      <w:r>
        <w:rPr>
          <w:rFonts w:ascii="Segoe UI"/>
          <w:color w:val="231F20"/>
          <w:sz w:val="16"/>
        </w:rPr>
        <w:t>boarders.</w:t>
      </w:r>
      <w:r>
        <w:rPr>
          <w:rFonts w:ascii="Segoe UI"/>
          <w:color w:val="231F20"/>
          <w:spacing w:val="-4"/>
          <w:sz w:val="16"/>
        </w:rPr>
        <w:t> </w:t>
      </w:r>
      <w:r>
        <w:rPr>
          <w:rFonts w:ascii="Segoe UI"/>
          <w:color w:val="231F20"/>
          <w:sz w:val="16"/>
        </w:rPr>
        <w:t>Not</w:t>
      </w:r>
      <w:r>
        <w:rPr>
          <w:rFonts w:ascii="Segoe UI"/>
          <w:color w:val="231F20"/>
          <w:spacing w:val="-3"/>
          <w:sz w:val="16"/>
        </w:rPr>
        <w:t> </w:t>
      </w:r>
      <w:r>
        <w:rPr>
          <w:rFonts w:ascii="Segoe UI"/>
          <w:color w:val="231F20"/>
          <w:sz w:val="16"/>
        </w:rPr>
        <w:t>all</w:t>
      </w:r>
      <w:r>
        <w:rPr>
          <w:rFonts w:ascii="Segoe UI"/>
          <w:color w:val="231F20"/>
          <w:spacing w:val="-4"/>
          <w:sz w:val="16"/>
        </w:rPr>
        <w:t> </w:t>
      </w:r>
      <w:r>
        <w:rPr>
          <w:rFonts w:ascii="Segoe UI"/>
          <w:color w:val="231F20"/>
          <w:spacing w:val="-1"/>
          <w:sz w:val="16"/>
        </w:rPr>
        <w:t>schools</w:t>
      </w:r>
      <w:r>
        <w:rPr>
          <w:rFonts w:ascii="Segoe UI"/>
          <w:color w:val="231F20"/>
          <w:spacing w:val="-3"/>
          <w:sz w:val="16"/>
        </w:rPr>
        <w:t> </w:t>
      </w:r>
      <w:r>
        <w:rPr>
          <w:rFonts w:ascii="Segoe UI"/>
          <w:color w:val="231F20"/>
          <w:sz w:val="16"/>
        </w:rPr>
        <w:t>were</w:t>
      </w:r>
      <w:r>
        <w:rPr>
          <w:rFonts w:ascii="Segoe UI"/>
          <w:color w:val="231F20"/>
          <w:spacing w:val="-4"/>
          <w:sz w:val="16"/>
        </w:rPr>
        <w:t> </w:t>
      </w:r>
      <w:r>
        <w:rPr>
          <w:rFonts w:ascii="Segoe UI"/>
          <w:color w:val="231F20"/>
          <w:sz w:val="16"/>
        </w:rPr>
        <w:t>allocated</w:t>
      </w:r>
      <w:r>
        <w:rPr>
          <w:rFonts w:ascii="Segoe UI"/>
          <w:color w:val="231F20"/>
          <w:spacing w:val="-4"/>
          <w:sz w:val="16"/>
        </w:rPr>
        <w:t> </w:t>
      </w:r>
      <w:r>
        <w:rPr>
          <w:rFonts w:ascii="Segoe UI"/>
          <w:color w:val="231F20"/>
          <w:sz w:val="16"/>
        </w:rPr>
        <w:t>an</w:t>
      </w:r>
      <w:r>
        <w:rPr>
          <w:rFonts w:ascii="Segoe UI"/>
          <w:color w:val="231F20"/>
          <w:spacing w:val="-4"/>
          <w:sz w:val="16"/>
        </w:rPr>
        <w:t> </w:t>
      </w:r>
      <w:r>
        <w:rPr>
          <w:rFonts w:ascii="Segoe UI"/>
          <w:color w:val="231F20"/>
          <w:spacing w:val="-1"/>
          <w:sz w:val="16"/>
        </w:rPr>
        <w:t>ICSEA</w:t>
      </w:r>
      <w:r>
        <w:rPr>
          <w:rFonts w:ascii="Segoe UI"/>
          <w:color w:val="231F20"/>
          <w:spacing w:val="21"/>
          <w:sz w:val="16"/>
        </w:rPr>
        <w:t> </w:t>
      </w:r>
      <w:r>
        <w:rPr>
          <w:rFonts w:ascii="Segoe UI"/>
          <w:color w:val="231F20"/>
          <w:spacing w:val="-1"/>
          <w:sz w:val="16"/>
        </w:rPr>
        <w:t>in</w:t>
      </w:r>
      <w:r>
        <w:rPr>
          <w:rFonts w:ascii="Segoe UI"/>
          <w:color w:val="231F20"/>
          <w:spacing w:val="-2"/>
          <w:sz w:val="16"/>
        </w:rPr>
        <w:t> </w:t>
      </w:r>
      <w:r>
        <w:rPr>
          <w:rFonts w:ascii="Segoe UI"/>
          <w:color w:val="231F20"/>
          <w:spacing w:val="-1"/>
          <w:sz w:val="16"/>
        </w:rPr>
        <w:t>2017. In </w:t>
      </w:r>
      <w:r>
        <w:rPr>
          <w:rFonts w:ascii="Segoe UI"/>
          <w:color w:val="231F20"/>
          <w:sz w:val="16"/>
        </w:rPr>
        <w:t>these</w:t>
      </w:r>
      <w:r>
        <w:rPr>
          <w:rFonts w:ascii="Segoe UI"/>
          <w:color w:val="231F20"/>
          <w:spacing w:val="-2"/>
          <w:sz w:val="16"/>
        </w:rPr>
        <w:t> </w:t>
      </w:r>
      <w:r>
        <w:rPr>
          <w:rFonts w:ascii="Segoe UI"/>
          <w:color w:val="231F20"/>
          <w:sz w:val="16"/>
        </w:rPr>
        <w:t>cases</w:t>
      </w:r>
      <w:r>
        <w:rPr>
          <w:rFonts w:ascii="Segoe UI"/>
          <w:color w:val="231F20"/>
          <w:spacing w:val="-2"/>
          <w:sz w:val="16"/>
        </w:rPr>
        <w:t> </w:t>
      </w:r>
      <w:r>
        <w:rPr>
          <w:rFonts w:ascii="Segoe UI"/>
          <w:color w:val="231F20"/>
          <w:sz w:val="16"/>
        </w:rPr>
        <w:t>the</w:t>
      </w:r>
      <w:r>
        <w:rPr>
          <w:rFonts w:ascii="Segoe UI"/>
          <w:color w:val="231F20"/>
          <w:spacing w:val="-2"/>
          <w:sz w:val="16"/>
        </w:rPr>
        <w:t> </w:t>
      </w:r>
      <w:r>
        <w:rPr>
          <w:rFonts w:ascii="Segoe UI"/>
          <w:color w:val="231F20"/>
          <w:spacing w:val="-1"/>
          <w:sz w:val="16"/>
        </w:rPr>
        <w:t>most</w:t>
      </w:r>
      <w:r>
        <w:rPr>
          <w:rFonts w:ascii="Segoe UI"/>
          <w:color w:val="231F20"/>
          <w:spacing w:val="-2"/>
          <w:sz w:val="16"/>
        </w:rPr>
        <w:t> </w:t>
      </w:r>
      <w:r>
        <w:rPr>
          <w:rFonts w:ascii="Segoe UI"/>
          <w:color w:val="231F20"/>
          <w:sz w:val="16"/>
        </w:rPr>
        <w:t>recent</w:t>
      </w:r>
      <w:r>
        <w:rPr>
          <w:rFonts w:ascii="Segoe UI"/>
          <w:color w:val="231F20"/>
          <w:spacing w:val="-2"/>
          <w:sz w:val="16"/>
        </w:rPr>
        <w:t> </w:t>
      </w:r>
      <w:r>
        <w:rPr>
          <w:rFonts w:ascii="Segoe UI"/>
          <w:color w:val="231F20"/>
          <w:spacing w:val="-1"/>
          <w:sz w:val="16"/>
        </w:rPr>
        <w:t>ICSEA score</w:t>
      </w:r>
      <w:r>
        <w:rPr>
          <w:rFonts w:ascii="Segoe UI"/>
          <w:color w:val="231F20"/>
          <w:spacing w:val="25"/>
          <w:w w:val="99"/>
          <w:sz w:val="16"/>
        </w:rPr>
        <w:t> </w:t>
      </w:r>
      <w:r>
        <w:rPr>
          <w:rFonts w:ascii="Segoe UI"/>
          <w:color w:val="231F20"/>
          <w:sz w:val="16"/>
        </w:rPr>
        <w:t>available</w:t>
      </w:r>
      <w:r>
        <w:rPr>
          <w:rFonts w:ascii="Segoe UI"/>
          <w:color w:val="231F20"/>
          <w:spacing w:val="-6"/>
          <w:sz w:val="16"/>
        </w:rPr>
        <w:t> </w:t>
      </w:r>
      <w:r>
        <w:rPr>
          <w:rFonts w:ascii="Segoe UI"/>
          <w:color w:val="231F20"/>
          <w:sz w:val="16"/>
        </w:rPr>
        <w:t>was</w:t>
      </w:r>
      <w:r>
        <w:rPr>
          <w:rFonts w:ascii="Segoe UI"/>
          <w:color w:val="231F20"/>
          <w:spacing w:val="-5"/>
          <w:sz w:val="16"/>
        </w:rPr>
        <w:t> </w:t>
      </w:r>
      <w:r>
        <w:rPr>
          <w:rFonts w:ascii="Segoe UI"/>
          <w:color w:val="231F20"/>
          <w:sz w:val="16"/>
        </w:rPr>
        <w:t>utilised</w:t>
      </w:r>
      <w:r>
        <w:rPr>
          <w:rFonts w:ascii="Segoe UI"/>
          <w:sz w:val="16"/>
        </w:rPr>
      </w:r>
    </w:p>
    <w:p>
      <w:pPr>
        <w:numPr>
          <w:ilvl w:val="0"/>
          <w:numId w:val="14"/>
        </w:numPr>
        <w:tabs>
          <w:tab w:pos="685" w:val="left" w:leader="none"/>
        </w:tabs>
        <w:spacing w:line="200" w:lineRule="exact" w:before="113"/>
        <w:ind w:left="684" w:right="324" w:hanging="567"/>
        <w:jc w:val="left"/>
        <w:rPr>
          <w:rFonts w:ascii="Segoe UI" w:hAnsi="Segoe UI" w:cs="Segoe UI" w:eastAsia="Segoe UI"/>
          <w:sz w:val="16"/>
          <w:szCs w:val="16"/>
        </w:rPr>
      </w:pPr>
      <w:r>
        <w:rPr>
          <w:rFonts w:ascii="Segoe UI" w:hAnsi="Segoe UI" w:cs="Segoe UI" w:eastAsia="Segoe UI"/>
          <w:color w:val="231F20"/>
          <w:sz w:val="16"/>
          <w:szCs w:val="16"/>
        </w:rPr>
        <w:t>This</w:t>
      </w:r>
      <w:r>
        <w:rPr>
          <w:rFonts w:ascii="Segoe UI" w:hAnsi="Segoe UI" w:cs="Segoe UI" w:eastAsia="Segoe UI"/>
          <w:color w:val="231F20"/>
          <w:spacing w:val="-4"/>
          <w:sz w:val="16"/>
          <w:szCs w:val="16"/>
        </w:rPr>
        <w:t> </w:t>
      </w:r>
      <w:r>
        <w:rPr>
          <w:rFonts w:ascii="Segoe UI" w:hAnsi="Segoe UI" w:cs="Segoe UI" w:eastAsia="Segoe UI"/>
          <w:color w:val="231F20"/>
          <w:sz w:val="16"/>
          <w:szCs w:val="16"/>
        </w:rPr>
        <w:t>data</w:t>
      </w:r>
      <w:r>
        <w:rPr>
          <w:rFonts w:ascii="Segoe UI" w:hAnsi="Segoe UI" w:cs="Segoe UI" w:eastAsia="Segoe UI"/>
          <w:color w:val="231F20"/>
          <w:spacing w:val="-2"/>
          <w:sz w:val="16"/>
          <w:szCs w:val="16"/>
        </w:rPr>
        <w:t> </w:t>
      </w:r>
      <w:r>
        <w:rPr>
          <w:rFonts w:ascii="Segoe UI" w:hAnsi="Segoe UI" w:cs="Segoe UI" w:eastAsia="Segoe UI"/>
          <w:color w:val="231F20"/>
          <w:sz w:val="16"/>
          <w:szCs w:val="16"/>
        </w:rPr>
        <w:t>was</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sourced</w:t>
      </w:r>
      <w:r>
        <w:rPr>
          <w:rFonts w:ascii="Segoe UI" w:hAnsi="Segoe UI" w:cs="Segoe UI" w:eastAsia="Segoe UI"/>
          <w:color w:val="231F20"/>
          <w:spacing w:val="-2"/>
          <w:sz w:val="16"/>
          <w:szCs w:val="16"/>
        </w:rPr>
        <w:t> </w:t>
      </w:r>
      <w:r>
        <w:rPr>
          <w:rFonts w:ascii="Segoe UI" w:hAnsi="Segoe UI" w:cs="Segoe UI" w:eastAsia="Segoe UI"/>
          <w:color w:val="231F20"/>
          <w:sz w:val="16"/>
          <w:szCs w:val="16"/>
        </w:rPr>
        <w:t>from</w:t>
      </w:r>
      <w:r>
        <w:rPr>
          <w:rFonts w:ascii="Segoe UI" w:hAnsi="Segoe UI" w:cs="Segoe UI" w:eastAsia="Segoe UI"/>
          <w:color w:val="231F20"/>
          <w:spacing w:val="-3"/>
          <w:sz w:val="16"/>
          <w:szCs w:val="16"/>
        </w:rPr>
        <w:t> </w:t>
      </w:r>
      <w:r>
        <w:rPr>
          <w:rFonts w:ascii="Segoe UI" w:hAnsi="Segoe UI" w:cs="Segoe UI" w:eastAsia="Segoe UI"/>
          <w:color w:val="231F20"/>
          <w:spacing w:val="-2"/>
          <w:sz w:val="16"/>
          <w:szCs w:val="16"/>
        </w:rPr>
        <w:t>ACARA’s </w:t>
      </w:r>
      <w:r>
        <w:rPr>
          <w:rFonts w:ascii="Segoe UI" w:hAnsi="Segoe UI" w:cs="Segoe UI" w:eastAsia="Segoe UI"/>
          <w:color w:val="231F20"/>
          <w:sz w:val="16"/>
          <w:szCs w:val="16"/>
        </w:rPr>
        <w:t>My</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School</w:t>
      </w:r>
      <w:r>
        <w:rPr>
          <w:rFonts w:ascii="Segoe UI" w:hAnsi="Segoe UI" w:cs="Segoe UI" w:eastAsia="Segoe UI"/>
          <w:color w:val="231F20"/>
          <w:spacing w:val="26"/>
          <w:sz w:val="16"/>
          <w:szCs w:val="16"/>
        </w:rPr>
        <w:t> </w:t>
      </w:r>
      <w:r>
        <w:rPr>
          <w:rFonts w:ascii="Segoe UI" w:hAnsi="Segoe UI" w:cs="Segoe UI" w:eastAsia="Segoe UI"/>
          <w:color w:val="231F20"/>
          <w:sz w:val="16"/>
          <w:szCs w:val="16"/>
        </w:rPr>
        <w:t>website.</w:t>
      </w:r>
      <w:r>
        <w:rPr>
          <w:rFonts w:ascii="Segoe UI" w:hAnsi="Segoe UI" w:cs="Segoe UI" w:eastAsia="Segoe UI"/>
          <w:color w:val="231F20"/>
          <w:spacing w:val="-5"/>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latest</w:t>
      </w:r>
      <w:r>
        <w:rPr>
          <w:rFonts w:ascii="Segoe UI" w:hAnsi="Segoe UI" w:cs="Segoe UI" w:eastAsia="Segoe UI"/>
          <w:color w:val="231F20"/>
          <w:spacing w:val="-4"/>
          <w:sz w:val="16"/>
          <w:szCs w:val="16"/>
        </w:rPr>
        <w:t> </w:t>
      </w:r>
      <w:r>
        <w:rPr>
          <w:rFonts w:ascii="Segoe UI" w:hAnsi="Segoe UI" w:cs="Segoe UI" w:eastAsia="Segoe UI"/>
          <w:color w:val="231F20"/>
          <w:sz w:val="16"/>
          <w:szCs w:val="16"/>
        </w:rPr>
        <w:t>available</w:t>
      </w:r>
      <w:r>
        <w:rPr>
          <w:rFonts w:ascii="Segoe UI" w:hAnsi="Segoe UI" w:cs="Segoe UI" w:eastAsia="Segoe UI"/>
          <w:color w:val="231F20"/>
          <w:spacing w:val="-5"/>
          <w:sz w:val="16"/>
          <w:szCs w:val="16"/>
        </w:rPr>
        <w:t> </w:t>
      </w:r>
      <w:r>
        <w:rPr>
          <w:rFonts w:ascii="Segoe UI" w:hAnsi="Segoe UI" w:cs="Segoe UI" w:eastAsia="Segoe UI"/>
          <w:color w:val="231F20"/>
          <w:sz w:val="16"/>
          <w:szCs w:val="16"/>
        </w:rPr>
        <w:t>data</w:t>
      </w:r>
      <w:r>
        <w:rPr>
          <w:rFonts w:ascii="Segoe UI" w:hAnsi="Segoe UI" w:cs="Segoe UI" w:eastAsia="Segoe UI"/>
          <w:color w:val="231F20"/>
          <w:spacing w:val="-3"/>
          <w:sz w:val="16"/>
          <w:szCs w:val="16"/>
        </w:rPr>
        <w:t> </w:t>
      </w:r>
      <w:r>
        <w:rPr>
          <w:rFonts w:ascii="Segoe UI" w:hAnsi="Segoe UI" w:cs="Segoe UI" w:eastAsia="Segoe UI"/>
          <w:color w:val="231F20"/>
          <w:sz w:val="16"/>
          <w:szCs w:val="16"/>
        </w:rPr>
        <w:t>for</w:t>
      </w:r>
      <w:r>
        <w:rPr>
          <w:rFonts w:ascii="Segoe UI" w:hAnsi="Segoe UI" w:cs="Segoe UI" w:eastAsia="Segoe UI"/>
          <w:color w:val="231F20"/>
          <w:spacing w:val="-4"/>
          <w:sz w:val="16"/>
          <w:szCs w:val="16"/>
        </w:rPr>
        <w:t> </w:t>
      </w:r>
      <w:r>
        <w:rPr>
          <w:rFonts w:ascii="Segoe UI" w:hAnsi="Segoe UI" w:cs="Segoe UI" w:eastAsia="Segoe UI"/>
          <w:color w:val="231F20"/>
          <w:sz w:val="16"/>
          <w:szCs w:val="16"/>
        </w:rPr>
        <w:t>each</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school</w:t>
      </w:r>
      <w:r>
        <w:rPr>
          <w:rFonts w:ascii="Segoe UI" w:hAnsi="Segoe UI" w:cs="Segoe UI" w:eastAsia="Segoe UI"/>
          <w:color w:val="231F20"/>
          <w:spacing w:val="21"/>
          <w:sz w:val="16"/>
          <w:szCs w:val="16"/>
        </w:rPr>
        <w:t> </w:t>
      </w:r>
      <w:r>
        <w:rPr>
          <w:rFonts w:ascii="Segoe UI" w:hAnsi="Segoe UI" w:cs="Segoe UI" w:eastAsia="Segoe UI"/>
          <w:color w:val="231F20"/>
          <w:sz w:val="16"/>
          <w:szCs w:val="16"/>
        </w:rPr>
        <w:t>has</w:t>
      </w:r>
      <w:r>
        <w:rPr>
          <w:rFonts w:ascii="Segoe UI" w:hAnsi="Segoe UI" w:cs="Segoe UI" w:eastAsia="Segoe UI"/>
          <w:color w:val="231F20"/>
          <w:spacing w:val="-3"/>
          <w:sz w:val="16"/>
          <w:szCs w:val="16"/>
        </w:rPr>
        <w:t> </w:t>
      </w:r>
      <w:r>
        <w:rPr>
          <w:rFonts w:ascii="Segoe UI" w:hAnsi="Segoe UI" w:cs="Segoe UI" w:eastAsia="Segoe UI"/>
          <w:color w:val="231F20"/>
          <w:sz w:val="16"/>
          <w:szCs w:val="16"/>
        </w:rPr>
        <w:t>been</w:t>
      </w:r>
      <w:r>
        <w:rPr>
          <w:rFonts w:ascii="Segoe UI" w:hAnsi="Segoe UI" w:cs="Segoe UI" w:eastAsia="Segoe UI"/>
          <w:color w:val="231F20"/>
          <w:spacing w:val="-2"/>
          <w:sz w:val="16"/>
          <w:szCs w:val="16"/>
        </w:rPr>
        <w:t> </w:t>
      </w:r>
      <w:r>
        <w:rPr>
          <w:rFonts w:ascii="Segoe UI" w:hAnsi="Segoe UI" w:cs="Segoe UI" w:eastAsia="Segoe UI"/>
          <w:color w:val="231F20"/>
          <w:sz w:val="16"/>
          <w:szCs w:val="16"/>
        </w:rPr>
        <w:t>used,</w:t>
      </w:r>
      <w:r>
        <w:rPr>
          <w:rFonts w:ascii="Segoe UI" w:hAnsi="Segoe UI" w:cs="Segoe UI" w:eastAsia="Segoe UI"/>
          <w:color w:val="231F20"/>
          <w:spacing w:val="-3"/>
          <w:sz w:val="16"/>
          <w:szCs w:val="16"/>
        </w:rPr>
        <w:t> </w:t>
      </w:r>
      <w:r>
        <w:rPr>
          <w:rFonts w:ascii="Segoe UI" w:hAnsi="Segoe UI" w:cs="Segoe UI" w:eastAsia="Segoe UI"/>
          <w:color w:val="231F20"/>
          <w:sz w:val="16"/>
          <w:szCs w:val="16"/>
        </w:rPr>
        <w:t>which</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in</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most </w:t>
      </w:r>
      <w:r>
        <w:rPr>
          <w:rFonts w:ascii="Segoe UI" w:hAnsi="Segoe UI" w:cs="Segoe UI" w:eastAsia="Segoe UI"/>
          <w:color w:val="231F20"/>
          <w:sz w:val="16"/>
          <w:szCs w:val="16"/>
        </w:rPr>
        <w:t>cases</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is</w:t>
      </w:r>
      <w:r>
        <w:rPr>
          <w:rFonts w:ascii="Segoe UI" w:hAnsi="Segoe UI" w:cs="Segoe UI" w:eastAsia="Segoe UI"/>
          <w:color w:val="231F20"/>
          <w:spacing w:val="-3"/>
          <w:sz w:val="16"/>
          <w:szCs w:val="16"/>
        </w:rPr>
        <w:t> </w:t>
      </w:r>
      <w:r>
        <w:rPr>
          <w:rFonts w:ascii="Segoe UI" w:hAnsi="Segoe UI" w:cs="Segoe UI" w:eastAsia="Segoe UI"/>
          <w:color w:val="231F20"/>
          <w:sz w:val="16"/>
          <w:szCs w:val="16"/>
        </w:rPr>
        <w:t>2017</w:t>
      </w:r>
      <w:r>
        <w:rPr>
          <w:rFonts w:ascii="Segoe UI" w:hAnsi="Segoe UI" w:cs="Segoe UI" w:eastAsia="Segoe UI"/>
          <w:sz w:val="16"/>
          <w:szCs w:val="16"/>
        </w:rPr>
      </w:r>
    </w:p>
    <w:p>
      <w:pPr>
        <w:numPr>
          <w:ilvl w:val="0"/>
          <w:numId w:val="14"/>
        </w:numPr>
        <w:tabs>
          <w:tab w:pos="685" w:val="left" w:leader="none"/>
        </w:tabs>
        <w:spacing w:line="200" w:lineRule="exact" w:before="113"/>
        <w:ind w:left="684" w:right="300" w:hanging="567"/>
        <w:jc w:val="left"/>
        <w:rPr>
          <w:rFonts w:ascii="Segoe UI" w:hAnsi="Segoe UI" w:cs="Segoe UI" w:eastAsia="Segoe UI"/>
          <w:sz w:val="16"/>
          <w:szCs w:val="16"/>
        </w:rPr>
      </w:pPr>
      <w:r>
        <w:rPr>
          <w:rFonts w:ascii="Segoe UI"/>
          <w:color w:val="231F20"/>
          <w:sz w:val="16"/>
        </w:rPr>
        <w:t>A</w:t>
      </w:r>
      <w:r>
        <w:rPr>
          <w:rFonts w:ascii="Segoe UI"/>
          <w:color w:val="231F20"/>
          <w:spacing w:val="-3"/>
          <w:sz w:val="16"/>
        </w:rPr>
        <w:t> </w:t>
      </w:r>
      <w:r>
        <w:rPr>
          <w:rFonts w:ascii="Segoe UI"/>
          <w:color w:val="231F20"/>
          <w:sz w:val="16"/>
        </w:rPr>
        <w:t>combined</w:t>
      </w:r>
      <w:r>
        <w:rPr>
          <w:rFonts w:ascii="Segoe UI"/>
          <w:color w:val="231F20"/>
          <w:spacing w:val="-4"/>
          <w:sz w:val="16"/>
        </w:rPr>
        <w:t> </w:t>
      </w:r>
      <w:r>
        <w:rPr>
          <w:rFonts w:ascii="Segoe UI"/>
          <w:color w:val="231F20"/>
          <w:spacing w:val="-1"/>
          <w:sz w:val="16"/>
        </w:rPr>
        <w:t>ICSEA</w:t>
      </w:r>
      <w:r>
        <w:rPr>
          <w:rFonts w:ascii="Segoe UI"/>
          <w:color w:val="231F20"/>
          <w:spacing w:val="-2"/>
          <w:sz w:val="16"/>
        </w:rPr>
        <w:t> </w:t>
      </w:r>
      <w:r>
        <w:rPr>
          <w:rFonts w:ascii="Segoe UI"/>
          <w:color w:val="231F20"/>
          <w:spacing w:val="-1"/>
          <w:sz w:val="16"/>
        </w:rPr>
        <w:t>score</w:t>
      </w:r>
      <w:r>
        <w:rPr>
          <w:rFonts w:ascii="Segoe UI"/>
          <w:color w:val="231F20"/>
          <w:spacing w:val="-3"/>
          <w:sz w:val="16"/>
        </w:rPr>
        <w:t> </w:t>
      </w:r>
      <w:r>
        <w:rPr>
          <w:rFonts w:ascii="Segoe UI"/>
          <w:color w:val="231F20"/>
          <w:spacing w:val="-1"/>
          <w:sz w:val="16"/>
        </w:rPr>
        <w:t>is</w:t>
      </w:r>
      <w:r>
        <w:rPr>
          <w:rFonts w:ascii="Segoe UI"/>
          <w:color w:val="231F20"/>
          <w:spacing w:val="-4"/>
          <w:sz w:val="16"/>
        </w:rPr>
        <w:t> </w:t>
      </w:r>
      <w:r>
        <w:rPr>
          <w:rFonts w:ascii="Segoe UI"/>
          <w:color w:val="231F20"/>
          <w:sz w:val="16"/>
        </w:rPr>
        <w:t>utilised</w:t>
      </w:r>
      <w:r>
        <w:rPr>
          <w:rFonts w:ascii="Segoe UI"/>
          <w:color w:val="231F20"/>
          <w:spacing w:val="-3"/>
          <w:sz w:val="16"/>
        </w:rPr>
        <w:t> </w:t>
      </w:r>
      <w:r>
        <w:rPr>
          <w:rFonts w:ascii="Segoe UI"/>
          <w:color w:val="231F20"/>
          <w:sz w:val="16"/>
        </w:rPr>
        <w:t>for</w:t>
      </w:r>
      <w:r>
        <w:rPr>
          <w:rFonts w:ascii="Segoe UI"/>
          <w:color w:val="231F20"/>
          <w:spacing w:val="-3"/>
          <w:sz w:val="16"/>
        </w:rPr>
        <w:t> </w:t>
      </w:r>
      <w:r>
        <w:rPr>
          <w:rFonts w:ascii="Segoe UI"/>
          <w:color w:val="231F20"/>
          <w:sz w:val="16"/>
        </w:rPr>
        <w:t>Marrara</w:t>
      </w:r>
      <w:r>
        <w:rPr>
          <w:rFonts w:ascii="Segoe UI"/>
          <w:color w:val="231F20"/>
          <w:spacing w:val="24"/>
          <w:w w:val="99"/>
          <w:sz w:val="16"/>
        </w:rPr>
        <w:t> </w:t>
      </w:r>
      <w:r>
        <w:rPr>
          <w:rFonts w:ascii="Segoe UI"/>
          <w:color w:val="231F20"/>
          <w:spacing w:val="-1"/>
          <w:sz w:val="16"/>
        </w:rPr>
        <w:t>Christian</w:t>
      </w:r>
      <w:r>
        <w:rPr>
          <w:rFonts w:ascii="Segoe UI"/>
          <w:color w:val="231F20"/>
          <w:spacing w:val="-3"/>
          <w:sz w:val="16"/>
        </w:rPr>
        <w:t> </w:t>
      </w:r>
      <w:r>
        <w:rPr>
          <w:rFonts w:ascii="Segoe UI"/>
          <w:color w:val="231F20"/>
          <w:spacing w:val="-1"/>
          <w:sz w:val="16"/>
        </w:rPr>
        <w:t>College</w:t>
      </w:r>
      <w:r>
        <w:rPr>
          <w:rFonts w:ascii="Segoe UI"/>
          <w:color w:val="231F20"/>
          <w:spacing w:val="-3"/>
          <w:sz w:val="16"/>
        </w:rPr>
        <w:t> </w:t>
      </w:r>
      <w:r>
        <w:rPr>
          <w:rFonts w:ascii="Segoe UI"/>
          <w:color w:val="231F20"/>
          <w:sz w:val="16"/>
        </w:rPr>
        <w:t>and</w:t>
      </w:r>
      <w:r>
        <w:rPr>
          <w:rFonts w:ascii="Segoe UI"/>
          <w:color w:val="231F20"/>
          <w:spacing w:val="-4"/>
          <w:sz w:val="16"/>
        </w:rPr>
        <w:t> </w:t>
      </w:r>
      <w:r>
        <w:rPr>
          <w:rFonts w:ascii="Segoe UI"/>
          <w:color w:val="231F20"/>
          <w:sz w:val="16"/>
        </w:rPr>
        <w:t>NT</w:t>
      </w:r>
      <w:r>
        <w:rPr>
          <w:rFonts w:ascii="Segoe UI"/>
          <w:color w:val="231F20"/>
          <w:spacing w:val="-3"/>
          <w:sz w:val="16"/>
        </w:rPr>
        <w:t> </w:t>
      </w:r>
      <w:r>
        <w:rPr>
          <w:rFonts w:ascii="Segoe UI"/>
          <w:color w:val="231F20"/>
          <w:spacing w:val="-1"/>
          <w:sz w:val="16"/>
        </w:rPr>
        <w:t>Christian</w:t>
      </w:r>
      <w:r>
        <w:rPr>
          <w:rFonts w:ascii="Segoe UI"/>
          <w:color w:val="231F20"/>
          <w:spacing w:val="-3"/>
          <w:sz w:val="16"/>
        </w:rPr>
        <w:t> </w:t>
      </w:r>
      <w:r>
        <w:rPr>
          <w:rFonts w:ascii="Segoe UI"/>
          <w:color w:val="231F20"/>
          <w:spacing w:val="-1"/>
          <w:sz w:val="16"/>
        </w:rPr>
        <w:t>College</w:t>
      </w:r>
      <w:r>
        <w:rPr>
          <w:rFonts w:ascii="Segoe UI"/>
          <w:color w:val="231F20"/>
          <w:spacing w:val="-3"/>
          <w:sz w:val="16"/>
        </w:rPr>
        <w:t> </w:t>
      </w:r>
      <w:r>
        <w:rPr>
          <w:rFonts w:ascii="Segoe UI"/>
          <w:color w:val="231F20"/>
          <w:sz w:val="16"/>
        </w:rPr>
        <w:t>using</w:t>
      </w:r>
      <w:r>
        <w:rPr>
          <w:rFonts w:ascii="Segoe UI"/>
          <w:color w:val="231F20"/>
          <w:spacing w:val="25"/>
          <w:sz w:val="16"/>
        </w:rPr>
        <w:t> </w:t>
      </w:r>
      <w:r>
        <w:rPr>
          <w:rFonts w:ascii="Segoe UI"/>
          <w:color w:val="231F20"/>
          <w:sz w:val="16"/>
        </w:rPr>
        <w:t>the</w:t>
      </w:r>
      <w:r>
        <w:rPr>
          <w:rFonts w:ascii="Segoe UI"/>
          <w:color w:val="231F20"/>
          <w:spacing w:val="-6"/>
          <w:sz w:val="16"/>
        </w:rPr>
        <w:t> </w:t>
      </w:r>
      <w:r>
        <w:rPr>
          <w:rFonts w:ascii="Segoe UI"/>
          <w:color w:val="231F20"/>
          <w:sz w:val="16"/>
        </w:rPr>
        <w:t>Marrara</w:t>
      </w:r>
      <w:r>
        <w:rPr>
          <w:rFonts w:ascii="Segoe UI"/>
          <w:color w:val="231F20"/>
          <w:spacing w:val="-4"/>
          <w:sz w:val="16"/>
        </w:rPr>
        <w:t> </w:t>
      </w:r>
      <w:r>
        <w:rPr>
          <w:rFonts w:ascii="Segoe UI"/>
          <w:color w:val="231F20"/>
          <w:spacing w:val="-1"/>
          <w:sz w:val="16"/>
        </w:rPr>
        <w:t>Christian</w:t>
      </w:r>
      <w:r>
        <w:rPr>
          <w:rFonts w:ascii="Segoe UI"/>
          <w:color w:val="231F20"/>
          <w:spacing w:val="-5"/>
          <w:sz w:val="16"/>
        </w:rPr>
        <w:t> </w:t>
      </w:r>
      <w:r>
        <w:rPr>
          <w:rFonts w:ascii="Segoe UI"/>
          <w:color w:val="231F20"/>
          <w:spacing w:val="-1"/>
          <w:sz w:val="16"/>
        </w:rPr>
        <w:t>College</w:t>
      </w:r>
      <w:r>
        <w:rPr>
          <w:rFonts w:ascii="Segoe UI"/>
          <w:color w:val="231F20"/>
          <w:spacing w:val="-4"/>
          <w:sz w:val="16"/>
        </w:rPr>
        <w:t> </w:t>
      </w:r>
      <w:r>
        <w:rPr>
          <w:rFonts w:ascii="Segoe UI"/>
          <w:color w:val="231F20"/>
          <w:spacing w:val="-1"/>
          <w:sz w:val="16"/>
        </w:rPr>
        <w:t>score,</w:t>
      </w:r>
      <w:r>
        <w:rPr>
          <w:rFonts w:ascii="Segoe UI"/>
          <w:color w:val="231F20"/>
          <w:spacing w:val="-5"/>
          <w:sz w:val="16"/>
        </w:rPr>
        <w:t> </w:t>
      </w:r>
      <w:r>
        <w:rPr>
          <w:rFonts w:ascii="Segoe UI"/>
          <w:color w:val="231F20"/>
          <w:sz w:val="16"/>
        </w:rPr>
        <w:t>reducing</w:t>
      </w:r>
      <w:r>
        <w:rPr>
          <w:rFonts w:ascii="Segoe UI"/>
          <w:color w:val="231F20"/>
          <w:spacing w:val="-5"/>
          <w:sz w:val="16"/>
        </w:rPr>
        <w:t> </w:t>
      </w:r>
      <w:r>
        <w:rPr>
          <w:rFonts w:ascii="Segoe UI"/>
          <w:color w:val="231F20"/>
          <w:sz w:val="16"/>
        </w:rPr>
        <w:t>the</w:t>
      </w:r>
      <w:r>
        <w:rPr>
          <w:rFonts w:ascii="Segoe UI"/>
          <w:color w:val="231F20"/>
          <w:spacing w:val="24"/>
          <w:w w:val="99"/>
          <w:sz w:val="16"/>
        </w:rPr>
        <w:t> </w:t>
      </w:r>
      <w:r>
        <w:rPr>
          <w:rFonts w:ascii="Segoe UI"/>
          <w:color w:val="231F20"/>
          <w:sz w:val="16"/>
        </w:rPr>
        <w:t>number</w:t>
      </w:r>
      <w:r>
        <w:rPr>
          <w:rFonts w:ascii="Segoe UI"/>
          <w:color w:val="231F20"/>
          <w:spacing w:val="-3"/>
          <w:sz w:val="16"/>
        </w:rPr>
        <w:t> </w:t>
      </w:r>
      <w:r>
        <w:rPr>
          <w:rFonts w:ascii="Segoe UI"/>
          <w:color w:val="231F20"/>
          <w:sz w:val="16"/>
        </w:rPr>
        <w:t>of</w:t>
      </w:r>
      <w:r>
        <w:rPr>
          <w:rFonts w:ascii="Segoe UI"/>
          <w:color w:val="231F20"/>
          <w:spacing w:val="-2"/>
          <w:sz w:val="16"/>
        </w:rPr>
        <w:t> </w:t>
      </w:r>
      <w:r>
        <w:rPr>
          <w:rFonts w:ascii="Segoe UI"/>
          <w:color w:val="231F20"/>
          <w:spacing w:val="-1"/>
          <w:sz w:val="16"/>
        </w:rPr>
        <w:t>schools</w:t>
      </w:r>
      <w:r>
        <w:rPr>
          <w:rFonts w:ascii="Segoe UI"/>
          <w:color w:val="231F20"/>
          <w:spacing w:val="-2"/>
          <w:sz w:val="16"/>
        </w:rPr>
        <w:t> </w:t>
      </w:r>
      <w:r>
        <w:rPr>
          <w:rFonts w:ascii="Segoe UI"/>
          <w:color w:val="231F20"/>
          <w:sz w:val="16"/>
        </w:rPr>
        <w:t>from</w:t>
      </w:r>
      <w:r>
        <w:rPr>
          <w:rFonts w:ascii="Segoe UI"/>
          <w:color w:val="231F20"/>
          <w:spacing w:val="-2"/>
          <w:sz w:val="16"/>
        </w:rPr>
        <w:t> </w:t>
      </w:r>
      <w:r>
        <w:rPr>
          <w:rFonts w:ascii="Segoe UI"/>
          <w:color w:val="231F20"/>
          <w:spacing w:val="-1"/>
          <w:sz w:val="16"/>
        </w:rPr>
        <w:t>23</w:t>
      </w:r>
      <w:r>
        <w:rPr>
          <w:rFonts w:ascii="Segoe UI"/>
          <w:color w:val="231F20"/>
          <w:spacing w:val="-2"/>
          <w:sz w:val="16"/>
        </w:rPr>
        <w:t> </w:t>
      </w:r>
      <w:r>
        <w:rPr>
          <w:rFonts w:ascii="Segoe UI"/>
          <w:color w:val="231F20"/>
          <w:sz w:val="16"/>
        </w:rPr>
        <w:t>to</w:t>
      </w:r>
      <w:r>
        <w:rPr>
          <w:rFonts w:ascii="Segoe UI"/>
          <w:color w:val="231F20"/>
          <w:spacing w:val="-2"/>
          <w:sz w:val="16"/>
        </w:rPr>
        <w:t> </w:t>
      </w:r>
      <w:r>
        <w:rPr>
          <w:rFonts w:ascii="Segoe UI"/>
          <w:color w:val="231F20"/>
          <w:sz w:val="16"/>
        </w:rPr>
        <w:t>22</w:t>
      </w:r>
      <w:r>
        <w:rPr>
          <w:rFonts w:ascii="Segoe UI"/>
          <w:sz w:val="16"/>
        </w:rPr>
      </w:r>
    </w:p>
    <w:p>
      <w:pPr>
        <w:numPr>
          <w:ilvl w:val="0"/>
          <w:numId w:val="14"/>
        </w:numPr>
        <w:tabs>
          <w:tab w:pos="685" w:val="left" w:leader="none"/>
        </w:tabs>
        <w:spacing w:line="200" w:lineRule="exact" w:before="113"/>
        <w:ind w:left="684" w:right="414" w:hanging="567"/>
        <w:jc w:val="left"/>
        <w:rPr>
          <w:rFonts w:ascii="Segoe UI" w:hAnsi="Segoe UI" w:cs="Segoe UI" w:eastAsia="Segoe UI"/>
          <w:sz w:val="16"/>
          <w:szCs w:val="16"/>
        </w:rPr>
      </w:pPr>
      <w:r>
        <w:rPr>
          <w:rFonts w:ascii="Segoe UI" w:hAnsi="Segoe UI" w:cs="Segoe UI" w:eastAsia="Segoe UI"/>
          <w:color w:val="231F20"/>
          <w:spacing w:val="-1"/>
          <w:sz w:val="16"/>
          <w:szCs w:val="16"/>
        </w:rPr>
        <w:t>Data</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sourced</w:t>
      </w:r>
      <w:r>
        <w:rPr>
          <w:rFonts w:ascii="Segoe UI" w:hAnsi="Segoe UI" w:cs="Segoe UI" w:eastAsia="Segoe UI"/>
          <w:color w:val="231F20"/>
          <w:spacing w:val="-3"/>
          <w:sz w:val="16"/>
          <w:szCs w:val="16"/>
        </w:rPr>
        <w:t> </w:t>
      </w:r>
      <w:r>
        <w:rPr>
          <w:rFonts w:ascii="Segoe UI" w:hAnsi="Segoe UI" w:cs="Segoe UI" w:eastAsia="Segoe UI"/>
          <w:color w:val="231F20"/>
          <w:sz w:val="16"/>
          <w:szCs w:val="16"/>
        </w:rPr>
        <w:t>from</w:t>
      </w:r>
      <w:r>
        <w:rPr>
          <w:rFonts w:ascii="Segoe UI" w:hAnsi="Segoe UI" w:cs="Segoe UI" w:eastAsia="Segoe UI"/>
          <w:color w:val="231F20"/>
          <w:spacing w:val="-4"/>
          <w:sz w:val="16"/>
          <w:szCs w:val="16"/>
        </w:rPr>
        <w:t> </w:t>
      </w:r>
      <w:r>
        <w:rPr>
          <w:rFonts w:ascii="Segoe UI" w:hAnsi="Segoe UI" w:cs="Segoe UI" w:eastAsia="Segoe UI"/>
          <w:color w:val="231F20"/>
          <w:spacing w:val="-2"/>
          <w:sz w:val="16"/>
          <w:szCs w:val="16"/>
        </w:rPr>
        <w:t>ACARA’s</w:t>
      </w:r>
      <w:r>
        <w:rPr>
          <w:rFonts w:ascii="Segoe UI" w:hAnsi="Segoe UI" w:cs="Segoe UI" w:eastAsia="Segoe UI"/>
          <w:color w:val="231F20"/>
          <w:spacing w:val="-3"/>
          <w:sz w:val="16"/>
          <w:szCs w:val="16"/>
        </w:rPr>
        <w:t> </w:t>
      </w:r>
      <w:r>
        <w:rPr>
          <w:rFonts w:ascii="Segoe UI" w:hAnsi="Segoe UI" w:cs="Segoe UI" w:eastAsia="Segoe UI"/>
          <w:color w:val="231F20"/>
          <w:sz w:val="16"/>
          <w:szCs w:val="16"/>
        </w:rPr>
        <w:t>My</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School</w:t>
      </w:r>
      <w:r>
        <w:rPr>
          <w:rFonts w:ascii="Segoe UI" w:hAnsi="Segoe UI" w:cs="Segoe UI" w:eastAsia="Segoe UI"/>
          <w:color w:val="231F20"/>
          <w:spacing w:val="-4"/>
          <w:sz w:val="16"/>
          <w:szCs w:val="16"/>
        </w:rPr>
        <w:t> </w:t>
      </w:r>
      <w:r>
        <w:rPr>
          <w:rFonts w:ascii="Segoe UI" w:hAnsi="Segoe UI" w:cs="Segoe UI" w:eastAsia="Segoe UI"/>
          <w:color w:val="231F20"/>
          <w:sz w:val="16"/>
          <w:szCs w:val="16"/>
        </w:rPr>
        <w:t>website,</w:t>
      </w:r>
      <w:hyperlink r:id="rId128">
        <w:r>
          <w:rPr>
            <w:rFonts w:ascii="Segoe UI" w:hAnsi="Segoe UI" w:cs="Segoe UI" w:eastAsia="Segoe UI"/>
            <w:color w:val="231F20"/>
            <w:spacing w:val="29"/>
            <w:w w:val="99"/>
            <w:sz w:val="16"/>
            <w:szCs w:val="16"/>
          </w:rPr>
          <w:t> </w:t>
        </w:r>
        <w:r>
          <w:rPr>
            <w:rFonts w:ascii="Segoe UI" w:hAnsi="Segoe UI" w:cs="Segoe UI" w:eastAsia="Segoe UI"/>
            <w:color w:val="231F20"/>
            <w:sz w:val="16"/>
            <w:szCs w:val="16"/>
          </w:rPr>
          <w:t>www.myschool.gov.au</w:t>
        </w:r>
        <w:r>
          <w:rPr>
            <w:rFonts w:ascii="Segoe UI" w:hAnsi="Segoe UI" w:cs="Segoe UI" w:eastAsia="Segoe UI"/>
            <w:sz w:val="16"/>
            <w:szCs w:val="16"/>
          </w:rPr>
        </w:r>
      </w:hyperlink>
    </w:p>
    <w:p>
      <w:pPr>
        <w:spacing w:after="0" w:line="200" w:lineRule="exact"/>
        <w:jc w:val="left"/>
        <w:rPr>
          <w:rFonts w:ascii="Segoe UI" w:hAnsi="Segoe UI" w:cs="Segoe UI" w:eastAsia="Segoe UI"/>
          <w:sz w:val="16"/>
          <w:szCs w:val="16"/>
        </w:rPr>
        <w:sectPr>
          <w:type w:val="continuous"/>
          <w:pgSz w:w="11910" w:h="16840"/>
          <w:pgMar w:top="1580" w:bottom="280" w:left="1300" w:right="1600"/>
          <w:cols w:num="2" w:equalWidth="0">
            <w:col w:w="4337" w:space="227"/>
            <w:col w:w="4446"/>
          </w:cols>
        </w:sectPr>
      </w:pPr>
    </w:p>
    <w:p>
      <w:pPr>
        <w:spacing w:line="240" w:lineRule="auto" w:before="0"/>
        <w:rPr>
          <w:rFonts w:ascii="Segoe UI" w:hAnsi="Segoe UI" w:cs="Segoe UI" w:eastAsia="Segoe UI"/>
          <w:sz w:val="20"/>
          <w:szCs w:val="20"/>
        </w:rPr>
      </w:pPr>
    </w:p>
    <w:p>
      <w:pPr>
        <w:spacing w:line="240" w:lineRule="auto" w:before="11"/>
        <w:rPr>
          <w:rFonts w:ascii="Segoe UI" w:hAnsi="Segoe UI" w:cs="Segoe UI" w:eastAsia="Segoe UI"/>
          <w:sz w:val="21"/>
          <w:szCs w:val="21"/>
        </w:rPr>
      </w:pPr>
    </w:p>
    <w:p>
      <w:pPr>
        <w:spacing w:after="0" w:line="240" w:lineRule="auto"/>
        <w:rPr>
          <w:rFonts w:ascii="Segoe UI" w:hAnsi="Segoe UI" w:cs="Segoe UI" w:eastAsia="Segoe UI"/>
          <w:sz w:val="21"/>
          <w:szCs w:val="21"/>
        </w:rPr>
        <w:sectPr>
          <w:pgSz w:w="11910" w:h="16840"/>
          <w:pgMar w:header="0" w:footer="691" w:top="1580" w:bottom="880" w:left="1540" w:right="1300"/>
        </w:sectPr>
      </w:pPr>
    </w:p>
    <w:p>
      <w:pPr>
        <w:numPr>
          <w:ilvl w:val="0"/>
          <w:numId w:val="14"/>
        </w:numPr>
        <w:tabs>
          <w:tab w:pos="728" w:val="left" w:leader="none"/>
        </w:tabs>
        <w:spacing w:line="200" w:lineRule="exact" w:before="70"/>
        <w:ind w:left="727" w:right="31" w:hanging="567"/>
        <w:jc w:val="left"/>
        <w:rPr>
          <w:rFonts w:ascii="Segoe UI" w:hAnsi="Segoe UI" w:cs="Segoe UI" w:eastAsia="Segoe UI"/>
          <w:sz w:val="16"/>
          <w:szCs w:val="16"/>
        </w:rPr>
      </w:pPr>
      <w:r>
        <w:rPr>
          <w:rFonts w:ascii="Segoe UI" w:hAnsi="Segoe UI" w:cs="Segoe UI" w:eastAsia="Segoe UI"/>
          <w:color w:val="231F20"/>
          <w:sz w:val="16"/>
          <w:szCs w:val="16"/>
        </w:rPr>
        <w:t>The</w:t>
      </w:r>
      <w:r>
        <w:rPr>
          <w:rFonts w:ascii="Segoe UI" w:hAnsi="Segoe UI" w:cs="Segoe UI" w:eastAsia="Segoe UI"/>
          <w:color w:val="231F20"/>
          <w:spacing w:val="-5"/>
          <w:sz w:val="16"/>
          <w:szCs w:val="16"/>
        </w:rPr>
        <w:t> </w:t>
      </w:r>
      <w:r>
        <w:rPr>
          <w:rFonts w:ascii="Segoe UI" w:hAnsi="Segoe UI" w:cs="Segoe UI" w:eastAsia="Segoe UI"/>
          <w:color w:val="231F20"/>
          <w:sz w:val="16"/>
          <w:szCs w:val="16"/>
        </w:rPr>
        <w:t>NAPLAN</w:t>
      </w:r>
      <w:r>
        <w:rPr>
          <w:rFonts w:ascii="Segoe UI" w:hAnsi="Segoe UI" w:cs="Segoe UI" w:eastAsia="Segoe UI"/>
          <w:color w:val="231F20"/>
          <w:spacing w:val="-4"/>
          <w:sz w:val="16"/>
          <w:szCs w:val="16"/>
        </w:rPr>
        <w:t> </w:t>
      </w:r>
      <w:r>
        <w:rPr>
          <w:rFonts w:ascii="Segoe UI" w:hAnsi="Segoe UI" w:cs="Segoe UI" w:eastAsia="Segoe UI"/>
          <w:color w:val="231F20"/>
          <w:sz w:val="16"/>
          <w:szCs w:val="16"/>
        </w:rPr>
        <w:t>average</w:t>
      </w:r>
      <w:r>
        <w:rPr>
          <w:rFonts w:ascii="Segoe UI" w:hAnsi="Segoe UI" w:cs="Segoe UI" w:eastAsia="Segoe UI"/>
          <w:color w:val="231F20"/>
          <w:spacing w:val="-6"/>
          <w:sz w:val="16"/>
          <w:szCs w:val="16"/>
        </w:rPr>
        <w:t> </w:t>
      </w:r>
      <w:r>
        <w:rPr>
          <w:rFonts w:ascii="Segoe UI" w:hAnsi="Segoe UI" w:cs="Segoe UI" w:eastAsia="Segoe UI"/>
          <w:color w:val="231F20"/>
          <w:spacing w:val="-1"/>
          <w:sz w:val="16"/>
          <w:szCs w:val="16"/>
        </w:rPr>
        <w:t>is</w:t>
      </w:r>
      <w:r>
        <w:rPr>
          <w:rFonts w:ascii="Segoe UI" w:hAnsi="Segoe UI" w:cs="Segoe UI" w:eastAsia="Segoe UI"/>
          <w:color w:val="231F20"/>
          <w:spacing w:val="-5"/>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average</w:t>
      </w:r>
      <w:r>
        <w:rPr>
          <w:rFonts w:ascii="Segoe UI" w:hAnsi="Segoe UI" w:cs="Segoe UI" w:eastAsia="Segoe UI"/>
          <w:color w:val="231F20"/>
          <w:spacing w:val="-5"/>
          <w:sz w:val="16"/>
          <w:szCs w:val="16"/>
        </w:rPr>
        <w:t> </w:t>
      </w:r>
      <w:r>
        <w:rPr>
          <w:rFonts w:ascii="Segoe UI" w:hAnsi="Segoe UI" w:cs="Segoe UI" w:eastAsia="Segoe UI"/>
          <w:color w:val="231F20"/>
          <w:sz w:val="16"/>
          <w:szCs w:val="16"/>
        </w:rPr>
        <w:t>reported</w:t>
      </w:r>
      <w:r>
        <w:rPr>
          <w:rFonts w:ascii="Segoe UI" w:hAnsi="Segoe UI" w:cs="Segoe UI" w:eastAsia="Segoe UI"/>
          <w:color w:val="231F20"/>
          <w:spacing w:val="22"/>
          <w:w w:val="99"/>
          <w:sz w:val="16"/>
          <w:szCs w:val="16"/>
        </w:rPr>
        <w:t> </w:t>
      </w:r>
      <w:r>
        <w:rPr>
          <w:rFonts w:ascii="Segoe UI" w:hAnsi="Segoe UI" w:cs="Segoe UI" w:eastAsia="Segoe UI"/>
          <w:color w:val="231F20"/>
          <w:sz w:val="16"/>
          <w:szCs w:val="16"/>
        </w:rPr>
        <w:t>NAPLAN result for the five NAPLAN test domains</w:t>
      </w:r>
      <w:r>
        <w:rPr>
          <w:rFonts w:ascii="Segoe UI" w:hAnsi="Segoe UI" w:cs="Segoe UI" w:eastAsia="Segoe UI"/>
          <w:color w:val="231F20"/>
          <w:spacing w:val="28"/>
          <w:sz w:val="16"/>
          <w:szCs w:val="16"/>
        </w:rPr>
        <w:t> </w:t>
      </w:r>
      <w:r>
        <w:rPr>
          <w:rFonts w:ascii="Segoe UI" w:hAnsi="Segoe UI" w:cs="Segoe UI" w:eastAsia="Segoe UI"/>
          <w:color w:val="231F20"/>
          <w:sz w:val="16"/>
          <w:szCs w:val="16"/>
        </w:rPr>
        <w:t>(reading,</w:t>
      </w:r>
      <w:r>
        <w:rPr>
          <w:rFonts w:ascii="Segoe UI" w:hAnsi="Segoe UI" w:cs="Segoe UI" w:eastAsia="Segoe UI"/>
          <w:color w:val="231F20"/>
          <w:spacing w:val="-7"/>
          <w:sz w:val="16"/>
          <w:szCs w:val="16"/>
        </w:rPr>
        <w:t> </w:t>
      </w:r>
      <w:r>
        <w:rPr>
          <w:rFonts w:ascii="Segoe UI" w:hAnsi="Segoe UI" w:cs="Segoe UI" w:eastAsia="Segoe UI"/>
          <w:color w:val="231F20"/>
          <w:sz w:val="16"/>
          <w:szCs w:val="16"/>
        </w:rPr>
        <w:t>writing,</w:t>
      </w:r>
      <w:r>
        <w:rPr>
          <w:rFonts w:ascii="Segoe UI" w:hAnsi="Segoe UI" w:cs="Segoe UI" w:eastAsia="Segoe UI"/>
          <w:color w:val="231F20"/>
          <w:spacing w:val="-7"/>
          <w:sz w:val="16"/>
          <w:szCs w:val="16"/>
        </w:rPr>
        <w:t> </w:t>
      </w:r>
      <w:r>
        <w:rPr>
          <w:rFonts w:ascii="Segoe UI" w:hAnsi="Segoe UI" w:cs="Segoe UI" w:eastAsia="Segoe UI"/>
          <w:color w:val="231F20"/>
          <w:spacing w:val="-1"/>
          <w:sz w:val="16"/>
          <w:szCs w:val="16"/>
        </w:rPr>
        <w:t>spelling,</w:t>
      </w:r>
      <w:r>
        <w:rPr>
          <w:rFonts w:ascii="Segoe UI" w:hAnsi="Segoe UI" w:cs="Segoe UI" w:eastAsia="Segoe UI"/>
          <w:color w:val="231F20"/>
          <w:spacing w:val="-5"/>
          <w:sz w:val="16"/>
          <w:szCs w:val="16"/>
        </w:rPr>
        <w:t> </w:t>
      </w:r>
      <w:r>
        <w:rPr>
          <w:rFonts w:ascii="Segoe UI" w:hAnsi="Segoe UI" w:cs="Segoe UI" w:eastAsia="Segoe UI"/>
          <w:color w:val="231F20"/>
          <w:sz w:val="16"/>
          <w:szCs w:val="16"/>
        </w:rPr>
        <w:t>grammar</w:t>
      </w:r>
      <w:r>
        <w:rPr>
          <w:rFonts w:ascii="Segoe UI" w:hAnsi="Segoe UI" w:cs="Segoe UI" w:eastAsia="Segoe UI"/>
          <w:color w:val="231F20"/>
          <w:spacing w:val="-7"/>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6"/>
          <w:sz w:val="16"/>
          <w:szCs w:val="16"/>
        </w:rPr>
        <w:t> </w:t>
      </w:r>
      <w:r>
        <w:rPr>
          <w:rFonts w:ascii="Segoe UI" w:hAnsi="Segoe UI" w:cs="Segoe UI" w:eastAsia="Segoe UI"/>
          <w:color w:val="231F20"/>
          <w:sz w:val="16"/>
          <w:szCs w:val="16"/>
        </w:rPr>
        <w:t>numeracy)</w:t>
      </w:r>
      <w:r>
        <w:rPr>
          <w:rFonts w:ascii="Segoe UI" w:hAnsi="Segoe UI" w:cs="Segoe UI" w:eastAsia="Segoe UI"/>
          <w:color w:val="231F20"/>
          <w:spacing w:val="22"/>
          <w:w w:val="99"/>
          <w:sz w:val="16"/>
          <w:szCs w:val="16"/>
        </w:rPr>
        <w:t> </w:t>
      </w:r>
      <w:r>
        <w:rPr>
          <w:rFonts w:ascii="Segoe UI" w:hAnsi="Segoe UI" w:cs="Segoe UI" w:eastAsia="Segoe UI"/>
          <w:color w:val="231F20"/>
          <w:sz w:val="16"/>
          <w:szCs w:val="16"/>
        </w:rPr>
        <w:t>for</w:t>
      </w:r>
      <w:r>
        <w:rPr>
          <w:rFonts w:ascii="Segoe UI" w:hAnsi="Segoe UI" w:cs="Segoe UI" w:eastAsia="Segoe UI"/>
          <w:color w:val="231F20"/>
          <w:spacing w:val="-2"/>
          <w:sz w:val="16"/>
          <w:szCs w:val="16"/>
        </w:rPr>
        <w:t> </w:t>
      </w:r>
      <w:r>
        <w:rPr>
          <w:rFonts w:ascii="Segoe UI" w:hAnsi="Segoe UI" w:cs="Segoe UI" w:eastAsia="Segoe UI"/>
          <w:color w:val="231F20"/>
          <w:sz w:val="16"/>
          <w:szCs w:val="16"/>
        </w:rPr>
        <w:t>years</w:t>
      </w:r>
      <w:r>
        <w:rPr>
          <w:rFonts w:ascii="Segoe UI" w:hAnsi="Segoe UI" w:cs="Segoe UI" w:eastAsia="Segoe UI"/>
          <w:color w:val="231F20"/>
          <w:spacing w:val="-3"/>
          <w:sz w:val="16"/>
          <w:szCs w:val="16"/>
        </w:rPr>
        <w:t> </w:t>
      </w:r>
      <w:r>
        <w:rPr>
          <w:rFonts w:ascii="Segoe UI" w:hAnsi="Segoe UI" w:cs="Segoe UI" w:eastAsia="Segoe UI"/>
          <w:color w:val="231F20"/>
          <w:sz w:val="16"/>
          <w:szCs w:val="16"/>
        </w:rPr>
        <w:t>7</w:t>
      </w:r>
      <w:r>
        <w:rPr>
          <w:rFonts w:ascii="Segoe UI" w:hAnsi="Segoe UI" w:cs="Segoe UI" w:eastAsia="Segoe UI"/>
          <w:color w:val="231F20"/>
          <w:spacing w:val="-2"/>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9,</w:t>
      </w:r>
      <w:r>
        <w:rPr>
          <w:rFonts w:ascii="Segoe UI" w:hAnsi="Segoe UI" w:cs="Segoe UI" w:eastAsia="Segoe UI"/>
          <w:color w:val="231F20"/>
          <w:spacing w:val="-2"/>
          <w:sz w:val="16"/>
          <w:szCs w:val="16"/>
        </w:rPr>
        <w:t> </w:t>
      </w:r>
      <w:r>
        <w:rPr>
          <w:rFonts w:ascii="Segoe UI" w:hAnsi="Segoe UI" w:cs="Segoe UI" w:eastAsia="Segoe UI"/>
          <w:color w:val="231F20"/>
          <w:sz w:val="16"/>
          <w:szCs w:val="16"/>
        </w:rPr>
        <w:t>for</w:t>
      </w:r>
      <w:r>
        <w:rPr>
          <w:rFonts w:ascii="Segoe UI" w:hAnsi="Segoe UI" w:cs="Segoe UI" w:eastAsia="Segoe UI"/>
          <w:color w:val="231F20"/>
          <w:spacing w:val="-2"/>
          <w:sz w:val="16"/>
          <w:szCs w:val="16"/>
        </w:rPr>
        <w:t> </w:t>
      </w:r>
      <w:r>
        <w:rPr>
          <w:rFonts w:ascii="Segoe UI" w:hAnsi="Segoe UI" w:cs="Segoe UI" w:eastAsia="Segoe UI"/>
          <w:color w:val="231F20"/>
          <w:sz w:val="16"/>
          <w:szCs w:val="16"/>
        </w:rPr>
        <w:t>both</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2016</w:t>
      </w:r>
      <w:r>
        <w:rPr>
          <w:rFonts w:ascii="Segoe UI" w:hAnsi="Segoe UI" w:cs="Segoe UI" w:eastAsia="Segoe UI"/>
          <w:color w:val="231F20"/>
          <w:spacing w:val="-2"/>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2017.</w:t>
      </w:r>
      <w:r>
        <w:rPr>
          <w:rFonts w:ascii="Segoe UI" w:hAnsi="Segoe UI" w:cs="Segoe UI" w:eastAsia="Segoe UI"/>
          <w:color w:val="231F20"/>
          <w:spacing w:val="-2"/>
          <w:sz w:val="16"/>
          <w:szCs w:val="16"/>
        </w:rPr>
        <w:t> </w:t>
      </w:r>
      <w:r>
        <w:rPr>
          <w:rFonts w:ascii="Segoe UI" w:hAnsi="Segoe UI" w:cs="Segoe UI" w:eastAsia="Segoe UI"/>
          <w:color w:val="231F20"/>
          <w:sz w:val="16"/>
          <w:szCs w:val="16"/>
        </w:rPr>
        <w:t>This</w:t>
      </w:r>
      <w:r>
        <w:rPr>
          <w:rFonts w:ascii="Segoe UI" w:hAnsi="Segoe UI" w:cs="Segoe UI" w:eastAsia="Segoe UI"/>
          <w:color w:val="231F20"/>
          <w:spacing w:val="-3"/>
          <w:sz w:val="16"/>
          <w:szCs w:val="16"/>
        </w:rPr>
        <w:t> </w:t>
      </w:r>
      <w:r>
        <w:rPr>
          <w:rFonts w:ascii="Segoe UI" w:hAnsi="Segoe UI" w:cs="Segoe UI" w:eastAsia="Segoe UI"/>
          <w:color w:val="231F20"/>
          <w:sz w:val="16"/>
          <w:szCs w:val="16"/>
        </w:rPr>
        <w:t>data</w:t>
      </w:r>
      <w:r>
        <w:rPr>
          <w:rFonts w:ascii="Segoe UI" w:hAnsi="Segoe UI" w:cs="Segoe UI" w:eastAsia="Segoe UI"/>
          <w:color w:val="231F20"/>
          <w:spacing w:val="24"/>
          <w:w w:val="99"/>
          <w:sz w:val="16"/>
          <w:szCs w:val="16"/>
        </w:rPr>
        <w:t> </w:t>
      </w:r>
      <w:r>
        <w:rPr>
          <w:rFonts w:ascii="Segoe UI" w:hAnsi="Segoe UI" w:cs="Segoe UI" w:eastAsia="Segoe UI"/>
          <w:color w:val="231F20"/>
          <w:sz w:val="16"/>
          <w:szCs w:val="16"/>
        </w:rPr>
        <w:t>was</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sourced</w:t>
      </w:r>
      <w:r>
        <w:rPr>
          <w:rFonts w:ascii="Segoe UI" w:hAnsi="Segoe UI" w:cs="Segoe UI" w:eastAsia="Segoe UI"/>
          <w:color w:val="231F20"/>
          <w:spacing w:val="-3"/>
          <w:sz w:val="16"/>
          <w:szCs w:val="16"/>
        </w:rPr>
        <w:t> </w:t>
      </w:r>
      <w:r>
        <w:rPr>
          <w:rFonts w:ascii="Segoe UI" w:hAnsi="Segoe UI" w:cs="Segoe UI" w:eastAsia="Segoe UI"/>
          <w:color w:val="231F20"/>
          <w:sz w:val="16"/>
          <w:szCs w:val="16"/>
        </w:rPr>
        <w:t>from</w:t>
      </w:r>
      <w:r>
        <w:rPr>
          <w:rFonts w:ascii="Segoe UI" w:hAnsi="Segoe UI" w:cs="Segoe UI" w:eastAsia="Segoe UI"/>
          <w:color w:val="231F20"/>
          <w:spacing w:val="-3"/>
          <w:sz w:val="16"/>
          <w:szCs w:val="16"/>
        </w:rPr>
        <w:t> </w:t>
      </w:r>
      <w:r>
        <w:rPr>
          <w:rFonts w:ascii="Segoe UI" w:hAnsi="Segoe UI" w:cs="Segoe UI" w:eastAsia="Segoe UI"/>
          <w:color w:val="231F20"/>
          <w:spacing w:val="-2"/>
          <w:sz w:val="16"/>
          <w:szCs w:val="16"/>
        </w:rPr>
        <w:t>ACARA’s</w:t>
      </w:r>
      <w:r>
        <w:rPr>
          <w:rFonts w:ascii="Segoe UI" w:hAnsi="Segoe UI" w:cs="Segoe UI" w:eastAsia="Segoe UI"/>
          <w:color w:val="231F20"/>
          <w:spacing w:val="-3"/>
          <w:sz w:val="16"/>
          <w:szCs w:val="16"/>
        </w:rPr>
        <w:t> </w:t>
      </w:r>
      <w:r>
        <w:rPr>
          <w:rFonts w:ascii="Segoe UI" w:hAnsi="Segoe UI" w:cs="Segoe UI" w:eastAsia="Segoe UI"/>
          <w:color w:val="231F20"/>
          <w:sz w:val="16"/>
          <w:szCs w:val="16"/>
        </w:rPr>
        <w:t>My</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School</w:t>
      </w:r>
      <w:r>
        <w:rPr>
          <w:rFonts w:ascii="Segoe UI" w:hAnsi="Segoe UI" w:cs="Segoe UI" w:eastAsia="Segoe UI"/>
          <w:color w:val="231F20"/>
          <w:spacing w:val="-3"/>
          <w:sz w:val="16"/>
          <w:szCs w:val="16"/>
        </w:rPr>
        <w:t> </w:t>
      </w:r>
      <w:r>
        <w:rPr>
          <w:rFonts w:ascii="Segoe UI" w:hAnsi="Segoe UI" w:cs="Segoe UI" w:eastAsia="Segoe UI"/>
          <w:color w:val="231F20"/>
          <w:sz w:val="16"/>
          <w:szCs w:val="16"/>
        </w:rPr>
        <w:t>website.</w:t>
      </w:r>
      <w:r>
        <w:rPr>
          <w:rFonts w:ascii="Segoe UI" w:hAnsi="Segoe UI" w:cs="Segoe UI" w:eastAsia="Segoe UI"/>
          <w:color w:val="231F20"/>
          <w:spacing w:val="-4"/>
          <w:sz w:val="16"/>
          <w:szCs w:val="16"/>
        </w:rPr>
        <w:t> </w:t>
      </w:r>
      <w:r>
        <w:rPr>
          <w:rFonts w:ascii="Segoe UI" w:hAnsi="Segoe UI" w:cs="Segoe UI" w:eastAsia="Segoe UI"/>
          <w:color w:val="231F20"/>
          <w:sz w:val="16"/>
          <w:szCs w:val="16"/>
        </w:rPr>
        <w:t>This</w:t>
      </w:r>
      <w:r>
        <w:rPr>
          <w:rFonts w:ascii="Segoe UI" w:hAnsi="Segoe UI" w:cs="Segoe UI" w:eastAsia="Segoe UI"/>
          <w:color w:val="231F20"/>
          <w:spacing w:val="28"/>
          <w:sz w:val="16"/>
          <w:szCs w:val="16"/>
        </w:rPr>
        <w:t> </w:t>
      </w:r>
      <w:r>
        <w:rPr>
          <w:rFonts w:ascii="Segoe UI" w:hAnsi="Segoe UI" w:cs="Segoe UI" w:eastAsia="Segoe UI"/>
          <w:color w:val="231F20"/>
          <w:spacing w:val="-1"/>
          <w:sz w:val="16"/>
          <w:szCs w:val="16"/>
        </w:rPr>
        <w:t>indicates</w:t>
      </w:r>
      <w:r>
        <w:rPr>
          <w:rFonts w:ascii="Segoe UI" w:hAnsi="Segoe UI" w:cs="Segoe UI" w:eastAsia="Segoe UI"/>
          <w:color w:val="231F20"/>
          <w:spacing w:val="-6"/>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6"/>
          <w:sz w:val="16"/>
          <w:szCs w:val="16"/>
        </w:rPr>
        <w:t> </w:t>
      </w:r>
      <w:r>
        <w:rPr>
          <w:rFonts w:ascii="Segoe UI" w:hAnsi="Segoe UI" w:cs="Segoe UI" w:eastAsia="Segoe UI"/>
          <w:color w:val="231F20"/>
          <w:sz w:val="16"/>
          <w:szCs w:val="16"/>
        </w:rPr>
        <w:t>relative</w:t>
      </w:r>
      <w:r>
        <w:rPr>
          <w:rFonts w:ascii="Segoe UI" w:hAnsi="Segoe UI" w:cs="Segoe UI" w:eastAsia="Segoe UI"/>
          <w:color w:val="231F20"/>
          <w:spacing w:val="-6"/>
          <w:sz w:val="16"/>
          <w:szCs w:val="16"/>
        </w:rPr>
        <w:t> </w:t>
      </w:r>
      <w:r>
        <w:rPr>
          <w:rFonts w:ascii="Segoe UI" w:hAnsi="Segoe UI" w:cs="Segoe UI" w:eastAsia="Segoe UI"/>
          <w:color w:val="231F20"/>
          <w:spacing w:val="-1"/>
          <w:sz w:val="16"/>
          <w:szCs w:val="16"/>
        </w:rPr>
        <w:t>level</w:t>
      </w:r>
      <w:r>
        <w:rPr>
          <w:rFonts w:ascii="Segoe UI" w:hAnsi="Segoe UI" w:cs="Segoe UI" w:eastAsia="Segoe UI"/>
          <w:color w:val="231F20"/>
          <w:spacing w:val="-5"/>
          <w:sz w:val="16"/>
          <w:szCs w:val="16"/>
        </w:rPr>
        <w:t> </w:t>
      </w:r>
      <w:r>
        <w:rPr>
          <w:rFonts w:ascii="Segoe UI" w:hAnsi="Segoe UI" w:cs="Segoe UI" w:eastAsia="Segoe UI"/>
          <w:color w:val="231F20"/>
          <w:sz w:val="16"/>
          <w:szCs w:val="16"/>
        </w:rPr>
        <w:t>of</w:t>
      </w:r>
      <w:r>
        <w:rPr>
          <w:rFonts w:ascii="Segoe UI" w:hAnsi="Segoe UI" w:cs="Segoe UI" w:eastAsia="Segoe UI"/>
          <w:color w:val="231F20"/>
          <w:spacing w:val="-5"/>
          <w:sz w:val="16"/>
          <w:szCs w:val="16"/>
        </w:rPr>
        <w:t> </w:t>
      </w:r>
      <w:r>
        <w:rPr>
          <w:rFonts w:ascii="Segoe UI" w:hAnsi="Segoe UI" w:cs="Segoe UI" w:eastAsia="Segoe UI"/>
          <w:color w:val="231F20"/>
          <w:sz w:val="16"/>
          <w:szCs w:val="16"/>
        </w:rPr>
        <w:t>academic</w:t>
      </w:r>
      <w:r>
        <w:rPr>
          <w:rFonts w:ascii="Segoe UI" w:hAnsi="Segoe UI" w:cs="Segoe UI" w:eastAsia="Segoe UI"/>
          <w:color w:val="231F20"/>
          <w:spacing w:val="-6"/>
          <w:sz w:val="16"/>
          <w:szCs w:val="16"/>
        </w:rPr>
        <w:t> </w:t>
      </w:r>
      <w:r>
        <w:rPr>
          <w:rFonts w:ascii="Segoe UI" w:hAnsi="Segoe UI" w:cs="Segoe UI" w:eastAsia="Segoe UI"/>
          <w:color w:val="231F20"/>
          <w:sz w:val="16"/>
          <w:szCs w:val="16"/>
        </w:rPr>
        <w:t>achievement</w:t>
      </w:r>
      <w:r>
        <w:rPr>
          <w:rFonts w:ascii="Segoe UI" w:hAnsi="Segoe UI" w:cs="Segoe UI" w:eastAsia="Segoe UI"/>
          <w:color w:val="231F20"/>
          <w:spacing w:val="23"/>
          <w:w w:val="99"/>
          <w:sz w:val="16"/>
          <w:szCs w:val="16"/>
        </w:rPr>
        <w:t> </w:t>
      </w:r>
      <w:r>
        <w:rPr>
          <w:rFonts w:ascii="Segoe UI" w:hAnsi="Segoe UI" w:cs="Segoe UI" w:eastAsia="Segoe UI"/>
          <w:color w:val="231F20"/>
          <w:sz w:val="16"/>
          <w:szCs w:val="16"/>
        </w:rPr>
        <w:t>for</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students</w:t>
      </w:r>
      <w:r>
        <w:rPr>
          <w:rFonts w:ascii="Segoe UI" w:hAnsi="Segoe UI" w:cs="Segoe UI" w:eastAsia="Segoe UI"/>
          <w:color w:val="231F20"/>
          <w:spacing w:val="-3"/>
          <w:sz w:val="16"/>
          <w:szCs w:val="16"/>
        </w:rPr>
        <w:t> </w:t>
      </w:r>
      <w:r>
        <w:rPr>
          <w:rFonts w:ascii="Segoe UI" w:hAnsi="Segoe UI" w:cs="Segoe UI" w:eastAsia="Segoe UI"/>
          <w:color w:val="231F20"/>
          <w:sz w:val="16"/>
          <w:szCs w:val="16"/>
        </w:rPr>
        <w:t>from</w:t>
      </w:r>
      <w:r>
        <w:rPr>
          <w:rFonts w:ascii="Segoe UI" w:hAnsi="Segoe UI" w:cs="Segoe UI" w:eastAsia="Segoe UI"/>
          <w:color w:val="231F20"/>
          <w:spacing w:val="-3"/>
          <w:sz w:val="16"/>
          <w:szCs w:val="16"/>
        </w:rPr>
        <w:t> </w:t>
      </w:r>
      <w:r>
        <w:rPr>
          <w:rFonts w:ascii="Segoe UI" w:hAnsi="Segoe UI" w:cs="Segoe UI" w:eastAsia="Segoe UI"/>
          <w:color w:val="231F20"/>
          <w:sz w:val="16"/>
          <w:szCs w:val="16"/>
        </w:rPr>
        <w:t>each</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school</w:t>
      </w:r>
      <w:r>
        <w:rPr>
          <w:rFonts w:ascii="Segoe UI" w:hAnsi="Segoe UI" w:cs="Segoe UI" w:eastAsia="Segoe UI"/>
          <w:color w:val="231F20"/>
          <w:spacing w:val="-3"/>
          <w:sz w:val="16"/>
          <w:szCs w:val="16"/>
        </w:rPr>
        <w:t> </w:t>
      </w:r>
      <w:r>
        <w:rPr>
          <w:rFonts w:ascii="Segoe UI" w:hAnsi="Segoe UI" w:cs="Segoe UI" w:eastAsia="Segoe UI"/>
          <w:color w:val="231F20"/>
          <w:sz w:val="16"/>
          <w:szCs w:val="16"/>
        </w:rPr>
        <w:t>who</w:t>
      </w:r>
      <w:r>
        <w:rPr>
          <w:rFonts w:ascii="Segoe UI" w:hAnsi="Segoe UI" w:cs="Segoe UI" w:eastAsia="Segoe UI"/>
          <w:color w:val="231F20"/>
          <w:spacing w:val="-4"/>
          <w:sz w:val="16"/>
          <w:szCs w:val="16"/>
        </w:rPr>
        <w:t> </w:t>
      </w:r>
      <w:r>
        <w:rPr>
          <w:rFonts w:ascii="Segoe UI" w:hAnsi="Segoe UI" w:cs="Segoe UI" w:eastAsia="Segoe UI"/>
          <w:color w:val="231F20"/>
          <w:sz w:val="16"/>
          <w:szCs w:val="16"/>
        </w:rPr>
        <w:t>participated</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in</w:t>
      </w:r>
      <w:r>
        <w:rPr>
          <w:rFonts w:ascii="Segoe UI" w:hAnsi="Segoe UI" w:cs="Segoe UI" w:eastAsia="Segoe UI"/>
          <w:color w:val="231F20"/>
          <w:spacing w:val="22"/>
          <w:sz w:val="16"/>
          <w:szCs w:val="16"/>
        </w:rPr>
        <w:t> </w:t>
      </w:r>
      <w:r>
        <w:rPr>
          <w:rFonts w:ascii="Segoe UI" w:hAnsi="Segoe UI" w:cs="Segoe UI" w:eastAsia="Segoe UI"/>
          <w:color w:val="231F20"/>
          <w:spacing w:val="-1"/>
          <w:sz w:val="16"/>
          <w:szCs w:val="16"/>
        </w:rPr>
        <w:t>standardised</w:t>
      </w:r>
      <w:r>
        <w:rPr>
          <w:rFonts w:ascii="Segoe UI" w:hAnsi="Segoe UI" w:cs="Segoe UI" w:eastAsia="Segoe UI"/>
          <w:color w:val="231F20"/>
          <w:spacing w:val="-5"/>
          <w:sz w:val="16"/>
          <w:szCs w:val="16"/>
        </w:rPr>
        <w:t> </w:t>
      </w:r>
      <w:r>
        <w:rPr>
          <w:rFonts w:ascii="Segoe UI" w:hAnsi="Segoe UI" w:cs="Segoe UI" w:eastAsia="Segoe UI"/>
          <w:color w:val="231F20"/>
          <w:sz w:val="16"/>
          <w:szCs w:val="16"/>
        </w:rPr>
        <w:t>NAPLAN</w:t>
      </w:r>
      <w:r>
        <w:rPr>
          <w:rFonts w:ascii="Segoe UI" w:hAnsi="Segoe UI" w:cs="Segoe UI" w:eastAsia="Segoe UI"/>
          <w:color w:val="231F20"/>
          <w:spacing w:val="-4"/>
          <w:sz w:val="16"/>
          <w:szCs w:val="16"/>
        </w:rPr>
        <w:t> </w:t>
      </w:r>
      <w:r>
        <w:rPr>
          <w:rFonts w:ascii="Segoe UI" w:hAnsi="Segoe UI" w:cs="Segoe UI" w:eastAsia="Segoe UI"/>
          <w:color w:val="231F20"/>
          <w:sz w:val="16"/>
          <w:szCs w:val="16"/>
        </w:rPr>
        <w:t>testing</w:t>
      </w:r>
      <w:r>
        <w:rPr>
          <w:rFonts w:ascii="Segoe UI" w:hAnsi="Segoe UI" w:cs="Segoe UI" w:eastAsia="Segoe UI"/>
          <w:color w:val="231F20"/>
          <w:spacing w:val="-6"/>
          <w:sz w:val="16"/>
          <w:szCs w:val="16"/>
        </w:rPr>
        <w:t> </w:t>
      </w:r>
      <w:r>
        <w:rPr>
          <w:rFonts w:ascii="Segoe UI" w:hAnsi="Segoe UI" w:cs="Segoe UI" w:eastAsia="Segoe UI"/>
          <w:color w:val="231F20"/>
          <w:sz w:val="16"/>
          <w:szCs w:val="16"/>
        </w:rPr>
        <w:t>over</w:t>
      </w:r>
      <w:r>
        <w:rPr>
          <w:rFonts w:ascii="Segoe UI" w:hAnsi="Segoe UI" w:cs="Segoe UI" w:eastAsia="Segoe UI"/>
          <w:color w:val="231F20"/>
          <w:spacing w:val="-5"/>
          <w:sz w:val="16"/>
          <w:szCs w:val="16"/>
        </w:rPr>
        <w:t> </w:t>
      </w:r>
      <w:r>
        <w:rPr>
          <w:rFonts w:ascii="Segoe UI" w:hAnsi="Segoe UI" w:cs="Segoe UI" w:eastAsia="Segoe UI"/>
          <w:color w:val="231F20"/>
          <w:sz w:val="16"/>
          <w:szCs w:val="16"/>
        </w:rPr>
        <w:t>these</w:t>
      </w:r>
      <w:r>
        <w:rPr>
          <w:rFonts w:ascii="Segoe UI" w:hAnsi="Segoe UI" w:cs="Segoe UI" w:eastAsia="Segoe UI"/>
          <w:color w:val="231F20"/>
          <w:spacing w:val="-6"/>
          <w:sz w:val="16"/>
          <w:szCs w:val="16"/>
        </w:rPr>
        <w:t> </w:t>
      </w:r>
      <w:r>
        <w:rPr>
          <w:rFonts w:ascii="Segoe UI" w:hAnsi="Segoe UI" w:cs="Segoe UI" w:eastAsia="Segoe UI"/>
          <w:color w:val="231F20"/>
          <w:sz w:val="16"/>
          <w:szCs w:val="16"/>
        </w:rPr>
        <w:t>years</w:t>
      </w:r>
      <w:r>
        <w:rPr>
          <w:rFonts w:ascii="Segoe UI" w:hAnsi="Segoe UI" w:cs="Segoe UI" w:eastAsia="Segoe UI"/>
          <w:sz w:val="16"/>
          <w:szCs w:val="16"/>
        </w:rPr>
      </w:r>
    </w:p>
    <w:p>
      <w:pPr>
        <w:numPr>
          <w:ilvl w:val="0"/>
          <w:numId w:val="14"/>
        </w:numPr>
        <w:tabs>
          <w:tab w:pos="728" w:val="left" w:leader="none"/>
        </w:tabs>
        <w:spacing w:line="200" w:lineRule="exact" w:before="113"/>
        <w:ind w:left="727" w:right="12" w:hanging="567"/>
        <w:jc w:val="left"/>
        <w:rPr>
          <w:rFonts w:ascii="Segoe UI" w:hAnsi="Segoe UI" w:cs="Segoe UI" w:eastAsia="Segoe UI"/>
          <w:sz w:val="16"/>
          <w:szCs w:val="16"/>
        </w:rPr>
      </w:pPr>
      <w:r>
        <w:rPr>
          <w:rFonts w:ascii="Segoe UI" w:hAnsi="Segoe UI" w:cs="Segoe UI" w:eastAsia="Segoe UI"/>
          <w:color w:val="231F20"/>
          <w:sz w:val="16"/>
          <w:szCs w:val="16"/>
        </w:rPr>
        <w:t>Attendance</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is</w:t>
      </w:r>
      <w:r>
        <w:rPr>
          <w:rFonts w:ascii="Segoe UI" w:hAnsi="Segoe UI" w:cs="Segoe UI" w:eastAsia="Segoe UI"/>
          <w:color w:val="231F20"/>
          <w:spacing w:val="-5"/>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4"/>
          <w:sz w:val="16"/>
          <w:szCs w:val="16"/>
        </w:rPr>
        <w:t> </w:t>
      </w:r>
      <w:r>
        <w:rPr>
          <w:rFonts w:ascii="Segoe UI" w:hAnsi="Segoe UI" w:cs="Segoe UI" w:eastAsia="Segoe UI"/>
          <w:color w:val="231F20"/>
          <w:sz w:val="16"/>
          <w:szCs w:val="16"/>
        </w:rPr>
        <w:t>number</w:t>
      </w:r>
      <w:r>
        <w:rPr>
          <w:rFonts w:ascii="Segoe UI" w:hAnsi="Segoe UI" w:cs="Segoe UI" w:eastAsia="Segoe UI"/>
          <w:color w:val="231F20"/>
          <w:spacing w:val="-5"/>
          <w:sz w:val="16"/>
          <w:szCs w:val="16"/>
        </w:rPr>
        <w:t> </w:t>
      </w:r>
      <w:r>
        <w:rPr>
          <w:rFonts w:ascii="Segoe UI" w:hAnsi="Segoe UI" w:cs="Segoe UI" w:eastAsia="Segoe UI"/>
          <w:color w:val="231F20"/>
          <w:sz w:val="16"/>
          <w:szCs w:val="16"/>
        </w:rPr>
        <w:t>of</w:t>
      </w:r>
      <w:r>
        <w:rPr>
          <w:rFonts w:ascii="Segoe UI" w:hAnsi="Segoe UI" w:cs="Segoe UI" w:eastAsia="Segoe UI"/>
          <w:color w:val="231F20"/>
          <w:spacing w:val="-4"/>
          <w:sz w:val="16"/>
          <w:szCs w:val="16"/>
        </w:rPr>
        <w:t> </w:t>
      </w:r>
      <w:r>
        <w:rPr>
          <w:rFonts w:ascii="Segoe UI" w:hAnsi="Segoe UI" w:cs="Segoe UI" w:eastAsia="Segoe UI"/>
          <w:color w:val="231F20"/>
          <w:sz w:val="16"/>
          <w:szCs w:val="16"/>
        </w:rPr>
        <w:t>actual</w:t>
      </w:r>
      <w:r>
        <w:rPr>
          <w:rFonts w:ascii="Segoe UI" w:hAnsi="Segoe UI" w:cs="Segoe UI" w:eastAsia="Segoe UI"/>
          <w:color w:val="231F20"/>
          <w:spacing w:val="-5"/>
          <w:sz w:val="16"/>
          <w:szCs w:val="16"/>
        </w:rPr>
        <w:t> </w:t>
      </w:r>
      <w:r>
        <w:rPr>
          <w:rFonts w:ascii="Segoe UI" w:hAnsi="Segoe UI" w:cs="Segoe UI" w:eastAsia="Segoe UI"/>
          <w:color w:val="231F20"/>
          <w:sz w:val="16"/>
          <w:szCs w:val="16"/>
        </w:rPr>
        <w:t>full-time</w:t>
      </w:r>
      <w:r>
        <w:rPr>
          <w:rFonts w:ascii="Segoe UI" w:hAnsi="Segoe UI" w:cs="Segoe UI" w:eastAsia="Segoe UI"/>
          <w:color w:val="231F20"/>
          <w:spacing w:val="21"/>
          <w:sz w:val="16"/>
          <w:szCs w:val="16"/>
        </w:rPr>
        <w:t> </w:t>
      </w:r>
      <w:r>
        <w:rPr>
          <w:rFonts w:ascii="Segoe UI" w:hAnsi="Segoe UI" w:cs="Segoe UI" w:eastAsia="Segoe UI"/>
          <w:color w:val="231F20"/>
          <w:sz w:val="16"/>
          <w:szCs w:val="16"/>
        </w:rPr>
        <w:t>equivalent</w:t>
      </w:r>
      <w:r>
        <w:rPr>
          <w:rFonts w:ascii="Segoe UI" w:hAnsi="Segoe UI" w:cs="Segoe UI" w:eastAsia="Segoe UI"/>
          <w:color w:val="231F20"/>
          <w:spacing w:val="-6"/>
          <w:sz w:val="16"/>
          <w:szCs w:val="16"/>
        </w:rPr>
        <w:t> </w:t>
      </w:r>
      <w:r>
        <w:rPr>
          <w:rFonts w:ascii="Segoe UI" w:hAnsi="Segoe UI" w:cs="Segoe UI" w:eastAsia="Segoe UI"/>
          <w:color w:val="231F20"/>
          <w:spacing w:val="-1"/>
          <w:sz w:val="16"/>
          <w:szCs w:val="16"/>
        </w:rPr>
        <w:t>student</w:t>
      </w:r>
      <w:r>
        <w:rPr>
          <w:rFonts w:ascii="Segoe UI" w:hAnsi="Segoe UI" w:cs="Segoe UI" w:eastAsia="Segoe UI"/>
          <w:color w:val="231F20"/>
          <w:spacing w:val="-5"/>
          <w:sz w:val="16"/>
          <w:szCs w:val="16"/>
        </w:rPr>
        <w:t> </w:t>
      </w:r>
      <w:r>
        <w:rPr>
          <w:rFonts w:ascii="Segoe UI" w:hAnsi="Segoe UI" w:cs="Segoe UI" w:eastAsia="Segoe UI"/>
          <w:color w:val="231F20"/>
          <w:sz w:val="16"/>
          <w:szCs w:val="16"/>
        </w:rPr>
        <w:t>days</w:t>
      </w:r>
      <w:r>
        <w:rPr>
          <w:rFonts w:ascii="Segoe UI" w:hAnsi="Segoe UI" w:cs="Segoe UI" w:eastAsia="Segoe UI"/>
          <w:color w:val="231F20"/>
          <w:spacing w:val="-6"/>
          <w:sz w:val="16"/>
          <w:szCs w:val="16"/>
        </w:rPr>
        <w:t> </w:t>
      </w:r>
      <w:r>
        <w:rPr>
          <w:rFonts w:ascii="Segoe UI" w:hAnsi="Segoe UI" w:cs="Segoe UI" w:eastAsia="Segoe UI"/>
          <w:color w:val="231F20"/>
          <w:sz w:val="16"/>
          <w:szCs w:val="16"/>
        </w:rPr>
        <w:t>attended</w:t>
      </w:r>
      <w:r>
        <w:rPr>
          <w:rFonts w:ascii="Segoe UI" w:hAnsi="Segoe UI" w:cs="Segoe UI" w:eastAsia="Segoe UI"/>
          <w:color w:val="231F20"/>
          <w:spacing w:val="-6"/>
          <w:sz w:val="16"/>
          <w:szCs w:val="16"/>
        </w:rPr>
        <w:t> </w:t>
      </w:r>
      <w:r>
        <w:rPr>
          <w:rFonts w:ascii="Segoe UI" w:hAnsi="Segoe UI" w:cs="Segoe UI" w:eastAsia="Segoe UI"/>
          <w:color w:val="231F20"/>
          <w:sz w:val="16"/>
          <w:szCs w:val="16"/>
        </w:rPr>
        <w:t>by</w:t>
      </w:r>
      <w:r>
        <w:rPr>
          <w:rFonts w:ascii="Segoe UI" w:hAnsi="Segoe UI" w:cs="Segoe UI" w:eastAsia="Segoe UI"/>
          <w:color w:val="231F20"/>
          <w:spacing w:val="-4"/>
          <w:sz w:val="16"/>
          <w:szCs w:val="16"/>
        </w:rPr>
        <w:t> </w:t>
      </w:r>
      <w:r>
        <w:rPr>
          <w:rFonts w:ascii="Segoe UI" w:hAnsi="Segoe UI" w:cs="Segoe UI" w:eastAsia="Segoe UI"/>
          <w:color w:val="231F20"/>
          <w:sz w:val="16"/>
          <w:szCs w:val="16"/>
        </w:rPr>
        <w:t>full-time</w:t>
      </w:r>
      <w:r>
        <w:rPr>
          <w:rFonts w:ascii="Segoe UI" w:hAnsi="Segoe UI" w:cs="Segoe UI" w:eastAsia="Segoe UI"/>
          <w:color w:val="231F20"/>
          <w:spacing w:val="22"/>
          <w:sz w:val="16"/>
          <w:szCs w:val="16"/>
        </w:rPr>
        <w:t> </w:t>
      </w:r>
      <w:r>
        <w:rPr>
          <w:rFonts w:ascii="Segoe UI" w:hAnsi="Segoe UI" w:cs="Segoe UI" w:eastAsia="Segoe UI"/>
          <w:color w:val="231F20"/>
          <w:spacing w:val="-1"/>
          <w:sz w:val="16"/>
          <w:szCs w:val="16"/>
        </w:rPr>
        <w:t>students</w:t>
      </w:r>
      <w:r>
        <w:rPr>
          <w:rFonts w:ascii="Segoe UI" w:hAnsi="Segoe UI" w:cs="Segoe UI" w:eastAsia="Segoe UI"/>
          <w:color w:val="231F20"/>
          <w:spacing w:val="-3"/>
          <w:sz w:val="16"/>
          <w:szCs w:val="16"/>
        </w:rPr>
        <w:t> </w:t>
      </w:r>
      <w:r>
        <w:rPr>
          <w:rFonts w:ascii="Segoe UI" w:hAnsi="Segoe UI" w:cs="Segoe UI" w:eastAsia="Segoe UI"/>
          <w:color w:val="231F20"/>
          <w:sz w:val="16"/>
          <w:szCs w:val="16"/>
        </w:rPr>
        <w:t>as</w:t>
      </w:r>
      <w:r>
        <w:rPr>
          <w:rFonts w:ascii="Segoe UI" w:hAnsi="Segoe UI" w:cs="Segoe UI" w:eastAsia="Segoe UI"/>
          <w:color w:val="231F20"/>
          <w:spacing w:val="-4"/>
          <w:sz w:val="16"/>
          <w:szCs w:val="16"/>
        </w:rPr>
        <w:t> </w:t>
      </w:r>
      <w:r>
        <w:rPr>
          <w:rFonts w:ascii="Segoe UI" w:hAnsi="Segoe UI" w:cs="Segoe UI" w:eastAsia="Segoe UI"/>
          <w:color w:val="231F20"/>
          <w:sz w:val="16"/>
          <w:szCs w:val="16"/>
        </w:rPr>
        <w:t>a</w:t>
      </w:r>
      <w:r>
        <w:rPr>
          <w:rFonts w:ascii="Segoe UI" w:hAnsi="Segoe UI" w:cs="Segoe UI" w:eastAsia="Segoe UI"/>
          <w:color w:val="231F20"/>
          <w:spacing w:val="-3"/>
          <w:sz w:val="16"/>
          <w:szCs w:val="16"/>
        </w:rPr>
        <w:t> </w:t>
      </w:r>
      <w:r>
        <w:rPr>
          <w:rFonts w:ascii="Segoe UI" w:hAnsi="Segoe UI" w:cs="Segoe UI" w:eastAsia="Segoe UI"/>
          <w:color w:val="231F20"/>
          <w:sz w:val="16"/>
          <w:szCs w:val="16"/>
        </w:rPr>
        <w:t>percentage</w:t>
      </w:r>
      <w:r>
        <w:rPr>
          <w:rFonts w:ascii="Segoe UI" w:hAnsi="Segoe UI" w:cs="Segoe UI" w:eastAsia="Segoe UI"/>
          <w:color w:val="231F20"/>
          <w:spacing w:val="-4"/>
          <w:sz w:val="16"/>
          <w:szCs w:val="16"/>
        </w:rPr>
        <w:t> </w:t>
      </w:r>
      <w:r>
        <w:rPr>
          <w:rFonts w:ascii="Segoe UI" w:hAnsi="Segoe UI" w:cs="Segoe UI" w:eastAsia="Segoe UI"/>
          <w:color w:val="231F20"/>
          <w:sz w:val="16"/>
          <w:szCs w:val="16"/>
        </w:rPr>
        <w:t>of</w:t>
      </w:r>
      <w:r>
        <w:rPr>
          <w:rFonts w:ascii="Segoe UI" w:hAnsi="Segoe UI" w:cs="Segoe UI" w:eastAsia="Segoe UI"/>
          <w:color w:val="231F20"/>
          <w:spacing w:val="-3"/>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4"/>
          <w:sz w:val="16"/>
          <w:szCs w:val="16"/>
        </w:rPr>
        <w:t> </w:t>
      </w:r>
      <w:r>
        <w:rPr>
          <w:rFonts w:ascii="Segoe UI" w:hAnsi="Segoe UI" w:cs="Segoe UI" w:eastAsia="Segoe UI"/>
          <w:color w:val="231F20"/>
          <w:sz w:val="16"/>
          <w:szCs w:val="16"/>
        </w:rPr>
        <w:t>total</w:t>
      </w:r>
      <w:r>
        <w:rPr>
          <w:rFonts w:ascii="Segoe UI" w:hAnsi="Segoe UI" w:cs="Segoe UI" w:eastAsia="Segoe UI"/>
          <w:color w:val="231F20"/>
          <w:spacing w:val="-3"/>
          <w:sz w:val="16"/>
          <w:szCs w:val="16"/>
        </w:rPr>
        <w:t> </w:t>
      </w:r>
      <w:r>
        <w:rPr>
          <w:rFonts w:ascii="Segoe UI" w:hAnsi="Segoe UI" w:cs="Segoe UI" w:eastAsia="Segoe UI"/>
          <w:color w:val="231F20"/>
          <w:sz w:val="16"/>
          <w:szCs w:val="16"/>
        </w:rPr>
        <w:t>number</w:t>
      </w:r>
      <w:r>
        <w:rPr>
          <w:rFonts w:ascii="Segoe UI" w:hAnsi="Segoe UI" w:cs="Segoe UI" w:eastAsia="Segoe UI"/>
          <w:color w:val="231F20"/>
          <w:spacing w:val="-4"/>
          <w:sz w:val="16"/>
          <w:szCs w:val="16"/>
        </w:rPr>
        <w:t> </w:t>
      </w:r>
      <w:r>
        <w:rPr>
          <w:rFonts w:ascii="Segoe UI" w:hAnsi="Segoe UI" w:cs="Segoe UI" w:eastAsia="Segoe UI"/>
          <w:color w:val="231F20"/>
          <w:sz w:val="16"/>
          <w:szCs w:val="16"/>
        </w:rPr>
        <w:t>of</w:t>
      </w:r>
      <w:r>
        <w:rPr>
          <w:rFonts w:ascii="Segoe UI" w:hAnsi="Segoe UI" w:cs="Segoe UI" w:eastAsia="Segoe UI"/>
          <w:color w:val="231F20"/>
          <w:spacing w:val="22"/>
          <w:w w:val="99"/>
          <w:sz w:val="16"/>
          <w:szCs w:val="16"/>
        </w:rPr>
        <w:t> </w:t>
      </w:r>
      <w:r>
        <w:rPr>
          <w:rFonts w:ascii="Segoe UI" w:hAnsi="Segoe UI" w:cs="Segoe UI" w:eastAsia="Segoe UI"/>
          <w:color w:val="231F20"/>
          <w:sz w:val="16"/>
          <w:szCs w:val="16"/>
        </w:rPr>
        <w:t>possible</w:t>
      </w:r>
      <w:r>
        <w:rPr>
          <w:rFonts w:ascii="Segoe UI" w:hAnsi="Segoe UI" w:cs="Segoe UI" w:eastAsia="Segoe UI"/>
          <w:color w:val="231F20"/>
          <w:spacing w:val="-6"/>
          <w:sz w:val="16"/>
          <w:szCs w:val="16"/>
        </w:rPr>
        <w:t> </w:t>
      </w:r>
      <w:r>
        <w:rPr>
          <w:rFonts w:ascii="Segoe UI" w:hAnsi="Segoe UI" w:cs="Segoe UI" w:eastAsia="Segoe UI"/>
          <w:color w:val="231F20"/>
          <w:spacing w:val="-1"/>
          <w:sz w:val="16"/>
          <w:szCs w:val="16"/>
        </w:rPr>
        <w:t>student</w:t>
      </w:r>
      <w:r>
        <w:rPr>
          <w:rFonts w:ascii="Segoe UI" w:hAnsi="Segoe UI" w:cs="Segoe UI" w:eastAsia="Segoe UI"/>
          <w:color w:val="231F20"/>
          <w:spacing w:val="-5"/>
          <w:sz w:val="16"/>
          <w:szCs w:val="16"/>
        </w:rPr>
        <w:t> </w:t>
      </w:r>
      <w:r>
        <w:rPr>
          <w:rFonts w:ascii="Segoe UI" w:hAnsi="Segoe UI" w:cs="Segoe UI" w:eastAsia="Segoe UI"/>
          <w:color w:val="231F20"/>
          <w:sz w:val="16"/>
          <w:szCs w:val="16"/>
        </w:rPr>
        <w:t>days</w:t>
      </w:r>
      <w:r>
        <w:rPr>
          <w:rFonts w:ascii="Segoe UI" w:hAnsi="Segoe UI" w:cs="Segoe UI" w:eastAsia="Segoe UI"/>
          <w:color w:val="231F20"/>
          <w:spacing w:val="-5"/>
          <w:sz w:val="16"/>
          <w:szCs w:val="16"/>
        </w:rPr>
        <w:t> </w:t>
      </w:r>
      <w:r>
        <w:rPr>
          <w:rFonts w:ascii="Segoe UI" w:hAnsi="Segoe UI" w:cs="Segoe UI" w:eastAsia="Segoe UI"/>
          <w:color w:val="231F20"/>
          <w:sz w:val="16"/>
          <w:szCs w:val="16"/>
        </w:rPr>
        <w:t>attended</w:t>
      </w:r>
      <w:r>
        <w:rPr>
          <w:rFonts w:ascii="Segoe UI" w:hAnsi="Segoe UI" w:cs="Segoe UI" w:eastAsia="Segoe UI"/>
          <w:color w:val="231F20"/>
          <w:spacing w:val="-6"/>
          <w:sz w:val="16"/>
          <w:szCs w:val="16"/>
        </w:rPr>
        <w:t> </w:t>
      </w:r>
      <w:r>
        <w:rPr>
          <w:rFonts w:ascii="Segoe UI" w:hAnsi="Segoe UI" w:cs="Segoe UI" w:eastAsia="Segoe UI"/>
          <w:color w:val="231F20"/>
          <w:sz w:val="16"/>
          <w:szCs w:val="16"/>
        </w:rPr>
        <w:t>over</w:t>
      </w:r>
      <w:r>
        <w:rPr>
          <w:rFonts w:ascii="Segoe UI" w:hAnsi="Segoe UI" w:cs="Segoe UI" w:eastAsia="Segoe UI"/>
          <w:color w:val="231F20"/>
          <w:spacing w:val="-5"/>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5"/>
          <w:sz w:val="16"/>
          <w:szCs w:val="16"/>
        </w:rPr>
        <w:t> </w:t>
      </w:r>
      <w:r>
        <w:rPr>
          <w:rFonts w:ascii="Segoe UI" w:hAnsi="Segoe UI" w:cs="Segoe UI" w:eastAsia="Segoe UI"/>
          <w:color w:val="231F20"/>
          <w:sz w:val="16"/>
          <w:szCs w:val="16"/>
        </w:rPr>
        <w:t>(reporting)</w:t>
      </w:r>
      <w:r>
        <w:rPr>
          <w:rFonts w:ascii="Segoe UI" w:hAnsi="Segoe UI" w:cs="Segoe UI" w:eastAsia="Segoe UI"/>
          <w:color w:val="231F20"/>
          <w:spacing w:val="22"/>
          <w:w w:val="99"/>
          <w:sz w:val="16"/>
          <w:szCs w:val="16"/>
        </w:rPr>
        <w:t> </w:t>
      </w:r>
      <w:r>
        <w:rPr>
          <w:rFonts w:ascii="Segoe UI" w:hAnsi="Segoe UI" w:cs="Segoe UI" w:eastAsia="Segoe UI"/>
          <w:color w:val="231F20"/>
          <w:sz w:val="16"/>
          <w:szCs w:val="16"/>
        </w:rPr>
        <w:t>period</w:t>
      </w:r>
      <w:r>
        <w:rPr>
          <w:rFonts w:ascii="Segoe UI" w:hAnsi="Segoe UI" w:cs="Segoe UI" w:eastAsia="Segoe UI"/>
          <w:color w:val="231F20"/>
          <w:spacing w:val="-4"/>
          <w:sz w:val="16"/>
          <w:szCs w:val="16"/>
        </w:rPr>
        <w:t> </w:t>
      </w:r>
      <w:r>
        <w:rPr>
          <w:rFonts w:ascii="Segoe UI" w:hAnsi="Segoe UI" w:cs="Segoe UI" w:eastAsia="Segoe UI"/>
          <w:color w:val="231F20"/>
          <w:sz w:val="16"/>
          <w:szCs w:val="16"/>
        </w:rPr>
        <w:t>for</w:t>
      </w:r>
      <w:r>
        <w:rPr>
          <w:rFonts w:ascii="Segoe UI" w:hAnsi="Segoe UI" w:cs="Segoe UI" w:eastAsia="Segoe UI"/>
          <w:color w:val="231F20"/>
          <w:spacing w:val="-2"/>
          <w:sz w:val="16"/>
          <w:szCs w:val="16"/>
        </w:rPr>
        <w:t> </w:t>
      </w:r>
      <w:r>
        <w:rPr>
          <w:rFonts w:ascii="Segoe UI" w:hAnsi="Segoe UI" w:cs="Segoe UI" w:eastAsia="Segoe UI"/>
          <w:color w:val="231F20"/>
          <w:sz w:val="16"/>
          <w:szCs w:val="16"/>
        </w:rPr>
        <w:t>years</w:t>
      </w:r>
      <w:r>
        <w:rPr>
          <w:rFonts w:ascii="Segoe UI" w:hAnsi="Segoe UI" w:cs="Segoe UI" w:eastAsia="Segoe UI"/>
          <w:color w:val="231F20"/>
          <w:spacing w:val="-3"/>
          <w:sz w:val="16"/>
          <w:szCs w:val="16"/>
        </w:rPr>
        <w:t> </w:t>
      </w:r>
      <w:r>
        <w:rPr>
          <w:rFonts w:ascii="Segoe UI" w:hAnsi="Segoe UI" w:cs="Segoe UI" w:eastAsia="Segoe UI"/>
          <w:color w:val="231F20"/>
          <w:sz w:val="16"/>
          <w:szCs w:val="16"/>
        </w:rPr>
        <w:t>1</w:t>
      </w:r>
      <w:r>
        <w:rPr>
          <w:rFonts w:ascii="Segoe UI" w:hAnsi="Segoe UI" w:cs="Segoe UI" w:eastAsia="Segoe UI"/>
          <w:color w:val="231F20"/>
          <w:spacing w:val="-3"/>
          <w:sz w:val="16"/>
          <w:szCs w:val="16"/>
        </w:rPr>
        <w:t> </w:t>
      </w:r>
      <w:r>
        <w:rPr>
          <w:rFonts w:ascii="Segoe UI" w:hAnsi="Segoe UI" w:cs="Segoe UI" w:eastAsia="Segoe UI"/>
          <w:color w:val="231F20"/>
          <w:sz w:val="16"/>
          <w:szCs w:val="16"/>
        </w:rPr>
        <w:t>-</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10.</w:t>
      </w:r>
      <w:r>
        <w:rPr>
          <w:rFonts w:ascii="Segoe UI" w:hAnsi="Segoe UI" w:cs="Segoe UI" w:eastAsia="Segoe UI"/>
          <w:color w:val="231F20"/>
          <w:spacing w:val="-3"/>
          <w:sz w:val="16"/>
          <w:szCs w:val="16"/>
        </w:rPr>
        <w:t> </w:t>
      </w:r>
      <w:r>
        <w:rPr>
          <w:rFonts w:ascii="Segoe UI" w:hAnsi="Segoe UI" w:cs="Segoe UI" w:eastAsia="Segoe UI"/>
          <w:color w:val="231F20"/>
          <w:sz w:val="16"/>
          <w:szCs w:val="16"/>
        </w:rPr>
        <w:t>Here</w:t>
      </w:r>
      <w:r>
        <w:rPr>
          <w:rFonts w:ascii="Segoe UI" w:hAnsi="Segoe UI" w:cs="Segoe UI" w:eastAsia="Segoe UI"/>
          <w:color w:val="231F20"/>
          <w:spacing w:val="-2"/>
          <w:sz w:val="16"/>
          <w:szCs w:val="16"/>
        </w:rPr>
        <w:t> </w:t>
      </w:r>
      <w:r>
        <w:rPr>
          <w:rFonts w:ascii="Segoe UI" w:hAnsi="Segoe UI" w:cs="Segoe UI" w:eastAsia="Segoe UI"/>
          <w:color w:val="231F20"/>
          <w:sz w:val="16"/>
          <w:szCs w:val="16"/>
        </w:rPr>
        <w:t>this</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is</w:t>
      </w:r>
      <w:r>
        <w:rPr>
          <w:rFonts w:ascii="Segoe UI" w:hAnsi="Segoe UI" w:cs="Segoe UI" w:eastAsia="Segoe UI"/>
          <w:color w:val="231F20"/>
          <w:spacing w:val="-4"/>
          <w:sz w:val="16"/>
          <w:szCs w:val="16"/>
        </w:rPr>
        <w:t> </w:t>
      </w:r>
      <w:r>
        <w:rPr>
          <w:rFonts w:ascii="Segoe UI" w:hAnsi="Segoe UI" w:cs="Segoe UI" w:eastAsia="Segoe UI"/>
          <w:color w:val="231F20"/>
          <w:sz w:val="16"/>
          <w:szCs w:val="16"/>
        </w:rPr>
        <w:t>expressed</w:t>
      </w:r>
      <w:r>
        <w:rPr>
          <w:rFonts w:ascii="Segoe UI" w:hAnsi="Segoe UI" w:cs="Segoe UI" w:eastAsia="Segoe UI"/>
          <w:color w:val="231F20"/>
          <w:spacing w:val="-3"/>
          <w:sz w:val="16"/>
          <w:szCs w:val="16"/>
        </w:rPr>
        <w:t> </w:t>
      </w:r>
      <w:r>
        <w:rPr>
          <w:rFonts w:ascii="Segoe UI" w:hAnsi="Segoe UI" w:cs="Segoe UI" w:eastAsia="Segoe UI"/>
          <w:color w:val="231F20"/>
          <w:sz w:val="16"/>
          <w:szCs w:val="16"/>
        </w:rPr>
        <w:t>as</w:t>
      </w:r>
      <w:r>
        <w:rPr>
          <w:rFonts w:ascii="Segoe UI" w:hAnsi="Segoe UI" w:cs="Segoe UI" w:eastAsia="Segoe UI"/>
          <w:color w:val="231F20"/>
          <w:spacing w:val="-3"/>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22"/>
          <w:w w:val="99"/>
          <w:sz w:val="16"/>
          <w:szCs w:val="16"/>
        </w:rPr>
        <w:t> </w:t>
      </w:r>
      <w:r>
        <w:rPr>
          <w:rFonts w:ascii="Segoe UI" w:hAnsi="Segoe UI" w:cs="Segoe UI" w:eastAsia="Segoe UI"/>
          <w:color w:val="231F20"/>
          <w:sz w:val="16"/>
          <w:szCs w:val="16"/>
        </w:rPr>
        <w:t>average</w:t>
      </w:r>
      <w:r>
        <w:rPr>
          <w:rFonts w:ascii="Segoe UI" w:hAnsi="Segoe UI" w:cs="Segoe UI" w:eastAsia="Segoe UI"/>
          <w:color w:val="231F20"/>
          <w:spacing w:val="-4"/>
          <w:sz w:val="16"/>
          <w:szCs w:val="16"/>
        </w:rPr>
        <w:t> </w:t>
      </w:r>
      <w:r>
        <w:rPr>
          <w:rFonts w:ascii="Segoe UI" w:hAnsi="Segoe UI" w:cs="Segoe UI" w:eastAsia="Segoe UI"/>
          <w:color w:val="231F20"/>
          <w:sz w:val="16"/>
          <w:szCs w:val="16"/>
        </w:rPr>
        <w:t>attendance</w:t>
      </w:r>
      <w:r>
        <w:rPr>
          <w:rFonts w:ascii="Segoe UI" w:hAnsi="Segoe UI" w:cs="Segoe UI" w:eastAsia="Segoe UI"/>
          <w:color w:val="231F20"/>
          <w:spacing w:val="-4"/>
          <w:sz w:val="16"/>
          <w:szCs w:val="16"/>
        </w:rPr>
        <w:t> </w:t>
      </w:r>
      <w:r>
        <w:rPr>
          <w:rFonts w:ascii="Segoe UI" w:hAnsi="Segoe UI" w:cs="Segoe UI" w:eastAsia="Segoe UI"/>
          <w:color w:val="231F20"/>
          <w:sz w:val="16"/>
          <w:szCs w:val="16"/>
        </w:rPr>
        <w:t>over</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Semester</w:t>
      </w:r>
      <w:r>
        <w:rPr>
          <w:rFonts w:ascii="Segoe UI" w:hAnsi="Segoe UI" w:cs="Segoe UI" w:eastAsia="Segoe UI"/>
          <w:color w:val="231F20"/>
          <w:spacing w:val="-3"/>
          <w:sz w:val="16"/>
          <w:szCs w:val="16"/>
        </w:rPr>
        <w:t> </w:t>
      </w:r>
      <w:r>
        <w:rPr>
          <w:rFonts w:ascii="Segoe UI" w:hAnsi="Segoe UI" w:cs="Segoe UI" w:eastAsia="Segoe UI"/>
          <w:color w:val="231F20"/>
          <w:sz w:val="16"/>
          <w:szCs w:val="16"/>
        </w:rPr>
        <w:t>1</w:t>
      </w:r>
      <w:r>
        <w:rPr>
          <w:rFonts w:ascii="Segoe UI" w:hAnsi="Segoe UI" w:cs="Segoe UI" w:eastAsia="Segoe UI"/>
          <w:color w:val="231F20"/>
          <w:spacing w:val="-3"/>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3"/>
          <w:sz w:val="16"/>
          <w:szCs w:val="16"/>
        </w:rPr>
        <w:t> </w:t>
      </w:r>
      <w:r>
        <w:rPr>
          <w:rFonts w:ascii="Segoe UI" w:hAnsi="Segoe UI" w:cs="Segoe UI" w:eastAsia="Segoe UI"/>
          <w:color w:val="231F20"/>
          <w:spacing w:val="-6"/>
          <w:sz w:val="16"/>
          <w:szCs w:val="16"/>
        </w:rPr>
        <w:t>Term</w:t>
      </w:r>
      <w:r>
        <w:rPr>
          <w:rFonts w:ascii="Segoe UI" w:hAnsi="Segoe UI" w:cs="Segoe UI" w:eastAsia="Segoe UI"/>
          <w:color w:val="231F20"/>
          <w:spacing w:val="-4"/>
          <w:sz w:val="16"/>
          <w:szCs w:val="16"/>
        </w:rPr>
        <w:t> </w:t>
      </w:r>
      <w:r>
        <w:rPr>
          <w:rFonts w:ascii="Segoe UI" w:hAnsi="Segoe UI" w:cs="Segoe UI" w:eastAsia="Segoe UI"/>
          <w:color w:val="231F20"/>
          <w:sz w:val="16"/>
          <w:szCs w:val="16"/>
        </w:rPr>
        <w:t>3</w:t>
      </w:r>
      <w:r>
        <w:rPr>
          <w:rFonts w:ascii="Segoe UI" w:hAnsi="Segoe UI" w:cs="Segoe UI" w:eastAsia="Segoe UI"/>
          <w:color w:val="231F20"/>
          <w:spacing w:val="-2"/>
          <w:sz w:val="16"/>
          <w:szCs w:val="16"/>
        </w:rPr>
        <w:t> </w:t>
      </w:r>
      <w:r>
        <w:rPr>
          <w:rFonts w:ascii="Segoe UI" w:hAnsi="Segoe UI" w:cs="Segoe UI" w:eastAsia="Segoe UI"/>
          <w:color w:val="231F20"/>
          <w:sz w:val="16"/>
          <w:szCs w:val="16"/>
        </w:rPr>
        <w:t>for</w:t>
      </w:r>
      <w:r>
        <w:rPr>
          <w:rFonts w:ascii="Segoe UI" w:hAnsi="Segoe UI" w:cs="Segoe UI" w:eastAsia="Segoe UI"/>
          <w:color w:val="231F20"/>
          <w:spacing w:val="25"/>
          <w:w w:val="99"/>
          <w:sz w:val="16"/>
          <w:szCs w:val="16"/>
        </w:rPr>
        <w:t> </w:t>
      </w:r>
      <w:r>
        <w:rPr>
          <w:rFonts w:ascii="Segoe UI" w:hAnsi="Segoe UI" w:cs="Segoe UI" w:eastAsia="Segoe UI"/>
          <w:color w:val="231F20"/>
          <w:spacing w:val="-1"/>
          <w:sz w:val="16"/>
          <w:szCs w:val="16"/>
        </w:rPr>
        <w:t>2016</w:t>
      </w:r>
      <w:r>
        <w:rPr>
          <w:rFonts w:ascii="Segoe UI" w:hAnsi="Segoe UI" w:cs="Segoe UI" w:eastAsia="Segoe UI"/>
          <w:color w:val="231F20"/>
          <w:spacing w:val="-3"/>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2017</w:t>
      </w:r>
      <w:r>
        <w:rPr>
          <w:rFonts w:ascii="Segoe UI" w:hAnsi="Segoe UI" w:cs="Segoe UI" w:eastAsia="Segoe UI"/>
          <w:color w:val="231F20"/>
          <w:spacing w:val="-3"/>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latest</w:t>
      </w:r>
      <w:r>
        <w:rPr>
          <w:rFonts w:ascii="Segoe UI" w:hAnsi="Segoe UI" w:cs="Segoe UI" w:eastAsia="Segoe UI"/>
          <w:color w:val="231F20"/>
          <w:spacing w:val="-3"/>
          <w:sz w:val="16"/>
          <w:szCs w:val="16"/>
        </w:rPr>
        <w:t> </w:t>
      </w:r>
      <w:r>
        <w:rPr>
          <w:rFonts w:ascii="Segoe UI" w:hAnsi="Segoe UI" w:cs="Segoe UI" w:eastAsia="Segoe UI"/>
          <w:color w:val="231F20"/>
          <w:sz w:val="16"/>
          <w:szCs w:val="16"/>
        </w:rPr>
        <w:t>available</w:t>
      </w:r>
      <w:r>
        <w:rPr>
          <w:rFonts w:ascii="Segoe UI" w:hAnsi="Segoe UI" w:cs="Segoe UI" w:eastAsia="Segoe UI"/>
          <w:color w:val="231F20"/>
          <w:spacing w:val="-3"/>
          <w:sz w:val="16"/>
          <w:szCs w:val="16"/>
        </w:rPr>
        <w:t> </w:t>
      </w:r>
      <w:r>
        <w:rPr>
          <w:rFonts w:ascii="Segoe UI" w:hAnsi="Segoe UI" w:cs="Segoe UI" w:eastAsia="Segoe UI"/>
          <w:color w:val="231F20"/>
          <w:sz w:val="16"/>
          <w:szCs w:val="16"/>
        </w:rPr>
        <w:t>data).</w:t>
      </w:r>
      <w:r>
        <w:rPr>
          <w:rFonts w:ascii="Segoe UI" w:hAnsi="Segoe UI" w:cs="Segoe UI" w:eastAsia="Segoe UI"/>
          <w:color w:val="231F20"/>
          <w:spacing w:val="-4"/>
          <w:sz w:val="16"/>
          <w:szCs w:val="16"/>
        </w:rPr>
        <w:t> </w:t>
      </w:r>
      <w:r>
        <w:rPr>
          <w:rFonts w:ascii="Segoe UI" w:hAnsi="Segoe UI" w:cs="Segoe UI" w:eastAsia="Segoe UI"/>
          <w:color w:val="231F20"/>
          <w:sz w:val="16"/>
          <w:szCs w:val="16"/>
        </w:rPr>
        <w:t>This</w:t>
      </w:r>
      <w:r>
        <w:rPr>
          <w:rFonts w:ascii="Segoe UI" w:hAnsi="Segoe UI" w:cs="Segoe UI" w:eastAsia="Segoe UI"/>
          <w:color w:val="231F20"/>
          <w:spacing w:val="-4"/>
          <w:sz w:val="16"/>
          <w:szCs w:val="16"/>
        </w:rPr>
        <w:t> </w:t>
      </w:r>
      <w:r>
        <w:rPr>
          <w:rFonts w:ascii="Segoe UI" w:hAnsi="Segoe UI" w:cs="Segoe UI" w:eastAsia="Segoe UI"/>
          <w:color w:val="231F20"/>
          <w:sz w:val="16"/>
          <w:szCs w:val="16"/>
        </w:rPr>
        <w:t>data</w:t>
      </w:r>
      <w:r>
        <w:rPr>
          <w:rFonts w:ascii="Segoe UI" w:hAnsi="Segoe UI" w:cs="Segoe UI" w:eastAsia="Segoe UI"/>
          <w:color w:val="231F20"/>
          <w:spacing w:val="24"/>
          <w:w w:val="99"/>
          <w:sz w:val="16"/>
          <w:szCs w:val="16"/>
        </w:rPr>
        <w:t> </w:t>
      </w:r>
      <w:r>
        <w:rPr>
          <w:rFonts w:ascii="Segoe UI" w:hAnsi="Segoe UI" w:cs="Segoe UI" w:eastAsia="Segoe UI"/>
          <w:color w:val="231F20"/>
          <w:sz w:val="16"/>
          <w:szCs w:val="16"/>
        </w:rPr>
        <w:t>was</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sourced</w:t>
      </w:r>
      <w:r>
        <w:rPr>
          <w:rFonts w:ascii="Segoe UI" w:hAnsi="Segoe UI" w:cs="Segoe UI" w:eastAsia="Segoe UI"/>
          <w:color w:val="231F20"/>
          <w:spacing w:val="-3"/>
          <w:sz w:val="16"/>
          <w:szCs w:val="16"/>
        </w:rPr>
        <w:t> </w:t>
      </w:r>
      <w:r>
        <w:rPr>
          <w:rFonts w:ascii="Segoe UI" w:hAnsi="Segoe UI" w:cs="Segoe UI" w:eastAsia="Segoe UI"/>
          <w:color w:val="231F20"/>
          <w:sz w:val="16"/>
          <w:szCs w:val="16"/>
        </w:rPr>
        <w:t>from</w:t>
      </w:r>
      <w:r>
        <w:rPr>
          <w:rFonts w:ascii="Segoe UI" w:hAnsi="Segoe UI" w:cs="Segoe UI" w:eastAsia="Segoe UI"/>
          <w:color w:val="231F20"/>
          <w:spacing w:val="-3"/>
          <w:sz w:val="16"/>
          <w:szCs w:val="16"/>
        </w:rPr>
        <w:t> </w:t>
      </w:r>
      <w:r>
        <w:rPr>
          <w:rFonts w:ascii="Segoe UI" w:hAnsi="Segoe UI" w:cs="Segoe UI" w:eastAsia="Segoe UI"/>
          <w:color w:val="231F20"/>
          <w:spacing w:val="-2"/>
          <w:sz w:val="16"/>
          <w:szCs w:val="16"/>
        </w:rPr>
        <w:t>ACARA’s</w:t>
      </w:r>
      <w:r>
        <w:rPr>
          <w:rFonts w:ascii="Segoe UI" w:hAnsi="Segoe UI" w:cs="Segoe UI" w:eastAsia="Segoe UI"/>
          <w:color w:val="231F20"/>
          <w:spacing w:val="-3"/>
          <w:sz w:val="16"/>
          <w:szCs w:val="16"/>
        </w:rPr>
        <w:t> </w:t>
      </w:r>
      <w:r>
        <w:rPr>
          <w:rFonts w:ascii="Segoe UI" w:hAnsi="Segoe UI" w:cs="Segoe UI" w:eastAsia="Segoe UI"/>
          <w:color w:val="231F20"/>
          <w:sz w:val="16"/>
          <w:szCs w:val="16"/>
        </w:rPr>
        <w:t>My</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School</w:t>
      </w:r>
      <w:r>
        <w:rPr>
          <w:rFonts w:ascii="Segoe UI" w:hAnsi="Segoe UI" w:cs="Segoe UI" w:eastAsia="Segoe UI"/>
          <w:color w:val="231F20"/>
          <w:spacing w:val="-4"/>
          <w:sz w:val="16"/>
          <w:szCs w:val="16"/>
        </w:rPr>
        <w:t> </w:t>
      </w:r>
      <w:r>
        <w:rPr>
          <w:rFonts w:ascii="Segoe UI" w:hAnsi="Segoe UI" w:cs="Segoe UI" w:eastAsia="Segoe UI"/>
          <w:color w:val="231F20"/>
          <w:sz w:val="16"/>
          <w:szCs w:val="16"/>
        </w:rPr>
        <w:t>website</w:t>
      </w:r>
      <w:r>
        <w:rPr>
          <w:rFonts w:ascii="Segoe UI" w:hAnsi="Segoe UI" w:cs="Segoe UI" w:eastAsia="Segoe UI"/>
          <w:sz w:val="16"/>
          <w:szCs w:val="16"/>
        </w:rPr>
      </w:r>
    </w:p>
    <w:p>
      <w:pPr>
        <w:numPr>
          <w:ilvl w:val="0"/>
          <w:numId w:val="14"/>
        </w:numPr>
        <w:tabs>
          <w:tab w:pos="728" w:val="left" w:leader="none"/>
        </w:tabs>
        <w:spacing w:line="200" w:lineRule="exact" w:before="113"/>
        <w:ind w:left="727" w:right="31" w:hanging="567"/>
        <w:jc w:val="left"/>
        <w:rPr>
          <w:rFonts w:ascii="Segoe UI" w:hAnsi="Segoe UI" w:cs="Segoe UI" w:eastAsia="Segoe UI"/>
          <w:sz w:val="16"/>
          <w:szCs w:val="16"/>
        </w:rPr>
      </w:pPr>
      <w:r>
        <w:rPr>
          <w:rFonts w:ascii="Segoe UI"/>
          <w:color w:val="231F20"/>
          <w:sz w:val="16"/>
        </w:rPr>
        <w:t>ABSTUDY</w:t>
      </w:r>
      <w:r>
        <w:rPr>
          <w:rFonts w:ascii="Segoe UI"/>
          <w:color w:val="231F20"/>
          <w:spacing w:val="-5"/>
          <w:sz w:val="16"/>
        </w:rPr>
        <w:t> </w:t>
      </w:r>
      <w:r>
        <w:rPr>
          <w:rFonts w:ascii="Segoe UI"/>
          <w:color w:val="231F20"/>
          <w:spacing w:val="-1"/>
          <w:sz w:val="16"/>
        </w:rPr>
        <w:t>is</w:t>
      </w:r>
      <w:r>
        <w:rPr>
          <w:rFonts w:ascii="Segoe UI"/>
          <w:color w:val="231F20"/>
          <w:spacing w:val="-6"/>
          <w:sz w:val="16"/>
        </w:rPr>
        <w:t> </w:t>
      </w:r>
      <w:r>
        <w:rPr>
          <w:rFonts w:ascii="Segoe UI"/>
          <w:color w:val="231F20"/>
          <w:sz w:val="16"/>
        </w:rPr>
        <w:t>a</w:t>
      </w:r>
      <w:r>
        <w:rPr>
          <w:rFonts w:ascii="Segoe UI"/>
          <w:color w:val="231F20"/>
          <w:spacing w:val="-4"/>
          <w:sz w:val="16"/>
        </w:rPr>
        <w:t> </w:t>
      </w:r>
      <w:r>
        <w:rPr>
          <w:rFonts w:ascii="Segoe UI"/>
          <w:color w:val="231F20"/>
          <w:sz w:val="16"/>
        </w:rPr>
        <w:t>targeted</w:t>
      </w:r>
      <w:r>
        <w:rPr>
          <w:rFonts w:ascii="Segoe UI"/>
          <w:color w:val="231F20"/>
          <w:spacing w:val="-6"/>
          <w:sz w:val="16"/>
        </w:rPr>
        <w:t> </w:t>
      </w:r>
      <w:r>
        <w:rPr>
          <w:rFonts w:ascii="Segoe UI"/>
          <w:color w:val="231F20"/>
          <w:spacing w:val="-1"/>
          <w:sz w:val="16"/>
        </w:rPr>
        <w:t>equity-based</w:t>
      </w:r>
      <w:r>
        <w:rPr>
          <w:rFonts w:ascii="Segoe UI"/>
          <w:color w:val="231F20"/>
          <w:spacing w:val="-5"/>
          <w:sz w:val="16"/>
        </w:rPr>
        <w:t> </w:t>
      </w:r>
      <w:r>
        <w:rPr>
          <w:rFonts w:ascii="Segoe UI"/>
          <w:color w:val="231F20"/>
          <w:sz w:val="16"/>
        </w:rPr>
        <w:t>payment.</w:t>
      </w:r>
      <w:r>
        <w:rPr>
          <w:rFonts w:ascii="Segoe UI"/>
          <w:color w:val="231F20"/>
          <w:spacing w:val="24"/>
          <w:w w:val="99"/>
          <w:sz w:val="16"/>
        </w:rPr>
        <w:t> </w:t>
      </w:r>
      <w:r>
        <w:rPr>
          <w:rFonts w:ascii="Segoe UI"/>
          <w:color w:val="231F20"/>
          <w:sz w:val="16"/>
        </w:rPr>
        <w:t>Aboriginal</w:t>
      </w:r>
      <w:r>
        <w:rPr>
          <w:rFonts w:ascii="Segoe UI"/>
          <w:color w:val="231F20"/>
          <w:spacing w:val="-6"/>
          <w:sz w:val="16"/>
        </w:rPr>
        <w:t> </w:t>
      </w:r>
      <w:r>
        <w:rPr>
          <w:rFonts w:ascii="Segoe UI"/>
          <w:color w:val="231F20"/>
          <w:sz w:val="16"/>
        </w:rPr>
        <w:t>and</w:t>
      </w:r>
      <w:r>
        <w:rPr>
          <w:rFonts w:ascii="Segoe UI"/>
          <w:color w:val="231F20"/>
          <w:spacing w:val="-7"/>
          <w:sz w:val="16"/>
        </w:rPr>
        <w:t> </w:t>
      </w:r>
      <w:r>
        <w:rPr>
          <w:rFonts w:ascii="Segoe UI"/>
          <w:color w:val="231F20"/>
          <w:spacing w:val="-3"/>
          <w:sz w:val="16"/>
        </w:rPr>
        <w:t>Torres</w:t>
      </w:r>
      <w:r>
        <w:rPr>
          <w:rFonts w:ascii="Segoe UI"/>
          <w:color w:val="231F20"/>
          <w:spacing w:val="-6"/>
          <w:sz w:val="16"/>
        </w:rPr>
        <w:t> </w:t>
      </w:r>
      <w:r>
        <w:rPr>
          <w:rFonts w:ascii="Segoe UI"/>
          <w:color w:val="231F20"/>
          <w:spacing w:val="-1"/>
          <w:sz w:val="16"/>
        </w:rPr>
        <w:t>Strait</w:t>
      </w:r>
      <w:r>
        <w:rPr>
          <w:rFonts w:ascii="Segoe UI"/>
          <w:color w:val="231F20"/>
          <w:spacing w:val="-7"/>
          <w:sz w:val="16"/>
        </w:rPr>
        <w:t> </w:t>
      </w:r>
      <w:r>
        <w:rPr>
          <w:rFonts w:ascii="Segoe UI"/>
          <w:color w:val="231F20"/>
          <w:spacing w:val="-1"/>
          <w:sz w:val="16"/>
        </w:rPr>
        <w:t>Islander</w:t>
      </w:r>
      <w:r>
        <w:rPr>
          <w:rFonts w:ascii="Segoe UI"/>
          <w:color w:val="231F20"/>
          <w:spacing w:val="-6"/>
          <w:sz w:val="16"/>
        </w:rPr>
        <w:t> </w:t>
      </w:r>
      <w:r>
        <w:rPr>
          <w:rFonts w:ascii="Segoe UI"/>
          <w:color w:val="231F20"/>
          <w:sz w:val="16"/>
        </w:rPr>
        <w:t>boarding</w:t>
      </w:r>
      <w:r>
        <w:rPr>
          <w:rFonts w:ascii="Segoe UI"/>
          <w:color w:val="231F20"/>
          <w:spacing w:val="24"/>
          <w:w w:val="99"/>
          <w:sz w:val="16"/>
        </w:rPr>
        <w:t> </w:t>
      </w:r>
      <w:r>
        <w:rPr>
          <w:rFonts w:ascii="Segoe UI"/>
          <w:color w:val="231F20"/>
          <w:spacing w:val="-1"/>
          <w:sz w:val="16"/>
        </w:rPr>
        <w:t>students</w:t>
      </w:r>
      <w:r>
        <w:rPr>
          <w:rFonts w:ascii="Segoe UI"/>
          <w:color w:val="231F20"/>
          <w:spacing w:val="-3"/>
          <w:sz w:val="16"/>
        </w:rPr>
        <w:t> </w:t>
      </w:r>
      <w:r>
        <w:rPr>
          <w:rFonts w:ascii="Segoe UI"/>
          <w:color w:val="231F20"/>
          <w:sz w:val="16"/>
        </w:rPr>
        <w:t>receive</w:t>
      </w:r>
      <w:r>
        <w:rPr>
          <w:rFonts w:ascii="Segoe UI"/>
          <w:color w:val="231F20"/>
          <w:spacing w:val="-4"/>
          <w:sz w:val="16"/>
        </w:rPr>
        <w:t> </w:t>
      </w:r>
      <w:r>
        <w:rPr>
          <w:rFonts w:ascii="Segoe UI"/>
          <w:color w:val="231F20"/>
          <w:spacing w:val="-1"/>
          <w:sz w:val="16"/>
        </w:rPr>
        <w:t>support</w:t>
      </w:r>
      <w:r>
        <w:rPr>
          <w:rFonts w:ascii="Segoe UI"/>
          <w:color w:val="231F20"/>
          <w:spacing w:val="-2"/>
          <w:sz w:val="16"/>
        </w:rPr>
        <w:t> </w:t>
      </w:r>
      <w:r>
        <w:rPr>
          <w:rFonts w:ascii="Segoe UI"/>
          <w:color w:val="231F20"/>
          <w:sz w:val="16"/>
        </w:rPr>
        <w:t>of</w:t>
      </w:r>
      <w:r>
        <w:rPr>
          <w:rFonts w:ascii="Segoe UI"/>
          <w:color w:val="231F20"/>
          <w:spacing w:val="-3"/>
          <w:sz w:val="16"/>
        </w:rPr>
        <w:t> </w:t>
      </w:r>
      <w:r>
        <w:rPr>
          <w:rFonts w:ascii="Segoe UI"/>
          <w:color w:val="231F20"/>
          <w:sz w:val="16"/>
        </w:rPr>
        <w:t>up</w:t>
      </w:r>
      <w:r>
        <w:rPr>
          <w:rFonts w:ascii="Segoe UI"/>
          <w:color w:val="231F20"/>
          <w:spacing w:val="-2"/>
          <w:sz w:val="16"/>
        </w:rPr>
        <w:t> </w:t>
      </w:r>
      <w:r>
        <w:rPr>
          <w:rFonts w:ascii="Segoe UI"/>
          <w:color w:val="231F20"/>
          <w:sz w:val="16"/>
        </w:rPr>
        <w:t>to</w:t>
      </w:r>
      <w:r>
        <w:rPr>
          <w:rFonts w:ascii="Segoe UI"/>
          <w:color w:val="231F20"/>
          <w:spacing w:val="-3"/>
          <w:sz w:val="16"/>
        </w:rPr>
        <w:t> </w:t>
      </w:r>
      <w:r>
        <w:rPr>
          <w:rFonts w:ascii="Segoe UI"/>
          <w:color w:val="231F20"/>
          <w:spacing w:val="-1"/>
          <w:sz w:val="16"/>
        </w:rPr>
        <w:t>$17,000</w:t>
      </w:r>
      <w:r>
        <w:rPr>
          <w:rFonts w:ascii="Segoe UI"/>
          <w:color w:val="231F20"/>
          <w:spacing w:val="-2"/>
          <w:sz w:val="16"/>
        </w:rPr>
        <w:t> </w:t>
      </w:r>
      <w:r>
        <w:rPr>
          <w:rFonts w:ascii="Segoe UI"/>
          <w:color w:val="231F20"/>
          <w:sz w:val="16"/>
        </w:rPr>
        <w:t>per</w:t>
      </w:r>
      <w:r>
        <w:rPr>
          <w:rFonts w:ascii="Segoe UI"/>
          <w:color w:val="231F20"/>
          <w:spacing w:val="-3"/>
          <w:sz w:val="16"/>
        </w:rPr>
        <w:t> </w:t>
      </w:r>
      <w:r>
        <w:rPr>
          <w:rFonts w:ascii="Segoe UI"/>
          <w:color w:val="231F20"/>
          <w:sz w:val="16"/>
        </w:rPr>
        <w:t>year</w:t>
      </w:r>
      <w:r>
        <w:rPr>
          <w:rFonts w:ascii="Segoe UI"/>
          <w:color w:val="231F20"/>
          <w:spacing w:val="24"/>
          <w:w w:val="99"/>
          <w:sz w:val="16"/>
        </w:rPr>
        <w:t> </w:t>
      </w:r>
      <w:r>
        <w:rPr>
          <w:rFonts w:ascii="Segoe UI"/>
          <w:color w:val="231F20"/>
          <w:sz w:val="16"/>
        </w:rPr>
        <w:t>compared</w:t>
      </w:r>
      <w:r>
        <w:rPr>
          <w:rFonts w:ascii="Segoe UI"/>
          <w:color w:val="231F20"/>
          <w:spacing w:val="-10"/>
          <w:sz w:val="16"/>
        </w:rPr>
        <w:t> </w:t>
      </w:r>
      <w:r>
        <w:rPr>
          <w:rFonts w:ascii="Segoe UI"/>
          <w:color w:val="231F20"/>
          <w:sz w:val="16"/>
        </w:rPr>
        <w:t>to</w:t>
      </w:r>
      <w:r>
        <w:rPr>
          <w:rFonts w:ascii="Segoe UI"/>
          <w:color w:val="231F20"/>
          <w:spacing w:val="-8"/>
          <w:sz w:val="16"/>
        </w:rPr>
        <w:t> </w:t>
      </w:r>
      <w:r>
        <w:rPr>
          <w:rFonts w:ascii="Segoe UI"/>
          <w:color w:val="231F20"/>
          <w:sz w:val="16"/>
        </w:rPr>
        <w:t>non-Indigenous</w:t>
      </w:r>
      <w:r>
        <w:rPr>
          <w:rFonts w:ascii="Segoe UI"/>
          <w:color w:val="231F20"/>
          <w:spacing w:val="-9"/>
          <w:sz w:val="16"/>
        </w:rPr>
        <w:t> </w:t>
      </w:r>
      <w:r>
        <w:rPr>
          <w:rFonts w:ascii="Segoe UI"/>
          <w:color w:val="231F20"/>
          <w:sz w:val="16"/>
        </w:rPr>
        <w:t>boarding</w:t>
      </w:r>
      <w:r>
        <w:rPr>
          <w:rFonts w:ascii="Segoe UI"/>
          <w:color w:val="231F20"/>
          <w:spacing w:val="-9"/>
          <w:sz w:val="16"/>
        </w:rPr>
        <w:t> </w:t>
      </w:r>
      <w:r>
        <w:rPr>
          <w:rFonts w:ascii="Segoe UI"/>
          <w:color w:val="231F20"/>
          <w:spacing w:val="-1"/>
          <w:sz w:val="16"/>
        </w:rPr>
        <w:t>students,</w:t>
      </w:r>
      <w:r>
        <w:rPr>
          <w:rFonts w:ascii="Segoe UI"/>
          <w:color w:val="231F20"/>
          <w:spacing w:val="20"/>
          <w:w w:val="99"/>
          <w:sz w:val="16"/>
        </w:rPr>
        <w:t> </w:t>
      </w:r>
      <w:r>
        <w:rPr>
          <w:rFonts w:ascii="Segoe UI"/>
          <w:color w:val="231F20"/>
          <w:sz w:val="16"/>
        </w:rPr>
        <w:t>with</w:t>
      </w:r>
      <w:r>
        <w:rPr>
          <w:rFonts w:ascii="Segoe UI"/>
          <w:color w:val="231F20"/>
          <w:spacing w:val="-3"/>
          <w:sz w:val="16"/>
        </w:rPr>
        <w:t> </w:t>
      </w:r>
      <w:r>
        <w:rPr>
          <w:rFonts w:ascii="Segoe UI"/>
          <w:color w:val="231F20"/>
          <w:spacing w:val="-1"/>
          <w:sz w:val="16"/>
        </w:rPr>
        <w:t>means-testing </w:t>
      </w:r>
      <w:r>
        <w:rPr>
          <w:rFonts w:ascii="Segoe UI"/>
          <w:color w:val="231F20"/>
          <w:sz w:val="16"/>
        </w:rPr>
        <w:t>built</w:t>
      </w:r>
      <w:r>
        <w:rPr>
          <w:rFonts w:ascii="Segoe UI"/>
          <w:color w:val="231F20"/>
          <w:spacing w:val="-3"/>
          <w:sz w:val="16"/>
        </w:rPr>
        <w:t> </w:t>
      </w:r>
      <w:r>
        <w:rPr>
          <w:rFonts w:ascii="Segoe UI"/>
          <w:color w:val="231F20"/>
          <w:spacing w:val="-1"/>
          <w:sz w:val="16"/>
        </w:rPr>
        <w:t>in</w:t>
      </w:r>
      <w:r>
        <w:rPr>
          <w:rFonts w:ascii="Segoe UI"/>
          <w:color w:val="231F20"/>
          <w:spacing w:val="-2"/>
          <w:sz w:val="16"/>
        </w:rPr>
        <w:t> </w:t>
      </w:r>
      <w:r>
        <w:rPr>
          <w:rFonts w:ascii="Segoe UI"/>
          <w:color w:val="231F20"/>
          <w:sz w:val="16"/>
        </w:rPr>
        <w:t>to</w:t>
      </w:r>
      <w:r>
        <w:rPr>
          <w:rFonts w:ascii="Segoe UI"/>
          <w:color w:val="231F20"/>
          <w:spacing w:val="-2"/>
          <w:sz w:val="16"/>
        </w:rPr>
        <w:t> </w:t>
      </w:r>
      <w:r>
        <w:rPr>
          <w:rFonts w:ascii="Segoe UI"/>
          <w:color w:val="231F20"/>
          <w:sz w:val="16"/>
        </w:rPr>
        <w:t>this</w:t>
      </w:r>
      <w:r>
        <w:rPr>
          <w:rFonts w:ascii="Segoe UI"/>
          <w:color w:val="231F20"/>
          <w:spacing w:val="-3"/>
          <w:sz w:val="16"/>
        </w:rPr>
        <w:t> </w:t>
      </w:r>
      <w:r>
        <w:rPr>
          <w:rFonts w:ascii="Segoe UI"/>
          <w:color w:val="231F20"/>
          <w:sz w:val="16"/>
        </w:rPr>
        <w:t>amount</w:t>
      </w:r>
      <w:r>
        <w:rPr>
          <w:rFonts w:ascii="Segoe UI"/>
          <w:color w:val="231F20"/>
          <w:spacing w:val="-3"/>
          <w:sz w:val="16"/>
        </w:rPr>
        <w:t> </w:t>
      </w:r>
      <w:r>
        <w:rPr>
          <w:rFonts w:ascii="Segoe UI"/>
          <w:color w:val="231F20"/>
          <w:sz w:val="16"/>
        </w:rPr>
        <w:t>to</w:t>
      </w:r>
      <w:r>
        <w:rPr>
          <w:rFonts w:ascii="Segoe UI"/>
          <w:color w:val="231F20"/>
          <w:spacing w:val="-2"/>
          <w:sz w:val="16"/>
        </w:rPr>
        <w:t> </w:t>
      </w:r>
      <w:r>
        <w:rPr>
          <w:rFonts w:ascii="Segoe UI"/>
          <w:color w:val="231F20"/>
          <w:sz w:val="16"/>
        </w:rPr>
        <w:t>target</w:t>
      </w:r>
      <w:r>
        <w:rPr>
          <w:rFonts w:ascii="Segoe UI"/>
          <w:color w:val="231F20"/>
          <w:spacing w:val="23"/>
          <w:w w:val="99"/>
          <w:sz w:val="16"/>
        </w:rPr>
        <w:t> </w:t>
      </w:r>
      <w:r>
        <w:rPr>
          <w:rFonts w:ascii="Segoe UI"/>
          <w:color w:val="231F20"/>
          <w:spacing w:val="-1"/>
          <w:sz w:val="16"/>
        </w:rPr>
        <w:t>support</w:t>
      </w:r>
      <w:r>
        <w:rPr>
          <w:rFonts w:ascii="Segoe UI"/>
          <w:color w:val="231F20"/>
          <w:spacing w:val="-3"/>
          <w:sz w:val="16"/>
        </w:rPr>
        <w:t> </w:t>
      </w:r>
      <w:r>
        <w:rPr>
          <w:rFonts w:ascii="Segoe UI"/>
          <w:color w:val="231F20"/>
          <w:sz w:val="16"/>
        </w:rPr>
        <w:t>to</w:t>
      </w:r>
      <w:r>
        <w:rPr>
          <w:rFonts w:ascii="Segoe UI"/>
          <w:color w:val="231F20"/>
          <w:spacing w:val="-3"/>
          <w:sz w:val="16"/>
        </w:rPr>
        <w:t> </w:t>
      </w:r>
      <w:r>
        <w:rPr>
          <w:rFonts w:ascii="Segoe UI"/>
          <w:color w:val="231F20"/>
          <w:sz w:val="16"/>
        </w:rPr>
        <w:t>those</w:t>
      </w:r>
      <w:r>
        <w:rPr>
          <w:rFonts w:ascii="Segoe UI"/>
          <w:color w:val="231F20"/>
          <w:spacing w:val="-4"/>
          <w:sz w:val="16"/>
        </w:rPr>
        <w:t> </w:t>
      </w:r>
      <w:r>
        <w:rPr>
          <w:rFonts w:ascii="Segoe UI"/>
          <w:color w:val="231F20"/>
          <w:spacing w:val="-1"/>
          <w:sz w:val="16"/>
        </w:rPr>
        <w:t>most</w:t>
      </w:r>
      <w:r>
        <w:rPr>
          <w:rFonts w:ascii="Segoe UI"/>
          <w:color w:val="231F20"/>
          <w:spacing w:val="-3"/>
          <w:sz w:val="16"/>
        </w:rPr>
        <w:t> </w:t>
      </w:r>
      <w:r>
        <w:rPr>
          <w:rFonts w:ascii="Segoe UI"/>
          <w:color w:val="231F20"/>
          <w:spacing w:val="-1"/>
          <w:sz w:val="16"/>
        </w:rPr>
        <w:t>in</w:t>
      </w:r>
      <w:r>
        <w:rPr>
          <w:rFonts w:ascii="Segoe UI"/>
          <w:color w:val="231F20"/>
          <w:spacing w:val="-3"/>
          <w:sz w:val="16"/>
        </w:rPr>
        <w:t> </w:t>
      </w:r>
      <w:r>
        <w:rPr>
          <w:rFonts w:ascii="Segoe UI"/>
          <w:color w:val="231F20"/>
          <w:sz w:val="16"/>
        </w:rPr>
        <w:t>need</w:t>
      </w:r>
      <w:r>
        <w:rPr>
          <w:rFonts w:ascii="Segoe UI"/>
          <w:sz w:val="16"/>
        </w:rPr>
      </w:r>
    </w:p>
    <w:p>
      <w:pPr>
        <w:numPr>
          <w:ilvl w:val="0"/>
          <w:numId w:val="14"/>
        </w:numPr>
        <w:tabs>
          <w:tab w:pos="728" w:val="left" w:leader="none"/>
        </w:tabs>
        <w:spacing w:line="200" w:lineRule="exact" w:before="113"/>
        <w:ind w:left="727" w:right="62" w:hanging="567"/>
        <w:jc w:val="left"/>
        <w:rPr>
          <w:rFonts w:ascii="Segoe UI" w:hAnsi="Segoe UI" w:cs="Segoe UI" w:eastAsia="Segoe UI"/>
          <w:sz w:val="16"/>
          <w:szCs w:val="16"/>
        </w:rPr>
      </w:pPr>
      <w:r>
        <w:rPr/>
        <w:pict>
          <v:group style="position:absolute;margin-left:113.385803pt;margin-top:34.342598pt;width:101.7pt;height:.1pt;mso-position-horizontal-relative:page;mso-position-vertical-relative:paragraph;z-index:-219424" coordorigin="2268,687" coordsize="2034,2">
            <v:shape style="position:absolute;left:2268;top:687;width:2034;height:2" coordorigin="2268,687" coordsize="2034,0" path="m2268,687l4301,687e" filled="false" stroked="true" strokeweight=".465pt" strokecolor="#3853a4">
              <v:path arrowok="t"/>
            </v:shape>
            <w10:wrap type="none"/>
          </v:group>
        </w:pict>
      </w:r>
      <w:hyperlink r:id="rId129">
        <w:r>
          <w:rPr>
            <w:rFonts w:ascii="Segoe UI"/>
            <w:color w:val="3853A4"/>
            <w:spacing w:val="-1"/>
            <w:sz w:val="16"/>
            <w:u w:val="single" w:color="3853A4"/>
          </w:rPr>
          <w:t>https://www.humanservices.g</w:t>
        </w:r>
      </w:hyperlink>
      <w:r>
        <w:rPr>
          <w:rFonts w:ascii="Segoe UI"/>
          <w:color w:val="3853A4"/>
          <w:spacing w:val="-1"/>
          <w:sz w:val="16"/>
          <w:u w:val="single" w:color="3853A4"/>
        </w:rPr>
        <w:t>ov.au/in</w:t>
      </w:r>
      <w:hyperlink r:id="rId129">
        <w:r>
          <w:rPr>
            <w:rFonts w:ascii="Segoe UI"/>
            <w:color w:val="3853A4"/>
            <w:spacing w:val="-1"/>
            <w:sz w:val="16"/>
            <w:u w:val="single" w:color="3853A4"/>
          </w:rPr>
          <w:t>dividuals/</w:t>
        </w:r>
        <w:r>
          <w:rPr>
            <w:rFonts w:ascii="Segoe UI"/>
            <w:color w:val="3853A4"/>
            <w:w w:val="99"/>
            <w:sz w:val="16"/>
          </w:rPr>
        </w:r>
      </w:hyperlink>
      <w:r>
        <w:rPr>
          <w:rFonts w:ascii="Segoe UI"/>
          <w:color w:val="3853A4"/>
          <w:spacing w:val="85"/>
          <w:w w:val="99"/>
          <w:sz w:val="16"/>
        </w:rPr>
        <w:t> </w:t>
      </w:r>
      <w:r>
        <w:rPr>
          <w:rFonts w:ascii="Segoe UI"/>
          <w:color w:val="3853A4"/>
          <w:spacing w:val="-1"/>
          <w:sz w:val="16"/>
          <w:u w:val="single" w:color="3853A4"/>
        </w:rPr>
        <w:t>services/centrelink/abstudy/eligibility/income-and-</w:t>
      </w:r>
      <w:r>
        <w:rPr>
          <w:rFonts w:ascii="Segoe UI"/>
          <w:color w:val="3853A4"/>
          <w:spacing w:val="-1"/>
          <w:w w:val="99"/>
          <w:sz w:val="16"/>
        </w:rPr>
      </w:r>
      <w:r>
        <w:rPr>
          <w:rFonts w:ascii="Segoe UI"/>
          <w:color w:val="3853A4"/>
          <w:spacing w:val="20"/>
          <w:w w:val="99"/>
          <w:sz w:val="16"/>
        </w:rPr>
        <w:t> </w:t>
      </w:r>
      <w:r>
        <w:rPr>
          <w:rFonts w:ascii="Segoe UI"/>
          <w:color w:val="3853A4"/>
          <w:spacing w:val="-1"/>
          <w:sz w:val="16"/>
        </w:rPr>
        <w:t>assets-tests#personalincome</w:t>
      </w:r>
      <w:r>
        <w:rPr>
          <w:rFonts w:ascii="Segoe UI"/>
          <w:color w:val="231F20"/>
          <w:spacing w:val="-1"/>
          <w:sz w:val="16"/>
        </w:rPr>
        <w:t>,</w:t>
      </w:r>
      <w:r>
        <w:rPr>
          <w:rFonts w:ascii="Segoe UI"/>
          <w:color w:val="231F20"/>
          <w:spacing w:val="-2"/>
          <w:sz w:val="16"/>
        </w:rPr>
        <w:t> </w:t>
      </w:r>
      <w:r>
        <w:rPr>
          <w:rFonts w:ascii="Segoe UI"/>
          <w:color w:val="231F20"/>
          <w:sz w:val="16"/>
        </w:rPr>
        <w:t>accessed</w:t>
      </w:r>
      <w:r>
        <w:rPr>
          <w:rFonts w:ascii="Segoe UI"/>
          <w:color w:val="231F20"/>
          <w:spacing w:val="-3"/>
          <w:sz w:val="16"/>
        </w:rPr>
        <w:t> </w:t>
      </w:r>
      <w:r>
        <w:rPr>
          <w:rFonts w:ascii="Segoe UI"/>
          <w:color w:val="231F20"/>
          <w:spacing w:val="-1"/>
          <w:sz w:val="16"/>
        </w:rPr>
        <w:t>in </w:t>
      </w:r>
      <w:r>
        <w:rPr>
          <w:rFonts w:ascii="Segoe UI"/>
          <w:color w:val="231F20"/>
          <w:sz w:val="16"/>
        </w:rPr>
        <w:t>March</w:t>
      </w:r>
      <w:r>
        <w:rPr>
          <w:rFonts w:ascii="Segoe UI"/>
          <w:color w:val="231F20"/>
          <w:spacing w:val="56"/>
          <w:w w:val="99"/>
          <w:sz w:val="16"/>
        </w:rPr>
        <w:t> </w:t>
      </w:r>
      <w:r>
        <w:rPr>
          <w:rFonts w:ascii="Segoe UI"/>
          <w:color w:val="231F20"/>
          <w:spacing w:val="-1"/>
          <w:sz w:val="16"/>
        </w:rPr>
        <w:t>2019</w:t>
      </w:r>
      <w:r>
        <w:rPr>
          <w:rFonts w:ascii="Segoe UI"/>
          <w:sz w:val="16"/>
        </w:rPr>
      </w:r>
    </w:p>
    <w:p>
      <w:pPr>
        <w:numPr>
          <w:ilvl w:val="0"/>
          <w:numId w:val="14"/>
        </w:numPr>
        <w:tabs>
          <w:tab w:pos="728" w:val="left" w:leader="none"/>
        </w:tabs>
        <w:spacing w:line="200" w:lineRule="exact" w:before="113"/>
        <w:ind w:left="727" w:right="0" w:hanging="567"/>
        <w:jc w:val="left"/>
        <w:rPr>
          <w:rFonts w:ascii="Segoe UI" w:hAnsi="Segoe UI" w:cs="Segoe UI" w:eastAsia="Segoe UI"/>
          <w:sz w:val="16"/>
          <w:szCs w:val="16"/>
        </w:rPr>
      </w:pPr>
      <w:r>
        <w:rPr/>
        <w:pict>
          <v:group style="position:absolute;margin-left:113.385803pt;margin-top:24.342587pt;width:147.6pt;height:.1pt;mso-position-horizontal-relative:page;mso-position-vertical-relative:paragraph;z-index:-219400" coordorigin="2268,487" coordsize="2952,2">
            <v:shape style="position:absolute;left:2268;top:487;width:2952;height:2" coordorigin="2268,487" coordsize="2952,0" path="m2268,487l5219,487e" filled="false" stroked="true" strokeweight=".465pt" strokecolor="#3853a4">
              <v:path arrowok="t"/>
            </v:shape>
            <w10:wrap type="none"/>
          </v:group>
        </w:pict>
      </w:r>
      <w:hyperlink r:id="rId127">
        <w:r>
          <w:rPr>
            <w:rFonts w:ascii="Segoe UI"/>
            <w:color w:val="3853A4"/>
            <w:spacing w:val="-1"/>
            <w:sz w:val="16"/>
            <w:u w:val="single" w:color="3853A4"/>
          </w:rPr>
          <w:t>https://www.education.gov.a</w:t>
        </w:r>
      </w:hyperlink>
      <w:r>
        <w:rPr>
          <w:rFonts w:ascii="Segoe UI"/>
          <w:color w:val="3853A4"/>
          <w:spacing w:val="-1"/>
          <w:sz w:val="16"/>
          <w:u w:val="single" w:color="3853A4"/>
        </w:rPr>
        <w:t>u/what-</w:t>
      </w:r>
      <w:hyperlink r:id="rId127">
        <w:r>
          <w:rPr>
            <w:rFonts w:ascii="Segoe UI"/>
            <w:color w:val="3853A4"/>
            <w:spacing w:val="-1"/>
            <w:sz w:val="16"/>
            <w:u w:val="single" w:color="3853A4"/>
          </w:rPr>
          <w:t>schooling-</w:t>
        </w:r>
        <w:r>
          <w:rPr>
            <w:rFonts w:ascii="Segoe UI"/>
            <w:color w:val="3853A4"/>
            <w:spacing w:val="-1"/>
            <w:sz w:val="16"/>
          </w:rPr>
        </w:r>
      </w:hyperlink>
      <w:r>
        <w:rPr>
          <w:rFonts w:ascii="Segoe UI"/>
          <w:color w:val="3853A4"/>
          <w:spacing w:val="62"/>
          <w:sz w:val="16"/>
        </w:rPr>
        <w:t> </w:t>
      </w:r>
      <w:r>
        <w:rPr>
          <w:rFonts w:ascii="Segoe UI"/>
          <w:color w:val="3853A4"/>
          <w:spacing w:val="-1"/>
          <w:w w:val="95"/>
          <w:sz w:val="16"/>
        </w:rPr>
        <w:t>resource-standard-and-how-does-it-work</w:t>
      </w:r>
      <w:r>
        <w:rPr>
          <w:rFonts w:ascii="Segoe UI"/>
          <w:color w:val="231F20"/>
          <w:spacing w:val="-1"/>
          <w:w w:val="95"/>
          <w:sz w:val="16"/>
        </w:rPr>
        <w:t>,</w:t>
      </w:r>
      <w:r>
        <w:rPr>
          <w:rFonts w:ascii="Segoe UI"/>
          <w:color w:val="231F20"/>
          <w:w w:val="95"/>
          <w:sz w:val="16"/>
        </w:rPr>
        <w:t>   </w:t>
      </w:r>
      <w:r>
        <w:rPr>
          <w:rFonts w:ascii="Segoe UI"/>
          <w:color w:val="231F20"/>
          <w:spacing w:val="28"/>
          <w:w w:val="95"/>
          <w:sz w:val="16"/>
        </w:rPr>
        <w:t> </w:t>
      </w:r>
      <w:r>
        <w:rPr>
          <w:rFonts w:ascii="Segoe UI"/>
          <w:color w:val="231F20"/>
          <w:w w:val="95"/>
          <w:sz w:val="16"/>
        </w:rPr>
        <w:t>accessed</w:t>
      </w:r>
      <w:r>
        <w:rPr>
          <w:rFonts w:ascii="Segoe UI"/>
          <w:color w:val="231F20"/>
          <w:spacing w:val="73"/>
          <w:sz w:val="16"/>
        </w:rPr>
        <w:t> </w:t>
      </w:r>
      <w:r>
        <w:rPr>
          <w:rFonts w:ascii="Segoe UI"/>
          <w:color w:val="231F20"/>
          <w:sz w:val="16"/>
        </w:rPr>
        <w:t>January</w:t>
      </w:r>
      <w:r>
        <w:rPr>
          <w:rFonts w:ascii="Segoe UI"/>
          <w:color w:val="231F20"/>
          <w:spacing w:val="-6"/>
          <w:sz w:val="16"/>
        </w:rPr>
        <w:t> </w:t>
      </w:r>
      <w:r>
        <w:rPr>
          <w:rFonts w:ascii="Segoe UI"/>
          <w:color w:val="231F20"/>
          <w:sz w:val="16"/>
        </w:rPr>
        <w:t>2019</w:t>
      </w:r>
      <w:r>
        <w:rPr>
          <w:rFonts w:ascii="Segoe UI"/>
          <w:sz w:val="16"/>
        </w:rPr>
      </w:r>
    </w:p>
    <w:p>
      <w:pPr>
        <w:numPr>
          <w:ilvl w:val="0"/>
          <w:numId w:val="14"/>
        </w:numPr>
        <w:tabs>
          <w:tab w:pos="728" w:val="left" w:leader="none"/>
        </w:tabs>
        <w:spacing w:line="200" w:lineRule="exact" w:before="113"/>
        <w:ind w:left="727" w:right="351" w:hanging="567"/>
        <w:jc w:val="left"/>
        <w:rPr>
          <w:rFonts w:ascii="Segoe UI" w:hAnsi="Segoe UI" w:cs="Segoe UI" w:eastAsia="Segoe UI"/>
          <w:sz w:val="16"/>
          <w:szCs w:val="16"/>
        </w:rPr>
      </w:pPr>
      <w:r>
        <w:rPr>
          <w:rFonts w:ascii="Segoe UI" w:hAnsi="Segoe UI" w:cs="Segoe UI" w:eastAsia="Segoe UI"/>
          <w:i/>
          <w:color w:val="231F20"/>
          <w:spacing w:val="-1"/>
          <w:sz w:val="16"/>
          <w:szCs w:val="16"/>
        </w:rPr>
        <w:t>Closing</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the</w:t>
      </w:r>
      <w:r>
        <w:rPr>
          <w:rFonts w:ascii="Segoe UI" w:hAnsi="Segoe UI" w:cs="Segoe UI" w:eastAsia="Segoe UI"/>
          <w:i/>
          <w:color w:val="231F20"/>
          <w:spacing w:val="-4"/>
          <w:sz w:val="16"/>
          <w:szCs w:val="16"/>
        </w:rPr>
        <w:t> </w:t>
      </w:r>
      <w:r>
        <w:rPr>
          <w:rFonts w:ascii="Segoe UI" w:hAnsi="Segoe UI" w:cs="Segoe UI" w:eastAsia="Segoe UI"/>
          <w:i/>
          <w:color w:val="231F20"/>
          <w:sz w:val="16"/>
          <w:szCs w:val="16"/>
        </w:rPr>
        <w:t>Gap:</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Prime</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Minister’s</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Report</w:t>
      </w:r>
      <w:r>
        <w:rPr>
          <w:rFonts w:ascii="Segoe UI" w:hAnsi="Segoe UI" w:cs="Segoe UI" w:eastAsia="Segoe UI"/>
          <w:i/>
          <w:color w:val="231F20"/>
          <w:spacing w:val="-5"/>
          <w:sz w:val="16"/>
          <w:szCs w:val="16"/>
        </w:rPr>
        <w:t> </w:t>
      </w:r>
      <w:r>
        <w:rPr>
          <w:rFonts w:ascii="Segoe UI" w:hAnsi="Segoe UI" w:cs="Segoe UI" w:eastAsia="Segoe UI"/>
          <w:i/>
          <w:color w:val="231F20"/>
          <w:sz w:val="16"/>
          <w:szCs w:val="16"/>
        </w:rPr>
        <w:t>2018</w:t>
      </w:r>
      <w:r>
        <w:rPr>
          <w:rFonts w:ascii="Segoe UI" w:hAnsi="Segoe UI" w:cs="Segoe UI" w:eastAsia="Segoe UI"/>
          <w:color w:val="231F20"/>
          <w:sz w:val="16"/>
          <w:szCs w:val="16"/>
        </w:rPr>
        <w:t>,</w:t>
      </w:r>
      <w:r>
        <w:rPr>
          <w:rFonts w:ascii="Segoe UI" w:hAnsi="Segoe UI" w:cs="Segoe UI" w:eastAsia="Segoe UI"/>
          <w:color w:val="231F20"/>
          <w:spacing w:val="25"/>
          <w:w w:val="99"/>
          <w:sz w:val="16"/>
          <w:szCs w:val="16"/>
        </w:rPr>
        <w:t> </w:t>
      </w:r>
      <w:r>
        <w:rPr>
          <w:rFonts w:ascii="Segoe UI" w:hAnsi="Segoe UI" w:cs="Segoe UI" w:eastAsia="Segoe UI"/>
          <w:color w:val="231F20"/>
          <w:spacing w:val="-1"/>
          <w:sz w:val="16"/>
          <w:szCs w:val="16"/>
        </w:rPr>
        <w:t>Department</w:t>
      </w:r>
      <w:r>
        <w:rPr>
          <w:rFonts w:ascii="Segoe UI" w:hAnsi="Segoe UI" w:cs="Segoe UI" w:eastAsia="Segoe UI"/>
          <w:color w:val="231F20"/>
          <w:spacing w:val="-4"/>
          <w:sz w:val="16"/>
          <w:szCs w:val="16"/>
        </w:rPr>
        <w:t> </w:t>
      </w:r>
      <w:r>
        <w:rPr>
          <w:rFonts w:ascii="Segoe UI" w:hAnsi="Segoe UI" w:cs="Segoe UI" w:eastAsia="Segoe UI"/>
          <w:color w:val="231F20"/>
          <w:sz w:val="16"/>
          <w:szCs w:val="16"/>
        </w:rPr>
        <w:t>of</w:t>
      </w:r>
      <w:r>
        <w:rPr>
          <w:rFonts w:ascii="Segoe UI" w:hAnsi="Segoe UI" w:cs="Segoe UI" w:eastAsia="Segoe UI"/>
          <w:color w:val="231F20"/>
          <w:spacing w:val="-3"/>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5"/>
          <w:sz w:val="16"/>
          <w:szCs w:val="16"/>
        </w:rPr>
        <w:t> </w:t>
      </w:r>
      <w:r>
        <w:rPr>
          <w:rFonts w:ascii="Segoe UI" w:hAnsi="Segoe UI" w:cs="Segoe UI" w:eastAsia="Segoe UI"/>
          <w:color w:val="231F20"/>
          <w:sz w:val="16"/>
          <w:szCs w:val="16"/>
        </w:rPr>
        <w:t>Prime</w:t>
      </w:r>
      <w:r>
        <w:rPr>
          <w:rFonts w:ascii="Segoe UI" w:hAnsi="Segoe UI" w:cs="Segoe UI" w:eastAsia="Segoe UI"/>
          <w:color w:val="231F20"/>
          <w:spacing w:val="-3"/>
          <w:sz w:val="16"/>
          <w:szCs w:val="16"/>
        </w:rPr>
        <w:t> </w:t>
      </w:r>
      <w:r>
        <w:rPr>
          <w:rFonts w:ascii="Segoe UI" w:hAnsi="Segoe UI" w:cs="Segoe UI" w:eastAsia="Segoe UI"/>
          <w:color w:val="231F20"/>
          <w:sz w:val="16"/>
          <w:szCs w:val="16"/>
        </w:rPr>
        <w:t>Minister</w:t>
      </w:r>
      <w:r>
        <w:rPr>
          <w:rFonts w:ascii="Segoe UI" w:hAnsi="Segoe UI" w:cs="Segoe UI" w:eastAsia="Segoe UI"/>
          <w:color w:val="231F20"/>
          <w:spacing w:val="-5"/>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Cabinet,</w:t>
      </w:r>
      <w:r>
        <w:rPr>
          <w:rFonts w:ascii="Segoe UI" w:hAnsi="Segoe UI" w:cs="Segoe UI" w:eastAsia="Segoe UI"/>
          <w:color w:val="231F20"/>
          <w:spacing w:val="21"/>
          <w:w w:val="99"/>
          <w:sz w:val="16"/>
          <w:szCs w:val="16"/>
        </w:rPr>
        <w:t> </w:t>
      </w:r>
      <w:r>
        <w:rPr>
          <w:rFonts w:ascii="Segoe UI" w:hAnsi="Segoe UI" w:cs="Segoe UI" w:eastAsia="Segoe UI"/>
          <w:color w:val="231F20"/>
          <w:spacing w:val="-1"/>
          <w:sz w:val="16"/>
          <w:szCs w:val="16"/>
        </w:rPr>
        <w:t>2018, </w:t>
      </w:r>
      <w:r>
        <w:rPr>
          <w:rFonts w:ascii="Segoe UI" w:hAnsi="Segoe UI" w:cs="Segoe UI" w:eastAsia="Segoe UI"/>
          <w:color w:val="231F20"/>
          <w:sz w:val="16"/>
          <w:szCs w:val="16"/>
        </w:rPr>
        <w:t>p.</w:t>
      </w:r>
      <w:r>
        <w:rPr>
          <w:rFonts w:ascii="Segoe UI" w:hAnsi="Segoe UI" w:cs="Segoe UI" w:eastAsia="Segoe UI"/>
          <w:color w:val="231F20"/>
          <w:spacing w:val="-1"/>
          <w:sz w:val="16"/>
          <w:szCs w:val="16"/>
        </w:rPr>
        <w:t> </w:t>
      </w:r>
      <w:r>
        <w:rPr>
          <w:rFonts w:ascii="Segoe UI" w:hAnsi="Segoe UI" w:cs="Segoe UI" w:eastAsia="Segoe UI"/>
          <w:color w:val="231F20"/>
          <w:sz w:val="16"/>
          <w:szCs w:val="16"/>
        </w:rPr>
        <w:t>58</w:t>
      </w:r>
      <w:r>
        <w:rPr>
          <w:rFonts w:ascii="Segoe UI" w:hAnsi="Segoe UI" w:cs="Segoe UI" w:eastAsia="Segoe UI"/>
          <w:sz w:val="16"/>
          <w:szCs w:val="16"/>
        </w:rPr>
      </w:r>
    </w:p>
    <w:p>
      <w:pPr>
        <w:numPr>
          <w:ilvl w:val="0"/>
          <w:numId w:val="14"/>
        </w:numPr>
        <w:tabs>
          <w:tab w:pos="728" w:val="left" w:leader="none"/>
        </w:tabs>
        <w:spacing w:line="200" w:lineRule="exact" w:before="113"/>
        <w:ind w:left="727" w:right="36" w:hanging="567"/>
        <w:jc w:val="left"/>
        <w:rPr>
          <w:rFonts w:ascii="Segoe UI" w:hAnsi="Segoe UI" w:cs="Segoe UI" w:eastAsia="Segoe UI"/>
          <w:sz w:val="16"/>
          <w:szCs w:val="16"/>
        </w:rPr>
      </w:pPr>
      <w:r>
        <w:rPr/>
        <w:pict>
          <v:group style="position:absolute;margin-left:134.5616pt;margin-top:34.342594pt;width:63.3pt;height:.1pt;mso-position-horizontal-relative:page;mso-position-vertical-relative:paragraph;z-index:-219376" coordorigin="2691,687" coordsize="1266,2">
            <v:shape style="position:absolute;left:2691;top:687;width:1266;height:2" coordorigin="2691,687" coordsize="1266,0" path="m2691,687l3956,687e" filled="false" stroked="true" strokeweight=".465pt" strokecolor="#3853a4">
              <v:path arrowok="t"/>
            </v:shape>
            <w10:wrap type="none"/>
          </v:group>
        </w:pict>
      </w:r>
      <w:r>
        <w:rPr>
          <w:rFonts w:ascii="Segoe UI"/>
          <w:color w:val="231F20"/>
          <w:spacing w:val="-1"/>
          <w:sz w:val="16"/>
        </w:rPr>
        <w:t>Student</w:t>
      </w:r>
      <w:r>
        <w:rPr>
          <w:rFonts w:ascii="Segoe UI"/>
          <w:color w:val="231F20"/>
          <w:spacing w:val="-6"/>
          <w:sz w:val="16"/>
        </w:rPr>
        <w:t> </w:t>
      </w:r>
      <w:r>
        <w:rPr>
          <w:rFonts w:ascii="Segoe UI"/>
          <w:color w:val="231F20"/>
          <w:sz w:val="16"/>
        </w:rPr>
        <w:t>attendance</w:t>
      </w:r>
      <w:r>
        <w:rPr>
          <w:rFonts w:ascii="Segoe UI"/>
          <w:color w:val="231F20"/>
          <w:spacing w:val="-5"/>
          <w:sz w:val="16"/>
        </w:rPr>
        <w:t> </w:t>
      </w:r>
      <w:r>
        <w:rPr>
          <w:rFonts w:ascii="Segoe UI"/>
          <w:color w:val="231F20"/>
          <w:sz w:val="16"/>
        </w:rPr>
        <w:t>rate</w:t>
      </w:r>
      <w:r>
        <w:rPr>
          <w:rFonts w:ascii="Segoe UI"/>
          <w:color w:val="231F20"/>
          <w:spacing w:val="-6"/>
          <w:sz w:val="16"/>
        </w:rPr>
        <w:t> </w:t>
      </w:r>
      <w:r>
        <w:rPr>
          <w:rFonts w:ascii="Segoe UI"/>
          <w:color w:val="231F20"/>
          <w:sz w:val="16"/>
        </w:rPr>
        <w:t>by</w:t>
      </w:r>
      <w:r>
        <w:rPr>
          <w:rFonts w:ascii="Segoe UI"/>
          <w:color w:val="231F20"/>
          <w:spacing w:val="-5"/>
          <w:sz w:val="16"/>
        </w:rPr>
        <w:t> </w:t>
      </w:r>
      <w:r>
        <w:rPr>
          <w:rFonts w:ascii="Segoe UI"/>
          <w:color w:val="231F20"/>
          <w:spacing w:val="-1"/>
          <w:sz w:val="16"/>
        </w:rPr>
        <w:t>Indigenous</w:t>
      </w:r>
      <w:r>
        <w:rPr>
          <w:rFonts w:ascii="Segoe UI"/>
          <w:color w:val="231F20"/>
          <w:spacing w:val="-5"/>
          <w:sz w:val="16"/>
        </w:rPr>
        <w:t> </w:t>
      </w:r>
      <w:r>
        <w:rPr>
          <w:rFonts w:ascii="Segoe UI"/>
          <w:color w:val="231F20"/>
          <w:spacing w:val="-1"/>
          <w:sz w:val="16"/>
        </w:rPr>
        <w:t>status</w:t>
      </w:r>
      <w:r>
        <w:rPr>
          <w:rFonts w:ascii="Segoe UI"/>
          <w:color w:val="231F20"/>
          <w:spacing w:val="-5"/>
          <w:sz w:val="16"/>
        </w:rPr>
        <w:t> </w:t>
      </w:r>
      <w:r>
        <w:rPr>
          <w:rFonts w:ascii="Segoe UI"/>
          <w:color w:val="231F20"/>
          <w:sz w:val="16"/>
        </w:rPr>
        <w:t>and</w:t>
      </w:r>
      <w:r>
        <w:rPr>
          <w:rFonts w:ascii="Segoe UI"/>
          <w:color w:val="231F20"/>
          <w:spacing w:val="23"/>
          <w:w w:val="99"/>
          <w:sz w:val="16"/>
        </w:rPr>
        <w:t> </w:t>
      </w:r>
      <w:r>
        <w:rPr>
          <w:rFonts w:ascii="Segoe UI"/>
          <w:color w:val="231F20"/>
          <w:spacing w:val="-1"/>
          <w:sz w:val="16"/>
        </w:rPr>
        <w:t>state/territory</w:t>
      </w:r>
      <w:r>
        <w:rPr>
          <w:rFonts w:ascii="Segoe UI"/>
          <w:color w:val="231F20"/>
          <w:spacing w:val="-2"/>
          <w:sz w:val="16"/>
        </w:rPr>
        <w:t> </w:t>
      </w:r>
      <w:r>
        <w:rPr>
          <w:rFonts w:ascii="Segoe UI"/>
          <w:color w:val="231F20"/>
          <w:sz w:val="16"/>
        </w:rPr>
        <w:t>for</w:t>
      </w:r>
      <w:r>
        <w:rPr>
          <w:rFonts w:ascii="Segoe UI"/>
          <w:color w:val="231F20"/>
          <w:spacing w:val="-2"/>
          <w:sz w:val="16"/>
        </w:rPr>
        <w:t> </w:t>
      </w:r>
      <w:r>
        <w:rPr>
          <w:rFonts w:ascii="Segoe UI"/>
          <w:color w:val="231F20"/>
          <w:sz w:val="16"/>
        </w:rPr>
        <w:t>years</w:t>
      </w:r>
      <w:r>
        <w:rPr>
          <w:rFonts w:ascii="Segoe UI"/>
          <w:color w:val="231F20"/>
          <w:spacing w:val="-3"/>
          <w:sz w:val="16"/>
        </w:rPr>
        <w:t> </w:t>
      </w:r>
      <w:r>
        <w:rPr>
          <w:rFonts w:ascii="Segoe UI"/>
          <w:color w:val="231F20"/>
          <w:spacing w:val="-1"/>
          <w:sz w:val="16"/>
        </w:rPr>
        <w:t>1-10</w:t>
      </w:r>
      <w:r>
        <w:rPr>
          <w:rFonts w:ascii="Segoe UI"/>
          <w:color w:val="231F20"/>
          <w:spacing w:val="-2"/>
          <w:sz w:val="16"/>
        </w:rPr>
        <w:t> </w:t>
      </w:r>
      <w:r>
        <w:rPr>
          <w:rFonts w:ascii="Segoe UI"/>
          <w:color w:val="231F20"/>
          <w:spacing w:val="-1"/>
          <w:sz w:val="16"/>
        </w:rPr>
        <w:t>students</w:t>
      </w:r>
      <w:r>
        <w:rPr>
          <w:rFonts w:ascii="Segoe UI"/>
          <w:color w:val="231F20"/>
          <w:spacing w:val="-3"/>
          <w:sz w:val="16"/>
        </w:rPr>
        <w:t> </w:t>
      </w:r>
      <w:r>
        <w:rPr>
          <w:rFonts w:ascii="Segoe UI"/>
          <w:color w:val="231F20"/>
          <w:spacing w:val="-1"/>
          <w:sz w:val="16"/>
        </w:rPr>
        <w:t>in</w:t>
      </w:r>
      <w:r>
        <w:rPr>
          <w:rFonts w:ascii="Segoe UI"/>
          <w:color w:val="231F20"/>
          <w:spacing w:val="-2"/>
          <w:sz w:val="16"/>
        </w:rPr>
        <w:t> </w:t>
      </w:r>
      <w:r>
        <w:rPr>
          <w:rFonts w:ascii="Segoe UI"/>
          <w:color w:val="231F20"/>
          <w:sz w:val="16"/>
        </w:rPr>
        <w:t>all</w:t>
      </w:r>
      <w:r>
        <w:rPr>
          <w:rFonts w:ascii="Segoe UI"/>
          <w:color w:val="231F20"/>
          <w:spacing w:val="-3"/>
          <w:sz w:val="16"/>
        </w:rPr>
        <w:t> </w:t>
      </w:r>
      <w:r>
        <w:rPr>
          <w:rFonts w:ascii="Segoe UI"/>
          <w:color w:val="231F20"/>
          <w:spacing w:val="-1"/>
          <w:sz w:val="16"/>
        </w:rPr>
        <w:t>schools,</w:t>
      </w:r>
      <w:r>
        <w:rPr>
          <w:rFonts w:ascii="Segoe UI"/>
          <w:color w:val="231F20"/>
          <w:spacing w:val="24"/>
          <w:sz w:val="16"/>
        </w:rPr>
        <w:t> </w:t>
      </w:r>
      <w:r>
        <w:rPr>
          <w:rFonts w:ascii="Segoe UI"/>
          <w:color w:val="231F20"/>
          <w:spacing w:val="-1"/>
          <w:sz w:val="16"/>
        </w:rPr>
        <w:t>2018;</w:t>
      </w:r>
      <w:r>
        <w:rPr>
          <w:rFonts w:ascii="Segoe UI"/>
          <w:color w:val="231F20"/>
          <w:spacing w:val="-4"/>
          <w:sz w:val="16"/>
        </w:rPr>
        <w:t> </w:t>
      </w:r>
      <w:hyperlink r:id="rId93">
        <w:r>
          <w:rPr>
            <w:rFonts w:ascii="Segoe UI"/>
            <w:color w:val="3853A4"/>
            <w:spacing w:val="-1"/>
            <w:sz w:val="16"/>
          </w:rPr>
          <w:t>www.acara.edu.au</w:t>
        </w:r>
        <w:r>
          <w:rPr>
            <w:rFonts w:ascii="Segoe UI"/>
            <w:color w:val="231F20"/>
            <w:spacing w:val="-1"/>
            <w:sz w:val="16"/>
          </w:rPr>
          <w:t>,</w:t>
        </w:r>
      </w:hyperlink>
      <w:r>
        <w:rPr>
          <w:rFonts w:ascii="Segoe UI"/>
          <w:color w:val="231F20"/>
          <w:spacing w:val="-4"/>
          <w:sz w:val="16"/>
        </w:rPr>
        <w:t> </w:t>
      </w:r>
      <w:r>
        <w:rPr>
          <w:rFonts w:ascii="Segoe UI"/>
          <w:color w:val="231F20"/>
          <w:sz w:val="16"/>
        </w:rPr>
        <w:t>accessed</w:t>
      </w:r>
      <w:r>
        <w:rPr>
          <w:rFonts w:ascii="Segoe UI"/>
          <w:color w:val="231F20"/>
          <w:spacing w:val="-4"/>
          <w:sz w:val="16"/>
        </w:rPr>
        <w:t> </w:t>
      </w:r>
      <w:r>
        <w:rPr>
          <w:rFonts w:ascii="Segoe UI"/>
          <w:color w:val="231F20"/>
          <w:spacing w:val="-1"/>
          <w:sz w:val="16"/>
        </w:rPr>
        <w:t>in</w:t>
      </w:r>
      <w:r>
        <w:rPr>
          <w:rFonts w:ascii="Segoe UI"/>
          <w:color w:val="231F20"/>
          <w:spacing w:val="-4"/>
          <w:sz w:val="16"/>
        </w:rPr>
        <w:t> </w:t>
      </w:r>
      <w:r>
        <w:rPr>
          <w:rFonts w:ascii="Segoe UI"/>
          <w:color w:val="231F20"/>
          <w:sz w:val="16"/>
        </w:rPr>
        <w:t>January</w:t>
      </w:r>
      <w:r>
        <w:rPr>
          <w:rFonts w:ascii="Segoe UI"/>
          <w:color w:val="231F20"/>
          <w:spacing w:val="-4"/>
          <w:sz w:val="16"/>
        </w:rPr>
        <w:t> </w:t>
      </w:r>
      <w:r>
        <w:rPr>
          <w:rFonts w:ascii="Segoe UI"/>
          <w:color w:val="231F20"/>
          <w:spacing w:val="-1"/>
          <w:sz w:val="16"/>
        </w:rPr>
        <w:t>2019.</w:t>
      </w:r>
      <w:r>
        <w:rPr>
          <w:rFonts w:ascii="Segoe UI"/>
          <w:color w:val="231F20"/>
          <w:spacing w:val="36"/>
          <w:sz w:val="16"/>
        </w:rPr>
        <w:t> </w:t>
      </w:r>
      <w:r>
        <w:rPr>
          <w:rFonts w:ascii="Segoe UI"/>
          <w:color w:val="231F20"/>
          <w:sz w:val="16"/>
        </w:rPr>
        <w:t>Attendance rate is defined as the number of actual</w:t>
      </w:r>
      <w:r>
        <w:rPr>
          <w:rFonts w:ascii="Segoe UI"/>
          <w:color w:val="231F20"/>
          <w:sz w:val="16"/>
        </w:rPr>
        <w:t> </w:t>
      </w:r>
      <w:r>
        <w:rPr>
          <w:rFonts w:ascii="Segoe UI"/>
          <w:color w:val="231F20"/>
          <w:sz w:val="16"/>
        </w:rPr>
        <w:t>full-time</w:t>
      </w:r>
      <w:r>
        <w:rPr>
          <w:rFonts w:ascii="Segoe UI"/>
          <w:color w:val="231F20"/>
          <w:spacing w:val="-8"/>
          <w:sz w:val="16"/>
        </w:rPr>
        <w:t> </w:t>
      </w:r>
      <w:r>
        <w:rPr>
          <w:rFonts w:ascii="Segoe UI"/>
          <w:color w:val="231F20"/>
          <w:sz w:val="16"/>
        </w:rPr>
        <w:t>equivalent</w:t>
      </w:r>
      <w:r>
        <w:rPr>
          <w:rFonts w:ascii="Segoe UI"/>
          <w:color w:val="231F20"/>
          <w:spacing w:val="-7"/>
          <w:sz w:val="16"/>
        </w:rPr>
        <w:t> </w:t>
      </w:r>
      <w:r>
        <w:rPr>
          <w:rFonts w:ascii="Segoe UI"/>
          <w:color w:val="231F20"/>
          <w:spacing w:val="-1"/>
          <w:sz w:val="16"/>
        </w:rPr>
        <w:t>student-days</w:t>
      </w:r>
      <w:r>
        <w:rPr>
          <w:rFonts w:ascii="Segoe UI"/>
          <w:color w:val="231F20"/>
          <w:spacing w:val="-5"/>
          <w:sz w:val="16"/>
        </w:rPr>
        <w:t> </w:t>
      </w:r>
      <w:r>
        <w:rPr>
          <w:rFonts w:ascii="Segoe UI"/>
          <w:color w:val="231F20"/>
          <w:sz w:val="16"/>
        </w:rPr>
        <w:t>attended</w:t>
      </w:r>
      <w:r>
        <w:rPr>
          <w:rFonts w:ascii="Segoe UI"/>
          <w:color w:val="231F20"/>
          <w:spacing w:val="-7"/>
          <w:sz w:val="16"/>
        </w:rPr>
        <w:t> </w:t>
      </w:r>
      <w:r>
        <w:rPr>
          <w:rFonts w:ascii="Segoe UI"/>
          <w:color w:val="231F20"/>
          <w:sz w:val="16"/>
        </w:rPr>
        <w:t>by</w:t>
      </w:r>
      <w:r>
        <w:rPr>
          <w:rFonts w:ascii="Segoe UI"/>
          <w:sz w:val="16"/>
        </w:rPr>
      </w:r>
    </w:p>
    <w:p>
      <w:pPr>
        <w:spacing w:line="200" w:lineRule="exact" w:before="0"/>
        <w:ind w:left="727" w:right="31" w:firstLine="0"/>
        <w:jc w:val="left"/>
        <w:rPr>
          <w:rFonts w:ascii="Segoe UI" w:hAnsi="Segoe UI" w:cs="Segoe UI" w:eastAsia="Segoe UI"/>
          <w:sz w:val="16"/>
          <w:szCs w:val="16"/>
        </w:rPr>
      </w:pPr>
      <w:r>
        <w:rPr>
          <w:rFonts w:ascii="Segoe UI"/>
          <w:color w:val="231F20"/>
          <w:sz w:val="16"/>
        </w:rPr>
        <w:t>full-time</w:t>
      </w:r>
      <w:r>
        <w:rPr>
          <w:rFonts w:ascii="Segoe UI"/>
          <w:color w:val="231F20"/>
          <w:spacing w:val="-3"/>
          <w:sz w:val="16"/>
        </w:rPr>
        <w:t> </w:t>
      </w:r>
      <w:r>
        <w:rPr>
          <w:rFonts w:ascii="Segoe UI"/>
          <w:color w:val="231F20"/>
          <w:spacing w:val="-1"/>
          <w:sz w:val="16"/>
        </w:rPr>
        <w:t>students</w:t>
      </w:r>
      <w:r>
        <w:rPr>
          <w:rFonts w:ascii="Segoe UI"/>
          <w:color w:val="231F20"/>
          <w:spacing w:val="-2"/>
          <w:sz w:val="16"/>
        </w:rPr>
        <w:t> </w:t>
      </w:r>
      <w:r>
        <w:rPr>
          <w:rFonts w:ascii="Segoe UI"/>
          <w:color w:val="231F20"/>
          <w:spacing w:val="-1"/>
          <w:sz w:val="16"/>
        </w:rPr>
        <w:t>in</w:t>
      </w:r>
      <w:r>
        <w:rPr>
          <w:rFonts w:ascii="Segoe UI"/>
          <w:color w:val="231F20"/>
          <w:spacing w:val="-2"/>
          <w:sz w:val="16"/>
        </w:rPr>
        <w:t> </w:t>
      </w:r>
      <w:r>
        <w:rPr>
          <w:rFonts w:ascii="Segoe UI"/>
          <w:color w:val="231F20"/>
          <w:spacing w:val="-3"/>
          <w:sz w:val="16"/>
        </w:rPr>
        <w:t>Years</w:t>
      </w:r>
      <w:r>
        <w:rPr>
          <w:rFonts w:ascii="Segoe UI"/>
          <w:color w:val="231F20"/>
          <w:spacing w:val="-1"/>
          <w:sz w:val="16"/>
        </w:rPr>
        <w:t> 1-10</w:t>
      </w:r>
      <w:r>
        <w:rPr>
          <w:rFonts w:ascii="Segoe UI"/>
          <w:color w:val="231F20"/>
          <w:spacing w:val="-2"/>
          <w:sz w:val="16"/>
        </w:rPr>
        <w:t> </w:t>
      </w:r>
      <w:r>
        <w:rPr>
          <w:rFonts w:ascii="Segoe UI"/>
          <w:color w:val="231F20"/>
          <w:sz w:val="16"/>
        </w:rPr>
        <w:t>as</w:t>
      </w:r>
      <w:r>
        <w:rPr>
          <w:rFonts w:ascii="Segoe UI"/>
          <w:color w:val="231F20"/>
          <w:spacing w:val="-3"/>
          <w:sz w:val="16"/>
        </w:rPr>
        <w:t> </w:t>
      </w:r>
      <w:r>
        <w:rPr>
          <w:rFonts w:ascii="Segoe UI"/>
          <w:color w:val="231F20"/>
          <w:sz w:val="16"/>
        </w:rPr>
        <w:t>a</w:t>
      </w:r>
      <w:r>
        <w:rPr>
          <w:rFonts w:ascii="Segoe UI"/>
          <w:color w:val="231F20"/>
          <w:spacing w:val="-2"/>
          <w:sz w:val="16"/>
        </w:rPr>
        <w:t> </w:t>
      </w:r>
      <w:r>
        <w:rPr>
          <w:rFonts w:ascii="Segoe UI"/>
          <w:color w:val="231F20"/>
          <w:sz w:val="16"/>
        </w:rPr>
        <w:t>percentage</w:t>
      </w:r>
      <w:r>
        <w:rPr>
          <w:rFonts w:ascii="Segoe UI"/>
          <w:color w:val="231F20"/>
          <w:spacing w:val="-2"/>
          <w:sz w:val="16"/>
        </w:rPr>
        <w:t> </w:t>
      </w:r>
      <w:r>
        <w:rPr>
          <w:rFonts w:ascii="Segoe UI"/>
          <w:color w:val="231F20"/>
          <w:sz w:val="16"/>
        </w:rPr>
        <w:t>of</w:t>
      </w:r>
      <w:r>
        <w:rPr>
          <w:rFonts w:ascii="Segoe UI"/>
          <w:color w:val="231F20"/>
          <w:spacing w:val="25"/>
          <w:w w:val="99"/>
          <w:sz w:val="16"/>
        </w:rPr>
        <w:t> </w:t>
      </w:r>
      <w:r>
        <w:rPr>
          <w:rFonts w:ascii="Segoe UI"/>
          <w:color w:val="231F20"/>
          <w:sz w:val="16"/>
        </w:rPr>
        <w:t>the</w:t>
      </w:r>
      <w:r>
        <w:rPr>
          <w:rFonts w:ascii="Segoe UI"/>
          <w:color w:val="231F20"/>
          <w:spacing w:val="-6"/>
          <w:sz w:val="16"/>
        </w:rPr>
        <w:t> </w:t>
      </w:r>
      <w:r>
        <w:rPr>
          <w:rFonts w:ascii="Segoe UI"/>
          <w:color w:val="231F20"/>
          <w:sz w:val="16"/>
        </w:rPr>
        <w:t>total</w:t>
      </w:r>
      <w:r>
        <w:rPr>
          <w:rFonts w:ascii="Segoe UI"/>
          <w:color w:val="231F20"/>
          <w:spacing w:val="-6"/>
          <w:sz w:val="16"/>
        </w:rPr>
        <w:t> </w:t>
      </w:r>
      <w:r>
        <w:rPr>
          <w:rFonts w:ascii="Segoe UI"/>
          <w:color w:val="231F20"/>
          <w:sz w:val="16"/>
        </w:rPr>
        <w:t>number</w:t>
      </w:r>
      <w:r>
        <w:rPr>
          <w:rFonts w:ascii="Segoe UI"/>
          <w:color w:val="231F20"/>
          <w:spacing w:val="-5"/>
          <w:sz w:val="16"/>
        </w:rPr>
        <w:t> </w:t>
      </w:r>
      <w:r>
        <w:rPr>
          <w:rFonts w:ascii="Segoe UI"/>
          <w:color w:val="231F20"/>
          <w:sz w:val="16"/>
        </w:rPr>
        <w:t>of</w:t>
      </w:r>
      <w:r>
        <w:rPr>
          <w:rFonts w:ascii="Segoe UI"/>
          <w:color w:val="231F20"/>
          <w:spacing w:val="-5"/>
          <w:sz w:val="16"/>
        </w:rPr>
        <w:t> </w:t>
      </w:r>
      <w:r>
        <w:rPr>
          <w:rFonts w:ascii="Segoe UI"/>
          <w:color w:val="231F20"/>
          <w:sz w:val="16"/>
        </w:rPr>
        <w:t>possible</w:t>
      </w:r>
      <w:r>
        <w:rPr>
          <w:rFonts w:ascii="Segoe UI"/>
          <w:color w:val="231F20"/>
          <w:spacing w:val="-6"/>
          <w:sz w:val="16"/>
        </w:rPr>
        <w:t> </w:t>
      </w:r>
      <w:r>
        <w:rPr>
          <w:rFonts w:ascii="Segoe UI"/>
          <w:color w:val="231F20"/>
          <w:spacing w:val="-1"/>
          <w:sz w:val="16"/>
        </w:rPr>
        <w:t>student-days</w:t>
      </w:r>
      <w:r>
        <w:rPr>
          <w:rFonts w:ascii="Segoe UI"/>
          <w:color w:val="231F20"/>
          <w:spacing w:val="-4"/>
          <w:sz w:val="16"/>
        </w:rPr>
        <w:t> </w:t>
      </w:r>
      <w:r>
        <w:rPr>
          <w:rFonts w:ascii="Segoe UI"/>
          <w:color w:val="231F20"/>
          <w:sz w:val="16"/>
        </w:rPr>
        <w:t>attended</w:t>
      </w:r>
      <w:r>
        <w:rPr>
          <w:rFonts w:ascii="Segoe UI"/>
          <w:color w:val="231F20"/>
          <w:spacing w:val="22"/>
          <w:w w:val="99"/>
          <w:sz w:val="16"/>
        </w:rPr>
        <w:t> </w:t>
      </w:r>
      <w:r>
        <w:rPr>
          <w:rFonts w:ascii="Segoe UI"/>
          <w:color w:val="231F20"/>
          <w:sz w:val="16"/>
        </w:rPr>
        <w:t>over</w:t>
      </w:r>
      <w:r>
        <w:rPr>
          <w:rFonts w:ascii="Segoe UI"/>
          <w:color w:val="231F20"/>
          <w:spacing w:val="-6"/>
          <w:sz w:val="16"/>
        </w:rPr>
        <w:t> </w:t>
      </w:r>
      <w:r>
        <w:rPr>
          <w:rFonts w:ascii="Segoe UI"/>
          <w:color w:val="231F20"/>
          <w:sz w:val="16"/>
        </w:rPr>
        <w:t>the</w:t>
      </w:r>
      <w:r>
        <w:rPr>
          <w:rFonts w:ascii="Segoe UI"/>
          <w:color w:val="231F20"/>
          <w:spacing w:val="-6"/>
          <w:sz w:val="16"/>
        </w:rPr>
        <w:t> </w:t>
      </w:r>
      <w:r>
        <w:rPr>
          <w:rFonts w:ascii="Segoe UI"/>
          <w:color w:val="231F20"/>
          <w:sz w:val="16"/>
        </w:rPr>
        <w:t>period.</w:t>
      </w:r>
      <w:r>
        <w:rPr>
          <w:rFonts w:ascii="Segoe UI"/>
          <w:sz w:val="16"/>
        </w:rPr>
      </w:r>
    </w:p>
    <w:p>
      <w:pPr>
        <w:numPr>
          <w:ilvl w:val="0"/>
          <w:numId w:val="14"/>
        </w:numPr>
        <w:tabs>
          <w:tab w:pos="728" w:val="left" w:leader="none"/>
        </w:tabs>
        <w:spacing w:line="200" w:lineRule="exact" w:before="113"/>
        <w:ind w:left="727" w:right="289" w:hanging="567"/>
        <w:jc w:val="left"/>
        <w:rPr>
          <w:rFonts w:ascii="Segoe UI" w:hAnsi="Segoe UI" w:cs="Segoe UI" w:eastAsia="Segoe UI"/>
          <w:sz w:val="16"/>
          <w:szCs w:val="16"/>
        </w:rPr>
      </w:pPr>
      <w:r>
        <w:rPr>
          <w:rFonts w:ascii="Segoe UI" w:hAnsi="Segoe UI" w:cs="Segoe UI" w:eastAsia="Segoe UI"/>
          <w:color w:val="231F20"/>
          <w:spacing w:val="-1"/>
          <w:sz w:val="16"/>
          <w:szCs w:val="16"/>
        </w:rPr>
        <w:t>Data</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sourced</w:t>
      </w:r>
      <w:r>
        <w:rPr>
          <w:rFonts w:ascii="Segoe UI" w:hAnsi="Segoe UI" w:cs="Segoe UI" w:eastAsia="Segoe UI"/>
          <w:color w:val="231F20"/>
          <w:spacing w:val="-3"/>
          <w:sz w:val="16"/>
          <w:szCs w:val="16"/>
        </w:rPr>
        <w:t> </w:t>
      </w:r>
      <w:r>
        <w:rPr>
          <w:rFonts w:ascii="Segoe UI" w:hAnsi="Segoe UI" w:cs="Segoe UI" w:eastAsia="Segoe UI"/>
          <w:color w:val="231F20"/>
          <w:sz w:val="16"/>
          <w:szCs w:val="16"/>
        </w:rPr>
        <w:t>from</w:t>
      </w:r>
      <w:r>
        <w:rPr>
          <w:rFonts w:ascii="Segoe UI" w:hAnsi="Segoe UI" w:cs="Segoe UI" w:eastAsia="Segoe UI"/>
          <w:color w:val="231F20"/>
          <w:spacing w:val="-4"/>
          <w:sz w:val="16"/>
          <w:szCs w:val="16"/>
        </w:rPr>
        <w:t> </w:t>
      </w:r>
      <w:r>
        <w:rPr>
          <w:rFonts w:ascii="Segoe UI" w:hAnsi="Segoe UI" w:cs="Segoe UI" w:eastAsia="Segoe UI"/>
          <w:color w:val="231F20"/>
          <w:spacing w:val="-2"/>
          <w:sz w:val="16"/>
          <w:szCs w:val="16"/>
        </w:rPr>
        <w:t>ACARA’s</w:t>
      </w:r>
      <w:r>
        <w:rPr>
          <w:rFonts w:ascii="Segoe UI" w:hAnsi="Segoe UI" w:cs="Segoe UI" w:eastAsia="Segoe UI"/>
          <w:color w:val="231F20"/>
          <w:spacing w:val="-3"/>
          <w:sz w:val="16"/>
          <w:szCs w:val="16"/>
        </w:rPr>
        <w:t> </w:t>
      </w:r>
      <w:r>
        <w:rPr>
          <w:rFonts w:ascii="Segoe UI" w:hAnsi="Segoe UI" w:cs="Segoe UI" w:eastAsia="Segoe UI"/>
          <w:color w:val="231F20"/>
          <w:sz w:val="16"/>
          <w:szCs w:val="16"/>
        </w:rPr>
        <w:t>My</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School</w:t>
      </w:r>
      <w:r>
        <w:rPr>
          <w:rFonts w:ascii="Segoe UI" w:hAnsi="Segoe UI" w:cs="Segoe UI" w:eastAsia="Segoe UI"/>
          <w:color w:val="231F20"/>
          <w:spacing w:val="-4"/>
          <w:sz w:val="16"/>
          <w:szCs w:val="16"/>
        </w:rPr>
        <w:t> </w:t>
      </w:r>
      <w:r>
        <w:rPr>
          <w:rFonts w:ascii="Segoe UI" w:hAnsi="Segoe UI" w:cs="Segoe UI" w:eastAsia="Segoe UI"/>
          <w:color w:val="231F20"/>
          <w:sz w:val="16"/>
          <w:szCs w:val="16"/>
        </w:rPr>
        <w:t>website,</w:t>
      </w:r>
      <w:r>
        <w:rPr>
          <w:rFonts w:ascii="Segoe UI" w:hAnsi="Segoe UI" w:cs="Segoe UI" w:eastAsia="Segoe UI"/>
          <w:color w:val="231F20"/>
          <w:w w:val="99"/>
          <w:sz w:val="16"/>
          <w:szCs w:val="16"/>
        </w:rPr>
        <w:t> </w:t>
      </w:r>
      <w:r>
        <w:rPr>
          <w:rFonts w:ascii="Segoe UI" w:hAnsi="Segoe UI" w:cs="Segoe UI" w:eastAsia="Segoe UI"/>
          <w:color w:val="3853A4"/>
          <w:w w:val="99"/>
          <w:sz w:val="16"/>
          <w:szCs w:val="16"/>
        </w:rPr>
      </w:r>
      <w:r>
        <w:rPr>
          <w:rFonts w:ascii="Segoe UI" w:hAnsi="Segoe UI" w:cs="Segoe UI" w:eastAsia="Segoe UI"/>
          <w:color w:val="3853A4"/>
          <w:w w:val="99"/>
          <w:sz w:val="16"/>
          <w:szCs w:val="16"/>
        </w:rPr>
        <w:t> </w:t>
      </w:r>
      <w:hyperlink r:id="rId93">
        <w:r>
          <w:rPr>
            <w:rFonts w:ascii="Segoe UI" w:hAnsi="Segoe UI" w:cs="Segoe UI" w:eastAsia="Segoe UI"/>
            <w:color w:val="3853A4"/>
            <w:spacing w:val="-1"/>
            <w:sz w:val="16"/>
            <w:szCs w:val="16"/>
            <w:u w:val="single" w:color="3853A4"/>
          </w:rPr>
          <w:t>www.acara.edu.au</w:t>
        </w:r>
        <w:r>
          <w:rPr>
            <w:rFonts w:ascii="Segoe UI" w:hAnsi="Segoe UI" w:cs="Segoe UI" w:eastAsia="Segoe UI"/>
            <w:color w:val="3853A4"/>
            <w:sz w:val="16"/>
            <w:szCs w:val="16"/>
          </w:rPr>
        </w:r>
        <w:r>
          <w:rPr>
            <w:rFonts w:ascii="Segoe UI" w:hAnsi="Segoe UI" w:cs="Segoe UI" w:eastAsia="Segoe UI"/>
            <w:color w:val="231F20"/>
            <w:spacing w:val="-1"/>
            <w:sz w:val="16"/>
            <w:szCs w:val="16"/>
          </w:rPr>
          <w:t>,</w:t>
        </w:r>
      </w:hyperlink>
      <w:r>
        <w:rPr>
          <w:rFonts w:ascii="Segoe UI" w:hAnsi="Segoe UI" w:cs="Segoe UI" w:eastAsia="Segoe UI"/>
          <w:color w:val="231F20"/>
          <w:spacing w:val="-5"/>
          <w:sz w:val="16"/>
          <w:szCs w:val="16"/>
        </w:rPr>
        <w:t> </w:t>
      </w:r>
      <w:r>
        <w:rPr>
          <w:rFonts w:ascii="Segoe UI" w:hAnsi="Segoe UI" w:cs="Segoe UI" w:eastAsia="Segoe UI"/>
          <w:color w:val="231F20"/>
          <w:sz w:val="16"/>
          <w:szCs w:val="16"/>
        </w:rPr>
        <w:t>accessed</w:t>
      </w:r>
      <w:r>
        <w:rPr>
          <w:rFonts w:ascii="Segoe UI" w:hAnsi="Segoe UI" w:cs="Segoe UI" w:eastAsia="Segoe UI"/>
          <w:color w:val="231F20"/>
          <w:spacing w:val="-6"/>
          <w:sz w:val="16"/>
          <w:szCs w:val="16"/>
        </w:rPr>
        <w:t> </w:t>
      </w:r>
      <w:r>
        <w:rPr>
          <w:rFonts w:ascii="Segoe UI" w:hAnsi="Segoe UI" w:cs="Segoe UI" w:eastAsia="Segoe UI"/>
          <w:color w:val="231F20"/>
          <w:spacing w:val="-1"/>
          <w:sz w:val="16"/>
          <w:szCs w:val="16"/>
        </w:rPr>
        <w:t>in</w:t>
      </w:r>
      <w:r>
        <w:rPr>
          <w:rFonts w:ascii="Segoe UI" w:hAnsi="Segoe UI" w:cs="Segoe UI" w:eastAsia="Segoe UI"/>
          <w:color w:val="231F20"/>
          <w:spacing w:val="-4"/>
          <w:sz w:val="16"/>
          <w:szCs w:val="16"/>
        </w:rPr>
        <w:t> </w:t>
      </w:r>
      <w:r>
        <w:rPr>
          <w:rFonts w:ascii="Segoe UI" w:hAnsi="Segoe UI" w:cs="Segoe UI" w:eastAsia="Segoe UI"/>
          <w:color w:val="231F20"/>
          <w:sz w:val="16"/>
          <w:szCs w:val="16"/>
        </w:rPr>
        <w:t>January</w:t>
      </w:r>
      <w:r>
        <w:rPr>
          <w:rFonts w:ascii="Segoe UI" w:hAnsi="Segoe UI" w:cs="Segoe UI" w:eastAsia="Segoe UI"/>
          <w:color w:val="231F20"/>
          <w:spacing w:val="-5"/>
          <w:sz w:val="16"/>
          <w:szCs w:val="16"/>
        </w:rPr>
        <w:t> </w:t>
      </w:r>
      <w:r>
        <w:rPr>
          <w:rFonts w:ascii="Segoe UI" w:hAnsi="Segoe UI" w:cs="Segoe UI" w:eastAsia="Segoe UI"/>
          <w:color w:val="231F20"/>
          <w:sz w:val="16"/>
          <w:szCs w:val="16"/>
        </w:rPr>
        <w:t>2019</w:t>
      </w:r>
      <w:r>
        <w:rPr>
          <w:rFonts w:ascii="Segoe UI" w:hAnsi="Segoe UI" w:cs="Segoe UI" w:eastAsia="Segoe UI"/>
          <w:sz w:val="16"/>
          <w:szCs w:val="16"/>
        </w:rPr>
      </w:r>
    </w:p>
    <w:p>
      <w:pPr>
        <w:numPr>
          <w:ilvl w:val="0"/>
          <w:numId w:val="14"/>
        </w:numPr>
        <w:tabs>
          <w:tab w:pos="728" w:val="left" w:leader="none"/>
        </w:tabs>
        <w:spacing w:line="200" w:lineRule="exact" w:before="113"/>
        <w:ind w:left="727" w:right="31" w:hanging="567"/>
        <w:jc w:val="left"/>
        <w:rPr>
          <w:rFonts w:ascii="Segoe UI" w:hAnsi="Segoe UI" w:cs="Segoe UI" w:eastAsia="Segoe UI"/>
          <w:sz w:val="16"/>
          <w:szCs w:val="16"/>
        </w:rPr>
      </w:pPr>
      <w:r>
        <w:rPr>
          <w:rFonts w:ascii="Segoe UI" w:hAnsi="Segoe UI" w:cs="Segoe UI" w:eastAsia="Segoe UI"/>
          <w:color w:val="231F20"/>
          <w:sz w:val="16"/>
          <w:szCs w:val="16"/>
        </w:rPr>
        <w:t>The</w:t>
      </w:r>
      <w:r>
        <w:rPr>
          <w:rFonts w:ascii="Segoe UI" w:hAnsi="Segoe UI" w:cs="Segoe UI" w:eastAsia="Segoe UI"/>
          <w:color w:val="231F20"/>
          <w:spacing w:val="-5"/>
          <w:sz w:val="16"/>
          <w:szCs w:val="16"/>
        </w:rPr>
        <w:t> </w:t>
      </w:r>
      <w:r>
        <w:rPr>
          <w:rFonts w:ascii="Segoe UI" w:hAnsi="Segoe UI" w:cs="Segoe UI" w:eastAsia="Segoe UI"/>
          <w:color w:val="231F20"/>
          <w:sz w:val="16"/>
          <w:szCs w:val="16"/>
        </w:rPr>
        <w:t>NAPLAN</w:t>
      </w:r>
      <w:r>
        <w:rPr>
          <w:rFonts w:ascii="Segoe UI" w:hAnsi="Segoe UI" w:cs="Segoe UI" w:eastAsia="Segoe UI"/>
          <w:color w:val="231F20"/>
          <w:spacing w:val="-4"/>
          <w:sz w:val="16"/>
          <w:szCs w:val="16"/>
        </w:rPr>
        <w:t> </w:t>
      </w:r>
      <w:r>
        <w:rPr>
          <w:rFonts w:ascii="Segoe UI" w:hAnsi="Segoe UI" w:cs="Segoe UI" w:eastAsia="Segoe UI"/>
          <w:color w:val="231F20"/>
          <w:sz w:val="16"/>
          <w:szCs w:val="16"/>
        </w:rPr>
        <w:t>average</w:t>
      </w:r>
      <w:r>
        <w:rPr>
          <w:rFonts w:ascii="Segoe UI" w:hAnsi="Segoe UI" w:cs="Segoe UI" w:eastAsia="Segoe UI"/>
          <w:color w:val="231F20"/>
          <w:spacing w:val="-6"/>
          <w:sz w:val="16"/>
          <w:szCs w:val="16"/>
        </w:rPr>
        <w:t> </w:t>
      </w:r>
      <w:r>
        <w:rPr>
          <w:rFonts w:ascii="Segoe UI" w:hAnsi="Segoe UI" w:cs="Segoe UI" w:eastAsia="Segoe UI"/>
          <w:color w:val="231F20"/>
          <w:spacing w:val="-1"/>
          <w:sz w:val="16"/>
          <w:szCs w:val="16"/>
        </w:rPr>
        <w:t>is</w:t>
      </w:r>
      <w:r>
        <w:rPr>
          <w:rFonts w:ascii="Segoe UI" w:hAnsi="Segoe UI" w:cs="Segoe UI" w:eastAsia="Segoe UI"/>
          <w:color w:val="231F20"/>
          <w:spacing w:val="-5"/>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average</w:t>
      </w:r>
      <w:r>
        <w:rPr>
          <w:rFonts w:ascii="Segoe UI" w:hAnsi="Segoe UI" w:cs="Segoe UI" w:eastAsia="Segoe UI"/>
          <w:color w:val="231F20"/>
          <w:spacing w:val="-5"/>
          <w:sz w:val="16"/>
          <w:szCs w:val="16"/>
        </w:rPr>
        <w:t> </w:t>
      </w:r>
      <w:r>
        <w:rPr>
          <w:rFonts w:ascii="Segoe UI" w:hAnsi="Segoe UI" w:cs="Segoe UI" w:eastAsia="Segoe UI"/>
          <w:color w:val="231F20"/>
          <w:sz w:val="16"/>
          <w:szCs w:val="16"/>
        </w:rPr>
        <w:t>reported</w:t>
      </w:r>
      <w:r>
        <w:rPr>
          <w:rFonts w:ascii="Segoe UI" w:hAnsi="Segoe UI" w:cs="Segoe UI" w:eastAsia="Segoe UI"/>
          <w:color w:val="231F20"/>
          <w:spacing w:val="22"/>
          <w:w w:val="99"/>
          <w:sz w:val="16"/>
          <w:szCs w:val="16"/>
        </w:rPr>
        <w:t> </w:t>
      </w:r>
      <w:r>
        <w:rPr>
          <w:rFonts w:ascii="Segoe UI" w:hAnsi="Segoe UI" w:cs="Segoe UI" w:eastAsia="Segoe UI"/>
          <w:color w:val="231F20"/>
          <w:sz w:val="16"/>
          <w:szCs w:val="16"/>
        </w:rPr>
        <w:t>NAPLAN result for the five NAPLAN test domains</w:t>
      </w:r>
      <w:r>
        <w:rPr>
          <w:rFonts w:ascii="Segoe UI" w:hAnsi="Segoe UI" w:cs="Segoe UI" w:eastAsia="Segoe UI"/>
          <w:color w:val="231F20"/>
          <w:spacing w:val="28"/>
          <w:sz w:val="16"/>
          <w:szCs w:val="16"/>
        </w:rPr>
        <w:t> </w:t>
      </w:r>
      <w:r>
        <w:rPr>
          <w:rFonts w:ascii="Segoe UI" w:hAnsi="Segoe UI" w:cs="Segoe UI" w:eastAsia="Segoe UI"/>
          <w:color w:val="231F20"/>
          <w:sz w:val="16"/>
          <w:szCs w:val="16"/>
        </w:rPr>
        <w:t>(reading,</w:t>
      </w:r>
      <w:r>
        <w:rPr>
          <w:rFonts w:ascii="Segoe UI" w:hAnsi="Segoe UI" w:cs="Segoe UI" w:eastAsia="Segoe UI"/>
          <w:color w:val="231F20"/>
          <w:spacing w:val="-7"/>
          <w:sz w:val="16"/>
          <w:szCs w:val="16"/>
        </w:rPr>
        <w:t> </w:t>
      </w:r>
      <w:r>
        <w:rPr>
          <w:rFonts w:ascii="Segoe UI" w:hAnsi="Segoe UI" w:cs="Segoe UI" w:eastAsia="Segoe UI"/>
          <w:color w:val="231F20"/>
          <w:sz w:val="16"/>
          <w:szCs w:val="16"/>
        </w:rPr>
        <w:t>writing,</w:t>
      </w:r>
      <w:r>
        <w:rPr>
          <w:rFonts w:ascii="Segoe UI" w:hAnsi="Segoe UI" w:cs="Segoe UI" w:eastAsia="Segoe UI"/>
          <w:color w:val="231F20"/>
          <w:spacing w:val="-7"/>
          <w:sz w:val="16"/>
          <w:szCs w:val="16"/>
        </w:rPr>
        <w:t> </w:t>
      </w:r>
      <w:r>
        <w:rPr>
          <w:rFonts w:ascii="Segoe UI" w:hAnsi="Segoe UI" w:cs="Segoe UI" w:eastAsia="Segoe UI"/>
          <w:color w:val="231F20"/>
          <w:spacing w:val="-1"/>
          <w:sz w:val="16"/>
          <w:szCs w:val="16"/>
        </w:rPr>
        <w:t>spelling,</w:t>
      </w:r>
      <w:r>
        <w:rPr>
          <w:rFonts w:ascii="Segoe UI" w:hAnsi="Segoe UI" w:cs="Segoe UI" w:eastAsia="Segoe UI"/>
          <w:color w:val="231F20"/>
          <w:spacing w:val="-5"/>
          <w:sz w:val="16"/>
          <w:szCs w:val="16"/>
        </w:rPr>
        <w:t> </w:t>
      </w:r>
      <w:r>
        <w:rPr>
          <w:rFonts w:ascii="Segoe UI" w:hAnsi="Segoe UI" w:cs="Segoe UI" w:eastAsia="Segoe UI"/>
          <w:color w:val="231F20"/>
          <w:sz w:val="16"/>
          <w:szCs w:val="16"/>
        </w:rPr>
        <w:t>grammar</w:t>
      </w:r>
      <w:r>
        <w:rPr>
          <w:rFonts w:ascii="Segoe UI" w:hAnsi="Segoe UI" w:cs="Segoe UI" w:eastAsia="Segoe UI"/>
          <w:color w:val="231F20"/>
          <w:spacing w:val="-7"/>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6"/>
          <w:sz w:val="16"/>
          <w:szCs w:val="16"/>
        </w:rPr>
        <w:t> </w:t>
      </w:r>
      <w:r>
        <w:rPr>
          <w:rFonts w:ascii="Segoe UI" w:hAnsi="Segoe UI" w:cs="Segoe UI" w:eastAsia="Segoe UI"/>
          <w:color w:val="231F20"/>
          <w:sz w:val="16"/>
          <w:szCs w:val="16"/>
        </w:rPr>
        <w:t>numeracy)</w:t>
      </w:r>
      <w:r>
        <w:rPr>
          <w:rFonts w:ascii="Segoe UI" w:hAnsi="Segoe UI" w:cs="Segoe UI" w:eastAsia="Segoe UI"/>
          <w:color w:val="231F20"/>
          <w:spacing w:val="22"/>
          <w:w w:val="99"/>
          <w:sz w:val="16"/>
          <w:szCs w:val="16"/>
        </w:rPr>
        <w:t> </w:t>
      </w:r>
      <w:r>
        <w:rPr>
          <w:rFonts w:ascii="Segoe UI" w:hAnsi="Segoe UI" w:cs="Segoe UI" w:eastAsia="Segoe UI"/>
          <w:color w:val="231F20"/>
          <w:sz w:val="16"/>
          <w:szCs w:val="16"/>
        </w:rPr>
        <w:t>for</w:t>
      </w:r>
      <w:r>
        <w:rPr>
          <w:rFonts w:ascii="Segoe UI" w:hAnsi="Segoe UI" w:cs="Segoe UI" w:eastAsia="Segoe UI"/>
          <w:color w:val="231F20"/>
          <w:spacing w:val="-2"/>
          <w:sz w:val="16"/>
          <w:szCs w:val="16"/>
        </w:rPr>
        <w:t> </w:t>
      </w:r>
      <w:r>
        <w:rPr>
          <w:rFonts w:ascii="Segoe UI" w:hAnsi="Segoe UI" w:cs="Segoe UI" w:eastAsia="Segoe UI"/>
          <w:color w:val="231F20"/>
          <w:sz w:val="16"/>
          <w:szCs w:val="16"/>
        </w:rPr>
        <w:t>years</w:t>
      </w:r>
      <w:r>
        <w:rPr>
          <w:rFonts w:ascii="Segoe UI" w:hAnsi="Segoe UI" w:cs="Segoe UI" w:eastAsia="Segoe UI"/>
          <w:color w:val="231F20"/>
          <w:spacing w:val="-3"/>
          <w:sz w:val="16"/>
          <w:szCs w:val="16"/>
        </w:rPr>
        <w:t> </w:t>
      </w:r>
      <w:r>
        <w:rPr>
          <w:rFonts w:ascii="Segoe UI" w:hAnsi="Segoe UI" w:cs="Segoe UI" w:eastAsia="Segoe UI"/>
          <w:color w:val="231F20"/>
          <w:sz w:val="16"/>
          <w:szCs w:val="16"/>
        </w:rPr>
        <w:t>7</w:t>
      </w:r>
      <w:r>
        <w:rPr>
          <w:rFonts w:ascii="Segoe UI" w:hAnsi="Segoe UI" w:cs="Segoe UI" w:eastAsia="Segoe UI"/>
          <w:color w:val="231F20"/>
          <w:spacing w:val="-2"/>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9,</w:t>
      </w:r>
      <w:r>
        <w:rPr>
          <w:rFonts w:ascii="Segoe UI" w:hAnsi="Segoe UI" w:cs="Segoe UI" w:eastAsia="Segoe UI"/>
          <w:color w:val="231F20"/>
          <w:spacing w:val="-2"/>
          <w:sz w:val="16"/>
          <w:szCs w:val="16"/>
        </w:rPr>
        <w:t> </w:t>
      </w:r>
      <w:r>
        <w:rPr>
          <w:rFonts w:ascii="Segoe UI" w:hAnsi="Segoe UI" w:cs="Segoe UI" w:eastAsia="Segoe UI"/>
          <w:color w:val="231F20"/>
          <w:sz w:val="16"/>
          <w:szCs w:val="16"/>
        </w:rPr>
        <w:t>for</w:t>
      </w:r>
      <w:r>
        <w:rPr>
          <w:rFonts w:ascii="Segoe UI" w:hAnsi="Segoe UI" w:cs="Segoe UI" w:eastAsia="Segoe UI"/>
          <w:color w:val="231F20"/>
          <w:spacing w:val="-2"/>
          <w:sz w:val="16"/>
          <w:szCs w:val="16"/>
        </w:rPr>
        <w:t> </w:t>
      </w:r>
      <w:r>
        <w:rPr>
          <w:rFonts w:ascii="Segoe UI" w:hAnsi="Segoe UI" w:cs="Segoe UI" w:eastAsia="Segoe UI"/>
          <w:color w:val="231F20"/>
          <w:sz w:val="16"/>
          <w:szCs w:val="16"/>
        </w:rPr>
        <w:t>both</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2016</w:t>
      </w:r>
      <w:r>
        <w:rPr>
          <w:rFonts w:ascii="Segoe UI" w:hAnsi="Segoe UI" w:cs="Segoe UI" w:eastAsia="Segoe UI"/>
          <w:color w:val="231F20"/>
          <w:spacing w:val="-2"/>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2017.</w:t>
      </w:r>
      <w:r>
        <w:rPr>
          <w:rFonts w:ascii="Segoe UI" w:hAnsi="Segoe UI" w:cs="Segoe UI" w:eastAsia="Segoe UI"/>
          <w:color w:val="231F20"/>
          <w:spacing w:val="-2"/>
          <w:sz w:val="16"/>
          <w:szCs w:val="16"/>
        </w:rPr>
        <w:t> </w:t>
      </w:r>
      <w:r>
        <w:rPr>
          <w:rFonts w:ascii="Segoe UI" w:hAnsi="Segoe UI" w:cs="Segoe UI" w:eastAsia="Segoe UI"/>
          <w:color w:val="231F20"/>
          <w:sz w:val="16"/>
          <w:szCs w:val="16"/>
        </w:rPr>
        <w:t>This</w:t>
      </w:r>
      <w:r>
        <w:rPr>
          <w:rFonts w:ascii="Segoe UI" w:hAnsi="Segoe UI" w:cs="Segoe UI" w:eastAsia="Segoe UI"/>
          <w:color w:val="231F20"/>
          <w:spacing w:val="-3"/>
          <w:sz w:val="16"/>
          <w:szCs w:val="16"/>
        </w:rPr>
        <w:t> </w:t>
      </w:r>
      <w:r>
        <w:rPr>
          <w:rFonts w:ascii="Segoe UI" w:hAnsi="Segoe UI" w:cs="Segoe UI" w:eastAsia="Segoe UI"/>
          <w:color w:val="231F20"/>
          <w:sz w:val="16"/>
          <w:szCs w:val="16"/>
        </w:rPr>
        <w:t>data</w:t>
      </w:r>
      <w:r>
        <w:rPr>
          <w:rFonts w:ascii="Segoe UI" w:hAnsi="Segoe UI" w:cs="Segoe UI" w:eastAsia="Segoe UI"/>
          <w:color w:val="231F20"/>
          <w:spacing w:val="24"/>
          <w:w w:val="99"/>
          <w:sz w:val="16"/>
          <w:szCs w:val="16"/>
        </w:rPr>
        <w:t> </w:t>
      </w:r>
      <w:r>
        <w:rPr>
          <w:rFonts w:ascii="Segoe UI" w:hAnsi="Segoe UI" w:cs="Segoe UI" w:eastAsia="Segoe UI"/>
          <w:color w:val="231F20"/>
          <w:sz w:val="16"/>
          <w:szCs w:val="16"/>
        </w:rPr>
        <w:t>was</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sourced</w:t>
      </w:r>
      <w:r>
        <w:rPr>
          <w:rFonts w:ascii="Segoe UI" w:hAnsi="Segoe UI" w:cs="Segoe UI" w:eastAsia="Segoe UI"/>
          <w:color w:val="231F20"/>
          <w:spacing w:val="-3"/>
          <w:sz w:val="16"/>
          <w:szCs w:val="16"/>
        </w:rPr>
        <w:t> </w:t>
      </w:r>
      <w:r>
        <w:rPr>
          <w:rFonts w:ascii="Segoe UI" w:hAnsi="Segoe UI" w:cs="Segoe UI" w:eastAsia="Segoe UI"/>
          <w:color w:val="231F20"/>
          <w:sz w:val="16"/>
          <w:szCs w:val="16"/>
        </w:rPr>
        <w:t>from</w:t>
      </w:r>
      <w:r>
        <w:rPr>
          <w:rFonts w:ascii="Segoe UI" w:hAnsi="Segoe UI" w:cs="Segoe UI" w:eastAsia="Segoe UI"/>
          <w:color w:val="231F20"/>
          <w:spacing w:val="-3"/>
          <w:sz w:val="16"/>
          <w:szCs w:val="16"/>
        </w:rPr>
        <w:t> </w:t>
      </w:r>
      <w:r>
        <w:rPr>
          <w:rFonts w:ascii="Segoe UI" w:hAnsi="Segoe UI" w:cs="Segoe UI" w:eastAsia="Segoe UI"/>
          <w:color w:val="231F20"/>
          <w:spacing w:val="-2"/>
          <w:sz w:val="16"/>
          <w:szCs w:val="16"/>
        </w:rPr>
        <w:t>ACARA’s</w:t>
      </w:r>
      <w:r>
        <w:rPr>
          <w:rFonts w:ascii="Segoe UI" w:hAnsi="Segoe UI" w:cs="Segoe UI" w:eastAsia="Segoe UI"/>
          <w:color w:val="231F20"/>
          <w:spacing w:val="-3"/>
          <w:sz w:val="16"/>
          <w:szCs w:val="16"/>
        </w:rPr>
        <w:t> </w:t>
      </w:r>
      <w:r>
        <w:rPr>
          <w:rFonts w:ascii="Segoe UI" w:hAnsi="Segoe UI" w:cs="Segoe UI" w:eastAsia="Segoe UI"/>
          <w:color w:val="231F20"/>
          <w:sz w:val="16"/>
          <w:szCs w:val="16"/>
        </w:rPr>
        <w:t>My</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School</w:t>
      </w:r>
      <w:r>
        <w:rPr>
          <w:rFonts w:ascii="Segoe UI" w:hAnsi="Segoe UI" w:cs="Segoe UI" w:eastAsia="Segoe UI"/>
          <w:color w:val="231F20"/>
          <w:spacing w:val="-4"/>
          <w:sz w:val="16"/>
          <w:szCs w:val="16"/>
        </w:rPr>
        <w:t> </w:t>
      </w:r>
      <w:r>
        <w:rPr>
          <w:rFonts w:ascii="Segoe UI" w:hAnsi="Segoe UI" w:cs="Segoe UI" w:eastAsia="Segoe UI"/>
          <w:color w:val="231F20"/>
          <w:sz w:val="16"/>
          <w:szCs w:val="16"/>
        </w:rPr>
        <w:t>website</w:t>
      </w:r>
      <w:r>
        <w:rPr>
          <w:rFonts w:ascii="Segoe UI" w:hAnsi="Segoe UI" w:cs="Segoe UI" w:eastAsia="Segoe UI"/>
          <w:sz w:val="16"/>
          <w:szCs w:val="16"/>
        </w:rPr>
      </w:r>
    </w:p>
    <w:p>
      <w:pPr>
        <w:numPr>
          <w:ilvl w:val="0"/>
          <w:numId w:val="14"/>
        </w:numPr>
        <w:tabs>
          <w:tab w:pos="728" w:val="left" w:leader="none"/>
        </w:tabs>
        <w:spacing w:line="200" w:lineRule="exact" w:before="113"/>
        <w:ind w:left="727" w:right="0" w:hanging="567"/>
        <w:jc w:val="left"/>
        <w:rPr>
          <w:rFonts w:ascii="Segoe UI" w:hAnsi="Segoe UI" w:cs="Segoe UI" w:eastAsia="Segoe UI"/>
          <w:sz w:val="16"/>
          <w:szCs w:val="16"/>
        </w:rPr>
      </w:pPr>
      <w:hyperlink r:id="rId127">
        <w:r>
          <w:rPr>
            <w:rFonts w:ascii="Segoe UI"/>
            <w:color w:val="3853A4"/>
            <w:spacing w:val="-1"/>
            <w:sz w:val="16"/>
            <w:u w:val="single" w:color="3853A4"/>
          </w:rPr>
          <w:t>https://www.education.gov.a</w:t>
        </w:r>
      </w:hyperlink>
      <w:r>
        <w:rPr>
          <w:rFonts w:ascii="Segoe UI"/>
          <w:color w:val="3853A4"/>
          <w:spacing w:val="-1"/>
          <w:sz w:val="16"/>
          <w:u w:val="single" w:color="3853A4"/>
        </w:rPr>
        <w:t>u/what-</w:t>
      </w:r>
      <w:hyperlink r:id="rId127">
        <w:r>
          <w:rPr>
            <w:rFonts w:ascii="Segoe UI"/>
            <w:color w:val="3853A4"/>
            <w:spacing w:val="-1"/>
            <w:sz w:val="16"/>
            <w:u w:val="single" w:color="3853A4"/>
          </w:rPr>
          <w:t>schooling-</w:t>
        </w:r>
        <w:r>
          <w:rPr>
            <w:rFonts w:ascii="Segoe UI"/>
            <w:color w:val="3853A4"/>
            <w:spacing w:val="-1"/>
            <w:sz w:val="16"/>
          </w:rPr>
        </w:r>
      </w:hyperlink>
      <w:r>
        <w:rPr>
          <w:rFonts w:ascii="Segoe UI"/>
          <w:color w:val="3853A4"/>
          <w:spacing w:val="-1"/>
          <w:sz w:val="16"/>
        </w:rPr>
        <w:t> </w:t>
      </w:r>
      <w:r>
        <w:rPr>
          <w:rFonts w:ascii="Segoe UI"/>
          <w:color w:val="3853A4"/>
          <w:spacing w:val="-1"/>
          <w:w w:val="99"/>
          <w:sz w:val="16"/>
        </w:rPr>
      </w:r>
      <w:r>
        <w:rPr>
          <w:rFonts w:ascii="Segoe UI"/>
          <w:color w:val="3853A4"/>
          <w:spacing w:val="-1"/>
          <w:w w:val="99"/>
          <w:sz w:val="16"/>
        </w:rPr>
        <w:t> </w:t>
      </w:r>
      <w:r>
        <w:rPr>
          <w:rFonts w:ascii="Segoe UI"/>
          <w:color w:val="3853A4"/>
          <w:spacing w:val="-1"/>
          <w:w w:val="95"/>
          <w:sz w:val="16"/>
          <w:u w:val="single" w:color="3853A4"/>
        </w:rPr>
        <w:t>resource-standard-and-how-does-it-work</w:t>
      </w:r>
      <w:r>
        <w:rPr>
          <w:rFonts w:ascii="Segoe UI"/>
          <w:color w:val="3853A4"/>
          <w:w w:val="95"/>
          <w:sz w:val="16"/>
        </w:rPr>
      </w:r>
      <w:r>
        <w:rPr>
          <w:rFonts w:ascii="Segoe UI"/>
          <w:color w:val="231F20"/>
          <w:spacing w:val="-1"/>
          <w:w w:val="95"/>
          <w:sz w:val="16"/>
        </w:rPr>
        <w:t>,</w:t>
      </w:r>
      <w:r>
        <w:rPr>
          <w:rFonts w:ascii="Segoe UI"/>
          <w:color w:val="231F20"/>
          <w:w w:val="95"/>
          <w:sz w:val="16"/>
        </w:rPr>
        <w:t>   </w:t>
      </w:r>
      <w:r>
        <w:rPr>
          <w:rFonts w:ascii="Segoe UI"/>
          <w:color w:val="231F20"/>
          <w:spacing w:val="28"/>
          <w:w w:val="95"/>
          <w:sz w:val="16"/>
        </w:rPr>
        <w:t> </w:t>
      </w:r>
      <w:r>
        <w:rPr>
          <w:rFonts w:ascii="Segoe UI"/>
          <w:color w:val="231F20"/>
          <w:w w:val="95"/>
          <w:sz w:val="16"/>
        </w:rPr>
        <w:t>accessed</w:t>
      </w:r>
      <w:r>
        <w:rPr>
          <w:rFonts w:ascii="Segoe UI"/>
          <w:sz w:val="16"/>
        </w:rPr>
      </w:r>
    </w:p>
    <w:p>
      <w:pPr>
        <w:numPr>
          <w:ilvl w:val="0"/>
          <w:numId w:val="15"/>
        </w:numPr>
        <w:tabs>
          <w:tab w:pos="728" w:val="left" w:leader="none"/>
        </w:tabs>
        <w:spacing w:line="200" w:lineRule="exact" w:before="70"/>
        <w:ind w:left="727" w:right="146" w:hanging="567"/>
        <w:jc w:val="left"/>
        <w:rPr>
          <w:rFonts w:ascii="Segoe UI" w:hAnsi="Segoe UI" w:cs="Segoe UI" w:eastAsia="Segoe UI"/>
          <w:sz w:val="16"/>
          <w:szCs w:val="16"/>
        </w:rPr>
      </w:pPr>
      <w:r>
        <w:rPr>
          <w:rFonts w:ascii="Segoe UI" w:hAnsi="Segoe UI" w:cs="Segoe UI" w:eastAsia="Segoe UI"/>
          <w:color w:val="231F20"/>
          <w:sz w:val="16"/>
          <w:szCs w:val="16"/>
        </w:rPr>
        <w:br w:type="column"/>
        <w:t>Attendance</w:t>
      </w:r>
      <w:r>
        <w:rPr>
          <w:rFonts w:ascii="Segoe UI" w:hAnsi="Segoe UI" w:cs="Segoe UI" w:eastAsia="Segoe UI"/>
          <w:color w:val="231F20"/>
          <w:spacing w:val="-5"/>
          <w:sz w:val="16"/>
          <w:szCs w:val="16"/>
        </w:rPr>
        <w:t> </w:t>
      </w:r>
      <w:r>
        <w:rPr>
          <w:rFonts w:ascii="Segoe UI" w:hAnsi="Segoe UI" w:cs="Segoe UI" w:eastAsia="Segoe UI"/>
          <w:color w:val="231F20"/>
          <w:sz w:val="16"/>
          <w:szCs w:val="16"/>
        </w:rPr>
        <w:t>rates</w:t>
      </w:r>
      <w:r>
        <w:rPr>
          <w:rFonts w:ascii="Segoe UI" w:hAnsi="Segoe UI" w:cs="Segoe UI" w:eastAsia="Segoe UI"/>
          <w:color w:val="231F20"/>
          <w:spacing w:val="-5"/>
          <w:sz w:val="16"/>
          <w:szCs w:val="16"/>
        </w:rPr>
        <w:t> </w:t>
      </w:r>
      <w:r>
        <w:rPr>
          <w:rFonts w:ascii="Segoe UI" w:hAnsi="Segoe UI" w:cs="Segoe UI" w:eastAsia="Segoe UI"/>
          <w:color w:val="231F20"/>
          <w:sz w:val="16"/>
          <w:szCs w:val="16"/>
        </w:rPr>
        <w:t>refers</w:t>
      </w:r>
      <w:r>
        <w:rPr>
          <w:rFonts w:ascii="Segoe UI" w:hAnsi="Segoe UI" w:cs="Segoe UI" w:eastAsia="Segoe UI"/>
          <w:color w:val="231F20"/>
          <w:spacing w:val="-4"/>
          <w:sz w:val="16"/>
          <w:szCs w:val="16"/>
        </w:rPr>
        <w:t> </w:t>
      </w:r>
      <w:r>
        <w:rPr>
          <w:rFonts w:ascii="Segoe UI" w:hAnsi="Segoe UI" w:cs="Segoe UI" w:eastAsia="Segoe UI"/>
          <w:color w:val="231F20"/>
          <w:sz w:val="16"/>
          <w:szCs w:val="16"/>
        </w:rPr>
        <w:t>to</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number</w:t>
      </w:r>
      <w:r>
        <w:rPr>
          <w:rFonts w:ascii="Segoe UI" w:hAnsi="Segoe UI" w:cs="Segoe UI" w:eastAsia="Segoe UI"/>
          <w:color w:val="231F20"/>
          <w:spacing w:val="-4"/>
          <w:sz w:val="16"/>
          <w:szCs w:val="16"/>
        </w:rPr>
        <w:t> </w:t>
      </w:r>
      <w:r>
        <w:rPr>
          <w:rFonts w:ascii="Segoe UI" w:hAnsi="Segoe UI" w:cs="Segoe UI" w:eastAsia="Segoe UI"/>
          <w:color w:val="231F20"/>
          <w:sz w:val="16"/>
          <w:szCs w:val="16"/>
        </w:rPr>
        <w:t>of</w:t>
      </w:r>
      <w:r>
        <w:rPr>
          <w:rFonts w:ascii="Segoe UI" w:hAnsi="Segoe UI" w:cs="Segoe UI" w:eastAsia="Segoe UI"/>
          <w:color w:val="231F20"/>
          <w:spacing w:val="-4"/>
          <w:sz w:val="16"/>
          <w:szCs w:val="16"/>
        </w:rPr>
        <w:t> </w:t>
      </w:r>
      <w:r>
        <w:rPr>
          <w:rFonts w:ascii="Segoe UI" w:hAnsi="Segoe UI" w:cs="Segoe UI" w:eastAsia="Segoe UI"/>
          <w:color w:val="231F20"/>
          <w:sz w:val="16"/>
          <w:szCs w:val="16"/>
        </w:rPr>
        <w:t>actual</w:t>
      </w:r>
      <w:r>
        <w:rPr>
          <w:rFonts w:ascii="Segoe UI" w:hAnsi="Segoe UI" w:cs="Segoe UI" w:eastAsia="Segoe UI"/>
          <w:color w:val="231F20"/>
          <w:spacing w:val="-5"/>
          <w:sz w:val="16"/>
          <w:szCs w:val="16"/>
        </w:rPr>
        <w:t> </w:t>
      </w:r>
      <w:r>
        <w:rPr>
          <w:rFonts w:ascii="Segoe UI" w:hAnsi="Segoe UI" w:cs="Segoe UI" w:eastAsia="Segoe UI"/>
          <w:color w:val="231F20"/>
          <w:sz w:val="16"/>
          <w:szCs w:val="16"/>
        </w:rPr>
        <w:t>full-</w:t>
      </w:r>
      <w:r>
        <w:rPr>
          <w:rFonts w:ascii="Segoe UI" w:hAnsi="Segoe UI" w:cs="Segoe UI" w:eastAsia="Segoe UI"/>
          <w:color w:val="231F20"/>
          <w:spacing w:val="22"/>
          <w:sz w:val="16"/>
          <w:szCs w:val="16"/>
        </w:rPr>
        <w:t> </w:t>
      </w:r>
      <w:r>
        <w:rPr>
          <w:rFonts w:ascii="Segoe UI" w:hAnsi="Segoe UI" w:cs="Segoe UI" w:eastAsia="Segoe UI"/>
          <w:color w:val="231F20"/>
          <w:sz w:val="16"/>
          <w:szCs w:val="16"/>
        </w:rPr>
        <w:t>time</w:t>
      </w:r>
      <w:r>
        <w:rPr>
          <w:rFonts w:ascii="Segoe UI" w:hAnsi="Segoe UI" w:cs="Segoe UI" w:eastAsia="Segoe UI"/>
          <w:color w:val="231F20"/>
          <w:spacing w:val="-5"/>
          <w:sz w:val="16"/>
          <w:szCs w:val="16"/>
        </w:rPr>
        <w:t> </w:t>
      </w:r>
      <w:r>
        <w:rPr>
          <w:rFonts w:ascii="Segoe UI" w:hAnsi="Segoe UI" w:cs="Segoe UI" w:eastAsia="Segoe UI"/>
          <w:color w:val="231F20"/>
          <w:sz w:val="16"/>
          <w:szCs w:val="16"/>
        </w:rPr>
        <w:t>equivalent</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student</w:t>
      </w:r>
      <w:r>
        <w:rPr>
          <w:rFonts w:ascii="Segoe UI" w:hAnsi="Segoe UI" w:cs="Segoe UI" w:eastAsia="Segoe UI"/>
          <w:color w:val="231F20"/>
          <w:spacing w:val="-4"/>
          <w:sz w:val="16"/>
          <w:szCs w:val="16"/>
        </w:rPr>
        <w:t> </w:t>
      </w:r>
      <w:r>
        <w:rPr>
          <w:rFonts w:ascii="Segoe UI" w:hAnsi="Segoe UI" w:cs="Segoe UI" w:eastAsia="Segoe UI"/>
          <w:color w:val="231F20"/>
          <w:sz w:val="16"/>
          <w:szCs w:val="16"/>
        </w:rPr>
        <w:t>days</w:t>
      </w:r>
      <w:r>
        <w:rPr>
          <w:rFonts w:ascii="Segoe UI" w:hAnsi="Segoe UI" w:cs="Segoe UI" w:eastAsia="Segoe UI"/>
          <w:color w:val="231F20"/>
          <w:spacing w:val="-5"/>
          <w:sz w:val="16"/>
          <w:szCs w:val="16"/>
        </w:rPr>
        <w:t> </w:t>
      </w:r>
      <w:r>
        <w:rPr>
          <w:rFonts w:ascii="Segoe UI" w:hAnsi="Segoe UI" w:cs="Segoe UI" w:eastAsia="Segoe UI"/>
          <w:color w:val="231F20"/>
          <w:sz w:val="16"/>
          <w:szCs w:val="16"/>
        </w:rPr>
        <w:t>attended</w:t>
      </w:r>
      <w:r>
        <w:rPr>
          <w:rFonts w:ascii="Segoe UI" w:hAnsi="Segoe UI" w:cs="Segoe UI" w:eastAsia="Segoe UI"/>
          <w:color w:val="231F20"/>
          <w:spacing w:val="-5"/>
          <w:sz w:val="16"/>
          <w:szCs w:val="16"/>
        </w:rPr>
        <w:t> </w:t>
      </w:r>
      <w:r>
        <w:rPr>
          <w:rFonts w:ascii="Segoe UI" w:hAnsi="Segoe UI" w:cs="Segoe UI" w:eastAsia="Segoe UI"/>
          <w:color w:val="231F20"/>
          <w:sz w:val="16"/>
          <w:szCs w:val="16"/>
        </w:rPr>
        <w:t>by</w:t>
      </w:r>
      <w:r>
        <w:rPr>
          <w:rFonts w:ascii="Segoe UI" w:hAnsi="Segoe UI" w:cs="Segoe UI" w:eastAsia="Segoe UI"/>
          <w:color w:val="231F20"/>
          <w:spacing w:val="-4"/>
          <w:sz w:val="16"/>
          <w:szCs w:val="16"/>
        </w:rPr>
        <w:t> </w:t>
      </w:r>
      <w:r>
        <w:rPr>
          <w:rFonts w:ascii="Segoe UI" w:hAnsi="Segoe UI" w:cs="Segoe UI" w:eastAsia="Segoe UI"/>
          <w:color w:val="231F20"/>
          <w:sz w:val="16"/>
          <w:szCs w:val="16"/>
        </w:rPr>
        <w:t>full-time</w:t>
      </w:r>
      <w:r>
        <w:rPr>
          <w:rFonts w:ascii="Segoe UI" w:hAnsi="Segoe UI" w:cs="Segoe UI" w:eastAsia="Segoe UI"/>
          <w:color w:val="231F20"/>
          <w:spacing w:val="22"/>
          <w:sz w:val="16"/>
          <w:szCs w:val="16"/>
        </w:rPr>
        <w:t> </w:t>
      </w:r>
      <w:r>
        <w:rPr>
          <w:rFonts w:ascii="Segoe UI" w:hAnsi="Segoe UI" w:cs="Segoe UI" w:eastAsia="Segoe UI"/>
          <w:color w:val="231F20"/>
          <w:spacing w:val="-1"/>
          <w:sz w:val="16"/>
          <w:szCs w:val="16"/>
        </w:rPr>
        <w:t>students</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in</w:t>
      </w:r>
      <w:r>
        <w:rPr>
          <w:rFonts w:ascii="Segoe UI" w:hAnsi="Segoe UI" w:cs="Segoe UI" w:eastAsia="Segoe UI"/>
          <w:color w:val="231F20"/>
          <w:spacing w:val="-2"/>
          <w:sz w:val="16"/>
          <w:szCs w:val="16"/>
        </w:rPr>
        <w:t> </w:t>
      </w:r>
      <w:r>
        <w:rPr>
          <w:rFonts w:ascii="Segoe UI" w:hAnsi="Segoe UI" w:cs="Segoe UI" w:eastAsia="Segoe UI"/>
          <w:color w:val="231F20"/>
          <w:spacing w:val="-3"/>
          <w:sz w:val="16"/>
          <w:szCs w:val="16"/>
        </w:rPr>
        <w:t>Years</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1–10</w:t>
      </w:r>
      <w:r>
        <w:rPr>
          <w:rFonts w:ascii="Segoe UI" w:hAnsi="Segoe UI" w:cs="Segoe UI" w:eastAsia="Segoe UI"/>
          <w:color w:val="231F20"/>
          <w:spacing w:val="-2"/>
          <w:sz w:val="16"/>
          <w:szCs w:val="16"/>
        </w:rPr>
        <w:t> </w:t>
      </w:r>
      <w:r>
        <w:rPr>
          <w:rFonts w:ascii="Segoe UI" w:hAnsi="Segoe UI" w:cs="Segoe UI" w:eastAsia="Segoe UI"/>
          <w:color w:val="231F20"/>
          <w:sz w:val="16"/>
          <w:szCs w:val="16"/>
        </w:rPr>
        <w:t>as</w:t>
      </w:r>
      <w:r>
        <w:rPr>
          <w:rFonts w:ascii="Segoe UI" w:hAnsi="Segoe UI" w:cs="Segoe UI" w:eastAsia="Segoe UI"/>
          <w:color w:val="231F20"/>
          <w:spacing w:val="-3"/>
          <w:sz w:val="16"/>
          <w:szCs w:val="16"/>
        </w:rPr>
        <w:t> </w:t>
      </w:r>
      <w:r>
        <w:rPr>
          <w:rFonts w:ascii="Segoe UI" w:hAnsi="Segoe UI" w:cs="Segoe UI" w:eastAsia="Segoe UI"/>
          <w:color w:val="231F20"/>
          <w:sz w:val="16"/>
          <w:szCs w:val="16"/>
        </w:rPr>
        <w:t>a</w:t>
      </w:r>
      <w:r>
        <w:rPr>
          <w:rFonts w:ascii="Segoe UI" w:hAnsi="Segoe UI" w:cs="Segoe UI" w:eastAsia="Segoe UI"/>
          <w:color w:val="231F20"/>
          <w:spacing w:val="-3"/>
          <w:sz w:val="16"/>
          <w:szCs w:val="16"/>
        </w:rPr>
        <w:t> </w:t>
      </w:r>
      <w:r>
        <w:rPr>
          <w:rFonts w:ascii="Segoe UI" w:hAnsi="Segoe UI" w:cs="Segoe UI" w:eastAsia="Segoe UI"/>
          <w:color w:val="231F20"/>
          <w:sz w:val="16"/>
          <w:szCs w:val="16"/>
        </w:rPr>
        <w:t>percentage</w:t>
      </w:r>
      <w:r>
        <w:rPr>
          <w:rFonts w:ascii="Segoe UI" w:hAnsi="Segoe UI" w:cs="Segoe UI" w:eastAsia="Segoe UI"/>
          <w:color w:val="231F20"/>
          <w:spacing w:val="-3"/>
          <w:sz w:val="16"/>
          <w:szCs w:val="16"/>
        </w:rPr>
        <w:t> </w:t>
      </w:r>
      <w:r>
        <w:rPr>
          <w:rFonts w:ascii="Segoe UI" w:hAnsi="Segoe UI" w:cs="Segoe UI" w:eastAsia="Segoe UI"/>
          <w:color w:val="231F20"/>
          <w:sz w:val="16"/>
          <w:szCs w:val="16"/>
        </w:rPr>
        <w:t>of</w:t>
      </w:r>
      <w:r>
        <w:rPr>
          <w:rFonts w:ascii="Segoe UI" w:hAnsi="Segoe UI" w:cs="Segoe UI" w:eastAsia="Segoe UI"/>
          <w:color w:val="231F20"/>
          <w:spacing w:val="-2"/>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3"/>
          <w:sz w:val="16"/>
          <w:szCs w:val="16"/>
        </w:rPr>
        <w:t> </w:t>
      </w:r>
      <w:r>
        <w:rPr>
          <w:rFonts w:ascii="Segoe UI" w:hAnsi="Segoe UI" w:cs="Segoe UI" w:eastAsia="Segoe UI"/>
          <w:color w:val="231F20"/>
          <w:sz w:val="16"/>
          <w:szCs w:val="16"/>
        </w:rPr>
        <w:t>total</w:t>
      </w:r>
      <w:r>
        <w:rPr>
          <w:rFonts w:ascii="Segoe UI" w:hAnsi="Segoe UI" w:cs="Segoe UI" w:eastAsia="Segoe UI"/>
          <w:color w:val="231F20"/>
          <w:spacing w:val="24"/>
          <w:w w:val="99"/>
          <w:sz w:val="16"/>
          <w:szCs w:val="16"/>
        </w:rPr>
        <w:t> </w:t>
      </w:r>
      <w:r>
        <w:rPr>
          <w:rFonts w:ascii="Segoe UI" w:hAnsi="Segoe UI" w:cs="Segoe UI" w:eastAsia="Segoe UI"/>
          <w:color w:val="231F20"/>
          <w:sz w:val="16"/>
          <w:szCs w:val="16"/>
        </w:rPr>
        <w:t>number</w:t>
      </w:r>
      <w:r>
        <w:rPr>
          <w:rFonts w:ascii="Segoe UI" w:hAnsi="Segoe UI" w:cs="Segoe UI" w:eastAsia="Segoe UI"/>
          <w:color w:val="231F20"/>
          <w:spacing w:val="-5"/>
          <w:sz w:val="16"/>
          <w:szCs w:val="16"/>
        </w:rPr>
        <w:t> </w:t>
      </w:r>
      <w:r>
        <w:rPr>
          <w:rFonts w:ascii="Segoe UI" w:hAnsi="Segoe UI" w:cs="Segoe UI" w:eastAsia="Segoe UI"/>
          <w:color w:val="231F20"/>
          <w:sz w:val="16"/>
          <w:szCs w:val="16"/>
        </w:rPr>
        <w:t>of</w:t>
      </w:r>
      <w:r>
        <w:rPr>
          <w:rFonts w:ascii="Segoe UI" w:hAnsi="Segoe UI" w:cs="Segoe UI" w:eastAsia="Segoe UI"/>
          <w:color w:val="231F20"/>
          <w:spacing w:val="-4"/>
          <w:sz w:val="16"/>
          <w:szCs w:val="16"/>
        </w:rPr>
        <w:t> </w:t>
      </w:r>
      <w:r>
        <w:rPr>
          <w:rFonts w:ascii="Segoe UI" w:hAnsi="Segoe UI" w:cs="Segoe UI" w:eastAsia="Segoe UI"/>
          <w:color w:val="231F20"/>
          <w:sz w:val="16"/>
          <w:szCs w:val="16"/>
        </w:rPr>
        <w:t>possible</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student</w:t>
      </w:r>
      <w:r>
        <w:rPr>
          <w:rFonts w:ascii="Segoe UI" w:hAnsi="Segoe UI" w:cs="Segoe UI" w:eastAsia="Segoe UI"/>
          <w:color w:val="231F20"/>
          <w:spacing w:val="-4"/>
          <w:sz w:val="16"/>
          <w:szCs w:val="16"/>
        </w:rPr>
        <w:t> </w:t>
      </w:r>
      <w:r>
        <w:rPr>
          <w:rFonts w:ascii="Segoe UI" w:hAnsi="Segoe UI" w:cs="Segoe UI" w:eastAsia="Segoe UI"/>
          <w:color w:val="231F20"/>
          <w:sz w:val="16"/>
          <w:szCs w:val="16"/>
        </w:rPr>
        <w:t>days</w:t>
      </w:r>
      <w:r>
        <w:rPr>
          <w:rFonts w:ascii="Segoe UI" w:hAnsi="Segoe UI" w:cs="Segoe UI" w:eastAsia="Segoe UI"/>
          <w:color w:val="231F20"/>
          <w:spacing w:val="-5"/>
          <w:sz w:val="16"/>
          <w:szCs w:val="16"/>
        </w:rPr>
        <w:t> </w:t>
      </w:r>
      <w:r>
        <w:rPr>
          <w:rFonts w:ascii="Segoe UI" w:hAnsi="Segoe UI" w:cs="Segoe UI" w:eastAsia="Segoe UI"/>
          <w:color w:val="231F20"/>
          <w:sz w:val="16"/>
          <w:szCs w:val="16"/>
        </w:rPr>
        <w:t>attended</w:t>
      </w:r>
      <w:r>
        <w:rPr>
          <w:rFonts w:ascii="Segoe UI" w:hAnsi="Segoe UI" w:cs="Segoe UI" w:eastAsia="Segoe UI"/>
          <w:color w:val="231F20"/>
          <w:spacing w:val="-5"/>
          <w:sz w:val="16"/>
          <w:szCs w:val="16"/>
        </w:rPr>
        <w:t> </w:t>
      </w:r>
      <w:r>
        <w:rPr>
          <w:rFonts w:ascii="Segoe UI" w:hAnsi="Segoe UI" w:cs="Segoe UI" w:eastAsia="Segoe UI"/>
          <w:color w:val="231F20"/>
          <w:sz w:val="16"/>
          <w:szCs w:val="16"/>
        </w:rPr>
        <w:t>over</w:t>
      </w:r>
      <w:r>
        <w:rPr>
          <w:rFonts w:ascii="Segoe UI" w:hAnsi="Segoe UI" w:cs="Segoe UI" w:eastAsia="Segoe UI"/>
          <w:color w:val="231F20"/>
          <w:spacing w:val="-4"/>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22"/>
          <w:w w:val="99"/>
          <w:sz w:val="16"/>
          <w:szCs w:val="16"/>
        </w:rPr>
        <w:t> </w:t>
      </w:r>
      <w:r>
        <w:rPr>
          <w:rFonts w:ascii="Segoe UI" w:hAnsi="Segoe UI" w:cs="Segoe UI" w:eastAsia="Segoe UI"/>
          <w:color w:val="231F20"/>
          <w:sz w:val="16"/>
          <w:szCs w:val="16"/>
        </w:rPr>
        <w:t>(reporting)</w:t>
      </w:r>
      <w:r>
        <w:rPr>
          <w:rFonts w:ascii="Segoe UI" w:hAnsi="Segoe UI" w:cs="Segoe UI" w:eastAsia="Segoe UI"/>
          <w:color w:val="231F20"/>
          <w:spacing w:val="-5"/>
          <w:sz w:val="16"/>
          <w:szCs w:val="16"/>
        </w:rPr>
        <w:t> </w:t>
      </w:r>
      <w:r>
        <w:rPr>
          <w:rFonts w:ascii="Segoe UI" w:hAnsi="Segoe UI" w:cs="Segoe UI" w:eastAsia="Segoe UI"/>
          <w:color w:val="231F20"/>
          <w:sz w:val="16"/>
          <w:szCs w:val="16"/>
        </w:rPr>
        <w:t>period.</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It</w:t>
      </w:r>
      <w:r>
        <w:rPr>
          <w:rFonts w:ascii="Segoe UI" w:hAnsi="Segoe UI" w:cs="Segoe UI" w:eastAsia="Segoe UI"/>
          <w:color w:val="231F20"/>
          <w:spacing w:val="-3"/>
          <w:sz w:val="16"/>
          <w:szCs w:val="16"/>
        </w:rPr>
        <w:t> </w:t>
      </w:r>
      <w:r>
        <w:rPr>
          <w:rFonts w:ascii="Segoe UI" w:hAnsi="Segoe UI" w:cs="Segoe UI" w:eastAsia="Segoe UI"/>
          <w:color w:val="231F20"/>
          <w:sz w:val="16"/>
          <w:szCs w:val="16"/>
        </w:rPr>
        <w:t>does</w:t>
      </w:r>
      <w:r>
        <w:rPr>
          <w:rFonts w:ascii="Segoe UI" w:hAnsi="Segoe UI" w:cs="Segoe UI" w:eastAsia="Segoe UI"/>
          <w:color w:val="231F20"/>
          <w:spacing w:val="-5"/>
          <w:sz w:val="16"/>
          <w:szCs w:val="16"/>
        </w:rPr>
        <w:t> </w:t>
      </w:r>
      <w:r>
        <w:rPr>
          <w:rFonts w:ascii="Segoe UI" w:hAnsi="Segoe UI" w:cs="Segoe UI" w:eastAsia="Segoe UI"/>
          <w:color w:val="231F20"/>
          <w:sz w:val="16"/>
          <w:szCs w:val="16"/>
        </w:rPr>
        <w:t>not</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include</w:t>
      </w:r>
      <w:r>
        <w:rPr>
          <w:rFonts w:ascii="Segoe UI" w:hAnsi="Segoe UI" w:cs="Segoe UI" w:eastAsia="Segoe UI"/>
          <w:color w:val="231F20"/>
          <w:spacing w:val="-3"/>
          <w:sz w:val="16"/>
          <w:szCs w:val="16"/>
        </w:rPr>
        <w:t> </w:t>
      </w:r>
      <w:r>
        <w:rPr>
          <w:rFonts w:ascii="Segoe UI" w:hAnsi="Segoe UI" w:cs="Segoe UI" w:eastAsia="Segoe UI"/>
          <w:color w:val="231F20"/>
          <w:sz w:val="16"/>
          <w:szCs w:val="16"/>
        </w:rPr>
        <w:t>year</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11</w:t>
      </w:r>
      <w:r>
        <w:rPr>
          <w:rFonts w:ascii="Segoe UI" w:hAnsi="Segoe UI" w:cs="Segoe UI" w:eastAsia="Segoe UI"/>
          <w:color w:val="231F20"/>
          <w:spacing w:val="-3"/>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24"/>
          <w:w w:val="99"/>
          <w:sz w:val="16"/>
          <w:szCs w:val="16"/>
        </w:rPr>
        <w:t> </w:t>
      </w:r>
      <w:r>
        <w:rPr>
          <w:rFonts w:ascii="Segoe UI" w:hAnsi="Segoe UI" w:cs="Segoe UI" w:eastAsia="Segoe UI"/>
          <w:color w:val="231F20"/>
          <w:spacing w:val="-1"/>
          <w:sz w:val="16"/>
          <w:szCs w:val="16"/>
        </w:rPr>
        <w:t>12</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students.</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Data</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sourced</w:t>
      </w:r>
      <w:r>
        <w:rPr>
          <w:rFonts w:ascii="Segoe UI" w:hAnsi="Segoe UI" w:cs="Segoe UI" w:eastAsia="Segoe UI"/>
          <w:color w:val="231F20"/>
          <w:spacing w:val="-4"/>
          <w:sz w:val="16"/>
          <w:szCs w:val="16"/>
        </w:rPr>
        <w:t> </w:t>
      </w:r>
      <w:r>
        <w:rPr>
          <w:rFonts w:ascii="Segoe UI" w:hAnsi="Segoe UI" w:cs="Segoe UI" w:eastAsia="Segoe UI"/>
          <w:color w:val="231F20"/>
          <w:sz w:val="16"/>
          <w:szCs w:val="16"/>
        </w:rPr>
        <w:t>from</w:t>
      </w:r>
      <w:r>
        <w:rPr>
          <w:rFonts w:ascii="Segoe UI" w:hAnsi="Segoe UI" w:cs="Segoe UI" w:eastAsia="Segoe UI"/>
          <w:color w:val="231F20"/>
          <w:spacing w:val="-5"/>
          <w:sz w:val="16"/>
          <w:szCs w:val="16"/>
        </w:rPr>
        <w:t> </w:t>
      </w:r>
      <w:r>
        <w:rPr>
          <w:rFonts w:ascii="Segoe UI" w:hAnsi="Segoe UI" w:cs="Segoe UI" w:eastAsia="Segoe UI"/>
          <w:color w:val="231F20"/>
          <w:spacing w:val="-2"/>
          <w:sz w:val="16"/>
          <w:szCs w:val="16"/>
        </w:rPr>
        <w:t>ACARA,</w:t>
      </w:r>
      <w:r>
        <w:rPr>
          <w:rFonts w:ascii="Segoe UI" w:hAnsi="Segoe UI" w:cs="Segoe UI" w:eastAsia="Segoe UI"/>
          <w:color w:val="231F20"/>
          <w:spacing w:val="-4"/>
          <w:sz w:val="16"/>
          <w:szCs w:val="16"/>
        </w:rPr>
        <w:t> </w:t>
      </w:r>
      <w:r>
        <w:rPr>
          <w:rFonts w:ascii="Segoe UI" w:hAnsi="Segoe UI" w:cs="Segoe UI" w:eastAsia="Segoe UI"/>
          <w:color w:val="231F20"/>
          <w:sz w:val="16"/>
          <w:szCs w:val="16"/>
        </w:rPr>
        <w:t>www.acara.</w:t>
      </w:r>
      <w:r>
        <w:rPr>
          <w:rFonts w:ascii="Segoe UI" w:hAnsi="Segoe UI" w:cs="Segoe UI" w:eastAsia="Segoe UI"/>
          <w:color w:val="231F20"/>
          <w:spacing w:val="29"/>
          <w:w w:val="99"/>
          <w:sz w:val="16"/>
          <w:szCs w:val="16"/>
        </w:rPr>
        <w:t> </w:t>
      </w:r>
      <w:r>
        <w:rPr>
          <w:rFonts w:ascii="Segoe UI" w:hAnsi="Segoe UI" w:cs="Segoe UI" w:eastAsia="Segoe UI"/>
          <w:color w:val="231F20"/>
          <w:sz w:val="16"/>
          <w:szCs w:val="16"/>
        </w:rPr>
        <w:t>edu.au</w:t>
      </w:r>
      <w:r>
        <w:rPr>
          <w:rFonts w:ascii="Segoe UI" w:hAnsi="Segoe UI" w:cs="Segoe UI" w:eastAsia="Segoe UI"/>
          <w:sz w:val="16"/>
          <w:szCs w:val="16"/>
        </w:rPr>
      </w:r>
    </w:p>
    <w:p>
      <w:pPr>
        <w:numPr>
          <w:ilvl w:val="0"/>
          <w:numId w:val="15"/>
        </w:numPr>
        <w:tabs>
          <w:tab w:pos="728" w:val="left" w:leader="none"/>
        </w:tabs>
        <w:spacing w:line="200" w:lineRule="exact" w:before="113"/>
        <w:ind w:left="727" w:right="440" w:hanging="567"/>
        <w:jc w:val="both"/>
        <w:rPr>
          <w:rFonts w:ascii="Segoe UI" w:hAnsi="Segoe UI" w:cs="Segoe UI" w:eastAsia="Segoe UI"/>
          <w:sz w:val="16"/>
          <w:szCs w:val="16"/>
        </w:rPr>
      </w:pPr>
      <w:r>
        <w:rPr>
          <w:rFonts w:ascii="Segoe UI" w:hAnsi="Segoe UI" w:cs="Segoe UI" w:eastAsia="Segoe UI"/>
          <w:color w:val="231F20"/>
          <w:spacing w:val="-1"/>
          <w:sz w:val="16"/>
          <w:szCs w:val="16"/>
        </w:rPr>
        <w:t>Closing</w:t>
      </w:r>
      <w:r>
        <w:rPr>
          <w:rFonts w:ascii="Segoe UI" w:hAnsi="Segoe UI" w:cs="Segoe UI" w:eastAsia="Segoe UI"/>
          <w:color w:val="231F20"/>
          <w:spacing w:val="-2"/>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2"/>
          <w:sz w:val="16"/>
          <w:szCs w:val="16"/>
        </w:rPr>
        <w:t> </w:t>
      </w:r>
      <w:r>
        <w:rPr>
          <w:rFonts w:ascii="Segoe UI" w:hAnsi="Segoe UI" w:cs="Segoe UI" w:eastAsia="Segoe UI"/>
          <w:color w:val="231F20"/>
          <w:sz w:val="16"/>
          <w:szCs w:val="16"/>
        </w:rPr>
        <w:t>Gap:</w:t>
      </w:r>
      <w:r>
        <w:rPr>
          <w:rFonts w:ascii="Segoe UI" w:hAnsi="Segoe UI" w:cs="Segoe UI" w:eastAsia="Segoe UI"/>
          <w:color w:val="231F20"/>
          <w:spacing w:val="-1"/>
          <w:sz w:val="16"/>
          <w:szCs w:val="16"/>
        </w:rPr>
        <w:t> </w:t>
      </w:r>
      <w:r>
        <w:rPr>
          <w:rFonts w:ascii="Segoe UI" w:hAnsi="Segoe UI" w:cs="Segoe UI" w:eastAsia="Segoe UI"/>
          <w:color w:val="231F20"/>
          <w:sz w:val="16"/>
          <w:szCs w:val="16"/>
        </w:rPr>
        <w:t>Prime</w:t>
      </w:r>
      <w:r>
        <w:rPr>
          <w:rFonts w:ascii="Segoe UI" w:hAnsi="Segoe UI" w:cs="Segoe UI" w:eastAsia="Segoe UI"/>
          <w:color w:val="231F20"/>
          <w:spacing w:val="-1"/>
          <w:sz w:val="16"/>
          <w:szCs w:val="16"/>
        </w:rPr>
        <w:t> </w:t>
      </w:r>
      <w:r>
        <w:rPr>
          <w:rFonts w:ascii="Segoe UI" w:hAnsi="Segoe UI" w:cs="Segoe UI" w:eastAsia="Segoe UI"/>
          <w:color w:val="231F20"/>
          <w:sz w:val="16"/>
          <w:szCs w:val="16"/>
        </w:rPr>
        <w:t>Minister’s</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Report 2018,</w:t>
      </w:r>
      <w:r>
        <w:rPr>
          <w:rFonts w:ascii="Segoe UI" w:hAnsi="Segoe UI" w:cs="Segoe UI" w:eastAsia="Segoe UI"/>
          <w:color w:val="231F20"/>
          <w:spacing w:val="22"/>
          <w:sz w:val="16"/>
          <w:szCs w:val="16"/>
        </w:rPr>
        <w:t> </w:t>
      </w:r>
      <w:r>
        <w:rPr>
          <w:rFonts w:ascii="Segoe UI" w:hAnsi="Segoe UI" w:cs="Segoe UI" w:eastAsia="Segoe UI"/>
          <w:color w:val="231F20"/>
          <w:spacing w:val="-1"/>
          <w:sz w:val="16"/>
          <w:szCs w:val="16"/>
        </w:rPr>
        <w:t>Department</w:t>
      </w:r>
      <w:r>
        <w:rPr>
          <w:rFonts w:ascii="Segoe UI" w:hAnsi="Segoe UI" w:cs="Segoe UI" w:eastAsia="Segoe UI"/>
          <w:color w:val="231F20"/>
          <w:spacing w:val="-3"/>
          <w:sz w:val="16"/>
          <w:szCs w:val="16"/>
        </w:rPr>
        <w:t> </w:t>
      </w:r>
      <w:r>
        <w:rPr>
          <w:rFonts w:ascii="Segoe UI" w:hAnsi="Segoe UI" w:cs="Segoe UI" w:eastAsia="Segoe UI"/>
          <w:color w:val="231F20"/>
          <w:sz w:val="16"/>
          <w:szCs w:val="16"/>
        </w:rPr>
        <w:t>of</w:t>
      </w:r>
      <w:r>
        <w:rPr>
          <w:rFonts w:ascii="Segoe UI" w:hAnsi="Segoe UI" w:cs="Segoe UI" w:eastAsia="Segoe UI"/>
          <w:color w:val="231F20"/>
          <w:spacing w:val="-3"/>
          <w:sz w:val="16"/>
          <w:szCs w:val="16"/>
        </w:rPr>
        <w:t> </w:t>
      </w:r>
      <w:r>
        <w:rPr>
          <w:rFonts w:ascii="Segoe UI" w:hAnsi="Segoe UI" w:cs="Segoe UI" w:eastAsia="Segoe UI"/>
          <w:color w:val="231F20"/>
          <w:sz w:val="16"/>
          <w:szCs w:val="16"/>
        </w:rPr>
        <w:t>the</w:t>
      </w:r>
      <w:r>
        <w:rPr>
          <w:rFonts w:ascii="Segoe UI" w:hAnsi="Segoe UI" w:cs="Segoe UI" w:eastAsia="Segoe UI"/>
          <w:color w:val="231F20"/>
          <w:spacing w:val="-4"/>
          <w:sz w:val="16"/>
          <w:szCs w:val="16"/>
        </w:rPr>
        <w:t> </w:t>
      </w:r>
      <w:r>
        <w:rPr>
          <w:rFonts w:ascii="Segoe UI" w:hAnsi="Segoe UI" w:cs="Segoe UI" w:eastAsia="Segoe UI"/>
          <w:color w:val="231F20"/>
          <w:sz w:val="16"/>
          <w:szCs w:val="16"/>
        </w:rPr>
        <w:t>Prime</w:t>
      </w:r>
      <w:r>
        <w:rPr>
          <w:rFonts w:ascii="Segoe UI" w:hAnsi="Segoe UI" w:cs="Segoe UI" w:eastAsia="Segoe UI"/>
          <w:color w:val="231F20"/>
          <w:spacing w:val="-2"/>
          <w:sz w:val="16"/>
          <w:szCs w:val="16"/>
        </w:rPr>
        <w:t> </w:t>
      </w:r>
      <w:r>
        <w:rPr>
          <w:rFonts w:ascii="Segoe UI" w:hAnsi="Segoe UI" w:cs="Segoe UI" w:eastAsia="Segoe UI"/>
          <w:color w:val="231F20"/>
          <w:sz w:val="16"/>
          <w:szCs w:val="16"/>
        </w:rPr>
        <w:t>Minister</w:t>
      </w:r>
      <w:r>
        <w:rPr>
          <w:rFonts w:ascii="Segoe UI" w:hAnsi="Segoe UI" w:cs="Segoe UI" w:eastAsia="Segoe UI"/>
          <w:color w:val="231F20"/>
          <w:spacing w:val="-4"/>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Cabinet,</w:t>
      </w:r>
      <w:r>
        <w:rPr>
          <w:rFonts w:ascii="Segoe UI" w:hAnsi="Segoe UI" w:cs="Segoe UI" w:eastAsia="Segoe UI"/>
          <w:color w:val="231F20"/>
          <w:spacing w:val="21"/>
          <w:w w:val="99"/>
          <w:sz w:val="16"/>
          <w:szCs w:val="16"/>
        </w:rPr>
        <w:t> </w:t>
      </w:r>
      <w:r>
        <w:rPr>
          <w:rFonts w:ascii="Segoe UI" w:hAnsi="Segoe UI" w:cs="Segoe UI" w:eastAsia="Segoe UI"/>
          <w:color w:val="231F20"/>
          <w:spacing w:val="-1"/>
          <w:sz w:val="16"/>
          <w:szCs w:val="16"/>
        </w:rPr>
        <w:t>2018,</w:t>
      </w:r>
      <w:r>
        <w:rPr>
          <w:rFonts w:ascii="Segoe UI" w:hAnsi="Segoe UI" w:cs="Segoe UI" w:eastAsia="Segoe UI"/>
          <w:color w:val="231F20"/>
          <w:spacing w:val="-2"/>
          <w:sz w:val="16"/>
          <w:szCs w:val="16"/>
        </w:rPr>
        <w:t> </w:t>
      </w:r>
      <w:r>
        <w:rPr>
          <w:rFonts w:ascii="Segoe UI" w:hAnsi="Segoe UI" w:cs="Segoe UI" w:eastAsia="Segoe UI"/>
          <w:color w:val="231F20"/>
          <w:sz w:val="16"/>
          <w:szCs w:val="16"/>
        </w:rPr>
        <w:t>p.</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53,</w:t>
      </w:r>
      <w:r>
        <w:rPr>
          <w:rFonts w:ascii="Segoe UI" w:hAnsi="Segoe UI" w:cs="Segoe UI" w:eastAsia="Segoe UI"/>
          <w:color w:val="231F20"/>
          <w:spacing w:val="-2"/>
          <w:sz w:val="16"/>
          <w:szCs w:val="16"/>
        </w:rPr>
        <w:t> </w:t>
      </w:r>
      <w:r>
        <w:rPr>
          <w:rFonts w:ascii="Segoe UI" w:hAnsi="Segoe UI" w:cs="Segoe UI" w:eastAsia="Segoe UI"/>
          <w:color w:val="231F20"/>
          <w:sz w:val="16"/>
          <w:szCs w:val="16"/>
        </w:rPr>
        <w:t>data</w:t>
      </w:r>
      <w:r>
        <w:rPr>
          <w:rFonts w:ascii="Segoe UI" w:hAnsi="Segoe UI" w:cs="Segoe UI" w:eastAsia="Segoe UI"/>
          <w:color w:val="231F20"/>
          <w:spacing w:val="-2"/>
          <w:sz w:val="16"/>
          <w:szCs w:val="16"/>
        </w:rPr>
        <w:t> </w:t>
      </w:r>
      <w:r>
        <w:rPr>
          <w:rFonts w:ascii="Segoe UI" w:hAnsi="Segoe UI" w:cs="Segoe UI" w:eastAsia="Segoe UI"/>
          <w:color w:val="231F20"/>
          <w:sz w:val="16"/>
          <w:szCs w:val="16"/>
        </w:rPr>
        <w:t>for</w:t>
      </w:r>
      <w:r>
        <w:rPr>
          <w:rFonts w:ascii="Segoe UI" w:hAnsi="Segoe UI" w:cs="Segoe UI" w:eastAsia="Segoe UI"/>
          <w:color w:val="231F20"/>
          <w:spacing w:val="-2"/>
          <w:sz w:val="16"/>
          <w:szCs w:val="16"/>
        </w:rPr>
        <w:t> </w:t>
      </w:r>
      <w:r>
        <w:rPr>
          <w:rFonts w:ascii="Segoe UI" w:hAnsi="Segoe UI" w:cs="Segoe UI" w:eastAsia="Segoe UI"/>
          <w:color w:val="231F20"/>
          <w:sz w:val="16"/>
          <w:szCs w:val="16"/>
        </w:rPr>
        <w:t>year</w:t>
      </w:r>
      <w:r>
        <w:rPr>
          <w:rFonts w:ascii="Segoe UI" w:hAnsi="Segoe UI" w:cs="Segoe UI" w:eastAsia="Segoe UI"/>
          <w:color w:val="231F20"/>
          <w:spacing w:val="-2"/>
          <w:sz w:val="16"/>
          <w:szCs w:val="16"/>
        </w:rPr>
        <w:t> </w:t>
      </w:r>
      <w:r>
        <w:rPr>
          <w:rFonts w:ascii="Segoe UI" w:hAnsi="Segoe UI" w:cs="Segoe UI" w:eastAsia="Segoe UI"/>
          <w:color w:val="231F20"/>
          <w:sz w:val="16"/>
          <w:szCs w:val="16"/>
        </w:rPr>
        <w:t>1</w:t>
      </w:r>
      <w:r>
        <w:rPr>
          <w:rFonts w:ascii="Segoe UI" w:hAnsi="Segoe UI" w:cs="Segoe UI" w:eastAsia="Segoe UI"/>
          <w:color w:val="231F20"/>
          <w:spacing w:val="-2"/>
          <w:sz w:val="16"/>
          <w:szCs w:val="16"/>
        </w:rPr>
        <w:t> </w:t>
      </w:r>
      <w:r>
        <w:rPr>
          <w:rFonts w:ascii="Segoe UI" w:hAnsi="Segoe UI" w:cs="Segoe UI" w:eastAsia="Segoe UI"/>
          <w:color w:val="231F20"/>
          <w:sz w:val="16"/>
          <w:szCs w:val="16"/>
        </w:rPr>
        <w:t>—</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10</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students,</w:t>
      </w:r>
      <w:r>
        <w:rPr>
          <w:rFonts w:ascii="Segoe UI" w:hAnsi="Segoe UI" w:cs="Segoe UI" w:eastAsia="Segoe UI"/>
          <w:color w:val="231F20"/>
          <w:spacing w:val="-2"/>
          <w:sz w:val="16"/>
          <w:szCs w:val="16"/>
        </w:rPr>
        <w:t> </w:t>
      </w:r>
      <w:r>
        <w:rPr>
          <w:rFonts w:ascii="Segoe UI" w:hAnsi="Segoe UI" w:cs="Segoe UI" w:eastAsia="Segoe UI"/>
          <w:color w:val="231F20"/>
          <w:sz w:val="16"/>
          <w:szCs w:val="16"/>
        </w:rPr>
        <w:t>data</w:t>
      </w:r>
      <w:r>
        <w:rPr>
          <w:rFonts w:ascii="Segoe UI" w:hAnsi="Segoe UI" w:cs="Segoe UI" w:eastAsia="Segoe UI"/>
          <w:color w:val="231F20"/>
          <w:spacing w:val="25"/>
          <w:w w:val="99"/>
          <w:sz w:val="16"/>
          <w:szCs w:val="16"/>
        </w:rPr>
        <w:t> </w:t>
      </w:r>
      <w:r>
        <w:rPr>
          <w:rFonts w:ascii="Segoe UI" w:hAnsi="Segoe UI" w:cs="Segoe UI" w:eastAsia="Segoe UI"/>
          <w:color w:val="231F20"/>
          <w:spacing w:val="-1"/>
          <w:sz w:val="16"/>
          <w:szCs w:val="16"/>
        </w:rPr>
        <w:t>source,</w:t>
      </w:r>
      <w:r>
        <w:rPr>
          <w:rFonts w:ascii="Segoe UI" w:hAnsi="Segoe UI" w:cs="Segoe UI" w:eastAsia="Segoe UI"/>
          <w:color w:val="231F20"/>
          <w:spacing w:val="-3"/>
          <w:sz w:val="16"/>
          <w:szCs w:val="16"/>
        </w:rPr>
        <w:t> </w:t>
      </w:r>
      <w:r>
        <w:rPr>
          <w:rFonts w:ascii="Segoe UI" w:hAnsi="Segoe UI" w:cs="Segoe UI" w:eastAsia="Segoe UI"/>
          <w:color w:val="231F20"/>
          <w:spacing w:val="-2"/>
          <w:sz w:val="16"/>
          <w:szCs w:val="16"/>
        </w:rPr>
        <w:t>ACARA, </w:t>
      </w:r>
      <w:r>
        <w:rPr>
          <w:rFonts w:ascii="Segoe UI" w:hAnsi="Segoe UI" w:cs="Segoe UI" w:eastAsia="Segoe UI"/>
          <w:color w:val="231F20"/>
          <w:sz w:val="16"/>
          <w:szCs w:val="16"/>
        </w:rPr>
        <w:t>2017</w:t>
      </w:r>
      <w:r>
        <w:rPr>
          <w:rFonts w:ascii="Segoe UI" w:hAnsi="Segoe UI" w:cs="Segoe UI" w:eastAsia="Segoe UI"/>
          <w:sz w:val="16"/>
          <w:szCs w:val="16"/>
        </w:rPr>
      </w:r>
    </w:p>
    <w:p>
      <w:pPr>
        <w:numPr>
          <w:ilvl w:val="0"/>
          <w:numId w:val="15"/>
        </w:numPr>
        <w:tabs>
          <w:tab w:pos="728" w:val="left" w:leader="none"/>
        </w:tabs>
        <w:spacing w:line="200" w:lineRule="exact" w:before="113"/>
        <w:ind w:left="727" w:right="179" w:hanging="567"/>
        <w:jc w:val="left"/>
        <w:rPr>
          <w:rFonts w:ascii="Segoe UI" w:hAnsi="Segoe UI" w:cs="Segoe UI" w:eastAsia="Segoe UI"/>
          <w:sz w:val="16"/>
          <w:szCs w:val="16"/>
        </w:rPr>
      </w:pPr>
      <w:r>
        <w:rPr>
          <w:rFonts w:ascii="Segoe UI"/>
          <w:color w:val="231F20"/>
          <w:spacing w:val="-1"/>
          <w:sz w:val="16"/>
        </w:rPr>
        <w:t>Where</w:t>
      </w:r>
      <w:r>
        <w:rPr>
          <w:rFonts w:ascii="Segoe UI"/>
          <w:color w:val="231F20"/>
          <w:spacing w:val="-5"/>
          <w:sz w:val="16"/>
        </w:rPr>
        <w:t> </w:t>
      </w:r>
      <w:r>
        <w:rPr>
          <w:rFonts w:ascii="Segoe UI"/>
          <w:color w:val="231F20"/>
          <w:sz w:val="16"/>
        </w:rPr>
        <w:t>the</w:t>
      </w:r>
      <w:r>
        <w:rPr>
          <w:rFonts w:ascii="Segoe UI"/>
          <w:color w:val="231F20"/>
          <w:spacing w:val="-6"/>
          <w:sz w:val="16"/>
        </w:rPr>
        <w:t> </w:t>
      </w:r>
      <w:r>
        <w:rPr>
          <w:rFonts w:ascii="Segoe UI"/>
          <w:color w:val="231F20"/>
          <w:sz w:val="16"/>
        </w:rPr>
        <w:t>boarders</w:t>
      </w:r>
      <w:r>
        <w:rPr>
          <w:rFonts w:ascii="Segoe UI"/>
          <w:color w:val="231F20"/>
          <w:spacing w:val="-6"/>
          <w:sz w:val="16"/>
        </w:rPr>
        <w:t> </w:t>
      </w:r>
      <w:r>
        <w:rPr>
          <w:rFonts w:ascii="Segoe UI"/>
          <w:color w:val="231F20"/>
          <w:sz w:val="16"/>
        </w:rPr>
        <w:t>of</w:t>
      </w:r>
      <w:r>
        <w:rPr>
          <w:rFonts w:ascii="Segoe UI"/>
          <w:color w:val="231F20"/>
          <w:spacing w:val="-5"/>
          <w:sz w:val="16"/>
        </w:rPr>
        <w:t> </w:t>
      </w:r>
      <w:r>
        <w:rPr>
          <w:rFonts w:ascii="Segoe UI"/>
          <w:color w:val="231F20"/>
          <w:sz w:val="16"/>
        </w:rPr>
        <w:t>a</w:t>
      </w:r>
      <w:r>
        <w:rPr>
          <w:rFonts w:ascii="Segoe UI"/>
          <w:color w:val="231F20"/>
          <w:spacing w:val="-5"/>
          <w:sz w:val="16"/>
        </w:rPr>
        <w:t> </w:t>
      </w:r>
      <w:r>
        <w:rPr>
          <w:rFonts w:ascii="Segoe UI"/>
          <w:color w:val="231F20"/>
          <w:spacing w:val="-1"/>
          <w:sz w:val="16"/>
        </w:rPr>
        <w:t>standalone</w:t>
      </w:r>
      <w:r>
        <w:rPr>
          <w:rFonts w:ascii="Segoe UI"/>
          <w:color w:val="231F20"/>
          <w:spacing w:val="-6"/>
          <w:sz w:val="16"/>
        </w:rPr>
        <w:t> </w:t>
      </w:r>
      <w:r>
        <w:rPr>
          <w:rFonts w:ascii="Segoe UI"/>
          <w:color w:val="231F20"/>
          <w:sz w:val="16"/>
        </w:rPr>
        <w:t>boarding</w:t>
      </w:r>
      <w:r>
        <w:rPr>
          <w:rFonts w:ascii="Segoe UI"/>
          <w:color w:val="231F20"/>
          <w:spacing w:val="28"/>
          <w:w w:val="99"/>
          <w:sz w:val="16"/>
        </w:rPr>
        <w:t> </w:t>
      </w:r>
      <w:r>
        <w:rPr>
          <w:rFonts w:ascii="Segoe UI"/>
          <w:color w:val="231F20"/>
          <w:sz w:val="16"/>
        </w:rPr>
        <w:t>provider</w:t>
      </w:r>
      <w:r>
        <w:rPr>
          <w:rFonts w:ascii="Segoe UI"/>
          <w:color w:val="231F20"/>
          <w:spacing w:val="-6"/>
          <w:sz w:val="16"/>
        </w:rPr>
        <w:t> </w:t>
      </w:r>
      <w:r>
        <w:rPr>
          <w:rFonts w:ascii="Segoe UI"/>
          <w:color w:val="231F20"/>
          <w:sz w:val="16"/>
        </w:rPr>
        <w:t>attended</w:t>
      </w:r>
      <w:r>
        <w:rPr>
          <w:rFonts w:ascii="Segoe UI"/>
          <w:color w:val="231F20"/>
          <w:spacing w:val="-6"/>
          <w:sz w:val="16"/>
        </w:rPr>
        <w:t> </w:t>
      </w:r>
      <w:r>
        <w:rPr>
          <w:rFonts w:ascii="Segoe UI"/>
          <w:color w:val="231F20"/>
          <w:sz w:val="16"/>
        </w:rPr>
        <w:t>one</w:t>
      </w:r>
      <w:r>
        <w:rPr>
          <w:rFonts w:ascii="Segoe UI"/>
          <w:color w:val="231F20"/>
          <w:spacing w:val="-5"/>
          <w:sz w:val="16"/>
        </w:rPr>
        <w:t> </w:t>
      </w:r>
      <w:r>
        <w:rPr>
          <w:rFonts w:ascii="Segoe UI"/>
          <w:color w:val="231F20"/>
          <w:spacing w:val="-1"/>
          <w:sz w:val="16"/>
        </w:rPr>
        <w:t>school</w:t>
      </w:r>
      <w:r>
        <w:rPr>
          <w:rFonts w:ascii="Segoe UI"/>
          <w:color w:val="231F20"/>
          <w:spacing w:val="-5"/>
          <w:sz w:val="16"/>
        </w:rPr>
        <w:t> </w:t>
      </w:r>
      <w:r>
        <w:rPr>
          <w:rFonts w:ascii="Segoe UI"/>
          <w:color w:val="231F20"/>
          <w:sz w:val="16"/>
        </w:rPr>
        <w:t>only,</w:t>
      </w:r>
      <w:r>
        <w:rPr>
          <w:rFonts w:ascii="Segoe UI"/>
          <w:color w:val="231F20"/>
          <w:spacing w:val="-5"/>
          <w:sz w:val="16"/>
        </w:rPr>
        <w:t> </w:t>
      </w:r>
      <w:r>
        <w:rPr>
          <w:rFonts w:ascii="Segoe UI"/>
          <w:color w:val="231F20"/>
          <w:sz w:val="16"/>
        </w:rPr>
        <w:t>the</w:t>
      </w:r>
      <w:r>
        <w:rPr>
          <w:rFonts w:ascii="Segoe UI"/>
          <w:color w:val="231F20"/>
          <w:spacing w:val="-6"/>
          <w:sz w:val="16"/>
        </w:rPr>
        <w:t> </w:t>
      </w:r>
      <w:r>
        <w:rPr>
          <w:rFonts w:ascii="Segoe UI"/>
          <w:color w:val="231F20"/>
          <w:sz w:val="16"/>
        </w:rPr>
        <w:t>attendance</w:t>
      </w:r>
      <w:r>
        <w:rPr>
          <w:rFonts w:ascii="Segoe UI"/>
          <w:color w:val="231F20"/>
          <w:spacing w:val="21"/>
          <w:w w:val="99"/>
          <w:sz w:val="16"/>
        </w:rPr>
        <w:t> </w:t>
      </w:r>
      <w:r>
        <w:rPr>
          <w:rFonts w:ascii="Segoe UI"/>
          <w:color w:val="231F20"/>
          <w:sz w:val="16"/>
        </w:rPr>
        <w:t>rate</w:t>
      </w:r>
      <w:r>
        <w:rPr>
          <w:rFonts w:ascii="Segoe UI"/>
          <w:color w:val="231F20"/>
          <w:spacing w:val="-4"/>
          <w:sz w:val="16"/>
        </w:rPr>
        <w:t> </w:t>
      </w:r>
      <w:r>
        <w:rPr>
          <w:rFonts w:ascii="Segoe UI"/>
          <w:color w:val="231F20"/>
          <w:sz w:val="16"/>
        </w:rPr>
        <w:t>of</w:t>
      </w:r>
      <w:r>
        <w:rPr>
          <w:rFonts w:ascii="Segoe UI"/>
          <w:color w:val="231F20"/>
          <w:spacing w:val="-2"/>
          <w:sz w:val="16"/>
        </w:rPr>
        <w:t> </w:t>
      </w:r>
      <w:r>
        <w:rPr>
          <w:rFonts w:ascii="Segoe UI"/>
          <w:color w:val="231F20"/>
          <w:sz w:val="16"/>
        </w:rPr>
        <w:t>that</w:t>
      </w:r>
      <w:r>
        <w:rPr>
          <w:rFonts w:ascii="Segoe UI"/>
          <w:color w:val="231F20"/>
          <w:spacing w:val="-3"/>
          <w:sz w:val="16"/>
        </w:rPr>
        <w:t> </w:t>
      </w:r>
      <w:r>
        <w:rPr>
          <w:rFonts w:ascii="Segoe UI"/>
          <w:color w:val="231F20"/>
          <w:spacing w:val="-1"/>
          <w:sz w:val="16"/>
        </w:rPr>
        <w:t>school</w:t>
      </w:r>
      <w:r>
        <w:rPr>
          <w:rFonts w:ascii="Segoe UI"/>
          <w:color w:val="231F20"/>
          <w:spacing w:val="-3"/>
          <w:sz w:val="16"/>
        </w:rPr>
        <w:t> </w:t>
      </w:r>
      <w:r>
        <w:rPr>
          <w:rFonts w:ascii="Segoe UI"/>
          <w:color w:val="231F20"/>
          <w:sz w:val="16"/>
        </w:rPr>
        <w:t>was</w:t>
      </w:r>
      <w:r>
        <w:rPr>
          <w:rFonts w:ascii="Segoe UI"/>
          <w:color w:val="231F20"/>
          <w:spacing w:val="-3"/>
          <w:sz w:val="16"/>
        </w:rPr>
        <w:t> </w:t>
      </w:r>
      <w:r>
        <w:rPr>
          <w:rFonts w:ascii="Segoe UI"/>
          <w:color w:val="231F20"/>
          <w:sz w:val="16"/>
        </w:rPr>
        <w:t>used</w:t>
      </w:r>
      <w:r>
        <w:rPr>
          <w:rFonts w:ascii="Segoe UI"/>
          <w:color w:val="231F20"/>
          <w:spacing w:val="-3"/>
          <w:sz w:val="16"/>
        </w:rPr>
        <w:t> </w:t>
      </w:r>
      <w:r>
        <w:rPr>
          <w:rFonts w:ascii="Segoe UI"/>
          <w:color w:val="231F20"/>
          <w:sz w:val="16"/>
        </w:rPr>
        <w:t>as</w:t>
      </w:r>
      <w:r>
        <w:rPr>
          <w:rFonts w:ascii="Segoe UI"/>
          <w:color w:val="231F20"/>
          <w:spacing w:val="-4"/>
          <w:sz w:val="16"/>
        </w:rPr>
        <w:t> </w:t>
      </w:r>
      <w:r>
        <w:rPr>
          <w:rFonts w:ascii="Segoe UI"/>
          <w:color w:val="231F20"/>
          <w:sz w:val="16"/>
        </w:rPr>
        <w:t>the</w:t>
      </w:r>
      <w:r>
        <w:rPr>
          <w:rFonts w:ascii="Segoe UI"/>
          <w:color w:val="231F20"/>
          <w:spacing w:val="-3"/>
          <w:sz w:val="16"/>
        </w:rPr>
        <w:t> </w:t>
      </w:r>
      <w:r>
        <w:rPr>
          <w:rFonts w:ascii="Segoe UI"/>
          <w:color w:val="231F20"/>
          <w:spacing w:val="-1"/>
          <w:sz w:val="16"/>
        </w:rPr>
        <w:t>indicative</w:t>
      </w:r>
      <w:r>
        <w:rPr>
          <w:rFonts w:ascii="Segoe UI"/>
          <w:color w:val="231F20"/>
          <w:spacing w:val="21"/>
          <w:w w:val="99"/>
          <w:sz w:val="16"/>
        </w:rPr>
        <w:t> </w:t>
      </w:r>
      <w:r>
        <w:rPr>
          <w:rFonts w:ascii="Segoe UI"/>
          <w:color w:val="231F20"/>
          <w:sz w:val="16"/>
        </w:rPr>
        <w:t>attendance</w:t>
      </w:r>
      <w:r>
        <w:rPr>
          <w:rFonts w:ascii="Segoe UI"/>
          <w:color w:val="231F20"/>
          <w:spacing w:val="-7"/>
          <w:sz w:val="16"/>
        </w:rPr>
        <w:t> </w:t>
      </w:r>
      <w:r>
        <w:rPr>
          <w:rFonts w:ascii="Segoe UI"/>
          <w:color w:val="231F20"/>
          <w:sz w:val="16"/>
        </w:rPr>
        <w:t>rate</w:t>
      </w:r>
      <w:r>
        <w:rPr>
          <w:rFonts w:ascii="Segoe UI"/>
          <w:color w:val="231F20"/>
          <w:spacing w:val="-6"/>
          <w:sz w:val="16"/>
        </w:rPr>
        <w:t> </w:t>
      </w:r>
      <w:r>
        <w:rPr>
          <w:rFonts w:ascii="Segoe UI"/>
          <w:color w:val="231F20"/>
          <w:sz w:val="16"/>
        </w:rPr>
        <w:t>for</w:t>
      </w:r>
      <w:r>
        <w:rPr>
          <w:rFonts w:ascii="Segoe UI"/>
          <w:color w:val="231F20"/>
          <w:spacing w:val="-6"/>
          <w:sz w:val="16"/>
        </w:rPr>
        <w:t> </w:t>
      </w:r>
      <w:r>
        <w:rPr>
          <w:rFonts w:ascii="Segoe UI"/>
          <w:color w:val="231F20"/>
          <w:sz w:val="16"/>
        </w:rPr>
        <w:t>that</w:t>
      </w:r>
      <w:r>
        <w:rPr>
          <w:rFonts w:ascii="Segoe UI"/>
          <w:color w:val="231F20"/>
          <w:spacing w:val="-6"/>
          <w:sz w:val="16"/>
        </w:rPr>
        <w:t> </w:t>
      </w:r>
      <w:r>
        <w:rPr>
          <w:rFonts w:ascii="Segoe UI"/>
          <w:color w:val="231F20"/>
          <w:sz w:val="16"/>
        </w:rPr>
        <w:t>boarding</w:t>
      </w:r>
      <w:r>
        <w:rPr>
          <w:rFonts w:ascii="Segoe UI"/>
          <w:color w:val="231F20"/>
          <w:spacing w:val="-7"/>
          <w:sz w:val="16"/>
        </w:rPr>
        <w:t> </w:t>
      </w:r>
      <w:r>
        <w:rPr>
          <w:rFonts w:ascii="Segoe UI"/>
          <w:color w:val="231F20"/>
          <w:sz w:val="16"/>
        </w:rPr>
        <w:t>provider.</w:t>
      </w:r>
      <w:r>
        <w:rPr>
          <w:rFonts w:ascii="Segoe UI"/>
          <w:color w:val="231F20"/>
          <w:spacing w:val="-6"/>
          <w:sz w:val="16"/>
        </w:rPr>
        <w:t> </w:t>
      </w:r>
      <w:r>
        <w:rPr>
          <w:rFonts w:ascii="Segoe UI"/>
          <w:color w:val="231F20"/>
          <w:spacing w:val="-1"/>
          <w:sz w:val="16"/>
        </w:rPr>
        <w:t>Where</w:t>
      </w:r>
      <w:r>
        <w:rPr>
          <w:rFonts w:ascii="Segoe UI"/>
          <w:color w:val="231F20"/>
          <w:spacing w:val="20"/>
          <w:w w:val="99"/>
          <w:sz w:val="16"/>
        </w:rPr>
        <w:t> </w:t>
      </w:r>
      <w:r>
        <w:rPr>
          <w:rFonts w:ascii="Segoe UI"/>
          <w:color w:val="231F20"/>
          <w:sz w:val="16"/>
        </w:rPr>
        <w:t>boarders</w:t>
      </w:r>
      <w:r>
        <w:rPr>
          <w:rFonts w:ascii="Segoe UI"/>
          <w:color w:val="231F20"/>
          <w:spacing w:val="-6"/>
          <w:sz w:val="16"/>
        </w:rPr>
        <w:t> </w:t>
      </w:r>
      <w:r>
        <w:rPr>
          <w:rFonts w:ascii="Segoe UI"/>
          <w:color w:val="231F20"/>
          <w:sz w:val="16"/>
        </w:rPr>
        <w:t>attended</w:t>
      </w:r>
      <w:r>
        <w:rPr>
          <w:rFonts w:ascii="Segoe UI"/>
          <w:color w:val="231F20"/>
          <w:spacing w:val="-5"/>
          <w:sz w:val="16"/>
        </w:rPr>
        <w:t> </w:t>
      </w:r>
      <w:r>
        <w:rPr>
          <w:rFonts w:ascii="Segoe UI"/>
          <w:color w:val="231F20"/>
          <w:spacing w:val="-1"/>
          <w:sz w:val="16"/>
        </w:rPr>
        <w:t>multiple</w:t>
      </w:r>
      <w:r>
        <w:rPr>
          <w:rFonts w:ascii="Segoe UI"/>
          <w:color w:val="231F20"/>
          <w:spacing w:val="-5"/>
          <w:sz w:val="16"/>
        </w:rPr>
        <w:t> </w:t>
      </w:r>
      <w:r>
        <w:rPr>
          <w:rFonts w:ascii="Segoe UI"/>
          <w:color w:val="231F20"/>
          <w:spacing w:val="-1"/>
          <w:sz w:val="16"/>
        </w:rPr>
        <w:t>schools,</w:t>
      </w:r>
      <w:r>
        <w:rPr>
          <w:rFonts w:ascii="Segoe UI"/>
          <w:color w:val="231F20"/>
          <w:spacing w:val="-4"/>
          <w:sz w:val="16"/>
        </w:rPr>
        <w:t> </w:t>
      </w:r>
      <w:r>
        <w:rPr>
          <w:rFonts w:ascii="Segoe UI"/>
          <w:color w:val="231F20"/>
          <w:sz w:val="16"/>
        </w:rPr>
        <w:t>no</w:t>
      </w:r>
      <w:r>
        <w:rPr>
          <w:rFonts w:ascii="Segoe UI"/>
          <w:color w:val="231F20"/>
          <w:spacing w:val="-5"/>
          <w:sz w:val="16"/>
        </w:rPr>
        <w:t> </w:t>
      </w:r>
      <w:r>
        <w:rPr>
          <w:rFonts w:ascii="Segoe UI"/>
          <w:color w:val="231F20"/>
          <w:sz w:val="16"/>
        </w:rPr>
        <w:t>attendance</w:t>
      </w:r>
      <w:r>
        <w:rPr>
          <w:rFonts w:ascii="Segoe UI"/>
          <w:color w:val="231F20"/>
          <w:spacing w:val="23"/>
          <w:w w:val="99"/>
          <w:sz w:val="16"/>
        </w:rPr>
        <w:t> </w:t>
      </w:r>
      <w:r>
        <w:rPr>
          <w:rFonts w:ascii="Segoe UI"/>
          <w:color w:val="231F20"/>
          <w:sz w:val="16"/>
        </w:rPr>
        <w:t>rate</w:t>
      </w:r>
      <w:r>
        <w:rPr>
          <w:rFonts w:ascii="Segoe UI"/>
          <w:color w:val="231F20"/>
          <w:spacing w:val="-6"/>
          <w:sz w:val="16"/>
        </w:rPr>
        <w:t> </w:t>
      </w:r>
      <w:r>
        <w:rPr>
          <w:rFonts w:ascii="Segoe UI"/>
          <w:color w:val="231F20"/>
          <w:sz w:val="16"/>
        </w:rPr>
        <w:t>was</w:t>
      </w:r>
      <w:r>
        <w:rPr>
          <w:rFonts w:ascii="Segoe UI"/>
          <w:color w:val="231F20"/>
          <w:spacing w:val="-6"/>
          <w:sz w:val="16"/>
        </w:rPr>
        <w:t> </w:t>
      </w:r>
      <w:r>
        <w:rPr>
          <w:rFonts w:ascii="Segoe UI"/>
          <w:color w:val="231F20"/>
          <w:sz w:val="16"/>
        </w:rPr>
        <w:t>allocated</w:t>
      </w:r>
      <w:r>
        <w:rPr>
          <w:rFonts w:ascii="Segoe UI"/>
          <w:color w:val="231F20"/>
          <w:spacing w:val="-6"/>
          <w:sz w:val="16"/>
        </w:rPr>
        <w:t> </w:t>
      </w:r>
      <w:r>
        <w:rPr>
          <w:rFonts w:ascii="Segoe UI"/>
          <w:color w:val="231F20"/>
          <w:sz w:val="16"/>
        </w:rPr>
        <w:t>to</w:t>
      </w:r>
      <w:r>
        <w:rPr>
          <w:rFonts w:ascii="Segoe UI"/>
          <w:color w:val="231F20"/>
          <w:spacing w:val="-5"/>
          <w:sz w:val="16"/>
        </w:rPr>
        <w:t> </w:t>
      </w:r>
      <w:r>
        <w:rPr>
          <w:rFonts w:ascii="Segoe UI"/>
          <w:color w:val="231F20"/>
          <w:sz w:val="16"/>
        </w:rPr>
        <w:t>the</w:t>
      </w:r>
      <w:r>
        <w:rPr>
          <w:rFonts w:ascii="Segoe UI"/>
          <w:color w:val="231F20"/>
          <w:spacing w:val="-6"/>
          <w:sz w:val="16"/>
        </w:rPr>
        <w:t> </w:t>
      </w:r>
      <w:r>
        <w:rPr>
          <w:rFonts w:ascii="Segoe UI"/>
          <w:color w:val="231F20"/>
          <w:spacing w:val="-1"/>
          <w:sz w:val="16"/>
        </w:rPr>
        <w:t>standalone</w:t>
      </w:r>
      <w:r>
        <w:rPr>
          <w:rFonts w:ascii="Segoe UI"/>
          <w:color w:val="231F20"/>
          <w:spacing w:val="-4"/>
          <w:sz w:val="16"/>
        </w:rPr>
        <w:t> </w:t>
      </w:r>
      <w:r>
        <w:rPr>
          <w:rFonts w:ascii="Segoe UI"/>
          <w:color w:val="231F20"/>
          <w:sz w:val="16"/>
        </w:rPr>
        <w:t>boarding</w:t>
      </w:r>
      <w:r>
        <w:rPr>
          <w:rFonts w:ascii="Segoe UI"/>
          <w:color w:val="231F20"/>
          <w:spacing w:val="22"/>
          <w:w w:val="99"/>
          <w:sz w:val="16"/>
        </w:rPr>
        <w:t> </w:t>
      </w:r>
      <w:r>
        <w:rPr>
          <w:rFonts w:ascii="Segoe UI"/>
          <w:color w:val="231F20"/>
          <w:sz w:val="16"/>
        </w:rPr>
        <w:t>provider</w:t>
      </w:r>
      <w:r>
        <w:rPr>
          <w:rFonts w:ascii="Segoe UI"/>
          <w:sz w:val="16"/>
        </w:rPr>
      </w:r>
    </w:p>
    <w:p>
      <w:pPr>
        <w:numPr>
          <w:ilvl w:val="0"/>
          <w:numId w:val="15"/>
        </w:numPr>
        <w:tabs>
          <w:tab w:pos="728" w:val="left" w:leader="none"/>
        </w:tabs>
        <w:spacing w:line="200" w:lineRule="exact" w:before="113"/>
        <w:ind w:left="727" w:right="131" w:hanging="567"/>
        <w:jc w:val="left"/>
        <w:rPr>
          <w:rFonts w:ascii="Segoe UI" w:hAnsi="Segoe UI" w:cs="Segoe UI" w:eastAsia="Segoe UI"/>
          <w:sz w:val="16"/>
          <w:szCs w:val="16"/>
        </w:rPr>
      </w:pPr>
      <w:r>
        <w:rPr>
          <w:rFonts w:ascii="Segoe UI"/>
          <w:color w:val="231F20"/>
          <w:sz w:val="16"/>
        </w:rPr>
        <w:t>Australian</w:t>
      </w:r>
      <w:r>
        <w:rPr>
          <w:rFonts w:ascii="Segoe UI"/>
          <w:color w:val="231F20"/>
          <w:spacing w:val="-5"/>
          <w:sz w:val="16"/>
        </w:rPr>
        <w:t> </w:t>
      </w:r>
      <w:r>
        <w:rPr>
          <w:rFonts w:ascii="Segoe UI"/>
          <w:color w:val="231F20"/>
          <w:spacing w:val="-1"/>
          <w:sz w:val="16"/>
        </w:rPr>
        <w:t>Bureau</w:t>
      </w:r>
      <w:r>
        <w:rPr>
          <w:rFonts w:ascii="Segoe UI"/>
          <w:color w:val="231F20"/>
          <w:spacing w:val="-4"/>
          <w:sz w:val="16"/>
        </w:rPr>
        <w:t> </w:t>
      </w:r>
      <w:r>
        <w:rPr>
          <w:rFonts w:ascii="Segoe UI"/>
          <w:color w:val="231F20"/>
          <w:sz w:val="16"/>
        </w:rPr>
        <w:t>of</w:t>
      </w:r>
      <w:r>
        <w:rPr>
          <w:rFonts w:ascii="Segoe UI"/>
          <w:color w:val="231F20"/>
          <w:spacing w:val="-4"/>
          <w:sz w:val="16"/>
        </w:rPr>
        <w:t> </w:t>
      </w:r>
      <w:r>
        <w:rPr>
          <w:rFonts w:ascii="Segoe UI"/>
          <w:color w:val="231F20"/>
          <w:spacing w:val="-1"/>
          <w:sz w:val="16"/>
        </w:rPr>
        <w:t>Statistics,</w:t>
      </w:r>
      <w:r>
        <w:rPr>
          <w:rFonts w:ascii="Segoe UI"/>
          <w:color w:val="231F20"/>
          <w:spacing w:val="-5"/>
          <w:sz w:val="16"/>
        </w:rPr>
        <w:t> </w:t>
      </w:r>
      <w:r>
        <w:rPr>
          <w:rFonts w:ascii="Segoe UI"/>
          <w:i/>
          <w:color w:val="231F20"/>
          <w:sz w:val="16"/>
        </w:rPr>
        <w:t>Aboriginal</w:t>
      </w:r>
      <w:r>
        <w:rPr>
          <w:rFonts w:ascii="Segoe UI"/>
          <w:i/>
          <w:color w:val="231F20"/>
          <w:spacing w:val="-6"/>
          <w:sz w:val="16"/>
        </w:rPr>
        <w:t> </w:t>
      </w:r>
      <w:r>
        <w:rPr>
          <w:rFonts w:ascii="Segoe UI"/>
          <w:i/>
          <w:color w:val="231F20"/>
          <w:sz w:val="16"/>
        </w:rPr>
        <w:t>and</w:t>
      </w:r>
      <w:r>
        <w:rPr>
          <w:rFonts w:ascii="Segoe UI"/>
          <w:i/>
          <w:color w:val="231F20"/>
          <w:spacing w:val="-4"/>
          <w:sz w:val="16"/>
        </w:rPr>
        <w:t> </w:t>
      </w:r>
      <w:r>
        <w:rPr>
          <w:rFonts w:ascii="Segoe UI"/>
          <w:i/>
          <w:color w:val="231F20"/>
          <w:spacing w:val="-3"/>
          <w:sz w:val="16"/>
        </w:rPr>
        <w:t>Torres</w:t>
      </w:r>
      <w:r>
        <w:rPr>
          <w:rFonts w:ascii="Segoe UI"/>
          <w:i/>
          <w:color w:val="231F20"/>
          <w:spacing w:val="28"/>
          <w:w w:val="99"/>
          <w:sz w:val="16"/>
        </w:rPr>
        <w:t> </w:t>
      </w:r>
      <w:r>
        <w:rPr>
          <w:rFonts w:ascii="Segoe UI"/>
          <w:i/>
          <w:color w:val="231F20"/>
          <w:spacing w:val="-1"/>
          <w:sz w:val="16"/>
        </w:rPr>
        <w:t>Strait</w:t>
      </w:r>
      <w:r>
        <w:rPr>
          <w:rFonts w:ascii="Segoe UI"/>
          <w:i/>
          <w:color w:val="231F20"/>
          <w:spacing w:val="-5"/>
          <w:sz w:val="16"/>
        </w:rPr>
        <w:t> </w:t>
      </w:r>
      <w:r>
        <w:rPr>
          <w:rFonts w:ascii="Segoe UI"/>
          <w:i/>
          <w:color w:val="231F20"/>
          <w:spacing w:val="-1"/>
          <w:sz w:val="16"/>
        </w:rPr>
        <w:t>Islander</w:t>
      </w:r>
      <w:r>
        <w:rPr>
          <w:rFonts w:ascii="Segoe UI"/>
          <w:i/>
          <w:color w:val="231F20"/>
          <w:spacing w:val="-4"/>
          <w:sz w:val="16"/>
        </w:rPr>
        <w:t> </w:t>
      </w:r>
      <w:r>
        <w:rPr>
          <w:rFonts w:ascii="Segoe UI"/>
          <w:i/>
          <w:color w:val="231F20"/>
          <w:spacing w:val="-2"/>
          <w:sz w:val="16"/>
        </w:rPr>
        <w:t>Population,</w:t>
      </w:r>
      <w:r>
        <w:rPr>
          <w:rFonts w:ascii="Segoe UI"/>
          <w:i/>
          <w:color w:val="231F20"/>
          <w:spacing w:val="-5"/>
          <w:sz w:val="16"/>
        </w:rPr>
        <w:t> </w:t>
      </w:r>
      <w:r>
        <w:rPr>
          <w:rFonts w:ascii="Segoe UI"/>
          <w:i/>
          <w:color w:val="231F20"/>
          <w:sz w:val="16"/>
        </w:rPr>
        <w:t>2016</w:t>
      </w:r>
      <w:r>
        <w:rPr>
          <w:rFonts w:ascii="Segoe UI"/>
          <w:color w:val="231F20"/>
          <w:sz w:val="16"/>
        </w:rPr>
        <w:t>,</w:t>
      </w:r>
      <w:r>
        <w:rPr>
          <w:rFonts w:ascii="Segoe UI"/>
          <w:color w:val="231F20"/>
          <w:spacing w:val="-4"/>
          <w:sz w:val="16"/>
        </w:rPr>
        <w:t> </w:t>
      </w:r>
      <w:r>
        <w:rPr>
          <w:rFonts w:ascii="Segoe UI"/>
          <w:color w:val="3853A4"/>
          <w:spacing w:val="-4"/>
          <w:sz w:val="16"/>
        </w:rPr>
      </w:r>
      <w:hyperlink r:id="rId92">
        <w:r>
          <w:rPr>
            <w:rFonts w:ascii="Segoe UI"/>
            <w:color w:val="3853A4"/>
            <w:spacing w:val="-1"/>
            <w:sz w:val="16"/>
            <w:u w:val="single" w:color="3853A4"/>
          </w:rPr>
          <w:t>www.abs.gov.au</w:t>
        </w:r>
        <w:r>
          <w:rPr>
            <w:rFonts w:ascii="Segoe UI"/>
            <w:color w:val="3853A4"/>
            <w:sz w:val="16"/>
          </w:rPr>
        </w:r>
        <w:r>
          <w:rPr>
            <w:rFonts w:ascii="Segoe UI"/>
            <w:color w:val="231F20"/>
            <w:spacing w:val="-1"/>
            <w:sz w:val="16"/>
          </w:rPr>
          <w:t>,</w:t>
        </w:r>
      </w:hyperlink>
      <w:r>
        <w:rPr>
          <w:rFonts w:ascii="Segoe UI"/>
          <w:color w:val="231F20"/>
          <w:spacing w:val="57"/>
          <w:w w:val="99"/>
          <w:sz w:val="16"/>
        </w:rPr>
        <w:t> </w:t>
      </w:r>
      <w:r>
        <w:rPr>
          <w:rFonts w:ascii="Segoe UI"/>
          <w:color w:val="231F20"/>
          <w:sz w:val="16"/>
        </w:rPr>
        <w:t>accessed</w:t>
      </w:r>
      <w:r>
        <w:rPr>
          <w:rFonts w:ascii="Segoe UI"/>
          <w:color w:val="231F20"/>
          <w:spacing w:val="-3"/>
          <w:sz w:val="16"/>
        </w:rPr>
        <w:t> </w:t>
      </w:r>
      <w:r>
        <w:rPr>
          <w:rFonts w:ascii="Segoe UI"/>
          <w:color w:val="231F20"/>
          <w:spacing w:val="-1"/>
          <w:sz w:val="16"/>
        </w:rPr>
        <w:t>in</w:t>
      </w:r>
      <w:r>
        <w:rPr>
          <w:rFonts w:ascii="Segoe UI"/>
          <w:color w:val="231F20"/>
          <w:spacing w:val="-2"/>
          <w:sz w:val="16"/>
        </w:rPr>
        <w:t> </w:t>
      </w:r>
      <w:r>
        <w:rPr>
          <w:rFonts w:ascii="Segoe UI"/>
          <w:color w:val="231F20"/>
          <w:sz w:val="16"/>
        </w:rPr>
        <w:t>January</w:t>
      </w:r>
      <w:r>
        <w:rPr>
          <w:rFonts w:ascii="Segoe UI"/>
          <w:color w:val="231F20"/>
          <w:spacing w:val="-2"/>
          <w:sz w:val="16"/>
        </w:rPr>
        <w:t> </w:t>
      </w:r>
      <w:r>
        <w:rPr>
          <w:rFonts w:ascii="Segoe UI"/>
          <w:color w:val="231F20"/>
          <w:sz w:val="16"/>
        </w:rPr>
        <w:t>2019</w:t>
      </w:r>
      <w:r>
        <w:rPr>
          <w:rFonts w:ascii="Segoe UI"/>
          <w:sz w:val="16"/>
        </w:rPr>
      </w:r>
    </w:p>
    <w:p>
      <w:pPr>
        <w:numPr>
          <w:ilvl w:val="0"/>
          <w:numId w:val="15"/>
        </w:numPr>
        <w:tabs>
          <w:tab w:pos="728" w:val="left" w:leader="none"/>
        </w:tabs>
        <w:spacing w:line="206" w:lineRule="exact" w:before="100"/>
        <w:ind w:left="727" w:right="0" w:hanging="567"/>
        <w:jc w:val="left"/>
        <w:rPr>
          <w:rFonts w:ascii="Segoe UI" w:hAnsi="Segoe UI" w:cs="Segoe UI" w:eastAsia="Segoe UI"/>
          <w:sz w:val="16"/>
          <w:szCs w:val="16"/>
        </w:rPr>
      </w:pPr>
      <w:r>
        <w:rPr>
          <w:rFonts w:ascii="Segoe UI"/>
          <w:color w:val="231F20"/>
          <w:spacing w:val="-1"/>
          <w:sz w:val="16"/>
        </w:rPr>
        <w:t>Department</w:t>
      </w:r>
      <w:r>
        <w:rPr>
          <w:rFonts w:ascii="Segoe UI"/>
          <w:color w:val="231F20"/>
          <w:spacing w:val="-4"/>
          <w:sz w:val="16"/>
        </w:rPr>
        <w:t> </w:t>
      </w:r>
      <w:r>
        <w:rPr>
          <w:rFonts w:ascii="Segoe UI"/>
          <w:color w:val="231F20"/>
          <w:sz w:val="16"/>
        </w:rPr>
        <w:t>of</w:t>
      </w:r>
      <w:r>
        <w:rPr>
          <w:rFonts w:ascii="Segoe UI"/>
          <w:color w:val="231F20"/>
          <w:spacing w:val="-4"/>
          <w:sz w:val="16"/>
        </w:rPr>
        <w:t> </w:t>
      </w:r>
      <w:r>
        <w:rPr>
          <w:rFonts w:ascii="Segoe UI"/>
          <w:color w:val="231F20"/>
          <w:sz w:val="16"/>
        </w:rPr>
        <w:t>the</w:t>
      </w:r>
      <w:r>
        <w:rPr>
          <w:rFonts w:ascii="Segoe UI"/>
          <w:color w:val="231F20"/>
          <w:spacing w:val="-5"/>
          <w:sz w:val="16"/>
        </w:rPr>
        <w:t> </w:t>
      </w:r>
      <w:r>
        <w:rPr>
          <w:rFonts w:ascii="Segoe UI"/>
          <w:color w:val="231F20"/>
          <w:sz w:val="16"/>
        </w:rPr>
        <w:t>Prime</w:t>
      </w:r>
      <w:r>
        <w:rPr>
          <w:rFonts w:ascii="Segoe UI"/>
          <w:color w:val="231F20"/>
          <w:spacing w:val="-4"/>
          <w:sz w:val="16"/>
        </w:rPr>
        <w:t> </w:t>
      </w:r>
      <w:r>
        <w:rPr>
          <w:rFonts w:ascii="Segoe UI"/>
          <w:color w:val="231F20"/>
          <w:spacing w:val="-1"/>
          <w:sz w:val="16"/>
        </w:rPr>
        <w:t>Minister</w:t>
      </w:r>
      <w:r>
        <w:rPr>
          <w:rFonts w:ascii="Segoe UI"/>
          <w:color w:val="231F20"/>
          <w:spacing w:val="-4"/>
          <w:sz w:val="16"/>
        </w:rPr>
        <w:t> </w:t>
      </w:r>
      <w:r>
        <w:rPr>
          <w:rFonts w:ascii="Segoe UI"/>
          <w:color w:val="231F20"/>
          <w:sz w:val="16"/>
        </w:rPr>
        <w:t>and</w:t>
      </w:r>
      <w:r>
        <w:rPr>
          <w:rFonts w:ascii="Segoe UI"/>
          <w:color w:val="231F20"/>
          <w:spacing w:val="-5"/>
          <w:sz w:val="16"/>
        </w:rPr>
        <w:t> </w:t>
      </w:r>
      <w:r>
        <w:rPr>
          <w:rFonts w:ascii="Segoe UI"/>
          <w:color w:val="231F20"/>
          <w:spacing w:val="-1"/>
          <w:sz w:val="16"/>
        </w:rPr>
        <w:t>Cabinet,</w:t>
      </w:r>
      <w:r>
        <w:rPr>
          <w:rFonts w:ascii="Segoe UI"/>
          <w:sz w:val="16"/>
        </w:rPr>
      </w:r>
    </w:p>
    <w:p>
      <w:pPr>
        <w:spacing w:line="200" w:lineRule="exact" w:before="0"/>
        <w:ind w:left="727" w:right="0" w:firstLine="0"/>
        <w:jc w:val="left"/>
        <w:rPr>
          <w:rFonts w:ascii="Segoe UI" w:hAnsi="Segoe UI" w:cs="Segoe UI" w:eastAsia="Segoe UI"/>
          <w:sz w:val="16"/>
          <w:szCs w:val="16"/>
        </w:rPr>
      </w:pPr>
      <w:r>
        <w:rPr>
          <w:rFonts w:ascii="Segoe UI" w:hAnsi="Segoe UI" w:cs="Segoe UI" w:eastAsia="Segoe UI"/>
          <w:i/>
          <w:color w:val="231F20"/>
          <w:spacing w:val="-1"/>
          <w:sz w:val="16"/>
          <w:szCs w:val="16"/>
        </w:rPr>
        <w:t>Closing</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the</w:t>
      </w:r>
      <w:r>
        <w:rPr>
          <w:rFonts w:ascii="Segoe UI" w:hAnsi="Segoe UI" w:cs="Segoe UI" w:eastAsia="Segoe UI"/>
          <w:i/>
          <w:color w:val="231F20"/>
          <w:spacing w:val="-3"/>
          <w:sz w:val="16"/>
          <w:szCs w:val="16"/>
        </w:rPr>
        <w:t> </w:t>
      </w:r>
      <w:r>
        <w:rPr>
          <w:rFonts w:ascii="Segoe UI" w:hAnsi="Segoe UI" w:cs="Segoe UI" w:eastAsia="Segoe UI"/>
          <w:i/>
          <w:color w:val="231F20"/>
          <w:sz w:val="16"/>
          <w:szCs w:val="16"/>
        </w:rPr>
        <w:t>Gap:</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Prime</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Minister’s</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Report</w:t>
      </w:r>
      <w:r>
        <w:rPr>
          <w:rFonts w:ascii="Segoe UI" w:hAnsi="Segoe UI" w:cs="Segoe UI" w:eastAsia="Segoe UI"/>
          <w:i/>
          <w:color w:val="231F20"/>
          <w:spacing w:val="-4"/>
          <w:sz w:val="16"/>
          <w:szCs w:val="16"/>
        </w:rPr>
        <w:t> </w:t>
      </w:r>
      <w:r>
        <w:rPr>
          <w:rFonts w:ascii="Segoe UI" w:hAnsi="Segoe UI" w:cs="Segoe UI" w:eastAsia="Segoe UI"/>
          <w:i/>
          <w:color w:val="231F20"/>
          <w:sz w:val="16"/>
          <w:szCs w:val="16"/>
        </w:rPr>
        <w:t>2018</w:t>
      </w:r>
      <w:r>
        <w:rPr>
          <w:rFonts w:ascii="Segoe UI" w:hAnsi="Segoe UI" w:cs="Segoe UI" w:eastAsia="Segoe UI"/>
          <w:color w:val="231F20"/>
          <w:sz w:val="16"/>
          <w:szCs w:val="16"/>
        </w:rPr>
        <w:t>,</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2018,</w:t>
      </w:r>
      <w:r>
        <w:rPr>
          <w:rFonts w:ascii="Segoe UI" w:hAnsi="Segoe UI" w:cs="Segoe UI" w:eastAsia="Segoe UI"/>
          <w:sz w:val="16"/>
          <w:szCs w:val="16"/>
        </w:rPr>
      </w:r>
    </w:p>
    <w:p>
      <w:pPr>
        <w:spacing w:line="200" w:lineRule="exact" w:before="6"/>
        <w:ind w:left="727" w:right="131" w:firstLine="0"/>
        <w:jc w:val="left"/>
        <w:rPr>
          <w:rFonts w:ascii="Segoe UI" w:hAnsi="Segoe UI" w:cs="Segoe UI" w:eastAsia="Segoe UI"/>
          <w:sz w:val="16"/>
          <w:szCs w:val="16"/>
        </w:rPr>
      </w:pPr>
      <w:r>
        <w:rPr>
          <w:rFonts w:ascii="Segoe UI"/>
          <w:color w:val="231F20"/>
          <w:sz w:val="16"/>
        </w:rPr>
        <w:t>p.</w:t>
      </w:r>
      <w:r>
        <w:rPr>
          <w:rFonts w:ascii="Segoe UI"/>
          <w:color w:val="231F20"/>
          <w:spacing w:val="-3"/>
          <w:sz w:val="16"/>
        </w:rPr>
        <w:t> </w:t>
      </w:r>
      <w:r>
        <w:rPr>
          <w:rFonts w:ascii="Segoe UI"/>
          <w:color w:val="231F20"/>
          <w:spacing w:val="-1"/>
          <w:sz w:val="16"/>
        </w:rPr>
        <w:t>66,</w:t>
      </w:r>
      <w:r>
        <w:rPr>
          <w:rFonts w:ascii="Segoe UI"/>
          <w:color w:val="231F20"/>
          <w:spacing w:val="-3"/>
          <w:sz w:val="16"/>
        </w:rPr>
        <w:t> </w:t>
      </w:r>
      <w:r>
        <w:rPr>
          <w:rFonts w:ascii="Segoe UI"/>
          <w:color w:val="231F20"/>
          <w:spacing w:val="-1"/>
          <w:sz w:val="16"/>
        </w:rPr>
        <w:t>Source:</w:t>
      </w:r>
      <w:r>
        <w:rPr>
          <w:rFonts w:ascii="Segoe UI"/>
          <w:color w:val="231F20"/>
          <w:spacing w:val="-3"/>
          <w:sz w:val="16"/>
        </w:rPr>
        <w:t> </w:t>
      </w:r>
      <w:r>
        <w:rPr>
          <w:rFonts w:ascii="Segoe UI"/>
          <w:color w:val="231F20"/>
          <w:spacing w:val="-1"/>
          <w:sz w:val="16"/>
        </w:rPr>
        <w:t>Steering</w:t>
      </w:r>
      <w:r>
        <w:rPr>
          <w:rFonts w:ascii="Segoe UI"/>
          <w:color w:val="231F20"/>
          <w:spacing w:val="-4"/>
          <w:sz w:val="16"/>
        </w:rPr>
        <w:t> </w:t>
      </w:r>
      <w:r>
        <w:rPr>
          <w:rFonts w:ascii="Segoe UI"/>
          <w:color w:val="231F20"/>
          <w:spacing w:val="-1"/>
          <w:sz w:val="16"/>
        </w:rPr>
        <w:t>Committee</w:t>
      </w:r>
      <w:r>
        <w:rPr>
          <w:rFonts w:ascii="Segoe UI"/>
          <w:color w:val="231F20"/>
          <w:spacing w:val="-3"/>
          <w:sz w:val="16"/>
        </w:rPr>
        <w:t> </w:t>
      </w:r>
      <w:r>
        <w:rPr>
          <w:rFonts w:ascii="Segoe UI"/>
          <w:color w:val="231F20"/>
          <w:sz w:val="16"/>
        </w:rPr>
        <w:t>for</w:t>
      </w:r>
      <w:r>
        <w:rPr>
          <w:rFonts w:ascii="Segoe UI"/>
          <w:color w:val="231F20"/>
          <w:spacing w:val="-3"/>
          <w:sz w:val="16"/>
        </w:rPr>
        <w:t> </w:t>
      </w:r>
      <w:r>
        <w:rPr>
          <w:rFonts w:ascii="Segoe UI"/>
          <w:color w:val="231F20"/>
          <w:sz w:val="16"/>
        </w:rPr>
        <w:t>the</w:t>
      </w:r>
      <w:r>
        <w:rPr>
          <w:rFonts w:ascii="Segoe UI"/>
          <w:color w:val="231F20"/>
          <w:spacing w:val="-4"/>
          <w:sz w:val="16"/>
        </w:rPr>
        <w:t> </w:t>
      </w:r>
      <w:r>
        <w:rPr>
          <w:rFonts w:ascii="Segoe UI"/>
          <w:color w:val="231F20"/>
          <w:spacing w:val="-1"/>
          <w:sz w:val="16"/>
        </w:rPr>
        <w:t>Review</w:t>
      </w:r>
      <w:r>
        <w:rPr>
          <w:rFonts w:ascii="Segoe UI"/>
          <w:color w:val="231F20"/>
          <w:spacing w:val="-4"/>
          <w:sz w:val="16"/>
        </w:rPr>
        <w:t> </w:t>
      </w:r>
      <w:r>
        <w:rPr>
          <w:rFonts w:ascii="Segoe UI"/>
          <w:color w:val="231F20"/>
          <w:sz w:val="16"/>
        </w:rPr>
        <w:t>of</w:t>
      </w:r>
      <w:r>
        <w:rPr>
          <w:rFonts w:ascii="Segoe UI"/>
          <w:color w:val="231F20"/>
          <w:spacing w:val="27"/>
          <w:w w:val="99"/>
          <w:sz w:val="16"/>
        </w:rPr>
        <w:t> </w:t>
      </w:r>
      <w:r>
        <w:rPr>
          <w:rFonts w:ascii="Segoe UI"/>
          <w:color w:val="231F20"/>
          <w:sz w:val="16"/>
        </w:rPr>
        <w:t>Government</w:t>
      </w:r>
      <w:r>
        <w:rPr>
          <w:rFonts w:ascii="Segoe UI"/>
          <w:color w:val="231F20"/>
          <w:spacing w:val="-5"/>
          <w:sz w:val="16"/>
        </w:rPr>
        <w:t> </w:t>
      </w:r>
      <w:r>
        <w:rPr>
          <w:rFonts w:ascii="Segoe UI"/>
          <w:color w:val="231F20"/>
          <w:spacing w:val="-1"/>
          <w:sz w:val="16"/>
        </w:rPr>
        <w:t>Service</w:t>
      </w:r>
      <w:r>
        <w:rPr>
          <w:rFonts w:ascii="Segoe UI"/>
          <w:color w:val="231F20"/>
          <w:spacing w:val="-5"/>
          <w:sz w:val="16"/>
        </w:rPr>
        <w:t> </w:t>
      </w:r>
      <w:r>
        <w:rPr>
          <w:rFonts w:ascii="Segoe UI"/>
          <w:color w:val="231F20"/>
          <w:sz w:val="16"/>
        </w:rPr>
        <w:t>Provision,</w:t>
      </w:r>
      <w:r>
        <w:rPr>
          <w:rFonts w:ascii="Segoe UI"/>
          <w:color w:val="231F20"/>
          <w:spacing w:val="-4"/>
          <w:sz w:val="16"/>
        </w:rPr>
        <w:t> </w:t>
      </w:r>
      <w:r>
        <w:rPr>
          <w:rFonts w:ascii="Segoe UI"/>
          <w:color w:val="231F20"/>
          <w:sz w:val="16"/>
        </w:rPr>
        <w:t>2016</w:t>
      </w:r>
      <w:r>
        <w:rPr>
          <w:rFonts w:ascii="Segoe UI"/>
          <w:sz w:val="16"/>
        </w:rPr>
      </w:r>
    </w:p>
    <w:p>
      <w:pPr>
        <w:numPr>
          <w:ilvl w:val="0"/>
          <w:numId w:val="15"/>
        </w:numPr>
        <w:tabs>
          <w:tab w:pos="728" w:val="left" w:leader="none"/>
        </w:tabs>
        <w:spacing w:line="200" w:lineRule="exact" w:before="113"/>
        <w:ind w:left="727" w:right="222" w:hanging="567"/>
        <w:jc w:val="left"/>
        <w:rPr>
          <w:rFonts w:ascii="Segoe UI" w:hAnsi="Segoe UI" w:cs="Segoe UI" w:eastAsia="Segoe UI"/>
          <w:sz w:val="16"/>
          <w:szCs w:val="16"/>
        </w:rPr>
      </w:pPr>
      <w:r>
        <w:rPr/>
        <w:pict>
          <v:group style="position:absolute;margin-left:391.656799pt;margin-top:14.342606pt;width:106.7pt;height:.1pt;mso-position-horizontal-relative:page;mso-position-vertical-relative:paragraph;z-index:-219352" coordorigin="7833,287" coordsize="2134,2">
            <v:shape style="position:absolute;left:7833;top:287;width:2134;height:2" coordorigin="7833,287" coordsize="2134,0" path="m7833,287l9966,287e" filled="false" stroked="true" strokeweight=".465pt" strokecolor="#3853a4">
              <v:path arrowok="t"/>
            </v:shape>
            <w10:wrap type="none"/>
          </v:group>
        </w:pict>
      </w:r>
      <w:r>
        <w:rPr>
          <w:rFonts w:ascii="Segoe UI"/>
          <w:color w:val="231F20"/>
          <w:spacing w:val="-1"/>
          <w:sz w:val="16"/>
        </w:rPr>
        <w:t>Sourced</w:t>
      </w:r>
      <w:r>
        <w:rPr>
          <w:rFonts w:ascii="Segoe UI"/>
          <w:color w:val="231F20"/>
          <w:spacing w:val="-16"/>
          <w:sz w:val="16"/>
        </w:rPr>
        <w:t> </w:t>
      </w:r>
      <w:r>
        <w:rPr>
          <w:rFonts w:ascii="Segoe UI"/>
          <w:color w:val="231F20"/>
          <w:sz w:val="16"/>
        </w:rPr>
        <w:t>from</w:t>
      </w:r>
      <w:r>
        <w:rPr>
          <w:rFonts w:ascii="Segoe UI"/>
          <w:color w:val="231F20"/>
          <w:spacing w:val="-15"/>
          <w:sz w:val="16"/>
        </w:rPr>
        <w:t> </w:t>
      </w:r>
      <w:hyperlink r:id="rId117">
        <w:r>
          <w:rPr>
            <w:rFonts w:ascii="Segoe UI"/>
            <w:color w:val="3853A4"/>
            <w:spacing w:val="-1"/>
            <w:sz w:val="16"/>
          </w:rPr>
          <w:t>http://www.wesleycollege.net/</w:t>
        </w:r>
      </w:hyperlink>
      <w:r>
        <w:rPr>
          <w:rFonts w:ascii="Segoe UI"/>
          <w:color w:val="3853A4"/>
          <w:spacing w:val="-1"/>
          <w:w w:val="99"/>
          <w:sz w:val="16"/>
        </w:rPr>
        <w:t> </w:t>
      </w:r>
      <w:r>
        <w:rPr>
          <w:rFonts w:ascii="Segoe UI"/>
          <w:color w:val="3853A4"/>
          <w:spacing w:val="-1"/>
          <w:sz w:val="16"/>
        </w:rPr>
      </w:r>
      <w:r>
        <w:rPr>
          <w:rFonts w:ascii="Segoe UI"/>
          <w:color w:val="3853A4"/>
          <w:spacing w:val="-1"/>
          <w:sz w:val="16"/>
        </w:rPr>
        <w:t> </w:t>
      </w:r>
      <w:r>
        <w:rPr>
          <w:rFonts w:ascii="Segoe UI"/>
          <w:color w:val="3853A4"/>
          <w:spacing w:val="-1"/>
          <w:sz w:val="16"/>
          <w:u w:val="single" w:color="3853A4"/>
        </w:rPr>
        <w:t>Wesley-Life/Yiramalay-Wesley-Studio-School.aspx</w:t>
      </w:r>
      <w:r>
        <w:rPr>
          <w:rFonts w:ascii="Segoe UI"/>
          <w:color w:val="3853A4"/>
          <w:sz w:val="16"/>
        </w:rPr>
      </w:r>
      <w:r>
        <w:rPr>
          <w:rFonts w:ascii="Segoe UI"/>
          <w:color w:val="231F20"/>
          <w:spacing w:val="-1"/>
          <w:sz w:val="16"/>
        </w:rPr>
        <w:t>,</w:t>
      </w:r>
      <w:r>
        <w:rPr>
          <w:rFonts w:ascii="Segoe UI"/>
          <w:color w:val="231F20"/>
          <w:spacing w:val="55"/>
          <w:w w:val="99"/>
          <w:sz w:val="16"/>
        </w:rPr>
        <w:t> </w:t>
      </w:r>
      <w:r>
        <w:rPr>
          <w:rFonts w:ascii="Segoe UI"/>
          <w:color w:val="231F20"/>
          <w:sz w:val="16"/>
        </w:rPr>
        <w:t>and</w:t>
      </w:r>
      <w:r>
        <w:rPr>
          <w:rFonts w:ascii="Segoe UI"/>
          <w:color w:val="231F20"/>
          <w:spacing w:val="-4"/>
          <w:sz w:val="16"/>
        </w:rPr>
        <w:t> </w:t>
      </w:r>
      <w:r>
        <w:rPr>
          <w:rFonts w:ascii="Segoe UI"/>
          <w:color w:val="231F20"/>
          <w:sz w:val="16"/>
        </w:rPr>
        <w:t>the</w:t>
      </w:r>
      <w:r>
        <w:rPr>
          <w:rFonts w:ascii="Segoe UI"/>
          <w:color w:val="231F20"/>
          <w:spacing w:val="-4"/>
          <w:sz w:val="16"/>
        </w:rPr>
        <w:t> </w:t>
      </w:r>
      <w:r>
        <w:rPr>
          <w:rFonts w:ascii="Segoe UI"/>
          <w:color w:val="231F20"/>
          <w:spacing w:val="-2"/>
          <w:sz w:val="16"/>
        </w:rPr>
        <w:t>ACARA</w:t>
      </w:r>
      <w:r>
        <w:rPr>
          <w:rFonts w:ascii="Segoe UI"/>
          <w:color w:val="231F20"/>
          <w:spacing w:val="-3"/>
          <w:sz w:val="16"/>
        </w:rPr>
        <w:t> </w:t>
      </w:r>
      <w:r>
        <w:rPr>
          <w:rFonts w:ascii="Segoe UI"/>
          <w:color w:val="231F20"/>
          <w:sz w:val="16"/>
        </w:rPr>
        <w:t>MySchool</w:t>
      </w:r>
      <w:r>
        <w:rPr>
          <w:rFonts w:ascii="Segoe UI"/>
          <w:color w:val="231F20"/>
          <w:spacing w:val="-4"/>
          <w:sz w:val="16"/>
        </w:rPr>
        <w:t> </w:t>
      </w:r>
      <w:r>
        <w:rPr>
          <w:rFonts w:ascii="Segoe UI"/>
          <w:color w:val="231F20"/>
          <w:sz w:val="16"/>
        </w:rPr>
        <w:t>website,</w:t>
      </w:r>
      <w:r>
        <w:rPr>
          <w:rFonts w:ascii="Segoe UI"/>
          <w:color w:val="231F20"/>
          <w:spacing w:val="-4"/>
          <w:sz w:val="16"/>
        </w:rPr>
        <w:t> </w:t>
      </w:r>
      <w:r>
        <w:rPr>
          <w:rFonts w:ascii="Segoe UI"/>
          <w:color w:val="231F20"/>
          <w:sz w:val="16"/>
        </w:rPr>
        <w:t>accessed</w:t>
      </w:r>
      <w:r>
        <w:rPr>
          <w:rFonts w:ascii="Segoe UI"/>
          <w:color w:val="231F20"/>
          <w:spacing w:val="-4"/>
          <w:sz w:val="16"/>
        </w:rPr>
        <w:t> </w:t>
      </w:r>
      <w:r>
        <w:rPr>
          <w:rFonts w:ascii="Segoe UI"/>
          <w:color w:val="231F20"/>
          <w:spacing w:val="-1"/>
          <w:sz w:val="16"/>
        </w:rPr>
        <w:t>in</w:t>
      </w:r>
      <w:r>
        <w:rPr>
          <w:rFonts w:ascii="Segoe UI"/>
          <w:color w:val="231F20"/>
          <w:spacing w:val="23"/>
          <w:sz w:val="16"/>
        </w:rPr>
        <w:t> </w:t>
      </w:r>
      <w:r>
        <w:rPr>
          <w:rFonts w:ascii="Segoe UI"/>
          <w:color w:val="231F20"/>
          <w:sz w:val="16"/>
        </w:rPr>
        <w:t>January</w:t>
      </w:r>
      <w:r>
        <w:rPr>
          <w:rFonts w:ascii="Segoe UI"/>
          <w:color w:val="231F20"/>
          <w:spacing w:val="-6"/>
          <w:sz w:val="16"/>
        </w:rPr>
        <w:t> </w:t>
      </w:r>
      <w:r>
        <w:rPr>
          <w:rFonts w:ascii="Segoe UI"/>
          <w:color w:val="231F20"/>
          <w:sz w:val="16"/>
        </w:rPr>
        <w:t>2019</w:t>
      </w:r>
      <w:r>
        <w:rPr>
          <w:rFonts w:ascii="Segoe UI"/>
          <w:sz w:val="16"/>
        </w:rPr>
      </w:r>
    </w:p>
    <w:p>
      <w:pPr>
        <w:numPr>
          <w:ilvl w:val="0"/>
          <w:numId w:val="15"/>
        </w:numPr>
        <w:tabs>
          <w:tab w:pos="728" w:val="left" w:leader="none"/>
        </w:tabs>
        <w:spacing w:line="200" w:lineRule="exact" w:before="113"/>
        <w:ind w:left="727" w:right="115" w:hanging="567"/>
        <w:jc w:val="left"/>
        <w:rPr>
          <w:rFonts w:ascii="Segoe UI" w:hAnsi="Segoe UI" w:cs="Segoe UI" w:eastAsia="Segoe UI"/>
          <w:sz w:val="16"/>
          <w:szCs w:val="16"/>
        </w:rPr>
      </w:pPr>
      <w:hyperlink r:id="rId127">
        <w:r>
          <w:rPr>
            <w:rFonts w:ascii="Segoe UI"/>
            <w:color w:val="3853A4"/>
            <w:spacing w:val="-1"/>
            <w:sz w:val="16"/>
            <w:u w:val="single" w:color="3853A4"/>
          </w:rPr>
          <w:t>https://www.education.gov.a</w:t>
        </w:r>
      </w:hyperlink>
      <w:r>
        <w:rPr>
          <w:rFonts w:ascii="Segoe UI"/>
          <w:color w:val="3853A4"/>
          <w:spacing w:val="-1"/>
          <w:sz w:val="16"/>
          <w:u w:val="single" w:color="3853A4"/>
        </w:rPr>
        <w:t>u/what-</w:t>
      </w:r>
      <w:hyperlink r:id="rId127">
        <w:r>
          <w:rPr>
            <w:rFonts w:ascii="Segoe UI"/>
            <w:color w:val="3853A4"/>
            <w:spacing w:val="-1"/>
            <w:sz w:val="16"/>
            <w:u w:val="single" w:color="3853A4"/>
          </w:rPr>
          <w:t>schooling-</w:t>
        </w:r>
        <w:r>
          <w:rPr>
            <w:rFonts w:ascii="Segoe UI"/>
            <w:color w:val="3853A4"/>
            <w:spacing w:val="-1"/>
            <w:sz w:val="16"/>
          </w:rPr>
        </w:r>
      </w:hyperlink>
      <w:r>
        <w:rPr>
          <w:rFonts w:ascii="Segoe UI"/>
          <w:color w:val="3853A4"/>
          <w:spacing w:val="-1"/>
          <w:sz w:val="16"/>
        </w:rPr>
        <w:t> </w:t>
      </w:r>
      <w:r>
        <w:rPr>
          <w:rFonts w:ascii="Segoe UI"/>
          <w:color w:val="3853A4"/>
          <w:spacing w:val="-1"/>
          <w:w w:val="99"/>
          <w:sz w:val="16"/>
        </w:rPr>
      </w:r>
      <w:r>
        <w:rPr>
          <w:rFonts w:ascii="Segoe UI"/>
          <w:color w:val="3853A4"/>
          <w:spacing w:val="-1"/>
          <w:w w:val="99"/>
          <w:sz w:val="16"/>
        </w:rPr>
        <w:t> </w:t>
      </w:r>
      <w:r>
        <w:rPr>
          <w:rFonts w:ascii="Segoe UI"/>
          <w:color w:val="3853A4"/>
          <w:spacing w:val="-1"/>
          <w:w w:val="95"/>
          <w:sz w:val="16"/>
          <w:u w:val="single" w:color="3853A4"/>
        </w:rPr>
        <w:t>resource-standard-and-how-does-it-work</w:t>
      </w:r>
      <w:r>
        <w:rPr>
          <w:rFonts w:ascii="Segoe UI"/>
          <w:color w:val="3853A4"/>
          <w:w w:val="95"/>
          <w:sz w:val="16"/>
        </w:rPr>
      </w:r>
      <w:r>
        <w:rPr>
          <w:rFonts w:ascii="Segoe UI"/>
          <w:color w:val="231F20"/>
          <w:spacing w:val="-1"/>
          <w:w w:val="95"/>
          <w:sz w:val="16"/>
        </w:rPr>
        <w:t>,</w:t>
      </w:r>
      <w:r>
        <w:rPr>
          <w:rFonts w:ascii="Segoe UI"/>
          <w:color w:val="231F20"/>
          <w:w w:val="95"/>
          <w:sz w:val="16"/>
        </w:rPr>
        <w:t>   </w:t>
      </w:r>
      <w:r>
        <w:rPr>
          <w:rFonts w:ascii="Segoe UI"/>
          <w:color w:val="231F20"/>
          <w:spacing w:val="28"/>
          <w:w w:val="95"/>
          <w:sz w:val="16"/>
        </w:rPr>
        <w:t> </w:t>
      </w:r>
      <w:r>
        <w:rPr>
          <w:rFonts w:ascii="Segoe UI"/>
          <w:color w:val="231F20"/>
          <w:w w:val="95"/>
          <w:sz w:val="16"/>
        </w:rPr>
        <w:t>accessed</w:t>
      </w:r>
      <w:r>
        <w:rPr>
          <w:rFonts w:ascii="Segoe UI"/>
          <w:color w:val="231F20"/>
          <w:spacing w:val="73"/>
          <w:sz w:val="16"/>
        </w:rPr>
        <w:t> </w:t>
      </w:r>
      <w:r>
        <w:rPr>
          <w:rFonts w:ascii="Segoe UI"/>
          <w:color w:val="231F20"/>
          <w:sz w:val="16"/>
        </w:rPr>
        <w:t>January</w:t>
      </w:r>
      <w:r>
        <w:rPr>
          <w:rFonts w:ascii="Segoe UI"/>
          <w:color w:val="231F20"/>
          <w:spacing w:val="-6"/>
          <w:sz w:val="16"/>
        </w:rPr>
        <w:t> </w:t>
      </w:r>
      <w:r>
        <w:rPr>
          <w:rFonts w:ascii="Segoe UI"/>
          <w:color w:val="231F20"/>
          <w:sz w:val="16"/>
        </w:rPr>
        <w:t>2019</w:t>
      </w:r>
      <w:r>
        <w:rPr>
          <w:rFonts w:ascii="Segoe UI"/>
          <w:sz w:val="16"/>
        </w:rPr>
      </w:r>
    </w:p>
    <w:p>
      <w:pPr>
        <w:numPr>
          <w:ilvl w:val="0"/>
          <w:numId w:val="15"/>
        </w:numPr>
        <w:tabs>
          <w:tab w:pos="728" w:val="left" w:leader="none"/>
        </w:tabs>
        <w:spacing w:line="200" w:lineRule="exact" w:before="113"/>
        <w:ind w:left="727" w:right="121" w:hanging="567"/>
        <w:jc w:val="left"/>
        <w:rPr>
          <w:rFonts w:ascii="Segoe UI" w:hAnsi="Segoe UI" w:cs="Segoe UI" w:eastAsia="Segoe UI"/>
          <w:sz w:val="16"/>
          <w:szCs w:val="16"/>
        </w:rPr>
      </w:pPr>
      <w:r>
        <w:rPr>
          <w:rFonts w:ascii="Segoe UI"/>
          <w:color w:val="231F20"/>
          <w:spacing w:val="-1"/>
          <w:sz w:val="16"/>
        </w:rPr>
        <w:t>Data</w:t>
      </w:r>
      <w:r>
        <w:rPr>
          <w:rFonts w:ascii="Segoe UI"/>
          <w:color w:val="231F20"/>
          <w:spacing w:val="-4"/>
          <w:sz w:val="16"/>
        </w:rPr>
        <w:t> </w:t>
      </w:r>
      <w:r>
        <w:rPr>
          <w:rFonts w:ascii="Segoe UI"/>
          <w:color w:val="231F20"/>
          <w:spacing w:val="-1"/>
          <w:sz w:val="16"/>
        </w:rPr>
        <w:t>supplied</w:t>
      </w:r>
      <w:r>
        <w:rPr>
          <w:rFonts w:ascii="Segoe UI"/>
          <w:color w:val="231F20"/>
          <w:spacing w:val="-4"/>
          <w:sz w:val="16"/>
        </w:rPr>
        <w:t> </w:t>
      </w:r>
      <w:r>
        <w:rPr>
          <w:rFonts w:ascii="Segoe UI"/>
          <w:color w:val="231F20"/>
          <w:sz w:val="16"/>
        </w:rPr>
        <w:t>by</w:t>
      </w:r>
      <w:r>
        <w:rPr>
          <w:rFonts w:ascii="Segoe UI"/>
          <w:color w:val="231F20"/>
          <w:spacing w:val="-4"/>
          <w:sz w:val="16"/>
        </w:rPr>
        <w:t> </w:t>
      </w:r>
      <w:r>
        <w:rPr>
          <w:rFonts w:ascii="Segoe UI"/>
          <w:color w:val="231F20"/>
          <w:sz w:val="16"/>
        </w:rPr>
        <w:t>the</w:t>
      </w:r>
      <w:r>
        <w:rPr>
          <w:rFonts w:ascii="Segoe UI"/>
          <w:color w:val="231F20"/>
          <w:spacing w:val="-4"/>
          <w:sz w:val="16"/>
        </w:rPr>
        <w:t> </w:t>
      </w:r>
      <w:r>
        <w:rPr>
          <w:rFonts w:ascii="Segoe UI"/>
          <w:color w:val="231F20"/>
          <w:spacing w:val="-1"/>
          <w:sz w:val="16"/>
        </w:rPr>
        <w:t>Department</w:t>
      </w:r>
      <w:r>
        <w:rPr>
          <w:rFonts w:ascii="Segoe UI"/>
          <w:color w:val="231F20"/>
          <w:spacing w:val="-4"/>
          <w:sz w:val="16"/>
        </w:rPr>
        <w:t> </w:t>
      </w:r>
      <w:r>
        <w:rPr>
          <w:rFonts w:ascii="Segoe UI"/>
          <w:color w:val="231F20"/>
          <w:sz w:val="16"/>
        </w:rPr>
        <w:t>of</w:t>
      </w:r>
      <w:r>
        <w:rPr>
          <w:rFonts w:ascii="Segoe UI"/>
          <w:color w:val="231F20"/>
          <w:spacing w:val="-4"/>
          <w:sz w:val="16"/>
        </w:rPr>
        <w:t> </w:t>
      </w:r>
      <w:r>
        <w:rPr>
          <w:rFonts w:ascii="Segoe UI"/>
          <w:color w:val="231F20"/>
          <w:sz w:val="16"/>
        </w:rPr>
        <w:t>Human</w:t>
      </w:r>
      <w:r>
        <w:rPr>
          <w:rFonts w:ascii="Segoe UI"/>
          <w:color w:val="231F20"/>
          <w:spacing w:val="27"/>
          <w:w w:val="99"/>
          <w:sz w:val="16"/>
        </w:rPr>
        <w:t> </w:t>
      </w:r>
      <w:r>
        <w:rPr>
          <w:rFonts w:ascii="Segoe UI"/>
          <w:color w:val="231F20"/>
          <w:spacing w:val="-1"/>
          <w:sz w:val="16"/>
        </w:rPr>
        <w:t>Services</w:t>
      </w:r>
      <w:r>
        <w:rPr>
          <w:rFonts w:ascii="Segoe UI"/>
          <w:color w:val="231F20"/>
          <w:spacing w:val="-3"/>
          <w:sz w:val="16"/>
        </w:rPr>
        <w:t> </w:t>
      </w:r>
      <w:r>
        <w:rPr>
          <w:rFonts w:ascii="Segoe UI"/>
          <w:color w:val="231F20"/>
          <w:sz w:val="16"/>
        </w:rPr>
        <w:t>of</w:t>
      </w:r>
      <w:r>
        <w:rPr>
          <w:rFonts w:ascii="Segoe UI"/>
          <w:color w:val="231F20"/>
          <w:spacing w:val="-3"/>
          <w:sz w:val="16"/>
        </w:rPr>
        <w:t> </w:t>
      </w:r>
      <w:r>
        <w:rPr>
          <w:rFonts w:ascii="Segoe UI"/>
          <w:color w:val="231F20"/>
          <w:spacing w:val="-1"/>
          <w:sz w:val="16"/>
        </w:rPr>
        <w:t>215</w:t>
      </w:r>
      <w:r>
        <w:rPr>
          <w:rFonts w:ascii="Segoe UI"/>
          <w:color w:val="231F20"/>
          <w:spacing w:val="-3"/>
          <w:sz w:val="16"/>
        </w:rPr>
        <w:t> </w:t>
      </w:r>
      <w:r>
        <w:rPr>
          <w:rFonts w:ascii="Segoe UI"/>
          <w:color w:val="231F20"/>
          <w:spacing w:val="-1"/>
          <w:sz w:val="16"/>
        </w:rPr>
        <w:t>schools</w:t>
      </w:r>
      <w:r>
        <w:rPr>
          <w:rFonts w:ascii="Segoe UI"/>
          <w:color w:val="231F20"/>
          <w:spacing w:val="-3"/>
          <w:sz w:val="16"/>
        </w:rPr>
        <w:t> </w:t>
      </w:r>
      <w:r>
        <w:rPr>
          <w:rFonts w:ascii="Segoe UI"/>
          <w:color w:val="231F20"/>
          <w:sz w:val="16"/>
        </w:rPr>
        <w:t>and</w:t>
      </w:r>
      <w:r>
        <w:rPr>
          <w:rFonts w:ascii="Segoe UI"/>
          <w:color w:val="231F20"/>
          <w:spacing w:val="-4"/>
          <w:sz w:val="16"/>
        </w:rPr>
        <w:t> </w:t>
      </w:r>
      <w:r>
        <w:rPr>
          <w:rFonts w:ascii="Segoe UI"/>
          <w:color w:val="231F20"/>
          <w:sz w:val="16"/>
        </w:rPr>
        <w:t>boarding</w:t>
      </w:r>
      <w:r>
        <w:rPr>
          <w:rFonts w:ascii="Segoe UI"/>
          <w:color w:val="231F20"/>
          <w:spacing w:val="-4"/>
          <w:sz w:val="16"/>
        </w:rPr>
        <w:t> </w:t>
      </w:r>
      <w:r>
        <w:rPr>
          <w:rFonts w:ascii="Segoe UI"/>
          <w:color w:val="231F20"/>
          <w:sz w:val="16"/>
        </w:rPr>
        <w:t>providers</w:t>
      </w:r>
      <w:r>
        <w:rPr>
          <w:rFonts w:ascii="Segoe UI"/>
          <w:color w:val="231F20"/>
          <w:spacing w:val="-3"/>
          <w:sz w:val="16"/>
        </w:rPr>
        <w:t> </w:t>
      </w:r>
      <w:r>
        <w:rPr>
          <w:rFonts w:ascii="Segoe UI"/>
          <w:color w:val="231F20"/>
          <w:sz w:val="16"/>
        </w:rPr>
        <w:t>that</w:t>
      </w:r>
      <w:r>
        <w:rPr>
          <w:rFonts w:ascii="Segoe UI"/>
          <w:color w:val="231F20"/>
          <w:spacing w:val="24"/>
          <w:w w:val="99"/>
          <w:sz w:val="16"/>
        </w:rPr>
        <w:t> </w:t>
      </w:r>
      <w:r>
        <w:rPr>
          <w:rFonts w:ascii="Segoe UI"/>
          <w:color w:val="231F20"/>
          <w:sz w:val="16"/>
        </w:rPr>
        <w:t>receive</w:t>
      </w:r>
      <w:r>
        <w:rPr>
          <w:rFonts w:ascii="Segoe UI"/>
          <w:color w:val="231F20"/>
          <w:spacing w:val="-4"/>
          <w:sz w:val="16"/>
        </w:rPr>
        <w:t> </w:t>
      </w:r>
      <w:r>
        <w:rPr>
          <w:rFonts w:ascii="Segoe UI"/>
          <w:color w:val="231F20"/>
          <w:sz w:val="16"/>
        </w:rPr>
        <w:t>ABSTUDY</w:t>
      </w:r>
      <w:r>
        <w:rPr>
          <w:rFonts w:ascii="Segoe UI"/>
          <w:color w:val="231F20"/>
          <w:spacing w:val="-2"/>
          <w:sz w:val="16"/>
        </w:rPr>
        <w:t> </w:t>
      </w:r>
      <w:r>
        <w:rPr>
          <w:rFonts w:ascii="Segoe UI"/>
          <w:color w:val="231F20"/>
          <w:sz w:val="16"/>
        </w:rPr>
        <w:t>payments</w:t>
      </w:r>
      <w:r>
        <w:rPr>
          <w:rFonts w:ascii="Segoe UI"/>
          <w:color w:val="231F20"/>
          <w:spacing w:val="-3"/>
          <w:sz w:val="16"/>
        </w:rPr>
        <w:t> </w:t>
      </w:r>
      <w:r>
        <w:rPr>
          <w:rFonts w:ascii="Segoe UI"/>
          <w:color w:val="231F20"/>
          <w:spacing w:val="-1"/>
          <w:sz w:val="16"/>
        </w:rPr>
        <w:t>in</w:t>
      </w:r>
      <w:r>
        <w:rPr>
          <w:rFonts w:ascii="Segoe UI"/>
          <w:color w:val="231F20"/>
          <w:spacing w:val="-3"/>
          <w:sz w:val="16"/>
        </w:rPr>
        <w:t> </w:t>
      </w:r>
      <w:r>
        <w:rPr>
          <w:rFonts w:ascii="Segoe UI"/>
          <w:color w:val="231F20"/>
          <w:spacing w:val="-1"/>
          <w:sz w:val="16"/>
        </w:rPr>
        <w:t>2018</w:t>
      </w:r>
      <w:r>
        <w:rPr>
          <w:rFonts w:ascii="Segoe UI"/>
          <w:color w:val="231F20"/>
          <w:spacing w:val="-2"/>
          <w:sz w:val="16"/>
        </w:rPr>
        <w:t> </w:t>
      </w:r>
      <w:r>
        <w:rPr>
          <w:rFonts w:ascii="Segoe UI"/>
          <w:color w:val="231F20"/>
          <w:sz w:val="16"/>
        </w:rPr>
        <w:t>for</w:t>
      </w:r>
      <w:r>
        <w:rPr>
          <w:rFonts w:ascii="Segoe UI"/>
          <w:color w:val="231F20"/>
          <w:spacing w:val="-2"/>
          <w:sz w:val="16"/>
        </w:rPr>
        <w:t> </w:t>
      </w:r>
      <w:r>
        <w:rPr>
          <w:rFonts w:ascii="Segoe UI"/>
          <w:color w:val="231F20"/>
          <w:spacing w:val="-1"/>
          <w:sz w:val="16"/>
        </w:rPr>
        <w:t>students</w:t>
      </w:r>
      <w:r>
        <w:rPr>
          <w:rFonts w:ascii="Segoe UI"/>
          <w:color w:val="231F20"/>
          <w:spacing w:val="22"/>
          <w:sz w:val="16"/>
        </w:rPr>
        <w:t> </w:t>
      </w:r>
      <w:r>
        <w:rPr>
          <w:rFonts w:ascii="Segoe UI"/>
          <w:color w:val="231F20"/>
          <w:spacing w:val="-1"/>
          <w:sz w:val="16"/>
        </w:rPr>
        <w:t>studying</w:t>
      </w:r>
      <w:r>
        <w:rPr>
          <w:rFonts w:ascii="Segoe UI"/>
          <w:color w:val="231F20"/>
          <w:spacing w:val="-5"/>
          <w:sz w:val="16"/>
        </w:rPr>
        <w:t> </w:t>
      </w:r>
      <w:r>
        <w:rPr>
          <w:rFonts w:ascii="Segoe UI"/>
          <w:color w:val="231F20"/>
          <w:sz w:val="16"/>
        </w:rPr>
        <w:t>away</w:t>
      </w:r>
      <w:r>
        <w:rPr>
          <w:rFonts w:ascii="Segoe UI"/>
          <w:color w:val="231F20"/>
          <w:spacing w:val="-5"/>
          <w:sz w:val="16"/>
        </w:rPr>
        <w:t> </w:t>
      </w:r>
      <w:r>
        <w:rPr>
          <w:rFonts w:ascii="Segoe UI"/>
          <w:color w:val="231F20"/>
          <w:sz w:val="16"/>
        </w:rPr>
        <w:t>from</w:t>
      </w:r>
      <w:r>
        <w:rPr>
          <w:rFonts w:ascii="Segoe UI"/>
          <w:color w:val="231F20"/>
          <w:spacing w:val="-4"/>
          <w:sz w:val="16"/>
        </w:rPr>
        <w:t> </w:t>
      </w:r>
      <w:r>
        <w:rPr>
          <w:rFonts w:ascii="Segoe UI"/>
          <w:color w:val="231F20"/>
          <w:sz w:val="16"/>
        </w:rPr>
        <w:t>home</w:t>
      </w:r>
      <w:r>
        <w:rPr>
          <w:rFonts w:ascii="Segoe UI"/>
          <w:sz w:val="16"/>
        </w:rPr>
      </w:r>
    </w:p>
    <w:p>
      <w:pPr>
        <w:numPr>
          <w:ilvl w:val="0"/>
          <w:numId w:val="15"/>
        </w:numPr>
        <w:tabs>
          <w:tab w:pos="728" w:val="left" w:leader="none"/>
        </w:tabs>
        <w:spacing w:line="200" w:lineRule="exact" w:before="113"/>
        <w:ind w:left="727" w:right="183" w:hanging="567"/>
        <w:jc w:val="left"/>
        <w:rPr>
          <w:rFonts w:ascii="Segoe UI" w:hAnsi="Segoe UI" w:cs="Segoe UI" w:eastAsia="Segoe UI"/>
          <w:sz w:val="16"/>
          <w:szCs w:val="16"/>
        </w:rPr>
      </w:pPr>
      <w:r>
        <w:rPr>
          <w:rFonts w:ascii="Segoe UI"/>
          <w:i/>
          <w:color w:val="231F20"/>
          <w:spacing w:val="-1"/>
          <w:sz w:val="16"/>
        </w:rPr>
        <w:t>Student</w:t>
      </w:r>
      <w:r>
        <w:rPr>
          <w:rFonts w:ascii="Segoe UI"/>
          <w:i/>
          <w:color w:val="231F20"/>
          <w:spacing w:val="-4"/>
          <w:sz w:val="16"/>
        </w:rPr>
        <w:t> </w:t>
      </w:r>
      <w:r>
        <w:rPr>
          <w:rFonts w:ascii="Segoe UI"/>
          <w:i/>
          <w:color w:val="231F20"/>
          <w:sz w:val="16"/>
        </w:rPr>
        <w:t>measures</w:t>
      </w:r>
      <w:r>
        <w:rPr>
          <w:rFonts w:ascii="Segoe UI"/>
          <w:i/>
          <w:color w:val="231F20"/>
          <w:spacing w:val="-4"/>
          <w:sz w:val="16"/>
        </w:rPr>
        <w:t> </w:t>
      </w:r>
      <w:r>
        <w:rPr>
          <w:rFonts w:ascii="Segoe UI"/>
          <w:i/>
          <w:color w:val="231F20"/>
          <w:spacing w:val="-1"/>
          <w:sz w:val="16"/>
        </w:rPr>
        <w:t>2018</w:t>
      </w:r>
      <w:r>
        <w:rPr>
          <w:rFonts w:ascii="Segoe UI"/>
          <w:i/>
          <w:color w:val="231F20"/>
          <w:spacing w:val="-3"/>
          <w:sz w:val="16"/>
        </w:rPr>
        <w:t> </w:t>
      </w:r>
      <w:r>
        <w:rPr>
          <w:rFonts w:ascii="Segoe UI"/>
          <w:i/>
          <w:color w:val="231F20"/>
          <w:spacing w:val="-1"/>
          <w:sz w:val="16"/>
        </w:rPr>
        <w:t>Budget,</w:t>
      </w:r>
      <w:r>
        <w:rPr>
          <w:rFonts w:ascii="Segoe UI"/>
          <w:i/>
          <w:color w:val="231F20"/>
          <w:spacing w:val="-4"/>
          <w:sz w:val="16"/>
        </w:rPr>
        <w:t> </w:t>
      </w:r>
      <w:r>
        <w:rPr>
          <w:rFonts w:ascii="Segoe UI"/>
          <w:i/>
          <w:color w:val="231F20"/>
          <w:sz w:val="16"/>
        </w:rPr>
        <w:t>2018</w:t>
      </w:r>
      <w:r>
        <w:rPr>
          <w:rFonts w:ascii="Segoe UI"/>
          <w:color w:val="231F20"/>
          <w:sz w:val="16"/>
        </w:rPr>
        <w:t>,</w:t>
      </w:r>
      <w:r>
        <w:rPr>
          <w:rFonts w:ascii="Segoe UI"/>
          <w:color w:val="231F20"/>
          <w:spacing w:val="-3"/>
          <w:sz w:val="16"/>
        </w:rPr>
        <w:t> </w:t>
      </w:r>
      <w:hyperlink r:id="rId130">
        <w:r>
          <w:rPr>
            <w:rFonts w:ascii="Segoe UI"/>
            <w:color w:val="231F20"/>
            <w:sz w:val="16"/>
          </w:rPr>
          <w:t>www.dss.gov.</w:t>
        </w:r>
      </w:hyperlink>
      <w:r>
        <w:rPr>
          <w:rFonts w:ascii="Segoe UI"/>
          <w:color w:val="231F20"/>
          <w:spacing w:val="25"/>
          <w:w w:val="99"/>
          <w:sz w:val="16"/>
        </w:rPr>
        <w:t> </w:t>
      </w:r>
      <w:r>
        <w:rPr>
          <w:rFonts w:ascii="Segoe UI"/>
          <w:color w:val="231F20"/>
          <w:sz w:val="16"/>
        </w:rPr>
        <w:t>au</w:t>
      </w:r>
      <w:r>
        <w:rPr>
          <w:rFonts w:ascii="Segoe UI"/>
          <w:sz w:val="16"/>
        </w:rPr>
      </w:r>
    </w:p>
    <w:p>
      <w:pPr>
        <w:numPr>
          <w:ilvl w:val="0"/>
          <w:numId w:val="15"/>
        </w:numPr>
        <w:tabs>
          <w:tab w:pos="728" w:val="left" w:leader="none"/>
        </w:tabs>
        <w:spacing w:line="200" w:lineRule="exact" w:before="113"/>
        <w:ind w:left="727" w:right="378" w:hanging="567"/>
        <w:jc w:val="left"/>
        <w:rPr>
          <w:rFonts w:ascii="Segoe UI" w:hAnsi="Segoe UI" w:cs="Segoe UI" w:eastAsia="Segoe UI"/>
          <w:sz w:val="16"/>
          <w:szCs w:val="16"/>
        </w:rPr>
      </w:pPr>
      <w:r>
        <w:rPr>
          <w:rFonts w:ascii="Segoe UI" w:hAnsi="Segoe UI" w:cs="Segoe UI" w:eastAsia="Segoe UI"/>
          <w:color w:val="231F20"/>
          <w:spacing w:val="-1"/>
          <w:sz w:val="16"/>
          <w:szCs w:val="16"/>
        </w:rPr>
        <w:t>Special</w:t>
      </w:r>
      <w:r>
        <w:rPr>
          <w:rFonts w:ascii="Segoe UI" w:hAnsi="Segoe UI" w:cs="Segoe UI" w:eastAsia="Segoe UI"/>
          <w:color w:val="231F20"/>
          <w:spacing w:val="-4"/>
          <w:sz w:val="16"/>
          <w:szCs w:val="16"/>
        </w:rPr>
        <w:t> </w:t>
      </w:r>
      <w:r>
        <w:rPr>
          <w:rFonts w:ascii="Segoe UI" w:hAnsi="Segoe UI" w:cs="Segoe UI" w:eastAsia="Segoe UI"/>
          <w:color w:val="231F20"/>
          <w:sz w:val="16"/>
          <w:szCs w:val="16"/>
        </w:rPr>
        <w:t>assistance</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schools</w:t>
      </w:r>
      <w:r>
        <w:rPr>
          <w:rFonts w:ascii="Segoe UI" w:hAnsi="Segoe UI" w:cs="Segoe UI" w:eastAsia="Segoe UI"/>
          <w:color w:val="231F20"/>
          <w:spacing w:val="-3"/>
          <w:sz w:val="16"/>
          <w:szCs w:val="16"/>
        </w:rPr>
        <w:t> </w:t>
      </w:r>
      <w:r>
        <w:rPr>
          <w:rFonts w:ascii="Segoe UI" w:hAnsi="Segoe UI" w:cs="Segoe UI" w:eastAsia="Segoe UI"/>
          <w:color w:val="231F20"/>
          <w:sz w:val="16"/>
          <w:szCs w:val="16"/>
        </w:rPr>
        <w:t>‘provide</w:t>
      </w:r>
      <w:r>
        <w:rPr>
          <w:rFonts w:ascii="Segoe UI" w:hAnsi="Segoe UI" w:cs="Segoe UI" w:eastAsia="Segoe UI"/>
          <w:color w:val="231F20"/>
          <w:spacing w:val="-4"/>
          <w:sz w:val="16"/>
          <w:szCs w:val="16"/>
        </w:rPr>
        <w:t> </w:t>
      </w:r>
      <w:r>
        <w:rPr>
          <w:rFonts w:ascii="Segoe UI" w:hAnsi="Segoe UI" w:cs="Segoe UI" w:eastAsia="Segoe UI"/>
          <w:color w:val="231F20"/>
          <w:sz w:val="16"/>
          <w:szCs w:val="16"/>
        </w:rPr>
        <w:t>alternative</w:t>
      </w:r>
      <w:r>
        <w:rPr>
          <w:rFonts w:ascii="Segoe UI" w:hAnsi="Segoe UI" w:cs="Segoe UI" w:eastAsia="Segoe UI"/>
          <w:color w:val="231F20"/>
          <w:spacing w:val="23"/>
          <w:w w:val="99"/>
          <w:sz w:val="16"/>
          <w:szCs w:val="16"/>
        </w:rPr>
        <w:t> </w:t>
      </w:r>
      <w:r>
        <w:rPr>
          <w:rFonts w:ascii="Segoe UI" w:hAnsi="Segoe UI" w:cs="Segoe UI" w:eastAsia="Segoe UI"/>
          <w:color w:val="231F20"/>
          <w:sz w:val="16"/>
          <w:szCs w:val="16"/>
        </w:rPr>
        <w:t>educational</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settings</w:t>
      </w:r>
      <w:r>
        <w:rPr>
          <w:rFonts w:ascii="Segoe UI" w:hAnsi="Segoe UI" w:cs="Segoe UI" w:eastAsia="Segoe UI"/>
          <w:color w:val="231F20"/>
          <w:spacing w:val="-3"/>
          <w:sz w:val="16"/>
          <w:szCs w:val="16"/>
        </w:rPr>
        <w:t> </w:t>
      </w:r>
      <w:r>
        <w:rPr>
          <w:rFonts w:ascii="Segoe UI" w:hAnsi="Segoe UI" w:cs="Segoe UI" w:eastAsia="Segoe UI"/>
          <w:color w:val="231F20"/>
          <w:sz w:val="16"/>
          <w:szCs w:val="16"/>
        </w:rPr>
        <w:t>for</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students</w:t>
      </w:r>
      <w:r>
        <w:rPr>
          <w:rFonts w:ascii="Segoe UI" w:hAnsi="Segoe UI" w:cs="Segoe UI" w:eastAsia="Segoe UI"/>
          <w:color w:val="231F20"/>
          <w:spacing w:val="-3"/>
          <w:sz w:val="16"/>
          <w:szCs w:val="16"/>
        </w:rPr>
        <w:t> </w:t>
      </w:r>
      <w:r>
        <w:rPr>
          <w:rFonts w:ascii="Segoe UI" w:hAnsi="Segoe UI" w:cs="Segoe UI" w:eastAsia="Segoe UI"/>
          <w:color w:val="231F20"/>
          <w:sz w:val="16"/>
          <w:szCs w:val="16"/>
        </w:rPr>
        <w:t>with</w:t>
      </w:r>
      <w:r>
        <w:rPr>
          <w:rFonts w:ascii="Segoe UI" w:hAnsi="Segoe UI" w:cs="Segoe UI" w:eastAsia="Segoe UI"/>
          <w:color w:val="231F20"/>
          <w:spacing w:val="-4"/>
          <w:sz w:val="16"/>
          <w:szCs w:val="16"/>
        </w:rPr>
        <w:t> </w:t>
      </w:r>
      <w:r>
        <w:rPr>
          <w:rFonts w:ascii="Segoe UI" w:hAnsi="Segoe UI" w:cs="Segoe UI" w:eastAsia="Segoe UI"/>
          <w:color w:val="231F20"/>
          <w:sz w:val="16"/>
          <w:szCs w:val="16"/>
        </w:rPr>
        <w:t>high-level</w:t>
      </w:r>
      <w:r>
        <w:rPr>
          <w:rFonts w:ascii="Segoe UI" w:hAnsi="Segoe UI" w:cs="Segoe UI" w:eastAsia="Segoe UI"/>
          <w:color w:val="231F20"/>
          <w:spacing w:val="23"/>
          <w:sz w:val="16"/>
          <w:szCs w:val="16"/>
        </w:rPr>
        <w:t> </w:t>
      </w:r>
      <w:r>
        <w:rPr>
          <w:rFonts w:ascii="Segoe UI" w:hAnsi="Segoe UI" w:cs="Segoe UI" w:eastAsia="Segoe UI"/>
          <w:color w:val="231F20"/>
          <w:sz w:val="16"/>
          <w:szCs w:val="16"/>
        </w:rPr>
        <w:t>needs,</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such</w:t>
      </w:r>
      <w:r>
        <w:rPr>
          <w:rFonts w:ascii="Segoe UI" w:hAnsi="Segoe UI" w:cs="Segoe UI" w:eastAsia="Segoe UI"/>
          <w:color w:val="231F20"/>
          <w:spacing w:val="-2"/>
          <w:sz w:val="16"/>
          <w:szCs w:val="16"/>
        </w:rPr>
        <w:t> </w:t>
      </w:r>
      <w:r>
        <w:rPr>
          <w:rFonts w:ascii="Segoe UI" w:hAnsi="Segoe UI" w:cs="Segoe UI" w:eastAsia="Segoe UI"/>
          <w:color w:val="231F20"/>
          <w:sz w:val="16"/>
          <w:szCs w:val="16"/>
        </w:rPr>
        <w:t>as</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severe</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social,</w:t>
      </w:r>
      <w:r>
        <w:rPr>
          <w:rFonts w:ascii="Segoe UI" w:hAnsi="Segoe UI" w:cs="Segoe UI" w:eastAsia="Segoe UI"/>
          <w:color w:val="231F20"/>
          <w:spacing w:val="-2"/>
          <w:sz w:val="16"/>
          <w:szCs w:val="16"/>
        </w:rPr>
        <w:t> </w:t>
      </w:r>
      <w:r>
        <w:rPr>
          <w:rFonts w:ascii="Segoe UI" w:hAnsi="Segoe UI" w:cs="Segoe UI" w:eastAsia="Segoe UI"/>
          <w:color w:val="231F20"/>
          <w:sz w:val="16"/>
          <w:szCs w:val="16"/>
        </w:rPr>
        <w:t>emotional</w:t>
      </w:r>
      <w:r>
        <w:rPr>
          <w:rFonts w:ascii="Segoe UI" w:hAnsi="Segoe UI" w:cs="Segoe UI" w:eastAsia="Segoe UI"/>
          <w:color w:val="231F20"/>
          <w:spacing w:val="-3"/>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24"/>
          <w:w w:val="99"/>
          <w:sz w:val="16"/>
          <w:szCs w:val="16"/>
        </w:rPr>
        <w:t> </w:t>
      </w:r>
      <w:r>
        <w:rPr>
          <w:rFonts w:ascii="Segoe UI" w:hAnsi="Segoe UI" w:cs="Segoe UI" w:eastAsia="Segoe UI"/>
          <w:color w:val="231F20"/>
          <w:sz w:val="16"/>
          <w:szCs w:val="16"/>
        </w:rPr>
        <w:t>behavioural</w:t>
      </w:r>
      <w:r>
        <w:rPr>
          <w:rFonts w:ascii="Segoe UI" w:hAnsi="Segoe UI" w:cs="Segoe UI" w:eastAsia="Segoe UI"/>
          <w:color w:val="231F20"/>
          <w:spacing w:val="-5"/>
          <w:sz w:val="16"/>
          <w:szCs w:val="16"/>
        </w:rPr>
        <w:t> </w:t>
      </w:r>
      <w:r>
        <w:rPr>
          <w:rFonts w:ascii="Segoe UI" w:hAnsi="Segoe UI" w:cs="Segoe UI" w:eastAsia="Segoe UI"/>
          <w:color w:val="231F20"/>
          <w:spacing w:val="-1"/>
          <w:sz w:val="16"/>
          <w:szCs w:val="16"/>
        </w:rPr>
        <w:t>issues,</w:t>
      </w:r>
      <w:r>
        <w:rPr>
          <w:rFonts w:ascii="Segoe UI" w:hAnsi="Segoe UI" w:cs="Segoe UI" w:eastAsia="Segoe UI"/>
          <w:color w:val="231F20"/>
          <w:spacing w:val="-3"/>
          <w:sz w:val="16"/>
          <w:szCs w:val="16"/>
        </w:rPr>
        <w:t> </w:t>
      </w:r>
      <w:r>
        <w:rPr>
          <w:rFonts w:ascii="Segoe UI" w:hAnsi="Segoe UI" w:cs="Segoe UI" w:eastAsia="Segoe UI"/>
          <w:color w:val="231F20"/>
          <w:sz w:val="16"/>
          <w:szCs w:val="16"/>
        </w:rPr>
        <w:t>and</w:t>
      </w:r>
      <w:r>
        <w:rPr>
          <w:rFonts w:ascii="Segoe UI" w:hAnsi="Segoe UI" w:cs="Segoe UI" w:eastAsia="Segoe UI"/>
          <w:color w:val="231F20"/>
          <w:spacing w:val="-4"/>
          <w:sz w:val="16"/>
          <w:szCs w:val="16"/>
        </w:rPr>
        <w:t> </w:t>
      </w:r>
      <w:r>
        <w:rPr>
          <w:rFonts w:ascii="Segoe UI" w:hAnsi="Segoe UI" w:cs="Segoe UI" w:eastAsia="Segoe UI"/>
          <w:color w:val="231F20"/>
          <w:sz w:val="16"/>
          <w:szCs w:val="16"/>
        </w:rPr>
        <w:t>cater</w:t>
      </w:r>
      <w:r>
        <w:rPr>
          <w:rFonts w:ascii="Segoe UI" w:hAnsi="Segoe UI" w:cs="Segoe UI" w:eastAsia="Segoe UI"/>
          <w:color w:val="231F20"/>
          <w:spacing w:val="-3"/>
          <w:sz w:val="16"/>
          <w:szCs w:val="16"/>
        </w:rPr>
        <w:t> </w:t>
      </w:r>
      <w:r>
        <w:rPr>
          <w:rFonts w:ascii="Segoe UI" w:hAnsi="Segoe UI" w:cs="Segoe UI" w:eastAsia="Segoe UI"/>
          <w:color w:val="231F20"/>
          <w:sz w:val="16"/>
          <w:szCs w:val="16"/>
        </w:rPr>
        <w:t>for</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students</w:t>
      </w:r>
      <w:r>
        <w:rPr>
          <w:rFonts w:ascii="Segoe UI" w:hAnsi="Segoe UI" w:cs="Segoe UI" w:eastAsia="Segoe UI"/>
          <w:color w:val="231F20"/>
          <w:spacing w:val="-3"/>
          <w:sz w:val="16"/>
          <w:szCs w:val="16"/>
        </w:rPr>
        <w:t> </w:t>
      </w:r>
      <w:r>
        <w:rPr>
          <w:rFonts w:ascii="Segoe UI" w:hAnsi="Segoe UI" w:cs="Segoe UI" w:eastAsia="Segoe UI"/>
          <w:color w:val="231F20"/>
          <w:sz w:val="16"/>
          <w:szCs w:val="16"/>
        </w:rPr>
        <w:t>with</w:t>
      </w:r>
      <w:r>
        <w:rPr>
          <w:rFonts w:ascii="Segoe UI" w:hAnsi="Segoe UI" w:cs="Segoe UI" w:eastAsia="Segoe UI"/>
          <w:color w:val="231F20"/>
          <w:spacing w:val="23"/>
          <w:w w:val="99"/>
          <w:sz w:val="16"/>
          <w:szCs w:val="16"/>
        </w:rPr>
        <w:t> </w:t>
      </w:r>
      <w:r>
        <w:rPr>
          <w:rFonts w:ascii="Segoe UI" w:hAnsi="Segoe UI" w:cs="Segoe UI" w:eastAsia="Segoe UI"/>
          <w:color w:val="231F20"/>
          <w:sz w:val="16"/>
          <w:szCs w:val="16"/>
        </w:rPr>
        <w:t>disability,</w:t>
      </w:r>
      <w:r>
        <w:rPr>
          <w:rFonts w:ascii="Segoe UI" w:hAnsi="Segoe UI" w:cs="Segoe UI" w:eastAsia="Segoe UI"/>
          <w:color w:val="231F20"/>
          <w:spacing w:val="-3"/>
          <w:sz w:val="16"/>
          <w:szCs w:val="16"/>
        </w:rPr>
        <w:t> </w:t>
      </w:r>
      <w:r>
        <w:rPr>
          <w:rFonts w:ascii="Segoe UI" w:hAnsi="Segoe UI" w:cs="Segoe UI" w:eastAsia="Segoe UI"/>
          <w:color w:val="231F20"/>
          <w:sz w:val="16"/>
          <w:szCs w:val="16"/>
        </w:rPr>
        <w:t>as</w:t>
      </w:r>
      <w:r>
        <w:rPr>
          <w:rFonts w:ascii="Segoe UI" w:hAnsi="Segoe UI" w:cs="Segoe UI" w:eastAsia="Segoe UI"/>
          <w:color w:val="231F20"/>
          <w:spacing w:val="-2"/>
          <w:sz w:val="16"/>
          <w:szCs w:val="16"/>
        </w:rPr>
        <w:t> </w:t>
      </w:r>
      <w:r>
        <w:rPr>
          <w:rFonts w:ascii="Segoe UI" w:hAnsi="Segoe UI" w:cs="Segoe UI" w:eastAsia="Segoe UI"/>
          <w:color w:val="231F20"/>
          <w:sz w:val="16"/>
          <w:szCs w:val="16"/>
        </w:rPr>
        <w:t>well</w:t>
      </w:r>
      <w:r>
        <w:rPr>
          <w:rFonts w:ascii="Segoe UI" w:hAnsi="Segoe UI" w:cs="Segoe UI" w:eastAsia="Segoe UI"/>
          <w:color w:val="231F20"/>
          <w:spacing w:val="-2"/>
          <w:sz w:val="16"/>
          <w:szCs w:val="16"/>
        </w:rPr>
        <w:t> </w:t>
      </w:r>
      <w:r>
        <w:rPr>
          <w:rFonts w:ascii="Segoe UI" w:hAnsi="Segoe UI" w:cs="Segoe UI" w:eastAsia="Segoe UI"/>
          <w:color w:val="231F20"/>
          <w:sz w:val="16"/>
          <w:szCs w:val="16"/>
        </w:rPr>
        <w:t>as</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students </w:t>
      </w:r>
      <w:r>
        <w:rPr>
          <w:rFonts w:ascii="Segoe UI" w:hAnsi="Segoe UI" w:cs="Segoe UI" w:eastAsia="Segoe UI"/>
          <w:color w:val="231F20"/>
          <w:sz w:val="16"/>
          <w:szCs w:val="16"/>
        </w:rPr>
        <w:t>who</w:t>
      </w:r>
      <w:r>
        <w:rPr>
          <w:rFonts w:ascii="Segoe UI" w:hAnsi="Segoe UI" w:cs="Segoe UI" w:eastAsia="Segoe UI"/>
          <w:color w:val="231F20"/>
          <w:spacing w:val="-3"/>
          <w:sz w:val="16"/>
          <w:szCs w:val="16"/>
        </w:rPr>
        <w:t> </w:t>
      </w:r>
      <w:r>
        <w:rPr>
          <w:rFonts w:ascii="Segoe UI" w:hAnsi="Segoe UI" w:cs="Segoe UI" w:eastAsia="Segoe UI"/>
          <w:color w:val="231F20"/>
          <w:sz w:val="16"/>
          <w:szCs w:val="16"/>
        </w:rPr>
        <w:t>are</w:t>
      </w:r>
      <w:r>
        <w:rPr>
          <w:rFonts w:ascii="Segoe UI" w:hAnsi="Segoe UI" w:cs="Segoe UI" w:eastAsia="Segoe UI"/>
          <w:color w:val="231F20"/>
          <w:spacing w:val="-2"/>
          <w:sz w:val="16"/>
          <w:szCs w:val="16"/>
        </w:rPr>
        <w:t> </w:t>
      </w:r>
      <w:r>
        <w:rPr>
          <w:rFonts w:ascii="Segoe UI" w:hAnsi="Segoe UI" w:cs="Segoe UI" w:eastAsia="Segoe UI"/>
          <w:color w:val="231F20"/>
          <w:sz w:val="16"/>
          <w:szCs w:val="16"/>
        </w:rPr>
        <w:t>at</w:t>
      </w:r>
      <w:r>
        <w:rPr>
          <w:rFonts w:ascii="Segoe UI" w:hAnsi="Segoe UI" w:cs="Segoe UI" w:eastAsia="Segoe UI"/>
          <w:color w:val="231F20"/>
          <w:spacing w:val="-1"/>
          <w:sz w:val="16"/>
          <w:szCs w:val="16"/>
        </w:rPr>
        <w:t> </w:t>
      </w:r>
      <w:r>
        <w:rPr>
          <w:rFonts w:ascii="Segoe UI" w:hAnsi="Segoe UI" w:cs="Segoe UI" w:eastAsia="Segoe UI"/>
          <w:color w:val="231F20"/>
          <w:sz w:val="16"/>
          <w:szCs w:val="16"/>
        </w:rPr>
        <w:t>risk,</w:t>
      </w:r>
      <w:r>
        <w:rPr>
          <w:rFonts w:ascii="Segoe UI" w:hAnsi="Segoe UI" w:cs="Segoe UI" w:eastAsia="Segoe UI"/>
          <w:color w:val="231F20"/>
          <w:spacing w:val="-2"/>
          <w:sz w:val="16"/>
          <w:szCs w:val="16"/>
        </w:rPr>
        <w:t> </w:t>
      </w:r>
      <w:r>
        <w:rPr>
          <w:rFonts w:ascii="Segoe UI" w:hAnsi="Segoe UI" w:cs="Segoe UI" w:eastAsia="Segoe UI"/>
          <w:color w:val="231F20"/>
          <w:sz w:val="16"/>
          <w:szCs w:val="16"/>
        </w:rPr>
        <w:t>or</w:t>
      </w:r>
      <w:r>
        <w:rPr>
          <w:rFonts w:ascii="Segoe UI" w:hAnsi="Segoe UI" w:cs="Segoe UI" w:eastAsia="Segoe UI"/>
          <w:color w:val="231F20"/>
          <w:spacing w:val="22"/>
          <w:w w:val="99"/>
          <w:sz w:val="16"/>
          <w:szCs w:val="16"/>
        </w:rPr>
        <w:t> </w:t>
      </w:r>
      <w:r>
        <w:rPr>
          <w:rFonts w:ascii="Segoe UI" w:hAnsi="Segoe UI" w:cs="Segoe UI" w:eastAsia="Segoe UI"/>
          <w:color w:val="231F20"/>
          <w:sz w:val="16"/>
          <w:szCs w:val="16"/>
        </w:rPr>
        <w:t>whose needs are better met by flexible learning</w:t>
      </w:r>
      <w:r>
        <w:rPr>
          <w:rFonts w:ascii="Segoe UI" w:hAnsi="Segoe UI" w:cs="Segoe UI" w:eastAsia="Segoe UI"/>
          <w:color w:val="231F20"/>
          <w:sz w:val="16"/>
          <w:szCs w:val="16"/>
        </w:rPr>
        <w:t> </w:t>
      </w:r>
      <w:r>
        <w:rPr>
          <w:rFonts w:ascii="Segoe UI" w:hAnsi="Segoe UI" w:cs="Segoe UI" w:eastAsia="Segoe UI"/>
          <w:color w:val="231F20"/>
          <w:spacing w:val="-1"/>
          <w:sz w:val="16"/>
          <w:szCs w:val="16"/>
        </w:rPr>
        <w:t>structures</w:t>
      </w:r>
      <w:r>
        <w:rPr>
          <w:rFonts w:ascii="Segoe UI" w:hAnsi="Segoe UI" w:cs="Segoe UI" w:eastAsia="Segoe UI"/>
          <w:color w:val="231F20"/>
          <w:spacing w:val="-3"/>
          <w:sz w:val="16"/>
          <w:szCs w:val="16"/>
        </w:rPr>
        <w:t> </w:t>
      </w:r>
      <w:r>
        <w:rPr>
          <w:rFonts w:ascii="Segoe UI" w:hAnsi="Segoe UI" w:cs="Segoe UI" w:eastAsia="Segoe UI"/>
          <w:color w:val="231F20"/>
          <w:sz w:val="16"/>
          <w:szCs w:val="16"/>
        </w:rPr>
        <w:t>that</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may</w:t>
      </w:r>
      <w:r>
        <w:rPr>
          <w:rFonts w:ascii="Segoe UI" w:hAnsi="Segoe UI" w:cs="Segoe UI" w:eastAsia="Segoe UI"/>
          <w:color w:val="231F20"/>
          <w:spacing w:val="-4"/>
          <w:sz w:val="16"/>
          <w:szCs w:val="16"/>
        </w:rPr>
        <w:t> </w:t>
      </w:r>
      <w:r>
        <w:rPr>
          <w:rFonts w:ascii="Segoe UI" w:hAnsi="Segoe UI" w:cs="Segoe UI" w:eastAsia="Segoe UI"/>
          <w:color w:val="231F20"/>
          <w:sz w:val="16"/>
          <w:szCs w:val="16"/>
        </w:rPr>
        <w:t>not</w:t>
      </w:r>
      <w:r>
        <w:rPr>
          <w:rFonts w:ascii="Segoe UI" w:hAnsi="Segoe UI" w:cs="Segoe UI" w:eastAsia="Segoe UI"/>
          <w:color w:val="231F20"/>
          <w:spacing w:val="-3"/>
          <w:sz w:val="16"/>
          <w:szCs w:val="16"/>
        </w:rPr>
        <w:t> </w:t>
      </w:r>
      <w:r>
        <w:rPr>
          <w:rFonts w:ascii="Segoe UI" w:hAnsi="Segoe UI" w:cs="Segoe UI" w:eastAsia="Segoe UI"/>
          <w:color w:val="231F20"/>
          <w:sz w:val="16"/>
          <w:szCs w:val="16"/>
        </w:rPr>
        <w:t>be</w:t>
      </w:r>
      <w:r>
        <w:rPr>
          <w:rFonts w:ascii="Segoe UI" w:hAnsi="Segoe UI" w:cs="Segoe UI" w:eastAsia="Segoe UI"/>
          <w:color w:val="231F20"/>
          <w:spacing w:val="-4"/>
          <w:sz w:val="16"/>
          <w:szCs w:val="16"/>
        </w:rPr>
        <w:t> </w:t>
      </w:r>
      <w:r>
        <w:rPr>
          <w:rFonts w:ascii="Segoe UI" w:hAnsi="Segoe UI" w:cs="Segoe UI" w:eastAsia="Segoe UI"/>
          <w:color w:val="231F20"/>
          <w:sz w:val="16"/>
          <w:szCs w:val="16"/>
        </w:rPr>
        <w:t>available</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in</w:t>
      </w:r>
      <w:r>
        <w:rPr>
          <w:rFonts w:ascii="Segoe UI" w:hAnsi="Segoe UI" w:cs="Segoe UI" w:eastAsia="Segoe UI"/>
          <w:color w:val="231F20"/>
          <w:spacing w:val="-3"/>
          <w:sz w:val="16"/>
          <w:szCs w:val="16"/>
        </w:rPr>
        <w:t> </w:t>
      </w:r>
      <w:r>
        <w:rPr>
          <w:rFonts w:ascii="Segoe UI" w:hAnsi="Segoe UI" w:cs="Segoe UI" w:eastAsia="Segoe UI"/>
          <w:color w:val="231F20"/>
          <w:sz w:val="16"/>
          <w:szCs w:val="16"/>
        </w:rPr>
        <w:t>other</w:t>
      </w:r>
      <w:r>
        <w:rPr>
          <w:rFonts w:ascii="Segoe UI" w:hAnsi="Segoe UI" w:cs="Segoe UI" w:eastAsia="Segoe UI"/>
          <w:color w:val="231F20"/>
          <w:spacing w:val="24"/>
          <w:w w:val="99"/>
          <w:sz w:val="16"/>
          <w:szCs w:val="16"/>
        </w:rPr>
        <w:t> </w:t>
      </w:r>
      <w:r>
        <w:rPr>
          <w:rFonts w:ascii="Segoe UI" w:hAnsi="Segoe UI" w:cs="Segoe UI" w:eastAsia="Segoe UI"/>
          <w:color w:val="231F20"/>
          <w:spacing w:val="-1"/>
          <w:sz w:val="16"/>
          <w:szCs w:val="16"/>
        </w:rPr>
        <w:t>schools.</w:t>
      </w:r>
      <w:r>
        <w:rPr>
          <w:rFonts w:ascii="Segoe UI" w:hAnsi="Segoe UI" w:cs="Segoe UI" w:eastAsia="Segoe UI"/>
          <w:color w:val="231F20"/>
          <w:spacing w:val="-3"/>
          <w:sz w:val="16"/>
          <w:szCs w:val="16"/>
        </w:rPr>
        <w:t> </w:t>
      </w:r>
      <w:r>
        <w:rPr>
          <w:rFonts w:ascii="Segoe UI" w:hAnsi="Segoe UI" w:cs="Segoe UI" w:eastAsia="Segoe UI"/>
          <w:color w:val="231F20"/>
          <w:sz w:val="16"/>
          <w:szCs w:val="16"/>
        </w:rPr>
        <w:t>…</w:t>
      </w:r>
      <w:r>
        <w:rPr>
          <w:rFonts w:ascii="Segoe UI" w:hAnsi="Segoe UI" w:cs="Segoe UI" w:eastAsia="Segoe UI"/>
          <w:color w:val="231F20"/>
          <w:spacing w:val="-3"/>
          <w:sz w:val="16"/>
          <w:szCs w:val="16"/>
        </w:rPr>
        <w:t> </w:t>
      </w:r>
      <w:r>
        <w:rPr>
          <w:rFonts w:ascii="Segoe UI" w:hAnsi="Segoe UI" w:cs="Segoe UI" w:eastAsia="Segoe UI"/>
          <w:color w:val="231F20"/>
          <w:sz w:val="16"/>
          <w:szCs w:val="16"/>
        </w:rPr>
        <w:t>These</w:t>
      </w:r>
      <w:r>
        <w:rPr>
          <w:rFonts w:ascii="Segoe UI" w:hAnsi="Segoe UI" w:cs="Segoe UI" w:eastAsia="Segoe UI"/>
          <w:color w:val="231F20"/>
          <w:spacing w:val="-3"/>
          <w:sz w:val="16"/>
          <w:szCs w:val="16"/>
        </w:rPr>
        <w:t> </w:t>
      </w:r>
      <w:r>
        <w:rPr>
          <w:rFonts w:ascii="Segoe UI" w:hAnsi="Segoe UI" w:cs="Segoe UI" w:eastAsia="Segoe UI"/>
          <w:color w:val="231F20"/>
          <w:spacing w:val="-1"/>
          <w:sz w:val="16"/>
          <w:szCs w:val="16"/>
        </w:rPr>
        <w:t>schools</w:t>
      </w:r>
      <w:r>
        <w:rPr>
          <w:rFonts w:ascii="Segoe UI" w:hAnsi="Segoe UI" w:cs="Segoe UI" w:eastAsia="Segoe UI"/>
          <w:color w:val="231F20"/>
          <w:spacing w:val="-3"/>
          <w:sz w:val="16"/>
          <w:szCs w:val="16"/>
        </w:rPr>
        <w:t> </w:t>
      </w:r>
      <w:r>
        <w:rPr>
          <w:rFonts w:ascii="Segoe UI" w:hAnsi="Segoe UI" w:cs="Segoe UI" w:eastAsia="Segoe UI"/>
          <w:color w:val="231F20"/>
          <w:sz w:val="16"/>
          <w:szCs w:val="16"/>
        </w:rPr>
        <w:t>generally</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serve</w:t>
      </w:r>
      <w:r>
        <w:rPr>
          <w:rFonts w:ascii="Segoe UI" w:hAnsi="Segoe UI" w:cs="Segoe UI" w:eastAsia="Segoe UI"/>
          <w:color w:val="231F20"/>
          <w:spacing w:val="-2"/>
          <w:sz w:val="16"/>
          <w:szCs w:val="16"/>
        </w:rPr>
        <w:t> </w:t>
      </w:r>
      <w:r>
        <w:rPr>
          <w:rFonts w:ascii="Segoe UI" w:hAnsi="Segoe UI" w:cs="Segoe UI" w:eastAsia="Segoe UI"/>
          <w:color w:val="231F20"/>
          <w:sz w:val="16"/>
          <w:szCs w:val="16"/>
        </w:rPr>
        <w:t>young</w:t>
      </w:r>
      <w:r>
        <w:rPr>
          <w:rFonts w:ascii="Segoe UI" w:hAnsi="Segoe UI" w:cs="Segoe UI" w:eastAsia="Segoe UI"/>
          <w:color w:val="231F20"/>
          <w:spacing w:val="24"/>
          <w:w w:val="99"/>
          <w:sz w:val="16"/>
          <w:szCs w:val="16"/>
        </w:rPr>
        <w:t> </w:t>
      </w:r>
      <w:r>
        <w:rPr>
          <w:rFonts w:ascii="Segoe UI" w:hAnsi="Segoe UI" w:cs="Segoe UI" w:eastAsia="Segoe UI"/>
          <w:color w:val="231F20"/>
          <w:sz w:val="16"/>
          <w:szCs w:val="16"/>
        </w:rPr>
        <w:t>people</w:t>
      </w:r>
      <w:r>
        <w:rPr>
          <w:rFonts w:ascii="Segoe UI" w:hAnsi="Segoe UI" w:cs="Segoe UI" w:eastAsia="Segoe UI"/>
          <w:color w:val="231F20"/>
          <w:spacing w:val="-7"/>
          <w:sz w:val="16"/>
          <w:szCs w:val="16"/>
        </w:rPr>
        <w:t> </w:t>
      </w:r>
      <w:r>
        <w:rPr>
          <w:rFonts w:ascii="Segoe UI" w:hAnsi="Segoe UI" w:cs="Segoe UI" w:eastAsia="Segoe UI"/>
          <w:color w:val="231F20"/>
          <w:sz w:val="16"/>
          <w:szCs w:val="16"/>
        </w:rPr>
        <w:t>who</w:t>
      </w:r>
      <w:r>
        <w:rPr>
          <w:rFonts w:ascii="Segoe UI" w:hAnsi="Segoe UI" w:cs="Segoe UI" w:eastAsia="Segoe UI"/>
          <w:color w:val="231F20"/>
          <w:spacing w:val="-6"/>
          <w:sz w:val="16"/>
          <w:szCs w:val="16"/>
        </w:rPr>
        <w:t> </w:t>
      </w:r>
      <w:r>
        <w:rPr>
          <w:rFonts w:ascii="Segoe UI" w:hAnsi="Segoe UI" w:cs="Segoe UI" w:eastAsia="Segoe UI"/>
          <w:color w:val="231F20"/>
          <w:sz w:val="16"/>
          <w:szCs w:val="16"/>
        </w:rPr>
        <w:t>are</w:t>
      </w:r>
      <w:r>
        <w:rPr>
          <w:rFonts w:ascii="Segoe UI" w:hAnsi="Segoe UI" w:cs="Segoe UI" w:eastAsia="Segoe UI"/>
          <w:color w:val="231F20"/>
          <w:spacing w:val="-6"/>
          <w:sz w:val="16"/>
          <w:szCs w:val="16"/>
        </w:rPr>
        <w:t> </w:t>
      </w:r>
      <w:r>
        <w:rPr>
          <w:rFonts w:ascii="Segoe UI" w:hAnsi="Segoe UI" w:cs="Segoe UI" w:eastAsia="Segoe UI"/>
          <w:color w:val="231F20"/>
          <w:sz w:val="16"/>
          <w:szCs w:val="16"/>
        </w:rPr>
        <w:t>disengaged</w:t>
      </w:r>
      <w:r>
        <w:rPr>
          <w:rFonts w:ascii="Segoe UI" w:hAnsi="Segoe UI" w:cs="Segoe UI" w:eastAsia="Segoe UI"/>
          <w:color w:val="231F20"/>
          <w:spacing w:val="-6"/>
          <w:sz w:val="16"/>
          <w:szCs w:val="16"/>
        </w:rPr>
        <w:t> </w:t>
      </w:r>
      <w:r>
        <w:rPr>
          <w:rFonts w:ascii="Segoe UI" w:hAnsi="Segoe UI" w:cs="Segoe UI" w:eastAsia="Segoe UI"/>
          <w:color w:val="231F20"/>
          <w:sz w:val="16"/>
          <w:szCs w:val="16"/>
        </w:rPr>
        <w:t>from</w:t>
      </w:r>
      <w:r>
        <w:rPr>
          <w:rFonts w:ascii="Segoe UI" w:hAnsi="Segoe UI" w:cs="Segoe UI" w:eastAsia="Segoe UI"/>
          <w:color w:val="231F20"/>
          <w:spacing w:val="-6"/>
          <w:sz w:val="16"/>
          <w:szCs w:val="16"/>
        </w:rPr>
        <w:t> </w:t>
      </w:r>
      <w:r>
        <w:rPr>
          <w:rFonts w:ascii="Segoe UI" w:hAnsi="Segoe UI" w:cs="Segoe UI" w:eastAsia="Segoe UI"/>
          <w:color w:val="231F20"/>
          <w:sz w:val="16"/>
          <w:szCs w:val="16"/>
        </w:rPr>
        <w:t>education</w:t>
      </w:r>
      <w:r>
        <w:rPr>
          <w:rFonts w:ascii="Segoe UI" w:hAnsi="Segoe UI" w:cs="Segoe UI" w:eastAsia="Segoe UI"/>
          <w:color w:val="231F20"/>
          <w:spacing w:val="-5"/>
          <w:sz w:val="16"/>
          <w:szCs w:val="16"/>
        </w:rPr>
        <w:t> </w:t>
      </w:r>
      <w:r>
        <w:rPr>
          <w:rFonts w:ascii="Segoe UI" w:hAnsi="Segoe UI" w:cs="Segoe UI" w:eastAsia="Segoe UI"/>
          <w:color w:val="231F20"/>
          <w:spacing w:val="-5"/>
          <w:sz w:val="16"/>
          <w:szCs w:val="16"/>
        </w:rPr>
      </w:r>
      <w:r>
        <w:rPr>
          <w:rFonts w:ascii="Segoe UI" w:hAnsi="Segoe UI" w:cs="Segoe UI" w:eastAsia="Segoe UI"/>
          <w:color w:val="231F20"/>
          <w:sz w:val="16"/>
          <w:szCs w:val="16"/>
        </w:rPr>
        <w:t>and</w:t>
      </w:r>
      <w:r>
        <w:rPr>
          <w:rFonts w:ascii="Segoe UI" w:hAnsi="Segoe UI" w:cs="Segoe UI" w:eastAsia="Segoe UI"/>
          <w:color w:val="231F20"/>
          <w:spacing w:val="-1"/>
          <w:sz w:val="16"/>
          <w:szCs w:val="16"/>
        </w:rPr>
        <w:t> </w:t>
      </w:r>
      <w:r>
        <w:rPr>
          <w:rFonts w:ascii="Segoe UI" w:hAnsi="Segoe UI" w:cs="Segoe UI" w:eastAsia="Segoe UI"/>
          <w:color w:val="231F20"/>
          <w:sz w:val="16"/>
          <w:szCs w:val="16"/>
        </w:rPr>
        <w:t>whose</w:t>
      </w:r>
      <w:r>
        <w:rPr>
          <w:rFonts w:ascii="Segoe UI" w:hAnsi="Segoe UI" w:cs="Segoe UI" w:eastAsia="Segoe UI"/>
          <w:color w:val="231F20"/>
          <w:spacing w:val="-3"/>
          <w:sz w:val="16"/>
          <w:szCs w:val="16"/>
        </w:rPr>
        <w:t> </w:t>
      </w:r>
      <w:r>
        <w:rPr>
          <w:rFonts w:ascii="Segoe UI" w:hAnsi="Segoe UI" w:cs="Segoe UI" w:eastAsia="Segoe UI"/>
          <w:color w:val="231F20"/>
          <w:sz w:val="16"/>
          <w:szCs w:val="16"/>
        </w:rPr>
        <w:t>needs</w:t>
      </w:r>
      <w:r>
        <w:rPr>
          <w:rFonts w:ascii="Segoe UI" w:hAnsi="Segoe UI" w:cs="Segoe UI" w:eastAsia="Segoe UI"/>
          <w:color w:val="231F20"/>
          <w:spacing w:val="-3"/>
          <w:sz w:val="16"/>
          <w:szCs w:val="16"/>
        </w:rPr>
        <w:t> </w:t>
      </w:r>
      <w:r>
        <w:rPr>
          <w:rFonts w:ascii="Segoe UI" w:hAnsi="Segoe UI" w:cs="Segoe UI" w:eastAsia="Segoe UI"/>
          <w:color w:val="231F20"/>
          <w:sz w:val="16"/>
          <w:szCs w:val="16"/>
        </w:rPr>
        <w:t>are</w:t>
      </w:r>
      <w:r>
        <w:rPr>
          <w:rFonts w:ascii="Segoe UI" w:hAnsi="Segoe UI" w:cs="Segoe UI" w:eastAsia="Segoe UI"/>
          <w:color w:val="231F20"/>
          <w:spacing w:val="-3"/>
          <w:sz w:val="16"/>
          <w:szCs w:val="16"/>
        </w:rPr>
        <w:t> </w:t>
      </w:r>
      <w:r>
        <w:rPr>
          <w:rFonts w:ascii="Segoe UI" w:hAnsi="Segoe UI" w:cs="Segoe UI" w:eastAsia="Segoe UI"/>
          <w:color w:val="231F20"/>
          <w:sz w:val="16"/>
          <w:szCs w:val="16"/>
        </w:rPr>
        <w:t>not</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met </w:t>
      </w:r>
      <w:r>
        <w:rPr>
          <w:rFonts w:ascii="Segoe UI" w:hAnsi="Segoe UI" w:cs="Segoe UI" w:eastAsia="Segoe UI"/>
          <w:color w:val="231F20"/>
          <w:sz w:val="16"/>
          <w:szCs w:val="16"/>
        </w:rPr>
        <w:t>by</w:t>
      </w:r>
      <w:r>
        <w:rPr>
          <w:rFonts w:ascii="Segoe UI" w:hAnsi="Segoe UI" w:cs="Segoe UI" w:eastAsia="Segoe UI"/>
          <w:color w:val="231F20"/>
          <w:spacing w:val="-2"/>
          <w:sz w:val="16"/>
          <w:szCs w:val="16"/>
        </w:rPr>
        <w:t> </w:t>
      </w:r>
      <w:r>
        <w:rPr>
          <w:rFonts w:ascii="Segoe UI" w:hAnsi="Segoe UI" w:cs="Segoe UI" w:eastAsia="Segoe UI"/>
          <w:color w:val="231F20"/>
          <w:spacing w:val="-1"/>
          <w:sz w:val="16"/>
          <w:szCs w:val="16"/>
        </w:rPr>
        <w:t>mainstream</w:t>
      </w:r>
      <w:r>
        <w:rPr>
          <w:rFonts w:ascii="Segoe UI" w:hAnsi="Segoe UI" w:cs="Segoe UI" w:eastAsia="Segoe UI"/>
          <w:color w:val="231F20"/>
          <w:spacing w:val="21"/>
          <w:sz w:val="16"/>
          <w:szCs w:val="16"/>
        </w:rPr>
        <w:t> </w:t>
      </w:r>
      <w:r>
        <w:rPr>
          <w:rFonts w:ascii="Segoe UI" w:hAnsi="Segoe UI" w:cs="Segoe UI" w:eastAsia="Segoe UI"/>
          <w:color w:val="231F20"/>
          <w:sz w:val="16"/>
          <w:szCs w:val="16"/>
        </w:rPr>
        <w:t>education’,</w:t>
      </w:r>
      <w:r>
        <w:rPr>
          <w:rFonts w:ascii="Segoe UI" w:hAnsi="Segoe UI" w:cs="Segoe UI" w:eastAsia="Segoe UI"/>
          <w:color w:val="231F20"/>
          <w:spacing w:val="-11"/>
          <w:sz w:val="16"/>
          <w:szCs w:val="16"/>
        </w:rPr>
        <w:t> </w:t>
      </w:r>
      <w:r>
        <w:rPr>
          <w:rFonts w:ascii="Segoe UI" w:hAnsi="Segoe UI" w:cs="Segoe UI" w:eastAsia="Segoe UI"/>
          <w:color w:val="231F20"/>
          <w:spacing w:val="-1"/>
          <w:sz w:val="16"/>
          <w:szCs w:val="16"/>
        </w:rPr>
        <w:t>2018,</w:t>
      </w:r>
      <w:r>
        <w:rPr>
          <w:rFonts w:ascii="Segoe UI" w:hAnsi="Segoe UI" w:cs="Segoe UI" w:eastAsia="Segoe UI"/>
          <w:color w:val="231F20"/>
          <w:spacing w:val="-11"/>
          <w:sz w:val="16"/>
          <w:szCs w:val="16"/>
        </w:rPr>
        <w:t> </w:t>
      </w:r>
      <w:r>
        <w:rPr>
          <w:rFonts w:ascii="Segoe UI" w:hAnsi="Segoe UI" w:cs="Segoe UI" w:eastAsia="Segoe UI"/>
          <w:color w:val="3853A4"/>
          <w:spacing w:val="-11"/>
          <w:sz w:val="16"/>
          <w:szCs w:val="16"/>
        </w:rPr>
      </w:r>
      <w:hyperlink r:id="rId110">
        <w:r>
          <w:rPr>
            <w:rFonts w:ascii="Segoe UI" w:hAnsi="Segoe UI" w:cs="Segoe UI" w:eastAsia="Segoe UI"/>
            <w:color w:val="3853A4"/>
            <w:spacing w:val="-1"/>
            <w:sz w:val="16"/>
            <w:szCs w:val="16"/>
            <w:u w:val="single" w:color="3853A4"/>
          </w:rPr>
          <w:t>www.isca.edu.au</w:t>
        </w:r>
        <w:r>
          <w:rPr>
            <w:rFonts w:ascii="Segoe UI" w:hAnsi="Segoe UI" w:cs="Segoe UI" w:eastAsia="Segoe UI"/>
            <w:color w:val="3853A4"/>
            <w:sz w:val="16"/>
            <w:szCs w:val="16"/>
          </w:rPr>
        </w:r>
        <w:r>
          <w:rPr>
            <w:rFonts w:ascii="Segoe UI" w:hAnsi="Segoe UI" w:cs="Segoe UI" w:eastAsia="Segoe UI"/>
            <w:color w:val="231F20"/>
            <w:spacing w:val="-1"/>
            <w:sz w:val="16"/>
            <w:szCs w:val="16"/>
          </w:rPr>
          <w:t>.</w:t>
        </w:r>
        <w:r>
          <w:rPr>
            <w:rFonts w:ascii="Segoe UI" w:hAnsi="Segoe UI" w:cs="Segoe UI" w:eastAsia="Segoe UI"/>
            <w:sz w:val="16"/>
            <w:szCs w:val="16"/>
          </w:rPr>
        </w:r>
      </w:hyperlink>
    </w:p>
    <w:p>
      <w:pPr>
        <w:spacing w:after="0" w:line="200" w:lineRule="exact"/>
        <w:jc w:val="left"/>
        <w:rPr>
          <w:rFonts w:ascii="Segoe UI" w:hAnsi="Segoe UI" w:cs="Segoe UI" w:eastAsia="Segoe UI"/>
          <w:sz w:val="16"/>
          <w:szCs w:val="16"/>
        </w:rPr>
        <w:sectPr>
          <w:type w:val="continuous"/>
          <w:pgSz w:w="11910" w:h="16840"/>
          <w:pgMar w:top="1580" w:bottom="280" w:left="1540" w:right="1300"/>
          <w:cols w:num="2" w:equalWidth="0">
            <w:col w:w="4385" w:space="179"/>
            <w:col w:w="4506"/>
          </w:cols>
        </w:sectPr>
      </w:pPr>
    </w:p>
    <w:p>
      <w:pPr>
        <w:spacing w:line="240" w:lineRule="auto" w:before="0"/>
        <w:rPr>
          <w:rFonts w:ascii="Segoe UI" w:hAnsi="Segoe UI" w:cs="Segoe UI" w:eastAsia="Segoe UI"/>
          <w:sz w:val="20"/>
          <w:szCs w:val="20"/>
        </w:rPr>
      </w:pPr>
    </w:p>
    <w:p>
      <w:pPr>
        <w:spacing w:line="240" w:lineRule="auto" w:before="9"/>
        <w:rPr>
          <w:rFonts w:ascii="Segoe UI" w:hAnsi="Segoe UI" w:cs="Segoe UI" w:eastAsia="Segoe UI"/>
          <w:sz w:val="17"/>
          <w:szCs w:val="17"/>
        </w:rPr>
      </w:pPr>
    </w:p>
    <w:p>
      <w:pPr>
        <w:spacing w:before="0"/>
        <w:ind w:left="2520" w:right="0" w:firstLine="0"/>
        <w:jc w:val="left"/>
        <w:rPr>
          <w:rFonts w:ascii="Segoe UI" w:hAnsi="Segoe UI" w:cs="Segoe UI" w:eastAsia="Segoe UI"/>
          <w:sz w:val="16"/>
          <w:szCs w:val="16"/>
        </w:rPr>
      </w:pPr>
      <w:r>
        <w:rPr/>
        <w:pict>
          <v:shape style="position:absolute;margin-left:82.291801pt;margin-top:-22.857641pt;width:440.3pt;height:109.35pt;mso-position-horizontal-relative:page;mso-position-vertical-relative:paragraph;z-index:10864"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2466"/>
                    <w:gridCol w:w="2565"/>
                    <w:gridCol w:w="3774"/>
                  </w:tblGrid>
                  <w:tr>
                    <w:trPr>
                      <w:trHeight w:val="937" w:hRule="exact"/>
                    </w:trPr>
                    <w:tc>
                      <w:tcPr>
                        <w:tcW w:w="2466" w:type="dxa"/>
                        <w:vMerge w:val="restart"/>
                        <w:tcBorders>
                          <w:top w:val="nil" w:sz="6" w:space="0" w:color="auto"/>
                          <w:left w:val="nil" w:sz="6" w:space="0" w:color="auto"/>
                          <w:right w:val="nil" w:sz="6" w:space="0" w:color="auto"/>
                        </w:tcBorders>
                      </w:tcPr>
                      <w:p>
                        <w:pPr>
                          <w:pStyle w:val="TableParagraph"/>
                          <w:spacing w:line="157" w:lineRule="exact"/>
                          <w:ind w:left="621" w:right="0"/>
                          <w:jc w:val="left"/>
                          <w:rPr>
                            <w:rFonts w:ascii="Segoe UI" w:hAnsi="Segoe UI" w:cs="Segoe UI" w:eastAsia="Segoe UI"/>
                            <w:sz w:val="16"/>
                            <w:szCs w:val="16"/>
                          </w:rPr>
                        </w:pPr>
                        <w:r>
                          <w:rPr>
                            <w:rFonts w:ascii="Segoe UI"/>
                            <w:color w:val="231F20"/>
                            <w:sz w:val="16"/>
                          </w:rPr>
                          <w:t>January</w:t>
                        </w:r>
                        <w:r>
                          <w:rPr>
                            <w:rFonts w:ascii="Segoe UI"/>
                            <w:color w:val="231F20"/>
                            <w:spacing w:val="-6"/>
                            <w:sz w:val="16"/>
                          </w:rPr>
                          <w:t> </w:t>
                        </w:r>
                        <w:r>
                          <w:rPr>
                            <w:rFonts w:ascii="Segoe UI"/>
                            <w:color w:val="231F20"/>
                            <w:sz w:val="16"/>
                          </w:rPr>
                          <w:t>2019</w:t>
                        </w:r>
                        <w:r>
                          <w:rPr>
                            <w:rFonts w:ascii="Segoe UI"/>
                            <w:sz w:val="16"/>
                          </w:rPr>
                        </w:r>
                      </w:p>
                      <w:p>
                        <w:pPr>
                          <w:pStyle w:val="TableParagraph"/>
                          <w:tabs>
                            <w:tab w:pos="621" w:val="left" w:leader="none"/>
                          </w:tabs>
                          <w:spacing w:line="200" w:lineRule="exact" w:before="113"/>
                          <w:ind w:left="621" w:right="-1" w:hanging="567"/>
                          <w:jc w:val="left"/>
                          <w:rPr>
                            <w:rFonts w:ascii="Segoe UI" w:hAnsi="Segoe UI" w:cs="Segoe UI" w:eastAsia="Segoe UI"/>
                            <w:sz w:val="16"/>
                            <w:szCs w:val="16"/>
                          </w:rPr>
                        </w:pPr>
                        <w:r>
                          <w:rPr>
                            <w:rFonts w:ascii="Segoe UI"/>
                            <w:color w:val="231F20"/>
                            <w:sz w:val="16"/>
                          </w:rPr>
                          <w:t>164</w:t>
                          <w:tab/>
                        </w:r>
                        <w:hyperlink r:id="rId131">
                          <w:r>
                            <w:rPr>
                              <w:rFonts w:ascii="Segoe UI"/>
                              <w:color w:val="231F20"/>
                              <w:w w:val="95"/>
                              <w:sz w:val="16"/>
                            </w:rPr>
                            <w:t>http://www.abs.gov.au/we</w:t>
                          </w:r>
                        </w:hyperlink>
                        <w:r>
                          <w:rPr>
                            <w:rFonts w:ascii="Segoe UI"/>
                            <w:color w:val="231F20"/>
                            <w:w w:val="99"/>
                            <w:sz w:val="16"/>
                          </w:rPr>
                          <w:t> </w:t>
                        </w:r>
                        <w:r>
                          <w:rPr>
                            <w:rFonts w:ascii="Segoe UI"/>
                            <w:color w:val="231F20"/>
                            <w:sz w:val="16"/>
                          </w:rPr>
                          <w:t>home/remoteness+struct</w:t>
                        </w:r>
                        <w:r>
                          <w:rPr>
                            <w:rFonts w:ascii="Segoe UI"/>
                            <w:sz w:val="16"/>
                          </w:rPr>
                        </w:r>
                      </w:p>
                    </w:tc>
                    <w:tc>
                      <w:tcPr>
                        <w:tcW w:w="6339" w:type="dxa"/>
                        <w:gridSpan w:val="2"/>
                        <w:tcBorders>
                          <w:top w:val="nil" w:sz="6" w:space="0" w:color="auto"/>
                          <w:left w:val="nil" w:sz="6" w:space="0" w:color="auto"/>
                          <w:bottom w:val="nil" w:sz="6" w:space="0" w:color="auto"/>
                          <w:right w:val="nil" w:sz="6" w:space="0" w:color="auto"/>
                        </w:tcBorders>
                      </w:tcPr>
                      <w:p>
                        <w:pPr>
                          <w:pStyle w:val="TableParagraph"/>
                          <w:tabs>
                            <w:tab w:pos="2681" w:val="left" w:leader="none"/>
                          </w:tabs>
                          <w:spacing w:line="200" w:lineRule="exact" w:before="70"/>
                          <w:ind w:left="1" w:right="85" w:firstLine="2151"/>
                          <w:jc w:val="left"/>
                          <w:rPr>
                            <w:rFonts w:ascii="Segoe UI" w:hAnsi="Segoe UI" w:cs="Segoe UI" w:eastAsia="Segoe UI"/>
                            <w:sz w:val="16"/>
                            <w:szCs w:val="16"/>
                          </w:rPr>
                        </w:pPr>
                        <w:r>
                          <w:rPr>
                            <w:rFonts w:ascii="Segoe UI"/>
                            <w:color w:val="231F20"/>
                            <w:sz w:val="16"/>
                          </w:rPr>
                          <w:t>175</w:t>
                          <w:tab/>
                          <w:t>There were</w:t>
                        </w:r>
                        <w:r>
                          <w:rPr>
                            <w:rFonts w:ascii="Segoe UI"/>
                            <w:color w:val="231F20"/>
                            <w:spacing w:val="-3"/>
                            <w:sz w:val="16"/>
                          </w:rPr>
                          <w:t> </w:t>
                        </w:r>
                        <w:r>
                          <w:rPr>
                            <w:rFonts w:ascii="Segoe UI"/>
                            <w:color w:val="231F20"/>
                            <w:sz w:val="16"/>
                          </w:rPr>
                          <w:t>only</w:t>
                        </w:r>
                        <w:r>
                          <w:rPr>
                            <w:rFonts w:ascii="Segoe UI"/>
                            <w:color w:val="231F20"/>
                            <w:spacing w:val="-3"/>
                            <w:sz w:val="16"/>
                          </w:rPr>
                          <w:t> </w:t>
                        </w:r>
                        <w:r>
                          <w:rPr>
                            <w:rFonts w:ascii="Segoe UI"/>
                            <w:color w:val="231F20"/>
                            <w:sz w:val="16"/>
                          </w:rPr>
                          <w:t>four</w:t>
                        </w:r>
                        <w:r>
                          <w:rPr>
                            <w:rFonts w:ascii="Segoe UI"/>
                            <w:color w:val="231F20"/>
                            <w:spacing w:val="-2"/>
                            <w:sz w:val="16"/>
                          </w:rPr>
                          <w:t> </w:t>
                        </w:r>
                        <w:r>
                          <w:rPr>
                            <w:rFonts w:ascii="Segoe UI"/>
                            <w:color w:val="231F20"/>
                            <w:spacing w:val="-1"/>
                            <w:sz w:val="16"/>
                          </w:rPr>
                          <w:t>special</w:t>
                        </w:r>
                        <w:r>
                          <w:rPr>
                            <w:rFonts w:ascii="Segoe UI"/>
                            <w:color w:val="231F20"/>
                            <w:spacing w:val="-2"/>
                            <w:sz w:val="16"/>
                          </w:rPr>
                          <w:t> </w:t>
                        </w:r>
                        <w:r>
                          <w:rPr>
                            <w:rFonts w:ascii="Segoe UI"/>
                            <w:color w:val="231F20"/>
                            <w:sz w:val="16"/>
                          </w:rPr>
                          <w:t>assistance</w:t>
                        </w:r>
                        <w:r>
                          <w:rPr>
                            <w:rFonts w:ascii="Segoe UI"/>
                            <w:color w:val="231F20"/>
                            <w:spacing w:val="-3"/>
                            <w:sz w:val="16"/>
                          </w:rPr>
                          <w:t> </w:t>
                        </w:r>
                        <w:r>
                          <w:rPr>
                            <w:rFonts w:ascii="Segoe UI"/>
                            <w:color w:val="231F20"/>
                            <w:spacing w:val="-1"/>
                            <w:sz w:val="16"/>
                          </w:rPr>
                          <w:t>schools</w:t>
                        </w:r>
                        <w:r>
                          <w:rPr>
                            <w:rFonts w:ascii="Segoe UI"/>
                            <w:color w:val="231F20"/>
                            <w:spacing w:val="21"/>
                            <w:sz w:val="16"/>
                          </w:rPr>
                          <w:t> </w:t>
                        </w:r>
                        <w:r>
                          <w:rPr>
                            <w:rFonts w:ascii="Segoe UI"/>
                            <w:color w:val="231F20"/>
                            <w:spacing w:val="-1"/>
                            <w:sz w:val="16"/>
                          </w:rPr>
                          <w:t>bsitedbs/D3310114.nsf/</w:t>
                          <w:tab/>
                          <w:t>included</w:t>
                        </w:r>
                        <w:r>
                          <w:rPr>
                            <w:rFonts w:ascii="Segoe UI"/>
                            <w:color w:val="231F20"/>
                            <w:sz w:val="16"/>
                          </w:rPr>
                          <w:t> </w:t>
                        </w:r>
                        <w:r>
                          <w:rPr>
                            <w:rFonts w:ascii="Segoe UI"/>
                            <w:color w:val="231F20"/>
                            <w:spacing w:val="-1"/>
                            <w:sz w:val="16"/>
                          </w:rPr>
                          <w:t>in</w:t>
                        </w:r>
                        <w:r>
                          <w:rPr>
                            <w:rFonts w:ascii="Segoe UI"/>
                            <w:color w:val="231F20"/>
                            <w:spacing w:val="-3"/>
                            <w:sz w:val="16"/>
                          </w:rPr>
                          <w:t> </w:t>
                        </w:r>
                        <w:r>
                          <w:rPr>
                            <w:rFonts w:ascii="Segoe UI"/>
                            <w:color w:val="231F20"/>
                            <w:sz w:val="16"/>
                          </w:rPr>
                          <w:t>the</w:t>
                        </w:r>
                        <w:r>
                          <w:rPr>
                            <w:rFonts w:ascii="Segoe UI"/>
                            <w:color w:val="231F20"/>
                            <w:spacing w:val="-3"/>
                            <w:sz w:val="16"/>
                          </w:rPr>
                          <w:t> </w:t>
                        </w:r>
                        <w:r>
                          <w:rPr>
                            <w:rFonts w:ascii="Segoe UI"/>
                            <w:color w:val="231F20"/>
                            <w:sz w:val="16"/>
                          </w:rPr>
                          <w:t>analysis</w:t>
                        </w:r>
                        <w:r>
                          <w:rPr>
                            <w:rFonts w:ascii="Segoe UI"/>
                            <w:color w:val="231F20"/>
                            <w:spacing w:val="-3"/>
                            <w:sz w:val="16"/>
                          </w:rPr>
                          <w:t> </w:t>
                        </w:r>
                        <w:r>
                          <w:rPr>
                            <w:rFonts w:ascii="Segoe UI"/>
                            <w:color w:val="231F20"/>
                            <w:sz w:val="16"/>
                          </w:rPr>
                          <w:t>for</w:t>
                        </w:r>
                        <w:r>
                          <w:rPr>
                            <w:rFonts w:ascii="Segoe UI"/>
                            <w:color w:val="231F20"/>
                            <w:spacing w:val="-2"/>
                            <w:sz w:val="16"/>
                          </w:rPr>
                          <w:t> </w:t>
                        </w:r>
                        <w:r>
                          <w:rPr>
                            <w:rFonts w:ascii="Segoe UI"/>
                            <w:color w:val="231F20"/>
                            <w:sz w:val="16"/>
                          </w:rPr>
                          <w:t>this</w:t>
                        </w:r>
                        <w:r>
                          <w:rPr>
                            <w:rFonts w:ascii="Segoe UI"/>
                            <w:color w:val="231F20"/>
                            <w:spacing w:val="-3"/>
                            <w:sz w:val="16"/>
                          </w:rPr>
                          <w:t> </w:t>
                        </w:r>
                        <w:r>
                          <w:rPr>
                            <w:rFonts w:ascii="Segoe UI"/>
                            <w:color w:val="231F20"/>
                            <w:sz w:val="16"/>
                          </w:rPr>
                          <w:t>report</w:t>
                        </w:r>
                        <w:r>
                          <w:rPr>
                            <w:rFonts w:ascii="Segoe UI"/>
                            <w:color w:val="231F20"/>
                            <w:spacing w:val="-3"/>
                            <w:sz w:val="16"/>
                          </w:rPr>
                          <w:t> </w:t>
                        </w:r>
                        <w:r>
                          <w:rPr>
                            <w:rFonts w:ascii="Segoe UI"/>
                            <w:color w:val="231F20"/>
                            <w:sz w:val="16"/>
                          </w:rPr>
                          <w:t>and</w:t>
                        </w:r>
                        <w:r>
                          <w:rPr>
                            <w:rFonts w:ascii="Segoe UI"/>
                            <w:color w:val="231F20"/>
                            <w:spacing w:val="-4"/>
                            <w:sz w:val="16"/>
                          </w:rPr>
                          <w:t> </w:t>
                        </w:r>
                        <w:r>
                          <w:rPr>
                            <w:rFonts w:ascii="Segoe UI"/>
                            <w:color w:val="231F20"/>
                            <w:sz w:val="16"/>
                          </w:rPr>
                          <w:t>given</w:t>
                        </w:r>
                        <w:r>
                          <w:rPr>
                            <w:rFonts w:ascii="Segoe UI"/>
                            <w:color w:val="231F20"/>
                            <w:spacing w:val="25"/>
                            <w:w w:val="99"/>
                            <w:sz w:val="16"/>
                          </w:rPr>
                          <w:t> </w:t>
                        </w:r>
                        <w:r>
                          <w:rPr>
                            <w:rFonts w:ascii="Segoe UI"/>
                            <w:color w:val="231F20"/>
                            <w:w w:val="95"/>
                            <w:sz w:val="16"/>
                          </w:rPr>
                          <w:t>re</w:t>
                          <w:tab/>
                        </w:r>
                        <w:r>
                          <w:rPr>
                            <w:rFonts w:ascii="Segoe UI"/>
                            <w:color w:val="231F20"/>
                            <w:sz w:val="16"/>
                          </w:rPr>
                          <w:t>the</w:t>
                        </w:r>
                        <w:r>
                          <w:rPr>
                            <w:rFonts w:ascii="Segoe UI"/>
                            <w:color w:val="231F20"/>
                            <w:spacing w:val="-4"/>
                            <w:sz w:val="16"/>
                          </w:rPr>
                          <w:t> </w:t>
                        </w:r>
                        <w:r>
                          <w:rPr>
                            <w:rFonts w:ascii="Segoe UI"/>
                            <w:color w:val="231F20"/>
                            <w:spacing w:val="-1"/>
                            <w:sz w:val="16"/>
                          </w:rPr>
                          <w:t>small</w:t>
                        </w:r>
                        <w:r>
                          <w:rPr>
                            <w:rFonts w:ascii="Segoe UI"/>
                            <w:color w:val="231F20"/>
                            <w:spacing w:val="-2"/>
                            <w:sz w:val="16"/>
                          </w:rPr>
                          <w:t> </w:t>
                        </w:r>
                        <w:r>
                          <w:rPr>
                            <w:rFonts w:ascii="Segoe UI"/>
                            <w:color w:val="231F20"/>
                            <w:spacing w:val="-1"/>
                            <w:sz w:val="16"/>
                          </w:rPr>
                          <w:t>sample</w:t>
                        </w:r>
                        <w:r>
                          <w:rPr>
                            <w:rFonts w:ascii="Segoe UI"/>
                            <w:color w:val="231F20"/>
                            <w:spacing w:val="-2"/>
                            <w:sz w:val="16"/>
                          </w:rPr>
                          <w:t> </w:t>
                        </w:r>
                        <w:r>
                          <w:rPr>
                            <w:rFonts w:ascii="Segoe UI"/>
                            <w:color w:val="231F20"/>
                            <w:spacing w:val="-1"/>
                            <w:sz w:val="16"/>
                          </w:rPr>
                          <w:t>size,</w:t>
                        </w:r>
                        <w:r>
                          <w:rPr>
                            <w:rFonts w:ascii="Segoe UI"/>
                            <w:color w:val="231F20"/>
                            <w:spacing w:val="-3"/>
                            <w:sz w:val="16"/>
                          </w:rPr>
                          <w:t> </w:t>
                        </w:r>
                        <w:r>
                          <w:rPr>
                            <w:rFonts w:ascii="Segoe UI"/>
                            <w:color w:val="231F20"/>
                            <w:sz w:val="16"/>
                          </w:rPr>
                          <w:t>caution</w:t>
                        </w:r>
                        <w:r>
                          <w:rPr>
                            <w:rFonts w:ascii="Segoe UI"/>
                            <w:color w:val="231F20"/>
                            <w:spacing w:val="-3"/>
                            <w:sz w:val="16"/>
                          </w:rPr>
                          <w:t> </w:t>
                        </w:r>
                        <w:r>
                          <w:rPr>
                            <w:rFonts w:ascii="Segoe UI"/>
                            <w:color w:val="231F20"/>
                            <w:spacing w:val="-1"/>
                            <w:sz w:val="16"/>
                          </w:rPr>
                          <w:t>should</w:t>
                        </w:r>
                        <w:r>
                          <w:rPr>
                            <w:rFonts w:ascii="Segoe UI"/>
                            <w:color w:val="231F20"/>
                            <w:spacing w:val="-2"/>
                            <w:sz w:val="16"/>
                          </w:rPr>
                          <w:t> </w:t>
                        </w:r>
                        <w:r>
                          <w:rPr>
                            <w:rFonts w:ascii="Segoe UI"/>
                            <w:color w:val="231F20"/>
                            <w:sz w:val="16"/>
                          </w:rPr>
                          <w:t>be</w:t>
                        </w:r>
                        <w:r>
                          <w:rPr>
                            <w:rFonts w:ascii="Segoe UI"/>
                            <w:color w:val="231F20"/>
                            <w:spacing w:val="-2"/>
                            <w:sz w:val="16"/>
                          </w:rPr>
                          <w:t> </w:t>
                        </w:r>
                        <w:r>
                          <w:rPr>
                            <w:rFonts w:ascii="Segoe UI"/>
                            <w:color w:val="231F20"/>
                            <w:sz w:val="16"/>
                          </w:rPr>
                          <w:t>exercised</w:t>
                        </w:r>
                        <w:r>
                          <w:rPr>
                            <w:rFonts w:ascii="Segoe UI"/>
                            <w:sz w:val="16"/>
                          </w:rPr>
                        </w:r>
                      </w:p>
                      <w:p>
                        <w:pPr>
                          <w:pStyle w:val="TableParagraph"/>
                          <w:spacing w:line="200" w:lineRule="exact"/>
                          <w:ind w:left="2719" w:right="0"/>
                          <w:jc w:val="left"/>
                          <w:rPr>
                            <w:rFonts w:ascii="Segoe UI" w:hAnsi="Segoe UI" w:cs="Segoe UI" w:eastAsia="Segoe UI"/>
                            <w:sz w:val="16"/>
                            <w:szCs w:val="16"/>
                          </w:rPr>
                        </w:pPr>
                        <w:r>
                          <w:rPr>
                            <w:rFonts w:ascii="Segoe UI"/>
                            <w:color w:val="231F20"/>
                            <w:spacing w:val="-1"/>
                            <w:sz w:val="16"/>
                          </w:rPr>
                          <w:t>in</w:t>
                        </w:r>
                        <w:r>
                          <w:rPr>
                            <w:rFonts w:ascii="Segoe UI"/>
                            <w:color w:val="231F20"/>
                            <w:spacing w:val="-5"/>
                            <w:sz w:val="16"/>
                          </w:rPr>
                          <w:t> </w:t>
                        </w:r>
                        <w:r>
                          <w:rPr>
                            <w:rFonts w:ascii="Segoe UI"/>
                            <w:color w:val="231F20"/>
                            <w:spacing w:val="-1"/>
                            <w:sz w:val="16"/>
                          </w:rPr>
                          <w:t>interpreting</w:t>
                        </w:r>
                        <w:r>
                          <w:rPr>
                            <w:rFonts w:ascii="Segoe UI"/>
                            <w:color w:val="231F20"/>
                            <w:spacing w:val="-5"/>
                            <w:sz w:val="16"/>
                          </w:rPr>
                          <w:t> </w:t>
                        </w:r>
                        <w:r>
                          <w:rPr>
                            <w:rFonts w:ascii="Segoe UI"/>
                            <w:color w:val="231F20"/>
                            <w:sz w:val="16"/>
                          </w:rPr>
                          <w:t>the</w:t>
                        </w:r>
                        <w:r>
                          <w:rPr>
                            <w:rFonts w:ascii="Segoe UI"/>
                            <w:color w:val="231F20"/>
                            <w:spacing w:val="-5"/>
                            <w:sz w:val="16"/>
                          </w:rPr>
                          <w:t> </w:t>
                        </w:r>
                        <w:r>
                          <w:rPr>
                            <w:rFonts w:ascii="Segoe UI"/>
                            <w:color w:val="231F20"/>
                            <w:sz w:val="16"/>
                          </w:rPr>
                          <w:t>data</w:t>
                        </w:r>
                        <w:r>
                          <w:rPr>
                            <w:rFonts w:ascii="Segoe UI"/>
                            <w:sz w:val="16"/>
                          </w:rPr>
                        </w:r>
                      </w:p>
                    </w:tc>
                  </w:tr>
                  <w:tr>
                    <w:trPr>
                      <w:trHeight w:val="713" w:hRule="exact"/>
                    </w:trPr>
                    <w:tc>
                      <w:tcPr>
                        <w:tcW w:w="2466" w:type="dxa"/>
                        <w:vMerge/>
                        <w:tcBorders>
                          <w:left w:val="nil" w:sz="6" w:space="0" w:color="auto"/>
                          <w:bottom w:val="nil" w:sz="6" w:space="0" w:color="auto"/>
                          <w:right w:val="nil" w:sz="6" w:space="0" w:color="auto"/>
                        </w:tcBorders>
                      </w:tcPr>
                      <w:p>
                        <w:pPr/>
                      </w:p>
                    </w:tc>
                    <w:tc>
                      <w:tcPr>
                        <w:tcW w:w="2565" w:type="dxa"/>
                        <w:tcBorders>
                          <w:top w:val="nil" w:sz="6" w:space="0" w:color="auto"/>
                          <w:left w:val="nil" w:sz="6" w:space="0" w:color="auto"/>
                          <w:bottom w:val="nil" w:sz="6" w:space="0" w:color="auto"/>
                          <w:right w:val="nil" w:sz="6" w:space="0" w:color="auto"/>
                        </w:tcBorders>
                      </w:tcPr>
                      <w:p>
                        <w:pPr>
                          <w:pStyle w:val="TableParagraph"/>
                          <w:spacing w:line="240" w:lineRule="auto" w:before="34"/>
                          <w:ind w:right="152"/>
                          <w:jc w:val="right"/>
                          <w:rPr>
                            <w:rFonts w:ascii="Segoe UI" w:hAnsi="Segoe UI" w:cs="Segoe UI" w:eastAsia="Segoe UI"/>
                            <w:sz w:val="16"/>
                            <w:szCs w:val="16"/>
                          </w:rPr>
                        </w:pPr>
                        <w:r>
                          <w:rPr>
                            <w:rFonts w:ascii="Segoe UI"/>
                            <w:color w:val="231F20"/>
                            <w:sz w:val="16"/>
                          </w:rPr>
                          <w:t>176</w:t>
                        </w:r>
                        <w:r>
                          <w:rPr>
                            <w:rFonts w:ascii="Segoe UI"/>
                            <w:sz w:val="16"/>
                          </w:rPr>
                        </w:r>
                      </w:p>
                    </w:tc>
                    <w:tc>
                      <w:tcPr>
                        <w:tcW w:w="3774" w:type="dxa"/>
                        <w:tcBorders>
                          <w:top w:val="nil" w:sz="6" w:space="0" w:color="auto"/>
                          <w:left w:val="nil" w:sz="6" w:space="0" w:color="auto"/>
                          <w:bottom w:val="nil" w:sz="6" w:space="0" w:color="auto"/>
                          <w:right w:val="nil" w:sz="6" w:space="0" w:color="auto"/>
                        </w:tcBorders>
                      </w:tcPr>
                      <w:p>
                        <w:pPr>
                          <w:pStyle w:val="TableParagraph"/>
                          <w:spacing w:line="200" w:lineRule="exact" w:before="46"/>
                          <w:ind w:left="154" w:right="53"/>
                          <w:jc w:val="left"/>
                          <w:rPr>
                            <w:rFonts w:ascii="Segoe UI" w:hAnsi="Segoe UI" w:cs="Segoe UI" w:eastAsia="Segoe UI"/>
                            <w:sz w:val="16"/>
                            <w:szCs w:val="16"/>
                          </w:rPr>
                        </w:pPr>
                        <w:r>
                          <w:rPr>
                            <w:rFonts w:ascii="Segoe UI"/>
                            <w:color w:val="231F20"/>
                            <w:sz w:val="16"/>
                          </w:rPr>
                          <w:t>Additional</w:t>
                        </w:r>
                        <w:r>
                          <w:rPr>
                            <w:rFonts w:ascii="Segoe UI"/>
                            <w:color w:val="231F20"/>
                            <w:spacing w:val="-6"/>
                            <w:sz w:val="16"/>
                          </w:rPr>
                          <w:t> </w:t>
                        </w:r>
                        <w:r>
                          <w:rPr>
                            <w:rFonts w:ascii="Segoe UI"/>
                            <w:color w:val="231F20"/>
                            <w:sz w:val="16"/>
                          </w:rPr>
                          <w:t>funding</w:t>
                        </w:r>
                        <w:r>
                          <w:rPr>
                            <w:rFonts w:ascii="Segoe UI"/>
                            <w:color w:val="231F20"/>
                            <w:spacing w:val="-5"/>
                            <w:sz w:val="16"/>
                          </w:rPr>
                          <w:t> </w:t>
                        </w:r>
                        <w:r>
                          <w:rPr>
                            <w:rFonts w:ascii="Segoe UI"/>
                            <w:color w:val="231F20"/>
                            <w:spacing w:val="-1"/>
                            <w:sz w:val="16"/>
                          </w:rPr>
                          <w:t>is</w:t>
                        </w:r>
                        <w:r>
                          <w:rPr>
                            <w:rFonts w:ascii="Segoe UI"/>
                            <w:color w:val="231F20"/>
                            <w:spacing w:val="-6"/>
                            <w:sz w:val="16"/>
                          </w:rPr>
                          <w:t> </w:t>
                        </w:r>
                        <w:r>
                          <w:rPr>
                            <w:rFonts w:ascii="Segoe UI"/>
                            <w:color w:val="231F20"/>
                            <w:spacing w:val="-1"/>
                            <w:sz w:val="16"/>
                          </w:rPr>
                          <w:t>available</w:t>
                        </w:r>
                        <w:r>
                          <w:rPr>
                            <w:rFonts w:ascii="Segoe UI"/>
                            <w:color w:val="231F20"/>
                            <w:spacing w:val="-5"/>
                            <w:sz w:val="16"/>
                          </w:rPr>
                          <w:t> </w:t>
                        </w:r>
                        <w:r>
                          <w:rPr>
                            <w:rFonts w:ascii="Segoe UI"/>
                            <w:color w:val="231F20"/>
                            <w:sz w:val="16"/>
                          </w:rPr>
                          <w:t>for</w:t>
                        </w:r>
                        <w:r>
                          <w:rPr>
                            <w:rFonts w:ascii="Segoe UI"/>
                            <w:color w:val="231F20"/>
                            <w:spacing w:val="-5"/>
                            <w:sz w:val="16"/>
                          </w:rPr>
                          <w:t> </w:t>
                        </w:r>
                        <w:r>
                          <w:rPr>
                            <w:rFonts w:ascii="Segoe UI"/>
                            <w:color w:val="231F20"/>
                            <w:sz w:val="16"/>
                          </w:rPr>
                          <w:t>physical,</w:t>
                        </w:r>
                        <w:r>
                          <w:rPr>
                            <w:rFonts w:ascii="Segoe UI"/>
                            <w:color w:val="231F20"/>
                            <w:spacing w:val="28"/>
                            <w:w w:val="99"/>
                            <w:sz w:val="16"/>
                          </w:rPr>
                          <w:t> </w:t>
                        </w:r>
                        <w:r>
                          <w:rPr>
                            <w:rFonts w:ascii="Segoe UI"/>
                            <w:color w:val="231F20"/>
                            <w:sz w:val="16"/>
                          </w:rPr>
                          <w:t>cognitive,</w:t>
                        </w:r>
                        <w:r>
                          <w:rPr>
                            <w:rFonts w:ascii="Segoe UI"/>
                            <w:color w:val="231F20"/>
                            <w:spacing w:val="-5"/>
                            <w:sz w:val="16"/>
                          </w:rPr>
                          <w:t> </w:t>
                        </w:r>
                        <w:r>
                          <w:rPr>
                            <w:rFonts w:ascii="Segoe UI"/>
                            <w:color w:val="231F20"/>
                            <w:spacing w:val="-1"/>
                            <w:sz w:val="16"/>
                          </w:rPr>
                          <w:t>sensory</w:t>
                        </w:r>
                        <w:r>
                          <w:rPr>
                            <w:rFonts w:ascii="Segoe UI"/>
                            <w:color w:val="231F20"/>
                            <w:spacing w:val="-4"/>
                            <w:sz w:val="16"/>
                          </w:rPr>
                          <w:t> </w:t>
                        </w:r>
                        <w:r>
                          <w:rPr>
                            <w:rFonts w:ascii="Segoe UI"/>
                            <w:color w:val="231F20"/>
                            <w:sz w:val="16"/>
                          </w:rPr>
                          <w:t>and</w:t>
                        </w:r>
                        <w:r>
                          <w:rPr>
                            <w:rFonts w:ascii="Segoe UI"/>
                            <w:color w:val="231F20"/>
                            <w:spacing w:val="-4"/>
                            <w:sz w:val="16"/>
                          </w:rPr>
                          <w:t> </w:t>
                        </w:r>
                        <w:r>
                          <w:rPr>
                            <w:rFonts w:ascii="Segoe UI"/>
                            <w:color w:val="231F20"/>
                            <w:spacing w:val="-1"/>
                            <w:sz w:val="16"/>
                          </w:rPr>
                          <w:t>social/emotional</w:t>
                        </w:r>
                        <w:r>
                          <w:rPr>
                            <w:rFonts w:ascii="Segoe UI"/>
                            <w:color w:val="231F20"/>
                            <w:spacing w:val="-3"/>
                            <w:sz w:val="16"/>
                          </w:rPr>
                          <w:t> </w:t>
                        </w:r>
                        <w:r>
                          <w:rPr>
                            <w:rFonts w:ascii="Segoe UI"/>
                            <w:color w:val="231F20"/>
                            <w:sz w:val="16"/>
                          </w:rPr>
                          <w:t>disabilities</w:t>
                        </w:r>
                        <w:r>
                          <w:rPr>
                            <w:rFonts w:ascii="Segoe UI"/>
                            <w:color w:val="231F20"/>
                            <w:spacing w:val="23"/>
                            <w:sz w:val="16"/>
                          </w:rPr>
                          <w:t> </w:t>
                        </w:r>
                        <w:r>
                          <w:rPr>
                            <w:rFonts w:ascii="Segoe UI"/>
                            <w:color w:val="231F20"/>
                            <w:sz w:val="16"/>
                          </w:rPr>
                          <w:t>defined</w:t>
                        </w:r>
                        <w:r>
                          <w:rPr>
                            <w:rFonts w:ascii="Segoe UI"/>
                            <w:color w:val="231F20"/>
                            <w:spacing w:val="-3"/>
                            <w:sz w:val="16"/>
                          </w:rPr>
                          <w:t> </w:t>
                        </w:r>
                        <w:r>
                          <w:rPr>
                            <w:rFonts w:ascii="Segoe UI"/>
                            <w:color w:val="231F20"/>
                            <w:sz w:val="16"/>
                          </w:rPr>
                          <w:t>in</w:t>
                        </w:r>
                        <w:r>
                          <w:rPr>
                            <w:rFonts w:ascii="Segoe UI"/>
                            <w:color w:val="231F20"/>
                            <w:spacing w:val="-3"/>
                            <w:sz w:val="16"/>
                          </w:rPr>
                          <w:t> </w:t>
                        </w:r>
                        <w:r>
                          <w:rPr>
                            <w:rFonts w:ascii="Segoe UI"/>
                            <w:color w:val="231F20"/>
                            <w:sz w:val="16"/>
                          </w:rPr>
                          <w:t>the</w:t>
                        </w:r>
                        <w:r>
                          <w:rPr>
                            <w:rFonts w:ascii="Segoe UI"/>
                            <w:color w:val="231F20"/>
                            <w:spacing w:val="-3"/>
                            <w:sz w:val="16"/>
                          </w:rPr>
                          <w:t> </w:t>
                        </w:r>
                        <w:r>
                          <w:rPr>
                            <w:rFonts w:ascii="Segoe UI"/>
                            <w:i/>
                            <w:color w:val="231F20"/>
                            <w:spacing w:val="-1"/>
                            <w:sz w:val="16"/>
                          </w:rPr>
                          <w:t>Disability</w:t>
                        </w:r>
                        <w:r>
                          <w:rPr>
                            <w:rFonts w:ascii="Segoe UI"/>
                            <w:i/>
                            <w:color w:val="231F20"/>
                            <w:spacing w:val="-3"/>
                            <w:sz w:val="16"/>
                          </w:rPr>
                          <w:t> </w:t>
                        </w:r>
                        <w:r>
                          <w:rPr>
                            <w:rFonts w:ascii="Segoe UI"/>
                            <w:i/>
                            <w:color w:val="231F20"/>
                            <w:spacing w:val="-1"/>
                            <w:sz w:val="16"/>
                          </w:rPr>
                          <w:t>Discrimination</w:t>
                        </w:r>
                        <w:r>
                          <w:rPr>
                            <w:rFonts w:ascii="Segoe UI"/>
                            <w:i/>
                            <w:color w:val="231F20"/>
                            <w:spacing w:val="-3"/>
                            <w:sz w:val="16"/>
                          </w:rPr>
                          <w:t> </w:t>
                        </w:r>
                        <w:r>
                          <w:rPr>
                            <w:rFonts w:ascii="Segoe UI"/>
                            <w:i/>
                            <w:color w:val="231F20"/>
                            <w:sz w:val="16"/>
                          </w:rPr>
                          <w:t>Act</w:t>
                        </w:r>
                        <w:r>
                          <w:rPr>
                            <w:rFonts w:ascii="Segoe UI"/>
                            <w:i/>
                            <w:color w:val="231F20"/>
                            <w:spacing w:val="-4"/>
                            <w:sz w:val="16"/>
                          </w:rPr>
                          <w:t> </w:t>
                        </w:r>
                        <w:r>
                          <w:rPr>
                            <w:rFonts w:ascii="Segoe UI"/>
                            <w:i/>
                            <w:color w:val="231F20"/>
                            <w:sz w:val="16"/>
                          </w:rPr>
                          <w:t>1992</w:t>
                        </w:r>
                        <w:r>
                          <w:rPr>
                            <w:rFonts w:ascii="Segoe UI"/>
                            <w:sz w:val="16"/>
                          </w:rPr>
                        </w:r>
                      </w:p>
                    </w:tc>
                  </w:tr>
                  <w:tr>
                    <w:trPr>
                      <w:trHeight w:val="537" w:hRule="exact"/>
                    </w:trPr>
                    <w:tc>
                      <w:tcPr>
                        <w:tcW w:w="2466" w:type="dxa"/>
                        <w:tcBorders>
                          <w:top w:val="nil" w:sz="6" w:space="0" w:color="auto"/>
                          <w:left w:val="nil" w:sz="6" w:space="0" w:color="auto"/>
                          <w:bottom w:val="nil" w:sz="6" w:space="0" w:color="auto"/>
                          <w:right w:val="nil" w:sz="6" w:space="0" w:color="auto"/>
                        </w:tcBorders>
                      </w:tcPr>
                      <w:p>
                        <w:pPr/>
                      </w:p>
                    </w:tc>
                    <w:tc>
                      <w:tcPr>
                        <w:tcW w:w="2565" w:type="dxa"/>
                        <w:tcBorders>
                          <w:top w:val="nil" w:sz="6" w:space="0" w:color="auto"/>
                          <w:left w:val="nil" w:sz="6" w:space="0" w:color="auto"/>
                          <w:bottom w:val="nil" w:sz="6" w:space="0" w:color="auto"/>
                          <w:right w:val="nil" w:sz="6" w:space="0" w:color="auto"/>
                        </w:tcBorders>
                      </w:tcPr>
                      <w:p>
                        <w:pPr>
                          <w:pStyle w:val="TableParagraph"/>
                          <w:spacing w:line="240" w:lineRule="auto" w:before="34"/>
                          <w:ind w:right="152"/>
                          <w:jc w:val="right"/>
                          <w:rPr>
                            <w:rFonts w:ascii="Segoe UI" w:hAnsi="Segoe UI" w:cs="Segoe UI" w:eastAsia="Segoe UI"/>
                            <w:sz w:val="16"/>
                            <w:szCs w:val="16"/>
                          </w:rPr>
                        </w:pPr>
                        <w:r>
                          <w:rPr>
                            <w:rFonts w:ascii="Segoe UI"/>
                            <w:color w:val="231F20"/>
                            <w:sz w:val="16"/>
                          </w:rPr>
                          <w:t>177</w:t>
                        </w:r>
                        <w:r>
                          <w:rPr>
                            <w:rFonts w:ascii="Segoe UI"/>
                            <w:sz w:val="16"/>
                          </w:rPr>
                        </w:r>
                      </w:p>
                    </w:tc>
                    <w:tc>
                      <w:tcPr>
                        <w:tcW w:w="3774" w:type="dxa"/>
                        <w:tcBorders>
                          <w:top w:val="nil" w:sz="6" w:space="0" w:color="auto"/>
                          <w:left w:val="nil" w:sz="6" w:space="0" w:color="auto"/>
                          <w:bottom w:val="nil" w:sz="6" w:space="0" w:color="auto"/>
                          <w:right w:val="nil" w:sz="6" w:space="0" w:color="auto"/>
                        </w:tcBorders>
                      </w:tcPr>
                      <w:p>
                        <w:pPr>
                          <w:pStyle w:val="TableParagraph"/>
                          <w:spacing w:line="200" w:lineRule="exact" w:before="46"/>
                          <w:ind w:left="154" w:right="309"/>
                          <w:jc w:val="left"/>
                          <w:rPr>
                            <w:rFonts w:ascii="Segoe UI" w:hAnsi="Segoe UI" w:cs="Segoe UI" w:eastAsia="Segoe UI"/>
                            <w:sz w:val="16"/>
                            <w:szCs w:val="16"/>
                          </w:rPr>
                        </w:pPr>
                        <w:r>
                          <w:rPr>
                            <w:rFonts w:ascii="Segoe UI"/>
                            <w:color w:val="231F20"/>
                            <w:spacing w:val="-1"/>
                            <w:sz w:val="16"/>
                          </w:rPr>
                          <w:t>Department</w:t>
                        </w:r>
                        <w:r>
                          <w:rPr>
                            <w:rFonts w:ascii="Segoe UI"/>
                            <w:color w:val="231F20"/>
                            <w:spacing w:val="-7"/>
                            <w:sz w:val="16"/>
                          </w:rPr>
                          <w:t> </w:t>
                        </w:r>
                        <w:r>
                          <w:rPr>
                            <w:rFonts w:ascii="Segoe UI"/>
                            <w:color w:val="231F20"/>
                            <w:sz w:val="16"/>
                          </w:rPr>
                          <w:t>of</w:t>
                        </w:r>
                        <w:r>
                          <w:rPr>
                            <w:rFonts w:ascii="Segoe UI"/>
                            <w:color w:val="231F20"/>
                            <w:spacing w:val="-6"/>
                            <w:sz w:val="16"/>
                          </w:rPr>
                          <w:t> </w:t>
                        </w:r>
                        <w:r>
                          <w:rPr>
                            <w:rFonts w:ascii="Segoe UI"/>
                            <w:color w:val="231F20"/>
                            <w:sz w:val="16"/>
                          </w:rPr>
                          <w:t>Education</w:t>
                        </w:r>
                        <w:r>
                          <w:rPr>
                            <w:rFonts w:ascii="Segoe UI"/>
                            <w:color w:val="231F20"/>
                            <w:spacing w:val="-7"/>
                            <w:sz w:val="16"/>
                          </w:rPr>
                          <w:t> </w:t>
                        </w:r>
                        <w:r>
                          <w:rPr>
                            <w:rFonts w:ascii="Segoe UI"/>
                            <w:color w:val="231F20"/>
                            <w:sz w:val="16"/>
                          </w:rPr>
                          <w:t>and</w:t>
                        </w:r>
                        <w:r>
                          <w:rPr>
                            <w:rFonts w:ascii="Segoe UI"/>
                            <w:color w:val="231F20"/>
                            <w:spacing w:val="-7"/>
                            <w:sz w:val="16"/>
                          </w:rPr>
                          <w:t> </w:t>
                        </w:r>
                        <w:r>
                          <w:rPr>
                            <w:rFonts w:ascii="Segoe UI"/>
                            <w:color w:val="231F20"/>
                            <w:spacing w:val="-2"/>
                            <w:sz w:val="16"/>
                          </w:rPr>
                          <w:t>Training</w:t>
                        </w:r>
                        <w:r>
                          <w:rPr>
                            <w:rFonts w:ascii="Segoe UI"/>
                            <w:color w:val="231F20"/>
                            <w:spacing w:val="-8"/>
                            <w:sz w:val="16"/>
                          </w:rPr>
                          <w:t> </w:t>
                        </w:r>
                        <w:r>
                          <w:rPr>
                            <w:rFonts w:ascii="Segoe UI"/>
                            <w:color w:val="231F20"/>
                            <w:sz w:val="16"/>
                          </w:rPr>
                          <w:t>website,</w:t>
                        </w:r>
                        <w:r>
                          <w:rPr>
                            <w:rFonts w:ascii="Segoe UI"/>
                            <w:color w:val="231F20"/>
                            <w:w w:val="99"/>
                            <w:sz w:val="16"/>
                          </w:rPr>
                          <w:t> </w:t>
                        </w:r>
                        <w:r>
                          <w:rPr>
                            <w:rFonts w:ascii="Segoe UI"/>
                            <w:color w:val="3853A4"/>
                            <w:w w:val="99"/>
                            <w:sz w:val="16"/>
                          </w:rPr>
                        </w:r>
                        <w:r>
                          <w:rPr>
                            <w:rFonts w:ascii="Segoe UI"/>
                            <w:color w:val="3853A4"/>
                            <w:w w:val="99"/>
                            <w:sz w:val="16"/>
                          </w:rPr>
                          <w:t> </w:t>
                        </w:r>
                        <w:hyperlink r:id="rId132">
                          <w:r>
                            <w:rPr>
                              <w:rFonts w:ascii="Segoe UI"/>
                              <w:color w:val="3853A4"/>
                              <w:spacing w:val="-1"/>
                              <w:sz w:val="16"/>
                              <w:u w:val="single" w:color="3853A4"/>
                            </w:rPr>
                            <w:t>www.education.gov.au</w:t>
                          </w:r>
                          <w:r>
                            <w:rPr>
                              <w:rFonts w:ascii="Segoe UI"/>
                              <w:color w:val="3853A4"/>
                              <w:sz w:val="16"/>
                            </w:rPr>
                          </w:r>
                          <w:r>
                            <w:rPr>
                              <w:rFonts w:ascii="Segoe UI"/>
                              <w:color w:val="231F20"/>
                              <w:spacing w:val="-1"/>
                              <w:sz w:val="16"/>
                            </w:rPr>
                            <w:t>,</w:t>
                          </w:r>
                        </w:hyperlink>
                        <w:r>
                          <w:rPr>
                            <w:rFonts w:ascii="Segoe UI"/>
                            <w:color w:val="231F20"/>
                            <w:spacing w:val="-8"/>
                            <w:sz w:val="16"/>
                          </w:rPr>
                          <w:t> </w:t>
                        </w:r>
                        <w:r>
                          <w:rPr>
                            <w:rFonts w:ascii="Segoe UI"/>
                            <w:color w:val="231F20"/>
                            <w:sz w:val="16"/>
                          </w:rPr>
                          <w:t>accessed</w:t>
                        </w:r>
                        <w:r>
                          <w:rPr>
                            <w:rFonts w:ascii="Segoe UI"/>
                            <w:color w:val="231F20"/>
                            <w:spacing w:val="-8"/>
                            <w:sz w:val="16"/>
                          </w:rPr>
                          <w:t> </w:t>
                        </w:r>
                        <w:r>
                          <w:rPr>
                            <w:rFonts w:ascii="Segoe UI"/>
                            <w:color w:val="231F20"/>
                            <w:sz w:val="16"/>
                          </w:rPr>
                          <w:t>January</w:t>
                        </w:r>
                        <w:r>
                          <w:rPr>
                            <w:rFonts w:ascii="Segoe UI"/>
                            <w:color w:val="231F20"/>
                            <w:spacing w:val="-7"/>
                            <w:sz w:val="16"/>
                          </w:rPr>
                          <w:t> </w:t>
                        </w:r>
                        <w:r>
                          <w:rPr>
                            <w:rFonts w:ascii="Segoe UI"/>
                            <w:color w:val="231F20"/>
                            <w:sz w:val="16"/>
                          </w:rPr>
                          <w:t>2019</w:t>
                        </w:r>
                        <w:r>
                          <w:rPr>
                            <w:rFonts w:ascii="Segoe UI"/>
                            <w:sz w:val="16"/>
                          </w:rPr>
                        </w:r>
                      </w:p>
                    </w:tc>
                  </w:tr>
                </w:tbl>
                <w:p>
                  <w:pPr/>
                </w:p>
              </w:txbxContent>
            </v:textbox>
            <w10:wrap type="none"/>
          </v:shape>
        </w:pict>
      </w:r>
      <w:r>
        <w:rPr>
          <w:rFonts w:ascii="Segoe UI"/>
          <w:color w:val="231F20"/>
          <w:sz w:val="16"/>
        </w:rPr>
        <w:t>u</w:t>
      </w:r>
      <w:r>
        <w:rPr>
          <w:rFonts w:ascii="Segoe UI"/>
          <w:sz w:val="16"/>
        </w:rPr>
      </w:r>
    </w:p>
    <w:p>
      <w:pPr>
        <w:spacing w:after="0"/>
        <w:jc w:val="left"/>
        <w:rPr>
          <w:rFonts w:ascii="Segoe UI" w:hAnsi="Segoe UI" w:cs="Segoe UI" w:eastAsia="Segoe UI"/>
          <w:sz w:val="16"/>
          <w:szCs w:val="16"/>
        </w:rPr>
        <w:sectPr>
          <w:type w:val="continuous"/>
          <w:pgSz w:w="11910" w:h="16840"/>
          <w:pgMar w:top="1580" w:bottom="280" w:left="1540" w:right="1300"/>
        </w:sectPr>
      </w:pPr>
    </w:p>
    <w:p>
      <w:pPr>
        <w:spacing w:line="240" w:lineRule="auto" w:before="0"/>
        <w:rPr>
          <w:rFonts w:ascii="Segoe UI" w:hAnsi="Segoe UI" w:cs="Segoe UI" w:eastAsia="Segoe UI"/>
          <w:sz w:val="20"/>
          <w:szCs w:val="20"/>
        </w:rPr>
      </w:pPr>
    </w:p>
    <w:p>
      <w:pPr>
        <w:spacing w:line="240" w:lineRule="auto" w:before="11"/>
        <w:rPr>
          <w:rFonts w:ascii="Segoe UI" w:hAnsi="Segoe UI" w:cs="Segoe UI" w:eastAsia="Segoe UI"/>
          <w:sz w:val="21"/>
          <w:szCs w:val="21"/>
        </w:rPr>
      </w:pPr>
    </w:p>
    <w:p>
      <w:pPr>
        <w:spacing w:after="0" w:line="240" w:lineRule="auto"/>
        <w:rPr>
          <w:rFonts w:ascii="Segoe UI" w:hAnsi="Segoe UI" w:cs="Segoe UI" w:eastAsia="Segoe UI"/>
          <w:sz w:val="21"/>
          <w:szCs w:val="21"/>
        </w:rPr>
        <w:sectPr>
          <w:footerReference w:type="even" r:id="rId133"/>
          <w:pgSz w:w="11910" w:h="16840"/>
          <w:pgMar w:footer="691" w:header="0" w:top="1580" w:bottom="880" w:left="1300" w:right="1680"/>
        </w:sectPr>
      </w:pPr>
    </w:p>
    <w:p>
      <w:pPr>
        <w:tabs>
          <w:tab w:pos="684" w:val="left" w:leader="none"/>
        </w:tabs>
        <w:spacing w:line="200" w:lineRule="exact" w:before="70"/>
        <w:ind w:left="684" w:right="102" w:hanging="567"/>
        <w:jc w:val="left"/>
        <w:rPr>
          <w:rFonts w:ascii="Segoe UI" w:hAnsi="Segoe UI" w:cs="Segoe UI" w:eastAsia="Segoe UI"/>
          <w:sz w:val="16"/>
          <w:szCs w:val="16"/>
        </w:rPr>
      </w:pPr>
      <w:r>
        <w:rPr>
          <w:rFonts w:ascii="Segoe UI"/>
          <w:color w:val="231F20"/>
          <w:sz w:val="16"/>
        </w:rPr>
        <w:t>178</w:t>
        <w:tab/>
      </w:r>
      <w:r>
        <w:rPr>
          <w:rFonts w:ascii="Segoe UI"/>
          <w:color w:val="231F20"/>
          <w:spacing w:val="-1"/>
          <w:sz w:val="16"/>
        </w:rPr>
        <w:t>Boarding</w:t>
      </w:r>
      <w:r>
        <w:rPr>
          <w:rFonts w:ascii="Segoe UI"/>
          <w:color w:val="231F20"/>
          <w:spacing w:val="-6"/>
          <w:sz w:val="16"/>
        </w:rPr>
        <w:t> </w:t>
      </w:r>
      <w:r>
        <w:rPr>
          <w:rFonts w:ascii="Segoe UI"/>
          <w:color w:val="231F20"/>
          <w:sz w:val="16"/>
        </w:rPr>
        <w:t>Australia,</w:t>
      </w:r>
      <w:r>
        <w:rPr>
          <w:rFonts w:ascii="Segoe UI"/>
          <w:color w:val="231F20"/>
          <w:spacing w:val="-6"/>
          <w:sz w:val="16"/>
        </w:rPr>
        <w:t> </w:t>
      </w:r>
      <w:r>
        <w:rPr>
          <w:rFonts w:ascii="Segoe UI"/>
          <w:i/>
          <w:color w:val="231F20"/>
          <w:sz w:val="16"/>
        </w:rPr>
        <w:t>National</w:t>
      </w:r>
      <w:r>
        <w:rPr>
          <w:rFonts w:ascii="Segoe UI"/>
          <w:i/>
          <w:color w:val="231F20"/>
          <w:spacing w:val="-7"/>
          <w:sz w:val="16"/>
        </w:rPr>
        <w:t> </w:t>
      </w:r>
      <w:r>
        <w:rPr>
          <w:rFonts w:ascii="Segoe UI"/>
          <w:i/>
          <w:color w:val="231F20"/>
          <w:spacing w:val="-1"/>
          <w:sz w:val="16"/>
        </w:rPr>
        <w:t>Indigenous</w:t>
      </w:r>
      <w:r>
        <w:rPr>
          <w:rFonts w:ascii="Segoe UI"/>
          <w:i/>
          <w:color w:val="231F20"/>
          <w:spacing w:val="-7"/>
          <w:sz w:val="16"/>
        </w:rPr>
        <w:t> </w:t>
      </w:r>
      <w:r>
        <w:rPr>
          <w:rFonts w:ascii="Segoe UI"/>
          <w:i/>
          <w:color w:val="231F20"/>
          <w:spacing w:val="-7"/>
          <w:sz w:val="16"/>
        </w:rPr>
      </w:r>
      <w:r>
        <w:rPr>
          <w:rFonts w:ascii="Segoe UI"/>
          <w:i/>
          <w:color w:val="231F20"/>
          <w:spacing w:val="-1"/>
          <w:sz w:val="16"/>
        </w:rPr>
        <w:t>Boarding</w:t>
      </w:r>
      <w:r>
        <w:rPr>
          <w:rFonts w:ascii="Segoe UI"/>
          <w:i/>
          <w:color w:val="231F20"/>
          <w:spacing w:val="28"/>
          <w:sz w:val="16"/>
        </w:rPr>
        <w:t> </w:t>
      </w:r>
      <w:r>
        <w:rPr>
          <w:rFonts w:ascii="Segoe UI"/>
          <w:i/>
          <w:color w:val="231F20"/>
          <w:spacing w:val="-1"/>
          <w:sz w:val="16"/>
        </w:rPr>
        <w:t>Strategy:</w:t>
      </w:r>
      <w:r>
        <w:rPr>
          <w:rFonts w:ascii="Segoe UI"/>
          <w:i/>
          <w:color w:val="231F20"/>
          <w:spacing w:val="-5"/>
          <w:sz w:val="16"/>
        </w:rPr>
        <w:t> </w:t>
      </w:r>
      <w:r>
        <w:rPr>
          <w:rFonts w:ascii="Segoe UI"/>
          <w:i/>
          <w:color w:val="231F20"/>
          <w:spacing w:val="-1"/>
          <w:sz w:val="16"/>
        </w:rPr>
        <w:t>Submission</w:t>
      </w:r>
      <w:r>
        <w:rPr>
          <w:rFonts w:ascii="Segoe UI"/>
          <w:i/>
          <w:color w:val="231F20"/>
          <w:spacing w:val="-4"/>
          <w:sz w:val="16"/>
        </w:rPr>
        <w:t> </w:t>
      </w:r>
      <w:r>
        <w:rPr>
          <w:rFonts w:ascii="Segoe UI"/>
          <w:i/>
          <w:color w:val="231F20"/>
          <w:spacing w:val="-1"/>
          <w:sz w:val="16"/>
        </w:rPr>
        <w:t>to</w:t>
      </w:r>
      <w:r>
        <w:rPr>
          <w:rFonts w:ascii="Segoe UI"/>
          <w:i/>
          <w:color w:val="231F20"/>
          <w:spacing w:val="-4"/>
          <w:sz w:val="16"/>
        </w:rPr>
        <w:t> </w:t>
      </w:r>
      <w:r>
        <w:rPr>
          <w:rFonts w:ascii="Segoe UI"/>
          <w:i/>
          <w:color w:val="231F20"/>
          <w:sz w:val="16"/>
        </w:rPr>
        <w:t>inquiry</w:t>
      </w:r>
      <w:r>
        <w:rPr>
          <w:rFonts w:ascii="Segoe UI"/>
          <w:i/>
          <w:color w:val="231F20"/>
          <w:spacing w:val="-4"/>
          <w:sz w:val="16"/>
        </w:rPr>
        <w:t> </w:t>
      </w:r>
      <w:r>
        <w:rPr>
          <w:rFonts w:ascii="Segoe UI"/>
          <w:i/>
          <w:color w:val="231F20"/>
          <w:sz w:val="16"/>
        </w:rPr>
        <w:t>into</w:t>
      </w:r>
      <w:r>
        <w:rPr>
          <w:rFonts w:ascii="Segoe UI"/>
          <w:i/>
          <w:color w:val="231F20"/>
          <w:sz w:val="16"/>
        </w:rPr>
        <w:t> </w:t>
      </w:r>
      <w:r>
        <w:rPr>
          <w:rFonts w:ascii="Segoe UI"/>
          <w:i/>
          <w:color w:val="231F20"/>
          <w:spacing w:val="6"/>
          <w:sz w:val="16"/>
        </w:rPr>
        <w:t>    </w:t>
      </w:r>
      <w:r>
        <w:rPr>
          <w:rFonts w:ascii="Segoe UI"/>
          <w:i/>
          <w:color w:val="231F20"/>
          <w:sz w:val="16"/>
        </w:rPr>
        <w:t>educational</w:t>
      </w:r>
      <w:r>
        <w:rPr>
          <w:rFonts w:ascii="Segoe UI"/>
          <w:i/>
          <w:color w:val="231F20"/>
          <w:spacing w:val="-6"/>
          <w:sz w:val="16"/>
        </w:rPr>
        <w:t> </w:t>
      </w:r>
      <w:r>
        <w:rPr>
          <w:rFonts w:ascii="Segoe UI"/>
          <w:i/>
          <w:color w:val="231F20"/>
          <w:spacing w:val="-1"/>
          <w:sz w:val="16"/>
        </w:rPr>
        <w:t>opportunities</w:t>
      </w:r>
      <w:r>
        <w:rPr>
          <w:rFonts w:ascii="Segoe UI"/>
          <w:i/>
          <w:color w:val="231F20"/>
          <w:spacing w:val="-4"/>
          <w:sz w:val="16"/>
        </w:rPr>
        <w:t> </w:t>
      </w:r>
      <w:r>
        <w:rPr>
          <w:rFonts w:ascii="Segoe UI"/>
          <w:i/>
          <w:color w:val="231F20"/>
          <w:sz w:val="16"/>
        </w:rPr>
        <w:t>for</w:t>
      </w:r>
      <w:r>
        <w:rPr>
          <w:rFonts w:ascii="Segoe UI"/>
          <w:i/>
          <w:color w:val="231F20"/>
          <w:spacing w:val="-6"/>
          <w:sz w:val="16"/>
        </w:rPr>
        <w:t> </w:t>
      </w:r>
      <w:r>
        <w:rPr>
          <w:rFonts w:ascii="Segoe UI"/>
          <w:i/>
          <w:color w:val="231F20"/>
          <w:sz w:val="16"/>
        </w:rPr>
        <w:t>Aboriginal</w:t>
      </w:r>
      <w:r>
        <w:rPr>
          <w:rFonts w:ascii="Segoe UI"/>
          <w:i/>
          <w:color w:val="231F20"/>
          <w:spacing w:val="-5"/>
          <w:sz w:val="16"/>
        </w:rPr>
        <w:t> </w:t>
      </w:r>
      <w:r>
        <w:rPr>
          <w:rFonts w:ascii="Segoe UI"/>
          <w:i/>
          <w:color w:val="231F20"/>
          <w:sz w:val="16"/>
        </w:rPr>
        <w:t>and</w:t>
      </w:r>
      <w:r>
        <w:rPr>
          <w:rFonts w:ascii="Segoe UI"/>
          <w:i/>
          <w:color w:val="231F20"/>
          <w:spacing w:val="26"/>
          <w:w w:val="99"/>
          <w:sz w:val="16"/>
        </w:rPr>
        <w:t> </w:t>
      </w:r>
      <w:r>
        <w:rPr>
          <w:rFonts w:ascii="Segoe UI"/>
          <w:i/>
          <w:color w:val="231F20"/>
          <w:spacing w:val="-3"/>
          <w:sz w:val="16"/>
        </w:rPr>
        <w:t>Torres </w:t>
      </w:r>
      <w:r>
        <w:rPr>
          <w:rFonts w:ascii="Segoe UI"/>
          <w:i/>
          <w:color w:val="231F20"/>
          <w:spacing w:val="-1"/>
          <w:sz w:val="16"/>
        </w:rPr>
        <w:t>Strait</w:t>
      </w:r>
      <w:r>
        <w:rPr>
          <w:rFonts w:ascii="Segoe UI"/>
          <w:i/>
          <w:color w:val="231F20"/>
          <w:spacing w:val="-3"/>
          <w:sz w:val="16"/>
        </w:rPr>
        <w:t> </w:t>
      </w:r>
      <w:r>
        <w:rPr>
          <w:rFonts w:ascii="Segoe UI"/>
          <w:i/>
          <w:color w:val="231F20"/>
          <w:spacing w:val="-1"/>
          <w:sz w:val="16"/>
        </w:rPr>
        <w:t>Islander</w:t>
      </w:r>
      <w:r>
        <w:rPr>
          <w:rFonts w:ascii="Segoe UI"/>
          <w:i/>
          <w:color w:val="231F20"/>
          <w:spacing w:val="-2"/>
          <w:sz w:val="16"/>
        </w:rPr>
        <w:t> </w:t>
      </w:r>
      <w:r>
        <w:rPr>
          <w:rFonts w:ascii="Segoe UI"/>
          <w:i/>
          <w:color w:val="231F20"/>
          <w:spacing w:val="-1"/>
          <w:sz w:val="16"/>
        </w:rPr>
        <w:t>students</w:t>
      </w:r>
      <w:r>
        <w:rPr>
          <w:rFonts w:ascii="Segoe UI"/>
          <w:color w:val="231F20"/>
          <w:spacing w:val="-1"/>
          <w:sz w:val="16"/>
        </w:rPr>
        <w:t>,</w:t>
      </w:r>
      <w:r>
        <w:rPr>
          <w:rFonts w:ascii="Segoe UI"/>
          <w:color w:val="231F20"/>
          <w:spacing w:val="-2"/>
          <w:sz w:val="16"/>
        </w:rPr>
        <w:t> </w:t>
      </w:r>
      <w:r>
        <w:rPr>
          <w:rFonts w:ascii="Segoe UI"/>
          <w:color w:val="231F20"/>
          <w:spacing w:val="-1"/>
          <w:sz w:val="16"/>
        </w:rPr>
        <w:t>submission</w:t>
      </w:r>
      <w:r>
        <w:rPr>
          <w:rFonts w:ascii="Segoe UI"/>
          <w:color w:val="231F20"/>
          <w:spacing w:val="-2"/>
          <w:sz w:val="16"/>
        </w:rPr>
        <w:t> </w:t>
      </w:r>
      <w:r>
        <w:rPr>
          <w:rFonts w:ascii="Segoe UI"/>
          <w:color w:val="231F20"/>
          <w:spacing w:val="-1"/>
          <w:sz w:val="16"/>
        </w:rPr>
        <w:t>21,</w:t>
      </w:r>
      <w:r>
        <w:rPr>
          <w:rFonts w:ascii="Segoe UI"/>
          <w:color w:val="231F20"/>
          <w:spacing w:val="-1"/>
          <w:w w:val="99"/>
          <w:sz w:val="16"/>
        </w:rPr>
        <w:t> </w:t>
      </w:r>
      <w:r>
        <w:rPr>
          <w:rFonts w:ascii="Segoe UI"/>
          <w:color w:val="3853A4"/>
          <w:spacing w:val="-1"/>
          <w:w w:val="99"/>
          <w:sz w:val="16"/>
        </w:rPr>
      </w:r>
      <w:r>
        <w:rPr>
          <w:rFonts w:ascii="Segoe UI"/>
          <w:color w:val="3853A4"/>
          <w:spacing w:val="-1"/>
          <w:w w:val="99"/>
          <w:sz w:val="16"/>
        </w:rPr>
        <w:t> </w:t>
      </w:r>
      <w:hyperlink r:id="rId98">
        <w:r>
          <w:rPr>
            <w:rFonts w:ascii="Segoe UI"/>
            <w:color w:val="3853A4"/>
            <w:spacing w:val="-1"/>
            <w:sz w:val="16"/>
            <w:u w:val="single" w:color="3853A4"/>
          </w:rPr>
          <w:t>https://www.aph.gov.au/Parliamentary_Business/</w:t>
        </w:r>
        <w:r>
          <w:rPr>
            <w:rFonts w:ascii="Segoe UI"/>
            <w:color w:val="3853A4"/>
            <w:w w:val="99"/>
            <w:sz w:val="16"/>
          </w:rPr>
        </w:r>
      </w:hyperlink>
      <w:r>
        <w:rPr>
          <w:rFonts w:ascii="Segoe UI"/>
          <w:color w:val="3853A4"/>
          <w:w w:val="99"/>
          <w:sz w:val="16"/>
        </w:rPr>
        <w:t> </w:t>
      </w:r>
      <w:r>
        <w:rPr>
          <w:rFonts w:ascii="Segoe UI"/>
          <w:color w:val="3853A4"/>
          <w:w w:val="99"/>
          <w:sz w:val="16"/>
        </w:rPr>
      </w:r>
      <w:r>
        <w:rPr>
          <w:rFonts w:ascii="Segoe UI"/>
          <w:color w:val="3853A4"/>
          <w:w w:val="99"/>
          <w:sz w:val="16"/>
        </w:rPr>
        <w:t> </w:t>
      </w:r>
      <w:r>
        <w:rPr>
          <w:rFonts w:ascii="Segoe UI"/>
          <w:color w:val="3853A4"/>
          <w:sz w:val="16"/>
          <w:u w:val="single" w:color="3853A4"/>
        </w:rPr>
        <w:t>Committees/House/Indigenous_Affairs/</w:t>
      </w:r>
      <w:r>
        <w:rPr>
          <w:rFonts w:ascii="Segoe UI"/>
          <w:color w:val="3853A4"/>
          <w:w w:val="99"/>
          <w:sz w:val="16"/>
        </w:rPr>
      </w:r>
      <w:r>
        <w:rPr>
          <w:rFonts w:ascii="Segoe UI"/>
          <w:color w:val="3853A4"/>
          <w:w w:val="99"/>
          <w:sz w:val="16"/>
        </w:rPr>
        <w:t> </w:t>
      </w:r>
      <w:r>
        <w:rPr>
          <w:rFonts w:ascii="Segoe UI"/>
          <w:color w:val="3853A4"/>
          <w:sz w:val="16"/>
        </w:rPr>
      </w:r>
      <w:r>
        <w:rPr>
          <w:rFonts w:ascii="Segoe UI"/>
          <w:color w:val="3853A4"/>
          <w:sz w:val="16"/>
          <w:u w:val="single" w:color="3853A4"/>
        </w:rPr>
        <w:t>EducationalOpportunities/Submissions?main_0_</w:t>
      </w:r>
      <w:r>
        <w:rPr>
          <w:rFonts w:ascii="Segoe UI"/>
          <w:color w:val="3853A4"/>
          <w:sz w:val="16"/>
        </w:rPr>
      </w:r>
      <w:r>
        <w:rPr>
          <w:rFonts w:ascii="Segoe UI"/>
          <w:color w:val="3853A4"/>
          <w:sz w:val="16"/>
        </w:rPr>
        <w:t> </w:t>
      </w:r>
      <w:r>
        <w:rPr>
          <w:rFonts w:ascii="Segoe UI"/>
          <w:color w:val="3853A4"/>
          <w:w w:val="99"/>
          <w:sz w:val="16"/>
        </w:rPr>
      </w:r>
      <w:r>
        <w:rPr>
          <w:rFonts w:ascii="Segoe UI"/>
          <w:color w:val="3853A4"/>
          <w:spacing w:val="-1"/>
          <w:sz w:val="16"/>
          <w:u w:val="single" w:color="3853A4"/>
        </w:rPr>
        <w:t>content_1_RadGrid1ChangePage=1_20</w:t>
      </w:r>
      <w:r>
        <w:rPr>
          <w:rFonts w:ascii="Segoe UI"/>
          <w:color w:val="3853A4"/>
          <w:sz w:val="16"/>
        </w:rPr>
      </w:r>
      <w:r>
        <w:rPr>
          <w:rFonts w:ascii="Segoe UI"/>
          <w:color w:val="231F20"/>
          <w:spacing w:val="-1"/>
          <w:sz w:val="16"/>
        </w:rPr>
        <w:t>,</w:t>
      </w:r>
      <w:r>
        <w:rPr>
          <w:rFonts w:ascii="Segoe UI"/>
          <w:color w:val="231F20"/>
          <w:spacing w:val="-16"/>
          <w:sz w:val="16"/>
        </w:rPr>
        <w:t> </w:t>
      </w:r>
      <w:r>
        <w:rPr>
          <w:rFonts w:ascii="Segoe UI"/>
          <w:color w:val="231F20"/>
          <w:sz w:val="16"/>
        </w:rPr>
        <w:t>p.</w:t>
      </w:r>
      <w:r>
        <w:rPr>
          <w:rFonts w:ascii="Segoe UI"/>
          <w:color w:val="231F20"/>
          <w:spacing w:val="-15"/>
          <w:sz w:val="16"/>
        </w:rPr>
        <w:t> </w:t>
      </w:r>
      <w:r>
        <w:rPr>
          <w:rFonts w:ascii="Segoe UI"/>
          <w:color w:val="231F20"/>
          <w:spacing w:val="-1"/>
          <w:sz w:val="16"/>
        </w:rPr>
        <w:t>3,</w:t>
      </w:r>
      <w:r>
        <w:rPr>
          <w:rFonts w:ascii="Segoe UI"/>
          <w:color w:val="231F20"/>
          <w:spacing w:val="54"/>
          <w:w w:val="99"/>
          <w:sz w:val="16"/>
        </w:rPr>
        <w:t> </w:t>
      </w:r>
      <w:r>
        <w:rPr>
          <w:rFonts w:ascii="Segoe UI"/>
          <w:color w:val="231F20"/>
          <w:sz w:val="16"/>
        </w:rPr>
        <w:t>accessed</w:t>
      </w:r>
      <w:r>
        <w:rPr>
          <w:rFonts w:ascii="Segoe UI"/>
          <w:color w:val="231F20"/>
          <w:spacing w:val="-3"/>
          <w:sz w:val="16"/>
        </w:rPr>
        <w:t> </w:t>
      </w:r>
      <w:r>
        <w:rPr>
          <w:rFonts w:ascii="Segoe UI"/>
          <w:color w:val="231F20"/>
          <w:spacing w:val="-1"/>
          <w:sz w:val="16"/>
        </w:rPr>
        <w:t>in</w:t>
      </w:r>
      <w:r>
        <w:rPr>
          <w:rFonts w:ascii="Segoe UI"/>
          <w:color w:val="231F20"/>
          <w:spacing w:val="-2"/>
          <w:sz w:val="16"/>
        </w:rPr>
        <w:t> </w:t>
      </w:r>
      <w:r>
        <w:rPr>
          <w:rFonts w:ascii="Segoe UI"/>
          <w:color w:val="231F20"/>
          <w:sz w:val="16"/>
        </w:rPr>
        <w:t>January</w:t>
      </w:r>
      <w:r>
        <w:rPr>
          <w:rFonts w:ascii="Segoe UI"/>
          <w:color w:val="231F20"/>
          <w:spacing w:val="-2"/>
          <w:sz w:val="16"/>
        </w:rPr>
        <w:t> </w:t>
      </w:r>
      <w:r>
        <w:rPr>
          <w:rFonts w:ascii="Segoe UI"/>
          <w:color w:val="231F20"/>
          <w:spacing w:val="-1"/>
          <w:sz w:val="16"/>
        </w:rPr>
        <w:t>2019,</w:t>
      </w:r>
      <w:r>
        <w:rPr>
          <w:rFonts w:ascii="Segoe UI"/>
          <w:sz w:val="16"/>
        </w:rPr>
      </w:r>
    </w:p>
    <w:p>
      <w:pPr>
        <w:tabs>
          <w:tab w:pos="684" w:val="left" w:leader="none"/>
        </w:tabs>
        <w:spacing w:before="100"/>
        <w:ind w:left="117" w:right="0" w:firstLine="0"/>
        <w:jc w:val="left"/>
        <w:rPr>
          <w:rFonts w:ascii="Segoe UI" w:hAnsi="Segoe UI" w:cs="Segoe UI" w:eastAsia="Segoe UI"/>
          <w:sz w:val="16"/>
          <w:szCs w:val="16"/>
        </w:rPr>
      </w:pPr>
      <w:r>
        <w:rPr>
          <w:rFonts w:ascii="Segoe UI"/>
          <w:color w:val="231F20"/>
          <w:sz w:val="16"/>
        </w:rPr>
        <w:t>179</w:t>
        <w:tab/>
      </w:r>
      <w:r>
        <w:rPr>
          <w:rFonts w:ascii="Segoe UI"/>
          <w:color w:val="231F20"/>
          <w:spacing w:val="-1"/>
          <w:sz w:val="16"/>
        </w:rPr>
        <w:t>KPMG,</w:t>
      </w:r>
      <w:r>
        <w:rPr>
          <w:rFonts w:ascii="Segoe UI"/>
          <w:color w:val="231F20"/>
          <w:spacing w:val="-2"/>
          <w:sz w:val="16"/>
        </w:rPr>
        <w:t> </w:t>
      </w:r>
      <w:r>
        <w:rPr>
          <w:rFonts w:ascii="Segoe UI"/>
          <w:color w:val="231F20"/>
          <w:spacing w:val="-1"/>
          <w:sz w:val="16"/>
        </w:rPr>
        <w:t>2016,</w:t>
      </w:r>
      <w:r>
        <w:rPr>
          <w:rFonts w:ascii="Segoe UI"/>
          <w:color w:val="231F20"/>
          <w:spacing w:val="-2"/>
          <w:sz w:val="16"/>
        </w:rPr>
        <w:t> </w:t>
      </w:r>
      <w:r>
        <w:rPr>
          <w:rFonts w:ascii="Segoe UI"/>
          <w:color w:val="231F20"/>
          <w:sz w:val="16"/>
        </w:rPr>
        <w:t>p.</w:t>
      </w:r>
      <w:r>
        <w:rPr>
          <w:rFonts w:ascii="Segoe UI"/>
          <w:color w:val="231F20"/>
          <w:spacing w:val="-2"/>
          <w:sz w:val="16"/>
        </w:rPr>
        <w:t> </w:t>
      </w:r>
      <w:r>
        <w:rPr>
          <w:rFonts w:ascii="Segoe UI"/>
          <w:color w:val="231F20"/>
          <w:sz w:val="16"/>
        </w:rPr>
        <w:t>12</w:t>
      </w:r>
      <w:r>
        <w:rPr>
          <w:rFonts w:ascii="Segoe UI"/>
          <w:sz w:val="16"/>
        </w:rPr>
      </w:r>
    </w:p>
    <w:p>
      <w:pPr>
        <w:numPr>
          <w:ilvl w:val="0"/>
          <w:numId w:val="16"/>
        </w:numPr>
        <w:tabs>
          <w:tab w:pos="685" w:val="left" w:leader="none"/>
        </w:tabs>
        <w:spacing w:line="200" w:lineRule="exact" w:before="113"/>
        <w:ind w:left="684" w:right="32" w:hanging="567"/>
        <w:jc w:val="left"/>
        <w:rPr>
          <w:rFonts w:ascii="Segoe UI" w:hAnsi="Segoe UI" w:cs="Segoe UI" w:eastAsia="Segoe UI"/>
          <w:sz w:val="16"/>
          <w:szCs w:val="16"/>
        </w:rPr>
      </w:pPr>
      <w:r>
        <w:rPr>
          <w:rFonts w:ascii="Segoe UI"/>
          <w:color w:val="231F20"/>
          <w:sz w:val="16"/>
        </w:rPr>
        <w:t>Edward</w:t>
      </w:r>
      <w:r>
        <w:rPr>
          <w:rFonts w:ascii="Segoe UI"/>
          <w:color w:val="231F20"/>
          <w:spacing w:val="-8"/>
          <w:sz w:val="16"/>
        </w:rPr>
        <w:t> </w:t>
      </w:r>
      <w:r>
        <w:rPr>
          <w:rFonts w:ascii="Segoe UI"/>
          <w:color w:val="231F20"/>
          <w:sz w:val="16"/>
        </w:rPr>
        <w:t>Tudor,</w:t>
      </w:r>
      <w:r>
        <w:rPr>
          <w:rFonts w:ascii="Segoe UI"/>
          <w:color w:val="231F20"/>
          <w:spacing w:val="-8"/>
          <w:sz w:val="16"/>
        </w:rPr>
        <w:t> </w:t>
      </w:r>
      <w:r>
        <w:rPr>
          <w:rFonts w:ascii="Segoe UI"/>
          <w:color w:val="231F20"/>
          <w:sz w:val="16"/>
        </w:rPr>
        <w:t>Executive</w:t>
      </w:r>
      <w:r>
        <w:rPr>
          <w:rFonts w:ascii="Segoe UI"/>
          <w:color w:val="231F20"/>
          <w:spacing w:val="-8"/>
          <w:sz w:val="16"/>
        </w:rPr>
        <w:t> </w:t>
      </w:r>
      <w:r>
        <w:rPr>
          <w:rFonts w:ascii="Segoe UI"/>
          <w:color w:val="231F20"/>
          <w:spacing w:val="-1"/>
          <w:sz w:val="16"/>
        </w:rPr>
        <w:t>Director,</w:t>
      </w:r>
      <w:r>
        <w:rPr>
          <w:rFonts w:ascii="Segoe UI"/>
          <w:color w:val="231F20"/>
          <w:spacing w:val="-8"/>
          <w:sz w:val="16"/>
        </w:rPr>
        <w:t> </w:t>
      </w:r>
      <w:r>
        <w:rPr>
          <w:rFonts w:ascii="Segoe UI"/>
          <w:color w:val="231F20"/>
          <w:sz w:val="16"/>
        </w:rPr>
        <w:t>Melbourne</w:t>
      </w:r>
      <w:r>
        <w:rPr>
          <w:rFonts w:ascii="Segoe UI"/>
          <w:color w:val="231F20"/>
          <w:spacing w:val="25"/>
          <w:w w:val="99"/>
          <w:sz w:val="16"/>
        </w:rPr>
        <w:t> </w:t>
      </w:r>
      <w:r>
        <w:rPr>
          <w:rFonts w:ascii="Segoe UI"/>
          <w:color w:val="231F20"/>
          <w:spacing w:val="-1"/>
          <w:sz w:val="16"/>
        </w:rPr>
        <w:t>Indigenous</w:t>
      </w:r>
      <w:r>
        <w:rPr>
          <w:rFonts w:ascii="Segoe UI"/>
          <w:color w:val="231F20"/>
          <w:spacing w:val="-7"/>
          <w:sz w:val="16"/>
        </w:rPr>
        <w:t> </w:t>
      </w:r>
      <w:r>
        <w:rPr>
          <w:rFonts w:ascii="Segoe UI"/>
          <w:color w:val="231F20"/>
          <w:spacing w:val="-2"/>
          <w:sz w:val="16"/>
        </w:rPr>
        <w:t>Transition</w:t>
      </w:r>
      <w:r>
        <w:rPr>
          <w:rFonts w:ascii="Segoe UI"/>
          <w:color w:val="231F20"/>
          <w:spacing w:val="-7"/>
          <w:sz w:val="16"/>
        </w:rPr>
        <w:t> </w:t>
      </w:r>
      <w:r>
        <w:rPr>
          <w:rFonts w:ascii="Segoe UI"/>
          <w:color w:val="231F20"/>
          <w:spacing w:val="-1"/>
          <w:sz w:val="16"/>
        </w:rPr>
        <w:t>School,</w:t>
      </w:r>
      <w:r>
        <w:rPr>
          <w:rFonts w:ascii="Segoe UI"/>
          <w:color w:val="231F20"/>
          <w:spacing w:val="-7"/>
          <w:sz w:val="16"/>
        </w:rPr>
        <w:t> </w:t>
      </w:r>
      <w:r>
        <w:rPr>
          <w:rFonts w:ascii="Segoe UI"/>
          <w:color w:val="231F20"/>
          <w:spacing w:val="-1"/>
          <w:sz w:val="16"/>
        </w:rPr>
        <w:t>interview</w:t>
      </w:r>
      <w:r>
        <w:rPr>
          <w:rFonts w:ascii="Segoe UI"/>
          <w:color w:val="231F20"/>
          <w:spacing w:val="-6"/>
          <w:sz w:val="16"/>
        </w:rPr>
        <w:t> </w:t>
      </w:r>
      <w:r>
        <w:rPr>
          <w:rFonts w:ascii="Segoe UI"/>
          <w:color w:val="231F20"/>
          <w:sz w:val="16"/>
        </w:rPr>
        <w:t>with</w:t>
      </w:r>
      <w:r>
        <w:rPr>
          <w:rFonts w:ascii="Segoe UI"/>
          <w:color w:val="231F20"/>
          <w:spacing w:val="-7"/>
          <w:sz w:val="16"/>
        </w:rPr>
        <w:t> </w:t>
      </w:r>
      <w:r>
        <w:rPr>
          <w:rFonts w:ascii="Segoe UI"/>
          <w:i/>
          <w:color w:val="231F20"/>
          <w:sz w:val="16"/>
        </w:rPr>
        <w:t>The</w:t>
      </w:r>
      <w:r>
        <w:rPr>
          <w:rFonts w:ascii="Segoe UI"/>
          <w:i/>
          <w:color w:val="231F20"/>
          <w:spacing w:val="30"/>
          <w:w w:val="99"/>
          <w:sz w:val="16"/>
        </w:rPr>
        <w:t> </w:t>
      </w:r>
      <w:r>
        <w:rPr>
          <w:rFonts w:ascii="Segoe UI"/>
          <w:i/>
          <w:color w:val="231F20"/>
          <w:spacing w:val="-1"/>
          <w:sz w:val="16"/>
        </w:rPr>
        <w:t>Australian</w:t>
      </w:r>
      <w:r>
        <w:rPr>
          <w:rFonts w:ascii="Segoe UI"/>
          <w:color w:val="231F20"/>
          <w:spacing w:val="-1"/>
          <w:sz w:val="16"/>
        </w:rPr>
        <w:t>,</w:t>
      </w:r>
      <w:r>
        <w:rPr>
          <w:rFonts w:ascii="Segoe UI"/>
          <w:color w:val="231F20"/>
          <w:spacing w:val="-7"/>
          <w:sz w:val="16"/>
        </w:rPr>
        <w:t> </w:t>
      </w:r>
      <w:r>
        <w:rPr>
          <w:rFonts w:ascii="Segoe UI"/>
          <w:color w:val="231F20"/>
          <w:spacing w:val="-1"/>
          <w:sz w:val="16"/>
        </w:rPr>
        <w:t>17</w:t>
      </w:r>
      <w:r>
        <w:rPr>
          <w:rFonts w:ascii="Segoe UI"/>
          <w:color w:val="231F20"/>
          <w:spacing w:val="-6"/>
          <w:sz w:val="16"/>
        </w:rPr>
        <w:t> </w:t>
      </w:r>
      <w:r>
        <w:rPr>
          <w:rFonts w:ascii="Segoe UI"/>
          <w:color w:val="231F20"/>
          <w:spacing w:val="-1"/>
          <w:sz w:val="16"/>
        </w:rPr>
        <w:t>February</w:t>
      </w:r>
      <w:r>
        <w:rPr>
          <w:rFonts w:ascii="Segoe UI"/>
          <w:color w:val="231F20"/>
          <w:spacing w:val="-6"/>
          <w:sz w:val="16"/>
        </w:rPr>
        <w:t> </w:t>
      </w:r>
      <w:r>
        <w:rPr>
          <w:rFonts w:ascii="Segoe UI"/>
          <w:color w:val="231F20"/>
          <w:spacing w:val="-1"/>
          <w:sz w:val="16"/>
        </w:rPr>
        <w:t>2017,</w:t>
      </w:r>
      <w:r>
        <w:rPr>
          <w:rFonts w:ascii="Segoe UI"/>
          <w:color w:val="231F20"/>
          <w:spacing w:val="-6"/>
          <w:sz w:val="16"/>
        </w:rPr>
        <w:t> </w:t>
      </w:r>
      <w:hyperlink r:id="rId134">
        <w:r>
          <w:rPr>
            <w:rFonts w:ascii="Segoe UI"/>
            <w:color w:val="231F20"/>
            <w:sz w:val="16"/>
          </w:rPr>
          <w:t>www.mits.vic.edu.au</w:t>
        </w:r>
        <w:r>
          <w:rPr>
            <w:rFonts w:ascii="Segoe UI"/>
            <w:sz w:val="16"/>
          </w:rPr>
        </w:r>
      </w:hyperlink>
    </w:p>
    <w:p>
      <w:pPr>
        <w:numPr>
          <w:ilvl w:val="0"/>
          <w:numId w:val="16"/>
        </w:numPr>
        <w:tabs>
          <w:tab w:pos="685" w:val="left" w:leader="none"/>
        </w:tabs>
        <w:spacing w:line="200" w:lineRule="exact" w:before="113"/>
        <w:ind w:left="684" w:right="102" w:hanging="567"/>
        <w:jc w:val="left"/>
        <w:rPr>
          <w:rFonts w:ascii="Segoe UI" w:hAnsi="Segoe UI" w:cs="Segoe UI" w:eastAsia="Segoe UI"/>
          <w:sz w:val="16"/>
          <w:szCs w:val="16"/>
        </w:rPr>
      </w:pPr>
      <w:r>
        <w:rPr>
          <w:rFonts w:ascii="Segoe UI"/>
          <w:color w:val="231F20"/>
          <w:sz w:val="16"/>
        </w:rPr>
        <w:t>Media</w:t>
      </w:r>
      <w:r>
        <w:rPr>
          <w:rFonts w:ascii="Segoe UI"/>
          <w:color w:val="231F20"/>
          <w:spacing w:val="-5"/>
          <w:sz w:val="16"/>
        </w:rPr>
        <w:t> </w:t>
      </w:r>
      <w:r>
        <w:rPr>
          <w:rFonts w:ascii="Segoe UI"/>
          <w:color w:val="231F20"/>
          <w:sz w:val="16"/>
        </w:rPr>
        <w:t>release,</w:t>
      </w:r>
      <w:r>
        <w:rPr>
          <w:rFonts w:ascii="Segoe UI"/>
          <w:color w:val="231F20"/>
          <w:spacing w:val="-5"/>
          <w:sz w:val="16"/>
        </w:rPr>
        <w:t> </w:t>
      </w:r>
      <w:r>
        <w:rPr>
          <w:rFonts w:ascii="Segoe UI"/>
          <w:color w:val="231F20"/>
          <w:sz w:val="16"/>
        </w:rPr>
        <w:t>Eva</w:t>
      </w:r>
      <w:r>
        <w:rPr>
          <w:rFonts w:ascii="Segoe UI"/>
          <w:color w:val="231F20"/>
          <w:spacing w:val="-5"/>
          <w:sz w:val="16"/>
        </w:rPr>
        <w:t> </w:t>
      </w:r>
      <w:r>
        <w:rPr>
          <w:rFonts w:ascii="Segoe UI"/>
          <w:color w:val="231F20"/>
          <w:sz w:val="16"/>
        </w:rPr>
        <w:t>Lawler,</w:t>
      </w:r>
      <w:r>
        <w:rPr>
          <w:rFonts w:ascii="Segoe UI"/>
          <w:color w:val="231F20"/>
          <w:spacing w:val="-4"/>
          <w:sz w:val="16"/>
        </w:rPr>
        <w:t> </w:t>
      </w:r>
      <w:r>
        <w:rPr>
          <w:rFonts w:ascii="Segoe UI"/>
          <w:color w:val="231F20"/>
          <w:spacing w:val="-1"/>
          <w:sz w:val="16"/>
        </w:rPr>
        <w:t>then</w:t>
      </w:r>
      <w:r>
        <w:rPr>
          <w:rFonts w:ascii="Segoe UI"/>
          <w:color w:val="231F20"/>
          <w:spacing w:val="-4"/>
          <w:sz w:val="16"/>
        </w:rPr>
        <w:t> </w:t>
      </w:r>
      <w:r>
        <w:rPr>
          <w:rFonts w:ascii="Segoe UI"/>
          <w:color w:val="231F20"/>
          <w:sz w:val="16"/>
        </w:rPr>
        <w:t>Minister</w:t>
      </w:r>
      <w:r>
        <w:rPr>
          <w:rFonts w:ascii="Segoe UI"/>
          <w:color w:val="231F20"/>
          <w:spacing w:val="-5"/>
          <w:sz w:val="16"/>
        </w:rPr>
        <w:t> </w:t>
      </w:r>
      <w:r>
        <w:rPr>
          <w:rFonts w:ascii="Segoe UI"/>
          <w:color w:val="231F20"/>
          <w:sz w:val="16"/>
        </w:rPr>
        <w:t>for</w:t>
      </w:r>
      <w:r>
        <w:rPr>
          <w:rFonts w:ascii="Segoe UI"/>
          <w:color w:val="231F20"/>
          <w:spacing w:val="23"/>
          <w:w w:val="99"/>
          <w:sz w:val="16"/>
        </w:rPr>
        <w:t> </w:t>
      </w:r>
      <w:r>
        <w:rPr>
          <w:rFonts w:ascii="Segoe UI"/>
          <w:color w:val="231F20"/>
          <w:sz w:val="16"/>
        </w:rPr>
        <w:t>Education</w:t>
      </w:r>
      <w:r>
        <w:rPr>
          <w:rFonts w:ascii="Segoe UI"/>
          <w:color w:val="231F20"/>
          <w:spacing w:val="-6"/>
          <w:sz w:val="16"/>
        </w:rPr>
        <w:t> </w:t>
      </w:r>
      <w:r>
        <w:rPr>
          <w:rFonts w:ascii="Segoe UI"/>
          <w:color w:val="231F20"/>
          <w:sz w:val="16"/>
        </w:rPr>
        <w:t>(NT),</w:t>
      </w:r>
      <w:r>
        <w:rPr>
          <w:rFonts w:ascii="Segoe UI"/>
          <w:color w:val="231F20"/>
          <w:spacing w:val="-6"/>
          <w:sz w:val="16"/>
        </w:rPr>
        <w:t> </w:t>
      </w:r>
      <w:r>
        <w:rPr>
          <w:rFonts w:ascii="Segoe UI"/>
          <w:color w:val="231F20"/>
          <w:spacing w:val="-1"/>
          <w:sz w:val="16"/>
        </w:rPr>
        <w:t>20</w:t>
      </w:r>
      <w:r>
        <w:rPr>
          <w:rFonts w:ascii="Segoe UI"/>
          <w:color w:val="231F20"/>
          <w:spacing w:val="-5"/>
          <w:sz w:val="16"/>
        </w:rPr>
        <w:t> </w:t>
      </w:r>
      <w:r>
        <w:rPr>
          <w:rFonts w:ascii="Segoe UI"/>
          <w:color w:val="231F20"/>
          <w:sz w:val="16"/>
        </w:rPr>
        <w:t>May</w:t>
      </w:r>
      <w:r>
        <w:rPr>
          <w:rFonts w:ascii="Segoe UI"/>
          <w:color w:val="231F20"/>
          <w:spacing w:val="-5"/>
          <w:sz w:val="16"/>
        </w:rPr>
        <w:t> </w:t>
      </w:r>
      <w:r>
        <w:rPr>
          <w:rFonts w:ascii="Segoe UI"/>
          <w:color w:val="231F20"/>
          <w:spacing w:val="-1"/>
          <w:sz w:val="16"/>
        </w:rPr>
        <w:t>2017,</w:t>
      </w:r>
      <w:r>
        <w:rPr>
          <w:rFonts w:ascii="Segoe UI"/>
          <w:color w:val="231F20"/>
          <w:spacing w:val="-5"/>
          <w:sz w:val="16"/>
        </w:rPr>
        <w:t> </w:t>
      </w:r>
      <w:r>
        <w:rPr>
          <w:rFonts w:ascii="Segoe UI"/>
          <w:color w:val="231F20"/>
          <w:sz w:val="16"/>
        </w:rPr>
        <w:t>www.newsroom.</w:t>
      </w:r>
      <w:r>
        <w:rPr>
          <w:rFonts w:ascii="Segoe UI"/>
          <w:color w:val="231F20"/>
          <w:spacing w:val="22"/>
          <w:w w:val="99"/>
          <w:sz w:val="16"/>
        </w:rPr>
        <w:t> </w:t>
      </w:r>
      <w:r>
        <w:rPr>
          <w:rFonts w:ascii="Segoe UI"/>
          <w:color w:val="231F20"/>
          <w:sz w:val="16"/>
        </w:rPr>
        <w:t>nt.gov.au</w:t>
      </w:r>
      <w:r>
        <w:rPr>
          <w:rFonts w:ascii="Segoe UI"/>
          <w:color w:val="231F20"/>
          <w:spacing w:val="-10"/>
          <w:sz w:val="16"/>
        </w:rPr>
        <w:t> </w:t>
      </w:r>
      <w:r>
        <w:rPr>
          <w:rFonts w:ascii="Segoe UI"/>
          <w:color w:val="231F20"/>
          <w:sz w:val="16"/>
        </w:rPr>
        <w:t>and</w:t>
      </w:r>
      <w:r>
        <w:rPr>
          <w:rFonts w:ascii="Segoe UI"/>
          <w:color w:val="231F20"/>
          <w:spacing w:val="-9"/>
          <w:sz w:val="16"/>
        </w:rPr>
        <w:t> </w:t>
      </w:r>
      <w:r>
        <w:rPr>
          <w:rFonts w:ascii="Segoe UI"/>
          <w:color w:val="231F20"/>
          <w:sz w:val="16"/>
        </w:rPr>
        <w:t>consultation</w:t>
      </w:r>
      <w:r>
        <w:rPr>
          <w:rFonts w:ascii="Segoe UI"/>
          <w:color w:val="231F20"/>
          <w:spacing w:val="-9"/>
          <w:sz w:val="16"/>
        </w:rPr>
        <w:t> </w:t>
      </w:r>
      <w:r>
        <w:rPr>
          <w:rFonts w:ascii="Segoe UI"/>
          <w:color w:val="231F20"/>
          <w:spacing w:val="-1"/>
          <w:sz w:val="16"/>
        </w:rPr>
        <w:t>information</w:t>
      </w:r>
      <w:r>
        <w:rPr>
          <w:rFonts w:ascii="Segoe UI"/>
          <w:color w:val="231F20"/>
          <w:spacing w:val="-8"/>
          <w:sz w:val="16"/>
        </w:rPr>
        <w:t> </w:t>
      </w:r>
      <w:r>
        <w:rPr>
          <w:rFonts w:ascii="Segoe UI"/>
          <w:color w:val="231F20"/>
          <w:sz w:val="16"/>
        </w:rPr>
        <w:t>provided</w:t>
      </w:r>
      <w:r>
        <w:rPr>
          <w:rFonts w:ascii="Segoe UI"/>
          <w:color w:val="231F20"/>
          <w:spacing w:val="22"/>
          <w:w w:val="99"/>
          <w:sz w:val="16"/>
        </w:rPr>
        <w:t> </w:t>
      </w:r>
      <w:r>
        <w:rPr>
          <w:rFonts w:ascii="Segoe UI"/>
          <w:color w:val="231F20"/>
          <w:sz w:val="16"/>
        </w:rPr>
        <w:t>by</w:t>
      </w:r>
      <w:r>
        <w:rPr>
          <w:rFonts w:ascii="Segoe UI"/>
          <w:color w:val="231F20"/>
          <w:spacing w:val="-4"/>
          <w:sz w:val="16"/>
        </w:rPr>
        <w:t> </w:t>
      </w:r>
      <w:r>
        <w:rPr>
          <w:rFonts w:ascii="Segoe UI"/>
          <w:color w:val="231F20"/>
          <w:spacing w:val="-1"/>
          <w:sz w:val="16"/>
        </w:rPr>
        <w:t>Dawurr</w:t>
      </w:r>
      <w:r>
        <w:rPr>
          <w:rFonts w:ascii="Segoe UI"/>
          <w:color w:val="231F20"/>
          <w:spacing w:val="-4"/>
          <w:sz w:val="16"/>
        </w:rPr>
        <w:t> </w:t>
      </w:r>
      <w:r>
        <w:rPr>
          <w:rFonts w:ascii="Segoe UI"/>
          <w:color w:val="231F20"/>
          <w:spacing w:val="-1"/>
          <w:sz w:val="16"/>
        </w:rPr>
        <w:t>Boarding</w:t>
      </w:r>
      <w:r>
        <w:rPr>
          <w:rFonts w:ascii="Segoe UI"/>
          <w:color w:val="231F20"/>
          <w:spacing w:val="-4"/>
          <w:sz w:val="16"/>
        </w:rPr>
        <w:t> </w:t>
      </w:r>
      <w:r>
        <w:rPr>
          <w:rFonts w:ascii="Segoe UI"/>
          <w:color w:val="231F20"/>
          <w:spacing w:val="-1"/>
          <w:sz w:val="16"/>
        </w:rPr>
        <w:t>in</w:t>
      </w:r>
      <w:r>
        <w:rPr>
          <w:rFonts w:ascii="Segoe UI"/>
          <w:color w:val="231F20"/>
          <w:spacing w:val="-4"/>
          <w:sz w:val="16"/>
        </w:rPr>
        <w:t> </w:t>
      </w:r>
      <w:r>
        <w:rPr>
          <w:rFonts w:ascii="Segoe UI"/>
          <w:color w:val="231F20"/>
          <w:sz w:val="16"/>
        </w:rPr>
        <w:t>October</w:t>
      </w:r>
      <w:r>
        <w:rPr>
          <w:rFonts w:ascii="Segoe UI"/>
          <w:color w:val="231F20"/>
          <w:spacing w:val="-4"/>
          <w:sz w:val="16"/>
        </w:rPr>
        <w:t> </w:t>
      </w:r>
      <w:r>
        <w:rPr>
          <w:rFonts w:ascii="Segoe UI"/>
          <w:color w:val="231F20"/>
          <w:sz w:val="16"/>
        </w:rPr>
        <w:t>2018</w:t>
      </w:r>
      <w:r>
        <w:rPr>
          <w:rFonts w:ascii="Segoe UI"/>
          <w:sz w:val="16"/>
        </w:rPr>
      </w:r>
    </w:p>
    <w:p>
      <w:pPr>
        <w:numPr>
          <w:ilvl w:val="0"/>
          <w:numId w:val="16"/>
        </w:numPr>
        <w:tabs>
          <w:tab w:pos="685" w:val="left" w:leader="none"/>
        </w:tabs>
        <w:spacing w:line="206" w:lineRule="exact" w:before="100"/>
        <w:ind w:left="684" w:right="0" w:hanging="567"/>
        <w:jc w:val="left"/>
        <w:rPr>
          <w:rFonts w:ascii="Segoe UI" w:hAnsi="Segoe UI" w:cs="Segoe UI" w:eastAsia="Segoe UI"/>
          <w:sz w:val="16"/>
          <w:szCs w:val="16"/>
        </w:rPr>
      </w:pPr>
      <w:r>
        <w:rPr>
          <w:rFonts w:ascii="Segoe UI" w:hAnsi="Segoe UI" w:cs="Segoe UI" w:eastAsia="Segoe UI"/>
          <w:color w:val="231F20"/>
          <w:sz w:val="16"/>
          <w:szCs w:val="16"/>
        </w:rPr>
        <w:t>Threeyear</w:t>
      </w:r>
      <w:r>
        <w:rPr>
          <w:rFonts w:ascii="Segoe UI" w:hAnsi="Segoe UI" w:cs="Segoe UI" w:eastAsia="Segoe UI"/>
          <w:color w:val="231F20"/>
          <w:spacing w:val="-4"/>
          <w:sz w:val="16"/>
          <w:szCs w:val="16"/>
        </w:rPr>
        <w:t> </w:t>
      </w:r>
      <w:r>
        <w:rPr>
          <w:rFonts w:ascii="Segoe UI" w:hAnsi="Segoe UI" w:cs="Segoe UI" w:eastAsia="Segoe UI"/>
          <w:color w:val="231F20"/>
          <w:sz w:val="16"/>
          <w:szCs w:val="16"/>
        </w:rPr>
        <w:t>average</w:t>
      </w:r>
      <w:r>
        <w:rPr>
          <w:rFonts w:ascii="Segoe UI" w:hAnsi="Segoe UI" w:cs="Segoe UI" w:eastAsia="Segoe UI"/>
          <w:color w:val="231F20"/>
          <w:spacing w:val="-4"/>
          <w:sz w:val="16"/>
          <w:szCs w:val="16"/>
        </w:rPr>
        <w:t> </w:t>
      </w:r>
      <w:r>
        <w:rPr>
          <w:rFonts w:ascii="Segoe UI" w:hAnsi="Segoe UI" w:cs="Segoe UI" w:eastAsia="Segoe UI"/>
          <w:color w:val="231F20"/>
          <w:sz w:val="16"/>
          <w:szCs w:val="16"/>
        </w:rPr>
        <w:t>cost</w:t>
      </w:r>
      <w:r>
        <w:rPr>
          <w:rFonts w:ascii="Segoe UI" w:hAnsi="Segoe UI" w:cs="Segoe UI" w:eastAsia="Segoe UI"/>
          <w:color w:val="231F20"/>
          <w:spacing w:val="-4"/>
          <w:sz w:val="16"/>
          <w:szCs w:val="16"/>
        </w:rPr>
        <w:t> </w:t>
      </w:r>
      <w:r>
        <w:rPr>
          <w:rFonts w:ascii="Segoe UI" w:hAnsi="Segoe UI" w:cs="Segoe UI" w:eastAsia="Segoe UI"/>
          <w:color w:val="231F20"/>
          <w:sz w:val="16"/>
          <w:szCs w:val="16"/>
        </w:rPr>
        <w:t>per</w:t>
      </w:r>
      <w:r>
        <w:rPr>
          <w:rFonts w:ascii="Segoe UI" w:hAnsi="Segoe UI" w:cs="Segoe UI" w:eastAsia="Segoe UI"/>
          <w:color w:val="231F20"/>
          <w:spacing w:val="-4"/>
          <w:sz w:val="16"/>
          <w:szCs w:val="16"/>
        </w:rPr>
        <w:t> </w:t>
      </w:r>
      <w:r>
        <w:rPr>
          <w:rFonts w:ascii="Segoe UI" w:hAnsi="Segoe UI" w:cs="Segoe UI" w:eastAsia="Segoe UI"/>
          <w:color w:val="231F20"/>
          <w:sz w:val="16"/>
          <w:szCs w:val="16"/>
        </w:rPr>
        <w:t>boarder,</w:t>
      </w:r>
      <w:r>
        <w:rPr>
          <w:rFonts w:ascii="Segoe UI" w:hAnsi="Segoe UI" w:cs="Segoe UI" w:eastAsia="Segoe UI"/>
          <w:color w:val="231F20"/>
          <w:spacing w:val="-4"/>
          <w:sz w:val="16"/>
          <w:szCs w:val="16"/>
        </w:rPr>
        <w:t> </w:t>
      </w:r>
      <w:r>
        <w:rPr>
          <w:rFonts w:ascii="Segoe UI" w:hAnsi="Segoe UI" w:cs="Segoe UI" w:eastAsia="Segoe UI"/>
          <w:color w:val="231F20"/>
          <w:sz w:val="16"/>
          <w:szCs w:val="16"/>
        </w:rPr>
        <w:t>2015</w:t>
      </w:r>
      <w:r>
        <w:rPr>
          <w:rFonts w:ascii="Segoe UI" w:hAnsi="Segoe UI" w:cs="Segoe UI" w:eastAsia="Segoe UI"/>
          <w:color w:val="231F20"/>
          <w:spacing w:val="-4"/>
          <w:sz w:val="16"/>
          <w:szCs w:val="16"/>
        </w:rPr>
        <w:t> </w:t>
      </w:r>
      <w:r>
        <w:rPr>
          <w:rFonts w:ascii="Segoe UI" w:hAnsi="Segoe UI" w:cs="Segoe UI" w:eastAsia="Segoe UI"/>
          <w:color w:val="231F20"/>
          <w:sz w:val="16"/>
          <w:szCs w:val="16"/>
        </w:rPr>
        <w:t>—</w:t>
      </w:r>
      <w:r>
        <w:rPr>
          <w:rFonts w:ascii="Segoe UI" w:hAnsi="Segoe UI" w:cs="Segoe UI" w:eastAsia="Segoe UI"/>
          <w:color w:val="231F20"/>
          <w:spacing w:val="-4"/>
          <w:sz w:val="16"/>
          <w:szCs w:val="16"/>
        </w:rPr>
        <w:t> </w:t>
      </w:r>
      <w:r>
        <w:rPr>
          <w:rFonts w:ascii="Segoe UI" w:hAnsi="Segoe UI" w:cs="Segoe UI" w:eastAsia="Segoe UI"/>
          <w:color w:val="231F20"/>
          <w:spacing w:val="-1"/>
          <w:sz w:val="16"/>
          <w:szCs w:val="16"/>
        </w:rPr>
        <w:t>2017</w:t>
      </w:r>
      <w:r>
        <w:rPr>
          <w:rFonts w:ascii="Segoe UI" w:hAnsi="Segoe UI" w:cs="Segoe UI" w:eastAsia="Segoe UI"/>
          <w:sz w:val="16"/>
          <w:szCs w:val="16"/>
        </w:rPr>
      </w:r>
    </w:p>
    <w:p>
      <w:pPr>
        <w:spacing w:line="200" w:lineRule="exact" w:before="0"/>
        <w:ind w:left="684" w:right="0" w:firstLine="0"/>
        <w:jc w:val="left"/>
        <w:rPr>
          <w:rFonts w:ascii="Segoe UI" w:hAnsi="Segoe UI" w:cs="Segoe UI" w:eastAsia="Segoe UI"/>
          <w:sz w:val="16"/>
          <w:szCs w:val="16"/>
        </w:rPr>
      </w:pPr>
      <w:r>
        <w:rPr>
          <w:rFonts w:ascii="Segoe UI"/>
          <w:color w:val="231F20"/>
          <w:sz w:val="16"/>
        </w:rPr>
        <w:t>(boarding income only). This figure is identical</w:t>
      </w:r>
      <w:r>
        <w:rPr>
          <w:rFonts w:ascii="Segoe UI"/>
          <w:sz w:val="16"/>
        </w:rPr>
      </w:r>
    </w:p>
    <w:p>
      <w:pPr>
        <w:spacing w:line="200" w:lineRule="exact" w:before="0"/>
        <w:ind w:left="684" w:right="0" w:firstLine="0"/>
        <w:jc w:val="left"/>
        <w:rPr>
          <w:rFonts w:ascii="Segoe UI" w:hAnsi="Segoe UI" w:cs="Segoe UI" w:eastAsia="Segoe UI"/>
          <w:sz w:val="16"/>
          <w:szCs w:val="16"/>
        </w:rPr>
      </w:pPr>
      <w:r>
        <w:rPr>
          <w:rFonts w:ascii="Segoe UI"/>
          <w:color w:val="231F20"/>
          <w:sz w:val="16"/>
        </w:rPr>
        <w:t>to the finding of KPMG, 2016, p. 12 for the years</w:t>
      </w:r>
      <w:r>
        <w:rPr>
          <w:rFonts w:ascii="Segoe UI"/>
          <w:sz w:val="16"/>
        </w:rPr>
      </w:r>
    </w:p>
    <w:p>
      <w:pPr>
        <w:spacing w:line="206" w:lineRule="exact" w:before="0"/>
        <w:ind w:left="684" w:right="0" w:firstLine="0"/>
        <w:jc w:val="left"/>
        <w:rPr>
          <w:rFonts w:ascii="Segoe UI" w:hAnsi="Segoe UI" w:cs="Segoe UI" w:eastAsia="Segoe UI"/>
          <w:sz w:val="16"/>
          <w:szCs w:val="16"/>
        </w:rPr>
      </w:pPr>
      <w:r>
        <w:rPr>
          <w:rFonts w:ascii="Segoe UI" w:hAnsi="Segoe UI" w:cs="Segoe UI" w:eastAsia="Segoe UI"/>
          <w:color w:val="231F20"/>
          <w:sz w:val="16"/>
          <w:szCs w:val="16"/>
        </w:rPr>
        <w:t>2013 — 2015</w:t>
      </w:r>
      <w:r>
        <w:rPr>
          <w:rFonts w:ascii="Segoe UI" w:hAnsi="Segoe UI" w:cs="Segoe UI" w:eastAsia="Segoe UI"/>
          <w:sz w:val="16"/>
          <w:szCs w:val="16"/>
        </w:rPr>
      </w:r>
    </w:p>
    <w:p>
      <w:pPr>
        <w:numPr>
          <w:ilvl w:val="0"/>
          <w:numId w:val="16"/>
        </w:numPr>
        <w:tabs>
          <w:tab w:pos="685" w:val="left" w:leader="none"/>
        </w:tabs>
        <w:spacing w:line="200" w:lineRule="exact" w:before="113"/>
        <w:ind w:left="684" w:right="123" w:hanging="567"/>
        <w:jc w:val="left"/>
        <w:rPr>
          <w:rFonts w:ascii="Segoe UI" w:hAnsi="Segoe UI" w:cs="Segoe UI" w:eastAsia="Segoe UI"/>
          <w:sz w:val="16"/>
          <w:szCs w:val="16"/>
        </w:rPr>
      </w:pPr>
      <w:r>
        <w:rPr>
          <w:rFonts w:ascii="Segoe UI"/>
          <w:color w:val="231F20"/>
          <w:sz w:val="16"/>
        </w:rPr>
        <w:t>Lewis,</w:t>
      </w:r>
      <w:r>
        <w:rPr>
          <w:rFonts w:ascii="Segoe UI"/>
          <w:color w:val="231F20"/>
          <w:spacing w:val="-6"/>
          <w:sz w:val="16"/>
        </w:rPr>
        <w:t> </w:t>
      </w:r>
      <w:r>
        <w:rPr>
          <w:rFonts w:ascii="Segoe UI"/>
          <w:color w:val="231F20"/>
          <w:spacing w:val="-1"/>
          <w:sz w:val="16"/>
        </w:rPr>
        <w:t>Simon,</w:t>
      </w:r>
      <w:r>
        <w:rPr>
          <w:rFonts w:ascii="Segoe UI"/>
          <w:color w:val="231F20"/>
          <w:spacing w:val="-4"/>
          <w:sz w:val="16"/>
        </w:rPr>
        <w:t> </w:t>
      </w:r>
      <w:r>
        <w:rPr>
          <w:rFonts w:ascii="Segoe UI"/>
          <w:i/>
          <w:color w:val="231F20"/>
          <w:spacing w:val="-1"/>
          <w:sz w:val="16"/>
        </w:rPr>
        <w:t>Boarding</w:t>
      </w:r>
      <w:r>
        <w:rPr>
          <w:rFonts w:ascii="Segoe UI"/>
          <w:i/>
          <w:color w:val="231F20"/>
          <w:spacing w:val="-4"/>
          <w:sz w:val="16"/>
        </w:rPr>
        <w:t> </w:t>
      </w:r>
      <w:r>
        <w:rPr>
          <w:rFonts w:ascii="Segoe UI"/>
          <w:i/>
          <w:color w:val="231F20"/>
          <w:spacing w:val="-1"/>
          <w:sz w:val="16"/>
        </w:rPr>
        <w:t>Australia</w:t>
      </w:r>
      <w:r>
        <w:rPr>
          <w:rFonts w:ascii="Segoe UI"/>
          <w:i/>
          <w:color w:val="231F20"/>
          <w:spacing w:val="-4"/>
          <w:sz w:val="16"/>
        </w:rPr>
        <w:t> </w:t>
      </w:r>
      <w:r>
        <w:rPr>
          <w:rFonts w:ascii="Segoe UI"/>
          <w:i/>
          <w:color w:val="231F20"/>
          <w:spacing w:val="-1"/>
          <w:sz w:val="16"/>
        </w:rPr>
        <w:t>Inc.,</w:t>
      </w:r>
      <w:r>
        <w:rPr>
          <w:rFonts w:ascii="Segoe UI"/>
          <w:i/>
          <w:color w:val="231F20"/>
          <w:spacing w:val="-4"/>
          <w:sz w:val="16"/>
        </w:rPr>
        <w:t> </w:t>
      </w:r>
      <w:r>
        <w:rPr>
          <w:rFonts w:ascii="Segoe UI"/>
          <w:i/>
          <w:color w:val="231F20"/>
          <w:spacing w:val="-2"/>
          <w:sz w:val="16"/>
        </w:rPr>
        <w:t>Positioning</w:t>
      </w:r>
      <w:r>
        <w:rPr>
          <w:rFonts w:ascii="Segoe UI"/>
          <w:i/>
          <w:color w:val="231F20"/>
          <w:spacing w:val="48"/>
          <w:w w:val="99"/>
          <w:sz w:val="16"/>
        </w:rPr>
        <w:t> </w:t>
      </w:r>
      <w:r>
        <w:rPr>
          <w:rFonts w:ascii="Segoe UI"/>
          <w:i/>
          <w:color w:val="231F20"/>
          <w:spacing w:val="-1"/>
          <w:sz w:val="16"/>
        </w:rPr>
        <w:t>Document</w:t>
      </w:r>
      <w:r>
        <w:rPr>
          <w:rFonts w:ascii="Segoe UI"/>
          <w:color w:val="231F20"/>
          <w:spacing w:val="-1"/>
          <w:sz w:val="16"/>
        </w:rPr>
        <w:t>,</w:t>
      </w:r>
      <w:r>
        <w:rPr>
          <w:rFonts w:ascii="Segoe UI"/>
          <w:color w:val="231F20"/>
          <w:spacing w:val="-5"/>
          <w:sz w:val="16"/>
        </w:rPr>
        <w:t> </w:t>
      </w:r>
      <w:r>
        <w:rPr>
          <w:rFonts w:ascii="Segoe UI"/>
          <w:color w:val="231F20"/>
          <w:sz w:val="16"/>
        </w:rPr>
        <w:t>unpublished,</w:t>
      </w:r>
      <w:r>
        <w:rPr>
          <w:rFonts w:ascii="Segoe UI"/>
          <w:color w:val="231F20"/>
          <w:spacing w:val="-5"/>
          <w:sz w:val="16"/>
        </w:rPr>
        <w:t> </w:t>
      </w:r>
      <w:r>
        <w:rPr>
          <w:rFonts w:ascii="Segoe UI"/>
          <w:color w:val="231F20"/>
          <w:sz w:val="16"/>
        </w:rPr>
        <w:t>June</w:t>
      </w:r>
      <w:r>
        <w:rPr>
          <w:rFonts w:ascii="Segoe UI"/>
          <w:color w:val="231F20"/>
          <w:spacing w:val="-4"/>
          <w:sz w:val="16"/>
        </w:rPr>
        <w:t> </w:t>
      </w:r>
      <w:r>
        <w:rPr>
          <w:rFonts w:ascii="Segoe UI"/>
          <w:color w:val="231F20"/>
          <w:sz w:val="16"/>
        </w:rPr>
        <w:t>2014</w:t>
      </w:r>
      <w:r>
        <w:rPr>
          <w:rFonts w:ascii="Segoe UI"/>
          <w:sz w:val="16"/>
        </w:rPr>
      </w:r>
    </w:p>
    <w:p>
      <w:pPr>
        <w:numPr>
          <w:ilvl w:val="0"/>
          <w:numId w:val="16"/>
        </w:numPr>
        <w:tabs>
          <w:tab w:pos="685" w:val="left" w:leader="none"/>
        </w:tabs>
        <w:spacing w:line="200" w:lineRule="exact" w:before="113"/>
        <w:ind w:left="684" w:right="79" w:hanging="567"/>
        <w:jc w:val="left"/>
        <w:rPr>
          <w:rFonts w:ascii="Segoe UI" w:hAnsi="Segoe UI" w:cs="Segoe UI" w:eastAsia="Segoe UI"/>
          <w:sz w:val="16"/>
          <w:szCs w:val="16"/>
        </w:rPr>
      </w:pPr>
      <w:r>
        <w:rPr>
          <w:rFonts w:ascii="Segoe UI"/>
          <w:color w:val="3853A4"/>
          <w:spacing w:val="-1"/>
          <w:sz w:val="16"/>
          <w:u w:val="single" w:color="3853A4"/>
        </w:rPr>
        <w:t>https://isca.edu.au/2018/02/12/indigenous-</w:t>
      </w:r>
      <w:r>
        <w:rPr>
          <w:rFonts w:ascii="Segoe UI"/>
          <w:color w:val="3853A4"/>
          <w:w w:val="99"/>
          <w:sz w:val="16"/>
        </w:rPr>
      </w:r>
      <w:r>
        <w:rPr>
          <w:rFonts w:ascii="Segoe UI"/>
          <w:color w:val="3853A4"/>
          <w:spacing w:val="80"/>
          <w:w w:val="99"/>
          <w:sz w:val="16"/>
        </w:rPr>
        <w:t> </w:t>
      </w:r>
      <w:r>
        <w:rPr>
          <w:rFonts w:ascii="Segoe UI"/>
          <w:color w:val="3853A4"/>
          <w:sz w:val="16"/>
          <w:u w:val="single" w:color="3853A4"/>
        </w:rPr>
        <w:t>boarding-schools-threat-unless-abstudy-issues-</w:t>
      </w:r>
      <w:r>
        <w:rPr>
          <w:rFonts w:ascii="Segoe UI"/>
          <w:color w:val="3853A4"/>
          <w:w w:val="99"/>
          <w:sz w:val="16"/>
        </w:rPr>
      </w:r>
      <w:r>
        <w:rPr>
          <w:rFonts w:ascii="Segoe UI"/>
          <w:color w:val="3853A4"/>
          <w:w w:val="99"/>
          <w:sz w:val="16"/>
        </w:rPr>
        <w:t> </w:t>
      </w:r>
      <w:r>
        <w:rPr>
          <w:rFonts w:ascii="Segoe UI"/>
          <w:color w:val="3853A4"/>
          <w:sz w:val="16"/>
          <w:u w:val="single" w:color="3853A4"/>
        </w:rPr>
        <w:t>u</w:t>
      </w:r>
      <w:r>
        <w:rPr>
          <w:rFonts w:ascii="Segoe UI"/>
          <w:color w:val="3853A4"/>
          <w:sz w:val="16"/>
        </w:rPr>
        <w:t>rgently-addressed/,</w:t>
      </w:r>
      <w:r>
        <w:rPr>
          <w:rFonts w:ascii="Segoe UI"/>
          <w:color w:val="3853A4"/>
          <w:spacing w:val="-7"/>
          <w:sz w:val="16"/>
        </w:rPr>
        <w:t> </w:t>
      </w:r>
      <w:r>
        <w:rPr>
          <w:rFonts w:ascii="Segoe UI"/>
          <w:color w:val="231F20"/>
          <w:spacing w:val="-1"/>
          <w:sz w:val="16"/>
        </w:rPr>
        <w:t>12</w:t>
      </w:r>
      <w:r>
        <w:rPr>
          <w:rFonts w:ascii="Segoe UI"/>
          <w:color w:val="231F20"/>
          <w:spacing w:val="-5"/>
          <w:sz w:val="16"/>
        </w:rPr>
        <w:t> </w:t>
      </w:r>
      <w:r>
        <w:rPr>
          <w:rFonts w:ascii="Segoe UI"/>
          <w:color w:val="231F20"/>
          <w:spacing w:val="-1"/>
          <w:sz w:val="16"/>
        </w:rPr>
        <w:t>February</w:t>
      </w:r>
      <w:r>
        <w:rPr>
          <w:rFonts w:ascii="Segoe UI"/>
          <w:color w:val="231F20"/>
          <w:spacing w:val="-5"/>
          <w:sz w:val="16"/>
        </w:rPr>
        <w:t> </w:t>
      </w:r>
      <w:r>
        <w:rPr>
          <w:rFonts w:ascii="Segoe UI"/>
          <w:color w:val="231F20"/>
          <w:spacing w:val="-1"/>
          <w:sz w:val="16"/>
        </w:rPr>
        <w:t>2018,</w:t>
      </w:r>
      <w:r>
        <w:rPr>
          <w:rFonts w:ascii="Segoe UI"/>
          <w:color w:val="231F20"/>
          <w:spacing w:val="-5"/>
          <w:sz w:val="16"/>
        </w:rPr>
        <w:t> </w:t>
      </w:r>
      <w:r>
        <w:rPr>
          <w:rFonts w:ascii="Segoe UI"/>
          <w:color w:val="231F20"/>
          <w:sz w:val="16"/>
        </w:rPr>
        <w:t>accessed</w:t>
      </w:r>
      <w:r>
        <w:rPr>
          <w:rFonts w:ascii="Segoe UI"/>
          <w:color w:val="231F20"/>
          <w:spacing w:val="24"/>
          <w:sz w:val="16"/>
        </w:rPr>
        <w:t> </w:t>
      </w:r>
      <w:r>
        <w:rPr>
          <w:rFonts w:ascii="Segoe UI"/>
          <w:color w:val="231F20"/>
          <w:spacing w:val="-1"/>
          <w:sz w:val="16"/>
        </w:rPr>
        <w:t>in</w:t>
      </w:r>
      <w:r>
        <w:rPr>
          <w:rFonts w:ascii="Segoe UI"/>
          <w:color w:val="231F20"/>
          <w:spacing w:val="-3"/>
          <w:sz w:val="16"/>
        </w:rPr>
        <w:t> </w:t>
      </w:r>
      <w:r>
        <w:rPr>
          <w:rFonts w:ascii="Segoe UI"/>
          <w:color w:val="231F20"/>
          <w:sz w:val="16"/>
        </w:rPr>
        <w:t>January</w:t>
      </w:r>
      <w:r>
        <w:rPr>
          <w:rFonts w:ascii="Segoe UI"/>
          <w:color w:val="231F20"/>
          <w:spacing w:val="-3"/>
          <w:sz w:val="16"/>
        </w:rPr>
        <w:t> </w:t>
      </w:r>
      <w:r>
        <w:rPr>
          <w:rFonts w:ascii="Segoe UI"/>
          <w:color w:val="231F20"/>
          <w:sz w:val="16"/>
        </w:rPr>
        <w:t>2019</w:t>
      </w:r>
      <w:r>
        <w:rPr>
          <w:rFonts w:ascii="Segoe UI"/>
          <w:sz w:val="16"/>
        </w:rPr>
      </w:r>
    </w:p>
    <w:p>
      <w:pPr>
        <w:numPr>
          <w:ilvl w:val="0"/>
          <w:numId w:val="16"/>
        </w:numPr>
        <w:tabs>
          <w:tab w:pos="685" w:val="left" w:leader="none"/>
        </w:tabs>
        <w:spacing w:before="100"/>
        <w:ind w:left="684" w:right="0" w:hanging="567"/>
        <w:jc w:val="left"/>
        <w:rPr>
          <w:rFonts w:ascii="Segoe UI" w:hAnsi="Segoe UI" w:cs="Segoe UI" w:eastAsia="Segoe UI"/>
          <w:sz w:val="16"/>
          <w:szCs w:val="16"/>
        </w:rPr>
      </w:pPr>
      <w:r>
        <w:rPr>
          <w:rFonts w:ascii="Segoe UI"/>
          <w:color w:val="231F20"/>
          <w:sz w:val="16"/>
        </w:rPr>
        <w:t>Guenther,</w:t>
      </w:r>
      <w:r>
        <w:rPr>
          <w:rFonts w:ascii="Segoe UI"/>
          <w:color w:val="231F20"/>
          <w:spacing w:val="-3"/>
          <w:sz w:val="16"/>
        </w:rPr>
        <w:t> </w:t>
      </w:r>
      <w:r>
        <w:rPr>
          <w:rFonts w:ascii="Segoe UI"/>
          <w:color w:val="231F20"/>
          <w:spacing w:val="-1"/>
          <w:sz w:val="16"/>
        </w:rPr>
        <w:t>2017,</w:t>
      </w:r>
      <w:r>
        <w:rPr>
          <w:rFonts w:ascii="Segoe UI"/>
          <w:color w:val="231F20"/>
          <w:spacing w:val="-3"/>
          <w:sz w:val="16"/>
        </w:rPr>
        <w:t> </w:t>
      </w:r>
      <w:r>
        <w:rPr>
          <w:rFonts w:ascii="Segoe UI"/>
          <w:color w:val="231F20"/>
          <w:sz w:val="16"/>
        </w:rPr>
        <w:t>p.</w:t>
      </w:r>
      <w:r>
        <w:rPr>
          <w:rFonts w:ascii="Segoe UI"/>
          <w:color w:val="231F20"/>
          <w:spacing w:val="-3"/>
          <w:sz w:val="16"/>
        </w:rPr>
        <w:t> </w:t>
      </w:r>
      <w:r>
        <w:rPr>
          <w:rFonts w:ascii="Segoe UI"/>
          <w:color w:val="231F20"/>
          <w:sz w:val="16"/>
        </w:rPr>
        <w:t>10</w:t>
      </w:r>
      <w:r>
        <w:rPr>
          <w:rFonts w:ascii="Segoe UI"/>
          <w:sz w:val="16"/>
        </w:rPr>
      </w:r>
    </w:p>
    <w:p>
      <w:pPr>
        <w:numPr>
          <w:ilvl w:val="0"/>
          <w:numId w:val="16"/>
        </w:numPr>
        <w:tabs>
          <w:tab w:pos="685" w:val="left" w:leader="none"/>
        </w:tabs>
        <w:spacing w:line="200" w:lineRule="exact" w:before="113"/>
        <w:ind w:left="684" w:right="102" w:hanging="567"/>
        <w:jc w:val="left"/>
        <w:rPr>
          <w:rFonts w:ascii="Segoe UI" w:hAnsi="Segoe UI" w:cs="Segoe UI" w:eastAsia="Segoe UI"/>
          <w:sz w:val="16"/>
          <w:szCs w:val="16"/>
        </w:rPr>
      </w:pPr>
      <w:r>
        <w:rPr>
          <w:rFonts w:ascii="Segoe UI"/>
          <w:color w:val="231F20"/>
          <w:spacing w:val="-1"/>
          <w:sz w:val="16"/>
        </w:rPr>
        <w:t>2016</w:t>
      </w:r>
      <w:r>
        <w:rPr>
          <w:rFonts w:ascii="Segoe UI"/>
          <w:color w:val="231F20"/>
          <w:spacing w:val="-11"/>
          <w:sz w:val="16"/>
        </w:rPr>
        <w:t> </w:t>
      </w:r>
      <w:r>
        <w:rPr>
          <w:rFonts w:ascii="Segoe UI"/>
          <w:color w:val="231F20"/>
          <w:spacing w:val="-1"/>
          <w:sz w:val="16"/>
        </w:rPr>
        <w:t>Census,</w:t>
      </w:r>
      <w:r>
        <w:rPr>
          <w:rFonts w:ascii="Segoe UI"/>
          <w:color w:val="231F20"/>
          <w:spacing w:val="-10"/>
          <w:sz w:val="16"/>
        </w:rPr>
        <w:t> </w:t>
      </w:r>
      <w:r>
        <w:rPr>
          <w:rFonts w:ascii="Segoe UI"/>
          <w:color w:val="3853A4"/>
          <w:spacing w:val="-10"/>
          <w:sz w:val="16"/>
        </w:rPr>
      </w:r>
      <w:hyperlink r:id="rId135">
        <w:r>
          <w:rPr>
            <w:rFonts w:ascii="Segoe UI"/>
            <w:color w:val="3853A4"/>
            <w:spacing w:val="-1"/>
            <w:sz w:val="16"/>
            <w:u w:val="single" w:color="3853A4"/>
          </w:rPr>
          <w:t>http://quickstat</w:t>
        </w:r>
        <w:r>
          <w:rPr>
            <w:rFonts w:ascii="Segoe UI"/>
            <w:color w:val="3853A4"/>
            <w:sz w:val="16"/>
          </w:rPr>
        </w:r>
        <w:r>
          <w:rPr>
            <w:rFonts w:ascii="Segoe UI"/>
            <w:color w:val="3853A4"/>
            <w:spacing w:val="-1"/>
            <w:sz w:val="16"/>
          </w:rPr>
          <w:t>s.censusdata.</w:t>
        </w:r>
      </w:hyperlink>
      <w:r>
        <w:rPr>
          <w:rFonts w:ascii="Segoe UI"/>
          <w:color w:val="3853A4"/>
          <w:spacing w:val="61"/>
          <w:w w:val="99"/>
          <w:sz w:val="16"/>
        </w:rPr>
        <w:t> </w:t>
      </w:r>
      <w:r>
        <w:rPr>
          <w:rFonts w:ascii="Segoe UI"/>
          <w:color w:val="3853A4"/>
          <w:sz w:val="16"/>
          <w:u w:val="single" w:color="3853A4"/>
        </w:rPr>
        <w:t>abs.gov.au/census_services/getproduct/</w:t>
      </w:r>
      <w:r>
        <w:rPr>
          <w:rFonts w:ascii="Segoe UI"/>
          <w:color w:val="3853A4"/>
          <w:w w:val="99"/>
          <w:sz w:val="16"/>
        </w:rPr>
      </w:r>
      <w:r>
        <w:rPr>
          <w:rFonts w:ascii="Segoe UI"/>
          <w:color w:val="3853A4"/>
          <w:w w:val="99"/>
          <w:sz w:val="16"/>
        </w:rPr>
        <w:t> </w:t>
      </w:r>
      <w:r>
        <w:rPr>
          <w:rFonts w:ascii="Segoe UI"/>
          <w:color w:val="3853A4"/>
          <w:spacing w:val="-1"/>
          <w:sz w:val="16"/>
          <w:u w:val="single" w:color="3853A4"/>
        </w:rPr>
        <w:t>census/2016/quickstat/IQS036</w:t>
      </w:r>
      <w:r>
        <w:rPr>
          <w:rFonts w:ascii="Segoe UI"/>
          <w:color w:val="3853A4"/>
          <w:sz w:val="16"/>
        </w:rPr>
      </w:r>
      <w:r>
        <w:rPr>
          <w:rFonts w:ascii="Segoe UI"/>
          <w:color w:val="231F20"/>
          <w:spacing w:val="-1"/>
          <w:sz w:val="16"/>
        </w:rPr>
        <w:t>,</w:t>
      </w:r>
      <w:r>
        <w:rPr>
          <w:rFonts w:ascii="Segoe UI"/>
          <w:color w:val="231F20"/>
          <w:spacing w:val="-17"/>
          <w:sz w:val="16"/>
        </w:rPr>
        <w:t> </w:t>
      </w:r>
      <w:r>
        <w:rPr>
          <w:rFonts w:ascii="Segoe UI"/>
          <w:color w:val="231F20"/>
          <w:sz w:val="16"/>
        </w:rPr>
        <w:t>Australian</w:t>
      </w:r>
      <w:r>
        <w:rPr>
          <w:rFonts w:ascii="Segoe UI"/>
          <w:color w:val="231F20"/>
          <w:spacing w:val="-17"/>
          <w:sz w:val="16"/>
        </w:rPr>
        <w:t> </w:t>
      </w:r>
      <w:r>
        <w:rPr>
          <w:rFonts w:ascii="Segoe UI"/>
          <w:color w:val="231F20"/>
          <w:spacing w:val="-1"/>
          <w:sz w:val="16"/>
        </w:rPr>
        <w:t>Bureau</w:t>
      </w:r>
      <w:r>
        <w:rPr>
          <w:rFonts w:ascii="Segoe UI"/>
          <w:color w:val="231F20"/>
          <w:spacing w:val="56"/>
          <w:w w:val="99"/>
          <w:sz w:val="16"/>
        </w:rPr>
        <w:t> </w:t>
      </w:r>
      <w:r>
        <w:rPr>
          <w:rFonts w:ascii="Segoe UI"/>
          <w:color w:val="231F20"/>
          <w:sz w:val="16"/>
        </w:rPr>
        <w:t>of</w:t>
      </w:r>
      <w:r>
        <w:rPr>
          <w:rFonts w:ascii="Segoe UI"/>
          <w:color w:val="231F20"/>
          <w:spacing w:val="-2"/>
          <w:sz w:val="16"/>
        </w:rPr>
        <w:t> </w:t>
      </w:r>
      <w:r>
        <w:rPr>
          <w:rFonts w:ascii="Segoe UI"/>
          <w:color w:val="231F20"/>
          <w:spacing w:val="-1"/>
          <w:sz w:val="16"/>
        </w:rPr>
        <w:t>Statistics,</w:t>
      </w:r>
      <w:r>
        <w:rPr>
          <w:rFonts w:ascii="Segoe UI"/>
          <w:color w:val="231F20"/>
          <w:spacing w:val="-2"/>
          <w:sz w:val="16"/>
        </w:rPr>
        <w:t> </w:t>
      </w:r>
      <w:r>
        <w:rPr>
          <w:rFonts w:ascii="Segoe UI"/>
          <w:color w:val="231F20"/>
          <w:sz w:val="16"/>
        </w:rPr>
        <w:t>accessed</w:t>
      </w:r>
      <w:r>
        <w:rPr>
          <w:rFonts w:ascii="Segoe UI"/>
          <w:color w:val="231F20"/>
          <w:spacing w:val="-2"/>
          <w:sz w:val="16"/>
        </w:rPr>
        <w:t> </w:t>
      </w:r>
      <w:r>
        <w:rPr>
          <w:rFonts w:ascii="Segoe UI"/>
          <w:color w:val="231F20"/>
          <w:spacing w:val="-1"/>
          <w:sz w:val="16"/>
        </w:rPr>
        <w:t>in </w:t>
      </w:r>
      <w:r>
        <w:rPr>
          <w:rFonts w:ascii="Segoe UI"/>
          <w:color w:val="231F20"/>
          <w:sz w:val="16"/>
        </w:rPr>
        <w:t>January</w:t>
      </w:r>
      <w:r>
        <w:rPr>
          <w:rFonts w:ascii="Segoe UI"/>
          <w:color w:val="231F20"/>
          <w:spacing w:val="-1"/>
          <w:sz w:val="16"/>
        </w:rPr>
        <w:t> 2019. While,</w:t>
      </w:r>
      <w:r>
        <w:rPr>
          <w:rFonts w:ascii="Segoe UI"/>
          <w:color w:val="231F20"/>
          <w:spacing w:val="27"/>
          <w:sz w:val="16"/>
        </w:rPr>
        <w:t> </w:t>
      </w:r>
      <w:r>
        <w:rPr>
          <w:rFonts w:ascii="Segoe UI"/>
          <w:color w:val="231F20"/>
          <w:sz w:val="16"/>
        </w:rPr>
        <w:t>household</w:t>
      </w:r>
      <w:r>
        <w:rPr>
          <w:rFonts w:ascii="Segoe UI"/>
          <w:color w:val="231F20"/>
          <w:spacing w:val="-6"/>
          <w:sz w:val="16"/>
        </w:rPr>
        <w:t> </w:t>
      </w:r>
      <w:r>
        <w:rPr>
          <w:rFonts w:ascii="Segoe UI"/>
          <w:color w:val="231F20"/>
          <w:spacing w:val="-1"/>
          <w:sz w:val="16"/>
        </w:rPr>
        <w:t>income</w:t>
      </w:r>
      <w:r>
        <w:rPr>
          <w:rFonts w:ascii="Segoe UI"/>
          <w:color w:val="231F20"/>
          <w:spacing w:val="-4"/>
          <w:sz w:val="16"/>
        </w:rPr>
        <w:t> </w:t>
      </w:r>
      <w:r>
        <w:rPr>
          <w:rFonts w:ascii="Segoe UI"/>
          <w:color w:val="231F20"/>
          <w:sz w:val="16"/>
        </w:rPr>
        <w:t>has</w:t>
      </w:r>
      <w:r>
        <w:rPr>
          <w:rFonts w:ascii="Segoe UI"/>
          <w:color w:val="231F20"/>
          <w:spacing w:val="-5"/>
          <w:sz w:val="16"/>
        </w:rPr>
        <w:t> </w:t>
      </w:r>
      <w:r>
        <w:rPr>
          <w:rFonts w:ascii="Segoe UI"/>
          <w:color w:val="231F20"/>
          <w:spacing w:val="-1"/>
          <w:sz w:val="16"/>
        </w:rPr>
        <w:t>increased</w:t>
      </w:r>
      <w:r>
        <w:rPr>
          <w:rFonts w:ascii="Segoe UI"/>
          <w:color w:val="231F20"/>
          <w:spacing w:val="-5"/>
          <w:sz w:val="16"/>
        </w:rPr>
        <w:t> </w:t>
      </w:r>
      <w:r>
        <w:rPr>
          <w:rFonts w:ascii="Segoe UI"/>
          <w:color w:val="231F20"/>
          <w:sz w:val="16"/>
        </w:rPr>
        <w:t>nationally,</w:t>
      </w:r>
      <w:r>
        <w:rPr>
          <w:rFonts w:ascii="Segoe UI"/>
          <w:color w:val="231F20"/>
          <w:spacing w:val="-5"/>
          <w:sz w:val="16"/>
        </w:rPr>
        <w:t> </w:t>
      </w:r>
      <w:r>
        <w:rPr>
          <w:rFonts w:ascii="Segoe UI"/>
          <w:color w:val="231F20"/>
          <w:spacing w:val="-1"/>
          <w:sz w:val="16"/>
        </w:rPr>
        <w:t>it</w:t>
      </w:r>
      <w:r>
        <w:rPr>
          <w:rFonts w:ascii="Segoe UI"/>
          <w:color w:val="231F20"/>
          <w:spacing w:val="-1"/>
          <w:sz w:val="16"/>
        </w:rPr>
        <w:t> </w:t>
      </w:r>
      <w:r>
        <w:rPr>
          <w:rFonts w:ascii="Segoe UI"/>
          <w:color w:val="231F20"/>
          <w:spacing w:val="22"/>
          <w:sz w:val="16"/>
        </w:rPr>
        <w:t> </w:t>
      </w:r>
      <w:r>
        <w:rPr>
          <w:rFonts w:ascii="Segoe UI"/>
          <w:color w:val="231F20"/>
          <w:sz w:val="16"/>
        </w:rPr>
        <w:t>has been flat in remote areas and has declined</w:t>
      </w:r>
      <w:r>
        <w:rPr>
          <w:rFonts w:ascii="Segoe UI"/>
          <w:sz w:val="16"/>
        </w:rPr>
      </w:r>
    </w:p>
    <w:p>
      <w:pPr>
        <w:spacing w:line="200" w:lineRule="exact" w:before="0"/>
        <w:ind w:left="684" w:right="102" w:firstLine="0"/>
        <w:jc w:val="left"/>
        <w:rPr>
          <w:rFonts w:ascii="Segoe UI" w:hAnsi="Segoe UI" w:cs="Segoe UI" w:eastAsia="Segoe UI"/>
          <w:sz w:val="16"/>
          <w:szCs w:val="16"/>
        </w:rPr>
      </w:pPr>
      <w:r>
        <w:rPr>
          <w:rFonts w:ascii="Segoe UI"/>
          <w:color w:val="231F20"/>
          <w:spacing w:val="-1"/>
          <w:sz w:val="16"/>
        </w:rPr>
        <w:t>in</w:t>
      </w:r>
      <w:r>
        <w:rPr>
          <w:rFonts w:ascii="Segoe UI"/>
          <w:color w:val="231F20"/>
          <w:spacing w:val="-4"/>
          <w:sz w:val="16"/>
        </w:rPr>
        <w:t> </w:t>
      </w:r>
      <w:r>
        <w:rPr>
          <w:rFonts w:ascii="Segoe UI"/>
          <w:color w:val="231F20"/>
          <w:sz w:val="16"/>
        </w:rPr>
        <w:t>very</w:t>
      </w:r>
      <w:r>
        <w:rPr>
          <w:rFonts w:ascii="Segoe UI"/>
          <w:color w:val="231F20"/>
          <w:spacing w:val="-3"/>
          <w:sz w:val="16"/>
        </w:rPr>
        <w:t> </w:t>
      </w:r>
      <w:r>
        <w:rPr>
          <w:rFonts w:ascii="Segoe UI"/>
          <w:color w:val="231F20"/>
          <w:sz w:val="16"/>
        </w:rPr>
        <w:t>remote</w:t>
      </w:r>
      <w:r>
        <w:rPr>
          <w:rFonts w:ascii="Segoe UI"/>
          <w:color w:val="231F20"/>
          <w:spacing w:val="-5"/>
          <w:sz w:val="16"/>
        </w:rPr>
        <w:t> </w:t>
      </w:r>
      <w:r>
        <w:rPr>
          <w:rFonts w:ascii="Segoe UI"/>
          <w:color w:val="231F20"/>
          <w:sz w:val="16"/>
        </w:rPr>
        <w:t>areas</w:t>
      </w:r>
      <w:r>
        <w:rPr>
          <w:rFonts w:ascii="Segoe UI"/>
          <w:color w:val="231F20"/>
          <w:spacing w:val="-4"/>
          <w:sz w:val="16"/>
        </w:rPr>
        <w:t> </w:t>
      </w:r>
      <w:r>
        <w:rPr>
          <w:rFonts w:ascii="Segoe UI"/>
          <w:color w:val="231F20"/>
          <w:sz w:val="16"/>
        </w:rPr>
        <w:t>(Markham,</w:t>
      </w:r>
      <w:r>
        <w:rPr>
          <w:rFonts w:ascii="Segoe UI"/>
          <w:color w:val="231F20"/>
          <w:spacing w:val="-5"/>
          <w:sz w:val="16"/>
        </w:rPr>
        <w:t> </w:t>
      </w:r>
      <w:r>
        <w:rPr>
          <w:rFonts w:ascii="Segoe UI"/>
          <w:color w:val="231F20"/>
          <w:spacing w:val="-1"/>
          <w:sz w:val="16"/>
        </w:rPr>
        <w:t>2018)</w:t>
      </w:r>
      <w:r>
        <w:rPr>
          <w:rFonts w:ascii="Segoe UI"/>
          <w:color w:val="231F20"/>
          <w:spacing w:val="-3"/>
          <w:sz w:val="16"/>
        </w:rPr>
        <w:t> </w:t>
      </w:r>
      <w:r>
        <w:rPr>
          <w:rFonts w:ascii="Segoe UI"/>
          <w:color w:val="231F20"/>
          <w:sz w:val="16"/>
        </w:rPr>
        <w:t>and</w:t>
      </w:r>
      <w:r>
        <w:rPr>
          <w:rFonts w:ascii="Segoe UI"/>
          <w:color w:val="231F20"/>
          <w:spacing w:val="-5"/>
          <w:sz w:val="16"/>
        </w:rPr>
        <w:t> </w:t>
      </w:r>
      <w:r>
        <w:rPr>
          <w:rFonts w:ascii="Segoe UI"/>
          <w:color w:val="231F20"/>
          <w:sz w:val="16"/>
        </w:rPr>
        <w:t>the</w:t>
      </w:r>
      <w:r>
        <w:rPr>
          <w:rFonts w:ascii="Segoe UI"/>
          <w:color w:val="231F20"/>
          <w:spacing w:val="22"/>
          <w:w w:val="99"/>
          <w:sz w:val="16"/>
        </w:rPr>
        <w:t> </w:t>
      </w:r>
      <w:r>
        <w:rPr>
          <w:rFonts w:ascii="Segoe UI"/>
          <w:color w:val="231F20"/>
          <w:sz w:val="16"/>
        </w:rPr>
        <w:t>capacity</w:t>
      </w:r>
      <w:r>
        <w:rPr>
          <w:rFonts w:ascii="Segoe UI"/>
          <w:color w:val="231F20"/>
          <w:spacing w:val="-6"/>
          <w:sz w:val="16"/>
        </w:rPr>
        <w:t> </w:t>
      </w:r>
      <w:r>
        <w:rPr>
          <w:rFonts w:ascii="Segoe UI"/>
          <w:color w:val="231F20"/>
          <w:sz w:val="16"/>
        </w:rPr>
        <w:t>of</w:t>
      </w:r>
      <w:r>
        <w:rPr>
          <w:rFonts w:ascii="Segoe UI"/>
          <w:color w:val="231F20"/>
          <w:spacing w:val="-5"/>
          <w:sz w:val="16"/>
        </w:rPr>
        <w:t> </w:t>
      </w:r>
      <w:r>
        <w:rPr>
          <w:rFonts w:ascii="Segoe UI"/>
          <w:color w:val="231F20"/>
          <w:sz w:val="16"/>
        </w:rPr>
        <w:t>Aboriginal</w:t>
      </w:r>
      <w:r>
        <w:rPr>
          <w:rFonts w:ascii="Segoe UI"/>
          <w:color w:val="231F20"/>
          <w:spacing w:val="-6"/>
          <w:sz w:val="16"/>
        </w:rPr>
        <w:t> </w:t>
      </w:r>
      <w:r>
        <w:rPr>
          <w:rFonts w:ascii="Segoe UI"/>
          <w:color w:val="231F20"/>
          <w:sz w:val="16"/>
        </w:rPr>
        <w:t>and</w:t>
      </w:r>
      <w:r>
        <w:rPr>
          <w:rFonts w:ascii="Segoe UI"/>
          <w:color w:val="231F20"/>
          <w:spacing w:val="-5"/>
          <w:sz w:val="16"/>
        </w:rPr>
        <w:t> </w:t>
      </w:r>
      <w:r>
        <w:rPr>
          <w:rFonts w:ascii="Segoe UI"/>
          <w:color w:val="231F20"/>
          <w:spacing w:val="-3"/>
          <w:sz w:val="16"/>
        </w:rPr>
        <w:t>Torres</w:t>
      </w:r>
      <w:r>
        <w:rPr>
          <w:rFonts w:ascii="Segoe UI"/>
          <w:color w:val="231F20"/>
          <w:spacing w:val="-5"/>
          <w:sz w:val="16"/>
        </w:rPr>
        <w:t> </w:t>
      </w:r>
      <w:r>
        <w:rPr>
          <w:rFonts w:ascii="Segoe UI"/>
          <w:color w:val="231F20"/>
          <w:spacing w:val="-1"/>
          <w:sz w:val="16"/>
        </w:rPr>
        <w:t>Strait</w:t>
      </w:r>
      <w:r>
        <w:rPr>
          <w:rFonts w:ascii="Segoe UI"/>
          <w:color w:val="231F20"/>
          <w:spacing w:val="-6"/>
          <w:sz w:val="16"/>
        </w:rPr>
        <w:t> </w:t>
      </w:r>
      <w:r>
        <w:rPr>
          <w:rFonts w:ascii="Segoe UI"/>
          <w:color w:val="231F20"/>
          <w:spacing w:val="-1"/>
          <w:sz w:val="16"/>
        </w:rPr>
        <w:t>Islander</w:t>
      </w:r>
      <w:r>
        <w:rPr>
          <w:rFonts w:ascii="Segoe UI"/>
          <w:color w:val="231F20"/>
          <w:spacing w:val="22"/>
          <w:w w:val="99"/>
          <w:sz w:val="16"/>
        </w:rPr>
        <w:t> </w:t>
      </w:r>
      <w:r>
        <w:rPr>
          <w:rFonts w:ascii="Segoe UI"/>
          <w:color w:val="231F20"/>
          <w:sz w:val="16"/>
        </w:rPr>
        <w:t>families</w:t>
      </w:r>
      <w:r>
        <w:rPr>
          <w:rFonts w:ascii="Segoe UI"/>
          <w:color w:val="231F20"/>
          <w:spacing w:val="-4"/>
          <w:sz w:val="16"/>
        </w:rPr>
        <w:t> </w:t>
      </w:r>
      <w:r>
        <w:rPr>
          <w:rFonts w:ascii="Segoe UI"/>
          <w:color w:val="231F20"/>
          <w:spacing w:val="-1"/>
          <w:sz w:val="16"/>
        </w:rPr>
        <w:t>in</w:t>
      </w:r>
      <w:r>
        <w:rPr>
          <w:rFonts w:ascii="Segoe UI"/>
          <w:color w:val="231F20"/>
          <w:spacing w:val="-2"/>
          <w:sz w:val="16"/>
        </w:rPr>
        <w:t> </w:t>
      </w:r>
      <w:r>
        <w:rPr>
          <w:rFonts w:ascii="Segoe UI"/>
          <w:color w:val="231F20"/>
          <w:sz w:val="16"/>
        </w:rPr>
        <w:t>remote</w:t>
      </w:r>
      <w:r>
        <w:rPr>
          <w:rFonts w:ascii="Segoe UI"/>
          <w:color w:val="231F20"/>
          <w:spacing w:val="-4"/>
          <w:sz w:val="16"/>
        </w:rPr>
        <w:t> </w:t>
      </w:r>
      <w:r>
        <w:rPr>
          <w:rFonts w:ascii="Segoe UI"/>
          <w:color w:val="231F20"/>
          <w:sz w:val="16"/>
        </w:rPr>
        <w:t>areas</w:t>
      </w:r>
      <w:r>
        <w:rPr>
          <w:rFonts w:ascii="Segoe UI"/>
          <w:color w:val="231F20"/>
          <w:spacing w:val="-3"/>
          <w:sz w:val="16"/>
        </w:rPr>
        <w:t> </w:t>
      </w:r>
      <w:r>
        <w:rPr>
          <w:rFonts w:ascii="Segoe UI"/>
          <w:color w:val="231F20"/>
          <w:sz w:val="16"/>
        </w:rPr>
        <w:t>to</w:t>
      </w:r>
      <w:r>
        <w:rPr>
          <w:rFonts w:ascii="Segoe UI"/>
          <w:color w:val="231F20"/>
          <w:spacing w:val="-2"/>
          <w:sz w:val="16"/>
        </w:rPr>
        <w:t> </w:t>
      </w:r>
      <w:r>
        <w:rPr>
          <w:rFonts w:ascii="Segoe UI"/>
          <w:color w:val="231F20"/>
          <w:spacing w:val="-1"/>
          <w:sz w:val="16"/>
        </w:rPr>
        <w:t>meet</w:t>
      </w:r>
      <w:r>
        <w:rPr>
          <w:rFonts w:ascii="Segoe UI"/>
          <w:color w:val="231F20"/>
          <w:spacing w:val="-3"/>
          <w:sz w:val="16"/>
        </w:rPr>
        <w:t> </w:t>
      </w:r>
      <w:r>
        <w:rPr>
          <w:rFonts w:ascii="Segoe UI"/>
          <w:color w:val="231F20"/>
          <w:sz w:val="16"/>
        </w:rPr>
        <w:t>boarding</w:t>
      </w:r>
      <w:r>
        <w:rPr>
          <w:rFonts w:ascii="Segoe UI"/>
          <w:color w:val="231F20"/>
          <w:spacing w:val="-3"/>
          <w:sz w:val="16"/>
        </w:rPr>
        <w:t> </w:t>
      </w:r>
      <w:r>
        <w:rPr>
          <w:rFonts w:ascii="Segoe UI"/>
          <w:color w:val="231F20"/>
          <w:sz w:val="16"/>
        </w:rPr>
        <w:t>costs</w:t>
      </w:r>
      <w:r>
        <w:rPr>
          <w:rFonts w:ascii="Segoe UI"/>
          <w:color w:val="231F20"/>
          <w:spacing w:val="22"/>
          <w:sz w:val="16"/>
        </w:rPr>
        <w:t> </w:t>
      </w:r>
      <w:r>
        <w:rPr>
          <w:rFonts w:ascii="Segoe UI"/>
          <w:color w:val="231F20"/>
          <w:sz w:val="16"/>
        </w:rPr>
        <w:t>(disposable</w:t>
      </w:r>
      <w:r>
        <w:rPr>
          <w:rFonts w:ascii="Segoe UI"/>
          <w:color w:val="231F20"/>
          <w:spacing w:val="-6"/>
          <w:sz w:val="16"/>
        </w:rPr>
        <w:t> </w:t>
      </w:r>
      <w:r>
        <w:rPr>
          <w:rFonts w:ascii="Segoe UI"/>
          <w:color w:val="231F20"/>
          <w:spacing w:val="-1"/>
          <w:sz w:val="16"/>
        </w:rPr>
        <w:t>income)</w:t>
      </w:r>
      <w:r>
        <w:rPr>
          <w:rFonts w:ascii="Segoe UI"/>
          <w:color w:val="231F20"/>
          <w:spacing w:val="-4"/>
          <w:sz w:val="16"/>
        </w:rPr>
        <w:t> </w:t>
      </w:r>
      <w:r>
        <w:rPr>
          <w:rFonts w:ascii="Segoe UI"/>
          <w:color w:val="231F20"/>
          <w:sz w:val="16"/>
        </w:rPr>
        <w:t>actually</w:t>
      </w:r>
      <w:r>
        <w:rPr>
          <w:rFonts w:ascii="Segoe UI"/>
          <w:color w:val="231F20"/>
          <w:spacing w:val="-5"/>
          <w:sz w:val="16"/>
        </w:rPr>
        <w:t> </w:t>
      </w:r>
      <w:r>
        <w:rPr>
          <w:rFonts w:ascii="Segoe UI"/>
          <w:color w:val="231F20"/>
          <w:sz w:val="16"/>
        </w:rPr>
        <w:t>decreased.</w:t>
      </w:r>
      <w:r>
        <w:rPr>
          <w:rFonts w:ascii="Segoe UI"/>
          <w:color w:val="231F20"/>
          <w:spacing w:val="-5"/>
          <w:sz w:val="16"/>
        </w:rPr>
        <w:t> </w:t>
      </w:r>
      <w:r>
        <w:rPr>
          <w:rFonts w:ascii="Segoe UI"/>
          <w:color w:val="231F20"/>
          <w:spacing w:val="-1"/>
          <w:sz w:val="16"/>
        </w:rPr>
        <w:t>In</w:t>
      </w:r>
      <w:r>
        <w:rPr>
          <w:rFonts w:ascii="Segoe UI"/>
          <w:color w:val="231F20"/>
          <w:spacing w:val="-4"/>
          <w:sz w:val="16"/>
        </w:rPr>
        <w:t> </w:t>
      </w:r>
      <w:r>
        <w:rPr>
          <w:rFonts w:ascii="Segoe UI"/>
          <w:color w:val="231F20"/>
          <w:sz w:val="16"/>
        </w:rPr>
        <w:t>the</w:t>
      </w:r>
      <w:r>
        <w:rPr>
          <w:rFonts w:ascii="Segoe UI"/>
          <w:color w:val="231F20"/>
          <w:spacing w:val="23"/>
          <w:w w:val="99"/>
          <w:sz w:val="16"/>
        </w:rPr>
        <w:t> </w:t>
      </w:r>
      <w:r>
        <w:rPr>
          <w:rFonts w:ascii="Segoe UI"/>
          <w:color w:val="231F20"/>
          <w:sz w:val="16"/>
        </w:rPr>
        <w:t>2016 Census and for the first time, more than</w:t>
      </w:r>
      <w:r>
        <w:rPr>
          <w:rFonts w:ascii="Segoe UI"/>
          <w:color w:val="231F20"/>
          <w:sz w:val="16"/>
        </w:rPr>
        <w:t> </w:t>
      </w:r>
      <w:r>
        <w:rPr>
          <w:rFonts w:ascii="Segoe UI"/>
          <w:color w:val="231F20"/>
          <w:sz w:val="16"/>
        </w:rPr>
        <w:t>half</w:t>
      </w:r>
      <w:r>
        <w:rPr>
          <w:rFonts w:ascii="Segoe UI"/>
          <w:color w:val="231F20"/>
          <w:spacing w:val="-5"/>
          <w:sz w:val="16"/>
        </w:rPr>
        <w:t> </w:t>
      </w:r>
      <w:r>
        <w:rPr>
          <w:rFonts w:ascii="Segoe UI"/>
          <w:color w:val="231F20"/>
          <w:sz w:val="16"/>
        </w:rPr>
        <w:t>of</w:t>
      </w:r>
      <w:r>
        <w:rPr>
          <w:rFonts w:ascii="Segoe UI"/>
          <w:color w:val="231F20"/>
          <w:spacing w:val="-4"/>
          <w:sz w:val="16"/>
        </w:rPr>
        <w:t> </w:t>
      </w:r>
      <w:r>
        <w:rPr>
          <w:rFonts w:ascii="Segoe UI"/>
          <w:color w:val="231F20"/>
          <w:sz w:val="16"/>
        </w:rPr>
        <w:t>all</w:t>
      </w:r>
      <w:r>
        <w:rPr>
          <w:rFonts w:ascii="Segoe UI"/>
          <w:color w:val="231F20"/>
          <w:spacing w:val="-5"/>
          <w:sz w:val="16"/>
        </w:rPr>
        <w:t> </w:t>
      </w:r>
      <w:r>
        <w:rPr>
          <w:rFonts w:ascii="Segoe UI"/>
          <w:color w:val="231F20"/>
          <w:sz w:val="16"/>
        </w:rPr>
        <w:t>Aboriginal</w:t>
      </w:r>
      <w:r>
        <w:rPr>
          <w:rFonts w:ascii="Segoe UI"/>
          <w:color w:val="231F20"/>
          <w:spacing w:val="-4"/>
          <w:sz w:val="16"/>
        </w:rPr>
        <w:t> </w:t>
      </w:r>
      <w:r>
        <w:rPr>
          <w:rFonts w:ascii="Segoe UI"/>
          <w:color w:val="231F20"/>
          <w:sz w:val="16"/>
        </w:rPr>
        <w:t>and</w:t>
      </w:r>
      <w:r>
        <w:rPr>
          <w:rFonts w:ascii="Segoe UI"/>
          <w:color w:val="231F20"/>
          <w:spacing w:val="-5"/>
          <w:sz w:val="16"/>
        </w:rPr>
        <w:t> </w:t>
      </w:r>
      <w:r>
        <w:rPr>
          <w:rFonts w:ascii="Segoe UI"/>
          <w:color w:val="231F20"/>
          <w:spacing w:val="-3"/>
          <w:sz w:val="16"/>
        </w:rPr>
        <w:t>Torres </w:t>
      </w:r>
      <w:r>
        <w:rPr>
          <w:rFonts w:ascii="Segoe UI"/>
          <w:color w:val="231F20"/>
          <w:spacing w:val="-1"/>
          <w:sz w:val="16"/>
        </w:rPr>
        <w:t>Strait</w:t>
      </w:r>
      <w:r>
        <w:rPr>
          <w:rFonts w:ascii="Segoe UI"/>
          <w:color w:val="231F20"/>
          <w:spacing w:val="-5"/>
          <w:sz w:val="16"/>
        </w:rPr>
        <w:t> </w:t>
      </w:r>
      <w:r>
        <w:rPr>
          <w:rFonts w:ascii="Segoe UI"/>
          <w:color w:val="231F20"/>
          <w:spacing w:val="-1"/>
          <w:sz w:val="16"/>
        </w:rPr>
        <w:t>Islander</w:t>
      </w:r>
      <w:r>
        <w:rPr>
          <w:rFonts w:ascii="Segoe UI"/>
          <w:color w:val="231F20"/>
          <w:spacing w:val="22"/>
          <w:w w:val="99"/>
          <w:sz w:val="16"/>
        </w:rPr>
        <w:t> </w:t>
      </w:r>
      <w:r>
        <w:rPr>
          <w:rFonts w:ascii="Segoe UI"/>
          <w:color w:val="231F20"/>
          <w:sz w:val="16"/>
        </w:rPr>
        <w:t>people</w:t>
      </w:r>
      <w:r>
        <w:rPr>
          <w:rFonts w:ascii="Segoe UI"/>
          <w:color w:val="231F20"/>
          <w:spacing w:val="-4"/>
          <w:sz w:val="16"/>
        </w:rPr>
        <w:t> </w:t>
      </w:r>
      <w:r>
        <w:rPr>
          <w:rFonts w:ascii="Segoe UI"/>
          <w:color w:val="231F20"/>
          <w:spacing w:val="-1"/>
          <w:sz w:val="16"/>
        </w:rPr>
        <w:t>in</w:t>
      </w:r>
      <w:r>
        <w:rPr>
          <w:rFonts w:ascii="Segoe UI"/>
          <w:color w:val="231F20"/>
          <w:spacing w:val="-3"/>
          <w:sz w:val="16"/>
        </w:rPr>
        <w:t> </w:t>
      </w:r>
      <w:r>
        <w:rPr>
          <w:rFonts w:ascii="Segoe UI"/>
          <w:color w:val="231F20"/>
          <w:sz w:val="16"/>
        </w:rPr>
        <w:t>very</w:t>
      </w:r>
      <w:r>
        <w:rPr>
          <w:rFonts w:ascii="Segoe UI"/>
          <w:color w:val="231F20"/>
          <w:spacing w:val="-3"/>
          <w:sz w:val="16"/>
        </w:rPr>
        <w:t> </w:t>
      </w:r>
      <w:r>
        <w:rPr>
          <w:rFonts w:ascii="Segoe UI"/>
          <w:color w:val="231F20"/>
          <w:sz w:val="16"/>
        </w:rPr>
        <w:t>remote</w:t>
      </w:r>
      <w:r>
        <w:rPr>
          <w:rFonts w:ascii="Segoe UI"/>
          <w:color w:val="231F20"/>
          <w:spacing w:val="-4"/>
          <w:sz w:val="16"/>
        </w:rPr>
        <w:t> </w:t>
      </w:r>
      <w:r>
        <w:rPr>
          <w:rFonts w:ascii="Segoe UI"/>
          <w:color w:val="231F20"/>
          <w:sz w:val="16"/>
        </w:rPr>
        <w:t>areas</w:t>
      </w:r>
      <w:r>
        <w:rPr>
          <w:rFonts w:ascii="Segoe UI"/>
          <w:color w:val="231F20"/>
          <w:spacing w:val="-4"/>
          <w:sz w:val="16"/>
        </w:rPr>
        <w:t> </w:t>
      </w:r>
      <w:r>
        <w:rPr>
          <w:rFonts w:ascii="Segoe UI"/>
          <w:color w:val="231F20"/>
          <w:sz w:val="16"/>
        </w:rPr>
        <w:t>were</w:t>
      </w:r>
      <w:r>
        <w:rPr>
          <w:rFonts w:ascii="Segoe UI"/>
          <w:color w:val="231F20"/>
          <w:spacing w:val="-4"/>
          <w:sz w:val="16"/>
        </w:rPr>
        <w:t> </w:t>
      </w:r>
      <w:r>
        <w:rPr>
          <w:rFonts w:ascii="Segoe UI"/>
          <w:color w:val="231F20"/>
          <w:spacing w:val="-1"/>
          <w:sz w:val="16"/>
        </w:rPr>
        <w:t>in</w:t>
      </w:r>
      <w:r>
        <w:rPr>
          <w:rFonts w:ascii="Segoe UI"/>
          <w:color w:val="231F20"/>
          <w:spacing w:val="-2"/>
          <w:sz w:val="16"/>
        </w:rPr>
        <w:t> </w:t>
      </w:r>
      <w:r>
        <w:rPr>
          <w:rFonts w:ascii="Segoe UI"/>
          <w:color w:val="231F20"/>
          <w:spacing w:val="-1"/>
          <w:sz w:val="16"/>
        </w:rPr>
        <w:t>income</w:t>
      </w:r>
      <w:r>
        <w:rPr>
          <w:rFonts w:ascii="Segoe UI"/>
          <w:color w:val="231F20"/>
          <w:spacing w:val="22"/>
          <w:sz w:val="16"/>
        </w:rPr>
        <w:t> </w:t>
      </w:r>
      <w:r>
        <w:rPr>
          <w:rFonts w:ascii="Segoe UI"/>
          <w:color w:val="231F20"/>
          <w:sz w:val="16"/>
        </w:rPr>
        <w:t>poverty</w:t>
      </w:r>
      <w:r>
        <w:rPr>
          <w:rFonts w:ascii="Segoe UI"/>
          <w:color w:val="231F20"/>
          <w:spacing w:val="-6"/>
          <w:sz w:val="16"/>
        </w:rPr>
        <w:t> </w:t>
      </w:r>
      <w:r>
        <w:rPr>
          <w:rFonts w:ascii="Segoe UI"/>
          <w:color w:val="231F20"/>
          <w:sz w:val="16"/>
        </w:rPr>
        <w:t>(Markham,</w:t>
      </w:r>
      <w:r>
        <w:rPr>
          <w:rFonts w:ascii="Segoe UI"/>
          <w:color w:val="231F20"/>
          <w:spacing w:val="-5"/>
          <w:sz w:val="16"/>
        </w:rPr>
        <w:t> </w:t>
      </w:r>
      <w:r>
        <w:rPr>
          <w:rFonts w:ascii="Segoe UI"/>
          <w:color w:val="231F20"/>
          <w:spacing w:val="-1"/>
          <w:sz w:val="16"/>
        </w:rPr>
        <w:t>2018).</w:t>
      </w:r>
      <w:r>
        <w:rPr>
          <w:rFonts w:ascii="Segoe UI"/>
          <w:color w:val="231F20"/>
          <w:spacing w:val="-5"/>
          <w:sz w:val="16"/>
        </w:rPr>
        <w:t> </w:t>
      </w:r>
      <w:r>
        <w:rPr>
          <w:rFonts w:ascii="Segoe UI"/>
          <w:color w:val="231F20"/>
          <w:spacing w:val="-1"/>
          <w:sz w:val="16"/>
        </w:rPr>
        <w:t>See</w:t>
      </w:r>
      <w:r>
        <w:rPr>
          <w:rFonts w:ascii="Segoe UI"/>
          <w:color w:val="231F20"/>
          <w:spacing w:val="-4"/>
          <w:sz w:val="16"/>
        </w:rPr>
        <w:t> </w:t>
      </w:r>
      <w:r>
        <w:rPr>
          <w:rFonts w:ascii="Segoe UI"/>
          <w:color w:val="231F20"/>
          <w:sz w:val="16"/>
        </w:rPr>
        <w:t>further</w:t>
      </w:r>
      <w:r>
        <w:rPr>
          <w:rFonts w:ascii="Segoe UI"/>
          <w:color w:val="231F20"/>
          <w:spacing w:val="-4"/>
          <w:sz w:val="16"/>
        </w:rPr>
        <w:t> </w:t>
      </w:r>
      <w:r>
        <w:rPr>
          <w:rFonts w:ascii="Segoe UI"/>
          <w:color w:val="231F20"/>
          <w:sz w:val="16"/>
        </w:rPr>
        <w:t>discussion</w:t>
      </w:r>
      <w:r>
        <w:rPr>
          <w:rFonts w:ascii="Segoe UI"/>
          <w:color w:val="231F20"/>
          <w:spacing w:val="23"/>
          <w:sz w:val="16"/>
        </w:rPr>
        <w:t> </w:t>
      </w:r>
      <w:r>
        <w:rPr>
          <w:rFonts w:ascii="Segoe UI"/>
          <w:color w:val="231F20"/>
          <w:sz w:val="16"/>
        </w:rPr>
        <w:t>and</w:t>
      </w:r>
      <w:r>
        <w:rPr>
          <w:rFonts w:ascii="Segoe UI"/>
          <w:color w:val="231F20"/>
          <w:spacing w:val="-6"/>
          <w:sz w:val="16"/>
        </w:rPr>
        <w:t> </w:t>
      </w:r>
      <w:r>
        <w:rPr>
          <w:rFonts w:ascii="Segoe UI"/>
          <w:color w:val="231F20"/>
          <w:sz w:val="16"/>
        </w:rPr>
        <w:t>references</w:t>
      </w:r>
      <w:r>
        <w:rPr>
          <w:rFonts w:ascii="Segoe UI"/>
          <w:color w:val="231F20"/>
          <w:spacing w:val="-6"/>
          <w:sz w:val="16"/>
        </w:rPr>
        <w:t> </w:t>
      </w:r>
      <w:r>
        <w:rPr>
          <w:rFonts w:ascii="Segoe UI"/>
          <w:color w:val="231F20"/>
          <w:sz w:val="16"/>
        </w:rPr>
        <w:t>under</w:t>
      </w:r>
      <w:r>
        <w:rPr>
          <w:rFonts w:ascii="Segoe UI"/>
          <w:color w:val="231F20"/>
          <w:spacing w:val="-4"/>
          <w:sz w:val="16"/>
        </w:rPr>
        <w:t> </w:t>
      </w:r>
      <w:r>
        <w:rPr>
          <w:rFonts w:ascii="Segoe UI"/>
          <w:color w:val="231F20"/>
          <w:sz w:val="16"/>
        </w:rPr>
        <w:t>Private</w:t>
      </w:r>
      <w:r>
        <w:rPr>
          <w:rFonts w:ascii="Segoe UI"/>
          <w:color w:val="231F20"/>
          <w:spacing w:val="-5"/>
          <w:sz w:val="16"/>
        </w:rPr>
        <w:t> </w:t>
      </w:r>
      <w:r>
        <w:rPr>
          <w:rFonts w:ascii="Segoe UI"/>
          <w:color w:val="231F20"/>
          <w:sz w:val="16"/>
        </w:rPr>
        <w:t>fees</w:t>
      </w:r>
      <w:r>
        <w:rPr>
          <w:rFonts w:ascii="Segoe UI"/>
          <w:color w:val="231F20"/>
          <w:spacing w:val="-5"/>
          <w:sz w:val="16"/>
        </w:rPr>
        <w:t> </w:t>
      </w:r>
      <w:r>
        <w:rPr>
          <w:rFonts w:ascii="Segoe UI"/>
          <w:color w:val="231F20"/>
          <w:sz w:val="16"/>
        </w:rPr>
        <w:t>and</w:t>
      </w:r>
      <w:r>
        <w:rPr>
          <w:rFonts w:ascii="Segoe UI"/>
          <w:color w:val="231F20"/>
          <w:spacing w:val="-6"/>
          <w:sz w:val="16"/>
        </w:rPr>
        <w:t> </w:t>
      </w:r>
      <w:r>
        <w:rPr>
          <w:rFonts w:ascii="Segoe UI"/>
          <w:color w:val="231F20"/>
          <w:sz w:val="16"/>
        </w:rPr>
        <w:t>parental</w:t>
      </w:r>
      <w:r>
        <w:rPr>
          <w:rFonts w:ascii="Segoe UI"/>
          <w:color w:val="231F20"/>
          <w:w w:val="99"/>
          <w:sz w:val="16"/>
        </w:rPr>
        <w:t> </w:t>
      </w:r>
      <w:r>
        <w:rPr>
          <w:rFonts w:ascii="Segoe UI"/>
          <w:color w:val="231F20"/>
          <w:sz w:val="16"/>
        </w:rPr>
        <w:t>contributions</w:t>
      </w:r>
      <w:r>
        <w:rPr>
          <w:rFonts w:ascii="Segoe UI"/>
          <w:color w:val="231F20"/>
          <w:spacing w:val="-5"/>
          <w:sz w:val="16"/>
        </w:rPr>
        <w:t> </w:t>
      </w:r>
      <w:r>
        <w:rPr>
          <w:rFonts w:ascii="Segoe UI"/>
          <w:color w:val="231F20"/>
          <w:spacing w:val="-1"/>
          <w:sz w:val="16"/>
        </w:rPr>
        <w:t>in</w:t>
      </w:r>
      <w:r>
        <w:rPr>
          <w:rFonts w:ascii="Segoe UI"/>
          <w:color w:val="231F20"/>
          <w:spacing w:val="-4"/>
          <w:sz w:val="16"/>
        </w:rPr>
        <w:t> </w:t>
      </w:r>
      <w:r>
        <w:rPr>
          <w:rFonts w:ascii="Segoe UI"/>
          <w:color w:val="231F20"/>
          <w:spacing w:val="-2"/>
          <w:sz w:val="16"/>
        </w:rPr>
        <w:t>Part</w:t>
      </w:r>
      <w:r>
        <w:rPr>
          <w:rFonts w:ascii="Segoe UI"/>
          <w:color w:val="231F20"/>
          <w:spacing w:val="-5"/>
          <w:sz w:val="16"/>
        </w:rPr>
        <w:t> </w:t>
      </w:r>
      <w:r>
        <w:rPr>
          <w:rFonts w:ascii="Segoe UI"/>
          <w:color w:val="231F20"/>
          <w:sz w:val="16"/>
        </w:rPr>
        <w:t>10</w:t>
      </w:r>
      <w:r>
        <w:rPr>
          <w:rFonts w:ascii="Segoe UI"/>
          <w:sz w:val="16"/>
        </w:rPr>
      </w:r>
    </w:p>
    <w:p>
      <w:pPr>
        <w:numPr>
          <w:ilvl w:val="0"/>
          <w:numId w:val="16"/>
        </w:numPr>
        <w:tabs>
          <w:tab w:pos="685" w:val="left" w:leader="none"/>
        </w:tabs>
        <w:spacing w:line="200" w:lineRule="exact" w:before="113"/>
        <w:ind w:left="684" w:right="694" w:hanging="567"/>
        <w:jc w:val="left"/>
        <w:rPr>
          <w:rFonts w:ascii="Segoe UI" w:hAnsi="Segoe UI" w:cs="Segoe UI" w:eastAsia="Segoe UI"/>
          <w:sz w:val="16"/>
          <w:szCs w:val="16"/>
        </w:rPr>
      </w:pPr>
      <w:r>
        <w:rPr>
          <w:rFonts w:ascii="Segoe UI"/>
          <w:color w:val="231F20"/>
          <w:spacing w:val="-1"/>
          <w:sz w:val="16"/>
        </w:rPr>
        <w:t>Source:</w:t>
      </w:r>
      <w:r>
        <w:rPr>
          <w:rFonts w:ascii="Segoe UI"/>
          <w:color w:val="231F20"/>
          <w:spacing w:val="-4"/>
          <w:sz w:val="16"/>
        </w:rPr>
        <w:t> </w:t>
      </w:r>
      <w:r>
        <w:rPr>
          <w:rFonts w:ascii="Segoe UI"/>
          <w:color w:val="231F20"/>
          <w:spacing w:val="-1"/>
          <w:sz w:val="16"/>
        </w:rPr>
        <w:t>Department</w:t>
      </w:r>
      <w:r>
        <w:rPr>
          <w:rFonts w:ascii="Segoe UI"/>
          <w:color w:val="231F20"/>
          <w:spacing w:val="-3"/>
          <w:sz w:val="16"/>
        </w:rPr>
        <w:t> </w:t>
      </w:r>
      <w:r>
        <w:rPr>
          <w:rFonts w:ascii="Segoe UI"/>
          <w:color w:val="231F20"/>
          <w:sz w:val="16"/>
        </w:rPr>
        <w:t>of</w:t>
      </w:r>
      <w:r>
        <w:rPr>
          <w:rFonts w:ascii="Segoe UI"/>
          <w:color w:val="231F20"/>
          <w:spacing w:val="-3"/>
          <w:sz w:val="16"/>
        </w:rPr>
        <w:t> </w:t>
      </w:r>
      <w:r>
        <w:rPr>
          <w:rFonts w:ascii="Segoe UI"/>
          <w:color w:val="231F20"/>
          <w:spacing w:val="-1"/>
          <w:sz w:val="16"/>
        </w:rPr>
        <w:t>Social</w:t>
      </w:r>
      <w:r>
        <w:rPr>
          <w:rFonts w:ascii="Segoe UI"/>
          <w:color w:val="231F20"/>
          <w:spacing w:val="-4"/>
          <w:sz w:val="16"/>
        </w:rPr>
        <w:t> </w:t>
      </w:r>
      <w:r>
        <w:rPr>
          <w:rFonts w:ascii="Segoe UI"/>
          <w:color w:val="231F20"/>
          <w:spacing w:val="-1"/>
          <w:sz w:val="16"/>
        </w:rPr>
        <w:t>Services,</w:t>
      </w:r>
      <w:r>
        <w:rPr>
          <w:rFonts w:ascii="Segoe UI"/>
          <w:color w:val="231F20"/>
          <w:spacing w:val="-3"/>
          <w:sz w:val="16"/>
        </w:rPr>
        <w:t> </w:t>
      </w:r>
      <w:r>
        <w:rPr>
          <w:rFonts w:ascii="Segoe UI"/>
          <w:color w:val="231F20"/>
          <w:sz w:val="16"/>
        </w:rPr>
        <w:t>4</w:t>
      </w:r>
      <w:r>
        <w:rPr>
          <w:rFonts w:ascii="Segoe UI"/>
          <w:color w:val="231F20"/>
          <w:spacing w:val="25"/>
          <w:sz w:val="16"/>
        </w:rPr>
        <w:t> </w:t>
      </w:r>
      <w:r>
        <w:rPr>
          <w:rFonts w:ascii="Segoe UI"/>
          <w:color w:val="231F20"/>
          <w:spacing w:val="-1"/>
          <w:sz w:val="16"/>
        </w:rPr>
        <w:t>December</w:t>
      </w:r>
      <w:r>
        <w:rPr>
          <w:rFonts w:ascii="Segoe UI"/>
          <w:color w:val="231F20"/>
          <w:spacing w:val="-8"/>
          <w:sz w:val="16"/>
        </w:rPr>
        <w:t> </w:t>
      </w:r>
      <w:r>
        <w:rPr>
          <w:rFonts w:ascii="Segoe UI"/>
          <w:color w:val="231F20"/>
          <w:sz w:val="16"/>
        </w:rPr>
        <w:t>2018</w:t>
      </w:r>
      <w:r>
        <w:rPr>
          <w:rFonts w:ascii="Segoe UI"/>
          <w:sz w:val="16"/>
        </w:rPr>
      </w:r>
    </w:p>
    <w:p>
      <w:pPr>
        <w:numPr>
          <w:ilvl w:val="0"/>
          <w:numId w:val="16"/>
        </w:numPr>
        <w:tabs>
          <w:tab w:pos="685" w:val="left" w:leader="none"/>
        </w:tabs>
        <w:spacing w:line="200" w:lineRule="exact" w:before="113"/>
        <w:ind w:left="684" w:right="32" w:hanging="567"/>
        <w:jc w:val="left"/>
        <w:rPr>
          <w:rFonts w:ascii="Segoe UI" w:hAnsi="Segoe UI" w:cs="Segoe UI" w:eastAsia="Segoe UI"/>
          <w:sz w:val="16"/>
          <w:szCs w:val="16"/>
        </w:rPr>
      </w:pPr>
      <w:r>
        <w:rPr>
          <w:rFonts w:ascii="Segoe UI"/>
          <w:color w:val="231F20"/>
          <w:spacing w:val="-1"/>
          <w:sz w:val="16"/>
        </w:rPr>
        <w:t>Currently</w:t>
      </w:r>
      <w:r>
        <w:rPr>
          <w:rFonts w:ascii="Segoe UI"/>
          <w:color w:val="231F20"/>
          <w:spacing w:val="-5"/>
          <w:sz w:val="16"/>
        </w:rPr>
        <w:t> </w:t>
      </w:r>
      <w:r>
        <w:rPr>
          <w:rFonts w:ascii="Segoe UI"/>
          <w:color w:val="231F20"/>
          <w:sz w:val="16"/>
        </w:rPr>
        <w:t>the</w:t>
      </w:r>
      <w:r>
        <w:rPr>
          <w:rFonts w:ascii="Segoe UI"/>
          <w:color w:val="231F20"/>
          <w:spacing w:val="-5"/>
          <w:sz w:val="16"/>
        </w:rPr>
        <w:t> </w:t>
      </w:r>
      <w:r>
        <w:rPr>
          <w:rFonts w:ascii="Segoe UI"/>
          <w:color w:val="231F20"/>
          <w:spacing w:val="-1"/>
          <w:sz w:val="16"/>
        </w:rPr>
        <w:t>non-entitlement</w:t>
      </w:r>
      <w:r>
        <w:rPr>
          <w:rFonts w:ascii="Segoe UI"/>
          <w:color w:val="231F20"/>
          <w:spacing w:val="-5"/>
          <w:sz w:val="16"/>
        </w:rPr>
        <w:t> </w:t>
      </w:r>
      <w:r>
        <w:rPr>
          <w:rFonts w:ascii="Segoe UI"/>
          <w:color w:val="231F20"/>
          <w:sz w:val="16"/>
        </w:rPr>
        <w:t>applies</w:t>
      </w:r>
      <w:r>
        <w:rPr>
          <w:rFonts w:ascii="Segoe UI"/>
          <w:color w:val="231F20"/>
          <w:spacing w:val="-5"/>
          <w:sz w:val="16"/>
        </w:rPr>
        <w:t> </w:t>
      </w:r>
      <w:r>
        <w:rPr>
          <w:rFonts w:ascii="Segoe UI"/>
          <w:color w:val="231F20"/>
          <w:sz w:val="16"/>
        </w:rPr>
        <w:t>to</w:t>
      </w:r>
      <w:r>
        <w:rPr>
          <w:rFonts w:ascii="Segoe UI"/>
          <w:color w:val="231F20"/>
          <w:spacing w:val="-4"/>
          <w:sz w:val="16"/>
        </w:rPr>
        <w:t> </w:t>
      </w:r>
      <w:r>
        <w:rPr>
          <w:rFonts w:ascii="Segoe UI"/>
          <w:color w:val="231F20"/>
          <w:spacing w:val="-1"/>
          <w:sz w:val="16"/>
        </w:rPr>
        <w:t>living</w:t>
      </w:r>
      <w:r>
        <w:rPr>
          <w:rFonts w:ascii="Segoe UI"/>
          <w:color w:val="231F20"/>
          <w:spacing w:val="30"/>
          <w:sz w:val="16"/>
        </w:rPr>
        <w:t> </w:t>
      </w:r>
      <w:r>
        <w:rPr>
          <w:rFonts w:ascii="Segoe UI"/>
          <w:color w:val="231F20"/>
          <w:sz w:val="16"/>
        </w:rPr>
        <w:t>allowance,</w:t>
      </w:r>
      <w:r>
        <w:rPr>
          <w:rFonts w:ascii="Segoe UI"/>
          <w:color w:val="231F20"/>
          <w:spacing w:val="-7"/>
          <w:sz w:val="16"/>
        </w:rPr>
        <w:t> </w:t>
      </w:r>
      <w:r>
        <w:rPr>
          <w:rFonts w:ascii="Segoe UI"/>
          <w:color w:val="231F20"/>
          <w:sz w:val="16"/>
        </w:rPr>
        <w:t>rent</w:t>
      </w:r>
      <w:r>
        <w:rPr>
          <w:rFonts w:ascii="Segoe UI"/>
          <w:color w:val="231F20"/>
          <w:spacing w:val="-6"/>
          <w:sz w:val="16"/>
        </w:rPr>
        <w:t> </w:t>
      </w:r>
      <w:r>
        <w:rPr>
          <w:rFonts w:ascii="Segoe UI"/>
          <w:color w:val="231F20"/>
          <w:sz w:val="16"/>
        </w:rPr>
        <w:t>assistance,</w:t>
      </w:r>
      <w:r>
        <w:rPr>
          <w:rFonts w:ascii="Segoe UI"/>
          <w:color w:val="231F20"/>
          <w:spacing w:val="-6"/>
          <w:sz w:val="16"/>
        </w:rPr>
        <w:t> </w:t>
      </w:r>
      <w:r>
        <w:rPr>
          <w:rFonts w:ascii="Segoe UI"/>
          <w:color w:val="231F20"/>
          <w:sz w:val="16"/>
        </w:rPr>
        <w:t>remote</w:t>
      </w:r>
      <w:r>
        <w:rPr>
          <w:rFonts w:ascii="Segoe UI"/>
          <w:color w:val="231F20"/>
          <w:spacing w:val="-6"/>
          <w:sz w:val="16"/>
        </w:rPr>
        <w:t> </w:t>
      </w:r>
      <w:r>
        <w:rPr>
          <w:rFonts w:ascii="Segoe UI"/>
          <w:color w:val="231F20"/>
          <w:sz w:val="16"/>
        </w:rPr>
        <w:t>area</w:t>
      </w:r>
      <w:r>
        <w:rPr>
          <w:rFonts w:ascii="Segoe UI"/>
          <w:color w:val="231F20"/>
          <w:spacing w:val="-6"/>
          <w:sz w:val="16"/>
        </w:rPr>
        <w:t> </w:t>
      </w:r>
      <w:r>
        <w:rPr>
          <w:rFonts w:ascii="Segoe UI"/>
          <w:color w:val="231F20"/>
          <w:sz w:val="16"/>
        </w:rPr>
        <w:t>allowance</w:t>
      </w:r>
      <w:r>
        <w:rPr>
          <w:rFonts w:ascii="Segoe UI"/>
          <w:color w:val="231F20"/>
          <w:w w:val="99"/>
          <w:sz w:val="16"/>
        </w:rPr>
        <w:t> </w:t>
      </w:r>
      <w:r>
        <w:rPr>
          <w:rFonts w:ascii="Segoe UI"/>
          <w:color w:val="231F20"/>
          <w:sz w:val="16"/>
        </w:rPr>
        <w:t>or</w:t>
      </w:r>
      <w:r>
        <w:rPr>
          <w:rFonts w:ascii="Segoe UI"/>
          <w:color w:val="231F20"/>
          <w:spacing w:val="-7"/>
          <w:sz w:val="16"/>
        </w:rPr>
        <w:t> </w:t>
      </w:r>
      <w:r>
        <w:rPr>
          <w:rFonts w:ascii="Segoe UI"/>
          <w:color w:val="231F20"/>
          <w:sz w:val="16"/>
        </w:rPr>
        <w:t>pharmaceutical</w:t>
      </w:r>
      <w:r>
        <w:rPr>
          <w:rFonts w:ascii="Segoe UI"/>
          <w:color w:val="231F20"/>
          <w:spacing w:val="-8"/>
          <w:sz w:val="16"/>
        </w:rPr>
        <w:t> </w:t>
      </w:r>
      <w:r>
        <w:rPr>
          <w:rFonts w:ascii="Segoe UI"/>
          <w:color w:val="231F20"/>
          <w:sz w:val="16"/>
        </w:rPr>
        <w:t>allowance</w:t>
      </w:r>
      <w:r>
        <w:rPr>
          <w:rFonts w:ascii="Segoe UI"/>
          <w:color w:val="231F20"/>
          <w:spacing w:val="-7"/>
          <w:sz w:val="16"/>
        </w:rPr>
        <w:t> </w:t>
      </w:r>
      <w:r>
        <w:rPr>
          <w:rFonts w:ascii="Segoe UI"/>
          <w:color w:val="231F20"/>
          <w:sz w:val="16"/>
        </w:rPr>
        <w:t>(excluding</w:t>
      </w:r>
      <w:r>
        <w:rPr>
          <w:rFonts w:ascii="Segoe UI"/>
          <w:color w:val="231F20"/>
          <w:spacing w:val="-8"/>
          <w:sz w:val="16"/>
        </w:rPr>
        <w:t> </w:t>
      </w:r>
      <w:r>
        <w:rPr>
          <w:rFonts w:ascii="Segoe UI"/>
          <w:color w:val="231F20"/>
          <w:sz w:val="16"/>
        </w:rPr>
        <w:t>the</w:t>
      </w:r>
      <w:r>
        <w:rPr>
          <w:rFonts w:ascii="Segoe UI"/>
          <w:color w:val="231F20"/>
          <w:spacing w:val="-7"/>
          <w:sz w:val="16"/>
        </w:rPr>
        <w:t> </w:t>
      </w:r>
      <w:r>
        <w:rPr>
          <w:rFonts w:ascii="Segoe UI"/>
          <w:color w:val="231F20"/>
          <w:spacing w:val="-7"/>
          <w:sz w:val="16"/>
        </w:rPr>
      </w:r>
      <w:r>
        <w:rPr>
          <w:rFonts w:ascii="Segoe UI"/>
          <w:color w:val="231F20"/>
          <w:sz w:val="16"/>
        </w:rPr>
        <w:t>under</w:t>
      </w:r>
      <w:r>
        <w:rPr>
          <w:rFonts w:ascii="Segoe UI"/>
          <w:color w:val="231F20"/>
          <w:sz w:val="16"/>
        </w:rPr>
        <w:t> </w:t>
      </w:r>
      <w:r>
        <w:rPr>
          <w:rFonts w:ascii="Segoe UI"/>
          <w:color w:val="231F20"/>
          <w:spacing w:val="-1"/>
          <w:sz w:val="16"/>
        </w:rPr>
        <w:t>16</w:t>
      </w:r>
      <w:r>
        <w:rPr>
          <w:rFonts w:ascii="Segoe UI"/>
          <w:color w:val="231F20"/>
          <w:spacing w:val="-4"/>
          <w:sz w:val="16"/>
        </w:rPr>
        <w:t> </w:t>
      </w:r>
      <w:r>
        <w:rPr>
          <w:rFonts w:ascii="Segoe UI"/>
          <w:color w:val="231F20"/>
          <w:sz w:val="16"/>
        </w:rPr>
        <w:t>boarding</w:t>
      </w:r>
      <w:r>
        <w:rPr>
          <w:rFonts w:ascii="Segoe UI"/>
          <w:color w:val="231F20"/>
          <w:spacing w:val="-4"/>
          <w:sz w:val="16"/>
        </w:rPr>
        <w:t> </w:t>
      </w:r>
      <w:r>
        <w:rPr>
          <w:rFonts w:ascii="Segoe UI"/>
          <w:color w:val="231F20"/>
          <w:spacing w:val="-1"/>
          <w:sz w:val="16"/>
        </w:rPr>
        <w:t>supplement</w:t>
      </w:r>
      <w:r>
        <w:rPr>
          <w:rFonts w:ascii="Segoe UI"/>
          <w:color w:val="231F20"/>
          <w:spacing w:val="-4"/>
          <w:sz w:val="16"/>
        </w:rPr>
        <w:t> </w:t>
      </w:r>
      <w:r>
        <w:rPr>
          <w:rFonts w:ascii="Segoe UI"/>
          <w:color w:val="231F20"/>
          <w:sz w:val="16"/>
        </w:rPr>
        <w:t>where</w:t>
      </w:r>
      <w:r>
        <w:rPr>
          <w:rFonts w:ascii="Segoe UI"/>
          <w:color w:val="231F20"/>
          <w:spacing w:val="-4"/>
          <w:sz w:val="16"/>
        </w:rPr>
        <w:t> </w:t>
      </w:r>
      <w:r>
        <w:rPr>
          <w:rFonts w:ascii="Segoe UI"/>
          <w:color w:val="231F20"/>
          <w:sz w:val="16"/>
        </w:rPr>
        <w:t>a</w:t>
      </w:r>
      <w:r>
        <w:rPr>
          <w:rFonts w:ascii="Segoe UI"/>
          <w:color w:val="231F20"/>
          <w:spacing w:val="-3"/>
          <w:sz w:val="16"/>
        </w:rPr>
        <w:t> </w:t>
      </w:r>
      <w:r>
        <w:rPr>
          <w:rFonts w:ascii="Segoe UI"/>
          <w:color w:val="231F20"/>
          <w:spacing w:val="-1"/>
          <w:sz w:val="16"/>
        </w:rPr>
        <w:t>student</w:t>
      </w:r>
      <w:r>
        <w:rPr>
          <w:rFonts w:ascii="Segoe UI"/>
          <w:color w:val="231F20"/>
          <w:spacing w:val="-1"/>
          <w:w w:val="99"/>
          <w:sz w:val="16"/>
        </w:rPr>
        <w:t> </w:t>
      </w:r>
      <w:r>
        <w:rPr>
          <w:rFonts w:ascii="Segoe UI"/>
          <w:color w:val="231F20"/>
          <w:spacing w:val="2"/>
          <w:w w:val="99"/>
          <w:sz w:val="16"/>
        </w:rPr>
        <w:t>           </w:t>
      </w:r>
      <w:r>
        <w:rPr>
          <w:rFonts w:ascii="Segoe UI"/>
          <w:color w:val="231F20"/>
          <w:spacing w:val="-1"/>
          <w:sz w:val="16"/>
        </w:rPr>
        <w:t>is</w:t>
      </w:r>
      <w:r>
        <w:rPr>
          <w:rFonts w:ascii="Segoe UI"/>
          <w:color w:val="231F20"/>
          <w:spacing w:val="-5"/>
          <w:sz w:val="16"/>
        </w:rPr>
        <w:t> </w:t>
      </w:r>
      <w:r>
        <w:rPr>
          <w:rFonts w:ascii="Segoe UI"/>
          <w:color w:val="231F20"/>
          <w:spacing w:val="-1"/>
          <w:sz w:val="16"/>
        </w:rPr>
        <w:t>suspended</w:t>
      </w:r>
      <w:r>
        <w:rPr>
          <w:rFonts w:ascii="Segoe UI"/>
          <w:color w:val="231F20"/>
          <w:spacing w:val="-4"/>
          <w:sz w:val="16"/>
        </w:rPr>
        <w:t> </w:t>
      </w:r>
      <w:r>
        <w:rPr>
          <w:rFonts w:ascii="Segoe UI"/>
          <w:color w:val="231F20"/>
          <w:sz w:val="16"/>
        </w:rPr>
        <w:t>or</w:t>
      </w:r>
      <w:r>
        <w:rPr>
          <w:rFonts w:ascii="Segoe UI"/>
          <w:color w:val="231F20"/>
          <w:spacing w:val="-4"/>
          <w:sz w:val="16"/>
        </w:rPr>
        <w:t> </w:t>
      </w:r>
      <w:r>
        <w:rPr>
          <w:rFonts w:ascii="Segoe UI"/>
          <w:color w:val="231F20"/>
          <w:sz w:val="16"/>
        </w:rPr>
        <w:t>excluded).</w:t>
      </w:r>
      <w:r>
        <w:rPr>
          <w:rFonts w:ascii="Segoe UI"/>
          <w:color w:val="231F20"/>
          <w:spacing w:val="-4"/>
          <w:sz w:val="16"/>
        </w:rPr>
        <w:t> </w:t>
      </w:r>
      <w:r>
        <w:rPr>
          <w:rFonts w:ascii="Segoe UI"/>
          <w:color w:val="231F20"/>
          <w:sz w:val="16"/>
        </w:rPr>
        <w:t>Under</w:t>
      </w:r>
      <w:r>
        <w:rPr>
          <w:rFonts w:ascii="Segoe UI"/>
          <w:color w:val="231F20"/>
          <w:spacing w:val="-4"/>
          <w:sz w:val="16"/>
        </w:rPr>
        <w:t> </w:t>
      </w:r>
      <w:r>
        <w:rPr>
          <w:rFonts w:ascii="Segoe UI"/>
          <w:color w:val="231F20"/>
          <w:sz w:val="16"/>
        </w:rPr>
        <w:t>the</w:t>
      </w:r>
      <w:r>
        <w:rPr>
          <w:rFonts w:ascii="Segoe UI"/>
          <w:color w:val="231F20"/>
          <w:spacing w:val="-4"/>
          <w:sz w:val="16"/>
        </w:rPr>
        <w:t> </w:t>
      </w:r>
      <w:r>
        <w:rPr>
          <w:rFonts w:ascii="Segoe UI"/>
          <w:color w:val="231F20"/>
          <w:sz w:val="16"/>
        </w:rPr>
        <w:t>2018-</w:t>
      </w:r>
      <w:r>
        <w:rPr>
          <w:rFonts w:ascii="Segoe UI"/>
          <w:sz w:val="16"/>
        </w:rPr>
      </w:r>
    </w:p>
    <w:p>
      <w:pPr>
        <w:spacing w:line="200" w:lineRule="exact" w:before="0"/>
        <w:ind w:left="684" w:right="291" w:firstLine="0"/>
        <w:jc w:val="left"/>
        <w:rPr>
          <w:rFonts w:ascii="Segoe UI" w:hAnsi="Segoe UI" w:cs="Segoe UI" w:eastAsia="Segoe UI"/>
          <w:sz w:val="16"/>
          <w:szCs w:val="16"/>
        </w:rPr>
      </w:pPr>
      <w:r>
        <w:rPr>
          <w:rFonts w:ascii="Segoe UI"/>
          <w:color w:val="231F20"/>
          <w:spacing w:val="-1"/>
          <w:sz w:val="16"/>
        </w:rPr>
        <w:t>19</w:t>
      </w:r>
      <w:r>
        <w:rPr>
          <w:rFonts w:ascii="Segoe UI"/>
          <w:color w:val="231F20"/>
          <w:spacing w:val="-2"/>
          <w:sz w:val="16"/>
        </w:rPr>
        <w:t> </w:t>
      </w:r>
      <w:r>
        <w:rPr>
          <w:rFonts w:ascii="Segoe UI"/>
          <w:color w:val="231F20"/>
          <w:sz w:val="16"/>
        </w:rPr>
        <w:t>ABSTUDY</w:t>
      </w:r>
      <w:r>
        <w:rPr>
          <w:rFonts w:ascii="Segoe UI"/>
          <w:color w:val="231F20"/>
          <w:spacing w:val="-2"/>
          <w:sz w:val="16"/>
        </w:rPr>
        <w:t> </w:t>
      </w:r>
      <w:r>
        <w:rPr>
          <w:rFonts w:ascii="Segoe UI"/>
          <w:color w:val="231F20"/>
          <w:sz w:val="16"/>
        </w:rPr>
        <w:t>budget</w:t>
      </w:r>
      <w:r>
        <w:rPr>
          <w:rFonts w:ascii="Segoe UI"/>
          <w:color w:val="231F20"/>
          <w:spacing w:val="-3"/>
          <w:sz w:val="16"/>
        </w:rPr>
        <w:t> </w:t>
      </w:r>
      <w:r>
        <w:rPr>
          <w:rFonts w:ascii="Segoe UI"/>
          <w:color w:val="231F20"/>
          <w:spacing w:val="-1"/>
          <w:sz w:val="16"/>
        </w:rPr>
        <w:t>measures</w:t>
      </w:r>
      <w:r>
        <w:rPr>
          <w:rFonts w:ascii="Segoe UI"/>
          <w:color w:val="231F20"/>
          <w:spacing w:val="-2"/>
          <w:sz w:val="16"/>
        </w:rPr>
        <w:t> </w:t>
      </w:r>
      <w:r>
        <w:rPr>
          <w:rFonts w:ascii="Segoe UI"/>
          <w:color w:val="231F20"/>
          <w:sz w:val="16"/>
        </w:rPr>
        <w:t>the</w:t>
      </w:r>
      <w:r>
        <w:rPr>
          <w:rFonts w:ascii="Segoe UI"/>
          <w:color w:val="231F20"/>
          <w:spacing w:val="-3"/>
          <w:sz w:val="16"/>
        </w:rPr>
        <w:t> </w:t>
      </w:r>
      <w:r>
        <w:rPr>
          <w:rFonts w:ascii="Segoe UI"/>
          <w:color w:val="231F20"/>
          <w:sz w:val="16"/>
        </w:rPr>
        <w:t>under</w:t>
      </w:r>
      <w:r>
        <w:rPr>
          <w:rFonts w:ascii="Segoe UI"/>
          <w:color w:val="231F20"/>
          <w:spacing w:val="-2"/>
          <w:sz w:val="16"/>
        </w:rPr>
        <w:t> </w:t>
      </w:r>
      <w:r>
        <w:rPr>
          <w:rFonts w:ascii="Segoe UI"/>
          <w:color w:val="231F20"/>
          <w:spacing w:val="-1"/>
          <w:sz w:val="16"/>
        </w:rPr>
        <w:t>16</w:t>
      </w:r>
      <w:r>
        <w:rPr>
          <w:rFonts w:ascii="Segoe UI"/>
          <w:color w:val="231F20"/>
          <w:spacing w:val="22"/>
          <w:sz w:val="16"/>
        </w:rPr>
        <w:t> </w:t>
      </w:r>
      <w:r>
        <w:rPr>
          <w:rFonts w:ascii="Segoe UI"/>
          <w:color w:val="231F20"/>
          <w:sz w:val="16"/>
        </w:rPr>
        <w:t>boarding</w:t>
      </w:r>
      <w:r>
        <w:rPr>
          <w:rFonts w:ascii="Segoe UI"/>
          <w:color w:val="231F20"/>
          <w:spacing w:val="-5"/>
          <w:sz w:val="16"/>
        </w:rPr>
        <w:t> </w:t>
      </w:r>
      <w:r>
        <w:rPr>
          <w:rFonts w:ascii="Segoe UI"/>
          <w:color w:val="231F20"/>
          <w:spacing w:val="-1"/>
          <w:sz w:val="16"/>
        </w:rPr>
        <w:t>supplement</w:t>
      </w:r>
      <w:r>
        <w:rPr>
          <w:rFonts w:ascii="Segoe UI"/>
          <w:color w:val="231F20"/>
          <w:spacing w:val="-4"/>
          <w:sz w:val="16"/>
        </w:rPr>
        <w:t> </w:t>
      </w:r>
      <w:r>
        <w:rPr>
          <w:rFonts w:ascii="Segoe UI"/>
          <w:color w:val="231F20"/>
          <w:sz w:val="16"/>
        </w:rPr>
        <w:t>will</w:t>
      </w:r>
      <w:r>
        <w:rPr>
          <w:rFonts w:ascii="Segoe UI"/>
          <w:color w:val="231F20"/>
          <w:spacing w:val="-4"/>
          <w:sz w:val="16"/>
        </w:rPr>
        <w:t> </w:t>
      </w:r>
      <w:r>
        <w:rPr>
          <w:rFonts w:ascii="Segoe UI"/>
          <w:color w:val="231F20"/>
          <w:sz w:val="16"/>
        </w:rPr>
        <w:t>be</w:t>
      </w:r>
      <w:r>
        <w:rPr>
          <w:rFonts w:ascii="Segoe UI"/>
          <w:color w:val="231F20"/>
          <w:spacing w:val="-4"/>
          <w:sz w:val="16"/>
        </w:rPr>
        <w:t> </w:t>
      </w:r>
      <w:r>
        <w:rPr>
          <w:rFonts w:ascii="Segoe UI"/>
          <w:color w:val="231F20"/>
          <w:sz w:val="16"/>
        </w:rPr>
        <w:t>combined</w:t>
      </w:r>
      <w:r>
        <w:rPr>
          <w:rFonts w:ascii="Segoe UI"/>
          <w:color w:val="231F20"/>
          <w:spacing w:val="-5"/>
          <w:sz w:val="16"/>
        </w:rPr>
        <w:t> </w:t>
      </w:r>
      <w:r>
        <w:rPr>
          <w:rFonts w:ascii="Segoe UI"/>
          <w:color w:val="231F20"/>
          <w:sz w:val="16"/>
        </w:rPr>
        <w:t>with</w:t>
      </w:r>
      <w:r>
        <w:rPr>
          <w:rFonts w:ascii="Segoe UI"/>
          <w:color w:val="231F20"/>
          <w:spacing w:val="22"/>
          <w:w w:val="99"/>
          <w:sz w:val="16"/>
        </w:rPr>
        <w:t> </w:t>
      </w:r>
      <w:r>
        <w:rPr>
          <w:rFonts w:ascii="Segoe UI"/>
          <w:color w:val="231F20"/>
          <w:sz w:val="16"/>
        </w:rPr>
        <w:t>the</w:t>
      </w:r>
      <w:r>
        <w:rPr>
          <w:rFonts w:ascii="Segoe UI"/>
          <w:color w:val="231F20"/>
          <w:spacing w:val="-4"/>
          <w:sz w:val="16"/>
        </w:rPr>
        <w:t> </w:t>
      </w:r>
      <w:r>
        <w:rPr>
          <w:rFonts w:ascii="Segoe UI"/>
          <w:color w:val="231F20"/>
          <w:spacing w:val="-1"/>
          <w:sz w:val="16"/>
        </w:rPr>
        <w:t>living</w:t>
      </w:r>
      <w:r>
        <w:rPr>
          <w:rFonts w:ascii="Segoe UI"/>
          <w:color w:val="231F20"/>
          <w:spacing w:val="-3"/>
          <w:sz w:val="16"/>
        </w:rPr>
        <w:t> </w:t>
      </w:r>
      <w:r>
        <w:rPr>
          <w:rFonts w:ascii="Segoe UI"/>
          <w:color w:val="231F20"/>
          <w:sz w:val="16"/>
        </w:rPr>
        <w:t>allowance</w:t>
      </w:r>
      <w:r>
        <w:rPr>
          <w:rFonts w:ascii="Segoe UI"/>
          <w:color w:val="231F20"/>
          <w:spacing w:val="-4"/>
          <w:sz w:val="16"/>
        </w:rPr>
        <w:t> </w:t>
      </w:r>
      <w:r>
        <w:rPr>
          <w:rFonts w:ascii="Segoe UI"/>
          <w:color w:val="231F20"/>
          <w:sz w:val="16"/>
        </w:rPr>
        <w:t>from</w:t>
      </w:r>
      <w:r>
        <w:rPr>
          <w:rFonts w:ascii="Segoe UI"/>
          <w:color w:val="231F20"/>
          <w:spacing w:val="-3"/>
          <w:sz w:val="16"/>
        </w:rPr>
        <w:t> </w:t>
      </w:r>
      <w:r>
        <w:rPr>
          <w:rFonts w:ascii="Segoe UI"/>
          <w:color w:val="231F20"/>
          <w:sz w:val="16"/>
        </w:rPr>
        <w:t>1</w:t>
      </w:r>
      <w:r>
        <w:rPr>
          <w:rFonts w:ascii="Segoe UI"/>
          <w:color w:val="231F20"/>
          <w:spacing w:val="-3"/>
          <w:sz w:val="16"/>
        </w:rPr>
        <w:t> </w:t>
      </w:r>
      <w:r>
        <w:rPr>
          <w:rFonts w:ascii="Segoe UI"/>
          <w:color w:val="231F20"/>
          <w:sz w:val="16"/>
        </w:rPr>
        <w:t>January</w:t>
      </w:r>
      <w:r>
        <w:rPr>
          <w:rFonts w:ascii="Segoe UI"/>
          <w:color w:val="231F20"/>
          <w:spacing w:val="-3"/>
          <w:sz w:val="16"/>
        </w:rPr>
        <w:t> </w:t>
      </w:r>
      <w:r>
        <w:rPr>
          <w:rFonts w:ascii="Segoe UI"/>
          <w:color w:val="231F20"/>
          <w:spacing w:val="-1"/>
          <w:sz w:val="16"/>
        </w:rPr>
        <w:t>2019</w:t>
      </w:r>
      <w:r>
        <w:rPr>
          <w:rFonts w:ascii="Segoe UI"/>
          <w:color w:val="231F20"/>
          <w:spacing w:val="-3"/>
          <w:sz w:val="16"/>
        </w:rPr>
        <w:t> </w:t>
      </w:r>
      <w:r>
        <w:rPr>
          <w:rFonts w:ascii="Segoe UI"/>
          <w:color w:val="231F20"/>
          <w:sz w:val="16"/>
        </w:rPr>
        <w:t>and</w:t>
      </w:r>
      <w:r>
        <w:rPr>
          <w:rFonts w:ascii="Segoe UI"/>
          <w:color w:val="231F20"/>
          <w:spacing w:val="23"/>
          <w:w w:val="99"/>
          <w:sz w:val="16"/>
        </w:rPr>
        <w:t> </w:t>
      </w:r>
      <w:r>
        <w:rPr>
          <w:rFonts w:ascii="Segoe UI"/>
          <w:color w:val="231F20"/>
          <w:sz w:val="16"/>
        </w:rPr>
        <w:t>a</w:t>
      </w:r>
      <w:r>
        <w:rPr>
          <w:rFonts w:ascii="Segoe UI"/>
          <w:color w:val="231F20"/>
          <w:spacing w:val="-2"/>
          <w:sz w:val="16"/>
        </w:rPr>
        <w:t> </w:t>
      </w:r>
      <w:r>
        <w:rPr>
          <w:rFonts w:ascii="Segoe UI"/>
          <w:color w:val="231F20"/>
          <w:sz w:val="16"/>
        </w:rPr>
        <w:t>boarding</w:t>
      </w:r>
      <w:r>
        <w:rPr>
          <w:rFonts w:ascii="Segoe UI"/>
          <w:color w:val="231F20"/>
          <w:spacing w:val="-3"/>
          <w:sz w:val="16"/>
        </w:rPr>
        <w:t> </w:t>
      </w:r>
      <w:r>
        <w:rPr>
          <w:rFonts w:ascii="Segoe UI"/>
          <w:color w:val="231F20"/>
          <w:sz w:val="16"/>
        </w:rPr>
        <w:t>facility</w:t>
      </w:r>
      <w:r>
        <w:rPr>
          <w:rFonts w:ascii="Segoe UI"/>
          <w:color w:val="231F20"/>
          <w:spacing w:val="-2"/>
          <w:sz w:val="16"/>
        </w:rPr>
        <w:t> </w:t>
      </w:r>
      <w:r>
        <w:rPr>
          <w:rFonts w:ascii="Segoe UI"/>
          <w:color w:val="231F20"/>
          <w:sz w:val="16"/>
        </w:rPr>
        <w:t>will</w:t>
      </w:r>
      <w:r>
        <w:rPr>
          <w:rFonts w:ascii="Segoe UI"/>
          <w:color w:val="231F20"/>
          <w:spacing w:val="-3"/>
          <w:sz w:val="16"/>
        </w:rPr>
        <w:t> </w:t>
      </w:r>
      <w:r>
        <w:rPr>
          <w:rFonts w:ascii="Segoe UI"/>
          <w:color w:val="231F20"/>
          <w:sz w:val="16"/>
        </w:rPr>
        <w:t>not</w:t>
      </w:r>
      <w:r>
        <w:rPr>
          <w:rFonts w:ascii="Segoe UI"/>
          <w:color w:val="231F20"/>
          <w:spacing w:val="-2"/>
          <w:sz w:val="16"/>
        </w:rPr>
        <w:t> </w:t>
      </w:r>
      <w:r>
        <w:rPr>
          <w:rFonts w:ascii="Segoe UI"/>
          <w:color w:val="231F20"/>
          <w:sz w:val="16"/>
        </w:rPr>
        <w:t>be</w:t>
      </w:r>
      <w:r>
        <w:rPr>
          <w:rFonts w:ascii="Segoe UI"/>
          <w:color w:val="231F20"/>
          <w:spacing w:val="-2"/>
          <w:sz w:val="16"/>
        </w:rPr>
        <w:t> </w:t>
      </w:r>
      <w:r>
        <w:rPr>
          <w:rFonts w:ascii="Segoe UI"/>
          <w:color w:val="231F20"/>
          <w:sz w:val="16"/>
        </w:rPr>
        <w:t>eligible</w:t>
      </w:r>
      <w:r>
        <w:rPr>
          <w:rFonts w:ascii="Segoe UI"/>
          <w:color w:val="231F20"/>
          <w:spacing w:val="-2"/>
          <w:sz w:val="16"/>
        </w:rPr>
        <w:t> </w:t>
      </w:r>
      <w:r>
        <w:rPr>
          <w:rFonts w:ascii="Segoe UI"/>
          <w:color w:val="231F20"/>
          <w:sz w:val="16"/>
        </w:rPr>
        <w:t>for</w:t>
      </w:r>
      <w:r>
        <w:rPr>
          <w:rFonts w:ascii="Segoe UI"/>
          <w:color w:val="231F20"/>
          <w:spacing w:val="-2"/>
          <w:sz w:val="16"/>
        </w:rPr>
        <w:t> </w:t>
      </w:r>
      <w:r>
        <w:rPr>
          <w:rFonts w:ascii="Segoe UI"/>
          <w:color w:val="231F20"/>
          <w:sz w:val="16"/>
        </w:rPr>
        <w:t>this</w:t>
      </w:r>
      <w:r>
        <w:rPr>
          <w:rFonts w:ascii="Segoe UI"/>
          <w:color w:val="231F20"/>
          <w:sz w:val="16"/>
        </w:rPr>
        <w:t> payment</w:t>
      </w:r>
      <w:r>
        <w:rPr>
          <w:rFonts w:ascii="Segoe UI"/>
          <w:color w:val="231F20"/>
          <w:spacing w:val="-5"/>
          <w:sz w:val="16"/>
        </w:rPr>
        <w:t> </w:t>
      </w:r>
      <w:r>
        <w:rPr>
          <w:rFonts w:ascii="Segoe UI"/>
          <w:color w:val="231F20"/>
          <w:spacing w:val="-1"/>
          <w:sz w:val="16"/>
        </w:rPr>
        <w:t>if</w:t>
      </w:r>
      <w:r>
        <w:rPr>
          <w:rFonts w:ascii="Segoe UI"/>
          <w:color w:val="231F20"/>
          <w:spacing w:val="-4"/>
          <w:sz w:val="16"/>
        </w:rPr>
        <w:t> </w:t>
      </w:r>
      <w:r>
        <w:rPr>
          <w:rFonts w:ascii="Segoe UI"/>
          <w:color w:val="231F20"/>
          <w:sz w:val="16"/>
        </w:rPr>
        <w:t>a</w:t>
      </w:r>
      <w:r>
        <w:rPr>
          <w:rFonts w:ascii="Segoe UI"/>
          <w:color w:val="231F20"/>
          <w:spacing w:val="-4"/>
          <w:sz w:val="16"/>
        </w:rPr>
        <w:t> </w:t>
      </w:r>
      <w:r>
        <w:rPr>
          <w:rFonts w:ascii="Segoe UI"/>
          <w:color w:val="231F20"/>
          <w:spacing w:val="-1"/>
          <w:sz w:val="16"/>
        </w:rPr>
        <w:t>student</w:t>
      </w:r>
      <w:r>
        <w:rPr>
          <w:rFonts w:ascii="Segoe UI"/>
          <w:color w:val="231F20"/>
          <w:spacing w:val="-4"/>
          <w:sz w:val="16"/>
        </w:rPr>
        <w:t> </w:t>
      </w:r>
      <w:r>
        <w:rPr>
          <w:rFonts w:ascii="Segoe UI"/>
          <w:color w:val="231F20"/>
          <w:spacing w:val="-1"/>
          <w:sz w:val="16"/>
        </w:rPr>
        <w:t>is</w:t>
      </w:r>
      <w:r>
        <w:rPr>
          <w:rFonts w:ascii="Segoe UI"/>
          <w:color w:val="231F20"/>
          <w:spacing w:val="-5"/>
          <w:sz w:val="16"/>
        </w:rPr>
        <w:t> </w:t>
      </w:r>
      <w:r>
        <w:rPr>
          <w:rFonts w:ascii="Segoe UI"/>
          <w:color w:val="231F20"/>
          <w:sz w:val="16"/>
        </w:rPr>
        <w:t>expelled</w:t>
      </w:r>
      <w:r>
        <w:rPr>
          <w:rFonts w:ascii="Segoe UI"/>
          <w:color w:val="231F20"/>
          <w:spacing w:val="-5"/>
          <w:sz w:val="16"/>
        </w:rPr>
        <w:t> </w:t>
      </w:r>
      <w:r>
        <w:rPr>
          <w:rFonts w:ascii="Segoe UI"/>
          <w:color w:val="231F20"/>
          <w:sz w:val="16"/>
        </w:rPr>
        <w:t>or</w:t>
      </w:r>
      <w:r>
        <w:rPr>
          <w:rFonts w:ascii="Segoe UI"/>
          <w:color w:val="231F20"/>
          <w:spacing w:val="-4"/>
          <w:sz w:val="16"/>
        </w:rPr>
        <w:t> </w:t>
      </w:r>
      <w:r>
        <w:rPr>
          <w:rFonts w:ascii="Segoe UI"/>
          <w:color w:val="231F20"/>
          <w:spacing w:val="-1"/>
          <w:sz w:val="16"/>
        </w:rPr>
        <w:t>suspended</w:t>
      </w:r>
      <w:r>
        <w:rPr>
          <w:rFonts w:ascii="Segoe UI"/>
          <w:sz w:val="16"/>
        </w:rPr>
      </w:r>
    </w:p>
    <w:p>
      <w:pPr>
        <w:numPr>
          <w:ilvl w:val="0"/>
          <w:numId w:val="16"/>
        </w:numPr>
        <w:tabs>
          <w:tab w:pos="685" w:val="left" w:leader="none"/>
        </w:tabs>
        <w:spacing w:line="200" w:lineRule="exact" w:before="70"/>
        <w:ind w:left="684" w:right="305" w:hanging="567"/>
        <w:jc w:val="left"/>
        <w:rPr>
          <w:rFonts w:ascii="Segoe UI" w:hAnsi="Segoe UI" w:cs="Segoe UI" w:eastAsia="Segoe UI"/>
          <w:sz w:val="16"/>
          <w:szCs w:val="16"/>
        </w:rPr>
      </w:pPr>
      <w:r>
        <w:rPr>
          <w:rFonts w:ascii="Segoe UI"/>
          <w:color w:val="231F20"/>
          <w:sz w:val="16"/>
        </w:rPr>
        <w:br w:type="column"/>
        <w:t>AS</w:t>
      </w:r>
      <w:r>
        <w:rPr>
          <w:rFonts w:ascii="Segoe UI"/>
          <w:color w:val="231F20"/>
          <w:spacing w:val="-3"/>
          <w:sz w:val="16"/>
        </w:rPr>
        <w:t> </w:t>
      </w:r>
      <w:r>
        <w:rPr>
          <w:rFonts w:ascii="Segoe UI"/>
          <w:color w:val="231F20"/>
          <w:spacing w:val="-1"/>
          <w:sz w:val="16"/>
        </w:rPr>
        <w:t>5725:2015</w:t>
      </w:r>
      <w:r>
        <w:rPr>
          <w:rFonts w:ascii="Segoe UI"/>
          <w:color w:val="231F20"/>
          <w:spacing w:val="-3"/>
          <w:sz w:val="16"/>
        </w:rPr>
        <w:t> </w:t>
      </w:r>
      <w:r>
        <w:rPr>
          <w:rFonts w:ascii="Segoe UI"/>
          <w:i/>
          <w:color w:val="231F20"/>
          <w:spacing w:val="-1"/>
          <w:sz w:val="16"/>
        </w:rPr>
        <w:t>Boarding</w:t>
      </w:r>
      <w:r>
        <w:rPr>
          <w:rFonts w:ascii="Segoe UI"/>
          <w:i/>
          <w:color w:val="231F20"/>
          <w:spacing w:val="-2"/>
          <w:sz w:val="16"/>
        </w:rPr>
        <w:t> </w:t>
      </w:r>
      <w:r>
        <w:rPr>
          <w:rFonts w:ascii="Segoe UI"/>
          <w:i/>
          <w:color w:val="231F20"/>
          <w:spacing w:val="-1"/>
          <w:sz w:val="16"/>
        </w:rPr>
        <w:t>Standard</w:t>
      </w:r>
      <w:r>
        <w:rPr>
          <w:rFonts w:ascii="Segoe UI"/>
          <w:i/>
          <w:color w:val="231F20"/>
          <w:spacing w:val="-3"/>
          <w:sz w:val="16"/>
        </w:rPr>
        <w:t> </w:t>
      </w:r>
      <w:r>
        <w:rPr>
          <w:rFonts w:ascii="Segoe UI"/>
          <w:i/>
          <w:color w:val="231F20"/>
          <w:sz w:val="16"/>
        </w:rPr>
        <w:t>for</w:t>
      </w:r>
      <w:r>
        <w:rPr>
          <w:rFonts w:ascii="Segoe UI"/>
          <w:i/>
          <w:color w:val="231F20"/>
          <w:spacing w:val="-3"/>
          <w:sz w:val="16"/>
        </w:rPr>
        <w:t> </w:t>
      </w:r>
      <w:r>
        <w:rPr>
          <w:rFonts w:ascii="Segoe UI"/>
          <w:i/>
          <w:color w:val="231F20"/>
          <w:spacing w:val="-1"/>
          <w:sz w:val="16"/>
        </w:rPr>
        <w:t>Australian</w:t>
      </w:r>
      <w:r>
        <w:rPr>
          <w:rFonts w:ascii="Segoe UI"/>
          <w:i/>
          <w:color w:val="231F20"/>
          <w:spacing w:val="43"/>
          <w:w w:val="99"/>
          <w:sz w:val="16"/>
        </w:rPr>
        <w:t> </w:t>
      </w:r>
      <w:r>
        <w:rPr>
          <w:rFonts w:ascii="Segoe UI"/>
          <w:i/>
          <w:color w:val="231F20"/>
          <w:spacing w:val="-1"/>
          <w:sz w:val="16"/>
        </w:rPr>
        <w:t>schools</w:t>
      </w:r>
      <w:r>
        <w:rPr>
          <w:rFonts w:ascii="Segoe UI"/>
          <w:i/>
          <w:color w:val="231F20"/>
          <w:sz w:val="16"/>
        </w:rPr>
        <w:t> and </w:t>
      </w:r>
      <w:r>
        <w:rPr>
          <w:rFonts w:ascii="Segoe UI"/>
          <w:i/>
          <w:color w:val="231F20"/>
          <w:spacing w:val="-1"/>
          <w:sz w:val="16"/>
        </w:rPr>
        <w:t>residences;</w:t>
      </w:r>
      <w:r>
        <w:rPr>
          <w:rFonts w:ascii="Segoe UI"/>
          <w:i/>
          <w:color w:val="231F20"/>
          <w:sz w:val="16"/>
        </w:rPr>
        <w:t> Briefing paper for</w:t>
      </w:r>
      <w:r>
        <w:rPr>
          <w:rFonts w:ascii="Segoe UI"/>
          <w:i/>
          <w:color w:val="231F20"/>
          <w:spacing w:val="25"/>
          <w:sz w:val="16"/>
        </w:rPr>
        <w:t> </w:t>
      </w:r>
      <w:r>
        <w:rPr>
          <w:rFonts w:ascii="Segoe UI"/>
          <w:i/>
          <w:color w:val="231F20"/>
          <w:spacing w:val="-1"/>
          <w:sz w:val="16"/>
        </w:rPr>
        <w:t>Governors,</w:t>
      </w:r>
      <w:r>
        <w:rPr>
          <w:rFonts w:ascii="Segoe UI"/>
          <w:i/>
          <w:color w:val="231F20"/>
          <w:spacing w:val="-3"/>
          <w:sz w:val="16"/>
        </w:rPr>
        <w:t> </w:t>
      </w:r>
      <w:r>
        <w:rPr>
          <w:rFonts w:ascii="Segoe UI"/>
          <w:i/>
          <w:color w:val="231F20"/>
          <w:spacing w:val="-1"/>
          <w:sz w:val="16"/>
        </w:rPr>
        <w:t>Principals,</w:t>
      </w:r>
      <w:r>
        <w:rPr>
          <w:rFonts w:ascii="Segoe UI"/>
          <w:i/>
          <w:color w:val="231F20"/>
          <w:spacing w:val="-3"/>
          <w:sz w:val="16"/>
        </w:rPr>
        <w:t> </w:t>
      </w:r>
      <w:r>
        <w:rPr>
          <w:rFonts w:ascii="Segoe UI"/>
          <w:i/>
          <w:color w:val="231F20"/>
          <w:spacing w:val="-1"/>
          <w:sz w:val="16"/>
        </w:rPr>
        <w:t>Bursars</w:t>
      </w:r>
      <w:r>
        <w:rPr>
          <w:rFonts w:ascii="Segoe UI"/>
          <w:i/>
          <w:color w:val="231F20"/>
          <w:spacing w:val="-3"/>
          <w:sz w:val="16"/>
        </w:rPr>
        <w:t> </w:t>
      </w:r>
      <w:r>
        <w:rPr>
          <w:rFonts w:ascii="Segoe UI"/>
          <w:i/>
          <w:color w:val="231F20"/>
          <w:sz w:val="16"/>
        </w:rPr>
        <w:t>and</w:t>
      </w:r>
      <w:r>
        <w:rPr>
          <w:rFonts w:ascii="Segoe UI"/>
          <w:i/>
          <w:color w:val="231F20"/>
          <w:spacing w:val="-3"/>
          <w:sz w:val="16"/>
        </w:rPr>
        <w:t> </w:t>
      </w:r>
      <w:r>
        <w:rPr>
          <w:rFonts w:ascii="Segoe UI"/>
          <w:i/>
          <w:color w:val="231F20"/>
          <w:spacing w:val="-1"/>
          <w:sz w:val="16"/>
        </w:rPr>
        <w:t>Business</w:t>
      </w:r>
      <w:r>
        <w:rPr>
          <w:rFonts w:ascii="Segoe UI"/>
          <w:i/>
          <w:color w:val="231F20"/>
          <w:spacing w:val="42"/>
          <w:sz w:val="16"/>
        </w:rPr>
        <w:t> </w:t>
      </w:r>
      <w:r>
        <w:rPr>
          <w:rFonts w:ascii="Segoe UI"/>
          <w:i/>
          <w:color w:val="231F20"/>
          <w:sz w:val="16"/>
        </w:rPr>
        <w:t>Managers</w:t>
      </w:r>
      <w:r>
        <w:rPr>
          <w:rFonts w:ascii="Segoe UI"/>
          <w:i/>
          <w:color w:val="231F20"/>
          <w:spacing w:val="-4"/>
          <w:sz w:val="16"/>
        </w:rPr>
        <w:t> </w:t>
      </w:r>
      <w:r>
        <w:rPr>
          <w:rFonts w:ascii="Segoe UI"/>
          <w:i/>
          <w:color w:val="231F20"/>
          <w:spacing w:val="-2"/>
          <w:sz w:val="16"/>
        </w:rPr>
        <w:t>of</w:t>
      </w:r>
      <w:r>
        <w:rPr>
          <w:rFonts w:ascii="Segoe UI"/>
          <w:i/>
          <w:color w:val="231F20"/>
          <w:spacing w:val="-3"/>
          <w:sz w:val="16"/>
        </w:rPr>
        <w:t> </w:t>
      </w:r>
      <w:r>
        <w:rPr>
          <w:rFonts w:ascii="Segoe UI"/>
          <w:i/>
          <w:color w:val="231F20"/>
          <w:spacing w:val="-1"/>
          <w:sz w:val="16"/>
        </w:rPr>
        <w:t>non-government</w:t>
      </w:r>
      <w:r>
        <w:rPr>
          <w:rFonts w:ascii="Segoe UI"/>
          <w:i/>
          <w:color w:val="231F20"/>
          <w:spacing w:val="-3"/>
          <w:sz w:val="16"/>
        </w:rPr>
        <w:t> </w:t>
      </w:r>
      <w:r>
        <w:rPr>
          <w:rFonts w:ascii="Segoe UI"/>
          <w:i/>
          <w:color w:val="231F20"/>
          <w:spacing w:val="-1"/>
          <w:sz w:val="16"/>
        </w:rPr>
        <w:t>schools</w:t>
      </w:r>
      <w:r>
        <w:rPr>
          <w:rFonts w:ascii="Segoe UI"/>
          <w:i/>
          <w:color w:val="231F20"/>
          <w:spacing w:val="-4"/>
          <w:sz w:val="16"/>
        </w:rPr>
        <w:t> </w:t>
      </w:r>
      <w:r>
        <w:rPr>
          <w:rFonts w:ascii="Segoe UI"/>
          <w:i/>
          <w:color w:val="231F20"/>
          <w:spacing w:val="-1"/>
          <w:sz w:val="16"/>
        </w:rPr>
        <w:t>that</w:t>
      </w:r>
      <w:r>
        <w:rPr>
          <w:rFonts w:ascii="Segoe UI"/>
          <w:i/>
          <w:color w:val="231F20"/>
          <w:spacing w:val="-3"/>
          <w:sz w:val="16"/>
        </w:rPr>
        <w:t> </w:t>
      </w:r>
      <w:r>
        <w:rPr>
          <w:rFonts w:ascii="Segoe UI"/>
          <w:i/>
          <w:color w:val="231F20"/>
          <w:spacing w:val="-2"/>
          <w:sz w:val="16"/>
        </w:rPr>
        <w:t>provide</w:t>
      </w:r>
      <w:r>
        <w:rPr>
          <w:rFonts w:ascii="Segoe UI"/>
          <w:i/>
          <w:color w:val="231F20"/>
          <w:spacing w:val="40"/>
          <w:w w:val="99"/>
          <w:sz w:val="16"/>
        </w:rPr>
        <w:t> </w:t>
      </w:r>
      <w:r>
        <w:rPr>
          <w:rFonts w:ascii="Segoe UI"/>
          <w:i/>
          <w:color w:val="231F20"/>
          <w:sz w:val="16"/>
        </w:rPr>
        <w:t>a</w:t>
      </w:r>
      <w:r>
        <w:rPr>
          <w:rFonts w:ascii="Segoe UI"/>
          <w:i/>
          <w:color w:val="231F20"/>
          <w:spacing w:val="-11"/>
          <w:sz w:val="16"/>
        </w:rPr>
        <w:t> </w:t>
      </w:r>
      <w:r>
        <w:rPr>
          <w:rFonts w:ascii="Segoe UI"/>
          <w:i/>
          <w:color w:val="231F20"/>
          <w:spacing w:val="-1"/>
          <w:sz w:val="16"/>
        </w:rPr>
        <w:t>boarding</w:t>
      </w:r>
      <w:r>
        <w:rPr>
          <w:rFonts w:ascii="Segoe UI"/>
          <w:i/>
          <w:color w:val="231F20"/>
          <w:spacing w:val="-10"/>
          <w:sz w:val="16"/>
        </w:rPr>
        <w:t> </w:t>
      </w:r>
      <w:r>
        <w:rPr>
          <w:rFonts w:ascii="Segoe UI"/>
          <w:i/>
          <w:color w:val="231F20"/>
          <w:spacing w:val="-1"/>
          <w:sz w:val="16"/>
        </w:rPr>
        <w:t>service</w:t>
      </w:r>
      <w:r>
        <w:rPr>
          <w:rFonts w:ascii="Segoe UI"/>
          <w:color w:val="231F20"/>
          <w:spacing w:val="-1"/>
          <w:sz w:val="16"/>
        </w:rPr>
        <w:t>,</w:t>
      </w:r>
      <w:r>
        <w:rPr>
          <w:rFonts w:ascii="Segoe UI"/>
          <w:color w:val="231F20"/>
          <w:spacing w:val="-11"/>
          <w:sz w:val="16"/>
        </w:rPr>
        <w:t> </w:t>
      </w:r>
      <w:r>
        <w:rPr>
          <w:rFonts w:ascii="Segoe UI"/>
          <w:color w:val="3853A4"/>
          <w:spacing w:val="-11"/>
          <w:sz w:val="16"/>
        </w:rPr>
      </w:r>
      <w:hyperlink r:id="rId136">
        <w:r>
          <w:rPr>
            <w:rFonts w:ascii="Segoe UI"/>
            <w:color w:val="3853A4"/>
            <w:spacing w:val="-1"/>
            <w:sz w:val="16"/>
            <w:u w:val="single" w:color="3853A4"/>
          </w:rPr>
          <w:t>www.schoolgovernance.net.au</w:t>
        </w:r>
        <w:r>
          <w:rPr>
            <w:rFonts w:ascii="Segoe UI"/>
            <w:color w:val="3853A4"/>
            <w:sz w:val="16"/>
          </w:rPr>
        </w:r>
        <w:r>
          <w:rPr>
            <w:rFonts w:ascii="Segoe UI"/>
            <w:color w:val="231F20"/>
            <w:spacing w:val="-1"/>
            <w:sz w:val="16"/>
          </w:rPr>
          <w:t>,</w:t>
        </w:r>
      </w:hyperlink>
      <w:r>
        <w:rPr>
          <w:rFonts w:ascii="Segoe UI"/>
          <w:color w:val="231F20"/>
          <w:spacing w:val="77"/>
          <w:w w:val="99"/>
          <w:sz w:val="16"/>
        </w:rPr>
        <w:t> </w:t>
      </w:r>
      <w:r>
        <w:rPr>
          <w:rFonts w:ascii="Segoe UI"/>
          <w:color w:val="231F20"/>
          <w:sz w:val="16"/>
        </w:rPr>
        <w:t>June</w:t>
      </w:r>
      <w:r>
        <w:rPr>
          <w:rFonts w:ascii="Segoe UI"/>
          <w:color w:val="231F20"/>
          <w:spacing w:val="-4"/>
          <w:sz w:val="16"/>
        </w:rPr>
        <w:t> </w:t>
      </w:r>
      <w:r>
        <w:rPr>
          <w:rFonts w:ascii="Segoe UI"/>
          <w:color w:val="231F20"/>
          <w:sz w:val="16"/>
        </w:rPr>
        <w:t>2017</w:t>
      </w:r>
      <w:r>
        <w:rPr>
          <w:rFonts w:ascii="Segoe UI"/>
          <w:sz w:val="16"/>
        </w:rPr>
      </w:r>
    </w:p>
    <w:p>
      <w:pPr>
        <w:tabs>
          <w:tab w:pos="684" w:val="left" w:leader="none"/>
        </w:tabs>
        <w:spacing w:before="100"/>
        <w:ind w:left="117" w:right="0" w:firstLine="0"/>
        <w:jc w:val="left"/>
        <w:rPr>
          <w:rFonts w:ascii="Segoe UI" w:hAnsi="Segoe UI" w:cs="Segoe UI" w:eastAsia="Segoe UI"/>
          <w:sz w:val="16"/>
          <w:szCs w:val="16"/>
        </w:rPr>
      </w:pPr>
      <w:r>
        <w:rPr>
          <w:rFonts w:ascii="Segoe UI"/>
          <w:color w:val="231F20"/>
          <w:sz w:val="16"/>
        </w:rPr>
        <w:t>190</w:t>
        <w:tab/>
      </w:r>
      <w:r>
        <w:rPr>
          <w:rFonts w:ascii="Segoe UI"/>
          <w:color w:val="231F20"/>
          <w:spacing w:val="-1"/>
          <w:sz w:val="16"/>
        </w:rPr>
        <w:t>KPMG,</w:t>
      </w:r>
      <w:r>
        <w:rPr>
          <w:rFonts w:ascii="Segoe UI"/>
          <w:color w:val="231F20"/>
          <w:spacing w:val="-2"/>
          <w:sz w:val="16"/>
        </w:rPr>
        <w:t> </w:t>
      </w:r>
      <w:r>
        <w:rPr>
          <w:rFonts w:ascii="Segoe UI"/>
          <w:color w:val="231F20"/>
          <w:spacing w:val="-1"/>
          <w:sz w:val="16"/>
        </w:rPr>
        <w:t>2016,</w:t>
      </w:r>
      <w:r>
        <w:rPr>
          <w:rFonts w:ascii="Segoe UI"/>
          <w:color w:val="231F20"/>
          <w:spacing w:val="-2"/>
          <w:sz w:val="16"/>
        </w:rPr>
        <w:t> </w:t>
      </w:r>
      <w:r>
        <w:rPr>
          <w:rFonts w:ascii="Segoe UI"/>
          <w:color w:val="231F20"/>
          <w:sz w:val="16"/>
        </w:rPr>
        <w:t>p.</w:t>
      </w:r>
      <w:r>
        <w:rPr>
          <w:rFonts w:ascii="Segoe UI"/>
          <w:color w:val="231F20"/>
          <w:spacing w:val="-2"/>
          <w:sz w:val="16"/>
        </w:rPr>
        <w:t> </w:t>
      </w:r>
      <w:r>
        <w:rPr>
          <w:rFonts w:ascii="Segoe UI"/>
          <w:color w:val="231F20"/>
          <w:sz w:val="16"/>
        </w:rPr>
        <w:t>22</w:t>
      </w:r>
      <w:r>
        <w:rPr>
          <w:rFonts w:ascii="Segoe UI"/>
          <w:sz w:val="16"/>
        </w:rPr>
      </w:r>
    </w:p>
    <w:p>
      <w:pPr>
        <w:numPr>
          <w:ilvl w:val="0"/>
          <w:numId w:val="17"/>
        </w:numPr>
        <w:tabs>
          <w:tab w:pos="685" w:val="left" w:leader="none"/>
        </w:tabs>
        <w:spacing w:line="200" w:lineRule="exact" w:before="113"/>
        <w:ind w:left="684" w:right="356" w:hanging="567"/>
        <w:jc w:val="left"/>
        <w:rPr>
          <w:rFonts w:ascii="Segoe UI" w:hAnsi="Segoe UI" w:cs="Segoe UI" w:eastAsia="Segoe UI"/>
          <w:sz w:val="16"/>
          <w:szCs w:val="16"/>
        </w:rPr>
      </w:pPr>
      <w:r>
        <w:rPr>
          <w:rFonts w:ascii="Segoe UI"/>
          <w:color w:val="231F20"/>
          <w:spacing w:val="-1"/>
          <w:sz w:val="16"/>
        </w:rPr>
        <w:t>Shalom</w:t>
      </w:r>
      <w:r>
        <w:rPr>
          <w:rFonts w:ascii="Segoe UI"/>
          <w:color w:val="231F20"/>
          <w:spacing w:val="-2"/>
          <w:sz w:val="16"/>
        </w:rPr>
        <w:t> </w:t>
      </w:r>
      <w:r>
        <w:rPr>
          <w:rFonts w:ascii="Segoe UI"/>
          <w:color w:val="231F20"/>
          <w:spacing w:val="-1"/>
          <w:sz w:val="16"/>
        </w:rPr>
        <w:t>Christian</w:t>
      </w:r>
      <w:r>
        <w:rPr>
          <w:rFonts w:ascii="Segoe UI"/>
          <w:color w:val="231F20"/>
          <w:spacing w:val="-2"/>
          <w:sz w:val="16"/>
        </w:rPr>
        <w:t> </w:t>
      </w:r>
      <w:r>
        <w:rPr>
          <w:rFonts w:ascii="Segoe UI"/>
          <w:color w:val="231F20"/>
          <w:spacing w:val="-1"/>
          <w:sz w:val="16"/>
        </w:rPr>
        <w:t>College</w:t>
      </w:r>
      <w:r>
        <w:rPr>
          <w:rFonts w:ascii="Segoe UI"/>
          <w:color w:val="231F20"/>
          <w:spacing w:val="-2"/>
          <w:sz w:val="16"/>
        </w:rPr>
        <w:t> </w:t>
      </w:r>
      <w:r>
        <w:rPr>
          <w:rFonts w:ascii="Segoe UI"/>
          <w:color w:val="231F20"/>
          <w:spacing w:val="-1"/>
          <w:sz w:val="16"/>
        </w:rPr>
        <w:t>in </w:t>
      </w:r>
      <w:r>
        <w:rPr>
          <w:rFonts w:ascii="Segoe UI"/>
          <w:color w:val="231F20"/>
          <w:spacing w:val="-2"/>
          <w:sz w:val="16"/>
        </w:rPr>
        <w:t>Townsville,</w:t>
      </w:r>
      <w:r>
        <w:rPr>
          <w:rFonts w:ascii="Segoe UI"/>
          <w:color w:val="231F20"/>
          <w:spacing w:val="21"/>
          <w:sz w:val="16"/>
        </w:rPr>
        <w:t> </w:t>
      </w:r>
      <w:r>
        <w:rPr>
          <w:rFonts w:ascii="Segoe UI"/>
          <w:color w:val="231F20"/>
          <w:sz w:val="16"/>
        </w:rPr>
        <w:t>Queensland</w:t>
      </w:r>
      <w:r>
        <w:rPr>
          <w:rFonts w:ascii="Segoe UI"/>
          <w:color w:val="231F20"/>
          <w:spacing w:val="-6"/>
          <w:sz w:val="16"/>
        </w:rPr>
        <w:t> </w:t>
      </w:r>
      <w:r>
        <w:rPr>
          <w:rFonts w:ascii="Segoe UI"/>
          <w:color w:val="231F20"/>
          <w:sz w:val="16"/>
        </w:rPr>
        <w:t>and</w:t>
      </w:r>
      <w:r>
        <w:rPr>
          <w:rFonts w:ascii="Segoe UI"/>
          <w:color w:val="231F20"/>
          <w:spacing w:val="-6"/>
          <w:sz w:val="16"/>
        </w:rPr>
        <w:t> </w:t>
      </w:r>
      <w:r>
        <w:rPr>
          <w:rFonts w:ascii="Segoe UI"/>
          <w:color w:val="231F20"/>
          <w:sz w:val="16"/>
        </w:rPr>
        <w:t>eight</w:t>
      </w:r>
      <w:r>
        <w:rPr>
          <w:rFonts w:ascii="Segoe UI"/>
          <w:color w:val="231F20"/>
          <w:spacing w:val="-5"/>
          <w:sz w:val="16"/>
        </w:rPr>
        <w:t> </w:t>
      </w:r>
      <w:r>
        <w:rPr>
          <w:rFonts w:ascii="Segoe UI"/>
          <w:color w:val="231F20"/>
          <w:sz w:val="16"/>
        </w:rPr>
        <w:t>hostels</w:t>
      </w:r>
      <w:r>
        <w:rPr>
          <w:rFonts w:ascii="Segoe UI"/>
          <w:color w:val="231F20"/>
          <w:spacing w:val="-6"/>
          <w:sz w:val="16"/>
        </w:rPr>
        <w:t> </w:t>
      </w:r>
      <w:r>
        <w:rPr>
          <w:rFonts w:ascii="Segoe UI"/>
          <w:color w:val="231F20"/>
          <w:sz w:val="16"/>
        </w:rPr>
        <w:t>operated</w:t>
      </w:r>
      <w:r>
        <w:rPr>
          <w:rFonts w:ascii="Segoe UI"/>
          <w:color w:val="231F20"/>
          <w:spacing w:val="-4"/>
          <w:sz w:val="16"/>
        </w:rPr>
        <w:t> </w:t>
      </w:r>
      <w:r>
        <w:rPr>
          <w:rFonts w:ascii="Segoe UI"/>
          <w:color w:val="231F20"/>
          <w:sz w:val="16"/>
        </w:rPr>
        <w:t>by</w:t>
      </w:r>
      <w:r>
        <w:rPr>
          <w:rFonts w:ascii="Segoe UI"/>
          <w:color w:val="231F20"/>
          <w:w w:val="99"/>
          <w:sz w:val="16"/>
        </w:rPr>
        <w:t> </w:t>
      </w:r>
      <w:r>
        <w:rPr>
          <w:rFonts w:ascii="Segoe UI"/>
          <w:color w:val="231F20"/>
          <w:sz w:val="16"/>
        </w:rPr>
        <w:t>Aboriginal</w:t>
      </w:r>
      <w:r>
        <w:rPr>
          <w:rFonts w:ascii="Segoe UI"/>
          <w:color w:val="231F20"/>
          <w:spacing w:val="-5"/>
          <w:sz w:val="16"/>
        </w:rPr>
        <w:t> </w:t>
      </w:r>
      <w:r>
        <w:rPr>
          <w:rFonts w:ascii="Segoe UI"/>
          <w:color w:val="231F20"/>
          <w:sz w:val="16"/>
        </w:rPr>
        <w:t>Hostels</w:t>
      </w:r>
      <w:r>
        <w:rPr>
          <w:rFonts w:ascii="Segoe UI"/>
          <w:color w:val="231F20"/>
          <w:spacing w:val="-5"/>
          <w:sz w:val="16"/>
        </w:rPr>
        <w:t> </w:t>
      </w:r>
      <w:r>
        <w:rPr>
          <w:rFonts w:ascii="Segoe UI"/>
          <w:color w:val="231F20"/>
          <w:sz w:val="16"/>
        </w:rPr>
        <w:t>Limited</w:t>
      </w:r>
      <w:r>
        <w:rPr>
          <w:rFonts w:ascii="Segoe UI"/>
          <w:color w:val="231F20"/>
          <w:spacing w:val="-5"/>
          <w:sz w:val="16"/>
        </w:rPr>
        <w:t> </w:t>
      </w:r>
      <w:r>
        <w:rPr>
          <w:rFonts w:ascii="Segoe UI"/>
          <w:color w:val="231F20"/>
          <w:sz w:val="16"/>
        </w:rPr>
        <w:t>were</w:t>
      </w:r>
      <w:r>
        <w:rPr>
          <w:rFonts w:ascii="Segoe UI"/>
          <w:color w:val="231F20"/>
          <w:spacing w:val="-6"/>
          <w:sz w:val="16"/>
        </w:rPr>
        <w:t> </w:t>
      </w:r>
      <w:r>
        <w:rPr>
          <w:rFonts w:ascii="Segoe UI"/>
          <w:color w:val="231F20"/>
          <w:sz w:val="16"/>
        </w:rPr>
        <w:t>originally</w:t>
      </w:r>
      <w:r>
        <w:rPr>
          <w:rFonts w:ascii="Segoe UI"/>
          <w:color w:val="231F20"/>
          <w:w w:val="99"/>
          <w:sz w:val="16"/>
        </w:rPr>
        <w:t> </w:t>
      </w:r>
      <w:r>
        <w:rPr>
          <w:rFonts w:ascii="Segoe UI"/>
          <w:color w:val="231F20"/>
          <w:spacing w:val="-1"/>
          <w:sz w:val="16"/>
        </w:rPr>
        <w:t>included</w:t>
      </w:r>
      <w:r>
        <w:rPr>
          <w:rFonts w:ascii="Segoe UI"/>
          <w:color w:val="231F20"/>
          <w:spacing w:val="-3"/>
          <w:sz w:val="16"/>
        </w:rPr>
        <w:t> </w:t>
      </w:r>
      <w:r>
        <w:rPr>
          <w:rFonts w:ascii="Segoe UI"/>
          <w:color w:val="231F20"/>
          <w:spacing w:val="-1"/>
          <w:sz w:val="16"/>
        </w:rPr>
        <w:t>in</w:t>
      </w:r>
      <w:r>
        <w:rPr>
          <w:rFonts w:ascii="Segoe UI"/>
          <w:color w:val="231F20"/>
          <w:spacing w:val="-3"/>
          <w:sz w:val="16"/>
        </w:rPr>
        <w:t> </w:t>
      </w:r>
      <w:r>
        <w:rPr>
          <w:rFonts w:ascii="Segoe UI"/>
          <w:color w:val="231F20"/>
          <w:sz w:val="16"/>
        </w:rPr>
        <w:t>the</w:t>
      </w:r>
      <w:r>
        <w:rPr>
          <w:rFonts w:ascii="Segoe UI"/>
          <w:color w:val="231F20"/>
          <w:spacing w:val="-4"/>
          <w:sz w:val="16"/>
        </w:rPr>
        <w:t> </w:t>
      </w:r>
      <w:r>
        <w:rPr>
          <w:rFonts w:ascii="Segoe UI"/>
          <w:color w:val="231F20"/>
          <w:sz w:val="16"/>
        </w:rPr>
        <w:t>analysis</w:t>
      </w:r>
      <w:r>
        <w:rPr>
          <w:rFonts w:ascii="Segoe UI"/>
          <w:color w:val="231F20"/>
          <w:spacing w:val="-4"/>
          <w:sz w:val="16"/>
        </w:rPr>
        <w:t> </w:t>
      </w:r>
      <w:r>
        <w:rPr>
          <w:rFonts w:ascii="Segoe UI"/>
          <w:color w:val="231F20"/>
          <w:sz w:val="16"/>
        </w:rPr>
        <w:t>for</w:t>
      </w:r>
      <w:r>
        <w:rPr>
          <w:rFonts w:ascii="Segoe UI"/>
          <w:color w:val="231F20"/>
          <w:spacing w:val="-3"/>
          <w:sz w:val="16"/>
        </w:rPr>
        <w:t> </w:t>
      </w:r>
      <w:r>
        <w:rPr>
          <w:rFonts w:ascii="Segoe UI"/>
          <w:color w:val="231F20"/>
          <w:sz w:val="16"/>
        </w:rPr>
        <w:t>this</w:t>
      </w:r>
      <w:r>
        <w:rPr>
          <w:rFonts w:ascii="Segoe UI"/>
          <w:color w:val="231F20"/>
          <w:spacing w:val="-4"/>
          <w:sz w:val="16"/>
        </w:rPr>
        <w:t> </w:t>
      </w:r>
      <w:r>
        <w:rPr>
          <w:rFonts w:ascii="Segoe UI"/>
          <w:color w:val="231F20"/>
          <w:sz w:val="16"/>
        </w:rPr>
        <w:t>report.</w:t>
      </w:r>
      <w:r>
        <w:rPr>
          <w:rFonts w:ascii="Segoe UI"/>
          <w:color w:val="231F20"/>
          <w:spacing w:val="-4"/>
          <w:sz w:val="16"/>
        </w:rPr>
        <w:t> </w:t>
      </w:r>
      <w:r>
        <w:rPr>
          <w:rFonts w:ascii="Segoe UI"/>
          <w:color w:val="231F20"/>
          <w:spacing w:val="-1"/>
          <w:sz w:val="16"/>
        </w:rPr>
        <w:t>Surveys</w:t>
      </w:r>
      <w:r>
        <w:rPr>
          <w:rFonts w:ascii="Segoe UI"/>
          <w:color w:val="231F20"/>
          <w:spacing w:val="22"/>
          <w:w w:val="99"/>
          <w:sz w:val="16"/>
        </w:rPr>
        <w:t> </w:t>
      </w:r>
      <w:r>
        <w:rPr>
          <w:rFonts w:ascii="Segoe UI"/>
          <w:color w:val="231F20"/>
          <w:sz w:val="16"/>
        </w:rPr>
        <w:t>were</w:t>
      </w:r>
      <w:r>
        <w:rPr>
          <w:rFonts w:ascii="Segoe UI"/>
          <w:color w:val="231F20"/>
          <w:spacing w:val="-6"/>
          <w:sz w:val="16"/>
        </w:rPr>
        <w:t> </w:t>
      </w:r>
      <w:r>
        <w:rPr>
          <w:rFonts w:ascii="Segoe UI"/>
          <w:color w:val="231F20"/>
          <w:sz w:val="16"/>
        </w:rPr>
        <w:t>therefore</w:t>
      </w:r>
      <w:r>
        <w:rPr>
          <w:rFonts w:ascii="Segoe UI"/>
          <w:color w:val="231F20"/>
          <w:spacing w:val="-5"/>
          <w:sz w:val="16"/>
        </w:rPr>
        <w:t> </w:t>
      </w:r>
      <w:r>
        <w:rPr>
          <w:rFonts w:ascii="Segoe UI"/>
          <w:color w:val="231F20"/>
          <w:spacing w:val="-1"/>
          <w:sz w:val="16"/>
        </w:rPr>
        <w:t>issued</w:t>
      </w:r>
      <w:r>
        <w:rPr>
          <w:rFonts w:ascii="Segoe UI"/>
          <w:color w:val="231F20"/>
          <w:spacing w:val="-4"/>
          <w:sz w:val="16"/>
        </w:rPr>
        <w:t> </w:t>
      </w:r>
      <w:r>
        <w:rPr>
          <w:rFonts w:ascii="Segoe UI"/>
          <w:color w:val="231F20"/>
          <w:sz w:val="16"/>
        </w:rPr>
        <w:t>to</w:t>
      </w:r>
      <w:r>
        <w:rPr>
          <w:rFonts w:ascii="Segoe UI"/>
          <w:color w:val="231F20"/>
          <w:spacing w:val="-5"/>
          <w:sz w:val="16"/>
        </w:rPr>
        <w:t> </w:t>
      </w:r>
      <w:r>
        <w:rPr>
          <w:rFonts w:ascii="Segoe UI"/>
          <w:color w:val="231F20"/>
          <w:sz w:val="16"/>
        </w:rPr>
        <w:t>those</w:t>
      </w:r>
      <w:r>
        <w:rPr>
          <w:rFonts w:ascii="Segoe UI"/>
          <w:color w:val="231F20"/>
          <w:spacing w:val="-5"/>
          <w:sz w:val="16"/>
        </w:rPr>
        <w:t> </w:t>
      </w:r>
      <w:r>
        <w:rPr>
          <w:rFonts w:ascii="Segoe UI"/>
          <w:color w:val="231F20"/>
          <w:sz w:val="16"/>
        </w:rPr>
        <w:t>boarding</w:t>
      </w:r>
      <w:r>
        <w:rPr>
          <w:rFonts w:ascii="Segoe UI"/>
          <w:color w:val="231F20"/>
          <w:spacing w:val="21"/>
          <w:w w:val="99"/>
          <w:sz w:val="16"/>
        </w:rPr>
        <w:t> </w:t>
      </w:r>
      <w:r>
        <w:rPr>
          <w:rFonts w:ascii="Segoe UI"/>
          <w:color w:val="231F20"/>
          <w:sz w:val="16"/>
        </w:rPr>
        <w:t>providers</w:t>
      </w:r>
      <w:r>
        <w:rPr>
          <w:rFonts w:ascii="Segoe UI"/>
          <w:color w:val="231F20"/>
          <w:spacing w:val="-7"/>
          <w:sz w:val="16"/>
        </w:rPr>
        <w:t> </w:t>
      </w:r>
      <w:r>
        <w:rPr>
          <w:rFonts w:ascii="Segoe UI"/>
          <w:color w:val="231F20"/>
          <w:sz w:val="16"/>
        </w:rPr>
        <w:t>but</w:t>
      </w:r>
      <w:r>
        <w:rPr>
          <w:rFonts w:ascii="Segoe UI"/>
          <w:color w:val="231F20"/>
          <w:spacing w:val="-5"/>
          <w:sz w:val="16"/>
        </w:rPr>
        <w:t> </w:t>
      </w:r>
      <w:r>
        <w:rPr>
          <w:rFonts w:ascii="Segoe UI"/>
          <w:color w:val="231F20"/>
          <w:sz w:val="16"/>
        </w:rPr>
        <w:t>as</w:t>
      </w:r>
      <w:r>
        <w:rPr>
          <w:rFonts w:ascii="Segoe UI"/>
          <w:color w:val="231F20"/>
          <w:spacing w:val="-6"/>
          <w:sz w:val="16"/>
        </w:rPr>
        <w:t> </w:t>
      </w:r>
      <w:r>
        <w:rPr>
          <w:rFonts w:ascii="Segoe UI"/>
          <w:color w:val="231F20"/>
          <w:sz w:val="16"/>
        </w:rPr>
        <w:t>the</w:t>
      </w:r>
      <w:r>
        <w:rPr>
          <w:rFonts w:ascii="Segoe UI"/>
          <w:color w:val="231F20"/>
          <w:spacing w:val="-6"/>
          <w:sz w:val="16"/>
        </w:rPr>
        <w:t> </w:t>
      </w:r>
      <w:r>
        <w:rPr>
          <w:rFonts w:ascii="Segoe UI"/>
          <w:color w:val="231F20"/>
          <w:sz w:val="16"/>
        </w:rPr>
        <w:t>providers</w:t>
      </w:r>
      <w:r>
        <w:rPr>
          <w:rFonts w:ascii="Segoe UI"/>
          <w:color w:val="231F20"/>
          <w:spacing w:val="-6"/>
          <w:sz w:val="16"/>
        </w:rPr>
        <w:t> </w:t>
      </w:r>
      <w:r>
        <w:rPr>
          <w:rFonts w:ascii="Segoe UI"/>
          <w:color w:val="231F20"/>
          <w:sz w:val="16"/>
        </w:rPr>
        <w:t>were</w:t>
      </w:r>
      <w:r>
        <w:rPr>
          <w:rFonts w:ascii="Segoe UI"/>
          <w:color w:val="231F20"/>
          <w:spacing w:val="-6"/>
          <w:sz w:val="16"/>
        </w:rPr>
        <w:t> </w:t>
      </w:r>
      <w:r>
        <w:rPr>
          <w:rFonts w:ascii="Segoe UI"/>
          <w:color w:val="231F20"/>
          <w:spacing w:val="-1"/>
          <w:sz w:val="16"/>
        </w:rPr>
        <w:t>subsequently</w:t>
      </w:r>
      <w:r>
        <w:rPr>
          <w:rFonts w:ascii="Segoe UI"/>
          <w:color w:val="231F20"/>
          <w:spacing w:val="20"/>
          <w:w w:val="99"/>
          <w:sz w:val="16"/>
        </w:rPr>
        <w:t> </w:t>
      </w:r>
      <w:r>
        <w:rPr>
          <w:rFonts w:ascii="Segoe UI"/>
          <w:color w:val="231F20"/>
          <w:sz w:val="16"/>
        </w:rPr>
        <w:t>excluded,</w:t>
      </w:r>
      <w:r>
        <w:rPr>
          <w:rFonts w:ascii="Segoe UI"/>
          <w:color w:val="231F20"/>
          <w:spacing w:val="-5"/>
          <w:sz w:val="16"/>
        </w:rPr>
        <w:t> </w:t>
      </w:r>
      <w:r>
        <w:rPr>
          <w:rFonts w:ascii="Segoe UI"/>
          <w:color w:val="231F20"/>
          <w:sz w:val="16"/>
        </w:rPr>
        <w:t>the</w:t>
      </w:r>
      <w:r>
        <w:rPr>
          <w:rFonts w:ascii="Segoe UI"/>
          <w:color w:val="231F20"/>
          <w:spacing w:val="-5"/>
          <w:sz w:val="16"/>
        </w:rPr>
        <w:t> </w:t>
      </w:r>
      <w:r>
        <w:rPr>
          <w:rFonts w:ascii="Segoe UI"/>
          <w:color w:val="231F20"/>
          <w:spacing w:val="-1"/>
          <w:sz w:val="16"/>
        </w:rPr>
        <w:t>surveys</w:t>
      </w:r>
      <w:r>
        <w:rPr>
          <w:rFonts w:ascii="Segoe UI"/>
          <w:color w:val="231F20"/>
          <w:spacing w:val="-5"/>
          <w:sz w:val="16"/>
        </w:rPr>
        <w:t> </w:t>
      </w:r>
      <w:r>
        <w:rPr>
          <w:rFonts w:ascii="Segoe UI"/>
          <w:color w:val="231F20"/>
          <w:sz w:val="16"/>
        </w:rPr>
        <w:t>were</w:t>
      </w:r>
      <w:r>
        <w:rPr>
          <w:rFonts w:ascii="Segoe UI"/>
          <w:color w:val="231F20"/>
          <w:spacing w:val="-4"/>
          <w:sz w:val="16"/>
        </w:rPr>
        <w:t> </w:t>
      </w:r>
      <w:r>
        <w:rPr>
          <w:rFonts w:ascii="Segoe UI"/>
          <w:color w:val="231F20"/>
          <w:sz w:val="16"/>
        </w:rPr>
        <w:t>withdrawn.</w:t>
      </w:r>
      <w:r>
        <w:rPr>
          <w:rFonts w:ascii="Segoe UI"/>
          <w:color w:val="231F20"/>
          <w:spacing w:val="-5"/>
          <w:sz w:val="16"/>
        </w:rPr>
        <w:t> Two</w:t>
      </w:r>
      <w:r>
        <w:rPr>
          <w:rFonts w:ascii="Segoe UI"/>
          <w:color w:val="231F20"/>
          <w:spacing w:val="24"/>
          <w:w w:val="99"/>
          <w:sz w:val="16"/>
        </w:rPr>
        <w:t> </w:t>
      </w:r>
      <w:r>
        <w:rPr>
          <w:rFonts w:ascii="Segoe UI"/>
          <w:color w:val="231F20"/>
          <w:sz w:val="16"/>
        </w:rPr>
        <w:t>boarding</w:t>
      </w:r>
      <w:r>
        <w:rPr>
          <w:rFonts w:ascii="Segoe UI"/>
          <w:color w:val="231F20"/>
          <w:spacing w:val="-6"/>
          <w:sz w:val="16"/>
        </w:rPr>
        <w:t> </w:t>
      </w:r>
      <w:r>
        <w:rPr>
          <w:rFonts w:ascii="Segoe UI"/>
          <w:color w:val="231F20"/>
          <w:sz w:val="16"/>
        </w:rPr>
        <w:t>providers</w:t>
      </w:r>
      <w:r>
        <w:rPr>
          <w:rFonts w:ascii="Segoe UI"/>
          <w:color w:val="231F20"/>
          <w:spacing w:val="-5"/>
          <w:sz w:val="16"/>
        </w:rPr>
        <w:t> </w:t>
      </w:r>
      <w:r>
        <w:rPr>
          <w:rFonts w:ascii="Segoe UI"/>
          <w:color w:val="231F20"/>
          <w:spacing w:val="-1"/>
          <w:sz w:val="16"/>
        </w:rPr>
        <w:t>share</w:t>
      </w:r>
      <w:r>
        <w:rPr>
          <w:rFonts w:ascii="Segoe UI"/>
          <w:color w:val="231F20"/>
          <w:spacing w:val="-5"/>
          <w:sz w:val="16"/>
        </w:rPr>
        <w:t> </w:t>
      </w:r>
      <w:r>
        <w:rPr>
          <w:rFonts w:ascii="Segoe UI"/>
          <w:color w:val="231F20"/>
          <w:sz w:val="16"/>
        </w:rPr>
        <w:t>a</w:t>
      </w:r>
      <w:r>
        <w:rPr>
          <w:rFonts w:ascii="Segoe UI"/>
          <w:color w:val="231F20"/>
          <w:spacing w:val="-4"/>
          <w:sz w:val="16"/>
        </w:rPr>
        <w:t> </w:t>
      </w:r>
      <w:r>
        <w:rPr>
          <w:rFonts w:ascii="Segoe UI"/>
          <w:color w:val="231F20"/>
          <w:sz w:val="16"/>
        </w:rPr>
        <w:t>boarding</w:t>
      </w:r>
      <w:r>
        <w:rPr>
          <w:rFonts w:ascii="Segoe UI"/>
          <w:color w:val="231F20"/>
          <w:spacing w:val="-6"/>
          <w:sz w:val="16"/>
        </w:rPr>
        <w:t> </w:t>
      </w:r>
      <w:r>
        <w:rPr>
          <w:rFonts w:ascii="Segoe UI"/>
          <w:color w:val="231F20"/>
          <w:sz w:val="16"/>
        </w:rPr>
        <w:t>facility</w:t>
      </w:r>
      <w:r>
        <w:rPr>
          <w:rFonts w:ascii="Segoe UI"/>
          <w:color w:val="231F20"/>
          <w:spacing w:val="-5"/>
          <w:sz w:val="16"/>
        </w:rPr>
        <w:t> </w:t>
      </w:r>
      <w:r>
        <w:rPr>
          <w:rFonts w:ascii="Segoe UI"/>
          <w:color w:val="231F20"/>
          <w:sz w:val="16"/>
        </w:rPr>
        <w:t>and</w:t>
      </w:r>
      <w:r>
        <w:rPr>
          <w:rFonts w:ascii="Segoe UI"/>
          <w:color w:val="231F20"/>
          <w:spacing w:val="21"/>
          <w:w w:val="99"/>
          <w:sz w:val="16"/>
        </w:rPr>
        <w:t> </w:t>
      </w:r>
      <w:r>
        <w:rPr>
          <w:rFonts w:ascii="Segoe UI"/>
          <w:color w:val="231F20"/>
          <w:sz w:val="16"/>
        </w:rPr>
        <w:t>they</w:t>
      </w:r>
      <w:r>
        <w:rPr>
          <w:rFonts w:ascii="Segoe UI"/>
          <w:color w:val="231F20"/>
          <w:spacing w:val="-5"/>
          <w:sz w:val="16"/>
        </w:rPr>
        <w:t> </w:t>
      </w:r>
      <w:r>
        <w:rPr>
          <w:rFonts w:ascii="Segoe UI"/>
          <w:color w:val="231F20"/>
          <w:sz w:val="16"/>
        </w:rPr>
        <w:t>completed</w:t>
      </w:r>
      <w:r>
        <w:rPr>
          <w:rFonts w:ascii="Segoe UI"/>
          <w:color w:val="231F20"/>
          <w:spacing w:val="-5"/>
          <w:sz w:val="16"/>
        </w:rPr>
        <w:t> </w:t>
      </w:r>
      <w:r>
        <w:rPr>
          <w:rFonts w:ascii="Segoe UI"/>
          <w:color w:val="231F20"/>
          <w:sz w:val="16"/>
        </w:rPr>
        <w:t>a</w:t>
      </w:r>
      <w:r>
        <w:rPr>
          <w:rFonts w:ascii="Segoe UI"/>
          <w:color w:val="231F20"/>
          <w:spacing w:val="-4"/>
          <w:sz w:val="16"/>
        </w:rPr>
        <w:t> </w:t>
      </w:r>
      <w:r>
        <w:rPr>
          <w:rFonts w:ascii="Segoe UI"/>
          <w:color w:val="231F20"/>
          <w:spacing w:val="-1"/>
          <w:sz w:val="16"/>
        </w:rPr>
        <w:t>joint</w:t>
      </w:r>
      <w:r>
        <w:rPr>
          <w:rFonts w:ascii="Segoe UI"/>
          <w:color w:val="231F20"/>
          <w:spacing w:val="-4"/>
          <w:sz w:val="16"/>
        </w:rPr>
        <w:t> </w:t>
      </w:r>
      <w:r>
        <w:rPr>
          <w:rFonts w:ascii="Segoe UI"/>
          <w:color w:val="231F20"/>
          <w:spacing w:val="-1"/>
          <w:sz w:val="16"/>
        </w:rPr>
        <w:t>survey</w:t>
      </w:r>
      <w:r>
        <w:rPr>
          <w:rFonts w:ascii="Segoe UI"/>
          <w:sz w:val="16"/>
        </w:rPr>
      </w:r>
    </w:p>
    <w:p>
      <w:pPr>
        <w:numPr>
          <w:ilvl w:val="0"/>
          <w:numId w:val="17"/>
        </w:numPr>
        <w:tabs>
          <w:tab w:pos="685" w:val="left" w:leader="none"/>
        </w:tabs>
        <w:spacing w:line="206" w:lineRule="exact" w:before="100"/>
        <w:ind w:left="684" w:right="0" w:hanging="567"/>
        <w:jc w:val="left"/>
        <w:rPr>
          <w:rFonts w:ascii="Segoe UI" w:hAnsi="Segoe UI" w:cs="Segoe UI" w:eastAsia="Segoe UI"/>
          <w:sz w:val="16"/>
          <w:szCs w:val="16"/>
        </w:rPr>
      </w:pPr>
      <w:r>
        <w:rPr>
          <w:rFonts w:ascii="Segoe UI"/>
          <w:color w:val="231F20"/>
          <w:sz w:val="16"/>
        </w:rPr>
        <w:t>The</w:t>
      </w:r>
      <w:r>
        <w:rPr>
          <w:rFonts w:ascii="Segoe UI"/>
          <w:color w:val="231F20"/>
          <w:spacing w:val="-3"/>
          <w:sz w:val="16"/>
        </w:rPr>
        <w:t> </w:t>
      </w:r>
      <w:r>
        <w:rPr>
          <w:rFonts w:ascii="Segoe UI"/>
          <w:color w:val="231F20"/>
          <w:spacing w:val="-1"/>
          <w:sz w:val="16"/>
        </w:rPr>
        <w:t>survey</w:t>
      </w:r>
      <w:r>
        <w:rPr>
          <w:rFonts w:ascii="Segoe UI"/>
          <w:color w:val="231F20"/>
          <w:spacing w:val="-3"/>
          <w:sz w:val="16"/>
        </w:rPr>
        <w:t> </w:t>
      </w:r>
      <w:r>
        <w:rPr>
          <w:rFonts w:ascii="Segoe UI"/>
          <w:color w:val="231F20"/>
          <w:sz w:val="16"/>
        </w:rPr>
        <w:t>was</w:t>
      </w:r>
      <w:r>
        <w:rPr>
          <w:rFonts w:ascii="Segoe UI"/>
          <w:color w:val="231F20"/>
          <w:spacing w:val="-4"/>
          <w:sz w:val="16"/>
        </w:rPr>
        <w:t> </w:t>
      </w:r>
      <w:r>
        <w:rPr>
          <w:rFonts w:ascii="Segoe UI"/>
          <w:color w:val="231F20"/>
          <w:sz w:val="16"/>
        </w:rPr>
        <w:t>a</w:t>
      </w:r>
      <w:r>
        <w:rPr>
          <w:rFonts w:ascii="Segoe UI"/>
          <w:color w:val="231F20"/>
          <w:spacing w:val="-3"/>
          <w:sz w:val="16"/>
        </w:rPr>
        <w:t> </w:t>
      </w:r>
      <w:r>
        <w:rPr>
          <w:rFonts w:ascii="Segoe UI"/>
          <w:color w:val="231F20"/>
          <w:spacing w:val="-1"/>
          <w:sz w:val="16"/>
        </w:rPr>
        <w:t>self-assessment</w:t>
      </w:r>
      <w:r>
        <w:rPr>
          <w:rFonts w:ascii="Segoe UI"/>
          <w:color w:val="231F20"/>
          <w:spacing w:val="-3"/>
          <w:sz w:val="16"/>
        </w:rPr>
        <w:t> </w:t>
      </w:r>
      <w:r>
        <w:rPr>
          <w:rFonts w:ascii="Segoe UI"/>
          <w:color w:val="231F20"/>
          <w:sz w:val="16"/>
        </w:rPr>
        <w:t>and</w:t>
      </w:r>
      <w:r>
        <w:rPr>
          <w:rFonts w:ascii="Segoe UI"/>
          <w:color w:val="231F20"/>
          <w:spacing w:val="-4"/>
          <w:sz w:val="16"/>
        </w:rPr>
        <w:t> </w:t>
      </w:r>
      <w:r>
        <w:rPr>
          <w:rFonts w:ascii="Segoe UI"/>
          <w:color w:val="231F20"/>
          <w:sz w:val="16"/>
        </w:rPr>
        <w:t>was</w:t>
      </w:r>
      <w:r>
        <w:rPr>
          <w:rFonts w:ascii="Segoe UI"/>
          <w:color w:val="231F20"/>
          <w:spacing w:val="-4"/>
          <w:sz w:val="16"/>
        </w:rPr>
        <w:t> </w:t>
      </w:r>
      <w:r>
        <w:rPr>
          <w:rFonts w:ascii="Segoe UI"/>
          <w:color w:val="231F20"/>
          <w:sz w:val="16"/>
        </w:rPr>
        <w:t>not</w:t>
      </w:r>
      <w:r>
        <w:rPr>
          <w:rFonts w:ascii="Segoe UI"/>
          <w:sz w:val="16"/>
        </w:rPr>
      </w:r>
    </w:p>
    <w:p>
      <w:pPr>
        <w:spacing w:line="206" w:lineRule="exact" w:before="0"/>
        <w:ind w:left="684" w:right="0" w:firstLine="0"/>
        <w:jc w:val="left"/>
        <w:rPr>
          <w:rFonts w:ascii="Segoe UI" w:hAnsi="Segoe UI" w:cs="Segoe UI" w:eastAsia="Segoe UI"/>
          <w:sz w:val="16"/>
          <w:szCs w:val="16"/>
        </w:rPr>
      </w:pPr>
      <w:r>
        <w:rPr>
          <w:rFonts w:ascii="Segoe UI"/>
          <w:color w:val="231F20"/>
          <w:sz w:val="16"/>
        </w:rPr>
        <w:t>independently assessed or verified</w:t>
      </w:r>
      <w:r>
        <w:rPr>
          <w:rFonts w:ascii="Segoe UI"/>
          <w:sz w:val="16"/>
        </w:rPr>
      </w:r>
    </w:p>
    <w:p>
      <w:pPr>
        <w:numPr>
          <w:ilvl w:val="0"/>
          <w:numId w:val="17"/>
        </w:numPr>
        <w:tabs>
          <w:tab w:pos="685" w:val="left" w:leader="none"/>
        </w:tabs>
        <w:spacing w:line="200" w:lineRule="exact" w:before="113"/>
        <w:ind w:left="684" w:right="365" w:hanging="567"/>
        <w:jc w:val="left"/>
        <w:rPr>
          <w:rFonts w:ascii="Segoe UI" w:hAnsi="Segoe UI" w:cs="Segoe UI" w:eastAsia="Segoe UI"/>
          <w:sz w:val="16"/>
          <w:szCs w:val="16"/>
        </w:rPr>
      </w:pPr>
      <w:r>
        <w:rPr>
          <w:rFonts w:ascii="Segoe UI"/>
          <w:color w:val="231F20"/>
          <w:spacing w:val="-1"/>
          <w:sz w:val="16"/>
        </w:rPr>
        <w:t>Boarding</w:t>
      </w:r>
      <w:r>
        <w:rPr>
          <w:rFonts w:ascii="Segoe UI"/>
          <w:color w:val="231F20"/>
          <w:spacing w:val="-6"/>
          <w:sz w:val="16"/>
        </w:rPr>
        <w:t> </w:t>
      </w:r>
      <w:r>
        <w:rPr>
          <w:rFonts w:ascii="Segoe UI"/>
          <w:color w:val="231F20"/>
          <w:sz w:val="16"/>
        </w:rPr>
        <w:t>Australia,</w:t>
      </w:r>
      <w:r>
        <w:rPr>
          <w:rFonts w:ascii="Segoe UI"/>
          <w:color w:val="231F20"/>
          <w:spacing w:val="-6"/>
          <w:sz w:val="16"/>
        </w:rPr>
        <w:t> </w:t>
      </w:r>
      <w:r>
        <w:rPr>
          <w:rFonts w:ascii="Segoe UI"/>
          <w:i/>
          <w:color w:val="231F20"/>
          <w:sz w:val="16"/>
        </w:rPr>
        <w:t>National</w:t>
      </w:r>
      <w:r>
        <w:rPr>
          <w:rFonts w:ascii="Segoe UI"/>
          <w:i/>
          <w:color w:val="231F20"/>
          <w:spacing w:val="-7"/>
          <w:sz w:val="16"/>
        </w:rPr>
        <w:t> </w:t>
      </w:r>
      <w:r>
        <w:rPr>
          <w:rFonts w:ascii="Segoe UI"/>
          <w:i/>
          <w:color w:val="231F20"/>
          <w:spacing w:val="-1"/>
          <w:sz w:val="16"/>
        </w:rPr>
        <w:t>Indigenous</w:t>
      </w:r>
      <w:r>
        <w:rPr>
          <w:rFonts w:ascii="Segoe UI"/>
          <w:i/>
          <w:color w:val="231F20"/>
          <w:spacing w:val="-6"/>
          <w:sz w:val="16"/>
        </w:rPr>
        <w:t> </w:t>
      </w:r>
      <w:r>
        <w:rPr>
          <w:rFonts w:ascii="Segoe UI"/>
          <w:i/>
          <w:color w:val="231F20"/>
          <w:spacing w:val="-1"/>
          <w:sz w:val="16"/>
        </w:rPr>
        <w:t>Boarding</w:t>
      </w:r>
      <w:r>
        <w:rPr>
          <w:rFonts w:ascii="Segoe UI"/>
          <w:i/>
          <w:color w:val="231F20"/>
          <w:spacing w:val="29"/>
          <w:w w:val="99"/>
          <w:sz w:val="16"/>
        </w:rPr>
        <w:t> </w:t>
      </w:r>
      <w:r>
        <w:rPr>
          <w:rFonts w:ascii="Segoe UI"/>
          <w:i/>
          <w:color w:val="231F20"/>
          <w:spacing w:val="-1"/>
          <w:sz w:val="16"/>
        </w:rPr>
        <w:t>Strategy:</w:t>
      </w:r>
      <w:r>
        <w:rPr>
          <w:rFonts w:ascii="Segoe UI"/>
          <w:i/>
          <w:color w:val="231F20"/>
          <w:spacing w:val="-6"/>
          <w:sz w:val="16"/>
        </w:rPr>
        <w:t> </w:t>
      </w:r>
      <w:r>
        <w:rPr>
          <w:rFonts w:ascii="Segoe UI"/>
          <w:i/>
          <w:color w:val="231F20"/>
          <w:spacing w:val="-1"/>
          <w:sz w:val="16"/>
        </w:rPr>
        <w:t>Submission</w:t>
      </w:r>
      <w:r>
        <w:rPr>
          <w:rFonts w:ascii="Segoe UI"/>
          <w:i/>
          <w:color w:val="231F20"/>
          <w:spacing w:val="-5"/>
          <w:sz w:val="16"/>
        </w:rPr>
        <w:t> </w:t>
      </w:r>
      <w:r>
        <w:rPr>
          <w:rFonts w:ascii="Segoe UI"/>
          <w:i/>
          <w:color w:val="231F20"/>
          <w:spacing w:val="-1"/>
          <w:sz w:val="16"/>
        </w:rPr>
        <w:t>to</w:t>
      </w:r>
      <w:r>
        <w:rPr>
          <w:rFonts w:ascii="Segoe UI"/>
          <w:i/>
          <w:color w:val="231F20"/>
          <w:spacing w:val="-5"/>
          <w:sz w:val="16"/>
        </w:rPr>
        <w:t> </w:t>
      </w:r>
      <w:r>
        <w:rPr>
          <w:rFonts w:ascii="Segoe UI"/>
          <w:i/>
          <w:color w:val="231F20"/>
          <w:sz w:val="16"/>
        </w:rPr>
        <w:t>inquiry</w:t>
      </w:r>
      <w:r>
        <w:rPr>
          <w:rFonts w:ascii="Segoe UI"/>
          <w:i/>
          <w:color w:val="231F20"/>
          <w:spacing w:val="-4"/>
          <w:sz w:val="16"/>
        </w:rPr>
        <w:t> </w:t>
      </w:r>
      <w:r>
        <w:rPr>
          <w:rFonts w:ascii="Segoe UI"/>
          <w:i/>
          <w:color w:val="231F20"/>
          <w:sz w:val="16"/>
        </w:rPr>
        <w:t>into</w:t>
      </w:r>
      <w:r>
        <w:rPr>
          <w:rFonts w:ascii="Segoe UI"/>
          <w:i/>
          <w:color w:val="231F20"/>
          <w:spacing w:val="-6"/>
          <w:sz w:val="16"/>
        </w:rPr>
        <w:t> </w:t>
      </w:r>
      <w:r>
        <w:rPr>
          <w:rFonts w:ascii="Segoe UI"/>
          <w:i/>
          <w:color w:val="231F20"/>
          <w:sz w:val="16"/>
        </w:rPr>
        <w:t>educational</w:t>
      </w:r>
      <w:r>
        <w:rPr>
          <w:rFonts w:ascii="Segoe UI"/>
          <w:i/>
          <w:color w:val="231F20"/>
          <w:spacing w:val="23"/>
          <w:w w:val="99"/>
          <w:sz w:val="16"/>
        </w:rPr>
        <w:t> </w:t>
      </w:r>
      <w:r>
        <w:rPr>
          <w:rFonts w:ascii="Segoe UI"/>
          <w:i/>
          <w:color w:val="231F20"/>
          <w:spacing w:val="-1"/>
          <w:sz w:val="16"/>
        </w:rPr>
        <w:t>opportunities</w:t>
      </w:r>
      <w:r>
        <w:rPr>
          <w:rFonts w:ascii="Segoe UI"/>
          <w:i/>
          <w:color w:val="231F20"/>
          <w:spacing w:val="-3"/>
          <w:sz w:val="16"/>
        </w:rPr>
        <w:t> </w:t>
      </w:r>
      <w:r>
        <w:rPr>
          <w:rFonts w:ascii="Segoe UI"/>
          <w:i/>
          <w:color w:val="231F20"/>
          <w:sz w:val="16"/>
        </w:rPr>
        <w:t>for</w:t>
      </w:r>
      <w:r>
        <w:rPr>
          <w:rFonts w:ascii="Segoe UI"/>
          <w:i/>
          <w:color w:val="231F20"/>
          <w:spacing w:val="-3"/>
          <w:sz w:val="16"/>
        </w:rPr>
        <w:t> </w:t>
      </w:r>
      <w:r>
        <w:rPr>
          <w:rFonts w:ascii="Segoe UI"/>
          <w:i/>
          <w:color w:val="231F20"/>
          <w:sz w:val="16"/>
        </w:rPr>
        <w:t>Aboriginal</w:t>
      </w:r>
      <w:r>
        <w:rPr>
          <w:rFonts w:ascii="Segoe UI"/>
          <w:i/>
          <w:color w:val="231F20"/>
          <w:spacing w:val="-4"/>
          <w:sz w:val="16"/>
        </w:rPr>
        <w:t> </w:t>
      </w:r>
      <w:r>
        <w:rPr>
          <w:rFonts w:ascii="Segoe UI"/>
          <w:i/>
          <w:color w:val="231F20"/>
          <w:sz w:val="16"/>
        </w:rPr>
        <w:t>and</w:t>
      </w:r>
      <w:r>
        <w:rPr>
          <w:rFonts w:ascii="Segoe UI"/>
          <w:i/>
          <w:color w:val="231F20"/>
          <w:spacing w:val="-2"/>
          <w:sz w:val="16"/>
        </w:rPr>
        <w:t> </w:t>
      </w:r>
      <w:r>
        <w:rPr>
          <w:rFonts w:ascii="Segoe UI"/>
          <w:i/>
          <w:color w:val="231F20"/>
          <w:spacing w:val="-3"/>
          <w:sz w:val="16"/>
        </w:rPr>
        <w:t>Torres</w:t>
      </w:r>
      <w:r>
        <w:rPr>
          <w:rFonts w:ascii="Segoe UI"/>
          <w:i/>
          <w:color w:val="231F20"/>
          <w:spacing w:val="-4"/>
          <w:sz w:val="16"/>
        </w:rPr>
        <w:t> </w:t>
      </w:r>
      <w:r>
        <w:rPr>
          <w:rFonts w:ascii="Segoe UI"/>
          <w:i/>
          <w:color w:val="231F20"/>
          <w:spacing w:val="-1"/>
          <w:sz w:val="16"/>
        </w:rPr>
        <w:t>Strait</w:t>
      </w:r>
      <w:r>
        <w:rPr>
          <w:rFonts w:ascii="Segoe UI"/>
          <w:i/>
          <w:color w:val="231F20"/>
          <w:spacing w:val="30"/>
          <w:sz w:val="16"/>
        </w:rPr>
        <w:t> </w:t>
      </w:r>
      <w:r>
        <w:rPr>
          <w:rFonts w:ascii="Segoe UI"/>
          <w:i/>
          <w:color w:val="231F20"/>
          <w:spacing w:val="-1"/>
          <w:sz w:val="16"/>
        </w:rPr>
        <w:t>Islander</w:t>
      </w:r>
      <w:r>
        <w:rPr>
          <w:rFonts w:ascii="Segoe UI"/>
          <w:i/>
          <w:color w:val="231F20"/>
          <w:spacing w:val="-2"/>
          <w:sz w:val="16"/>
        </w:rPr>
        <w:t> </w:t>
      </w:r>
      <w:r>
        <w:rPr>
          <w:rFonts w:ascii="Segoe UI"/>
          <w:i/>
          <w:color w:val="231F20"/>
          <w:spacing w:val="-1"/>
          <w:sz w:val="16"/>
        </w:rPr>
        <w:t>students</w:t>
      </w:r>
      <w:r>
        <w:rPr>
          <w:rFonts w:ascii="Segoe UI"/>
          <w:color w:val="231F20"/>
          <w:spacing w:val="-1"/>
          <w:sz w:val="16"/>
        </w:rPr>
        <w:t>,</w:t>
      </w:r>
      <w:r>
        <w:rPr>
          <w:rFonts w:ascii="Segoe UI"/>
          <w:color w:val="231F20"/>
          <w:spacing w:val="-2"/>
          <w:sz w:val="16"/>
        </w:rPr>
        <w:t> </w:t>
      </w:r>
      <w:r>
        <w:rPr>
          <w:rFonts w:ascii="Segoe UI"/>
          <w:color w:val="231F20"/>
          <w:spacing w:val="-1"/>
          <w:sz w:val="16"/>
        </w:rPr>
        <w:t>submission</w:t>
      </w:r>
      <w:r>
        <w:rPr>
          <w:rFonts w:ascii="Segoe UI"/>
          <w:color w:val="231F20"/>
          <w:spacing w:val="-2"/>
          <w:sz w:val="16"/>
        </w:rPr>
        <w:t> </w:t>
      </w:r>
      <w:r>
        <w:rPr>
          <w:rFonts w:ascii="Segoe UI"/>
          <w:color w:val="231F20"/>
          <w:spacing w:val="-1"/>
          <w:sz w:val="16"/>
        </w:rPr>
        <w:t>21,</w:t>
      </w:r>
      <w:r>
        <w:rPr>
          <w:rFonts w:ascii="Segoe UI"/>
          <w:color w:val="231F20"/>
          <w:spacing w:val="-2"/>
          <w:sz w:val="16"/>
        </w:rPr>
        <w:t> </w:t>
      </w:r>
      <w:r>
        <w:rPr>
          <w:rFonts w:ascii="Segoe UI"/>
          <w:color w:val="231F20"/>
          <w:sz w:val="16"/>
        </w:rPr>
        <w:t>2017</w:t>
      </w:r>
      <w:r>
        <w:rPr>
          <w:rFonts w:ascii="Segoe UI"/>
          <w:sz w:val="16"/>
        </w:rPr>
      </w:r>
    </w:p>
    <w:p>
      <w:pPr>
        <w:numPr>
          <w:ilvl w:val="0"/>
          <w:numId w:val="17"/>
        </w:numPr>
        <w:tabs>
          <w:tab w:pos="685" w:val="left" w:leader="none"/>
        </w:tabs>
        <w:spacing w:line="200" w:lineRule="exact" w:before="113"/>
        <w:ind w:left="684" w:right="356" w:hanging="567"/>
        <w:jc w:val="left"/>
        <w:rPr>
          <w:rFonts w:ascii="Segoe UI" w:hAnsi="Segoe UI" w:cs="Segoe UI" w:eastAsia="Segoe UI"/>
          <w:sz w:val="16"/>
          <w:szCs w:val="16"/>
        </w:rPr>
      </w:pPr>
      <w:r>
        <w:rPr>
          <w:rFonts w:ascii="Segoe UI" w:hAnsi="Segoe UI" w:cs="Segoe UI" w:eastAsia="Segoe UI"/>
          <w:i/>
          <w:color w:val="231F20"/>
          <w:sz w:val="16"/>
          <w:szCs w:val="16"/>
        </w:rPr>
        <w:t>The</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power</w:t>
      </w:r>
      <w:r>
        <w:rPr>
          <w:rFonts w:ascii="Segoe UI" w:hAnsi="Segoe UI" w:cs="Segoe UI" w:eastAsia="Segoe UI"/>
          <w:i/>
          <w:color w:val="231F20"/>
          <w:spacing w:val="-4"/>
          <w:sz w:val="16"/>
          <w:szCs w:val="16"/>
        </w:rPr>
        <w:t> </w:t>
      </w:r>
      <w:r>
        <w:rPr>
          <w:rFonts w:ascii="Segoe UI" w:hAnsi="Segoe UI" w:cs="Segoe UI" w:eastAsia="Segoe UI"/>
          <w:i/>
          <w:color w:val="231F20"/>
          <w:spacing w:val="-2"/>
          <w:sz w:val="16"/>
          <w:szCs w:val="16"/>
        </w:rPr>
        <w:t>of</w:t>
      </w:r>
      <w:r>
        <w:rPr>
          <w:rFonts w:ascii="Segoe UI" w:hAnsi="Segoe UI" w:cs="Segoe UI" w:eastAsia="Segoe UI"/>
          <w:i/>
          <w:color w:val="231F20"/>
          <w:spacing w:val="-3"/>
          <w:sz w:val="16"/>
          <w:szCs w:val="16"/>
        </w:rPr>
        <w:t> </w:t>
      </w:r>
      <w:r>
        <w:rPr>
          <w:rFonts w:ascii="Segoe UI" w:hAnsi="Segoe UI" w:cs="Segoe UI" w:eastAsia="Segoe UI"/>
          <w:i/>
          <w:color w:val="231F20"/>
          <w:sz w:val="16"/>
          <w:szCs w:val="16"/>
        </w:rPr>
        <w:t>education:</w:t>
      </w:r>
      <w:r>
        <w:rPr>
          <w:rFonts w:ascii="Segoe UI" w:hAnsi="Segoe UI" w:cs="Segoe UI" w:eastAsia="Segoe UI"/>
          <w:i/>
          <w:color w:val="231F20"/>
          <w:spacing w:val="-4"/>
          <w:sz w:val="16"/>
          <w:szCs w:val="16"/>
        </w:rPr>
        <w:t> </w:t>
      </w:r>
      <w:r>
        <w:rPr>
          <w:rFonts w:ascii="Segoe UI" w:hAnsi="Segoe UI" w:cs="Segoe UI" w:eastAsia="Segoe UI"/>
          <w:i/>
          <w:color w:val="231F20"/>
          <w:spacing w:val="-1"/>
          <w:sz w:val="16"/>
          <w:szCs w:val="16"/>
        </w:rPr>
        <w:t>From</w:t>
      </w:r>
      <w:r>
        <w:rPr>
          <w:rFonts w:ascii="Segoe UI" w:hAnsi="Segoe UI" w:cs="Segoe UI" w:eastAsia="Segoe UI"/>
          <w:i/>
          <w:color w:val="231F20"/>
          <w:spacing w:val="-3"/>
          <w:sz w:val="16"/>
          <w:szCs w:val="16"/>
        </w:rPr>
        <w:t> </w:t>
      </w:r>
      <w:r>
        <w:rPr>
          <w:rFonts w:ascii="Segoe UI" w:hAnsi="Segoe UI" w:cs="Segoe UI" w:eastAsia="Segoe UI"/>
          <w:i/>
          <w:color w:val="231F20"/>
          <w:spacing w:val="-1"/>
          <w:sz w:val="16"/>
          <w:szCs w:val="16"/>
        </w:rPr>
        <w:t>surviving</w:t>
      </w:r>
      <w:r>
        <w:rPr>
          <w:rFonts w:ascii="Segoe UI" w:hAnsi="Segoe UI" w:cs="Segoe UI" w:eastAsia="Segoe UI"/>
          <w:i/>
          <w:color w:val="231F20"/>
          <w:spacing w:val="-2"/>
          <w:sz w:val="16"/>
          <w:szCs w:val="16"/>
        </w:rPr>
        <w:t> </w:t>
      </w:r>
      <w:r>
        <w:rPr>
          <w:rFonts w:ascii="Segoe UI" w:hAnsi="Segoe UI" w:cs="Segoe UI" w:eastAsia="Segoe UI"/>
          <w:i/>
          <w:color w:val="231F20"/>
          <w:sz w:val="16"/>
          <w:szCs w:val="16"/>
        </w:rPr>
        <w:t>to</w:t>
      </w:r>
      <w:r>
        <w:rPr>
          <w:rFonts w:ascii="Segoe UI" w:hAnsi="Segoe UI" w:cs="Segoe UI" w:eastAsia="Segoe UI"/>
          <w:i/>
          <w:color w:val="231F20"/>
          <w:spacing w:val="27"/>
          <w:sz w:val="16"/>
          <w:szCs w:val="16"/>
        </w:rPr>
        <w:t> </w:t>
      </w:r>
      <w:r>
        <w:rPr>
          <w:rFonts w:ascii="Segoe UI" w:hAnsi="Segoe UI" w:cs="Segoe UI" w:eastAsia="Segoe UI"/>
          <w:i/>
          <w:color w:val="231F20"/>
          <w:spacing w:val="-1"/>
          <w:sz w:val="16"/>
          <w:szCs w:val="16"/>
        </w:rPr>
        <w:t>thriving—Educational</w:t>
      </w:r>
      <w:r>
        <w:rPr>
          <w:rFonts w:ascii="Segoe UI" w:hAnsi="Segoe UI" w:cs="Segoe UI" w:eastAsia="Segoe UI"/>
          <w:i/>
          <w:color w:val="231F20"/>
          <w:spacing w:val="-9"/>
          <w:sz w:val="16"/>
          <w:szCs w:val="16"/>
        </w:rPr>
        <w:t> </w:t>
      </w:r>
      <w:r>
        <w:rPr>
          <w:rFonts w:ascii="Segoe UI" w:hAnsi="Segoe UI" w:cs="Segoe UI" w:eastAsia="Segoe UI"/>
          <w:i/>
          <w:color w:val="231F20"/>
          <w:spacing w:val="-1"/>
          <w:sz w:val="16"/>
          <w:szCs w:val="16"/>
        </w:rPr>
        <w:t>opportunities</w:t>
      </w:r>
      <w:r>
        <w:rPr>
          <w:rFonts w:ascii="Segoe UI" w:hAnsi="Segoe UI" w:cs="Segoe UI" w:eastAsia="Segoe UI"/>
          <w:i/>
          <w:color w:val="231F20"/>
          <w:spacing w:val="-7"/>
          <w:sz w:val="16"/>
          <w:szCs w:val="16"/>
        </w:rPr>
        <w:t> </w:t>
      </w:r>
      <w:r>
        <w:rPr>
          <w:rFonts w:ascii="Segoe UI" w:hAnsi="Segoe UI" w:cs="Segoe UI" w:eastAsia="Segoe UI"/>
          <w:i/>
          <w:color w:val="231F20"/>
          <w:sz w:val="16"/>
          <w:szCs w:val="16"/>
        </w:rPr>
        <w:t>for</w:t>
      </w:r>
      <w:r>
        <w:rPr>
          <w:rFonts w:ascii="Segoe UI" w:hAnsi="Segoe UI" w:cs="Segoe UI" w:eastAsia="Segoe UI"/>
          <w:i/>
          <w:color w:val="231F20"/>
          <w:spacing w:val="-8"/>
          <w:sz w:val="16"/>
          <w:szCs w:val="16"/>
        </w:rPr>
        <w:t> </w:t>
      </w:r>
      <w:r>
        <w:rPr>
          <w:rFonts w:ascii="Segoe UI" w:hAnsi="Segoe UI" w:cs="Segoe UI" w:eastAsia="Segoe UI"/>
          <w:i/>
          <w:color w:val="231F20"/>
          <w:sz w:val="16"/>
          <w:szCs w:val="16"/>
        </w:rPr>
        <w:t>Aboriginal</w:t>
      </w:r>
      <w:r>
        <w:rPr>
          <w:rFonts w:ascii="Segoe UI" w:hAnsi="Segoe UI" w:cs="Segoe UI" w:eastAsia="Segoe UI"/>
          <w:i/>
          <w:color w:val="231F20"/>
          <w:spacing w:val="47"/>
          <w:w w:val="99"/>
          <w:sz w:val="16"/>
          <w:szCs w:val="16"/>
        </w:rPr>
        <w:t> </w:t>
      </w:r>
      <w:r>
        <w:rPr>
          <w:rFonts w:ascii="Segoe UI" w:hAnsi="Segoe UI" w:cs="Segoe UI" w:eastAsia="Segoe UI"/>
          <w:i/>
          <w:color w:val="231F20"/>
          <w:sz w:val="16"/>
          <w:szCs w:val="16"/>
        </w:rPr>
        <w:t>and</w:t>
      </w:r>
      <w:r>
        <w:rPr>
          <w:rFonts w:ascii="Segoe UI" w:hAnsi="Segoe UI" w:cs="Segoe UI" w:eastAsia="Segoe UI"/>
          <w:i/>
          <w:color w:val="231F20"/>
          <w:spacing w:val="-3"/>
          <w:sz w:val="16"/>
          <w:szCs w:val="16"/>
        </w:rPr>
        <w:t> Torres </w:t>
      </w:r>
      <w:r>
        <w:rPr>
          <w:rFonts w:ascii="Segoe UI" w:hAnsi="Segoe UI" w:cs="Segoe UI" w:eastAsia="Segoe UI"/>
          <w:i/>
          <w:color w:val="231F20"/>
          <w:spacing w:val="-1"/>
          <w:sz w:val="16"/>
          <w:szCs w:val="16"/>
        </w:rPr>
        <w:t>Strait</w:t>
      </w:r>
      <w:r>
        <w:rPr>
          <w:rFonts w:ascii="Segoe UI" w:hAnsi="Segoe UI" w:cs="Segoe UI" w:eastAsia="Segoe UI"/>
          <w:i/>
          <w:color w:val="231F20"/>
          <w:spacing w:val="-2"/>
          <w:sz w:val="16"/>
          <w:szCs w:val="16"/>
        </w:rPr>
        <w:t> </w:t>
      </w:r>
      <w:r>
        <w:rPr>
          <w:rFonts w:ascii="Segoe UI" w:hAnsi="Segoe UI" w:cs="Segoe UI" w:eastAsia="Segoe UI"/>
          <w:i/>
          <w:color w:val="231F20"/>
          <w:spacing w:val="-1"/>
          <w:sz w:val="16"/>
          <w:szCs w:val="16"/>
        </w:rPr>
        <w:t>Islander</w:t>
      </w:r>
      <w:r>
        <w:rPr>
          <w:rFonts w:ascii="Segoe UI" w:hAnsi="Segoe UI" w:cs="Segoe UI" w:eastAsia="Segoe UI"/>
          <w:i/>
          <w:color w:val="231F20"/>
          <w:spacing w:val="-2"/>
          <w:sz w:val="16"/>
          <w:szCs w:val="16"/>
        </w:rPr>
        <w:t> </w:t>
      </w:r>
      <w:r>
        <w:rPr>
          <w:rFonts w:ascii="Segoe UI" w:hAnsi="Segoe UI" w:cs="Segoe UI" w:eastAsia="Segoe UI"/>
          <w:i/>
          <w:color w:val="231F20"/>
          <w:spacing w:val="-1"/>
          <w:sz w:val="16"/>
          <w:szCs w:val="16"/>
        </w:rPr>
        <w:t>students</w:t>
      </w:r>
      <w:r>
        <w:rPr>
          <w:rFonts w:ascii="Segoe UI" w:hAnsi="Segoe UI" w:cs="Segoe UI" w:eastAsia="Segoe UI"/>
          <w:color w:val="231F20"/>
          <w:spacing w:val="-1"/>
          <w:sz w:val="16"/>
          <w:szCs w:val="16"/>
        </w:rPr>
        <w:t>,</w:t>
      </w:r>
      <w:r>
        <w:rPr>
          <w:rFonts w:ascii="Segoe UI" w:hAnsi="Segoe UI" w:cs="Segoe UI" w:eastAsia="Segoe UI"/>
          <w:color w:val="231F20"/>
          <w:spacing w:val="-2"/>
          <w:sz w:val="16"/>
          <w:szCs w:val="16"/>
        </w:rPr>
        <w:t> </w:t>
      </w:r>
      <w:r>
        <w:rPr>
          <w:rFonts w:ascii="Segoe UI" w:hAnsi="Segoe UI" w:cs="Segoe UI" w:eastAsia="Segoe UI"/>
          <w:color w:val="231F20"/>
          <w:sz w:val="16"/>
          <w:szCs w:val="16"/>
        </w:rPr>
        <w:t>House</w:t>
      </w:r>
      <w:r>
        <w:rPr>
          <w:rFonts w:ascii="Segoe UI" w:hAnsi="Segoe UI" w:cs="Segoe UI" w:eastAsia="Segoe UI"/>
          <w:sz w:val="16"/>
          <w:szCs w:val="16"/>
        </w:rPr>
      </w:r>
    </w:p>
    <w:p>
      <w:pPr>
        <w:spacing w:line="194" w:lineRule="exact" w:before="0"/>
        <w:ind w:left="684" w:right="0" w:firstLine="0"/>
        <w:jc w:val="left"/>
        <w:rPr>
          <w:rFonts w:ascii="Segoe UI" w:hAnsi="Segoe UI" w:cs="Segoe UI" w:eastAsia="Segoe UI"/>
          <w:sz w:val="16"/>
          <w:szCs w:val="16"/>
        </w:rPr>
      </w:pPr>
      <w:r>
        <w:rPr>
          <w:rFonts w:ascii="Segoe UI"/>
          <w:color w:val="231F20"/>
          <w:sz w:val="16"/>
        </w:rPr>
        <w:t>of</w:t>
      </w:r>
      <w:r>
        <w:rPr>
          <w:rFonts w:ascii="Segoe UI"/>
          <w:color w:val="231F20"/>
          <w:spacing w:val="-5"/>
          <w:sz w:val="16"/>
        </w:rPr>
        <w:t> </w:t>
      </w:r>
      <w:r>
        <w:rPr>
          <w:rFonts w:ascii="Segoe UI"/>
          <w:color w:val="231F20"/>
          <w:spacing w:val="-1"/>
          <w:sz w:val="16"/>
        </w:rPr>
        <w:t>Representatives</w:t>
      </w:r>
      <w:r>
        <w:rPr>
          <w:rFonts w:ascii="Segoe UI"/>
          <w:color w:val="231F20"/>
          <w:spacing w:val="-6"/>
          <w:sz w:val="16"/>
        </w:rPr>
        <w:t> </w:t>
      </w:r>
      <w:r>
        <w:rPr>
          <w:rFonts w:ascii="Segoe UI"/>
          <w:color w:val="231F20"/>
          <w:spacing w:val="-1"/>
          <w:sz w:val="16"/>
        </w:rPr>
        <w:t>Standing</w:t>
      </w:r>
      <w:r>
        <w:rPr>
          <w:rFonts w:ascii="Segoe UI"/>
          <w:color w:val="231F20"/>
          <w:spacing w:val="-6"/>
          <w:sz w:val="16"/>
        </w:rPr>
        <w:t> </w:t>
      </w:r>
      <w:r>
        <w:rPr>
          <w:rFonts w:ascii="Segoe UI"/>
          <w:color w:val="231F20"/>
          <w:spacing w:val="-1"/>
          <w:sz w:val="16"/>
        </w:rPr>
        <w:t>Committee</w:t>
      </w:r>
      <w:r>
        <w:rPr>
          <w:rFonts w:ascii="Segoe UI"/>
          <w:color w:val="231F20"/>
          <w:spacing w:val="-4"/>
          <w:sz w:val="16"/>
        </w:rPr>
        <w:t> </w:t>
      </w:r>
      <w:r>
        <w:rPr>
          <w:rFonts w:ascii="Segoe UI"/>
          <w:color w:val="231F20"/>
          <w:sz w:val="16"/>
        </w:rPr>
        <w:t>on</w:t>
      </w:r>
      <w:r>
        <w:rPr>
          <w:rFonts w:ascii="Segoe UI"/>
          <w:sz w:val="16"/>
        </w:rPr>
      </w:r>
    </w:p>
    <w:p>
      <w:pPr>
        <w:spacing w:line="206" w:lineRule="exact" w:before="0"/>
        <w:ind w:left="684" w:right="0" w:firstLine="0"/>
        <w:jc w:val="left"/>
        <w:rPr>
          <w:rFonts w:ascii="Segoe UI" w:hAnsi="Segoe UI" w:cs="Segoe UI" w:eastAsia="Segoe UI"/>
          <w:sz w:val="16"/>
          <w:szCs w:val="16"/>
        </w:rPr>
      </w:pPr>
      <w:r>
        <w:rPr>
          <w:rFonts w:ascii="Segoe UI"/>
          <w:color w:val="231F20"/>
          <w:sz w:val="16"/>
        </w:rPr>
        <w:t>Indigenous</w:t>
      </w:r>
      <w:r>
        <w:rPr>
          <w:rFonts w:ascii="Segoe UI"/>
          <w:color w:val="231F20"/>
          <w:spacing w:val="-2"/>
          <w:sz w:val="16"/>
        </w:rPr>
        <w:t> </w:t>
      </w:r>
      <w:r>
        <w:rPr>
          <w:rFonts w:ascii="Segoe UI"/>
          <w:color w:val="231F20"/>
          <w:sz w:val="16"/>
        </w:rPr>
        <w:t>Affairs,</w:t>
      </w:r>
      <w:r>
        <w:rPr>
          <w:rFonts w:ascii="Segoe UI"/>
          <w:color w:val="231F20"/>
          <w:spacing w:val="-1"/>
          <w:sz w:val="16"/>
        </w:rPr>
        <w:t> </w:t>
      </w:r>
      <w:r>
        <w:rPr>
          <w:rFonts w:ascii="Segoe UI"/>
          <w:color w:val="231F20"/>
          <w:sz w:val="16"/>
        </w:rPr>
        <w:t>2017</w:t>
      </w:r>
      <w:r>
        <w:rPr>
          <w:rFonts w:ascii="Segoe UI"/>
          <w:color w:val="231F20"/>
          <w:spacing w:val="-1"/>
          <w:sz w:val="16"/>
        </w:rPr>
        <w:t> </w:t>
      </w:r>
      <w:r>
        <w:rPr>
          <w:rFonts w:ascii="Segoe UI"/>
          <w:color w:val="231F20"/>
          <w:sz w:val="16"/>
        </w:rPr>
        <w:t>(HoRSCIA,</w:t>
      </w:r>
      <w:r>
        <w:rPr>
          <w:rFonts w:ascii="Segoe UI"/>
          <w:color w:val="231F20"/>
          <w:spacing w:val="-1"/>
          <w:sz w:val="16"/>
        </w:rPr>
        <w:t> </w:t>
      </w:r>
      <w:r>
        <w:rPr>
          <w:rFonts w:ascii="Segoe UI"/>
          <w:color w:val="231F20"/>
          <w:sz w:val="16"/>
        </w:rPr>
        <w:t>2017)</w:t>
      </w:r>
      <w:r>
        <w:rPr>
          <w:rFonts w:ascii="Segoe UI"/>
          <w:sz w:val="16"/>
        </w:rPr>
      </w:r>
    </w:p>
    <w:p>
      <w:pPr>
        <w:numPr>
          <w:ilvl w:val="0"/>
          <w:numId w:val="17"/>
        </w:numPr>
        <w:tabs>
          <w:tab w:pos="685" w:val="left" w:leader="none"/>
        </w:tabs>
        <w:spacing w:before="100"/>
        <w:ind w:left="684" w:right="0" w:hanging="567"/>
        <w:jc w:val="left"/>
        <w:rPr>
          <w:rFonts w:ascii="Segoe UI" w:hAnsi="Segoe UI" w:cs="Segoe UI" w:eastAsia="Segoe UI"/>
          <w:sz w:val="16"/>
          <w:szCs w:val="16"/>
        </w:rPr>
      </w:pPr>
      <w:r>
        <w:rPr>
          <w:rFonts w:ascii="Segoe UI"/>
          <w:color w:val="231F20"/>
          <w:sz w:val="16"/>
        </w:rPr>
        <w:t>Guenther,</w:t>
      </w:r>
      <w:r>
        <w:rPr>
          <w:rFonts w:ascii="Segoe UI"/>
          <w:color w:val="231F20"/>
          <w:spacing w:val="-3"/>
          <w:sz w:val="16"/>
        </w:rPr>
        <w:t> </w:t>
      </w:r>
      <w:r>
        <w:rPr>
          <w:rFonts w:ascii="Segoe UI"/>
          <w:color w:val="231F20"/>
          <w:spacing w:val="-1"/>
          <w:sz w:val="16"/>
        </w:rPr>
        <w:t>2017,</w:t>
      </w:r>
      <w:r>
        <w:rPr>
          <w:rFonts w:ascii="Segoe UI"/>
          <w:color w:val="231F20"/>
          <w:spacing w:val="-3"/>
          <w:sz w:val="16"/>
        </w:rPr>
        <w:t> </w:t>
      </w:r>
      <w:r>
        <w:rPr>
          <w:rFonts w:ascii="Segoe UI"/>
          <w:color w:val="231F20"/>
          <w:sz w:val="16"/>
        </w:rPr>
        <w:t>p.</w:t>
      </w:r>
      <w:r>
        <w:rPr>
          <w:rFonts w:ascii="Segoe UI"/>
          <w:color w:val="231F20"/>
          <w:spacing w:val="-3"/>
          <w:sz w:val="16"/>
        </w:rPr>
        <w:t> </w:t>
      </w:r>
      <w:r>
        <w:rPr>
          <w:rFonts w:ascii="Segoe UI"/>
          <w:color w:val="231F20"/>
          <w:sz w:val="16"/>
        </w:rPr>
        <w:t>15</w:t>
      </w:r>
      <w:r>
        <w:rPr>
          <w:rFonts w:ascii="Segoe UI"/>
          <w:sz w:val="16"/>
        </w:rPr>
      </w:r>
    </w:p>
    <w:p>
      <w:pPr>
        <w:numPr>
          <w:ilvl w:val="0"/>
          <w:numId w:val="17"/>
        </w:numPr>
        <w:tabs>
          <w:tab w:pos="685" w:val="left" w:leader="none"/>
        </w:tabs>
        <w:spacing w:before="100"/>
        <w:ind w:left="684" w:right="0" w:hanging="567"/>
        <w:jc w:val="left"/>
        <w:rPr>
          <w:rFonts w:ascii="Segoe UI" w:hAnsi="Segoe UI" w:cs="Segoe UI" w:eastAsia="Segoe UI"/>
          <w:sz w:val="16"/>
          <w:szCs w:val="16"/>
        </w:rPr>
      </w:pPr>
      <w:hyperlink r:id="rId137">
        <w:r>
          <w:rPr>
            <w:rFonts w:ascii="Segoe UI"/>
            <w:color w:val="231F20"/>
            <w:spacing w:val="-1"/>
            <w:sz w:val="16"/>
          </w:rPr>
          <w:t>www.boardingaustralia.edu.au</w:t>
        </w:r>
        <w:r>
          <w:rPr>
            <w:rFonts w:ascii="Segoe UI"/>
            <w:sz w:val="16"/>
          </w:rPr>
        </w:r>
      </w:hyperlink>
    </w:p>
    <w:p>
      <w:pPr>
        <w:numPr>
          <w:ilvl w:val="0"/>
          <w:numId w:val="17"/>
        </w:numPr>
        <w:tabs>
          <w:tab w:pos="685" w:val="left" w:leader="none"/>
        </w:tabs>
        <w:spacing w:before="100"/>
        <w:ind w:left="684" w:right="0" w:hanging="567"/>
        <w:jc w:val="left"/>
        <w:rPr>
          <w:rFonts w:ascii="Segoe UI" w:hAnsi="Segoe UI" w:cs="Segoe UI" w:eastAsia="Segoe UI"/>
          <w:sz w:val="16"/>
          <w:szCs w:val="16"/>
        </w:rPr>
      </w:pPr>
      <w:hyperlink r:id="rId110">
        <w:r>
          <w:rPr>
            <w:rFonts w:ascii="Segoe UI"/>
            <w:color w:val="231F20"/>
            <w:sz w:val="16"/>
          </w:rPr>
          <w:t>www.isca.edu.au</w:t>
        </w:r>
        <w:r>
          <w:rPr>
            <w:rFonts w:ascii="Segoe UI"/>
            <w:sz w:val="16"/>
          </w:rPr>
        </w:r>
      </w:hyperlink>
    </w:p>
    <w:p>
      <w:pPr>
        <w:numPr>
          <w:ilvl w:val="0"/>
          <w:numId w:val="17"/>
        </w:numPr>
        <w:tabs>
          <w:tab w:pos="685" w:val="left" w:leader="none"/>
        </w:tabs>
        <w:spacing w:before="100"/>
        <w:ind w:left="684" w:right="0" w:hanging="567"/>
        <w:jc w:val="left"/>
        <w:rPr>
          <w:rFonts w:ascii="Segoe UI" w:hAnsi="Segoe UI" w:cs="Segoe UI" w:eastAsia="Segoe UI"/>
          <w:sz w:val="16"/>
          <w:szCs w:val="16"/>
        </w:rPr>
      </w:pPr>
      <w:hyperlink r:id="rId138">
        <w:r>
          <w:rPr>
            <w:rFonts w:ascii="Segoe UI"/>
            <w:color w:val="231F20"/>
            <w:sz w:val="16"/>
          </w:rPr>
          <w:t>www.ncec.catholic.edu.au</w:t>
        </w:r>
        <w:r>
          <w:rPr>
            <w:rFonts w:ascii="Segoe UI"/>
            <w:sz w:val="16"/>
          </w:rPr>
        </w:r>
      </w:hyperlink>
    </w:p>
    <w:p>
      <w:pPr>
        <w:numPr>
          <w:ilvl w:val="0"/>
          <w:numId w:val="17"/>
        </w:numPr>
        <w:tabs>
          <w:tab w:pos="685" w:val="left" w:leader="none"/>
        </w:tabs>
        <w:spacing w:before="100"/>
        <w:ind w:left="684" w:right="0" w:hanging="567"/>
        <w:jc w:val="left"/>
        <w:rPr>
          <w:rFonts w:ascii="Segoe UI" w:hAnsi="Segoe UI" w:cs="Segoe UI" w:eastAsia="Segoe UI"/>
          <w:sz w:val="16"/>
          <w:szCs w:val="16"/>
        </w:rPr>
      </w:pPr>
      <w:r>
        <w:rPr>
          <w:rFonts w:ascii="Segoe UI"/>
          <w:color w:val="231F20"/>
          <w:spacing w:val="-2"/>
          <w:sz w:val="16"/>
        </w:rPr>
        <w:t>Study</w:t>
      </w:r>
      <w:r>
        <w:rPr>
          <w:rFonts w:ascii="Segoe UI"/>
          <w:color w:val="231F20"/>
          <w:spacing w:val="-4"/>
          <w:sz w:val="16"/>
        </w:rPr>
        <w:t> </w:t>
      </w:r>
      <w:r>
        <w:rPr>
          <w:rFonts w:ascii="Segoe UI"/>
          <w:color w:val="231F20"/>
          <w:spacing w:val="-1"/>
          <w:sz w:val="16"/>
        </w:rPr>
        <w:t>Away</w:t>
      </w:r>
      <w:r>
        <w:rPr>
          <w:rFonts w:ascii="Segoe UI"/>
          <w:color w:val="231F20"/>
          <w:spacing w:val="-4"/>
          <w:sz w:val="16"/>
        </w:rPr>
        <w:t> </w:t>
      </w:r>
      <w:r>
        <w:rPr>
          <w:rFonts w:ascii="Segoe UI"/>
          <w:color w:val="231F20"/>
          <w:spacing w:val="-1"/>
          <w:sz w:val="16"/>
        </w:rPr>
        <w:t>Review,</w:t>
      </w:r>
      <w:r>
        <w:rPr>
          <w:rFonts w:ascii="Segoe UI"/>
          <w:color w:val="231F20"/>
          <w:spacing w:val="-3"/>
          <w:sz w:val="16"/>
        </w:rPr>
        <w:t> </w:t>
      </w:r>
      <w:r>
        <w:rPr>
          <w:rFonts w:ascii="Segoe UI"/>
          <w:color w:val="231F20"/>
          <w:sz w:val="16"/>
        </w:rPr>
        <w:t>p.</w:t>
      </w:r>
      <w:r>
        <w:rPr>
          <w:rFonts w:ascii="Segoe UI"/>
          <w:color w:val="231F20"/>
          <w:spacing w:val="-3"/>
          <w:sz w:val="16"/>
        </w:rPr>
        <w:t> </w:t>
      </w:r>
      <w:r>
        <w:rPr>
          <w:rFonts w:ascii="Segoe UI"/>
          <w:color w:val="231F20"/>
          <w:sz w:val="16"/>
        </w:rPr>
        <w:t>22</w:t>
      </w:r>
      <w:r>
        <w:rPr>
          <w:rFonts w:ascii="Segoe UI"/>
          <w:sz w:val="16"/>
        </w:rPr>
      </w:r>
    </w:p>
    <w:p>
      <w:pPr>
        <w:numPr>
          <w:ilvl w:val="0"/>
          <w:numId w:val="17"/>
        </w:numPr>
        <w:tabs>
          <w:tab w:pos="685" w:val="left" w:leader="none"/>
        </w:tabs>
        <w:spacing w:line="200" w:lineRule="exact" w:before="113"/>
        <w:ind w:left="684" w:right="486" w:hanging="567"/>
        <w:jc w:val="left"/>
        <w:rPr>
          <w:rFonts w:ascii="Segoe UI" w:hAnsi="Segoe UI" w:cs="Segoe UI" w:eastAsia="Segoe UI"/>
          <w:sz w:val="16"/>
          <w:szCs w:val="16"/>
        </w:rPr>
      </w:pPr>
      <w:hyperlink r:id="rId127">
        <w:r>
          <w:rPr>
            <w:rFonts w:ascii="Segoe UI"/>
            <w:color w:val="231F20"/>
            <w:spacing w:val="-1"/>
            <w:sz w:val="16"/>
          </w:rPr>
          <w:t>https://www.education.gov.au/what-schooling-</w:t>
        </w:r>
      </w:hyperlink>
      <w:r>
        <w:rPr>
          <w:rFonts w:ascii="Segoe UI"/>
          <w:color w:val="231F20"/>
          <w:spacing w:val="86"/>
          <w:w w:val="99"/>
          <w:sz w:val="16"/>
        </w:rPr>
        <w:t> </w:t>
      </w:r>
      <w:r>
        <w:rPr>
          <w:rFonts w:ascii="Segoe UI"/>
          <w:color w:val="231F20"/>
          <w:sz w:val="16"/>
        </w:rPr>
        <w:t>resource-standard-and-how-does-it-work,</w:t>
      </w:r>
      <w:r>
        <w:rPr>
          <w:rFonts w:ascii="Segoe UI"/>
          <w:color w:val="231F20"/>
          <w:w w:val="99"/>
          <w:sz w:val="16"/>
        </w:rPr>
        <w:t> </w:t>
      </w:r>
      <w:r>
        <w:rPr>
          <w:rFonts w:ascii="Segoe UI"/>
          <w:color w:val="231F20"/>
          <w:sz w:val="16"/>
        </w:rPr>
        <w:t>accessed</w:t>
      </w:r>
      <w:r>
        <w:rPr>
          <w:rFonts w:ascii="Segoe UI"/>
          <w:color w:val="231F20"/>
          <w:spacing w:val="-2"/>
          <w:sz w:val="16"/>
        </w:rPr>
        <w:t> </w:t>
      </w:r>
      <w:r>
        <w:rPr>
          <w:rFonts w:ascii="Segoe UI"/>
          <w:color w:val="231F20"/>
          <w:spacing w:val="-1"/>
          <w:sz w:val="16"/>
        </w:rPr>
        <w:t>in </w:t>
      </w:r>
      <w:r>
        <w:rPr>
          <w:rFonts w:ascii="Segoe UI"/>
          <w:color w:val="231F20"/>
          <w:sz w:val="16"/>
        </w:rPr>
        <w:t>May</w:t>
      </w:r>
      <w:r>
        <w:rPr>
          <w:rFonts w:ascii="Segoe UI"/>
          <w:color w:val="231F20"/>
          <w:spacing w:val="-2"/>
          <w:sz w:val="16"/>
        </w:rPr>
        <w:t> </w:t>
      </w:r>
      <w:r>
        <w:rPr>
          <w:rFonts w:ascii="Segoe UI"/>
          <w:color w:val="231F20"/>
          <w:sz w:val="16"/>
        </w:rPr>
        <w:t>2019.</w:t>
      </w:r>
      <w:r>
        <w:rPr>
          <w:rFonts w:ascii="Segoe UI"/>
          <w:sz w:val="16"/>
        </w:rPr>
      </w:r>
    </w:p>
    <w:p>
      <w:pPr>
        <w:spacing w:after="0" w:line="200" w:lineRule="exact"/>
        <w:jc w:val="left"/>
        <w:rPr>
          <w:rFonts w:ascii="Segoe UI" w:hAnsi="Segoe UI" w:cs="Segoe UI" w:eastAsia="Segoe UI"/>
          <w:sz w:val="16"/>
          <w:szCs w:val="16"/>
        </w:rPr>
        <w:sectPr>
          <w:type w:val="continuous"/>
          <w:pgSz w:w="11910" w:h="16840"/>
          <w:pgMar w:top="1580" w:bottom="280" w:left="1300" w:right="1680"/>
          <w:cols w:num="2" w:equalWidth="0">
            <w:col w:w="4207" w:space="223"/>
            <w:col w:w="4500"/>
          </w:cols>
        </w:sectPr>
      </w:pPr>
    </w:p>
    <w:p>
      <w:pPr>
        <w:spacing w:line="240" w:lineRule="auto" w:before="5"/>
        <w:rPr>
          <w:rFonts w:ascii="Times New Roman" w:hAnsi="Times New Roman" w:cs="Times New Roman" w:eastAsia="Times New Roman"/>
          <w:sz w:val="17"/>
          <w:szCs w:val="17"/>
        </w:rPr>
      </w:pPr>
    </w:p>
    <w:p>
      <w:pPr>
        <w:spacing w:after="0" w:line="240" w:lineRule="auto"/>
        <w:rPr>
          <w:rFonts w:ascii="Times New Roman" w:hAnsi="Times New Roman" w:cs="Times New Roman" w:eastAsia="Times New Roman"/>
          <w:sz w:val="17"/>
          <w:szCs w:val="17"/>
        </w:rPr>
        <w:sectPr>
          <w:footerReference w:type="default" r:id="rId139"/>
          <w:pgSz w:w="11910" w:h="16840"/>
          <w:pgMar w:footer="0" w:header="0" w:top="1580" w:bottom="280" w:left="1680" w:right="1680"/>
        </w:sectPr>
      </w:pPr>
    </w:p>
    <w:p>
      <w:pPr>
        <w:spacing w:line="240" w:lineRule="auto" w:before="0"/>
        <w:rPr>
          <w:rFonts w:ascii="Times New Roman" w:hAnsi="Times New Roman" w:cs="Times New Roman" w:eastAsia="Times New Roman"/>
          <w:sz w:val="20"/>
          <w:szCs w:val="20"/>
        </w:rPr>
      </w:pPr>
      <w:r>
        <w:rPr/>
        <w:pict>
          <v:group style="position:absolute;margin-left:0pt;margin-top:0pt;width:595.35pt;height:841.95pt;mso-position-horizontal-relative:page;mso-position-vertical-relative:page;z-index:-219304" coordorigin="0,0" coordsize="11907,16839">
            <v:shape style="position:absolute;left:0;top:0;width:11906;height:16838" type="#_x0000_t75" stroked="false">
              <v:imagedata r:id="rId141" o:title=""/>
            </v:shape>
            <v:shape style="position:absolute;left:0;top:0;width:11885;height:11942" type="#_x0000_t75" stroked="false">
              <v:imagedata r:id="rId142" o:title=""/>
            </v:shape>
            <v:group style="position:absolute;left:8830;top:12961;width:2372;height:2" coordorigin="8830,12961" coordsize="2372,2">
              <v:shape style="position:absolute;left:8830;top:12961;width:2372;height:2" coordorigin="8830,12961" coordsize="2372,0" path="m8830,12961l11201,12961e" filled="false" stroked="true" strokeweight=".6pt" strokecolor="#87848b">
                <v:path arrowok="t"/>
              </v:shape>
            </v:group>
            <w10:wrap type="none"/>
          </v:group>
        </w:pict>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11"/>
        <w:rPr>
          <w:rFonts w:ascii="Times New Roman" w:hAnsi="Times New Roman" w:cs="Times New Roman" w:eastAsia="Times New Roman"/>
          <w:sz w:val="20"/>
          <w:szCs w:val="20"/>
        </w:rPr>
      </w:pPr>
    </w:p>
    <w:p>
      <w:pPr>
        <w:spacing w:before="34"/>
        <w:ind w:left="0" w:right="181" w:firstLine="0"/>
        <w:jc w:val="right"/>
        <w:rPr>
          <w:rFonts w:ascii="Arial Narrow" w:hAnsi="Arial Narrow" w:cs="Arial Narrow" w:eastAsia="Arial Narrow"/>
          <w:sz w:val="40"/>
          <w:szCs w:val="40"/>
        </w:rPr>
      </w:pPr>
      <w:r>
        <w:rPr>
          <w:rFonts w:ascii="Arial Narrow"/>
          <w:b/>
          <w:color w:val="121313"/>
          <w:sz w:val="40"/>
        </w:rPr>
        <w:t>Gran</w:t>
      </w:r>
      <w:r>
        <w:rPr>
          <w:rFonts w:ascii="Arial Narrow"/>
          <w:b/>
          <w:color w:val="121313"/>
          <w:spacing w:val="30"/>
          <w:sz w:val="40"/>
        </w:rPr>
        <w:t>t</w:t>
      </w:r>
      <w:r>
        <w:rPr>
          <w:rFonts w:ascii="Arial Narrow"/>
          <w:b/>
          <w:color w:val="121313"/>
          <w:sz w:val="40"/>
        </w:rPr>
        <w:t>Thornton</w:t>
      </w:r>
      <w:r>
        <w:rPr>
          <w:rFonts w:ascii="Arial Narrow"/>
          <w:sz w:val="40"/>
        </w:rPr>
      </w:r>
    </w:p>
    <w:p>
      <w:pPr>
        <w:pStyle w:val="Heading3"/>
        <w:spacing w:line="240" w:lineRule="auto" w:before="102"/>
        <w:ind w:left="0" w:right="101"/>
        <w:jc w:val="right"/>
        <w:rPr>
          <w:rFonts w:ascii="Calibri" w:hAnsi="Calibri" w:cs="Calibri" w:eastAsia="Calibri"/>
        </w:rPr>
      </w:pPr>
      <w:r>
        <w:rPr>
          <w:rFonts w:ascii="Calibri"/>
          <w:color w:val="513763"/>
          <w:w w:val="90"/>
        </w:rPr>
        <w:t>An</w:t>
      </w:r>
      <w:r>
        <w:rPr>
          <w:rFonts w:ascii="Calibri"/>
          <w:color w:val="513763"/>
          <w:spacing w:val="18"/>
          <w:w w:val="90"/>
        </w:rPr>
        <w:t> </w:t>
      </w:r>
      <w:r>
        <w:rPr>
          <w:rFonts w:ascii="Calibri"/>
          <w:color w:val="513763"/>
          <w:w w:val="90"/>
        </w:rPr>
        <w:t>instinct</w:t>
      </w:r>
      <w:r>
        <w:rPr>
          <w:rFonts w:ascii="Calibri"/>
          <w:color w:val="513763"/>
          <w:spacing w:val="-5"/>
          <w:w w:val="90"/>
        </w:rPr>
        <w:t> </w:t>
      </w:r>
      <w:r>
        <w:rPr>
          <w:rFonts w:ascii="Calibri"/>
          <w:color w:val="513763"/>
          <w:w w:val="90"/>
        </w:rPr>
        <w:t>for</w:t>
      </w:r>
      <w:r>
        <w:rPr>
          <w:rFonts w:ascii="Calibri"/>
          <w:color w:val="513763"/>
          <w:spacing w:val="-2"/>
          <w:w w:val="90"/>
        </w:rPr>
        <w:t> </w:t>
      </w:r>
      <w:r>
        <w:rPr>
          <w:rFonts w:ascii="Calibri"/>
          <w:color w:val="513763"/>
          <w:w w:val="90"/>
          <w:position w:val="1"/>
        </w:rPr>
        <w:t>growth</w:t>
      </w:r>
      <w:r>
        <w:rPr>
          <w:rFonts w:ascii="Calibri"/>
          <w:color w:val="877D8E"/>
          <w:w w:val="90"/>
          <w:position w:val="1"/>
        </w:rPr>
        <w:t>'"</w:t>
      </w:r>
      <w:r>
        <w:rPr>
          <w:rFonts w:ascii="Calibri"/>
        </w:rPr>
      </w:r>
    </w:p>
    <w:sectPr>
      <w:footerReference w:type="even" r:id="rId140"/>
      <w:pgSz w:w="11910" w:h="16840"/>
      <w:pgMar w:footer="0" w:header="0" w:top="1580" w:bottom="280" w:left="1680" w:right="5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Segoe UI Semibold">
    <w:altName w:val="Segoe UI Semibold"/>
    <w:charset w:val="0"/>
    <w:family w:val="swiss"/>
    <w:pitch w:val="variable"/>
  </w:font>
  <w:font w:name="Segoe UI">
    <w:altName w:val="Segoe UI"/>
    <w:charset w:val="0"/>
    <w:family w:val="swiss"/>
    <w:pitch w:val="variable"/>
  </w:font>
  <w:font w:name="Century Gothic">
    <w:altName w:val="Century Gothic"/>
    <w:charset w:val="0"/>
    <w:family w:val="swiss"/>
    <w:pitch w:val="variable"/>
  </w:font>
  <w:font w:name="Segoe UI Light">
    <w:altName w:val="Segoe UI Light"/>
    <w:charset w:val="0"/>
    <w:family w:val="swiss"/>
    <w:pitch w:val="variable"/>
  </w:font>
  <w:font w:name="Calibri">
    <w:altName w:val="Calibri"/>
    <w:charset w:val="0"/>
    <w:family w:val="swiss"/>
    <w:pitch w:val="variable"/>
  </w:font>
  <w:font w:name="Arial Narrow">
    <w:altName w:val="Arial Narrow"/>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8.866096pt;margin-top:796.357666pt;width:299.650pt;height:10pt;mso-position-horizontal-relative:page;mso-position-vertical-relative:page;z-index:-229168" type="#_x0000_t202" filled="false" stroked="false">
          <v:textbox inset="0,0,0,0">
            <w:txbxContent>
              <w:p>
                <w:pPr>
                  <w:spacing w:line="190" w:lineRule="exact" w:before="0"/>
                  <w:ind w:left="40" w:right="0" w:firstLine="0"/>
                  <w:jc w:val="left"/>
                  <w:rPr>
                    <w:rFonts w:ascii="Segoe UI" w:hAnsi="Segoe UI" w:cs="Segoe UI" w:eastAsia="Segoe UI"/>
                    <w:sz w:val="16"/>
                    <w:szCs w:val="16"/>
                  </w:rPr>
                </w:pPr>
                <w:r>
                  <w:rPr>
                    <w:rFonts w:ascii="Segoe UI"/>
                    <w:b/>
                    <w:color w:val="808285"/>
                    <w:sz w:val="16"/>
                  </w:rPr>
                </w:r>
                <w:r>
                  <w:rPr/>
                  <w:fldChar w:fldCharType="begin"/>
                </w:r>
                <w:r>
                  <w:rPr>
                    <w:rFonts w:ascii="Segoe UI"/>
                    <w:b/>
                    <w:color w:val="808285"/>
                    <w:sz w:val="16"/>
                  </w:rPr>
                  <w:instrText> PAGE </w:instrText>
                </w:r>
                <w:r>
                  <w:rPr/>
                  <w:fldChar w:fldCharType="separate"/>
                </w:r>
                <w:r>
                  <w:rPr/>
                  <w:t>2</w:t>
                </w:r>
                <w:r>
                  <w:rPr/>
                  <w:fldChar w:fldCharType="end"/>
                </w:r>
                <w:r>
                  <w:rPr>
                    <w:rFonts w:ascii="Segoe UI"/>
                    <w:b/>
                    <w:color w:val="808285"/>
                    <w:spacing w:val="-4"/>
                    <w:sz w:val="16"/>
                  </w:rPr>
                  <w:t> </w:t>
                </w:r>
                <w:r>
                  <w:rPr>
                    <w:rFonts w:ascii="Segoe UI"/>
                    <w:color w:val="808285"/>
                    <w:sz w:val="16"/>
                  </w:rPr>
                  <w:t>|</w:t>
                </w:r>
                <w:r>
                  <w:rPr>
                    <w:rFonts w:ascii="Segoe UI"/>
                    <w:color w:val="808285"/>
                    <w:spacing w:val="-4"/>
                    <w:sz w:val="16"/>
                  </w:rPr>
                  <w:t> </w:t>
                </w:r>
                <w:r>
                  <w:rPr>
                    <w:rFonts w:ascii="Segoe UI"/>
                    <w:color w:val="808285"/>
                    <w:spacing w:val="-1"/>
                    <w:sz w:val="16"/>
                  </w:rPr>
                  <w:t>Boarding:</w:t>
                </w:r>
                <w:r>
                  <w:rPr>
                    <w:rFonts w:ascii="Segoe UI"/>
                    <w:color w:val="808285"/>
                    <w:spacing w:val="-2"/>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3"/>
                    <w:sz w:val="16"/>
                  </w:rPr>
                  <w:t> </w:t>
                </w:r>
                <w:r>
                  <w:rPr>
                    <w:rFonts w:ascii="Segoe UI"/>
                    <w:color w:val="808285"/>
                    <w:sz w:val="16"/>
                  </w:rPr>
                  <w:t>outcomes</w:t>
                </w:r>
                <w:r>
                  <w:rPr>
                    <w:rFonts w:ascii="Segoe UI"/>
                    <w:color w:val="808285"/>
                    <w:spacing w:val="-3"/>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3"/>
                    <w:sz w:val="16"/>
                  </w:rPr>
                  <w:t> </w:t>
                </w:r>
                <w:r>
                  <w:rPr>
                    <w:rFonts w:ascii="Segoe UI"/>
                    <w:color w:val="808285"/>
                    <w:sz w:val="16"/>
                  </w:rPr>
                  <w:t>and</w:t>
                </w:r>
                <w:r>
                  <w:rPr>
                    <w:rFonts w:ascii="Segoe UI"/>
                    <w:color w:val="808285"/>
                    <w:spacing w:val="-3"/>
                    <w:sz w:val="16"/>
                  </w:rPr>
                  <w:t> 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sz w:val="16"/>
                  </w:rPr>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22.175095pt;margin-top:796.357666pt;width:304.25pt;height:10pt;mso-position-horizontal-relative:page;mso-position-vertical-relative:page;z-index:-228952"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color w:val="808285"/>
                    <w:spacing w:val="-1"/>
                    <w:sz w:val="16"/>
                  </w:rPr>
                  <w:t>Boarding:</w:t>
                </w:r>
                <w:r>
                  <w:rPr>
                    <w:rFonts w:ascii="Segoe UI"/>
                    <w:color w:val="808285"/>
                    <w:spacing w:val="-3"/>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2"/>
                    <w:sz w:val="16"/>
                  </w:rPr>
                  <w:t> </w:t>
                </w:r>
                <w:r>
                  <w:rPr>
                    <w:rFonts w:ascii="Segoe UI"/>
                    <w:color w:val="808285"/>
                    <w:sz w:val="16"/>
                  </w:rPr>
                  <w:t>outcomes</w:t>
                </w:r>
                <w:r>
                  <w:rPr>
                    <w:rFonts w:ascii="Segoe UI"/>
                    <w:color w:val="808285"/>
                    <w:spacing w:val="-4"/>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2"/>
                    <w:sz w:val="16"/>
                  </w:rPr>
                  <w:t> </w:t>
                </w:r>
                <w:r>
                  <w:rPr>
                    <w:rFonts w:ascii="Segoe UI"/>
                    <w:color w:val="808285"/>
                    <w:sz w:val="16"/>
                  </w:rPr>
                  <w:t>and</w:t>
                </w:r>
                <w:r>
                  <w:rPr>
                    <w:rFonts w:ascii="Segoe UI"/>
                    <w:color w:val="808285"/>
                    <w:spacing w:val="-4"/>
                    <w:sz w:val="16"/>
                  </w:rPr>
                  <w:t> </w:t>
                </w:r>
                <w:r>
                  <w:rPr>
                    <w:rFonts w:ascii="Segoe UI"/>
                    <w:color w:val="808285"/>
                    <w:spacing w:val="-3"/>
                    <w:sz w:val="16"/>
                  </w:rPr>
                  <w:t>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color w:val="808285"/>
                    <w:spacing w:val="-2"/>
                    <w:sz w:val="16"/>
                  </w:rPr>
                  <w:t> </w:t>
                </w:r>
                <w:r>
                  <w:rPr>
                    <w:rFonts w:ascii="Segoe UI"/>
                    <w:color w:val="808285"/>
                    <w:sz w:val="16"/>
                  </w:rPr>
                  <w:t>|</w:t>
                </w:r>
                <w:r>
                  <w:rPr>
                    <w:rFonts w:ascii="Segoe UI"/>
                    <w:color w:val="808285"/>
                    <w:spacing w:val="-4"/>
                    <w:sz w:val="16"/>
                  </w:rPr>
                  <w:t> </w:t>
                </w:r>
                <w:r>
                  <w:rPr>
                    <w:rFonts w:ascii="Segoe UI"/>
                    <w:b/>
                    <w:color w:val="808285"/>
                    <w:spacing w:val="-4"/>
                    <w:sz w:val="16"/>
                  </w:rPr>
                </w:r>
                <w:r>
                  <w:rPr/>
                  <w:fldChar w:fldCharType="begin"/>
                </w:r>
                <w:r>
                  <w:rPr>
                    <w:rFonts w:ascii="Segoe UI"/>
                    <w:b/>
                    <w:color w:val="808285"/>
                    <w:sz w:val="16"/>
                  </w:rPr>
                  <w:instrText> PAGE </w:instrText>
                </w:r>
                <w:r>
                  <w:rPr/>
                  <w:fldChar w:fldCharType="separate"/>
                </w:r>
                <w:r>
                  <w:rPr/>
                  <w:t>23</w:t>
                </w:r>
                <w:r>
                  <w:rPr/>
                  <w:fldChar w:fldCharType="end"/>
                </w:r>
                <w:r>
                  <w:rPr>
                    <w:rFonts w:ascii="Segoe UI"/>
                    <w:b/>
                    <w:color w:val="808285"/>
                    <w:spacing w:val="-1"/>
                    <w:sz w:val="16"/>
                  </w:rPr>
                </w:r>
                <w:r>
                  <w:rPr>
                    <w:rFonts w:ascii="Segoe UI"/>
                    <w:sz w:val="16"/>
                  </w:rPr>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9.866096pt;margin-top:796.357666pt;width:303.25pt;height:10pt;mso-position-horizontal-relative:page;mso-position-vertical-relative:page;z-index:-228928"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b/>
                    <w:color w:val="808285"/>
                    <w:spacing w:val="-1"/>
                    <w:sz w:val="16"/>
                  </w:rPr>
                  <w:t>30</w:t>
                </w:r>
                <w:r>
                  <w:rPr>
                    <w:rFonts w:ascii="Segoe UI"/>
                    <w:b/>
                    <w:color w:val="808285"/>
                    <w:spacing w:val="-4"/>
                    <w:sz w:val="16"/>
                  </w:rPr>
                  <w:t> </w:t>
                </w:r>
                <w:r>
                  <w:rPr>
                    <w:rFonts w:ascii="Segoe UI"/>
                    <w:color w:val="808285"/>
                    <w:sz w:val="16"/>
                  </w:rPr>
                  <w:t>|</w:t>
                </w:r>
                <w:r>
                  <w:rPr>
                    <w:rFonts w:ascii="Segoe UI"/>
                    <w:color w:val="808285"/>
                    <w:spacing w:val="-4"/>
                    <w:sz w:val="16"/>
                  </w:rPr>
                  <w:t> </w:t>
                </w:r>
                <w:r>
                  <w:rPr>
                    <w:rFonts w:ascii="Segoe UI"/>
                    <w:color w:val="808285"/>
                    <w:spacing w:val="-1"/>
                    <w:sz w:val="16"/>
                  </w:rPr>
                  <w:t>Boarding:</w:t>
                </w:r>
                <w:r>
                  <w:rPr>
                    <w:rFonts w:ascii="Segoe UI"/>
                    <w:color w:val="808285"/>
                    <w:spacing w:val="-2"/>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3"/>
                    <w:sz w:val="16"/>
                  </w:rPr>
                  <w:t> </w:t>
                </w:r>
                <w:r>
                  <w:rPr>
                    <w:rFonts w:ascii="Segoe UI"/>
                    <w:color w:val="808285"/>
                    <w:sz w:val="16"/>
                  </w:rPr>
                  <w:t>outcomes</w:t>
                </w:r>
                <w:r>
                  <w:rPr>
                    <w:rFonts w:ascii="Segoe UI"/>
                    <w:color w:val="808285"/>
                    <w:spacing w:val="-3"/>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3"/>
                    <w:sz w:val="16"/>
                  </w:rPr>
                  <w:t> </w:t>
                </w:r>
                <w:r>
                  <w:rPr>
                    <w:rFonts w:ascii="Segoe UI"/>
                    <w:color w:val="808285"/>
                    <w:sz w:val="16"/>
                  </w:rPr>
                  <w:t>and</w:t>
                </w:r>
                <w:r>
                  <w:rPr>
                    <w:rFonts w:ascii="Segoe UI"/>
                    <w:color w:val="808285"/>
                    <w:spacing w:val="-3"/>
                    <w:sz w:val="16"/>
                  </w:rPr>
                  <w:t> 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sz w:val="16"/>
                  </w:rPr>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22.175095pt;margin-top:796.357666pt;width:303.25pt;height:10pt;mso-position-horizontal-relative:page;mso-position-vertical-relative:page;z-index:-228904"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color w:val="808285"/>
                    <w:spacing w:val="-1"/>
                    <w:sz w:val="16"/>
                  </w:rPr>
                  <w:t>Boarding:</w:t>
                </w:r>
                <w:r>
                  <w:rPr>
                    <w:rFonts w:ascii="Segoe UI"/>
                    <w:color w:val="808285"/>
                    <w:spacing w:val="-3"/>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2"/>
                    <w:sz w:val="16"/>
                  </w:rPr>
                  <w:t> </w:t>
                </w:r>
                <w:r>
                  <w:rPr>
                    <w:rFonts w:ascii="Segoe UI"/>
                    <w:color w:val="808285"/>
                    <w:sz w:val="16"/>
                  </w:rPr>
                  <w:t>outcomes</w:t>
                </w:r>
                <w:r>
                  <w:rPr>
                    <w:rFonts w:ascii="Segoe UI"/>
                    <w:color w:val="808285"/>
                    <w:spacing w:val="-4"/>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2"/>
                    <w:sz w:val="16"/>
                  </w:rPr>
                  <w:t> </w:t>
                </w:r>
                <w:r>
                  <w:rPr>
                    <w:rFonts w:ascii="Segoe UI"/>
                    <w:color w:val="808285"/>
                    <w:sz w:val="16"/>
                  </w:rPr>
                  <w:t>and</w:t>
                </w:r>
                <w:r>
                  <w:rPr>
                    <w:rFonts w:ascii="Segoe UI"/>
                    <w:color w:val="808285"/>
                    <w:spacing w:val="-4"/>
                    <w:sz w:val="16"/>
                  </w:rPr>
                  <w:t> </w:t>
                </w:r>
                <w:r>
                  <w:rPr>
                    <w:rFonts w:ascii="Segoe UI"/>
                    <w:color w:val="808285"/>
                    <w:spacing w:val="-3"/>
                    <w:sz w:val="16"/>
                  </w:rPr>
                  <w:t>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color w:val="808285"/>
                    <w:spacing w:val="-2"/>
                    <w:sz w:val="16"/>
                  </w:rPr>
                  <w:t> </w:t>
                </w:r>
                <w:r>
                  <w:rPr>
                    <w:rFonts w:ascii="Segoe UI"/>
                    <w:color w:val="808285"/>
                    <w:sz w:val="16"/>
                  </w:rPr>
                  <w:t>|</w:t>
                </w:r>
                <w:r>
                  <w:rPr>
                    <w:rFonts w:ascii="Segoe UI"/>
                    <w:color w:val="808285"/>
                    <w:spacing w:val="-4"/>
                    <w:sz w:val="16"/>
                  </w:rPr>
                  <w:t> </w:t>
                </w:r>
                <w:r>
                  <w:rPr>
                    <w:rFonts w:ascii="Segoe UI"/>
                    <w:b/>
                    <w:color w:val="808285"/>
                    <w:spacing w:val="-1"/>
                    <w:sz w:val="16"/>
                  </w:rPr>
                  <w:t>31</w:t>
                </w:r>
                <w:r>
                  <w:rPr>
                    <w:rFonts w:ascii="Segoe UI"/>
                    <w:sz w:val="16"/>
                  </w:rPr>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8.866096pt;margin-top:796.357666pt;width:304.25pt;height:10pt;mso-position-horizontal-relative:page;mso-position-vertical-relative:page;z-index:-228880" type="#_x0000_t202" filled="false" stroked="false">
          <v:textbox inset="0,0,0,0">
            <w:txbxContent>
              <w:p>
                <w:pPr>
                  <w:spacing w:line="190" w:lineRule="exact" w:before="0"/>
                  <w:ind w:left="40" w:right="0" w:firstLine="0"/>
                  <w:jc w:val="left"/>
                  <w:rPr>
                    <w:rFonts w:ascii="Segoe UI" w:hAnsi="Segoe UI" w:cs="Segoe UI" w:eastAsia="Segoe UI"/>
                    <w:sz w:val="16"/>
                    <w:szCs w:val="16"/>
                  </w:rPr>
                </w:pPr>
                <w:r>
                  <w:rPr>
                    <w:rFonts w:ascii="Segoe UI"/>
                    <w:b/>
                    <w:color w:val="808285"/>
                    <w:sz w:val="16"/>
                  </w:rPr>
                </w:r>
                <w:r>
                  <w:rPr/>
                  <w:fldChar w:fldCharType="begin"/>
                </w:r>
                <w:r>
                  <w:rPr>
                    <w:rFonts w:ascii="Segoe UI"/>
                    <w:b/>
                    <w:color w:val="808285"/>
                    <w:sz w:val="16"/>
                  </w:rPr>
                  <w:instrText> PAGE </w:instrText>
                </w:r>
                <w:r>
                  <w:rPr/>
                  <w:fldChar w:fldCharType="separate"/>
                </w:r>
                <w:r>
                  <w:rPr/>
                  <w:t>32</w:t>
                </w:r>
                <w:r>
                  <w:rPr/>
                  <w:fldChar w:fldCharType="end"/>
                </w:r>
                <w:r>
                  <w:rPr>
                    <w:rFonts w:ascii="Segoe UI"/>
                    <w:b/>
                    <w:color w:val="808285"/>
                    <w:spacing w:val="-4"/>
                    <w:sz w:val="16"/>
                  </w:rPr>
                  <w:t> </w:t>
                </w:r>
                <w:r>
                  <w:rPr>
                    <w:rFonts w:ascii="Segoe UI"/>
                    <w:color w:val="808285"/>
                    <w:sz w:val="16"/>
                  </w:rPr>
                  <w:t>|</w:t>
                </w:r>
                <w:r>
                  <w:rPr>
                    <w:rFonts w:ascii="Segoe UI"/>
                    <w:color w:val="808285"/>
                    <w:spacing w:val="-4"/>
                    <w:sz w:val="16"/>
                  </w:rPr>
                  <w:t> </w:t>
                </w:r>
                <w:r>
                  <w:rPr>
                    <w:rFonts w:ascii="Segoe UI"/>
                    <w:color w:val="808285"/>
                    <w:spacing w:val="-1"/>
                    <w:sz w:val="16"/>
                  </w:rPr>
                  <w:t>Boarding:</w:t>
                </w:r>
                <w:r>
                  <w:rPr>
                    <w:rFonts w:ascii="Segoe UI"/>
                    <w:color w:val="808285"/>
                    <w:spacing w:val="-2"/>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3"/>
                    <w:sz w:val="16"/>
                  </w:rPr>
                  <w:t> </w:t>
                </w:r>
                <w:r>
                  <w:rPr>
                    <w:rFonts w:ascii="Segoe UI"/>
                    <w:color w:val="808285"/>
                    <w:sz w:val="16"/>
                  </w:rPr>
                  <w:t>outcomes</w:t>
                </w:r>
                <w:r>
                  <w:rPr>
                    <w:rFonts w:ascii="Segoe UI"/>
                    <w:color w:val="808285"/>
                    <w:spacing w:val="-3"/>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3"/>
                    <w:sz w:val="16"/>
                  </w:rPr>
                  <w:t> </w:t>
                </w:r>
                <w:r>
                  <w:rPr>
                    <w:rFonts w:ascii="Segoe UI"/>
                    <w:color w:val="808285"/>
                    <w:sz w:val="16"/>
                  </w:rPr>
                  <w:t>and</w:t>
                </w:r>
                <w:r>
                  <w:rPr>
                    <w:rFonts w:ascii="Segoe UI"/>
                    <w:color w:val="808285"/>
                    <w:spacing w:val="-3"/>
                    <w:sz w:val="16"/>
                  </w:rPr>
                  <w:t> 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sz w:val="16"/>
                  </w:rPr>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22.175095pt;margin-top:796.357666pt;width:304.25pt;height:10pt;mso-position-horizontal-relative:page;mso-position-vertical-relative:page;z-index:-228856"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color w:val="808285"/>
                    <w:spacing w:val="-1"/>
                    <w:sz w:val="16"/>
                  </w:rPr>
                  <w:t>Boarding:</w:t>
                </w:r>
                <w:r>
                  <w:rPr>
                    <w:rFonts w:ascii="Segoe UI"/>
                    <w:color w:val="808285"/>
                    <w:spacing w:val="-3"/>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2"/>
                    <w:sz w:val="16"/>
                  </w:rPr>
                  <w:t> </w:t>
                </w:r>
                <w:r>
                  <w:rPr>
                    <w:rFonts w:ascii="Segoe UI"/>
                    <w:color w:val="808285"/>
                    <w:sz w:val="16"/>
                  </w:rPr>
                  <w:t>outcomes</w:t>
                </w:r>
                <w:r>
                  <w:rPr>
                    <w:rFonts w:ascii="Segoe UI"/>
                    <w:color w:val="808285"/>
                    <w:spacing w:val="-4"/>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2"/>
                    <w:sz w:val="16"/>
                  </w:rPr>
                  <w:t> </w:t>
                </w:r>
                <w:r>
                  <w:rPr>
                    <w:rFonts w:ascii="Segoe UI"/>
                    <w:color w:val="808285"/>
                    <w:sz w:val="16"/>
                  </w:rPr>
                  <w:t>and</w:t>
                </w:r>
                <w:r>
                  <w:rPr>
                    <w:rFonts w:ascii="Segoe UI"/>
                    <w:color w:val="808285"/>
                    <w:spacing w:val="-4"/>
                    <w:sz w:val="16"/>
                  </w:rPr>
                  <w:t> </w:t>
                </w:r>
                <w:r>
                  <w:rPr>
                    <w:rFonts w:ascii="Segoe UI"/>
                    <w:color w:val="808285"/>
                    <w:spacing w:val="-3"/>
                    <w:sz w:val="16"/>
                  </w:rPr>
                  <w:t>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color w:val="808285"/>
                    <w:spacing w:val="-2"/>
                    <w:sz w:val="16"/>
                  </w:rPr>
                  <w:t> </w:t>
                </w:r>
                <w:r>
                  <w:rPr>
                    <w:rFonts w:ascii="Segoe UI"/>
                    <w:color w:val="808285"/>
                    <w:sz w:val="16"/>
                  </w:rPr>
                  <w:t>|</w:t>
                </w:r>
                <w:r>
                  <w:rPr>
                    <w:rFonts w:ascii="Segoe UI"/>
                    <w:color w:val="808285"/>
                    <w:spacing w:val="-4"/>
                    <w:sz w:val="16"/>
                  </w:rPr>
                  <w:t> </w:t>
                </w:r>
                <w:r>
                  <w:rPr>
                    <w:rFonts w:ascii="Segoe UI"/>
                    <w:b/>
                    <w:color w:val="808285"/>
                    <w:spacing w:val="-4"/>
                    <w:sz w:val="16"/>
                  </w:rPr>
                </w:r>
                <w:r>
                  <w:rPr/>
                  <w:fldChar w:fldCharType="begin"/>
                </w:r>
                <w:r>
                  <w:rPr>
                    <w:rFonts w:ascii="Segoe UI"/>
                    <w:b/>
                    <w:color w:val="808285"/>
                    <w:sz w:val="16"/>
                  </w:rPr>
                  <w:instrText> PAGE </w:instrText>
                </w:r>
                <w:r>
                  <w:rPr/>
                  <w:fldChar w:fldCharType="separate"/>
                </w:r>
                <w:r>
                  <w:rPr/>
                  <w:t>33</w:t>
                </w:r>
                <w:r>
                  <w:rPr/>
                  <w:fldChar w:fldCharType="end"/>
                </w:r>
                <w:r>
                  <w:rPr>
                    <w:rFonts w:ascii="Segoe UI"/>
                    <w:b/>
                    <w:color w:val="808285"/>
                    <w:spacing w:val="-1"/>
                    <w:sz w:val="16"/>
                  </w:rPr>
                </w:r>
                <w:r>
                  <w:rPr>
                    <w:rFonts w:ascii="Segoe UI"/>
                    <w:sz w:val="16"/>
                  </w:rPr>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9.866096pt;margin-top:796.357666pt;width:303.25pt;height:10pt;mso-position-horizontal-relative:page;mso-position-vertical-relative:page;z-index:-228832"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b/>
                    <w:color w:val="808285"/>
                    <w:spacing w:val="-1"/>
                    <w:sz w:val="16"/>
                  </w:rPr>
                  <w:t>40</w:t>
                </w:r>
                <w:r>
                  <w:rPr>
                    <w:rFonts w:ascii="Segoe UI"/>
                    <w:b/>
                    <w:color w:val="808285"/>
                    <w:spacing w:val="-4"/>
                    <w:sz w:val="16"/>
                  </w:rPr>
                  <w:t> </w:t>
                </w:r>
                <w:r>
                  <w:rPr>
                    <w:rFonts w:ascii="Segoe UI"/>
                    <w:color w:val="808285"/>
                    <w:sz w:val="16"/>
                  </w:rPr>
                  <w:t>|</w:t>
                </w:r>
                <w:r>
                  <w:rPr>
                    <w:rFonts w:ascii="Segoe UI"/>
                    <w:color w:val="808285"/>
                    <w:spacing w:val="-4"/>
                    <w:sz w:val="16"/>
                  </w:rPr>
                  <w:t> </w:t>
                </w:r>
                <w:r>
                  <w:rPr>
                    <w:rFonts w:ascii="Segoe UI"/>
                    <w:color w:val="808285"/>
                    <w:spacing w:val="-1"/>
                    <w:sz w:val="16"/>
                  </w:rPr>
                  <w:t>Boarding:</w:t>
                </w:r>
                <w:r>
                  <w:rPr>
                    <w:rFonts w:ascii="Segoe UI"/>
                    <w:color w:val="808285"/>
                    <w:spacing w:val="-2"/>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3"/>
                    <w:sz w:val="16"/>
                  </w:rPr>
                  <w:t> </w:t>
                </w:r>
                <w:r>
                  <w:rPr>
                    <w:rFonts w:ascii="Segoe UI"/>
                    <w:color w:val="808285"/>
                    <w:sz w:val="16"/>
                  </w:rPr>
                  <w:t>outcomes</w:t>
                </w:r>
                <w:r>
                  <w:rPr>
                    <w:rFonts w:ascii="Segoe UI"/>
                    <w:color w:val="808285"/>
                    <w:spacing w:val="-3"/>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3"/>
                    <w:sz w:val="16"/>
                  </w:rPr>
                  <w:t> </w:t>
                </w:r>
                <w:r>
                  <w:rPr>
                    <w:rFonts w:ascii="Segoe UI"/>
                    <w:color w:val="808285"/>
                    <w:sz w:val="16"/>
                  </w:rPr>
                  <w:t>and</w:t>
                </w:r>
                <w:r>
                  <w:rPr>
                    <w:rFonts w:ascii="Segoe UI"/>
                    <w:color w:val="808285"/>
                    <w:spacing w:val="-3"/>
                    <w:sz w:val="16"/>
                  </w:rPr>
                  <w:t> 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sz w:val="16"/>
                  </w:rPr>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22.175095pt;margin-top:796.357666pt;width:303.25pt;height:10pt;mso-position-horizontal-relative:page;mso-position-vertical-relative:page;z-index:-228808"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color w:val="808285"/>
                    <w:spacing w:val="-1"/>
                    <w:sz w:val="16"/>
                  </w:rPr>
                  <w:t>Boarding:</w:t>
                </w:r>
                <w:r>
                  <w:rPr>
                    <w:rFonts w:ascii="Segoe UI"/>
                    <w:color w:val="808285"/>
                    <w:spacing w:val="-3"/>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2"/>
                    <w:sz w:val="16"/>
                  </w:rPr>
                  <w:t> </w:t>
                </w:r>
                <w:r>
                  <w:rPr>
                    <w:rFonts w:ascii="Segoe UI"/>
                    <w:color w:val="808285"/>
                    <w:sz w:val="16"/>
                  </w:rPr>
                  <w:t>outcomes</w:t>
                </w:r>
                <w:r>
                  <w:rPr>
                    <w:rFonts w:ascii="Segoe UI"/>
                    <w:color w:val="808285"/>
                    <w:spacing w:val="-4"/>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2"/>
                    <w:sz w:val="16"/>
                  </w:rPr>
                  <w:t> </w:t>
                </w:r>
                <w:r>
                  <w:rPr>
                    <w:rFonts w:ascii="Segoe UI"/>
                    <w:color w:val="808285"/>
                    <w:sz w:val="16"/>
                  </w:rPr>
                  <w:t>and</w:t>
                </w:r>
                <w:r>
                  <w:rPr>
                    <w:rFonts w:ascii="Segoe UI"/>
                    <w:color w:val="808285"/>
                    <w:spacing w:val="-4"/>
                    <w:sz w:val="16"/>
                  </w:rPr>
                  <w:t> </w:t>
                </w:r>
                <w:r>
                  <w:rPr>
                    <w:rFonts w:ascii="Segoe UI"/>
                    <w:color w:val="808285"/>
                    <w:spacing w:val="-3"/>
                    <w:sz w:val="16"/>
                  </w:rPr>
                  <w:t>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color w:val="808285"/>
                    <w:spacing w:val="-2"/>
                    <w:sz w:val="16"/>
                  </w:rPr>
                  <w:t> </w:t>
                </w:r>
                <w:r>
                  <w:rPr>
                    <w:rFonts w:ascii="Segoe UI"/>
                    <w:color w:val="808285"/>
                    <w:sz w:val="16"/>
                  </w:rPr>
                  <w:t>|</w:t>
                </w:r>
                <w:r>
                  <w:rPr>
                    <w:rFonts w:ascii="Segoe UI"/>
                    <w:color w:val="808285"/>
                    <w:spacing w:val="-4"/>
                    <w:sz w:val="16"/>
                  </w:rPr>
                  <w:t> </w:t>
                </w:r>
                <w:r>
                  <w:rPr>
                    <w:rFonts w:ascii="Segoe UI"/>
                    <w:b/>
                    <w:color w:val="808285"/>
                    <w:spacing w:val="-1"/>
                    <w:sz w:val="16"/>
                  </w:rPr>
                  <w:t>41</w:t>
                </w:r>
                <w:r>
                  <w:rPr>
                    <w:rFonts w:ascii="Segoe UI"/>
                    <w:sz w:val="16"/>
                  </w:rPr>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8.866096pt;margin-top:796.357666pt;width:304.25pt;height:10pt;mso-position-horizontal-relative:page;mso-position-vertical-relative:page;z-index:-228784" type="#_x0000_t202" filled="false" stroked="false">
          <v:textbox inset="0,0,0,0">
            <w:txbxContent>
              <w:p>
                <w:pPr>
                  <w:spacing w:line="190" w:lineRule="exact" w:before="0"/>
                  <w:ind w:left="40" w:right="0" w:firstLine="0"/>
                  <w:jc w:val="left"/>
                  <w:rPr>
                    <w:rFonts w:ascii="Segoe UI" w:hAnsi="Segoe UI" w:cs="Segoe UI" w:eastAsia="Segoe UI"/>
                    <w:sz w:val="16"/>
                    <w:szCs w:val="16"/>
                  </w:rPr>
                </w:pPr>
                <w:r>
                  <w:rPr>
                    <w:rFonts w:ascii="Segoe UI"/>
                    <w:b/>
                    <w:color w:val="808285"/>
                    <w:sz w:val="16"/>
                  </w:rPr>
                </w:r>
                <w:r>
                  <w:rPr/>
                  <w:fldChar w:fldCharType="begin"/>
                </w:r>
                <w:r>
                  <w:rPr>
                    <w:rFonts w:ascii="Segoe UI"/>
                    <w:b/>
                    <w:color w:val="808285"/>
                    <w:sz w:val="16"/>
                  </w:rPr>
                  <w:instrText> PAGE </w:instrText>
                </w:r>
                <w:r>
                  <w:rPr/>
                  <w:fldChar w:fldCharType="separate"/>
                </w:r>
                <w:r>
                  <w:rPr/>
                  <w:t>42</w:t>
                </w:r>
                <w:r>
                  <w:rPr/>
                  <w:fldChar w:fldCharType="end"/>
                </w:r>
                <w:r>
                  <w:rPr>
                    <w:rFonts w:ascii="Segoe UI"/>
                    <w:b/>
                    <w:color w:val="808285"/>
                    <w:spacing w:val="-4"/>
                    <w:sz w:val="16"/>
                  </w:rPr>
                  <w:t> </w:t>
                </w:r>
                <w:r>
                  <w:rPr>
                    <w:rFonts w:ascii="Segoe UI"/>
                    <w:color w:val="808285"/>
                    <w:sz w:val="16"/>
                  </w:rPr>
                  <w:t>|</w:t>
                </w:r>
                <w:r>
                  <w:rPr>
                    <w:rFonts w:ascii="Segoe UI"/>
                    <w:color w:val="808285"/>
                    <w:spacing w:val="-4"/>
                    <w:sz w:val="16"/>
                  </w:rPr>
                  <w:t> </w:t>
                </w:r>
                <w:r>
                  <w:rPr>
                    <w:rFonts w:ascii="Segoe UI"/>
                    <w:color w:val="808285"/>
                    <w:spacing w:val="-1"/>
                    <w:sz w:val="16"/>
                  </w:rPr>
                  <w:t>Boarding:</w:t>
                </w:r>
                <w:r>
                  <w:rPr>
                    <w:rFonts w:ascii="Segoe UI"/>
                    <w:color w:val="808285"/>
                    <w:spacing w:val="-2"/>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3"/>
                    <w:sz w:val="16"/>
                  </w:rPr>
                  <w:t> </w:t>
                </w:r>
                <w:r>
                  <w:rPr>
                    <w:rFonts w:ascii="Segoe UI"/>
                    <w:color w:val="808285"/>
                    <w:sz w:val="16"/>
                  </w:rPr>
                  <w:t>outcomes</w:t>
                </w:r>
                <w:r>
                  <w:rPr>
                    <w:rFonts w:ascii="Segoe UI"/>
                    <w:color w:val="808285"/>
                    <w:spacing w:val="-3"/>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3"/>
                    <w:sz w:val="16"/>
                  </w:rPr>
                  <w:t> </w:t>
                </w:r>
                <w:r>
                  <w:rPr>
                    <w:rFonts w:ascii="Segoe UI"/>
                    <w:color w:val="808285"/>
                    <w:sz w:val="16"/>
                  </w:rPr>
                  <w:t>and</w:t>
                </w:r>
                <w:r>
                  <w:rPr>
                    <w:rFonts w:ascii="Segoe UI"/>
                    <w:color w:val="808285"/>
                    <w:spacing w:val="-3"/>
                    <w:sz w:val="16"/>
                  </w:rPr>
                  <w:t> 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sz w:val="16"/>
                  </w:rPr>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22.175095pt;margin-top:796.357666pt;width:304.25pt;height:10pt;mso-position-horizontal-relative:page;mso-position-vertical-relative:page;z-index:-228760"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color w:val="808285"/>
                    <w:spacing w:val="-1"/>
                    <w:sz w:val="16"/>
                  </w:rPr>
                  <w:t>Boarding:</w:t>
                </w:r>
                <w:r>
                  <w:rPr>
                    <w:rFonts w:ascii="Segoe UI"/>
                    <w:color w:val="808285"/>
                    <w:spacing w:val="-3"/>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2"/>
                    <w:sz w:val="16"/>
                  </w:rPr>
                  <w:t> </w:t>
                </w:r>
                <w:r>
                  <w:rPr>
                    <w:rFonts w:ascii="Segoe UI"/>
                    <w:color w:val="808285"/>
                    <w:sz w:val="16"/>
                  </w:rPr>
                  <w:t>outcomes</w:t>
                </w:r>
                <w:r>
                  <w:rPr>
                    <w:rFonts w:ascii="Segoe UI"/>
                    <w:color w:val="808285"/>
                    <w:spacing w:val="-4"/>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2"/>
                    <w:sz w:val="16"/>
                  </w:rPr>
                  <w:t> </w:t>
                </w:r>
                <w:r>
                  <w:rPr>
                    <w:rFonts w:ascii="Segoe UI"/>
                    <w:color w:val="808285"/>
                    <w:sz w:val="16"/>
                  </w:rPr>
                  <w:t>and</w:t>
                </w:r>
                <w:r>
                  <w:rPr>
                    <w:rFonts w:ascii="Segoe UI"/>
                    <w:color w:val="808285"/>
                    <w:spacing w:val="-4"/>
                    <w:sz w:val="16"/>
                  </w:rPr>
                  <w:t> </w:t>
                </w:r>
                <w:r>
                  <w:rPr>
                    <w:rFonts w:ascii="Segoe UI"/>
                    <w:color w:val="808285"/>
                    <w:spacing w:val="-3"/>
                    <w:sz w:val="16"/>
                  </w:rPr>
                  <w:t>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color w:val="808285"/>
                    <w:spacing w:val="-2"/>
                    <w:sz w:val="16"/>
                  </w:rPr>
                  <w:t> </w:t>
                </w:r>
                <w:r>
                  <w:rPr>
                    <w:rFonts w:ascii="Segoe UI"/>
                    <w:color w:val="808285"/>
                    <w:sz w:val="16"/>
                  </w:rPr>
                  <w:t>|</w:t>
                </w:r>
                <w:r>
                  <w:rPr>
                    <w:rFonts w:ascii="Segoe UI"/>
                    <w:color w:val="808285"/>
                    <w:spacing w:val="-4"/>
                    <w:sz w:val="16"/>
                  </w:rPr>
                  <w:t> </w:t>
                </w:r>
                <w:r>
                  <w:rPr>
                    <w:rFonts w:ascii="Segoe UI"/>
                    <w:b/>
                    <w:color w:val="808285"/>
                    <w:spacing w:val="-4"/>
                    <w:sz w:val="16"/>
                  </w:rPr>
                </w:r>
                <w:r>
                  <w:rPr/>
                  <w:fldChar w:fldCharType="begin"/>
                </w:r>
                <w:r>
                  <w:rPr>
                    <w:rFonts w:ascii="Segoe UI"/>
                    <w:b/>
                    <w:color w:val="808285"/>
                    <w:sz w:val="16"/>
                  </w:rPr>
                  <w:instrText> PAGE </w:instrText>
                </w:r>
                <w:r>
                  <w:rPr/>
                  <w:fldChar w:fldCharType="separate"/>
                </w:r>
                <w:r>
                  <w:rPr/>
                  <w:t>43</w:t>
                </w:r>
                <w:r>
                  <w:rPr/>
                  <w:fldChar w:fldCharType="end"/>
                </w:r>
                <w:r>
                  <w:rPr>
                    <w:rFonts w:ascii="Segoe UI"/>
                    <w:b/>
                    <w:color w:val="808285"/>
                    <w:spacing w:val="-1"/>
                    <w:sz w:val="16"/>
                  </w:rPr>
                </w:r>
                <w:r>
                  <w:rPr>
                    <w:rFonts w:ascii="Segoe UI"/>
                    <w:sz w:val="16"/>
                  </w:rPr>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9.866096pt;margin-top:796.357666pt;width:303.25pt;height:10pt;mso-position-horizontal-relative:page;mso-position-vertical-relative:page;z-index:-228736"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b/>
                    <w:color w:val="808285"/>
                    <w:spacing w:val="-1"/>
                    <w:sz w:val="16"/>
                  </w:rPr>
                  <w:t>50</w:t>
                </w:r>
                <w:r>
                  <w:rPr>
                    <w:rFonts w:ascii="Segoe UI"/>
                    <w:b/>
                    <w:color w:val="808285"/>
                    <w:spacing w:val="-4"/>
                    <w:sz w:val="16"/>
                  </w:rPr>
                  <w:t> </w:t>
                </w:r>
                <w:r>
                  <w:rPr>
                    <w:rFonts w:ascii="Segoe UI"/>
                    <w:color w:val="808285"/>
                    <w:sz w:val="16"/>
                  </w:rPr>
                  <w:t>|</w:t>
                </w:r>
                <w:r>
                  <w:rPr>
                    <w:rFonts w:ascii="Segoe UI"/>
                    <w:color w:val="808285"/>
                    <w:spacing w:val="-4"/>
                    <w:sz w:val="16"/>
                  </w:rPr>
                  <w:t> </w:t>
                </w:r>
                <w:r>
                  <w:rPr>
                    <w:rFonts w:ascii="Segoe UI"/>
                    <w:color w:val="808285"/>
                    <w:spacing w:val="-1"/>
                    <w:sz w:val="16"/>
                  </w:rPr>
                  <w:t>Boarding:</w:t>
                </w:r>
                <w:r>
                  <w:rPr>
                    <w:rFonts w:ascii="Segoe UI"/>
                    <w:color w:val="808285"/>
                    <w:spacing w:val="-2"/>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3"/>
                    <w:sz w:val="16"/>
                  </w:rPr>
                  <w:t> </w:t>
                </w:r>
                <w:r>
                  <w:rPr>
                    <w:rFonts w:ascii="Segoe UI"/>
                    <w:color w:val="808285"/>
                    <w:sz w:val="16"/>
                  </w:rPr>
                  <w:t>outcomes</w:t>
                </w:r>
                <w:r>
                  <w:rPr>
                    <w:rFonts w:ascii="Segoe UI"/>
                    <w:color w:val="808285"/>
                    <w:spacing w:val="-3"/>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3"/>
                    <w:sz w:val="16"/>
                  </w:rPr>
                  <w:t> </w:t>
                </w:r>
                <w:r>
                  <w:rPr>
                    <w:rFonts w:ascii="Segoe UI"/>
                    <w:color w:val="808285"/>
                    <w:sz w:val="16"/>
                  </w:rPr>
                  <w:t>and</w:t>
                </w:r>
                <w:r>
                  <w:rPr>
                    <w:rFonts w:ascii="Segoe UI"/>
                    <w:color w:val="808285"/>
                    <w:spacing w:val="-3"/>
                    <w:sz w:val="16"/>
                  </w:rPr>
                  <w:t> 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sz w:val="16"/>
                  </w:rPr>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26.776596pt;margin-top:796.357666pt;width:299.650pt;height:10pt;mso-position-horizontal-relative:page;mso-position-vertical-relative:page;z-index:-229144"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color w:val="808285"/>
                    <w:spacing w:val="-1"/>
                    <w:sz w:val="16"/>
                  </w:rPr>
                  <w:t>Boarding:</w:t>
                </w:r>
                <w:r>
                  <w:rPr>
                    <w:rFonts w:ascii="Segoe UI"/>
                    <w:color w:val="808285"/>
                    <w:spacing w:val="-3"/>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2"/>
                    <w:sz w:val="16"/>
                  </w:rPr>
                  <w:t> </w:t>
                </w:r>
                <w:r>
                  <w:rPr>
                    <w:rFonts w:ascii="Segoe UI"/>
                    <w:color w:val="808285"/>
                    <w:sz w:val="16"/>
                  </w:rPr>
                  <w:t>outcomes</w:t>
                </w:r>
                <w:r>
                  <w:rPr>
                    <w:rFonts w:ascii="Segoe UI"/>
                    <w:color w:val="808285"/>
                    <w:spacing w:val="-4"/>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2"/>
                    <w:sz w:val="16"/>
                  </w:rPr>
                  <w:t> </w:t>
                </w:r>
                <w:r>
                  <w:rPr>
                    <w:rFonts w:ascii="Segoe UI"/>
                    <w:color w:val="808285"/>
                    <w:sz w:val="16"/>
                  </w:rPr>
                  <w:t>and</w:t>
                </w:r>
                <w:r>
                  <w:rPr>
                    <w:rFonts w:ascii="Segoe UI"/>
                    <w:color w:val="808285"/>
                    <w:spacing w:val="-4"/>
                    <w:sz w:val="16"/>
                  </w:rPr>
                  <w:t> </w:t>
                </w:r>
                <w:r>
                  <w:rPr>
                    <w:rFonts w:ascii="Segoe UI"/>
                    <w:color w:val="808285"/>
                    <w:spacing w:val="-3"/>
                    <w:sz w:val="16"/>
                  </w:rPr>
                  <w:t>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color w:val="808285"/>
                    <w:spacing w:val="-2"/>
                    <w:sz w:val="16"/>
                  </w:rPr>
                  <w:t> </w:t>
                </w:r>
                <w:r>
                  <w:rPr>
                    <w:rFonts w:ascii="Segoe UI"/>
                    <w:color w:val="808285"/>
                    <w:sz w:val="16"/>
                  </w:rPr>
                  <w:t>|</w:t>
                </w:r>
                <w:r>
                  <w:rPr>
                    <w:rFonts w:ascii="Segoe UI"/>
                    <w:color w:val="808285"/>
                    <w:spacing w:val="-4"/>
                    <w:sz w:val="16"/>
                  </w:rPr>
                  <w:t> </w:t>
                </w:r>
                <w:r>
                  <w:rPr>
                    <w:rFonts w:ascii="Segoe UI"/>
                    <w:b/>
                    <w:color w:val="808285"/>
                    <w:spacing w:val="-4"/>
                    <w:sz w:val="16"/>
                  </w:rPr>
                </w:r>
                <w:r>
                  <w:rPr/>
                  <w:fldChar w:fldCharType="begin"/>
                </w:r>
                <w:r>
                  <w:rPr>
                    <w:rFonts w:ascii="Segoe UI"/>
                    <w:b/>
                    <w:color w:val="808285"/>
                    <w:sz w:val="16"/>
                  </w:rPr>
                  <w:instrText> PAGE </w:instrText>
                </w:r>
                <w:r>
                  <w:rPr/>
                  <w:fldChar w:fldCharType="separate"/>
                </w:r>
                <w:r>
                  <w:rPr/>
                  <w:t>3</w:t>
                </w:r>
                <w:r>
                  <w:rPr/>
                  <w:fldChar w:fldCharType="end"/>
                </w:r>
                <w:r>
                  <w:rPr>
                    <w:rFonts w:ascii="Segoe UI"/>
                    <w:sz w:val="16"/>
                  </w:rPr>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22.175095pt;margin-top:796.357666pt;width:303.25pt;height:10pt;mso-position-horizontal-relative:page;mso-position-vertical-relative:page;z-index:-228712"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color w:val="808285"/>
                    <w:spacing w:val="-1"/>
                    <w:sz w:val="16"/>
                  </w:rPr>
                  <w:t>Boarding:</w:t>
                </w:r>
                <w:r>
                  <w:rPr>
                    <w:rFonts w:ascii="Segoe UI"/>
                    <w:color w:val="808285"/>
                    <w:spacing w:val="-3"/>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2"/>
                    <w:sz w:val="16"/>
                  </w:rPr>
                  <w:t> </w:t>
                </w:r>
                <w:r>
                  <w:rPr>
                    <w:rFonts w:ascii="Segoe UI"/>
                    <w:color w:val="808285"/>
                    <w:sz w:val="16"/>
                  </w:rPr>
                  <w:t>outcomes</w:t>
                </w:r>
                <w:r>
                  <w:rPr>
                    <w:rFonts w:ascii="Segoe UI"/>
                    <w:color w:val="808285"/>
                    <w:spacing w:val="-4"/>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2"/>
                    <w:sz w:val="16"/>
                  </w:rPr>
                  <w:t> </w:t>
                </w:r>
                <w:r>
                  <w:rPr>
                    <w:rFonts w:ascii="Segoe UI"/>
                    <w:color w:val="808285"/>
                    <w:sz w:val="16"/>
                  </w:rPr>
                  <w:t>and</w:t>
                </w:r>
                <w:r>
                  <w:rPr>
                    <w:rFonts w:ascii="Segoe UI"/>
                    <w:color w:val="808285"/>
                    <w:spacing w:val="-4"/>
                    <w:sz w:val="16"/>
                  </w:rPr>
                  <w:t> </w:t>
                </w:r>
                <w:r>
                  <w:rPr>
                    <w:rFonts w:ascii="Segoe UI"/>
                    <w:color w:val="808285"/>
                    <w:spacing w:val="-3"/>
                    <w:sz w:val="16"/>
                  </w:rPr>
                  <w:t>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color w:val="808285"/>
                    <w:spacing w:val="-2"/>
                    <w:sz w:val="16"/>
                  </w:rPr>
                  <w:t> </w:t>
                </w:r>
                <w:r>
                  <w:rPr>
                    <w:rFonts w:ascii="Segoe UI"/>
                    <w:color w:val="808285"/>
                    <w:sz w:val="16"/>
                  </w:rPr>
                  <w:t>|</w:t>
                </w:r>
                <w:r>
                  <w:rPr>
                    <w:rFonts w:ascii="Segoe UI"/>
                    <w:color w:val="808285"/>
                    <w:spacing w:val="-4"/>
                    <w:sz w:val="16"/>
                  </w:rPr>
                  <w:t> </w:t>
                </w:r>
                <w:r>
                  <w:rPr>
                    <w:rFonts w:ascii="Segoe UI"/>
                    <w:b/>
                    <w:color w:val="808285"/>
                    <w:spacing w:val="-1"/>
                    <w:sz w:val="16"/>
                  </w:rPr>
                  <w:t>51</w:t>
                </w:r>
                <w:r>
                  <w:rPr>
                    <w:rFonts w:ascii="Segoe UI"/>
                    <w:sz w:val="16"/>
                  </w:rPr>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8.866096pt;margin-top:796.357666pt;width:304.25pt;height:10pt;mso-position-horizontal-relative:page;mso-position-vertical-relative:page;z-index:-228688" type="#_x0000_t202" filled="false" stroked="false">
          <v:textbox inset="0,0,0,0">
            <w:txbxContent>
              <w:p>
                <w:pPr>
                  <w:spacing w:line="190" w:lineRule="exact" w:before="0"/>
                  <w:ind w:left="40" w:right="0" w:firstLine="0"/>
                  <w:jc w:val="left"/>
                  <w:rPr>
                    <w:rFonts w:ascii="Segoe UI" w:hAnsi="Segoe UI" w:cs="Segoe UI" w:eastAsia="Segoe UI"/>
                    <w:sz w:val="16"/>
                    <w:szCs w:val="16"/>
                  </w:rPr>
                </w:pPr>
                <w:r>
                  <w:rPr>
                    <w:rFonts w:ascii="Segoe UI"/>
                    <w:b/>
                    <w:color w:val="808285"/>
                    <w:sz w:val="16"/>
                  </w:rPr>
                </w:r>
                <w:r>
                  <w:rPr/>
                  <w:fldChar w:fldCharType="begin"/>
                </w:r>
                <w:r>
                  <w:rPr>
                    <w:rFonts w:ascii="Segoe UI"/>
                    <w:b/>
                    <w:color w:val="808285"/>
                    <w:sz w:val="16"/>
                  </w:rPr>
                  <w:instrText> PAGE </w:instrText>
                </w:r>
                <w:r>
                  <w:rPr/>
                  <w:fldChar w:fldCharType="separate"/>
                </w:r>
                <w:r>
                  <w:rPr/>
                  <w:t>52</w:t>
                </w:r>
                <w:r>
                  <w:rPr/>
                  <w:fldChar w:fldCharType="end"/>
                </w:r>
                <w:r>
                  <w:rPr>
                    <w:rFonts w:ascii="Segoe UI"/>
                    <w:b/>
                    <w:color w:val="808285"/>
                    <w:spacing w:val="-4"/>
                    <w:sz w:val="16"/>
                  </w:rPr>
                  <w:t> </w:t>
                </w:r>
                <w:r>
                  <w:rPr>
                    <w:rFonts w:ascii="Segoe UI"/>
                    <w:color w:val="808285"/>
                    <w:sz w:val="16"/>
                  </w:rPr>
                  <w:t>|</w:t>
                </w:r>
                <w:r>
                  <w:rPr>
                    <w:rFonts w:ascii="Segoe UI"/>
                    <w:color w:val="808285"/>
                    <w:spacing w:val="-4"/>
                    <w:sz w:val="16"/>
                  </w:rPr>
                  <w:t> </w:t>
                </w:r>
                <w:r>
                  <w:rPr>
                    <w:rFonts w:ascii="Segoe UI"/>
                    <w:color w:val="808285"/>
                    <w:spacing w:val="-1"/>
                    <w:sz w:val="16"/>
                  </w:rPr>
                  <w:t>Boarding:</w:t>
                </w:r>
                <w:r>
                  <w:rPr>
                    <w:rFonts w:ascii="Segoe UI"/>
                    <w:color w:val="808285"/>
                    <w:spacing w:val="-2"/>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3"/>
                    <w:sz w:val="16"/>
                  </w:rPr>
                  <w:t> </w:t>
                </w:r>
                <w:r>
                  <w:rPr>
                    <w:rFonts w:ascii="Segoe UI"/>
                    <w:color w:val="808285"/>
                    <w:sz w:val="16"/>
                  </w:rPr>
                  <w:t>outcomes</w:t>
                </w:r>
                <w:r>
                  <w:rPr>
                    <w:rFonts w:ascii="Segoe UI"/>
                    <w:color w:val="808285"/>
                    <w:spacing w:val="-3"/>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3"/>
                    <w:sz w:val="16"/>
                  </w:rPr>
                  <w:t> </w:t>
                </w:r>
                <w:r>
                  <w:rPr>
                    <w:rFonts w:ascii="Segoe UI"/>
                    <w:color w:val="808285"/>
                    <w:sz w:val="16"/>
                  </w:rPr>
                  <w:t>and</w:t>
                </w:r>
                <w:r>
                  <w:rPr>
                    <w:rFonts w:ascii="Segoe UI"/>
                    <w:color w:val="808285"/>
                    <w:spacing w:val="-3"/>
                    <w:sz w:val="16"/>
                  </w:rPr>
                  <w:t> 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sz w:val="16"/>
                  </w:rPr>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22.175095pt;margin-top:796.357666pt;width:304.25pt;height:10pt;mso-position-horizontal-relative:page;mso-position-vertical-relative:page;z-index:-228664"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color w:val="808285"/>
                    <w:spacing w:val="-1"/>
                    <w:sz w:val="16"/>
                  </w:rPr>
                  <w:t>Boarding:</w:t>
                </w:r>
                <w:r>
                  <w:rPr>
                    <w:rFonts w:ascii="Segoe UI"/>
                    <w:color w:val="808285"/>
                    <w:spacing w:val="-3"/>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2"/>
                    <w:sz w:val="16"/>
                  </w:rPr>
                  <w:t> </w:t>
                </w:r>
                <w:r>
                  <w:rPr>
                    <w:rFonts w:ascii="Segoe UI"/>
                    <w:color w:val="808285"/>
                    <w:sz w:val="16"/>
                  </w:rPr>
                  <w:t>outcomes</w:t>
                </w:r>
                <w:r>
                  <w:rPr>
                    <w:rFonts w:ascii="Segoe UI"/>
                    <w:color w:val="808285"/>
                    <w:spacing w:val="-4"/>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2"/>
                    <w:sz w:val="16"/>
                  </w:rPr>
                  <w:t> </w:t>
                </w:r>
                <w:r>
                  <w:rPr>
                    <w:rFonts w:ascii="Segoe UI"/>
                    <w:color w:val="808285"/>
                    <w:sz w:val="16"/>
                  </w:rPr>
                  <w:t>and</w:t>
                </w:r>
                <w:r>
                  <w:rPr>
                    <w:rFonts w:ascii="Segoe UI"/>
                    <w:color w:val="808285"/>
                    <w:spacing w:val="-4"/>
                    <w:sz w:val="16"/>
                  </w:rPr>
                  <w:t> </w:t>
                </w:r>
                <w:r>
                  <w:rPr>
                    <w:rFonts w:ascii="Segoe UI"/>
                    <w:color w:val="808285"/>
                    <w:spacing w:val="-3"/>
                    <w:sz w:val="16"/>
                  </w:rPr>
                  <w:t>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color w:val="808285"/>
                    <w:spacing w:val="-2"/>
                    <w:sz w:val="16"/>
                  </w:rPr>
                  <w:t> </w:t>
                </w:r>
                <w:r>
                  <w:rPr>
                    <w:rFonts w:ascii="Segoe UI"/>
                    <w:color w:val="808285"/>
                    <w:sz w:val="16"/>
                  </w:rPr>
                  <w:t>|</w:t>
                </w:r>
                <w:r>
                  <w:rPr>
                    <w:rFonts w:ascii="Segoe UI"/>
                    <w:color w:val="808285"/>
                    <w:spacing w:val="-4"/>
                    <w:sz w:val="16"/>
                  </w:rPr>
                  <w:t> </w:t>
                </w:r>
                <w:r>
                  <w:rPr>
                    <w:rFonts w:ascii="Segoe UI"/>
                    <w:b/>
                    <w:color w:val="808285"/>
                    <w:spacing w:val="-4"/>
                    <w:sz w:val="16"/>
                  </w:rPr>
                </w:r>
                <w:r>
                  <w:rPr/>
                  <w:fldChar w:fldCharType="begin"/>
                </w:r>
                <w:r>
                  <w:rPr>
                    <w:rFonts w:ascii="Segoe UI"/>
                    <w:b/>
                    <w:color w:val="808285"/>
                    <w:sz w:val="16"/>
                  </w:rPr>
                  <w:instrText> PAGE </w:instrText>
                </w:r>
                <w:r>
                  <w:rPr/>
                  <w:fldChar w:fldCharType="separate"/>
                </w:r>
                <w:r>
                  <w:rPr/>
                  <w:t>53</w:t>
                </w:r>
                <w:r>
                  <w:rPr/>
                  <w:fldChar w:fldCharType="end"/>
                </w:r>
                <w:r>
                  <w:rPr>
                    <w:rFonts w:ascii="Segoe UI"/>
                    <w:b/>
                    <w:color w:val="808285"/>
                    <w:spacing w:val="-1"/>
                    <w:sz w:val="16"/>
                  </w:rPr>
                </w:r>
                <w:r>
                  <w:rPr>
                    <w:rFonts w:ascii="Segoe UI"/>
                    <w:sz w:val="16"/>
                  </w:rPr>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9.866096pt;margin-top:796.357666pt;width:303.25pt;height:10pt;mso-position-horizontal-relative:page;mso-position-vertical-relative:page;z-index:-228640"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b/>
                    <w:color w:val="808285"/>
                    <w:spacing w:val="-1"/>
                    <w:sz w:val="16"/>
                  </w:rPr>
                  <w:t>60</w:t>
                </w:r>
                <w:r>
                  <w:rPr>
                    <w:rFonts w:ascii="Segoe UI"/>
                    <w:b/>
                    <w:color w:val="808285"/>
                    <w:spacing w:val="-4"/>
                    <w:sz w:val="16"/>
                  </w:rPr>
                  <w:t> </w:t>
                </w:r>
                <w:r>
                  <w:rPr>
                    <w:rFonts w:ascii="Segoe UI"/>
                    <w:color w:val="808285"/>
                    <w:sz w:val="16"/>
                  </w:rPr>
                  <w:t>|</w:t>
                </w:r>
                <w:r>
                  <w:rPr>
                    <w:rFonts w:ascii="Segoe UI"/>
                    <w:color w:val="808285"/>
                    <w:spacing w:val="-4"/>
                    <w:sz w:val="16"/>
                  </w:rPr>
                  <w:t> </w:t>
                </w:r>
                <w:r>
                  <w:rPr>
                    <w:rFonts w:ascii="Segoe UI"/>
                    <w:color w:val="808285"/>
                    <w:spacing w:val="-1"/>
                    <w:sz w:val="16"/>
                  </w:rPr>
                  <w:t>Boarding:</w:t>
                </w:r>
                <w:r>
                  <w:rPr>
                    <w:rFonts w:ascii="Segoe UI"/>
                    <w:color w:val="808285"/>
                    <w:spacing w:val="-2"/>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3"/>
                    <w:sz w:val="16"/>
                  </w:rPr>
                  <w:t> </w:t>
                </w:r>
                <w:r>
                  <w:rPr>
                    <w:rFonts w:ascii="Segoe UI"/>
                    <w:color w:val="808285"/>
                    <w:sz w:val="16"/>
                  </w:rPr>
                  <w:t>outcomes</w:t>
                </w:r>
                <w:r>
                  <w:rPr>
                    <w:rFonts w:ascii="Segoe UI"/>
                    <w:color w:val="808285"/>
                    <w:spacing w:val="-3"/>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3"/>
                    <w:sz w:val="16"/>
                  </w:rPr>
                  <w:t> </w:t>
                </w:r>
                <w:r>
                  <w:rPr>
                    <w:rFonts w:ascii="Segoe UI"/>
                    <w:color w:val="808285"/>
                    <w:sz w:val="16"/>
                  </w:rPr>
                  <w:t>and</w:t>
                </w:r>
                <w:r>
                  <w:rPr>
                    <w:rFonts w:ascii="Segoe UI"/>
                    <w:color w:val="808285"/>
                    <w:spacing w:val="-3"/>
                    <w:sz w:val="16"/>
                  </w:rPr>
                  <w:t> 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sz w:val="16"/>
                  </w:rPr>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22.175095pt;margin-top:796.357666pt;width:303.25pt;height:10pt;mso-position-horizontal-relative:page;mso-position-vertical-relative:page;z-index:-228616"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color w:val="808285"/>
                    <w:spacing w:val="-1"/>
                    <w:sz w:val="16"/>
                  </w:rPr>
                  <w:t>Boarding:</w:t>
                </w:r>
                <w:r>
                  <w:rPr>
                    <w:rFonts w:ascii="Segoe UI"/>
                    <w:color w:val="808285"/>
                    <w:spacing w:val="-3"/>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2"/>
                    <w:sz w:val="16"/>
                  </w:rPr>
                  <w:t> </w:t>
                </w:r>
                <w:r>
                  <w:rPr>
                    <w:rFonts w:ascii="Segoe UI"/>
                    <w:color w:val="808285"/>
                    <w:sz w:val="16"/>
                  </w:rPr>
                  <w:t>outcomes</w:t>
                </w:r>
                <w:r>
                  <w:rPr>
                    <w:rFonts w:ascii="Segoe UI"/>
                    <w:color w:val="808285"/>
                    <w:spacing w:val="-4"/>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2"/>
                    <w:sz w:val="16"/>
                  </w:rPr>
                  <w:t> </w:t>
                </w:r>
                <w:r>
                  <w:rPr>
                    <w:rFonts w:ascii="Segoe UI"/>
                    <w:color w:val="808285"/>
                    <w:sz w:val="16"/>
                  </w:rPr>
                  <w:t>and</w:t>
                </w:r>
                <w:r>
                  <w:rPr>
                    <w:rFonts w:ascii="Segoe UI"/>
                    <w:color w:val="808285"/>
                    <w:spacing w:val="-4"/>
                    <w:sz w:val="16"/>
                  </w:rPr>
                  <w:t> </w:t>
                </w:r>
                <w:r>
                  <w:rPr>
                    <w:rFonts w:ascii="Segoe UI"/>
                    <w:color w:val="808285"/>
                    <w:spacing w:val="-3"/>
                    <w:sz w:val="16"/>
                  </w:rPr>
                  <w:t>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color w:val="808285"/>
                    <w:spacing w:val="-2"/>
                    <w:sz w:val="16"/>
                  </w:rPr>
                  <w:t> </w:t>
                </w:r>
                <w:r>
                  <w:rPr>
                    <w:rFonts w:ascii="Segoe UI"/>
                    <w:color w:val="808285"/>
                    <w:sz w:val="16"/>
                  </w:rPr>
                  <w:t>|</w:t>
                </w:r>
                <w:r>
                  <w:rPr>
                    <w:rFonts w:ascii="Segoe UI"/>
                    <w:color w:val="808285"/>
                    <w:spacing w:val="-4"/>
                    <w:sz w:val="16"/>
                  </w:rPr>
                  <w:t> </w:t>
                </w:r>
                <w:r>
                  <w:rPr>
                    <w:rFonts w:ascii="Segoe UI"/>
                    <w:b/>
                    <w:color w:val="808285"/>
                    <w:spacing w:val="-1"/>
                    <w:sz w:val="16"/>
                  </w:rPr>
                  <w:t>61</w:t>
                </w:r>
                <w:r>
                  <w:rPr>
                    <w:rFonts w:ascii="Segoe UI"/>
                    <w:sz w:val="16"/>
                  </w:rPr>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8.866096pt;margin-top:796.357666pt;width:304.25pt;height:10pt;mso-position-horizontal-relative:page;mso-position-vertical-relative:page;z-index:-228592" type="#_x0000_t202" filled="false" stroked="false">
          <v:textbox inset="0,0,0,0">
            <w:txbxContent>
              <w:p>
                <w:pPr>
                  <w:spacing w:line="190" w:lineRule="exact" w:before="0"/>
                  <w:ind w:left="40" w:right="0" w:firstLine="0"/>
                  <w:jc w:val="left"/>
                  <w:rPr>
                    <w:rFonts w:ascii="Segoe UI" w:hAnsi="Segoe UI" w:cs="Segoe UI" w:eastAsia="Segoe UI"/>
                    <w:sz w:val="16"/>
                    <w:szCs w:val="16"/>
                  </w:rPr>
                </w:pPr>
                <w:r>
                  <w:rPr>
                    <w:rFonts w:ascii="Segoe UI"/>
                    <w:b/>
                    <w:color w:val="808285"/>
                    <w:sz w:val="16"/>
                  </w:rPr>
                </w:r>
                <w:r>
                  <w:rPr/>
                  <w:fldChar w:fldCharType="begin"/>
                </w:r>
                <w:r>
                  <w:rPr>
                    <w:rFonts w:ascii="Segoe UI"/>
                    <w:b/>
                    <w:color w:val="808285"/>
                    <w:sz w:val="16"/>
                  </w:rPr>
                  <w:instrText> PAGE </w:instrText>
                </w:r>
                <w:r>
                  <w:rPr/>
                  <w:fldChar w:fldCharType="separate"/>
                </w:r>
                <w:r>
                  <w:rPr/>
                  <w:t>62</w:t>
                </w:r>
                <w:r>
                  <w:rPr/>
                  <w:fldChar w:fldCharType="end"/>
                </w:r>
                <w:r>
                  <w:rPr>
                    <w:rFonts w:ascii="Segoe UI"/>
                    <w:b/>
                    <w:color w:val="808285"/>
                    <w:spacing w:val="-4"/>
                    <w:sz w:val="16"/>
                  </w:rPr>
                  <w:t> </w:t>
                </w:r>
                <w:r>
                  <w:rPr>
                    <w:rFonts w:ascii="Segoe UI"/>
                    <w:color w:val="808285"/>
                    <w:sz w:val="16"/>
                  </w:rPr>
                  <w:t>|</w:t>
                </w:r>
                <w:r>
                  <w:rPr>
                    <w:rFonts w:ascii="Segoe UI"/>
                    <w:color w:val="808285"/>
                    <w:spacing w:val="-4"/>
                    <w:sz w:val="16"/>
                  </w:rPr>
                  <w:t> </w:t>
                </w:r>
                <w:r>
                  <w:rPr>
                    <w:rFonts w:ascii="Segoe UI"/>
                    <w:color w:val="808285"/>
                    <w:spacing w:val="-1"/>
                    <w:sz w:val="16"/>
                  </w:rPr>
                  <w:t>Boarding:</w:t>
                </w:r>
                <w:r>
                  <w:rPr>
                    <w:rFonts w:ascii="Segoe UI"/>
                    <w:color w:val="808285"/>
                    <w:spacing w:val="-2"/>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3"/>
                    <w:sz w:val="16"/>
                  </w:rPr>
                  <w:t> </w:t>
                </w:r>
                <w:r>
                  <w:rPr>
                    <w:rFonts w:ascii="Segoe UI"/>
                    <w:color w:val="808285"/>
                    <w:sz w:val="16"/>
                  </w:rPr>
                  <w:t>outcomes</w:t>
                </w:r>
                <w:r>
                  <w:rPr>
                    <w:rFonts w:ascii="Segoe UI"/>
                    <w:color w:val="808285"/>
                    <w:spacing w:val="-3"/>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3"/>
                    <w:sz w:val="16"/>
                  </w:rPr>
                  <w:t> </w:t>
                </w:r>
                <w:r>
                  <w:rPr>
                    <w:rFonts w:ascii="Segoe UI"/>
                    <w:color w:val="808285"/>
                    <w:sz w:val="16"/>
                  </w:rPr>
                  <w:t>and</w:t>
                </w:r>
                <w:r>
                  <w:rPr>
                    <w:rFonts w:ascii="Segoe UI"/>
                    <w:color w:val="808285"/>
                    <w:spacing w:val="-3"/>
                    <w:sz w:val="16"/>
                  </w:rPr>
                  <w:t> 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sz w:val="16"/>
                  </w:rPr>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22.175095pt;margin-top:796.357666pt;width:304.25pt;height:10pt;mso-position-horizontal-relative:page;mso-position-vertical-relative:page;z-index:-228568"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color w:val="808285"/>
                    <w:spacing w:val="-1"/>
                    <w:sz w:val="16"/>
                  </w:rPr>
                  <w:t>Boarding:</w:t>
                </w:r>
                <w:r>
                  <w:rPr>
                    <w:rFonts w:ascii="Segoe UI"/>
                    <w:color w:val="808285"/>
                    <w:spacing w:val="-3"/>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2"/>
                    <w:sz w:val="16"/>
                  </w:rPr>
                  <w:t> </w:t>
                </w:r>
                <w:r>
                  <w:rPr>
                    <w:rFonts w:ascii="Segoe UI"/>
                    <w:color w:val="808285"/>
                    <w:sz w:val="16"/>
                  </w:rPr>
                  <w:t>outcomes</w:t>
                </w:r>
                <w:r>
                  <w:rPr>
                    <w:rFonts w:ascii="Segoe UI"/>
                    <w:color w:val="808285"/>
                    <w:spacing w:val="-4"/>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2"/>
                    <w:sz w:val="16"/>
                  </w:rPr>
                  <w:t> </w:t>
                </w:r>
                <w:r>
                  <w:rPr>
                    <w:rFonts w:ascii="Segoe UI"/>
                    <w:color w:val="808285"/>
                    <w:sz w:val="16"/>
                  </w:rPr>
                  <w:t>and</w:t>
                </w:r>
                <w:r>
                  <w:rPr>
                    <w:rFonts w:ascii="Segoe UI"/>
                    <w:color w:val="808285"/>
                    <w:spacing w:val="-4"/>
                    <w:sz w:val="16"/>
                  </w:rPr>
                  <w:t> </w:t>
                </w:r>
                <w:r>
                  <w:rPr>
                    <w:rFonts w:ascii="Segoe UI"/>
                    <w:color w:val="808285"/>
                    <w:spacing w:val="-3"/>
                    <w:sz w:val="16"/>
                  </w:rPr>
                  <w:t>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color w:val="808285"/>
                    <w:spacing w:val="-2"/>
                    <w:sz w:val="16"/>
                  </w:rPr>
                  <w:t> </w:t>
                </w:r>
                <w:r>
                  <w:rPr>
                    <w:rFonts w:ascii="Segoe UI"/>
                    <w:color w:val="808285"/>
                    <w:sz w:val="16"/>
                  </w:rPr>
                  <w:t>|</w:t>
                </w:r>
                <w:r>
                  <w:rPr>
                    <w:rFonts w:ascii="Segoe UI"/>
                    <w:color w:val="808285"/>
                    <w:spacing w:val="-4"/>
                    <w:sz w:val="16"/>
                  </w:rPr>
                  <w:t> </w:t>
                </w:r>
                <w:r>
                  <w:rPr>
                    <w:rFonts w:ascii="Segoe UI"/>
                    <w:b/>
                    <w:color w:val="808285"/>
                    <w:spacing w:val="-4"/>
                    <w:sz w:val="16"/>
                  </w:rPr>
                </w:r>
                <w:r>
                  <w:rPr/>
                  <w:fldChar w:fldCharType="begin"/>
                </w:r>
                <w:r>
                  <w:rPr>
                    <w:rFonts w:ascii="Segoe UI"/>
                    <w:b/>
                    <w:color w:val="808285"/>
                    <w:sz w:val="16"/>
                  </w:rPr>
                  <w:instrText> PAGE </w:instrText>
                </w:r>
                <w:r>
                  <w:rPr/>
                  <w:fldChar w:fldCharType="separate"/>
                </w:r>
                <w:r>
                  <w:rPr/>
                  <w:t>63</w:t>
                </w:r>
                <w:r>
                  <w:rPr/>
                  <w:fldChar w:fldCharType="end"/>
                </w:r>
                <w:r>
                  <w:rPr>
                    <w:rFonts w:ascii="Segoe UI"/>
                    <w:b/>
                    <w:color w:val="808285"/>
                    <w:spacing w:val="-1"/>
                    <w:sz w:val="16"/>
                  </w:rPr>
                </w:r>
                <w:r>
                  <w:rPr>
                    <w:rFonts w:ascii="Segoe UI"/>
                    <w:sz w:val="16"/>
                  </w:rPr>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9.866096pt;margin-top:796.357666pt;width:303.25pt;height:10pt;mso-position-horizontal-relative:page;mso-position-vertical-relative:page;z-index:-228544"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b/>
                    <w:color w:val="808285"/>
                    <w:spacing w:val="-1"/>
                    <w:sz w:val="16"/>
                  </w:rPr>
                  <w:t>70</w:t>
                </w:r>
                <w:r>
                  <w:rPr>
                    <w:rFonts w:ascii="Segoe UI"/>
                    <w:b/>
                    <w:color w:val="808285"/>
                    <w:spacing w:val="-4"/>
                    <w:sz w:val="16"/>
                  </w:rPr>
                  <w:t> </w:t>
                </w:r>
                <w:r>
                  <w:rPr>
                    <w:rFonts w:ascii="Segoe UI"/>
                    <w:color w:val="808285"/>
                    <w:sz w:val="16"/>
                  </w:rPr>
                  <w:t>|</w:t>
                </w:r>
                <w:r>
                  <w:rPr>
                    <w:rFonts w:ascii="Segoe UI"/>
                    <w:color w:val="808285"/>
                    <w:spacing w:val="-4"/>
                    <w:sz w:val="16"/>
                  </w:rPr>
                  <w:t> </w:t>
                </w:r>
                <w:r>
                  <w:rPr>
                    <w:rFonts w:ascii="Segoe UI"/>
                    <w:color w:val="808285"/>
                    <w:spacing w:val="-1"/>
                    <w:sz w:val="16"/>
                  </w:rPr>
                  <w:t>Boarding:</w:t>
                </w:r>
                <w:r>
                  <w:rPr>
                    <w:rFonts w:ascii="Segoe UI"/>
                    <w:color w:val="808285"/>
                    <w:spacing w:val="-2"/>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3"/>
                    <w:sz w:val="16"/>
                  </w:rPr>
                  <w:t> </w:t>
                </w:r>
                <w:r>
                  <w:rPr>
                    <w:rFonts w:ascii="Segoe UI"/>
                    <w:color w:val="808285"/>
                    <w:sz w:val="16"/>
                  </w:rPr>
                  <w:t>outcomes</w:t>
                </w:r>
                <w:r>
                  <w:rPr>
                    <w:rFonts w:ascii="Segoe UI"/>
                    <w:color w:val="808285"/>
                    <w:spacing w:val="-3"/>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3"/>
                    <w:sz w:val="16"/>
                  </w:rPr>
                  <w:t> </w:t>
                </w:r>
                <w:r>
                  <w:rPr>
                    <w:rFonts w:ascii="Segoe UI"/>
                    <w:color w:val="808285"/>
                    <w:sz w:val="16"/>
                  </w:rPr>
                  <w:t>and</w:t>
                </w:r>
                <w:r>
                  <w:rPr>
                    <w:rFonts w:ascii="Segoe UI"/>
                    <w:color w:val="808285"/>
                    <w:spacing w:val="-3"/>
                    <w:sz w:val="16"/>
                  </w:rPr>
                  <w:t> 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sz w:val="16"/>
                  </w:rPr>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22.175095pt;margin-top:796.357666pt;width:303.25pt;height:10pt;mso-position-horizontal-relative:page;mso-position-vertical-relative:page;z-index:-228520"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color w:val="808285"/>
                    <w:spacing w:val="-1"/>
                    <w:sz w:val="16"/>
                  </w:rPr>
                  <w:t>Boarding:</w:t>
                </w:r>
                <w:r>
                  <w:rPr>
                    <w:rFonts w:ascii="Segoe UI"/>
                    <w:color w:val="808285"/>
                    <w:spacing w:val="-3"/>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2"/>
                    <w:sz w:val="16"/>
                  </w:rPr>
                  <w:t> </w:t>
                </w:r>
                <w:r>
                  <w:rPr>
                    <w:rFonts w:ascii="Segoe UI"/>
                    <w:color w:val="808285"/>
                    <w:sz w:val="16"/>
                  </w:rPr>
                  <w:t>outcomes</w:t>
                </w:r>
                <w:r>
                  <w:rPr>
                    <w:rFonts w:ascii="Segoe UI"/>
                    <w:color w:val="808285"/>
                    <w:spacing w:val="-4"/>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2"/>
                    <w:sz w:val="16"/>
                  </w:rPr>
                  <w:t> </w:t>
                </w:r>
                <w:r>
                  <w:rPr>
                    <w:rFonts w:ascii="Segoe UI"/>
                    <w:color w:val="808285"/>
                    <w:sz w:val="16"/>
                  </w:rPr>
                  <w:t>and</w:t>
                </w:r>
                <w:r>
                  <w:rPr>
                    <w:rFonts w:ascii="Segoe UI"/>
                    <w:color w:val="808285"/>
                    <w:spacing w:val="-4"/>
                    <w:sz w:val="16"/>
                  </w:rPr>
                  <w:t> </w:t>
                </w:r>
                <w:r>
                  <w:rPr>
                    <w:rFonts w:ascii="Segoe UI"/>
                    <w:color w:val="808285"/>
                    <w:spacing w:val="-3"/>
                    <w:sz w:val="16"/>
                  </w:rPr>
                  <w:t>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color w:val="808285"/>
                    <w:spacing w:val="-2"/>
                    <w:sz w:val="16"/>
                  </w:rPr>
                  <w:t> </w:t>
                </w:r>
                <w:r>
                  <w:rPr>
                    <w:rFonts w:ascii="Segoe UI"/>
                    <w:color w:val="808285"/>
                    <w:sz w:val="16"/>
                  </w:rPr>
                  <w:t>|</w:t>
                </w:r>
                <w:r>
                  <w:rPr>
                    <w:rFonts w:ascii="Segoe UI"/>
                    <w:color w:val="808285"/>
                    <w:spacing w:val="-4"/>
                    <w:sz w:val="16"/>
                  </w:rPr>
                  <w:t> </w:t>
                </w:r>
                <w:r>
                  <w:rPr>
                    <w:rFonts w:ascii="Segoe UI"/>
                    <w:b/>
                    <w:color w:val="808285"/>
                    <w:spacing w:val="-1"/>
                    <w:sz w:val="16"/>
                  </w:rPr>
                  <w:t>71</w:t>
                </w:r>
                <w:r>
                  <w:rPr>
                    <w:rFonts w:ascii="Segoe UI"/>
                    <w:sz w:val="16"/>
                  </w:rPr>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8.866096pt;margin-top:796.357666pt;width:304.25pt;height:10pt;mso-position-horizontal-relative:page;mso-position-vertical-relative:page;z-index:-228496" type="#_x0000_t202" filled="false" stroked="false">
          <v:textbox inset="0,0,0,0">
            <w:txbxContent>
              <w:p>
                <w:pPr>
                  <w:spacing w:line="190" w:lineRule="exact" w:before="0"/>
                  <w:ind w:left="40" w:right="0" w:firstLine="0"/>
                  <w:jc w:val="left"/>
                  <w:rPr>
                    <w:rFonts w:ascii="Segoe UI" w:hAnsi="Segoe UI" w:cs="Segoe UI" w:eastAsia="Segoe UI"/>
                    <w:sz w:val="16"/>
                    <w:szCs w:val="16"/>
                  </w:rPr>
                </w:pPr>
                <w:r>
                  <w:rPr>
                    <w:rFonts w:ascii="Segoe UI"/>
                    <w:b/>
                    <w:color w:val="808285"/>
                    <w:sz w:val="16"/>
                  </w:rPr>
                </w:r>
                <w:r>
                  <w:rPr/>
                  <w:fldChar w:fldCharType="begin"/>
                </w:r>
                <w:r>
                  <w:rPr>
                    <w:rFonts w:ascii="Segoe UI"/>
                    <w:b/>
                    <w:color w:val="808285"/>
                    <w:sz w:val="16"/>
                  </w:rPr>
                  <w:instrText> PAGE </w:instrText>
                </w:r>
                <w:r>
                  <w:rPr/>
                  <w:fldChar w:fldCharType="separate"/>
                </w:r>
                <w:r>
                  <w:rPr/>
                  <w:t>72</w:t>
                </w:r>
                <w:r>
                  <w:rPr/>
                  <w:fldChar w:fldCharType="end"/>
                </w:r>
                <w:r>
                  <w:rPr>
                    <w:rFonts w:ascii="Segoe UI"/>
                    <w:b/>
                    <w:color w:val="808285"/>
                    <w:spacing w:val="-4"/>
                    <w:sz w:val="16"/>
                  </w:rPr>
                  <w:t> </w:t>
                </w:r>
                <w:r>
                  <w:rPr>
                    <w:rFonts w:ascii="Segoe UI"/>
                    <w:color w:val="808285"/>
                    <w:sz w:val="16"/>
                  </w:rPr>
                  <w:t>|</w:t>
                </w:r>
                <w:r>
                  <w:rPr>
                    <w:rFonts w:ascii="Segoe UI"/>
                    <w:color w:val="808285"/>
                    <w:spacing w:val="-4"/>
                    <w:sz w:val="16"/>
                  </w:rPr>
                  <w:t> </w:t>
                </w:r>
                <w:r>
                  <w:rPr>
                    <w:rFonts w:ascii="Segoe UI"/>
                    <w:color w:val="808285"/>
                    <w:spacing w:val="-1"/>
                    <w:sz w:val="16"/>
                  </w:rPr>
                  <w:t>Boarding:</w:t>
                </w:r>
                <w:r>
                  <w:rPr>
                    <w:rFonts w:ascii="Segoe UI"/>
                    <w:color w:val="808285"/>
                    <w:spacing w:val="-2"/>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3"/>
                    <w:sz w:val="16"/>
                  </w:rPr>
                  <w:t> </w:t>
                </w:r>
                <w:r>
                  <w:rPr>
                    <w:rFonts w:ascii="Segoe UI"/>
                    <w:color w:val="808285"/>
                    <w:sz w:val="16"/>
                  </w:rPr>
                  <w:t>outcomes</w:t>
                </w:r>
                <w:r>
                  <w:rPr>
                    <w:rFonts w:ascii="Segoe UI"/>
                    <w:color w:val="808285"/>
                    <w:spacing w:val="-3"/>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3"/>
                    <w:sz w:val="16"/>
                  </w:rPr>
                  <w:t> </w:t>
                </w:r>
                <w:r>
                  <w:rPr>
                    <w:rFonts w:ascii="Segoe UI"/>
                    <w:color w:val="808285"/>
                    <w:sz w:val="16"/>
                  </w:rPr>
                  <w:t>and</w:t>
                </w:r>
                <w:r>
                  <w:rPr>
                    <w:rFonts w:ascii="Segoe UI"/>
                    <w:color w:val="808285"/>
                    <w:spacing w:val="-3"/>
                    <w:sz w:val="16"/>
                  </w:rPr>
                  <w:t> 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sz w:val="16"/>
                  </w:rPr>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9.866096pt;margin-top:796.357666pt;width:303.25pt;height:10pt;mso-position-horizontal-relative:page;mso-position-vertical-relative:page;z-index:-229120"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b/>
                    <w:color w:val="808285"/>
                    <w:spacing w:val="-1"/>
                    <w:sz w:val="16"/>
                  </w:rPr>
                  <w:t>10</w:t>
                </w:r>
                <w:r>
                  <w:rPr>
                    <w:rFonts w:ascii="Segoe UI"/>
                    <w:b/>
                    <w:color w:val="808285"/>
                    <w:spacing w:val="-4"/>
                    <w:sz w:val="16"/>
                  </w:rPr>
                  <w:t> </w:t>
                </w:r>
                <w:r>
                  <w:rPr>
                    <w:rFonts w:ascii="Segoe UI"/>
                    <w:color w:val="808285"/>
                    <w:sz w:val="16"/>
                  </w:rPr>
                  <w:t>|</w:t>
                </w:r>
                <w:r>
                  <w:rPr>
                    <w:rFonts w:ascii="Segoe UI"/>
                    <w:color w:val="808285"/>
                    <w:spacing w:val="-4"/>
                    <w:sz w:val="16"/>
                  </w:rPr>
                  <w:t> </w:t>
                </w:r>
                <w:r>
                  <w:rPr>
                    <w:rFonts w:ascii="Segoe UI"/>
                    <w:color w:val="808285"/>
                    <w:spacing w:val="-1"/>
                    <w:sz w:val="16"/>
                  </w:rPr>
                  <w:t>Boarding:</w:t>
                </w:r>
                <w:r>
                  <w:rPr>
                    <w:rFonts w:ascii="Segoe UI"/>
                    <w:color w:val="808285"/>
                    <w:spacing w:val="-2"/>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3"/>
                    <w:sz w:val="16"/>
                  </w:rPr>
                  <w:t> </w:t>
                </w:r>
                <w:r>
                  <w:rPr>
                    <w:rFonts w:ascii="Segoe UI"/>
                    <w:color w:val="808285"/>
                    <w:sz w:val="16"/>
                  </w:rPr>
                  <w:t>outcomes</w:t>
                </w:r>
                <w:r>
                  <w:rPr>
                    <w:rFonts w:ascii="Segoe UI"/>
                    <w:color w:val="808285"/>
                    <w:spacing w:val="-3"/>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3"/>
                    <w:sz w:val="16"/>
                  </w:rPr>
                  <w:t> </w:t>
                </w:r>
                <w:r>
                  <w:rPr>
                    <w:rFonts w:ascii="Segoe UI"/>
                    <w:color w:val="808285"/>
                    <w:sz w:val="16"/>
                  </w:rPr>
                  <w:t>and</w:t>
                </w:r>
                <w:r>
                  <w:rPr>
                    <w:rFonts w:ascii="Segoe UI"/>
                    <w:color w:val="808285"/>
                    <w:spacing w:val="-3"/>
                    <w:sz w:val="16"/>
                  </w:rPr>
                  <w:t> 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sz w:val="16"/>
                  </w:rPr>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22.175095pt;margin-top:796.357666pt;width:304.25pt;height:10pt;mso-position-horizontal-relative:page;mso-position-vertical-relative:page;z-index:-228472"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color w:val="808285"/>
                    <w:spacing w:val="-1"/>
                    <w:sz w:val="16"/>
                  </w:rPr>
                  <w:t>Boarding:</w:t>
                </w:r>
                <w:r>
                  <w:rPr>
                    <w:rFonts w:ascii="Segoe UI"/>
                    <w:color w:val="808285"/>
                    <w:spacing w:val="-3"/>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2"/>
                    <w:sz w:val="16"/>
                  </w:rPr>
                  <w:t> </w:t>
                </w:r>
                <w:r>
                  <w:rPr>
                    <w:rFonts w:ascii="Segoe UI"/>
                    <w:color w:val="808285"/>
                    <w:sz w:val="16"/>
                  </w:rPr>
                  <w:t>outcomes</w:t>
                </w:r>
                <w:r>
                  <w:rPr>
                    <w:rFonts w:ascii="Segoe UI"/>
                    <w:color w:val="808285"/>
                    <w:spacing w:val="-4"/>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2"/>
                    <w:sz w:val="16"/>
                  </w:rPr>
                  <w:t> </w:t>
                </w:r>
                <w:r>
                  <w:rPr>
                    <w:rFonts w:ascii="Segoe UI"/>
                    <w:color w:val="808285"/>
                    <w:sz w:val="16"/>
                  </w:rPr>
                  <w:t>and</w:t>
                </w:r>
                <w:r>
                  <w:rPr>
                    <w:rFonts w:ascii="Segoe UI"/>
                    <w:color w:val="808285"/>
                    <w:spacing w:val="-4"/>
                    <w:sz w:val="16"/>
                  </w:rPr>
                  <w:t> </w:t>
                </w:r>
                <w:r>
                  <w:rPr>
                    <w:rFonts w:ascii="Segoe UI"/>
                    <w:color w:val="808285"/>
                    <w:spacing w:val="-3"/>
                    <w:sz w:val="16"/>
                  </w:rPr>
                  <w:t>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color w:val="808285"/>
                    <w:spacing w:val="-2"/>
                    <w:sz w:val="16"/>
                  </w:rPr>
                  <w:t> </w:t>
                </w:r>
                <w:r>
                  <w:rPr>
                    <w:rFonts w:ascii="Segoe UI"/>
                    <w:color w:val="808285"/>
                    <w:sz w:val="16"/>
                  </w:rPr>
                  <w:t>|</w:t>
                </w:r>
                <w:r>
                  <w:rPr>
                    <w:rFonts w:ascii="Segoe UI"/>
                    <w:color w:val="808285"/>
                    <w:spacing w:val="-4"/>
                    <w:sz w:val="16"/>
                  </w:rPr>
                  <w:t> </w:t>
                </w:r>
                <w:r>
                  <w:rPr>
                    <w:rFonts w:ascii="Segoe UI"/>
                    <w:b/>
                    <w:color w:val="808285"/>
                    <w:spacing w:val="-4"/>
                    <w:sz w:val="16"/>
                  </w:rPr>
                </w:r>
                <w:r>
                  <w:rPr/>
                  <w:fldChar w:fldCharType="begin"/>
                </w:r>
                <w:r>
                  <w:rPr>
                    <w:rFonts w:ascii="Segoe UI"/>
                    <w:b/>
                    <w:color w:val="808285"/>
                    <w:sz w:val="16"/>
                  </w:rPr>
                  <w:instrText> PAGE </w:instrText>
                </w:r>
                <w:r>
                  <w:rPr/>
                  <w:fldChar w:fldCharType="separate"/>
                </w:r>
                <w:r>
                  <w:rPr/>
                  <w:t>73</w:t>
                </w:r>
                <w:r>
                  <w:rPr/>
                  <w:fldChar w:fldCharType="end"/>
                </w:r>
                <w:r>
                  <w:rPr>
                    <w:rFonts w:ascii="Segoe UI"/>
                    <w:b/>
                    <w:color w:val="808285"/>
                    <w:spacing w:val="-1"/>
                    <w:sz w:val="16"/>
                  </w:rPr>
                </w:r>
                <w:r>
                  <w:rPr>
                    <w:rFonts w:ascii="Segoe UI"/>
                    <w:sz w:val="16"/>
                  </w:rPr>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9.866096pt;margin-top:796.357666pt;width:303.25pt;height:10pt;mso-position-horizontal-relative:page;mso-position-vertical-relative:page;z-index:-228448"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b/>
                    <w:color w:val="808285"/>
                    <w:spacing w:val="-1"/>
                    <w:sz w:val="16"/>
                  </w:rPr>
                  <w:t>80</w:t>
                </w:r>
                <w:r>
                  <w:rPr>
                    <w:rFonts w:ascii="Segoe UI"/>
                    <w:b/>
                    <w:color w:val="808285"/>
                    <w:spacing w:val="-4"/>
                    <w:sz w:val="16"/>
                  </w:rPr>
                  <w:t> </w:t>
                </w:r>
                <w:r>
                  <w:rPr>
                    <w:rFonts w:ascii="Segoe UI"/>
                    <w:color w:val="808285"/>
                    <w:sz w:val="16"/>
                  </w:rPr>
                  <w:t>|</w:t>
                </w:r>
                <w:r>
                  <w:rPr>
                    <w:rFonts w:ascii="Segoe UI"/>
                    <w:color w:val="808285"/>
                    <w:spacing w:val="-4"/>
                    <w:sz w:val="16"/>
                  </w:rPr>
                  <w:t> </w:t>
                </w:r>
                <w:r>
                  <w:rPr>
                    <w:rFonts w:ascii="Segoe UI"/>
                    <w:color w:val="808285"/>
                    <w:spacing w:val="-1"/>
                    <w:sz w:val="16"/>
                  </w:rPr>
                  <w:t>Boarding:</w:t>
                </w:r>
                <w:r>
                  <w:rPr>
                    <w:rFonts w:ascii="Segoe UI"/>
                    <w:color w:val="808285"/>
                    <w:spacing w:val="-2"/>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3"/>
                    <w:sz w:val="16"/>
                  </w:rPr>
                  <w:t> </w:t>
                </w:r>
                <w:r>
                  <w:rPr>
                    <w:rFonts w:ascii="Segoe UI"/>
                    <w:color w:val="808285"/>
                    <w:sz w:val="16"/>
                  </w:rPr>
                  <w:t>outcomes</w:t>
                </w:r>
                <w:r>
                  <w:rPr>
                    <w:rFonts w:ascii="Segoe UI"/>
                    <w:color w:val="808285"/>
                    <w:spacing w:val="-3"/>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3"/>
                    <w:sz w:val="16"/>
                  </w:rPr>
                  <w:t> </w:t>
                </w:r>
                <w:r>
                  <w:rPr>
                    <w:rFonts w:ascii="Segoe UI"/>
                    <w:color w:val="808285"/>
                    <w:sz w:val="16"/>
                  </w:rPr>
                  <w:t>and</w:t>
                </w:r>
                <w:r>
                  <w:rPr>
                    <w:rFonts w:ascii="Segoe UI"/>
                    <w:color w:val="808285"/>
                    <w:spacing w:val="-3"/>
                    <w:sz w:val="16"/>
                  </w:rPr>
                  <w:t> 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sz w:val="16"/>
                  </w:rPr>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22.175095pt;margin-top:796.357666pt;width:303.25pt;height:10pt;mso-position-horizontal-relative:page;mso-position-vertical-relative:page;z-index:-228424"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color w:val="808285"/>
                    <w:spacing w:val="-1"/>
                    <w:sz w:val="16"/>
                  </w:rPr>
                  <w:t>Boarding:</w:t>
                </w:r>
                <w:r>
                  <w:rPr>
                    <w:rFonts w:ascii="Segoe UI"/>
                    <w:color w:val="808285"/>
                    <w:spacing w:val="-3"/>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2"/>
                    <w:sz w:val="16"/>
                  </w:rPr>
                  <w:t> </w:t>
                </w:r>
                <w:r>
                  <w:rPr>
                    <w:rFonts w:ascii="Segoe UI"/>
                    <w:color w:val="808285"/>
                    <w:sz w:val="16"/>
                  </w:rPr>
                  <w:t>outcomes</w:t>
                </w:r>
                <w:r>
                  <w:rPr>
                    <w:rFonts w:ascii="Segoe UI"/>
                    <w:color w:val="808285"/>
                    <w:spacing w:val="-4"/>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2"/>
                    <w:sz w:val="16"/>
                  </w:rPr>
                  <w:t> </w:t>
                </w:r>
                <w:r>
                  <w:rPr>
                    <w:rFonts w:ascii="Segoe UI"/>
                    <w:color w:val="808285"/>
                    <w:sz w:val="16"/>
                  </w:rPr>
                  <w:t>and</w:t>
                </w:r>
                <w:r>
                  <w:rPr>
                    <w:rFonts w:ascii="Segoe UI"/>
                    <w:color w:val="808285"/>
                    <w:spacing w:val="-4"/>
                    <w:sz w:val="16"/>
                  </w:rPr>
                  <w:t> </w:t>
                </w:r>
                <w:r>
                  <w:rPr>
                    <w:rFonts w:ascii="Segoe UI"/>
                    <w:color w:val="808285"/>
                    <w:spacing w:val="-3"/>
                    <w:sz w:val="16"/>
                  </w:rPr>
                  <w:t>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color w:val="808285"/>
                    <w:spacing w:val="-2"/>
                    <w:sz w:val="16"/>
                  </w:rPr>
                  <w:t> </w:t>
                </w:r>
                <w:r>
                  <w:rPr>
                    <w:rFonts w:ascii="Segoe UI"/>
                    <w:color w:val="808285"/>
                    <w:sz w:val="16"/>
                  </w:rPr>
                  <w:t>|</w:t>
                </w:r>
                <w:r>
                  <w:rPr>
                    <w:rFonts w:ascii="Segoe UI"/>
                    <w:color w:val="808285"/>
                    <w:spacing w:val="-4"/>
                    <w:sz w:val="16"/>
                  </w:rPr>
                  <w:t> </w:t>
                </w:r>
                <w:r>
                  <w:rPr>
                    <w:rFonts w:ascii="Segoe UI"/>
                    <w:b/>
                    <w:color w:val="808285"/>
                    <w:spacing w:val="-1"/>
                    <w:sz w:val="16"/>
                  </w:rPr>
                  <w:t>81</w:t>
                </w:r>
                <w:r>
                  <w:rPr>
                    <w:rFonts w:ascii="Segoe UI"/>
                    <w:sz w:val="16"/>
                  </w:rPr>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8.866096pt;margin-top:796.357666pt;width:304.25pt;height:10pt;mso-position-horizontal-relative:page;mso-position-vertical-relative:page;z-index:-228400" type="#_x0000_t202" filled="false" stroked="false">
          <v:textbox inset="0,0,0,0">
            <w:txbxContent>
              <w:p>
                <w:pPr>
                  <w:spacing w:line="190" w:lineRule="exact" w:before="0"/>
                  <w:ind w:left="40" w:right="0" w:firstLine="0"/>
                  <w:jc w:val="left"/>
                  <w:rPr>
                    <w:rFonts w:ascii="Segoe UI" w:hAnsi="Segoe UI" w:cs="Segoe UI" w:eastAsia="Segoe UI"/>
                    <w:sz w:val="16"/>
                    <w:szCs w:val="16"/>
                  </w:rPr>
                </w:pPr>
                <w:r>
                  <w:rPr>
                    <w:rFonts w:ascii="Segoe UI"/>
                    <w:b/>
                    <w:color w:val="808285"/>
                    <w:sz w:val="16"/>
                  </w:rPr>
                </w:r>
                <w:r>
                  <w:rPr/>
                  <w:fldChar w:fldCharType="begin"/>
                </w:r>
                <w:r>
                  <w:rPr>
                    <w:rFonts w:ascii="Segoe UI"/>
                    <w:b/>
                    <w:color w:val="808285"/>
                    <w:sz w:val="16"/>
                  </w:rPr>
                  <w:instrText> PAGE </w:instrText>
                </w:r>
                <w:r>
                  <w:rPr/>
                  <w:fldChar w:fldCharType="separate"/>
                </w:r>
                <w:r>
                  <w:rPr/>
                  <w:t>82</w:t>
                </w:r>
                <w:r>
                  <w:rPr/>
                  <w:fldChar w:fldCharType="end"/>
                </w:r>
                <w:r>
                  <w:rPr>
                    <w:rFonts w:ascii="Segoe UI"/>
                    <w:b/>
                    <w:color w:val="808285"/>
                    <w:spacing w:val="-4"/>
                    <w:sz w:val="16"/>
                  </w:rPr>
                  <w:t> </w:t>
                </w:r>
                <w:r>
                  <w:rPr>
                    <w:rFonts w:ascii="Segoe UI"/>
                    <w:color w:val="808285"/>
                    <w:sz w:val="16"/>
                  </w:rPr>
                  <w:t>|</w:t>
                </w:r>
                <w:r>
                  <w:rPr>
                    <w:rFonts w:ascii="Segoe UI"/>
                    <w:color w:val="808285"/>
                    <w:spacing w:val="-4"/>
                    <w:sz w:val="16"/>
                  </w:rPr>
                  <w:t> </w:t>
                </w:r>
                <w:r>
                  <w:rPr>
                    <w:rFonts w:ascii="Segoe UI"/>
                    <w:color w:val="808285"/>
                    <w:spacing w:val="-1"/>
                    <w:sz w:val="16"/>
                  </w:rPr>
                  <w:t>Boarding:</w:t>
                </w:r>
                <w:r>
                  <w:rPr>
                    <w:rFonts w:ascii="Segoe UI"/>
                    <w:color w:val="808285"/>
                    <w:spacing w:val="-2"/>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3"/>
                    <w:sz w:val="16"/>
                  </w:rPr>
                  <w:t> </w:t>
                </w:r>
                <w:r>
                  <w:rPr>
                    <w:rFonts w:ascii="Segoe UI"/>
                    <w:color w:val="808285"/>
                    <w:sz w:val="16"/>
                  </w:rPr>
                  <w:t>outcomes</w:t>
                </w:r>
                <w:r>
                  <w:rPr>
                    <w:rFonts w:ascii="Segoe UI"/>
                    <w:color w:val="808285"/>
                    <w:spacing w:val="-3"/>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3"/>
                    <w:sz w:val="16"/>
                  </w:rPr>
                  <w:t> </w:t>
                </w:r>
                <w:r>
                  <w:rPr>
                    <w:rFonts w:ascii="Segoe UI"/>
                    <w:color w:val="808285"/>
                    <w:sz w:val="16"/>
                  </w:rPr>
                  <w:t>and</w:t>
                </w:r>
                <w:r>
                  <w:rPr>
                    <w:rFonts w:ascii="Segoe UI"/>
                    <w:color w:val="808285"/>
                    <w:spacing w:val="-3"/>
                    <w:sz w:val="16"/>
                  </w:rPr>
                  <w:t> 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sz w:val="16"/>
                  </w:rPr>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22.175095pt;margin-top:796.357666pt;width:304.25pt;height:10pt;mso-position-horizontal-relative:page;mso-position-vertical-relative:page;z-index:-228376"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color w:val="808285"/>
                    <w:spacing w:val="-1"/>
                    <w:sz w:val="16"/>
                  </w:rPr>
                  <w:t>Boarding:</w:t>
                </w:r>
                <w:r>
                  <w:rPr>
                    <w:rFonts w:ascii="Segoe UI"/>
                    <w:color w:val="808285"/>
                    <w:spacing w:val="-3"/>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2"/>
                    <w:sz w:val="16"/>
                  </w:rPr>
                  <w:t> </w:t>
                </w:r>
                <w:r>
                  <w:rPr>
                    <w:rFonts w:ascii="Segoe UI"/>
                    <w:color w:val="808285"/>
                    <w:sz w:val="16"/>
                  </w:rPr>
                  <w:t>outcomes</w:t>
                </w:r>
                <w:r>
                  <w:rPr>
                    <w:rFonts w:ascii="Segoe UI"/>
                    <w:color w:val="808285"/>
                    <w:spacing w:val="-4"/>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2"/>
                    <w:sz w:val="16"/>
                  </w:rPr>
                  <w:t> </w:t>
                </w:r>
                <w:r>
                  <w:rPr>
                    <w:rFonts w:ascii="Segoe UI"/>
                    <w:color w:val="808285"/>
                    <w:sz w:val="16"/>
                  </w:rPr>
                  <w:t>and</w:t>
                </w:r>
                <w:r>
                  <w:rPr>
                    <w:rFonts w:ascii="Segoe UI"/>
                    <w:color w:val="808285"/>
                    <w:spacing w:val="-4"/>
                    <w:sz w:val="16"/>
                  </w:rPr>
                  <w:t> </w:t>
                </w:r>
                <w:r>
                  <w:rPr>
                    <w:rFonts w:ascii="Segoe UI"/>
                    <w:color w:val="808285"/>
                    <w:spacing w:val="-3"/>
                    <w:sz w:val="16"/>
                  </w:rPr>
                  <w:t>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color w:val="808285"/>
                    <w:spacing w:val="-2"/>
                    <w:sz w:val="16"/>
                  </w:rPr>
                  <w:t> </w:t>
                </w:r>
                <w:r>
                  <w:rPr>
                    <w:rFonts w:ascii="Segoe UI"/>
                    <w:color w:val="808285"/>
                    <w:sz w:val="16"/>
                  </w:rPr>
                  <w:t>|</w:t>
                </w:r>
                <w:r>
                  <w:rPr>
                    <w:rFonts w:ascii="Segoe UI"/>
                    <w:color w:val="808285"/>
                    <w:spacing w:val="-4"/>
                    <w:sz w:val="16"/>
                  </w:rPr>
                  <w:t> </w:t>
                </w:r>
                <w:r>
                  <w:rPr>
                    <w:rFonts w:ascii="Segoe UI"/>
                    <w:b/>
                    <w:color w:val="808285"/>
                    <w:spacing w:val="-4"/>
                    <w:sz w:val="16"/>
                  </w:rPr>
                </w:r>
                <w:r>
                  <w:rPr/>
                  <w:fldChar w:fldCharType="begin"/>
                </w:r>
                <w:r>
                  <w:rPr>
                    <w:rFonts w:ascii="Segoe UI"/>
                    <w:b/>
                    <w:color w:val="808285"/>
                    <w:sz w:val="16"/>
                  </w:rPr>
                  <w:instrText> PAGE </w:instrText>
                </w:r>
                <w:r>
                  <w:rPr/>
                  <w:fldChar w:fldCharType="separate"/>
                </w:r>
                <w:r>
                  <w:rPr/>
                  <w:t>83</w:t>
                </w:r>
                <w:r>
                  <w:rPr/>
                  <w:fldChar w:fldCharType="end"/>
                </w:r>
                <w:r>
                  <w:rPr>
                    <w:rFonts w:ascii="Segoe UI"/>
                    <w:b/>
                    <w:color w:val="808285"/>
                    <w:spacing w:val="-1"/>
                    <w:sz w:val="16"/>
                  </w:rPr>
                </w:r>
                <w:r>
                  <w:rPr>
                    <w:rFonts w:ascii="Segoe UI"/>
                    <w:sz w:val="16"/>
                  </w:rPr>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9.866096pt;margin-top:796.357666pt;width:303.25pt;height:10pt;mso-position-horizontal-relative:page;mso-position-vertical-relative:page;z-index:-228352"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b/>
                    <w:color w:val="808285"/>
                    <w:spacing w:val="-1"/>
                    <w:sz w:val="16"/>
                  </w:rPr>
                  <w:t>90</w:t>
                </w:r>
                <w:r>
                  <w:rPr>
                    <w:rFonts w:ascii="Segoe UI"/>
                    <w:b/>
                    <w:color w:val="808285"/>
                    <w:spacing w:val="-4"/>
                    <w:sz w:val="16"/>
                  </w:rPr>
                  <w:t> </w:t>
                </w:r>
                <w:r>
                  <w:rPr>
                    <w:rFonts w:ascii="Segoe UI"/>
                    <w:color w:val="808285"/>
                    <w:sz w:val="16"/>
                  </w:rPr>
                  <w:t>|</w:t>
                </w:r>
                <w:r>
                  <w:rPr>
                    <w:rFonts w:ascii="Segoe UI"/>
                    <w:color w:val="808285"/>
                    <w:spacing w:val="-4"/>
                    <w:sz w:val="16"/>
                  </w:rPr>
                  <w:t> </w:t>
                </w:r>
                <w:r>
                  <w:rPr>
                    <w:rFonts w:ascii="Segoe UI"/>
                    <w:color w:val="808285"/>
                    <w:spacing w:val="-1"/>
                    <w:sz w:val="16"/>
                  </w:rPr>
                  <w:t>Boarding:</w:t>
                </w:r>
                <w:r>
                  <w:rPr>
                    <w:rFonts w:ascii="Segoe UI"/>
                    <w:color w:val="808285"/>
                    <w:spacing w:val="-2"/>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3"/>
                    <w:sz w:val="16"/>
                  </w:rPr>
                  <w:t> </w:t>
                </w:r>
                <w:r>
                  <w:rPr>
                    <w:rFonts w:ascii="Segoe UI"/>
                    <w:color w:val="808285"/>
                    <w:sz w:val="16"/>
                  </w:rPr>
                  <w:t>outcomes</w:t>
                </w:r>
                <w:r>
                  <w:rPr>
                    <w:rFonts w:ascii="Segoe UI"/>
                    <w:color w:val="808285"/>
                    <w:spacing w:val="-3"/>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3"/>
                    <w:sz w:val="16"/>
                  </w:rPr>
                  <w:t> </w:t>
                </w:r>
                <w:r>
                  <w:rPr>
                    <w:rFonts w:ascii="Segoe UI"/>
                    <w:color w:val="808285"/>
                    <w:sz w:val="16"/>
                  </w:rPr>
                  <w:t>and</w:t>
                </w:r>
                <w:r>
                  <w:rPr>
                    <w:rFonts w:ascii="Segoe UI"/>
                    <w:color w:val="808285"/>
                    <w:spacing w:val="-3"/>
                    <w:sz w:val="16"/>
                  </w:rPr>
                  <w:t> 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sz w:val="16"/>
                  </w:rPr>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22.175095pt;margin-top:796.357666pt;width:303.25pt;height:10pt;mso-position-horizontal-relative:page;mso-position-vertical-relative:page;z-index:-228328"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color w:val="808285"/>
                    <w:spacing w:val="-1"/>
                    <w:sz w:val="16"/>
                  </w:rPr>
                  <w:t>Boarding:</w:t>
                </w:r>
                <w:r>
                  <w:rPr>
                    <w:rFonts w:ascii="Segoe UI"/>
                    <w:color w:val="808285"/>
                    <w:spacing w:val="-3"/>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2"/>
                    <w:sz w:val="16"/>
                  </w:rPr>
                  <w:t> </w:t>
                </w:r>
                <w:r>
                  <w:rPr>
                    <w:rFonts w:ascii="Segoe UI"/>
                    <w:color w:val="808285"/>
                    <w:sz w:val="16"/>
                  </w:rPr>
                  <w:t>outcomes</w:t>
                </w:r>
                <w:r>
                  <w:rPr>
                    <w:rFonts w:ascii="Segoe UI"/>
                    <w:color w:val="808285"/>
                    <w:spacing w:val="-4"/>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2"/>
                    <w:sz w:val="16"/>
                  </w:rPr>
                  <w:t> </w:t>
                </w:r>
                <w:r>
                  <w:rPr>
                    <w:rFonts w:ascii="Segoe UI"/>
                    <w:color w:val="808285"/>
                    <w:sz w:val="16"/>
                  </w:rPr>
                  <w:t>and</w:t>
                </w:r>
                <w:r>
                  <w:rPr>
                    <w:rFonts w:ascii="Segoe UI"/>
                    <w:color w:val="808285"/>
                    <w:spacing w:val="-4"/>
                    <w:sz w:val="16"/>
                  </w:rPr>
                  <w:t> </w:t>
                </w:r>
                <w:r>
                  <w:rPr>
                    <w:rFonts w:ascii="Segoe UI"/>
                    <w:color w:val="808285"/>
                    <w:spacing w:val="-3"/>
                    <w:sz w:val="16"/>
                  </w:rPr>
                  <w:t>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color w:val="808285"/>
                    <w:spacing w:val="-2"/>
                    <w:sz w:val="16"/>
                  </w:rPr>
                  <w:t> </w:t>
                </w:r>
                <w:r>
                  <w:rPr>
                    <w:rFonts w:ascii="Segoe UI"/>
                    <w:color w:val="808285"/>
                    <w:sz w:val="16"/>
                  </w:rPr>
                  <w:t>|</w:t>
                </w:r>
                <w:r>
                  <w:rPr>
                    <w:rFonts w:ascii="Segoe UI"/>
                    <w:color w:val="808285"/>
                    <w:spacing w:val="-4"/>
                    <w:sz w:val="16"/>
                  </w:rPr>
                  <w:t> </w:t>
                </w:r>
                <w:r>
                  <w:rPr>
                    <w:rFonts w:ascii="Segoe UI"/>
                    <w:b/>
                    <w:color w:val="808285"/>
                    <w:spacing w:val="-1"/>
                    <w:sz w:val="16"/>
                  </w:rPr>
                  <w:t>91</w:t>
                </w:r>
                <w:r>
                  <w:rPr>
                    <w:rFonts w:ascii="Segoe UI"/>
                    <w:sz w:val="16"/>
                  </w:rPr>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8.866096pt;margin-top:796.357666pt;width:304.25pt;height:10pt;mso-position-horizontal-relative:page;mso-position-vertical-relative:page;z-index:-228304" type="#_x0000_t202" filled="false" stroked="false">
          <v:textbox inset="0,0,0,0">
            <w:txbxContent>
              <w:p>
                <w:pPr>
                  <w:spacing w:line="190" w:lineRule="exact" w:before="0"/>
                  <w:ind w:left="40" w:right="0" w:firstLine="0"/>
                  <w:jc w:val="left"/>
                  <w:rPr>
                    <w:rFonts w:ascii="Segoe UI" w:hAnsi="Segoe UI" w:cs="Segoe UI" w:eastAsia="Segoe UI"/>
                    <w:sz w:val="16"/>
                    <w:szCs w:val="16"/>
                  </w:rPr>
                </w:pPr>
                <w:r>
                  <w:rPr>
                    <w:rFonts w:ascii="Segoe UI"/>
                    <w:b/>
                    <w:color w:val="808285"/>
                    <w:sz w:val="16"/>
                  </w:rPr>
                </w:r>
                <w:r>
                  <w:rPr/>
                  <w:fldChar w:fldCharType="begin"/>
                </w:r>
                <w:r>
                  <w:rPr>
                    <w:rFonts w:ascii="Segoe UI"/>
                    <w:b/>
                    <w:color w:val="808285"/>
                    <w:sz w:val="16"/>
                  </w:rPr>
                  <w:instrText> PAGE </w:instrText>
                </w:r>
                <w:r>
                  <w:rPr/>
                  <w:fldChar w:fldCharType="separate"/>
                </w:r>
                <w:r>
                  <w:rPr/>
                  <w:t>92</w:t>
                </w:r>
                <w:r>
                  <w:rPr/>
                  <w:fldChar w:fldCharType="end"/>
                </w:r>
                <w:r>
                  <w:rPr>
                    <w:rFonts w:ascii="Segoe UI"/>
                    <w:b/>
                    <w:color w:val="808285"/>
                    <w:spacing w:val="-4"/>
                    <w:sz w:val="16"/>
                  </w:rPr>
                  <w:t> </w:t>
                </w:r>
                <w:r>
                  <w:rPr>
                    <w:rFonts w:ascii="Segoe UI"/>
                    <w:color w:val="808285"/>
                    <w:sz w:val="16"/>
                  </w:rPr>
                  <w:t>|</w:t>
                </w:r>
                <w:r>
                  <w:rPr>
                    <w:rFonts w:ascii="Segoe UI"/>
                    <w:color w:val="808285"/>
                    <w:spacing w:val="-4"/>
                    <w:sz w:val="16"/>
                  </w:rPr>
                  <w:t> </w:t>
                </w:r>
                <w:r>
                  <w:rPr>
                    <w:rFonts w:ascii="Segoe UI"/>
                    <w:color w:val="808285"/>
                    <w:spacing w:val="-1"/>
                    <w:sz w:val="16"/>
                  </w:rPr>
                  <w:t>Boarding:</w:t>
                </w:r>
                <w:r>
                  <w:rPr>
                    <w:rFonts w:ascii="Segoe UI"/>
                    <w:color w:val="808285"/>
                    <w:spacing w:val="-2"/>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3"/>
                    <w:sz w:val="16"/>
                  </w:rPr>
                  <w:t> </w:t>
                </w:r>
                <w:r>
                  <w:rPr>
                    <w:rFonts w:ascii="Segoe UI"/>
                    <w:color w:val="808285"/>
                    <w:sz w:val="16"/>
                  </w:rPr>
                  <w:t>outcomes</w:t>
                </w:r>
                <w:r>
                  <w:rPr>
                    <w:rFonts w:ascii="Segoe UI"/>
                    <w:color w:val="808285"/>
                    <w:spacing w:val="-3"/>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3"/>
                    <w:sz w:val="16"/>
                  </w:rPr>
                  <w:t> </w:t>
                </w:r>
                <w:r>
                  <w:rPr>
                    <w:rFonts w:ascii="Segoe UI"/>
                    <w:color w:val="808285"/>
                    <w:sz w:val="16"/>
                  </w:rPr>
                  <w:t>and</w:t>
                </w:r>
                <w:r>
                  <w:rPr>
                    <w:rFonts w:ascii="Segoe UI"/>
                    <w:color w:val="808285"/>
                    <w:spacing w:val="-3"/>
                    <w:sz w:val="16"/>
                  </w:rPr>
                  <w:t> 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sz w:val="16"/>
                  </w:rPr>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22.175095pt;margin-top:796.357666pt;width:304.25pt;height:10pt;mso-position-horizontal-relative:page;mso-position-vertical-relative:page;z-index:-228280"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color w:val="808285"/>
                    <w:spacing w:val="-1"/>
                    <w:sz w:val="16"/>
                  </w:rPr>
                  <w:t>Boarding:</w:t>
                </w:r>
                <w:r>
                  <w:rPr>
                    <w:rFonts w:ascii="Segoe UI"/>
                    <w:color w:val="808285"/>
                    <w:spacing w:val="-3"/>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2"/>
                    <w:sz w:val="16"/>
                  </w:rPr>
                  <w:t> </w:t>
                </w:r>
                <w:r>
                  <w:rPr>
                    <w:rFonts w:ascii="Segoe UI"/>
                    <w:color w:val="808285"/>
                    <w:sz w:val="16"/>
                  </w:rPr>
                  <w:t>outcomes</w:t>
                </w:r>
                <w:r>
                  <w:rPr>
                    <w:rFonts w:ascii="Segoe UI"/>
                    <w:color w:val="808285"/>
                    <w:spacing w:val="-4"/>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2"/>
                    <w:sz w:val="16"/>
                  </w:rPr>
                  <w:t> </w:t>
                </w:r>
                <w:r>
                  <w:rPr>
                    <w:rFonts w:ascii="Segoe UI"/>
                    <w:color w:val="808285"/>
                    <w:sz w:val="16"/>
                  </w:rPr>
                  <w:t>and</w:t>
                </w:r>
                <w:r>
                  <w:rPr>
                    <w:rFonts w:ascii="Segoe UI"/>
                    <w:color w:val="808285"/>
                    <w:spacing w:val="-4"/>
                    <w:sz w:val="16"/>
                  </w:rPr>
                  <w:t> </w:t>
                </w:r>
                <w:r>
                  <w:rPr>
                    <w:rFonts w:ascii="Segoe UI"/>
                    <w:color w:val="808285"/>
                    <w:spacing w:val="-3"/>
                    <w:sz w:val="16"/>
                  </w:rPr>
                  <w:t>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color w:val="808285"/>
                    <w:spacing w:val="-2"/>
                    <w:sz w:val="16"/>
                  </w:rPr>
                  <w:t> </w:t>
                </w:r>
                <w:r>
                  <w:rPr>
                    <w:rFonts w:ascii="Segoe UI"/>
                    <w:color w:val="808285"/>
                    <w:sz w:val="16"/>
                  </w:rPr>
                  <w:t>|</w:t>
                </w:r>
                <w:r>
                  <w:rPr>
                    <w:rFonts w:ascii="Segoe UI"/>
                    <w:color w:val="808285"/>
                    <w:spacing w:val="-4"/>
                    <w:sz w:val="16"/>
                  </w:rPr>
                  <w:t> </w:t>
                </w:r>
                <w:r>
                  <w:rPr>
                    <w:rFonts w:ascii="Segoe UI"/>
                    <w:b/>
                    <w:color w:val="808285"/>
                    <w:spacing w:val="-4"/>
                    <w:sz w:val="16"/>
                  </w:rPr>
                </w:r>
                <w:r>
                  <w:rPr/>
                  <w:fldChar w:fldCharType="begin"/>
                </w:r>
                <w:r>
                  <w:rPr>
                    <w:rFonts w:ascii="Segoe UI"/>
                    <w:b/>
                    <w:color w:val="808285"/>
                    <w:sz w:val="16"/>
                  </w:rPr>
                  <w:instrText> PAGE </w:instrText>
                </w:r>
                <w:r>
                  <w:rPr/>
                  <w:fldChar w:fldCharType="separate"/>
                </w:r>
                <w:r>
                  <w:rPr/>
                  <w:t>93</w:t>
                </w:r>
                <w:r>
                  <w:rPr/>
                  <w:fldChar w:fldCharType="end"/>
                </w:r>
                <w:r>
                  <w:rPr>
                    <w:rFonts w:ascii="Segoe UI"/>
                    <w:b/>
                    <w:color w:val="808285"/>
                    <w:spacing w:val="-1"/>
                    <w:sz w:val="16"/>
                  </w:rPr>
                </w:r>
                <w:r>
                  <w:rPr>
                    <w:rFonts w:ascii="Segoe UI"/>
                    <w:sz w:val="16"/>
                  </w:rPr>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9.866096pt;margin-top:796.357666pt;width:307.850pt;height:10pt;mso-position-horizontal-relative:page;mso-position-vertical-relative:page;z-index:-228256"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b/>
                    <w:color w:val="808285"/>
                    <w:spacing w:val="-1"/>
                    <w:sz w:val="16"/>
                  </w:rPr>
                  <w:t>100</w:t>
                </w:r>
                <w:r>
                  <w:rPr>
                    <w:rFonts w:ascii="Segoe UI"/>
                    <w:b/>
                    <w:color w:val="808285"/>
                    <w:spacing w:val="-4"/>
                    <w:sz w:val="16"/>
                  </w:rPr>
                  <w:t> </w:t>
                </w:r>
                <w:r>
                  <w:rPr>
                    <w:rFonts w:ascii="Segoe UI"/>
                    <w:color w:val="808285"/>
                    <w:sz w:val="16"/>
                  </w:rPr>
                  <w:t>|</w:t>
                </w:r>
                <w:r>
                  <w:rPr>
                    <w:rFonts w:ascii="Segoe UI"/>
                    <w:color w:val="808285"/>
                    <w:spacing w:val="-4"/>
                    <w:sz w:val="16"/>
                  </w:rPr>
                  <w:t> </w:t>
                </w:r>
                <w:r>
                  <w:rPr>
                    <w:rFonts w:ascii="Segoe UI"/>
                    <w:color w:val="808285"/>
                    <w:spacing w:val="-1"/>
                    <w:sz w:val="16"/>
                  </w:rPr>
                  <w:t>Boarding:</w:t>
                </w:r>
                <w:r>
                  <w:rPr>
                    <w:rFonts w:ascii="Segoe UI"/>
                    <w:color w:val="808285"/>
                    <w:spacing w:val="-2"/>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3"/>
                    <w:sz w:val="16"/>
                  </w:rPr>
                  <w:t> </w:t>
                </w:r>
                <w:r>
                  <w:rPr>
                    <w:rFonts w:ascii="Segoe UI"/>
                    <w:color w:val="808285"/>
                    <w:sz w:val="16"/>
                  </w:rPr>
                  <w:t>outcomes</w:t>
                </w:r>
                <w:r>
                  <w:rPr>
                    <w:rFonts w:ascii="Segoe UI"/>
                    <w:color w:val="808285"/>
                    <w:spacing w:val="-3"/>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3"/>
                    <w:sz w:val="16"/>
                  </w:rPr>
                  <w:t> </w:t>
                </w:r>
                <w:r>
                  <w:rPr>
                    <w:rFonts w:ascii="Segoe UI"/>
                    <w:color w:val="808285"/>
                    <w:sz w:val="16"/>
                  </w:rPr>
                  <w:t>and</w:t>
                </w:r>
                <w:r>
                  <w:rPr>
                    <w:rFonts w:ascii="Segoe UI"/>
                    <w:color w:val="808285"/>
                    <w:spacing w:val="-3"/>
                    <w:sz w:val="16"/>
                  </w:rPr>
                  <w:t> 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sz w:val="16"/>
                  </w:rPr>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22.175095pt;margin-top:796.357666pt;width:303.25pt;height:10pt;mso-position-horizontal-relative:page;mso-position-vertical-relative:page;z-index:-229096"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color w:val="808285"/>
                    <w:spacing w:val="-1"/>
                    <w:sz w:val="16"/>
                  </w:rPr>
                  <w:t>Boarding:</w:t>
                </w:r>
                <w:r>
                  <w:rPr>
                    <w:rFonts w:ascii="Segoe UI"/>
                    <w:color w:val="808285"/>
                    <w:spacing w:val="-3"/>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2"/>
                    <w:sz w:val="16"/>
                  </w:rPr>
                  <w:t> </w:t>
                </w:r>
                <w:r>
                  <w:rPr>
                    <w:rFonts w:ascii="Segoe UI"/>
                    <w:color w:val="808285"/>
                    <w:sz w:val="16"/>
                  </w:rPr>
                  <w:t>outcomes</w:t>
                </w:r>
                <w:r>
                  <w:rPr>
                    <w:rFonts w:ascii="Segoe UI"/>
                    <w:color w:val="808285"/>
                    <w:spacing w:val="-4"/>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2"/>
                    <w:sz w:val="16"/>
                  </w:rPr>
                  <w:t> </w:t>
                </w:r>
                <w:r>
                  <w:rPr>
                    <w:rFonts w:ascii="Segoe UI"/>
                    <w:color w:val="808285"/>
                    <w:sz w:val="16"/>
                  </w:rPr>
                  <w:t>and</w:t>
                </w:r>
                <w:r>
                  <w:rPr>
                    <w:rFonts w:ascii="Segoe UI"/>
                    <w:color w:val="808285"/>
                    <w:spacing w:val="-4"/>
                    <w:sz w:val="16"/>
                  </w:rPr>
                  <w:t> </w:t>
                </w:r>
                <w:r>
                  <w:rPr>
                    <w:rFonts w:ascii="Segoe UI"/>
                    <w:color w:val="808285"/>
                    <w:spacing w:val="-3"/>
                    <w:sz w:val="16"/>
                  </w:rPr>
                  <w:t>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color w:val="808285"/>
                    <w:spacing w:val="-2"/>
                    <w:sz w:val="16"/>
                  </w:rPr>
                  <w:t> </w:t>
                </w:r>
                <w:r>
                  <w:rPr>
                    <w:rFonts w:ascii="Segoe UI"/>
                    <w:color w:val="808285"/>
                    <w:sz w:val="16"/>
                  </w:rPr>
                  <w:t>|</w:t>
                </w:r>
                <w:r>
                  <w:rPr>
                    <w:rFonts w:ascii="Segoe UI"/>
                    <w:color w:val="808285"/>
                    <w:spacing w:val="-4"/>
                    <w:sz w:val="16"/>
                  </w:rPr>
                  <w:t> </w:t>
                </w:r>
                <w:r>
                  <w:rPr>
                    <w:rFonts w:ascii="Segoe UI"/>
                    <w:b/>
                    <w:color w:val="808285"/>
                    <w:spacing w:val="-1"/>
                    <w:sz w:val="16"/>
                  </w:rPr>
                  <w:t>11</w:t>
                </w:r>
                <w:r>
                  <w:rPr>
                    <w:rFonts w:ascii="Segoe UI"/>
                    <w:sz w:val="16"/>
                  </w:rPr>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17.573502pt;margin-top:796.357666pt;width:307.850pt;height:10pt;mso-position-horizontal-relative:page;mso-position-vertical-relative:page;z-index:-228232"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color w:val="808285"/>
                    <w:spacing w:val="-1"/>
                    <w:sz w:val="16"/>
                  </w:rPr>
                  <w:t>Boarding:</w:t>
                </w:r>
                <w:r>
                  <w:rPr>
                    <w:rFonts w:ascii="Segoe UI"/>
                    <w:color w:val="808285"/>
                    <w:spacing w:val="-3"/>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2"/>
                    <w:sz w:val="16"/>
                  </w:rPr>
                  <w:t> </w:t>
                </w:r>
                <w:r>
                  <w:rPr>
                    <w:rFonts w:ascii="Segoe UI"/>
                    <w:color w:val="808285"/>
                    <w:sz w:val="16"/>
                  </w:rPr>
                  <w:t>outcomes</w:t>
                </w:r>
                <w:r>
                  <w:rPr>
                    <w:rFonts w:ascii="Segoe UI"/>
                    <w:color w:val="808285"/>
                    <w:spacing w:val="-4"/>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2"/>
                    <w:sz w:val="16"/>
                  </w:rPr>
                  <w:t> </w:t>
                </w:r>
                <w:r>
                  <w:rPr>
                    <w:rFonts w:ascii="Segoe UI"/>
                    <w:color w:val="808285"/>
                    <w:sz w:val="16"/>
                  </w:rPr>
                  <w:t>and</w:t>
                </w:r>
                <w:r>
                  <w:rPr>
                    <w:rFonts w:ascii="Segoe UI"/>
                    <w:color w:val="808285"/>
                    <w:spacing w:val="-4"/>
                    <w:sz w:val="16"/>
                  </w:rPr>
                  <w:t> </w:t>
                </w:r>
                <w:r>
                  <w:rPr>
                    <w:rFonts w:ascii="Segoe UI"/>
                    <w:color w:val="808285"/>
                    <w:spacing w:val="-3"/>
                    <w:sz w:val="16"/>
                  </w:rPr>
                  <w:t>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color w:val="808285"/>
                    <w:spacing w:val="-2"/>
                    <w:sz w:val="16"/>
                  </w:rPr>
                  <w:t> </w:t>
                </w:r>
                <w:r>
                  <w:rPr>
                    <w:rFonts w:ascii="Segoe UI"/>
                    <w:color w:val="808285"/>
                    <w:sz w:val="16"/>
                  </w:rPr>
                  <w:t>|</w:t>
                </w:r>
                <w:r>
                  <w:rPr>
                    <w:rFonts w:ascii="Segoe UI"/>
                    <w:color w:val="808285"/>
                    <w:spacing w:val="-4"/>
                    <w:sz w:val="16"/>
                  </w:rPr>
                  <w:t> </w:t>
                </w:r>
                <w:r>
                  <w:rPr>
                    <w:rFonts w:ascii="Segoe UI"/>
                    <w:b/>
                    <w:color w:val="808285"/>
                    <w:spacing w:val="-1"/>
                    <w:sz w:val="16"/>
                  </w:rPr>
                  <w:t>101</w:t>
                </w:r>
                <w:r>
                  <w:rPr>
                    <w:rFonts w:ascii="Segoe UI"/>
                    <w:sz w:val="16"/>
                  </w:rPr>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8.866096pt;margin-top:796.357666pt;width:308.850pt;height:10pt;mso-position-horizontal-relative:page;mso-position-vertical-relative:page;z-index:-228208" type="#_x0000_t202" filled="false" stroked="false">
          <v:textbox inset="0,0,0,0">
            <w:txbxContent>
              <w:p>
                <w:pPr>
                  <w:spacing w:line="190" w:lineRule="exact" w:before="0"/>
                  <w:ind w:left="40" w:right="0" w:firstLine="0"/>
                  <w:jc w:val="left"/>
                  <w:rPr>
                    <w:rFonts w:ascii="Segoe UI" w:hAnsi="Segoe UI" w:cs="Segoe UI" w:eastAsia="Segoe UI"/>
                    <w:sz w:val="16"/>
                    <w:szCs w:val="16"/>
                  </w:rPr>
                </w:pPr>
                <w:r>
                  <w:rPr>
                    <w:rFonts w:ascii="Segoe UI"/>
                    <w:b/>
                    <w:color w:val="808285"/>
                    <w:sz w:val="16"/>
                  </w:rPr>
                </w:r>
                <w:r>
                  <w:rPr/>
                  <w:fldChar w:fldCharType="begin"/>
                </w:r>
                <w:r>
                  <w:rPr>
                    <w:rFonts w:ascii="Segoe UI"/>
                    <w:b/>
                    <w:color w:val="808285"/>
                    <w:sz w:val="16"/>
                  </w:rPr>
                  <w:instrText> PAGE </w:instrText>
                </w:r>
                <w:r>
                  <w:rPr/>
                  <w:fldChar w:fldCharType="separate"/>
                </w:r>
                <w:r>
                  <w:rPr/>
                  <w:t>102</w:t>
                </w:r>
                <w:r>
                  <w:rPr/>
                  <w:fldChar w:fldCharType="end"/>
                </w:r>
                <w:r>
                  <w:rPr>
                    <w:rFonts w:ascii="Segoe UI"/>
                    <w:b/>
                    <w:color w:val="808285"/>
                    <w:spacing w:val="-4"/>
                    <w:sz w:val="16"/>
                  </w:rPr>
                  <w:t> </w:t>
                </w:r>
                <w:r>
                  <w:rPr>
                    <w:rFonts w:ascii="Segoe UI"/>
                    <w:color w:val="808285"/>
                    <w:sz w:val="16"/>
                  </w:rPr>
                  <w:t>|</w:t>
                </w:r>
                <w:r>
                  <w:rPr>
                    <w:rFonts w:ascii="Segoe UI"/>
                    <w:color w:val="808285"/>
                    <w:spacing w:val="-4"/>
                    <w:sz w:val="16"/>
                  </w:rPr>
                  <w:t> </w:t>
                </w:r>
                <w:r>
                  <w:rPr>
                    <w:rFonts w:ascii="Segoe UI"/>
                    <w:color w:val="808285"/>
                    <w:spacing w:val="-1"/>
                    <w:sz w:val="16"/>
                  </w:rPr>
                  <w:t>Boarding:</w:t>
                </w:r>
                <w:r>
                  <w:rPr>
                    <w:rFonts w:ascii="Segoe UI"/>
                    <w:color w:val="808285"/>
                    <w:spacing w:val="-2"/>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3"/>
                    <w:sz w:val="16"/>
                  </w:rPr>
                  <w:t> </w:t>
                </w:r>
                <w:r>
                  <w:rPr>
                    <w:rFonts w:ascii="Segoe UI"/>
                    <w:color w:val="808285"/>
                    <w:sz w:val="16"/>
                  </w:rPr>
                  <w:t>outcomes</w:t>
                </w:r>
                <w:r>
                  <w:rPr>
                    <w:rFonts w:ascii="Segoe UI"/>
                    <w:color w:val="808285"/>
                    <w:spacing w:val="-3"/>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3"/>
                    <w:sz w:val="16"/>
                  </w:rPr>
                  <w:t> </w:t>
                </w:r>
                <w:r>
                  <w:rPr>
                    <w:rFonts w:ascii="Segoe UI"/>
                    <w:color w:val="808285"/>
                    <w:sz w:val="16"/>
                  </w:rPr>
                  <w:t>and</w:t>
                </w:r>
                <w:r>
                  <w:rPr>
                    <w:rFonts w:ascii="Segoe UI"/>
                    <w:color w:val="808285"/>
                    <w:spacing w:val="-3"/>
                    <w:sz w:val="16"/>
                  </w:rPr>
                  <w:t> 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sz w:val="16"/>
                  </w:rPr>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17.573502pt;margin-top:796.357666pt;width:308.850pt;height:10pt;mso-position-horizontal-relative:page;mso-position-vertical-relative:page;z-index:-228184"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color w:val="808285"/>
                    <w:spacing w:val="-1"/>
                    <w:sz w:val="16"/>
                  </w:rPr>
                  <w:t>Boarding:</w:t>
                </w:r>
                <w:r>
                  <w:rPr>
                    <w:rFonts w:ascii="Segoe UI"/>
                    <w:color w:val="808285"/>
                    <w:spacing w:val="-3"/>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2"/>
                    <w:sz w:val="16"/>
                  </w:rPr>
                  <w:t> </w:t>
                </w:r>
                <w:r>
                  <w:rPr>
                    <w:rFonts w:ascii="Segoe UI"/>
                    <w:color w:val="808285"/>
                    <w:sz w:val="16"/>
                  </w:rPr>
                  <w:t>outcomes</w:t>
                </w:r>
                <w:r>
                  <w:rPr>
                    <w:rFonts w:ascii="Segoe UI"/>
                    <w:color w:val="808285"/>
                    <w:spacing w:val="-4"/>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2"/>
                    <w:sz w:val="16"/>
                  </w:rPr>
                  <w:t> </w:t>
                </w:r>
                <w:r>
                  <w:rPr>
                    <w:rFonts w:ascii="Segoe UI"/>
                    <w:color w:val="808285"/>
                    <w:sz w:val="16"/>
                  </w:rPr>
                  <w:t>and</w:t>
                </w:r>
                <w:r>
                  <w:rPr>
                    <w:rFonts w:ascii="Segoe UI"/>
                    <w:color w:val="808285"/>
                    <w:spacing w:val="-4"/>
                    <w:sz w:val="16"/>
                  </w:rPr>
                  <w:t> </w:t>
                </w:r>
                <w:r>
                  <w:rPr>
                    <w:rFonts w:ascii="Segoe UI"/>
                    <w:color w:val="808285"/>
                    <w:spacing w:val="-3"/>
                    <w:sz w:val="16"/>
                  </w:rPr>
                  <w:t>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color w:val="808285"/>
                    <w:spacing w:val="-2"/>
                    <w:sz w:val="16"/>
                  </w:rPr>
                  <w:t> </w:t>
                </w:r>
                <w:r>
                  <w:rPr>
                    <w:rFonts w:ascii="Segoe UI"/>
                    <w:color w:val="808285"/>
                    <w:sz w:val="16"/>
                  </w:rPr>
                  <w:t>|</w:t>
                </w:r>
                <w:r>
                  <w:rPr>
                    <w:rFonts w:ascii="Segoe UI"/>
                    <w:color w:val="808285"/>
                    <w:spacing w:val="-4"/>
                    <w:sz w:val="16"/>
                  </w:rPr>
                  <w:t> </w:t>
                </w:r>
                <w:r>
                  <w:rPr>
                    <w:rFonts w:ascii="Segoe UI"/>
                    <w:b/>
                    <w:color w:val="808285"/>
                    <w:spacing w:val="-4"/>
                    <w:sz w:val="16"/>
                  </w:rPr>
                </w:r>
                <w:r>
                  <w:rPr/>
                  <w:fldChar w:fldCharType="begin"/>
                </w:r>
                <w:r>
                  <w:rPr>
                    <w:rFonts w:ascii="Segoe UI"/>
                    <w:b/>
                    <w:color w:val="808285"/>
                    <w:sz w:val="16"/>
                  </w:rPr>
                  <w:instrText> PAGE </w:instrText>
                </w:r>
                <w:r>
                  <w:rPr/>
                  <w:fldChar w:fldCharType="separate"/>
                </w:r>
                <w:r>
                  <w:rPr/>
                  <w:t>103</w:t>
                </w:r>
                <w:r>
                  <w:rPr/>
                  <w:fldChar w:fldCharType="end"/>
                </w:r>
                <w:r>
                  <w:rPr>
                    <w:rFonts w:ascii="Segoe UI"/>
                    <w:b/>
                    <w:color w:val="808285"/>
                    <w:spacing w:val="-1"/>
                    <w:sz w:val="16"/>
                  </w:rPr>
                </w:r>
                <w:r>
                  <w:rPr>
                    <w:rFonts w:ascii="Segoe UI"/>
                    <w:sz w:val="16"/>
                  </w:rPr>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9.866096pt;margin-top:796.357666pt;width:307.850pt;height:10pt;mso-position-horizontal-relative:page;mso-position-vertical-relative:page;z-index:-228160"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b/>
                    <w:color w:val="808285"/>
                    <w:spacing w:val="-1"/>
                    <w:sz w:val="16"/>
                  </w:rPr>
                  <w:t>110</w:t>
                </w:r>
                <w:r>
                  <w:rPr>
                    <w:rFonts w:ascii="Segoe UI"/>
                    <w:b/>
                    <w:color w:val="808285"/>
                    <w:spacing w:val="-4"/>
                    <w:sz w:val="16"/>
                  </w:rPr>
                  <w:t> </w:t>
                </w:r>
                <w:r>
                  <w:rPr>
                    <w:rFonts w:ascii="Segoe UI"/>
                    <w:color w:val="808285"/>
                    <w:sz w:val="16"/>
                  </w:rPr>
                  <w:t>|</w:t>
                </w:r>
                <w:r>
                  <w:rPr>
                    <w:rFonts w:ascii="Segoe UI"/>
                    <w:color w:val="808285"/>
                    <w:spacing w:val="-4"/>
                    <w:sz w:val="16"/>
                  </w:rPr>
                  <w:t> </w:t>
                </w:r>
                <w:r>
                  <w:rPr>
                    <w:rFonts w:ascii="Segoe UI"/>
                    <w:color w:val="808285"/>
                    <w:spacing w:val="-1"/>
                    <w:sz w:val="16"/>
                  </w:rPr>
                  <w:t>Boarding:</w:t>
                </w:r>
                <w:r>
                  <w:rPr>
                    <w:rFonts w:ascii="Segoe UI"/>
                    <w:color w:val="808285"/>
                    <w:spacing w:val="-2"/>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3"/>
                    <w:sz w:val="16"/>
                  </w:rPr>
                  <w:t> </w:t>
                </w:r>
                <w:r>
                  <w:rPr>
                    <w:rFonts w:ascii="Segoe UI"/>
                    <w:color w:val="808285"/>
                    <w:sz w:val="16"/>
                  </w:rPr>
                  <w:t>outcomes</w:t>
                </w:r>
                <w:r>
                  <w:rPr>
                    <w:rFonts w:ascii="Segoe UI"/>
                    <w:color w:val="808285"/>
                    <w:spacing w:val="-3"/>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3"/>
                    <w:sz w:val="16"/>
                  </w:rPr>
                  <w:t> </w:t>
                </w:r>
                <w:r>
                  <w:rPr>
                    <w:rFonts w:ascii="Segoe UI"/>
                    <w:color w:val="808285"/>
                    <w:sz w:val="16"/>
                  </w:rPr>
                  <w:t>and</w:t>
                </w:r>
                <w:r>
                  <w:rPr>
                    <w:rFonts w:ascii="Segoe UI"/>
                    <w:color w:val="808285"/>
                    <w:spacing w:val="-3"/>
                    <w:sz w:val="16"/>
                  </w:rPr>
                  <w:t> 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sz w:val="16"/>
                  </w:rPr>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17.573502pt;margin-top:796.357666pt;width:307.850pt;height:10pt;mso-position-horizontal-relative:page;mso-position-vertical-relative:page;z-index:-228136"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color w:val="808285"/>
                    <w:spacing w:val="-1"/>
                    <w:sz w:val="16"/>
                  </w:rPr>
                  <w:t>Boarding:</w:t>
                </w:r>
                <w:r>
                  <w:rPr>
                    <w:rFonts w:ascii="Segoe UI"/>
                    <w:color w:val="808285"/>
                    <w:spacing w:val="-3"/>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2"/>
                    <w:sz w:val="16"/>
                  </w:rPr>
                  <w:t> </w:t>
                </w:r>
                <w:r>
                  <w:rPr>
                    <w:rFonts w:ascii="Segoe UI"/>
                    <w:color w:val="808285"/>
                    <w:sz w:val="16"/>
                  </w:rPr>
                  <w:t>outcomes</w:t>
                </w:r>
                <w:r>
                  <w:rPr>
                    <w:rFonts w:ascii="Segoe UI"/>
                    <w:color w:val="808285"/>
                    <w:spacing w:val="-4"/>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2"/>
                    <w:sz w:val="16"/>
                  </w:rPr>
                  <w:t> </w:t>
                </w:r>
                <w:r>
                  <w:rPr>
                    <w:rFonts w:ascii="Segoe UI"/>
                    <w:color w:val="808285"/>
                    <w:sz w:val="16"/>
                  </w:rPr>
                  <w:t>and</w:t>
                </w:r>
                <w:r>
                  <w:rPr>
                    <w:rFonts w:ascii="Segoe UI"/>
                    <w:color w:val="808285"/>
                    <w:spacing w:val="-4"/>
                    <w:sz w:val="16"/>
                  </w:rPr>
                  <w:t> </w:t>
                </w:r>
                <w:r>
                  <w:rPr>
                    <w:rFonts w:ascii="Segoe UI"/>
                    <w:color w:val="808285"/>
                    <w:spacing w:val="-3"/>
                    <w:sz w:val="16"/>
                  </w:rPr>
                  <w:t>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color w:val="808285"/>
                    <w:spacing w:val="-2"/>
                    <w:sz w:val="16"/>
                  </w:rPr>
                  <w:t> </w:t>
                </w:r>
                <w:r>
                  <w:rPr>
                    <w:rFonts w:ascii="Segoe UI"/>
                    <w:color w:val="808285"/>
                    <w:sz w:val="16"/>
                  </w:rPr>
                  <w:t>|</w:t>
                </w:r>
                <w:r>
                  <w:rPr>
                    <w:rFonts w:ascii="Segoe UI"/>
                    <w:color w:val="808285"/>
                    <w:spacing w:val="-4"/>
                    <w:sz w:val="16"/>
                  </w:rPr>
                  <w:t> </w:t>
                </w:r>
                <w:r>
                  <w:rPr>
                    <w:rFonts w:ascii="Segoe UI"/>
                    <w:b/>
                    <w:color w:val="808285"/>
                    <w:spacing w:val="-1"/>
                    <w:sz w:val="16"/>
                  </w:rPr>
                  <w:t>111</w:t>
                </w:r>
                <w:r>
                  <w:rPr>
                    <w:rFonts w:ascii="Segoe UI"/>
                    <w:sz w:val="16"/>
                  </w:rPr>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8.866096pt;margin-top:796.357666pt;width:308.850pt;height:10pt;mso-position-horizontal-relative:page;mso-position-vertical-relative:page;z-index:-228112" type="#_x0000_t202" filled="false" stroked="false">
          <v:textbox inset="0,0,0,0">
            <w:txbxContent>
              <w:p>
                <w:pPr>
                  <w:spacing w:line="190" w:lineRule="exact" w:before="0"/>
                  <w:ind w:left="40" w:right="0" w:firstLine="0"/>
                  <w:jc w:val="left"/>
                  <w:rPr>
                    <w:rFonts w:ascii="Segoe UI" w:hAnsi="Segoe UI" w:cs="Segoe UI" w:eastAsia="Segoe UI"/>
                    <w:sz w:val="16"/>
                    <w:szCs w:val="16"/>
                  </w:rPr>
                </w:pPr>
                <w:r>
                  <w:rPr>
                    <w:rFonts w:ascii="Segoe UI"/>
                    <w:b/>
                    <w:color w:val="808285"/>
                    <w:sz w:val="16"/>
                  </w:rPr>
                </w:r>
                <w:r>
                  <w:rPr/>
                  <w:fldChar w:fldCharType="begin"/>
                </w:r>
                <w:r>
                  <w:rPr>
                    <w:rFonts w:ascii="Segoe UI"/>
                    <w:b/>
                    <w:color w:val="808285"/>
                    <w:sz w:val="16"/>
                  </w:rPr>
                  <w:instrText> PAGE </w:instrText>
                </w:r>
                <w:r>
                  <w:rPr/>
                  <w:fldChar w:fldCharType="separate"/>
                </w:r>
                <w:r>
                  <w:rPr/>
                  <w:t>112</w:t>
                </w:r>
                <w:r>
                  <w:rPr/>
                  <w:fldChar w:fldCharType="end"/>
                </w:r>
                <w:r>
                  <w:rPr>
                    <w:rFonts w:ascii="Segoe UI"/>
                    <w:b/>
                    <w:color w:val="808285"/>
                    <w:spacing w:val="-4"/>
                    <w:sz w:val="16"/>
                  </w:rPr>
                  <w:t> </w:t>
                </w:r>
                <w:r>
                  <w:rPr>
                    <w:rFonts w:ascii="Segoe UI"/>
                    <w:color w:val="808285"/>
                    <w:sz w:val="16"/>
                  </w:rPr>
                  <w:t>|</w:t>
                </w:r>
                <w:r>
                  <w:rPr>
                    <w:rFonts w:ascii="Segoe UI"/>
                    <w:color w:val="808285"/>
                    <w:spacing w:val="-4"/>
                    <w:sz w:val="16"/>
                  </w:rPr>
                  <w:t> </w:t>
                </w:r>
                <w:r>
                  <w:rPr>
                    <w:rFonts w:ascii="Segoe UI"/>
                    <w:color w:val="808285"/>
                    <w:spacing w:val="-1"/>
                    <w:sz w:val="16"/>
                  </w:rPr>
                  <w:t>Boarding:</w:t>
                </w:r>
                <w:r>
                  <w:rPr>
                    <w:rFonts w:ascii="Segoe UI"/>
                    <w:color w:val="808285"/>
                    <w:spacing w:val="-2"/>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3"/>
                    <w:sz w:val="16"/>
                  </w:rPr>
                  <w:t> </w:t>
                </w:r>
                <w:r>
                  <w:rPr>
                    <w:rFonts w:ascii="Segoe UI"/>
                    <w:color w:val="808285"/>
                    <w:sz w:val="16"/>
                  </w:rPr>
                  <w:t>outcomes</w:t>
                </w:r>
                <w:r>
                  <w:rPr>
                    <w:rFonts w:ascii="Segoe UI"/>
                    <w:color w:val="808285"/>
                    <w:spacing w:val="-3"/>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3"/>
                    <w:sz w:val="16"/>
                  </w:rPr>
                  <w:t> </w:t>
                </w:r>
                <w:r>
                  <w:rPr>
                    <w:rFonts w:ascii="Segoe UI"/>
                    <w:color w:val="808285"/>
                    <w:sz w:val="16"/>
                  </w:rPr>
                  <w:t>and</w:t>
                </w:r>
                <w:r>
                  <w:rPr>
                    <w:rFonts w:ascii="Segoe UI"/>
                    <w:color w:val="808285"/>
                    <w:spacing w:val="-3"/>
                    <w:sz w:val="16"/>
                  </w:rPr>
                  <w:t> 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sz w:val="16"/>
                  </w:rPr>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17.573502pt;margin-top:796.357666pt;width:308.850pt;height:10pt;mso-position-horizontal-relative:page;mso-position-vertical-relative:page;z-index:-228088"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color w:val="808285"/>
                    <w:spacing w:val="-1"/>
                    <w:sz w:val="16"/>
                  </w:rPr>
                  <w:t>Boarding:</w:t>
                </w:r>
                <w:r>
                  <w:rPr>
                    <w:rFonts w:ascii="Segoe UI"/>
                    <w:color w:val="808285"/>
                    <w:spacing w:val="-3"/>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2"/>
                    <w:sz w:val="16"/>
                  </w:rPr>
                  <w:t> </w:t>
                </w:r>
                <w:r>
                  <w:rPr>
                    <w:rFonts w:ascii="Segoe UI"/>
                    <w:color w:val="808285"/>
                    <w:sz w:val="16"/>
                  </w:rPr>
                  <w:t>outcomes</w:t>
                </w:r>
                <w:r>
                  <w:rPr>
                    <w:rFonts w:ascii="Segoe UI"/>
                    <w:color w:val="808285"/>
                    <w:spacing w:val="-4"/>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2"/>
                    <w:sz w:val="16"/>
                  </w:rPr>
                  <w:t> </w:t>
                </w:r>
                <w:r>
                  <w:rPr>
                    <w:rFonts w:ascii="Segoe UI"/>
                    <w:color w:val="808285"/>
                    <w:sz w:val="16"/>
                  </w:rPr>
                  <w:t>and</w:t>
                </w:r>
                <w:r>
                  <w:rPr>
                    <w:rFonts w:ascii="Segoe UI"/>
                    <w:color w:val="808285"/>
                    <w:spacing w:val="-4"/>
                    <w:sz w:val="16"/>
                  </w:rPr>
                  <w:t> </w:t>
                </w:r>
                <w:r>
                  <w:rPr>
                    <w:rFonts w:ascii="Segoe UI"/>
                    <w:color w:val="808285"/>
                    <w:spacing w:val="-3"/>
                    <w:sz w:val="16"/>
                  </w:rPr>
                  <w:t>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color w:val="808285"/>
                    <w:spacing w:val="-2"/>
                    <w:sz w:val="16"/>
                  </w:rPr>
                  <w:t> </w:t>
                </w:r>
                <w:r>
                  <w:rPr>
                    <w:rFonts w:ascii="Segoe UI"/>
                    <w:color w:val="808285"/>
                    <w:sz w:val="16"/>
                  </w:rPr>
                  <w:t>|</w:t>
                </w:r>
                <w:r>
                  <w:rPr>
                    <w:rFonts w:ascii="Segoe UI"/>
                    <w:color w:val="808285"/>
                    <w:spacing w:val="-4"/>
                    <w:sz w:val="16"/>
                  </w:rPr>
                  <w:t> </w:t>
                </w:r>
                <w:r>
                  <w:rPr>
                    <w:rFonts w:ascii="Segoe UI"/>
                    <w:b/>
                    <w:color w:val="808285"/>
                    <w:spacing w:val="-4"/>
                    <w:sz w:val="16"/>
                  </w:rPr>
                </w:r>
                <w:r>
                  <w:rPr/>
                  <w:fldChar w:fldCharType="begin"/>
                </w:r>
                <w:r>
                  <w:rPr>
                    <w:rFonts w:ascii="Segoe UI"/>
                    <w:b/>
                    <w:color w:val="808285"/>
                    <w:sz w:val="16"/>
                  </w:rPr>
                  <w:instrText> PAGE </w:instrText>
                </w:r>
                <w:r>
                  <w:rPr/>
                  <w:fldChar w:fldCharType="separate"/>
                </w:r>
                <w:r>
                  <w:rPr/>
                  <w:t>113</w:t>
                </w:r>
                <w:r>
                  <w:rPr/>
                  <w:fldChar w:fldCharType="end"/>
                </w:r>
                <w:r>
                  <w:rPr>
                    <w:rFonts w:ascii="Segoe UI"/>
                    <w:b/>
                    <w:color w:val="808285"/>
                    <w:spacing w:val="-1"/>
                    <w:sz w:val="16"/>
                  </w:rPr>
                </w:r>
                <w:r>
                  <w:rPr>
                    <w:rFonts w:ascii="Segoe UI"/>
                    <w:sz w:val="16"/>
                  </w:rPr>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9.866096pt;margin-top:796.357666pt;width:307.850pt;height:10pt;mso-position-horizontal-relative:page;mso-position-vertical-relative:page;z-index:-228064"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b/>
                    <w:color w:val="808285"/>
                    <w:spacing w:val="-1"/>
                    <w:sz w:val="16"/>
                  </w:rPr>
                  <w:t>120</w:t>
                </w:r>
                <w:r>
                  <w:rPr>
                    <w:rFonts w:ascii="Segoe UI"/>
                    <w:b/>
                    <w:color w:val="808285"/>
                    <w:spacing w:val="-4"/>
                    <w:sz w:val="16"/>
                  </w:rPr>
                  <w:t> </w:t>
                </w:r>
                <w:r>
                  <w:rPr>
                    <w:rFonts w:ascii="Segoe UI"/>
                    <w:color w:val="808285"/>
                    <w:sz w:val="16"/>
                  </w:rPr>
                  <w:t>|</w:t>
                </w:r>
                <w:r>
                  <w:rPr>
                    <w:rFonts w:ascii="Segoe UI"/>
                    <w:color w:val="808285"/>
                    <w:spacing w:val="-4"/>
                    <w:sz w:val="16"/>
                  </w:rPr>
                  <w:t> </w:t>
                </w:r>
                <w:r>
                  <w:rPr>
                    <w:rFonts w:ascii="Segoe UI"/>
                    <w:color w:val="808285"/>
                    <w:spacing w:val="-1"/>
                    <w:sz w:val="16"/>
                  </w:rPr>
                  <w:t>Boarding:</w:t>
                </w:r>
                <w:r>
                  <w:rPr>
                    <w:rFonts w:ascii="Segoe UI"/>
                    <w:color w:val="808285"/>
                    <w:spacing w:val="-2"/>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3"/>
                    <w:sz w:val="16"/>
                  </w:rPr>
                  <w:t> </w:t>
                </w:r>
                <w:r>
                  <w:rPr>
                    <w:rFonts w:ascii="Segoe UI"/>
                    <w:color w:val="808285"/>
                    <w:sz w:val="16"/>
                  </w:rPr>
                  <w:t>outcomes</w:t>
                </w:r>
                <w:r>
                  <w:rPr>
                    <w:rFonts w:ascii="Segoe UI"/>
                    <w:color w:val="808285"/>
                    <w:spacing w:val="-3"/>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3"/>
                    <w:sz w:val="16"/>
                  </w:rPr>
                  <w:t> </w:t>
                </w:r>
                <w:r>
                  <w:rPr>
                    <w:rFonts w:ascii="Segoe UI"/>
                    <w:color w:val="808285"/>
                    <w:sz w:val="16"/>
                  </w:rPr>
                  <w:t>and</w:t>
                </w:r>
                <w:r>
                  <w:rPr>
                    <w:rFonts w:ascii="Segoe UI"/>
                    <w:color w:val="808285"/>
                    <w:spacing w:val="-3"/>
                    <w:sz w:val="16"/>
                  </w:rPr>
                  <w:t> 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sz w:val="16"/>
                  </w:rPr>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17.573502pt;margin-top:796.357666pt;width:307.850pt;height:10pt;mso-position-horizontal-relative:page;mso-position-vertical-relative:page;z-index:-228040"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color w:val="808285"/>
                    <w:spacing w:val="-1"/>
                    <w:sz w:val="16"/>
                  </w:rPr>
                  <w:t>Boarding:</w:t>
                </w:r>
                <w:r>
                  <w:rPr>
                    <w:rFonts w:ascii="Segoe UI"/>
                    <w:color w:val="808285"/>
                    <w:spacing w:val="-3"/>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2"/>
                    <w:sz w:val="16"/>
                  </w:rPr>
                  <w:t> </w:t>
                </w:r>
                <w:r>
                  <w:rPr>
                    <w:rFonts w:ascii="Segoe UI"/>
                    <w:color w:val="808285"/>
                    <w:sz w:val="16"/>
                  </w:rPr>
                  <w:t>outcomes</w:t>
                </w:r>
                <w:r>
                  <w:rPr>
                    <w:rFonts w:ascii="Segoe UI"/>
                    <w:color w:val="808285"/>
                    <w:spacing w:val="-4"/>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2"/>
                    <w:sz w:val="16"/>
                  </w:rPr>
                  <w:t> </w:t>
                </w:r>
                <w:r>
                  <w:rPr>
                    <w:rFonts w:ascii="Segoe UI"/>
                    <w:color w:val="808285"/>
                    <w:sz w:val="16"/>
                  </w:rPr>
                  <w:t>and</w:t>
                </w:r>
                <w:r>
                  <w:rPr>
                    <w:rFonts w:ascii="Segoe UI"/>
                    <w:color w:val="808285"/>
                    <w:spacing w:val="-4"/>
                    <w:sz w:val="16"/>
                  </w:rPr>
                  <w:t> </w:t>
                </w:r>
                <w:r>
                  <w:rPr>
                    <w:rFonts w:ascii="Segoe UI"/>
                    <w:color w:val="808285"/>
                    <w:spacing w:val="-3"/>
                    <w:sz w:val="16"/>
                  </w:rPr>
                  <w:t>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color w:val="808285"/>
                    <w:spacing w:val="-2"/>
                    <w:sz w:val="16"/>
                  </w:rPr>
                  <w:t> </w:t>
                </w:r>
                <w:r>
                  <w:rPr>
                    <w:rFonts w:ascii="Segoe UI"/>
                    <w:color w:val="808285"/>
                    <w:sz w:val="16"/>
                  </w:rPr>
                  <w:t>|</w:t>
                </w:r>
                <w:r>
                  <w:rPr>
                    <w:rFonts w:ascii="Segoe UI"/>
                    <w:color w:val="808285"/>
                    <w:spacing w:val="-4"/>
                    <w:sz w:val="16"/>
                  </w:rPr>
                  <w:t> </w:t>
                </w:r>
                <w:r>
                  <w:rPr>
                    <w:rFonts w:ascii="Segoe UI"/>
                    <w:b/>
                    <w:color w:val="808285"/>
                    <w:spacing w:val="-1"/>
                    <w:sz w:val="16"/>
                  </w:rPr>
                  <w:t>121</w:t>
                </w:r>
                <w:r>
                  <w:rPr>
                    <w:rFonts w:ascii="Segoe UI"/>
                    <w:sz w:val="16"/>
                  </w:rPr>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8.866096pt;margin-top:796.357666pt;width:308.850pt;height:10pt;mso-position-horizontal-relative:page;mso-position-vertical-relative:page;z-index:-228016" type="#_x0000_t202" filled="false" stroked="false">
          <v:textbox inset="0,0,0,0">
            <w:txbxContent>
              <w:p>
                <w:pPr>
                  <w:spacing w:line="190" w:lineRule="exact" w:before="0"/>
                  <w:ind w:left="40" w:right="0" w:firstLine="0"/>
                  <w:jc w:val="left"/>
                  <w:rPr>
                    <w:rFonts w:ascii="Segoe UI" w:hAnsi="Segoe UI" w:cs="Segoe UI" w:eastAsia="Segoe UI"/>
                    <w:sz w:val="16"/>
                    <w:szCs w:val="16"/>
                  </w:rPr>
                </w:pPr>
                <w:r>
                  <w:rPr>
                    <w:rFonts w:ascii="Segoe UI"/>
                    <w:b/>
                    <w:color w:val="808285"/>
                    <w:sz w:val="16"/>
                  </w:rPr>
                </w:r>
                <w:r>
                  <w:rPr/>
                  <w:fldChar w:fldCharType="begin"/>
                </w:r>
                <w:r>
                  <w:rPr>
                    <w:rFonts w:ascii="Segoe UI"/>
                    <w:b/>
                    <w:color w:val="808285"/>
                    <w:sz w:val="16"/>
                  </w:rPr>
                  <w:instrText> PAGE </w:instrText>
                </w:r>
                <w:r>
                  <w:rPr/>
                  <w:fldChar w:fldCharType="separate"/>
                </w:r>
                <w:r>
                  <w:rPr/>
                  <w:t>122</w:t>
                </w:r>
                <w:r>
                  <w:rPr/>
                  <w:fldChar w:fldCharType="end"/>
                </w:r>
                <w:r>
                  <w:rPr>
                    <w:rFonts w:ascii="Segoe UI"/>
                    <w:b/>
                    <w:color w:val="808285"/>
                    <w:spacing w:val="-4"/>
                    <w:sz w:val="16"/>
                  </w:rPr>
                  <w:t> </w:t>
                </w:r>
                <w:r>
                  <w:rPr>
                    <w:rFonts w:ascii="Segoe UI"/>
                    <w:color w:val="808285"/>
                    <w:sz w:val="16"/>
                  </w:rPr>
                  <w:t>|</w:t>
                </w:r>
                <w:r>
                  <w:rPr>
                    <w:rFonts w:ascii="Segoe UI"/>
                    <w:color w:val="808285"/>
                    <w:spacing w:val="-4"/>
                    <w:sz w:val="16"/>
                  </w:rPr>
                  <w:t> </w:t>
                </w:r>
                <w:r>
                  <w:rPr>
                    <w:rFonts w:ascii="Segoe UI"/>
                    <w:color w:val="808285"/>
                    <w:spacing w:val="-1"/>
                    <w:sz w:val="16"/>
                  </w:rPr>
                  <w:t>Boarding:</w:t>
                </w:r>
                <w:r>
                  <w:rPr>
                    <w:rFonts w:ascii="Segoe UI"/>
                    <w:color w:val="808285"/>
                    <w:spacing w:val="-2"/>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3"/>
                    <w:sz w:val="16"/>
                  </w:rPr>
                  <w:t> </w:t>
                </w:r>
                <w:r>
                  <w:rPr>
                    <w:rFonts w:ascii="Segoe UI"/>
                    <w:color w:val="808285"/>
                    <w:sz w:val="16"/>
                  </w:rPr>
                  <w:t>outcomes</w:t>
                </w:r>
                <w:r>
                  <w:rPr>
                    <w:rFonts w:ascii="Segoe UI"/>
                    <w:color w:val="808285"/>
                    <w:spacing w:val="-3"/>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3"/>
                    <w:sz w:val="16"/>
                  </w:rPr>
                  <w:t> </w:t>
                </w:r>
                <w:r>
                  <w:rPr>
                    <w:rFonts w:ascii="Segoe UI"/>
                    <w:color w:val="808285"/>
                    <w:sz w:val="16"/>
                  </w:rPr>
                  <w:t>and</w:t>
                </w:r>
                <w:r>
                  <w:rPr>
                    <w:rFonts w:ascii="Segoe UI"/>
                    <w:color w:val="808285"/>
                    <w:spacing w:val="-3"/>
                    <w:sz w:val="16"/>
                  </w:rPr>
                  <w:t> 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sz w:val="16"/>
                  </w:rPr>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8.866096pt;margin-top:796.357666pt;width:304.25pt;height:10pt;mso-position-horizontal-relative:page;mso-position-vertical-relative:page;z-index:-229072" type="#_x0000_t202" filled="false" stroked="false">
          <v:textbox inset="0,0,0,0">
            <w:txbxContent>
              <w:p>
                <w:pPr>
                  <w:spacing w:line="190" w:lineRule="exact" w:before="0"/>
                  <w:ind w:left="40" w:right="0" w:firstLine="0"/>
                  <w:jc w:val="left"/>
                  <w:rPr>
                    <w:rFonts w:ascii="Segoe UI" w:hAnsi="Segoe UI" w:cs="Segoe UI" w:eastAsia="Segoe UI"/>
                    <w:sz w:val="16"/>
                    <w:szCs w:val="16"/>
                  </w:rPr>
                </w:pPr>
                <w:r>
                  <w:rPr>
                    <w:rFonts w:ascii="Segoe UI"/>
                    <w:b/>
                    <w:color w:val="808285"/>
                    <w:sz w:val="16"/>
                  </w:rPr>
                </w:r>
                <w:r>
                  <w:rPr/>
                  <w:fldChar w:fldCharType="begin"/>
                </w:r>
                <w:r>
                  <w:rPr>
                    <w:rFonts w:ascii="Segoe UI"/>
                    <w:b/>
                    <w:color w:val="808285"/>
                    <w:sz w:val="16"/>
                  </w:rPr>
                  <w:instrText> PAGE </w:instrText>
                </w:r>
                <w:r>
                  <w:rPr/>
                  <w:fldChar w:fldCharType="separate"/>
                </w:r>
                <w:r>
                  <w:rPr/>
                  <w:t>12</w:t>
                </w:r>
                <w:r>
                  <w:rPr/>
                  <w:fldChar w:fldCharType="end"/>
                </w:r>
                <w:r>
                  <w:rPr>
                    <w:rFonts w:ascii="Segoe UI"/>
                    <w:b/>
                    <w:color w:val="808285"/>
                    <w:spacing w:val="-4"/>
                    <w:sz w:val="16"/>
                  </w:rPr>
                  <w:t> </w:t>
                </w:r>
                <w:r>
                  <w:rPr>
                    <w:rFonts w:ascii="Segoe UI"/>
                    <w:color w:val="808285"/>
                    <w:sz w:val="16"/>
                  </w:rPr>
                  <w:t>|</w:t>
                </w:r>
                <w:r>
                  <w:rPr>
                    <w:rFonts w:ascii="Segoe UI"/>
                    <w:color w:val="808285"/>
                    <w:spacing w:val="-4"/>
                    <w:sz w:val="16"/>
                  </w:rPr>
                  <w:t> </w:t>
                </w:r>
                <w:r>
                  <w:rPr>
                    <w:rFonts w:ascii="Segoe UI"/>
                    <w:color w:val="808285"/>
                    <w:spacing w:val="-1"/>
                    <w:sz w:val="16"/>
                  </w:rPr>
                  <w:t>Boarding:</w:t>
                </w:r>
                <w:r>
                  <w:rPr>
                    <w:rFonts w:ascii="Segoe UI"/>
                    <w:color w:val="808285"/>
                    <w:spacing w:val="-2"/>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3"/>
                    <w:sz w:val="16"/>
                  </w:rPr>
                  <w:t> </w:t>
                </w:r>
                <w:r>
                  <w:rPr>
                    <w:rFonts w:ascii="Segoe UI"/>
                    <w:color w:val="808285"/>
                    <w:sz w:val="16"/>
                  </w:rPr>
                  <w:t>outcomes</w:t>
                </w:r>
                <w:r>
                  <w:rPr>
                    <w:rFonts w:ascii="Segoe UI"/>
                    <w:color w:val="808285"/>
                    <w:spacing w:val="-3"/>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3"/>
                    <w:sz w:val="16"/>
                  </w:rPr>
                  <w:t> </w:t>
                </w:r>
                <w:r>
                  <w:rPr>
                    <w:rFonts w:ascii="Segoe UI"/>
                    <w:color w:val="808285"/>
                    <w:sz w:val="16"/>
                  </w:rPr>
                  <w:t>and</w:t>
                </w:r>
                <w:r>
                  <w:rPr>
                    <w:rFonts w:ascii="Segoe UI"/>
                    <w:color w:val="808285"/>
                    <w:spacing w:val="-3"/>
                    <w:sz w:val="16"/>
                  </w:rPr>
                  <w:t> 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sz w:val="16"/>
                  </w:rPr>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17.573502pt;margin-top:796.357666pt;width:308.850pt;height:10pt;mso-position-horizontal-relative:page;mso-position-vertical-relative:page;z-index:-227992"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color w:val="808285"/>
                    <w:spacing w:val="-1"/>
                    <w:sz w:val="16"/>
                  </w:rPr>
                  <w:t>Boarding:</w:t>
                </w:r>
                <w:r>
                  <w:rPr>
                    <w:rFonts w:ascii="Segoe UI"/>
                    <w:color w:val="808285"/>
                    <w:spacing w:val="-3"/>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2"/>
                    <w:sz w:val="16"/>
                  </w:rPr>
                  <w:t> </w:t>
                </w:r>
                <w:r>
                  <w:rPr>
                    <w:rFonts w:ascii="Segoe UI"/>
                    <w:color w:val="808285"/>
                    <w:sz w:val="16"/>
                  </w:rPr>
                  <w:t>outcomes</w:t>
                </w:r>
                <w:r>
                  <w:rPr>
                    <w:rFonts w:ascii="Segoe UI"/>
                    <w:color w:val="808285"/>
                    <w:spacing w:val="-4"/>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2"/>
                    <w:sz w:val="16"/>
                  </w:rPr>
                  <w:t> </w:t>
                </w:r>
                <w:r>
                  <w:rPr>
                    <w:rFonts w:ascii="Segoe UI"/>
                    <w:color w:val="808285"/>
                    <w:sz w:val="16"/>
                  </w:rPr>
                  <w:t>and</w:t>
                </w:r>
                <w:r>
                  <w:rPr>
                    <w:rFonts w:ascii="Segoe UI"/>
                    <w:color w:val="808285"/>
                    <w:spacing w:val="-4"/>
                    <w:sz w:val="16"/>
                  </w:rPr>
                  <w:t> </w:t>
                </w:r>
                <w:r>
                  <w:rPr>
                    <w:rFonts w:ascii="Segoe UI"/>
                    <w:color w:val="808285"/>
                    <w:spacing w:val="-3"/>
                    <w:sz w:val="16"/>
                  </w:rPr>
                  <w:t>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color w:val="808285"/>
                    <w:spacing w:val="-2"/>
                    <w:sz w:val="16"/>
                  </w:rPr>
                  <w:t> </w:t>
                </w:r>
                <w:r>
                  <w:rPr>
                    <w:rFonts w:ascii="Segoe UI"/>
                    <w:color w:val="808285"/>
                    <w:sz w:val="16"/>
                  </w:rPr>
                  <w:t>|</w:t>
                </w:r>
                <w:r>
                  <w:rPr>
                    <w:rFonts w:ascii="Segoe UI"/>
                    <w:color w:val="808285"/>
                    <w:spacing w:val="-4"/>
                    <w:sz w:val="16"/>
                  </w:rPr>
                  <w:t> </w:t>
                </w:r>
                <w:r>
                  <w:rPr>
                    <w:rFonts w:ascii="Segoe UI"/>
                    <w:b/>
                    <w:color w:val="808285"/>
                    <w:spacing w:val="-4"/>
                    <w:sz w:val="16"/>
                  </w:rPr>
                </w:r>
                <w:r>
                  <w:rPr/>
                  <w:fldChar w:fldCharType="begin"/>
                </w:r>
                <w:r>
                  <w:rPr>
                    <w:rFonts w:ascii="Segoe UI"/>
                    <w:b/>
                    <w:color w:val="808285"/>
                    <w:sz w:val="16"/>
                  </w:rPr>
                  <w:instrText> PAGE </w:instrText>
                </w:r>
                <w:r>
                  <w:rPr/>
                  <w:fldChar w:fldCharType="separate"/>
                </w:r>
                <w:r>
                  <w:rPr/>
                  <w:t>123</w:t>
                </w:r>
                <w:r>
                  <w:rPr/>
                  <w:fldChar w:fldCharType="end"/>
                </w:r>
                <w:r>
                  <w:rPr>
                    <w:rFonts w:ascii="Segoe UI"/>
                    <w:b/>
                    <w:color w:val="808285"/>
                    <w:spacing w:val="-1"/>
                    <w:sz w:val="16"/>
                  </w:rPr>
                </w:r>
                <w:r>
                  <w:rPr>
                    <w:rFonts w:ascii="Segoe UI"/>
                    <w:sz w:val="16"/>
                  </w:rPr>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9.866096pt;margin-top:796.357666pt;width:307.850pt;height:10pt;mso-position-horizontal-relative:page;mso-position-vertical-relative:page;z-index:-227968"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b/>
                    <w:color w:val="808285"/>
                    <w:spacing w:val="-1"/>
                    <w:sz w:val="16"/>
                  </w:rPr>
                  <w:t>130</w:t>
                </w:r>
                <w:r>
                  <w:rPr>
                    <w:rFonts w:ascii="Segoe UI"/>
                    <w:b/>
                    <w:color w:val="808285"/>
                    <w:spacing w:val="-4"/>
                    <w:sz w:val="16"/>
                  </w:rPr>
                  <w:t> </w:t>
                </w:r>
                <w:r>
                  <w:rPr>
                    <w:rFonts w:ascii="Segoe UI"/>
                    <w:color w:val="808285"/>
                    <w:sz w:val="16"/>
                  </w:rPr>
                  <w:t>|</w:t>
                </w:r>
                <w:r>
                  <w:rPr>
                    <w:rFonts w:ascii="Segoe UI"/>
                    <w:color w:val="808285"/>
                    <w:spacing w:val="-4"/>
                    <w:sz w:val="16"/>
                  </w:rPr>
                  <w:t> </w:t>
                </w:r>
                <w:r>
                  <w:rPr>
                    <w:rFonts w:ascii="Segoe UI"/>
                    <w:color w:val="808285"/>
                    <w:spacing w:val="-1"/>
                    <w:sz w:val="16"/>
                  </w:rPr>
                  <w:t>Boarding:</w:t>
                </w:r>
                <w:r>
                  <w:rPr>
                    <w:rFonts w:ascii="Segoe UI"/>
                    <w:color w:val="808285"/>
                    <w:spacing w:val="-2"/>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3"/>
                    <w:sz w:val="16"/>
                  </w:rPr>
                  <w:t> </w:t>
                </w:r>
                <w:r>
                  <w:rPr>
                    <w:rFonts w:ascii="Segoe UI"/>
                    <w:color w:val="808285"/>
                    <w:sz w:val="16"/>
                  </w:rPr>
                  <w:t>outcomes</w:t>
                </w:r>
                <w:r>
                  <w:rPr>
                    <w:rFonts w:ascii="Segoe UI"/>
                    <w:color w:val="808285"/>
                    <w:spacing w:val="-3"/>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3"/>
                    <w:sz w:val="16"/>
                  </w:rPr>
                  <w:t> </w:t>
                </w:r>
                <w:r>
                  <w:rPr>
                    <w:rFonts w:ascii="Segoe UI"/>
                    <w:color w:val="808285"/>
                    <w:sz w:val="16"/>
                  </w:rPr>
                  <w:t>and</w:t>
                </w:r>
                <w:r>
                  <w:rPr>
                    <w:rFonts w:ascii="Segoe UI"/>
                    <w:color w:val="808285"/>
                    <w:spacing w:val="-3"/>
                    <w:sz w:val="16"/>
                  </w:rPr>
                  <w:t> 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sz w:val="16"/>
                  </w:rPr>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17.573502pt;margin-top:796.357666pt;width:307.850pt;height:10pt;mso-position-horizontal-relative:page;mso-position-vertical-relative:page;z-index:-227944"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color w:val="808285"/>
                    <w:spacing w:val="-1"/>
                    <w:sz w:val="16"/>
                  </w:rPr>
                  <w:t>Boarding:</w:t>
                </w:r>
                <w:r>
                  <w:rPr>
                    <w:rFonts w:ascii="Segoe UI"/>
                    <w:color w:val="808285"/>
                    <w:spacing w:val="-3"/>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2"/>
                    <w:sz w:val="16"/>
                  </w:rPr>
                  <w:t> </w:t>
                </w:r>
                <w:r>
                  <w:rPr>
                    <w:rFonts w:ascii="Segoe UI"/>
                    <w:color w:val="808285"/>
                    <w:sz w:val="16"/>
                  </w:rPr>
                  <w:t>outcomes</w:t>
                </w:r>
                <w:r>
                  <w:rPr>
                    <w:rFonts w:ascii="Segoe UI"/>
                    <w:color w:val="808285"/>
                    <w:spacing w:val="-4"/>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2"/>
                    <w:sz w:val="16"/>
                  </w:rPr>
                  <w:t> </w:t>
                </w:r>
                <w:r>
                  <w:rPr>
                    <w:rFonts w:ascii="Segoe UI"/>
                    <w:color w:val="808285"/>
                    <w:sz w:val="16"/>
                  </w:rPr>
                  <w:t>and</w:t>
                </w:r>
                <w:r>
                  <w:rPr>
                    <w:rFonts w:ascii="Segoe UI"/>
                    <w:color w:val="808285"/>
                    <w:spacing w:val="-4"/>
                    <w:sz w:val="16"/>
                  </w:rPr>
                  <w:t> </w:t>
                </w:r>
                <w:r>
                  <w:rPr>
                    <w:rFonts w:ascii="Segoe UI"/>
                    <w:color w:val="808285"/>
                    <w:spacing w:val="-3"/>
                    <w:sz w:val="16"/>
                  </w:rPr>
                  <w:t>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color w:val="808285"/>
                    <w:spacing w:val="-2"/>
                    <w:sz w:val="16"/>
                  </w:rPr>
                  <w:t> </w:t>
                </w:r>
                <w:r>
                  <w:rPr>
                    <w:rFonts w:ascii="Segoe UI"/>
                    <w:color w:val="808285"/>
                    <w:sz w:val="16"/>
                  </w:rPr>
                  <w:t>|</w:t>
                </w:r>
                <w:r>
                  <w:rPr>
                    <w:rFonts w:ascii="Segoe UI"/>
                    <w:color w:val="808285"/>
                    <w:spacing w:val="-4"/>
                    <w:sz w:val="16"/>
                  </w:rPr>
                  <w:t> </w:t>
                </w:r>
                <w:r>
                  <w:rPr>
                    <w:rFonts w:ascii="Segoe UI"/>
                    <w:b/>
                    <w:color w:val="808285"/>
                    <w:spacing w:val="-1"/>
                    <w:sz w:val="16"/>
                  </w:rPr>
                  <w:t>131</w:t>
                </w:r>
                <w:r>
                  <w:rPr>
                    <w:rFonts w:ascii="Segoe UI"/>
                    <w:sz w:val="16"/>
                  </w:rPr>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9.866096pt;margin-top:796.357666pt;width:307.850pt;height:10pt;mso-position-horizontal-relative:page;mso-position-vertical-relative:page;z-index:-227920"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b/>
                    <w:color w:val="808285"/>
                    <w:spacing w:val="-1"/>
                    <w:sz w:val="16"/>
                  </w:rPr>
                  <w:t>132</w:t>
                </w:r>
                <w:r>
                  <w:rPr>
                    <w:rFonts w:ascii="Segoe UI"/>
                    <w:b/>
                    <w:color w:val="808285"/>
                    <w:spacing w:val="-4"/>
                    <w:sz w:val="16"/>
                  </w:rPr>
                  <w:t> </w:t>
                </w:r>
                <w:r>
                  <w:rPr>
                    <w:rFonts w:ascii="Segoe UI"/>
                    <w:color w:val="808285"/>
                    <w:sz w:val="16"/>
                  </w:rPr>
                  <w:t>|</w:t>
                </w:r>
                <w:r>
                  <w:rPr>
                    <w:rFonts w:ascii="Segoe UI"/>
                    <w:color w:val="808285"/>
                    <w:spacing w:val="-4"/>
                    <w:sz w:val="16"/>
                  </w:rPr>
                  <w:t> </w:t>
                </w:r>
                <w:r>
                  <w:rPr>
                    <w:rFonts w:ascii="Segoe UI"/>
                    <w:color w:val="808285"/>
                    <w:spacing w:val="-1"/>
                    <w:sz w:val="16"/>
                  </w:rPr>
                  <w:t>Boarding:</w:t>
                </w:r>
                <w:r>
                  <w:rPr>
                    <w:rFonts w:ascii="Segoe UI"/>
                    <w:color w:val="808285"/>
                    <w:spacing w:val="-2"/>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3"/>
                    <w:sz w:val="16"/>
                  </w:rPr>
                  <w:t> </w:t>
                </w:r>
                <w:r>
                  <w:rPr>
                    <w:rFonts w:ascii="Segoe UI"/>
                    <w:color w:val="808285"/>
                    <w:sz w:val="16"/>
                  </w:rPr>
                  <w:t>outcomes</w:t>
                </w:r>
                <w:r>
                  <w:rPr>
                    <w:rFonts w:ascii="Segoe UI"/>
                    <w:color w:val="808285"/>
                    <w:spacing w:val="-3"/>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3"/>
                    <w:sz w:val="16"/>
                  </w:rPr>
                  <w:t> </w:t>
                </w:r>
                <w:r>
                  <w:rPr>
                    <w:rFonts w:ascii="Segoe UI"/>
                    <w:color w:val="808285"/>
                    <w:sz w:val="16"/>
                  </w:rPr>
                  <w:t>and</w:t>
                </w:r>
                <w:r>
                  <w:rPr>
                    <w:rFonts w:ascii="Segoe UI"/>
                    <w:color w:val="808285"/>
                    <w:spacing w:val="-3"/>
                    <w:sz w:val="16"/>
                  </w:rPr>
                  <w:t> 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sz w:val="16"/>
                  </w:rPr>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22.175095pt;margin-top:796.357666pt;width:304.25pt;height:10pt;mso-position-horizontal-relative:page;mso-position-vertical-relative:page;z-index:-229048"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color w:val="808285"/>
                    <w:spacing w:val="-1"/>
                    <w:sz w:val="16"/>
                  </w:rPr>
                  <w:t>Boarding:</w:t>
                </w:r>
                <w:r>
                  <w:rPr>
                    <w:rFonts w:ascii="Segoe UI"/>
                    <w:color w:val="808285"/>
                    <w:spacing w:val="-3"/>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2"/>
                    <w:sz w:val="16"/>
                  </w:rPr>
                  <w:t> </w:t>
                </w:r>
                <w:r>
                  <w:rPr>
                    <w:rFonts w:ascii="Segoe UI"/>
                    <w:color w:val="808285"/>
                    <w:sz w:val="16"/>
                  </w:rPr>
                  <w:t>outcomes</w:t>
                </w:r>
                <w:r>
                  <w:rPr>
                    <w:rFonts w:ascii="Segoe UI"/>
                    <w:color w:val="808285"/>
                    <w:spacing w:val="-4"/>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2"/>
                    <w:sz w:val="16"/>
                  </w:rPr>
                  <w:t> </w:t>
                </w:r>
                <w:r>
                  <w:rPr>
                    <w:rFonts w:ascii="Segoe UI"/>
                    <w:color w:val="808285"/>
                    <w:sz w:val="16"/>
                  </w:rPr>
                  <w:t>and</w:t>
                </w:r>
                <w:r>
                  <w:rPr>
                    <w:rFonts w:ascii="Segoe UI"/>
                    <w:color w:val="808285"/>
                    <w:spacing w:val="-4"/>
                    <w:sz w:val="16"/>
                  </w:rPr>
                  <w:t> </w:t>
                </w:r>
                <w:r>
                  <w:rPr>
                    <w:rFonts w:ascii="Segoe UI"/>
                    <w:color w:val="808285"/>
                    <w:spacing w:val="-3"/>
                    <w:sz w:val="16"/>
                  </w:rPr>
                  <w:t>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color w:val="808285"/>
                    <w:spacing w:val="-2"/>
                    <w:sz w:val="16"/>
                  </w:rPr>
                  <w:t> </w:t>
                </w:r>
                <w:r>
                  <w:rPr>
                    <w:rFonts w:ascii="Segoe UI"/>
                    <w:color w:val="808285"/>
                    <w:sz w:val="16"/>
                  </w:rPr>
                  <w:t>|</w:t>
                </w:r>
                <w:r>
                  <w:rPr>
                    <w:rFonts w:ascii="Segoe UI"/>
                    <w:color w:val="808285"/>
                    <w:spacing w:val="-4"/>
                    <w:sz w:val="16"/>
                  </w:rPr>
                  <w:t> </w:t>
                </w:r>
                <w:r>
                  <w:rPr>
                    <w:rFonts w:ascii="Segoe UI"/>
                    <w:b/>
                    <w:color w:val="808285"/>
                    <w:spacing w:val="-4"/>
                    <w:sz w:val="16"/>
                  </w:rPr>
                </w:r>
                <w:r>
                  <w:rPr/>
                  <w:fldChar w:fldCharType="begin"/>
                </w:r>
                <w:r>
                  <w:rPr>
                    <w:rFonts w:ascii="Segoe UI"/>
                    <w:b/>
                    <w:color w:val="808285"/>
                    <w:sz w:val="16"/>
                  </w:rPr>
                  <w:instrText> PAGE </w:instrText>
                </w:r>
                <w:r>
                  <w:rPr/>
                  <w:fldChar w:fldCharType="separate"/>
                </w:r>
                <w:r>
                  <w:rPr/>
                  <w:t>13</w:t>
                </w:r>
                <w:r>
                  <w:rPr/>
                  <w:fldChar w:fldCharType="end"/>
                </w:r>
                <w:r>
                  <w:rPr>
                    <w:rFonts w:ascii="Segoe UI"/>
                    <w:b/>
                    <w:color w:val="808285"/>
                    <w:spacing w:val="-1"/>
                    <w:sz w:val="16"/>
                  </w:rPr>
                </w:r>
                <w:r>
                  <w:rPr>
                    <w:rFonts w:ascii="Segoe UI"/>
                    <w:sz w:val="16"/>
                  </w:rPr>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9.866096pt;margin-top:796.357666pt;width:303.25pt;height:10pt;mso-position-horizontal-relative:page;mso-position-vertical-relative:page;z-index:-229024"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b/>
                    <w:color w:val="808285"/>
                    <w:spacing w:val="-1"/>
                    <w:sz w:val="16"/>
                  </w:rPr>
                  <w:t>20</w:t>
                </w:r>
                <w:r>
                  <w:rPr>
                    <w:rFonts w:ascii="Segoe UI"/>
                    <w:b/>
                    <w:color w:val="808285"/>
                    <w:spacing w:val="-4"/>
                    <w:sz w:val="16"/>
                  </w:rPr>
                  <w:t> </w:t>
                </w:r>
                <w:r>
                  <w:rPr>
                    <w:rFonts w:ascii="Segoe UI"/>
                    <w:color w:val="808285"/>
                    <w:sz w:val="16"/>
                  </w:rPr>
                  <w:t>|</w:t>
                </w:r>
                <w:r>
                  <w:rPr>
                    <w:rFonts w:ascii="Segoe UI"/>
                    <w:color w:val="808285"/>
                    <w:spacing w:val="-4"/>
                    <w:sz w:val="16"/>
                  </w:rPr>
                  <w:t> </w:t>
                </w:r>
                <w:r>
                  <w:rPr>
                    <w:rFonts w:ascii="Segoe UI"/>
                    <w:color w:val="808285"/>
                    <w:spacing w:val="-1"/>
                    <w:sz w:val="16"/>
                  </w:rPr>
                  <w:t>Boarding:</w:t>
                </w:r>
                <w:r>
                  <w:rPr>
                    <w:rFonts w:ascii="Segoe UI"/>
                    <w:color w:val="808285"/>
                    <w:spacing w:val="-2"/>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3"/>
                    <w:sz w:val="16"/>
                  </w:rPr>
                  <w:t> </w:t>
                </w:r>
                <w:r>
                  <w:rPr>
                    <w:rFonts w:ascii="Segoe UI"/>
                    <w:color w:val="808285"/>
                    <w:sz w:val="16"/>
                  </w:rPr>
                  <w:t>outcomes</w:t>
                </w:r>
                <w:r>
                  <w:rPr>
                    <w:rFonts w:ascii="Segoe UI"/>
                    <w:color w:val="808285"/>
                    <w:spacing w:val="-3"/>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3"/>
                    <w:sz w:val="16"/>
                  </w:rPr>
                  <w:t> </w:t>
                </w:r>
                <w:r>
                  <w:rPr>
                    <w:rFonts w:ascii="Segoe UI"/>
                    <w:color w:val="808285"/>
                    <w:sz w:val="16"/>
                  </w:rPr>
                  <w:t>and</w:t>
                </w:r>
                <w:r>
                  <w:rPr>
                    <w:rFonts w:ascii="Segoe UI"/>
                    <w:color w:val="808285"/>
                    <w:spacing w:val="-3"/>
                    <w:sz w:val="16"/>
                  </w:rPr>
                  <w:t> 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sz w:val="16"/>
                  </w:rPr>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22.175095pt;margin-top:796.357666pt;width:303.25pt;height:10pt;mso-position-horizontal-relative:page;mso-position-vertical-relative:page;z-index:-229000" type="#_x0000_t202" filled="false" stroked="false">
          <v:textbox inset="0,0,0,0">
            <w:txbxContent>
              <w:p>
                <w:pPr>
                  <w:spacing w:line="190" w:lineRule="exact" w:before="0"/>
                  <w:ind w:left="20" w:right="0" w:firstLine="0"/>
                  <w:jc w:val="left"/>
                  <w:rPr>
                    <w:rFonts w:ascii="Segoe UI" w:hAnsi="Segoe UI" w:cs="Segoe UI" w:eastAsia="Segoe UI"/>
                    <w:sz w:val="16"/>
                    <w:szCs w:val="16"/>
                  </w:rPr>
                </w:pPr>
                <w:r>
                  <w:rPr>
                    <w:rFonts w:ascii="Segoe UI"/>
                    <w:color w:val="808285"/>
                    <w:spacing w:val="-1"/>
                    <w:sz w:val="16"/>
                  </w:rPr>
                  <w:t>Boarding:</w:t>
                </w:r>
                <w:r>
                  <w:rPr>
                    <w:rFonts w:ascii="Segoe UI"/>
                    <w:color w:val="808285"/>
                    <w:spacing w:val="-3"/>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2"/>
                    <w:sz w:val="16"/>
                  </w:rPr>
                  <w:t> </w:t>
                </w:r>
                <w:r>
                  <w:rPr>
                    <w:rFonts w:ascii="Segoe UI"/>
                    <w:color w:val="808285"/>
                    <w:sz w:val="16"/>
                  </w:rPr>
                  <w:t>outcomes</w:t>
                </w:r>
                <w:r>
                  <w:rPr>
                    <w:rFonts w:ascii="Segoe UI"/>
                    <w:color w:val="808285"/>
                    <w:spacing w:val="-4"/>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2"/>
                    <w:sz w:val="16"/>
                  </w:rPr>
                  <w:t> </w:t>
                </w:r>
                <w:r>
                  <w:rPr>
                    <w:rFonts w:ascii="Segoe UI"/>
                    <w:color w:val="808285"/>
                    <w:sz w:val="16"/>
                  </w:rPr>
                  <w:t>and</w:t>
                </w:r>
                <w:r>
                  <w:rPr>
                    <w:rFonts w:ascii="Segoe UI"/>
                    <w:color w:val="808285"/>
                    <w:spacing w:val="-4"/>
                    <w:sz w:val="16"/>
                  </w:rPr>
                  <w:t> </w:t>
                </w:r>
                <w:r>
                  <w:rPr>
                    <w:rFonts w:ascii="Segoe UI"/>
                    <w:color w:val="808285"/>
                    <w:spacing w:val="-3"/>
                    <w:sz w:val="16"/>
                  </w:rPr>
                  <w:t>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color w:val="808285"/>
                    <w:spacing w:val="-2"/>
                    <w:sz w:val="16"/>
                  </w:rPr>
                  <w:t> </w:t>
                </w:r>
                <w:r>
                  <w:rPr>
                    <w:rFonts w:ascii="Segoe UI"/>
                    <w:color w:val="808285"/>
                    <w:sz w:val="16"/>
                  </w:rPr>
                  <w:t>|</w:t>
                </w:r>
                <w:r>
                  <w:rPr>
                    <w:rFonts w:ascii="Segoe UI"/>
                    <w:color w:val="808285"/>
                    <w:spacing w:val="-4"/>
                    <w:sz w:val="16"/>
                  </w:rPr>
                  <w:t> </w:t>
                </w:r>
                <w:r>
                  <w:rPr>
                    <w:rFonts w:ascii="Segoe UI"/>
                    <w:b/>
                    <w:color w:val="808285"/>
                    <w:spacing w:val="-1"/>
                    <w:sz w:val="16"/>
                  </w:rPr>
                  <w:t>21</w:t>
                </w:r>
                <w:r>
                  <w:rPr>
                    <w:rFonts w:ascii="Segoe UI"/>
                    <w:sz w:val="16"/>
                  </w:rPr>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8.866096pt;margin-top:796.357666pt;width:304.25pt;height:10pt;mso-position-horizontal-relative:page;mso-position-vertical-relative:page;z-index:-228976" type="#_x0000_t202" filled="false" stroked="false">
          <v:textbox inset="0,0,0,0">
            <w:txbxContent>
              <w:p>
                <w:pPr>
                  <w:spacing w:line="190" w:lineRule="exact" w:before="0"/>
                  <w:ind w:left="40" w:right="0" w:firstLine="0"/>
                  <w:jc w:val="left"/>
                  <w:rPr>
                    <w:rFonts w:ascii="Segoe UI" w:hAnsi="Segoe UI" w:cs="Segoe UI" w:eastAsia="Segoe UI"/>
                    <w:sz w:val="16"/>
                    <w:szCs w:val="16"/>
                  </w:rPr>
                </w:pPr>
                <w:r>
                  <w:rPr>
                    <w:rFonts w:ascii="Segoe UI"/>
                    <w:b/>
                    <w:color w:val="808285"/>
                    <w:sz w:val="16"/>
                  </w:rPr>
                </w:r>
                <w:r>
                  <w:rPr/>
                  <w:fldChar w:fldCharType="begin"/>
                </w:r>
                <w:r>
                  <w:rPr>
                    <w:rFonts w:ascii="Segoe UI"/>
                    <w:b/>
                    <w:color w:val="808285"/>
                    <w:sz w:val="16"/>
                  </w:rPr>
                  <w:instrText> PAGE </w:instrText>
                </w:r>
                <w:r>
                  <w:rPr/>
                  <w:fldChar w:fldCharType="separate"/>
                </w:r>
                <w:r>
                  <w:rPr/>
                  <w:t>22</w:t>
                </w:r>
                <w:r>
                  <w:rPr/>
                  <w:fldChar w:fldCharType="end"/>
                </w:r>
                <w:r>
                  <w:rPr>
                    <w:rFonts w:ascii="Segoe UI"/>
                    <w:b/>
                    <w:color w:val="808285"/>
                    <w:spacing w:val="-4"/>
                    <w:sz w:val="16"/>
                  </w:rPr>
                  <w:t> </w:t>
                </w:r>
                <w:r>
                  <w:rPr>
                    <w:rFonts w:ascii="Segoe UI"/>
                    <w:color w:val="808285"/>
                    <w:sz w:val="16"/>
                  </w:rPr>
                  <w:t>|</w:t>
                </w:r>
                <w:r>
                  <w:rPr>
                    <w:rFonts w:ascii="Segoe UI"/>
                    <w:color w:val="808285"/>
                    <w:spacing w:val="-4"/>
                    <w:sz w:val="16"/>
                  </w:rPr>
                  <w:t> </w:t>
                </w:r>
                <w:r>
                  <w:rPr>
                    <w:rFonts w:ascii="Segoe UI"/>
                    <w:color w:val="808285"/>
                    <w:spacing w:val="-1"/>
                    <w:sz w:val="16"/>
                  </w:rPr>
                  <w:t>Boarding:</w:t>
                </w:r>
                <w:r>
                  <w:rPr>
                    <w:rFonts w:ascii="Segoe UI"/>
                    <w:color w:val="808285"/>
                    <w:spacing w:val="-2"/>
                    <w:sz w:val="16"/>
                  </w:rPr>
                  <w:t> </w:t>
                </w:r>
                <w:r>
                  <w:rPr>
                    <w:rFonts w:ascii="Segoe UI"/>
                    <w:color w:val="808285"/>
                    <w:spacing w:val="-1"/>
                    <w:sz w:val="16"/>
                  </w:rPr>
                  <w:t>investing</w:t>
                </w:r>
                <w:r>
                  <w:rPr>
                    <w:rFonts w:ascii="Segoe UI"/>
                    <w:color w:val="808285"/>
                    <w:spacing w:val="-3"/>
                    <w:sz w:val="16"/>
                  </w:rPr>
                  <w:t> </w:t>
                </w:r>
                <w:r>
                  <w:rPr>
                    <w:rFonts w:ascii="Segoe UI"/>
                    <w:color w:val="808285"/>
                    <w:spacing w:val="-1"/>
                    <w:sz w:val="16"/>
                  </w:rPr>
                  <w:t>in</w:t>
                </w:r>
                <w:r>
                  <w:rPr>
                    <w:rFonts w:ascii="Segoe UI"/>
                    <w:color w:val="808285"/>
                    <w:spacing w:val="-3"/>
                    <w:sz w:val="16"/>
                  </w:rPr>
                  <w:t> </w:t>
                </w:r>
                <w:r>
                  <w:rPr>
                    <w:rFonts w:ascii="Segoe UI"/>
                    <w:color w:val="808285"/>
                    <w:sz w:val="16"/>
                  </w:rPr>
                  <w:t>outcomes</w:t>
                </w:r>
                <w:r>
                  <w:rPr>
                    <w:rFonts w:ascii="Segoe UI"/>
                    <w:color w:val="808285"/>
                    <w:spacing w:val="-3"/>
                    <w:sz w:val="16"/>
                  </w:rPr>
                  <w:t> </w:t>
                </w:r>
                <w:r>
                  <w:rPr>
                    <w:rFonts w:ascii="Segoe UI"/>
                    <w:color w:val="808285"/>
                    <w:sz w:val="16"/>
                  </w:rPr>
                  <w:t>for</w:t>
                </w:r>
                <w:r>
                  <w:rPr>
                    <w:rFonts w:ascii="Segoe UI"/>
                    <w:color w:val="808285"/>
                    <w:spacing w:val="-3"/>
                    <w:sz w:val="16"/>
                  </w:rPr>
                  <w:t> </w:t>
                </w:r>
                <w:r>
                  <w:rPr>
                    <w:rFonts w:ascii="Segoe UI"/>
                    <w:color w:val="808285"/>
                    <w:sz w:val="16"/>
                  </w:rPr>
                  <w:t>Aboriginal</w:t>
                </w:r>
                <w:r>
                  <w:rPr>
                    <w:rFonts w:ascii="Segoe UI"/>
                    <w:color w:val="808285"/>
                    <w:spacing w:val="-3"/>
                    <w:sz w:val="16"/>
                  </w:rPr>
                  <w:t> </w:t>
                </w:r>
                <w:r>
                  <w:rPr>
                    <w:rFonts w:ascii="Segoe UI"/>
                    <w:color w:val="808285"/>
                    <w:sz w:val="16"/>
                  </w:rPr>
                  <w:t>and</w:t>
                </w:r>
                <w:r>
                  <w:rPr>
                    <w:rFonts w:ascii="Segoe UI"/>
                    <w:color w:val="808285"/>
                    <w:spacing w:val="-3"/>
                    <w:sz w:val="16"/>
                  </w:rPr>
                  <w:t> Torres </w:t>
                </w:r>
                <w:r>
                  <w:rPr>
                    <w:rFonts w:ascii="Segoe UI"/>
                    <w:color w:val="808285"/>
                    <w:spacing w:val="-1"/>
                    <w:sz w:val="16"/>
                  </w:rPr>
                  <w:t>Strait</w:t>
                </w:r>
                <w:r>
                  <w:rPr>
                    <w:rFonts w:ascii="Segoe UI"/>
                    <w:color w:val="808285"/>
                    <w:spacing w:val="-3"/>
                    <w:sz w:val="16"/>
                  </w:rPr>
                  <w:t> </w:t>
                </w:r>
                <w:r>
                  <w:rPr>
                    <w:rFonts w:ascii="Segoe UI"/>
                    <w:color w:val="808285"/>
                    <w:spacing w:val="-1"/>
                    <w:sz w:val="16"/>
                  </w:rPr>
                  <w:t>Islander</w:t>
                </w:r>
                <w:r>
                  <w:rPr>
                    <w:rFonts w:ascii="Segoe UI"/>
                    <w:color w:val="808285"/>
                    <w:spacing w:val="-3"/>
                    <w:sz w:val="16"/>
                  </w:rPr>
                  <w:t> </w:t>
                </w:r>
                <w:r>
                  <w:rPr>
                    <w:rFonts w:ascii="Segoe UI"/>
                    <w:color w:val="808285"/>
                    <w:spacing w:val="-1"/>
                    <w:sz w:val="16"/>
                  </w:rPr>
                  <w:t>students</w:t>
                </w:r>
                <w:r>
                  <w:rPr>
                    <w:rFonts w:ascii="Segoe UI"/>
                    <w:sz w:val="16"/>
                  </w:rPr>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191"/>
      <w:numFmt w:val="decimal"/>
      <w:lvlText w:val="%1"/>
      <w:lvlJc w:val="left"/>
      <w:pPr>
        <w:ind w:left="684" w:hanging="567"/>
        <w:jc w:val="left"/>
      </w:pPr>
      <w:rPr>
        <w:rFonts w:hint="default" w:ascii="Segoe UI" w:hAnsi="Segoe UI" w:eastAsia="Segoe UI"/>
        <w:color w:val="231F20"/>
        <w:sz w:val="16"/>
        <w:szCs w:val="16"/>
      </w:rPr>
    </w:lvl>
    <w:lvl w:ilvl="1">
      <w:start w:val="1"/>
      <w:numFmt w:val="bullet"/>
      <w:lvlText w:val="•"/>
      <w:lvlJc w:val="left"/>
      <w:pPr>
        <w:ind w:left="1065" w:hanging="567"/>
      </w:pPr>
      <w:rPr>
        <w:rFonts w:hint="default"/>
      </w:rPr>
    </w:lvl>
    <w:lvl w:ilvl="2">
      <w:start w:val="1"/>
      <w:numFmt w:val="bullet"/>
      <w:lvlText w:val="•"/>
      <w:lvlJc w:val="left"/>
      <w:pPr>
        <w:ind w:left="1446" w:hanging="567"/>
      </w:pPr>
      <w:rPr>
        <w:rFonts w:hint="default"/>
      </w:rPr>
    </w:lvl>
    <w:lvl w:ilvl="3">
      <w:start w:val="1"/>
      <w:numFmt w:val="bullet"/>
      <w:lvlText w:val="•"/>
      <w:lvlJc w:val="left"/>
      <w:pPr>
        <w:ind w:left="1827" w:hanging="567"/>
      </w:pPr>
      <w:rPr>
        <w:rFonts w:hint="default"/>
      </w:rPr>
    </w:lvl>
    <w:lvl w:ilvl="4">
      <w:start w:val="1"/>
      <w:numFmt w:val="bullet"/>
      <w:lvlText w:val="•"/>
      <w:lvlJc w:val="left"/>
      <w:pPr>
        <w:ind w:left="2209" w:hanging="567"/>
      </w:pPr>
      <w:rPr>
        <w:rFonts w:hint="default"/>
      </w:rPr>
    </w:lvl>
    <w:lvl w:ilvl="5">
      <w:start w:val="1"/>
      <w:numFmt w:val="bullet"/>
      <w:lvlText w:val="•"/>
      <w:lvlJc w:val="left"/>
      <w:pPr>
        <w:ind w:left="2590" w:hanging="567"/>
      </w:pPr>
      <w:rPr>
        <w:rFonts w:hint="default"/>
      </w:rPr>
    </w:lvl>
    <w:lvl w:ilvl="6">
      <w:start w:val="1"/>
      <w:numFmt w:val="bullet"/>
      <w:lvlText w:val="•"/>
      <w:lvlJc w:val="left"/>
      <w:pPr>
        <w:ind w:left="2971" w:hanging="567"/>
      </w:pPr>
      <w:rPr>
        <w:rFonts w:hint="default"/>
      </w:rPr>
    </w:lvl>
    <w:lvl w:ilvl="7">
      <w:start w:val="1"/>
      <w:numFmt w:val="bullet"/>
      <w:lvlText w:val="•"/>
      <w:lvlJc w:val="left"/>
      <w:pPr>
        <w:ind w:left="3352" w:hanging="567"/>
      </w:pPr>
      <w:rPr>
        <w:rFonts w:hint="default"/>
      </w:rPr>
    </w:lvl>
    <w:lvl w:ilvl="8">
      <w:start w:val="1"/>
      <w:numFmt w:val="bullet"/>
      <w:lvlText w:val="•"/>
      <w:lvlJc w:val="left"/>
      <w:pPr>
        <w:ind w:left="3733" w:hanging="567"/>
      </w:pPr>
      <w:rPr>
        <w:rFonts w:hint="default"/>
      </w:rPr>
    </w:lvl>
  </w:abstractNum>
  <w:abstractNum w:abstractNumId="15">
    <w:multiLevelType w:val="hybridMultilevel"/>
    <w:lvl w:ilvl="0">
      <w:start w:val="180"/>
      <w:numFmt w:val="decimal"/>
      <w:lvlText w:val="%1"/>
      <w:lvlJc w:val="left"/>
      <w:pPr>
        <w:ind w:left="684" w:hanging="567"/>
        <w:jc w:val="left"/>
      </w:pPr>
      <w:rPr>
        <w:rFonts w:hint="default" w:ascii="Segoe UI" w:hAnsi="Segoe UI" w:eastAsia="Segoe UI"/>
        <w:color w:val="231F20"/>
        <w:sz w:val="16"/>
        <w:szCs w:val="16"/>
      </w:rPr>
    </w:lvl>
    <w:lvl w:ilvl="1">
      <w:start w:val="1"/>
      <w:numFmt w:val="bullet"/>
      <w:lvlText w:val="•"/>
      <w:lvlJc w:val="left"/>
      <w:pPr>
        <w:ind w:left="1036" w:hanging="567"/>
      </w:pPr>
      <w:rPr>
        <w:rFonts w:hint="default"/>
      </w:rPr>
    </w:lvl>
    <w:lvl w:ilvl="2">
      <w:start w:val="1"/>
      <w:numFmt w:val="bullet"/>
      <w:lvlText w:val="•"/>
      <w:lvlJc w:val="left"/>
      <w:pPr>
        <w:ind w:left="1388" w:hanging="567"/>
      </w:pPr>
      <w:rPr>
        <w:rFonts w:hint="default"/>
      </w:rPr>
    </w:lvl>
    <w:lvl w:ilvl="3">
      <w:start w:val="1"/>
      <w:numFmt w:val="bullet"/>
      <w:lvlText w:val="•"/>
      <w:lvlJc w:val="left"/>
      <w:pPr>
        <w:ind w:left="1740" w:hanging="567"/>
      </w:pPr>
      <w:rPr>
        <w:rFonts w:hint="default"/>
      </w:rPr>
    </w:lvl>
    <w:lvl w:ilvl="4">
      <w:start w:val="1"/>
      <w:numFmt w:val="bullet"/>
      <w:lvlText w:val="•"/>
      <w:lvlJc w:val="left"/>
      <w:pPr>
        <w:ind w:left="2093" w:hanging="567"/>
      </w:pPr>
      <w:rPr>
        <w:rFonts w:hint="default"/>
      </w:rPr>
    </w:lvl>
    <w:lvl w:ilvl="5">
      <w:start w:val="1"/>
      <w:numFmt w:val="bullet"/>
      <w:lvlText w:val="•"/>
      <w:lvlJc w:val="left"/>
      <w:pPr>
        <w:ind w:left="2445" w:hanging="567"/>
      </w:pPr>
      <w:rPr>
        <w:rFonts w:hint="default"/>
      </w:rPr>
    </w:lvl>
    <w:lvl w:ilvl="6">
      <w:start w:val="1"/>
      <w:numFmt w:val="bullet"/>
      <w:lvlText w:val="•"/>
      <w:lvlJc w:val="left"/>
      <w:pPr>
        <w:ind w:left="2797" w:hanging="567"/>
      </w:pPr>
      <w:rPr>
        <w:rFonts w:hint="default"/>
      </w:rPr>
    </w:lvl>
    <w:lvl w:ilvl="7">
      <w:start w:val="1"/>
      <w:numFmt w:val="bullet"/>
      <w:lvlText w:val="•"/>
      <w:lvlJc w:val="left"/>
      <w:pPr>
        <w:ind w:left="3149" w:hanging="567"/>
      </w:pPr>
      <w:rPr>
        <w:rFonts w:hint="default"/>
      </w:rPr>
    </w:lvl>
    <w:lvl w:ilvl="8">
      <w:start w:val="1"/>
      <w:numFmt w:val="bullet"/>
      <w:lvlText w:val="•"/>
      <w:lvlJc w:val="left"/>
      <w:pPr>
        <w:ind w:left="3501" w:hanging="567"/>
      </w:pPr>
      <w:rPr>
        <w:rFonts w:hint="default"/>
      </w:rPr>
    </w:lvl>
  </w:abstractNum>
  <w:abstractNum w:abstractNumId="14">
    <w:multiLevelType w:val="hybridMultilevel"/>
    <w:lvl w:ilvl="0">
      <w:start w:val="165"/>
      <w:numFmt w:val="decimal"/>
      <w:lvlText w:val="%1"/>
      <w:lvlJc w:val="left"/>
      <w:pPr>
        <w:ind w:left="727" w:hanging="567"/>
        <w:jc w:val="left"/>
      </w:pPr>
      <w:rPr>
        <w:rFonts w:hint="default" w:ascii="Segoe UI" w:hAnsi="Segoe UI" w:eastAsia="Segoe UI"/>
        <w:color w:val="231F20"/>
        <w:sz w:val="16"/>
        <w:szCs w:val="16"/>
      </w:rPr>
    </w:lvl>
    <w:lvl w:ilvl="1">
      <w:start w:val="1"/>
      <w:numFmt w:val="bullet"/>
      <w:lvlText w:val="•"/>
      <w:lvlJc w:val="left"/>
      <w:pPr>
        <w:ind w:left="1105" w:hanging="567"/>
      </w:pPr>
      <w:rPr>
        <w:rFonts w:hint="default"/>
      </w:rPr>
    </w:lvl>
    <w:lvl w:ilvl="2">
      <w:start w:val="1"/>
      <w:numFmt w:val="bullet"/>
      <w:lvlText w:val="•"/>
      <w:lvlJc w:val="left"/>
      <w:pPr>
        <w:ind w:left="1482" w:hanging="567"/>
      </w:pPr>
      <w:rPr>
        <w:rFonts w:hint="default"/>
      </w:rPr>
    </w:lvl>
    <w:lvl w:ilvl="3">
      <w:start w:val="1"/>
      <w:numFmt w:val="bullet"/>
      <w:lvlText w:val="•"/>
      <w:lvlJc w:val="left"/>
      <w:pPr>
        <w:ind w:left="1859" w:hanging="567"/>
      </w:pPr>
      <w:rPr>
        <w:rFonts w:hint="default"/>
      </w:rPr>
    </w:lvl>
    <w:lvl w:ilvl="4">
      <w:start w:val="1"/>
      <w:numFmt w:val="bullet"/>
      <w:lvlText w:val="•"/>
      <w:lvlJc w:val="left"/>
      <w:pPr>
        <w:ind w:left="2237" w:hanging="567"/>
      </w:pPr>
      <w:rPr>
        <w:rFonts w:hint="default"/>
      </w:rPr>
    </w:lvl>
    <w:lvl w:ilvl="5">
      <w:start w:val="1"/>
      <w:numFmt w:val="bullet"/>
      <w:lvlText w:val="•"/>
      <w:lvlJc w:val="left"/>
      <w:pPr>
        <w:ind w:left="2614" w:hanging="567"/>
      </w:pPr>
      <w:rPr>
        <w:rFonts w:hint="default"/>
      </w:rPr>
    </w:lvl>
    <w:lvl w:ilvl="6">
      <w:start w:val="1"/>
      <w:numFmt w:val="bullet"/>
      <w:lvlText w:val="•"/>
      <w:lvlJc w:val="left"/>
      <w:pPr>
        <w:ind w:left="2992" w:hanging="567"/>
      </w:pPr>
      <w:rPr>
        <w:rFonts w:hint="default"/>
      </w:rPr>
    </w:lvl>
    <w:lvl w:ilvl="7">
      <w:start w:val="1"/>
      <w:numFmt w:val="bullet"/>
      <w:lvlText w:val="•"/>
      <w:lvlJc w:val="left"/>
      <w:pPr>
        <w:ind w:left="3369" w:hanging="567"/>
      </w:pPr>
      <w:rPr>
        <w:rFonts w:hint="default"/>
      </w:rPr>
    </w:lvl>
    <w:lvl w:ilvl="8">
      <w:start w:val="1"/>
      <w:numFmt w:val="bullet"/>
      <w:lvlText w:val="•"/>
      <w:lvlJc w:val="left"/>
      <w:pPr>
        <w:ind w:left="3746" w:hanging="567"/>
      </w:pPr>
      <w:rPr>
        <w:rFonts w:hint="default"/>
      </w:rPr>
    </w:lvl>
  </w:abstractNum>
  <w:abstractNum w:abstractNumId="13">
    <w:multiLevelType w:val="hybridMultilevel"/>
    <w:lvl w:ilvl="0">
      <w:start w:val="143"/>
      <w:numFmt w:val="decimal"/>
      <w:lvlText w:val="%1"/>
      <w:lvlJc w:val="left"/>
      <w:pPr>
        <w:ind w:left="684" w:hanging="567"/>
        <w:jc w:val="left"/>
      </w:pPr>
      <w:rPr>
        <w:rFonts w:hint="default" w:ascii="Segoe UI" w:hAnsi="Segoe UI" w:eastAsia="Segoe UI"/>
        <w:color w:val="231F20"/>
        <w:sz w:val="16"/>
        <w:szCs w:val="16"/>
      </w:rPr>
    </w:lvl>
    <w:lvl w:ilvl="1">
      <w:start w:val="1"/>
      <w:numFmt w:val="bullet"/>
      <w:lvlText w:val="•"/>
      <w:lvlJc w:val="left"/>
      <w:pPr>
        <w:ind w:left="1060" w:hanging="567"/>
      </w:pPr>
      <w:rPr>
        <w:rFonts w:hint="default"/>
      </w:rPr>
    </w:lvl>
    <w:lvl w:ilvl="2">
      <w:start w:val="1"/>
      <w:numFmt w:val="bullet"/>
      <w:lvlText w:val="•"/>
      <w:lvlJc w:val="left"/>
      <w:pPr>
        <w:ind w:left="1435" w:hanging="567"/>
      </w:pPr>
      <w:rPr>
        <w:rFonts w:hint="default"/>
      </w:rPr>
    </w:lvl>
    <w:lvl w:ilvl="3">
      <w:start w:val="1"/>
      <w:numFmt w:val="bullet"/>
      <w:lvlText w:val="•"/>
      <w:lvlJc w:val="left"/>
      <w:pPr>
        <w:ind w:left="1811" w:hanging="567"/>
      </w:pPr>
      <w:rPr>
        <w:rFonts w:hint="default"/>
      </w:rPr>
    </w:lvl>
    <w:lvl w:ilvl="4">
      <w:start w:val="1"/>
      <w:numFmt w:val="bullet"/>
      <w:lvlText w:val="•"/>
      <w:lvlJc w:val="left"/>
      <w:pPr>
        <w:ind w:left="2187" w:hanging="567"/>
      </w:pPr>
      <w:rPr>
        <w:rFonts w:hint="default"/>
      </w:rPr>
    </w:lvl>
    <w:lvl w:ilvl="5">
      <w:start w:val="1"/>
      <w:numFmt w:val="bullet"/>
      <w:lvlText w:val="•"/>
      <w:lvlJc w:val="left"/>
      <w:pPr>
        <w:ind w:left="2563" w:hanging="567"/>
      </w:pPr>
      <w:rPr>
        <w:rFonts w:hint="default"/>
      </w:rPr>
    </w:lvl>
    <w:lvl w:ilvl="6">
      <w:start w:val="1"/>
      <w:numFmt w:val="bullet"/>
      <w:lvlText w:val="•"/>
      <w:lvlJc w:val="left"/>
      <w:pPr>
        <w:ind w:left="2938" w:hanging="567"/>
      </w:pPr>
      <w:rPr>
        <w:rFonts w:hint="default"/>
      </w:rPr>
    </w:lvl>
    <w:lvl w:ilvl="7">
      <w:start w:val="1"/>
      <w:numFmt w:val="bullet"/>
      <w:lvlText w:val="•"/>
      <w:lvlJc w:val="left"/>
      <w:pPr>
        <w:ind w:left="3314" w:hanging="567"/>
      </w:pPr>
      <w:rPr>
        <w:rFonts w:hint="default"/>
      </w:rPr>
    </w:lvl>
    <w:lvl w:ilvl="8">
      <w:start w:val="1"/>
      <w:numFmt w:val="bullet"/>
      <w:lvlText w:val="•"/>
      <w:lvlJc w:val="left"/>
      <w:pPr>
        <w:ind w:left="3690" w:hanging="567"/>
      </w:pPr>
      <w:rPr>
        <w:rFonts w:hint="default"/>
      </w:rPr>
    </w:lvl>
  </w:abstractNum>
  <w:abstractNum w:abstractNumId="12">
    <w:multiLevelType w:val="hybridMultilevel"/>
    <w:lvl w:ilvl="0">
      <w:start w:val="92"/>
      <w:numFmt w:val="decimal"/>
      <w:lvlText w:val="%1"/>
      <w:lvlJc w:val="left"/>
      <w:pPr>
        <w:ind w:left="670" w:hanging="567"/>
        <w:jc w:val="left"/>
      </w:pPr>
      <w:rPr>
        <w:rFonts w:hint="default" w:ascii="Segoe UI" w:hAnsi="Segoe UI" w:eastAsia="Segoe UI"/>
        <w:color w:val="231F20"/>
        <w:sz w:val="16"/>
        <w:szCs w:val="16"/>
      </w:rPr>
    </w:lvl>
    <w:lvl w:ilvl="1">
      <w:start w:val="1"/>
      <w:numFmt w:val="bullet"/>
      <w:lvlText w:val="•"/>
      <w:lvlJc w:val="left"/>
      <w:pPr>
        <w:ind w:left="856" w:hanging="567"/>
      </w:pPr>
      <w:rPr>
        <w:rFonts w:hint="default"/>
      </w:rPr>
    </w:lvl>
    <w:lvl w:ilvl="2">
      <w:start w:val="1"/>
      <w:numFmt w:val="bullet"/>
      <w:lvlText w:val="•"/>
      <w:lvlJc w:val="left"/>
      <w:pPr>
        <w:ind w:left="1254" w:hanging="567"/>
      </w:pPr>
      <w:rPr>
        <w:rFonts w:hint="default"/>
      </w:rPr>
    </w:lvl>
    <w:lvl w:ilvl="3">
      <w:start w:val="1"/>
      <w:numFmt w:val="bullet"/>
      <w:lvlText w:val="•"/>
      <w:lvlJc w:val="left"/>
      <w:pPr>
        <w:ind w:left="1652" w:hanging="567"/>
      </w:pPr>
      <w:rPr>
        <w:rFonts w:hint="default"/>
      </w:rPr>
    </w:lvl>
    <w:lvl w:ilvl="4">
      <w:start w:val="1"/>
      <w:numFmt w:val="bullet"/>
      <w:lvlText w:val="•"/>
      <w:lvlJc w:val="left"/>
      <w:pPr>
        <w:ind w:left="2049" w:hanging="567"/>
      </w:pPr>
      <w:rPr>
        <w:rFonts w:hint="default"/>
      </w:rPr>
    </w:lvl>
    <w:lvl w:ilvl="5">
      <w:start w:val="1"/>
      <w:numFmt w:val="bullet"/>
      <w:lvlText w:val="•"/>
      <w:lvlJc w:val="left"/>
      <w:pPr>
        <w:ind w:left="2447" w:hanging="567"/>
      </w:pPr>
      <w:rPr>
        <w:rFonts w:hint="default"/>
      </w:rPr>
    </w:lvl>
    <w:lvl w:ilvl="6">
      <w:start w:val="1"/>
      <w:numFmt w:val="bullet"/>
      <w:lvlText w:val="•"/>
      <w:lvlJc w:val="left"/>
      <w:pPr>
        <w:ind w:left="2844" w:hanging="567"/>
      </w:pPr>
      <w:rPr>
        <w:rFonts w:hint="default"/>
      </w:rPr>
    </w:lvl>
    <w:lvl w:ilvl="7">
      <w:start w:val="1"/>
      <w:numFmt w:val="bullet"/>
      <w:lvlText w:val="•"/>
      <w:lvlJc w:val="left"/>
      <w:pPr>
        <w:ind w:left="3242" w:hanging="567"/>
      </w:pPr>
      <w:rPr>
        <w:rFonts w:hint="default"/>
      </w:rPr>
    </w:lvl>
    <w:lvl w:ilvl="8">
      <w:start w:val="1"/>
      <w:numFmt w:val="bullet"/>
      <w:lvlText w:val="•"/>
      <w:lvlJc w:val="left"/>
      <w:pPr>
        <w:ind w:left="3639" w:hanging="567"/>
      </w:pPr>
      <w:rPr>
        <w:rFonts w:hint="default"/>
      </w:rPr>
    </w:lvl>
  </w:abstractNum>
  <w:abstractNum w:abstractNumId="11">
    <w:multiLevelType w:val="hybridMultilevel"/>
    <w:lvl w:ilvl="0">
      <w:start w:val="81"/>
      <w:numFmt w:val="decimal"/>
      <w:lvlText w:val="%1"/>
      <w:lvlJc w:val="left"/>
      <w:pPr>
        <w:ind w:left="670" w:hanging="567"/>
        <w:jc w:val="left"/>
      </w:pPr>
      <w:rPr>
        <w:rFonts w:hint="default" w:ascii="Segoe UI" w:hAnsi="Segoe UI" w:eastAsia="Segoe UI"/>
        <w:color w:val="231F20"/>
        <w:sz w:val="16"/>
        <w:szCs w:val="16"/>
      </w:rPr>
    </w:lvl>
    <w:lvl w:ilvl="1">
      <w:start w:val="1"/>
      <w:numFmt w:val="bullet"/>
      <w:lvlText w:val="•"/>
      <w:lvlJc w:val="left"/>
      <w:pPr>
        <w:ind w:left="842" w:hanging="567"/>
      </w:pPr>
      <w:rPr>
        <w:rFonts w:hint="default"/>
      </w:rPr>
    </w:lvl>
    <w:lvl w:ilvl="2">
      <w:start w:val="1"/>
      <w:numFmt w:val="bullet"/>
      <w:lvlText w:val="•"/>
      <w:lvlJc w:val="left"/>
      <w:pPr>
        <w:ind w:left="722" w:hanging="567"/>
      </w:pPr>
      <w:rPr>
        <w:rFonts w:hint="default"/>
      </w:rPr>
    </w:lvl>
    <w:lvl w:ilvl="3">
      <w:start w:val="1"/>
      <w:numFmt w:val="bullet"/>
      <w:lvlText w:val="•"/>
      <w:lvlJc w:val="left"/>
      <w:pPr>
        <w:ind w:left="602" w:hanging="567"/>
      </w:pPr>
      <w:rPr>
        <w:rFonts w:hint="default"/>
      </w:rPr>
    </w:lvl>
    <w:lvl w:ilvl="4">
      <w:start w:val="1"/>
      <w:numFmt w:val="bullet"/>
      <w:lvlText w:val="•"/>
      <w:lvlJc w:val="left"/>
      <w:pPr>
        <w:ind w:left="482" w:hanging="567"/>
      </w:pPr>
      <w:rPr>
        <w:rFonts w:hint="default"/>
      </w:rPr>
    </w:lvl>
    <w:lvl w:ilvl="5">
      <w:start w:val="1"/>
      <w:numFmt w:val="bullet"/>
      <w:lvlText w:val="•"/>
      <w:lvlJc w:val="left"/>
      <w:pPr>
        <w:ind w:left="362" w:hanging="567"/>
      </w:pPr>
      <w:rPr>
        <w:rFonts w:hint="default"/>
      </w:rPr>
    </w:lvl>
    <w:lvl w:ilvl="6">
      <w:start w:val="1"/>
      <w:numFmt w:val="bullet"/>
      <w:lvlText w:val="•"/>
      <w:lvlJc w:val="left"/>
      <w:pPr>
        <w:ind w:left="242" w:hanging="567"/>
      </w:pPr>
      <w:rPr>
        <w:rFonts w:hint="default"/>
      </w:rPr>
    </w:lvl>
    <w:lvl w:ilvl="7">
      <w:start w:val="1"/>
      <w:numFmt w:val="bullet"/>
      <w:lvlText w:val="•"/>
      <w:lvlJc w:val="left"/>
      <w:pPr>
        <w:ind w:left="121" w:hanging="567"/>
      </w:pPr>
      <w:rPr>
        <w:rFonts w:hint="default"/>
      </w:rPr>
    </w:lvl>
    <w:lvl w:ilvl="8">
      <w:start w:val="1"/>
      <w:numFmt w:val="bullet"/>
      <w:lvlText w:val="•"/>
      <w:lvlJc w:val="left"/>
      <w:pPr>
        <w:ind w:left="1" w:hanging="567"/>
      </w:pPr>
      <w:rPr>
        <w:rFonts w:hint="default"/>
      </w:rPr>
    </w:lvl>
  </w:abstractNum>
  <w:abstractNum w:abstractNumId="10">
    <w:multiLevelType w:val="hybridMultilevel"/>
    <w:lvl w:ilvl="0">
      <w:start w:val="58"/>
      <w:numFmt w:val="decimal"/>
      <w:lvlText w:val="%1"/>
      <w:lvlJc w:val="left"/>
      <w:pPr>
        <w:ind w:left="667" w:hanging="567"/>
        <w:jc w:val="left"/>
      </w:pPr>
      <w:rPr>
        <w:rFonts w:hint="default" w:ascii="Segoe UI" w:hAnsi="Segoe UI" w:eastAsia="Segoe UI"/>
        <w:color w:val="231F20"/>
        <w:sz w:val="16"/>
        <w:szCs w:val="16"/>
      </w:rPr>
    </w:lvl>
    <w:lvl w:ilvl="1">
      <w:start w:val="1"/>
      <w:numFmt w:val="bullet"/>
      <w:lvlText w:val="•"/>
      <w:lvlJc w:val="left"/>
      <w:pPr>
        <w:ind w:left="1045" w:hanging="567"/>
      </w:pPr>
      <w:rPr>
        <w:rFonts w:hint="default"/>
      </w:rPr>
    </w:lvl>
    <w:lvl w:ilvl="2">
      <w:start w:val="1"/>
      <w:numFmt w:val="bullet"/>
      <w:lvlText w:val="•"/>
      <w:lvlJc w:val="left"/>
      <w:pPr>
        <w:ind w:left="1422" w:hanging="567"/>
      </w:pPr>
      <w:rPr>
        <w:rFonts w:hint="default"/>
      </w:rPr>
    </w:lvl>
    <w:lvl w:ilvl="3">
      <w:start w:val="1"/>
      <w:numFmt w:val="bullet"/>
      <w:lvlText w:val="•"/>
      <w:lvlJc w:val="left"/>
      <w:pPr>
        <w:ind w:left="1799" w:hanging="567"/>
      </w:pPr>
      <w:rPr>
        <w:rFonts w:hint="default"/>
      </w:rPr>
    </w:lvl>
    <w:lvl w:ilvl="4">
      <w:start w:val="1"/>
      <w:numFmt w:val="bullet"/>
      <w:lvlText w:val="•"/>
      <w:lvlJc w:val="left"/>
      <w:pPr>
        <w:ind w:left="2177" w:hanging="567"/>
      </w:pPr>
      <w:rPr>
        <w:rFonts w:hint="default"/>
      </w:rPr>
    </w:lvl>
    <w:lvl w:ilvl="5">
      <w:start w:val="1"/>
      <w:numFmt w:val="bullet"/>
      <w:lvlText w:val="•"/>
      <w:lvlJc w:val="left"/>
      <w:pPr>
        <w:ind w:left="2554" w:hanging="567"/>
      </w:pPr>
      <w:rPr>
        <w:rFonts w:hint="default"/>
      </w:rPr>
    </w:lvl>
    <w:lvl w:ilvl="6">
      <w:start w:val="1"/>
      <w:numFmt w:val="bullet"/>
      <w:lvlText w:val="•"/>
      <w:lvlJc w:val="left"/>
      <w:pPr>
        <w:ind w:left="2932" w:hanging="567"/>
      </w:pPr>
      <w:rPr>
        <w:rFonts w:hint="default"/>
      </w:rPr>
    </w:lvl>
    <w:lvl w:ilvl="7">
      <w:start w:val="1"/>
      <w:numFmt w:val="bullet"/>
      <w:lvlText w:val="•"/>
      <w:lvlJc w:val="left"/>
      <w:pPr>
        <w:ind w:left="3309" w:hanging="567"/>
      </w:pPr>
      <w:rPr>
        <w:rFonts w:hint="default"/>
      </w:rPr>
    </w:lvl>
    <w:lvl w:ilvl="8">
      <w:start w:val="1"/>
      <w:numFmt w:val="bullet"/>
      <w:lvlText w:val="•"/>
      <w:lvlJc w:val="left"/>
      <w:pPr>
        <w:ind w:left="3686" w:hanging="567"/>
      </w:pPr>
      <w:rPr>
        <w:rFonts w:hint="default"/>
      </w:rPr>
    </w:lvl>
  </w:abstractNum>
  <w:abstractNum w:abstractNumId="9">
    <w:multiLevelType w:val="hybridMultilevel"/>
    <w:lvl w:ilvl="0">
      <w:start w:val="38"/>
      <w:numFmt w:val="decimal"/>
      <w:lvlText w:val="%1"/>
      <w:lvlJc w:val="left"/>
      <w:pPr>
        <w:ind w:left="684" w:hanging="567"/>
        <w:jc w:val="left"/>
      </w:pPr>
      <w:rPr>
        <w:rFonts w:hint="default" w:ascii="Segoe UI" w:hAnsi="Segoe UI" w:eastAsia="Segoe UI"/>
        <w:color w:val="231F20"/>
        <w:sz w:val="16"/>
        <w:szCs w:val="16"/>
      </w:rPr>
    </w:lvl>
    <w:lvl w:ilvl="1">
      <w:start w:val="1"/>
      <w:numFmt w:val="bullet"/>
      <w:lvlText w:val="•"/>
      <w:lvlJc w:val="left"/>
      <w:pPr>
        <w:ind w:left="1060" w:hanging="567"/>
      </w:pPr>
      <w:rPr>
        <w:rFonts w:hint="default"/>
      </w:rPr>
    </w:lvl>
    <w:lvl w:ilvl="2">
      <w:start w:val="1"/>
      <w:numFmt w:val="bullet"/>
      <w:lvlText w:val="•"/>
      <w:lvlJc w:val="left"/>
      <w:pPr>
        <w:ind w:left="1436" w:hanging="567"/>
      </w:pPr>
      <w:rPr>
        <w:rFonts w:hint="default"/>
      </w:rPr>
    </w:lvl>
    <w:lvl w:ilvl="3">
      <w:start w:val="1"/>
      <w:numFmt w:val="bullet"/>
      <w:lvlText w:val="•"/>
      <w:lvlJc w:val="left"/>
      <w:pPr>
        <w:ind w:left="1813" w:hanging="567"/>
      </w:pPr>
      <w:rPr>
        <w:rFonts w:hint="default"/>
      </w:rPr>
    </w:lvl>
    <w:lvl w:ilvl="4">
      <w:start w:val="1"/>
      <w:numFmt w:val="bullet"/>
      <w:lvlText w:val="•"/>
      <w:lvlJc w:val="left"/>
      <w:pPr>
        <w:ind w:left="2189" w:hanging="567"/>
      </w:pPr>
      <w:rPr>
        <w:rFonts w:hint="default"/>
      </w:rPr>
    </w:lvl>
    <w:lvl w:ilvl="5">
      <w:start w:val="1"/>
      <w:numFmt w:val="bullet"/>
      <w:lvlText w:val="•"/>
      <w:lvlJc w:val="left"/>
      <w:pPr>
        <w:ind w:left="2565" w:hanging="567"/>
      </w:pPr>
      <w:rPr>
        <w:rFonts w:hint="default"/>
      </w:rPr>
    </w:lvl>
    <w:lvl w:ilvl="6">
      <w:start w:val="1"/>
      <w:numFmt w:val="bullet"/>
      <w:lvlText w:val="•"/>
      <w:lvlJc w:val="left"/>
      <w:pPr>
        <w:ind w:left="2941" w:hanging="567"/>
      </w:pPr>
      <w:rPr>
        <w:rFonts w:hint="default"/>
      </w:rPr>
    </w:lvl>
    <w:lvl w:ilvl="7">
      <w:start w:val="1"/>
      <w:numFmt w:val="bullet"/>
      <w:lvlText w:val="•"/>
      <w:lvlJc w:val="left"/>
      <w:pPr>
        <w:ind w:left="3318" w:hanging="567"/>
      </w:pPr>
      <w:rPr>
        <w:rFonts w:hint="default"/>
      </w:rPr>
    </w:lvl>
    <w:lvl w:ilvl="8">
      <w:start w:val="1"/>
      <w:numFmt w:val="bullet"/>
      <w:lvlText w:val="•"/>
      <w:lvlJc w:val="left"/>
      <w:pPr>
        <w:ind w:left="3694" w:hanging="567"/>
      </w:pPr>
      <w:rPr>
        <w:rFonts w:hint="default"/>
      </w:rPr>
    </w:lvl>
  </w:abstractNum>
  <w:abstractNum w:abstractNumId="8">
    <w:multiLevelType w:val="hybridMultilevel"/>
    <w:lvl w:ilvl="0">
      <w:start w:val="25"/>
      <w:numFmt w:val="decimal"/>
      <w:lvlText w:val="%1"/>
      <w:lvlJc w:val="left"/>
      <w:pPr>
        <w:ind w:left="684" w:hanging="567"/>
        <w:jc w:val="left"/>
      </w:pPr>
      <w:rPr>
        <w:rFonts w:hint="default" w:ascii="Segoe UI" w:hAnsi="Segoe UI" w:eastAsia="Segoe UI"/>
        <w:color w:val="231F20"/>
        <w:sz w:val="16"/>
        <w:szCs w:val="16"/>
      </w:rPr>
    </w:lvl>
    <w:lvl w:ilvl="1">
      <w:start w:val="1"/>
      <w:numFmt w:val="bullet"/>
      <w:lvlText w:val="•"/>
      <w:lvlJc w:val="left"/>
      <w:pPr>
        <w:ind w:left="1040" w:hanging="567"/>
      </w:pPr>
      <w:rPr>
        <w:rFonts w:hint="default"/>
      </w:rPr>
    </w:lvl>
    <w:lvl w:ilvl="2">
      <w:start w:val="1"/>
      <w:numFmt w:val="bullet"/>
      <w:lvlText w:val="•"/>
      <w:lvlJc w:val="left"/>
      <w:pPr>
        <w:ind w:left="1397" w:hanging="567"/>
      </w:pPr>
      <w:rPr>
        <w:rFonts w:hint="default"/>
      </w:rPr>
    </w:lvl>
    <w:lvl w:ilvl="3">
      <w:start w:val="1"/>
      <w:numFmt w:val="bullet"/>
      <w:lvlText w:val="•"/>
      <w:lvlJc w:val="left"/>
      <w:pPr>
        <w:ind w:left="1754" w:hanging="567"/>
      </w:pPr>
      <w:rPr>
        <w:rFonts w:hint="default"/>
      </w:rPr>
    </w:lvl>
    <w:lvl w:ilvl="4">
      <w:start w:val="1"/>
      <w:numFmt w:val="bullet"/>
      <w:lvlText w:val="•"/>
      <w:lvlJc w:val="left"/>
      <w:pPr>
        <w:ind w:left="2111" w:hanging="567"/>
      </w:pPr>
      <w:rPr>
        <w:rFonts w:hint="default"/>
      </w:rPr>
    </w:lvl>
    <w:lvl w:ilvl="5">
      <w:start w:val="1"/>
      <w:numFmt w:val="bullet"/>
      <w:lvlText w:val="•"/>
      <w:lvlJc w:val="left"/>
      <w:pPr>
        <w:ind w:left="2467" w:hanging="567"/>
      </w:pPr>
      <w:rPr>
        <w:rFonts w:hint="default"/>
      </w:rPr>
    </w:lvl>
    <w:lvl w:ilvl="6">
      <w:start w:val="1"/>
      <w:numFmt w:val="bullet"/>
      <w:lvlText w:val="•"/>
      <w:lvlJc w:val="left"/>
      <w:pPr>
        <w:ind w:left="2824" w:hanging="567"/>
      </w:pPr>
      <w:rPr>
        <w:rFonts w:hint="default"/>
      </w:rPr>
    </w:lvl>
    <w:lvl w:ilvl="7">
      <w:start w:val="1"/>
      <w:numFmt w:val="bullet"/>
      <w:lvlText w:val="•"/>
      <w:lvlJc w:val="left"/>
      <w:pPr>
        <w:ind w:left="3181" w:hanging="567"/>
      </w:pPr>
      <w:rPr>
        <w:rFonts w:hint="default"/>
      </w:rPr>
    </w:lvl>
    <w:lvl w:ilvl="8">
      <w:start w:val="1"/>
      <w:numFmt w:val="bullet"/>
      <w:lvlText w:val="•"/>
      <w:lvlJc w:val="left"/>
      <w:pPr>
        <w:ind w:left="3537" w:hanging="567"/>
      </w:pPr>
      <w:rPr>
        <w:rFonts w:hint="default"/>
      </w:rPr>
    </w:lvl>
  </w:abstractNum>
  <w:abstractNum w:abstractNumId="7">
    <w:multiLevelType w:val="hybridMultilevel"/>
    <w:lvl w:ilvl="0">
      <w:start w:val="10"/>
      <w:numFmt w:val="decimal"/>
      <w:lvlText w:val="%1"/>
      <w:lvlJc w:val="left"/>
      <w:pPr>
        <w:ind w:left="667" w:hanging="567"/>
        <w:jc w:val="left"/>
      </w:pPr>
      <w:rPr>
        <w:rFonts w:hint="default" w:ascii="Segoe UI" w:hAnsi="Segoe UI" w:eastAsia="Segoe UI"/>
        <w:color w:val="362058"/>
        <w:sz w:val="16"/>
        <w:szCs w:val="16"/>
      </w:rPr>
    </w:lvl>
    <w:lvl w:ilvl="1">
      <w:start w:val="1"/>
      <w:numFmt w:val="bullet"/>
      <w:lvlText w:val="•"/>
      <w:lvlJc w:val="left"/>
      <w:pPr>
        <w:ind w:left="1025" w:hanging="567"/>
      </w:pPr>
      <w:rPr>
        <w:rFonts w:hint="default"/>
      </w:rPr>
    </w:lvl>
    <w:lvl w:ilvl="2">
      <w:start w:val="1"/>
      <w:numFmt w:val="bullet"/>
      <w:lvlText w:val="•"/>
      <w:lvlJc w:val="left"/>
      <w:pPr>
        <w:ind w:left="1384" w:hanging="567"/>
      </w:pPr>
      <w:rPr>
        <w:rFonts w:hint="default"/>
      </w:rPr>
    </w:lvl>
    <w:lvl w:ilvl="3">
      <w:start w:val="1"/>
      <w:numFmt w:val="bullet"/>
      <w:lvlText w:val="•"/>
      <w:lvlJc w:val="left"/>
      <w:pPr>
        <w:ind w:left="1742" w:hanging="567"/>
      </w:pPr>
      <w:rPr>
        <w:rFonts w:hint="default"/>
      </w:rPr>
    </w:lvl>
    <w:lvl w:ilvl="4">
      <w:start w:val="1"/>
      <w:numFmt w:val="bullet"/>
      <w:lvlText w:val="•"/>
      <w:lvlJc w:val="left"/>
      <w:pPr>
        <w:ind w:left="2100" w:hanging="567"/>
      </w:pPr>
      <w:rPr>
        <w:rFonts w:hint="default"/>
      </w:rPr>
    </w:lvl>
    <w:lvl w:ilvl="5">
      <w:start w:val="1"/>
      <w:numFmt w:val="bullet"/>
      <w:lvlText w:val="•"/>
      <w:lvlJc w:val="left"/>
      <w:pPr>
        <w:ind w:left="2458" w:hanging="567"/>
      </w:pPr>
      <w:rPr>
        <w:rFonts w:hint="default"/>
      </w:rPr>
    </w:lvl>
    <w:lvl w:ilvl="6">
      <w:start w:val="1"/>
      <w:numFmt w:val="bullet"/>
      <w:lvlText w:val="•"/>
      <w:lvlJc w:val="left"/>
      <w:pPr>
        <w:ind w:left="2817" w:hanging="567"/>
      </w:pPr>
      <w:rPr>
        <w:rFonts w:hint="default"/>
      </w:rPr>
    </w:lvl>
    <w:lvl w:ilvl="7">
      <w:start w:val="1"/>
      <w:numFmt w:val="bullet"/>
      <w:lvlText w:val="•"/>
      <w:lvlJc w:val="left"/>
      <w:pPr>
        <w:ind w:left="3175" w:hanging="567"/>
      </w:pPr>
      <w:rPr>
        <w:rFonts w:hint="default"/>
      </w:rPr>
    </w:lvl>
    <w:lvl w:ilvl="8">
      <w:start w:val="1"/>
      <w:numFmt w:val="bullet"/>
      <w:lvlText w:val="•"/>
      <w:lvlJc w:val="left"/>
      <w:pPr>
        <w:ind w:left="3533" w:hanging="567"/>
      </w:pPr>
      <w:rPr>
        <w:rFonts w:hint="default"/>
      </w:rPr>
    </w:lvl>
  </w:abstractNum>
  <w:abstractNum w:abstractNumId="6">
    <w:multiLevelType w:val="hybridMultilevel"/>
    <w:lvl w:ilvl="0">
      <w:start w:val="1"/>
      <w:numFmt w:val="decimal"/>
      <w:lvlText w:val="%1"/>
      <w:lvlJc w:val="left"/>
      <w:pPr>
        <w:ind w:left="667" w:hanging="567"/>
        <w:jc w:val="left"/>
      </w:pPr>
      <w:rPr>
        <w:rFonts w:hint="default" w:ascii="Segoe UI" w:hAnsi="Segoe UI" w:eastAsia="Segoe UI"/>
        <w:color w:val="362058"/>
        <w:sz w:val="16"/>
        <w:szCs w:val="16"/>
      </w:rPr>
    </w:lvl>
    <w:lvl w:ilvl="1">
      <w:start w:val="1"/>
      <w:numFmt w:val="bullet"/>
      <w:lvlText w:val="•"/>
      <w:lvlJc w:val="left"/>
      <w:pPr>
        <w:ind w:left="1025" w:hanging="567"/>
      </w:pPr>
      <w:rPr>
        <w:rFonts w:hint="default"/>
      </w:rPr>
    </w:lvl>
    <w:lvl w:ilvl="2">
      <w:start w:val="1"/>
      <w:numFmt w:val="bullet"/>
      <w:lvlText w:val="•"/>
      <w:lvlJc w:val="left"/>
      <w:pPr>
        <w:ind w:left="1384" w:hanging="567"/>
      </w:pPr>
      <w:rPr>
        <w:rFonts w:hint="default"/>
      </w:rPr>
    </w:lvl>
    <w:lvl w:ilvl="3">
      <w:start w:val="1"/>
      <w:numFmt w:val="bullet"/>
      <w:lvlText w:val="•"/>
      <w:lvlJc w:val="left"/>
      <w:pPr>
        <w:ind w:left="1742" w:hanging="567"/>
      </w:pPr>
      <w:rPr>
        <w:rFonts w:hint="default"/>
      </w:rPr>
    </w:lvl>
    <w:lvl w:ilvl="4">
      <w:start w:val="1"/>
      <w:numFmt w:val="bullet"/>
      <w:lvlText w:val="•"/>
      <w:lvlJc w:val="left"/>
      <w:pPr>
        <w:ind w:left="2100" w:hanging="567"/>
      </w:pPr>
      <w:rPr>
        <w:rFonts w:hint="default"/>
      </w:rPr>
    </w:lvl>
    <w:lvl w:ilvl="5">
      <w:start w:val="1"/>
      <w:numFmt w:val="bullet"/>
      <w:lvlText w:val="•"/>
      <w:lvlJc w:val="left"/>
      <w:pPr>
        <w:ind w:left="2458" w:hanging="567"/>
      </w:pPr>
      <w:rPr>
        <w:rFonts w:hint="default"/>
      </w:rPr>
    </w:lvl>
    <w:lvl w:ilvl="6">
      <w:start w:val="1"/>
      <w:numFmt w:val="bullet"/>
      <w:lvlText w:val="•"/>
      <w:lvlJc w:val="left"/>
      <w:pPr>
        <w:ind w:left="2817" w:hanging="567"/>
      </w:pPr>
      <w:rPr>
        <w:rFonts w:hint="default"/>
      </w:rPr>
    </w:lvl>
    <w:lvl w:ilvl="7">
      <w:start w:val="1"/>
      <w:numFmt w:val="bullet"/>
      <w:lvlText w:val="•"/>
      <w:lvlJc w:val="left"/>
      <w:pPr>
        <w:ind w:left="3175" w:hanging="567"/>
      </w:pPr>
      <w:rPr>
        <w:rFonts w:hint="default"/>
      </w:rPr>
    </w:lvl>
    <w:lvl w:ilvl="8">
      <w:start w:val="1"/>
      <w:numFmt w:val="bullet"/>
      <w:lvlText w:val="•"/>
      <w:lvlJc w:val="left"/>
      <w:pPr>
        <w:ind w:left="3533" w:hanging="567"/>
      </w:pPr>
      <w:rPr>
        <w:rFonts w:hint="default"/>
      </w:rPr>
    </w:lvl>
  </w:abstractNum>
  <w:abstractNum w:abstractNumId="5">
    <w:multiLevelType w:val="hybridMultilevel"/>
    <w:lvl w:ilvl="0">
      <w:start w:val="14"/>
      <w:numFmt w:val="decimal"/>
      <w:lvlText w:val="%1."/>
      <w:lvlJc w:val="left"/>
      <w:pPr>
        <w:ind w:left="117" w:hanging="720"/>
        <w:jc w:val="left"/>
      </w:pPr>
      <w:rPr>
        <w:rFonts w:hint="default" w:ascii="Segoe UI" w:hAnsi="Segoe UI" w:eastAsia="Segoe UI"/>
        <w:color w:val="67973F"/>
        <w:spacing w:val="-1"/>
        <w:w w:val="99"/>
        <w:sz w:val="44"/>
        <w:szCs w:val="44"/>
      </w:rPr>
    </w:lvl>
    <w:lvl w:ilvl="1">
      <w:start w:val="1"/>
      <w:numFmt w:val="bullet"/>
      <w:lvlText w:val="•"/>
      <w:lvlJc w:val="left"/>
      <w:pPr>
        <w:ind w:left="1036" w:hanging="720"/>
      </w:pPr>
      <w:rPr>
        <w:rFonts w:hint="default"/>
      </w:rPr>
    </w:lvl>
    <w:lvl w:ilvl="2">
      <w:start w:val="1"/>
      <w:numFmt w:val="bullet"/>
      <w:lvlText w:val="•"/>
      <w:lvlJc w:val="left"/>
      <w:pPr>
        <w:ind w:left="1954" w:hanging="720"/>
      </w:pPr>
      <w:rPr>
        <w:rFonts w:hint="default"/>
      </w:rPr>
    </w:lvl>
    <w:lvl w:ilvl="3">
      <w:start w:val="1"/>
      <w:numFmt w:val="bullet"/>
      <w:lvlText w:val="•"/>
      <w:lvlJc w:val="left"/>
      <w:pPr>
        <w:ind w:left="2873" w:hanging="720"/>
      </w:pPr>
      <w:rPr>
        <w:rFonts w:hint="default"/>
      </w:rPr>
    </w:lvl>
    <w:lvl w:ilvl="4">
      <w:start w:val="1"/>
      <w:numFmt w:val="bullet"/>
      <w:lvlText w:val="•"/>
      <w:lvlJc w:val="left"/>
      <w:pPr>
        <w:ind w:left="3792" w:hanging="720"/>
      </w:pPr>
      <w:rPr>
        <w:rFonts w:hint="default"/>
      </w:rPr>
    </w:lvl>
    <w:lvl w:ilvl="5">
      <w:start w:val="1"/>
      <w:numFmt w:val="bullet"/>
      <w:lvlText w:val="•"/>
      <w:lvlJc w:val="left"/>
      <w:pPr>
        <w:ind w:left="4711" w:hanging="720"/>
      </w:pPr>
      <w:rPr>
        <w:rFonts w:hint="default"/>
      </w:rPr>
    </w:lvl>
    <w:lvl w:ilvl="6">
      <w:start w:val="1"/>
      <w:numFmt w:val="bullet"/>
      <w:lvlText w:val="•"/>
      <w:lvlJc w:val="left"/>
      <w:pPr>
        <w:ind w:left="5630" w:hanging="720"/>
      </w:pPr>
      <w:rPr>
        <w:rFonts w:hint="default"/>
      </w:rPr>
    </w:lvl>
    <w:lvl w:ilvl="7">
      <w:start w:val="1"/>
      <w:numFmt w:val="bullet"/>
      <w:lvlText w:val="•"/>
      <w:lvlJc w:val="left"/>
      <w:pPr>
        <w:ind w:left="6549" w:hanging="720"/>
      </w:pPr>
      <w:rPr>
        <w:rFonts w:hint="default"/>
      </w:rPr>
    </w:lvl>
    <w:lvl w:ilvl="8">
      <w:start w:val="1"/>
      <w:numFmt w:val="bullet"/>
      <w:lvlText w:val="•"/>
      <w:lvlJc w:val="left"/>
      <w:pPr>
        <w:ind w:left="7467" w:hanging="720"/>
      </w:pPr>
      <w:rPr>
        <w:rFonts w:hint="default"/>
      </w:rPr>
    </w:lvl>
  </w:abstractNum>
  <w:abstractNum w:abstractNumId="4">
    <w:multiLevelType w:val="hybridMultilevel"/>
    <w:lvl w:ilvl="0">
      <w:start w:val="1"/>
      <w:numFmt w:val="decimal"/>
      <w:lvlText w:val="(%1)"/>
      <w:lvlJc w:val="left"/>
      <w:pPr>
        <w:ind w:left="477" w:hanging="360"/>
        <w:jc w:val="left"/>
      </w:pPr>
      <w:rPr>
        <w:rFonts w:hint="default" w:ascii="Segoe UI Semibold" w:hAnsi="Segoe UI Semibold" w:eastAsia="Segoe UI Semibold"/>
        <w:color w:val="00779B"/>
        <w:sz w:val="20"/>
        <w:szCs w:val="20"/>
      </w:rPr>
    </w:lvl>
    <w:lvl w:ilvl="1">
      <w:start w:val="1"/>
      <w:numFmt w:val="lowerLetter"/>
      <w:lvlText w:val="(%2)"/>
      <w:lvlJc w:val="left"/>
      <w:pPr>
        <w:ind w:left="877" w:hanging="400"/>
        <w:jc w:val="left"/>
      </w:pPr>
      <w:rPr>
        <w:rFonts w:hint="default" w:ascii="Segoe UI Semibold" w:hAnsi="Segoe UI Semibold" w:eastAsia="Segoe UI Semibold"/>
        <w:color w:val="00779B"/>
        <w:sz w:val="20"/>
        <w:szCs w:val="20"/>
      </w:rPr>
    </w:lvl>
    <w:lvl w:ilvl="2">
      <w:start w:val="1"/>
      <w:numFmt w:val="bullet"/>
      <w:lvlText w:val="•"/>
      <w:lvlJc w:val="left"/>
      <w:pPr>
        <w:ind w:left="1261" w:hanging="400"/>
      </w:pPr>
      <w:rPr>
        <w:rFonts w:hint="default"/>
      </w:rPr>
    </w:lvl>
    <w:lvl w:ilvl="3">
      <w:start w:val="1"/>
      <w:numFmt w:val="bullet"/>
      <w:lvlText w:val="•"/>
      <w:lvlJc w:val="left"/>
      <w:pPr>
        <w:ind w:left="1645" w:hanging="400"/>
      </w:pPr>
      <w:rPr>
        <w:rFonts w:hint="default"/>
      </w:rPr>
    </w:lvl>
    <w:lvl w:ilvl="4">
      <w:start w:val="1"/>
      <w:numFmt w:val="bullet"/>
      <w:lvlText w:val="•"/>
      <w:lvlJc w:val="left"/>
      <w:pPr>
        <w:ind w:left="2029" w:hanging="400"/>
      </w:pPr>
      <w:rPr>
        <w:rFonts w:hint="default"/>
      </w:rPr>
    </w:lvl>
    <w:lvl w:ilvl="5">
      <w:start w:val="1"/>
      <w:numFmt w:val="bullet"/>
      <w:lvlText w:val="•"/>
      <w:lvlJc w:val="left"/>
      <w:pPr>
        <w:ind w:left="2413" w:hanging="400"/>
      </w:pPr>
      <w:rPr>
        <w:rFonts w:hint="default"/>
      </w:rPr>
    </w:lvl>
    <w:lvl w:ilvl="6">
      <w:start w:val="1"/>
      <w:numFmt w:val="bullet"/>
      <w:lvlText w:val="•"/>
      <w:lvlJc w:val="left"/>
      <w:pPr>
        <w:ind w:left="2797" w:hanging="400"/>
      </w:pPr>
      <w:rPr>
        <w:rFonts w:hint="default"/>
      </w:rPr>
    </w:lvl>
    <w:lvl w:ilvl="7">
      <w:start w:val="1"/>
      <w:numFmt w:val="bullet"/>
      <w:lvlText w:val="•"/>
      <w:lvlJc w:val="left"/>
      <w:pPr>
        <w:ind w:left="3181" w:hanging="400"/>
      </w:pPr>
      <w:rPr>
        <w:rFonts w:hint="default"/>
      </w:rPr>
    </w:lvl>
    <w:lvl w:ilvl="8">
      <w:start w:val="1"/>
      <w:numFmt w:val="bullet"/>
      <w:lvlText w:val="•"/>
      <w:lvlJc w:val="left"/>
      <w:pPr>
        <w:ind w:left="3565" w:hanging="400"/>
      </w:pPr>
      <w:rPr>
        <w:rFonts w:hint="default"/>
      </w:rPr>
    </w:lvl>
  </w:abstractNum>
  <w:abstractNum w:abstractNumId="3">
    <w:multiLevelType w:val="hybridMultilevel"/>
    <w:lvl w:ilvl="0">
      <w:start w:val="4"/>
      <w:numFmt w:val="decimal"/>
      <w:lvlText w:val="%1."/>
      <w:lvlJc w:val="left"/>
      <w:pPr>
        <w:ind w:left="100" w:hanging="567"/>
        <w:jc w:val="left"/>
      </w:pPr>
      <w:rPr>
        <w:rFonts w:hint="default" w:ascii="Segoe UI" w:hAnsi="Segoe UI" w:eastAsia="Segoe UI"/>
        <w:color w:val="67973F"/>
        <w:spacing w:val="-1"/>
        <w:w w:val="99"/>
        <w:sz w:val="44"/>
        <w:szCs w:val="44"/>
      </w:rPr>
    </w:lvl>
    <w:lvl w:ilvl="1">
      <w:start w:val="1"/>
      <w:numFmt w:val="bullet"/>
      <w:lvlText w:val="•"/>
      <w:lvlJc w:val="left"/>
      <w:pPr>
        <w:ind w:left="1011" w:hanging="567"/>
      </w:pPr>
      <w:rPr>
        <w:rFonts w:hint="default"/>
      </w:rPr>
    </w:lvl>
    <w:lvl w:ilvl="2">
      <w:start w:val="1"/>
      <w:numFmt w:val="bullet"/>
      <w:lvlText w:val="•"/>
      <w:lvlJc w:val="left"/>
      <w:pPr>
        <w:ind w:left="1921" w:hanging="567"/>
      </w:pPr>
      <w:rPr>
        <w:rFonts w:hint="default"/>
      </w:rPr>
    </w:lvl>
    <w:lvl w:ilvl="3">
      <w:start w:val="1"/>
      <w:numFmt w:val="bullet"/>
      <w:lvlText w:val="•"/>
      <w:lvlJc w:val="left"/>
      <w:pPr>
        <w:ind w:left="2832" w:hanging="567"/>
      </w:pPr>
      <w:rPr>
        <w:rFonts w:hint="default"/>
      </w:rPr>
    </w:lvl>
    <w:lvl w:ilvl="4">
      <w:start w:val="1"/>
      <w:numFmt w:val="bullet"/>
      <w:lvlText w:val="•"/>
      <w:lvlJc w:val="left"/>
      <w:pPr>
        <w:ind w:left="3742" w:hanging="567"/>
      </w:pPr>
      <w:rPr>
        <w:rFonts w:hint="default"/>
      </w:rPr>
    </w:lvl>
    <w:lvl w:ilvl="5">
      <w:start w:val="1"/>
      <w:numFmt w:val="bullet"/>
      <w:lvlText w:val="•"/>
      <w:lvlJc w:val="left"/>
      <w:pPr>
        <w:ind w:left="4653" w:hanging="567"/>
      </w:pPr>
      <w:rPr>
        <w:rFonts w:hint="default"/>
      </w:rPr>
    </w:lvl>
    <w:lvl w:ilvl="6">
      <w:start w:val="1"/>
      <w:numFmt w:val="bullet"/>
      <w:lvlText w:val="•"/>
      <w:lvlJc w:val="left"/>
      <w:pPr>
        <w:ind w:left="5563" w:hanging="567"/>
      </w:pPr>
      <w:rPr>
        <w:rFonts w:hint="default"/>
      </w:rPr>
    </w:lvl>
    <w:lvl w:ilvl="7">
      <w:start w:val="1"/>
      <w:numFmt w:val="bullet"/>
      <w:lvlText w:val="•"/>
      <w:lvlJc w:val="left"/>
      <w:pPr>
        <w:ind w:left="6474" w:hanging="567"/>
      </w:pPr>
      <w:rPr>
        <w:rFonts w:hint="default"/>
      </w:rPr>
    </w:lvl>
    <w:lvl w:ilvl="8">
      <w:start w:val="1"/>
      <w:numFmt w:val="bullet"/>
      <w:lvlText w:val="•"/>
      <w:lvlJc w:val="left"/>
      <w:pPr>
        <w:ind w:left="7384" w:hanging="567"/>
      </w:pPr>
      <w:rPr>
        <w:rFonts w:hint="default"/>
      </w:rPr>
    </w:lvl>
  </w:abstractNum>
  <w:abstractNum w:abstractNumId="2">
    <w:multiLevelType w:val="hybridMultilevel"/>
    <w:lvl w:ilvl="0">
      <w:start w:val="1"/>
      <w:numFmt w:val="decimal"/>
      <w:lvlText w:val="%1."/>
      <w:lvlJc w:val="left"/>
      <w:pPr>
        <w:ind w:left="340" w:hanging="220"/>
        <w:jc w:val="left"/>
      </w:pPr>
      <w:rPr>
        <w:rFonts w:hint="default" w:ascii="Segoe UI" w:hAnsi="Segoe UI" w:eastAsia="Segoe UI"/>
        <w:color w:val="231F20"/>
        <w:w w:val="99"/>
        <w:sz w:val="20"/>
        <w:szCs w:val="20"/>
      </w:rPr>
    </w:lvl>
    <w:lvl w:ilvl="1">
      <w:start w:val="1"/>
      <w:numFmt w:val="bullet"/>
      <w:lvlText w:val="•"/>
      <w:lvlJc w:val="left"/>
      <w:pPr>
        <w:ind w:left="753" w:hanging="220"/>
      </w:pPr>
      <w:rPr>
        <w:rFonts w:hint="default"/>
      </w:rPr>
    </w:lvl>
    <w:lvl w:ilvl="2">
      <w:start w:val="1"/>
      <w:numFmt w:val="bullet"/>
      <w:lvlText w:val="•"/>
      <w:lvlJc w:val="left"/>
      <w:pPr>
        <w:ind w:left="1166" w:hanging="220"/>
      </w:pPr>
      <w:rPr>
        <w:rFonts w:hint="default"/>
      </w:rPr>
    </w:lvl>
    <w:lvl w:ilvl="3">
      <w:start w:val="1"/>
      <w:numFmt w:val="bullet"/>
      <w:lvlText w:val="•"/>
      <w:lvlJc w:val="left"/>
      <w:pPr>
        <w:ind w:left="1579" w:hanging="220"/>
      </w:pPr>
      <w:rPr>
        <w:rFonts w:hint="default"/>
      </w:rPr>
    </w:lvl>
    <w:lvl w:ilvl="4">
      <w:start w:val="1"/>
      <w:numFmt w:val="bullet"/>
      <w:lvlText w:val="•"/>
      <w:lvlJc w:val="left"/>
      <w:pPr>
        <w:ind w:left="1992" w:hanging="220"/>
      </w:pPr>
      <w:rPr>
        <w:rFonts w:hint="default"/>
      </w:rPr>
    </w:lvl>
    <w:lvl w:ilvl="5">
      <w:start w:val="1"/>
      <w:numFmt w:val="bullet"/>
      <w:lvlText w:val="•"/>
      <w:lvlJc w:val="left"/>
      <w:pPr>
        <w:ind w:left="2405" w:hanging="220"/>
      </w:pPr>
      <w:rPr>
        <w:rFonts w:hint="default"/>
      </w:rPr>
    </w:lvl>
    <w:lvl w:ilvl="6">
      <w:start w:val="1"/>
      <w:numFmt w:val="bullet"/>
      <w:lvlText w:val="•"/>
      <w:lvlJc w:val="left"/>
      <w:pPr>
        <w:ind w:left="2818" w:hanging="220"/>
      </w:pPr>
      <w:rPr>
        <w:rFonts w:hint="default"/>
      </w:rPr>
    </w:lvl>
    <w:lvl w:ilvl="7">
      <w:start w:val="1"/>
      <w:numFmt w:val="bullet"/>
      <w:lvlText w:val="•"/>
      <w:lvlJc w:val="left"/>
      <w:pPr>
        <w:ind w:left="3231" w:hanging="220"/>
      </w:pPr>
      <w:rPr>
        <w:rFonts w:hint="default"/>
      </w:rPr>
    </w:lvl>
    <w:lvl w:ilvl="8">
      <w:start w:val="1"/>
      <w:numFmt w:val="bullet"/>
      <w:lvlText w:val="•"/>
      <w:lvlJc w:val="left"/>
      <w:pPr>
        <w:ind w:left="3644" w:hanging="220"/>
      </w:pPr>
      <w:rPr>
        <w:rFonts w:hint="default"/>
      </w:rPr>
    </w:lvl>
  </w:abstractNum>
  <w:abstractNum w:abstractNumId="1">
    <w:multiLevelType w:val="hybridMultilevel"/>
    <w:lvl w:ilvl="0">
      <w:start w:val="2"/>
      <w:numFmt w:val="decimal"/>
      <w:lvlText w:val="(%1)"/>
      <w:lvlJc w:val="left"/>
      <w:pPr>
        <w:ind w:left="160" w:hanging="284"/>
        <w:jc w:val="left"/>
      </w:pPr>
      <w:rPr>
        <w:rFonts w:hint="default" w:ascii="Segoe UI" w:hAnsi="Segoe UI" w:eastAsia="Segoe UI"/>
        <w:color w:val="231F20"/>
        <w:w w:val="99"/>
        <w:sz w:val="20"/>
        <w:szCs w:val="20"/>
      </w:rPr>
    </w:lvl>
    <w:lvl w:ilvl="1">
      <w:start w:val="1"/>
      <w:numFmt w:val="bullet"/>
      <w:lvlText w:val="•"/>
      <w:lvlJc w:val="left"/>
      <w:pPr>
        <w:ind w:left="599" w:hanging="284"/>
      </w:pPr>
      <w:rPr>
        <w:rFonts w:hint="default"/>
      </w:rPr>
    </w:lvl>
    <w:lvl w:ilvl="2">
      <w:start w:val="1"/>
      <w:numFmt w:val="bullet"/>
      <w:lvlText w:val="•"/>
      <w:lvlJc w:val="left"/>
      <w:pPr>
        <w:ind w:left="1038" w:hanging="284"/>
      </w:pPr>
      <w:rPr>
        <w:rFonts w:hint="default"/>
      </w:rPr>
    </w:lvl>
    <w:lvl w:ilvl="3">
      <w:start w:val="1"/>
      <w:numFmt w:val="bullet"/>
      <w:lvlText w:val="•"/>
      <w:lvlJc w:val="left"/>
      <w:pPr>
        <w:ind w:left="1477" w:hanging="284"/>
      </w:pPr>
      <w:rPr>
        <w:rFonts w:hint="default"/>
      </w:rPr>
    </w:lvl>
    <w:lvl w:ilvl="4">
      <w:start w:val="1"/>
      <w:numFmt w:val="bullet"/>
      <w:lvlText w:val="•"/>
      <w:lvlJc w:val="left"/>
      <w:pPr>
        <w:ind w:left="1916" w:hanging="284"/>
      </w:pPr>
      <w:rPr>
        <w:rFonts w:hint="default"/>
      </w:rPr>
    </w:lvl>
    <w:lvl w:ilvl="5">
      <w:start w:val="1"/>
      <w:numFmt w:val="bullet"/>
      <w:lvlText w:val="•"/>
      <w:lvlJc w:val="left"/>
      <w:pPr>
        <w:ind w:left="2355" w:hanging="284"/>
      </w:pPr>
      <w:rPr>
        <w:rFonts w:hint="default"/>
      </w:rPr>
    </w:lvl>
    <w:lvl w:ilvl="6">
      <w:start w:val="1"/>
      <w:numFmt w:val="bullet"/>
      <w:lvlText w:val="•"/>
      <w:lvlJc w:val="left"/>
      <w:pPr>
        <w:ind w:left="2794" w:hanging="284"/>
      </w:pPr>
      <w:rPr>
        <w:rFonts w:hint="default"/>
      </w:rPr>
    </w:lvl>
    <w:lvl w:ilvl="7">
      <w:start w:val="1"/>
      <w:numFmt w:val="bullet"/>
      <w:lvlText w:val="•"/>
      <w:lvlJc w:val="left"/>
      <w:pPr>
        <w:ind w:left="3233" w:hanging="284"/>
      </w:pPr>
      <w:rPr>
        <w:rFonts w:hint="default"/>
      </w:rPr>
    </w:lvl>
    <w:lvl w:ilvl="8">
      <w:start w:val="1"/>
      <w:numFmt w:val="bullet"/>
      <w:lvlText w:val="•"/>
      <w:lvlJc w:val="left"/>
      <w:pPr>
        <w:ind w:left="3672" w:hanging="284"/>
      </w:pPr>
      <w:rPr>
        <w:rFonts w:hint="default"/>
      </w:rPr>
    </w:lvl>
  </w:abstractNum>
  <w:abstractNum w:abstractNumId="0">
    <w:multiLevelType w:val="hybridMultilevel"/>
    <w:lvl w:ilvl="0">
      <w:start w:val="3"/>
      <w:numFmt w:val="decimal"/>
      <w:lvlText w:val="%1."/>
      <w:lvlJc w:val="left"/>
      <w:pPr>
        <w:ind w:left="554" w:hanging="454"/>
        <w:jc w:val="right"/>
      </w:pPr>
      <w:rPr>
        <w:rFonts w:hint="default" w:ascii="Segoe UI" w:hAnsi="Segoe UI" w:eastAsia="Segoe UI"/>
        <w:b/>
        <w:bCs/>
        <w:color w:val="00779B"/>
        <w:spacing w:val="-1"/>
        <w:sz w:val="24"/>
        <w:szCs w:val="24"/>
      </w:rPr>
    </w:lvl>
    <w:lvl w:ilvl="1">
      <w:start w:val="1"/>
      <w:numFmt w:val="bullet"/>
      <w:lvlText w:val="•"/>
      <w:lvlJc w:val="left"/>
      <w:pPr>
        <w:ind w:left="1399" w:hanging="454"/>
      </w:pPr>
      <w:rPr>
        <w:rFonts w:hint="default"/>
      </w:rPr>
    </w:lvl>
    <w:lvl w:ilvl="2">
      <w:start w:val="1"/>
      <w:numFmt w:val="bullet"/>
      <w:lvlText w:val="•"/>
      <w:lvlJc w:val="left"/>
      <w:pPr>
        <w:ind w:left="2244" w:hanging="454"/>
      </w:pPr>
      <w:rPr>
        <w:rFonts w:hint="default"/>
      </w:rPr>
    </w:lvl>
    <w:lvl w:ilvl="3">
      <w:start w:val="1"/>
      <w:numFmt w:val="bullet"/>
      <w:lvlText w:val="•"/>
      <w:lvlJc w:val="left"/>
      <w:pPr>
        <w:ind w:left="3089" w:hanging="454"/>
      </w:pPr>
      <w:rPr>
        <w:rFonts w:hint="default"/>
      </w:rPr>
    </w:lvl>
    <w:lvl w:ilvl="4">
      <w:start w:val="1"/>
      <w:numFmt w:val="bullet"/>
      <w:lvlText w:val="•"/>
      <w:lvlJc w:val="left"/>
      <w:pPr>
        <w:ind w:left="3934" w:hanging="454"/>
      </w:pPr>
      <w:rPr>
        <w:rFonts w:hint="default"/>
      </w:rPr>
    </w:lvl>
    <w:lvl w:ilvl="5">
      <w:start w:val="1"/>
      <w:numFmt w:val="bullet"/>
      <w:lvlText w:val="•"/>
      <w:lvlJc w:val="left"/>
      <w:pPr>
        <w:ind w:left="4779" w:hanging="454"/>
      </w:pPr>
      <w:rPr>
        <w:rFonts w:hint="default"/>
      </w:rPr>
    </w:lvl>
    <w:lvl w:ilvl="6">
      <w:start w:val="1"/>
      <w:numFmt w:val="bullet"/>
      <w:lvlText w:val="•"/>
      <w:lvlJc w:val="left"/>
      <w:pPr>
        <w:ind w:left="5625" w:hanging="454"/>
      </w:pPr>
      <w:rPr>
        <w:rFonts w:hint="default"/>
      </w:rPr>
    </w:lvl>
    <w:lvl w:ilvl="7">
      <w:start w:val="1"/>
      <w:numFmt w:val="bullet"/>
      <w:lvlText w:val="•"/>
      <w:lvlJc w:val="left"/>
      <w:pPr>
        <w:ind w:left="6470" w:hanging="454"/>
      </w:pPr>
      <w:rPr>
        <w:rFonts w:hint="default"/>
      </w:rPr>
    </w:lvl>
    <w:lvl w:ilvl="8">
      <w:start w:val="1"/>
      <w:numFmt w:val="bullet"/>
      <w:lvlText w:val="•"/>
      <w:lvlJc w:val="left"/>
      <w:pPr>
        <w:ind w:left="7315" w:hanging="454"/>
      </w:pPr>
      <w:rPr>
        <w:rFonts w:hint="default"/>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TOC1" w:type="paragraph">
    <w:name w:val="TOC 1"/>
    <w:basedOn w:val="Normal"/>
    <w:uiPriority w:val="1"/>
    <w:qFormat/>
    <w:pPr>
      <w:spacing w:before="129"/>
      <w:ind w:left="570" w:hanging="453"/>
    </w:pPr>
    <w:rPr>
      <w:rFonts w:ascii="Segoe UI" w:hAnsi="Segoe UI" w:eastAsia="Segoe UI"/>
      <w:b/>
      <w:bCs/>
      <w:sz w:val="24"/>
      <w:szCs w:val="24"/>
    </w:rPr>
  </w:style>
  <w:style w:styleId="TOC2" w:type="paragraph">
    <w:name w:val="TOC 2"/>
    <w:basedOn w:val="Normal"/>
    <w:uiPriority w:val="1"/>
    <w:qFormat/>
    <w:pPr>
      <w:spacing w:before="40"/>
      <w:ind w:left="570"/>
    </w:pPr>
    <w:rPr>
      <w:rFonts w:ascii="Segoe UI" w:hAnsi="Segoe UI" w:eastAsia="Segoe UI"/>
      <w:sz w:val="20"/>
      <w:szCs w:val="20"/>
    </w:rPr>
  </w:style>
  <w:style w:styleId="BodyText" w:type="paragraph">
    <w:name w:val="Body Text"/>
    <w:basedOn w:val="Normal"/>
    <w:uiPriority w:val="1"/>
    <w:qFormat/>
    <w:pPr>
      <w:ind w:left="117"/>
    </w:pPr>
    <w:rPr>
      <w:rFonts w:ascii="Segoe UI" w:hAnsi="Segoe UI" w:eastAsia="Segoe UI"/>
      <w:sz w:val="20"/>
      <w:szCs w:val="20"/>
    </w:rPr>
  </w:style>
  <w:style w:styleId="Heading1" w:type="paragraph">
    <w:name w:val="Heading 1"/>
    <w:basedOn w:val="Normal"/>
    <w:uiPriority w:val="1"/>
    <w:qFormat/>
    <w:pPr>
      <w:ind w:left="820" w:hanging="720"/>
      <w:outlineLvl w:val="1"/>
    </w:pPr>
    <w:rPr>
      <w:rFonts w:ascii="Segoe UI" w:hAnsi="Segoe UI" w:eastAsia="Segoe UI"/>
      <w:sz w:val="44"/>
      <w:szCs w:val="44"/>
    </w:rPr>
  </w:style>
  <w:style w:styleId="Heading2" w:type="paragraph">
    <w:name w:val="Heading 2"/>
    <w:basedOn w:val="Normal"/>
    <w:uiPriority w:val="1"/>
    <w:qFormat/>
    <w:pPr>
      <w:spacing w:before="14"/>
      <w:ind w:left="117"/>
      <w:outlineLvl w:val="2"/>
    </w:pPr>
    <w:rPr>
      <w:rFonts w:ascii="Segoe UI" w:hAnsi="Segoe UI" w:eastAsia="Segoe UI"/>
      <w:b/>
      <w:bCs/>
      <w:sz w:val="32"/>
      <w:szCs w:val="32"/>
    </w:rPr>
  </w:style>
  <w:style w:styleId="Heading3" w:type="paragraph">
    <w:name w:val="Heading 3"/>
    <w:basedOn w:val="Normal"/>
    <w:uiPriority w:val="1"/>
    <w:qFormat/>
    <w:pPr>
      <w:spacing w:before="146"/>
      <w:ind w:left="117"/>
      <w:outlineLvl w:val="3"/>
    </w:pPr>
    <w:rPr>
      <w:rFonts w:ascii="Segoe UI Semibold" w:hAnsi="Segoe UI Semibold" w:eastAsia="Segoe UI Semibold"/>
      <w:sz w:val="28"/>
      <w:szCs w:val="28"/>
    </w:rPr>
  </w:style>
  <w:style w:styleId="Heading4" w:type="paragraph">
    <w:name w:val="Heading 4"/>
    <w:basedOn w:val="Normal"/>
    <w:uiPriority w:val="1"/>
    <w:qFormat/>
    <w:pPr>
      <w:ind w:left="100"/>
      <w:outlineLvl w:val="4"/>
    </w:pPr>
    <w:rPr>
      <w:rFonts w:ascii="Segoe UI" w:hAnsi="Segoe UI" w:eastAsia="Segoe UI"/>
      <w:sz w:val="24"/>
      <w:szCs w:val="24"/>
    </w:rPr>
  </w:style>
  <w:style w:styleId="Heading5" w:type="paragraph">
    <w:name w:val="Heading 5"/>
    <w:basedOn w:val="Normal"/>
    <w:uiPriority w:val="1"/>
    <w:qFormat/>
    <w:pPr>
      <w:ind w:left="117"/>
      <w:outlineLvl w:val="5"/>
    </w:pPr>
    <w:rPr>
      <w:rFonts w:ascii="Segoe UI Semibold" w:hAnsi="Segoe UI Semibold" w:eastAsia="Segoe UI Semibold"/>
      <w:i/>
      <w:sz w:val="24"/>
      <w:szCs w:val="24"/>
    </w:rPr>
  </w:style>
  <w:style w:styleId="Heading6" w:type="paragraph">
    <w:name w:val="Heading 6"/>
    <w:basedOn w:val="Normal"/>
    <w:uiPriority w:val="1"/>
    <w:qFormat/>
    <w:pPr>
      <w:spacing w:before="46"/>
      <w:ind w:left="100"/>
      <w:outlineLvl w:val="6"/>
    </w:pPr>
    <w:rPr>
      <w:rFonts w:ascii="Segoe UI" w:hAnsi="Segoe UI" w:eastAsia="Segoe UI"/>
      <w:b/>
      <w:bCs/>
      <w:sz w:val="20"/>
      <w:szCs w:val="20"/>
    </w:rPr>
  </w:style>
  <w:style w:styleId="Heading7" w:type="paragraph">
    <w:name w:val="Heading 7"/>
    <w:basedOn w:val="Normal"/>
    <w:uiPriority w:val="1"/>
    <w:qFormat/>
    <w:pPr>
      <w:spacing w:before="127"/>
      <w:ind w:left="100"/>
      <w:outlineLvl w:val="7"/>
    </w:pPr>
    <w:rPr>
      <w:rFonts w:ascii="Segoe UI" w:hAnsi="Segoe UI" w:eastAsia="Segoe UI"/>
      <w:b/>
      <w:bCs/>
      <w:i/>
      <w:sz w:val="20"/>
      <w:szCs w:val="2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17" Type="http://schemas.openxmlformats.org/officeDocument/2006/relationships/hyperlink" Target="http://www.wesleycollege.net/" TargetMode="External"/><Relationship Id="rId21" Type="http://schemas.openxmlformats.org/officeDocument/2006/relationships/footer" Target="footer9.xml"/><Relationship Id="rId42" Type="http://schemas.openxmlformats.org/officeDocument/2006/relationships/image" Target="media/image19.jpeg"/><Relationship Id="rId63" Type="http://schemas.openxmlformats.org/officeDocument/2006/relationships/image" Target="media/image34.png"/><Relationship Id="rId84" Type="http://schemas.openxmlformats.org/officeDocument/2006/relationships/image" Target="media/image41.png"/><Relationship Id="rId138" Type="http://schemas.openxmlformats.org/officeDocument/2006/relationships/hyperlink" Target="http://www.ncec.catholic.edu.au/" TargetMode="External"/><Relationship Id="rId107" Type="http://schemas.openxmlformats.org/officeDocument/2006/relationships/footer" Target="footer50.xml"/><Relationship Id="rId11" Type="http://schemas.openxmlformats.org/officeDocument/2006/relationships/footer" Target="footer2.xml"/><Relationship Id="rId32" Type="http://schemas.openxmlformats.org/officeDocument/2006/relationships/image" Target="media/image13.jpeg"/><Relationship Id="rId53" Type="http://schemas.openxmlformats.org/officeDocument/2006/relationships/image" Target="media/image24.png"/><Relationship Id="rId74" Type="http://schemas.openxmlformats.org/officeDocument/2006/relationships/image" Target="media/image39.jpeg"/><Relationship Id="rId128" Type="http://schemas.openxmlformats.org/officeDocument/2006/relationships/hyperlink" Target="http://www.myschool.gov.au/" TargetMode="External"/><Relationship Id="rId5" Type="http://schemas.openxmlformats.org/officeDocument/2006/relationships/image" Target="media/image1.png"/><Relationship Id="rId90" Type="http://schemas.openxmlformats.org/officeDocument/2006/relationships/footer" Target="footer44.xml"/><Relationship Id="rId95" Type="http://schemas.openxmlformats.org/officeDocument/2006/relationships/footer" Target="footer45.xml"/><Relationship Id="rId22" Type="http://schemas.openxmlformats.org/officeDocument/2006/relationships/footer" Target="footer10.xml"/><Relationship Id="rId27" Type="http://schemas.openxmlformats.org/officeDocument/2006/relationships/footer" Target="footer12.xml"/><Relationship Id="rId43" Type="http://schemas.openxmlformats.org/officeDocument/2006/relationships/image" Target="media/image20.jpeg"/><Relationship Id="rId48" Type="http://schemas.openxmlformats.org/officeDocument/2006/relationships/footer" Target="footer21.xml"/><Relationship Id="rId64" Type="http://schemas.openxmlformats.org/officeDocument/2006/relationships/image" Target="media/image35.png"/><Relationship Id="rId69" Type="http://schemas.openxmlformats.org/officeDocument/2006/relationships/footer" Target="footer27.xml"/><Relationship Id="rId113" Type="http://schemas.openxmlformats.org/officeDocument/2006/relationships/hyperlink" Target="http://www.aare.edu.au/blog/?tag=john-" TargetMode="External"/><Relationship Id="rId118" Type="http://schemas.openxmlformats.org/officeDocument/2006/relationships/hyperlink" Target="http://www.yirara.nt.edu.au/" TargetMode="External"/><Relationship Id="rId134" Type="http://schemas.openxmlformats.org/officeDocument/2006/relationships/hyperlink" Target="http://www.mits.vic.edu.au/" TargetMode="External"/><Relationship Id="rId139" Type="http://schemas.openxmlformats.org/officeDocument/2006/relationships/footer" Target="footer54.xml"/><Relationship Id="rId80" Type="http://schemas.openxmlformats.org/officeDocument/2006/relationships/footer" Target="footer35.xml"/><Relationship Id="rId85" Type="http://schemas.openxmlformats.org/officeDocument/2006/relationships/footer" Target="footer39.xml"/><Relationship Id="rId12" Type="http://schemas.openxmlformats.org/officeDocument/2006/relationships/image" Target="media/image6.png"/><Relationship Id="rId17" Type="http://schemas.openxmlformats.org/officeDocument/2006/relationships/footer" Target="footer6.xml"/><Relationship Id="rId33" Type="http://schemas.openxmlformats.org/officeDocument/2006/relationships/image" Target="media/image14.png"/><Relationship Id="rId38" Type="http://schemas.openxmlformats.org/officeDocument/2006/relationships/footer" Target="footer18.xml"/><Relationship Id="rId59" Type="http://schemas.openxmlformats.org/officeDocument/2006/relationships/image" Target="media/image30.png"/><Relationship Id="rId103" Type="http://schemas.openxmlformats.org/officeDocument/2006/relationships/image" Target="media/image44.jpeg"/><Relationship Id="rId108" Type="http://schemas.openxmlformats.org/officeDocument/2006/relationships/hyperlink" Target="http://www.dss.gov.au/" TargetMode="External"/><Relationship Id="rId124" Type="http://schemas.openxmlformats.org/officeDocument/2006/relationships/footer" Target="footer51.xml"/><Relationship Id="rId129" Type="http://schemas.openxmlformats.org/officeDocument/2006/relationships/hyperlink" Target="http://www.humanservices.gov.au/individuals/" TargetMode="External"/><Relationship Id="rId54" Type="http://schemas.openxmlformats.org/officeDocument/2006/relationships/image" Target="media/image25.png"/><Relationship Id="rId70" Type="http://schemas.openxmlformats.org/officeDocument/2006/relationships/footer" Target="footer28.xml"/><Relationship Id="rId75" Type="http://schemas.openxmlformats.org/officeDocument/2006/relationships/footer" Target="footer31.xml"/><Relationship Id="rId91" Type="http://schemas.openxmlformats.org/officeDocument/2006/relationships/image" Target="media/image42.jpeg"/><Relationship Id="rId96" Type="http://schemas.openxmlformats.org/officeDocument/2006/relationships/footer" Target="footer46.xml"/><Relationship Id="rId140" Type="http://schemas.openxmlformats.org/officeDocument/2006/relationships/footer" Target="footer55.xml"/><Relationship Id="rId145"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1.png"/><Relationship Id="rId49" Type="http://schemas.openxmlformats.org/officeDocument/2006/relationships/footer" Target="footer22.xml"/><Relationship Id="rId114" Type="http://schemas.openxmlformats.org/officeDocument/2006/relationships/hyperlink" Target="http://www.crc-rep.com.au/resource/RedDirtEducation_" TargetMode="External"/><Relationship Id="rId119" Type="http://schemas.openxmlformats.org/officeDocument/2006/relationships/hyperlink" Target="http://www.humanservices.gov.au/" TargetMode="External"/><Relationship Id="rId44" Type="http://schemas.openxmlformats.org/officeDocument/2006/relationships/image" Target="media/image21.jpeg"/><Relationship Id="rId60" Type="http://schemas.openxmlformats.org/officeDocument/2006/relationships/image" Target="media/image31.png"/><Relationship Id="rId65" Type="http://schemas.openxmlformats.org/officeDocument/2006/relationships/image" Target="media/image36.png"/><Relationship Id="rId81" Type="http://schemas.openxmlformats.org/officeDocument/2006/relationships/footer" Target="footer36.xml"/><Relationship Id="rId86" Type="http://schemas.openxmlformats.org/officeDocument/2006/relationships/footer" Target="footer40.xml"/><Relationship Id="rId130" Type="http://schemas.openxmlformats.org/officeDocument/2006/relationships/hyperlink" Target="http://www.dss.gov/" TargetMode="External"/><Relationship Id="rId135" Type="http://schemas.openxmlformats.org/officeDocument/2006/relationships/hyperlink" Target="http://quickstats.censusdata/" TargetMode="External"/><Relationship Id="rId13" Type="http://schemas.openxmlformats.org/officeDocument/2006/relationships/image" Target="media/image7.jpeg"/><Relationship Id="rId18" Type="http://schemas.openxmlformats.org/officeDocument/2006/relationships/footer" Target="footer7.xml"/><Relationship Id="rId39" Type="http://schemas.openxmlformats.org/officeDocument/2006/relationships/image" Target="media/image16.jpeg"/><Relationship Id="rId109" Type="http://schemas.openxmlformats.org/officeDocument/2006/relationships/hyperlink" Target="http://www.abs.gov.au/websitedbs/D3310114.nsf/" TargetMode="External"/><Relationship Id="rId34" Type="http://schemas.openxmlformats.org/officeDocument/2006/relationships/footer" Target="footer15.xml"/><Relationship Id="rId50" Type="http://schemas.openxmlformats.org/officeDocument/2006/relationships/footer" Target="footer23.xml"/><Relationship Id="rId55" Type="http://schemas.openxmlformats.org/officeDocument/2006/relationships/image" Target="media/image26.png"/><Relationship Id="rId76" Type="http://schemas.openxmlformats.org/officeDocument/2006/relationships/footer" Target="footer32.xml"/><Relationship Id="rId97" Type="http://schemas.openxmlformats.org/officeDocument/2006/relationships/hyperlink" Target="http://www.dpmc.gov.au/" TargetMode="External"/><Relationship Id="rId104" Type="http://schemas.openxmlformats.org/officeDocument/2006/relationships/footer" Target="footer47.xml"/><Relationship Id="rId120" Type="http://schemas.openxmlformats.org/officeDocument/2006/relationships/hyperlink" Target="http://www.humanservices.gov.au/individuals/subjects/" TargetMode="External"/><Relationship Id="rId125" Type="http://schemas.openxmlformats.org/officeDocument/2006/relationships/footer" Target="footer52.xml"/><Relationship Id="rId141" Type="http://schemas.openxmlformats.org/officeDocument/2006/relationships/image" Target="media/image45.jpeg"/><Relationship Id="rId146" Type="http://schemas.openxmlformats.org/officeDocument/2006/relationships/customXml" Target="../customXml/item3.xml"/><Relationship Id="rId7" Type="http://schemas.openxmlformats.org/officeDocument/2006/relationships/image" Target="media/image3.jpeg"/><Relationship Id="rId71" Type="http://schemas.openxmlformats.org/officeDocument/2006/relationships/image" Target="media/image38.jpeg"/><Relationship Id="rId92" Type="http://schemas.openxmlformats.org/officeDocument/2006/relationships/hyperlink" Target="http://www.abs.gov.au/" TargetMode="External"/><Relationship Id="rId2" Type="http://schemas.openxmlformats.org/officeDocument/2006/relationships/fontTable" Target="fontTable.xml"/><Relationship Id="rId29" Type="http://schemas.openxmlformats.org/officeDocument/2006/relationships/footer" Target="footer13.xml"/><Relationship Id="rId24" Type="http://schemas.openxmlformats.org/officeDocument/2006/relationships/hyperlink" Target="http://www.crc-rep.com.au/resource/" TargetMode="External"/><Relationship Id="rId40" Type="http://schemas.openxmlformats.org/officeDocument/2006/relationships/image" Target="media/image17.jpeg"/><Relationship Id="rId45" Type="http://schemas.openxmlformats.org/officeDocument/2006/relationships/image" Target="media/image22.png"/><Relationship Id="rId66" Type="http://schemas.openxmlformats.org/officeDocument/2006/relationships/image" Target="media/image37.png"/><Relationship Id="rId87" Type="http://schemas.openxmlformats.org/officeDocument/2006/relationships/footer" Target="footer41.xml"/><Relationship Id="rId110" Type="http://schemas.openxmlformats.org/officeDocument/2006/relationships/hyperlink" Target="http://www.isca.edu.au/" TargetMode="External"/><Relationship Id="rId115" Type="http://schemas.openxmlformats.org/officeDocument/2006/relationships/hyperlink" Target="http://www.berrystreet.org.au/" TargetMode="External"/><Relationship Id="rId131" Type="http://schemas.openxmlformats.org/officeDocument/2006/relationships/hyperlink" Target="http://www.abs.gov.au/we" TargetMode="External"/><Relationship Id="rId136" Type="http://schemas.openxmlformats.org/officeDocument/2006/relationships/hyperlink" Target="http://www.schoolgovernance.net.au/" TargetMode="External"/><Relationship Id="rId61" Type="http://schemas.openxmlformats.org/officeDocument/2006/relationships/image" Target="media/image32.png"/><Relationship Id="rId82" Type="http://schemas.openxmlformats.org/officeDocument/2006/relationships/footer" Target="footer37.xml"/><Relationship Id="rId19" Type="http://schemas.openxmlformats.org/officeDocument/2006/relationships/footer" Target="footer8.xml"/><Relationship Id="rId14" Type="http://schemas.openxmlformats.org/officeDocument/2006/relationships/footer" Target="footer3.xml"/><Relationship Id="rId30" Type="http://schemas.openxmlformats.org/officeDocument/2006/relationships/footer" Target="footer14.xml"/><Relationship Id="rId35" Type="http://schemas.openxmlformats.org/officeDocument/2006/relationships/footer" Target="footer16.xml"/><Relationship Id="rId56" Type="http://schemas.openxmlformats.org/officeDocument/2006/relationships/image" Target="media/image27.png"/><Relationship Id="rId77" Type="http://schemas.openxmlformats.org/officeDocument/2006/relationships/footer" Target="footer33.xml"/><Relationship Id="rId100" Type="http://schemas.openxmlformats.org/officeDocument/2006/relationships/hyperlink" Target="http://www.aare.edu.au/" TargetMode="External"/><Relationship Id="rId105" Type="http://schemas.openxmlformats.org/officeDocument/2006/relationships/footer" Target="footer48.xml"/><Relationship Id="rId126" Type="http://schemas.openxmlformats.org/officeDocument/2006/relationships/hyperlink" Target="http://www.education.gov/" TargetMode="External"/><Relationship Id="rId8" Type="http://schemas.openxmlformats.org/officeDocument/2006/relationships/image" Target="media/image4.jpeg"/><Relationship Id="rId51" Type="http://schemas.openxmlformats.org/officeDocument/2006/relationships/footer" Target="footer24.xml"/><Relationship Id="rId72" Type="http://schemas.openxmlformats.org/officeDocument/2006/relationships/footer" Target="footer29.xml"/><Relationship Id="rId93" Type="http://schemas.openxmlformats.org/officeDocument/2006/relationships/hyperlink" Target="http://www.acara.edu.au/" TargetMode="External"/><Relationship Id="rId98" Type="http://schemas.openxmlformats.org/officeDocument/2006/relationships/hyperlink" Target="http://www.aph.gov.au/Parliamentary_Business/" TargetMode="External"/><Relationship Id="rId121" Type="http://schemas.openxmlformats.org/officeDocument/2006/relationships/hyperlink" Target="http://www.aief.com.au/" TargetMode="External"/><Relationship Id="rId142" Type="http://schemas.openxmlformats.org/officeDocument/2006/relationships/image" Target="media/image46.jpeg"/><Relationship Id="rId3" Type="http://schemas.openxmlformats.org/officeDocument/2006/relationships/theme" Target="theme/theme1.xml"/><Relationship Id="rId25" Type="http://schemas.openxmlformats.org/officeDocument/2006/relationships/image" Target="media/image10.jpeg"/><Relationship Id="rId46" Type="http://schemas.openxmlformats.org/officeDocument/2006/relationships/footer" Target="footer19.xml"/><Relationship Id="rId67" Type="http://schemas.openxmlformats.org/officeDocument/2006/relationships/footer" Target="footer25.xml"/><Relationship Id="rId116" Type="http://schemas.openxmlformats.org/officeDocument/2006/relationships/hyperlink" Target="http://www.abs.gov.au/ausstats/abs%40.nsf/Lookup/" TargetMode="External"/><Relationship Id="rId137" Type="http://schemas.openxmlformats.org/officeDocument/2006/relationships/hyperlink" Target="http://www.boardingaustralia.edu.au/" TargetMode="External"/><Relationship Id="rId20" Type="http://schemas.openxmlformats.org/officeDocument/2006/relationships/image" Target="media/image8.jpeg"/><Relationship Id="rId41" Type="http://schemas.openxmlformats.org/officeDocument/2006/relationships/image" Target="media/image18.jpeg"/><Relationship Id="rId62" Type="http://schemas.openxmlformats.org/officeDocument/2006/relationships/image" Target="media/image33.png"/><Relationship Id="rId83" Type="http://schemas.openxmlformats.org/officeDocument/2006/relationships/footer" Target="footer38.xml"/><Relationship Id="rId88" Type="http://schemas.openxmlformats.org/officeDocument/2006/relationships/footer" Target="footer42.xml"/><Relationship Id="rId111" Type="http://schemas.openxmlformats.org/officeDocument/2006/relationships/hyperlink" Target="http://quickstats.censusdata.abs/" TargetMode="External"/><Relationship Id="rId132" Type="http://schemas.openxmlformats.org/officeDocument/2006/relationships/hyperlink" Target="http://www.education.gov.au/" TargetMode="External"/><Relationship Id="rId15" Type="http://schemas.openxmlformats.org/officeDocument/2006/relationships/footer" Target="footer4.xml"/><Relationship Id="rId36" Type="http://schemas.openxmlformats.org/officeDocument/2006/relationships/image" Target="media/image15.jpeg"/><Relationship Id="rId57" Type="http://schemas.openxmlformats.org/officeDocument/2006/relationships/image" Target="media/image28.png"/><Relationship Id="rId106" Type="http://schemas.openxmlformats.org/officeDocument/2006/relationships/footer" Target="footer49.xml"/><Relationship Id="rId127" Type="http://schemas.openxmlformats.org/officeDocument/2006/relationships/hyperlink" Target="http://www.education.gov.au/what-schooling-" TargetMode="External"/><Relationship Id="rId10" Type="http://schemas.openxmlformats.org/officeDocument/2006/relationships/footer" Target="footer1.xml"/><Relationship Id="rId31" Type="http://schemas.openxmlformats.org/officeDocument/2006/relationships/image" Target="media/image12.jpeg"/><Relationship Id="rId52" Type="http://schemas.openxmlformats.org/officeDocument/2006/relationships/image" Target="media/image23.png"/><Relationship Id="rId73" Type="http://schemas.openxmlformats.org/officeDocument/2006/relationships/footer" Target="footer30.xml"/><Relationship Id="rId78" Type="http://schemas.openxmlformats.org/officeDocument/2006/relationships/footer" Target="footer34.xml"/><Relationship Id="rId94" Type="http://schemas.openxmlformats.org/officeDocument/2006/relationships/hyperlink" Target="http://www.pmc.gov.au/indigenous-affairs/" TargetMode="External"/><Relationship Id="rId99" Type="http://schemas.openxmlformats.org/officeDocument/2006/relationships/hyperlink" Target="http://www/" TargetMode="External"/><Relationship Id="rId101" Type="http://schemas.openxmlformats.org/officeDocument/2006/relationships/hyperlink" Target="http://boardingtrainingaustralia.com.au/wp-" TargetMode="External"/><Relationship Id="rId122" Type="http://schemas.openxmlformats.org/officeDocument/2006/relationships/hyperlink" Target="http://www.elytrust.com.au/" TargetMode="External"/><Relationship Id="rId143" Type="http://schemas.openxmlformats.org/officeDocument/2006/relationships/numbering" Target="numbering.xml"/><Relationship Id="rId4" Type="http://schemas.openxmlformats.org/officeDocument/2006/relationships/settings" Target="settings.xml"/><Relationship Id="rId9" Type="http://schemas.openxmlformats.org/officeDocument/2006/relationships/image" Target="media/image5.jpeg"/><Relationship Id="rId26" Type="http://schemas.openxmlformats.org/officeDocument/2006/relationships/footer" Target="footer11.xml"/><Relationship Id="rId47" Type="http://schemas.openxmlformats.org/officeDocument/2006/relationships/footer" Target="footer20.xml"/><Relationship Id="rId68" Type="http://schemas.openxmlformats.org/officeDocument/2006/relationships/footer" Target="footer26.xml"/><Relationship Id="rId89" Type="http://schemas.openxmlformats.org/officeDocument/2006/relationships/footer" Target="footer43.xml"/><Relationship Id="rId112" Type="http://schemas.openxmlformats.org/officeDocument/2006/relationships/hyperlink" Target="http://www.academia.edu/8776088/A_" TargetMode="External"/><Relationship Id="rId133" Type="http://schemas.openxmlformats.org/officeDocument/2006/relationships/footer" Target="footer53.xml"/><Relationship Id="rId16" Type="http://schemas.openxmlformats.org/officeDocument/2006/relationships/footer" Target="footer5.xml"/><Relationship Id="rId37" Type="http://schemas.openxmlformats.org/officeDocument/2006/relationships/footer" Target="footer17.xml"/><Relationship Id="rId58" Type="http://schemas.openxmlformats.org/officeDocument/2006/relationships/image" Target="media/image29.png"/><Relationship Id="rId79" Type="http://schemas.openxmlformats.org/officeDocument/2006/relationships/image" Target="media/image40.jpeg"/><Relationship Id="rId102" Type="http://schemas.openxmlformats.org/officeDocument/2006/relationships/image" Target="media/image43.jpeg"/><Relationship Id="rId123" Type="http://schemas.openxmlformats.org/officeDocument/2006/relationships/hyperlink" Target="http://www.centrecorpfoundation.com.au/" TargetMode="External"/><Relationship Id="rId14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ShareHubID xmlns="166541c0-0594-4e6a-9105-c24d4b6de6f7">DOC19-412956</ShareHubID>
    <TaxCatchAll xmlns="166541c0-0594-4e6a-9105-c24d4b6de6f7">
      <Value>57</Value>
    </TaxCatchAll>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hc4a8f51d7584793bcee84017ea96cb3>
    <PMCNotes xmlns="166541c0-0594-4e6a-9105-c24d4b6de6f7" xsi:nil="true"/>
    <NonRecordJustification xmlns="685f9fda-bd71-4433-b331-92feb9553089">None</NonRecordJustification>
  </documentManagement>
</p:properties>
</file>

<file path=customXml/itemProps1.xml><?xml version="1.0" encoding="utf-8"?>
<ds:datastoreItem xmlns:ds="http://schemas.openxmlformats.org/officeDocument/2006/customXml" ds:itemID="{78573881-E4F7-4196-B7FC-271115DDAC83}"/>
</file>

<file path=customXml/itemProps2.xml><?xml version="1.0" encoding="utf-8"?>
<ds:datastoreItem xmlns:ds="http://schemas.openxmlformats.org/officeDocument/2006/customXml" ds:itemID="{57829157-EC9A-4334-A31C-64A0DD933EE7}"/>
</file>

<file path=customXml/itemProps3.xml><?xml version="1.0" encoding="utf-8"?>
<ds:datastoreItem xmlns:ds="http://schemas.openxmlformats.org/officeDocument/2006/customXml" ds:itemID="{29C48833-3CEE-4DD4-86DC-B1125A7A4F9F}"/>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2019-11-08T13:33:29Z</dcterms:created>
  <dcterms:modified xsi:type="dcterms:W3CDTF">2019-11-08T13:33:29Z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2019-07-23T00:00:00Z</vt:filetime>
  </property>
  <property fmtid="{D5CDD505-2E9C-101B-9397-08002B2CF9AE}" pid="3" name="LastSaved">
    <vt:filetime>2019-11-08T00:00:00Z</vt:filetime>
  </property>
  <property fmtid="{D5CDD505-2E9C-101B-9397-08002B2CF9AE}" pid="4" name="HPRMSecurityLevel">
    <vt:lpwstr>57;#OFFICIAL|11463c70-78df-4e3b-b0ff-f66cd3cb26ec</vt:lpwstr>
  </property>
  <property fmtid="{D5CDD505-2E9C-101B-9397-08002B2CF9AE}" pid="5" name="ContentTypeId">
    <vt:lpwstr>0x0101002825A64A6E1845A99A9D8EE8A5686ECB009B58D7D72C3ED54C851955501673F8AC</vt:lpwstr>
  </property>
</Properties>
</file>